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0AD4A5" w14:textId="1E80C58A" w:rsidR="00D84454" w:rsidRPr="00FA3F9C" w:rsidRDefault="00B700AB">
      <w:pPr>
        <w:rPr>
          <w:rFonts w:ascii="Arial" w:hAnsi="Arial" w:cs="Arial"/>
          <w:sz w:val="24"/>
          <w:szCs w:val="24"/>
        </w:rPr>
      </w:pPr>
      <w:r w:rsidRPr="00FA3F9C">
        <w:rPr>
          <w:rFonts w:ascii="Arial" w:hAnsi="Arial" w:cs="Arial"/>
          <w:noProof/>
          <w:sz w:val="24"/>
          <w:szCs w:val="24"/>
        </w:rPr>
        <w:drawing>
          <wp:anchor distT="0" distB="0" distL="114300" distR="114300" simplePos="0" relativeHeight="251660288" behindDoc="0" locked="0" layoutInCell="1" allowOverlap="1" wp14:anchorId="2582789E" wp14:editId="6D7CDB93">
            <wp:simplePos x="0" y="0"/>
            <wp:positionH relativeFrom="margin">
              <wp:posOffset>2286000</wp:posOffset>
            </wp:positionH>
            <wp:positionV relativeFrom="paragraph">
              <wp:posOffset>0</wp:posOffset>
            </wp:positionV>
            <wp:extent cx="3867150" cy="3542665"/>
            <wp:effectExtent l="0" t="0" r="0"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67150" cy="3542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AB8FF3" w14:textId="44BE1E3D" w:rsidR="0027626C" w:rsidRPr="00FA3F9C" w:rsidRDefault="0027626C" w:rsidP="0027626C">
      <w:pPr>
        <w:rPr>
          <w:rFonts w:ascii="Arial" w:hAnsi="Arial" w:cs="Arial"/>
          <w:sz w:val="24"/>
          <w:szCs w:val="24"/>
        </w:rPr>
      </w:pPr>
    </w:p>
    <w:p w14:paraId="4C9AF682" w14:textId="6FEFA5BA" w:rsidR="0027626C" w:rsidRPr="00FA3F9C" w:rsidRDefault="0027626C" w:rsidP="0027626C">
      <w:pPr>
        <w:rPr>
          <w:rFonts w:ascii="Arial" w:hAnsi="Arial" w:cs="Arial"/>
          <w:sz w:val="24"/>
          <w:szCs w:val="24"/>
        </w:rPr>
      </w:pPr>
    </w:p>
    <w:p w14:paraId="57B5BBDE" w14:textId="71F511AE" w:rsidR="0027626C" w:rsidRPr="00FA3F9C" w:rsidRDefault="0027626C" w:rsidP="0027626C">
      <w:pPr>
        <w:rPr>
          <w:rFonts w:ascii="Arial" w:hAnsi="Arial" w:cs="Arial"/>
          <w:sz w:val="24"/>
          <w:szCs w:val="24"/>
        </w:rPr>
      </w:pPr>
    </w:p>
    <w:p w14:paraId="61B43ED7" w14:textId="5ADB970B" w:rsidR="0027626C" w:rsidRPr="00FA3F9C" w:rsidRDefault="0027626C" w:rsidP="0027626C">
      <w:pPr>
        <w:rPr>
          <w:rFonts w:ascii="Arial" w:hAnsi="Arial" w:cs="Arial"/>
          <w:sz w:val="24"/>
          <w:szCs w:val="24"/>
        </w:rPr>
      </w:pPr>
    </w:p>
    <w:p w14:paraId="353E7224" w14:textId="37AD8D32" w:rsidR="0027626C" w:rsidRPr="00FA3F9C" w:rsidRDefault="0027626C" w:rsidP="0027626C">
      <w:pPr>
        <w:rPr>
          <w:rFonts w:ascii="Arial" w:hAnsi="Arial" w:cs="Arial"/>
          <w:sz w:val="24"/>
          <w:szCs w:val="24"/>
        </w:rPr>
      </w:pPr>
    </w:p>
    <w:p w14:paraId="180E80E5" w14:textId="7F73A0D6" w:rsidR="0027626C" w:rsidRPr="00FA3F9C" w:rsidRDefault="0027626C" w:rsidP="0027626C">
      <w:pPr>
        <w:rPr>
          <w:rFonts w:ascii="Arial" w:hAnsi="Arial" w:cs="Arial"/>
          <w:sz w:val="24"/>
          <w:szCs w:val="24"/>
        </w:rPr>
      </w:pPr>
    </w:p>
    <w:p w14:paraId="11EE352B" w14:textId="7A7A7D2C" w:rsidR="0027626C" w:rsidRPr="00FA3F9C" w:rsidRDefault="0027626C" w:rsidP="0027626C">
      <w:pPr>
        <w:rPr>
          <w:rFonts w:ascii="Arial" w:hAnsi="Arial" w:cs="Arial"/>
          <w:sz w:val="24"/>
          <w:szCs w:val="24"/>
        </w:rPr>
      </w:pPr>
    </w:p>
    <w:p w14:paraId="4820F6EC" w14:textId="33AD91FA" w:rsidR="0027626C" w:rsidRPr="00FA3F9C" w:rsidRDefault="0027626C" w:rsidP="0027626C">
      <w:pPr>
        <w:rPr>
          <w:rFonts w:ascii="Arial" w:hAnsi="Arial" w:cs="Arial"/>
          <w:sz w:val="24"/>
          <w:szCs w:val="24"/>
        </w:rPr>
      </w:pPr>
    </w:p>
    <w:p w14:paraId="24C60049" w14:textId="5B05A98A" w:rsidR="0027626C" w:rsidRPr="00FA3F9C" w:rsidRDefault="0027626C" w:rsidP="0027626C">
      <w:pPr>
        <w:rPr>
          <w:rFonts w:ascii="Arial" w:hAnsi="Arial" w:cs="Arial"/>
          <w:sz w:val="24"/>
          <w:szCs w:val="24"/>
        </w:rPr>
      </w:pPr>
    </w:p>
    <w:p w14:paraId="0345F5BE" w14:textId="2DF12F00" w:rsidR="0027626C" w:rsidRPr="00FA3F9C" w:rsidRDefault="0027626C" w:rsidP="0027626C">
      <w:pPr>
        <w:rPr>
          <w:rFonts w:ascii="Arial" w:hAnsi="Arial" w:cs="Arial"/>
          <w:sz w:val="24"/>
          <w:szCs w:val="24"/>
        </w:rPr>
      </w:pPr>
    </w:p>
    <w:p w14:paraId="18A4D697" w14:textId="5A94A2DC" w:rsidR="0027626C" w:rsidRPr="00FA3F9C" w:rsidRDefault="0027626C" w:rsidP="0027626C">
      <w:pPr>
        <w:rPr>
          <w:rFonts w:ascii="Arial" w:hAnsi="Arial" w:cs="Arial"/>
          <w:sz w:val="24"/>
          <w:szCs w:val="24"/>
        </w:rPr>
      </w:pPr>
    </w:p>
    <w:p w14:paraId="6D57DB73" w14:textId="1338C9F6" w:rsidR="0027626C" w:rsidRPr="00FA3F9C" w:rsidRDefault="00652A6E" w:rsidP="0027626C">
      <w:pPr>
        <w:rPr>
          <w:rFonts w:ascii="Arial" w:hAnsi="Arial" w:cs="Arial"/>
          <w:sz w:val="24"/>
          <w:szCs w:val="24"/>
        </w:rPr>
      </w:pPr>
      <w:r w:rsidRPr="00FA3F9C">
        <w:rPr>
          <w:rFonts w:ascii="Arial" w:hAnsi="Arial" w:cs="Arial"/>
          <w:noProof/>
          <w:sz w:val="24"/>
          <w:szCs w:val="24"/>
        </w:rPr>
        <mc:AlternateContent>
          <mc:Choice Requires="wps">
            <w:drawing>
              <wp:anchor distT="45720" distB="45720" distL="114300" distR="114300" simplePos="0" relativeHeight="251658240" behindDoc="0" locked="0" layoutInCell="1" allowOverlap="1" wp14:anchorId="3AECB257" wp14:editId="0A46BFF1">
                <wp:simplePos x="0" y="0"/>
                <wp:positionH relativeFrom="margin">
                  <wp:posOffset>1533525</wp:posOffset>
                </wp:positionH>
                <wp:positionV relativeFrom="paragraph">
                  <wp:posOffset>54610</wp:posOffset>
                </wp:positionV>
                <wp:extent cx="5558790" cy="866775"/>
                <wp:effectExtent l="0" t="0" r="22860" b="28575"/>
                <wp:wrapThrough wrapText="bothSides">
                  <wp:wrapPolygon edited="0">
                    <wp:start x="0" y="0"/>
                    <wp:lineTo x="0" y="21837"/>
                    <wp:lineTo x="21615" y="21837"/>
                    <wp:lineTo x="21615" y="0"/>
                    <wp:lineTo x="0" y="0"/>
                  </wp:wrapPolygon>
                </wp:wrapThrough>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8790" cy="866775"/>
                        </a:xfrm>
                        <a:prstGeom prst="rect">
                          <a:avLst/>
                        </a:prstGeom>
                        <a:solidFill>
                          <a:srgbClr val="FFFFFF"/>
                        </a:solidFill>
                        <a:ln w="9525">
                          <a:solidFill>
                            <a:srgbClr val="000000"/>
                          </a:solidFill>
                          <a:miter lim="800000"/>
                          <a:headEnd/>
                          <a:tailEnd/>
                        </a:ln>
                      </wps:spPr>
                      <wps:txbx>
                        <w:txbxContent>
                          <w:p w14:paraId="0E734B7F" w14:textId="6DCF8B7D" w:rsidR="0027626C" w:rsidRDefault="0027626C" w:rsidP="00B700AB">
                            <w:pPr>
                              <w:jc w:val="center"/>
                              <w:rPr>
                                <w:sz w:val="40"/>
                                <w:szCs w:val="40"/>
                              </w:rPr>
                            </w:pPr>
                            <w:r w:rsidRPr="00004D6F">
                              <w:rPr>
                                <w:sz w:val="40"/>
                                <w:szCs w:val="40"/>
                              </w:rPr>
                              <w:t>The Evidence-Based Prescription Drug Program</w:t>
                            </w:r>
                          </w:p>
                          <w:p w14:paraId="4E272DCD" w14:textId="40C20811" w:rsidR="00500371" w:rsidRDefault="00500371" w:rsidP="00B700AB">
                            <w:pPr>
                              <w:jc w:val="center"/>
                              <w:rPr>
                                <w:sz w:val="40"/>
                                <w:szCs w:val="40"/>
                              </w:rPr>
                            </w:pPr>
                            <w:r>
                              <w:rPr>
                                <w:sz w:val="40"/>
                                <w:szCs w:val="40"/>
                              </w:rPr>
                              <w:t>Quarterly PA Criteria Masterfile: July 2022 update</w:t>
                            </w:r>
                          </w:p>
                          <w:p w14:paraId="3ECF3744" w14:textId="77777777" w:rsidR="00500371" w:rsidRPr="00004D6F" w:rsidRDefault="00500371" w:rsidP="00B700AB">
                            <w:pPr>
                              <w:jc w:val="center"/>
                              <w:rPr>
                                <w:sz w:val="40"/>
                                <w:szCs w:val="40"/>
                              </w:rPr>
                            </w:pPr>
                          </w:p>
                          <w:p w14:paraId="7824083F" w14:textId="77777777" w:rsidR="0027626C" w:rsidRPr="00004D6F" w:rsidRDefault="0027626C" w:rsidP="00B700AB">
                            <w:pPr>
                              <w:jc w:val="center"/>
                              <w:rPr>
                                <w:sz w:val="40"/>
                                <w:szCs w:val="40"/>
                              </w:rPr>
                            </w:pPr>
                          </w:p>
                          <w:p w14:paraId="195D532C" w14:textId="77777777" w:rsidR="0027626C" w:rsidRPr="00004D6F" w:rsidRDefault="0027626C" w:rsidP="00B700AB">
                            <w:pPr>
                              <w:jc w:val="center"/>
                              <w:rPr>
                                <w:sz w:val="40"/>
                                <w:szCs w:val="40"/>
                              </w:rPr>
                            </w:pPr>
                            <w:r w:rsidRPr="00004D6F">
                              <w:rPr>
                                <w:sz w:val="40"/>
                                <w:szCs w:val="40"/>
                              </w:rPr>
                              <w:t>Prior Authorization Criteria</w:t>
                            </w:r>
                          </w:p>
                          <w:p w14:paraId="2C4C833F" w14:textId="77777777" w:rsidR="0027626C" w:rsidRPr="00004D6F" w:rsidRDefault="0027626C" w:rsidP="00B700AB">
                            <w:pPr>
                              <w:jc w:val="center"/>
                              <w:rPr>
                                <w:sz w:val="40"/>
                                <w:szCs w:val="40"/>
                              </w:rPr>
                            </w:pPr>
                          </w:p>
                          <w:p w14:paraId="0E53CD93" w14:textId="77777777" w:rsidR="0027626C" w:rsidRPr="00004D6F" w:rsidRDefault="0027626C" w:rsidP="00B700AB">
                            <w:pPr>
                              <w:jc w:val="center"/>
                              <w:rPr>
                                <w:sz w:val="40"/>
                                <w:szCs w:val="40"/>
                              </w:rPr>
                            </w:pPr>
                            <w:r w:rsidRPr="00004D6F">
                              <w:rPr>
                                <w:sz w:val="40"/>
                                <w:szCs w:val="40"/>
                              </w:rPr>
                              <w:t xml:space="preserve">Published Date: </w:t>
                            </w:r>
                            <w:r>
                              <w:rPr>
                                <w:sz w:val="40"/>
                                <w:szCs w:val="40"/>
                              </w:rPr>
                              <w:t>July 1, 2022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ECB257" id="_x0000_t202" coordsize="21600,21600" o:spt="202" path="m,l,21600r21600,l21600,xe">
                <v:stroke joinstyle="miter"/>
                <v:path gradientshapeok="t" o:connecttype="rect"/>
              </v:shapetype>
              <v:shape id="Text Box 1" o:spid="_x0000_s1026" type="#_x0000_t202" style="position:absolute;margin-left:120.75pt;margin-top:4.3pt;width:437.7pt;height:68.2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">
                <v:textbox>
                  <w:txbxContent>
                    <w:p w14:paraId="0E734B7F" w14:textId="6DCF8B7D" w:rsidR="0027626C" w:rsidRDefault="0027626C" w:rsidP="00B700AB">
                      <w:pPr>
                        <w:jc w:val="center"/>
                        <w:rPr>
                          <w:sz w:val="40"/>
                          <w:szCs w:val="40"/>
                        </w:rPr>
                      </w:pPr>
                      <w:r w:rsidRPr="00004D6F">
                        <w:rPr>
                          <w:sz w:val="40"/>
                          <w:szCs w:val="40"/>
                        </w:rPr>
                        <w:t>The Evidence-Based Prescription Drug Program</w:t>
                      </w:r>
                    </w:p>
                    <w:p w14:paraId="4E272DCD" w14:textId="40C20811" w:rsidR="00500371" w:rsidRDefault="00500371" w:rsidP="00B700AB">
                      <w:pPr>
                        <w:jc w:val="center"/>
                        <w:rPr>
                          <w:sz w:val="40"/>
                          <w:szCs w:val="40"/>
                        </w:rPr>
                      </w:pPr>
                      <w:r>
                        <w:rPr>
                          <w:sz w:val="40"/>
                          <w:szCs w:val="40"/>
                        </w:rPr>
                        <w:t>Quarterly PA Criteria Masterfile: July 2022 update</w:t>
                      </w:r>
                    </w:p>
                    <w:p w14:paraId="3ECF3744" w14:textId="77777777" w:rsidR="00500371" w:rsidRPr="00004D6F" w:rsidRDefault="00500371" w:rsidP="00B700AB">
                      <w:pPr>
                        <w:jc w:val="center"/>
                        <w:rPr>
                          <w:sz w:val="40"/>
                          <w:szCs w:val="40"/>
                        </w:rPr>
                      </w:pPr>
                    </w:p>
                    <w:p w14:paraId="7824083F" w14:textId="77777777" w:rsidR="0027626C" w:rsidRPr="00004D6F" w:rsidRDefault="0027626C" w:rsidP="00B700AB">
                      <w:pPr>
                        <w:jc w:val="center"/>
                        <w:rPr>
                          <w:sz w:val="40"/>
                          <w:szCs w:val="40"/>
                        </w:rPr>
                      </w:pPr>
                    </w:p>
                    <w:p w14:paraId="195D532C" w14:textId="77777777" w:rsidR="0027626C" w:rsidRPr="00004D6F" w:rsidRDefault="0027626C" w:rsidP="00B700AB">
                      <w:pPr>
                        <w:jc w:val="center"/>
                        <w:rPr>
                          <w:sz w:val="40"/>
                          <w:szCs w:val="40"/>
                        </w:rPr>
                      </w:pPr>
                      <w:r w:rsidRPr="00004D6F">
                        <w:rPr>
                          <w:sz w:val="40"/>
                          <w:szCs w:val="40"/>
                        </w:rPr>
                        <w:t>Prior Authorization Criteria</w:t>
                      </w:r>
                    </w:p>
                    <w:p w14:paraId="2C4C833F" w14:textId="77777777" w:rsidR="0027626C" w:rsidRPr="00004D6F" w:rsidRDefault="0027626C" w:rsidP="00B700AB">
                      <w:pPr>
                        <w:jc w:val="center"/>
                        <w:rPr>
                          <w:sz w:val="40"/>
                          <w:szCs w:val="40"/>
                        </w:rPr>
                      </w:pPr>
                    </w:p>
                    <w:p w14:paraId="0E53CD93" w14:textId="77777777" w:rsidR="0027626C" w:rsidRPr="00004D6F" w:rsidRDefault="0027626C" w:rsidP="00B700AB">
                      <w:pPr>
                        <w:jc w:val="center"/>
                        <w:rPr>
                          <w:sz w:val="40"/>
                          <w:szCs w:val="40"/>
                        </w:rPr>
                      </w:pPr>
                      <w:r w:rsidRPr="00004D6F">
                        <w:rPr>
                          <w:sz w:val="40"/>
                          <w:szCs w:val="40"/>
                        </w:rPr>
                        <w:t xml:space="preserve">Published Date: </w:t>
                      </w:r>
                      <w:r>
                        <w:rPr>
                          <w:sz w:val="40"/>
                          <w:szCs w:val="40"/>
                        </w:rPr>
                        <w:t>July 1, 2022</w:t>
                      </w:r>
                    </w:p>
                  </w:txbxContent>
                </v:textbox>
                <w10:wrap type="through" anchorx="margin"/>
              </v:shape>
            </w:pict>
          </mc:Fallback>
        </mc:AlternateContent>
      </w:r>
    </w:p>
    <w:p w14:paraId="082795A0" w14:textId="6BAC01FC" w:rsidR="0027626C" w:rsidRPr="00FA3F9C" w:rsidRDefault="0027626C" w:rsidP="00FA3F9C">
      <w:pPr>
        <w:rPr>
          <w:rFonts w:ascii="Arial" w:hAnsi="Arial" w:cs="Arial"/>
          <w:sz w:val="24"/>
          <w:szCs w:val="24"/>
        </w:rPr>
      </w:pPr>
    </w:p>
    <w:p w14:paraId="154A7D62" w14:textId="2FB81A5D" w:rsidR="0027626C" w:rsidRPr="00FA3F9C" w:rsidRDefault="0027626C" w:rsidP="0027626C">
      <w:pPr>
        <w:tabs>
          <w:tab w:val="left" w:pos="3315"/>
        </w:tabs>
        <w:rPr>
          <w:rFonts w:ascii="Arial" w:hAnsi="Arial" w:cs="Arial"/>
          <w:sz w:val="24"/>
          <w:szCs w:val="24"/>
        </w:rPr>
      </w:pPr>
    </w:p>
    <w:p w14:paraId="01B87C0E" w14:textId="588A8C00" w:rsidR="0027626C" w:rsidRPr="00FA3F9C" w:rsidRDefault="00500371" w:rsidP="0027626C">
      <w:pPr>
        <w:tabs>
          <w:tab w:val="left" w:pos="3315"/>
        </w:tabs>
        <w:rPr>
          <w:rFonts w:ascii="Arial" w:hAnsi="Arial" w:cs="Arial"/>
          <w:sz w:val="24"/>
          <w:szCs w:val="24"/>
        </w:rPr>
      </w:pPr>
      <w:r w:rsidRPr="00FA3F9C">
        <w:rPr>
          <w:rFonts w:ascii="Arial" w:hAnsi="Arial" w:cs="Arial"/>
          <w:noProof/>
          <w:sz w:val="24"/>
          <w:szCs w:val="24"/>
        </w:rPr>
        <mc:AlternateContent>
          <mc:Choice Requires="wps">
            <w:drawing>
              <wp:anchor distT="45720" distB="45720" distL="114300" distR="114300" simplePos="0" relativeHeight="251659264" behindDoc="0" locked="0" layoutInCell="1" allowOverlap="1" wp14:anchorId="50F0A4BC" wp14:editId="0483EBD6">
                <wp:simplePos x="0" y="0"/>
                <wp:positionH relativeFrom="margin">
                  <wp:posOffset>1562100</wp:posOffset>
                </wp:positionH>
                <wp:positionV relativeFrom="paragraph">
                  <wp:posOffset>189230</wp:posOffset>
                </wp:positionV>
                <wp:extent cx="5549265" cy="1371600"/>
                <wp:effectExtent l="0" t="0" r="13335" b="19050"/>
                <wp:wrapThrough wrapText="bothSides">
                  <wp:wrapPolygon edited="0">
                    <wp:start x="0" y="0"/>
                    <wp:lineTo x="0" y="21600"/>
                    <wp:lineTo x="21578" y="21600"/>
                    <wp:lineTo x="21578" y="0"/>
                    <wp:lineTo x="0"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265" cy="1371600"/>
                        </a:xfrm>
                        <a:prstGeom prst="rect">
                          <a:avLst/>
                        </a:prstGeom>
                        <a:solidFill>
                          <a:srgbClr val="FFFFFF"/>
                        </a:solidFill>
                        <a:ln w="9525">
                          <a:solidFill>
                            <a:srgbClr val="000000"/>
                          </a:solidFill>
                          <a:miter lim="800000"/>
                          <a:headEnd/>
                          <a:tailEnd/>
                        </a:ln>
                      </wps:spPr>
                      <wps:txbx>
                        <w:txbxContent>
                          <w:p w14:paraId="7D6F13F5" w14:textId="573E4063" w:rsidR="0027626C" w:rsidRPr="00500371" w:rsidRDefault="0027626C" w:rsidP="00500371">
                            <w:pPr>
                              <w:jc w:val="center"/>
                              <w:rPr>
                                <w:sz w:val="40"/>
                                <w:szCs w:val="40"/>
                              </w:rPr>
                            </w:pPr>
                            <w:r w:rsidRPr="00B46A68">
                              <w:rPr>
                                <w:sz w:val="40"/>
                                <w:szCs w:val="40"/>
                              </w:rPr>
                              <w:t>EBRx Prior Authorization Call Center</w:t>
                            </w:r>
                          </w:p>
                          <w:p w14:paraId="1FF5F242" w14:textId="48115065" w:rsidR="0027626C" w:rsidRPr="00B46A68" w:rsidRDefault="0027626C" w:rsidP="00652A6E">
                            <w:pPr>
                              <w:jc w:val="center"/>
                              <w:rPr>
                                <w:sz w:val="32"/>
                                <w:szCs w:val="32"/>
                              </w:rPr>
                            </w:pPr>
                            <w:r w:rsidRPr="00B46A68">
                              <w:rPr>
                                <w:sz w:val="32"/>
                                <w:szCs w:val="32"/>
                              </w:rPr>
                              <w:t>Phone</w:t>
                            </w:r>
                            <w:r>
                              <w:rPr>
                                <w:sz w:val="32"/>
                                <w:szCs w:val="32"/>
                              </w:rPr>
                              <w:t>:</w:t>
                            </w:r>
                            <w:r w:rsidRPr="00B46A68">
                              <w:rPr>
                                <w:sz w:val="32"/>
                                <w:szCs w:val="32"/>
                              </w:rPr>
                              <w:t xml:space="preserve"> Toll Free:</w:t>
                            </w:r>
                            <w:r w:rsidRPr="00B46A68">
                              <w:rPr>
                                <w:sz w:val="32"/>
                                <w:szCs w:val="32"/>
                              </w:rPr>
                              <w:tab/>
                              <w:t>(866) 564-8258</w:t>
                            </w:r>
                          </w:p>
                          <w:p w14:paraId="395BA32C" w14:textId="4F145F34" w:rsidR="0027626C" w:rsidRDefault="0027626C" w:rsidP="00652A6E">
                            <w:pPr>
                              <w:jc w:val="center"/>
                              <w:rPr>
                                <w:sz w:val="32"/>
                                <w:szCs w:val="32"/>
                              </w:rPr>
                            </w:pPr>
                            <w:r w:rsidRPr="00B46A68">
                              <w:rPr>
                                <w:sz w:val="32"/>
                                <w:szCs w:val="32"/>
                              </w:rPr>
                              <w:t>FAX</w:t>
                            </w:r>
                            <w:r>
                              <w:rPr>
                                <w:sz w:val="32"/>
                                <w:szCs w:val="32"/>
                              </w:rPr>
                              <w:t>:</w:t>
                            </w:r>
                            <w:r w:rsidRPr="00B46A68">
                              <w:rPr>
                                <w:sz w:val="32"/>
                                <w:szCs w:val="32"/>
                              </w:rPr>
                              <w:t xml:space="preserve"> Toll Free: </w:t>
                            </w:r>
                            <w:r>
                              <w:rPr>
                                <w:sz w:val="32"/>
                                <w:szCs w:val="32"/>
                              </w:rPr>
                              <w:tab/>
                              <w:t xml:space="preserve">          </w:t>
                            </w:r>
                            <w:r w:rsidRPr="00B46A68">
                              <w:rPr>
                                <w:sz w:val="32"/>
                                <w:szCs w:val="32"/>
                              </w:rPr>
                              <w:t>(877) 540-9036</w:t>
                            </w:r>
                          </w:p>
                          <w:p w14:paraId="5B9531C5" w14:textId="60A63B0C" w:rsidR="00500371" w:rsidRPr="00B46A68" w:rsidRDefault="00500371" w:rsidP="00652A6E">
                            <w:pPr>
                              <w:jc w:val="center"/>
                              <w:rPr>
                                <w:sz w:val="32"/>
                                <w:szCs w:val="32"/>
                              </w:rPr>
                            </w:pPr>
                          </w:p>
                          <w:p w14:paraId="0B8F969F" w14:textId="77777777" w:rsidR="0027626C" w:rsidRDefault="0027626C" w:rsidP="0027626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F0A4BC" id="Text Box 2" o:spid="_x0000_s1027" type="#_x0000_t202" style="position:absolute;margin-left:123pt;margin-top:14.9pt;width:436.95pt;height:108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">
                <v:textbox>
                  <w:txbxContent>
                    <w:p w14:paraId="7D6F13F5" w14:textId="573E4063" w:rsidR="0027626C" w:rsidRPr="00500371" w:rsidRDefault="0027626C" w:rsidP="00500371">
                      <w:pPr>
                        <w:jc w:val="center"/>
                        <w:rPr>
                          <w:sz w:val="40"/>
                          <w:szCs w:val="40"/>
                        </w:rPr>
                      </w:pPr>
                      <w:r w:rsidRPr="00B46A68">
                        <w:rPr>
                          <w:sz w:val="40"/>
                          <w:szCs w:val="40"/>
                        </w:rPr>
                        <w:t>EBRx Prior Authorization Call Center</w:t>
                      </w:r>
                    </w:p>
                    <w:p w14:paraId="1FF5F242" w14:textId="48115065" w:rsidR="0027626C" w:rsidRPr="00B46A68" w:rsidRDefault="0027626C" w:rsidP="00652A6E">
                      <w:pPr>
                        <w:jc w:val="center"/>
                        <w:rPr>
                          <w:sz w:val="32"/>
                          <w:szCs w:val="32"/>
                        </w:rPr>
                      </w:pPr>
                      <w:r w:rsidRPr="00B46A68">
                        <w:rPr>
                          <w:sz w:val="32"/>
                          <w:szCs w:val="32"/>
                        </w:rPr>
                        <w:t>Phone</w:t>
                      </w:r>
                      <w:r>
                        <w:rPr>
                          <w:sz w:val="32"/>
                          <w:szCs w:val="32"/>
                        </w:rPr>
                        <w:t>:</w:t>
                      </w:r>
                      <w:r w:rsidRPr="00B46A68">
                        <w:rPr>
                          <w:sz w:val="32"/>
                          <w:szCs w:val="32"/>
                        </w:rPr>
                        <w:t xml:space="preserve"> Toll Free:</w:t>
                      </w:r>
                      <w:r w:rsidRPr="00B46A68">
                        <w:rPr>
                          <w:sz w:val="32"/>
                          <w:szCs w:val="32"/>
                        </w:rPr>
                        <w:tab/>
                        <w:t>(866) 564-8258</w:t>
                      </w:r>
                    </w:p>
                    <w:p w14:paraId="395BA32C" w14:textId="4F145F34" w:rsidR="0027626C" w:rsidRDefault="0027626C" w:rsidP="00652A6E">
                      <w:pPr>
                        <w:jc w:val="center"/>
                        <w:rPr>
                          <w:sz w:val="32"/>
                          <w:szCs w:val="32"/>
                        </w:rPr>
                      </w:pPr>
                      <w:r w:rsidRPr="00B46A68">
                        <w:rPr>
                          <w:sz w:val="32"/>
                          <w:szCs w:val="32"/>
                        </w:rPr>
                        <w:t>FAX</w:t>
                      </w:r>
                      <w:r>
                        <w:rPr>
                          <w:sz w:val="32"/>
                          <w:szCs w:val="32"/>
                        </w:rPr>
                        <w:t>:</w:t>
                      </w:r>
                      <w:r w:rsidRPr="00B46A68">
                        <w:rPr>
                          <w:sz w:val="32"/>
                          <w:szCs w:val="32"/>
                        </w:rPr>
                        <w:t xml:space="preserve"> Toll Free: </w:t>
                      </w:r>
                      <w:r>
                        <w:rPr>
                          <w:sz w:val="32"/>
                          <w:szCs w:val="32"/>
                        </w:rPr>
                        <w:tab/>
                        <w:t xml:space="preserve">          </w:t>
                      </w:r>
                      <w:r w:rsidRPr="00B46A68">
                        <w:rPr>
                          <w:sz w:val="32"/>
                          <w:szCs w:val="32"/>
                        </w:rPr>
                        <w:t>(877) 540-9036</w:t>
                      </w:r>
                    </w:p>
                    <w:p w14:paraId="5B9531C5" w14:textId="60A63B0C" w:rsidR="00500371" w:rsidRPr="00B46A68" w:rsidRDefault="00500371" w:rsidP="00652A6E">
                      <w:pPr>
                        <w:jc w:val="center"/>
                        <w:rPr>
                          <w:sz w:val="32"/>
                          <w:szCs w:val="32"/>
                        </w:rPr>
                      </w:pPr>
                    </w:p>
                    <w:p w14:paraId="0B8F969F" w14:textId="77777777" w:rsidR="0027626C" w:rsidRDefault="0027626C" w:rsidP="0027626C"/>
                  </w:txbxContent>
                </v:textbox>
                <w10:wrap type="through" anchorx="margin"/>
              </v:shape>
            </w:pict>
          </mc:Fallback>
        </mc:AlternateContent>
      </w:r>
    </w:p>
    <w:p w14:paraId="00D9155C" w14:textId="4F35A868" w:rsidR="0027626C" w:rsidRPr="00FA3F9C" w:rsidRDefault="0027626C" w:rsidP="00BD761B">
      <w:pPr>
        <w:jc w:val="right"/>
        <w:rPr>
          <w:rFonts w:ascii="Arial" w:hAnsi="Arial" w:cs="Arial"/>
          <w:sz w:val="24"/>
          <w:szCs w:val="24"/>
        </w:rPr>
      </w:pPr>
    </w:p>
    <w:p w14:paraId="623DBCE3" w14:textId="77777777" w:rsidR="00B700AB" w:rsidRPr="00FA3F9C" w:rsidRDefault="00B700AB" w:rsidP="006F623F">
      <w:pPr>
        <w:spacing w:after="0"/>
        <w:jc w:val="center"/>
        <w:rPr>
          <w:rFonts w:ascii="Arial" w:hAnsi="Arial" w:cs="Arial"/>
          <w:sz w:val="24"/>
          <w:szCs w:val="24"/>
          <w:lang w:val="es-ES"/>
        </w:rPr>
      </w:pPr>
    </w:p>
    <w:p w14:paraId="6D06C519" w14:textId="77777777" w:rsidR="00B700AB" w:rsidRPr="00FA3F9C" w:rsidRDefault="00B700AB" w:rsidP="006F623F">
      <w:pPr>
        <w:spacing w:after="0"/>
        <w:jc w:val="center"/>
        <w:rPr>
          <w:rFonts w:ascii="Arial" w:hAnsi="Arial" w:cs="Arial"/>
          <w:sz w:val="24"/>
          <w:szCs w:val="24"/>
          <w:lang w:val="es-ES"/>
        </w:rPr>
      </w:pPr>
    </w:p>
    <w:p w14:paraId="7D5ABF87" w14:textId="77777777" w:rsidR="00B700AB" w:rsidRPr="00FA3F9C" w:rsidRDefault="00B700AB" w:rsidP="006F623F">
      <w:pPr>
        <w:spacing w:after="0"/>
        <w:jc w:val="center"/>
        <w:rPr>
          <w:rFonts w:ascii="Arial" w:hAnsi="Arial" w:cs="Arial"/>
          <w:sz w:val="24"/>
          <w:szCs w:val="24"/>
          <w:lang w:val="es-ES"/>
        </w:rPr>
      </w:pPr>
    </w:p>
    <w:p w14:paraId="4FD797F3" w14:textId="77777777" w:rsidR="00B700AB" w:rsidRPr="00FA3F9C" w:rsidRDefault="00B700AB" w:rsidP="006F623F">
      <w:pPr>
        <w:spacing w:after="0"/>
        <w:jc w:val="center"/>
        <w:rPr>
          <w:rFonts w:ascii="Arial" w:hAnsi="Arial" w:cs="Arial"/>
          <w:sz w:val="24"/>
          <w:szCs w:val="24"/>
          <w:lang w:val="es-ES"/>
        </w:rPr>
      </w:pPr>
    </w:p>
    <w:p w14:paraId="4E7F42B3" w14:textId="77777777" w:rsidR="00B700AB" w:rsidRPr="00FA3F9C" w:rsidRDefault="00B700AB" w:rsidP="006F623F">
      <w:pPr>
        <w:spacing w:after="0"/>
        <w:jc w:val="center"/>
        <w:rPr>
          <w:rFonts w:ascii="Arial" w:hAnsi="Arial" w:cs="Arial"/>
          <w:sz w:val="24"/>
          <w:szCs w:val="24"/>
          <w:lang w:val="es-ES"/>
        </w:rPr>
      </w:pPr>
    </w:p>
    <w:sdt>
      <w:sdtPr>
        <w:rPr>
          <w:rFonts w:asciiTheme="minorHAnsi" w:eastAsiaTheme="minorHAnsi" w:hAnsiTheme="minorHAnsi" w:cstheme="minorBidi"/>
          <w:color w:val="auto"/>
          <w:sz w:val="22"/>
          <w:szCs w:val="22"/>
        </w:rPr>
        <w:id w:val="1330410636"/>
        <w:docPartObj>
          <w:docPartGallery w:val="Table of Contents"/>
          <w:docPartUnique/>
        </w:docPartObj>
      </w:sdtPr>
      <w:sdtEndPr>
        <w:rPr>
          <w:b/>
          <w:bCs/>
          <w:noProof/>
        </w:rPr>
      </w:sdtEndPr>
      <w:sdtContent>
        <w:p w14:paraId="06BC9E73" w14:textId="36604E3F" w:rsidR="00652A6E" w:rsidRDefault="00652A6E">
          <w:pPr>
            <w:pStyle w:val="TOCHeading"/>
          </w:pPr>
          <w:r>
            <w:t>Table of Contents</w:t>
          </w:r>
        </w:p>
        <w:p w14:paraId="20F755D9" w14:textId="2DBFA8C1" w:rsidR="00076432" w:rsidRDefault="00652A6E">
          <w:pPr>
            <w:pStyle w:val="TOC2"/>
            <w:tabs>
              <w:tab w:val="right" w:leader="dot" w:pos="13670"/>
            </w:tabs>
            <w:rPr>
              <w:rFonts w:eastAsiaTheme="minorEastAsia"/>
              <w:noProof/>
            </w:rPr>
          </w:pPr>
          <w:r>
            <w:fldChar w:fldCharType="begin"/>
          </w:r>
          <w:r>
            <w:instrText xml:space="preserve"> TOC \o "1-3" \h \z \u </w:instrText>
          </w:r>
          <w:r>
            <w:fldChar w:fldCharType="separate"/>
          </w:r>
          <w:hyperlink w:anchor="_Toc106369704" w:history="1">
            <w:r w:rsidR="00076432" w:rsidRPr="00704760">
              <w:rPr>
                <w:rStyle w:val="Hyperlink"/>
                <w:noProof/>
                <w:lang w:val="es-ES"/>
              </w:rPr>
              <w:t>Abemaciclib (Verzenio)</w:t>
            </w:r>
            <w:r w:rsidR="00076432">
              <w:rPr>
                <w:noProof/>
                <w:webHidden/>
              </w:rPr>
              <w:tab/>
            </w:r>
            <w:r w:rsidR="00076432">
              <w:rPr>
                <w:noProof/>
                <w:webHidden/>
              </w:rPr>
              <w:fldChar w:fldCharType="begin"/>
            </w:r>
            <w:r w:rsidR="00076432">
              <w:rPr>
                <w:noProof/>
                <w:webHidden/>
              </w:rPr>
              <w:instrText xml:space="preserve"> PAGEREF _Toc106369704 \h </w:instrText>
            </w:r>
            <w:r w:rsidR="00076432">
              <w:rPr>
                <w:noProof/>
                <w:webHidden/>
              </w:rPr>
            </w:r>
            <w:r w:rsidR="00076432">
              <w:rPr>
                <w:noProof/>
                <w:webHidden/>
              </w:rPr>
              <w:fldChar w:fldCharType="separate"/>
            </w:r>
            <w:r w:rsidR="00076432">
              <w:rPr>
                <w:noProof/>
                <w:webHidden/>
              </w:rPr>
              <w:t>13</w:t>
            </w:r>
            <w:r w:rsidR="00076432">
              <w:rPr>
                <w:noProof/>
                <w:webHidden/>
              </w:rPr>
              <w:fldChar w:fldCharType="end"/>
            </w:r>
          </w:hyperlink>
        </w:p>
        <w:p w14:paraId="4BA52931" w14:textId="01EDE676" w:rsidR="00076432" w:rsidRDefault="00500371">
          <w:pPr>
            <w:pStyle w:val="TOC2"/>
            <w:tabs>
              <w:tab w:val="right" w:leader="dot" w:pos="13670"/>
            </w:tabs>
            <w:rPr>
              <w:rFonts w:eastAsiaTheme="minorEastAsia"/>
              <w:noProof/>
            </w:rPr>
          </w:pPr>
          <w:hyperlink w:anchor="_Toc106369705" w:history="1">
            <w:r w:rsidR="00076432" w:rsidRPr="00704760">
              <w:rPr>
                <w:rStyle w:val="Hyperlink"/>
                <w:noProof/>
              </w:rPr>
              <w:t>Abiraterone (Zytiga®)</w:t>
            </w:r>
            <w:r w:rsidR="00076432">
              <w:rPr>
                <w:noProof/>
                <w:webHidden/>
              </w:rPr>
              <w:tab/>
            </w:r>
            <w:r w:rsidR="00076432">
              <w:rPr>
                <w:noProof/>
                <w:webHidden/>
              </w:rPr>
              <w:fldChar w:fldCharType="begin"/>
            </w:r>
            <w:r w:rsidR="00076432">
              <w:rPr>
                <w:noProof/>
                <w:webHidden/>
              </w:rPr>
              <w:instrText xml:space="preserve"> PAGEREF _Toc106369705 \h </w:instrText>
            </w:r>
            <w:r w:rsidR="00076432">
              <w:rPr>
                <w:noProof/>
                <w:webHidden/>
              </w:rPr>
            </w:r>
            <w:r w:rsidR="00076432">
              <w:rPr>
                <w:noProof/>
                <w:webHidden/>
              </w:rPr>
              <w:fldChar w:fldCharType="separate"/>
            </w:r>
            <w:r w:rsidR="00076432">
              <w:rPr>
                <w:noProof/>
                <w:webHidden/>
              </w:rPr>
              <w:t>15</w:t>
            </w:r>
            <w:r w:rsidR="00076432">
              <w:rPr>
                <w:noProof/>
                <w:webHidden/>
              </w:rPr>
              <w:fldChar w:fldCharType="end"/>
            </w:r>
          </w:hyperlink>
        </w:p>
        <w:p w14:paraId="1A2A21F5" w14:textId="7F5344B5" w:rsidR="00076432" w:rsidRDefault="00500371">
          <w:pPr>
            <w:pStyle w:val="TOC2"/>
            <w:tabs>
              <w:tab w:val="right" w:leader="dot" w:pos="13670"/>
            </w:tabs>
            <w:rPr>
              <w:rFonts w:eastAsiaTheme="minorEastAsia"/>
              <w:noProof/>
            </w:rPr>
          </w:pPr>
          <w:hyperlink w:anchor="_Toc106369706" w:history="1">
            <w:r w:rsidR="00076432" w:rsidRPr="00704760">
              <w:rPr>
                <w:rStyle w:val="Hyperlink"/>
                <w:noProof/>
              </w:rPr>
              <w:t>ACA Statins</w:t>
            </w:r>
            <w:r w:rsidR="00076432">
              <w:rPr>
                <w:noProof/>
                <w:webHidden/>
              </w:rPr>
              <w:tab/>
            </w:r>
            <w:r w:rsidR="00076432">
              <w:rPr>
                <w:noProof/>
                <w:webHidden/>
              </w:rPr>
              <w:fldChar w:fldCharType="begin"/>
            </w:r>
            <w:r w:rsidR="00076432">
              <w:rPr>
                <w:noProof/>
                <w:webHidden/>
              </w:rPr>
              <w:instrText xml:space="preserve"> PAGEREF _Toc106369706 \h </w:instrText>
            </w:r>
            <w:r w:rsidR="00076432">
              <w:rPr>
                <w:noProof/>
                <w:webHidden/>
              </w:rPr>
            </w:r>
            <w:r w:rsidR="00076432">
              <w:rPr>
                <w:noProof/>
                <w:webHidden/>
              </w:rPr>
              <w:fldChar w:fldCharType="separate"/>
            </w:r>
            <w:r w:rsidR="00076432">
              <w:rPr>
                <w:noProof/>
                <w:webHidden/>
              </w:rPr>
              <w:t>22</w:t>
            </w:r>
            <w:r w:rsidR="00076432">
              <w:rPr>
                <w:noProof/>
                <w:webHidden/>
              </w:rPr>
              <w:fldChar w:fldCharType="end"/>
            </w:r>
          </w:hyperlink>
        </w:p>
        <w:p w14:paraId="5D656FB8" w14:textId="48F55020" w:rsidR="00076432" w:rsidRDefault="00500371">
          <w:pPr>
            <w:pStyle w:val="TOC2"/>
            <w:tabs>
              <w:tab w:val="right" w:leader="dot" w:pos="13670"/>
            </w:tabs>
            <w:rPr>
              <w:rFonts w:eastAsiaTheme="minorEastAsia"/>
              <w:noProof/>
            </w:rPr>
          </w:pPr>
          <w:hyperlink w:anchor="_Toc106369707" w:history="1">
            <w:r w:rsidR="00076432" w:rsidRPr="00704760">
              <w:rPr>
                <w:rStyle w:val="Hyperlink"/>
                <w:noProof/>
              </w:rPr>
              <w:t>Acalabrutinib (Calquence)</w:t>
            </w:r>
            <w:r w:rsidR="00076432">
              <w:rPr>
                <w:noProof/>
                <w:webHidden/>
              </w:rPr>
              <w:tab/>
            </w:r>
            <w:r w:rsidR="00076432">
              <w:rPr>
                <w:noProof/>
                <w:webHidden/>
              </w:rPr>
              <w:fldChar w:fldCharType="begin"/>
            </w:r>
            <w:r w:rsidR="00076432">
              <w:rPr>
                <w:noProof/>
                <w:webHidden/>
              </w:rPr>
              <w:instrText xml:space="preserve"> PAGEREF _Toc106369707 \h </w:instrText>
            </w:r>
            <w:r w:rsidR="00076432">
              <w:rPr>
                <w:noProof/>
                <w:webHidden/>
              </w:rPr>
            </w:r>
            <w:r w:rsidR="00076432">
              <w:rPr>
                <w:noProof/>
                <w:webHidden/>
              </w:rPr>
              <w:fldChar w:fldCharType="separate"/>
            </w:r>
            <w:r w:rsidR="00076432">
              <w:rPr>
                <w:noProof/>
                <w:webHidden/>
              </w:rPr>
              <w:t>23</w:t>
            </w:r>
            <w:r w:rsidR="00076432">
              <w:rPr>
                <w:noProof/>
                <w:webHidden/>
              </w:rPr>
              <w:fldChar w:fldCharType="end"/>
            </w:r>
          </w:hyperlink>
        </w:p>
        <w:p w14:paraId="177BDD22" w14:textId="1B2F5A17" w:rsidR="00076432" w:rsidRDefault="00500371">
          <w:pPr>
            <w:pStyle w:val="TOC2"/>
            <w:tabs>
              <w:tab w:val="right" w:leader="dot" w:pos="13670"/>
            </w:tabs>
            <w:rPr>
              <w:rFonts w:eastAsiaTheme="minorEastAsia"/>
              <w:noProof/>
            </w:rPr>
          </w:pPr>
          <w:hyperlink w:anchor="_Toc106369708" w:history="1">
            <w:r w:rsidR="00076432" w:rsidRPr="00704760">
              <w:rPr>
                <w:rStyle w:val="Hyperlink"/>
                <w:noProof/>
              </w:rPr>
              <w:t>Alectinib (Alecensa®)</w:t>
            </w:r>
            <w:r w:rsidR="00076432">
              <w:rPr>
                <w:noProof/>
                <w:webHidden/>
              </w:rPr>
              <w:tab/>
            </w:r>
            <w:r w:rsidR="00076432">
              <w:rPr>
                <w:noProof/>
                <w:webHidden/>
              </w:rPr>
              <w:fldChar w:fldCharType="begin"/>
            </w:r>
            <w:r w:rsidR="00076432">
              <w:rPr>
                <w:noProof/>
                <w:webHidden/>
              </w:rPr>
              <w:instrText xml:space="preserve"> PAGEREF _Toc106369708 \h </w:instrText>
            </w:r>
            <w:r w:rsidR="00076432">
              <w:rPr>
                <w:noProof/>
                <w:webHidden/>
              </w:rPr>
            </w:r>
            <w:r w:rsidR="00076432">
              <w:rPr>
                <w:noProof/>
                <w:webHidden/>
              </w:rPr>
              <w:fldChar w:fldCharType="separate"/>
            </w:r>
            <w:r w:rsidR="00076432">
              <w:rPr>
                <w:noProof/>
                <w:webHidden/>
              </w:rPr>
              <w:t>25</w:t>
            </w:r>
            <w:r w:rsidR="00076432">
              <w:rPr>
                <w:noProof/>
                <w:webHidden/>
              </w:rPr>
              <w:fldChar w:fldCharType="end"/>
            </w:r>
          </w:hyperlink>
        </w:p>
        <w:p w14:paraId="05DF1B6D" w14:textId="0FC00C5E" w:rsidR="00076432" w:rsidRDefault="00500371">
          <w:pPr>
            <w:pStyle w:val="TOC2"/>
            <w:tabs>
              <w:tab w:val="right" w:leader="dot" w:pos="13670"/>
            </w:tabs>
            <w:rPr>
              <w:rFonts w:eastAsiaTheme="minorEastAsia"/>
              <w:noProof/>
            </w:rPr>
          </w:pPr>
          <w:hyperlink w:anchor="_Toc106369709" w:history="1">
            <w:r w:rsidR="00076432" w:rsidRPr="00704760">
              <w:rPr>
                <w:rStyle w:val="Hyperlink"/>
                <w:noProof/>
              </w:rPr>
              <w:t>Alemtuzumab (Lemtrada)</w:t>
            </w:r>
            <w:r w:rsidR="00076432">
              <w:rPr>
                <w:noProof/>
                <w:webHidden/>
              </w:rPr>
              <w:tab/>
            </w:r>
            <w:r w:rsidR="00076432">
              <w:rPr>
                <w:noProof/>
                <w:webHidden/>
              </w:rPr>
              <w:fldChar w:fldCharType="begin"/>
            </w:r>
            <w:r w:rsidR="00076432">
              <w:rPr>
                <w:noProof/>
                <w:webHidden/>
              </w:rPr>
              <w:instrText xml:space="preserve"> PAGEREF _Toc106369709 \h </w:instrText>
            </w:r>
            <w:r w:rsidR="00076432">
              <w:rPr>
                <w:noProof/>
                <w:webHidden/>
              </w:rPr>
            </w:r>
            <w:r w:rsidR="00076432">
              <w:rPr>
                <w:noProof/>
                <w:webHidden/>
              </w:rPr>
              <w:fldChar w:fldCharType="separate"/>
            </w:r>
            <w:r w:rsidR="00076432">
              <w:rPr>
                <w:noProof/>
                <w:webHidden/>
              </w:rPr>
              <w:t>27</w:t>
            </w:r>
            <w:r w:rsidR="00076432">
              <w:rPr>
                <w:noProof/>
                <w:webHidden/>
              </w:rPr>
              <w:fldChar w:fldCharType="end"/>
            </w:r>
          </w:hyperlink>
        </w:p>
        <w:p w14:paraId="5B2BCF4E" w14:textId="1A89D101" w:rsidR="00076432" w:rsidRDefault="00500371">
          <w:pPr>
            <w:pStyle w:val="TOC2"/>
            <w:tabs>
              <w:tab w:val="right" w:leader="dot" w:pos="13670"/>
            </w:tabs>
            <w:rPr>
              <w:rFonts w:eastAsiaTheme="minorEastAsia"/>
              <w:noProof/>
            </w:rPr>
          </w:pPr>
          <w:hyperlink w:anchor="_Toc106369710" w:history="1">
            <w:r w:rsidR="00076432" w:rsidRPr="00704760">
              <w:rPr>
                <w:rStyle w:val="Hyperlink"/>
                <w:noProof/>
              </w:rPr>
              <w:t>Alglucosidase Alfa (L</w:t>
            </w:r>
            <w:r w:rsidR="00076432" w:rsidRPr="00704760">
              <w:rPr>
                <w:rStyle w:val="Hyperlink"/>
                <w:bCs/>
                <w:noProof/>
              </w:rPr>
              <w:t>umizyme</w:t>
            </w:r>
            <w:r w:rsidR="00076432" w:rsidRPr="00704760">
              <w:rPr>
                <w:rStyle w:val="Hyperlink"/>
                <w:noProof/>
              </w:rPr>
              <w:t>)</w:t>
            </w:r>
            <w:r w:rsidR="00076432">
              <w:rPr>
                <w:noProof/>
                <w:webHidden/>
              </w:rPr>
              <w:tab/>
            </w:r>
            <w:r w:rsidR="00076432">
              <w:rPr>
                <w:noProof/>
                <w:webHidden/>
              </w:rPr>
              <w:fldChar w:fldCharType="begin"/>
            </w:r>
            <w:r w:rsidR="00076432">
              <w:rPr>
                <w:noProof/>
                <w:webHidden/>
              </w:rPr>
              <w:instrText xml:space="preserve"> PAGEREF _Toc106369710 \h </w:instrText>
            </w:r>
            <w:r w:rsidR="00076432">
              <w:rPr>
                <w:noProof/>
                <w:webHidden/>
              </w:rPr>
            </w:r>
            <w:r w:rsidR="00076432">
              <w:rPr>
                <w:noProof/>
                <w:webHidden/>
              </w:rPr>
              <w:fldChar w:fldCharType="separate"/>
            </w:r>
            <w:r w:rsidR="00076432">
              <w:rPr>
                <w:noProof/>
                <w:webHidden/>
              </w:rPr>
              <w:t>30</w:t>
            </w:r>
            <w:r w:rsidR="00076432">
              <w:rPr>
                <w:noProof/>
                <w:webHidden/>
              </w:rPr>
              <w:fldChar w:fldCharType="end"/>
            </w:r>
          </w:hyperlink>
        </w:p>
        <w:p w14:paraId="3ABCD1B5" w14:textId="6E86CFBA" w:rsidR="00076432" w:rsidRDefault="00500371">
          <w:pPr>
            <w:pStyle w:val="TOC2"/>
            <w:tabs>
              <w:tab w:val="right" w:leader="dot" w:pos="13670"/>
            </w:tabs>
            <w:rPr>
              <w:rFonts w:eastAsiaTheme="minorEastAsia"/>
              <w:noProof/>
            </w:rPr>
          </w:pPr>
          <w:hyperlink w:anchor="_Toc106369711" w:history="1">
            <w:r w:rsidR="00076432" w:rsidRPr="00704760">
              <w:rPr>
                <w:rStyle w:val="Hyperlink"/>
                <w:noProof/>
              </w:rPr>
              <w:t>Alirocumab (Praluent)</w:t>
            </w:r>
            <w:r w:rsidR="00076432">
              <w:rPr>
                <w:noProof/>
                <w:webHidden/>
              </w:rPr>
              <w:tab/>
            </w:r>
            <w:r w:rsidR="00076432">
              <w:rPr>
                <w:noProof/>
                <w:webHidden/>
              </w:rPr>
              <w:fldChar w:fldCharType="begin"/>
            </w:r>
            <w:r w:rsidR="00076432">
              <w:rPr>
                <w:noProof/>
                <w:webHidden/>
              </w:rPr>
              <w:instrText xml:space="preserve"> PAGEREF _Toc106369711 \h </w:instrText>
            </w:r>
            <w:r w:rsidR="00076432">
              <w:rPr>
                <w:noProof/>
                <w:webHidden/>
              </w:rPr>
            </w:r>
            <w:r w:rsidR="00076432">
              <w:rPr>
                <w:noProof/>
                <w:webHidden/>
              </w:rPr>
              <w:fldChar w:fldCharType="separate"/>
            </w:r>
            <w:r w:rsidR="00076432">
              <w:rPr>
                <w:noProof/>
                <w:webHidden/>
              </w:rPr>
              <w:t>31</w:t>
            </w:r>
            <w:r w:rsidR="00076432">
              <w:rPr>
                <w:noProof/>
                <w:webHidden/>
              </w:rPr>
              <w:fldChar w:fldCharType="end"/>
            </w:r>
          </w:hyperlink>
        </w:p>
        <w:p w14:paraId="78C5D595" w14:textId="0B1387B1" w:rsidR="00076432" w:rsidRDefault="00500371">
          <w:pPr>
            <w:pStyle w:val="TOC2"/>
            <w:tabs>
              <w:tab w:val="right" w:leader="dot" w:pos="13670"/>
            </w:tabs>
            <w:rPr>
              <w:rFonts w:eastAsiaTheme="minorEastAsia"/>
              <w:noProof/>
            </w:rPr>
          </w:pPr>
          <w:hyperlink w:anchor="_Toc106369712" w:history="1">
            <w:r w:rsidR="00076432" w:rsidRPr="00704760">
              <w:rPr>
                <w:rStyle w:val="Hyperlink"/>
                <w:noProof/>
              </w:rPr>
              <w:t>Alosetron (Lotronex®)</w:t>
            </w:r>
            <w:r w:rsidR="00076432">
              <w:rPr>
                <w:noProof/>
                <w:webHidden/>
              </w:rPr>
              <w:tab/>
            </w:r>
            <w:r w:rsidR="00076432">
              <w:rPr>
                <w:noProof/>
                <w:webHidden/>
              </w:rPr>
              <w:fldChar w:fldCharType="begin"/>
            </w:r>
            <w:r w:rsidR="00076432">
              <w:rPr>
                <w:noProof/>
                <w:webHidden/>
              </w:rPr>
              <w:instrText xml:space="preserve"> PAGEREF _Toc106369712 \h </w:instrText>
            </w:r>
            <w:r w:rsidR="00076432">
              <w:rPr>
                <w:noProof/>
                <w:webHidden/>
              </w:rPr>
            </w:r>
            <w:r w:rsidR="00076432">
              <w:rPr>
                <w:noProof/>
                <w:webHidden/>
              </w:rPr>
              <w:fldChar w:fldCharType="separate"/>
            </w:r>
            <w:r w:rsidR="00076432">
              <w:rPr>
                <w:noProof/>
                <w:webHidden/>
              </w:rPr>
              <w:t>37</w:t>
            </w:r>
            <w:r w:rsidR="00076432">
              <w:rPr>
                <w:noProof/>
                <w:webHidden/>
              </w:rPr>
              <w:fldChar w:fldCharType="end"/>
            </w:r>
          </w:hyperlink>
        </w:p>
        <w:p w14:paraId="589FA43F" w14:textId="5FD9C7F6" w:rsidR="00076432" w:rsidRDefault="00500371">
          <w:pPr>
            <w:pStyle w:val="TOC2"/>
            <w:tabs>
              <w:tab w:val="right" w:leader="dot" w:pos="13670"/>
            </w:tabs>
            <w:rPr>
              <w:rFonts w:eastAsiaTheme="minorEastAsia"/>
              <w:noProof/>
            </w:rPr>
          </w:pPr>
          <w:hyperlink w:anchor="_Toc106369713" w:history="1">
            <w:r w:rsidR="00076432" w:rsidRPr="00704760">
              <w:rPr>
                <w:rStyle w:val="Hyperlink"/>
                <w:noProof/>
              </w:rPr>
              <w:t>Zemaira (alpha 1- proteinase inhibitor)</w:t>
            </w:r>
            <w:r w:rsidR="00076432">
              <w:rPr>
                <w:noProof/>
                <w:webHidden/>
              </w:rPr>
              <w:tab/>
            </w:r>
            <w:r w:rsidR="00076432">
              <w:rPr>
                <w:noProof/>
                <w:webHidden/>
              </w:rPr>
              <w:fldChar w:fldCharType="begin"/>
            </w:r>
            <w:r w:rsidR="00076432">
              <w:rPr>
                <w:noProof/>
                <w:webHidden/>
              </w:rPr>
              <w:instrText xml:space="preserve"> PAGEREF _Toc106369713 \h </w:instrText>
            </w:r>
            <w:r w:rsidR="00076432">
              <w:rPr>
                <w:noProof/>
                <w:webHidden/>
              </w:rPr>
            </w:r>
            <w:r w:rsidR="00076432">
              <w:rPr>
                <w:noProof/>
                <w:webHidden/>
              </w:rPr>
              <w:fldChar w:fldCharType="separate"/>
            </w:r>
            <w:r w:rsidR="00076432">
              <w:rPr>
                <w:noProof/>
                <w:webHidden/>
              </w:rPr>
              <w:t>38</w:t>
            </w:r>
            <w:r w:rsidR="00076432">
              <w:rPr>
                <w:noProof/>
                <w:webHidden/>
              </w:rPr>
              <w:fldChar w:fldCharType="end"/>
            </w:r>
          </w:hyperlink>
        </w:p>
        <w:p w14:paraId="7F6CED1C" w14:textId="10608863" w:rsidR="00076432" w:rsidRDefault="00500371">
          <w:pPr>
            <w:pStyle w:val="TOC2"/>
            <w:tabs>
              <w:tab w:val="right" w:leader="dot" w:pos="13670"/>
            </w:tabs>
            <w:rPr>
              <w:rFonts w:eastAsiaTheme="minorEastAsia"/>
              <w:noProof/>
            </w:rPr>
          </w:pPr>
          <w:hyperlink w:anchor="_Toc106369714" w:history="1">
            <w:r w:rsidR="00076432" w:rsidRPr="00704760">
              <w:rPr>
                <w:rStyle w:val="Hyperlink"/>
                <w:noProof/>
              </w:rPr>
              <w:t>Ambrisentan (Letairis)</w:t>
            </w:r>
            <w:r w:rsidR="00076432">
              <w:rPr>
                <w:noProof/>
                <w:webHidden/>
              </w:rPr>
              <w:tab/>
            </w:r>
            <w:r w:rsidR="00076432">
              <w:rPr>
                <w:noProof/>
                <w:webHidden/>
              </w:rPr>
              <w:fldChar w:fldCharType="begin"/>
            </w:r>
            <w:r w:rsidR="00076432">
              <w:rPr>
                <w:noProof/>
                <w:webHidden/>
              </w:rPr>
              <w:instrText xml:space="preserve"> PAGEREF _Toc106369714 \h </w:instrText>
            </w:r>
            <w:r w:rsidR="00076432">
              <w:rPr>
                <w:noProof/>
                <w:webHidden/>
              </w:rPr>
            </w:r>
            <w:r w:rsidR="00076432">
              <w:rPr>
                <w:noProof/>
                <w:webHidden/>
              </w:rPr>
              <w:fldChar w:fldCharType="separate"/>
            </w:r>
            <w:r w:rsidR="00076432">
              <w:rPr>
                <w:noProof/>
                <w:webHidden/>
              </w:rPr>
              <w:t>39</w:t>
            </w:r>
            <w:r w:rsidR="00076432">
              <w:rPr>
                <w:noProof/>
                <w:webHidden/>
              </w:rPr>
              <w:fldChar w:fldCharType="end"/>
            </w:r>
          </w:hyperlink>
        </w:p>
        <w:p w14:paraId="10D13E6A" w14:textId="3915BE10" w:rsidR="00076432" w:rsidRDefault="00500371">
          <w:pPr>
            <w:pStyle w:val="TOC2"/>
            <w:tabs>
              <w:tab w:val="right" w:leader="dot" w:pos="13670"/>
            </w:tabs>
            <w:rPr>
              <w:rFonts w:eastAsiaTheme="minorEastAsia"/>
              <w:noProof/>
            </w:rPr>
          </w:pPr>
          <w:hyperlink w:anchor="_Toc106369715" w:history="1">
            <w:r w:rsidR="00076432" w:rsidRPr="00704760">
              <w:rPr>
                <w:rStyle w:val="Hyperlink"/>
                <w:noProof/>
              </w:rPr>
              <w:t>Amikacin liposomal (Arikayce)</w:t>
            </w:r>
            <w:r w:rsidR="00076432">
              <w:rPr>
                <w:noProof/>
                <w:webHidden/>
              </w:rPr>
              <w:tab/>
            </w:r>
            <w:r w:rsidR="00076432">
              <w:rPr>
                <w:noProof/>
                <w:webHidden/>
              </w:rPr>
              <w:fldChar w:fldCharType="begin"/>
            </w:r>
            <w:r w:rsidR="00076432">
              <w:rPr>
                <w:noProof/>
                <w:webHidden/>
              </w:rPr>
              <w:instrText xml:space="preserve"> PAGEREF _Toc106369715 \h </w:instrText>
            </w:r>
            <w:r w:rsidR="00076432">
              <w:rPr>
                <w:noProof/>
                <w:webHidden/>
              </w:rPr>
            </w:r>
            <w:r w:rsidR="00076432">
              <w:rPr>
                <w:noProof/>
                <w:webHidden/>
              </w:rPr>
              <w:fldChar w:fldCharType="separate"/>
            </w:r>
            <w:r w:rsidR="00076432">
              <w:rPr>
                <w:noProof/>
                <w:webHidden/>
              </w:rPr>
              <w:t>41</w:t>
            </w:r>
            <w:r w:rsidR="00076432">
              <w:rPr>
                <w:noProof/>
                <w:webHidden/>
              </w:rPr>
              <w:fldChar w:fldCharType="end"/>
            </w:r>
          </w:hyperlink>
        </w:p>
        <w:p w14:paraId="46542A12" w14:textId="29EA9E58" w:rsidR="00076432" w:rsidRDefault="00500371">
          <w:pPr>
            <w:pStyle w:val="TOC2"/>
            <w:tabs>
              <w:tab w:val="right" w:leader="dot" w:pos="13670"/>
            </w:tabs>
            <w:rPr>
              <w:rFonts w:eastAsiaTheme="minorEastAsia"/>
              <w:noProof/>
            </w:rPr>
          </w:pPr>
          <w:hyperlink w:anchor="_Toc106369716" w:history="1">
            <w:r w:rsidR="00076432" w:rsidRPr="00704760">
              <w:rPr>
                <w:rStyle w:val="Hyperlink"/>
                <w:noProof/>
              </w:rPr>
              <w:t>Antihemophilic factor (recombinant), pegylated-- (Adynovate, Jivi)</w:t>
            </w:r>
            <w:r w:rsidR="00076432">
              <w:rPr>
                <w:noProof/>
                <w:webHidden/>
              </w:rPr>
              <w:tab/>
            </w:r>
            <w:r w:rsidR="00076432">
              <w:rPr>
                <w:noProof/>
                <w:webHidden/>
              </w:rPr>
              <w:fldChar w:fldCharType="begin"/>
            </w:r>
            <w:r w:rsidR="00076432">
              <w:rPr>
                <w:noProof/>
                <w:webHidden/>
              </w:rPr>
              <w:instrText xml:space="preserve"> PAGEREF _Toc106369716 \h </w:instrText>
            </w:r>
            <w:r w:rsidR="00076432">
              <w:rPr>
                <w:noProof/>
                <w:webHidden/>
              </w:rPr>
            </w:r>
            <w:r w:rsidR="00076432">
              <w:rPr>
                <w:noProof/>
                <w:webHidden/>
              </w:rPr>
              <w:fldChar w:fldCharType="separate"/>
            </w:r>
            <w:r w:rsidR="00076432">
              <w:rPr>
                <w:noProof/>
                <w:webHidden/>
              </w:rPr>
              <w:t>43</w:t>
            </w:r>
            <w:r w:rsidR="00076432">
              <w:rPr>
                <w:noProof/>
                <w:webHidden/>
              </w:rPr>
              <w:fldChar w:fldCharType="end"/>
            </w:r>
          </w:hyperlink>
        </w:p>
        <w:p w14:paraId="25DECBE8" w14:textId="55969A66" w:rsidR="00076432" w:rsidRDefault="00500371">
          <w:pPr>
            <w:pStyle w:val="TOC2"/>
            <w:tabs>
              <w:tab w:val="right" w:leader="dot" w:pos="13670"/>
            </w:tabs>
            <w:rPr>
              <w:rFonts w:eastAsiaTheme="minorEastAsia"/>
              <w:noProof/>
            </w:rPr>
          </w:pPr>
          <w:hyperlink w:anchor="_Toc106369717" w:history="1">
            <w:r w:rsidR="00076432" w:rsidRPr="00704760">
              <w:rPr>
                <w:rStyle w:val="Hyperlink"/>
                <w:noProof/>
              </w:rPr>
              <w:t>Apalutamide (Erleada)</w:t>
            </w:r>
            <w:r w:rsidR="00076432">
              <w:rPr>
                <w:noProof/>
                <w:webHidden/>
              </w:rPr>
              <w:tab/>
            </w:r>
            <w:r w:rsidR="00076432">
              <w:rPr>
                <w:noProof/>
                <w:webHidden/>
              </w:rPr>
              <w:fldChar w:fldCharType="begin"/>
            </w:r>
            <w:r w:rsidR="00076432">
              <w:rPr>
                <w:noProof/>
                <w:webHidden/>
              </w:rPr>
              <w:instrText xml:space="preserve"> PAGEREF _Toc106369717 \h </w:instrText>
            </w:r>
            <w:r w:rsidR="00076432">
              <w:rPr>
                <w:noProof/>
                <w:webHidden/>
              </w:rPr>
            </w:r>
            <w:r w:rsidR="00076432">
              <w:rPr>
                <w:noProof/>
                <w:webHidden/>
              </w:rPr>
              <w:fldChar w:fldCharType="separate"/>
            </w:r>
            <w:r w:rsidR="00076432">
              <w:rPr>
                <w:noProof/>
                <w:webHidden/>
              </w:rPr>
              <w:t>43</w:t>
            </w:r>
            <w:r w:rsidR="00076432">
              <w:rPr>
                <w:noProof/>
                <w:webHidden/>
              </w:rPr>
              <w:fldChar w:fldCharType="end"/>
            </w:r>
          </w:hyperlink>
        </w:p>
        <w:p w14:paraId="6F41552D" w14:textId="3ECBC679" w:rsidR="00076432" w:rsidRDefault="00500371">
          <w:pPr>
            <w:pStyle w:val="TOC2"/>
            <w:tabs>
              <w:tab w:val="right" w:leader="dot" w:pos="13670"/>
            </w:tabs>
            <w:rPr>
              <w:rFonts w:eastAsiaTheme="minorEastAsia"/>
              <w:noProof/>
            </w:rPr>
          </w:pPr>
          <w:hyperlink w:anchor="_Toc106369718" w:history="1">
            <w:r w:rsidR="00076432" w:rsidRPr="00704760">
              <w:rPr>
                <w:rStyle w:val="Hyperlink"/>
                <w:noProof/>
              </w:rPr>
              <w:t>Apomorphine (Apokyn)</w:t>
            </w:r>
            <w:r w:rsidR="00076432">
              <w:rPr>
                <w:noProof/>
                <w:webHidden/>
              </w:rPr>
              <w:tab/>
            </w:r>
            <w:r w:rsidR="00076432">
              <w:rPr>
                <w:noProof/>
                <w:webHidden/>
              </w:rPr>
              <w:fldChar w:fldCharType="begin"/>
            </w:r>
            <w:r w:rsidR="00076432">
              <w:rPr>
                <w:noProof/>
                <w:webHidden/>
              </w:rPr>
              <w:instrText xml:space="preserve"> PAGEREF _Toc106369718 \h </w:instrText>
            </w:r>
            <w:r w:rsidR="00076432">
              <w:rPr>
                <w:noProof/>
                <w:webHidden/>
              </w:rPr>
            </w:r>
            <w:r w:rsidR="00076432">
              <w:rPr>
                <w:noProof/>
                <w:webHidden/>
              </w:rPr>
              <w:fldChar w:fldCharType="separate"/>
            </w:r>
            <w:r w:rsidR="00076432">
              <w:rPr>
                <w:noProof/>
                <w:webHidden/>
              </w:rPr>
              <w:t>46</w:t>
            </w:r>
            <w:r w:rsidR="00076432">
              <w:rPr>
                <w:noProof/>
                <w:webHidden/>
              </w:rPr>
              <w:fldChar w:fldCharType="end"/>
            </w:r>
          </w:hyperlink>
        </w:p>
        <w:p w14:paraId="386D8DA5" w14:textId="252FBC63" w:rsidR="00076432" w:rsidRDefault="00500371">
          <w:pPr>
            <w:pStyle w:val="TOC2"/>
            <w:tabs>
              <w:tab w:val="right" w:leader="dot" w:pos="13670"/>
            </w:tabs>
            <w:rPr>
              <w:rFonts w:eastAsiaTheme="minorEastAsia"/>
              <w:noProof/>
            </w:rPr>
          </w:pPr>
          <w:hyperlink w:anchor="_Toc106369719" w:history="1">
            <w:r w:rsidR="00076432" w:rsidRPr="00704760">
              <w:rPr>
                <w:rStyle w:val="Hyperlink"/>
                <w:noProof/>
                <w:lang w:val="es-ES"/>
              </w:rPr>
              <w:t>Apremilast (Otezla®)</w:t>
            </w:r>
            <w:r w:rsidR="00076432">
              <w:rPr>
                <w:noProof/>
                <w:webHidden/>
              </w:rPr>
              <w:tab/>
            </w:r>
            <w:r w:rsidR="00076432">
              <w:rPr>
                <w:noProof/>
                <w:webHidden/>
              </w:rPr>
              <w:fldChar w:fldCharType="begin"/>
            </w:r>
            <w:r w:rsidR="00076432">
              <w:rPr>
                <w:noProof/>
                <w:webHidden/>
              </w:rPr>
              <w:instrText xml:space="preserve"> PAGEREF _Toc106369719 \h </w:instrText>
            </w:r>
            <w:r w:rsidR="00076432">
              <w:rPr>
                <w:noProof/>
                <w:webHidden/>
              </w:rPr>
            </w:r>
            <w:r w:rsidR="00076432">
              <w:rPr>
                <w:noProof/>
                <w:webHidden/>
              </w:rPr>
              <w:fldChar w:fldCharType="separate"/>
            </w:r>
            <w:r w:rsidR="00076432">
              <w:rPr>
                <w:noProof/>
                <w:webHidden/>
              </w:rPr>
              <w:t>47</w:t>
            </w:r>
            <w:r w:rsidR="00076432">
              <w:rPr>
                <w:noProof/>
                <w:webHidden/>
              </w:rPr>
              <w:fldChar w:fldCharType="end"/>
            </w:r>
          </w:hyperlink>
        </w:p>
        <w:p w14:paraId="5DDFB4CD" w14:textId="152F612F" w:rsidR="00076432" w:rsidRDefault="00500371">
          <w:pPr>
            <w:pStyle w:val="TOC2"/>
            <w:tabs>
              <w:tab w:val="right" w:leader="dot" w:pos="13670"/>
            </w:tabs>
            <w:rPr>
              <w:rFonts w:eastAsiaTheme="minorEastAsia"/>
              <w:noProof/>
            </w:rPr>
          </w:pPr>
          <w:hyperlink w:anchor="_Toc106369720" w:history="1">
            <w:r w:rsidR="00076432" w:rsidRPr="00704760">
              <w:rPr>
                <w:rStyle w:val="Hyperlink"/>
                <w:noProof/>
              </w:rPr>
              <w:t>Aprepitant (Emend)</w:t>
            </w:r>
            <w:r w:rsidR="00076432">
              <w:rPr>
                <w:noProof/>
                <w:webHidden/>
              </w:rPr>
              <w:tab/>
            </w:r>
            <w:r w:rsidR="00076432">
              <w:rPr>
                <w:noProof/>
                <w:webHidden/>
              </w:rPr>
              <w:fldChar w:fldCharType="begin"/>
            </w:r>
            <w:r w:rsidR="00076432">
              <w:rPr>
                <w:noProof/>
                <w:webHidden/>
              </w:rPr>
              <w:instrText xml:space="preserve"> PAGEREF _Toc106369720 \h </w:instrText>
            </w:r>
            <w:r w:rsidR="00076432">
              <w:rPr>
                <w:noProof/>
                <w:webHidden/>
              </w:rPr>
            </w:r>
            <w:r w:rsidR="00076432">
              <w:rPr>
                <w:noProof/>
                <w:webHidden/>
              </w:rPr>
              <w:fldChar w:fldCharType="separate"/>
            </w:r>
            <w:r w:rsidR="00076432">
              <w:rPr>
                <w:noProof/>
                <w:webHidden/>
              </w:rPr>
              <w:t>51</w:t>
            </w:r>
            <w:r w:rsidR="00076432">
              <w:rPr>
                <w:noProof/>
                <w:webHidden/>
              </w:rPr>
              <w:fldChar w:fldCharType="end"/>
            </w:r>
          </w:hyperlink>
        </w:p>
        <w:p w14:paraId="6A280FB6" w14:textId="4BD3F9A3" w:rsidR="00076432" w:rsidRDefault="00500371">
          <w:pPr>
            <w:pStyle w:val="TOC2"/>
            <w:tabs>
              <w:tab w:val="right" w:leader="dot" w:pos="13670"/>
            </w:tabs>
            <w:rPr>
              <w:rFonts w:eastAsiaTheme="minorEastAsia"/>
              <w:noProof/>
            </w:rPr>
          </w:pPr>
          <w:hyperlink w:anchor="_Toc106369721" w:history="1">
            <w:r w:rsidR="00076432" w:rsidRPr="00704760">
              <w:rPr>
                <w:rStyle w:val="Hyperlink"/>
                <w:noProof/>
              </w:rPr>
              <w:t>Aripiprazole IM, ER 1-month injection (Abilify Maintena)</w:t>
            </w:r>
            <w:r w:rsidR="00076432">
              <w:rPr>
                <w:noProof/>
                <w:webHidden/>
              </w:rPr>
              <w:tab/>
            </w:r>
            <w:r w:rsidR="00076432">
              <w:rPr>
                <w:noProof/>
                <w:webHidden/>
              </w:rPr>
              <w:fldChar w:fldCharType="begin"/>
            </w:r>
            <w:r w:rsidR="00076432">
              <w:rPr>
                <w:noProof/>
                <w:webHidden/>
              </w:rPr>
              <w:instrText xml:space="preserve"> PAGEREF _Toc106369721 \h </w:instrText>
            </w:r>
            <w:r w:rsidR="00076432">
              <w:rPr>
                <w:noProof/>
                <w:webHidden/>
              </w:rPr>
            </w:r>
            <w:r w:rsidR="00076432">
              <w:rPr>
                <w:noProof/>
                <w:webHidden/>
              </w:rPr>
              <w:fldChar w:fldCharType="separate"/>
            </w:r>
            <w:r w:rsidR="00076432">
              <w:rPr>
                <w:noProof/>
                <w:webHidden/>
              </w:rPr>
              <w:t>52</w:t>
            </w:r>
            <w:r w:rsidR="00076432">
              <w:rPr>
                <w:noProof/>
                <w:webHidden/>
              </w:rPr>
              <w:fldChar w:fldCharType="end"/>
            </w:r>
          </w:hyperlink>
        </w:p>
        <w:p w14:paraId="1DEFA0E5" w14:textId="0A041BA4" w:rsidR="00076432" w:rsidRDefault="00500371">
          <w:pPr>
            <w:pStyle w:val="TOC2"/>
            <w:tabs>
              <w:tab w:val="right" w:leader="dot" w:pos="13670"/>
            </w:tabs>
            <w:rPr>
              <w:rFonts w:eastAsiaTheme="minorEastAsia"/>
              <w:noProof/>
            </w:rPr>
          </w:pPr>
          <w:hyperlink w:anchor="_Toc106369722" w:history="1">
            <w:r w:rsidR="00076432" w:rsidRPr="00704760">
              <w:rPr>
                <w:rStyle w:val="Hyperlink"/>
                <w:noProof/>
              </w:rPr>
              <w:t>Ascminib (Scemblix)</w:t>
            </w:r>
            <w:r w:rsidR="00076432">
              <w:rPr>
                <w:noProof/>
                <w:webHidden/>
              </w:rPr>
              <w:tab/>
            </w:r>
            <w:r w:rsidR="00076432">
              <w:rPr>
                <w:noProof/>
                <w:webHidden/>
              </w:rPr>
              <w:fldChar w:fldCharType="begin"/>
            </w:r>
            <w:r w:rsidR="00076432">
              <w:rPr>
                <w:noProof/>
                <w:webHidden/>
              </w:rPr>
              <w:instrText xml:space="preserve"> PAGEREF _Toc106369722 \h </w:instrText>
            </w:r>
            <w:r w:rsidR="00076432">
              <w:rPr>
                <w:noProof/>
                <w:webHidden/>
              </w:rPr>
            </w:r>
            <w:r w:rsidR="00076432">
              <w:rPr>
                <w:noProof/>
                <w:webHidden/>
              </w:rPr>
              <w:fldChar w:fldCharType="separate"/>
            </w:r>
            <w:r w:rsidR="00076432">
              <w:rPr>
                <w:noProof/>
                <w:webHidden/>
              </w:rPr>
              <w:t>53</w:t>
            </w:r>
            <w:r w:rsidR="00076432">
              <w:rPr>
                <w:noProof/>
                <w:webHidden/>
              </w:rPr>
              <w:fldChar w:fldCharType="end"/>
            </w:r>
          </w:hyperlink>
        </w:p>
        <w:p w14:paraId="0CFC3AA0" w14:textId="6BD68D69" w:rsidR="00076432" w:rsidRDefault="00500371">
          <w:pPr>
            <w:pStyle w:val="TOC2"/>
            <w:tabs>
              <w:tab w:val="right" w:leader="dot" w:pos="13670"/>
            </w:tabs>
            <w:rPr>
              <w:rFonts w:eastAsiaTheme="minorEastAsia"/>
              <w:noProof/>
            </w:rPr>
          </w:pPr>
          <w:hyperlink w:anchor="_Toc106369723" w:history="1">
            <w:r w:rsidR="00076432" w:rsidRPr="00704760">
              <w:rPr>
                <w:rStyle w:val="Hyperlink"/>
                <w:noProof/>
              </w:rPr>
              <w:t>Atezolizumab (Tecentriq)</w:t>
            </w:r>
            <w:r w:rsidR="00076432">
              <w:rPr>
                <w:noProof/>
                <w:webHidden/>
              </w:rPr>
              <w:tab/>
            </w:r>
            <w:r w:rsidR="00076432">
              <w:rPr>
                <w:noProof/>
                <w:webHidden/>
              </w:rPr>
              <w:fldChar w:fldCharType="begin"/>
            </w:r>
            <w:r w:rsidR="00076432">
              <w:rPr>
                <w:noProof/>
                <w:webHidden/>
              </w:rPr>
              <w:instrText xml:space="preserve"> PAGEREF _Toc106369723 \h </w:instrText>
            </w:r>
            <w:r w:rsidR="00076432">
              <w:rPr>
                <w:noProof/>
                <w:webHidden/>
              </w:rPr>
            </w:r>
            <w:r w:rsidR="00076432">
              <w:rPr>
                <w:noProof/>
                <w:webHidden/>
              </w:rPr>
              <w:fldChar w:fldCharType="separate"/>
            </w:r>
            <w:r w:rsidR="00076432">
              <w:rPr>
                <w:noProof/>
                <w:webHidden/>
              </w:rPr>
              <w:t>56</w:t>
            </w:r>
            <w:r w:rsidR="00076432">
              <w:rPr>
                <w:noProof/>
                <w:webHidden/>
              </w:rPr>
              <w:fldChar w:fldCharType="end"/>
            </w:r>
          </w:hyperlink>
        </w:p>
        <w:p w14:paraId="4361BFE7" w14:textId="50AFD7BB" w:rsidR="00076432" w:rsidRDefault="00500371">
          <w:pPr>
            <w:pStyle w:val="TOC2"/>
            <w:tabs>
              <w:tab w:val="right" w:leader="dot" w:pos="13670"/>
            </w:tabs>
            <w:rPr>
              <w:rFonts w:eastAsiaTheme="minorEastAsia"/>
              <w:noProof/>
            </w:rPr>
          </w:pPr>
          <w:hyperlink w:anchor="_Toc106369724" w:history="1">
            <w:r w:rsidR="00076432" w:rsidRPr="00704760">
              <w:rPr>
                <w:rStyle w:val="Hyperlink"/>
                <w:noProof/>
              </w:rPr>
              <w:t>Avacopan (Tavneos)</w:t>
            </w:r>
            <w:r w:rsidR="00076432">
              <w:rPr>
                <w:noProof/>
                <w:webHidden/>
              </w:rPr>
              <w:tab/>
            </w:r>
            <w:r w:rsidR="00076432">
              <w:rPr>
                <w:noProof/>
                <w:webHidden/>
              </w:rPr>
              <w:fldChar w:fldCharType="begin"/>
            </w:r>
            <w:r w:rsidR="00076432">
              <w:rPr>
                <w:noProof/>
                <w:webHidden/>
              </w:rPr>
              <w:instrText xml:space="preserve"> PAGEREF _Toc106369724 \h </w:instrText>
            </w:r>
            <w:r w:rsidR="00076432">
              <w:rPr>
                <w:noProof/>
                <w:webHidden/>
              </w:rPr>
            </w:r>
            <w:r w:rsidR="00076432">
              <w:rPr>
                <w:noProof/>
                <w:webHidden/>
              </w:rPr>
              <w:fldChar w:fldCharType="separate"/>
            </w:r>
            <w:r w:rsidR="00076432">
              <w:rPr>
                <w:noProof/>
                <w:webHidden/>
              </w:rPr>
              <w:t>63</w:t>
            </w:r>
            <w:r w:rsidR="00076432">
              <w:rPr>
                <w:noProof/>
                <w:webHidden/>
              </w:rPr>
              <w:fldChar w:fldCharType="end"/>
            </w:r>
          </w:hyperlink>
        </w:p>
        <w:p w14:paraId="180BC81A" w14:textId="0BA7F5A8" w:rsidR="00076432" w:rsidRDefault="00500371">
          <w:pPr>
            <w:pStyle w:val="TOC2"/>
            <w:tabs>
              <w:tab w:val="right" w:leader="dot" w:pos="13670"/>
            </w:tabs>
            <w:rPr>
              <w:rFonts w:eastAsiaTheme="minorEastAsia"/>
              <w:noProof/>
            </w:rPr>
          </w:pPr>
          <w:hyperlink w:anchor="_Toc106369725" w:history="1">
            <w:r w:rsidR="00076432" w:rsidRPr="00704760">
              <w:rPr>
                <w:rStyle w:val="Hyperlink"/>
                <w:noProof/>
              </w:rPr>
              <w:t>Avelumab (Bavencio)</w:t>
            </w:r>
            <w:r w:rsidR="00076432">
              <w:rPr>
                <w:noProof/>
                <w:webHidden/>
              </w:rPr>
              <w:tab/>
            </w:r>
            <w:r w:rsidR="00076432">
              <w:rPr>
                <w:noProof/>
                <w:webHidden/>
              </w:rPr>
              <w:fldChar w:fldCharType="begin"/>
            </w:r>
            <w:r w:rsidR="00076432">
              <w:rPr>
                <w:noProof/>
                <w:webHidden/>
              </w:rPr>
              <w:instrText xml:space="preserve"> PAGEREF _Toc106369725 \h </w:instrText>
            </w:r>
            <w:r w:rsidR="00076432">
              <w:rPr>
                <w:noProof/>
                <w:webHidden/>
              </w:rPr>
            </w:r>
            <w:r w:rsidR="00076432">
              <w:rPr>
                <w:noProof/>
                <w:webHidden/>
              </w:rPr>
              <w:fldChar w:fldCharType="separate"/>
            </w:r>
            <w:r w:rsidR="00076432">
              <w:rPr>
                <w:noProof/>
                <w:webHidden/>
              </w:rPr>
              <w:t>64</w:t>
            </w:r>
            <w:r w:rsidR="00076432">
              <w:rPr>
                <w:noProof/>
                <w:webHidden/>
              </w:rPr>
              <w:fldChar w:fldCharType="end"/>
            </w:r>
          </w:hyperlink>
        </w:p>
        <w:p w14:paraId="1708565A" w14:textId="4B5149E8" w:rsidR="00076432" w:rsidRDefault="00500371">
          <w:pPr>
            <w:pStyle w:val="TOC2"/>
            <w:tabs>
              <w:tab w:val="right" w:leader="dot" w:pos="13670"/>
            </w:tabs>
            <w:rPr>
              <w:rFonts w:eastAsiaTheme="minorEastAsia"/>
              <w:noProof/>
            </w:rPr>
          </w:pPr>
          <w:hyperlink w:anchor="_Toc106369726" w:history="1">
            <w:r w:rsidR="00076432" w:rsidRPr="00704760">
              <w:rPr>
                <w:rStyle w:val="Hyperlink"/>
                <w:noProof/>
              </w:rPr>
              <w:t>Axicabtagene ciloleucel (Yescarta)</w:t>
            </w:r>
            <w:r w:rsidR="00076432">
              <w:rPr>
                <w:noProof/>
                <w:webHidden/>
              </w:rPr>
              <w:tab/>
            </w:r>
            <w:r w:rsidR="00076432">
              <w:rPr>
                <w:noProof/>
                <w:webHidden/>
              </w:rPr>
              <w:fldChar w:fldCharType="begin"/>
            </w:r>
            <w:r w:rsidR="00076432">
              <w:rPr>
                <w:noProof/>
                <w:webHidden/>
              </w:rPr>
              <w:instrText xml:space="preserve"> PAGEREF _Toc106369726 \h </w:instrText>
            </w:r>
            <w:r w:rsidR="00076432">
              <w:rPr>
                <w:noProof/>
                <w:webHidden/>
              </w:rPr>
            </w:r>
            <w:r w:rsidR="00076432">
              <w:rPr>
                <w:noProof/>
                <w:webHidden/>
              </w:rPr>
              <w:fldChar w:fldCharType="separate"/>
            </w:r>
            <w:r w:rsidR="00076432">
              <w:rPr>
                <w:noProof/>
                <w:webHidden/>
              </w:rPr>
              <w:t>66</w:t>
            </w:r>
            <w:r w:rsidR="00076432">
              <w:rPr>
                <w:noProof/>
                <w:webHidden/>
              </w:rPr>
              <w:fldChar w:fldCharType="end"/>
            </w:r>
          </w:hyperlink>
        </w:p>
        <w:p w14:paraId="35E58A6C" w14:textId="03157F7C" w:rsidR="00076432" w:rsidRDefault="00500371">
          <w:pPr>
            <w:pStyle w:val="TOC2"/>
            <w:tabs>
              <w:tab w:val="right" w:leader="dot" w:pos="13670"/>
            </w:tabs>
            <w:rPr>
              <w:rFonts w:eastAsiaTheme="minorEastAsia"/>
              <w:noProof/>
            </w:rPr>
          </w:pPr>
          <w:hyperlink w:anchor="_Toc106369727" w:history="1">
            <w:r w:rsidR="00076432" w:rsidRPr="00704760">
              <w:rPr>
                <w:rStyle w:val="Hyperlink"/>
                <w:noProof/>
              </w:rPr>
              <w:t>Axitinib (Inlyta)</w:t>
            </w:r>
            <w:r w:rsidR="00076432">
              <w:rPr>
                <w:noProof/>
                <w:webHidden/>
              </w:rPr>
              <w:tab/>
            </w:r>
            <w:r w:rsidR="00076432">
              <w:rPr>
                <w:noProof/>
                <w:webHidden/>
              </w:rPr>
              <w:fldChar w:fldCharType="begin"/>
            </w:r>
            <w:r w:rsidR="00076432">
              <w:rPr>
                <w:noProof/>
                <w:webHidden/>
              </w:rPr>
              <w:instrText xml:space="preserve"> PAGEREF _Toc106369727 \h </w:instrText>
            </w:r>
            <w:r w:rsidR="00076432">
              <w:rPr>
                <w:noProof/>
                <w:webHidden/>
              </w:rPr>
            </w:r>
            <w:r w:rsidR="00076432">
              <w:rPr>
                <w:noProof/>
                <w:webHidden/>
              </w:rPr>
              <w:fldChar w:fldCharType="separate"/>
            </w:r>
            <w:r w:rsidR="00076432">
              <w:rPr>
                <w:noProof/>
                <w:webHidden/>
              </w:rPr>
              <w:t>69</w:t>
            </w:r>
            <w:r w:rsidR="00076432">
              <w:rPr>
                <w:noProof/>
                <w:webHidden/>
              </w:rPr>
              <w:fldChar w:fldCharType="end"/>
            </w:r>
          </w:hyperlink>
        </w:p>
        <w:p w14:paraId="41FC0EE7" w14:textId="73101E22" w:rsidR="00076432" w:rsidRDefault="00500371">
          <w:pPr>
            <w:pStyle w:val="TOC2"/>
            <w:tabs>
              <w:tab w:val="right" w:leader="dot" w:pos="13670"/>
            </w:tabs>
            <w:rPr>
              <w:rFonts w:eastAsiaTheme="minorEastAsia"/>
              <w:noProof/>
            </w:rPr>
          </w:pPr>
          <w:hyperlink w:anchor="_Toc106369728" w:history="1">
            <w:r w:rsidR="00076432" w:rsidRPr="00704760">
              <w:rPr>
                <w:rStyle w:val="Hyperlink"/>
                <w:noProof/>
              </w:rPr>
              <w:t>Azacitidine (Onureg)</w:t>
            </w:r>
            <w:r w:rsidR="00076432">
              <w:rPr>
                <w:noProof/>
                <w:webHidden/>
              </w:rPr>
              <w:tab/>
            </w:r>
            <w:r w:rsidR="00076432">
              <w:rPr>
                <w:noProof/>
                <w:webHidden/>
              </w:rPr>
              <w:fldChar w:fldCharType="begin"/>
            </w:r>
            <w:r w:rsidR="00076432">
              <w:rPr>
                <w:noProof/>
                <w:webHidden/>
              </w:rPr>
              <w:instrText xml:space="preserve"> PAGEREF _Toc106369728 \h </w:instrText>
            </w:r>
            <w:r w:rsidR="00076432">
              <w:rPr>
                <w:noProof/>
                <w:webHidden/>
              </w:rPr>
            </w:r>
            <w:r w:rsidR="00076432">
              <w:rPr>
                <w:noProof/>
                <w:webHidden/>
              </w:rPr>
              <w:fldChar w:fldCharType="separate"/>
            </w:r>
            <w:r w:rsidR="00076432">
              <w:rPr>
                <w:noProof/>
                <w:webHidden/>
              </w:rPr>
              <w:t>72</w:t>
            </w:r>
            <w:r w:rsidR="00076432">
              <w:rPr>
                <w:noProof/>
                <w:webHidden/>
              </w:rPr>
              <w:fldChar w:fldCharType="end"/>
            </w:r>
          </w:hyperlink>
        </w:p>
        <w:p w14:paraId="7DD47A32" w14:textId="38F4D7E1" w:rsidR="00076432" w:rsidRDefault="00500371">
          <w:pPr>
            <w:pStyle w:val="TOC2"/>
            <w:tabs>
              <w:tab w:val="right" w:leader="dot" w:pos="13670"/>
            </w:tabs>
            <w:rPr>
              <w:rFonts w:eastAsiaTheme="minorEastAsia"/>
              <w:noProof/>
            </w:rPr>
          </w:pPr>
          <w:hyperlink w:anchor="_Toc106369729" w:history="1">
            <w:r w:rsidR="00076432" w:rsidRPr="00704760">
              <w:rPr>
                <w:rStyle w:val="Hyperlink"/>
                <w:noProof/>
              </w:rPr>
              <w:t>Aztreonam inhaled (Cayston)</w:t>
            </w:r>
            <w:r w:rsidR="00076432">
              <w:rPr>
                <w:noProof/>
                <w:webHidden/>
              </w:rPr>
              <w:tab/>
            </w:r>
            <w:r w:rsidR="00076432">
              <w:rPr>
                <w:noProof/>
                <w:webHidden/>
              </w:rPr>
              <w:fldChar w:fldCharType="begin"/>
            </w:r>
            <w:r w:rsidR="00076432">
              <w:rPr>
                <w:noProof/>
                <w:webHidden/>
              </w:rPr>
              <w:instrText xml:space="preserve"> PAGEREF _Toc106369729 \h </w:instrText>
            </w:r>
            <w:r w:rsidR="00076432">
              <w:rPr>
                <w:noProof/>
                <w:webHidden/>
              </w:rPr>
            </w:r>
            <w:r w:rsidR="00076432">
              <w:rPr>
                <w:noProof/>
                <w:webHidden/>
              </w:rPr>
              <w:fldChar w:fldCharType="separate"/>
            </w:r>
            <w:r w:rsidR="00076432">
              <w:rPr>
                <w:noProof/>
                <w:webHidden/>
              </w:rPr>
              <w:t>76</w:t>
            </w:r>
            <w:r w:rsidR="00076432">
              <w:rPr>
                <w:noProof/>
                <w:webHidden/>
              </w:rPr>
              <w:fldChar w:fldCharType="end"/>
            </w:r>
          </w:hyperlink>
        </w:p>
        <w:p w14:paraId="5B60DEE7" w14:textId="02B77203" w:rsidR="00076432" w:rsidRDefault="00500371">
          <w:pPr>
            <w:pStyle w:val="TOC2"/>
            <w:tabs>
              <w:tab w:val="right" w:leader="dot" w:pos="13670"/>
            </w:tabs>
            <w:rPr>
              <w:rFonts w:eastAsiaTheme="minorEastAsia"/>
              <w:noProof/>
            </w:rPr>
          </w:pPr>
          <w:hyperlink w:anchor="_Toc106369730" w:history="1">
            <w:r w:rsidR="00076432" w:rsidRPr="00704760">
              <w:rPr>
                <w:rStyle w:val="Hyperlink"/>
                <w:noProof/>
              </w:rPr>
              <w:t>Bedaquiline (Sirturo®)</w:t>
            </w:r>
            <w:r w:rsidR="00076432">
              <w:rPr>
                <w:noProof/>
                <w:webHidden/>
              </w:rPr>
              <w:tab/>
            </w:r>
            <w:r w:rsidR="00076432">
              <w:rPr>
                <w:noProof/>
                <w:webHidden/>
              </w:rPr>
              <w:fldChar w:fldCharType="begin"/>
            </w:r>
            <w:r w:rsidR="00076432">
              <w:rPr>
                <w:noProof/>
                <w:webHidden/>
              </w:rPr>
              <w:instrText xml:space="preserve"> PAGEREF _Toc106369730 \h </w:instrText>
            </w:r>
            <w:r w:rsidR="00076432">
              <w:rPr>
                <w:noProof/>
                <w:webHidden/>
              </w:rPr>
            </w:r>
            <w:r w:rsidR="00076432">
              <w:rPr>
                <w:noProof/>
                <w:webHidden/>
              </w:rPr>
              <w:fldChar w:fldCharType="separate"/>
            </w:r>
            <w:r w:rsidR="00076432">
              <w:rPr>
                <w:noProof/>
                <w:webHidden/>
              </w:rPr>
              <w:t>78</w:t>
            </w:r>
            <w:r w:rsidR="00076432">
              <w:rPr>
                <w:noProof/>
                <w:webHidden/>
              </w:rPr>
              <w:fldChar w:fldCharType="end"/>
            </w:r>
          </w:hyperlink>
        </w:p>
        <w:p w14:paraId="2E541ECF" w14:textId="74EC6F36" w:rsidR="00076432" w:rsidRDefault="00500371">
          <w:pPr>
            <w:pStyle w:val="TOC2"/>
            <w:tabs>
              <w:tab w:val="right" w:leader="dot" w:pos="13670"/>
            </w:tabs>
            <w:rPr>
              <w:rFonts w:eastAsiaTheme="minorEastAsia"/>
              <w:noProof/>
            </w:rPr>
          </w:pPr>
          <w:hyperlink w:anchor="_Toc106369731" w:history="1">
            <w:r w:rsidR="00076432" w:rsidRPr="00704760">
              <w:rPr>
                <w:rStyle w:val="Hyperlink"/>
                <w:noProof/>
              </w:rPr>
              <w:t>Belantamab mafodotin-blmf (Blenrep)</w:t>
            </w:r>
            <w:r w:rsidR="00076432">
              <w:rPr>
                <w:noProof/>
                <w:webHidden/>
              </w:rPr>
              <w:tab/>
            </w:r>
            <w:r w:rsidR="00076432">
              <w:rPr>
                <w:noProof/>
                <w:webHidden/>
              </w:rPr>
              <w:fldChar w:fldCharType="begin"/>
            </w:r>
            <w:r w:rsidR="00076432">
              <w:rPr>
                <w:noProof/>
                <w:webHidden/>
              </w:rPr>
              <w:instrText xml:space="preserve"> PAGEREF _Toc106369731 \h </w:instrText>
            </w:r>
            <w:r w:rsidR="00076432">
              <w:rPr>
                <w:noProof/>
                <w:webHidden/>
              </w:rPr>
            </w:r>
            <w:r w:rsidR="00076432">
              <w:rPr>
                <w:noProof/>
                <w:webHidden/>
              </w:rPr>
              <w:fldChar w:fldCharType="separate"/>
            </w:r>
            <w:r w:rsidR="00076432">
              <w:rPr>
                <w:noProof/>
                <w:webHidden/>
              </w:rPr>
              <w:t>80</w:t>
            </w:r>
            <w:r w:rsidR="00076432">
              <w:rPr>
                <w:noProof/>
                <w:webHidden/>
              </w:rPr>
              <w:fldChar w:fldCharType="end"/>
            </w:r>
          </w:hyperlink>
        </w:p>
        <w:p w14:paraId="6C2EAB56" w14:textId="66BA9668" w:rsidR="00076432" w:rsidRDefault="00500371">
          <w:pPr>
            <w:pStyle w:val="TOC2"/>
            <w:tabs>
              <w:tab w:val="right" w:leader="dot" w:pos="13670"/>
            </w:tabs>
            <w:rPr>
              <w:rFonts w:eastAsiaTheme="minorEastAsia"/>
              <w:noProof/>
            </w:rPr>
          </w:pPr>
          <w:hyperlink w:anchor="_Toc106369732" w:history="1">
            <w:r w:rsidR="00076432" w:rsidRPr="00704760">
              <w:rPr>
                <w:rStyle w:val="Hyperlink"/>
                <w:noProof/>
              </w:rPr>
              <w:t>Belatacept (Nulojix)</w:t>
            </w:r>
            <w:r w:rsidR="00076432">
              <w:rPr>
                <w:noProof/>
                <w:webHidden/>
              </w:rPr>
              <w:tab/>
            </w:r>
            <w:r w:rsidR="00076432">
              <w:rPr>
                <w:noProof/>
                <w:webHidden/>
              </w:rPr>
              <w:fldChar w:fldCharType="begin"/>
            </w:r>
            <w:r w:rsidR="00076432">
              <w:rPr>
                <w:noProof/>
                <w:webHidden/>
              </w:rPr>
              <w:instrText xml:space="preserve"> PAGEREF _Toc106369732 \h </w:instrText>
            </w:r>
            <w:r w:rsidR="00076432">
              <w:rPr>
                <w:noProof/>
                <w:webHidden/>
              </w:rPr>
            </w:r>
            <w:r w:rsidR="00076432">
              <w:rPr>
                <w:noProof/>
                <w:webHidden/>
              </w:rPr>
              <w:fldChar w:fldCharType="separate"/>
            </w:r>
            <w:r w:rsidR="00076432">
              <w:rPr>
                <w:noProof/>
                <w:webHidden/>
              </w:rPr>
              <w:t>82</w:t>
            </w:r>
            <w:r w:rsidR="00076432">
              <w:rPr>
                <w:noProof/>
                <w:webHidden/>
              </w:rPr>
              <w:fldChar w:fldCharType="end"/>
            </w:r>
          </w:hyperlink>
        </w:p>
        <w:p w14:paraId="556FEEAA" w14:textId="0A8D72F3" w:rsidR="00076432" w:rsidRDefault="00500371">
          <w:pPr>
            <w:pStyle w:val="TOC2"/>
            <w:tabs>
              <w:tab w:val="right" w:leader="dot" w:pos="13670"/>
            </w:tabs>
            <w:rPr>
              <w:rFonts w:eastAsiaTheme="minorEastAsia"/>
              <w:noProof/>
            </w:rPr>
          </w:pPr>
          <w:hyperlink w:anchor="_Toc106369733" w:history="1">
            <w:r w:rsidR="00076432" w:rsidRPr="00704760">
              <w:rPr>
                <w:rStyle w:val="Hyperlink"/>
                <w:noProof/>
              </w:rPr>
              <w:t>Belimumab (Benlysta)</w:t>
            </w:r>
            <w:r w:rsidR="00076432">
              <w:rPr>
                <w:noProof/>
                <w:webHidden/>
              </w:rPr>
              <w:tab/>
            </w:r>
            <w:r w:rsidR="00076432">
              <w:rPr>
                <w:noProof/>
                <w:webHidden/>
              </w:rPr>
              <w:fldChar w:fldCharType="begin"/>
            </w:r>
            <w:r w:rsidR="00076432">
              <w:rPr>
                <w:noProof/>
                <w:webHidden/>
              </w:rPr>
              <w:instrText xml:space="preserve"> PAGEREF _Toc106369733 \h </w:instrText>
            </w:r>
            <w:r w:rsidR="00076432">
              <w:rPr>
                <w:noProof/>
                <w:webHidden/>
              </w:rPr>
            </w:r>
            <w:r w:rsidR="00076432">
              <w:rPr>
                <w:noProof/>
                <w:webHidden/>
              </w:rPr>
              <w:fldChar w:fldCharType="separate"/>
            </w:r>
            <w:r w:rsidR="00076432">
              <w:rPr>
                <w:noProof/>
                <w:webHidden/>
              </w:rPr>
              <w:t>85</w:t>
            </w:r>
            <w:r w:rsidR="00076432">
              <w:rPr>
                <w:noProof/>
                <w:webHidden/>
              </w:rPr>
              <w:fldChar w:fldCharType="end"/>
            </w:r>
          </w:hyperlink>
        </w:p>
        <w:p w14:paraId="4223C34E" w14:textId="03EC4C57" w:rsidR="00076432" w:rsidRDefault="00500371">
          <w:pPr>
            <w:pStyle w:val="TOC2"/>
            <w:tabs>
              <w:tab w:val="right" w:leader="dot" w:pos="13670"/>
            </w:tabs>
            <w:rPr>
              <w:rFonts w:eastAsiaTheme="minorEastAsia"/>
              <w:noProof/>
            </w:rPr>
          </w:pPr>
          <w:hyperlink w:anchor="_Toc106369734" w:history="1">
            <w:r w:rsidR="00076432" w:rsidRPr="00704760">
              <w:rPr>
                <w:rStyle w:val="Hyperlink"/>
                <w:noProof/>
              </w:rPr>
              <w:t>Belumosudil (Rezurock)</w:t>
            </w:r>
            <w:r w:rsidR="00076432">
              <w:rPr>
                <w:noProof/>
                <w:webHidden/>
              </w:rPr>
              <w:tab/>
            </w:r>
            <w:r w:rsidR="00076432">
              <w:rPr>
                <w:noProof/>
                <w:webHidden/>
              </w:rPr>
              <w:fldChar w:fldCharType="begin"/>
            </w:r>
            <w:r w:rsidR="00076432">
              <w:rPr>
                <w:noProof/>
                <w:webHidden/>
              </w:rPr>
              <w:instrText xml:space="preserve"> PAGEREF _Toc106369734 \h </w:instrText>
            </w:r>
            <w:r w:rsidR="00076432">
              <w:rPr>
                <w:noProof/>
                <w:webHidden/>
              </w:rPr>
            </w:r>
            <w:r w:rsidR="00076432">
              <w:rPr>
                <w:noProof/>
                <w:webHidden/>
              </w:rPr>
              <w:fldChar w:fldCharType="separate"/>
            </w:r>
            <w:r w:rsidR="00076432">
              <w:rPr>
                <w:noProof/>
                <w:webHidden/>
              </w:rPr>
              <w:t>86</w:t>
            </w:r>
            <w:r w:rsidR="00076432">
              <w:rPr>
                <w:noProof/>
                <w:webHidden/>
              </w:rPr>
              <w:fldChar w:fldCharType="end"/>
            </w:r>
          </w:hyperlink>
        </w:p>
        <w:p w14:paraId="71084F1D" w14:textId="23F014F7" w:rsidR="00076432" w:rsidRDefault="00500371">
          <w:pPr>
            <w:pStyle w:val="TOC2"/>
            <w:tabs>
              <w:tab w:val="right" w:leader="dot" w:pos="13670"/>
            </w:tabs>
            <w:rPr>
              <w:rFonts w:eastAsiaTheme="minorEastAsia"/>
              <w:noProof/>
            </w:rPr>
          </w:pPr>
          <w:hyperlink w:anchor="_Toc106369735" w:history="1">
            <w:r w:rsidR="00076432" w:rsidRPr="00704760">
              <w:rPr>
                <w:rStyle w:val="Hyperlink"/>
                <w:noProof/>
              </w:rPr>
              <w:t>Belzutifan (Welireg)</w:t>
            </w:r>
            <w:r w:rsidR="00076432">
              <w:rPr>
                <w:noProof/>
                <w:webHidden/>
              </w:rPr>
              <w:tab/>
            </w:r>
            <w:r w:rsidR="00076432">
              <w:rPr>
                <w:noProof/>
                <w:webHidden/>
              </w:rPr>
              <w:fldChar w:fldCharType="begin"/>
            </w:r>
            <w:r w:rsidR="00076432">
              <w:rPr>
                <w:noProof/>
                <w:webHidden/>
              </w:rPr>
              <w:instrText xml:space="preserve"> PAGEREF _Toc106369735 \h </w:instrText>
            </w:r>
            <w:r w:rsidR="00076432">
              <w:rPr>
                <w:noProof/>
                <w:webHidden/>
              </w:rPr>
            </w:r>
            <w:r w:rsidR="00076432">
              <w:rPr>
                <w:noProof/>
                <w:webHidden/>
              </w:rPr>
              <w:fldChar w:fldCharType="separate"/>
            </w:r>
            <w:r w:rsidR="00076432">
              <w:rPr>
                <w:noProof/>
                <w:webHidden/>
              </w:rPr>
              <w:t>87</w:t>
            </w:r>
            <w:r w:rsidR="00076432">
              <w:rPr>
                <w:noProof/>
                <w:webHidden/>
              </w:rPr>
              <w:fldChar w:fldCharType="end"/>
            </w:r>
          </w:hyperlink>
        </w:p>
        <w:p w14:paraId="66D00C2F" w14:textId="3E301AAB" w:rsidR="00076432" w:rsidRDefault="00500371">
          <w:pPr>
            <w:pStyle w:val="TOC2"/>
            <w:tabs>
              <w:tab w:val="right" w:leader="dot" w:pos="13670"/>
            </w:tabs>
            <w:rPr>
              <w:rFonts w:eastAsiaTheme="minorEastAsia"/>
              <w:noProof/>
            </w:rPr>
          </w:pPr>
          <w:hyperlink w:anchor="_Toc106369736" w:history="1">
            <w:r w:rsidR="00076432" w:rsidRPr="00704760">
              <w:rPr>
                <w:rStyle w:val="Hyperlink"/>
                <w:noProof/>
              </w:rPr>
              <w:t>Binimetinib (Mektovi)</w:t>
            </w:r>
            <w:r w:rsidR="00076432">
              <w:rPr>
                <w:noProof/>
                <w:webHidden/>
              </w:rPr>
              <w:tab/>
            </w:r>
            <w:r w:rsidR="00076432">
              <w:rPr>
                <w:noProof/>
                <w:webHidden/>
              </w:rPr>
              <w:fldChar w:fldCharType="begin"/>
            </w:r>
            <w:r w:rsidR="00076432">
              <w:rPr>
                <w:noProof/>
                <w:webHidden/>
              </w:rPr>
              <w:instrText xml:space="preserve"> PAGEREF _Toc106369736 \h </w:instrText>
            </w:r>
            <w:r w:rsidR="00076432">
              <w:rPr>
                <w:noProof/>
                <w:webHidden/>
              </w:rPr>
            </w:r>
            <w:r w:rsidR="00076432">
              <w:rPr>
                <w:noProof/>
                <w:webHidden/>
              </w:rPr>
              <w:fldChar w:fldCharType="separate"/>
            </w:r>
            <w:r w:rsidR="00076432">
              <w:rPr>
                <w:noProof/>
                <w:webHidden/>
              </w:rPr>
              <w:t>88</w:t>
            </w:r>
            <w:r w:rsidR="00076432">
              <w:rPr>
                <w:noProof/>
                <w:webHidden/>
              </w:rPr>
              <w:fldChar w:fldCharType="end"/>
            </w:r>
          </w:hyperlink>
        </w:p>
        <w:p w14:paraId="567062A1" w14:textId="1ADBEB8D" w:rsidR="00076432" w:rsidRDefault="00500371">
          <w:pPr>
            <w:pStyle w:val="TOC2"/>
            <w:tabs>
              <w:tab w:val="right" w:leader="dot" w:pos="13670"/>
            </w:tabs>
            <w:rPr>
              <w:rFonts w:eastAsiaTheme="minorEastAsia"/>
              <w:noProof/>
            </w:rPr>
          </w:pPr>
          <w:hyperlink w:anchor="_Toc106369737" w:history="1">
            <w:r w:rsidR="00076432" w:rsidRPr="00704760">
              <w:rPr>
                <w:rStyle w:val="Hyperlink"/>
                <w:noProof/>
              </w:rPr>
              <w:t>Blinatumomab (Blincyto)</w:t>
            </w:r>
            <w:r w:rsidR="00076432">
              <w:rPr>
                <w:noProof/>
                <w:webHidden/>
              </w:rPr>
              <w:tab/>
            </w:r>
            <w:r w:rsidR="00076432">
              <w:rPr>
                <w:noProof/>
                <w:webHidden/>
              </w:rPr>
              <w:fldChar w:fldCharType="begin"/>
            </w:r>
            <w:r w:rsidR="00076432">
              <w:rPr>
                <w:noProof/>
                <w:webHidden/>
              </w:rPr>
              <w:instrText xml:space="preserve"> PAGEREF _Toc106369737 \h </w:instrText>
            </w:r>
            <w:r w:rsidR="00076432">
              <w:rPr>
                <w:noProof/>
                <w:webHidden/>
              </w:rPr>
            </w:r>
            <w:r w:rsidR="00076432">
              <w:rPr>
                <w:noProof/>
                <w:webHidden/>
              </w:rPr>
              <w:fldChar w:fldCharType="separate"/>
            </w:r>
            <w:r w:rsidR="00076432">
              <w:rPr>
                <w:noProof/>
                <w:webHidden/>
              </w:rPr>
              <w:t>89</w:t>
            </w:r>
            <w:r w:rsidR="00076432">
              <w:rPr>
                <w:noProof/>
                <w:webHidden/>
              </w:rPr>
              <w:fldChar w:fldCharType="end"/>
            </w:r>
          </w:hyperlink>
        </w:p>
        <w:p w14:paraId="3084A87C" w14:textId="15E1CC4A" w:rsidR="00076432" w:rsidRDefault="00500371">
          <w:pPr>
            <w:pStyle w:val="TOC2"/>
            <w:tabs>
              <w:tab w:val="right" w:leader="dot" w:pos="13670"/>
            </w:tabs>
            <w:rPr>
              <w:rFonts w:eastAsiaTheme="minorEastAsia"/>
              <w:noProof/>
            </w:rPr>
          </w:pPr>
          <w:hyperlink w:anchor="_Toc106369738" w:history="1">
            <w:r w:rsidR="00076432" w:rsidRPr="00704760">
              <w:rPr>
                <w:rStyle w:val="Hyperlink"/>
                <w:noProof/>
              </w:rPr>
              <w:t>Bosentan (Tracleer)</w:t>
            </w:r>
            <w:r w:rsidR="00076432">
              <w:rPr>
                <w:noProof/>
                <w:webHidden/>
              </w:rPr>
              <w:tab/>
            </w:r>
            <w:r w:rsidR="00076432">
              <w:rPr>
                <w:noProof/>
                <w:webHidden/>
              </w:rPr>
              <w:fldChar w:fldCharType="begin"/>
            </w:r>
            <w:r w:rsidR="00076432">
              <w:rPr>
                <w:noProof/>
                <w:webHidden/>
              </w:rPr>
              <w:instrText xml:space="preserve"> PAGEREF _Toc106369738 \h </w:instrText>
            </w:r>
            <w:r w:rsidR="00076432">
              <w:rPr>
                <w:noProof/>
                <w:webHidden/>
              </w:rPr>
            </w:r>
            <w:r w:rsidR="00076432">
              <w:rPr>
                <w:noProof/>
                <w:webHidden/>
              </w:rPr>
              <w:fldChar w:fldCharType="separate"/>
            </w:r>
            <w:r w:rsidR="00076432">
              <w:rPr>
                <w:noProof/>
                <w:webHidden/>
              </w:rPr>
              <w:t>92</w:t>
            </w:r>
            <w:r w:rsidR="00076432">
              <w:rPr>
                <w:noProof/>
                <w:webHidden/>
              </w:rPr>
              <w:fldChar w:fldCharType="end"/>
            </w:r>
          </w:hyperlink>
        </w:p>
        <w:p w14:paraId="6C406965" w14:textId="3BBA4C1F" w:rsidR="00076432" w:rsidRDefault="00500371">
          <w:pPr>
            <w:pStyle w:val="TOC2"/>
            <w:tabs>
              <w:tab w:val="right" w:leader="dot" w:pos="13670"/>
            </w:tabs>
            <w:rPr>
              <w:rFonts w:eastAsiaTheme="minorEastAsia"/>
              <w:noProof/>
            </w:rPr>
          </w:pPr>
          <w:hyperlink w:anchor="_Toc106369739" w:history="1">
            <w:r w:rsidR="00076432" w:rsidRPr="00704760">
              <w:rPr>
                <w:rStyle w:val="Hyperlink"/>
                <w:noProof/>
              </w:rPr>
              <w:t>Bosutinib (Bosulif)</w:t>
            </w:r>
            <w:r w:rsidR="00076432">
              <w:rPr>
                <w:noProof/>
                <w:webHidden/>
              </w:rPr>
              <w:tab/>
            </w:r>
            <w:r w:rsidR="00076432">
              <w:rPr>
                <w:noProof/>
                <w:webHidden/>
              </w:rPr>
              <w:fldChar w:fldCharType="begin"/>
            </w:r>
            <w:r w:rsidR="00076432">
              <w:rPr>
                <w:noProof/>
                <w:webHidden/>
              </w:rPr>
              <w:instrText xml:space="preserve"> PAGEREF _Toc106369739 \h </w:instrText>
            </w:r>
            <w:r w:rsidR="00076432">
              <w:rPr>
                <w:noProof/>
                <w:webHidden/>
              </w:rPr>
            </w:r>
            <w:r w:rsidR="00076432">
              <w:rPr>
                <w:noProof/>
                <w:webHidden/>
              </w:rPr>
              <w:fldChar w:fldCharType="separate"/>
            </w:r>
            <w:r w:rsidR="00076432">
              <w:rPr>
                <w:noProof/>
                <w:webHidden/>
              </w:rPr>
              <w:t>93</w:t>
            </w:r>
            <w:r w:rsidR="00076432">
              <w:rPr>
                <w:noProof/>
                <w:webHidden/>
              </w:rPr>
              <w:fldChar w:fldCharType="end"/>
            </w:r>
          </w:hyperlink>
        </w:p>
        <w:p w14:paraId="7E184B69" w14:textId="119CA3AE" w:rsidR="00076432" w:rsidRDefault="00500371">
          <w:pPr>
            <w:pStyle w:val="TOC2"/>
            <w:tabs>
              <w:tab w:val="right" w:leader="dot" w:pos="13670"/>
            </w:tabs>
            <w:rPr>
              <w:rFonts w:eastAsiaTheme="minorEastAsia"/>
              <w:noProof/>
            </w:rPr>
          </w:pPr>
          <w:hyperlink w:anchor="_Toc106369740" w:history="1">
            <w:r w:rsidR="00076432" w:rsidRPr="00704760">
              <w:rPr>
                <w:rStyle w:val="Hyperlink"/>
                <w:noProof/>
              </w:rPr>
              <w:t>Botulinum toxins (various)</w:t>
            </w:r>
            <w:r w:rsidR="00076432">
              <w:rPr>
                <w:noProof/>
                <w:webHidden/>
              </w:rPr>
              <w:tab/>
            </w:r>
            <w:r w:rsidR="00076432">
              <w:rPr>
                <w:noProof/>
                <w:webHidden/>
              </w:rPr>
              <w:fldChar w:fldCharType="begin"/>
            </w:r>
            <w:r w:rsidR="00076432">
              <w:rPr>
                <w:noProof/>
                <w:webHidden/>
              </w:rPr>
              <w:instrText xml:space="preserve"> PAGEREF _Toc106369740 \h </w:instrText>
            </w:r>
            <w:r w:rsidR="00076432">
              <w:rPr>
                <w:noProof/>
                <w:webHidden/>
              </w:rPr>
            </w:r>
            <w:r w:rsidR="00076432">
              <w:rPr>
                <w:noProof/>
                <w:webHidden/>
              </w:rPr>
              <w:fldChar w:fldCharType="separate"/>
            </w:r>
            <w:r w:rsidR="00076432">
              <w:rPr>
                <w:noProof/>
                <w:webHidden/>
              </w:rPr>
              <w:t>97</w:t>
            </w:r>
            <w:r w:rsidR="00076432">
              <w:rPr>
                <w:noProof/>
                <w:webHidden/>
              </w:rPr>
              <w:fldChar w:fldCharType="end"/>
            </w:r>
          </w:hyperlink>
        </w:p>
        <w:p w14:paraId="051207F0" w14:textId="28542784" w:rsidR="00076432" w:rsidRDefault="00500371">
          <w:pPr>
            <w:pStyle w:val="TOC2"/>
            <w:tabs>
              <w:tab w:val="right" w:leader="dot" w:pos="13670"/>
            </w:tabs>
            <w:rPr>
              <w:rFonts w:eastAsiaTheme="minorEastAsia"/>
              <w:noProof/>
            </w:rPr>
          </w:pPr>
          <w:hyperlink w:anchor="_Toc106369741" w:history="1">
            <w:r w:rsidR="00076432" w:rsidRPr="00704760">
              <w:rPr>
                <w:rStyle w:val="Hyperlink"/>
                <w:noProof/>
              </w:rPr>
              <w:t>Brentuximab vedotin (Adcetris)</w:t>
            </w:r>
            <w:r w:rsidR="00076432">
              <w:rPr>
                <w:noProof/>
                <w:webHidden/>
              </w:rPr>
              <w:tab/>
            </w:r>
            <w:r w:rsidR="00076432">
              <w:rPr>
                <w:noProof/>
                <w:webHidden/>
              </w:rPr>
              <w:fldChar w:fldCharType="begin"/>
            </w:r>
            <w:r w:rsidR="00076432">
              <w:rPr>
                <w:noProof/>
                <w:webHidden/>
              </w:rPr>
              <w:instrText xml:space="preserve"> PAGEREF _Toc106369741 \h </w:instrText>
            </w:r>
            <w:r w:rsidR="00076432">
              <w:rPr>
                <w:noProof/>
                <w:webHidden/>
              </w:rPr>
            </w:r>
            <w:r w:rsidR="00076432">
              <w:rPr>
                <w:noProof/>
                <w:webHidden/>
              </w:rPr>
              <w:fldChar w:fldCharType="separate"/>
            </w:r>
            <w:r w:rsidR="00076432">
              <w:rPr>
                <w:noProof/>
                <w:webHidden/>
              </w:rPr>
              <w:t>101</w:t>
            </w:r>
            <w:r w:rsidR="00076432">
              <w:rPr>
                <w:noProof/>
                <w:webHidden/>
              </w:rPr>
              <w:fldChar w:fldCharType="end"/>
            </w:r>
          </w:hyperlink>
        </w:p>
        <w:p w14:paraId="1FC7415B" w14:textId="7A84D7AE" w:rsidR="00076432" w:rsidRDefault="00500371">
          <w:pPr>
            <w:pStyle w:val="TOC2"/>
            <w:tabs>
              <w:tab w:val="right" w:leader="dot" w:pos="13670"/>
            </w:tabs>
            <w:rPr>
              <w:rFonts w:eastAsiaTheme="minorEastAsia"/>
              <w:noProof/>
            </w:rPr>
          </w:pPr>
          <w:hyperlink w:anchor="_Toc106369742" w:history="1">
            <w:r w:rsidR="00076432" w:rsidRPr="00704760">
              <w:rPr>
                <w:rStyle w:val="Hyperlink"/>
                <w:noProof/>
              </w:rPr>
              <w:t>Brexanolone (Zulresso)</w:t>
            </w:r>
            <w:r w:rsidR="00076432">
              <w:rPr>
                <w:noProof/>
                <w:webHidden/>
              </w:rPr>
              <w:tab/>
            </w:r>
            <w:r w:rsidR="00076432">
              <w:rPr>
                <w:noProof/>
                <w:webHidden/>
              </w:rPr>
              <w:fldChar w:fldCharType="begin"/>
            </w:r>
            <w:r w:rsidR="00076432">
              <w:rPr>
                <w:noProof/>
                <w:webHidden/>
              </w:rPr>
              <w:instrText xml:space="preserve"> PAGEREF _Toc106369742 \h </w:instrText>
            </w:r>
            <w:r w:rsidR="00076432">
              <w:rPr>
                <w:noProof/>
                <w:webHidden/>
              </w:rPr>
            </w:r>
            <w:r w:rsidR="00076432">
              <w:rPr>
                <w:noProof/>
                <w:webHidden/>
              </w:rPr>
              <w:fldChar w:fldCharType="separate"/>
            </w:r>
            <w:r w:rsidR="00076432">
              <w:rPr>
                <w:noProof/>
                <w:webHidden/>
              </w:rPr>
              <w:t>108</w:t>
            </w:r>
            <w:r w:rsidR="00076432">
              <w:rPr>
                <w:noProof/>
                <w:webHidden/>
              </w:rPr>
              <w:fldChar w:fldCharType="end"/>
            </w:r>
          </w:hyperlink>
        </w:p>
        <w:p w14:paraId="3A22F841" w14:textId="2DC54E15" w:rsidR="00076432" w:rsidRDefault="00500371">
          <w:pPr>
            <w:pStyle w:val="TOC2"/>
            <w:tabs>
              <w:tab w:val="right" w:leader="dot" w:pos="13670"/>
            </w:tabs>
            <w:rPr>
              <w:rFonts w:eastAsiaTheme="minorEastAsia"/>
              <w:noProof/>
            </w:rPr>
          </w:pPr>
          <w:hyperlink w:anchor="_Toc106369743" w:history="1">
            <w:r w:rsidR="00076432" w:rsidRPr="00704760">
              <w:rPr>
                <w:rStyle w:val="Hyperlink"/>
                <w:noProof/>
              </w:rPr>
              <w:t>Budesonide (Uceris)</w:t>
            </w:r>
            <w:r w:rsidR="00076432">
              <w:rPr>
                <w:noProof/>
                <w:webHidden/>
              </w:rPr>
              <w:tab/>
            </w:r>
            <w:r w:rsidR="00076432">
              <w:rPr>
                <w:noProof/>
                <w:webHidden/>
              </w:rPr>
              <w:fldChar w:fldCharType="begin"/>
            </w:r>
            <w:r w:rsidR="00076432">
              <w:rPr>
                <w:noProof/>
                <w:webHidden/>
              </w:rPr>
              <w:instrText xml:space="preserve"> PAGEREF _Toc106369743 \h </w:instrText>
            </w:r>
            <w:r w:rsidR="00076432">
              <w:rPr>
                <w:noProof/>
                <w:webHidden/>
              </w:rPr>
            </w:r>
            <w:r w:rsidR="00076432">
              <w:rPr>
                <w:noProof/>
                <w:webHidden/>
              </w:rPr>
              <w:fldChar w:fldCharType="separate"/>
            </w:r>
            <w:r w:rsidR="00076432">
              <w:rPr>
                <w:noProof/>
                <w:webHidden/>
              </w:rPr>
              <w:t>109</w:t>
            </w:r>
            <w:r w:rsidR="00076432">
              <w:rPr>
                <w:noProof/>
                <w:webHidden/>
              </w:rPr>
              <w:fldChar w:fldCharType="end"/>
            </w:r>
          </w:hyperlink>
        </w:p>
        <w:p w14:paraId="6A9AB84B" w14:textId="412A34F0" w:rsidR="00076432" w:rsidRDefault="00500371">
          <w:pPr>
            <w:pStyle w:val="TOC2"/>
            <w:tabs>
              <w:tab w:val="right" w:leader="dot" w:pos="13670"/>
            </w:tabs>
            <w:rPr>
              <w:rFonts w:eastAsiaTheme="minorEastAsia"/>
              <w:noProof/>
            </w:rPr>
          </w:pPr>
          <w:hyperlink w:anchor="_Toc106369744" w:history="1">
            <w:r w:rsidR="00076432" w:rsidRPr="00704760">
              <w:rPr>
                <w:rStyle w:val="Hyperlink"/>
                <w:noProof/>
              </w:rPr>
              <w:t>Burosumab-twza (Crysvita)</w:t>
            </w:r>
            <w:r w:rsidR="00076432">
              <w:rPr>
                <w:noProof/>
                <w:webHidden/>
              </w:rPr>
              <w:tab/>
            </w:r>
            <w:r w:rsidR="00076432">
              <w:rPr>
                <w:noProof/>
                <w:webHidden/>
              </w:rPr>
              <w:fldChar w:fldCharType="begin"/>
            </w:r>
            <w:r w:rsidR="00076432">
              <w:rPr>
                <w:noProof/>
                <w:webHidden/>
              </w:rPr>
              <w:instrText xml:space="preserve"> PAGEREF _Toc106369744 \h </w:instrText>
            </w:r>
            <w:r w:rsidR="00076432">
              <w:rPr>
                <w:noProof/>
                <w:webHidden/>
              </w:rPr>
            </w:r>
            <w:r w:rsidR="00076432">
              <w:rPr>
                <w:noProof/>
                <w:webHidden/>
              </w:rPr>
              <w:fldChar w:fldCharType="separate"/>
            </w:r>
            <w:r w:rsidR="00076432">
              <w:rPr>
                <w:noProof/>
                <w:webHidden/>
              </w:rPr>
              <w:t>112</w:t>
            </w:r>
            <w:r w:rsidR="00076432">
              <w:rPr>
                <w:noProof/>
                <w:webHidden/>
              </w:rPr>
              <w:fldChar w:fldCharType="end"/>
            </w:r>
          </w:hyperlink>
        </w:p>
        <w:p w14:paraId="4C9CF78D" w14:textId="714D509B" w:rsidR="00076432" w:rsidRDefault="00500371">
          <w:pPr>
            <w:pStyle w:val="TOC2"/>
            <w:tabs>
              <w:tab w:val="right" w:leader="dot" w:pos="13670"/>
            </w:tabs>
            <w:rPr>
              <w:rFonts w:eastAsiaTheme="minorEastAsia"/>
              <w:noProof/>
            </w:rPr>
          </w:pPr>
          <w:hyperlink w:anchor="_Toc106369745" w:history="1">
            <w:r w:rsidR="00076432" w:rsidRPr="00704760">
              <w:rPr>
                <w:rStyle w:val="Hyperlink"/>
                <w:noProof/>
              </w:rPr>
              <w:t>C-1 esterase inhibitor</w:t>
            </w:r>
            <w:r w:rsidR="00076432">
              <w:rPr>
                <w:noProof/>
                <w:webHidden/>
              </w:rPr>
              <w:tab/>
            </w:r>
            <w:r w:rsidR="00076432">
              <w:rPr>
                <w:noProof/>
                <w:webHidden/>
              </w:rPr>
              <w:fldChar w:fldCharType="begin"/>
            </w:r>
            <w:r w:rsidR="00076432">
              <w:rPr>
                <w:noProof/>
                <w:webHidden/>
              </w:rPr>
              <w:instrText xml:space="preserve"> PAGEREF _Toc106369745 \h </w:instrText>
            </w:r>
            <w:r w:rsidR="00076432">
              <w:rPr>
                <w:noProof/>
                <w:webHidden/>
              </w:rPr>
            </w:r>
            <w:r w:rsidR="00076432">
              <w:rPr>
                <w:noProof/>
                <w:webHidden/>
              </w:rPr>
              <w:fldChar w:fldCharType="separate"/>
            </w:r>
            <w:r w:rsidR="00076432">
              <w:rPr>
                <w:noProof/>
                <w:webHidden/>
              </w:rPr>
              <w:t>114</w:t>
            </w:r>
            <w:r w:rsidR="00076432">
              <w:rPr>
                <w:noProof/>
                <w:webHidden/>
              </w:rPr>
              <w:fldChar w:fldCharType="end"/>
            </w:r>
          </w:hyperlink>
        </w:p>
        <w:p w14:paraId="3CD1C20D" w14:textId="23A9FEFD" w:rsidR="00076432" w:rsidRDefault="00500371">
          <w:pPr>
            <w:pStyle w:val="TOC2"/>
            <w:tabs>
              <w:tab w:val="right" w:leader="dot" w:pos="13670"/>
            </w:tabs>
            <w:rPr>
              <w:rFonts w:eastAsiaTheme="minorEastAsia"/>
              <w:noProof/>
            </w:rPr>
          </w:pPr>
          <w:hyperlink w:anchor="_Toc106369746" w:history="1">
            <w:r w:rsidR="00076432" w:rsidRPr="00704760">
              <w:rPr>
                <w:rStyle w:val="Hyperlink"/>
                <w:noProof/>
              </w:rPr>
              <w:t>Cabozantinib (Cometriq and Cabometyx)</w:t>
            </w:r>
            <w:r w:rsidR="00076432">
              <w:rPr>
                <w:noProof/>
                <w:webHidden/>
              </w:rPr>
              <w:tab/>
            </w:r>
            <w:r w:rsidR="00076432">
              <w:rPr>
                <w:noProof/>
                <w:webHidden/>
              </w:rPr>
              <w:fldChar w:fldCharType="begin"/>
            </w:r>
            <w:r w:rsidR="00076432">
              <w:rPr>
                <w:noProof/>
                <w:webHidden/>
              </w:rPr>
              <w:instrText xml:space="preserve"> PAGEREF _Toc106369746 \h </w:instrText>
            </w:r>
            <w:r w:rsidR="00076432">
              <w:rPr>
                <w:noProof/>
                <w:webHidden/>
              </w:rPr>
            </w:r>
            <w:r w:rsidR="00076432">
              <w:rPr>
                <w:noProof/>
                <w:webHidden/>
              </w:rPr>
              <w:fldChar w:fldCharType="separate"/>
            </w:r>
            <w:r w:rsidR="00076432">
              <w:rPr>
                <w:noProof/>
                <w:webHidden/>
              </w:rPr>
              <w:t>117</w:t>
            </w:r>
            <w:r w:rsidR="00076432">
              <w:rPr>
                <w:noProof/>
                <w:webHidden/>
              </w:rPr>
              <w:fldChar w:fldCharType="end"/>
            </w:r>
          </w:hyperlink>
        </w:p>
        <w:p w14:paraId="560E40CB" w14:textId="7AD79728" w:rsidR="00076432" w:rsidRDefault="00500371">
          <w:pPr>
            <w:pStyle w:val="TOC2"/>
            <w:tabs>
              <w:tab w:val="right" w:leader="dot" w:pos="13670"/>
            </w:tabs>
            <w:rPr>
              <w:rFonts w:eastAsiaTheme="minorEastAsia"/>
              <w:noProof/>
            </w:rPr>
          </w:pPr>
          <w:hyperlink w:anchor="_Toc106369747" w:history="1">
            <w:r w:rsidR="00076432" w:rsidRPr="00704760">
              <w:rPr>
                <w:rStyle w:val="Hyperlink"/>
                <w:noProof/>
                <w:lang w:val="es-ES"/>
              </w:rPr>
              <w:t>Calcium acetate oral solution (Phoslyra Solution®)</w:t>
            </w:r>
            <w:r w:rsidR="00076432">
              <w:rPr>
                <w:noProof/>
                <w:webHidden/>
              </w:rPr>
              <w:tab/>
            </w:r>
            <w:r w:rsidR="00076432">
              <w:rPr>
                <w:noProof/>
                <w:webHidden/>
              </w:rPr>
              <w:fldChar w:fldCharType="begin"/>
            </w:r>
            <w:r w:rsidR="00076432">
              <w:rPr>
                <w:noProof/>
                <w:webHidden/>
              </w:rPr>
              <w:instrText xml:space="preserve"> PAGEREF _Toc106369747 \h </w:instrText>
            </w:r>
            <w:r w:rsidR="00076432">
              <w:rPr>
                <w:noProof/>
                <w:webHidden/>
              </w:rPr>
            </w:r>
            <w:r w:rsidR="00076432">
              <w:rPr>
                <w:noProof/>
                <w:webHidden/>
              </w:rPr>
              <w:fldChar w:fldCharType="separate"/>
            </w:r>
            <w:r w:rsidR="00076432">
              <w:rPr>
                <w:noProof/>
                <w:webHidden/>
              </w:rPr>
              <w:t>120</w:t>
            </w:r>
            <w:r w:rsidR="00076432">
              <w:rPr>
                <w:noProof/>
                <w:webHidden/>
              </w:rPr>
              <w:fldChar w:fldCharType="end"/>
            </w:r>
          </w:hyperlink>
        </w:p>
        <w:p w14:paraId="7BD87DF0" w14:textId="722F9C81" w:rsidR="00076432" w:rsidRDefault="00500371">
          <w:pPr>
            <w:pStyle w:val="TOC2"/>
            <w:tabs>
              <w:tab w:val="right" w:leader="dot" w:pos="13670"/>
            </w:tabs>
            <w:rPr>
              <w:rFonts w:eastAsiaTheme="minorEastAsia"/>
              <w:noProof/>
            </w:rPr>
          </w:pPr>
          <w:hyperlink w:anchor="_Toc106369748" w:history="1">
            <w:r w:rsidR="00076432" w:rsidRPr="00704760">
              <w:rPr>
                <w:rStyle w:val="Hyperlink"/>
                <w:noProof/>
              </w:rPr>
              <w:t>Cannabidiol (CBD) Extract (Epidiolex)</w:t>
            </w:r>
            <w:r w:rsidR="00076432">
              <w:rPr>
                <w:noProof/>
                <w:webHidden/>
              </w:rPr>
              <w:tab/>
            </w:r>
            <w:r w:rsidR="00076432">
              <w:rPr>
                <w:noProof/>
                <w:webHidden/>
              </w:rPr>
              <w:fldChar w:fldCharType="begin"/>
            </w:r>
            <w:r w:rsidR="00076432">
              <w:rPr>
                <w:noProof/>
                <w:webHidden/>
              </w:rPr>
              <w:instrText xml:space="preserve"> PAGEREF _Toc106369748 \h </w:instrText>
            </w:r>
            <w:r w:rsidR="00076432">
              <w:rPr>
                <w:noProof/>
                <w:webHidden/>
              </w:rPr>
            </w:r>
            <w:r w:rsidR="00076432">
              <w:rPr>
                <w:noProof/>
                <w:webHidden/>
              </w:rPr>
              <w:fldChar w:fldCharType="separate"/>
            </w:r>
            <w:r w:rsidR="00076432">
              <w:rPr>
                <w:noProof/>
                <w:webHidden/>
              </w:rPr>
              <w:t>121</w:t>
            </w:r>
            <w:r w:rsidR="00076432">
              <w:rPr>
                <w:noProof/>
                <w:webHidden/>
              </w:rPr>
              <w:fldChar w:fldCharType="end"/>
            </w:r>
          </w:hyperlink>
        </w:p>
        <w:p w14:paraId="3B646A5B" w14:textId="39676DC3" w:rsidR="00076432" w:rsidRDefault="00500371">
          <w:pPr>
            <w:pStyle w:val="TOC2"/>
            <w:tabs>
              <w:tab w:val="right" w:leader="dot" w:pos="13670"/>
            </w:tabs>
            <w:rPr>
              <w:rFonts w:eastAsiaTheme="minorEastAsia"/>
              <w:noProof/>
            </w:rPr>
          </w:pPr>
          <w:hyperlink w:anchor="_Toc106369749" w:history="1">
            <w:r w:rsidR="00076432" w:rsidRPr="00704760">
              <w:rPr>
                <w:rStyle w:val="Hyperlink"/>
                <w:noProof/>
              </w:rPr>
              <w:t>Caplacizumab (Cablivi)</w:t>
            </w:r>
            <w:r w:rsidR="00076432">
              <w:rPr>
                <w:noProof/>
                <w:webHidden/>
              </w:rPr>
              <w:tab/>
            </w:r>
            <w:r w:rsidR="00076432">
              <w:rPr>
                <w:noProof/>
                <w:webHidden/>
              </w:rPr>
              <w:fldChar w:fldCharType="begin"/>
            </w:r>
            <w:r w:rsidR="00076432">
              <w:rPr>
                <w:noProof/>
                <w:webHidden/>
              </w:rPr>
              <w:instrText xml:space="preserve"> PAGEREF _Toc106369749 \h </w:instrText>
            </w:r>
            <w:r w:rsidR="00076432">
              <w:rPr>
                <w:noProof/>
                <w:webHidden/>
              </w:rPr>
            </w:r>
            <w:r w:rsidR="00076432">
              <w:rPr>
                <w:noProof/>
                <w:webHidden/>
              </w:rPr>
              <w:fldChar w:fldCharType="separate"/>
            </w:r>
            <w:r w:rsidR="00076432">
              <w:rPr>
                <w:noProof/>
                <w:webHidden/>
              </w:rPr>
              <w:t>123</w:t>
            </w:r>
            <w:r w:rsidR="00076432">
              <w:rPr>
                <w:noProof/>
                <w:webHidden/>
              </w:rPr>
              <w:fldChar w:fldCharType="end"/>
            </w:r>
          </w:hyperlink>
        </w:p>
        <w:p w14:paraId="1650FCCD" w14:textId="77B144EF" w:rsidR="00076432" w:rsidRDefault="00500371">
          <w:pPr>
            <w:pStyle w:val="TOC2"/>
            <w:tabs>
              <w:tab w:val="right" w:leader="dot" w:pos="13670"/>
            </w:tabs>
            <w:rPr>
              <w:rFonts w:eastAsiaTheme="minorEastAsia"/>
              <w:noProof/>
            </w:rPr>
          </w:pPr>
          <w:hyperlink w:anchor="_Toc106369750" w:history="1">
            <w:r w:rsidR="00076432" w:rsidRPr="00704760">
              <w:rPr>
                <w:rStyle w:val="Hyperlink"/>
                <w:noProof/>
              </w:rPr>
              <w:t>Carfilzomib (Kyprolis)</w:t>
            </w:r>
            <w:r w:rsidR="00076432">
              <w:rPr>
                <w:noProof/>
                <w:webHidden/>
              </w:rPr>
              <w:tab/>
            </w:r>
            <w:r w:rsidR="00076432">
              <w:rPr>
                <w:noProof/>
                <w:webHidden/>
              </w:rPr>
              <w:fldChar w:fldCharType="begin"/>
            </w:r>
            <w:r w:rsidR="00076432">
              <w:rPr>
                <w:noProof/>
                <w:webHidden/>
              </w:rPr>
              <w:instrText xml:space="preserve"> PAGEREF _Toc106369750 \h </w:instrText>
            </w:r>
            <w:r w:rsidR="00076432">
              <w:rPr>
                <w:noProof/>
                <w:webHidden/>
              </w:rPr>
            </w:r>
            <w:r w:rsidR="00076432">
              <w:rPr>
                <w:noProof/>
                <w:webHidden/>
              </w:rPr>
              <w:fldChar w:fldCharType="separate"/>
            </w:r>
            <w:r w:rsidR="00076432">
              <w:rPr>
                <w:noProof/>
                <w:webHidden/>
              </w:rPr>
              <w:t>124</w:t>
            </w:r>
            <w:r w:rsidR="00076432">
              <w:rPr>
                <w:noProof/>
                <w:webHidden/>
              </w:rPr>
              <w:fldChar w:fldCharType="end"/>
            </w:r>
          </w:hyperlink>
        </w:p>
        <w:p w14:paraId="3BFF12D9" w14:textId="3E497461" w:rsidR="00076432" w:rsidRDefault="00500371">
          <w:pPr>
            <w:pStyle w:val="TOC2"/>
            <w:tabs>
              <w:tab w:val="right" w:leader="dot" w:pos="13670"/>
            </w:tabs>
            <w:rPr>
              <w:rFonts w:eastAsiaTheme="minorEastAsia"/>
              <w:noProof/>
            </w:rPr>
          </w:pPr>
          <w:hyperlink w:anchor="_Toc106369751" w:history="1">
            <w:r w:rsidR="00076432" w:rsidRPr="00704760">
              <w:rPr>
                <w:rStyle w:val="Hyperlink"/>
                <w:noProof/>
              </w:rPr>
              <w:t>Cenegermin (Oxervate)</w:t>
            </w:r>
            <w:r w:rsidR="00076432">
              <w:rPr>
                <w:noProof/>
                <w:webHidden/>
              </w:rPr>
              <w:tab/>
            </w:r>
            <w:r w:rsidR="00076432">
              <w:rPr>
                <w:noProof/>
                <w:webHidden/>
              </w:rPr>
              <w:fldChar w:fldCharType="begin"/>
            </w:r>
            <w:r w:rsidR="00076432">
              <w:rPr>
                <w:noProof/>
                <w:webHidden/>
              </w:rPr>
              <w:instrText xml:space="preserve"> PAGEREF _Toc106369751 \h </w:instrText>
            </w:r>
            <w:r w:rsidR="00076432">
              <w:rPr>
                <w:noProof/>
                <w:webHidden/>
              </w:rPr>
            </w:r>
            <w:r w:rsidR="00076432">
              <w:rPr>
                <w:noProof/>
                <w:webHidden/>
              </w:rPr>
              <w:fldChar w:fldCharType="separate"/>
            </w:r>
            <w:r w:rsidR="00076432">
              <w:rPr>
                <w:noProof/>
                <w:webHidden/>
              </w:rPr>
              <w:t>127</w:t>
            </w:r>
            <w:r w:rsidR="00076432">
              <w:rPr>
                <w:noProof/>
                <w:webHidden/>
              </w:rPr>
              <w:fldChar w:fldCharType="end"/>
            </w:r>
          </w:hyperlink>
        </w:p>
        <w:p w14:paraId="4382E885" w14:textId="4337968D" w:rsidR="00076432" w:rsidRDefault="00500371">
          <w:pPr>
            <w:pStyle w:val="TOC2"/>
            <w:tabs>
              <w:tab w:val="right" w:leader="dot" w:pos="13670"/>
            </w:tabs>
            <w:rPr>
              <w:rFonts w:eastAsiaTheme="minorEastAsia"/>
              <w:noProof/>
            </w:rPr>
          </w:pPr>
          <w:hyperlink w:anchor="_Toc106369752" w:history="1">
            <w:r w:rsidR="00076432" w:rsidRPr="00704760">
              <w:rPr>
                <w:rStyle w:val="Hyperlink"/>
                <w:noProof/>
                <w:lang w:val="es-ES"/>
              </w:rPr>
              <w:t>Aimovig (erenumab)</w:t>
            </w:r>
            <w:r w:rsidR="00076432">
              <w:rPr>
                <w:noProof/>
                <w:webHidden/>
              </w:rPr>
              <w:tab/>
            </w:r>
            <w:r w:rsidR="00076432">
              <w:rPr>
                <w:noProof/>
                <w:webHidden/>
              </w:rPr>
              <w:fldChar w:fldCharType="begin"/>
            </w:r>
            <w:r w:rsidR="00076432">
              <w:rPr>
                <w:noProof/>
                <w:webHidden/>
              </w:rPr>
              <w:instrText xml:space="preserve"> PAGEREF _Toc106369752 \h </w:instrText>
            </w:r>
            <w:r w:rsidR="00076432">
              <w:rPr>
                <w:noProof/>
                <w:webHidden/>
              </w:rPr>
            </w:r>
            <w:r w:rsidR="00076432">
              <w:rPr>
                <w:noProof/>
                <w:webHidden/>
              </w:rPr>
              <w:fldChar w:fldCharType="separate"/>
            </w:r>
            <w:r w:rsidR="00076432">
              <w:rPr>
                <w:noProof/>
                <w:webHidden/>
              </w:rPr>
              <w:t>129</w:t>
            </w:r>
            <w:r w:rsidR="00076432">
              <w:rPr>
                <w:noProof/>
                <w:webHidden/>
              </w:rPr>
              <w:fldChar w:fldCharType="end"/>
            </w:r>
          </w:hyperlink>
        </w:p>
        <w:p w14:paraId="101F206B" w14:textId="79895470" w:rsidR="00076432" w:rsidRDefault="00500371">
          <w:pPr>
            <w:pStyle w:val="TOC2"/>
            <w:tabs>
              <w:tab w:val="right" w:leader="dot" w:pos="13670"/>
            </w:tabs>
            <w:rPr>
              <w:rFonts w:eastAsiaTheme="minorEastAsia"/>
              <w:noProof/>
            </w:rPr>
          </w:pPr>
          <w:hyperlink w:anchor="_Toc106369753" w:history="1">
            <w:r w:rsidR="00076432" w:rsidRPr="00704760">
              <w:rPr>
                <w:rStyle w:val="Hyperlink"/>
                <w:noProof/>
              </w:rPr>
              <w:t>Cladribine oral (Mavenclad)</w:t>
            </w:r>
            <w:r w:rsidR="00076432">
              <w:rPr>
                <w:noProof/>
                <w:webHidden/>
              </w:rPr>
              <w:tab/>
            </w:r>
            <w:r w:rsidR="00076432">
              <w:rPr>
                <w:noProof/>
                <w:webHidden/>
              </w:rPr>
              <w:fldChar w:fldCharType="begin"/>
            </w:r>
            <w:r w:rsidR="00076432">
              <w:rPr>
                <w:noProof/>
                <w:webHidden/>
              </w:rPr>
              <w:instrText xml:space="preserve"> PAGEREF _Toc106369753 \h </w:instrText>
            </w:r>
            <w:r w:rsidR="00076432">
              <w:rPr>
                <w:noProof/>
                <w:webHidden/>
              </w:rPr>
            </w:r>
            <w:r w:rsidR="00076432">
              <w:rPr>
                <w:noProof/>
                <w:webHidden/>
              </w:rPr>
              <w:fldChar w:fldCharType="separate"/>
            </w:r>
            <w:r w:rsidR="00076432">
              <w:rPr>
                <w:noProof/>
                <w:webHidden/>
              </w:rPr>
              <w:t>130</w:t>
            </w:r>
            <w:r w:rsidR="00076432">
              <w:rPr>
                <w:noProof/>
                <w:webHidden/>
              </w:rPr>
              <w:fldChar w:fldCharType="end"/>
            </w:r>
          </w:hyperlink>
        </w:p>
        <w:p w14:paraId="152B6424" w14:textId="147A1E1D" w:rsidR="00076432" w:rsidRDefault="00500371">
          <w:pPr>
            <w:pStyle w:val="TOC2"/>
            <w:tabs>
              <w:tab w:val="right" w:leader="dot" w:pos="13670"/>
            </w:tabs>
            <w:rPr>
              <w:rFonts w:eastAsiaTheme="minorEastAsia"/>
              <w:noProof/>
            </w:rPr>
          </w:pPr>
          <w:hyperlink w:anchor="_Toc106369754" w:history="1">
            <w:r w:rsidR="00076432" w:rsidRPr="00704760">
              <w:rPr>
                <w:rStyle w:val="Hyperlink"/>
                <w:noProof/>
              </w:rPr>
              <w:t>Clobazam (Onfi)</w:t>
            </w:r>
            <w:r w:rsidR="00076432">
              <w:rPr>
                <w:noProof/>
                <w:webHidden/>
              </w:rPr>
              <w:tab/>
            </w:r>
            <w:r w:rsidR="00076432">
              <w:rPr>
                <w:noProof/>
                <w:webHidden/>
              </w:rPr>
              <w:fldChar w:fldCharType="begin"/>
            </w:r>
            <w:r w:rsidR="00076432">
              <w:rPr>
                <w:noProof/>
                <w:webHidden/>
              </w:rPr>
              <w:instrText xml:space="preserve"> PAGEREF _Toc106369754 \h </w:instrText>
            </w:r>
            <w:r w:rsidR="00076432">
              <w:rPr>
                <w:noProof/>
                <w:webHidden/>
              </w:rPr>
            </w:r>
            <w:r w:rsidR="00076432">
              <w:rPr>
                <w:noProof/>
                <w:webHidden/>
              </w:rPr>
              <w:fldChar w:fldCharType="separate"/>
            </w:r>
            <w:r w:rsidR="00076432">
              <w:rPr>
                <w:noProof/>
                <w:webHidden/>
              </w:rPr>
              <w:t>132</w:t>
            </w:r>
            <w:r w:rsidR="00076432">
              <w:rPr>
                <w:noProof/>
                <w:webHidden/>
              </w:rPr>
              <w:fldChar w:fldCharType="end"/>
            </w:r>
          </w:hyperlink>
        </w:p>
        <w:p w14:paraId="3CAD868E" w14:textId="2164D417" w:rsidR="00076432" w:rsidRDefault="00500371">
          <w:pPr>
            <w:pStyle w:val="TOC2"/>
            <w:tabs>
              <w:tab w:val="right" w:leader="dot" w:pos="13670"/>
            </w:tabs>
            <w:rPr>
              <w:rFonts w:eastAsiaTheme="minorEastAsia"/>
              <w:noProof/>
            </w:rPr>
          </w:pPr>
          <w:hyperlink w:anchor="_Toc106369755" w:history="1">
            <w:r w:rsidR="00076432" w:rsidRPr="00704760">
              <w:rPr>
                <w:rStyle w:val="Hyperlink"/>
                <w:noProof/>
              </w:rPr>
              <w:t>Coagulation Factor X, Human (Coagadex)</w:t>
            </w:r>
            <w:r w:rsidR="00076432">
              <w:rPr>
                <w:noProof/>
                <w:webHidden/>
              </w:rPr>
              <w:tab/>
            </w:r>
            <w:r w:rsidR="00076432">
              <w:rPr>
                <w:noProof/>
                <w:webHidden/>
              </w:rPr>
              <w:fldChar w:fldCharType="begin"/>
            </w:r>
            <w:r w:rsidR="00076432">
              <w:rPr>
                <w:noProof/>
                <w:webHidden/>
              </w:rPr>
              <w:instrText xml:space="preserve"> PAGEREF _Toc106369755 \h </w:instrText>
            </w:r>
            <w:r w:rsidR="00076432">
              <w:rPr>
                <w:noProof/>
                <w:webHidden/>
              </w:rPr>
            </w:r>
            <w:r w:rsidR="00076432">
              <w:rPr>
                <w:noProof/>
                <w:webHidden/>
              </w:rPr>
              <w:fldChar w:fldCharType="separate"/>
            </w:r>
            <w:r w:rsidR="00076432">
              <w:rPr>
                <w:noProof/>
                <w:webHidden/>
              </w:rPr>
              <w:t>135</w:t>
            </w:r>
            <w:r w:rsidR="00076432">
              <w:rPr>
                <w:noProof/>
                <w:webHidden/>
              </w:rPr>
              <w:fldChar w:fldCharType="end"/>
            </w:r>
          </w:hyperlink>
        </w:p>
        <w:p w14:paraId="680FC861" w14:textId="41BFF3BF" w:rsidR="00076432" w:rsidRDefault="00500371">
          <w:pPr>
            <w:pStyle w:val="TOC2"/>
            <w:tabs>
              <w:tab w:val="right" w:leader="dot" w:pos="13670"/>
            </w:tabs>
            <w:rPr>
              <w:rFonts w:eastAsiaTheme="minorEastAsia"/>
              <w:noProof/>
            </w:rPr>
          </w:pPr>
          <w:hyperlink w:anchor="_Toc106369756" w:history="1">
            <w:r w:rsidR="00076432" w:rsidRPr="00704760">
              <w:rPr>
                <w:rStyle w:val="Hyperlink"/>
                <w:noProof/>
              </w:rPr>
              <w:t>Cobimetinib (Cotellic)</w:t>
            </w:r>
            <w:r w:rsidR="00076432">
              <w:rPr>
                <w:noProof/>
                <w:webHidden/>
              </w:rPr>
              <w:tab/>
            </w:r>
            <w:r w:rsidR="00076432">
              <w:rPr>
                <w:noProof/>
                <w:webHidden/>
              </w:rPr>
              <w:fldChar w:fldCharType="begin"/>
            </w:r>
            <w:r w:rsidR="00076432">
              <w:rPr>
                <w:noProof/>
                <w:webHidden/>
              </w:rPr>
              <w:instrText xml:space="preserve"> PAGEREF _Toc106369756 \h </w:instrText>
            </w:r>
            <w:r w:rsidR="00076432">
              <w:rPr>
                <w:noProof/>
                <w:webHidden/>
              </w:rPr>
            </w:r>
            <w:r w:rsidR="00076432">
              <w:rPr>
                <w:noProof/>
                <w:webHidden/>
              </w:rPr>
              <w:fldChar w:fldCharType="separate"/>
            </w:r>
            <w:r w:rsidR="00076432">
              <w:rPr>
                <w:noProof/>
                <w:webHidden/>
              </w:rPr>
              <w:t>136</w:t>
            </w:r>
            <w:r w:rsidR="00076432">
              <w:rPr>
                <w:noProof/>
                <w:webHidden/>
              </w:rPr>
              <w:fldChar w:fldCharType="end"/>
            </w:r>
          </w:hyperlink>
        </w:p>
        <w:p w14:paraId="4087266D" w14:textId="7CAA3B4D" w:rsidR="00076432" w:rsidRDefault="00500371">
          <w:pPr>
            <w:pStyle w:val="TOC2"/>
            <w:tabs>
              <w:tab w:val="right" w:leader="dot" w:pos="13670"/>
            </w:tabs>
            <w:rPr>
              <w:rFonts w:eastAsiaTheme="minorEastAsia"/>
              <w:noProof/>
            </w:rPr>
          </w:pPr>
          <w:hyperlink w:anchor="_Toc106369757" w:history="1">
            <w:r w:rsidR="00076432" w:rsidRPr="00704760">
              <w:rPr>
                <w:rStyle w:val="Hyperlink"/>
                <w:noProof/>
              </w:rPr>
              <w:t>Cysteamine (Cystadrops)</w:t>
            </w:r>
            <w:r w:rsidR="00076432">
              <w:rPr>
                <w:noProof/>
                <w:webHidden/>
              </w:rPr>
              <w:tab/>
            </w:r>
            <w:r w:rsidR="00076432">
              <w:rPr>
                <w:noProof/>
                <w:webHidden/>
              </w:rPr>
              <w:fldChar w:fldCharType="begin"/>
            </w:r>
            <w:r w:rsidR="00076432">
              <w:rPr>
                <w:noProof/>
                <w:webHidden/>
              </w:rPr>
              <w:instrText xml:space="preserve"> PAGEREF _Toc106369757 \h </w:instrText>
            </w:r>
            <w:r w:rsidR="00076432">
              <w:rPr>
                <w:noProof/>
                <w:webHidden/>
              </w:rPr>
            </w:r>
            <w:r w:rsidR="00076432">
              <w:rPr>
                <w:noProof/>
                <w:webHidden/>
              </w:rPr>
              <w:fldChar w:fldCharType="separate"/>
            </w:r>
            <w:r w:rsidR="00076432">
              <w:rPr>
                <w:noProof/>
                <w:webHidden/>
              </w:rPr>
              <w:t>138</w:t>
            </w:r>
            <w:r w:rsidR="00076432">
              <w:rPr>
                <w:noProof/>
                <w:webHidden/>
              </w:rPr>
              <w:fldChar w:fldCharType="end"/>
            </w:r>
          </w:hyperlink>
        </w:p>
        <w:p w14:paraId="1BDA00BC" w14:textId="504137EA" w:rsidR="00076432" w:rsidRDefault="00500371">
          <w:pPr>
            <w:pStyle w:val="TOC2"/>
            <w:tabs>
              <w:tab w:val="right" w:leader="dot" w:pos="13670"/>
            </w:tabs>
            <w:rPr>
              <w:rFonts w:eastAsiaTheme="minorEastAsia"/>
              <w:noProof/>
            </w:rPr>
          </w:pPr>
          <w:hyperlink w:anchor="_Toc106369758" w:history="1">
            <w:r w:rsidR="00076432" w:rsidRPr="00704760">
              <w:rPr>
                <w:rStyle w:val="Hyperlink"/>
                <w:noProof/>
              </w:rPr>
              <w:t>Dabrafenib (Tafinlar)</w:t>
            </w:r>
            <w:r w:rsidR="00076432">
              <w:rPr>
                <w:noProof/>
                <w:webHidden/>
              </w:rPr>
              <w:tab/>
            </w:r>
            <w:r w:rsidR="00076432">
              <w:rPr>
                <w:noProof/>
                <w:webHidden/>
              </w:rPr>
              <w:fldChar w:fldCharType="begin"/>
            </w:r>
            <w:r w:rsidR="00076432">
              <w:rPr>
                <w:noProof/>
                <w:webHidden/>
              </w:rPr>
              <w:instrText xml:space="preserve"> PAGEREF _Toc106369758 \h </w:instrText>
            </w:r>
            <w:r w:rsidR="00076432">
              <w:rPr>
                <w:noProof/>
                <w:webHidden/>
              </w:rPr>
            </w:r>
            <w:r w:rsidR="00076432">
              <w:rPr>
                <w:noProof/>
                <w:webHidden/>
              </w:rPr>
              <w:fldChar w:fldCharType="separate"/>
            </w:r>
            <w:r w:rsidR="00076432">
              <w:rPr>
                <w:noProof/>
                <w:webHidden/>
              </w:rPr>
              <w:t>139</w:t>
            </w:r>
            <w:r w:rsidR="00076432">
              <w:rPr>
                <w:noProof/>
                <w:webHidden/>
              </w:rPr>
              <w:fldChar w:fldCharType="end"/>
            </w:r>
          </w:hyperlink>
        </w:p>
        <w:p w14:paraId="155AFDAC" w14:textId="47F5487F" w:rsidR="00076432" w:rsidRDefault="00500371">
          <w:pPr>
            <w:pStyle w:val="TOC2"/>
            <w:tabs>
              <w:tab w:val="right" w:leader="dot" w:pos="13670"/>
            </w:tabs>
            <w:rPr>
              <w:rFonts w:eastAsiaTheme="minorEastAsia"/>
              <w:noProof/>
            </w:rPr>
          </w:pPr>
          <w:hyperlink w:anchor="_Toc106369759" w:history="1">
            <w:r w:rsidR="00076432" w:rsidRPr="00704760">
              <w:rPr>
                <w:rStyle w:val="Hyperlink"/>
                <w:noProof/>
              </w:rPr>
              <w:t>Dacomitinib (Vizimpro</w:t>
            </w:r>
            <w:r w:rsidR="00076432" w:rsidRPr="00704760">
              <w:rPr>
                <w:rStyle w:val="Hyperlink"/>
                <w:noProof/>
                <w:vertAlign w:val="superscript"/>
              </w:rPr>
              <w:sym w:font="Symbol" w:char="F0E2"/>
            </w:r>
            <w:r w:rsidR="00076432" w:rsidRPr="00704760">
              <w:rPr>
                <w:rStyle w:val="Hyperlink"/>
                <w:noProof/>
              </w:rPr>
              <w:t>)</w:t>
            </w:r>
            <w:r w:rsidR="00076432">
              <w:rPr>
                <w:noProof/>
                <w:webHidden/>
              </w:rPr>
              <w:tab/>
            </w:r>
            <w:r w:rsidR="00076432">
              <w:rPr>
                <w:noProof/>
                <w:webHidden/>
              </w:rPr>
              <w:fldChar w:fldCharType="begin"/>
            </w:r>
            <w:r w:rsidR="00076432">
              <w:rPr>
                <w:noProof/>
                <w:webHidden/>
              </w:rPr>
              <w:instrText xml:space="preserve"> PAGEREF _Toc106369759 \h </w:instrText>
            </w:r>
            <w:r w:rsidR="00076432">
              <w:rPr>
                <w:noProof/>
                <w:webHidden/>
              </w:rPr>
            </w:r>
            <w:r w:rsidR="00076432">
              <w:rPr>
                <w:noProof/>
                <w:webHidden/>
              </w:rPr>
              <w:fldChar w:fldCharType="separate"/>
            </w:r>
            <w:r w:rsidR="00076432">
              <w:rPr>
                <w:noProof/>
                <w:webHidden/>
              </w:rPr>
              <w:t>144</w:t>
            </w:r>
            <w:r w:rsidR="00076432">
              <w:rPr>
                <w:noProof/>
                <w:webHidden/>
              </w:rPr>
              <w:fldChar w:fldCharType="end"/>
            </w:r>
          </w:hyperlink>
        </w:p>
        <w:p w14:paraId="5EC26D00" w14:textId="665AA420" w:rsidR="00076432" w:rsidRDefault="00500371">
          <w:pPr>
            <w:pStyle w:val="TOC2"/>
            <w:tabs>
              <w:tab w:val="right" w:leader="dot" w:pos="13670"/>
            </w:tabs>
            <w:rPr>
              <w:rFonts w:eastAsiaTheme="minorEastAsia"/>
              <w:noProof/>
            </w:rPr>
          </w:pPr>
          <w:hyperlink w:anchor="_Toc106369760" w:history="1">
            <w:r w:rsidR="00076432" w:rsidRPr="00704760">
              <w:rPr>
                <w:rStyle w:val="Hyperlink"/>
                <w:noProof/>
              </w:rPr>
              <w:t>Daratumumab (Darzalex)</w:t>
            </w:r>
            <w:r w:rsidR="00076432">
              <w:rPr>
                <w:noProof/>
                <w:webHidden/>
              </w:rPr>
              <w:tab/>
            </w:r>
            <w:r w:rsidR="00076432">
              <w:rPr>
                <w:noProof/>
                <w:webHidden/>
              </w:rPr>
              <w:fldChar w:fldCharType="begin"/>
            </w:r>
            <w:r w:rsidR="00076432">
              <w:rPr>
                <w:noProof/>
                <w:webHidden/>
              </w:rPr>
              <w:instrText xml:space="preserve"> PAGEREF _Toc106369760 \h </w:instrText>
            </w:r>
            <w:r w:rsidR="00076432">
              <w:rPr>
                <w:noProof/>
                <w:webHidden/>
              </w:rPr>
            </w:r>
            <w:r w:rsidR="00076432">
              <w:rPr>
                <w:noProof/>
                <w:webHidden/>
              </w:rPr>
              <w:fldChar w:fldCharType="separate"/>
            </w:r>
            <w:r w:rsidR="00076432">
              <w:rPr>
                <w:noProof/>
                <w:webHidden/>
              </w:rPr>
              <w:t>146</w:t>
            </w:r>
            <w:r w:rsidR="00076432">
              <w:rPr>
                <w:noProof/>
                <w:webHidden/>
              </w:rPr>
              <w:fldChar w:fldCharType="end"/>
            </w:r>
          </w:hyperlink>
        </w:p>
        <w:p w14:paraId="63DC77B5" w14:textId="40D123CD" w:rsidR="00076432" w:rsidRDefault="00500371">
          <w:pPr>
            <w:pStyle w:val="TOC2"/>
            <w:tabs>
              <w:tab w:val="right" w:leader="dot" w:pos="13670"/>
            </w:tabs>
            <w:rPr>
              <w:rFonts w:eastAsiaTheme="minorEastAsia"/>
              <w:noProof/>
            </w:rPr>
          </w:pPr>
          <w:hyperlink w:anchor="_Toc106369761" w:history="1">
            <w:r w:rsidR="00076432" w:rsidRPr="00704760">
              <w:rPr>
                <w:rStyle w:val="Hyperlink"/>
                <w:noProof/>
              </w:rPr>
              <w:t>Daratumumab and hyaluronidase (Darzalex Faspro)</w:t>
            </w:r>
            <w:r w:rsidR="00076432">
              <w:rPr>
                <w:noProof/>
                <w:webHidden/>
              </w:rPr>
              <w:tab/>
            </w:r>
            <w:r w:rsidR="00076432">
              <w:rPr>
                <w:noProof/>
                <w:webHidden/>
              </w:rPr>
              <w:fldChar w:fldCharType="begin"/>
            </w:r>
            <w:r w:rsidR="00076432">
              <w:rPr>
                <w:noProof/>
                <w:webHidden/>
              </w:rPr>
              <w:instrText xml:space="preserve"> PAGEREF _Toc106369761 \h </w:instrText>
            </w:r>
            <w:r w:rsidR="00076432">
              <w:rPr>
                <w:noProof/>
                <w:webHidden/>
              </w:rPr>
            </w:r>
            <w:r w:rsidR="00076432">
              <w:rPr>
                <w:noProof/>
                <w:webHidden/>
              </w:rPr>
              <w:fldChar w:fldCharType="separate"/>
            </w:r>
            <w:r w:rsidR="00076432">
              <w:rPr>
                <w:noProof/>
                <w:webHidden/>
              </w:rPr>
              <w:t>146</w:t>
            </w:r>
            <w:r w:rsidR="00076432">
              <w:rPr>
                <w:noProof/>
                <w:webHidden/>
              </w:rPr>
              <w:fldChar w:fldCharType="end"/>
            </w:r>
          </w:hyperlink>
        </w:p>
        <w:p w14:paraId="1BE94B60" w14:textId="3F4B4153" w:rsidR="00076432" w:rsidRDefault="00500371">
          <w:pPr>
            <w:pStyle w:val="TOC2"/>
            <w:tabs>
              <w:tab w:val="right" w:leader="dot" w:pos="13670"/>
            </w:tabs>
            <w:rPr>
              <w:rFonts w:eastAsiaTheme="minorEastAsia"/>
              <w:noProof/>
            </w:rPr>
          </w:pPr>
          <w:hyperlink w:anchor="_Toc106369762" w:history="1">
            <w:r w:rsidR="00076432" w:rsidRPr="00704760">
              <w:rPr>
                <w:rStyle w:val="Hyperlink"/>
                <w:noProof/>
              </w:rPr>
              <w:t>Darolutamide (Nubeqa)</w:t>
            </w:r>
            <w:r w:rsidR="00076432">
              <w:rPr>
                <w:noProof/>
                <w:webHidden/>
              </w:rPr>
              <w:tab/>
            </w:r>
            <w:r w:rsidR="00076432">
              <w:rPr>
                <w:noProof/>
                <w:webHidden/>
              </w:rPr>
              <w:fldChar w:fldCharType="begin"/>
            </w:r>
            <w:r w:rsidR="00076432">
              <w:rPr>
                <w:noProof/>
                <w:webHidden/>
              </w:rPr>
              <w:instrText xml:space="preserve"> PAGEREF _Toc106369762 \h </w:instrText>
            </w:r>
            <w:r w:rsidR="00076432">
              <w:rPr>
                <w:noProof/>
                <w:webHidden/>
              </w:rPr>
            </w:r>
            <w:r w:rsidR="00076432">
              <w:rPr>
                <w:noProof/>
                <w:webHidden/>
              </w:rPr>
              <w:fldChar w:fldCharType="separate"/>
            </w:r>
            <w:r w:rsidR="00076432">
              <w:rPr>
                <w:noProof/>
                <w:webHidden/>
              </w:rPr>
              <w:t>152</w:t>
            </w:r>
            <w:r w:rsidR="00076432">
              <w:rPr>
                <w:noProof/>
                <w:webHidden/>
              </w:rPr>
              <w:fldChar w:fldCharType="end"/>
            </w:r>
          </w:hyperlink>
        </w:p>
        <w:p w14:paraId="5FFD5593" w14:textId="53AFE0C1" w:rsidR="00076432" w:rsidRDefault="00500371">
          <w:pPr>
            <w:pStyle w:val="TOC2"/>
            <w:tabs>
              <w:tab w:val="right" w:leader="dot" w:pos="13670"/>
            </w:tabs>
            <w:rPr>
              <w:rFonts w:eastAsiaTheme="minorEastAsia"/>
              <w:noProof/>
            </w:rPr>
          </w:pPr>
          <w:hyperlink w:anchor="_Toc106369763" w:history="1">
            <w:r w:rsidR="00076432" w:rsidRPr="00704760">
              <w:rPr>
                <w:rStyle w:val="Hyperlink"/>
                <w:noProof/>
              </w:rPr>
              <w:t>Dasatinib (Sprycel)</w:t>
            </w:r>
            <w:r w:rsidR="00076432">
              <w:rPr>
                <w:noProof/>
                <w:webHidden/>
              </w:rPr>
              <w:tab/>
            </w:r>
            <w:r w:rsidR="00076432">
              <w:rPr>
                <w:noProof/>
                <w:webHidden/>
              </w:rPr>
              <w:fldChar w:fldCharType="begin"/>
            </w:r>
            <w:r w:rsidR="00076432">
              <w:rPr>
                <w:noProof/>
                <w:webHidden/>
              </w:rPr>
              <w:instrText xml:space="preserve"> PAGEREF _Toc106369763 \h </w:instrText>
            </w:r>
            <w:r w:rsidR="00076432">
              <w:rPr>
                <w:noProof/>
                <w:webHidden/>
              </w:rPr>
            </w:r>
            <w:r w:rsidR="00076432">
              <w:rPr>
                <w:noProof/>
                <w:webHidden/>
              </w:rPr>
              <w:fldChar w:fldCharType="separate"/>
            </w:r>
            <w:r w:rsidR="00076432">
              <w:rPr>
                <w:noProof/>
                <w:webHidden/>
              </w:rPr>
              <w:t>156</w:t>
            </w:r>
            <w:r w:rsidR="00076432">
              <w:rPr>
                <w:noProof/>
                <w:webHidden/>
              </w:rPr>
              <w:fldChar w:fldCharType="end"/>
            </w:r>
          </w:hyperlink>
        </w:p>
        <w:p w14:paraId="14C8CEFB" w14:textId="4E91F643" w:rsidR="00076432" w:rsidRDefault="00500371">
          <w:pPr>
            <w:pStyle w:val="TOC2"/>
            <w:tabs>
              <w:tab w:val="right" w:leader="dot" w:pos="13670"/>
            </w:tabs>
            <w:rPr>
              <w:rFonts w:eastAsiaTheme="minorEastAsia"/>
              <w:noProof/>
            </w:rPr>
          </w:pPr>
          <w:hyperlink w:anchor="_Toc106369764" w:history="1">
            <w:r w:rsidR="00076432" w:rsidRPr="00704760">
              <w:rPr>
                <w:rStyle w:val="Hyperlink"/>
                <w:noProof/>
              </w:rPr>
              <w:t>Deferasirox (Exjade)</w:t>
            </w:r>
            <w:r w:rsidR="00076432">
              <w:rPr>
                <w:noProof/>
                <w:webHidden/>
              </w:rPr>
              <w:tab/>
            </w:r>
            <w:r w:rsidR="00076432">
              <w:rPr>
                <w:noProof/>
                <w:webHidden/>
              </w:rPr>
              <w:fldChar w:fldCharType="begin"/>
            </w:r>
            <w:r w:rsidR="00076432">
              <w:rPr>
                <w:noProof/>
                <w:webHidden/>
              </w:rPr>
              <w:instrText xml:space="preserve"> PAGEREF _Toc106369764 \h </w:instrText>
            </w:r>
            <w:r w:rsidR="00076432">
              <w:rPr>
                <w:noProof/>
                <w:webHidden/>
              </w:rPr>
            </w:r>
            <w:r w:rsidR="00076432">
              <w:rPr>
                <w:noProof/>
                <w:webHidden/>
              </w:rPr>
              <w:fldChar w:fldCharType="separate"/>
            </w:r>
            <w:r w:rsidR="00076432">
              <w:rPr>
                <w:noProof/>
                <w:webHidden/>
              </w:rPr>
              <w:t>160</w:t>
            </w:r>
            <w:r w:rsidR="00076432">
              <w:rPr>
                <w:noProof/>
                <w:webHidden/>
              </w:rPr>
              <w:fldChar w:fldCharType="end"/>
            </w:r>
          </w:hyperlink>
        </w:p>
        <w:p w14:paraId="76B94035" w14:textId="2DF41610" w:rsidR="00076432" w:rsidRDefault="00500371">
          <w:pPr>
            <w:pStyle w:val="TOC2"/>
            <w:tabs>
              <w:tab w:val="right" w:leader="dot" w:pos="13670"/>
            </w:tabs>
            <w:rPr>
              <w:rFonts w:eastAsiaTheme="minorEastAsia"/>
              <w:noProof/>
            </w:rPr>
          </w:pPr>
          <w:hyperlink w:anchor="_Toc106369765" w:history="1">
            <w:r w:rsidR="00076432" w:rsidRPr="00704760">
              <w:rPr>
                <w:rStyle w:val="Hyperlink"/>
                <w:noProof/>
              </w:rPr>
              <w:t>Deferiprone (Ferriprox)</w:t>
            </w:r>
            <w:r w:rsidR="00076432">
              <w:rPr>
                <w:noProof/>
                <w:webHidden/>
              </w:rPr>
              <w:tab/>
            </w:r>
            <w:r w:rsidR="00076432">
              <w:rPr>
                <w:noProof/>
                <w:webHidden/>
              </w:rPr>
              <w:fldChar w:fldCharType="begin"/>
            </w:r>
            <w:r w:rsidR="00076432">
              <w:rPr>
                <w:noProof/>
                <w:webHidden/>
              </w:rPr>
              <w:instrText xml:space="preserve"> PAGEREF _Toc106369765 \h </w:instrText>
            </w:r>
            <w:r w:rsidR="00076432">
              <w:rPr>
                <w:noProof/>
                <w:webHidden/>
              </w:rPr>
            </w:r>
            <w:r w:rsidR="00076432">
              <w:rPr>
                <w:noProof/>
                <w:webHidden/>
              </w:rPr>
              <w:fldChar w:fldCharType="separate"/>
            </w:r>
            <w:r w:rsidR="00076432">
              <w:rPr>
                <w:noProof/>
                <w:webHidden/>
              </w:rPr>
              <w:t>164</w:t>
            </w:r>
            <w:r w:rsidR="00076432">
              <w:rPr>
                <w:noProof/>
                <w:webHidden/>
              </w:rPr>
              <w:fldChar w:fldCharType="end"/>
            </w:r>
          </w:hyperlink>
        </w:p>
        <w:p w14:paraId="3BE126F8" w14:textId="3EEA8FFD" w:rsidR="00076432" w:rsidRDefault="00500371">
          <w:pPr>
            <w:pStyle w:val="TOC2"/>
            <w:tabs>
              <w:tab w:val="right" w:leader="dot" w:pos="13670"/>
            </w:tabs>
            <w:rPr>
              <w:rFonts w:eastAsiaTheme="minorEastAsia"/>
              <w:noProof/>
            </w:rPr>
          </w:pPr>
          <w:hyperlink w:anchor="_Toc106369766" w:history="1">
            <w:r w:rsidR="00076432" w:rsidRPr="00704760">
              <w:rPr>
                <w:rStyle w:val="Hyperlink"/>
                <w:noProof/>
              </w:rPr>
              <w:t>Delafloxacin (Baxdela)</w:t>
            </w:r>
            <w:r w:rsidR="00076432">
              <w:rPr>
                <w:noProof/>
                <w:webHidden/>
              </w:rPr>
              <w:tab/>
            </w:r>
            <w:r w:rsidR="00076432">
              <w:rPr>
                <w:noProof/>
                <w:webHidden/>
              </w:rPr>
              <w:fldChar w:fldCharType="begin"/>
            </w:r>
            <w:r w:rsidR="00076432">
              <w:rPr>
                <w:noProof/>
                <w:webHidden/>
              </w:rPr>
              <w:instrText xml:space="preserve"> PAGEREF _Toc106369766 \h </w:instrText>
            </w:r>
            <w:r w:rsidR="00076432">
              <w:rPr>
                <w:noProof/>
                <w:webHidden/>
              </w:rPr>
            </w:r>
            <w:r w:rsidR="00076432">
              <w:rPr>
                <w:noProof/>
                <w:webHidden/>
              </w:rPr>
              <w:fldChar w:fldCharType="separate"/>
            </w:r>
            <w:r w:rsidR="00076432">
              <w:rPr>
                <w:noProof/>
                <w:webHidden/>
              </w:rPr>
              <w:t>166</w:t>
            </w:r>
            <w:r w:rsidR="00076432">
              <w:rPr>
                <w:noProof/>
                <w:webHidden/>
              </w:rPr>
              <w:fldChar w:fldCharType="end"/>
            </w:r>
          </w:hyperlink>
        </w:p>
        <w:p w14:paraId="47A0B95B" w14:textId="53A5FB05" w:rsidR="00076432" w:rsidRDefault="00500371">
          <w:pPr>
            <w:pStyle w:val="TOC2"/>
            <w:tabs>
              <w:tab w:val="right" w:leader="dot" w:pos="13670"/>
            </w:tabs>
            <w:rPr>
              <w:rFonts w:eastAsiaTheme="minorEastAsia"/>
              <w:noProof/>
            </w:rPr>
          </w:pPr>
          <w:hyperlink w:anchor="_Toc106369767" w:history="1">
            <w:r w:rsidR="00076432" w:rsidRPr="00704760">
              <w:rPr>
                <w:rStyle w:val="Hyperlink"/>
                <w:noProof/>
              </w:rPr>
              <w:t>Denosumab (Xgeva or Prolia)</w:t>
            </w:r>
            <w:r w:rsidR="00076432">
              <w:rPr>
                <w:noProof/>
                <w:webHidden/>
              </w:rPr>
              <w:tab/>
            </w:r>
            <w:r w:rsidR="00076432">
              <w:rPr>
                <w:noProof/>
                <w:webHidden/>
              </w:rPr>
              <w:fldChar w:fldCharType="begin"/>
            </w:r>
            <w:r w:rsidR="00076432">
              <w:rPr>
                <w:noProof/>
                <w:webHidden/>
              </w:rPr>
              <w:instrText xml:space="preserve"> PAGEREF _Toc106369767 \h </w:instrText>
            </w:r>
            <w:r w:rsidR="00076432">
              <w:rPr>
                <w:noProof/>
                <w:webHidden/>
              </w:rPr>
            </w:r>
            <w:r w:rsidR="00076432">
              <w:rPr>
                <w:noProof/>
                <w:webHidden/>
              </w:rPr>
              <w:fldChar w:fldCharType="separate"/>
            </w:r>
            <w:r w:rsidR="00076432">
              <w:rPr>
                <w:noProof/>
                <w:webHidden/>
              </w:rPr>
              <w:t>167</w:t>
            </w:r>
            <w:r w:rsidR="00076432">
              <w:rPr>
                <w:noProof/>
                <w:webHidden/>
              </w:rPr>
              <w:fldChar w:fldCharType="end"/>
            </w:r>
          </w:hyperlink>
        </w:p>
        <w:p w14:paraId="7BF3B9E9" w14:textId="7297377E" w:rsidR="00076432" w:rsidRDefault="00500371">
          <w:pPr>
            <w:pStyle w:val="TOC2"/>
            <w:tabs>
              <w:tab w:val="right" w:leader="dot" w:pos="13670"/>
            </w:tabs>
            <w:rPr>
              <w:rFonts w:eastAsiaTheme="minorEastAsia"/>
              <w:noProof/>
            </w:rPr>
          </w:pPr>
          <w:hyperlink w:anchor="_Toc106369768" w:history="1">
            <w:r w:rsidR="00076432" w:rsidRPr="00704760">
              <w:rPr>
                <w:rStyle w:val="Hyperlink"/>
                <w:noProof/>
                <w:lang w:val="es-ES"/>
              </w:rPr>
              <w:t>Dextromethorphan/quinidine (Nuedexta)</w:t>
            </w:r>
            <w:r w:rsidR="00076432">
              <w:rPr>
                <w:noProof/>
                <w:webHidden/>
              </w:rPr>
              <w:tab/>
            </w:r>
            <w:r w:rsidR="00076432">
              <w:rPr>
                <w:noProof/>
                <w:webHidden/>
              </w:rPr>
              <w:fldChar w:fldCharType="begin"/>
            </w:r>
            <w:r w:rsidR="00076432">
              <w:rPr>
                <w:noProof/>
                <w:webHidden/>
              </w:rPr>
              <w:instrText xml:space="preserve"> PAGEREF _Toc106369768 \h </w:instrText>
            </w:r>
            <w:r w:rsidR="00076432">
              <w:rPr>
                <w:noProof/>
                <w:webHidden/>
              </w:rPr>
            </w:r>
            <w:r w:rsidR="00076432">
              <w:rPr>
                <w:noProof/>
                <w:webHidden/>
              </w:rPr>
              <w:fldChar w:fldCharType="separate"/>
            </w:r>
            <w:r w:rsidR="00076432">
              <w:rPr>
                <w:noProof/>
                <w:webHidden/>
              </w:rPr>
              <w:t>178</w:t>
            </w:r>
            <w:r w:rsidR="00076432">
              <w:rPr>
                <w:noProof/>
                <w:webHidden/>
              </w:rPr>
              <w:fldChar w:fldCharType="end"/>
            </w:r>
          </w:hyperlink>
        </w:p>
        <w:p w14:paraId="50302863" w14:textId="5341B3F3" w:rsidR="00076432" w:rsidRDefault="00500371">
          <w:pPr>
            <w:pStyle w:val="TOC2"/>
            <w:tabs>
              <w:tab w:val="right" w:leader="dot" w:pos="13670"/>
            </w:tabs>
            <w:rPr>
              <w:rFonts w:eastAsiaTheme="minorEastAsia"/>
              <w:noProof/>
            </w:rPr>
          </w:pPr>
          <w:hyperlink w:anchor="_Toc106369769" w:history="1">
            <w:r w:rsidR="00076432" w:rsidRPr="00704760">
              <w:rPr>
                <w:rStyle w:val="Hyperlink"/>
                <w:noProof/>
              </w:rPr>
              <w:t>Diazepam (Valtoco)</w:t>
            </w:r>
            <w:r w:rsidR="00076432">
              <w:rPr>
                <w:noProof/>
                <w:webHidden/>
              </w:rPr>
              <w:tab/>
            </w:r>
            <w:r w:rsidR="00076432">
              <w:rPr>
                <w:noProof/>
                <w:webHidden/>
              </w:rPr>
              <w:fldChar w:fldCharType="begin"/>
            </w:r>
            <w:r w:rsidR="00076432">
              <w:rPr>
                <w:noProof/>
                <w:webHidden/>
              </w:rPr>
              <w:instrText xml:space="preserve"> PAGEREF _Toc106369769 \h </w:instrText>
            </w:r>
            <w:r w:rsidR="00076432">
              <w:rPr>
                <w:noProof/>
                <w:webHidden/>
              </w:rPr>
            </w:r>
            <w:r w:rsidR="00076432">
              <w:rPr>
                <w:noProof/>
                <w:webHidden/>
              </w:rPr>
              <w:fldChar w:fldCharType="separate"/>
            </w:r>
            <w:r w:rsidR="00076432">
              <w:rPr>
                <w:noProof/>
                <w:webHidden/>
              </w:rPr>
              <w:t>179</w:t>
            </w:r>
            <w:r w:rsidR="00076432">
              <w:rPr>
                <w:noProof/>
                <w:webHidden/>
              </w:rPr>
              <w:fldChar w:fldCharType="end"/>
            </w:r>
          </w:hyperlink>
        </w:p>
        <w:p w14:paraId="628A4AD5" w14:textId="3B733A8B" w:rsidR="00076432" w:rsidRDefault="00500371">
          <w:pPr>
            <w:pStyle w:val="TOC2"/>
            <w:tabs>
              <w:tab w:val="right" w:leader="dot" w:pos="13670"/>
            </w:tabs>
            <w:rPr>
              <w:rFonts w:eastAsiaTheme="minorEastAsia"/>
              <w:noProof/>
            </w:rPr>
          </w:pPr>
          <w:hyperlink w:anchor="_Toc106369770" w:history="1">
            <w:r w:rsidR="00076432" w:rsidRPr="00704760">
              <w:rPr>
                <w:rStyle w:val="Hyperlink"/>
                <w:noProof/>
              </w:rPr>
              <w:t>Dihydroergotamine (Migranal)</w:t>
            </w:r>
            <w:r w:rsidR="00076432">
              <w:rPr>
                <w:noProof/>
                <w:webHidden/>
              </w:rPr>
              <w:tab/>
            </w:r>
            <w:r w:rsidR="00076432">
              <w:rPr>
                <w:noProof/>
                <w:webHidden/>
              </w:rPr>
              <w:fldChar w:fldCharType="begin"/>
            </w:r>
            <w:r w:rsidR="00076432">
              <w:rPr>
                <w:noProof/>
                <w:webHidden/>
              </w:rPr>
              <w:instrText xml:space="preserve"> PAGEREF _Toc106369770 \h </w:instrText>
            </w:r>
            <w:r w:rsidR="00076432">
              <w:rPr>
                <w:noProof/>
                <w:webHidden/>
              </w:rPr>
            </w:r>
            <w:r w:rsidR="00076432">
              <w:rPr>
                <w:noProof/>
                <w:webHidden/>
              </w:rPr>
              <w:fldChar w:fldCharType="separate"/>
            </w:r>
            <w:r w:rsidR="00076432">
              <w:rPr>
                <w:noProof/>
                <w:webHidden/>
              </w:rPr>
              <w:t>181</w:t>
            </w:r>
            <w:r w:rsidR="00076432">
              <w:rPr>
                <w:noProof/>
                <w:webHidden/>
              </w:rPr>
              <w:fldChar w:fldCharType="end"/>
            </w:r>
          </w:hyperlink>
        </w:p>
        <w:p w14:paraId="6E65CAA8" w14:textId="70F44971" w:rsidR="00076432" w:rsidRDefault="00500371">
          <w:pPr>
            <w:pStyle w:val="TOC2"/>
            <w:tabs>
              <w:tab w:val="right" w:leader="dot" w:pos="13670"/>
            </w:tabs>
            <w:rPr>
              <w:rFonts w:eastAsiaTheme="minorEastAsia"/>
              <w:noProof/>
            </w:rPr>
          </w:pPr>
          <w:hyperlink w:anchor="_Toc106369771" w:history="1">
            <w:r w:rsidR="00076432" w:rsidRPr="00704760">
              <w:rPr>
                <w:rStyle w:val="Hyperlink"/>
                <w:noProof/>
              </w:rPr>
              <w:t>Dimethyl fumarate (Tecfidera)</w:t>
            </w:r>
            <w:r w:rsidR="00076432">
              <w:rPr>
                <w:noProof/>
                <w:webHidden/>
              </w:rPr>
              <w:tab/>
            </w:r>
            <w:r w:rsidR="00076432">
              <w:rPr>
                <w:noProof/>
                <w:webHidden/>
              </w:rPr>
              <w:fldChar w:fldCharType="begin"/>
            </w:r>
            <w:r w:rsidR="00076432">
              <w:rPr>
                <w:noProof/>
                <w:webHidden/>
              </w:rPr>
              <w:instrText xml:space="preserve"> PAGEREF _Toc106369771 \h </w:instrText>
            </w:r>
            <w:r w:rsidR="00076432">
              <w:rPr>
                <w:noProof/>
                <w:webHidden/>
              </w:rPr>
            </w:r>
            <w:r w:rsidR="00076432">
              <w:rPr>
                <w:noProof/>
                <w:webHidden/>
              </w:rPr>
              <w:fldChar w:fldCharType="separate"/>
            </w:r>
            <w:r w:rsidR="00076432">
              <w:rPr>
                <w:noProof/>
                <w:webHidden/>
              </w:rPr>
              <w:t>182</w:t>
            </w:r>
            <w:r w:rsidR="00076432">
              <w:rPr>
                <w:noProof/>
                <w:webHidden/>
              </w:rPr>
              <w:fldChar w:fldCharType="end"/>
            </w:r>
          </w:hyperlink>
        </w:p>
        <w:p w14:paraId="521C83D8" w14:textId="1354994C" w:rsidR="00076432" w:rsidRDefault="00500371">
          <w:pPr>
            <w:pStyle w:val="TOC2"/>
            <w:tabs>
              <w:tab w:val="right" w:leader="dot" w:pos="13670"/>
            </w:tabs>
            <w:rPr>
              <w:rFonts w:eastAsiaTheme="minorEastAsia"/>
              <w:noProof/>
            </w:rPr>
          </w:pPr>
          <w:hyperlink w:anchor="_Toc106369772" w:history="1">
            <w:r w:rsidR="00076432" w:rsidRPr="00704760">
              <w:rPr>
                <w:rStyle w:val="Hyperlink"/>
                <w:noProof/>
              </w:rPr>
              <w:t>Dolutegravir/rilpivirine (Juluca)</w:t>
            </w:r>
            <w:r w:rsidR="00076432">
              <w:rPr>
                <w:noProof/>
                <w:webHidden/>
              </w:rPr>
              <w:tab/>
            </w:r>
            <w:r w:rsidR="00076432">
              <w:rPr>
                <w:noProof/>
                <w:webHidden/>
              </w:rPr>
              <w:fldChar w:fldCharType="begin"/>
            </w:r>
            <w:r w:rsidR="00076432">
              <w:rPr>
                <w:noProof/>
                <w:webHidden/>
              </w:rPr>
              <w:instrText xml:space="preserve"> PAGEREF _Toc106369772 \h </w:instrText>
            </w:r>
            <w:r w:rsidR="00076432">
              <w:rPr>
                <w:noProof/>
                <w:webHidden/>
              </w:rPr>
            </w:r>
            <w:r w:rsidR="00076432">
              <w:rPr>
                <w:noProof/>
                <w:webHidden/>
              </w:rPr>
              <w:fldChar w:fldCharType="separate"/>
            </w:r>
            <w:r w:rsidR="00076432">
              <w:rPr>
                <w:noProof/>
                <w:webHidden/>
              </w:rPr>
              <w:t>183</w:t>
            </w:r>
            <w:r w:rsidR="00076432">
              <w:rPr>
                <w:noProof/>
                <w:webHidden/>
              </w:rPr>
              <w:fldChar w:fldCharType="end"/>
            </w:r>
          </w:hyperlink>
        </w:p>
        <w:p w14:paraId="2AFAD634" w14:textId="121D39B9" w:rsidR="00076432" w:rsidRDefault="00500371">
          <w:pPr>
            <w:pStyle w:val="TOC2"/>
            <w:tabs>
              <w:tab w:val="right" w:leader="dot" w:pos="13670"/>
            </w:tabs>
            <w:rPr>
              <w:rFonts w:eastAsiaTheme="minorEastAsia"/>
              <w:noProof/>
            </w:rPr>
          </w:pPr>
          <w:hyperlink w:anchor="_Toc106369773" w:history="1">
            <w:r w:rsidR="00076432" w:rsidRPr="00704760">
              <w:rPr>
                <w:rStyle w:val="Hyperlink"/>
                <w:noProof/>
              </w:rPr>
              <w:t>Dornase alfa (Pulmozyme)</w:t>
            </w:r>
            <w:r w:rsidR="00076432">
              <w:rPr>
                <w:noProof/>
                <w:webHidden/>
              </w:rPr>
              <w:tab/>
            </w:r>
            <w:r w:rsidR="00076432">
              <w:rPr>
                <w:noProof/>
                <w:webHidden/>
              </w:rPr>
              <w:fldChar w:fldCharType="begin"/>
            </w:r>
            <w:r w:rsidR="00076432">
              <w:rPr>
                <w:noProof/>
                <w:webHidden/>
              </w:rPr>
              <w:instrText xml:space="preserve"> PAGEREF _Toc106369773 \h </w:instrText>
            </w:r>
            <w:r w:rsidR="00076432">
              <w:rPr>
                <w:noProof/>
                <w:webHidden/>
              </w:rPr>
            </w:r>
            <w:r w:rsidR="00076432">
              <w:rPr>
                <w:noProof/>
                <w:webHidden/>
              </w:rPr>
              <w:fldChar w:fldCharType="separate"/>
            </w:r>
            <w:r w:rsidR="00076432">
              <w:rPr>
                <w:noProof/>
                <w:webHidden/>
              </w:rPr>
              <w:t>184</w:t>
            </w:r>
            <w:r w:rsidR="00076432">
              <w:rPr>
                <w:noProof/>
                <w:webHidden/>
              </w:rPr>
              <w:fldChar w:fldCharType="end"/>
            </w:r>
          </w:hyperlink>
        </w:p>
        <w:p w14:paraId="73F84F78" w14:textId="39F6918D" w:rsidR="00076432" w:rsidRDefault="00500371">
          <w:pPr>
            <w:pStyle w:val="TOC2"/>
            <w:tabs>
              <w:tab w:val="right" w:leader="dot" w:pos="13670"/>
            </w:tabs>
            <w:rPr>
              <w:rFonts w:eastAsiaTheme="minorEastAsia"/>
              <w:noProof/>
            </w:rPr>
          </w:pPr>
          <w:hyperlink w:anchor="_Toc106369774" w:history="1">
            <w:r w:rsidR="00076432" w:rsidRPr="00704760">
              <w:rPr>
                <w:rStyle w:val="Hyperlink"/>
                <w:noProof/>
              </w:rPr>
              <w:t>Dulaglutide (Trulicity)</w:t>
            </w:r>
            <w:r w:rsidR="00076432">
              <w:rPr>
                <w:noProof/>
                <w:webHidden/>
              </w:rPr>
              <w:tab/>
            </w:r>
            <w:r w:rsidR="00076432">
              <w:rPr>
                <w:noProof/>
                <w:webHidden/>
              </w:rPr>
              <w:fldChar w:fldCharType="begin"/>
            </w:r>
            <w:r w:rsidR="00076432">
              <w:rPr>
                <w:noProof/>
                <w:webHidden/>
              </w:rPr>
              <w:instrText xml:space="preserve"> PAGEREF _Toc106369774 \h </w:instrText>
            </w:r>
            <w:r w:rsidR="00076432">
              <w:rPr>
                <w:noProof/>
                <w:webHidden/>
              </w:rPr>
            </w:r>
            <w:r w:rsidR="00076432">
              <w:rPr>
                <w:noProof/>
                <w:webHidden/>
              </w:rPr>
              <w:fldChar w:fldCharType="separate"/>
            </w:r>
            <w:r w:rsidR="00076432">
              <w:rPr>
                <w:noProof/>
                <w:webHidden/>
              </w:rPr>
              <w:t>187</w:t>
            </w:r>
            <w:r w:rsidR="00076432">
              <w:rPr>
                <w:noProof/>
                <w:webHidden/>
              </w:rPr>
              <w:fldChar w:fldCharType="end"/>
            </w:r>
          </w:hyperlink>
        </w:p>
        <w:p w14:paraId="180DB2D8" w14:textId="792DB1F5" w:rsidR="00076432" w:rsidRDefault="00500371">
          <w:pPr>
            <w:pStyle w:val="TOC2"/>
            <w:tabs>
              <w:tab w:val="right" w:leader="dot" w:pos="13670"/>
            </w:tabs>
            <w:rPr>
              <w:rFonts w:eastAsiaTheme="minorEastAsia"/>
              <w:noProof/>
            </w:rPr>
          </w:pPr>
          <w:hyperlink w:anchor="_Toc106369775" w:history="1">
            <w:r w:rsidR="00076432" w:rsidRPr="00704760">
              <w:rPr>
                <w:rStyle w:val="Hyperlink"/>
                <w:noProof/>
              </w:rPr>
              <w:t>Dupilimab (Dupixent)</w:t>
            </w:r>
            <w:r w:rsidR="00076432">
              <w:rPr>
                <w:noProof/>
                <w:webHidden/>
              </w:rPr>
              <w:tab/>
            </w:r>
            <w:r w:rsidR="00076432">
              <w:rPr>
                <w:noProof/>
                <w:webHidden/>
              </w:rPr>
              <w:fldChar w:fldCharType="begin"/>
            </w:r>
            <w:r w:rsidR="00076432">
              <w:rPr>
                <w:noProof/>
                <w:webHidden/>
              </w:rPr>
              <w:instrText xml:space="preserve"> PAGEREF _Toc106369775 \h </w:instrText>
            </w:r>
            <w:r w:rsidR="00076432">
              <w:rPr>
                <w:noProof/>
                <w:webHidden/>
              </w:rPr>
            </w:r>
            <w:r w:rsidR="00076432">
              <w:rPr>
                <w:noProof/>
                <w:webHidden/>
              </w:rPr>
              <w:fldChar w:fldCharType="separate"/>
            </w:r>
            <w:r w:rsidR="00076432">
              <w:rPr>
                <w:noProof/>
                <w:webHidden/>
              </w:rPr>
              <w:t>189</w:t>
            </w:r>
            <w:r w:rsidR="00076432">
              <w:rPr>
                <w:noProof/>
                <w:webHidden/>
              </w:rPr>
              <w:fldChar w:fldCharType="end"/>
            </w:r>
          </w:hyperlink>
        </w:p>
        <w:p w14:paraId="6092D2DF" w14:textId="2D1CC5E3" w:rsidR="00076432" w:rsidRDefault="00500371">
          <w:pPr>
            <w:pStyle w:val="TOC2"/>
            <w:tabs>
              <w:tab w:val="right" w:leader="dot" w:pos="13670"/>
            </w:tabs>
            <w:rPr>
              <w:rFonts w:eastAsiaTheme="minorEastAsia"/>
              <w:noProof/>
            </w:rPr>
          </w:pPr>
          <w:hyperlink w:anchor="_Toc106369776" w:history="1">
            <w:r w:rsidR="00076432" w:rsidRPr="00704760">
              <w:rPr>
                <w:rStyle w:val="Hyperlink"/>
                <w:noProof/>
              </w:rPr>
              <w:t>Durvalumab (Imfinzi)</w:t>
            </w:r>
            <w:r w:rsidR="00076432">
              <w:rPr>
                <w:noProof/>
                <w:webHidden/>
              </w:rPr>
              <w:tab/>
            </w:r>
            <w:r w:rsidR="00076432">
              <w:rPr>
                <w:noProof/>
                <w:webHidden/>
              </w:rPr>
              <w:fldChar w:fldCharType="begin"/>
            </w:r>
            <w:r w:rsidR="00076432">
              <w:rPr>
                <w:noProof/>
                <w:webHidden/>
              </w:rPr>
              <w:instrText xml:space="preserve"> PAGEREF _Toc106369776 \h </w:instrText>
            </w:r>
            <w:r w:rsidR="00076432">
              <w:rPr>
                <w:noProof/>
                <w:webHidden/>
              </w:rPr>
            </w:r>
            <w:r w:rsidR="00076432">
              <w:rPr>
                <w:noProof/>
                <w:webHidden/>
              </w:rPr>
              <w:fldChar w:fldCharType="separate"/>
            </w:r>
            <w:r w:rsidR="00076432">
              <w:rPr>
                <w:noProof/>
                <w:webHidden/>
              </w:rPr>
              <w:t>193</w:t>
            </w:r>
            <w:r w:rsidR="00076432">
              <w:rPr>
                <w:noProof/>
                <w:webHidden/>
              </w:rPr>
              <w:fldChar w:fldCharType="end"/>
            </w:r>
          </w:hyperlink>
        </w:p>
        <w:p w14:paraId="7BB09D02" w14:textId="09B1ABCC" w:rsidR="00076432" w:rsidRDefault="00500371">
          <w:pPr>
            <w:pStyle w:val="TOC2"/>
            <w:tabs>
              <w:tab w:val="right" w:leader="dot" w:pos="13670"/>
            </w:tabs>
            <w:rPr>
              <w:rFonts w:eastAsiaTheme="minorEastAsia"/>
              <w:noProof/>
            </w:rPr>
          </w:pPr>
          <w:hyperlink w:anchor="_Toc106369777" w:history="1">
            <w:r w:rsidR="00076432" w:rsidRPr="00704760">
              <w:rPr>
                <w:rStyle w:val="Hyperlink"/>
                <w:noProof/>
              </w:rPr>
              <w:t>Eculizumab (Soliris)</w:t>
            </w:r>
            <w:r w:rsidR="00076432">
              <w:rPr>
                <w:noProof/>
                <w:webHidden/>
              </w:rPr>
              <w:tab/>
            </w:r>
            <w:r w:rsidR="00076432">
              <w:rPr>
                <w:noProof/>
                <w:webHidden/>
              </w:rPr>
              <w:fldChar w:fldCharType="begin"/>
            </w:r>
            <w:r w:rsidR="00076432">
              <w:rPr>
                <w:noProof/>
                <w:webHidden/>
              </w:rPr>
              <w:instrText xml:space="preserve"> PAGEREF _Toc106369777 \h </w:instrText>
            </w:r>
            <w:r w:rsidR="00076432">
              <w:rPr>
                <w:noProof/>
                <w:webHidden/>
              </w:rPr>
            </w:r>
            <w:r w:rsidR="00076432">
              <w:rPr>
                <w:noProof/>
                <w:webHidden/>
              </w:rPr>
              <w:fldChar w:fldCharType="separate"/>
            </w:r>
            <w:r w:rsidR="00076432">
              <w:rPr>
                <w:noProof/>
                <w:webHidden/>
              </w:rPr>
              <w:t>205</w:t>
            </w:r>
            <w:r w:rsidR="00076432">
              <w:rPr>
                <w:noProof/>
                <w:webHidden/>
              </w:rPr>
              <w:fldChar w:fldCharType="end"/>
            </w:r>
          </w:hyperlink>
        </w:p>
        <w:p w14:paraId="41845A6D" w14:textId="3CAD8EE6" w:rsidR="00076432" w:rsidRDefault="00500371">
          <w:pPr>
            <w:pStyle w:val="TOC2"/>
            <w:tabs>
              <w:tab w:val="right" w:leader="dot" w:pos="13670"/>
            </w:tabs>
            <w:rPr>
              <w:rFonts w:eastAsiaTheme="minorEastAsia"/>
              <w:noProof/>
            </w:rPr>
          </w:pPr>
          <w:hyperlink w:anchor="_Toc106369778" w:history="1">
            <w:r w:rsidR="00076432" w:rsidRPr="00704760">
              <w:rPr>
                <w:rStyle w:val="Hyperlink"/>
                <w:noProof/>
              </w:rPr>
              <w:t>Edaravone (Radicava)</w:t>
            </w:r>
            <w:r w:rsidR="00076432">
              <w:rPr>
                <w:noProof/>
                <w:webHidden/>
              </w:rPr>
              <w:tab/>
            </w:r>
            <w:r w:rsidR="00076432">
              <w:rPr>
                <w:noProof/>
                <w:webHidden/>
              </w:rPr>
              <w:fldChar w:fldCharType="begin"/>
            </w:r>
            <w:r w:rsidR="00076432">
              <w:rPr>
                <w:noProof/>
                <w:webHidden/>
              </w:rPr>
              <w:instrText xml:space="preserve"> PAGEREF _Toc106369778 \h </w:instrText>
            </w:r>
            <w:r w:rsidR="00076432">
              <w:rPr>
                <w:noProof/>
                <w:webHidden/>
              </w:rPr>
            </w:r>
            <w:r w:rsidR="00076432">
              <w:rPr>
                <w:noProof/>
                <w:webHidden/>
              </w:rPr>
              <w:fldChar w:fldCharType="separate"/>
            </w:r>
            <w:r w:rsidR="00076432">
              <w:rPr>
                <w:noProof/>
                <w:webHidden/>
              </w:rPr>
              <w:t>210</w:t>
            </w:r>
            <w:r w:rsidR="00076432">
              <w:rPr>
                <w:noProof/>
                <w:webHidden/>
              </w:rPr>
              <w:fldChar w:fldCharType="end"/>
            </w:r>
          </w:hyperlink>
        </w:p>
        <w:p w14:paraId="0D8DD574" w14:textId="793AE661" w:rsidR="00076432" w:rsidRDefault="00500371">
          <w:pPr>
            <w:pStyle w:val="TOC2"/>
            <w:tabs>
              <w:tab w:val="right" w:leader="dot" w:pos="13670"/>
            </w:tabs>
            <w:rPr>
              <w:rFonts w:eastAsiaTheme="minorEastAsia"/>
              <w:noProof/>
            </w:rPr>
          </w:pPr>
          <w:hyperlink w:anchor="_Toc106369779" w:history="1">
            <w:r w:rsidR="00076432" w:rsidRPr="00704760">
              <w:rPr>
                <w:rStyle w:val="Hyperlink"/>
                <w:noProof/>
                <w:lang w:val="fr-FR"/>
              </w:rPr>
              <w:t>Efgartigimod alfa-fcab (Vyvgart)</w:t>
            </w:r>
            <w:r w:rsidR="00076432">
              <w:rPr>
                <w:noProof/>
                <w:webHidden/>
              </w:rPr>
              <w:tab/>
            </w:r>
            <w:r w:rsidR="00076432">
              <w:rPr>
                <w:noProof/>
                <w:webHidden/>
              </w:rPr>
              <w:fldChar w:fldCharType="begin"/>
            </w:r>
            <w:r w:rsidR="00076432">
              <w:rPr>
                <w:noProof/>
                <w:webHidden/>
              </w:rPr>
              <w:instrText xml:space="preserve"> PAGEREF _Toc106369779 \h </w:instrText>
            </w:r>
            <w:r w:rsidR="00076432">
              <w:rPr>
                <w:noProof/>
                <w:webHidden/>
              </w:rPr>
            </w:r>
            <w:r w:rsidR="00076432">
              <w:rPr>
                <w:noProof/>
                <w:webHidden/>
              </w:rPr>
              <w:fldChar w:fldCharType="separate"/>
            </w:r>
            <w:r w:rsidR="00076432">
              <w:rPr>
                <w:noProof/>
                <w:webHidden/>
              </w:rPr>
              <w:t>211</w:t>
            </w:r>
            <w:r w:rsidR="00076432">
              <w:rPr>
                <w:noProof/>
                <w:webHidden/>
              </w:rPr>
              <w:fldChar w:fldCharType="end"/>
            </w:r>
          </w:hyperlink>
        </w:p>
        <w:p w14:paraId="15426C0E" w14:textId="1066CC0B" w:rsidR="00076432" w:rsidRDefault="00500371">
          <w:pPr>
            <w:pStyle w:val="TOC2"/>
            <w:tabs>
              <w:tab w:val="right" w:leader="dot" w:pos="13670"/>
            </w:tabs>
            <w:rPr>
              <w:rFonts w:eastAsiaTheme="minorEastAsia"/>
              <w:noProof/>
            </w:rPr>
          </w:pPr>
          <w:hyperlink w:anchor="_Toc106369780" w:history="1">
            <w:r w:rsidR="00076432" w:rsidRPr="00704760">
              <w:rPr>
                <w:rStyle w:val="Hyperlink"/>
                <w:noProof/>
              </w:rPr>
              <w:t>Elagolix/estradiol/norethindrone (Oriahnn)</w:t>
            </w:r>
            <w:r w:rsidR="00076432">
              <w:rPr>
                <w:noProof/>
                <w:webHidden/>
              </w:rPr>
              <w:tab/>
            </w:r>
            <w:r w:rsidR="00076432">
              <w:rPr>
                <w:noProof/>
                <w:webHidden/>
              </w:rPr>
              <w:fldChar w:fldCharType="begin"/>
            </w:r>
            <w:r w:rsidR="00076432">
              <w:rPr>
                <w:noProof/>
                <w:webHidden/>
              </w:rPr>
              <w:instrText xml:space="preserve"> PAGEREF _Toc106369780 \h </w:instrText>
            </w:r>
            <w:r w:rsidR="00076432">
              <w:rPr>
                <w:noProof/>
                <w:webHidden/>
              </w:rPr>
            </w:r>
            <w:r w:rsidR="00076432">
              <w:rPr>
                <w:noProof/>
                <w:webHidden/>
              </w:rPr>
              <w:fldChar w:fldCharType="separate"/>
            </w:r>
            <w:r w:rsidR="00076432">
              <w:rPr>
                <w:noProof/>
                <w:webHidden/>
              </w:rPr>
              <w:t>212</w:t>
            </w:r>
            <w:r w:rsidR="00076432">
              <w:rPr>
                <w:noProof/>
                <w:webHidden/>
              </w:rPr>
              <w:fldChar w:fldCharType="end"/>
            </w:r>
          </w:hyperlink>
        </w:p>
        <w:p w14:paraId="30380F4E" w14:textId="7014D246" w:rsidR="00076432" w:rsidRDefault="00500371">
          <w:pPr>
            <w:pStyle w:val="TOC2"/>
            <w:tabs>
              <w:tab w:val="right" w:leader="dot" w:pos="13670"/>
            </w:tabs>
            <w:rPr>
              <w:rFonts w:eastAsiaTheme="minorEastAsia"/>
              <w:noProof/>
            </w:rPr>
          </w:pPr>
          <w:hyperlink w:anchor="_Toc106369781" w:history="1">
            <w:r w:rsidR="00076432" w:rsidRPr="00704760">
              <w:rPr>
                <w:rStyle w:val="Hyperlink"/>
                <w:noProof/>
              </w:rPr>
              <w:t>Elapegademase-lvlr (Revcovi)</w:t>
            </w:r>
            <w:r w:rsidR="00076432">
              <w:rPr>
                <w:noProof/>
                <w:webHidden/>
              </w:rPr>
              <w:tab/>
            </w:r>
            <w:r w:rsidR="00076432">
              <w:rPr>
                <w:noProof/>
                <w:webHidden/>
              </w:rPr>
              <w:fldChar w:fldCharType="begin"/>
            </w:r>
            <w:r w:rsidR="00076432">
              <w:rPr>
                <w:noProof/>
                <w:webHidden/>
              </w:rPr>
              <w:instrText xml:space="preserve"> PAGEREF _Toc106369781 \h </w:instrText>
            </w:r>
            <w:r w:rsidR="00076432">
              <w:rPr>
                <w:noProof/>
                <w:webHidden/>
              </w:rPr>
            </w:r>
            <w:r w:rsidR="00076432">
              <w:rPr>
                <w:noProof/>
                <w:webHidden/>
              </w:rPr>
              <w:fldChar w:fldCharType="separate"/>
            </w:r>
            <w:r w:rsidR="00076432">
              <w:rPr>
                <w:noProof/>
                <w:webHidden/>
              </w:rPr>
              <w:t>213</w:t>
            </w:r>
            <w:r w:rsidR="00076432">
              <w:rPr>
                <w:noProof/>
                <w:webHidden/>
              </w:rPr>
              <w:fldChar w:fldCharType="end"/>
            </w:r>
          </w:hyperlink>
        </w:p>
        <w:p w14:paraId="71B00258" w14:textId="0975BFED" w:rsidR="00076432" w:rsidRDefault="00500371">
          <w:pPr>
            <w:pStyle w:val="TOC2"/>
            <w:tabs>
              <w:tab w:val="right" w:leader="dot" w:pos="13670"/>
            </w:tabs>
            <w:rPr>
              <w:rFonts w:eastAsiaTheme="minorEastAsia"/>
              <w:noProof/>
            </w:rPr>
          </w:pPr>
          <w:hyperlink w:anchor="_Toc106369782" w:history="1">
            <w:r w:rsidR="00076432" w:rsidRPr="00704760">
              <w:rPr>
                <w:rStyle w:val="Hyperlink"/>
                <w:noProof/>
              </w:rPr>
              <w:t>Elexacaftor Tezacaftor-ivacaftor (Trikafta)</w:t>
            </w:r>
            <w:r w:rsidR="00076432">
              <w:rPr>
                <w:noProof/>
                <w:webHidden/>
              </w:rPr>
              <w:tab/>
            </w:r>
            <w:r w:rsidR="00076432">
              <w:rPr>
                <w:noProof/>
                <w:webHidden/>
              </w:rPr>
              <w:fldChar w:fldCharType="begin"/>
            </w:r>
            <w:r w:rsidR="00076432">
              <w:rPr>
                <w:noProof/>
                <w:webHidden/>
              </w:rPr>
              <w:instrText xml:space="preserve"> PAGEREF _Toc106369782 \h </w:instrText>
            </w:r>
            <w:r w:rsidR="00076432">
              <w:rPr>
                <w:noProof/>
                <w:webHidden/>
              </w:rPr>
            </w:r>
            <w:r w:rsidR="00076432">
              <w:rPr>
                <w:noProof/>
                <w:webHidden/>
              </w:rPr>
              <w:fldChar w:fldCharType="separate"/>
            </w:r>
            <w:r w:rsidR="00076432">
              <w:rPr>
                <w:noProof/>
                <w:webHidden/>
              </w:rPr>
              <w:t>214</w:t>
            </w:r>
            <w:r w:rsidR="00076432">
              <w:rPr>
                <w:noProof/>
                <w:webHidden/>
              </w:rPr>
              <w:fldChar w:fldCharType="end"/>
            </w:r>
          </w:hyperlink>
        </w:p>
        <w:p w14:paraId="0856D01A" w14:textId="684FE701" w:rsidR="00076432" w:rsidRDefault="00500371">
          <w:pPr>
            <w:pStyle w:val="TOC2"/>
            <w:tabs>
              <w:tab w:val="right" w:leader="dot" w:pos="13670"/>
            </w:tabs>
            <w:rPr>
              <w:rFonts w:eastAsiaTheme="minorEastAsia"/>
              <w:noProof/>
            </w:rPr>
          </w:pPr>
          <w:hyperlink w:anchor="_Toc106369783" w:history="1">
            <w:r w:rsidR="00076432" w:rsidRPr="00704760">
              <w:rPr>
                <w:rStyle w:val="Hyperlink"/>
                <w:noProof/>
              </w:rPr>
              <w:t>Eliglustat (Cerdelga)</w:t>
            </w:r>
            <w:r w:rsidR="00076432">
              <w:rPr>
                <w:noProof/>
                <w:webHidden/>
              </w:rPr>
              <w:tab/>
            </w:r>
            <w:r w:rsidR="00076432">
              <w:rPr>
                <w:noProof/>
                <w:webHidden/>
              </w:rPr>
              <w:fldChar w:fldCharType="begin"/>
            </w:r>
            <w:r w:rsidR="00076432">
              <w:rPr>
                <w:noProof/>
                <w:webHidden/>
              </w:rPr>
              <w:instrText xml:space="preserve"> PAGEREF _Toc106369783 \h </w:instrText>
            </w:r>
            <w:r w:rsidR="00076432">
              <w:rPr>
                <w:noProof/>
                <w:webHidden/>
              </w:rPr>
            </w:r>
            <w:r w:rsidR="00076432">
              <w:rPr>
                <w:noProof/>
                <w:webHidden/>
              </w:rPr>
              <w:fldChar w:fldCharType="separate"/>
            </w:r>
            <w:r w:rsidR="00076432">
              <w:rPr>
                <w:noProof/>
                <w:webHidden/>
              </w:rPr>
              <w:t>218</w:t>
            </w:r>
            <w:r w:rsidR="00076432">
              <w:rPr>
                <w:noProof/>
                <w:webHidden/>
              </w:rPr>
              <w:fldChar w:fldCharType="end"/>
            </w:r>
          </w:hyperlink>
        </w:p>
        <w:p w14:paraId="057A18BE" w14:textId="61AD18C0" w:rsidR="00076432" w:rsidRDefault="00500371">
          <w:pPr>
            <w:pStyle w:val="TOC2"/>
            <w:tabs>
              <w:tab w:val="right" w:leader="dot" w:pos="13670"/>
            </w:tabs>
            <w:rPr>
              <w:rFonts w:eastAsiaTheme="minorEastAsia"/>
              <w:noProof/>
            </w:rPr>
          </w:pPr>
          <w:hyperlink w:anchor="_Toc106369784" w:history="1">
            <w:r w:rsidR="00076432" w:rsidRPr="00704760">
              <w:rPr>
                <w:rStyle w:val="Hyperlink"/>
                <w:noProof/>
              </w:rPr>
              <w:t>Elotuzumab (Empliciti)</w:t>
            </w:r>
            <w:r w:rsidR="00076432">
              <w:rPr>
                <w:noProof/>
                <w:webHidden/>
              </w:rPr>
              <w:tab/>
            </w:r>
            <w:r w:rsidR="00076432">
              <w:rPr>
                <w:noProof/>
                <w:webHidden/>
              </w:rPr>
              <w:fldChar w:fldCharType="begin"/>
            </w:r>
            <w:r w:rsidR="00076432">
              <w:rPr>
                <w:noProof/>
                <w:webHidden/>
              </w:rPr>
              <w:instrText xml:space="preserve"> PAGEREF _Toc106369784 \h </w:instrText>
            </w:r>
            <w:r w:rsidR="00076432">
              <w:rPr>
                <w:noProof/>
                <w:webHidden/>
              </w:rPr>
            </w:r>
            <w:r w:rsidR="00076432">
              <w:rPr>
                <w:noProof/>
                <w:webHidden/>
              </w:rPr>
              <w:fldChar w:fldCharType="separate"/>
            </w:r>
            <w:r w:rsidR="00076432">
              <w:rPr>
                <w:noProof/>
                <w:webHidden/>
              </w:rPr>
              <w:t>219</w:t>
            </w:r>
            <w:r w:rsidR="00076432">
              <w:rPr>
                <w:noProof/>
                <w:webHidden/>
              </w:rPr>
              <w:fldChar w:fldCharType="end"/>
            </w:r>
          </w:hyperlink>
        </w:p>
        <w:p w14:paraId="3813D357" w14:textId="652D735E" w:rsidR="00076432" w:rsidRDefault="00500371">
          <w:pPr>
            <w:pStyle w:val="TOC2"/>
            <w:tabs>
              <w:tab w:val="right" w:leader="dot" w:pos="13670"/>
            </w:tabs>
            <w:rPr>
              <w:rFonts w:eastAsiaTheme="minorEastAsia"/>
              <w:noProof/>
            </w:rPr>
          </w:pPr>
          <w:hyperlink w:anchor="_Toc106369785" w:history="1">
            <w:r w:rsidR="00076432" w:rsidRPr="00704760">
              <w:rPr>
                <w:rStyle w:val="Hyperlink"/>
                <w:noProof/>
              </w:rPr>
              <w:t>Eltrombopag (Promacta)</w:t>
            </w:r>
            <w:r w:rsidR="00076432">
              <w:rPr>
                <w:noProof/>
                <w:webHidden/>
              </w:rPr>
              <w:tab/>
            </w:r>
            <w:r w:rsidR="00076432">
              <w:rPr>
                <w:noProof/>
                <w:webHidden/>
              </w:rPr>
              <w:fldChar w:fldCharType="begin"/>
            </w:r>
            <w:r w:rsidR="00076432">
              <w:rPr>
                <w:noProof/>
                <w:webHidden/>
              </w:rPr>
              <w:instrText xml:space="preserve"> PAGEREF _Toc106369785 \h </w:instrText>
            </w:r>
            <w:r w:rsidR="00076432">
              <w:rPr>
                <w:noProof/>
                <w:webHidden/>
              </w:rPr>
            </w:r>
            <w:r w:rsidR="00076432">
              <w:rPr>
                <w:noProof/>
                <w:webHidden/>
              </w:rPr>
              <w:fldChar w:fldCharType="separate"/>
            </w:r>
            <w:r w:rsidR="00076432">
              <w:rPr>
                <w:noProof/>
                <w:webHidden/>
              </w:rPr>
              <w:t>221</w:t>
            </w:r>
            <w:r w:rsidR="00076432">
              <w:rPr>
                <w:noProof/>
                <w:webHidden/>
              </w:rPr>
              <w:fldChar w:fldCharType="end"/>
            </w:r>
          </w:hyperlink>
        </w:p>
        <w:p w14:paraId="6B9F91C9" w14:textId="24130655" w:rsidR="00076432" w:rsidRDefault="00500371">
          <w:pPr>
            <w:pStyle w:val="TOC2"/>
            <w:tabs>
              <w:tab w:val="right" w:leader="dot" w:pos="13670"/>
            </w:tabs>
            <w:rPr>
              <w:rFonts w:eastAsiaTheme="minorEastAsia"/>
              <w:noProof/>
            </w:rPr>
          </w:pPr>
          <w:hyperlink w:anchor="_Toc106369786" w:history="1">
            <w:r w:rsidR="00076432" w:rsidRPr="00704760">
              <w:rPr>
                <w:rStyle w:val="Hyperlink"/>
                <w:noProof/>
              </w:rPr>
              <w:t>Emicizumab-kxwh (Hemlibra)</w:t>
            </w:r>
            <w:r w:rsidR="00076432">
              <w:rPr>
                <w:noProof/>
                <w:webHidden/>
              </w:rPr>
              <w:tab/>
            </w:r>
            <w:r w:rsidR="00076432">
              <w:rPr>
                <w:noProof/>
                <w:webHidden/>
              </w:rPr>
              <w:fldChar w:fldCharType="begin"/>
            </w:r>
            <w:r w:rsidR="00076432">
              <w:rPr>
                <w:noProof/>
                <w:webHidden/>
              </w:rPr>
              <w:instrText xml:space="preserve"> PAGEREF _Toc106369786 \h </w:instrText>
            </w:r>
            <w:r w:rsidR="00076432">
              <w:rPr>
                <w:noProof/>
                <w:webHidden/>
              </w:rPr>
            </w:r>
            <w:r w:rsidR="00076432">
              <w:rPr>
                <w:noProof/>
                <w:webHidden/>
              </w:rPr>
              <w:fldChar w:fldCharType="separate"/>
            </w:r>
            <w:r w:rsidR="00076432">
              <w:rPr>
                <w:noProof/>
                <w:webHidden/>
              </w:rPr>
              <w:t>227</w:t>
            </w:r>
            <w:r w:rsidR="00076432">
              <w:rPr>
                <w:noProof/>
                <w:webHidden/>
              </w:rPr>
              <w:fldChar w:fldCharType="end"/>
            </w:r>
          </w:hyperlink>
        </w:p>
        <w:p w14:paraId="63A8BC69" w14:textId="7B7DDB3E" w:rsidR="00076432" w:rsidRDefault="00500371">
          <w:pPr>
            <w:pStyle w:val="TOC2"/>
            <w:tabs>
              <w:tab w:val="right" w:leader="dot" w:pos="13670"/>
            </w:tabs>
            <w:rPr>
              <w:rFonts w:eastAsiaTheme="minorEastAsia"/>
              <w:noProof/>
            </w:rPr>
          </w:pPr>
          <w:hyperlink w:anchor="_Toc106369787" w:history="1">
            <w:r w:rsidR="00076432" w:rsidRPr="00704760">
              <w:rPr>
                <w:rStyle w:val="Hyperlink"/>
                <w:noProof/>
              </w:rPr>
              <w:t>Encorafenib (Braftovi)</w:t>
            </w:r>
            <w:r w:rsidR="00076432">
              <w:rPr>
                <w:noProof/>
                <w:webHidden/>
              </w:rPr>
              <w:tab/>
            </w:r>
            <w:r w:rsidR="00076432">
              <w:rPr>
                <w:noProof/>
                <w:webHidden/>
              </w:rPr>
              <w:fldChar w:fldCharType="begin"/>
            </w:r>
            <w:r w:rsidR="00076432">
              <w:rPr>
                <w:noProof/>
                <w:webHidden/>
              </w:rPr>
              <w:instrText xml:space="preserve"> PAGEREF _Toc106369787 \h </w:instrText>
            </w:r>
            <w:r w:rsidR="00076432">
              <w:rPr>
                <w:noProof/>
                <w:webHidden/>
              </w:rPr>
            </w:r>
            <w:r w:rsidR="00076432">
              <w:rPr>
                <w:noProof/>
                <w:webHidden/>
              </w:rPr>
              <w:fldChar w:fldCharType="separate"/>
            </w:r>
            <w:r w:rsidR="00076432">
              <w:rPr>
                <w:noProof/>
                <w:webHidden/>
              </w:rPr>
              <w:t>229</w:t>
            </w:r>
            <w:r w:rsidR="00076432">
              <w:rPr>
                <w:noProof/>
                <w:webHidden/>
              </w:rPr>
              <w:fldChar w:fldCharType="end"/>
            </w:r>
          </w:hyperlink>
        </w:p>
        <w:p w14:paraId="5B50F3AA" w14:textId="0A6F4608" w:rsidR="00076432" w:rsidRDefault="00500371">
          <w:pPr>
            <w:pStyle w:val="TOC2"/>
            <w:tabs>
              <w:tab w:val="right" w:leader="dot" w:pos="13670"/>
            </w:tabs>
            <w:rPr>
              <w:rFonts w:eastAsiaTheme="minorEastAsia"/>
              <w:noProof/>
            </w:rPr>
          </w:pPr>
          <w:hyperlink w:anchor="_Toc106369788" w:history="1">
            <w:r w:rsidR="00076432" w:rsidRPr="00704760">
              <w:rPr>
                <w:rStyle w:val="Hyperlink"/>
                <w:noProof/>
              </w:rPr>
              <w:t>Enzalutamide (Xtandi)</w:t>
            </w:r>
            <w:r w:rsidR="00076432">
              <w:rPr>
                <w:noProof/>
                <w:webHidden/>
              </w:rPr>
              <w:tab/>
            </w:r>
            <w:r w:rsidR="00076432">
              <w:rPr>
                <w:noProof/>
                <w:webHidden/>
              </w:rPr>
              <w:fldChar w:fldCharType="begin"/>
            </w:r>
            <w:r w:rsidR="00076432">
              <w:rPr>
                <w:noProof/>
                <w:webHidden/>
              </w:rPr>
              <w:instrText xml:space="preserve"> PAGEREF _Toc106369788 \h </w:instrText>
            </w:r>
            <w:r w:rsidR="00076432">
              <w:rPr>
                <w:noProof/>
                <w:webHidden/>
              </w:rPr>
            </w:r>
            <w:r w:rsidR="00076432">
              <w:rPr>
                <w:noProof/>
                <w:webHidden/>
              </w:rPr>
              <w:fldChar w:fldCharType="separate"/>
            </w:r>
            <w:r w:rsidR="00076432">
              <w:rPr>
                <w:noProof/>
                <w:webHidden/>
              </w:rPr>
              <w:t>232</w:t>
            </w:r>
            <w:r w:rsidR="00076432">
              <w:rPr>
                <w:noProof/>
                <w:webHidden/>
              </w:rPr>
              <w:fldChar w:fldCharType="end"/>
            </w:r>
          </w:hyperlink>
        </w:p>
        <w:p w14:paraId="4BA0B3B3" w14:textId="0F1ED191" w:rsidR="00076432" w:rsidRDefault="00500371">
          <w:pPr>
            <w:pStyle w:val="TOC2"/>
            <w:tabs>
              <w:tab w:val="right" w:leader="dot" w:pos="13670"/>
            </w:tabs>
            <w:rPr>
              <w:rFonts w:eastAsiaTheme="minorEastAsia"/>
              <w:noProof/>
            </w:rPr>
          </w:pPr>
          <w:hyperlink w:anchor="_Toc106369789" w:history="1">
            <w:r w:rsidR="00076432" w:rsidRPr="00704760">
              <w:rPr>
                <w:rStyle w:val="Hyperlink"/>
                <w:noProof/>
              </w:rPr>
              <w:t>Erenumab (Aimovig)</w:t>
            </w:r>
            <w:r w:rsidR="00076432">
              <w:rPr>
                <w:noProof/>
                <w:webHidden/>
              </w:rPr>
              <w:tab/>
            </w:r>
            <w:r w:rsidR="00076432">
              <w:rPr>
                <w:noProof/>
                <w:webHidden/>
              </w:rPr>
              <w:fldChar w:fldCharType="begin"/>
            </w:r>
            <w:r w:rsidR="00076432">
              <w:rPr>
                <w:noProof/>
                <w:webHidden/>
              </w:rPr>
              <w:instrText xml:space="preserve"> PAGEREF _Toc106369789 \h </w:instrText>
            </w:r>
            <w:r w:rsidR="00076432">
              <w:rPr>
                <w:noProof/>
                <w:webHidden/>
              </w:rPr>
            </w:r>
            <w:r w:rsidR="00076432">
              <w:rPr>
                <w:noProof/>
                <w:webHidden/>
              </w:rPr>
              <w:fldChar w:fldCharType="separate"/>
            </w:r>
            <w:r w:rsidR="00076432">
              <w:rPr>
                <w:noProof/>
                <w:webHidden/>
              </w:rPr>
              <w:t>236</w:t>
            </w:r>
            <w:r w:rsidR="00076432">
              <w:rPr>
                <w:noProof/>
                <w:webHidden/>
              </w:rPr>
              <w:fldChar w:fldCharType="end"/>
            </w:r>
          </w:hyperlink>
        </w:p>
        <w:p w14:paraId="6F1AA5ED" w14:textId="7A18E3EF" w:rsidR="00076432" w:rsidRDefault="00500371">
          <w:pPr>
            <w:pStyle w:val="TOC2"/>
            <w:tabs>
              <w:tab w:val="right" w:leader="dot" w:pos="13670"/>
            </w:tabs>
            <w:rPr>
              <w:rFonts w:eastAsiaTheme="minorEastAsia"/>
              <w:noProof/>
            </w:rPr>
          </w:pPr>
          <w:hyperlink w:anchor="_Toc106369790" w:history="1">
            <w:r w:rsidR="00076432" w:rsidRPr="00704760">
              <w:rPr>
                <w:rStyle w:val="Hyperlink"/>
                <w:noProof/>
              </w:rPr>
              <w:t>Eribulin (Halaven)</w:t>
            </w:r>
            <w:r w:rsidR="00076432">
              <w:rPr>
                <w:noProof/>
                <w:webHidden/>
              </w:rPr>
              <w:tab/>
            </w:r>
            <w:r w:rsidR="00076432">
              <w:rPr>
                <w:noProof/>
                <w:webHidden/>
              </w:rPr>
              <w:fldChar w:fldCharType="begin"/>
            </w:r>
            <w:r w:rsidR="00076432">
              <w:rPr>
                <w:noProof/>
                <w:webHidden/>
              </w:rPr>
              <w:instrText xml:space="preserve"> PAGEREF _Toc106369790 \h </w:instrText>
            </w:r>
            <w:r w:rsidR="00076432">
              <w:rPr>
                <w:noProof/>
                <w:webHidden/>
              </w:rPr>
            </w:r>
            <w:r w:rsidR="00076432">
              <w:rPr>
                <w:noProof/>
                <w:webHidden/>
              </w:rPr>
              <w:fldChar w:fldCharType="separate"/>
            </w:r>
            <w:r w:rsidR="00076432">
              <w:rPr>
                <w:noProof/>
                <w:webHidden/>
              </w:rPr>
              <w:t>239</w:t>
            </w:r>
            <w:r w:rsidR="00076432">
              <w:rPr>
                <w:noProof/>
                <w:webHidden/>
              </w:rPr>
              <w:fldChar w:fldCharType="end"/>
            </w:r>
          </w:hyperlink>
        </w:p>
        <w:p w14:paraId="6C5C755F" w14:textId="64D34597" w:rsidR="00076432" w:rsidRDefault="00500371">
          <w:pPr>
            <w:pStyle w:val="TOC2"/>
            <w:tabs>
              <w:tab w:val="right" w:leader="dot" w:pos="13670"/>
            </w:tabs>
            <w:rPr>
              <w:rFonts w:eastAsiaTheme="minorEastAsia"/>
              <w:noProof/>
            </w:rPr>
          </w:pPr>
          <w:hyperlink w:anchor="_Toc106369791" w:history="1">
            <w:r w:rsidR="00076432" w:rsidRPr="00704760">
              <w:rPr>
                <w:rStyle w:val="Hyperlink"/>
                <w:noProof/>
              </w:rPr>
              <w:t>Erlotinib (Tarceva)</w:t>
            </w:r>
            <w:r w:rsidR="00076432">
              <w:rPr>
                <w:noProof/>
                <w:webHidden/>
              </w:rPr>
              <w:tab/>
            </w:r>
            <w:r w:rsidR="00076432">
              <w:rPr>
                <w:noProof/>
                <w:webHidden/>
              </w:rPr>
              <w:fldChar w:fldCharType="begin"/>
            </w:r>
            <w:r w:rsidR="00076432">
              <w:rPr>
                <w:noProof/>
                <w:webHidden/>
              </w:rPr>
              <w:instrText xml:space="preserve"> PAGEREF _Toc106369791 \h </w:instrText>
            </w:r>
            <w:r w:rsidR="00076432">
              <w:rPr>
                <w:noProof/>
                <w:webHidden/>
              </w:rPr>
            </w:r>
            <w:r w:rsidR="00076432">
              <w:rPr>
                <w:noProof/>
                <w:webHidden/>
              </w:rPr>
              <w:fldChar w:fldCharType="separate"/>
            </w:r>
            <w:r w:rsidR="00076432">
              <w:rPr>
                <w:noProof/>
                <w:webHidden/>
              </w:rPr>
              <w:t>242</w:t>
            </w:r>
            <w:r w:rsidR="00076432">
              <w:rPr>
                <w:noProof/>
                <w:webHidden/>
              </w:rPr>
              <w:fldChar w:fldCharType="end"/>
            </w:r>
          </w:hyperlink>
        </w:p>
        <w:p w14:paraId="320FBC84" w14:textId="020833D5" w:rsidR="00076432" w:rsidRDefault="00500371">
          <w:pPr>
            <w:pStyle w:val="TOC2"/>
            <w:tabs>
              <w:tab w:val="right" w:leader="dot" w:pos="13670"/>
            </w:tabs>
            <w:rPr>
              <w:rFonts w:eastAsiaTheme="minorEastAsia"/>
              <w:noProof/>
            </w:rPr>
          </w:pPr>
          <w:hyperlink w:anchor="_Toc106369792" w:history="1">
            <w:r w:rsidR="00076432" w:rsidRPr="00704760">
              <w:rPr>
                <w:rStyle w:val="Hyperlink"/>
                <w:noProof/>
                <w:lang w:val="es-ES"/>
              </w:rPr>
              <w:t>darbepoetin alfa (Aranesp</w:t>
            </w:r>
            <w:r w:rsidR="00076432" w:rsidRPr="00704760">
              <w:rPr>
                <w:rStyle w:val="Hyperlink"/>
                <w:noProof/>
                <w:vertAlign w:val="superscript"/>
                <w:lang w:val="es-ES"/>
              </w:rPr>
              <w:t>®</w:t>
            </w:r>
            <w:r w:rsidR="00076432" w:rsidRPr="00704760">
              <w:rPr>
                <w:rStyle w:val="Hyperlink"/>
                <w:noProof/>
                <w:lang w:val="es-ES"/>
              </w:rPr>
              <w:t>)</w:t>
            </w:r>
            <w:r w:rsidR="00076432">
              <w:rPr>
                <w:noProof/>
                <w:webHidden/>
              </w:rPr>
              <w:tab/>
            </w:r>
            <w:r w:rsidR="00076432">
              <w:rPr>
                <w:noProof/>
                <w:webHidden/>
              </w:rPr>
              <w:fldChar w:fldCharType="begin"/>
            </w:r>
            <w:r w:rsidR="00076432">
              <w:rPr>
                <w:noProof/>
                <w:webHidden/>
              </w:rPr>
              <w:instrText xml:space="preserve"> PAGEREF _Toc106369792 \h </w:instrText>
            </w:r>
            <w:r w:rsidR="00076432">
              <w:rPr>
                <w:noProof/>
                <w:webHidden/>
              </w:rPr>
            </w:r>
            <w:r w:rsidR="00076432">
              <w:rPr>
                <w:noProof/>
                <w:webHidden/>
              </w:rPr>
              <w:fldChar w:fldCharType="separate"/>
            </w:r>
            <w:r w:rsidR="00076432">
              <w:rPr>
                <w:noProof/>
                <w:webHidden/>
              </w:rPr>
              <w:t>250</w:t>
            </w:r>
            <w:r w:rsidR="00076432">
              <w:rPr>
                <w:noProof/>
                <w:webHidden/>
              </w:rPr>
              <w:fldChar w:fldCharType="end"/>
            </w:r>
          </w:hyperlink>
        </w:p>
        <w:p w14:paraId="20BFE94C" w14:textId="2ABD97FA" w:rsidR="00076432" w:rsidRDefault="00500371">
          <w:pPr>
            <w:pStyle w:val="TOC2"/>
            <w:tabs>
              <w:tab w:val="right" w:leader="dot" w:pos="13670"/>
            </w:tabs>
            <w:rPr>
              <w:rFonts w:eastAsiaTheme="minorEastAsia"/>
              <w:noProof/>
            </w:rPr>
          </w:pPr>
          <w:hyperlink w:anchor="_Toc106369793" w:history="1">
            <w:r w:rsidR="00076432" w:rsidRPr="00704760">
              <w:rPr>
                <w:rStyle w:val="Hyperlink"/>
                <w:noProof/>
              </w:rPr>
              <w:t>epoetin alfa (Epogen</w:t>
            </w:r>
            <w:r w:rsidR="00076432" w:rsidRPr="00704760">
              <w:rPr>
                <w:rStyle w:val="Hyperlink"/>
                <w:noProof/>
                <w:vertAlign w:val="superscript"/>
              </w:rPr>
              <w:t>®</w:t>
            </w:r>
            <w:r w:rsidR="00076432" w:rsidRPr="00704760">
              <w:rPr>
                <w:rStyle w:val="Hyperlink"/>
                <w:noProof/>
              </w:rPr>
              <w:t>, Procrit</w:t>
            </w:r>
            <w:r w:rsidR="00076432" w:rsidRPr="00704760">
              <w:rPr>
                <w:rStyle w:val="Hyperlink"/>
                <w:noProof/>
                <w:vertAlign w:val="superscript"/>
              </w:rPr>
              <w:t>®</w:t>
            </w:r>
            <w:r w:rsidR="00076432" w:rsidRPr="00704760">
              <w:rPr>
                <w:rStyle w:val="Hyperlink"/>
                <w:noProof/>
              </w:rPr>
              <w:t>)</w:t>
            </w:r>
            <w:r w:rsidR="00076432">
              <w:rPr>
                <w:noProof/>
                <w:webHidden/>
              </w:rPr>
              <w:tab/>
            </w:r>
            <w:r w:rsidR="00076432">
              <w:rPr>
                <w:noProof/>
                <w:webHidden/>
              </w:rPr>
              <w:fldChar w:fldCharType="begin"/>
            </w:r>
            <w:r w:rsidR="00076432">
              <w:rPr>
                <w:noProof/>
                <w:webHidden/>
              </w:rPr>
              <w:instrText xml:space="preserve"> PAGEREF _Toc106369793 \h </w:instrText>
            </w:r>
            <w:r w:rsidR="00076432">
              <w:rPr>
                <w:noProof/>
                <w:webHidden/>
              </w:rPr>
            </w:r>
            <w:r w:rsidR="00076432">
              <w:rPr>
                <w:noProof/>
                <w:webHidden/>
              </w:rPr>
              <w:fldChar w:fldCharType="separate"/>
            </w:r>
            <w:r w:rsidR="00076432">
              <w:rPr>
                <w:noProof/>
                <w:webHidden/>
              </w:rPr>
              <w:t>250</w:t>
            </w:r>
            <w:r w:rsidR="00076432">
              <w:rPr>
                <w:noProof/>
                <w:webHidden/>
              </w:rPr>
              <w:fldChar w:fldCharType="end"/>
            </w:r>
          </w:hyperlink>
        </w:p>
        <w:p w14:paraId="7D65DE2D" w14:textId="00E95F5E" w:rsidR="00076432" w:rsidRDefault="00500371">
          <w:pPr>
            <w:pStyle w:val="TOC2"/>
            <w:tabs>
              <w:tab w:val="right" w:leader="dot" w:pos="13670"/>
            </w:tabs>
            <w:rPr>
              <w:rFonts w:eastAsiaTheme="minorEastAsia"/>
              <w:noProof/>
            </w:rPr>
          </w:pPr>
          <w:hyperlink w:anchor="_Toc106369794" w:history="1">
            <w:r w:rsidR="00076432" w:rsidRPr="00704760">
              <w:rPr>
                <w:rStyle w:val="Hyperlink"/>
                <w:noProof/>
              </w:rPr>
              <w:t>epoetin alfa-epbx (Retacrit®)</w:t>
            </w:r>
            <w:r w:rsidR="00076432">
              <w:rPr>
                <w:noProof/>
                <w:webHidden/>
              </w:rPr>
              <w:tab/>
            </w:r>
            <w:r w:rsidR="00076432">
              <w:rPr>
                <w:noProof/>
                <w:webHidden/>
              </w:rPr>
              <w:fldChar w:fldCharType="begin"/>
            </w:r>
            <w:r w:rsidR="00076432">
              <w:rPr>
                <w:noProof/>
                <w:webHidden/>
              </w:rPr>
              <w:instrText xml:space="preserve"> PAGEREF _Toc106369794 \h </w:instrText>
            </w:r>
            <w:r w:rsidR="00076432">
              <w:rPr>
                <w:noProof/>
                <w:webHidden/>
              </w:rPr>
            </w:r>
            <w:r w:rsidR="00076432">
              <w:rPr>
                <w:noProof/>
                <w:webHidden/>
              </w:rPr>
              <w:fldChar w:fldCharType="separate"/>
            </w:r>
            <w:r w:rsidR="00076432">
              <w:rPr>
                <w:noProof/>
                <w:webHidden/>
              </w:rPr>
              <w:t>250</w:t>
            </w:r>
            <w:r w:rsidR="00076432">
              <w:rPr>
                <w:noProof/>
                <w:webHidden/>
              </w:rPr>
              <w:fldChar w:fldCharType="end"/>
            </w:r>
          </w:hyperlink>
        </w:p>
        <w:p w14:paraId="48094ED2" w14:textId="22D17444" w:rsidR="00076432" w:rsidRDefault="00500371">
          <w:pPr>
            <w:pStyle w:val="TOC2"/>
            <w:tabs>
              <w:tab w:val="right" w:leader="dot" w:pos="13670"/>
            </w:tabs>
            <w:rPr>
              <w:rFonts w:eastAsiaTheme="minorEastAsia"/>
              <w:noProof/>
            </w:rPr>
          </w:pPr>
          <w:hyperlink w:anchor="_Toc106369795" w:history="1">
            <w:r w:rsidR="00076432" w:rsidRPr="00704760">
              <w:rPr>
                <w:rStyle w:val="Hyperlink"/>
                <w:noProof/>
              </w:rPr>
              <w:t>methoxy polyethylene glycol-epoetin beta (Mircera</w:t>
            </w:r>
            <w:r w:rsidR="00076432" w:rsidRPr="00704760">
              <w:rPr>
                <w:rStyle w:val="Hyperlink"/>
                <w:noProof/>
                <w:vertAlign w:val="superscript"/>
              </w:rPr>
              <w:t>®</w:t>
            </w:r>
            <w:r w:rsidR="00076432" w:rsidRPr="00704760">
              <w:rPr>
                <w:rStyle w:val="Hyperlink"/>
                <w:noProof/>
              </w:rPr>
              <w:t>)</w:t>
            </w:r>
            <w:r w:rsidR="00076432">
              <w:rPr>
                <w:noProof/>
                <w:webHidden/>
              </w:rPr>
              <w:tab/>
            </w:r>
            <w:r w:rsidR="00076432">
              <w:rPr>
                <w:noProof/>
                <w:webHidden/>
              </w:rPr>
              <w:fldChar w:fldCharType="begin"/>
            </w:r>
            <w:r w:rsidR="00076432">
              <w:rPr>
                <w:noProof/>
                <w:webHidden/>
              </w:rPr>
              <w:instrText xml:space="preserve"> PAGEREF _Toc106369795 \h </w:instrText>
            </w:r>
            <w:r w:rsidR="00076432">
              <w:rPr>
                <w:noProof/>
                <w:webHidden/>
              </w:rPr>
            </w:r>
            <w:r w:rsidR="00076432">
              <w:rPr>
                <w:noProof/>
                <w:webHidden/>
              </w:rPr>
              <w:fldChar w:fldCharType="separate"/>
            </w:r>
            <w:r w:rsidR="00076432">
              <w:rPr>
                <w:noProof/>
                <w:webHidden/>
              </w:rPr>
              <w:t>250</w:t>
            </w:r>
            <w:r w:rsidR="00076432">
              <w:rPr>
                <w:noProof/>
                <w:webHidden/>
              </w:rPr>
              <w:fldChar w:fldCharType="end"/>
            </w:r>
          </w:hyperlink>
        </w:p>
        <w:p w14:paraId="2821AC7A" w14:textId="04D96BCB" w:rsidR="00076432" w:rsidRDefault="00500371">
          <w:pPr>
            <w:pStyle w:val="TOC2"/>
            <w:tabs>
              <w:tab w:val="right" w:leader="dot" w:pos="13670"/>
            </w:tabs>
            <w:rPr>
              <w:rFonts w:eastAsiaTheme="minorEastAsia"/>
              <w:noProof/>
            </w:rPr>
          </w:pPr>
          <w:hyperlink w:anchor="_Toc106369796" w:history="1">
            <w:r w:rsidR="00076432" w:rsidRPr="00704760">
              <w:rPr>
                <w:rStyle w:val="Hyperlink"/>
                <w:noProof/>
              </w:rPr>
              <w:t>Esketamine (Spravato)</w:t>
            </w:r>
            <w:r w:rsidR="00076432">
              <w:rPr>
                <w:noProof/>
                <w:webHidden/>
              </w:rPr>
              <w:tab/>
            </w:r>
            <w:r w:rsidR="00076432">
              <w:rPr>
                <w:noProof/>
                <w:webHidden/>
              </w:rPr>
              <w:fldChar w:fldCharType="begin"/>
            </w:r>
            <w:r w:rsidR="00076432">
              <w:rPr>
                <w:noProof/>
                <w:webHidden/>
              </w:rPr>
              <w:instrText xml:space="preserve"> PAGEREF _Toc106369796 \h </w:instrText>
            </w:r>
            <w:r w:rsidR="00076432">
              <w:rPr>
                <w:noProof/>
                <w:webHidden/>
              </w:rPr>
            </w:r>
            <w:r w:rsidR="00076432">
              <w:rPr>
                <w:noProof/>
                <w:webHidden/>
              </w:rPr>
              <w:fldChar w:fldCharType="separate"/>
            </w:r>
            <w:r w:rsidR="00076432">
              <w:rPr>
                <w:noProof/>
                <w:webHidden/>
              </w:rPr>
              <w:t>262</w:t>
            </w:r>
            <w:r w:rsidR="00076432">
              <w:rPr>
                <w:noProof/>
                <w:webHidden/>
              </w:rPr>
              <w:fldChar w:fldCharType="end"/>
            </w:r>
          </w:hyperlink>
        </w:p>
        <w:p w14:paraId="2EE28429" w14:textId="68627001" w:rsidR="00076432" w:rsidRDefault="00500371">
          <w:pPr>
            <w:pStyle w:val="TOC2"/>
            <w:tabs>
              <w:tab w:val="right" w:leader="dot" w:pos="13670"/>
            </w:tabs>
            <w:rPr>
              <w:rFonts w:eastAsiaTheme="minorEastAsia"/>
              <w:noProof/>
            </w:rPr>
          </w:pPr>
          <w:hyperlink w:anchor="_Toc106369797" w:history="1">
            <w:r w:rsidR="00076432" w:rsidRPr="00704760">
              <w:rPr>
                <w:rStyle w:val="Hyperlink"/>
                <w:noProof/>
              </w:rPr>
              <w:t>Everolimus (Afinitor®)</w:t>
            </w:r>
            <w:r w:rsidR="00076432">
              <w:rPr>
                <w:noProof/>
                <w:webHidden/>
              </w:rPr>
              <w:tab/>
            </w:r>
            <w:r w:rsidR="00076432">
              <w:rPr>
                <w:noProof/>
                <w:webHidden/>
              </w:rPr>
              <w:fldChar w:fldCharType="begin"/>
            </w:r>
            <w:r w:rsidR="00076432">
              <w:rPr>
                <w:noProof/>
                <w:webHidden/>
              </w:rPr>
              <w:instrText xml:space="preserve"> PAGEREF _Toc106369797 \h </w:instrText>
            </w:r>
            <w:r w:rsidR="00076432">
              <w:rPr>
                <w:noProof/>
                <w:webHidden/>
              </w:rPr>
            </w:r>
            <w:r w:rsidR="00076432">
              <w:rPr>
                <w:noProof/>
                <w:webHidden/>
              </w:rPr>
              <w:fldChar w:fldCharType="separate"/>
            </w:r>
            <w:r w:rsidR="00076432">
              <w:rPr>
                <w:noProof/>
                <w:webHidden/>
              </w:rPr>
              <w:t>264</w:t>
            </w:r>
            <w:r w:rsidR="00076432">
              <w:rPr>
                <w:noProof/>
                <w:webHidden/>
              </w:rPr>
              <w:fldChar w:fldCharType="end"/>
            </w:r>
          </w:hyperlink>
        </w:p>
        <w:p w14:paraId="42F4E971" w14:textId="33A1F9B9" w:rsidR="00076432" w:rsidRDefault="00500371">
          <w:pPr>
            <w:pStyle w:val="TOC2"/>
            <w:tabs>
              <w:tab w:val="right" w:leader="dot" w:pos="13670"/>
            </w:tabs>
            <w:rPr>
              <w:rFonts w:eastAsiaTheme="minorEastAsia"/>
              <w:noProof/>
            </w:rPr>
          </w:pPr>
          <w:hyperlink w:anchor="_Toc106369798" w:history="1">
            <w:r w:rsidR="00076432" w:rsidRPr="00704760">
              <w:rPr>
                <w:rStyle w:val="Hyperlink"/>
                <w:noProof/>
              </w:rPr>
              <w:t>Everolimus (Zortress)</w:t>
            </w:r>
            <w:r w:rsidR="00076432">
              <w:rPr>
                <w:noProof/>
                <w:webHidden/>
              </w:rPr>
              <w:tab/>
            </w:r>
            <w:r w:rsidR="00076432">
              <w:rPr>
                <w:noProof/>
                <w:webHidden/>
              </w:rPr>
              <w:fldChar w:fldCharType="begin"/>
            </w:r>
            <w:r w:rsidR="00076432">
              <w:rPr>
                <w:noProof/>
                <w:webHidden/>
              </w:rPr>
              <w:instrText xml:space="preserve"> PAGEREF _Toc106369798 \h </w:instrText>
            </w:r>
            <w:r w:rsidR="00076432">
              <w:rPr>
                <w:noProof/>
                <w:webHidden/>
              </w:rPr>
            </w:r>
            <w:r w:rsidR="00076432">
              <w:rPr>
                <w:noProof/>
                <w:webHidden/>
              </w:rPr>
              <w:fldChar w:fldCharType="separate"/>
            </w:r>
            <w:r w:rsidR="00076432">
              <w:rPr>
                <w:noProof/>
                <w:webHidden/>
              </w:rPr>
              <w:t>271</w:t>
            </w:r>
            <w:r w:rsidR="00076432">
              <w:rPr>
                <w:noProof/>
                <w:webHidden/>
              </w:rPr>
              <w:fldChar w:fldCharType="end"/>
            </w:r>
          </w:hyperlink>
        </w:p>
        <w:p w14:paraId="48AC7801" w14:textId="60E21D32" w:rsidR="00076432" w:rsidRDefault="00500371">
          <w:pPr>
            <w:pStyle w:val="TOC2"/>
            <w:tabs>
              <w:tab w:val="right" w:leader="dot" w:pos="13670"/>
            </w:tabs>
            <w:rPr>
              <w:rFonts w:eastAsiaTheme="minorEastAsia"/>
              <w:noProof/>
            </w:rPr>
          </w:pPr>
          <w:hyperlink w:anchor="_Toc106369799" w:history="1">
            <w:r w:rsidR="00076432" w:rsidRPr="00704760">
              <w:rPr>
                <w:rStyle w:val="Hyperlink"/>
                <w:noProof/>
                <w:lang w:val="es-ES"/>
              </w:rPr>
              <w:t>Evolocumab (Repatha)</w:t>
            </w:r>
            <w:r w:rsidR="00076432">
              <w:rPr>
                <w:noProof/>
                <w:webHidden/>
              </w:rPr>
              <w:tab/>
            </w:r>
            <w:r w:rsidR="00076432">
              <w:rPr>
                <w:noProof/>
                <w:webHidden/>
              </w:rPr>
              <w:fldChar w:fldCharType="begin"/>
            </w:r>
            <w:r w:rsidR="00076432">
              <w:rPr>
                <w:noProof/>
                <w:webHidden/>
              </w:rPr>
              <w:instrText xml:space="preserve"> PAGEREF _Toc106369799 \h </w:instrText>
            </w:r>
            <w:r w:rsidR="00076432">
              <w:rPr>
                <w:noProof/>
                <w:webHidden/>
              </w:rPr>
            </w:r>
            <w:r w:rsidR="00076432">
              <w:rPr>
                <w:noProof/>
                <w:webHidden/>
              </w:rPr>
              <w:fldChar w:fldCharType="separate"/>
            </w:r>
            <w:r w:rsidR="00076432">
              <w:rPr>
                <w:noProof/>
                <w:webHidden/>
              </w:rPr>
              <w:t>274</w:t>
            </w:r>
            <w:r w:rsidR="00076432">
              <w:rPr>
                <w:noProof/>
                <w:webHidden/>
              </w:rPr>
              <w:fldChar w:fldCharType="end"/>
            </w:r>
          </w:hyperlink>
        </w:p>
        <w:p w14:paraId="1B84A40B" w14:textId="2DC4177D" w:rsidR="00076432" w:rsidRDefault="00500371">
          <w:pPr>
            <w:pStyle w:val="TOC2"/>
            <w:tabs>
              <w:tab w:val="right" w:leader="dot" w:pos="13670"/>
            </w:tabs>
            <w:rPr>
              <w:rFonts w:eastAsiaTheme="minorEastAsia"/>
              <w:noProof/>
            </w:rPr>
          </w:pPr>
          <w:hyperlink w:anchor="_Toc106369800" w:history="1">
            <w:r w:rsidR="00076432" w:rsidRPr="00704760">
              <w:rPr>
                <w:rStyle w:val="Hyperlink"/>
                <w:noProof/>
                <w:lang w:val="es-ES"/>
              </w:rPr>
              <w:t>fam-trastuzumab deruxtecan-nxki (Enhertu)</w:t>
            </w:r>
            <w:r w:rsidR="00076432">
              <w:rPr>
                <w:noProof/>
                <w:webHidden/>
              </w:rPr>
              <w:tab/>
            </w:r>
            <w:r w:rsidR="00076432">
              <w:rPr>
                <w:noProof/>
                <w:webHidden/>
              </w:rPr>
              <w:fldChar w:fldCharType="begin"/>
            </w:r>
            <w:r w:rsidR="00076432">
              <w:rPr>
                <w:noProof/>
                <w:webHidden/>
              </w:rPr>
              <w:instrText xml:space="preserve"> PAGEREF _Toc106369800 \h </w:instrText>
            </w:r>
            <w:r w:rsidR="00076432">
              <w:rPr>
                <w:noProof/>
                <w:webHidden/>
              </w:rPr>
            </w:r>
            <w:r w:rsidR="00076432">
              <w:rPr>
                <w:noProof/>
                <w:webHidden/>
              </w:rPr>
              <w:fldChar w:fldCharType="separate"/>
            </w:r>
            <w:r w:rsidR="00076432">
              <w:rPr>
                <w:noProof/>
                <w:webHidden/>
              </w:rPr>
              <w:t>276</w:t>
            </w:r>
            <w:r w:rsidR="00076432">
              <w:rPr>
                <w:noProof/>
                <w:webHidden/>
              </w:rPr>
              <w:fldChar w:fldCharType="end"/>
            </w:r>
          </w:hyperlink>
        </w:p>
        <w:p w14:paraId="4A960021" w14:textId="7A8CDCBD" w:rsidR="00076432" w:rsidRDefault="00500371">
          <w:pPr>
            <w:pStyle w:val="TOC2"/>
            <w:tabs>
              <w:tab w:val="right" w:leader="dot" w:pos="13670"/>
            </w:tabs>
            <w:rPr>
              <w:rFonts w:eastAsiaTheme="minorEastAsia"/>
              <w:noProof/>
            </w:rPr>
          </w:pPr>
          <w:hyperlink w:anchor="_Toc106369801" w:history="1">
            <w:r w:rsidR="00076432" w:rsidRPr="00704760">
              <w:rPr>
                <w:rStyle w:val="Hyperlink"/>
                <w:noProof/>
              </w:rPr>
              <w:t>Febuxostat (Uloric)</w:t>
            </w:r>
            <w:r w:rsidR="00076432">
              <w:rPr>
                <w:noProof/>
                <w:webHidden/>
              </w:rPr>
              <w:tab/>
            </w:r>
            <w:r w:rsidR="00076432">
              <w:rPr>
                <w:noProof/>
                <w:webHidden/>
              </w:rPr>
              <w:fldChar w:fldCharType="begin"/>
            </w:r>
            <w:r w:rsidR="00076432">
              <w:rPr>
                <w:noProof/>
                <w:webHidden/>
              </w:rPr>
              <w:instrText xml:space="preserve"> PAGEREF _Toc106369801 \h </w:instrText>
            </w:r>
            <w:r w:rsidR="00076432">
              <w:rPr>
                <w:noProof/>
                <w:webHidden/>
              </w:rPr>
            </w:r>
            <w:r w:rsidR="00076432">
              <w:rPr>
                <w:noProof/>
                <w:webHidden/>
              </w:rPr>
              <w:fldChar w:fldCharType="separate"/>
            </w:r>
            <w:r w:rsidR="00076432">
              <w:rPr>
                <w:noProof/>
                <w:webHidden/>
              </w:rPr>
              <w:t>277</w:t>
            </w:r>
            <w:r w:rsidR="00076432">
              <w:rPr>
                <w:noProof/>
                <w:webHidden/>
              </w:rPr>
              <w:fldChar w:fldCharType="end"/>
            </w:r>
          </w:hyperlink>
        </w:p>
        <w:p w14:paraId="778FCC6C" w14:textId="01D1DBE6" w:rsidR="00076432" w:rsidRDefault="00500371">
          <w:pPr>
            <w:pStyle w:val="TOC2"/>
            <w:tabs>
              <w:tab w:val="right" w:leader="dot" w:pos="13670"/>
            </w:tabs>
            <w:rPr>
              <w:rFonts w:eastAsiaTheme="minorEastAsia"/>
              <w:noProof/>
            </w:rPr>
          </w:pPr>
          <w:hyperlink w:anchor="_Toc106369802" w:history="1">
            <w:r w:rsidR="00076432" w:rsidRPr="00704760">
              <w:rPr>
                <w:rStyle w:val="Hyperlink"/>
                <w:noProof/>
              </w:rPr>
              <w:t>Fenfluramine (Fintepla)</w:t>
            </w:r>
            <w:r w:rsidR="00076432">
              <w:rPr>
                <w:noProof/>
                <w:webHidden/>
              </w:rPr>
              <w:tab/>
            </w:r>
            <w:r w:rsidR="00076432">
              <w:rPr>
                <w:noProof/>
                <w:webHidden/>
              </w:rPr>
              <w:fldChar w:fldCharType="begin"/>
            </w:r>
            <w:r w:rsidR="00076432">
              <w:rPr>
                <w:noProof/>
                <w:webHidden/>
              </w:rPr>
              <w:instrText xml:space="preserve"> PAGEREF _Toc106369802 \h </w:instrText>
            </w:r>
            <w:r w:rsidR="00076432">
              <w:rPr>
                <w:noProof/>
                <w:webHidden/>
              </w:rPr>
            </w:r>
            <w:r w:rsidR="00076432">
              <w:rPr>
                <w:noProof/>
                <w:webHidden/>
              </w:rPr>
              <w:fldChar w:fldCharType="separate"/>
            </w:r>
            <w:r w:rsidR="00076432">
              <w:rPr>
                <w:noProof/>
                <w:webHidden/>
              </w:rPr>
              <w:t>279</w:t>
            </w:r>
            <w:r w:rsidR="00076432">
              <w:rPr>
                <w:noProof/>
                <w:webHidden/>
              </w:rPr>
              <w:fldChar w:fldCharType="end"/>
            </w:r>
          </w:hyperlink>
        </w:p>
        <w:p w14:paraId="62A254A7" w14:textId="23933AA5" w:rsidR="00076432" w:rsidRDefault="00500371">
          <w:pPr>
            <w:pStyle w:val="TOC2"/>
            <w:tabs>
              <w:tab w:val="right" w:leader="dot" w:pos="13670"/>
            </w:tabs>
            <w:rPr>
              <w:rFonts w:eastAsiaTheme="minorEastAsia"/>
              <w:noProof/>
            </w:rPr>
          </w:pPr>
          <w:hyperlink w:anchor="_Toc106369803" w:history="1">
            <w:r w:rsidR="00076432" w:rsidRPr="00704760">
              <w:rPr>
                <w:rStyle w:val="Hyperlink"/>
                <w:noProof/>
              </w:rPr>
              <w:t>Fentanyl Products</w:t>
            </w:r>
            <w:r w:rsidR="00076432">
              <w:rPr>
                <w:noProof/>
                <w:webHidden/>
              </w:rPr>
              <w:tab/>
            </w:r>
            <w:r w:rsidR="00076432">
              <w:rPr>
                <w:noProof/>
                <w:webHidden/>
              </w:rPr>
              <w:fldChar w:fldCharType="begin"/>
            </w:r>
            <w:r w:rsidR="00076432">
              <w:rPr>
                <w:noProof/>
                <w:webHidden/>
              </w:rPr>
              <w:instrText xml:space="preserve"> PAGEREF _Toc106369803 \h </w:instrText>
            </w:r>
            <w:r w:rsidR="00076432">
              <w:rPr>
                <w:noProof/>
                <w:webHidden/>
              </w:rPr>
            </w:r>
            <w:r w:rsidR="00076432">
              <w:rPr>
                <w:noProof/>
                <w:webHidden/>
              </w:rPr>
              <w:fldChar w:fldCharType="separate"/>
            </w:r>
            <w:r w:rsidR="00076432">
              <w:rPr>
                <w:noProof/>
                <w:webHidden/>
              </w:rPr>
              <w:t>280</w:t>
            </w:r>
            <w:r w:rsidR="00076432">
              <w:rPr>
                <w:noProof/>
                <w:webHidden/>
              </w:rPr>
              <w:fldChar w:fldCharType="end"/>
            </w:r>
          </w:hyperlink>
        </w:p>
        <w:p w14:paraId="0896699B" w14:textId="7AA75694" w:rsidR="00076432" w:rsidRDefault="00500371">
          <w:pPr>
            <w:pStyle w:val="TOC2"/>
            <w:tabs>
              <w:tab w:val="right" w:leader="dot" w:pos="13670"/>
            </w:tabs>
            <w:rPr>
              <w:rFonts w:eastAsiaTheme="minorEastAsia"/>
              <w:noProof/>
            </w:rPr>
          </w:pPr>
          <w:hyperlink w:anchor="_Toc106369804" w:history="1">
            <w:r w:rsidR="00076432" w:rsidRPr="00704760">
              <w:rPr>
                <w:rStyle w:val="Hyperlink"/>
                <w:noProof/>
                <w:lang w:val="es-ES"/>
              </w:rPr>
              <w:t>Fentanyl (Actiq/Fentora)</w:t>
            </w:r>
            <w:r w:rsidR="00076432">
              <w:rPr>
                <w:noProof/>
                <w:webHidden/>
              </w:rPr>
              <w:tab/>
            </w:r>
            <w:r w:rsidR="00076432">
              <w:rPr>
                <w:noProof/>
                <w:webHidden/>
              </w:rPr>
              <w:fldChar w:fldCharType="begin"/>
            </w:r>
            <w:r w:rsidR="00076432">
              <w:rPr>
                <w:noProof/>
                <w:webHidden/>
              </w:rPr>
              <w:instrText xml:space="preserve"> PAGEREF _Toc106369804 \h </w:instrText>
            </w:r>
            <w:r w:rsidR="00076432">
              <w:rPr>
                <w:noProof/>
                <w:webHidden/>
              </w:rPr>
            </w:r>
            <w:r w:rsidR="00076432">
              <w:rPr>
                <w:noProof/>
                <w:webHidden/>
              </w:rPr>
              <w:fldChar w:fldCharType="separate"/>
            </w:r>
            <w:r w:rsidR="00076432">
              <w:rPr>
                <w:noProof/>
                <w:webHidden/>
              </w:rPr>
              <w:t>282</w:t>
            </w:r>
            <w:r w:rsidR="00076432">
              <w:rPr>
                <w:noProof/>
                <w:webHidden/>
              </w:rPr>
              <w:fldChar w:fldCharType="end"/>
            </w:r>
          </w:hyperlink>
        </w:p>
        <w:p w14:paraId="0D5E181C" w14:textId="2DCACB50" w:rsidR="00076432" w:rsidRDefault="00500371">
          <w:pPr>
            <w:pStyle w:val="TOC2"/>
            <w:tabs>
              <w:tab w:val="right" w:leader="dot" w:pos="13670"/>
            </w:tabs>
            <w:rPr>
              <w:rFonts w:eastAsiaTheme="minorEastAsia"/>
              <w:noProof/>
            </w:rPr>
          </w:pPr>
          <w:hyperlink w:anchor="_Toc106369805" w:history="1">
            <w:r w:rsidR="00076432" w:rsidRPr="00704760">
              <w:rPr>
                <w:rStyle w:val="Hyperlink"/>
                <w:noProof/>
              </w:rPr>
              <w:t>Onsolis (fentanyl buccal film)</w:t>
            </w:r>
            <w:r w:rsidR="00076432">
              <w:rPr>
                <w:noProof/>
                <w:webHidden/>
              </w:rPr>
              <w:tab/>
            </w:r>
            <w:r w:rsidR="00076432">
              <w:rPr>
                <w:noProof/>
                <w:webHidden/>
              </w:rPr>
              <w:fldChar w:fldCharType="begin"/>
            </w:r>
            <w:r w:rsidR="00076432">
              <w:rPr>
                <w:noProof/>
                <w:webHidden/>
              </w:rPr>
              <w:instrText xml:space="preserve"> PAGEREF _Toc106369805 \h </w:instrText>
            </w:r>
            <w:r w:rsidR="00076432">
              <w:rPr>
                <w:noProof/>
                <w:webHidden/>
              </w:rPr>
            </w:r>
            <w:r w:rsidR="00076432">
              <w:rPr>
                <w:noProof/>
                <w:webHidden/>
              </w:rPr>
              <w:fldChar w:fldCharType="separate"/>
            </w:r>
            <w:r w:rsidR="00076432">
              <w:rPr>
                <w:noProof/>
                <w:webHidden/>
              </w:rPr>
              <w:t>284</w:t>
            </w:r>
            <w:r w:rsidR="00076432">
              <w:rPr>
                <w:noProof/>
                <w:webHidden/>
              </w:rPr>
              <w:fldChar w:fldCharType="end"/>
            </w:r>
          </w:hyperlink>
        </w:p>
        <w:p w14:paraId="6DCF9182" w14:textId="733FC4F1" w:rsidR="00076432" w:rsidRDefault="00500371">
          <w:pPr>
            <w:pStyle w:val="TOC2"/>
            <w:tabs>
              <w:tab w:val="right" w:leader="dot" w:pos="13670"/>
            </w:tabs>
            <w:rPr>
              <w:rFonts w:eastAsiaTheme="minorEastAsia"/>
              <w:noProof/>
            </w:rPr>
          </w:pPr>
          <w:hyperlink w:anchor="_Toc106369806" w:history="1">
            <w:r w:rsidR="00076432" w:rsidRPr="00704760">
              <w:rPr>
                <w:rStyle w:val="Hyperlink"/>
                <w:noProof/>
              </w:rPr>
              <w:t>Fidaxomicin (Dificid)</w:t>
            </w:r>
            <w:r w:rsidR="00076432">
              <w:rPr>
                <w:noProof/>
                <w:webHidden/>
              </w:rPr>
              <w:tab/>
            </w:r>
            <w:r w:rsidR="00076432">
              <w:rPr>
                <w:noProof/>
                <w:webHidden/>
              </w:rPr>
              <w:fldChar w:fldCharType="begin"/>
            </w:r>
            <w:r w:rsidR="00076432">
              <w:rPr>
                <w:noProof/>
                <w:webHidden/>
              </w:rPr>
              <w:instrText xml:space="preserve"> PAGEREF _Toc106369806 \h </w:instrText>
            </w:r>
            <w:r w:rsidR="00076432">
              <w:rPr>
                <w:noProof/>
                <w:webHidden/>
              </w:rPr>
            </w:r>
            <w:r w:rsidR="00076432">
              <w:rPr>
                <w:noProof/>
                <w:webHidden/>
              </w:rPr>
              <w:fldChar w:fldCharType="separate"/>
            </w:r>
            <w:r w:rsidR="00076432">
              <w:rPr>
                <w:noProof/>
                <w:webHidden/>
              </w:rPr>
              <w:t>285</w:t>
            </w:r>
            <w:r w:rsidR="00076432">
              <w:rPr>
                <w:noProof/>
                <w:webHidden/>
              </w:rPr>
              <w:fldChar w:fldCharType="end"/>
            </w:r>
          </w:hyperlink>
        </w:p>
        <w:p w14:paraId="4F0E0FED" w14:textId="7741311C" w:rsidR="00076432" w:rsidRDefault="00500371">
          <w:pPr>
            <w:pStyle w:val="TOC2"/>
            <w:tabs>
              <w:tab w:val="right" w:leader="dot" w:pos="13670"/>
            </w:tabs>
            <w:rPr>
              <w:rFonts w:eastAsiaTheme="minorEastAsia"/>
              <w:noProof/>
            </w:rPr>
          </w:pPr>
          <w:hyperlink w:anchor="_Toc106369807" w:history="1">
            <w:r w:rsidR="00076432" w:rsidRPr="00704760">
              <w:rPr>
                <w:rStyle w:val="Hyperlink"/>
                <w:noProof/>
                <w:lang w:val="es-ES"/>
              </w:rPr>
              <w:t>Fingolimod (Gilenya®)</w:t>
            </w:r>
            <w:r w:rsidR="00076432">
              <w:rPr>
                <w:noProof/>
                <w:webHidden/>
              </w:rPr>
              <w:tab/>
            </w:r>
            <w:r w:rsidR="00076432">
              <w:rPr>
                <w:noProof/>
                <w:webHidden/>
              </w:rPr>
              <w:fldChar w:fldCharType="begin"/>
            </w:r>
            <w:r w:rsidR="00076432">
              <w:rPr>
                <w:noProof/>
                <w:webHidden/>
              </w:rPr>
              <w:instrText xml:space="preserve"> PAGEREF _Toc106369807 \h </w:instrText>
            </w:r>
            <w:r w:rsidR="00076432">
              <w:rPr>
                <w:noProof/>
                <w:webHidden/>
              </w:rPr>
            </w:r>
            <w:r w:rsidR="00076432">
              <w:rPr>
                <w:noProof/>
                <w:webHidden/>
              </w:rPr>
              <w:fldChar w:fldCharType="separate"/>
            </w:r>
            <w:r w:rsidR="00076432">
              <w:rPr>
                <w:noProof/>
                <w:webHidden/>
              </w:rPr>
              <w:t>287</w:t>
            </w:r>
            <w:r w:rsidR="00076432">
              <w:rPr>
                <w:noProof/>
                <w:webHidden/>
              </w:rPr>
              <w:fldChar w:fldCharType="end"/>
            </w:r>
          </w:hyperlink>
        </w:p>
        <w:p w14:paraId="6985DFEC" w14:textId="0C245BF3" w:rsidR="00076432" w:rsidRDefault="00500371">
          <w:pPr>
            <w:pStyle w:val="TOC2"/>
            <w:tabs>
              <w:tab w:val="right" w:leader="dot" w:pos="13670"/>
            </w:tabs>
            <w:rPr>
              <w:rFonts w:eastAsiaTheme="minorEastAsia"/>
              <w:noProof/>
            </w:rPr>
          </w:pPr>
          <w:hyperlink w:anchor="_Toc106369808" w:history="1">
            <w:r w:rsidR="00076432" w:rsidRPr="00704760">
              <w:rPr>
                <w:rStyle w:val="Hyperlink"/>
                <w:noProof/>
              </w:rPr>
              <w:t>Galcanezumab (Emgality)</w:t>
            </w:r>
            <w:r w:rsidR="00076432">
              <w:rPr>
                <w:noProof/>
                <w:webHidden/>
              </w:rPr>
              <w:tab/>
            </w:r>
            <w:r w:rsidR="00076432">
              <w:rPr>
                <w:noProof/>
                <w:webHidden/>
              </w:rPr>
              <w:fldChar w:fldCharType="begin"/>
            </w:r>
            <w:r w:rsidR="00076432">
              <w:rPr>
                <w:noProof/>
                <w:webHidden/>
              </w:rPr>
              <w:instrText xml:space="preserve"> PAGEREF _Toc106369808 \h </w:instrText>
            </w:r>
            <w:r w:rsidR="00076432">
              <w:rPr>
                <w:noProof/>
                <w:webHidden/>
              </w:rPr>
            </w:r>
            <w:r w:rsidR="00076432">
              <w:rPr>
                <w:noProof/>
                <w:webHidden/>
              </w:rPr>
              <w:fldChar w:fldCharType="separate"/>
            </w:r>
            <w:r w:rsidR="00076432">
              <w:rPr>
                <w:noProof/>
                <w:webHidden/>
              </w:rPr>
              <w:t>289</w:t>
            </w:r>
            <w:r w:rsidR="00076432">
              <w:rPr>
                <w:noProof/>
                <w:webHidden/>
              </w:rPr>
              <w:fldChar w:fldCharType="end"/>
            </w:r>
          </w:hyperlink>
        </w:p>
        <w:p w14:paraId="4FEC3EFE" w14:textId="6B5CABA3" w:rsidR="00076432" w:rsidRDefault="00500371">
          <w:pPr>
            <w:pStyle w:val="TOC2"/>
            <w:tabs>
              <w:tab w:val="right" w:leader="dot" w:pos="13670"/>
            </w:tabs>
            <w:rPr>
              <w:rFonts w:eastAsiaTheme="minorEastAsia"/>
              <w:noProof/>
            </w:rPr>
          </w:pPr>
          <w:hyperlink w:anchor="_Toc106369809" w:history="1">
            <w:r w:rsidR="00076432" w:rsidRPr="00704760">
              <w:rPr>
                <w:rStyle w:val="Hyperlink"/>
                <w:noProof/>
              </w:rPr>
              <w:t>Gemtuzumab ozogamicin (Mylotarg)</w:t>
            </w:r>
            <w:r w:rsidR="00076432">
              <w:rPr>
                <w:noProof/>
                <w:webHidden/>
              </w:rPr>
              <w:tab/>
            </w:r>
            <w:r w:rsidR="00076432">
              <w:rPr>
                <w:noProof/>
                <w:webHidden/>
              </w:rPr>
              <w:fldChar w:fldCharType="begin"/>
            </w:r>
            <w:r w:rsidR="00076432">
              <w:rPr>
                <w:noProof/>
                <w:webHidden/>
              </w:rPr>
              <w:instrText xml:space="preserve"> PAGEREF _Toc106369809 \h </w:instrText>
            </w:r>
            <w:r w:rsidR="00076432">
              <w:rPr>
                <w:noProof/>
                <w:webHidden/>
              </w:rPr>
            </w:r>
            <w:r w:rsidR="00076432">
              <w:rPr>
                <w:noProof/>
                <w:webHidden/>
              </w:rPr>
              <w:fldChar w:fldCharType="separate"/>
            </w:r>
            <w:r w:rsidR="00076432">
              <w:rPr>
                <w:noProof/>
                <w:webHidden/>
              </w:rPr>
              <w:t>291</w:t>
            </w:r>
            <w:r w:rsidR="00076432">
              <w:rPr>
                <w:noProof/>
                <w:webHidden/>
              </w:rPr>
              <w:fldChar w:fldCharType="end"/>
            </w:r>
          </w:hyperlink>
        </w:p>
        <w:p w14:paraId="35398372" w14:textId="1822CBA9" w:rsidR="00076432" w:rsidRDefault="00500371">
          <w:pPr>
            <w:pStyle w:val="TOC2"/>
            <w:tabs>
              <w:tab w:val="right" w:leader="dot" w:pos="13670"/>
            </w:tabs>
            <w:rPr>
              <w:rFonts w:eastAsiaTheme="minorEastAsia"/>
              <w:noProof/>
            </w:rPr>
          </w:pPr>
          <w:hyperlink w:anchor="_Toc106369810" w:history="1">
            <w:r w:rsidR="00076432" w:rsidRPr="00704760">
              <w:rPr>
                <w:rStyle w:val="Hyperlink"/>
                <w:noProof/>
              </w:rPr>
              <w:t>Gilteritinib (Xospata)</w:t>
            </w:r>
            <w:r w:rsidR="00076432">
              <w:rPr>
                <w:noProof/>
                <w:webHidden/>
              </w:rPr>
              <w:tab/>
            </w:r>
            <w:r w:rsidR="00076432">
              <w:rPr>
                <w:noProof/>
                <w:webHidden/>
              </w:rPr>
              <w:fldChar w:fldCharType="begin"/>
            </w:r>
            <w:r w:rsidR="00076432">
              <w:rPr>
                <w:noProof/>
                <w:webHidden/>
              </w:rPr>
              <w:instrText xml:space="preserve"> PAGEREF _Toc106369810 \h </w:instrText>
            </w:r>
            <w:r w:rsidR="00076432">
              <w:rPr>
                <w:noProof/>
                <w:webHidden/>
              </w:rPr>
            </w:r>
            <w:r w:rsidR="00076432">
              <w:rPr>
                <w:noProof/>
                <w:webHidden/>
              </w:rPr>
              <w:fldChar w:fldCharType="separate"/>
            </w:r>
            <w:r w:rsidR="00076432">
              <w:rPr>
                <w:noProof/>
                <w:webHidden/>
              </w:rPr>
              <w:t>294</w:t>
            </w:r>
            <w:r w:rsidR="00076432">
              <w:rPr>
                <w:noProof/>
                <w:webHidden/>
              </w:rPr>
              <w:fldChar w:fldCharType="end"/>
            </w:r>
          </w:hyperlink>
        </w:p>
        <w:p w14:paraId="7A7478D6" w14:textId="5775D48E" w:rsidR="00076432" w:rsidRDefault="00500371">
          <w:pPr>
            <w:pStyle w:val="TOC2"/>
            <w:tabs>
              <w:tab w:val="right" w:leader="dot" w:pos="13670"/>
            </w:tabs>
            <w:rPr>
              <w:rFonts w:eastAsiaTheme="minorEastAsia"/>
              <w:noProof/>
            </w:rPr>
          </w:pPr>
          <w:hyperlink w:anchor="_Toc106369811" w:history="1">
            <w:r w:rsidR="00076432" w:rsidRPr="00704760">
              <w:rPr>
                <w:rStyle w:val="Hyperlink"/>
                <w:noProof/>
              </w:rPr>
              <w:t>Givosiran (Givlaari)</w:t>
            </w:r>
            <w:r w:rsidR="00076432">
              <w:rPr>
                <w:noProof/>
                <w:webHidden/>
              </w:rPr>
              <w:tab/>
            </w:r>
            <w:r w:rsidR="00076432">
              <w:rPr>
                <w:noProof/>
                <w:webHidden/>
              </w:rPr>
              <w:fldChar w:fldCharType="begin"/>
            </w:r>
            <w:r w:rsidR="00076432">
              <w:rPr>
                <w:noProof/>
                <w:webHidden/>
              </w:rPr>
              <w:instrText xml:space="preserve"> PAGEREF _Toc106369811 \h </w:instrText>
            </w:r>
            <w:r w:rsidR="00076432">
              <w:rPr>
                <w:noProof/>
                <w:webHidden/>
              </w:rPr>
            </w:r>
            <w:r w:rsidR="00076432">
              <w:rPr>
                <w:noProof/>
                <w:webHidden/>
              </w:rPr>
              <w:fldChar w:fldCharType="separate"/>
            </w:r>
            <w:r w:rsidR="00076432">
              <w:rPr>
                <w:noProof/>
                <w:webHidden/>
              </w:rPr>
              <w:t>295</w:t>
            </w:r>
            <w:r w:rsidR="00076432">
              <w:rPr>
                <w:noProof/>
                <w:webHidden/>
              </w:rPr>
              <w:fldChar w:fldCharType="end"/>
            </w:r>
          </w:hyperlink>
        </w:p>
        <w:p w14:paraId="614CB46F" w14:textId="164719A6" w:rsidR="00076432" w:rsidRDefault="00500371">
          <w:pPr>
            <w:pStyle w:val="TOC2"/>
            <w:tabs>
              <w:tab w:val="right" w:leader="dot" w:pos="13670"/>
            </w:tabs>
            <w:rPr>
              <w:rFonts w:eastAsiaTheme="minorEastAsia"/>
              <w:noProof/>
            </w:rPr>
          </w:pPr>
          <w:hyperlink w:anchor="_Toc106369812" w:history="1">
            <w:r w:rsidR="00076432" w:rsidRPr="00704760">
              <w:rPr>
                <w:rStyle w:val="Hyperlink"/>
                <w:noProof/>
              </w:rPr>
              <w:t>Glasdegib (Daurismo)</w:t>
            </w:r>
            <w:r w:rsidR="00076432">
              <w:rPr>
                <w:noProof/>
                <w:webHidden/>
              </w:rPr>
              <w:tab/>
            </w:r>
            <w:r w:rsidR="00076432">
              <w:rPr>
                <w:noProof/>
                <w:webHidden/>
              </w:rPr>
              <w:fldChar w:fldCharType="begin"/>
            </w:r>
            <w:r w:rsidR="00076432">
              <w:rPr>
                <w:noProof/>
                <w:webHidden/>
              </w:rPr>
              <w:instrText xml:space="preserve"> PAGEREF _Toc106369812 \h </w:instrText>
            </w:r>
            <w:r w:rsidR="00076432">
              <w:rPr>
                <w:noProof/>
                <w:webHidden/>
              </w:rPr>
            </w:r>
            <w:r w:rsidR="00076432">
              <w:rPr>
                <w:noProof/>
                <w:webHidden/>
              </w:rPr>
              <w:fldChar w:fldCharType="separate"/>
            </w:r>
            <w:r w:rsidR="00076432">
              <w:rPr>
                <w:noProof/>
                <w:webHidden/>
              </w:rPr>
              <w:t>296</w:t>
            </w:r>
            <w:r w:rsidR="00076432">
              <w:rPr>
                <w:noProof/>
                <w:webHidden/>
              </w:rPr>
              <w:fldChar w:fldCharType="end"/>
            </w:r>
          </w:hyperlink>
        </w:p>
        <w:p w14:paraId="56B2E88E" w14:textId="292FAA69" w:rsidR="00076432" w:rsidRDefault="00500371">
          <w:pPr>
            <w:pStyle w:val="TOC2"/>
            <w:tabs>
              <w:tab w:val="right" w:leader="dot" w:pos="13670"/>
            </w:tabs>
            <w:rPr>
              <w:rFonts w:eastAsiaTheme="minorEastAsia"/>
              <w:noProof/>
            </w:rPr>
          </w:pPr>
          <w:hyperlink w:anchor="_Toc106369813" w:history="1">
            <w:r w:rsidR="00076432" w:rsidRPr="00704760">
              <w:rPr>
                <w:rStyle w:val="Hyperlink"/>
                <w:noProof/>
              </w:rPr>
              <w:t>Glatiramer (Glatopa)</w:t>
            </w:r>
            <w:r w:rsidR="00076432">
              <w:rPr>
                <w:noProof/>
                <w:webHidden/>
              </w:rPr>
              <w:tab/>
            </w:r>
            <w:r w:rsidR="00076432">
              <w:rPr>
                <w:noProof/>
                <w:webHidden/>
              </w:rPr>
              <w:fldChar w:fldCharType="begin"/>
            </w:r>
            <w:r w:rsidR="00076432">
              <w:rPr>
                <w:noProof/>
                <w:webHidden/>
              </w:rPr>
              <w:instrText xml:space="preserve"> PAGEREF _Toc106369813 \h </w:instrText>
            </w:r>
            <w:r w:rsidR="00076432">
              <w:rPr>
                <w:noProof/>
                <w:webHidden/>
              </w:rPr>
            </w:r>
            <w:r w:rsidR="00076432">
              <w:rPr>
                <w:noProof/>
                <w:webHidden/>
              </w:rPr>
              <w:fldChar w:fldCharType="separate"/>
            </w:r>
            <w:r w:rsidR="00076432">
              <w:rPr>
                <w:noProof/>
                <w:webHidden/>
              </w:rPr>
              <w:t>297</w:t>
            </w:r>
            <w:r w:rsidR="00076432">
              <w:rPr>
                <w:noProof/>
                <w:webHidden/>
              </w:rPr>
              <w:fldChar w:fldCharType="end"/>
            </w:r>
          </w:hyperlink>
        </w:p>
        <w:p w14:paraId="28906E72" w14:textId="23A0EB68" w:rsidR="00076432" w:rsidRDefault="00500371">
          <w:pPr>
            <w:pStyle w:val="TOC2"/>
            <w:tabs>
              <w:tab w:val="right" w:leader="dot" w:pos="13670"/>
            </w:tabs>
            <w:rPr>
              <w:rFonts w:eastAsiaTheme="minorEastAsia"/>
              <w:noProof/>
            </w:rPr>
          </w:pPr>
          <w:hyperlink w:anchor="_Toc106369814" w:history="1">
            <w:r w:rsidR="00076432" w:rsidRPr="00704760">
              <w:rPr>
                <w:rStyle w:val="Hyperlink"/>
                <w:rFonts w:eastAsia="Calibri"/>
                <w:noProof/>
              </w:rPr>
              <w:t>Dexcom G6 Continuous Glucose Monitor</w:t>
            </w:r>
            <w:r w:rsidR="00076432">
              <w:rPr>
                <w:noProof/>
                <w:webHidden/>
              </w:rPr>
              <w:tab/>
            </w:r>
            <w:r w:rsidR="00076432">
              <w:rPr>
                <w:noProof/>
                <w:webHidden/>
              </w:rPr>
              <w:fldChar w:fldCharType="begin"/>
            </w:r>
            <w:r w:rsidR="00076432">
              <w:rPr>
                <w:noProof/>
                <w:webHidden/>
              </w:rPr>
              <w:instrText xml:space="preserve"> PAGEREF _Toc106369814 \h </w:instrText>
            </w:r>
            <w:r w:rsidR="00076432">
              <w:rPr>
                <w:noProof/>
                <w:webHidden/>
              </w:rPr>
            </w:r>
            <w:r w:rsidR="00076432">
              <w:rPr>
                <w:noProof/>
                <w:webHidden/>
              </w:rPr>
              <w:fldChar w:fldCharType="separate"/>
            </w:r>
            <w:r w:rsidR="00076432">
              <w:rPr>
                <w:noProof/>
                <w:webHidden/>
              </w:rPr>
              <w:t>299</w:t>
            </w:r>
            <w:r w:rsidR="00076432">
              <w:rPr>
                <w:noProof/>
                <w:webHidden/>
              </w:rPr>
              <w:fldChar w:fldCharType="end"/>
            </w:r>
          </w:hyperlink>
        </w:p>
        <w:p w14:paraId="47E9E39B" w14:textId="3A6940BF" w:rsidR="00076432" w:rsidRDefault="00500371">
          <w:pPr>
            <w:pStyle w:val="TOC2"/>
            <w:tabs>
              <w:tab w:val="right" w:leader="dot" w:pos="13670"/>
            </w:tabs>
            <w:rPr>
              <w:rFonts w:eastAsiaTheme="minorEastAsia"/>
              <w:noProof/>
            </w:rPr>
          </w:pPr>
          <w:hyperlink w:anchor="_Toc106369815" w:history="1">
            <w:r w:rsidR="00076432" w:rsidRPr="00704760">
              <w:rPr>
                <w:rStyle w:val="Hyperlink"/>
                <w:noProof/>
              </w:rPr>
              <w:t>Granisetron (Sancuso)</w:t>
            </w:r>
            <w:r w:rsidR="00076432">
              <w:rPr>
                <w:noProof/>
                <w:webHidden/>
              </w:rPr>
              <w:tab/>
            </w:r>
            <w:r w:rsidR="00076432">
              <w:rPr>
                <w:noProof/>
                <w:webHidden/>
              </w:rPr>
              <w:fldChar w:fldCharType="begin"/>
            </w:r>
            <w:r w:rsidR="00076432">
              <w:rPr>
                <w:noProof/>
                <w:webHidden/>
              </w:rPr>
              <w:instrText xml:space="preserve"> PAGEREF _Toc106369815 \h </w:instrText>
            </w:r>
            <w:r w:rsidR="00076432">
              <w:rPr>
                <w:noProof/>
                <w:webHidden/>
              </w:rPr>
            </w:r>
            <w:r w:rsidR="00076432">
              <w:rPr>
                <w:noProof/>
                <w:webHidden/>
              </w:rPr>
              <w:fldChar w:fldCharType="separate"/>
            </w:r>
            <w:r w:rsidR="00076432">
              <w:rPr>
                <w:noProof/>
                <w:webHidden/>
              </w:rPr>
              <w:t>301</w:t>
            </w:r>
            <w:r w:rsidR="00076432">
              <w:rPr>
                <w:noProof/>
                <w:webHidden/>
              </w:rPr>
              <w:fldChar w:fldCharType="end"/>
            </w:r>
          </w:hyperlink>
        </w:p>
        <w:p w14:paraId="72CD8321" w14:textId="2602097C" w:rsidR="00076432" w:rsidRDefault="00500371">
          <w:pPr>
            <w:pStyle w:val="TOC2"/>
            <w:tabs>
              <w:tab w:val="right" w:leader="dot" w:pos="13670"/>
            </w:tabs>
            <w:rPr>
              <w:rFonts w:eastAsiaTheme="minorEastAsia"/>
              <w:noProof/>
            </w:rPr>
          </w:pPr>
          <w:hyperlink w:anchor="_Toc106369816" w:history="1">
            <w:r w:rsidR="00076432" w:rsidRPr="00704760">
              <w:rPr>
                <w:rStyle w:val="Hyperlink"/>
                <w:noProof/>
              </w:rPr>
              <w:t>Recombinant Human Growth Hormone (Norditropin)</w:t>
            </w:r>
            <w:r w:rsidR="00076432">
              <w:rPr>
                <w:noProof/>
                <w:webHidden/>
              </w:rPr>
              <w:tab/>
            </w:r>
            <w:r w:rsidR="00076432">
              <w:rPr>
                <w:noProof/>
                <w:webHidden/>
              </w:rPr>
              <w:fldChar w:fldCharType="begin"/>
            </w:r>
            <w:r w:rsidR="00076432">
              <w:rPr>
                <w:noProof/>
                <w:webHidden/>
              </w:rPr>
              <w:instrText xml:space="preserve"> PAGEREF _Toc106369816 \h </w:instrText>
            </w:r>
            <w:r w:rsidR="00076432">
              <w:rPr>
                <w:noProof/>
                <w:webHidden/>
              </w:rPr>
            </w:r>
            <w:r w:rsidR="00076432">
              <w:rPr>
                <w:noProof/>
                <w:webHidden/>
              </w:rPr>
              <w:fldChar w:fldCharType="separate"/>
            </w:r>
            <w:r w:rsidR="00076432">
              <w:rPr>
                <w:noProof/>
                <w:webHidden/>
              </w:rPr>
              <w:t>303</w:t>
            </w:r>
            <w:r w:rsidR="00076432">
              <w:rPr>
                <w:noProof/>
                <w:webHidden/>
              </w:rPr>
              <w:fldChar w:fldCharType="end"/>
            </w:r>
          </w:hyperlink>
        </w:p>
        <w:p w14:paraId="512C7050" w14:textId="36723581" w:rsidR="00076432" w:rsidRDefault="00500371">
          <w:pPr>
            <w:pStyle w:val="TOC2"/>
            <w:tabs>
              <w:tab w:val="right" w:leader="dot" w:pos="13670"/>
            </w:tabs>
            <w:rPr>
              <w:rFonts w:eastAsiaTheme="minorEastAsia"/>
              <w:noProof/>
            </w:rPr>
          </w:pPr>
          <w:hyperlink w:anchor="_Toc106369817" w:history="1">
            <w:r w:rsidR="00076432" w:rsidRPr="00704760">
              <w:rPr>
                <w:rStyle w:val="Hyperlink"/>
                <w:noProof/>
              </w:rPr>
              <w:t>Factors for Hemophilia</w:t>
            </w:r>
            <w:r w:rsidR="00076432">
              <w:rPr>
                <w:noProof/>
                <w:webHidden/>
              </w:rPr>
              <w:tab/>
            </w:r>
            <w:r w:rsidR="00076432">
              <w:rPr>
                <w:noProof/>
                <w:webHidden/>
              </w:rPr>
              <w:fldChar w:fldCharType="begin"/>
            </w:r>
            <w:r w:rsidR="00076432">
              <w:rPr>
                <w:noProof/>
                <w:webHidden/>
              </w:rPr>
              <w:instrText xml:space="preserve"> PAGEREF _Toc106369817 \h </w:instrText>
            </w:r>
            <w:r w:rsidR="00076432">
              <w:rPr>
                <w:noProof/>
                <w:webHidden/>
              </w:rPr>
            </w:r>
            <w:r w:rsidR="00076432">
              <w:rPr>
                <w:noProof/>
                <w:webHidden/>
              </w:rPr>
              <w:fldChar w:fldCharType="separate"/>
            </w:r>
            <w:r w:rsidR="00076432">
              <w:rPr>
                <w:noProof/>
                <w:webHidden/>
              </w:rPr>
              <w:t>315</w:t>
            </w:r>
            <w:r w:rsidR="00076432">
              <w:rPr>
                <w:noProof/>
                <w:webHidden/>
              </w:rPr>
              <w:fldChar w:fldCharType="end"/>
            </w:r>
          </w:hyperlink>
        </w:p>
        <w:p w14:paraId="30DD997C" w14:textId="425297A6" w:rsidR="00076432" w:rsidRDefault="00500371">
          <w:pPr>
            <w:pStyle w:val="TOC2"/>
            <w:tabs>
              <w:tab w:val="right" w:leader="dot" w:pos="13670"/>
            </w:tabs>
            <w:rPr>
              <w:rFonts w:eastAsiaTheme="minorEastAsia"/>
              <w:noProof/>
            </w:rPr>
          </w:pPr>
          <w:hyperlink w:anchor="_Toc106369818" w:history="1">
            <w:r w:rsidR="00076432" w:rsidRPr="00704760">
              <w:rPr>
                <w:rStyle w:val="Hyperlink"/>
                <w:noProof/>
              </w:rPr>
              <w:t>Antihemophilic factor (RECOMB Porc)</w:t>
            </w:r>
            <w:r w:rsidR="00076432">
              <w:rPr>
                <w:noProof/>
                <w:webHidden/>
              </w:rPr>
              <w:tab/>
            </w:r>
            <w:r w:rsidR="00076432">
              <w:rPr>
                <w:noProof/>
                <w:webHidden/>
              </w:rPr>
              <w:fldChar w:fldCharType="begin"/>
            </w:r>
            <w:r w:rsidR="00076432">
              <w:rPr>
                <w:noProof/>
                <w:webHidden/>
              </w:rPr>
              <w:instrText xml:space="preserve"> PAGEREF _Toc106369818 \h </w:instrText>
            </w:r>
            <w:r w:rsidR="00076432">
              <w:rPr>
                <w:noProof/>
                <w:webHidden/>
              </w:rPr>
            </w:r>
            <w:r w:rsidR="00076432">
              <w:rPr>
                <w:noProof/>
                <w:webHidden/>
              </w:rPr>
              <w:fldChar w:fldCharType="separate"/>
            </w:r>
            <w:r w:rsidR="00076432">
              <w:rPr>
                <w:noProof/>
                <w:webHidden/>
              </w:rPr>
              <w:t>322</w:t>
            </w:r>
            <w:r w:rsidR="00076432">
              <w:rPr>
                <w:noProof/>
                <w:webHidden/>
              </w:rPr>
              <w:fldChar w:fldCharType="end"/>
            </w:r>
          </w:hyperlink>
        </w:p>
        <w:p w14:paraId="4055FD84" w14:textId="0CD84165" w:rsidR="00076432" w:rsidRDefault="00500371">
          <w:pPr>
            <w:pStyle w:val="TOC2"/>
            <w:tabs>
              <w:tab w:val="right" w:leader="dot" w:pos="13670"/>
            </w:tabs>
            <w:rPr>
              <w:rFonts w:eastAsiaTheme="minorEastAsia"/>
              <w:noProof/>
            </w:rPr>
          </w:pPr>
          <w:hyperlink w:anchor="_Toc106369819" w:history="1">
            <w:r w:rsidR="00076432" w:rsidRPr="00704760">
              <w:rPr>
                <w:rStyle w:val="Hyperlink"/>
                <w:noProof/>
              </w:rPr>
              <w:t>Hydroxyprogesterone Caproate (Makena)</w:t>
            </w:r>
            <w:r w:rsidR="00076432">
              <w:rPr>
                <w:noProof/>
                <w:webHidden/>
              </w:rPr>
              <w:tab/>
            </w:r>
            <w:r w:rsidR="00076432">
              <w:rPr>
                <w:noProof/>
                <w:webHidden/>
              </w:rPr>
              <w:fldChar w:fldCharType="begin"/>
            </w:r>
            <w:r w:rsidR="00076432">
              <w:rPr>
                <w:noProof/>
                <w:webHidden/>
              </w:rPr>
              <w:instrText xml:space="preserve"> PAGEREF _Toc106369819 \h </w:instrText>
            </w:r>
            <w:r w:rsidR="00076432">
              <w:rPr>
                <w:noProof/>
                <w:webHidden/>
              </w:rPr>
            </w:r>
            <w:r w:rsidR="00076432">
              <w:rPr>
                <w:noProof/>
                <w:webHidden/>
              </w:rPr>
              <w:fldChar w:fldCharType="separate"/>
            </w:r>
            <w:r w:rsidR="00076432">
              <w:rPr>
                <w:noProof/>
                <w:webHidden/>
              </w:rPr>
              <w:t>323</w:t>
            </w:r>
            <w:r w:rsidR="00076432">
              <w:rPr>
                <w:noProof/>
                <w:webHidden/>
              </w:rPr>
              <w:fldChar w:fldCharType="end"/>
            </w:r>
          </w:hyperlink>
        </w:p>
        <w:p w14:paraId="3DEB9821" w14:textId="69511C30" w:rsidR="00076432" w:rsidRDefault="00500371">
          <w:pPr>
            <w:pStyle w:val="TOC2"/>
            <w:tabs>
              <w:tab w:val="right" w:leader="dot" w:pos="13670"/>
            </w:tabs>
            <w:rPr>
              <w:rFonts w:eastAsiaTheme="minorEastAsia"/>
              <w:noProof/>
            </w:rPr>
          </w:pPr>
          <w:hyperlink w:anchor="_Toc106369820" w:history="1">
            <w:r w:rsidR="00076432" w:rsidRPr="00704760">
              <w:rPr>
                <w:rStyle w:val="Hyperlink"/>
                <w:noProof/>
              </w:rPr>
              <w:t>Ibrutinib (Imbruvica)</w:t>
            </w:r>
            <w:r w:rsidR="00076432">
              <w:rPr>
                <w:noProof/>
                <w:webHidden/>
              </w:rPr>
              <w:tab/>
            </w:r>
            <w:r w:rsidR="00076432">
              <w:rPr>
                <w:noProof/>
                <w:webHidden/>
              </w:rPr>
              <w:fldChar w:fldCharType="begin"/>
            </w:r>
            <w:r w:rsidR="00076432">
              <w:rPr>
                <w:noProof/>
                <w:webHidden/>
              </w:rPr>
              <w:instrText xml:space="preserve"> PAGEREF _Toc106369820 \h </w:instrText>
            </w:r>
            <w:r w:rsidR="00076432">
              <w:rPr>
                <w:noProof/>
                <w:webHidden/>
              </w:rPr>
            </w:r>
            <w:r w:rsidR="00076432">
              <w:rPr>
                <w:noProof/>
                <w:webHidden/>
              </w:rPr>
              <w:fldChar w:fldCharType="separate"/>
            </w:r>
            <w:r w:rsidR="00076432">
              <w:rPr>
                <w:noProof/>
                <w:webHidden/>
              </w:rPr>
              <w:t>324</w:t>
            </w:r>
            <w:r w:rsidR="00076432">
              <w:rPr>
                <w:noProof/>
                <w:webHidden/>
              </w:rPr>
              <w:fldChar w:fldCharType="end"/>
            </w:r>
          </w:hyperlink>
        </w:p>
        <w:p w14:paraId="12380867" w14:textId="35F95726" w:rsidR="00076432" w:rsidRDefault="00500371">
          <w:pPr>
            <w:pStyle w:val="TOC2"/>
            <w:tabs>
              <w:tab w:val="right" w:leader="dot" w:pos="13670"/>
            </w:tabs>
            <w:rPr>
              <w:rFonts w:eastAsiaTheme="minorEastAsia"/>
              <w:noProof/>
            </w:rPr>
          </w:pPr>
          <w:hyperlink w:anchor="_Toc106369821" w:history="1">
            <w:r w:rsidR="00076432" w:rsidRPr="00704760">
              <w:rPr>
                <w:rStyle w:val="Hyperlink"/>
                <w:noProof/>
              </w:rPr>
              <w:t>Icosapent (Vascepa)</w:t>
            </w:r>
            <w:r w:rsidR="00076432">
              <w:rPr>
                <w:noProof/>
                <w:webHidden/>
              </w:rPr>
              <w:tab/>
            </w:r>
            <w:r w:rsidR="00076432">
              <w:rPr>
                <w:noProof/>
                <w:webHidden/>
              </w:rPr>
              <w:fldChar w:fldCharType="begin"/>
            </w:r>
            <w:r w:rsidR="00076432">
              <w:rPr>
                <w:noProof/>
                <w:webHidden/>
              </w:rPr>
              <w:instrText xml:space="preserve"> PAGEREF _Toc106369821 \h </w:instrText>
            </w:r>
            <w:r w:rsidR="00076432">
              <w:rPr>
                <w:noProof/>
                <w:webHidden/>
              </w:rPr>
            </w:r>
            <w:r w:rsidR="00076432">
              <w:rPr>
                <w:noProof/>
                <w:webHidden/>
              </w:rPr>
              <w:fldChar w:fldCharType="separate"/>
            </w:r>
            <w:r w:rsidR="00076432">
              <w:rPr>
                <w:noProof/>
                <w:webHidden/>
              </w:rPr>
              <w:t>330</w:t>
            </w:r>
            <w:r w:rsidR="00076432">
              <w:rPr>
                <w:noProof/>
                <w:webHidden/>
              </w:rPr>
              <w:fldChar w:fldCharType="end"/>
            </w:r>
          </w:hyperlink>
        </w:p>
        <w:p w14:paraId="0AA705CD" w14:textId="0C2C4E1E" w:rsidR="00076432" w:rsidRDefault="00500371">
          <w:pPr>
            <w:pStyle w:val="TOC2"/>
            <w:tabs>
              <w:tab w:val="right" w:leader="dot" w:pos="13670"/>
            </w:tabs>
            <w:rPr>
              <w:rFonts w:eastAsiaTheme="minorEastAsia"/>
              <w:noProof/>
            </w:rPr>
          </w:pPr>
          <w:hyperlink w:anchor="_Toc106369822" w:history="1">
            <w:r w:rsidR="00076432" w:rsidRPr="00704760">
              <w:rPr>
                <w:rStyle w:val="Hyperlink"/>
                <w:noProof/>
              </w:rPr>
              <w:t>Idelalisib (Zydelig)</w:t>
            </w:r>
            <w:r w:rsidR="00076432">
              <w:rPr>
                <w:noProof/>
                <w:webHidden/>
              </w:rPr>
              <w:tab/>
            </w:r>
            <w:r w:rsidR="00076432">
              <w:rPr>
                <w:noProof/>
                <w:webHidden/>
              </w:rPr>
              <w:fldChar w:fldCharType="begin"/>
            </w:r>
            <w:r w:rsidR="00076432">
              <w:rPr>
                <w:noProof/>
                <w:webHidden/>
              </w:rPr>
              <w:instrText xml:space="preserve"> PAGEREF _Toc106369822 \h </w:instrText>
            </w:r>
            <w:r w:rsidR="00076432">
              <w:rPr>
                <w:noProof/>
                <w:webHidden/>
              </w:rPr>
            </w:r>
            <w:r w:rsidR="00076432">
              <w:rPr>
                <w:noProof/>
                <w:webHidden/>
              </w:rPr>
              <w:fldChar w:fldCharType="separate"/>
            </w:r>
            <w:r w:rsidR="00076432">
              <w:rPr>
                <w:noProof/>
                <w:webHidden/>
              </w:rPr>
              <w:t>333</w:t>
            </w:r>
            <w:r w:rsidR="00076432">
              <w:rPr>
                <w:noProof/>
                <w:webHidden/>
              </w:rPr>
              <w:fldChar w:fldCharType="end"/>
            </w:r>
          </w:hyperlink>
        </w:p>
        <w:p w14:paraId="44964DA8" w14:textId="62720507" w:rsidR="00076432" w:rsidRDefault="00500371">
          <w:pPr>
            <w:pStyle w:val="TOC2"/>
            <w:tabs>
              <w:tab w:val="right" w:leader="dot" w:pos="13670"/>
            </w:tabs>
            <w:rPr>
              <w:rFonts w:eastAsiaTheme="minorEastAsia"/>
              <w:noProof/>
            </w:rPr>
          </w:pPr>
          <w:hyperlink w:anchor="_Toc106369823" w:history="1">
            <w:r w:rsidR="00076432" w:rsidRPr="00704760">
              <w:rPr>
                <w:rStyle w:val="Hyperlink"/>
                <w:noProof/>
              </w:rPr>
              <w:t>Immune Globulins</w:t>
            </w:r>
            <w:r w:rsidR="00076432">
              <w:rPr>
                <w:noProof/>
                <w:webHidden/>
              </w:rPr>
              <w:tab/>
            </w:r>
            <w:r w:rsidR="00076432">
              <w:rPr>
                <w:noProof/>
                <w:webHidden/>
              </w:rPr>
              <w:fldChar w:fldCharType="begin"/>
            </w:r>
            <w:r w:rsidR="00076432">
              <w:rPr>
                <w:noProof/>
                <w:webHidden/>
              </w:rPr>
              <w:instrText xml:space="preserve"> PAGEREF _Toc106369823 \h </w:instrText>
            </w:r>
            <w:r w:rsidR="00076432">
              <w:rPr>
                <w:noProof/>
                <w:webHidden/>
              </w:rPr>
            </w:r>
            <w:r w:rsidR="00076432">
              <w:rPr>
                <w:noProof/>
                <w:webHidden/>
              </w:rPr>
              <w:fldChar w:fldCharType="separate"/>
            </w:r>
            <w:r w:rsidR="00076432">
              <w:rPr>
                <w:noProof/>
                <w:webHidden/>
              </w:rPr>
              <w:t>335</w:t>
            </w:r>
            <w:r w:rsidR="00076432">
              <w:rPr>
                <w:noProof/>
                <w:webHidden/>
              </w:rPr>
              <w:fldChar w:fldCharType="end"/>
            </w:r>
          </w:hyperlink>
        </w:p>
        <w:p w14:paraId="552E0B1C" w14:textId="0F5913F9" w:rsidR="00076432" w:rsidRDefault="00500371">
          <w:pPr>
            <w:pStyle w:val="TOC2"/>
            <w:tabs>
              <w:tab w:val="right" w:leader="dot" w:pos="13670"/>
            </w:tabs>
            <w:rPr>
              <w:rFonts w:eastAsiaTheme="minorEastAsia"/>
              <w:noProof/>
            </w:rPr>
          </w:pPr>
          <w:hyperlink w:anchor="_Toc106369824" w:history="1">
            <w:r w:rsidR="00076432" w:rsidRPr="00704760">
              <w:rPr>
                <w:rStyle w:val="Hyperlink"/>
                <w:noProof/>
              </w:rPr>
              <w:t>Iloprost (Ventavis)</w:t>
            </w:r>
            <w:r w:rsidR="00076432">
              <w:rPr>
                <w:noProof/>
                <w:webHidden/>
              </w:rPr>
              <w:tab/>
            </w:r>
            <w:r w:rsidR="00076432">
              <w:rPr>
                <w:noProof/>
                <w:webHidden/>
              </w:rPr>
              <w:fldChar w:fldCharType="begin"/>
            </w:r>
            <w:r w:rsidR="00076432">
              <w:rPr>
                <w:noProof/>
                <w:webHidden/>
              </w:rPr>
              <w:instrText xml:space="preserve"> PAGEREF _Toc106369824 \h </w:instrText>
            </w:r>
            <w:r w:rsidR="00076432">
              <w:rPr>
                <w:noProof/>
                <w:webHidden/>
              </w:rPr>
            </w:r>
            <w:r w:rsidR="00076432">
              <w:rPr>
                <w:noProof/>
                <w:webHidden/>
              </w:rPr>
              <w:fldChar w:fldCharType="separate"/>
            </w:r>
            <w:r w:rsidR="00076432">
              <w:rPr>
                <w:noProof/>
                <w:webHidden/>
              </w:rPr>
              <w:t>336</w:t>
            </w:r>
            <w:r w:rsidR="00076432">
              <w:rPr>
                <w:noProof/>
                <w:webHidden/>
              </w:rPr>
              <w:fldChar w:fldCharType="end"/>
            </w:r>
          </w:hyperlink>
        </w:p>
        <w:p w14:paraId="626D0C48" w14:textId="20101FB0" w:rsidR="00076432" w:rsidRDefault="00500371">
          <w:pPr>
            <w:pStyle w:val="TOC2"/>
            <w:tabs>
              <w:tab w:val="right" w:leader="dot" w:pos="13670"/>
            </w:tabs>
            <w:rPr>
              <w:rFonts w:eastAsiaTheme="minorEastAsia"/>
              <w:noProof/>
            </w:rPr>
          </w:pPr>
          <w:hyperlink w:anchor="_Toc106369825" w:history="1">
            <w:r w:rsidR="00076432" w:rsidRPr="00704760">
              <w:rPr>
                <w:rStyle w:val="Hyperlink"/>
                <w:noProof/>
              </w:rPr>
              <w:t>Imiglucerase (Cerezyme)</w:t>
            </w:r>
            <w:r w:rsidR="00076432">
              <w:rPr>
                <w:noProof/>
                <w:webHidden/>
              </w:rPr>
              <w:tab/>
            </w:r>
            <w:r w:rsidR="00076432">
              <w:rPr>
                <w:noProof/>
                <w:webHidden/>
              </w:rPr>
              <w:fldChar w:fldCharType="begin"/>
            </w:r>
            <w:r w:rsidR="00076432">
              <w:rPr>
                <w:noProof/>
                <w:webHidden/>
              </w:rPr>
              <w:instrText xml:space="preserve"> PAGEREF _Toc106369825 \h </w:instrText>
            </w:r>
            <w:r w:rsidR="00076432">
              <w:rPr>
                <w:noProof/>
                <w:webHidden/>
              </w:rPr>
            </w:r>
            <w:r w:rsidR="00076432">
              <w:rPr>
                <w:noProof/>
                <w:webHidden/>
              </w:rPr>
              <w:fldChar w:fldCharType="separate"/>
            </w:r>
            <w:r w:rsidR="00076432">
              <w:rPr>
                <w:noProof/>
                <w:webHidden/>
              </w:rPr>
              <w:t>338</w:t>
            </w:r>
            <w:r w:rsidR="00076432">
              <w:rPr>
                <w:noProof/>
                <w:webHidden/>
              </w:rPr>
              <w:fldChar w:fldCharType="end"/>
            </w:r>
          </w:hyperlink>
        </w:p>
        <w:p w14:paraId="0C7D2191" w14:textId="7253EEFD" w:rsidR="00076432" w:rsidRDefault="00500371">
          <w:pPr>
            <w:pStyle w:val="TOC2"/>
            <w:tabs>
              <w:tab w:val="right" w:leader="dot" w:pos="13670"/>
            </w:tabs>
            <w:rPr>
              <w:rFonts w:eastAsiaTheme="minorEastAsia"/>
              <w:noProof/>
            </w:rPr>
          </w:pPr>
          <w:hyperlink w:anchor="_Toc106369826" w:history="1">
            <w:r w:rsidR="00076432" w:rsidRPr="00704760">
              <w:rPr>
                <w:rStyle w:val="Hyperlink"/>
                <w:noProof/>
              </w:rPr>
              <w:t>Targeted Immune Modulators</w:t>
            </w:r>
            <w:r w:rsidR="00076432">
              <w:rPr>
                <w:noProof/>
                <w:webHidden/>
              </w:rPr>
              <w:tab/>
            </w:r>
            <w:r w:rsidR="00076432">
              <w:rPr>
                <w:noProof/>
                <w:webHidden/>
              </w:rPr>
              <w:fldChar w:fldCharType="begin"/>
            </w:r>
            <w:r w:rsidR="00076432">
              <w:rPr>
                <w:noProof/>
                <w:webHidden/>
              </w:rPr>
              <w:instrText xml:space="preserve"> PAGEREF _Toc106369826 \h </w:instrText>
            </w:r>
            <w:r w:rsidR="00076432">
              <w:rPr>
                <w:noProof/>
                <w:webHidden/>
              </w:rPr>
            </w:r>
            <w:r w:rsidR="00076432">
              <w:rPr>
                <w:noProof/>
                <w:webHidden/>
              </w:rPr>
              <w:fldChar w:fldCharType="separate"/>
            </w:r>
            <w:r w:rsidR="00076432">
              <w:rPr>
                <w:noProof/>
                <w:webHidden/>
              </w:rPr>
              <w:t>339</w:t>
            </w:r>
            <w:r w:rsidR="00076432">
              <w:rPr>
                <w:noProof/>
                <w:webHidden/>
              </w:rPr>
              <w:fldChar w:fldCharType="end"/>
            </w:r>
          </w:hyperlink>
        </w:p>
        <w:p w14:paraId="377D715F" w14:textId="0B162978" w:rsidR="00076432" w:rsidRDefault="00500371">
          <w:pPr>
            <w:pStyle w:val="TOC2"/>
            <w:tabs>
              <w:tab w:val="right" w:leader="dot" w:pos="13670"/>
            </w:tabs>
            <w:rPr>
              <w:rFonts w:eastAsiaTheme="minorEastAsia"/>
              <w:noProof/>
            </w:rPr>
          </w:pPr>
          <w:hyperlink w:anchor="_Toc106369827" w:history="1">
            <w:r w:rsidR="00076432" w:rsidRPr="00704760">
              <w:rPr>
                <w:rStyle w:val="Hyperlink"/>
                <w:noProof/>
              </w:rPr>
              <w:t>Inebilizumab (Uplinza)</w:t>
            </w:r>
            <w:r w:rsidR="00076432">
              <w:rPr>
                <w:noProof/>
                <w:webHidden/>
              </w:rPr>
              <w:tab/>
            </w:r>
            <w:r w:rsidR="00076432">
              <w:rPr>
                <w:noProof/>
                <w:webHidden/>
              </w:rPr>
              <w:fldChar w:fldCharType="begin"/>
            </w:r>
            <w:r w:rsidR="00076432">
              <w:rPr>
                <w:noProof/>
                <w:webHidden/>
              </w:rPr>
              <w:instrText xml:space="preserve"> PAGEREF _Toc106369827 \h </w:instrText>
            </w:r>
            <w:r w:rsidR="00076432">
              <w:rPr>
                <w:noProof/>
                <w:webHidden/>
              </w:rPr>
            </w:r>
            <w:r w:rsidR="00076432">
              <w:rPr>
                <w:noProof/>
                <w:webHidden/>
              </w:rPr>
              <w:fldChar w:fldCharType="separate"/>
            </w:r>
            <w:r w:rsidR="00076432">
              <w:rPr>
                <w:noProof/>
                <w:webHidden/>
              </w:rPr>
              <w:t>353</w:t>
            </w:r>
            <w:r w:rsidR="00076432">
              <w:rPr>
                <w:noProof/>
                <w:webHidden/>
              </w:rPr>
              <w:fldChar w:fldCharType="end"/>
            </w:r>
          </w:hyperlink>
        </w:p>
        <w:p w14:paraId="62731E1B" w14:textId="6C9FBA10" w:rsidR="00076432" w:rsidRDefault="00500371">
          <w:pPr>
            <w:pStyle w:val="TOC2"/>
            <w:tabs>
              <w:tab w:val="right" w:leader="dot" w:pos="13670"/>
            </w:tabs>
            <w:rPr>
              <w:rFonts w:eastAsiaTheme="minorEastAsia"/>
              <w:noProof/>
            </w:rPr>
          </w:pPr>
          <w:hyperlink w:anchor="_Toc106369828" w:history="1">
            <w:r w:rsidR="00076432" w:rsidRPr="00704760">
              <w:rPr>
                <w:rStyle w:val="Hyperlink"/>
                <w:noProof/>
                <w:lang w:val="es-ES"/>
              </w:rPr>
              <w:t>Interferon Beta-1a (Rebif)</w:t>
            </w:r>
            <w:r w:rsidR="00076432">
              <w:rPr>
                <w:noProof/>
                <w:webHidden/>
              </w:rPr>
              <w:tab/>
            </w:r>
            <w:r w:rsidR="00076432">
              <w:rPr>
                <w:noProof/>
                <w:webHidden/>
              </w:rPr>
              <w:fldChar w:fldCharType="begin"/>
            </w:r>
            <w:r w:rsidR="00076432">
              <w:rPr>
                <w:noProof/>
                <w:webHidden/>
              </w:rPr>
              <w:instrText xml:space="preserve"> PAGEREF _Toc106369828 \h </w:instrText>
            </w:r>
            <w:r w:rsidR="00076432">
              <w:rPr>
                <w:noProof/>
                <w:webHidden/>
              </w:rPr>
            </w:r>
            <w:r w:rsidR="00076432">
              <w:rPr>
                <w:noProof/>
                <w:webHidden/>
              </w:rPr>
              <w:fldChar w:fldCharType="separate"/>
            </w:r>
            <w:r w:rsidR="00076432">
              <w:rPr>
                <w:noProof/>
                <w:webHidden/>
              </w:rPr>
              <w:t>354</w:t>
            </w:r>
            <w:r w:rsidR="00076432">
              <w:rPr>
                <w:noProof/>
                <w:webHidden/>
              </w:rPr>
              <w:fldChar w:fldCharType="end"/>
            </w:r>
          </w:hyperlink>
        </w:p>
        <w:p w14:paraId="7556CE6B" w14:textId="068DBABA" w:rsidR="00076432" w:rsidRDefault="00500371">
          <w:pPr>
            <w:pStyle w:val="TOC2"/>
            <w:tabs>
              <w:tab w:val="right" w:leader="dot" w:pos="13670"/>
            </w:tabs>
            <w:rPr>
              <w:rFonts w:eastAsiaTheme="minorEastAsia"/>
              <w:noProof/>
            </w:rPr>
          </w:pPr>
          <w:hyperlink w:anchor="_Toc106369829" w:history="1">
            <w:r w:rsidR="00076432" w:rsidRPr="00704760">
              <w:rPr>
                <w:rStyle w:val="Hyperlink"/>
                <w:noProof/>
                <w:lang w:val="es-ES"/>
              </w:rPr>
              <w:t>Interferon Beta-1b (Betaseron, Extavia)</w:t>
            </w:r>
            <w:r w:rsidR="00076432">
              <w:rPr>
                <w:noProof/>
                <w:webHidden/>
              </w:rPr>
              <w:tab/>
            </w:r>
            <w:r w:rsidR="00076432">
              <w:rPr>
                <w:noProof/>
                <w:webHidden/>
              </w:rPr>
              <w:fldChar w:fldCharType="begin"/>
            </w:r>
            <w:r w:rsidR="00076432">
              <w:rPr>
                <w:noProof/>
                <w:webHidden/>
              </w:rPr>
              <w:instrText xml:space="preserve"> PAGEREF _Toc106369829 \h </w:instrText>
            </w:r>
            <w:r w:rsidR="00076432">
              <w:rPr>
                <w:noProof/>
                <w:webHidden/>
              </w:rPr>
            </w:r>
            <w:r w:rsidR="00076432">
              <w:rPr>
                <w:noProof/>
                <w:webHidden/>
              </w:rPr>
              <w:fldChar w:fldCharType="separate"/>
            </w:r>
            <w:r w:rsidR="00076432">
              <w:rPr>
                <w:noProof/>
                <w:webHidden/>
              </w:rPr>
              <w:t>355</w:t>
            </w:r>
            <w:r w:rsidR="00076432">
              <w:rPr>
                <w:noProof/>
                <w:webHidden/>
              </w:rPr>
              <w:fldChar w:fldCharType="end"/>
            </w:r>
          </w:hyperlink>
        </w:p>
        <w:p w14:paraId="1E39CC32" w14:textId="563C64BE" w:rsidR="00076432" w:rsidRDefault="00500371">
          <w:pPr>
            <w:pStyle w:val="TOC2"/>
            <w:tabs>
              <w:tab w:val="right" w:leader="dot" w:pos="13670"/>
            </w:tabs>
            <w:rPr>
              <w:rFonts w:eastAsiaTheme="minorEastAsia"/>
              <w:noProof/>
            </w:rPr>
          </w:pPr>
          <w:hyperlink w:anchor="_Toc106369830" w:history="1">
            <w:r w:rsidR="00076432" w:rsidRPr="00704760">
              <w:rPr>
                <w:rStyle w:val="Hyperlink"/>
                <w:noProof/>
              </w:rPr>
              <w:t>Ipilimumab (Yervoy)</w:t>
            </w:r>
            <w:r w:rsidR="00076432">
              <w:rPr>
                <w:noProof/>
                <w:webHidden/>
              </w:rPr>
              <w:tab/>
            </w:r>
            <w:r w:rsidR="00076432">
              <w:rPr>
                <w:noProof/>
                <w:webHidden/>
              </w:rPr>
              <w:fldChar w:fldCharType="begin"/>
            </w:r>
            <w:r w:rsidR="00076432">
              <w:rPr>
                <w:noProof/>
                <w:webHidden/>
              </w:rPr>
              <w:instrText xml:space="preserve"> PAGEREF _Toc106369830 \h </w:instrText>
            </w:r>
            <w:r w:rsidR="00076432">
              <w:rPr>
                <w:noProof/>
                <w:webHidden/>
              </w:rPr>
            </w:r>
            <w:r w:rsidR="00076432">
              <w:rPr>
                <w:noProof/>
                <w:webHidden/>
              </w:rPr>
              <w:fldChar w:fldCharType="separate"/>
            </w:r>
            <w:r w:rsidR="00076432">
              <w:rPr>
                <w:noProof/>
                <w:webHidden/>
              </w:rPr>
              <w:t>356</w:t>
            </w:r>
            <w:r w:rsidR="00076432">
              <w:rPr>
                <w:noProof/>
                <w:webHidden/>
              </w:rPr>
              <w:fldChar w:fldCharType="end"/>
            </w:r>
          </w:hyperlink>
        </w:p>
        <w:p w14:paraId="2A5B4E3E" w14:textId="53DA68B9" w:rsidR="00076432" w:rsidRDefault="00500371">
          <w:pPr>
            <w:pStyle w:val="TOC2"/>
            <w:tabs>
              <w:tab w:val="right" w:leader="dot" w:pos="13670"/>
            </w:tabs>
            <w:rPr>
              <w:rFonts w:eastAsiaTheme="minorEastAsia"/>
              <w:noProof/>
            </w:rPr>
          </w:pPr>
          <w:hyperlink w:anchor="_Toc106369831" w:history="1">
            <w:r w:rsidR="00076432" w:rsidRPr="00704760">
              <w:rPr>
                <w:rStyle w:val="Hyperlink"/>
                <w:noProof/>
              </w:rPr>
              <w:t>Isatuximab (Sarclisa)</w:t>
            </w:r>
            <w:r w:rsidR="00076432">
              <w:rPr>
                <w:noProof/>
                <w:webHidden/>
              </w:rPr>
              <w:tab/>
            </w:r>
            <w:r w:rsidR="00076432">
              <w:rPr>
                <w:noProof/>
                <w:webHidden/>
              </w:rPr>
              <w:fldChar w:fldCharType="begin"/>
            </w:r>
            <w:r w:rsidR="00076432">
              <w:rPr>
                <w:noProof/>
                <w:webHidden/>
              </w:rPr>
              <w:instrText xml:space="preserve"> PAGEREF _Toc106369831 \h </w:instrText>
            </w:r>
            <w:r w:rsidR="00076432">
              <w:rPr>
                <w:noProof/>
                <w:webHidden/>
              </w:rPr>
            </w:r>
            <w:r w:rsidR="00076432">
              <w:rPr>
                <w:noProof/>
                <w:webHidden/>
              </w:rPr>
              <w:fldChar w:fldCharType="separate"/>
            </w:r>
            <w:r w:rsidR="00076432">
              <w:rPr>
                <w:noProof/>
                <w:webHidden/>
              </w:rPr>
              <w:t>361</w:t>
            </w:r>
            <w:r w:rsidR="00076432">
              <w:rPr>
                <w:noProof/>
                <w:webHidden/>
              </w:rPr>
              <w:fldChar w:fldCharType="end"/>
            </w:r>
          </w:hyperlink>
        </w:p>
        <w:p w14:paraId="0BD55D38" w14:textId="4F3ADE62" w:rsidR="00076432" w:rsidRDefault="00500371">
          <w:pPr>
            <w:pStyle w:val="TOC2"/>
            <w:tabs>
              <w:tab w:val="right" w:leader="dot" w:pos="13670"/>
            </w:tabs>
            <w:rPr>
              <w:rFonts w:eastAsiaTheme="minorEastAsia"/>
              <w:noProof/>
            </w:rPr>
          </w:pPr>
          <w:hyperlink w:anchor="_Toc106369832" w:history="1">
            <w:r w:rsidR="00076432" w:rsidRPr="00704760">
              <w:rPr>
                <w:rStyle w:val="Hyperlink"/>
                <w:noProof/>
              </w:rPr>
              <w:t>Istradefylline (Nourianz)</w:t>
            </w:r>
            <w:r w:rsidR="00076432">
              <w:rPr>
                <w:noProof/>
                <w:webHidden/>
              </w:rPr>
              <w:tab/>
            </w:r>
            <w:r w:rsidR="00076432">
              <w:rPr>
                <w:noProof/>
                <w:webHidden/>
              </w:rPr>
              <w:fldChar w:fldCharType="begin"/>
            </w:r>
            <w:r w:rsidR="00076432">
              <w:rPr>
                <w:noProof/>
                <w:webHidden/>
              </w:rPr>
              <w:instrText xml:space="preserve"> PAGEREF _Toc106369832 \h </w:instrText>
            </w:r>
            <w:r w:rsidR="00076432">
              <w:rPr>
                <w:noProof/>
                <w:webHidden/>
              </w:rPr>
            </w:r>
            <w:r w:rsidR="00076432">
              <w:rPr>
                <w:noProof/>
                <w:webHidden/>
              </w:rPr>
              <w:fldChar w:fldCharType="separate"/>
            </w:r>
            <w:r w:rsidR="00076432">
              <w:rPr>
                <w:noProof/>
                <w:webHidden/>
              </w:rPr>
              <w:t>363</w:t>
            </w:r>
            <w:r w:rsidR="00076432">
              <w:rPr>
                <w:noProof/>
                <w:webHidden/>
              </w:rPr>
              <w:fldChar w:fldCharType="end"/>
            </w:r>
          </w:hyperlink>
        </w:p>
        <w:p w14:paraId="1365E5C5" w14:textId="04CB0B60" w:rsidR="00076432" w:rsidRDefault="00500371">
          <w:pPr>
            <w:pStyle w:val="TOC2"/>
            <w:tabs>
              <w:tab w:val="right" w:leader="dot" w:pos="13670"/>
            </w:tabs>
            <w:rPr>
              <w:rFonts w:eastAsiaTheme="minorEastAsia"/>
              <w:noProof/>
            </w:rPr>
          </w:pPr>
          <w:hyperlink w:anchor="_Toc106369833" w:history="1">
            <w:r w:rsidR="00076432" w:rsidRPr="00704760">
              <w:rPr>
                <w:rStyle w:val="Hyperlink"/>
                <w:noProof/>
              </w:rPr>
              <w:t>Itraconazole</w:t>
            </w:r>
            <w:r w:rsidR="00076432">
              <w:rPr>
                <w:noProof/>
                <w:webHidden/>
              </w:rPr>
              <w:tab/>
            </w:r>
            <w:r w:rsidR="00076432">
              <w:rPr>
                <w:noProof/>
                <w:webHidden/>
              </w:rPr>
              <w:fldChar w:fldCharType="begin"/>
            </w:r>
            <w:r w:rsidR="00076432">
              <w:rPr>
                <w:noProof/>
                <w:webHidden/>
              </w:rPr>
              <w:instrText xml:space="preserve"> PAGEREF _Toc106369833 \h </w:instrText>
            </w:r>
            <w:r w:rsidR="00076432">
              <w:rPr>
                <w:noProof/>
                <w:webHidden/>
              </w:rPr>
            </w:r>
            <w:r w:rsidR="00076432">
              <w:rPr>
                <w:noProof/>
                <w:webHidden/>
              </w:rPr>
              <w:fldChar w:fldCharType="separate"/>
            </w:r>
            <w:r w:rsidR="00076432">
              <w:rPr>
                <w:noProof/>
                <w:webHidden/>
              </w:rPr>
              <w:t>364</w:t>
            </w:r>
            <w:r w:rsidR="00076432">
              <w:rPr>
                <w:noProof/>
                <w:webHidden/>
              </w:rPr>
              <w:fldChar w:fldCharType="end"/>
            </w:r>
          </w:hyperlink>
        </w:p>
        <w:p w14:paraId="472C616D" w14:textId="65ACCDFE" w:rsidR="00076432" w:rsidRDefault="00500371">
          <w:pPr>
            <w:pStyle w:val="TOC2"/>
            <w:tabs>
              <w:tab w:val="right" w:leader="dot" w:pos="13670"/>
            </w:tabs>
            <w:rPr>
              <w:rFonts w:eastAsiaTheme="minorEastAsia"/>
              <w:noProof/>
            </w:rPr>
          </w:pPr>
          <w:hyperlink w:anchor="_Toc106369834" w:history="1">
            <w:r w:rsidR="00076432" w:rsidRPr="00704760">
              <w:rPr>
                <w:rStyle w:val="Hyperlink"/>
                <w:noProof/>
              </w:rPr>
              <w:t>Ivabradine (Corlanor)</w:t>
            </w:r>
            <w:r w:rsidR="00076432">
              <w:rPr>
                <w:noProof/>
                <w:webHidden/>
              </w:rPr>
              <w:tab/>
            </w:r>
            <w:r w:rsidR="00076432">
              <w:rPr>
                <w:noProof/>
                <w:webHidden/>
              </w:rPr>
              <w:fldChar w:fldCharType="begin"/>
            </w:r>
            <w:r w:rsidR="00076432">
              <w:rPr>
                <w:noProof/>
                <w:webHidden/>
              </w:rPr>
              <w:instrText xml:space="preserve"> PAGEREF _Toc106369834 \h </w:instrText>
            </w:r>
            <w:r w:rsidR="00076432">
              <w:rPr>
                <w:noProof/>
                <w:webHidden/>
              </w:rPr>
            </w:r>
            <w:r w:rsidR="00076432">
              <w:rPr>
                <w:noProof/>
                <w:webHidden/>
              </w:rPr>
              <w:fldChar w:fldCharType="separate"/>
            </w:r>
            <w:r w:rsidR="00076432">
              <w:rPr>
                <w:noProof/>
                <w:webHidden/>
              </w:rPr>
              <w:t>365</w:t>
            </w:r>
            <w:r w:rsidR="00076432">
              <w:rPr>
                <w:noProof/>
                <w:webHidden/>
              </w:rPr>
              <w:fldChar w:fldCharType="end"/>
            </w:r>
          </w:hyperlink>
        </w:p>
        <w:p w14:paraId="0CA2688B" w14:textId="63738B61" w:rsidR="00076432" w:rsidRDefault="00500371">
          <w:pPr>
            <w:pStyle w:val="TOC2"/>
            <w:tabs>
              <w:tab w:val="right" w:leader="dot" w:pos="13670"/>
            </w:tabs>
            <w:rPr>
              <w:rFonts w:eastAsiaTheme="minorEastAsia"/>
              <w:noProof/>
            </w:rPr>
          </w:pPr>
          <w:hyperlink w:anchor="_Toc106369835" w:history="1">
            <w:r w:rsidR="00076432" w:rsidRPr="00704760">
              <w:rPr>
                <w:rStyle w:val="Hyperlink"/>
                <w:noProof/>
              </w:rPr>
              <w:t>Ivacaftor (Kalydeco)</w:t>
            </w:r>
            <w:r w:rsidR="00076432">
              <w:rPr>
                <w:noProof/>
                <w:webHidden/>
              </w:rPr>
              <w:tab/>
            </w:r>
            <w:r w:rsidR="00076432">
              <w:rPr>
                <w:noProof/>
                <w:webHidden/>
              </w:rPr>
              <w:fldChar w:fldCharType="begin"/>
            </w:r>
            <w:r w:rsidR="00076432">
              <w:rPr>
                <w:noProof/>
                <w:webHidden/>
              </w:rPr>
              <w:instrText xml:space="preserve"> PAGEREF _Toc106369835 \h </w:instrText>
            </w:r>
            <w:r w:rsidR="00076432">
              <w:rPr>
                <w:noProof/>
                <w:webHidden/>
              </w:rPr>
            </w:r>
            <w:r w:rsidR="00076432">
              <w:rPr>
                <w:noProof/>
                <w:webHidden/>
              </w:rPr>
              <w:fldChar w:fldCharType="separate"/>
            </w:r>
            <w:r w:rsidR="00076432">
              <w:rPr>
                <w:noProof/>
                <w:webHidden/>
              </w:rPr>
              <w:t>368</w:t>
            </w:r>
            <w:r w:rsidR="00076432">
              <w:rPr>
                <w:noProof/>
                <w:webHidden/>
              </w:rPr>
              <w:fldChar w:fldCharType="end"/>
            </w:r>
          </w:hyperlink>
        </w:p>
        <w:p w14:paraId="4D915D15" w14:textId="3822E58B" w:rsidR="00076432" w:rsidRDefault="00500371">
          <w:pPr>
            <w:pStyle w:val="TOC2"/>
            <w:tabs>
              <w:tab w:val="right" w:leader="dot" w:pos="13670"/>
            </w:tabs>
            <w:rPr>
              <w:rFonts w:eastAsiaTheme="minorEastAsia"/>
              <w:noProof/>
            </w:rPr>
          </w:pPr>
          <w:hyperlink w:anchor="_Toc106369836" w:history="1">
            <w:r w:rsidR="00076432" w:rsidRPr="00704760">
              <w:rPr>
                <w:rStyle w:val="Hyperlink"/>
                <w:noProof/>
              </w:rPr>
              <w:t>Ivermectin (Sklice)</w:t>
            </w:r>
            <w:r w:rsidR="00076432">
              <w:rPr>
                <w:noProof/>
                <w:webHidden/>
              </w:rPr>
              <w:tab/>
            </w:r>
            <w:r w:rsidR="00076432">
              <w:rPr>
                <w:noProof/>
                <w:webHidden/>
              </w:rPr>
              <w:fldChar w:fldCharType="begin"/>
            </w:r>
            <w:r w:rsidR="00076432">
              <w:rPr>
                <w:noProof/>
                <w:webHidden/>
              </w:rPr>
              <w:instrText xml:space="preserve"> PAGEREF _Toc106369836 \h </w:instrText>
            </w:r>
            <w:r w:rsidR="00076432">
              <w:rPr>
                <w:noProof/>
                <w:webHidden/>
              </w:rPr>
            </w:r>
            <w:r w:rsidR="00076432">
              <w:rPr>
                <w:noProof/>
                <w:webHidden/>
              </w:rPr>
              <w:fldChar w:fldCharType="separate"/>
            </w:r>
            <w:r w:rsidR="00076432">
              <w:rPr>
                <w:noProof/>
                <w:webHidden/>
              </w:rPr>
              <w:t>372</w:t>
            </w:r>
            <w:r w:rsidR="00076432">
              <w:rPr>
                <w:noProof/>
                <w:webHidden/>
              </w:rPr>
              <w:fldChar w:fldCharType="end"/>
            </w:r>
          </w:hyperlink>
        </w:p>
        <w:p w14:paraId="5CACDE7F" w14:textId="2A519669" w:rsidR="00076432" w:rsidRDefault="00500371">
          <w:pPr>
            <w:pStyle w:val="TOC2"/>
            <w:tabs>
              <w:tab w:val="right" w:leader="dot" w:pos="13670"/>
            </w:tabs>
            <w:rPr>
              <w:rFonts w:eastAsiaTheme="minorEastAsia"/>
              <w:noProof/>
            </w:rPr>
          </w:pPr>
          <w:hyperlink w:anchor="_Toc106369837" w:history="1">
            <w:r w:rsidR="00076432" w:rsidRPr="00704760">
              <w:rPr>
                <w:rStyle w:val="Hyperlink"/>
                <w:noProof/>
              </w:rPr>
              <w:t>Ivosidenib (Tibsovo)</w:t>
            </w:r>
            <w:r w:rsidR="00076432">
              <w:rPr>
                <w:noProof/>
                <w:webHidden/>
              </w:rPr>
              <w:tab/>
            </w:r>
            <w:r w:rsidR="00076432">
              <w:rPr>
                <w:noProof/>
                <w:webHidden/>
              </w:rPr>
              <w:fldChar w:fldCharType="begin"/>
            </w:r>
            <w:r w:rsidR="00076432">
              <w:rPr>
                <w:noProof/>
                <w:webHidden/>
              </w:rPr>
              <w:instrText xml:space="preserve"> PAGEREF _Toc106369837 \h </w:instrText>
            </w:r>
            <w:r w:rsidR="00076432">
              <w:rPr>
                <w:noProof/>
                <w:webHidden/>
              </w:rPr>
            </w:r>
            <w:r w:rsidR="00076432">
              <w:rPr>
                <w:noProof/>
                <w:webHidden/>
              </w:rPr>
              <w:fldChar w:fldCharType="separate"/>
            </w:r>
            <w:r w:rsidR="00076432">
              <w:rPr>
                <w:noProof/>
                <w:webHidden/>
              </w:rPr>
              <w:t>373</w:t>
            </w:r>
            <w:r w:rsidR="00076432">
              <w:rPr>
                <w:noProof/>
                <w:webHidden/>
              </w:rPr>
              <w:fldChar w:fldCharType="end"/>
            </w:r>
          </w:hyperlink>
        </w:p>
        <w:p w14:paraId="6EE08F3E" w14:textId="68983789" w:rsidR="00076432" w:rsidRDefault="00500371">
          <w:pPr>
            <w:pStyle w:val="TOC2"/>
            <w:tabs>
              <w:tab w:val="right" w:leader="dot" w:pos="13670"/>
            </w:tabs>
            <w:rPr>
              <w:rFonts w:eastAsiaTheme="minorEastAsia"/>
              <w:noProof/>
            </w:rPr>
          </w:pPr>
          <w:hyperlink w:anchor="_Toc106369838" w:history="1">
            <w:r w:rsidR="00076432" w:rsidRPr="00704760">
              <w:rPr>
                <w:rStyle w:val="Hyperlink"/>
                <w:noProof/>
              </w:rPr>
              <w:t>Ixazomib (Ninlaro)</w:t>
            </w:r>
            <w:r w:rsidR="00076432">
              <w:rPr>
                <w:noProof/>
                <w:webHidden/>
              </w:rPr>
              <w:tab/>
            </w:r>
            <w:r w:rsidR="00076432">
              <w:rPr>
                <w:noProof/>
                <w:webHidden/>
              </w:rPr>
              <w:fldChar w:fldCharType="begin"/>
            </w:r>
            <w:r w:rsidR="00076432">
              <w:rPr>
                <w:noProof/>
                <w:webHidden/>
              </w:rPr>
              <w:instrText xml:space="preserve"> PAGEREF _Toc106369838 \h </w:instrText>
            </w:r>
            <w:r w:rsidR="00076432">
              <w:rPr>
                <w:noProof/>
                <w:webHidden/>
              </w:rPr>
            </w:r>
            <w:r w:rsidR="00076432">
              <w:rPr>
                <w:noProof/>
                <w:webHidden/>
              </w:rPr>
              <w:fldChar w:fldCharType="separate"/>
            </w:r>
            <w:r w:rsidR="00076432">
              <w:rPr>
                <w:noProof/>
                <w:webHidden/>
              </w:rPr>
              <w:t>376</w:t>
            </w:r>
            <w:r w:rsidR="00076432">
              <w:rPr>
                <w:noProof/>
                <w:webHidden/>
              </w:rPr>
              <w:fldChar w:fldCharType="end"/>
            </w:r>
          </w:hyperlink>
        </w:p>
        <w:p w14:paraId="37E426F3" w14:textId="05D2BF40" w:rsidR="00076432" w:rsidRDefault="00500371">
          <w:pPr>
            <w:pStyle w:val="TOC2"/>
            <w:tabs>
              <w:tab w:val="right" w:leader="dot" w:pos="13670"/>
            </w:tabs>
            <w:rPr>
              <w:rFonts w:eastAsiaTheme="minorEastAsia"/>
              <w:noProof/>
            </w:rPr>
          </w:pPr>
          <w:hyperlink w:anchor="_Toc106369839" w:history="1">
            <w:r w:rsidR="00076432" w:rsidRPr="00704760">
              <w:rPr>
                <w:rStyle w:val="Hyperlink"/>
                <w:noProof/>
              </w:rPr>
              <w:t>Long-acting Beta-agonists</w:t>
            </w:r>
            <w:r w:rsidR="00076432">
              <w:rPr>
                <w:noProof/>
                <w:webHidden/>
              </w:rPr>
              <w:tab/>
            </w:r>
            <w:r w:rsidR="00076432">
              <w:rPr>
                <w:noProof/>
                <w:webHidden/>
              </w:rPr>
              <w:fldChar w:fldCharType="begin"/>
            </w:r>
            <w:r w:rsidR="00076432">
              <w:rPr>
                <w:noProof/>
                <w:webHidden/>
              </w:rPr>
              <w:instrText xml:space="preserve"> PAGEREF _Toc106369839 \h </w:instrText>
            </w:r>
            <w:r w:rsidR="00076432">
              <w:rPr>
                <w:noProof/>
                <w:webHidden/>
              </w:rPr>
            </w:r>
            <w:r w:rsidR="00076432">
              <w:rPr>
                <w:noProof/>
                <w:webHidden/>
              </w:rPr>
              <w:fldChar w:fldCharType="separate"/>
            </w:r>
            <w:r w:rsidR="00076432">
              <w:rPr>
                <w:noProof/>
                <w:webHidden/>
              </w:rPr>
              <w:t>378</w:t>
            </w:r>
            <w:r w:rsidR="00076432">
              <w:rPr>
                <w:noProof/>
                <w:webHidden/>
              </w:rPr>
              <w:fldChar w:fldCharType="end"/>
            </w:r>
          </w:hyperlink>
        </w:p>
        <w:p w14:paraId="46B701A2" w14:textId="68A89E6C" w:rsidR="00076432" w:rsidRDefault="00500371">
          <w:pPr>
            <w:pStyle w:val="TOC2"/>
            <w:tabs>
              <w:tab w:val="right" w:leader="dot" w:pos="13670"/>
            </w:tabs>
            <w:rPr>
              <w:rFonts w:eastAsiaTheme="minorEastAsia"/>
              <w:noProof/>
            </w:rPr>
          </w:pPr>
          <w:hyperlink w:anchor="_Toc106369840" w:history="1">
            <w:r w:rsidR="00076432" w:rsidRPr="00704760">
              <w:rPr>
                <w:rStyle w:val="Hyperlink"/>
                <w:noProof/>
              </w:rPr>
              <w:t>Lacosamide (Vimpat)</w:t>
            </w:r>
            <w:r w:rsidR="00076432">
              <w:rPr>
                <w:noProof/>
                <w:webHidden/>
              </w:rPr>
              <w:tab/>
            </w:r>
            <w:r w:rsidR="00076432">
              <w:rPr>
                <w:noProof/>
                <w:webHidden/>
              </w:rPr>
              <w:fldChar w:fldCharType="begin"/>
            </w:r>
            <w:r w:rsidR="00076432">
              <w:rPr>
                <w:noProof/>
                <w:webHidden/>
              </w:rPr>
              <w:instrText xml:space="preserve"> PAGEREF _Toc106369840 \h </w:instrText>
            </w:r>
            <w:r w:rsidR="00076432">
              <w:rPr>
                <w:noProof/>
                <w:webHidden/>
              </w:rPr>
            </w:r>
            <w:r w:rsidR="00076432">
              <w:rPr>
                <w:noProof/>
                <w:webHidden/>
              </w:rPr>
              <w:fldChar w:fldCharType="separate"/>
            </w:r>
            <w:r w:rsidR="00076432">
              <w:rPr>
                <w:noProof/>
                <w:webHidden/>
              </w:rPr>
              <w:t>379</w:t>
            </w:r>
            <w:r w:rsidR="00076432">
              <w:rPr>
                <w:noProof/>
                <w:webHidden/>
              </w:rPr>
              <w:fldChar w:fldCharType="end"/>
            </w:r>
          </w:hyperlink>
        </w:p>
        <w:p w14:paraId="75C67705" w14:textId="00A72A0C" w:rsidR="00076432" w:rsidRDefault="00500371">
          <w:pPr>
            <w:pStyle w:val="TOC2"/>
            <w:tabs>
              <w:tab w:val="right" w:leader="dot" w:pos="13670"/>
            </w:tabs>
            <w:rPr>
              <w:rFonts w:eastAsiaTheme="minorEastAsia"/>
              <w:noProof/>
            </w:rPr>
          </w:pPr>
          <w:hyperlink w:anchor="_Toc106369841" w:history="1">
            <w:r w:rsidR="00076432" w:rsidRPr="00704760">
              <w:rPr>
                <w:rStyle w:val="Hyperlink"/>
                <w:noProof/>
              </w:rPr>
              <w:t>SOMATULINE DEPOT (lanreotide)</w:t>
            </w:r>
            <w:r w:rsidR="00076432">
              <w:rPr>
                <w:noProof/>
                <w:webHidden/>
              </w:rPr>
              <w:tab/>
            </w:r>
            <w:r w:rsidR="00076432">
              <w:rPr>
                <w:noProof/>
                <w:webHidden/>
              </w:rPr>
              <w:fldChar w:fldCharType="begin"/>
            </w:r>
            <w:r w:rsidR="00076432">
              <w:rPr>
                <w:noProof/>
                <w:webHidden/>
              </w:rPr>
              <w:instrText xml:space="preserve"> PAGEREF _Toc106369841 \h </w:instrText>
            </w:r>
            <w:r w:rsidR="00076432">
              <w:rPr>
                <w:noProof/>
                <w:webHidden/>
              </w:rPr>
            </w:r>
            <w:r w:rsidR="00076432">
              <w:rPr>
                <w:noProof/>
                <w:webHidden/>
              </w:rPr>
              <w:fldChar w:fldCharType="separate"/>
            </w:r>
            <w:r w:rsidR="00076432">
              <w:rPr>
                <w:noProof/>
                <w:webHidden/>
              </w:rPr>
              <w:t>381</w:t>
            </w:r>
            <w:r w:rsidR="00076432">
              <w:rPr>
                <w:noProof/>
                <w:webHidden/>
              </w:rPr>
              <w:fldChar w:fldCharType="end"/>
            </w:r>
          </w:hyperlink>
        </w:p>
        <w:p w14:paraId="59D0EC7B" w14:textId="31508A51" w:rsidR="00076432" w:rsidRDefault="00500371">
          <w:pPr>
            <w:pStyle w:val="TOC2"/>
            <w:tabs>
              <w:tab w:val="right" w:leader="dot" w:pos="13670"/>
            </w:tabs>
            <w:rPr>
              <w:rFonts w:eastAsiaTheme="minorEastAsia"/>
              <w:noProof/>
            </w:rPr>
          </w:pPr>
          <w:hyperlink w:anchor="_Toc106369842" w:history="1">
            <w:r w:rsidR="00076432" w:rsidRPr="00704760">
              <w:rPr>
                <w:rStyle w:val="Hyperlink"/>
                <w:noProof/>
              </w:rPr>
              <w:t>Lapatanib (Tykerb)</w:t>
            </w:r>
            <w:r w:rsidR="00076432">
              <w:rPr>
                <w:noProof/>
                <w:webHidden/>
              </w:rPr>
              <w:tab/>
            </w:r>
            <w:r w:rsidR="00076432">
              <w:rPr>
                <w:noProof/>
                <w:webHidden/>
              </w:rPr>
              <w:fldChar w:fldCharType="begin"/>
            </w:r>
            <w:r w:rsidR="00076432">
              <w:rPr>
                <w:noProof/>
                <w:webHidden/>
              </w:rPr>
              <w:instrText xml:space="preserve"> PAGEREF _Toc106369842 \h </w:instrText>
            </w:r>
            <w:r w:rsidR="00076432">
              <w:rPr>
                <w:noProof/>
                <w:webHidden/>
              </w:rPr>
            </w:r>
            <w:r w:rsidR="00076432">
              <w:rPr>
                <w:noProof/>
                <w:webHidden/>
              </w:rPr>
              <w:fldChar w:fldCharType="separate"/>
            </w:r>
            <w:r w:rsidR="00076432">
              <w:rPr>
                <w:noProof/>
                <w:webHidden/>
              </w:rPr>
              <w:t>384</w:t>
            </w:r>
            <w:r w:rsidR="00076432">
              <w:rPr>
                <w:noProof/>
                <w:webHidden/>
              </w:rPr>
              <w:fldChar w:fldCharType="end"/>
            </w:r>
          </w:hyperlink>
        </w:p>
        <w:p w14:paraId="3F0D19A7" w14:textId="791F8F22" w:rsidR="00076432" w:rsidRDefault="00500371">
          <w:pPr>
            <w:pStyle w:val="TOC2"/>
            <w:tabs>
              <w:tab w:val="right" w:leader="dot" w:pos="13670"/>
            </w:tabs>
            <w:rPr>
              <w:rFonts w:eastAsiaTheme="minorEastAsia"/>
              <w:noProof/>
            </w:rPr>
          </w:pPr>
          <w:hyperlink w:anchor="_Toc106369843" w:history="1">
            <w:r w:rsidR="00076432" w:rsidRPr="00704760">
              <w:rPr>
                <w:rStyle w:val="Hyperlink"/>
                <w:noProof/>
              </w:rPr>
              <w:t>Larotrectinib (Vitrakvi)</w:t>
            </w:r>
            <w:r w:rsidR="00076432">
              <w:rPr>
                <w:noProof/>
                <w:webHidden/>
              </w:rPr>
              <w:tab/>
            </w:r>
            <w:r w:rsidR="00076432">
              <w:rPr>
                <w:noProof/>
                <w:webHidden/>
              </w:rPr>
              <w:fldChar w:fldCharType="begin"/>
            </w:r>
            <w:r w:rsidR="00076432">
              <w:rPr>
                <w:noProof/>
                <w:webHidden/>
              </w:rPr>
              <w:instrText xml:space="preserve"> PAGEREF _Toc106369843 \h </w:instrText>
            </w:r>
            <w:r w:rsidR="00076432">
              <w:rPr>
                <w:noProof/>
                <w:webHidden/>
              </w:rPr>
            </w:r>
            <w:r w:rsidR="00076432">
              <w:rPr>
                <w:noProof/>
                <w:webHidden/>
              </w:rPr>
              <w:fldChar w:fldCharType="separate"/>
            </w:r>
            <w:r w:rsidR="00076432">
              <w:rPr>
                <w:noProof/>
                <w:webHidden/>
              </w:rPr>
              <w:t>387</w:t>
            </w:r>
            <w:r w:rsidR="00076432">
              <w:rPr>
                <w:noProof/>
                <w:webHidden/>
              </w:rPr>
              <w:fldChar w:fldCharType="end"/>
            </w:r>
          </w:hyperlink>
        </w:p>
        <w:p w14:paraId="749DF5E1" w14:textId="26925479" w:rsidR="00076432" w:rsidRDefault="00500371">
          <w:pPr>
            <w:pStyle w:val="TOC2"/>
            <w:tabs>
              <w:tab w:val="right" w:leader="dot" w:pos="13670"/>
            </w:tabs>
            <w:rPr>
              <w:rFonts w:eastAsiaTheme="minorEastAsia"/>
              <w:noProof/>
            </w:rPr>
          </w:pPr>
          <w:hyperlink w:anchor="_Toc106369844" w:history="1">
            <w:r w:rsidR="00076432" w:rsidRPr="00704760">
              <w:rPr>
                <w:rStyle w:val="Hyperlink"/>
                <w:noProof/>
              </w:rPr>
              <w:t>Lenalidomide (Revlimid)</w:t>
            </w:r>
            <w:r w:rsidR="00076432">
              <w:rPr>
                <w:noProof/>
                <w:webHidden/>
              </w:rPr>
              <w:tab/>
            </w:r>
            <w:r w:rsidR="00076432">
              <w:rPr>
                <w:noProof/>
                <w:webHidden/>
              </w:rPr>
              <w:fldChar w:fldCharType="begin"/>
            </w:r>
            <w:r w:rsidR="00076432">
              <w:rPr>
                <w:noProof/>
                <w:webHidden/>
              </w:rPr>
              <w:instrText xml:space="preserve"> PAGEREF _Toc106369844 \h </w:instrText>
            </w:r>
            <w:r w:rsidR="00076432">
              <w:rPr>
                <w:noProof/>
                <w:webHidden/>
              </w:rPr>
            </w:r>
            <w:r w:rsidR="00076432">
              <w:rPr>
                <w:noProof/>
                <w:webHidden/>
              </w:rPr>
              <w:fldChar w:fldCharType="separate"/>
            </w:r>
            <w:r w:rsidR="00076432">
              <w:rPr>
                <w:noProof/>
                <w:webHidden/>
              </w:rPr>
              <w:t>389</w:t>
            </w:r>
            <w:r w:rsidR="00076432">
              <w:rPr>
                <w:noProof/>
                <w:webHidden/>
              </w:rPr>
              <w:fldChar w:fldCharType="end"/>
            </w:r>
          </w:hyperlink>
        </w:p>
        <w:p w14:paraId="6AEEAD40" w14:textId="63A28F84" w:rsidR="00076432" w:rsidRDefault="00500371">
          <w:pPr>
            <w:pStyle w:val="TOC2"/>
            <w:tabs>
              <w:tab w:val="right" w:leader="dot" w:pos="13670"/>
            </w:tabs>
            <w:rPr>
              <w:rFonts w:eastAsiaTheme="minorEastAsia"/>
              <w:noProof/>
            </w:rPr>
          </w:pPr>
          <w:hyperlink w:anchor="_Toc106369845" w:history="1">
            <w:r w:rsidR="00076432" w:rsidRPr="00704760">
              <w:rPr>
                <w:rStyle w:val="Hyperlink"/>
                <w:noProof/>
              </w:rPr>
              <w:t>Lenvatinib (Lenvima)</w:t>
            </w:r>
            <w:r w:rsidR="00076432">
              <w:rPr>
                <w:noProof/>
                <w:webHidden/>
              </w:rPr>
              <w:tab/>
            </w:r>
            <w:r w:rsidR="00076432">
              <w:rPr>
                <w:noProof/>
                <w:webHidden/>
              </w:rPr>
              <w:fldChar w:fldCharType="begin"/>
            </w:r>
            <w:r w:rsidR="00076432">
              <w:rPr>
                <w:noProof/>
                <w:webHidden/>
              </w:rPr>
              <w:instrText xml:space="preserve"> PAGEREF _Toc106369845 \h </w:instrText>
            </w:r>
            <w:r w:rsidR="00076432">
              <w:rPr>
                <w:noProof/>
                <w:webHidden/>
              </w:rPr>
            </w:r>
            <w:r w:rsidR="00076432">
              <w:rPr>
                <w:noProof/>
                <w:webHidden/>
              </w:rPr>
              <w:fldChar w:fldCharType="separate"/>
            </w:r>
            <w:r w:rsidR="00076432">
              <w:rPr>
                <w:noProof/>
                <w:webHidden/>
              </w:rPr>
              <w:t>399</w:t>
            </w:r>
            <w:r w:rsidR="00076432">
              <w:rPr>
                <w:noProof/>
                <w:webHidden/>
              </w:rPr>
              <w:fldChar w:fldCharType="end"/>
            </w:r>
          </w:hyperlink>
        </w:p>
        <w:p w14:paraId="61795B78" w14:textId="501C4583" w:rsidR="00076432" w:rsidRDefault="00500371">
          <w:pPr>
            <w:pStyle w:val="TOC2"/>
            <w:tabs>
              <w:tab w:val="right" w:leader="dot" w:pos="13670"/>
            </w:tabs>
            <w:rPr>
              <w:rFonts w:eastAsiaTheme="minorEastAsia"/>
              <w:noProof/>
            </w:rPr>
          </w:pPr>
          <w:hyperlink w:anchor="_Toc106369846" w:history="1">
            <w:r w:rsidR="00076432" w:rsidRPr="00704760">
              <w:rPr>
                <w:rStyle w:val="Hyperlink"/>
                <w:noProof/>
              </w:rPr>
              <w:t>Letermovir (Prevymis)</w:t>
            </w:r>
            <w:r w:rsidR="00076432">
              <w:rPr>
                <w:noProof/>
                <w:webHidden/>
              </w:rPr>
              <w:tab/>
            </w:r>
            <w:r w:rsidR="00076432">
              <w:rPr>
                <w:noProof/>
                <w:webHidden/>
              </w:rPr>
              <w:fldChar w:fldCharType="begin"/>
            </w:r>
            <w:r w:rsidR="00076432">
              <w:rPr>
                <w:noProof/>
                <w:webHidden/>
              </w:rPr>
              <w:instrText xml:space="preserve"> PAGEREF _Toc106369846 \h </w:instrText>
            </w:r>
            <w:r w:rsidR="00076432">
              <w:rPr>
                <w:noProof/>
                <w:webHidden/>
              </w:rPr>
            </w:r>
            <w:r w:rsidR="00076432">
              <w:rPr>
                <w:noProof/>
                <w:webHidden/>
              </w:rPr>
              <w:fldChar w:fldCharType="separate"/>
            </w:r>
            <w:r w:rsidR="00076432">
              <w:rPr>
                <w:noProof/>
                <w:webHidden/>
              </w:rPr>
              <w:t>403</w:t>
            </w:r>
            <w:r w:rsidR="00076432">
              <w:rPr>
                <w:noProof/>
                <w:webHidden/>
              </w:rPr>
              <w:fldChar w:fldCharType="end"/>
            </w:r>
          </w:hyperlink>
        </w:p>
        <w:p w14:paraId="07B7081A" w14:textId="60A4FE68" w:rsidR="00076432" w:rsidRDefault="00500371">
          <w:pPr>
            <w:pStyle w:val="TOC2"/>
            <w:tabs>
              <w:tab w:val="right" w:leader="dot" w:pos="13670"/>
            </w:tabs>
            <w:rPr>
              <w:rFonts w:eastAsiaTheme="minorEastAsia"/>
              <w:noProof/>
            </w:rPr>
          </w:pPr>
          <w:hyperlink w:anchor="_Toc106369847" w:history="1">
            <w:r w:rsidR="00076432" w:rsidRPr="00704760">
              <w:rPr>
                <w:rStyle w:val="Hyperlink"/>
                <w:noProof/>
              </w:rPr>
              <w:t>Linaclotide (Linzess®)</w:t>
            </w:r>
            <w:r w:rsidR="00076432">
              <w:rPr>
                <w:noProof/>
                <w:webHidden/>
              </w:rPr>
              <w:tab/>
            </w:r>
            <w:r w:rsidR="00076432">
              <w:rPr>
                <w:noProof/>
                <w:webHidden/>
              </w:rPr>
              <w:fldChar w:fldCharType="begin"/>
            </w:r>
            <w:r w:rsidR="00076432">
              <w:rPr>
                <w:noProof/>
                <w:webHidden/>
              </w:rPr>
              <w:instrText xml:space="preserve"> PAGEREF _Toc106369847 \h </w:instrText>
            </w:r>
            <w:r w:rsidR="00076432">
              <w:rPr>
                <w:noProof/>
                <w:webHidden/>
              </w:rPr>
            </w:r>
            <w:r w:rsidR="00076432">
              <w:rPr>
                <w:noProof/>
                <w:webHidden/>
              </w:rPr>
              <w:fldChar w:fldCharType="separate"/>
            </w:r>
            <w:r w:rsidR="00076432">
              <w:rPr>
                <w:noProof/>
                <w:webHidden/>
              </w:rPr>
              <w:t>405</w:t>
            </w:r>
            <w:r w:rsidR="00076432">
              <w:rPr>
                <w:noProof/>
                <w:webHidden/>
              </w:rPr>
              <w:fldChar w:fldCharType="end"/>
            </w:r>
          </w:hyperlink>
        </w:p>
        <w:p w14:paraId="13BE8A71" w14:textId="2CE05AE6" w:rsidR="00076432" w:rsidRDefault="00500371">
          <w:pPr>
            <w:pStyle w:val="TOC2"/>
            <w:tabs>
              <w:tab w:val="right" w:leader="dot" w:pos="13670"/>
            </w:tabs>
            <w:rPr>
              <w:rFonts w:eastAsiaTheme="minorEastAsia"/>
              <w:noProof/>
            </w:rPr>
          </w:pPr>
          <w:hyperlink w:anchor="_Toc106369848" w:history="1">
            <w:r w:rsidR="00076432" w:rsidRPr="00704760">
              <w:rPr>
                <w:rStyle w:val="Hyperlink"/>
                <w:noProof/>
              </w:rPr>
              <w:t>Liraglutide (Victoza)</w:t>
            </w:r>
            <w:r w:rsidR="00076432">
              <w:rPr>
                <w:noProof/>
                <w:webHidden/>
              </w:rPr>
              <w:tab/>
            </w:r>
            <w:r w:rsidR="00076432">
              <w:rPr>
                <w:noProof/>
                <w:webHidden/>
              </w:rPr>
              <w:fldChar w:fldCharType="begin"/>
            </w:r>
            <w:r w:rsidR="00076432">
              <w:rPr>
                <w:noProof/>
                <w:webHidden/>
              </w:rPr>
              <w:instrText xml:space="preserve"> PAGEREF _Toc106369848 \h </w:instrText>
            </w:r>
            <w:r w:rsidR="00076432">
              <w:rPr>
                <w:noProof/>
                <w:webHidden/>
              </w:rPr>
            </w:r>
            <w:r w:rsidR="00076432">
              <w:rPr>
                <w:noProof/>
                <w:webHidden/>
              </w:rPr>
              <w:fldChar w:fldCharType="separate"/>
            </w:r>
            <w:r w:rsidR="00076432">
              <w:rPr>
                <w:noProof/>
                <w:webHidden/>
              </w:rPr>
              <w:t>407</w:t>
            </w:r>
            <w:r w:rsidR="00076432">
              <w:rPr>
                <w:noProof/>
                <w:webHidden/>
              </w:rPr>
              <w:fldChar w:fldCharType="end"/>
            </w:r>
          </w:hyperlink>
        </w:p>
        <w:p w14:paraId="0FD1BEFC" w14:textId="344C1228" w:rsidR="00076432" w:rsidRDefault="00500371">
          <w:pPr>
            <w:pStyle w:val="TOC2"/>
            <w:tabs>
              <w:tab w:val="right" w:leader="dot" w:pos="13670"/>
            </w:tabs>
            <w:rPr>
              <w:rFonts w:eastAsiaTheme="minorEastAsia"/>
              <w:noProof/>
            </w:rPr>
          </w:pPr>
          <w:hyperlink w:anchor="_Toc106369849" w:history="1">
            <w:r w:rsidR="00076432" w:rsidRPr="00704760">
              <w:rPr>
                <w:rStyle w:val="Hyperlink"/>
                <w:noProof/>
              </w:rPr>
              <w:t>lubiprostone (Amitiza®)</w:t>
            </w:r>
            <w:r w:rsidR="00076432">
              <w:rPr>
                <w:noProof/>
                <w:webHidden/>
              </w:rPr>
              <w:tab/>
            </w:r>
            <w:r w:rsidR="00076432">
              <w:rPr>
                <w:noProof/>
                <w:webHidden/>
              </w:rPr>
              <w:fldChar w:fldCharType="begin"/>
            </w:r>
            <w:r w:rsidR="00076432">
              <w:rPr>
                <w:noProof/>
                <w:webHidden/>
              </w:rPr>
              <w:instrText xml:space="preserve"> PAGEREF _Toc106369849 \h </w:instrText>
            </w:r>
            <w:r w:rsidR="00076432">
              <w:rPr>
                <w:noProof/>
                <w:webHidden/>
              </w:rPr>
            </w:r>
            <w:r w:rsidR="00076432">
              <w:rPr>
                <w:noProof/>
                <w:webHidden/>
              </w:rPr>
              <w:fldChar w:fldCharType="separate"/>
            </w:r>
            <w:r w:rsidR="00076432">
              <w:rPr>
                <w:noProof/>
                <w:webHidden/>
              </w:rPr>
              <w:t>409</w:t>
            </w:r>
            <w:r w:rsidR="00076432">
              <w:rPr>
                <w:noProof/>
                <w:webHidden/>
              </w:rPr>
              <w:fldChar w:fldCharType="end"/>
            </w:r>
          </w:hyperlink>
        </w:p>
        <w:p w14:paraId="7C988A48" w14:textId="19DA1B26" w:rsidR="00076432" w:rsidRDefault="00500371">
          <w:pPr>
            <w:pStyle w:val="TOC2"/>
            <w:tabs>
              <w:tab w:val="right" w:leader="dot" w:pos="13670"/>
            </w:tabs>
            <w:rPr>
              <w:rFonts w:eastAsiaTheme="minorEastAsia"/>
              <w:noProof/>
            </w:rPr>
          </w:pPr>
          <w:hyperlink w:anchor="_Toc106369850" w:history="1">
            <w:r w:rsidR="00076432" w:rsidRPr="00704760">
              <w:rPr>
                <w:rStyle w:val="Hyperlink"/>
                <w:noProof/>
              </w:rPr>
              <w:t>lumacaftor-ivacaftor (Orkambi)</w:t>
            </w:r>
            <w:r w:rsidR="00076432">
              <w:rPr>
                <w:noProof/>
                <w:webHidden/>
              </w:rPr>
              <w:tab/>
            </w:r>
            <w:r w:rsidR="00076432">
              <w:rPr>
                <w:noProof/>
                <w:webHidden/>
              </w:rPr>
              <w:fldChar w:fldCharType="begin"/>
            </w:r>
            <w:r w:rsidR="00076432">
              <w:rPr>
                <w:noProof/>
                <w:webHidden/>
              </w:rPr>
              <w:instrText xml:space="preserve"> PAGEREF _Toc106369850 \h </w:instrText>
            </w:r>
            <w:r w:rsidR="00076432">
              <w:rPr>
                <w:noProof/>
                <w:webHidden/>
              </w:rPr>
            </w:r>
            <w:r w:rsidR="00076432">
              <w:rPr>
                <w:noProof/>
                <w:webHidden/>
              </w:rPr>
              <w:fldChar w:fldCharType="separate"/>
            </w:r>
            <w:r w:rsidR="00076432">
              <w:rPr>
                <w:noProof/>
                <w:webHidden/>
              </w:rPr>
              <w:t>411</w:t>
            </w:r>
            <w:r w:rsidR="00076432">
              <w:rPr>
                <w:noProof/>
                <w:webHidden/>
              </w:rPr>
              <w:fldChar w:fldCharType="end"/>
            </w:r>
          </w:hyperlink>
        </w:p>
        <w:p w14:paraId="02FDE9F7" w14:textId="337C0A7D" w:rsidR="00076432" w:rsidRDefault="00500371">
          <w:pPr>
            <w:pStyle w:val="TOC2"/>
            <w:tabs>
              <w:tab w:val="right" w:leader="dot" w:pos="13670"/>
            </w:tabs>
            <w:rPr>
              <w:rFonts w:eastAsiaTheme="minorEastAsia"/>
              <w:noProof/>
            </w:rPr>
          </w:pPr>
          <w:hyperlink w:anchor="_Toc106369851" w:history="1">
            <w:r w:rsidR="00076432" w:rsidRPr="00704760">
              <w:rPr>
                <w:rStyle w:val="Hyperlink"/>
                <w:noProof/>
                <w:lang w:val="es-ES"/>
              </w:rPr>
              <w:t>Lurasidone (Latuda)</w:t>
            </w:r>
            <w:r w:rsidR="00076432">
              <w:rPr>
                <w:noProof/>
                <w:webHidden/>
              </w:rPr>
              <w:tab/>
            </w:r>
            <w:r w:rsidR="00076432">
              <w:rPr>
                <w:noProof/>
                <w:webHidden/>
              </w:rPr>
              <w:fldChar w:fldCharType="begin"/>
            </w:r>
            <w:r w:rsidR="00076432">
              <w:rPr>
                <w:noProof/>
                <w:webHidden/>
              </w:rPr>
              <w:instrText xml:space="preserve"> PAGEREF _Toc106369851 \h </w:instrText>
            </w:r>
            <w:r w:rsidR="00076432">
              <w:rPr>
                <w:noProof/>
                <w:webHidden/>
              </w:rPr>
            </w:r>
            <w:r w:rsidR="00076432">
              <w:rPr>
                <w:noProof/>
                <w:webHidden/>
              </w:rPr>
              <w:fldChar w:fldCharType="separate"/>
            </w:r>
            <w:r w:rsidR="00076432">
              <w:rPr>
                <w:noProof/>
                <w:webHidden/>
              </w:rPr>
              <w:t>414</w:t>
            </w:r>
            <w:r w:rsidR="00076432">
              <w:rPr>
                <w:noProof/>
                <w:webHidden/>
              </w:rPr>
              <w:fldChar w:fldCharType="end"/>
            </w:r>
          </w:hyperlink>
        </w:p>
        <w:p w14:paraId="62055B4E" w14:textId="1A9D4561" w:rsidR="00076432" w:rsidRDefault="00500371">
          <w:pPr>
            <w:pStyle w:val="TOC2"/>
            <w:tabs>
              <w:tab w:val="right" w:leader="dot" w:pos="13670"/>
            </w:tabs>
            <w:rPr>
              <w:rFonts w:eastAsiaTheme="minorEastAsia"/>
              <w:noProof/>
            </w:rPr>
          </w:pPr>
          <w:hyperlink w:anchor="_Toc106369852" w:history="1">
            <w:r w:rsidR="00076432" w:rsidRPr="00704760">
              <w:rPr>
                <w:rStyle w:val="Hyperlink"/>
                <w:noProof/>
                <w:lang w:val="es-ES"/>
              </w:rPr>
              <w:t>Luspatercept (Reblozyl)</w:t>
            </w:r>
            <w:r w:rsidR="00076432">
              <w:rPr>
                <w:noProof/>
                <w:webHidden/>
              </w:rPr>
              <w:tab/>
            </w:r>
            <w:r w:rsidR="00076432">
              <w:rPr>
                <w:noProof/>
                <w:webHidden/>
              </w:rPr>
              <w:fldChar w:fldCharType="begin"/>
            </w:r>
            <w:r w:rsidR="00076432">
              <w:rPr>
                <w:noProof/>
                <w:webHidden/>
              </w:rPr>
              <w:instrText xml:space="preserve"> PAGEREF _Toc106369852 \h </w:instrText>
            </w:r>
            <w:r w:rsidR="00076432">
              <w:rPr>
                <w:noProof/>
                <w:webHidden/>
              </w:rPr>
            </w:r>
            <w:r w:rsidR="00076432">
              <w:rPr>
                <w:noProof/>
                <w:webHidden/>
              </w:rPr>
              <w:fldChar w:fldCharType="separate"/>
            </w:r>
            <w:r w:rsidR="00076432">
              <w:rPr>
                <w:noProof/>
                <w:webHidden/>
              </w:rPr>
              <w:t>415</w:t>
            </w:r>
            <w:r w:rsidR="00076432">
              <w:rPr>
                <w:noProof/>
                <w:webHidden/>
              </w:rPr>
              <w:fldChar w:fldCharType="end"/>
            </w:r>
          </w:hyperlink>
        </w:p>
        <w:p w14:paraId="028CB07C" w14:textId="4AE94FAA" w:rsidR="00076432" w:rsidRDefault="00500371">
          <w:pPr>
            <w:pStyle w:val="TOC2"/>
            <w:tabs>
              <w:tab w:val="right" w:leader="dot" w:pos="13670"/>
            </w:tabs>
            <w:rPr>
              <w:rFonts w:eastAsiaTheme="minorEastAsia"/>
              <w:noProof/>
            </w:rPr>
          </w:pPr>
          <w:hyperlink w:anchor="_Toc106369853" w:history="1">
            <w:r w:rsidR="00076432" w:rsidRPr="00704760">
              <w:rPr>
                <w:rStyle w:val="Hyperlink"/>
                <w:noProof/>
              </w:rPr>
              <w:t>Lutetium Lu 177 (Lutathera)</w:t>
            </w:r>
            <w:r w:rsidR="00076432">
              <w:rPr>
                <w:noProof/>
                <w:webHidden/>
              </w:rPr>
              <w:tab/>
            </w:r>
            <w:r w:rsidR="00076432">
              <w:rPr>
                <w:noProof/>
                <w:webHidden/>
              </w:rPr>
              <w:fldChar w:fldCharType="begin"/>
            </w:r>
            <w:r w:rsidR="00076432">
              <w:rPr>
                <w:noProof/>
                <w:webHidden/>
              </w:rPr>
              <w:instrText xml:space="preserve"> PAGEREF _Toc106369853 \h </w:instrText>
            </w:r>
            <w:r w:rsidR="00076432">
              <w:rPr>
                <w:noProof/>
                <w:webHidden/>
              </w:rPr>
            </w:r>
            <w:r w:rsidR="00076432">
              <w:rPr>
                <w:noProof/>
                <w:webHidden/>
              </w:rPr>
              <w:fldChar w:fldCharType="separate"/>
            </w:r>
            <w:r w:rsidR="00076432">
              <w:rPr>
                <w:noProof/>
                <w:webHidden/>
              </w:rPr>
              <w:t>418</w:t>
            </w:r>
            <w:r w:rsidR="00076432">
              <w:rPr>
                <w:noProof/>
                <w:webHidden/>
              </w:rPr>
              <w:fldChar w:fldCharType="end"/>
            </w:r>
          </w:hyperlink>
        </w:p>
        <w:p w14:paraId="6A5B33CD" w14:textId="46E93986" w:rsidR="00076432" w:rsidRDefault="00500371">
          <w:pPr>
            <w:pStyle w:val="TOC2"/>
            <w:tabs>
              <w:tab w:val="right" w:leader="dot" w:pos="13670"/>
            </w:tabs>
            <w:rPr>
              <w:rFonts w:eastAsiaTheme="minorEastAsia"/>
              <w:noProof/>
            </w:rPr>
          </w:pPr>
          <w:hyperlink w:anchor="_Toc106369854" w:history="1">
            <w:r w:rsidR="00076432" w:rsidRPr="00704760">
              <w:rPr>
                <w:rStyle w:val="Hyperlink"/>
                <w:noProof/>
              </w:rPr>
              <w:t>Macitentan (Opsumit)</w:t>
            </w:r>
            <w:r w:rsidR="00076432">
              <w:rPr>
                <w:noProof/>
                <w:webHidden/>
              </w:rPr>
              <w:tab/>
            </w:r>
            <w:r w:rsidR="00076432">
              <w:rPr>
                <w:noProof/>
                <w:webHidden/>
              </w:rPr>
              <w:fldChar w:fldCharType="begin"/>
            </w:r>
            <w:r w:rsidR="00076432">
              <w:rPr>
                <w:noProof/>
                <w:webHidden/>
              </w:rPr>
              <w:instrText xml:space="preserve"> PAGEREF _Toc106369854 \h </w:instrText>
            </w:r>
            <w:r w:rsidR="00076432">
              <w:rPr>
                <w:noProof/>
                <w:webHidden/>
              </w:rPr>
            </w:r>
            <w:r w:rsidR="00076432">
              <w:rPr>
                <w:noProof/>
                <w:webHidden/>
              </w:rPr>
              <w:fldChar w:fldCharType="separate"/>
            </w:r>
            <w:r w:rsidR="00076432">
              <w:rPr>
                <w:noProof/>
                <w:webHidden/>
              </w:rPr>
              <w:t>420</w:t>
            </w:r>
            <w:r w:rsidR="00076432">
              <w:rPr>
                <w:noProof/>
                <w:webHidden/>
              </w:rPr>
              <w:fldChar w:fldCharType="end"/>
            </w:r>
          </w:hyperlink>
        </w:p>
        <w:p w14:paraId="47DF2680" w14:textId="54822DBA" w:rsidR="00076432" w:rsidRDefault="00500371">
          <w:pPr>
            <w:pStyle w:val="TOC2"/>
            <w:tabs>
              <w:tab w:val="right" w:leader="dot" w:pos="13670"/>
            </w:tabs>
            <w:rPr>
              <w:rFonts w:eastAsiaTheme="minorEastAsia"/>
              <w:noProof/>
            </w:rPr>
          </w:pPr>
          <w:hyperlink w:anchor="_Toc106369855" w:history="1">
            <w:r w:rsidR="00076432" w:rsidRPr="00704760">
              <w:rPr>
                <w:rStyle w:val="Hyperlink"/>
                <w:noProof/>
              </w:rPr>
              <w:t>Maribavir (Livtencity)</w:t>
            </w:r>
            <w:r w:rsidR="00076432">
              <w:rPr>
                <w:noProof/>
                <w:webHidden/>
              </w:rPr>
              <w:tab/>
            </w:r>
            <w:r w:rsidR="00076432">
              <w:rPr>
                <w:noProof/>
                <w:webHidden/>
              </w:rPr>
              <w:fldChar w:fldCharType="begin"/>
            </w:r>
            <w:r w:rsidR="00076432">
              <w:rPr>
                <w:noProof/>
                <w:webHidden/>
              </w:rPr>
              <w:instrText xml:space="preserve"> PAGEREF _Toc106369855 \h </w:instrText>
            </w:r>
            <w:r w:rsidR="00076432">
              <w:rPr>
                <w:noProof/>
                <w:webHidden/>
              </w:rPr>
            </w:r>
            <w:r w:rsidR="00076432">
              <w:rPr>
                <w:noProof/>
                <w:webHidden/>
              </w:rPr>
              <w:fldChar w:fldCharType="separate"/>
            </w:r>
            <w:r w:rsidR="00076432">
              <w:rPr>
                <w:noProof/>
                <w:webHidden/>
              </w:rPr>
              <w:t>422</w:t>
            </w:r>
            <w:r w:rsidR="00076432">
              <w:rPr>
                <w:noProof/>
                <w:webHidden/>
              </w:rPr>
              <w:fldChar w:fldCharType="end"/>
            </w:r>
          </w:hyperlink>
        </w:p>
        <w:p w14:paraId="56D4E3FA" w14:textId="7323EFE5" w:rsidR="00076432" w:rsidRDefault="00500371">
          <w:pPr>
            <w:pStyle w:val="TOC2"/>
            <w:tabs>
              <w:tab w:val="right" w:leader="dot" w:pos="13670"/>
            </w:tabs>
            <w:rPr>
              <w:rFonts w:eastAsiaTheme="minorEastAsia"/>
              <w:noProof/>
            </w:rPr>
          </w:pPr>
          <w:hyperlink w:anchor="_Toc106369856" w:history="1">
            <w:r w:rsidR="00076432" w:rsidRPr="00704760">
              <w:rPr>
                <w:rStyle w:val="Hyperlink"/>
                <w:noProof/>
              </w:rPr>
              <w:t>Mepolizumab (Nucala</w:t>
            </w:r>
            <w:r w:rsidR="00076432" w:rsidRPr="00704760">
              <w:rPr>
                <w:rStyle w:val="Hyperlink"/>
                <w:noProof/>
              </w:rPr>
              <w:sym w:font="Symbol" w:char="F0D2"/>
            </w:r>
            <w:r w:rsidR="00076432" w:rsidRPr="00704760">
              <w:rPr>
                <w:rStyle w:val="Hyperlink"/>
                <w:noProof/>
              </w:rPr>
              <w:t>)</w:t>
            </w:r>
            <w:r w:rsidR="00076432">
              <w:rPr>
                <w:noProof/>
                <w:webHidden/>
              </w:rPr>
              <w:tab/>
            </w:r>
            <w:r w:rsidR="00076432">
              <w:rPr>
                <w:noProof/>
                <w:webHidden/>
              </w:rPr>
              <w:fldChar w:fldCharType="begin"/>
            </w:r>
            <w:r w:rsidR="00076432">
              <w:rPr>
                <w:noProof/>
                <w:webHidden/>
              </w:rPr>
              <w:instrText xml:space="preserve"> PAGEREF _Toc106369856 \h </w:instrText>
            </w:r>
            <w:r w:rsidR="00076432">
              <w:rPr>
                <w:noProof/>
                <w:webHidden/>
              </w:rPr>
            </w:r>
            <w:r w:rsidR="00076432">
              <w:rPr>
                <w:noProof/>
                <w:webHidden/>
              </w:rPr>
              <w:fldChar w:fldCharType="separate"/>
            </w:r>
            <w:r w:rsidR="00076432">
              <w:rPr>
                <w:noProof/>
                <w:webHidden/>
              </w:rPr>
              <w:t>423</w:t>
            </w:r>
            <w:r w:rsidR="00076432">
              <w:rPr>
                <w:noProof/>
                <w:webHidden/>
              </w:rPr>
              <w:fldChar w:fldCharType="end"/>
            </w:r>
          </w:hyperlink>
        </w:p>
        <w:p w14:paraId="403AC1BE" w14:textId="7A61BE89" w:rsidR="00076432" w:rsidRDefault="00500371">
          <w:pPr>
            <w:pStyle w:val="TOC2"/>
            <w:tabs>
              <w:tab w:val="right" w:leader="dot" w:pos="13670"/>
            </w:tabs>
            <w:rPr>
              <w:rFonts w:eastAsiaTheme="minorEastAsia"/>
              <w:noProof/>
            </w:rPr>
          </w:pPr>
          <w:hyperlink w:anchor="_Toc106369857" w:history="1">
            <w:r w:rsidR="00076432" w:rsidRPr="00704760">
              <w:rPr>
                <w:rStyle w:val="Hyperlink"/>
                <w:noProof/>
                <w:lang w:val="pt-BR"/>
              </w:rPr>
              <w:t>Meropenem/vaborbactam (Vabomere)</w:t>
            </w:r>
            <w:r w:rsidR="00076432">
              <w:rPr>
                <w:noProof/>
                <w:webHidden/>
              </w:rPr>
              <w:tab/>
            </w:r>
            <w:r w:rsidR="00076432">
              <w:rPr>
                <w:noProof/>
                <w:webHidden/>
              </w:rPr>
              <w:fldChar w:fldCharType="begin"/>
            </w:r>
            <w:r w:rsidR="00076432">
              <w:rPr>
                <w:noProof/>
                <w:webHidden/>
              </w:rPr>
              <w:instrText xml:space="preserve"> PAGEREF _Toc106369857 \h </w:instrText>
            </w:r>
            <w:r w:rsidR="00076432">
              <w:rPr>
                <w:noProof/>
                <w:webHidden/>
              </w:rPr>
            </w:r>
            <w:r w:rsidR="00076432">
              <w:rPr>
                <w:noProof/>
                <w:webHidden/>
              </w:rPr>
              <w:fldChar w:fldCharType="separate"/>
            </w:r>
            <w:r w:rsidR="00076432">
              <w:rPr>
                <w:noProof/>
                <w:webHidden/>
              </w:rPr>
              <w:t>426</w:t>
            </w:r>
            <w:r w:rsidR="00076432">
              <w:rPr>
                <w:noProof/>
                <w:webHidden/>
              </w:rPr>
              <w:fldChar w:fldCharType="end"/>
            </w:r>
          </w:hyperlink>
        </w:p>
        <w:p w14:paraId="29275A49" w14:textId="178F2ED9" w:rsidR="00076432" w:rsidRDefault="00500371">
          <w:pPr>
            <w:pStyle w:val="TOC2"/>
            <w:tabs>
              <w:tab w:val="right" w:leader="dot" w:pos="13670"/>
            </w:tabs>
            <w:rPr>
              <w:rFonts w:eastAsiaTheme="minorEastAsia"/>
              <w:noProof/>
            </w:rPr>
          </w:pPr>
          <w:hyperlink w:anchor="_Toc106369858" w:history="1">
            <w:r w:rsidR="00076432" w:rsidRPr="00704760">
              <w:rPr>
                <w:rStyle w:val="Hyperlink"/>
                <w:noProof/>
              </w:rPr>
              <w:t>Midazolam (Nayzilam)</w:t>
            </w:r>
            <w:r w:rsidR="00076432">
              <w:rPr>
                <w:noProof/>
                <w:webHidden/>
              </w:rPr>
              <w:tab/>
            </w:r>
            <w:r w:rsidR="00076432">
              <w:rPr>
                <w:noProof/>
                <w:webHidden/>
              </w:rPr>
              <w:fldChar w:fldCharType="begin"/>
            </w:r>
            <w:r w:rsidR="00076432">
              <w:rPr>
                <w:noProof/>
                <w:webHidden/>
              </w:rPr>
              <w:instrText xml:space="preserve"> PAGEREF _Toc106369858 \h </w:instrText>
            </w:r>
            <w:r w:rsidR="00076432">
              <w:rPr>
                <w:noProof/>
                <w:webHidden/>
              </w:rPr>
            </w:r>
            <w:r w:rsidR="00076432">
              <w:rPr>
                <w:noProof/>
                <w:webHidden/>
              </w:rPr>
              <w:fldChar w:fldCharType="separate"/>
            </w:r>
            <w:r w:rsidR="00076432">
              <w:rPr>
                <w:noProof/>
                <w:webHidden/>
              </w:rPr>
              <w:t>428</w:t>
            </w:r>
            <w:r w:rsidR="00076432">
              <w:rPr>
                <w:noProof/>
                <w:webHidden/>
              </w:rPr>
              <w:fldChar w:fldCharType="end"/>
            </w:r>
          </w:hyperlink>
        </w:p>
        <w:p w14:paraId="65BF6833" w14:textId="707265DF" w:rsidR="00076432" w:rsidRDefault="00500371">
          <w:pPr>
            <w:pStyle w:val="TOC2"/>
            <w:tabs>
              <w:tab w:val="right" w:leader="dot" w:pos="13670"/>
            </w:tabs>
            <w:rPr>
              <w:rFonts w:eastAsiaTheme="minorEastAsia"/>
              <w:noProof/>
            </w:rPr>
          </w:pPr>
          <w:hyperlink w:anchor="_Toc106369859" w:history="1">
            <w:r w:rsidR="00076432" w:rsidRPr="00704760">
              <w:rPr>
                <w:rStyle w:val="Hyperlink"/>
                <w:noProof/>
              </w:rPr>
              <w:t>Midostaurin (Rydapt)</w:t>
            </w:r>
            <w:r w:rsidR="00076432">
              <w:rPr>
                <w:noProof/>
                <w:webHidden/>
              </w:rPr>
              <w:tab/>
            </w:r>
            <w:r w:rsidR="00076432">
              <w:rPr>
                <w:noProof/>
                <w:webHidden/>
              </w:rPr>
              <w:fldChar w:fldCharType="begin"/>
            </w:r>
            <w:r w:rsidR="00076432">
              <w:rPr>
                <w:noProof/>
                <w:webHidden/>
              </w:rPr>
              <w:instrText xml:space="preserve"> PAGEREF _Toc106369859 \h </w:instrText>
            </w:r>
            <w:r w:rsidR="00076432">
              <w:rPr>
                <w:noProof/>
                <w:webHidden/>
              </w:rPr>
            </w:r>
            <w:r w:rsidR="00076432">
              <w:rPr>
                <w:noProof/>
                <w:webHidden/>
              </w:rPr>
              <w:fldChar w:fldCharType="separate"/>
            </w:r>
            <w:r w:rsidR="00076432">
              <w:rPr>
                <w:noProof/>
                <w:webHidden/>
              </w:rPr>
              <w:t>429</w:t>
            </w:r>
            <w:r w:rsidR="00076432">
              <w:rPr>
                <w:noProof/>
                <w:webHidden/>
              </w:rPr>
              <w:fldChar w:fldCharType="end"/>
            </w:r>
          </w:hyperlink>
        </w:p>
        <w:p w14:paraId="7B0D69E1" w14:textId="49C80FA2" w:rsidR="00076432" w:rsidRDefault="00500371">
          <w:pPr>
            <w:pStyle w:val="TOC2"/>
            <w:tabs>
              <w:tab w:val="right" w:leader="dot" w:pos="13670"/>
            </w:tabs>
            <w:rPr>
              <w:rFonts w:eastAsiaTheme="minorEastAsia"/>
              <w:noProof/>
            </w:rPr>
          </w:pPr>
          <w:hyperlink w:anchor="_Toc106369860" w:history="1">
            <w:r w:rsidR="00076432" w:rsidRPr="00704760">
              <w:rPr>
                <w:rStyle w:val="Hyperlink"/>
                <w:noProof/>
              </w:rPr>
              <w:t>Migalastat (Galafold)</w:t>
            </w:r>
            <w:r w:rsidR="00076432">
              <w:rPr>
                <w:noProof/>
                <w:webHidden/>
              </w:rPr>
              <w:tab/>
            </w:r>
            <w:r w:rsidR="00076432">
              <w:rPr>
                <w:noProof/>
                <w:webHidden/>
              </w:rPr>
              <w:fldChar w:fldCharType="begin"/>
            </w:r>
            <w:r w:rsidR="00076432">
              <w:rPr>
                <w:noProof/>
                <w:webHidden/>
              </w:rPr>
              <w:instrText xml:space="preserve"> PAGEREF _Toc106369860 \h </w:instrText>
            </w:r>
            <w:r w:rsidR="00076432">
              <w:rPr>
                <w:noProof/>
                <w:webHidden/>
              </w:rPr>
            </w:r>
            <w:r w:rsidR="00076432">
              <w:rPr>
                <w:noProof/>
                <w:webHidden/>
              </w:rPr>
              <w:fldChar w:fldCharType="separate"/>
            </w:r>
            <w:r w:rsidR="00076432">
              <w:rPr>
                <w:noProof/>
                <w:webHidden/>
              </w:rPr>
              <w:t>432</w:t>
            </w:r>
            <w:r w:rsidR="00076432">
              <w:rPr>
                <w:noProof/>
                <w:webHidden/>
              </w:rPr>
              <w:fldChar w:fldCharType="end"/>
            </w:r>
          </w:hyperlink>
        </w:p>
        <w:p w14:paraId="4CA3D885" w14:textId="1B95C4D8" w:rsidR="00076432" w:rsidRDefault="00500371">
          <w:pPr>
            <w:pStyle w:val="TOC2"/>
            <w:tabs>
              <w:tab w:val="right" w:leader="dot" w:pos="13670"/>
            </w:tabs>
            <w:rPr>
              <w:rFonts w:eastAsiaTheme="minorEastAsia"/>
              <w:noProof/>
            </w:rPr>
          </w:pPr>
          <w:hyperlink w:anchor="_Toc106369861" w:history="1">
            <w:r w:rsidR="00076432" w:rsidRPr="00704760">
              <w:rPr>
                <w:rStyle w:val="Hyperlink"/>
                <w:noProof/>
                <w:lang w:val="es-ES"/>
              </w:rPr>
              <w:t>Nab-paclitaxel (Abraxane)</w:t>
            </w:r>
            <w:r w:rsidR="00076432">
              <w:rPr>
                <w:noProof/>
                <w:webHidden/>
              </w:rPr>
              <w:tab/>
            </w:r>
            <w:r w:rsidR="00076432">
              <w:rPr>
                <w:noProof/>
                <w:webHidden/>
              </w:rPr>
              <w:fldChar w:fldCharType="begin"/>
            </w:r>
            <w:r w:rsidR="00076432">
              <w:rPr>
                <w:noProof/>
                <w:webHidden/>
              </w:rPr>
              <w:instrText xml:space="preserve"> PAGEREF _Toc106369861 \h </w:instrText>
            </w:r>
            <w:r w:rsidR="00076432">
              <w:rPr>
                <w:noProof/>
                <w:webHidden/>
              </w:rPr>
            </w:r>
            <w:r w:rsidR="00076432">
              <w:rPr>
                <w:noProof/>
                <w:webHidden/>
              </w:rPr>
              <w:fldChar w:fldCharType="separate"/>
            </w:r>
            <w:r w:rsidR="00076432">
              <w:rPr>
                <w:noProof/>
                <w:webHidden/>
              </w:rPr>
              <w:t>434</w:t>
            </w:r>
            <w:r w:rsidR="00076432">
              <w:rPr>
                <w:noProof/>
                <w:webHidden/>
              </w:rPr>
              <w:fldChar w:fldCharType="end"/>
            </w:r>
          </w:hyperlink>
        </w:p>
        <w:p w14:paraId="44B642DA" w14:textId="6309A31E" w:rsidR="00076432" w:rsidRDefault="00500371">
          <w:pPr>
            <w:pStyle w:val="TOC2"/>
            <w:tabs>
              <w:tab w:val="right" w:leader="dot" w:pos="13670"/>
            </w:tabs>
            <w:rPr>
              <w:rFonts w:eastAsiaTheme="minorEastAsia"/>
              <w:noProof/>
            </w:rPr>
          </w:pPr>
          <w:hyperlink w:anchor="_Toc106369862" w:history="1">
            <w:r w:rsidR="00076432" w:rsidRPr="00704760">
              <w:rPr>
                <w:rStyle w:val="Hyperlink"/>
                <w:noProof/>
              </w:rPr>
              <w:t>Naloxegol (Movantik)</w:t>
            </w:r>
            <w:r w:rsidR="00076432">
              <w:rPr>
                <w:noProof/>
                <w:webHidden/>
              </w:rPr>
              <w:tab/>
            </w:r>
            <w:r w:rsidR="00076432">
              <w:rPr>
                <w:noProof/>
                <w:webHidden/>
              </w:rPr>
              <w:fldChar w:fldCharType="begin"/>
            </w:r>
            <w:r w:rsidR="00076432">
              <w:rPr>
                <w:noProof/>
                <w:webHidden/>
              </w:rPr>
              <w:instrText xml:space="preserve"> PAGEREF _Toc106369862 \h </w:instrText>
            </w:r>
            <w:r w:rsidR="00076432">
              <w:rPr>
                <w:noProof/>
                <w:webHidden/>
              </w:rPr>
            </w:r>
            <w:r w:rsidR="00076432">
              <w:rPr>
                <w:noProof/>
                <w:webHidden/>
              </w:rPr>
              <w:fldChar w:fldCharType="separate"/>
            </w:r>
            <w:r w:rsidR="00076432">
              <w:rPr>
                <w:noProof/>
                <w:webHidden/>
              </w:rPr>
              <w:t>436</w:t>
            </w:r>
            <w:r w:rsidR="00076432">
              <w:rPr>
                <w:noProof/>
                <w:webHidden/>
              </w:rPr>
              <w:fldChar w:fldCharType="end"/>
            </w:r>
          </w:hyperlink>
        </w:p>
        <w:p w14:paraId="1F2F8B8D" w14:textId="4CE16F2F" w:rsidR="00076432" w:rsidRDefault="00500371">
          <w:pPr>
            <w:pStyle w:val="TOC2"/>
            <w:tabs>
              <w:tab w:val="right" w:leader="dot" w:pos="13670"/>
            </w:tabs>
            <w:rPr>
              <w:rFonts w:eastAsiaTheme="minorEastAsia"/>
              <w:noProof/>
            </w:rPr>
          </w:pPr>
          <w:hyperlink w:anchor="_Toc106369863" w:history="1">
            <w:r w:rsidR="00076432" w:rsidRPr="00704760">
              <w:rPr>
                <w:rStyle w:val="Hyperlink"/>
                <w:noProof/>
              </w:rPr>
              <w:t>Naloxone (Narcan Nasal Spray)</w:t>
            </w:r>
            <w:r w:rsidR="00076432">
              <w:rPr>
                <w:noProof/>
                <w:webHidden/>
              </w:rPr>
              <w:tab/>
            </w:r>
            <w:r w:rsidR="00076432">
              <w:rPr>
                <w:noProof/>
                <w:webHidden/>
              </w:rPr>
              <w:fldChar w:fldCharType="begin"/>
            </w:r>
            <w:r w:rsidR="00076432">
              <w:rPr>
                <w:noProof/>
                <w:webHidden/>
              </w:rPr>
              <w:instrText xml:space="preserve"> PAGEREF _Toc106369863 \h </w:instrText>
            </w:r>
            <w:r w:rsidR="00076432">
              <w:rPr>
                <w:noProof/>
                <w:webHidden/>
              </w:rPr>
            </w:r>
            <w:r w:rsidR="00076432">
              <w:rPr>
                <w:noProof/>
                <w:webHidden/>
              </w:rPr>
              <w:fldChar w:fldCharType="separate"/>
            </w:r>
            <w:r w:rsidR="00076432">
              <w:rPr>
                <w:noProof/>
                <w:webHidden/>
              </w:rPr>
              <w:t>437</w:t>
            </w:r>
            <w:r w:rsidR="00076432">
              <w:rPr>
                <w:noProof/>
                <w:webHidden/>
              </w:rPr>
              <w:fldChar w:fldCharType="end"/>
            </w:r>
          </w:hyperlink>
        </w:p>
        <w:p w14:paraId="7E095857" w14:textId="7025D085" w:rsidR="00076432" w:rsidRDefault="00500371">
          <w:pPr>
            <w:pStyle w:val="TOC2"/>
            <w:tabs>
              <w:tab w:val="right" w:leader="dot" w:pos="13670"/>
            </w:tabs>
            <w:rPr>
              <w:rFonts w:eastAsiaTheme="minorEastAsia"/>
              <w:noProof/>
            </w:rPr>
          </w:pPr>
          <w:hyperlink w:anchor="_Toc106369864" w:history="1">
            <w:r w:rsidR="00076432" w:rsidRPr="00704760">
              <w:rPr>
                <w:rStyle w:val="Hyperlink"/>
                <w:noProof/>
              </w:rPr>
              <w:t>Naltrexone (Vivitrol)</w:t>
            </w:r>
            <w:r w:rsidR="00076432">
              <w:rPr>
                <w:noProof/>
                <w:webHidden/>
              </w:rPr>
              <w:tab/>
            </w:r>
            <w:r w:rsidR="00076432">
              <w:rPr>
                <w:noProof/>
                <w:webHidden/>
              </w:rPr>
              <w:fldChar w:fldCharType="begin"/>
            </w:r>
            <w:r w:rsidR="00076432">
              <w:rPr>
                <w:noProof/>
                <w:webHidden/>
              </w:rPr>
              <w:instrText xml:space="preserve"> PAGEREF _Toc106369864 \h </w:instrText>
            </w:r>
            <w:r w:rsidR="00076432">
              <w:rPr>
                <w:noProof/>
                <w:webHidden/>
              </w:rPr>
            </w:r>
            <w:r w:rsidR="00076432">
              <w:rPr>
                <w:noProof/>
                <w:webHidden/>
              </w:rPr>
              <w:fldChar w:fldCharType="separate"/>
            </w:r>
            <w:r w:rsidR="00076432">
              <w:rPr>
                <w:noProof/>
                <w:webHidden/>
              </w:rPr>
              <w:t>438</w:t>
            </w:r>
            <w:r w:rsidR="00076432">
              <w:rPr>
                <w:noProof/>
                <w:webHidden/>
              </w:rPr>
              <w:fldChar w:fldCharType="end"/>
            </w:r>
          </w:hyperlink>
        </w:p>
        <w:p w14:paraId="478F03AE" w14:textId="7451B541" w:rsidR="00076432" w:rsidRDefault="00500371">
          <w:pPr>
            <w:pStyle w:val="TOC2"/>
            <w:tabs>
              <w:tab w:val="right" w:leader="dot" w:pos="13670"/>
            </w:tabs>
            <w:rPr>
              <w:rFonts w:eastAsiaTheme="minorEastAsia"/>
              <w:noProof/>
            </w:rPr>
          </w:pPr>
          <w:hyperlink w:anchor="_Toc106369865" w:history="1">
            <w:r w:rsidR="00076432" w:rsidRPr="00704760">
              <w:rPr>
                <w:rStyle w:val="Hyperlink"/>
                <w:noProof/>
              </w:rPr>
              <w:t>Natalizumab (Tysabri)</w:t>
            </w:r>
            <w:r w:rsidR="00076432">
              <w:rPr>
                <w:noProof/>
                <w:webHidden/>
              </w:rPr>
              <w:tab/>
            </w:r>
            <w:r w:rsidR="00076432">
              <w:rPr>
                <w:noProof/>
                <w:webHidden/>
              </w:rPr>
              <w:fldChar w:fldCharType="begin"/>
            </w:r>
            <w:r w:rsidR="00076432">
              <w:rPr>
                <w:noProof/>
                <w:webHidden/>
              </w:rPr>
              <w:instrText xml:space="preserve"> PAGEREF _Toc106369865 \h </w:instrText>
            </w:r>
            <w:r w:rsidR="00076432">
              <w:rPr>
                <w:noProof/>
                <w:webHidden/>
              </w:rPr>
            </w:r>
            <w:r w:rsidR="00076432">
              <w:rPr>
                <w:noProof/>
                <w:webHidden/>
              </w:rPr>
              <w:fldChar w:fldCharType="separate"/>
            </w:r>
            <w:r w:rsidR="00076432">
              <w:rPr>
                <w:noProof/>
                <w:webHidden/>
              </w:rPr>
              <w:t>440</w:t>
            </w:r>
            <w:r w:rsidR="00076432">
              <w:rPr>
                <w:noProof/>
                <w:webHidden/>
              </w:rPr>
              <w:fldChar w:fldCharType="end"/>
            </w:r>
          </w:hyperlink>
        </w:p>
        <w:p w14:paraId="548D10A3" w14:textId="22F1EFDD" w:rsidR="00076432" w:rsidRDefault="00500371">
          <w:pPr>
            <w:pStyle w:val="TOC2"/>
            <w:tabs>
              <w:tab w:val="right" w:leader="dot" w:pos="13670"/>
            </w:tabs>
            <w:rPr>
              <w:rFonts w:eastAsiaTheme="minorEastAsia"/>
              <w:noProof/>
            </w:rPr>
          </w:pPr>
          <w:hyperlink w:anchor="_Toc106369866" w:history="1">
            <w:r w:rsidR="00076432" w:rsidRPr="00704760">
              <w:rPr>
                <w:rStyle w:val="Hyperlink"/>
                <w:noProof/>
              </w:rPr>
              <w:t>Nilotinib (Tasigna)</w:t>
            </w:r>
            <w:r w:rsidR="00076432">
              <w:rPr>
                <w:noProof/>
                <w:webHidden/>
              </w:rPr>
              <w:tab/>
            </w:r>
            <w:r w:rsidR="00076432">
              <w:rPr>
                <w:noProof/>
                <w:webHidden/>
              </w:rPr>
              <w:fldChar w:fldCharType="begin"/>
            </w:r>
            <w:r w:rsidR="00076432">
              <w:rPr>
                <w:noProof/>
                <w:webHidden/>
              </w:rPr>
              <w:instrText xml:space="preserve"> PAGEREF _Toc106369866 \h </w:instrText>
            </w:r>
            <w:r w:rsidR="00076432">
              <w:rPr>
                <w:noProof/>
                <w:webHidden/>
              </w:rPr>
            </w:r>
            <w:r w:rsidR="00076432">
              <w:rPr>
                <w:noProof/>
                <w:webHidden/>
              </w:rPr>
              <w:fldChar w:fldCharType="separate"/>
            </w:r>
            <w:r w:rsidR="00076432">
              <w:rPr>
                <w:noProof/>
                <w:webHidden/>
              </w:rPr>
              <w:t>442</w:t>
            </w:r>
            <w:r w:rsidR="00076432">
              <w:rPr>
                <w:noProof/>
                <w:webHidden/>
              </w:rPr>
              <w:fldChar w:fldCharType="end"/>
            </w:r>
          </w:hyperlink>
        </w:p>
        <w:p w14:paraId="42C422AB" w14:textId="6E7CC982" w:rsidR="00076432" w:rsidRDefault="00500371">
          <w:pPr>
            <w:pStyle w:val="TOC2"/>
            <w:tabs>
              <w:tab w:val="right" w:leader="dot" w:pos="13670"/>
            </w:tabs>
            <w:rPr>
              <w:rFonts w:eastAsiaTheme="minorEastAsia"/>
              <w:noProof/>
            </w:rPr>
          </w:pPr>
          <w:hyperlink w:anchor="_Toc106369867" w:history="1">
            <w:r w:rsidR="00076432" w:rsidRPr="00704760">
              <w:rPr>
                <w:rStyle w:val="Hyperlink"/>
                <w:noProof/>
              </w:rPr>
              <w:t>Nimodipine</w:t>
            </w:r>
            <w:r w:rsidR="00076432">
              <w:rPr>
                <w:noProof/>
                <w:webHidden/>
              </w:rPr>
              <w:tab/>
            </w:r>
            <w:r w:rsidR="00076432">
              <w:rPr>
                <w:noProof/>
                <w:webHidden/>
              </w:rPr>
              <w:fldChar w:fldCharType="begin"/>
            </w:r>
            <w:r w:rsidR="00076432">
              <w:rPr>
                <w:noProof/>
                <w:webHidden/>
              </w:rPr>
              <w:instrText xml:space="preserve"> PAGEREF _Toc106369867 \h </w:instrText>
            </w:r>
            <w:r w:rsidR="00076432">
              <w:rPr>
                <w:noProof/>
                <w:webHidden/>
              </w:rPr>
            </w:r>
            <w:r w:rsidR="00076432">
              <w:rPr>
                <w:noProof/>
                <w:webHidden/>
              </w:rPr>
              <w:fldChar w:fldCharType="separate"/>
            </w:r>
            <w:r w:rsidR="00076432">
              <w:rPr>
                <w:noProof/>
                <w:webHidden/>
              </w:rPr>
              <w:t>445</w:t>
            </w:r>
            <w:r w:rsidR="00076432">
              <w:rPr>
                <w:noProof/>
                <w:webHidden/>
              </w:rPr>
              <w:fldChar w:fldCharType="end"/>
            </w:r>
          </w:hyperlink>
        </w:p>
        <w:p w14:paraId="7972D1B6" w14:textId="0D6D66BC" w:rsidR="00076432" w:rsidRDefault="00500371">
          <w:pPr>
            <w:pStyle w:val="TOC2"/>
            <w:tabs>
              <w:tab w:val="right" w:leader="dot" w:pos="13670"/>
            </w:tabs>
            <w:rPr>
              <w:rFonts w:eastAsiaTheme="minorEastAsia"/>
              <w:noProof/>
            </w:rPr>
          </w:pPr>
          <w:hyperlink w:anchor="_Toc106369868" w:history="1">
            <w:r w:rsidR="00076432" w:rsidRPr="00704760">
              <w:rPr>
                <w:rStyle w:val="Hyperlink"/>
                <w:noProof/>
              </w:rPr>
              <w:t>Nitisinone (Nityr)</w:t>
            </w:r>
            <w:r w:rsidR="00076432">
              <w:rPr>
                <w:noProof/>
                <w:webHidden/>
              </w:rPr>
              <w:tab/>
            </w:r>
            <w:r w:rsidR="00076432">
              <w:rPr>
                <w:noProof/>
                <w:webHidden/>
              </w:rPr>
              <w:fldChar w:fldCharType="begin"/>
            </w:r>
            <w:r w:rsidR="00076432">
              <w:rPr>
                <w:noProof/>
                <w:webHidden/>
              </w:rPr>
              <w:instrText xml:space="preserve"> PAGEREF _Toc106369868 \h </w:instrText>
            </w:r>
            <w:r w:rsidR="00076432">
              <w:rPr>
                <w:noProof/>
                <w:webHidden/>
              </w:rPr>
            </w:r>
            <w:r w:rsidR="00076432">
              <w:rPr>
                <w:noProof/>
                <w:webHidden/>
              </w:rPr>
              <w:fldChar w:fldCharType="separate"/>
            </w:r>
            <w:r w:rsidR="00076432">
              <w:rPr>
                <w:noProof/>
                <w:webHidden/>
              </w:rPr>
              <w:t>446</w:t>
            </w:r>
            <w:r w:rsidR="00076432">
              <w:rPr>
                <w:noProof/>
                <w:webHidden/>
              </w:rPr>
              <w:fldChar w:fldCharType="end"/>
            </w:r>
          </w:hyperlink>
        </w:p>
        <w:p w14:paraId="44E419EB" w14:textId="73691CF3" w:rsidR="00076432" w:rsidRDefault="00500371">
          <w:pPr>
            <w:pStyle w:val="TOC2"/>
            <w:tabs>
              <w:tab w:val="right" w:leader="dot" w:pos="13670"/>
            </w:tabs>
            <w:rPr>
              <w:rFonts w:eastAsiaTheme="minorEastAsia"/>
              <w:noProof/>
            </w:rPr>
          </w:pPr>
          <w:hyperlink w:anchor="_Toc106369869" w:history="1">
            <w:r w:rsidR="00076432" w:rsidRPr="00704760">
              <w:rPr>
                <w:rStyle w:val="Hyperlink"/>
                <w:noProof/>
              </w:rPr>
              <w:t>Orfadin</w:t>
            </w:r>
            <w:r w:rsidR="00076432">
              <w:rPr>
                <w:noProof/>
                <w:webHidden/>
              </w:rPr>
              <w:tab/>
            </w:r>
            <w:r w:rsidR="00076432">
              <w:rPr>
                <w:noProof/>
                <w:webHidden/>
              </w:rPr>
              <w:fldChar w:fldCharType="begin"/>
            </w:r>
            <w:r w:rsidR="00076432">
              <w:rPr>
                <w:noProof/>
                <w:webHidden/>
              </w:rPr>
              <w:instrText xml:space="preserve"> PAGEREF _Toc106369869 \h </w:instrText>
            </w:r>
            <w:r w:rsidR="00076432">
              <w:rPr>
                <w:noProof/>
                <w:webHidden/>
              </w:rPr>
            </w:r>
            <w:r w:rsidR="00076432">
              <w:rPr>
                <w:noProof/>
                <w:webHidden/>
              </w:rPr>
              <w:fldChar w:fldCharType="separate"/>
            </w:r>
            <w:r w:rsidR="00076432">
              <w:rPr>
                <w:noProof/>
                <w:webHidden/>
              </w:rPr>
              <w:t>446</w:t>
            </w:r>
            <w:r w:rsidR="00076432">
              <w:rPr>
                <w:noProof/>
                <w:webHidden/>
              </w:rPr>
              <w:fldChar w:fldCharType="end"/>
            </w:r>
          </w:hyperlink>
        </w:p>
        <w:p w14:paraId="7DC32E4D" w14:textId="4733F407" w:rsidR="00076432" w:rsidRDefault="00500371">
          <w:pPr>
            <w:pStyle w:val="TOC2"/>
            <w:tabs>
              <w:tab w:val="right" w:leader="dot" w:pos="13670"/>
            </w:tabs>
            <w:rPr>
              <w:rFonts w:eastAsiaTheme="minorEastAsia"/>
              <w:noProof/>
            </w:rPr>
          </w:pPr>
          <w:hyperlink w:anchor="_Toc106369870" w:history="1">
            <w:r w:rsidR="00076432" w:rsidRPr="00704760">
              <w:rPr>
                <w:rStyle w:val="Hyperlink"/>
                <w:noProof/>
              </w:rPr>
              <w:t>Nitrofurantoin</w:t>
            </w:r>
            <w:r w:rsidR="00076432">
              <w:rPr>
                <w:noProof/>
                <w:webHidden/>
              </w:rPr>
              <w:tab/>
            </w:r>
            <w:r w:rsidR="00076432">
              <w:rPr>
                <w:noProof/>
                <w:webHidden/>
              </w:rPr>
              <w:fldChar w:fldCharType="begin"/>
            </w:r>
            <w:r w:rsidR="00076432">
              <w:rPr>
                <w:noProof/>
                <w:webHidden/>
              </w:rPr>
              <w:instrText xml:space="preserve"> PAGEREF _Toc106369870 \h </w:instrText>
            </w:r>
            <w:r w:rsidR="00076432">
              <w:rPr>
                <w:noProof/>
                <w:webHidden/>
              </w:rPr>
            </w:r>
            <w:r w:rsidR="00076432">
              <w:rPr>
                <w:noProof/>
                <w:webHidden/>
              </w:rPr>
              <w:fldChar w:fldCharType="separate"/>
            </w:r>
            <w:r w:rsidR="00076432">
              <w:rPr>
                <w:noProof/>
                <w:webHidden/>
              </w:rPr>
              <w:t>448</w:t>
            </w:r>
            <w:r w:rsidR="00076432">
              <w:rPr>
                <w:noProof/>
                <w:webHidden/>
              </w:rPr>
              <w:fldChar w:fldCharType="end"/>
            </w:r>
          </w:hyperlink>
        </w:p>
        <w:p w14:paraId="43D42952" w14:textId="33AEA187" w:rsidR="00076432" w:rsidRDefault="00500371">
          <w:pPr>
            <w:pStyle w:val="TOC2"/>
            <w:tabs>
              <w:tab w:val="right" w:leader="dot" w:pos="13670"/>
            </w:tabs>
            <w:rPr>
              <w:rFonts w:eastAsiaTheme="minorEastAsia"/>
              <w:noProof/>
            </w:rPr>
          </w:pPr>
          <w:hyperlink w:anchor="_Toc106369871" w:history="1">
            <w:r w:rsidR="00076432" w:rsidRPr="00704760">
              <w:rPr>
                <w:rStyle w:val="Hyperlink"/>
                <w:noProof/>
              </w:rPr>
              <w:t>Nivolumab (Opdivo)</w:t>
            </w:r>
            <w:r w:rsidR="00076432">
              <w:rPr>
                <w:noProof/>
                <w:webHidden/>
              </w:rPr>
              <w:tab/>
            </w:r>
            <w:r w:rsidR="00076432">
              <w:rPr>
                <w:noProof/>
                <w:webHidden/>
              </w:rPr>
              <w:fldChar w:fldCharType="begin"/>
            </w:r>
            <w:r w:rsidR="00076432">
              <w:rPr>
                <w:noProof/>
                <w:webHidden/>
              </w:rPr>
              <w:instrText xml:space="preserve"> PAGEREF _Toc106369871 \h </w:instrText>
            </w:r>
            <w:r w:rsidR="00076432">
              <w:rPr>
                <w:noProof/>
                <w:webHidden/>
              </w:rPr>
            </w:r>
            <w:r w:rsidR="00076432">
              <w:rPr>
                <w:noProof/>
                <w:webHidden/>
              </w:rPr>
              <w:fldChar w:fldCharType="separate"/>
            </w:r>
            <w:r w:rsidR="00076432">
              <w:rPr>
                <w:noProof/>
                <w:webHidden/>
              </w:rPr>
              <w:t>448</w:t>
            </w:r>
            <w:r w:rsidR="00076432">
              <w:rPr>
                <w:noProof/>
                <w:webHidden/>
              </w:rPr>
              <w:fldChar w:fldCharType="end"/>
            </w:r>
          </w:hyperlink>
        </w:p>
        <w:p w14:paraId="3D42179D" w14:textId="3A6F5DF0" w:rsidR="00076432" w:rsidRDefault="00500371">
          <w:pPr>
            <w:pStyle w:val="TOC2"/>
            <w:tabs>
              <w:tab w:val="right" w:leader="dot" w:pos="13670"/>
            </w:tabs>
            <w:rPr>
              <w:rFonts w:eastAsiaTheme="minorEastAsia"/>
              <w:noProof/>
            </w:rPr>
          </w:pPr>
          <w:hyperlink w:anchor="_Toc106369872" w:history="1">
            <w:r w:rsidR="00076432" w:rsidRPr="00704760">
              <w:rPr>
                <w:rStyle w:val="Hyperlink"/>
                <w:noProof/>
              </w:rPr>
              <w:t>Nusinersen (Spinraza)</w:t>
            </w:r>
            <w:r w:rsidR="00076432">
              <w:rPr>
                <w:noProof/>
                <w:webHidden/>
              </w:rPr>
              <w:tab/>
            </w:r>
            <w:r w:rsidR="00076432">
              <w:rPr>
                <w:noProof/>
                <w:webHidden/>
              </w:rPr>
              <w:fldChar w:fldCharType="begin"/>
            </w:r>
            <w:r w:rsidR="00076432">
              <w:rPr>
                <w:noProof/>
                <w:webHidden/>
              </w:rPr>
              <w:instrText xml:space="preserve"> PAGEREF _Toc106369872 \h </w:instrText>
            </w:r>
            <w:r w:rsidR="00076432">
              <w:rPr>
                <w:noProof/>
                <w:webHidden/>
              </w:rPr>
            </w:r>
            <w:r w:rsidR="00076432">
              <w:rPr>
                <w:noProof/>
                <w:webHidden/>
              </w:rPr>
              <w:fldChar w:fldCharType="separate"/>
            </w:r>
            <w:r w:rsidR="00076432">
              <w:rPr>
                <w:noProof/>
                <w:webHidden/>
              </w:rPr>
              <w:t>470</w:t>
            </w:r>
            <w:r w:rsidR="00076432">
              <w:rPr>
                <w:noProof/>
                <w:webHidden/>
              </w:rPr>
              <w:fldChar w:fldCharType="end"/>
            </w:r>
          </w:hyperlink>
        </w:p>
        <w:p w14:paraId="2B90C04C" w14:textId="5A9D1402" w:rsidR="00076432" w:rsidRDefault="00500371">
          <w:pPr>
            <w:pStyle w:val="TOC2"/>
            <w:tabs>
              <w:tab w:val="right" w:leader="dot" w:pos="13670"/>
            </w:tabs>
            <w:rPr>
              <w:rFonts w:eastAsiaTheme="minorEastAsia"/>
              <w:noProof/>
            </w:rPr>
          </w:pPr>
          <w:hyperlink w:anchor="_Toc106369873" w:history="1">
            <w:r w:rsidR="00076432" w:rsidRPr="00704760">
              <w:rPr>
                <w:rStyle w:val="Hyperlink"/>
                <w:noProof/>
                <w:lang w:val="es-ES"/>
              </w:rPr>
              <w:t>Obinutuzumab (Gazyva)</w:t>
            </w:r>
            <w:r w:rsidR="00076432">
              <w:rPr>
                <w:noProof/>
                <w:webHidden/>
              </w:rPr>
              <w:tab/>
            </w:r>
            <w:r w:rsidR="00076432">
              <w:rPr>
                <w:noProof/>
                <w:webHidden/>
              </w:rPr>
              <w:fldChar w:fldCharType="begin"/>
            </w:r>
            <w:r w:rsidR="00076432">
              <w:rPr>
                <w:noProof/>
                <w:webHidden/>
              </w:rPr>
              <w:instrText xml:space="preserve"> PAGEREF _Toc106369873 \h </w:instrText>
            </w:r>
            <w:r w:rsidR="00076432">
              <w:rPr>
                <w:noProof/>
                <w:webHidden/>
              </w:rPr>
            </w:r>
            <w:r w:rsidR="00076432">
              <w:rPr>
                <w:noProof/>
                <w:webHidden/>
              </w:rPr>
              <w:fldChar w:fldCharType="separate"/>
            </w:r>
            <w:r w:rsidR="00076432">
              <w:rPr>
                <w:noProof/>
                <w:webHidden/>
              </w:rPr>
              <w:t>471</w:t>
            </w:r>
            <w:r w:rsidR="00076432">
              <w:rPr>
                <w:noProof/>
                <w:webHidden/>
              </w:rPr>
              <w:fldChar w:fldCharType="end"/>
            </w:r>
          </w:hyperlink>
        </w:p>
        <w:p w14:paraId="6B2DEA6A" w14:textId="7A4C6CA3" w:rsidR="00076432" w:rsidRDefault="00500371">
          <w:pPr>
            <w:pStyle w:val="TOC2"/>
            <w:tabs>
              <w:tab w:val="right" w:leader="dot" w:pos="13670"/>
            </w:tabs>
            <w:rPr>
              <w:rFonts w:eastAsiaTheme="minorEastAsia"/>
              <w:noProof/>
            </w:rPr>
          </w:pPr>
          <w:hyperlink w:anchor="_Toc106369874" w:history="1">
            <w:r w:rsidR="00076432" w:rsidRPr="00704760">
              <w:rPr>
                <w:rStyle w:val="Hyperlink"/>
                <w:noProof/>
              </w:rPr>
              <w:t>Ocrelizumab (Ocrevus)</w:t>
            </w:r>
            <w:r w:rsidR="00076432">
              <w:rPr>
                <w:noProof/>
                <w:webHidden/>
              </w:rPr>
              <w:tab/>
            </w:r>
            <w:r w:rsidR="00076432">
              <w:rPr>
                <w:noProof/>
                <w:webHidden/>
              </w:rPr>
              <w:fldChar w:fldCharType="begin"/>
            </w:r>
            <w:r w:rsidR="00076432">
              <w:rPr>
                <w:noProof/>
                <w:webHidden/>
              </w:rPr>
              <w:instrText xml:space="preserve"> PAGEREF _Toc106369874 \h </w:instrText>
            </w:r>
            <w:r w:rsidR="00076432">
              <w:rPr>
                <w:noProof/>
                <w:webHidden/>
              </w:rPr>
            </w:r>
            <w:r w:rsidR="00076432">
              <w:rPr>
                <w:noProof/>
                <w:webHidden/>
              </w:rPr>
              <w:fldChar w:fldCharType="separate"/>
            </w:r>
            <w:r w:rsidR="00076432">
              <w:rPr>
                <w:noProof/>
                <w:webHidden/>
              </w:rPr>
              <w:t>475</w:t>
            </w:r>
            <w:r w:rsidR="00076432">
              <w:rPr>
                <w:noProof/>
                <w:webHidden/>
              </w:rPr>
              <w:fldChar w:fldCharType="end"/>
            </w:r>
          </w:hyperlink>
        </w:p>
        <w:p w14:paraId="5B86D74C" w14:textId="25579663" w:rsidR="00076432" w:rsidRDefault="00500371">
          <w:pPr>
            <w:pStyle w:val="TOC2"/>
            <w:tabs>
              <w:tab w:val="right" w:leader="dot" w:pos="13670"/>
            </w:tabs>
            <w:rPr>
              <w:rFonts w:eastAsiaTheme="minorEastAsia"/>
              <w:noProof/>
            </w:rPr>
          </w:pPr>
          <w:hyperlink w:anchor="_Toc106369875" w:history="1">
            <w:r w:rsidR="00076432" w:rsidRPr="00704760">
              <w:rPr>
                <w:rStyle w:val="Hyperlink"/>
                <w:noProof/>
              </w:rPr>
              <w:t>Olaparib (Lynparza)</w:t>
            </w:r>
            <w:r w:rsidR="00076432">
              <w:rPr>
                <w:noProof/>
                <w:webHidden/>
              </w:rPr>
              <w:tab/>
            </w:r>
            <w:r w:rsidR="00076432">
              <w:rPr>
                <w:noProof/>
                <w:webHidden/>
              </w:rPr>
              <w:fldChar w:fldCharType="begin"/>
            </w:r>
            <w:r w:rsidR="00076432">
              <w:rPr>
                <w:noProof/>
                <w:webHidden/>
              </w:rPr>
              <w:instrText xml:space="preserve"> PAGEREF _Toc106369875 \h </w:instrText>
            </w:r>
            <w:r w:rsidR="00076432">
              <w:rPr>
                <w:noProof/>
                <w:webHidden/>
              </w:rPr>
            </w:r>
            <w:r w:rsidR="00076432">
              <w:rPr>
                <w:noProof/>
                <w:webHidden/>
              </w:rPr>
              <w:fldChar w:fldCharType="separate"/>
            </w:r>
            <w:r w:rsidR="00076432">
              <w:rPr>
                <w:noProof/>
                <w:webHidden/>
              </w:rPr>
              <w:t>478</w:t>
            </w:r>
            <w:r w:rsidR="00076432">
              <w:rPr>
                <w:noProof/>
                <w:webHidden/>
              </w:rPr>
              <w:fldChar w:fldCharType="end"/>
            </w:r>
          </w:hyperlink>
        </w:p>
        <w:p w14:paraId="5EFE62F0" w14:textId="10DD02B5" w:rsidR="00076432" w:rsidRDefault="00500371">
          <w:pPr>
            <w:pStyle w:val="TOC2"/>
            <w:tabs>
              <w:tab w:val="right" w:leader="dot" w:pos="13670"/>
            </w:tabs>
            <w:rPr>
              <w:rFonts w:eastAsiaTheme="minorEastAsia"/>
              <w:noProof/>
            </w:rPr>
          </w:pPr>
          <w:hyperlink w:anchor="_Toc106369876" w:history="1">
            <w:r w:rsidR="00076432" w:rsidRPr="00704760">
              <w:rPr>
                <w:rStyle w:val="Hyperlink"/>
                <w:noProof/>
              </w:rPr>
              <w:t>Omalizumab (Xolair</w:t>
            </w:r>
            <w:r w:rsidR="00076432" w:rsidRPr="00704760">
              <w:rPr>
                <w:rStyle w:val="Hyperlink"/>
                <w:noProof/>
              </w:rPr>
              <w:sym w:font="Symbol" w:char="F0D2"/>
            </w:r>
            <w:r w:rsidR="00076432" w:rsidRPr="00704760">
              <w:rPr>
                <w:rStyle w:val="Hyperlink"/>
                <w:noProof/>
              </w:rPr>
              <w:t>)</w:t>
            </w:r>
            <w:r w:rsidR="00076432">
              <w:rPr>
                <w:noProof/>
                <w:webHidden/>
              </w:rPr>
              <w:tab/>
            </w:r>
            <w:r w:rsidR="00076432">
              <w:rPr>
                <w:noProof/>
                <w:webHidden/>
              </w:rPr>
              <w:fldChar w:fldCharType="begin"/>
            </w:r>
            <w:r w:rsidR="00076432">
              <w:rPr>
                <w:noProof/>
                <w:webHidden/>
              </w:rPr>
              <w:instrText xml:space="preserve"> PAGEREF _Toc106369876 \h </w:instrText>
            </w:r>
            <w:r w:rsidR="00076432">
              <w:rPr>
                <w:noProof/>
                <w:webHidden/>
              </w:rPr>
            </w:r>
            <w:r w:rsidR="00076432">
              <w:rPr>
                <w:noProof/>
                <w:webHidden/>
              </w:rPr>
              <w:fldChar w:fldCharType="separate"/>
            </w:r>
            <w:r w:rsidR="00076432">
              <w:rPr>
                <w:noProof/>
                <w:webHidden/>
              </w:rPr>
              <w:t>485</w:t>
            </w:r>
            <w:r w:rsidR="00076432">
              <w:rPr>
                <w:noProof/>
                <w:webHidden/>
              </w:rPr>
              <w:fldChar w:fldCharType="end"/>
            </w:r>
          </w:hyperlink>
        </w:p>
        <w:p w14:paraId="60267358" w14:textId="665220C5" w:rsidR="00076432" w:rsidRDefault="00500371">
          <w:pPr>
            <w:pStyle w:val="TOC2"/>
            <w:tabs>
              <w:tab w:val="right" w:leader="dot" w:pos="13670"/>
            </w:tabs>
            <w:rPr>
              <w:rFonts w:eastAsiaTheme="minorEastAsia"/>
              <w:noProof/>
            </w:rPr>
          </w:pPr>
          <w:hyperlink w:anchor="_Toc106369877" w:history="1">
            <w:r w:rsidR="00076432" w:rsidRPr="00704760">
              <w:rPr>
                <w:rStyle w:val="Hyperlink"/>
                <w:noProof/>
              </w:rPr>
              <w:t>Onasemnogene Abeparvovec (Zolgensma)</w:t>
            </w:r>
            <w:r w:rsidR="00076432">
              <w:rPr>
                <w:noProof/>
                <w:webHidden/>
              </w:rPr>
              <w:tab/>
            </w:r>
            <w:r w:rsidR="00076432">
              <w:rPr>
                <w:noProof/>
                <w:webHidden/>
              </w:rPr>
              <w:fldChar w:fldCharType="begin"/>
            </w:r>
            <w:r w:rsidR="00076432">
              <w:rPr>
                <w:noProof/>
                <w:webHidden/>
              </w:rPr>
              <w:instrText xml:space="preserve"> PAGEREF _Toc106369877 \h </w:instrText>
            </w:r>
            <w:r w:rsidR="00076432">
              <w:rPr>
                <w:noProof/>
                <w:webHidden/>
              </w:rPr>
            </w:r>
            <w:r w:rsidR="00076432">
              <w:rPr>
                <w:noProof/>
                <w:webHidden/>
              </w:rPr>
              <w:fldChar w:fldCharType="separate"/>
            </w:r>
            <w:r w:rsidR="00076432">
              <w:rPr>
                <w:noProof/>
                <w:webHidden/>
              </w:rPr>
              <w:t>489</w:t>
            </w:r>
            <w:r w:rsidR="00076432">
              <w:rPr>
                <w:noProof/>
                <w:webHidden/>
              </w:rPr>
              <w:fldChar w:fldCharType="end"/>
            </w:r>
          </w:hyperlink>
        </w:p>
        <w:p w14:paraId="3E23CEDC" w14:textId="0B9B76FF" w:rsidR="00076432" w:rsidRDefault="00500371">
          <w:pPr>
            <w:pStyle w:val="TOC2"/>
            <w:tabs>
              <w:tab w:val="right" w:leader="dot" w:pos="13670"/>
            </w:tabs>
            <w:rPr>
              <w:rFonts w:eastAsiaTheme="minorEastAsia"/>
              <w:noProof/>
            </w:rPr>
          </w:pPr>
          <w:hyperlink w:anchor="_Toc106369878" w:history="1">
            <w:r w:rsidR="00076432" w:rsidRPr="00704760">
              <w:rPr>
                <w:rStyle w:val="Hyperlink"/>
                <w:noProof/>
              </w:rPr>
              <w:t>Long-acting Opiates or short-acting opiates of users of 60/90 past days</w:t>
            </w:r>
            <w:r w:rsidR="00076432">
              <w:rPr>
                <w:noProof/>
                <w:webHidden/>
              </w:rPr>
              <w:tab/>
            </w:r>
            <w:r w:rsidR="00076432">
              <w:rPr>
                <w:noProof/>
                <w:webHidden/>
              </w:rPr>
              <w:fldChar w:fldCharType="begin"/>
            </w:r>
            <w:r w:rsidR="00076432">
              <w:rPr>
                <w:noProof/>
                <w:webHidden/>
              </w:rPr>
              <w:instrText xml:space="preserve"> PAGEREF _Toc106369878 \h </w:instrText>
            </w:r>
            <w:r w:rsidR="00076432">
              <w:rPr>
                <w:noProof/>
                <w:webHidden/>
              </w:rPr>
            </w:r>
            <w:r w:rsidR="00076432">
              <w:rPr>
                <w:noProof/>
                <w:webHidden/>
              </w:rPr>
              <w:fldChar w:fldCharType="separate"/>
            </w:r>
            <w:r w:rsidR="00076432">
              <w:rPr>
                <w:noProof/>
                <w:webHidden/>
              </w:rPr>
              <w:t>490</w:t>
            </w:r>
            <w:r w:rsidR="00076432">
              <w:rPr>
                <w:noProof/>
                <w:webHidden/>
              </w:rPr>
              <w:fldChar w:fldCharType="end"/>
            </w:r>
          </w:hyperlink>
        </w:p>
        <w:p w14:paraId="7EC3AA3B" w14:textId="422B2593" w:rsidR="00076432" w:rsidRDefault="00500371">
          <w:pPr>
            <w:pStyle w:val="TOC2"/>
            <w:tabs>
              <w:tab w:val="right" w:leader="dot" w:pos="13670"/>
            </w:tabs>
            <w:rPr>
              <w:rFonts w:eastAsiaTheme="minorEastAsia"/>
              <w:noProof/>
            </w:rPr>
          </w:pPr>
          <w:hyperlink w:anchor="_Toc106369879" w:history="1">
            <w:r w:rsidR="00076432" w:rsidRPr="00704760">
              <w:rPr>
                <w:rStyle w:val="Hyperlink"/>
                <w:noProof/>
              </w:rPr>
              <w:t>Osilodrostat (Isturisa)</w:t>
            </w:r>
            <w:r w:rsidR="00076432">
              <w:rPr>
                <w:noProof/>
                <w:webHidden/>
              </w:rPr>
              <w:tab/>
            </w:r>
            <w:r w:rsidR="00076432">
              <w:rPr>
                <w:noProof/>
                <w:webHidden/>
              </w:rPr>
              <w:fldChar w:fldCharType="begin"/>
            </w:r>
            <w:r w:rsidR="00076432">
              <w:rPr>
                <w:noProof/>
                <w:webHidden/>
              </w:rPr>
              <w:instrText xml:space="preserve"> PAGEREF _Toc106369879 \h </w:instrText>
            </w:r>
            <w:r w:rsidR="00076432">
              <w:rPr>
                <w:noProof/>
                <w:webHidden/>
              </w:rPr>
            </w:r>
            <w:r w:rsidR="00076432">
              <w:rPr>
                <w:noProof/>
                <w:webHidden/>
              </w:rPr>
              <w:fldChar w:fldCharType="separate"/>
            </w:r>
            <w:r w:rsidR="00076432">
              <w:rPr>
                <w:noProof/>
                <w:webHidden/>
              </w:rPr>
              <w:t>494</w:t>
            </w:r>
            <w:r w:rsidR="00076432">
              <w:rPr>
                <w:noProof/>
                <w:webHidden/>
              </w:rPr>
              <w:fldChar w:fldCharType="end"/>
            </w:r>
          </w:hyperlink>
        </w:p>
        <w:p w14:paraId="3366913F" w14:textId="4F27DFF3" w:rsidR="00076432" w:rsidRDefault="00500371">
          <w:pPr>
            <w:pStyle w:val="TOC2"/>
            <w:tabs>
              <w:tab w:val="right" w:leader="dot" w:pos="13670"/>
            </w:tabs>
            <w:rPr>
              <w:rFonts w:eastAsiaTheme="minorEastAsia"/>
              <w:noProof/>
            </w:rPr>
          </w:pPr>
          <w:hyperlink w:anchor="_Toc106369880" w:history="1">
            <w:r w:rsidR="00076432" w:rsidRPr="00704760">
              <w:rPr>
                <w:rStyle w:val="Hyperlink"/>
                <w:noProof/>
              </w:rPr>
              <w:t>Osimertinib (Tagrisso)</w:t>
            </w:r>
            <w:r w:rsidR="00076432">
              <w:rPr>
                <w:noProof/>
                <w:webHidden/>
              </w:rPr>
              <w:tab/>
            </w:r>
            <w:r w:rsidR="00076432">
              <w:rPr>
                <w:noProof/>
                <w:webHidden/>
              </w:rPr>
              <w:fldChar w:fldCharType="begin"/>
            </w:r>
            <w:r w:rsidR="00076432">
              <w:rPr>
                <w:noProof/>
                <w:webHidden/>
              </w:rPr>
              <w:instrText xml:space="preserve"> PAGEREF _Toc106369880 \h </w:instrText>
            </w:r>
            <w:r w:rsidR="00076432">
              <w:rPr>
                <w:noProof/>
                <w:webHidden/>
              </w:rPr>
            </w:r>
            <w:r w:rsidR="00076432">
              <w:rPr>
                <w:noProof/>
                <w:webHidden/>
              </w:rPr>
              <w:fldChar w:fldCharType="separate"/>
            </w:r>
            <w:r w:rsidR="00076432">
              <w:rPr>
                <w:noProof/>
                <w:webHidden/>
              </w:rPr>
              <w:t>495</w:t>
            </w:r>
            <w:r w:rsidR="00076432">
              <w:rPr>
                <w:noProof/>
                <w:webHidden/>
              </w:rPr>
              <w:fldChar w:fldCharType="end"/>
            </w:r>
          </w:hyperlink>
        </w:p>
        <w:p w14:paraId="00DEE273" w14:textId="2B90DD61" w:rsidR="00076432" w:rsidRDefault="00500371">
          <w:pPr>
            <w:pStyle w:val="TOC2"/>
            <w:tabs>
              <w:tab w:val="right" w:leader="dot" w:pos="13670"/>
            </w:tabs>
            <w:rPr>
              <w:rFonts w:eastAsiaTheme="minorEastAsia"/>
              <w:noProof/>
            </w:rPr>
          </w:pPr>
          <w:hyperlink w:anchor="_Toc106369881" w:history="1">
            <w:r w:rsidR="00076432" w:rsidRPr="00704760">
              <w:rPr>
                <w:rStyle w:val="Hyperlink"/>
                <w:noProof/>
                <w:lang w:val="es-ES"/>
              </w:rPr>
              <w:t>Oxycodone ER abuse deterrent (Xtampza ER)</w:t>
            </w:r>
            <w:r w:rsidR="00076432">
              <w:rPr>
                <w:noProof/>
                <w:webHidden/>
              </w:rPr>
              <w:tab/>
            </w:r>
            <w:r w:rsidR="00076432">
              <w:rPr>
                <w:noProof/>
                <w:webHidden/>
              </w:rPr>
              <w:fldChar w:fldCharType="begin"/>
            </w:r>
            <w:r w:rsidR="00076432">
              <w:rPr>
                <w:noProof/>
                <w:webHidden/>
              </w:rPr>
              <w:instrText xml:space="preserve"> PAGEREF _Toc106369881 \h </w:instrText>
            </w:r>
            <w:r w:rsidR="00076432">
              <w:rPr>
                <w:noProof/>
                <w:webHidden/>
              </w:rPr>
            </w:r>
            <w:r w:rsidR="00076432">
              <w:rPr>
                <w:noProof/>
                <w:webHidden/>
              </w:rPr>
              <w:fldChar w:fldCharType="separate"/>
            </w:r>
            <w:r w:rsidR="00076432">
              <w:rPr>
                <w:noProof/>
                <w:webHidden/>
              </w:rPr>
              <w:t>497</w:t>
            </w:r>
            <w:r w:rsidR="00076432">
              <w:rPr>
                <w:noProof/>
                <w:webHidden/>
              </w:rPr>
              <w:fldChar w:fldCharType="end"/>
            </w:r>
          </w:hyperlink>
        </w:p>
        <w:p w14:paraId="01A210FA" w14:textId="1313DDEE" w:rsidR="00076432" w:rsidRDefault="00500371">
          <w:pPr>
            <w:pStyle w:val="TOC2"/>
            <w:tabs>
              <w:tab w:val="right" w:leader="dot" w:pos="13670"/>
            </w:tabs>
            <w:rPr>
              <w:rFonts w:eastAsiaTheme="minorEastAsia"/>
              <w:noProof/>
            </w:rPr>
          </w:pPr>
          <w:hyperlink w:anchor="_Toc106369882" w:history="1">
            <w:r w:rsidR="00076432" w:rsidRPr="00704760">
              <w:rPr>
                <w:rStyle w:val="Hyperlink"/>
                <w:noProof/>
              </w:rPr>
              <w:t>Ozanimod (Zeposia)</w:t>
            </w:r>
            <w:r w:rsidR="00076432">
              <w:rPr>
                <w:noProof/>
                <w:webHidden/>
              </w:rPr>
              <w:tab/>
            </w:r>
            <w:r w:rsidR="00076432">
              <w:rPr>
                <w:noProof/>
                <w:webHidden/>
              </w:rPr>
              <w:fldChar w:fldCharType="begin"/>
            </w:r>
            <w:r w:rsidR="00076432">
              <w:rPr>
                <w:noProof/>
                <w:webHidden/>
              </w:rPr>
              <w:instrText xml:space="preserve"> PAGEREF _Toc106369882 \h </w:instrText>
            </w:r>
            <w:r w:rsidR="00076432">
              <w:rPr>
                <w:noProof/>
                <w:webHidden/>
              </w:rPr>
            </w:r>
            <w:r w:rsidR="00076432">
              <w:rPr>
                <w:noProof/>
                <w:webHidden/>
              </w:rPr>
              <w:fldChar w:fldCharType="separate"/>
            </w:r>
            <w:r w:rsidR="00076432">
              <w:rPr>
                <w:noProof/>
                <w:webHidden/>
              </w:rPr>
              <w:t>498</w:t>
            </w:r>
            <w:r w:rsidR="00076432">
              <w:rPr>
                <w:noProof/>
                <w:webHidden/>
              </w:rPr>
              <w:fldChar w:fldCharType="end"/>
            </w:r>
          </w:hyperlink>
        </w:p>
        <w:p w14:paraId="4171E6F7" w14:textId="3C6CBF0D" w:rsidR="00076432" w:rsidRDefault="00500371">
          <w:pPr>
            <w:pStyle w:val="TOC2"/>
            <w:tabs>
              <w:tab w:val="right" w:leader="dot" w:pos="13670"/>
            </w:tabs>
            <w:rPr>
              <w:rFonts w:eastAsiaTheme="minorEastAsia"/>
              <w:noProof/>
            </w:rPr>
          </w:pPr>
          <w:hyperlink w:anchor="_Toc106369883" w:history="1">
            <w:r w:rsidR="00076432" w:rsidRPr="00704760">
              <w:rPr>
                <w:rStyle w:val="Hyperlink"/>
                <w:noProof/>
              </w:rPr>
              <w:t>Pacritinib (Vonjo)</w:t>
            </w:r>
            <w:r w:rsidR="00076432">
              <w:rPr>
                <w:noProof/>
                <w:webHidden/>
              </w:rPr>
              <w:tab/>
            </w:r>
            <w:r w:rsidR="00076432">
              <w:rPr>
                <w:noProof/>
                <w:webHidden/>
              </w:rPr>
              <w:fldChar w:fldCharType="begin"/>
            </w:r>
            <w:r w:rsidR="00076432">
              <w:rPr>
                <w:noProof/>
                <w:webHidden/>
              </w:rPr>
              <w:instrText xml:space="preserve"> PAGEREF _Toc106369883 \h </w:instrText>
            </w:r>
            <w:r w:rsidR="00076432">
              <w:rPr>
                <w:noProof/>
                <w:webHidden/>
              </w:rPr>
            </w:r>
            <w:r w:rsidR="00076432">
              <w:rPr>
                <w:noProof/>
                <w:webHidden/>
              </w:rPr>
              <w:fldChar w:fldCharType="separate"/>
            </w:r>
            <w:r w:rsidR="00076432">
              <w:rPr>
                <w:noProof/>
                <w:webHidden/>
              </w:rPr>
              <w:t>499</w:t>
            </w:r>
            <w:r w:rsidR="00076432">
              <w:rPr>
                <w:noProof/>
                <w:webHidden/>
              </w:rPr>
              <w:fldChar w:fldCharType="end"/>
            </w:r>
          </w:hyperlink>
        </w:p>
        <w:p w14:paraId="49B67425" w14:textId="41F91682" w:rsidR="00076432" w:rsidRDefault="00500371">
          <w:pPr>
            <w:pStyle w:val="TOC2"/>
            <w:tabs>
              <w:tab w:val="right" w:leader="dot" w:pos="13670"/>
            </w:tabs>
            <w:rPr>
              <w:rFonts w:eastAsiaTheme="minorEastAsia"/>
              <w:noProof/>
            </w:rPr>
          </w:pPr>
          <w:hyperlink w:anchor="_Toc106369884" w:history="1">
            <w:r w:rsidR="00076432" w:rsidRPr="00704760">
              <w:rPr>
                <w:rStyle w:val="Hyperlink"/>
                <w:noProof/>
              </w:rPr>
              <w:t>Ibrance (Palbociclib)</w:t>
            </w:r>
            <w:r w:rsidR="00076432">
              <w:rPr>
                <w:noProof/>
                <w:webHidden/>
              </w:rPr>
              <w:tab/>
            </w:r>
            <w:r w:rsidR="00076432">
              <w:rPr>
                <w:noProof/>
                <w:webHidden/>
              </w:rPr>
              <w:fldChar w:fldCharType="begin"/>
            </w:r>
            <w:r w:rsidR="00076432">
              <w:rPr>
                <w:noProof/>
                <w:webHidden/>
              </w:rPr>
              <w:instrText xml:space="preserve"> PAGEREF _Toc106369884 \h </w:instrText>
            </w:r>
            <w:r w:rsidR="00076432">
              <w:rPr>
                <w:noProof/>
                <w:webHidden/>
              </w:rPr>
            </w:r>
            <w:r w:rsidR="00076432">
              <w:rPr>
                <w:noProof/>
                <w:webHidden/>
              </w:rPr>
              <w:fldChar w:fldCharType="separate"/>
            </w:r>
            <w:r w:rsidR="00076432">
              <w:rPr>
                <w:noProof/>
                <w:webHidden/>
              </w:rPr>
              <w:t>501</w:t>
            </w:r>
            <w:r w:rsidR="00076432">
              <w:rPr>
                <w:noProof/>
                <w:webHidden/>
              </w:rPr>
              <w:fldChar w:fldCharType="end"/>
            </w:r>
          </w:hyperlink>
        </w:p>
        <w:p w14:paraId="77929BEF" w14:textId="3B4EEB1B" w:rsidR="00076432" w:rsidRDefault="00500371">
          <w:pPr>
            <w:pStyle w:val="TOC2"/>
            <w:tabs>
              <w:tab w:val="right" w:leader="dot" w:pos="13670"/>
            </w:tabs>
            <w:rPr>
              <w:rFonts w:eastAsiaTheme="minorEastAsia"/>
              <w:noProof/>
            </w:rPr>
          </w:pPr>
          <w:hyperlink w:anchor="_Toc106369885" w:history="1">
            <w:r w:rsidR="00076432" w:rsidRPr="00704760">
              <w:rPr>
                <w:rStyle w:val="Hyperlink"/>
                <w:noProof/>
              </w:rPr>
              <w:t>Paliperidone Extended Release 1-month injection (Invega Sustenna)</w:t>
            </w:r>
            <w:r w:rsidR="00076432">
              <w:rPr>
                <w:noProof/>
                <w:webHidden/>
              </w:rPr>
              <w:tab/>
            </w:r>
            <w:r w:rsidR="00076432">
              <w:rPr>
                <w:noProof/>
                <w:webHidden/>
              </w:rPr>
              <w:fldChar w:fldCharType="begin"/>
            </w:r>
            <w:r w:rsidR="00076432">
              <w:rPr>
                <w:noProof/>
                <w:webHidden/>
              </w:rPr>
              <w:instrText xml:space="preserve"> PAGEREF _Toc106369885 \h </w:instrText>
            </w:r>
            <w:r w:rsidR="00076432">
              <w:rPr>
                <w:noProof/>
                <w:webHidden/>
              </w:rPr>
            </w:r>
            <w:r w:rsidR="00076432">
              <w:rPr>
                <w:noProof/>
                <w:webHidden/>
              </w:rPr>
              <w:fldChar w:fldCharType="separate"/>
            </w:r>
            <w:r w:rsidR="00076432">
              <w:rPr>
                <w:noProof/>
                <w:webHidden/>
              </w:rPr>
              <w:t>506</w:t>
            </w:r>
            <w:r w:rsidR="00076432">
              <w:rPr>
                <w:noProof/>
                <w:webHidden/>
              </w:rPr>
              <w:fldChar w:fldCharType="end"/>
            </w:r>
          </w:hyperlink>
        </w:p>
        <w:p w14:paraId="4E7520A0" w14:textId="0E1026FB" w:rsidR="00076432" w:rsidRDefault="00500371">
          <w:pPr>
            <w:pStyle w:val="TOC2"/>
            <w:tabs>
              <w:tab w:val="right" w:leader="dot" w:pos="13670"/>
            </w:tabs>
            <w:rPr>
              <w:rFonts w:eastAsiaTheme="minorEastAsia"/>
              <w:noProof/>
            </w:rPr>
          </w:pPr>
          <w:hyperlink w:anchor="_Toc106369886" w:history="1">
            <w:r w:rsidR="00076432" w:rsidRPr="00704760">
              <w:rPr>
                <w:rStyle w:val="Hyperlink"/>
                <w:noProof/>
              </w:rPr>
              <w:t>Paliperidone Extended Release ORAL tablets (Invega ER oral)</w:t>
            </w:r>
            <w:r w:rsidR="00076432">
              <w:rPr>
                <w:noProof/>
                <w:webHidden/>
              </w:rPr>
              <w:tab/>
            </w:r>
            <w:r w:rsidR="00076432">
              <w:rPr>
                <w:noProof/>
                <w:webHidden/>
              </w:rPr>
              <w:fldChar w:fldCharType="begin"/>
            </w:r>
            <w:r w:rsidR="00076432">
              <w:rPr>
                <w:noProof/>
                <w:webHidden/>
              </w:rPr>
              <w:instrText xml:space="preserve"> PAGEREF _Toc106369886 \h </w:instrText>
            </w:r>
            <w:r w:rsidR="00076432">
              <w:rPr>
                <w:noProof/>
                <w:webHidden/>
              </w:rPr>
            </w:r>
            <w:r w:rsidR="00076432">
              <w:rPr>
                <w:noProof/>
                <w:webHidden/>
              </w:rPr>
              <w:fldChar w:fldCharType="separate"/>
            </w:r>
            <w:r w:rsidR="00076432">
              <w:rPr>
                <w:noProof/>
                <w:webHidden/>
              </w:rPr>
              <w:t>507</w:t>
            </w:r>
            <w:r w:rsidR="00076432">
              <w:rPr>
                <w:noProof/>
                <w:webHidden/>
              </w:rPr>
              <w:fldChar w:fldCharType="end"/>
            </w:r>
          </w:hyperlink>
        </w:p>
        <w:p w14:paraId="7E717D40" w14:textId="7A05A2F1" w:rsidR="00076432" w:rsidRDefault="00500371">
          <w:pPr>
            <w:pStyle w:val="TOC2"/>
            <w:tabs>
              <w:tab w:val="right" w:leader="dot" w:pos="13670"/>
            </w:tabs>
            <w:rPr>
              <w:rFonts w:eastAsiaTheme="minorEastAsia"/>
              <w:noProof/>
            </w:rPr>
          </w:pPr>
          <w:hyperlink w:anchor="_Toc106369887" w:history="1">
            <w:r w:rsidR="00076432" w:rsidRPr="00704760">
              <w:rPr>
                <w:rStyle w:val="Hyperlink"/>
                <w:noProof/>
              </w:rPr>
              <w:t>Paliperidone Palmitate Extended Release 3-month injection (Invega Trinza)</w:t>
            </w:r>
            <w:r w:rsidR="00076432">
              <w:rPr>
                <w:noProof/>
                <w:webHidden/>
              </w:rPr>
              <w:tab/>
            </w:r>
            <w:r w:rsidR="00076432">
              <w:rPr>
                <w:noProof/>
                <w:webHidden/>
              </w:rPr>
              <w:fldChar w:fldCharType="begin"/>
            </w:r>
            <w:r w:rsidR="00076432">
              <w:rPr>
                <w:noProof/>
                <w:webHidden/>
              </w:rPr>
              <w:instrText xml:space="preserve"> PAGEREF _Toc106369887 \h </w:instrText>
            </w:r>
            <w:r w:rsidR="00076432">
              <w:rPr>
                <w:noProof/>
                <w:webHidden/>
              </w:rPr>
            </w:r>
            <w:r w:rsidR="00076432">
              <w:rPr>
                <w:noProof/>
                <w:webHidden/>
              </w:rPr>
              <w:fldChar w:fldCharType="separate"/>
            </w:r>
            <w:r w:rsidR="00076432">
              <w:rPr>
                <w:noProof/>
                <w:webHidden/>
              </w:rPr>
              <w:t>509</w:t>
            </w:r>
            <w:r w:rsidR="00076432">
              <w:rPr>
                <w:noProof/>
                <w:webHidden/>
              </w:rPr>
              <w:fldChar w:fldCharType="end"/>
            </w:r>
          </w:hyperlink>
        </w:p>
        <w:p w14:paraId="62DF0C5D" w14:textId="7A2D897A" w:rsidR="00076432" w:rsidRDefault="00500371">
          <w:pPr>
            <w:pStyle w:val="TOC2"/>
            <w:tabs>
              <w:tab w:val="right" w:leader="dot" w:pos="13670"/>
            </w:tabs>
            <w:rPr>
              <w:rFonts w:eastAsiaTheme="minorEastAsia"/>
              <w:noProof/>
            </w:rPr>
          </w:pPr>
          <w:hyperlink w:anchor="_Toc106369888" w:history="1">
            <w:r w:rsidR="00076432" w:rsidRPr="00704760">
              <w:rPr>
                <w:rStyle w:val="Hyperlink"/>
                <w:noProof/>
              </w:rPr>
              <w:t>Palvizumab (Synagis</w:t>
            </w:r>
            <w:r w:rsidR="00076432" w:rsidRPr="00704760">
              <w:rPr>
                <w:rStyle w:val="Hyperlink"/>
                <w:rFonts w:eastAsia="Batang"/>
                <w:bCs/>
                <w:noProof/>
                <w:lang w:eastAsia="ko-KR"/>
              </w:rPr>
              <w:t>®</w:t>
            </w:r>
            <w:r w:rsidR="00076432" w:rsidRPr="00704760">
              <w:rPr>
                <w:rStyle w:val="Hyperlink"/>
                <w:noProof/>
              </w:rPr>
              <w:t>)</w:t>
            </w:r>
            <w:r w:rsidR="00076432">
              <w:rPr>
                <w:noProof/>
                <w:webHidden/>
              </w:rPr>
              <w:tab/>
            </w:r>
            <w:r w:rsidR="00076432">
              <w:rPr>
                <w:noProof/>
                <w:webHidden/>
              </w:rPr>
              <w:fldChar w:fldCharType="begin"/>
            </w:r>
            <w:r w:rsidR="00076432">
              <w:rPr>
                <w:noProof/>
                <w:webHidden/>
              </w:rPr>
              <w:instrText xml:space="preserve"> PAGEREF _Toc106369888 \h </w:instrText>
            </w:r>
            <w:r w:rsidR="00076432">
              <w:rPr>
                <w:noProof/>
                <w:webHidden/>
              </w:rPr>
            </w:r>
            <w:r w:rsidR="00076432">
              <w:rPr>
                <w:noProof/>
                <w:webHidden/>
              </w:rPr>
              <w:fldChar w:fldCharType="separate"/>
            </w:r>
            <w:r w:rsidR="00076432">
              <w:rPr>
                <w:noProof/>
                <w:webHidden/>
              </w:rPr>
              <w:t>510</w:t>
            </w:r>
            <w:r w:rsidR="00076432">
              <w:rPr>
                <w:noProof/>
                <w:webHidden/>
              </w:rPr>
              <w:fldChar w:fldCharType="end"/>
            </w:r>
          </w:hyperlink>
        </w:p>
        <w:p w14:paraId="21EA3F67" w14:textId="1430D430" w:rsidR="00076432" w:rsidRDefault="00500371">
          <w:pPr>
            <w:pStyle w:val="TOC2"/>
            <w:tabs>
              <w:tab w:val="right" w:leader="dot" w:pos="13670"/>
            </w:tabs>
            <w:rPr>
              <w:rFonts w:eastAsiaTheme="minorEastAsia"/>
              <w:noProof/>
            </w:rPr>
          </w:pPr>
          <w:hyperlink w:anchor="_Toc106369889" w:history="1">
            <w:r w:rsidR="00076432" w:rsidRPr="00704760">
              <w:rPr>
                <w:rStyle w:val="Hyperlink"/>
                <w:noProof/>
              </w:rPr>
              <w:t>Panitumumab (Vectibix®)</w:t>
            </w:r>
            <w:r w:rsidR="00076432">
              <w:rPr>
                <w:noProof/>
                <w:webHidden/>
              </w:rPr>
              <w:tab/>
            </w:r>
            <w:r w:rsidR="00076432">
              <w:rPr>
                <w:noProof/>
                <w:webHidden/>
              </w:rPr>
              <w:fldChar w:fldCharType="begin"/>
            </w:r>
            <w:r w:rsidR="00076432">
              <w:rPr>
                <w:noProof/>
                <w:webHidden/>
              </w:rPr>
              <w:instrText xml:space="preserve"> PAGEREF _Toc106369889 \h </w:instrText>
            </w:r>
            <w:r w:rsidR="00076432">
              <w:rPr>
                <w:noProof/>
                <w:webHidden/>
              </w:rPr>
            </w:r>
            <w:r w:rsidR="00076432">
              <w:rPr>
                <w:noProof/>
                <w:webHidden/>
              </w:rPr>
              <w:fldChar w:fldCharType="separate"/>
            </w:r>
            <w:r w:rsidR="00076432">
              <w:rPr>
                <w:noProof/>
                <w:webHidden/>
              </w:rPr>
              <w:t>514</w:t>
            </w:r>
            <w:r w:rsidR="00076432">
              <w:rPr>
                <w:noProof/>
                <w:webHidden/>
              </w:rPr>
              <w:fldChar w:fldCharType="end"/>
            </w:r>
          </w:hyperlink>
        </w:p>
        <w:p w14:paraId="328F104F" w14:textId="1D91DED5" w:rsidR="00076432" w:rsidRDefault="00500371">
          <w:pPr>
            <w:pStyle w:val="TOC2"/>
            <w:tabs>
              <w:tab w:val="right" w:leader="dot" w:pos="13670"/>
            </w:tabs>
            <w:rPr>
              <w:rFonts w:eastAsiaTheme="minorEastAsia"/>
              <w:noProof/>
            </w:rPr>
          </w:pPr>
          <w:hyperlink w:anchor="_Toc106369890" w:history="1">
            <w:r w:rsidR="00076432" w:rsidRPr="00704760">
              <w:rPr>
                <w:rStyle w:val="Hyperlink"/>
                <w:noProof/>
              </w:rPr>
              <w:t>Pasireotide (Signifor and Signifor LAR) injection</w:t>
            </w:r>
            <w:r w:rsidR="00076432">
              <w:rPr>
                <w:noProof/>
                <w:webHidden/>
              </w:rPr>
              <w:tab/>
            </w:r>
            <w:r w:rsidR="00076432">
              <w:rPr>
                <w:noProof/>
                <w:webHidden/>
              </w:rPr>
              <w:fldChar w:fldCharType="begin"/>
            </w:r>
            <w:r w:rsidR="00076432">
              <w:rPr>
                <w:noProof/>
                <w:webHidden/>
              </w:rPr>
              <w:instrText xml:space="preserve"> PAGEREF _Toc106369890 \h </w:instrText>
            </w:r>
            <w:r w:rsidR="00076432">
              <w:rPr>
                <w:noProof/>
                <w:webHidden/>
              </w:rPr>
            </w:r>
            <w:r w:rsidR="00076432">
              <w:rPr>
                <w:noProof/>
                <w:webHidden/>
              </w:rPr>
              <w:fldChar w:fldCharType="separate"/>
            </w:r>
            <w:r w:rsidR="00076432">
              <w:rPr>
                <w:noProof/>
                <w:webHidden/>
              </w:rPr>
              <w:t>518</w:t>
            </w:r>
            <w:r w:rsidR="00076432">
              <w:rPr>
                <w:noProof/>
                <w:webHidden/>
              </w:rPr>
              <w:fldChar w:fldCharType="end"/>
            </w:r>
          </w:hyperlink>
        </w:p>
        <w:p w14:paraId="357181E3" w14:textId="043A92A1" w:rsidR="00076432" w:rsidRDefault="00500371">
          <w:pPr>
            <w:pStyle w:val="TOC2"/>
            <w:tabs>
              <w:tab w:val="right" w:leader="dot" w:pos="13670"/>
            </w:tabs>
            <w:rPr>
              <w:rFonts w:eastAsiaTheme="minorEastAsia"/>
              <w:noProof/>
            </w:rPr>
          </w:pPr>
          <w:hyperlink w:anchor="_Toc106369891" w:history="1">
            <w:r w:rsidR="00076432" w:rsidRPr="00704760">
              <w:rPr>
                <w:rStyle w:val="Hyperlink"/>
                <w:noProof/>
              </w:rPr>
              <w:t>Pazopanib (Votrient®)</w:t>
            </w:r>
            <w:r w:rsidR="00076432">
              <w:rPr>
                <w:noProof/>
                <w:webHidden/>
              </w:rPr>
              <w:tab/>
            </w:r>
            <w:r w:rsidR="00076432">
              <w:rPr>
                <w:noProof/>
                <w:webHidden/>
              </w:rPr>
              <w:fldChar w:fldCharType="begin"/>
            </w:r>
            <w:r w:rsidR="00076432">
              <w:rPr>
                <w:noProof/>
                <w:webHidden/>
              </w:rPr>
              <w:instrText xml:space="preserve"> PAGEREF _Toc106369891 \h </w:instrText>
            </w:r>
            <w:r w:rsidR="00076432">
              <w:rPr>
                <w:noProof/>
                <w:webHidden/>
              </w:rPr>
            </w:r>
            <w:r w:rsidR="00076432">
              <w:rPr>
                <w:noProof/>
                <w:webHidden/>
              </w:rPr>
              <w:fldChar w:fldCharType="separate"/>
            </w:r>
            <w:r w:rsidR="00076432">
              <w:rPr>
                <w:noProof/>
                <w:webHidden/>
              </w:rPr>
              <w:t>519</w:t>
            </w:r>
            <w:r w:rsidR="00076432">
              <w:rPr>
                <w:noProof/>
                <w:webHidden/>
              </w:rPr>
              <w:fldChar w:fldCharType="end"/>
            </w:r>
          </w:hyperlink>
        </w:p>
        <w:p w14:paraId="5E90BD7A" w14:textId="5BC3C6D1" w:rsidR="00076432" w:rsidRDefault="00500371">
          <w:pPr>
            <w:pStyle w:val="TOC2"/>
            <w:tabs>
              <w:tab w:val="right" w:leader="dot" w:pos="13670"/>
            </w:tabs>
            <w:rPr>
              <w:rFonts w:eastAsiaTheme="minorEastAsia"/>
              <w:noProof/>
            </w:rPr>
          </w:pPr>
          <w:hyperlink w:anchor="_Toc106369892" w:history="1">
            <w:r w:rsidR="00076432" w:rsidRPr="00704760">
              <w:rPr>
                <w:rStyle w:val="Hyperlink"/>
                <w:noProof/>
              </w:rPr>
              <w:t>Peginterferon alfa 2a (Pegasys)</w:t>
            </w:r>
            <w:r w:rsidR="00076432">
              <w:rPr>
                <w:noProof/>
                <w:webHidden/>
              </w:rPr>
              <w:tab/>
            </w:r>
            <w:r w:rsidR="00076432">
              <w:rPr>
                <w:noProof/>
                <w:webHidden/>
              </w:rPr>
              <w:fldChar w:fldCharType="begin"/>
            </w:r>
            <w:r w:rsidR="00076432">
              <w:rPr>
                <w:noProof/>
                <w:webHidden/>
              </w:rPr>
              <w:instrText xml:space="preserve"> PAGEREF _Toc106369892 \h </w:instrText>
            </w:r>
            <w:r w:rsidR="00076432">
              <w:rPr>
                <w:noProof/>
                <w:webHidden/>
              </w:rPr>
            </w:r>
            <w:r w:rsidR="00076432">
              <w:rPr>
                <w:noProof/>
                <w:webHidden/>
              </w:rPr>
              <w:fldChar w:fldCharType="separate"/>
            </w:r>
            <w:r w:rsidR="00076432">
              <w:rPr>
                <w:noProof/>
                <w:webHidden/>
              </w:rPr>
              <w:t>522</w:t>
            </w:r>
            <w:r w:rsidR="00076432">
              <w:rPr>
                <w:noProof/>
                <w:webHidden/>
              </w:rPr>
              <w:fldChar w:fldCharType="end"/>
            </w:r>
          </w:hyperlink>
        </w:p>
        <w:p w14:paraId="71C1CD41" w14:textId="54797B4D" w:rsidR="00076432" w:rsidRDefault="00500371">
          <w:pPr>
            <w:pStyle w:val="TOC2"/>
            <w:tabs>
              <w:tab w:val="right" w:leader="dot" w:pos="13670"/>
            </w:tabs>
            <w:rPr>
              <w:rFonts w:eastAsiaTheme="minorEastAsia"/>
              <w:noProof/>
            </w:rPr>
          </w:pPr>
          <w:hyperlink w:anchor="_Toc106369893" w:history="1">
            <w:r w:rsidR="00076432" w:rsidRPr="00704760">
              <w:rPr>
                <w:rStyle w:val="Hyperlink"/>
                <w:noProof/>
              </w:rPr>
              <w:t>Peginterferon beta 1a (Plegridy)</w:t>
            </w:r>
            <w:r w:rsidR="00076432">
              <w:rPr>
                <w:noProof/>
                <w:webHidden/>
              </w:rPr>
              <w:tab/>
            </w:r>
            <w:r w:rsidR="00076432">
              <w:rPr>
                <w:noProof/>
                <w:webHidden/>
              </w:rPr>
              <w:fldChar w:fldCharType="begin"/>
            </w:r>
            <w:r w:rsidR="00076432">
              <w:rPr>
                <w:noProof/>
                <w:webHidden/>
              </w:rPr>
              <w:instrText xml:space="preserve"> PAGEREF _Toc106369893 \h </w:instrText>
            </w:r>
            <w:r w:rsidR="00076432">
              <w:rPr>
                <w:noProof/>
                <w:webHidden/>
              </w:rPr>
            </w:r>
            <w:r w:rsidR="00076432">
              <w:rPr>
                <w:noProof/>
                <w:webHidden/>
              </w:rPr>
              <w:fldChar w:fldCharType="separate"/>
            </w:r>
            <w:r w:rsidR="00076432">
              <w:rPr>
                <w:noProof/>
                <w:webHidden/>
              </w:rPr>
              <w:t>523</w:t>
            </w:r>
            <w:r w:rsidR="00076432">
              <w:rPr>
                <w:noProof/>
                <w:webHidden/>
              </w:rPr>
              <w:fldChar w:fldCharType="end"/>
            </w:r>
          </w:hyperlink>
        </w:p>
        <w:p w14:paraId="32EC31F2" w14:textId="23B5A74B" w:rsidR="00076432" w:rsidRDefault="00500371">
          <w:pPr>
            <w:pStyle w:val="TOC2"/>
            <w:tabs>
              <w:tab w:val="right" w:leader="dot" w:pos="13670"/>
            </w:tabs>
            <w:rPr>
              <w:rFonts w:eastAsiaTheme="minorEastAsia"/>
              <w:noProof/>
            </w:rPr>
          </w:pPr>
          <w:hyperlink w:anchor="_Toc106369894" w:history="1">
            <w:r w:rsidR="00076432" w:rsidRPr="00704760">
              <w:rPr>
                <w:rStyle w:val="Hyperlink"/>
                <w:noProof/>
              </w:rPr>
              <w:t>Pegvisomant (Somavert)</w:t>
            </w:r>
            <w:r w:rsidR="00076432">
              <w:rPr>
                <w:noProof/>
                <w:webHidden/>
              </w:rPr>
              <w:tab/>
            </w:r>
            <w:r w:rsidR="00076432">
              <w:rPr>
                <w:noProof/>
                <w:webHidden/>
              </w:rPr>
              <w:fldChar w:fldCharType="begin"/>
            </w:r>
            <w:r w:rsidR="00076432">
              <w:rPr>
                <w:noProof/>
                <w:webHidden/>
              </w:rPr>
              <w:instrText xml:space="preserve"> PAGEREF _Toc106369894 \h </w:instrText>
            </w:r>
            <w:r w:rsidR="00076432">
              <w:rPr>
                <w:noProof/>
                <w:webHidden/>
              </w:rPr>
            </w:r>
            <w:r w:rsidR="00076432">
              <w:rPr>
                <w:noProof/>
                <w:webHidden/>
              </w:rPr>
              <w:fldChar w:fldCharType="separate"/>
            </w:r>
            <w:r w:rsidR="00076432">
              <w:rPr>
                <w:noProof/>
                <w:webHidden/>
              </w:rPr>
              <w:t>525</w:t>
            </w:r>
            <w:r w:rsidR="00076432">
              <w:rPr>
                <w:noProof/>
                <w:webHidden/>
              </w:rPr>
              <w:fldChar w:fldCharType="end"/>
            </w:r>
          </w:hyperlink>
        </w:p>
        <w:p w14:paraId="2A44EA28" w14:textId="1338F46C" w:rsidR="00076432" w:rsidRDefault="00500371">
          <w:pPr>
            <w:pStyle w:val="TOC2"/>
            <w:tabs>
              <w:tab w:val="right" w:leader="dot" w:pos="13670"/>
            </w:tabs>
            <w:rPr>
              <w:rFonts w:eastAsiaTheme="minorEastAsia"/>
              <w:noProof/>
            </w:rPr>
          </w:pPr>
          <w:hyperlink w:anchor="_Toc106369895" w:history="1">
            <w:r w:rsidR="00076432" w:rsidRPr="00704760">
              <w:rPr>
                <w:rStyle w:val="Hyperlink"/>
                <w:noProof/>
              </w:rPr>
              <w:t>Pembrolizumab (Keytruda)</w:t>
            </w:r>
            <w:r w:rsidR="00076432">
              <w:rPr>
                <w:noProof/>
                <w:webHidden/>
              </w:rPr>
              <w:tab/>
            </w:r>
            <w:r w:rsidR="00076432">
              <w:rPr>
                <w:noProof/>
                <w:webHidden/>
              </w:rPr>
              <w:fldChar w:fldCharType="begin"/>
            </w:r>
            <w:r w:rsidR="00076432">
              <w:rPr>
                <w:noProof/>
                <w:webHidden/>
              </w:rPr>
              <w:instrText xml:space="preserve"> PAGEREF _Toc106369895 \h </w:instrText>
            </w:r>
            <w:r w:rsidR="00076432">
              <w:rPr>
                <w:noProof/>
                <w:webHidden/>
              </w:rPr>
            </w:r>
            <w:r w:rsidR="00076432">
              <w:rPr>
                <w:noProof/>
                <w:webHidden/>
              </w:rPr>
              <w:fldChar w:fldCharType="separate"/>
            </w:r>
            <w:r w:rsidR="00076432">
              <w:rPr>
                <w:noProof/>
                <w:webHidden/>
              </w:rPr>
              <w:t>526</w:t>
            </w:r>
            <w:r w:rsidR="00076432">
              <w:rPr>
                <w:noProof/>
                <w:webHidden/>
              </w:rPr>
              <w:fldChar w:fldCharType="end"/>
            </w:r>
          </w:hyperlink>
        </w:p>
        <w:p w14:paraId="30D7C0D2" w14:textId="1FCF01F0" w:rsidR="00076432" w:rsidRDefault="00500371">
          <w:pPr>
            <w:pStyle w:val="TOC2"/>
            <w:tabs>
              <w:tab w:val="right" w:leader="dot" w:pos="13670"/>
            </w:tabs>
            <w:rPr>
              <w:rFonts w:eastAsiaTheme="minorEastAsia"/>
              <w:noProof/>
            </w:rPr>
          </w:pPr>
          <w:hyperlink w:anchor="_Toc106369896" w:history="1">
            <w:r w:rsidR="00076432" w:rsidRPr="00704760">
              <w:rPr>
                <w:rStyle w:val="Hyperlink"/>
                <w:noProof/>
              </w:rPr>
              <w:t>Penicillamine (Depen Titratabs)</w:t>
            </w:r>
            <w:r w:rsidR="00076432">
              <w:rPr>
                <w:noProof/>
                <w:webHidden/>
              </w:rPr>
              <w:tab/>
            </w:r>
            <w:r w:rsidR="00076432">
              <w:rPr>
                <w:noProof/>
                <w:webHidden/>
              </w:rPr>
              <w:fldChar w:fldCharType="begin"/>
            </w:r>
            <w:r w:rsidR="00076432">
              <w:rPr>
                <w:noProof/>
                <w:webHidden/>
              </w:rPr>
              <w:instrText xml:space="preserve"> PAGEREF _Toc106369896 \h </w:instrText>
            </w:r>
            <w:r w:rsidR="00076432">
              <w:rPr>
                <w:noProof/>
                <w:webHidden/>
              </w:rPr>
            </w:r>
            <w:r w:rsidR="00076432">
              <w:rPr>
                <w:noProof/>
                <w:webHidden/>
              </w:rPr>
              <w:fldChar w:fldCharType="separate"/>
            </w:r>
            <w:r w:rsidR="00076432">
              <w:rPr>
                <w:noProof/>
                <w:webHidden/>
              </w:rPr>
              <w:t>552</w:t>
            </w:r>
            <w:r w:rsidR="00076432">
              <w:rPr>
                <w:noProof/>
                <w:webHidden/>
              </w:rPr>
              <w:fldChar w:fldCharType="end"/>
            </w:r>
          </w:hyperlink>
        </w:p>
        <w:p w14:paraId="600D0C48" w14:textId="256DE785" w:rsidR="00076432" w:rsidRDefault="00500371">
          <w:pPr>
            <w:pStyle w:val="TOC2"/>
            <w:tabs>
              <w:tab w:val="right" w:leader="dot" w:pos="13670"/>
            </w:tabs>
            <w:rPr>
              <w:rFonts w:eastAsiaTheme="minorEastAsia"/>
              <w:noProof/>
            </w:rPr>
          </w:pPr>
          <w:hyperlink w:anchor="_Toc106369897" w:history="1">
            <w:r w:rsidR="00076432" w:rsidRPr="00704760">
              <w:rPr>
                <w:rStyle w:val="Hyperlink"/>
                <w:noProof/>
                <w:lang w:val="es-ES"/>
              </w:rPr>
              <w:t>Pertuzumab (Perjeta)</w:t>
            </w:r>
            <w:r w:rsidR="00076432">
              <w:rPr>
                <w:noProof/>
                <w:webHidden/>
              </w:rPr>
              <w:tab/>
            </w:r>
            <w:r w:rsidR="00076432">
              <w:rPr>
                <w:noProof/>
                <w:webHidden/>
              </w:rPr>
              <w:fldChar w:fldCharType="begin"/>
            </w:r>
            <w:r w:rsidR="00076432">
              <w:rPr>
                <w:noProof/>
                <w:webHidden/>
              </w:rPr>
              <w:instrText xml:space="preserve"> PAGEREF _Toc106369897 \h </w:instrText>
            </w:r>
            <w:r w:rsidR="00076432">
              <w:rPr>
                <w:noProof/>
                <w:webHidden/>
              </w:rPr>
            </w:r>
            <w:r w:rsidR="00076432">
              <w:rPr>
                <w:noProof/>
                <w:webHidden/>
              </w:rPr>
              <w:fldChar w:fldCharType="separate"/>
            </w:r>
            <w:r w:rsidR="00076432">
              <w:rPr>
                <w:noProof/>
                <w:webHidden/>
              </w:rPr>
              <w:t>555</w:t>
            </w:r>
            <w:r w:rsidR="00076432">
              <w:rPr>
                <w:noProof/>
                <w:webHidden/>
              </w:rPr>
              <w:fldChar w:fldCharType="end"/>
            </w:r>
          </w:hyperlink>
        </w:p>
        <w:p w14:paraId="6F9D17BF" w14:textId="1C7CFE9F" w:rsidR="00076432" w:rsidRDefault="00500371">
          <w:pPr>
            <w:pStyle w:val="TOC2"/>
            <w:tabs>
              <w:tab w:val="right" w:leader="dot" w:pos="13670"/>
            </w:tabs>
            <w:rPr>
              <w:rFonts w:eastAsiaTheme="minorEastAsia"/>
              <w:noProof/>
            </w:rPr>
          </w:pPr>
          <w:hyperlink w:anchor="_Toc106369898" w:history="1">
            <w:r w:rsidR="00076432" w:rsidRPr="00704760">
              <w:rPr>
                <w:rStyle w:val="Hyperlink"/>
                <w:noProof/>
              </w:rPr>
              <w:t>Pimavanserin (Nuplazid)</w:t>
            </w:r>
            <w:r w:rsidR="00076432">
              <w:rPr>
                <w:noProof/>
                <w:webHidden/>
              </w:rPr>
              <w:tab/>
            </w:r>
            <w:r w:rsidR="00076432">
              <w:rPr>
                <w:noProof/>
                <w:webHidden/>
              </w:rPr>
              <w:fldChar w:fldCharType="begin"/>
            </w:r>
            <w:r w:rsidR="00076432">
              <w:rPr>
                <w:noProof/>
                <w:webHidden/>
              </w:rPr>
              <w:instrText xml:space="preserve"> PAGEREF _Toc106369898 \h </w:instrText>
            </w:r>
            <w:r w:rsidR="00076432">
              <w:rPr>
                <w:noProof/>
                <w:webHidden/>
              </w:rPr>
            </w:r>
            <w:r w:rsidR="00076432">
              <w:rPr>
                <w:noProof/>
                <w:webHidden/>
              </w:rPr>
              <w:fldChar w:fldCharType="separate"/>
            </w:r>
            <w:r w:rsidR="00076432">
              <w:rPr>
                <w:noProof/>
                <w:webHidden/>
              </w:rPr>
              <w:t>560</w:t>
            </w:r>
            <w:r w:rsidR="00076432">
              <w:rPr>
                <w:noProof/>
                <w:webHidden/>
              </w:rPr>
              <w:fldChar w:fldCharType="end"/>
            </w:r>
          </w:hyperlink>
        </w:p>
        <w:p w14:paraId="78A4E24F" w14:textId="2B574C7B" w:rsidR="00076432" w:rsidRDefault="00500371">
          <w:pPr>
            <w:pStyle w:val="TOC2"/>
            <w:tabs>
              <w:tab w:val="right" w:leader="dot" w:pos="13670"/>
            </w:tabs>
            <w:rPr>
              <w:rFonts w:eastAsiaTheme="minorEastAsia"/>
              <w:noProof/>
            </w:rPr>
          </w:pPr>
          <w:hyperlink w:anchor="_Toc106369899" w:history="1">
            <w:r w:rsidR="00076432" w:rsidRPr="00704760">
              <w:rPr>
                <w:rStyle w:val="Hyperlink"/>
                <w:noProof/>
              </w:rPr>
              <w:t>Pirfenidone (Esbriet)</w:t>
            </w:r>
            <w:r w:rsidR="00076432">
              <w:rPr>
                <w:noProof/>
                <w:webHidden/>
              </w:rPr>
              <w:tab/>
            </w:r>
            <w:r w:rsidR="00076432">
              <w:rPr>
                <w:noProof/>
                <w:webHidden/>
              </w:rPr>
              <w:fldChar w:fldCharType="begin"/>
            </w:r>
            <w:r w:rsidR="00076432">
              <w:rPr>
                <w:noProof/>
                <w:webHidden/>
              </w:rPr>
              <w:instrText xml:space="preserve"> PAGEREF _Toc106369899 \h </w:instrText>
            </w:r>
            <w:r w:rsidR="00076432">
              <w:rPr>
                <w:noProof/>
                <w:webHidden/>
              </w:rPr>
            </w:r>
            <w:r w:rsidR="00076432">
              <w:rPr>
                <w:noProof/>
                <w:webHidden/>
              </w:rPr>
              <w:fldChar w:fldCharType="separate"/>
            </w:r>
            <w:r w:rsidR="00076432">
              <w:rPr>
                <w:noProof/>
                <w:webHidden/>
              </w:rPr>
              <w:t>562</w:t>
            </w:r>
            <w:r w:rsidR="00076432">
              <w:rPr>
                <w:noProof/>
                <w:webHidden/>
              </w:rPr>
              <w:fldChar w:fldCharType="end"/>
            </w:r>
          </w:hyperlink>
        </w:p>
        <w:p w14:paraId="688AEE80" w14:textId="290EA178" w:rsidR="00076432" w:rsidRDefault="00500371">
          <w:pPr>
            <w:pStyle w:val="TOC2"/>
            <w:tabs>
              <w:tab w:val="right" w:leader="dot" w:pos="13670"/>
            </w:tabs>
            <w:rPr>
              <w:rFonts w:eastAsiaTheme="minorEastAsia"/>
              <w:noProof/>
            </w:rPr>
          </w:pPr>
          <w:hyperlink w:anchor="_Toc106369900" w:history="1">
            <w:r w:rsidR="00076432" w:rsidRPr="00704760">
              <w:rPr>
                <w:rStyle w:val="Hyperlink"/>
                <w:noProof/>
              </w:rPr>
              <w:t>Pitolisant (Wakix)</w:t>
            </w:r>
            <w:r w:rsidR="00076432">
              <w:rPr>
                <w:noProof/>
                <w:webHidden/>
              </w:rPr>
              <w:tab/>
            </w:r>
            <w:r w:rsidR="00076432">
              <w:rPr>
                <w:noProof/>
                <w:webHidden/>
              </w:rPr>
              <w:fldChar w:fldCharType="begin"/>
            </w:r>
            <w:r w:rsidR="00076432">
              <w:rPr>
                <w:noProof/>
                <w:webHidden/>
              </w:rPr>
              <w:instrText xml:space="preserve"> PAGEREF _Toc106369900 \h </w:instrText>
            </w:r>
            <w:r w:rsidR="00076432">
              <w:rPr>
                <w:noProof/>
                <w:webHidden/>
              </w:rPr>
            </w:r>
            <w:r w:rsidR="00076432">
              <w:rPr>
                <w:noProof/>
                <w:webHidden/>
              </w:rPr>
              <w:fldChar w:fldCharType="separate"/>
            </w:r>
            <w:r w:rsidR="00076432">
              <w:rPr>
                <w:noProof/>
                <w:webHidden/>
              </w:rPr>
              <w:t>564</w:t>
            </w:r>
            <w:r w:rsidR="00076432">
              <w:rPr>
                <w:noProof/>
                <w:webHidden/>
              </w:rPr>
              <w:fldChar w:fldCharType="end"/>
            </w:r>
          </w:hyperlink>
        </w:p>
        <w:p w14:paraId="34ECA3CE" w14:textId="3F844695" w:rsidR="00076432" w:rsidRDefault="00500371">
          <w:pPr>
            <w:pStyle w:val="TOC2"/>
            <w:tabs>
              <w:tab w:val="right" w:leader="dot" w:pos="13670"/>
            </w:tabs>
            <w:rPr>
              <w:rFonts w:eastAsiaTheme="minorEastAsia"/>
              <w:noProof/>
            </w:rPr>
          </w:pPr>
          <w:hyperlink w:anchor="_Toc106369901" w:history="1">
            <w:r w:rsidR="00076432" w:rsidRPr="00704760">
              <w:rPr>
                <w:rStyle w:val="Hyperlink"/>
                <w:noProof/>
              </w:rPr>
              <w:t>Plecanatide (Trulance)</w:t>
            </w:r>
            <w:r w:rsidR="00076432">
              <w:rPr>
                <w:noProof/>
                <w:webHidden/>
              </w:rPr>
              <w:tab/>
            </w:r>
            <w:r w:rsidR="00076432">
              <w:rPr>
                <w:noProof/>
                <w:webHidden/>
              </w:rPr>
              <w:fldChar w:fldCharType="begin"/>
            </w:r>
            <w:r w:rsidR="00076432">
              <w:rPr>
                <w:noProof/>
                <w:webHidden/>
              </w:rPr>
              <w:instrText xml:space="preserve"> PAGEREF _Toc106369901 \h </w:instrText>
            </w:r>
            <w:r w:rsidR="00076432">
              <w:rPr>
                <w:noProof/>
                <w:webHidden/>
              </w:rPr>
            </w:r>
            <w:r w:rsidR="00076432">
              <w:rPr>
                <w:noProof/>
                <w:webHidden/>
              </w:rPr>
              <w:fldChar w:fldCharType="separate"/>
            </w:r>
            <w:r w:rsidR="00076432">
              <w:rPr>
                <w:noProof/>
                <w:webHidden/>
              </w:rPr>
              <w:t>565</w:t>
            </w:r>
            <w:r w:rsidR="00076432">
              <w:rPr>
                <w:noProof/>
                <w:webHidden/>
              </w:rPr>
              <w:fldChar w:fldCharType="end"/>
            </w:r>
          </w:hyperlink>
        </w:p>
        <w:p w14:paraId="7554E09D" w14:textId="13CB1230" w:rsidR="00076432" w:rsidRDefault="00500371">
          <w:pPr>
            <w:pStyle w:val="TOC2"/>
            <w:tabs>
              <w:tab w:val="right" w:leader="dot" w:pos="13670"/>
            </w:tabs>
            <w:rPr>
              <w:rFonts w:eastAsiaTheme="minorEastAsia"/>
              <w:noProof/>
            </w:rPr>
          </w:pPr>
          <w:hyperlink w:anchor="_Toc106369902" w:history="1">
            <w:r w:rsidR="00076432" w:rsidRPr="00704760">
              <w:rPr>
                <w:rStyle w:val="Hyperlink"/>
                <w:noProof/>
              </w:rPr>
              <w:t>Plerixafor (Mozobil)</w:t>
            </w:r>
            <w:r w:rsidR="00076432">
              <w:rPr>
                <w:noProof/>
                <w:webHidden/>
              </w:rPr>
              <w:tab/>
            </w:r>
            <w:r w:rsidR="00076432">
              <w:rPr>
                <w:noProof/>
                <w:webHidden/>
              </w:rPr>
              <w:fldChar w:fldCharType="begin"/>
            </w:r>
            <w:r w:rsidR="00076432">
              <w:rPr>
                <w:noProof/>
                <w:webHidden/>
              </w:rPr>
              <w:instrText xml:space="preserve"> PAGEREF _Toc106369902 \h </w:instrText>
            </w:r>
            <w:r w:rsidR="00076432">
              <w:rPr>
                <w:noProof/>
                <w:webHidden/>
              </w:rPr>
            </w:r>
            <w:r w:rsidR="00076432">
              <w:rPr>
                <w:noProof/>
                <w:webHidden/>
              </w:rPr>
              <w:fldChar w:fldCharType="separate"/>
            </w:r>
            <w:r w:rsidR="00076432">
              <w:rPr>
                <w:noProof/>
                <w:webHidden/>
              </w:rPr>
              <w:t>567</w:t>
            </w:r>
            <w:r w:rsidR="00076432">
              <w:rPr>
                <w:noProof/>
                <w:webHidden/>
              </w:rPr>
              <w:fldChar w:fldCharType="end"/>
            </w:r>
          </w:hyperlink>
        </w:p>
        <w:p w14:paraId="5439CB83" w14:textId="4A03B9EF" w:rsidR="00076432" w:rsidRDefault="00500371">
          <w:pPr>
            <w:pStyle w:val="TOC2"/>
            <w:tabs>
              <w:tab w:val="right" w:leader="dot" w:pos="13670"/>
            </w:tabs>
            <w:rPr>
              <w:rFonts w:eastAsiaTheme="minorEastAsia"/>
              <w:noProof/>
            </w:rPr>
          </w:pPr>
          <w:hyperlink w:anchor="_Toc106369903" w:history="1">
            <w:r w:rsidR="00076432" w:rsidRPr="00704760">
              <w:rPr>
                <w:rStyle w:val="Hyperlink"/>
                <w:noProof/>
              </w:rPr>
              <w:t>Polatuzumab vedotin-piiq (Polivy)</w:t>
            </w:r>
            <w:r w:rsidR="00076432">
              <w:rPr>
                <w:noProof/>
                <w:webHidden/>
              </w:rPr>
              <w:tab/>
            </w:r>
            <w:r w:rsidR="00076432">
              <w:rPr>
                <w:noProof/>
                <w:webHidden/>
              </w:rPr>
              <w:fldChar w:fldCharType="begin"/>
            </w:r>
            <w:r w:rsidR="00076432">
              <w:rPr>
                <w:noProof/>
                <w:webHidden/>
              </w:rPr>
              <w:instrText xml:space="preserve"> PAGEREF _Toc106369903 \h </w:instrText>
            </w:r>
            <w:r w:rsidR="00076432">
              <w:rPr>
                <w:noProof/>
                <w:webHidden/>
              </w:rPr>
            </w:r>
            <w:r w:rsidR="00076432">
              <w:rPr>
                <w:noProof/>
                <w:webHidden/>
              </w:rPr>
              <w:fldChar w:fldCharType="separate"/>
            </w:r>
            <w:r w:rsidR="00076432">
              <w:rPr>
                <w:noProof/>
                <w:webHidden/>
              </w:rPr>
              <w:t>568</w:t>
            </w:r>
            <w:r w:rsidR="00076432">
              <w:rPr>
                <w:noProof/>
                <w:webHidden/>
              </w:rPr>
              <w:fldChar w:fldCharType="end"/>
            </w:r>
          </w:hyperlink>
        </w:p>
        <w:p w14:paraId="484150C2" w14:textId="4E519799" w:rsidR="00076432" w:rsidRDefault="00500371">
          <w:pPr>
            <w:pStyle w:val="TOC2"/>
            <w:tabs>
              <w:tab w:val="right" w:leader="dot" w:pos="13670"/>
            </w:tabs>
            <w:rPr>
              <w:rFonts w:eastAsiaTheme="minorEastAsia"/>
              <w:noProof/>
            </w:rPr>
          </w:pPr>
          <w:hyperlink w:anchor="_Toc106369904" w:history="1">
            <w:r w:rsidR="00076432" w:rsidRPr="00704760">
              <w:rPr>
                <w:rStyle w:val="Hyperlink"/>
                <w:noProof/>
              </w:rPr>
              <w:t>Pomalidomide (Pomalyst)</w:t>
            </w:r>
            <w:r w:rsidR="00076432">
              <w:rPr>
                <w:noProof/>
                <w:webHidden/>
              </w:rPr>
              <w:tab/>
            </w:r>
            <w:r w:rsidR="00076432">
              <w:rPr>
                <w:noProof/>
                <w:webHidden/>
              </w:rPr>
              <w:fldChar w:fldCharType="begin"/>
            </w:r>
            <w:r w:rsidR="00076432">
              <w:rPr>
                <w:noProof/>
                <w:webHidden/>
              </w:rPr>
              <w:instrText xml:space="preserve"> PAGEREF _Toc106369904 \h </w:instrText>
            </w:r>
            <w:r w:rsidR="00076432">
              <w:rPr>
                <w:noProof/>
                <w:webHidden/>
              </w:rPr>
            </w:r>
            <w:r w:rsidR="00076432">
              <w:rPr>
                <w:noProof/>
                <w:webHidden/>
              </w:rPr>
              <w:fldChar w:fldCharType="separate"/>
            </w:r>
            <w:r w:rsidR="00076432">
              <w:rPr>
                <w:noProof/>
                <w:webHidden/>
              </w:rPr>
              <w:t>570</w:t>
            </w:r>
            <w:r w:rsidR="00076432">
              <w:rPr>
                <w:noProof/>
                <w:webHidden/>
              </w:rPr>
              <w:fldChar w:fldCharType="end"/>
            </w:r>
          </w:hyperlink>
        </w:p>
        <w:p w14:paraId="0CC3F919" w14:textId="455E2CC1" w:rsidR="00076432" w:rsidRDefault="00500371">
          <w:pPr>
            <w:pStyle w:val="TOC2"/>
            <w:tabs>
              <w:tab w:val="right" w:leader="dot" w:pos="13670"/>
            </w:tabs>
            <w:rPr>
              <w:rFonts w:eastAsiaTheme="minorEastAsia"/>
              <w:noProof/>
            </w:rPr>
          </w:pPr>
          <w:hyperlink w:anchor="_Toc106369905" w:history="1">
            <w:r w:rsidR="00076432" w:rsidRPr="00704760">
              <w:rPr>
                <w:rStyle w:val="Hyperlink"/>
                <w:noProof/>
              </w:rPr>
              <w:t>ponatinib (Iclusig)</w:t>
            </w:r>
            <w:r w:rsidR="00076432">
              <w:rPr>
                <w:noProof/>
                <w:webHidden/>
              </w:rPr>
              <w:tab/>
            </w:r>
            <w:r w:rsidR="00076432">
              <w:rPr>
                <w:noProof/>
                <w:webHidden/>
              </w:rPr>
              <w:fldChar w:fldCharType="begin"/>
            </w:r>
            <w:r w:rsidR="00076432">
              <w:rPr>
                <w:noProof/>
                <w:webHidden/>
              </w:rPr>
              <w:instrText xml:space="preserve"> PAGEREF _Toc106369905 \h </w:instrText>
            </w:r>
            <w:r w:rsidR="00076432">
              <w:rPr>
                <w:noProof/>
                <w:webHidden/>
              </w:rPr>
            </w:r>
            <w:r w:rsidR="00076432">
              <w:rPr>
                <w:noProof/>
                <w:webHidden/>
              </w:rPr>
              <w:fldChar w:fldCharType="separate"/>
            </w:r>
            <w:r w:rsidR="00076432">
              <w:rPr>
                <w:noProof/>
                <w:webHidden/>
              </w:rPr>
              <w:t>573</w:t>
            </w:r>
            <w:r w:rsidR="00076432">
              <w:rPr>
                <w:noProof/>
                <w:webHidden/>
              </w:rPr>
              <w:fldChar w:fldCharType="end"/>
            </w:r>
          </w:hyperlink>
        </w:p>
        <w:p w14:paraId="5537E6A8" w14:textId="321C6DBA" w:rsidR="00076432" w:rsidRDefault="00500371">
          <w:pPr>
            <w:pStyle w:val="TOC2"/>
            <w:tabs>
              <w:tab w:val="right" w:leader="dot" w:pos="13670"/>
            </w:tabs>
            <w:rPr>
              <w:rFonts w:eastAsiaTheme="minorEastAsia"/>
              <w:noProof/>
            </w:rPr>
          </w:pPr>
          <w:hyperlink w:anchor="_Toc106369906" w:history="1">
            <w:r w:rsidR="00076432" w:rsidRPr="00704760">
              <w:rPr>
                <w:rStyle w:val="Hyperlink"/>
                <w:noProof/>
              </w:rPr>
              <w:t>Pralatrexate (Folotyn®)</w:t>
            </w:r>
            <w:r w:rsidR="00076432">
              <w:rPr>
                <w:noProof/>
                <w:webHidden/>
              </w:rPr>
              <w:tab/>
            </w:r>
            <w:r w:rsidR="00076432">
              <w:rPr>
                <w:noProof/>
                <w:webHidden/>
              </w:rPr>
              <w:fldChar w:fldCharType="begin"/>
            </w:r>
            <w:r w:rsidR="00076432">
              <w:rPr>
                <w:noProof/>
                <w:webHidden/>
              </w:rPr>
              <w:instrText xml:space="preserve"> PAGEREF _Toc106369906 \h </w:instrText>
            </w:r>
            <w:r w:rsidR="00076432">
              <w:rPr>
                <w:noProof/>
                <w:webHidden/>
              </w:rPr>
            </w:r>
            <w:r w:rsidR="00076432">
              <w:rPr>
                <w:noProof/>
                <w:webHidden/>
              </w:rPr>
              <w:fldChar w:fldCharType="separate"/>
            </w:r>
            <w:r w:rsidR="00076432">
              <w:rPr>
                <w:noProof/>
                <w:webHidden/>
              </w:rPr>
              <w:t>577</w:t>
            </w:r>
            <w:r w:rsidR="00076432">
              <w:rPr>
                <w:noProof/>
                <w:webHidden/>
              </w:rPr>
              <w:fldChar w:fldCharType="end"/>
            </w:r>
          </w:hyperlink>
        </w:p>
        <w:p w14:paraId="5C98AC2C" w14:textId="1CE00CC7" w:rsidR="00076432" w:rsidRDefault="00500371">
          <w:pPr>
            <w:pStyle w:val="TOC2"/>
            <w:tabs>
              <w:tab w:val="right" w:leader="dot" w:pos="13670"/>
            </w:tabs>
            <w:rPr>
              <w:rFonts w:eastAsiaTheme="minorEastAsia"/>
              <w:noProof/>
            </w:rPr>
          </w:pPr>
          <w:hyperlink w:anchor="_Toc106369907" w:history="1">
            <w:r w:rsidR="00076432" w:rsidRPr="00704760">
              <w:rPr>
                <w:rStyle w:val="Hyperlink"/>
                <w:noProof/>
              </w:rPr>
              <w:t>Pretomanid</w:t>
            </w:r>
            <w:r w:rsidR="00076432">
              <w:rPr>
                <w:noProof/>
                <w:webHidden/>
              </w:rPr>
              <w:tab/>
            </w:r>
            <w:r w:rsidR="00076432">
              <w:rPr>
                <w:noProof/>
                <w:webHidden/>
              </w:rPr>
              <w:fldChar w:fldCharType="begin"/>
            </w:r>
            <w:r w:rsidR="00076432">
              <w:rPr>
                <w:noProof/>
                <w:webHidden/>
              </w:rPr>
              <w:instrText xml:space="preserve"> PAGEREF _Toc106369907 \h </w:instrText>
            </w:r>
            <w:r w:rsidR="00076432">
              <w:rPr>
                <w:noProof/>
                <w:webHidden/>
              </w:rPr>
            </w:r>
            <w:r w:rsidR="00076432">
              <w:rPr>
                <w:noProof/>
                <w:webHidden/>
              </w:rPr>
              <w:fldChar w:fldCharType="separate"/>
            </w:r>
            <w:r w:rsidR="00076432">
              <w:rPr>
                <w:noProof/>
                <w:webHidden/>
              </w:rPr>
              <w:t>579</w:t>
            </w:r>
            <w:r w:rsidR="00076432">
              <w:rPr>
                <w:noProof/>
                <w:webHidden/>
              </w:rPr>
              <w:fldChar w:fldCharType="end"/>
            </w:r>
          </w:hyperlink>
        </w:p>
        <w:p w14:paraId="6811F876" w14:textId="5EE8CF95" w:rsidR="00076432" w:rsidRDefault="00500371">
          <w:pPr>
            <w:pStyle w:val="TOC2"/>
            <w:tabs>
              <w:tab w:val="right" w:leader="dot" w:pos="13670"/>
            </w:tabs>
            <w:rPr>
              <w:rFonts w:eastAsiaTheme="minorEastAsia"/>
              <w:noProof/>
            </w:rPr>
          </w:pPr>
          <w:hyperlink w:anchor="_Toc106369908" w:history="1">
            <w:r w:rsidR="00076432" w:rsidRPr="00704760">
              <w:rPr>
                <w:rStyle w:val="Hyperlink"/>
                <w:noProof/>
              </w:rPr>
              <w:t>Regorafenib (Stivaraga)</w:t>
            </w:r>
            <w:r w:rsidR="00076432">
              <w:rPr>
                <w:noProof/>
                <w:webHidden/>
              </w:rPr>
              <w:tab/>
            </w:r>
            <w:r w:rsidR="00076432">
              <w:rPr>
                <w:noProof/>
                <w:webHidden/>
              </w:rPr>
              <w:fldChar w:fldCharType="begin"/>
            </w:r>
            <w:r w:rsidR="00076432">
              <w:rPr>
                <w:noProof/>
                <w:webHidden/>
              </w:rPr>
              <w:instrText xml:space="preserve"> PAGEREF _Toc106369908 \h </w:instrText>
            </w:r>
            <w:r w:rsidR="00076432">
              <w:rPr>
                <w:noProof/>
                <w:webHidden/>
              </w:rPr>
            </w:r>
            <w:r w:rsidR="00076432">
              <w:rPr>
                <w:noProof/>
                <w:webHidden/>
              </w:rPr>
              <w:fldChar w:fldCharType="separate"/>
            </w:r>
            <w:r w:rsidR="00076432">
              <w:rPr>
                <w:noProof/>
                <w:webHidden/>
              </w:rPr>
              <w:t>579</w:t>
            </w:r>
            <w:r w:rsidR="00076432">
              <w:rPr>
                <w:noProof/>
                <w:webHidden/>
              </w:rPr>
              <w:fldChar w:fldCharType="end"/>
            </w:r>
          </w:hyperlink>
        </w:p>
        <w:p w14:paraId="1475B6F7" w14:textId="135F6B09" w:rsidR="00076432" w:rsidRDefault="00500371">
          <w:pPr>
            <w:pStyle w:val="TOC2"/>
            <w:tabs>
              <w:tab w:val="right" w:leader="dot" w:pos="13670"/>
            </w:tabs>
            <w:rPr>
              <w:rFonts w:eastAsiaTheme="minorEastAsia"/>
              <w:noProof/>
            </w:rPr>
          </w:pPr>
          <w:hyperlink w:anchor="_Toc106369909" w:history="1">
            <w:r w:rsidR="00076432" w:rsidRPr="00704760">
              <w:rPr>
                <w:rStyle w:val="Hyperlink"/>
                <w:noProof/>
              </w:rPr>
              <w:t>Ribociclib (Kisqali)</w:t>
            </w:r>
            <w:r w:rsidR="00076432">
              <w:rPr>
                <w:noProof/>
                <w:webHidden/>
              </w:rPr>
              <w:tab/>
            </w:r>
            <w:r w:rsidR="00076432">
              <w:rPr>
                <w:noProof/>
                <w:webHidden/>
              </w:rPr>
              <w:fldChar w:fldCharType="begin"/>
            </w:r>
            <w:r w:rsidR="00076432">
              <w:rPr>
                <w:noProof/>
                <w:webHidden/>
              </w:rPr>
              <w:instrText xml:space="preserve"> PAGEREF _Toc106369909 \h </w:instrText>
            </w:r>
            <w:r w:rsidR="00076432">
              <w:rPr>
                <w:noProof/>
                <w:webHidden/>
              </w:rPr>
            </w:r>
            <w:r w:rsidR="00076432">
              <w:rPr>
                <w:noProof/>
                <w:webHidden/>
              </w:rPr>
              <w:fldChar w:fldCharType="separate"/>
            </w:r>
            <w:r w:rsidR="00076432">
              <w:rPr>
                <w:noProof/>
                <w:webHidden/>
              </w:rPr>
              <w:t>582</w:t>
            </w:r>
            <w:r w:rsidR="00076432">
              <w:rPr>
                <w:noProof/>
                <w:webHidden/>
              </w:rPr>
              <w:fldChar w:fldCharType="end"/>
            </w:r>
          </w:hyperlink>
        </w:p>
        <w:p w14:paraId="02F8CB05" w14:textId="5172A96B" w:rsidR="00076432" w:rsidRDefault="00500371">
          <w:pPr>
            <w:pStyle w:val="TOC2"/>
            <w:tabs>
              <w:tab w:val="right" w:leader="dot" w:pos="13670"/>
            </w:tabs>
            <w:rPr>
              <w:rFonts w:eastAsiaTheme="minorEastAsia"/>
              <w:noProof/>
            </w:rPr>
          </w:pPr>
          <w:hyperlink w:anchor="_Toc106369910" w:history="1">
            <w:r w:rsidR="00076432" w:rsidRPr="00704760">
              <w:rPr>
                <w:rStyle w:val="Hyperlink"/>
                <w:noProof/>
              </w:rPr>
              <w:t>Xifaxan (Rifaximin)</w:t>
            </w:r>
            <w:r w:rsidR="00076432">
              <w:rPr>
                <w:noProof/>
                <w:webHidden/>
              </w:rPr>
              <w:tab/>
            </w:r>
            <w:r w:rsidR="00076432">
              <w:rPr>
                <w:noProof/>
                <w:webHidden/>
              </w:rPr>
              <w:fldChar w:fldCharType="begin"/>
            </w:r>
            <w:r w:rsidR="00076432">
              <w:rPr>
                <w:noProof/>
                <w:webHidden/>
              </w:rPr>
              <w:instrText xml:space="preserve"> PAGEREF _Toc106369910 \h </w:instrText>
            </w:r>
            <w:r w:rsidR="00076432">
              <w:rPr>
                <w:noProof/>
                <w:webHidden/>
              </w:rPr>
            </w:r>
            <w:r w:rsidR="00076432">
              <w:rPr>
                <w:noProof/>
                <w:webHidden/>
              </w:rPr>
              <w:fldChar w:fldCharType="separate"/>
            </w:r>
            <w:r w:rsidR="00076432">
              <w:rPr>
                <w:noProof/>
                <w:webHidden/>
              </w:rPr>
              <w:t>586</w:t>
            </w:r>
            <w:r w:rsidR="00076432">
              <w:rPr>
                <w:noProof/>
                <w:webHidden/>
              </w:rPr>
              <w:fldChar w:fldCharType="end"/>
            </w:r>
          </w:hyperlink>
        </w:p>
        <w:p w14:paraId="1D913584" w14:textId="66332A4E" w:rsidR="00076432" w:rsidRDefault="00500371">
          <w:pPr>
            <w:pStyle w:val="TOC2"/>
            <w:tabs>
              <w:tab w:val="right" w:leader="dot" w:pos="13670"/>
            </w:tabs>
            <w:rPr>
              <w:rFonts w:eastAsiaTheme="minorEastAsia"/>
              <w:noProof/>
            </w:rPr>
          </w:pPr>
          <w:hyperlink w:anchor="_Toc106369911" w:history="1">
            <w:r w:rsidR="00076432" w:rsidRPr="00704760">
              <w:rPr>
                <w:rStyle w:val="Hyperlink"/>
                <w:noProof/>
              </w:rPr>
              <w:t>Rimegepant (Nurtec ODT)</w:t>
            </w:r>
            <w:r w:rsidR="00076432">
              <w:rPr>
                <w:noProof/>
                <w:webHidden/>
              </w:rPr>
              <w:tab/>
            </w:r>
            <w:r w:rsidR="00076432">
              <w:rPr>
                <w:noProof/>
                <w:webHidden/>
              </w:rPr>
              <w:fldChar w:fldCharType="begin"/>
            </w:r>
            <w:r w:rsidR="00076432">
              <w:rPr>
                <w:noProof/>
                <w:webHidden/>
              </w:rPr>
              <w:instrText xml:space="preserve"> PAGEREF _Toc106369911 \h </w:instrText>
            </w:r>
            <w:r w:rsidR="00076432">
              <w:rPr>
                <w:noProof/>
                <w:webHidden/>
              </w:rPr>
            </w:r>
            <w:r w:rsidR="00076432">
              <w:rPr>
                <w:noProof/>
                <w:webHidden/>
              </w:rPr>
              <w:fldChar w:fldCharType="separate"/>
            </w:r>
            <w:r w:rsidR="00076432">
              <w:rPr>
                <w:noProof/>
                <w:webHidden/>
              </w:rPr>
              <w:t>588</w:t>
            </w:r>
            <w:r w:rsidR="00076432">
              <w:rPr>
                <w:noProof/>
                <w:webHidden/>
              </w:rPr>
              <w:fldChar w:fldCharType="end"/>
            </w:r>
          </w:hyperlink>
        </w:p>
        <w:p w14:paraId="66BED35B" w14:textId="0AD9C37B" w:rsidR="00076432" w:rsidRDefault="00500371">
          <w:pPr>
            <w:pStyle w:val="TOC2"/>
            <w:tabs>
              <w:tab w:val="right" w:leader="dot" w:pos="13670"/>
            </w:tabs>
            <w:rPr>
              <w:rFonts w:eastAsiaTheme="minorEastAsia"/>
              <w:noProof/>
            </w:rPr>
          </w:pPr>
          <w:hyperlink w:anchor="_Toc106369912" w:history="1">
            <w:r w:rsidR="00076432" w:rsidRPr="00704760">
              <w:rPr>
                <w:rStyle w:val="Hyperlink"/>
                <w:noProof/>
              </w:rPr>
              <w:t>Riociguat (Adempas)</w:t>
            </w:r>
            <w:r w:rsidR="00076432">
              <w:rPr>
                <w:noProof/>
                <w:webHidden/>
              </w:rPr>
              <w:tab/>
            </w:r>
            <w:r w:rsidR="00076432">
              <w:rPr>
                <w:noProof/>
                <w:webHidden/>
              </w:rPr>
              <w:fldChar w:fldCharType="begin"/>
            </w:r>
            <w:r w:rsidR="00076432">
              <w:rPr>
                <w:noProof/>
                <w:webHidden/>
              </w:rPr>
              <w:instrText xml:space="preserve"> PAGEREF _Toc106369912 \h </w:instrText>
            </w:r>
            <w:r w:rsidR="00076432">
              <w:rPr>
                <w:noProof/>
                <w:webHidden/>
              </w:rPr>
            </w:r>
            <w:r w:rsidR="00076432">
              <w:rPr>
                <w:noProof/>
                <w:webHidden/>
              </w:rPr>
              <w:fldChar w:fldCharType="separate"/>
            </w:r>
            <w:r w:rsidR="00076432">
              <w:rPr>
                <w:noProof/>
                <w:webHidden/>
              </w:rPr>
              <w:t>590</w:t>
            </w:r>
            <w:r w:rsidR="00076432">
              <w:rPr>
                <w:noProof/>
                <w:webHidden/>
              </w:rPr>
              <w:fldChar w:fldCharType="end"/>
            </w:r>
          </w:hyperlink>
        </w:p>
        <w:p w14:paraId="41BF4910" w14:textId="0B2CE6E9" w:rsidR="00076432" w:rsidRDefault="00500371">
          <w:pPr>
            <w:pStyle w:val="TOC2"/>
            <w:tabs>
              <w:tab w:val="right" w:leader="dot" w:pos="13670"/>
            </w:tabs>
            <w:rPr>
              <w:rFonts w:eastAsiaTheme="minorEastAsia"/>
              <w:noProof/>
            </w:rPr>
          </w:pPr>
          <w:hyperlink w:anchor="_Toc106369913" w:history="1">
            <w:r w:rsidR="00076432" w:rsidRPr="00704760">
              <w:rPr>
                <w:rStyle w:val="Hyperlink"/>
                <w:noProof/>
              </w:rPr>
              <w:t>Ripretinib (Qinlock)</w:t>
            </w:r>
            <w:r w:rsidR="00076432">
              <w:rPr>
                <w:noProof/>
                <w:webHidden/>
              </w:rPr>
              <w:tab/>
            </w:r>
            <w:r w:rsidR="00076432">
              <w:rPr>
                <w:noProof/>
                <w:webHidden/>
              </w:rPr>
              <w:fldChar w:fldCharType="begin"/>
            </w:r>
            <w:r w:rsidR="00076432">
              <w:rPr>
                <w:noProof/>
                <w:webHidden/>
              </w:rPr>
              <w:instrText xml:space="preserve"> PAGEREF _Toc106369913 \h </w:instrText>
            </w:r>
            <w:r w:rsidR="00076432">
              <w:rPr>
                <w:noProof/>
                <w:webHidden/>
              </w:rPr>
            </w:r>
            <w:r w:rsidR="00076432">
              <w:rPr>
                <w:noProof/>
                <w:webHidden/>
              </w:rPr>
              <w:fldChar w:fldCharType="separate"/>
            </w:r>
            <w:r w:rsidR="00076432">
              <w:rPr>
                <w:noProof/>
                <w:webHidden/>
              </w:rPr>
              <w:t>592</w:t>
            </w:r>
            <w:r w:rsidR="00076432">
              <w:rPr>
                <w:noProof/>
                <w:webHidden/>
              </w:rPr>
              <w:fldChar w:fldCharType="end"/>
            </w:r>
          </w:hyperlink>
        </w:p>
        <w:p w14:paraId="6262C014" w14:textId="573EEEA5" w:rsidR="00076432" w:rsidRDefault="00500371">
          <w:pPr>
            <w:pStyle w:val="TOC2"/>
            <w:tabs>
              <w:tab w:val="right" w:leader="dot" w:pos="13670"/>
            </w:tabs>
            <w:rPr>
              <w:rFonts w:eastAsiaTheme="minorEastAsia"/>
              <w:noProof/>
            </w:rPr>
          </w:pPr>
          <w:hyperlink w:anchor="_Toc106369914" w:history="1">
            <w:r w:rsidR="00076432" w:rsidRPr="00704760">
              <w:rPr>
                <w:rStyle w:val="Hyperlink"/>
                <w:noProof/>
              </w:rPr>
              <w:t>Risperidone ER 2 week injection (Risperdal Consta)</w:t>
            </w:r>
            <w:r w:rsidR="00076432">
              <w:rPr>
                <w:noProof/>
                <w:webHidden/>
              </w:rPr>
              <w:tab/>
            </w:r>
            <w:r w:rsidR="00076432">
              <w:rPr>
                <w:noProof/>
                <w:webHidden/>
              </w:rPr>
              <w:fldChar w:fldCharType="begin"/>
            </w:r>
            <w:r w:rsidR="00076432">
              <w:rPr>
                <w:noProof/>
                <w:webHidden/>
              </w:rPr>
              <w:instrText xml:space="preserve"> PAGEREF _Toc106369914 \h </w:instrText>
            </w:r>
            <w:r w:rsidR="00076432">
              <w:rPr>
                <w:noProof/>
                <w:webHidden/>
              </w:rPr>
            </w:r>
            <w:r w:rsidR="00076432">
              <w:rPr>
                <w:noProof/>
                <w:webHidden/>
              </w:rPr>
              <w:fldChar w:fldCharType="separate"/>
            </w:r>
            <w:r w:rsidR="00076432">
              <w:rPr>
                <w:noProof/>
                <w:webHidden/>
              </w:rPr>
              <w:t>593</w:t>
            </w:r>
            <w:r w:rsidR="00076432">
              <w:rPr>
                <w:noProof/>
                <w:webHidden/>
              </w:rPr>
              <w:fldChar w:fldCharType="end"/>
            </w:r>
          </w:hyperlink>
        </w:p>
        <w:p w14:paraId="016FB43C" w14:textId="37384B88" w:rsidR="00076432" w:rsidRDefault="00500371">
          <w:pPr>
            <w:pStyle w:val="TOC2"/>
            <w:tabs>
              <w:tab w:val="right" w:leader="dot" w:pos="13670"/>
            </w:tabs>
            <w:rPr>
              <w:rFonts w:eastAsiaTheme="minorEastAsia"/>
              <w:noProof/>
            </w:rPr>
          </w:pPr>
          <w:hyperlink w:anchor="_Toc106369915" w:history="1">
            <w:r w:rsidR="00076432" w:rsidRPr="00704760">
              <w:rPr>
                <w:rStyle w:val="Hyperlink"/>
                <w:noProof/>
              </w:rPr>
              <w:t>Rotigotine (Neupro)</w:t>
            </w:r>
            <w:r w:rsidR="00076432">
              <w:rPr>
                <w:noProof/>
                <w:webHidden/>
              </w:rPr>
              <w:tab/>
            </w:r>
            <w:r w:rsidR="00076432">
              <w:rPr>
                <w:noProof/>
                <w:webHidden/>
              </w:rPr>
              <w:fldChar w:fldCharType="begin"/>
            </w:r>
            <w:r w:rsidR="00076432">
              <w:rPr>
                <w:noProof/>
                <w:webHidden/>
              </w:rPr>
              <w:instrText xml:space="preserve"> PAGEREF _Toc106369915 \h </w:instrText>
            </w:r>
            <w:r w:rsidR="00076432">
              <w:rPr>
                <w:noProof/>
                <w:webHidden/>
              </w:rPr>
            </w:r>
            <w:r w:rsidR="00076432">
              <w:rPr>
                <w:noProof/>
                <w:webHidden/>
              </w:rPr>
              <w:fldChar w:fldCharType="separate"/>
            </w:r>
            <w:r w:rsidR="00076432">
              <w:rPr>
                <w:noProof/>
                <w:webHidden/>
              </w:rPr>
              <w:t>595</w:t>
            </w:r>
            <w:r w:rsidR="00076432">
              <w:rPr>
                <w:noProof/>
                <w:webHidden/>
              </w:rPr>
              <w:fldChar w:fldCharType="end"/>
            </w:r>
          </w:hyperlink>
        </w:p>
        <w:p w14:paraId="356203AA" w14:textId="7D5B06F5" w:rsidR="00076432" w:rsidRDefault="00500371">
          <w:pPr>
            <w:pStyle w:val="TOC2"/>
            <w:tabs>
              <w:tab w:val="right" w:leader="dot" w:pos="13670"/>
            </w:tabs>
            <w:rPr>
              <w:rFonts w:eastAsiaTheme="minorEastAsia"/>
              <w:noProof/>
            </w:rPr>
          </w:pPr>
          <w:hyperlink w:anchor="_Toc106369916" w:history="1">
            <w:r w:rsidR="00076432" w:rsidRPr="00704760">
              <w:rPr>
                <w:rStyle w:val="Hyperlink"/>
                <w:noProof/>
              </w:rPr>
              <w:t>Rufinamide (Banzel)</w:t>
            </w:r>
            <w:r w:rsidR="00076432">
              <w:rPr>
                <w:noProof/>
                <w:webHidden/>
              </w:rPr>
              <w:tab/>
            </w:r>
            <w:r w:rsidR="00076432">
              <w:rPr>
                <w:noProof/>
                <w:webHidden/>
              </w:rPr>
              <w:fldChar w:fldCharType="begin"/>
            </w:r>
            <w:r w:rsidR="00076432">
              <w:rPr>
                <w:noProof/>
                <w:webHidden/>
              </w:rPr>
              <w:instrText xml:space="preserve"> PAGEREF _Toc106369916 \h </w:instrText>
            </w:r>
            <w:r w:rsidR="00076432">
              <w:rPr>
                <w:noProof/>
                <w:webHidden/>
              </w:rPr>
            </w:r>
            <w:r w:rsidR="00076432">
              <w:rPr>
                <w:noProof/>
                <w:webHidden/>
              </w:rPr>
              <w:fldChar w:fldCharType="separate"/>
            </w:r>
            <w:r w:rsidR="00076432">
              <w:rPr>
                <w:noProof/>
                <w:webHidden/>
              </w:rPr>
              <w:t>596</w:t>
            </w:r>
            <w:r w:rsidR="00076432">
              <w:rPr>
                <w:noProof/>
                <w:webHidden/>
              </w:rPr>
              <w:fldChar w:fldCharType="end"/>
            </w:r>
          </w:hyperlink>
        </w:p>
        <w:p w14:paraId="0C336E7F" w14:textId="679A4A04" w:rsidR="00076432" w:rsidRDefault="00500371">
          <w:pPr>
            <w:pStyle w:val="TOC2"/>
            <w:tabs>
              <w:tab w:val="right" w:leader="dot" w:pos="13670"/>
            </w:tabs>
            <w:rPr>
              <w:rFonts w:eastAsiaTheme="minorEastAsia"/>
              <w:noProof/>
            </w:rPr>
          </w:pPr>
          <w:hyperlink w:anchor="_Toc106369917" w:history="1">
            <w:r w:rsidR="00076432" w:rsidRPr="00704760">
              <w:rPr>
                <w:rStyle w:val="Hyperlink"/>
                <w:noProof/>
              </w:rPr>
              <w:t>Ruxolitinib</w:t>
            </w:r>
            <w:r w:rsidR="00076432" w:rsidRPr="00704760">
              <w:rPr>
                <w:rStyle w:val="Hyperlink"/>
                <w:noProof/>
                <w:shd w:val="clear" w:color="auto" w:fill="FFFFFF"/>
              </w:rPr>
              <w:t xml:space="preserve"> </w:t>
            </w:r>
            <w:r w:rsidR="00076432" w:rsidRPr="00704760">
              <w:rPr>
                <w:rStyle w:val="Hyperlink"/>
                <w:noProof/>
              </w:rPr>
              <w:t>(</w:t>
            </w:r>
            <w:r w:rsidR="00076432" w:rsidRPr="00704760">
              <w:rPr>
                <w:rStyle w:val="Hyperlink"/>
                <w:noProof/>
                <w:bdr w:val="none" w:sz="0" w:space="0" w:color="auto" w:frame="1"/>
              </w:rPr>
              <w:t>Opselura</w:t>
            </w:r>
            <w:r w:rsidR="00076432" w:rsidRPr="00704760">
              <w:rPr>
                <w:rStyle w:val="Hyperlink"/>
                <w:noProof/>
              </w:rPr>
              <w:t>)</w:t>
            </w:r>
            <w:r w:rsidR="00076432">
              <w:rPr>
                <w:noProof/>
                <w:webHidden/>
              </w:rPr>
              <w:tab/>
            </w:r>
            <w:r w:rsidR="00076432">
              <w:rPr>
                <w:noProof/>
                <w:webHidden/>
              </w:rPr>
              <w:fldChar w:fldCharType="begin"/>
            </w:r>
            <w:r w:rsidR="00076432">
              <w:rPr>
                <w:noProof/>
                <w:webHidden/>
              </w:rPr>
              <w:instrText xml:space="preserve"> PAGEREF _Toc106369917 \h </w:instrText>
            </w:r>
            <w:r w:rsidR="00076432">
              <w:rPr>
                <w:noProof/>
                <w:webHidden/>
              </w:rPr>
            </w:r>
            <w:r w:rsidR="00076432">
              <w:rPr>
                <w:noProof/>
                <w:webHidden/>
              </w:rPr>
              <w:fldChar w:fldCharType="separate"/>
            </w:r>
            <w:r w:rsidR="00076432">
              <w:rPr>
                <w:noProof/>
                <w:webHidden/>
              </w:rPr>
              <w:t>597</w:t>
            </w:r>
            <w:r w:rsidR="00076432">
              <w:rPr>
                <w:noProof/>
                <w:webHidden/>
              </w:rPr>
              <w:fldChar w:fldCharType="end"/>
            </w:r>
          </w:hyperlink>
        </w:p>
        <w:p w14:paraId="2C22C612" w14:textId="453526E5" w:rsidR="00076432" w:rsidRDefault="00500371">
          <w:pPr>
            <w:pStyle w:val="TOC2"/>
            <w:tabs>
              <w:tab w:val="right" w:leader="dot" w:pos="13670"/>
            </w:tabs>
            <w:rPr>
              <w:rFonts w:eastAsiaTheme="minorEastAsia"/>
              <w:noProof/>
            </w:rPr>
          </w:pPr>
          <w:hyperlink w:anchor="_Toc106369918" w:history="1">
            <w:r w:rsidR="00076432" w:rsidRPr="00704760">
              <w:rPr>
                <w:rStyle w:val="Hyperlink"/>
                <w:noProof/>
              </w:rPr>
              <w:t>Ruxolitinib (Jakafi)</w:t>
            </w:r>
            <w:r w:rsidR="00076432">
              <w:rPr>
                <w:noProof/>
                <w:webHidden/>
              </w:rPr>
              <w:tab/>
            </w:r>
            <w:r w:rsidR="00076432">
              <w:rPr>
                <w:noProof/>
                <w:webHidden/>
              </w:rPr>
              <w:fldChar w:fldCharType="begin"/>
            </w:r>
            <w:r w:rsidR="00076432">
              <w:rPr>
                <w:noProof/>
                <w:webHidden/>
              </w:rPr>
              <w:instrText xml:space="preserve"> PAGEREF _Toc106369918 \h </w:instrText>
            </w:r>
            <w:r w:rsidR="00076432">
              <w:rPr>
                <w:noProof/>
                <w:webHidden/>
              </w:rPr>
            </w:r>
            <w:r w:rsidR="00076432">
              <w:rPr>
                <w:noProof/>
                <w:webHidden/>
              </w:rPr>
              <w:fldChar w:fldCharType="separate"/>
            </w:r>
            <w:r w:rsidR="00076432">
              <w:rPr>
                <w:noProof/>
                <w:webHidden/>
              </w:rPr>
              <w:t>598</w:t>
            </w:r>
            <w:r w:rsidR="00076432">
              <w:rPr>
                <w:noProof/>
                <w:webHidden/>
              </w:rPr>
              <w:fldChar w:fldCharType="end"/>
            </w:r>
          </w:hyperlink>
        </w:p>
        <w:p w14:paraId="4D156267" w14:textId="5BE07009" w:rsidR="00076432" w:rsidRDefault="00500371">
          <w:pPr>
            <w:pStyle w:val="TOC2"/>
            <w:tabs>
              <w:tab w:val="right" w:leader="dot" w:pos="13670"/>
            </w:tabs>
            <w:rPr>
              <w:rFonts w:eastAsiaTheme="minorEastAsia"/>
              <w:noProof/>
            </w:rPr>
          </w:pPr>
          <w:hyperlink w:anchor="_Toc106369919" w:history="1">
            <w:r w:rsidR="00076432" w:rsidRPr="00704760">
              <w:rPr>
                <w:rStyle w:val="Hyperlink"/>
                <w:noProof/>
                <w:lang w:val="es-ES"/>
              </w:rPr>
              <w:t>Sacituzumab govitecan (Trodelvy)</w:t>
            </w:r>
            <w:r w:rsidR="00076432">
              <w:rPr>
                <w:noProof/>
                <w:webHidden/>
              </w:rPr>
              <w:tab/>
            </w:r>
            <w:r w:rsidR="00076432">
              <w:rPr>
                <w:noProof/>
                <w:webHidden/>
              </w:rPr>
              <w:fldChar w:fldCharType="begin"/>
            </w:r>
            <w:r w:rsidR="00076432">
              <w:rPr>
                <w:noProof/>
                <w:webHidden/>
              </w:rPr>
              <w:instrText xml:space="preserve"> PAGEREF _Toc106369919 \h </w:instrText>
            </w:r>
            <w:r w:rsidR="00076432">
              <w:rPr>
                <w:noProof/>
                <w:webHidden/>
              </w:rPr>
            </w:r>
            <w:r w:rsidR="00076432">
              <w:rPr>
                <w:noProof/>
                <w:webHidden/>
              </w:rPr>
              <w:fldChar w:fldCharType="separate"/>
            </w:r>
            <w:r w:rsidR="00076432">
              <w:rPr>
                <w:noProof/>
                <w:webHidden/>
              </w:rPr>
              <w:t>605</w:t>
            </w:r>
            <w:r w:rsidR="00076432">
              <w:rPr>
                <w:noProof/>
                <w:webHidden/>
              </w:rPr>
              <w:fldChar w:fldCharType="end"/>
            </w:r>
          </w:hyperlink>
        </w:p>
        <w:p w14:paraId="486CD64B" w14:textId="0CD7BFC4" w:rsidR="00076432" w:rsidRDefault="00500371">
          <w:pPr>
            <w:pStyle w:val="TOC2"/>
            <w:tabs>
              <w:tab w:val="right" w:leader="dot" w:pos="13670"/>
            </w:tabs>
            <w:rPr>
              <w:rFonts w:eastAsiaTheme="minorEastAsia"/>
              <w:noProof/>
            </w:rPr>
          </w:pPr>
          <w:hyperlink w:anchor="_Toc106369920" w:history="1">
            <w:r w:rsidR="00076432" w:rsidRPr="00704760">
              <w:rPr>
                <w:rStyle w:val="Hyperlink"/>
                <w:noProof/>
                <w:lang w:val="es-ES"/>
              </w:rPr>
              <w:t>Sacubitril-Valsartan (Entresto)</w:t>
            </w:r>
            <w:r w:rsidR="00076432">
              <w:rPr>
                <w:noProof/>
                <w:webHidden/>
              </w:rPr>
              <w:tab/>
            </w:r>
            <w:r w:rsidR="00076432">
              <w:rPr>
                <w:noProof/>
                <w:webHidden/>
              </w:rPr>
              <w:fldChar w:fldCharType="begin"/>
            </w:r>
            <w:r w:rsidR="00076432">
              <w:rPr>
                <w:noProof/>
                <w:webHidden/>
              </w:rPr>
              <w:instrText xml:space="preserve"> PAGEREF _Toc106369920 \h </w:instrText>
            </w:r>
            <w:r w:rsidR="00076432">
              <w:rPr>
                <w:noProof/>
                <w:webHidden/>
              </w:rPr>
            </w:r>
            <w:r w:rsidR="00076432">
              <w:rPr>
                <w:noProof/>
                <w:webHidden/>
              </w:rPr>
              <w:fldChar w:fldCharType="separate"/>
            </w:r>
            <w:r w:rsidR="00076432">
              <w:rPr>
                <w:noProof/>
                <w:webHidden/>
              </w:rPr>
              <w:t>607</w:t>
            </w:r>
            <w:r w:rsidR="00076432">
              <w:rPr>
                <w:noProof/>
                <w:webHidden/>
              </w:rPr>
              <w:fldChar w:fldCharType="end"/>
            </w:r>
          </w:hyperlink>
        </w:p>
        <w:p w14:paraId="1265E306" w14:textId="71F7DEE0" w:rsidR="00076432" w:rsidRDefault="00500371">
          <w:pPr>
            <w:pStyle w:val="TOC2"/>
            <w:tabs>
              <w:tab w:val="right" w:leader="dot" w:pos="13670"/>
            </w:tabs>
            <w:rPr>
              <w:rFonts w:eastAsiaTheme="minorEastAsia"/>
              <w:noProof/>
            </w:rPr>
          </w:pPr>
          <w:hyperlink w:anchor="_Toc106369921" w:history="1">
            <w:r w:rsidR="00076432" w:rsidRPr="00704760">
              <w:rPr>
                <w:rStyle w:val="Hyperlink"/>
                <w:noProof/>
              </w:rPr>
              <w:t>Sapropterin (Kuvan)</w:t>
            </w:r>
            <w:r w:rsidR="00076432">
              <w:rPr>
                <w:noProof/>
                <w:webHidden/>
              </w:rPr>
              <w:tab/>
            </w:r>
            <w:r w:rsidR="00076432">
              <w:rPr>
                <w:noProof/>
                <w:webHidden/>
              </w:rPr>
              <w:fldChar w:fldCharType="begin"/>
            </w:r>
            <w:r w:rsidR="00076432">
              <w:rPr>
                <w:noProof/>
                <w:webHidden/>
              </w:rPr>
              <w:instrText xml:space="preserve"> PAGEREF _Toc106369921 \h </w:instrText>
            </w:r>
            <w:r w:rsidR="00076432">
              <w:rPr>
                <w:noProof/>
                <w:webHidden/>
              </w:rPr>
            </w:r>
            <w:r w:rsidR="00076432">
              <w:rPr>
                <w:noProof/>
                <w:webHidden/>
              </w:rPr>
              <w:fldChar w:fldCharType="separate"/>
            </w:r>
            <w:r w:rsidR="00076432">
              <w:rPr>
                <w:noProof/>
                <w:webHidden/>
              </w:rPr>
              <w:t>609</w:t>
            </w:r>
            <w:r w:rsidR="00076432">
              <w:rPr>
                <w:noProof/>
                <w:webHidden/>
              </w:rPr>
              <w:fldChar w:fldCharType="end"/>
            </w:r>
          </w:hyperlink>
        </w:p>
        <w:p w14:paraId="69C3269B" w14:textId="2F53820A" w:rsidR="00076432" w:rsidRDefault="00500371">
          <w:pPr>
            <w:pStyle w:val="TOC2"/>
            <w:tabs>
              <w:tab w:val="right" w:leader="dot" w:pos="13670"/>
            </w:tabs>
            <w:rPr>
              <w:rFonts w:eastAsiaTheme="minorEastAsia"/>
              <w:noProof/>
            </w:rPr>
          </w:pPr>
          <w:hyperlink w:anchor="_Toc106369922" w:history="1">
            <w:r w:rsidR="00076432" w:rsidRPr="00704760">
              <w:rPr>
                <w:rStyle w:val="Hyperlink"/>
                <w:noProof/>
              </w:rPr>
              <w:t>Sargramostim (Leukine</w:t>
            </w:r>
            <w:r w:rsidR="00076432" w:rsidRPr="00704760">
              <w:rPr>
                <w:rStyle w:val="Hyperlink"/>
                <w:noProof/>
                <w:vertAlign w:val="superscript"/>
              </w:rPr>
              <w:t>®</w:t>
            </w:r>
            <w:r w:rsidR="00076432" w:rsidRPr="00704760">
              <w:rPr>
                <w:rStyle w:val="Hyperlink"/>
                <w:noProof/>
              </w:rPr>
              <w:t>)</w:t>
            </w:r>
            <w:r w:rsidR="00076432">
              <w:rPr>
                <w:noProof/>
                <w:webHidden/>
              </w:rPr>
              <w:tab/>
            </w:r>
            <w:r w:rsidR="00076432">
              <w:rPr>
                <w:noProof/>
                <w:webHidden/>
              </w:rPr>
              <w:fldChar w:fldCharType="begin"/>
            </w:r>
            <w:r w:rsidR="00076432">
              <w:rPr>
                <w:noProof/>
                <w:webHidden/>
              </w:rPr>
              <w:instrText xml:space="preserve"> PAGEREF _Toc106369922 \h </w:instrText>
            </w:r>
            <w:r w:rsidR="00076432">
              <w:rPr>
                <w:noProof/>
                <w:webHidden/>
              </w:rPr>
            </w:r>
            <w:r w:rsidR="00076432">
              <w:rPr>
                <w:noProof/>
                <w:webHidden/>
              </w:rPr>
              <w:fldChar w:fldCharType="separate"/>
            </w:r>
            <w:r w:rsidR="00076432">
              <w:rPr>
                <w:noProof/>
                <w:webHidden/>
              </w:rPr>
              <w:t>611</w:t>
            </w:r>
            <w:r w:rsidR="00076432">
              <w:rPr>
                <w:noProof/>
                <w:webHidden/>
              </w:rPr>
              <w:fldChar w:fldCharType="end"/>
            </w:r>
          </w:hyperlink>
        </w:p>
        <w:p w14:paraId="7EAD08CF" w14:textId="52345B07" w:rsidR="00076432" w:rsidRDefault="00500371">
          <w:pPr>
            <w:pStyle w:val="TOC2"/>
            <w:tabs>
              <w:tab w:val="right" w:leader="dot" w:pos="13670"/>
            </w:tabs>
            <w:rPr>
              <w:rFonts w:eastAsiaTheme="minorEastAsia"/>
              <w:noProof/>
            </w:rPr>
          </w:pPr>
          <w:hyperlink w:anchor="_Toc106369923" w:history="1">
            <w:r w:rsidR="00076432" w:rsidRPr="00704760">
              <w:rPr>
                <w:rStyle w:val="Hyperlink"/>
                <w:noProof/>
              </w:rPr>
              <w:t>Satralizumab (Enspryng)</w:t>
            </w:r>
            <w:r w:rsidR="00076432">
              <w:rPr>
                <w:noProof/>
                <w:webHidden/>
              </w:rPr>
              <w:tab/>
            </w:r>
            <w:r w:rsidR="00076432">
              <w:rPr>
                <w:noProof/>
                <w:webHidden/>
              </w:rPr>
              <w:fldChar w:fldCharType="begin"/>
            </w:r>
            <w:r w:rsidR="00076432">
              <w:rPr>
                <w:noProof/>
                <w:webHidden/>
              </w:rPr>
              <w:instrText xml:space="preserve"> PAGEREF _Toc106369923 \h </w:instrText>
            </w:r>
            <w:r w:rsidR="00076432">
              <w:rPr>
                <w:noProof/>
                <w:webHidden/>
              </w:rPr>
            </w:r>
            <w:r w:rsidR="00076432">
              <w:rPr>
                <w:noProof/>
                <w:webHidden/>
              </w:rPr>
              <w:fldChar w:fldCharType="separate"/>
            </w:r>
            <w:r w:rsidR="00076432">
              <w:rPr>
                <w:noProof/>
                <w:webHidden/>
              </w:rPr>
              <w:t>617</w:t>
            </w:r>
            <w:r w:rsidR="00076432">
              <w:rPr>
                <w:noProof/>
                <w:webHidden/>
              </w:rPr>
              <w:fldChar w:fldCharType="end"/>
            </w:r>
          </w:hyperlink>
        </w:p>
        <w:p w14:paraId="4F37DABE" w14:textId="192039EC" w:rsidR="00076432" w:rsidRDefault="00500371">
          <w:pPr>
            <w:pStyle w:val="TOC2"/>
            <w:tabs>
              <w:tab w:val="right" w:leader="dot" w:pos="13670"/>
            </w:tabs>
            <w:rPr>
              <w:rFonts w:eastAsiaTheme="minorEastAsia"/>
              <w:noProof/>
            </w:rPr>
          </w:pPr>
          <w:hyperlink w:anchor="_Toc106369924" w:history="1">
            <w:r w:rsidR="00076432" w:rsidRPr="00704760">
              <w:rPr>
                <w:rStyle w:val="Hyperlink"/>
                <w:noProof/>
              </w:rPr>
              <w:t>Secukinumab (Cosentyx)</w:t>
            </w:r>
            <w:r w:rsidR="00076432">
              <w:rPr>
                <w:noProof/>
                <w:webHidden/>
              </w:rPr>
              <w:tab/>
            </w:r>
            <w:r w:rsidR="00076432">
              <w:rPr>
                <w:noProof/>
                <w:webHidden/>
              </w:rPr>
              <w:fldChar w:fldCharType="begin"/>
            </w:r>
            <w:r w:rsidR="00076432">
              <w:rPr>
                <w:noProof/>
                <w:webHidden/>
              </w:rPr>
              <w:instrText xml:space="preserve"> PAGEREF _Toc106369924 \h </w:instrText>
            </w:r>
            <w:r w:rsidR="00076432">
              <w:rPr>
                <w:noProof/>
                <w:webHidden/>
              </w:rPr>
            </w:r>
            <w:r w:rsidR="00076432">
              <w:rPr>
                <w:noProof/>
                <w:webHidden/>
              </w:rPr>
              <w:fldChar w:fldCharType="separate"/>
            </w:r>
            <w:r w:rsidR="00076432">
              <w:rPr>
                <w:noProof/>
                <w:webHidden/>
              </w:rPr>
              <w:t>618</w:t>
            </w:r>
            <w:r w:rsidR="00076432">
              <w:rPr>
                <w:noProof/>
                <w:webHidden/>
              </w:rPr>
              <w:fldChar w:fldCharType="end"/>
            </w:r>
          </w:hyperlink>
        </w:p>
        <w:p w14:paraId="2CCF9A71" w14:textId="169E280F" w:rsidR="00076432" w:rsidRDefault="00500371">
          <w:pPr>
            <w:pStyle w:val="TOC2"/>
            <w:tabs>
              <w:tab w:val="right" w:leader="dot" w:pos="13670"/>
            </w:tabs>
            <w:rPr>
              <w:rFonts w:eastAsiaTheme="minorEastAsia"/>
              <w:noProof/>
            </w:rPr>
          </w:pPr>
          <w:hyperlink w:anchor="_Toc106369925" w:history="1">
            <w:r w:rsidR="00076432" w:rsidRPr="00704760">
              <w:rPr>
                <w:rStyle w:val="Hyperlink"/>
                <w:noProof/>
              </w:rPr>
              <w:t>Emsam</w:t>
            </w:r>
            <w:r w:rsidR="00076432" w:rsidRPr="00704760">
              <w:rPr>
                <w:rStyle w:val="Hyperlink"/>
                <w:noProof/>
              </w:rPr>
              <w:sym w:font="Symbol" w:char="F0D2"/>
            </w:r>
            <w:r w:rsidR="00076432" w:rsidRPr="00704760">
              <w:rPr>
                <w:rStyle w:val="Hyperlink"/>
                <w:noProof/>
              </w:rPr>
              <w:t xml:space="preserve"> (selegiline transdermal system)</w:t>
            </w:r>
            <w:r w:rsidR="00076432">
              <w:rPr>
                <w:noProof/>
                <w:webHidden/>
              </w:rPr>
              <w:tab/>
            </w:r>
            <w:r w:rsidR="00076432">
              <w:rPr>
                <w:noProof/>
                <w:webHidden/>
              </w:rPr>
              <w:fldChar w:fldCharType="begin"/>
            </w:r>
            <w:r w:rsidR="00076432">
              <w:rPr>
                <w:noProof/>
                <w:webHidden/>
              </w:rPr>
              <w:instrText xml:space="preserve"> PAGEREF _Toc106369925 \h </w:instrText>
            </w:r>
            <w:r w:rsidR="00076432">
              <w:rPr>
                <w:noProof/>
                <w:webHidden/>
              </w:rPr>
            </w:r>
            <w:r w:rsidR="00076432">
              <w:rPr>
                <w:noProof/>
                <w:webHidden/>
              </w:rPr>
              <w:fldChar w:fldCharType="separate"/>
            </w:r>
            <w:r w:rsidR="00076432">
              <w:rPr>
                <w:noProof/>
                <w:webHidden/>
              </w:rPr>
              <w:t>622</w:t>
            </w:r>
            <w:r w:rsidR="00076432">
              <w:rPr>
                <w:noProof/>
                <w:webHidden/>
              </w:rPr>
              <w:fldChar w:fldCharType="end"/>
            </w:r>
          </w:hyperlink>
        </w:p>
        <w:p w14:paraId="3364BEB6" w14:textId="488BC120" w:rsidR="00076432" w:rsidRDefault="00500371">
          <w:pPr>
            <w:pStyle w:val="TOC2"/>
            <w:tabs>
              <w:tab w:val="right" w:leader="dot" w:pos="13670"/>
            </w:tabs>
            <w:rPr>
              <w:rFonts w:eastAsiaTheme="minorEastAsia"/>
              <w:noProof/>
            </w:rPr>
          </w:pPr>
          <w:hyperlink w:anchor="_Toc106369926" w:history="1">
            <w:r w:rsidR="00076432" w:rsidRPr="00704760">
              <w:rPr>
                <w:rStyle w:val="Hyperlink"/>
                <w:noProof/>
              </w:rPr>
              <w:t>selegiline (Zelapar)</w:t>
            </w:r>
            <w:r w:rsidR="00076432">
              <w:rPr>
                <w:noProof/>
                <w:webHidden/>
              </w:rPr>
              <w:tab/>
            </w:r>
            <w:r w:rsidR="00076432">
              <w:rPr>
                <w:noProof/>
                <w:webHidden/>
              </w:rPr>
              <w:fldChar w:fldCharType="begin"/>
            </w:r>
            <w:r w:rsidR="00076432">
              <w:rPr>
                <w:noProof/>
                <w:webHidden/>
              </w:rPr>
              <w:instrText xml:space="preserve"> PAGEREF _Toc106369926 \h </w:instrText>
            </w:r>
            <w:r w:rsidR="00076432">
              <w:rPr>
                <w:noProof/>
                <w:webHidden/>
              </w:rPr>
            </w:r>
            <w:r w:rsidR="00076432">
              <w:rPr>
                <w:noProof/>
                <w:webHidden/>
              </w:rPr>
              <w:fldChar w:fldCharType="separate"/>
            </w:r>
            <w:r w:rsidR="00076432">
              <w:rPr>
                <w:noProof/>
                <w:webHidden/>
              </w:rPr>
              <w:t>624</w:t>
            </w:r>
            <w:r w:rsidR="00076432">
              <w:rPr>
                <w:noProof/>
                <w:webHidden/>
              </w:rPr>
              <w:fldChar w:fldCharType="end"/>
            </w:r>
          </w:hyperlink>
        </w:p>
        <w:p w14:paraId="3AF527E8" w14:textId="3DA8BE01" w:rsidR="00076432" w:rsidRDefault="00500371">
          <w:pPr>
            <w:pStyle w:val="TOC2"/>
            <w:tabs>
              <w:tab w:val="right" w:leader="dot" w:pos="13670"/>
            </w:tabs>
            <w:rPr>
              <w:rFonts w:eastAsiaTheme="minorEastAsia"/>
              <w:noProof/>
            </w:rPr>
          </w:pPr>
          <w:hyperlink w:anchor="_Toc106369927" w:history="1">
            <w:r w:rsidR="00076432" w:rsidRPr="00704760">
              <w:rPr>
                <w:rStyle w:val="Hyperlink"/>
                <w:noProof/>
                <w:lang w:val="es-ES"/>
              </w:rPr>
              <w:t>Selexipag (Uptravi)</w:t>
            </w:r>
            <w:r w:rsidR="00076432">
              <w:rPr>
                <w:noProof/>
                <w:webHidden/>
              </w:rPr>
              <w:tab/>
            </w:r>
            <w:r w:rsidR="00076432">
              <w:rPr>
                <w:noProof/>
                <w:webHidden/>
              </w:rPr>
              <w:fldChar w:fldCharType="begin"/>
            </w:r>
            <w:r w:rsidR="00076432">
              <w:rPr>
                <w:noProof/>
                <w:webHidden/>
              </w:rPr>
              <w:instrText xml:space="preserve"> PAGEREF _Toc106369927 \h </w:instrText>
            </w:r>
            <w:r w:rsidR="00076432">
              <w:rPr>
                <w:noProof/>
                <w:webHidden/>
              </w:rPr>
            </w:r>
            <w:r w:rsidR="00076432">
              <w:rPr>
                <w:noProof/>
                <w:webHidden/>
              </w:rPr>
              <w:fldChar w:fldCharType="separate"/>
            </w:r>
            <w:r w:rsidR="00076432">
              <w:rPr>
                <w:noProof/>
                <w:webHidden/>
              </w:rPr>
              <w:t>625</w:t>
            </w:r>
            <w:r w:rsidR="00076432">
              <w:rPr>
                <w:noProof/>
                <w:webHidden/>
              </w:rPr>
              <w:fldChar w:fldCharType="end"/>
            </w:r>
          </w:hyperlink>
        </w:p>
        <w:p w14:paraId="6A08B650" w14:textId="6291F28D" w:rsidR="00076432" w:rsidRDefault="00500371">
          <w:pPr>
            <w:pStyle w:val="TOC2"/>
            <w:tabs>
              <w:tab w:val="right" w:leader="dot" w:pos="13670"/>
            </w:tabs>
            <w:rPr>
              <w:rFonts w:eastAsiaTheme="minorEastAsia"/>
              <w:noProof/>
            </w:rPr>
          </w:pPr>
          <w:hyperlink w:anchor="_Toc106369928" w:history="1">
            <w:r w:rsidR="00076432" w:rsidRPr="00704760">
              <w:rPr>
                <w:rStyle w:val="Hyperlink"/>
                <w:noProof/>
              </w:rPr>
              <w:t>Selinexor (Xpovio)</w:t>
            </w:r>
            <w:r w:rsidR="00076432">
              <w:rPr>
                <w:noProof/>
                <w:webHidden/>
              </w:rPr>
              <w:tab/>
            </w:r>
            <w:r w:rsidR="00076432">
              <w:rPr>
                <w:noProof/>
                <w:webHidden/>
              </w:rPr>
              <w:fldChar w:fldCharType="begin"/>
            </w:r>
            <w:r w:rsidR="00076432">
              <w:rPr>
                <w:noProof/>
                <w:webHidden/>
              </w:rPr>
              <w:instrText xml:space="preserve"> PAGEREF _Toc106369928 \h </w:instrText>
            </w:r>
            <w:r w:rsidR="00076432">
              <w:rPr>
                <w:noProof/>
                <w:webHidden/>
              </w:rPr>
            </w:r>
            <w:r w:rsidR="00076432">
              <w:rPr>
                <w:noProof/>
                <w:webHidden/>
              </w:rPr>
              <w:fldChar w:fldCharType="separate"/>
            </w:r>
            <w:r w:rsidR="00076432">
              <w:rPr>
                <w:noProof/>
                <w:webHidden/>
              </w:rPr>
              <w:t>626</w:t>
            </w:r>
            <w:r w:rsidR="00076432">
              <w:rPr>
                <w:noProof/>
                <w:webHidden/>
              </w:rPr>
              <w:fldChar w:fldCharType="end"/>
            </w:r>
          </w:hyperlink>
        </w:p>
        <w:p w14:paraId="6B46FC64" w14:textId="70B558DF" w:rsidR="00076432" w:rsidRDefault="00500371">
          <w:pPr>
            <w:pStyle w:val="TOC2"/>
            <w:tabs>
              <w:tab w:val="right" w:leader="dot" w:pos="13670"/>
            </w:tabs>
            <w:rPr>
              <w:rFonts w:eastAsiaTheme="minorEastAsia"/>
              <w:noProof/>
            </w:rPr>
          </w:pPr>
          <w:hyperlink w:anchor="_Toc106369929" w:history="1">
            <w:r w:rsidR="00076432" w:rsidRPr="00704760">
              <w:rPr>
                <w:rStyle w:val="Hyperlink"/>
                <w:noProof/>
              </w:rPr>
              <w:t>Selumetinib (Koselugo)</w:t>
            </w:r>
            <w:r w:rsidR="00076432">
              <w:rPr>
                <w:noProof/>
                <w:webHidden/>
              </w:rPr>
              <w:tab/>
            </w:r>
            <w:r w:rsidR="00076432">
              <w:rPr>
                <w:noProof/>
                <w:webHidden/>
              </w:rPr>
              <w:fldChar w:fldCharType="begin"/>
            </w:r>
            <w:r w:rsidR="00076432">
              <w:rPr>
                <w:noProof/>
                <w:webHidden/>
              </w:rPr>
              <w:instrText xml:space="preserve"> PAGEREF _Toc106369929 \h </w:instrText>
            </w:r>
            <w:r w:rsidR="00076432">
              <w:rPr>
                <w:noProof/>
                <w:webHidden/>
              </w:rPr>
            </w:r>
            <w:r w:rsidR="00076432">
              <w:rPr>
                <w:noProof/>
                <w:webHidden/>
              </w:rPr>
              <w:fldChar w:fldCharType="separate"/>
            </w:r>
            <w:r w:rsidR="00076432">
              <w:rPr>
                <w:noProof/>
                <w:webHidden/>
              </w:rPr>
              <w:t>629</w:t>
            </w:r>
            <w:r w:rsidR="00076432">
              <w:rPr>
                <w:noProof/>
                <w:webHidden/>
              </w:rPr>
              <w:fldChar w:fldCharType="end"/>
            </w:r>
          </w:hyperlink>
        </w:p>
        <w:p w14:paraId="1D4D86A9" w14:textId="035C3B99" w:rsidR="00076432" w:rsidRDefault="00500371">
          <w:pPr>
            <w:pStyle w:val="TOC2"/>
            <w:tabs>
              <w:tab w:val="right" w:leader="dot" w:pos="13670"/>
            </w:tabs>
            <w:rPr>
              <w:rFonts w:eastAsiaTheme="minorEastAsia"/>
              <w:noProof/>
            </w:rPr>
          </w:pPr>
          <w:hyperlink w:anchor="_Toc106369930" w:history="1">
            <w:r w:rsidR="00076432" w:rsidRPr="00704760">
              <w:rPr>
                <w:rStyle w:val="Hyperlink"/>
                <w:noProof/>
              </w:rPr>
              <w:t>Semaglutide (Ozempic)</w:t>
            </w:r>
            <w:r w:rsidR="00076432">
              <w:rPr>
                <w:noProof/>
                <w:webHidden/>
              </w:rPr>
              <w:tab/>
            </w:r>
            <w:r w:rsidR="00076432">
              <w:rPr>
                <w:noProof/>
                <w:webHidden/>
              </w:rPr>
              <w:fldChar w:fldCharType="begin"/>
            </w:r>
            <w:r w:rsidR="00076432">
              <w:rPr>
                <w:noProof/>
                <w:webHidden/>
              </w:rPr>
              <w:instrText xml:space="preserve"> PAGEREF _Toc106369930 \h </w:instrText>
            </w:r>
            <w:r w:rsidR="00076432">
              <w:rPr>
                <w:noProof/>
                <w:webHidden/>
              </w:rPr>
            </w:r>
            <w:r w:rsidR="00076432">
              <w:rPr>
                <w:noProof/>
                <w:webHidden/>
              </w:rPr>
              <w:fldChar w:fldCharType="separate"/>
            </w:r>
            <w:r w:rsidR="00076432">
              <w:rPr>
                <w:noProof/>
                <w:webHidden/>
              </w:rPr>
              <w:t>630</w:t>
            </w:r>
            <w:r w:rsidR="00076432">
              <w:rPr>
                <w:noProof/>
                <w:webHidden/>
              </w:rPr>
              <w:fldChar w:fldCharType="end"/>
            </w:r>
          </w:hyperlink>
        </w:p>
        <w:p w14:paraId="4233BE76" w14:textId="132E0E47" w:rsidR="00076432" w:rsidRDefault="00500371">
          <w:pPr>
            <w:pStyle w:val="TOC2"/>
            <w:tabs>
              <w:tab w:val="right" w:leader="dot" w:pos="13670"/>
            </w:tabs>
            <w:rPr>
              <w:rFonts w:eastAsiaTheme="minorEastAsia"/>
              <w:noProof/>
            </w:rPr>
          </w:pPr>
          <w:hyperlink w:anchor="_Toc106369931" w:history="1">
            <w:r w:rsidR="00076432" w:rsidRPr="00704760">
              <w:rPr>
                <w:rStyle w:val="Hyperlink"/>
                <w:noProof/>
              </w:rPr>
              <w:t>Semaglutide (Rybelsus)</w:t>
            </w:r>
            <w:r w:rsidR="00076432">
              <w:rPr>
                <w:noProof/>
                <w:webHidden/>
              </w:rPr>
              <w:tab/>
            </w:r>
            <w:r w:rsidR="00076432">
              <w:rPr>
                <w:noProof/>
                <w:webHidden/>
              </w:rPr>
              <w:fldChar w:fldCharType="begin"/>
            </w:r>
            <w:r w:rsidR="00076432">
              <w:rPr>
                <w:noProof/>
                <w:webHidden/>
              </w:rPr>
              <w:instrText xml:space="preserve"> PAGEREF _Toc106369931 \h </w:instrText>
            </w:r>
            <w:r w:rsidR="00076432">
              <w:rPr>
                <w:noProof/>
                <w:webHidden/>
              </w:rPr>
            </w:r>
            <w:r w:rsidR="00076432">
              <w:rPr>
                <w:noProof/>
                <w:webHidden/>
              </w:rPr>
              <w:fldChar w:fldCharType="separate"/>
            </w:r>
            <w:r w:rsidR="00076432">
              <w:rPr>
                <w:noProof/>
                <w:webHidden/>
              </w:rPr>
              <w:t>631</w:t>
            </w:r>
            <w:r w:rsidR="00076432">
              <w:rPr>
                <w:noProof/>
                <w:webHidden/>
              </w:rPr>
              <w:fldChar w:fldCharType="end"/>
            </w:r>
          </w:hyperlink>
        </w:p>
        <w:p w14:paraId="561E9021" w14:textId="0CA3940F" w:rsidR="00076432" w:rsidRDefault="00500371">
          <w:pPr>
            <w:pStyle w:val="TOC2"/>
            <w:tabs>
              <w:tab w:val="right" w:leader="dot" w:pos="13670"/>
            </w:tabs>
            <w:rPr>
              <w:rFonts w:eastAsiaTheme="minorEastAsia"/>
              <w:noProof/>
            </w:rPr>
          </w:pPr>
          <w:hyperlink w:anchor="_Toc106369932" w:history="1">
            <w:r w:rsidR="00076432" w:rsidRPr="00704760">
              <w:rPr>
                <w:rStyle w:val="Hyperlink"/>
                <w:noProof/>
              </w:rPr>
              <w:t>Sildenafil (Revatio)</w:t>
            </w:r>
            <w:r w:rsidR="00076432">
              <w:rPr>
                <w:noProof/>
                <w:webHidden/>
              </w:rPr>
              <w:tab/>
            </w:r>
            <w:r w:rsidR="00076432">
              <w:rPr>
                <w:noProof/>
                <w:webHidden/>
              </w:rPr>
              <w:fldChar w:fldCharType="begin"/>
            </w:r>
            <w:r w:rsidR="00076432">
              <w:rPr>
                <w:noProof/>
                <w:webHidden/>
              </w:rPr>
              <w:instrText xml:space="preserve"> PAGEREF _Toc106369932 \h </w:instrText>
            </w:r>
            <w:r w:rsidR="00076432">
              <w:rPr>
                <w:noProof/>
                <w:webHidden/>
              </w:rPr>
            </w:r>
            <w:r w:rsidR="00076432">
              <w:rPr>
                <w:noProof/>
                <w:webHidden/>
              </w:rPr>
              <w:fldChar w:fldCharType="separate"/>
            </w:r>
            <w:r w:rsidR="00076432">
              <w:rPr>
                <w:noProof/>
                <w:webHidden/>
              </w:rPr>
              <w:t>633</w:t>
            </w:r>
            <w:r w:rsidR="00076432">
              <w:rPr>
                <w:noProof/>
                <w:webHidden/>
              </w:rPr>
              <w:fldChar w:fldCharType="end"/>
            </w:r>
          </w:hyperlink>
        </w:p>
        <w:p w14:paraId="6D8C24F7" w14:textId="37015364" w:rsidR="00076432" w:rsidRDefault="00500371">
          <w:pPr>
            <w:pStyle w:val="TOC2"/>
            <w:tabs>
              <w:tab w:val="right" w:leader="dot" w:pos="13670"/>
            </w:tabs>
            <w:rPr>
              <w:rFonts w:eastAsiaTheme="minorEastAsia"/>
              <w:noProof/>
            </w:rPr>
          </w:pPr>
          <w:hyperlink w:anchor="_Toc106369933" w:history="1">
            <w:r w:rsidR="00076432" w:rsidRPr="00704760">
              <w:rPr>
                <w:rStyle w:val="Hyperlink"/>
                <w:noProof/>
              </w:rPr>
              <w:t>Sipuleucel T (Provenge)</w:t>
            </w:r>
            <w:r w:rsidR="00076432">
              <w:rPr>
                <w:noProof/>
                <w:webHidden/>
              </w:rPr>
              <w:tab/>
            </w:r>
            <w:r w:rsidR="00076432">
              <w:rPr>
                <w:noProof/>
                <w:webHidden/>
              </w:rPr>
              <w:fldChar w:fldCharType="begin"/>
            </w:r>
            <w:r w:rsidR="00076432">
              <w:rPr>
                <w:noProof/>
                <w:webHidden/>
              </w:rPr>
              <w:instrText xml:space="preserve"> PAGEREF _Toc106369933 \h </w:instrText>
            </w:r>
            <w:r w:rsidR="00076432">
              <w:rPr>
                <w:noProof/>
                <w:webHidden/>
              </w:rPr>
            </w:r>
            <w:r w:rsidR="00076432">
              <w:rPr>
                <w:noProof/>
                <w:webHidden/>
              </w:rPr>
              <w:fldChar w:fldCharType="separate"/>
            </w:r>
            <w:r w:rsidR="00076432">
              <w:rPr>
                <w:noProof/>
                <w:webHidden/>
              </w:rPr>
              <w:t>633</w:t>
            </w:r>
            <w:r w:rsidR="00076432">
              <w:rPr>
                <w:noProof/>
                <w:webHidden/>
              </w:rPr>
              <w:fldChar w:fldCharType="end"/>
            </w:r>
          </w:hyperlink>
        </w:p>
        <w:p w14:paraId="347315E9" w14:textId="16326B79" w:rsidR="00076432" w:rsidRDefault="00500371">
          <w:pPr>
            <w:pStyle w:val="TOC2"/>
            <w:tabs>
              <w:tab w:val="right" w:leader="dot" w:pos="13670"/>
            </w:tabs>
            <w:rPr>
              <w:rFonts w:eastAsiaTheme="minorEastAsia"/>
              <w:noProof/>
            </w:rPr>
          </w:pPr>
          <w:hyperlink w:anchor="_Toc106369934" w:history="1">
            <w:r w:rsidR="00076432" w:rsidRPr="00704760">
              <w:rPr>
                <w:rStyle w:val="Hyperlink"/>
                <w:noProof/>
              </w:rPr>
              <w:t>Somatropin (Zorbtive)</w:t>
            </w:r>
            <w:r w:rsidR="00076432">
              <w:rPr>
                <w:noProof/>
                <w:webHidden/>
              </w:rPr>
              <w:tab/>
            </w:r>
            <w:r w:rsidR="00076432">
              <w:rPr>
                <w:noProof/>
                <w:webHidden/>
              </w:rPr>
              <w:fldChar w:fldCharType="begin"/>
            </w:r>
            <w:r w:rsidR="00076432">
              <w:rPr>
                <w:noProof/>
                <w:webHidden/>
              </w:rPr>
              <w:instrText xml:space="preserve"> PAGEREF _Toc106369934 \h </w:instrText>
            </w:r>
            <w:r w:rsidR="00076432">
              <w:rPr>
                <w:noProof/>
                <w:webHidden/>
              </w:rPr>
            </w:r>
            <w:r w:rsidR="00076432">
              <w:rPr>
                <w:noProof/>
                <w:webHidden/>
              </w:rPr>
              <w:fldChar w:fldCharType="separate"/>
            </w:r>
            <w:r w:rsidR="00076432">
              <w:rPr>
                <w:noProof/>
                <w:webHidden/>
              </w:rPr>
              <w:t>636</w:t>
            </w:r>
            <w:r w:rsidR="00076432">
              <w:rPr>
                <w:noProof/>
                <w:webHidden/>
              </w:rPr>
              <w:fldChar w:fldCharType="end"/>
            </w:r>
          </w:hyperlink>
        </w:p>
        <w:p w14:paraId="3E1C60FD" w14:textId="54B3C075" w:rsidR="00076432" w:rsidRDefault="00500371">
          <w:pPr>
            <w:pStyle w:val="TOC2"/>
            <w:tabs>
              <w:tab w:val="right" w:leader="dot" w:pos="13670"/>
            </w:tabs>
            <w:rPr>
              <w:rFonts w:eastAsiaTheme="minorEastAsia"/>
              <w:noProof/>
            </w:rPr>
          </w:pPr>
          <w:hyperlink w:anchor="_Toc106369935" w:history="1">
            <w:r w:rsidR="00076432" w:rsidRPr="00704760">
              <w:rPr>
                <w:rStyle w:val="Hyperlink"/>
                <w:noProof/>
              </w:rPr>
              <w:t>Sorafenib (Nexavar)</w:t>
            </w:r>
            <w:r w:rsidR="00076432">
              <w:rPr>
                <w:noProof/>
                <w:webHidden/>
              </w:rPr>
              <w:tab/>
            </w:r>
            <w:r w:rsidR="00076432">
              <w:rPr>
                <w:noProof/>
                <w:webHidden/>
              </w:rPr>
              <w:fldChar w:fldCharType="begin"/>
            </w:r>
            <w:r w:rsidR="00076432">
              <w:rPr>
                <w:noProof/>
                <w:webHidden/>
              </w:rPr>
              <w:instrText xml:space="preserve"> PAGEREF _Toc106369935 \h </w:instrText>
            </w:r>
            <w:r w:rsidR="00076432">
              <w:rPr>
                <w:noProof/>
                <w:webHidden/>
              </w:rPr>
            </w:r>
            <w:r w:rsidR="00076432">
              <w:rPr>
                <w:noProof/>
                <w:webHidden/>
              </w:rPr>
              <w:fldChar w:fldCharType="separate"/>
            </w:r>
            <w:r w:rsidR="00076432">
              <w:rPr>
                <w:noProof/>
                <w:webHidden/>
              </w:rPr>
              <w:t>637</w:t>
            </w:r>
            <w:r w:rsidR="00076432">
              <w:rPr>
                <w:noProof/>
                <w:webHidden/>
              </w:rPr>
              <w:fldChar w:fldCharType="end"/>
            </w:r>
          </w:hyperlink>
        </w:p>
        <w:p w14:paraId="61C19F7A" w14:textId="16AE4367" w:rsidR="00076432" w:rsidRDefault="00500371">
          <w:pPr>
            <w:pStyle w:val="TOC2"/>
            <w:tabs>
              <w:tab w:val="right" w:leader="dot" w:pos="13670"/>
            </w:tabs>
            <w:rPr>
              <w:rFonts w:eastAsiaTheme="minorEastAsia"/>
              <w:noProof/>
            </w:rPr>
          </w:pPr>
          <w:hyperlink w:anchor="_Toc106369936" w:history="1">
            <w:r w:rsidR="00076432" w:rsidRPr="00704760">
              <w:rPr>
                <w:rStyle w:val="Hyperlink"/>
                <w:noProof/>
              </w:rPr>
              <w:t>Spinosad (Natroba)</w:t>
            </w:r>
            <w:r w:rsidR="00076432">
              <w:rPr>
                <w:noProof/>
                <w:webHidden/>
              </w:rPr>
              <w:tab/>
            </w:r>
            <w:r w:rsidR="00076432">
              <w:rPr>
                <w:noProof/>
                <w:webHidden/>
              </w:rPr>
              <w:fldChar w:fldCharType="begin"/>
            </w:r>
            <w:r w:rsidR="00076432">
              <w:rPr>
                <w:noProof/>
                <w:webHidden/>
              </w:rPr>
              <w:instrText xml:space="preserve"> PAGEREF _Toc106369936 \h </w:instrText>
            </w:r>
            <w:r w:rsidR="00076432">
              <w:rPr>
                <w:noProof/>
                <w:webHidden/>
              </w:rPr>
            </w:r>
            <w:r w:rsidR="00076432">
              <w:rPr>
                <w:noProof/>
                <w:webHidden/>
              </w:rPr>
              <w:fldChar w:fldCharType="separate"/>
            </w:r>
            <w:r w:rsidR="00076432">
              <w:rPr>
                <w:noProof/>
                <w:webHidden/>
              </w:rPr>
              <w:t>642</w:t>
            </w:r>
            <w:r w:rsidR="00076432">
              <w:rPr>
                <w:noProof/>
                <w:webHidden/>
              </w:rPr>
              <w:fldChar w:fldCharType="end"/>
            </w:r>
          </w:hyperlink>
        </w:p>
        <w:p w14:paraId="5C0FF5CB" w14:textId="028590B3" w:rsidR="00076432" w:rsidRDefault="00500371">
          <w:pPr>
            <w:pStyle w:val="TOC2"/>
            <w:tabs>
              <w:tab w:val="right" w:leader="dot" w:pos="13670"/>
            </w:tabs>
            <w:rPr>
              <w:rFonts w:eastAsiaTheme="minorEastAsia"/>
              <w:noProof/>
            </w:rPr>
          </w:pPr>
          <w:hyperlink w:anchor="_Toc106369937" w:history="1">
            <w:r w:rsidR="00076432" w:rsidRPr="00704760">
              <w:rPr>
                <w:rStyle w:val="Hyperlink"/>
                <w:noProof/>
              </w:rPr>
              <w:t>Stiripentol (Diacomit)</w:t>
            </w:r>
            <w:r w:rsidR="00076432">
              <w:rPr>
                <w:noProof/>
                <w:webHidden/>
              </w:rPr>
              <w:tab/>
            </w:r>
            <w:r w:rsidR="00076432">
              <w:rPr>
                <w:noProof/>
                <w:webHidden/>
              </w:rPr>
              <w:fldChar w:fldCharType="begin"/>
            </w:r>
            <w:r w:rsidR="00076432">
              <w:rPr>
                <w:noProof/>
                <w:webHidden/>
              </w:rPr>
              <w:instrText xml:space="preserve"> PAGEREF _Toc106369937 \h </w:instrText>
            </w:r>
            <w:r w:rsidR="00076432">
              <w:rPr>
                <w:noProof/>
                <w:webHidden/>
              </w:rPr>
            </w:r>
            <w:r w:rsidR="00076432">
              <w:rPr>
                <w:noProof/>
                <w:webHidden/>
              </w:rPr>
              <w:fldChar w:fldCharType="separate"/>
            </w:r>
            <w:r w:rsidR="00076432">
              <w:rPr>
                <w:noProof/>
                <w:webHidden/>
              </w:rPr>
              <w:t>643</w:t>
            </w:r>
            <w:r w:rsidR="00076432">
              <w:rPr>
                <w:noProof/>
                <w:webHidden/>
              </w:rPr>
              <w:fldChar w:fldCharType="end"/>
            </w:r>
          </w:hyperlink>
        </w:p>
        <w:p w14:paraId="6B554ADB" w14:textId="6F0D99FD" w:rsidR="00076432" w:rsidRDefault="00500371">
          <w:pPr>
            <w:pStyle w:val="TOC2"/>
            <w:tabs>
              <w:tab w:val="right" w:leader="dot" w:pos="13670"/>
            </w:tabs>
            <w:rPr>
              <w:rFonts w:eastAsiaTheme="minorEastAsia"/>
              <w:noProof/>
            </w:rPr>
          </w:pPr>
          <w:hyperlink w:anchor="_Toc106369938" w:history="1">
            <w:r w:rsidR="00076432" w:rsidRPr="00704760">
              <w:rPr>
                <w:rStyle w:val="Hyperlink"/>
                <w:noProof/>
                <w:lang w:val="fr-FR"/>
              </w:rPr>
              <w:t>Sunitinib (Sutent)</w:t>
            </w:r>
            <w:r w:rsidR="00076432">
              <w:rPr>
                <w:noProof/>
                <w:webHidden/>
              </w:rPr>
              <w:tab/>
            </w:r>
            <w:r w:rsidR="00076432">
              <w:rPr>
                <w:noProof/>
                <w:webHidden/>
              </w:rPr>
              <w:fldChar w:fldCharType="begin"/>
            </w:r>
            <w:r w:rsidR="00076432">
              <w:rPr>
                <w:noProof/>
                <w:webHidden/>
              </w:rPr>
              <w:instrText xml:space="preserve"> PAGEREF _Toc106369938 \h </w:instrText>
            </w:r>
            <w:r w:rsidR="00076432">
              <w:rPr>
                <w:noProof/>
                <w:webHidden/>
              </w:rPr>
            </w:r>
            <w:r w:rsidR="00076432">
              <w:rPr>
                <w:noProof/>
                <w:webHidden/>
              </w:rPr>
              <w:fldChar w:fldCharType="separate"/>
            </w:r>
            <w:r w:rsidR="00076432">
              <w:rPr>
                <w:noProof/>
                <w:webHidden/>
              </w:rPr>
              <w:t>644</w:t>
            </w:r>
            <w:r w:rsidR="00076432">
              <w:rPr>
                <w:noProof/>
                <w:webHidden/>
              </w:rPr>
              <w:fldChar w:fldCharType="end"/>
            </w:r>
          </w:hyperlink>
        </w:p>
        <w:p w14:paraId="422592CB" w14:textId="27B045BB" w:rsidR="00076432" w:rsidRDefault="00500371">
          <w:pPr>
            <w:pStyle w:val="TOC2"/>
            <w:tabs>
              <w:tab w:val="right" w:leader="dot" w:pos="13670"/>
            </w:tabs>
            <w:rPr>
              <w:rFonts w:eastAsiaTheme="minorEastAsia"/>
              <w:noProof/>
            </w:rPr>
          </w:pPr>
          <w:hyperlink w:anchor="_Toc106369939" w:history="1">
            <w:r w:rsidR="00076432" w:rsidRPr="00704760">
              <w:rPr>
                <w:rStyle w:val="Hyperlink"/>
                <w:noProof/>
              </w:rPr>
              <w:t>Tadalafil (Adcirca)</w:t>
            </w:r>
            <w:r w:rsidR="00076432">
              <w:rPr>
                <w:noProof/>
                <w:webHidden/>
              </w:rPr>
              <w:tab/>
            </w:r>
            <w:r w:rsidR="00076432">
              <w:rPr>
                <w:noProof/>
                <w:webHidden/>
              </w:rPr>
              <w:fldChar w:fldCharType="begin"/>
            </w:r>
            <w:r w:rsidR="00076432">
              <w:rPr>
                <w:noProof/>
                <w:webHidden/>
              </w:rPr>
              <w:instrText xml:space="preserve"> PAGEREF _Toc106369939 \h </w:instrText>
            </w:r>
            <w:r w:rsidR="00076432">
              <w:rPr>
                <w:noProof/>
                <w:webHidden/>
              </w:rPr>
            </w:r>
            <w:r w:rsidR="00076432">
              <w:rPr>
                <w:noProof/>
                <w:webHidden/>
              </w:rPr>
              <w:fldChar w:fldCharType="separate"/>
            </w:r>
            <w:r w:rsidR="00076432">
              <w:rPr>
                <w:noProof/>
                <w:webHidden/>
              </w:rPr>
              <w:t>649</w:t>
            </w:r>
            <w:r w:rsidR="00076432">
              <w:rPr>
                <w:noProof/>
                <w:webHidden/>
              </w:rPr>
              <w:fldChar w:fldCharType="end"/>
            </w:r>
          </w:hyperlink>
        </w:p>
        <w:p w14:paraId="367D4A7E" w14:textId="1A9CF64D" w:rsidR="00076432" w:rsidRDefault="00500371">
          <w:pPr>
            <w:pStyle w:val="TOC2"/>
            <w:tabs>
              <w:tab w:val="right" w:leader="dot" w:pos="13670"/>
            </w:tabs>
            <w:rPr>
              <w:rFonts w:eastAsiaTheme="minorEastAsia"/>
              <w:noProof/>
            </w:rPr>
          </w:pPr>
          <w:hyperlink w:anchor="_Toc106369940" w:history="1">
            <w:r w:rsidR="00076432" w:rsidRPr="00704760">
              <w:rPr>
                <w:rStyle w:val="Hyperlink"/>
                <w:noProof/>
              </w:rPr>
              <w:t>Tafamidis (Vyndaqel)</w:t>
            </w:r>
            <w:r w:rsidR="00076432">
              <w:rPr>
                <w:noProof/>
                <w:webHidden/>
              </w:rPr>
              <w:tab/>
            </w:r>
            <w:r w:rsidR="00076432">
              <w:rPr>
                <w:noProof/>
                <w:webHidden/>
              </w:rPr>
              <w:fldChar w:fldCharType="begin"/>
            </w:r>
            <w:r w:rsidR="00076432">
              <w:rPr>
                <w:noProof/>
                <w:webHidden/>
              </w:rPr>
              <w:instrText xml:space="preserve"> PAGEREF _Toc106369940 \h </w:instrText>
            </w:r>
            <w:r w:rsidR="00076432">
              <w:rPr>
                <w:noProof/>
                <w:webHidden/>
              </w:rPr>
            </w:r>
            <w:r w:rsidR="00076432">
              <w:rPr>
                <w:noProof/>
                <w:webHidden/>
              </w:rPr>
              <w:fldChar w:fldCharType="separate"/>
            </w:r>
            <w:r w:rsidR="00076432">
              <w:rPr>
                <w:noProof/>
                <w:webHidden/>
              </w:rPr>
              <w:t>651</w:t>
            </w:r>
            <w:r w:rsidR="00076432">
              <w:rPr>
                <w:noProof/>
                <w:webHidden/>
              </w:rPr>
              <w:fldChar w:fldCharType="end"/>
            </w:r>
          </w:hyperlink>
        </w:p>
        <w:p w14:paraId="7F9F87F4" w14:textId="4661076C" w:rsidR="00076432" w:rsidRDefault="00500371">
          <w:pPr>
            <w:pStyle w:val="TOC2"/>
            <w:tabs>
              <w:tab w:val="right" w:leader="dot" w:pos="13670"/>
            </w:tabs>
            <w:rPr>
              <w:rFonts w:eastAsiaTheme="minorEastAsia"/>
              <w:noProof/>
            </w:rPr>
          </w:pPr>
          <w:hyperlink w:anchor="_Toc106369941" w:history="1">
            <w:r w:rsidR="00076432" w:rsidRPr="00704760">
              <w:rPr>
                <w:rStyle w:val="Hyperlink"/>
                <w:noProof/>
              </w:rPr>
              <w:t>Talazoparib (Talzenna)</w:t>
            </w:r>
            <w:r w:rsidR="00076432">
              <w:rPr>
                <w:noProof/>
                <w:webHidden/>
              </w:rPr>
              <w:tab/>
            </w:r>
            <w:r w:rsidR="00076432">
              <w:rPr>
                <w:noProof/>
                <w:webHidden/>
              </w:rPr>
              <w:fldChar w:fldCharType="begin"/>
            </w:r>
            <w:r w:rsidR="00076432">
              <w:rPr>
                <w:noProof/>
                <w:webHidden/>
              </w:rPr>
              <w:instrText xml:space="preserve"> PAGEREF _Toc106369941 \h </w:instrText>
            </w:r>
            <w:r w:rsidR="00076432">
              <w:rPr>
                <w:noProof/>
                <w:webHidden/>
              </w:rPr>
            </w:r>
            <w:r w:rsidR="00076432">
              <w:rPr>
                <w:noProof/>
                <w:webHidden/>
              </w:rPr>
              <w:fldChar w:fldCharType="separate"/>
            </w:r>
            <w:r w:rsidR="00076432">
              <w:rPr>
                <w:noProof/>
                <w:webHidden/>
              </w:rPr>
              <w:t>652</w:t>
            </w:r>
            <w:r w:rsidR="00076432">
              <w:rPr>
                <w:noProof/>
                <w:webHidden/>
              </w:rPr>
              <w:fldChar w:fldCharType="end"/>
            </w:r>
          </w:hyperlink>
        </w:p>
        <w:p w14:paraId="262FA716" w14:textId="560DB213" w:rsidR="00076432" w:rsidRDefault="00500371">
          <w:pPr>
            <w:pStyle w:val="TOC2"/>
            <w:tabs>
              <w:tab w:val="right" w:leader="dot" w:pos="13670"/>
            </w:tabs>
            <w:rPr>
              <w:rFonts w:eastAsiaTheme="minorEastAsia"/>
              <w:noProof/>
            </w:rPr>
          </w:pPr>
          <w:hyperlink w:anchor="_Toc106369942" w:history="1">
            <w:r w:rsidR="00076432" w:rsidRPr="00704760">
              <w:rPr>
                <w:rStyle w:val="Hyperlink"/>
                <w:noProof/>
                <w:lang w:val="es-ES"/>
              </w:rPr>
              <w:t>Teprotumumab-trbw (Tepezza)</w:t>
            </w:r>
            <w:r w:rsidR="00076432">
              <w:rPr>
                <w:noProof/>
                <w:webHidden/>
              </w:rPr>
              <w:tab/>
            </w:r>
            <w:r w:rsidR="00076432">
              <w:rPr>
                <w:noProof/>
                <w:webHidden/>
              </w:rPr>
              <w:fldChar w:fldCharType="begin"/>
            </w:r>
            <w:r w:rsidR="00076432">
              <w:rPr>
                <w:noProof/>
                <w:webHidden/>
              </w:rPr>
              <w:instrText xml:space="preserve"> PAGEREF _Toc106369942 \h </w:instrText>
            </w:r>
            <w:r w:rsidR="00076432">
              <w:rPr>
                <w:noProof/>
                <w:webHidden/>
              </w:rPr>
            </w:r>
            <w:r w:rsidR="00076432">
              <w:rPr>
                <w:noProof/>
                <w:webHidden/>
              </w:rPr>
              <w:fldChar w:fldCharType="separate"/>
            </w:r>
            <w:r w:rsidR="00076432">
              <w:rPr>
                <w:noProof/>
                <w:webHidden/>
              </w:rPr>
              <w:t>655</w:t>
            </w:r>
            <w:r w:rsidR="00076432">
              <w:rPr>
                <w:noProof/>
                <w:webHidden/>
              </w:rPr>
              <w:fldChar w:fldCharType="end"/>
            </w:r>
          </w:hyperlink>
        </w:p>
        <w:p w14:paraId="0D29ABD2" w14:textId="102EBCDE" w:rsidR="00076432" w:rsidRDefault="00500371">
          <w:pPr>
            <w:pStyle w:val="TOC2"/>
            <w:tabs>
              <w:tab w:val="right" w:leader="dot" w:pos="13670"/>
            </w:tabs>
            <w:rPr>
              <w:rFonts w:eastAsiaTheme="minorEastAsia"/>
              <w:noProof/>
            </w:rPr>
          </w:pPr>
          <w:hyperlink w:anchor="_Toc106369943" w:history="1">
            <w:r w:rsidR="00076432" w:rsidRPr="00704760">
              <w:rPr>
                <w:rStyle w:val="Hyperlink"/>
                <w:noProof/>
              </w:rPr>
              <w:t>Teriflunomide (Aubagio)</w:t>
            </w:r>
            <w:r w:rsidR="00076432">
              <w:rPr>
                <w:noProof/>
                <w:webHidden/>
              </w:rPr>
              <w:tab/>
            </w:r>
            <w:r w:rsidR="00076432">
              <w:rPr>
                <w:noProof/>
                <w:webHidden/>
              </w:rPr>
              <w:fldChar w:fldCharType="begin"/>
            </w:r>
            <w:r w:rsidR="00076432">
              <w:rPr>
                <w:noProof/>
                <w:webHidden/>
              </w:rPr>
              <w:instrText xml:space="preserve"> PAGEREF _Toc106369943 \h </w:instrText>
            </w:r>
            <w:r w:rsidR="00076432">
              <w:rPr>
                <w:noProof/>
                <w:webHidden/>
              </w:rPr>
            </w:r>
            <w:r w:rsidR="00076432">
              <w:rPr>
                <w:noProof/>
                <w:webHidden/>
              </w:rPr>
              <w:fldChar w:fldCharType="separate"/>
            </w:r>
            <w:r w:rsidR="00076432">
              <w:rPr>
                <w:noProof/>
                <w:webHidden/>
              </w:rPr>
              <w:t>656</w:t>
            </w:r>
            <w:r w:rsidR="00076432">
              <w:rPr>
                <w:noProof/>
                <w:webHidden/>
              </w:rPr>
              <w:fldChar w:fldCharType="end"/>
            </w:r>
          </w:hyperlink>
        </w:p>
        <w:p w14:paraId="12B14CF1" w14:textId="0C8F738A" w:rsidR="00076432" w:rsidRDefault="00500371">
          <w:pPr>
            <w:pStyle w:val="TOC2"/>
            <w:tabs>
              <w:tab w:val="right" w:leader="dot" w:pos="13670"/>
            </w:tabs>
            <w:rPr>
              <w:rFonts w:eastAsiaTheme="minorEastAsia"/>
              <w:noProof/>
            </w:rPr>
          </w:pPr>
          <w:hyperlink w:anchor="_Toc106369944" w:history="1">
            <w:r w:rsidR="00076432" w:rsidRPr="00704760">
              <w:rPr>
                <w:rStyle w:val="Hyperlink"/>
                <w:noProof/>
              </w:rPr>
              <w:t>Tetrabenazine (Xenazine)</w:t>
            </w:r>
            <w:r w:rsidR="00076432">
              <w:rPr>
                <w:noProof/>
                <w:webHidden/>
              </w:rPr>
              <w:tab/>
            </w:r>
            <w:r w:rsidR="00076432">
              <w:rPr>
                <w:noProof/>
                <w:webHidden/>
              </w:rPr>
              <w:fldChar w:fldCharType="begin"/>
            </w:r>
            <w:r w:rsidR="00076432">
              <w:rPr>
                <w:noProof/>
                <w:webHidden/>
              </w:rPr>
              <w:instrText xml:space="preserve"> PAGEREF _Toc106369944 \h </w:instrText>
            </w:r>
            <w:r w:rsidR="00076432">
              <w:rPr>
                <w:noProof/>
                <w:webHidden/>
              </w:rPr>
            </w:r>
            <w:r w:rsidR="00076432">
              <w:rPr>
                <w:noProof/>
                <w:webHidden/>
              </w:rPr>
              <w:fldChar w:fldCharType="separate"/>
            </w:r>
            <w:r w:rsidR="00076432">
              <w:rPr>
                <w:noProof/>
                <w:webHidden/>
              </w:rPr>
              <w:t>657</w:t>
            </w:r>
            <w:r w:rsidR="00076432">
              <w:rPr>
                <w:noProof/>
                <w:webHidden/>
              </w:rPr>
              <w:fldChar w:fldCharType="end"/>
            </w:r>
          </w:hyperlink>
        </w:p>
        <w:p w14:paraId="36E16F20" w14:textId="59E6334C" w:rsidR="00076432" w:rsidRDefault="00500371">
          <w:pPr>
            <w:pStyle w:val="TOC2"/>
            <w:tabs>
              <w:tab w:val="right" w:leader="dot" w:pos="13670"/>
            </w:tabs>
            <w:rPr>
              <w:rFonts w:eastAsiaTheme="minorEastAsia"/>
              <w:noProof/>
            </w:rPr>
          </w:pPr>
          <w:hyperlink w:anchor="_Toc106369945" w:history="1">
            <w:r w:rsidR="00076432" w:rsidRPr="00704760">
              <w:rPr>
                <w:rStyle w:val="Hyperlink"/>
                <w:noProof/>
              </w:rPr>
              <w:t>Tezacaftor-ivacaftor (Symdeko)</w:t>
            </w:r>
            <w:r w:rsidR="00076432">
              <w:rPr>
                <w:noProof/>
                <w:webHidden/>
              </w:rPr>
              <w:tab/>
            </w:r>
            <w:r w:rsidR="00076432">
              <w:rPr>
                <w:noProof/>
                <w:webHidden/>
              </w:rPr>
              <w:fldChar w:fldCharType="begin"/>
            </w:r>
            <w:r w:rsidR="00076432">
              <w:rPr>
                <w:noProof/>
                <w:webHidden/>
              </w:rPr>
              <w:instrText xml:space="preserve"> PAGEREF _Toc106369945 \h </w:instrText>
            </w:r>
            <w:r w:rsidR="00076432">
              <w:rPr>
                <w:noProof/>
                <w:webHidden/>
              </w:rPr>
            </w:r>
            <w:r w:rsidR="00076432">
              <w:rPr>
                <w:noProof/>
                <w:webHidden/>
              </w:rPr>
              <w:fldChar w:fldCharType="separate"/>
            </w:r>
            <w:r w:rsidR="00076432">
              <w:rPr>
                <w:noProof/>
                <w:webHidden/>
              </w:rPr>
              <w:t>659</w:t>
            </w:r>
            <w:r w:rsidR="00076432">
              <w:rPr>
                <w:noProof/>
                <w:webHidden/>
              </w:rPr>
              <w:fldChar w:fldCharType="end"/>
            </w:r>
          </w:hyperlink>
        </w:p>
        <w:p w14:paraId="0170F399" w14:textId="5EC19882" w:rsidR="00076432" w:rsidRDefault="00500371">
          <w:pPr>
            <w:pStyle w:val="TOC2"/>
            <w:tabs>
              <w:tab w:val="right" w:leader="dot" w:pos="13670"/>
            </w:tabs>
            <w:rPr>
              <w:rFonts w:eastAsiaTheme="minorEastAsia"/>
              <w:noProof/>
            </w:rPr>
          </w:pPr>
          <w:hyperlink w:anchor="_Toc106369946" w:history="1">
            <w:r w:rsidR="00076432" w:rsidRPr="00704760">
              <w:rPr>
                <w:rStyle w:val="Hyperlink"/>
                <w:noProof/>
              </w:rPr>
              <w:t>inhaled tobramycin (TOBI)</w:t>
            </w:r>
            <w:r w:rsidR="00076432">
              <w:rPr>
                <w:noProof/>
                <w:webHidden/>
              </w:rPr>
              <w:tab/>
            </w:r>
            <w:r w:rsidR="00076432">
              <w:rPr>
                <w:noProof/>
                <w:webHidden/>
              </w:rPr>
              <w:fldChar w:fldCharType="begin"/>
            </w:r>
            <w:r w:rsidR="00076432">
              <w:rPr>
                <w:noProof/>
                <w:webHidden/>
              </w:rPr>
              <w:instrText xml:space="preserve"> PAGEREF _Toc106369946 \h </w:instrText>
            </w:r>
            <w:r w:rsidR="00076432">
              <w:rPr>
                <w:noProof/>
                <w:webHidden/>
              </w:rPr>
            </w:r>
            <w:r w:rsidR="00076432">
              <w:rPr>
                <w:noProof/>
                <w:webHidden/>
              </w:rPr>
              <w:fldChar w:fldCharType="separate"/>
            </w:r>
            <w:r w:rsidR="00076432">
              <w:rPr>
                <w:noProof/>
                <w:webHidden/>
              </w:rPr>
              <w:t>663</w:t>
            </w:r>
            <w:r w:rsidR="00076432">
              <w:rPr>
                <w:noProof/>
                <w:webHidden/>
              </w:rPr>
              <w:fldChar w:fldCharType="end"/>
            </w:r>
          </w:hyperlink>
        </w:p>
        <w:p w14:paraId="653DE74E" w14:textId="0C9A9A23" w:rsidR="00076432" w:rsidRDefault="00500371">
          <w:pPr>
            <w:pStyle w:val="TOC2"/>
            <w:tabs>
              <w:tab w:val="right" w:leader="dot" w:pos="13670"/>
            </w:tabs>
            <w:rPr>
              <w:rFonts w:eastAsiaTheme="minorEastAsia"/>
              <w:noProof/>
            </w:rPr>
          </w:pPr>
          <w:hyperlink w:anchor="_Toc106369947" w:history="1">
            <w:r w:rsidR="00076432" w:rsidRPr="00704760">
              <w:rPr>
                <w:rStyle w:val="Hyperlink"/>
                <w:noProof/>
              </w:rPr>
              <w:t>Trametinib (Mekinist)</w:t>
            </w:r>
            <w:r w:rsidR="00076432">
              <w:rPr>
                <w:noProof/>
                <w:webHidden/>
              </w:rPr>
              <w:tab/>
            </w:r>
            <w:r w:rsidR="00076432">
              <w:rPr>
                <w:noProof/>
                <w:webHidden/>
              </w:rPr>
              <w:fldChar w:fldCharType="begin"/>
            </w:r>
            <w:r w:rsidR="00076432">
              <w:rPr>
                <w:noProof/>
                <w:webHidden/>
              </w:rPr>
              <w:instrText xml:space="preserve"> PAGEREF _Toc106369947 \h </w:instrText>
            </w:r>
            <w:r w:rsidR="00076432">
              <w:rPr>
                <w:noProof/>
                <w:webHidden/>
              </w:rPr>
            </w:r>
            <w:r w:rsidR="00076432">
              <w:rPr>
                <w:noProof/>
                <w:webHidden/>
              </w:rPr>
              <w:fldChar w:fldCharType="separate"/>
            </w:r>
            <w:r w:rsidR="00076432">
              <w:rPr>
                <w:noProof/>
                <w:webHidden/>
              </w:rPr>
              <w:t>664</w:t>
            </w:r>
            <w:r w:rsidR="00076432">
              <w:rPr>
                <w:noProof/>
                <w:webHidden/>
              </w:rPr>
              <w:fldChar w:fldCharType="end"/>
            </w:r>
          </w:hyperlink>
        </w:p>
        <w:p w14:paraId="12DF9A6B" w14:textId="30F5ED3C" w:rsidR="00076432" w:rsidRDefault="00500371">
          <w:pPr>
            <w:pStyle w:val="TOC2"/>
            <w:tabs>
              <w:tab w:val="right" w:leader="dot" w:pos="13670"/>
            </w:tabs>
            <w:rPr>
              <w:rFonts w:eastAsiaTheme="minorEastAsia"/>
              <w:noProof/>
            </w:rPr>
          </w:pPr>
          <w:hyperlink w:anchor="_Toc106369948" w:history="1">
            <w:r w:rsidR="00076432" w:rsidRPr="00704760">
              <w:rPr>
                <w:rStyle w:val="Hyperlink"/>
                <w:noProof/>
              </w:rPr>
              <w:t>Treprostinil (Tyvaso)</w:t>
            </w:r>
            <w:r w:rsidR="00076432">
              <w:rPr>
                <w:noProof/>
                <w:webHidden/>
              </w:rPr>
              <w:tab/>
            </w:r>
            <w:r w:rsidR="00076432">
              <w:rPr>
                <w:noProof/>
                <w:webHidden/>
              </w:rPr>
              <w:fldChar w:fldCharType="begin"/>
            </w:r>
            <w:r w:rsidR="00076432">
              <w:rPr>
                <w:noProof/>
                <w:webHidden/>
              </w:rPr>
              <w:instrText xml:space="preserve"> PAGEREF _Toc106369948 \h </w:instrText>
            </w:r>
            <w:r w:rsidR="00076432">
              <w:rPr>
                <w:noProof/>
                <w:webHidden/>
              </w:rPr>
            </w:r>
            <w:r w:rsidR="00076432">
              <w:rPr>
                <w:noProof/>
                <w:webHidden/>
              </w:rPr>
              <w:fldChar w:fldCharType="separate"/>
            </w:r>
            <w:r w:rsidR="00076432">
              <w:rPr>
                <w:noProof/>
                <w:webHidden/>
              </w:rPr>
              <w:t>669</w:t>
            </w:r>
            <w:r w:rsidR="00076432">
              <w:rPr>
                <w:noProof/>
                <w:webHidden/>
              </w:rPr>
              <w:fldChar w:fldCharType="end"/>
            </w:r>
          </w:hyperlink>
        </w:p>
        <w:p w14:paraId="2733BC36" w14:textId="6EAF4891" w:rsidR="00076432" w:rsidRDefault="00500371">
          <w:pPr>
            <w:pStyle w:val="TOC2"/>
            <w:tabs>
              <w:tab w:val="right" w:leader="dot" w:pos="13670"/>
            </w:tabs>
            <w:rPr>
              <w:rFonts w:eastAsiaTheme="minorEastAsia"/>
              <w:noProof/>
            </w:rPr>
          </w:pPr>
          <w:hyperlink w:anchor="_Toc106369949" w:history="1">
            <w:r w:rsidR="00076432" w:rsidRPr="00704760">
              <w:rPr>
                <w:rStyle w:val="Hyperlink"/>
                <w:noProof/>
              </w:rPr>
              <w:t>Trientine (Syprine or Clovique)</w:t>
            </w:r>
            <w:r w:rsidR="00076432">
              <w:rPr>
                <w:noProof/>
                <w:webHidden/>
              </w:rPr>
              <w:tab/>
            </w:r>
            <w:r w:rsidR="00076432">
              <w:rPr>
                <w:noProof/>
                <w:webHidden/>
              </w:rPr>
              <w:fldChar w:fldCharType="begin"/>
            </w:r>
            <w:r w:rsidR="00076432">
              <w:rPr>
                <w:noProof/>
                <w:webHidden/>
              </w:rPr>
              <w:instrText xml:space="preserve"> PAGEREF _Toc106369949 \h </w:instrText>
            </w:r>
            <w:r w:rsidR="00076432">
              <w:rPr>
                <w:noProof/>
                <w:webHidden/>
              </w:rPr>
            </w:r>
            <w:r w:rsidR="00076432">
              <w:rPr>
                <w:noProof/>
                <w:webHidden/>
              </w:rPr>
              <w:fldChar w:fldCharType="separate"/>
            </w:r>
            <w:r w:rsidR="00076432">
              <w:rPr>
                <w:noProof/>
                <w:webHidden/>
              </w:rPr>
              <w:t>670</w:t>
            </w:r>
            <w:r w:rsidR="00076432">
              <w:rPr>
                <w:noProof/>
                <w:webHidden/>
              </w:rPr>
              <w:fldChar w:fldCharType="end"/>
            </w:r>
          </w:hyperlink>
        </w:p>
        <w:p w14:paraId="06C82615" w14:textId="3B5D4EA6" w:rsidR="00076432" w:rsidRDefault="00500371">
          <w:pPr>
            <w:pStyle w:val="TOC2"/>
            <w:tabs>
              <w:tab w:val="right" w:leader="dot" w:pos="13670"/>
            </w:tabs>
            <w:rPr>
              <w:rFonts w:eastAsiaTheme="minorEastAsia"/>
              <w:noProof/>
            </w:rPr>
          </w:pPr>
          <w:hyperlink w:anchor="_Toc106369950" w:history="1">
            <w:r w:rsidR="00076432" w:rsidRPr="00704760">
              <w:rPr>
                <w:rStyle w:val="Hyperlink"/>
                <w:noProof/>
              </w:rPr>
              <w:t>trilaciclib (Cosela)</w:t>
            </w:r>
            <w:r w:rsidR="00076432">
              <w:rPr>
                <w:noProof/>
                <w:webHidden/>
              </w:rPr>
              <w:tab/>
            </w:r>
            <w:r w:rsidR="00076432">
              <w:rPr>
                <w:noProof/>
                <w:webHidden/>
              </w:rPr>
              <w:fldChar w:fldCharType="begin"/>
            </w:r>
            <w:r w:rsidR="00076432">
              <w:rPr>
                <w:noProof/>
                <w:webHidden/>
              </w:rPr>
              <w:instrText xml:space="preserve"> PAGEREF _Toc106369950 \h </w:instrText>
            </w:r>
            <w:r w:rsidR="00076432">
              <w:rPr>
                <w:noProof/>
                <w:webHidden/>
              </w:rPr>
            </w:r>
            <w:r w:rsidR="00076432">
              <w:rPr>
                <w:noProof/>
                <w:webHidden/>
              </w:rPr>
              <w:fldChar w:fldCharType="separate"/>
            </w:r>
            <w:r w:rsidR="00076432">
              <w:rPr>
                <w:noProof/>
                <w:webHidden/>
              </w:rPr>
              <w:t>672</w:t>
            </w:r>
            <w:r w:rsidR="00076432">
              <w:rPr>
                <w:noProof/>
                <w:webHidden/>
              </w:rPr>
              <w:fldChar w:fldCharType="end"/>
            </w:r>
          </w:hyperlink>
        </w:p>
        <w:p w14:paraId="4769AB86" w14:textId="4EF106AA" w:rsidR="00076432" w:rsidRDefault="00500371">
          <w:pPr>
            <w:pStyle w:val="TOC2"/>
            <w:tabs>
              <w:tab w:val="right" w:leader="dot" w:pos="13670"/>
            </w:tabs>
            <w:rPr>
              <w:rFonts w:eastAsiaTheme="minorEastAsia"/>
              <w:noProof/>
            </w:rPr>
          </w:pPr>
          <w:hyperlink w:anchor="_Toc106369951" w:history="1">
            <w:r w:rsidR="00076432" w:rsidRPr="00704760">
              <w:rPr>
                <w:rStyle w:val="Hyperlink"/>
                <w:noProof/>
              </w:rPr>
              <w:t>Tucatinib (Tukysa)</w:t>
            </w:r>
            <w:r w:rsidR="00076432">
              <w:rPr>
                <w:noProof/>
                <w:webHidden/>
              </w:rPr>
              <w:tab/>
            </w:r>
            <w:r w:rsidR="00076432">
              <w:rPr>
                <w:noProof/>
                <w:webHidden/>
              </w:rPr>
              <w:fldChar w:fldCharType="begin"/>
            </w:r>
            <w:r w:rsidR="00076432">
              <w:rPr>
                <w:noProof/>
                <w:webHidden/>
              </w:rPr>
              <w:instrText xml:space="preserve"> PAGEREF _Toc106369951 \h </w:instrText>
            </w:r>
            <w:r w:rsidR="00076432">
              <w:rPr>
                <w:noProof/>
                <w:webHidden/>
              </w:rPr>
            </w:r>
            <w:r w:rsidR="00076432">
              <w:rPr>
                <w:noProof/>
                <w:webHidden/>
              </w:rPr>
              <w:fldChar w:fldCharType="separate"/>
            </w:r>
            <w:r w:rsidR="00076432">
              <w:rPr>
                <w:noProof/>
                <w:webHidden/>
              </w:rPr>
              <w:t>679</w:t>
            </w:r>
            <w:r w:rsidR="00076432">
              <w:rPr>
                <w:noProof/>
                <w:webHidden/>
              </w:rPr>
              <w:fldChar w:fldCharType="end"/>
            </w:r>
          </w:hyperlink>
        </w:p>
        <w:p w14:paraId="3BE620DA" w14:textId="030E21C3" w:rsidR="00076432" w:rsidRDefault="00500371">
          <w:pPr>
            <w:pStyle w:val="TOC2"/>
            <w:tabs>
              <w:tab w:val="right" w:leader="dot" w:pos="13670"/>
            </w:tabs>
            <w:rPr>
              <w:rFonts w:eastAsiaTheme="minorEastAsia"/>
              <w:noProof/>
            </w:rPr>
          </w:pPr>
          <w:hyperlink w:anchor="_Toc106369952" w:history="1">
            <w:r w:rsidR="00076432" w:rsidRPr="00704760">
              <w:rPr>
                <w:rStyle w:val="Hyperlink"/>
                <w:noProof/>
              </w:rPr>
              <w:t>Uridine triacetate (Xuriden, Vistogard)</w:t>
            </w:r>
            <w:r w:rsidR="00076432">
              <w:rPr>
                <w:noProof/>
                <w:webHidden/>
              </w:rPr>
              <w:tab/>
            </w:r>
            <w:r w:rsidR="00076432">
              <w:rPr>
                <w:noProof/>
                <w:webHidden/>
              </w:rPr>
              <w:fldChar w:fldCharType="begin"/>
            </w:r>
            <w:r w:rsidR="00076432">
              <w:rPr>
                <w:noProof/>
                <w:webHidden/>
              </w:rPr>
              <w:instrText xml:space="preserve"> PAGEREF _Toc106369952 \h </w:instrText>
            </w:r>
            <w:r w:rsidR="00076432">
              <w:rPr>
                <w:noProof/>
                <w:webHidden/>
              </w:rPr>
            </w:r>
            <w:r w:rsidR="00076432">
              <w:rPr>
                <w:noProof/>
                <w:webHidden/>
              </w:rPr>
              <w:fldChar w:fldCharType="separate"/>
            </w:r>
            <w:r w:rsidR="00076432">
              <w:rPr>
                <w:noProof/>
                <w:webHidden/>
              </w:rPr>
              <w:t>681</w:t>
            </w:r>
            <w:r w:rsidR="00076432">
              <w:rPr>
                <w:noProof/>
                <w:webHidden/>
              </w:rPr>
              <w:fldChar w:fldCharType="end"/>
            </w:r>
          </w:hyperlink>
        </w:p>
        <w:p w14:paraId="068717A0" w14:textId="159D8A74" w:rsidR="00076432" w:rsidRDefault="00500371">
          <w:pPr>
            <w:pStyle w:val="TOC2"/>
            <w:tabs>
              <w:tab w:val="right" w:leader="dot" w:pos="13670"/>
            </w:tabs>
            <w:rPr>
              <w:rFonts w:eastAsiaTheme="minorEastAsia"/>
              <w:noProof/>
            </w:rPr>
          </w:pPr>
          <w:hyperlink w:anchor="_Toc106369953" w:history="1">
            <w:r w:rsidR="00076432" w:rsidRPr="00704760">
              <w:rPr>
                <w:rStyle w:val="Hyperlink"/>
                <w:noProof/>
              </w:rPr>
              <w:t>Ustekinumab (Stelara)</w:t>
            </w:r>
            <w:r w:rsidR="00076432">
              <w:rPr>
                <w:noProof/>
                <w:webHidden/>
              </w:rPr>
              <w:tab/>
            </w:r>
            <w:r w:rsidR="00076432">
              <w:rPr>
                <w:noProof/>
                <w:webHidden/>
              </w:rPr>
              <w:fldChar w:fldCharType="begin"/>
            </w:r>
            <w:r w:rsidR="00076432">
              <w:rPr>
                <w:noProof/>
                <w:webHidden/>
              </w:rPr>
              <w:instrText xml:space="preserve"> PAGEREF _Toc106369953 \h </w:instrText>
            </w:r>
            <w:r w:rsidR="00076432">
              <w:rPr>
                <w:noProof/>
                <w:webHidden/>
              </w:rPr>
            </w:r>
            <w:r w:rsidR="00076432">
              <w:rPr>
                <w:noProof/>
                <w:webHidden/>
              </w:rPr>
              <w:fldChar w:fldCharType="separate"/>
            </w:r>
            <w:r w:rsidR="00076432">
              <w:rPr>
                <w:noProof/>
                <w:webHidden/>
              </w:rPr>
              <w:t>683</w:t>
            </w:r>
            <w:r w:rsidR="00076432">
              <w:rPr>
                <w:noProof/>
                <w:webHidden/>
              </w:rPr>
              <w:fldChar w:fldCharType="end"/>
            </w:r>
          </w:hyperlink>
        </w:p>
        <w:p w14:paraId="07A21318" w14:textId="2A75A5EC" w:rsidR="00076432" w:rsidRDefault="00500371">
          <w:pPr>
            <w:pStyle w:val="TOC2"/>
            <w:tabs>
              <w:tab w:val="right" w:leader="dot" w:pos="13670"/>
            </w:tabs>
            <w:rPr>
              <w:rFonts w:eastAsiaTheme="minorEastAsia"/>
              <w:noProof/>
            </w:rPr>
          </w:pPr>
          <w:hyperlink w:anchor="_Toc106369954" w:history="1">
            <w:r w:rsidR="00076432" w:rsidRPr="00704760">
              <w:rPr>
                <w:rStyle w:val="Hyperlink"/>
                <w:noProof/>
              </w:rPr>
              <w:t>Vedolizumab (Entyvio)</w:t>
            </w:r>
            <w:r w:rsidR="00076432">
              <w:rPr>
                <w:noProof/>
                <w:webHidden/>
              </w:rPr>
              <w:tab/>
            </w:r>
            <w:r w:rsidR="00076432">
              <w:rPr>
                <w:noProof/>
                <w:webHidden/>
              </w:rPr>
              <w:fldChar w:fldCharType="begin"/>
            </w:r>
            <w:r w:rsidR="00076432">
              <w:rPr>
                <w:noProof/>
                <w:webHidden/>
              </w:rPr>
              <w:instrText xml:space="preserve"> PAGEREF _Toc106369954 \h </w:instrText>
            </w:r>
            <w:r w:rsidR="00076432">
              <w:rPr>
                <w:noProof/>
                <w:webHidden/>
              </w:rPr>
            </w:r>
            <w:r w:rsidR="00076432">
              <w:rPr>
                <w:noProof/>
                <w:webHidden/>
              </w:rPr>
              <w:fldChar w:fldCharType="separate"/>
            </w:r>
            <w:r w:rsidR="00076432">
              <w:rPr>
                <w:noProof/>
                <w:webHidden/>
              </w:rPr>
              <w:t>686</w:t>
            </w:r>
            <w:r w:rsidR="00076432">
              <w:rPr>
                <w:noProof/>
                <w:webHidden/>
              </w:rPr>
              <w:fldChar w:fldCharType="end"/>
            </w:r>
          </w:hyperlink>
        </w:p>
        <w:p w14:paraId="6FC33B82" w14:textId="0B71E06E" w:rsidR="00076432" w:rsidRDefault="00500371">
          <w:pPr>
            <w:pStyle w:val="TOC2"/>
            <w:tabs>
              <w:tab w:val="right" w:leader="dot" w:pos="13670"/>
            </w:tabs>
            <w:rPr>
              <w:rFonts w:eastAsiaTheme="minorEastAsia"/>
              <w:noProof/>
            </w:rPr>
          </w:pPr>
          <w:hyperlink w:anchor="_Toc106369955" w:history="1">
            <w:r w:rsidR="00076432" w:rsidRPr="00704760">
              <w:rPr>
                <w:rStyle w:val="Hyperlink"/>
                <w:noProof/>
                <w:lang w:val="es-ES"/>
              </w:rPr>
              <w:t>Vemurafenib (Zelboraf®)</w:t>
            </w:r>
            <w:r w:rsidR="00076432">
              <w:rPr>
                <w:noProof/>
                <w:webHidden/>
              </w:rPr>
              <w:tab/>
            </w:r>
            <w:r w:rsidR="00076432">
              <w:rPr>
                <w:noProof/>
                <w:webHidden/>
              </w:rPr>
              <w:fldChar w:fldCharType="begin"/>
            </w:r>
            <w:r w:rsidR="00076432">
              <w:rPr>
                <w:noProof/>
                <w:webHidden/>
              </w:rPr>
              <w:instrText xml:space="preserve"> PAGEREF _Toc106369955 \h </w:instrText>
            </w:r>
            <w:r w:rsidR="00076432">
              <w:rPr>
                <w:noProof/>
                <w:webHidden/>
              </w:rPr>
            </w:r>
            <w:r w:rsidR="00076432">
              <w:rPr>
                <w:noProof/>
                <w:webHidden/>
              </w:rPr>
              <w:fldChar w:fldCharType="separate"/>
            </w:r>
            <w:r w:rsidR="00076432">
              <w:rPr>
                <w:noProof/>
                <w:webHidden/>
              </w:rPr>
              <w:t>690</w:t>
            </w:r>
            <w:r w:rsidR="00076432">
              <w:rPr>
                <w:noProof/>
                <w:webHidden/>
              </w:rPr>
              <w:fldChar w:fldCharType="end"/>
            </w:r>
          </w:hyperlink>
        </w:p>
        <w:p w14:paraId="2FCEE87B" w14:textId="5F375185" w:rsidR="00076432" w:rsidRDefault="00500371">
          <w:pPr>
            <w:pStyle w:val="TOC2"/>
            <w:tabs>
              <w:tab w:val="right" w:leader="dot" w:pos="13670"/>
            </w:tabs>
            <w:rPr>
              <w:rFonts w:eastAsiaTheme="minorEastAsia"/>
              <w:noProof/>
            </w:rPr>
          </w:pPr>
          <w:hyperlink w:anchor="_Toc106369956" w:history="1">
            <w:r w:rsidR="00076432" w:rsidRPr="00704760">
              <w:rPr>
                <w:rStyle w:val="Hyperlink"/>
                <w:noProof/>
              </w:rPr>
              <w:t>Venetoclax (Venclexta®)</w:t>
            </w:r>
            <w:r w:rsidR="00076432">
              <w:rPr>
                <w:noProof/>
                <w:webHidden/>
              </w:rPr>
              <w:tab/>
            </w:r>
            <w:r w:rsidR="00076432">
              <w:rPr>
                <w:noProof/>
                <w:webHidden/>
              </w:rPr>
              <w:fldChar w:fldCharType="begin"/>
            </w:r>
            <w:r w:rsidR="00076432">
              <w:rPr>
                <w:noProof/>
                <w:webHidden/>
              </w:rPr>
              <w:instrText xml:space="preserve"> PAGEREF _Toc106369956 \h </w:instrText>
            </w:r>
            <w:r w:rsidR="00076432">
              <w:rPr>
                <w:noProof/>
                <w:webHidden/>
              </w:rPr>
            </w:r>
            <w:r w:rsidR="00076432">
              <w:rPr>
                <w:noProof/>
                <w:webHidden/>
              </w:rPr>
              <w:fldChar w:fldCharType="separate"/>
            </w:r>
            <w:r w:rsidR="00076432">
              <w:rPr>
                <w:noProof/>
                <w:webHidden/>
              </w:rPr>
              <w:t>693</w:t>
            </w:r>
            <w:r w:rsidR="00076432">
              <w:rPr>
                <w:noProof/>
                <w:webHidden/>
              </w:rPr>
              <w:fldChar w:fldCharType="end"/>
            </w:r>
          </w:hyperlink>
        </w:p>
        <w:p w14:paraId="2FB99312" w14:textId="0A919C7D" w:rsidR="00076432" w:rsidRDefault="00500371">
          <w:pPr>
            <w:pStyle w:val="TOC2"/>
            <w:tabs>
              <w:tab w:val="right" w:leader="dot" w:pos="13670"/>
            </w:tabs>
            <w:rPr>
              <w:rFonts w:eastAsiaTheme="minorEastAsia"/>
              <w:noProof/>
            </w:rPr>
          </w:pPr>
          <w:hyperlink w:anchor="_Toc106369957" w:history="1">
            <w:r w:rsidR="00076432" w:rsidRPr="00704760">
              <w:rPr>
                <w:rStyle w:val="Hyperlink"/>
                <w:noProof/>
              </w:rPr>
              <w:t>Vigabatrin (Sabril)</w:t>
            </w:r>
            <w:r w:rsidR="00076432">
              <w:rPr>
                <w:noProof/>
                <w:webHidden/>
              </w:rPr>
              <w:tab/>
            </w:r>
            <w:r w:rsidR="00076432">
              <w:rPr>
                <w:noProof/>
                <w:webHidden/>
              </w:rPr>
              <w:fldChar w:fldCharType="begin"/>
            </w:r>
            <w:r w:rsidR="00076432">
              <w:rPr>
                <w:noProof/>
                <w:webHidden/>
              </w:rPr>
              <w:instrText xml:space="preserve"> PAGEREF _Toc106369957 \h </w:instrText>
            </w:r>
            <w:r w:rsidR="00076432">
              <w:rPr>
                <w:noProof/>
                <w:webHidden/>
              </w:rPr>
            </w:r>
            <w:r w:rsidR="00076432">
              <w:rPr>
                <w:noProof/>
                <w:webHidden/>
              </w:rPr>
              <w:fldChar w:fldCharType="separate"/>
            </w:r>
            <w:r w:rsidR="00076432">
              <w:rPr>
                <w:noProof/>
                <w:webHidden/>
              </w:rPr>
              <w:t>701</w:t>
            </w:r>
            <w:r w:rsidR="00076432">
              <w:rPr>
                <w:noProof/>
                <w:webHidden/>
              </w:rPr>
              <w:fldChar w:fldCharType="end"/>
            </w:r>
          </w:hyperlink>
        </w:p>
        <w:p w14:paraId="7D4BF1F3" w14:textId="1125DD0F" w:rsidR="00076432" w:rsidRDefault="00500371">
          <w:pPr>
            <w:pStyle w:val="TOC2"/>
            <w:tabs>
              <w:tab w:val="right" w:leader="dot" w:pos="13670"/>
            </w:tabs>
            <w:rPr>
              <w:rFonts w:eastAsiaTheme="minorEastAsia"/>
              <w:noProof/>
            </w:rPr>
          </w:pPr>
          <w:hyperlink w:anchor="_Toc106369958" w:history="1">
            <w:r w:rsidR="00076432" w:rsidRPr="00704760">
              <w:rPr>
                <w:rStyle w:val="Hyperlink"/>
                <w:noProof/>
                <w:lang w:val="es-ES"/>
              </w:rPr>
              <w:t>Vorinostat (Zolinza®)</w:t>
            </w:r>
            <w:r w:rsidR="00076432">
              <w:rPr>
                <w:noProof/>
                <w:webHidden/>
              </w:rPr>
              <w:tab/>
            </w:r>
            <w:r w:rsidR="00076432">
              <w:rPr>
                <w:noProof/>
                <w:webHidden/>
              </w:rPr>
              <w:fldChar w:fldCharType="begin"/>
            </w:r>
            <w:r w:rsidR="00076432">
              <w:rPr>
                <w:noProof/>
                <w:webHidden/>
              </w:rPr>
              <w:instrText xml:space="preserve"> PAGEREF _Toc106369958 \h </w:instrText>
            </w:r>
            <w:r w:rsidR="00076432">
              <w:rPr>
                <w:noProof/>
                <w:webHidden/>
              </w:rPr>
            </w:r>
            <w:r w:rsidR="00076432">
              <w:rPr>
                <w:noProof/>
                <w:webHidden/>
              </w:rPr>
              <w:fldChar w:fldCharType="separate"/>
            </w:r>
            <w:r w:rsidR="00076432">
              <w:rPr>
                <w:noProof/>
                <w:webHidden/>
              </w:rPr>
              <w:t>702</w:t>
            </w:r>
            <w:r w:rsidR="00076432">
              <w:rPr>
                <w:noProof/>
                <w:webHidden/>
              </w:rPr>
              <w:fldChar w:fldCharType="end"/>
            </w:r>
          </w:hyperlink>
        </w:p>
        <w:p w14:paraId="0D175C00" w14:textId="658E045E" w:rsidR="00652A6E" w:rsidRDefault="00652A6E">
          <w:r>
            <w:rPr>
              <w:b/>
              <w:bCs/>
              <w:noProof/>
            </w:rPr>
            <w:fldChar w:fldCharType="end"/>
          </w:r>
        </w:p>
      </w:sdtContent>
    </w:sdt>
    <w:p w14:paraId="32F79F77" w14:textId="77777777" w:rsidR="00B700AB" w:rsidRPr="00FA3F9C" w:rsidRDefault="00B700AB" w:rsidP="006F623F">
      <w:pPr>
        <w:spacing w:after="0"/>
        <w:jc w:val="center"/>
        <w:rPr>
          <w:rFonts w:ascii="Arial" w:hAnsi="Arial" w:cs="Arial"/>
          <w:sz w:val="24"/>
          <w:szCs w:val="24"/>
          <w:lang w:val="es-ES"/>
        </w:rPr>
      </w:pPr>
    </w:p>
    <w:p w14:paraId="75634EB9" w14:textId="77777777" w:rsidR="00B700AB" w:rsidRPr="00FA3F9C" w:rsidRDefault="00B700AB" w:rsidP="006F623F">
      <w:pPr>
        <w:spacing w:after="0"/>
        <w:jc w:val="center"/>
        <w:rPr>
          <w:rFonts w:ascii="Arial" w:hAnsi="Arial" w:cs="Arial"/>
          <w:sz w:val="24"/>
          <w:szCs w:val="24"/>
          <w:lang w:val="es-ES"/>
        </w:rPr>
      </w:pPr>
    </w:p>
    <w:p w14:paraId="3344F160" w14:textId="77777777" w:rsidR="00B700AB" w:rsidRPr="00FA3F9C" w:rsidRDefault="00B700AB" w:rsidP="006F623F">
      <w:pPr>
        <w:spacing w:after="0"/>
        <w:jc w:val="center"/>
        <w:rPr>
          <w:rFonts w:ascii="Arial" w:hAnsi="Arial" w:cs="Arial"/>
          <w:sz w:val="24"/>
          <w:szCs w:val="24"/>
          <w:lang w:val="es-ES"/>
        </w:rPr>
      </w:pPr>
    </w:p>
    <w:p w14:paraId="70E172BE" w14:textId="77777777" w:rsidR="00B700AB" w:rsidRPr="00FA3F9C" w:rsidRDefault="00B700AB" w:rsidP="006F623F">
      <w:pPr>
        <w:spacing w:after="0"/>
        <w:jc w:val="center"/>
        <w:rPr>
          <w:rFonts w:ascii="Arial" w:hAnsi="Arial" w:cs="Arial"/>
          <w:sz w:val="24"/>
          <w:szCs w:val="24"/>
          <w:lang w:val="es-ES"/>
        </w:rPr>
      </w:pPr>
    </w:p>
    <w:p w14:paraId="6E820325" w14:textId="749E5253" w:rsidR="00B700AB" w:rsidRDefault="00B700AB" w:rsidP="00076432">
      <w:pPr>
        <w:spacing w:after="0"/>
        <w:rPr>
          <w:rFonts w:ascii="Arial" w:hAnsi="Arial" w:cs="Arial"/>
          <w:sz w:val="24"/>
          <w:szCs w:val="24"/>
          <w:lang w:val="es-ES"/>
        </w:rPr>
      </w:pPr>
    </w:p>
    <w:p w14:paraId="78C93E19" w14:textId="77777777" w:rsidR="00076432" w:rsidRPr="00FA3F9C" w:rsidRDefault="00076432" w:rsidP="00076432">
      <w:pPr>
        <w:spacing w:after="0"/>
        <w:rPr>
          <w:rFonts w:ascii="Arial" w:hAnsi="Arial" w:cs="Arial"/>
          <w:sz w:val="24"/>
          <w:szCs w:val="24"/>
          <w:lang w:val="es-ES"/>
        </w:rPr>
      </w:pPr>
    </w:p>
    <w:p w14:paraId="16911BCE" w14:textId="77777777" w:rsidR="00076432" w:rsidRDefault="00076432" w:rsidP="00FA3F9C">
      <w:pPr>
        <w:pStyle w:val="Heading2"/>
        <w:rPr>
          <w:lang w:val="es-ES"/>
        </w:rPr>
      </w:pPr>
      <w:bookmarkStart w:id="0" w:name="_Toc106369704"/>
    </w:p>
    <w:p w14:paraId="7284DCF5" w14:textId="5B604056" w:rsidR="001506C1" w:rsidRPr="00FA3F9C" w:rsidRDefault="001506C1" w:rsidP="00FA3F9C">
      <w:pPr>
        <w:pStyle w:val="Heading2"/>
        <w:rPr>
          <w:lang w:val="es-ES"/>
        </w:rPr>
      </w:pPr>
      <w:proofErr w:type="spellStart"/>
      <w:r w:rsidRPr="00FA3F9C">
        <w:rPr>
          <w:lang w:val="es-ES"/>
        </w:rPr>
        <w:t>Abemaciclib</w:t>
      </w:r>
      <w:proofErr w:type="spellEnd"/>
      <w:r w:rsidRPr="00FA3F9C">
        <w:rPr>
          <w:lang w:val="es-ES"/>
        </w:rPr>
        <w:t xml:space="preserve"> (</w:t>
      </w:r>
      <w:proofErr w:type="spellStart"/>
      <w:r w:rsidRPr="00FA3F9C">
        <w:rPr>
          <w:lang w:val="es-ES"/>
        </w:rPr>
        <w:t>Verzenio</w:t>
      </w:r>
      <w:proofErr w:type="spellEnd"/>
      <w:r w:rsidRPr="00FA3F9C">
        <w:rPr>
          <w:lang w:val="es-ES"/>
        </w:rPr>
        <w:t>)</w:t>
      </w:r>
      <w:bookmarkEnd w:id="0"/>
      <w:r w:rsidRPr="00FA3F9C">
        <w:rPr>
          <w:lang w:val="es-ES"/>
        </w:rPr>
        <w:t xml:space="preserve"> </w:t>
      </w:r>
    </w:p>
    <w:p w14:paraId="6E1D902C" w14:textId="77777777" w:rsidR="001506C1" w:rsidRPr="00FA3F9C" w:rsidRDefault="001506C1" w:rsidP="006F623F">
      <w:pPr>
        <w:spacing w:after="0"/>
        <w:jc w:val="center"/>
        <w:rPr>
          <w:rFonts w:ascii="Arial" w:hAnsi="Arial" w:cs="Arial"/>
          <w:sz w:val="24"/>
          <w:szCs w:val="24"/>
          <w:lang w:val="es-ES"/>
        </w:rPr>
      </w:pPr>
      <w:r w:rsidRPr="00FA3F9C">
        <w:rPr>
          <w:rFonts w:ascii="Arial" w:hAnsi="Arial" w:cs="Arial"/>
          <w:sz w:val="24"/>
          <w:szCs w:val="24"/>
          <w:lang w:val="es-ES"/>
        </w:rPr>
        <w:t xml:space="preserve">50, 100, 150, and 200 mg </w:t>
      </w:r>
      <w:proofErr w:type="spellStart"/>
      <w:r w:rsidRPr="00FA3F9C">
        <w:rPr>
          <w:rFonts w:ascii="Arial" w:hAnsi="Arial" w:cs="Arial"/>
          <w:sz w:val="24"/>
          <w:szCs w:val="24"/>
          <w:lang w:val="es-ES"/>
        </w:rPr>
        <w:t>tablets</w:t>
      </w:r>
      <w:proofErr w:type="spellEnd"/>
    </w:p>
    <w:p w14:paraId="7F30DAD9" w14:textId="77777777" w:rsidR="001506C1" w:rsidRPr="00FA3F9C" w:rsidRDefault="001506C1" w:rsidP="006F623F">
      <w:pPr>
        <w:spacing w:after="0"/>
        <w:jc w:val="center"/>
        <w:rPr>
          <w:rFonts w:ascii="Arial" w:hAnsi="Arial" w:cs="Arial"/>
          <w:sz w:val="24"/>
          <w:szCs w:val="24"/>
          <w:lang w:val="es-ES"/>
        </w:rPr>
      </w:pPr>
      <w:r w:rsidRPr="00FA3F9C">
        <w:rPr>
          <w:rFonts w:ascii="Arial" w:hAnsi="Arial" w:cs="Arial"/>
          <w:sz w:val="24"/>
          <w:szCs w:val="24"/>
          <w:lang w:val="es-ES"/>
        </w:rPr>
        <w:t xml:space="preserve">EBRx PA </w:t>
      </w:r>
      <w:proofErr w:type="spellStart"/>
      <w:r w:rsidRPr="00FA3F9C">
        <w:rPr>
          <w:rFonts w:ascii="Arial" w:hAnsi="Arial" w:cs="Arial"/>
          <w:sz w:val="24"/>
          <w:szCs w:val="24"/>
          <w:lang w:val="es-ES"/>
        </w:rPr>
        <w:t>Criteria</w:t>
      </w:r>
      <w:proofErr w:type="spellEnd"/>
    </w:p>
    <w:p w14:paraId="1048A235" w14:textId="77777777" w:rsidR="001506C1" w:rsidRPr="00FA3F9C" w:rsidRDefault="001506C1" w:rsidP="006F623F">
      <w:pPr>
        <w:spacing w:after="0"/>
        <w:rPr>
          <w:rFonts w:ascii="Arial" w:hAnsi="Arial" w:cs="Arial"/>
          <w:b/>
          <w:sz w:val="24"/>
          <w:szCs w:val="24"/>
          <w:u w:val="single"/>
          <w:lang w:val="es-ES"/>
        </w:rPr>
      </w:pPr>
    </w:p>
    <w:p w14:paraId="4D8389F8" w14:textId="77777777" w:rsidR="001506C1" w:rsidRPr="00FA3F9C" w:rsidRDefault="001506C1"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w:t>
      </w:r>
    </w:p>
    <w:p w14:paraId="4A50CA35" w14:textId="77777777" w:rsidR="001506C1" w:rsidRPr="00FA3F9C" w:rsidRDefault="001506C1" w:rsidP="001506C1">
      <w:pPr>
        <w:numPr>
          <w:ilvl w:val="0"/>
          <w:numId w:val="1"/>
        </w:numPr>
        <w:spacing w:before="24" w:after="100" w:afterAutospacing="1" w:line="240" w:lineRule="auto"/>
        <w:ind w:left="360"/>
        <w:rPr>
          <w:rFonts w:ascii="Arial" w:eastAsia="Times New Roman" w:hAnsi="Arial" w:cs="Arial"/>
          <w:color w:val="000000"/>
          <w:sz w:val="24"/>
          <w:szCs w:val="24"/>
        </w:rPr>
      </w:pPr>
      <w:r w:rsidRPr="00FA3F9C">
        <w:rPr>
          <w:rFonts w:ascii="Arial" w:eastAsia="Times New Roman" w:hAnsi="Arial" w:cs="Arial"/>
          <w:color w:val="000000"/>
          <w:sz w:val="24"/>
          <w:szCs w:val="24"/>
        </w:rPr>
        <w:t xml:space="preserve">in combination with endocrine therapy (tamoxifen or an aromatase inhibitor) for the </w:t>
      </w:r>
      <w:r w:rsidRPr="00FA3F9C">
        <w:rPr>
          <w:rFonts w:ascii="Arial" w:eastAsia="Times New Roman" w:hAnsi="Arial" w:cs="Arial"/>
          <w:color w:val="000000"/>
          <w:sz w:val="24"/>
          <w:szCs w:val="24"/>
          <w:u w:val="single"/>
        </w:rPr>
        <w:t>adjuvant</w:t>
      </w:r>
      <w:r w:rsidRPr="00FA3F9C">
        <w:rPr>
          <w:rFonts w:ascii="Arial" w:eastAsia="Times New Roman" w:hAnsi="Arial" w:cs="Arial"/>
          <w:color w:val="000000"/>
          <w:sz w:val="24"/>
          <w:szCs w:val="24"/>
        </w:rPr>
        <w:t xml:space="preserve"> treatment of adult patients with hormone receptor (HR)-positive, human epidermal growth factor receptor 2 (HER2)-negative, node-positive, early breast cancer at high risk of recurrence and a Ki-67 score ≥20% as determined by an FDA approved test. </w:t>
      </w:r>
      <w:r w:rsidRPr="00FA3F9C">
        <w:rPr>
          <w:rFonts w:ascii="Arial" w:eastAsia="Times New Roman" w:hAnsi="Arial" w:cs="Arial"/>
          <w:color w:val="000000"/>
          <w:sz w:val="24"/>
          <w:szCs w:val="24"/>
          <w:highlight w:val="cyan"/>
        </w:rPr>
        <w:t>SEE CRITERIA</w:t>
      </w:r>
    </w:p>
    <w:p w14:paraId="186A284D" w14:textId="77777777" w:rsidR="001506C1" w:rsidRPr="00FA3F9C" w:rsidRDefault="001506C1" w:rsidP="001506C1">
      <w:pPr>
        <w:numPr>
          <w:ilvl w:val="0"/>
          <w:numId w:val="1"/>
        </w:numPr>
        <w:spacing w:before="24" w:after="100" w:afterAutospacing="1" w:line="240" w:lineRule="auto"/>
        <w:ind w:left="360"/>
        <w:rPr>
          <w:rFonts w:ascii="Arial" w:eastAsia="Times New Roman" w:hAnsi="Arial" w:cs="Arial"/>
          <w:color w:val="000000"/>
          <w:sz w:val="24"/>
          <w:szCs w:val="24"/>
        </w:rPr>
      </w:pPr>
      <w:r w:rsidRPr="00FA3F9C">
        <w:rPr>
          <w:rFonts w:ascii="Arial" w:eastAsia="Times New Roman" w:hAnsi="Arial" w:cs="Arial"/>
          <w:color w:val="000000"/>
          <w:sz w:val="24"/>
          <w:szCs w:val="24"/>
        </w:rPr>
        <w:t xml:space="preserve">in combination with an </w:t>
      </w:r>
      <w:r w:rsidRPr="00FA3F9C">
        <w:rPr>
          <w:rFonts w:ascii="Arial" w:eastAsia="Times New Roman" w:hAnsi="Arial" w:cs="Arial"/>
          <w:color w:val="000000"/>
          <w:sz w:val="24"/>
          <w:szCs w:val="24"/>
          <w:u w:val="single"/>
        </w:rPr>
        <w:t>aromatase inhibitor</w:t>
      </w:r>
      <w:r w:rsidRPr="00FA3F9C">
        <w:rPr>
          <w:rFonts w:ascii="Arial" w:eastAsia="Times New Roman" w:hAnsi="Arial" w:cs="Arial"/>
          <w:color w:val="000000"/>
          <w:sz w:val="24"/>
          <w:szCs w:val="24"/>
        </w:rPr>
        <w:t xml:space="preserve"> as </w:t>
      </w:r>
      <w:r w:rsidRPr="00FA3F9C">
        <w:rPr>
          <w:rFonts w:ascii="Arial" w:eastAsia="Times New Roman" w:hAnsi="Arial" w:cs="Arial"/>
          <w:color w:val="000000"/>
          <w:sz w:val="24"/>
          <w:szCs w:val="24"/>
          <w:u w:val="single"/>
        </w:rPr>
        <w:t>initial</w:t>
      </w:r>
      <w:r w:rsidRPr="00FA3F9C">
        <w:rPr>
          <w:rFonts w:ascii="Arial" w:eastAsia="Times New Roman" w:hAnsi="Arial" w:cs="Arial"/>
          <w:color w:val="000000"/>
          <w:sz w:val="24"/>
          <w:szCs w:val="24"/>
        </w:rPr>
        <w:t xml:space="preserve"> endocrine-based therapy for the treatment of </w:t>
      </w:r>
      <w:r w:rsidRPr="00FA3F9C">
        <w:rPr>
          <w:rFonts w:ascii="Arial" w:eastAsia="Times New Roman" w:hAnsi="Arial" w:cs="Arial"/>
          <w:color w:val="000000"/>
          <w:sz w:val="24"/>
          <w:szCs w:val="24"/>
          <w:u w:val="single"/>
        </w:rPr>
        <w:t>postmenopausal</w:t>
      </w:r>
      <w:r w:rsidRPr="00FA3F9C">
        <w:rPr>
          <w:rFonts w:ascii="Arial" w:eastAsia="Times New Roman" w:hAnsi="Arial" w:cs="Arial"/>
          <w:color w:val="000000"/>
          <w:sz w:val="24"/>
          <w:szCs w:val="24"/>
        </w:rPr>
        <w:t xml:space="preserve"> women with hormone receptor (HR)-positive, human epidermal growth factor receptor 2 (HER2)-negative advanced or metastatic breast cancer. (</w:t>
      </w:r>
      <w:r w:rsidRPr="00FA3F9C">
        <w:rPr>
          <w:rFonts w:ascii="Arial" w:eastAsia="Times New Roman" w:hAnsi="Arial" w:cs="Arial"/>
          <w:color w:val="000000"/>
          <w:sz w:val="24"/>
          <w:szCs w:val="24"/>
          <w:highlight w:val="yellow"/>
        </w:rPr>
        <w:t>NOT COVERED</w:t>
      </w:r>
      <w:r w:rsidRPr="00FA3F9C">
        <w:rPr>
          <w:rFonts w:ascii="Arial" w:eastAsia="Times New Roman" w:hAnsi="Arial" w:cs="Arial"/>
          <w:color w:val="000000"/>
          <w:sz w:val="24"/>
          <w:szCs w:val="24"/>
        </w:rPr>
        <w:t xml:space="preserve">) overall survival benefit has not been demonstrated at this time (see criteria for </w:t>
      </w:r>
      <w:proofErr w:type="spellStart"/>
      <w:r w:rsidRPr="00FA3F9C">
        <w:rPr>
          <w:rFonts w:ascii="Arial" w:eastAsia="Times New Roman" w:hAnsi="Arial" w:cs="Arial"/>
          <w:color w:val="000000"/>
          <w:sz w:val="24"/>
          <w:szCs w:val="24"/>
        </w:rPr>
        <w:t>ribociclib</w:t>
      </w:r>
      <w:proofErr w:type="spellEnd"/>
      <w:r w:rsidRPr="00FA3F9C">
        <w:rPr>
          <w:rFonts w:ascii="Arial" w:eastAsia="Times New Roman" w:hAnsi="Arial" w:cs="Arial"/>
          <w:color w:val="000000"/>
          <w:sz w:val="24"/>
          <w:szCs w:val="24"/>
        </w:rPr>
        <w:t>)</w:t>
      </w:r>
    </w:p>
    <w:p w14:paraId="3B98CBAB" w14:textId="77777777" w:rsidR="001506C1" w:rsidRPr="00FA3F9C" w:rsidRDefault="001506C1" w:rsidP="001506C1">
      <w:pPr>
        <w:numPr>
          <w:ilvl w:val="0"/>
          <w:numId w:val="1"/>
        </w:numPr>
        <w:spacing w:before="24" w:after="100" w:afterAutospacing="1" w:line="240" w:lineRule="auto"/>
        <w:ind w:left="360"/>
        <w:rPr>
          <w:rFonts w:ascii="Arial" w:eastAsia="Times New Roman" w:hAnsi="Arial" w:cs="Arial"/>
          <w:color w:val="000000"/>
          <w:sz w:val="24"/>
          <w:szCs w:val="24"/>
        </w:rPr>
      </w:pPr>
      <w:r w:rsidRPr="00FA3F9C">
        <w:rPr>
          <w:rFonts w:ascii="Arial" w:eastAsia="Times New Roman" w:hAnsi="Arial" w:cs="Arial"/>
          <w:color w:val="000000"/>
          <w:sz w:val="24"/>
          <w:szCs w:val="24"/>
        </w:rPr>
        <w:t xml:space="preserve">in combination with </w:t>
      </w:r>
      <w:proofErr w:type="spellStart"/>
      <w:r w:rsidRPr="00FA3F9C">
        <w:rPr>
          <w:rFonts w:ascii="Arial" w:eastAsia="Times New Roman" w:hAnsi="Arial" w:cs="Arial"/>
          <w:color w:val="000000"/>
          <w:sz w:val="24"/>
          <w:szCs w:val="24"/>
          <w:u w:val="single"/>
        </w:rPr>
        <w:t>fulvestrant</w:t>
      </w:r>
      <w:proofErr w:type="spellEnd"/>
      <w:r w:rsidRPr="00FA3F9C">
        <w:rPr>
          <w:rFonts w:ascii="Arial" w:eastAsia="Times New Roman" w:hAnsi="Arial" w:cs="Arial"/>
          <w:color w:val="000000"/>
          <w:sz w:val="24"/>
          <w:szCs w:val="24"/>
        </w:rPr>
        <w:t xml:space="preserve"> for the treatment of women with hormone receptor (HR)-positive, human epidermal growth factor receptor 2 (HER2)-negative advanced or metastatic breast cancer with disease progression </w:t>
      </w:r>
      <w:r w:rsidRPr="00FA3F9C">
        <w:rPr>
          <w:rFonts w:ascii="Arial" w:eastAsia="Times New Roman" w:hAnsi="Arial" w:cs="Arial"/>
          <w:color w:val="000000"/>
          <w:sz w:val="24"/>
          <w:szCs w:val="24"/>
          <w:u w:val="single"/>
        </w:rPr>
        <w:t>following</w:t>
      </w:r>
      <w:r w:rsidRPr="00FA3F9C">
        <w:rPr>
          <w:rFonts w:ascii="Arial" w:eastAsia="Times New Roman" w:hAnsi="Arial" w:cs="Arial"/>
          <w:color w:val="000000"/>
          <w:sz w:val="24"/>
          <w:szCs w:val="24"/>
        </w:rPr>
        <w:t xml:space="preserve"> endocrine therapy. </w:t>
      </w:r>
      <w:r w:rsidRPr="00FA3F9C">
        <w:rPr>
          <w:rFonts w:ascii="Arial" w:eastAsia="Times New Roman" w:hAnsi="Arial" w:cs="Arial"/>
          <w:color w:val="000000"/>
          <w:sz w:val="24"/>
          <w:szCs w:val="24"/>
          <w:highlight w:val="cyan"/>
        </w:rPr>
        <w:t>SEE CRITERIA</w:t>
      </w:r>
    </w:p>
    <w:p w14:paraId="6FCA33B6" w14:textId="77777777" w:rsidR="001506C1" w:rsidRPr="00FA3F9C" w:rsidRDefault="001506C1" w:rsidP="001506C1">
      <w:pPr>
        <w:numPr>
          <w:ilvl w:val="0"/>
          <w:numId w:val="1"/>
        </w:numPr>
        <w:spacing w:before="24" w:after="100" w:afterAutospacing="1" w:line="240" w:lineRule="auto"/>
        <w:ind w:left="360"/>
        <w:rPr>
          <w:rFonts w:ascii="Arial" w:eastAsia="Times New Roman" w:hAnsi="Arial" w:cs="Arial"/>
          <w:color w:val="000000"/>
          <w:sz w:val="24"/>
          <w:szCs w:val="24"/>
        </w:rPr>
      </w:pPr>
      <w:r w:rsidRPr="00FA3F9C">
        <w:rPr>
          <w:rFonts w:ascii="Arial" w:eastAsia="Times New Roman" w:hAnsi="Arial" w:cs="Arial"/>
          <w:color w:val="000000"/>
          <w:sz w:val="24"/>
          <w:szCs w:val="24"/>
        </w:rPr>
        <w:t xml:space="preserve">as </w:t>
      </w:r>
      <w:r w:rsidRPr="00FA3F9C">
        <w:rPr>
          <w:rFonts w:ascii="Arial" w:eastAsia="Times New Roman" w:hAnsi="Arial" w:cs="Arial"/>
          <w:color w:val="000000"/>
          <w:sz w:val="24"/>
          <w:szCs w:val="24"/>
          <w:u w:val="single"/>
        </w:rPr>
        <w:t>monotherapy</w:t>
      </w:r>
      <w:r w:rsidRPr="00FA3F9C">
        <w:rPr>
          <w:rFonts w:ascii="Arial" w:eastAsia="Times New Roman" w:hAnsi="Arial" w:cs="Arial"/>
          <w:color w:val="000000"/>
          <w:sz w:val="24"/>
          <w:szCs w:val="24"/>
        </w:rPr>
        <w:t xml:space="preserve"> for the treatment of adult patients with HR-positive, HER2-negative advanced or metastatic breast cancer with disease progression following endocrine therapy and prior chemotherapy in the metastatic setting. (</w:t>
      </w:r>
      <w:r w:rsidRPr="00FA3F9C">
        <w:rPr>
          <w:rFonts w:ascii="Arial" w:eastAsia="Times New Roman" w:hAnsi="Arial" w:cs="Arial"/>
          <w:color w:val="000000"/>
          <w:sz w:val="24"/>
          <w:szCs w:val="24"/>
          <w:highlight w:val="yellow"/>
        </w:rPr>
        <w:t>NOT COVERED</w:t>
      </w:r>
      <w:r w:rsidRPr="00FA3F9C">
        <w:rPr>
          <w:rFonts w:ascii="Arial" w:eastAsia="Times New Roman" w:hAnsi="Arial" w:cs="Arial"/>
          <w:color w:val="000000"/>
          <w:sz w:val="24"/>
          <w:szCs w:val="24"/>
        </w:rPr>
        <w:t>)</w:t>
      </w:r>
    </w:p>
    <w:tbl>
      <w:tblPr>
        <w:tblStyle w:val="TableGrid"/>
        <w:tblW w:w="0" w:type="auto"/>
        <w:tblLook w:val="04A0" w:firstRow="1" w:lastRow="0" w:firstColumn="1" w:lastColumn="0" w:noHBand="0" w:noVBand="1"/>
      </w:tblPr>
      <w:tblGrid>
        <w:gridCol w:w="8928"/>
        <w:gridCol w:w="2088"/>
      </w:tblGrid>
      <w:tr w:rsidR="001506C1" w:rsidRPr="00FA3F9C" w14:paraId="15849A37" w14:textId="77777777" w:rsidTr="00571CAB">
        <w:tc>
          <w:tcPr>
            <w:tcW w:w="8928" w:type="dxa"/>
            <w:shd w:val="clear" w:color="auto" w:fill="000000"/>
          </w:tcPr>
          <w:p w14:paraId="3B2ED018" w14:textId="77777777" w:rsidR="001506C1" w:rsidRPr="00FA3F9C" w:rsidRDefault="001506C1" w:rsidP="00D4027B">
            <w:pPr>
              <w:rPr>
                <w:rFonts w:ascii="Arial" w:hAnsi="Arial" w:cs="Arial"/>
                <w:b/>
                <w:sz w:val="24"/>
                <w:szCs w:val="24"/>
                <w:u w:val="single"/>
              </w:rPr>
            </w:pPr>
            <w:r w:rsidRPr="00FA3F9C">
              <w:rPr>
                <w:rFonts w:ascii="Arial" w:hAnsi="Arial" w:cs="Arial"/>
                <w:b/>
                <w:sz w:val="24"/>
                <w:szCs w:val="24"/>
                <w:u w:val="single"/>
              </w:rPr>
              <w:t>Criteria for new users (early breast cancer—adjuvant therapy)</w:t>
            </w:r>
          </w:p>
        </w:tc>
        <w:tc>
          <w:tcPr>
            <w:tcW w:w="2088" w:type="dxa"/>
            <w:shd w:val="clear" w:color="auto" w:fill="000000"/>
          </w:tcPr>
          <w:p w14:paraId="0DF1EFAE" w14:textId="77777777" w:rsidR="001506C1" w:rsidRPr="00FA3F9C" w:rsidRDefault="001506C1" w:rsidP="006F623F">
            <w:pPr>
              <w:jc w:val="center"/>
              <w:rPr>
                <w:rFonts w:ascii="Arial" w:hAnsi="Arial" w:cs="Arial"/>
                <w:b/>
                <w:sz w:val="24"/>
                <w:szCs w:val="24"/>
                <w:u w:val="single"/>
              </w:rPr>
            </w:pPr>
          </w:p>
        </w:tc>
      </w:tr>
      <w:tr w:rsidR="001506C1" w:rsidRPr="00FA3F9C" w14:paraId="3EA50D4C" w14:textId="77777777" w:rsidTr="00F337AE">
        <w:tc>
          <w:tcPr>
            <w:tcW w:w="11016" w:type="dxa"/>
            <w:gridSpan w:val="2"/>
          </w:tcPr>
          <w:p w14:paraId="1B1CE5B5" w14:textId="77777777" w:rsidR="001506C1" w:rsidRPr="00FA3F9C" w:rsidRDefault="001506C1" w:rsidP="00D4027B">
            <w:pPr>
              <w:rPr>
                <w:rFonts w:ascii="Arial" w:hAnsi="Arial" w:cs="Arial"/>
                <w:sz w:val="24"/>
                <w:szCs w:val="24"/>
              </w:rPr>
            </w:pPr>
            <w:r w:rsidRPr="00FA3F9C">
              <w:rPr>
                <w:rFonts w:ascii="Arial" w:hAnsi="Arial" w:cs="Arial"/>
                <w:sz w:val="24"/>
                <w:szCs w:val="24"/>
              </w:rPr>
              <w:t>1. Diagnosis of breast cancer</w:t>
            </w:r>
          </w:p>
        </w:tc>
      </w:tr>
      <w:tr w:rsidR="001506C1" w:rsidRPr="00FA3F9C" w14:paraId="47D17AF8" w14:textId="77777777" w:rsidTr="00B1617E">
        <w:tc>
          <w:tcPr>
            <w:tcW w:w="11016" w:type="dxa"/>
            <w:gridSpan w:val="2"/>
          </w:tcPr>
          <w:p w14:paraId="5CFBED75" w14:textId="77777777" w:rsidR="001506C1" w:rsidRPr="00FA3F9C" w:rsidRDefault="001506C1" w:rsidP="006343DB">
            <w:pPr>
              <w:rPr>
                <w:rFonts w:ascii="Arial" w:hAnsi="Arial" w:cs="Arial"/>
                <w:sz w:val="24"/>
                <w:szCs w:val="24"/>
              </w:rPr>
            </w:pPr>
            <w:r w:rsidRPr="00FA3F9C">
              <w:rPr>
                <w:rFonts w:ascii="Arial" w:hAnsi="Arial" w:cs="Arial"/>
                <w:sz w:val="24"/>
                <w:szCs w:val="24"/>
              </w:rPr>
              <w:t>2. Tumor is hormone receptor positive (</w:t>
            </w:r>
            <w:proofErr w:type="gramStart"/>
            <w:r w:rsidRPr="00FA3F9C">
              <w:rPr>
                <w:rFonts w:ascii="Arial" w:hAnsi="Arial" w:cs="Arial"/>
                <w:sz w:val="24"/>
                <w:szCs w:val="24"/>
              </w:rPr>
              <w:t>e.g.</w:t>
            </w:r>
            <w:proofErr w:type="gramEnd"/>
            <w:r w:rsidRPr="00FA3F9C">
              <w:rPr>
                <w:rFonts w:ascii="Arial" w:hAnsi="Arial" w:cs="Arial"/>
                <w:sz w:val="24"/>
                <w:szCs w:val="24"/>
              </w:rPr>
              <w:t xml:space="preserve"> HR+, ER+ and/or PR+)</w:t>
            </w:r>
          </w:p>
        </w:tc>
      </w:tr>
      <w:tr w:rsidR="001506C1" w:rsidRPr="00FA3F9C" w14:paraId="78A64B83" w14:textId="77777777" w:rsidTr="00B1617E">
        <w:tc>
          <w:tcPr>
            <w:tcW w:w="11016" w:type="dxa"/>
            <w:gridSpan w:val="2"/>
          </w:tcPr>
          <w:p w14:paraId="4A675149" w14:textId="77777777" w:rsidR="001506C1" w:rsidRPr="00FA3F9C" w:rsidRDefault="001506C1" w:rsidP="006343DB">
            <w:pPr>
              <w:rPr>
                <w:rFonts w:ascii="Arial" w:hAnsi="Arial" w:cs="Arial"/>
                <w:sz w:val="24"/>
                <w:szCs w:val="24"/>
              </w:rPr>
            </w:pPr>
            <w:r w:rsidRPr="00FA3F9C">
              <w:rPr>
                <w:rFonts w:ascii="Arial" w:hAnsi="Arial" w:cs="Arial"/>
                <w:sz w:val="24"/>
                <w:szCs w:val="24"/>
              </w:rPr>
              <w:t>3. Tumor is HER2/neu negative</w:t>
            </w:r>
          </w:p>
        </w:tc>
      </w:tr>
      <w:tr w:rsidR="001506C1" w:rsidRPr="00FA3F9C" w14:paraId="40D634C6" w14:textId="77777777" w:rsidTr="00B1617E">
        <w:tc>
          <w:tcPr>
            <w:tcW w:w="11016" w:type="dxa"/>
            <w:gridSpan w:val="2"/>
          </w:tcPr>
          <w:p w14:paraId="1EABD34F" w14:textId="77777777" w:rsidR="001506C1" w:rsidRPr="00FA3F9C" w:rsidRDefault="001506C1" w:rsidP="00D4027B">
            <w:pPr>
              <w:rPr>
                <w:rFonts w:ascii="Arial" w:hAnsi="Arial" w:cs="Arial"/>
                <w:sz w:val="24"/>
                <w:szCs w:val="24"/>
              </w:rPr>
            </w:pPr>
            <w:r w:rsidRPr="00FA3F9C">
              <w:rPr>
                <w:rFonts w:ascii="Arial" w:hAnsi="Arial" w:cs="Arial"/>
                <w:sz w:val="24"/>
                <w:szCs w:val="24"/>
              </w:rPr>
              <w:t>4. Tumor Ki-67 score is 20% or greater</w:t>
            </w:r>
          </w:p>
        </w:tc>
      </w:tr>
      <w:tr w:rsidR="001506C1" w:rsidRPr="00FA3F9C" w14:paraId="1F163CF6" w14:textId="77777777" w:rsidTr="00B1617E">
        <w:tc>
          <w:tcPr>
            <w:tcW w:w="11016" w:type="dxa"/>
            <w:gridSpan w:val="2"/>
          </w:tcPr>
          <w:p w14:paraId="74B356CF" w14:textId="77777777" w:rsidR="001506C1" w:rsidRPr="00FA3F9C" w:rsidRDefault="001506C1" w:rsidP="00D4027B">
            <w:pPr>
              <w:rPr>
                <w:rFonts w:ascii="Arial" w:hAnsi="Arial" w:cs="Arial"/>
                <w:sz w:val="24"/>
                <w:szCs w:val="24"/>
              </w:rPr>
            </w:pPr>
            <w:r w:rsidRPr="00FA3F9C">
              <w:rPr>
                <w:rFonts w:ascii="Arial" w:hAnsi="Arial" w:cs="Arial"/>
                <w:sz w:val="24"/>
                <w:szCs w:val="24"/>
              </w:rPr>
              <w:t>5. Tumor is node positive</w:t>
            </w:r>
          </w:p>
        </w:tc>
      </w:tr>
      <w:tr w:rsidR="001506C1" w:rsidRPr="00FA3F9C" w14:paraId="6F46D104" w14:textId="77777777" w:rsidTr="00B1617E">
        <w:tc>
          <w:tcPr>
            <w:tcW w:w="11016" w:type="dxa"/>
            <w:gridSpan w:val="2"/>
          </w:tcPr>
          <w:p w14:paraId="332D634A" w14:textId="77777777" w:rsidR="001506C1" w:rsidRPr="00FA3F9C" w:rsidRDefault="001506C1" w:rsidP="00D4027B">
            <w:pPr>
              <w:rPr>
                <w:rFonts w:ascii="Arial" w:hAnsi="Arial" w:cs="Arial"/>
                <w:sz w:val="24"/>
                <w:szCs w:val="24"/>
              </w:rPr>
            </w:pPr>
            <w:r w:rsidRPr="00FA3F9C">
              <w:rPr>
                <w:rFonts w:ascii="Arial" w:hAnsi="Arial" w:cs="Arial"/>
                <w:sz w:val="24"/>
                <w:szCs w:val="24"/>
              </w:rPr>
              <w:t xml:space="preserve">6. </w:t>
            </w:r>
            <w:proofErr w:type="spellStart"/>
            <w:r w:rsidRPr="00FA3F9C">
              <w:rPr>
                <w:rFonts w:ascii="Arial" w:hAnsi="Arial" w:cs="Arial"/>
                <w:sz w:val="24"/>
                <w:szCs w:val="24"/>
              </w:rPr>
              <w:t>Abemaciclib</w:t>
            </w:r>
            <w:proofErr w:type="spellEnd"/>
            <w:r w:rsidRPr="00FA3F9C">
              <w:rPr>
                <w:rFonts w:ascii="Arial" w:hAnsi="Arial" w:cs="Arial"/>
                <w:sz w:val="24"/>
                <w:szCs w:val="24"/>
              </w:rPr>
              <w:t xml:space="preserve"> will be used in combination with endocrine therapy (</w:t>
            </w:r>
            <w:proofErr w:type="gramStart"/>
            <w:r w:rsidRPr="00FA3F9C">
              <w:rPr>
                <w:rFonts w:ascii="Arial" w:hAnsi="Arial" w:cs="Arial"/>
                <w:sz w:val="24"/>
                <w:szCs w:val="24"/>
              </w:rPr>
              <w:t>e.g.</w:t>
            </w:r>
            <w:proofErr w:type="gramEnd"/>
            <w:r w:rsidRPr="00FA3F9C">
              <w:rPr>
                <w:rFonts w:ascii="Arial" w:hAnsi="Arial" w:cs="Arial"/>
                <w:sz w:val="24"/>
                <w:szCs w:val="24"/>
              </w:rPr>
              <w:t xml:space="preserve"> tamoxifen, anastrozole, letrozole).</w:t>
            </w:r>
          </w:p>
        </w:tc>
      </w:tr>
      <w:tr w:rsidR="001506C1" w:rsidRPr="00FA3F9C" w14:paraId="0843BD56" w14:textId="77777777" w:rsidTr="008B6B58">
        <w:tc>
          <w:tcPr>
            <w:tcW w:w="11016" w:type="dxa"/>
            <w:gridSpan w:val="2"/>
            <w:shd w:val="clear" w:color="auto" w:fill="F2F2F2" w:themeFill="background1" w:themeFillShade="F2"/>
          </w:tcPr>
          <w:p w14:paraId="0ACD7D11" w14:textId="77777777" w:rsidR="001506C1" w:rsidRPr="00FA3F9C" w:rsidRDefault="001506C1" w:rsidP="00D4027B">
            <w:pPr>
              <w:rPr>
                <w:rFonts w:ascii="Arial" w:hAnsi="Arial" w:cs="Arial"/>
                <w:sz w:val="24"/>
                <w:szCs w:val="24"/>
              </w:rPr>
            </w:pPr>
            <w:r w:rsidRPr="00FA3F9C">
              <w:rPr>
                <w:rFonts w:ascii="Arial" w:hAnsi="Arial" w:cs="Arial"/>
                <w:sz w:val="24"/>
                <w:szCs w:val="24"/>
              </w:rPr>
              <w:t>If all criteria met, approve x 1 year. PA may be renewed 1 time for 1 year for maximum duration of treatment of 2 years.</w:t>
            </w:r>
          </w:p>
        </w:tc>
      </w:tr>
      <w:tr w:rsidR="001506C1" w:rsidRPr="00FA3F9C" w14:paraId="77B0496E" w14:textId="77777777" w:rsidTr="008B6B58">
        <w:tc>
          <w:tcPr>
            <w:tcW w:w="11016" w:type="dxa"/>
            <w:gridSpan w:val="2"/>
            <w:shd w:val="clear" w:color="auto" w:fill="F2F2F2" w:themeFill="background1" w:themeFillShade="F2"/>
          </w:tcPr>
          <w:p w14:paraId="29C33CA6" w14:textId="77777777" w:rsidR="001506C1" w:rsidRPr="00FA3F9C" w:rsidRDefault="001506C1" w:rsidP="00D4027B">
            <w:pPr>
              <w:rPr>
                <w:rFonts w:ascii="Arial" w:hAnsi="Arial" w:cs="Arial"/>
                <w:sz w:val="24"/>
                <w:szCs w:val="24"/>
              </w:rPr>
            </w:pPr>
            <w:r w:rsidRPr="00FA3F9C">
              <w:rPr>
                <w:rFonts w:ascii="Arial" w:hAnsi="Arial" w:cs="Arial"/>
                <w:sz w:val="24"/>
                <w:szCs w:val="24"/>
              </w:rPr>
              <w:t xml:space="preserve">Note: </w:t>
            </w:r>
          </w:p>
          <w:p w14:paraId="41FA6CD1" w14:textId="77777777" w:rsidR="001506C1" w:rsidRPr="00FA3F9C" w:rsidRDefault="001506C1" w:rsidP="00D4027B">
            <w:pPr>
              <w:rPr>
                <w:rFonts w:ascii="Arial" w:hAnsi="Arial" w:cs="Arial"/>
                <w:sz w:val="24"/>
                <w:szCs w:val="24"/>
              </w:rPr>
            </w:pPr>
          </w:p>
          <w:p w14:paraId="3F2D76D3" w14:textId="77777777" w:rsidR="001506C1" w:rsidRPr="00FA3F9C" w:rsidRDefault="001506C1" w:rsidP="00D4027B">
            <w:pPr>
              <w:rPr>
                <w:rFonts w:ascii="Arial" w:hAnsi="Arial" w:cs="Arial"/>
                <w:sz w:val="24"/>
                <w:szCs w:val="24"/>
              </w:rPr>
            </w:pPr>
            <w:r w:rsidRPr="00FA3F9C">
              <w:rPr>
                <w:rFonts w:ascii="Arial" w:hAnsi="Arial" w:cs="Arial"/>
                <w:sz w:val="24"/>
                <w:szCs w:val="24"/>
              </w:rPr>
              <w:t>Dose: 150 mg PO BID</w:t>
            </w:r>
          </w:p>
          <w:p w14:paraId="4E3461E1" w14:textId="77777777" w:rsidR="001506C1" w:rsidRPr="00FA3F9C" w:rsidRDefault="001506C1" w:rsidP="00D4027B">
            <w:pPr>
              <w:rPr>
                <w:rFonts w:ascii="Arial" w:hAnsi="Arial" w:cs="Arial"/>
                <w:sz w:val="24"/>
                <w:szCs w:val="24"/>
              </w:rPr>
            </w:pPr>
          </w:p>
          <w:p w14:paraId="4A9BDDCA" w14:textId="77777777" w:rsidR="001506C1" w:rsidRPr="00FA3F9C" w:rsidRDefault="001506C1" w:rsidP="00D4027B">
            <w:pPr>
              <w:rPr>
                <w:rFonts w:ascii="Arial" w:hAnsi="Arial" w:cs="Arial"/>
                <w:sz w:val="24"/>
                <w:szCs w:val="24"/>
              </w:rPr>
            </w:pPr>
            <w:r w:rsidRPr="00FA3F9C">
              <w:rPr>
                <w:rFonts w:ascii="Arial" w:hAnsi="Arial" w:cs="Arial"/>
                <w:sz w:val="24"/>
                <w:szCs w:val="24"/>
              </w:rPr>
              <w:lastRenderedPageBreak/>
              <w:t xml:space="preserve">Compared to placebo, </w:t>
            </w:r>
            <w:proofErr w:type="spellStart"/>
            <w:r w:rsidRPr="00FA3F9C">
              <w:rPr>
                <w:rFonts w:ascii="Arial" w:hAnsi="Arial" w:cs="Arial"/>
                <w:sz w:val="24"/>
                <w:szCs w:val="24"/>
              </w:rPr>
              <w:t>abemaciclib</w:t>
            </w:r>
            <w:proofErr w:type="spellEnd"/>
            <w:r w:rsidRPr="00FA3F9C">
              <w:rPr>
                <w:rFonts w:ascii="Arial" w:hAnsi="Arial" w:cs="Arial"/>
                <w:sz w:val="24"/>
                <w:szCs w:val="24"/>
              </w:rPr>
              <w:t xml:space="preserve"> improved invasive </w:t>
            </w:r>
            <w:proofErr w:type="gramStart"/>
            <w:r w:rsidRPr="00FA3F9C">
              <w:rPr>
                <w:rFonts w:ascii="Arial" w:hAnsi="Arial" w:cs="Arial"/>
                <w:sz w:val="24"/>
                <w:szCs w:val="24"/>
              </w:rPr>
              <w:t>disease free</w:t>
            </w:r>
            <w:proofErr w:type="gramEnd"/>
            <w:r w:rsidRPr="00FA3F9C">
              <w:rPr>
                <w:rFonts w:ascii="Arial" w:hAnsi="Arial" w:cs="Arial"/>
                <w:sz w:val="24"/>
                <w:szCs w:val="24"/>
              </w:rPr>
              <w:t xml:space="preserve"> survival (</w:t>
            </w:r>
            <w:proofErr w:type="spellStart"/>
            <w:r w:rsidRPr="00FA3F9C">
              <w:rPr>
                <w:rFonts w:ascii="Arial" w:hAnsi="Arial" w:cs="Arial"/>
                <w:sz w:val="24"/>
                <w:szCs w:val="24"/>
              </w:rPr>
              <w:t>iDFS</w:t>
            </w:r>
            <w:proofErr w:type="spellEnd"/>
            <w:r w:rsidRPr="00FA3F9C">
              <w:rPr>
                <w:rFonts w:ascii="Arial" w:hAnsi="Arial" w:cs="Arial"/>
                <w:sz w:val="24"/>
                <w:szCs w:val="24"/>
              </w:rPr>
              <w:t xml:space="preserve">). The 36-mo </w:t>
            </w:r>
            <w:proofErr w:type="spellStart"/>
            <w:r w:rsidRPr="00FA3F9C">
              <w:rPr>
                <w:rFonts w:ascii="Arial" w:hAnsi="Arial" w:cs="Arial"/>
                <w:sz w:val="24"/>
                <w:szCs w:val="24"/>
              </w:rPr>
              <w:t>iDFS</w:t>
            </w:r>
            <w:proofErr w:type="spellEnd"/>
            <w:r w:rsidRPr="00FA3F9C">
              <w:rPr>
                <w:rFonts w:ascii="Arial" w:hAnsi="Arial" w:cs="Arial"/>
                <w:sz w:val="24"/>
                <w:szCs w:val="24"/>
              </w:rPr>
              <w:t xml:space="preserve"> was 86% in the </w:t>
            </w:r>
            <w:proofErr w:type="spellStart"/>
            <w:r w:rsidRPr="00FA3F9C">
              <w:rPr>
                <w:rFonts w:ascii="Arial" w:hAnsi="Arial" w:cs="Arial"/>
                <w:sz w:val="24"/>
                <w:szCs w:val="24"/>
              </w:rPr>
              <w:t>abemaciclib</w:t>
            </w:r>
            <w:proofErr w:type="spellEnd"/>
            <w:r w:rsidRPr="00FA3F9C">
              <w:rPr>
                <w:rFonts w:ascii="Arial" w:hAnsi="Arial" w:cs="Arial"/>
                <w:sz w:val="24"/>
                <w:szCs w:val="24"/>
              </w:rPr>
              <w:t xml:space="preserve"> group and 79% in the control arm (HR 0.626 95% CI 0.488, 0.803). ESMO clinical benefit scoring: A (highest rating).</w:t>
            </w:r>
          </w:p>
          <w:p w14:paraId="58985B2F" w14:textId="77777777" w:rsidR="001506C1" w:rsidRPr="00FA3F9C" w:rsidRDefault="001506C1" w:rsidP="00D4027B">
            <w:pPr>
              <w:rPr>
                <w:rFonts w:ascii="Arial" w:hAnsi="Arial" w:cs="Arial"/>
                <w:sz w:val="24"/>
                <w:szCs w:val="24"/>
              </w:rPr>
            </w:pPr>
          </w:p>
          <w:p w14:paraId="67EEFAE1" w14:textId="77777777" w:rsidR="001506C1" w:rsidRPr="00FA3F9C" w:rsidRDefault="001506C1" w:rsidP="00D4027B">
            <w:pPr>
              <w:rPr>
                <w:rFonts w:ascii="Arial" w:hAnsi="Arial" w:cs="Arial"/>
                <w:sz w:val="24"/>
                <w:szCs w:val="24"/>
              </w:rPr>
            </w:pPr>
            <w:r w:rsidRPr="00FA3F9C">
              <w:rPr>
                <w:rFonts w:ascii="Arial" w:hAnsi="Arial" w:cs="Arial"/>
                <w:sz w:val="24"/>
                <w:szCs w:val="24"/>
              </w:rPr>
              <w:t>Reference</w:t>
            </w:r>
          </w:p>
          <w:p w14:paraId="561B7DA7" w14:textId="77777777" w:rsidR="001506C1" w:rsidRPr="00FA3F9C" w:rsidRDefault="001506C1" w:rsidP="00D4027B">
            <w:pPr>
              <w:rPr>
                <w:rFonts w:ascii="Arial" w:hAnsi="Arial" w:cs="Arial"/>
                <w:sz w:val="24"/>
                <w:szCs w:val="24"/>
              </w:rPr>
            </w:pPr>
            <w:r w:rsidRPr="00FA3F9C">
              <w:rPr>
                <w:rFonts w:ascii="Arial" w:hAnsi="Arial" w:cs="Arial"/>
                <w:sz w:val="24"/>
                <w:szCs w:val="24"/>
              </w:rPr>
              <w:t xml:space="preserve">Johnston SRD et al. </w:t>
            </w:r>
            <w:proofErr w:type="spellStart"/>
            <w:r w:rsidRPr="00FA3F9C">
              <w:rPr>
                <w:rFonts w:ascii="Arial" w:hAnsi="Arial" w:cs="Arial"/>
                <w:sz w:val="24"/>
                <w:szCs w:val="24"/>
              </w:rPr>
              <w:t>Abemaciclib</w:t>
            </w:r>
            <w:proofErr w:type="spellEnd"/>
            <w:r w:rsidRPr="00FA3F9C">
              <w:rPr>
                <w:rFonts w:ascii="Arial" w:hAnsi="Arial" w:cs="Arial"/>
                <w:sz w:val="24"/>
                <w:szCs w:val="24"/>
              </w:rPr>
              <w:t xml:space="preserve"> Combined </w:t>
            </w:r>
            <w:proofErr w:type="gramStart"/>
            <w:r w:rsidRPr="00FA3F9C">
              <w:rPr>
                <w:rFonts w:ascii="Arial" w:hAnsi="Arial" w:cs="Arial"/>
                <w:sz w:val="24"/>
                <w:szCs w:val="24"/>
              </w:rPr>
              <w:t>With</w:t>
            </w:r>
            <w:proofErr w:type="gramEnd"/>
            <w:r w:rsidRPr="00FA3F9C">
              <w:rPr>
                <w:rFonts w:ascii="Arial" w:hAnsi="Arial" w:cs="Arial"/>
                <w:sz w:val="24"/>
                <w:szCs w:val="24"/>
              </w:rPr>
              <w:t xml:space="preserve"> Endocrine Therapy for the Adjuvant Treatment of HR+, HER2-, Node-Positive, High-Risk, Early Breast Cancer (</w:t>
            </w:r>
            <w:proofErr w:type="spellStart"/>
            <w:r w:rsidRPr="00FA3F9C">
              <w:rPr>
                <w:rFonts w:ascii="Arial" w:hAnsi="Arial" w:cs="Arial"/>
                <w:sz w:val="24"/>
                <w:szCs w:val="24"/>
              </w:rPr>
              <w:t>monarchE</w:t>
            </w:r>
            <w:proofErr w:type="spellEnd"/>
            <w:r w:rsidRPr="00FA3F9C">
              <w:rPr>
                <w:rFonts w:ascii="Arial" w:hAnsi="Arial" w:cs="Arial"/>
                <w:sz w:val="24"/>
                <w:szCs w:val="24"/>
              </w:rPr>
              <w:t xml:space="preserve">). J Clin Oncol. 2020 Dec 1;38(34):3987-3998. </w:t>
            </w:r>
            <w:proofErr w:type="spellStart"/>
            <w:r w:rsidRPr="00FA3F9C">
              <w:rPr>
                <w:rFonts w:ascii="Arial" w:hAnsi="Arial" w:cs="Arial"/>
                <w:sz w:val="24"/>
                <w:szCs w:val="24"/>
              </w:rPr>
              <w:t>doi</w:t>
            </w:r>
            <w:proofErr w:type="spellEnd"/>
            <w:r w:rsidRPr="00FA3F9C">
              <w:rPr>
                <w:rFonts w:ascii="Arial" w:hAnsi="Arial" w:cs="Arial"/>
                <w:sz w:val="24"/>
                <w:szCs w:val="24"/>
              </w:rPr>
              <w:t xml:space="preserve">: 10.1200/JCO.20.02514. </w:t>
            </w:r>
            <w:proofErr w:type="spellStart"/>
            <w:r w:rsidRPr="00FA3F9C">
              <w:rPr>
                <w:rFonts w:ascii="Arial" w:hAnsi="Arial" w:cs="Arial"/>
                <w:sz w:val="24"/>
                <w:szCs w:val="24"/>
              </w:rPr>
              <w:t>Epub</w:t>
            </w:r>
            <w:proofErr w:type="spellEnd"/>
            <w:r w:rsidRPr="00FA3F9C">
              <w:rPr>
                <w:rFonts w:ascii="Arial" w:hAnsi="Arial" w:cs="Arial"/>
                <w:sz w:val="24"/>
                <w:szCs w:val="24"/>
              </w:rPr>
              <w:t xml:space="preserve"> 2020 Sep 20. PMID: 32954927; PMCID: PMC7768339.</w:t>
            </w:r>
          </w:p>
        </w:tc>
      </w:tr>
    </w:tbl>
    <w:p w14:paraId="40FDF207" w14:textId="77777777" w:rsidR="001506C1" w:rsidRPr="00FA3F9C" w:rsidRDefault="001506C1" w:rsidP="00FA3C5D">
      <w:pPr>
        <w:spacing w:after="0"/>
        <w:rPr>
          <w:rFonts w:ascii="Arial" w:hAnsi="Arial" w:cs="Arial"/>
          <w:sz w:val="24"/>
          <w:szCs w:val="24"/>
        </w:rPr>
      </w:pPr>
    </w:p>
    <w:tbl>
      <w:tblPr>
        <w:tblStyle w:val="TableGrid"/>
        <w:tblW w:w="0" w:type="auto"/>
        <w:tblLook w:val="04A0" w:firstRow="1" w:lastRow="0" w:firstColumn="1" w:lastColumn="0" w:noHBand="0" w:noVBand="1"/>
      </w:tblPr>
      <w:tblGrid>
        <w:gridCol w:w="8928"/>
        <w:gridCol w:w="2088"/>
      </w:tblGrid>
      <w:tr w:rsidR="001506C1" w:rsidRPr="00FA3F9C" w14:paraId="4DB9325A" w14:textId="77777777" w:rsidTr="00291442">
        <w:tc>
          <w:tcPr>
            <w:tcW w:w="8928" w:type="dxa"/>
            <w:shd w:val="clear" w:color="auto" w:fill="000000"/>
          </w:tcPr>
          <w:p w14:paraId="693AD420" w14:textId="77777777" w:rsidR="001506C1" w:rsidRPr="00FA3F9C" w:rsidRDefault="001506C1" w:rsidP="00291442">
            <w:pPr>
              <w:rPr>
                <w:rFonts w:ascii="Arial" w:hAnsi="Arial" w:cs="Arial"/>
                <w:b/>
                <w:sz w:val="24"/>
                <w:szCs w:val="24"/>
                <w:u w:val="single"/>
              </w:rPr>
            </w:pPr>
            <w:r w:rsidRPr="00FA3F9C">
              <w:rPr>
                <w:rFonts w:ascii="Arial" w:hAnsi="Arial" w:cs="Arial"/>
                <w:b/>
                <w:sz w:val="24"/>
                <w:szCs w:val="24"/>
                <w:u w:val="single"/>
              </w:rPr>
              <w:t>Criteria for new users (advanced/metastatic disease)</w:t>
            </w:r>
          </w:p>
        </w:tc>
        <w:tc>
          <w:tcPr>
            <w:tcW w:w="2088" w:type="dxa"/>
            <w:shd w:val="clear" w:color="auto" w:fill="000000"/>
          </w:tcPr>
          <w:p w14:paraId="10E8CACF" w14:textId="77777777" w:rsidR="001506C1" w:rsidRPr="00FA3F9C" w:rsidRDefault="001506C1" w:rsidP="00291442">
            <w:pPr>
              <w:jc w:val="center"/>
              <w:rPr>
                <w:rFonts w:ascii="Arial" w:hAnsi="Arial" w:cs="Arial"/>
                <w:b/>
                <w:sz w:val="24"/>
                <w:szCs w:val="24"/>
                <w:u w:val="single"/>
              </w:rPr>
            </w:pPr>
          </w:p>
        </w:tc>
      </w:tr>
      <w:tr w:rsidR="001506C1" w:rsidRPr="00FA3F9C" w14:paraId="6BD9ED27" w14:textId="77777777" w:rsidTr="00291442">
        <w:tc>
          <w:tcPr>
            <w:tcW w:w="11016" w:type="dxa"/>
            <w:gridSpan w:val="2"/>
          </w:tcPr>
          <w:p w14:paraId="54CD87A7" w14:textId="77777777" w:rsidR="001506C1" w:rsidRPr="00FA3F9C" w:rsidRDefault="001506C1" w:rsidP="00291442">
            <w:pPr>
              <w:rPr>
                <w:rFonts w:ascii="Arial" w:hAnsi="Arial" w:cs="Arial"/>
                <w:sz w:val="24"/>
                <w:szCs w:val="24"/>
              </w:rPr>
            </w:pPr>
            <w:r w:rsidRPr="00FA3F9C">
              <w:rPr>
                <w:rFonts w:ascii="Arial" w:hAnsi="Arial" w:cs="Arial"/>
                <w:sz w:val="24"/>
                <w:szCs w:val="24"/>
              </w:rPr>
              <w:t>1. Diagnosis of advanced or metastatic breast cancer</w:t>
            </w:r>
          </w:p>
        </w:tc>
      </w:tr>
      <w:tr w:rsidR="001506C1" w:rsidRPr="00FA3F9C" w14:paraId="20D8898A" w14:textId="77777777" w:rsidTr="00291442">
        <w:tc>
          <w:tcPr>
            <w:tcW w:w="11016" w:type="dxa"/>
            <w:gridSpan w:val="2"/>
          </w:tcPr>
          <w:p w14:paraId="226BE90E" w14:textId="77777777" w:rsidR="001506C1" w:rsidRPr="00FA3F9C" w:rsidRDefault="001506C1" w:rsidP="00291442">
            <w:pPr>
              <w:rPr>
                <w:rFonts w:ascii="Arial" w:hAnsi="Arial" w:cs="Arial"/>
                <w:sz w:val="24"/>
                <w:szCs w:val="24"/>
              </w:rPr>
            </w:pPr>
            <w:r w:rsidRPr="00FA3F9C">
              <w:rPr>
                <w:rFonts w:ascii="Arial" w:hAnsi="Arial" w:cs="Arial"/>
                <w:sz w:val="24"/>
                <w:szCs w:val="24"/>
              </w:rPr>
              <w:t>2. Tumor is hormone receptor positive (</w:t>
            </w:r>
            <w:proofErr w:type="gramStart"/>
            <w:r w:rsidRPr="00FA3F9C">
              <w:rPr>
                <w:rFonts w:ascii="Arial" w:hAnsi="Arial" w:cs="Arial"/>
                <w:sz w:val="24"/>
                <w:szCs w:val="24"/>
              </w:rPr>
              <w:t>e.g.</w:t>
            </w:r>
            <w:proofErr w:type="gramEnd"/>
            <w:r w:rsidRPr="00FA3F9C">
              <w:rPr>
                <w:rFonts w:ascii="Arial" w:hAnsi="Arial" w:cs="Arial"/>
                <w:sz w:val="24"/>
                <w:szCs w:val="24"/>
              </w:rPr>
              <w:t xml:space="preserve"> HR+, ER+ and/or PR+)</w:t>
            </w:r>
          </w:p>
        </w:tc>
      </w:tr>
      <w:tr w:rsidR="001506C1" w:rsidRPr="00FA3F9C" w14:paraId="4E1163F3" w14:textId="77777777" w:rsidTr="00291442">
        <w:tc>
          <w:tcPr>
            <w:tcW w:w="11016" w:type="dxa"/>
            <w:gridSpan w:val="2"/>
          </w:tcPr>
          <w:p w14:paraId="2E21499A" w14:textId="77777777" w:rsidR="001506C1" w:rsidRPr="00FA3F9C" w:rsidRDefault="001506C1" w:rsidP="00291442">
            <w:pPr>
              <w:rPr>
                <w:rFonts w:ascii="Arial" w:hAnsi="Arial" w:cs="Arial"/>
                <w:sz w:val="24"/>
                <w:szCs w:val="24"/>
              </w:rPr>
            </w:pPr>
            <w:r w:rsidRPr="00FA3F9C">
              <w:rPr>
                <w:rFonts w:ascii="Arial" w:hAnsi="Arial" w:cs="Arial"/>
                <w:sz w:val="24"/>
                <w:szCs w:val="24"/>
              </w:rPr>
              <w:t>3. Tumor is HER2 negative</w:t>
            </w:r>
          </w:p>
        </w:tc>
      </w:tr>
      <w:tr w:rsidR="001506C1" w:rsidRPr="00FA3F9C" w14:paraId="49C72B57" w14:textId="77777777" w:rsidTr="00291442">
        <w:tc>
          <w:tcPr>
            <w:tcW w:w="11016" w:type="dxa"/>
            <w:gridSpan w:val="2"/>
          </w:tcPr>
          <w:p w14:paraId="0C34344D" w14:textId="77777777" w:rsidR="001506C1" w:rsidRPr="00FA3F9C" w:rsidRDefault="001506C1" w:rsidP="00291442">
            <w:pPr>
              <w:rPr>
                <w:rFonts w:ascii="Arial" w:hAnsi="Arial" w:cs="Arial"/>
                <w:sz w:val="24"/>
                <w:szCs w:val="24"/>
              </w:rPr>
            </w:pPr>
            <w:r w:rsidRPr="00FA3F9C">
              <w:rPr>
                <w:rFonts w:ascii="Arial" w:hAnsi="Arial" w:cs="Arial"/>
                <w:sz w:val="24"/>
                <w:szCs w:val="24"/>
              </w:rPr>
              <w:t>4. Progression of disease on or within 12 months of completion of adjuvant endocrine therapy OR progression of disease while receiving endocrine therapy for advanced/metastatic breast cancer. (</w:t>
            </w:r>
            <w:proofErr w:type="gramStart"/>
            <w:r w:rsidRPr="00FA3F9C">
              <w:rPr>
                <w:rFonts w:ascii="Arial" w:hAnsi="Arial" w:cs="Arial"/>
                <w:sz w:val="24"/>
                <w:szCs w:val="24"/>
              </w:rPr>
              <w:t>endocrine</w:t>
            </w:r>
            <w:proofErr w:type="gramEnd"/>
            <w:r w:rsidRPr="00FA3F9C">
              <w:rPr>
                <w:rFonts w:ascii="Arial" w:hAnsi="Arial" w:cs="Arial"/>
                <w:sz w:val="24"/>
                <w:szCs w:val="24"/>
              </w:rPr>
              <w:t xml:space="preserve"> therapy = tamoxifen, anastrozole, letrozole, or exemestane)</w:t>
            </w:r>
          </w:p>
        </w:tc>
      </w:tr>
      <w:tr w:rsidR="001506C1" w:rsidRPr="00FA3F9C" w14:paraId="56FB50BC" w14:textId="77777777" w:rsidTr="00291442">
        <w:tc>
          <w:tcPr>
            <w:tcW w:w="11016" w:type="dxa"/>
            <w:gridSpan w:val="2"/>
          </w:tcPr>
          <w:p w14:paraId="78D67960" w14:textId="77777777" w:rsidR="001506C1" w:rsidRPr="00FA3F9C" w:rsidRDefault="001506C1" w:rsidP="00405054">
            <w:pPr>
              <w:rPr>
                <w:rFonts w:ascii="Arial" w:hAnsi="Arial" w:cs="Arial"/>
                <w:sz w:val="24"/>
                <w:szCs w:val="24"/>
              </w:rPr>
            </w:pPr>
            <w:r w:rsidRPr="00FA3F9C">
              <w:rPr>
                <w:rFonts w:ascii="Arial" w:hAnsi="Arial" w:cs="Arial"/>
                <w:sz w:val="24"/>
                <w:szCs w:val="24"/>
              </w:rPr>
              <w:t xml:space="preserve">5. No prior treatment with </w:t>
            </w:r>
            <w:proofErr w:type="spellStart"/>
            <w:r w:rsidRPr="00FA3F9C">
              <w:rPr>
                <w:rFonts w:ascii="Arial" w:hAnsi="Arial" w:cs="Arial"/>
                <w:sz w:val="24"/>
                <w:szCs w:val="24"/>
              </w:rPr>
              <w:t>fulvestrant</w:t>
            </w:r>
            <w:proofErr w:type="spellEnd"/>
            <w:r w:rsidRPr="00FA3F9C">
              <w:rPr>
                <w:rFonts w:ascii="Arial" w:hAnsi="Arial" w:cs="Arial"/>
                <w:sz w:val="24"/>
                <w:szCs w:val="24"/>
              </w:rPr>
              <w:t xml:space="preserve"> or CDK 4/6 inhibitors for advanced disease.</w:t>
            </w:r>
          </w:p>
        </w:tc>
      </w:tr>
      <w:tr w:rsidR="001506C1" w:rsidRPr="00FA3F9C" w14:paraId="152DCF2A" w14:textId="77777777" w:rsidTr="00291442">
        <w:tc>
          <w:tcPr>
            <w:tcW w:w="11016" w:type="dxa"/>
            <w:gridSpan w:val="2"/>
          </w:tcPr>
          <w:p w14:paraId="025515B1" w14:textId="77777777" w:rsidR="001506C1" w:rsidRPr="00FA3F9C" w:rsidRDefault="001506C1" w:rsidP="00291442">
            <w:pPr>
              <w:rPr>
                <w:rFonts w:ascii="Arial" w:hAnsi="Arial" w:cs="Arial"/>
                <w:sz w:val="24"/>
                <w:szCs w:val="24"/>
              </w:rPr>
            </w:pPr>
            <w:r w:rsidRPr="00FA3F9C">
              <w:rPr>
                <w:rFonts w:ascii="Arial" w:hAnsi="Arial" w:cs="Arial"/>
                <w:sz w:val="24"/>
                <w:szCs w:val="24"/>
              </w:rPr>
              <w:t xml:space="preserve">6. </w:t>
            </w:r>
            <w:proofErr w:type="spellStart"/>
            <w:r w:rsidRPr="00FA3F9C">
              <w:rPr>
                <w:rFonts w:ascii="Arial" w:hAnsi="Arial" w:cs="Arial"/>
                <w:sz w:val="24"/>
                <w:szCs w:val="24"/>
              </w:rPr>
              <w:t>Abemaciclib</w:t>
            </w:r>
            <w:proofErr w:type="spellEnd"/>
            <w:r w:rsidRPr="00FA3F9C">
              <w:rPr>
                <w:rFonts w:ascii="Arial" w:hAnsi="Arial" w:cs="Arial"/>
                <w:sz w:val="24"/>
                <w:szCs w:val="24"/>
              </w:rPr>
              <w:t xml:space="preserve"> will be used in combination with </w:t>
            </w:r>
            <w:proofErr w:type="spellStart"/>
            <w:r w:rsidRPr="00FA3F9C">
              <w:rPr>
                <w:rFonts w:ascii="Arial" w:hAnsi="Arial" w:cs="Arial"/>
                <w:sz w:val="24"/>
                <w:szCs w:val="24"/>
              </w:rPr>
              <w:t>fulvestrant</w:t>
            </w:r>
            <w:proofErr w:type="spellEnd"/>
            <w:r w:rsidRPr="00FA3F9C">
              <w:rPr>
                <w:rFonts w:ascii="Arial" w:hAnsi="Arial" w:cs="Arial"/>
                <w:sz w:val="24"/>
                <w:szCs w:val="24"/>
              </w:rPr>
              <w:t>.</w:t>
            </w:r>
          </w:p>
        </w:tc>
      </w:tr>
      <w:tr w:rsidR="001506C1" w:rsidRPr="00FA3F9C" w14:paraId="2A313812" w14:textId="77777777" w:rsidTr="00291442">
        <w:tc>
          <w:tcPr>
            <w:tcW w:w="11016" w:type="dxa"/>
            <w:gridSpan w:val="2"/>
            <w:shd w:val="clear" w:color="auto" w:fill="F2F2F2" w:themeFill="background1" w:themeFillShade="F2"/>
          </w:tcPr>
          <w:p w14:paraId="19714A04" w14:textId="77777777" w:rsidR="001506C1" w:rsidRPr="00FA3F9C" w:rsidRDefault="001506C1" w:rsidP="00291442">
            <w:pPr>
              <w:rPr>
                <w:rFonts w:ascii="Arial" w:hAnsi="Arial" w:cs="Arial"/>
                <w:sz w:val="24"/>
                <w:szCs w:val="24"/>
              </w:rPr>
            </w:pPr>
            <w:r w:rsidRPr="00FA3F9C">
              <w:rPr>
                <w:rFonts w:ascii="Arial" w:hAnsi="Arial" w:cs="Arial"/>
                <w:sz w:val="24"/>
                <w:szCs w:val="24"/>
              </w:rPr>
              <w:t xml:space="preserve">If all criteria met, approve x 1 year. </w:t>
            </w:r>
          </w:p>
        </w:tc>
      </w:tr>
      <w:tr w:rsidR="001506C1" w:rsidRPr="00FA3F9C" w14:paraId="46239A61" w14:textId="77777777" w:rsidTr="00291442">
        <w:tc>
          <w:tcPr>
            <w:tcW w:w="11016" w:type="dxa"/>
            <w:gridSpan w:val="2"/>
            <w:shd w:val="clear" w:color="auto" w:fill="F2F2F2" w:themeFill="background1" w:themeFillShade="F2"/>
          </w:tcPr>
          <w:p w14:paraId="3D40E25B" w14:textId="77777777" w:rsidR="001506C1" w:rsidRPr="00FA3F9C" w:rsidRDefault="001506C1" w:rsidP="00D4027B">
            <w:pPr>
              <w:rPr>
                <w:rFonts w:ascii="Arial" w:hAnsi="Arial" w:cs="Arial"/>
                <w:sz w:val="24"/>
                <w:szCs w:val="24"/>
              </w:rPr>
            </w:pPr>
            <w:r w:rsidRPr="00FA3F9C">
              <w:rPr>
                <w:rFonts w:ascii="Arial" w:hAnsi="Arial" w:cs="Arial"/>
                <w:sz w:val="24"/>
                <w:szCs w:val="24"/>
              </w:rPr>
              <w:t xml:space="preserve">Note: </w:t>
            </w:r>
          </w:p>
          <w:p w14:paraId="7D389266" w14:textId="77777777" w:rsidR="001506C1" w:rsidRPr="00FA3F9C" w:rsidRDefault="001506C1" w:rsidP="00D4027B">
            <w:pPr>
              <w:rPr>
                <w:rFonts w:ascii="Arial" w:hAnsi="Arial" w:cs="Arial"/>
                <w:sz w:val="24"/>
                <w:szCs w:val="24"/>
              </w:rPr>
            </w:pPr>
            <w:r w:rsidRPr="00FA3F9C">
              <w:rPr>
                <w:rFonts w:ascii="Arial" w:hAnsi="Arial" w:cs="Arial"/>
                <w:sz w:val="24"/>
                <w:szCs w:val="24"/>
              </w:rPr>
              <w:t>Dose is 150 mg bid</w:t>
            </w:r>
          </w:p>
          <w:p w14:paraId="7E554EFC" w14:textId="77777777" w:rsidR="001506C1" w:rsidRPr="00FA3F9C" w:rsidRDefault="001506C1" w:rsidP="00D4027B">
            <w:pPr>
              <w:rPr>
                <w:rFonts w:ascii="Arial" w:hAnsi="Arial" w:cs="Arial"/>
                <w:sz w:val="24"/>
                <w:szCs w:val="24"/>
              </w:rPr>
            </w:pPr>
          </w:p>
          <w:p w14:paraId="29C4042C" w14:textId="77777777" w:rsidR="001506C1" w:rsidRPr="00FA3F9C" w:rsidRDefault="001506C1" w:rsidP="00D4027B">
            <w:pPr>
              <w:rPr>
                <w:rFonts w:ascii="Arial" w:hAnsi="Arial" w:cs="Arial"/>
                <w:sz w:val="24"/>
                <w:szCs w:val="24"/>
              </w:rPr>
            </w:pPr>
            <w:r w:rsidRPr="00FA3F9C">
              <w:rPr>
                <w:rFonts w:ascii="Arial" w:hAnsi="Arial" w:cs="Arial"/>
                <w:sz w:val="24"/>
                <w:szCs w:val="24"/>
              </w:rPr>
              <w:t xml:space="preserve">EBRx covers for this patient population described in criteria due to overall survival benefit demonstrated in the MONARCH-2 trial. This trial enrolled women with advanced/metastatic HR+ and HER2- breast cancer. Patient were given either </w:t>
            </w:r>
            <w:proofErr w:type="spellStart"/>
            <w:r w:rsidRPr="00FA3F9C">
              <w:rPr>
                <w:rFonts w:ascii="Arial" w:hAnsi="Arial" w:cs="Arial"/>
                <w:sz w:val="24"/>
                <w:szCs w:val="24"/>
              </w:rPr>
              <w:t>abemaciclib+fulvestrant</w:t>
            </w:r>
            <w:proofErr w:type="spellEnd"/>
            <w:r w:rsidRPr="00FA3F9C">
              <w:rPr>
                <w:rFonts w:ascii="Arial" w:hAnsi="Arial" w:cs="Arial"/>
                <w:sz w:val="24"/>
                <w:szCs w:val="24"/>
              </w:rPr>
              <w:t xml:space="preserve"> or </w:t>
            </w:r>
            <w:proofErr w:type="spellStart"/>
            <w:r w:rsidRPr="00FA3F9C">
              <w:rPr>
                <w:rFonts w:ascii="Arial" w:hAnsi="Arial" w:cs="Arial"/>
                <w:sz w:val="24"/>
                <w:szCs w:val="24"/>
              </w:rPr>
              <w:t>placebo+fulvestrant</w:t>
            </w:r>
            <w:proofErr w:type="spellEnd"/>
            <w:r w:rsidRPr="00FA3F9C">
              <w:rPr>
                <w:rFonts w:ascii="Arial" w:hAnsi="Arial" w:cs="Arial"/>
                <w:sz w:val="24"/>
                <w:szCs w:val="24"/>
              </w:rPr>
              <w:t xml:space="preserve">. The overall survival benefit of </w:t>
            </w:r>
            <w:proofErr w:type="spellStart"/>
            <w:r w:rsidRPr="00FA3F9C">
              <w:rPr>
                <w:rFonts w:ascii="Arial" w:hAnsi="Arial" w:cs="Arial"/>
                <w:sz w:val="24"/>
                <w:szCs w:val="24"/>
              </w:rPr>
              <w:t>abemaciclib</w:t>
            </w:r>
            <w:proofErr w:type="spellEnd"/>
            <w:r w:rsidRPr="00FA3F9C">
              <w:rPr>
                <w:rFonts w:ascii="Arial" w:hAnsi="Arial" w:cs="Arial"/>
                <w:sz w:val="24"/>
                <w:szCs w:val="24"/>
              </w:rPr>
              <w:t xml:space="preserve"> was demonstrated in the overall population (median OS 46.7 </w:t>
            </w:r>
            <w:proofErr w:type="spellStart"/>
            <w:r w:rsidRPr="00FA3F9C">
              <w:rPr>
                <w:rFonts w:ascii="Arial" w:hAnsi="Arial" w:cs="Arial"/>
                <w:sz w:val="24"/>
                <w:szCs w:val="24"/>
              </w:rPr>
              <w:t>mo</w:t>
            </w:r>
            <w:proofErr w:type="spellEnd"/>
            <w:r w:rsidRPr="00FA3F9C">
              <w:rPr>
                <w:rFonts w:ascii="Arial" w:hAnsi="Arial" w:cs="Arial"/>
                <w:sz w:val="24"/>
                <w:szCs w:val="24"/>
              </w:rPr>
              <w:t xml:space="preserve"> in the </w:t>
            </w:r>
            <w:proofErr w:type="spellStart"/>
            <w:r w:rsidRPr="00FA3F9C">
              <w:rPr>
                <w:rFonts w:ascii="Arial" w:hAnsi="Arial" w:cs="Arial"/>
                <w:sz w:val="24"/>
                <w:szCs w:val="24"/>
              </w:rPr>
              <w:t>abemaciclib</w:t>
            </w:r>
            <w:proofErr w:type="spellEnd"/>
            <w:r w:rsidRPr="00FA3F9C">
              <w:rPr>
                <w:rFonts w:ascii="Arial" w:hAnsi="Arial" w:cs="Arial"/>
                <w:sz w:val="24"/>
                <w:szCs w:val="24"/>
              </w:rPr>
              <w:t xml:space="preserve"> group vs 37.4 </w:t>
            </w:r>
            <w:proofErr w:type="spellStart"/>
            <w:r w:rsidRPr="00FA3F9C">
              <w:rPr>
                <w:rFonts w:ascii="Arial" w:hAnsi="Arial" w:cs="Arial"/>
                <w:sz w:val="24"/>
                <w:szCs w:val="24"/>
              </w:rPr>
              <w:t>mo</w:t>
            </w:r>
            <w:proofErr w:type="spellEnd"/>
            <w:r w:rsidRPr="00FA3F9C">
              <w:rPr>
                <w:rFonts w:ascii="Arial" w:hAnsi="Arial" w:cs="Arial"/>
                <w:sz w:val="24"/>
                <w:szCs w:val="24"/>
              </w:rPr>
              <w:t xml:space="preserve"> in the placebo group).</w:t>
            </w:r>
          </w:p>
          <w:p w14:paraId="5FE0D1BE" w14:textId="77777777" w:rsidR="001506C1" w:rsidRPr="00FA3F9C" w:rsidRDefault="001506C1" w:rsidP="00D4027B">
            <w:pPr>
              <w:rPr>
                <w:rFonts w:ascii="Arial" w:hAnsi="Arial" w:cs="Arial"/>
                <w:sz w:val="24"/>
                <w:szCs w:val="24"/>
              </w:rPr>
            </w:pPr>
          </w:p>
          <w:p w14:paraId="4EDB43FC" w14:textId="77777777" w:rsidR="001506C1" w:rsidRPr="00FA3F9C" w:rsidRDefault="001506C1" w:rsidP="00D4027B">
            <w:pPr>
              <w:ind w:left="180" w:hanging="180"/>
              <w:rPr>
                <w:rFonts w:ascii="Arial" w:hAnsi="Arial" w:cs="Arial"/>
                <w:sz w:val="24"/>
                <w:szCs w:val="24"/>
              </w:rPr>
            </w:pPr>
            <w:r w:rsidRPr="00FA3F9C">
              <w:rPr>
                <w:rFonts w:ascii="Arial" w:hAnsi="Arial" w:cs="Arial"/>
                <w:sz w:val="24"/>
                <w:szCs w:val="24"/>
              </w:rPr>
              <w:t>Reference:</w:t>
            </w:r>
          </w:p>
          <w:p w14:paraId="4CCBEBD8" w14:textId="77777777" w:rsidR="001506C1" w:rsidRPr="00FA3F9C" w:rsidRDefault="001506C1" w:rsidP="00D4027B">
            <w:pPr>
              <w:rPr>
                <w:rFonts w:ascii="Arial" w:hAnsi="Arial" w:cs="Arial"/>
                <w:sz w:val="24"/>
                <w:szCs w:val="24"/>
              </w:rPr>
            </w:pPr>
            <w:r w:rsidRPr="00FA3F9C">
              <w:rPr>
                <w:rFonts w:ascii="Arial" w:hAnsi="Arial" w:cs="Arial"/>
                <w:sz w:val="24"/>
                <w:szCs w:val="24"/>
              </w:rPr>
              <w:t xml:space="preserve">Sledge GW Jr et al. The Effect of </w:t>
            </w:r>
            <w:proofErr w:type="spellStart"/>
            <w:r w:rsidRPr="00FA3F9C">
              <w:rPr>
                <w:rFonts w:ascii="Arial" w:hAnsi="Arial" w:cs="Arial"/>
                <w:sz w:val="24"/>
                <w:szCs w:val="24"/>
              </w:rPr>
              <w:t>Abemaciclib</w:t>
            </w:r>
            <w:proofErr w:type="spellEnd"/>
            <w:r w:rsidRPr="00FA3F9C">
              <w:rPr>
                <w:rFonts w:ascii="Arial" w:hAnsi="Arial" w:cs="Arial"/>
                <w:sz w:val="24"/>
                <w:szCs w:val="24"/>
              </w:rPr>
              <w:t xml:space="preserve"> Plus </w:t>
            </w:r>
            <w:proofErr w:type="spellStart"/>
            <w:r w:rsidRPr="00FA3F9C">
              <w:rPr>
                <w:rFonts w:ascii="Arial" w:hAnsi="Arial" w:cs="Arial"/>
                <w:sz w:val="24"/>
                <w:szCs w:val="24"/>
              </w:rPr>
              <w:t>Fulvestrant</w:t>
            </w:r>
            <w:proofErr w:type="spellEnd"/>
            <w:r w:rsidRPr="00FA3F9C">
              <w:rPr>
                <w:rFonts w:ascii="Arial" w:hAnsi="Arial" w:cs="Arial"/>
                <w:sz w:val="24"/>
                <w:szCs w:val="24"/>
              </w:rPr>
              <w:t xml:space="preserve"> on Overall Survival in Hormone Receptor-Positive, ERBB2-Negative Breast Cancer That Progressed on Endocrine Therapy-</w:t>
            </w:r>
            <w:r w:rsidRPr="00FA3F9C">
              <w:rPr>
                <w:rFonts w:ascii="Arial" w:hAnsi="Arial" w:cs="Arial"/>
                <w:sz w:val="24"/>
                <w:szCs w:val="24"/>
              </w:rPr>
              <w:lastRenderedPageBreak/>
              <w:t xml:space="preserve">MONARCH 2: A Randomized Clinical Trial. JAMA Oncol. 2019 Sep 29. </w:t>
            </w:r>
            <w:proofErr w:type="spellStart"/>
            <w:r w:rsidRPr="00FA3F9C">
              <w:rPr>
                <w:rFonts w:ascii="Arial" w:hAnsi="Arial" w:cs="Arial"/>
                <w:sz w:val="24"/>
                <w:szCs w:val="24"/>
              </w:rPr>
              <w:t>doi</w:t>
            </w:r>
            <w:proofErr w:type="spellEnd"/>
            <w:r w:rsidRPr="00FA3F9C">
              <w:rPr>
                <w:rFonts w:ascii="Arial" w:hAnsi="Arial" w:cs="Arial"/>
                <w:sz w:val="24"/>
                <w:szCs w:val="24"/>
              </w:rPr>
              <w:t>: 10.1001/jamaoncol.2019.4782. [</w:t>
            </w:r>
            <w:proofErr w:type="spellStart"/>
            <w:r w:rsidRPr="00FA3F9C">
              <w:rPr>
                <w:rFonts w:ascii="Arial" w:hAnsi="Arial" w:cs="Arial"/>
                <w:sz w:val="24"/>
                <w:szCs w:val="24"/>
              </w:rPr>
              <w:t>Epub</w:t>
            </w:r>
            <w:proofErr w:type="spellEnd"/>
            <w:r w:rsidRPr="00FA3F9C">
              <w:rPr>
                <w:rFonts w:ascii="Arial" w:hAnsi="Arial" w:cs="Arial"/>
                <w:sz w:val="24"/>
                <w:szCs w:val="24"/>
              </w:rPr>
              <w:t xml:space="preserve"> ahead of print] PMID 31563959 NCT02107703</w:t>
            </w:r>
          </w:p>
        </w:tc>
      </w:tr>
    </w:tbl>
    <w:p w14:paraId="5EE65E11" w14:textId="77777777" w:rsidR="001506C1" w:rsidRPr="00FA3F9C" w:rsidRDefault="001506C1" w:rsidP="00FA3C5D">
      <w:pPr>
        <w:spacing w:after="0"/>
        <w:rPr>
          <w:rFonts w:ascii="Arial" w:hAnsi="Arial" w:cs="Arial"/>
          <w:sz w:val="24"/>
          <w:szCs w:val="24"/>
        </w:rPr>
      </w:pPr>
    </w:p>
    <w:p w14:paraId="46B3A26B" w14:textId="77777777" w:rsidR="001506C1" w:rsidRPr="00FA3F9C" w:rsidRDefault="001506C1" w:rsidP="00FA3C5D">
      <w:pPr>
        <w:spacing w:after="0"/>
        <w:rPr>
          <w:rFonts w:ascii="Arial" w:hAnsi="Arial" w:cs="Arial"/>
          <w:sz w:val="24"/>
          <w:szCs w:val="24"/>
        </w:rPr>
      </w:pPr>
      <w:r w:rsidRPr="00FA3F9C">
        <w:rPr>
          <w:rFonts w:ascii="Arial" w:hAnsi="Arial" w:cs="Arial"/>
          <w:sz w:val="24"/>
          <w:szCs w:val="24"/>
        </w:rPr>
        <w:t xml:space="preserve">Quantity Limits:  </w:t>
      </w:r>
    </w:p>
    <w:p w14:paraId="746AC074" w14:textId="77777777" w:rsidR="001506C1" w:rsidRPr="00FA3F9C" w:rsidRDefault="001506C1" w:rsidP="00FA3C5D">
      <w:pPr>
        <w:spacing w:after="0"/>
        <w:rPr>
          <w:rFonts w:ascii="Arial" w:hAnsi="Arial" w:cs="Arial"/>
          <w:sz w:val="24"/>
          <w:szCs w:val="24"/>
        </w:rPr>
      </w:pPr>
      <w:r w:rsidRPr="00FA3F9C">
        <w:rPr>
          <w:rFonts w:ascii="Arial" w:hAnsi="Arial" w:cs="Arial"/>
          <w:sz w:val="24"/>
          <w:szCs w:val="24"/>
        </w:rPr>
        <w:t>50, 100, and 150 mg tablets: #60 tabs/30 days</w:t>
      </w:r>
    </w:p>
    <w:p w14:paraId="3E661D53" w14:textId="77777777" w:rsidR="001506C1" w:rsidRPr="00FA3F9C" w:rsidRDefault="001506C1" w:rsidP="00FA3C5D">
      <w:pPr>
        <w:spacing w:after="0"/>
        <w:rPr>
          <w:rFonts w:ascii="Arial" w:hAnsi="Arial" w:cs="Arial"/>
          <w:sz w:val="24"/>
          <w:szCs w:val="24"/>
        </w:rPr>
      </w:pPr>
      <w:r w:rsidRPr="00FA3F9C">
        <w:rPr>
          <w:rFonts w:ascii="Arial" w:hAnsi="Arial" w:cs="Arial"/>
          <w:sz w:val="24"/>
          <w:szCs w:val="24"/>
        </w:rPr>
        <w:t>200 mg tablets: used for monotherapy dosing which is not covered.</w:t>
      </w:r>
    </w:p>
    <w:p w14:paraId="6E7FC44E" w14:textId="77777777" w:rsidR="001506C1" w:rsidRPr="00FA3F9C" w:rsidRDefault="001506C1" w:rsidP="006F623F">
      <w:pPr>
        <w:spacing w:after="0"/>
        <w:rPr>
          <w:rFonts w:ascii="Arial" w:hAnsi="Arial" w:cs="Arial"/>
          <w:b/>
          <w:sz w:val="24"/>
          <w:szCs w:val="24"/>
          <w:u w:val="single"/>
        </w:rPr>
      </w:pPr>
    </w:p>
    <w:p w14:paraId="369AC54B"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418"/>
        <w:gridCol w:w="7470"/>
        <w:gridCol w:w="2538"/>
      </w:tblGrid>
      <w:tr w:rsidR="001506C1" w:rsidRPr="00FA3F9C" w14:paraId="079638E6" w14:textId="77777777" w:rsidTr="00FE491B">
        <w:tc>
          <w:tcPr>
            <w:tcW w:w="1008" w:type="dxa"/>
          </w:tcPr>
          <w:p w14:paraId="6A8FA9E2" w14:textId="77777777" w:rsidR="001506C1" w:rsidRPr="00FA3F9C" w:rsidRDefault="001506C1" w:rsidP="006F623F">
            <w:pPr>
              <w:rPr>
                <w:rFonts w:ascii="Arial" w:hAnsi="Arial" w:cs="Arial"/>
                <w:sz w:val="24"/>
                <w:szCs w:val="24"/>
              </w:rPr>
            </w:pPr>
            <w:r w:rsidRPr="00FA3F9C">
              <w:rPr>
                <w:rFonts w:ascii="Arial" w:hAnsi="Arial" w:cs="Arial"/>
                <w:sz w:val="24"/>
                <w:szCs w:val="24"/>
              </w:rPr>
              <w:t>Date</w:t>
            </w:r>
          </w:p>
        </w:tc>
        <w:tc>
          <w:tcPr>
            <w:tcW w:w="7470" w:type="dxa"/>
          </w:tcPr>
          <w:p w14:paraId="24752290" w14:textId="77777777" w:rsidR="001506C1" w:rsidRPr="00FA3F9C" w:rsidRDefault="001506C1" w:rsidP="006F623F">
            <w:pPr>
              <w:rPr>
                <w:rFonts w:ascii="Arial" w:hAnsi="Arial" w:cs="Arial"/>
                <w:sz w:val="24"/>
                <w:szCs w:val="24"/>
              </w:rPr>
            </w:pPr>
            <w:r w:rsidRPr="00FA3F9C">
              <w:rPr>
                <w:rFonts w:ascii="Arial" w:hAnsi="Arial" w:cs="Arial"/>
                <w:sz w:val="24"/>
                <w:szCs w:val="24"/>
              </w:rPr>
              <w:t>What changed</w:t>
            </w:r>
          </w:p>
        </w:tc>
        <w:tc>
          <w:tcPr>
            <w:tcW w:w="2538" w:type="dxa"/>
          </w:tcPr>
          <w:p w14:paraId="3CBBB186" w14:textId="77777777" w:rsidR="001506C1" w:rsidRPr="00FA3F9C" w:rsidRDefault="001506C1" w:rsidP="006F623F">
            <w:pPr>
              <w:rPr>
                <w:rFonts w:ascii="Arial" w:hAnsi="Arial" w:cs="Arial"/>
                <w:sz w:val="24"/>
                <w:szCs w:val="24"/>
              </w:rPr>
            </w:pPr>
            <w:r w:rsidRPr="00FA3F9C">
              <w:rPr>
                <w:rFonts w:ascii="Arial" w:hAnsi="Arial" w:cs="Arial"/>
                <w:sz w:val="24"/>
                <w:szCs w:val="24"/>
              </w:rPr>
              <w:t>Pharmacist’s initials</w:t>
            </w:r>
          </w:p>
        </w:tc>
      </w:tr>
      <w:tr w:rsidR="001506C1" w:rsidRPr="00FA3F9C" w14:paraId="070FF75E" w14:textId="77777777" w:rsidTr="00FE491B">
        <w:tc>
          <w:tcPr>
            <w:tcW w:w="1008" w:type="dxa"/>
          </w:tcPr>
          <w:p w14:paraId="29119384" w14:textId="77777777" w:rsidR="001506C1" w:rsidRPr="00FA3F9C" w:rsidRDefault="001506C1" w:rsidP="006F623F">
            <w:pPr>
              <w:rPr>
                <w:rFonts w:ascii="Arial" w:hAnsi="Arial" w:cs="Arial"/>
                <w:sz w:val="24"/>
                <w:szCs w:val="24"/>
              </w:rPr>
            </w:pPr>
            <w:r w:rsidRPr="00FA3F9C">
              <w:rPr>
                <w:rFonts w:ascii="Arial" w:hAnsi="Arial" w:cs="Arial"/>
                <w:sz w:val="24"/>
                <w:szCs w:val="24"/>
              </w:rPr>
              <w:t>10/28/19</w:t>
            </w:r>
          </w:p>
        </w:tc>
        <w:tc>
          <w:tcPr>
            <w:tcW w:w="7470" w:type="dxa"/>
          </w:tcPr>
          <w:p w14:paraId="2254FF21" w14:textId="77777777" w:rsidR="001506C1" w:rsidRPr="00FA3F9C" w:rsidRDefault="001506C1" w:rsidP="009145CA">
            <w:pPr>
              <w:rPr>
                <w:rFonts w:ascii="Arial" w:hAnsi="Arial" w:cs="Arial"/>
                <w:sz w:val="24"/>
                <w:szCs w:val="24"/>
              </w:rPr>
            </w:pPr>
            <w:r w:rsidRPr="00FA3F9C">
              <w:rPr>
                <w:rFonts w:ascii="Arial" w:hAnsi="Arial" w:cs="Arial"/>
                <w:sz w:val="24"/>
                <w:szCs w:val="24"/>
              </w:rPr>
              <w:t>Criteria written.</w:t>
            </w:r>
          </w:p>
        </w:tc>
        <w:tc>
          <w:tcPr>
            <w:tcW w:w="2538" w:type="dxa"/>
          </w:tcPr>
          <w:p w14:paraId="31CC561A" w14:textId="77777777" w:rsidR="001506C1" w:rsidRPr="00FA3F9C" w:rsidRDefault="001506C1" w:rsidP="006F623F">
            <w:pPr>
              <w:rPr>
                <w:rFonts w:ascii="Arial" w:hAnsi="Arial" w:cs="Arial"/>
                <w:sz w:val="24"/>
                <w:szCs w:val="24"/>
              </w:rPr>
            </w:pPr>
            <w:r w:rsidRPr="00FA3F9C">
              <w:rPr>
                <w:rFonts w:ascii="Arial" w:hAnsi="Arial" w:cs="Arial"/>
                <w:sz w:val="24"/>
                <w:szCs w:val="24"/>
              </w:rPr>
              <w:t>SK</w:t>
            </w:r>
          </w:p>
        </w:tc>
      </w:tr>
      <w:tr w:rsidR="001506C1" w:rsidRPr="00FA3F9C" w14:paraId="6D480024" w14:textId="77777777" w:rsidTr="00FE491B">
        <w:tc>
          <w:tcPr>
            <w:tcW w:w="1008" w:type="dxa"/>
          </w:tcPr>
          <w:p w14:paraId="0A919569" w14:textId="77777777" w:rsidR="001506C1" w:rsidRPr="00FA3F9C" w:rsidRDefault="001506C1" w:rsidP="006F623F">
            <w:pPr>
              <w:rPr>
                <w:rFonts w:ascii="Arial" w:hAnsi="Arial" w:cs="Arial"/>
                <w:sz w:val="24"/>
                <w:szCs w:val="24"/>
              </w:rPr>
            </w:pPr>
            <w:r w:rsidRPr="00FA3F9C">
              <w:rPr>
                <w:rFonts w:ascii="Arial" w:hAnsi="Arial" w:cs="Arial"/>
                <w:sz w:val="24"/>
                <w:szCs w:val="24"/>
              </w:rPr>
              <w:t>7/7/2020</w:t>
            </w:r>
          </w:p>
        </w:tc>
        <w:tc>
          <w:tcPr>
            <w:tcW w:w="7470" w:type="dxa"/>
          </w:tcPr>
          <w:p w14:paraId="0E1DA2D5" w14:textId="77777777" w:rsidR="001506C1" w:rsidRPr="00FA3F9C" w:rsidRDefault="001506C1" w:rsidP="006F623F">
            <w:pPr>
              <w:rPr>
                <w:rFonts w:ascii="Arial" w:hAnsi="Arial" w:cs="Arial"/>
                <w:sz w:val="24"/>
                <w:szCs w:val="24"/>
              </w:rPr>
            </w:pPr>
            <w:r w:rsidRPr="00FA3F9C">
              <w:rPr>
                <w:rFonts w:ascii="Arial" w:hAnsi="Arial" w:cs="Arial"/>
                <w:sz w:val="24"/>
                <w:szCs w:val="24"/>
              </w:rPr>
              <w:t>Criteria reviewed. No change.</w:t>
            </w:r>
          </w:p>
        </w:tc>
        <w:tc>
          <w:tcPr>
            <w:tcW w:w="2538" w:type="dxa"/>
          </w:tcPr>
          <w:p w14:paraId="21FC7602" w14:textId="77777777" w:rsidR="001506C1" w:rsidRPr="00FA3F9C" w:rsidRDefault="001506C1" w:rsidP="006F623F">
            <w:pPr>
              <w:rPr>
                <w:rFonts w:ascii="Arial" w:hAnsi="Arial" w:cs="Arial"/>
                <w:sz w:val="24"/>
                <w:szCs w:val="24"/>
              </w:rPr>
            </w:pPr>
            <w:r w:rsidRPr="00FA3F9C">
              <w:rPr>
                <w:rFonts w:ascii="Arial" w:hAnsi="Arial" w:cs="Arial"/>
                <w:sz w:val="24"/>
                <w:szCs w:val="24"/>
              </w:rPr>
              <w:t>SK</w:t>
            </w:r>
          </w:p>
        </w:tc>
      </w:tr>
      <w:tr w:rsidR="001506C1" w:rsidRPr="00FA3F9C" w14:paraId="19F1F9DC" w14:textId="77777777" w:rsidTr="00FE491B">
        <w:tc>
          <w:tcPr>
            <w:tcW w:w="1008" w:type="dxa"/>
          </w:tcPr>
          <w:p w14:paraId="7E3A67F9" w14:textId="77777777" w:rsidR="001506C1" w:rsidRPr="00FA3F9C" w:rsidRDefault="001506C1" w:rsidP="006F623F">
            <w:pPr>
              <w:rPr>
                <w:rFonts w:ascii="Arial" w:hAnsi="Arial" w:cs="Arial"/>
                <w:sz w:val="24"/>
                <w:szCs w:val="24"/>
              </w:rPr>
            </w:pPr>
            <w:r w:rsidRPr="00FA3F9C">
              <w:rPr>
                <w:rFonts w:ascii="Arial" w:hAnsi="Arial" w:cs="Arial"/>
                <w:sz w:val="24"/>
                <w:szCs w:val="24"/>
              </w:rPr>
              <w:t>1/13/2021</w:t>
            </w:r>
          </w:p>
        </w:tc>
        <w:tc>
          <w:tcPr>
            <w:tcW w:w="7470" w:type="dxa"/>
          </w:tcPr>
          <w:p w14:paraId="21B3C840" w14:textId="77777777" w:rsidR="001506C1" w:rsidRPr="00FA3F9C" w:rsidRDefault="001506C1" w:rsidP="00A55AF5">
            <w:pPr>
              <w:rPr>
                <w:rFonts w:ascii="Arial" w:hAnsi="Arial" w:cs="Arial"/>
                <w:sz w:val="24"/>
                <w:szCs w:val="24"/>
              </w:rPr>
            </w:pPr>
            <w:r w:rsidRPr="00FA3F9C">
              <w:rPr>
                <w:rFonts w:ascii="Arial" w:hAnsi="Arial" w:cs="Arial"/>
                <w:sz w:val="24"/>
                <w:szCs w:val="24"/>
              </w:rPr>
              <w:t xml:space="preserve">Changed criteria #5 from No prior treatment with </w:t>
            </w:r>
            <w:proofErr w:type="spellStart"/>
            <w:r w:rsidRPr="00FA3F9C">
              <w:rPr>
                <w:rFonts w:ascii="Arial" w:hAnsi="Arial" w:cs="Arial"/>
                <w:sz w:val="24"/>
                <w:szCs w:val="24"/>
              </w:rPr>
              <w:t>fulvestrant</w:t>
            </w:r>
            <w:proofErr w:type="spellEnd"/>
            <w:r w:rsidRPr="00FA3F9C">
              <w:rPr>
                <w:rFonts w:ascii="Arial" w:hAnsi="Arial" w:cs="Arial"/>
                <w:sz w:val="24"/>
                <w:szCs w:val="24"/>
              </w:rPr>
              <w:t xml:space="preserve">, chemotherapy, </w:t>
            </w:r>
            <w:proofErr w:type="spellStart"/>
            <w:r w:rsidRPr="00FA3F9C">
              <w:rPr>
                <w:rFonts w:ascii="Arial" w:hAnsi="Arial" w:cs="Arial"/>
                <w:sz w:val="24"/>
                <w:szCs w:val="24"/>
              </w:rPr>
              <w:t>everolimus</w:t>
            </w:r>
            <w:proofErr w:type="spellEnd"/>
            <w:r w:rsidRPr="00FA3F9C">
              <w:rPr>
                <w:rFonts w:ascii="Arial" w:hAnsi="Arial" w:cs="Arial"/>
                <w:sz w:val="24"/>
                <w:szCs w:val="24"/>
              </w:rPr>
              <w:t xml:space="preserve">, or CDK 4/6 inhibitors TO </w:t>
            </w:r>
          </w:p>
          <w:p w14:paraId="0915FE6B" w14:textId="77777777" w:rsidR="001506C1" w:rsidRPr="00FA3F9C" w:rsidRDefault="001506C1" w:rsidP="00A55AF5">
            <w:pPr>
              <w:rPr>
                <w:rFonts w:ascii="Arial" w:hAnsi="Arial" w:cs="Arial"/>
                <w:sz w:val="24"/>
                <w:szCs w:val="24"/>
              </w:rPr>
            </w:pPr>
            <w:r w:rsidRPr="00FA3F9C">
              <w:rPr>
                <w:rFonts w:ascii="Arial" w:hAnsi="Arial" w:cs="Arial"/>
                <w:sz w:val="24"/>
                <w:szCs w:val="24"/>
              </w:rPr>
              <w:t xml:space="preserve">No prior treatment with </w:t>
            </w:r>
            <w:proofErr w:type="spellStart"/>
            <w:r w:rsidRPr="00FA3F9C">
              <w:rPr>
                <w:rFonts w:ascii="Arial" w:hAnsi="Arial" w:cs="Arial"/>
                <w:sz w:val="24"/>
                <w:szCs w:val="24"/>
              </w:rPr>
              <w:t>fulvestrant</w:t>
            </w:r>
            <w:proofErr w:type="spellEnd"/>
            <w:r w:rsidRPr="00FA3F9C">
              <w:rPr>
                <w:rFonts w:ascii="Arial" w:hAnsi="Arial" w:cs="Arial"/>
                <w:sz w:val="24"/>
                <w:szCs w:val="24"/>
              </w:rPr>
              <w:t xml:space="preserve">, </w:t>
            </w:r>
            <w:r w:rsidRPr="00FA3F9C">
              <w:rPr>
                <w:rFonts w:ascii="Arial" w:hAnsi="Arial" w:cs="Arial"/>
                <w:b/>
                <w:sz w:val="24"/>
                <w:szCs w:val="24"/>
              </w:rPr>
              <w:t>cytotoxic</w:t>
            </w:r>
            <w:r w:rsidRPr="00FA3F9C">
              <w:rPr>
                <w:rFonts w:ascii="Arial" w:hAnsi="Arial" w:cs="Arial"/>
                <w:sz w:val="24"/>
                <w:szCs w:val="24"/>
              </w:rPr>
              <w:t xml:space="preserve"> chemotherapy </w:t>
            </w:r>
            <w:r w:rsidRPr="00FA3F9C">
              <w:rPr>
                <w:rFonts w:ascii="Arial" w:hAnsi="Arial" w:cs="Arial"/>
                <w:b/>
                <w:sz w:val="24"/>
                <w:szCs w:val="24"/>
              </w:rPr>
              <w:t xml:space="preserve">(such as doxorubicin, </w:t>
            </w:r>
            <w:proofErr w:type="spellStart"/>
            <w:r w:rsidRPr="00FA3F9C">
              <w:rPr>
                <w:rFonts w:ascii="Arial" w:hAnsi="Arial" w:cs="Arial"/>
                <w:b/>
                <w:sz w:val="24"/>
                <w:szCs w:val="24"/>
              </w:rPr>
              <w:t>cyclophophosphamide</w:t>
            </w:r>
            <w:proofErr w:type="spellEnd"/>
            <w:r w:rsidRPr="00FA3F9C">
              <w:rPr>
                <w:rFonts w:ascii="Arial" w:hAnsi="Arial" w:cs="Arial"/>
                <w:b/>
                <w:sz w:val="24"/>
                <w:szCs w:val="24"/>
              </w:rPr>
              <w:t xml:space="preserve">, or </w:t>
            </w:r>
            <w:proofErr w:type="spellStart"/>
            <w:r w:rsidRPr="00FA3F9C">
              <w:rPr>
                <w:rFonts w:ascii="Arial" w:hAnsi="Arial" w:cs="Arial"/>
                <w:b/>
                <w:sz w:val="24"/>
                <w:szCs w:val="24"/>
              </w:rPr>
              <w:t>taxane</w:t>
            </w:r>
            <w:proofErr w:type="spellEnd"/>
            <w:r w:rsidRPr="00FA3F9C">
              <w:rPr>
                <w:rFonts w:ascii="Arial" w:hAnsi="Arial" w:cs="Arial"/>
                <w:b/>
                <w:sz w:val="24"/>
                <w:szCs w:val="24"/>
              </w:rPr>
              <w:t>)</w:t>
            </w:r>
            <w:r w:rsidRPr="00FA3F9C">
              <w:rPr>
                <w:rFonts w:ascii="Arial" w:hAnsi="Arial" w:cs="Arial"/>
                <w:sz w:val="24"/>
                <w:szCs w:val="24"/>
              </w:rPr>
              <w:t xml:space="preserve">, </w:t>
            </w:r>
            <w:proofErr w:type="spellStart"/>
            <w:r w:rsidRPr="00FA3F9C">
              <w:rPr>
                <w:rFonts w:ascii="Arial" w:hAnsi="Arial" w:cs="Arial"/>
                <w:sz w:val="24"/>
                <w:szCs w:val="24"/>
              </w:rPr>
              <w:t>everolimus</w:t>
            </w:r>
            <w:proofErr w:type="spellEnd"/>
            <w:r w:rsidRPr="00FA3F9C">
              <w:rPr>
                <w:rFonts w:ascii="Arial" w:hAnsi="Arial" w:cs="Arial"/>
                <w:sz w:val="24"/>
                <w:szCs w:val="24"/>
              </w:rPr>
              <w:t xml:space="preserve">, or CDK 4/6 inhibitors </w:t>
            </w:r>
            <w:r w:rsidRPr="00FA3F9C">
              <w:rPr>
                <w:rFonts w:ascii="Arial" w:hAnsi="Arial" w:cs="Arial"/>
                <w:b/>
                <w:sz w:val="24"/>
                <w:szCs w:val="24"/>
              </w:rPr>
              <w:t>for advanced disease</w:t>
            </w:r>
            <w:r w:rsidRPr="00FA3F9C">
              <w:rPr>
                <w:rFonts w:ascii="Arial" w:hAnsi="Arial" w:cs="Arial"/>
                <w:sz w:val="24"/>
                <w:szCs w:val="24"/>
              </w:rPr>
              <w:t>.</w:t>
            </w:r>
          </w:p>
        </w:tc>
        <w:tc>
          <w:tcPr>
            <w:tcW w:w="2538" w:type="dxa"/>
          </w:tcPr>
          <w:p w14:paraId="2BCE0712" w14:textId="77777777" w:rsidR="001506C1" w:rsidRPr="00FA3F9C" w:rsidRDefault="001506C1" w:rsidP="006F623F">
            <w:pPr>
              <w:rPr>
                <w:rFonts w:ascii="Arial" w:hAnsi="Arial" w:cs="Arial"/>
                <w:sz w:val="24"/>
                <w:szCs w:val="24"/>
              </w:rPr>
            </w:pPr>
            <w:r w:rsidRPr="00FA3F9C">
              <w:rPr>
                <w:rFonts w:ascii="Arial" w:hAnsi="Arial" w:cs="Arial"/>
                <w:sz w:val="24"/>
                <w:szCs w:val="24"/>
              </w:rPr>
              <w:t>SK</w:t>
            </w:r>
          </w:p>
        </w:tc>
      </w:tr>
      <w:tr w:rsidR="001506C1" w:rsidRPr="00FA3F9C" w14:paraId="3778D460" w14:textId="77777777" w:rsidTr="00FE491B">
        <w:tc>
          <w:tcPr>
            <w:tcW w:w="1008" w:type="dxa"/>
          </w:tcPr>
          <w:p w14:paraId="730B28DD" w14:textId="77777777" w:rsidR="001506C1" w:rsidRPr="00FA3F9C" w:rsidRDefault="001506C1" w:rsidP="006F623F">
            <w:pPr>
              <w:rPr>
                <w:rFonts w:ascii="Arial" w:hAnsi="Arial" w:cs="Arial"/>
                <w:sz w:val="24"/>
                <w:szCs w:val="24"/>
              </w:rPr>
            </w:pPr>
            <w:r w:rsidRPr="00FA3F9C">
              <w:rPr>
                <w:rFonts w:ascii="Arial" w:hAnsi="Arial" w:cs="Arial"/>
                <w:sz w:val="24"/>
                <w:szCs w:val="24"/>
              </w:rPr>
              <w:t>9/28/2021</w:t>
            </w:r>
          </w:p>
        </w:tc>
        <w:tc>
          <w:tcPr>
            <w:tcW w:w="7470" w:type="dxa"/>
          </w:tcPr>
          <w:p w14:paraId="0E2B8C1E" w14:textId="77777777" w:rsidR="001506C1" w:rsidRPr="00FA3F9C" w:rsidRDefault="001506C1" w:rsidP="00A55AF5">
            <w:pPr>
              <w:rPr>
                <w:rFonts w:ascii="Arial" w:hAnsi="Arial" w:cs="Arial"/>
                <w:sz w:val="24"/>
                <w:szCs w:val="24"/>
              </w:rPr>
            </w:pPr>
            <w:r w:rsidRPr="00FA3F9C">
              <w:rPr>
                <w:rFonts w:ascii="Arial" w:hAnsi="Arial" w:cs="Arial"/>
                <w:sz w:val="24"/>
                <w:szCs w:val="24"/>
              </w:rPr>
              <w:t>Criteria reviewed. No change</w:t>
            </w:r>
          </w:p>
        </w:tc>
        <w:tc>
          <w:tcPr>
            <w:tcW w:w="2538" w:type="dxa"/>
          </w:tcPr>
          <w:p w14:paraId="37AB08AE" w14:textId="77777777" w:rsidR="001506C1" w:rsidRPr="00FA3F9C" w:rsidRDefault="001506C1" w:rsidP="006F623F">
            <w:pPr>
              <w:rPr>
                <w:rFonts w:ascii="Arial" w:hAnsi="Arial" w:cs="Arial"/>
                <w:sz w:val="24"/>
                <w:szCs w:val="24"/>
              </w:rPr>
            </w:pPr>
            <w:r w:rsidRPr="00FA3F9C">
              <w:rPr>
                <w:rFonts w:ascii="Arial" w:hAnsi="Arial" w:cs="Arial"/>
                <w:sz w:val="24"/>
                <w:szCs w:val="24"/>
              </w:rPr>
              <w:t>SK</w:t>
            </w:r>
          </w:p>
        </w:tc>
      </w:tr>
      <w:tr w:rsidR="001506C1" w:rsidRPr="00FA3F9C" w14:paraId="2C2AE711" w14:textId="77777777" w:rsidTr="00FE491B">
        <w:tc>
          <w:tcPr>
            <w:tcW w:w="1008" w:type="dxa"/>
          </w:tcPr>
          <w:p w14:paraId="3178468F" w14:textId="77777777" w:rsidR="001506C1" w:rsidRPr="00FA3F9C" w:rsidRDefault="001506C1" w:rsidP="006F623F">
            <w:pPr>
              <w:rPr>
                <w:rFonts w:ascii="Arial" w:hAnsi="Arial" w:cs="Arial"/>
                <w:sz w:val="24"/>
                <w:szCs w:val="24"/>
              </w:rPr>
            </w:pPr>
            <w:r w:rsidRPr="00FA3F9C">
              <w:rPr>
                <w:rFonts w:ascii="Arial" w:hAnsi="Arial" w:cs="Arial"/>
                <w:sz w:val="24"/>
                <w:szCs w:val="24"/>
              </w:rPr>
              <w:t>12/16/2021</w:t>
            </w:r>
          </w:p>
        </w:tc>
        <w:tc>
          <w:tcPr>
            <w:tcW w:w="7470" w:type="dxa"/>
          </w:tcPr>
          <w:p w14:paraId="6E37B410" w14:textId="77777777" w:rsidR="001506C1" w:rsidRPr="00FA3F9C" w:rsidRDefault="001506C1" w:rsidP="00A55AF5">
            <w:pPr>
              <w:rPr>
                <w:rFonts w:ascii="Arial" w:hAnsi="Arial" w:cs="Arial"/>
                <w:sz w:val="24"/>
                <w:szCs w:val="24"/>
              </w:rPr>
            </w:pPr>
            <w:r w:rsidRPr="00FA3F9C">
              <w:rPr>
                <w:rFonts w:ascii="Arial" w:hAnsi="Arial" w:cs="Arial"/>
                <w:sz w:val="24"/>
                <w:szCs w:val="24"/>
              </w:rPr>
              <w:t>Added criteria for new adjuvant breast cancer indication</w:t>
            </w:r>
          </w:p>
        </w:tc>
        <w:tc>
          <w:tcPr>
            <w:tcW w:w="2538" w:type="dxa"/>
          </w:tcPr>
          <w:p w14:paraId="6A03BB07" w14:textId="77777777" w:rsidR="001506C1" w:rsidRPr="00FA3F9C" w:rsidRDefault="001506C1" w:rsidP="006F623F">
            <w:pPr>
              <w:rPr>
                <w:rFonts w:ascii="Arial" w:hAnsi="Arial" w:cs="Arial"/>
                <w:sz w:val="24"/>
                <w:szCs w:val="24"/>
              </w:rPr>
            </w:pPr>
            <w:r w:rsidRPr="00FA3F9C">
              <w:rPr>
                <w:rFonts w:ascii="Arial" w:hAnsi="Arial" w:cs="Arial"/>
                <w:sz w:val="24"/>
                <w:szCs w:val="24"/>
              </w:rPr>
              <w:t>SK</w:t>
            </w:r>
          </w:p>
        </w:tc>
      </w:tr>
      <w:tr w:rsidR="001506C1" w:rsidRPr="00FA3F9C" w14:paraId="14AD7CCB" w14:textId="77777777" w:rsidTr="00FE491B">
        <w:tc>
          <w:tcPr>
            <w:tcW w:w="1008" w:type="dxa"/>
          </w:tcPr>
          <w:p w14:paraId="04EF43C2" w14:textId="77777777" w:rsidR="001506C1" w:rsidRPr="00FA3F9C" w:rsidRDefault="001506C1" w:rsidP="006F623F">
            <w:pPr>
              <w:rPr>
                <w:rFonts w:ascii="Arial" w:hAnsi="Arial" w:cs="Arial"/>
                <w:sz w:val="24"/>
                <w:szCs w:val="24"/>
              </w:rPr>
            </w:pPr>
            <w:r w:rsidRPr="00FA3F9C">
              <w:rPr>
                <w:rFonts w:ascii="Arial" w:hAnsi="Arial" w:cs="Arial"/>
                <w:sz w:val="24"/>
                <w:szCs w:val="24"/>
              </w:rPr>
              <w:t>1/26/2022</w:t>
            </w:r>
          </w:p>
        </w:tc>
        <w:tc>
          <w:tcPr>
            <w:tcW w:w="7470" w:type="dxa"/>
          </w:tcPr>
          <w:p w14:paraId="6A070F03" w14:textId="77777777" w:rsidR="001506C1" w:rsidRPr="00FA3F9C" w:rsidRDefault="001506C1" w:rsidP="00405054">
            <w:pPr>
              <w:rPr>
                <w:rFonts w:ascii="Arial" w:hAnsi="Arial" w:cs="Arial"/>
                <w:sz w:val="24"/>
                <w:szCs w:val="24"/>
              </w:rPr>
            </w:pPr>
            <w:r w:rsidRPr="00FA3F9C">
              <w:rPr>
                <w:rFonts w:ascii="Arial" w:hAnsi="Arial" w:cs="Arial"/>
                <w:sz w:val="24"/>
                <w:szCs w:val="24"/>
              </w:rPr>
              <w:t xml:space="preserve">In </w:t>
            </w:r>
            <w:r w:rsidRPr="00FA3F9C">
              <w:rPr>
                <w:rFonts w:ascii="Arial" w:hAnsi="Arial" w:cs="Arial"/>
                <w:b/>
                <w:sz w:val="24"/>
                <w:szCs w:val="24"/>
                <w:u w:val="single"/>
              </w:rPr>
              <w:t>Criteria for new users (advanced/metastatic disease)</w:t>
            </w:r>
            <w:r w:rsidRPr="00FA3F9C">
              <w:rPr>
                <w:rFonts w:ascii="Arial" w:hAnsi="Arial" w:cs="Arial"/>
                <w:sz w:val="24"/>
                <w:szCs w:val="24"/>
                <w:u w:val="single"/>
              </w:rPr>
              <w:t xml:space="preserve">, </w:t>
            </w:r>
            <w:r w:rsidRPr="00FA3F9C">
              <w:rPr>
                <w:rFonts w:ascii="Arial" w:hAnsi="Arial" w:cs="Arial"/>
                <w:sz w:val="24"/>
                <w:szCs w:val="24"/>
              </w:rPr>
              <w:t>removed “</w:t>
            </w:r>
            <w:proofErr w:type="spellStart"/>
            <w:r w:rsidRPr="00FA3F9C">
              <w:rPr>
                <w:rFonts w:ascii="Arial" w:hAnsi="Arial" w:cs="Arial"/>
                <w:sz w:val="24"/>
                <w:szCs w:val="24"/>
              </w:rPr>
              <w:t>everolimus</w:t>
            </w:r>
            <w:proofErr w:type="spellEnd"/>
            <w:r w:rsidRPr="00FA3F9C">
              <w:rPr>
                <w:rFonts w:ascii="Arial" w:hAnsi="Arial" w:cs="Arial"/>
                <w:sz w:val="24"/>
                <w:szCs w:val="24"/>
              </w:rPr>
              <w:t xml:space="preserve">, cytotoxic chemotherapy (such as doxorubicin, </w:t>
            </w:r>
            <w:proofErr w:type="spellStart"/>
            <w:r w:rsidRPr="00FA3F9C">
              <w:rPr>
                <w:rFonts w:ascii="Arial" w:hAnsi="Arial" w:cs="Arial"/>
                <w:sz w:val="24"/>
                <w:szCs w:val="24"/>
              </w:rPr>
              <w:t>cyclophophosphamide</w:t>
            </w:r>
            <w:proofErr w:type="spellEnd"/>
            <w:r w:rsidRPr="00FA3F9C">
              <w:rPr>
                <w:rFonts w:ascii="Arial" w:hAnsi="Arial" w:cs="Arial"/>
                <w:sz w:val="24"/>
                <w:szCs w:val="24"/>
              </w:rPr>
              <w:t xml:space="preserve">, or </w:t>
            </w:r>
            <w:proofErr w:type="spellStart"/>
            <w:r w:rsidRPr="00FA3F9C">
              <w:rPr>
                <w:rFonts w:ascii="Arial" w:hAnsi="Arial" w:cs="Arial"/>
                <w:sz w:val="24"/>
                <w:szCs w:val="24"/>
              </w:rPr>
              <w:t>taxane</w:t>
            </w:r>
            <w:proofErr w:type="spellEnd"/>
            <w:r w:rsidRPr="00FA3F9C">
              <w:rPr>
                <w:rFonts w:ascii="Arial" w:hAnsi="Arial" w:cs="Arial"/>
                <w:sz w:val="24"/>
                <w:szCs w:val="24"/>
              </w:rPr>
              <w:t>).” Patients are unlikely to have received these therapies previously for advanced disease.</w:t>
            </w:r>
          </w:p>
        </w:tc>
        <w:tc>
          <w:tcPr>
            <w:tcW w:w="2538" w:type="dxa"/>
          </w:tcPr>
          <w:p w14:paraId="2BD7E65E" w14:textId="77777777" w:rsidR="001506C1" w:rsidRPr="00FA3F9C" w:rsidRDefault="001506C1" w:rsidP="006F623F">
            <w:pPr>
              <w:rPr>
                <w:rFonts w:ascii="Arial" w:hAnsi="Arial" w:cs="Arial"/>
                <w:sz w:val="24"/>
                <w:szCs w:val="24"/>
              </w:rPr>
            </w:pPr>
            <w:r w:rsidRPr="00FA3F9C">
              <w:rPr>
                <w:rFonts w:ascii="Arial" w:hAnsi="Arial" w:cs="Arial"/>
                <w:sz w:val="24"/>
                <w:szCs w:val="24"/>
              </w:rPr>
              <w:t>SK</w:t>
            </w:r>
          </w:p>
        </w:tc>
      </w:tr>
    </w:tbl>
    <w:p w14:paraId="5E9926A6" w14:textId="77777777" w:rsidR="001506C1" w:rsidRPr="00FA3F9C" w:rsidRDefault="001506C1" w:rsidP="006F623F">
      <w:pPr>
        <w:spacing w:after="0"/>
        <w:rPr>
          <w:rFonts w:ascii="Arial" w:hAnsi="Arial" w:cs="Arial"/>
          <w:sz w:val="24"/>
          <w:szCs w:val="24"/>
        </w:rPr>
      </w:pPr>
    </w:p>
    <w:p w14:paraId="0B623A37" w14:textId="77777777" w:rsidR="005005CA" w:rsidRDefault="005005CA" w:rsidP="00FA3F9C">
      <w:pPr>
        <w:pStyle w:val="Heading2"/>
        <w:sectPr w:rsidR="005005CA" w:rsidSect="00FA3F9C">
          <w:headerReference w:type="even" r:id="rId9"/>
          <w:headerReference w:type="default" r:id="rId10"/>
          <w:footerReference w:type="even" r:id="rId11"/>
          <w:footerReference w:type="default" r:id="rId12"/>
          <w:headerReference w:type="first" r:id="rId13"/>
          <w:footerReference w:type="first" r:id="rId14"/>
          <w:pgSz w:w="15840" w:h="12240" w:orient="landscape"/>
          <w:pgMar w:top="1440" w:right="1080" w:bottom="1440" w:left="1080" w:header="720" w:footer="720" w:gutter="0"/>
          <w:cols w:space="720"/>
          <w:docGrid w:linePitch="360"/>
        </w:sectPr>
      </w:pPr>
      <w:bookmarkStart w:id="1" w:name="_Toc106369705"/>
    </w:p>
    <w:p w14:paraId="358A8B9F" w14:textId="51C82C27" w:rsidR="001506C1" w:rsidRPr="00FA3F9C" w:rsidRDefault="001506C1" w:rsidP="00FA3F9C">
      <w:pPr>
        <w:pStyle w:val="Heading2"/>
      </w:pPr>
      <w:r w:rsidRPr="00FA3F9C">
        <w:lastRenderedPageBreak/>
        <w:t>Abiraterone (Zytiga®)</w:t>
      </w:r>
      <w:bookmarkEnd w:id="1"/>
      <w:r w:rsidRPr="00FA3F9C">
        <w:t xml:space="preserve"> </w:t>
      </w:r>
    </w:p>
    <w:p w14:paraId="1F1B1C92" w14:textId="77777777" w:rsidR="001506C1" w:rsidRPr="00FA3F9C" w:rsidRDefault="001506C1" w:rsidP="00CB24BC">
      <w:pPr>
        <w:jc w:val="center"/>
        <w:rPr>
          <w:rFonts w:ascii="Arial" w:hAnsi="Arial" w:cs="Arial"/>
          <w:sz w:val="24"/>
          <w:szCs w:val="24"/>
        </w:rPr>
      </w:pPr>
      <w:r w:rsidRPr="00FA3F9C">
        <w:rPr>
          <w:rFonts w:ascii="Arial" w:hAnsi="Arial" w:cs="Arial"/>
          <w:sz w:val="24"/>
          <w:szCs w:val="24"/>
        </w:rPr>
        <w:t>250 mg tablets</w:t>
      </w:r>
    </w:p>
    <w:p w14:paraId="6E23BD4A" w14:textId="77777777" w:rsidR="001506C1" w:rsidRPr="00FA3F9C" w:rsidRDefault="001506C1" w:rsidP="00CB24BC">
      <w:pPr>
        <w:jc w:val="center"/>
        <w:rPr>
          <w:rFonts w:ascii="Arial" w:hAnsi="Arial" w:cs="Arial"/>
          <w:sz w:val="24"/>
          <w:szCs w:val="24"/>
        </w:rPr>
      </w:pPr>
      <w:r w:rsidRPr="00FA3F9C">
        <w:rPr>
          <w:rFonts w:ascii="Arial" w:hAnsi="Arial" w:cs="Arial"/>
          <w:sz w:val="24"/>
          <w:szCs w:val="24"/>
        </w:rPr>
        <w:t>EBRx PA Criteria</w:t>
      </w:r>
    </w:p>
    <w:p w14:paraId="6C21BF2F" w14:textId="77777777" w:rsidR="001506C1" w:rsidRPr="00FA3F9C" w:rsidRDefault="001506C1" w:rsidP="00431346">
      <w:pPr>
        <w:jc w:val="center"/>
        <w:rPr>
          <w:rFonts w:ascii="Arial" w:hAnsi="Arial" w:cs="Arial"/>
          <w:sz w:val="24"/>
          <w:szCs w:val="24"/>
        </w:rPr>
      </w:pPr>
      <w:r w:rsidRPr="00FA3F9C">
        <w:rPr>
          <w:rFonts w:ascii="Arial" w:hAnsi="Arial" w:cs="Arial"/>
          <w:sz w:val="24"/>
          <w:szCs w:val="24"/>
          <w:highlight w:val="yellow"/>
        </w:rPr>
        <w:t>Note: 500 mg tablet is not covered. Prefer 250 mg tablet.</w:t>
      </w:r>
    </w:p>
    <w:p w14:paraId="65B05F4A" w14:textId="77777777" w:rsidR="001506C1" w:rsidRPr="00FA3F9C" w:rsidRDefault="001506C1" w:rsidP="009E4681">
      <w:pPr>
        <w:jc w:val="center"/>
        <w:rPr>
          <w:rFonts w:ascii="Arial" w:hAnsi="Arial" w:cs="Arial"/>
          <w:sz w:val="24"/>
          <w:szCs w:val="24"/>
        </w:rPr>
      </w:pPr>
      <w:r w:rsidRPr="00FA3F9C">
        <w:rPr>
          <w:rFonts w:ascii="Arial" w:hAnsi="Arial" w:cs="Arial"/>
          <w:sz w:val="24"/>
          <w:szCs w:val="24"/>
          <w:highlight w:val="yellow"/>
        </w:rPr>
        <w:t xml:space="preserve">Note: </w:t>
      </w:r>
      <w:proofErr w:type="spellStart"/>
      <w:r w:rsidRPr="00FA3F9C">
        <w:rPr>
          <w:rFonts w:ascii="Arial" w:hAnsi="Arial" w:cs="Arial"/>
          <w:sz w:val="24"/>
          <w:szCs w:val="24"/>
          <w:highlight w:val="yellow"/>
        </w:rPr>
        <w:t>Yonsa</w:t>
      </w:r>
      <w:proofErr w:type="spellEnd"/>
      <w:r w:rsidRPr="00FA3F9C">
        <w:rPr>
          <w:rFonts w:ascii="Arial" w:hAnsi="Arial" w:cs="Arial"/>
          <w:sz w:val="24"/>
          <w:szCs w:val="24"/>
          <w:highlight w:val="yellow"/>
        </w:rPr>
        <w:t xml:space="preserve"> is not covered</w:t>
      </w:r>
    </w:p>
    <w:p w14:paraId="3A448568" w14:textId="77777777" w:rsidR="001506C1" w:rsidRPr="00FA3F9C" w:rsidRDefault="001506C1" w:rsidP="00520E3C">
      <w:pPr>
        <w:rPr>
          <w:rFonts w:ascii="Arial" w:hAnsi="Arial" w:cs="Arial"/>
          <w:b/>
          <w:sz w:val="24"/>
          <w:szCs w:val="24"/>
          <w:u w:val="single"/>
        </w:rPr>
      </w:pPr>
      <w:r w:rsidRPr="00FA3F9C">
        <w:rPr>
          <w:rFonts w:ascii="Arial" w:hAnsi="Arial" w:cs="Arial"/>
          <w:b/>
          <w:sz w:val="24"/>
          <w:szCs w:val="24"/>
          <w:u w:val="single"/>
        </w:rPr>
        <w:t xml:space="preserve">Is FDA approved for: </w:t>
      </w:r>
    </w:p>
    <w:p w14:paraId="71BEB35B" w14:textId="77777777" w:rsidR="001506C1" w:rsidRPr="00FA3F9C" w:rsidRDefault="001506C1" w:rsidP="001506C1">
      <w:pPr>
        <w:numPr>
          <w:ilvl w:val="0"/>
          <w:numId w:val="2"/>
        </w:numPr>
        <w:spacing w:after="0" w:line="240" w:lineRule="auto"/>
        <w:rPr>
          <w:rFonts w:ascii="Arial" w:hAnsi="Arial" w:cs="Arial"/>
          <w:sz w:val="24"/>
          <w:szCs w:val="24"/>
        </w:rPr>
      </w:pPr>
      <w:r w:rsidRPr="00FA3F9C">
        <w:rPr>
          <w:rFonts w:ascii="Arial" w:hAnsi="Arial" w:cs="Arial"/>
          <w:color w:val="000000"/>
          <w:sz w:val="24"/>
          <w:szCs w:val="24"/>
        </w:rPr>
        <w:t>in combination with prednisone for the treatment of patients with metastatic castration-</w:t>
      </w:r>
      <w:r w:rsidRPr="00FA3F9C">
        <w:rPr>
          <w:rFonts w:ascii="Arial" w:hAnsi="Arial" w:cs="Arial"/>
          <w:i/>
          <w:color w:val="000000"/>
          <w:sz w:val="24"/>
          <w:szCs w:val="24"/>
          <w:u w:val="single"/>
        </w:rPr>
        <w:t>resistant</w:t>
      </w:r>
      <w:r w:rsidRPr="00FA3F9C">
        <w:rPr>
          <w:rFonts w:ascii="Arial" w:hAnsi="Arial" w:cs="Arial"/>
          <w:color w:val="000000"/>
          <w:sz w:val="24"/>
          <w:szCs w:val="24"/>
        </w:rPr>
        <w:t xml:space="preserve"> prostate cancer  (</w:t>
      </w:r>
      <w:proofErr w:type="spellStart"/>
      <w:r w:rsidRPr="00FA3F9C">
        <w:rPr>
          <w:rFonts w:ascii="Arial" w:hAnsi="Arial" w:cs="Arial"/>
          <w:color w:val="000000"/>
          <w:sz w:val="24"/>
          <w:szCs w:val="24"/>
        </w:rPr>
        <w:t>mCRPC</w:t>
      </w:r>
      <w:proofErr w:type="spellEnd"/>
      <w:r w:rsidRPr="00FA3F9C">
        <w:rPr>
          <w:rFonts w:ascii="Arial" w:hAnsi="Arial" w:cs="Arial"/>
          <w:color w:val="000000"/>
          <w:sz w:val="24"/>
          <w:szCs w:val="24"/>
        </w:rPr>
        <w:t>)</w:t>
      </w:r>
    </w:p>
    <w:p w14:paraId="3BF39C53" w14:textId="77777777" w:rsidR="001506C1" w:rsidRPr="00FA3F9C" w:rsidRDefault="001506C1" w:rsidP="001506C1">
      <w:pPr>
        <w:numPr>
          <w:ilvl w:val="0"/>
          <w:numId w:val="2"/>
        </w:numPr>
        <w:spacing w:after="0" w:line="240" w:lineRule="auto"/>
        <w:rPr>
          <w:rFonts w:ascii="Arial" w:hAnsi="Arial" w:cs="Arial"/>
          <w:sz w:val="24"/>
          <w:szCs w:val="24"/>
        </w:rPr>
      </w:pPr>
      <w:r w:rsidRPr="00FA3F9C">
        <w:rPr>
          <w:rFonts w:ascii="Arial" w:hAnsi="Arial" w:cs="Arial"/>
          <w:color w:val="000000"/>
          <w:sz w:val="24"/>
          <w:szCs w:val="24"/>
        </w:rPr>
        <w:t>in combination with prednisone for the treatment of patients with metastatic high-risk castration-</w:t>
      </w:r>
      <w:r w:rsidRPr="00FA3F9C">
        <w:rPr>
          <w:rFonts w:ascii="Arial" w:hAnsi="Arial" w:cs="Arial"/>
          <w:i/>
          <w:color w:val="000000"/>
          <w:sz w:val="24"/>
          <w:szCs w:val="24"/>
          <w:u w:val="single"/>
        </w:rPr>
        <w:t>sensitive</w:t>
      </w:r>
      <w:r w:rsidRPr="00FA3F9C">
        <w:rPr>
          <w:rFonts w:ascii="Arial" w:hAnsi="Arial" w:cs="Arial"/>
          <w:color w:val="000000"/>
          <w:sz w:val="24"/>
          <w:szCs w:val="24"/>
        </w:rPr>
        <w:t xml:space="preserve"> prostate cancer (m-</w:t>
      </w:r>
      <w:proofErr w:type="spellStart"/>
      <w:r w:rsidRPr="00FA3F9C">
        <w:rPr>
          <w:rFonts w:ascii="Arial" w:hAnsi="Arial" w:cs="Arial"/>
          <w:color w:val="000000"/>
          <w:sz w:val="24"/>
          <w:szCs w:val="24"/>
        </w:rPr>
        <w:t>hr</w:t>
      </w:r>
      <w:proofErr w:type="spellEnd"/>
      <w:r w:rsidRPr="00FA3F9C">
        <w:rPr>
          <w:rFonts w:ascii="Arial" w:hAnsi="Arial" w:cs="Arial"/>
          <w:color w:val="000000"/>
          <w:sz w:val="24"/>
          <w:szCs w:val="24"/>
        </w:rPr>
        <w:t>-CSPC)</w:t>
      </w:r>
    </w:p>
    <w:p w14:paraId="0BC0F625" w14:textId="77777777" w:rsidR="001506C1" w:rsidRPr="00FA3F9C" w:rsidRDefault="001506C1" w:rsidP="00AA28EF">
      <w:pPr>
        <w:rPr>
          <w:rFonts w:ascii="Arial" w:hAnsi="Arial" w:cs="Arial"/>
          <w:color w:val="000000"/>
          <w:sz w:val="24"/>
          <w:szCs w:val="24"/>
        </w:rPr>
      </w:pPr>
    </w:p>
    <w:p w14:paraId="04AFA2B1" w14:textId="77777777" w:rsidR="001506C1" w:rsidRPr="00FA3F9C" w:rsidRDefault="001506C1" w:rsidP="00AA28EF">
      <w:pPr>
        <w:rPr>
          <w:rFonts w:ascii="Arial" w:hAnsi="Arial" w:cs="Arial"/>
          <w:sz w:val="24"/>
          <w:szCs w:val="24"/>
        </w:rPr>
      </w:pPr>
      <w:r w:rsidRPr="00FA3F9C">
        <w:rPr>
          <w:rFonts w:ascii="Arial" w:hAnsi="Arial" w:cs="Arial"/>
          <w:sz w:val="24"/>
          <w:szCs w:val="24"/>
        </w:rPr>
        <w:t>Note: Castrati</w:t>
      </w:r>
      <w:r w:rsidRPr="00FA3F9C">
        <w:rPr>
          <w:rFonts w:ascii="Arial" w:hAnsi="Arial" w:cs="Arial"/>
          <w:color w:val="000000"/>
          <w:sz w:val="24"/>
          <w:szCs w:val="24"/>
        </w:rPr>
        <w:t>on-</w:t>
      </w:r>
      <w:r w:rsidRPr="00FA3F9C">
        <w:rPr>
          <w:rFonts w:ascii="Arial" w:hAnsi="Arial" w:cs="Arial"/>
          <w:i/>
          <w:color w:val="000000"/>
          <w:sz w:val="24"/>
          <w:szCs w:val="24"/>
          <w:u w:val="single"/>
        </w:rPr>
        <w:t>resistant</w:t>
      </w:r>
      <w:r w:rsidRPr="00FA3F9C">
        <w:rPr>
          <w:rFonts w:ascii="Arial" w:hAnsi="Arial" w:cs="Arial"/>
          <w:color w:val="000000"/>
          <w:sz w:val="24"/>
          <w:szCs w:val="24"/>
        </w:rPr>
        <w:t xml:space="preserve"> prostate cancer (CRPC) </w:t>
      </w:r>
      <w:r w:rsidRPr="00FA3F9C">
        <w:rPr>
          <w:rFonts w:ascii="Arial" w:hAnsi="Arial" w:cs="Arial"/>
          <w:sz w:val="24"/>
          <w:szCs w:val="24"/>
        </w:rPr>
        <w:t>is defined as progression of disease (rising PSA or increase in tumor size on imaging) when testosterone level is &lt;50 ng/dl (due to LHRH agonist/antagonist OR orchiectomy).</w:t>
      </w:r>
    </w:p>
    <w:p w14:paraId="61010B15" w14:textId="77777777" w:rsidR="001506C1" w:rsidRPr="00FA3F9C" w:rsidRDefault="001506C1" w:rsidP="00AA28EF">
      <w:pPr>
        <w:rPr>
          <w:rFonts w:ascii="Arial" w:hAnsi="Arial" w:cs="Arial"/>
          <w:sz w:val="24"/>
          <w:szCs w:val="24"/>
        </w:rPr>
      </w:pPr>
    </w:p>
    <w:tbl>
      <w:tblPr>
        <w:tblW w:w="10537" w:type="dxa"/>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37"/>
      </w:tblGrid>
      <w:tr w:rsidR="001506C1" w:rsidRPr="00FA3F9C" w14:paraId="77D803CD" w14:textId="77777777" w:rsidTr="00BA2AEB">
        <w:tc>
          <w:tcPr>
            <w:tcW w:w="10537" w:type="dxa"/>
            <w:shd w:val="clear" w:color="auto" w:fill="000000"/>
          </w:tcPr>
          <w:p w14:paraId="001319F9" w14:textId="77777777" w:rsidR="001506C1" w:rsidRPr="00FA3F9C" w:rsidRDefault="001506C1" w:rsidP="0039028F">
            <w:pPr>
              <w:rPr>
                <w:rFonts w:ascii="Arial" w:hAnsi="Arial" w:cs="Arial"/>
                <w:sz w:val="24"/>
                <w:szCs w:val="24"/>
              </w:rPr>
            </w:pPr>
            <w:r w:rsidRPr="00FA3F9C">
              <w:rPr>
                <w:rFonts w:ascii="Arial" w:hAnsi="Arial" w:cs="Arial"/>
                <w:sz w:val="24"/>
                <w:szCs w:val="24"/>
              </w:rPr>
              <w:t>Criteria for new users</w:t>
            </w:r>
          </w:p>
        </w:tc>
      </w:tr>
      <w:tr w:rsidR="001506C1" w:rsidRPr="00FA3F9C" w14:paraId="44A8FC25" w14:textId="77777777" w:rsidTr="0039028F">
        <w:tc>
          <w:tcPr>
            <w:tcW w:w="10537" w:type="dxa"/>
          </w:tcPr>
          <w:p w14:paraId="3516BEF8" w14:textId="77777777" w:rsidR="001506C1" w:rsidRPr="00FA3F9C" w:rsidRDefault="001506C1" w:rsidP="0039028F">
            <w:pPr>
              <w:rPr>
                <w:rFonts w:ascii="Arial" w:hAnsi="Arial" w:cs="Arial"/>
                <w:b/>
                <w:sz w:val="24"/>
                <w:szCs w:val="24"/>
              </w:rPr>
            </w:pPr>
            <w:r w:rsidRPr="00FA3F9C">
              <w:rPr>
                <w:rFonts w:ascii="Arial" w:hAnsi="Arial" w:cs="Arial"/>
                <w:sz w:val="24"/>
                <w:szCs w:val="24"/>
              </w:rPr>
              <w:t xml:space="preserve">1. Diagnosis of </w:t>
            </w:r>
            <w:r w:rsidRPr="00FA3F9C">
              <w:rPr>
                <w:rFonts w:ascii="Arial" w:hAnsi="Arial" w:cs="Arial"/>
                <w:b/>
                <w:sz w:val="24"/>
                <w:szCs w:val="24"/>
              </w:rPr>
              <w:t>metastatic</w:t>
            </w:r>
            <w:r w:rsidRPr="00FA3F9C">
              <w:rPr>
                <w:rFonts w:ascii="Arial" w:hAnsi="Arial" w:cs="Arial"/>
                <w:sz w:val="24"/>
                <w:szCs w:val="24"/>
              </w:rPr>
              <w:t xml:space="preserve"> prostate cancer.</w:t>
            </w:r>
          </w:p>
        </w:tc>
      </w:tr>
      <w:tr w:rsidR="001506C1" w:rsidRPr="00FA3F9C" w14:paraId="5C97B0A5" w14:textId="77777777" w:rsidTr="0039028F">
        <w:tc>
          <w:tcPr>
            <w:tcW w:w="10537" w:type="dxa"/>
          </w:tcPr>
          <w:p w14:paraId="21DDFF4B" w14:textId="77777777" w:rsidR="001506C1" w:rsidRPr="00FA3F9C" w:rsidRDefault="001506C1" w:rsidP="00CB24BC">
            <w:pPr>
              <w:rPr>
                <w:rFonts w:ascii="Arial" w:hAnsi="Arial" w:cs="Arial"/>
                <w:sz w:val="24"/>
                <w:szCs w:val="24"/>
              </w:rPr>
            </w:pPr>
            <w:r w:rsidRPr="00FA3F9C">
              <w:rPr>
                <w:rFonts w:ascii="Arial" w:hAnsi="Arial" w:cs="Arial"/>
                <w:sz w:val="24"/>
                <w:szCs w:val="24"/>
              </w:rPr>
              <w:t>2. LHRH agonist/antagonist will be given with abiraterone OR patient has undergone orchiectomy</w:t>
            </w:r>
          </w:p>
        </w:tc>
      </w:tr>
      <w:tr w:rsidR="001506C1" w:rsidRPr="00FA3F9C" w14:paraId="0B19C7ED" w14:textId="77777777" w:rsidTr="0039028F">
        <w:tc>
          <w:tcPr>
            <w:tcW w:w="10537" w:type="dxa"/>
          </w:tcPr>
          <w:p w14:paraId="42607FF6" w14:textId="77777777" w:rsidR="001506C1" w:rsidRPr="00FA3F9C" w:rsidRDefault="001506C1" w:rsidP="00CB24BC">
            <w:pPr>
              <w:rPr>
                <w:rFonts w:ascii="Arial" w:hAnsi="Arial" w:cs="Arial"/>
                <w:sz w:val="24"/>
                <w:szCs w:val="24"/>
              </w:rPr>
            </w:pPr>
            <w:r w:rsidRPr="00FA3F9C">
              <w:rPr>
                <w:rFonts w:ascii="Arial" w:hAnsi="Arial" w:cs="Arial"/>
                <w:sz w:val="24"/>
                <w:szCs w:val="24"/>
              </w:rPr>
              <w:t xml:space="preserve">3. Abiraterone acetate will be given with prednisone </w:t>
            </w:r>
          </w:p>
        </w:tc>
      </w:tr>
      <w:tr w:rsidR="001506C1" w:rsidRPr="00FA3F9C" w14:paraId="5EA8142A" w14:textId="77777777" w:rsidTr="0039028F">
        <w:tc>
          <w:tcPr>
            <w:tcW w:w="10537" w:type="dxa"/>
          </w:tcPr>
          <w:p w14:paraId="7717947A" w14:textId="77777777" w:rsidR="001506C1" w:rsidRPr="00FA3F9C" w:rsidRDefault="001506C1" w:rsidP="00AA28EF">
            <w:pPr>
              <w:rPr>
                <w:rFonts w:ascii="Arial" w:hAnsi="Arial" w:cs="Arial"/>
                <w:sz w:val="24"/>
                <w:szCs w:val="24"/>
              </w:rPr>
            </w:pPr>
            <w:r w:rsidRPr="00FA3F9C">
              <w:rPr>
                <w:rFonts w:ascii="Arial" w:hAnsi="Arial" w:cs="Arial"/>
                <w:sz w:val="24"/>
                <w:szCs w:val="24"/>
              </w:rPr>
              <w:t>4. If disease is castration-sensitive, patient has not received prior docetaxel.</w:t>
            </w:r>
          </w:p>
        </w:tc>
      </w:tr>
      <w:tr w:rsidR="001506C1" w:rsidRPr="00FA3F9C" w14:paraId="525E88CA" w14:textId="77777777" w:rsidTr="005254D6">
        <w:tc>
          <w:tcPr>
            <w:tcW w:w="10537" w:type="dxa"/>
            <w:shd w:val="clear" w:color="auto" w:fill="F2F2F2"/>
          </w:tcPr>
          <w:p w14:paraId="711A753C" w14:textId="77777777" w:rsidR="001506C1" w:rsidRPr="00FA3F9C" w:rsidRDefault="001506C1" w:rsidP="00CB24BC">
            <w:pPr>
              <w:rPr>
                <w:rFonts w:ascii="Arial" w:hAnsi="Arial" w:cs="Arial"/>
                <w:sz w:val="24"/>
                <w:szCs w:val="24"/>
              </w:rPr>
            </w:pPr>
            <w:r w:rsidRPr="00FA3F9C">
              <w:rPr>
                <w:rFonts w:ascii="Arial" w:hAnsi="Arial" w:cs="Arial"/>
                <w:sz w:val="24"/>
                <w:szCs w:val="24"/>
              </w:rPr>
              <w:t>If above criteria are fulfilled, approve for 12 months</w:t>
            </w:r>
          </w:p>
          <w:p w14:paraId="1F1060CE" w14:textId="77777777" w:rsidR="001506C1" w:rsidRPr="00FA3F9C" w:rsidRDefault="001506C1" w:rsidP="00CB24BC">
            <w:pPr>
              <w:rPr>
                <w:rFonts w:ascii="Arial" w:hAnsi="Arial" w:cs="Arial"/>
                <w:sz w:val="24"/>
                <w:szCs w:val="24"/>
              </w:rPr>
            </w:pPr>
            <w:r w:rsidRPr="00FA3F9C">
              <w:rPr>
                <w:rFonts w:ascii="Arial" w:hAnsi="Arial" w:cs="Arial"/>
                <w:sz w:val="24"/>
                <w:szCs w:val="24"/>
              </w:rPr>
              <w:t xml:space="preserve">Note: Do not approve for </w:t>
            </w:r>
            <w:proofErr w:type="gramStart"/>
            <w:r w:rsidRPr="00FA3F9C">
              <w:rPr>
                <w:rFonts w:ascii="Arial" w:hAnsi="Arial" w:cs="Arial"/>
                <w:sz w:val="24"/>
                <w:szCs w:val="24"/>
              </w:rPr>
              <w:t>NON-metastatic</w:t>
            </w:r>
            <w:proofErr w:type="gramEnd"/>
            <w:r w:rsidRPr="00FA3F9C">
              <w:rPr>
                <w:rFonts w:ascii="Arial" w:hAnsi="Arial" w:cs="Arial"/>
                <w:sz w:val="24"/>
                <w:szCs w:val="24"/>
              </w:rPr>
              <w:t xml:space="preserve"> prostate cancer.</w:t>
            </w:r>
          </w:p>
        </w:tc>
      </w:tr>
      <w:tr w:rsidR="001506C1" w:rsidRPr="00FA3F9C" w14:paraId="15EA34B6" w14:textId="77777777" w:rsidTr="005254D6">
        <w:tc>
          <w:tcPr>
            <w:tcW w:w="10537" w:type="dxa"/>
            <w:shd w:val="clear" w:color="auto" w:fill="F2F2F2"/>
          </w:tcPr>
          <w:p w14:paraId="0FB291F1" w14:textId="77777777" w:rsidR="001506C1" w:rsidRPr="00FA3F9C" w:rsidRDefault="001506C1" w:rsidP="00CB24BC">
            <w:pPr>
              <w:rPr>
                <w:rFonts w:ascii="Arial" w:hAnsi="Arial" w:cs="Arial"/>
                <w:sz w:val="24"/>
                <w:szCs w:val="24"/>
              </w:rPr>
            </w:pPr>
            <w:r w:rsidRPr="00FA3F9C">
              <w:rPr>
                <w:rFonts w:ascii="Arial" w:hAnsi="Arial" w:cs="Arial"/>
                <w:sz w:val="24"/>
                <w:szCs w:val="24"/>
              </w:rPr>
              <w:t xml:space="preserve"> QL: 250 mg tablets: 120 tablets/30d. [250 mg tablet is generic]</w:t>
            </w:r>
          </w:p>
          <w:p w14:paraId="509574E2" w14:textId="77777777" w:rsidR="001506C1" w:rsidRPr="00FA3F9C" w:rsidRDefault="001506C1" w:rsidP="00CB24BC">
            <w:pPr>
              <w:rPr>
                <w:rFonts w:ascii="Arial" w:hAnsi="Arial" w:cs="Arial"/>
                <w:b/>
                <w:sz w:val="24"/>
                <w:szCs w:val="24"/>
              </w:rPr>
            </w:pPr>
            <w:r w:rsidRPr="00FA3F9C">
              <w:rPr>
                <w:rFonts w:ascii="Arial" w:hAnsi="Arial" w:cs="Arial"/>
                <w:b/>
                <w:sz w:val="24"/>
                <w:szCs w:val="24"/>
              </w:rPr>
              <w:lastRenderedPageBreak/>
              <w:t>Note: *500mg tablet is not covered due to cost</w:t>
            </w:r>
          </w:p>
          <w:p w14:paraId="10B1F3FF" w14:textId="77777777" w:rsidR="001506C1" w:rsidRPr="00FA3F9C" w:rsidRDefault="001506C1" w:rsidP="00CB24BC">
            <w:pPr>
              <w:rPr>
                <w:rFonts w:ascii="Arial" w:hAnsi="Arial" w:cs="Arial"/>
                <w:sz w:val="24"/>
                <w:szCs w:val="24"/>
              </w:rPr>
            </w:pPr>
            <w:proofErr w:type="spellStart"/>
            <w:r w:rsidRPr="00FA3F9C">
              <w:rPr>
                <w:rFonts w:ascii="Arial" w:hAnsi="Arial" w:cs="Arial"/>
                <w:b/>
                <w:sz w:val="24"/>
                <w:szCs w:val="24"/>
              </w:rPr>
              <w:t>Yonsa</w:t>
            </w:r>
            <w:proofErr w:type="spellEnd"/>
            <w:r w:rsidRPr="00FA3F9C">
              <w:rPr>
                <w:rFonts w:ascii="Arial" w:hAnsi="Arial" w:cs="Arial"/>
                <w:b/>
                <w:sz w:val="24"/>
                <w:szCs w:val="24"/>
              </w:rPr>
              <w:t xml:space="preserve"> is a micronized formulation of abiraterone and remains brand only and is not covered by EBRx</w:t>
            </w:r>
          </w:p>
        </w:tc>
      </w:tr>
      <w:tr w:rsidR="001506C1" w:rsidRPr="00FA3F9C" w14:paraId="27D65977" w14:textId="77777777" w:rsidTr="005254D6">
        <w:trPr>
          <w:trHeight w:val="6515"/>
        </w:trPr>
        <w:tc>
          <w:tcPr>
            <w:tcW w:w="10537" w:type="dxa"/>
            <w:shd w:val="clear" w:color="auto" w:fill="D9D9D9"/>
          </w:tcPr>
          <w:p w14:paraId="54F4F100" w14:textId="77777777" w:rsidR="001506C1" w:rsidRPr="00FA3F9C" w:rsidRDefault="001506C1" w:rsidP="000E07F3">
            <w:pPr>
              <w:rPr>
                <w:rFonts w:ascii="Arial" w:hAnsi="Arial" w:cs="Arial"/>
                <w:sz w:val="24"/>
                <w:szCs w:val="24"/>
              </w:rPr>
            </w:pPr>
            <w:r w:rsidRPr="00FA3F9C">
              <w:rPr>
                <w:rFonts w:ascii="Arial" w:hAnsi="Arial" w:cs="Arial"/>
                <w:sz w:val="24"/>
                <w:szCs w:val="24"/>
              </w:rPr>
              <w:lastRenderedPageBreak/>
              <w:t>Evidence:</w:t>
            </w:r>
          </w:p>
          <w:p w14:paraId="53CE6065" w14:textId="77777777" w:rsidR="001506C1" w:rsidRPr="00FA3F9C" w:rsidRDefault="001506C1" w:rsidP="0039028F">
            <w:pPr>
              <w:rPr>
                <w:rFonts w:ascii="Arial" w:hAnsi="Arial" w:cs="Arial"/>
                <w:sz w:val="24"/>
                <w:szCs w:val="24"/>
              </w:rPr>
            </w:pPr>
          </w:p>
          <w:p w14:paraId="2F54E2E7" w14:textId="77777777" w:rsidR="001506C1" w:rsidRPr="00FA3F9C" w:rsidRDefault="001506C1" w:rsidP="0039028F">
            <w:pPr>
              <w:rPr>
                <w:rFonts w:ascii="Arial" w:hAnsi="Arial" w:cs="Arial"/>
                <w:sz w:val="24"/>
                <w:szCs w:val="24"/>
                <w:u w:val="single"/>
              </w:rPr>
            </w:pPr>
            <w:r w:rsidRPr="00FA3F9C">
              <w:rPr>
                <w:rFonts w:ascii="Arial" w:hAnsi="Arial" w:cs="Arial"/>
                <w:sz w:val="24"/>
                <w:szCs w:val="24"/>
                <w:u w:val="single"/>
              </w:rPr>
              <w:t>Metastatic castration-</w:t>
            </w:r>
            <w:r w:rsidRPr="00FA3F9C">
              <w:rPr>
                <w:rFonts w:ascii="Arial" w:hAnsi="Arial" w:cs="Arial"/>
                <w:b/>
                <w:i/>
                <w:sz w:val="24"/>
                <w:szCs w:val="24"/>
                <w:u w:val="single"/>
              </w:rPr>
              <w:t>resistant</w:t>
            </w:r>
            <w:r w:rsidRPr="00FA3F9C">
              <w:rPr>
                <w:rFonts w:ascii="Arial" w:hAnsi="Arial" w:cs="Arial"/>
                <w:sz w:val="24"/>
                <w:szCs w:val="24"/>
                <w:u w:val="single"/>
              </w:rPr>
              <w:t xml:space="preserve"> prostate cancer:</w:t>
            </w:r>
          </w:p>
          <w:p w14:paraId="66917415" w14:textId="77777777" w:rsidR="001506C1" w:rsidRPr="00FA3F9C" w:rsidRDefault="001506C1" w:rsidP="0039028F">
            <w:pPr>
              <w:rPr>
                <w:rFonts w:ascii="Arial" w:hAnsi="Arial" w:cs="Arial"/>
                <w:sz w:val="24"/>
                <w:szCs w:val="24"/>
              </w:rPr>
            </w:pPr>
            <w:r w:rsidRPr="00FA3F9C">
              <w:rPr>
                <w:rFonts w:ascii="Arial" w:hAnsi="Arial" w:cs="Arial"/>
                <w:sz w:val="24"/>
                <w:szCs w:val="24"/>
              </w:rPr>
              <w:t>-Abiraterone improves overall survival compared with prednisone alone before and after docetaxel.</w:t>
            </w:r>
            <w:r w:rsidRPr="00FA3F9C">
              <w:rPr>
                <w:rFonts w:ascii="Arial" w:hAnsi="Arial" w:cs="Arial"/>
                <w:sz w:val="24"/>
                <w:szCs w:val="24"/>
                <w:vertAlign w:val="superscript"/>
              </w:rPr>
              <w:t>1,2</w:t>
            </w:r>
          </w:p>
          <w:p w14:paraId="751F445C" w14:textId="77777777" w:rsidR="001506C1" w:rsidRPr="00FA3F9C" w:rsidRDefault="001506C1" w:rsidP="0039028F">
            <w:pPr>
              <w:rPr>
                <w:rFonts w:ascii="Arial" w:hAnsi="Arial" w:cs="Arial"/>
                <w:sz w:val="24"/>
                <w:szCs w:val="24"/>
              </w:rPr>
            </w:pPr>
          </w:p>
          <w:p w14:paraId="4B8E6B7E" w14:textId="77777777" w:rsidR="001506C1" w:rsidRPr="00FA3F9C" w:rsidRDefault="001506C1" w:rsidP="0039028F">
            <w:pPr>
              <w:rPr>
                <w:rFonts w:ascii="Arial" w:hAnsi="Arial" w:cs="Arial"/>
                <w:sz w:val="24"/>
                <w:szCs w:val="24"/>
                <w:u w:val="single"/>
              </w:rPr>
            </w:pPr>
            <w:r w:rsidRPr="00FA3F9C">
              <w:rPr>
                <w:rFonts w:ascii="Arial" w:hAnsi="Arial" w:cs="Arial"/>
                <w:sz w:val="24"/>
                <w:szCs w:val="24"/>
                <w:u w:val="single"/>
              </w:rPr>
              <w:t>Metastatic castration-</w:t>
            </w:r>
            <w:r w:rsidRPr="00FA3F9C">
              <w:rPr>
                <w:rFonts w:ascii="Arial" w:hAnsi="Arial" w:cs="Arial"/>
                <w:b/>
                <w:i/>
                <w:sz w:val="24"/>
                <w:szCs w:val="24"/>
                <w:u w:val="single"/>
              </w:rPr>
              <w:t>sensitive</w:t>
            </w:r>
            <w:r w:rsidRPr="00FA3F9C">
              <w:rPr>
                <w:rFonts w:ascii="Arial" w:hAnsi="Arial" w:cs="Arial"/>
                <w:sz w:val="24"/>
                <w:szCs w:val="24"/>
                <w:u w:val="single"/>
              </w:rPr>
              <w:t xml:space="preserve"> prostate cancer:</w:t>
            </w:r>
          </w:p>
          <w:p w14:paraId="31BE942B" w14:textId="77777777" w:rsidR="001506C1" w:rsidRPr="00FA3F9C" w:rsidRDefault="001506C1" w:rsidP="008F7876">
            <w:pPr>
              <w:pStyle w:val="ListParagraph"/>
              <w:spacing w:after="0" w:line="240" w:lineRule="auto"/>
              <w:ind w:left="0"/>
              <w:rPr>
                <w:rFonts w:ascii="Arial" w:hAnsi="Arial" w:cs="Arial"/>
                <w:sz w:val="24"/>
                <w:szCs w:val="24"/>
              </w:rPr>
            </w:pPr>
            <w:r w:rsidRPr="00FA3F9C">
              <w:rPr>
                <w:rFonts w:ascii="Arial" w:hAnsi="Arial" w:cs="Arial"/>
                <w:sz w:val="24"/>
                <w:szCs w:val="24"/>
              </w:rPr>
              <w:t xml:space="preserve">-Abiraterone improves overall survival compared to placebo in </w:t>
            </w:r>
            <w:proofErr w:type="gramStart"/>
            <w:r w:rsidRPr="00FA3F9C">
              <w:rPr>
                <w:rFonts w:ascii="Arial" w:hAnsi="Arial" w:cs="Arial"/>
                <w:sz w:val="24"/>
                <w:szCs w:val="24"/>
              </w:rPr>
              <w:t>high risk</w:t>
            </w:r>
            <w:proofErr w:type="gramEnd"/>
            <w:r w:rsidRPr="00FA3F9C">
              <w:rPr>
                <w:rFonts w:ascii="Arial" w:hAnsi="Arial" w:cs="Arial"/>
                <w:sz w:val="24"/>
                <w:szCs w:val="24"/>
              </w:rPr>
              <w:t xml:space="preserve"> metastatic disease per LATITUDE study. Abiraterone additionally was shown to prolong time to pain progression and time to symptomatic skeletal events.</w:t>
            </w:r>
            <w:r w:rsidRPr="00FA3F9C">
              <w:rPr>
                <w:rFonts w:ascii="Arial" w:hAnsi="Arial" w:cs="Arial"/>
                <w:sz w:val="24"/>
                <w:szCs w:val="24"/>
                <w:vertAlign w:val="superscript"/>
              </w:rPr>
              <w:t>3,4</w:t>
            </w:r>
          </w:p>
          <w:p w14:paraId="774715D3" w14:textId="77777777" w:rsidR="001506C1" w:rsidRPr="00FA3F9C" w:rsidRDefault="001506C1" w:rsidP="008F7876">
            <w:pPr>
              <w:rPr>
                <w:rFonts w:ascii="Arial" w:hAnsi="Arial" w:cs="Arial"/>
                <w:sz w:val="24"/>
                <w:szCs w:val="24"/>
              </w:rPr>
            </w:pPr>
            <w:r w:rsidRPr="00FA3F9C">
              <w:rPr>
                <w:rFonts w:ascii="Arial" w:hAnsi="Arial" w:cs="Arial"/>
                <w:sz w:val="24"/>
                <w:szCs w:val="24"/>
              </w:rPr>
              <w:t xml:space="preserve">-Abiraterone also improves overall survival in patients with locally advanced AND metastatic disease (regardless of risk factors) per the STAMPEDE trial. However, benefit was driven by metastatic subgroup. </w:t>
            </w:r>
            <w:r w:rsidRPr="00FA3F9C">
              <w:rPr>
                <w:rFonts w:ascii="Arial" w:hAnsi="Arial" w:cs="Arial"/>
                <w:sz w:val="24"/>
                <w:szCs w:val="24"/>
                <w:vertAlign w:val="superscript"/>
              </w:rPr>
              <w:t>5</w:t>
            </w:r>
          </w:p>
          <w:p w14:paraId="7D1D488B" w14:textId="77777777" w:rsidR="001506C1" w:rsidRPr="00FA3F9C" w:rsidRDefault="001506C1" w:rsidP="008F7876">
            <w:pPr>
              <w:rPr>
                <w:rFonts w:ascii="Arial" w:hAnsi="Arial" w:cs="Arial"/>
                <w:sz w:val="24"/>
                <w:szCs w:val="24"/>
                <w:vertAlign w:val="superscript"/>
              </w:rPr>
            </w:pPr>
            <w:r w:rsidRPr="00FA3F9C">
              <w:rPr>
                <w:rFonts w:ascii="Arial" w:hAnsi="Arial" w:cs="Arial"/>
                <w:sz w:val="24"/>
                <w:szCs w:val="24"/>
              </w:rPr>
              <w:t>-Two meta-analyses have confirmed the benefit of abiraterone in patients with metastatic disease.</w:t>
            </w:r>
            <w:r w:rsidRPr="00FA3F9C">
              <w:rPr>
                <w:rFonts w:ascii="Arial" w:hAnsi="Arial" w:cs="Arial"/>
                <w:sz w:val="24"/>
                <w:szCs w:val="24"/>
                <w:vertAlign w:val="superscript"/>
              </w:rPr>
              <w:t>6,7</w:t>
            </w:r>
          </w:p>
          <w:p w14:paraId="6774F74D" w14:textId="77777777" w:rsidR="001506C1" w:rsidRPr="00FA3F9C" w:rsidRDefault="001506C1" w:rsidP="00CB24BC">
            <w:pPr>
              <w:rPr>
                <w:rFonts w:ascii="Arial" w:hAnsi="Arial" w:cs="Arial"/>
                <w:sz w:val="24"/>
                <w:szCs w:val="24"/>
              </w:rPr>
            </w:pPr>
          </w:p>
          <w:p w14:paraId="0D403A17" w14:textId="77777777" w:rsidR="001506C1" w:rsidRPr="00FA3F9C" w:rsidRDefault="001506C1" w:rsidP="00CB24BC">
            <w:pPr>
              <w:rPr>
                <w:rFonts w:ascii="Arial" w:hAnsi="Arial" w:cs="Arial"/>
                <w:sz w:val="24"/>
                <w:szCs w:val="24"/>
              </w:rPr>
            </w:pPr>
            <w:r w:rsidRPr="00FA3F9C">
              <w:rPr>
                <w:rFonts w:ascii="Arial" w:hAnsi="Arial" w:cs="Arial"/>
                <w:sz w:val="24"/>
                <w:szCs w:val="24"/>
              </w:rPr>
              <w:t xml:space="preserve">Zytiga dose:  1000mg (#4 of the 250 mg tablets) daily on an empty stomach. Concomitant prednisone is required to prevent mineralocorticoid excess and adrenal insufficiency. </w:t>
            </w:r>
          </w:p>
          <w:p w14:paraId="74013428" w14:textId="77777777" w:rsidR="001506C1" w:rsidRPr="00FA3F9C" w:rsidRDefault="001506C1" w:rsidP="00B74843">
            <w:pPr>
              <w:rPr>
                <w:rFonts w:ascii="Arial" w:hAnsi="Arial" w:cs="Arial"/>
                <w:sz w:val="24"/>
                <w:szCs w:val="24"/>
                <w:vertAlign w:val="superscript"/>
              </w:rPr>
            </w:pPr>
          </w:p>
          <w:p w14:paraId="6D3ADE63" w14:textId="77777777" w:rsidR="001506C1" w:rsidRPr="00FA3F9C" w:rsidRDefault="001506C1" w:rsidP="00B74843">
            <w:pPr>
              <w:rPr>
                <w:rFonts w:ascii="Arial" w:hAnsi="Arial" w:cs="Arial"/>
                <w:sz w:val="24"/>
                <w:szCs w:val="24"/>
                <w:vertAlign w:val="superscript"/>
              </w:rPr>
            </w:pPr>
            <w:r w:rsidRPr="00FA3F9C">
              <w:rPr>
                <w:rFonts w:ascii="Arial" w:hAnsi="Arial" w:cs="Arial"/>
                <w:sz w:val="24"/>
                <w:szCs w:val="24"/>
                <w:vertAlign w:val="superscript"/>
              </w:rPr>
              <w:t>References:</w:t>
            </w:r>
          </w:p>
          <w:p w14:paraId="06725F8C" w14:textId="77777777" w:rsidR="001506C1" w:rsidRPr="00FA3F9C" w:rsidRDefault="001506C1" w:rsidP="001506C1">
            <w:pPr>
              <w:pStyle w:val="ListParagraph"/>
              <w:numPr>
                <w:ilvl w:val="0"/>
                <w:numId w:val="3"/>
              </w:numPr>
              <w:spacing w:after="0" w:line="240" w:lineRule="auto"/>
              <w:ind w:left="171" w:hanging="180"/>
              <w:rPr>
                <w:rFonts w:ascii="Arial" w:eastAsia="Times New Roman" w:hAnsi="Arial" w:cs="Arial"/>
                <w:sz w:val="24"/>
                <w:szCs w:val="24"/>
              </w:rPr>
            </w:pPr>
            <w:proofErr w:type="gramStart"/>
            <w:r w:rsidRPr="00FA3F9C">
              <w:rPr>
                <w:rFonts w:ascii="Arial" w:eastAsia="Times New Roman" w:hAnsi="Arial" w:cs="Arial"/>
                <w:sz w:val="24"/>
                <w:szCs w:val="24"/>
                <w:lang w:val="fr-FR"/>
              </w:rPr>
              <w:lastRenderedPageBreak/>
              <w:t>de</w:t>
            </w:r>
            <w:proofErr w:type="gramEnd"/>
            <w:r w:rsidRPr="00FA3F9C">
              <w:rPr>
                <w:rFonts w:ascii="Arial" w:eastAsia="Times New Roman" w:hAnsi="Arial" w:cs="Arial"/>
                <w:sz w:val="24"/>
                <w:szCs w:val="24"/>
                <w:lang w:val="fr-FR"/>
              </w:rPr>
              <w:t xml:space="preserve"> Bono JS et al. </w:t>
            </w:r>
            <w:r w:rsidRPr="00FA3F9C">
              <w:rPr>
                <w:rFonts w:ascii="Arial" w:eastAsia="Times New Roman" w:hAnsi="Arial" w:cs="Arial"/>
                <w:sz w:val="24"/>
                <w:szCs w:val="24"/>
              </w:rPr>
              <w:t xml:space="preserve">Abiraterone and increased survival in metastatic prostate cancer. N </w:t>
            </w:r>
            <w:proofErr w:type="spellStart"/>
            <w:r w:rsidRPr="00FA3F9C">
              <w:rPr>
                <w:rFonts w:ascii="Arial" w:eastAsia="Times New Roman" w:hAnsi="Arial" w:cs="Arial"/>
                <w:sz w:val="24"/>
                <w:szCs w:val="24"/>
              </w:rPr>
              <w:t>Engl</w:t>
            </w:r>
            <w:proofErr w:type="spellEnd"/>
            <w:r w:rsidRPr="00FA3F9C">
              <w:rPr>
                <w:rFonts w:ascii="Arial" w:eastAsia="Times New Roman" w:hAnsi="Arial" w:cs="Arial"/>
                <w:sz w:val="24"/>
                <w:szCs w:val="24"/>
              </w:rPr>
              <w:t xml:space="preserve"> J Med. 2011 May 26;364(21):1995-2005. PMID21612468 NCT00638690</w:t>
            </w:r>
          </w:p>
          <w:p w14:paraId="6CC840C5" w14:textId="77777777" w:rsidR="001506C1" w:rsidRPr="00FA3F9C" w:rsidRDefault="001506C1" w:rsidP="001506C1">
            <w:pPr>
              <w:pStyle w:val="ListParagraph"/>
              <w:numPr>
                <w:ilvl w:val="0"/>
                <w:numId w:val="3"/>
              </w:numPr>
              <w:spacing w:after="0" w:line="240" w:lineRule="auto"/>
              <w:ind w:left="171" w:hanging="180"/>
              <w:rPr>
                <w:rFonts w:ascii="Arial" w:eastAsia="Times New Roman" w:hAnsi="Arial" w:cs="Arial"/>
                <w:sz w:val="24"/>
                <w:szCs w:val="24"/>
              </w:rPr>
            </w:pPr>
            <w:r w:rsidRPr="00FA3F9C">
              <w:rPr>
                <w:rFonts w:ascii="Arial" w:eastAsia="Times New Roman" w:hAnsi="Arial" w:cs="Arial"/>
                <w:sz w:val="24"/>
                <w:szCs w:val="24"/>
              </w:rPr>
              <w:t xml:space="preserve">Ryan CJ et al. Abiraterone acetate plus prednisone versus placebo plus prednisone in chemotherapy-naive men with metastatic castration-resistant prostate cancer (COU-AA-302): final overall survival analysis of a </w:t>
            </w:r>
            <w:proofErr w:type="spellStart"/>
            <w:r w:rsidRPr="00FA3F9C">
              <w:rPr>
                <w:rFonts w:ascii="Arial" w:eastAsia="Times New Roman" w:hAnsi="Arial" w:cs="Arial"/>
                <w:sz w:val="24"/>
                <w:szCs w:val="24"/>
              </w:rPr>
              <w:t>randomised</w:t>
            </w:r>
            <w:proofErr w:type="spellEnd"/>
            <w:r w:rsidRPr="00FA3F9C">
              <w:rPr>
                <w:rFonts w:ascii="Arial" w:eastAsia="Times New Roman" w:hAnsi="Arial" w:cs="Arial"/>
                <w:sz w:val="24"/>
                <w:szCs w:val="24"/>
              </w:rPr>
              <w:t>, double-blind, placebo-controlled phase 3 study. Lancet Oncol. 2015 Feb;16(2):152-60. PMID 25601341 NCT00887198</w:t>
            </w:r>
          </w:p>
          <w:p w14:paraId="5969A746" w14:textId="77777777" w:rsidR="001506C1" w:rsidRPr="00FA3F9C" w:rsidRDefault="001506C1" w:rsidP="001506C1">
            <w:pPr>
              <w:pStyle w:val="ListParagraph"/>
              <w:numPr>
                <w:ilvl w:val="0"/>
                <w:numId w:val="3"/>
              </w:numPr>
              <w:spacing w:after="0" w:line="240" w:lineRule="auto"/>
              <w:ind w:left="171" w:hanging="180"/>
              <w:rPr>
                <w:rFonts w:ascii="Arial" w:eastAsia="Times New Roman" w:hAnsi="Arial" w:cs="Arial"/>
                <w:sz w:val="24"/>
                <w:szCs w:val="24"/>
              </w:rPr>
            </w:pPr>
            <w:proofErr w:type="spellStart"/>
            <w:r w:rsidRPr="00FA3F9C">
              <w:rPr>
                <w:rFonts w:ascii="Arial" w:hAnsi="Arial" w:cs="Arial"/>
                <w:sz w:val="24"/>
                <w:szCs w:val="24"/>
              </w:rPr>
              <w:t>Fizazi</w:t>
            </w:r>
            <w:proofErr w:type="spellEnd"/>
            <w:r w:rsidRPr="00FA3F9C">
              <w:rPr>
                <w:rFonts w:ascii="Arial" w:hAnsi="Arial" w:cs="Arial"/>
                <w:sz w:val="24"/>
                <w:szCs w:val="24"/>
              </w:rPr>
              <w:t xml:space="preserve"> K et al. Abiraterone plus prednisone in metastatic, castration-sensitive prostate cancer. N </w:t>
            </w:r>
            <w:proofErr w:type="spellStart"/>
            <w:r w:rsidRPr="00FA3F9C">
              <w:rPr>
                <w:rFonts w:ascii="Arial" w:hAnsi="Arial" w:cs="Arial"/>
                <w:sz w:val="24"/>
                <w:szCs w:val="24"/>
              </w:rPr>
              <w:t>Engl</w:t>
            </w:r>
            <w:proofErr w:type="spellEnd"/>
            <w:r w:rsidRPr="00FA3F9C">
              <w:rPr>
                <w:rFonts w:ascii="Arial" w:hAnsi="Arial" w:cs="Arial"/>
                <w:sz w:val="24"/>
                <w:szCs w:val="24"/>
              </w:rPr>
              <w:t xml:space="preserve"> J Med. 2017 Jul 27;377(4):352-360. PMID 28578607</w:t>
            </w:r>
          </w:p>
          <w:p w14:paraId="4542FCE0" w14:textId="77777777" w:rsidR="001506C1" w:rsidRPr="00FA3F9C" w:rsidRDefault="001506C1" w:rsidP="001506C1">
            <w:pPr>
              <w:pStyle w:val="ListParagraph"/>
              <w:numPr>
                <w:ilvl w:val="0"/>
                <w:numId w:val="3"/>
              </w:numPr>
              <w:spacing w:after="0" w:line="240" w:lineRule="auto"/>
              <w:ind w:left="171" w:hanging="180"/>
              <w:rPr>
                <w:rFonts w:ascii="Arial" w:eastAsia="Times New Roman" w:hAnsi="Arial" w:cs="Arial"/>
                <w:sz w:val="24"/>
                <w:szCs w:val="24"/>
              </w:rPr>
            </w:pPr>
            <w:proofErr w:type="spellStart"/>
            <w:r w:rsidRPr="00FA3F9C">
              <w:rPr>
                <w:rFonts w:ascii="Arial" w:hAnsi="Arial" w:cs="Arial"/>
                <w:sz w:val="24"/>
                <w:szCs w:val="24"/>
              </w:rPr>
              <w:t>Fizizi</w:t>
            </w:r>
            <w:proofErr w:type="spellEnd"/>
            <w:r w:rsidRPr="00FA3F9C">
              <w:rPr>
                <w:rFonts w:ascii="Arial" w:hAnsi="Arial" w:cs="Arial"/>
                <w:sz w:val="24"/>
                <w:szCs w:val="24"/>
              </w:rPr>
              <w:t xml:space="preserve"> K et al. Abiraterone acetate plus prednisone in patients with newly diagnosed high-risk metastatic castration-sensitive prostate cancer (LATITUDE): final overall survival analysis of a </w:t>
            </w:r>
            <w:proofErr w:type="spellStart"/>
            <w:r w:rsidRPr="00FA3F9C">
              <w:rPr>
                <w:rFonts w:ascii="Arial" w:hAnsi="Arial" w:cs="Arial"/>
                <w:sz w:val="24"/>
                <w:szCs w:val="24"/>
              </w:rPr>
              <w:t>randomised</w:t>
            </w:r>
            <w:proofErr w:type="spellEnd"/>
            <w:r w:rsidRPr="00FA3F9C">
              <w:rPr>
                <w:rFonts w:ascii="Arial" w:hAnsi="Arial" w:cs="Arial"/>
                <w:sz w:val="24"/>
                <w:szCs w:val="24"/>
              </w:rPr>
              <w:t>, double-blind, phase 3 trial.  Lancet Oncol. 2019 Apr 12. PMID 30987939</w:t>
            </w:r>
          </w:p>
          <w:p w14:paraId="35EBEC0D" w14:textId="77777777" w:rsidR="001506C1" w:rsidRPr="00FA3F9C" w:rsidRDefault="001506C1" w:rsidP="001506C1">
            <w:pPr>
              <w:pStyle w:val="ListParagraph"/>
              <w:numPr>
                <w:ilvl w:val="0"/>
                <w:numId w:val="3"/>
              </w:numPr>
              <w:spacing w:after="0" w:line="240" w:lineRule="auto"/>
              <w:ind w:left="171" w:hanging="180"/>
              <w:rPr>
                <w:rFonts w:ascii="Arial" w:eastAsia="Times New Roman" w:hAnsi="Arial" w:cs="Arial"/>
                <w:sz w:val="24"/>
                <w:szCs w:val="24"/>
              </w:rPr>
            </w:pPr>
            <w:r w:rsidRPr="00FA3F9C">
              <w:rPr>
                <w:rFonts w:ascii="Arial" w:eastAsia="Times New Roman" w:hAnsi="Arial" w:cs="Arial"/>
                <w:sz w:val="24"/>
                <w:szCs w:val="24"/>
              </w:rPr>
              <w:t xml:space="preserve">James ND et al. Abiraterone for Prostate Cancer Not Previously Treated with Hormone Therapy. N </w:t>
            </w:r>
            <w:proofErr w:type="spellStart"/>
            <w:r w:rsidRPr="00FA3F9C">
              <w:rPr>
                <w:rFonts w:ascii="Arial" w:eastAsia="Times New Roman" w:hAnsi="Arial" w:cs="Arial"/>
                <w:sz w:val="24"/>
                <w:szCs w:val="24"/>
              </w:rPr>
              <w:t>Engl</w:t>
            </w:r>
            <w:proofErr w:type="spellEnd"/>
            <w:r w:rsidRPr="00FA3F9C">
              <w:rPr>
                <w:rFonts w:ascii="Arial" w:eastAsia="Times New Roman" w:hAnsi="Arial" w:cs="Arial"/>
                <w:sz w:val="24"/>
                <w:szCs w:val="24"/>
              </w:rPr>
              <w:t xml:space="preserve"> J Med. 2017 Jul 27;377(4):338-351. PMID 28578639 NCT00268479</w:t>
            </w:r>
          </w:p>
          <w:p w14:paraId="36CB7DEC" w14:textId="77777777" w:rsidR="001506C1" w:rsidRPr="00FA3F9C" w:rsidRDefault="001506C1" w:rsidP="001506C1">
            <w:pPr>
              <w:pStyle w:val="ListParagraph"/>
              <w:numPr>
                <w:ilvl w:val="0"/>
                <w:numId w:val="3"/>
              </w:numPr>
              <w:spacing w:after="0" w:line="240" w:lineRule="auto"/>
              <w:ind w:left="171" w:hanging="180"/>
              <w:rPr>
                <w:rFonts w:ascii="Arial" w:eastAsia="Times New Roman" w:hAnsi="Arial" w:cs="Arial"/>
                <w:sz w:val="24"/>
                <w:szCs w:val="24"/>
              </w:rPr>
            </w:pPr>
            <w:proofErr w:type="spellStart"/>
            <w:r w:rsidRPr="00FA3F9C">
              <w:rPr>
                <w:rFonts w:ascii="Arial" w:eastAsia="Times New Roman" w:hAnsi="Arial" w:cs="Arial"/>
                <w:sz w:val="24"/>
                <w:szCs w:val="24"/>
              </w:rPr>
              <w:t>Rydzewska</w:t>
            </w:r>
            <w:proofErr w:type="spellEnd"/>
            <w:r w:rsidRPr="00FA3F9C">
              <w:rPr>
                <w:rFonts w:ascii="Arial" w:eastAsia="Times New Roman" w:hAnsi="Arial" w:cs="Arial"/>
                <w:sz w:val="24"/>
                <w:szCs w:val="24"/>
              </w:rPr>
              <w:t xml:space="preserve"> LHM et al. Adding abiraterone to androgen deprivation therapy in men with metastatic hormone-sensitive prostate cancer: A systematic review and meta-analysis. </w:t>
            </w:r>
            <w:proofErr w:type="spellStart"/>
            <w:r w:rsidRPr="00FA3F9C">
              <w:rPr>
                <w:rFonts w:ascii="Arial" w:eastAsia="Times New Roman" w:hAnsi="Arial" w:cs="Arial"/>
                <w:sz w:val="24"/>
                <w:szCs w:val="24"/>
              </w:rPr>
              <w:t>Eur</w:t>
            </w:r>
            <w:proofErr w:type="spellEnd"/>
            <w:r w:rsidRPr="00FA3F9C">
              <w:rPr>
                <w:rFonts w:ascii="Arial" w:eastAsia="Times New Roman" w:hAnsi="Arial" w:cs="Arial"/>
                <w:sz w:val="24"/>
                <w:szCs w:val="24"/>
              </w:rPr>
              <w:t xml:space="preserve"> J Cancer. 2017 Oct;84:88-101. PMID 28800492</w:t>
            </w:r>
          </w:p>
          <w:p w14:paraId="37AAA059" w14:textId="77777777" w:rsidR="001506C1" w:rsidRPr="00FA3F9C" w:rsidRDefault="001506C1" w:rsidP="001506C1">
            <w:pPr>
              <w:pStyle w:val="ListParagraph"/>
              <w:numPr>
                <w:ilvl w:val="0"/>
                <w:numId w:val="3"/>
              </w:numPr>
              <w:spacing w:after="0" w:line="240" w:lineRule="auto"/>
              <w:ind w:left="171" w:hanging="180"/>
              <w:rPr>
                <w:rFonts w:ascii="Arial" w:eastAsia="Times New Roman" w:hAnsi="Arial" w:cs="Arial"/>
                <w:sz w:val="24"/>
                <w:szCs w:val="24"/>
              </w:rPr>
            </w:pPr>
            <w:r w:rsidRPr="00FA3F9C">
              <w:rPr>
                <w:rFonts w:ascii="Arial" w:eastAsia="Times New Roman" w:hAnsi="Arial" w:cs="Arial"/>
                <w:sz w:val="24"/>
                <w:szCs w:val="24"/>
              </w:rPr>
              <w:t>Tan PS et al. Addition of abiraterone, docetaxel, bisphosphonate, celecoxib or combinations to androgen-deprivation therapy (ADT) for metastatic hormone-sensitive prostate cancer (</w:t>
            </w:r>
            <w:proofErr w:type="spellStart"/>
            <w:r w:rsidRPr="00FA3F9C">
              <w:rPr>
                <w:rFonts w:ascii="Arial" w:eastAsia="Times New Roman" w:hAnsi="Arial" w:cs="Arial"/>
                <w:sz w:val="24"/>
                <w:szCs w:val="24"/>
              </w:rPr>
              <w:t>mHSPC</w:t>
            </w:r>
            <w:proofErr w:type="spellEnd"/>
            <w:r w:rsidRPr="00FA3F9C">
              <w:rPr>
                <w:rFonts w:ascii="Arial" w:eastAsia="Times New Roman" w:hAnsi="Arial" w:cs="Arial"/>
                <w:sz w:val="24"/>
                <w:szCs w:val="24"/>
              </w:rPr>
              <w:t>): a network meta-analysis. Prostate Cancer Prostatic Dis. 2018 Nov;21(4):516-523. PMID 29875432</w:t>
            </w:r>
          </w:p>
        </w:tc>
      </w:tr>
    </w:tbl>
    <w:p w14:paraId="6532E99E" w14:textId="77777777" w:rsidR="001506C1" w:rsidRPr="00FA3F9C" w:rsidRDefault="001506C1" w:rsidP="00D31657">
      <w:pPr>
        <w:autoSpaceDE w:val="0"/>
        <w:autoSpaceDN w:val="0"/>
        <w:adjustRightInd w:val="0"/>
        <w:ind w:left="1440"/>
        <w:rPr>
          <w:rFonts w:ascii="Arial" w:eastAsia="OTNEJMScalaSansLF" w:hAnsi="Arial" w:cs="Arial"/>
          <w:b/>
          <w:sz w:val="24"/>
          <w:szCs w:val="24"/>
        </w:rPr>
      </w:pPr>
    </w:p>
    <w:p w14:paraId="6D3945DC" w14:textId="77777777" w:rsidR="001506C1" w:rsidRPr="00FA3F9C" w:rsidRDefault="001506C1" w:rsidP="00032209">
      <w:pPr>
        <w:autoSpaceDE w:val="0"/>
        <w:autoSpaceDN w:val="0"/>
        <w:adjustRightInd w:val="0"/>
        <w:rPr>
          <w:rFonts w:ascii="Arial" w:hAnsi="Arial" w:cs="Arial"/>
          <w:b/>
          <w:sz w:val="24"/>
          <w:szCs w:val="24"/>
        </w:rPr>
      </w:pPr>
    </w:p>
    <w:p w14:paraId="493A059A" w14:textId="77777777" w:rsidR="001506C1" w:rsidRPr="00FA3F9C" w:rsidRDefault="001506C1" w:rsidP="00397BCF">
      <w:pPr>
        <w:autoSpaceDE w:val="0"/>
        <w:autoSpaceDN w:val="0"/>
        <w:adjustRightInd w:val="0"/>
        <w:rPr>
          <w:rFonts w:ascii="Arial" w:hAnsi="Arial" w:cs="Arial"/>
          <w:sz w:val="24"/>
          <w:szCs w:val="24"/>
        </w:rPr>
      </w:pPr>
    </w:p>
    <w:p w14:paraId="51F5C860" w14:textId="77777777" w:rsidR="001506C1" w:rsidRPr="00FA3F9C" w:rsidRDefault="001506C1" w:rsidP="00397BCF">
      <w:pPr>
        <w:autoSpaceDE w:val="0"/>
        <w:autoSpaceDN w:val="0"/>
        <w:adjustRightInd w:val="0"/>
        <w:rPr>
          <w:rFonts w:ascii="Arial" w:hAnsi="Arial" w:cs="Arial"/>
          <w:b/>
          <w:sz w:val="24"/>
          <w:szCs w:val="24"/>
        </w:rPr>
      </w:pPr>
    </w:p>
    <w:p w14:paraId="5D14E623" w14:textId="77777777" w:rsidR="001506C1" w:rsidRPr="00FA3F9C" w:rsidRDefault="001506C1" w:rsidP="00E3421A">
      <w:pPr>
        <w:autoSpaceDE w:val="0"/>
        <w:autoSpaceDN w:val="0"/>
        <w:adjustRightInd w:val="0"/>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0672"/>
        <w:gridCol w:w="1580"/>
      </w:tblGrid>
      <w:tr w:rsidR="001506C1" w:rsidRPr="00FA3F9C" w14:paraId="1EB8A51D" w14:textId="77777777" w:rsidTr="005F63D7">
        <w:tc>
          <w:tcPr>
            <w:tcW w:w="0" w:type="auto"/>
            <w:shd w:val="clear" w:color="auto" w:fill="auto"/>
          </w:tcPr>
          <w:p w14:paraId="05CDAFB3" w14:textId="77777777" w:rsidR="001506C1" w:rsidRPr="00FA3F9C" w:rsidRDefault="001506C1" w:rsidP="00013EE7">
            <w:pPr>
              <w:autoSpaceDE w:val="0"/>
              <w:autoSpaceDN w:val="0"/>
              <w:adjustRightInd w:val="0"/>
              <w:rPr>
                <w:rFonts w:ascii="Arial" w:hAnsi="Arial" w:cs="Arial"/>
                <w:sz w:val="24"/>
                <w:szCs w:val="24"/>
              </w:rPr>
            </w:pPr>
            <w:r w:rsidRPr="00FA3F9C">
              <w:rPr>
                <w:rFonts w:ascii="Arial" w:hAnsi="Arial" w:cs="Arial"/>
                <w:sz w:val="24"/>
                <w:szCs w:val="24"/>
              </w:rPr>
              <w:lastRenderedPageBreak/>
              <w:t>Date</w:t>
            </w:r>
          </w:p>
        </w:tc>
        <w:tc>
          <w:tcPr>
            <w:tcW w:w="0" w:type="auto"/>
            <w:shd w:val="clear" w:color="auto" w:fill="auto"/>
          </w:tcPr>
          <w:p w14:paraId="3EDA177B" w14:textId="77777777" w:rsidR="001506C1" w:rsidRPr="00FA3F9C" w:rsidRDefault="001506C1" w:rsidP="00013EE7">
            <w:pPr>
              <w:autoSpaceDE w:val="0"/>
              <w:autoSpaceDN w:val="0"/>
              <w:adjustRightInd w:val="0"/>
              <w:rPr>
                <w:rFonts w:ascii="Arial" w:hAnsi="Arial" w:cs="Arial"/>
                <w:sz w:val="24"/>
                <w:szCs w:val="24"/>
              </w:rPr>
            </w:pPr>
            <w:r w:rsidRPr="00FA3F9C">
              <w:rPr>
                <w:rFonts w:ascii="Arial" w:hAnsi="Arial" w:cs="Arial"/>
                <w:sz w:val="24"/>
                <w:szCs w:val="24"/>
              </w:rPr>
              <w:t>What was done?</w:t>
            </w:r>
          </w:p>
        </w:tc>
        <w:tc>
          <w:tcPr>
            <w:tcW w:w="0" w:type="auto"/>
            <w:shd w:val="clear" w:color="auto" w:fill="auto"/>
          </w:tcPr>
          <w:p w14:paraId="4FC39F07" w14:textId="77777777" w:rsidR="001506C1" w:rsidRPr="00FA3F9C" w:rsidRDefault="001506C1" w:rsidP="00013EE7">
            <w:pPr>
              <w:autoSpaceDE w:val="0"/>
              <w:autoSpaceDN w:val="0"/>
              <w:adjustRightInd w:val="0"/>
              <w:rPr>
                <w:rFonts w:ascii="Arial" w:hAnsi="Arial" w:cs="Arial"/>
                <w:sz w:val="24"/>
                <w:szCs w:val="24"/>
              </w:rPr>
            </w:pPr>
            <w:r w:rsidRPr="00FA3F9C">
              <w:rPr>
                <w:rFonts w:ascii="Arial" w:hAnsi="Arial" w:cs="Arial"/>
                <w:sz w:val="24"/>
                <w:szCs w:val="24"/>
              </w:rPr>
              <w:t>Pharmacist Initials</w:t>
            </w:r>
          </w:p>
        </w:tc>
      </w:tr>
      <w:tr w:rsidR="001506C1" w:rsidRPr="00FA3F9C" w14:paraId="14AD11AD" w14:textId="77777777" w:rsidTr="005F63D7">
        <w:tc>
          <w:tcPr>
            <w:tcW w:w="0" w:type="auto"/>
            <w:shd w:val="clear" w:color="auto" w:fill="auto"/>
          </w:tcPr>
          <w:p w14:paraId="2CA30DA5" w14:textId="77777777" w:rsidR="001506C1" w:rsidRPr="00FA3F9C" w:rsidRDefault="001506C1" w:rsidP="00013EE7">
            <w:pPr>
              <w:autoSpaceDE w:val="0"/>
              <w:autoSpaceDN w:val="0"/>
              <w:adjustRightInd w:val="0"/>
              <w:rPr>
                <w:rFonts w:ascii="Arial" w:hAnsi="Arial" w:cs="Arial"/>
                <w:sz w:val="24"/>
                <w:szCs w:val="24"/>
              </w:rPr>
            </w:pPr>
            <w:r w:rsidRPr="00FA3F9C">
              <w:rPr>
                <w:rFonts w:ascii="Arial" w:hAnsi="Arial" w:cs="Arial"/>
                <w:sz w:val="24"/>
                <w:szCs w:val="24"/>
              </w:rPr>
              <w:t>5/26/11</w:t>
            </w:r>
          </w:p>
        </w:tc>
        <w:tc>
          <w:tcPr>
            <w:tcW w:w="0" w:type="auto"/>
            <w:shd w:val="clear" w:color="auto" w:fill="auto"/>
          </w:tcPr>
          <w:p w14:paraId="064F510E" w14:textId="77777777" w:rsidR="001506C1" w:rsidRPr="00FA3F9C" w:rsidRDefault="001506C1" w:rsidP="00013EE7">
            <w:pPr>
              <w:autoSpaceDE w:val="0"/>
              <w:autoSpaceDN w:val="0"/>
              <w:adjustRightInd w:val="0"/>
              <w:rPr>
                <w:rFonts w:ascii="Arial" w:hAnsi="Arial" w:cs="Arial"/>
                <w:sz w:val="24"/>
                <w:szCs w:val="24"/>
              </w:rPr>
            </w:pPr>
            <w:r w:rsidRPr="00FA3F9C">
              <w:rPr>
                <w:rFonts w:ascii="Arial" w:hAnsi="Arial" w:cs="Arial"/>
                <w:sz w:val="24"/>
                <w:szCs w:val="24"/>
              </w:rPr>
              <w:t>Criteria were written</w:t>
            </w:r>
          </w:p>
        </w:tc>
        <w:tc>
          <w:tcPr>
            <w:tcW w:w="0" w:type="auto"/>
            <w:shd w:val="clear" w:color="auto" w:fill="auto"/>
          </w:tcPr>
          <w:p w14:paraId="2BE53EF5" w14:textId="051C667E" w:rsidR="001506C1" w:rsidRPr="00FA3F9C" w:rsidRDefault="005C142D" w:rsidP="00013EE7">
            <w:pPr>
              <w:autoSpaceDE w:val="0"/>
              <w:autoSpaceDN w:val="0"/>
              <w:adjustRightInd w:val="0"/>
              <w:rPr>
                <w:rFonts w:ascii="Arial" w:hAnsi="Arial" w:cs="Arial"/>
                <w:sz w:val="24"/>
                <w:szCs w:val="24"/>
              </w:rPr>
            </w:pPr>
            <w:r w:rsidRPr="00FA3F9C">
              <w:rPr>
                <w:rFonts w:ascii="Arial" w:hAnsi="Arial" w:cs="Arial"/>
                <w:sz w:val="24"/>
                <w:szCs w:val="24"/>
              </w:rPr>
              <w:t>JJ</w:t>
            </w:r>
          </w:p>
        </w:tc>
      </w:tr>
      <w:tr w:rsidR="001506C1" w:rsidRPr="00FA3F9C" w14:paraId="637AD094" w14:textId="77777777" w:rsidTr="005F63D7">
        <w:tc>
          <w:tcPr>
            <w:tcW w:w="0" w:type="auto"/>
            <w:shd w:val="clear" w:color="auto" w:fill="auto"/>
          </w:tcPr>
          <w:p w14:paraId="4E8BD710" w14:textId="77777777" w:rsidR="001506C1" w:rsidRPr="00FA3F9C" w:rsidRDefault="001506C1" w:rsidP="00013EE7">
            <w:pPr>
              <w:autoSpaceDE w:val="0"/>
              <w:autoSpaceDN w:val="0"/>
              <w:adjustRightInd w:val="0"/>
              <w:rPr>
                <w:rFonts w:ascii="Arial" w:hAnsi="Arial" w:cs="Arial"/>
                <w:sz w:val="24"/>
                <w:szCs w:val="24"/>
              </w:rPr>
            </w:pPr>
            <w:r w:rsidRPr="00FA3F9C">
              <w:rPr>
                <w:rFonts w:ascii="Arial" w:hAnsi="Arial" w:cs="Arial"/>
                <w:sz w:val="24"/>
                <w:szCs w:val="24"/>
              </w:rPr>
              <w:t>5/1414</w:t>
            </w:r>
          </w:p>
        </w:tc>
        <w:tc>
          <w:tcPr>
            <w:tcW w:w="0" w:type="auto"/>
            <w:shd w:val="clear" w:color="auto" w:fill="auto"/>
          </w:tcPr>
          <w:p w14:paraId="65C66A03" w14:textId="77777777" w:rsidR="001506C1" w:rsidRPr="00FA3F9C" w:rsidRDefault="001506C1" w:rsidP="00013EE7">
            <w:pPr>
              <w:autoSpaceDE w:val="0"/>
              <w:autoSpaceDN w:val="0"/>
              <w:adjustRightInd w:val="0"/>
              <w:rPr>
                <w:rFonts w:ascii="Arial" w:hAnsi="Arial" w:cs="Arial"/>
                <w:sz w:val="24"/>
                <w:szCs w:val="24"/>
              </w:rPr>
            </w:pPr>
            <w:r w:rsidRPr="00FA3F9C">
              <w:rPr>
                <w:rFonts w:ascii="Arial" w:hAnsi="Arial" w:cs="Arial"/>
                <w:sz w:val="24"/>
                <w:szCs w:val="24"/>
              </w:rPr>
              <w:t>Diagnosis was changed to require “castration-resistant”; contraindication to docetaxel is an acceptable way to answer number 2, and ECOG performance status was added.  No 3 or 4 should gain access as it has not been studied.</w:t>
            </w:r>
          </w:p>
        </w:tc>
        <w:tc>
          <w:tcPr>
            <w:tcW w:w="0" w:type="auto"/>
            <w:shd w:val="clear" w:color="auto" w:fill="auto"/>
          </w:tcPr>
          <w:p w14:paraId="07DDCFD5" w14:textId="77777777" w:rsidR="001506C1" w:rsidRPr="00FA3F9C" w:rsidRDefault="001506C1" w:rsidP="00013EE7">
            <w:pPr>
              <w:autoSpaceDE w:val="0"/>
              <w:autoSpaceDN w:val="0"/>
              <w:adjustRightInd w:val="0"/>
              <w:rPr>
                <w:rFonts w:ascii="Arial" w:hAnsi="Arial" w:cs="Arial"/>
                <w:sz w:val="24"/>
                <w:szCs w:val="24"/>
              </w:rPr>
            </w:pPr>
            <w:r w:rsidRPr="00FA3F9C">
              <w:rPr>
                <w:rFonts w:ascii="Arial" w:hAnsi="Arial" w:cs="Arial"/>
                <w:sz w:val="24"/>
                <w:szCs w:val="24"/>
              </w:rPr>
              <w:t>JJ</w:t>
            </w:r>
          </w:p>
        </w:tc>
      </w:tr>
      <w:tr w:rsidR="001506C1" w:rsidRPr="00FA3F9C" w14:paraId="023A7239" w14:textId="77777777" w:rsidTr="005F63D7">
        <w:tc>
          <w:tcPr>
            <w:tcW w:w="0" w:type="auto"/>
            <w:shd w:val="clear" w:color="auto" w:fill="auto"/>
          </w:tcPr>
          <w:p w14:paraId="79A0B26D" w14:textId="77777777" w:rsidR="001506C1" w:rsidRPr="00FA3F9C" w:rsidRDefault="001506C1" w:rsidP="00013EE7">
            <w:pPr>
              <w:autoSpaceDE w:val="0"/>
              <w:autoSpaceDN w:val="0"/>
              <w:adjustRightInd w:val="0"/>
              <w:rPr>
                <w:rFonts w:ascii="Arial" w:hAnsi="Arial" w:cs="Arial"/>
                <w:sz w:val="24"/>
                <w:szCs w:val="24"/>
              </w:rPr>
            </w:pPr>
            <w:r w:rsidRPr="00FA3F9C">
              <w:rPr>
                <w:rFonts w:ascii="Arial" w:hAnsi="Arial" w:cs="Arial"/>
                <w:sz w:val="24"/>
                <w:szCs w:val="24"/>
              </w:rPr>
              <w:t>7/7/17</w:t>
            </w:r>
          </w:p>
        </w:tc>
        <w:tc>
          <w:tcPr>
            <w:tcW w:w="0" w:type="auto"/>
            <w:shd w:val="clear" w:color="auto" w:fill="auto"/>
          </w:tcPr>
          <w:p w14:paraId="24E9F8AF" w14:textId="77777777" w:rsidR="001506C1" w:rsidRPr="00FA3F9C" w:rsidRDefault="001506C1" w:rsidP="005E28D4">
            <w:pPr>
              <w:autoSpaceDE w:val="0"/>
              <w:autoSpaceDN w:val="0"/>
              <w:adjustRightInd w:val="0"/>
              <w:rPr>
                <w:rFonts w:ascii="Arial" w:hAnsi="Arial" w:cs="Arial"/>
                <w:sz w:val="24"/>
                <w:szCs w:val="24"/>
              </w:rPr>
            </w:pPr>
            <w:r w:rsidRPr="00FA3F9C">
              <w:rPr>
                <w:rFonts w:ascii="Arial" w:hAnsi="Arial" w:cs="Arial"/>
                <w:sz w:val="24"/>
                <w:szCs w:val="24"/>
              </w:rPr>
              <w:t>I added reference 3. I also added the requirement for concomitant prednisone 5mg BID as was done in the trials.  We recognize abiraterone has been shown effective in 1</w:t>
            </w:r>
            <w:r w:rsidRPr="00FA3F9C">
              <w:rPr>
                <w:rFonts w:ascii="Arial" w:hAnsi="Arial" w:cs="Arial"/>
                <w:sz w:val="24"/>
                <w:szCs w:val="24"/>
                <w:vertAlign w:val="superscript"/>
              </w:rPr>
              <w:t>st</w:t>
            </w:r>
            <w:r w:rsidRPr="00FA3F9C">
              <w:rPr>
                <w:rFonts w:ascii="Arial" w:hAnsi="Arial" w:cs="Arial"/>
                <w:sz w:val="24"/>
                <w:szCs w:val="24"/>
              </w:rPr>
              <w:t xml:space="preserve"> line prostate CA use.  </w:t>
            </w:r>
            <w:proofErr w:type="gramStart"/>
            <w:r w:rsidRPr="00FA3F9C">
              <w:rPr>
                <w:rFonts w:ascii="Arial" w:hAnsi="Arial" w:cs="Arial"/>
                <w:sz w:val="24"/>
                <w:szCs w:val="24"/>
              </w:rPr>
              <w:t>However</w:t>
            </w:r>
            <w:proofErr w:type="gramEnd"/>
            <w:r w:rsidRPr="00FA3F9C">
              <w:rPr>
                <w:rFonts w:ascii="Arial" w:hAnsi="Arial" w:cs="Arial"/>
                <w:sz w:val="24"/>
                <w:szCs w:val="24"/>
              </w:rPr>
              <w:t xml:space="preserve"> abiraterone has not yet been compared to docetaxel (another NCCN-Category 1), the previous and current drug for 1</w:t>
            </w:r>
            <w:r w:rsidRPr="00FA3F9C">
              <w:rPr>
                <w:rFonts w:ascii="Arial" w:hAnsi="Arial" w:cs="Arial"/>
                <w:sz w:val="24"/>
                <w:szCs w:val="24"/>
                <w:vertAlign w:val="superscript"/>
              </w:rPr>
              <w:t>st</w:t>
            </w:r>
            <w:r w:rsidRPr="00FA3F9C">
              <w:rPr>
                <w:rFonts w:ascii="Arial" w:hAnsi="Arial" w:cs="Arial"/>
                <w:sz w:val="24"/>
                <w:szCs w:val="24"/>
              </w:rPr>
              <w:t xml:space="preserve"> line use.  </w:t>
            </w:r>
          </w:p>
        </w:tc>
        <w:tc>
          <w:tcPr>
            <w:tcW w:w="0" w:type="auto"/>
            <w:shd w:val="clear" w:color="auto" w:fill="auto"/>
          </w:tcPr>
          <w:p w14:paraId="3EF6196E" w14:textId="77777777" w:rsidR="001506C1" w:rsidRPr="00FA3F9C" w:rsidRDefault="001506C1" w:rsidP="00013EE7">
            <w:pPr>
              <w:autoSpaceDE w:val="0"/>
              <w:autoSpaceDN w:val="0"/>
              <w:adjustRightInd w:val="0"/>
              <w:rPr>
                <w:rFonts w:ascii="Arial" w:hAnsi="Arial" w:cs="Arial"/>
                <w:sz w:val="24"/>
                <w:szCs w:val="24"/>
              </w:rPr>
            </w:pPr>
            <w:r w:rsidRPr="00FA3F9C">
              <w:rPr>
                <w:rFonts w:ascii="Arial" w:hAnsi="Arial" w:cs="Arial"/>
                <w:sz w:val="24"/>
                <w:szCs w:val="24"/>
              </w:rPr>
              <w:t>JJ</w:t>
            </w:r>
          </w:p>
        </w:tc>
      </w:tr>
      <w:tr w:rsidR="001506C1" w:rsidRPr="00FA3F9C" w14:paraId="7EC3BCE3" w14:textId="77777777" w:rsidTr="005F63D7">
        <w:tc>
          <w:tcPr>
            <w:tcW w:w="0" w:type="auto"/>
            <w:shd w:val="clear" w:color="auto" w:fill="auto"/>
          </w:tcPr>
          <w:p w14:paraId="173C9F58" w14:textId="77777777" w:rsidR="001506C1" w:rsidRPr="00FA3F9C" w:rsidRDefault="001506C1" w:rsidP="00013EE7">
            <w:pPr>
              <w:autoSpaceDE w:val="0"/>
              <w:autoSpaceDN w:val="0"/>
              <w:adjustRightInd w:val="0"/>
              <w:rPr>
                <w:rFonts w:ascii="Arial" w:hAnsi="Arial" w:cs="Arial"/>
                <w:sz w:val="24"/>
                <w:szCs w:val="24"/>
              </w:rPr>
            </w:pPr>
            <w:r w:rsidRPr="00FA3F9C">
              <w:rPr>
                <w:rFonts w:ascii="Arial" w:hAnsi="Arial" w:cs="Arial"/>
                <w:sz w:val="24"/>
                <w:szCs w:val="24"/>
              </w:rPr>
              <w:t>7/10/17</w:t>
            </w:r>
          </w:p>
        </w:tc>
        <w:tc>
          <w:tcPr>
            <w:tcW w:w="0" w:type="auto"/>
            <w:shd w:val="clear" w:color="auto" w:fill="auto"/>
          </w:tcPr>
          <w:p w14:paraId="0BB9B403" w14:textId="77777777" w:rsidR="001506C1" w:rsidRPr="00FA3F9C" w:rsidRDefault="001506C1" w:rsidP="005E28D4">
            <w:pPr>
              <w:autoSpaceDE w:val="0"/>
              <w:autoSpaceDN w:val="0"/>
              <w:adjustRightInd w:val="0"/>
              <w:rPr>
                <w:rFonts w:ascii="Arial" w:hAnsi="Arial" w:cs="Arial"/>
                <w:sz w:val="24"/>
                <w:szCs w:val="24"/>
              </w:rPr>
            </w:pPr>
            <w:r w:rsidRPr="00FA3F9C">
              <w:rPr>
                <w:rFonts w:ascii="Arial" w:hAnsi="Arial" w:cs="Arial"/>
                <w:sz w:val="24"/>
                <w:szCs w:val="24"/>
              </w:rPr>
              <w:t>I added reference 4 regarding the need for prednisone.  Since some types of patients could be harmed by prednisone (or equivalent corticosteroid) and since the OS outcomes for prednisone and non-prednisone users were not affected, I removed the requirement for corticosteroids for patients seeking to use abiraterone for prostate CA.</w:t>
            </w:r>
          </w:p>
        </w:tc>
        <w:tc>
          <w:tcPr>
            <w:tcW w:w="0" w:type="auto"/>
            <w:shd w:val="clear" w:color="auto" w:fill="auto"/>
          </w:tcPr>
          <w:p w14:paraId="6E3B94AE" w14:textId="77777777" w:rsidR="001506C1" w:rsidRPr="00FA3F9C" w:rsidRDefault="001506C1" w:rsidP="00013EE7">
            <w:pPr>
              <w:autoSpaceDE w:val="0"/>
              <w:autoSpaceDN w:val="0"/>
              <w:adjustRightInd w:val="0"/>
              <w:rPr>
                <w:rFonts w:ascii="Arial" w:hAnsi="Arial" w:cs="Arial"/>
                <w:sz w:val="24"/>
                <w:szCs w:val="24"/>
              </w:rPr>
            </w:pPr>
            <w:r w:rsidRPr="00FA3F9C">
              <w:rPr>
                <w:rFonts w:ascii="Arial" w:hAnsi="Arial" w:cs="Arial"/>
                <w:sz w:val="24"/>
                <w:szCs w:val="24"/>
              </w:rPr>
              <w:t>JJ</w:t>
            </w:r>
          </w:p>
        </w:tc>
      </w:tr>
      <w:tr w:rsidR="001506C1" w:rsidRPr="00FA3F9C" w14:paraId="434BBBB5" w14:textId="77777777" w:rsidTr="005F63D7">
        <w:tc>
          <w:tcPr>
            <w:tcW w:w="0" w:type="auto"/>
            <w:shd w:val="clear" w:color="auto" w:fill="auto"/>
          </w:tcPr>
          <w:p w14:paraId="36323D09" w14:textId="77777777" w:rsidR="001506C1" w:rsidRPr="00FA3F9C" w:rsidRDefault="001506C1" w:rsidP="00013EE7">
            <w:pPr>
              <w:autoSpaceDE w:val="0"/>
              <w:autoSpaceDN w:val="0"/>
              <w:adjustRightInd w:val="0"/>
              <w:rPr>
                <w:rFonts w:ascii="Arial" w:hAnsi="Arial" w:cs="Arial"/>
                <w:sz w:val="24"/>
                <w:szCs w:val="24"/>
              </w:rPr>
            </w:pPr>
            <w:r w:rsidRPr="00FA3F9C">
              <w:rPr>
                <w:rFonts w:ascii="Arial" w:hAnsi="Arial" w:cs="Arial"/>
                <w:sz w:val="24"/>
                <w:szCs w:val="24"/>
              </w:rPr>
              <w:t>7/17/17</w:t>
            </w:r>
          </w:p>
        </w:tc>
        <w:tc>
          <w:tcPr>
            <w:tcW w:w="0" w:type="auto"/>
            <w:shd w:val="clear" w:color="auto" w:fill="auto"/>
          </w:tcPr>
          <w:p w14:paraId="405C63C0" w14:textId="77777777" w:rsidR="001506C1" w:rsidRPr="00FA3F9C" w:rsidRDefault="001506C1" w:rsidP="005E28D4">
            <w:pPr>
              <w:autoSpaceDE w:val="0"/>
              <w:autoSpaceDN w:val="0"/>
              <w:adjustRightInd w:val="0"/>
              <w:rPr>
                <w:rFonts w:ascii="Arial" w:hAnsi="Arial" w:cs="Arial"/>
                <w:sz w:val="24"/>
                <w:szCs w:val="24"/>
              </w:rPr>
            </w:pPr>
            <w:r w:rsidRPr="00FA3F9C">
              <w:rPr>
                <w:rFonts w:ascii="Arial" w:hAnsi="Arial" w:cs="Arial"/>
                <w:sz w:val="24"/>
                <w:szCs w:val="24"/>
              </w:rPr>
              <w:t>I added reference 5, which shows docetaxel provides an OS in 1</w:t>
            </w:r>
            <w:r w:rsidRPr="00FA3F9C">
              <w:rPr>
                <w:rFonts w:ascii="Arial" w:hAnsi="Arial" w:cs="Arial"/>
                <w:sz w:val="24"/>
                <w:szCs w:val="24"/>
                <w:vertAlign w:val="superscript"/>
              </w:rPr>
              <w:t>st</w:t>
            </w:r>
            <w:r w:rsidRPr="00FA3F9C">
              <w:rPr>
                <w:rFonts w:ascii="Arial" w:hAnsi="Arial" w:cs="Arial"/>
                <w:sz w:val="24"/>
                <w:szCs w:val="24"/>
              </w:rPr>
              <w:t xml:space="preserve"> line therapy after hormone therapy.  Abiraterone should be compared to docetaxel in 1</w:t>
            </w:r>
            <w:r w:rsidRPr="00FA3F9C">
              <w:rPr>
                <w:rFonts w:ascii="Arial" w:hAnsi="Arial" w:cs="Arial"/>
                <w:sz w:val="24"/>
                <w:szCs w:val="24"/>
                <w:vertAlign w:val="superscript"/>
              </w:rPr>
              <w:t>st</w:t>
            </w:r>
            <w:r w:rsidRPr="00FA3F9C">
              <w:rPr>
                <w:rFonts w:ascii="Arial" w:hAnsi="Arial" w:cs="Arial"/>
                <w:sz w:val="24"/>
                <w:szCs w:val="24"/>
              </w:rPr>
              <w:t xml:space="preserve"> line therapy after hormone therapy.</w:t>
            </w:r>
          </w:p>
        </w:tc>
        <w:tc>
          <w:tcPr>
            <w:tcW w:w="0" w:type="auto"/>
            <w:shd w:val="clear" w:color="auto" w:fill="auto"/>
          </w:tcPr>
          <w:p w14:paraId="336BA2A7" w14:textId="77777777" w:rsidR="001506C1" w:rsidRPr="00FA3F9C" w:rsidRDefault="001506C1" w:rsidP="00013EE7">
            <w:pPr>
              <w:autoSpaceDE w:val="0"/>
              <w:autoSpaceDN w:val="0"/>
              <w:adjustRightInd w:val="0"/>
              <w:rPr>
                <w:rFonts w:ascii="Arial" w:hAnsi="Arial" w:cs="Arial"/>
                <w:sz w:val="24"/>
                <w:szCs w:val="24"/>
              </w:rPr>
            </w:pPr>
            <w:r w:rsidRPr="00FA3F9C">
              <w:rPr>
                <w:rFonts w:ascii="Arial" w:hAnsi="Arial" w:cs="Arial"/>
                <w:sz w:val="24"/>
                <w:szCs w:val="24"/>
              </w:rPr>
              <w:t>JJ</w:t>
            </w:r>
          </w:p>
        </w:tc>
      </w:tr>
      <w:tr w:rsidR="001506C1" w:rsidRPr="00FA3F9C" w14:paraId="1D0A7484" w14:textId="77777777" w:rsidTr="005F63D7">
        <w:tc>
          <w:tcPr>
            <w:tcW w:w="0" w:type="auto"/>
            <w:shd w:val="clear" w:color="auto" w:fill="auto"/>
          </w:tcPr>
          <w:p w14:paraId="4B6CDCD4" w14:textId="77777777" w:rsidR="001506C1" w:rsidRPr="00FA3F9C" w:rsidRDefault="001506C1" w:rsidP="00013EE7">
            <w:pPr>
              <w:autoSpaceDE w:val="0"/>
              <w:autoSpaceDN w:val="0"/>
              <w:adjustRightInd w:val="0"/>
              <w:rPr>
                <w:rFonts w:ascii="Arial" w:hAnsi="Arial" w:cs="Arial"/>
                <w:sz w:val="24"/>
                <w:szCs w:val="24"/>
              </w:rPr>
            </w:pPr>
            <w:r w:rsidRPr="00FA3F9C">
              <w:rPr>
                <w:rFonts w:ascii="Arial" w:hAnsi="Arial" w:cs="Arial"/>
                <w:sz w:val="24"/>
                <w:szCs w:val="24"/>
              </w:rPr>
              <w:t>10/24/17</w:t>
            </w:r>
          </w:p>
        </w:tc>
        <w:tc>
          <w:tcPr>
            <w:tcW w:w="0" w:type="auto"/>
            <w:shd w:val="clear" w:color="auto" w:fill="auto"/>
          </w:tcPr>
          <w:p w14:paraId="2A609532" w14:textId="77777777" w:rsidR="001506C1" w:rsidRPr="00FA3F9C" w:rsidRDefault="001506C1" w:rsidP="005F63D7">
            <w:pPr>
              <w:rPr>
                <w:rFonts w:ascii="Arial" w:hAnsi="Arial" w:cs="Arial"/>
                <w:sz w:val="24"/>
                <w:szCs w:val="24"/>
              </w:rPr>
            </w:pPr>
            <w:r w:rsidRPr="00FA3F9C">
              <w:rPr>
                <w:rFonts w:ascii="Arial" w:hAnsi="Arial" w:cs="Arial"/>
                <w:sz w:val="24"/>
                <w:szCs w:val="24"/>
              </w:rPr>
              <w:t xml:space="preserve">FOR </w:t>
            </w:r>
            <w:proofErr w:type="spellStart"/>
            <w:r w:rsidRPr="00FA3F9C">
              <w:rPr>
                <w:rFonts w:ascii="Arial" w:hAnsi="Arial" w:cs="Arial"/>
                <w:sz w:val="24"/>
                <w:szCs w:val="24"/>
              </w:rPr>
              <w:t>mC</w:t>
            </w:r>
            <w:r w:rsidRPr="00FA3F9C">
              <w:rPr>
                <w:rFonts w:ascii="Arial" w:hAnsi="Arial" w:cs="Arial"/>
                <w:sz w:val="24"/>
                <w:szCs w:val="24"/>
                <w:highlight w:val="yellow"/>
              </w:rPr>
              <w:t>S</w:t>
            </w:r>
            <w:r w:rsidRPr="00FA3F9C">
              <w:rPr>
                <w:rFonts w:ascii="Arial" w:hAnsi="Arial" w:cs="Arial"/>
                <w:sz w:val="24"/>
                <w:szCs w:val="24"/>
              </w:rPr>
              <w:t>PC</w:t>
            </w:r>
            <w:proofErr w:type="spellEnd"/>
            <w:r w:rsidRPr="00FA3F9C">
              <w:rPr>
                <w:rFonts w:ascii="Arial" w:hAnsi="Arial" w:cs="Arial"/>
                <w:sz w:val="24"/>
                <w:szCs w:val="24"/>
              </w:rPr>
              <w:t>, I added back the requirement for docetaxel after reviewing the data (ref 6</w:t>
            </w:r>
            <w:r w:rsidRPr="00FA3F9C">
              <w:rPr>
                <w:rFonts w:ascii="Arial" w:hAnsi="Arial" w:cs="Arial"/>
                <w:sz w:val="24"/>
                <w:szCs w:val="24"/>
                <w:highlight w:val="cyan"/>
              </w:rPr>
              <w:t>).  There appears to be no significant difference between abiraterone and docetaxel except cost.</w:t>
            </w:r>
            <w:r w:rsidRPr="00FA3F9C">
              <w:rPr>
                <w:rFonts w:ascii="Arial" w:hAnsi="Arial" w:cs="Arial"/>
                <w:sz w:val="24"/>
                <w:szCs w:val="24"/>
              </w:rPr>
              <w:t xml:space="preserve">  </w:t>
            </w:r>
          </w:p>
          <w:p w14:paraId="56487362" w14:textId="77777777" w:rsidR="001506C1" w:rsidRPr="00FA3F9C" w:rsidRDefault="001506C1" w:rsidP="005F63D7">
            <w:pPr>
              <w:rPr>
                <w:rFonts w:ascii="Arial" w:hAnsi="Arial" w:cs="Arial"/>
                <w:sz w:val="24"/>
                <w:szCs w:val="24"/>
              </w:rPr>
            </w:pPr>
            <w:r w:rsidRPr="00FA3F9C">
              <w:rPr>
                <w:rFonts w:ascii="Arial" w:hAnsi="Arial" w:cs="Arial"/>
                <w:sz w:val="24"/>
                <w:szCs w:val="24"/>
              </w:rPr>
              <w:t xml:space="preserve">The pooled hazard ratio (HR) for OS was 0.75 (95% confidence interval [CI]: 0.63–0.91, I 2 = 51%, 3 trials, 2951 patients) for </w:t>
            </w:r>
            <w:proofErr w:type="spellStart"/>
            <w:r w:rsidRPr="00FA3F9C">
              <w:rPr>
                <w:rFonts w:ascii="Arial" w:hAnsi="Arial" w:cs="Arial"/>
                <w:sz w:val="24"/>
                <w:szCs w:val="24"/>
              </w:rPr>
              <w:t>Doce</w:t>
            </w:r>
            <w:proofErr w:type="spellEnd"/>
            <w:r w:rsidRPr="00FA3F9C">
              <w:rPr>
                <w:rFonts w:ascii="Arial" w:hAnsi="Arial" w:cs="Arial"/>
                <w:sz w:val="24"/>
                <w:szCs w:val="24"/>
              </w:rPr>
              <w:t>-ADT versus ADT-alone,</w:t>
            </w:r>
          </w:p>
          <w:p w14:paraId="347F56BC" w14:textId="77777777" w:rsidR="001506C1" w:rsidRPr="00FA3F9C" w:rsidRDefault="001506C1" w:rsidP="005F63D7">
            <w:pPr>
              <w:rPr>
                <w:rFonts w:ascii="Arial" w:hAnsi="Arial" w:cs="Arial"/>
                <w:sz w:val="24"/>
                <w:szCs w:val="24"/>
              </w:rPr>
            </w:pPr>
            <w:r w:rsidRPr="00FA3F9C">
              <w:rPr>
                <w:rFonts w:ascii="Arial" w:hAnsi="Arial" w:cs="Arial"/>
                <w:sz w:val="24"/>
                <w:szCs w:val="24"/>
              </w:rPr>
              <w:t xml:space="preserve">HR=0.63 (95% CI: 0.55–0.72, I 2 = 0%, 2 trials, 3116 patients) for Abi-ADT versus ADT-alone. </w:t>
            </w:r>
          </w:p>
          <w:p w14:paraId="142F45DD" w14:textId="77777777" w:rsidR="001506C1" w:rsidRPr="00FA3F9C" w:rsidRDefault="001506C1" w:rsidP="005F63D7">
            <w:pPr>
              <w:rPr>
                <w:rFonts w:ascii="Arial" w:hAnsi="Arial" w:cs="Arial"/>
                <w:sz w:val="24"/>
                <w:szCs w:val="24"/>
              </w:rPr>
            </w:pPr>
            <w:r w:rsidRPr="00FA3F9C">
              <w:rPr>
                <w:rFonts w:ascii="Arial" w:hAnsi="Arial" w:cs="Arial"/>
                <w:sz w:val="24"/>
                <w:szCs w:val="24"/>
              </w:rPr>
              <w:t xml:space="preserve">The indirect comparison of Abi-ADT to </w:t>
            </w:r>
            <w:proofErr w:type="spellStart"/>
            <w:r w:rsidRPr="00FA3F9C">
              <w:rPr>
                <w:rFonts w:ascii="Arial" w:hAnsi="Arial" w:cs="Arial"/>
                <w:sz w:val="24"/>
                <w:szCs w:val="24"/>
              </w:rPr>
              <w:t>Doce</w:t>
            </w:r>
            <w:proofErr w:type="spellEnd"/>
            <w:r w:rsidRPr="00FA3F9C">
              <w:rPr>
                <w:rFonts w:ascii="Arial" w:hAnsi="Arial" w:cs="Arial"/>
                <w:sz w:val="24"/>
                <w:szCs w:val="24"/>
              </w:rPr>
              <w:t>-ADT demonstrated no statistically significant difference in OS between these approaches (HR: 0.84, 95% CI</w:t>
            </w:r>
            <w:r w:rsidRPr="00FA3F9C">
              <w:rPr>
                <w:rFonts w:ascii="Arial" w:hAnsi="Arial" w:cs="Arial"/>
                <w:sz w:val="24"/>
                <w:szCs w:val="24"/>
                <w:highlight w:val="yellow"/>
              </w:rPr>
              <w:t>: 0.67– 1.06</w:t>
            </w:r>
            <w:r w:rsidRPr="00FA3F9C">
              <w:rPr>
                <w:rFonts w:ascii="Arial" w:hAnsi="Arial" w:cs="Arial"/>
                <w:sz w:val="24"/>
                <w:szCs w:val="24"/>
              </w:rPr>
              <w:t>).</w:t>
            </w:r>
          </w:p>
          <w:p w14:paraId="7497E169" w14:textId="77777777" w:rsidR="001506C1" w:rsidRPr="00FA3F9C" w:rsidRDefault="001506C1" w:rsidP="005F63D7">
            <w:pPr>
              <w:rPr>
                <w:rFonts w:ascii="Arial" w:hAnsi="Arial" w:cs="Arial"/>
                <w:sz w:val="24"/>
                <w:szCs w:val="24"/>
              </w:rPr>
            </w:pPr>
          </w:p>
          <w:p w14:paraId="01AF66D8" w14:textId="77777777" w:rsidR="001506C1" w:rsidRPr="00FA3F9C" w:rsidRDefault="001506C1" w:rsidP="00B15550">
            <w:pPr>
              <w:shd w:val="clear" w:color="auto" w:fill="FFFFFF"/>
              <w:rPr>
                <w:rFonts w:ascii="Arial" w:hAnsi="Arial" w:cs="Arial"/>
                <w:color w:val="000000"/>
                <w:sz w:val="24"/>
                <w:szCs w:val="24"/>
              </w:rPr>
            </w:pPr>
            <w:r w:rsidRPr="00FA3F9C">
              <w:rPr>
                <w:rFonts w:ascii="Arial" w:hAnsi="Arial" w:cs="Arial"/>
                <w:bCs/>
                <w:color w:val="000000"/>
                <w:sz w:val="24"/>
                <w:szCs w:val="24"/>
              </w:rPr>
              <w:lastRenderedPageBreak/>
              <w:t>Supplementary Table 2:</w:t>
            </w:r>
            <w:r w:rsidRPr="00FA3F9C">
              <w:rPr>
                <w:rFonts w:ascii="Arial" w:hAnsi="Arial" w:cs="Arial"/>
                <w:color w:val="000000"/>
                <w:sz w:val="24"/>
                <w:szCs w:val="24"/>
              </w:rPr>
              <w:t xml:space="preserve"> Summary of Grade 3-5 Adverse Events among included trials in the network meta-analysis</w:t>
            </w:r>
          </w:p>
          <w:tbl>
            <w:tblPr>
              <w:tblW w:w="4580" w:type="dxa"/>
              <w:shd w:val="clear" w:color="auto" w:fill="FFFFFF"/>
              <w:tblCellMar>
                <w:top w:w="15" w:type="dxa"/>
                <w:left w:w="15" w:type="dxa"/>
                <w:bottom w:w="15" w:type="dxa"/>
                <w:right w:w="15" w:type="dxa"/>
              </w:tblCellMar>
              <w:tblLook w:val="04A0" w:firstRow="1" w:lastRow="0" w:firstColumn="1" w:lastColumn="0" w:noHBand="0" w:noVBand="1"/>
            </w:tblPr>
            <w:tblGrid>
              <w:gridCol w:w="3050"/>
              <w:gridCol w:w="1530"/>
            </w:tblGrid>
            <w:tr w:rsidR="001506C1" w:rsidRPr="00FA3F9C" w14:paraId="7721D741" w14:textId="77777777" w:rsidTr="005005CA">
              <w:tc>
                <w:tcPr>
                  <w:tcW w:w="3050" w:type="dxa"/>
                  <w:tcBorders>
                    <w:top w:val="single" w:sz="8" w:space="0" w:color="000000"/>
                    <w:left w:val="single" w:sz="8" w:space="0" w:color="000000"/>
                    <w:bottom w:val="single" w:sz="8" w:space="0" w:color="000000"/>
                    <w:right w:val="single" w:sz="8" w:space="0" w:color="000000"/>
                  </w:tcBorders>
                  <w:shd w:val="clear" w:color="auto" w:fill="FFFFFF"/>
                  <w:hideMark/>
                </w:tcPr>
                <w:p w14:paraId="41091CF3" w14:textId="77777777" w:rsidR="001506C1" w:rsidRPr="00FA3F9C" w:rsidRDefault="001506C1" w:rsidP="00B15550">
                  <w:pPr>
                    <w:rPr>
                      <w:rFonts w:ascii="Arial" w:hAnsi="Arial" w:cs="Arial"/>
                      <w:sz w:val="24"/>
                      <w:szCs w:val="24"/>
                    </w:rPr>
                  </w:pPr>
                </w:p>
              </w:tc>
              <w:tc>
                <w:tcPr>
                  <w:tcW w:w="1530" w:type="dxa"/>
                  <w:tcBorders>
                    <w:top w:val="single" w:sz="8" w:space="0" w:color="000000"/>
                    <w:bottom w:val="single" w:sz="8" w:space="0" w:color="000000"/>
                    <w:right w:val="single" w:sz="8" w:space="0" w:color="000000"/>
                  </w:tcBorders>
                  <w:shd w:val="clear" w:color="auto" w:fill="FFFFFF"/>
                  <w:hideMark/>
                </w:tcPr>
                <w:p w14:paraId="15A85DC4" w14:textId="77777777" w:rsidR="001506C1" w:rsidRPr="00FA3F9C" w:rsidRDefault="001506C1" w:rsidP="00B15550">
                  <w:pPr>
                    <w:rPr>
                      <w:rFonts w:ascii="Arial" w:hAnsi="Arial" w:cs="Arial"/>
                      <w:sz w:val="24"/>
                      <w:szCs w:val="24"/>
                    </w:rPr>
                  </w:pPr>
                  <w:r w:rsidRPr="00FA3F9C">
                    <w:rPr>
                      <w:rFonts w:ascii="Arial" w:hAnsi="Arial" w:cs="Arial"/>
                      <w:bCs/>
                      <w:sz w:val="24"/>
                      <w:szCs w:val="24"/>
                    </w:rPr>
                    <w:t>Grade 3-5 AE</w:t>
                  </w:r>
                </w:p>
              </w:tc>
            </w:tr>
            <w:tr w:rsidR="001506C1" w:rsidRPr="00FA3F9C" w14:paraId="134CD9E9" w14:textId="77777777" w:rsidTr="005005CA">
              <w:tc>
                <w:tcPr>
                  <w:tcW w:w="3050" w:type="dxa"/>
                  <w:tcBorders>
                    <w:left w:val="single" w:sz="8" w:space="0" w:color="000000"/>
                    <w:bottom w:val="single" w:sz="8" w:space="0" w:color="000000"/>
                    <w:right w:val="single" w:sz="8" w:space="0" w:color="000000"/>
                  </w:tcBorders>
                  <w:shd w:val="clear" w:color="auto" w:fill="FFFFFF"/>
                  <w:hideMark/>
                </w:tcPr>
                <w:p w14:paraId="684BDB83" w14:textId="77777777" w:rsidR="001506C1" w:rsidRPr="00FA3F9C" w:rsidRDefault="001506C1" w:rsidP="00B15550">
                  <w:pPr>
                    <w:rPr>
                      <w:rFonts w:ascii="Arial" w:hAnsi="Arial" w:cs="Arial"/>
                      <w:sz w:val="24"/>
                      <w:szCs w:val="24"/>
                    </w:rPr>
                  </w:pPr>
                  <w:r w:rsidRPr="00FA3F9C">
                    <w:rPr>
                      <w:rFonts w:ascii="Arial" w:hAnsi="Arial" w:cs="Arial"/>
                      <w:bCs/>
                      <w:sz w:val="24"/>
                      <w:szCs w:val="24"/>
                    </w:rPr>
                    <w:t xml:space="preserve">Docetaxel </w:t>
                  </w:r>
                  <w:proofErr w:type="spellStart"/>
                  <w:r w:rsidRPr="00FA3F9C">
                    <w:rPr>
                      <w:rFonts w:ascii="Arial" w:hAnsi="Arial" w:cs="Arial"/>
                      <w:bCs/>
                      <w:sz w:val="24"/>
                      <w:szCs w:val="24"/>
                    </w:rPr>
                    <w:t>Trils</w:t>
                  </w:r>
                  <w:proofErr w:type="spellEnd"/>
                </w:p>
              </w:tc>
              <w:tc>
                <w:tcPr>
                  <w:tcW w:w="1530" w:type="dxa"/>
                  <w:tcBorders>
                    <w:bottom w:val="single" w:sz="8" w:space="0" w:color="000000"/>
                    <w:right w:val="single" w:sz="8" w:space="0" w:color="000000"/>
                  </w:tcBorders>
                  <w:shd w:val="clear" w:color="auto" w:fill="FFFFFF"/>
                  <w:hideMark/>
                </w:tcPr>
                <w:p w14:paraId="41311704" w14:textId="77777777" w:rsidR="001506C1" w:rsidRPr="00FA3F9C" w:rsidRDefault="001506C1" w:rsidP="00B15550">
                  <w:pPr>
                    <w:rPr>
                      <w:rFonts w:ascii="Arial" w:hAnsi="Arial" w:cs="Arial"/>
                      <w:sz w:val="24"/>
                      <w:szCs w:val="24"/>
                    </w:rPr>
                  </w:pPr>
                </w:p>
              </w:tc>
            </w:tr>
            <w:tr w:rsidR="001506C1" w:rsidRPr="00FA3F9C" w14:paraId="42DD6A7E" w14:textId="77777777" w:rsidTr="005005CA">
              <w:tc>
                <w:tcPr>
                  <w:tcW w:w="3050" w:type="dxa"/>
                  <w:tcBorders>
                    <w:left w:val="single" w:sz="8" w:space="0" w:color="000000"/>
                    <w:bottom w:val="single" w:sz="8" w:space="0" w:color="000000"/>
                    <w:right w:val="single" w:sz="8" w:space="0" w:color="000000"/>
                  </w:tcBorders>
                  <w:shd w:val="clear" w:color="auto" w:fill="FFFFFF"/>
                  <w:hideMark/>
                </w:tcPr>
                <w:p w14:paraId="065070E0" w14:textId="77777777" w:rsidR="001506C1" w:rsidRPr="00FA3F9C" w:rsidRDefault="001506C1" w:rsidP="00B15550">
                  <w:pPr>
                    <w:rPr>
                      <w:rFonts w:ascii="Arial" w:hAnsi="Arial" w:cs="Arial"/>
                      <w:sz w:val="24"/>
                      <w:szCs w:val="24"/>
                    </w:rPr>
                  </w:pPr>
                  <w:r w:rsidRPr="00FA3F9C">
                    <w:rPr>
                      <w:rFonts w:ascii="Arial" w:hAnsi="Arial" w:cs="Arial"/>
                      <w:i/>
                      <w:iCs/>
                      <w:sz w:val="24"/>
                      <w:szCs w:val="24"/>
                    </w:rPr>
                    <w:t>STAMPEDE</w:t>
                  </w:r>
                  <w:r w:rsidRPr="00FA3F9C">
                    <w:rPr>
                      <w:rFonts w:ascii="Arial" w:hAnsi="Arial" w:cs="Arial"/>
                      <w:sz w:val="24"/>
                      <w:szCs w:val="24"/>
                    </w:rPr>
                    <w:t xml:space="preserve"> [16]</w:t>
                  </w:r>
                </w:p>
              </w:tc>
              <w:tc>
                <w:tcPr>
                  <w:tcW w:w="1530" w:type="dxa"/>
                  <w:tcBorders>
                    <w:bottom w:val="single" w:sz="8" w:space="0" w:color="000000"/>
                    <w:right w:val="single" w:sz="8" w:space="0" w:color="000000"/>
                  </w:tcBorders>
                  <w:shd w:val="clear" w:color="auto" w:fill="FFFFFF"/>
                  <w:hideMark/>
                </w:tcPr>
                <w:p w14:paraId="570701D0" w14:textId="77777777" w:rsidR="001506C1" w:rsidRPr="00FA3F9C" w:rsidRDefault="001506C1" w:rsidP="00B15550">
                  <w:pPr>
                    <w:rPr>
                      <w:rFonts w:ascii="Arial" w:hAnsi="Arial" w:cs="Arial"/>
                      <w:sz w:val="24"/>
                      <w:szCs w:val="24"/>
                    </w:rPr>
                  </w:pPr>
                </w:p>
              </w:tc>
            </w:tr>
            <w:tr w:rsidR="001506C1" w:rsidRPr="00FA3F9C" w14:paraId="6C777582" w14:textId="77777777" w:rsidTr="005005CA">
              <w:tc>
                <w:tcPr>
                  <w:tcW w:w="3050" w:type="dxa"/>
                  <w:tcBorders>
                    <w:left w:val="single" w:sz="8" w:space="0" w:color="000000"/>
                    <w:bottom w:val="single" w:sz="8" w:space="0" w:color="000000"/>
                    <w:right w:val="single" w:sz="8" w:space="0" w:color="000000"/>
                  </w:tcBorders>
                  <w:shd w:val="clear" w:color="auto" w:fill="FFFFFF"/>
                  <w:hideMark/>
                </w:tcPr>
                <w:p w14:paraId="434B4D1F" w14:textId="77777777" w:rsidR="001506C1" w:rsidRPr="00FA3F9C" w:rsidRDefault="001506C1" w:rsidP="00B15550">
                  <w:pPr>
                    <w:rPr>
                      <w:rFonts w:ascii="Arial" w:hAnsi="Arial" w:cs="Arial"/>
                      <w:sz w:val="24"/>
                      <w:szCs w:val="24"/>
                    </w:rPr>
                  </w:pPr>
                  <w:r w:rsidRPr="00FA3F9C">
                    <w:rPr>
                      <w:rFonts w:ascii="Arial" w:hAnsi="Arial" w:cs="Arial"/>
                      <w:sz w:val="24"/>
                      <w:szCs w:val="24"/>
                    </w:rPr>
                    <w:t>ADT</w:t>
                  </w:r>
                </w:p>
              </w:tc>
              <w:tc>
                <w:tcPr>
                  <w:tcW w:w="1530" w:type="dxa"/>
                  <w:tcBorders>
                    <w:bottom w:val="single" w:sz="8" w:space="0" w:color="000000"/>
                    <w:right w:val="single" w:sz="8" w:space="0" w:color="000000"/>
                  </w:tcBorders>
                  <w:shd w:val="clear" w:color="auto" w:fill="FFFFFF"/>
                  <w:hideMark/>
                </w:tcPr>
                <w:p w14:paraId="3ADA86F0" w14:textId="77777777" w:rsidR="001506C1" w:rsidRPr="00FA3F9C" w:rsidRDefault="001506C1" w:rsidP="00B15550">
                  <w:pPr>
                    <w:rPr>
                      <w:rFonts w:ascii="Arial" w:hAnsi="Arial" w:cs="Arial"/>
                      <w:sz w:val="24"/>
                      <w:szCs w:val="24"/>
                    </w:rPr>
                  </w:pPr>
                  <w:r w:rsidRPr="00FA3F9C">
                    <w:rPr>
                      <w:rFonts w:ascii="Arial" w:hAnsi="Arial" w:cs="Arial"/>
                      <w:sz w:val="24"/>
                      <w:szCs w:val="24"/>
                    </w:rPr>
                    <w:t>399/1228 (32%)</w:t>
                  </w:r>
                </w:p>
              </w:tc>
            </w:tr>
            <w:tr w:rsidR="001506C1" w:rsidRPr="00FA3F9C" w14:paraId="33AC44DB" w14:textId="77777777" w:rsidTr="005005CA">
              <w:tc>
                <w:tcPr>
                  <w:tcW w:w="3050" w:type="dxa"/>
                  <w:tcBorders>
                    <w:left w:val="single" w:sz="8" w:space="0" w:color="000000"/>
                    <w:bottom w:val="single" w:sz="8" w:space="0" w:color="000000"/>
                    <w:right w:val="single" w:sz="8" w:space="0" w:color="000000"/>
                  </w:tcBorders>
                  <w:shd w:val="clear" w:color="auto" w:fill="FFFFFF"/>
                  <w:hideMark/>
                </w:tcPr>
                <w:p w14:paraId="3DE3F1A4" w14:textId="77777777" w:rsidR="001506C1" w:rsidRPr="00FA3F9C" w:rsidRDefault="001506C1" w:rsidP="00B15550">
                  <w:pPr>
                    <w:rPr>
                      <w:rFonts w:ascii="Arial" w:hAnsi="Arial" w:cs="Arial"/>
                      <w:sz w:val="24"/>
                      <w:szCs w:val="24"/>
                    </w:rPr>
                  </w:pPr>
                  <w:r w:rsidRPr="00FA3F9C">
                    <w:rPr>
                      <w:rFonts w:ascii="Arial" w:hAnsi="Arial" w:cs="Arial"/>
                      <w:sz w:val="24"/>
                      <w:szCs w:val="24"/>
                    </w:rPr>
                    <w:t>ADT + ZA</w:t>
                  </w:r>
                </w:p>
              </w:tc>
              <w:tc>
                <w:tcPr>
                  <w:tcW w:w="1530" w:type="dxa"/>
                  <w:tcBorders>
                    <w:bottom w:val="single" w:sz="8" w:space="0" w:color="000000"/>
                    <w:right w:val="single" w:sz="8" w:space="0" w:color="000000"/>
                  </w:tcBorders>
                  <w:shd w:val="clear" w:color="auto" w:fill="FFFFFF"/>
                  <w:hideMark/>
                </w:tcPr>
                <w:p w14:paraId="6CB9EC54" w14:textId="77777777" w:rsidR="001506C1" w:rsidRPr="00FA3F9C" w:rsidRDefault="001506C1" w:rsidP="00B15550">
                  <w:pPr>
                    <w:rPr>
                      <w:rFonts w:ascii="Arial" w:hAnsi="Arial" w:cs="Arial"/>
                      <w:sz w:val="24"/>
                      <w:szCs w:val="24"/>
                    </w:rPr>
                  </w:pPr>
                  <w:r w:rsidRPr="00FA3F9C">
                    <w:rPr>
                      <w:rFonts w:ascii="Arial" w:hAnsi="Arial" w:cs="Arial"/>
                      <w:sz w:val="24"/>
                      <w:szCs w:val="24"/>
                    </w:rPr>
                    <w:t>197/608 (32%)</w:t>
                  </w:r>
                </w:p>
              </w:tc>
            </w:tr>
            <w:tr w:rsidR="001506C1" w:rsidRPr="00FA3F9C" w14:paraId="4139779D" w14:textId="77777777" w:rsidTr="005005CA">
              <w:tc>
                <w:tcPr>
                  <w:tcW w:w="3050" w:type="dxa"/>
                  <w:tcBorders>
                    <w:left w:val="single" w:sz="8" w:space="0" w:color="000000"/>
                    <w:bottom w:val="single" w:sz="8" w:space="0" w:color="000000"/>
                    <w:right w:val="single" w:sz="8" w:space="0" w:color="000000"/>
                  </w:tcBorders>
                  <w:shd w:val="clear" w:color="auto" w:fill="FFFFFF"/>
                  <w:hideMark/>
                </w:tcPr>
                <w:p w14:paraId="72DA6697" w14:textId="77777777" w:rsidR="001506C1" w:rsidRPr="00FA3F9C" w:rsidRDefault="001506C1" w:rsidP="00B15550">
                  <w:pPr>
                    <w:rPr>
                      <w:rFonts w:ascii="Arial" w:hAnsi="Arial" w:cs="Arial"/>
                      <w:sz w:val="24"/>
                      <w:szCs w:val="24"/>
                    </w:rPr>
                  </w:pPr>
                  <w:r w:rsidRPr="00FA3F9C">
                    <w:rPr>
                      <w:rFonts w:ascii="Arial" w:hAnsi="Arial" w:cs="Arial"/>
                      <w:sz w:val="24"/>
                      <w:szCs w:val="24"/>
                    </w:rPr>
                    <w:t>ADT + Docetaxel</w:t>
                  </w:r>
                </w:p>
              </w:tc>
              <w:tc>
                <w:tcPr>
                  <w:tcW w:w="1530" w:type="dxa"/>
                  <w:tcBorders>
                    <w:bottom w:val="single" w:sz="8" w:space="0" w:color="000000"/>
                    <w:right w:val="single" w:sz="8" w:space="0" w:color="000000"/>
                  </w:tcBorders>
                  <w:shd w:val="clear" w:color="auto" w:fill="FFFFFF"/>
                  <w:hideMark/>
                </w:tcPr>
                <w:p w14:paraId="3F9E9150" w14:textId="77777777" w:rsidR="001506C1" w:rsidRPr="00FA3F9C" w:rsidRDefault="001506C1" w:rsidP="00B15550">
                  <w:pPr>
                    <w:rPr>
                      <w:rFonts w:ascii="Arial" w:hAnsi="Arial" w:cs="Arial"/>
                      <w:sz w:val="24"/>
                      <w:szCs w:val="24"/>
                    </w:rPr>
                  </w:pPr>
                  <w:r w:rsidRPr="00FA3F9C">
                    <w:rPr>
                      <w:rFonts w:ascii="Arial" w:hAnsi="Arial" w:cs="Arial"/>
                      <w:sz w:val="24"/>
                      <w:szCs w:val="24"/>
                    </w:rPr>
                    <w:t>288/550 (52%)</w:t>
                  </w:r>
                </w:p>
              </w:tc>
            </w:tr>
            <w:tr w:rsidR="001506C1" w:rsidRPr="00FA3F9C" w14:paraId="79DAE5DB" w14:textId="77777777" w:rsidTr="005005CA">
              <w:tc>
                <w:tcPr>
                  <w:tcW w:w="3050" w:type="dxa"/>
                  <w:tcBorders>
                    <w:left w:val="single" w:sz="8" w:space="0" w:color="000000"/>
                    <w:bottom w:val="single" w:sz="8" w:space="0" w:color="000000"/>
                    <w:right w:val="single" w:sz="8" w:space="0" w:color="000000"/>
                  </w:tcBorders>
                  <w:shd w:val="clear" w:color="auto" w:fill="FFFFFF"/>
                  <w:hideMark/>
                </w:tcPr>
                <w:p w14:paraId="54AE9BCC" w14:textId="77777777" w:rsidR="001506C1" w:rsidRPr="00FA3F9C" w:rsidRDefault="001506C1" w:rsidP="00B15550">
                  <w:pPr>
                    <w:rPr>
                      <w:rFonts w:ascii="Arial" w:hAnsi="Arial" w:cs="Arial"/>
                      <w:sz w:val="24"/>
                      <w:szCs w:val="24"/>
                    </w:rPr>
                  </w:pPr>
                  <w:r w:rsidRPr="00FA3F9C">
                    <w:rPr>
                      <w:rFonts w:ascii="Arial" w:hAnsi="Arial" w:cs="Arial"/>
                      <w:sz w:val="24"/>
                      <w:szCs w:val="24"/>
                    </w:rPr>
                    <w:t>ADT + ZA + Docetaxel</w:t>
                  </w:r>
                </w:p>
              </w:tc>
              <w:tc>
                <w:tcPr>
                  <w:tcW w:w="1530" w:type="dxa"/>
                  <w:tcBorders>
                    <w:bottom w:val="single" w:sz="8" w:space="0" w:color="000000"/>
                    <w:right w:val="single" w:sz="8" w:space="0" w:color="000000"/>
                  </w:tcBorders>
                  <w:shd w:val="clear" w:color="auto" w:fill="FFFFFF"/>
                  <w:hideMark/>
                </w:tcPr>
                <w:p w14:paraId="499BD22D" w14:textId="77777777" w:rsidR="001506C1" w:rsidRPr="00FA3F9C" w:rsidRDefault="001506C1" w:rsidP="00B15550">
                  <w:pPr>
                    <w:rPr>
                      <w:rFonts w:ascii="Arial" w:hAnsi="Arial" w:cs="Arial"/>
                      <w:sz w:val="24"/>
                      <w:szCs w:val="24"/>
                    </w:rPr>
                  </w:pPr>
                  <w:r w:rsidRPr="00FA3F9C">
                    <w:rPr>
                      <w:rFonts w:ascii="Arial" w:hAnsi="Arial" w:cs="Arial"/>
                      <w:sz w:val="24"/>
                      <w:szCs w:val="24"/>
                    </w:rPr>
                    <w:t>269/516 (52%)</w:t>
                  </w:r>
                </w:p>
              </w:tc>
            </w:tr>
            <w:tr w:rsidR="001506C1" w:rsidRPr="00FA3F9C" w14:paraId="07576059" w14:textId="77777777" w:rsidTr="005005CA">
              <w:tc>
                <w:tcPr>
                  <w:tcW w:w="3050" w:type="dxa"/>
                  <w:tcBorders>
                    <w:left w:val="single" w:sz="8" w:space="0" w:color="000000"/>
                    <w:bottom w:val="single" w:sz="8" w:space="0" w:color="000000"/>
                    <w:right w:val="single" w:sz="8" w:space="0" w:color="000000"/>
                  </w:tcBorders>
                  <w:shd w:val="clear" w:color="auto" w:fill="FFFFFF"/>
                  <w:hideMark/>
                </w:tcPr>
                <w:p w14:paraId="5DB0F6C5" w14:textId="77777777" w:rsidR="001506C1" w:rsidRPr="00FA3F9C" w:rsidRDefault="001506C1" w:rsidP="00B15550">
                  <w:pPr>
                    <w:rPr>
                      <w:rFonts w:ascii="Arial" w:hAnsi="Arial" w:cs="Arial"/>
                      <w:sz w:val="24"/>
                      <w:szCs w:val="24"/>
                    </w:rPr>
                  </w:pPr>
                  <w:r w:rsidRPr="00FA3F9C">
                    <w:rPr>
                      <w:rFonts w:ascii="Arial" w:hAnsi="Arial" w:cs="Arial"/>
                      <w:i/>
                      <w:iCs/>
                      <w:sz w:val="24"/>
                      <w:szCs w:val="24"/>
                    </w:rPr>
                    <w:t>CHAARTED</w:t>
                  </w:r>
                  <w:r w:rsidRPr="00FA3F9C">
                    <w:rPr>
                      <w:rFonts w:ascii="Arial" w:hAnsi="Arial" w:cs="Arial"/>
                      <w:sz w:val="24"/>
                      <w:szCs w:val="24"/>
                    </w:rPr>
                    <w:t xml:space="preserve"> [15]</w:t>
                  </w:r>
                </w:p>
              </w:tc>
              <w:tc>
                <w:tcPr>
                  <w:tcW w:w="1530" w:type="dxa"/>
                  <w:tcBorders>
                    <w:bottom w:val="single" w:sz="8" w:space="0" w:color="000000"/>
                    <w:right w:val="single" w:sz="8" w:space="0" w:color="000000"/>
                  </w:tcBorders>
                  <w:shd w:val="clear" w:color="auto" w:fill="FFFFFF"/>
                  <w:hideMark/>
                </w:tcPr>
                <w:p w14:paraId="68F7D947" w14:textId="77777777" w:rsidR="001506C1" w:rsidRPr="00FA3F9C" w:rsidRDefault="001506C1" w:rsidP="00B15550">
                  <w:pPr>
                    <w:rPr>
                      <w:rFonts w:ascii="Arial" w:hAnsi="Arial" w:cs="Arial"/>
                      <w:sz w:val="24"/>
                      <w:szCs w:val="24"/>
                    </w:rPr>
                  </w:pPr>
                </w:p>
              </w:tc>
            </w:tr>
            <w:tr w:rsidR="001506C1" w:rsidRPr="00FA3F9C" w14:paraId="4283BDDF" w14:textId="77777777" w:rsidTr="005005CA">
              <w:tc>
                <w:tcPr>
                  <w:tcW w:w="3050" w:type="dxa"/>
                  <w:tcBorders>
                    <w:left w:val="single" w:sz="8" w:space="0" w:color="000000"/>
                    <w:bottom w:val="single" w:sz="8" w:space="0" w:color="000000"/>
                    <w:right w:val="single" w:sz="8" w:space="0" w:color="000000"/>
                  </w:tcBorders>
                  <w:shd w:val="clear" w:color="auto" w:fill="FFFFFF"/>
                  <w:hideMark/>
                </w:tcPr>
                <w:p w14:paraId="3E17EADB" w14:textId="77777777" w:rsidR="001506C1" w:rsidRPr="00FA3F9C" w:rsidRDefault="001506C1" w:rsidP="00B15550">
                  <w:pPr>
                    <w:rPr>
                      <w:rFonts w:ascii="Arial" w:hAnsi="Arial" w:cs="Arial"/>
                      <w:sz w:val="24"/>
                      <w:szCs w:val="24"/>
                    </w:rPr>
                  </w:pPr>
                  <w:r w:rsidRPr="00FA3F9C">
                    <w:rPr>
                      <w:rFonts w:ascii="Arial" w:hAnsi="Arial" w:cs="Arial"/>
                      <w:sz w:val="24"/>
                      <w:szCs w:val="24"/>
                    </w:rPr>
                    <w:t>ADT</w:t>
                  </w:r>
                </w:p>
              </w:tc>
              <w:tc>
                <w:tcPr>
                  <w:tcW w:w="1530" w:type="dxa"/>
                  <w:tcBorders>
                    <w:bottom w:val="single" w:sz="8" w:space="0" w:color="000000"/>
                    <w:right w:val="single" w:sz="8" w:space="0" w:color="000000"/>
                  </w:tcBorders>
                  <w:shd w:val="clear" w:color="auto" w:fill="FFFFFF"/>
                  <w:hideMark/>
                </w:tcPr>
                <w:p w14:paraId="3699BA10" w14:textId="77777777" w:rsidR="001506C1" w:rsidRPr="00FA3F9C" w:rsidRDefault="001506C1" w:rsidP="00B15550">
                  <w:pPr>
                    <w:rPr>
                      <w:rFonts w:ascii="Arial" w:hAnsi="Arial" w:cs="Arial"/>
                      <w:sz w:val="24"/>
                      <w:szCs w:val="24"/>
                    </w:rPr>
                  </w:pPr>
                  <w:r w:rsidRPr="00FA3F9C">
                    <w:rPr>
                      <w:rFonts w:ascii="Arial" w:hAnsi="Arial" w:cs="Arial"/>
                      <w:sz w:val="24"/>
                      <w:szCs w:val="24"/>
                    </w:rPr>
                    <w:t>Not reported</w:t>
                  </w:r>
                </w:p>
              </w:tc>
            </w:tr>
            <w:tr w:rsidR="001506C1" w:rsidRPr="00FA3F9C" w14:paraId="587D1655" w14:textId="77777777" w:rsidTr="005005CA">
              <w:tc>
                <w:tcPr>
                  <w:tcW w:w="3050" w:type="dxa"/>
                  <w:tcBorders>
                    <w:left w:val="single" w:sz="8" w:space="0" w:color="000000"/>
                    <w:bottom w:val="single" w:sz="8" w:space="0" w:color="000000"/>
                    <w:right w:val="single" w:sz="8" w:space="0" w:color="000000"/>
                  </w:tcBorders>
                  <w:shd w:val="clear" w:color="auto" w:fill="FFFFFF"/>
                  <w:hideMark/>
                </w:tcPr>
                <w:p w14:paraId="5317E77B" w14:textId="77777777" w:rsidR="001506C1" w:rsidRPr="00FA3F9C" w:rsidRDefault="001506C1" w:rsidP="00B15550">
                  <w:pPr>
                    <w:rPr>
                      <w:rFonts w:ascii="Arial" w:hAnsi="Arial" w:cs="Arial"/>
                      <w:sz w:val="24"/>
                      <w:szCs w:val="24"/>
                    </w:rPr>
                  </w:pPr>
                  <w:r w:rsidRPr="00FA3F9C">
                    <w:rPr>
                      <w:rFonts w:ascii="Arial" w:hAnsi="Arial" w:cs="Arial"/>
                      <w:sz w:val="24"/>
                      <w:szCs w:val="24"/>
                    </w:rPr>
                    <w:t>ADT + Docetaxel</w:t>
                  </w:r>
                </w:p>
              </w:tc>
              <w:tc>
                <w:tcPr>
                  <w:tcW w:w="1530" w:type="dxa"/>
                  <w:tcBorders>
                    <w:bottom w:val="single" w:sz="8" w:space="0" w:color="000000"/>
                    <w:right w:val="single" w:sz="8" w:space="0" w:color="000000"/>
                  </w:tcBorders>
                  <w:shd w:val="clear" w:color="auto" w:fill="FFFFFF"/>
                  <w:hideMark/>
                </w:tcPr>
                <w:p w14:paraId="571840DC" w14:textId="77777777" w:rsidR="001506C1" w:rsidRPr="00FA3F9C" w:rsidRDefault="001506C1" w:rsidP="00B15550">
                  <w:pPr>
                    <w:rPr>
                      <w:rFonts w:ascii="Arial" w:hAnsi="Arial" w:cs="Arial"/>
                      <w:sz w:val="24"/>
                      <w:szCs w:val="24"/>
                    </w:rPr>
                  </w:pPr>
                  <w:r w:rsidRPr="00FA3F9C">
                    <w:rPr>
                      <w:rFonts w:ascii="Arial" w:hAnsi="Arial" w:cs="Arial"/>
                      <w:sz w:val="24"/>
                      <w:szCs w:val="24"/>
                    </w:rPr>
                    <w:t>115/390 (29%)</w:t>
                  </w:r>
                </w:p>
              </w:tc>
            </w:tr>
            <w:tr w:rsidR="001506C1" w:rsidRPr="00FA3F9C" w14:paraId="576708C7" w14:textId="77777777" w:rsidTr="005005CA">
              <w:tc>
                <w:tcPr>
                  <w:tcW w:w="3050" w:type="dxa"/>
                  <w:tcBorders>
                    <w:left w:val="single" w:sz="8" w:space="0" w:color="000000"/>
                    <w:bottom w:val="single" w:sz="8" w:space="0" w:color="000000"/>
                    <w:right w:val="single" w:sz="8" w:space="0" w:color="000000"/>
                  </w:tcBorders>
                  <w:shd w:val="clear" w:color="auto" w:fill="FFFFFF"/>
                  <w:hideMark/>
                </w:tcPr>
                <w:p w14:paraId="51CE8F9F" w14:textId="77777777" w:rsidR="001506C1" w:rsidRPr="00FA3F9C" w:rsidRDefault="001506C1" w:rsidP="00B15550">
                  <w:pPr>
                    <w:rPr>
                      <w:rFonts w:ascii="Arial" w:hAnsi="Arial" w:cs="Arial"/>
                      <w:sz w:val="24"/>
                      <w:szCs w:val="24"/>
                    </w:rPr>
                  </w:pPr>
                  <w:r w:rsidRPr="00FA3F9C">
                    <w:rPr>
                      <w:rFonts w:ascii="Arial" w:hAnsi="Arial" w:cs="Arial"/>
                      <w:i/>
                      <w:iCs/>
                      <w:sz w:val="24"/>
                      <w:szCs w:val="24"/>
                    </w:rPr>
                    <w:t xml:space="preserve">GETUG </w:t>
                  </w:r>
                  <w:r w:rsidRPr="00FA3F9C">
                    <w:rPr>
                      <w:rFonts w:ascii="Arial" w:hAnsi="Arial" w:cs="Arial"/>
                      <w:sz w:val="24"/>
                      <w:szCs w:val="24"/>
                    </w:rPr>
                    <w:t>[14]</w:t>
                  </w:r>
                </w:p>
              </w:tc>
              <w:tc>
                <w:tcPr>
                  <w:tcW w:w="1530" w:type="dxa"/>
                  <w:tcBorders>
                    <w:bottom w:val="single" w:sz="8" w:space="0" w:color="000000"/>
                    <w:right w:val="single" w:sz="8" w:space="0" w:color="000000"/>
                  </w:tcBorders>
                  <w:shd w:val="clear" w:color="auto" w:fill="FFFFFF"/>
                  <w:hideMark/>
                </w:tcPr>
                <w:p w14:paraId="7C68B14E" w14:textId="77777777" w:rsidR="001506C1" w:rsidRPr="00FA3F9C" w:rsidRDefault="001506C1" w:rsidP="00B15550">
                  <w:pPr>
                    <w:rPr>
                      <w:rFonts w:ascii="Arial" w:hAnsi="Arial" w:cs="Arial"/>
                      <w:sz w:val="24"/>
                      <w:szCs w:val="24"/>
                    </w:rPr>
                  </w:pPr>
                  <w:r w:rsidRPr="00FA3F9C">
                    <w:rPr>
                      <w:rFonts w:ascii="Arial" w:hAnsi="Arial" w:cs="Arial"/>
                      <w:sz w:val="24"/>
                      <w:szCs w:val="24"/>
                    </w:rPr>
                    <w:t>Not reported</w:t>
                  </w:r>
                </w:p>
              </w:tc>
            </w:tr>
            <w:tr w:rsidR="001506C1" w:rsidRPr="00FA3F9C" w14:paraId="4EFF679A" w14:textId="77777777" w:rsidTr="005005CA">
              <w:trPr>
                <w:trHeight w:val="223"/>
              </w:trPr>
              <w:tc>
                <w:tcPr>
                  <w:tcW w:w="3050" w:type="dxa"/>
                  <w:tcBorders>
                    <w:left w:val="single" w:sz="8" w:space="0" w:color="000000"/>
                    <w:bottom w:val="single" w:sz="8" w:space="0" w:color="000000"/>
                    <w:right w:val="single" w:sz="8" w:space="0" w:color="000000"/>
                  </w:tcBorders>
                  <w:shd w:val="clear" w:color="auto" w:fill="FFFFFF"/>
                  <w:hideMark/>
                </w:tcPr>
                <w:p w14:paraId="26C8957C" w14:textId="77777777" w:rsidR="001506C1" w:rsidRPr="00FA3F9C" w:rsidRDefault="001506C1" w:rsidP="00B15550">
                  <w:pPr>
                    <w:rPr>
                      <w:rFonts w:ascii="Arial" w:hAnsi="Arial" w:cs="Arial"/>
                      <w:sz w:val="24"/>
                      <w:szCs w:val="24"/>
                    </w:rPr>
                  </w:pPr>
                  <w:r w:rsidRPr="00FA3F9C">
                    <w:rPr>
                      <w:rFonts w:ascii="Arial" w:hAnsi="Arial" w:cs="Arial"/>
                      <w:bCs/>
                      <w:sz w:val="24"/>
                      <w:szCs w:val="24"/>
                    </w:rPr>
                    <w:t>Abiraterone Trials</w:t>
                  </w:r>
                </w:p>
              </w:tc>
              <w:tc>
                <w:tcPr>
                  <w:tcW w:w="1530" w:type="dxa"/>
                  <w:tcBorders>
                    <w:bottom w:val="single" w:sz="8" w:space="0" w:color="000000"/>
                    <w:right w:val="single" w:sz="8" w:space="0" w:color="000000"/>
                  </w:tcBorders>
                  <w:shd w:val="clear" w:color="auto" w:fill="FFFFFF"/>
                  <w:hideMark/>
                </w:tcPr>
                <w:p w14:paraId="781B6BB1" w14:textId="77777777" w:rsidR="001506C1" w:rsidRPr="00FA3F9C" w:rsidRDefault="001506C1" w:rsidP="00B15550">
                  <w:pPr>
                    <w:rPr>
                      <w:rFonts w:ascii="Arial" w:hAnsi="Arial" w:cs="Arial"/>
                      <w:sz w:val="24"/>
                      <w:szCs w:val="24"/>
                    </w:rPr>
                  </w:pPr>
                </w:p>
              </w:tc>
            </w:tr>
            <w:tr w:rsidR="001506C1" w:rsidRPr="00FA3F9C" w14:paraId="68692EB0" w14:textId="77777777" w:rsidTr="005005CA">
              <w:tc>
                <w:tcPr>
                  <w:tcW w:w="3050" w:type="dxa"/>
                  <w:tcBorders>
                    <w:left w:val="single" w:sz="8" w:space="0" w:color="000000"/>
                    <w:bottom w:val="single" w:sz="8" w:space="0" w:color="000000"/>
                    <w:right w:val="single" w:sz="8" w:space="0" w:color="000000"/>
                  </w:tcBorders>
                  <w:shd w:val="clear" w:color="auto" w:fill="FFFFFF"/>
                  <w:hideMark/>
                </w:tcPr>
                <w:p w14:paraId="373653FD" w14:textId="77777777" w:rsidR="001506C1" w:rsidRPr="00FA3F9C" w:rsidRDefault="001506C1" w:rsidP="00B15550">
                  <w:pPr>
                    <w:rPr>
                      <w:rFonts w:ascii="Arial" w:hAnsi="Arial" w:cs="Arial"/>
                      <w:sz w:val="24"/>
                      <w:szCs w:val="24"/>
                    </w:rPr>
                  </w:pPr>
                  <w:r w:rsidRPr="00FA3F9C">
                    <w:rPr>
                      <w:rFonts w:ascii="Arial" w:hAnsi="Arial" w:cs="Arial"/>
                      <w:i/>
                      <w:iCs/>
                      <w:sz w:val="24"/>
                      <w:szCs w:val="24"/>
                    </w:rPr>
                    <w:t>STAMPEDE</w:t>
                  </w:r>
                  <w:r w:rsidRPr="00FA3F9C">
                    <w:rPr>
                      <w:rFonts w:ascii="Arial" w:hAnsi="Arial" w:cs="Arial"/>
                      <w:sz w:val="24"/>
                      <w:szCs w:val="24"/>
                    </w:rPr>
                    <w:t xml:space="preserve"> [17]</w:t>
                  </w:r>
                </w:p>
              </w:tc>
              <w:tc>
                <w:tcPr>
                  <w:tcW w:w="1530" w:type="dxa"/>
                  <w:tcBorders>
                    <w:bottom w:val="single" w:sz="8" w:space="0" w:color="000000"/>
                    <w:right w:val="single" w:sz="8" w:space="0" w:color="000000"/>
                  </w:tcBorders>
                  <w:shd w:val="clear" w:color="auto" w:fill="FFFFFF"/>
                  <w:hideMark/>
                </w:tcPr>
                <w:p w14:paraId="3A40F0F8" w14:textId="77777777" w:rsidR="001506C1" w:rsidRPr="00FA3F9C" w:rsidRDefault="001506C1" w:rsidP="00B15550">
                  <w:pPr>
                    <w:rPr>
                      <w:rFonts w:ascii="Arial" w:hAnsi="Arial" w:cs="Arial"/>
                      <w:sz w:val="24"/>
                      <w:szCs w:val="24"/>
                    </w:rPr>
                  </w:pPr>
                </w:p>
              </w:tc>
            </w:tr>
            <w:tr w:rsidR="001506C1" w:rsidRPr="00FA3F9C" w14:paraId="2BED0913" w14:textId="77777777" w:rsidTr="005005CA">
              <w:tc>
                <w:tcPr>
                  <w:tcW w:w="3050" w:type="dxa"/>
                  <w:tcBorders>
                    <w:left w:val="single" w:sz="8" w:space="0" w:color="000000"/>
                    <w:bottom w:val="single" w:sz="8" w:space="0" w:color="000000"/>
                    <w:right w:val="single" w:sz="8" w:space="0" w:color="000000"/>
                  </w:tcBorders>
                  <w:shd w:val="clear" w:color="auto" w:fill="FFFFFF"/>
                  <w:hideMark/>
                </w:tcPr>
                <w:p w14:paraId="2630F28D" w14:textId="77777777" w:rsidR="001506C1" w:rsidRPr="00FA3F9C" w:rsidRDefault="001506C1" w:rsidP="00B15550">
                  <w:pPr>
                    <w:rPr>
                      <w:rFonts w:ascii="Arial" w:hAnsi="Arial" w:cs="Arial"/>
                      <w:sz w:val="24"/>
                      <w:szCs w:val="24"/>
                    </w:rPr>
                  </w:pPr>
                  <w:r w:rsidRPr="00FA3F9C">
                    <w:rPr>
                      <w:rFonts w:ascii="Arial" w:hAnsi="Arial" w:cs="Arial"/>
                      <w:sz w:val="24"/>
                      <w:szCs w:val="24"/>
                    </w:rPr>
                    <w:lastRenderedPageBreak/>
                    <w:t>ADT</w:t>
                  </w:r>
                </w:p>
              </w:tc>
              <w:tc>
                <w:tcPr>
                  <w:tcW w:w="1530" w:type="dxa"/>
                  <w:tcBorders>
                    <w:bottom w:val="single" w:sz="8" w:space="0" w:color="000000"/>
                    <w:right w:val="single" w:sz="8" w:space="0" w:color="000000"/>
                  </w:tcBorders>
                  <w:shd w:val="clear" w:color="auto" w:fill="FFFFFF"/>
                  <w:hideMark/>
                </w:tcPr>
                <w:p w14:paraId="3ED5D22E" w14:textId="77777777" w:rsidR="001506C1" w:rsidRPr="00FA3F9C" w:rsidRDefault="001506C1" w:rsidP="00B15550">
                  <w:pPr>
                    <w:rPr>
                      <w:rFonts w:ascii="Arial" w:hAnsi="Arial" w:cs="Arial"/>
                      <w:sz w:val="24"/>
                      <w:szCs w:val="24"/>
                    </w:rPr>
                  </w:pPr>
                  <w:r w:rsidRPr="00FA3F9C">
                    <w:rPr>
                      <w:rFonts w:ascii="Arial" w:hAnsi="Arial" w:cs="Arial"/>
                      <w:sz w:val="24"/>
                      <w:szCs w:val="24"/>
                    </w:rPr>
                    <w:t>315/960 (33%)</w:t>
                  </w:r>
                </w:p>
              </w:tc>
            </w:tr>
            <w:tr w:rsidR="001506C1" w:rsidRPr="00FA3F9C" w14:paraId="1FC9BFC7" w14:textId="77777777" w:rsidTr="005005CA">
              <w:tc>
                <w:tcPr>
                  <w:tcW w:w="3050" w:type="dxa"/>
                  <w:tcBorders>
                    <w:left w:val="single" w:sz="8" w:space="0" w:color="000000"/>
                    <w:bottom w:val="single" w:sz="8" w:space="0" w:color="000000"/>
                    <w:right w:val="single" w:sz="8" w:space="0" w:color="000000"/>
                  </w:tcBorders>
                  <w:shd w:val="clear" w:color="auto" w:fill="FFFFFF"/>
                  <w:hideMark/>
                </w:tcPr>
                <w:p w14:paraId="3F81F9FD" w14:textId="77777777" w:rsidR="001506C1" w:rsidRPr="00FA3F9C" w:rsidRDefault="001506C1" w:rsidP="00B15550">
                  <w:pPr>
                    <w:rPr>
                      <w:rFonts w:ascii="Arial" w:hAnsi="Arial" w:cs="Arial"/>
                      <w:sz w:val="24"/>
                      <w:szCs w:val="24"/>
                    </w:rPr>
                  </w:pPr>
                  <w:r w:rsidRPr="00FA3F9C">
                    <w:rPr>
                      <w:rFonts w:ascii="Arial" w:hAnsi="Arial" w:cs="Arial"/>
                      <w:sz w:val="24"/>
                      <w:szCs w:val="24"/>
                    </w:rPr>
                    <w:t>ADT + Abiraterone</w:t>
                  </w:r>
                </w:p>
              </w:tc>
              <w:tc>
                <w:tcPr>
                  <w:tcW w:w="1530" w:type="dxa"/>
                  <w:tcBorders>
                    <w:bottom w:val="single" w:sz="8" w:space="0" w:color="000000"/>
                    <w:right w:val="single" w:sz="8" w:space="0" w:color="000000"/>
                  </w:tcBorders>
                  <w:shd w:val="clear" w:color="auto" w:fill="FFFFFF"/>
                  <w:hideMark/>
                </w:tcPr>
                <w:p w14:paraId="786041D0" w14:textId="77777777" w:rsidR="001506C1" w:rsidRPr="00FA3F9C" w:rsidRDefault="001506C1" w:rsidP="00B15550">
                  <w:pPr>
                    <w:rPr>
                      <w:rFonts w:ascii="Arial" w:hAnsi="Arial" w:cs="Arial"/>
                      <w:sz w:val="24"/>
                      <w:szCs w:val="24"/>
                    </w:rPr>
                  </w:pPr>
                  <w:r w:rsidRPr="00FA3F9C">
                    <w:rPr>
                      <w:rFonts w:ascii="Arial" w:hAnsi="Arial" w:cs="Arial"/>
                      <w:sz w:val="24"/>
                      <w:szCs w:val="24"/>
                    </w:rPr>
                    <w:t>443/948 (47%)</w:t>
                  </w:r>
                </w:p>
              </w:tc>
            </w:tr>
            <w:tr w:rsidR="001506C1" w:rsidRPr="00FA3F9C" w14:paraId="260418FD" w14:textId="77777777" w:rsidTr="005005CA">
              <w:tc>
                <w:tcPr>
                  <w:tcW w:w="3050" w:type="dxa"/>
                  <w:tcBorders>
                    <w:left w:val="single" w:sz="8" w:space="0" w:color="000000"/>
                    <w:bottom w:val="single" w:sz="8" w:space="0" w:color="000000"/>
                    <w:right w:val="single" w:sz="8" w:space="0" w:color="000000"/>
                  </w:tcBorders>
                  <w:shd w:val="clear" w:color="auto" w:fill="FFFFFF"/>
                  <w:hideMark/>
                </w:tcPr>
                <w:p w14:paraId="19CEE879" w14:textId="77777777" w:rsidR="001506C1" w:rsidRPr="00FA3F9C" w:rsidRDefault="001506C1" w:rsidP="00B15550">
                  <w:pPr>
                    <w:rPr>
                      <w:rFonts w:ascii="Arial" w:hAnsi="Arial" w:cs="Arial"/>
                      <w:sz w:val="24"/>
                      <w:szCs w:val="24"/>
                    </w:rPr>
                  </w:pPr>
                  <w:r w:rsidRPr="00FA3F9C">
                    <w:rPr>
                      <w:rFonts w:ascii="Arial" w:hAnsi="Arial" w:cs="Arial"/>
                      <w:i/>
                      <w:iCs/>
                      <w:sz w:val="24"/>
                      <w:szCs w:val="24"/>
                    </w:rPr>
                    <w:t>LATITUDE</w:t>
                  </w:r>
                  <w:r w:rsidRPr="00FA3F9C">
                    <w:rPr>
                      <w:rFonts w:ascii="Arial" w:hAnsi="Arial" w:cs="Arial"/>
                      <w:sz w:val="24"/>
                      <w:szCs w:val="24"/>
                    </w:rPr>
                    <w:t xml:space="preserve"> [18]</w:t>
                  </w:r>
                </w:p>
              </w:tc>
              <w:tc>
                <w:tcPr>
                  <w:tcW w:w="1530" w:type="dxa"/>
                  <w:tcBorders>
                    <w:bottom w:val="single" w:sz="8" w:space="0" w:color="000000"/>
                    <w:right w:val="single" w:sz="8" w:space="0" w:color="000000"/>
                  </w:tcBorders>
                  <w:shd w:val="clear" w:color="auto" w:fill="FFFFFF"/>
                  <w:hideMark/>
                </w:tcPr>
                <w:p w14:paraId="31B91FC2" w14:textId="77777777" w:rsidR="001506C1" w:rsidRPr="00FA3F9C" w:rsidRDefault="001506C1" w:rsidP="00B15550">
                  <w:pPr>
                    <w:rPr>
                      <w:rFonts w:ascii="Arial" w:hAnsi="Arial" w:cs="Arial"/>
                      <w:sz w:val="24"/>
                      <w:szCs w:val="24"/>
                    </w:rPr>
                  </w:pPr>
                </w:p>
              </w:tc>
            </w:tr>
            <w:tr w:rsidR="001506C1" w:rsidRPr="00FA3F9C" w14:paraId="4E2713C2" w14:textId="77777777" w:rsidTr="005005CA">
              <w:tc>
                <w:tcPr>
                  <w:tcW w:w="3050" w:type="dxa"/>
                  <w:tcBorders>
                    <w:left w:val="single" w:sz="8" w:space="0" w:color="000000"/>
                    <w:bottom w:val="single" w:sz="8" w:space="0" w:color="000000"/>
                    <w:right w:val="single" w:sz="8" w:space="0" w:color="000000"/>
                  </w:tcBorders>
                  <w:shd w:val="clear" w:color="auto" w:fill="FFFFFF"/>
                  <w:hideMark/>
                </w:tcPr>
                <w:p w14:paraId="063F6EA4" w14:textId="77777777" w:rsidR="001506C1" w:rsidRPr="00FA3F9C" w:rsidRDefault="001506C1" w:rsidP="00B15550">
                  <w:pPr>
                    <w:rPr>
                      <w:rFonts w:ascii="Arial" w:hAnsi="Arial" w:cs="Arial"/>
                      <w:sz w:val="24"/>
                      <w:szCs w:val="24"/>
                    </w:rPr>
                  </w:pPr>
                  <w:r w:rsidRPr="00FA3F9C">
                    <w:rPr>
                      <w:rFonts w:ascii="Arial" w:hAnsi="Arial" w:cs="Arial"/>
                      <w:sz w:val="24"/>
                      <w:szCs w:val="24"/>
                    </w:rPr>
                    <w:t>ADT</w:t>
                  </w:r>
                </w:p>
              </w:tc>
              <w:tc>
                <w:tcPr>
                  <w:tcW w:w="1530" w:type="dxa"/>
                  <w:tcBorders>
                    <w:bottom w:val="single" w:sz="8" w:space="0" w:color="000000"/>
                    <w:right w:val="single" w:sz="8" w:space="0" w:color="000000"/>
                  </w:tcBorders>
                  <w:shd w:val="clear" w:color="auto" w:fill="FFFFFF"/>
                  <w:hideMark/>
                </w:tcPr>
                <w:p w14:paraId="4A843D0E" w14:textId="77777777" w:rsidR="001506C1" w:rsidRPr="00FA3F9C" w:rsidRDefault="001506C1" w:rsidP="00B15550">
                  <w:pPr>
                    <w:rPr>
                      <w:rFonts w:ascii="Arial" w:hAnsi="Arial" w:cs="Arial"/>
                      <w:sz w:val="24"/>
                      <w:szCs w:val="24"/>
                    </w:rPr>
                  </w:pPr>
                  <w:r w:rsidRPr="00FA3F9C">
                    <w:rPr>
                      <w:rFonts w:ascii="Arial" w:hAnsi="Arial" w:cs="Arial"/>
                      <w:sz w:val="24"/>
                      <w:szCs w:val="24"/>
                    </w:rPr>
                    <w:t>311/602 (52%)</w:t>
                  </w:r>
                </w:p>
              </w:tc>
            </w:tr>
            <w:tr w:rsidR="001506C1" w:rsidRPr="00FA3F9C" w14:paraId="239AC921" w14:textId="77777777" w:rsidTr="005005CA">
              <w:tc>
                <w:tcPr>
                  <w:tcW w:w="3050" w:type="dxa"/>
                  <w:tcBorders>
                    <w:left w:val="single" w:sz="8" w:space="0" w:color="000000"/>
                    <w:bottom w:val="single" w:sz="8" w:space="0" w:color="000000"/>
                    <w:right w:val="single" w:sz="8" w:space="0" w:color="000000"/>
                  </w:tcBorders>
                  <w:shd w:val="clear" w:color="auto" w:fill="FFFFFF"/>
                  <w:hideMark/>
                </w:tcPr>
                <w:p w14:paraId="4C2DD2DE" w14:textId="77777777" w:rsidR="001506C1" w:rsidRPr="00FA3F9C" w:rsidRDefault="001506C1" w:rsidP="00B15550">
                  <w:pPr>
                    <w:rPr>
                      <w:rFonts w:ascii="Arial" w:hAnsi="Arial" w:cs="Arial"/>
                      <w:sz w:val="24"/>
                      <w:szCs w:val="24"/>
                    </w:rPr>
                  </w:pPr>
                  <w:r w:rsidRPr="00FA3F9C">
                    <w:rPr>
                      <w:rFonts w:ascii="Arial" w:hAnsi="Arial" w:cs="Arial"/>
                      <w:sz w:val="24"/>
                      <w:szCs w:val="24"/>
                    </w:rPr>
                    <w:t>ADT + Abiraterone</w:t>
                  </w:r>
                </w:p>
              </w:tc>
              <w:tc>
                <w:tcPr>
                  <w:tcW w:w="1530" w:type="dxa"/>
                  <w:tcBorders>
                    <w:bottom w:val="single" w:sz="8" w:space="0" w:color="000000"/>
                    <w:right w:val="single" w:sz="8" w:space="0" w:color="000000"/>
                  </w:tcBorders>
                  <w:shd w:val="clear" w:color="auto" w:fill="FFFFFF"/>
                  <w:hideMark/>
                </w:tcPr>
                <w:p w14:paraId="14FF5CE0" w14:textId="77777777" w:rsidR="001506C1" w:rsidRPr="00FA3F9C" w:rsidRDefault="001506C1" w:rsidP="00B15550">
                  <w:pPr>
                    <w:rPr>
                      <w:rFonts w:ascii="Arial" w:hAnsi="Arial" w:cs="Arial"/>
                      <w:sz w:val="24"/>
                      <w:szCs w:val="24"/>
                    </w:rPr>
                  </w:pPr>
                  <w:r w:rsidRPr="00FA3F9C">
                    <w:rPr>
                      <w:rFonts w:ascii="Arial" w:hAnsi="Arial" w:cs="Arial"/>
                      <w:sz w:val="24"/>
                      <w:szCs w:val="24"/>
                    </w:rPr>
                    <w:t>402/597 (67%)</w:t>
                  </w:r>
                </w:p>
              </w:tc>
            </w:tr>
            <w:tr w:rsidR="001506C1" w:rsidRPr="00FA3F9C" w14:paraId="449E5E9D" w14:textId="77777777" w:rsidTr="005005CA">
              <w:tc>
                <w:tcPr>
                  <w:tcW w:w="4580" w:type="dxa"/>
                  <w:gridSpan w:val="2"/>
                  <w:tcBorders>
                    <w:left w:val="single" w:sz="8" w:space="0" w:color="000000"/>
                    <w:bottom w:val="single" w:sz="8" w:space="0" w:color="000000"/>
                    <w:right w:val="single" w:sz="8" w:space="0" w:color="000000"/>
                  </w:tcBorders>
                  <w:shd w:val="clear" w:color="auto" w:fill="FFFFFF"/>
                  <w:hideMark/>
                </w:tcPr>
                <w:p w14:paraId="0422C2F8" w14:textId="77777777" w:rsidR="001506C1" w:rsidRPr="00FA3F9C" w:rsidRDefault="001506C1" w:rsidP="00B15550">
                  <w:pPr>
                    <w:rPr>
                      <w:rFonts w:ascii="Arial" w:hAnsi="Arial" w:cs="Arial"/>
                      <w:sz w:val="24"/>
                      <w:szCs w:val="24"/>
                    </w:rPr>
                  </w:pPr>
                  <w:r w:rsidRPr="00FA3F9C">
                    <w:rPr>
                      <w:rFonts w:ascii="Arial" w:hAnsi="Arial" w:cs="Arial"/>
                      <w:sz w:val="24"/>
                      <w:szCs w:val="24"/>
                    </w:rPr>
                    <w:t>AE: adverse event; ADT: androgen deprivation therapy; ZA: zoledronic acid.</w:t>
                  </w:r>
                </w:p>
              </w:tc>
            </w:tr>
          </w:tbl>
          <w:p w14:paraId="0AA0818F" w14:textId="77777777" w:rsidR="001506C1" w:rsidRPr="00FA3F9C" w:rsidRDefault="001506C1" w:rsidP="00B15550">
            <w:pPr>
              <w:shd w:val="clear" w:color="auto" w:fill="FFFFFF"/>
              <w:rPr>
                <w:rFonts w:ascii="Arial" w:hAnsi="Arial" w:cs="Arial"/>
                <w:sz w:val="24"/>
                <w:szCs w:val="24"/>
              </w:rPr>
            </w:pPr>
            <w:r w:rsidRPr="00FA3F9C">
              <w:rPr>
                <w:rFonts w:ascii="Arial" w:hAnsi="Arial" w:cs="Arial"/>
                <w:color w:val="000000"/>
                <w:sz w:val="24"/>
                <w:szCs w:val="24"/>
              </w:rPr>
              <w:br/>
            </w:r>
            <w:r w:rsidRPr="00FA3F9C">
              <w:rPr>
                <w:rFonts w:ascii="Arial" w:hAnsi="Arial" w:cs="Arial"/>
                <w:sz w:val="24"/>
                <w:szCs w:val="24"/>
              </w:rPr>
              <w:t>Although ref 3 shows abiraterone +ADT improves OS vs ADT alone in men with newly diagnosed and metastatic, node+ or high-risk locally advanced, or disease that was previously treated w/ radical surgery or radiotherapy and was now relapsing, NCCN for Prostate CA 2.2017 shows for systemic therapy for progressive castration-naïve disease to give ADT + docetaxel w/ or w/o prednisone.</w:t>
            </w:r>
          </w:p>
        </w:tc>
        <w:tc>
          <w:tcPr>
            <w:tcW w:w="0" w:type="auto"/>
            <w:shd w:val="clear" w:color="auto" w:fill="auto"/>
          </w:tcPr>
          <w:p w14:paraId="4A96FA3B" w14:textId="77777777" w:rsidR="001506C1" w:rsidRPr="00FA3F9C" w:rsidRDefault="001506C1" w:rsidP="00013EE7">
            <w:pPr>
              <w:autoSpaceDE w:val="0"/>
              <w:autoSpaceDN w:val="0"/>
              <w:adjustRightInd w:val="0"/>
              <w:rPr>
                <w:rFonts w:ascii="Arial" w:hAnsi="Arial" w:cs="Arial"/>
                <w:sz w:val="24"/>
                <w:szCs w:val="24"/>
              </w:rPr>
            </w:pPr>
            <w:r w:rsidRPr="00FA3F9C">
              <w:rPr>
                <w:rFonts w:ascii="Arial" w:hAnsi="Arial" w:cs="Arial"/>
                <w:sz w:val="24"/>
                <w:szCs w:val="24"/>
              </w:rPr>
              <w:lastRenderedPageBreak/>
              <w:t>JJ</w:t>
            </w:r>
          </w:p>
        </w:tc>
      </w:tr>
      <w:tr w:rsidR="001506C1" w:rsidRPr="00FA3F9C" w14:paraId="12B4E928" w14:textId="77777777" w:rsidTr="005F63D7">
        <w:tc>
          <w:tcPr>
            <w:tcW w:w="0" w:type="auto"/>
            <w:shd w:val="clear" w:color="auto" w:fill="auto"/>
          </w:tcPr>
          <w:p w14:paraId="35249F94" w14:textId="77777777" w:rsidR="001506C1" w:rsidRPr="00FA3F9C" w:rsidRDefault="001506C1" w:rsidP="00013EE7">
            <w:pPr>
              <w:autoSpaceDE w:val="0"/>
              <w:autoSpaceDN w:val="0"/>
              <w:adjustRightInd w:val="0"/>
              <w:rPr>
                <w:rFonts w:ascii="Arial" w:hAnsi="Arial" w:cs="Arial"/>
                <w:sz w:val="24"/>
                <w:szCs w:val="24"/>
              </w:rPr>
            </w:pPr>
            <w:r w:rsidRPr="00FA3F9C">
              <w:rPr>
                <w:rFonts w:ascii="Arial" w:hAnsi="Arial" w:cs="Arial"/>
                <w:sz w:val="24"/>
                <w:szCs w:val="24"/>
              </w:rPr>
              <w:lastRenderedPageBreak/>
              <w:t>07/25/2018</w:t>
            </w:r>
          </w:p>
        </w:tc>
        <w:tc>
          <w:tcPr>
            <w:tcW w:w="0" w:type="auto"/>
            <w:shd w:val="clear" w:color="auto" w:fill="auto"/>
          </w:tcPr>
          <w:p w14:paraId="590AD05F" w14:textId="77777777" w:rsidR="001506C1" w:rsidRPr="00FA3F9C" w:rsidRDefault="001506C1" w:rsidP="005F63D7">
            <w:pPr>
              <w:rPr>
                <w:rFonts w:ascii="Arial" w:hAnsi="Arial" w:cs="Arial"/>
                <w:sz w:val="24"/>
                <w:szCs w:val="24"/>
              </w:rPr>
            </w:pPr>
            <w:r w:rsidRPr="00FA3F9C">
              <w:rPr>
                <w:rFonts w:ascii="Arial" w:hAnsi="Arial" w:cs="Arial"/>
                <w:sz w:val="24"/>
                <w:szCs w:val="24"/>
              </w:rPr>
              <w:t xml:space="preserve">Added </w:t>
            </w:r>
            <w:proofErr w:type="spellStart"/>
            <w:r w:rsidRPr="00FA3F9C">
              <w:rPr>
                <w:rFonts w:ascii="Arial" w:hAnsi="Arial" w:cs="Arial"/>
                <w:sz w:val="24"/>
                <w:szCs w:val="24"/>
              </w:rPr>
              <w:t>Yonsa</w:t>
            </w:r>
            <w:proofErr w:type="spellEnd"/>
            <w:r w:rsidRPr="00FA3F9C">
              <w:rPr>
                <w:rFonts w:ascii="Arial" w:hAnsi="Arial" w:cs="Arial"/>
                <w:sz w:val="24"/>
                <w:szCs w:val="24"/>
              </w:rPr>
              <w:t xml:space="preserve"> to PA criteria based on being interchangeable with Zytiga in its ability to reduce testosterone (STARR trial for therapeutic equivalence: reference 7-also added); No HTH trials of Zytiga vs </w:t>
            </w:r>
            <w:proofErr w:type="spellStart"/>
            <w:r w:rsidRPr="00FA3F9C">
              <w:rPr>
                <w:rFonts w:ascii="Arial" w:hAnsi="Arial" w:cs="Arial"/>
                <w:sz w:val="24"/>
                <w:szCs w:val="24"/>
              </w:rPr>
              <w:t>Yonsa</w:t>
            </w:r>
            <w:proofErr w:type="spellEnd"/>
            <w:r w:rsidRPr="00FA3F9C">
              <w:rPr>
                <w:rFonts w:ascii="Arial" w:hAnsi="Arial" w:cs="Arial"/>
                <w:sz w:val="24"/>
                <w:szCs w:val="24"/>
              </w:rPr>
              <w:t xml:space="preserve"> for OS in </w:t>
            </w:r>
            <w:proofErr w:type="spellStart"/>
            <w:r w:rsidRPr="00FA3F9C">
              <w:rPr>
                <w:rFonts w:ascii="Arial" w:hAnsi="Arial" w:cs="Arial"/>
                <w:sz w:val="24"/>
                <w:szCs w:val="24"/>
              </w:rPr>
              <w:t>mCRPC</w:t>
            </w:r>
            <w:proofErr w:type="spellEnd"/>
            <w:r w:rsidRPr="00FA3F9C">
              <w:rPr>
                <w:rFonts w:ascii="Arial" w:hAnsi="Arial" w:cs="Arial"/>
                <w:sz w:val="24"/>
                <w:szCs w:val="24"/>
              </w:rPr>
              <w:t>.</w:t>
            </w:r>
          </w:p>
        </w:tc>
        <w:tc>
          <w:tcPr>
            <w:tcW w:w="0" w:type="auto"/>
            <w:shd w:val="clear" w:color="auto" w:fill="auto"/>
          </w:tcPr>
          <w:p w14:paraId="0EE8C407" w14:textId="77777777" w:rsidR="001506C1" w:rsidRPr="00FA3F9C" w:rsidRDefault="001506C1" w:rsidP="00013EE7">
            <w:pPr>
              <w:autoSpaceDE w:val="0"/>
              <w:autoSpaceDN w:val="0"/>
              <w:adjustRightInd w:val="0"/>
              <w:rPr>
                <w:rFonts w:ascii="Arial" w:hAnsi="Arial" w:cs="Arial"/>
                <w:sz w:val="24"/>
                <w:szCs w:val="24"/>
              </w:rPr>
            </w:pPr>
            <w:r w:rsidRPr="00FA3F9C">
              <w:rPr>
                <w:rFonts w:ascii="Arial" w:hAnsi="Arial" w:cs="Arial"/>
                <w:sz w:val="24"/>
                <w:szCs w:val="24"/>
              </w:rPr>
              <w:t>ALM</w:t>
            </w:r>
          </w:p>
        </w:tc>
      </w:tr>
      <w:tr w:rsidR="001506C1" w:rsidRPr="00FA3F9C" w14:paraId="6E438D46" w14:textId="77777777" w:rsidTr="005F63D7">
        <w:tc>
          <w:tcPr>
            <w:tcW w:w="0" w:type="auto"/>
            <w:shd w:val="clear" w:color="auto" w:fill="auto"/>
          </w:tcPr>
          <w:p w14:paraId="4161683E" w14:textId="77777777" w:rsidR="001506C1" w:rsidRPr="00FA3F9C" w:rsidRDefault="001506C1" w:rsidP="00013EE7">
            <w:pPr>
              <w:autoSpaceDE w:val="0"/>
              <w:autoSpaceDN w:val="0"/>
              <w:adjustRightInd w:val="0"/>
              <w:rPr>
                <w:rFonts w:ascii="Arial" w:hAnsi="Arial" w:cs="Arial"/>
                <w:sz w:val="24"/>
                <w:szCs w:val="24"/>
              </w:rPr>
            </w:pPr>
            <w:r w:rsidRPr="00FA3F9C">
              <w:rPr>
                <w:rFonts w:ascii="Arial" w:hAnsi="Arial" w:cs="Arial"/>
                <w:sz w:val="24"/>
                <w:szCs w:val="24"/>
              </w:rPr>
              <w:t>5/20/19</w:t>
            </w:r>
          </w:p>
        </w:tc>
        <w:tc>
          <w:tcPr>
            <w:tcW w:w="0" w:type="auto"/>
            <w:shd w:val="clear" w:color="auto" w:fill="auto"/>
          </w:tcPr>
          <w:p w14:paraId="50E8DBA7" w14:textId="77777777" w:rsidR="001506C1" w:rsidRPr="00FA3F9C" w:rsidRDefault="001506C1" w:rsidP="005F63D7">
            <w:pPr>
              <w:rPr>
                <w:rFonts w:ascii="Arial" w:hAnsi="Arial" w:cs="Arial"/>
                <w:sz w:val="24"/>
                <w:szCs w:val="24"/>
              </w:rPr>
            </w:pPr>
            <w:r w:rsidRPr="00FA3F9C">
              <w:rPr>
                <w:rFonts w:ascii="Arial" w:hAnsi="Arial" w:cs="Arial"/>
                <w:sz w:val="24"/>
                <w:szCs w:val="24"/>
              </w:rPr>
              <w:t>Full criteria reviewed. Adjusted criteria to allow for use for castration sensitive as well as resistant disease regardless of docetaxel status due to consistent overall survival improvement compared with ADT alone.</w:t>
            </w:r>
          </w:p>
        </w:tc>
        <w:tc>
          <w:tcPr>
            <w:tcW w:w="0" w:type="auto"/>
            <w:shd w:val="clear" w:color="auto" w:fill="auto"/>
          </w:tcPr>
          <w:p w14:paraId="103F7A4D" w14:textId="77777777" w:rsidR="001506C1" w:rsidRPr="00FA3F9C" w:rsidRDefault="001506C1" w:rsidP="00013EE7">
            <w:pPr>
              <w:autoSpaceDE w:val="0"/>
              <w:autoSpaceDN w:val="0"/>
              <w:adjustRightInd w:val="0"/>
              <w:rPr>
                <w:rFonts w:ascii="Arial" w:hAnsi="Arial" w:cs="Arial"/>
                <w:sz w:val="24"/>
                <w:szCs w:val="24"/>
              </w:rPr>
            </w:pPr>
            <w:proofErr w:type="spellStart"/>
            <w:r w:rsidRPr="00FA3F9C">
              <w:rPr>
                <w:rFonts w:ascii="Arial" w:hAnsi="Arial" w:cs="Arial"/>
                <w:sz w:val="24"/>
                <w:szCs w:val="24"/>
              </w:rPr>
              <w:t>Sk</w:t>
            </w:r>
            <w:proofErr w:type="spellEnd"/>
          </w:p>
        </w:tc>
      </w:tr>
      <w:tr w:rsidR="001506C1" w:rsidRPr="00FA3F9C" w14:paraId="7221B4C6" w14:textId="77777777" w:rsidTr="005F63D7">
        <w:tc>
          <w:tcPr>
            <w:tcW w:w="0" w:type="auto"/>
            <w:shd w:val="clear" w:color="auto" w:fill="auto"/>
          </w:tcPr>
          <w:p w14:paraId="308FA433" w14:textId="77777777" w:rsidR="001506C1" w:rsidRPr="00FA3F9C" w:rsidRDefault="001506C1" w:rsidP="00013EE7">
            <w:pPr>
              <w:autoSpaceDE w:val="0"/>
              <w:autoSpaceDN w:val="0"/>
              <w:adjustRightInd w:val="0"/>
              <w:rPr>
                <w:rFonts w:ascii="Arial" w:hAnsi="Arial" w:cs="Arial"/>
                <w:sz w:val="24"/>
                <w:szCs w:val="24"/>
              </w:rPr>
            </w:pPr>
            <w:r w:rsidRPr="00FA3F9C">
              <w:rPr>
                <w:rFonts w:ascii="Arial" w:hAnsi="Arial" w:cs="Arial"/>
                <w:sz w:val="24"/>
                <w:szCs w:val="24"/>
              </w:rPr>
              <w:t>10/28/19</w:t>
            </w:r>
          </w:p>
        </w:tc>
        <w:tc>
          <w:tcPr>
            <w:tcW w:w="0" w:type="auto"/>
            <w:shd w:val="clear" w:color="auto" w:fill="auto"/>
          </w:tcPr>
          <w:p w14:paraId="119B166A" w14:textId="77777777" w:rsidR="001506C1" w:rsidRPr="00FA3F9C" w:rsidRDefault="001506C1" w:rsidP="002569A0">
            <w:pPr>
              <w:rPr>
                <w:rFonts w:ascii="Arial" w:hAnsi="Arial" w:cs="Arial"/>
                <w:sz w:val="24"/>
                <w:szCs w:val="24"/>
              </w:rPr>
            </w:pPr>
            <w:r w:rsidRPr="00FA3F9C">
              <w:rPr>
                <w:rFonts w:ascii="Arial" w:hAnsi="Arial" w:cs="Arial"/>
                <w:sz w:val="24"/>
                <w:szCs w:val="24"/>
              </w:rPr>
              <w:t>Criteria reviewed. Added that no prior docetaxel should have been used if request is for use in the castration sensitive treatment setting.</w:t>
            </w:r>
          </w:p>
        </w:tc>
        <w:tc>
          <w:tcPr>
            <w:tcW w:w="0" w:type="auto"/>
            <w:shd w:val="clear" w:color="auto" w:fill="auto"/>
          </w:tcPr>
          <w:p w14:paraId="05B7AAD7" w14:textId="77777777" w:rsidR="001506C1" w:rsidRPr="00FA3F9C" w:rsidRDefault="001506C1" w:rsidP="00013EE7">
            <w:pPr>
              <w:autoSpaceDE w:val="0"/>
              <w:autoSpaceDN w:val="0"/>
              <w:adjustRightInd w:val="0"/>
              <w:rPr>
                <w:rFonts w:ascii="Arial" w:hAnsi="Arial" w:cs="Arial"/>
                <w:sz w:val="24"/>
                <w:szCs w:val="24"/>
              </w:rPr>
            </w:pPr>
            <w:r w:rsidRPr="00FA3F9C">
              <w:rPr>
                <w:rFonts w:ascii="Arial" w:hAnsi="Arial" w:cs="Arial"/>
                <w:sz w:val="24"/>
                <w:szCs w:val="24"/>
              </w:rPr>
              <w:t>SK</w:t>
            </w:r>
          </w:p>
        </w:tc>
      </w:tr>
      <w:tr w:rsidR="001506C1" w:rsidRPr="00FA3F9C" w14:paraId="28A78F8D" w14:textId="77777777" w:rsidTr="005F63D7">
        <w:tc>
          <w:tcPr>
            <w:tcW w:w="0" w:type="auto"/>
            <w:shd w:val="clear" w:color="auto" w:fill="auto"/>
          </w:tcPr>
          <w:p w14:paraId="1220F263" w14:textId="77777777" w:rsidR="001506C1" w:rsidRPr="00FA3F9C" w:rsidRDefault="001506C1" w:rsidP="00013EE7">
            <w:pPr>
              <w:autoSpaceDE w:val="0"/>
              <w:autoSpaceDN w:val="0"/>
              <w:adjustRightInd w:val="0"/>
              <w:rPr>
                <w:rFonts w:ascii="Arial" w:hAnsi="Arial" w:cs="Arial"/>
                <w:sz w:val="24"/>
                <w:szCs w:val="24"/>
              </w:rPr>
            </w:pPr>
            <w:r w:rsidRPr="00FA3F9C">
              <w:rPr>
                <w:rFonts w:ascii="Arial" w:hAnsi="Arial" w:cs="Arial"/>
                <w:sz w:val="24"/>
                <w:szCs w:val="24"/>
              </w:rPr>
              <w:lastRenderedPageBreak/>
              <w:t>7/7/2020</w:t>
            </w:r>
          </w:p>
        </w:tc>
        <w:tc>
          <w:tcPr>
            <w:tcW w:w="0" w:type="auto"/>
            <w:shd w:val="clear" w:color="auto" w:fill="auto"/>
          </w:tcPr>
          <w:p w14:paraId="14FF8D85" w14:textId="77777777" w:rsidR="001506C1" w:rsidRPr="00FA3F9C" w:rsidRDefault="001506C1" w:rsidP="00A2358E">
            <w:pPr>
              <w:rPr>
                <w:rFonts w:ascii="Arial" w:hAnsi="Arial" w:cs="Arial"/>
                <w:sz w:val="24"/>
                <w:szCs w:val="24"/>
              </w:rPr>
            </w:pPr>
            <w:r w:rsidRPr="00FA3F9C">
              <w:rPr>
                <w:rFonts w:ascii="Arial" w:hAnsi="Arial" w:cs="Arial"/>
                <w:sz w:val="24"/>
                <w:szCs w:val="24"/>
              </w:rPr>
              <w:t xml:space="preserve">Criteria reviewed. No change. Added notes that 250 mg tablet is preferred over 500 mg tablet. </w:t>
            </w:r>
          </w:p>
        </w:tc>
        <w:tc>
          <w:tcPr>
            <w:tcW w:w="0" w:type="auto"/>
            <w:shd w:val="clear" w:color="auto" w:fill="auto"/>
          </w:tcPr>
          <w:p w14:paraId="2AE4DAB8" w14:textId="77777777" w:rsidR="001506C1" w:rsidRPr="00FA3F9C" w:rsidRDefault="001506C1" w:rsidP="00013EE7">
            <w:pPr>
              <w:autoSpaceDE w:val="0"/>
              <w:autoSpaceDN w:val="0"/>
              <w:adjustRightInd w:val="0"/>
              <w:rPr>
                <w:rFonts w:ascii="Arial" w:hAnsi="Arial" w:cs="Arial"/>
                <w:sz w:val="24"/>
                <w:szCs w:val="24"/>
              </w:rPr>
            </w:pPr>
            <w:r w:rsidRPr="00FA3F9C">
              <w:rPr>
                <w:rFonts w:ascii="Arial" w:hAnsi="Arial" w:cs="Arial"/>
                <w:sz w:val="24"/>
                <w:szCs w:val="24"/>
              </w:rPr>
              <w:t>SK</w:t>
            </w:r>
          </w:p>
        </w:tc>
      </w:tr>
      <w:tr w:rsidR="001506C1" w:rsidRPr="00FA3F9C" w14:paraId="1C7B5409" w14:textId="77777777" w:rsidTr="005F63D7">
        <w:tc>
          <w:tcPr>
            <w:tcW w:w="0" w:type="auto"/>
            <w:shd w:val="clear" w:color="auto" w:fill="auto"/>
          </w:tcPr>
          <w:p w14:paraId="3F3ACB5F" w14:textId="77777777" w:rsidR="001506C1" w:rsidRPr="00FA3F9C" w:rsidRDefault="001506C1" w:rsidP="00013EE7">
            <w:pPr>
              <w:autoSpaceDE w:val="0"/>
              <w:autoSpaceDN w:val="0"/>
              <w:adjustRightInd w:val="0"/>
              <w:rPr>
                <w:rFonts w:ascii="Arial" w:hAnsi="Arial" w:cs="Arial"/>
                <w:sz w:val="24"/>
                <w:szCs w:val="24"/>
              </w:rPr>
            </w:pPr>
            <w:r w:rsidRPr="00FA3F9C">
              <w:rPr>
                <w:rFonts w:ascii="Arial" w:hAnsi="Arial" w:cs="Arial"/>
                <w:sz w:val="24"/>
                <w:szCs w:val="24"/>
              </w:rPr>
              <w:t>9/28/2021</w:t>
            </w:r>
          </w:p>
        </w:tc>
        <w:tc>
          <w:tcPr>
            <w:tcW w:w="0" w:type="auto"/>
            <w:shd w:val="clear" w:color="auto" w:fill="auto"/>
          </w:tcPr>
          <w:p w14:paraId="4D98C95D" w14:textId="77777777" w:rsidR="001506C1" w:rsidRPr="00FA3F9C" w:rsidRDefault="001506C1" w:rsidP="00A2358E">
            <w:pPr>
              <w:rPr>
                <w:rFonts w:ascii="Arial" w:hAnsi="Arial" w:cs="Arial"/>
                <w:sz w:val="24"/>
                <w:szCs w:val="24"/>
              </w:rPr>
            </w:pPr>
            <w:r w:rsidRPr="00FA3F9C">
              <w:rPr>
                <w:rFonts w:ascii="Arial" w:hAnsi="Arial" w:cs="Arial"/>
                <w:sz w:val="24"/>
                <w:szCs w:val="24"/>
              </w:rPr>
              <w:t xml:space="preserve">Criteria reviewed. No change. Watch for STAMPEDE data in </w:t>
            </w:r>
            <w:proofErr w:type="spellStart"/>
            <w:r w:rsidRPr="00FA3F9C">
              <w:rPr>
                <w:rFonts w:ascii="Arial" w:hAnsi="Arial" w:cs="Arial"/>
                <w:sz w:val="24"/>
                <w:szCs w:val="24"/>
              </w:rPr>
              <w:t>non metastatic</w:t>
            </w:r>
            <w:proofErr w:type="spellEnd"/>
            <w:r w:rsidRPr="00FA3F9C">
              <w:rPr>
                <w:rFonts w:ascii="Arial" w:hAnsi="Arial" w:cs="Arial"/>
                <w:sz w:val="24"/>
                <w:szCs w:val="24"/>
              </w:rPr>
              <w:t xml:space="preserve"> PC. Adjusted wording re: 500 mg tab—it is now </w:t>
            </w:r>
            <w:proofErr w:type="gramStart"/>
            <w:r w:rsidRPr="00FA3F9C">
              <w:rPr>
                <w:rFonts w:ascii="Arial" w:hAnsi="Arial" w:cs="Arial"/>
                <w:sz w:val="24"/>
                <w:szCs w:val="24"/>
              </w:rPr>
              <w:t>generic</w:t>
            </w:r>
            <w:proofErr w:type="gramEnd"/>
            <w:r w:rsidRPr="00FA3F9C">
              <w:rPr>
                <w:rFonts w:ascii="Arial" w:hAnsi="Arial" w:cs="Arial"/>
                <w:sz w:val="24"/>
                <w:szCs w:val="24"/>
              </w:rPr>
              <w:t xml:space="preserve"> but cost remains high.</w:t>
            </w:r>
          </w:p>
        </w:tc>
        <w:tc>
          <w:tcPr>
            <w:tcW w:w="0" w:type="auto"/>
            <w:shd w:val="clear" w:color="auto" w:fill="auto"/>
          </w:tcPr>
          <w:p w14:paraId="7971C40E" w14:textId="77777777" w:rsidR="001506C1" w:rsidRPr="00FA3F9C" w:rsidRDefault="001506C1" w:rsidP="00013EE7">
            <w:pPr>
              <w:autoSpaceDE w:val="0"/>
              <w:autoSpaceDN w:val="0"/>
              <w:adjustRightInd w:val="0"/>
              <w:rPr>
                <w:rFonts w:ascii="Arial" w:hAnsi="Arial" w:cs="Arial"/>
                <w:sz w:val="24"/>
                <w:szCs w:val="24"/>
              </w:rPr>
            </w:pPr>
            <w:r w:rsidRPr="00FA3F9C">
              <w:rPr>
                <w:rFonts w:ascii="Arial" w:hAnsi="Arial" w:cs="Arial"/>
                <w:sz w:val="24"/>
                <w:szCs w:val="24"/>
              </w:rPr>
              <w:t>SK</w:t>
            </w:r>
          </w:p>
        </w:tc>
      </w:tr>
    </w:tbl>
    <w:p w14:paraId="425395FE" w14:textId="77777777" w:rsidR="001506C1" w:rsidRPr="00FA3F9C" w:rsidRDefault="001506C1" w:rsidP="008D2D58">
      <w:pPr>
        <w:tabs>
          <w:tab w:val="left" w:pos="8560"/>
        </w:tabs>
        <w:autoSpaceDE w:val="0"/>
        <w:autoSpaceDN w:val="0"/>
        <w:adjustRightInd w:val="0"/>
        <w:rPr>
          <w:rFonts w:ascii="Arial" w:hAnsi="Arial" w:cs="Arial"/>
          <w:sz w:val="24"/>
          <w:szCs w:val="24"/>
        </w:rPr>
      </w:pPr>
      <w:r w:rsidRPr="00FA3F9C">
        <w:rPr>
          <w:rFonts w:ascii="Arial" w:hAnsi="Arial" w:cs="Arial"/>
          <w:sz w:val="24"/>
          <w:szCs w:val="24"/>
        </w:rPr>
        <w:tab/>
      </w:r>
    </w:p>
    <w:p w14:paraId="31F983C8" w14:textId="77777777" w:rsidR="005005CA" w:rsidRDefault="005005CA">
      <w:pPr>
        <w:rPr>
          <w:rFonts w:ascii="Arial" w:eastAsia="Times New Roman" w:hAnsi="Arial" w:cs="Arial"/>
          <w:b/>
          <w:sz w:val="28"/>
          <w:szCs w:val="20"/>
        </w:rPr>
      </w:pPr>
      <w:bookmarkStart w:id="2" w:name="_Toc106369706"/>
      <w:r>
        <w:br w:type="page"/>
      </w:r>
    </w:p>
    <w:p w14:paraId="109857D7" w14:textId="013038A3" w:rsidR="00FA3F9C" w:rsidRDefault="001506C1" w:rsidP="00FA3F9C">
      <w:pPr>
        <w:pStyle w:val="Heading2"/>
      </w:pPr>
      <w:r w:rsidRPr="00FA3F9C">
        <w:lastRenderedPageBreak/>
        <w:t>ACA Statins</w:t>
      </w:r>
      <w:bookmarkEnd w:id="2"/>
      <w:r w:rsidRPr="00FA3F9C">
        <w:t xml:space="preserve"> </w:t>
      </w:r>
    </w:p>
    <w:p w14:paraId="6EBE654D" w14:textId="695C2F88" w:rsidR="001506C1" w:rsidRPr="00FA3F9C" w:rsidRDefault="001506C1" w:rsidP="00C66DAD">
      <w:pPr>
        <w:spacing w:after="0"/>
        <w:jc w:val="center"/>
        <w:rPr>
          <w:rFonts w:ascii="Arial" w:hAnsi="Arial" w:cs="Arial"/>
          <w:b/>
          <w:sz w:val="24"/>
          <w:szCs w:val="24"/>
        </w:rPr>
      </w:pPr>
      <w:r w:rsidRPr="00FA3F9C">
        <w:rPr>
          <w:rFonts w:ascii="Arial" w:hAnsi="Arial" w:cs="Arial"/>
          <w:b/>
          <w:sz w:val="24"/>
          <w:szCs w:val="24"/>
        </w:rPr>
        <w:t>PA Criteria</w:t>
      </w:r>
    </w:p>
    <w:p w14:paraId="19413E1A" w14:textId="77777777" w:rsidR="001506C1" w:rsidRPr="00FA3F9C" w:rsidRDefault="001506C1" w:rsidP="00C66DAD">
      <w:pPr>
        <w:spacing w:after="0"/>
        <w:jc w:val="center"/>
        <w:rPr>
          <w:rFonts w:ascii="Arial" w:hAnsi="Arial" w:cs="Arial"/>
          <w:b/>
          <w:sz w:val="24"/>
          <w:szCs w:val="24"/>
        </w:rPr>
      </w:pPr>
    </w:p>
    <w:p w14:paraId="76F81A1F" w14:textId="77777777" w:rsidR="001506C1" w:rsidRPr="00FA3F9C" w:rsidRDefault="001506C1" w:rsidP="00C66DAD">
      <w:pPr>
        <w:spacing w:after="0"/>
        <w:rPr>
          <w:rFonts w:ascii="Arial" w:hAnsi="Arial" w:cs="Arial"/>
          <w:sz w:val="24"/>
          <w:szCs w:val="24"/>
        </w:rPr>
      </w:pPr>
      <w:r w:rsidRPr="00FA3F9C">
        <w:rPr>
          <w:rFonts w:ascii="Arial" w:hAnsi="Arial" w:cs="Arial"/>
          <w:b/>
          <w:sz w:val="24"/>
          <w:szCs w:val="24"/>
        </w:rPr>
        <w:t>Background:</w:t>
      </w:r>
      <w:r w:rsidRPr="00FA3F9C">
        <w:rPr>
          <w:rFonts w:ascii="Arial" w:hAnsi="Arial" w:cs="Arial"/>
          <w:sz w:val="24"/>
          <w:szCs w:val="24"/>
        </w:rPr>
        <w:t xml:space="preserve"> On November 15, 2016, the United States Preventative Services Task Force issued its statement regarding statin use for the primary prevention of cardiovascular disease (CVD). </w:t>
      </w:r>
    </w:p>
    <w:p w14:paraId="270F1DAF" w14:textId="77777777" w:rsidR="001506C1" w:rsidRPr="00FA3F9C" w:rsidRDefault="001506C1" w:rsidP="00C66DAD">
      <w:pPr>
        <w:spacing w:after="0"/>
        <w:rPr>
          <w:rFonts w:ascii="Arial" w:hAnsi="Arial" w:cs="Arial"/>
          <w:sz w:val="24"/>
          <w:szCs w:val="24"/>
        </w:rPr>
      </w:pPr>
    </w:p>
    <w:p w14:paraId="09F29752" w14:textId="77777777" w:rsidR="001506C1" w:rsidRPr="00FA3F9C" w:rsidRDefault="001506C1" w:rsidP="00C66DAD">
      <w:pPr>
        <w:spacing w:after="0"/>
        <w:rPr>
          <w:rFonts w:ascii="Arial" w:hAnsi="Arial" w:cs="Arial"/>
          <w:sz w:val="24"/>
          <w:szCs w:val="24"/>
        </w:rPr>
      </w:pPr>
      <w:r w:rsidRPr="00FA3F9C">
        <w:rPr>
          <w:rFonts w:ascii="Arial" w:hAnsi="Arial" w:cs="Arial"/>
          <w:sz w:val="24"/>
          <w:szCs w:val="24"/>
          <w:u w:val="single"/>
        </w:rPr>
        <w:t xml:space="preserve">This PA criteria is to be used for </w:t>
      </w:r>
      <w:r w:rsidRPr="00FA3F9C">
        <w:rPr>
          <w:rFonts w:ascii="Arial" w:hAnsi="Arial" w:cs="Arial"/>
          <w:b/>
          <w:sz w:val="24"/>
          <w:szCs w:val="24"/>
          <w:u w:val="single"/>
        </w:rPr>
        <w:t>copayment</w:t>
      </w:r>
      <w:r w:rsidRPr="00FA3F9C">
        <w:rPr>
          <w:rFonts w:ascii="Arial" w:hAnsi="Arial" w:cs="Arial"/>
          <w:sz w:val="24"/>
          <w:szCs w:val="24"/>
          <w:u w:val="single"/>
        </w:rPr>
        <w:t xml:space="preserve"> only, and only applies to low-to-moderate dose statins that are currently placed in Tier 1. </w:t>
      </w:r>
      <w:r w:rsidRPr="00FA3F9C">
        <w:rPr>
          <w:rFonts w:ascii="Arial" w:hAnsi="Arial" w:cs="Arial"/>
          <w:b/>
          <w:sz w:val="24"/>
          <w:szCs w:val="24"/>
          <w:u w:val="single"/>
        </w:rPr>
        <w:t>Reference priced agents are not eligible for $0 copayment.</w:t>
      </w:r>
      <w:r w:rsidRPr="00FA3F9C">
        <w:rPr>
          <w:rFonts w:ascii="Arial" w:hAnsi="Arial" w:cs="Arial"/>
          <w:sz w:val="24"/>
          <w:szCs w:val="24"/>
        </w:rPr>
        <w:t xml:space="preserve"> If the member is approved, they will receive a Tier 0 ($0) copay. If the member is denied, they are still able to receive the drug at the normal Tier 1 copay.</w:t>
      </w:r>
    </w:p>
    <w:p w14:paraId="3AA3E8F9" w14:textId="77777777" w:rsidR="001506C1" w:rsidRPr="00FA3F9C" w:rsidRDefault="001506C1" w:rsidP="00C66DAD">
      <w:pPr>
        <w:spacing w:after="0"/>
        <w:rPr>
          <w:rFonts w:ascii="Arial" w:hAnsi="Arial" w:cs="Arial"/>
          <w:sz w:val="24"/>
          <w:szCs w:val="24"/>
        </w:rPr>
      </w:pPr>
    </w:p>
    <w:tbl>
      <w:tblPr>
        <w:tblStyle w:val="TableGrid"/>
        <w:tblW w:w="0" w:type="auto"/>
        <w:tblLook w:val="04A0" w:firstRow="1" w:lastRow="0" w:firstColumn="1" w:lastColumn="0" w:noHBand="0" w:noVBand="1"/>
      </w:tblPr>
      <w:tblGrid>
        <w:gridCol w:w="6475"/>
        <w:gridCol w:w="2875"/>
      </w:tblGrid>
      <w:tr w:rsidR="001506C1" w:rsidRPr="00FA3F9C" w14:paraId="3CB6D580" w14:textId="77777777" w:rsidTr="00C66DAD">
        <w:tc>
          <w:tcPr>
            <w:tcW w:w="6475" w:type="dxa"/>
          </w:tcPr>
          <w:p w14:paraId="3D2D7D89" w14:textId="77777777" w:rsidR="001506C1" w:rsidRPr="00FA3F9C" w:rsidRDefault="001506C1" w:rsidP="00C66DAD">
            <w:pPr>
              <w:rPr>
                <w:rFonts w:ascii="Arial" w:hAnsi="Arial" w:cs="Arial"/>
                <w:sz w:val="24"/>
                <w:szCs w:val="24"/>
              </w:rPr>
            </w:pPr>
            <w:r w:rsidRPr="00FA3F9C">
              <w:rPr>
                <w:rFonts w:ascii="Arial" w:hAnsi="Arial" w:cs="Arial"/>
                <w:sz w:val="24"/>
                <w:szCs w:val="24"/>
              </w:rPr>
              <w:t>1. Is the member between the ages of 40-75?</w:t>
            </w:r>
          </w:p>
        </w:tc>
        <w:tc>
          <w:tcPr>
            <w:tcW w:w="2875" w:type="dxa"/>
          </w:tcPr>
          <w:p w14:paraId="1535CBE3" w14:textId="77777777" w:rsidR="001506C1" w:rsidRPr="00FA3F9C" w:rsidRDefault="001506C1" w:rsidP="00C66DAD">
            <w:pPr>
              <w:rPr>
                <w:rFonts w:ascii="Arial" w:hAnsi="Arial" w:cs="Arial"/>
                <w:sz w:val="24"/>
                <w:szCs w:val="24"/>
              </w:rPr>
            </w:pPr>
            <w:r w:rsidRPr="00FA3F9C">
              <w:rPr>
                <w:rFonts w:ascii="Arial" w:hAnsi="Arial" w:cs="Arial"/>
                <w:sz w:val="24"/>
                <w:szCs w:val="24"/>
              </w:rPr>
              <w:sym w:font="Symbol" w:char="F0F0"/>
            </w:r>
            <w:r w:rsidRPr="00FA3F9C">
              <w:rPr>
                <w:rFonts w:ascii="Arial" w:hAnsi="Arial" w:cs="Arial"/>
                <w:sz w:val="24"/>
                <w:szCs w:val="24"/>
              </w:rPr>
              <w:t xml:space="preserve"> Yes</w:t>
            </w:r>
            <w:r w:rsidRPr="00FA3F9C">
              <w:rPr>
                <w:rFonts w:ascii="Arial" w:hAnsi="Arial" w:cs="Arial"/>
                <w:sz w:val="24"/>
                <w:szCs w:val="24"/>
              </w:rPr>
              <w:tab/>
            </w:r>
            <w:r w:rsidRPr="00FA3F9C">
              <w:rPr>
                <w:rFonts w:ascii="Arial" w:hAnsi="Arial" w:cs="Arial"/>
                <w:sz w:val="24"/>
                <w:szCs w:val="24"/>
              </w:rPr>
              <w:sym w:font="Symbol" w:char="F0F0"/>
            </w:r>
            <w:r w:rsidRPr="00FA3F9C">
              <w:rPr>
                <w:rFonts w:ascii="Arial" w:hAnsi="Arial" w:cs="Arial"/>
                <w:sz w:val="24"/>
                <w:szCs w:val="24"/>
              </w:rPr>
              <w:t xml:space="preserve"> No</w:t>
            </w:r>
          </w:p>
          <w:p w14:paraId="4BDB7225" w14:textId="77777777" w:rsidR="001506C1" w:rsidRPr="00FA3F9C" w:rsidRDefault="001506C1" w:rsidP="00C66DAD">
            <w:pPr>
              <w:rPr>
                <w:rFonts w:ascii="Arial" w:hAnsi="Arial" w:cs="Arial"/>
                <w:sz w:val="24"/>
                <w:szCs w:val="24"/>
              </w:rPr>
            </w:pPr>
            <w:r w:rsidRPr="00FA3F9C">
              <w:rPr>
                <w:rFonts w:ascii="Arial" w:hAnsi="Arial" w:cs="Arial"/>
                <w:sz w:val="24"/>
                <w:szCs w:val="24"/>
              </w:rPr>
              <w:t>If yes, go on to next question. If no, stop and deny coverage.</w:t>
            </w:r>
          </w:p>
        </w:tc>
      </w:tr>
      <w:tr w:rsidR="001506C1" w:rsidRPr="00FA3F9C" w14:paraId="321F541B" w14:textId="77777777" w:rsidTr="00C66DAD">
        <w:tc>
          <w:tcPr>
            <w:tcW w:w="6475" w:type="dxa"/>
          </w:tcPr>
          <w:p w14:paraId="4D296418" w14:textId="77777777" w:rsidR="001506C1" w:rsidRPr="00FA3F9C" w:rsidRDefault="001506C1" w:rsidP="00C66DAD">
            <w:pPr>
              <w:rPr>
                <w:rFonts w:ascii="Arial" w:hAnsi="Arial" w:cs="Arial"/>
                <w:sz w:val="24"/>
                <w:szCs w:val="24"/>
              </w:rPr>
            </w:pPr>
            <w:r w:rsidRPr="00FA3F9C">
              <w:rPr>
                <w:rFonts w:ascii="Arial" w:hAnsi="Arial" w:cs="Arial"/>
                <w:sz w:val="24"/>
                <w:szCs w:val="24"/>
              </w:rPr>
              <w:t>2. Does the member have a history of CVD?</w:t>
            </w:r>
          </w:p>
        </w:tc>
        <w:tc>
          <w:tcPr>
            <w:tcW w:w="2875" w:type="dxa"/>
          </w:tcPr>
          <w:p w14:paraId="47F1C954" w14:textId="77777777" w:rsidR="001506C1" w:rsidRPr="00FA3F9C" w:rsidRDefault="001506C1" w:rsidP="00C66DAD">
            <w:pPr>
              <w:rPr>
                <w:rFonts w:ascii="Arial" w:hAnsi="Arial" w:cs="Arial"/>
                <w:sz w:val="24"/>
                <w:szCs w:val="24"/>
              </w:rPr>
            </w:pPr>
            <w:r w:rsidRPr="00FA3F9C">
              <w:rPr>
                <w:rFonts w:ascii="Arial" w:hAnsi="Arial" w:cs="Arial"/>
                <w:sz w:val="24"/>
                <w:szCs w:val="24"/>
              </w:rPr>
              <w:sym w:font="Symbol" w:char="F0F0"/>
            </w:r>
            <w:r w:rsidRPr="00FA3F9C">
              <w:rPr>
                <w:rFonts w:ascii="Arial" w:hAnsi="Arial" w:cs="Arial"/>
                <w:sz w:val="24"/>
                <w:szCs w:val="24"/>
              </w:rPr>
              <w:t xml:space="preserve"> Yes</w:t>
            </w:r>
            <w:r w:rsidRPr="00FA3F9C">
              <w:rPr>
                <w:rFonts w:ascii="Arial" w:hAnsi="Arial" w:cs="Arial"/>
                <w:sz w:val="24"/>
                <w:szCs w:val="24"/>
              </w:rPr>
              <w:tab/>
            </w:r>
            <w:r w:rsidRPr="00FA3F9C">
              <w:rPr>
                <w:rFonts w:ascii="Arial" w:hAnsi="Arial" w:cs="Arial"/>
                <w:sz w:val="24"/>
                <w:szCs w:val="24"/>
              </w:rPr>
              <w:sym w:font="Symbol" w:char="F0F0"/>
            </w:r>
            <w:r w:rsidRPr="00FA3F9C">
              <w:rPr>
                <w:rFonts w:ascii="Arial" w:hAnsi="Arial" w:cs="Arial"/>
                <w:sz w:val="24"/>
                <w:szCs w:val="24"/>
              </w:rPr>
              <w:t xml:space="preserve"> No</w:t>
            </w:r>
          </w:p>
          <w:p w14:paraId="21C588D7" w14:textId="77777777" w:rsidR="001506C1" w:rsidRPr="00FA3F9C" w:rsidRDefault="001506C1" w:rsidP="005A1B5D">
            <w:pPr>
              <w:rPr>
                <w:rFonts w:ascii="Arial" w:hAnsi="Arial" w:cs="Arial"/>
                <w:sz w:val="24"/>
                <w:szCs w:val="24"/>
              </w:rPr>
            </w:pPr>
            <w:r w:rsidRPr="00FA3F9C">
              <w:rPr>
                <w:rFonts w:ascii="Arial" w:hAnsi="Arial" w:cs="Arial"/>
                <w:sz w:val="24"/>
                <w:szCs w:val="24"/>
              </w:rPr>
              <w:t xml:space="preserve">If yes, </w:t>
            </w:r>
            <w:r w:rsidRPr="00FA3F9C">
              <w:rPr>
                <w:rFonts w:ascii="Arial" w:hAnsi="Arial" w:cs="Arial"/>
                <w:b/>
                <w:sz w:val="24"/>
                <w:szCs w:val="24"/>
              </w:rPr>
              <w:t xml:space="preserve">stop and deny coverage. </w:t>
            </w:r>
            <w:r w:rsidRPr="00FA3F9C">
              <w:rPr>
                <w:rFonts w:ascii="Arial" w:hAnsi="Arial" w:cs="Arial"/>
                <w:sz w:val="24"/>
                <w:szCs w:val="24"/>
              </w:rPr>
              <w:t xml:space="preserve">If no, go on to next question. </w:t>
            </w:r>
          </w:p>
        </w:tc>
      </w:tr>
      <w:tr w:rsidR="001506C1" w:rsidRPr="00FA3F9C" w14:paraId="0A0E61EE" w14:textId="77777777" w:rsidTr="00C66DAD">
        <w:tc>
          <w:tcPr>
            <w:tcW w:w="6475" w:type="dxa"/>
          </w:tcPr>
          <w:p w14:paraId="76EA6BE4" w14:textId="77777777" w:rsidR="001506C1" w:rsidRPr="00FA3F9C" w:rsidRDefault="001506C1" w:rsidP="00C66DAD">
            <w:pPr>
              <w:rPr>
                <w:rFonts w:ascii="Arial" w:hAnsi="Arial" w:cs="Arial"/>
                <w:sz w:val="24"/>
                <w:szCs w:val="24"/>
              </w:rPr>
            </w:pPr>
            <w:r w:rsidRPr="00FA3F9C">
              <w:rPr>
                <w:rFonts w:ascii="Arial" w:hAnsi="Arial" w:cs="Arial"/>
                <w:sz w:val="24"/>
                <w:szCs w:val="24"/>
              </w:rPr>
              <w:t>3. Does the member have ≥1 CVD risk factor? (</w:t>
            </w:r>
            <w:proofErr w:type="gramStart"/>
            <w:r w:rsidRPr="00FA3F9C">
              <w:rPr>
                <w:rFonts w:ascii="Arial" w:hAnsi="Arial" w:cs="Arial"/>
                <w:sz w:val="24"/>
                <w:szCs w:val="24"/>
              </w:rPr>
              <w:t>i.e.</w:t>
            </w:r>
            <w:proofErr w:type="gramEnd"/>
            <w:r w:rsidRPr="00FA3F9C">
              <w:rPr>
                <w:rFonts w:ascii="Arial" w:hAnsi="Arial" w:cs="Arial"/>
                <w:sz w:val="24"/>
                <w:szCs w:val="24"/>
              </w:rPr>
              <w:t xml:space="preserve"> dyslipidemia, diabetes, hypertension, smoking)</w:t>
            </w:r>
          </w:p>
        </w:tc>
        <w:tc>
          <w:tcPr>
            <w:tcW w:w="2875" w:type="dxa"/>
          </w:tcPr>
          <w:p w14:paraId="1A3A1319" w14:textId="77777777" w:rsidR="001506C1" w:rsidRPr="00FA3F9C" w:rsidRDefault="001506C1" w:rsidP="00C66DAD">
            <w:pPr>
              <w:rPr>
                <w:rFonts w:ascii="Arial" w:hAnsi="Arial" w:cs="Arial"/>
                <w:sz w:val="24"/>
                <w:szCs w:val="24"/>
              </w:rPr>
            </w:pPr>
            <w:r w:rsidRPr="00FA3F9C">
              <w:rPr>
                <w:rFonts w:ascii="Arial" w:hAnsi="Arial" w:cs="Arial"/>
                <w:sz w:val="24"/>
                <w:szCs w:val="24"/>
              </w:rPr>
              <w:sym w:font="Symbol" w:char="F0F0"/>
            </w:r>
            <w:r w:rsidRPr="00FA3F9C">
              <w:rPr>
                <w:rFonts w:ascii="Arial" w:hAnsi="Arial" w:cs="Arial"/>
                <w:sz w:val="24"/>
                <w:szCs w:val="24"/>
              </w:rPr>
              <w:t xml:space="preserve"> Yes</w:t>
            </w:r>
            <w:r w:rsidRPr="00FA3F9C">
              <w:rPr>
                <w:rFonts w:ascii="Arial" w:hAnsi="Arial" w:cs="Arial"/>
                <w:sz w:val="24"/>
                <w:szCs w:val="24"/>
              </w:rPr>
              <w:tab/>
            </w:r>
            <w:r w:rsidRPr="00FA3F9C">
              <w:rPr>
                <w:rFonts w:ascii="Arial" w:hAnsi="Arial" w:cs="Arial"/>
                <w:sz w:val="24"/>
                <w:szCs w:val="24"/>
              </w:rPr>
              <w:sym w:font="Symbol" w:char="F0F0"/>
            </w:r>
            <w:r w:rsidRPr="00FA3F9C">
              <w:rPr>
                <w:rFonts w:ascii="Arial" w:hAnsi="Arial" w:cs="Arial"/>
                <w:sz w:val="24"/>
                <w:szCs w:val="24"/>
              </w:rPr>
              <w:t xml:space="preserve"> No</w:t>
            </w:r>
          </w:p>
          <w:p w14:paraId="40FB76EE" w14:textId="77777777" w:rsidR="001506C1" w:rsidRPr="00FA3F9C" w:rsidRDefault="001506C1" w:rsidP="00C66DAD">
            <w:pPr>
              <w:rPr>
                <w:rFonts w:ascii="Arial" w:hAnsi="Arial" w:cs="Arial"/>
                <w:sz w:val="24"/>
                <w:szCs w:val="24"/>
              </w:rPr>
            </w:pPr>
            <w:r w:rsidRPr="00FA3F9C">
              <w:rPr>
                <w:rFonts w:ascii="Arial" w:hAnsi="Arial" w:cs="Arial"/>
                <w:sz w:val="24"/>
                <w:szCs w:val="24"/>
              </w:rPr>
              <w:t>If yes, go on to next question. If no, stop and deny coverage.</w:t>
            </w:r>
          </w:p>
        </w:tc>
      </w:tr>
      <w:tr w:rsidR="001506C1" w:rsidRPr="00FA3F9C" w14:paraId="269B55B8" w14:textId="77777777" w:rsidTr="00C66DAD">
        <w:tc>
          <w:tcPr>
            <w:tcW w:w="6475" w:type="dxa"/>
          </w:tcPr>
          <w:p w14:paraId="64CF964A" w14:textId="77777777" w:rsidR="001506C1" w:rsidRPr="00FA3F9C" w:rsidRDefault="001506C1" w:rsidP="00C66DAD">
            <w:pPr>
              <w:rPr>
                <w:rFonts w:ascii="Arial" w:hAnsi="Arial" w:cs="Arial"/>
                <w:sz w:val="24"/>
                <w:szCs w:val="24"/>
              </w:rPr>
            </w:pPr>
            <w:r w:rsidRPr="00FA3F9C">
              <w:rPr>
                <w:rFonts w:ascii="Arial" w:hAnsi="Arial" w:cs="Arial"/>
                <w:sz w:val="24"/>
                <w:szCs w:val="24"/>
              </w:rPr>
              <w:t>4. Does the member have a calculated 10-year CVD risk ≥10%?</w:t>
            </w:r>
          </w:p>
        </w:tc>
        <w:tc>
          <w:tcPr>
            <w:tcW w:w="2875" w:type="dxa"/>
          </w:tcPr>
          <w:p w14:paraId="0AC582E2" w14:textId="77777777" w:rsidR="001506C1" w:rsidRPr="00FA3F9C" w:rsidRDefault="001506C1" w:rsidP="00C66DAD">
            <w:pPr>
              <w:rPr>
                <w:rFonts w:ascii="Arial" w:hAnsi="Arial" w:cs="Arial"/>
                <w:sz w:val="24"/>
                <w:szCs w:val="24"/>
              </w:rPr>
            </w:pPr>
            <w:r w:rsidRPr="00FA3F9C">
              <w:rPr>
                <w:rFonts w:ascii="Arial" w:hAnsi="Arial" w:cs="Arial"/>
                <w:sz w:val="24"/>
                <w:szCs w:val="24"/>
              </w:rPr>
              <w:sym w:font="Symbol" w:char="F0F0"/>
            </w:r>
            <w:r w:rsidRPr="00FA3F9C">
              <w:rPr>
                <w:rFonts w:ascii="Arial" w:hAnsi="Arial" w:cs="Arial"/>
                <w:sz w:val="24"/>
                <w:szCs w:val="24"/>
              </w:rPr>
              <w:t xml:space="preserve"> Yes</w:t>
            </w:r>
            <w:r w:rsidRPr="00FA3F9C">
              <w:rPr>
                <w:rFonts w:ascii="Arial" w:hAnsi="Arial" w:cs="Arial"/>
                <w:sz w:val="24"/>
                <w:szCs w:val="24"/>
              </w:rPr>
              <w:tab/>
            </w:r>
            <w:r w:rsidRPr="00FA3F9C">
              <w:rPr>
                <w:rFonts w:ascii="Arial" w:hAnsi="Arial" w:cs="Arial"/>
                <w:sz w:val="24"/>
                <w:szCs w:val="24"/>
              </w:rPr>
              <w:sym w:font="Symbol" w:char="F0F0"/>
            </w:r>
            <w:r w:rsidRPr="00FA3F9C">
              <w:rPr>
                <w:rFonts w:ascii="Arial" w:hAnsi="Arial" w:cs="Arial"/>
                <w:sz w:val="24"/>
                <w:szCs w:val="24"/>
              </w:rPr>
              <w:t xml:space="preserve"> No</w:t>
            </w:r>
          </w:p>
          <w:p w14:paraId="563ABE17" w14:textId="77777777" w:rsidR="001506C1" w:rsidRPr="00FA3F9C" w:rsidRDefault="001506C1" w:rsidP="00C66DAD">
            <w:pPr>
              <w:rPr>
                <w:rFonts w:ascii="Arial" w:hAnsi="Arial" w:cs="Arial"/>
                <w:sz w:val="24"/>
                <w:szCs w:val="24"/>
              </w:rPr>
            </w:pPr>
            <w:r w:rsidRPr="00FA3F9C">
              <w:rPr>
                <w:rFonts w:ascii="Arial" w:hAnsi="Arial" w:cs="Arial"/>
                <w:sz w:val="24"/>
                <w:szCs w:val="24"/>
              </w:rPr>
              <w:t>If yes, go on to next question. If no deny coverage.</w:t>
            </w:r>
          </w:p>
        </w:tc>
      </w:tr>
      <w:tr w:rsidR="001506C1" w:rsidRPr="00FA3F9C" w14:paraId="69FC11DC" w14:textId="77777777" w:rsidTr="00C66DAD">
        <w:tc>
          <w:tcPr>
            <w:tcW w:w="9350" w:type="dxa"/>
            <w:gridSpan w:val="2"/>
            <w:shd w:val="clear" w:color="auto" w:fill="FFE599" w:themeFill="accent4" w:themeFillTint="66"/>
          </w:tcPr>
          <w:p w14:paraId="303433C2" w14:textId="77777777" w:rsidR="001506C1" w:rsidRPr="00FA3F9C" w:rsidRDefault="001506C1" w:rsidP="00C66DAD">
            <w:pPr>
              <w:rPr>
                <w:rFonts w:ascii="Arial" w:hAnsi="Arial" w:cs="Arial"/>
                <w:b/>
                <w:sz w:val="24"/>
                <w:szCs w:val="24"/>
              </w:rPr>
            </w:pPr>
            <w:r w:rsidRPr="00FA3F9C">
              <w:rPr>
                <w:rFonts w:ascii="Arial" w:hAnsi="Arial" w:cs="Arial"/>
                <w:b/>
                <w:sz w:val="24"/>
                <w:szCs w:val="24"/>
              </w:rPr>
              <w:t>If the answers to questions 1, 3, and 4 are yes, and the answer to 2 is no, approve a low-to-moderate dose statin (that is currently in Tier 1) at a limit of #1/1 days for $0 copay for 5 years.</w:t>
            </w:r>
          </w:p>
          <w:p w14:paraId="5DB270FE" w14:textId="77777777" w:rsidR="001506C1" w:rsidRPr="00FA3F9C" w:rsidRDefault="001506C1" w:rsidP="00C66DAD">
            <w:pPr>
              <w:rPr>
                <w:rFonts w:ascii="Arial" w:hAnsi="Arial" w:cs="Arial"/>
                <w:b/>
                <w:sz w:val="24"/>
                <w:szCs w:val="24"/>
              </w:rPr>
            </w:pPr>
          </w:p>
          <w:p w14:paraId="21A5A01C" w14:textId="77777777" w:rsidR="001506C1" w:rsidRPr="00FA3F9C" w:rsidRDefault="001506C1" w:rsidP="005A1B5D">
            <w:pPr>
              <w:rPr>
                <w:rFonts w:ascii="Arial" w:hAnsi="Arial" w:cs="Arial"/>
                <w:b/>
                <w:sz w:val="24"/>
                <w:szCs w:val="24"/>
              </w:rPr>
            </w:pPr>
            <w:r w:rsidRPr="00FA3F9C">
              <w:rPr>
                <w:rFonts w:ascii="Arial" w:hAnsi="Arial" w:cs="Arial"/>
                <w:b/>
                <w:sz w:val="24"/>
                <w:szCs w:val="24"/>
              </w:rPr>
              <w:t>If the answer to 1, 3, or 4 is no, or the answer to 2 is yes, stop and allow the claim to process for Tier 1 copay.</w:t>
            </w:r>
          </w:p>
        </w:tc>
      </w:tr>
      <w:tr w:rsidR="001506C1" w:rsidRPr="00FA3F9C" w14:paraId="0555F87E" w14:textId="77777777" w:rsidTr="00C66DAD">
        <w:tc>
          <w:tcPr>
            <w:tcW w:w="9350" w:type="dxa"/>
            <w:gridSpan w:val="2"/>
            <w:shd w:val="clear" w:color="auto" w:fill="FFFFFF" w:themeFill="background1"/>
          </w:tcPr>
          <w:p w14:paraId="06460DE6" w14:textId="77777777" w:rsidR="001506C1" w:rsidRPr="00FA3F9C" w:rsidRDefault="001506C1" w:rsidP="00C66DAD">
            <w:pPr>
              <w:rPr>
                <w:rFonts w:ascii="Arial" w:hAnsi="Arial" w:cs="Arial"/>
                <w:b/>
                <w:sz w:val="24"/>
                <w:szCs w:val="24"/>
              </w:rPr>
            </w:pPr>
            <w:r w:rsidRPr="00FA3F9C">
              <w:rPr>
                <w:rFonts w:ascii="Arial" w:hAnsi="Arial" w:cs="Arial"/>
                <w:b/>
                <w:sz w:val="24"/>
                <w:szCs w:val="24"/>
              </w:rPr>
              <w:lastRenderedPageBreak/>
              <w:t>*Dosing and eligible drugs: (quantity limits of #1/1 should apply)</w:t>
            </w:r>
          </w:p>
          <w:p w14:paraId="488FF663" w14:textId="77777777" w:rsidR="001506C1" w:rsidRPr="00FA3F9C" w:rsidRDefault="001506C1" w:rsidP="00C66DAD">
            <w:pPr>
              <w:rPr>
                <w:rFonts w:ascii="Arial" w:hAnsi="Arial" w:cs="Arial"/>
                <w:sz w:val="24"/>
                <w:szCs w:val="24"/>
              </w:rPr>
            </w:pPr>
            <w:r w:rsidRPr="00FA3F9C">
              <w:rPr>
                <w:rFonts w:ascii="Arial" w:hAnsi="Arial" w:cs="Arial"/>
                <w:sz w:val="24"/>
                <w:szCs w:val="24"/>
              </w:rPr>
              <w:t>Atorvastatin 10mg, 20mg                                             Rosuvastatin 5mg, 10mg</w:t>
            </w:r>
          </w:p>
          <w:p w14:paraId="55EC18E4" w14:textId="77777777" w:rsidR="001506C1" w:rsidRPr="00FA3F9C" w:rsidRDefault="001506C1" w:rsidP="00C66DAD">
            <w:pPr>
              <w:rPr>
                <w:rFonts w:ascii="Arial" w:hAnsi="Arial" w:cs="Arial"/>
                <w:sz w:val="24"/>
                <w:szCs w:val="24"/>
              </w:rPr>
            </w:pPr>
            <w:r w:rsidRPr="00FA3F9C">
              <w:rPr>
                <w:rFonts w:ascii="Arial" w:hAnsi="Arial" w:cs="Arial"/>
                <w:sz w:val="24"/>
                <w:szCs w:val="24"/>
              </w:rPr>
              <w:t>Lovastatin 10mg, 20mg, 40mg                                    Simvastatin 10mg, 20mg, 40mg</w:t>
            </w:r>
          </w:p>
          <w:p w14:paraId="5D83D65E" w14:textId="77777777" w:rsidR="001506C1" w:rsidRPr="00FA3F9C" w:rsidRDefault="001506C1" w:rsidP="00C66DAD">
            <w:pPr>
              <w:rPr>
                <w:rFonts w:ascii="Arial" w:hAnsi="Arial" w:cs="Arial"/>
                <w:sz w:val="24"/>
                <w:szCs w:val="24"/>
              </w:rPr>
            </w:pPr>
            <w:r w:rsidRPr="00FA3F9C">
              <w:rPr>
                <w:rFonts w:ascii="Arial" w:hAnsi="Arial" w:cs="Arial"/>
                <w:sz w:val="24"/>
                <w:szCs w:val="24"/>
              </w:rPr>
              <w:t>Pravastatin 10mg, 20mg, 40mg, 80mg</w:t>
            </w:r>
          </w:p>
          <w:p w14:paraId="25C3B170" w14:textId="77777777" w:rsidR="001506C1" w:rsidRPr="00FA3F9C" w:rsidRDefault="001506C1" w:rsidP="00C66DAD">
            <w:pPr>
              <w:rPr>
                <w:rFonts w:ascii="Arial" w:hAnsi="Arial" w:cs="Arial"/>
                <w:sz w:val="24"/>
                <w:szCs w:val="24"/>
              </w:rPr>
            </w:pPr>
          </w:p>
          <w:p w14:paraId="5F7ACEA2" w14:textId="77777777" w:rsidR="001506C1" w:rsidRPr="00FA3F9C" w:rsidRDefault="001506C1" w:rsidP="005A1B5D">
            <w:pPr>
              <w:rPr>
                <w:rFonts w:ascii="Arial" w:hAnsi="Arial" w:cs="Arial"/>
                <w:sz w:val="24"/>
                <w:szCs w:val="24"/>
              </w:rPr>
            </w:pPr>
            <w:r w:rsidRPr="00FA3F9C">
              <w:rPr>
                <w:rFonts w:ascii="Arial" w:hAnsi="Arial" w:cs="Arial"/>
                <w:sz w:val="24"/>
                <w:szCs w:val="24"/>
              </w:rPr>
              <w:t>*Drug is only eligible if it currently processes on the plan’s lowest tier.</w:t>
            </w:r>
          </w:p>
        </w:tc>
      </w:tr>
    </w:tbl>
    <w:p w14:paraId="4E2AB2DE" w14:textId="77777777" w:rsidR="001506C1" w:rsidRPr="00FA3F9C" w:rsidRDefault="001506C1" w:rsidP="00C66DAD">
      <w:pPr>
        <w:spacing w:after="0"/>
        <w:rPr>
          <w:rFonts w:ascii="Arial" w:hAnsi="Arial" w:cs="Arial"/>
          <w:sz w:val="24"/>
          <w:szCs w:val="24"/>
        </w:rPr>
      </w:pPr>
    </w:p>
    <w:p w14:paraId="571CD839" w14:textId="77777777" w:rsidR="001506C1" w:rsidRPr="00FA3F9C" w:rsidRDefault="001506C1" w:rsidP="00C66DAD">
      <w:pPr>
        <w:spacing w:after="0"/>
        <w:rPr>
          <w:rFonts w:ascii="Arial" w:hAnsi="Arial" w:cs="Arial"/>
          <w:b/>
          <w:sz w:val="24"/>
          <w:szCs w:val="24"/>
        </w:rPr>
      </w:pPr>
      <w:r w:rsidRPr="00FA3F9C">
        <w:rPr>
          <w:rFonts w:ascii="Arial" w:hAnsi="Arial" w:cs="Arial"/>
          <w:b/>
          <w:sz w:val="24"/>
          <w:szCs w:val="24"/>
        </w:rPr>
        <w:t>Continuation of treatment:</w:t>
      </w:r>
    </w:p>
    <w:p w14:paraId="089FD9ED" w14:textId="77777777" w:rsidR="001506C1" w:rsidRPr="00FA3F9C" w:rsidRDefault="001506C1" w:rsidP="00C66DAD">
      <w:pPr>
        <w:spacing w:after="0"/>
        <w:rPr>
          <w:rFonts w:ascii="Arial" w:hAnsi="Arial" w:cs="Arial"/>
          <w:sz w:val="24"/>
          <w:szCs w:val="24"/>
        </w:rPr>
      </w:pPr>
      <w:r w:rsidRPr="00FA3F9C">
        <w:rPr>
          <w:rFonts w:ascii="Arial" w:hAnsi="Arial" w:cs="Arial"/>
          <w:sz w:val="24"/>
          <w:szCs w:val="24"/>
        </w:rPr>
        <w:t>If the member has not had a cardiovascular event, they may continue to get the drug at $0.</w:t>
      </w:r>
    </w:p>
    <w:p w14:paraId="77781D0E" w14:textId="77777777" w:rsidR="001506C1" w:rsidRPr="00FA3F9C" w:rsidRDefault="001506C1" w:rsidP="00C66DAD">
      <w:pPr>
        <w:spacing w:after="0"/>
        <w:rPr>
          <w:rFonts w:ascii="Arial" w:hAnsi="Arial" w:cs="Arial"/>
          <w:sz w:val="24"/>
          <w:szCs w:val="24"/>
        </w:rPr>
      </w:pPr>
    </w:p>
    <w:tbl>
      <w:tblPr>
        <w:tblStyle w:val="TableGrid"/>
        <w:tblW w:w="0" w:type="auto"/>
        <w:tblLook w:val="04A0" w:firstRow="1" w:lastRow="0" w:firstColumn="1" w:lastColumn="0" w:noHBand="0" w:noVBand="1"/>
      </w:tblPr>
      <w:tblGrid>
        <w:gridCol w:w="9350"/>
      </w:tblGrid>
      <w:tr w:rsidR="001506C1" w:rsidRPr="00FA3F9C" w14:paraId="290BA0AC" w14:textId="77777777" w:rsidTr="005A1B5D">
        <w:tc>
          <w:tcPr>
            <w:tcW w:w="9350" w:type="dxa"/>
          </w:tcPr>
          <w:p w14:paraId="55FF989F" w14:textId="77777777" w:rsidR="001506C1" w:rsidRPr="00FA3F9C" w:rsidRDefault="001506C1" w:rsidP="00C66DAD">
            <w:pPr>
              <w:rPr>
                <w:rFonts w:ascii="Arial" w:hAnsi="Arial" w:cs="Arial"/>
                <w:b/>
                <w:sz w:val="24"/>
                <w:szCs w:val="24"/>
              </w:rPr>
            </w:pPr>
            <w:r w:rsidRPr="00FA3F9C">
              <w:rPr>
                <w:rFonts w:ascii="Arial" w:hAnsi="Arial" w:cs="Arial"/>
                <w:b/>
                <w:sz w:val="24"/>
                <w:szCs w:val="24"/>
              </w:rPr>
              <w:t>References:</w:t>
            </w:r>
          </w:p>
          <w:p w14:paraId="498EF363" w14:textId="77777777" w:rsidR="001506C1" w:rsidRPr="00FA3F9C" w:rsidRDefault="001506C1" w:rsidP="00C66DAD">
            <w:pPr>
              <w:rPr>
                <w:rFonts w:ascii="Arial" w:hAnsi="Arial" w:cs="Arial"/>
                <w:sz w:val="24"/>
                <w:szCs w:val="24"/>
              </w:rPr>
            </w:pPr>
            <w:r w:rsidRPr="00FA3F9C">
              <w:rPr>
                <w:rFonts w:ascii="Arial" w:hAnsi="Arial" w:cs="Arial"/>
                <w:sz w:val="24"/>
                <w:szCs w:val="24"/>
              </w:rPr>
              <w:t>1. USPSTF. Statin Use for the Primary Prevention of Cardiovascular Disease in Adults. JAMA 2016;316(19):1997-2007.</w:t>
            </w:r>
          </w:p>
          <w:p w14:paraId="0C1BFED3" w14:textId="77777777" w:rsidR="001506C1" w:rsidRPr="00FA3F9C" w:rsidRDefault="001506C1" w:rsidP="00C66DAD">
            <w:pPr>
              <w:rPr>
                <w:rFonts w:ascii="Arial" w:hAnsi="Arial" w:cs="Arial"/>
                <w:sz w:val="24"/>
                <w:szCs w:val="24"/>
              </w:rPr>
            </w:pPr>
            <w:r w:rsidRPr="00FA3F9C">
              <w:rPr>
                <w:rFonts w:ascii="Arial" w:hAnsi="Arial" w:cs="Arial"/>
                <w:sz w:val="24"/>
                <w:szCs w:val="24"/>
              </w:rPr>
              <w:t>2. Stone NJ, Robinson J, Lichtenstein AH, et al. 2013 ACC/AHA Guideline on the Treatment of Blood Cholesterol to Reduce Atherosclerotic Cardiovascular Risk in Adults. Circulation 2013;00:000-000.</w:t>
            </w:r>
          </w:p>
        </w:tc>
      </w:tr>
    </w:tbl>
    <w:p w14:paraId="3E1FACEB" w14:textId="77777777" w:rsidR="001506C1" w:rsidRPr="00FA3F9C" w:rsidRDefault="001506C1" w:rsidP="00C66DAD">
      <w:pPr>
        <w:spacing w:after="0"/>
        <w:rPr>
          <w:rFonts w:ascii="Arial" w:hAnsi="Arial" w:cs="Arial"/>
          <w:sz w:val="24"/>
          <w:szCs w:val="24"/>
        </w:rPr>
      </w:pPr>
    </w:p>
    <w:tbl>
      <w:tblPr>
        <w:tblStyle w:val="TableGrid"/>
        <w:tblW w:w="0" w:type="auto"/>
        <w:tblLook w:val="04A0" w:firstRow="1" w:lastRow="0" w:firstColumn="1" w:lastColumn="0" w:noHBand="0" w:noVBand="1"/>
      </w:tblPr>
      <w:tblGrid>
        <w:gridCol w:w="3116"/>
        <w:gridCol w:w="3117"/>
        <w:gridCol w:w="3117"/>
      </w:tblGrid>
      <w:tr w:rsidR="001506C1" w:rsidRPr="00FA3F9C" w14:paraId="65C7D2E3" w14:textId="77777777" w:rsidTr="00BC2A15">
        <w:tc>
          <w:tcPr>
            <w:tcW w:w="3116" w:type="dxa"/>
          </w:tcPr>
          <w:p w14:paraId="60398351" w14:textId="77777777" w:rsidR="001506C1" w:rsidRPr="00FA3F9C" w:rsidRDefault="001506C1" w:rsidP="00BC2A15">
            <w:pPr>
              <w:jc w:val="center"/>
              <w:rPr>
                <w:rFonts w:ascii="Arial" w:hAnsi="Arial" w:cs="Arial"/>
                <w:b/>
                <w:sz w:val="24"/>
                <w:szCs w:val="24"/>
              </w:rPr>
            </w:pPr>
            <w:r w:rsidRPr="00FA3F9C">
              <w:rPr>
                <w:rFonts w:ascii="Arial" w:hAnsi="Arial" w:cs="Arial"/>
                <w:b/>
                <w:sz w:val="24"/>
                <w:szCs w:val="24"/>
              </w:rPr>
              <w:t>Date</w:t>
            </w:r>
          </w:p>
        </w:tc>
        <w:tc>
          <w:tcPr>
            <w:tcW w:w="3117" w:type="dxa"/>
          </w:tcPr>
          <w:p w14:paraId="196FB35D" w14:textId="77777777" w:rsidR="001506C1" w:rsidRPr="00FA3F9C" w:rsidRDefault="001506C1" w:rsidP="00BC2A15">
            <w:pPr>
              <w:jc w:val="center"/>
              <w:rPr>
                <w:rFonts w:ascii="Arial" w:hAnsi="Arial" w:cs="Arial"/>
                <w:b/>
                <w:sz w:val="24"/>
                <w:szCs w:val="24"/>
              </w:rPr>
            </w:pPr>
            <w:r w:rsidRPr="00FA3F9C">
              <w:rPr>
                <w:rFonts w:ascii="Arial" w:hAnsi="Arial" w:cs="Arial"/>
                <w:b/>
                <w:sz w:val="24"/>
                <w:szCs w:val="24"/>
              </w:rPr>
              <w:t>What changed</w:t>
            </w:r>
          </w:p>
        </w:tc>
        <w:tc>
          <w:tcPr>
            <w:tcW w:w="3117" w:type="dxa"/>
          </w:tcPr>
          <w:p w14:paraId="6D40B0B4" w14:textId="77777777" w:rsidR="001506C1" w:rsidRPr="00FA3F9C" w:rsidRDefault="001506C1" w:rsidP="00BC2A15">
            <w:pPr>
              <w:jc w:val="center"/>
              <w:rPr>
                <w:rFonts w:ascii="Arial" w:hAnsi="Arial" w:cs="Arial"/>
                <w:b/>
                <w:sz w:val="24"/>
                <w:szCs w:val="24"/>
              </w:rPr>
            </w:pPr>
            <w:r w:rsidRPr="00FA3F9C">
              <w:rPr>
                <w:rFonts w:ascii="Arial" w:hAnsi="Arial" w:cs="Arial"/>
                <w:b/>
                <w:sz w:val="24"/>
                <w:szCs w:val="24"/>
              </w:rPr>
              <w:t>PharmD Initials</w:t>
            </w:r>
          </w:p>
        </w:tc>
      </w:tr>
      <w:tr w:rsidR="001506C1" w:rsidRPr="00FA3F9C" w14:paraId="0E2742FD" w14:textId="77777777" w:rsidTr="00BC2A15">
        <w:tc>
          <w:tcPr>
            <w:tcW w:w="3116" w:type="dxa"/>
          </w:tcPr>
          <w:p w14:paraId="3DF24514" w14:textId="77777777" w:rsidR="001506C1" w:rsidRPr="00FA3F9C" w:rsidRDefault="001506C1" w:rsidP="00BC2A15">
            <w:pPr>
              <w:rPr>
                <w:rFonts w:ascii="Arial" w:hAnsi="Arial" w:cs="Arial"/>
                <w:sz w:val="24"/>
                <w:szCs w:val="24"/>
              </w:rPr>
            </w:pPr>
            <w:r w:rsidRPr="00FA3F9C">
              <w:rPr>
                <w:rFonts w:ascii="Arial" w:hAnsi="Arial" w:cs="Arial"/>
                <w:sz w:val="24"/>
                <w:szCs w:val="24"/>
              </w:rPr>
              <w:t>10.11.2017</w:t>
            </w:r>
          </w:p>
        </w:tc>
        <w:tc>
          <w:tcPr>
            <w:tcW w:w="3117" w:type="dxa"/>
          </w:tcPr>
          <w:p w14:paraId="1250D85A" w14:textId="77777777" w:rsidR="001506C1" w:rsidRPr="00FA3F9C" w:rsidRDefault="001506C1" w:rsidP="00BC2A15">
            <w:pPr>
              <w:rPr>
                <w:rFonts w:ascii="Arial" w:hAnsi="Arial" w:cs="Arial"/>
                <w:sz w:val="24"/>
                <w:szCs w:val="24"/>
              </w:rPr>
            </w:pPr>
            <w:r w:rsidRPr="00FA3F9C">
              <w:rPr>
                <w:rFonts w:ascii="Arial" w:hAnsi="Arial" w:cs="Arial"/>
                <w:sz w:val="24"/>
                <w:szCs w:val="24"/>
              </w:rPr>
              <w:t>PA criteria written</w:t>
            </w:r>
          </w:p>
        </w:tc>
        <w:tc>
          <w:tcPr>
            <w:tcW w:w="3117" w:type="dxa"/>
          </w:tcPr>
          <w:p w14:paraId="42889E21" w14:textId="77777777" w:rsidR="001506C1" w:rsidRPr="00FA3F9C" w:rsidRDefault="001506C1" w:rsidP="00BC2A15">
            <w:pPr>
              <w:rPr>
                <w:rFonts w:ascii="Arial" w:hAnsi="Arial" w:cs="Arial"/>
                <w:sz w:val="24"/>
                <w:szCs w:val="24"/>
              </w:rPr>
            </w:pPr>
            <w:r w:rsidRPr="00FA3F9C">
              <w:rPr>
                <w:rFonts w:ascii="Arial" w:hAnsi="Arial" w:cs="Arial"/>
                <w:sz w:val="24"/>
                <w:szCs w:val="24"/>
              </w:rPr>
              <w:t>GBB</w:t>
            </w:r>
          </w:p>
        </w:tc>
      </w:tr>
    </w:tbl>
    <w:p w14:paraId="1341A613" w14:textId="77777777" w:rsidR="001506C1" w:rsidRPr="00FA3F9C" w:rsidRDefault="001506C1" w:rsidP="00C66DAD">
      <w:pPr>
        <w:spacing w:after="0"/>
        <w:rPr>
          <w:rFonts w:ascii="Arial" w:hAnsi="Arial" w:cs="Arial"/>
          <w:sz w:val="24"/>
          <w:szCs w:val="24"/>
        </w:rPr>
      </w:pPr>
    </w:p>
    <w:p w14:paraId="0293402C" w14:textId="77777777" w:rsidR="005005CA" w:rsidRDefault="005005CA">
      <w:pPr>
        <w:rPr>
          <w:rFonts w:ascii="Arial" w:eastAsia="Times New Roman" w:hAnsi="Arial" w:cs="Arial"/>
          <w:b/>
          <w:sz w:val="28"/>
          <w:szCs w:val="20"/>
        </w:rPr>
      </w:pPr>
      <w:bookmarkStart w:id="3" w:name="_Toc106369707"/>
      <w:r>
        <w:br w:type="page"/>
      </w:r>
    </w:p>
    <w:p w14:paraId="37A8119C" w14:textId="4C415CD5" w:rsidR="001506C1" w:rsidRPr="00FA3F9C" w:rsidRDefault="001506C1" w:rsidP="00FA3F9C">
      <w:pPr>
        <w:pStyle w:val="Heading2"/>
      </w:pPr>
      <w:r w:rsidRPr="00FA3F9C">
        <w:lastRenderedPageBreak/>
        <w:t>Acalabrutinib (</w:t>
      </w:r>
      <w:proofErr w:type="spellStart"/>
      <w:r w:rsidRPr="00FA3F9C">
        <w:t>Calquence</w:t>
      </w:r>
      <w:proofErr w:type="spellEnd"/>
      <w:r w:rsidRPr="00FA3F9C">
        <w:t>)</w:t>
      </w:r>
      <w:bookmarkEnd w:id="3"/>
    </w:p>
    <w:p w14:paraId="45B850BC" w14:textId="77777777" w:rsidR="001506C1" w:rsidRPr="00FA3F9C" w:rsidRDefault="001506C1" w:rsidP="006F623F">
      <w:pPr>
        <w:spacing w:after="0"/>
        <w:jc w:val="center"/>
        <w:rPr>
          <w:rFonts w:ascii="Arial" w:hAnsi="Arial" w:cs="Arial"/>
          <w:sz w:val="24"/>
          <w:szCs w:val="24"/>
        </w:rPr>
      </w:pPr>
      <w:r w:rsidRPr="00FA3F9C">
        <w:rPr>
          <w:rFonts w:ascii="Arial" w:hAnsi="Arial" w:cs="Arial"/>
          <w:sz w:val="24"/>
          <w:szCs w:val="24"/>
        </w:rPr>
        <w:t>100 mg capsules</w:t>
      </w:r>
    </w:p>
    <w:p w14:paraId="4AFE0594" w14:textId="77777777" w:rsidR="001506C1" w:rsidRPr="00FA3F9C" w:rsidRDefault="001506C1" w:rsidP="006F623F">
      <w:pPr>
        <w:spacing w:after="0"/>
        <w:jc w:val="center"/>
        <w:rPr>
          <w:rFonts w:ascii="Arial" w:hAnsi="Arial" w:cs="Arial"/>
          <w:sz w:val="24"/>
          <w:szCs w:val="24"/>
        </w:rPr>
      </w:pPr>
      <w:r w:rsidRPr="00FA3F9C">
        <w:rPr>
          <w:rFonts w:ascii="Arial" w:hAnsi="Arial" w:cs="Arial"/>
          <w:sz w:val="24"/>
          <w:szCs w:val="24"/>
        </w:rPr>
        <w:t>EBRx PA Criteria</w:t>
      </w:r>
    </w:p>
    <w:p w14:paraId="0E28CAF9" w14:textId="77777777" w:rsidR="001506C1" w:rsidRPr="00FA3F9C" w:rsidRDefault="001506C1" w:rsidP="006F623F">
      <w:pPr>
        <w:spacing w:after="0"/>
        <w:rPr>
          <w:rFonts w:ascii="Arial" w:hAnsi="Arial" w:cs="Arial"/>
          <w:b/>
          <w:sz w:val="24"/>
          <w:szCs w:val="24"/>
          <w:u w:val="single"/>
        </w:rPr>
      </w:pPr>
    </w:p>
    <w:p w14:paraId="4DFF5B84" w14:textId="77777777" w:rsidR="001506C1" w:rsidRPr="00FA3F9C" w:rsidRDefault="001506C1" w:rsidP="006F623F">
      <w:pPr>
        <w:spacing w:after="0"/>
        <w:rPr>
          <w:rFonts w:ascii="Arial" w:hAnsi="Arial" w:cs="Arial"/>
          <w:sz w:val="24"/>
          <w:szCs w:val="24"/>
        </w:rPr>
      </w:pPr>
      <w:r w:rsidRPr="00FA3F9C">
        <w:rPr>
          <w:rFonts w:ascii="Arial" w:hAnsi="Arial" w:cs="Arial"/>
          <w:b/>
          <w:sz w:val="24"/>
          <w:szCs w:val="24"/>
          <w:u w:val="single"/>
        </w:rPr>
        <w:t>is FDA-approved for adult patients with:</w:t>
      </w:r>
      <w:r w:rsidRPr="00FA3F9C">
        <w:rPr>
          <w:rFonts w:ascii="Arial" w:hAnsi="Arial" w:cs="Arial"/>
          <w:sz w:val="24"/>
          <w:szCs w:val="24"/>
        </w:rPr>
        <w:t xml:space="preserve">  </w:t>
      </w:r>
    </w:p>
    <w:p w14:paraId="5866C579" w14:textId="77777777" w:rsidR="001506C1" w:rsidRPr="00FA3F9C" w:rsidRDefault="001506C1" w:rsidP="001506C1">
      <w:pPr>
        <w:pStyle w:val="ListParagraph"/>
        <w:numPr>
          <w:ilvl w:val="0"/>
          <w:numId w:val="4"/>
        </w:numPr>
        <w:spacing w:after="0" w:line="276" w:lineRule="auto"/>
        <w:rPr>
          <w:rFonts w:ascii="Arial" w:hAnsi="Arial" w:cs="Arial"/>
          <w:sz w:val="24"/>
          <w:szCs w:val="24"/>
        </w:rPr>
      </w:pPr>
      <w:r w:rsidRPr="00FA3F9C">
        <w:rPr>
          <w:rFonts w:ascii="Arial" w:hAnsi="Arial" w:cs="Arial"/>
          <w:sz w:val="24"/>
          <w:szCs w:val="24"/>
        </w:rPr>
        <w:t>Mantle cell lymphoma (MCL) who have received at least one prior therapy (accelerated approval)</w:t>
      </w:r>
    </w:p>
    <w:p w14:paraId="79B289B9" w14:textId="77777777" w:rsidR="001506C1" w:rsidRPr="00FA3F9C" w:rsidRDefault="001506C1" w:rsidP="001506C1">
      <w:pPr>
        <w:pStyle w:val="ListParagraph"/>
        <w:numPr>
          <w:ilvl w:val="0"/>
          <w:numId w:val="4"/>
        </w:numPr>
        <w:spacing w:after="0" w:line="276" w:lineRule="auto"/>
        <w:rPr>
          <w:rFonts w:ascii="Arial" w:hAnsi="Arial" w:cs="Arial"/>
          <w:sz w:val="24"/>
          <w:szCs w:val="24"/>
        </w:rPr>
      </w:pPr>
      <w:r w:rsidRPr="00FA3F9C">
        <w:rPr>
          <w:rFonts w:ascii="Arial" w:hAnsi="Arial" w:cs="Arial"/>
          <w:sz w:val="24"/>
          <w:szCs w:val="24"/>
        </w:rPr>
        <w:t xml:space="preserve">Chronic lymphocytic leukemia (CLL) or small lymphocytic leukemia (SLL) </w:t>
      </w:r>
      <w:r w:rsidRPr="00FA3F9C">
        <w:rPr>
          <w:rFonts w:ascii="Arial" w:hAnsi="Arial" w:cs="Arial"/>
          <w:sz w:val="24"/>
          <w:szCs w:val="24"/>
          <w:highlight w:val="cyan"/>
        </w:rPr>
        <w:t>APPROVED FOR RELAPSED/REFRACTORY DISEASE ONLY</w:t>
      </w:r>
    </w:p>
    <w:p w14:paraId="515A6515" w14:textId="77777777" w:rsidR="001506C1" w:rsidRPr="00FA3F9C" w:rsidRDefault="001506C1" w:rsidP="001506C1">
      <w:pPr>
        <w:pStyle w:val="ListParagraph"/>
        <w:numPr>
          <w:ilvl w:val="1"/>
          <w:numId w:val="4"/>
        </w:numPr>
        <w:spacing w:after="0" w:line="276" w:lineRule="auto"/>
        <w:rPr>
          <w:rFonts w:ascii="Arial" w:hAnsi="Arial" w:cs="Arial"/>
          <w:sz w:val="24"/>
          <w:szCs w:val="24"/>
        </w:rPr>
      </w:pPr>
      <w:r w:rsidRPr="00FA3F9C">
        <w:rPr>
          <w:rFonts w:ascii="Arial" w:hAnsi="Arial" w:cs="Arial"/>
          <w:sz w:val="24"/>
          <w:szCs w:val="24"/>
        </w:rPr>
        <w:t xml:space="preserve">The benefit of acalabrutinib in the first line setting is limited to progression free survival only. </w:t>
      </w:r>
    </w:p>
    <w:p w14:paraId="13E4BF9B" w14:textId="77777777" w:rsidR="001506C1" w:rsidRPr="00FA3F9C" w:rsidRDefault="001506C1" w:rsidP="00CD1F84">
      <w:pPr>
        <w:ind w:left="1530"/>
        <w:rPr>
          <w:rFonts w:ascii="Arial" w:hAnsi="Arial" w:cs="Arial"/>
          <w:color w:val="212121"/>
          <w:sz w:val="24"/>
          <w:szCs w:val="24"/>
          <w:shd w:val="clear" w:color="auto" w:fill="FFFFFF"/>
        </w:rPr>
      </w:pPr>
      <w:r w:rsidRPr="00FA3F9C">
        <w:rPr>
          <w:rFonts w:ascii="Arial" w:hAnsi="Arial" w:cs="Arial"/>
          <w:color w:val="212121"/>
          <w:sz w:val="24"/>
          <w:szCs w:val="24"/>
          <w:shd w:val="clear" w:color="auto" w:fill="FFFFFF"/>
        </w:rPr>
        <w:t xml:space="preserve">Sharman JP et al. Acalabrutinib with or without </w:t>
      </w:r>
      <w:proofErr w:type="spellStart"/>
      <w:r w:rsidRPr="00FA3F9C">
        <w:rPr>
          <w:rFonts w:ascii="Arial" w:hAnsi="Arial" w:cs="Arial"/>
          <w:color w:val="212121"/>
          <w:sz w:val="24"/>
          <w:szCs w:val="24"/>
          <w:shd w:val="clear" w:color="auto" w:fill="FFFFFF"/>
        </w:rPr>
        <w:t>obinutuzumab</w:t>
      </w:r>
      <w:proofErr w:type="spellEnd"/>
      <w:r w:rsidRPr="00FA3F9C">
        <w:rPr>
          <w:rFonts w:ascii="Arial" w:hAnsi="Arial" w:cs="Arial"/>
          <w:color w:val="212121"/>
          <w:sz w:val="24"/>
          <w:szCs w:val="24"/>
          <w:shd w:val="clear" w:color="auto" w:fill="FFFFFF"/>
        </w:rPr>
        <w:t xml:space="preserve"> versus chlorambucil and </w:t>
      </w:r>
      <w:proofErr w:type="spellStart"/>
      <w:r w:rsidRPr="00FA3F9C">
        <w:rPr>
          <w:rFonts w:ascii="Arial" w:hAnsi="Arial" w:cs="Arial"/>
          <w:color w:val="212121"/>
          <w:sz w:val="24"/>
          <w:szCs w:val="24"/>
          <w:shd w:val="clear" w:color="auto" w:fill="FFFFFF"/>
        </w:rPr>
        <w:t>obinutuzmab</w:t>
      </w:r>
      <w:proofErr w:type="spellEnd"/>
      <w:r w:rsidRPr="00FA3F9C">
        <w:rPr>
          <w:rFonts w:ascii="Arial" w:hAnsi="Arial" w:cs="Arial"/>
          <w:color w:val="212121"/>
          <w:sz w:val="24"/>
          <w:szCs w:val="24"/>
          <w:shd w:val="clear" w:color="auto" w:fill="FFFFFF"/>
        </w:rPr>
        <w:t xml:space="preserve"> for treatment-naive chronic lymphocytic </w:t>
      </w:r>
      <w:proofErr w:type="spellStart"/>
      <w:r w:rsidRPr="00FA3F9C">
        <w:rPr>
          <w:rFonts w:ascii="Arial" w:hAnsi="Arial" w:cs="Arial"/>
          <w:color w:val="212121"/>
          <w:sz w:val="24"/>
          <w:szCs w:val="24"/>
          <w:shd w:val="clear" w:color="auto" w:fill="FFFFFF"/>
        </w:rPr>
        <w:t>leukaemia</w:t>
      </w:r>
      <w:proofErr w:type="spellEnd"/>
      <w:r w:rsidRPr="00FA3F9C">
        <w:rPr>
          <w:rFonts w:ascii="Arial" w:hAnsi="Arial" w:cs="Arial"/>
          <w:color w:val="212121"/>
          <w:sz w:val="24"/>
          <w:szCs w:val="24"/>
          <w:shd w:val="clear" w:color="auto" w:fill="FFFFFF"/>
        </w:rPr>
        <w:t xml:space="preserve"> (ELEVATE TN): a </w:t>
      </w:r>
      <w:proofErr w:type="spellStart"/>
      <w:r w:rsidRPr="00FA3F9C">
        <w:rPr>
          <w:rFonts w:ascii="Arial" w:hAnsi="Arial" w:cs="Arial"/>
          <w:color w:val="212121"/>
          <w:sz w:val="24"/>
          <w:szCs w:val="24"/>
          <w:shd w:val="clear" w:color="auto" w:fill="FFFFFF"/>
        </w:rPr>
        <w:t>randomised</w:t>
      </w:r>
      <w:proofErr w:type="spellEnd"/>
      <w:r w:rsidRPr="00FA3F9C">
        <w:rPr>
          <w:rFonts w:ascii="Arial" w:hAnsi="Arial" w:cs="Arial"/>
          <w:color w:val="212121"/>
          <w:sz w:val="24"/>
          <w:szCs w:val="24"/>
          <w:shd w:val="clear" w:color="auto" w:fill="FFFFFF"/>
        </w:rPr>
        <w:t xml:space="preserve">, controlled, phase 3 trial. Lancet. 2020 Apr 18;395(10232):1278-1291. </w:t>
      </w:r>
      <w:proofErr w:type="spellStart"/>
      <w:r w:rsidRPr="00FA3F9C">
        <w:rPr>
          <w:rFonts w:ascii="Arial" w:hAnsi="Arial" w:cs="Arial"/>
          <w:color w:val="212121"/>
          <w:sz w:val="24"/>
          <w:szCs w:val="24"/>
          <w:shd w:val="clear" w:color="auto" w:fill="FFFFFF"/>
        </w:rPr>
        <w:t>doi</w:t>
      </w:r>
      <w:proofErr w:type="spellEnd"/>
      <w:r w:rsidRPr="00FA3F9C">
        <w:rPr>
          <w:rFonts w:ascii="Arial" w:hAnsi="Arial" w:cs="Arial"/>
          <w:color w:val="212121"/>
          <w:sz w:val="24"/>
          <w:szCs w:val="24"/>
          <w:shd w:val="clear" w:color="auto" w:fill="FFFFFF"/>
        </w:rPr>
        <w:t>: 10.1016/S0140-6736(20)30262-2. Erratum in: Lancet. 2020 May 30;395(10238):1694. PMID: 32305093; PMCID: PMC8151619.</w:t>
      </w:r>
    </w:p>
    <w:p w14:paraId="49976324" w14:textId="77777777" w:rsidR="001506C1" w:rsidRPr="00FA3F9C" w:rsidRDefault="001506C1" w:rsidP="006F623F">
      <w:pPr>
        <w:spacing w:after="0"/>
        <w:rPr>
          <w:rFonts w:ascii="Arial" w:hAnsi="Arial" w:cs="Arial"/>
          <w:sz w:val="24"/>
          <w:szCs w:val="24"/>
        </w:rPr>
      </w:pPr>
    </w:p>
    <w:tbl>
      <w:tblPr>
        <w:tblStyle w:val="TableGrid"/>
        <w:tblW w:w="0" w:type="auto"/>
        <w:tblLook w:val="04A0" w:firstRow="1" w:lastRow="0" w:firstColumn="1" w:lastColumn="0" w:noHBand="0" w:noVBand="1"/>
      </w:tblPr>
      <w:tblGrid>
        <w:gridCol w:w="8928"/>
        <w:gridCol w:w="2088"/>
      </w:tblGrid>
      <w:tr w:rsidR="001506C1" w:rsidRPr="00FA3F9C" w14:paraId="26F29935" w14:textId="77777777" w:rsidTr="00571CAB">
        <w:tc>
          <w:tcPr>
            <w:tcW w:w="8928" w:type="dxa"/>
            <w:shd w:val="clear" w:color="auto" w:fill="000000"/>
          </w:tcPr>
          <w:p w14:paraId="4FC34102" w14:textId="77777777" w:rsidR="001506C1" w:rsidRPr="00FA3F9C" w:rsidRDefault="001506C1"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88" w:type="dxa"/>
            <w:shd w:val="clear" w:color="auto" w:fill="000000"/>
          </w:tcPr>
          <w:p w14:paraId="10A1B6E8" w14:textId="77777777" w:rsidR="001506C1" w:rsidRPr="00FA3F9C" w:rsidRDefault="001506C1" w:rsidP="006F623F">
            <w:pPr>
              <w:jc w:val="center"/>
              <w:rPr>
                <w:rFonts w:ascii="Arial" w:hAnsi="Arial" w:cs="Arial"/>
                <w:b/>
                <w:sz w:val="24"/>
                <w:szCs w:val="24"/>
                <w:u w:val="single"/>
              </w:rPr>
            </w:pPr>
          </w:p>
        </w:tc>
      </w:tr>
      <w:tr w:rsidR="001506C1" w:rsidRPr="00FA3F9C" w14:paraId="5941632A" w14:textId="77777777" w:rsidTr="00F337AE">
        <w:tc>
          <w:tcPr>
            <w:tcW w:w="11016" w:type="dxa"/>
            <w:gridSpan w:val="2"/>
          </w:tcPr>
          <w:p w14:paraId="43EC3F33" w14:textId="77777777" w:rsidR="001506C1" w:rsidRPr="00FA3F9C" w:rsidRDefault="001506C1" w:rsidP="001506C1">
            <w:pPr>
              <w:pStyle w:val="ListParagraph"/>
              <w:numPr>
                <w:ilvl w:val="0"/>
                <w:numId w:val="5"/>
              </w:numPr>
              <w:ind w:left="337" w:hanging="270"/>
              <w:rPr>
                <w:rFonts w:ascii="Arial" w:hAnsi="Arial" w:cs="Arial"/>
                <w:sz w:val="24"/>
                <w:szCs w:val="24"/>
              </w:rPr>
            </w:pPr>
            <w:r w:rsidRPr="00FA3F9C">
              <w:rPr>
                <w:rFonts w:ascii="Arial" w:hAnsi="Arial" w:cs="Arial"/>
                <w:sz w:val="24"/>
                <w:szCs w:val="24"/>
              </w:rPr>
              <w:t>Diagnosis of mantle cell lymphoma or chronic lymphocytic leukemia</w:t>
            </w:r>
          </w:p>
        </w:tc>
      </w:tr>
      <w:tr w:rsidR="001506C1" w:rsidRPr="00FA3F9C" w14:paraId="00C8530F" w14:textId="77777777" w:rsidTr="00B1617E">
        <w:tc>
          <w:tcPr>
            <w:tcW w:w="11016" w:type="dxa"/>
            <w:gridSpan w:val="2"/>
          </w:tcPr>
          <w:p w14:paraId="3C8621B8" w14:textId="77777777" w:rsidR="001506C1" w:rsidRPr="00FA3F9C" w:rsidRDefault="001506C1" w:rsidP="001506C1">
            <w:pPr>
              <w:pStyle w:val="ListParagraph"/>
              <w:numPr>
                <w:ilvl w:val="0"/>
                <w:numId w:val="5"/>
              </w:numPr>
              <w:ind w:left="337" w:hanging="270"/>
              <w:rPr>
                <w:rFonts w:ascii="Arial" w:hAnsi="Arial" w:cs="Arial"/>
                <w:sz w:val="24"/>
                <w:szCs w:val="24"/>
              </w:rPr>
            </w:pPr>
            <w:r w:rsidRPr="00FA3F9C">
              <w:rPr>
                <w:rFonts w:ascii="Arial" w:hAnsi="Arial" w:cs="Arial"/>
                <w:sz w:val="24"/>
                <w:szCs w:val="24"/>
              </w:rPr>
              <w:t>Disease has been treated with at least one prior therapy with progression or relapsed of disease on or after that therapy</w:t>
            </w:r>
          </w:p>
        </w:tc>
      </w:tr>
      <w:tr w:rsidR="001506C1" w:rsidRPr="00500371" w14:paraId="16B5CF4D" w14:textId="77777777" w:rsidTr="0010789D">
        <w:tc>
          <w:tcPr>
            <w:tcW w:w="11016" w:type="dxa"/>
            <w:gridSpan w:val="2"/>
          </w:tcPr>
          <w:p w14:paraId="2027174E" w14:textId="77777777" w:rsidR="001506C1" w:rsidRPr="00FA3F9C" w:rsidRDefault="001506C1" w:rsidP="001506C1">
            <w:pPr>
              <w:pStyle w:val="ListParagraph"/>
              <w:numPr>
                <w:ilvl w:val="0"/>
                <w:numId w:val="5"/>
              </w:numPr>
              <w:ind w:left="337" w:hanging="270"/>
              <w:rPr>
                <w:rFonts w:ascii="Arial" w:hAnsi="Arial" w:cs="Arial"/>
                <w:sz w:val="24"/>
                <w:szCs w:val="24"/>
                <w:lang w:val="es-ES"/>
              </w:rPr>
            </w:pPr>
            <w:r w:rsidRPr="00FA3F9C">
              <w:rPr>
                <w:rFonts w:ascii="Arial" w:hAnsi="Arial" w:cs="Arial"/>
                <w:sz w:val="24"/>
                <w:szCs w:val="24"/>
                <w:lang w:val="es-ES"/>
              </w:rPr>
              <w:t xml:space="preserve">No prior BTK </w:t>
            </w:r>
            <w:proofErr w:type="spellStart"/>
            <w:r w:rsidRPr="00FA3F9C">
              <w:rPr>
                <w:rFonts w:ascii="Arial" w:hAnsi="Arial" w:cs="Arial"/>
                <w:sz w:val="24"/>
                <w:szCs w:val="24"/>
                <w:lang w:val="es-ES"/>
              </w:rPr>
              <w:t>inhibitor</w:t>
            </w:r>
            <w:proofErr w:type="spellEnd"/>
            <w:r w:rsidRPr="00FA3F9C">
              <w:rPr>
                <w:rFonts w:ascii="Arial" w:hAnsi="Arial" w:cs="Arial"/>
                <w:sz w:val="24"/>
                <w:szCs w:val="24"/>
                <w:lang w:val="es-ES"/>
              </w:rPr>
              <w:t xml:space="preserve"> (</w:t>
            </w:r>
            <w:proofErr w:type="spellStart"/>
            <w:r w:rsidRPr="00FA3F9C">
              <w:rPr>
                <w:rFonts w:ascii="Arial" w:hAnsi="Arial" w:cs="Arial"/>
                <w:sz w:val="24"/>
                <w:szCs w:val="24"/>
                <w:lang w:val="es-ES"/>
              </w:rPr>
              <w:t>ibrutinib</w:t>
            </w:r>
            <w:proofErr w:type="spellEnd"/>
            <w:r w:rsidRPr="00FA3F9C">
              <w:rPr>
                <w:rFonts w:ascii="Arial" w:hAnsi="Arial" w:cs="Arial"/>
                <w:sz w:val="24"/>
                <w:szCs w:val="24"/>
                <w:lang w:val="es-ES"/>
              </w:rPr>
              <w:t xml:space="preserve">, </w:t>
            </w:r>
            <w:proofErr w:type="spellStart"/>
            <w:r w:rsidRPr="00FA3F9C">
              <w:rPr>
                <w:rFonts w:ascii="Arial" w:hAnsi="Arial" w:cs="Arial"/>
                <w:sz w:val="24"/>
                <w:szCs w:val="24"/>
                <w:lang w:val="es-ES"/>
              </w:rPr>
              <w:t>zanubrutinib</w:t>
            </w:r>
            <w:proofErr w:type="spellEnd"/>
            <w:r w:rsidRPr="00FA3F9C">
              <w:rPr>
                <w:rFonts w:ascii="Arial" w:hAnsi="Arial" w:cs="Arial"/>
                <w:sz w:val="24"/>
                <w:szCs w:val="24"/>
                <w:lang w:val="es-ES"/>
              </w:rPr>
              <w:t xml:space="preserve">, </w:t>
            </w:r>
            <w:proofErr w:type="spellStart"/>
            <w:r w:rsidRPr="00FA3F9C">
              <w:rPr>
                <w:rFonts w:ascii="Arial" w:hAnsi="Arial" w:cs="Arial"/>
                <w:sz w:val="24"/>
                <w:szCs w:val="24"/>
                <w:lang w:val="es-ES"/>
              </w:rPr>
              <w:t>acalabrutinib</w:t>
            </w:r>
            <w:proofErr w:type="spellEnd"/>
            <w:r w:rsidRPr="00FA3F9C">
              <w:rPr>
                <w:rFonts w:ascii="Arial" w:hAnsi="Arial" w:cs="Arial"/>
                <w:sz w:val="24"/>
                <w:szCs w:val="24"/>
                <w:lang w:val="es-ES"/>
              </w:rPr>
              <w:t>)</w:t>
            </w:r>
          </w:p>
        </w:tc>
      </w:tr>
      <w:tr w:rsidR="001506C1" w:rsidRPr="00FA3F9C" w14:paraId="0BD32A49" w14:textId="77777777" w:rsidTr="00741C21">
        <w:tc>
          <w:tcPr>
            <w:tcW w:w="11016" w:type="dxa"/>
            <w:gridSpan w:val="2"/>
            <w:shd w:val="clear" w:color="auto" w:fill="F2F2F2" w:themeFill="background1" w:themeFillShade="F2"/>
          </w:tcPr>
          <w:p w14:paraId="57DE7248" w14:textId="77777777" w:rsidR="001506C1" w:rsidRPr="00FA3F9C" w:rsidRDefault="001506C1" w:rsidP="00741C21">
            <w:pPr>
              <w:rPr>
                <w:rFonts w:ascii="Arial" w:hAnsi="Arial" w:cs="Arial"/>
                <w:sz w:val="24"/>
                <w:szCs w:val="24"/>
              </w:rPr>
            </w:pPr>
            <w:r w:rsidRPr="00FA3F9C">
              <w:rPr>
                <w:rFonts w:ascii="Arial" w:hAnsi="Arial" w:cs="Arial"/>
                <w:sz w:val="24"/>
                <w:szCs w:val="24"/>
              </w:rPr>
              <w:t xml:space="preserve">If all criteria met, approve for 12 months. </w:t>
            </w:r>
          </w:p>
        </w:tc>
      </w:tr>
    </w:tbl>
    <w:p w14:paraId="3F09E087" w14:textId="77777777" w:rsidR="001506C1" w:rsidRPr="00FA3F9C" w:rsidRDefault="001506C1" w:rsidP="006F623F">
      <w:pPr>
        <w:spacing w:after="0"/>
        <w:rPr>
          <w:rFonts w:ascii="Arial" w:hAnsi="Arial" w:cs="Arial"/>
          <w:b/>
          <w:sz w:val="24"/>
          <w:szCs w:val="24"/>
          <w:u w:val="single"/>
        </w:rPr>
      </w:pPr>
    </w:p>
    <w:p w14:paraId="78F762BF" w14:textId="77777777" w:rsidR="001506C1" w:rsidRPr="00FA3F9C" w:rsidRDefault="001506C1" w:rsidP="006F623F">
      <w:pPr>
        <w:spacing w:after="0"/>
        <w:rPr>
          <w:rFonts w:ascii="Arial" w:hAnsi="Arial" w:cs="Arial"/>
          <w:b/>
          <w:sz w:val="24"/>
          <w:szCs w:val="24"/>
          <w:u w:val="single"/>
        </w:rPr>
      </w:pPr>
    </w:p>
    <w:tbl>
      <w:tblPr>
        <w:tblStyle w:val="TableGrid"/>
        <w:tblW w:w="0" w:type="auto"/>
        <w:shd w:val="clear" w:color="auto" w:fill="BFBFBF" w:themeFill="background1" w:themeFillShade="BF"/>
        <w:tblLook w:val="04A0" w:firstRow="1" w:lastRow="0" w:firstColumn="1" w:lastColumn="0" w:noHBand="0" w:noVBand="1"/>
      </w:tblPr>
      <w:tblGrid>
        <w:gridCol w:w="10998"/>
      </w:tblGrid>
      <w:tr w:rsidR="001506C1" w:rsidRPr="00FA3F9C" w14:paraId="2E5FD30A" w14:textId="77777777" w:rsidTr="00D82B6E">
        <w:tc>
          <w:tcPr>
            <w:tcW w:w="10998" w:type="dxa"/>
            <w:shd w:val="clear" w:color="auto" w:fill="BFBFBF" w:themeFill="background1" w:themeFillShade="BF"/>
          </w:tcPr>
          <w:p w14:paraId="45943312" w14:textId="77777777" w:rsidR="001506C1" w:rsidRPr="00FA3F9C" w:rsidRDefault="001506C1" w:rsidP="00D82B6E">
            <w:pPr>
              <w:rPr>
                <w:rFonts w:ascii="Arial" w:hAnsi="Arial" w:cs="Arial"/>
                <w:sz w:val="24"/>
                <w:szCs w:val="24"/>
                <w:u w:val="single"/>
              </w:rPr>
            </w:pPr>
            <w:r w:rsidRPr="00FA3F9C">
              <w:rPr>
                <w:rFonts w:ascii="Arial" w:hAnsi="Arial" w:cs="Arial"/>
                <w:sz w:val="24"/>
                <w:szCs w:val="24"/>
                <w:u w:val="single"/>
              </w:rPr>
              <w:t>Mantle Cell Lymphoma References:</w:t>
            </w:r>
          </w:p>
          <w:p w14:paraId="617812C7" w14:textId="77777777" w:rsidR="001506C1" w:rsidRPr="00FA3F9C" w:rsidRDefault="001506C1" w:rsidP="00D82B6E">
            <w:pPr>
              <w:rPr>
                <w:rFonts w:ascii="Arial" w:hAnsi="Arial" w:cs="Arial"/>
                <w:sz w:val="24"/>
                <w:szCs w:val="24"/>
              </w:rPr>
            </w:pPr>
          </w:p>
          <w:p w14:paraId="567542F2" w14:textId="77777777" w:rsidR="001506C1" w:rsidRPr="00FA3F9C" w:rsidRDefault="001506C1" w:rsidP="00CD1F84">
            <w:pPr>
              <w:ind w:left="247" w:hanging="247"/>
              <w:rPr>
                <w:rFonts w:ascii="Arial" w:hAnsi="Arial" w:cs="Arial"/>
                <w:sz w:val="24"/>
                <w:szCs w:val="24"/>
              </w:rPr>
            </w:pPr>
            <w:r w:rsidRPr="00FA3F9C">
              <w:rPr>
                <w:rFonts w:ascii="Arial" w:hAnsi="Arial" w:cs="Arial"/>
                <w:sz w:val="24"/>
                <w:szCs w:val="24"/>
              </w:rPr>
              <w:t xml:space="preserve">1. Wang M et al. Acalabrutinib in relapsed or refractory mantle cell lymphoma (ACE-LY-004): a single-arm, </w:t>
            </w:r>
            <w:proofErr w:type="spellStart"/>
            <w:r w:rsidRPr="00FA3F9C">
              <w:rPr>
                <w:rFonts w:ascii="Arial" w:hAnsi="Arial" w:cs="Arial"/>
                <w:sz w:val="24"/>
                <w:szCs w:val="24"/>
              </w:rPr>
              <w:t>multicentre</w:t>
            </w:r>
            <w:proofErr w:type="spellEnd"/>
            <w:r w:rsidRPr="00FA3F9C">
              <w:rPr>
                <w:rFonts w:ascii="Arial" w:hAnsi="Arial" w:cs="Arial"/>
                <w:sz w:val="24"/>
                <w:szCs w:val="24"/>
              </w:rPr>
              <w:t>, phase 2 trial. Lancet. 2018 Feb 17;391(10121):659-667. PMID: 29241979; PMCID: PMC7864374.</w:t>
            </w:r>
          </w:p>
          <w:p w14:paraId="6B9611E8" w14:textId="77777777" w:rsidR="001506C1" w:rsidRPr="00FA3F9C" w:rsidRDefault="001506C1" w:rsidP="00CD1F84">
            <w:pPr>
              <w:ind w:left="247" w:hanging="247"/>
              <w:rPr>
                <w:rFonts w:ascii="Arial" w:hAnsi="Arial" w:cs="Arial"/>
                <w:sz w:val="24"/>
                <w:szCs w:val="24"/>
              </w:rPr>
            </w:pPr>
            <w:r w:rsidRPr="00FA3F9C">
              <w:rPr>
                <w:rFonts w:ascii="Arial" w:hAnsi="Arial" w:cs="Arial"/>
                <w:sz w:val="24"/>
                <w:szCs w:val="24"/>
              </w:rPr>
              <w:t xml:space="preserve">2. Wang M et al. Acalabrutinib Monotherapy in Patients with Relapsed/Refractory Mantle Cell Lymphoma: Long-Term Efficacy and Safety Results from a Phase 2 Study. </w:t>
            </w:r>
            <w:hyperlink r:id="rId15" w:history="1">
              <w:r w:rsidRPr="00FA3F9C">
                <w:rPr>
                  <w:rStyle w:val="Hyperlink"/>
                  <w:rFonts w:ascii="Arial" w:hAnsi="Arial" w:cs="Arial"/>
                  <w:sz w:val="24"/>
                  <w:szCs w:val="24"/>
                </w:rPr>
                <w:t>https://ash.confex.com/ash/2020/webprogram/Paper134824.html. Accessed 10/26/2021</w:t>
              </w:r>
            </w:hyperlink>
            <w:r w:rsidRPr="00FA3F9C">
              <w:rPr>
                <w:rFonts w:ascii="Arial" w:hAnsi="Arial" w:cs="Arial"/>
                <w:sz w:val="24"/>
                <w:szCs w:val="24"/>
              </w:rPr>
              <w:t>.</w:t>
            </w:r>
          </w:p>
          <w:p w14:paraId="7739E2DF" w14:textId="77777777" w:rsidR="001506C1" w:rsidRPr="00FA3F9C" w:rsidRDefault="001506C1" w:rsidP="00CD1F84">
            <w:pPr>
              <w:rPr>
                <w:rFonts w:ascii="Arial" w:hAnsi="Arial" w:cs="Arial"/>
                <w:sz w:val="24"/>
                <w:szCs w:val="24"/>
              </w:rPr>
            </w:pPr>
          </w:p>
          <w:p w14:paraId="02C16CF1" w14:textId="77777777" w:rsidR="001506C1" w:rsidRPr="00FA3F9C" w:rsidRDefault="001506C1" w:rsidP="00CD1F84">
            <w:pPr>
              <w:rPr>
                <w:rFonts w:ascii="Arial" w:hAnsi="Arial" w:cs="Arial"/>
                <w:sz w:val="24"/>
                <w:szCs w:val="24"/>
                <w:u w:val="single"/>
              </w:rPr>
            </w:pPr>
            <w:r w:rsidRPr="00FA3F9C">
              <w:rPr>
                <w:rFonts w:ascii="Arial" w:hAnsi="Arial" w:cs="Arial"/>
                <w:sz w:val="24"/>
                <w:szCs w:val="24"/>
                <w:u w:val="single"/>
              </w:rPr>
              <w:lastRenderedPageBreak/>
              <w:t>Chronic Lymphocytic Lymphoma References:</w:t>
            </w:r>
          </w:p>
          <w:p w14:paraId="517D0AA1" w14:textId="77777777" w:rsidR="001506C1" w:rsidRPr="00FA3F9C" w:rsidRDefault="001506C1" w:rsidP="00CD1F84">
            <w:pPr>
              <w:rPr>
                <w:rFonts w:ascii="Arial" w:hAnsi="Arial" w:cs="Arial"/>
                <w:sz w:val="24"/>
                <w:szCs w:val="24"/>
              </w:rPr>
            </w:pPr>
          </w:p>
          <w:p w14:paraId="450D9B5B" w14:textId="77777777" w:rsidR="001506C1" w:rsidRPr="00FA3F9C" w:rsidRDefault="001506C1" w:rsidP="00CD1F84">
            <w:pPr>
              <w:ind w:left="157" w:hanging="157"/>
              <w:rPr>
                <w:rFonts w:ascii="Arial" w:hAnsi="Arial" w:cs="Arial"/>
                <w:sz w:val="24"/>
                <w:szCs w:val="24"/>
              </w:rPr>
            </w:pPr>
            <w:r w:rsidRPr="00FA3F9C">
              <w:rPr>
                <w:rFonts w:ascii="Arial" w:hAnsi="Arial" w:cs="Arial"/>
                <w:sz w:val="24"/>
                <w:szCs w:val="24"/>
              </w:rPr>
              <w:t xml:space="preserve">1. Ghia P et al. ASCEND: Phase III, Randomized Trial of Acalabrutinib Versus </w:t>
            </w:r>
            <w:proofErr w:type="spellStart"/>
            <w:r w:rsidRPr="00FA3F9C">
              <w:rPr>
                <w:rFonts w:ascii="Arial" w:hAnsi="Arial" w:cs="Arial"/>
                <w:sz w:val="24"/>
                <w:szCs w:val="24"/>
              </w:rPr>
              <w:t>Idelalisib</w:t>
            </w:r>
            <w:proofErr w:type="spellEnd"/>
            <w:r w:rsidRPr="00FA3F9C">
              <w:rPr>
                <w:rFonts w:ascii="Arial" w:hAnsi="Arial" w:cs="Arial"/>
                <w:sz w:val="24"/>
                <w:szCs w:val="24"/>
              </w:rPr>
              <w:t xml:space="preserve"> Plus Rituximab or </w:t>
            </w:r>
            <w:proofErr w:type="spellStart"/>
            <w:r w:rsidRPr="00FA3F9C">
              <w:rPr>
                <w:rFonts w:ascii="Arial" w:hAnsi="Arial" w:cs="Arial"/>
                <w:sz w:val="24"/>
                <w:szCs w:val="24"/>
              </w:rPr>
              <w:t>Bendamustine</w:t>
            </w:r>
            <w:proofErr w:type="spellEnd"/>
            <w:r w:rsidRPr="00FA3F9C">
              <w:rPr>
                <w:rFonts w:ascii="Arial" w:hAnsi="Arial" w:cs="Arial"/>
                <w:sz w:val="24"/>
                <w:szCs w:val="24"/>
              </w:rPr>
              <w:t xml:space="preserve"> Plus Rituximab in Relapsed or Refractory Chronic Lymphocytic Leukemia. J Clin Oncol. 2020 Sep 1;38(25):2849-2861. </w:t>
            </w:r>
            <w:proofErr w:type="spellStart"/>
            <w:r w:rsidRPr="00FA3F9C">
              <w:rPr>
                <w:rFonts w:ascii="Arial" w:hAnsi="Arial" w:cs="Arial"/>
                <w:sz w:val="24"/>
                <w:szCs w:val="24"/>
              </w:rPr>
              <w:t>doi</w:t>
            </w:r>
            <w:proofErr w:type="spellEnd"/>
            <w:r w:rsidRPr="00FA3F9C">
              <w:rPr>
                <w:rFonts w:ascii="Arial" w:hAnsi="Arial" w:cs="Arial"/>
                <w:sz w:val="24"/>
                <w:szCs w:val="24"/>
              </w:rPr>
              <w:t xml:space="preserve">: 10.1200/JCO.19.03355. </w:t>
            </w:r>
            <w:proofErr w:type="spellStart"/>
            <w:r w:rsidRPr="00FA3F9C">
              <w:rPr>
                <w:rFonts w:ascii="Arial" w:hAnsi="Arial" w:cs="Arial"/>
                <w:sz w:val="24"/>
                <w:szCs w:val="24"/>
              </w:rPr>
              <w:t>Epub</w:t>
            </w:r>
            <w:proofErr w:type="spellEnd"/>
            <w:r w:rsidRPr="00FA3F9C">
              <w:rPr>
                <w:rFonts w:ascii="Arial" w:hAnsi="Arial" w:cs="Arial"/>
                <w:sz w:val="24"/>
                <w:szCs w:val="24"/>
              </w:rPr>
              <w:t xml:space="preserve"> 2020 May 27. PMID: 32459600.</w:t>
            </w:r>
          </w:p>
          <w:p w14:paraId="360DCCDF" w14:textId="77777777" w:rsidR="001506C1" w:rsidRPr="00FA3F9C" w:rsidRDefault="001506C1" w:rsidP="00CD1F84">
            <w:pPr>
              <w:ind w:left="157" w:hanging="157"/>
              <w:rPr>
                <w:rFonts w:ascii="Arial" w:hAnsi="Arial" w:cs="Arial"/>
                <w:sz w:val="24"/>
                <w:szCs w:val="24"/>
              </w:rPr>
            </w:pPr>
            <w:r w:rsidRPr="00FA3F9C">
              <w:rPr>
                <w:rFonts w:ascii="Arial" w:hAnsi="Arial" w:cs="Arial"/>
                <w:sz w:val="24"/>
                <w:szCs w:val="24"/>
              </w:rPr>
              <w:t xml:space="preserve">2. Byrd JC et al. Acalabrutinib Versus Ibrutinib in Previously Treated Chronic Lymphocytic Leukemia: Results of the First Randomized Phase III Trial. J Clin Oncol. 2021 Jul 26:JCO2101210. </w:t>
            </w:r>
            <w:proofErr w:type="spellStart"/>
            <w:r w:rsidRPr="00FA3F9C">
              <w:rPr>
                <w:rFonts w:ascii="Arial" w:hAnsi="Arial" w:cs="Arial"/>
                <w:sz w:val="24"/>
                <w:szCs w:val="24"/>
              </w:rPr>
              <w:t>doi</w:t>
            </w:r>
            <w:proofErr w:type="spellEnd"/>
            <w:r w:rsidRPr="00FA3F9C">
              <w:rPr>
                <w:rFonts w:ascii="Arial" w:hAnsi="Arial" w:cs="Arial"/>
                <w:sz w:val="24"/>
                <w:szCs w:val="24"/>
              </w:rPr>
              <w:t xml:space="preserve">: 10.1200/JCO.21.01210. </w:t>
            </w:r>
            <w:proofErr w:type="spellStart"/>
            <w:r w:rsidRPr="00FA3F9C">
              <w:rPr>
                <w:rFonts w:ascii="Arial" w:hAnsi="Arial" w:cs="Arial"/>
                <w:sz w:val="24"/>
                <w:szCs w:val="24"/>
              </w:rPr>
              <w:t>Epub</w:t>
            </w:r>
            <w:proofErr w:type="spellEnd"/>
            <w:r w:rsidRPr="00FA3F9C">
              <w:rPr>
                <w:rFonts w:ascii="Arial" w:hAnsi="Arial" w:cs="Arial"/>
                <w:sz w:val="24"/>
                <w:szCs w:val="24"/>
              </w:rPr>
              <w:t xml:space="preserve"> ahead of print. PMID: 34310172.</w:t>
            </w:r>
          </w:p>
          <w:p w14:paraId="4A79668C" w14:textId="77777777" w:rsidR="001506C1" w:rsidRPr="00FA3F9C" w:rsidRDefault="001506C1" w:rsidP="00D82B6E">
            <w:pPr>
              <w:rPr>
                <w:rFonts w:ascii="Arial" w:hAnsi="Arial" w:cs="Arial"/>
                <w:sz w:val="24"/>
                <w:szCs w:val="24"/>
              </w:rPr>
            </w:pPr>
          </w:p>
        </w:tc>
      </w:tr>
    </w:tbl>
    <w:p w14:paraId="2D2FF9BB" w14:textId="77777777" w:rsidR="001506C1" w:rsidRPr="00FA3F9C" w:rsidRDefault="001506C1" w:rsidP="006F623F">
      <w:pPr>
        <w:spacing w:after="0"/>
        <w:rPr>
          <w:rFonts w:ascii="Arial" w:hAnsi="Arial" w:cs="Arial"/>
          <w:sz w:val="24"/>
          <w:szCs w:val="24"/>
        </w:rPr>
      </w:pPr>
    </w:p>
    <w:p w14:paraId="248C3F45"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Quantity Limits: 2/1</w:t>
      </w:r>
    </w:p>
    <w:p w14:paraId="336406B8" w14:textId="77777777" w:rsidR="001506C1" w:rsidRPr="00FA3F9C" w:rsidRDefault="001506C1" w:rsidP="006F623F">
      <w:pPr>
        <w:spacing w:after="0"/>
        <w:rPr>
          <w:rFonts w:ascii="Arial" w:hAnsi="Arial" w:cs="Arial"/>
          <w:sz w:val="24"/>
          <w:szCs w:val="24"/>
        </w:rPr>
      </w:pPr>
    </w:p>
    <w:p w14:paraId="1F6293B7"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418"/>
        <w:gridCol w:w="7470"/>
        <w:gridCol w:w="2538"/>
      </w:tblGrid>
      <w:tr w:rsidR="001506C1" w:rsidRPr="00FA3F9C" w14:paraId="1902C341" w14:textId="77777777" w:rsidTr="00FE491B">
        <w:tc>
          <w:tcPr>
            <w:tcW w:w="1008" w:type="dxa"/>
          </w:tcPr>
          <w:p w14:paraId="23C9A947" w14:textId="77777777" w:rsidR="001506C1" w:rsidRPr="00FA3F9C" w:rsidRDefault="001506C1" w:rsidP="006F623F">
            <w:pPr>
              <w:rPr>
                <w:rFonts w:ascii="Arial" w:hAnsi="Arial" w:cs="Arial"/>
                <w:sz w:val="24"/>
                <w:szCs w:val="24"/>
              </w:rPr>
            </w:pPr>
            <w:r w:rsidRPr="00FA3F9C">
              <w:rPr>
                <w:rFonts w:ascii="Arial" w:hAnsi="Arial" w:cs="Arial"/>
                <w:sz w:val="24"/>
                <w:szCs w:val="24"/>
              </w:rPr>
              <w:t>Date</w:t>
            </w:r>
          </w:p>
        </w:tc>
        <w:tc>
          <w:tcPr>
            <w:tcW w:w="7470" w:type="dxa"/>
          </w:tcPr>
          <w:p w14:paraId="0A6FBB73" w14:textId="77777777" w:rsidR="001506C1" w:rsidRPr="00FA3F9C" w:rsidRDefault="001506C1" w:rsidP="006F623F">
            <w:pPr>
              <w:rPr>
                <w:rFonts w:ascii="Arial" w:hAnsi="Arial" w:cs="Arial"/>
                <w:sz w:val="24"/>
                <w:szCs w:val="24"/>
              </w:rPr>
            </w:pPr>
            <w:r w:rsidRPr="00FA3F9C">
              <w:rPr>
                <w:rFonts w:ascii="Arial" w:hAnsi="Arial" w:cs="Arial"/>
                <w:sz w:val="24"/>
                <w:szCs w:val="24"/>
              </w:rPr>
              <w:t>What changed</w:t>
            </w:r>
          </w:p>
        </w:tc>
        <w:tc>
          <w:tcPr>
            <w:tcW w:w="2538" w:type="dxa"/>
          </w:tcPr>
          <w:p w14:paraId="7B76D628" w14:textId="77777777" w:rsidR="001506C1" w:rsidRPr="00FA3F9C" w:rsidRDefault="001506C1" w:rsidP="006F623F">
            <w:pPr>
              <w:rPr>
                <w:rFonts w:ascii="Arial" w:hAnsi="Arial" w:cs="Arial"/>
                <w:sz w:val="24"/>
                <w:szCs w:val="24"/>
              </w:rPr>
            </w:pPr>
            <w:r w:rsidRPr="00FA3F9C">
              <w:rPr>
                <w:rFonts w:ascii="Arial" w:hAnsi="Arial" w:cs="Arial"/>
                <w:sz w:val="24"/>
                <w:szCs w:val="24"/>
              </w:rPr>
              <w:t>Pharmacist’s initials</w:t>
            </w:r>
          </w:p>
        </w:tc>
      </w:tr>
      <w:tr w:rsidR="001506C1" w:rsidRPr="00FA3F9C" w14:paraId="0241D9C5" w14:textId="77777777" w:rsidTr="00FE491B">
        <w:tc>
          <w:tcPr>
            <w:tcW w:w="1008" w:type="dxa"/>
          </w:tcPr>
          <w:p w14:paraId="1A095EDF" w14:textId="77777777" w:rsidR="001506C1" w:rsidRPr="00FA3F9C" w:rsidRDefault="001506C1" w:rsidP="006F623F">
            <w:pPr>
              <w:rPr>
                <w:rFonts w:ascii="Arial" w:hAnsi="Arial" w:cs="Arial"/>
                <w:sz w:val="24"/>
                <w:szCs w:val="24"/>
              </w:rPr>
            </w:pPr>
            <w:r w:rsidRPr="00FA3F9C">
              <w:rPr>
                <w:rFonts w:ascii="Arial" w:hAnsi="Arial" w:cs="Arial"/>
                <w:sz w:val="24"/>
                <w:szCs w:val="24"/>
              </w:rPr>
              <w:t>11/18/2021</w:t>
            </w:r>
          </w:p>
        </w:tc>
        <w:tc>
          <w:tcPr>
            <w:tcW w:w="7470" w:type="dxa"/>
          </w:tcPr>
          <w:p w14:paraId="748944B6" w14:textId="77777777" w:rsidR="001506C1" w:rsidRPr="00FA3F9C" w:rsidRDefault="001506C1" w:rsidP="006F623F">
            <w:pPr>
              <w:rPr>
                <w:rFonts w:ascii="Arial" w:hAnsi="Arial" w:cs="Arial"/>
                <w:sz w:val="24"/>
                <w:szCs w:val="24"/>
              </w:rPr>
            </w:pPr>
            <w:r w:rsidRPr="00FA3F9C">
              <w:rPr>
                <w:rFonts w:ascii="Arial" w:hAnsi="Arial" w:cs="Arial"/>
                <w:sz w:val="24"/>
                <w:szCs w:val="24"/>
              </w:rPr>
              <w:t>Criteria written</w:t>
            </w:r>
          </w:p>
        </w:tc>
        <w:tc>
          <w:tcPr>
            <w:tcW w:w="2538" w:type="dxa"/>
          </w:tcPr>
          <w:p w14:paraId="511DE0B1" w14:textId="77777777" w:rsidR="001506C1" w:rsidRPr="00FA3F9C" w:rsidRDefault="001506C1" w:rsidP="006F623F">
            <w:pPr>
              <w:rPr>
                <w:rFonts w:ascii="Arial" w:hAnsi="Arial" w:cs="Arial"/>
                <w:sz w:val="24"/>
                <w:szCs w:val="24"/>
              </w:rPr>
            </w:pPr>
            <w:r w:rsidRPr="00FA3F9C">
              <w:rPr>
                <w:rFonts w:ascii="Arial" w:hAnsi="Arial" w:cs="Arial"/>
                <w:sz w:val="24"/>
                <w:szCs w:val="24"/>
              </w:rPr>
              <w:t>SK</w:t>
            </w:r>
          </w:p>
        </w:tc>
      </w:tr>
      <w:tr w:rsidR="001506C1" w:rsidRPr="00FA3F9C" w14:paraId="4122D895" w14:textId="77777777" w:rsidTr="00FE491B">
        <w:tc>
          <w:tcPr>
            <w:tcW w:w="1008" w:type="dxa"/>
          </w:tcPr>
          <w:p w14:paraId="334C0A86" w14:textId="77777777" w:rsidR="001506C1" w:rsidRPr="00FA3F9C" w:rsidRDefault="001506C1" w:rsidP="006F623F">
            <w:pPr>
              <w:rPr>
                <w:rFonts w:ascii="Arial" w:hAnsi="Arial" w:cs="Arial"/>
                <w:sz w:val="24"/>
                <w:szCs w:val="24"/>
              </w:rPr>
            </w:pPr>
          </w:p>
        </w:tc>
        <w:tc>
          <w:tcPr>
            <w:tcW w:w="7470" w:type="dxa"/>
          </w:tcPr>
          <w:p w14:paraId="073C73C1" w14:textId="77777777" w:rsidR="001506C1" w:rsidRPr="00FA3F9C" w:rsidRDefault="001506C1" w:rsidP="006F623F">
            <w:pPr>
              <w:rPr>
                <w:rFonts w:ascii="Arial" w:hAnsi="Arial" w:cs="Arial"/>
                <w:sz w:val="24"/>
                <w:szCs w:val="24"/>
              </w:rPr>
            </w:pPr>
          </w:p>
        </w:tc>
        <w:tc>
          <w:tcPr>
            <w:tcW w:w="2538" w:type="dxa"/>
          </w:tcPr>
          <w:p w14:paraId="353158A7" w14:textId="77777777" w:rsidR="001506C1" w:rsidRPr="00FA3F9C" w:rsidRDefault="001506C1" w:rsidP="006F623F">
            <w:pPr>
              <w:rPr>
                <w:rFonts w:ascii="Arial" w:hAnsi="Arial" w:cs="Arial"/>
                <w:sz w:val="24"/>
                <w:szCs w:val="24"/>
              </w:rPr>
            </w:pPr>
          </w:p>
        </w:tc>
      </w:tr>
    </w:tbl>
    <w:p w14:paraId="70DBA4C4" w14:textId="77777777" w:rsidR="001506C1" w:rsidRPr="00FA3F9C" w:rsidRDefault="001506C1" w:rsidP="00076432"/>
    <w:p w14:paraId="47657EF8" w14:textId="77777777" w:rsidR="005005CA" w:rsidRDefault="005005CA">
      <w:pPr>
        <w:rPr>
          <w:rFonts w:ascii="Arial" w:eastAsia="Times New Roman" w:hAnsi="Arial" w:cs="Arial"/>
          <w:b/>
          <w:sz w:val="28"/>
          <w:szCs w:val="20"/>
        </w:rPr>
      </w:pPr>
      <w:bookmarkStart w:id="4" w:name="_Toc106369708"/>
      <w:r>
        <w:br w:type="page"/>
      </w:r>
    </w:p>
    <w:p w14:paraId="114204D8" w14:textId="66117940" w:rsidR="001506C1" w:rsidRPr="00FA3F9C" w:rsidRDefault="001506C1" w:rsidP="00FA3F9C">
      <w:pPr>
        <w:pStyle w:val="Heading2"/>
      </w:pPr>
      <w:proofErr w:type="spellStart"/>
      <w:r w:rsidRPr="00FA3F9C">
        <w:lastRenderedPageBreak/>
        <w:t>Alectinib</w:t>
      </w:r>
      <w:proofErr w:type="spellEnd"/>
      <w:r w:rsidRPr="00FA3F9C">
        <w:t xml:space="preserve"> (</w:t>
      </w:r>
      <w:proofErr w:type="spellStart"/>
      <w:r w:rsidRPr="00FA3F9C">
        <w:t>Alecensa</w:t>
      </w:r>
      <w:proofErr w:type="spellEnd"/>
      <w:r w:rsidRPr="00FA3F9C">
        <w:t>®)</w:t>
      </w:r>
      <w:bookmarkEnd w:id="4"/>
      <w:r w:rsidRPr="00FA3F9C">
        <w:t xml:space="preserve"> </w:t>
      </w:r>
    </w:p>
    <w:p w14:paraId="2CC09EAC" w14:textId="77777777" w:rsidR="001506C1" w:rsidRPr="00FA3F9C" w:rsidRDefault="001506C1" w:rsidP="00286627">
      <w:pPr>
        <w:jc w:val="center"/>
        <w:rPr>
          <w:rFonts w:ascii="Arial" w:hAnsi="Arial" w:cs="Arial"/>
          <w:sz w:val="24"/>
          <w:szCs w:val="24"/>
        </w:rPr>
      </w:pPr>
      <w:r w:rsidRPr="00FA3F9C">
        <w:rPr>
          <w:rFonts w:ascii="Arial" w:hAnsi="Arial" w:cs="Arial"/>
          <w:sz w:val="24"/>
          <w:szCs w:val="24"/>
        </w:rPr>
        <w:t>150mg capsules</w:t>
      </w:r>
    </w:p>
    <w:p w14:paraId="7493FBE8" w14:textId="77777777" w:rsidR="001506C1" w:rsidRPr="00FA3F9C" w:rsidRDefault="001506C1" w:rsidP="00286627">
      <w:pPr>
        <w:jc w:val="center"/>
        <w:rPr>
          <w:rFonts w:ascii="Arial" w:hAnsi="Arial" w:cs="Arial"/>
          <w:sz w:val="24"/>
          <w:szCs w:val="24"/>
        </w:rPr>
      </w:pPr>
      <w:r w:rsidRPr="00FA3F9C">
        <w:rPr>
          <w:rFonts w:ascii="Arial" w:hAnsi="Arial" w:cs="Arial"/>
          <w:sz w:val="24"/>
          <w:szCs w:val="24"/>
        </w:rPr>
        <w:t>EBRx PA Criteria</w:t>
      </w:r>
    </w:p>
    <w:p w14:paraId="6C33E1CC" w14:textId="77777777" w:rsidR="001506C1" w:rsidRPr="00FA3F9C" w:rsidRDefault="001506C1" w:rsidP="00286627">
      <w:pPr>
        <w:rPr>
          <w:rFonts w:ascii="Arial" w:hAnsi="Arial" w:cs="Arial"/>
          <w:b/>
          <w:sz w:val="24"/>
          <w:szCs w:val="24"/>
          <w:u w:val="single"/>
        </w:rPr>
      </w:pPr>
    </w:p>
    <w:p w14:paraId="1D6A4C51" w14:textId="77777777" w:rsidR="001506C1" w:rsidRPr="00FA3F9C" w:rsidRDefault="001506C1" w:rsidP="00286627">
      <w:pPr>
        <w:rPr>
          <w:rFonts w:ascii="Arial" w:hAnsi="Arial" w:cs="Arial"/>
          <w:sz w:val="24"/>
          <w:szCs w:val="24"/>
        </w:rPr>
      </w:pPr>
      <w:r w:rsidRPr="00FA3F9C">
        <w:rPr>
          <w:rFonts w:ascii="Arial" w:hAnsi="Arial" w:cs="Arial"/>
          <w:b/>
          <w:sz w:val="24"/>
          <w:szCs w:val="24"/>
          <w:u w:val="single"/>
        </w:rPr>
        <w:t>FDA approved indication:</w:t>
      </w:r>
      <w:r w:rsidRPr="00FA3F9C">
        <w:rPr>
          <w:rFonts w:ascii="Arial" w:hAnsi="Arial" w:cs="Arial"/>
          <w:sz w:val="24"/>
          <w:szCs w:val="24"/>
        </w:rPr>
        <w:t xml:space="preserve"> </w:t>
      </w:r>
    </w:p>
    <w:p w14:paraId="11FE86FC" w14:textId="77777777" w:rsidR="001506C1" w:rsidRPr="00FA3F9C" w:rsidRDefault="001506C1" w:rsidP="00286627">
      <w:pPr>
        <w:rPr>
          <w:rFonts w:ascii="Arial" w:hAnsi="Arial" w:cs="Arial"/>
          <w:color w:val="000000"/>
          <w:sz w:val="24"/>
          <w:szCs w:val="24"/>
        </w:rPr>
      </w:pPr>
      <w:r w:rsidRPr="00FA3F9C">
        <w:rPr>
          <w:rFonts w:ascii="Arial" w:hAnsi="Arial" w:cs="Arial"/>
          <w:b/>
          <w:bCs/>
          <w:color w:val="000000"/>
          <w:sz w:val="24"/>
          <w:szCs w:val="24"/>
        </w:rPr>
        <w:t>Non-small cell lung cancer, metastatic: </w:t>
      </w:r>
      <w:r w:rsidRPr="00FA3F9C">
        <w:rPr>
          <w:rFonts w:ascii="Arial" w:hAnsi="Arial" w:cs="Arial"/>
          <w:color w:val="000000"/>
          <w:sz w:val="24"/>
          <w:szCs w:val="24"/>
        </w:rPr>
        <w:t>Treatment of anaplastic lymphoma kinase (ALK)-positive, metastatic non-small cell lung cancer (NSCLC) as detected by an approved test.</w:t>
      </w:r>
    </w:p>
    <w:p w14:paraId="6C8D36EE" w14:textId="77777777" w:rsidR="001506C1" w:rsidRPr="00FA3F9C" w:rsidRDefault="001506C1" w:rsidP="00286627">
      <w:pPr>
        <w:rPr>
          <w:rFonts w:ascii="Arial" w:hAnsi="Arial" w:cs="Arial"/>
          <w:b/>
          <w:color w:val="000000"/>
          <w:sz w:val="24"/>
          <w:szCs w:val="24"/>
          <w:u w:val="single"/>
          <w:shd w:val="clear" w:color="auto" w:fill="F2F2F2"/>
        </w:rPr>
      </w:pPr>
      <w:r w:rsidRPr="00FA3F9C">
        <w:rPr>
          <w:rFonts w:ascii="Arial" w:hAnsi="Arial" w:cs="Arial"/>
          <w:b/>
          <w:color w:val="000000"/>
          <w:sz w:val="24"/>
          <w:szCs w:val="24"/>
          <w:u w:val="single"/>
        </w:rPr>
        <w:t>Dosing</w:t>
      </w:r>
      <w:r w:rsidRPr="00FA3F9C">
        <w:rPr>
          <w:rFonts w:ascii="Arial" w:hAnsi="Arial" w:cs="Arial"/>
          <w:color w:val="000000"/>
          <w:sz w:val="24"/>
          <w:szCs w:val="24"/>
        </w:rPr>
        <w:t>: 600mg PO BID</w:t>
      </w:r>
    </w:p>
    <w:p w14:paraId="008129F2" w14:textId="77777777" w:rsidR="001506C1" w:rsidRPr="00FA3F9C" w:rsidRDefault="001506C1" w:rsidP="00286627">
      <w:pPr>
        <w:rPr>
          <w:rFonts w:ascii="Arial" w:hAnsi="Arial" w:cs="Arial"/>
          <w:sz w:val="24"/>
          <w:szCs w:val="24"/>
        </w:rPr>
      </w:pPr>
    </w:p>
    <w:tbl>
      <w:tblPr>
        <w:tblStyle w:val="TableGrid"/>
        <w:tblW w:w="0" w:type="auto"/>
        <w:tblLook w:val="04A0" w:firstRow="1" w:lastRow="0" w:firstColumn="1" w:lastColumn="0" w:noHBand="0" w:noVBand="1"/>
      </w:tblPr>
      <w:tblGrid>
        <w:gridCol w:w="9350"/>
      </w:tblGrid>
      <w:tr w:rsidR="001506C1" w:rsidRPr="00FA3F9C" w14:paraId="1A0F650E" w14:textId="77777777" w:rsidTr="00286627">
        <w:tc>
          <w:tcPr>
            <w:tcW w:w="9350" w:type="dxa"/>
            <w:shd w:val="clear" w:color="auto" w:fill="000000" w:themeFill="text1"/>
          </w:tcPr>
          <w:p w14:paraId="7632E886" w14:textId="77777777" w:rsidR="001506C1" w:rsidRPr="00FA3F9C" w:rsidRDefault="001506C1" w:rsidP="00286627">
            <w:pPr>
              <w:rPr>
                <w:rFonts w:ascii="Arial" w:hAnsi="Arial" w:cs="Arial"/>
                <w:sz w:val="24"/>
                <w:szCs w:val="24"/>
              </w:rPr>
            </w:pPr>
            <w:r w:rsidRPr="00FA3F9C">
              <w:rPr>
                <w:rFonts w:ascii="Arial" w:hAnsi="Arial" w:cs="Arial"/>
                <w:sz w:val="24"/>
                <w:szCs w:val="24"/>
              </w:rPr>
              <w:t>Non-small cell lung cancer (NSCLC)</w:t>
            </w:r>
          </w:p>
        </w:tc>
      </w:tr>
      <w:tr w:rsidR="001506C1" w:rsidRPr="00FA3F9C" w14:paraId="4FCB167C" w14:textId="77777777" w:rsidTr="00286627">
        <w:tc>
          <w:tcPr>
            <w:tcW w:w="9350" w:type="dxa"/>
          </w:tcPr>
          <w:p w14:paraId="5BA47937" w14:textId="77777777" w:rsidR="001506C1" w:rsidRPr="00FA3F9C" w:rsidRDefault="001506C1" w:rsidP="001506C1">
            <w:pPr>
              <w:pStyle w:val="ListParagraph"/>
              <w:numPr>
                <w:ilvl w:val="0"/>
                <w:numId w:val="6"/>
              </w:numPr>
              <w:rPr>
                <w:rFonts w:ascii="Arial" w:hAnsi="Arial" w:cs="Arial"/>
                <w:sz w:val="24"/>
                <w:szCs w:val="24"/>
              </w:rPr>
            </w:pPr>
            <w:r w:rsidRPr="00FA3F9C">
              <w:rPr>
                <w:rFonts w:ascii="Arial" w:hAnsi="Arial" w:cs="Arial"/>
                <w:sz w:val="24"/>
                <w:szCs w:val="24"/>
              </w:rPr>
              <w:t>Diagnosis of advanced or metastatic non-small cell lung cancer</w:t>
            </w:r>
          </w:p>
        </w:tc>
      </w:tr>
      <w:tr w:rsidR="001506C1" w:rsidRPr="00FA3F9C" w14:paraId="20E203A8" w14:textId="77777777" w:rsidTr="00286627">
        <w:tc>
          <w:tcPr>
            <w:tcW w:w="9350" w:type="dxa"/>
          </w:tcPr>
          <w:p w14:paraId="3D2A7547" w14:textId="77777777" w:rsidR="001506C1" w:rsidRPr="00FA3F9C" w:rsidRDefault="001506C1" w:rsidP="001506C1">
            <w:pPr>
              <w:pStyle w:val="ListParagraph"/>
              <w:numPr>
                <w:ilvl w:val="0"/>
                <w:numId w:val="6"/>
              </w:numPr>
              <w:rPr>
                <w:rFonts w:ascii="Arial" w:hAnsi="Arial" w:cs="Arial"/>
                <w:sz w:val="24"/>
                <w:szCs w:val="24"/>
              </w:rPr>
            </w:pPr>
            <w:r w:rsidRPr="00FA3F9C">
              <w:rPr>
                <w:rFonts w:ascii="Arial" w:hAnsi="Arial" w:cs="Arial"/>
                <w:sz w:val="24"/>
                <w:szCs w:val="24"/>
              </w:rPr>
              <w:t xml:space="preserve">Must be ALK-positive as detected by an FDA approved test </w:t>
            </w:r>
          </w:p>
        </w:tc>
      </w:tr>
      <w:tr w:rsidR="001506C1" w:rsidRPr="00FA3F9C" w14:paraId="018ECABF" w14:textId="77777777" w:rsidTr="00286627">
        <w:tc>
          <w:tcPr>
            <w:tcW w:w="9350" w:type="dxa"/>
          </w:tcPr>
          <w:p w14:paraId="19B2F5DC" w14:textId="77777777" w:rsidR="001506C1" w:rsidRPr="00FA3F9C" w:rsidRDefault="001506C1" w:rsidP="001506C1">
            <w:pPr>
              <w:pStyle w:val="ListParagraph"/>
              <w:numPr>
                <w:ilvl w:val="0"/>
                <w:numId w:val="6"/>
              </w:numPr>
              <w:rPr>
                <w:rFonts w:ascii="Arial" w:hAnsi="Arial" w:cs="Arial"/>
                <w:sz w:val="24"/>
                <w:szCs w:val="24"/>
              </w:rPr>
            </w:pPr>
            <w:r w:rsidRPr="00FA3F9C">
              <w:rPr>
                <w:rFonts w:ascii="Arial" w:hAnsi="Arial" w:cs="Arial"/>
                <w:sz w:val="24"/>
                <w:szCs w:val="24"/>
              </w:rPr>
              <w:t>Performance status (ECOG) 0-2</w:t>
            </w:r>
          </w:p>
        </w:tc>
      </w:tr>
      <w:tr w:rsidR="001506C1" w:rsidRPr="00FA3F9C" w14:paraId="77A0BCAD" w14:textId="77777777" w:rsidTr="00286627">
        <w:tc>
          <w:tcPr>
            <w:tcW w:w="9350" w:type="dxa"/>
          </w:tcPr>
          <w:p w14:paraId="5E04C259" w14:textId="77777777" w:rsidR="001506C1" w:rsidRPr="00FA3F9C" w:rsidRDefault="001506C1" w:rsidP="001506C1">
            <w:pPr>
              <w:pStyle w:val="ListParagraph"/>
              <w:numPr>
                <w:ilvl w:val="0"/>
                <w:numId w:val="6"/>
              </w:numPr>
              <w:rPr>
                <w:rFonts w:ascii="Arial" w:hAnsi="Arial" w:cs="Arial"/>
                <w:sz w:val="24"/>
                <w:szCs w:val="24"/>
              </w:rPr>
            </w:pPr>
            <w:r w:rsidRPr="00FA3F9C">
              <w:rPr>
                <w:rFonts w:ascii="Arial" w:hAnsi="Arial" w:cs="Arial"/>
                <w:sz w:val="24"/>
                <w:szCs w:val="24"/>
              </w:rPr>
              <w:t>No prior ALK inhibitor (</w:t>
            </w:r>
            <w:proofErr w:type="gramStart"/>
            <w:r w:rsidRPr="00FA3F9C">
              <w:rPr>
                <w:rFonts w:ascii="Arial" w:hAnsi="Arial" w:cs="Arial"/>
                <w:sz w:val="24"/>
                <w:szCs w:val="24"/>
              </w:rPr>
              <w:t>e.g.</w:t>
            </w:r>
            <w:proofErr w:type="gramEnd"/>
            <w:r w:rsidRPr="00FA3F9C">
              <w:rPr>
                <w:rFonts w:ascii="Arial" w:hAnsi="Arial" w:cs="Arial"/>
                <w:sz w:val="24"/>
                <w:szCs w:val="24"/>
              </w:rPr>
              <w:t xml:space="preserve"> </w:t>
            </w:r>
            <w:proofErr w:type="spellStart"/>
            <w:r w:rsidRPr="00FA3F9C">
              <w:rPr>
                <w:rFonts w:ascii="Arial" w:hAnsi="Arial" w:cs="Arial"/>
                <w:sz w:val="24"/>
                <w:szCs w:val="24"/>
              </w:rPr>
              <w:t>crizotinib</w:t>
            </w:r>
            <w:proofErr w:type="spellEnd"/>
            <w:r w:rsidRPr="00FA3F9C">
              <w:rPr>
                <w:rFonts w:ascii="Arial" w:hAnsi="Arial" w:cs="Arial"/>
                <w:sz w:val="24"/>
                <w:szCs w:val="24"/>
              </w:rPr>
              <w:t xml:space="preserve">, </w:t>
            </w:r>
            <w:proofErr w:type="spellStart"/>
            <w:r w:rsidRPr="00FA3F9C">
              <w:rPr>
                <w:rFonts w:ascii="Arial" w:hAnsi="Arial" w:cs="Arial"/>
                <w:sz w:val="24"/>
                <w:szCs w:val="24"/>
              </w:rPr>
              <w:t>ceritinib</w:t>
            </w:r>
            <w:proofErr w:type="spellEnd"/>
            <w:r w:rsidRPr="00FA3F9C">
              <w:rPr>
                <w:rFonts w:ascii="Arial" w:hAnsi="Arial" w:cs="Arial"/>
                <w:sz w:val="24"/>
                <w:szCs w:val="24"/>
              </w:rPr>
              <w:t xml:space="preserve">, </w:t>
            </w:r>
            <w:proofErr w:type="spellStart"/>
            <w:r w:rsidRPr="00FA3F9C">
              <w:rPr>
                <w:rFonts w:ascii="Arial" w:hAnsi="Arial" w:cs="Arial"/>
                <w:sz w:val="24"/>
                <w:szCs w:val="24"/>
              </w:rPr>
              <w:t>lorlatinib</w:t>
            </w:r>
            <w:proofErr w:type="spellEnd"/>
            <w:r w:rsidRPr="00FA3F9C">
              <w:rPr>
                <w:rFonts w:ascii="Arial" w:hAnsi="Arial" w:cs="Arial"/>
                <w:sz w:val="24"/>
                <w:szCs w:val="24"/>
              </w:rPr>
              <w:t xml:space="preserve">, </w:t>
            </w:r>
            <w:proofErr w:type="spellStart"/>
            <w:r w:rsidRPr="00FA3F9C">
              <w:rPr>
                <w:rFonts w:ascii="Arial" w:hAnsi="Arial" w:cs="Arial"/>
                <w:sz w:val="24"/>
                <w:szCs w:val="24"/>
              </w:rPr>
              <w:t>brigatinib</w:t>
            </w:r>
            <w:proofErr w:type="spellEnd"/>
            <w:r w:rsidRPr="00FA3F9C">
              <w:rPr>
                <w:rFonts w:ascii="Arial" w:hAnsi="Arial" w:cs="Arial"/>
                <w:sz w:val="24"/>
                <w:szCs w:val="24"/>
              </w:rPr>
              <w:t>)</w:t>
            </w:r>
          </w:p>
        </w:tc>
      </w:tr>
      <w:tr w:rsidR="001506C1" w:rsidRPr="00FA3F9C" w14:paraId="1B189CC8" w14:textId="77777777" w:rsidTr="00286627">
        <w:tc>
          <w:tcPr>
            <w:tcW w:w="9350" w:type="dxa"/>
          </w:tcPr>
          <w:p w14:paraId="6C73372D" w14:textId="77777777" w:rsidR="001506C1" w:rsidRPr="00FA3F9C" w:rsidRDefault="001506C1" w:rsidP="001506C1">
            <w:pPr>
              <w:pStyle w:val="ListParagraph"/>
              <w:numPr>
                <w:ilvl w:val="0"/>
                <w:numId w:val="6"/>
              </w:numPr>
              <w:rPr>
                <w:rFonts w:ascii="Arial" w:hAnsi="Arial" w:cs="Arial"/>
                <w:sz w:val="24"/>
                <w:szCs w:val="24"/>
              </w:rPr>
            </w:pPr>
            <w:proofErr w:type="spellStart"/>
            <w:r w:rsidRPr="00FA3F9C">
              <w:rPr>
                <w:rFonts w:ascii="Arial" w:hAnsi="Arial" w:cs="Arial"/>
                <w:sz w:val="24"/>
                <w:szCs w:val="24"/>
              </w:rPr>
              <w:t>Alectinib</w:t>
            </w:r>
            <w:proofErr w:type="spellEnd"/>
            <w:r w:rsidRPr="00FA3F9C">
              <w:rPr>
                <w:rFonts w:ascii="Arial" w:hAnsi="Arial" w:cs="Arial"/>
                <w:sz w:val="24"/>
                <w:szCs w:val="24"/>
              </w:rPr>
              <w:t xml:space="preserve"> will be used as single agent.</w:t>
            </w:r>
          </w:p>
        </w:tc>
      </w:tr>
      <w:tr w:rsidR="001506C1" w:rsidRPr="00FA3F9C" w14:paraId="24D25F70" w14:textId="77777777" w:rsidTr="00286627">
        <w:tc>
          <w:tcPr>
            <w:tcW w:w="9350" w:type="dxa"/>
          </w:tcPr>
          <w:p w14:paraId="1A4359A2" w14:textId="77777777" w:rsidR="001506C1" w:rsidRPr="00FA3F9C" w:rsidRDefault="001506C1" w:rsidP="00C3128C">
            <w:pPr>
              <w:rPr>
                <w:rFonts w:ascii="Arial" w:eastAsia="MS Gothic" w:hAnsi="Arial" w:cs="Arial"/>
                <w:color w:val="000000"/>
                <w:sz w:val="24"/>
                <w:szCs w:val="24"/>
              </w:rPr>
            </w:pPr>
            <w:r w:rsidRPr="00FA3F9C">
              <w:rPr>
                <w:rFonts w:ascii="Arial" w:hAnsi="Arial" w:cs="Arial"/>
                <w:sz w:val="24"/>
                <w:szCs w:val="24"/>
              </w:rPr>
              <w:t>If criteria met, approve for 6 months</w:t>
            </w:r>
          </w:p>
        </w:tc>
      </w:tr>
      <w:tr w:rsidR="001506C1" w:rsidRPr="00FA3F9C" w14:paraId="7454C851" w14:textId="77777777" w:rsidTr="00286627">
        <w:tc>
          <w:tcPr>
            <w:tcW w:w="9350" w:type="dxa"/>
          </w:tcPr>
          <w:p w14:paraId="35A41F62" w14:textId="77777777" w:rsidR="001506C1" w:rsidRPr="00FA3F9C" w:rsidRDefault="001506C1" w:rsidP="001407F4">
            <w:pPr>
              <w:rPr>
                <w:rFonts w:ascii="Arial" w:hAnsi="Arial" w:cs="Arial"/>
                <w:sz w:val="24"/>
                <w:szCs w:val="24"/>
              </w:rPr>
            </w:pPr>
            <w:r w:rsidRPr="00FA3F9C">
              <w:rPr>
                <w:rFonts w:ascii="Arial" w:hAnsi="Arial" w:cs="Arial"/>
                <w:sz w:val="24"/>
                <w:szCs w:val="24"/>
              </w:rPr>
              <w:t>Note:  Dose is 600mg BID (supplied in 150mg caps); treat to progression or unacceptable toxicity.</w:t>
            </w:r>
          </w:p>
        </w:tc>
      </w:tr>
    </w:tbl>
    <w:p w14:paraId="7395C3D5" w14:textId="77777777" w:rsidR="001506C1" w:rsidRPr="00FA3F9C" w:rsidRDefault="001506C1">
      <w:pPr>
        <w:rPr>
          <w:rFonts w:ascii="Arial" w:hAnsi="Arial" w:cs="Arial"/>
          <w:sz w:val="24"/>
          <w:szCs w:val="24"/>
        </w:rPr>
      </w:pPr>
      <w:r w:rsidRPr="00FA3F9C">
        <w:rPr>
          <w:rFonts w:ascii="Arial" w:hAnsi="Arial" w:cs="Arial"/>
          <w:sz w:val="24"/>
          <w:szCs w:val="24"/>
        </w:rPr>
        <w:t>QL: 240/30</w:t>
      </w:r>
    </w:p>
    <w:p w14:paraId="5386BEAF" w14:textId="77777777" w:rsidR="001506C1" w:rsidRPr="00FA3F9C" w:rsidRDefault="001506C1">
      <w:pPr>
        <w:rPr>
          <w:rFonts w:ascii="Arial" w:hAnsi="Arial" w:cs="Arial"/>
          <w:sz w:val="24"/>
          <w:szCs w:val="24"/>
        </w:rPr>
      </w:pPr>
    </w:p>
    <w:p w14:paraId="734E2699" w14:textId="77777777" w:rsidR="001506C1" w:rsidRPr="00FA3F9C" w:rsidRDefault="001506C1" w:rsidP="002B1A01">
      <w:pPr>
        <w:rPr>
          <w:rFonts w:ascii="Arial" w:hAnsi="Arial" w:cs="Arial"/>
          <w:sz w:val="24"/>
          <w:szCs w:val="24"/>
        </w:rPr>
      </w:pPr>
      <w:r w:rsidRPr="00FA3F9C">
        <w:rPr>
          <w:rFonts w:ascii="Arial" w:hAnsi="Arial" w:cs="Arial"/>
          <w:sz w:val="24"/>
          <w:szCs w:val="24"/>
        </w:rPr>
        <w:t>References:</w:t>
      </w:r>
    </w:p>
    <w:p w14:paraId="182BB26C" w14:textId="77777777" w:rsidR="001506C1" w:rsidRPr="00FA3F9C" w:rsidRDefault="001506C1" w:rsidP="001506C1">
      <w:pPr>
        <w:pStyle w:val="ListParagraph"/>
        <w:numPr>
          <w:ilvl w:val="0"/>
          <w:numId w:val="7"/>
        </w:numPr>
        <w:rPr>
          <w:rFonts w:ascii="Arial" w:hAnsi="Arial" w:cs="Arial"/>
          <w:sz w:val="24"/>
          <w:szCs w:val="24"/>
        </w:rPr>
      </w:pPr>
      <w:r w:rsidRPr="00FA3F9C">
        <w:rPr>
          <w:rFonts w:ascii="Arial" w:hAnsi="Arial" w:cs="Arial"/>
          <w:sz w:val="24"/>
          <w:szCs w:val="24"/>
        </w:rPr>
        <w:t xml:space="preserve">Clinicaltrials.gov </w:t>
      </w:r>
      <w:r w:rsidRPr="00FA3F9C">
        <w:rPr>
          <w:rFonts w:ascii="Arial" w:hAnsi="Arial" w:cs="Arial"/>
          <w:color w:val="000000"/>
          <w:sz w:val="24"/>
          <w:szCs w:val="24"/>
        </w:rPr>
        <w:t>NCT02075840, NCT02604342</w:t>
      </w:r>
    </w:p>
    <w:p w14:paraId="5F689001" w14:textId="77777777" w:rsidR="001506C1" w:rsidRPr="00FA3F9C" w:rsidRDefault="001506C1" w:rsidP="002D0DCA">
      <w:pPr>
        <w:pStyle w:val="ListParagraph"/>
        <w:rPr>
          <w:rFonts w:ascii="Arial" w:hAnsi="Arial" w:cs="Arial"/>
          <w:sz w:val="24"/>
          <w:szCs w:val="24"/>
        </w:rPr>
      </w:pPr>
      <w:r w:rsidRPr="00FA3F9C">
        <w:rPr>
          <w:rFonts w:ascii="Arial" w:hAnsi="Arial" w:cs="Arial"/>
          <w:color w:val="000000"/>
          <w:sz w:val="24"/>
          <w:szCs w:val="24"/>
          <w:shd w:val="clear" w:color="auto" w:fill="FFFFFF"/>
        </w:rPr>
        <w:t>(</w:t>
      </w:r>
      <w:r w:rsidRPr="00FA3F9C">
        <w:rPr>
          <w:rFonts w:ascii="Arial" w:hAnsi="Arial" w:cs="Arial"/>
          <w:color w:val="000000"/>
          <w:sz w:val="24"/>
          <w:szCs w:val="24"/>
        </w:rPr>
        <w:t xml:space="preserve">Data in </w:t>
      </w:r>
      <w:r w:rsidRPr="00FA3F9C">
        <w:rPr>
          <w:rFonts w:ascii="Arial" w:hAnsi="Arial" w:cs="Arial"/>
          <w:color w:val="222222"/>
          <w:sz w:val="24"/>
          <w:szCs w:val="24"/>
        </w:rPr>
        <w:t>Shaw, Alice T., et al. "</w:t>
      </w:r>
      <w:proofErr w:type="spellStart"/>
      <w:r w:rsidRPr="00FA3F9C">
        <w:rPr>
          <w:rFonts w:ascii="Arial" w:hAnsi="Arial" w:cs="Arial"/>
          <w:color w:val="222222"/>
          <w:sz w:val="24"/>
          <w:szCs w:val="24"/>
        </w:rPr>
        <w:t>Lorlatinib</w:t>
      </w:r>
      <w:proofErr w:type="spellEnd"/>
      <w:r w:rsidRPr="00FA3F9C">
        <w:rPr>
          <w:rFonts w:ascii="Arial" w:hAnsi="Arial" w:cs="Arial"/>
          <w:color w:val="222222"/>
          <w:sz w:val="24"/>
          <w:szCs w:val="24"/>
        </w:rPr>
        <w:t xml:space="preserve"> in non-small-cell lung cancer with ALK or ROS1 rearrangement: an international, </w:t>
      </w:r>
      <w:proofErr w:type="spellStart"/>
      <w:r w:rsidRPr="00FA3F9C">
        <w:rPr>
          <w:rFonts w:ascii="Arial" w:hAnsi="Arial" w:cs="Arial"/>
          <w:color w:val="222222"/>
          <w:sz w:val="24"/>
          <w:szCs w:val="24"/>
        </w:rPr>
        <w:t>multicentre</w:t>
      </w:r>
      <w:proofErr w:type="spellEnd"/>
      <w:r w:rsidRPr="00FA3F9C">
        <w:rPr>
          <w:rFonts w:ascii="Arial" w:hAnsi="Arial" w:cs="Arial"/>
          <w:color w:val="222222"/>
          <w:sz w:val="24"/>
          <w:szCs w:val="24"/>
        </w:rPr>
        <w:t>, open-label, single-arm first-in-man phase 1 trial." </w:t>
      </w:r>
      <w:r w:rsidRPr="00FA3F9C">
        <w:rPr>
          <w:rFonts w:ascii="Arial" w:hAnsi="Arial" w:cs="Arial"/>
          <w:i/>
          <w:iCs/>
          <w:color w:val="222222"/>
          <w:sz w:val="24"/>
          <w:szCs w:val="24"/>
        </w:rPr>
        <w:t>The lancet oncology</w:t>
      </w:r>
      <w:r w:rsidRPr="00FA3F9C">
        <w:rPr>
          <w:rFonts w:ascii="Arial" w:hAnsi="Arial" w:cs="Arial"/>
          <w:color w:val="222222"/>
          <w:sz w:val="24"/>
          <w:szCs w:val="24"/>
        </w:rPr>
        <w:t>18.12 (2017): 1590-1599.)</w:t>
      </w:r>
    </w:p>
    <w:p w14:paraId="49696E19" w14:textId="77777777" w:rsidR="001506C1" w:rsidRPr="00FA3F9C" w:rsidRDefault="001506C1" w:rsidP="001506C1">
      <w:pPr>
        <w:pStyle w:val="ListParagraph"/>
        <w:numPr>
          <w:ilvl w:val="0"/>
          <w:numId w:val="7"/>
        </w:numPr>
        <w:rPr>
          <w:rFonts w:ascii="Arial" w:hAnsi="Arial" w:cs="Arial"/>
          <w:sz w:val="24"/>
          <w:szCs w:val="24"/>
        </w:rPr>
      </w:pPr>
      <w:proofErr w:type="spellStart"/>
      <w:r w:rsidRPr="00FA3F9C">
        <w:rPr>
          <w:rFonts w:ascii="Arial" w:hAnsi="Arial" w:cs="Arial"/>
          <w:color w:val="222222"/>
          <w:sz w:val="24"/>
          <w:szCs w:val="24"/>
        </w:rPr>
        <w:t>LexiComp</w:t>
      </w:r>
      <w:proofErr w:type="spellEnd"/>
      <w:r w:rsidRPr="00FA3F9C">
        <w:rPr>
          <w:rFonts w:ascii="Arial" w:hAnsi="Arial" w:cs="Arial"/>
          <w:color w:val="222222"/>
          <w:sz w:val="24"/>
          <w:szCs w:val="24"/>
        </w:rPr>
        <w:t xml:space="preserve">: </w:t>
      </w:r>
      <w:proofErr w:type="spellStart"/>
      <w:r w:rsidRPr="00FA3F9C">
        <w:rPr>
          <w:rFonts w:ascii="Arial" w:hAnsi="Arial" w:cs="Arial"/>
          <w:color w:val="222222"/>
          <w:sz w:val="24"/>
          <w:szCs w:val="24"/>
        </w:rPr>
        <w:t>alectinib</w:t>
      </w:r>
      <w:proofErr w:type="spellEnd"/>
      <w:r w:rsidRPr="00FA3F9C">
        <w:rPr>
          <w:rFonts w:ascii="Arial" w:hAnsi="Arial" w:cs="Arial"/>
          <w:color w:val="222222"/>
          <w:sz w:val="24"/>
          <w:szCs w:val="24"/>
        </w:rPr>
        <w:t>. Accessed 12/10/2018</w:t>
      </w:r>
      <w:r w:rsidRPr="00FA3F9C">
        <w:rPr>
          <w:rFonts w:ascii="Arial" w:hAnsi="Arial" w:cs="Arial"/>
          <w:color w:val="222222"/>
          <w:sz w:val="24"/>
          <w:szCs w:val="24"/>
          <w:shd w:val="clear" w:color="auto" w:fill="F8F8F8"/>
        </w:rPr>
        <w:t xml:space="preserve">. </w:t>
      </w:r>
    </w:p>
    <w:p w14:paraId="6CB198F6" w14:textId="77777777" w:rsidR="001506C1" w:rsidRPr="00FA3F9C" w:rsidRDefault="001506C1" w:rsidP="001506C1">
      <w:pPr>
        <w:pStyle w:val="ListParagraph"/>
        <w:numPr>
          <w:ilvl w:val="0"/>
          <w:numId w:val="7"/>
        </w:numPr>
        <w:rPr>
          <w:rFonts w:ascii="Arial" w:hAnsi="Arial" w:cs="Arial"/>
          <w:sz w:val="24"/>
          <w:szCs w:val="24"/>
        </w:rPr>
      </w:pPr>
      <w:r w:rsidRPr="00FA3F9C">
        <w:rPr>
          <w:rFonts w:ascii="Arial" w:hAnsi="Arial" w:cs="Arial"/>
          <w:color w:val="222222"/>
          <w:sz w:val="24"/>
          <w:szCs w:val="24"/>
        </w:rPr>
        <w:t>NCCN</w:t>
      </w:r>
      <w:r w:rsidRPr="00FA3F9C">
        <w:rPr>
          <w:rFonts w:ascii="Arial" w:hAnsi="Arial" w:cs="Arial"/>
          <w:sz w:val="24"/>
          <w:szCs w:val="24"/>
        </w:rPr>
        <w:t xml:space="preserve">.org. NSCLC. </w:t>
      </w:r>
      <w:hyperlink r:id="rId16" w:history="1">
        <w:r w:rsidRPr="00FA3F9C">
          <w:rPr>
            <w:rStyle w:val="Hyperlink"/>
            <w:rFonts w:ascii="Arial" w:hAnsi="Arial" w:cs="Arial"/>
            <w:sz w:val="24"/>
            <w:szCs w:val="24"/>
          </w:rPr>
          <w:t>https://www.nccn.org/professionals/physician_gls/pdf/nscl.pdf</w:t>
        </w:r>
      </w:hyperlink>
      <w:r w:rsidRPr="00FA3F9C">
        <w:rPr>
          <w:rFonts w:ascii="Arial" w:hAnsi="Arial" w:cs="Arial"/>
          <w:sz w:val="24"/>
          <w:szCs w:val="24"/>
        </w:rPr>
        <w:t xml:space="preserve">  Accessed 1/28/19.</w:t>
      </w:r>
    </w:p>
    <w:p w14:paraId="7445F413" w14:textId="77777777" w:rsidR="001506C1" w:rsidRPr="00FA3F9C" w:rsidRDefault="001506C1" w:rsidP="002B1A01">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5968"/>
        <w:gridCol w:w="2200"/>
      </w:tblGrid>
      <w:tr w:rsidR="001506C1" w:rsidRPr="00FA3F9C" w14:paraId="46E804D8" w14:textId="77777777" w:rsidTr="000E79CF">
        <w:tc>
          <w:tcPr>
            <w:tcW w:w="1182" w:type="dxa"/>
          </w:tcPr>
          <w:p w14:paraId="3AB16D85" w14:textId="77777777" w:rsidR="001506C1" w:rsidRPr="00FA3F9C" w:rsidRDefault="001506C1" w:rsidP="000E79CF">
            <w:pPr>
              <w:rPr>
                <w:rFonts w:ascii="Arial" w:hAnsi="Arial" w:cs="Arial"/>
                <w:sz w:val="24"/>
                <w:szCs w:val="24"/>
              </w:rPr>
            </w:pPr>
            <w:r w:rsidRPr="00FA3F9C">
              <w:rPr>
                <w:rFonts w:ascii="Arial" w:hAnsi="Arial" w:cs="Arial"/>
                <w:sz w:val="24"/>
                <w:szCs w:val="24"/>
              </w:rPr>
              <w:t>Date</w:t>
            </w:r>
          </w:p>
        </w:tc>
        <w:tc>
          <w:tcPr>
            <w:tcW w:w="5968" w:type="dxa"/>
          </w:tcPr>
          <w:p w14:paraId="43C36175" w14:textId="77777777" w:rsidR="001506C1" w:rsidRPr="00FA3F9C" w:rsidRDefault="001506C1" w:rsidP="000E79CF">
            <w:pPr>
              <w:rPr>
                <w:rFonts w:ascii="Arial" w:hAnsi="Arial" w:cs="Arial"/>
                <w:sz w:val="24"/>
                <w:szCs w:val="24"/>
              </w:rPr>
            </w:pPr>
            <w:r w:rsidRPr="00FA3F9C">
              <w:rPr>
                <w:rFonts w:ascii="Arial" w:hAnsi="Arial" w:cs="Arial"/>
                <w:sz w:val="24"/>
                <w:szCs w:val="24"/>
              </w:rPr>
              <w:t>What changed?</w:t>
            </w:r>
          </w:p>
        </w:tc>
        <w:tc>
          <w:tcPr>
            <w:tcW w:w="2200" w:type="dxa"/>
          </w:tcPr>
          <w:p w14:paraId="397E8CB0" w14:textId="77777777" w:rsidR="001506C1" w:rsidRPr="00FA3F9C" w:rsidRDefault="001506C1" w:rsidP="000E79CF">
            <w:pPr>
              <w:rPr>
                <w:rFonts w:ascii="Arial" w:hAnsi="Arial" w:cs="Arial"/>
                <w:sz w:val="24"/>
                <w:szCs w:val="24"/>
              </w:rPr>
            </w:pPr>
            <w:r w:rsidRPr="00FA3F9C">
              <w:rPr>
                <w:rFonts w:ascii="Arial" w:hAnsi="Arial" w:cs="Arial"/>
                <w:sz w:val="24"/>
                <w:szCs w:val="24"/>
              </w:rPr>
              <w:t>Pharmacist’s initials</w:t>
            </w:r>
          </w:p>
        </w:tc>
      </w:tr>
      <w:tr w:rsidR="001506C1" w:rsidRPr="00FA3F9C" w14:paraId="4EF305C5" w14:textId="77777777" w:rsidTr="000E79CF">
        <w:tc>
          <w:tcPr>
            <w:tcW w:w="1182" w:type="dxa"/>
          </w:tcPr>
          <w:p w14:paraId="4E0EA231" w14:textId="77777777" w:rsidR="001506C1" w:rsidRPr="00FA3F9C" w:rsidRDefault="001506C1" w:rsidP="000E79CF">
            <w:pPr>
              <w:rPr>
                <w:rFonts w:ascii="Arial" w:hAnsi="Arial" w:cs="Arial"/>
                <w:sz w:val="24"/>
                <w:szCs w:val="24"/>
              </w:rPr>
            </w:pPr>
            <w:r w:rsidRPr="00FA3F9C">
              <w:rPr>
                <w:rFonts w:ascii="Arial" w:hAnsi="Arial" w:cs="Arial"/>
                <w:sz w:val="24"/>
                <w:szCs w:val="24"/>
              </w:rPr>
              <w:t>12/19/2018</w:t>
            </w:r>
          </w:p>
        </w:tc>
        <w:tc>
          <w:tcPr>
            <w:tcW w:w="5968" w:type="dxa"/>
          </w:tcPr>
          <w:p w14:paraId="227115D5" w14:textId="77777777" w:rsidR="001506C1" w:rsidRPr="00FA3F9C" w:rsidRDefault="001506C1" w:rsidP="000E79CF">
            <w:pPr>
              <w:rPr>
                <w:rFonts w:ascii="Arial" w:hAnsi="Arial" w:cs="Arial"/>
                <w:sz w:val="24"/>
                <w:szCs w:val="24"/>
              </w:rPr>
            </w:pPr>
            <w:r w:rsidRPr="00FA3F9C">
              <w:rPr>
                <w:rFonts w:ascii="Arial" w:hAnsi="Arial" w:cs="Arial"/>
                <w:sz w:val="24"/>
                <w:szCs w:val="24"/>
              </w:rPr>
              <w:t xml:space="preserve">I created criteria for </w:t>
            </w:r>
            <w:proofErr w:type="spellStart"/>
            <w:r w:rsidRPr="00FA3F9C">
              <w:rPr>
                <w:rFonts w:ascii="Arial" w:hAnsi="Arial" w:cs="Arial"/>
                <w:sz w:val="24"/>
                <w:szCs w:val="24"/>
              </w:rPr>
              <w:t>alectinib</w:t>
            </w:r>
            <w:proofErr w:type="spellEnd"/>
            <w:r w:rsidRPr="00FA3F9C">
              <w:rPr>
                <w:rFonts w:ascii="Arial" w:hAnsi="Arial" w:cs="Arial"/>
                <w:sz w:val="24"/>
                <w:szCs w:val="24"/>
              </w:rPr>
              <w:t xml:space="preserve"> in NSCLC.</w:t>
            </w:r>
          </w:p>
        </w:tc>
        <w:tc>
          <w:tcPr>
            <w:tcW w:w="2200" w:type="dxa"/>
          </w:tcPr>
          <w:p w14:paraId="675F52A9" w14:textId="77777777" w:rsidR="001506C1" w:rsidRPr="00FA3F9C" w:rsidRDefault="001506C1" w:rsidP="000E79CF">
            <w:pPr>
              <w:rPr>
                <w:rFonts w:ascii="Arial" w:hAnsi="Arial" w:cs="Arial"/>
                <w:sz w:val="24"/>
                <w:szCs w:val="24"/>
              </w:rPr>
            </w:pPr>
            <w:r w:rsidRPr="00FA3F9C">
              <w:rPr>
                <w:rFonts w:ascii="Arial" w:hAnsi="Arial" w:cs="Arial"/>
                <w:sz w:val="24"/>
                <w:szCs w:val="24"/>
              </w:rPr>
              <w:t>ALM</w:t>
            </w:r>
          </w:p>
        </w:tc>
      </w:tr>
      <w:tr w:rsidR="001506C1" w:rsidRPr="00FA3F9C" w14:paraId="018C8046" w14:textId="77777777" w:rsidTr="000E79CF">
        <w:tc>
          <w:tcPr>
            <w:tcW w:w="1182" w:type="dxa"/>
          </w:tcPr>
          <w:p w14:paraId="5C313161" w14:textId="77777777" w:rsidR="001506C1" w:rsidRPr="00FA3F9C" w:rsidRDefault="001506C1" w:rsidP="000E79CF">
            <w:pPr>
              <w:rPr>
                <w:rFonts w:ascii="Arial" w:hAnsi="Arial" w:cs="Arial"/>
                <w:sz w:val="24"/>
                <w:szCs w:val="24"/>
              </w:rPr>
            </w:pPr>
            <w:r w:rsidRPr="00FA3F9C">
              <w:rPr>
                <w:rFonts w:ascii="Arial" w:hAnsi="Arial" w:cs="Arial"/>
                <w:sz w:val="24"/>
                <w:szCs w:val="24"/>
              </w:rPr>
              <w:t>1/28/19</w:t>
            </w:r>
          </w:p>
        </w:tc>
        <w:tc>
          <w:tcPr>
            <w:tcW w:w="5968" w:type="dxa"/>
          </w:tcPr>
          <w:p w14:paraId="664035C5" w14:textId="77777777" w:rsidR="001506C1" w:rsidRPr="00FA3F9C" w:rsidRDefault="001506C1" w:rsidP="000E79CF">
            <w:pPr>
              <w:rPr>
                <w:rFonts w:ascii="Arial" w:hAnsi="Arial" w:cs="Arial"/>
                <w:sz w:val="24"/>
                <w:szCs w:val="24"/>
              </w:rPr>
            </w:pPr>
            <w:r w:rsidRPr="00FA3F9C">
              <w:rPr>
                <w:rFonts w:ascii="Arial" w:hAnsi="Arial" w:cs="Arial"/>
                <w:sz w:val="24"/>
                <w:szCs w:val="24"/>
              </w:rPr>
              <w:t>I added the NCCN.org reference</w:t>
            </w:r>
          </w:p>
        </w:tc>
        <w:tc>
          <w:tcPr>
            <w:tcW w:w="2200" w:type="dxa"/>
          </w:tcPr>
          <w:p w14:paraId="485BB71C" w14:textId="77777777" w:rsidR="001506C1" w:rsidRPr="00FA3F9C" w:rsidRDefault="001506C1" w:rsidP="000E79CF">
            <w:pPr>
              <w:rPr>
                <w:rFonts w:ascii="Arial" w:hAnsi="Arial" w:cs="Arial"/>
                <w:sz w:val="24"/>
                <w:szCs w:val="24"/>
              </w:rPr>
            </w:pPr>
            <w:r w:rsidRPr="00FA3F9C">
              <w:rPr>
                <w:rFonts w:ascii="Arial" w:hAnsi="Arial" w:cs="Arial"/>
                <w:sz w:val="24"/>
                <w:szCs w:val="24"/>
              </w:rPr>
              <w:t>JJ</w:t>
            </w:r>
          </w:p>
        </w:tc>
      </w:tr>
      <w:tr w:rsidR="001506C1" w:rsidRPr="00FA3F9C" w14:paraId="456E141E" w14:textId="77777777" w:rsidTr="000E79CF">
        <w:tc>
          <w:tcPr>
            <w:tcW w:w="1182" w:type="dxa"/>
          </w:tcPr>
          <w:p w14:paraId="06219B68" w14:textId="77777777" w:rsidR="001506C1" w:rsidRPr="00FA3F9C" w:rsidRDefault="001506C1" w:rsidP="000E79CF">
            <w:pPr>
              <w:rPr>
                <w:rFonts w:ascii="Arial" w:hAnsi="Arial" w:cs="Arial"/>
                <w:sz w:val="24"/>
                <w:szCs w:val="24"/>
              </w:rPr>
            </w:pPr>
            <w:r w:rsidRPr="00FA3F9C">
              <w:rPr>
                <w:rFonts w:ascii="Arial" w:hAnsi="Arial" w:cs="Arial"/>
                <w:sz w:val="24"/>
                <w:szCs w:val="24"/>
              </w:rPr>
              <w:t>7/18/19</w:t>
            </w:r>
          </w:p>
        </w:tc>
        <w:tc>
          <w:tcPr>
            <w:tcW w:w="5968" w:type="dxa"/>
          </w:tcPr>
          <w:p w14:paraId="52538B12" w14:textId="77777777" w:rsidR="001506C1" w:rsidRPr="00FA3F9C" w:rsidRDefault="001506C1" w:rsidP="00C3128C">
            <w:pPr>
              <w:rPr>
                <w:rFonts w:ascii="Arial" w:hAnsi="Arial" w:cs="Arial"/>
                <w:sz w:val="24"/>
                <w:szCs w:val="24"/>
              </w:rPr>
            </w:pPr>
            <w:r w:rsidRPr="00FA3F9C">
              <w:rPr>
                <w:rFonts w:ascii="Arial" w:hAnsi="Arial" w:cs="Arial"/>
                <w:sz w:val="24"/>
                <w:szCs w:val="24"/>
              </w:rPr>
              <w:t xml:space="preserve">Criteria reviewed. Added that patient should not have prior ALK inhibitor and that </w:t>
            </w:r>
            <w:proofErr w:type="spellStart"/>
            <w:r w:rsidRPr="00FA3F9C">
              <w:rPr>
                <w:rFonts w:ascii="Arial" w:hAnsi="Arial" w:cs="Arial"/>
                <w:sz w:val="24"/>
                <w:szCs w:val="24"/>
              </w:rPr>
              <w:t>alectinib</w:t>
            </w:r>
            <w:proofErr w:type="spellEnd"/>
            <w:r w:rsidRPr="00FA3F9C">
              <w:rPr>
                <w:rFonts w:ascii="Arial" w:hAnsi="Arial" w:cs="Arial"/>
                <w:sz w:val="24"/>
                <w:szCs w:val="24"/>
              </w:rPr>
              <w:t xml:space="preserve"> should be used as single agent</w:t>
            </w:r>
          </w:p>
        </w:tc>
        <w:tc>
          <w:tcPr>
            <w:tcW w:w="2200" w:type="dxa"/>
          </w:tcPr>
          <w:p w14:paraId="6A0B0FE8" w14:textId="77777777" w:rsidR="001506C1" w:rsidRPr="00FA3F9C" w:rsidRDefault="001506C1" w:rsidP="000E79CF">
            <w:pPr>
              <w:rPr>
                <w:rFonts w:ascii="Arial" w:hAnsi="Arial" w:cs="Arial"/>
                <w:sz w:val="24"/>
                <w:szCs w:val="24"/>
              </w:rPr>
            </w:pPr>
            <w:r w:rsidRPr="00FA3F9C">
              <w:rPr>
                <w:rFonts w:ascii="Arial" w:hAnsi="Arial" w:cs="Arial"/>
                <w:sz w:val="24"/>
                <w:szCs w:val="24"/>
              </w:rPr>
              <w:t>SK</w:t>
            </w:r>
          </w:p>
        </w:tc>
      </w:tr>
      <w:tr w:rsidR="001506C1" w:rsidRPr="00FA3F9C" w14:paraId="3C9568C4" w14:textId="77777777" w:rsidTr="000E79CF">
        <w:tc>
          <w:tcPr>
            <w:tcW w:w="1182" w:type="dxa"/>
          </w:tcPr>
          <w:p w14:paraId="2B069EC3" w14:textId="77777777" w:rsidR="001506C1" w:rsidRPr="00FA3F9C" w:rsidRDefault="001506C1" w:rsidP="000E79CF">
            <w:pPr>
              <w:rPr>
                <w:rFonts w:ascii="Arial" w:hAnsi="Arial" w:cs="Arial"/>
                <w:sz w:val="24"/>
                <w:szCs w:val="24"/>
              </w:rPr>
            </w:pPr>
            <w:r w:rsidRPr="00FA3F9C">
              <w:rPr>
                <w:rFonts w:ascii="Arial" w:hAnsi="Arial" w:cs="Arial"/>
                <w:sz w:val="24"/>
                <w:szCs w:val="24"/>
              </w:rPr>
              <w:t>3/29/2021</w:t>
            </w:r>
          </w:p>
        </w:tc>
        <w:tc>
          <w:tcPr>
            <w:tcW w:w="5968" w:type="dxa"/>
          </w:tcPr>
          <w:p w14:paraId="38056CD7" w14:textId="77777777" w:rsidR="001506C1" w:rsidRPr="00FA3F9C" w:rsidRDefault="001506C1" w:rsidP="00C3128C">
            <w:pPr>
              <w:rPr>
                <w:rFonts w:ascii="Arial" w:hAnsi="Arial" w:cs="Arial"/>
                <w:sz w:val="24"/>
                <w:szCs w:val="24"/>
              </w:rPr>
            </w:pPr>
            <w:r w:rsidRPr="00FA3F9C">
              <w:rPr>
                <w:rFonts w:ascii="Arial" w:hAnsi="Arial" w:cs="Arial"/>
                <w:sz w:val="24"/>
                <w:szCs w:val="24"/>
              </w:rPr>
              <w:t>Criteria reviewed. No change.</w:t>
            </w:r>
          </w:p>
        </w:tc>
        <w:tc>
          <w:tcPr>
            <w:tcW w:w="2200" w:type="dxa"/>
          </w:tcPr>
          <w:p w14:paraId="432D5151" w14:textId="77777777" w:rsidR="001506C1" w:rsidRPr="00FA3F9C" w:rsidRDefault="001506C1" w:rsidP="000E79CF">
            <w:pPr>
              <w:rPr>
                <w:rFonts w:ascii="Arial" w:hAnsi="Arial" w:cs="Arial"/>
                <w:sz w:val="24"/>
                <w:szCs w:val="24"/>
              </w:rPr>
            </w:pPr>
            <w:r w:rsidRPr="00FA3F9C">
              <w:rPr>
                <w:rFonts w:ascii="Arial" w:hAnsi="Arial" w:cs="Arial"/>
                <w:sz w:val="24"/>
                <w:szCs w:val="24"/>
              </w:rPr>
              <w:t>SK</w:t>
            </w:r>
          </w:p>
        </w:tc>
      </w:tr>
      <w:tr w:rsidR="001506C1" w:rsidRPr="00FA3F9C" w14:paraId="7A0098D5" w14:textId="77777777" w:rsidTr="000E79CF">
        <w:tc>
          <w:tcPr>
            <w:tcW w:w="1182" w:type="dxa"/>
          </w:tcPr>
          <w:p w14:paraId="4AE106F6" w14:textId="77777777" w:rsidR="001506C1" w:rsidRPr="00FA3F9C" w:rsidRDefault="001506C1" w:rsidP="000E79CF">
            <w:pPr>
              <w:rPr>
                <w:rFonts w:ascii="Arial" w:hAnsi="Arial" w:cs="Arial"/>
                <w:sz w:val="24"/>
                <w:szCs w:val="24"/>
              </w:rPr>
            </w:pPr>
            <w:r w:rsidRPr="00FA3F9C">
              <w:rPr>
                <w:rFonts w:ascii="Arial" w:hAnsi="Arial" w:cs="Arial"/>
                <w:sz w:val="24"/>
                <w:szCs w:val="24"/>
              </w:rPr>
              <w:t>4/2/21</w:t>
            </w:r>
          </w:p>
        </w:tc>
        <w:tc>
          <w:tcPr>
            <w:tcW w:w="5968" w:type="dxa"/>
          </w:tcPr>
          <w:p w14:paraId="35D4EA74" w14:textId="77777777" w:rsidR="001506C1" w:rsidRPr="00FA3F9C" w:rsidRDefault="001506C1" w:rsidP="00C3128C">
            <w:pPr>
              <w:rPr>
                <w:rFonts w:ascii="Arial" w:hAnsi="Arial" w:cs="Arial"/>
                <w:sz w:val="24"/>
                <w:szCs w:val="24"/>
              </w:rPr>
            </w:pPr>
            <w:r w:rsidRPr="00FA3F9C">
              <w:rPr>
                <w:rFonts w:ascii="Arial" w:hAnsi="Arial" w:cs="Arial"/>
                <w:sz w:val="24"/>
                <w:szCs w:val="24"/>
              </w:rPr>
              <w:t>Applied EBRx criteria to UAS Plan.</w:t>
            </w:r>
          </w:p>
        </w:tc>
        <w:tc>
          <w:tcPr>
            <w:tcW w:w="2200" w:type="dxa"/>
          </w:tcPr>
          <w:p w14:paraId="44332ADF" w14:textId="77777777" w:rsidR="001506C1" w:rsidRPr="00FA3F9C" w:rsidRDefault="001506C1" w:rsidP="000E79CF">
            <w:pPr>
              <w:rPr>
                <w:rFonts w:ascii="Arial" w:hAnsi="Arial" w:cs="Arial"/>
                <w:sz w:val="24"/>
                <w:szCs w:val="24"/>
              </w:rPr>
            </w:pPr>
            <w:r w:rsidRPr="00FA3F9C">
              <w:rPr>
                <w:rFonts w:ascii="Arial" w:hAnsi="Arial" w:cs="Arial"/>
                <w:sz w:val="24"/>
                <w:szCs w:val="24"/>
              </w:rPr>
              <w:t>JJ</w:t>
            </w:r>
          </w:p>
        </w:tc>
      </w:tr>
    </w:tbl>
    <w:p w14:paraId="03F40BD5" w14:textId="77777777" w:rsidR="001506C1" w:rsidRPr="00FA3F9C" w:rsidRDefault="001506C1">
      <w:pPr>
        <w:rPr>
          <w:rFonts w:ascii="Arial" w:hAnsi="Arial" w:cs="Arial"/>
          <w:sz w:val="24"/>
          <w:szCs w:val="24"/>
        </w:rPr>
      </w:pPr>
    </w:p>
    <w:p w14:paraId="65BD7BED" w14:textId="77777777" w:rsidR="005005CA" w:rsidRDefault="005005CA">
      <w:pPr>
        <w:rPr>
          <w:rFonts w:ascii="Arial" w:eastAsia="Times New Roman" w:hAnsi="Arial" w:cs="Arial"/>
          <w:b/>
          <w:sz w:val="28"/>
          <w:szCs w:val="20"/>
        </w:rPr>
      </w:pPr>
      <w:bookmarkStart w:id="5" w:name="_Toc106369709"/>
      <w:r>
        <w:br w:type="page"/>
      </w:r>
    </w:p>
    <w:p w14:paraId="3AB5D40B" w14:textId="1BC4BE19" w:rsidR="00FA3F9C" w:rsidRPr="005005CA" w:rsidRDefault="001506C1" w:rsidP="00FA3F9C">
      <w:pPr>
        <w:pStyle w:val="Heading2"/>
        <w:rPr>
          <w:lang w:val="es-ES"/>
        </w:rPr>
      </w:pPr>
      <w:r w:rsidRPr="005005CA">
        <w:rPr>
          <w:lang w:val="es-ES"/>
        </w:rPr>
        <w:lastRenderedPageBreak/>
        <w:t>Alemtuzumab (</w:t>
      </w:r>
      <w:proofErr w:type="spellStart"/>
      <w:r w:rsidRPr="005005CA">
        <w:rPr>
          <w:lang w:val="es-ES"/>
        </w:rPr>
        <w:t>Lemtrada</w:t>
      </w:r>
      <w:proofErr w:type="spellEnd"/>
      <w:r w:rsidRPr="005005CA">
        <w:rPr>
          <w:lang w:val="es-ES"/>
        </w:rPr>
        <w:t>)</w:t>
      </w:r>
      <w:bookmarkEnd w:id="5"/>
      <w:r w:rsidRPr="005005CA">
        <w:rPr>
          <w:lang w:val="es-ES"/>
        </w:rPr>
        <w:t xml:space="preserve"> </w:t>
      </w:r>
    </w:p>
    <w:p w14:paraId="7BEE1D5C" w14:textId="6C94882E" w:rsidR="001506C1" w:rsidRPr="005005CA" w:rsidRDefault="001506C1" w:rsidP="000065D5">
      <w:pPr>
        <w:spacing w:after="0"/>
        <w:ind w:firstLine="720"/>
        <w:jc w:val="center"/>
        <w:rPr>
          <w:rFonts w:ascii="Arial" w:hAnsi="Arial" w:cs="Arial"/>
          <w:sz w:val="24"/>
          <w:szCs w:val="24"/>
          <w:lang w:val="es-ES"/>
        </w:rPr>
      </w:pPr>
      <w:r w:rsidRPr="005005CA">
        <w:rPr>
          <w:rFonts w:ascii="Arial" w:hAnsi="Arial" w:cs="Arial"/>
          <w:sz w:val="24"/>
          <w:szCs w:val="24"/>
          <w:lang w:val="es-ES"/>
        </w:rPr>
        <w:t>12mg/1.2mL, 1.2mL</w:t>
      </w:r>
    </w:p>
    <w:p w14:paraId="42630B8E" w14:textId="77777777" w:rsidR="00FA3F9C" w:rsidRPr="005005CA" w:rsidRDefault="00FA3F9C" w:rsidP="00FA3F9C">
      <w:pPr>
        <w:spacing w:after="0"/>
        <w:jc w:val="center"/>
        <w:rPr>
          <w:rFonts w:ascii="Arial" w:hAnsi="Arial" w:cs="Arial"/>
          <w:sz w:val="24"/>
          <w:szCs w:val="24"/>
          <w:lang w:val="es-ES"/>
        </w:rPr>
      </w:pPr>
      <w:r w:rsidRPr="005005CA">
        <w:rPr>
          <w:rFonts w:ascii="Arial" w:hAnsi="Arial" w:cs="Arial"/>
          <w:sz w:val="24"/>
          <w:szCs w:val="24"/>
          <w:lang w:val="es-ES"/>
        </w:rPr>
        <w:t xml:space="preserve">EBRx Medical PA </w:t>
      </w:r>
      <w:proofErr w:type="spellStart"/>
      <w:r w:rsidRPr="005005CA">
        <w:rPr>
          <w:rFonts w:ascii="Arial" w:hAnsi="Arial" w:cs="Arial"/>
          <w:sz w:val="24"/>
          <w:szCs w:val="24"/>
          <w:lang w:val="es-ES"/>
        </w:rPr>
        <w:t>Criteria</w:t>
      </w:r>
      <w:proofErr w:type="spellEnd"/>
    </w:p>
    <w:p w14:paraId="193932EA" w14:textId="77777777" w:rsidR="00FA3F9C" w:rsidRPr="005005CA" w:rsidRDefault="00FA3F9C" w:rsidP="000065D5">
      <w:pPr>
        <w:spacing w:after="0"/>
        <w:ind w:firstLine="720"/>
        <w:jc w:val="center"/>
        <w:rPr>
          <w:rFonts w:ascii="Arial" w:hAnsi="Arial" w:cs="Arial"/>
          <w:sz w:val="24"/>
          <w:szCs w:val="24"/>
          <w:lang w:val="es-ES"/>
        </w:rPr>
      </w:pPr>
    </w:p>
    <w:p w14:paraId="78E93F24" w14:textId="77777777" w:rsidR="001506C1" w:rsidRPr="005005CA" w:rsidRDefault="001506C1" w:rsidP="006F623F">
      <w:pPr>
        <w:spacing w:after="0"/>
        <w:jc w:val="center"/>
        <w:rPr>
          <w:rFonts w:ascii="Arial" w:hAnsi="Arial" w:cs="Arial"/>
          <w:sz w:val="24"/>
          <w:szCs w:val="24"/>
          <w:lang w:val="es-ES"/>
        </w:rPr>
      </w:pPr>
    </w:p>
    <w:p w14:paraId="27283780"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 xml:space="preserve">Alemtuzumab is marketed as Lemtrada (12mg/1.2mL, 1.2mL).  </w:t>
      </w:r>
      <w:proofErr w:type="spellStart"/>
      <w:r w:rsidRPr="00FA3F9C">
        <w:rPr>
          <w:rFonts w:ascii="Arial" w:hAnsi="Arial" w:cs="Arial"/>
          <w:sz w:val="24"/>
          <w:szCs w:val="24"/>
        </w:rPr>
        <w:t>Campath</w:t>
      </w:r>
      <w:proofErr w:type="spellEnd"/>
      <w:r w:rsidRPr="00FA3F9C">
        <w:rPr>
          <w:rFonts w:ascii="Arial" w:hAnsi="Arial" w:cs="Arial"/>
          <w:sz w:val="24"/>
          <w:szCs w:val="24"/>
        </w:rPr>
        <w:t xml:space="preserve"> (30mg/mL, 1mL) was once FDA-approved and marketed as </w:t>
      </w:r>
      <w:proofErr w:type="spellStart"/>
      <w:r w:rsidRPr="00FA3F9C">
        <w:rPr>
          <w:rFonts w:ascii="Arial" w:hAnsi="Arial" w:cs="Arial"/>
          <w:sz w:val="24"/>
          <w:szCs w:val="24"/>
        </w:rPr>
        <w:t>Campath</w:t>
      </w:r>
      <w:proofErr w:type="spellEnd"/>
      <w:r w:rsidRPr="00FA3F9C">
        <w:rPr>
          <w:rFonts w:ascii="Arial" w:hAnsi="Arial" w:cs="Arial"/>
          <w:sz w:val="24"/>
          <w:szCs w:val="24"/>
        </w:rPr>
        <w:t xml:space="preserve">, indicated for B-cell chronic lymphocytic leukemia.  </w:t>
      </w:r>
    </w:p>
    <w:p w14:paraId="4CE5E0DF" w14:textId="77777777" w:rsidR="001506C1" w:rsidRPr="00FA3F9C" w:rsidRDefault="001506C1" w:rsidP="006F623F">
      <w:pPr>
        <w:spacing w:after="0"/>
        <w:rPr>
          <w:rFonts w:ascii="Arial" w:hAnsi="Arial" w:cs="Arial"/>
          <w:sz w:val="24"/>
          <w:szCs w:val="24"/>
          <w:u w:val="single"/>
        </w:rPr>
      </w:pPr>
      <w:r w:rsidRPr="00FA3F9C">
        <w:rPr>
          <w:rFonts w:ascii="Arial" w:hAnsi="Arial" w:cs="Arial"/>
          <w:sz w:val="24"/>
          <w:szCs w:val="24"/>
        </w:rPr>
        <w:t xml:space="preserve">Lemtrada is approved for relapsing forms of MS, generally who have had an inadequate response to 2 or more MS meds.  It binds to CD52, a </w:t>
      </w:r>
      <w:proofErr w:type="spellStart"/>
      <w:r w:rsidRPr="00FA3F9C">
        <w:rPr>
          <w:rFonts w:ascii="Arial" w:hAnsi="Arial" w:cs="Arial"/>
          <w:sz w:val="24"/>
          <w:szCs w:val="24"/>
        </w:rPr>
        <w:t>nonmodulating</w:t>
      </w:r>
      <w:proofErr w:type="spellEnd"/>
      <w:r w:rsidRPr="00FA3F9C">
        <w:rPr>
          <w:rFonts w:ascii="Arial" w:hAnsi="Arial" w:cs="Arial"/>
          <w:sz w:val="24"/>
          <w:szCs w:val="24"/>
        </w:rPr>
        <w:t xml:space="preserve"> antigen present on the surface of B and T lymphocytes, monocytes, macrophages, NK cells, and some granulocytes.  After binding, an antibody-dependent lysis of malignant cells occurs.</w:t>
      </w:r>
    </w:p>
    <w:p w14:paraId="29F0ADC5" w14:textId="77777777" w:rsidR="001506C1" w:rsidRPr="00FA3F9C" w:rsidRDefault="001506C1" w:rsidP="006F623F">
      <w:pPr>
        <w:spacing w:after="0"/>
        <w:rPr>
          <w:rFonts w:ascii="Arial" w:hAnsi="Arial" w:cs="Arial"/>
          <w:b/>
          <w:sz w:val="24"/>
          <w:szCs w:val="24"/>
          <w:u w:val="single"/>
        </w:rPr>
      </w:pPr>
    </w:p>
    <w:p w14:paraId="1147217B" w14:textId="77777777" w:rsidR="001506C1" w:rsidRPr="00FA3F9C" w:rsidRDefault="001506C1" w:rsidP="006F623F">
      <w:pPr>
        <w:spacing w:after="0"/>
        <w:rPr>
          <w:rFonts w:ascii="Arial" w:hAnsi="Arial" w:cs="Arial"/>
          <w:b/>
          <w:sz w:val="24"/>
          <w:szCs w:val="24"/>
          <w:u w:val="single"/>
        </w:rPr>
      </w:pPr>
      <w:r w:rsidRPr="00FA3F9C">
        <w:rPr>
          <w:rFonts w:ascii="Arial" w:hAnsi="Arial" w:cs="Arial"/>
          <w:b/>
          <w:sz w:val="24"/>
          <w:szCs w:val="24"/>
          <w:u w:val="single"/>
        </w:rPr>
        <w:t>is FDA-approved for:  relapsing forms of multiple sclerosis (RRMS)</w:t>
      </w:r>
    </w:p>
    <w:tbl>
      <w:tblPr>
        <w:tblStyle w:val="TableGrid"/>
        <w:tblW w:w="0" w:type="auto"/>
        <w:tblLook w:val="04A0" w:firstRow="1" w:lastRow="0" w:firstColumn="1" w:lastColumn="0" w:noHBand="0" w:noVBand="1"/>
      </w:tblPr>
      <w:tblGrid>
        <w:gridCol w:w="10790"/>
      </w:tblGrid>
      <w:tr w:rsidR="001506C1" w:rsidRPr="00FA3F9C" w14:paraId="48D20BFD" w14:textId="77777777" w:rsidTr="00271D3D">
        <w:tc>
          <w:tcPr>
            <w:tcW w:w="10790" w:type="dxa"/>
          </w:tcPr>
          <w:p w14:paraId="70DC2706" w14:textId="77777777" w:rsidR="001506C1" w:rsidRPr="00FA3F9C" w:rsidRDefault="001506C1" w:rsidP="006F623F">
            <w:pPr>
              <w:jc w:val="center"/>
              <w:rPr>
                <w:rFonts w:ascii="Arial" w:hAnsi="Arial" w:cs="Arial"/>
                <w:b/>
                <w:sz w:val="24"/>
                <w:szCs w:val="24"/>
                <w:u w:val="single"/>
              </w:rPr>
            </w:pPr>
            <w:r w:rsidRPr="00FA3F9C">
              <w:rPr>
                <w:rFonts w:ascii="Arial" w:hAnsi="Arial" w:cs="Arial"/>
                <w:b/>
                <w:sz w:val="24"/>
                <w:szCs w:val="24"/>
                <w:u w:val="single"/>
              </w:rPr>
              <w:t>Criteria</w:t>
            </w:r>
          </w:p>
        </w:tc>
      </w:tr>
      <w:tr w:rsidR="001506C1" w:rsidRPr="00FA3F9C" w14:paraId="77ECA48F" w14:textId="77777777" w:rsidTr="00271D3D">
        <w:trPr>
          <w:trHeight w:val="359"/>
        </w:trPr>
        <w:tc>
          <w:tcPr>
            <w:tcW w:w="10790" w:type="dxa"/>
          </w:tcPr>
          <w:p w14:paraId="3D22B7A9" w14:textId="77777777" w:rsidR="001506C1" w:rsidRPr="00FA3F9C" w:rsidRDefault="001506C1" w:rsidP="00720865">
            <w:pPr>
              <w:widowControl w:val="0"/>
              <w:autoSpaceDE w:val="0"/>
              <w:autoSpaceDN w:val="0"/>
              <w:adjustRightInd w:val="0"/>
              <w:rPr>
                <w:rFonts w:ascii="Arial" w:hAnsi="Arial" w:cs="Arial"/>
                <w:sz w:val="24"/>
                <w:szCs w:val="24"/>
              </w:rPr>
            </w:pPr>
            <w:r w:rsidRPr="00FA3F9C">
              <w:rPr>
                <w:rFonts w:ascii="Arial" w:hAnsi="Arial" w:cs="Arial"/>
                <w:sz w:val="24"/>
                <w:szCs w:val="24"/>
              </w:rPr>
              <w:t>1.  The patient must have a diagnosis of relapsing multiple sclerosis, defined as at least two relapses in the previous 2 years and at least one in the previous year.</w:t>
            </w:r>
          </w:p>
        </w:tc>
      </w:tr>
      <w:tr w:rsidR="001506C1" w:rsidRPr="00FA3F9C" w14:paraId="4C22AB6A" w14:textId="77777777" w:rsidTr="00271D3D">
        <w:tc>
          <w:tcPr>
            <w:tcW w:w="10790" w:type="dxa"/>
          </w:tcPr>
          <w:p w14:paraId="4C71FDCE" w14:textId="77777777" w:rsidR="001506C1" w:rsidRPr="00FA3F9C" w:rsidRDefault="001506C1" w:rsidP="006F623F">
            <w:pPr>
              <w:rPr>
                <w:rFonts w:ascii="Arial" w:hAnsi="Arial" w:cs="Arial"/>
                <w:sz w:val="24"/>
                <w:szCs w:val="24"/>
              </w:rPr>
            </w:pPr>
            <w:r w:rsidRPr="00FA3F9C">
              <w:rPr>
                <w:rFonts w:ascii="Arial" w:hAnsi="Arial" w:cs="Arial"/>
                <w:sz w:val="24"/>
                <w:szCs w:val="24"/>
              </w:rPr>
              <w:t xml:space="preserve">2.  At first request, EDSS (see bottom of page) should be 0-5.  </w:t>
            </w:r>
          </w:p>
        </w:tc>
      </w:tr>
      <w:tr w:rsidR="001506C1" w:rsidRPr="00FA3F9C" w14:paraId="2F36FC7E" w14:textId="77777777" w:rsidTr="00271D3D">
        <w:tc>
          <w:tcPr>
            <w:tcW w:w="10790" w:type="dxa"/>
          </w:tcPr>
          <w:p w14:paraId="6916EAB4" w14:textId="77777777" w:rsidR="001506C1" w:rsidRPr="00FA3F9C" w:rsidRDefault="001506C1" w:rsidP="006F623F">
            <w:pPr>
              <w:rPr>
                <w:rFonts w:ascii="Arial" w:hAnsi="Arial" w:cs="Arial"/>
                <w:sz w:val="24"/>
                <w:szCs w:val="24"/>
              </w:rPr>
            </w:pPr>
            <w:r w:rsidRPr="00FA3F9C">
              <w:rPr>
                <w:rFonts w:ascii="Arial" w:hAnsi="Arial" w:cs="Arial"/>
                <w:sz w:val="24"/>
                <w:szCs w:val="24"/>
              </w:rPr>
              <w:t>3.  At first request, disease duration should be &lt; 10 y.</w:t>
            </w:r>
          </w:p>
        </w:tc>
      </w:tr>
      <w:tr w:rsidR="001506C1" w:rsidRPr="00FA3F9C" w14:paraId="597445E8" w14:textId="77777777" w:rsidTr="00271D3D">
        <w:tc>
          <w:tcPr>
            <w:tcW w:w="10790" w:type="dxa"/>
          </w:tcPr>
          <w:p w14:paraId="6B814656" w14:textId="77777777" w:rsidR="001506C1" w:rsidRPr="00FA3F9C" w:rsidRDefault="001506C1" w:rsidP="006F623F">
            <w:pPr>
              <w:rPr>
                <w:rFonts w:ascii="Arial" w:hAnsi="Arial" w:cs="Arial"/>
                <w:sz w:val="24"/>
                <w:szCs w:val="24"/>
              </w:rPr>
            </w:pPr>
            <w:r w:rsidRPr="00FA3F9C">
              <w:rPr>
                <w:rFonts w:ascii="Arial" w:hAnsi="Arial" w:cs="Arial"/>
                <w:sz w:val="24"/>
                <w:szCs w:val="24"/>
              </w:rPr>
              <w:t>4.  The patient should be free of any thyroid disease.</w:t>
            </w:r>
          </w:p>
        </w:tc>
      </w:tr>
      <w:tr w:rsidR="001506C1" w:rsidRPr="00FA3F9C" w14:paraId="19FED618" w14:textId="77777777" w:rsidTr="00271D3D">
        <w:tc>
          <w:tcPr>
            <w:tcW w:w="10790" w:type="dxa"/>
          </w:tcPr>
          <w:p w14:paraId="5CAAA813" w14:textId="77777777" w:rsidR="001506C1" w:rsidRPr="00FA3F9C" w:rsidRDefault="001506C1" w:rsidP="006F623F">
            <w:pPr>
              <w:rPr>
                <w:rFonts w:ascii="Arial" w:hAnsi="Arial" w:cs="Arial"/>
                <w:sz w:val="24"/>
                <w:szCs w:val="24"/>
              </w:rPr>
            </w:pPr>
            <w:r w:rsidRPr="00FA3F9C">
              <w:rPr>
                <w:rFonts w:ascii="Arial" w:hAnsi="Arial" w:cs="Arial"/>
                <w:sz w:val="24"/>
                <w:szCs w:val="24"/>
              </w:rPr>
              <w:t>5. The patient should have normal liver transaminases prior to and during administration of alemtuzumab.</w:t>
            </w:r>
          </w:p>
        </w:tc>
      </w:tr>
      <w:tr w:rsidR="001506C1" w:rsidRPr="00FA3F9C" w14:paraId="12DA6C26" w14:textId="77777777" w:rsidTr="00271D3D">
        <w:tc>
          <w:tcPr>
            <w:tcW w:w="10790" w:type="dxa"/>
          </w:tcPr>
          <w:p w14:paraId="60680D7D" w14:textId="77777777" w:rsidR="001506C1" w:rsidRPr="00FA3F9C" w:rsidRDefault="001506C1" w:rsidP="006F623F">
            <w:pPr>
              <w:rPr>
                <w:rFonts w:ascii="Arial" w:hAnsi="Arial" w:cs="Arial"/>
                <w:sz w:val="24"/>
                <w:szCs w:val="24"/>
              </w:rPr>
            </w:pPr>
            <w:r w:rsidRPr="00FA3F9C">
              <w:rPr>
                <w:rFonts w:ascii="Arial" w:hAnsi="Arial" w:cs="Arial"/>
                <w:sz w:val="24"/>
                <w:szCs w:val="24"/>
              </w:rPr>
              <w:t xml:space="preserve">6. The patient has discussed the risks with their prescriber for the potential rare but serious cases of ischemic or hemorrhagic stroke and </w:t>
            </w:r>
            <w:proofErr w:type="spellStart"/>
            <w:r w:rsidRPr="00FA3F9C">
              <w:rPr>
                <w:rFonts w:ascii="Arial" w:hAnsi="Arial" w:cs="Arial"/>
                <w:sz w:val="24"/>
                <w:szCs w:val="24"/>
              </w:rPr>
              <w:t>cervicocephalic</w:t>
            </w:r>
            <w:proofErr w:type="spellEnd"/>
            <w:r w:rsidRPr="00FA3F9C">
              <w:rPr>
                <w:rFonts w:ascii="Arial" w:hAnsi="Arial" w:cs="Arial"/>
                <w:sz w:val="24"/>
                <w:szCs w:val="24"/>
              </w:rPr>
              <w:t xml:space="preserve"> arterial dissection associated with alemtuzumab, immune activation up to 4 years after alemtuzumab possibly resulting in a diagnosis of hemophagocytic </w:t>
            </w:r>
            <w:proofErr w:type="spellStart"/>
            <w:r w:rsidRPr="00FA3F9C">
              <w:rPr>
                <w:rFonts w:ascii="Arial" w:hAnsi="Arial" w:cs="Arial"/>
                <w:sz w:val="24"/>
                <w:szCs w:val="24"/>
              </w:rPr>
              <w:t>lymphohistiocytosis</w:t>
            </w:r>
            <w:proofErr w:type="spellEnd"/>
            <w:r w:rsidRPr="00FA3F9C">
              <w:rPr>
                <w:rFonts w:ascii="Arial" w:hAnsi="Arial" w:cs="Arial"/>
                <w:sz w:val="24"/>
                <w:szCs w:val="24"/>
              </w:rPr>
              <w:t>.</w:t>
            </w:r>
          </w:p>
        </w:tc>
      </w:tr>
    </w:tbl>
    <w:p w14:paraId="6073AB52" w14:textId="77777777" w:rsidR="001506C1" w:rsidRPr="00FA3F9C" w:rsidRDefault="001506C1" w:rsidP="006F623F">
      <w:pPr>
        <w:spacing w:after="0"/>
        <w:rPr>
          <w:rFonts w:ascii="Arial" w:hAnsi="Arial" w:cs="Arial"/>
          <w:b/>
          <w:sz w:val="24"/>
          <w:szCs w:val="24"/>
          <w:u w:val="single"/>
        </w:rPr>
      </w:pPr>
    </w:p>
    <w:tbl>
      <w:tblPr>
        <w:tblStyle w:val="TableGrid"/>
        <w:tblW w:w="0" w:type="auto"/>
        <w:shd w:val="clear" w:color="auto" w:fill="BFBFBF" w:themeFill="background1" w:themeFillShade="BF"/>
        <w:tblLook w:val="04A0" w:firstRow="1" w:lastRow="0" w:firstColumn="1" w:lastColumn="0" w:noHBand="0" w:noVBand="1"/>
      </w:tblPr>
      <w:tblGrid>
        <w:gridCol w:w="10998"/>
      </w:tblGrid>
      <w:tr w:rsidR="001506C1" w:rsidRPr="00FA3F9C" w14:paraId="6443C3C1" w14:textId="77777777" w:rsidTr="009E52CD">
        <w:tc>
          <w:tcPr>
            <w:tcW w:w="10998" w:type="dxa"/>
            <w:shd w:val="clear" w:color="auto" w:fill="BFBFBF" w:themeFill="background1" w:themeFillShade="BF"/>
          </w:tcPr>
          <w:p w14:paraId="5080477F" w14:textId="77777777" w:rsidR="001506C1" w:rsidRPr="00FA3F9C" w:rsidRDefault="001506C1" w:rsidP="00720865">
            <w:pPr>
              <w:rPr>
                <w:rFonts w:ascii="Arial" w:hAnsi="Arial" w:cs="Arial"/>
                <w:sz w:val="24"/>
                <w:szCs w:val="24"/>
              </w:rPr>
            </w:pPr>
            <w:r w:rsidRPr="00FA3F9C">
              <w:rPr>
                <w:rFonts w:ascii="Arial" w:hAnsi="Arial" w:cs="Arial"/>
                <w:sz w:val="24"/>
                <w:szCs w:val="24"/>
              </w:rPr>
              <w:t>Dosing is IV 12mg daily for 5 consecutive days (total 60mg), then 12 months later: 12mg daily for 3 days (total 36mg).  Most patients (73-78%) do not require subsequent MS drug therapy.</w:t>
            </w:r>
            <w:r w:rsidRPr="00FA3F9C">
              <w:rPr>
                <w:rFonts w:ascii="Arial" w:hAnsi="Arial" w:cs="Arial"/>
                <w:sz w:val="24"/>
                <w:szCs w:val="24"/>
                <w:vertAlign w:val="superscript"/>
              </w:rPr>
              <w:t>2, figure 1</w:t>
            </w:r>
          </w:p>
        </w:tc>
      </w:tr>
    </w:tbl>
    <w:p w14:paraId="16B99D2E" w14:textId="77777777" w:rsidR="001506C1" w:rsidRPr="00FA3F9C" w:rsidRDefault="001506C1" w:rsidP="006F623F">
      <w:pPr>
        <w:spacing w:after="0"/>
        <w:rPr>
          <w:rFonts w:ascii="Arial" w:hAnsi="Arial" w:cs="Arial"/>
          <w:sz w:val="24"/>
          <w:szCs w:val="24"/>
        </w:rPr>
      </w:pPr>
    </w:p>
    <w:p w14:paraId="69CFADEC"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Quantity Limits: 5 doses/365 days for the first year, 3 doses/365 subsequent years after the 1</w:t>
      </w:r>
      <w:r w:rsidRPr="00FA3F9C">
        <w:rPr>
          <w:rFonts w:ascii="Arial" w:hAnsi="Arial" w:cs="Arial"/>
          <w:sz w:val="24"/>
          <w:szCs w:val="24"/>
          <w:vertAlign w:val="superscript"/>
        </w:rPr>
        <w:t>st</w:t>
      </w:r>
      <w:r w:rsidRPr="00FA3F9C">
        <w:rPr>
          <w:rFonts w:ascii="Arial" w:hAnsi="Arial" w:cs="Arial"/>
          <w:sz w:val="24"/>
          <w:szCs w:val="24"/>
        </w:rPr>
        <w:t xml:space="preserve"> year.  The patient should be approved for renewal once in a lifetime (max).</w:t>
      </w:r>
    </w:p>
    <w:p w14:paraId="5F502A1F" w14:textId="77777777" w:rsidR="001506C1" w:rsidRPr="00FA3F9C" w:rsidRDefault="001506C1" w:rsidP="006F623F">
      <w:pPr>
        <w:pStyle w:val="Default"/>
        <w:rPr>
          <w:rFonts w:ascii="Arial" w:hAnsi="Arial" w:cs="Arial"/>
        </w:rPr>
      </w:pPr>
    </w:p>
    <w:p w14:paraId="216CDCFA" w14:textId="77777777" w:rsidR="001506C1" w:rsidRPr="00FA3F9C" w:rsidRDefault="001506C1" w:rsidP="006F623F">
      <w:pPr>
        <w:pStyle w:val="Default"/>
        <w:rPr>
          <w:rFonts w:ascii="Arial" w:hAnsi="Arial" w:cs="Arial"/>
        </w:rPr>
      </w:pPr>
      <w:r w:rsidRPr="00FA3F9C">
        <w:rPr>
          <w:rFonts w:ascii="Arial" w:hAnsi="Arial" w:cs="Arial"/>
        </w:rPr>
        <w:t>References:</w:t>
      </w:r>
    </w:p>
    <w:p w14:paraId="68662401" w14:textId="77777777" w:rsidR="001506C1" w:rsidRPr="00FA3F9C" w:rsidRDefault="001506C1" w:rsidP="006F623F">
      <w:pPr>
        <w:pStyle w:val="Default"/>
        <w:rPr>
          <w:rFonts w:ascii="Arial" w:hAnsi="Arial" w:cs="Arial"/>
        </w:rPr>
      </w:pPr>
      <w:r w:rsidRPr="00FA3F9C">
        <w:rPr>
          <w:rFonts w:ascii="Arial" w:hAnsi="Arial" w:cs="Arial"/>
        </w:rPr>
        <w:lastRenderedPageBreak/>
        <w:t>1.  Coles, AJ, et al.  Alemtuzumab for patients with relapsing MS after disease-modifying therapy:  a RC phase 3 trial.  Lancet. 2012;380:1829-1839.</w:t>
      </w:r>
    </w:p>
    <w:p w14:paraId="31803B9E" w14:textId="77777777" w:rsidR="001506C1" w:rsidRPr="00FA3F9C" w:rsidRDefault="001506C1" w:rsidP="006F623F">
      <w:pPr>
        <w:pStyle w:val="Default"/>
        <w:rPr>
          <w:rFonts w:ascii="Arial" w:hAnsi="Arial" w:cs="Arial"/>
        </w:rPr>
      </w:pPr>
      <w:r w:rsidRPr="00FA3F9C">
        <w:rPr>
          <w:rFonts w:ascii="Arial" w:hAnsi="Arial" w:cs="Arial"/>
        </w:rPr>
        <w:t>2.  Coles, AJ, et al.  Alemtuzumab more effective than interferon beta-1a at 5-year follow-up of CAMMS223 Clinical Trial. Neurology. 2012;78:1069-78.</w:t>
      </w:r>
    </w:p>
    <w:p w14:paraId="1F7BDC8A" w14:textId="77777777" w:rsidR="001506C1" w:rsidRPr="00FA3F9C" w:rsidRDefault="001506C1" w:rsidP="006F623F">
      <w:pPr>
        <w:pStyle w:val="Default"/>
        <w:rPr>
          <w:rFonts w:ascii="Arial" w:hAnsi="Arial" w:cs="Arial"/>
        </w:rPr>
      </w:pPr>
      <w:r w:rsidRPr="00FA3F9C">
        <w:rPr>
          <w:rFonts w:ascii="Arial" w:hAnsi="Arial" w:cs="Arial"/>
        </w:rPr>
        <w:t xml:space="preserve">3.  EDSS. </w:t>
      </w:r>
      <w:hyperlink r:id="rId17" w:history="1">
        <w:r w:rsidRPr="00FA3F9C">
          <w:rPr>
            <w:rStyle w:val="Hyperlink"/>
            <w:rFonts w:ascii="Arial" w:hAnsi="Arial" w:cs="Arial"/>
          </w:rPr>
          <w:t>http://www.nationalmssociety.org/NationalMSSociety/media/MSNationalFiles/Brochures/10-2-3-29-EDSS_Form.pdf</w:t>
        </w:r>
      </w:hyperlink>
      <w:r w:rsidRPr="00FA3F9C">
        <w:rPr>
          <w:rFonts w:ascii="Arial" w:hAnsi="Arial" w:cs="Arial"/>
        </w:rPr>
        <w:t xml:space="preserve"> .  Accessed 2/5/15.</w:t>
      </w:r>
    </w:p>
    <w:p w14:paraId="6DC86030" w14:textId="77777777" w:rsidR="001506C1" w:rsidRPr="00FA3F9C" w:rsidRDefault="001506C1" w:rsidP="006F623F">
      <w:pPr>
        <w:pStyle w:val="Default"/>
        <w:rPr>
          <w:rFonts w:ascii="Arial" w:hAnsi="Arial" w:cs="Arial"/>
        </w:rPr>
      </w:pPr>
      <w:r w:rsidRPr="00FA3F9C">
        <w:rPr>
          <w:rFonts w:ascii="Arial" w:hAnsi="Arial" w:cs="Arial"/>
        </w:rPr>
        <w:t xml:space="preserve">4.  Cohen JA, Coles AJ, et al.  Alemtuzumab versus interferon beta 1a as first-line treatment </w:t>
      </w:r>
      <w:proofErr w:type="spellStart"/>
      <w:r w:rsidRPr="00FA3F9C">
        <w:rPr>
          <w:rFonts w:ascii="Arial" w:hAnsi="Arial" w:cs="Arial"/>
        </w:rPr>
        <w:t>ofr</w:t>
      </w:r>
      <w:proofErr w:type="spellEnd"/>
      <w:r w:rsidRPr="00FA3F9C">
        <w:rPr>
          <w:rFonts w:ascii="Arial" w:hAnsi="Arial" w:cs="Arial"/>
        </w:rPr>
        <w:t xml:space="preserve"> patients with RRMS;  A RCT phase 3.  Lancet. 2012;380:1819-28.</w:t>
      </w:r>
    </w:p>
    <w:p w14:paraId="3B1F0B46" w14:textId="77777777" w:rsidR="001506C1" w:rsidRPr="00FA3F9C" w:rsidRDefault="001506C1" w:rsidP="004B5C05">
      <w:pPr>
        <w:rPr>
          <w:rFonts w:ascii="Arial" w:hAnsi="Arial" w:cs="Arial"/>
          <w:sz w:val="24"/>
          <w:szCs w:val="24"/>
        </w:rPr>
      </w:pPr>
      <w:r w:rsidRPr="00FA3F9C">
        <w:rPr>
          <w:rFonts w:ascii="Arial" w:hAnsi="Arial" w:cs="Arial"/>
          <w:sz w:val="24"/>
          <w:szCs w:val="24"/>
        </w:rPr>
        <w:t xml:space="preserve">5. Medscape on new risk with alemtuzumab.  </w:t>
      </w:r>
      <w:hyperlink r:id="rId18" w:history="1">
        <w:r w:rsidRPr="00FA3F9C">
          <w:rPr>
            <w:rStyle w:val="Hyperlink"/>
            <w:rFonts w:ascii="Arial" w:hAnsi="Arial" w:cs="Arial"/>
            <w:sz w:val="24"/>
            <w:szCs w:val="24"/>
          </w:rPr>
          <w:t>https://www.medscape.com/viewarticle/911741?nlid=129300_4822&amp;src=WNL_mdplsfeat_190416_mscpedit_phar&amp;uac=126299PK&amp;spon=30&amp;impID=1938647&amp;faf=1</w:t>
        </w:r>
      </w:hyperlink>
    </w:p>
    <w:p w14:paraId="31003D65"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284"/>
        <w:gridCol w:w="8640"/>
        <w:gridCol w:w="1590"/>
      </w:tblGrid>
      <w:tr w:rsidR="001506C1" w:rsidRPr="00FA3F9C" w14:paraId="0EDC1166" w14:textId="77777777" w:rsidTr="004B5C05">
        <w:tc>
          <w:tcPr>
            <w:tcW w:w="1008" w:type="dxa"/>
          </w:tcPr>
          <w:p w14:paraId="714011AC" w14:textId="77777777" w:rsidR="001506C1" w:rsidRPr="00FA3F9C" w:rsidRDefault="001506C1" w:rsidP="006F623F">
            <w:pPr>
              <w:rPr>
                <w:rFonts w:ascii="Arial" w:hAnsi="Arial" w:cs="Arial"/>
                <w:sz w:val="24"/>
                <w:szCs w:val="24"/>
              </w:rPr>
            </w:pPr>
            <w:r w:rsidRPr="00FA3F9C">
              <w:rPr>
                <w:rFonts w:ascii="Arial" w:hAnsi="Arial" w:cs="Arial"/>
                <w:sz w:val="24"/>
                <w:szCs w:val="24"/>
              </w:rPr>
              <w:t>Date</w:t>
            </w:r>
          </w:p>
        </w:tc>
        <w:tc>
          <w:tcPr>
            <w:tcW w:w="8640" w:type="dxa"/>
          </w:tcPr>
          <w:p w14:paraId="41F2E65A" w14:textId="77777777" w:rsidR="001506C1" w:rsidRPr="00FA3F9C" w:rsidRDefault="001506C1" w:rsidP="006F623F">
            <w:pPr>
              <w:rPr>
                <w:rFonts w:ascii="Arial" w:hAnsi="Arial" w:cs="Arial"/>
                <w:sz w:val="24"/>
                <w:szCs w:val="24"/>
              </w:rPr>
            </w:pPr>
            <w:r w:rsidRPr="00FA3F9C">
              <w:rPr>
                <w:rFonts w:ascii="Arial" w:hAnsi="Arial" w:cs="Arial"/>
                <w:sz w:val="24"/>
                <w:szCs w:val="24"/>
              </w:rPr>
              <w:t>What changed</w:t>
            </w:r>
          </w:p>
        </w:tc>
        <w:tc>
          <w:tcPr>
            <w:tcW w:w="1368" w:type="dxa"/>
          </w:tcPr>
          <w:p w14:paraId="1E7BCFB5" w14:textId="77777777" w:rsidR="001506C1" w:rsidRPr="00FA3F9C" w:rsidRDefault="001506C1" w:rsidP="006F623F">
            <w:pPr>
              <w:rPr>
                <w:rFonts w:ascii="Arial" w:hAnsi="Arial" w:cs="Arial"/>
                <w:sz w:val="24"/>
                <w:szCs w:val="24"/>
              </w:rPr>
            </w:pPr>
            <w:r w:rsidRPr="00FA3F9C">
              <w:rPr>
                <w:rFonts w:ascii="Arial" w:hAnsi="Arial" w:cs="Arial"/>
                <w:sz w:val="24"/>
                <w:szCs w:val="24"/>
              </w:rPr>
              <w:t>Pharmacist’s initials</w:t>
            </w:r>
          </w:p>
        </w:tc>
      </w:tr>
      <w:tr w:rsidR="001506C1" w:rsidRPr="00FA3F9C" w14:paraId="10F47BED" w14:textId="77777777" w:rsidTr="004B5C05">
        <w:tc>
          <w:tcPr>
            <w:tcW w:w="1008" w:type="dxa"/>
          </w:tcPr>
          <w:p w14:paraId="2B9423D6" w14:textId="77777777" w:rsidR="001506C1" w:rsidRPr="00FA3F9C" w:rsidRDefault="001506C1" w:rsidP="006F623F">
            <w:pPr>
              <w:rPr>
                <w:rFonts w:ascii="Arial" w:hAnsi="Arial" w:cs="Arial"/>
                <w:sz w:val="24"/>
                <w:szCs w:val="24"/>
              </w:rPr>
            </w:pPr>
            <w:r w:rsidRPr="00FA3F9C">
              <w:rPr>
                <w:rFonts w:ascii="Arial" w:hAnsi="Arial" w:cs="Arial"/>
                <w:sz w:val="24"/>
                <w:szCs w:val="24"/>
              </w:rPr>
              <w:t>2/5/15</w:t>
            </w:r>
          </w:p>
        </w:tc>
        <w:tc>
          <w:tcPr>
            <w:tcW w:w="8640" w:type="dxa"/>
          </w:tcPr>
          <w:p w14:paraId="6D2FA1E8" w14:textId="77777777" w:rsidR="001506C1" w:rsidRPr="00FA3F9C" w:rsidRDefault="001506C1" w:rsidP="006F623F">
            <w:pPr>
              <w:rPr>
                <w:rFonts w:ascii="Arial" w:hAnsi="Arial" w:cs="Arial"/>
                <w:sz w:val="24"/>
                <w:szCs w:val="24"/>
              </w:rPr>
            </w:pPr>
            <w:r w:rsidRPr="00FA3F9C">
              <w:rPr>
                <w:rFonts w:ascii="Arial" w:hAnsi="Arial" w:cs="Arial"/>
                <w:sz w:val="24"/>
                <w:szCs w:val="24"/>
              </w:rPr>
              <w:t>I wrote the criteria.</w:t>
            </w:r>
          </w:p>
        </w:tc>
        <w:tc>
          <w:tcPr>
            <w:tcW w:w="1368" w:type="dxa"/>
          </w:tcPr>
          <w:p w14:paraId="576320F7" w14:textId="3B055763" w:rsidR="001506C1" w:rsidRPr="00FA3F9C" w:rsidRDefault="005C142D" w:rsidP="006F623F">
            <w:pPr>
              <w:rPr>
                <w:rFonts w:ascii="Arial" w:hAnsi="Arial" w:cs="Arial"/>
                <w:sz w:val="24"/>
                <w:szCs w:val="24"/>
              </w:rPr>
            </w:pPr>
            <w:r w:rsidRPr="00FA3F9C">
              <w:rPr>
                <w:rFonts w:ascii="Arial" w:hAnsi="Arial" w:cs="Arial"/>
                <w:sz w:val="24"/>
                <w:szCs w:val="24"/>
              </w:rPr>
              <w:t>JJ</w:t>
            </w:r>
          </w:p>
        </w:tc>
      </w:tr>
      <w:tr w:rsidR="001506C1" w:rsidRPr="00FA3F9C" w14:paraId="6FE20EC6" w14:textId="77777777" w:rsidTr="004B5C05">
        <w:tc>
          <w:tcPr>
            <w:tcW w:w="1008" w:type="dxa"/>
          </w:tcPr>
          <w:p w14:paraId="0E42DE8F" w14:textId="77777777" w:rsidR="001506C1" w:rsidRPr="00FA3F9C" w:rsidRDefault="001506C1" w:rsidP="006F623F">
            <w:pPr>
              <w:rPr>
                <w:rFonts w:ascii="Arial" w:hAnsi="Arial" w:cs="Arial"/>
                <w:sz w:val="24"/>
                <w:szCs w:val="24"/>
              </w:rPr>
            </w:pPr>
            <w:r w:rsidRPr="00FA3F9C">
              <w:rPr>
                <w:rFonts w:ascii="Arial" w:hAnsi="Arial" w:cs="Arial"/>
                <w:sz w:val="24"/>
                <w:szCs w:val="24"/>
              </w:rPr>
              <w:t>3-10-15</w:t>
            </w:r>
          </w:p>
        </w:tc>
        <w:tc>
          <w:tcPr>
            <w:tcW w:w="8640" w:type="dxa"/>
          </w:tcPr>
          <w:p w14:paraId="3660D4EA" w14:textId="77777777" w:rsidR="001506C1" w:rsidRPr="00FA3F9C" w:rsidRDefault="001506C1" w:rsidP="006F623F">
            <w:pPr>
              <w:rPr>
                <w:rFonts w:ascii="Arial" w:hAnsi="Arial" w:cs="Arial"/>
                <w:sz w:val="24"/>
                <w:szCs w:val="24"/>
              </w:rPr>
            </w:pPr>
            <w:r w:rsidRPr="00FA3F9C">
              <w:rPr>
                <w:rFonts w:ascii="Arial" w:hAnsi="Arial" w:cs="Arial"/>
                <w:sz w:val="24"/>
                <w:szCs w:val="24"/>
              </w:rPr>
              <w:t>Discussed at DCWG.  QL of 5doses 1</w:t>
            </w:r>
            <w:r w:rsidRPr="00FA3F9C">
              <w:rPr>
                <w:rFonts w:ascii="Arial" w:hAnsi="Arial" w:cs="Arial"/>
                <w:sz w:val="24"/>
                <w:szCs w:val="24"/>
                <w:vertAlign w:val="superscript"/>
              </w:rPr>
              <w:t>st</w:t>
            </w:r>
            <w:r w:rsidRPr="00FA3F9C">
              <w:rPr>
                <w:rFonts w:ascii="Arial" w:hAnsi="Arial" w:cs="Arial"/>
                <w:sz w:val="24"/>
                <w:szCs w:val="24"/>
              </w:rPr>
              <w:t xml:space="preserve"> year and 3 doses each subsequent year.</w:t>
            </w:r>
          </w:p>
        </w:tc>
        <w:tc>
          <w:tcPr>
            <w:tcW w:w="1368" w:type="dxa"/>
          </w:tcPr>
          <w:p w14:paraId="3BD4DAFE" w14:textId="77777777" w:rsidR="001506C1" w:rsidRPr="00FA3F9C" w:rsidRDefault="001506C1" w:rsidP="006F623F">
            <w:pPr>
              <w:rPr>
                <w:rFonts w:ascii="Arial" w:hAnsi="Arial" w:cs="Arial"/>
                <w:sz w:val="24"/>
                <w:szCs w:val="24"/>
              </w:rPr>
            </w:pPr>
            <w:r w:rsidRPr="00FA3F9C">
              <w:rPr>
                <w:rFonts w:ascii="Arial" w:hAnsi="Arial" w:cs="Arial"/>
                <w:sz w:val="24"/>
                <w:szCs w:val="24"/>
              </w:rPr>
              <w:t>JJ</w:t>
            </w:r>
          </w:p>
        </w:tc>
      </w:tr>
      <w:tr w:rsidR="001506C1" w:rsidRPr="00FA3F9C" w14:paraId="1F872DD8" w14:textId="77777777" w:rsidTr="004B5C05">
        <w:tc>
          <w:tcPr>
            <w:tcW w:w="1008" w:type="dxa"/>
          </w:tcPr>
          <w:p w14:paraId="4E5DAD3A" w14:textId="77777777" w:rsidR="001506C1" w:rsidRPr="00FA3F9C" w:rsidRDefault="001506C1" w:rsidP="006F623F">
            <w:pPr>
              <w:rPr>
                <w:rFonts w:ascii="Arial" w:hAnsi="Arial" w:cs="Arial"/>
                <w:sz w:val="24"/>
                <w:szCs w:val="24"/>
              </w:rPr>
            </w:pPr>
            <w:r w:rsidRPr="00FA3F9C">
              <w:rPr>
                <w:rFonts w:ascii="Arial" w:hAnsi="Arial" w:cs="Arial"/>
                <w:sz w:val="24"/>
                <w:szCs w:val="24"/>
              </w:rPr>
              <w:t>4/16/19</w:t>
            </w:r>
          </w:p>
        </w:tc>
        <w:tc>
          <w:tcPr>
            <w:tcW w:w="8640" w:type="dxa"/>
          </w:tcPr>
          <w:p w14:paraId="7ACB681A" w14:textId="77777777" w:rsidR="001506C1" w:rsidRPr="00FA3F9C" w:rsidRDefault="001506C1" w:rsidP="006F623F">
            <w:pPr>
              <w:rPr>
                <w:rFonts w:ascii="Arial" w:hAnsi="Arial" w:cs="Arial"/>
                <w:sz w:val="24"/>
                <w:szCs w:val="24"/>
              </w:rPr>
            </w:pPr>
            <w:r w:rsidRPr="00FA3F9C">
              <w:rPr>
                <w:rFonts w:ascii="Arial" w:hAnsi="Arial" w:cs="Arial"/>
                <w:sz w:val="24"/>
                <w:szCs w:val="24"/>
              </w:rPr>
              <w:t xml:space="preserve">In 2018, the FDA warned of rare but serious cases of ischemic and hemorrhagic stroke and </w:t>
            </w:r>
            <w:proofErr w:type="spellStart"/>
            <w:r w:rsidRPr="00FA3F9C">
              <w:rPr>
                <w:rFonts w:ascii="Arial" w:hAnsi="Arial" w:cs="Arial"/>
                <w:sz w:val="24"/>
                <w:szCs w:val="24"/>
              </w:rPr>
              <w:t>cervicocephalic</w:t>
            </w:r>
            <w:proofErr w:type="spellEnd"/>
            <w:r w:rsidRPr="00FA3F9C">
              <w:rPr>
                <w:rFonts w:ascii="Arial" w:hAnsi="Arial" w:cs="Arial"/>
                <w:sz w:val="24"/>
                <w:szCs w:val="24"/>
              </w:rPr>
              <w:t xml:space="preserve"> arterial dissection associated with alemtuzumab.  The European Medicines Agency (EMA) advises to initiate alemtuzumab only in adults with RRMS that is highly active despite treatment with at least 2 other disease-modifying therapies or in those who cannot take other therapies.  </w:t>
            </w:r>
            <w:proofErr w:type="gramStart"/>
            <w:r w:rsidRPr="00FA3F9C">
              <w:rPr>
                <w:rFonts w:ascii="Arial" w:hAnsi="Arial" w:cs="Arial"/>
                <w:sz w:val="24"/>
                <w:szCs w:val="24"/>
              </w:rPr>
              <w:t>Also</w:t>
            </w:r>
            <w:proofErr w:type="gramEnd"/>
            <w:r w:rsidRPr="00FA3F9C">
              <w:rPr>
                <w:rFonts w:ascii="Arial" w:hAnsi="Arial" w:cs="Arial"/>
                <w:sz w:val="24"/>
                <w:szCs w:val="24"/>
              </w:rPr>
              <w:t xml:space="preserve"> to monitor ECG and vitals during the infusions, LFTs prior to treatment.  A pathological immune activation and diagnosis of hemophagocytic </w:t>
            </w:r>
            <w:proofErr w:type="spellStart"/>
            <w:r w:rsidRPr="00FA3F9C">
              <w:rPr>
                <w:rFonts w:ascii="Arial" w:hAnsi="Arial" w:cs="Arial"/>
                <w:sz w:val="24"/>
                <w:szCs w:val="24"/>
              </w:rPr>
              <w:t>lymphohistiocytosis</w:t>
            </w:r>
            <w:proofErr w:type="spellEnd"/>
            <w:r w:rsidRPr="00FA3F9C">
              <w:rPr>
                <w:rFonts w:ascii="Arial" w:hAnsi="Arial" w:cs="Arial"/>
                <w:sz w:val="24"/>
                <w:szCs w:val="24"/>
              </w:rPr>
              <w:t xml:space="preserve"> could occur up to 4 y after the start of therapy.  Pts being treated w/ alemtuzumab who are benefiting may continue treatment in consultation with their physician.</w:t>
            </w:r>
          </w:p>
        </w:tc>
        <w:tc>
          <w:tcPr>
            <w:tcW w:w="1368" w:type="dxa"/>
          </w:tcPr>
          <w:p w14:paraId="6865AC12" w14:textId="77777777" w:rsidR="001506C1" w:rsidRPr="00FA3F9C" w:rsidRDefault="001506C1" w:rsidP="006F623F">
            <w:pPr>
              <w:rPr>
                <w:rFonts w:ascii="Arial" w:hAnsi="Arial" w:cs="Arial"/>
                <w:sz w:val="24"/>
                <w:szCs w:val="24"/>
              </w:rPr>
            </w:pPr>
            <w:r w:rsidRPr="00FA3F9C">
              <w:rPr>
                <w:rFonts w:ascii="Arial" w:hAnsi="Arial" w:cs="Arial"/>
                <w:sz w:val="24"/>
                <w:szCs w:val="24"/>
              </w:rPr>
              <w:t>JJ</w:t>
            </w:r>
          </w:p>
        </w:tc>
      </w:tr>
      <w:tr w:rsidR="001506C1" w:rsidRPr="00FA3F9C" w14:paraId="78B5D162" w14:textId="77777777" w:rsidTr="004B5C05">
        <w:tc>
          <w:tcPr>
            <w:tcW w:w="1008" w:type="dxa"/>
          </w:tcPr>
          <w:p w14:paraId="1FF68240" w14:textId="77777777" w:rsidR="001506C1" w:rsidRPr="00FA3F9C" w:rsidRDefault="001506C1" w:rsidP="006F623F">
            <w:pPr>
              <w:rPr>
                <w:rFonts w:ascii="Arial" w:hAnsi="Arial" w:cs="Arial"/>
                <w:sz w:val="24"/>
                <w:szCs w:val="24"/>
              </w:rPr>
            </w:pPr>
            <w:r w:rsidRPr="00FA3F9C">
              <w:rPr>
                <w:rFonts w:ascii="Arial" w:hAnsi="Arial" w:cs="Arial"/>
                <w:sz w:val="24"/>
                <w:szCs w:val="24"/>
              </w:rPr>
              <w:t>7/13/2020</w:t>
            </w:r>
          </w:p>
        </w:tc>
        <w:tc>
          <w:tcPr>
            <w:tcW w:w="8640" w:type="dxa"/>
          </w:tcPr>
          <w:p w14:paraId="4EEF8F5D" w14:textId="77777777" w:rsidR="001506C1" w:rsidRPr="00FA3F9C" w:rsidRDefault="001506C1" w:rsidP="006F623F">
            <w:pPr>
              <w:rPr>
                <w:rFonts w:ascii="Arial" w:hAnsi="Arial" w:cs="Arial"/>
                <w:sz w:val="24"/>
                <w:szCs w:val="24"/>
              </w:rPr>
            </w:pPr>
            <w:r w:rsidRPr="00FA3F9C">
              <w:rPr>
                <w:rFonts w:ascii="Arial" w:hAnsi="Arial" w:cs="Arial"/>
                <w:sz w:val="24"/>
                <w:szCs w:val="24"/>
              </w:rPr>
              <w:t>I reviewed the criteria.  No changes</w:t>
            </w:r>
          </w:p>
        </w:tc>
        <w:tc>
          <w:tcPr>
            <w:tcW w:w="1368" w:type="dxa"/>
          </w:tcPr>
          <w:p w14:paraId="575BD2E0" w14:textId="77777777" w:rsidR="001506C1" w:rsidRPr="00FA3F9C" w:rsidRDefault="001506C1" w:rsidP="006F623F">
            <w:pPr>
              <w:rPr>
                <w:rFonts w:ascii="Arial" w:hAnsi="Arial" w:cs="Arial"/>
                <w:sz w:val="24"/>
                <w:szCs w:val="24"/>
              </w:rPr>
            </w:pPr>
            <w:r w:rsidRPr="00FA3F9C">
              <w:rPr>
                <w:rFonts w:ascii="Arial" w:hAnsi="Arial" w:cs="Arial"/>
                <w:sz w:val="24"/>
                <w:szCs w:val="24"/>
              </w:rPr>
              <w:t>JJ</w:t>
            </w:r>
          </w:p>
        </w:tc>
      </w:tr>
    </w:tbl>
    <w:p w14:paraId="722EA006" w14:textId="77777777" w:rsidR="001506C1" w:rsidRPr="00FA3F9C" w:rsidRDefault="001506C1" w:rsidP="006F623F">
      <w:pPr>
        <w:spacing w:after="0"/>
        <w:rPr>
          <w:rFonts w:ascii="Arial" w:hAnsi="Arial" w:cs="Arial"/>
          <w:sz w:val="24"/>
          <w:szCs w:val="24"/>
        </w:rPr>
      </w:pPr>
    </w:p>
    <w:p w14:paraId="01BDF71A"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EDSS scale for MS:</w:t>
      </w:r>
    </w:p>
    <w:p w14:paraId="6FBD49BA" w14:textId="77777777" w:rsidR="001506C1" w:rsidRPr="00FA3F9C" w:rsidRDefault="001506C1" w:rsidP="00E10F21">
      <w:pPr>
        <w:spacing w:after="0"/>
        <w:rPr>
          <w:rFonts w:ascii="Arial" w:hAnsi="Arial" w:cs="Arial"/>
          <w:sz w:val="24"/>
          <w:szCs w:val="24"/>
        </w:rPr>
      </w:pPr>
      <w:r w:rsidRPr="00FA3F9C">
        <w:rPr>
          <w:rFonts w:ascii="Arial" w:hAnsi="Arial" w:cs="Arial"/>
          <w:sz w:val="24"/>
          <w:szCs w:val="24"/>
        </w:rPr>
        <w:t>0.0 - Normal neurological exam (all grade 0 in all Functional System (FS) scores*).</w:t>
      </w:r>
    </w:p>
    <w:p w14:paraId="4BC267FF" w14:textId="77777777" w:rsidR="001506C1" w:rsidRPr="00FA3F9C" w:rsidRDefault="001506C1" w:rsidP="00E10F21">
      <w:pPr>
        <w:spacing w:after="0"/>
        <w:rPr>
          <w:rFonts w:ascii="Arial" w:hAnsi="Arial" w:cs="Arial"/>
          <w:sz w:val="24"/>
          <w:szCs w:val="24"/>
        </w:rPr>
      </w:pPr>
      <w:r w:rsidRPr="00FA3F9C">
        <w:rPr>
          <w:rFonts w:ascii="Arial" w:hAnsi="Arial" w:cs="Arial"/>
          <w:sz w:val="24"/>
          <w:szCs w:val="24"/>
        </w:rPr>
        <w:t>1.0 - No disability, minimal signs in one FS* (i.e., grade 1).</w:t>
      </w:r>
    </w:p>
    <w:p w14:paraId="7C1C831D" w14:textId="77777777" w:rsidR="001506C1" w:rsidRPr="00FA3F9C" w:rsidRDefault="001506C1" w:rsidP="00E10F21">
      <w:pPr>
        <w:spacing w:after="0"/>
        <w:rPr>
          <w:rFonts w:ascii="Arial" w:hAnsi="Arial" w:cs="Arial"/>
          <w:sz w:val="24"/>
          <w:szCs w:val="24"/>
        </w:rPr>
      </w:pPr>
      <w:r w:rsidRPr="00FA3F9C">
        <w:rPr>
          <w:rFonts w:ascii="Arial" w:hAnsi="Arial" w:cs="Arial"/>
          <w:sz w:val="24"/>
          <w:szCs w:val="24"/>
        </w:rPr>
        <w:lastRenderedPageBreak/>
        <w:t>1.5 - No disability, minimal signs in more than one FS* (more than 1 FS grade 1).</w:t>
      </w:r>
    </w:p>
    <w:p w14:paraId="6CDEFBCC" w14:textId="77777777" w:rsidR="001506C1" w:rsidRPr="00FA3F9C" w:rsidRDefault="001506C1" w:rsidP="00E10F21">
      <w:pPr>
        <w:spacing w:after="0"/>
        <w:rPr>
          <w:rFonts w:ascii="Arial" w:hAnsi="Arial" w:cs="Arial"/>
          <w:sz w:val="24"/>
          <w:szCs w:val="24"/>
        </w:rPr>
      </w:pPr>
      <w:r w:rsidRPr="00FA3F9C">
        <w:rPr>
          <w:rFonts w:ascii="Arial" w:hAnsi="Arial" w:cs="Arial"/>
          <w:sz w:val="24"/>
          <w:szCs w:val="24"/>
        </w:rPr>
        <w:t>2.0 - Minimal disability in one FS (one FS grade 2, others 0 or 1).</w:t>
      </w:r>
    </w:p>
    <w:p w14:paraId="416EC283" w14:textId="77777777" w:rsidR="001506C1" w:rsidRPr="00FA3F9C" w:rsidRDefault="001506C1" w:rsidP="00E10F21">
      <w:pPr>
        <w:spacing w:after="0"/>
        <w:rPr>
          <w:rFonts w:ascii="Arial" w:hAnsi="Arial" w:cs="Arial"/>
          <w:sz w:val="24"/>
          <w:szCs w:val="24"/>
        </w:rPr>
      </w:pPr>
      <w:r w:rsidRPr="00FA3F9C">
        <w:rPr>
          <w:rFonts w:ascii="Arial" w:hAnsi="Arial" w:cs="Arial"/>
          <w:sz w:val="24"/>
          <w:szCs w:val="24"/>
        </w:rPr>
        <w:t>2.5 - Minimal disability in two FS (two FS grade 2, others 0 or 1).</w:t>
      </w:r>
    </w:p>
    <w:p w14:paraId="5128E9BD" w14:textId="77777777" w:rsidR="001506C1" w:rsidRPr="00FA3F9C" w:rsidRDefault="001506C1" w:rsidP="00E10F21">
      <w:pPr>
        <w:spacing w:after="0"/>
        <w:rPr>
          <w:rFonts w:ascii="Arial" w:hAnsi="Arial" w:cs="Arial"/>
          <w:sz w:val="24"/>
          <w:szCs w:val="24"/>
        </w:rPr>
      </w:pPr>
      <w:r w:rsidRPr="00FA3F9C">
        <w:rPr>
          <w:rFonts w:ascii="Arial" w:hAnsi="Arial" w:cs="Arial"/>
          <w:sz w:val="24"/>
          <w:szCs w:val="24"/>
        </w:rPr>
        <w:t>3.0 - Moderate disability in one FS (one FS grade 3, others 0 or 1) or mild disability in three or four FS (three or four FS grade 2, others 0 or 1) though fully ambulatory.</w:t>
      </w:r>
    </w:p>
    <w:p w14:paraId="299BE2CF" w14:textId="77777777" w:rsidR="001506C1" w:rsidRPr="00FA3F9C" w:rsidRDefault="001506C1" w:rsidP="00E10F21">
      <w:pPr>
        <w:spacing w:after="0"/>
        <w:rPr>
          <w:rFonts w:ascii="Arial" w:hAnsi="Arial" w:cs="Arial"/>
          <w:sz w:val="24"/>
          <w:szCs w:val="24"/>
        </w:rPr>
      </w:pPr>
      <w:r w:rsidRPr="00FA3F9C">
        <w:rPr>
          <w:rFonts w:ascii="Arial" w:hAnsi="Arial" w:cs="Arial"/>
          <w:sz w:val="24"/>
          <w:szCs w:val="24"/>
        </w:rPr>
        <w:t>3.5 - Fully ambulatory but with moderate disability in one FS (one grade 3) and one or two FS grade 2; or two FS grade 3 (others 0 or 1) or five grade 2 (others 0 or 1).</w:t>
      </w:r>
    </w:p>
    <w:p w14:paraId="5C58EF4C" w14:textId="77777777" w:rsidR="001506C1" w:rsidRPr="00FA3F9C" w:rsidRDefault="001506C1" w:rsidP="00E10F21">
      <w:pPr>
        <w:spacing w:after="0"/>
        <w:rPr>
          <w:rFonts w:ascii="Arial" w:hAnsi="Arial" w:cs="Arial"/>
          <w:sz w:val="24"/>
          <w:szCs w:val="24"/>
        </w:rPr>
      </w:pPr>
      <w:r w:rsidRPr="00FA3F9C">
        <w:rPr>
          <w:rFonts w:ascii="Arial" w:hAnsi="Arial" w:cs="Arial"/>
          <w:sz w:val="24"/>
          <w:szCs w:val="24"/>
        </w:rPr>
        <w:t>4.0 - Fully ambulatory w/o aid, self-sufficient, up and about some 12 h/d despite relatively severe disability consisting of one FS grade 4 (others 0 or 1), or combination of lesser grades exceeding limits of previous steps; able to walk w/o aid or rest some 500 m.</w:t>
      </w:r>
    </w:p>
    <w:p w14:paraId="5AE1171E" w14:textId="77777777" w:rsidR="001506C1" w:rsidRPr="00FA3F9C" w:rsidRDefault="001506C1" w:rsidP="00E10F21">
      <w:pPr>
        <w:spacing w:after="0"/>
        <w:rPr>
          <w:rFonts w:ascii="Arial" w:hAnsi="Arial" w:cs="Arial"/>
          <w:sz w:val="24"/>
          <w:szCs w:val="24"/>
        </w:rPr>
      </w:pPr>
      <w:r w:rsidRPr="00FA3F9C">
        <w:rPr>
          <w:rFonts w:ascii="Arial" w:hAnsi="Arial" w:cs="Arial"/>
          <w:sz w:val="24"/>
          <w:szCs w:val="24"/>
        </w:rPr>
        <w:t>4.5 - Fully ambulatory w/o aid, up and about much of the day, able to work a full day, may otherwise have some limitation of full activity or require minimal assistance; characterized by relatively severe disability usually consisting of one FS grade 4 (others or 1) or combinations of lesser grades exceeding limits of previous steps; able to walk w/o aid or rest some 300 m.</w:t>
      </w:r>
    </w:p>
    <w:p w14:paraId="0840B1F1" w14:textId="77777777" w:rsidR="001506C1" w:rsidRPr="00FA3F9C" w:rsidRDefault="001506C1" w:rsidP="00E10F21">
      <w:pPr>
        <w:spacing w:after="0"/>
        <w:rPr>
          <w:rFonts w:ascii="Arial" w:hAnsi="Arial" w:cs="Arial"/>
          <w:sz w:val="24"/>
          <w:szCs w:val="24"/>
        </w:rPr>
      </w:pPr>
      <w:r w:rsidRPr="00FA3F9C">
        <w:rPr>
          <w:rFonts w:ascii="Arial" w:hAnsi="Arial" w:cs="Arial"/>
          <w:sz w:val="24"/>
          <w:szCs w:val="24"/>
        </w:rPr>
        <w:t>5.0 - Ambulatory w/o aid or rest for about 200 m; disability severe enough to impair full daily activities (e.g., to work a full day without special provisions); (Usual FS equivalents are one grade 5 alone, others 0 or 1; or combinations of lesser grades usually exceeding specifications for step 4.0).</w:t>
      </w:r>
    </w:p>
    <w:p w14:paraId="34F72E70" w14:textId="77777777" w:rsidR="001506C1" w:rsidRPr="00FA3F9C" w:rsidRDefault="001506C1" w:rsidP="00E10F21">
      <w:pPr>
        <w:spacing w:after="0"/>
        <w:rPr>
          <w:rFonts w:ascii="Arial" w:hAnsi="Arial" w:cs="Arial"/>
          <w:sz w:val="24"/>
          <w:szCs w:val="24"/>
        </w:rPr>
      </w:pPr>
      <w:r w:rsidRPr="00FA3F9C">
        <w:rPr>
          <w:rFonts w:ascii="Arial" w:hAnsi="Arial" w:cs="Arial"/>
          <w:sz w:val="24"/>
          <w:szCs w:val="24"/>
        </w:rPr>
        <w:t>5.5 - Ambulatory w/o aid for about 100 m; disability severe enough to preclude full daily activities; (Usual FS equivalents are one grade 5 alone, others 0 or 1; or combination of lesser grades usually exceeding those for step 4.0).</w:t>
      </w:r>
    </w:p>
    <w:p w14:paraId="09BD47E5" w14:textId="77777777" w:rsidR="001506C1" w:rsidRPr="00FA3F9C" w:rsidRDefault="001506C1" w:rsidP="00E10F21">
      <w:pPr>
        <w:spacing w:after="0"/>
        <w:rPr>
          <w:rFonts w:ascii="Arial" w:hAnsi="Arial" w:cs="Arial"/>
          <w:sz w:val="24"/>
          <w:szCs w:val="24"/>
        </w:rPr>
      </w:pPr>
      <w:r w:rsidRPr="00FA3F9C">
        <w:rPr>
          <w:rFonts w:ascii="Arial" w:hAnsi="Arial" w:cs="Arial"/>
          <w:sz w:val="24"/>
          <w:szCs w:val="24"/>
        </w:rPr>
        <w:t xml:space="preserve">6.0 - Intermittent or unilateral constant assistance (cane, crutch, brace) required to walk about 100 meters with or without resting; (Usual FS equivalents are combinations with more than two FS grade 3+). </w:t>
      </w:r>
      <w:r w:rsidRPr="00FA3F9C">
        <w:rPr>
          <w:rFonts w:ascii="Segoe UI Symbol" w:hAnsi="Segoe UI Symbol" w:cs="Segoe UI Symbol"/>
          <w:sz w:val="24"/>
          <w:szCs w:val="24"/>
        </w:rPr>
        <w:t>❏</w:t>
      </w:r>
      <w:r w:rsidRPr="00FA3F9C">
        <w:rPr>
          <w:rFonts w:ascii="Arial" w:hAnsi="Arial" w:cs="Arial"/>
          <w:sz w:val="24"/>
          <w:szCs w:val="24"/>
        </w:rPr>
        <w:t xml:space="preserve"> 6.5 - Constant bilateral assistance (canes, crutches, braces) required to walk about 20 meters without resting; (Usual FS equivalents are combinations with more than two FS grade 3+).</w:t>
      </w:r>
    </w:p>
    <w:p w14:paraId="3D7BE16D" w14:textId="77777777" w:rsidR="001506C1" w:rsidRPr="00FA3F9C" w:rsidRDefault="001506C1" w:rsidP="00E10F21">
      <w:pPr>
        <w:spacing w:after="0"/>
        <w:rPr>
          <w:rFonts w:ascii="Arial" w:hAnsi="Arial" w:cs="Arial"/>
          <w:sz w:val="24"/>
          <w:szCs w:val="24"/>
        </w:rPr>
      </w:pPr>
      <w:r w:rsidRPr="00FA3F9C">
        <w:rPr>
          <w:rFonts w:ascii="Arial" w:hAnsi="Arial" w:cs="Arial"/>
          <w:sz w:val="24"/>
          <w:szCs w:val="24"/>
        </w:rPr>
        <w:t>7.0 - Unable to walk beyond approximately 5 meters even with aid, essentially restricted to wheelchair; wheels self in standard wheelchair and transfers alone; up and about in wheelchair some 12 hours a day; (Usual FS equivalents are combinations with more than one FS grade 4+; very rarely pyramidal grade 5 alone).</w:t>
      </w:r>
    </w:p>
    <w:p w14:paraId="5483E624" w14:textId="77777777" w:rsidR="001506C1" w:rsidRPr="00FA3F9C" w:rsidRDefault="001506C1" w:rsidP="00E10F21">
      <w:pPr>
        <w:spacing w:after="0"/>
        <w:rPr>
          <w:rFonts w:ascii="Arial" w:hAnsi="Arial" w:cs="Arial"/>
          <w:sz w:val="24"/>
          <w:szCs w:val="24"/>
        </w:rPr>
      </w:pPr>
      <w:r w:rsidRPr="00FA3F9C">
        <w:rPr>
          <w:rFonts w:ascii="Arial" w:hAnsi="Arial" w:cs="Arial"/>
          <w:sz w:val="24"/>
          <w:szCs w:val="24"/>
        </w:rPr>
        <w:t>7.5 - Unable to take more than a few steps; restricted to wheelchair; may need aid in transfer; wheels self but cannot carry on in standard wheelchair a full day; May require motorized wheelchair; (Usual FS equivalents are combinations with more than one FS grade 4+).</w:t>
      </w:r>
    </w:p>
    <w:p w14:paraId="6320E139" w14:textId="77777777" w:rsidR="001506C1" w:rsidRPr="00FA3F9C" w:rsidRDefault="001506C1" w:rsidP="00E10F21">
      <w:pPr>
        <w:spacing w:after="0"/>
        <w:rPr>
          <w:rFonts w:ascii="Arial" w:hAnsi="Arial" w:cs="Arial"/>
          <w:sz w:val="24"/>
          <w:szCs w:val="24"/>
        </w:rPr>
      </w:pPr>
      <w:r w:rsidRPr="00FA3F9C">
        <w:rPr>
          <w:rFonts w:ascii="Arial" w:hAnsi="Arial" w:cs="Arial"/>
          <w:sz w:val="24"/>
          <w:szCs w:val="24"/>
        </w:rPr>
        <w:t xml:space="preserve">8.0 - Essentially restricted to bed or chair or perambulated in wheelchair, but may be out of bed itself much of the day; retains many self-care functions; </w:t>
      </w:r>
      <w:proofErr w:type="gramStart"/>
      <w:r w:rsidRPr="00FA3F9C">
        <w:rPr>
          <w:rFonts w:ascii="Arial" w:hAnsi="Arial" w:cs="Arial"/>
          <w:sz w:val="24"/>
          <w:szCs w:val="24"/>
        </w:rPr>
        <w:t>generally</w:t>
      </w:r>
      <w:proofErr w:type="gramEnd"/>
      <w:r w:rsidRPr="00FA3F9C">
        <w:rPr>
          <w:rFonts w:ascii="Arial" w:hAnsi="Arial" w:cs="Arial"/>
          <w:sz w:val="24"/>
          <w:szCs w:val="24"/>
        </w:rPr>
        <w:t xml:space="preserve"> has effective use of arms; (Usual FS equivalents are combinations, generally grade 4+ in several systems).</w:t>
      </w:r>
    </w:p>
    <w:p w14:paraId="7F6D21FE" w14:textId="77777777" w:rsidR="001506C1" w:rsidRPr="00FA3F9C" w:rsidRDefault="001506C1" w:rsidP="00E10F21">
      <w:pPr>
        <w:spacing w:after="0"/>
        <w:rPr>
          <w:rFonts w:ascii="Arial" w:hAnsi="Arial" w:cs="Arial"/>
          <w:sz w:val="24"/>
          <w:szCs w:val="24"/>
        </w:rPr>
      </w:pPr>
      <w:r w:rsidRPr="00FA3F9C">
        <w:rPr>
          <w:rFonts w:ascii="Arial" w:hAnsi="Arial" w:cs="Arial"/>
          <w:sz w:val="24"/>
          <w:szCs w:val="24"/>
        </w:rPr>
        <w:lastRenderedPageBreak/>
        <w:t>8.5 - Essentially restricted to bed much of day; has some effective use of arm(s); retains some self-care functions; (Usual FS equivalents are combinations, generally 4+ in several systems).</w:t>
      </w:r>
    </w:p>
    <w:p w14:paraId="18BE08C2" w14:textId="77777777" w:rsidR="001506C1" w:rsidRPr="00FA3F9C" w:rsidRDefault="001506C1" w:rsidP="00E10F21">
      <w:pPr>
        <w:spacing w:after="0"/>
        <w:rPr>
          <w:rFonts w:ascii="Arial" w:hAnsi="Arial" w:cs="Arial"/>
          <w:sz w:val="24"/>
          <w:szCs w:val="24"/>
        </w:rPr>
      </w:pPr>
      <w:r w:rsidRPr="00FA3F9C">
        <w:rPr>
          <w:rFonts w:ascii="Arial" w:hAnsi="Arial" w:cs="Arial"/>
          <w:sz w:val="24"/>
          <w:szCs w:val="24"/>
        </w:rPr>
        <w:t>9.0 - Helpless bed patient; can communicate and eat; (Usual FS equivalents are combinations, mostly grade 4+).</w:t>
      </w:r>
    </w:p>
    <w:p w14:paraId="4D62BB24" w14:textId="77777777" w:rsidR="001506C1" w:rsidRPr="00FA3F9C" w:rsidRDefault="001506C1" w:rsidP="00E10F21">
      <w:pPr>
        <w:spacing w:after="0"/>
        <w:rPr>
          <w:rFonts w:ascii="Arial" w:hAnsi="Arial" w:cs="Arial"/>
          <w:sz w:val="24"/>
          <w:szCs w:val="24"/>
        </w:rPr>
      </w:pPr>
      <w:r w:rsidRPr="00FA3F9C">
        <w:rPr>
          <w:rFonts w:ascii="Arial" w:hAnsi="Arial" w:cs="Arial"/>
          <w:sz w:val="24"/>
          <w:szCs w:val="24"/>
        </w:rPr>
        <w:t>9.5 - Totally helpless bed patient; unable to communicate effectively or eat/swallow; (Usual FS equivalents are combinations, almost all grade 4+).</w:t>
      </w:r>
    </w:p>
    <w:p w14:paraId="5FB2248D" w14:textId="77777777" w:rsidR="001506C1" w:rsidRPr="00FA3F9C" w:rsidRDefault="001506C1" w:rsidP="00E10F21">
      <w:pPr>
        <w:spacing w:after="0"/>
        <w:rPr>
          <w:rFonts w:ascii="Arial" w:hAnsi="Arial" w:cs="Arial"/>
          <w:sz w:val="24"/>
          <w:szCs w:val="24"/>
        </w:rPr>
      </w:pPr>
      <w:r w:rsidRPr="00FA3F9C">
        <w:rPr>
          <w:rFonts w:ascii="Arial" w:hAnsi="Arial" w:cs="Arial"/>
          <w:sz w:val="24"/>
          <w:szCs w:val="24"/>
        </w:rPr>
        <w:t>10.0 - Death due to MS.</w:t>
      </w:r>
    </w:p>
    <w:p w14:paraId="50311235" w14:textId="77777777" w:rsidR="001506C1" w:rsidRPr="00FA3F9C" w:rsidRDefault="001506C1" w:rsidP="00E10F21">
      <w:pPr>
        <w:spacing w:after="0"/>
        <w:rPr>
          <w:rFonts w:ascii="Arial" w:hAnsi="Arial" w:cs="Arial"/>
          <w:sz w:val="24"/>
          <w:szCs w:val="24"/>
        </w:rPr>
      </w:pPr>
      <w:r w:rsidRPr="00FA3F9C">
        <w:rPr>
          <w:rFonts w:ascii="Arial" w:hAnsi="Arial" w:cs="Arial"/>
          <w:sz w:val="24"/>
          <w:szCs w:val="24"/>
        </w:rPr>
        <w:t>*Excludes cerebral function grade 1.</w:t>
      </w:r>
    </w:p>
    <w:p w14:paraId="0594650E" w14:textId="77777777" w:rsidR="001506C1" w:rsidRPr="00FA3F9C" w:rsidRDefault="001506C1" w:rsidP="00E10F21">
      <w:pPr>
        <w:spacing w:after="0"/>
        <w:rPr>
          <w:rFonts w:ascii="Arial" w:hAnsi="Arial" w:cs="Arial"/>
          <w:sz w:val="24"/>
          <w:szCs w:val="24"/>
        </w:rPr>
      </w:pPr>
      <w:r w:rsidRPr="00FA3F9C">
        <w:rPr>
          <w:rFonts w:ascii="Arial" w:hAnsi="Arial" w:cs="Arial"/>
          <w:sz w:val="24"/>
          <w:szCs w:val="24"/>
        </w:rPr>
        <w:t>Note 1: EDSS steps 1.0 to 4.5 refer to patients who are fully ambulatory and the precise step number is defined by the Functional System score(s). EDSS steps 5.0 to 9.5 are defined by the impairment to ambulation and usual equivalents in Functional Systems scores are provided.</w:t>
      </w:r>
    </w:p>
    <w:p w14:paraId="28F58FD9" w14:textId="77777777" w:rsidR="001506C1" w:rsidRPr="00FA3F9C" w:rsidRDefault="001506C1" w:rsidP="00E10F21">
      <w:pPr>
        <w:spacing w:after="0"/>
        <w:rPr>
          <w:rFonts w:ascii="Arial" w:hAnsi="Arial" w:cs="Arial"/>
          <w:sz w:val="24"/>
          <w:szCs w:val="24"/>
        </w:rPr>
      </w:pPr>
      <w:r w:rsidRPr="00FA3F9C">
        <w:rPr>
          <w:rFonts w:ascii="Arial" w:hAnsi="Arial" w:cs="Arial"/>
          <w:sz w:val="24"/>
          <w:szCs w:val="24"/>
        </w:rPr>
        <w:t>Note 2: EDSS should not change by 1.0 step unless there is a change in the same direction of at least one step in at least one FS.</w:t>
      </w:r>
    </w:p>
    <w:p w14:paraId="6F9C2F6D" w14:textId="77777777" w:rsidR="001506C1" w:rsidRPr="00FA3F9C" w:rsidRDefault="001506C1" w:rsidP="00E10F21">
      <w:pPr>
        <w:spacing w:after="0"/>
        <w:rPr>
          <w:rFonts w:ascii="Arial" w:hAnsi="Arial" w:cs="Arial"/>
          <w:sz w:val="24"/>
          <w:szCs w:val="24"/>
        </w:rPr>
      </w:pPr>
      <w:r w:rsidRPr="00FA3F9C">
        <w:rPr>
          <w:rFonts w:ascii="Arial" w:hAnsi="Arial" w:cs="Arial"/>
          <w:sz w:val="24"/>
          <w:szCs w:val="24"/>
        </w:rPr>
        <w:t xml:space="preserve">Sources: </w:t>
      </w:r>
    </w:p>
    <w:p w14:paraId="55D46042" w14:textId="77777777" w:rsidR="001506C1" w:rsidRPr="00FA3F9C" w:rsidRDefault="001506C1" w:rsidP="00E10F21">
      <w:pPr>
        <w:spacing w:after="0"/>
        <w:rPr>
          <w:rFonts w:ascii="Arial" w:hAnsi="Arial" w:cs="Arial"/>
          <w:sz w:val="24"/>
          <w:szCs w:val="24"/>
        </w:rPr>
      </w:pPr>
      <w:proofErr w:type="spellStart"/>
      <w:r w:rsidRPr="00FA3F9C">
        <w:rPr>
          <w:rFonts w:ascii="Arial" w:hAnsi="Arial" w:cs="Arial"/>
          <w:sz w:val="24"/>
          <w:szCs w:val="24"/>
        </w:rPr>
        <w:t>Kurtzke</w:t>
      </w:r>
      <w:proofErr w:type="spellEnd"/>
      <w:r w:rsidRPr="00FA3F9C">
        <w:rPr>
          <w:rFonts w:ascii="Arial" w:hAnsi="Arial" w:cs="Arial"/>
          <w:sz w:val="24"/>
          <w:szCs w:val="24"/>
        </w:rPr>
        <w:t xml:space="preserve"> JF. Rating neurologic impairment in multiple sclerosis: an expanded disability status scale (EDSS). Neurology. 1983 Nov;33(11):1444-52.</w:t>
      </w:r>
    </w:p>
    <w:p w14:paraId="4F7DA0F6" w14:textId="77777777" w:rsidR="001506C1" w:rsidRPr="00FA3F9C" w:rsidRDefault="001506C1" w:rsidP="00E10F21">
      <w:pPr>
        <w:spacing w:after="0"/>
        <w:rPr>
          <w:rFonts w:ascii="Arial" w:hAnsi="Arial" w:cs="Arial"/>
          <w:sz w:val="24"/>
          <w:szCs w:val="24"/>
        </w:rPr>
      </w:pPr>
      <w:r w:rsidRPr="00FA3F9C">
        <w:rPr>
          <w:rFonts w:ascii="Arial" w:hAnsi="Arial" w:cs="Arial"/>
          <w:sz w:val="24"/>
          <w:szCs w:val="24"/>
        </w:rPr>
        <w:t>Haber A, LaRocca NG. eds. Minimal Record of Disability for multiple sclerosis. New York: National Multiple Sclerosis Society; 1985.</w:t>
      </w:r>
    </w:p>
    <w:p w14:paraId="39AB653B" w14:textId="77777777" w:rsidR="005005CA" w:rsidRDefault="005005CA">
      <w:pPr>
        <w:rPr>
          <w:rFonts w:ascii="Arial" w:eastAsia="Times New Roman" w:hAnsi="Arial" w:cs="Arial"/>
          <w:b/>
          <w:sz w:val="28"/>
          <w:szCs w:val="20"/>
        </w:rPr>
      </w:pPr>
      <w:bookmarkStart w:id="6" w:name="top-of-page"/>
      <w:bookmarkStart w:id="7" w:name="name"/>
      <w:bookmarkStart w:id="8" w:name="_Toc106369710"/>
      <w:bookmarkEnd w:id="6"/>
      <w:r>
        <w:br w:type="page"/>
      </w:r>
    </w:p>
    <w:p w14:paraId="76A8DDB4" w14:textId="314831CD" w:rsidR="001506C1" w:rsidRPr="00652A6E" w:rsidRDefault="001506C1" w:rsidP="00FA3F9C">
      <w:pPr>
        <w:pStyle w:val="Heading2"/>
      </w:pPr>
      <w:proofErr w:type="spellStart"/>
      <w:r w:rsidRPr="00652A6E">
        <w:lastRenderedPageBreak/>
        <w:t>Alglucosidase</w:t>
      </w:r>
      <w:proofErr w:type="spellEnd"/>
      <w:r w:rsidRPr="00652A6E">
        <w:t xml:space="preserve"> Alfa</w:t>
      </w:r>
      <w:bookmarkEnd w:id="7"/>
      <w:r w:rsidRPr="00652A6E">
        <w:t xml:space="preserve"> (</w:t>
      </w:r>
      <w:proofErr w:type="spellStart"/>
      <w:r w:rsidRPr="00652A6E">
        <w:t>L</w:t>
      </w:r>
      <w:r w:rsidRPr="00652A6E">
        <w:rPr>
          <w:bCs/>
        </w:rPr>
        <w:t>umizyme</w:t>
      </w:r>
      <w:proofErr w:type="spellEnd"/>
      <w:r w:rsidRPr="00652A6E">
        <w:t>)</w:t>
      </w:r>
      <w:bookmarkEnd w:id="8"/>
    </w:p>
    <w:p w14:paraId="474E3D59" w14:textId="77777777" w:rsidR="001506C1" w:rsidRPr="00FA3F9C" w:rsidRDefault="001506C1" w:rsidP="006F623F">
      <w:pPr>
        <w:spacing w:after="0"/>
        <w:jc w:val="center"/>
        <w:rPr>
          <w:rFonts w:ascii="Arial" w:hAnsi="Arial" w:cs="Arial"/>
          <w:sz w:val="24"/>
          <w:szCs w:val="24"/>
        </w:rPr>
      </w:pPr>
      <w:r w:rsidRPr="00FA3F9C">
        <w:rPr>
          <w:rFonts w:ascii="Arial" w:hAnsi="Arial" w:cs="Arial"/>
          <w:sz w:val="24"/>
          <w:szCs w:val="24"/>
        </w:rPr>
        <w:t>EBRx PA Criteria</w:t>
      </w:r>
    </w:p>
    <w:p w14:paraId="1F945C05" w14:textId="77777777" w:rsidR="001506C1" w:rsidRPr="00FA3F9C" w:rsidRDefault="001506C1" w:rsidP="006F623F">
      <w:pPr>
        <w:spacing w:after="0"/>
        <w:rPr>
          <w:rFonts w:ascii="Arial" w:hAnsi="Arial" w:cs="Arial"/>
          <w:b/>
          <w:sz w:val="24"/>
          <w:szCs w:val="24"/>
          <w:u w:val="single"/>
        </w:rPr>
      </w:pPr>
    </w:p>
    <w:p w14:paraId="199AF9BF" w14:textId="77777777" w:rsidR="001506C1" w:rsidRPr="00FA3F9C" w:rsidRDefault="001506C1"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w:t>
      </w:r>
      <w:proofErr w:type="spellStart"/>
      <w:r w:rsidRPr="00FA3F9C">
        <w:rPr>
          <w:rFonts w:ascii="Arial" w:hAnsi="Arial" w:cs="Arial"/>
          <w:sz w:val="24"/>
          <w:szCs w:val="24"/>
        </w:rPr>
        <w:t>Pompe</w:t>
      </w:r>
      <w:proofErr w:type="spellEnd"/>
      <w:r w:rsidRPr="00FA3F9C">
        <w:rPr>
          <w:rFonts w:ascii="Arial" w:hAnsi="Arial" w:cs="Arial"/>
          <w:sz w:val="24"/>
          <w:szCs w:val="24"/>
        </w:rPr>
        <w:t xml:space="preserve"> disease (acid alpha-glucosidase [GAA] deficiency).</w:t>
      </w:r>
    </w:p>
    <w:tbl>
      <w:tblPr>
        <w:tblStyle w:val="TableGrid"/>
        <w:tblW w:w="0" w:type="auto"/>
        <w:tblLook w:val="04A0" w:firstRow="1" w:lastRow="0" w:firstColumn="1" w:lastColumn="0" w:noHBand="0" w:noVBand="1"/>
      </w:tblPr>
      <w:tblGrid>
        <w:gridCol w:w="8928"/>
        <w:gridCol w:w="2088"/>
      </w:tblGrid>
      <w:tr w:rsidR="001506C1" w:rsidRPr="00FA3F9C" w14:paraId="6FB1C7A4" w14:textId="77777777" w:rsidTr="00571CAB">
        <w:tc>
          <w:tcPr>
            <w:tcW w:w="8928" w:type="dxa"/>
            <w:shd w:val="clear" w:color="auto" w:fill="000000"/>
          </w:tcPr>
          <w:p w14:paraId="696BC444" w14:textId="77777777" w:rsidR="001506C1" w:rsidRPr="00FA3F9C" w:rsidRDefault="001506C1"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88" w:type="dxa"/>
            <w:shd w:val="clear" w:color="auto" w:fill="000000"/>
          </w:tcPr>
          <w:p w14:paraId="6655412A" w14:textId="77777777" w:rsidR="001506C1" w:rsidRPr="00FA3F9C" w:rsidRDefault="001506C1" w:rsidP="006F623F">
            <w:pPr>
              <w:jc w:val="center"/>
              <w:rPr>
                <w:rFonts w:ascii="Arial" w:hAnsi="Arial" w:cs="Arial"/>
                <w:b/>
                <w:sz w:val="24"/>
                <w:szCs w:val="24"/>
                <w:u w:val="single"/>
              </w:rPr>
            </w:pPr>
          </w:p>
        </w:tc>
      </w:tr>
      <w:tr w:rsidR="001506C1" w:rsidRPr="00FA3F9C" w14:paraId="72B40369" w14:textId="77777777" w:rsidTr="00F337AE">
        <w:tc>
          <w:tcPr>
            <w:tcW w:w="11016" w:type="dxa"/>
            <w:gridSpan w:val="2"/>
          </w:tcPr>
          <w:p w14:paraId="1244C130" w14:textId="77777777" w:rsidR="001506C1" w:rsidRPr="00FA3F9C" w:rsidRDefault="001506C1" w:rsidP="006F623F">
            <w:pPr>
              <w:rPr>
                <w:rFonts w:ascii="Arial" w:hAnsi="Arial" w:cs="Arial"/>
                <w:sz w:val="24"/>
                <w:szCs w:val="24"/>
              </w:rPr>
            </w:pPr>
            <w:r w:rsidRPr="00FA3F9C">
              <w:rPr>
                <w:rFonts w:ascii="Arial" w:hAnsi="Arial" w:cs="Arial"/>
                <w:sz w:val="24"/>
                <w:szCs w:val="24"/>
              </w:rPr>
              <w:t xml:space="preserve">1. The patient must have the diagnosis of </w:t>
            </w:r>
            <w:proofErr w:type="spellStart"/>
            <w:r w:rsidRPr="00FA3F9C">
              <w:rPr>
                <w:rFonts w:ascii="Arial" w:hAnsi="Arial" w:cs="Arial"/>
                <w:sz w:val="24"/>
                <w:szCs w:val="24"/>
              </w:rPr>
              <w:t>Pompe</w:t>
            </w:r>
            <w:proofErr w:type="spellEnd"/>
            <w:r w:rsidRPr="00FA3F9C">
              <w:rPr>
                <w:rFonts w:ascii="Arial" w:hAnsi="Arial" w:cs="Arial"/>
                <w:sz w:val="24"/>
                <w:szCs w:val="24"/>
              </w:rPr>
              <w:t xml:space="preserve"> disease.</w:t>
            </w:r>
          </w:p>
        </w:tc>
      </w:tr>
    </w:tbl>
    <w:p w14:paraId="7EF3BD17" w14:textId="77777777" w:rsidR="001506C1" w:rsidRPr="00FA3F9C" w:rsidRDefault="001506C1" w:rsidP="006F623F">
      <w:pPr>
        <w:spacing w:after="0"/>
        <w:rPr>
          <w:rFonts w:ascii="Arial" w:hAnsi="Arial" w:cs="Arial"/>
          <w:b/>
          <w:sz w:val="24"/>
          <w:szCs w:val="24"/>
          <w:u w:val="single"/>
        </w:rPr>
      </w:pPr>
    </w:p>
    <w:tbl>
      <w:tblPr>
        <w:tblStyle w:val="TableGrid"/>
        <w:tblW w:w="0" w:type="auto"/>
        <w:shd w:val="clear" w:color="auto" w:fill="BFBFBF" w:themeFill="background1" w:themeFillShade="BF"/>
        <w:tblLook w:val="04A0" w:firstRow="1" w:lastRow="0" w:firstColumn="1" w:lastColumn="0" w:noHBand="0" w:noVBand="1"/>
      </w:tblPr>
      <w:tblGrid>
        <w:gridCol w:w="10998"/>
      </w:tblGrid>
      <w:tr w:rsidR="001506C1" w:rsidRPr="00FA3F9C" w14:paraId="030A190C" w14:textId="77777777" w:rsidTr="00D82B6E">
        <w:tc>
          <w:tcPr>
            <w:tcW w:w="10998" w:type="dxa"/>
            <w:shd w:val="clear" w:color="auto" w:fill="BFBFBF" w:themeFill="background1" w:themeFillShade="BF"/>
          </w:tcPr>
          <w:p w14:paraId="67AA1590" w14:textId="77777777" w:rsidR="001506C1" w:rsidRPr="00FA3F9C" w:rsidRDefault="001506C1" w:rsidP="00D82B6E">
            <w:pPr>
              <w:rPr>
                <w:rFonts w:ascii="Arial" w:hAnsi="Arial" w:cs="Arial"/>
                <w:sz w:val="24"/>
                <w:szCs w:val="24"/>
              </w:rPr>
            </w:pPr>
            <w:r w:rsidRPr="00FA3F9C">
              <w:rPr>
                <w:rFonts w:ascii="Arial" w:hAnsi="Arial" w:cs="Arial"/>
                <w:sz w:val="24"/>
                <w:szCs w:val="24"/>
              </w:rPr>
              <w:t>Note: If yes, approve for 1 year.</w:t>
            </w:r>
          </w:p>
        </w:tc>
      </w:tr>
    </w:tbl>
    <w:p w14:paraId="356F8BC5" w14:textId="77777777" w:rsidR="001506C1" w:rsidRPr="00FA3F9C" w:rsidRDefault="001506C1" w:rsidP="006F623F">
      <w:pPr>
        <w:spacing w:after="0"/>
        <w:rPr>
          <w:rFonts w:ascii="Arial" w:hAnsi="Arial" w:cs="Arial"/>
          <w:sz w:val="24"/>
          <w:szCs w:val="24"/>
        </w:rPr>
      </w:pPr>
    </w:p>
    <w:p w14:paraId="1351D711" w14:textId="77777777" w:rsidR="001506C1" w:rsidRPr="00FA3F9C" w:rsidRDefault="001506C1" w:rsidP="006F623F">
      <w:pPr>
        <w:spacing w:after="0"/>
        <w:rPr>
          <w:rFonts w:ascii="Arial" w:hAnsi="Arial" w:cs="Arial"/>
          <w:sz w:val="24"/>
          <w:szCs w:val="24"/>
        </w:rPr>
      </w:pPr>
    </w:p>
    <w:p w14:paraId="45B47121" w14:textId="77777777" w:rsidR="001506C1" w:rsidRPr="00FA3F9C" w:rsidRDefault="001506C1" w:rsidP="00A727A7">
      <w:pPr>
        <w:spacing w:after="0" w:line="240" w:lineRule="auto"/>
        <w:rPr>
          <w:rFonts w:ascii="Arial" w:hAnsi="Arial" w:cs="Arial"/>
          <w:b/>
          <w:sz w:val="24"/>
          <w:szCs w:val="24"/>
        </w:rPr>
      </w:pPr>
      <w:r w:rsidRPr="00FA3F9C">
        <w:rPr>
          <w:rFonts w:ascii="Arial" w:hAnsi="Arial" w:cs="Arial"/>
          <w:b/>
          <w:sz w:val="24"/>
          <w:szCs w:val="24"/>
        </w:rPr>
        <w:t>References:</w:t>
      </w:r>
    </w:p>
    <w:p w14:paraId="3664E38B" w14:textId="77777777" w:rsidR="001506C1" w:rsidRPr="00FA3F9C" w:rsidRDefault="001506C1" w:rsidP="00A727A7">
      <w:pPr>
        <w:spacing w:after="0" w:line="240" w:lineRule="auto"/>
        <w:rPr>
          <w:rFonts w:ascii="Arial" w:eastAsia="Times New Roman" w:hAnsi="Arial" w:cs="Arial"/>
          <w:sz w:val="24"/>
          <w:szCs w:val="24"/>
        </w:rPr>
      </w:pPr>
      <w:r w:rsidRPr="00FA3F9C">
        <w:rPr>
          <w:rFonts w:ascii="Arial" w:eastAsia="Times New Roman" w:hAnsi="Arial" w:cs="Arial"/>
          <w:sz w:val="24"/>
          <w:szCs w:val="24"/>
        </w:rPr>
        <w:t xml:space="preserve">1. Amalfitano A, </w:t>
      </w:r>
      <w:proofErr w:type="spellStart"/>
      <w:r w:rsidRPr="00FA3F9C">
        <w:rPr>
          <w:rFonts w:ascii="Arial" w:eastAsia="Times New Roman" w:hAnsi="Arial" w:cs="Arial"/>
          <w:sz w:val="24"/>
          <w:szCs w:val="24"/>
        </w:rPr>
        <w:t>Bengur</w:t>
      </w:r>
      <w:proofErr w:type="spellEnd"/>
      <w:r w:rsidRPr="00FA3F9C">
        <w:rPr>
          <w:rFonts w:ascii="Arial" w:eastAsia="Times New Roman" w:hAnsi="Arial" w:cs="Arial"/>
          <w:sz w:val="24"/>
          <w:szCs w:val="24"/>
        </w:rPr>
        <w:t xml:space="preserve"> AR, and Morse RP, “Recombinant Human Acid Alpha-Glucosidase Enzyme Therapy for Infantile Glycogen Disease Type II: Results of a Phase I/II Clinical Trial,” </w:t>
      </w:r>
      <w:r w:rsidRPr="00FA3F9C">
        <w:rPr>
          <w:rFonts w:ascii="Arial" w:eastAsia="Times New Roman" w:hAnsi="Arial" w:cs="Arial"/>
          <w:i/>
          <w:iCs/>
          <w:sz w:val="24"/>
          <w:szCs w:val="24"/>
        </w:rPr>
        <w:t>Genet Med</w:t>
      </w:r>
      <w:r w:rsidRPr="00FA3F9C">
        <w:rPr>
          <w:rFonts w:ascii="Arial" w:eastAsia="Times New Roman" w:hAnsi="Arial" w:cs="Arial"/>
          <w:sz w:val="24"/>
          <w:szCs w:val="24"/>
        </w:rPr>
        <w:t xml:space="preserve">, 2001, 3(2):132-8. </w:t>
      </w:r>
    </w:p>
    <w:p w14:paraId="577A1C31" w14:textId="77777777" w:rsidR="001506C1" w:rsidRPr="00FA3F9C" w:rsidRDefault="001506C1" w:rsidP="00A727A7">
      <w:pPr>
        <w:spacing w:after="0" w:line="240" w:lineRule="auto"/>
        <w:rPr>
          <w:rFonts w:ascii="Arial" w:eastAsia="Times New Roman" w:hAnsi="Arial" w:cs="Arial"/>
          <w:sz w:val="24"/>
          <w:szCs w:val="24"/>
        </w:rPr>
      </w:pPr>
      <w:r w:rsidRPr="00FA3F9C">
        <w:rPr>
          <w:rFonts w:ascii="Arial" w:eastAsia="Times New Roman" w:hAnsi="Arial" w:cs="Arial"/>
          <w:sz w:val="24"/>
          <w:szCs w:val="24"/>
        </w:rPr>
        <w:t xml:space="preserve">2. </w:t>
      </w:r>
      <w:proofErr w:type="spellStart"/>
      <w:r w:rsidRPr="00FA3F9C">
        <w:rPr>
          <w:rFonts w:ascii="Arial" w:eastAsia="Times New Roman" w:hAnsi="Arial" w:cs="Arial"/>
          <w:sz w:val="24"/>
          <w:szCs w:val="24"/>
        </w:rPr>
        <w:t>Klinge</w:t>
      </w:r>
      <w:proofErr w:type="spellEnd"/>
      <w:r w:rsidRPr="00FA3F9C">
        <w:rPr>
          <w:rFonts w:ascii="Arial" w:eastAsia="Times New Roman" w:hAnsi="Arial" w:cs="Arial"/>
          <w:sz w:val="24"/>
          <w:szCs w:val="24"/>
        </w:rPr>
        <w:t xml:space="preserve"> L, Straub V, Neudorf U, et al, “Enzyme Replacement Therapy in Classical Infantile </w:t>
      </w:r>
      <w:proofErr w:type="spellStart"/>
      <w:r w:rsidRPr="00FA3F9C">
        <w:rPr>
          <w:rFonts w:ascii="Arial" w:eastAsia="Times New Roman" w:hAnsi="Arial" w:cs="Arial"/>
          <w:sz w:val="24"/>
          <w:szCs w:val="24"/>
        </w:rPr>
        <w:t>Pompe</w:t>
      </w:r>
      <w:proofErr w:type="spellEnd"/>
      <w:r w:rsidRPr="00FA3F9C">
        <w:rPr>
          <w:rFonts w:ascii="Arial" w:eastAsia="Times New Roman" w:hAnsi="Arial" w:cs="Arial"/>
          <w:sz w:val="24"/>
          <w:szCs w:val="24"/>
        </w:rPr>
        <w:t xml:space="preserve"> Disease: Results of a Ten-Month Follow-up Study,” </w:t>
      </w:r>
      <w:proofErr w:type="spellStart"/>
      <w:r w:rsidRPr="00FA3F9C">
        <w:rPr>
          <w:rFonts w:ascii="Arial" w:eastAsia="Times New Roman" w:hAnsi="Arial" w:cs="Arial"/>
          <w:i/>
          <w:iCs/>
          <w:sz w:val="24"/>
          <w:szCs w:val="24"/>
        </w:rPr>
        <w:t>Neuropediatrics</w:t>
      </w:r>
      <w:proofErr w:type="spellEnd"/>
      <w:r w:rsidRPr="00FA3F9C">
        <w:rPr>
          <w:rFonts w:ascii="Arial" w:eastAsia="Times New Roman" w:hAnsi="Arial" w:cs="Arial"/>
          <w:sz w:val="24"/>
          <w:szCs w:val="24"/>
        </w:rPr>
        <w:t xml:space="preserve">, 2005, 36(1):6-11. </w:t>
      </w:r>
    </w:p>
    <w:p w14:paraId="029875B2" w14:textId="77777777" w:rsidR="001506C1" w:rsidRPr="00FA3F9C" w:rsidRDefault="001506C1" w:rsidP="00A727A7">
      <w:pPr>
        <w:spacing w:after="0" w:line="240" w:lineRule="auto"/>
        <w:rPr>
          <w:rFonts w:ascii="Arial" w:eastAsia="Times New Roman" w:hAnsi="Arial" w:cs="Arial"/>
          <w:sz w:val="24"/>
          <w:szCs w:val="24"/>
        </w:rPr>
      </w:pPr>
      <w:r w:rsidRPr="00FA3F9C">
        <w:rPr>
          <w:rFonts w:ascii="Arial" w:eastAsia="Times New Roman" w:hAnsi="Arial" w:cs="Arial"/>
          <w:sz w:val="24"/>
          <w:szCs w:val="24"/>
        </w:rPr>
        <w:t xml:space="preserve">3. </w:t>
      </w:r>
      <w:proofErr w:type="spellStart"/>
      <w:r w:rsidRPr="00FA3F9C">
        <w:rPr>
          <w:rFonts w:ascii="Arial" w:eastAsia="Times New Roman" w:hAnsi="Arial" w:cs="Arial"/>
          <w:sz w:val="24"/>
          <w:szCs w:val="24"/>
        </w:rPr>
        <w:t>Klinge</w:t>
      </w:r>
      <w:proofErr w:type="spellEnd"/>
      <w:r w:rsidRPr="00FA3F9C">
        <w:rPr>
          <w:rFonts w:ascii="Arial" w:eastAsia="Times New Roman" w:hAnsi="Arial" w:cs="Arial"/>
          <w:sz w:val="24"/>
          <w:szCs w:val="24"/>
        </w:rPr>
        <w:t xml:space="preserve"> L, Straub V, Neudorf U, et al, “Safety and Efficacy of Recombinant Acid Alpha-Glucosidase (</w:t>
      </w:r>
      <w:proofErr w:type="spellStart"/>
      <w:r w:rsidRPr="00FA3F9C">
        <w:rPr>
          <w:rFonts w:ascii="Arial" w:eastAsia="Times New Roman" w:hAnsi="Arial" w:cs="Arial"/>
          <w:sz w:val="24"/>
          <w:szCs w:val="24"/>
        </w:rPr>
        <w:t>rhGAA</w:t>
      </w:r>
      <w:proofErr w:type="spellEnd"/>
      <w:r w:rsidRPr="00FA3F9C">
        <w:rPr>
          <w:rFonts w:ascii="Arial" w:eastAsia="Times New Roman" w:hAnsi="Arial" w:cs="Arial"/>
          <w:sz w:val="24"/>
          <w:szCs w:val="24"/>
        </w:rPr>
        <w:t xml:space="preserve">) in Patients </w:t>
      </w:r>
      <w:proofErr w:type="gramStart"/>
      <w:r w:rsidRPr="00FA3F9C">
        <w:rPr>
          <w:rFonts w:ascii="Arial" w:eastAsia="Times New Roman" w:hAnsi="Arial" w:cs="Arial"/>
          <w:sz w:val="24"/>
          <w:szCs w:val="24"/>
        </w:rPr>
        <w:t>With</w:t>
      </w:r>
      <w:proofErr w:type="gramEnd"/>
      <w:r w:rsidRPr="00FA3F9C">
        <w:rPr>
          <w:rFonts w:ascii="Arial" w:eastAsia="Times New Roman" w:hAnsi="Arial" w:cs="Arial"/>
          <w:sz w:val="24"/>
          <w:szCs w:val="24"/>
        </w:rPr>
        <w:t xml:space="preserve"> Classical Infantile </w:t>
      </w:r>
      <w:proofErr w:type="spellStart"/>
      <w:r w:rsidRPr="00FA3F9C">
        <w:rPr>
          <w:rFonts w:ascii="Arial" w:eastAsia="Times New Roman" w:hAnsi="Arial" w:cs="Arial"/>
          <w:sz w:val="24"/>
          <w:szCs w:val="24"/>
        </w:rPr>
        <w:t>Pompe</w:t>
      </w:r>
      <w:proofErr w:type="spellEnd"/>
      <w:r w:rsidRPr="00FA3F9C">
        <w:rPr>
          <w:rFonts w:ascii="Arial" w:eastAsia="Times New Roman" w:hAnsi="Arial" w:cs="Arial"/>
          <w:sz w:val="24"/>
          <w:szCs w:val="24"/>
        </w:rPr>
        <w:t xml:space="preserve"> Disease: Results of a Phase II Clinical Trial,” </w:t>
      </w:r>
      <w:r w:rsidRPr="00FA3F9C">
        <w:rPr>
          <w:rFonts w:ascii="Arial" w:eastAsia="Times New Roman" w:hAnsi="Arial" w:cs="Arial"/>
          <w:i/>
          <w:iCs/>
          <w:sz w:val="24"/>
          <w:szCs w:val="24"/>
        </w:rPr>
        <w:t>Neuromuscular Disorders</w:t>
      </w:r>
      <w:r w:rsidRPr="00FA3F9C">
        <w:rPr>
          <w:rFonts w:ascii="Arial" w:eastAsia="Times New Roman" w:hAnsi="Arial" w:cs="Arial"/>
          <w:sz w:val="24"/>
          <w:szCs w:val="24"/>
        </w:rPr>
        <w:t>, 2005, 15(1):24-31.</w:t>
      </w:r>
    </w:p>
    <w:p w14:paraId="2DE7E4BD" w14:textId="77777777" w:rsidR="001506C1" w:rsidRPr="00FA3F9C" w:rsidRDefault="001506C1" w:rsidP="00A727A7">
      <w:pPr>
        <w:spacing w:after="0" w:line="240" w:lineRule="auto"/>
        <w:rPr>
          <w:rFonts w:ascii="Arial" w:eastAsia="Times New Roman" w:hAnsi="Arial" w:cs="Arial"/>
          <w:sz w:val="24"/>
          <w:szCs w:val="24"/>
        </w:rPr>
      </w:pPr>
      <w:r w:rsidRPr="00FA3F9C">
        <w:rPr>
          <w:rFonts w:ascii="Arial" w:eastAsia="Times New Roman" w:hAnsi="Arial" w:cs="Arial"/>
          <w:sz w:val="24"/>
          <w:szCs w:val="24"/>
        </w:rPr>
        <w:t xml:space="preserve">van der Ploeg AT, Clemens PR, </w:t>
      </w:r>
      <w:proofErr w:type="spellStart"/>
      <w:r w:rsidRPr="00FA3F9C">
        <w:rPr>
          <w:rFonts w:ascii="Arial" w:eastAsia="Times New Roman" w:hAnsi="Arial" w:cs="Arial"/>
          <w:sz w:val="24"/>
          <w:szCs w:val="24"/>
        </w:rPr>
        <w:t>Corzo</w:t>
      </w:r>
      <w:proofErr w:type="spellEnd"/>
      <w:r w:rsidRPr="00FA3F9C">
        <w:rPr>
          <w:rFonts w:ascii="Arial" w:eastAsia="Times New Roman" w:hAnsi="Arial" w:cs="Arial"/>
          <w:sz w:val="24"/>
          <w:szCs w:val="24"/>
        </w:rPr>
        <w:t xml:space="preserve"> D, et al, “A Randomized Study of </w:t>
      </w:r>
      <w:proofErr w:type="spellStart"/>
      <w:r w:rsidRPr="00FA3F9C">
        <w:rPr>
          <w:rFonts w:ascii="Arial" w:eastAsia="Times New Roman" w:hAnsi="Arial" w:cs="Arial"/>
          <w:sz w:val="24"/>
          <w:szCs w:val="24"/>
        </w:rPr>
        <w:t>Alglucosidase</w:t>
      </w:r>
      <w:proofErr w:type="spellEnd"/>
      <w:r w:rsidRPr="00FA3F9C">
        <w:rPr>
          <w:rFonts w:ascii="Arial" w:eastAsia="Times New Roman" w:hAnsi="Arial" w:cs="Arial"/>
          <w:sz w:val="24"/>
          <w:szCs w:val="24"/>
        </w:rPr>
        <w:t xml:space="preserve"> Alfa in Late-Onset </w:t>
      </w:r>
      <w:proofErr w:type="spellStart"/>
      <w:r w:rsidRPr="00FA3F9C">
        <w:rPr>
          <w:rFonts w:ascii="Arial" w:eastAsia="Times New Roman" w:hAnsi="Arial" w:cs="Arial"/>
          <w:sz w:val="24"/>
          <w:szCs w:val="24"/>
        </w:rPr>
        <w:t>Pompe’s</w:t>
      </w:r>
      <w:proofErr w:type="spellEnd"/>
      <w:r w:rsidRPr="00FA3F9C">
        <w:rPr>
          <w:rFonts w:ascii="Arial" w:eastAsia="Times New Roman" w:hAnsi="Arial" w:cs="Arial"/>
          <w:sz w:val="24"/>
          <w:szCs w:val="24"/>
        </w:rPr>
        <w:t xml:space="preserve"> Disease, </w:t>
      </w:r>
      <w:r w:rsidRPr="00FA3F9C">
        <w:rPr>
          <w:rFonts w:ascii="Arial" w:eastAsia="Times New Roman" w:hAnsi="Arial" w:cs="Arial"/>
          <w:i/>
          <w:iCs/>
          <w:sz w:val="24"/>
          <w:szCs w:val="24"/>
        </w:rPr>
        <w:t xml:space="preserve">N </w:t>
      </w:r>
      <w:proofErr w:type="spellStart"/>
      <w:r w:rsidRPr="00FA3F9C">
        <w:rPr>
          <w:rFonts w:ascii="Arial" w:eastAsia="Times New Roman" w:hAnsi="Arial" w:cs="Arial"/>
          <w:i/>
          <w:iCs/>
          <w:sz w:val="24"/>
          <w:szCs w:val="24"/>
        </w:rPr>
        <w:t>Engl</w:t>
      </w:r>
      <w:proofErr w:type="spellEnd"/>
      <w:r w:rsidRPr="00FA3F9C">
        <w:rPr>
          <w:rFonts w:ascii="Arial" w:eastAsia="Times New Roman" w:hAnsi="Arial" w:cs="Arial"/>
          <w:i/>
          <w:iCs/>
          <w:sz w:val="24"/>
          <w:szCs w:val="24"/>
        </w:rPr>
        <w:t xml:space="preserve"> J Med</w:t>
      </w:r>
      <w:r w:rsidRPr="00FA3F9C">
        <w:rPr>
          <w:rFonts w:ascii="Arial" w:eastAsia="Times New Roman" w:hAnsi="Arial" w:cs="Arial"/>
          <w:sz w:val="24"/>
          <w:szCs w:val="24"/>
        </w:rPr>
        <w:t xml:space="preserve">, 2010, 362(15):1396-406. </w:t>
      </w:r>
    </w:p>
    <w:p w14:paraId="343EED8C" w14:textId="77777777" w:rsidR="001506C1" w:rsidRPr="00FA3F9C" w:rsidRDefault="001506C1" w:rsidP="00A727A7">
      <w:pPr>
        <w:spacing w:after="0" w:line="240" w:lineRule="auto"/>
        <w:rPr>
          <w:rFonts w:ascii="Arial" w:eastAsia="Times New Roman" w:hAnsi="Arial" w:cs="Arial"/>
          <w:sz w:val="24"/>
          <w:szCs w:val="24"/>
        </w:rPr>
      </w:pPr>
      <w:r w:rsidRPr="00FA3F9C">
        <w:rPr>
          <w:rFonts w:ascii="Arial" w:eastAsia="Times New Roman" w:hAnsi="Arial" w:cs="Arial"/>
          <w:sz w:val="24"/>
          <w:szCs w:val="24"/>
        </w:rPr>
        <w:t xml:space="preserve">4. </w:t>
      </w:r>
      <w:proofErr w:type="spellStart"/>
      <w:r w:rsidRPr="00FA3F9C">
        <w:rPr>
          <w:rFonts w:ascii="Arial" w:eastAsia="Times New Roman" w:hAnsi="Arial" w:cs="Arial"/>
          <w:sz w:val="24"/>
          <w:szCs w:val="24"/>
        </w:rPr>
        <w:t>Kishnani</w:t>
      </w:r>
      <w:proofErr w:type="spellEnd"/>
      <w:r w:rsidRPr="00FA3F9C">
        <w:rPr>
          <w:rFonts w:ascii="Arial" w:eastAsia="Times New Roman" w:hAnsi="Arial" w:cs="Arial"/>
          <w:sz w:val="24"/>
          <w:szCs w:val="24"/>
        </w:rPr>
        <w:t xml:space="preserve"> PS, </w:t>
      </w:r>
      <w:proofErr w:type="spellStart"/>
      <w:r w:rsidRPr="00FA3F9C">
        <w:rPr>
          <w:rFonts w:ascii="Arial" w:eastAsia="Times New Roman" w:hAnsi="Arial" w:cs="Arial"/>
          <w:sz w:val="24"/>
          <w:szCs w:val="24"/>
        </w:rPr>
        <w:t>Corzo</w:t>
      </w:r>
      <w:proofErr w:type="spellEnd"/>
      <w:r w:rsidRPr="00FA3F9C">
        <w:rPr>
          <w:rFonts w:ascii="Arial" w:eastAsia="Times New Roman" w:hAnsi="Arial" w:cs="Arial"/>
          <w:sz w:val="24"/>
          <w:szCs w:val="24"/>
        </w:rPr>
        <w:t xml:space="preserve"> D, Nicolino M, et al, "Recombinant Human Acid [Alpha]-Glucosidase: Major Clinical Benefits in Infantile-Onset </w:t>
      </w:r>
      <w:proofErr w:type="spellStart"/>
      <w:r w:rsidRPr="00FA3F9C">
        <w:rPr>
          <w:rFonts w:ascii="Arial" w:eastAsia="Times New Roman" w:hAnsi="Arial" w:cs="Arial"/>
          <w:sz w:val="24"/>
          <w:szCs w:val="24"/>
        </w:rPr>
        <w:t>Pompe</w:t>
      </w:r>
      <w:proofErr w:type="spellEnd"/>
      <w:r w:rsidRPr="00FA3F9C">
        <w:rPr>
          <w:rFonts w:ascii="Arial" w:eastAsia="Times New Roman" w:hAnsi="Arial" w:cs="Arial"/>
          <w:sz w:val="24"/>
          <w:szCs w:val="24"/>
        </w:rPr>
        <w:t xml:space="preserve"> Disease," </w:t>
      </w:r>
      <w:r w:rsidRPr="00FA3F9C">
        <w:rPr>
          <w:rFonts w:ascii="Arial" w:eastAsia="Times New Roman" w:hAnsi="Arial" w:cs="Arial"/>
          <w:i/>
          <w:iCs/>
          <w:sz w:val="24"/>
          <w:szCs w:val="24"/>
        </w:rPr>
        <w:t>Neurology</w:t>
      </w:r>
      <w:r w:rsidRPr="00FA3F9C">
        <w:rPr>
          <w:rFonts w:ascii="Arial" w:eastAsia="Times New Roman" w:hAnsi="Arial" w:cs="Arial"/>
          <w:sz w:val="24"/>
          <w:szCs w:val="24"/>
        </w:rPr>
        <w:t xml:space="preserve">, 2007, 68(2):99-109. </w:t>
      </w:r>
    </w:p>
    <w:p w14:paraId="6D2BD7E4" w14:textId="77777777" w:rsidR="001506C1" w:rsidRPr="00FA3F9C" w:rsidRDefault="001506C1" w:rsidP="00A727A7">
      <w:pPr>
        <w:spacing w:after="0" w:line="240" w:lineRule="auto"/>
        <w:rPr>
          <w:rFonts w:ascii="Arial" w:eastAsia="Times New Roman" w:hAnsi="Arial" w:cs="Arial"/>
          <w:sz w:val="24"/>
          <w:szCs w:val="24"/>
        </w:rPr>
      </w:pPr>
      <w:r w:rsidRPr="00FA3F9C">
        <w:rPr>
          <w:rFonts w:ascii="Arial" w:eastAsia="Times New Roman" w:hAnsi="Arial" w:cs="Arial"/>
          <w:sz w:val="24"/>
          <w:szCs w:val="24"/>
        </w:rPr>
        <w:t xml:space="preserve">5. </w:t>
      </w:r>
      <w:proofErr w:type="spellStart"/>
      <w:r w:rsidRPr="00FA3F9C">
        <w:rPr>
          <w:rFonts w:ascii="Arial" w:eastAsia="Times New Roman" w:hAnsi="Arial" w:cs="Arial"/>
          <w:sz w:val="24"/>
          <w:szCs w:val="24"/>
        </w:rPr>
        <w:t>Kishnani</w:t>
      </w:r>
      <w:proofErr w:type="spellEnd"/>
      <w:r w:rsidRPr="00FA3F9C">
        <w:rPr>
          <w:rFonts w:ascii="Arial" w:eastAsia="Times New Roman" w:hAnsi="Arial" w:cs="Arial"/>
          <w:sz w:val="24"/>
          <w:szCs w:val="24"/>
        </w:rPr>
        <w:t xml:space="preserve"> PS, Nicolino M, </w:t>
      </w:r>
      <w:proofErr w:type="spellStart"/>
      <w:r w:rsidRPr="00FA3F9C">
        <w:rPr>
          <w:rFonts w:ascii="Arial" w:eastAsia="Times New Roman" w:hAnsi="Arial" w:cs="Arial"/>
          <w:sz w:val="24"/>
          <w:szCs w:val="24"/>
        </w:rPr>
        <w:t>Voit</w:t>
      </w:r>
      <w:proofErr w:type="spellEnd"/>
      <w:r w:rsidRPr="00FA3F9C">
        <w:rPr>
          <w:rFonts w:ascii="Arial" w:eastAsia="Times New Roman" w:hAnsi="Arial" w:cs="Arial"/>
          <w:sz w:val="24"/>
          <w:szCs w:val="24"/>
        </w:rPr>
        <w:t xml:space="preserve"> T, et al, "Chinese Hamster Ovary Cell-Derived Recombinant Human Acid Alpha-Glucosidase in Infantile-Onset </w:t>
      </w:r>
      <w:proofErr w:type="spellStart"/>
      <w:r w:rsidRPr="00FA3F9C">
        <w:rPr>
          <w:rFonts w:ascii="Arial" w:eastAsia="Times New Roman" w:hAnsi="Arial" w:cs="Arial"/>
          <w:sz w:val="24"/>
          <w:szCs w:val="24"/>
        </w:rPr>
        <w:t>Pompe</w:t>
      </w:r>
      <w:proofErr w:type="spellEnd"/>
      <w:r w:rsidRPr="00FA3F9C">
        <w:rPr>
          <w:rFonts w:ascii="Arial" w:eastAsia="Times New Roman" w:hAnsi="Arial" w:cs="Arial"/>
          <w:sz w:val="24"/>
          <w:szCs w:val="24"/>
        </w:rPr>
        <w:t xml:space="preserve"> Disease," </w:t>
      </w:r>
      <w:r w:rsidRPr="00FA3F9C">
        <w:rPr>
          <w:rFonts w:ascii="Arial" w:eastAsia="Times New Roman" w:hAnsi="Arial" w:cs="Arial"/>
          <w:i/>
          <w:iCs/>
          <w:sz w:val="24"/>
          <w:szCs w:val="24"/>
        </w:rPr>
        <w:t xml:space="preserve">J </w:t>
      </w:r>
      <w:proofErr w:type="spellStart"/>
      <w:r w:rsidRPr="00FA3F9C">
        <w:rPr>
          <w:rFonts w:ascii="Arial" w:eastAsia="Times New Roman" w:hAnsi="Arial" w:cs="Arial"/>
          <w:i/>
          <w:iCs/>
          <w:sz w:val="24"/>
          <w:szCs w:val="24"/>
        </w:rPr>
        <w:t>Pediatr</w:t>
      </w:r>
      <w:proofErr w:type="spellEnd"/>
      <w:r w:rsidRPr="00FA3F9C">
        <w:rPr>
          <w:rFonts w:ascii="Arial" w:eastAsia="Times New Roman" w:hAnsi="Arial" w:cs="Arial"/>
          <w:sz w:val="24"/>
          <w:szCs w:val="24"/>
        </w:rPr>
        <w:t xml:space="preserve">, 2006, 149(1):89-97. </w:t>
      </w:r>
    </w:p>
    <w:p w14:paraId="46064355" w14:textId="77777777" w:rsidR="001506C1" w:rsidRPr="00FA3F9C" w:rsidRDefault="001506C1" w:rsidP="00A727A7">
      <w:pPr>
        <w:spacing w:after="0" w:line="240" w:lineRule="auto"/>
        <w:rPr>
          <w:rFonts w:ascii="Arial" w:eastAsia="Times New Roman" w:hAnsi="Arial" w:cs="Arial"/>
          <w:sz w:val="24"/>
          <w:szCs w:val="24"/>
        </w:rPr>
      </w:pPr>
      <w:r w:rsidRPr="00FA3F9C">
        <w:rPr>
          <w:rFonts w:ascii="Arial" w:eastAsia="Times New Roman" w:hAnsi="Arial" w:cs="Arial"/>
          <w:sz w:val="24"/>
          <w:szCs w:val="24"/>
        </w:rPr>
        <w:t xml:space="preserve">6. </w:t>
      </w:r>
      <w:proofErr w:type="spellStart"/>
      <w:r w:rsidRPr="00FA3F9C">
        <w:rPr>
          <w:rFonts w:ascii="Arial" w:eastAsia="Times New Roman" w:hAnsi="Arial" w:cs="Arial"/>
          <w:sz w:val="24"/>
          <w:szCs w:val="24"/>
        </w:rPr>
        <w:t>Schoser</w:t>
      </w:r>
      <w:proofErr w:type="spellEnd"/>
      <w:r w:rsidRPr="00FA3F9C">
        <w:rPr>
          <w:rFonts w:ascii="Arial" w:eastAsia="Times New Roman" w:hAnsi="Arial" w:cs="Arial"/>
          <w:sz w:val="24"/>
          <w:szCs w:val="24"/>
        </w:rPr>
        <w:t xml:space="preserve"> B, Hill V, and </w:t>
      </w:r>
      <w:proofErr w:type="spellStart"/>
      <w:r w:rsidRPr="00FA3F9C">
        <w:rPr>
          <w:rFonts w:ascii="Arial" w:eastAsia="Times New Roman" w:hAnsi="Arial" w:cs="Arial"/>
          <w:sz w:val="24"/>
          <w:szCs w:val="24"/>
        </w:rPr>
        <w:t>Raben</w:t>
      </w:r>
      <w:proofErr w:type="spellEnd"/>
      <w:r w:rsidRPr="00FA3F9C">
        <w:rPr>
          <w:rFonts w:ascii="Arial" w:eastAsia="Times New Roman" w:hAnsi="Arial" w:cs="Arial"/>
          <w:sz w:val="24"/>
          <w:szCs w:val="24"/>
        </w:rPr>
        <w:t xml:space="preserve"> N, "Therapeutic Approaches in Glycogen Storage Disease Type II/</w:t>
      </w:r>
      <w:proofErr w:type="spellStart"/>
      <w:r w:rsidRPr="00FA3F9C">
        <w:rPr>
          <w:rFonts w:ascii="Arial" w:eastAsia="Times New Roman" w:hAnsi="Arial" w:cs="Arial"/>
          <w:sz w:val="24"/>
          <w:szCs w:val="24"/>
        </w:rPr>
        <w:t>Pompe</w:t>
      </w:r>
      <w:proofErr w:type="spellEnd"/>
      <w:r w:rsidRPr="00FA3F9C">
        <w:rPr>
          <w:rFonts w:ascii="Arial" w:eastAsia="Times New Roman" w:hAnsi="Arial" w:cs="Arial"/>
          <w:sz w:val="24"/>
          <w:szCs w:val="24"/>
        </w:rPr>
        <w:t xml:space="preserve"> Disease," </w:t>
      </w:r>
      <w:r w:rsidRPr="00FA3F9C">
        <w:rPr>
          <w:rFonts w:ascii="Arial" w:eastAsia="Times New Roman" w:hAnsi="Arial" w:cs="Arial"/>
          <w:i/>
          <w:iCs/>
          <w:sz w:val="24"/>
          <w:szCs w:val="24"/>
        </w:rPr>
        <w:t>Neurotherapeutics</w:t>
      </w:r>
      <w:r w:rsidRPr="00FA3F9C">
        <w:rPr>
          <w:rFonts w:ascii="Arial" w:eastAsia="Times New Roman" w:hAnsi="Arial" w:cs="Arial"/>
          <w:sz w:val="24"/>
          <w:szCs w:val="24"/>
        </w:rPr>
        <w:t xml:space="preserve">, 2008, 5(4):569-78. </w:t>
      </w:r>
    </w:p>
    <w:p w14:paraId="7951F74E" w14:textId="77777777" w:rsidR="001506C1" w:rsidRPr="00FA3F9C" w:rsidRDefault="001506C1" w:rsidP="00A727A7">
      <w:pPr>
        <w:spacing w:after="0" w:line="240" w:lineRule="auto"/>
        <w:rPr>
          <w:rFonts w:ascii="Arial" w:eastAsia="Times New Roman" w:hAnsi="Arial" w:cs="Arial"/>
          <w:sz w:val="24"/>
          <w:szCs w:val="24"/>
        </w:rPr>
      </w:pPr>
      <w:r w:rsidRPr="00FA3F9C">
        <w:rPr>
          <w:rFonts w:ascii="Arial" w:eastAsia="Times New Roman" w:hAnsi="Arial" w:cs="Arial"/>
          <w:sz w:val="24"/>
          <w:szCs w:val="24"/>
        </w:rPr>
        <w:t xml:space="preserve">7. UpToDate. </w:t>
      </w:r>
      <w:proofErr w:type="spellStart"/>
      <w:r w:rsidRPr="00FA3F9C">
        <w:rPr>
          <w:rFonts w:ascii="Arial" w:eastAsia="Times New Roman" w:hAnsi="Arial" w:cs="Arial"/>
          <w:sz w:val="24"/>
          <w:szCs w:val="24"/>
        </w:rPr>
        <w:t>Pompe</w:t>
      </w:r>
      <w:proofErr w:type="spellEnd"/>
      <w:r w:rsidRPr="00FA3F9C">
        <w:rPr>
          <w:rFonts w:ascii="Arial" w:eastAsia="Times New Roman" w:hAnsi="Arial" w:cs="Arial"/>
          <w:sz w:val="24"/>
          <w:szCs w:val="24"/>
        </w:rPr>
        <w:t xml:space="preserve"> Disease. Accessed 9/24/19.</w:t>
      </w:r>
    </w:p>
    <w:p w14:paraId="58896CF6" w14:textId="77777777" w:rsidR="001506C1" w:rsidRPr="00FA3F9C" w:rsidRDefault="001506C1" w:rsidP="00A727A7">
      <w:pPr>
        <w:spacing w:after="0"/>
        <w:rPr>
          <w:rFonts w:ascii="Arial" w:hAnsi="Arial" w:cs="Arial"/>
          <w:sz w:val="24"/>
          <w:szCs w:val="24"/>
        </w:rPr>
      </w:pPr>
    </w:p>
    <w:p w14:paraId="2B25FC80" w14:textId="77777777" w:rsidR="001506C1" w:rsidRPr="00FA3F9C" w:rsidRDefault="001506C1" w:rsidP="00A727A7">
      <w:pPr>
        <w:spacing w:after="0"/>
        <w:rPr>
          <w:rFonts w:ascii="Arial" w:hAnsi="Arial" w:cs="Arial"/>
          <w:sz w:val="24"/>
          <w:szCs w:val="24"/>
        </w:rPr>
      </w:pPr>
      <w:r w:rsidRPr="00FA3F9C">
        <w:rPr>
          <w:rFonts w:ascii="Arial" w:hAnsi="Arial" w:cs="Arial"/>
          <w:sz w:val="24"/>
          <w:szCs w:val="24"/>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1"/>
        <w:gridCol w:w="8011"/>
        <w:gridCol w:w="1908"/>
      </w:tblGrid>
      <w:tr w:rsidR="001506C1" w:rsidRPr="00FA3F9C" w14:paraId="4E356198" w14:textId="77777777" w:rsidTr="00A727A7">
        <w:tc>
          <w:tcPr>
            <w:tcW w:w="1097" w:type="dxa"/>
          </w:tcPr>
          <w:p w14:paraId="6B5479E3" w14:textId="77777777" w:rsidR="001506C1" w:rsidRPr="00FA3F9C" w:rsidRDefault="001506C1" w:rsidP="00457F7B">
            <w:pPr>
              <w:spacing w:after="0"/>
              <w:rPr>
                <w:rFonts w:ascii="Arial" w:hAnsi="Arial" w:cs="Arial"/>
                <w:sz w:val="24"/>
                <w:szCs w:val="24"/>
              </w:rPr>
            </w:pPr>
            <w:r w:rsidRPr="00FA3F9C">
              <w:rPr>
                <w:rFonts w:ascii="Arial" w:hAnsi="Arial" w:cs="Arial"/>
                <w:sz w:val="24"/>
                <w:szCs w:val="24"/>
              </w:rPr>
              <w:t>Date</w:t>
            </w:r>
          </w:p>
        </w:tc>
        <w:tc>
          <w:tcPr>
            <w:tcW w:w="8011" w:type="dxa"/>
          </w:tcPr>
          <w:p w14:paraId="22D4ECEE" w14:textId="77777777" w:rsidR="001506C1" w:rsidRPr="00FA3F9C" w:rsidRDefault="001506C1" w:rsidP="00457F7B">
            <w:pPr>
              <w:spacing w:after="0"/>
              <w:rPr>
                <w:rFonts w:ascii="Arial" w:hAnsi="Arial" w:cs="Arial"/>
                <w:sz w:val="24"/>
                <w:szCs w:val="24"/>
              </w:rPr>
            </w:pPr>
            <w:r w:rsidRPr="00FA3F9C">
              <w:rPr>
                <w:rFonts w:ascii="Arial" w:hAnsi="Arial" w:cs="Arial"/>
                <w:sz w:val="24"/>
                <w:szCs w:val="24"/>
              </w:rPr>
              <w:t>What changed?</w:t>
            </w:r>
          </w:p>
        </w:tc>
        <w:tc>
          <w:tcPr>
            <w:tcW w:w="1908" w:type="dxa"/>
          </w:tcPr>
          <w:p w14:paraId="5D923CDA" w14:textId="77777777" w:rsidR="001506C1" w:rsidRPr="00FA3F9C" w:rsidRDefault="001506C1" w:rsidP="00457F7B">
            <w:pPr>
              <w:spacing w:after="0"/>
              <w:rPr>
                <w:rFonts w:ascii="Arial" w:hAnsi="Arial" w:cs="Arial"/>
                <w:sz w:val="24"/>
                <w:szCs w:val="24"/>
              </w:rPr>
            </w:pPr>
            <w:r w:rsidRPr="00FA3F9C">
              <w:rPr>
                <w:rFonts w:ascii="Arial" w:hAnsi="Arial" w:cs="Arial"/>
                <w:sz w:val="24"/>
                <w:szCs w:val="24"/>
              </w:rPr>
              <w:t>Pharmacist’s initials</w:t>
            </w:r>
          </w:p>
        </w:tc>
      </w:tr>
      <w:tr w:rsidR="001506C1" w:rsidRPr="00FA3F9C" w14:paraId="23F5C269" w14:textId="77777777" w:rsidTr="00A727A7">
        <w:tc>
          <w:tcPr>
            <w:tcW w:w="1097" w:type="dxa"/>
          </w:tcPr>
          <w:p w14:paraId="70EDDB5C" w14:textId="77777777" w:rsidR="001506C1" w:rsidRPr="00FA3F9C" w:rsidRDefault="001506C1" w:rsidP="00457F7B">
            <w:pPr>
              <w:spacing w:after="0"/>
              <w:rPr>
                <w:rFonts w:ascii="Arial" w:hAnsi="Arial" w:cs="Arial"/>
                <w:sz w:val="24"/>
                <w:szCs w:val="24"/>
              </w:rPr>
            </w:pPr>
            <w:r w:rsidRPr="00FA3F9C">
              <w:rPr>
                <w:rFonts w:ascii="Arial" w:hAnsi="Arial" w:cs="Arial"/>
                <w:sz w:val="24"/>
                <w:szCs w:val="24"/>
              </w:rPr>
              <w:t>8/7/06</w:t>
            </w:r>
          </w:p>
        </w:tc>
        <w:tc>
          <w:tcPr>
            <w:tcW w:w="8011" w:type="dxa"/>
          </w:tcPr>
          <w:p w14:paraId="70053BC6" w14:textId="77777777" w:rsidR="001506C1" w:rsidRPr="00FA3F9C" w:rsidRDefault="001506C1" w:rsidP="00457F7B">
            <w:pPr>
              <w:spacing w:after="0"/>
              <w:rPr>
                <w:rFonts w:ascii="Arial" w:hAnsi="Arial" w:cs="Arial"/>
                <w:sz w:val="24"/>
                <w:szCs w:val="24"/>
              </w:rPr>
            </w:pPr>
            <w:r w:rsidRPr="00FA3F9C">
              <w:rPr>
                <w:rFonts w:ascii="Arial" w:hAnsi="Arial" w:cs="Arial"/>
                <w:sz w:val="24"/>
                <w:szCs w:val="24"/>
              </w:rPr>
              <w:t>T2PA approved &amp; criteria written.</w:t>
            </w:r>
          </w:p>
        </w:tc>
        <w:tc>
          <w:tcPr>
            <w:tcW w:w="1908" w:type="dxa"/>
          </w:tcPr>
          <w:p w14:paraId="13D315BD" w14:textId="410B193C" w:rsidR="001506C1" w:rsidRPr="00FA3F9C" w:rsidRDefault="005C142D" w:rsidP="00457F7B">
            <w:pPr>
              <w:spacing w:after="0"/>
              <w:rPr>
                <w:rFonts w:ascii="Arial" w:hAnsi="Arial" w:cs="Arial"/>
                <w:sz w:val="24"/>
                <w:szCs w:val="24"/>
              </w:rPr>
            </w:pPr>
            <w:r w:rsidRPr="00FA3F9C">
              <w:rPr>
                <w:rFonts w:ascii="Arial" w:hAnsi="Arial" w:cs="Arial"/>
                <w:sz w:val="24"/>
                <w:szCs w:val="24"/>
              </w:rPr>
              <w:t>JJ</w:t>
            </w:r>
          </w:p>
        </w:tc>
      </w:tr>
      <w:tr w:rsidR="001506C1" w:rsidRPr="00FA3F9C" w14:paraId="7CB31195" w14:textId="77777777" w:rsidTr="00A727A7">
        <w:tc>
          <w:tcPr>
            <w:tcW w:w="1097" w:type="dxa"/>
          </w:tcPr>
          <w:p w14:paraId="26300C50" w14:textId="77777777" w:rsidR="001506C1" w:rsidRPr="00FA3F9C" w:rsidRDefault="001506C1" w:rsidP="00457F7B">
            <w:pPr>
              <w:spacing w:after="0"/>
              <w:rPr>
                <w:rFonts w:ascii="Arial" w:hAnsi="Arial" w:cs="Arial"/>
                <w:sz w:val="24"/>
                <w:szCs w:val="24"/>
              </w:rPr>
            </w:pPr>
            <w:r w:rsidRPr="00FA3F9C">
              <w:rPr>
                <w:rFonts w:ascii="Arial" w:hAnsi="Arial" w:cs="Arial"/>
                <w:sz w:val="24"/>
                <w:szCs w:val="24"/>
              </w:rPr>
              <w:lastRenderedPageBreak/>
              <w:t>10/19/11</w:t>
            </w:r>
          </w:p>
        </w:tc>
        <w:tc>
          <w:tcPr>
            <w:tcW w:w="8011" w:type="dxa"/>
          </w:tcPr>
          <w:p w14:paraId="1C552E8F" w14:textId="77777777" w:rsidR="001506C1" w:rsidRPr="00FA3F9C" w:rsidRDefault="001506C1" w:rsidP="00457F7B">
            <w:pPr>
              <w:spacing w:after="0"/>
              <w:rPr>
                <w:rFonts w:ascii="Arial" w:hAnsi="Arial" w:cs="Arial"/>
                <w:sz w:val="24"/>
                <w:szCs w:val="24"/>
              </w:rPr>
            </w:pPr>
            <w:proofErr w:type="spellStart"/>
            <w:r w:rsidRPr="00FA3F9C">
              <w:rPr>
                <w:rFonts w:ascii="Arial" w:hAnsi="Arial" w:cs="Arial"/>
                <w:sz w:val="24"/>
                <w:szCs w:val="24"/>
              </w:rPr>
              <w:t>Lumizyme</w:t>
            </w:r>
            <w:proofErr w:type="spellEnd"/>
            <w:r w:rsidRPr="00FA3F9C">
              <w:rPr>
                <w:rFonts w:ascii="Arial" w:hAnsi="Arial" w:cs="Arial"/>
                <w:sz w:val="24"/>
                <w:szCs w:val="24"/>
              </w:rPr>
              <w:t xml:space="preserve"> added.  Someone (not I) inserted references and age specifications.</w:t>
            </w:r>
          </w:p>
        </w:tc>
        <w:tc>
          <w:tcPr>
            <w:tcW w:w="1908" w:type="dxa"/>
          </w:tcPr>
          <w:p w14:paraId="0AE7E118" w14:textId="77777777" w:rsidR="001506C1" w:rsidRPr="00FA3F9C" w:rsidRDefault="001506C1" w:rsidP="00457F7B">
            <w:pPr>
              <w:spacing w:after="0"/>
              <w:rPr>
                <w:rFonts w:ascii="Arial" w:hAnsi="Arial" w:cs="Arial"/>
                <w:sz w:val="24"/>
                <w:szCs w:val="24"/>
              </w:rPr>
            </w:pPr>
            <w:r w:rsidRPr="00FA3F9C">
              <w:rPr>
                <w:rFonts w:ascii="Arial" w:hAnsi="Arial" w:cs="Arial"/>
                <w:sz w:val="24"/>
                <w:szCs w:val="24"/>
              </w:rPr>
              <w:t>JJ</w:t>
            </w:r>
          </w:p>
        </w:tc>
      </w:tr>
      <w:tr w:rsidR="001506C1" w:rsidRPr="00FA3F9C" w14:paraId="295FDB80" w14:textId="77777777" w:rsidTr="00A727A7">
        <w:tc>
          <w:tcPr>
            <w:tcW w:w="1097" w:type="dxa"/>
          </w:tcPr>
          <w:p w14:paraId="7CB68659" w14:textId="77777777" w:rsidR="001506C1" w:rsidRPr="00FA3F9C" w:rsidRDefault="001506C1" w:rsidP="00457F7B">
            <w:pPr>
              <w:spacing w:after="0"/>
              <w:rPr>
                <w:rFonts w:ascii="Arial" w:hAnsi="Arial" w:cs="Arial"/>
                <w:sz w:val="24"/>
                <w:szCs w:val="24"/>
              </w:rPr>
            </w:pPr>
            <w:r w:rsidRPr="00FA3F9C">
              <w:rPr>
                <w:rFonts w:ascii="Arial" w:hAnsi="Arial" w:cs="Arial"/>
                <w:sz w:val="24"/>
                <w:szCs w:val="24"/>
              </w:rPr>
              <w:t>5/18/12</w:t>
            </w:r>
          </w:p>
        </w:tc>
        <w:tc>
          <w:tcPr>
            <w:tcW w:w="8011" w:type="dxa"/>
          </w:tcPr>
          <w:p w14:paraId="014D030A" w14:textId="77777777" w:rsidR="001506C1" w:rsidRPr="00FA3F9C" w:rsidRDefault="001506C1" w:rsidP="00457F7B">
            <w:pPr>
              <w:spacing w:after="0"/>
              <w:rPr>
                <w:rFonts w:ascii="Arial" w:hAnsi="Arial" w:cs="Arial"/>
                <w:sz w:val="24"/>
                <w:szCs w:val="24"/>
              </w:rPr>
            </w:pPr>
            <w:r w:rsidRPr="00FA3F9C">
              <w:rPr>
                <w:rFonts w:ascii="Arial" w:hAnsi="Arial" w:cs="Arial"/>
                <w:sz w:val="24"/>
                <w:szCs w:val="24"/>
              </w:rPr>
              <w:t xml:space="preserve">Revision </w:t>
            </w:r>
            <w:proofErr w:type="spellStart"/>
            <w:r w:rsidRPr="00FA3F9C">
              <w:rPr>
                <w:rFonts w:ascii="Arial" w:hAnsi="Arial" w:cs="Arial"/>
                <w:sz w:val="24"/>
                <w:szCs w:val="24"/>
              </w:rPr>
              <w:t>hx</w:t>
            </w:r>
            <w:proofErr w:type="spellEnd"/>
            <w:r w:rsidRPr="00FA3F9C">
              <w:rPr>
                <w:rFonts w:ascii="Arial" w:hAnsi="Arial" w:cs="Arial"/>
                <w:sz w:val="24"/>
                <w:szCs w:val="24"/>
              </w:rPr>
              <w:t xml:space="preserve"> table added</w:t>
            </w:r>
          </w:p>
        </w:tc>
        <w:tc>
          <w:tcPr>
            <w:tcW w:w="1908" w:type="dxa"/>
          </w:tcPr>
          <w:p w14:paraId="027A501B" w14:textId="77777777" w:rsidR="001506C1" w:rsidRPr="00FA3F9C" w:rsidRDefault="001506C1" w:rsidP="00457F7B">
            <w:pPr>
              <w:spacing w:after="0"/>
              <w:rPr>
                <w:rFonts w:ascii="Arial" w:hAnsi="Arial" w:cs="Arial"/>
                <w:sz w:val="24"/>
                <w:szCs w:val="24"/>
              </w:rPr>
            </w:pPr>
            <w:r w:rsidRPr="00FA3F9C">
              <w:rPr>
                <w:rFonts w:ascii="Arial" w:hAnsi="Arial" w:cs="Arial"/>
                <w:sz w:val="24"/>
                <w:szCs w:val="24"/>
              </w:rPr>
              <w:t>JJ</w:t>
            </w:r>
          </w:p>
        </w:tc>
      </w:tr>
      <w:tr w:rsidR="001506C1" w:rsidRPr="00FA3F9C" w14:paraId="0DCE9412" w14:textId="77777777" w:rsidTr="00A727A7">
        <w:tc>
          <w:tcPr>
            <w:tcW w:w="1097" w:type="dxa"/>
          </w:tcPr>
          <w:p w14:paraId="5D748B9C" w14:textId="77777777" w:rsidR="001506C1" w:rsidRPr="00FA3F9C" w:rsidRDefault="001506C1" w:rsidP="00457F7B">
            <w:pPr>
              <w:spacing w:after="0"/>
              <w:rPr>
                <w:rFonts w:ascii="Arial" w:hAnsi="Arial" w:cs="Arial"/>
                <w:sz w:val="24"/>
                <w:szCs w:val="24"/>
              </w:rPr>
            </w:pPr>
            <w:r w:rsidRPr="00FA3F9C">
              <w:rPr>
                <w:rFonts w:ascii="Arial" w:hAnsi="Arial" w:cs="Arial"/>
                <w:sz w:val="24"/>
                <w:szCs w:val="24"/>
              </w:rPr>
              <w:t>9/24/19</w:t>
            </w:r>
          </w:p>
        </w:tc>
        <w:tc>
          <w:tcPr>
            <w:tcW w:w="8011" w:type="dxa"/>
          </w:tcPr>
          <w:p w14:paraId="5B1CC383" w14:textId="77777777" w:rsidR="001506C1" w:rsidRPr="00FA3F9C" w:rsidRDefault="001506C1" w:rsidP="00457F7B">
            <w:pPr>
              <w:spacing w:after="0"/>
              <w:rPr>
                <w:rFonts w:ascii="Arial" w:hAnsi="Arial" w:cs="Arial"/>
                <w:sz w:val="24"/>
                <w:szCs w:val="24"/>
              </w:rPr>
            </w:pPr>
            <w:r w:rsidRPr="00FA3F9C">
              <w:rPr>
                <w:rFonts w:ascii="Arial" w:hAnsi="Arial" w:cs="Arial"/>
                <w:sz w:val="24"/>
                <w:szCs w:val="24"/>
              </w:rPr>
              <w:t xml:space="preserve">I revised the criteria and removed </w:t>
            </w:r>
            <w:proofErr w:type="spellStart"/>
            <w:r w:rsidRPr="00FA3F9C">
              <w:rPr>
                <w:rFonts w:ascii="Arial" w:hAnsi="Arial" w:cs="Arial"/>
                <w:sz w:val="24"/>
                <w:szCs w:val="24"/>
              </w:rPr>
              <w:t>Myozyme</w:t>
            </w:r>
            <w:proofErr w:type="spellEnd"/>
            <w:r w:rsidRPr="00FA3F9C">
              <w:rPr>
                <w:rFonts w:ascii="Arial" w:hAnsi="Arial" w:cs="Arial"/>
                <w:sz w:val="24"/>
                <w:szCs w:val="24"/>
              </w:rPr>
              <w:t xml:space="preserve"> since it is no longer available. Added reference 7.</w:t>
            </w:r>
          </w:p>
        </w:tc>
        <w:tc>
          <w:tcPr>
            <w:tcW w:w="1908" w:type="dxa"/>
          </w:tcPr>
          <w:p w14:paraId="79856708" w14:textId="77777777" w:rsidR="001506C1" w:rsidRPr="00FA3F9C" w:rsidRDefault="001506C1" w:rsidP="00457F7B">
            <w:pPr>
              <w:spacing w:after="0"/>
              <w:rPr>
                <w:rFonts w:ascii="Arial" w:hAnsi="Arial" w:cs="Arial"/>
                <w:sz w:val="24"/>
                <w:szCs w:val="24"/>
              </w:rPr>
            </w:pPr>
            <w:r w:rsidRPr="00FA3F9C">
              <w:rPr>
                <w:rFonts w:ascii="Arial" w:hAnsi="Arial" w:cs="Arial"/>
                <w:sz w:val="24"/>
                <w:szCs w:val="24"/>
              </w:rPr>
              <w:t>JJ</w:t>
            </w:r>
          </w:p>
        </w:tc>
      </w:tr>
    </w:tbl>
    <w:p w14:paraId="49133B40" w14:textId="77777777" w:rsidR="001506C1" w:rsidRPr="00FA3F9C" w:rsidRDefault="001506C1" w:rsidP="006F623F">
      <w:pPr>
        <w:spacing w:after="0"/>
        <w:rPr>
          <w:rFonts w:ascii="Arial" w:hAnsi="Arial" w:cs="Arial"/>
          <w:sz w:val="24"/>
          <w:szCs w:val="24"/>
        </w:rPr>
      </w:pPr>
    </w:p>
    <w:p w14:paraId="572B200C" w14:textId="77777777" w:rsidR="005005CA" w:rsidRDefault="005005CA">
      <w:pPr>
        <w:rPr>
          <w:rFonts w:ascii="Arial" w:eastAsia="Times New Roman" w:hAnsi="Arial" w:cs="Arial"/>
          <w:b/>
          <w:sz w:val="28"/>
          <w:szCs w:val="20"/>
        </w:rPr>
      </w:pPr>
      <w:bookmarkStart w:id="9" w:name="_Toc106369711"/>
      <w:r>
        <w:br w:type="page"/>
      </w:r>
    </w:p>
    <w:p w14:paraId="66C0A1C4" w14:textId="7F576784" w:rsidR="00CA4C3C" w:rsidRDefault="001506C1" w:rsidP="00CA4C3C">
      <w:pPr>
        <w:pStyle w:val="Heading2"/>
      </w:pPr>
      <w:r w:rsidRPr="00FA3F9C">
        <w:lastRenderedPageBreak/>
        <w:t>Alirocumab (</w:t>
      </w:r>
      <w:proofErr w:type="spellStart"/>
      <w:r w:rsidRPr="00FA3F9C">
        <w:t>Praluent</w:t>
      </w:r>
      <w:proofErr w:type="spellEnd"/>
      <w:r w:rsidRPr="00FA3F9C">
        <w:t>)</w:t>
      </w:r>
      <w:bookmarkEnd w:id="9"/>
      <w:r w:rsidRPr="00FA3F9C">
        <w:t xml:space="preserve"> </w:t>
      </w:r>
    </w:p>
    <w:p w14:paraId="61F299F3" w14:textId="3E9EA22E" w:rsidR="001506C1" w:rsidRDefault="001506C1" w:rsidP="006F623F">
      <w:pPr>
        <w:spacing w:after="0"/>
        <w:jc w:val="center"/>
        <w:rPr>
          <w:rFonts w:ascii="Arial" w:hAnsi="Arial" w:cs="Arial"/>
          <w:sz w:val="24"/>
          <w:szCs w:val="24"/>
        </w:rPr>
      </w:pPr>
      <w:r w:rsidRPr="00FA3F9C">
        <w:rPr>
          <w:rFonts w:ascii="Arial" w:hAnsi="Arial" w:cs="Arial"/>
          <w:sz w:val="24"/>
          <w:szCs w:val="24"/>
        </w:rPr>
        <w:t>75 and 150 mg/mL</w:t>
      </w:r>
    </w:p>
    <w:p w14:paraId="0BF12ED7" w14:textId="77777777" w:rsidR="00CA4C3C" w:rsidRPr="00FA3F9C" w:rsidRDefault="00CA4C3C" w:rsidP="00CA4C3C">
      <w:pPr>
        <w:spacing w:after="0"/>
        <w:jc w:val="center"/>
        <w:rPr>
          <w:rFonts w:ascii="Arial" w:hAnsi="Arial" w:cs="Arial"/>
          <w:sz w:val="24"/>
          <w:szCs w:val="24"/>
        </w:rPr>
      </w:pPr>
      <w:r w:rsidRPr="00FA3F9C">
        <w:rPr>
          <w:rFonts w:ascii="Arial" w:hAnsi="Arial" w:cs="Arial"/>
          <w:sz w:val="24"/>
          <w:szCs w:val="24"/>
        </w:rPr>
        <w:t>EBRx PA Criteria</w:t>
      </w:r>
    </w:p>
    <w:p w14:paraId="1B2F9844" w14:textId="77777777" w:rsidR="00CA4C3C" w:rsidRPr="00FA3F9C" w:rsidRDefault="00CA4C3C" w:rsidP="006F623F">
      <w:pPr>
        <w:spacing w:after="0"/>
        <w:jc w:val="center"/>
        <w:rPr>
          <w:rFonts w:ascii="Arial" w:hAnsi="Arial" w:cs="Arial"/>
          <w:sz w:val="24"/>
          <w:szCs w:val="24"/>
        </w:rPr>
      </w:pPr>
    </w:p>
    <w:p w14:paraId="3308DBBD" w14:textId="77777777" w:rsidR="001506C1" w:rsidRPr="00FA3F9C" w:rsidRDefault="001506C1" w:rsidP="006F623F">
      <w:pPr>
        <w:spacing w:after="0"/>
        <w:rPr>
          <w:rFonts w:ascii="Arial" w:hAnsi="Arial" w:cs="Arial"/>
          <w:b/>
          <w:sz w:val="24"/>
          <w:szCs w:val="24"/>
          <w:u w:val="single"/>
        </w:rPr>
      </w:pPr>
    </w:p>
    <w:p w14:paraId="75E2C10A" w14:textId="77777777" w:rsidR="001506C1" w:rsidRPr="00FA3F9C" w:rsidRDefault="001506C1" w:rsidP="006F623F">
      <w:pPr>
        <w:spacing w:after="0"/>
        <w:rPr>
          <w:rFonts w:ascii="Arial" w:hAnsi="Arial" w:cs="Arial"/>
          <w:sz w:val="24"/>
          <w:szCs w:val="24"/>
        </w:rPr>
      </w:pPr>
      <w:r w:rsidRPr="00FA3F9C">
        <w:rPr>
          <w:rFonts w:ascii="Arial" w:hAnsi="Arial" w:cs="Arial"/>
          <w:b/>
          <w:sz w:val="24"/>
          <w:szCs w:val="24"/>
          <w:u w:val="single"/>
        </w:rPr>
        <w:t>is FDA-approved:</w:t>
      </w:r>
      <w:r w:rsidRPr="00FA3F9C">
        <w:rPr>
          <w:rFonts w:ascii="Arial" w:hAnsi="Arial" w:cs="Arial"/>
          <w:sz w:val="24"/>
          <w:szCs w:val="24"/>
        </w:rPr>
        <w:t xml:space="preserve"> as adjunct to diet and maximally tolerated statin therapy for </w:t>
      </w:r>
      <w:proofErr w:type="spellStart"/>
      <w:r w:rsidRPr="00FA3F9C">
        <w:rPr>
          <w:rFonts w:ascii="Arial" w:hAnsi="Arial" w:cs="Arial"/>
          <w:sz w:val="24"/>
          <w:szCs w:val="24"/>
        </w:rPr>
        <w:t>tx</w:t>
      </w:r>
      <w:proofErr w:type="spellEnd"/>
      <w:r w:rsidRPr="00FA3F9C">
        <w:rPr>
          <w:rFonts w:ascii="Arial" w:hAnsi="Arial" w:cs="Arial"/>
          <w:sz w:val="24"/>
          <w:szCs w:val="24"/>
        </w:rPr>
        <w:t xml:space="preserve"> of adults requiring additional lowering of LDL-C and with either</w:t>
      </w:r>
    </w:p>
    <w:p w14:paraId="1714A59B" w14:textId="77777777" w:rsidR="001506C1" w:rsidRPr="00FA3F9C" w:rsidRDefault="001506C1" w:rsidP="001506C1">
      <w:pPr>
        <w:pStyle w:val="ListParagraph"/>
        <w:numPr>
          <w:ilvl w:val="0"/>
          <w:numId w:val="14"/>
        </w:numPr>
        <w:spacing w:after="0" w:line="276" w:lineRule="auto"/>
        <w:rPr>
          <w:rFonts w:ascii="Arial" w:hAnsi="Arial" w:cs="Arial"/>
          <w:color w:val="000000" w:themeColor="text1"/>
          <w:sz w:val="24"/>
          <w:szCs w:val="24"/>
          <w:highlight w:val="yellow"/>
        </w:rPr>
      </w:pPr>
      <w:r w:rsidRPr="00FA3F9C">
        <w:rPr>
          <w:rFonts w:ascii="Arial" w:hAnsi="Arial" w:cs="Arial"/>
          <w:color w:val="000000" w:themeColor="text1"/>
          <w:sz w:val="24"/>
          <w:szCs w:val="24"/>
          <w:highlight w:val="yellow"/>
        </w:rPr>
        <w:t>Heterozygous familial hypercholesterolemia (</w:t>
      </w:r>
      <w:proofErr w:type="spellStart"/>
      <w:r w:rsidRPr="00FA3F9C">
        <w:rPr>
          <w:rFonts w:ascii="Arial" w:hAnsi="Arial" w:cs="Arial"/>
          <w:color w:val="000000" w:themeColor="text1"/>
          <w:sz w:val="24"/>
          <w:szCs w:val="24"/>
          <w:highlight w:val="yellow"/>
        </w:rPr>
        <w:t>heFH</w:t>
      </w:r>
      <w:proofErr w:type="spellEnd"/>
      <w:r w:rsidRPr="00FA3F9C">
        <w:rPr>
          <w:rFonts w:ascii="Arial" w:hAnsi="Arial" w:cs="Arial"/>
          <w:color w:val="000000" w:themeColor="text1"/>
          <w:sz w:val="24"/>
          <w:szCs w:val="24"/>
          <w:highlight w:val="yellow"/>
        </w:rPr>
        <w:t>) with or without established CHD or CHD risk equivalents who are not adequately controlled with a maximally tolerated stable daily dose of statin**</w:t>
      </w:r>
    </w:p>
    <w:p w14:paraId="0E21E049" w14:textId="77777777" w:rsidR="001506C1" w:rsidRPr="00FA3F9C" w:rsidRDefault="001506C1" w:rsidP="001506C1">
      <w:pPr>
        <w:pStyle w:val="ListParagraph"/>
        <w:numPr>
          <w:ilvl w:val="0"/>
          <w:numId w:val="14"/>
        </w:numPr>
        <w:spacing w:after="0" w:line="276" w:lineRule="auto"/>
        <w:rPr>
          <w:rFonts w:ascii="Arial" w:hAnsi="Arial" w:cs="Arial"/>
          <w:color w:val="000000" w:themeColor="text1"/>
          <w:sz w:val="24"/>
          <w:szCs w:val="24"/>
        </w:rPr>
      </w:pPr>
      <w:r w:rsidRPr="00FA3F9C">
        <w:rPr>
          <w:rFonts w:ascii="Arial" w:hAnsi="Arial" w:cs="Arial"/>
          <w:color w:val="000000" w:themeColor="text1"/>
          <w:sz w:val="24"/>
          <w:szCs w:val="24"/>
        </w:rPr>
        <w:t xml:space="preserve">Clinical ASCVD, who require additional lowering of LDL-C </w:t>
      </w:r>
    </w:p>
    <w:tbl>
      <w:tblPr>
        <w:tblStyle w:val="TableGrid"/>
        <w:tblW w:w="10785" w:type="dxa"/>
        <w:tblInd w:w="-108" w:type="dxa"/>
        <w:tblLook w:val="04A0" w:firstRow="1" w:lastRow="0" w:firstColumn="1" w:lastColumn="0" w:noHBand="0" w:noVBand="1"/>
      </w:tblPr>
      <w:tblGrid>
        <w:gridCol w:w="10785"/>
      </w:tblGrid>
      <w:tr w:rsidR="001506C1" w:rsidRPr="00FA3F9C" w14:paraId="325E2381" w14:textId="77777777" w:rsidTr="00D56573">
        <w:trPr>
          <w:trHeight w:val="268"/>
        </w:trPr>
        <w:tc>
          <w:tcPr>
            <w:tcW w:w="10785" w:type="dxa"/>
            <w:shd w:val="clear" w:color="auto" w:fill="000000" w:themeFill="text1"/>
          </w:tcPr>
          <w:p w14:paraId="44A6141B" w14:textId="77777777" w:rsidR="001506C1" w:rsidRPr="00FA3F9C" w:rsidRDefault="001506C1" w:rsidP="00514DCF">
            <w:pPr>
              <w:rPr>
                <w:rFonts w:ascii="Arial" w:hAnsi="Arial" w:cs="Arial"/>
                <w:b/>
                <w:sz w:val="24"/>
                <w:szCs w:val="24"/>
                <w:u w:val="single"/>
              </w:rPr>
            </w:pPr>
            <w:r w:rsidRPr="00FA3F9C">
              <w:rPr>
                <w:rFonts w:ascii="Arial" w:hAnsi="Arial" w:cs="Arial"/>
                <w:b/>
                <w:sz w:val="24"/>
                <w:szCs w:val="24"/>
                <w:u w:val="single"/>
              </w:rPr>
              <w:t>Criteria for new users</w:t>
            </w:r>
          </w:p>
        </w:tc>
      </w:tr>
      <w:tr w:rsidR="001506C1" w:rsidRPr="00FA3F9C" w14:paraId="64CEE32C" w14:textId="77777777" w:rsidTr="00D56573">
        <w:trPr>
          <w:trHeight w:val="253"/>
        </w:trPr>
        <w:tc>
          <w:tcPr>
            <w:tcW w:w="10785" w:type="dxa"/>
          </w:tcPr>
          <w:p w14:paraId="6084E194" w14:textId="77777777" w:rsidR="001506C1" w:rsidRPr="00FA3F9C" w:rsidRDefault="001506C1" w:rsidP="001506C1">
            <w:pPr>
              <w:pStyle w:val="ListParagraph"/>
              <w:numPr>
                <w:ilvl w:val="0"/>
                <w:numId w:val="9"/>
              </w:numPr>
              <w:ind w:left="360"/>
              <w:rPr>
                <w:rFonts w:ascii="Arial" w:hAnsi="Arial" w:cs="Arial"/>
                <w:sz w:val="24"/>
                <w:szCs w:val="24"/>
              </w:rPr>
            </w:pPr>
            <w:r w:rsidRPr="00FA3F9C">
              <w:rPr>
                <w:rFonts w:ascii="Arial" w:hAnsi="Arial" w:cs="Arial"/>
                <w:sz w:val="24"/>
                <w:szCs w:val="24"/>
              </w:rPr>
              <w:t>The patient must be age ≥ 40 years AND</w:t>
            </w:r>
          </w:p>
        </w:tc>
      </w:tr>
      <w:tr w:rsidR="001506C1" w:rsidRPr="00FA3F9C" w14:paraId="58A7BA9A" w14:textId="77777777" w:rsidTr="00D56573">
        <w:trPr>
          <w:trHeight w:val="268"/>
        </w:trPr>
        <w:tc>
          <w:tcPr>
            <w:tcW w:w="10785" w:type="dxa"/>
          </w:tcPr>
          <w:p w14:paraId="6FEE0B36" w14:textId="77777777" w:rsidR="001506C1" w:rsidRPr="00FA3F9C" w:rsidRDefault="001506C1" w:rsidP="00514DCF">
            <w:pPr>
              <w:rPr>
                <w:rFonts w:ascii="Arial" w:hAnsi="Arial" w:cs="Arial"/>
                <w:sz w:val="24"/>
                <w:szCs w:val="24"/>
              </w:rPr>
            </w:pPr>
            <w:r w:rsidRPr="00FA3F9C">
              <w:rPr>
                <w:rFonts w:ascii="Arial" w:hAnsi="Arial" w:cs="Arial"/>
                <w:sz w:val="24"/>
                <w:szCs w:val="24"/>
              </w:rPr>
              <w:t>EITHER:</w:t>
            </w:r>
          </w:p>
          <w:p w14:paraId="1A311CF7" w14:textId="77777777" w:rsidR="001506C1" w:rsidRPr="00FA3F9C" w:rsidRDefault="001506C1" w:rsidP="001506C1">
            <w:pPr>
              <w:pStyle w:val="ListParagraph"/>
              <w:numPr>
                <w:ilvl w:val="0"/>
                <w:numId w:val="9"/>
              </w:numPr>
              <w:ind w:left="360"/>
              <w:rPr>
                <w:rFonts w:ascii="Arial" w:hAnsi="Arial" w:cs="Arial"/>
                <w:sz w:val="24"/>
                <w:szCs w:val="24"/>
              </w:rPr>
            </w:pPr>
            <w:r w:rsidRPr="00FA3F9C">
              <w:rPr>
                <w:rFonts w:ascii="Arial" w:hAnsi="Arial" w:cs="Arial"/>
                <w:sz w:val="24"/>
                <w:szCs w:val="24"/>
              </w:rPr>
              <w:t xml:space="preserve">Hospitalized for ACS with MI or unstable angina within the last 12 months </w:t>
            </w:r>
          </w:p>
          <w:p w14:paraId="6930FD6E" w14:textId="77777777" w:rsidR="001506C1" w:rsidRPr="00FA3F9C" w:rsidRDefault="001506C1" w:rsidP="00AF1306">
            <w:pPr>
              <w:rPr>
                <w:rFonts w:ascii="Arial" w:hAnsi="Arial" w:cs="Arial"/>
                <w:sz w:val="24"/>
                <w:szCs w:val="24"/>
              </w:rPr>
            </w:pPr>
          </w:p>
          <w:p w14:paraId="17774CAA" w14:textId="77777777" w:rsidR="001506C1" w:rsidRPr="00FA3F9C" w:rsidRDefault="001506C1" w:rsidP="00AF1306">
            <w:pPr>
              <w:rPr>
                <w:rFonts w:ascii="Arial" w:hAnsi="Arial" w:cs="Arial"/>
                <w:sz w:val="24"/>
                <w:szCs w:val="24"/>
              </w:rPr>
            </w:pPr>
            <w:r w:rsidRPr="00FA3F9C">
              <w:rPr>
                <w:rFonts w:ascii="Arial" w:hAnsi="Arial" w:cs="Arial"/>
                <w:sz w:val="24"/>
                <w:szCs w:val="24"/>
              </w:rPr>
              <w:t xml:space="preserve">OR </w:t>
            </w:r>
          </w:p>
          <w:p w14:paraId="56C4D838" w14:textId="77777777" w:rsidR="001506C1" w:rsidRPr="00FA3F9C" w:rsidRDefault="001506C1" w:rsidP="00AF1306">
            <w:pPr>
              <w:rPr>
                <w:rFonts w:ascii="Arial" w:hAnsi="Arial" w:cs="Arial"/>
                <w:sz w:val="24"/>
                <w:szCs w:val="24"/>
              </w:rPr>
            </w:pPr>
            <w:r w:rsidRPr="00FA3F9C">
              <w:rPr>
                <w:rFonts w:ascii="Arial" w:hAnsi="Arial" w:cs="Arial"/>
                <w:sz w:val="24"/>
                <w:szCs w:val="24"/>
                <w:highlight w:val="yellow"/>
              </w:rPr>
              <w:t xml:space="preserve">have the diagnosis of </w:t>
            </w:r>
            <w:proofErr w:type="spellStart"/>
            <w:r w:rsidRPr="00FA3F9C">
              <w:rPr>
                <w:rFonts w:ascii="Arial" w:hAnsi="Arial" w:cs="Arial"/>
                <w:sz w:val="24"/>
                <w:szCs w:val="24"/>
                <w:highlight w:val="yellow"/>
              </w:rPr>
              <w:t>heFH</w:t>
            </w:r>
            <w:proofErr w:type="spellEnd"/>
            <w:r w:rsidRPr="00FA3F9C">
              <w:rPr>
                <w:rFonts w:ascii="Arial" w:hAnsi="Arial" w:cs="Arial"/>
                <w:sz w:val="24"/>
                <w:szCs w:val="24"/>
                <w:highlight w:val="yellow"/>
              </w:rPr>
              <w:t xml:space="preserve"> made by either genotyping or by clinical criteria</w:t>
            </w:r>
            <w:r w:rsidRPr="00FA3F9C">
              <w:rPr>
                <w:rFonts w:ascii="Arial" w:hAnsi="Arial" w:cs="Arial"/>
                <w:sz w:val="24"/>
                <w:szCs w:val="24"/>
                <w:highlight w:val="yellow"/>
                <w:vertAlign w:val="superscript"/>
              </w:rPr>
              <w:sym w:font="Symbol" w:char="F066"/>
            </w:r>
          </w:p>
        </w:tc>
      </w:tr>
      <w:tr w:rsidR="001506C1" w:rsidRPr="00FA3F9C" w14:paraId="054EB254" w14:textId="77777777" w:rsidTr="00D56573">
        <w:trPr>
          <w:trHeight w:val="268"/>
        </w:trPr>
        <w:tc>
          <w:tcPr>
            <w:tcW w:w="10785" w:type="dxa"/>
          </w:tcPr>
          <w:p w14:paraId="35AE931E" w14:textId="77777777" w:rsidR="001506C1" w:rsidRPr="00FA3F9C" w:rsidRDefault="001506C1" w:rsidP="00514DCF">
            <w:pPr>
              <w:rPr>
                <w:rFonts w:ascii="Arial" w:hAnsi="Arial" w:cs="Arial"/>
                <w:sz w:val="24"/>
                <w:szCs w:val="24"/>
              </w:rPr>
            </w:pPr>
            <w:r w:rsidRPr="00FA3F9C">
              <w:rPr>
                <w:rFonts w:ascii="Arial" w:hAnsi="Arial" w:cs="Arial"/>
                <w:sz w:val="24"/>
                <w:szCs w:val="24"/>
              </w:rPr>
              <w:t>AND</w:t>
            </w:r>
          </w:p>
        </w:tc>
      </w:tr>
      <w:tr w:rsidR="001506C1" w:rsidRPr="00FA3F9C" w14:paraId="47FE96D7" w14:textId="77777777" w:rsidTr="00D56573">
        <w:trPr>
          <w:trHeight w:val="665"/>
        </w:trPr>
        <w:tc>
          <w:tcPr>
            <w:tcW w:w="10785" w:type="dxa"/>
          </w:tcPr>
          <w:p w14:paraId="371BFE7B" w14:textId="77777777" w:rsidR="001506C1" w:rsidRPr="00FA3F9C" w:rsidRDefault="001506C1" w:rsidP="001506C1">
            <w:pPr>
              <w:pStyle w:val="ListParagraph"/>
              <w:numPr>
                <w:ilvl w:val="0"/>
                <w:numId w:val="9"/>
              </w:numPr>
              <w:ind w:left="360"/>
              <w:rPr>
                <w:rFonts w:ascii="Arial" w:hAnsi="Arial" w:cs="Arial"/>
                <w:sz w:val="24"/>
                <w:szCs w:val="24"/>
              </w:rPr>
            </w:pPr>
            <w:r w:rsidRPr="00FA3F9C">
              <w:rPr>
                <w:rFonts w:ascii="Arial" w:hAnsi="Arial" w:cs="Arial"/>
                <w:sz w:val="24"/>
                <w:szCs w:val="24"/>
              </w:rPr>
              <w:t>The patient must be on maximally tolerated dose of high intensity statin (**atorvastatin 40-80 mg or rosuvastatin 20-40 mg or simvastatin 80mg if already on this for &gt;1y) for 3 months OR is statin intolerant based off the below supplement on statin intolerance AND</w:t>
            </w:r>
          </w:p>
        </w:tc>
      </w:tr>
      <w:tr w:rsidR="001506C1" w:rsidRPr="00FA3F9C" w14:paraId="106D4BF4" w14:textId="77777777" w:rsidTr="00D56573">
        <w:trPr>
          <w:trHeight w:val="350"/>
        </w:trPr>
        <w:tc>
          <w:tcPr>
            <w:tcW w:w="10785" w:type="dxa"/>
          </w:tcPr>
          <w:p w14:paraId="0CED8E00" w14:textId="77777777" w:rsidR="001506C1" w:rsidRPr="00FA3F9C" w:rsidRDefault="001506C1" w:rsidP="001506C1">
            <w:pPr>
              <w:pStyle w:val="ListParagraph"/>
              <w:numPr>
                <w:ilvl w:val="0"/>
                <w:numId w:val="9"/>
              </w:numPr>
              <w:ind w:left="360"/>
              <w:rPr>
                <w:rFonts w:ascii="Arial" w:hAnsi="Arial" w:cs="Arial"/>
                <w:sz w:val="24"/>
                <w:szCs w:val="24"/>
              </w:rPr>
            </w:pPr>
            <w:r w:rsidRPr="00FA3F9C">
              <w:rPr>
                <w:rFonts w:ascii="Arial" w:hAnsi="Arial" w:cs="Arial"/>
                <w:sz w:val="24"/>
                <w:szCs w:val="24"/>
              </w:rPr>
              <w:t>The patient must have LDL ≥ 100 mg/dL despite the patient being on high intensity statin or intolerant to statin therapy</w:t>
            </w:r>
          </w:p>
        </w:tc>
      </w:tr>
      <w:tr w:rsidR="001506C1" w:rsidRPr="00FA3F9C" w14:paraId="3919247A" w14:textId="77777777" w:rsidTr="00D56573">
        <w:trPr>
          <w:trHeight w:val="440"/>
        </w:trPr>
        <w:tc>
          <w:tcPr>
            <w:tcW w:w="10785" w:type="dxa"/>
            <w:tcBorders>
              <w:bottom w:val="single" w:sz="4" w:space="0" w:color="auto"/>
            </w:tcBorders>
          </w:tcPr>
          <w:p w14:paraId="4C077AB9" w14:textId="77777777" w:rsidR="001506C1" w:rsidRPr="00FA3F9C" w:rsidRDefault="001506C1" w:rsidP="00514DCF">
            <w:pPr>
              <w:rPr>
                <w:rFonts w:ascii="Arial" w:hAnsi="Arial" w:cs="Arial"/>
                <w:sz w:val="24"/>
                <w:szCs w:val="24"/>
              </w:rPr>
            </w:pPr>
            <w:r w:rsidRPr="00FA3F9C">
              <w:rPr>
                <w:rFonts w:ascii="Arial" w:hAnsi="Arial" w:cs="Arial"/>
                <w:sz w:val="24"/>
                <w:szCs w:val="24"/>
              </w:rPr>
              <w:t>If the patient meets criteria 1-4 above, approve alirocumab 75 mg q2wks for 1 year.</w:t>
            </w:r>
          </w:p>
          <w:p w14:paraId="55FBF60E" w14:textId="77777777" w:rsidR="001506C1" w:rsidRPr="00FA3F9C" w:rsidRDefault="001506C1" w:rsidP="001506C1">
            <w:pPr>
              <w:pStyle w:val="ListParagraph"/>
              <w:numPr>
                <w:ilvl w:val="0"/>
                <w:numId w:val="10"/>
              </w:numPr>
              <w:rPr>
                <w:rFonts w:ascii="Arial" w:hAnsi="Arial" w:cs="Arial"/>
                <w:sz w:val="24"/>
                <w:szCs w:val="24"/>
              </w:rPr>
            </w:pPr>
            <w:r w:rsidRPr="00FA3F9C">
              <w:rPr>
                <w:rFonts w:ascii="Arial" w:hAnsi="Arial" w:cs="Arial"/>
                <w:sz w:val="24"/>
                <w:szCs w:val="24"/>
              </w:rPr>
              <w:t xml:space="preserve">Provider may request alirocumab 150 mg q2wks. </w:t>
            </w:r>
          </w:p>
          <w:p w14:paraId="3E1B51AD" w14:textId="77777777" w:rsidR="001506C1" w:rsidRPr="00FA3F9C" w:rsidRDefault="001506C1" w:rsidP="001506C1">
            <w:pPr>
              <w:pStyle w:val="ListParagraph"/>
              <w:numPr>
                <w:ilvl w:val="0"/>
                <w:numId w:val="10"/>
              </w:numPr>
              <w:rPr>
                <w:rFonts w:ascii="Arial" w:hAnsi="Arial" w:cs="Arial"/>
                <w:sz w:val="24"/>
                <w:szCs w:val="24"/>
              </w:rPr>
            </w:pPr>
            <w:r w:rsidRPr="00FA3F9C">
              <w:rPr>
                <w:rFonts w:ascii="Arial" w:hAnsi="Arial" w:cs="Arial"/>
                <w:sz w:val="24"/>
                <w:szCs w:val="24"/>
              </w:rPr>
              <w:t>Approval of alirocumab 150 mg q2wks is contingent on the patient having LDL ≥ 100 mg/dL despite alirocumab 75 mg q2wks.</w:t>
            </w:r>
          </w:p>
        </w:tc>
      </w:tr>
      <w:tr w:rsidR="001506C1" w:rsidRPr="00FA3F9C" w14:paraId="54411A41" w14:textId="77777777" w:rsidTr="00D56573">
        <w:trPr>
          <w:trHeight w:val="278"/>
        </w:trPr>
        <w:tc>
          <w:tcPr>
            <w:tcW w:w="10785" w:type="dxa"/>
            <w:shd w:val="clear" w:color="auto" w:fill="000000" w:themeFill="text1"/>
          </w:tcPr>
          <w:p w14:paraId="149932DE" w14:textId="77777777" w:rsidR="001506C1" w:rsidRPr="00FA3F9C" w:rsidRDefault="001506C1" w:rsidP="00514DCF">
            <w:pPr>
              <w:rPr>
                <w:rFonts w:ascii="Arial" w:hAnsi="Arial" w:cs="Arial"/>
                <w:b/>
                <w:sz w:val="24"/>
                <w:szCs w:val="24"/>
                <w:u w:val="single"/>
              </w:rPr>
            </w:pPr>
            <w:r w:rsidRPr="00FA3F9C">
              <w:rPr>
                <w:rFonts w:ascii="Arial" w:hAnsi="Arial" w:cs="Arial"/>
                <w:b/>
                <w:sz w:val="24"/>
                <w:szCs w:val="24"/>
                <w:u w:val="single"/>
              </w:rPr>
              <w:t>Continuation Criteria</w:t>
            </w:r>
          </w:p>
        </w:tc>
      </w:tr>
      <w:tr w:rsidR="001506C1" w:rsidRPr="00FA3F9C" w14:paraId="6E28897A" w14:textId="77777777" w:rsidTr="00AF1306">
        <w:trPr>
          <w:trHeight w:val="278"/>
        </w:trPr>
        <w:tc>
          <w:tcPr>
            <w:tcW w:w="10785" w:type="dxa"/>
            <w:tcBorders>
              <w:bottom w:val="single" w:sz="4" w:space="0" w:color="auto"/>
            </w:tcBorders>
          </w:tcPr>
          <w:p w14:paraId="609924E0" w14:textId="77777777" w:rsidR="001506C1" w:rsidRPr="00FA3F9C" w:rsidRDefault="001506C1" w:rsidP="001506C1">
            <w:pPr>
              <w:pStyle w:val="ListParagraph"/>
              <w:numPr>
                <w:ilvl w:val="0"/>
                <w:numId w:val="11"/>
              </w:numPr>
              <w:rPr>
                <w:rFonts w:ascii="Arial" w:hAnsi="Arial" w:cs="Arial"/>
                <w:sz w:val="24"/>
                <w:szCs w:val="24"/>
                <w:u w:val="single"/>
              </w:rPr>
            </w:pPr>
            <w:r w:rsidRPr="00FA3F9C">
              <w:rPr>
                <w:rFonts w:ascii="Arial" w:hAnsi="Arial" w:cs="Arial"/>
                <w:sz w:val="24"/>
                <w:szCs w:val="24"/>
              </w:rPr>
              <w:t>Approve alirocumab 75-150 mg q2weeks for 1 year if the patient has remained on high intensity statin during alirocumab treatment or has clinical documentation of intolerance based off supplement below.</w:t>
            </w:r>
          </w:p>
        </w:tc>
      </w:tr>
      <w:tr w:rsidR="001506C1" w:rsidRPr="00FA3F9C" w14:paraId="3A43B527" w14:textId="77777777" w:rsidTr="00AF1306">
        <w:tc>
          <w:tcPr>
            <w:tcW w:w="10785" w:type="dxa"/>
            <w:shd w:val="clear" w:color="auto" w:fill="000000" w:themeFill="text1"/>
          </w:tcPr>
          <w:p w14:paraId="242F00F0" w14:textId="77777777" w:rsidR="001506C1" w:rsidRPr="00FA3F9C" w:rsidRDefault="001506C1" w:rsidP="00AF1306">
            <w:pPr>
              <w:rPr>
                <w:rFonts w:ascii="Arial" w:hAnsi="Arial" w:cs="Arial"/>
                <w:sz w:val="24"/>
                <w:szCs w:val="24"/>
                <w:vertAlign w:val="superscript"/>
              </w:rPr>
            </w:pPr>
            <w:r w:rsidRPr="00FA3F9C">
              <w:rPr>
                <w:rFonts w:ascii="Arial" w:hAnsi="Arial" w:cs="Arial"/>
                <w:sz w:val="24"/>
                <w:szCs w:val="24"/>
              </w:rPr>
              <w:lastRenderedPageBreak/>
              <w:t>Dosing: 75 mg q2wks or 300 mg q4wks. May increase to max of 150 mg q2wks. (q2wks were used in clinical trials)</w:t>
            </w:r>
          </w:p>
        </w:tc>
      </w:tr>
      <w:tr w:rsidR="001506C1" w:rsidRPr="00FA3F9C" w14:paraId="7F4CF70A" w14:textId="77777777" w:rsidTr="00D56573">
        <w:tc>
          <w:tcPr>
            <w:tcW w:w="10785" w:type="dxa"/>
          </w:tcPr>
          <w:p w14:paraId="52897B53" w14:textId="77777777" w:rsidR="001506C1" w:rsidRPr="00FA3F9C" w:rsidRDefault="001506C1" w:rsidP="00AF1306">
            <w:pPr>
              <w:rPr>
                <w:rFonts w:ascii="Arial" w:hAnsi="Arial" w:cs="Arial"/>
                <w:color w:val="000000" w:themeColor="text1"/>
                <w:sz w:val="24"/>
                <w:szCs w:val="24"/>
              </w:rPr>
            </w:pPr>
            <w:r w:rsidRPr="00FA3F9C">
              <w:rPr>
                <w:rFonts w:ascii="Arial" w:hAnsi="Arial" w:cs="Arial"/>
                <w:sz w:val="24"/>
                <w:szCs w:val="24"/>
                <w:vertAlign w:val="superscript"/>
              </w:rPr>
              <w:sym w:font="Symbol" w:char="F066"/>
            </w:r>
            <w:proofErr w:type="spellStart"/>
            <w:r w:rsidRPr="00FA3F9C">
              <w:rPr>
                <w:rFonts w:ascii="Arial" w:hAnsi="Arial" w:cs="Arial"/>
                <w:sz w:val="24"/>
                <w:szCs w:val="24"/>
              </w:rPr>
              <w:t>HeFH</w:t>
            </w:r>
            <w:proofErr w:type="spellEnd"/>
            <w:r w:rsidRPr="00FA3F9C">
              <w:rPr>
                <w:rFonts w:ascii="Arial" w:hAnsi="Arial" w:cs="Arial"/>
                <w:sz w:val="24"/>
                <w:szCs w:val="24"/>
              </w:rPr>
              <w:t xml:space="preserve"> clinical criteria may be based on either the WHO criteria/</w:t>
            </w:r>
            <w:proofErr w:type="spellStart"/>
            <w:r w:rsidRPr="00FA3F9C">
              <w:rPr>
                <w:rFonts w:ascii="Arial" w:hAnsi="Arial" w:cs="Arial"/>
                <w:sz w:val="24"/>
                <w:szCs w:val="24"/>
              </w:rPr>
              <w:t>dutch</w:t>
            </w:r>
            <w:proofErr w:type="spellEnd"/>
            <w:r w:rsidRPr="00FA3F9C">
              <w:rPr>
                <w:rFonts w:ascii="Arial" w:hAnsi="Arial" w:cs="Arial"/>
                <w:sz w:val="24"/>
                <w:szCs w:val="24"/>
              </w:rPr>
              <w:t xml:space="preserve"> Lipid Clinical Network criteria with a score of &gt;8 </w:t>
            </w:r>
            <w:proofErr w:type="gramStart"/>
            <w:r w:rsidRPr="00FA3F9C">
              <w:rPr>
                <w:rFonts w:ascii="Arial" w:hAnsi="Arial" w:cs="Arial"/>
                <w:sz w:val="24"/>
                <w:szCs w:val="24"/>
              </w:rPr>
              <w:t>points</w:t>
            </w:r>
            <w:proofErr w:type="gramEnd"/>
            <w:r w:rsidRPr="00FA3F9C">
              <w:rPr>
                <w:rFonts w:ascii="Arial" w:hAnsi="Arial" w:cs="Arial"/>
                <w:sz w:val="24"/>
                <w:szCs w:val="24"/>
              </w:rPr>
              <w:t xml:space="preserve"> or the Simon Broome register diagnostic criteria with a criterion for definite FH.  (See Appendices A &amp;/or B)</w:t>
            </w:r>
          </w:p>
        </w:tc>
      </w:tr>
      <w:tr w:rsidR="001506C1" w:rsidRPr="00FA3F9C" w14:paraId="06CB6AC8" w14:textId="77777777" w:rsidTr="00D56573">
        <w:tc>
          <w:tcPr>
            <w:tcW w:w="10785" w:type="dxa"/>
            <w:tcBorders>
              <w:bottom w:val="single" w:sz="4" w:space="0" w:color="auto"/>
            </w:tcBorders>
          </w:tcPr>
          <w:p w14:paraId="46AE3D4F" w14:textId="77777777" w:rsidR="001506C1" w:rsidRPr="00FA3F9C" w:rsidRDefault="001506C1" w:rsidP="00AF1306">
            <w:pPr>
              <w:rPr>
                <w:rFonts w:ascii="Arial" w:hAnsi="Arial" w:cs="Arial"/>
                <w:color w:val="000000" w:themeColor="text1"/>
                <w:sz w:val="24"/>
                <w:szCs w:val="24"/>
              </w:rPr>
            </w:pPr>
            <w:r w:rsidRPr="00FA3F9C">
              <w:rPr>
                <w:rFonts w:ascii="Arial" w:hAnsi="Arial" w:cs="Arial"/>
                <w:color w:val="000000" w:themeColor="text1"/>
                <w:sz w:val="24"/>
                <w:szCs w:val="24"/>
              </w:rPr>
              <w:t xml:space="preserve">CHD risk equivalents </w:t>
            </w:r>
            <w:r w:rsidRPr="00FA3F9C">
              <w:rPr>
                <w:rFonts w:ascii="Arial" w:hAnsi="Arial" w:cs="Arial"/>
                <w:b/>
                <w:color w:val="000000" w:themeColor="text1"/>
                <w:sz w:val="24"/>
                <w:szCs w:val="24"/>
                <w:u w:val="single"/>
              </w:rPr>
              <w:t>include 4 or more of the following criteria</w:t>
            </w:r>
            <w:r w:rsidRPr="00FA3F9C">
              <w:rPr>
                <w:rFonts w:ascii="Arial" w:hAnsi="Arial" w:cs="Arial"/>
                <w:color w:val="000000" w:themeColor="text1"/>
                <w:sz w:val="24"/>
                <w:szCs w:val="24"/>
              </w:rPr>
              <w:t>:</w:t>
            </w:r>
          </w:p>
          <w:p w14:paraId="2572D126" w14:textId="77777777" w:rsidR="001506C1" w:rsidRPr="00FA3F9C" w:rsidRDefault="001506C1" w:rsidP="001506C1">
            <w:pPr>
              <w:pStyle w:val="ListParagraph"/>
              <w:numPr>
                <w:ilvl w:val="0"/>
                <w:numId w:val="15"/>
              </w:numPr>
              <w:rPr>
                <w:rFonts w:ascii="Arial" w:hAnsi="Arial" w:cs="Arial"/>
                <w:color w:val="000000" w:themeColor="text1"/>
                <w:sz w:val="24"/>
                <w:szCs w:val="24"/>
              </w:rPr>
            </w:pPr>
            <w:r w:rsidRPr="00FA3F9C">
              <w:rPr>
                <w:rFonts w:ascii="Arial" w:hAnsi="Arial" w:cs="Arial"/>
                <w:color w:val="000000" w:themeColor="text1"/>
                <w:sz w:val="24"/>
                <w:szCs w:val="24"/>
              </w:rPr>
              <w:t>Documented peripheral arterial disease</w:t>
            </w:r>
          </w:p>
          <w:p w14:paraId="40CE634A" w14:textId="77777777" w:rsidR="001506C1" w:rsidRPr="00FA3F9C" w:rsidRDefault="001506C1" w:rsidP="001506C1">
            <w:pPr>
              <w:pStyle w:val="ListParagraph"/>
              <w:numPr>
                <w:ilvl w:val="1"/>
                <w:numId w:val="15"/>
              </w:numPr>
              <w:rPr>
                <w:rFonts w:ascii="Arial" w:hAnsi="Arial" w:cs="Arial"/>
                <w:sz w:val="24"/>
                <w:szCs w:val="24"/>
              </w:rPr>
            </w:pPr>
            <w:r w:rsidRPr="00FA3F9C">
              <w:rPr>
                <w:rFonts w:ascii="Arial" w:hAnsi="Arial" w:cs="Arial"/>
                <w:color w:val="000000" w:themeColor="text1"/>
                <w:sz w:val="24"/>
                <w:szCs w:val="24"/>
              </w:rPr>
              <w:t xml:space="preserve">Current intermittent claudication (muscle </w:t>
            </w:r>
            <w:r w:rsidRPr="00FA3F9C">
              <w:rPr>
                <w:rFonts w:ascii="Arial" w:hAnsi="Arial" w:cs="Arial"/>
                <w:sz w:val="24"/>
                <w:szCs w:val="24"/>
              </w:rPr>
              <w:t xml:space="preserve">discomfort in the lower limb that is both reproducible and produced by exercise and relieved by rest within 10 minutes) of presumed atherosclerotic origin TOGETHER WITH ankle-brachial index ≤ 0.90 in either leg at rest, OR </w:t>
            </w:r>
          </w:p>
          <w:p w14:paraId="48C3E879" w14:textId="77777777" w:rsidR="001506C1" w:rsidRPr="00FA3F9C" w:rsidRDefault="001506C1" w:rsidP="001506C1">
            <w:pPr>
              <w:pStyle w:val="ListParagraph"/>
              <w:numPr>
                <w:ilvl w:val="1"/>
                <w:numId w:val="15"/>
              </w:numPr>
              <w:rPr>
                <w:rFonts w:ascii="Arial" w:hAnsi="Arial" w:cs="Arial"/>
                <w:sz w:val="24"/>
                <w:szCs w:val="24"/>
              </w:rPr>
            </w:pPr>
            <w:r w:rsidRPr="00FA3F9C">
              <w:rPr>
                <w:rFonts w:ascii="Arial" w:hAnsi="Arial" w:cs="Arial"/>
                <w:sz w:val="24"/>
                <w:szCs w:val="24"/>
              </w:rPr>
              <w:t xml:space="preserve">History of intermittent claudication (muscle discomfort in the lower limb that is both reproducible and produced by exercise and relieved by rest within 10 minutes) TOGETHER WITH endovascular procedure or surgical intervention in one or both legs because of atherosclerotic disease OR </w:t>
            </w:r>
          </w:p>
          <w:p w14:paraId="1EBA3497" w14:textId="77777777" w:rsidR="001506C1" w:rsidRPr="00FA3F9C" w:rsidRDefault="001506C1" w:rsidP="001506C1">
            <w:pPr>
              <w:pStyle w:val="ListParagraph"/>
              <w:numPr>
                <w:ilvl w:val="1"/>
                <w:numId w:val="15"/>
              </w:numPr>
              <w:rPr>
                <w:rFonts w:ascii="Arial" w:hAnsi="Arial" w:cs="Arial"/>
                <w:sz w:val="24"/>
                <w:szCs w:val="24"/>
              </w:rPr>
            </w:pPr>
            <w:r w:rsidRPr="00FA3F9C">
              <w:rPr>
                <w:rFonts w:ascii="Arial" w:hAnsi="Arial" w:cs="Arial"/>
                <w:sz w:val="24"/>
                <w:szCs w:val="24"/>
              </w:rPr>
              <w:t xml:space="preserve">History of critical limb ischemia TOGETHER WITH thrombolysis, endovascular procedure or surgical intervention in one or both legs because of atherosclerotic disease. </w:t>
            </w:r>
          </w:p>
          <w:p w14:paraId="68803508" w14:textId="77777777" w:rsidR="001506C1" w:rsidRPr="00FA3F9C" w:rsidRDefault="001506C1" w:rsidP="001506C1">
            <w:pPr>
              <w:pStyle w:val="ListParagraph"/>
              <w:numPr>
                <w:ilvl w:val="0"/>
                <w:numId w:val="15"/>
              </w:numPr>
              <w:rPr>
                <w:rFonts w:ascii="Arial" w:hAnsi="Arial" w:cs="Arial"/>
                <w:color w:val="000000" w:themeColor="text1"/>
                <w:sz w:val="24"/>
                <w:szCs w:val="24"/>
              </w:rPr>
            </w:pPr>
            <w:r w:rsidRPr="00FA3F9C">
              <w:rPr>
                <w:rFonts w:ascii="Arial" w:hAnsi="Arial" w:cs="Arial"/>
                <w:color w:val="000000" w:themeColor="text1"/>
                <w:sz w:val="24"/>
                <w:szCs w:val="24"/>
              </w:rPr>
              <w:t>Documented previous ischemic stroke with a focal ischemic neurological deficit that persisted more than 24 hours, considered as being of atherothrombotic origin.  CT or MRI must have ruled out hemorrhage and non-ischemic neurological disease.</w:t>
            </w:r>
          </w:p>
          <w:p w14:paraId="197F6C3E" w14:textId="77777777" w:rsidR="001506C1" w:rsidRPr="00FA3F9C" w:rsidRDefault="001506C1" w:rsidP="001506C1">
            <w:pPr>
              <w:pStyle w:val="ListParagraph"/>
              <w:numPr>
                <w:ilvl w:val="0"/>
                <w:numId w:val="15"/>
              </w:numPr>
              <w:rPr>
                <w:rFonts w:ascii="Arial" w:hAnsi="Arial" w:cs="Arial"/>
                <w:color w:val="000000" w:themeColor="text1"/>
                <w:sz w:val="24"/>
                <w:szCs w:val="24"/>
              </w:rPr>
            </w:pPr>
            <w:r w:rsidRPr="00FA3F9C">
              <w:rPr>
                <w:rFonts w:ascii="Arial" w:hAnsi="Arial" w:cs="Arial"/>
                <w:color w:val="000000" w:themeColor="text1"/>
                <w:sz w:val="24"/>
                <w:szCs w:val="24"/>
              </w:rPr>
              <w:t>Documented moderate chronic kidney disease, estimated GFR &gt;30mL/min/1.73 m</w:t>
            </w:r>
            <w:r w:rsidRPr="00FA3F9C">
              <w:rPr>
                <w:rFonts w:ascii="Arial" w:hAnsi="Arial" w:cs="Arial"/>
                <w:color w:val="000000" w:themeColor="text1"/>
                <w:sz w:val="24"/>
                <w:szCs w:val="24"/>
                <w:vertAlign w:val="superscript"/>
              </w:rPr>
              <w:t>2</w:t>
            </w:r>
            <w:r w:rsidRPr="00FA3F9C">
              <w:rPr>
                <w:rFonts w:ascii="Arial" w:hAnsi="Arial" w:cs="Arial"/>
                <w:color w:val="000000" w:themeColor="text1"/>
                <w:sz w:val="24"/>
                <w:szCs w:val="24"/>
              </w:rPr>
              <w:t xml:space="preserve"> or &lt;60, for at least 3 months</w:t>
            </w:r>
          </w:p>
          <w:p w14:paraId="4868556C" w14:textId="77777777" w:rsidR="001506C1" w:rsidRPr="00FA3F9C" w:rsidRDefault="001506C1" w:rsidP="001506C1">
            <w:pPr>
              <w:pStyle w:val="ListParagraph"/>
              <w:numPr>
                <w:ilvl w:val="0"/>
                <w:numId w:val="15"/>
              </w:numPr>
              <w:rPr>
                <w:rFonts w:ascii="Arial" w:hAnsi="Arial" w:cs="Arial"/>
                <w:color w:val="000000" w:themeColor="text1"/>
                <w:sz w:val="24"/>
                <w:szCs w:val="24"/>
              </w:rPr>
            </w:pPr>
            <w:r w:rsidRPr="00FA3F9C">
              <w:rPr>
                <w:rFonts w:ascii="Arial" w:hAnsi="Arial" w:cs="Arial"/>
                <w:color w:val="000000" w:themeColor="text1"/>
                <w:sz w:val="24"/>
                <w:szCs w:val="24"/>
              </w:rPr>
              <w:t>Known history of diabetes mellitus AND 2 or more additional risk factors</w:t>
            </w:r>
          </w:p>
          <w:p w14:paraId="65A1F456" w14:textId="77777777" w:rsidR="001506C1" w:rsidRPr="00FA3F9C" w:rsidRDefault="001506C1" w:rsidP="001506C1">
            <w:pPr>
              <w:pStyle w:val="ListParagraph"/>
              <w:numPr>
                <w:ilvl w:val="1"/>
                <w:numId w:val="15"/>
              </w:numPr>
              <w:rPr>
                <w:rFonts w:ascii="Arial" w:hAnsi="Arial" w:cs="Arial"/>
                <w:color w:val="000000" w:themeColor="text1"/>
                <w:sz w:val="24"/>
                <w:szCs w:val="24"/>
              </w:rPr>
            </w:pPr>
            <w:r w:rsidRPr="00FA3F9C">
              <w:rPr>
                <w:rFonts w:ascii="Arial" w:hAnsi="Arial" w:cs="Arial"/>
                <w:color w:val="000000" w:themeColor="text1"/>
                <w:sz w:val="24"/>
                <w:szCs w:val="24"/>
              </w:rPr>
              <w:t>History of hypertension (established on antihypertensive medication)</w:t>
            </w:r>
          </w:p>
          <w:p w14:paraId="11277ADC" w14:textId="77777777" w:rsidR="001506C1" w:rsidRPr="00FA3F9C" w:rsidRDefault="001506C1" w:rsidP="001506C1">
            <w:pPr>
              <w:pStyle w:val="ListParagraph"/>
              <w:numPr>
                <w:ilvl w:val="1"/>
                <w:numId w:val="15"/>
              </w:numPr>
              <w:rPr>
                <w:rFonts w:ascii="Arial" w:hAnsi="Arial" w:cs="Arial"/>
                <w:color w:val="000000" w:themeColor="text1"/>
                <w:sz w:val="24"/>
                <w:szCs w:val="24"/>
              </w:rPr>
            </w:pPr>
            <w:r w:rsidRPr="00FA3F9C">
              <w:rPr>
                <w:rFonts w:ascii="Arial" w:hAnsi="Arial" w:cs="Arial"/>
                <w:color w:val="000000" w:themeColor="text1"/>
                <w:sz w:val="24"/>
                <w:szCs w:val="24"/>
              </w:rPr>
              <w:t xml:space="preserve">Documented history of ankle-brachial index </w:t>
            </w:r>
            <w:r w:rsidRPr="00FA3F9C">
              <w:rPr>
                <w:rFonts w:ascii="Arial" w:hAnsi="Arial" w:cs="Arial"/>
                <w:color w:val="000000" w:themeColor="text1"/>
                <w:sz w:val="24"/>
                <w:szCs w:val="24"/>
                <w:u w:val="single"/>
              </w:rPr>
              <w:t>&lt;</w:t>
            </w:r>
            <w:r w:rsidRPr="00FA3F9C">
              <w:rPr>
                <w:rFonts w:ascii="Arial" w:hAnsi="Arial" w:cs="Arial"/>
                <w:color w:val="000000" w:themeColor="text1"/>
                <w:sz w:val="24"/>
                <w:szCs w:val="24"/>
              </w:rPr>
              <w:t>0.90</w:t>
            </w:r>
          </w:p>
          <w:p w14:paraId="32A107D0" w14:textId="77777777" w:rsidR="001506C1" w:rsidRPr="00FA3F9C" w:rsidRDefault="001506C1" w:rsidP="001506C1">
            <w:pPr>
              <w:pStyle w:val="ListParagraph"/>
              <w:numPr>
                <w:ilvl w:val="1"/>
                <w:numId w:val="15"/>
              </w:numPr>
              <w:rPr>
                <w:rFonts w:ascii="Arial" w:hAnsi="Arial" w:cs="Arial"/>
                <w:color w:val="000000" w:themeColor="text1"/>
                <w:sz w:val="24"/>
                <w:szCs w:val="24"/>
              </w:rPr>
            </w:pPr>
            <w:r w:rsidRPr="00FA3F9C">
              <w:rPr>
                <w:rFonts w:ascii="Arial" w:hAnsi="Arial" w:cs="Arial"/>
                <w:color w:val="000000" w:themeColor="text1"/>
                <w:sz w:val="24"/>
                <w:szCs w:val="24"/>
              </w:rPr>
              <w:t>Documented history of microalbuminuria or macroalbuminuria OR current dipstick urinalysis with &gt;2+ protein</w:t>
            </w:r>
          </w:p>
          <w:p w14:paraId="66B591C0" w14:textId="77777777" w:rsidR="001506C1" w:rsidRPr="00FA3F9C" w:rsidRDefault="001506C1" w:rsidP="001506C1">
            <w:pPr>
              <w:pStyle w:val="ListParagraph"/>
              <w:numPr>
                <w:ilvl w:val="1"/>
                <w:numId w:val="15"/>
              </w:numPr>
              <w:rPr>
                <w:rFonts w:ascii="Arial" w:hAnsi="Arial" w:cs="Arial"/>
                <w:color w:val="000000" w:themeColor="text1"/>
                <w:sz w:val="24"/>
                <w:szCs w:val="24"/>
              </w:rPr>
            </w:pPr>
            <w:r w:rsidRPr="00FA3F9C">
              <w:rPr>
                <w:rFonts w:ascii="Arial" w:hAnsi="Arial" w:cs="Arial"/>
                <w:color w:val="000000" w:themeColor="text1"/>
                <w:sz w:val="24"/>
                <w:szCs w:val="24"/>
              </w:rPr>
              <w:t>Documented history of pre-proliferative or proliferative retinopathy or laser treatment for retinopathy</w:t>
            </w:r>
          </w:p>
          <w:p w14:paraId="5EA54EC3" w14:textId="77777777" w:rsidR="001506C1" w:rsidRPr="00FA3F9C" w:rsidRDefault="001506C1" w:rsidP="001506C1">
            <w:pPr>
              <w:pStyle w:val="ListParagraph"/>
              <w:numPr>
                <w:ilvl w:val="1"/>
                <w:numId w:val="15"/>
              </w:numPr>
              <w:rPr>
                <w:rFonts w:ascii="Arial" w:hAnsi="Arial" w:cs="Arial"/>
                <w:color w:val="000000" w:themeColor="text1"/>
                <w:sz w:val="24"/>
                <w:szCs w:val="24"/>
              </w:rPr>
            </w:pPr>
            <w:r w:rsidRPr="00FA3F9C">
              <w:rPr>
                <w:rFonts w:ascii="Arial" w:hAnsi="Arial" w:cs="Arial"/>
                <w:color w:val="000000" w:themeColor="text1"/>
                <w:sz w:val="24"/>
                <w:szCs w:val="24"/>
              </w:rPr>
              <w:t>Known family history of premature CHD (CHD in father or brother before age 55y or in mother or sister before age 65y)</w:t>
            </w:r>
          </w:p>
        </w:tc>
      </w:tr>
    </w:tbl>
    <w:p w14:paraId="44CC2943" w14:textId="77777777" w:rsidR="001506C1" w:rsidRPr="00FA3F9C" w:rsidRDefault="001506C1" w:rsidP="00EB4773">
      <w:pPr>
        <w:spacing w:after="0"/>
        <w:jc w:val="center"/>
        <w:rPr>
          <w:rFonts w:ascii="Arial" w:hAnsi="Arial" w:cs="Arial"/>
          <w:b/>
          <w:sz w:val="24"/>
          <w:szCs w:val="24"/>
          <w:u w:val="single"/>
        </w:rPr>
      </w:pPr>
    </w:p>
    <w:p w14:paraId="6757C86D" w14:textId="77777777" w:rsidR="001506C1" w:rsidRPr="00FA3F9C" w:rsidRDefault="001506C1" w:rsidP="00EB4773">
      <w:pPr>
        <w:spacing w:after="0"/>
        <w:jc w:val="center"/>
        <w:rPr>
          <w:rFonts w:ascii="Arial" w:hAnsi="Arial" w:cs="Arial"/>
          <w:b/>
          <w:sz w:val="24"/>
          <w:szCs w:val="24"/>
          <w:u w:val="single"/>
        </w:rPr>
      </w:pPr>
      <w:r w:rsidRPr="00FA3F9C">
        <w:rPr>
          <w:rFonts w:ascii="Arial" w:hAnsi="Arial" w:cs="Arial"/>
          <w:b/>
          <w:sz w:val="24"/>
          <w:szCs w:val="24"/>
          <w:u w:val="single"/>
        </w:rPr>
        <w:t>Definition of Statin Intolerance</w:t>
      </w:r>
    </w:p>
    <w:p w14:paraId="2DB0FCAD" w14:textId="77777777" w:rsidR="001506C1" w:rsidRPr="00FA3F9C" w:rsidRDefault="001506C1" w:rsidP="00EB4773">
      <w:pPr>
        <w:spacing w:after="0"/>
        <w:jc w:val="center"/>
        <w:rPr>
          <w:rFonts w:ascii="Arial" w:hAnsi="Arial" w:cs="Arial"/>
          <w:sz w:val="24"/>
          <w:szCs w:val="24"/>
        </w:rPr>
      </w:pPr>
      <w:r w:rsidRPr="00FA3F9C">
        <w:rPr>
          <w:rFonts w:ascii="Arial" w:hAnsi="Arial" w:cs="Arial"/>
          <w:sz w:val="24"/>
          <w:szCs w:val="24"/>
        </w:rPr>
        <w:t>4/2/18</w:t>
      </w:r>
    </w:p>
    <w:p w14:paraId="79DA5515" w14:textId="77777777" w:rsidR="001506C1" w:rsidRPr="00FA3F9C" w:rsidRDefault="001506C1" w:rsidP="001506C1">
      <w:pPr>
        <w:pStyle w:val="ListParagraph"/>
        <w:numPr>
          <w:ilvl w:val="0"/>
          <w:numId w:val="13"/>
        </w:numPr>
        <w:spacing w:after="0" w:line="240" w:lineRule="auto"/>
        <w:contextualSpacing w:val="0"/>
        <w:rPr>
          <w:rFonts w:ascii="Arial" w:hAnsi="Arial" w:cs="Arial"/>
          <w:b/>
          <w:sz w:val="24"/>
          <w:szCs w:val="24"/>
          <w:u w:val="single"/>
        </w:rPr>
      </w:pPr>
      <w:r w:rsidRPr="00FA3F9C">
        <w:rPr>
          <w:rFonts w:ascii="Arial" w:hAnsi="Arial" w:cs="Arial"/>
          <w:sz w:val="24"/>
          <w:szCs w:val="24"/>
        </w:rPr>
        <w:lastRenderedPageBreak/>
        <w:t xml:space="preserve">Patients are defined as having a true intolerance or contraindication to statins if they </w:t>
      </w:r>
      <w:r w:rsidRPr="00FA3F9C">
        <w:rPr>
          <w:rFonts w:ascii="Arial" w:hAnsi="Arial" w:cs="Arial"/>
          <w:b/>
          <w:sz w:val="24"/>
          <w:szCs w:val="24"/>
          <w:u w:val="single"/>
        </w:rPr>
        <w:t xml:space="preserve">fulfill criteria 1, 2a, OR all of criteria 3a-d. </w:t>
      </w:r>
    </w:p>
    <w:p w14:paraId="47FEF779" w14:textId="77777777" w:rsidR="001506C1" w:rsidRPr="00FA3F9C" w:rsidRDefault="001506C1" w:rsidP="001506C1">
      <w:pPr>
        <w:pStyle w:val="ListParagraph"/>
        <w:numPr>
          <w:ilvl w:val="0"/>
          <w:numId w:val="13"/>
        </w:numPr>
        <w:spacing w:after="0" w:line="240" w:lineRule="auto"/>
        <w:contextualSpacing w:val="0"/>
        <w:rPr>
          <w:rFonts w:ascii="Arial" w:hAnsi="Arial" w:cs="Arial"/>
          <w:b/>
          <w:sz w:val="24"/>
          <w:szCs w:val="24"/>
          <w:u w:val="single"/>
        </w:rPr>
      </w:pPr>
      <w:r w:rsidRPr="00FA3F9C">
        <w:rPr>
          <w:rFonts w:ascii="Arial" w:hAnsi="Arial" w:cs="Arial"/>
          <w:b/>
          <w:sz w:val="24"/>
          <w:szCs w:val="24"/>
          <w:u w:val="single"/>
        </w:rPr>
        <w:t>Criteria 2b-c are guidelines</w:t>
      </w:r>
      <w:r w:rsidRPr="00FA3F9C">
        <w:rPr>
          <w:rFonts w:ascii="Arial" w:hAnsi="Arial" w:cs="Arial"/>
          <w:sz w:val="24"/>
          <w:szCs w:val="24"/>
        </w:rPr>
        <w:t xml:space="preserve"> to assess transient elevations in LFT and their relation to statin use. </w:t>
      </w:r>
      <w:r w:rsidRPr="00FA3F9C">
        <w:rPr>
          <w:rFonts w:ascii="Arial" w:hAnsi="Arial" w:cs="Arial"/>
          <w:b/>
          <w:sz w:val="24"/>
          <w:szCs w:val="24"/>
          <w:u w:val="single"/>
        </w:rPr>
        <w:t xml:space="preserve">Transient elevations in LFTs accompanied with statin use are </w:t>
      </w:r>
      <w:proofErr w:type="gramStart"/>
      <w:r w:rsidRPr="00FA3F9C">
        <w:rPr>
          <w:rFonts w:ascii="Arial" w:hAnsi="Arial" w:cs="Arial"/>
          <w:b/>
          <w:sz w:val="24"/>
          <w:szCs w:val="24"/>
          <w:u w:val="single"/>
        </w:rPr>
        <w:t>NON COVERED</w:t>
      </w:r>
      <w:proofErr w:type="gramEnd"/>
      <w:r w:rsidRPr="00FA3F9C">
        <w:rPr>
          <w:rFonts w:ascii="Arial" w:hAnsi="Arial" w:cs="Arial"/>
          <w:b/>
          <w:sz w:val="24"/>
          <w:szCs w:val="24"/>
          <w:u w:val="single"/>
        </w:rPr>
        <w:t xml:space="preserve"> indications to define statin intolerance or contraindication to therapy.</w:t>
      </w:r>
    </w:p>
    <w:p w14:paraId="1B68A5B7" w14:textId="77777777" w:rsidR="001506C1" w:rsidRPr="00FA3F9C" w:rsidRDefault="001506C1" w:rsidP="004611EE">
      <w:pPr>
        <w:spacing w:after="0"/>
        <w:rPr>
          <w:rFonts w:ascii="Arial" w:hAnsi="Arial" w:cs="Arial"/>
          <w:sz w:val="24"/>
          <w:szCs w:val="24"/>
        </w:rPr>
      </w:pPr>
    </w:p>
    <w:p w14:paraId="18AA1F45" w14:textId="77777777" w:rsidR="001506C1" w:rsidRPr="00FA3F9C" w:rsidRDefault="001506C1" w:rsidP="001506C1">
      <w:pPr>
        <w:pStyle w:val="ListParagraph"/>
        <w:numPr>
          <w:ilvl w:val="0"/>
          <w:numId w:val="12"/>
        </w:numPr>
        <w:spacing w:after="0" w:line="240" w:lineRule="auto"/>
        <w:contextualSpacing w:val="0"/>
        <w:rPr>
          <w:rFonts w:ascii="Arial" w:hAnsi="Arial" w:cs="Arial"/>
          <w:sz w:val="24"/>
          <w:szCs w:val="24"/>
        </w:rPr>
      </w:pPr>
      <w:r w:rsidRPr="00FA3F9C">
        <w:rPr>
          <w:rFonts w:ascii="Arial" w:hAnsi="Arial" w:cs="Arial"/>
          <w:sz w:val="24"/>
          <w:szCs w:val="24"/>
        </w:rPr>
        <w:t>The patient has acute liver failure or decompensated cirrhosis.</w:t>
      </w:r>
    </w:p>
    <w:p w14:paraId="517E5FF9" w14:textId="77777777" w:rsidR="001506C1" w:rsidRPr="00FA3F9C" w:rsidRDefault="001506C1" w:rsidP="001506C1">
      <w:pPr>
        <w:pStyle w:val="ListParagraph"/>
        <w:numPr>
          <w:ilvl w:val="0"/>
          <w:numId w:val="12"/>
        </w:numPr>
        <w:spacing w:after="0" w:line="240" w:lineRule="auto"/>
        <w:contextualSpacing w:val="0"/>
        <w:rPr>
          <w:rFonts w:ascii="Arial" w:hAnsi="Arial" w:cs="Arial"/>
          <w:sz w:val="24"/>
          <w:szCs w:val="24"/>
        </w:rPr>
      </w:pPr>
      <w:r w:rsidRPr="00FA3F9C">
        <w:rPr>
          <w:rFonts w:ascii="Arial" w:hAnsi="Arial" w:cs="Arial"/>
          <w:sz w:val="24"/>
          <w:szCs w:val="24"/>
        </w:rPr>
        <w:t xml:space="preserve">The National Lipid Association Statin Safety Task Force recommends the following: </w:t>
      </w:r>
    </w:p>
    <w:p w14:paraId="7834BF5A" w14:textId="77777777" w:rsidR="001506C1" w:rsidRPr="00FA3F9C" w:rsidRDefault="001506C1" w:rsidP="001506C1">
      <w:pPr>
        <w:pStyle w:val="ListParagraph"/>
        <w:numPr>
          <w:ilvl w:val="1"/>
          <w:numId w:val="12"/>
        </w:numPr>
        <w:spacing w:after="0" w:line="276" w:lineRule="auto"/>
        <w:rPr>
          <w:rFonts w:ascii="Arial" w:hAnsi="Arial" w:cs="Arial"/>
          <w:sz w:val="24"/>
          <w:szCs w:val="24"/>
        </w:rPr>
      </w:pPr>
      <w:r w:rsidRPr="00FA3F9C">
        <w:rPr>
          <w:rFonts w:ascii="Arial" w:hAnsi="Arial" w:cs="Arial"/>
          <w:sz w:val="24"/>
          <w:szCs w:val="24"/>
        </w:rPr>
        <w:t>If there is a high clinical suspicion that there is statin-induced rhabdomyolysis (</w:t>
      </w:r>
      <w:proofErr w:type="spellStart"/>
      <w:r w:rsidRPr="00FA3F9C">
        <w:rPr>
          <w:rFonts w:ascii="Arial" w:hAnsi="Arial" w:cs="Arial"/>
          <w:sz w:val="24"/>
          <w:szCs w:val="24"/>
        </w:rPr>
        <w:t>rhabdo</w:t>
      </w:r>
      <w:proofErr w:type="spellEnd"/>
      <w:r w:rsidRPr="00FA3F9C">
        <w:rPr>
          <w:rFonts w:ascii="Arial" w:hAnsi="Arial" w:cs="Arial"/>
          <w:sz w:val="24"/>
          <w:szCs w:val="24"/>
        </w:rPr>
        <w:t>), discontinue statin therapy (</w:t>
      </w:r>
      <w:r w:rsidRPr="00FA3F9C">
        <w:rPr>
          <w:rFonts w:ascii="Arial" w:hAnsi="Arial" w:cs="Arial"/>
          <w:b/>
          <w:sz w:val="24"/>
          <w:szCs w:val="24"/>
        </w:rPr>
        <w:t>diagnosed with elevated CK,</w:t>
      </w:r>
      <w:r w:rsidRPr="00FA3F9C">
        <w:rPr>
          <w:rFonts w:ascii="Arial" w:hAnsi="Arial" w:cs="Arial"/>
          <w:sz w:val="24"/>
          <w:szCs w:val="24"/>
        </w:rPr>
        <w:t xml:space="preserve"> not elevated ALT/AST). This is an acute issue and </w:t>
      </w:r>
      <w:proofErr w:type="gramStart"/>
      <w:r w:rsidRPr="00FA3F9C">
        <w:rPr>
          <w:rFonts w:ascii="Arial" w:hAnsi="Arial" w:cs="Arial"/>
          <w:sz w:val="24"/>
          <w:szCs w:val="24"/>
        </w:rPr>
        <w:t>wouldn’t</w:t>
      </w:r>
      <w:proofErr w:type="gramEnd"/>
      <w:r w:rsidRPr="00FA3F9C">
        <w:rPr>
          <w:rFonts w:ascii="Arial" w:hAnsi="Arial" w:cs="Arial"/>
          <w:sz w:val="24"/>
          <w:szCs w:val="24"/>
        </w:rPr>
        <w:t xml:space="preserve"> be of high suspicion on a regular outpatient basis. If the patient does have clinically diagnosed statin-induced rhabdomyolysis, </w:t>
      </w:r>
      <w:r w:rsidRPr="00FA3F9C">
        <w:rPr>
          <w:rFonts w:ascii="Arial" w:hAnsi="Arial" w:cs="Arial"/>
          <w:b/>
          <w:sz w:val="24"/>
          <w:szCs w:val="24"/>
        </w:rPr>
        <w:t>this would be a permanent contraindication to statins.</w:t>
      </w:r>
    </w:p>
    <w:p w14:paraId="1A9DCF1E" w14:textId="77777777" w:rsidR="001506C1" w:rsidRPr="00FA3F9C" w:rsidRDefault="001506C1" w:rsidP="001506C1">
      <w:pPr>
        <w:pStyle w:val="ListParagraph"/>
        <w:numPr>
          <w:ilvl w:val="1"/>
          <w:numId w:val="12"/>
        </w:numPr>
        <w:spacing w:after="0" w:line="276" w:lineRule="auto"/>
        <w:rPr>
          <w:rFonts w:ascii="Arial" w:hAnsi="Arial" w:cs="Arial"/>
          <w:sz w:val="24"/>
          <w:szCs w:val="24"/>
        </w:rPr>
      </w:pPr>
      <w:r w:rsidRPr="00FA3F9C">
        <w:rPr>
          <w:rFonts w:ascii="Arial" w:hAnsi="Arial" w:cs="Arial"/>
          <w:sz w:val="24"/>
          <w:szCs w:val="24"/>
        </w:rPr>
        <w:t xml:space="preserve">If a patient has ALT/AST &lt; 3 x ULN and newly diagnosed acute elevation in bilirubin, the statin should be discontinued </w:t>
      </w:r>
      <w:r w:rsidRPr="00FA3F9C">
        <w:rPr>
          <w:rFonts w:ascii="Arial" w:hAnsi="Arial" w:cs="Arial"/>
          <w:b/>
          <w:sz w:val="24"/>
          <w:szCs w:val="24"/>
        </w:rPr>
        <w:t>temporarily</w:t>
      </w:r>
      <w:r w:rsidRPr="00FA3F9C">
        <w:rPr>
          <w:rFonts w:ascii="Arial" w:hAnsi="Arial" w:cs="Arial"/>
          <w:sz w:val="24"/>
          <w:szCs w:val="24"/>
        </w:rPr>
        <w:t xml:space="preserve"> to identify underlying etiology. </w:t>
      </w:r>
    </w:p>
    <w:p w14:paraId="331F6946" w14:textId="77777777" w:rsidR="001506C1" w:rsidRPr="00FA3F9C" w:rsidRDefault="001506C1" w:rsidP="001506C1">
      <w:pPr>
        <w:pStyle w:val="ListParagraph"/>
        <w:numPr>
          <w:ilvl w:val="2"/>
          <w:numId w:val="12"/>
        </w:numPr>
        <w:spacing w:after="0" w:line="276" w:lineRule="auto"/>
        <w:rPr>
          <w:rFonts w:ascii="Arial" w:hAnsi="Arial" w:cs="Arial"/>
          <w:sz w:val="24"/>
          <w:szCs w:val="24"/>
        </w:rPr>
      </w:pPr>
      <w:r w:rsidRPr="00FA3F9C">
        <w:rPr>
          <w:rFonts w:ascii="Arial" w:hAnsi="Arial" w:cs="Arial"/>
          <w:sz w:val="24"/>
          <w:szCs w:val="24"/>
        </w:rPr>
        <w:t>If no acute elevation in bilirubin, the statin should be continued.</w:t>
      </w:r>
    </w:p>
    <w:p w14:paraId="57165ED2" w14:textId="77777777" w:rsidR="001506C1" w:rsidRPr="00FA3F9C" w:rsidRDefault="001506C1" w:rsidP="001506C1">
      <w:pPr>
        <w:pStyle w:val="ListParagraph"/>
        <w:numPr>
          <w:ilvl w:val="1"/>
          <w:numId w:val="12"/>
        </w:numPr>
        <w:spacing w:after="0" w:line="276" w:lineRule="auto"/>
        <w:rPr>
          <w:rFonts w:ascii="Arial" w:hAnsi="Arial" w:cs="Arial"/>
          <w:sz w:val="24"/>
          <w:szCs w:val="24"/>
        </w:rPr>
      </w:pPr>
      <w:r w:rsidRPr="00FA3F9C">
        <w:rPr>
          <w:rFonts w:ascii="Arial" w:hAnsi="Arial" w:cs="Arial"/>
          <w:sz w:val="24"/>
          <w:szCs w:val="24"/>
        </w:rPr>
        <w:t xml:space="preserve">In patients with ALT/AST &gt; 3 x ULN, the statin should be d/c </w:t>
      </w:r>
      <w:r w:rsidRPr="00FA3F9C">
        <w:rPr>
          <w:rFonts w:ascii="Arial" w:hAnsi="Arial" w:cs="Arial"/>
          <w:b/>
          <w:sz w:val="24"/>
          <w:szCs w:val="24"/>
        </w:rPr>
        <w:t>temporarily</w:t>
      </w:r>
      <w:r w:rsidRPr="00FA3F9C">
        <w:rPr>
          <w:rFonts w:ascii="Arial" w:hAnsi="Arial" w:cs="Arial"/>
          <w:sz w:val="24"/>
          <w:szCs w:val="24"/>
        </w:rPr>
        <w:t xml:space="preserve"> to identify underlying etiology. In both instances based on ALT/AST elevation, the statin is discontinued temporarily to identify if it is a contributing factor. </w:t>
      </w:r>
    </w:p>
    <w:p w14:paraId="10408791" w14:textId="77777777" w:rsidR="001506C1" w:rsidRPr="00FA3F9C" w:rsidRDefault="001506C1" w:rsidP="001506C1">
      <w:pPr>
        <w:pStyle w:val="ListParagraph"/>
        <w:numPr>
          <w:ilvl w:val="2"/>
          <w:numId w:val="12"/>
        </w:numPr>
        <w:spacing w:after="0" w:line="276" w:lineRule="auto"/>
        <w:rPr>
          <w:rFonts w:ascii="Arial" w:hAnsi="Arial" w:cs="Arial"/>
          <w:sz w:val="24"/>
          <w:szCs w:val="24"/>
        </w:rPr>
      </w:pPr>
      <w:r w:rsidRPr="00FA3F9C">
        <w:rPr>
          <w:rFonts w:ascii="Arial" w:hAnsi="Arial" w:cs="Arial"/>
          <w:sz w:val="24"/>
          <w:szCs w:val="24"/>
        </w:rPr>
        <w:t>It is encouraged to re-evaluate statin therapy after underlying cause of AST/ALT elevation is identified.</w:t>
      </w:r>
    </w:p>
    <w:p w14:paraId="169D8106" w14:textId="77777777" w:rsidR="001506C1" w:rsidRPr="00FA3F9C" w:rsidRDefault="001506C1" w:rsidP="001506C1">
      <w:pPr>
        <w:pStyle w:val="ListParagraph"/>
        <w:numPr>
          <w:ilvl w:val="2"/>
          <w:numId w:val="12"/>
        </w:numPr>
        <w:spacing w:after="0" w:line="276" w:lineRule="auto"/>
        <w:rPr>
          <w:rFonts w:ascii="Arial" w:hAnsi="Arial" w:cs="Arial"/>
          <w:sz w:val="24"/>
          <w:szCs w:val="24"/>
        </w:rPr>
      </w:pPr>
      <w:r w:rsidRPr="00FA3F9C">
        <w:rPr>
          <w:rFonts w:ascii="Arial" w:hAnsi="Arial" w:cs="Arial"/>
          <w:sz w:val="24"/>
          <w:szCs w:val="24"/>
        </w:rPr>
        <w:t xml:space="preserve">Bottom Line – It is encouraged for patients to </w:t>
      </w:r>
      <w:proofErr w:type="gramStart"/>
      <w:r w:rsidRPr="00FA3F9C">
        <w:rPr>
          <w:rFonts w:ascii="Arial" w:hAnsi="Arial" w:cs="Arial"/>
          <w:sz w:val="24"/>
          <w:szCs w:val="24"/>
        </w:rPr>
        <w:t>continue on</w:t>
      </w:r>
      <w:proofErr w:type="gramEnd"/>
      <w:r w:rsidRPr="00FA3F9C">
        <w:rPr>
          <w:rFonts w:ascii="Arial" w:hAnsi="Arial" w:cs="Arial"/>
          <w:sz w:val="24"/>
          <w:szCs w:val="24"/>
        </w:rPr>
        <w:t xml:space="preserve"> statin therapy for ASCVD benefit even in instances of ALT/AST elevation. Discontinuation should be done only on an acute basis to identify underlying etiology. In patients with statin related myopathy, several algorithms exist for management in order to get a patient on a tolerated agent. </w:t>
      </w:r>
    </w:p>
    <w:p w14:paraId="336B7143" w14:textId="77777777" w:rsidR="001506C1" w:rsidRPr="00FA3F9C" w:rsidRDefault="001506C1" w:rsidP="001506C1">
      <w:pPr>
        <w:pStyle w:val="ListParagraph"/>
        <w:numPr>
          <w:ilvl w:val="0"/>
          <w:numId w:val="12"/>
        </w:numPr>
        <w:spacing w:after="0" w:line="276" w:lineRule="auto"/>
        <w:rPr>
          <w:rFonts w:ascii="Arial" w:hAnsi="Arial" w:cs="Arial"/>
          <w:sz w:val="24"/>
          <w:szCs w:val="24"/>
        </w:rPr>
      </w:pPr>
      <w:r w:rsidRPr="00FA3F9C">
        <w:rPr>
          <w:rFonts w:ascii="Arial" w:hAnsi="Arial" w:cs="Arial"/>
          <w:sz w:val="24"/>
          <w:szCs w:val="24"/>
        </w:rPr>
        <w:t xml:space="preserve">According to UpToDate, pravastatin, </w:t>
      </w:r>
      <w:proofErr w:type="spellStart"/>
      <w:r w:rsidRPr="00FA3F9C">
        <w:rPr>
          <w:rFonts w:ascii="Arial" w:hAnsi="Arial" w:cs="Arial"/>
          <w:sz w:val="24"/>
          <w:szCs w:val="24"/>
        </w:rPr>
        <w:t>fluvastatin</w:t>
      </w:r>
      <w:proofErr w:type="spellEnd"/>
      <w:r w:rsidRPr="00FA3F9C">
        <w:rPr>
          <w:rFonts w:ascii="Arial" w:hAnsi="Arial" w:cs="Arial"/>
          <w:sz w:val="24"/>
          <w:szCs w:val="24"/>
        </w:rPr>
        <w:t xml:space="preserve"> XL, and </w:t>
      </w:r>
      <w:proofErr w:type="spellStart"/>
      <w:r w:rsidRPr="00FA3F9C">
        <w:rPr>
          <w:rFonts w:ascii="Arial" w:hAnsi="Arial" w:cs="Arial"/>
          <w:sz w:val="24"/>
          <w:szCs w:val="24"/>
        </w:rPr>
        <w:t>pitavastatin</w:t>
      </w:r>
      <w:proofErr w:type="spellEnd"/>
      <w:r w:rsidRPr="00FA3F9C">
        <w:rPr>
          <w:rFonts w:ascii="Arial" w:hAnsi="Arial" w:cs="Arial"/>
          <w:sz w:val="24"/>
          <w:szCs w:val="24"/>
        </w:rPr>
        <w:t xml:space="preserve"> have the lowest incidence of myalgias among statins. So, for patients to claim intolerance to statins due to myalgias there should be:</w:t>
      </w:r>
    </w:p>
    <w:p w14:paraId="3BE4E604" w14:textId="77777777" w:rsidR="001506C1" w:rsidRPr="00FA3F9C" w:rsidRDefault="001506C1" w:rsidP="001506C1">
      <w:pPr>
        <w:pStyle w:val="ListParagraph"/>
        <w:numPr>
          <w:ilvl w:val="1"/>
          <w:numId w:val="12"/>
        </w:numPr>
        <w:spacing w:after="0" w:line="276" w:lineRule="auto"/>
        <w:rPr>
          <w:rFonts w:ascii="Arial" w:hAnsi="Arial" w:cs="Arial"/>
          <w:sz w:val="24"/>
          <w:szCs w:val="24"/>
        </w:rPr>
      </w:pPr>
      <w:r w:rsidRPr="00FA3F9C">
        <w:rPr>
          <w:rFonts w:ascii="Arial" w:hAnsi="Arial" w:cs="Arial"/>
          <w:sz w:val="24"/>
          <w:szCs w:val="24"/>
          <w:u w:val="single"/>
        </w:rPr>
        <w:t>&gt;</w:t>
      </w:r>
      <w:r w:rsidRPr="00FA3F9C">
        <w:rPr>
          <w:rFonts w:ascii="Arial" w:hAnsi="Arial" w:cs="Arial"/>
          <w:sz w:val="24"/>
          <w:szCs w:val="24"/>
        </w:rPr>
        <w:t xml:space="preserve">1 fill for rosuvastatin, atorvastatin, or </w:t>
      </w:r>
      <w:proofErr w:type="spellStart"/>
      <w:r w:rsidRPr="00FA3F9C">
        <w:rPr>
          <w:rFonts w:ascii="Arial" w:hAnsi="Arial" w:cs="Arial"/>
          <w:sz w:val="24"/>
          <w:szCs w:val="24"/>
        </w:rPr>
        <w:t>simva</w:t>
      </w:r>
      <w:proofErr w:type="spellEnd"/>
      <w:r w:rsidRPr="00FA3F9C">
        <w:rPr>
          <w:rFonts w:ascii="Arial" w:hAnsi="Arial" w:cs="Arial"/>
          <w:sz w:val="24"/>
          <w:szCs w:val="24"/>
        </w:rPr>
        <w:t xml:space="preserve"> 80mg (if started over 1 year ago) AND</w:t>
      </w:r>
    </w:p>
    <w:p w14:paraId="5758F6A7" w14:textId="77777777" w:rsidR="001506C1" w:rsidRPr="00FA3F9C" w:rsidRDefault="001506C1" w:rsidP="001506C1">
      <w:pPr>
        <w:pStyle w:val="ListParagraph"/>
        <w:numPr>
          <w:ilvl w:val="1"/>
          <w:numId w:val="12"/>
        </w:numPr>
        <w:spacing w:after="0" w:line="276" w:lineRule="auto"/>
        <w:rPr>
          <w:rFonts w:ascii="Arial" w:hAnsi="Arial" w:cs="Arial"/>
          <w:sz w:val="24"/>
          <w:szCs w:val="24"/>
        </w:rPr>
      </w:pPr>
      <w:r w:rsidRPr="00FA3F9C">
        <w:rPr>
          <w:rFonts w:ascii="Arial" w:hAnsi="Arial" w:cs="Arial"/>
          <w:sz w:val="24"/>
          <w:szCs w:val="24"/>
          <w:u w:val="single"/>
        </w:rPr>
        <w:t>&gt;</w:t>
      </w:r>
      <w:r w:rsidRPr="00FA3F9C">
        <w:rPr>
          <w:rFonts w:ascii="Arial" w:hAnsi="Arial" w:cs="Arial"/>
          <w:sz w:val="24"/>
          <w:szCs w:val="24"/>
        </w:rPr>
        <w:t xml:space="preserve">1 fill for 2 out of 3 of either pravastatin, </w:t>
      </w:r>
      <w:proofErr w:type="spellStart"/>
      <w:r w:rsidRPr="00FA3F9C">
        <w:rPr>
          <w:rFonts w:ascii="Arial" w:hAnsi="Arial" w:cs="Arial"/>
          <w:sz w:val="24"/>
          <w:szCs w:val="24"/>
        </w:rPr>
        <w:t>fluvastatin</w:t>
      </w:r>
      <w:proofErr w:type="spellEnd"/>
      <w:r w:rsidRPr="00FA3F9C">
        <w:rPr>
          <w:rFonts w:ascii="Arial" w:hAnsi="Arial" w:cs="Arial"/>
          <w:sz w:val="24"/>
          <w:szCs w:val="24"/>
        </w:rPr>
        <w:t xml:space="preserve"> XL, and </w:t>
      </w:r>
      <w:proofErr w:type="spellStart"/>
      <w:r w:rsidRPr="00FA3F9C">
        <w:rPr>
          <w:rFonts w:ascii="Arial" w:hAnsi="Arial" w:cs="Arial"/>
          <w:sz w:val="24"/>
          <w:szCs w:val="24"/>
        </w:rPr>
        <w:t>pitavastatin</w:t>
      </w:r>
      <w:proofErr w:type="spellEnd"/>
      <w:r w:rsidRPr="00FA3F9C">
        <w:rPr>
          <w:rFonts w:ascii="Arial" w:hAnsi="Arial" w:cs="Arial"/>
          <w:sz w:val="24"/>
          <w:szCs w:val="24"/>
        </w:rPr>
        <w:t xml:space="preserve"> AND</w:t>
      </w:r>
    </w:p>
    <w:p w14:paraId="0AFB3E49" w14:textId="77777777" w:rsidR="001506C1" w:rsidRPr="00FA3F9C" w:rsidRDefault="001506C1" w:rsidP="001506C1">
      <w:pPr>
        <w:pStyle w:val="ListParagraph"/>
        <w:numPr>
          <w:ilvl w:val="1"/>
          <w:numId w:val="12"/>
        </w:numPr>
        <w:spacing w:after="0" w:line="276" w:lineRule="auto"/>
        <w:rPr>
          <w:rFonts w:ascii="Arial" w:hAnsi="Arial" w:cs="Arial"/>
          <w:sz w:val="24"/>
          <w:szCs w:val="24"/>
        </w:rPr>
      </w:pPr>
      <w:r w:rsidRPr="00FA3F9C">
        <w:rPr>
          <w:rFonts w:ascii="Arial" w:hAnsi="Arial" w:cs="Arial"/>
          <w:sz w:val="24"/>
          <w:szCs w:val="24"/>
        </w:rPr>
        <w:t>Clinical documentation of myalgias in chart notes AND</w:t>
      </w:r>
    </w:p>
    <w:p w14:paraId="63913349" w14:textId="77777777" w:rsidR="001506C1" w:rsidRPr="00FA3F9C" w:rsidRDefault="001506C1" w:rsidP="001506C1">
      <w:pPr>
        <w:pStyle w:val="ListParagraph"/>
        <w:numPr>
          <w:ilvl w:val="1"/>
          <w:numId w:val="12"/>
        </w:numPr>
        <w:spacing w:after="0" w:line="276" w:lineRule="auto"/>
        <w:rPr>
          <w:rFonts w:ascii="Arial" w:hAnsi="Arial" w:cs="Arial"/>
          <w:sz w:val="24"/>
          <w:szCs w:val="24"/>
        </w:rPr>
      </w:pPr>
      <w:r w:rsidRPr="00FA3F9C">
        <w:rPr>
          <w:rFonts w:ascii="Arial" w:hAnsi="Arial" w:cs="Arial"/>
          <w:sz w:val="24"/>
          <w:szCs w:val="24"/>
        </w:rPr>
        <w:t>If clinical documentation of myalgias using treatment algorithm in 3a-c, there should also be &gt; 3-month trial of ezetimibe 10 mg daily with documented, sustained LDL-C &gt; 100 mg/dL.</w:t>
      </w:r>
    </w:p>
    <w:p w14:paraId="54695D45" w14:textId="77777777" w:rsidR="001506C1" w:rsidRPr="00FA3F9C" w:rsidRDefault="001506C1" w:rsidP="006F623F">
      <w:pPr>
        <w:spacing w:after="0"/>
        <w:rPr>
          <w:rFonts w:ascii="Arial" w:hAnsi="Arial" w:cs="Arial"/>
          <w:sz w:val="24"/>
          <w:szCs w:val="24"/>
        </w:rPr>
      </w:pPr>
    </w:p>
    <w:p w14:paraId="692C1387"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lastRenderedPageBreak/>
        <w:t>Revision History:</w:t>
      </w:r>
    </w:p>
    <w:tbl>
      <w:tblPr>
        <w:tblStyle w:val="TableGrid"/>
        <w:tblW w:w="0" w:type="auto"/>
        <w:tblLook w:val="04A0" w:firstRow="1" w:lastRow="0" w:firstColumn="1" w:lastColumn="0" w:noHBand="0" w:noVBand="1"/>
      </w:tblPr>
      <w:tblGrid>
        <w:gridCol w:w="1055"/>
        <w:gridCol w:w="8570"/>
        <w:gridCol w:w="1590"/>
      </w:tblGrid>
      <w:tr w:rsidR="001506C1" w:rsidRPr="00FA3F9C" w14:paraId="7AA7654C" w14:textId="77777777" w:rsidTr="00D56573">
        <w:tc>
          <w:tcPr>
            <w:tcW w:w="1055" w:type="dxa"/>
          </w:tcPr>
          <w:p w14:paraId="5AF61EB9" w14:textId="77777777" w:rsidR="001506C1" w:rsidRPr="00FA3F9C" w:rsidRDefault="001506C1" w:rsidP="006F623F">
            <w:pPr>
              <w:rPr>
                <w:rFonts w:ascii="Arial" w:hAnsi="Arial" w:cs="Arial"/>
                <w:sz w:val="24"/>
                <w:szCs w:val="24"/>
              </w:rPr>
            </w:pPr>
            <w:r w:rsidRPr="00FA3F9C">
              <w:rPr>
                <w:rFonts w:ascii="Arial" w:hAnsi="Arial" w:cs="Arial"/>
                <w:sz w:val="24"/>
                <w:szCs w:val="24"/>
              </w:rPr>
              <w:t>Date</w:t>
            </w:r>
          </w:p>
        </w:tc>
        <w:tc>
          <w:tcPr>
            <w:tcW w:w="8570" w:type="dxa"/>
          </w:tcPr>
          <w:p w14:paraId="2F0582A3" w14:textId="77777777" w:rsidR="001506C1" w:rsidRPr="00FA3F9C" w:rsidRDefault="001506C1" w:rsidP="006F623F">
            <w:pPr>
              <w:rPr>
                <w:rFonts w:ascii="Arial" w:hAnsi="Arial" w:cs="Arial"/>
                <w:sz w:val="24"/>
                <w:szCs w:val="24"/>
              </w:rPr>
            </w:pPr>
            <w:r w:rsidRPr="00FA3F9C">
              <w:rPr>
                <w:rFonts w:ascii="Arial" w:hAnsi="Arial" w:cs="Arial"/>
                <w:sz w:val="24"/>
                <w:szCs w:val="24"/>
              </w:rPr>
              <w:t>What changed</w:t>
            </w:r>
          </w:p>
        </w:tc>
        <w:tc>
          <w:tcPr>
            <w:tcW w:w="1165" w:type="dxa"/>
          </w:tcPr>
          <w:p w14:paraId="0171827B" w14:textId="77777777" w:rsidR="001506C1" w:rsidRPr="00FA3F9C" w:rsidRDefault="001506C1" w:rsidP="006F623F">
            <w:pPr>
              <w:rPr>
                <w:rFonts w:ascii="Arial" w:hAnsi="Arial" w:cs="Arial"/>
                <w:sz w:val="24"/>
                <w:szCs w:val="24"/>
              </w:rPr>
            </w:pPr>
            <w:r w:rsidRPr="00FA3F9C">
              <w:rPr>
                <w:rFonts w:ascii="Arial" w:hAnsi="Arial" w:cs="Arial"/>
                <w:sz w:val="24"/>
                <w:szCs w:val="24"/>
              </w:rPr>
              <w:t>Pharmacist’s initials</w:t>
            </w:r>
          </w:p>
        </w:tc>
      </w:tr>
      <w:tr w:rsidR="001506C1" w:rsidRPr="00FA3F9C" w14:paraId="09AD785B" w14:textId="77777777" w:rsidTr="00D56573">
        <w:tc>
          <w:tcPr>
            <w:tcW w:w="1055" w:type="dxa"/>
          </w:tcPr>
          <w:p w14:paraId="02E612CB" w14:textId="77777777" w:rsidR="001506C1" w:rsidRPr="00FA3F9C" w:rsidRDefault="001506C1" w:rsidP="006F623F">
            <w:pPr>
              <w:rPr>
                <w:rFonts w:ascii="Arial" w:hAnsi="Arial" w:cs="Arial"/>
                <w:sz w:val="24"/>
                <w:szCs w:val="24"/>
              </w:rPr>
            </w:pPr>
            <w:r w:rsidRPr="00FA3F9C">
              <w:rPr>
                <w:rFonts w:ascii="Arial" w:hAnsi="Arial" w:cs="Arial"/>
                <w:sz w:val="24"/>
                <w:szCs w:val="24"/>
              </w:rPr>
              <w:t>4/5/18</w:t>
            </w:r>
          </w:p>
        </w:tc>
        <w:tc>
          <w:tcPr>
            <w:tcW w:w="8570" w:type="dxa"/>
          </w:tcPr>
          <w:p w14:paraId="4F6BB044" w14:textId="77777777" w:rsidR="001506C1" w:rsidRPr="00FA3F9C" w:rsidRDefault="001506C1" w:rsidP="006F623F">
            <w:pPr>
              <w:rPr>
                <w:rFonts w:ascii="Arial" w:hAnsi="Arial" w:cs="Arial"/>
                <w:sz w:val="24"/>
                <w:szCs w:val="24"/>
              </w:rPr>
            </w:pPr>
            <w:r w:rsidRPr="00FA3F9C">
              <w:rPr>
                <w:rFonts w:ascii="Arial" w:hAnsi="Arial" w:cs="Arial"/>
                <w:sz w:val="24"/>
                <w:szCs w:val="24"/>
              </w:rPr>
              <w:t>I wrote the criteria</w:t>
            </w:r>
          </w:p>
        </w:tc>
        <w:tc>
          <w:tcPr>
            <w:tcW w:w="1165" w:type="dxa"/>
          </w:tcPr>
          <w:p w14:paraId="7155F539" w14:textId="77777777" w:rsidR="001506C1" w:rsidRPr="00FA3F9C" w:rsidRDefault="001506C1" w:rsidP="006F623F">
            <w:pPr>
              <w:rPr>
                <w:rFonts w:ascii="Arial" w:hAnsi="Arial" w:cs="Arial"/>
                <w:sz w:val="24"/>
                <w:szCs w:val="24"/>
              </w:rPr>
            </w:pPr>
            <w:r w:rsidRPr="00FA3F9C">
              <w:rPr>
                <w:rFonts w:ascii="Arial" w:hAnsi="Arial" w:cs="Arial"/>
                <w:sz w:val="24"/>
                <w:szCs w:val="24"/>
              </w:rPr>
              <w:t>JK</w:t>
            </w:r>
          </w:p>
        </w:tc>
      </w:tr>
      <w:tr w:rsidR="001506C1" w:rsidRPr="00FA3F9C" w14:paraId="688B5404" w14:textId="77777777" w:rsidTr="00D56573">
        <w:tc>
          <w:tcPr>
            <w:tcW w:w="1055" w:type="dxa"/>
          </w:tcPr>
          <w:p w14:paraId="5EEEFD38" w14:textId="77777777" w:rsidR="001506C1" w:rsidRPr="00FA3F9C" w:rsidRDefault="001506C1" w:rsidP="006F623F">
            <w:pPr>
              <w:rPr>
                <w:rFonts w:ascii="Arial" w:hAnsi="Arial" w:cs="Arial"/>
                <w:sz w:val="24"/>
                <w:szCs w:val="24"/>
              </w:rPr>
            </w:pPr>
            <w:r w:rsidRPr="00FA3F9C">
              <w:rPr>
                <w:rFonts w:ascii="Arial" w:hAnsi="Arial" w:cs="Arial"/>
                <w:sz w:val="24"/>
                <w:szCs w:val="24"/>
              </w:rPr>
              <w:t>4/17/18</w:t>
            </w:r>
          </w:p>
        </w:tc>
        <w:tc>
          <w:tcPr>
            <w:tcW w:w="8570" w:type="dxa"/>
          </w:tcPr>
          <w:p w14:paraId="11753619" w14:textId="77777777" w:rsidR="001506C1" w:rsidRPr="00FA3F9C" w:rsidRDefault="001506C1" w:rsidP="006F623F">
            <w:pPr>
              <w:rPr>
                <w:rFonts w:ascii="Arial" w:hAnsi="Arial" w:cs="Arial"/>
                <w:sz w:val="24"/>
                <w:szCs w:val="24"/>
              </w:rPr>
            </w:pPr>
            <w:r w:rsidRPr="00FA3F9C">
              <w:rPr>
                <w:rFonts w:ascii="Arial" w:hAnsi="Arial" w:cs="Arial"/>
                <w:sz w:val="24"/>
                <w:szCs w:val="24"/>
              </w:rPr>
              <w:t>I determined 3 months of high potency statin use was sufficient since Lexicomp says a fasting lipid profile within 4 and 12 weeks after initiation or dose adjustment and every 3-12 months thereafter.  The clinical trial recruited those on high potency statins for 4-16 weeks.</w:t>
            </w:r>
          </w:p>
        </w:tc>
        <w:tc>
          <w:tcPr>
            <w:tcW w:w="1165" w:type="dxa"/>
          </w:tcPr>
          <w:p w14:paraId="58A90E02" w14:textId="2A9EEBEC" w:rsidR="001506C1" w:rsidRPr="00FA3F9C" w:rsidRDefault="005C142D" w:rsidP="006F623F">
            <w:pPr>
              <w:rPr>
                <w:rFonts w:ascii="Arial" w:hAnsi="Arial" w:cs="Arial"/>
                <w:sz w:val="24"/>
                <w:szCs w:val="24"/>
              </w:rPr>
            </w:pPr>
            <w:r w:rsidRPr="00FA3F9C">
              <w:rPr>
                <w:rFonts w:ascii="Arial" w:hAnsi="Arial" w:cs="Arial"/>
                <w:sz w:val="24"/>
                <w:szCs w:val="24"/>
              </w:rPr>
              <w:t>JJ</w:t>
            </w:r>
          </w:p>
        </w:tc>
      </w:tr>
      <w:tr w:rsidR="001506C1" w:rsidRPr="00FA3F9C" w14:paraId="675350F5" w14:textId="77777777" w:rsidTr="00D56573">
        <w:tc>
          <w:tcPr>
            <w:tcW w:w="1055" w:type="dxa"/>
          </w:tcPr>
          <w:p w14:paraId="44230FDE" w14:textId="77777777" w:rsidR="001506C1" w:rsidRPr="00FA3F9C" w:rsidRDefault="001506C1" w:rsidP="006F623F">
            <w:pPr>
              <w:rPr>
                <w:rFonts w:ascii="Arial" w:hAnsi="Arial" w:cs="Arial"/>
                <w:sz w:val="24"/>
                <w:szCs w:val="24"/>
              </w:rPr>
            </w:pPr>
            <w:r w:rsidRPr="00FA3F9C">
              <w:rPr>
                <w:rFonts w:ascii="Arial" w:hAnsi="Arial" w:cs="Arial"/>
                <w:sz w:val="24"/>
                <w:szCs w:val="24"/>
              </w:rPr>
              <w:t>5/14/18</w:t>
            </w:r>
          </w:p>
        </w:tc>
        <w:tc>
          <w:tcPr>
            <w:tcW w:w="8570" w:type="dxa"/>
          </w:tcPr>
          <w:p w14:paraId="10249F81" w14:textId="77777777" w:rsidR="001506C1" w:rsidRPr="00FA3F9C" w:rsidRDefault="001506C1" w:rsidP="006F623F">
            <w:pPr>
              <w:rPr>
                <w:rFonts w:ascii="Arial" w:hAnsi="Arial" w:cs="Arial"/>
                <w:sz w:val="24"/>
                <w:szCs w:val="24"/>
              </w:rPr>
            </w:pPr>
            <w:r w:rsidRPr="00FA3F9C">
              <w:rPr>
                <w:rFonts w:ascii="Arial" w:hAnsi="Arial" w:cs="Arial"/>
                <w:sz w:val="24"/>
                <w:szCs w:val="24"/>
                <w:highlight w:val="yellow"/>
              </w:rPr>
              <w:t xml:space="preserve">I added </w:t>
            </w:r>
            <w:proofErr w:type="spellStart"/>
            <w:r w:rsidRPr="00FA3F9C">
              <w:rPr>
                <w:rFonts w:ascii="Arial" w:hAnsi="Arial" w:cs="Arial"/>
                <w:sz w:val="24"/>
                <w:szCs w:val="24"/>
                <w:highlight w:val="yellow"/>
              </w:rPr>
              <w:t>heFH</w:t>
            </w:r>
            <w:proofErr w:type="spellEnd"/>
            <w:r w:rsidRPr="00FA3F9C">
              <w:rPr>
                <w:rFonts w:ascii="Arial" w:hAnsi="Arial" w:cs="Arial"/>
                <w:sz w:val="24"/>
                <w:szCs w:val="24"/>
                <w:highlight w:val="yellow"/>
              </w:rPr>
              <w:t xml:space="preserve"> as a </w:t>
            </w:r>
            <w:proofErr w:type="gramStart"/>
            <w:r w:rsidRPr="00FA3F9C">
              <w:rPr>
                <w:rFonts w:ascii="Arial" w:hAnsi="Arial" w:cs="Arial"/>
                <w:sz w:val="24"/>
                <w:szCs w:val="24"/>
                <w:highlight w:val="yellow"/>
              </w:rPr>
              <w:t>criteria</w:t>
            </w:r>
            <w:proofErr w:type="gramEnd"/>
            <w:r w:rsidRPr="00FA3F9C">
              <w:rPr>
                <w:rFonts w:ascii="Arial" w:hAnsi="Arial" w:cs="Arial"/>
                <w:sz w:val="24"/>
                <w:szCs w:val="24"/>
                <w:highlight w:val="yellow"/>
              </w:rPr>
              <w:t xml:space="preserve"> and as defined by the Odyssey protocol, however the CV event reduction publication still has not been published and we are going on ICER’s data; in addition, the current online PI does not reflect </w:t>
            </w:r>
            <w:proofErr w:type="spellStart"/>
            <w:r w:rsidRPr="00FA3F9C">
              <w:rPr>
                <w:rFonts w:ascii="Arial" w:hAnsi="Arial" w:cs="Arial"/>
                <w:sz w:val="24"/>
                <w:szCs w:val="24"/>
                <w:highlight w:val="yellow"/>
              </w:rPr>
              <w:t>Praluent</w:t>
            </w:r>
            <w:proofErr w:type="spellEnd"/>
            <w:r w:rsidRPr="00FA3F9C">
              <w:rPr>
                <w:rFonts w:ascii="Arial" w:hAnsi="Arial" w:cs="Arial"/>
                <w:sz w:val="24"/>
                <w:szCs w:val="24"/>
                <w:highlight w:val="yellow"/>
              </w:rPr>
              <w:t xml:space="preserve"> causes fewer events.</w:t>
            </w:r>
            <w:r w:rsidRPr="00FA3F9C">
              <w:rPr>
                <w:rFonts w:ascii="Arial" w:hAnsi="Arial" w:cs="Arial"/>
                <w:sz w:val="24"/>
                <w:szCs w:val="24"/>
              </w:rPr>
              <w:t xml:space="preserve">  I also added </w:t>
            </w:r>
            <w:proofErr w:type="spellStart"/>
            <w:r w:rsidRPr="00FA3F9C">
              <w:rPr>
                <w:rFonts w:ascii="Arial" w:hAnsi="Arial" w:cs="Arial"/>
                <w:sz w:val="24"/>
                <w:szCs w:val="24"/>
              </w:rPr>
              <w:t>simva</w:t>
            </w:r>
            <w:proofErr w:type="spellEnd"/>
            <w:r w:rsidRPr="00FA3F9C">
              <w:rPr>
                <w:rFonts w:ascii="Arial" w:hAnsi="Arial" w:cs="Arial"/>
                <w:sz w:val="24"/>
                <w:szCs w:val="24"/>
              </w:rPr>
              <w:t xml:space="preserve"> 80mg as a high potency statin group that could have been tried.  </w:t>
            </w:r>
          </w:p>
          <w:p w14:paraId="6807C1E5" w14:textId="77777777" w:rsidR="001506C1" w:rsidRPr="00FA3F9C" w:rsidRDefault="001506C1" w:rsidP="006F623F">
            <w:pPr>
              <w:rPr>
                <w:rFonts w:ascii="Arial" w:hAnsi="Arial" w:cs="Arial"/>
                <w:sz w:val="24"/>
                <w:szCs w:val="24"/>
              </w:rPr>
            </w:pPr>
            <w:r w:rsidRPr="00FA3F9C">
              <w:rPr>
                <w:rFonts w:ascii="Arial" w:hAnsi="Arial" w:cs="Arial"/>
                <w:sz w:val="24"/>
                <w:szCs w:val="24"/>
              </w:rPr>
              <w:t xml:space="preserve">I did not reduce the eligible age to 18 instead of 40 per the Odyssey protocol because the baseline characteristics showed the mean age to be 60 with a SD of 10y, so </w:t>
            </w:r>
            <w:proofErr w:type="gramStart"/>
            <w:r w:rsidRPr="00FA3F9C">
              <w:rPr>
                <w:rFonts w:ascii="Arial" w:hAnsi="Arial" w:cs="Arial"/>
                <w:sz w:val="24"/>
                <w:szCs w:val="24"/>
              </w:rPr>
              <w:t>18 year old</w:t>
            </w:r>
            <w:proofErr w:type="gramEnd"/>
            <w:r w:rsidRPr="00FA3F9C">
              <w:rPr>
                <w:rFonts w:ascii="Arial" w:hAnsi="Arial" w:cs="Arial"/>
                <w:sz w:val="24"/>
                <w:szCs w:val="24"/>
              </w:rPr>
              <w:t xml:space="preserve"> patients, although invited, are not representative of the population that produced the Odyssey results.</w:t>
            </w:r>
          </w:p>
        </w:tc>
        <w:tc>
          <w:tcPr>
            <w:tcW w:w="1165" w:type="dxa"/>
          </w:tcPr>
          <w:p w14:paraId="0CA66A93" w14:textId="77777777" w:rsidR="001506C1" w:rsidRPr="00FA3F9C" w:rsidRDefault="001506C1" w:rsidP="006F623F">
            <w:pPr>
              <w:rPr>
                <w:rFonts w:ascii="Arial" w:hAnsi="Arial" w:cs="Arial"/>
                <w:sz w:val="24"/>
                <w:szCs w:val="24"/>
              </w:rPr>
            </w:pPr>
            <w:r w:rsidRPr="00FA3F9C">
              <w:rPr>
                <w:rFonts w:ascii="Arial" w:hAnsi="Arial" w:cs="Arial"/>
                <w:sz w:val="24"/>
                <w:szCs w:val="24"/>
              </w:rPr>
              <w:t>JJ</w:t>
            </w:r>
          </w:p>
        </w:tc>
      </w:tr>
    </w:tbl>
    <w:p w14:paraId="0255B2C1" w14:textId="77777777" w:rsidR="001506C1" w:rsidRPr="00FA3F9C" w:rsidRDefault="001506C1" w:rsidP="006F623F">
      <w:pPr>
        <w:spacing w:after="0"/>
        <w:rPr>
          <w:rFonts w:ascii="Arial" w:hAnsi="Arial" w:cs="Arial"/>
          <w:sz w:val="24"/>
          <w:szCs w:val="24"/>
        </w:rPr>
      </w:pPr>
    </w:p>
    <w:p w14:paraId="2CB7513C"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Ref:</w:t>
      </w:r>
    </w:p>
    <w:p w14:paraId="0FB42A57" w14:textId="77777777" w:rsidR="001506C1" w:rsidRPr="00FA3F9C" w:rsidRDefault="001506C1" w:rsidP="001506C1">
      <w:pPr>
        <w:pStyle w:val="ListParagraph"/>
        <w:numPr>
          <w:ilvl w:val="0"/>
          <w:numId w:val="8"/>
        </w:numPr>
        <w:spacing w:after="0" w:line="276" w:lineRule="auto"/>
        <w:rPr>
          <w:rFonts w:ascii="Arial" w:hAnsi="Arial" w:cs="Arial"/>
          <w:sz w:val="24"/>
          <w:szCs w:val="24"/>
        </w:rPr>
      </w:pPr>
      <w:proofErr w:type="spellStart"/>
      <w:r w:rsidRPr="00FA3F9C">
        <w:rPr>
          <w:rFonts w:ascii="Arial" w:hAnsi="Arial" w:cs="Arial"/>
          <w:color w:val="222222"/>
          <w:sz w:val="24"/>
          <w:szCs w:val="24"/>
          <w:shd w:val="clear" w:color="auto" w:fill="FFFFFF"/>
        </w:rPr>
        <w:t>Farnier</w:t>
      </w:r>
      <w:proofErr w:type="spellEnd"/>
      <w:r w:rsidRPr="00FA3F9C">
        <w:rPr>
          <w:rFonts w:ascii="Arial" w:hAnsi="Arial" w:cs="Arial"/>
          <w:color w:val="222222"/>
          <w:sz w:val="24"/>
          <w:szCs w:val="24"/>
          <w:shd w:val="clear" w:color="auto" w:fill="FFFFFF"/>
        </w:rPr>
        <w:t>, Michel, et al. "Long-term treatment adherence to the proprotein convertase subtilisin/</w:t>
      </w:r>
      <w:proofErr w:type="spellStart"/>
      <w:r w:rsidRPr="00FA3F9C">
        <w:rPr>
          <w:rFonts w:ascii="Arial" w:hAnsi="Arial" w:cs="Arial"/>
          <w:color w:val="222222"/>
          <w:sz w:val="24"/>
          <w:szCs w:val="24"/>
          <w:shd w:val="clear" w:color="auto" w:fill="FFFFFF"/>
        </w:rPr>
        <w:t>kexin</w:t>
      </w:r>
      <w:proofErr w:type="spellEnd"/>
      <w:r w:rsidRPr="00FA3F9C">
        <w:rPr>
          <w:rFonts w:ascii="Arial" w:hAnsi="Arial" w:cs="Arial"/>
          <w:color w:val="222222"/>
          <w:sz w:val="24"/>
          <w:szCs w:val="24"/>
          <w:shd w:val="clear" w:color="auto" w:fill="FFFFFF"/>
        </w:rPr>
        <w:t xml:space="preserve"> type 9 inhibitor alirocumab in 6 ODYSSEY Phase III clinical studies with treatment duration of 1 to 2 years." </w:t>
      </w:r>
      <w:r w:rsidRPr="00FA3F9C">
        <w:rPr>
          <w:rFonts w:ascii="Arial" w:hAnsi="Arial" w:cs="Arial"/>
          <w:i/>
          <w:iCs/>
          <w:color w:val="222222"/>
          <w:sz w:val="24"/>
          <w:szCs w:val="24"/>
          <w:shd w:val="clear" w:color="auto" w:fill="FFFFFF"/>
        </w:rPr>
        <w:t>Journal of clinical lipidology</w:t>
      </w:r>
      <w:r w:rsidRPr="00FA3F9C">
        <w:rPr>
          <w:rFonts w:ascii="Arial" w:hAnsi="Arial" w:cs="Arial"/>
          <w:color w:val="222222"/>
          <w:sz w:val="24"/>
          <w:szCs w:val="24"/>
          <w:shd w:val="clear" w:color="auto" w:fill="FFFFFF"/>
        </w:rPr>
        <w:t> 11.4 (2017): 986-997.</w:t>
      </w:r>
    </w:p>
    <w:p w14:paraId="0DC91749" w14:textId="77777777" w:rsidR="001506C1" w:rsidRPr="00FA3F9C" w:rsidRDefault="001506C1" w:rsidP="001506C1">
      <w:pPr>
        <w:pStyle w:val="ListParagraph"/>
        <w:numPr>
          <w:ilvl w:val="0"/>
          <w:numId w:val="8"/>
        </w:numPr>
        <w:spacing w:after="0" w:line="276" w:lineRule="auto"/>
        <w:rPr>
          <w:rFonts w:ascii="Arial" w:hAnsi="Arial" w:cs="Arial"/>
          <w:sz w:val="24"/>
          <w:szCs w:val="24"/>
        </w:rPr>
      </w:pPr>
      <w:r w:rsidRPr="00FA3F9C">
        <w:rPr>
          <w:rFonts w:ascii="Arial" w:hAnsi="Arial" w:cs="Arial"/>
          <w:color w:val="222222"/>
          <w:sz w:val="24"/>
          <w:szCs w:val="24"/>
          <w:shd w:val="clear" w:color="auto" w:fill="FFFFFF"/>
        </w:rPr>
        <w:t xml:space="preserve">ICER </w:t>
      </w:r>
      <w:proofErr w:type="spellStart"/>
      <w:r w:rsidRPr="00FA3F9C">
        <w:rPr>
          <w:rFonts w:ascii="Arial" w:hAnsi="Arial" w:cs="Arial"/>
          <w:color w:val="222222"/>
          <w:sz w:val="24"/>
          <w:szCs w:val="24"/>
          <w:shd w:val="clear" w:color="auto" w:fill="FFFFFF"/>
        </w:rPr>
        <w:t>Prelimiinary</w:t>
      </w:r>
      <w:proofErr w:type="spellEnd"/>
      <w:r w:rsidRPr="00FA3F9C">
        <w:rPr>
          <w:rFonts w:ascii="Arial" w:hAnsi="Arial" w:cs="Arial"/>
          <w:color w:val="222222"/>
          <w:sz w:val="24"/>
          <w:szCs w:val="24"/>
          <w:shd w:val="clear" w:color="auto" w:fill="FFFFFF"/>
        </w:rPr>
        <w:t xml:space="preserve"> New Evidence Update. Alirocumab for High Cholesterol. March 2018</w:t>
      </w:r>
    </w:p>
    <w:p w14:paraId="768F1087" w14:textId="77777777" w:rsidR="001506C1" w:rsidRPr="00FA3F9C" w:rsidRDefault="001506C1" w:rsidP="001506C1">
      <w:pPr>
        <w:pStyle w:val="ListParagraph"/>
        <w:numPr>
          <w:ilvl w:val="0"/>
          <w:numId w:val="8"/>
        </w:numPr>
        <w:spacing w:after="0" w:line="240" w:lineRule="auto"/>
        <w:rPr>
          <w:rFonts w:ascii="Arial" w:eastAsia="Times New Roman" w:hAnsi="Arial" w:cs="Arial"/>
          <w:color w:val="222222"/>
          <w:sz w:val="24"/>
          <w:szCs w:val="24"/>
        </w:rPr>
      </w:pPr>
      <w:r w:rsidRPr="00FA3F9C">
        <w:rPr>
          <w:rFonts w:ascii="Arial" w:eastAsia="Times New Roman" w:hAnsi="Arial" w:cs="Arial"/>
          <w:color w:val="222222"/>
          <w:sz w:val="24"/>
          <w:szCs w:val="24"/>
        </w:rPr>
        <w:t xml:space="preserve">Jacobson, Terry A. "NLA task force on statin safety-2014 update." </w:t>
      </w:r>
      <w:r w:rsidRPr="00FA3F9C">
        <w:rPr>
          <w:rFonts w:ascii="Arial" w:eastAsia="Times New Roman" w:hAnsi="Arial" w:cs="Arial"/>
          <w:i/>
          <w:iCs/>
          <w:color w:val="222222"/>
          <w:sz w:val="24"/>
          <w:szCs w:val="24"/>
        </w:rPr>
        <w:t>Journal of clinical lipidology</w:t>
      </w:r>
      <w:r w:rsidRPr="00FA3F9C">
        <w:rPr>
          <w:rFonts w:ascii="Arial" w:eastAsia="Times New Roman" w:hAnsi="Arial" w:cs="Arial"/>
          <w:color w:val="222222"/>
          <w:sz w:val="24"/>
          <w:szCs w:val="24"/>
        </w:rPr>
        <w:t xml:space="preserve"> 8.3 (2014): S1-S4.</w:t>
      </w:r>
    </w:p>
    <w:p w14:paraId="6979F00B" w14:textId="77777777" w:rsidR="001506C1" w:rsidRPr="00FA3F9C" w:rsidRDefault="001506C1" w:rsidP="001506C1">
      <w:pPr>
        <w:pStyle w:val="ListParagraph"/>
        <w:numPr>
          <w:ilvl w:val="0"/>
          <w:numId w:val="8"/>
        </w:numPr>
        <w:spacing w:after="0" w:line="240" w:lineRule="auto"/>
        <w:rPr>
          <w:rFonts w:ascii="Arial" w:eastAsia="Times New Roman" w:hAnsi="Arial" w:cs="Arial"/>
          <w:color w:val="222222"/>
          <w:sz w:val="24"/>
          <w:szCs w:val="24"/>
        </w:rPr>
      </w:pPr>
      <w:r w:rsidRPr="00FA3F9C">
        <w:rPr>
          <w:rFonts w:ascii="Arial" w:eastAsia="Times New Roman" w:hAnsi="Arial" w:cs="Arial"/>
          <w:color w:val="222222"/>
          <w:sz w:val="24"/>
          <w:szCs w:val="24"/>
          <w:lang w:val="fr-FR"/>
        </w:rPr>
        <w:t xml:space="preserve">Stone, Neil J., et al. </w:t>
      </w:r>
      <w:r w:rsidRPr="00FA3F9C">
        <w:rPr>
          <w:rFonts w:ascii="Arial" w:eastAsia="Times New Roman" w:hAnsi="Arial" w:cs="Arial"/>
          <w:color w:val="222222"/>
          <w:sz w:val="24"/>
          <w:szCs w:val="24"/>
        </w:rPr>
        <w:t xml:space="preserve">"2013 ACC/AHA guideline on the treatment of blood cholesterol to reduce atherosclerotic cardiovascular risk in adults: a report of the American College of Cardiology/American Heart Association Task Force on Practice Guidelines." </w:t>
      </w:r>
      <w:r w:rsidRPr="00FA3F9C">
        <w:rPr>
          <w:rFonts w:ascii="Arial" w:eastAsia="Times New Roman" w:hAnsi="Arial" w:cs="Arial"/>
          <w:i/>
          <w:iCs/>
          <w:color w:val="222222"/>
          <w:sz w:val="24"/>
          <w:szCs w:val="24"/>
        </w:rPr>
        <w:t>Journal of the American College of Cardiology</w:t>
      </w:r>
      <w:r w:rsidRPr="00FA3F9C">
        <w:rPr>
          <w:rFonts w:ascii="Arial" w:eastAsia="Times New Roman" w:hAnsi="Arial" w:cs="Arial"/>
          <w:color w:val="222222"/>
          <w:sz w:val="24"/>
          <w:szCs w:val="24"/>
        </w:rPr>
        <w:t xml:space="preserve"> 63.25 Part B (2014): 2889-2934.</w:t>
      </w:r>
    </w:p>
    <w:p w14:paraId="05FAD082" w14:textId="77777777" w:rsidR="001506C1" w:rsidRPr="00FA3F9C" w:rsidRDefault="001506C1" w:rsidP="001506C1">
      <w:pPr>
        <w:pStyle w:val="ListParagraph"/>
        <w:numPr>
          <w:ilvl w:val="0"/>
          <w:numId w:val="8"/>
        </w:numPr>
        <w:spacing w:after="0" w:line="240" w:lineRule="auto"/>
        <w:rPr>
          <w:rFonts w:ascii="Arial" w:eastAsia="Times New Roman" w:hAnsi="Arial" w:cs="Arial"/>
          <w:color w:val="222222"/>
          <w:sz w:val="24"/>
          <w:szCs w:val="24"/>
        </w:rPr>
      </w:pPr>
      <w:proofErr w:type="spellStart"/>
      <w:r w:rsidRPr="00FA3F9C">
        <w:rPr>
          <w:rFonts w:ascii="Arial" w:eastAsia="Times New Roman" w:hAnsi="Arial" w:cs="Arial"/>
          <w:color w:val="222222"/>
          <w:sz w:val="24"/>
          <w:szCs w:val="24"/>
          <w:lang w:val="fr-FR"/>
        </w:rPr>
        <w:t>McKenney</w:t>
      </w:r>
      <w:proofErr w:type="spellEnd"/>
      <w:r w:rsidRPr="00FA3F9C">
        <w:rPr>
          <w:rFonts w:ascii="Arial" w:eastAsia="Times New Roman" w:hAnsi="Arial" w:cs="Arial"/>
          <w:color w:val="222222"/>
          <w:sz w:val="24"/>
          <w:szCs w:val="24"/>
          <w:lang w:val="fr-FR"/>
        </w:rPr>
        <w:t xml:space="preserve">, J. M., et al. </w:t>
      </w:r>
      <w:r w:rsidRPr="00FA3F9C">
        <w:rPr>
          <w:rFonts w:ascii="Arial" w:eastAsia="Times New Roman" w:hAnsi="Arial" w:cs="Arial"/>
          <w:color w:val="222222"/>
          <w:sz w:val="24"/>
          <w:szCs w:val="24"/>
        </w:rPr>
        <w:t xml:space="preserve">"National Lipid Association Statin Safety Assessment Task Force. Final conclusions and recommendations of the National Lipid Association Statin Safety Assessment Task Force." </w:t>
      </w:r>
      <w:r w:rsidRPr="00FA3F9C">
        <w:rPr>
          <w:rFonts w:ascii="Arial" w:eastAsia="Times New Roman" w:hAnsi="Arial" w:cs="Arial"/>
          <w:i/>
          <w:iCs/>
          <w:color w:val="222222"/>
          <w:sz w:val="24"/>
          <w:szCs w:val="24"/>
        </w:rPr>
        <w:t xml:space="preserve">Am J </w:t>
      </w:r>
      <w:proofErr w:type="spellStart"/>
      <w:r w:rsidRPr="00FA3F9C">
        <w:rPr>
          <w:rFonts w:ascii="Arial" w:eastAsia="Times New Roman" w:hAnsi="Arial" w:cs="Arial"/>
          <w:i/>
          <w:iCs/>
          <w:color w:val="222222"/>
          <w:sz w:val="24"/>
          <w:szCs w:val="24"/>
        </w:rPr>
        <w:t>Cardiol</w:t>
      </w:r>
      <w:proofErr w:type="spellEnd"/>
      <w:r w:rsidRPr="00FA3F9C">
        <w:rPr>
          <w:rFonts w:ascii="Arial" w:eastAsia="Times New Roman" w:hAnsi="Arial" w:cs="Arial"/>
          <w:color w:val="222222"/>
          <w:sz w:val="24"/>
          <w:szCs w:val="24"/>
        </w:rPr>
        <w:t xml:space="preserve"> 97.8A (2006): 89C-94C.</w:t>
      </w:r>
    </w:p>
    <w:p w14:paraId="021DBE08" w14:textId="77777777" w:rsidR="001506C1" w:rsidRPr="00FA3F9C" w:rsidRDefault="001506C1" w:rsidP="001506C1">
      <w:pPr>
        <w:pStyle w:val="ListParagraph"/>
        <w:numPr>
          <w:ilvl w:val="0"/>
          <w:numId w:val="8"/>
        </w:numPr>
        <w:spacing w:after="0" w:line="240" w:lineRule="auto"/>
        <w:rPr>
          <w:rFonts w:ascii="Arial" w:eastAsia="Times New Roman" w:hAnsi="Arial" w:cs="Arial"/>
          <w:color w:val="222222"/>
          <w:sz w:val="24"/>
          <w:szCs w:val="24"/>
        </w:rPr>
      </w:pPr>
      <w:r w:rsidRPr="00FA3F9C">
        <w:rPr>
          <w:rFonts w:ascii="Arial" w:eastAsia="Times New Roman" w:hAnsi="Arial" w:cs="Arial"/>
          <w:color w:val="222222"/>
          <w:sz w:val="24"/>
          <w:szCs w:val="24"/>
        </w:rPr>
        <w:t xml:space="preserve">Odyssey Protocol.  </w:t>
      </w:r>
      <w:hyperlink r:id="rId19" w:history="1">
        <w:r w:rsidRPr="00FA3F9C">
          <w:rPr>
            <w:rStyle w:val="Hyperlink"/>
            <w:rFonts w:ascii="Arial" w:eastAsia="Times New Roman" w:hAnsi="Arial" w:cs="Arial"/>
            <w:sz w:val="24"/>
            <w:szCs w:val="24"/>
          </w:rPr>
          <w:t>https://www.nejm.org/doi/suppl/10.1056/NEJMoa1501031/suppl_file/nejmoa1501031_protocol.pdf</w:t>
        </w:r>
      </w:hyperlink>
      <w:r w:rsidRPr="00FA3F9C">
        <w:rPr>
          <w:rFonts w:ascii="Arial" w:eastAsia="Times New Roman" w:hAnsi="Arial" w:cs="Arial"/>
          <w:color w:val="222222"/>
          <w:sz w:val="24"/>
          <w:szCs w:val="24"/>
        </w:rPr>
        <w:t xml:space="preserve">   Accessed 5/14/18.</w:t>
      </w:r>
    </w:p>
    <w:p w14:paraId="4A0FF23A" w14:textId="77777777" w:rsidR="001506C1" w:rsidRPr="00FA3F9C" w:rsidRDefault="001506C1" w:rsidP="004611EE">
      <w:pPr>
        <w:spacing w:after="0"/>
        <w:rPr>
          <w:rFonts w:ascii="Arial" w:hAnsi="Arial" w:cs="Arial"/>
          <w:sz w:val="24"/>
          <w:szCs w:val="24"/>
        </w:rPr>
      </w:pPr>
    </w:p>
    <w:p w14:paraId="60CC7330" w14:textId="77777777" w:rsidR="001506C1" w:rsidRPr="00FA3F9C" w:rsidRDefault="001506C1" w:rsidP="00D23715">
      <w:pPr>
        <w:spacing w:after="0"/>
        <w:rPr>
          <w:rFonts w:ascii="Arial" w:hAnsi="Arial" w:cs="Arial"/>
          <w:sz w:val="24"/>
          <w:szCs w:val="24"/>
        </w:rPr>
      </w:pPr>
    </w:p>
    <w:p w14:paraId="1E6BDA4C" w14:textId="77777777" w:rsidR="001506C1" w:rsidRPr="00FA3F9C" w:rsidRDefault="001506C1" w:rsidP="00D23715">
      <w:pPr>
        <w:spacing w:after="0"/>
        <w:rPr>
          <w:rFonts w:ascii="Arial" w:hAnsi="Arial" w:cs="Arial"/>
          <w:sz w:val="24"/>
          <w:szCs w:val="24"/>
        </w:rPr>
      </w:pPr>
      <w:r w:rsidRPr="00FA3F9C">
        <w:rPr>
          <w:rFonts w:ascii="Arial" w:hAnsi="Arial" w:cs="Arial"/>
          <w:sz w:val="24"/>
          <w:szCs w:val="24"/>
        </w:rPr>
        <w:t xml:space="preserve">APPENDIX A WHO Criteria (Dutch Lipid Network clinical criteria) for diagnosis of </w:t>
      </w:r>
      <w:proofErr w:type="spellStart"/>
      <w:r w:rsidRPr="00FA3F9C">
        <w:rPr>
          <w:rFonts w:ascii="Arial" w:hAnsi="Arial" w:cs="Arial"/>
          <w:sz w:val="24"/>
          <w:szCs w:val="24"/>
        </w:rPr>
        <w:t>HeFH</w:t>
      </w:r>
      <w:proofErr w:type="spellEnd"/>
    </w:p>
    <w:tbl>
      <w:tblPr>
        <w:tblStyle w:val="TableGrid"/>
        <w:tblW w:w="0" w:type="auto"/>
        <w:tblLook w:val="04A0" w:firstRow="1" w:lastRow="0" w:firstColumn="1" w:lastColumn="0" w:noHBand="0" w:noVBand="1"/>
      </w:tblPr>
      <w:tblGrid>
        <w:gridCol w:w="10345"/>
        <w:gridCol w:w="445"/>
      </w:tblGrid>
      <w:tr w:rsidR="001506C1" w:rsidRPr="00FA3F9C" w14:paraId="2FFA54AF" w14:textId="77777777" w:rsidTr="005005CA">
        <w:tc>
          <w:tcPr>
            <w:tcW w:w="10345" w:type="dxa"/>
          </w:tcPr>
          <w:p w14:paraId="2AA251A1" w14:textId="77777777" w:rsidR="001506C1" w:rsidRPr="00FA3F9C" w:rsidRDefault="001506C1" w:rsidP="00D23715">
            <w:pPr>
              <w:jc w:val="center"/>
              <w:rPr>
                <w:rFonts w:ascii="Arial" w:hAnsi="Arial" w:cs="Arial"/>
                <w:sz w:val="24"/>
                <w:szCs w:val="24"/>
              </w:rPr>
            </w:pPr>
            <w:r w:rsidRPr="00FA3F9C">
              <w:rPr>
                <w:rFonts w:ascii="Arial" w:hAnsi="Arial" w:cs="Arial"/>
                <w:sz w:val="24"/>
                <w:szCs w:val="24"/>
              </w:rPr>
              <w:t>Diagnostic Scoring for Heterozygous Familial Hypercholesterolemia</w:t>
            </w:r>
          </w:p>
        </w:tc>
        <w:tc>
          <w:tcPr>
            <w:tcW w:w="445" w:type="dxa"/>
          </w:tcPr>
          <w:p w14:paraId="302253EC" w14:textId="77777777" w:rsidR="001506C1" w:rsidRPr="00FA3F9C" w:rsidRDefault="001506C1" w:rsidP="00D23715">
            <w:pPr>
              <w:rPr>
                <w:rFonts w:ascii="Arial" w:hAnsi="Arial" w:cs="Arial"/>
                <w:sz w:val="24"/>
                <w:szCs w:val="24"/>
              </w:rPr>
            </w:pPr>
          </w:p>
        </w:tc>
      </w:tr>
      <w:tr w:rsidR="001506C1" w:rsidRPr="00FA3F9C" w14:paraId="03C391B6" w14:textId="77777777" w:rsidTr="005005CA">
        <w:tc>
          <w:tcPr>
            <w:tcW w:w="10345" w:type="dxa"/>
          </w:tcPr>
          <w:p w14:paraId="318F9025" w14:textId="77777777" w:rsidR="001506C1" w:rsidRPr="00FA3F9C" w:rsidRDefault="001506C1" w:rsidP="00D23715">
            <w:pPr>
              <w:rPr>
                <w:rFonts w:ascii="Arial" w:hAnsi="Arial" w:cs="Arial"/>
                <w:sz w:val="24"/>
                <w:szCs w:val="24"/>
              </w:rPr>
            </w:pPr>
            <w:r w:rsidRPr="00FA3F9C">
              <w:rPr>
                <w:rFonts w:ascii="Arial" w:hAnsi="Arial" w:cs="Arial"/>
                <w:sz w:val="24"/>
                <w:szCs w:val="24"/>
              </w:rPr>
              <w:t>Family history</w:t>
            </w:r>
          </w:p>
        </w:tc>
        <w:tc>
          <w:tcPr>
            <w:tcW w:w="445" w:type="dxa"/>
          </w:tcPr>
          <w:p w14:paraId="6B99BBB9" w14:textId="77777777" w:rsidR="001506C1" w:rsidRPr="00FA3F9C" w:rsidRDefault="001506C1" w:rsidP="00D23715">
            <w:pPr>
              <w:rPr>
                <w:rFonts w:ascii="Arial" w:hAnsi="Arial" w:cs="Arial"/>
                <w:sz w:val="24"/>
                <w:szCs w:val="24"/>
              </w:rPr>
            </w:pPr>
          </w:p>
        </w:tc>
      </w:tr>
      <w:tr w:rsidR="001506C1" w:rsidRPr="00FA3F9C" w14:paraId="2D142E3B" w14:textId="77777777" w:rsidTr="005005CA">
        <w:tc>
          <w:tcPr>
            <w:tcW w:w="10345" w:type="dxa"/>
          </w:tcPr>
          <w:p w14:paraId="00B99D02" w14:textId="77777777" w:rsidR="001506C1" w:rsidRPr="00FA3F9C" w:rsidRDefault="001506C1" w:rsidP="00D23715">
            <w:pPr>
              <w:rPr>
                <w:rFonts w:ascii="Arial" w:hAnsi="Arial" w:cs="Arial"/>
                <w:sz w:val="24"/>
                <w:szCs w:val="24"/>
              </w:rPr>
            </w:pPr>
            <w:r w:rsidRPr="00FA3F9C">
              <w:rPr>
                <w:rFonts w:ascii="Arial" w:hAnsi="Arial" w:cs="Arial"/>
                <w:sz w:val="24"/>
                <w:szCs w:val="24"/>
              </w:rPr>
              <w:t>a. First degree relative with known premature  (men &lt;55y, women &lt;60y coronary and vascular disease) OR</w:t>
            </w:r>
          </w:p>
          <w:p w14:paraId="6BC8F771" w14:textId="77777777" w:rsidR="001506C1" w:rsidRPr="00FA3F9C" w:rsidRDefault="001506C1" w:rsidP="00D23715">
            <w:pPr>
              <w:rPr>
                <w:rFonts w:ascii="Arial" w:hAnsi="Arial" w:cs="Arial"/>
                <w:sz w:val="24"/>
                <w:szCs w:val="24"/>
              </w:rPr>
            </w:pPr>
            <w:r w:rsidRPr="00FA3F9C">
              <w:rPr>
                <w:rFonts w:ascii="Arial" w:hAnsi="Arial" w:cs="Arial"/>
                <w:sz w:val="24"/>
                <w:szCs w:val="24"/>
              </w:rPr>
              <w:t>b. First degree relative with known LDL-C &gt;95</w:t>
            </w:r>
            <w:r w:rsidRPr="00FA3F9C">
              <w:rPr>
                <w:rFonts w:ascii="Arial" w:hAnsi="Arial" w:cs="Arial"/>
                <w:sz w:val="24"/>
                <w:szCs w:val="24"/>
                <w:vertAlign w:val="superscript"/>
              </w:rPr>
              <w:t>th</w:t>
            </w:r>
            <w:r w:rsidRPr="00FA3F9C">
              <w:rPr>
                <w:rFonts w:ascii="Arial" w:hAnsi="Arial" w:cs="Arial"/>
                <w:sz w:val="24"/>
                <w:szCs w:val="24"/>
              </w:rPr>
              <w:t xml:space="preserve"> percentile for age and sex</w:t>
            </w:r>
          </w:p>
        </w:tc>
        <w:tc>
          <w:tcPr>
            <w:tcW w:w="445" w:type="dxa"/>
          </w:tcPr>
          <w:p w14:paraId="17C9A037" w14:textId="77777777" w:rsidR="001506C1" w:rsidRPr="00FA3F9C" w:rsidRDefault="001506C1" w:rsidP="00D23715">
            <w:pPr>
              <w:rPr>
                <w:rFonts w:ascii="Arial" w:hAnsi="Arial" w:cs="Arial"/>
                <w:sz w:val="24"/>
                <w:szCs w:val="24"/>
              </w:rPr>
            </w:pPr>
            <w:r w:rsidRPr="00FA3F9C">
              <w:rPr>
                <w:rFonts w:ascii="Arial" w:hAnsi="Arial" w:cs="Arial"/>
                <w:sz w:val="24"/>
                <w:szCs w:val="24"/>
              </w:rPr>
              <w:t>1</w:t>
            </w:r>
          </w:p>
        </w:tc>
      </w:tr>
      <w:tr w:rsidR="001506C1" w:rsidRPr="00FA3F9C" w14:paraId="6FF2D048" w14:textId="77777777" w:rsidTr="005005CA">
        <w:tc>
          <w:tcPr>
            <w:tcW w:w="10345" w:type="dxa"/>
          </w:tcPr>
          <w:p w14:paraId="7A3E5583" w14:textId="77777777" w:rsidR="001506C1" w:rsidRPr="00FA3F9C" w:rsidRDefault="001506C1" w:rsidP="00D23715">
            <w:pPr>
              <w:rPr>
                <w:rFonts w:ascii="Arial" w:hAnsi="Arial" w:cs="Arial"/>
                <w:sz w:val="24"/>
                <w:szCs w:val="24"/>
              </w:rPr>
            </w:pPr>
            <w:r w:rsidRPr="00FA3F9C">
              <w:rPr>
                <w:rFonts w:ascii="Arial" w:hAnsi="Arial" w:cs="Arial"/>
                <w:sz w:val="24"/>
                <w:szCs w:val="24"/>
              </w:rPr>
              <w:t>AND/OR</w:t>
            </w:r>
          </w:p>
          <w:p w14:paraId="446378C0" w14:textId="77777777" w:rsidR="001506C1" w:rsidRPr="00FA3F9C" w:rsidRDefault="001506C1" w:rsidP="00D23715">
            <w:pPr>
              <w:rPr>
                <w:rFonts w:ascii="Arial" w:hAnsi="Arial" w:cs="Arial"/>
                <w:sz w:val="24"/>
                <w:szCs w:val="24"/>
              </w:rPr>
            </w:pPr>
            <w:r w:rsidRPr="00FA3F9C">
              <w:rPr>
                <w:rFonts w:ascii="Arial" w:hAnsi="Arial" w:cs="Arial"/>
                <w:sz w:val="24"/>
                <w:szCs w:val="24"/>
              </w:rPr>
              <w:t xml:space="preserve">a. First degree relative with tendon xanthomata and/or arcus </w:t>
            </w:r>
            <w:proofErr w:type="spellStart"/>
            <w:r w:rsidRPr="00FA3F9C">
              <w:rPr>
                <w:rFonts w:ascii="Arial" w:hAnsi="Arial" w:cs="Arial"/>
                <w:sz w:val="24"/>
                <w:szCs w:val="24"/>
              </w:rPr>
              <w:t>cornealis</w:t>
            </w:r>
            <w:proofErr w:type="spellEnd"/>
          </w:p>
          <w:p w14:paraId="371C48D3" w14:textId="77777777" w:rsidR="001506C1" w:rsidRPr="00FA3F9C" w:rsidRDefault="001506C1" w:rsidP="00D23715">
            <w:pPr>
              <w:rPr>
                <w:rFonts w:ascii="Arial" w:hAnsi="Arial" w:cs="Arial"/>
                <w:sz w:val="24"/>
                <w:szCs w:val="24"/>
              </w:rPr>
            </w:pPr>
            <w:r w:rsidRPr="00FA3F9C">
              <w:rPr>
                <w:rFonts w:ascii="Arial" w:hAnsi="Arial" w:cs="Arial"/>
                <w:sz w:val="24"/>
                <w:szCs w:val="24"/>
              </w:rPr>
              <w:t>b. Children below 18y with LDL-C &gt;95</w:t>
            </w:r>
            <w:r w:rsidRPr="00FA3F9C">
              <w:rPr>
                <w:rFonts w:ascii="Arial" w:hAnsi="Arial" w:cs="Arial"/>
                <w:sz w:val="24"/>
                <w:szCs w:val="24"/>
                <w:vertAlign w:val="superscript"/>
              </w:rPr>
              <w:t>th</w:t>
            </w:r>
            <w:r w:rsidRPr="00FA3F9C">
              <w:rPr>
                <w:rFonts w:ascii="Arial" w:hAnsi="Arial" w:cs="Arial"/>
                <w:sz w:val="24"/>
                <w:szCs w:val="24"/>
              </w:rPr>
              <w:t xml:space="preserve"> percentile for age and sex</w:t>
            </w:r>
          </w:p>
        </w:tc>
        <w:tc>
          <w:tcPr>
            <w:tcW w:w="445" w:type="dxa"/>
          </w:tcPr>
          <w:p w14:paraId="53228FC8" w14:textId="77777777" w:rsidR="001506C1" w:rsidRPr="00FA3F9C" w:rsidRDefault="001506C1" w:rsidP="00D23715">
            <w:pPr>
              <w:rPr>
                <w:rFonts w:ascii="Arial" w:hAnsi="Arial" w:cs="Arial"/>
                <w:sz w:val="24"/>
                <w:szCs w:val="24"/>
              </w:rPr>
            </w:pPr>
            <w:r w:rsidRPr="00FA3F9C">
              <w:rPr>
                <w:rFonts w:ascii="Arial" w:hAnsi="Arial" w:cs="Arial"/>
                <w:sz w:val="24"/>
                <w:szCs w:val="24"/>
              </w:rPr>
              <w:t>2</w:t>
            </w:r>
          </w:p>
        </w:tc>
      </w:tr>
      <w:tr w:rsidR="001506C1" w:rsidRPr="00FA3F9C" w14:paraId="46D62C05" w14:textId="77777777" w:rsidTr="005005CA">
        <w:tc>
          <w:tcPr>
            <w:tcW w:w="10345" w:type="dxa"/>
          </w:tcPr>
          <w:p w14:paraId="512D582F" w14:textId="77777777" w:rsidR="001506C1" w:rsidRPr="00FA3F9C" w:rsidRDefault="001506C1" w:rsidP="00D23715">
            <w:pPr>
              <w:rPr>
                <w:rFonts w:ascii="Arial" w:hAnsi="Arial" w:cs="Arial"/>
                <w:sz w:val="24"/>
                <w:szCs w:val="24"/>
              </w:rPr>
            </w:pPr>
          </w:p>
        </w:tc>
        <w:tc>
          <w:tcPr>
            <w:tcW w:w="445" w:type="dxa"/>
          </w:tcPr>
          <w:p w14:paraId="539CF0FE" w14:textId="77777777" w:rsidR="001506C1" w:rsidRPr="00FA3F9C" w:rsidRDefault="001506C1" w:rsidP="00D23715">
            <w:pPr>
              <w:rPr>
                <w:rFonts w:ascii="Arial" w:hAnsi="Arial" w:cs="Arial"/>
                <w:sz w:val="24"/>
                <w:szCs w:val="24"/>
              </w:rPr>
            </w:pPr>
          </w:p>
        </w:tc>
      </w:tr>
      <w:tr w:rsidR="001506C1" w:rsidRPr="00FA3F9C" w14:paraId="72E846A0" w14:textId="77777777" w:rsidTr="005005CA">
        <w:tc>
          <w:tcPr>
            <w:tcW w:w="10345" w:type="dxa"/>
          </w:tcPr>
          <w:p w14:paraId="21639D4D" w14:textId="77777777" w:rsidR="001506C1" w:rsidRPr="00FA3F9C" w:rsidRDefault="001506C1" w:rsidP="00D23715">
            <w:pPr>
              <w:rPr>
                <w:rFonts w:ascii="Arial" w:hAnsi="Arial" w:cs="Arial"/>
                <w:sz w:val="24"/>
                <w:szCs w:val="24"/>
              </w:rPr>
            </w:pPr>
            <w:r w:rsidRPr="00FA3F9C">
              <w:rPr>
                <w:rFonts w:ascii="Arial" w:hAnsi="Arial" w:cs="Arial"/>
                <w:sz w:val="24"/>
                <w:szCs w:val="24"/>
              </w:rPr>
              <w:t>Clinical history</w:t>
            </w:r>
          </w:p>
        </w:tc>
        <w:tc>
          <w:tcPr>
            <w:tcW w:w="445" w:type="dxa"/>
          </w:tcPr>
          <w:p w14:paraId="05965284" w14:textId="77777777" w:rsidR="001506C1" w:rsidRPr="00FA3F9C" w:rsidRDefault="001506C1" w:rsidP="00D23715">
            <w:pPr>
              <w:rPr>
                <w:rFonts w:ascii="Arial" w:hAnsi="Arial" w:cs="Arial"/>
                <w:sz w:val="24"/>
                <w:szCs w:val="24"/>
              </w:rPr>
            </w:pPr>
          </w:p>
        </w:tc>
      </w:tr>
      <w:tr w:rsidR="001506C1" w:rsidRPr="00FA3F9C" w14:paraId="216949BD" w14:textId="77777777" w:rsidTr="005005CA">
        <w:tc>
          <w:tcPr>
            <w:tcW w:w="10345" w:type="dxa"/>
          </w:tcPr>
          <w:p w14:paraId="53EA5C90" w14:textId="77777777" w:rsidR="001506C1" w:rsidRPr="00FA3F9C" w:rsidRDefault="001506C1" w:rsidP="00D23715">
            <w:pPr>
              <w:rPr>
                <w:rFonts w:ascii="Arial" w:hAnsi="Arial" w:cs="Arial"/>
                <w:sz w:val="24"/>
                <w:szCs w:val="24"/>
              </w:rPr>
            </w:pPr>
            <w:r w:rsidRPr="00FA3F9C">
              <w:rPr>
                <w:rFonts w:ascii="Arial" w:hAnsi="Arial" w:cs="Arial"/>
                <w:sz w:val="24"/>
                <w:szCs w:val="24"/>
              </w:rPr>
              <w:t>a. Patient has premature (men &lt;55y, women &lt;60y) coronary artery disease</w:t>
            </w:r>
          </w:p>
        </w:tc>
        <w:tc>
          <w:tcPr>
            <w:tcW w:w="445" w:type="dxa"/>
          </w:tcPr>
          <w:p w14:paraId="60EDE4A4" w14:textId="77777777" w:rsidR="001506C1" w:rsidRPr="00FA3F9C" w:rsidRDefault="001506C1" w:rsidP="00D23715">
            <w:pPr>
              <w:rPr>
                <w:rFonts w:ascii="Arial" w:hAnsi="Arial" w:cs="Arial"/>
                <w:sz w:val="24"/>
                <w:szCs w:val="24"/>
              </w:rPr>
            </w:pPr>
            <w:r w:rsidRPr="00FA3F9C">
              <w:rPr>
                <w:rFonts w:ascii="Arial" w:hAnsi="Arial" w:cs="Arial"/>
                <w:sz w:val="24"/>
                <w:szCs w:val="24"/>
              </w:rPr>
              <w:t>2</w:t>
            </w:r>
          </w:p>
        </w:tc>
      </w:tr>
      <w:tr w:rsidR="001506C1" w:rsidRPr="00FA3F9C" w14:paraId="159EE133" w14:textId="77777777" w:rsidTr="005005CA">
        <w:tc>
          <w:tcPr>
            <w:tcW w:w="10345" w:type="dxa"/>
          </w:tcPr>
          <w:p w14:paraId="5F3E8930" w14:textId="77777777" w:rsidR="001506C1" w:rsidRPr="00FA3F9C" w:rsidRDefault="001506C1" w:rsidP="00D23715">
            <w:pPr>
              <w:rPr>
                <w:rFonts w:ascii="Arial" w:hAnsi="Arial" w:cs="Arial"/>
                <w:sz w:val="24"/>
                <w:szCs w:val="24"/>
              </w:rPr>
            </w:pPr>
            <w:r w:rsidRPr="00FA3F9C">
              <w:rPr>
                <w:rFonts w:ascii="Arial" w:hAnsi="Arial" w:cs="Arial"/>
                <w:sz w:val="24"/>
                <w:szCs w:val="24"/>
              </w:rPr>
              <w:t>b. Patient has premature (men &lt;55y, women &lt;60y) cerebral or peripheral vascular disease</w:t>
            </w:r>
          </w:p>
        </w:tc>
        <w:tc>
          <w:tcPr>
            <w:tcW w:w="445" w:type="dxa"/>
          </w:tcPr>
          <w:p w14:paraId="7D21D2BF" w14:textId="77777777" w:rsidR="001506C1" w:rsidRPr="00FA3F9C" w:rsidRDefault="001506C1" w:rsidP="00D23715">
            <w:pPr>
              <w:rPr>
                <w:rFonts w:ascii="Arial" w:hAnsi="Arial" w:cs="Arial"/>
                <w:sz w:val="24"/>
                <w:szCs w:val="24"/>
              </w:rPr>
            </w:pPr>
            <w:r w:rsidRPr="00FA3F9C">
              <w:rPr>
                <w:rFonts w:ascii="Arial" w:hAnsi="Arial" w:cs="Arial"/>
                <w:sz w:val="24"/>
                <w:szCs w:val="24"/>
              </w:rPr>
              <w:t>1</w:t>
            </w:r>
          </w:p>
        </w:tc>
      </w:tr>
      <w:tr w:rsidR="001506C1" w:rsidRPr="00FA3F9C" w14:paraId="011E16BC" w14:textId="77777777" w:rsidTr="005005CA">
        <w:tc>
          <w:tcPr>
            <w:tcW w:w="10345" w:type="dxa"/>
          </w:tcPr>
          <w:p w14:paraId="0B322617" w14:textId="77777777" w:rsidR="001506C1" w:rsidRPr="00FA3F9C" w:rsidRDefault="001506C1" w:rsidP="00D23715">
            <w:pPr>
              <w:rPr>
                <w:rFonts w:ascii="Arial" w:hAnsi="Arial" w:cs="Arial"/>
                <w:sz w:val="24"/>
                <w:szCs w:val="24"/>
              </w:rPr>
            </w:pPr>
          </w:p>
        </w:tc>
        <w:tc>
          <w:tcPr>
            <w:tcW w:w="445" w:type="dxa"/>
          </w:tcPr>
          <w:p w14:paraId="1DEBFB8D" w14:textId="77777777" w:rsidR="001506C1" w:rsidRPr="00FA3F9C" w:rsidRDefault="001506C1" w:rsidP="00D23715">
            <w:pPr>
              <w:rPr>
                <w:rFonts w:ascii="Arial" w:hAnsi="Arial" w:cs="Arial"/>
                <w:sz w:val="24"/>
                <w:szCs w:val="24"/>
              </w:rPr>
            </w:pPr>
          </w:p>
        </w:tc>
      </w:tr>
      <w:tr w:rsidR="001506C1" w:rsidRPr="00FA3F9C" w14:paraId="04E7C537" w14:textId="77777777" w:rsidTr="005005CA">
        <w:tc>
          <w:tcPr>
            <w:tcW w:w="10345" w:type="dxa"/>
          </w:tcPr>
          <w:p w14:paraId="7A5ADAD9" w14:textId="77777777" w:rsidR="001506C1" w:rsidRPr="00FA3F9C" w:rsidRDefault="001506C1" w:rsidP="00D23715">
            <w:pPr>
              <w:rPr>
                <w:rFonts w:ascii="Arial" w:hAnsi="Arial" w:cs="Arial"/>
                <w:sz w:val="24"/>
                <w:szCs w:val="24"/>
              </w:rPr>
            </w:pPr>
            <w:r w:rsidRPr="00FA3F9C">
              <w:rPr>
                <w:rFonts w:ascii="Arial" w:hAnsi="Arial" w:cs="Arial"/>
                <w:sz w:val="24"/>
                <w:szCs w:val="24"/>
              </w:rPr>
              <w:t>Physical examination</w:t>
            </w:r>
          </w:p>
        </w:tc>
        <w:tc>
          <w:tcPr>
            <w:tcW w:w="445" w:type="dxa"/>
          </w:tcPr>
          <w:p w14:paraId="0A8AABA6" w14:textId="77777777" w:rsidR="001506C1" w:rsidRPr="00FA3F9C" w:rsidRDefault="001506C1" w:rsidP="00D23715">
            <w:pPr>
              <w:rPr>
                <w:rFonts w:ascii="Arial" w:hAnsi="Arial" w:cs="Arial"/>
                <w:sz w:val="24"/>
                <w:szCs w:val="24"/>
              </w:rPr>
            </w:pPr>
          </w:p>
        </w:tc>
      </w:tr>
      <w:tr w:rsidR="001506C1" w:rsidRPr="00FA3F9C" w14:paraId="588D0B63" w14:textId="77777777" w:rsidTr="005005CA">
        <w:tc>
          <w:tcPr>
            <w:tcW w:w="10345" w:type="dxa"/>
          </w:tcPr>
          <w:p w14:paraId="4A859483" w14:textId="77777777" w:rsidR="001506C1" w:rsidRPr="00FA3F9C" w:rsidRDefault="001506C1" w:rsidP="00D23715">
            <w:pPr>
              <w:rPr>
                <w:rFonts w:ascii="Arial" w:hAnsi="Arial" w:cs="Arial"/>
                <w:sz w:val="24"/>
                <w:szCs w:val="24"/>
              </w:rPr>
            </w:pPr>
            <w:r w:rsidRPr="00FA3F9C">
              <w:rPr>
                <w:rFonts w:ascii="Arial" w:hAnsi="Arial" w:cs="Arial"/>
                <w:sz w:val="24"/>
                <w:szCs w:val="24"/>
              </w:rPr>
              <w:t>a. Tendon xanthomata</w:t>
            </w:r>
          </w:p>
        </w:tc>
        <w:tc>
          <w:tcPr>
            <w:tcW w:w="445" w:type="dxa"/>
          </w:tcPr>
          <w:p w14:paraId="019F5503" w14:textId="77777777" w:rsidR="001506C1" w:rsidRPr="00FA3F9C" w:rsidRDefault="001506C1" w:rsidP="00D23715">
            <w:pPr>
              <w:rPr>
                <w:rFonts w:ascii="Arial" w:hAnsi="Arial" w:cs="Arial"/>
                <w:sz w:val="24"/>
                <w:szCs w:val="24"/>
              </w:rPr>
            </w:pPr>
            <w:r w:rsidRPr="00FA3F9C">
              <w:rPr>
                <w:rFonts w:ascii="Arial" w:hAnsi="Arial" w:cs="Arial"/>
                <w:sz w:val="24"/>
                <w:szCs w:val="24"/>
              </w:rPr>
              <w:t>6</w:t>
            </w:r>
          </w:p>
        </w:tc>
      </w:tr>
      <w:tr w:rsidR="001506C1" w:rsidRPr="00FA3F9C" w14:paraId="71466FFC" w14:textId="77777777" w:rsidTr="005005CA">
        <w:tc>
          <w:tcPr>
            <w:tcW w:w="10345" w:type="dxa"/>
          </w:tcPr>
          <w:p w14:paraId="35FAB0C1" w14:textId="77777777" w:rsidR="001506C1" w:rsidRPr="00FA3F9C" w:rsidRDefault="001506C1" w:rsidP="00D23715">
            <w:pPr>
              <w:rPr>
                <w:rFonts w:ascii="Arial" w:hAnsi="Arial" w:cs="Arial"/>
                <w:sz w:val="24"/>
                <w:szCs w:val="24"/>
              </w:rPr>
            </w:pPr>
            <w:r w:rsidRPr="00FA3F9C">
              <w:rPr>
                <w:rFonts w:ascii="Arial" w:hAnsi="Arial" w:cs="Arial"/>
                <w:sz w:val="24"/>
                <w:szCs w:val="24"/>
              </w:rPr>
              <w:t xml:space="preserve">b. Arcus </w:t>
            </w:r>
            <w:proofErr w:type="spellStart"/>
            <w:r w:rsidRPr="00FA3F9C">
              <w:rPr>
                <w:rFonts w:ascii="Arial" w:hAnsi="Arial" w:cs="Arial"/>
                <w:sz w:val="24"/>
                <w:szCs w:val="24"/>
              </w:rPr>
              <w:t>cornealis</w:t>
            </w:r>
            <w:proofErr w:type="spellEnd"/>
            <w:r w:rsidRPr="00FA3F9C">
              <w:rPr>
                <w:rFonts w:ascii="Arial" w:hAnsi="Arial" w:cs="Arial"/>
                <w:sz w:val="24"/>
                <w:szCs w:val="24"/>
              </w:rPr>
              <w:t xml:space="preserve"> below the age of 45 y</w:t>
            </w:r>
          </w:p>
        </w:tc>
        <w:tc>
          <w:tcPr>
            <w:tcW w:w="445" w:type="dxa"/>
          </w:tcPr>
          <w:p w14:paraId="6D5BAE9B" w14:textId="77777777" w:rsidR="001506C1" w:rsidRPr="00FA3F9C" w:rsidRDefault="001506C1" w:rsidP="00D23715">
            <w:pPr>
              <w:rPr>
                <w:rFonts w:ascii="Arial" w:hAnsi="Arial" w:cs="Arial"/>
                <w:sz w:val="24"/>
                <w:szCs w:val="24"/>
              </w:rPr>
            </w:pPr>
            <w:r w:rsidRPr="00FA3F9C">
              <w:rPr>
                <w:rFonts w:ascii="Arial" w:hAnsi="Arial" w:cs="Arial"/>
                <w:sz w:val="24"/>
                <w:szCs w:val="24"/>
              </w:rPr>
              <w:t>4</w:t>
            </w:r>
          </w:p>
        </w:tc>
      </w:tr>
      <w:tr w:rsidR="001506C1" w:rsidRPr="00FA3F9C" w14:paraId="5D59749C" w14:textId="77777777" w:rsidTr="005005CA">
        <w:tc>
          <w:tcPr>
            <w:tcW w:w="10345" w:type="dxa"/>
          </w:tcPr>
          <w:p w14:paraId="3643042B" w14:textId="77777777" w:rsidR="001506C1" w:rsidRPr="00FA3F9C" w:rsidRDefault="001506C1" w:rsidP="00D23715">
            <w:pPr>
              <w:rPr>
                <w:rFonts w:ascii="Arial" w:hAnsi="Arial" w:cs="Arial"/>
                <w:sz w:val="24"/>
                <w:szCs w:val="24"/>
              </w:rPr>
            </w:pPr>
          </w:p>
        </w:tc>
        <w:tc>
          <w:tcPr>
            <w:tcW w:w="445" w:type="dxa"/>
          </w:tcPr>
          <w:p w14:paraId="4403B592" w14:textId="77777777" w:rsidR="001506C1" w:rsidRPr="00FA3F9C" w:rsidRDefault="001506C1" w:rsidP="00D23715">
            <w:pPr>
              <w:rPr>
                <w:rFonts w:ascii="Arial" w:hAnsi="Arial" w:cs="Arial"/>
                <w:sz w:val="24"/>
                <w:szCs w:val="24"/>
              </w:rPr>
            </w:pPr>
          </w:p>
        </w:tc>
      </w:tr>
      <w:tr w:rsidR="001506C1" w:rsidRPr="00FA3F9C" w14:paraId="783D0B53" w14:textId="77777777" w:rsidTr="005005CA">
        <w:tc>
          <w:tcPr>
            <w:tcW w:w="10345" w:type="dxa"/>
          </w:tcPr>
          <w:p w14:paraId="4BDB64F4" w14:textId="77777777" w:rsidR="001506C1" w:rsidRPr="00FA3F9C" w:rsidRDefault="001506C1" w:rsidP="00D23715">
            <w:pPr>
              <w:rPr>
                <w:rFonts w:ascii="Arial" w:hAnsi="Arial" w:cs="Arial"/>
                <w:sz w:val="24"/>
                <w:szCs w:val="24"/>
              </w:rPr>
            </w:pPr>
            <w:r w:rsidRPr="00FA3F9C">
              <w:rPr>
                <w:rFonts w:ascii="Arial" w:hAnsi="Arial" w:cs="Arial"/>
                <w:sz w:val="24"/>
                <w:szCs w:val="24"/>
              </w:rPr>
              <w:t>Lab analysis</w:t>
            </w:r>
          </w:p>
        </w:tc>
        <w:tc>
          <w:tcPr>
            <w:tcW w:w="445" w:type="dxa"/>
          </w:tcPr>
          <w:p w14:paraId="3ABCCE24" w14:textId="77777777" w:rsidR="001506C1" w:rsidRPr="00FA3F9C" w:rsidRDefault="001506C1" w:rsidP="00D23715">
            <w:pPr>
              <w:rPr>
                <w:rFonts w:ascii="Arial" w:hAnsi="Arial" w:cs="Arial"/>
                <w:sz w:val="24"/>
                <w:szCs w:val="24"/>
              </w:rPr>
            </w:pPr>
          </w:p>
        </w:tc>
      </w:tr>
      <w:tr w:rsidR="001506C1" w:rsidRPr="00FA3F9C" w14:paraId="0344E1FB" w14:textId="77777777" w:rsidTr="005005CA">
        <w:tc>
          <w:tcPr>
            <w:tcW w:w="10345" w:type="dxa"/>
          </w:tcPr>
          <w:p w14:paraId="58E85D98" w14:textId="77777777" w:rsidR="001506C1" w:rsidRPr="00FA3F9C" w:rsidRDefault="001506C1" w:rsidP="00D23715">
            <w:pPr>
              <w:rPr>
                <w:rFonts w:ascii="Arial" w:hAnsi="Arial" w:cs="Arial"/>
                <w:sz w:val="24"/>
                <w:szCs w:val="24"/>
              </w:rPr>
            </w:pPr>
            <w:r w:rsidRPr="00FA3F9C">
              <w:rPr>
                <w:rFonts w:ascii="Arial" w:hAnsi="Arial" w:cs="Arial"/>
                <w:sz w:val="24"/>
                <w:szCs w:val="24"/>
              </w:rPr>
              <w:t>a. LDL &gt;330 mg/dL</w:t>
            </w:r>
          </w:p>
        </w:tc>
        <w:tc>
          <w:tcPr>
            <w:tcW w:w="445" w:type="dxa"/>
          </w:tcPr>
          <w:p w14:paraId="655B8687" w14:textId="77777777" w:rsidR="001506C1" w:rsidRPr="00FA3F9C" w:rsidRDefault="001506C1" w:rsidP="00D23715">
            <w:pPr>
              <w:rPr>
                <w:rFonts w:ascii="Arial" w:hAnsi="Arial" w:cs="Arial"/>
                <w:sz w:val="24"/>
                <w:szCs w:val="24"/>
              </w:rPr>
            </w:pPr>
            <w:r w:rsidRPr="00FA3F9C">
              <w:rPr>
                <w:rFonts w:ascii="Arial" w:hAnsi="Arial" w:cs="Arial"/>
                <w:sz w:val="24"/>
                <w:szCs w:val="24"/>
              </w:rPr>
              <w:t>8</w:t>
            </w:r>
          </w:p>
        </w:tc>
      </w:tr>
      <w:tr w:rsidR="001506C1" w:rsidRPr="00FA3F9C" w14:paraId="2FC1B528" w14:textId="77777777" w:rsidTr="005005CA">
        <w:tc>
          <w:tcPr>
            <w:tcW w:w="10345" w:type="dxa"/>
          </w:tcPr>
          <w:p w14:paraId="049E141B" w14:textId="77777777" w:rsidR="001506C1" w:rsidRPr="00FA3F9C" w:rsidRDefault="001506C1" w:rsidP="00D23715">
            <w:pPr>
              <w:rPr>
                <w:rFonts w:ascii="Arial" w:hAnsi="Arial" w:cs="Arial"/>
                <w:sz w:val="24"/>
                <w:szCs w:val="24"/>
              </w:rPr>
            </w:pPr>
            <w:r w:rsidRPr="00FA3F9C">
              <w:rPr>
                <w:rFonts w:ascii="Arial" w:hAnsi="Arial" w:cs="Arial"/>
                <w:sz w:val="24"/>
                <w:szCs w:val="24"/>
              </w:rPr>
              <w:t>b. LDL 250-329 mg/dL</w:t>
            </w:r>
          </w:p>
        </w:tc>
        <w:tc>
          <w:tcPr>
            <w:tcW w:w="445" w:type="dxa"/>
          </w:tcPr>
          <w:p w14:paraId="3F7612F2" w14:textId="77777777" w:rsidR="001506C1" w:rsidRPr="00FA3F9C" w:rsidRDefault="001506C1" w:rsidP="00D23715">
            <w:pPr>
              <w:rPr>
                <w:rFonts w:ascii="Arial" w:hAnsi="Arial" w:cs="Arial"/>
                <w:sz w:val="24"/>
                <w:szCs w:val="24"/>
              </w:rPr>
            </w:pPr>
            <w:r w:rsidRPr="00FA3F9C">
              <w:rPr>
                <w:rFonts w:ascii="Arial" w:hAnsi="Arial" w:cs="Arial"/>
                <w:sz w:val="24"/>
                <w:szCs w:val="24"/>
              </w:rPr>
              <w:t>5</w:t>
            </w:r>
          </w:p>
        </w:tc>
      </w:tr>
      <w:tr w:rsidR="001506C1" w:rsidRPr="00FA3F9C" w14:paraId="34AF6CEE" w14:textId="77777777" w:rsidTr="005005CA">
        <w:tc>
          <w:tcPr>
            <w:tcW w:w="10345" w:type="dxa"/>
          </w:tcPr>
          <w:p w14:paraId="354F95A0" w14:textId="77777777" w:rsidR="001506C1" w:rsidRPr="00FA3F9C" w:rsidRDefault="001506C1" w:rsidP="00D23715">
            <w:pPr>
              <w:rPr>
                <w:rFonts w:ascii="Arial" w:hAnsi="Arial" w:cs="Arial"/>
                <w:sz w:val="24"/>
                <w:szCs w:val="24"/>
              </w:rPr>
            </w:pPr>
            <w:r w:rsidRPr="00FA3F9C">
              <w:rPr>
                <w:rFonts w:ascii="Arial" w:hAnsi="Arial" w:cs="Arial"/>
                <w:sz w:val="24"/>
                <w:szCs w:val="24"/>
              </w:rPr>
              <w:t>c. LDL 190-249 mg/dL</w:t>
            </w:r>
          </w:p>
        </w:tc>
        <w:tc>
          <w:tcPr>
            <w:tcW w:w="445" w:type="dxa"/>
          </w:tcPr>
          <w:p w14:paraId="492BE9A6" w14:textId="77777777" w:rsidR="001506C1" w:rsidRPr="00FA3F9C" w:rsidRDefault="001506C1" w:rsidP="00D23715">
            <w:pPr>
              <w:rPr>
                <w:rFonts w:ascii="Arial" w:hAnsi="Arial" w:cs="Arial"/>
                <w:sz w:val="24"/>
                <w:szCs w:val="24"/>
              </w:rPr>
            </w:pPr>
            <w:r w:rsidRPr="00FA3F9C">
              <w:rPr>
                <w:rFonts w:ascii="Arial" w:hAnsi="Arial" w:cs="Arial"/>
                <w:sz w:val="24"/>
                <w:szCs w:val="24"/>
              </w:rPr>
              <w:t>3</w:t>
            </w:r>
          </w:p>
        </w:tc>
      </w:tr>
      <w:tr w:rsidR="001506C1" w:rsidRPr="00FA3F9C" w14:paraId="6647A4A1" w14:textId="77777777" w:rsidTr="005005CA">
        <w:tc>
          <w:tcPr>
            <w:tcW w:w="10345" w:type="dxa"/>
          </w:tcPr>
          <w:p w14:paraId="48F2C851" w14:textId="77777777" w:rsidR="001506C1" w:rsidRPr="00FA3F9C" w:rsidRDefault="001506C1" w:rsidP="00D23715">
            <w:pPr>
              <w:rPr>
                <w:rFonts w:ascii="Arial" w:hAnsi="Arial" w:cs="Arial"/>
                <w:sz w:val="24"/>
                <w:szCs w:val="24"/>
              </w:rPr>
            </w:pPr>
            <w:r w:rsidRPr="00FA3F9C">
              <w:rPr>
                <w:rFonts w:ascii="Arial" w:hAnsi="Arial" w:cs="Arial"/>
                <w:sz w:val="24"/>
                <w:szCs w:val="24"/>
              </w:rPr>
              <w:t>d. LDL 155-189</w:t>
            </w:r>
          </w:p>
        </w:tc>
        <w:tc>
          <w:tcPr>
            <w:tcW w:w="445" w:type="dxa"/>
          </w:tcPr>
          <w:p w14:paraId="24FBADCF" w14:textId="77777777" w:rsidR="001506C1" w:rsidRPr="00FA3F9C" w:rsidRDefault="001506C1" w:rsidP="00D23715">
            <w:pPr>
              <w:rPr>
                <w:rFonts w:ascii="Arial" w:hAnsi="Arial" w:cs="Arial"/>
                <w:sz w:val="24"/>
                <w:szCs w:val="24"/>
              </w:rPr>
            </w:pPr>
            <w:r w:rsidRPr="00FA3F9C">
              <w:rPr>
                <w:rFonts w:ascii="Arial" w:hAnsi="Arial" w:cs="Arial"/>
                <w:sz w:val="24"/>
                <w:szCs w:val="24"/>
              </w:rPr>
              <w:t>1</w:t>
            </w:r>
          </w:p>
        </w:tc>
      </w:tr>
      <w:tr w:rsidR="001506C1" w:rsidRPr="00FA3F9C" w14:paraId="2F647F48" w14:textId="77777777" w:rsidTr="005005CA">
        <w:tc>
          <w:tcPr>
            <w:tcW w:w="10345" w:type="dxa"/>
          </w:tcPr>
          <w:p w14:paraId="6583AACC" w14:textId="77777777" w:rsidR="001506C1" w:rsidRPr="00FA3F9C" w:rsidRDefault="001506C1" w:rsidP="00D23715">
            <w:pPr>
              <w:rPr>
                <w:rFonts w:ascii="Arial" w:hAnsi="Arial" w:cs="Arial"/>
                <w:sz w:val="24"/>
                <w:szCs w:val="24"/>
              </w:rPr>
            </w:pPr>
          </w:p>
        </w:tc>
        <w:tc>
          <w:tcPr>
            <w:tcW w:w="445" w:type="dxa"/>
          </w:tcPr>
          <w:p w14:paraId="073C4D0C" w14:textId="77777777" w:rsidR="001506C1" w:rsidRPr="00FA3F9C" w:rsidRDefault="001506C1" w:rsidP="00D23715">
            <w:pPr>
              <w:rPr>
                <w:rFonts w:ascii="Arial" w:hAnsi="Arial" w:cs="Arial"/>
                <w:sz w:val="24"/>
                <w:szCs w:val="24"/>
              </w:rPr>
            </w:pPr>
          </w:p>
        </w:tc>
      </w:tr>
      <w:tr w:rsidR="001506C1" w:rsidRPr="00FA3F9C" w14:paraId="7D8FB937" w14:textId="77777777" w:rsidTr="005005CA">
        <w:tc>
          <w:tcPr>
            <w:tcW w:w="10345" w:type="dxa"/>
          </w:tcPr>
          <w:p w14:paraId="3D73B04B" w14:textId="77777777" w:rsidR="001506C1" w:rsidRPr="00FA3F9C" w:rsidRDefault="001506C1" w:rsidP="00D23715">
            <w:pPr>
              <w:rPr>
                <w:rFonts w:ascii="Arial" w:hAnsi="Arial" w:cs="Arial"/>
                <w:sz w:val="24"/>
                <w:szCs w:val="24"/>
              </w:rPr>
            </w:pPr>
            <w:r w:rsidRPr="00FA3F9C">
              <w:rPr>
                <w:rFonts w:ascii="Arial" w:hAnsi="Arial" w:cs="Arial"/>
                <w:sz w:val="24"/>
                <w:szCs w:val="24"/>
              </w:rPr>
              <w:t>DNA-analysis</w:t>
            </w:r>
          </w:p>
        </w:tc>
        <w:tc>
          <w:tcPr>
            <w:tcW w:w="445" w:type="dxa"/>
          </w:tcPr>
          <w:p w14:paraId="1A3EFD7F" w14:textId="77777777" w:rsidR="001506C1" w:rsidRPr="00FA3F9C" w:rsidRDefault="001506C1" w:rsidP="00D23715">
            <w:pPr>
              <w:rPr>
                <w:rFonts w:ascii="Arial" w:hAnsi="Arial" w:cs="Arial"/>
                <w:sz w:val="24"/>
                <w:szCs w:val="24"/>
              </w:rPr>
            </w:pPr>
          </w:p>
        </w:tc>
      </w:tr>
      <w:tr w:rsidR="001506C1" w:rsidRPr="00FA3F9C" w14:paraId="16FA224D" w14:textId="77777777" w:rsidTr="005005CA">
        <w:tc>
          <w:tcPr>
            <w:tcW w:w="10345" w:type="dxa"/>
          </w:tcPr>
          <w:p w14:paraId="0DC16925" w14:textId="77777777" w:rsidR="001506C1" w:rsidRPr="00FA3F9C" w:rsidRDefault="001506C1" w:rsidP="00D23715">
            <w:pPr>
              <w:rPr>
                <w:rFonts w:ascii="Arial" w:hAnsi="Arial" w:cs="Arial"/>
                <w:sz w:val="24"/>
                <w:szCs w:val="24"/>
              </w:rPr>
            </w:pPr>
            <w:r w:rsidRPr="00FA3F9C">
              <w:rPr>
                <w:rFonts w:ascii="Arial" w:hAnsi="Arial" w:cs="Arial"/>
                <w:sz w:val="24"/>
                <w:szCs w:val="24"/>
              </w:rPr>
              <w:t>a. Functional mutation LDL receptor gene present</w:t>
            </w:r>
          </w:p>
        </w:tc>
        <w:tc>
          <w:tcPr>
            <w:tcW w:w="445" w:type="dxa"/>
          </w:tcPr>
          <w:p w14:paraId="4FEB7526" w14:textId="77777777" w:rsidR="001506C1" w:rsidRPr="00FA3F9C" w:rsidRDefault="001506C1" w:rsidP="00D23715">
            <w:pPr>
              <w:rPr>
                <w:rFonts w:ascii="Arial" w:hAnsi="Arial" w:cs="Arial"/>
                <w:sz w:val="24"/>
                <w:szCs w:val="24"/>
              </w:rPr>
            </w:pPr>
            <w:r w:rsidRPr="00FA3F9C">
              <w:rPr>
                <w:rFonts w:ascii="Arial" w:hAnsi="Arial" w:cs="Arial"/>
                <w:sz w:val="24"/>
                <w:szCs w:val="24"/>
              </w:rPr>
              <w:t>8</w:t>
            </w:r>
          </w:p>
        </w:tc>
      </w:tr>
      <w:tr w:rsidR="001506C1" w:rsidRPr="00FA3F9C" w14:paraId="14AA4100" w14:textId="77777777" w:rsidTr="005005CA">
        <w:tc>
          <w:tcPr>
            <w:tcW w:w="10345" w:type="dxa"/>
          </w:tcPr>
          <w:p w14:paraId="1502A23E" w14:textId="77777777" w:rsidR="001506C1" w:rsidRPr="00FA3F9C" w:rsidRDefault="001506C1" w:rsidP="0038720E">
            <w:pPr>
              <w:jc w:val="center"/>
              <w:rPr>
                <w:rFonts w:ascii="Arial" w:hAnsi="Arial" w:cs="Arial"/>
                <w:sz w:val="24"/>
                <w:szCs w:val="24"/>
              </w:rPr>
            </w:pPr>
            <w:r w:rsidRPr="00FA3F9C">
              <w:rPr>
                <w:rFonts w:ascii="Arial" w:hAnsi="Arial" w:cs="Arial"/>
                <w:sz w:val="24"/>
                <w:szCs w:val="24"/>
              </w:rPr>
              <w:t xml:space="preserve">Diagnosis of </w:t>
            </w:r>
            <w:proofErr w:type="spellStart"/>
            <w:r w:rsidRPr="00FA3F9C">
              <w:rPr>
                <w:rFonts w:ascii="Arial" w:hAnsi="Arial" w:cs="Arial"/>
                <w:sz w:val="24"/>
                <w:szCs w:val="24"/>
              </w:rPr>
              <w:t>heFH</w:t>
            </w:r>
            <w:proofErr w:type="spellEnd"/>
            <w:r w:rsidRPr="00FA3F9C">
              <w:rPr>
                <w:rFonts w:ascii="Arial" w:hAnsi="Arial" w:cs="Arial"/>
                <w:sz w:val="24"/>
                <w:szCs w:val="24"/>
              </w:rPr>
              <w:t xml:space="preserve"> is:</w:t>
            </w:r>
          </w:p>
          <w:p w14:paraId="2116D5D4" w14:textId="77777777" w:rsidR="001506C1" w:rsidRPr="00FA3F9C" w:rsidRDefault="001506C1" w:rsidP="0038720E">
            <w:pPr>
              <w:jc w:val="center"/>
              <w:rPr>
                <w:rFonts w:ascii="Arial" w:hAnsi="Arial" w:cs="Arial"/>
                <w:sz w:val="24"/>
                <w:szCs w:val="24"/>
              </w:rPr>
            </w:pPr>
            <w:r w:rsidRPr="00FA3F9C">
              <w:rPr>
                <w:rFonts w:ascii="Arial" w:hAnsi="Arial" w:cs="Arial"/>
                <w:sz w:val="24"/>
                <w:szCs w:val="24"/>
              </w:rPr>
              <w:t>Certain when &gt;8 points</w:t>
            </w:r>
          </w:p>
          <w:p w14:paraId="0415ED6D" w14:textId="77777777" w:rsidR="001506C1" w:rsidRPr="00FA3F9C" w:rsidRDefault="001506C1" w:rsidP="0038720E">
            <w:pPr>
              <w:jc w:val="center"/>
              <w:rPr>
                <w:rFonts w:ascii="Arial" w:hAnsi="Arial" w:cs="Arial"/>
                <w:sz w:val="24"/>
                <w:szCs w:val="24"/>
              </w:rPr>
            </w:pPr>
            <w:r w:rsidRPr="00FA3F9C">
              <w:rPr>
                <w:rFonts w:ascii="Arial" w:hAnsi="Arial" w:cs="Arial"/>
                <w:sz w:val="24"/>
                <w:szCs w:val="24"/>
              </w:rPr>
              <w:t>Probable when 6-8 points</w:t>
            </w:r>
          </w:p>
          <w:p w14:paraId="5842260B" w14:textId="77777777" w:rsidR="001506C1" w:rsidRPr="00FA3F9C" w:rsidRDefault="001506C1" w:rsidP="0038720E">
            <w:pPr>
              <w:jc w:val="center"/>
              <w:rPr>
                <w:rFonts w:ascii="Arial" w:hAnsi="Arial" w:cs="Arial"/>
                <w:sz w:val="24"/>
                <w:szCs w:val="24"/>
              </w:rPr>
            </w:pPr>
            <w:r w:rsidRPr="00FA3F9C">
              <w:rPr>
                <w:rFonts w:ascii="Arial" w:hAnsi="Arial" w:cs="Arial"/>
                <w:sz w:val="24"/>
                <w:szCs w:val="24"/>
              </w:rPr>
              <w:t>Possible when 3-5 points</w:t>
            </w:r>
          </w:p>
        </w:tc>
        <w:tc>
          <w:tcPr>
            <w:tcW w:w="445" w:type="dxa"/>
          </w:tcPr>
          <w:p w14:paraId="7CBA5DB7" w14:textId="77777777" w:rsidR="001506C1" w:rsidRPr="00FA3F9C" w:rsidRDefault="001506C1" w:rsidP="00D23715">
            <w:pPr>
              <w:rPr>
                <w:rFonts w:ascii="Arial" w:hAnsi="Arial" w:cs="Arial"/>
                <w:sz w:val="24"/>
                <w:szCs w:val="24"/>
              </w:rPr>
            </w:pPr>
          </w:p>
        </w:tc>
      </w:tr>
    </w:tbl>
    <w:p w14:paraId="628C58DE" w14:textId="6B99BE3E" w:rsidR="001506C1" w:rsidRPr="00FA3F9C" w:rsidRDefault="001506C1" w:rsidP="00D23715">
      <w:pPr>
        <w:spacing w:after="0"/>
        <w:rPr>
          <w:rFonts w:ascii="Arial" w:hAnsi="Arial" w:cs="Arial"/>
          <w:sz w:val="24"/>
          <w:szCs w:val="24"/>
        </w:rPr>
      </w:pPr>
    </w:p>
    <w:p w14:paraId="3D3A1B82" w14:textId="77777777" w:rsidR="001506C1" w:rsidRPr="00FA3F9C" w:rsidRDefault="001506C1" w:rsidP="0038720E">
      <w:pPr>
        <w:spacing w:after="0" w:line="240" w:lineRule="auto"/>
        <w:rPr>
          <w:rFonts w:ascii="Arial" w:eastAsia="Times New Roman" w:hAnsi="Arial" w:cs="Arial"/>
          <w:sz w:val="24"/>
          <w:szCs w:val="24"/>
        </w:rPr>
      </w:pPr>
      <w:r w:rsidRPr="00FA3F9C">
        <w:rPr>
          <w:rFonts w:ascii="Arial" w:eastAsia="Times New Roman" w:hAnsi="Arial" w:cs="Arial"/>
          <w:sz w:val="24"/>
          <w:szCs w:val="24"/>
        </w:rPr>
        <w:t>APPENDIX B  Simon Broome Register Diagnostic Criteria for Heterozygous Familial Hypercholesterolemia</w:t>
      </w:r>
    </w:p>
    <w:p w14:paraId="793E226A" w14:textId="77777777" w:rsidR="001506C1" w:rsidRPr="00FA3F9C" w:rsidRDefault="001506C1" w:rsidP="0038720E">
      <w:pPr>
        <w:spacing w:after="0" w:line="240" w:lineRule="auto"/>
        <w:rPr>
          <w:rFonts w:ascii="Arial" w:eastAsia="Times New Roman" w:hAnsi="Arial" w:cs="Arial"/>
          <w:sz w:val="24"/>
          <w:szCs w:val="24"/>
        </w:rPr>
      </w:pPr>
    </w:p>
    <w:p w14:paraId="5FBB34B1" w14:textId="77777777" w:rsidR="001506C1" w:rsidRPr="00FA3F9C" w:rsidRDefault="001506C1" w:rsidP="0038720E">
      <w:pPr>
        <w:spacing w:after="0" w:line="240" w:lineRule="auto"/>
        <w:rPr>
          <w:rFonts w:ascii="Arial" w:eastAsia="Times New Roman" w:hAnsi="Arial" w:cs="Arial"/>
          <w:sz w:val="24"/>
          <w:szCs w:val="24"/>
        </w:rPr>
      </w:pPr>
      <w:r w:rsidRPr="00FA3F9C">
        <w:rPr>
          <w:rFonts w:ascii="Arial" w:eastAsia="Times New Roman" w:hAnsi="Arial" w:cs="Arial"/>
          <w:sz w:val="24"/>
          <w:szCs w:val="24"/>
        </w:rPr>
        <w:t xml:space="preserve">Definite familial hypercholesterolemia is defined as: </w:t>
      </w:r>
    </w:p>
    <w:p w14:paraId="2BE151A1" w14:textId="77777777" w:rsidR="001506C1" w:rsidRPr="00FA3F9C" w:rsidRDefault="001506C1" w:rsidP="0038720E">
      <w:pPr>
        <w:spacing w:after="0" w:line="240" w:lineRule="auto"/>
        <w:ind w:left="720"/>
        <w:rPr>
          <w:rFonts w:ascii="Arial" w:eastAsia="Times New Roman" w:hAnsi="Arial" w:cs="Arial"/>
          <w:sz w:val="24"/>
          <w:szCs w:val="24"/>
        </w:rPr>
      </w:pPr>
      <w:r w:rsidRPr="00FA3F9C">
        <w:rPr>
          <w:rFonts w:ascii="Arial" w:eastAsia="Times New Roman" w:hAnsi="Arial" w:cs="Arial"/>
          <w:sz w:val="24"/>
          <w:szCs w:val="24"/>
        </w:rPr>
        <w:t xml:space="preserve">• Total-C &gt;260 mg/dL or LDL cholesterol above 155 mg/dL in a child 290 mg/dL or LDL cholesterol above 190 mg/dL in an adult. (Levels either pre-treatment or highest on treatment) </w:t>
      </w:r>
    </w:p>
    <w:p w14:paraId="7E055378" w14:textId="77777777" w:rsidR="001506C1" w:rsidRPr="00FA3F9C" w:rsidRDefault="001506C1" w:rsidP="0038720E">
      <w:pPr>
        <w:spacing w:after="0" w:line="240" w:lineRule="auto"/>
        <w:ind w:left="720"/>
        <w:rPr>
          <w:rFonts w:ascii="Arial" w:eastAsia="Times New Roman" w:hAnsi="Arial" w:cs="Arial"/>
          <w:sz w:val="24"/>
          <w:szCs w:val="24"/>
        </w:rPr>
      </w:pPr>
      <w:r w:rsidRPr="00FA3F9C">
        <w:rPr>
          <w:rFonts w:ascii="Arial" w:eastAsia="Times New Roman" w:hAnsi="Arial" w:cs="Arial"/>
          <w:sz w:val="24"/>
          <w:szCs w:val="24"/>
        </w:rPr>
        <w:t xml:space="preserve">PLUS </w:t>
      </w:r>
    </w:p>
    <w:p w14:paraId="2D601576" w14:textId="77777777" w:rsidR="001506C1" w:rsidRPr="00FA3F9C" w:rsidRDefault="001506C1" w:rsidP="0038720E">
      <w:pPr>
        <w:spacing w:after="0" w:line="240" w:lineRule="auto"/>
        <w:ind w:left="720"/>
        <w:rPr>
          <w:rFonts w:ascii="Arial" w:eastAsia="Times New Roman" w:hAnsi="Arial" w:cs="Arial"/>
          <w:sz w:val="24"/>
          <w:szCs w:val="24"/>
        </w:rPr>
      </w:pPr>
      <w:r w:rsidRPr="00FA3F9C">
        <w:rPr>
          <w:rFonts w:ascii="Arial" w:eastAsia="Times New Roman" w:hAnsi="Arial" w:cs="Arial"/>
          <w:sz w:val="24"/>
          <w:szCs w:val="24"/>
        </w:rPr>
        <w:t xml:space="preserve">• Tendon xanthomas in patient, or in 1st degree relative (parent, sibling, child), or in 2nd degree relative (grandparent, uncle, aunt) </w:t>
      </w:r>
    </w:p>
    <w:p w14:paraId="5A2414E0" w14:textId="77777777" w:rsidR="001506C1" w:rsidRPr="00FA3F9C" w:rsidRDefault="001506C1" w:rsidP="0038720E">
      <w:pPr>
        <w:spacing w:after="0" w:line="240" w:lineRule="auto"/>
        <w:ind w:left="720"/>
        <w:rPr>
          <w:rFonts w:ascii="Arial" w:eastAsia="Times New Roman" w:hAnsi="Arial" w:cs="Arial"/>
          <w:sz w:val="24"/>
          <w:szCs w:val="24"/>
        </w:rPr>
      </w:pPr>
      <w:r w:rsidRPr="00FA3F9C">
        <w:rPr>
          <w:rFonts w:ascii="Arial" w:eastAsia="Times New Roman" w:hAnsi="Arial" w:cs="Arial"/>
          <w:sz w:val="24"/>
          <w:szCs w:val="24"/>
        </w:rPr>
        <w:t xml:space="preserve">OR </w:t>
      </w:r>
    </w:p>
    <w:p w14:paraId="3541BA61" w14:textId="77777777" w:rsidR="001506C1" w:rsidRPr="00FA3F9C" w:rsidRDefault="001506C1" w:rsidP="0038720E">
      <w:pPr>
        <w:spacing w:after="0" w:line="240" w:lineRule="auto"/>
        <w:ind w:left="720"/>
        <w:rPr>
          <w:rFonts w:ascii="Arial" w:eastAsia="Times New Roman" w:hAnsi="Arial" w:cs="Arial"/>
          <w:sz w:val="24"/>
          <w:szCs w:val="24"/>
        </w:rPr>
      </w:pPr>
      <w:r w:rsidRPr="00FA3F9C">
        <w:rPr>
          <w:rFonts w:ascii="Arial" w:eastAsia="Times New Roman" w:hAnsi="Arial" w:cs="Arial"/>
          <w:sz w:val="24"/>
          <w:szCs w:val="24"/>
        </w:rPr>
        <w:t xml:space="preserve">• DNA-based evidence of an LDL receptor mutation or familial defective apo B-100 </w:t>
      </w:r>
    </w:p>
    <w:p w14:paraId="3597EF62" w14:textId="77777777" w:rsidR="001506C1" w:rsidRPr="00FA3F9C" w:rsidRDefault="001506C1" w:rsidP="0038720E">
      <w:pPr>
        <w:spacing w:after="0" w:line="240" w:lineRule="auto"/>
        <w:ind w:left="720"/>
        <w:rPr>
          <w:rFonts w:ascii="Arial" w:eastAsia="Times New Roman" w:hAnsi="Arial" w:cs="Arial"/>
          <w:sz w:val="24"/>
          <w:szCs w:val="24"/>
        </w:rPr>
      </w:pPr>
    </w:p>
    <w:p w14:paraId="20C75BC5" w14:textId="77777777" w:rsidR="001506C1" w:rsidRPr="00FA3F9C" w:rsidRDefault="001506C1" w:rsidP="0038720E">
      <w:pPr>
        <w:spacing w:after="0" w:line="240" w:lineRule="auto"/>
        <w:rPr>
          <w:rFonts w:ascii="Arial" w:eastAsia="Times New Roman" w:hAnsi="Arial" w:cs="Arial"/>
          <w:sz w:val="24"/>
          <w:szCs w:val="24"/>
        </w:rPr>
      </w:pPr>
      <w:r w:rsidRPr="00FA3F9C">
        <w:rPr>
          <w:rFonts w:ascii="Arial" w:eastAsia="Times New Roman" w:hAnsi="Arial" w:cs="Arial"/>
          <w:sz w:val="24"/>
          <w:szCs w:val="24"/>
        </w:rPr>
        <w:t xml:space="preserve">Possible familial hypercholesterolemia is defined as: </w:t>
      </w:r>
    </w:p>
    <w:p w14:paraId="1B184DE4" w14:textId="77777777" w:rsidR="001506C1" w:rsidRPr="00FA3F9C" w:rsidRDefault="001506C1" w:rsidP="0038720E">
      <w:pPr>
        <w:spacing w:after="0" w:line="240" w:lineRule="auto"/>
        <w:ind w:left="720"/>
        <w:rPr>
          <w:rFonts w:ascii="Arial" w:eastAsia="Times New Roman" w:hAnsi="Arial" w:cs="Arial"/>
          <w:sz w:val="24"/>
          <w:szCs w:val="24"/>
        </w:rPr>
      </w:pPr>
      <w:r w:rsidRPr="00FA3F9C">
        <w:rPr>
          <w:rFonts w:ascii="Arial" w:eastAsia="Times New Roman" w:hAnsi="Arial" w:cs="Arial"/>
          <w:sz w:val="24"/>
          <w:szCs w:val="24"/>
        </w:rPr>
        <w:t xml:space="preserve">• Total-C &gt;260 mg/dL)or LDL cholesterol above 155 mg/dL in a child 290 mg/dL or LDL cholesterol above 190 mg/dL in an adult. (Levels either pre-treatment or highest on treatment) </w:t>
      </w:r>
    </w:p>
    <w:p w14:paraId="0E70D595" w14:textId="77777777" w:rsidR="001506C1" w:rsidRPr="00FA3F9C" w:rsidRDefault="001506C1" w:rsidP="0038720E">
      <w:pPr>
        <w:spacing w:after="0" w:line="240" w:lineRule="auto"/>
        <w:ind w:left="720"/>
        <w:rPr>
          <w:rFonts w:ascii="Arial" w:eastAsia="Times New Roman" w:hAnsi="Arial" w:cs="Arial"/>
          <w:sz w:val="24"/>
          <w:szCs w:val="24"/>
        </w:rPr>
      </w:pPr>
      <w:r w:rsidRPr="00FA3F9C">
        <w:rPr>
          <w:rFonts w:ascii="Arial" w:eastAsia="Times New Roman" w:hAnsi="Arial" w:cs="Arial"/>
          <w:sz w:val="24"/>
          <w:szCs w:val="24"/>
        </w:rPr>
        <w:t xml:space="preserve">And at least one of the following: </w:t>
      </w:r>
    </w:p>
    <w:p w14:paraId="19BE7FFC" w14:textId="77777777" w:rsidR="001506C1" w:rsidRPr="00FA3F9C" w:rsidRDefault="001506C1" w:rsidP="0038720E">
      <w:pPr>
        <w:spacing w:after="0" w:line="240" w:lineRule="auto"/>
        <w:ind w:left="720"/>
        <w:rPr>
          <w:rFonts w:ascii="Arial" w:eastAsia="Times New Roman" w:hAnsi="Arial" w:cs="Arial"/>
          <w:sz w:val="24"/>
          <w:szCs w:val="24"/>
        </w:rPr>
      </w:pPr>
      <w:r w:rsidRPr="00FA3F9C">
        <w:rPr>
          <w:rFonts w:ascii="Arial" w:eastAsia="Times New Roman" w:hAnsi="Arial" w:cs="Arial"/>
          <w:sz w:val="24"/>
          <w:szCs w:val="24"/>
        </w:rPr>
        <w:t xml:space="preserve">• Family history of myocardial infarction below 50 years of age in 2nd degree relative or below 60 years of age in 1st degree relative. </w:t>
      </w:r>
    </w:p>
    <w:p w14:paraId="3C40ABA2" w14:textId="77777777" w:rsidR="001506C1" w:rsidRPr="00FA3F9C" w:rsidRDefault="001506C1" w:rsidP="0038720E">
      <w:pPr>
        <w:spacing w:after="0" w:line="240" w:lineRule="auto"/>
        <w:ind w:left="720"/>
        <w:rPr>
          <w:rFonts w:ascii="Arial" w:eastAsia="Times New Roman" w:hAnsi="Arial" w:cs="Arial"/>
          <w:sz w:val="24"/>
          <w:szCs w:val="24"/>
        </w:rPr>
      </w:pPr>
      <w:r w:rsidRPr="00FA3F9C">
        <w:rPr>
          <w:rFonts w:ascii="Arial" w:eastAsia="Times New Roman" w:hAnsi="Arial" w:cs="Arial"/>
          <w:sz w:val="24"/>
          <w:szCs w:val="24"/>
        </w:rPr>
        <w:t xml:space="preserve">• Family history of raised cholesterols &gt;290 mg/dL in adult 1st or 2nd degree relative or &gt;260 mg/dL in child or sibling under 16 years of age. </w:t>
      </w:r>
    </w:p>
    <w:p w14:paraId="18052B76" w14:textId="77777777" w:rsidR="001506C1" w:rsidRPr="00FA3F9C" w:rsidRDefault="001506C1" w:rsidP="004611EE">
      <w:pPr>
        <w:spacing w:after="0"/>
        <w:rPr>
          <w:rFonts w:ascii="Arial" w:hAnsi="Arial" w:cs="Arial"/>
          <w:sz w:val="24"/>
          <w:szCs w:val="24"/>
        </w:rPr>
      </w:pPr>
    </w:p>
    <w:p w14:paraId="004540CE" w14:textId="77777777" w:rsidR="005005CA" w:rsidRDefault="005005CA">
      <w:pPr>
        <w:rPr>
          <w:rFonts w:ascii="Arial" w:eastAsia="Times New Roman" w:hAnsi="Arial" w:cs="Arial"/>
          <w:b/>
          <w:sz w:val="28"/>
          <w:szCs w:val="20"/>
        </w:rPr>
      </w:pPr>
      <w:bookmarkStart w:id="10" w:name="_Toc106369712"/>
      <w:r>
        <w:br w:type="page"/>
      </w:r>
    </w:p>
    <w:p w14:paraId="71F23953" w14:textId="04245108" w:rsidR="00CA4C3C" w:rsidRDefault="001506C1" w:rsidP="00CA4C3C">
      <w:pPr>
        <w:pStyle w:val="Heading2"/>
      </w:pPr>
      <w:proofErr w:type="spellStart"/>
      <w:r w:rsidRPr="00FA3F9C">
        <w:lastRenderedPageBreak/>
        <w:t>Alosetron</w:t>
      </w:r>
      <w:proofErr w:type="spellEnd"/>
      <w:r w:rsidRPr="00FA3F9C">
        <w:t xml:space="preserve"> (</w:t>
      </w:r>
      <w:proofErr w:type="spellStart"/>
      <w:r w:rsidRPr="00FA3F9C">
        <w:t>Lotronex</w:t>
      </w:r>
      <w:proofErr w:type="spellEnd"/>
      <w:r w:rsidRPr="00FA3F9C">
        <w:t>®)</w:t>
      </w:r>
      <w:bookmarkEnd w:id="10"/>
      <w:r w:rsidRPr="00FA3F9C">
        <w:t xml:space="preserve"> </w:t>
      </w:r>
    </w:p>
    <w:p w14:paraId="43C59D87" w14:textId="590A0F1A" w:rsidR="001506C1" w:rsidRPr="00FA3F9C" w:rsidRDefault="001506C1" w:rsidP="006F623F">
      <w:pPr>
        <w:spacing w:after="0"/>
        <w:jc w:val="center"/>
        <w:rPr>
          <w:rFonts w:ascii="Arial" w:hAnsi="Arial" w:cs="Arial"/>
          <w:sz w:val="24"/>
          <w:szCs w:val="24"/>
        </w:rPr>
      </w:pPr>
      <w:r w:rsidRPr="00FA3F9C">
        <w:rPr>
          <w:rFonts w:ascii="Arial" w:hAnsi="Arial" w:cs="Arial"/>
          <w:sz w:val="24"/>
          <w:szCs w:val="24"/>
        </w:rPr>
        <w:t>0.5, 1mg tablets [available generically]</w:t>
      </w:r>
    </w:p>
    <w:p w14:paraId="0F391C03" w14:textId="77777777" w:rsidR="001506C1" w:rsidRPr="00FA3F9C" w:rsidRDefault="001506C1" w:rsidP="006F623F">
      <w:pPr>
        <w:spacing w:after="0"/>
        <w:jc w:val="center"/>
        <w:rPr>
          <w:rFonts w:ascii="Arial" w:hAnsi="Arial" w:cs="Arial"/>
          <w:sz w:val="24"/>
          <w:szCs w:val="24"/>
        </w:rPr>
      </w:pPr>
      <w:r w:rsidRPr="00FA3F9C">
        <w:rPr>
          <w:rFonts w:ascii="Arial" w:hAnsi="Arial" w:cs="Arial"/>
          <w:sz w:val="24"/>
          <w:szCs w:val="24"/>
        </w:rPr>
        <w:t>EBRx PA Criteria</w:t>
      </w:r>
    </w:p>
    <w:p w14:paraId="1CF45C02" w14:textId="77777777" w:rsidR="001506C1" w:rsidRPr="00FA3F9C" w:rsidRDefault="001506C1" w:rsidP="006F623F">
      <w:pPr>
        <w:spacing w:after="0"/>
        <w:rPr>
          <w:rFonts w:ascii="Arial" w:hAnsi="Arial" w:cs="Arial"/>
          <w:b/>
          <w:sz w:val="24"/>
          <w:szCs w:val="24"/>
          <w:u w:val="single"/>
        </w:rPr>
      </w:pPr>
    </w:p>
    <w:p w14:paraId="657A860D" w14:textId="77777777" w:rsidR="001506C1" w:rsidRPr="00FA3F9C" w:rsidRDefault="001506C1"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IBS-D in women with symptoms for 6m or longer, have had anatomic or biochemical abnormalities of the GI tract excluded, and who have not responded adequately to conventional therapy.</w:t>
      </w:r>
    </w:p>
    <w:tbl>
      <w:tblPr>
        <w:tblStyle w:val="TableGrid"/>
        <w:tblW w:w="0" w:type="auto"/>
        <w:tblLook w:val="04A0" w:firstRow="1" w:lastRow="0" w:firstColumn="1" w:lastColumn="0" w:noHBand="0" w:noVBand="1"/>
      </w:tblPr>
      <w:tblGrid>
        <w:gridCol w:w="8928"/>
        <w:gridCol w:w="2088"/>
      </w:tblGrid>
      <w:tr w:rsidR="001506C1" w:rsidRPr="00FA3F9C" w14:paraId="06CE0E93" w14:textId="77777777" w:rsidTr="00571CAB">
        <w:tc>
          <w:tcPr>
            <w:tcW w:w="8928" w:type="dxa"/>
            <w:shd w:val="clear" w:color="auto" w:fill="000000"/>
          </w:tcPr>
          <w:p w14:paraId="28758BF2" w14:textId="77777777" w:rsidR="001506C1" w:rsidRPr="00FA3F9C" w:rsidRDefault="001506C1"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88" w:type="dxa"/>
            <w:shd w:val="clear" w:color="auto" w:fill="000000"/>
          </w:tcPr>
          <w:p w14:paraId="408699FB" w14:textId="77777777" w:rsidR="001506C1" w:rsidRPr="00FA3F9C" w:rsidRDefault="001506C1" w:rsidP="006F623F">
            <w:pPr>
              <w:jc w:val="center"/>
              <w:rPr>
                <w:rFonts w:ascii="Arial" w:hAnsi="Arial" w:cs="Arial"/>
                <w:b/>
                <w:sz w:val="24"/>
                <w:szCs w:val="24"/>
                <w:u w:val="single"/>
              </w:rPr>
            </w:pPr>
          </w:p>
        </w:tc>
      </w:tr>
      <w:tr w:rsidR="001506C1" w:rsidRPr="00FA3F9C" w14:paraId="08507BDF" w14:textId="77777777" w:rsidTr="00F337AE">
        <w:tc>
          <w:tcPr>
            <w:tcW w:w="11016" w:type="dxa"/>
            <w:gridSpan w:val="2"/>
          </w:tcPr>
          <w:p w14:paraId="2A11CF75" w14:textId="77777777" w:rsidR="001506C1" w:rsidRPr="00FA3F9C" w:rsidRDefault="001506C1" w:rsidP="006F623F">
            <w:pPr>
              <w:rPr>
                <w:rFonts w:ascii="Arial" w:hAnsi="Arial" w:cs="Arial"/>
                <w:sz w:val="24"/>
                <w:szCs w:val="24"/>
              </w:rPr>
            </w:pPr>
            <w:r w:rsidRPr="00FA3F9C">
              <w:rPr>
                <w:rFonts w:ascii="Arial" w:hAnsi="Arial" w:cs="Arial"/>
                <w:sz w:val="24"/>
                <w:szCs w:val="24"/>
              </w:rPr>
              <w:t>1. The patient must have the diagnosis of irritable bowel syndrome with severe diarrhea and have not responded adequately to conventional therapy.</w:t>
            </w:r>
          </w:p>
        </w:tc>
      </w:tr>
      <w:tr w:rsidR="001506C1" w:rsidRPr="00FA3F9C" w14:paraId="0A7F2425" w14:textId="77777777" w:rsidTr="00B1617E">
        <w:tc>
          <w:tcPr>
            <w:tcW w:w="11016" w:type="dxa"/>
            <w:gridSpan w:val="2"/>
          </w:tcPr>
          <w:p w14:paraId="12ACCE9D" w14:textId="77777777" w:rsidR="001506C1" w:rsidRPr="00FA3F9C" w:rsidRDefault="001506C1" w:rsidP="006F623F">
            <w:pPr>
              <w:rPr>
                <w:rFonts w:ascii="Arial" w:hAnsi="Arial" w:cs="Arial"/>
                <w:sz w:val="24"/>
                <w:szCs w:val="24"/>
              </w:rPr>
            </w:pPr>
            <w:r w:rsidRPr="00FA3F9C">
              <w:rPr>
                <w:rFonts w:ascii="Arial" w:hAnsi="Arial" w:cs="Arial"/>
                <w:sz w:val="24"/>
                <w:szCs w:val="24"/>
              </w:rPr>
              <w:t>2. Symptoms must have existed for 6 months prior to initial use.</w:t>
            </w:r>
          </w:p>
        </w:tc>
      </w:tr>
      <w:tr w:rsidR="001506C1" w:rsidRPr="00FA3F9C" w14:paraId="1F969A16" w14:textId="77777777" w:rsidTr="0010789D">
        <w:tc>
          <w:tcPr>
            <w:tcW w:w="11016" w:type="dxa"/>
            <w:gridSpan w:val="2"/>
          </w:tcPr>
          <w:p w14:paraId="4A9A6161" w14:textId="77777777" w:rsidR="001506C1" w:rsidRPr="00FA3F9C" w:rsidRDefault="001506C1" w:rsidP="006F623F">
            <w:pPr>
              <w:rPr>
                <w:rFonts w:ascii="Arial" w:hAnsi="Arial" w:cs="Arial"/>
                <w:sz w:val="24"/>
                <w:szCs w:val="24"/>
              </w:rPr>
            </w:pPr>
            <w:r w:rsidRPr="00FA3F9C">
              <w:rPr>
                <w:rFonts w:ascii="Arial" w:hAnsi="Arial" w:cs="Arial"/>
                <w:sz w:val="24"/>
                <w:szCs w:val="24"/>
              </w:rPr>
              <w:t>3. There is evidence of having tried conventional therapy as 1</w:t>
            </w:r>
            <w:r w:rsidRPr="00FA3F9C">
              <w:rPr>
                <w:rFonts w:ascii="Arial" w:hAnsi="Arial" w:cs="Arial"/>
                <w:sz w:val="24"/>
                <w:szCs w:val="24"/>
                <w:vertAlign w:val="superscript"/>
              </w:rPr>
              <w:t>st</w:t>
            </w:r>
            <w:r w:rsidRPr="00FA3F9C">
              <w:rPr>
                <w:rFonts w:ascii="Arial" w:hAnsi="Arial" w:cs="Arial"/>
                <w:sz w:val="24"/>
                <w:szCs w:val="24"/>
              </w:rPr>
              <w:t xml:space="preserve"> line use (dicyclomine, amitriptyline, hyoscyamine, desipramine).  If not, there should be some mention of OTC loperamide being used in the chart notes.  Also, second line drugs should have also failed (bile acid sequestrants)</w:t>
            </w:r>
          </w:p>
        </w:tc>
      </w:tr>
      <w:tr w:rsidR="001506C1" w:rsidRPr="00FA3F9C" w14:paraId="3431E953" w14:textId="77777777" w:rsidTr="00DA57E0">
        <w:tc>
          <w:tcPr>
            <w:tcW w:w="11016" w:type="dxa"/>
            <w:gridSpan w:val="2"/>
          </w:tcPr>
          <w:p w14:paraId="6FA1FB48" w14:textId="77777777" w:rsidR="001506C1" w:rsidRPr="00FA3F9C" w:rsidRDefault="001506C1" w:rsidP="006F623F">
            <w:pPr>
              <w:rPr>
                <w:rFonts w:ascii="Arial" w:hAnsi="Arial" w:cs="Arial"/>
                <w:sz w:val="24"/>
                <w:szCs w:val="24"/>
              </w:rPr>
            </w:pPr>
            <w:r w:rsidRPr="00FA3F9C">
              <w:rPr>
                <w:rFonts w:ascii="Arial" w:hAnsi="Arial" w:cs="Arial"/>
                <w:sz w:val="24"/>
                <w:szCs w:val="24"/>
              </w:rPr>
              <w:t>4. No recent history of constipation, ischemic colitis, intestinal obstruction, stricture, toxic megacolon, GI perforation, adhesions, diverticulitis, Crohn’s disease, ulcerative colitis, or severe hepatic impairment, impaired intestinal circulation, thrombophlebitis, or hypercoagulable state.</w:t>
            </w:r>
          </w:p>
        </w:tc>
      </w:tr>
      <w:tr w:rsidR="001506C1" w:rsidRPr="00FA3F9C" w14:paraId="5EF49D60" w14:textId="77777777" w:rsidTr="00DA57E0">
        <w:tc>
          <w:tcPr>
            <w:tcW w:w="11016" w:type="dxa"/>
            <w:gridSpan w:val="2"/>
          </w:tcPr>
          <w:p w14:paraId="79D0EBD7" w14:textId="77777777" w:rsidR="001506C1" w:rsidRPr="00FA3F9C" w:rsidRDefault="001506C1" w:rsidP="006F623F">
            <w:pPr>
              <w:rPr>
                <w:rFonts w:ascii="Arial" w:hAnsi="Arial" w:cs="Arial"/>
                <w:sz w:val="24"/>
                <w:szCs w:val="24"/>
              </w:rPr>
            </w:pPr>
            <w:r w:rsidRPr="00FA3F9C">
              <w:rPr>
                <w:rFonts w:ascii="Arial" w:hAnsi="Arial" w:cs="Arial"/>
                <w:sz w:val="24"/>
                <w:szCs w:val="24"/>
              </w:rPr>
              <w:t>5. There should be no history of bloody diarrhea.</w:t>
            </w:r>
          </w:p>
        </w:tc>
      </w:tr>
      <w:tr w:rsidR="001506C1" w:rsidRPr="00FA3F9C" w14:paraId="4ACD2E0B" w14:textId="77777777" w:rsidTr="00DA57E0">
        <w:tc>
          <w:tcPr>
            <w:tcW w:w="11016" w:type="dxa"/>
            <w:gridSpan w:val="2"/>
          </w:tcPr>
          <w:p w14:paraId="694658E5" w14:textId="77777777" w:rsidR="001506C1" w:rsidRPr="00FA3F9C" w:rsidRDefault="001506C1" w:rsidP="006F623F">
            <w:pPr>
              <w:rPr>
                <w:rFonts w:ascii="Arial" w:hAnsi="Arial" w:cs="Arial"/>
                <w:sz w:val="24"/>
                <w:szCs w:val="24"/>
              </w:rPr>
            </w:pPr>
            <w:r w:rsidRPr="00FA3F9C">
              <w:rPr>
                <w:rFonts w:ascii="Arial" w:hAnsi="Arial" w:cs="Arial"/>
                <w:sz w:val="24"/>
                <w:szCs w:val="24"/>
              </w:rPr>
              <w:t xml:space="preserve">If </w:t>
            </w:r>
            <w:proofErr w:type="gramStart"/>
            <w:r w:rsidRPr="00FA3F9C">
              <w:rPr>
                <w:rFonts w:ascii="Arial" w:hAnsi="Arial" w:cs="Arial"/>
                <w:sz w:val="24"/>
                <w:szCs w:val="24"/>
              </w:rPr>
              <w:t>all of</w:t>
            </w:r>
            <w:proofErr w:type="gramEnd"/>
            <w:r w:rsidRPr="00FA3F9C">
              <w:rPr>
                <w:rFonts w:ascii="Arial" w:hAnsi="Arial" w:cs="Arial"/>
                <w:sz w:val="24"/>
                <w:szCs w:val="24"/>
              </w:rPr>
              <w:t xml:space="preserve"> the above criteria are satisfied, approve for 2 months initially.</w:t>
            </w:r>
          </w:p>
        </w:tc>
      </w:tr>
    </w:tbl>
    <w:p w14:paraId="3C6C4891" w14:textId="77777777" w:rsidR="001506C1" w:rsidRPr="00FA3F9C" w:rsidRDefault="001506C1" w:rsidP="006F623F">
      <w:pPr>
        <w:spacing w:after="0"/>
        <w:rPr>
          <w:rFonts w:ascii="Arial" w:hAnsi="Arial" w:cs="Arial"/>
          <w:b/>
          <w:sz w:val="24"/>
          <w:szCs w:val="24"/>
          <w:u w:val="single"/>
        </w:rPr>
      </w:pPr>
    </w:p>
    <w:tbl>
      <w:tblPr>
        <w:tblStyle w:val="TableGrid"/>
        <w:tblW w:w="0" w:type="auto"/>
        <w:tblLook w:val="04A0" w:firstRow="1" w:lastRow="0" w:firstColumn="1" w:lastColumn="0" w:noHBand="0" w:noVBand="1"/>
      </w:tblPr>
      <w:tblGrid>
        <w:gridCol w:w="8747"/>
        <w:gridCol w:w="2043"/>
      </w:tblGrid>
      <w:tr w:rsidR="001506C1" w:rsidRPr="00FA3F9C" w14:paraId="2E41CB79" w14:textId="77777777" w:rsidTr="003740E5">
        <w:tc>
          <w:tcPr>
            <w:tcW w:w="8747" w:type="dxa"/>
            <w:shd w:val="clear" w:color="auto" w:fill="000000"/>
          </w:tcPr>
          <w:p w14:paraId="2128C416" w14:textId="77777777" w:rsidR="001506C1" w:rsidRPr="00FA3F9C" w:rsidRDefault="001506C1" w:rsidP="00571CAB">
            <w:pPr>
              <w:rPr>
                <w:rFonts w:ascii="Arial" w:hAnsi="Arial" w:cs="Arial"/>
                <w:b/>
                <w:sz w:val="24"/>
                <w:szCs w:val="24"/>
                <w:u w:val="single"/>
              </w:rPr>
            </w:pPr>
            <w:r w:rsidRPr="00FA3F9C">
              <w:rPr>
                <w:rFonts w:ascii="Arial" w:hAnsi="Arial" w:cs="Arial"/>
                <w:b/>
                <w:sz w:val="24"/>
                <w:szCs w:val="24"/>
                <w:u w:val="single"/>
              </w:rPr>
              <w:t>Criteria for continuation</w:t>
            </w:r>
          </w:p>
        </w:tc>
        <w:tc>
          <w:tcPr>
            <w:tcW w:w="2043" w:type="dxa"/>
            <w:shd w:val="clear" w:color="auto" w:fill="000000"/>
          </w:tcPr>
          <w:p w14:paraId="33F73890" w14:textId="77777777" w:rsidR="001506C1" w:rsidRPr="00FA3F9C" w:rsidRDefault="001506C1" w:rsidP="00571CAB">
            <w:pPr>
              <w:jc w:val="center"/>
              <w:rPr>
                <w:rFonts w:ascii="Arial" w:hAnsi="Arial" w:cs="Arial"/>
                <w:b/>
                <w:sz w:val="24"/>
                <w:szCs w:val="24"/>
                <w:u w:val="single"/>
              </w:rPr>
            </w:pPr>
          </w:p>
        </w:tc>
      </w:tr>
      <w:tr w:rsidR="001506C1" w:rsidRPr="00FA3F9C" w14:paraId="66644ABB" w14:textId="77777777" w:rsidTr="003740E5">
        <w:tc>
          <w:tcPr>
            <w:tcW w:w="10790" w:type="dxa"/>
            <w:gridSpan w:val="2"/>
          </w:tcPr>
          <w:p w14:paraId="2D27AEA9" w14:textId="77777777" w:rsidR="001506C1" w:rsidRPr="00FA3F9C" w:rsidRDefault="001506C1" w:rsidP="00571CAB">
            <w:pPr>
              <w:rPr>
                <w:rFonts w:ascii="Arial" w:hAnsi="Arial" w:cs="Arial"/>
                <w:sz w:val="24"/>
                <w:szCs w:val="24"/>
              </w:rPr>
            </w:pPr>
            <w:r w:rsidRPr="00FA3F9C">
              <w:rPr>
                <w:rFonts w:ascii="Arial" w:hAnsi="Arial" w:cs="Arial"/>
                <w:sz w:val="24"/>
                <w:szCs w:val="24"/>
              </w:rPr>
              <w:t>1. An adequate response is required to continue.  The dose should be 1mg BID.  If no response, treatment should be discontinued.  If adequate response, approve for 1 year.</w:t>
            </w:r>
          </w:p>
        </w:tc>
      </w:tr>
    </w:tbl>
    <w:p w14:paraId="3093D0C2" w14:textId="77777777" w:rsidR="001506C1" w:rsidRPr="00FA3F9C" w:rsidRDefault="001506C1" w:rsidP="006F623F">
      <w:pPr>
        <w:spacing w:after="0"/>
        <w:rPr>
          <w:rFonts w:ascii="Arial" w:hAnsi="Arial" w:cs="Arial"/>
          <w:b/>
          <w:sz w:val="24"/>
          <w:szCs w:val="24"/>
          <w:u w:val="single"/>
        </w:rPr>
      </w:pPr>
    </w:p>
    <w:p w14:paraId="31BC80BD" w14:textId="77777777" w:rsidR="001506C1" w:rsidRPr="00FA3F9C" w:rsidRDefault="001506C1" w:rsidP="006F623F">
      <w:pPr>
        <w:spacing w:after="0"/>
        <w:rPr>
          <w:rFonts w:ascii="Arial" w:hAnsi="Arial" w:cs="Arial"/>
          <w:b/>
          <w:sz w:val="24"/>
          <w:szCs w:val="24"/>
          <w:u w:val="single"/>
        </w:rPr>
      </w:pPr>
    </w:p>
    <w:tbl>
      <w:tblPr>
        <w:tblStyle w:val="TableGrid"/>
        <w:tblW w:w="0" w:type="auto"/>
        <w:shd w:val="clear" w:color="auto" w:fill="BFBFBF" w:themeFill="background1" w:themeFillShade="BF"/>
        <w:tblLook w:val="04A0" w:firstRow="1" w:lastRow="0" w:firstColumn="1" w:lastColumn="0" w:noHBand="0" w:noVBand="1"/>
      </w:tblPr>
      <w:tblGrid>
        <w:gridCol w:w="10998"/>
      </w:tblGrid>
      <w:tr w:rsidR="001506C1" w:rsidRPr="00FA3F9C" w14:paraId="4A435D05" w14:textId="77777777" w:rsidTr="00D82B6E">
        <w:tc>
          <w:tcPr>
            <w:tcW w:w="10998" w:type="dxa"/>
            <w:shd w:val="clear" w:color="auto" w:fill="BFBFBF" w:themeFill="background1" w:themeFillShade="BF"/>
          </w:tcPr>
          <w:p w14:paraId="27A39978" w14:textId="77777777" w:rsidR="001506C1" w:rsidRPr="00FA3F9C" w:rsidRDefault="001506C1" w:rsidP="00D82B6E">
            <w:pPr>
              <w:rPr>
                <w:rFonts w:ascii="Arial" w:hAnsi="Arial" w:cs="Arial"/>
                <w:sz w:val="24"/>
                <w:szCs w:val="24"/>
              </w:rPr>
            </w:pPr>
            <w:r w:rsidRPr="00FA3F9C">
              <w:rPr>
                <w:rFonts w:ascii="Arial" w:hAnsi="Arial" w:cs="Arial"/>
                <w:sz w:val="24"/>
                <w:szCs w:val="24"/>
              </w:rPr>
              <w:t xml:space="preserve">Note: </w:t>
            </w:r>
            <w:proofErr w:type="spellStart"/>
            <w:r w:rsidRPr="00FA3F9C">
              <w:rPr>
                <w:rFonts w:ascii="Arial" w:hAnsi="Arial" w:cs="Arial"/>
                <w:sz w:val="24"/>
                <w:szCs w:val="24"/>
              </w:rPr>
              <w:t>Alosetron</w:t>
            </w:r>
            <w:proofErr w:type="spellEnd"/>
            <w:r w:rsidRPr="00FA3F9C">
              <w:rPr>
                <w:rFonts w:ascii="Arial" w:hAnsi="Arial" w:cs="Arial"/>
                <w:sz w:val="24"/>
                <w:szCs w:val="24"/>
              </w:rPr>
              <w:t xml:space="preserve"> is available only through REMS.</w:t>
            </w:r>
          </w:p>
        </w:tc>
      </w:tr>
    </w:tbl>
    <w:p w14:paraId="15546D26" w14:textId="77777777" w:rsidR="001506C1" w:rsidRPr="00FA3F9C" w:rsidRDefault="001506C1" w:rsidP="006F623F">
      <w:pPr>
        <w:spacing w:after="0"/>
        <w:rPr>
          <w:rFonts w:ascii="Arial" w:hAnsi="Arial" w:cs="Arial"/>
          <w:sz w:val="24"/>
          <w:szCs w:val="24"/>
        </w:rPr>
      </w:pPr>
    </w:p>
    <w:p w14:paraId="62EC0698" w14:textId="77777777" w:rsidR="001506C1" w:rsidRPr="00FA3F9C" w:rsidRDefault="001506C1" w:rsidP="006F623F">
      <w:pPr>
        <w:spacing w:after="0"/>
        <w:rPr>
          <w:rFonts w:ascii="Arial" w:hAnsi="Arial" w:cs="Arial"/>
          <w:sz w:val="24"/>
          <w:szCs w:val="24"/>
        </w:rPr>
      </w:pPr>
    </w:p>
    <w:p w14:paraId="13C5F37A"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References:</w:t>
      </w:r>
    </w:p>
    <w:p w14:paraId="2C1A4545"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1. American Gastroenterological Association Institute Guideline on the Pharmacological Management of IBS, 2014.</w:t>
      </w:r>
    </w:p>
    <w:p w14:paraId="06E03984"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2. UpToDate. IBS-D. Accessed 9/24/2019.</w:t>
      </w:r>
    </w:p>
    <w:p w14:paraId="630B4170" w14:textId="77777777" w:rsidR="001506C1" w:rsidRPr="00FA3F9C" w:rsidRDefault="001506C1" w:rsidP="006F623F">
      <w:pPr>
        <w:spacing w:after="0"/>
        <w:rPr>
          <w:rFonts w:ascii="Arial" w:hAnsi="Arial" w:cs="Arial"/>
          <w:sz w:val="24"/>
          <w:szCs w:val="24"/>
        </w:rPr>
      </w:pPr>
    </w:p>
    <w:p w14:paraId="41DA4047"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284"/>
        <w:gridCol w:w="7558"/>
        <w:gridCol w:w="2065"/>
      </w:tblGrid>
      <w:tr w:rsidR="001506C1" w:rsidRPr="00FA3F9C" w14:paraId="51BCC67A" w14:textId="77777777" w:rsidTr="003740E5">
        <w:tc>
          <w:tcPr>
            <w:tcW w:w="1167" w:type="dxa"/>
          </w:tcPr>
          <w:p w14:paraId="6CE0AE6B" w14:textId="77777777" w:rsidR="001506C1" w:rsidRPr="00FA3F9C" w:rsidRDefault="001506C1" w:rsidP="006F623F">
            <w:pPr>
              <w:rPr>
                <w:rFonts w:ascii="Arial" w:hAnsi="Arial" w:cs="Arial"/>
                <w:sz w:val="24"/>
                <w:szCs w:val="24"/>
              </w:rPr>
            </w:pPr>
            <w:r w:rsidRPr="00FA3F9C">
              <w:rPr>
                <w:rFonts w:ascii="Arial" w:hAnsi="Arial" w:cs="Arial"/>
                <w:sz w:val="24"/>
                <w:szCs w:val="24"/>
              </w:rPr>
              <w:lastRenderedPageBreak/>
              <w:t>Date</w:t>
            </w:r>
          </w:p>
        </w:tc>
        <w:tc>
          <w:tcPr>
            <w:tcW w:w="7558" w:type="dxa"/>
          </w:tcPr>
          <w:p w14:paraId="02903BC8" w14:textId="77777777" w:rsidR="001506C1" w:rsidRPr="00FA3F9C" w:rsidRDefault="001506C1" w:rsidP="006F623F">
            <w:pPr>
              <w:rPr>
                <w:rFonts w:ascii="Arial" w:hAnsi="Arial" w:cs="Arial"/>
                <w:sz w:val="24"/>
                <w:szCs w:val="24"/>
              </w:rPr>
            </w:pPr>
            <w:r w:rsidRPr="00FA3F9C">
              <w:rPr>
                <w:rFonts w:ascii="Arial" w:hAnsi="Arial" w:cs="Arial"/>
                <w:sz w:val="24"/>
                <w:szCs w:val="24"/>
              </w:rPr>
              <w:t>What changed</w:t>
            </w:r>
          </w:p>
        </w:tc>
        <w:tc>
          <w:tcPr>
            <w:tcW w:w="2065" w:type="dxa"/>
          </w:tcPr>
          <w:p w14:paraId="72521356" w14:textId="77777777" w:rsidR="001506C1" w:rsidRPr="00FA3F9C" w:rsidRDefault="001506C1" w:rsidP="006F623F">
            <w:pPr>
              <w:rPr>
                <w:rFonts w:ascii="Arial" w:hAnsi="Arial" w:cs="Arial"/>
                <w:sz w:val="24"/>
                <w:szCs w:val="24"/>
              </w:rPr>
            </w:pPr>
            <w:r w:rsidRPr="00FA3F9C">
              <w:rPr>
                <w:rFonts w:ascii="Arial" w:hAnsi="Arial" w:cs="Arial"/>
                <w:sz w:val="24"/>
                <w:szCs w:val="24"/>
              </w:rPr>
              <w:t>Pharmacist’s initials</w:t>
            </w:r>
          </w:p>
        </w:tc>
      </w:tr>
      <w:tr w:rsidR="001506C1" w:rsidRPr="00FA3F9C" w14:paraId="20AD5BAA" w14:textId="77777777" w:rsidTr="003740E5">
        <w:tc>
          <w:tcPr>
            <w:tcW w:w="1167" w:type="dxa"/>
          </w:tcPr>
          <w:p w14:paraId="52170704" w14:textId="77777777" w:rsidR="001506C1" w:rsidRPr="00FA3F9C" w:rsidRDefault="001506C1" w:rsidP="000C267F">
            <w:pPr>
              <w:rPr>
                <w:rFonts w:ascii="Arial" w:hAnsi="Arial" w:cs="Arial"/>
                <w:sz w:val="24"/>
                <w:szCs w:val="24"/>
              </w:rPr>
            </w:pPr>
            <w:r w:rsidRPr="00FA3F9C">
              <w:rPr>
                <w:rFonts w:ascii="Arial" w:hAnsi="Arial" w:cs="Arial"/>
                <w:sz w:val="24"/>
                <w:szCs w:val="24"/>
              </w:rPr>
              <w:t>3/25/10</w:t>
            </w:r>
          </w:p>
        </w:tc>
        <w:tc>
          <w:tcPr>
            <w:tcW w:w="7558" w:type="dxa"/>
          </w:tcPr>
          <w:p w14:paraId="58751658" w14:textId="77777777" w:rsidR="001506C1" w:rsidRPr="00FA3F9C" w:rsidRDefault="001506C1" w:rsidP="000C267F">
            <w:pPr>
              <w:rPr>
                <w:rFonts w:ascii="Arial" w:hAnsi="Arial" w:cs="Arial"/>
                <w:sz w:val="24"/>
                <w:szCs w:val="24"/>
              </w:rPr>
            </w:pPr>
            <w:r w:rsidRPr="00FA3F9C">
              <w:rPr>
                <w:rFonts w:ascii="Arial" w:hAnsi="Arial" w:cs="Arial"/>
                <w:sz w:val="24"/>
                <w:szCs w:val="24"/>
              </w:rPr>
              <w:t>Created revision history; Jill did not create these criteria</w:t>
            </w:r>
          </w:p>
        </w:tc>
        <w:tc>
          <w:tcPr>
            <w:tcW w:w="2065" w:type="dxa"/>
          </w:tcPr>
          <w:p w14:paraId="1EE70B68" w14:textId="17B75715" w:rsidR="001506C1" w:rsidRPr="00FA3F9C" w:rsidRDefault="005C142D" w:rsidP="000C267F">
            <w:pPr>
              <w:rPr>
                <w:rFonts w:ascii="Arial" w:hAnsi="Arial" w:cs="Arial"/>
                <w:sz w:val="24"/>
                <w:szCs w:val="24"/>
              </w:rPr>
            </w:pPr>
            <w:r w:rsidRPr="00FA3F9C">
              <w:rPr>
                <w:rFonts w:ascii="Arial" w:hAnsi="Arial" w:cs="Arial"/>
                <w:sz w:val="24"/>
                <w:szCs w:val="24"/>
              </w:rPr>
              <w:t>JJ</w:t>
            </w:r>
          </w:p>
        </w:tc>
      </w:tr>
      <w:tr w:rsidR="001506C1" w:rsidRPr="00FA3F9C" w14:paraId="13D8BF27" w14:textId="77777777" w:rsidTr="003740E5">
        <w:tc>
          <w:tcPr>
            <w:tcW w:w="1167" w:type="dxa"/>
          </w:tcPr>
          <w:p w14:paraId="35A25C27" w14:textId="77777777" w:rsidR="001506C1" w:rsidRPr="00FA3F9C" w:rsidRDefault="001506C1" w:rsidP="006F623F">
            <w:pPr>
              <w:rPr>
                <w:rFonts w:ascii="Arial" w:hAnsi="Arial" w:cs="Arial"/>
                <w:sz w:val="24"/>
                <w:szCs w:val="24"/>
              </w:rPr>
            </w:pPr>
            <w:r w:rsidRPr="00FA3F9C">
              <w:rPr>
                <w:rFonts w:ascii="Arial" w:hAnsi="Arial" w:cs="Arial"/>
                <w:sz w:val="24"/>
                <w:szCs w:val="24"/>
              </w:rPr>
              <w:t>9/24/2019</w:t>
            </w:r>
          </w:p>
        </w:tc>
        <w:tc>
          <w:tcPr>
            <w:tcW w:w="7558" w:type="dxa"/>
          </w:tcPr>
          <w:p w14:paraId="30B62461" w14:textId="77777777" w:rsidR="001506C1" w:rsidRPr="00FA3F9C" w:rsidRDefault="001506C1" w:rsidP="006F623F">
            <w:pPr>
              <w:rPr>
                <w:rFonts w:ascii="Arial" w:hAnsi="Arial" w:cs="Arial"/>
                <w:sz w:val="24"/>
                <w:szCs w:val="24"/>
              </w:rPr>
            </w:pPr>
            <w:r w:rsidRPr="00FA3F9C">
              <w:rPr>
                <w:rFonts w:ascii="Arial" w:hAnsi="Arial" w:cs="Arial"/>
                <w:sz w:val="24"/>
                <w:szCs w:val="24"/>
              </w:rPr>
              <w:t>I revised the criteria and added continuation criteria per prescribing guidelines.</w:t>
            </w:r>
          </w:p>
        </w:tc>
        <w:tc>
          <w:tcPr>
            <w:tcW w:w="2065" w:type="dxa"/>
          </w:tcPr>
          <w:p w14:paraId="569E5968" w14:textId="417589D4" w:rsidR="001506C1" w:rsidRPr="00FA3F9C" w:rsidRDefault="005C142D" w:rsidP="006F623F">
            <w:pPr>
              <w:rPr>
                <w:rFonts w:ascii="Arial" w:hAnsi="Arial" w:cs="Arial"/>
                <w:sz w:val="24"/>
                <w:szCs w:val="24"/>
              </w:rPr>
            </w:pPr>
            <w:r w:rsidRPr="00FA3F9C">
              <w:rPr>
                <w:rFonts w:ascii="Arial" w:hAnsi="Arial" w:cs="Arial"/>
                <w:sz w:val="24"/>
                <w:szCs w:val="24"/>
              </w:rPr>
              <w:t>JJ</w:t>
            </w:r>
          </w:p>
        </w:tc>
      </w:tr>
      <w:tr w:rsidR="001506C1" w:rsidRPr="00FA3F9C" w14:paraId="72EB6391" w14:textId="77777777" w:rsidTr="003740E5">
        <w:tc>
          <w:tcPr>
            <w:tcW w:w="1167" w:type="dxa"/>
          </w:tcPr>
          <w:p w14:paraId="7D2A02DF" w14:textId="77777777" w:rsidR="001506C1" w:rsidRPr="00FA3F9C" w:rsidRDefault="001506C1" w:rsidP="006F623F">
            <w:pPr>
              <w:rPr>
                <w:rFonts w:ascii="Arial" w:hAnsi="Arial" w:cs="Arial"/>
                <w:sz w:val="24"/>
                <w:szCs w:val="24"/>
              </w:rPr>
            </w:pPr>
            <w:r w:rsidRPr="00FA3F9C">
              <w:rPr>
                <w:rFonts w:ascii="Arial" w:hAnsi="Arial" w:cs="Arial"/>
                <w:sz w:val="24"/>
                <w:szCs w:val="24"/>
              </w:rPr>
              <w:t>7/13/2020</w:t>
            </w:r>
          </w:p>
        </w:tc>
        <w:tc>
          <w:tcPr>
            <w:tcW w:w="7558" w:type="dxa"/>
          </w:tcPr>
          <w:p w14:paraId="4FBD1EB2" w14:textId="77777777" w:rsidR="001506C1" w:rsidRPr="00FA3F9C" w:rsidRDefault="001506C1" w:rsidP="006F623F">
            <w:pPr>
              <w:rPr>
                <w:rFonts w:ascii="Arial" w:hAnsi="Arial" w:cs="Arial"/>
                <w:sz w:val="24"/>
                <w:szCs w:val="24"/>
              </w:rPr>
            </w:pPr>
            <w:r w:rsidRPr="00FA3F9C">
              <w:rPr>
                <w:rFonts w:ascii="Arial" w:hAnsi="Arial" w:cs="Arial"/>
                <w:sz w:val="24"/>
                <w:szCs w:val="24"/>
              </w:rPr>
              <w:t>Reviewed. No changes</w:t>
            </w:r>
          </w:p>
        </w:tc>
        <w:tc>
          <w:tcPr>
            <w:tcW w:w="2065" w:type="dxa"/>
          </w:tcPr>
          <w:p w14:paraId="254F6BE8" w14:textId="79C39711" w:rsidR="001506C1" w:rsidRPr="00FA3F9C" w:rsidRDefault="005C142D" w:rsidP="006F623F">
            <w:pPr>
              <w:rPr>
                <w:rFonts w:ascii="Arial" w:hAnsi="Arial" w:cs="Arial"/>
                <w:sz w:val="24"/>
                <w:szCs w:val="24"/>
              </w:rPr>
            </w:pPr>
            <w:r w:rsidRPr="00FA3F9C">
              <w:rPr>
                <w:rFonts w:ascii="Arial" w:hAnsi="Arial" w:cs="Arial"/>
                <w:sz w:val="24"/>
                <w:szCs w:val="24"/>
              </w:rPr>
              <w:t>JJ</w:t>
            </w:r>
          </w:p>
        </w:tc>
      </w:tr>
    </w:tbl>
    <w:p w14:paraId="4B57AC09" w14:textId="77777777" w:rsidR="001506C1" w:rsidRPr="00FA3F9C" w:rsidRDefault="001506C1" w:rsidP="006F623F">
      <w:pPr>
        <w:spacing w:after="0"/>
        <w:rPr>
          <w:rFonts w:ascii="Arial" w:hAnsi="Arial" w:cs="Arial"/>
          <w:sz w:val="24"/>
          <w:szCs w:val="24"/>
        </w:rPr>
      </w:pPr>
    </w:p>
    <w:p w14:paraId="06B9C9F1" w14:textId="77777777" w:rsidR="005005CA" w:rsidRDefault="005005CA">
      <w:pPr>
        <w:rPr>
          <w:rFonts w:ascii="Arial" w:eastAsia="Times New Roman" w:hAnsi="Arial" w:cs="Arial"/>
          <w:b/>
          <w:sz w:val="28"/>
          <w:szCs w:val="20"/>
        </w:rPr>
      </w:pPr>
      <w:bookmarkStart w:id="11" w:name="_Toc106369713"/>
      <w:r>
        <w:br w:type="page"/>
      </w:r>
    </w:p>
    <w:p w14:paraId="29D18826" w14:textId="7BD3C858" w:rsidR="001506C1" w:rsidRDefault="001506C1" w:rsidP="00CA4C3C">
      <w:pPr>
        <w:pStyle w:val="Heading2"/>
      </w:pPr>
      <w:proofErr w:type="spellStart"/>
      <w:r w:rsidRPr="00FA3F9C">
        <w:lastRenderedPageBreak/>
        <w:t>Zemaira</w:t>
      </w:r>
      <w:proofErr w:type="spellEnd"/>
      <w:r w:rsidRPr="00FA3F9C">
        <w:t xml:space="preserve"> (alpha 1- proteinase inhibitor)</w:t>
      </w:r>
      <w:bookmarkEnd w:id="11"/>
    </w:p>
    <w:p w14:paraId="0E888B61" w14:textId="77777777" w:rsidR="00CA4C3C" w:rsidRPr="00FA3F9C" w:rsidRDefault="00CA4C3C" w:rsidP="00CA4C3C">
      <w:pPr>
        <w:spacing w:after="0"/>
        <w:jc w:val="center"/>
        <w:rPr>
          <w:rFonts w:ascii="Arial" w:hAnsi="Arial" w:cs="Arial"/>
          <w:b/>
          <w:sz w:val="24"/>
          <w:szCs w:val="24"/>
        </w:rPr>
      </w:pPr>
      <w:r w:rsidRPr="00FA3F9C">
        <w:rPr>
          <w:rFonts w:ascii="Arial" w:hAnsi="Arial" w:cs="Arial"/>
          <w:b/>
          <w:sz w:val="24"/>
          <w:szCs w:val="24"/>
        </w:rPr>
        <w:t>EBRx</w:t>
      </w:r>
      <w:r>
        <w:rPr>
          <w:rFonts w:ascii="Arial" w:hAnsi="Arial" w:cs="Arial"/>
          <w:b/>
          <w:sz w:val="24"/>
          <w:szCs w:val="24"/>
        </w:rPr>
        <w:t xml:space="preserve"> </w:t>
      </w:r>
      <w:r w:rsidRPr="00FA3F9C">
        <w:rPr>
          <w:rFonts w:ascii="Arial" w:hAnsi="Arial" w:cs="Arial"/>
          <w:b/>
          <w:sz w:val="24"/>
          <w:szCs w:val="24"/>
        </w:rPr>
        <w:t>Prior Authorization Criteria</w:t>
      </w:r>
    </w:p>
    <w:p w14:paraId="081AFDD5" w14:textId="77777777" w:rsidR="00CA4C3C" w:rsidRPr="00FA3F9C" w:rsidRDefault="00CA4C3C" w:rsidP="00CA5ED9">
      <w:pPr>
        <w:spacing w:after="0"/>
        <w:jc w:val="center"/>
        <w:rPr>
          <w:rFonts w:ascii="Arial" w:hAnsi="Arial" w:cs="Arial"/>
          <w:b/>
          <w:sz w:val="24"/>
          <w:szCs w:val="24"/>
        </w:rPr>
      </w:pPr>
    </w:p>
    <w:p w14:paraId="6660E7A7" w14:textId="77777777" w:rsidR="001506C1" w:rsidRPr="00FA3F9C" w:rsidRDefault="001506C1" w:rsidP="00CA5ED9">
      <w:pPr>
        <w:spacing w:after="0"/>
        <w:rPr>
          <w:rFonts w:ascii="Arial" w:hAnsi="Arial" w:cs="Arial"/>
          <w:sz w:val="24"/>
          <w:szCs w:val="24"/>
        </w:rPr>
      </w:pPr>
    </w:p>
    <w:tbl>
      <w:tblPr>
        <w:tblStyle w:val="TableGrid"/>
        <w:tblW w:w="9828" w:type="dxa"/>
        <w:tblLook w:val="04A0" w:firstRow="1" w:lastRow="0" w:firstColumn="1" w:lastColumn="0" w:noHBand="0" w:noVBand="1"/>
      </w:tblPr>
      <w:tblGrid>
        <w:gridCol w:w="9828"/>
      </w:tblGrid>
      <w:tr w:rsidR="001506C1" w:rsidRPr="00FA3F9C" w14:paraId="60ED7BEB" w14:textId="77777777" w:rsidTr="0080752F">
        <w:tc>
          <w:tcPr>
            <w:tcW w:w="9828" w:type="dxa"/>
          </w:tcPr>
          <w:p w14:paraId="2EA3E74F" w14:textId="77777777" w:rsidR="001506C1" w:rsidRPr="00FA3F9C" w:rsidRDefault="001506C1" w:rsidP="0080752F">
            <w:pPr>
              <w:ind w:left="90" w:hanging="90"/>
              <w:rPr>
                <w:rFonts w:ascii="Arial" w:hAnsi="Arial" w:cs="Arial"/>
                <w:sz w:val="24"/>
                <w:szCs w:val="24"/>
              </w:rPr>
            </w:pPr>
            <w:r w:rsidRPr="00FA3F9C">
              <w:rPr>
                <w:rFonts w:ascii="Arial" w:hAnsi="Arial" w:cs="Arial"/>
                <w:sz w:val="24"/>
                <w:szCs w:val="24"/>
              </w:rPr>
              <w:t>1. Patient must have the diagnosis of emphysema and hereditary, severe alpha-1 antitrypsin deficiency, confirmed by genetic testing for alpha-1 antitrypsin deficiency.</w:t>
            </w:r>
          </w:p>
        </w:tc>
      </w:tr>
      <w:tr w:rsidR="001506C1" w:rsidRPr="00FA3F9C" w14:paraId="521C005D" w14:textId="77777777" w:rsidTr="0080752F">
        <w:tc>
          <w:tcPr>
            <w:tcW w:w="9828" w:type="dxa"/>
          </w:tcPr>
          <w:p w14:paraId="11B7C562" w14:textId="77777777" w:rsidR="001506C1" w:rsidRPr="00FA3F9C" w:rsidRDefault="001506C1" w:rsidP="00CA5ED9">
            <w:pPr>
              <w:rPr>
                <w:rFonts w:ascii="Arial" w:hAnsi="Arial" w:cs="Arial"/>
                <w:sz w:val="24"/>
                <w:szCs w:val="24"/>
              </w:rPr>
            </w:pPr>
            <w:r w:rsidRPr="00FA3F9C">
              <w:rPr>
                <w:rFonts w:ascii="Arial" w:hAnsi="Arial" w:cs="Arial"/>
                <w:sz w:val="24"/>
                <w:szCs w:val="24"/>
              </w:rPr>
              <w:t>2. Alpha-1 antitrypsin level must be documented at &lt;11 micromoles or &lt;80 mg/dL.</w:t>
            </w:r>
          </w:p>
        </w:tc>
      </w:tr>
      <w:tr w:rsidR="001506C1" w:rsidRPr="00FA3F9C" w14:paraId="4396782E" w14:textId="77777777" w:rsidTr="0080752F">
        <w:tc>
          <w:tcPr>
            <w:tcW w:w="9828" w:type="dxa"/>
          </w:tcPr>
          <w:p w14:paraId="1746DFBB" w14:textId="77777777" w:rsidR="001506C1" w:rsidRPr="00FA3F9C" w:rsidRDefault="001506C1" w:rsidP="00CA5ED9">
            <w:pPr>
              <w:rPr>
                <w:rFonts w:ascii="Arial" w:hAnsi="Arial" w:cs="Arial"/>
                <w:sz w:val="24"/>
                <w:szCs w:val="24"/>
              </w:rPr>
            </w:pPr>
            <w:r w:rsidRPr="00FA3F9C">
              <w:rPr>
                <w:rFonts w:ascii="Arial" w:hAnsi="Arial" w:cs="Arial"/>
                <w:sz w:val="24"/>
                <w:szCs w:val="24"/>
              </w:rPr>
              <w:t>3. Upon initial request, the patient must have pulmonary function tests within the previous three months showing a FEV1 of 30-65% predicted.</w:t>
            </w:r>
          </w:p>
          <w:p w14:paraId="1501CAA6" w14:textId="77777777" w:rsidR="001506C1" w:rsidRPr="00FA3F9C" w:rsidRDefault="001506C1" w:rsidP="0080752F">
            <w:pPr>
              <w:jc w:val="center"/>
              <w:rPr>
                <w:rFonts w:ascii="Arial" w:hAnsi="Arial" w:cs="Arial"/>
                <w:b/>
                <w:sz w:val="24"/>
                <w:szCs w:val="24"/>
                <w:u w:val="single"/>
              </w:rPr>
            </w:pPr>
            <w:r w:rsidRPr="00FA3F9C">
              <w:rPr>
                <w:rFonts w:ascii="Arial" w:hAnsi="Arial" w:cs="Arial"/>
                <w:b/>
                <w:sz w:val="24"/>
                <w:szCs w:val="24"/>
                <w:u w:val="single"/>
              </w:rPr>
              <w:t>OR</w:t>
            </w:r>
          </w:p>
          <w:p w14:paraId="00C80140" w14:textId="77777777" w:rsidR="001506C1" w:rsidRPr="00FA3F9C" w:rsidRDefault="001506C1" w:rsidP="0080752F">
            <w:pPr>
              <w:jc w:val="center"/>
              <w:rPr>
                <w:rFonts w:ascii="Arial" w:hAnsi="Arial" w:cs="Arial"/>
                <w:b/>
                <w:sz w:val="24"/>
                <w:szCs w:val="24"/>
                <w:u w:val="single"/>
              </w:rPr>
            </w:pPr>
          </w:p>
          <w:p w14:paraId="13E4978B" w14:textId="77777777" w:rsidR="001506C1" w:rsidRPr="00FA3F9C" w:rsidRDefault="001506C1" w:rsidP="00CA5ED9">
            <w:pPr>
              <w:rPr>
                <w:rFonts w:ascii="Arial" w:hAnsi="Arial" w:cs="Arial"/>
                <w:sz w:val="24"/>
                <w:szCs w:val="24"/>
              </w:rPr>
            </w:pPr>
            <w:r w:rsidRPr="00FA3F9C">
              <w:rPr>
                <w:rFonts w:ascii="Arial" w:hAnsi="Arial" w:cs="Arial"/>
                <w:sz w:val="24"/>
                <w:szCs w:val="24"/>
              </w:rPr>
              <w:t>A rapid decline in lung function of a decrease in FEV1 of more than 120 mL/year</w:t>
            </w:r>
          </w:p>
        </w:tc>
      </w:tr>
      <w:tr w:rsidR="001506C1" w:rsidRPr="00FA3F9C" w14:paraId="0C5162A0" w14:textId="77777777" w:rsidTr="0080752F">
        <w:tc>
          <w:tcPr>
            <w:tcW w:w="9828" w:type="dxa"/>
          </w:tcPr>
          <w:p w14:paraId="7E8D4307" w14:textId="77777777" w:rsidR="001506C1" w:rsidRPr="00FA3F9C" w:rsidRDefault="001506C1" w:rsidP="00CA5ED9">
            <w:pPr>
              <w:rPr>
                <w:rFonts w:ascii="Arial" w:hAnsi="Arial" w:cs="Arial"/>
                <w:sz w:val="24"/>
                <w:szCs w:val="24"/>
              </w:rPr>
            </w:pPr>
            <w:r w:rsidRPr="00FA3F9C">
              <w:rPr>
                <w:rFonts w:ascii="Arial" w:hAnsi="Arial" w:cs="Arial"/>
                <w:sz w:val="24"/>
                <w:szCs w:val="24"/>
              </w:rPr>
              <w:t>4. Must be a non-smoker</w:t>
            </w:r>
          </w:p>
        </w:tc>
      </w:tr>
    </w:tbl>
    <w:p w14:paraId="29414A00" w14:textId="77777777" w:rsidR="001506C1" w:rsidRPr="00FA3F9C" w:rsidRDefault="001506C1" w:rsidP="00CA5ED9">
      <w:pPr>
        <w:spacing w:after="0"/>
        <w:rPr>
          <w:rFonts w:ascii="Arial" w:hAnsi="Arial" w:cs="Arial"/>
          <w:sz w:val="24"/>
          <w:szCs w:val="24"/>
        </w:rPr>
      </w:pPr>
    </w:p>
    <w:p w14:paraId="48C0AC7A" w14:textId="77777777" w:rsidR="001506C1" w:rsidRPr="00FA3F9C" w:rsidRDefault="001506C1" w:rsidP="00CA5ED9">
      <w:pPr>
        <w:spacing w:after="0"/>
        <w:rPr>
          <w:rFonts w:ascii="Arial" w:hAnsi="Arial" w:cs="Arial"/>
          <w:sz w:val="24"/>
          <w:szCs w:val="24"/>
        </w:rPr>
      </w:pPr>
    </w:p>
    <w:p w14:paraId="22A5B34B" w14:textId="77777777" w:rsidR="001506C1" w:rsidRPr="00FA3F9C" w:rsidRDefault="001506C1" w:rsidP="00CA5ED9">
      <w:pPr>
        <w:spacing w:after="0"/>
        <w:rPr>
          <w:rFonts w:ascii="Arial" w:hAnsi="Arial" w:cs="Arial"/>
          <w:sz w:val="24"/>
          <w:szCs w:val="24"/>
        </w:rPr>
      </w:pPr>
    </w:p>
    <w:p w14:paraId="49DBF819" w14:textId="77777777" w:rsidR="001506C1" w:rsidRPr="00FA3F9C" w:rsidRDefault="001506C1" w:rsidP="00CA5ED9">
      <w:pPr>
        <w:spacing w:after="0"/>
        <w:rPr>
          <w:rFonts w:ascii="Arial" w:hAnsi="Arial" w:cs="Arial"/>
          <w:sz w:val="24"/>
          <w:szCs w:val="24"/>
        </w:rPr>
      </w:pPr>
      <w:r w:rsidRPr="00FA3F9C">
        <w:rPr>
          <w:rFonts w:ascii="Arial" w:hAnsi="Arial" w:cs="Arial"/>
          <w:sz w:val="24"/>
          <w:szCs w:val="24"/>
        </w:rPr>
        <w:t xml:space="preserve">If yes, approve 6 months, for requests outside of the above diagnosis, a manual review will be required. </w:t>
      </w:r>
    </w:p>
    <w:p w14:paraId="16C9A53C" w14:textId="77777777" w:rsidR="001506C1" w:rsidRPr="00FA3F9C" w:rsidRDefault="001506C1" w:rsidP="00CA5ED9">
      <w:pPr>
        <w:spacing w:after="0"/>
        <w:rPr>
          <w:rFonts w:ascii="Arial" w:hAnsi="Arial" w:cs="Arial"/>
          <w:sz w:val="24"/>
          <w:szCs w:val="24"/>
        </w:rPr>
      </w:pPr>
    </w:p>
    <w:p w14:paraId="50D4B395" w14:textId="77777777" w:rsidR="001506C1" w:rsidRPr="00FA3F9C" w:rsidRDefault="001506C1" w:rsidP="00B57025">
      <w:pPr>
        <w:rPr>
          <w:rFonts w:ascii="Arial" w:hAnsi="Arial" w:cs="Arial"/>
          <w:sz w:val="24"/>
          <w:szCs w:val="24"/>
        </w:rPr>
      </w:pPr>
      <w:r w:rsidRPr="00FA3F9C">
        <w:rPr>
          <w:rFonts w:ascii="Arial" w:hAnsi="Arial" w:cs="Arial"/>
          <w:sz w:val="24"/>
          <w:szCs w:val="24"/>
        </w:rPr>
        <w:t>Revision History:</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6750"/>
        <w:gridCol w:w="2070"/>
      </w:tblGrid>
      <w:tr w:rsidR="001506C1" w:rsidRPr="00FA3F9C" w14:paraId="22194A16" w14:textId="77777777" w:rsidTr="0080752F">
        <w:tc>
          <w:tcPr>
            <w:tcW w:w="918" w:type="dxa"/>
          </w:tcPr>
          <w:p w14:paraId="0AFA2B3B" w14:textId="77777777" w:rsidR="001506C1" w:rsidRPr="00FA3F9C" w:rsidRDefault="001506C1" w:rsidP="00E37EBF">
            <w:pPr>
              <w:spacing w:after="0"/>
              <w:rPr>
                <w:rFonts w:ascii="Arial" w:hAnsi="Arial" w:cs="Arial"/>
                <w:sz w:val="24"/>
                <w:szCs w:val="24"/>
              </w:rPr>
            </w:pPr>
            <w:r w:rsidRPr="00FA3F9C">
              <w:rPr>
                <w:rFonts w:ascii="Arial" w:hAnsi="Arial" w:cs="Arial"/>
                <w:sz w:val="24"/>
                <w:szCs w:val="24"/>
              </w:rPr>
              <w:t>Date</w:t>
            </w:r>
          </w:p>
        </w:tc>
        <w:tc>
          <w:tcPr>
            <w:tcW w:w="6750" w:type="dxa"/>
          </w:tcPr>
          <w:p w14:paraId="3A593094" w14:textId="77777777" w:rsidR="001506C1" w:rsidRPr="00FA3F9C" w:rsidRDefault="001506C1" w:rsidP="00E37EBF">
            <w:pPr>
              <w:spacing w:after="0"/>
              <w:rPr>
                <w:rFonts w:ascii="Arial" w:hAnsi="Arial" w:cs="Arial"/>
                <w:sz w:val="24"/>
                <w:szCs w:val="24"/>
              </w:rPr>
            </w:pPr>
            <w:r w:rsidRPr="00FA3F9C">
              <w:rPr>
                <w:rFonts w:ascii="Arial" w:hAnsi="Arial" w:cs="Arial"/>
                <w:sz w:val="24"/>
                <w:szCs w:val="24"/>
              </w:rPr>
              <w:t>What was changed</w:t>
            </w:r>
          </w:p>
        </w:tc>
        <w:tc>
          <w:tcPr>
            <w:tcW w:w="2070" w:type="dxa"/>
          </w:tcPr>
          <w:p w14:paraId="0AA975CF" w14:textId="77777777" w:rsidR="001506C1" w:rsidRPr="00FA3F9C" w:rsidRDefault="001506C1" w:rsidP="00E37EBF">
            <w:pPr>
              <w:spacing w:after="0"/>
              <w:rPr>
                <w:rFonts w:ascii="Arial" w:hAnsi="Arial" w:cs="Arial"/>
                <w:sz w:val="24"/>
                <w:szCs w:val="24"/>
              </w:rPr>
            </w:pPr>
            <w:r w:rsidRPr="00FA3F9C">
              <w:rPr>
                <w:rFonts w:ascii="Arial" w:hAnsi="Arial" w:cs="Arial"/>
                <w:sz w:val="24"/>
                <w:szCs w:val="24"/>
              </w:rPr>
              <w:t>Pharmacist’s initials</w:t>
            </w:r>
          </w:p>
        </w:tc>
      </w:tr>
      <w:tr w:rsidR="001506C1" w:rsidRPr="00FA3F9C" w14:paraId="0CD93DD3" w14:textId="77777777" w:rsidTr="0080752F">
        <w:tc>
          <w:tcPr>
            <w:tcW w:w="918" w:type="dxa"/>
          </w:tcPr>
          <w:p w14:paraId="3F3BF733" w14:textId="77777777" w:rsidR="001506C1" w:rsidRPr="00FA3F9C" w:rsidRDefault="001506C1" w:rsidP="00E37EBF">
            <w:pPr>
              <w:spacing w:after="0"/>
              <w:rPr>
                <w:rFonts w:ascii="Arial" w:hAnsi="Arial" w:cs="Arial"/>
                <w:sz w:val="24"/>
                <w:szCs w:val="24"/>
              </w:rPr>
            </w:pPr>
            <w:r w:rsidRPr="00FA3F9C">
              <w:rPr>
                <w:rFonts w:ascii="Arial" w:hAnsi="Arial" w:cs="Arial"/>
                <w:sz w:val="24"/>
                <w:szCs w:val="24"/>
              </w:rPr>
              <w:t>5/8/12</w:t>
            </w:r>
          </w:p>
        </w:tc>
        <w:tc>
          <w:tcPr>
            <w:tcW w:w="6750" w:type="dxa"/>
          </w:tcPr>
          <w:p w14:paraId="7A8724C2" w14:textId="77777777" w:rsidR="001506C1" w:rsidRPr="00FA3F9C" w:rsidRDefault="001506C1" w:rsidP="00E37EBF">
            <w:pPr>
              <w:spacing w:after="0"/>
              <w:rPr>
                <w:rFonts w:ascii="Arial" w:hAnsi="Arial" w:cs="Arial"/>
                <w:sz w:val="24"/>
                <w:szCs w:val="24"/>
              </w:rPr>
            </w:pPr>
            <w:r w:rsidRPr="00FA3F9C">
              <w:rPr>
                <w:rFonts w:ascii="Arial" w:hAnsi="Arial" w:cs="Arial"/>
                <w:sz w:val="24"/>
                <w:szCs w:val="24"/>
              </w:rPr>
              <w:t xml:space="preserve">Created revision history; Jill did not create </w:t>
            </w:r>
            <w:proofErr w:type="gramStart"/>
            <w:r w:rsidRPr="00FA3F9C">
              <w:rPr>
                <w:rFonts w:ascii="Arial" w:hAnsi="Arial" w:cs="Arial"/>
                <w:sz w:val="24"/>
                <w:szCs w:val="24"/>
              </w:rPr>
              <w:t>this criteria</w:t>
            </w:r>
            <w:proofErr w:type="gramEnd"/>
            <w:r w:rsidRPr="00FA3F9C">
              <w:rPr>
                <w:rFonts w:ascii="Arial" w:hAnsi="Arial" w:cs="Arial"/>
                <w:sz w:val="24"/>
                <w:szCs w:val="24"/>
              </w:rPr>
              <w:t>.</w:t>
            </w:r>
          </w:p>
        </w:tc>
        <w:tc>
          <w:tcPr>
            <w:tcW w:w="2070" w:type="dxa"/>
          </w:tcPr>
          <w:p w14:paraId="2D9A2063" w14:textId="2F8CE695" w:rsidR="001506C1" w:rsidRPr="00FA3F9C" w:rsidRDefault="005C142D" w:rsidP="00E37EBF">
            <w:pPr>
              <w:spacing w:after="0"/>
              <w:rPr>
                <w:rFonts w:ascii="Arial" w:hAnsi="Arial" w:cs="Arial"/>
                <w:sz w:val="24"/>
                <w:szCs w:val="24"/>
              </w:rPr>
            </w:pPr>
            <w:r w:rsidRPr="00FA3F9C">
              <w:rPr>
                <w:rFonts w:ascii="Arial" w:hAnsi="Arial" w:cs="Arial"/>
                <w:sz w:val="24"/>
                <w:szCs w:val="24"/>
              </w:rPr>
              <w:t>JJ</w:t>
            </w:r>
          </w:p>
        </w:tc>
      </w:tr>
      <w:tr w:rsidR="001506C1" w:rsidRPr="00FA3F9C" w14:paraId="38750E4B" w14:textId="77777777" w:rsidTr="0080752F">
        <w:tc>
          <w:tcPr>
            <w:tcW w:w="918" w:type="dxa"/>
          </w:tcPr>
          <w:p w14:paraId="0525828D" w14:textId="77777777" w:rsidR="001506C1" w:rsidRPr="00FA3F9C" w:rsidRDefault="001506C1" w:rsidP="00E37EBF">
            <w:pPr>
              <w:spacing w:after="0"/>
              <w:rPr>
                <w:rFonts w:ascii="Arial" w:hAnsi="Arial" w:cs="Arial"/>
                <w:sz w:val="24"/>
                <w:szCs w:val="24"/>
              </w:rPr>
            </w:pPr>
            <w:r w:rsidRPr="00FA3F9C">
              <w:rPr>
                <w:rFonts w:ascii="Arial" w:hAnsi="Arial" w:cs="Arial"/>
                <w:sz w:val="24"/>
                <w:szCs w:val="24"/>
              </w:rPr>
              <w:t>3/1/18</w:t>
            </w:r>
          </w:p>
        </w:tc>
        <w:tc>
          <w:tcPr>
            <w:tcW w:w="6750" w:type="dxa"/>
          </w:tcPr>
          <w:p w14:paraId="0B0E05DC" w14:textId="77777777" w:rsidR="001506C1" w:rsidRPr="00FA3F9C" w:rsidRDefault="001506C1" w:rsidP="00E37EBF">
            <w:pPr>
              <w:spacing w:after="0"/>
              <w:rPr>
                <w:rFonts w:ascii="Arial" w:hAnsi="Arial" w:cs="Arial"/>
                <w:sz w:val="24"/>
                <w:szCs w:val="24"/>
              </w:rPr>
            </w:pPr>
            <w:r w:rsidRPr="00FA3F9C">
              <w:rPr>
                <w:rFonts w:ascii="Arial" w:hAnsi="Arial" w:cs="Arial"/>
                <w:sz w:val="24"/>
                <w:szCs w:val="24"/>
              </w:rPr>
              <w:t xml:space="preserve">After realizing other alpha 1 </w:t>
            </w:r>
            <w:proofErr w:type="gramStart"/>
            <w:r w:rsidRPr="00FA3F9C">
              <w:rPr>
                <w:rFonts w:ascii="Arial" w:hAnsi="Arial" w:cs="Arial"/>
                <w:sz w:val="24"/>
                <w:szCs w:val="24"/>
              </w:rPr>
              <w:t>proteinases</w:t>
            </w:r>
            <w:proofErr w:type="gramEnd"/>
            <w:r w:rsidRPr="00FA3F9C">
              <w:rPr>
                <w:rFonts w:ascii="Arial" w:hAnsi="Arial" w:cs="Arial"/>
                <w:sz w:val="24"/>
                <w:szCs w:val="24"/>
              </w:rPr>
              <w:t xml:space="preserve"> are on the market and with the emergence of </w:t>
            </w:r>
            <w:proofErr w:type="spellStart"/>
            <w:r w:rsidRPr="00FA3F9C">
              <w:rPr>
                <w:rFonts w:ascii="Arial" w:hAnsi="Arial" w:cs="Arial"/>
                <w:sz w:val="24"/>
                <w:szCs w:val="24"/>
              </w:rPr>
              <w:t>Prolastin</w:t>
            </w:r>
            <w:proofErr w:type="spellEnd"/>
            <w:r w:rsidRPr="00FA3F9C">
              <w:rPr>
                <w:rFonts w:ascii="Arial" w:hAnsi="Arial" w:cs="Arial"/>
                <w:sz w:val="24"/>
                <w:szCs w:val="24"/>
              </w:rPr>
              <w:t xml:space="preserve">-C, we are revising the criteria.  Previously, the only criteria </w:t>
            </w:r>
            <w:proofErr w:type="gramStart"/>
            <w:r w:rsidRPr="00FA3F9C">
              <w:rPr>
                <w:rFonts w:ascii="Arial" w:hAnsi="Arial" w:cs="Arial"/>
                <w:sz w:val="24"/>
                <w:szCs w:val="24"/>
              </w:rPr>
              <w:t>was</w:t>
            </w:r>
            <w:proofErr w:type="gramEnd"/>
            <w:r w:rsidRPr="00FA3F9C">
              <w:rPr>
                <w:rFonts w:ascii="Arial" w:hAnsi="Arial" w:cs="Arial"/>
                <w:sz w:val="24"/>
                <w:szCs w:val="24"/>
              </w:rPr>
              <w:t>:</w:t>
            </w:r>
          </w:p>
          <w:p w14:paraId="340389F6" w14:textId="77777777" w:rsidR="001506C1" w:rsidRPr="00FA3F9C" w:rsidRDefault="001506C1" w:rsidP="00E37EBF">
            <w:pPr>
              <w:spacing w:after="0"/>
              <w:rPr>
                <w:rFonts w:ascii="Arial" w:hAnsi="Arial" w:cs="Arial"/>
                <w:sz w:val="24"/>
                <w:szCs w:val="24"/>
              </w:rPr>
            </w:pPr>
            <w:r w:rsidRPr="00FA3F9C">
              <w:rPr>
                <w:rFonts w:ascii="Arial" w:hAnsi="Arial" w:cs="Arial"/>
                <w:sz w:val="24"/>
                <w:szCs w:val="24"/>
              </w:rPr>
              <w:t>“Does the patient have congenital alpha</w:t>
            </w:r>
            <w:r w:rsidRPr="00FA3F9C">
              <w:rPr>
                <w:rFonts w:ascii="Arial" w:hAnsi="Arial" w:cs="Arial"/>
                <w:sz w:val="24"/>
                <w:szCs w:val="24"/>
                <w:vertAlign w:val="subscript"/>
              </w:rPr>
              <w:t>1</w:t>
            </w:r>
            <w:r w:rsidRPr="00FA3F9C">
              <w:rPr>
                <w:rFonts w:ascii="Arial" w:hAnsi="Arial" w:cs="Arial"/>
                <w:sz w:val="24"/>
                <w:szCs w:val="24"/>
              </w:rPr>
              <w:t>-antitrypsin deficiency, with clinical emphysema?”</w:t>
            </w:r>
          </w:p>
          <w:p w14:paraId="06D06F53" w14:textId="77777777" w:rsidR="001506C1" w:rsidRPr="00FA3F9C" w:rsidRDefault="001506C1" w:rsidP="0060459D">
            <w:pPr>
              <w:spacing w:after="0"/>
              <w:rPr>
                <w:rFonts w:ascii="Arial" w:hAnsi="Arial" w:cs="Arial"/>
                <w:sz w:val="24"/>
                <w:szCs w:val="24"/>
              </w:rPr>
            </w:pPr>
            <w:r w:rsidRPr="00FA3F9C">
              <w:rPr>
                <w:rFonts w:ascii="Arial" w:hAnsi="Arial" w:cs="Arial"/>
                <w:sz w:val="24"/>
                <w:szCs w:val="24"/>
              </w:rPr>
              <w:t xml:space="preserve">These products include </w:t>
            </w:r>
            <w:proofErr w:type="spellStart"/>
            <w:r w:rsidRPr="00FA3F9C">
              <w:rPr>
                <w:rFonts w:ascii="Arial" w:hAnsi="Arial" w:cs="Arial"/>
                <w:sz w:val="24"/>
                <w:szCs w:val="24"/>
              </w:rPr>
              <w:t>Zemaira</w:t>
            </w:r>
            <w:proofErr w:type="spellEnd"/>
            <w:r w:rsidRPr="00FA3F9C">
              <w:rPr>
                <w:rFonts w:ascii="Arial" w:hAnsi="Arial" w:cs="Arial"/>
                <w:sz w:val="24"/>
                <w:szCs w:val="24"/>
              </w:rPr>
              <w:t xml:space="preserve">, </w:t>
            </w:r>
            <w:proofErr w:type="spellStart"/>
            <w:r w:rsidRPr="00FA3F9C">
              <w:rPr>
                <w:rFonts w:ascii="Arial" w:hAnsi="Arial" w:cs="Arial"/>
                <w:sz w:val="24"/>
                <w:szCs w:val="24"/>
              </w:rPr>
              <w:t>Prolastin</w:t>
            </w:r>
            <w:proofErr w:type="spellEnd"/>
            <w:r w:rsidRPr="00FA3F9C">
              <w:rPr>
                <w:rFonts w:ascii="Arial" w:hAnsi="Arial" w:cs="Arial"/>
                <w:sz w:val="24"/>
                <w:szCs w:val="24"/>
              </w:rPr>
              <w:t xml:space="preserve">-C, Glassia, and </w:t>
            </w:r>
            <w:proofErr w:type="spellStart"/>
            <w:r w:rsidRPr="00FA3F9C">
              <w:rPr>
                <w:rFonts w:ascii="Arial" w:hAnsi="Arial" w:cs="Arial"/>
                <w:sz w:val="24"/>
                <w:szCs w:val="24"/>
              </w:rPr>
              <w:t>Aralast</w:t>
            </w:r>
            <w:proofErr w:type="spellEnd"/>
            <w:r w:rsidRPr="00FA3F9C">
              <w:rPr>
                <w:rFonts w:ascii="Arial" w:hAnsi="Arial" w:cs="Arial"/>
                <w:sz w:val="24"/>
                <w:szCs w:val="24"/>
              </w:rPr>
              <w:t xml:space="preserve"> NP.</w:t>
            </w:r>
          </w:p>
        </w:tc>
        <w:tc>
          <w:tcPr>
            <w:tcW w:w="2070" w:type="dxa"/>
          </w:tcPr>
          <w:p w14:paraId="054B652C" w14:textId="2310820C" w:rsidR="001506C1" w:rsidRPr="00FA3F9C" w:rsidRDefault="005C142D" w:rsidP="00E37EBF">
            <w:pPr>
              <w:spacing w:after="0"/>
              <w:rPr>
                <w:rFonts w:ascii="Arial" w:hAnsi="Arial" w:cs="Arial"/>
                <w:sz w:val="24"/>
                <w:szCs w:val="24"/>
              </w:rPr>
            </w:pPr>
            <w:r w:rsidRPr="00FA3F9C">
              <w:rPr>
                <w:rFonts w:ascii="Arial" w:hAnsi="Arial" w:cs="Arial"/>
                <w:sz w:val="24"/>
                <w:szCs w:val="24"/>
              </w:rPr>
              <w:t>JJ</w:t>
            </w:r>
          </w:p>
        </w:tc>
      </w:tr>
    </w:tbl>
    <w:p w14:paraId="7DB22DC2" w14:textId="77777777" w:rsidR="001506C1" w:rsidRPr="00FA3F9C" w:rsidRDefault="001506C1" w:rsidP="00076432"/>
    <w:p w14:paraId="49BD73D7" w14:textId="3891C131" w:rsidR="00CA4C3C" w:rsidRPr="00FA3F9C" w:rsidRDefault="001506C1" w:rsidP="00CA4C3C">
      <w:pPr>
        <w:pStyle w:val="Heading2"/>
      </w:pPr>
      <w:bookmarkStart w:id="12" w:name="_Toc106369714"/>
      <w:proofErr w:type="spellStart"/>
      <w:r w:rsidRPr="00FA3F9C">
        <w:lastRenderedPageBreak/>
        <w:t>Ambrisentan</w:t>
      </w:r>
      <w:proofErr w:type="spellEnd"/>
      <w:r w:rsidRPr="00FA3F9C">
        <w:t xml:space="preserve"> (</w:t>
      </w:r>
      <w:proofErr w:type="spellStart"/>
      <w:r w:rsidRPr="00FA3F9C">
        <w:t>Letairis</w:t>
      </w:r>
      <w:proofErr w:type="spellEnd"/>
      <w:r w:rsidRPr="00FA3F9C">
        <w:t>)</w:t>
      </w:r>
      <w:bookmarkEnd w:id="12"/>
    </w:p>
    <w:p w14:paraId="6E2349D8" w14:textId="4741767F" w:rsidR="001506C1" w:rsidRDefault="001506C1" w:rsidP="00EA7CCF">
      <w:pPr>
        <w:spacing w:after="0" w:line="240" w:lineRule="auto"/>
        <w:jc w:val="center"/>
        <w:rPr>
          <w:rFonts w:ascii="Arial" w:hAnsi="Arial" w:cs="Arial"/>
          <w:sz w:val="24"/>
          <w:szCs w:val="24"/>
        </w:rPr>
      </w:pPr>
      <w:r w:rsidRPr="00FA3F9C">
        <w:rPr>
          <w:rFonts w:ascii="Arial" w:hAnsi="Arial" w:cs="Arial"/>
          <w:sz w:val="24"/>
          <w:szCs w:val="24"/>
        </w:rPr>
        <w:t>5mg, 10mg oral tablets</w:t>
      </w:r>
    </w:p>
    <w:p w14:paraId="04936A42" w14:textId="77777777" w:rsidR="00CA4C3C" w:rsidRPr="00FA3F9C" w:rsidRDefault="00CA4C3C" w:rsidP="00CA4C3C">
      <w:pPr>
        <w:spacing w:after="0"/>
        <w:jc w:val="center"/>
        <w:rPr>
          <w:rFonts w:ascii="Arial" w:hAnsi="Arial" w:cs="Arial"/>
          <w:sz w:val="24"/>
          <w:szCs w:val="24"/>
        </w:rPr>
      </w:pPr>
      <w:r w:rsidRPr="00FA3F9C">
        <w:rPr>
          <w:rFonts w:ascii="Arial" w:hAnsi="Arial" w:cs="Arial"/>
          <w:sz w:val="24"/>
          <w:szCs w:val="24"/>
        </w:rPr>
        <w:t>EBRx PA Criteria</w:t>
      </w:r>
    </w:p>
    <w:p w14:paraId="356BD33C" w14:textId="77777777" w:rsidR="00CA4C3C" w:rsidRPr="00FA3F9C" w:rsidRDefault="00CA4C3C" w:rsidP="00EA7CCF">
      <w:pPr>
        <w:spacing w:after="0" w:line="240" w:lineRule="auto"/>
        <w:jc w:val="center"/>
        <w:rPr>
          <w:rFonts w:ascii="Arial" w:hAnsi="Arial" w:cs="Arial"/>
          <w:b/>
          <w:sz w:val="24"/>
          <w:szCs w:val="24"/>
          <w:u w:val="single"/>
        </w:rPr>
      </w:pPr>
    </w:p>
    <w:p w14:paraId="5AD4CE64" w14:textId="77777777" w:rsidR="001506C1" w:rsidRPr="00FA3F9C" w:rsidRDefault="001506C1" w:rsidP="00EA7CCF">
      <w:pPr>
        <w:spacing w:after="0" w:line="240" w:lineRule="auto"/>
        <w:rPr>
          <w:rFonts w:ascii="Arial" w:hAnsi="Arial" w:cs="Arial"/>
          <w:b/>
          <w:sz w:val="24"/>
          <w:szCs w:val="24"/>
          <w:u w:val="single"/>
        </w:rPr>
      </w:pPr>
    </w:p>
    <w:p w14:paraId="30FEB3F6" w14:textId="77777777" w:rsidR="001506C1" w:rsidRPr="00FA3F9C" w:rsidRDefault="001506C1" w:rsidP="00EA7CCF">
      <w:pPr>
        <w:spacing w:after="0" w:line="240" w:lineRule="auto"/>
        <w:rPr>
          <w:rFonts w:ascii="Arial" w:eastAsia="Times New Roman" w:hAnsi="Arial" w:cs="Arial"/>
          <w:color w:val="000000"/>
          <w:sz w:val="24"/>
          <w:szCs w:val="24"/>
          <w:shd w:val="clear" w:color="auto" w:fill="F2F2F2"/>
        </w:rPr>
      </w:pPr>
      <w:proofErr w:type="spellStart"/>
      <w:r w:rsidRPr="00FA3F9C">
        <w:rPr>
          <w:rFonts w:ascii="Arial" w:hAnsi="Arial" w:cs="Arial"/>
          <w:b/>
          <w:sz w:val="24"/>
          <w:szCs w:val="24"/>
          <w:u w:val="single"/>
        </w:rPr>
        <w:t>Ambrisentan</w:t>
      </w:r>
      <w:proofErr w:type="spellEnd"/>
      <w:r w:rsidRPr="00FA3F9C">
        <w:rPr>
          <w:rFonts w:ascii="Arial" w:hAnsi="Arial" w:cs="Arial"/>
          <w:b/>
          <w:sz w:val="24"/>
          <w:szCs w:val="24"/>
          <w:u w:val="single"/>
        </w:rPr>
        <w:t xml:space="preserve"> (</w:t>
      </w:r>
      <w:proofErr w:type="spellStart"/>
      <w:r w:rsidRPr="00FA3F9C">
        <w:rPr>
          <w:rFonts w:ascii="Arial" w:hAnsi="Arial" w:cs="Arial"/>
          <w:b/>
          <w:sz w:val="24"/>
          <w:szCs w:val="24"/>
          <w:u w:val="single"/>
        </w:rPr>
        <w:t>Letairis</w:t>
      </w:r>
      <w:proofErr w:type="spellEnd"/>
      <w:r w:rsidRPr="00FA3F9C">
        <w:rPr>
          <w:rFonts w:ascii="Arial" w:hAnsi="Arial" w:cs="Arial"/>
          <w:b/>
          <w:sz w:val="24"/>
          <w:szCs w:val="24"/>
          <w:u w:val="single"/>
        </w:rPr>
        <w:t xml:space="preserve">) is FDA-approved for: </w:t>
      </w:r>
      <w:r w:rsidRPr="00FA3F9C">
        <w:rPr>
          <w:rFonts w:ascii="Arial" w:eastAsia="Times New Roman" w:hAnsi="Arial" w:cs="Arial"/>
          <w:color w:val="000000"/>
          <w:sz w:val="24"/>
          <w:szCs w:val="24"/>
          <w:shd w:val="clear" w:color="auto" w:fill="F2F2F2"/>
        </w:rPr>
        <w:t>Treatment of pulmonary artery hypertension (PAH) World Health Organization (WHO) Group I to improve exercise ability and delay clinical worsening; in combo with tadalafil to reduce the risks of disease progression and hospitalization for worsening PHA, and to improve exercise ability.  Studies establishing effectiveness included predominantly patients with WHO Functional Class II to III symptoms and etiologies of idiopathic or heritable PAH (60%) or PAH associated with connective tissue diseases (34%).</w:t>
      </w:r>
    </w:p>
    <w:p w14:paraId="364AB1D8" w14:textId="77777777" w:rsidR="001506C1" w:rsidRPr="00FA3F9C" w:rsidRDefault="001506C1" w:rsidP="00EA7CCF">
      <w:pPr>
        <w:spacing w:after="0" w:line="240" w:lineRule="auto"/>
        <w:rPr>
          <w:rFonts w:ascii="Arial" w:eastAsia="Times New Roman" w:hAnsi="Arial" w:cs="Arial"/>
          <w:sz w:val="24"/>
          <w:szCs w:val="24"/>
        </w:rPr>
      </w:pPr>
      <w:r w:rsidRPr="00FA3F9C">
        <w:rPr>
          <w:rFonts w:ascii="Arial" w:eastAsia="Times New Roman" w:hAnsi="Arial" w:cs="Arial"/>
          <w:color w:val="000000"/>
          <w:sz w:val="24"/>
          <w:szCs w:val="24"/>
          <w:shd w:val="clear" w:color="auto" w:fill="F2F2F2"/>
        </w:rPr>
        <w:t xml:space="preserve">Note: </w:t>
      </w:r>
      <w:r w:rsidRPr="00FA3F9C">
        <w:rPr>
          <w:rFonts w:ascii="Arial" w:eastAsia="Times New Roman" w:hAnsi="Arial" w:cs="Arial"/>
          <w:color w:val="474747"/>
          <w:sz w:val="24"/>
          <w:szCs w:val="24"/>
          <w:shd w:val="clear" w:color="auto" w:fill="FFFFFF"/>
        </w:rPr>
        <w:t>According to treatment guidelines from the Fifth World Symposium on Pulmonary Hypertension (WSPH), only a small number of PAH patients with WHO-FC IV symptoms (</w:t>
      </w:r>
      <w:proofErr w:type="spellStart"/>
      <w:r w:rsidRPr="00FA3F9C">
        <w:rPr>
          <w:rFonts w:ascii="Arial" w:eastAsia="Times New Roman" w:hAnsi="Arial" w:cs="Arial"/>
          <w:color w:val="474747"/>
          <w:sz w:val="24"/>
          <w:szCs w:val="24"/>
          <w:shd w:val="clear" w:color="auto" w:fill="FFFFFF"/>
        </w:rPr>
        <w:t>ie</w:t>
      </w:r>
      <w:proofErr w:type="spellEnd"/>
      <w:r w:rsidRPr="00FA3F9C">
        <w:rPr>
          <w:rFonts w:ascii="Arial" w:eastAsia="Times New Roman" w:hAnsi="Arial" w:cs="Arial"/>
          <w:color w:val="474747"/>
          <w:sz w:val="24"/>
          <w:szCs w:val="24"/>
          <w:shd w:val="clear" w:color="auto" w:fill="FFFFFF"/>
        </w:rPr>
        <w:t xml:space="preserve">, severely ill patients) were included in clinical trials, therefore, most experts consider </w:t>
      </w:r>
      <w:proofErr w:type="spellStart"/>
      <w:r w:rsidRPr="00FA3F9C">
        <w:rPr>
          <w:rFonts w:ascii="Arial" w:eastAsia="Times New Roman" w:hAnsi="Arial" w:cs="Arial"/>
          <w:color w:val="474747"/>
          <w:sz w:val="24"/>
          <w:szCs w:val="24"/>
          <w:shd w:val="clear" w:color="auto" w:fill="FFFFFF"/>
        </w:rPr>
        <w:t>ambrisentan</w:t>
      </w:r>
      <w:proofErr w:type="spellEnd"/>
      <w:r w:rsidRPr="00FA3F9C">
        <w:rPr>
          <w:rFonts w:ascii="Arial" w:eastAsia="Times New Roman" w:hAnsi="Arial" w:cs="Arial"/>
          <w:color w:val="474747"/>
          <w:sz w:val="24"/>
          <w:szCs w:val="24"/>
          <w:shd w:val="clear" w:color="auto" w:fill="FFFFFF"/>
        </w:rPr>
        <w:t xml:space="preserve"> second-line therapy in these patients (WSPH [</w:t>
      </w:r>
      <w:proofErr w:type="spellStart"/>
      <w:r w:rsidRPr="00FA3F9C">
        <w:rPr>
          <w:rFonts w:ascii="Arial" w:eastAsia="Times New Roman" w:hAnsi="Arial" w:cs="Arial"/>
          <w:color w:val="474747"/>
          <w:sz w:val="24"/>
          <w:szCs w:val="24"/>
          <w:shd w:val="clear" w:color="auto" w:fill="FFFFFF"/>
        </w:rPr>
        <w:t>Gailè</w:t>
      </w:r>
      <w:proofErr w:type="spellEnd"/>
      <w:r w:rsidRPr="00FA3F9C">
        <w:rPr>
          <w:rFonts w:ascii="Arial" w:eastAsia="Times New Roman" w:hAnsi="Arial" w:cs="Arial"/>
          <w:color w:val="474747"/>
          <w:sz w:val="24"/>
          <w:szCs w:val="24"/>
          <w:shd w:val="clear" w:color="auto" w:fill="FFFFFF"/>
        </w:rPr>
        <w:t xml:space="preserve"> 2013]).</w:t>
      </w:r>
    </w:p>
    <w:p w14:paraId="6A957E43" w14:textId="77777777" w:rsidR="001506C1" w:rsidRPr="00FA3F9C" w:rsidRDefault="001506C1" w:rsidP="00EA7CCF">
      <w:pPr>
        <w:spacing w:after="0" w:line="240" w:lineRule="auto"/>
        <w:rPr>
          <w:rFonts w:ascii="Arial" w:eastAsia="Times New Roman" w:hAnsi="Arial" w:cs="Arial"/>
          <w:sz w:val="24"/>
          <w:szCs w:val="24"/>
        </w:rPr>
      </w:pPr>
    </w:p>
    <w:tbl>
      <w:tblPr>
        <w:tblStyle w:val="TableGrid"/>
        <w:tblW w:w="0" w:type="auto"/>
        <w:tblLook w:val="04A0" w:firstRow="1" w:lastRow="0" w:firstColumn="1" w:lastColumn="0" w:noHBand="0" w:noVBand="1"/>
      </w:tblPr>
      <w:tblGrid>
        <w:gridCol w:w="10998"/>
      </w:tblGrid>
      <w:tr w:rsidR="001506C1" w:rsidRPr="00FA3F9C" w14:paraId="6BBBA92D" w14:textId="77777777" w:rsidTr="00EA7CCF">
        <w:tc>
          <w:tcPr>
            <w:tcW w:w="10998" w:type="dxa"/>
          </w:tcPr>
          <w:p w14:paraId="0419C588" w14:textId="77777777" w:rsidR="001506C1" w:rsidRPr="00FA3F9C" w:rsidRDefault="001506C1" w:rsidP="00EA7CCF">
            <w:pPr>
              <w:jc w:val="center"/>
              <w:rPr>
                <w:rFonts w:ascii="Arial" w:hAnsi="Arial" w:cs="Arial"/>
                <w:b/>
                <w:sz w:val="24"/>
                <w:szCs w:val="24"/>
                <w:u w:val="single"/>
              </w:rPr>
            </w:pPr>
            <w:r w:rsidRPr="00FA3F9C">
              <w:rPr>
                <w:rFonts w:ascii="Arial" w:hAnsi="Arial" w:cs="Arial"/>
                <w:b/>
                <w:sz w:val="24"/>
                <w:szCs w:val="24"/>
                <w:u w:val="single"/>
              </w:rPr>
              <w:t>Criteria</w:t>
            </w:r>
          </w:p>
        </w:tc>
      </w:tr>
      <w:tr w:rsidR="001506C1" w:rsidRPr="00FA3F9C" w14:paraId="1759D8A9" w14:textId="77777777" w:rsidTr="00EA7CCF">
        <w:tc>
          <w:tcPr>
            <w:tcW w:w="10998" w:type="dxa"/>
          </w:tcPr>
          <w:p w14:paraId="19561B16" w14:textId="77777777" w:rsidR="001506C1" w:rsidRPr="00FA3F9C" w:rsidRDefault="001506C1" w:rsidP="00EA7CCF">
            <w:pPr>
              <w:rPr>
                <w:rFonts w:ascii="Arial" w:hAnsi="Arial" w:cs="Arial"/>
                <w:sz w:val="24"/>
                <w:szCs w:val="24"/>
              </w:rPr>
            </w:pPr>
            <w:r w:rsidRPr="00FA3F9C">
              <w:rPr>
                <w:rFonts w:ascii="Arial" w:hAnsi="Arial" w:cs="Arial"/>
                <w:sz w:val="24"/>
                <w:szCs w:val="24"/>
              </w:rPr>
              <w:t>1.  The patient must have the diagnosis of PAH (Group I</w:t>
            </w:r>
            <w:proofErr w:type="gramStart"/>
            <w:r w:rsidRPr="00FA3F9C">
              <w:rPr>
                <w:rFonts w:ascii="Arial" w:hAnsi="Arial" w:cs="Arial"/>
                <w:sz w:val="24"/>
                <w:szCs w:val="24"/>
              </w:rPr>
              <w:t>)</w:t>
            </w:r>
            <w:proofErr w:type="gramEnd"/>
            <w:r w:rsidRPr="00FA3F9C">
              <w:rPr>
                <w:rFonts w:ascii="Arial" w:hAnsi="Arial" w:cs="Arial"/>
                <w:sz w:val="24"/>
                <w:szCs w:val="24"/>
              </w:rPr>
              <w:t xml:space="preserve"> and either be taking a CCB and still having symptoms, or have failed a CCB.</w:t>
            </w:r>
          </w:p>
        </w:tc>
      </w:tr>
      <w:tr w:rsidR="001506C1" w:rsidRPr="00FA3F9C" w14:paraId="71B68238" w14:textId="77777777" w:rsidTr="00EA7CCF">
        <w:tc>
          <w:tcPr>
            <w:tcW w:w="10998" w:type="dxa"/>
          </w:tcPr>
          <w:p w14:paraId="6CD991AD" w14:textId="77777777" w:rsidR="001506C1" w:rsidRPr="00FA3F9C" w:rsidRDefault="001506C1" w:rsidP="00EA7CCF">
            <w:pPr>
              <w:rPr>
                <w:rFonts w:ascii="Arial" w:hAnsi="Arial" w:cs="Arial"/>
                <w:b/>
                <w:sz w:val="24"/>
                <w:szCs w:val="24"/>
              </w:rPr>
            </w:pPr>
            <w:r w:rsidRPr="00FA3F9C">
              <w:rPr>
                <w:rFonts w:ascii="Arial" w:hAnsi="Arial" w:cs="Arial"/>
                <w:b/>
                <w:sz w:val="24"/>
                <w:szCs w:val="24"/>
              </w:rPr>
              <w:t>OR</w:t>
            </w:r>
          </w:p>
        </w:tc>
      </w:tr>
      <w:tr w:rsidR="001506C1" w:rsidRPr="00FA3F9C" w14:paraId="232D70CC" w14:textId="77777777" w:rsidTr="00EA7CCF">
        <w:tc>
          <w:tcPr>
            <w:tcW w:w="10998" w:type="dxa"/>
          </w:tcPr>
          <w:p w14:paraId="01AE9F99" w14:textId="77777777" w:rsidR="001506C1" w:rsidRPr="00FA3F9C" w:rsidRDefault="001506C1" w:rsidP="00EA7CCF">
            <w:pPr>
              <w:rPr>
                <w:rFonts w:ascii="Arial" w:hAnsi="Arial" w:cs="Arial"/>
                <w:sz w:val="24"/>
                <w:szCs w:val="24"/>
              </w:rPr>
            </w:pPr>
            <w:r w:rsidRPr="00FA3F9C">
              <w:rPr>
                <w:rFonts w:ascii="Arial" w:hAnsi="Arial" w:cs="Arial"/>
                <w:sz w:val="24"/>
                <w:szCs w:val="24"/>
              </w:rPr>
              <w:t>2.  The patient must have the diagnosis of pulmonary hypertension (Group 5)</w:t>
            </w:r>
          </w:p>
        </w:tc>
      </w:tr>
      <w:tr w:rsidR="001506C1" w:rsidRPr="00FA3F9C" w14:paraId="5CB8A2A9" w14:textId="77777777" w:rsidTr="00743217">
        <w:tblPrEx>
          <w:shd w:val="clear" w:color="auto" w:fill="BFBFBF" w:themeFill="background1" w:themeFillShade="BF"/>
        </w:tblPrEx>
        <w:tc>
          <w:tcPr>
            <w:tcW w:w="10998" w:type="dxa"/>
            <w:shd w:val="clear" w:color="auto" w:fill="BFBFBF" w:themeFill="background1" w:themeFillShade="BF"/>
          </w:tcPr>
          <w:p w14:paraId="214D0F24" w14:textId="77777777" w:rsidR="001506C1" w:rsidRPr="00FA3F9C" w:rsidRDefault="001506C1" w:rsidP="00EA7CCF">
            <w:pPr>
              <w:rPr>
                <w:rFonts w:ascii="Arial" w:hAnsi="Arial" w:cs="Arial"/>
                <w:sz w:val="24"/>
                <w:szCs w:val="24"/>
              </w:rPr>
            </w:pPr>
            <w:r w:rsidRPr="00FA3F9C">
              <w:rPr>
                <w:rFonts w:ascii="Arial" w:hAnsi="Arial" w:cs="Arial"/>
                <w:sz w:val="24"/>
                <w:szCs w:val="24"/>
              </w:rPr>
              <w:t xml:space="preserve">Dosing:  5mg QD.  Max dose is 10mg QD.  </w:t>
            </w:r>
          </w:p>
          <w:p w14:paraId="244A9812" w14:textId="77777777" w:rsidR="001506C1" w:rsidRPr="00FA3F9C" w:rsidRDefault="001506C1" w:rsidP="00EA7CCF">
            <w:pPr>
              <w:rPr>
                <w:rFonts w:ascii="Arial" w:hAnsi="Arial" w:cs="Arial"/>
                <w:sz w:val="24"/>
                <w:szCs w:val="24"/>
              </w:rPr>
            </w:pPr>
            <w:r w:rsidRPr="00FA3F9C">
              <w:rPr>
                <w:rFonts w:ascii="Arial" w:hAnsi="Arial" w:cs="Arial"/>
                <w:sz w:val="24"/>
                <w:szCs w:val="24"/>
              </w:rPr>
              <w:t>Special consideration:  If given with cyclosporine, the dose should not exceed 5mg/day.</w:t>
            </w:r>
          </w:p>
        </w:tc>
      </w:tr>
    </w:tbl>
    <w:p w14:paraId="3245091C" w14:textId="77777777" w:rsidR="001506C1" w:rsidRPr="00FA3F9C" w:rsidRDefault="001506C1" w:rsidP="00EA7CCF">
      <w:pPr>
        <w:spacing w:after="0" w:line="240" w:lineRule="auto"/>
        <w:rPr>
          <w:rFonts w:ascii="Arial" w:hAnsi="Arial" w:cs="Arial"/>
          <w:sz w:val="24"/>
          <w:szCs w:val="24"/>
        </w:rPr>
      </w:pPr>
      <w:r w:rsidRPr="00FA3F9C">
        <w:rPr>
          <w:rFonts w:ascii="Arial" w:hAnsi="Arial" w:cs="Arial"/>
          <w:sz w:val="24"/>
          <w:szCs w:val="24"/>
        </w:rPr>
        <w:t xml:space="preserve">Quantity Limits: 1 tabs/1 day (30 tabs/30). </w:t>
      </w:r>
    </w:p>
    <w:p w14:paraId="1D7B373D" w14:textId="77777777" w:rsidR="001506C1" w:rsidRPr="00FA3F9C" w:rsidRDefault="001506C1" w:rsidP="00EA7CCF">
      <w:pPr>
        <w:pStyle w:val="Default"/>
        <w:rPr>
          <w:rFonts w:ascii="Arial" w:hAnsi="Arial" w:cs="Arial"/>
        </w:rPr>
      </w:pPr>
    </w:p>
    <w:p w14:paraId="1B02DE41" w14:textId="77777777" w:rsidR="001506C1" w:rsidRPr="00FA3F9C" w:rsidRDefault="001506C1" w:rsidP="00EA7CCF">
      <w:pPr>
        <w:spacing w:after="0" w:line="240" w:lineRule="auto"/>
        <w:rPr>
          <w:rFonts w:ascii="Arial" w:hAnsi="Arial" w:cs="Arial"/>
          <w:sz w:val="24"/>
          <w:szCs w:val="24"/>
        </w:rPr>
      </w:pPr>
      <w:r w:rsidRPr="00FA3F9C">
        <w:rPr>
          <w:rFonts w:ascii="Arial" w:hAnsi="Arial" w:cs="Arial"/>
          <w:sz w:val="24"/>
          <w:szCs w:val="24"/>
        </w:rPr>
        <w:t>Addendum:</w:t>
      </w:r>
    </w:p>
    <w:tbl>
      <w:tblPr>
        <w:tblStyle w:val="TableGrid"/>
        <w:tblW w:w="0" w:type="auto"/>
        <w:tblLook w:val="04A0" w:firstRow="1" w:lastRow="0" w:firstColumn="1" w:lastColumn="0" w:noHBand="0" w:noVBand="1"/>
      </w:tblPr>
      <w:tblGrid>
        <w:gridCol w:w="1874"/>
        <w:gridCol w:w="1838"/>
        <w:gridCol w:w="2052"/>
        <w:gridCol w:w="1926"/>
        <w:gridCol w:w="1973"/>
        <w:gridCol w:w="2034"/>
        <w:gridCol w:w="1973"/>
      </w:tblGrid>
      <w:tr w:rsidR="001506C1" w:rsidRPr="00FA3F9C" w14:paraId="3BCD62E8" w14:textId="77777777" w:rsidTr="003926F2">
        <w:tc>
          <w:tcPr>
            <w:tcW w:w="14616" w:type="dxa"/>
            <w:gridSpan w:val="7"/>
          </w:tcPr>
          <w:p w14:paraId="581514D7" w14:textId="77777777" w:rsidR="001506C1" w:rsidRPr="00FA3F9C" w:rsidRDefault="001506C1" w:rsidP="00EA7CCF">
            <w:pPr>
              <w:widowControl w:val="0"/>
              <w:autoSpaceDE w:val="0"/>
              <w:autoSpaceDN w:val="0"/>
              <w:adjustRightInd w:val="0"/>
              <w:rPr>
                <w:rFonts w:ascii="Arial" w:hAnsi="Arial" w:cs="Arial"/>
                <w:color w:val="231F20"/>
                <w:sz w:val="24"/>
                <w:szCs w:val="24"/>
              </w:rPr>
            </w:pPr>
            <w:r w:rsidRPr="00FA3F9C">
              <w:rPr>
                <w:rFonts w:ascii="Arial" w:hAnsi="Arial" w:cs="Arial"/>
                <w:color w:val="231F20"/>
                <w:sz w:val="24"/>
                <w:szCs w:val="24"/>
              </w:rPr>
              <w:t>Diagnostic Criteria and WHO categorization of PH</w:t>
            </w:r>
          </w:p>
        </w:tc>
      </w:tr>
      <w:tr w:rsidR="001506C1" w:rsidRPr="00FA3F9C" w14:paraId="5EE1B688" w14:textId="77777777" w:rsidTr="003926F2">
        <w:tc>
          <w:tcPr>
            <w:tcW w:w="2088" w:type="dxa"/>
          </w:tcPr>
          <w:p w14:paraId="51584036" w14:textId="77777777" w:rsidR="001506C1" w:rsidRPr="00FA3F9C" w:rsidRDefault="001506C1" w:rsidP="00EA7CCF">
            <w:pPr>
              <w:widowControl w:val="0"/>
              <w:autoSpaceDE w:val="0"/>
              <w:autoSpaceDN w:val="0"/>
              <w:adjustRightInd w:val="0"/>
              <w:rPr>
                <w:rFonts w:ascii="Arial" w:hAnsi="Arial" w:cs="Arial"/>
                <w:color w:val="231F20"/>
                <w:sz w:val="24"/>
                <w:szCs w:val="24"/>
              </w:rPr>
            </w:pPr>
          </w:p>
        </w:tc>
        <w:tc>
          <w:tcPr>
            <w:tcW w:w="2088" w:type="dxa"/>
          </w:tcPr>
          <w:p w14:paraId="41A440F7" w14:textId="77777777" w:rsidR="001506C1" w:rsidRPr="00FA3F9C" w:rsidRDefault="001506C1" w:rsidP="00EA7CCF">
            <w:pPr>
              <w:widowControl w:val="0"/>
              <w:autoSpaceDE w:val="0"/>
              <w:autoSpaceDN w:val="0"/>
              <w:adjustRightInd w:val="0"/>
              <w:rPr>
                <w:rFonts w:ascii="Arial" w:hAnsi="Arial" w:cs="Arial"/>
                <w:color w:val="231F20"/>
                <w:sz w:val="24"/>
                <w:szCs w:val="24"/>
              </w:rPr>
            </w:pPr>
            <w:r w:rsidRPr="00FA3F9C">
              <w:rPr>
                <w:rFonts w:ascii="Arial" w:hAnsi="Arial" w:cs="Arial"/>
                <w:color w:val="231F20"/>
                <w:sz w:val="24"/>
                <w:szCs w:val="24"/>
              </w:rPr>
              <w:t>All Groups</w:t>
            </w:r>
          </w:p>
        </w:tc>
        <w:tc>
          <w:tcPr>
            <w:tcW w:w="2088" w:type="dxa"/>
          </w:tcPr>
          <w:p w14:paraId="555D2C68" w14:textId="77777777" w:rsidR="001506C1" w:rsidRPr="00FA3F9C" w:rsidRDefault="001506C1" w:rsidP="00EA7CCF">
            <w:pPr>
              <w:widowControl w:val="0"/>
              <w:autoSpaceDE w:val="0"/>
              <w:autoSpaceDN w:val="0"/>
              <w:adjustRightInd w:val="0"/>
              <w:rPr>
                <w:rFonts w:ascii="Arial" w:hAnsi="Arial" w:cs="Arial"/>
                <w:color w:val="231F20"/>
                <w:sz w:val="24"/>
                <w:szCs w:val="24"/>
              </w:rPr>
            </w:pPr>
            <w:r w:rsidRPr="00FA3F9C">
              <w:rPr>
                <w:rFonts w:ascii="Arial" w:hAnsi="Arial" w:cs="Arial"/>
                <w:color w:val="231F20"/>
                <w:sz w:val="24"/>
                <w:szCs w:val="24"/>
              </w:rPr>
              <w:t>Group 1</w:t>
            </w:r>
          </w:p>
        </w:tc>
        <w:tc>
          <w:tcPr>
            <w:tcW w:w="2088" w:type="dxa"/>
          </w:tcPr>
          <w:p w14:paraId="727D621A" w14:textId="77777777" w:rsidR="001506C1" w:rsidRPr="00FA3F9C" w:rsidRDefault="001506C1" w:rsidP="00EA7CCF">
            <w:pPr>
              <w:widowControl w:val="0"/>
              <w:autoSpaceDE w:val="0"/>
              <w:autoSpaceDN w:val="0"/>
              <w:adjustRightInd w:val="0"/>
              <w:rPr>
                <w:rFonts w:ascii="Arial" w:hAnsi="Arial" w:cs="Arial"/>
                <w:color w:val="231F20"/>
                <w:sz w:val="24"/>
                <w:szCs w:val="24"/>
              </w:rPr>
            </w:pPr>
            <w:r w:rsidRPr="00FA3F9C">
              <w:rPr>
                <w:rFonts w:ascii="Arial" w:hAnsi="Arial" w:cs="Arial"/>
                <w:color w:val="231F20"/>
                <w:sz w:val="24"/>
                <w:szCs w:val="24"/>
              </w:rPr>
              <w:t>Group 2</w:t>
            </w:r>
          </w:p>
        </w:tc>
        <w:tc>
          <w:tcPr>
            <w:tcW w:w="2088" w:type="dxa"/>
          </w:tcPr>
          <w:p w14:paraId="4F2974DB" w14:textId="77777777" w:rsidR="001506C1" w:rsidRPr="00FA3F9C" w:rsidRDefault="001506C1" w:rsidP="00EA7CCF">
            <w:pPr>
              <w:widowControl w:val="0"/>
              <w:autoSpaceDE w:val="0"/>
              <w:autoSpaceDN w:val="0"/>
              <w:adjustRightInd w:val="0"/>
              <w:rPr>
                <w:rFonts w:ascii="Arial" w:hAnsi="Arial" w:cs="Arial"/>
                <w:color w:val="231F20"/>
                <w:sz w:val="24"/>
                <w:szCs w:val="24"/>
              </w:rPr>
            </w:pPr>
            <w:r w:rsidRPr="00FA3F9C">
              <w:rPr>
                <w:rFonts w:ascii="Arial" w:hAnsi="Arial" w:cs="Arial"/>
                <w:color w:val="231F20"/>
                <w:sz w:val="24"/>
                <w:szCs w:val="24"/>
              </w:rPr>
              <w:t>Group 3</w:t>
            </w:r>
          </w:p>
        </w:tc>
        <w:tc>
          <w:tcPr>
            <w:tcW w:w="2088" w:type="dxa"/>
          </w:tcPr>
          <w:p w14:paraId="0474E7AE" w14:textId="77777777" w:rsidR="001506C1" w:rsidRPr="00FA3F9C" w:rsidRDefault="001506C1" w:rsidP="00EA7CCF">
            <w:pPr>
              <w:widowControl w:val="0"/>
              <w:autoSpaceDE w:val="0"/>
              <w:autoSpaceDN w:val="0"/>
              <w:adjustRightInd w:val="0"/>
              <w:rPr>
                <w:rFonts w:ascii="Arial" w:hAnsi="Arial" w:cs="Arial"/>
                <w:color w:val="231F20"/>
                <w:sz w:val="24"/>
                <w:szCs w:val="24"/>
              </w:rPr>
            </w:pPr>
            <w:r w:rsidRPr="00FA3F9C">
              <w:rPr>
                <w:rFonts w:ascii="Arial" w:hAnsi="Arial" w:cs="Arial"/>
                <w:color w:val="231F20"/>
                <w:sz w:val="24"/>
                <w:szCs w:val="24"/>
              </w:rPr>
              <w:t>Group 4</w:t>
            </w:r>
          </w:p>
        </w:tc>
        <w:tc>
          <w:tcPr>
            <w:tcW w:w="2088" w:type="dxa"/>
          </w:tcPr>
          <w:p w14:paraId="13E8A3D4" w14:textId="77777777" w:rsidR="001506C1" w:rsidRPr="00FA3F9C" w:rsidRDefault="001506C1" w:rsidP="00EA7CCF">
            <w:pPr>
              <w:widowControl w:val="0"/>
              <w:autoSpaceDE w:val="0"/>
              <w:autoSpaceDN w:val="0"/>
              <w:adjustRightInd w:val="0"/>
              <w:rPr>
                <w:rFonts w:ascii="Arial" w:hAnsi="Arial" w:cs="Arial"/>
                <w:color w:val="231F20"/>
                <w:sz w:val="24"/>
                <w:szCs w:val="24"/>
              </w:rPr>
            </w:pPr>
            <w:r w:rsidRPr="00FA3F9C">
              <w:rPr>
                <w:rFonts w:ascii="Arial" w:hAnsi="Arial" w:cs="Arial"/>
                <w:color w:val="231F20"/>
                <w:sz w:val="24"/>
                <w:szCs w:val="24"/>
              </w:rPr>
              <w:t>Group 5</w:t>
            </w:r>
          </w:p>
        </w:tc>
      </w:tr>
      <w:tr w:rsidR="001506C1" w:rsidRPr="00FA3F9C" w14:paraId="3CF6D3AA" w14:textId="77777777" w:rsidTr="003926F2">
        <w:tc>
          <w:tcPr>
            <w:tcW w:w="2088" w:type="dxa"/>
          </w:tcPr>
          <w:p w14:paraId="14247A4B" w14:textId="77777777" w:rsidR="001506C1" w:rsidRPr="00FA3F9C" w:rsidRDefault="001506C1" w:rsidP="00EA7CCF">
            <w:pPr>
              <w:widowControl w:val="0"/>
              <w:autoSpaceDE w:val="0"/>
              <w:autoSpaceDN w:val="0"/>
              <w:adjustRightInd w:val="0"/>
              <w:rPr>
                <w:rFonts w:ascii="Arial" w:hAnsi="Arial" w:cs="Arial"/>
                <w:color w:val="231F20"/>
                <w:sz w:val="24"/>
                <w:szCs w:val="24"/>
              </w:rPr>
            </w:pPr>
            <w:r w:rsidRPr="00FA3F9C">
              <w:rPr>
                <w:rFonts w:ascii="Arial" w:hAnsi="Arial" w:cs="Arial"/>
                <w:color w:val="231F20"/>
                <w:sz w:val="24"/>
                <w:szCs w:val="24"/>
              </w:rPr>
              <w:t>Description</w:t>
            </w:r>
          </w:p>
        </w:tc>
        <w:tc>
          <w:tcPr>
            <w:tcW w:w="2088" w:type="dxa"/>
          </w:tcPr>
          <w:p w14:paraId="56743E86" w14:textId="77777777" w:rsidR="001506C1" w:rsidRPr="00FA3F9C" w:rsidRDefault="001506C1" w:rsidP="00EA7CCF">
            <w:pPr>
              <w:widowControl w:val="0"/>
              <w:autoSpaceDE w:val="0"/>
              <w:autoSpaceDN w:val="0"/>
              <w:adjustRightInd w:val="0"/>
              <w:rPr>
                <w:rFonts w:ascii="Arial" w:hAnsi="Arial" w:cs="Arial"/>
                <w:color w:val="231F20"/>
                <w:sz w:val="24"/>
                <w:szCs w:val="24"/>
              </w:rPr>
            </w:pPr>
            <w:r w:rsidRPr="00FA3F9C">
              <w:rPr>
                <w:rFonts w:ascii="Arial" w:hAnsi="Arial" w:cs="Arial"/>
                <w:color w:val="231F20"/>
                <w:sz w:val="24"/>
                <w:szCs w:val="24"/>
              </w:rPr>
              <w:t>Elevated PAP</w:t>
            </w:r>
          </w:p>
        </w:tc>
        <w:tc>
          <w:tcPr>
            <w:tcW w:w="2088" w:type="dxa"/>
          </w:tcPr>
          <w:p w14:paraId="448F8C1F" w14:textId="77777777" w:rsidR="001506C1" w:rsidRPr="00FA3F9C" w:rsidRDefault="001506C1" w:rsidP="00EA7CCF">
            <w:pPr>
              <w:widowControl w:val="0"/>
              <w:autoSpaceDE w:val="0"/>
              <w:autoSpaceDN w:val="0"/>
              <w:adjustRightInd w:val="0"/>
              <w:rPr>
                <w:rFonts w:ascii="Arial" w:hAnsi="Arial" w:cs="Arial"/>
                <w:color w:val="231F20"/>
                <w:sz w:val="24"/>
                <w:szCs w:val="24"/>
              </w:rPr>
            </w:pPr>
            <w:r w:rsidRPr="00FA3F9C">
              <w:rPr>
                <w:rFonts w:ascii="Arial" w:hAnsi="Arial" w:cs="Arial"/>
                <w:color w:val="231F20"/>
                <w:sz w:val="24"/>
                <w:szCs w:val="24"/>
              </w:rPr>
              <w:t>Pulmonary arterial hypertension</w:t>
            </w:r>
          </w:p>
        </w:tc>
        <w:tc>
          <w:tcPr>
            <w:tcW w:w="2088" w:type="dxa"/>
          </w:tcPr>
          <w:p w14:paraId="51FF5B40" w14:textId="77777777" w:rsidR="001506C1" w:rsidRPr="00FA3F9C" w:rsidRDefault="001506C1" w:rsidP="00EA7CCF">
            <w:pPr>
              <w:widowControl w:val="0"/>
              <w:autoSpaceDE w:val="0"/>
              <w:autoSpaceDN w:val="0"/>
              <w:adjustRightInd w:val="0"/>
              <w:rPr>
                <w:rFonts w:ascii="Arial" w:hAnsi="Arial" w:cs="Arial"/>
                <w:color w:val="231F20"/>
                <w:sz w:val="24"/>
                <w:szCs w:val="24"/>
              </w:rPr>
            </w:pPr>
            <w:r w:rsidRPr="00FA3F9C">
              <w:rPr>
                <w:rFonts w:ascii="Arial" w:hAnsi="Arial" w:cs="Arial"/>
                <w:color w:val="231F20"/>
                <w:sz w:val="24"/>
                <w:szCs w:val="24"/>
              </w:rPr>
              <w:t>Pulmonary venous hypertension</w:t>
            </w:r>
          </w:p>
        </w:tc>
        <w:tc>
          <w:tcPr>
            <w:tcW w:w="2088" w:type="dxa"/>
          </w:tcPr>
          <w:p w14:paraId="4C5C85DC" w14:textId="77777777" w:rsidR="001506C1" w:rsidRPr="00FA3F9C" w:rsidRDefault="001506C1" w:rsidP="00EA7CCF">
            <w:pPr>
              <w:widowControl w:val="0"/>
              <w:autoSpaceDE w:val="0"/>
              <w:autoSpaceDN w:val="0"/>
              <w:adjustRightInd w:val="0"/>
              <w:rPr>
                <w:rFonts w:ascii="Arial" w:hAnsi="Arial" w:cs="Arial"/>
                <w:color w:val="231F20"/>
                <w:sz w:val="24"/>
                <w:szCs w:val="24"/>
              </w:rPr>
            </w:pPr>
            <w:r w:rsidRPr="00FA3F9C">
              <w:rPr>
                <w:rFonts w:ascii="Arial" w:hAnsi="Arial" w:cs="Arial"/>
                <w:color w:val="231F20"/>
                <w:sz w:val="24"/>
                <w:szCs w:val="24"/>
              </w:rPr>
              <w:t>PH due to hypoxemia</w:t>
            </w:r>
          </w:p>
        </w:tc>
        <w:tc>
          <w:tcPr>
            <w:tcW w:w="2088" w:type="dxa"/>
          </w:tcPr>
          <w:p w14:paraId="14881A12" w14:textId="77777777" w:rsidR="001506C1" w:rsidRPr="00FA3F9C" w:rsidRDefault="001506C1" w:rsidP="00EA7CCF">
            <w:pPr>
              <w:widowControl w:val="0"/>
              <w:autoSpaceDE w:val="0"/>
              <w:autoSpaceDN w:val="0"/>
              <w:adjustRightInd w:val="0"/>
              <w:rPr>
                <w:rFonts w:ascii="Arial" w:hAnsi="Arial" w:cs="Arial"/>
                <w:color w:val="231F20"/>
                <w:sz w:val="24"/>
                <w:szCs w:val="24"/>
              </w:rPr>
            </w:pPr>
            <w:r w:rsidRPr="00FA3F9C">
              <w:rPr>
                <w:rFonts w:ascii="Arial" w:hAnsi="Arial" w:cs="Arial"/>
                <w:color w:val="231F20"/>
                <w:sz w:val="24"/>
                <w:szCs w:val="24"/>
              </w:rPr>
              <w:t>Chronic thromboembolic PH</w:t>
            </w:r>
          </w:p>
        </w:tc>
        <w:tc>
          <w:tcPr>
            <w:tcW w:w="2088" w:type="dxa"/>
          </w:tcPr>
          <w:p w14:paraId="445CF383" w14:textId="77777777" w:rsidR="001506C1" w:rsidRPr="00FA3F9C" w:rsidRDefault="001506C1" w:rsidP="00EA7CCF">
            <w:pPr>
              <w:widowControl w:val="0"/>
              <w:autoSpaceDE w:val="0"/>
              <w:autoSpaceDN w:val="0"/>
              <w:adjustRightInd w:val="0"/>
              <w:rPr>
                <w:rFonts w:ascii="Arial" w:hAnsi="Arial" w:cs="Arial"/>
                <w:color w:val="231F20"/>
                <w:sz w:val="24"/>
                <w:szCs w:val="24"/>
              </w:rPr>
            </w:pPr>
            <w:r w:rsidRPr="00FA3F9C">
              <w:rPr>
                <w:rFonts w:ascii="Arial" w:hAnsi="Arial" w:cs="Arial"/>
                <w:color w:val="231F20"/>
                <w:sz w:val="24"/>
                <w:szCs w:val="24"/>
              </w:rPr>
              <w:t>Miscellaneous or multifactorial PH</w:t>
            </w:r>
          </w:p>
        </w:tc>
      </w:tr>
      <w:tr w:rsidR="001506C1" w:rsidRPr="00FA3F9C" w14:paraId="46FC511B" w14:textId="77777777" w:rsidTr="003926F2">
        <w:tc>
          <w:tcPr>
            <w:tcW w:w="2088" w:type="dxa"/>
          </w:tcPr>
          <w:p w14:paraId="6422E9E3" w14:textId="77777777" w:rsidR="001506C1" w:rsidRPr="00FA3F9C" w:rsidRDefault="001506C1" w:rsidP="00EA7CCF">
            <w:pPr>
              <w:widowControl w:val="0"/>
              <w:autoSpaceDE w:val="0"/>
              <w:autoSpaceDN w:val="0"/>
              <w:adjustRightInd w:val="0"/>
              <w:rPr>
                <w:rFonts w:ascii="Arial" w:hAnsi="Arial" w:cs="Arial"/>
                <w:color w:val="231F20"/>
                <w:sz w:val="24"/>
                <w:szCs w:val="24"/>
              </w:rPr>
            </w:pPr>
            <w:r w:rsidRPr="00FA3F9C">
              <w:rPr>
                <w:rFonts w:ascii="Arial" w:hAnsi="Arial" w:cs="Arial"/>
                <w:color w:val="231F20"/>
                <w:sz w:val="24"/>
                <w:szCs w:val="24"/>
              </w:rPr>
              <w:t>Estimated prevalence</w:t>
            </w:r>
          </w:p>
        </w:tc>
        <w:tc>
          <w:tcPr>
            <w:tcW w:w="2088" w:type="dxa"/>
          </w:tcPr>
          <w:p w14:paraId="2A738E18" w14:textId="77777777" w:rsidR="001506C1" w:rsidRPr="00FA3F9C" w:rsidRDefault="001506C1" w:rsidP="00EA7CCF">
            <w:pPr>
              <w:widowControl w:val="0"/>
              <w:autoSpaceDE w:val="0"/>
              <w:autoSpaceDN w:val="0"/>
              <w:adjustRightInd w:val="0"/>
              <w:rPr>
                <w:rFonts w:ascii="Arial" w:hAnsi="Arial" w:cs="Arial"/>
                <w:color w:val="231F20"/>
                <w:sz w:val="24"/>
                <w:szCs w:val="24"/>
              </w:rPr>
            </w:pPr>
            <w:r w:rsidRPr="00FA3F9C">
              <w:rPr>
                <w:rFonts w:ascii="Arial" w:hAnsi="Arial" w:cs="Arial"/>
                <w:color w:val="231F20"/>
                <w:sz w:val="24"/>
                <w:szCs w:val="24"/>
              </w:rPr>
              <w:t>Up to 10-20% of the general population</w:t>
            </w:r>
          </w:p>
        </w:tc>
        <w:tc>
          <w:tcPr>
            <w:tcW w:w="2088" w:type="dxa"/>
          </w:tcPr>
          <w:p w14:paraId="2E1F0663" w14:textId="77777777" w:rsidR="001506C1" w:rsidRPr="00FA3F9C" w:rsidRDefault="001506C1" w:rsidP="00EA7CCF">
            <w:pPr>
              <w:widowControl w:val="0"/>
              <w:autoSpaceDE w:val="0"/>
              <w:autoSpaceDN w:val="0"/>
              <w:adjustRightInd w:val="0"/>
              <w:rPr>
                <w:rFonts w:ascii="Arial" w:hAnsi="Arial" w:cs="Arial"/>
                <w:color w:val="231F20"/>
                <w:sz w:val="24"/>
                <w:szCs w:val="24"/>
              </w:rPr>
            </w:pPr>
            <w:r w:rsidRPr="00FA3F9C">
              <w:rPr>
                <w:rFonts w:ascii="Arial" w:hAnsi="Arial" w:cs="Arial"/>
                <w:color w:val="231F20"/>
                <w:sz w:val="24"/>
                <w:szCs w:val="24"/>
              </w:rPr>
              <w:t xml:space="preserve">15 cases/1,000,000 overall; 6 cases per 1mil for </w:t>
            </w:r>
            <w:r w:rsidRPr="00FA3F9C">
              <w:rPr>
                <w:rFonts w:ascii="Arial" w:hAnsi="Arial" w:cs="Arial"/>
                <w:color w:val="231F20"/>
                <w:sz w:val="24"/>
                <w:szCs w:val="24"/>
              </w:rPr>
              <w:lastRenderedPageBreak/>
              <w:t>idiopathic PAH</w:t>
            </w:r>
          </w:p>
        </w:tc>
        <w:tc>
          <w:tcPr>
            <w:tcW w:w="2088" w:type="dxa"/>
          </w:tcPr>
          <w:p w14:paraId="7744CB5E" w14:textId="77777777" w:rsidR="001506C1" w:rsidRPr="00FA3F9C" w:rsidRDefault="001506C1" w:rsidP="00EA7CCF">
            <w:pPr>
              <w:widowControl w:val="0"/>
              <w:autoSpaceDE w:val="0"/>
              <w:autoSpaceDN w:val="0"/>
              <w:adjustRightInd w:val="0"/>
              <w:rPr>
                <w:rFonts w:ascii="Arial" w:hAnsi="Arial" w:cs="Arial"/>
                <w:color w:val="231F20"/>
                <w:sz w:val="24"/>
                <w:szCs w:val="24"/>
              </w:rPr>
            </w:pPr>
            <w:r w:rsidRPr="00FA3F9C">
              <w:rPr>
                <w:rFonts w:ascii="Arial" w:hAnsi="Arial" w:cs="Arial"/>
                <w:color w:val="231F20"/>
                <w:sz w:val="24"/>
                <w:szCs w:val="24"/>
              </w:rPr>
              <w:lastRenderedPageBreak/>
              <w:t>&gt;3-4 mil in US</w:t>
            </w:r>
          </w:p>
        </w:tc>
        <w:tc>
          <w:tcPr>
            <w:tcW w:w="2088" w:type="dxa"/>
          </w:tcPr>
          <w:p w14:paraId="253AD953" w14:textId="77777777" w:rsidR="001506C1" w:rsidRPr="00FA3F9C" w:rsidRDefault="001506C1" w:rsidP="00EA7CCF">
            <w:pPr>
              <w:widowControl w:val="0"/>
              <w:autoSpaceDE w:val="0"/>
              <w:autoSpaceDN w:val="0"/>
              <w:adjustRightInd w:val="0"/>
              <w:rPr>
                <w:rFonts w:ascii="Arial" w:hAnsi="Arial" w:cs="Arial"/>
                <w:color w:val="231F20"/>
                <w:sz w:val="24"/>
                <w:szCs w:val="24"/>
              </w:rPr>
            </w:pPr>
            <w:r w:rsidRPr="00FA3F9C">
              <w:rPr>
                <w:rFonts w:ascii="Arial" w:hAnsi="Arial" w:cs="Arial"/>
                <w:color w:val="231F20"/>
                <w:sz w:val="24"/>
                <w:szCs w:val="24"/>
              </w:rPr>
              <w:t>20% in COPD pts w/ a prior hospitalization for COPD</w:t>
            </w:r>
          </w:p>
        </w:tc>
        <w:tc>
          <w:tcPr>
            <w:tcW w:w="2088" w:type="dxa"/>
          </w:tcPr>
          <w:p w14:paraId="5DB00883" w14:textId="77777777" w:rsidR="001506C1" w:rsidRPr="00FA3F9C" w:rsidRDefault="001506C1" w:rsidP="00EA7CCF">
            <w:pPr>
              <w:widowControl w:val="0"/>
              <w:autoSpaceDE w:val="0"/>
              <w:autoSpaceDN w:val="0"/>
              <w:adjustRightInd w:val="0"/>
              <w:rPr>
                <w:rFonts w:ascii="Arial" w:hAnsi="Arial" w:cs="Arial"/>
                <w:color w:val="231F20"/>
                <w:sz w:val="24"/>
                <w:szCs w:val="24"/>
              </w:rPr>
            </w:pPr>
            <w:r w:rsidRPr="00FA3F9C">
              <w:rPr>
                <w:rFonts w:ascii="Arial" w:hAnsi="Arial" w:cs="Arial"/>
                <w:color w:val="231F20"/>
                <w:sz w:val="24"/>
                <w:szCs w:val="24"/>
              </w:rPr>
              <w:t>0.5-2% (up to 3.8%) in survivors of acute PE</w:t>
            </w:r>
          </w:p>
        </w:tc>
        <w:tc>
          <w:tcPr>
            <w:tcW w:w="2088" w:type="dxa"/>
          </w:tcPr>
          <w:p w14:paraId="45436EBE" w14:textId="77777777" w:rsidR="001506C1" w:rsidRPr="00FA3F9C" w:rsidRDefault="001506C1" w:rsidP="00EA7CCF">
            <w:pPr>
              <w:widowControl w:val="0"/>
              <w:autoSpaceDE w:val="0"/>
              <w:autoSpaceDN w:val="0"/>
              <w:adjustRightInd w:val="0"/>
              <w:rPr>
                <w:rFonts w:ascii="Arial" w:hAnsi="Arial" w:cs="Arial"/>
                <w:color w:val="231F20"/>
                <w:sz w:val="24"/>
                <w:szCs w:val="24"/>
              </w:rPr>
            </w:pPr>
            <w:r w:rsidRPr="00FA3F9C">
              <w:rPr>
                <w:rFonts w:ascii="Arial" w:hAnsi="Arial" w:cs="Arial"/>
                <w:color w:val="231F20"/>
                <w:sz w:val="24"/>
                <w:szCs w:val="24"/>
              </w:rPr>
              <w:t>Unclear</w:t>
            </w:r>
          </w:p>
        </w:tc>
      </w:tr>
      <w:tr w:rsidR="001506C1" w:rsidRPr="00FA3F9C" w14:paraId="26F8C639" w14:textId="77777777" w:rsidTr="003926F2">
        <w:tc>
          <w:tcPr>
            <w:tcW w:w="2088" w:type="dxa"/>
          </w:tcPr>
          <w:p w14:paraId="58C049BB" w14:textId="77777777" w:rsidR="001506C1" w:rsidRPr="00FA3F9C" w:rsidRDefault="001506C1" w:rsidP="00EA7CCF">
            <w:pPr>
              <w:widowControl w:val="0"/>
              <w:autoSpaceDE w:val="0"/>
              <w:autoSpaceDN w:val="0"/>
              <w:adjustRightInd w:val="0"/>
              <w:rPr>
                <w:rFonts w:ascii="Arial" w:hAnsi="Arial" w:cs="Arial"/>
                <w:color w:val="231F20"/>
                <w:sz w:val="24"/>
                <w:szCs w:val="24"/>
              </w:rPr>
            </w:pPr>
            <w:r w:rsidRPr="00FA3F9C">
              <w:rPr>
                <w:rFonts w:ascii="Arial" w:hAnsi="Arial" w:cs="Arial"/>
                <w:color w:val="231F20"/>
                <w:sz w:val="24"/>
                <w:szCs w:val="24"/>
              </w:rPr>
              <w:t>Diagnostic criteria</w:t>
            </w:r>
          </w:p>
        </w:tc>
        <w:tc>
          <w:tcPr>
            <w:tcW w:w="12528" w:type="dxa"/>
            <w:gridSpan w:val="6"/>
          </w:tcPr>
          <w:p w14:paraId="63D96B5D" w14:textId="77777777" w:rsidR="001506C1" w:rsidRPr="00FA3F9C" w:rsidRDefault="001506C1" w:rsidP="00EA7CCF">
            <w:pPr>
              <w:widowControl w:val="0"/>
              <w:autoSpaceDE w:val="0"/>
              <w:autoSpaceDN w:val="0"/>
              <w:adjustRightInd w:val="0"/>
              <w:rPr>
                <w:rFonts w:ascii="Arial" w:hAnsi="Arial" w:cs="Arial"/>
                <w:color w:val="231F20"/>
                <w:sz w:val="24"/>
                <w:szCs w:val="24"/>
              </w:rPr>
            </w:pPr>
          </w:p>
        </w:tc>
      </w:tr>
      <w:tr w:rsidR="001506C1" w:rsidRPr="00FA3F9C" w14:paraId="5C48C356" w14:textId="77777777" w:rsidTr="003926F2">
        <w:tc>
          <w:tcPr>
            <w:tcW w:w="2088" w:type="dxa"/>
          </w:tcPr>
          <w:p w14:paraId="30D940B7" w14:textId="77777777" w:rsidR="001506C1" w:rsidRPr="00FA3F9C" w:rsidRDefault="001506C1" w:rsidP="00EA7CCF">
            <w:pPr>
              <w:widowControl w:val="0"/>
              <w:autoSpaceDE w:val="0"/>
              <w:autoSpaceDN w:val="0"/>
              <w:adjustRightInd w:val="0"/>
              <w:rPr>
                <w:rFonts w:ascii="Arial" w:hAnsi="Arial" w:cs="Arial"/>
                <w:color w:val="231F20"/>
                <w:sz w:val="24"/>
                <w:szCs w:val="24"/>
              </w:rPr>
            </w:pPr>
            <w:r w:rsidRPr="00FA3F9C">
              <w:rPr>
                <w:rFonts w:ascii="Arial" w:hAnsi="Arial" w:cs="Arial"/>
                <w:color w:val="231F20"/>
                <w:sz w:val="24"/>
                <w:szCs w:val="24"/>
              </w:rPr>
              <w:t>Mean PA pressure, mmHg</w:t>
            </w:r>
          </w:p>
        </w:tc>
        <w:tc>
          <w:tcPr>
            <w:tcW w:w="2088" w:type="dxa"/>
          </w:tcPr>
          <w:p w14:paraId="19947550" w14:textId="77777777" w:rsidR="001506C1" w:rsidRPr="00FA3F9C" w:rsidRDefault="001506C1" w:rsidP="00EA7CCF">
            <w:pPr>
              <w:widowControl w:val="0"/>
              <w:autoSpaceDE w:val="0"/>
              <w:autoSpaceDN w:val="0"/>
              <w:adjustRightInd w:val="0"/>
              <w:rPr>
                <w:rFonts w:ascii="Arial" w:hAnsi="Arial" w:cs="Arial"/>
                <w:color w:val="231F20"/>
                <w:sz w:val="24"/>
                <w:szCs w:val="24"/>
              </w:rPr>
            </w:pPr>
            <w:r w:rsidRPr="00FA3F9C">
              <w:rPr>
                <w:rFonts w:ascii="Arial" w:hAnsi="Arial" w:cs="Arial"/>
                <w:color w:val="231F20"/>
                <w:sz w:val="24"/>
                <w:szCs w:val="24"/>
                <w:u w:val="single"/>
              </w:rPr>
              <w:t>&gt;</w:t>
            </w:r>
            <w:r w:rsidRPr="00FA3F9C">
              <w:rPr>
                <w:rFonts w:ascii="Arial" w:hAnsi="Arial" w:cs="Arial"/>
                <w:color w:val="231F20"/>
                <w:sz w:val="24"/>
                <w:szCs w:val="24"/>
              </w:rPr>
              <w:t>25</w:t>
            </w:r>
          </w:p>
        </w:tc>
        <w:tc>
          <w:tcPr>
            <w:tcW w:w="2088" w:type="dxa"/>
          </w:tcPr>
          <w:p w14:paraId="6F6546D1" w14:textId="77777777" w:rsidR="001506C1" w:rsidRPr="00FA3F9C" w:rsidRDefault="001506C1" w:rsidP="00EA7CCF">
            <w:pPr>
              <w:widowControl w:val="0"/>
              <w:autoSpaceDE w:val="0"/>
              <w:autoSpaceDN w:val="0"/>
              <w:adjustRightInd w:val="0"/>
              <w:rPr>
                <w:rFonts w:ascii="Arial" w:hAnsi="Arial" w:cs="Arial"/>
                <w:color w:val="231F20"/>
                <w:sz w:val="24"/>
                <w:szCs w:val="24"/>
              </w:rPr>
            </w:pPr>
            <w:r w:rsidRPr="00FA3F9C">
              <w:rPr>
                <w:rFonts w:ascii="Arial" w:hAnsi="Arial" w:cs="Arial"/>
                <w:color w:val="231F20"/>
                <w:sz w:val="24"/>
                <w:szCs w:val="24"/>
                <w:u w:val="single"/>
              </w:rPr>
              <w:t>&gt;</w:t>
            </w:r>
            <w:r w:rsidRPr="00FA3F9C">
              <w:rPr>
                <w:rFonts w:ascii="Arial" w:hAnsi="Arial" w:cs="Arial"/>
                <w:color w:val="231F20"/>
                <w:sz w:val="24"/>
                <w:szCs w:val="24"/>
              </w:rPr>
              <w:t>25</w:t>
            </w:r>
          </w:p>
        </w:tc>
        <w:tc>
          <w:tcPr>
            <w:tcW w:w="2088" w:type="dxa"/>
          </w:tcPr>
          <w:p w14:paraId="1B5AA814" w14:textId="77777777" w:rsidR="001506C1" w:rsidRPr="00FA3F9C" w:rsidRDefault="001506C1" w:rsidP="00EA7CCF">
            <w:pPr>
              <w:rPr>
                <w:rFonts w:ascii="Arial" w:hAnsi="Arial" w:cs="Arial"/>
                <w:sz w:val="24"/>
                <w:szCs w:val="24"/>
              </w:rPr>
            </w:pPr>
            <w:r w:rsidRPr="00FA3F9C">
              <w:rPr>
                <w:rFonts w:ascii="Arial" w:hAnsi="Arial" w:cs="Arial"/>
                <w:color w:val="231F20"/>
                <w:sz w:val="24"/>
                <w:szCs w:val="24"/>
                <w:u w:val="single"/>
              </w:rPr>
              <w:t>&gt;</w:t>
            </w:r>
            <w:r w:rsidRPr="00FA3F9C">
              <w:rPr>
                <w:rFonts w:ascii="Arial" w:hAnsi="Arial" w:cs="Arial"/>
                <w:color w:val="231F20"/>
                <w:sz w:val="24"/>
                <w:szCs w:val="24"/>
              </w:rPr>
              <w:t>25</w:t>
            </w:r>
          </w:p>
        </w:tc>
        <w:tc>
          <w:tcPr>
            <w:tcW w:w="2088" w:type="dxa"/>
          </w:tcPr>
          <w:p w14:paraId="7FEECD52" w14:textId="77777777" w:rsidR="001506C1" w:rsidRPr="00FA3F9C" w:rsidRDefault="001506C1" w:rsidP="00EA7CCF">
            <w:pPr>
              <w:rPr>
                <w:rFonts w:ascii="Arial" w:hAnsi="Arial" w:cs="Arial"/>
                <w:sz w:val="24"/>
                <w:szCs w:val="24"/>
              </w:rPr>
            </w:pPr>
            <w:r w:rsidRPr="00FA3F9C">
              <w:rPr>
                <w:rFonts w:ascii="Arial" w:hAnsi="Arial" w:cs="Arial"/>
                <w:color w:val="231F20"/>
                <w:sz w:val="24"/>
                <w:szCs w:val="24"/>
                <w:u w:val="single"/>
              </w:rPr>
              <w:t>&gt;</w:t>
            </w:r>
            <w:r w:rsidRPr="00FA3F9C">
              <w:rPr>
                <w:rFonts w:ascii="Arial" w:hAnsi="Arial" w:cs="Arial"/>
                <w:color w:val="231F20"/>
                <w:sz w:val="24"/>
                <w:szCs w:val="24"/>
              </w:rPr>
              <w:t>25</w:t>
            </w:r>
          </w:p>
        </w:tc>
        <w:tc>
          <w:tcPr>
            <w:tcW w:w="2088" w:type="dxa"/>
          </w:tcPr>
          <w:p w14:paraId="0747BCA0" w14:textId="77777777" w:rsidR="001506C1" w:rsidRPr="00FA3F9C" w:rsidRDefault="001506C1" w:rsidP="00EA7CCF">
            <w:pPr>
              <w:rPr>
                <w:rFonts w:ascii="Arial" w:hAnsi="Arial" w:cs="Arial"/>
                <w:sz w:val="24"/>
                <w:szCs w:val="24"/>
              </w:rPr>
            </w:pPr>
            <w:r w:rsidRPr="00FA3F9C">
              <w:rPr>
                <w:rFonts w:ascii="Arial" w:hAnsi="Arial" w:cs="Arial"/>
                <w:color w:val="231F20"/>
                <w:sz w:val="24"/>
                <w:szCs w:val="24"/>
                <w:u w:val="single"/>
              </w:rPr>
              <w:t>&gt;</w:t>
            </w:r>
            <w:r w:rsidRPr="00FA3F9C">
              <w:rPr>
                <w:rFonts w:ascii="Arial" w:hAnsi="Arial" w:cs="Arial"/>
                <w:color w:val="231F20"/>
                <w:sz w:val="24"/>
                <w:szCs w:val="24"/>
              </w:rPr>
              <w:t>25</w:t>
            </w:r>
          </w:p>
        </w:tc>
        <w:tc>
          <w:tcPr>
            <w:tcW w:w="2088" w:type="dxa"/>
          </w:tcPr>
          <w:p w14:paraId="661C0716" w14:textId="77777777" w:rsidR="001506C1" w:rsidRPr="00FA3F9C" w:rsidRDefault="001506C1" w:rsidP="00EA7CCF">
            <w:pPr>
              <w:rPr>
                <w:rFonts w:ascii="Arial" w:hAnsi="Arial" w:cs="Arial"/>
                <w:sz w:val="24"/>
                <w:szCs w:val="24"/>
              </w:rPr>
            </w:pPr>
            <w:r w:rsidRPr="00FA3F9C">
              <w:rPr>
                <w:rFonts w:ascii="Arial" w:hAnsi="Arial" w:cs="Arial"/>
                <w:color w:val="231F20"/>
                <w:sz w:val="24"/>
                <w:szCs w:val="24"/>
                <w:u w:val="single"/>
              </w:rPr>
              <w:t>&gt;</w:t>
            </w:r>
            <w:r w:rsidRPr="00FA3F9C">
              <w:rPr>
                <w:rFonts w:ascii="Arial" w:hAnsi="Arial" w:cs="Arial"/>
                <w:color w:val="231F20"/>
                <w:sz w:val="24"/>
                <w:szCs w:val="24"/>
              </w:rPr>
              <w:t>25</w:t>
            </w:r>
          </w:p>
        </w:tc>
      </w:tr>
      <w:tr w:rsidR="001506C1" w:rsidRPr="00FA3F9C" w14:paraId="1A4541D1" w14:textId="77777777" w:rsidTr="003926F2">
        <w:tc>
          <w:tcPr>
            <w:tcW w:w="2088" w:type="dxa"/>
          </w:tcPr>
          <w:p w14:paraId="6E7AAD1B" w14:textId="77777777" w:rsidR="001506C1" w:rsidRPr="00FA3F9C" w:rsidRDefault="001506C1" w:rsidP="00EA7CCF">
            <w:pPr>
              <w:widowControl w:val="0"/>
              <w:autoSpaceDE w:val="0"/>
              <w:autoSpaceDN w:val="0"/>
              <w:adjustRightInd w:val="0"/>
              <w:rPr>
                <w:rFonts w:ascii="Arial" w:hAnsi="Arial" w:cs="Arial"/>
                <w:color w:val="231F20"/>
                <w:sz w:val="24"/>
                <w:szCs w:val="24"/>
              </w:rPr>
            </w:pPr>
            <w:r w:rsidRPr="00FA3F9C">
              <w:rPr>
                <w:rFonts w:ascii="Arial" w:hAnsi="Arial" w:cs="Arial"/>
                <w:color w:val="231F20"/>
                <w:sz w:val="24"/>
                <w:szCs w:val="24"/>
              </w:rPr>
              <w:t>PCWP or LVEDP, mmHg</w:t>
            </w:r>
          </w:p>
        </w:tc>
        <w:tc>
          <w:tcPr>
            <w:tcW w:w="2088" w:type="dxa"/>
          </w:tcPr>
          <w:p w14:paraId="734FD01A" w14:textId="77777777" w:rsidR="001506C1" w:rsidRPr="00FA3F9C" w:rsidRDefault="001506C1" w:rsidP="00EA7CCF">
            <w:pPr>
              <w:widowControl w:val="0"/>
              <w:autoSpaceDE w:val="0"/>
              <w:autoSpaceDN w:val="0"/>
              <w:adjustRightInd w:val="0"/>
              <w:rPr>
                <w:rFonts w:ascii="Arial" w:hAnsi="Arial" w:cs="Arial"/>
                <w:color w:val="231F20"/>
                <w:sz w:val="24"/>
                <w:szCs w:val="24"/>
              </w:rPr>
            </w:pPr>
          </w:p>
        </w:tc>
        <w:tc>
          <w:tcPr>
            <w:tcW w:w="2088" w:type="dxa"/>
          </w:tcPr>
          <w:p w14:paraId="57EF79D8" w14:textId="77777777" w:rsidR="001506C1" w:rsidRPr="00FA3F9C" w:rsidRDefault="001506C1" w:rsidP="00EA7CCF">
            <w:pPr>
              <w:widowControl w:val="0"/>
              <w:autoSpaceDE w:val="0"/>
              <w:autoSpaceDN w:val="0"/>
              <w:adjustRightInd w:val="0"/>
              <w:rPr>
                <w:rFonts w:ascii="Arial" w:hAnsi="Arial" w:cs="Arial"/>
                <w:color w:val="231F20"/>
                <w:sz w:val="24"/>
                <w:szCs w:val="24"/>
              </w:rPr>
            </w:pPr>
            <w:r w:rsidRPr="00FA3F9C">
              <w:rPr>
                <w:rFonts w:ascii="Arial" w:hAnsi="Arial" w:cs="Arial"/>
                <w:color w:val="231F20"/>
                <w:sz w:val="24"/>
                <w:szCs w:val="24"/>
                <w:u w:val="single"/>
              </w:rPr>
              <w:t>&lt;</w:t>
            </w:r>
            <w:r w:rsidRPr="00FA3F9C">
              <w:rPr>
                <w:rFonts w:ascii="Arial" w:hAnsi="Arial" w:cs="Arial"/>
                <w:color w:val="231F20"/>
                <w:sz w:val="24"/>
                <w:szCs w:val="24"/>
              </w:rPr>
              <w:t>15</w:t>
            </w:r>
          </w:p>
        </w:tc>
        <w:tc>
          <w:tcPr>
            <w:tcW w:w="2088" w:type="dxa"/>
          </w:tcPr>
          <w:p w14:paraId="19222BD0" w14:textId="77777777" w:rsidR="001506C1" w:rsidRPr="00FA3F9C" w:rsidRDefault="001506C1" w:rsidP="00EA7CCF">
            <w:pPr>
              <w:widowControl w:val="0"/>
              <w:autoSpaceDE w:val="0"/>
              <w:autoSpaceDN w:val="0"/>
              <w:adjustRightInd w:val="0"/>
              <w:rPr>
                <w:rFonts w:ascii="Arial" w:hAnsi="Arial" w:cs="Arial"/>
                <w:color w:val="231F20"/>
                <w:sz w:val="24"/>
                <w:szCs w:val="24"/>
              </w:rPr>
            </w:pPr>
            <w:r w:rsidRPr="00FA3F9C">
              <w:rPr>
                <w:rFonts w:ascii="Arial" w:hAnsi="Arial" w:cs="Arial"/>
                <w:color w:val="231F20"/>
                <w:sz w:val="24"/>
                <w:szCs w:val="24"/>
                <w:highlight w:val="yellow"/>
              </w:rPr>
              <w:t>&gt;15</w:t>
            </w:r>
          </w:p>
        </w:tc>
        <w:tc>
          <w:tcPr>
            <w:tcW w:w="2088" w:type="dxa"/>
          </w:tcPr>
          <w:p w14:paraId="4EF783F5" w14:textId="77777777" w:rsidR="001506C1" w:rsidRPr="00FA3F9C" w:rsidRDefault="001506C1" w:rsidP="00EA7CCF">
            <w:pPr>
              <w:rPr>
                <w:rFonts w:ascii="Arial" w:hAnsi="Arial" w:cs="Arial"/>
                <w:sz w:val="24"/>
                <w:szCs w:val="24"/>
              </w:rPr>
            </w:pPr>
            <w:r w:rsidRPr="00FA3F9C">
              <w:rPr>
                <w:rFonts w:ascii="Arial" w:hAnsi="Arial" w:cs="Arial"/>
                <w:color w:val="231F20"/>
                <w:sz w:val="24"/>
                <w:szCs w:val="24"/>
                <w:u w:val="single"/>
              </w:rPr>
              <w:t>&lt;</w:t>
            </w:r>
            <w:r w:rsidRPr="00FA3F9C">
              <w:rPr>
                <w:rFonts w:ascii="Arial" w:hAnsi="Arial" w:cs="Arial"/>
                <w:color w:val="231F20"/>
                <w:sz w:val="24"/>
                <w:szCs w:val="24"/>
              </w:rPr>
              <w:t>15</w:t>
            </w:r>
          </w:p>
        </w:tc>
        <w:tc>
          <w:tcPr>
            <w:tcW w:w="2088" w:type="dxa"/>
          </w:tcPr>
          <w:p w14:paraId="088E2D17" w14:textId="77777777" w:rsidR="001506C1" w:rsidRPr="00FA3F9C" w:rsidRDefault="001506C1" w:rsidP="00EA7CCF">
            <w:pPr>
              <w:rPr>
                <w:rFonts w:ascii="Arial" w:hAnsi="Arial" w:cs="Arial"/>
                <w:sz w:val="24"/>
                <w:szCs w:val="24"/>
              </w:rPr>
            </w:pPr>
            <w:r w:rsidRPr="00FA3F9C">
              <w:rPr>
                <w:rFonts w:ascii="Arial" w:hAnsi="Arial" w:cs="Arial"/>
                <w:color w:val="231F20"/>
                <w:sz w:val="24"/>
                <w:szCs w:val="24"/>
                <w:u w:val="single"/>
              </w:rPr>
              <w:t>&lt;</w:t>
            </w:r>
            <w:r w:rsidRPr="00FA3F9C">
              <w:rPr>
                <w:rFonts w:ascii="Arial" w:hAnsi="Arial" w:cs="Arial"/>
                <w:color w:val="231F20"/>
                <w:sz w:val="24"/>
                <w:szCs w:val="24"/>
              </w:rPr>
              <w:t>15</w:t>
            </w:r>
          </w:p>
        </w:tc>
        <w:tc>
          <w:tcPr>
            <w:tcW w:w="2088" w:type="dxa"/>
          </w:tcPr>
          <w:p w14:paraId="51649216" w14:textId="77777777" w:rsidR="001506C1" w:rsidRPr="00FA3F9C" w:rsidRDefault="001506C1" w:rsidP="00EA7CCF">
            <w:pPr>
              <w:rPr>
                <w:rFonts w:ascii="Arial" w:hAnsi="Arial" w:cs="Arial"/>
                <w:sz w:val="24"/>
                <w:szCs w:val="24"/>
              </w:rPr>
            </w:pPr>
            <w:r w:rsidRPr="00FA3F9C">
              <w:rPr>
                <w:rFonts w:ascii="Arial" w:hAnsi="Arial" w:cs="Arial"/>
                <w:color w:val="231F20"/>
                <w:sz w:val="24"/>
                <w:szCs w:val="24"/>
                <w:u w:val="single"/>
              </w:rPr>
              <w:t>&lt;</w:t>
            </w:r>
            <w:r w:rsidRPr="00FA3F9C">
              <w:rPr>
                <w:rFonts w:ascii="Arial" w:hAnsi="Arial" w:cs="Arial"/>
                <w:color w:val="231F20"/>
                <w:sz w:val="24"/>
                <w:szCs w:val="24"/>
              </w:rPr>
              <w:t>15</w:t>
            </w:r>
          </w:p>
        </w:tc>
      </w:tr>
      <w:tr w:rsidR="001506C1" w:rsidRPr="00FA3F9C" w14:paraId="4DBAADCF" w14:textId="77777777" w:rsidTr="003926F2">
        <w:tc>
          <w:tcPr>
            <w:tcW w:w="2088" w:type="dxa"/>
          </w:tcPr>
          <w:p w14:paraId="6DFAB103" w14:textId="77777777" w:rsidR="001506C1" w:rsidRPr="00FA3F9C" w:rsidRDefault="001506C1" w:rsidP="00EA7CCF">
            <w:pPr>
              <w:widowControl w:val="0"/>
              <w:autoSpaceDE w:val="0"/>
              <w:autoSpaceDN w:val="0"/>
              <w:adjustRightInd w:val="0"/>
              <w:rPr>
                <w:rFonts w:ascii="Arial" w:hAnsi="Arial" w:cs="Arial"/>
                <w:color w:val="231F20"/>
                <w:sz w:val="24"/>
                <w:szCs w:val="24"/>
              </w:rPr>
            </w:pPr>
            <w:r w:rsidRPr="00FA3F9C">
              <w:rPr>
                <w:rFonts w:ascii="Arial" w:hAnsi="Arial" w:cs="Arial"/>
                <w:color w:val="231F20"/>
                <w:sz w:val="24"/>
                <w:szCs w:val="24"/>
              </w:rPr>
              <w:t>PVR, dynes/s/cm</w:t>
            </w:r>
          </w:p>
        </w:tc>
        <w:tc>
          <w:tcPr>
            <w:tcW w:w="2088" w:type="dxa"/>
          </w:tcPr>
          <w:p w14:paraId="4565A1DF" w14:textId="77777777" w:rsidR="001506C1" w:rsidRPr="00FA3F9C" w:rsidRDefault="001506C1" w:rsidP="00EA7CCF">
            <w:pPr>
              <w:widowControl w:val="0"/>
              <w:autoSpaceDE w:val="0"/>
              <w:autoSpaceDN w:val="0"/>
              <w:adjustRightInd w:val="0"/>
              <w:rPr>
                <w:rFonts w:ascii="Arial" w:hAnsi="Arial" w:cs="Arial"/>
                <w:color w:val="231F20"/>
                <w:sz w:val="24"/>
                <w:szCs w:val="24"/>
              </w:rPr>
            </w:pPr>
          </w:p>
        </w:tc>
        <w:tc>
          <w:tcPr>
            <w:tcW w:w="2088" w:type="dxa"/>
          </w:tcPr>
          <w:p w14:paraId="66FFC37F" w14:textId="77777777" w:rsidR="001506C1" w:rsidRPr="00FA3F9C" w:rsidRDefault="001506C1" w:rsidP="00EA7CCF">
            <w:pPr>
              <w:widowControl w:val="0"/>
              <w:autoSpaceDE w:val="0"/>
              <w:autoSpaceDN w:val="0"/>
              <w:adjustRightInd w:val="0"/>
              <w:rPr>
                <w:rFonts w:ascii="Arial" w:hAnsi="Arial" w:cs="Arial"/>
                <w:color w:val="231F20"/>
                <w:sz w:val="24"/>
                <w:szCs w:val="24"/>
              </w:rPr>
            </w:pPr>
            <w:r w:rsidRPr="00FA3F9C">
              <w:rPr>
                <w:rFonts w:ascii="Arial" w:hAnsi="Arial" w:cs="Arial"/>
                <w:color w:val="231F20"/>
                <w:sz w:val="24"/>
                <w:szCs w:val="24"/>
              </w:rPr>
              <w:t>&gt;240</w:t>
            </w:r>
          </w:p>
        </w:tc>
        <w:tc>
          <w:tcPr>
            <w:tcW w:w="2088" w:type="dxa"/>
          </w:tcPr>
          <w:p w14:paraId="7CFBD705" w14:textId="77777777" w:rsidR="001506C1" w:rsidRPr="00FA3F9C" w:rsidRDefault="001506C1" w:rsidP="00EA7CCF">
            <w:pPr>
              <w:widowControl w:val="0"/>
              <w:autoSpaceDE w:val="0"/>
              <w:autoSpaceDN w:val="0"/>
              <w:adjustRightInd w:val="0"/>
              <w:rPr>
                <w:rFonts w:ascii="Arial" w:hAnsi="Arial" w:cs="Arial"/>
                <w:color w:val="231F20"/>
                <w:sz w:val="24"/>
                <w:szCs w:val="24"/>
                <w:highlight w:val="yellow"/>
              </w:rPr>
            </w:pPr>
          </w:p>
        </w:tc>
        <w:tc>
          <w:tcPr>
            <w:tcW w:w="2088" w:type="dxa"/>
          </w:tcPr>
          <w:p w14:paraId="6474CCA1" w14:textId="77777777" w:rsidR="001506C1" w:rsidRPr="00FA3F9C" w:rsidRDefault="001506C1" w:rsidP="00EA7CCF">
            <w:pPr>
              <w:rPr>
                <w:rFonts w:ascii="Arial" w:hAnsi="Arial" w:cs="Arial"/>
                <w:sz w:val="24"/>
                <w:szCs w:val="24"/>
              </w:rPr>
            </w:pPr>
            <w:r w:rsidRPr="00FA3F9C">
              <w:rPr>
                <w:rFonts w:ascii="Arial" w:hAnsi="Arial" w:cs="Arial"/>
                <w:color w:val="231F20"/>
                <w:sz w:val="24"/>
                <w:szCs w:val="24"/>
              </w:rPr>
              <w:t>&gt;240</w:t>
            </w:r>
          </w:p>
        </w:tc>
        <w:tc>
          <w:tcPr>
            <w:tcW w:w="2088" w:type="dxa"/>
          </w:tcPr>
          <w:p w14:paraId="6FDB3964" w14:textId="77777777" w:rsidR="001506C1" w:rsidRPr="00FA3F9C" w:rsidRDefault="001506C1" w:rsidP="00EA7CCF">
            <w:pPr>
              <w:rPr>
                <w:rFonts w:ascii="Arial" w:hAnsi="Arial" w:cs="Arial"/>
                <w:sz w:val="24"/>
                <w:szCs w:val="24"/>
              </w:rPr>
            </w:pPr>
            <w:r w:rsidRPr="00FA3F9C">
              <w:rPr>
                <w:rFonts w:ascii="Arial" w:hAnsi="Arial" w:cs="Arial"/>
                <w:color w:val="231F20"/>
                <w:sz w:val="24"/>
                <w:szCs w:val="24"/>
              </w:rPr>
              <w:t>&gt;240</w:t>
            </w:r>
          </w:p>
        </w:tc>
        <w:tc>
          <w:tcPr>
            <w:tcW w:w="2088" w:type="dxa"/>
          </w:tcPr>
          <w:p w14:paraId="4835A9AA" w14:textId="77777777" w:rsidR="001506C1" w:rsidRPr="00FA3F9C" w:rsidRDefault="001506C1" w:rsidP="00EA7CCF">
            <w:pPr>
              <w:rPr>
                <w:rFonts w:ascii="Arial" w:hAnsi="Arial" w:cs="Arial"/>
                <w:sz w:val="24"/>
                <w:szCs w:val="24"/>
              </w:rPr>
            </w:pPr>
            <w:r w:rsidRPr="00FA3F9C">
              <w:rPr>
                <w:rFonts w:ascii="Arial" w:hAnsi="Arial" w:cs="Arial"/>
                <w:color w:val="231F20"/>
                <w:sz w:val="24"/>
                <w:szCs w:val="24"/>
              </w:rPr>
              <w:t>&gt;240</w:t>
            </w:r>
          </w:p>
        </w:tc>
      </w:tr>
    </w:tbl>
    <w:p w14:paraId="0DAAA9E1" w14:textId="77777777" w:rsidR="001506C1" w:rsidRPr="00FA3F9C" w:rsidRDefault="001506C1" w:rsidP="00EA7CCF">
      <w:pPr>
        <w:spacing w:after="0" w:line="240" w:lineRule="auto"/>
        <w:rPr>
          <w:rFonts w:ascii="Arial" w:hAnsi="Arial" w:cs="Arial"/>
          <w:sz w:val="24"/>
          <w:szCs w:val="24"/>
        </w:rPr>
      </w:pPr>
      <w:r w:rsidRPr="00FA3F9C">
        <w:rPr>
          <w:rFonts w:ascii="Arial" w:hAnsi="Arial" w:cs="Arial"/>
          <w:sz w:val="24"/>
          <w:szCs w:val="24"/>
        </w:rPr>
        <w:t xml:space="preserve">References: </w:t>
      </w:r>
    </w:p>
    <w:p w14:paraId="6743E1BF" w14:textId="77777777" w:rsidR="001506C1" w:rsidRPr="00FA3F9C" w:rsidRDefault="001506C1" w:rsidP="00EA7CCF">
      <w:pPr>
        <w:spacing w:after="0" w:line="240" w:lineRule="auto"/>
        <w:rPr>
          <w:rFonts w:ascii="Arial" w:hAnsi="Arial" w:cs="Arial"/>
          <w:sz w:val="24"/>
          <w:szCs w:val="24"/>
        </w:rPr>
      </w:pPr>
      <w:r w:rsidRPr="00FA3F9C">
        <w:rPr>
          <w:rFonts w:ascii="Arial" w:hAnsi="Arial" w:cs="Arial"/>
          <w:sz w:val="24"/>
          <w:szCs w:val="24"/>
          <w:lang w:val="fr-FR"/>
        </w:rPr>
        <w:t xml:space="preserve">1.  </w:t>
      </w:r>
      <w:proofErr w:type="spellStart"/>
      <w:r w:rsidRPr="00FA3F9C">
        <w:rPr>
          <w:rFonts w:ascii="Arial" w:hAnsi="Arial" w:cs="Arial"/>
          <w:sz w:val="24"/>
          <w:szCs w:val="24"/>
          <w:lang w:val="fr-FR"/>
        </w:rPr>
        <w:t>Galie</w:t>
      </w:r>
      <w:proofErr w:type="spellEnd"/>
      <w:r w:rsidRPr="00FA3F9C">
        <w:rPr>
          <w:rFonts w:ascii="Arial" w:hAnsi="Arial" w:cs="Arial"/>
          <w:sz w:val="24"/>
          <w:szCs w:val="24"/>
          <w:lang w:val="fr-FR"/>
        </w:rPr>
        <w:t xml:space="preserve"> N, Barbera, Frost AE, et al.  </w:t>
      </w:r>
      <w:r w:rsidRPr="00FA3F9C">
        <w:rPr>
          <w:rFonts w:ascii="Arial" w:hAnsi="Arial" w:cs="Arial"/>
          <w:sz w:val="24"/>
          <w:szCs w:val="24"/>
        </w:rPr>
        <w:t xml:space="preserve">Initial use of </w:t>
      </w:r>
      <w:proofErr w:type="spellStart"/>
      <w:r w:rsidRPr="00FA3F9C">
        <w:rPr>
          <w:rFonts w:ascii="Arial" w:hAnsi="Arial" w:cs="Arial"/>
          <w:sz w:val="24"/>
          <w:szCs w:val="24"/>
        </w:rPr>
        <w:t>ambrisentan</w:t>
      </w:r>
      <w:proofErr w:type="spellEnd"/>
      <w:r w:rsidRPr="00FA3F9C">
        <w:rPr>
          <w:rFonts w:ascii="Arial" w:hAnsi="Arial" w:cs="Arial"/>
          <w:sz w:val="24"/>
          <w:szCs w:val="24"/>
        </w:rPr>
        <w:t xml:space="preserve"> plus tadalafil in PAH.  N </w:t>
      </w:r>
      <w:proofErr w:type="spellStart"/>
      <w:r w:rsidRPr="00FA3F9C">
        <w:rPr>
          <w:rFonts w:ascii="Arial" w:hAnsi="Arial" w:cs="Arial"/>
          <w:sz w:val="24"/>
          <w:szCs w:val="24"/>
        </w:rPr>
        <w:t>Engl</w:t>
      </w:r>
      <w:proofErr w:type="spellEnd"/>
      <w:r w:rsidRPr="00FA3F9C">
        <w:rPr>
          <w:rFonts w:ascii="Arial" w:hAnsi="Arial" w:cs="Arial"/>
          <w:sz w:val="24"/>
          <w:szCs w:val="24"/>
        </w:rPr>
        <w:t xml:space="preserve"> J Med 2015;373:834-44.</w:t>
      </w:r>
    </w:p>
    <w:p w14:paraId="32384164" w14:textId="77777777" w:rsidR="001506C1" w:rsidRPr="00FA3F9C" w:rsidRDefault="001506C1" w:rsidP="00EA7CCF">
      <w:pPr>
        <w:spacing w:after="0" w:line="240" w:lineRule="auto"/>
        <w:rPr>
          <w:rFonts w:ascii="Arial" w:hAnsi="Arial" w:cs="Arial"/>
          <w:sz w:val="24"/>
          <w:szCs w:val="24"/>
        </w:rPr>
      </w:pPr>
      <w:r w:rsidRPr="00FA3F9C">
        <w:rPr>
          <w:rFonts w:ascii="Arial" w:hAnsi="Arial" w:cs="Arial"/>
          <w:sz w:val="24"/>
          <w:szCs w:val="24"/>
        </w:rPr>
        <w:t xml:space="preserve">2. Lexicomp. </w:t>
      </w:r>
      <w:proofErr w:type="spellStart"/>
      <w:r w:rsidRPr="00FA3F9C">
        <w:rPr>
          <w:rFonts w:ascii="Arial" w:hAnsi="Arial" w:cs="Arial"/>
          <w:sz w:val="24"/>
          <w:szCs w:val="24"/>
        </w:rPr>
        <w:t>Ambrisentan</w:t>
      </w:r>
      <w:proofErr w:type="spellEnd"/>
      <w:r w:rsidRPr="00FA3F9C">
        <w:rPr>
          <w:rFonts w:ascii="Arial" w:hAnsi="Arial" w:cs="Arial"/>
          <w:sz w:val="24"/>
          <w:szCs w:val="24"/>
        </w:rPr>
        <w:t>.  Accessed 9/24/19.</w:t>
      </w:r>
    </w:p>
    <w:p w14:paraId="33316D79" w14:textId="77777777" w:rsidR="001506C1" w:rsidRPr="00FA3F9C" w:rsidRDefault="001506C1" w:rsidP="00EA7CCF">
      <w:pPr>
        <w:spacing w:after="0" w:line="240" w:lineRule="auto"/>
        <w:rPr>
          <w:rFonts w:ascii="Arial" w:hAnsi="Arial" w:cs="Arial"/>
          <w:sz w:val="24"/>
          <w:szCs w:val="24"/>
        </w:rPr>
      </w:pPr>
    </w:p>
    <w:p w14:paraId="0A419420" w14:textId="77777777" w:rsidR="001506C1" w:rsidRPr="00FA3F9C" w:rsidRDefault="001506C1" w:rsidP="00EA7CCF">
      <w:pPr>
        <w:spacing w:after="0" w:line="240" w:lineRule="auto"/>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017"/>
        <w:gridCol w:w="8280"/>
        <w:gridCol w:w="1728"/>
      </w:tblGrid>
      <w:tr w:rsidR="001506C1" w:rsidRPr="00FA3F9C" w14:paraId="46954B00" w14:textId="77777777" w:rsidTr="00EA7CCF">
        <w:tc>
          <w:tcPr>
            <w:tcW w:w="1008" w:type="dxa"/>
          </w:tcPr>
          <w:p w14:paraId="10DC48F3" w14:textId="77777777" w:rsidR="001506C1" w:rsidRPr="00FA3F9C" w:rsidRDefault="001506C1" w:rsidP="00457F7B">
            <w:pPr>
              <w:rPr>
                <w:rFonts w:ascii="Arial" w:hAnsi="Arial" w:cs="Arial"/>
                <w:sz w:val="24"/>
                <w:szCs w:val="24"/>
              </w:rPr>
            </w:pPr>
            <w:r w:rsidRPr="00FA3F9C">
              <w:rPr>
                <w:rFonts w:ascii="Arial" w:hAnsi="Arial" w:cs="Arial"/>
                <w:sz w:val="24"/>
                <w:szCs w:val="24"/>
              </w:rPr>
              <w:t>Date</w:t>
            </w:r>
          </w:p>
        </w:tc>
        <w:tc>
          <w:tcPr>
            <w:tcW w:w="8280" w:type="dxa"/>
          </w:tcPr>
          <w:p w14:paraId="6DE74407" w14:textId="77777777" w:rsidR="001506C1" w:rsidRPr="00FA3F9C" w:rsidRDefault="001506C1" w:rsidP="00457F7B">
            <w:pPr>
              <w:rPr>
                <w:rFonts w:ascii="Arial" w:hAnsi="Arial" w:cs="Arial"/>
                <w:sz w:val="24"/>
                <w:szCs w:val="24"/>
              </w:rPr>
            </w:pPr>
            <w:r w:rsidRPr="00FA3F9C">
              <w:rPr>
                <w:rFonts w:ascii="Arial" w:hAnsi="Arial" w:cs="Arial"/>
                <w:sz w:val="24"/>
                <w:szCs w:val="24"/>
              </w:rPr>
              <w:t>What changed</w:t>
            </w:r>
          </w:p>
        </w:tc>
        <w:tc>
          <w:tcPr>
            <w:tcW w:w="1728" w:type="dxa"/>
          </w:tcPr>
          <w:p w14:paraId="5C29B1C2" w14:textId="77777777" w:rsidR="001506C1" w:rsidRPr="00FA3F9C" w:rsidRDefault="001506C1" w:rsidP="00457F7B">
            <w:pPr>
              <w:rPr>
                <w:rFonts w:ascii="Arial" w:hAnsi="Arial" w:cs="Arial"/>
                <w:sz w:val="24"/>
                <w:szCs w:val="24"/>
              </w:rPr>
            </w:pPr>
            <w:r w:rsidRPr="00FA3F9C">
              <w:rPr>
                <w:rFonts w:ascii="Arial" w:hAnsi="Arial" w:cs="Arial"/>
                <w:sz w:val="24"/>
                <w:szCs w:val="24"/>
              </w:rPr>
              <w:t>Pharmacist’s initials</w:t>
            </w:r>
          </w:p>
        </w:tc>
      </w:tr>
      <w:tr w:rsidR="001506C1" w:rsidRPr="00FA3F9C" w14:paraId="511E3BE9" w14:textId="77777777" w:rsidTr="00EA7CCF">
        <w:tc>
          <w:tcPr>
            <w:tcW w:w="1008" w:type="dxa"/>
          </w:tcPr>
          <w:p w14:paraId="686B0B93" w14:textId="77777777" w:rsidR="001506C1" w:rsidRPr="00FA3F9C" w:rsidRDefault="001506C1" w:rsidP="00457F7B">
            <w:pPr>
              <w:rPr>
                <w:rFonts w:ascii="Arial" w:hAnsi="Arial" w:cs="Arial"/>
                <w:sz w:val="24"/>
                <w:szCs w:val="24"/>
              </w:rPr>
            </w:pPr>
            <w:r w:rsidRPr="00FA3F9C">
              <w:rPr>
                <w:rFonts w:ascii="Arial" w:hAnsi="Arial" w:cs="Arial"/>
                <w:sz w:val="24"/>
                <w:szCs w:val="24"/>
              </w:rPr>
              <w:t>2-6-15</w:t>
            </w:r>
          </w:p>
        </w:tc>
        <w:tc>
          <w:tcPr>
            <w:tcW w:w="8280" w:type="dxa"/>
          </w:tcPr>
          <w:p w14:paraId="6DA7F8AA" w14:textId="77777777" w:rsidR="001506C1" w:rsidRPr="00FA3F9C" w:rsidRDefault="001506C1" w:rsidP="00457F7B">
            <w:pPr>
              <w:rPr>
                <w:rFonts w:ascii="Arial" w:hAnsi="Arial" w:cs="Arial"/>
                <w:sz w:val="24"/>
                <w:szCs w:val="24"/>
              </w:rPr>
            </w:pPr>
            <w:r w:rsidRPr="00FA3F9C">
              <w:rPr>
                <w:rFonts w:ascii="Arial" w:hAnsi="Arial" w:cs="Arial"/>
                <w:sz w:val="24"/>
                <w:szCs w:val="24"/>
              </w:rPr>
              <w:t>I wrote the criteria.</w:t>
            </w:r>
          </w:p>
        </w:tc>
        <w:tc>
          <w:tcPr>
            <w:tcW w:w="1728" w:type="dxa"/>
          </w:tcPr>
          <w:p w14:paraId="5FFB9209" w14:textId="77777777" w:rsidR="001506C1" w:rsidRPr="00FA3F9C" w:rsidRDefault="001506C1" w:rsidP="00457F7B">
            <w:pPr>
              <w:rPr>
                <w:rFonts w:ascii="Arial" w:hAnsi="Arial" w:cs="Arial"/>
                <w:sz w:val="24"/>
                <w:szCs w:val="24"/>
              </w:rPr>
            </w:pPr>
            <w:r w:rsidRPr="00FA3F9C">
              <w:rPr>
                <w:rFonts w:ascii="Arial" w:hAnsi="Arial" w:cs="Arial"/>
                <w:sz w:val="24"/>
                <w:szCs w:val="24"/>
              </w:rPr>
              <w:t>JJ</w:t>
            </w:r>
          </w:p>
        </w:tc>
      </w:tr>
      <w:tr w:rsidR="001506C1" w:rsidRPr="00FA3F9C" w14:paraId="6C0D00A7" w14:textId="77777777" w:rsidTr="00EA7CCF">
        <w:tc>
          <w:tcPr>
            <w:tcW w:w="1008" w:type="dxa"/>
          </w:tcPr>
          <w:p w14:paraId="0FED2EEB" w14:textId="77777777" w:rsidR="001506C1" w:rsidRPr="00FA3F9C" w:rsidRDefault="001506C1" w:rsidP="00457F7B">
            <w:pPr>
              <w:rPr>
                <w:rFonts w:ascii="Arial" w:hAnsi="Arial" w:cs="Arial"/>
                <w:sz w:val="24"/>
                <w:szCs w:val="24"/>
              </w:rPr>
            </w:pPr>
            <w:r w:rsidRPr="00FA3F9C">
              <w:rPr>
                <w:rFonts w:ascii="Arial" w:hAnsi="Arial" w:cs="Arial"/>
                <w:sz w:val="24"/>
                <w:szCs w:val="24"/>
              </w:rPr>
              <w:t>2-22-16</w:t>
            </w:r>
          </w:p>
        </w:tc>
        <w:tc>
          <w:tcPr>
            <w:tcW w:w="8280" w:type="dxa"/>
          </w:tcPr>
          <w:p w14:paraId="192D959C" w14:textId="77777777" w:rsidR="001506C1" w:rsidRPr="00FA3F9C" w:rsidRDefault="001506C1" w:rsidP="00457F7B">
            <w:pPr>
              <w:rPr>
                <w:rFonts w:ascii="Arial" w:hAnsi="Arial" w:cs="Arial"/>
                <w:sz w:val="24"/>
                <w:szCs w:val="24"/>
              </w:rPr>
            </w:pPr>
            <w:r w:rsidRPr="00FA3F9C">
              <w:rPr>
                <w:rFonts w:ascii="Arial" w:hAnsi="Arial" w:cs="Arial"/>
                <w:sz w:val="24"/>
                <w:szCs w:val="24"/>
              </w:rPr>
              <w:t xml:space="preserve">I removed the requirement to fail a PDE5inh.  Due to the “AMBITION” trial, evaluating initial use of </w:t>
            </w:r>
            <w:proofErr w:type="spellStart"/>
            <w:r w:rsidRPr="00FA3F9C">
              <w:rPr>
                <w:rFonts w:ascii="Arial" w:hAnsi="Arial" w:cs="Arial"/>
                <w:sz w:val="24"/>
                <w:szCs w:val="24"/>
              </w:rPr>
              <w:t>ambrisentan</w:t>
            </w:r>
            <w:proofErr w:type="spellEnd"/>
            <w:r w:rsidRPr="00FA3F9C">
              <w:rPr>
                <w:rFonts w:ascii="Arial" w:hAnsi="Arial" w:cs="Arial"/>
                <w:sz w:val="24"/>
                <w:szCs w:val="24"/>
              </w:rPr>
              <w:t xml:space="preserve"> + tadalafil in PAH, which showed an improvement in the time to the first event of clinical failure, defined as the 1</w:t>
            </w:r>
            <w:r w:rsidRPr="00FA3F9C">
              <w:rPr>
                <w:rFonts w:ascii="Arial" w:hAnsi="Arial" w:cs="Arial"/>
                <w:sz w:val="24"/>
                <w:szCs w:val="24"/>
                <w:vertAlign w:val="superscript"/>
              </w:rPr>
              <w:t>st</w:t>
            </w:r>
            <w:r w:rsidRPr="00FA3F9C">
              <w:rPr>
                <w:rFonts w:ascii="Arial" w:hAnsi="Arial" w:cs="Arial"/>
                <w:sz w:val="24"/>
                <w:szCs w:val="24"/>
              </w:rPr>
              <w:t xml:space="preserve"> occurrence of a composite of death, hospitalization for worsening PAH, disease progression, or unsatisfactory long-term clinical response.</w:t>
            </w:r>
          </w:p>
        </w:tc>
        <w:tc>
          <w:tcPr>
            <w:tcW w:w="1728" w:type="dxa"/>
          </w:tcPr>
          <w:p w14:paraId="04D149E8" w14:textId="77777777" w:rsidR="001506C1" w:rsidRPr="00FA3F9C" w:rsidRDefault="001506C1" w:rsidP="00457F7B">
            <w:pPr>
              <w:rPr>
                <w:rFonts w:ascii="Arial" w:hAnsi="Arial" w:cs="Arial"/>
                <w:sz w:val="24"/>
                <w:szCs w:val="24"/>
              </w:rPr>
            </w:pPr>
            <w:r w:rsidRPr="00FA3F9C">
              <w:rPr>
                <w:rFonts w:ascii="Arial" w:hAnsi="Arial" w:cs="Arial"/>
                <w:sz w:val="24"/>
                <w:szCs w:val="24"/>
              </w:rPr>
              <w:t>JJ</w:t>
            </w:r>
          </w:p>
        </w:tc>
      </w:tr>
      <w:tr w:rsidR="001506C1" w:rsidRPr="00FA3F9C" w14:paraId="6F194A0C" w14:textId="77777777" w:rsidTr="00EA7CCF">
        <w:tc>
          <w:tcPr>
            <w:tcW w:w="1008" w:type="dxa"/>
          </w:tcPr>
          <w:p w14:paraId="49DEE96C" w14:textId="77777777" w:rsidR="001506C1" w:rsidRPr="00FA3F9C" w:rsidRDefault="001506C1" w:rsidP="00457F7B">
            <w:pPr>
              <w:rPr>
                <w:rFonts w:ascii="Arial" w:hAnsi="Arial" w:cs="Arial"/>
                <w:sz w:val="24"/>
                <w:szCs w:val="24"/>
              </w:rPr>
            </w:pPr>
            <w:r w:rsidRPr="00FA3F9C">
              <w:rPr>
                <w:rFonts w:ascii="Arial" w:hAnsi="Arial" w:cs="Arial"/>
                <w:sz w:val="24"/>
                <w:szCs w:val="24"/>
              </w:rPr>
              <w:t>9/24/19</w:t>
            </w:r>
          </w:p>
        </w:tc>
        <w:tc>
          <w:tcPr>
            <w:tcW w:w="8280" w:type="dxa"/>
          </w:tcPr>
          <w:p w14:paraId="07ADBDAA" w14:textId="77777777" w:rsidR="001506C1" w:rsidRPr="00FA3F9C" w:rsidRDefault="001506C1" w:rsidP="00457F7B">
            <w:pPr>
              <w:rPr>
                <w:rFonts w:ascii="Arial" w:hAnsi="Arial" w:cs="Arial"/>
                <w:sz w:val="24"/>
                <w:szCs w:val="24"/>
              </w:rPr>
            </w:pPr>
            <w:r w:rsidRPr="00FA3F9C">
              <w:rPr>
                <w:rFonts w:ascii="Arial" w:hAnsi="Arial" w:cs="Arial"/>
                <w:sz w:val="24"/>
                <w:szCs w:val="24"/>
              </w:rPr>
              <w:t>I reviewed the criteria.  No changes.</w:t>
            </w:r>
          </w:p>
        </w:tc>
        <w:tc>
          <w:tcPr>
            <w:tcW w:w="1728" w:type="dxa"/>
          </w:tcPr>
          <w:p w14:paraId="2F51C5AD" w14:textId="77777777" w:rsidR="001506C1" w:rsidRPr="00FA3F9C" w:rsidRDefault="001506C1" w:rsidP="00457F7B">
            <w:pPr>
              <w:rPr>
                <w:rFonts w:ascii="Arial" w:hAnsi="Arial" w:cs="Arial"/>
                <w:sz w:val="24"/>
                <w:szCs w:val="24"/>
              </w:rPr>
            </w:pPr>
            <w:r w:rsidRPr="00FA3F9C">
              <w:rPr>
                <w:rFonts w:ascii="Arial" w:hAnsi="Arial" w:cs="Arial"/>
                <w:sz w:val="24"/>
                <w:szCs w:val="24"/>
              </w:rPr>
              <w:t>JJ</w:t>
            </w:r>
          </w:p>
        </w:tc>
      </w:tr>
    </w:tbl>
    <w:p w14:paraId="383AA426" w14:textId="77777777" w:rsidR="001506C1" w:rsidRPr="00FA3F9C" w:rsidRDefault="001506C1" w:rsidP="00EA7CCF">
      <w:pPr>
        <w:spacing w:after="0" w:line="240" w:lineRule="auto"/>
        <w:rPr>
          <w:rFonts w:ascii="Arial" w:hAnsi="Arial" w:cs="Arial"/>
          <w:sz w:val="24"/>
          <w:szCs w:val="24"/>
        </w:rPr>
      </w:pPr>
    </w:p>
    <w:p w14:paraId="2113F33D" w14:textId="77777777" w:rsidR="005005CA" w:rsidRDefault="005005CA">
      <w:pPr>
        <w:rPr>
          <w:rFonts w:ascii="Arial" w:eastAsia="Times New Roman" w:hAnsi="Arial" w:cs="Arial"/>
          <w:b/>
          <w:sz w:val="28"/>
          <w:szCs w:val="20"/>
        </w:rPr>
      </w:pPr>
      <w:bookmarkStart w:id="13" w:name="_Toc106369715"/>
      <w:r>
        <w:br w:type="page"/>
      </w:r>
    </w:p>
    <w:p w14:paraId="259BD4F9" w14:textId="2084C8B1" w:rsidR="00CA4C3C" w:rsidRDefault="001506C1" w:rsidP="00CA4C3C">
      <w:pPr>
        <w:pStyle w:val="Heading2"/>
      </w:pPr>
      <w:r w:rsidRPr="00FA3F9C">
        <w:lastRenderedPageBreak/>
        <w:t>Amikacin liposomal (</w:t>
      </w:r>
      <w:proofErr w:type="spellStart"/>
      <w:r w:rsidRPr="00FA3F9C">
        <w:t>Arikayce</w:t>
      </w:r>
      <w:proofErr w:type="spellEnd"/>
      <w:r w:rsidRPr="00FA3F9C">
        <w:t>)</w:t>
      </w:r>
      <w:bookmarkEnd w:id="13"/>
      <w:r w:rsidRPr="00FA3F9C">
        <w:t xml:space="preserve"> </w:t>
      </w:r>
    </w:p>
    <w:p w14:paraId="48D96A8E" w14:textId="3EAA4813" w:rsidR="001506C1" w:rsidRPr="00FA3F9C" w:rsidRDefault="001506C1" w:rsidP="006F623F">
      <w:pPr>
        <w:spacing w:after="0"/>
        <w:jc w:val="center"/>
        <w:rPr>
          <w:rFonts w:ascii="Arial" w:hAnsi="Arial" w:cs="Arial"/>
          <w:sz w:val="24"/>
          <w:szCs w:val="24"/>
        </w:rPr>
      </w:pPr>
      <w:r w:rsidRPr="00FA3F9C">
        <w:rPr>
          <w:rFonts w:ascii="Arial" w:hAnsi="Arial" w:cs="Arial"/>
          <w:sz w:val="24"/>
          <w:szCs w:val="24"/>
        </w:rPr>
        <w:t>590/8.4mL by nebulization</w:t>
      </w:r>
    </w:p>
    <w:p w14:paraId="57D994E3" w14:textId="77777777" w:rsidR="001506C1" w:rsidRPr="00FA3F9C" w:rsidRDefault="001506C1" w:rsidP="006F623F">
      <w:pPr>
        <w:spacing w:after="0"/>
        <w:jc w:val="center"/>
        <w:rPr>
          <w:rFonts w:ascii="Arial" w:hAnsi="Arial" w:cs="Arial"/>
          <w:sz w:val="24"/>
          <w:szCs w:val="24"/>
        </w:rPr>
      </w:pPr>
      <w:r w:rsidRPr="00FA3F9C">
        <w:rPr>
          <w:rFonts w:ascii="Arial" w:hAnsi="Arial" w:cs="Arial"/>
          <w:sz w:val="24"/>
          <w:szCs w:val="24"/>
        </w:rPr>
        <w:t>EBRx PA Criteria</w:t>
      </w:r>
    </w:p>
    <w:p w14:paraId="5131B75C" w14:textId="77777777" w:rsidR="001506C1" w:rsidRPr="00FA3F9C" w:rsidRDefault="001506C1" w:rsidP="006F623F">
      <w:pPr>
        <w:spacing w:after="0"/>
        <w:rPr>
          <w:rFonts w:ascii="Arial" w:hAnsi="Arial" w:cs="Arial"/>
          <w:b/>
          <w:sz w:val="24"/>
          <w:szCs w:val="24"/>
          <w:u w:val="single"/>
        </w:rPr>
      </w:pPr>
    </w:p>
    <w:p w14:paraId="7B5417AA" w14:textId="77777777" w:rsidR="001506C1" w:rsidRPr="00FA3F9C" w:rsidRDefault="001506C1"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treatment of </w:t>
      </w:r>
      <w:r w:rsidRPr="00FA3F9C">
        <w:rPr>
          <w:rFonts w:ascii="Arial" w:hAnsi="Arial" w:cs="Arial"/>
          <w:i/>
          <w:sz w:val="24"/>
          <w:szCs w:val="24"/>
        </w:rPr>
        <w:t>Mycobacterium avium</w:t>
      </w:r>
      <w:r w:rsidRPr="00FA3F9C">
        <w:rPr>
          <w:rFonts w:ascii="Arial" w:hAnsi="Arial" w:cs="Arial"/>
          <w:sz w:val="24"/>
          <w:szCs w:val="24"/>
        </w:rPr>
        <w:t xml:space="preserve"> complex (MAC) lung disease in adults who have limited or no alternative treatment options, as part of a combination antibacterial drug regimen in patients who do not achieve negative sputum cultures after a minimum of 6 consecutive months of a multidrug background regimen therapy.</w:t>
      </w:r>
    </w:p>
    <w:tbl>
      <w:tblPr>
        <w:tblStyle w:val="TableGrid"/>
        <w:tblW w:w="0" w:type="auto"/>
        <w:tblLook w:val="04A0" w:firstRow="1" w:lastRow="0" w:firstColumn="1" w:lastColumn="0" w:noHBand="0" w:noVBand="1"/>
      </w:tblPr>
      <w:tblGrid>
        <w:gridCol w:w="8928"/>
        <w:gridCol w:w="2088"/>
      </w:tblGrid>
      <w:tr w:rsidR="001506C1" w:rsidRPr="00FA3F9C" w14:paraId="697958CE" w14:textId="77777777" w:rsidTr="00571CAB">
        <w:tc>
          <w:tcPr>
            <w:tcW w:w="8928" w:type="dxa"/>
            <w:shd w:val="clear" w:color="auto" w:fill="000000"/>
          </w:tcPr>
          <w:p w14:paraId="641CCD64" w14:textId="77777777" w:rsidR="001506C1" w:rsidRPr="00FA3F9C" w:rsidRDefault="001506C1"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88" w:type="dxa"/>
            <w:shd w:val="clear" w:color="auto" w:fill="000000"/>
          </w:tcPr>
          <w:p w14:paraId="40006040" w14:textId="77777777" w:rsidR="001506C1" w:rsidRPr="00FA3F9C" w:rsidRDefault="001506C1" w:rsidP="006F623F">
            <w:pPr>
              <w:jc w:val="center"/>
              <w:rPr>
                <w:rFonts w:ascii="Arial" w:hAnsi="Arial" w:cs="Arial"/>
                <w:b/>
                <w:sz w:val="24"/>
                <w:szCs w:val="24"/>
                <w:u w:val="single"/>
              </w:rPr>
            </w:pPr>
          </w:p>
        </w:tc>
      </w:tr>
      <w:tr w:rsidR="001506C1" w:rsidRPr="00FA3F9C" w14:paraId="0870CDAD" w14:textId="77777777" w:rsidTr="00F337AE">
        <w:tc>
          <w:tcPr>
            <w:tcW w:w="11016" w:type="dxa"/>
            <w:gridSpan w:val="2"/>
          </w:tcPr>
          <w:p w14:paraId="6F50C3B4" w14:textId="77777777" w:rsidR="001506C1" w:rsidRPr="00FA3F9C" w:rsidRDefault="001506C1" w:rsidP="006F623F">
            <w:pPr>
              <w:rPr>
                <w:rFonts w:ascii="Arial" w:hAnsi="Arial" w:cs="Arial"/>
                <w:sz w:val="24"/>
                <w:szCs w:val="24"/>
              </w:rPr>
            </w:pPr>
            <w:r w:rsidRPr="00FA3F9C">
              <w:rPr>
                <w:rFonts w:ascii="Arial" w:hAnsi="Arial" w:cs="Arial"/>
                <w:sz w:val="24"/>
                <w:szCs w:val="24"/>
              </w:rPr>
              <w:t xml:space="preserve">1. Diagnosis of pulmonary </w:t>
            </w:r>
            <w:proofErr w:type="spellStart"/>
            <w:r w:rsidRPr="00FA3F9C">
              <w:rPr>
                <w:rFonts w:ascii="Arial" w:hAnsi="Arial" w:cs="Arial"/>
                <w:sz w:val="24"/>
                <w:szCs w:val="24"/>
              </w:rPr>
              <w:t>NONtuberculous</w:t>
            </w:r>
            <w:proofErr w:type="spellEnd"/>
            <w:r w:rsidRPr="00FA3F9C">
              <w:rPr>
                <w:rFonts w:ascii="Arial" w:hAnsi="Arial" w:cs="Arial"/>
                <w:sz w:val="24"/>
                <w:szCs w:val="24"/>
              </w:rPr>
              <w:t xml:space="preserve"> (</w:t>
            </w:r>
            <w:r w:rsidRPr="00FA3F9C">
              <w:rPr>
                <w:rFonts w:ascii="Arial" w:hAnsi="Arial" w:cs="Arial"/>
                <w:i/>
                <w:sz w:val="24"/>
                <w:szCs w:val="24"/>
              </w:rPr>
              <w:t>Mycobacterium avium</w:t>
            </w:r>
            <w:r w:rsidRPr="00FA3F9C">
              <w:rPr>
                <w:rFonts w:ascii="Arial" w:hAnsi="Arial" w:cs="Arial"/>
                <w:sz w:val="24"/>
                <w:szCs w:val="24"/>
              </w:rPr>
              <w:t xml:space="preserve"> complex (MAC), or </w:t>
            </w:r>
            <w:r w:rsidRPr="00FA3F9C">
              <w:rPr>
                <w:rFonts w:ascii="Arial" w:hAnsi="Arial" w:cs="Arial"/>
                <w:i/>
                <w:sz w:val="24"/>
                <w:szCs w:val="24"/>
              </w:rPr>
              <w:t xml:space="preserve">Mycobacterium </w:t>
            </w:r>
            <w:proofErr w:type="spellStart"/>
            <w:r w:rsidRPr="00FA3F9C">
              <w:rPr>
                <w:rFonts w:ascii="Arial" w:hAnsi="Arial" w:cs="Arial"/>
                <w:i/>
                <w:sz w:val="24"/>
                <w:szCs w:val="24"/>
              </w:rPr>
              <w:t>abscessus</w:t>
            </w:r>
            <w:proofErr w:type="spellEnd"/>
            <w:r w:rsidRPr="00FA3F9C">
              <w:rPr>
                <w:rFonts w:ascii="Arial" w:hAnsi="Arial" w:cs="Arial"/>
                <w:sz w:val="24"/>
                <w:szCs w:val="24"/>
              </w:rPr>
              <w:t>)</w:t>
            </w:r>
          </w:p>
        </w:tc>
      </w:tr>
      <w:tr w:rsidR="001506C1" w:rsidRPr="00FA3F9C" w14:paraId="0D166A7C" w14:textId="77777777" w:rsidTr="00B1617E">
        <w:tc>
          <w:tcPr>
            <w:tcW w:w="11016" w:type="dxa"/>
            <w:gridSpan w:val="2"/>
          </w:tcPr>
          <w:p w14:paraId="6A8F0DEF" w14:textId="77777777" w:rsidR="001506C1" w:rsidRPr="00FA3F9C" w:rsidRDefault="001506C1" w:rsidP="006F623F">
            <w:pPr>
              <w:rPr>
                <w:rFonts w:ascii="Arial" w:hAnsi="Arial" w:cs="Arial"/>
                <w:sz w:val="24"/>
                <w:szCs w:val="24"/>
              </w:rPr>
            </w:pPr>
            <w:r w:rsidRPr="00FA3F9C">
              <w:rPr>
                <w:rFonts w:ascii="Arial" w:hAnsi="Arial" w:cs="Arial"/>
                <w:sz w:val="24"/>
                <w:szCs w:val="24"/>
              </w:rPr>
              <w:t>2. Patient must have received combination antibacterial drug therapy including a macrolide (clarithromycin or azithromycin), ethambutol, and a rifamycin (rifampin or rifabutin).</w:t>
            </w:r>
          </w:p>
        </w:tc>
      </w:tr>
      <w:tr w:rsidR="001506C1" w:rsidRPr="00FA3F9C" w14:paraId="04DAF368" w14:textId="77777777" w:rsidTr="0010789D">
        <w:tc>
          <w:tcPr>
            <w:tcW w:w="11016" w:type="dxa"/>
            <w:gridSpan w:val="2"/>
          </w:tcPr>
          <w:p w14:paraId="2FFFD6AA" w14:textId="77777777" w:rsidR="001506C1" w:rsidRPr="00FA3F9C" w:rsidRDefault="001506C1" w:rsidP="006F623F">
            <w:pPr>
              <w:rPr>
                <w:rFonts w:ascii="Arial" w:hAnsi="Arial" w:cs="Arial"/>
                <w:sz w:val="24"/>
                <w:szCs w:val="24"/>
              </w:rPr>
            </w:pPr>
            <w:r w:rsidRPr="00FA3F9C">
              <w:rPr>
                <w:rFonts w:ascii="Arial" w:hAnsi="Arial" w:cs="Arial"/>
                <w:sz w:val="24"/>
                <w:szCs w:val="24"/>
              </w:rPr>
              <w:t>3. The patient must have had a failure to convert sputum to AFB culture negative after at least 6 months of the combination therapy (above).</w:t>
            </w:r>
          </w:p>
        </w:tc>
      </w:tr>
      <w:tr w:rsidR="001506C1" w:rsidRPr="00FA3F9C" w14:paraId="6721A110" w14:textId="77777777" w:rsidTr="00DA57E0">
        <w:tc>
          <w:tcPr>
            <w:tcW w:w="11016" w:type="dxa"/>
            <w:gridSpan w:val="2"/>
          </w:tcPr>
          <w:p w14:paraId="5EB8805F" w14:textId="77777777" w:rsidR="001506C1" w:rsidRPr="00FA3F9C" w:rsidRDefault="001506C1" w:rsidP="006F623F">
            <w:pPr>
              <w:rPr>
                <w:rFonts w:ascii="Arial" w:hAnsi="Arial" w:cs="Arial"/>
                <w:sz w:val="24"/>
                <w:szCs w:val="24"/>
              </w:rPr>
            </w:pPr>
            <w:r w:rsidRPr="00FA3F9C">
              <w:rPr>
                <w:rFonts w:ascii="Arial" w:hAnsi="Arial" w:cs="Arial"/>
                <w:sz w:val="24"/>
                <w:szCs w:val="24"/>
              </w:rPr>
              <w:t>4. The patient must have limited or no other treatment options.</w:t>
            </w:r>
          </w:p>
        </w:tc>
      </w:tr>
      <w:tr w:rsidR="001506C1" w:rsidRPr="00FA3F9C" w14:paraId="23AF31E8" w14:textId="77777777" w:rsidTr="00DA57E0">
        <w:tc>
          <w:tcPr>
            <w:tcW w:w="11016" w:type="dxa"/>
            <w:gridSpan w:val="2"/>
          </w:tcPr>
          <w:p w14:paraId="102CD9E0" w14:textId="77777777" w:rsidR="001506C1" w:rsidRPr="00FA3F9C" w:rsidRDefault="001506C1" w:rsidP="006F623F">
            <w:pPr>
              <w:rPr>
                <w:rFonts w:ascii="Arial" w:hAnsi="Arial" w:cs="Arial"/>
                <w:sz w:val="24"/>
                <w:szCs w:val="24"/>
              </w:rPr>
            </w:pPr>
            <w:r w:rsidRPr="00FA3F9C">
              <w:rPr>
                <w:rFonts w:ascii="Arial" w:hAnsi="Arial" w:cs="Arial"/>
                <w:sz w:val="24"/>
                <w:szCs w:val="24"/>
              </w:rPr>
              <w:t>5.  The prescriber must be an infectious disease physician or in be working in coordination with one.</w:t>
            </w:r>
          </w:p>
        </w:tc>
      </w:tr>
      <w:tr w:rsidR="001506C1" w:rsidRPr="00FA3F9C" w14:paraId="725691F0" w14:textId="77777777" w:rsidTr="00E22E90">
        <w:tc>
          <w:tcPr>
            <w:tcW w:w="11016" w:type="dxa"/>
            <w:gridSpan w:val="2"/>
            <w:tcBorders>
              <w:bottom w:val="single" w:sz="4" w:space="0" w:color="auto"/>
            </w:tcBorders>
          </w:tcPr>
          <w:p w14:paraId="131A485B" w14:textId="77777777" w:rsidR="001506C1" w:rsidRPr="00FA3F9C" w:rsidRDefault="001506C1" w:rsidP="006F623F">
            <w:pPr>
              <w:rPr>
                <w:rFonts w:ascii="Arial" w:hAnsi="Arial" w:cs="Arial"/>
                <w:sz w:val="24"/>
                <w:szCs w:val="24"/>
              </w:rPr>
            </w:pPr>
            <w:r w:rsidRPr="00FA3F9C">
              <w:rPr>
                <w:rFonts w:ascii="Arial" w:hAnsi="Arial" w:cs="Arial"/>
                <w:sz w:val="24"/>
                <w:szCs w:val="24"/>
              </w:rPr>
              <w:t>6.  The patient must be 18y or older.</w:t>
            </w:r>
          </w:p>
        </w:tc>
      </w:tr>
      <w:tr w:rsidR="001506C1" w:rsidRPr="00FA3F9C" w14:paraId="1D9D2D33" w14:textId="77777777" w:rsidTr="00E22E90">
        <w:tc>
          <w:tcPr>
            <w:tcW w:w="11016" w:type="dxa"/>
            <w:gridSpan w:val="2"/>
            <w:shd w:val="clear" w:color="auto" w:fill="D9D9D9" w:themeFill="background1" w:themeFillShade="D9"/>
          </w:tcPr>
          <w:p w14:paraId="7E299DF1" w14:textId="77777777" w:rsidR="001506C1" w:rsidRPr="00FA3F9C" w:rsidRDefault="001506C1" w:rsidP="006F623F">
            <w:pPr>
              <w:rPr>
                <w:rFonts w:ascii="Arial" w:hAnsi="Arial" w:cs="Arial"/>
                <w:sz w:val="24"/>
                <w:szCs w:val="24"/>
              </w:rPr>
            </w:pPr>
            <w:r w:rsidRPr="00FA3F9C">
              <w:rPr>
                <w:rFonts w:ascii="Arial" w:hAnsi="Arial" w:cs="Arial"/>
                <w:sz w:val="24"/>
                <w:szCs w:val="24"/>
              </w:rPr>
              <w:t xml:space="preserve">If all 6 criteria above are </w:t>
            </w:r>
            <w:proofErr w:type="spellStart"/>
            <w:r w:rsidRPr="00FA3F9C">
              <w:rPr>
                <w:rFonts w:ascii="Arial" w:hAnsi="Arial" w:cs="Arial"/>
                <w:sz w:val="24"/>
                <w:szCs w:val="24"/>
              </w:rPr>
              <w:t>satisified</w:t>
            </w:r>
            <w:proofErr w:type="spellEnd"/>
            <w:r w:rsidRPr="00FA3F9C">
              <w:rPr>
                <w:rFonts w:ascii="Arial" w:hAnsi="Arial" w:cs="Arial"/>
                <w:sz w:val="24"/>
                <w:szCs w:val="24"/>
              </w:rPr>
              <w:t>, approve for 6 months.</w:t>
            </w:r>
          </w:p>
        </w:tc>
      </w:tr>
    </w:tbl>
    <w:p w14:paraId="31DBC0BD" w14:textId="77777777" w:rsidR="001506C1" w:rsidRPr="00FA3F9C" w:rsidRDefault="001506C1" w:rsidP="006F623F">
      <w:pPr>
        <w:spacing w:after="0"/>
        <w:rPr>
          <w:rFonts w:ascii="Arial" w:hAnsi="Arial" w:cs="Arial"/>
          <w:b/>
          <w:sz w:val="24"/>
          <w:szCs w:val="24"/>
          <w:u w:val="single"/>
        </w:rPr>
      </w:pPr>
    </w:p>
    <w:tbl>
      <w:tblPr>
        <w:tblStyle w:val="TableGrid"/>
        <w:tblW w:w="0" w:type="auto"/>
        <w:tblLook w:val="04A0" w:firstRow="1" w:lastRow="0" w:firstColumn="1" w:lastColumn="0" w:noHBand="0" w:noVBand="1"/>
      </w:tblPr>
      <w:tblGrid>
        <w:gridCol w:w="8748"/>
        <w:gridCol w:w="2042"/>
      </w:tblGrid>
      <w:tr w:rsidR="001506C1" w:rsidRPr="00FA3F9C" w14:paraId="162D4334" w14:textId="77777777" w:rsidTr="00E22E90">
        <w:tc>
          <w:tcPr>
            <w:tcW w:w="8748" w:type="dxa"/>
            <w:shd w:val="clear" w:color="auto" w:fill="000000"/>
          </w:tcPr>
          <w:p w14:paraId="567DE9E0" w14:textId="77777777" w:rsidR="001506C1" w:rsidRPr="00FA3F9C" w:rsidRDefault="001506C1" w:rsidP="00DA30EA">
            <w:pPr>
              <w:rPr>
                <w:rFonts w:ascii="Arial" w:hAnsi="Arial" w:cs="Arial"/>
                <w:b/>
                <w:sz w:val="24"/>
                <w:szCs w:val="24"/>
                <w:u w:val="single"/>
              </w:rPr>
            </w:pPr>
            <w:r w:rsidRPr="00FA3F9C">
              <w:rPr>
                <w:rFonts w:ascii="Arial" w:hAnsi="Arial" w:cs="Arial"/>
                <w:b/>
                <w:sz w:val="24"/>
                <w:szCs w:val="24"/>
                <w:u w:val="single"/>
              </w:rPr>
              <w:t>Criteria for CONTINUATION after 6 months of initial access</w:t>
            </w:r>
          </w:p>
        </w:tc>
        <w:tc>
          <w:tcPr>
            <w:tcW w:w="2042" w:type="dxa"/>
            <w:shd w:val="clear" w:color="auto" w:fill="000000"/>
          </w:tcPr>
          <w:p w14:paraId="378220B3" w14:textId="77777777" w:rsidR="001506C1" w:rsidRPr="00FA3F9C" w:rsidRDefault="001506C1" w:rsidP="00DA30EA">
            <w:pPr>
              <w:jc w:val="center"/>
              <w:rPr>
                <w:rFonts w:ascii="Arial" w:hAnsi="Arial" w:cs="Arial"/>
                <w:b/>
                <w:sz w:val="24"/>
                <w:szCs w:val="24"/>
                <w:u w:val="single"/>
              </w:rPr>
            </w:pPr>
          </w:p>
        </w:tc>
      </w:tr>
      <w:tr w:rsidR="001506C1" w:rsidRPr="00FA3F9C" w14:paraId="4F4C7148" w14:textId="77777777" w:rsidTr="00E22E90">
        <w:tc>
          <w:tcPr>
            <w:tcW w:w="10790" w:type="dxa"/>
            <w:gridSpan w:val="2"/>
          </w:tcPr>
          <w:p w14:paraId="6177E300" w14:textId="77777777" w:rsidR="001506C1" w:rsidRPr="00FA3F9C" w:rsidRDefault="001506C1" w:rsidP="00DA30EA">
            <w:pPr>
              <w:rPr>
                <w:rFonts w:ascii="Arial" w:hAnsi="Arial" w:cs="Arial"/>
                <w:sz w:val="24"/>
                <w:szCs w:val="24"/>
              </w:rPr>
            </w:pPr>
            <w:r w:rsidRPr="00FA3F9C">
              <w:rPr>
                <w:rFonts w:ascii="Arial" w:hAnsi="Arial" w:cs="Arial"/>
                <w:sz w:val="24"/>
                <w:szCs w:val="24"/>
              </w:rPr>
              <w:t xml:space="preserve">1. The patient must have at least 1 negative sputum culture conversion by 6 months of </w:t>
            </w:r>
            <w:proofErr w:type="spellStart"/>
            <w:r w:rsidRPr="00FA3F9C">
              <w:rPr>
                <w:rFonts w:ascii="Arial" w:hAnsi="Arial" w:cs="Arial"/>
                <w:sz w:val="24"/>
                <w:szCs w:val="24"/>
              </w:rPr>
              <w:t>Arikayce</w:t>
            </w:r>
            <w:proofErr w:type="spellEnd"/>
            <w:r w:rsidRPr="00FA3F9C">
              <w:rPr>
                <w:rFonts w:ascii="Arial" w:hAnsi="Arial" w:cs="Arial"/>
                <w:sz w:val="24"/>
                <w:szCs w:val="24"/>
              </w:rPr>
              <w:t xml:space="preserve"> use.</w:t>
            </w:r>
          </w:p>
        </w:tc>
      </w:tr>
      <w:tr w:rsidR="001506C1" w:rsidRPr="00FA3F9C" w14:paraId="78F0DB56" w14:textId="77777777" w:rsidTr="00E22E90">
        <w:tc>
          <w:tcPr>
            <w:tcW w:w="10790" w:type="dxa"/>
            <w:gridSpan w:val="2"/>
            <w:tcBorders>
              <w:bottom w:val="single" w:sz="4" w:space="0" w:color="auto"/>
            </w:tcBorders>
          </w:tcPr>
          <w:p w14:paraId="42A2C1C8" w14:textId="77777777" w:rsidR="001506C1" w:rsidRPr="00FA3F9C" w:rsidRDefault="001506C1" w:rsidP="00DA30EA">
            <w:pPr>
              <w:rPr>
                <w:rFonts w:ascii="Arial" w:hAnsi="Arial" w:cs="Arial"/>
                <w:sz w:val="24"/>
                <w:szCs w:val="24"/>
              </w:rPr>
            </w:pPr>
            <w:r w:rsidRPr="00FA3F9C">
              <w:rPr>
                <w:rFonts w:ascii="Arial" w:hAnsi="Arial" w:cs="Arial"/>
                <w:sz w:val="24"/>
                <w:szCs w:val="24"/>
              </w:rPr>
              <w:t>2. The prescriber must attest to improvement in the patient’s condition.</w:t>
            </w:r>
          </w:p>
        </w:tc>
      </w:tr>
      <w:tr w:rsidR="001506C1" w:rsidRPr="00FA3F9C" w14:paraId="76951612" w14:textId="77777777" w:rsidTr="00E22E90">
        <w:tc>
          <w:tcPr>
            <w:tcW w:w="10790" w:type="dxa"/>
            <w:gridSpan w:val="2"/>
            <w:shd w:val="clear" w:color="auto" w:fill="D9D9D9" w:themeFill="background1" w:themeFillShade="D9"/>
          </w:tcPr>
          <w:p w14:paraId="4B1B6F99" w14:textId="77777777" w:rsidR="001506C1" w:rsidRPr="00FA3F9C" w:rsidRDefault="001506C1" w:rsidP="00DA30EA">
            <w:pPr>
              <w:rPr>
                <w:rFonts w:ascii="Arial" w:hAnsi="Arial" w:cs="Arial"/>
                <w:sz w:val="24"/>
                <w:szCs w:val="24"/>
              </w:rPr>
            </w:pPr>
            <w:r w:rsidRPr="00FA3F9C">
              <w:rPr>
                <w:rFonts w:ascii="Arial" w:hAnsi="Arial" w:cs="Arial"/>
                <w:sz w:val="24"/>
                <w:szCs w:val="24"/>
              </w:rPr>
              <w:t xml:space="preserve">If </w:t>
            </w:r>
            <w:proofErr w:type="gramStart"/>
            <w:r w:rsidRPr="00FA3F9C">
              <w:rPr>
                <w:rFonts w:ascii="Arial" w:hAnsi="Arial" w:cs="Arial"/>
                <w:sz w:val="24"/>
                <w:szCs w:val="24"/>
              </w:rPr>
              <w:t>both of the INITIAL</w:t>
            </w:r>
            <w:proofErr w:type="gramEnd"/>
            <w:r w:rsidRPr="00FA3F9C">
              <w:rPr>
                <w:rFonts w:ascii="Arial" w:hAnsi="Arial" w:cs="Arial"/>
                <w:sz w:val="24"/>
                <w:szCs w:val="24"/>
              </w:rPr>
              <w:t xml:space="preserve"> CONTINUATION criteria are satisfied, approve for 6 months.</w:t>
            </w:r>
          </w:p>
        </w:tc>
      </w:tr>
    </w:tbl>
    <w:p w14:paraId="507CBA68" w14:textId="77777777" w:rsidR="001506C1" w:rsidRPr="00FA3F9C" w:rsidRDefault="001506C1" w:rsidP="006F623F">
      <w:pPr>
        <w:spacing w:after="0"/>
        <w:rPr>
          <w:rFonts w:ascii="Arial" w:hAnsi="Arial" w:cs="Arial"/>
          <w:b/>
          <w:sz w:val="24"/>
          <w:szCs w:val="24"/>
          <w:u w:val="single"/>
        </w:rPr>
      </w:pPr>
    </w:p>
    <w:p w14:paraId="5C080A03"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Quantity Limits: 590mg daily by nebulization.</w:t>
      </w:r>
    </w:p>
    <w:p w14:paraId="3B74F3F3" w14:textId="77777777" w:rsidR="001506C1" w:rsidRPr="00FA3F9C" w:rsidRDefault="001506C1" w:rsidP="006F623F">
      <w:pPr>
        <w:spacing w:after="0"/>
        <w:rPr>
          <w:rFonts w:ascii="Arial" w:hAnsi="Arial" w:cs="Arial"/>
          <w:sz w:val="24"/>
          <w:szCs w:val="24"/>
        </w:rPr>
      </w:pPr>
    </w:p>
    <w:p w14:paraId="10BF8979"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017"/>
        <w:gridCol w:w="7470"/>
        <w:gridCol w:w="2538"/>
      </w:tblGrid>
      <w:tr w:rsidR="001506C1" w:rsidRPr="00FA3F9C" w14:paraId="0E9B7213" w14:textId="77777777" w:rsidTr="00FE491B">
        <w:tc>
          <w:tcPr>
            <w:tcW w:w="1008" w:type="dxa"/>
          </w:tcPr>
          <w:p w14:paraId="1F09926B" w14:textId="77777777" w:rsidR="001506C1" w:rsidRPr="00FA3F9C" w:rsidRDefault="001506C1" w:rsidP="006F623F">
            <w:pPr>
              <w:rPr>
                <w:rFonts w:ascii="Arial" w:hAnsi="Arial" w:cs="Arial"/>
                <w:sz w:val="24"/>
                <w:szCs w:val="24"/>
              </w:rPr>
            </w:pPr>
            <w:r w:rsidRPr="00FA3F9C">
              <w:rPr>
                <w:rFonts w:ascii="Arial" w:hAnsi="Arial" w:cs="Arial"/>
                <w:sz w:val="24"/>
                <w:szCs w:val="24"/>
              </w:rPr>
              <w:t>Date</w:t>
            </w:r>
          </w:p>
        </w:tc>
        <w:tc>
          <w:tcPr>
            <w:tcW w:w="7470" w:type="dxa"/>
          </w:tcPr>
          <w:p w14:paraId="4D42D3D5" w14:textId="77777777" w:rsidR="001506C1" w:rsidRPr="00FA3F9C" w:rsidRDefault="001506C1" w:rsidP="006F623F">
            <w:pPr>
              <w:rPr>
                <w:rFonts w:ascii="Arial" w:hAnsi="Arial" w:cs="Arial"/>
                <w:sz w:val="24"/>
                <w:szCs w:val="24"/>
              </w:rPr>
            </w:pPr>
            <w:r w:rsidRPr="00FA3F9C">
              <w:rPr>
                <w:rFonts w:ascii="Arial" w:hAnsi="Arial" w:cs="Arial"/>
                <w:sz w:val="24"/>
                <w:szCs w:val="24"/>
              </w:rPr>
              <w:t>What changed</w:t>
            </w:r>
          </w:p>
        </w:tc>
        <w:tc>
          <w:tcPr>
            <w:tcW w:w="2538" w:type="dxa"/>
          </w:tcPr>
          <w:p w14:paraId="17C57EBA" w14:textId="77777777" w:rsidR="001506C1" w:rsidRPr="00FA3F9C" w:rsidRDefault="001506C1" w:rsidP="006F623F">
            <w:pPr>
              <w:rPr>
                <w:rFonts w:ascii="Arial" w:hAnsi="Arial" w:cs="Arial"/>
                <w:sz w:val="24"/>
                <w:szCs w:val="24"/>
              </w:rPr>
            </w:pPr>
            <w:r w:rsidRPr="00FA3F9C">
              <w:rPr>
                <w:rFonts w:ascii="Arial" w:hAnsi="Arial" w:cs="Arial"/>
                <w:sz w:val="24"/>
                <w:szCs w:val="24"/>
              </w:rPr>
              <w:t>Pharmacist’s initials</w:t>
            </w:r>
          </w:p>
        </w:tc>
      </w:tr>
      <w:tr w:rsidR="001506C1" w:rsidRPr="00FA3F9C" w14:paraId="7B57B29B" w14:textId="77777777" w:rsidTr="00FE491B">
        <w:tc>
          <w:tcPr>
            <w:tcW w:w="1008" w:type="dxa"/>
          </w:tcPr>
          <w:p w14:paraId="7C7407D5" w14:textId="77777777" w:rsidR="001506C1" w:rsidRPr="00FA3F9C" w:rsidRDefault="001506C1" w:rsidP="006F623F">
            <w:pPr>
              <w:rPr>
                <w:rFonts w:ascii="Arial" w:hAnsi="Arial" w:cs="Arial"/>
                <w:sz w:val="24"/>
                <w:szCs w:val="24"/>
              </w:rPr>
            </w:pPr>
            <w:r w:rsidRPr="00FA3F9C">
              <w:rPr>
                <w:rFonts w:ascii="Arial" w:hAnsi="Arial" w:cs="Arial"/>
                <w:sz w:val="24"/>
                <w:szCs w:val="24"/>
              </w:rPr>
              <w:t>2/10/19</w:t>
            </w:r>
          </w:p>
        </w:tc>
        <w:tc>
          <w:tcPr>
            <w:tcW w:w="7470" w:type="dxa"/>
          </w:tcPr>
          <w:p w14:paraId="0A5D7AC8" w14:textId="77777777" w:rsidR="001506C1" w:rsidRPr="00FA3F9C" w:rsidRDefault="001506C1" w:rsidP="006F623F">
            <w:pPr>
              <w:rPr>
                <w:rFonts w:ascii="Arial" w:hAnsi="Arial" w:cs="Arial"/>
                <w:sz w:val="24"/>
                <w:szCs w:val="24"/>
              </w:rPr>
            </w:pPr>
            <w:r w:rsidRPr="00FA3F9C">
              <w:rPr>
                <w:rFonts w:ascii="Arial" w:hAnsi="Arial" w:cs="Arial"/>
                <w:sz w:val="24"/>
                <w:szCs w:val="24"/>
              </w:rPr>
              <w:t>I wrote the criteria.</w:t>
            </w:r>
          </w:p>
        </w:tc>
        <w:tc>
          <w:tcPr>
            <w:tcW w:w="2538" w:type="dxa"/>
          </w:tcPr>
          <w:p w14:paraId="3F3BFCA2" w14:textId="77777777" w:rsidR="001506C1" w:rsidRPr="00FA3F9C" w:rsidRDefault="001506C1" w:rsidP="006F623F">
            <w:pPr>
              <w:rPr>
                <w:rFonts w:ascii="Arial" w:hAnsi="Arial" w:cs="Arial"/>
                <w:sz w:val="24"/>
                <w:szCs w:val="24"/>
              </w:rPr>
            </w:pPr>
            <w:r w:rsidRPr="00FA3F9C">
              <w:rPr>
                <w:rFonts w:ascii="Arial" w:hAnsi="Arial" w:cs="Arial"/>
                <w:sz w:val="24"/>
                <w:szCs w:val="24"/>
              </w:rPr>
              <w:t>JJ</w:t>
            </w:r>
          </w:p>
        </w:tc>
      </w:tr>
      <w:tr w:rsidR="001506C1" w:rsidRPr="00FA3F9C" w14:paraId="19EF421E" w14:textId="77777777" w:rsidTr="00FE491B">
        <w:tc>
          <w:tcPr>
            <w:tcW w:w="1008" w:type="dxa"/>
          </w:tcPr>
          <w:p w14:paraId="6E6BE9C1" w14:textId="77777777" w:rsidR="001506C1" w:rsidRPr="00FA3F9C" w:rsidRDefault="001506C1" w:rsidP="006F623F">
            <w:pPr>
              <w:rPr>
                <w:rFonts w:ascii="Arial" w:hAnsi="Arial" w:cs="Arial"/>
                <w:sz w:val="24"/>
                <w:szCs w:val="24"/>
              </w:rPr>
            </w:pPr>
            <w:r w:rsidRPr="00FA3F9C">
              <w:rPr>
                <w:rFonts w:ascii="Arial" w:hAnsi="Arial" w:cs="Arial"/>
                <w:sz w:val="24"/>
                <w:szCs w:val="24"/>
              </w:rPr>
              <w:t>3/10/21</w:t>
            </w:r>
          </w:p>
        </w:tc>
        <w:tc>
          <w:tcPr>
            <w:tcW w:w="7470" w:type="dxa"/>
          </w:tcPr>
          <w:p w14:paraId="3CF37E49" w14:textId="77777777" w:rsidR="001506C1" w:rsidRPr="00FA3F9C" w:rsidRDefault="001506C1" w:rsidP="006F623F">
            <w:pPr>
              <w:rPr>
                <w:rFonts w:ascii="Arial" w:hAnsi="Arial" w:cs="Arial"/>
                <w:sz w:val="24"/>
                <w:szCs w:val="24"/>
              </w:rPr>
            </w:pPr>
            <w:r w:rsidRPr="00FA3F9C">
              <w:rPr>
                <w:rFonts w:ascii="Arial" w:hAnsi="Arial" w:cs="Arial"/>
                <w:sz w:val="24"/>
                <w:szCs w:val="24"/>
              </w:rPr>
              <w:t>I added continuation criteria.</w:t>
            </w:r>
          </w:p>
        </w:tc>
        <w:tc>
          <w:tcPr>
            <w:tcW w:w="2538" w:type="dxa"/>
          </w:tcPr>
          <w:p w14:paraId="64408305" w14:textId="77777777" w:rsidR="001506C1" w:rsidRPr="00FA3F9C" w:rsidRDefault="001506C1" w:rsidP="006F623F">
            <w:pPr>
              <w:rPr>
                <w:rFonts w:ascii="Arial" w:hAnsi="Arial" w:cs="Arial"/>
                <w:sz w:val="24"/>
                <w:szCs w:val="24"/>
              </w:rPr>
            </w:pPr>
            <w:r w:rsidRPr="00FA3F9C">
              <w:rPr>
                <w:rFonts w:ascii="Arial" w:hAnsi="Arial" w:cs="Arial"/>
                <w:sz w:val="24"/>
                <w:szCs w:val="24"/>
              </w:rPr>
              <w:t>JJ</w:t>
            </w:r>
          </w:p>
        </w:tc>
      </w:tr>
    </w:tbl>
    <w:p w14:paraId="0AC83093" w14:textId="77777777" w:rsidR="001506C1" w:rsidRPr="00FA3F9C" w:rsidRDefault="001506C1" w:rsidP="006F623F">
      <w:pPr>
        <w:spacing w:after="0"/>
        <w:rPr>
          <w:rFonts w:ascii="Arial" w:hAnsi="Arial" w:cs="Arial"/>
          <w:sz w:val="24"/>
          <w:szCs w:val="24"/>
        </w:rPr>
      </w:pPr>
    </w:p>
    <w:p w14:paraId="3CFC294E"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lastRenderedPageBreak/>
        <w:t>References:</w:t>
      </w:r>
    </w:p>
    <w:p w14:paraId="30C96E21" w14:textId="77777777" w:rsidR="001506C1" w:rsidRPr="00FA3F9C" w:rsidRDefault="001506C1" w:rsidP="00E274B8">
      <w:pPr>
        <w:spacing w:after="0"/>
        <w:rPr>
          <w:rFonts w:ascii="Arial" w:hAnsi="Arial" w:cs="Arial"/>
          <w:sz w:val="24"/>
          <w:szCs w:val="24"/>
        </w:rPr>
      </w:pPr>
      <w:r w:rsidRPr="00FA3F9C">
        <w:rPr>
          <w:rFonts w:ascii="Arial" w:hAnsi="Arial" w:cs="Arial"/>
          <w:sz w:val="24"/>
          <w:szCs w:val="24"/>
        </w:rPr>
        <w:t xml:space="preserve">1. </w:t>
      </w:r>
      <w:hyperlink r:id="rId20" w:history="1">
        <w:r w:rsidRPr="00FA3F9C">
          <w:rPr>
            <w:rStyle w:val="Hyperlink"/>
            <w:rFonts w:ascii="Arial" w:hAnsi="Arial" w:cs="Arial"/>
            <w:sz w:val="24"/>
            <w:szCs w:val="24"/>
          </w:rPr>
          <w:t>https://www.arikayce.com/</w:t>
        </w:r>
      </w:hyperlink>
      <w:r w:rsidRPr="00FA3F9C">
        <w:rPr>
          <w:rFonts w:ascii="Arial" w:hAnsi="Arial" w:cs="Arial"/>
          <w:sz w:val="24"/>
          <w:szCs w:val="24"/>
        </w:rPr>
        <w:t xml:space="preserve">  Prescribing information accessed 2/10/19.</w:t>
      </w:r>
    </w:p>
    <w:p w14:paraId="3A92A4D5" w14:textId="77777777" w:rsidR="001506C1" w:rsidRPr="00FA3F9C" w:rsidRDefault="001506C1" w:rsidP="00E274B8">
      <w:pPr>
        <w:spacing w:after="0"/>
        <w:rPr>
          <w:rFonts w:ascii="Arial" w:eastAsia="Times New Roman" w:hAnsi="Arial" w:cs="Arial"/>
          <w:sz w:val="24"/>
          <w:szCs w:val="24"/>
        </w:rPr>
      </w:pPr>
      <w:r w:rsidRPr="00FA3F9C">
        <w:rPr>
          <w:rFonts w:ascii="Arial" w:hAnsi="Arial" w:cs="Arial"/>
          <w:sz w:val="24"/>
          <w:szCs w:val="24"/>
        </w:rPr>
        <w:t xml:space="preserve">2. </w:t>
      </w:r>
      <w:r w:rsidRPr="00FA3F9C">
        <w:rPr>
          <w:rFonts w:ascii="Arial" w:eastAsia="Times New Roman" w:hAnsi="Arial" w:cs="Arial"/>
          <w:color w:val="222222"/>
          <w:sz w:val="24"/>
          <w:szCs w:val="24"/>
          <w:shd w:val="clear" w:color="auto" w:fill="F8F8F8"/>
        </w:rPr>
        <w:t>Griffith, David E., et al. "An official ATS/IDSA statement: diagnosis, treatment, and prevention of nontuberculous mycobacterial diseases." </w:t>
      </w:r>
      <w:r w:rsidRPr="00FA3F9C">
        <w:rPr>
          <w:rFonts w:ascii="Arial" w:eastAsia="Times New Roman" w:hAnsi="Arial" w:cs="Arial"/>
          <w:i/>
          <w:iCs/>
          <w:color w:val="222222"/>
          <w:sz w:val="24"/>
          <w:szCs w:val="24"/>
          <w:shd w:val="clear" w:color="auto" w:fill="F8F8F8"/>
        </w:rPr>
        <w:t>American journal of respiratory and critical care medicine</w:t>
      </w:r>
      <w:r w:rsidRPr="00FA3F9C">
        <w:rPr>
          <w:rFonts w:ascii="Arial" w:eastAsia="Times New Roman" w:hAnsi="Arial" w:cs="Arial"/>
          <w:color w:val="222222"/>
          <w:sz w:val="24"/>
          <w:szCs w:val="24"/>
          <w:shd w:val="clear" w:color="auto" w:fill="F8F8F8"/>
        </w:rPr>
        <w:t> 175.4 (2007): 367-416.</w:t>
      </w:r>
    </w:p>
    <w:p w14:paraId="26CA45BD" w14:textId="77777777" w:rsidR="001506C1" w:rsidRPr="00FA3F9C" w:rsidRDefault="001506C1" w:rsidP="00E274B8">
      <w:pPr>
        <w:spacing w:after="0"/>
        <w:rPr>
          <w:rFonts w:ascii="Arial" w:eastAsia="Times New Roman" w:hAnsi="Arial" w:cs="Arial"/>
          <w:color w:val="222222"/>
          <w:sz w:val="24"/>
          <w:szCs w:val="24"/>
          <w:shd w:val="clear" w:color="auto" w:fill="F8F8F8"/>
        </w:rPr>
      </w:pPr>
      <w:r w:rsidRPr="00FA3F9C">
        <w:rPr>
          <w:rFonts w:ascii="Arial" w:eastAsia="Times New Roman" w:hAnsi="Arial" w:cs="Arial"/>
          <w:sz w:val="24"/>
          <w:szCs w:val="24"/>
        </w:rPr>
        <w:t xml:space="preserve">3.  </w:t>
      </w:r>
      <w:r w:rsidRPr="00FA3F9C">
        <w:rPr>
          <w:rFonts w:ascii="Arial" w:eastAsia="Times New Roman" w:hAnsi="Arial" w:cs="Arial"/>
          <w:color w:val="222222"/>
          <w:sz w:val="24"/>
          <w:szCs w:val="24"/>
          <w:shd w:val="clear" w:color="auto" w:fill="F8F8F8"/>
        </w:rPr>
        <w:t xml:space="preserve">Griffith, David E., and Timothy R. </w:t>
      </w:r>
      <w:proofErr w:type="spellStart"/>
      <w:r w:rsidRPr="00FA3F9C">
        <w:rPr>
          <w:rFonts w:ascii="Arial" w:eastAsia="Times New Roman" w:hAnsi="Arial" w:cs="Arial"/>
          <w:color w:val="222222"/>
          <w:sz w:val="24"/>
          <w:szCs w:val="24"/>
          <w:shd w:val="clear" w:color="auto" w:fill="F8F8F8"/>
        </w:rPr>
        <w:t>Aksamit</w:t>
      </w:r>
      <w:proofErr w:type="spellEnd"/>
      <w:r w:rsidRPr="00FA3F9C">
        <w:rPr>
          <w:rFonts w:ascii="Arial" w:eastAsia="Times New Roman" w:hAnsi="Arial" w:cs="Arial"/>
          <w:color w:val="222222"/>
          <w:sz w:val="24"/>
          <w:szCs w:val="24"/>
          <w:shd w:val="clear" w:color="auto" w:fill="F8F8F8"/>
        </w:rPr>
        <w:t>. "Therapy of refractory nontuberculous mycobacterial lung disease." </w:t>
      </w:r>
      <w:r w:rsidRPr="00FA3F9C">
        <w:rPr>
          <w:rFonts w:ascii="Arial" w:eastAsia="Times New Roman" w:hAnsi="Arial" w:cs="Arial"/>
          <w:i/>
          <w:iCs/>
          <w:color w:val="222222"/>
          <w:sz w:val="24"/>
          <w:szCs w:val="24"/>
          <w:shd w:val="clear" w:color="auto" w:fill="F8F8F8"/>
        </w:rPr>
        <w:t>Current opinion in infectious diseases</w:t>
      </w:r>
      <w:r w:rsidRPr="00FA3F9C">
        <w:rPr>
          <w:rFonts w:ascii="Arial" w:eastAsia="Times New Roman" w:hAnsi="Arial" w:cs="Arial"/>
          <w:color w:val="222222"/>
          <w:sz w:val="24"/>
          <w:szCs w:val="24"/>
          <w:shd w:val="clear" w:color="auto" w:fill="F8F8F8"/>
        </w:rPr>
        <w:t> 25.2 (2012): 218-227.</w:t>
      </w:r>
    </w:p>
    <w:p w14:paraId="38E22CA4" w14:textId="77777777" w:rsidR="001506C1" w:rsidRPr="00FA3F9C" w:rsidRDefault="001506C1" w:rsidP="00E274B8">
      <w:pPr>
        <w:spacing w:after="0"/>
        <w:rPr>
          <w:rFonts w:ascii="Arial" w:eastAsia="Times New Roman" w:hAnsi="Arial" w:cs="Arial"/>
          <w:sz w:val="24"/>
          <w:szCs w:val="24"/>
        </w:rPr>
      </w:pPr>
      <w:r w:rsidRPr="00FA3F9C">
        <w:rPr>
          <w:rFonts w:ascii="Arial" w:eastAsia="Times New Roman" w:hAnsi="Arial" w:cs="Arial"/>
          <w:sz w:val="24"/>
          <w:szCs w:val="24"/>
        </w:rPr>
        <w:t xml:space="preserve">4.  </w:t>
      </w:r>
      <w:r w:rsidRPr="00FA3F9C">
        <w:rPr>
          <w:rFonts w:ascii="Arial" w:eastAsia="Times New Roman" w:hAnsi="Arial" w:cs="Arial"/>
          <w:color w:val="222222"/>
          <w:sz w:val="24"/>
          <w:szCs w:val="24"/>
          <w:shd w:val="clear" w:color="auto" w:fill="F8F8F8"/>
        </w:rPr>
        <w:t>Olivier, Kenneth N., et al. "Randomized trial of liposomal amikacin for inhalation in nontuberculous mycobacterial lung disease." </w:t>
      </w:r>
      <w:r w:rsidRPr="00FA3F9C">
        <w:rPr>
          <w:rFonts w:ascii="Arial" w:eastAsia="Times New Roman" w:hAnsi="Arial" w:cs="Arial"/>
          <w:i/>
          <w:iCs/>
          <w:color w:val="222222"/>
          <w:sz w:val="24"/>
          <w:szCs w:val="24"/>
          <w:shd w:val="clear" w:color="auto" w:fill="F8F8F8"/>
        </w:rPr>
        <w:t>American journal of respiratory and critical care medicine</w:t>
      </w:r>
      <w:r w:rsidRPr="00FA3F9C">
        <w:rPr>
          <w:rFonts w:ascii="Arial" w:eastAsia="Times New Roman" w:hAnsi="Arial" w:cs="Arial"/>
          <w:color w:val="222222"/>
          <w:sz w:val="24"/>
          <w:szCs w:val="24"/>
          <w:shd w:val="clear" w:color="auto" w:fill="F8F8F8"/>
        </w:rPr>
        <w:t> 195.6 (2017): 814-823.</w:t>
      </w:r>
    </w:p>
    <w:p w14:paraId="57D76645" w14:textId="77777777" w:rsidR="001506C1" w:rsidRPr="00FA3F9C" w:rsidRDefault="001506C1" w:rsidP="00E274B8">
      <w:pPr>
        <w:spacing w:after="0"/>
        <w:rPr>
          <w:rFonts w:ascii="Arial" w:hAnsi="Arial" w:cs="Arial"/>
          <w:sz w:val="24"/>
          <w:szCs w:val="24"/>
        </w:rPr>
      </w:pPr>
    </w:p>
    <w:p w14:paraId="08251A8E" w14:textId="77777777" w:rsidR="001506C1" w:rsidRPr="00FA3F9C" w:rsidRDefault="001506C1" w:rsidP="006F623F">
      <w:pPr>
        <w:spacing w:after="0"/>
        <w:jc w:val="center"/>
        <w:rPr>
          <w:rFonts w:ascii="Arial" w:hAnsi="Arial" w:cs="Arial"/>
          <w:sz w:val="24"/>
          <w:szCs w:val="24"/>
        </w:rPr>
      </w:pPr>
    </w:p>
    <w:p w14:paraId="30B01DA5" w14:textId="77777777" w:rsidR="005005CA" w:rsidRDefault="005005CA">
      <w:pPr>
        <w:rPr>
          <w:rFonts w:ascii="Arial" w:eastAsia="Times New Roman" w:hAnsi="Arial" w:cs="Arial"/>
          <w:b/>
          <w:sz w:val="28"/>
          <w:szCs w:val="20"/>
        </w:rPr>
      </w:pPr>
      <w:bookmarkStart w:id="14" w:name="_Toc106369716"/>
      <w:r>
        <w:br w:type="page"/>
      </w:r>
    </w:p>
    <w:p w14:paraId="12786ECA" w14:textId="156722D6" w:rsidR="001506C1" w:rsidRPr="00FA3F9C" w:rsidRDefault="001506C1" w:rsidP="00CA4C3C">
      <w:pPr>
        <w:pStyle w:val="Heading2"/>
      </w:pPr>
      <w:r w:rsidRPr="00FA3F9C">
        <w:lastRenderedPageBreak/>
        <w:t>Antihemophilic factor (recombinant), pegylated-- (</w:t>
      </w:r>
      <w:proofErr w:type="spellStart"/>
      <w:r w:rsidRPr="00FA3F9C">
        <w:t>Adynovate</w:t>
      </w:r>
      <w:proofErr w:type="spellEnd"/>
      <w:r w:rsidRPr="00FA3F9C">
        <w:t xml:space="preserve">, </w:t>
      </w:r>
      <w:proofErr w:type="spellStart"/>
      <w:r w:rsidRPr="00FA3F9C">
        <w:t>Jivi</w:t>
      </w:r>
      <w:proofErr w:type="spellEnd"/>
      <w:r w:rsidRPr="00FA3F9C">
        <w:t>)</w:t>
      </w:r>
      <w:bookmarkEnd w:id="14"/>
    </w:p>
    <w:p w14:paraId="313EED83" w14:textId="77777777" w:rsidR="001506C1" w:rsidRPr="00FA3F9C" w:rsidRDefault="001506C1" w:rsidP="008E11D1">
      <w:pPr>
        <w:spacing w:after="0"/>
        <w:jc w:val="center"/>
        <w:rPr>
          <w:rFonts w:ascii="Arial" w:hAnsi="Arial" w:cs="Arial"/>
          <w:sz w:val="24"/>
          <w:szCs w:val="24"/>
        </w:rPr>
      </w:pPr>
      <w:r w:rsidRPr="00FA3F9C">
        <w:rPr>
          <w:rFonts w:ascii="Arial" w:hAnsi="Arial" w:cs="Arial"/>
          <w:sz w:val="24"/>
          <w:szCs w:val="24"/>
        </w:rPr>
        <w:t>Factor VIII replacement</w:t>
      </w:r>
    </w:p>
    <w:p w14:paraId="562A81EC" w14:textId="77777777" w:rsidR="001506C1" w:rsidRPr="00FA3F9C" w:rsidRDefault="001506C1" w:rsidP="008E11D1">
      <w:pPr>
        <w:spacing w:after="0"/>
        <w:jc w:val="center"/>
        <w:rPr>
          <w:rFonts w:ascii="Arial" w:hAnsi="Arial" w:cs="Arial"/>
          <w:sz w:val="24"/>
          <w:szCs w:val="24"/>
        </w:rPr>
      </w:pPr>
      <w:proofErr w:type="spellStart"/>
      <w:r w:rsidRPr="00FA3F9C">
        <w:rPr>
          <w:rFonts w:ascii="Arial" w:hAnsi="Arial" w:cs="Arial"/>
          <w:sz w:val="24"/>
          <w:szCs w:val="24"/>
        </w:rPr>
        <w:t>Adynovate</w:t>
      </w:r>
      <w:proofErr w:type="spellEnd"/>
      <w:r w:rsidRPr="00FA3F9C">
        <w:rPr>
          <w:rFonts w:ascii="Arial" w:hAnsi="Arial" w:cs="Arial"/>
          <w:sz w:val="24"/>
          <w:szCs w:val="24"/>
        </w:rPr>
        <w:t>: ~250, ~500, ~750, ~1500, ~2000, ~1000, ~3000 units</w:t>
      </w:r>
    </w:p>
    <w:p w14:paraId="37C71194" w14:textId="77777777" w:rsidR="001506C1" w:rsidRPr="00FA3F9C" w:rsidRDefault="001506C1" w:rsidP="008E11D1">
      <w:pPr>
        <w:spacing w:after="0"/>
        <w:jc w:val="center"/>
        <w:rPr>
          <w:rFonts w:ascii="Arial" w:hAnsi="Arial" w:cs="Arial"/>
          <w:sz w:val="24"/>
          <w:szCs w:val="24"/>
        </w:rPr>
      </w:pPr>
      <w:proofErr w:type="spellStart"/>
      <w:r w:rsidRPr="00FA3F9C">
        <w:rPr>
          <w:rFonts w:ascii="Arial" w:hAnsi="Arial" w:cs="Arial"/>
          <w:sz w:val="24"/>
          <w:szCs w:val="24"/>
        </w:rPr>
        <w:t>Jivi</w:t>
      </w:r>
      <w:proofErr w:type="spellEnd"/>
      <w:r w:rsidRPr="00FA3F9C">
        <w:rPr>
          <w:rFonts w:ascii="Arial" w:hAnsi="Arial" w:cs="Arial"/>
          <w:sz w:val="24"/>
          <w:szCs w:val="24"/>
        </w:rPr>
        <w:t>: ~500, ~1000, ~2000, ~3000 units</w:t>
      </w:r>
    </w:p>
    <w:p w14:paraId="6AFA223F" w14:textId="77777777" w:rsidR="001506C1" w:rsidRPr="00FA3F9C" w:rsidRDefault="001506C1" w:rsidP="006F623F">
      <w:pPr>
        <w:spacing w:after="0"/>
        <w:jc w:val="center"/>
        <w:rPr>
          <w:rFonts w:ascii="Arial" w:hAnsi="Arial" w:cs="Arial"/>
          <w:sz w:val="24"/>
          <w:szCs w:val="24"/>
        </w:rPr>
      </w:pPr>
      <w:r w:rsidRPr="00FA3F9C">
        <w:rPr>
          <w:rFonts w:ascii="Arial" w:hAnsi="Arial" w:cs="Arial"/>
          <w:sz w:val="24"/>
          <w:szCs w:val="24"/>
        </w:rPr>
        <w:t>EBRx PA Criteria</w:t>
      </w:r>
    </w:p>
    <w:p w14:paraId="1900AFAB" w14:textId="77777777" w:rsidR="001506C1" w:rsidRPr="00FA3F9C" w:rsidRDefault="001506C1" w:rsidP="006F623F">
      <w:pPr>
        <w:spacing w:after="0"/>
        <w:rPr>
          <w:rFonts w:ascii="Arial" w:hAnsi="Arial" w:cs="Arial"/>
          <w:b/>
          <w:sz w:val="24"/>
          <w:szCs w:val="24"/>
          <w:u w:val="single"/>
        </w:rPr>
      </w:pPr>
    </w:p>
    <w:p w14:paraId="4A5FF26F" w14:textId="77777777" w:rsidR="001506C1" w:rsidRPr="00FA3F9C" w:rsidRDefault="001506C1" w:rsidP="006F623F">
      <w:pPr>
        <w:spacing w:after="0"/>
        <w:rPr>
          <w:rFonts w:ascii="Arial" w:hAnsi="Arial" w:cs="Arial"/>
          <w:b/>
          <w:sz w:val="24"/>
          <w:szCs w:val="24"/>
          <w:u w:val="single"/>
        </w:rPr>
      </w:pPr>
      <w:r w:rsidRPr="00FA3F9C">
        <w:rPr>
          <w:rFonts w:ascii="Arial" w:hAnsi="Arial" w:cs="Arial"/>
          <w:b/>
          <w:sz w:val="24"/>
          <w:szCs w:val="24"/>
          <w:u w:val="single"/>
        </w:rPr>
        <w:t>is FDA-approved for:</w:t>
      </w:r>
    </w:p>
    <w:p w14:paraId="5DE478D2" w14:textId="77777777" w:rsidR="001506C1" w:rsidRPr="00FA3F9C" w:rsidRDefault="001506C1" w:rsidP="001506C1">
      <w:pPr>
        <w:pStyle w:val="ListParagraph"/>
        <w:numPr>
          <w:ilvl w:val="0"/>
          <w:numId w:val="16"/>
        </w:numPr>
        <w:spacing w:after="0" w:line="276" w:lineRule="auto"/>
        <w:rPr>
          <w:rFonts w:ascii="Arial" w:hAnsi="Arial" w:cs="Arial"/>
          <w:sz w:val="24"/>
          <w:szCs w:val="24"/>
        </w:rPr>
      </w:pPr>
      <w:r w:rsidRPr="00FA3F9C">
        <w:rPr>
          <w:rFonts w:ascii="Arial" w:hAnsi="Arial" w:cs="Arial"/>
          <w:sz w:val="24"/>
          <w:szCs w:val="24"/>
        </w:rPr>
        <w:t>Perioperative management during surgery in adults and children with hemophilia A.</w:t>
      </w:r>
    </w:p>
    <w:p w14:paraId="20FBEABB" w14:textId="77777777" w:rsidR="001506C1" w:rsidRPr="00FA3F9C" w:rsidRDefault="001506C1" w:rsidP="001506C1">
      <w:pPr>
        <w:pStyle w:val="ListParagraph"/>
        <w:numPr>
          <w:ilvl w:val="0"/>
          <w:numId w:val="16"/>
        </w:numPr>
        <w:spacing w:after="0" w:line="276" w:lineRule="auto"/>
        <w:rPr>
          <w:rFonts w:ascii="Arial" w:hAnsi="Arial" w:cs="Arial"/>
          <w:sz w:val="24"/>
          <w:szCs w:val="24"/>
        </w:rPr>
      </w:pPr>
      <w:r w:rsidRPr="00FA3F9C">
        <w:rPr>
          <w:rFonts w:ascii="Arial" w:hAnsi="Arial" w:cs="Arial"/>
          <w:sz w:val="24"/>
          <w:szCs w:val="24"/>
        </w:rPr>
        <w:t>Treatment and control of bleeding episodes on-demand treatment in patients with hemophilia A.</w:t>
      </w:r>
    </w:p>
    <w:p w14:paraId="7B68C49F" w14:textId="77777777" w:rsidR="001506C1" w:rsidRPr="00FA3F9C" w:rsidRDefault="001506C1" w:rsidP="001506C1">
      <w:pPr>
        <w:pStyle w:val="ListParagraph"/>
        <w:numPr>
          <w:ilvl w:val="0"/>
          <w:numId w:val="16"/>
        </w:numPr>
        <w:spacing w:after="0" w:line="276" w:lineRule="auto"/>
        <w:rPr>
          <w:rFonts w:ascii="Arial" w:hAnsi="Arial" w:cs="Arial"/>
          <w:sz w:val="24"/>
          <w:szCs w:val="24"/>
        </w:rPr>
      </w:pPr>
      <w:r w:rsidRPr="00FA3F9C">
        <w:rPr>
          <w:rFonts w:ascii="Arial" w:hAnsi="Arial" w:cs="Arial"/>
          <w:sz w:val="24"/>
          <w:szCs w:val="24"/>
        </w:rPr>
        <w:t xml:space="preserve">Routine prophylaxis to reduce the frequency of bleeding in patients with hemophilia A  </w:t>
      </w:r>
    </w:p>
    <w:p w14:paraId="7D4C0CE8" w14:textId="77777777" w:rsidR="001506C1" w:rsidRPr="00FA3F9C" w:rsidRDefault="001506C1" w:rsidP="001506C1">
      <w:pPr>
        <w:pStyle w:val="ListParagraph"/>
        <w:numPr>
          <w:ilvl w:val="0"/>
          <w:numId w:val="16"/>
        </w:numPr>
        <w:spacing w:after="0" w:line="276" w:lineRule="auto"/>
        <w:rPr>
          <w:rFonts w:ascii="Arial" w:hAnsi="Arial" w:cs="Arial"/>
          <w:sz w:val="24"/>
          <w:szCs w:val="24"/>
        </w:rPr>
      </w:pPr>
      <w:r w:rsidRPr="00FA3F9C">
        <w:rPr>
          <w:rFonts w:ascii="Arial" w:hAnsi="Arial" w:cs="Arial"/>
          <w:sz w:val="24"/>
          <w:szCs w:val="24"/>
        </w:rPr>
        <w:t>IT IS NOT INDICATED FOR THE TREATMENT OF VON WILLEBRAND DISEASE; JIVI is not indicated for previously untreated patients.</w:t>
      </w:r>
    </w:p>
    <w:tbl>
      <w:tblPr>
        <w:tblStyle w:val="TableGrid"/>
        <w:tblW w:w="0" w:type="auto"/>
        <w:tblLook w:val="04A0" w:firstRow="1" w:lastRow="0" w:firstColumn="1" w:lastColumn="0" w:noHBand="0" w:noVBand="1"/>
      </w:tblPr>
      <w:tblGrid>
        <w:gridCol w:w="8928"/>
        <w:gridCol w:w="2088"/>
      </w:tblGrid>
      <w:tr w:rsidR="001506C1" w:rsidRPr="00FA3F9C" w14:paraId="1B6D5292" w14:textId="77777777" w:rsidTr="00571CAB">
        <w:tc>
          <w:tcPr>
            <w:tcW w:w="8928" w:type="dxa"/>
            <w:shd w:val="clear" w:color="auto" w:fill="000000"/>
          </w:tcPr>
          <w:p w14:paraId="699817F1" w14:textId="77777777" w:rsidR="001506C1" w:rsidRPr="00FA3F9C" w:rsidRDefault="001506C1"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88" w:type="dxa"/>
            <w:shd w:val="clear" w:color="auto" w:fill="000000"/>
          </w:tcPr>
          <w:p w14:paraId="0ADB558A" w14:textId="77777777" w:rsidR="001506C1" w:rsidRPr="00FA3F9C" w:rsidRDefault="001506C1" w:rsidP="006F623F">
            <w:pPr>
              <w:jc w:val="center"/>
              <w:rPr>
                <w:rFonts w:ascii="Arial" w:hAnsi="Arial" w:cs="Arial"/>
                <w:b/>
                <w:sz w:val="24"/>
                <w:szCs w:val="24"/>
                <w:u w:val="single"/>
              </w:rPr>
            </w:pPr>
          </w:p>
        </w:tc>
      </w:tr>
      <w:tr w:rsidR="001506C1" w:rsidRPr="00FA3F9C" w14:paraId="07C52013" w14:textId="77777777" w:rsidTr="005079AC">
        <w:tc>
          <w:tcPr>
            <w:tcW w:w="11016" w:type="dxa"/>
            <w:gridSpan w:val="2"/>
          </w:tcPr>
          <w:p w14:paraId="4C0570CC" w14:textId="77777777" w:rsidR="001506C1" w:rsidRPr="00FA3F9C" w:rsidRDefault="001506C1" w:rsidP="006F623F">
            <w:pPr>
              <w:rPr>
                <w:rFonts w:ascii="Arial" w:hAnsi="Arial" w:cs="Arial"/>
                <w:sz w:val="24"/>
                <w:szCs w:val="24"/>
              </w:rPr>
            </w:pPr>
            <w:r w:rsidRPr="00FA3F9C">
              <w:rPr>
                <w:rFonts w:ascii="Arial" w:hAnsi="Arial" w:cs="Arial"/>
                <w:sz w:val="24"/>
                <w:szCs w:val="24"/>
              </w:rPr>
              <w:t>1.  The patient has the diagnosis of hemophilia A (congenital factor VIII deficiency).</w:t>
            </w:r>
          </w:p>
        </w:tc>
      </w:tr>
    </w:tbl>
    <w:p w14:paraId="306C23D6" w14:textId="77777777" w:rsidR="001506C1" w:rsidRPr="00FA3F9C" w:rsidRDefault="001506C1" w:rsidP="006F623F">
      <w:pPr>
        <w:spacing w:after="0"/>
        <w:rPr>
          <w:rFonts w:ascii="Arial" w:hAnsi="Arial" w:cs="Arial"/>
          <w:sz w:val="24"/>
          <w:szCs w:val="24"/>
        </w:rPr>
      </w:pPr>
    </w:p>
    <w:p w14:paraId="3FA7A5A7"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References:</w:t>
      </w:r>
    </w:p>
    <w:p w14:paraId="1D8ADA80"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1. Lexicomp. Antihemophilic Factor (Recombinant [Pegylated]). Accessed 9/24/19.</w:t>
      </w:r>
    </w:p>
    <w:p w14:paraId="72ED2A60" w14:textId="77777777" w:rsidR="001506C1" w:rsidRPr="00FA3F9C" w:rsidRDefault="001506C1" w:rsidP="006F623F">
      <w:pPr>
        <w:spacing w:after="0"/>
        <w:rPr>
          <w:rFonts w:ascii="Arial" w:hAnsi="Arial" w:cs="Arial"/>
          <w:sz w:val="24"/>
          <w:szCs w:val="24"/>
        </w:rPr>
      </w:pPr>
    </w:p>
    <w:p w14:paraId="0F7FA8D4"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017"/>
        <w:gridCol w:w="7470"/>
        <w:gridCol w:w="2538"/>
      </w:tblGrid>
      <w:tr w:rsidR="001506C1" w:rsidRPr="00FA3F9C" w14:paraId="7E2B80AD" w14:textId="77777777" w:rsidTr="00FE491B">
        <w:tc>
          <w:tcPr>
            <w:tcW w:w="1008" w:type="dxa"/>
          </w:tcPr>
          <w:p w14:paraId="2F7C7B8C" w14:textId="77777777" w:rsidR="001506C1" w:rsidRPr="00FA3F9C" w:rsidRDefault="001506C1" w:rsidP="006F623F">
            <w:pPr>
              <w:rPr>
                <w:rFonts w:ascii="Arial" w:hAnsi="Arial" w:cs="Arial"/>
                <w:sz w:val="24"/>
                <w:szCs w:val="24"/>
              </w:rPr>
            </w:pPr>
            <w:r w:rsidRPr="00FA3F9C">
              <w:rPr>
                <w:rFonts w:ascii="Arial" w:hAnsi="Arial" w:cs="Arial"/>
                <w:sz w:val="24"/>
                <w:szCs w:val="24"/>
              </w:rPr>
              <w:t>Date</w:t>
            </w:r>
          </w:p>
        </w:tc>
        <w:tc>
          <w:tcPr>
            <w:tcW w:w="7470" w:type="dxa"/>
          </w:tcPr>
          <w:p w14:paraId="559C7BFB" w14:textId="77777777" w:rsidR="001506C1" w:rsidRPr="00FA3F9C" w:rsidRDefault="001506C1" w:rsidP="006F623F">
            <w:pPr>
              <w:rPr>
                <w:rFonts w:ascii="Arial" w:hAnsi="Arial" w:cs="Arial"/>
                <w:sz w:val="24"/>
                <w:szCs w:val="24"/>
              </w:rPr>
            </w:pPr>
            <w:r w:rsidRPr="00FA3F9C">
              <w:rPr>
                <w:rFonts w:ascii="Arial" w:hAnsi="Arial" w:cs="Arial"/>
                <w:sz w:val="24"/>
                <w:szCs w:val="24"/>
              </w:rPr>
              <w:t>What changed</w:t>
            </w:r>
          </w:p>
        </w:tc>
        <w:tc>
          <w:tcPr>
            <w:tcW w:w="2538" w:type="dxa"/>
          </w:tcPr>
          <w:p w14:paraId="6F4D2904" w14:textId="77777777" w:rsidR="001506C1" w:rsidRPr="00FA3F9C" w:rsidRDefault="001506C1" w:rsidP="006F623F">
            <w:pPr>
              <w:rPr>
                <w:rFonts w:ascii="Arial" w:hAnsi="Arial" w:cs="Arial"/>
                <w:sz w:val="24"/>
                <w:szCs w:val="24"/>
              </w:rPr>
            </w:pPr>
            <w:r w:rsidRPr="00FA3F9C">
              <w:rPr>
                <w:rFonts w:ascii="Arial" w:hAnsi="Arial" w:cs="Arial"/>
                <w:sz w:val="24"/>
                <w:szCs w:val="24"/>
              </w:rPr>
              <w:t>Pharmacist’s initials</w:t>
            </w:r>
          </w:p>
        </w:tc>
      </w:tr>
      <w:tr w:rsidR="001506C1" w:rsidRPr="00FA3F9C" w14:paraId="32A20F44" w14:textId="77777777" w:rsidTr="00FE491B">
        <w:tc>
          <w:tcPr>
            <w:tcW w:w="1008" w:type="dxa"/>
          </w:tcPr>
          <w:p w14:paraId="65F4615C" w14:textId="77777777" w:rsidR="001506C1" w:rsidRPr="00FA3F9C" w:rsidRDefault="001506C1" w:rsidP="006F623F">
            <w:pPr>
              <w:rPr>
                <w:rFonts w:ascii="Arial" w:hAnsi="Arial" w:cs="Arial"/>
                <w:sz w:val="24"/>
                <w:szCs w:val="24"/>
              </w:rPr>
            </w:pPr>
            <w:r w:rsidRPr="00FA3F9C">
              <w:rPr>
                <w:rFonts w:ascii="Arial" w:hAnsi="Arial" w:cs="Arial"/>
                <w:sz w:val="24"/>
                <w:szCs w:val="24"/>
              </w:rPr>
              <w:t>2/5/16</w:t>
            </w:r>
          </w:p>
        </w:tc>
        <w:tc>
          <w:tcPr>
            <w:tcW w:w="7470" w:type="dxa"/>
          </w:tcPr>
          <w:p w14:paraId="6B47F1A4" w14:textId="77777777" w:rsidR="001506C1" w:rsidRPr="00FA3F9C" w:rsidRDefault="001506C1" w:rsidP="006F623F">
            <w:pPr>
              <w:rPr>
                <w:rFonts w:ascii="Arial" w:hAnsi="Arial" w:cs="Arial"/>
                <w:sz w:val="24"/>
                <w:szCs w:val="24"/>
              </w:rPr>
            </w:pPr>
            <w:r w:rsidRPr="00FA3F9C">
              <w:rPr>
                <w:rFonts w:ascii="Arial" w:hAnsi="Arial" w:cs="Arial"/>
                <w:sz w:val="24"/>
                <w:szCs w:val="24"/>
              </w:rPr>
              <w:t>I wrote the criteria.</w:t>
            </w:r>
          </w:p>
        </w:tc>
        <w:tc>
          <w:tcPr>
            <w:tcW w:w="2538" w:type="dxa"/>
          </w:tcPr>
          <w:p w14:paraId="420E1E02" w14:textId="684269CF" w:rsidR="001506C1" w:rsidRPr="00FA3F9C" w:rsidRDefault="005C142D" w:rsidP="006F623F">
            <w:pPr>
              <w:rPr>
                <w:rFonts w:ascii="Arial" w:hAnsi="Arial" w:cs="Arial"/>
                <w:sz w:val="24"/>
                <w:szCs w:val="24"/>
              </w:rPr>
            </w:pPr>
            <w:r w:rsidRPr="00FA3F9C">
              <w:rPr>
                <w:rFonts w:ascii="Arial" w:hAnsi="Arial" w:cs="Arial"/>
                <w:sz w:val="24"/>
                <w:szCs w:val="24"/>
              </w:rPr>
              <w:t>JJ</w:t>
            </w:r>
          </w:p>
        </w:tc>
      </w:tr>
      <w:tr w:rsidR="001506C1" w:rsidRPr="00FA3F9C" w14:paraId="0AED315D" w14:textId="77777777" w:rsidTr="00FE491B">
        <w:tc>
          <w:tcPr>
            <w:tcW w:w="1008" w:type="dxa"/>
          </w:tcPr>
          <w:p w14:paraId="0E3063B2" w14:textId="77777777" w:rsidR="001506C1" w:rsidRPr="00FA3F9C" w:rsidRDefault="001506C1" w:rsidP="006F623F">
            <w:pPr>
              <w:rPr>
                <w:rFonts w:ascii="Arial" w:hAnsi="Arial" w:cs="Arial"/>
                <w:sz w:val="24"/>
                <w:szCs w:val="24"/>
              </w:rPr>
            </w:pPr>
            <w:r w:rsidRPr="00FA3F9C">
              <w:rPr>
                <w:rFonts w:ascii="Arial" w:hAnsi="Arial" w:cs="Arial"/>
                <w:sz w:val="24"/>
                <w:szCs w:val="24"/>
              </w:rPr>
              <w:t>9/24/19</w:t>
            </w:r>
          </w:p>
        </w:tc>
        <w:tc>
          <w:tcPr>
            <w:tcW w:w="7470" w:type="dxa"/>
          </w:tcPr>
          <w:p w14:paraId="716D5BC8" w14:textId="77777777" w:rsidR="001506C1" w:rsidRPr="00FA3F9C" w:rsidRDefault="001506C1" w:rsidP="006F623F">
            <w:pPr>
              <w:rPr>
                <w:rFonts w:ascii="Arial" w:hAnsi="Arial" w:cs="Arial"/>
                <w:sz w:val="24"/>
                <w:szCs w:val="24"/>
              </w:rPr>
            </w:pPr>
            <w:r w:rsidRPr="00FA3F9C">
              <w:rPr>
                <w:rFonts w:ascii="Arial" w:hAnsi="Arial" w:cs="Arial"/>
                <w:sz w:val="24"/>
                <w:szCs w:val="24"/>
              </w:rPr>
              <w:t xml:space="preserve">I revised the criteria and added the information about </w:t>
            </w:r>
            <w:proofErr w:type="spellStart"/>
            <w:r w:rsidRPr="00FA3F9C">
              <w:rPr>
                <w:rFonts w:ascii="Arial" w:hAnsi="Arial" w:cs="Arial"/>
                <w:sz w:val="24"/>
                <w:szCs w:val="24"/>
              </w:rPr>
              <w:t>Jivi</w:t>
            </w:r>
            <w:proofErr w:type="spellEnd"/>
            <w:r w:rsidRPr="00FA3F9C">
              <w:rPr>
                <w:rFonts w:ascii="Arial" w:hAnsi="Arial" w:cs="Arial"/>
                <w:sz w:val="24"/>
                <w:szCs w:val="24"/>
              </w:rPr>
              <w:t>.</w:t>
            </w:r>
          </w:p>
        </w:tc>
        <w:tc>
          <w:tcPr>
            <w:tcW w:w="2538" w:type="dxa"/>
          </w:tcPr>
          <w:p w14:paraId="0B6709BC" w14:textId="3A70C665" w:rsidR="001506C1" w:rsidRPr="00FA3F9C" w:rsidRDefault="005C142D" w:rsidP="006F623F">
            <w:pPr>
              <w:rPr>
                <w:rFonts w:ascii="Arial" w:hAnsi="Arial" w:cs="Arial"/>
                <w:sz w:val="24"/>
                <w:szCs w:val="24"/>
              </w:rPr>
            </w:pPr>
            <w:r w:rsidRPr="00FA3F9C">
              <w:rPr>
                <w:rFonts w:ascii="Arial" w:hAnsi="Arial" w:cs="Arial"/>
                <w:sz w:val="24"/>
                <w:szCs w:val="24"/>
              </w:rPr>
              <w:t>JJ</w:t>
            </w:r>
          </w:p>
        </w:tc>
      </w:tr>
    </w:tbl>
    <w:p w14:paraId="488B7BE0" w14:textId="77777777" w:rsidR="001506C1" w:rsidRPr="00FA3F9C" w:rsidRDefault="001506C1" w:rsidP="006F623F">
      <w:pPr>
        <w:spacing w:after="0"/>
        <w:rPr>
          <w:rFonts w:ascii="Arial" w:hAnsi="Arial" w:cs="Arial"/>
          <w:sz w:val="24"/>
          <w:szCs w:val="24"/>
        </w:rPr>
      </w:pPr>
    </w:p>
    <w:p w14:paraId="2A1C17F8" w14:textId="77777777" w:rsidR="001506C1" w:rsidRPr="00FA3F9C" w:rsidRDefault="001506C1" w:rsidP="006F623F">
      <w:pPr>
        <w:spacing w:after="0"/>
        <w:rPr>
          <w:rFonts w:ascii="Arial" w:hAnsi="Arial" w:cs="Arial"/>
          <w:sz w:val="24"/>
          <w:szCs w:val="24"/>
        </w:rPr>
      </w:pPr>
    </w:p>
    <w:p w14:paraId="6E2AB823" w14:textId="77777777" w:rsidR="005005CA" w:rsidRDefault="005005CA">
      <w:pPr>
        <w:rPr>
          <w:rFonts w:ascii="Arial" w:eastAsia="Times New Roman" w:hAnsi="Arial" w:cs="Arial"/>
          <w:b/>
          <w:sz w:val="28"/>
          <w:szCs w:val="20"/>
        </w:rPr>
      </w:pPr>
      <w:bookmarkStart w:id="15" w:name="_Toc106369717"/>
      <w:r>
        <w:br w:type="page"/>
      </w:r>
    </w:p>
    <w:p w14:paraId="38B19AB6" w14:textId="6F6E1BBB" w:rsidR="00CA4C3C" w:rsidRDefault="001506C1" w:rsidP="00CA4C3C">
      <w:pPr>
        <w:pStyle w:val="Heading2"/>
      </w:pPr>
      <w:r w:rsidRPr="00FA3F9C">
        <w:lastRenderedPageBreak/>
        <w:t>Apalutamide (</w:t>
      </w:r>
      <w:proofErr w:type="spellStart"/>
      <w:r w:rsidRPr="00FA3F9C">
        <w:t>Erleada</w:t>
      </w:r>
      <w:proofErr w:type="spellEnd"/>
      <w:r w:rsidRPr="00FA3F9C">
        <w:t>)</w:t>
      </w:r>
      <w:bookmarkEnd w:id="15"/>
      <w:r w:rsidRPr="00FA3F9C">
        <w:t xml:space="preserve"> </w:t>
      </w:r>
    </w:p>
    <w:p w14:paraId="1B6F29E4" w14:textId="4DC92587" w:rsidR="001506C1" w:rsidRPr="00FA3F9C" w:rsidRDefault="001506C1" w:rsidP="006F623F">
      <w:pPr>
        <w:spacing w:after="0"/>
        <w:jc w:val="center"/>
        <w:rPr>
          <w:rFonts w:ascii="Arial" w:hAnsi="Arial" w:cs="Arial"/>
          <w:sz w:val="24"/>
          <w:szCs w:val="24"/>
        </w:rPr>
      </w:pPr>
      <w:r w:rsidRPr="00FA3F9C">
        <w:rPr>
          <w:rFonts w:ascii="Arial" w:hAnsi="Arial" w:cs="Arial"/>
          <w:sz w:val="24"/>
          <w:szCs w:val="24"/>
        </w:rPr>
        <w:t>60 mg tablets</w:t>
      </w:r>
    </w:p>
    <w:p w14:paraId="12A6D930" w14:textId="77777777" w:rsidR="001506C1" w:rsidRPr="00FA3F9C" w:rsidRDefault="001506C1" w:rsidP="006F623F">
      <w:pPr>
        <w:spacing w:after="0"/>
        <w:jc w:val="center"/>
        <w:rPr>
          <w:rFonts w:ascii="Arial" w:hAnsi="Arial" w:cs="Arial"/>
          <w:sz w:val="24"/>
          <w:szCs w:val="24"/>
        </w:rPr>
      </w:pPr>
      <w:r w:rsidRPr="00FA3F9C">
        <w:rPr>
          <w:rFonts w:ascii="Arial" w:hAnsi="Arial" w:cs="Arial"/>
          <w:sz w:val="24"/>
          <w:szCs w:val="24"/>
        </w:rPr>
        <w:t>EBRx PA Criteria</w:t>
      </w:r>
    </w:p>
    <w:p w14:paraId="25E6B33F" w14:textId="77777777" w:rsidR="001506C1" w:rsidRPr="00FA3F9C" w:rsidRDefault="001506C1" w:rsidP="006F623F">
      <w:pPr>
        <w:spacing w:after="0"/>
        <w:rPr>
          <w:rFonts w:ascii="Arial" w:hAnsi="Arial" w:cs="Arial"/>
          <w:b/>
          <w:sz w:val="24"/>
          <w:szCs w:val="24"/>
          <w:u w:val="single"/>
        </w:rPr>
      </w:pPr>
    </w:p>
    <w:p w14:paraId="1E774331" w14:textId="77777777" w:rsidR="001506C1" w:rsidRPr="00FA3F9C" w:rsidRDefault="001506C1"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w:t>
      </w:r>
    </w:p>
    <w:p w14:paraId="60597754" w14:textId="77777777" w:rsidR="001506C1" w:rsidRPr="00FA3F9C" w:rsidRDefault="001506C1" w:rsidP="001506C1">
      <w:pPr>
        <w:pStyle w:val="ListParagraph"/>
        <w:numPr>
          <w:ilvl w:val="0"/>
          <w:numId w:val="17"/>
        </w:numPr>
        <w:spacing w:after="0" w:line="276" w:lineRule="auto"/>
        <w:rPr>
          <w:rFonts w:ascii="Arial" w:hAnsi="Arial" w:cs="Arial"/>
          <w:sz w:val="24"/>
          <w:szCs w:val="24"/>
        </w:rPr>
      </w:pPr>
      <w:r w:rsidRPr="00FA3F9C">
        <w:rPr>
          <w:rFonts w:ascii="Arial" w:hAnsi="Arial" w:cs="Arial"/>
          <w:sz w:val="24"/>
          <w:szCs w:val="24"/>
        </w:rPr>
        <w:t xml:space="preserve">Treatment of patients with </w:t>
      </w:r>
      <w:r w:rsidRPr="00FA3F9C">
        <w:rPr>
          <w:rFonts w:ascii="Arial" w:hAnsi="Arial" w:cs="Arial"/>
          <w:sz w:val="24"/>
          <w:szCs w:val="24"/>
          <w:u w:val="single"/>
        </w:rPr>
        <w:t>metastatic</w:t>
      </w:r>
      <w:r w:rsidRPr="00FA3F9C">
        <w:rPr>
          <w:rFonts w:ascii="Arial" w:hAnsi="Arial" w:cs="Arial"/>
          <w:sz w:val="24"/>
          <w:szCs w:val="24"/>
        </w:rPr>
        <w:t xml:space="preserve"> castration-</w:t>
      </w:r>
      <w:r w:rsidRPr="00FA3F9C">
        <w:rPr>
          <w:rFonts w:ascii="Arial" w:hAnsi="Arial" w:cs="Arial"/>
          <w:sz w:val="24"/>
          <w:szCs w:val="24"/>
          <w:u w:val="single"/>
        </w:rPr>
        <w:t>sensitive</w:t>
      </w:r>
      <w:r w:rsidRPr="00FA3F9C">
        <w:rPr>
          <w:rFonts w:ascii="Arial" w:hAnsi="Arial" w:cs="Arial"/>
          <w:sz w:val="24"/>
          <w:szCs w:val="24"/>
        </w:rPr>
        <w:t xml:space="preserve"> prostate cancer (</w:t>
      </w:r>
      <w:r w:rsidRPr="00FA3F9C">
        <w:rPr>
          <w:rFonts w:ascii="Arial" w:hAnsi="Arial" w:cs="Arial"/>
          <w:sz w:val="24"/>
          <w:szCs w:val="24"/>
          <w:highlight w:val="yellow"/>
        </w:rPr>
        <w:t>NOT COVERED</w:t>
      </w:r>
      <w:r w:rsidRPr="00FA3F9C">
        <w:rPr>
          <w:rFonts w:ascii="Arial" w:hAnsi="Arial" w:cs="Arial"/>
          <w:sz w:val="24"/>
          <w:szCs w:val="24"/>
        </w:rPr>
        <w:t>-prefer abiraterone due to cost and additional data showing improvement in symptoms)</w:t>
      </w:r>
    </w:p>
    <w:p w14:paraId="6343CB1F" w14:textId="77777777" w:rsidR="001506C1" w:rsidRPr="00FA3F9C" w:rsidRDefault="001506C1" w:rsidP="001506C1">
      <w:pPr>
        <w:pStyle w:val="ListParagraph"/>
        <w:numPr>
          <w:ilvl w:val="1"/>
          <w:numId w:val="17"/>
        </w:numPr>
        <w:spacing w:after="0" w:line="276" w:lineRule="auto"/>
        <w:rPr>
          <w:rFonts w:ascii="Arial" w:hAnsi="Arial" w:cs="Arial"/>
          <w:sz w:val="24"/>
          <w:szCs w:val="24"/>
        </w:rPr>
      </w:pPr>
      <w:r w:rsidRPr="00FA3F9C">
        <w:rPr>
          <w:rFonts w:ascii="Arial" w:hAnsi="Arial" w:cs="Arial"/>
          <w:sz w:val="24"/>
          <w:szCs w:val="24"/>
        </w:rPr>
        <w:t xml:space="preserve">Apalutamide improves overall survival compared to placebo in this setting. However, abiraterone also shows improved overall survival and is less expensive. Therefore, abiraterone is preferred. Reference: </w:t>
      </w:r>
      <w:r w:rsidRPr="00FA3F9C">
        <w:rPr>
          <w:rFonts w:ascii="Arial" w:hAnsi="Arial" w:cs="Arial"/>
          <w:color w:val="212121"/>
          <w:sz w:val="24"/>
          <w:szCs w:val="24"/>
          <w:shd w:val="clear" w:color="auto" w:fill="FFFFFF"/>
        </w:rPr>
        <w:t xml:space="preserve">Chi KN, Agarwal N, </w:t>
      </w:r>
      <w:proofErr w:type="spellStart"/>
      <w:r w:rsidRPr="00FA3F9C">
        <w:rPr>
          <w:rFonts w:ascii="Arial" w:hAnsi="Arial" w:cs="Arial"/>
          <w:color w:val="212121"/>
          <w:sz w:val="24"/>
          <w:szCs w:val="24"/>
          <w:shd w:val="clear" w:color="auto" w:fill="FFFFFF"/>
        </w:rPr>
        <w:t>Bjartell</w:t>
      </w:r>
      <w:proofErr w:type="spellEnd"/>
      <w:r w:rsidRPr="00FA3F9C">
        <w:rPr>
          <w:rFonts w:ascii="Arial" w:hAnsi="Arial" w:cs="Arial"/>
          <w:color w:val="212121"/>
          <w:sz w:val="24"/>
          <w:szCs w:val="24"/>
          <w:shd w:val="clear" w:color="auto" w:fill="FFFFFF"/>
        </w:rPr>
        <w:t xml:space="preserve"> A, et al. Apalutamide for Metastatic, Castration-Sensitive Prostate Cancer. </w:t>
      </w:r>
      <w:r w:rsidRPr="00FA3F9C">
        <w:rPr>
          <w:rFonts w:ascii="Arial" w:hAnsi="Arial" w:cs="Arial"/>
          <w:i/>
          <w:iCs/>
          <w:color w:val="212121"/>
          <w:sz w:val="24"/>
          <w:szCs w:val="24"/>
          <w:shd w:val="clear" w:color="auto" w:fill="FFFFFF"/>
        </w:rPr>
        <w:t xml:space="preserve">N </w:t>
      </w:r>
      <w:proofErr w:type="spellStart"/>
      <w:r w:rsidRPr="00FA3F9C">
        <w:rPr>
          <w:rFonts w:ascii="Arial" w:hAnsi="Arial" w:cs="Arial"/>
          <w:i/>
          <w:iCs/>
          <w:color w:val="212121"/>
          <w:sz w:val="24"/>
          <w:szCs w:val="24"/>
          <w:shd w:val="clear" w:color="auto" w:fill="FFFFFF"/>
        </w:rPr>
        <w:t>Engl</w:t>
      </w:r>
      <w:proofErr w:type="spellEnd"/>
      <w:r w:rsidRPr="00FA3F9C">
        <w:rPr>
          <w:rFonts w:ascii="Arial" w:hAnsi="Arial" w:cs="Arial"/>
          <w:i/>
          <w:iCs/>
          <w:color w:val="212121"/>
          <w:sz w:val="24"/>
          <w:szCs w:val="24"/>
          <w:shd w:val="clear" w:color="auto" w:fill="FFFFFF"/>
        </w:rPr>
        <w:t xml:space="preserve"> J Med</w:t>
      </w:r>
      <w:r w:rsidRPr="00FA3F9C">
        <w:rPr>
          <w:rFonts w:ascii="Arial" w:hAnsi="Arial" w:cs="Arial"/>
          <w:color w:val="212121"/>
          <w:sz w:val="24"/>
          <w:szCs w:val="24"/>
          <w:shd w:val="clear" w:color="auto" w:fill="FFFFFF"/>
        </w:rPr>
        <w:t>. 2019;381(1):13-24. PMID 31150574 NCT02489318</w:t>
      </w:r>
    </w:p>
    <w:p w14:paraId="3AD45CE6" w14:textId="77777777" w:rsidR="001506C1" w:rsidRPr="00FA3F9C" w:rsidRDefault="001506C1" w:rsidP="001506C1">
      <w:pPr>
        <w:pStyle w:val="ListParagraph"/>
        <w:numPr>
          <w:ilvl w:val="0"/>
          <w:numId w:val="17"/>
        </w:numPr>
        <w:spacing w:after="0" w:line="276" w:lineRule="auto"/>
        <w:rPr>
          <w:rFonts w:ascii="Arial" w:hAnsi="Arial" w:cs="Arial"/>
          <w:sz w:val="24"/>
          <w:szCs w:val="24"/>
        </w:rPr>
      </w:pPr>
      <w:r w:rsidRPr="00FA3F9C">
        <w:rPr>
          <w:rFonts w:ascii="Arial" w:hAnsi="Arial" w:cs="Arial"/>
          <w:sz w:val="24"/>
          <w:szCs w:val="24"/>
        </w:rPr>
        <w:t xml:space="preserve">Treatment of patients with </w:t>
      </w:r>
      <w:r w:rsidRPr="00FA3F9C">
        <w:rPr>
          <w:rFonts w:ascii="Arial" w:hAnsi="Arial" w:cs="Arial"/>
          <w:sz w:val="24"/>
          <w:szCs w:val="24"/>
          <w:u w:val="single"/>
        </w:rPr>
        <w:t>non-metastatic</w:t>
      </w:r>
      <w:r w:rsidRPr="00FA3F9C">
        <w:rPr>
          <w:rFonts w:ascii="Arial" w:hAnsi="Arial" w:cs="Arial"/>
          <w:sz w:val="24"/>
          <w:szCs w:val="24"/>
        </w:rPr>
        <w:t xml:space="preserve"> castration-</w:t>
      </w:r>
      <w:r w:rsidRPr="00FA3F9C">
        <w:rPr>
          <w:rFonts w:ascii="Arial" w:hAnsi="Arial" w:cs="Arial"/>
          <w:sz w:val="24"/>
          <w:szCs w:val="24"/>
          <w:u w:val="single"/>
        </w:rPr>
        <w:t>resistant</w:t>
      </w:r>
      <w:r w:rsidRPr="00FA3F9C">
        <w:rPr>
          <w:rFonts w:ascii="Arial" w:hAnsi="Arial" w:cs="Arial"/>
          <w:sz w:val="24"/>
          <w:szCs w:val="24"/>
        </w:rPr>
        <w:t xml:space="preserve"> prostate cancer (CRPC)</w:t>
      </w:r>
    </w:p>
    <w:p w14:paraId="7FFCA7F6" w14:textId="77777777" w:rsidR="001506C1" w:rsidRPr="00FA3F9C" w:rsidRDefault="001506C1" w:rsidP="00C97167">
      <w:pPr>
        <w:spacing w:after="0"/>
        <w:rPr>
          <w:rFonts w:ascii="Arial" w:hAnsi="Arial" w:cs="Arial"/>
          <w:sz w:val="24"/>
          <w:szCs w:val="24"/>
        </w:rPr>
      </w:pPr>
    </w:p>
    <w:p w14:paraId="1AC4825A" w14:textId="77777777" w:rsidR="001506C1" w:rsidRPr="00FA3F9C" w:rsidRDefault="001506C1" w:rsidP="00C97167">
      <w:pPr>
        <w:spacing w:after="0"/>
        <w:rPr>
          <w:rFonts w:ascii="Arial" w:hAnsi="Arial" w:cs="Arial"/>
          <w:sz w:val="24"/>
          <w:szCs w:val="24"/>
        </w:rPr>
      </w:pPr>
      <w:r w:rsidRPr="00FA3F9C">
        <w:rPr>
          <w:rFonts w:ascii="Arial" w:hAnsi="Arial" w:cs="Arial"/>
          <w:sz w:val="24"/>
          <w:szCs w:val="24"/>
        </w:rPr>
        <w:t>Note: CRPC is defined as progression of disease (rising PSA or increase in tumor size on imaging) when testosterone level is &lt;50 ng/dl (due to LHRH antagonist/agonist OR orchiectomy).</w:t>
      </w:r>
    </w:p>
    <w:p w14:paraId="7FC98571" w14:textId="77777777" w:rsidR="001506C1" w:rsidRPr="00FA3F9C" w:rsidRDefault="001506C1" w:rsidP="00C97167">
      <w:pPr>
        <w:spacing w:after="0"/>
        <w:rPr>
          <w:rFonts w:ascii="Arial" w:hAnsi="Arial" w:cs="Arial"/>
          <w:sz w:val="24"/>
          <w:szCs w:val="24"/>
        </w:rPr>
      </w:pPr>
    </w:p>
    <w:tbl>
      <w:tblPr>
        <w:tblStyle w:val="TableGrid"/>
        <w:tblW w:w="0" w:type="auto"/>
        <w:tblLook w:val="04A0" w:firstRow="1" w:lastRow="0" w:firstColumn="1" w:lastColumn="0" w:noHBand="0" w:noVBand="1"/>
      </w:tblPr>
      <w:tblGrid>
        <w:gridCol w:w="8928"/>
        <w:gridCol w:w="2088"/>
      </w:tblGrid>
      <w:tr w:rsidR="001506C1" w:rsidRPr="00FA3F9C" w14:paraId="72DA7814" w14:textId="77777777" w:rsidTr="00571CAB">
        <w:tc>
          <w:tcPr>
            <w:tcW w:w="8928" w:type="dxa"/>
            <w:shd w:val="clear" w:color="auto" w:fill="000000"/>
          </w:tcPr>
          <w:p w14:paraId="71113C94" w14:textId="77777777" w:rsidR="001506C1" w:rsidRPr="00FA3F9C" w:rsidRDefault="001506C1" w:rsidP="00571CAB">
            <w:pPr>
              <w:rPr>
                <w:rFonts w:ascii="Arial" w:hAnsi="Arial" w:cs="Arial"/>
                <w:b/>
                <w:sz w:val="24"/>
                <w:szCs w:val="24"/>
                <w:u w:val="single"/>
              </w:rPr>
            </w:pPr>
            <w:r w:rsidRPr="00FA3F9C">
              <w:rPr>
                <w:rFonts w:ascii="Arial" w:hAnsi="Arial" w:cs="Arial"/>
                <w:b/>
                <w:sz w:val="24"/>
                <w:szCs w:val="24"/>
                <w:u w:val="single"/>
              </w:rPr>
              <w:t>Criteria for new users (non-metastatic CRPC)</w:t>
            </w:r>
          </w:p>
        </w:tc>
        <w:tc>
          <w:tcPr>
            <w:tcW w:w="2088" w:type="dxa"/>
            <w:shd w:val="clear" w:color="auto" w:fill="000000"/>
          </w:tcPr>
          <w:p w14:paraId="3D4DF5C6" w14:textId="77777777" w:rsidR="001506C1" w:rsidRPr="00FA3F9C" w:rsidRDefault="001506C1" w:rsidP="006F623F">
            <w:pPr>
              <w:jc w:val="center"/>
              <w:rPr>
                <w:rFonts w:ascii="Arial" w:hAnsi="Arial" w:cs="Arial"/>
                <w:b/>
                <w:sz w:val="24"/>
                <w:szCs w:val="24"/>
                <w:u w:val="single"/>
              </w:rPr>
            </w:pPr>
          </w:p>
        </w:tc>
      </w:tr>
      <w:tr w:rsidR="001506C1" w:rsidRPr="00FA3F9C" w14:paraId="50F9BC21" w14:textId="77777777" w:rsidTr="00F337AE">
        <w:tc>
          <w:tcPr>
            <w:tcW w:w="11016" w:type="dxa"/>
            <w:gridSpan w:val="2"/>
          </w:tcPr>
          <w:p w14:paraId="423D9E96" w14:textId="77777777" w:rsidR="001506C1" w:rsidRPr="00FA3F9C" w:rsidRDefault="001506C1" w:rsidP="00C97167">
            <w:pPr>
              <w:rPr>
                <w:rFonts w:ascii="Arial" w:hAnsi="Arial" w:cs="Arial"/>
                <w:sz w:val="24"/>
                <w:szCs w:val="24"/>
              </w:rPr>
            </w:pPr>
            <w:r w:rsidRPr="00FA3F9C">
              <w:rPr>
                <w:rFonts w:ascii="Arial" w:hAnsi="Arial" w:cs="Arial"/>
                <w:sz w:val="24"/>
                <w:szCs w:val="24"/>
              </w:rPr>
              <w:t>Diagnosis of prostate cancer without evidence of metastatic disease</w:t>
            </w:r>
          </w:p>
        </w:tc>
      </w:tr>
      <w:tr w:rsidR="001506C1" w:rsidRPr="00FA3F9C" w14:paraId="4D7D87FD" w14:textId="77777777" w:rsidTr="00B1617E">
        <w:tc>
          <w:tcPr>
            <w:tcW w:w="11016" w:type="dxa"/>
            <w:gridSpan w:val="2"/>
          </w:tcPr>
          <w:p w14:paraId="17B31D73" w14:textId="77777777" w:rsidR="001506C1" w:rsidRPr="00FA3F9C" w:rsidRDefault="001506C1" w:rsidP="00C97167">
            <w:pPr>
              <w:rPr>
                <w:rFonts w:ascii="Arial" w:hAnsi="Arial" w:cs="Arial"/>
                <w:sz w:val="24"/>
                <w:szCs w:val="24"/>
              </w:rPr>
            </w:pPr>
            <w:r w:rsidRPr="00FA3F9C">
              <w:rPr>
                <w:rFonts w:ascii="Arial" w:hAnsi="Arial" w:cs="Arial"/>
                <w:sz w:val="24"/>
                <w:szCs w:val="24"/>
              </w:rPr>
              <w:t>The patient has castrate level of testosterone (&lt;50 ng/dl)</w:t>
            </w:r>
          </w:p>
        </w:tc>
      </w:tr>
      <w:tr w:rsidR="001506C1" w:rsidRPr="00FA3F9C" w14:paraId="4261D1F3" w14:textId="77777777" w:rsidTr="0010789D">
        <w:tc>
          <w:tcPr>
            <w:tcW w:w="11016" w:type="dxa"/>
            <w:gridSpan w:val="2"/>
          </w:tcPr>
          <w:p w14:paraId="63D6CC20" w14:textId="77777777" w:rsidR="001506C1" w:rsidRPr="00FA3F9C" w:rsidRDefault="001506C1" w:rsidP="00C97167">
            <w:pPr>
              <w:rPr>
                <w:rFonts w:ascii="Arial" w:hAnsi="Arial" w:cs="Arial"/>
                <w:sz w:val="24"/>
                <w:szCs w:val="24"/>
              </w:rPr>
            </w:pPr>
            <w:r w:rsidRPr="00FA3F9C">
              <w:rPr>
                <w:rFonts w:ascii="Arial" w:hAnsi="Arial" w:cs="Arial"/>
                <w:sz w:val="24"/>
                <w:szCs w:val="24"/>
              </w:rPr>
              <w:t>PSA doubling time is &lt;/= 10 months</w:t>
            </w:r>
          </w:p>
        </w:tc>
      </w:tr>
      <w:tr w:rsidR="001506C1" w:rsidRPr="00FA3F9C" w14:paraId="0FB64E42" w14:textId="77777777" w:rsidTr="00DA57E0">
        <w:tc>
          <w:tcPr>
            <w:tcW w:w="11016" w:type="dxa"/>
            <w:gridSpan w:val="2"/>
          </w:tcPr>
          <w:p w14:paraId="3DC02773" w14:textId="77777777" w:rsidR="001506C1" w:rsidRPr="00FA3F9C" w:rsidRDefault="001506C1" w:rsidP="00C97167">
            <w:pPr>
              <w:rPr>
                <w:rFonts w:ascii="Arial" w:hAnsi="Arial" w:cs="Arial"/>
                <w:sz w:val="24"/>
                <w:szCs w:val="24"/>
              </w:rPr>
            </w:pPr>
            <w:r w:rsidRPr="00FA3F9C">
              <w:rPr>
                <w:rFonts w:ascii="Arial" w:hAnsi="Arial" w:cs="Arial"/>
                <w:sz w:val="24"/>
                <w:szCs w:val="24"/>
              </w:rPr>
              <w:t>Minimum of three rising PSA values at an interval of at least 1 week apart</w:t>
            </w:r>
          </w:p>
        </w:tc>
      </w:tr>
      <w:tr w:rsidR="001506C1" w:rsidRPr="00FA3F9C" w14:paraId="6B933707" w14:textId="77777777" w:rsidTr="00DA57E0">
        <w:tc>
          <w:tcPr>
            <w:tcW w:w="11016" w:type="dxa"/>
            <w:gridSpan w:val="2"/>
          </w:tcPr>
          <w:p w14:paraId="5FE4E788" w14:textId="77777777" w:rsidR="001506C1" w:rsidRPr="00FA3F9C" w:rsidRDefault="001506C1" w:rsidP="00C97167">
            <w:pPr>
              <w:rPr>
                <w:rFonts w:ascii="Arial" w:hAnsi="Arial" w:cs="Arial"/>
                <w:sz w:val="24"/>
                <w:szCs w:val="24"/>
              </w:rPr>
            </w:pPr>
            <w:r w:rsidRPr="00FA3F9C">
              <w:rPr>
                <w:rFonts w:ascii="Arial" w:hAnsi="Arial" w:cs="Arial"/>
                <w:sz w:val="24"/>
                <w:szCs w:val="24"/>
              </w:rPr>
              <w:t>At time of first request, PSA is 2 ng/ml or greater</w:t>
            </w:r>
          </w:p>
        </w:tc>
      </w:tr>
      <w:tr w:rsidR="001506C1" w:rsidRPr="00FA3F9C" w14:paraId="3137BF00" w14:textId="77777777" w:rsidTr="00DA57E0">
        <w:tc>
          <w:tcPr>
            <w:tcW w:w="11016" w:type="dxa"/>
            <w:gridSpan w:val="2"/>
          </w:tcPr>
          <w:p w14:paraId="09B2F398" w14:textId="77777777" w:rsidR="001506C1" w:rsidRPr="00FA3F9C" w:rsidRDefault="001506C1" w:rsidP="00C97167">
            <w:pPr>
              <w:rPr>
                <w:rFonts w:ascii="Arial" w:hAnsi="Arial" w:cs="Arial"/>
                <w:sz w:val="24"/>
                <w:szCs w:val="24"/>
              </w:rPr>
            </w:pPr>
            <w:r w:rsidRPr="00FA3F9C">
              <w:rPr>
                <w:rFonts w:ascii="Arial" w:hAnsi="Arial" w:cs="Arial"/>
                <w:b/>
                <w:sz w:val="24"/>
                <w:szCs w:val="24"/>
              </w:rPr>
              <w:t xml:space="preserve">If </w:t>
            </w:r>
            <w:proofErr w:type="gramStart"/>
            <w:r w:rsidRPr="00FA3F9C">
              <w:rPr>
                <w:rFonts w:ascii="Arial" w:hAnsi="Arial" w:cs="Arial"/>
                <w:b/>
                <w:sz w:val="24"/>
                <w:szCs w:val="24"/>
              </w:rPr>
              <w:t>all of</w:t>
            </w:r>
            <w:proofErr w:type="gramEnd"/>
            <w:r w:rsidRPr="00FA3F9C">
              <w:rPr>
                <w:rFonts w:ascii="Arial" w:hAnsi="Arial" w:cs="Arial"/>
                <w:b/>
                <w:sz w:val="24"/>
                <w:szCs w:val="24"/>
              </w:rPr>
              <w:t xml:space="preserve"> the above criteria are met, approve for 1 year</w:t>
            </w:r>
          </w:p>
        </w:tc>
      </w:tr>
      <w:tr w:rsidR="001506C1" w:rsidRPr="00FA3F9C" w14:paraId="08028611" w14:textId="77777777" w:rsidTr="00C97167">
        <w:tc>
          <w:tcPr>
            <w:tcW w:w="11016" w:type="dxa"/>
            <w:gridSpan w:val="2"/>
            <w:shd w:val="clear" w:color="auto" w:fill="BFBFBF" w:themeFill="background1" w:themeFillShade="BF"/>
          </w:tcPr>
          <w:p w14:paraId="42A71FFE" w14:textId="77777777" w:rsidR="001506C1" w:rsidRPr="00FA3F9C" w:rsidRDefault="001506C1" w:rsidP="00C97167">
            <w:pPr>
              <w:rPr>
                <w:rFonts w:ascii="Arial" w:hAnsi="Arial" w:cs="Arial"/>
                <w:b/>
                <w:sz w:val="24"/>
                <w:szCs w:val="24"/>
              </w:rPr>
            </w:pPr>
            <w:r w:rsidRPr="00FA3F9C">
              <w:rPr>
                <w:rFonts w:ascii="Arial" w:hAnsi="Arial" w:cs="Arial"/>
                <w:b/>
                <w:sz w:val="24"/>
                <w:szCs w:val="24"/>
              </w:rPr>
              <w:t>Notes:</w:t>
            </w:r>
          </w:p>
          <w:p w14:paraId="20832792" w14:textId="77777777" w:rsidR="001506C1" w:rsidRPr="00FA3F9C" w:rsidRDefault="001506C1" w:rsidP="00C97167">
            <w:pPr>
              <w:rPr>
                <w:rFonts w:ascii="Arial" w:hAnsi="Arial" w:cs="Arial"/>
                <w:sz w:val="24"/>
                <w:szCs w:val="24"/>
              </w:rPr>
            </w:pPr>
            <w:r w:rsidRPr="00FA3F9C">
              <w:rPr>
                <w:rFonts w:ascii="Arial" w:hAnsi="Arial" w:cs="Arial"/>
                <w:sz w:val="24"/>
                <w:szCs w:val="24"/>
              </w:rPr>
              <w:t xml:space="preserve">Apalutamide was compared to placebo in men with castration resistant prostate cancer WITHOUT metastasis. Time to development of metastasis or death was longer with apalutamide (40.5 </w:t>
            </w:r>
            <w:proofErr w:type="spellStart"/>
            <w:r w:rsidRPr="00FA3F9C">
              <w:rPr>
                <w:rFonts w:ascii="Arial" w:hAnsi="Arial" w:cs="Arial"/>
                <w:sz w:val="24"/>
                <w:szCs w:val="24"/>
              </w:rPr>
              <w:t>mo</w:t>
            </w:r>
            <w:proofErr w:type="spellEnd"/>
            <w:r w:rsidRPr="00FA3F9C">
              <w:rPr>
                <w:rFonts w:ascii="Arial" w:hAnsi="Arial" w:cs="Arial"/>
                <w:sz w:val="24"/>
                <w:szCs w:val="24"/>
              </w:rPr>
              <w:t xml:space="preserve">) compared with placebo (16.2 </w:t>
            </w:r>
            <w:proofErr w:type="spellStart"/>
            <w:r w:rsidRPr="00FA3F9C">
              <w:rPr>
                <w:rFonts w:ascii="Arial" w:hAnsi="Arial" w:cs="Arial"/>
                <w:sz w:val="24"/>
                <w:szCs w:val="24"/>
              </w:rPr>
              <w:t>mo</w:t>
            </w:r>
            <w:proofErr w:type="spellEnd"/>
            <w:r w:rsidRPr="00FA3F9C">
              <w:rPr>
                <w:rFonts w:ascii="Arial" w:hAnsi="Arial" w:cs="Arial"/>
                <w:sz w:val="24"/>
                <w:szCs w:val="24"/>
              </w:rPr>
              <w:t>).  Enzalutamide is also approved for this indication.</w:t>
            </w:r>
            <w:r w:rsidRPr="00FA3F9C">
              <w:rPr>
                <w:rFonts w:ascii="Arial" w:hAnsi="Arial" w:cs="Arial"/>
                <w:sz w:val="24"/>
                <w:szCs w:val="24"/>
                <w:vertAlign w:val="superscript"/>
              </w:rPr>
              <w:t>1</w:t>
            </w:r>
            <w:r w:rsidRPr="00FA3F9C">
              <w:rPr>
                <w:rFonts w:ascii="Arial" w:hAnsi="Arial" w:cs="Arial"/>
                <w:sz w:val="24"/>
                <w:szCs w:val="24"/>
              </w:rPr>
              <w:t xml:space="preserve"> In an updated analysis (52 </w:t>
            </w:r>
            <w:proofErr w:type="spellStart"/>
            <w:r w:rsidRPr="00FA3F9C">
              <w:rPr>
                <w:rFonts w:ascii="Arial" w:hAnsi="Arial" w:cs="Arial"/>
                <w:sz w:val="24"/>
                <w:szCs w:val="24"/>
              </w:rPr>
              <w:t>mo</w:t>
            </w:r>
            <w:proofErr w:type="spellEnd"/>
            <w:r w:rsidRPr="00FA3F9C">
              <w:rPr>
                <w:rFonts w:ascii="Arial" w:hAnsi="Arial" w:cs="Arial"/>
                <w:sz w:val="24"/>
                <w:szCs w:val="24"/>
              </w:rPr>
              <w:t xml:space="preserve"> f/u), median overall survival was improved in the apalutamide group (73.9 </w:t>
            </w:r>
            <w:proofErr w:type="spellStart"/>
            <w:r w:rsidRPr="00FA3F9C">
              <w:rPr>
                <w:rFonts w:ascii="Arial" w:hAnsi="Arial" w:cs="Arial"/>
                <w:sz w:val="24"/>
                <w:szCs w:val="24"/>
              </w:rPr>
              <w:t>mo</w:t>
            </w:r>
            <w:proofErr w:type="spellEnd"/>
            <w:r w:rsidRPr="00FA3F9C">
              <w:rPr>
                <w:rFonts w:ascii="Arial" w:hAnsi="Arial" w:cs="Arial"/>
                <w:sz w:val="24"/>
                <w:szCs w:val="24"/>
              </w:rPr>
              <w:t xml:space="preserve"> vs 59.9mo; HR 0.784; p=0.016).</w:t>
            </w:r>
            <w:r w:rsidRPr="00FA3F9C">
              <w:rPr>
                <w:rFonts w:ascii="Arial" w:hAnsi="Arial" w:cs="Arial"/>
                <w:sz w:val="24"/>
                <w:szCs w:val="24"/>
                <w:vertAlign w:val="superscript"/>
              </w:rPr>
              <w:t>2</w:t>
            </w:r>
            <w:r w:rsidRPr="00FA3F9C">
              <w:rPr>
                <w:rFonts w:ascii="Arial" w:hAnsi="Arial" w:cs="Arial"/>
                <w:sz w:val="24"/>
                <w:szCs w:val="24"/>
              </w:rPr>
              <w:t xml:space="preserve"> </w:t>
            </w:r>
          </w:p>
          <w:p w14:paraId="6291CCC6" w14:textId="77777777" w:rsidR="001506C1" w:rsidRPr="00FA3F9C" w:rsidRDefault="001506C1" w:rsidP="00C97167">
            <w:pPr>
              <w:rPr>
                <w:rFonts w:ascii="Arial" w:hAnsi="Arial" w:cs="Arial"/>
                <w:sz w:val="24"/>
                <w:szCs w:val="24"/>
              </w:rPr>
            </w:pPr>
          </w:p>
          <w:p w14:paraId="0E69C5BD" w14:textId="77777777" w:rsidR="001506C1" w:rsidRPr="00FA3F9C" w:rsidRDefault="001506C1" w:rsidP="005422A1">
            <w:pPr>
              <w:rPr>
                <w:rFonts w:ascii="Arial" w:hAnsi="Arial" w:cs="Arial"/>
                <w:sz w:val="24"/>
                <w:szCs w:val="24"/>
              </w:rPr>
            </w:pPr>
            <w:r w:rsidRPr="00FA3F9C">
              <w:rPr>
                <w:rFonts w:ascii="Arial" w:hAnsi="Arial" w:cs="Arial"/>
                <w:sz w:val="24"/>
                <w:szCs w:val="24"/>
              </w:rPr>
              <w:lastRenderedPageBreak/>
              <w:t xml:space="preserve">Two meta-analyses indicate an improvement in overall survival compared to placebo when the results of apalutamide, enzalutamide, and </w:t>
            </w:r>
            <w:proofErr w:type="spellStart"/>
            <w:r w:rsidRPr="00FA3F9C">
              <w:rPr>
                <w:rFonts w:ascii="Arial" w:hAnsi="Arial" w:cs="Arial"/>
                <w:sz w:val="24"/>
                <w:szCs w:val="24"/>
              </w:rPr>
              <w:t>darolutamide</w:t>
            </w:r>
            <w:proofErr w:type="spellEnd"/>
            <w:r w:rsidRPr="00FA3F9C">
              <w:rPr>
                <w:rFonts w:ascii="Arial" w:hAnsi="Arial" w:cs="Arial"/>
                <w:sz w:val="24"/>
                <w:szCs w:val="24"/>
              </w:rPr>
              <w:t xml:space="preserve"> studies were pooled </w:t>
            </w:r>
            <w:r w:rsidRPr="00FA3F9C">
              <w:rPr>
                <w:rFonts w:ascii="Arial" w:hAnsi="Arial" w:cs="Arial"/>
                <w:sz w:val="24"/>
                <w:szCs w:val="24"/>
                <w:vertAlign w:val="superscript"/>
              </w:rPr>
              <w:t xml:space="preserve">3,4 </w:t>
            </w:r>
            <w:r w:rsidRPr="00FA3F9C">
              <w:rPr>
                <w:rFonts w:ascii="Arial" w:hAnsi="Arial" w:cs="Arial"/>
                <w:sz w:val="24"/>
                <w:szCs w:val="24"/>
              </w:rPr>
              <w:t xml:space="preserve">Another meta-analysis found that the three drugs had similar overall survival to each other. </w:t>
            </w:r>
            <w:proofErr w:type="spellStart"/>
            <w:r w:rsidRPr="00FA3F9C">
              <w:rPr>
                <w:rFonts w:ascii="Arial" w:hAnsi="Arial" w:cs="Arial"/>
                <w:sz w:val="24"/>
                <w:szCs w:val="24"/>
              </w:rPr>
              <w:t>Darolutamide</w:t>
            </w:r>
            <w:proofErr w:type="spellEnd"/>
            <w:r w:rsidRPr="00FA3F9C">
              <w:rPr>
                <w:rFonts w:ascii="Arial" w:hAnsi="Arial" w:cs="Arial"/>
                <w:sz w:val="24"/>
                <w:szCs w:val="24"/>
              </w:rPr>
              <w:t xml:space="preserve"> may have a more favorable toxicity profile.</w:t>
            </w:r>
            <w:r w:rsidRPr="00FA3F9C">
              <w:rPr>
                <w:rFonts w:ascii="Arial" w:hAnsi="Arial" w:cs="Arial"/>
                <w:sz w:val="24"/>
                <w:szCs w:val="24"/>
                <w:vertAlign w:val="superscript"/>
              </w:rPr>
              <w:t xml:space="preserve">5  </w:t>
            </w:r>
          </w:p>
          <w:p w14:paraId="0AD3962A" w14:textId="77777777" w:rsidR="001506C1" w:rsidRPr="00FA3F9C" w:rsidRDefault="001506C1" w:rsidP="005422A1">
            <w:pPr>
              <w:rPr>
                <w:rFonts w:ascii="Arial" w:hAnsi="Arial" w:cs="Arial"/>
                <w:sz w:val="24"/>
                <w:szCs w:val="24"/>
              </w:rPr>
            </w:pPr>
          </w:p>
          <w:p w14:paraId="72348D11" w14:textId="77777777" w:rsidR="001506C1" w:rsidRPr="00FA3F9C" w:rsidRDefault="001506C1" w:rsidP="005422A1">
            <w:pPr>
              <w:rPr>
                <w:rFonts w:ascii="Arial" w:hAnsi="Arial" w:cs="Arial"/>
                <w:sz w:val="24"/>
                <w:szCs w:val="24"/>
              </w:rPr>
            </w:pPr>
            <w:r w:rsidRPr="00FA3F9C">
              <w:rPr>
                <w:rFonts w:ascii="Arial" w:hAnsi="Arial" w:cs="Arial"/>
                <w:sz w:val="24"/>
                <w:szCs w:val="24"/>
              </w:rPr>
              <w:t xml:space="preserve">Although it is not an absolute contraindication, patients with history of or predisposition to seizures were NOT allowed in this study. These patients WERE allowed in the </w:t>
            </w:r>
            <w:proofErr w:type="spellStart"/>
            <w:r w:rsidRPr="00FA3F9C">
              <w:rPr>
                <w:rFonts w:ascii="Arial" w:hAnsi="Arial" w:cs="Arial"/>
                <w:sz w:val="24"/>
                <w:szCs w:val="24"/>
              </w:rPr>
              <w:t>darolutamide</w:t>
            </w:r>
            <w:proofErr w:type="spellEnd"/>
            <w:r w:rsidRPr="00FA3F9C">
              <w:rPr>
                <w:rFonts w:ascii="Arial" w:hAnsi="Arial" w:cs="Arial"/>
                <w:sz w:val="24"/>
                <w:szCs w:val="24"/>
              </w:rPr>
              <w:t xml:space="preserve"> study.</w:t>
            </w:r>
          </w:p>
          <w:p w14:paraId="6514ADC6" w14:textId="77777777" w:rsidR="001506C1" w:rsidRPr="00FA3F9C" w:rsidRDefault="001506C1" w:rsidP="00C97167">
            <w:pPr>
              <w:rPr>
                <w:rFonts w:ascii="Arial" w:hAnsi="Arial" w:cs="Arial"/>
                <w:sz w:val="24"/>
                <w:szCs w:val="24"/>
              </w:rPr>
            </w:pPr>
          </w:p>
          <w:p w14:paraId="655B74A5" w14:textId="77777777" w:rsidR="001506C1" w:rsidRPr="00FA3F9C" w:rsidRDefault="001506C1" w:rsidP="00C97167">
            <w:pPr>
              <w:rPr>
                <w:rFonts w:ascii="Arial" w:hAnsi="Arial" w:cs="Arial"/>
                <w:sz w:val="24"/>
                <w:szCs w:val="24"/>
              </w:rPr>
            </w:pPr>
            <w:r w:rsidRPr="00FA3F9C">
              <w:rPr>
                <w:rFonts w:ascii="Arial" w:hAnsi="Arial" w:cs="Arial"/>
                <w:sz w:val="24"/>
                <w:szCs w:val="24"/>
              </w:rPr>
              <w:t xml:space="preserve">Criteria developed with guidance of study protocol located at </w:t>
            </w:r>
            <w:hyperlink r:id="rId21" w:history="1">
              <w:r w:rsidRPr="00FA3F9C">
                <w:rPr>
                  <w:rStyle w:val="Hyperlink"/>
                  <w:rFonts w:ascii="Arial" w:hAnsi="Arial" w:cs="Arial"/>
                  <w:sz w:val="24"/>
                  <w:szCs w:val="24"/>
                </w:rPr>
                <w:t>https://www.nejm.org/doi/suppl/10.1056/NEJMoa1715546/suppl_file/nejmoa1715546_protocol.pdf</w:t>
              </w:r>
            </w:hyperlink>
            <w:r w:rsidRPr="00FA3F9C">
              <w:rPr>
                <w:rFonts w:ascii="Arial" w:hAnsi="Arial" w:cs="Arial"/>
                <w:sz w:val="24"/>
                <w:szCs w:val="24"/>
              </w:rPr>
              <w:t xml:space="preserve"> (accessed 3/18/19).</w:t>
            </w:r>
          </w:p>
          <w:p w14:paraId="0096D77B" w14:textId="77777777" w:rsidR="001506C1" w:rsidRPr="00FA3F9C" w:rsidRDefault="001506C1" w:rsidP="00C97167">
            <w:pPr>
              <w:rPr>
                <w:rFonts w:ascii="Arial" w:hAnsi="Arial" w:cs="Arial"/>
                <w:sz w:val="24"/>
                <w:szCs w:val="24"/>
              </w:rPr>
            </w:pPr>
          </w:p>
          <w:p w14:paraId="35D52EA0" w14:textId="77777777" w:rsidR="001506C1" w:rsidRPr="00FA3F9C" w:rsidRDefault="001506C1" w:rsidP="00C97167">
            <w:pPr>
              <w:rPr>
                <w:rFonts w:ascii="Arial" w:hAnsi="Arial" w:cs="Arial"/>
                <w:sz w:val="24"/>
                <w:szCs w:val="24"/>
              </w:rPr>
            </w:pPr>
            <w:r w:rsidRPr="00FA3F9C">
              <w:rPr>
                <w:rFonts w:ascii="Arial" w:hAnsi="Arial" w:cs="Arial"/>
                <w:sz w:val="24"/>
                <w:szCs w:val="24"/>
              </w:rPr>
              <w:t>Dose: 240 mg PO once daily until progression of disease or unacceptable toxicity.</w:t>
            </w:r>
          </w:p>
          <w:p w14:paraId="4E6A78A8" w14:textId="77777777" w:rsidR="001506C1" w:rsidRPr="00FA3F9C" w:rsidRDefault="001506C1" w:rsidP="00C97167">
            <w:pPr>
              <w:rPr>
                <w:rFonts w:ascii="Arial" w:hAnsi="Arial" w:cs="Arial"/>
                <w:sz w:val="24"/>
                <w:szCs w:val="24"/>
              </w:rPr>
            </w:pPr>
          </w:p>
          <w:p w14:paraId="65A3A3BD" w14:textId="77777777" w:rsidR="001506C1" w:rsidRPr="00FA3F9C" w:rsidRDefault="001506C1" w:rsidP="00C97167">
            <w:pPr>
              <w:rPr>
                <w:rFonts w:ascii="Arial" w:hAnsi="Arial" w:cs="Arial"/>
                <w:sz w:val="24"/>
                <w:szCs w:val="24"/>
              </w:rPr>
            </w:pPr>
            <w:r w:rsidRPr="00FA3F9C">
              <w:rPr>
                <w:rFonts w:ascii="Arial" w:hAnsi="Arial" w:cs="Arial"/>
                <w:sz w:val="24"/>
                <w:szCs w:val="24"/>
              </w:rPr>
              <w:t>REFERENCE:</w:t>
            </w:r>
          </w:p>
          <w:p w14:paraId="51CD7A47" w14:textId="77777777" w:rsidR="001506C1" w:rsidRPr="00FA3F9C" w:rsidRDefault="001506C1" w:rsidP="00C97167">
            <w:pPr>
              <w:spacing w:after="160" w:line="259" w:lineRule="auto"/>
              <w:rPr>
                <w:rFonts w:ascii="Arial" w:hAnsi="Arial" w:cs="Arial"/>
                <w:sz w:val="24"/>
                <w:szCs w:val="24"/>
              </w:rPr>
            </w:pPr>
            <w:r w:rsidRPr="00FA3F9C">
              <w:rPr>
                <w:rFonts w:ascii="Arial" w:hAnsi="Arial" w:cs="Arial"/>
                <w:sz w:val="24"/>
                <w:szCs w:val="24"/>
              </w:rPr>
              <w:t xml:space="preserve">1. Smith MR et al. </w:t>
            </w:r>
            <w:r w:rsidRPr="00FA3F9C">
              <w:rPr>
                <w:rStyle w:val="titledefault"/>
                <w:rFonts w:ascii="Arial" w:hAnsi="Arial" w:cs="Arial"/>
                <w:color w:val="1A1A1A"/>
                <w:sz w:val="24"/>
                <w:szCs w:val="24"/>
                <w:lang w:val="en"/>
              </w:rPr>
              <w:t xml:space="preserve">Apalutamide Treatment and Metastasis-free Survival in Prostate Cancer. </w:t>
            </w:r>
            <w:r w:rsidRPr="00FA3F9C">
              <w:rPr>
                <w:rFonts w:ascii="Arial" w:hAnsi="Arial" w:cs="Arial"/>
                <w:sz w:val="24"/>
                <w:szCs w:val="24"/>
              </w:rPr>
              <w:t>NEJM. 2018 Apr 12;378(15):1408-1418. [NCT01946204, PMID 29420164]</w:t>
            </w:r>
          </w:p>
          <w:p w14:paraId="52D8CFDB" w14:textId="77777777" w:rsidR="001506C1" w:rsidRPr="00FA3F9C" w:rsidRDefault="001506C1" w:rsidP="00C97167">
            <w:pPr>
              <w:spacing w:after="160" w:line="259" w:lineRule="auto"/>
              <w:rPr>
                <w:rFonts w:ascii="Arial" w:hAnsi="Arial" w:cs="Arial"/>
                <w:sz w:val="24"/>
                <w:szCs w:val="24"/>
              </w:rPr>
            </w:pPr>
            <w:r w:rsidRPr="00FA3F9C">
              <w:rPr>
                <w:rFonts w:ascii="Arial" w:hAnsi="Arial" w:cs="Arial"/>
                <w:sz w:val="24"/>
                <w:szCs w:val="24"/>
              </w:rPr>
              <w:t>2. Small EJ et al. Final survival results from SPARTAN, a phase III study of apalutamide (APA) versus placebo (PBO) in patients (pts) with nonmetastatic castration-resistant prostate cancer (</w:t>
            </w:r>
            <w:proofErr w:type="spellStart"/>
            <w:r w:rsidRPr="00FA3F9C">
              <w:rPr>
                <w:rFonts w:ascii="Arial" w:hAnsi="Arial" w:cs="Arial"/>
                <w:sz w:val="24"/>
                <w:szCs w:val="24"/>
              </w:rPr>
              <w:t>nmCRPC</w:t>
            </w:r>
            <w:proofErr w:type="spellEnd"/>
            <w:r w:rsidRPr="00FA3F9C">
              <w:rPr>
                <w:rFonts w:ascii="Arial" w:hAnsi="Arial" w:cs="Arial"/>
                <w:sz w:val="24"/>
                <w:szCs w:val="24"/>
              </w:rPr>
              <w:t xml:space="preserve">). </w:t>
            </w:r>
            <w:r w:rsidRPr="00FA3F9C">
              <w:rPr>
                <w:rFonts w:ascii="Arial" w:hAnsi="Arial" w:cs="Arial"/>
                <w:color w:val="000000"/>
                <w:sz w:val="24"/>
                <w:szCs w:val="24"/>
              </w:rPr>
              <w:t xml:space="preserve">J Clin Oncol 38: 2020 (suppl; </w:t>
            </w:r>
            <w:proofErr w:type="spellStart"/>
            <w:r w:rsidRPr="00FA3F9C">
              <w:rPr>
                <w:rFonts w:ascii="Arial" w:hAnsi="Arial" w:cs="Arial"/>
                <w:color w:val="000000"/>
                <w:sz w:val="24"/>
                <w:szCs w:val="24"/>
              </w:rPr>
              <w:t>abstr</w:t>
            </w:r>
            <w:proofErr w:type="spellEnd"/>
            <w:r w:rsidRPr="00FA3F9C">
              <w:rPr>
                <w:rFonts w:ascii="Arial" w:hAnsi="Arial" w:cs="Arial"/>
                <w:color w:val="000000"/>
                <w:sz w:val="24"/>
                <w:szCs w:val="24"/>
              </w:rPr>
              <w:t xml:space="preserve"> 5516). </w:t>
            </w:r>
            <w:hyperlink r:id="rId22" w:history="1">
              <w:r w:rsidRPr="00FA3F9C">
                <w:rPr>
                  <w:rStyle w:val="Hyperlink"/>
                  <w:rFonts w:ascii="Arial" w:hAnsi="Arial" w:cs="Arial"/>
                  <w:sz w:val="24"/>
                  <w:szCs w:val="24"/>
                </w:rPr>
                <w:t>https://meetinglibrary.asco.org/record/187437/abstract</w:t>
              </w:r>
            </w:hyperlink>
            <w:r w:rsidRPr="00FA3F9C">
              <w:rPr>
                <w:rFonts w:ascii="Arial" w:hAnsi="Arial" w:cs="Arial"/>
                <w:sz w:val="24"/>
                <w:szCs w:val="24"/>
              </w:rPr>
              <w:t>. Accessed 6/16/2020.</w:t>
            </w:r>
          </w:p>
          <w:p w14:paraId="62AAEB22" w14:textId="77777777" w:rsidR="001506C1" w:rsidRPr="00FA3F9C" w:rsidRDefault="001506C1" w:rsidP="00C97167">
            <w:pPr>
              <w:spacing w:after="160" w:line="259" w:lineRule="auto"/>
              <w:rPr>
                <w:rFonts w:ascii="Arial" w:hAnsi="Arial" w:cs="Arial"/>
                <w:sz w:val="24"/>
                <w:szCs w:val="24"/>
              </w:rPr>
            </w:pPr>
            <w:r w:rsidRPr="00500371">
              <w:rPr>
                <w:rFonts w:ascii="Arial" w:hAnsi="Arial" w:cs="Arial"/>
                <w:sz w:val="24"/>
                <w:szCs w:val="24"/>
                <w:lang w:val="fr-FR"/>
              </w:rPr>
              <w:t xml:space="preserve">3. Di </w:t>
            </w:r>
            <w:proofErr w:type="spellStart"/>
            <w:r w:rsidRPr="00500371">
              <w:rPr>
                <w:rFonts w:ascii="Arial" w:hAnsi="Arial" w:cs="Arial"/>
                <w:sz w:val="24"/>
                <w:szCs w:val="24"/>
                <w:lang w:val="fr-FR"/>
              </w:rPr>
              <w:t>Nunno</w:t>
            </w:r>
            <w:proofErr w:type="spellEnd"/>
            <w:r w:rsidRPr="00500371">
              <w:rPr>
                <w:rFonts w:ascii="Arial" w:hAnsi="Arial" w:cs="Arial"/>
                <w:sz w:val="24"/>
                <w:szCs w:val="24"/>
                <w:lang w:val="fr-FR"/>
              </w:rPr>
              <w:t xml:space="preserve"> V et al. </w:t>
            </w:r>
            <w:r w:rsidRPr="00FA3F9C">
              <w:rPr>
                <w:rFonts w:ascii="Arial" w:hAnsi="Arial" w:cs="Arial"/>
                <w:sz w:val="24"/>
                <w:szCs w:val="24"/>
              </w:rPr>
              <w:t xml:space="preserve">New Hormonal Agents in Patients </w:t>
            </w:r>
            <w:proofErr w:type="gramStart"/>
            <w:r w:rsidRPr="00FA3F9C">
              <w:rPr>
                <w:rFonts w:ascii="Arial" w:hAnsi="Arial" w:cs="Arial"/>
                <w:sz w:val="24"/>
                <w:szCs w:val="24"/>
              </w:rPr>
              <w:t>With</w:t>
            </w:r>
            <w:proofErr w:type="gramEnd"/>
            <w:r w:rsidRPr="00FA3F9C">
              <w:rPr>
                <w:rFonts w:ascii="Arial" w:hAnsi="Arial" w:cs="Arial"/>
                <w:sz w:val="24"/>
                <w:szCs w:val="24"/>
              </w:rPr>
              <w:t xml:space="preserve"> Nonmetastatic Castration-Resistant Prostate Cancer: Meta-Analysis of Efficacy and Safety Outcomes. Clin </w:t>
            </w:r>
            <w:proofErr w:type="spellStart"/>
            <w:r w:rsidRPr="00FA3F9C">
              <w:rPr>
                <w:rFonts w:ascii="Arial" w:hAnsi="Arial" w:cs="Arial"/>
                <w:sz w:val="24"/>
                <w:szCs w:val="24"/>
              </w:rPr>
              <w:t>Genitourin</w:t>
            </w:r>
            <w:proofErr w:type="spellEnd"/>
            <w:r w:rsidRPr="00FA3F9C">
              <w:rPr>
                <w:rFonts w:ascii="Arial" w:hAnsi="Arial" w:cs="Arial"/>
                <w:sz w:val="24"/>
                <w:szCs w:val="24"/>
              </w:rPr>
              <w:t xml:space="preserve"> Cancer. 2019 Jul 8. </w:t>
            </w:r>
            <w:proofErr w:type="spellStart"/>
            <w:r w:rsidRPr="00FA3F9C">
              <w:rPr>
                <w:rFonts w:ascii="Arial" w:hAnsi="Arial" w:cs="Arial"/>
                <w:sz w:val="24"/>
                <w:szCs w:val="24"/>
              </w:rPr>
              <w:t>pii</w:t>
            </w:r>
            <w:proofErr w:type="spellEnd"/>
            <w:r w:rsidRPr="00FA3F9C">
              <w:rPr>
                <w:rFonts w:ascii="Arial" w:hAnsi="Arial" w:cs="Arial"/>
                <w:sz w:val="24"/>
                <w:szCs w:val="24"/>
              </w:rPr>
              <w:t xml:space="preserve">: S1558-7673(19)30207-1. </w:t>
            </w:r>
            <w:proofErr w:type="spellStart"/>
            <w:r w:rsidRPr="00FA3F9C">
              <w:rPr>
                <w:rFonts w:ascii="Arial" w:hAnsi="Arial" w:cs="Arial"/>
                <w:sz w:val="24"/>
                <w:szCs w:val="24"/>
              </w:rPr>
              <w:t>doi</w:t>
            </w:r>
            <w:proofErr w:type="spellEnd"/>
            <w:r w:rsidRPr="00FA3F9C">
              <w:rPr>
                <w:rFonts w:ascii="Arial" w:hAnsi="Arial" w:cs="Arial"/>
                <w:sz w:val="24"/>
                <w:szCs w:val="24"/>
              </w:rPr>
              <w:t>: 10.1016/j.clgc.2019.07.001. [</w:t>
            </w:r>
            <w:proofErr w:type="spellStart"/>
            <w:r w:rsidRPr="00FA3F9C">
              <w:rPr>
                <w:rFonts w:ascii="Arial" w:hAnsi="Arial" w:cs="Arial"/>
                <w:sz w:val="24"/>
                <w:szCs w:val="24"/>
              </w:rPr>
              <w:t>Epub</w:t>
            </w:r>
            <w:proofErr w:type="spellEnd"/>
            <w:r w:rsidRPr="00FA3F9C">
              <w:rPr>
                <w:rFonts w:ascii="Arial" w:hAnsi="Arial" w:cs="Arial"/>
                <w:sz w:val="24"/>
                <w:szCs w:val="24"/>
              </w:rPr>
              <w:t xml:space="preserve"> ahead of print] PMID 31378578</w:t>
            </w:r>
          </w:p>
          <w:p w14:paraId="520B6ABE" w14:textId="77777777" w:rsidR="001506C1" w:rsidRPr="00FA3F9C" w:rsidRDefault="001506C1" w:rsidP="00C97167">
            <w:pPr>
              <w:spacing w:after="160" w:line="259" w:lineRule="auto"/>
              <w:rPr>
                <w:rFonts w:ascii="Arial" w:hAnsi="Arial" w:cs="Arial"/>
                <w:sz w:val="24"/>
                <w:szCs w:val="24"/>
              </w:rPr>
            </w:pPr>
            <w:r w:rsidRPr="00FA3F9C">
              <w:rPr>
                <w:rFonts w:ascii="Arial" w:hAnsi="Arial" w:cs="Arial"/>
                <w:sz w:val="24"/>
                <w:szCs w:val="24"/>
                <w:lang w:val="fr-FR"/>
              </w:rPr>
              <w:t xml:space="preserve">4. </w:t>
            </w:r>
            <w:proofErr w:type="spellStart"/>
            <w:r w:rsidRPr="00FA3F9C">
              <w:rPr>
                <w:rFonts w:ascii="Arial" w:hAnsi="Arial" w:cs="Arial"/>
                <w:sz w:val="24"/>
                <w:szCs w:val="24"/>
                <w:lang w:val="fr-FR"/>
              </w:rPr>
              <w:t>Hird</w:t>
            </w:r>
            <w:proofErr w:type="spellEnd"/>
            <w:r w:rsidRPr="00FA3F9C">
              <w:rPr>
                <w:rFonts w:ascii="Arial" w:hAnsi="Arial" w:cs="Arial"/>
                <w:sz w:val="24"/>
                <w:szCs w:val="24"/>
                <w:lang w:val="fr-FR"/>
              </w:rPr>
              <w:t xml:space="preserve"> AE, Magee DE, </w:t>
            </w:r>
            <w:proofErr w:type="spellStart"/>
            <w:r w:rsidRPr="00FA3F9C">
              <w:rPr>
                <w:rFonts w:ascii="Arial" w:hAnsi="Arial" w:cs="Arial"/>
                <w:sz w:val="24"/>
                <w:szCs w:val="24"/>
                <w:lang w:val="fr-FR"/>
              </w:rPr>
              <w:t>Bhindi</w:t>
            </w:r>
            <w:proofErr w:type="spellEnd"/>
            <w:r w:rsidRPr="00FA3F9C">
              <w:rPr>
                <w:rFonts w:ascii="Arial" w:hAnsi="Arial" w:cs="Arial"/>
                <w:sz w:val="24"/>
                <w:szCs w:val="24"/>
                <w:lang w:val="fr-FR"/>
              </w:rPr>
              <w:t xml:space="preserve"> B, et al. </w:t>
            </w:r>
            <w:r w:rsidRPr="00FA3F9C">
              <w:rPr>
                <w:rFonts w:ascii="Arial" w:hAnsi="Arial" w:cs="Arial"/>
                <w:sz w:val="24"/>
                <w:szCs w:val="24"/>
              </w:rPr>
              <w:t xml:space="preserve">A Systematic Review and Network Meta-analysis of Novel Androgen Receptor Inhibitors in Non-metastatic Castration-resistant Prostate Cancer [published online ahead of print, 2020 Mar 6]. Clin </w:t>
            </w:r>
            <w:proofErr w:type="spellStart"/>
            <w:r w:rsidRPr="00FA3F9C">
              <w:rPr>
                <w:rFonts w:ascii="Arial" w:hAnsi="Arial" w:cs="Arial"/>
                <w:sz w:val="24"/>
                <w:szCs w:val="24"/>
              </w:rPr>
              <w:t>Genitourin</w:t>
            </w:r>
            <w:proofErr w:type="spellEnd"/>
            <w:r w:rsidRPr="00FA3F9C">
              <w:rPr>
                <w:rFonts w:ascii="Arial" w:hAnsi="Arial" w:cs="Arial"/>
                <w:sz w:val="24"/>
                <w:szCs w:val="24"/>
              </w:rPr>
              <w:t xml:space="preserve"> Cancer. 2020;S1558-7673(20)30039-2. PMID 32278840</w:t>
            </w:r>
          </w:p>
          <w:p w14:paraId="1B0ACA60" w14:textId="77777777" w:rsidR="001506C1" w:rsidRPr="00FA3F9C" w:rsidRDefault="001506C1" w:rsidP="00C97167">
            <w:pPr>
              <w:spacing w:after="160" w:line="259" w:lineRule="auto"/>
              <w:rPr>
                <w:rFonts w:ascii="Arial" w:hAnsi="Arial" w:cs="Arial"/>
                <w:sz w:val="24"/>
                <w:szCs w:val="24"/>
              </w:rPr>
            </w:pPr>
            <w:r w:rsidRPr="00FA3F9C">
              <w:rPr>
                <w:rFonts w:ascii="Arial" w:hAnsi="Arial" w:cs="Arial"/>
                <w:sz w:val="24"/>
                <w:szCs w:val="24"/>
              </w:rPr>
              <w:lastRenderedPageBreak/>
              <w:t xml:space="preserve">5. Mori, Keiichiro, et al. "Apalutamide, enzalutamide, and </w:t>
            </w:r>
            <w:proofErr w:type="spellStart"/>
            <w:r w:rsidRPr="00FA3F9C">
              <w:rPr>
                <w:rFonts w:ascii="Arial" w:hAnsi="Arial" w:cs="Arial"/>
                <w:sz w:val="24"/>
                <w:szCs w:val="24"/>
              </w:rPr>
              <w:t>darolutamide</w:t>
            </w:r>
            <w:proofErr w:type="spellEnd"/>
            <w:r w:rsidRPr="00FA3F9C">
              <w:rPr>
                <w:rFonts w:ascii="Arial" w:hAnsi="Arial" w:cs="Arial"/>
                <w:sz w:val="24"/>
                <w:szCs w:val="24"/>
              </w:rPr>
              <w:t xml:space="preserve"> for non-metastatic castration-resistant prostate cancer: a systematic review and network meta-analysis." International journal of clinical oncology (2020): 1-9.</w:t>
            </w:r>
          </w:p>
        </w:tc>
      </w:tr>
    </w:tbl>
    <w:p w14:paraId="63DDEEB3" w14:textId="77777777" w:rsidR="001506C1" w:rsidRPr="00FA3F9C" w:rsidRDefault="001506C1" w:rsidP="006F623F">
      <w:pPr>
        <w:spacing w:after="0"/>
        <w:rPr>
          <w:rFonts w:ascii="Arial" w:hAnsi="Arial" w:cs="Arial"/>
          <w:b/>
          <w:sz w:val="24"/>
          <w:szCs w:val="24"/>
          <w:u w:val="single"/>
        </w:rPr>
      </w:pPr>
    </w:p>
    <w:p w14:paraId="541B2F87" w14:textId="77777777" w:rsidR="001506C1" w:rsidRPr="00FA3F9C" w:rsidRDefault="001506C1" w:rsidP="006F623F">
      <w:pPr>
        <w:spacing w:after="0"/>
        <w:rPr>
          <w:rFonts w:ascii="Arial" w:hAnsi="Arial" w:cs="Arial"/>
          <w:b/>
          <w:sz w:val="24"/>
          <w:szCs w:val="24"/>
          <w:u w:val="single"/>
        </w:rPr>
      </w:pPr>
    </w:p>
    <w:p w14:paraId="31FB3A77" w14:textId="77777777" w:rsidR="001506C1" w:rsidRPr="00FA3F9C" w:rsidRDefault="001506C1" w:rsidP="006F623F">
      <w:pPr>
        <w:spacing w:after="0"/>
        <w:rPr>
          <w:rFonts w:ascii="Arial" w:hAnsi="Arial" w:cs="Arial"/>
          <w:b/>
          <w:sz w:val="24"/>
          <w:szCs w:val="24"/>
          <w:u w:val="single"/>
        </w:rPr>
      </w:pPr>
    </w:p>
    <w:p w14:paraId="0DFEBAB4" w14:textId="77777777" w:rsidR="001506C1" w:rsidRPr="00FA3F9C" w:rsidRDefault="001506C1" w:rsidP="006F623F">
      <w:pPr>
        <w:spacing w:after="0"/>
        <w:rPr>
          <w:rFonts w:ascii="Arial" w:hAnsi="Arial" w:cs="Arial"/>
          <w:sz w:val="24"/>
          <w:szCs w:val="24"/>
        </w:rPr>
      </w:pPr>
    </w:p>
    <w:p w14:paraId="004D4C35" w14:textId="77777777" w:rsidR="001506C1" w:rsidRPr="00FA3F9C" w:rsidRDefault="001506C1" w:rsidP="006F623F">
      <w:pPr>
        <w:spacing w:after="0"/>
        <w:rPr>
          <w:rFonts w:ascii="Arial" w:hAnsi="Arial" w:cs="Arial"/>
          <w:sz w:val="24"/>
          <w:szCs w:val="24"/>
        </w:rPr>
      </w:pPr>
    </w:p>
    <w:p w14:paraId="3071454D"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284"/>
        <w:gridCol w:w="7470"/>
        <w:gridCol w:w="2538"/>
      </w:tblGrid>
      <w:tr w:rsidR="001506C1" w:rsidRPr="00FA3F9C" w14:paraId="03D820E3" w14:textId="77777777" w:rsidTr="00B20B3D">
        <w:tc>
          <w:tcPr>
            <w:tcW w:w="1055" w:type="dxa"/>
          </w:tcPr>
          <w:p w14:paraId="047C6FB9" w14:textId="77777777" w:rsidR="001506C1" w:rsidRPr="00FA3F9C" w:rsidRDefault="001506C1" w:rsidP="006F623F">
            <w:pPr>
              <w:rPr>
                <w:rFonts w:ascii="Arial" w:hAnsi="Arial" w:cs="Arial"/>
                <w:sz w:val="24"/>
                <w:szCs w:val="24"/>
              </w:rPr>
            </w:pPr>
            <w:r w:rsidRPr="00FA3F9C">
              <w:rPr>
                <w:rFonts w:ascii="Arial" w:hAnsi="Arial" w:cs="Arial"/>
                <w:sz w:val="24"/>
                <w:szCs w:val="24"/>
              </w:rPr>
              <w:t>Date</w:t>
            </w:r>
          </w:p>
        </w:tc>
        <w:tc>
          <w:tcPr>
            <w:tcW w:w="7241" w:type="dxa"/>
          </w:tcPr>
          <w:p w14:paraId="34D6B86A" w14:textId="77777777" w:rsidR="001506C1" w:rsidRPr="00FA3F9C" w:rsidRDefault="001506C1" w:rsidP="006F623F">
            <w:pPr>
              <w:rPr>
                <w:rFonts w:ascii="Arial" w:hAnsi="Arial" w:cs="Arial"/>
                <w:sz w:val="24"/>
                <w:szCs w:val="24"/>
              </w:rPr>
            </w:pPr>
            <w:r w:rsidRPr="00FA3F9C">
              <w:rPr>
                <w:rFonts w:ascii="Arial" w:hAnsi="Arial" w:cs="Arial"/>
                <w:sz w:val="24"/>
                <w:szCs w:val="24"/>
              </w:rPr>
              <w:t>What changed</w:t>
            </w:r>
          </w:p>
        </w:tc>
        <w:tc>
          <w:tcPr>
            <w:tcW w:w="2494" w:type="dxa"/>
          </w:tcPr>
          <w:p w14:paraId="2C6D9ACB" w14:textId="77777777" w:rsidR="001506C1" w:rsidRPr="00FA3F9C" w:rsidRDefault="001506C1" w:rsidP="006F623F">
            <w:pPr>
              <w:rPr>
                <w:rFonts w:ascii="Arial" w:hAnsi="Arial" w:cs="Arial"/>
                <w:sz w:val="24"/>
                <w:szCs w:val="24"/>
              </w:rPr>
            </w:pPr>
            <w:r w:rsidRPr="00FA3F9C">
              <w:rPr>
                <w:rFonts w:ascii="Arial" w:hAnsi="Arial" w:cs="Arial"/>
                <w:sz w:val="24"/>
                <w:szCs w:val="24"/>
              </w:rPr>
              <w:t>Pharmacist’s initials</w:t>
            </w:r>
          </w:p>
        </w:tc>
      </w:tr>
      <w:tr w:rsidR="001506C1" w:rsidRPr="00FA3F9C" w14:paraId="3798215B" w14:textId="77777777" w:rsidTr="00FE491B">
        <w:tc>
          <w:tcPr>
            <w:tcW w:w="1008" w:type="dxa"/>
          </w:tcPr>
          <w:p w14:paraId="15724E5A" w14:textId="77777777" w:rsidR="001506C1" w:rsidRPr="00FA3F9C" w:rsidRDefault="001506C1" w:rsidP="006F623F">
            <w:pPr>
              <w:rPr>
                <w:rFonts w:ascii="Arial" w:hAnsi="Arial" w:cs="Arial"/>
                <w:sz w:val="24"/>
                <w:szCs w:val="24"/>
              </w:rPr>
            </w:pPr>
            <w:r w:rsidRPr="00FA3F9C">
              <w:rPr>
                <w:rFonts w:ascii="Arial" w:hAnsi="Arial" w:cs="Arial"/>
                <w:sz w:val="24"/>
                <w:szCs w:val="24"/>
              </w:rPr>
              <w:t>3/18/19</w:t>
            </w:r>
          </w:p>
        </w:tc>
        <w:tc>
          <w:tcPr>
            <w:tcW w:w="7470" w:type="dxa"/>
          </w:tcPr>
          <w:p w14:paraId="5D349AC6" w14:textId="77777777" w:rsidR="001506C1" w:rsidRPr="00FA3F9C" w:rsidRDefault="001506C1" w:rsidP="006F623F">
            <w:pPr>
              <w:rPr>
                <w:rFonts w:ascii="Arial" w:hAnsi="Arial" w:cs="Arial"/>
                <w:sz w:val="24"/>
                <w:szCs w:val="24"/>
              </w:rPr>
            </w:pPr>
            <w:r w:rsidRPr="00FA3F9C">
              <w:rPr>
                <w:rFonts w:ascii="Arial" w:hAnsi="Arial" w:cs="Arial"/>
                <w:sz w:val="24"/>
                <w:szCs w:val="24"/>
              </w:rPr>
              <w:t>Criteria written</w:t>
            </w:r>
          </w:p>
        </w:tc>
        <w:tc>
          <w:tcPr>
            <w:tcW w:w="2538" w:type="dxa"/>
          </w:tcPr>
          <w:p w14:paraId="46229417" w14:textId="77777777" w:rsidR="001506C1" w:rsidRPr="00FA3F9C" w:rsidRDefault="001506C1" w:rsidP="006F623F">
            <w:pPr>
              <w:rPr>
                <w:rFonts w:ascii="Arial" w:hAnsi="Arial" w:cs="Arial"/>
                <w:sz w:val="24"/>
                <w:szCs w:val="24"/>
              </w:rPr>
            </w:pPr>
            <w:proofErr w:type="spellStart"/>
            <w:r w:rsidRPr="00FA3F9C">
              <w:rPr>
                <w:rFonts w:ascii="Arial" w:hAnsi="Arial" w:cs="Arial"/>
                <w:sz w:val="24"/>
                <w:szCs w:val="24"/>
              </w:rPr>
              <w:t>sk</w:t>
            </w:r>
            <w:proofErr w:type="spellEnd"/>
          </w:p>
        </w:tc>
      </w:tr>
      <w:tr w:rsidR="001506C1" w:rsidRPr="00FA3F9C" w14:paraId="6F1E4D17" w14:textId="77777777" w:rsidTr="00FE491B">
        <w:tc>
          <w:tcPr>
            <w:tcW w:w="1008" w:type="dxa"/>
          </w:tcPr>
          <w:p w14:paraId="62446238" w14:textId="77777777" w:rsidR="001506C1" w:rsidRPr="00FA3F9C" w:rsidRDefault="001506C1" w:rsidP="006F623F">
            <w:pPr>
              <w:rPr>
                <w:rFonts w:ascii="Arial" w:hAnsi="Arial" w:cs="Arial"/>
                <w:sz w:val="24"/>
                <w:szCs w:val="24"/>
              </w:rPr>
            </w:pPr>
            <w:r w:rsidRPr="00FA3F9C">
              <w:rPr>
                <w:rFonts w:ascii="Arial" w:hAnsi="Arial" w:cs="Arial"/>
                <w:sz w:val="24"/>
                <w:szCs w:val="24"/>
              </w:rPr>
              <w:t>9/23/19</w:t>
            </w:r>
          </w:p>
        </w:tc>
        <w:tc>
          <w:tcPr>
            <w:tcW w:w="7470" w:type="dxa"/>
          </w:tcPr>
          <w:p w14:paraId="7478E717" w14:textId="77777777" w:rsidR="001506C1" w:rsidRPr="00FA3F9C" w:rsidRDefault="001506C1" w:rsidP="005422A1">
            <w:pPr>
              <w:rPr>
                <w:rFonts w:ascii="Arial" w:hAnsi="Arial" w:cs="Arial"/>
                <w:sz w:val="24"/>
                <w:szCs w:val="24"/>
              </w:rPr>
            </w:pPr>
            <w:r w:rsidRPr="00FA3F9C">
              <w:rPr>
                <w:rFonts w:ascii="Arial" w:hAnsi="Arial" w:cs="Arial"/>
                <w:sz w:val="24"/>
                <w:szCs w:val="24"/>
              </w:rPr>
              <w:t>Added definition of CRPC. Added meta-analysis data and reference.</w:t>
            </w:r>
          </w:p>
        </w:tc>
        <w:tc>
          <w:tcPr>
            <w:tcW w:w="2538" w:type="dxa"/>
          </w:tcPr>
          <w:p w14:paraId="5D465B02" w14:textId="77777777" w:rsidR="001506C1" w:rsidRPr="00FA3F9C" w:rsidRDefault="001506C1" w:rsidP="006F623F">
            <w:pPr>
              <w:rPr>
                <w:rFonts w:ascii="Arial" w:hAnsi="Arial" w:cs="Arial"/>
                <w:sz w:val="24"/>
                <w:szCs w:val="24"/>
              </w:rPr>
            </w:pPr>
            <w:proofErr w:type="spellStart"/>
            <w:r w:rsidRPr="00FA3F9C">
              <w:rPr>
                <w:rFonts w:ascii="Arial" w:hAnsi="Arial" w:cs="Arial"/>
                <w:sz w:val="24"/>
                <w:szCs w:val="24"/>
              </w:rPr>
              <w:t>Sk</w:t>
            </w:r>
            <w:proofErr w:type="spellEnd"/>
          </w:p>
        </w:tc>
      </w:tr>
      <w:tr w:rsidR="001506C1" w:rsidRPr="00FA3F9C" w14:paraId="33766AE3" w14:textId="77777777" w:rsidTr="00FE491B">
        <w:tc>
          <w:tcPr>
            <w:tcW w:w="1008" w:type="dxa"/>
          </w:tcPr>
          <w:p w14:paraId="788064BC" w14:textId="77777777" w:rsidR="001506C1" w:rsidRPr="00FA3F9C" w:rsidRDefault="001506C1" w:rsidP="006F623F">
            <w:pPr>
              <w:rPr>
                <w:rFonts w:ascii="Arial" w:hAnsi="Arial" w:cs="Arial"/>
                <w:sz w:val="24"/>
                <w:szCs w:val="24"/>
              </w:rPr>
            </w:pPr>
            <w:r w:rsidRPr="00FA3F9C">
              <w:rPr>
                <w:rFonts w:ascii="Arial" w:hAnsi="Arial" w:cs="Arial"/>
                <w:sz w:val="24"/>
                <w:szCs w:val="24"/>
              </w:rPr>
              <w:t>10/28/19</w:t>
            </w:r>
          </w:p>
        </w:tc>
        <w:tc>
          <w:tcPr>
            <w:tcW w:w="7470" w:type="dxa"/>
          </w:tcPr>
          <w:p w14:paraId="70A58A63" w14:textId="77777777" w:rsidR="001506C1" w:rsidRPr="00FA3F9C" w:rsidRDefault="001506C1" w:rsidP="00CF5445">
            <w:pPr>
              <w:rPr>
                <w:rFonts w:ascii="Arial" w:hAnsi="Arial" w:cs="Arial"/>
                <w:sz w:val="24"/>
                <w:szCs w:val="24"/>
              </w:rPr>
            </w:pPr>
            <w:r w:rsidRPr="00FA3F9C">
              <w:rPr>
                <w:rFonts w:ascii="Arial" w:hAnsi="Arial" w:cs="Arial"/>
                <w:sz w:val="24"/>
                <w:szCs w:val="24"/>
              </w:rPr>
              <w:t xml:space="preserve">Added new indication (metastatic CSPC). It will not be covered per 10/19/19 EBRx committee meeting. </w:t>
            </w:r>
          </w:p>
        </w:tc>
        <w:tc>
          <w:tcPr>
            <w:tcW w:w="2538" w:type="dxa"/>
          </w:tcPr>
          <w:p w14:paraId="19BAEF2E" w14:textId="77777777" w:rsidR="001506C1" w:rsidRPr="00FA3F9C" w:rsidRDefault="001506C1" w:rsidP="006F623F">
            <w:pPr>
              <w:rPr>
                <w:rFonts w:ascii="Arial" w:hAnsi="Arial" w:cs="Arial"/>
                <w:sz w:val="24"/>
                <w:szCs w:val="24"/>
              </w:rPr>
            </w:pPr>
            <w:proofErr w:type="spellStart"/>
            <w:r w:rsidRPr="00FA3F9C">
              <w:rPr>
                <w:rFonts w:ascii="Arial" w:hAnsi="Arial" w:cs="Arial"/>
                <w:sz w:val="24"/>
                <w:szCs w:val="24"/>
              </w:rPr>
              <w:t>Sk</w:t>
            </w:r>
            <w:proofErr w:type="spellEnd"/>
          </w:p>
        </w:tc>
      </w:tr>
      <w:tr w:rsidR="001506C1" w:rsidRPr="00FA3F9C" w14:paraId="2C9EC369" w14:textId="77777777" w:rsidTr="00FE491B">
        <w:tc>
          <w:tcPr>
            <w:tcW w:w="1008" w:type="dxa"/>
          </w:tcPr>
          <w:p w14:paraId="60EF62A0" w14:textId="77777777" w:rsidR="001506C1" w:rsidRPr="00FA3F9C" w:rsidRDefault="001506C1" w:rsidP="00B20B3D">
            <w:pPr>
              <w:rPr>
                <w:rFonts w:ascii="Arial" w:hAnsi="Arial" w:cs="Arial"/>
                <w:sz w:val="24"/>
                <w:szCs w:val="24"/>
              </w:rPr>
            </w:pPr>
            <w:r w:rsidRPr="00FA3F9C">
              <w:rPr>
                <w:rFonts w:ascii="Arial" w:hAnsi="Arial" w:cs="Arial"/>
                <w:sz w:val="24"/>
                <w:szCs w:val="24"/>
              </w:rPr>
              <w:t>4/15/2020</w:t>
            </w:r>
          </w:p>
        </w:tc>
        <w:tc>
          <w:tcPr>
            <w:tcW w:w="7470" w:type="dxa"/>
          </w:tcPr>
          <w:p w14:paraId="5AA77DFF" w14:textId="77777777" w:rsidR="001506C1" w:rsidRPr="00FA3F9C" w:rsidRDefault="001506C1" w:rsidP="00B20B3D">
            <w:pPr>
              <w:rPr>
                <w:rFonts w:ascii="Arial" w:hAnsi="Arial" w:cs="Arial"/>
                <w:sz w:val="24"/>
                <w:szCs w:val="24"/>
              </w:rPr>
            </w:pPr>
            <w:r w:rsidRPr="00FA3F9C">
              <w:rPr>
                <w:rFonts w:ascii="Arial" w:hAnsi="Arial" w:cs="Arial"/>
                <w:sz w:val="24"/>
                <w:szCs w:val="24"/>
              </w:rPr>
              <w:t xml:space="preserve">Added reference for second meta-analysis to show improvement in overall survival of antiandrogens (including </w:t>
            </w:r>
            <w:proofErr w:type="spellStart"/>
            <w:r w:rsidRPr="00FA3F9C">
              <w:rPr>
                <w:rFonts w:ascii="Arial" w:hAnsi="Arial" w:cs="Arial"/>
                <w:sz w:val="24"/>
                <w:szCs w:val="24"/>
              </w:rPr>
              <w:t>enzaluatmide</w:t>
            </w:r>
            <w:proofErr w:type="spellEnd"/>
            <w:r w:rsidRPr="00FA3F9C">
              <w:rPr>
                <w:rFonts w:ascii="Arial" w:hAnsi="Arial" w:cs="Arial"/>
                <w:sz w:val="24"/>
                <w:szCs w:val="24"/>
              </w:rPr>
              <w:t>) vs placebo in non-metastatic prostate cancer</w:t>
            </w:r>
          </w:p>
        </w:tc>
        <w:tc>
          <w:tcPr>
            <w:tcW w:w="2538" w:type="dxa"/>
          </w:tcPr>
          <w:p w14:paraId="669992B9" w14:textId="77777777" w:rsidR="001506C1" w:rsidRPr="00FA3F9C" w:rsidRDefault="001506C1" w:rsidP="00B20B3D">
            <w:pPr>
              <w:rPr>
                <w:rFonts w:ascii="Arial" w:hAnsi="Arial" w:cs="Arial"/>
                <w:sz w:val="24"/>
                <w:szCs w:val="24"/>
              </w:rPr>
            </w:pPr>
            <w:r w:rsidRPr="00FA3F9C">
              <w:rPr>
                <w:rFonts w:ascii="Arial" w:hAnsi="Arial" w:cs="Arial"/>
                <w:sz w:val="24"/>
                <w:szCs w:val="24"/>
              </w:rPr>
              <w:t>SK</w:t>
            </w:r>
          </w:p>
        </w:tc>
      </w:tr>
      <w:tr w:rsidR="001506C1" w:rsidRPr="00FA3F9C" w14:paraId="6831166B" w14:textId="77777777" w:rsidTr="00FE491B">
        <w:tc>
          <w:tcPr>
            <w:tcW w:w="1008" w:type="dxa"/>
          </w:tcPr>
          <w:p w14:paraId="61BB64D1" w14:textId="77777777" w:rsidR="001506C1" w:rsidRPr="00FA3F9C" w:rsidRDefault="001506C1" w:rsidP="00B20B3D">
            <w:pPr>
              <w:rPr>
                <w:rFonts w:ascii="Arial" w:hAnsi="Arial" w:cs="Arial"/>
                <w:sz w:val="24"/>
                <w:szCs w:val="24"/>
              </w:rPr>
            </w:pPr>
            <w:r w:rsidRPr="00FA3F9C">
              <w:rPr>
                <w:rFonts w:ascii="Arial" w:hAnsi="Arial" w:cs="Arial"/>
                <w:sz w:val="24"/>
                <w:szCs w:val="24"/>
              </w:rPr>
              <w:t>6/16/2020</w:t>
            </w:r>
          </w:p>
        </w:tc>
        <w:tc>
          <w:tcPr>
            <w:tcW w:w="7470" w:type="dxa"/>
          </w:tcPr>
          <w:p w14:paraId="6D177F50" w14:textId="77777777" w:rsidR="001506C1" w:rsidRPr="00FA3F9C" w:rsidRDefault="001506C1" w:rsidP="00B20B3D">
            <w:pPr>
              <w:rPr>
                <w:rFonts w:ascii="Arial" w:hAnsi="Arial" w:cs="Arial"/>
                <w:sz w:val="24"/>
                <w:szCs w:val="24"/>
              </w:rPr>
            </w:pPr>
            <w:r w:rsidRPr="00FA3F9C">
              <w:rPr>
                <w:rFonts w:ascii="Arial" w:hAnsi="Arial" w:cs="Arial"/>
                <w:sz w:val="24"/>
                <w:szCs w:val="24"/>
              </w:rPr>
              <w:t xml:space="preserve">Criteria reviewed. Added reference for </w:t>
            </w:r>
            <w:proofErr w:type="spellStart"/>
            <w:r w:rsidRPr="00FA3F9C">
              <w:rPr>
                <w:rFonts w:ascii="Arial" w:hAnsi="Arial" w:cs="Arial"/>
                <w:sz w:val="24"/>
                <w:szCs w:val="24"/>
              </w:rPr>
              <w:t>mCRPC</w:t>
            </w:r>
            <w:proofErr w:type="spellEnd"/>
            <w:r w:rsidRPr="00FA3F9C">
              <w:rPr>
                <w:rFonts w:ascii="Arial" w:hAnsi="Arial" w:cs="Arial"/>
                <w:sz w:val="24"/>
                <w:szCs w:val="24"/>
              </w:rPr>
              <w:t xml:space="preserve"> indication (not preferred). Added new overall survival data for </w:t>
            </w:r>
            <w:proofErr w:type="spellStart"/>
            <w:r w:rsidRPr="00FA3F9C">
              <w:rPr>
                <w:rFonts w:ascii="Arial" w:hAnsi="Arial" w:cs="Arial"/>
                <w:sz w:val="24"/>
                <w:szCs w:val="24"/>
              </w:rPr>
              <w:t>nmCRPC</w:t>
            </w:r>
            <w:proofErr w:type="spellEnd"/>
            <w:r w:rsidRPr="00FA3F9C">
              <w:rPr>
                <w:rFonts w:ascii="Arial" w:hAnsi="Arial" w:cs="Arial"/>
                <w:sz w:val="24"/>
                <w:szCs w:val="24"/>
              </w:rPr>
              <w:t xml:space="preserve"> indication. No change in criteria</w:t>
            </w:r>
          </w:p>
        </w:tc>
        <w:tc>
          <w:tcPr>
            <w:tcW w:w="2538" w:type="dxa"/>
          </w:tcPr>
          <w:p w14:paraId="397C14A7" w14:textId="77777777" w:rsidR="001506C1" w:rsidRPr="00FA3F9C" w:rsidRDefault="001506C1" w:rsidP="00B20B3D">
            <w:pPr>
              <w:rPr>
                <w:rFonts w:ascii="Arial" w:hAnsi="Arial" w:cs="Arial"/>
                <w:sz w:val="24"/>
                <w:szCs w:val="24"/>
              </w:rPr>
            </w:pPr>
            <w:r w:rsidRPr="00FA3F9C">
              <w:rPr>
                <w:rFonts w:ascii="Arial" w:hAnsi="Arial" w:cs="Arial"/>
                <w:sz w:val="24"/>
                <w:szCs w:val="24"/>
              </w:rPr>
              <w:t>SK</w:t>
            </w:r>
          </w:p>
        </w:tc>
      </w:tr>
      <w:tr w:rsidR="001506C1" w:rsidRPr="00FA3F9C" w14:paraId="19454176" w14:textId="77777777" w:rsidTr="00FE491B">
        <w:tc>
          <w:tcPr>
            <w:tcW w:w="1008" w:type="dxa"/>
          </w:tcPr>
          <w:p w14:paraId="3E35F936" w14:textId="77777777" w:rsidR="001506C1" w:rsidRPr="00FA3F9C" w:rsidRDefault="001506C1" w:rsidP="00B20B3D">
            <w:pPr>
              <w:rPr>
                <w:rFonts w:ascii="Arial" w:hAnsi="Arial" w:cs="Arial"/>
                <w:sz w:val="24"/>
                <w:szCs w:val="24"/>
              </w:rPr>
            </w:pPr>
            <w:r w:rsidRPr="00FA3F9C">
              <w:rPr>
                <w:rFonts w:ascii="Arial" w:hAnsi="Arial" w:cs="Arial"/>
                <w:sz w:val="24"/>
                <w:szCs w:val="24"/>
              </w:rPr>
              <w:t>5/25/21</w:t>
            </w:r>
          </w:p>
        </w:tc>
        <w:tc>
          <w:tcPr>
            <w:tcW w:w="7470" w:type="dxa"/>
          </w:tcPr>
          <w:p w14:paraId="37A66D80" w14:textId="77777777" w:rsidR="001506C1" w:rsidRPr="00FA3F9C" w:rsidRDefault="001506C1" w:rsidP="00B20B3D">
            <w:pPr>
              <w:rPr>
                <w:rFonts w:ascii="Arial" w:hAnsi="Arial" w:cs="Arial"/>
                <w:sz w:val="24"/>
                <w:szCs w:val="24"/>
              </w:rPr>
            </w:pPr>
            <w:r w:rsidRPr="00FA3F9C">
              <w:rPr>
                <w:rFonts w:ascii="Arial" w:hAnsi="Arial" w:cs="Arial"/>
                <w:sz w:val="24"/>
                <w:szCs w:val="24"/>
              </w:rPr>
              <w:t>Added 5</w:t>
            </w:r>
            <w:r w:rsidRPr="00FA3F9C">
              <w:rPr>
                <w:rFonts w:ascii="Arial" w:hAnsi="Arial" w:cs="Arial"/>
                <w:sz w:val="24"/>
                <w:szCs w:val="24"/>
                <w:vertAlign w:val="superscript"/>
              </w:rPr>
              <w:t>th</w:t>
            </w:r>
            <w:r w:rsidRPr="00FA3F9C">
              <w:rPr>
                <w:rFonts w:ascii="Arial" w:hAnsi="Arial" w:cs="Arial"/>
                <w:sz w:val="24"/>
                <w:szCs w:val="24"/>
              </w:rPr>
              <w:t xml:space="preserve"> reference. Criteria reviewed no change.</w:t>
            </w:r>
          </w:p>
        </w:tc>
        <w:tc>
          <w:tcPr>
            <w:tcW w:w="2538" w:type="dxa"/>
          </w:tcPr>
          <w:p w14:paraId="06C39C06" w14:textId="77777777" w:rsidR="001506C1" w:rsidRPr="00FA3F9C" w:rsidRDefault="001506C1" w:rsidP="00B20B3D">
            <w:pPr>
              <w:rPr>
                <w:rFonts w:ascii="Arial" w:hAnsi="Arial" w:cs="Arial"/>
                <w:sz w:val="24"/>
                <w:szCs w:val="24"/>
              </w:rPr>
            </w:pPr>
            <w:r w:rsidRPr="00FA3F9C">
              <w:rPr>
                <w:rFonts w:ascii="Arial" w:hAnsi="Arial" w:cs="Arial"/>
                <w:sz w:val="24"/>
                <w:szCs w:val="24"/>
              </w:rPr>
              <w:t>SK</w:t>
            </w:r>
          </w:p>
        </w:tc>
      </w:tr>
    </w:tbl>
    <w:p w14:paraId="10ED16F3" w14:textId="77777777" w:rsidR="001506C1" w:rsidRPr="00FA3F9C" w:rsidRDefault="001506C1" w:rsidP="006F623F">
      <w:pPr>
        <w:spacing w:after="0"/>
        <w:rPr>
          <w:rFonts w:ascii="Arial" w:hAnsi="Arial" w:cs="Arial"/>
          <w:sz w:val="24"/>
          <w:szCs w:val="24"/>
        </w:rPr>
      </w:pPr>
    </w:p>
    <w:p w14:paraId="747BA8BD" w14:textId="77777777" w:rsidR="005005CA" w:rsidRDefault="005005CA">
      <w:pPr>
        <w:rPr>
          <w:rFonts w:ascii="Arial" w:eastAsia="Times New Roman" w:hAnsi="Arial" w:cs="Arial"/>
          <w:b/>
          <w:sz w:val="28"/>
          <w:szCs w:val="20"/>
        </w:rPr>
      </w:pPr>
      <w:bookmarkStart w:id="16" w:name="_Toc106369718"/>
      <w:r>
        <w:br w:type="page"/>
      </w:r>
    </w:p>
    <w:p w14:paraId="0D688BA3" w14:textId="77E7036F" w:rsidR="00CA4C3C" w:rsidRDefault="001506C1" w:rsidP="00CA4C3C">
      <w:pPr>
        <w:pStyle w:val="Heading2"/>
      </w:pPr>
      <w:r w:rsidRPr="00FA3F9C">
        <w:lastRenderedPageBreak/>
        <w:t>Apomorphine (</w:t>
      </w:r>
      <w:proofErr w:type="spellStart"/>
      <w:r w:rsidRPr="00FA3F9C">
        <w:t>Apokyn</w:t>
      </w:r>
      <w:proofErr w:type="spellEnd"/>
      <w:r w:rsidRPr="00FA3F9C">
        <w:t>)</w:t>
      </w:r>
      <w:bookmarkEnd w:id="16"/>
    </w:p>
    <w:p w14:paraId="019EC262" w14:textId="67F71835" w:rsidR="001506C1" w:rsidRPr="00FA3F9C" w:rsidRDefault="001506C1" w:rsidP="006F623F">
      <w:pPr>
        <w:spacing w:after="0"/>
        <w:jc w:val="center"/>
        <w:rPr>
          <w:rFonts w:ascii="Arial" w:hAnsi="Arial" w:cs="Arial"/>
          <w:sz w:val="24"/>
          <w:szCs w:val="24"/>
        </w:rPr>
      </w:pPr>
      <w:r w:rsidRPr="00FA3F9C">
        <w:rPr>
          <w:rFonts w:ascii="Arial" w:hAnsi="Arial" w:cs="Arial"/>
          <w:sz w:val="24"/>
          <w:szCs w:val="24"/>
        </w:rPr>
        <w:t xml:space="preserve"> SC</w:t>
      </w:r>
    </w:p>
    <w:p w14:paraId="4293CC98" w14:textId="77777777" w:rsidR="001506C1" w:rsidRPr="00FA3F9C" w:rsidRDefault="001506C1" w:rsidP="006F623F">
      <w:pPr>
        <w:spacing w:after="0"/>
        <w:jc w:val="center"/>
        <w:rPr>
          <w:rFonts w:ascii="Arial" w:hAnsi="Arial" w:cs="Arial"/>
          <w:sz w:val="24"/>
          <w:szCs w:val="24"/>
        </w:rPr>
      </w:pPr>
      <w:r w:rsidRPr="00FA3F9C">
        <w:rPr>
          <w:rFonts w:ascii="Arial" w:hAnsi="Arial" w:cs="Arial"/>
          <w:sz w:val="24"/>
          <w:szCs w:val="24"/>
        </w:rPr>
        <w:t>EBRx PA Criteria</w:t>
      </w:r>
    </w:p>
    <w:p w14:paraId="3B1CB664" w14:textId="77777777" w:rsidR="001506C1" w:rsidRPr="00FA3F9C" w:rsidRDefault="001506C1" w:rsidP="006F623F">
      <w:pPr>
        <w:spacing w:after="0"/>
        <w:rPr>
          <w:rFonts w:ascii="Arial" w:hAnsi="Arial" w:cs="Arial"/>
          <w:b/>
          <w:sz w:val="24"/>
          <w:szCs w:val="24"/>
          <w:u w:val="single"/>
        </w:rPr>
      </w:pPr>
    </w:p>
    <w:p w14:paraId="578DF118" w14:textId="77777777" w:rsidR="001506C1" w:rsidRPr="00FA3F9C" w:rsidRDefault="001506C1"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Treatment of acute, intermittent hypomobility “off” episodes in patients with advanced Parkinson disease.</w:t>
      </w:r>
    </w:p>
    <w:tbl>
      <w:tblPr>
        <w:tblStyle w:val="TableGrid"/>
        <w:tblW w:w="0" w:type="auto"/>
        <w:tblLook w:val="04A0" w:firstRow="1" w:lastRow="0" w:firstColumn="1" w:lastColumn="0" w:noHBand="0" w:noVBand="1"/>
      </w:tblPr>
      <w:tblGrid>
        <w:gridCol w:w="8928"/>
        <w:gridCol w:w="2088"/>
      </w:tblGrid>
      <w:tr w:rsidR="001506C1" w:rsidRPr="00FA3F9C" w14:paraId="2EECC021" w14:textId="77777777" w:rsidTr="00571CAB">
        <w:tc>
          <w:tcPr>
            <w:tcW w:w="8928" w:type="dxa"/>
            <w:shd w:val="clear" w:color="auto" w:fill="000000"/>
          </w:tcPr>
          <w:p w14:paraId="7B670C98" w14:textId="77777777" w:rsidR="001506C1" w:rsidRPr="00FA3F9C" w:rsidRDefault="001506C1"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88" w:type="dxa"/>
            <w:shd w:val="clear" w:color="auto" w:fill="000000"/>
          </w:tcPr>
          <w:p w14:paraId="3B5B0C1E" w14:textId="77777777" w:rsidR="001506C1" w:rsidRPr="00FA3F9C" w:rsidRDefault="001506C1" w:rsidP="006F623F">
            <w:pPr>
              <w:jc w:val="center"/>
              <w:rPr>
                <w:rFonts w:ascii="Arial" w:hAnsi="Arial" w:cs="Arial"/>
                <w:b/>
                <w:sz w:val="24"/>
                <w:szCs w:val="24"/>
                <w:u w:val="single"/>
              </w:rPr>
            </w:pPr>
          </w:p>
        </w:tc>
      </w:tr>
      <w:tr w:rsidR="001506C1" w:rsidRPr="00FA3F9C" w14:paraId="72EFDDA5" w14:textId="77777777" w:rsidTr="00F337AE">
        <w:tc>
          <w:tcPr>
            <w:tcW w:w="11016" w:type="dxa"/>
            <w:gridSpan w:val="2"/>
          </w:tcPr>
          <w:p w14:paraId="4B9374AD" w14:textId="77777777" w:rsidR="001506C1" w:rsidRPr="00FA3F9C" w:rsidRDefault="001506C1" w:rsidP="006F623F">
            <w:pPr>
              <w:rPr>
                <w:rFonts w:ascii="Arial" w:hAnsi="Arial" w:cs="Arial"/>
                <w:sz w:val="24"/>
                <w:szCs w:val="24"/>
              </w:rPr>
            </w:pPr>
            <w:r w:rsidRPr="00FA3F9C">
              <w:rPr>
                <w:rFonts w:ascii="Arial" w:hAnsi="Arial" w:cs="Arial"/>
                <w:sz w:val="24"/>
                <w:szCs w:val="24"/>
              </w:rPr>
              <w:t>1. The patient must have the diagnosis of Parkinson’s Disease with hypomobility due to “off” episodes.</w:t>
            </w:r>
          </w:p>
        </w:tc>
      </w:tr>
      <w:tr w:rsidR="001506C1" w:rsidRPr="00FA3F9C" w14:paraId="49EBC816" w14:textId="77777777" w:rsidTr="00B1617E">
        <w:tc>
          <w:tcPr>
            <w:tcW w:w="11016" w:type="dxa"/>
            <w:gridSpan w:val="2"/>
          </w:tcPr>
          <w:p w14:paraId="77170A1C" w14:textId="77777777" w:rsidR="001506C1" w:rsidRPr="00FA3F9C" w:rsidRDefault="001506C1" w:rsidP="006F623F">
            <w:pPr>
              <w:rPr>
                <w:rFonts w:ascii="Arial" w:hAnsi="Arial" w:cs="Arial"/>
                <w:sz w:val="24"/>
                <w:szCs w:val="24"/>
              </w:rPr>
            </w:pPr>
            <w:r w:rsidRPr="00FA3F9C">
              <w:rPr>
                <w:rFonts w:ascii="Arial" w:hAnsi="Arial" w:cs="Arial"/>
                <w:sz w:val="24"/>
                <w:szCs w:val="24"/>
              </w:rPr>
              <w:t xml:space="preserve">2. The </w:t>
            </w:r>
            <w:proofErr w:type="spellStart"/>
            <w:r w:rsidRPr="00FA3F9C">
              <w:rPr>
                <w:rFonts w:ascii="Arial" w:hAnsi="Arial" w:cs="Arial"/>
                <w:sz w:val="24"/>
                <w:szCs w:val="24"/>
              </w:rPr>
              <w:t>Kynmobi</w:t>
            </w:r>
            <w:proofErr w:type="spellEnd"/>
            <w:r w:rsidRPr="00FA3F9C">
              <w:rPr>
                <w:rFonts w:ascii="Arial" w:hAnsi="Arial" w:cs="Arial"/>
                <w:sz w:val="24"/>
                <w:szCs w:val="24"/>
              </w:rPr>
              <w:t xml:space="preserve"> (sublingual) form of apomorphine must not be an option for the patient.  The </w:t>
            </w:r>
            <w:proofErr w:type="spellStart"/>
            <w:r w:rsidRPr="00FA3F9C">
              <w:rPr>
                <w:rFonts w:ascii="Arial" w:hAnsi="Arial" w:cs="Arial"/>
                <w:sz w:val="24"/>
                <w:szCs w:val="24"/>
              </w:rPr>
              <w:t>Kynmobi</w:t>
            </w:r>
            <w:proofErr w:type="spellEnd"/>
            <w:r w:rsidRPr="00FA3F9C">
              <w:rPr>
                <w:rFonts w:ascii="Arial" w:hAnsi="Arial" w:cs="Arial"/>
                <w:sz w:val="24"/>
                <w:szCs w:val="24"/>
              </w:rPr>
              <w:t xml:space="preserve"> form is less costly.</w:t>
            </w:r>
          </w:p>
        </w:tc>
      </w:tr>
    </w:tbl>
    <w:p w14:paraId="7567CDD4" w14:textId="77777777" w:rsidR="001506C1" w:rsidRPr="00FA3F9C" w:rsidRDefault="001506C1" w:rsidP="006F623F">
      <w:pPr>
        <w:spacing w:after="0"/>
        <w:rPr>
          <w:rFonts w:ascii="Arial" w:hAnsi="Arial" w:cs="Arial"/>
          <w:b/>
          <w:sz w:val="24"/>
          <w:szCs w:val="24"/>
          <w:u w:val="single"/>
        </w:rPr>
      </w:pPr>
    </w:p>
    <w:p w14:paraId="2A50360D" w14:textId="77777777" w:rsidR="001506C1" w:rsidRPr="00FA3F9C" w:rsidRDefault="001506C1" w:rsidP="006F623F">
      <w:pPr>
        <w:spacing w:after="0"/>
        <w:rPr>
          <w:rFonts w:ascii="Arial" w:hAnsi="Arial" w:cs="Arial"/>
          <w:b/>
          <w:sz w:val="24"/>
          <w:szCs w:val="24"/>
          <w:u w:val="single"/>
        </w:rPr>
      </w:pPr>
    </w:p>
    <w:tbl>
      <w:tblPr>
        <w:tblStyle w:val="TableGrid"/>
        <w:tblW w:w="0" w:type="auto"/>
        <w:shd w:val="clear" w:color="auto" w:fill="BFBFBF" w:themeFill="background1" w:themeFillShade="BF"/>
        <w:tblLook w:val="04A0" w:firstRow="1" w:lastRow="0" w:firstColumn="1" w:lastColumn="0" w:noHBand="0" w:noVBand="1"/>
      </w:tblPr>
      <w:tblGrid>
        <w:gridCol w:w="10998"/>
      </w:tblGrid>
      <w:tr w:rsidR="001506C1" w:rsidRPr="00FA3F9C" w14:paraId="5C976880" w14:textId="77777777" w:rsidTr="00D82B6E">
        <w:tc>
          <w:tcPr>
            <w:tcW w:w="10998" w:type="dxa"/>
            <w:shd w:val="clear" w:color="auto" w:fill="BFBFBF" w:themeFill="background1" w:themeFillShade="BF"/>
          </w:tcPr>
          <w:p w14:paraId="62366A43" w14:textId="77777777" w:rsidR="001506C1" w:rsidRPr="00FA3F9C" w:rsidRDefault="001506C1" w:rsidP="00D82B6E">
            <w:pPr>
              <w:rPr>
                <w:rFonts w:ascii="Arial" w:hAnsi="Arial" w:cs="Arial"/>
                <w:sz w:val="24"/>
                <w:szCs w:val="24"/>
              </w:rPr>
            </w:pPr>
            <w:r w:rsidRPr="00FA3F9C">
              <w:rPr>
                <w:rFonts w:ascii="Arial" w:hAnsi="Arial" w:cs="Arial"/>
                <w:sz w:val="24"/>
                <w:szCs w:val="24"/>
              </w:rPr>
              <w:t xml:space="preserve">Note: Dose for </w:t>
            </w:r>
            <w:proofErr w:type="spellStart"/>
            <w:r w:rsidRPr="00FA3F9C">
              <w:rPr>
                <w:rFonts w:ascii="Arial" w:hAnsi="Arial" w:cs="Arial"/>
                <w:sz w:val="24"/>
                <w:szCs w:val="24"/>
              </w:rPr>
              <w:t>Apokyn</w:t>
            </w:r>
            <w:proofErr w:type="spellEnd"/>
            <w:r w:rsidRPr="00FA3F9C">
              <w:rPr>
                <w:rFonts w:ascii="Arial" w:hAnsi="Arial" w:cs="Arial"/>
                <w:sz w:val="24"/>
                <w:szCs w:val="24"/>
              </w:rPr>
              <w:t xml:space="preserve"> is based on tolerance and response to the initial test dose.  Start with 0.2mL (2mg) as needed.  Max dose is 0.6mL (6mg).  there is limited experience with dosing &gt;5x/d, single doses &gt;0.6mL (6mg), and with total daily doses &gt;2mL (20mg).</w:t>
            </w:r>
          </w:p>
        </w:tc>
      </w:tr>
    </w:tbl>
    <w:p w14:paraId="3790E060" w14:textId="77777777" w:rsidR="001506C1" w:rsidRPr="00FA3F9C" w:rsidRDefault="001506C1" w:rsidP="006F623F">
      <w:pPr>
        <w:spacing w:after="0"/>
        <w:rPr>
          <w:rFonts w:ascii="Arial" w:hAnsi="Arial" w:cs="Arial"/>
          <w:sz w:val="24"/>
          <w:szCs w:val="24"/>
        </w:rPr>
      </w:pPr>
    </w:p>
    <w:p w14:paraId="4BFC8F9A" w14:textId="77777777" w:rsidR="001506C1" w:rsidRPr="00FA3F9C" w:rsidRDefault="001506C1" w:rsidP="00B75287">
      <w:pPr>
        <w:spacing w:after="0" w:line="240" w:lineRule="auto"/>
        <w:rPr>
          <w:rFonts w:ascii="Arial" w:hAnsi="Arial" w:cs="Arial"/>
          <w:sz w:val="24"/>
          <w:szCs w:val="24"/>
        </w:rPr>
      </w:pPr>
      <w:r w:rsidRPr="00FA3F9C">
        <w:rPr>
          <w:rFonts w:ascii="Arial" w:hAnsi="Arial" w:cs="Arial"/>
          <w:sz w:val="24"/>
          <w:szCs w:val="24"/>
        </w:rPr>
        <w:t>References:</w:t>
      </w:r>
    </w:p>
    <w:p w14:paraId="331DE0C9" w14:textId="77777777" w:rsidR="001506C1" w:rsidRPr="00FA3F9C" w:rsidRDefault="001506C1" w:rsidP="00B75287">
      <w:pPr>
        <w:spacing w:after="0" w:line="240" w:lineRule="auto"/>
        <w:rPr>
          <w:rFonts w:ascii="Arial" w:hAnsi="Arial" w:cs="Arial"/>
          <w:sz w:val="24"/>
          <w:szCs w:val="24"/>
        </w:rPr>
      </w:pPr>
      <w:r w:rsidRPr="00FA3F9C">
        <w:rPr>
          <w:rFonts w:ascii="Arial" w:hAnsi="Arial" w:cs="Arial"/>
          <w:sz w:val="24"/>
          <w:szCs w:val="24"/>
        </w:rPr>
        <w:t xml:space="preserve">1. </w:t>
      </w:r>
      <w:proofErr w:type="spellStart"/>
      <w:r w:rsidRPr="00FA3F9C">
        <w:rPr>
          <w:rFonts w:ascii="Arial" w:hAnsi="Arial" w:cs="Arial"/>
          <w:sz w:val="24"/>
          <w:szCs w:val="24"/>
        </w:rPr>
        <w:t>LexiComp</w:t>
      </w:r>
      <w:proofErr w:type="spellEnd"/>
      <w:r w:rsidRPr="00FA3F9C">
        <w:rPr>
          <w:rFonts w:ascii="Arial" w:hAnsi="Arial" w:cs="Arial"/>
          <w:sz w:val="24"/>
          <w:szCs w:val="24"/>
        </w:rPr>
        <w:t>. Accessed 10/14/21.</w:t>
      </w:r>
    </w:p>
    <w:p w14:paraId="1C4550B2" w14:textId="77777777" w:rsidR="001506C1" w:rsidRPr="00FA3F9C" w:rsidRDefault="001506C1" w:rsidP="00B75287">
      <w:pPr>
        <w:spacing w:after="0" w:line="240" w:lineRule="auto"/>
        <w:rPr>
          <w:rFonts w:ascii="Arial" w:hAnsi="Arial" w:cs="Arial"/>
          <w:color w:val="212121"/>
          <w:sz w:val="24"/>
          <w:szCs w:val="24"/>
          <w:shd w:val="clear" w:color="auto" w:fill="FFFFFF"/>
        </w:rPr>
      </w:pPr>
      <w:r w:rsidRPr="00FA3F9C">
        <w:rPr>
          <w:rFonts w:ascii="Arial" w:hAnsi="Arial" w:cs="Arial"/>
          <w:sz w:val="24"/>
          <w:szCs w:val="24"/>
        </w:rPr>
        <w:t xml:space="preserve">2. </w:t>
      </w:r>
      <w:proofErr w:type="spellStart"/>
      <w:r w:rsidRPr="00FA3F9C">
        <w:rPr>
          <w:rFonts w:ascii="Arial" w:hAnsi="Arial" w:cs="Arial"/>
          <w:color w:val="212121"/>
          <w:sz w:val="24"/>
          <w:szCs w:val="24"/>
          <w:shd w:val="clear" w:color="auto" w:fill="FFFFFF"/>
        </w:rPr>
        <w:t>Olanow</w:t>
      </w:r>
      <w:proofErr w:type="spellEnd"/>
      <w:r w:rsidRPr="00FA3F9C">
        <w:rPr>
          <w:rFonts w:ascii="Arial" w:hAnsi="Arial" w:cs="Arial"/>
          <w:color w:val="212121"/>
          <w:sz w:val="24"/>
          <w:szCs w:val="24"/>
          <w:shd w:val="clear" w:color="auto" w:fill="FFFFFF"/>
        </w:rPr>
        <w:t xml:space="preserve"> CW, Factor SA, </w:t>
      </w:r>
      <w:proofErr w:type="spellStart"/>
      <w:r w:rsidRPr="00FA3F9C">
        <w:rPr>
          <w:rFonts w:ascii="Arial" w:hAnsi="Arial" w:cs="Arial"/>
          <w:color w:val="212121"/>
          <w:sz w:val="24"/>
          <w:szCs w:val="24"/>
          <w:shd w:val="clear" w:color="auto" w:fill="FFFFFF"/>
        </w:rPr>
        <w:t>Espay</w:t>
      </w:r>
      <w:proofErr w:type="spellEnd"/>
      <w:r w:rsidRPr="00FA3F9C">
        <w:rPr>
          <w:rFonts w:ascii="Arial" w:hAnsi="Arial" w:cs="Arial"/>
          <w:color w:val="212121"/>
          <w:sz w:val="24"/>
          <w:szCs w:val="24"/>
          <w:shd w:val="clear" w:color="auto" w:fill="FFFFFF"/>
        </w:rPr>
        <w:t xml:space="preserve"> AJ, et al. Apomorphine sublingual film for off episodes in Parkinson's disease: a </w:t>
      </w:r>
      <w:proofErr w:type="spellStart"/>
      <w:r w:rsidRPr="00FA3F9C">
        <w:rPr>
          <w:rFonts w:ascii="Arial" w:hAnsi="Arial" w:cs="Arial"/>
          <w:color w:val="212121"/>
          <w:sz w:val="24"/>
          <w:szCs w:val="24"/>
          <w:shd w:val="clear" w:color="auto" w:fill="FFFFFF"/>
        </w:rPr>
        <w:t>randomised</w:t>
      </w:r>
      <w:proofErr w:type="spellEnd"/>
      <w:r w:rsidRPr="00FA3F9C">
        <w:rPr>
          <w:rFonts w:ascii="Arial" w:hAnsi="Arial" w:cs="Arial"/>
          <w:color w:val="212121"/>
          <w:sz w:val="24"/>
          <w:szCs w:val="24"/>
          <w:shd w:val="clear" w:color="auto" w:fill="FFFFFF"/>
        </w:rPr>
        <w:t>, double-blind, placebo-controlled phase 3 study. </w:t>
      </w:r>
      <w:r w:rsidRPr="00FA3F9C">
        <w:rPr>
          <w:rFonts w:ascii="Arial" w:hAnsi="Arial" w:cs="Arial"/>
          <w:i/>
          <w:iCs/>
          <w:color w:val="212121"/>
          <w:sz w:val="24"/>
          <w:szCs w:val="24"/>
          <w:shd w:val="clear" w:color="auto" w:fill="FFFFFF"/>
        </w:rPr>
        <w:t>Lancet Neurol</w:t>
      </w:r>
      <w:r w:rsidRPr="00FA3F9C">
        <w:rPr>
          <w:rFonts w:ascii="Arial" w:hAnsi="Arial" w:cs="Arial"/>
          <w:color w:val="212121"/>
          <w:sz w:val="24"/>
          <w:szCs w:val="24"/>
          <w:shd w:val="clear" w:color="auto" w:fill="FFFFFF"/>
        </w:rPr>
        <w:t>. 2020;19(2):135-144. doi:10.1016/S1474-4422(19)30396-5.</w:t>
      </w:r>
    </w:p>
    <w:p w14:paraId="2A356FB1" w14:textId="77777777" w:rsidR="001506C1" w:rsidRPr="00FA3F9C" w:rsidRDefault="001506C1" w:rsidP="00B75287">
      <w:pPr>
        <w:spacing w:after="0" w:line="240" w:lineRule="auto"/>
        <w:rPr>
          <w:rFonts w:ascii="Arial" w:hAnsi="Arial" w:cs="Arial"/>
          <w:color w:val="212121"/>
          <w:sz w:val="24"/>
          <w:szCs w:val="24"/>
          <w:shd w:val="clear" w:color="auto" w:fill="FFFFFF"/>
        </w:rPr>
      </w:pPr>
      <w:r w:rsidRPr="00FA3F9C">
        <w:rPr>
          <w:rFonts w:ascii="Arial" w:hAnsi="Arial" w:cs="Arial"/>
          <w:color w:val="212121"/>
          <w:sz w:val="24"/>
          <w:szCs w:val="24"/>
          <w:shd w:val="clear" w:color="auto" w:fill="FFFFFF"/>
        </w:rPr>
        <w:t>3. Clinicaltrials.gov.  NCT03391882.</w:t>
      </w:r>
    </w:p>
    <w:p w14:paraId="5F0AA786" w14:textId="77777777" w:rsidR="001506C1" w:rsidRPr="00FA3F9C" w:rsidRDefault="001506C1" w:rsidP="00B75287">
      <w:pPr>
        <w:spacing w:after="0" w:line="240" w:lineRule="auto"/>
        <w:rPr>
          <w:rFonts w:ascii="Arial" w:hAnsi="Arial" w:cs="Arial"/>
          <w:color w:val="212121"/>
          <w:sz w:val="24"/>
          <w:szCs w:val="24"/>
          <w:shd w:val="clear" w:color="auto" w:fill="FFFFFF"/>
        </w:rPr>
      </w:pPr>
    </w:p>
    <w:p w14:paraId="36C9B1CC"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151"/>
        <w:gridCol w:w="7470"/>
        <w:gridCol w:w="2538"/>
      </w:tblGrid>
      <w:tr w:rsidR="001506C1" w:rsidRPr="00FA3F9C" w14:paraId="46629AB4" w14:textId="77777777" w:rsidTr="00FE491B">
        <w:tc>
          <w:tcPr>
            <w:tcW w:w="1008" w:type="dxa"/>
          </w:tcPr>
          <w:p w14:paraId="72B6AB15" w14:textId="77777777" w:rsidR="001506C1" w:rsidRPr="00FA3F9C" w:rsidRDefault="001506C1" w:rsidP="006F623F">
            <w:pPr>
              <w:rPr>
                <w:rFonts w:ascii="Arial" w:hAnsi="Arial" w:cs="Arial"/>
                <w:sz w:val="24"/>
                <w:szCs w:val="24"/>
              </w:rPr>
            </w:pPr>
            <w:r w:rsidRPr="00FA3F9C">
              <w:rPr>
                <w:rFonts w:ascii="Arial" w:hAnsi="Arial" w:cs="Arial"/>
                <w:sz w:val="24"/>
                <w:szCs w:val="24"/>
              </w:rPr>
              <w:t>Date</w:t>
            </w:r>
          </w:p>
        </w:tc>
        <w:tc>
          <w:tcPr>
            <w:tcW w:w="7470" w:type="dxa"/>
          </w:tcPr>
          <w:p w14:paraId="64CE4BDF" w14:textId="77777777" w:rsidR="001506C1" w:rsidRPr="00FA3F9C" w:rsidRDefault="001506C1" w:rsidP="006F623F">
            <w:pPr>
              <w:rPr>
                <w:rFonts w:ascii="Arial" w:hAnsi="Arial" w:cs="Arial"/>
                <w:sz w:val="24"/>
                <w:szCs w:val="24"/>
              </w:rPr>
            </w:pPr>
            <w:r w:rsidRPr="00FA3F9C">
              <w:rPr>
                <w:rFonts w:ascii="Arial" w:hAnsi="Arial" w:cs="Arial"/>
                <w:sz w:val="24"/>
                <w:szCs w:val="24"/>
              </w:rPr>
              <w:t>What changed</w:t>
            </w:r>
          </w:p>
        </w:tc>
        <w:tc>
          <w:tcPr>
            <w:tcW w:w="2538" w:type="dxa"/>
          </w:tcPr>
          <w:p w14:paraId="5941A4F8" w14:textId="77777777" w:rsidR="001506C1" w:rsidRPr="00FA3F9C" w:rsidRDefault="001506C1" w:rsidP="006F623F">
            <w:pPr>
              <w:rPr>
                <w:rFonts w:ascii="Arial" w:hAnsi="Arial" w:cs="Arial"/>
                <w:sz w:val="24"/>
                <w:szCs w:val="24"/>
              </w:rPr>
            </w:pPr>
            <w:r w:rsidRPr="00FA3F9C">
              <w:rPr>
                <w:rFonts w:ascii="Arial" w:hAnsi="Arial" w:cs="Arial"/>
                <w:sz w:val="24"/>
                <w:szCs w:val="24"/>
              </w:rPr>
              <w:t>Pharmacist’s initials</w:t>
            </w:r>
          </w:p>
        </w:tc>
      </w:tr>
      <w:tr w:rsidR="001506C1" w:rsidRPr="00FA3F9C" w14:paraId="1492A27A" w14:textId="77777777" w:rsidTr="00FE491B">
        <w:tc>
          <w:tcPr>
            <w:tcW w:w="1008" w:type="dxa"/>
          </w:tcPr>
          <w:p w14:paraId="4FD5D8B6" w14:textId="77777777" w:rsidR="001506C1" w:rsidRPr="00FA3F9C" w:rsidRDefault="001506C1" w:rsidP="006F623F">
            <w:pPr>
              <w:rPr>
                <w:rFonts w:ascii="Arial" w:hAnsi="Arial" w:cs="Arial"/>
                <w:sz w:val="24"/>
                <w:szCs w:val="24"/>
              </w:rPr>
            </w:pPr>
            <w:r w:rsidRPr="00FA3F9C">
              <w:rPr>
                <w:rFonts w:ascii="Arial" w:hAnsi="Arial" w:cs="Arial"/>
                <w:sz w:val="24"/>
                <w:szCs w:val="24"/>
              </w:rPr>
              <w:t>10/14/21</w:t>
            </w:r>
          </w:p>
        </w:tc>
        <w:tc>
          <w:tcPr>
            <w:tcW w:w="7470" w:type="dxa"/>
          </w:tcPr>
          <w:p w14:paraId="59E7987B" w14:textId="77777777" w:rsidR="001506C1" w:rsidRPr="00FA3F9C" w:rsidRDefault="001506C1" w:rsidP="006F623F">
            <w:pPr>
              <w:rPr>
                <w:rFonts w:ascii="Arial" w:hAnsi="Arial" w:cs="Arial"/>
                <w:sz w:val="24"/>
                <w:szCs w:val="24"/>
              </w:rPr>
            </w:pPr>
            <w:r w:rsidRPr="00FA3F9C">
              <w:rPr>
                <w:rFonts w:ascii="Arial" w:hAnsi="Arial" w:cs="Arial"/>
                <w:sz w:val="24"/>
                <w:szCs w:val="24"/>
              </w:rPr>
              <w:t>I wrote the criteria.</w:t>
            </w:r>
          </w:p>
        </w:tc>
        <w:tc>
          <w:tcPr>
            <w:tcW w:w="2538" w:type="dxa"/>
          </w:tcPr>
          <w:p w14:paraId="24D182C6" w14:textId="77777777" w:rsidR="001506C1" w:rsidRPr="00FA3F9C" w:rsidRDefault="001506C1" w:rsidP="006F623F">
            <w:pPr>
              <w:rPr>
                <w:rFonts w:ascii="Arial" w:hAnsi="Arial" w:cs="Arial"/>
                <w:sz w:val="24"/>
                <w:szCs w:val="24"/>
              </w:rPr>
            </w:pPr>
            <w:r w:rsidRPr="00FA3F9C">
              <w:rPr>
                <w:rFonts w:ascii="Arial" w:hAnsi="Arial" w:cs="Arial"/>
                <w:sz w:val="24"/>
                <w:szCs w:val="24"/>
              </w:rPr>
              <w:t>JJ</w:t>
            </w:r>
          </w:p>
        </w:tc>
      </w:tr>
      <w:tr w:rsidR="001506C1" w:rsidRPr="00FA3F9C" w14:paraId="2AC23041" w14:textId="77777777" w:rsidTr="00FE491B">
        <w:tc>
          <w:tcPr>
            <w:tcW w:w="1008" w:type="dxa"/>
          </w:tcPr>
          <w:p w14:paraId="586FCCCE" w14:textId="77777777" w:rsidR="001506C1" w:rsidRPr="00FA3F9C" w:rsidRDefault="001506C1" w:rsidP="006F623F">
            <w:pPr>
              <w:rPr>
                <w:rFonts w:ascii="Arial" w:hAnsi="Arial" w:cs="Arial"/>
                <w:sz w:val="24"/>
                <w:szCs w:val="24"/>
              </w:rPr>
            </w:pPr>
          </w:p>
        </w:tc>
        <w:tc>
          <w:tcPr>
            <w:tcW w:w="7470" w:type="dxa"/>
          </w:tcPr>
          <w:p w14:paraId="5410D44D" w14:textId="77777777" w:rsidR="001506C1" w:rsidRPr="00FA3F9C" w:rsidRDefault="001506C1" w:rsidP="006F623F">
            <w:pPr>
              <w:rPr>
                <w:rFonts w:ascii="Arial" w:hAnsi="Arial" w:cs="Arial"/>
                <w:sz w:val="24"/>
                <w:szCs w:val="24"/>
              </w:rPr>
            </w:pPr>
          </w:p>
        </w:tc>
        <w:tc>
          <w:tcPr>
            <w:tcW w:w="2538" w:type="dxa"/>
          </w:tcPr>
          <w:p w14:paraId="24AD632B" w14:textId="77777777" w:rsidR="001506C1" w:rsidRPr="00FA3F9C" w:rsidRDefault="001506C1" w:rsidP="006F623F">
            <w:pPr>
              <w:rPr>
                <w:rFonts w:ascii="Arial" w:hAnsi="Arial" w:cs="Arial"/>
                <w:sz w:val="24"/>
                <w:szCs w:val="24"/>
              </w:rPr>
            </w:pPr>
          </w:p>
        </w:tc>
      </w:tr>
    </w:tbl>
    <w:p w14:paraId="76C1F9F6" w14:textId="77777777" w:rsidR="001506C1" w:rsidRPr="00FA3F9C" w:rsidRDefault="001506C1" w:rsidP="00076432"/>
    <w:p w14:paraId="34111B4F" w14:textId="77777777" w:rsidR="005005CA" w:rsidRDefault="005005CA">
      <w:pPr>
        <w:rPr>
          <w:rFonts w:ascii="Arial" w:eastAsia="Times New Roman" w:hAnsi="Arial" w:cs="Arial"/>
          <w:b/>
          <w:sz w:val="28"/>
          <w:szCs w:val="20"/>
          <w:lang w:val="es-ES"/>
        </w:rPr>
      </w:pPr>
      <w:bookmarkStart w:id="17" w:name="_Toc106369719"/>
      <w:r>
        <w:rPr>
          <w:lang w:val="es-ES"/>
        </w:rPr>
        <w:br w:type="page"/>
      </w:r>
    </w:p>
    <w:p w14:paraId="5EC3A324" w14:textId="47055EC2" w:rsidR="00CA4C3C" w:rsidRDefault="001506C1" w:rsidP="00CA4C3C">
      <w:pPr>
        <w:pStyle w:val="Heading2"/>
        <w:rPr>
          <w:lang w:val="es-ES"/>
        </w:rPr>
      </w:pPr>
      <w:proofErr w:type="spellStart"/>
      <w:r w:rsidRPr="00FA3F9C">
        <w:rPr>
          <w:lang w:val="es-ES"/>
        </w:rPr>
        <w:lastRenderedPageBreak/>
        <w:t>Apremilast</w:t>
      </w:r>
      <w:proofErr w:type="spellEnd"/>
      <w:r w:rsidRPr="00FA3F9C">
        <w:rPr>
          <w:lang w:val="es-ES"/>
        </w:rPr>
        <w:t xml:space="preserve"> (</w:t>
      </w:r>
      <w:proofErr w:type="spellStart"/>
      <w:r w:rsidRPr="00FA3F9C">
        <w:rPr>
          <w:lang w:val="es-ES"/>
        </w:rPr>
        <w:t>Otezla</w:t>
      </w:r>
      <w:proofErr w:type="spellEnd"/>
      <w:r w:rsidRPr="00FA3F9C">
        <w:rPr>
          <w:lang w:val="es-ES"/>
        </w:rPr>
        <w:t>®)</w:t>
      </w:r>
      <w:bookmarkEnd w:id="17"/>
      <w:r w:rsidRPr="00FA3F9C">
        <w:rPr>
          <w:lang w:val="es-ES"/>
        </w:rPr>
        <w:t xml:space="preserve"> </w:t>
      </w:r>
    </w:p>
    <w:p w14:paraId="5847A48D" w14:textId="3B664DCE" w:rsidR="001506C1" w:rsidRPr="00FA3F9C" w:rsidRDefault="001506C1" w:rsidP="002A23A6">
      <w:pPr>
        <w:jc w:val="center"/>
        <w:rPr>
          <w:rFonts w:ascii="Arial" w:hAnsi="Arial" w:cs="Arial"/>
          <w:b/>
          <w:sz w:val="24"/>
          <w:szCs w:val="24"/>
          <w:lang w:val="es-ES"/>
        </w:rPr>
      </w:pPr>
      <w:r w:rsidRPr="00FA3F9C">
        <w:rPr>
          <w:rFonts w:ascii="Arial" w:hAnsi="Arial" w:cs="Arial"/>
          <w:b/>
          <w:sz w:val="24"/>
          <w:szCs w:val="24"/>
          <w:lang w:val="es-ES"/>
        </w:rPr>
        <w:t xml:space="preserve"> 10, 20, 30mg </w:t>
      </w:r>
      <w:proofErr w:type="spellStart"/>
      <w:r w:rsidRPr="00FA3F9C">
        <w:rPr>
          <w:rFonts w:ascii="Arial" w:hAnsi="Arial" w:cs="Arial"/>
          <w:b/>
          <w:sz w:val="24"/>
          <w:szCs w:val="24"/>
          <w:lang w:val="es-ES"/>
        </w:rPr>
        <w:t>tablets</w:t>
      </w:r>
      <w:proofErr w:type="spellEnd"/>
      <w:r w:rsidRPr="00FA3F9C">
        <w:rPr>
          <w:rFonts w:ascii="Arial" w:hAnsi="Arial" w:cs="Arial"/>
          <w:b/>
          <w:sz w:val="24"/>
          <w:szCs w:val="24"/>
          <w:lang w:val="es-ES"/>
        </w:rPr>
        <w:t xml:space="preserve"> </w:t>
      </w:r>
    </w:p>
    <w:p w14:paraId="4F809B20" w14:textId="77777777" w:rsidR="001506C1" w:rsidRPr="00FA3F9C" w:rsidRDefault="001506C1" w:rsidP="002A23A6">
      <w:pPr>
        <w:jc w:val="center"/>
        <w:rPr>
          <w:rFonts w:ascii="Arial" w:hAnsi="Arial" w:cs="Arial"/>
          <w:b/>
          <w:sz w:val="24"/>
          <w:szCs w:val="24"/>
          <w:lang w:val="es-ES"/>
        </w:rPr>
      </w:pPr>
      <w:r w:rsidRPr="00FA3F9C">
        <w:rPr>
          <w:rFonts w:ascii="Arial" w:hAnsi="Arial" w:cs="Arial"/>
          <w:b/>
          <w:sz w:val="24"/>
          <w:szCs w:val="24"/>
          <w:lang w:val="es-ES"/>
        </w:rPr>
        <w:t xml:space="preserve">EBRx PA </w:t>
      </w:r>
      <w:proofErr w:type="spellStart"/>
      <w:r w:rsidRPr="00FA3F9C">
        <w:rPr>
          <w:rFonts w:ascii="Arial" w:hAnsi="Arial" w:cs="Arial"/>
          <w:b/>
          <w:sz w:val="24"/>
          <w:szCs w:val="24"/>
          <w:lang w:val="es-ES"/>
        </w:rPr>
        <w:t>Criteria</w:t>
      </w:r>
      <w:proofErr w:type="spellEnd"/>
    </w:p>
    <w:p w14:paraId="13CBF5AA" w14:textId="77777777" w:rsidR="001506C1" w:rsidRPr="00FA3F9C" w:rsidRDefault="001506C1" w:rsidP="0015446A">
      <w:pPr>
        <w:rPr>
          <w:rFonts w:ascii="Arial" w:hAnsi="Arial" w:cs="Arial"/>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6"/>
      </w:tblGrid>
      <w:tr w:rsidR="001506C1" w:rsidRPr="00FA3F9C" w14:paraId="10A2F790" w14:textId="77777777" w:rsidTr="009E36D2">
        <w:tc>
          <w:tcPr>
            <w:tcW w:w="10296" w:type="dxa"/>
            <w:shd w:val="clear" w:color="auto" w:fill="000000"/>
          </w:tcPr>
          <w:p w14:paraId="129C48D6" w14:textId="77777777" w:rsidR="001506C1" w:rsidRPr="00FA3F9C" w:rsidRDefault="001506C1" w:rsidP="0015446A">
            <w:pPr>
              <w:rPr>
                <w:rFonts w:ascii="Arial" w:hAnsi="Arial" w:cs="Arial"/>
                <w:sz w:val="24"/>
                <w:szCs w:val="24"/>
                <w:lang w:val="es-ES"/>
              </w:rPr>
            </w:pPr>
            <w:r w:rsidRPr="00FA3F9C">
              <w:rPr>
                <w:rFonts w:ascii="Arial" w:hAnsi="Arial" w:cs="Arial"/>
                <w:sz w:val="24"/>
                <w:szCs w:val="24"/>
                <w:lang w:val="es-ES"/>
              </w:rPr>
              <w:t>Plaque Psoriasis</w:t>
            </w:r>
          </w:p>
        </w:tc>
      </w:tr>
      <w:tr w:rsidR="001506C1" w:rsidRPr="00FA3F9C" w14:paraId="35A03AC1" w14:textId="77777777" w:rsidTr="009E36D2">
        <w:tc>
          <w:tcPr>
            <w:tcW w:w="10296" w:type="dxa"/>
            <w:shd w:val="clear" w:color="auto" w:fill="auto"/>
          </w:tcPr>
          <w:p w14:paraId="56FFFD2B" w14:textId="77777777" w:rsidR="001506C1" w:rsidRPr="00FA3F9C" w:rsidRDefault="001506C1" w:rsidP="0015446A">
            <w:pPr>
              <w:rPr>
                <w:rFonts w:ascii="Arial" w:hAnsi="Arial" w:cs="Arial"/>
                <w:sz w:val="24"/>
                <w:szCs w:val="24"/>
              </w:rPr>
            </w:pPr>
            <w:r w:rsidRPr="00FA3F9C">
              <w:rPr>
                <w:rFonts w:ascii="Arial" w:hAnsi="Arial" w:cs="Arial"/>
                <w:sz w:val="24"/>
                <w:szCs w:val="24"/>
              </w:rPr>
              <w:t xml:space="preserve">1. The patient must have the diagnosis moderate to severe (affecting </w:t>
            </w:r>
            <w:r w:rsidRPr="00FA3F9C">
              <w:rPr>
                <w:rFonts w:ascii="Arial" w:hAnsi="Arial" w:cs="Arial"/>
                <w:sz w:val="24"/>
                <w:szCs w:val="24"/>
                <w:u w:val="single"/>
              </w:rPr>
              <w:t>&gt;</w:t>
            </w:r>
            <w:r w:rsidRPr="00FA3F9C">
              <w:rPr>
                <w:rFonts w:ascii="Arial" w:hAnsi="Arial" w:cs="Arial"/>
                <w:sz w:val="24"/>
                <w:szCs w:val="24"/>
              </w:rPr>
              <w:t>5% BSA) plaque psoriasis.</w:t>
            </w:r>
          </w:p>
        </w:tc>
      </w:tr>
      <w:tr w:rsidR="001506C1" w:rsidRPr="00FA3F9C" w14:paraId="7269A2A0" w14:textId="77777777" w:rsidTr="009E36D2">
        <w:tc>
          <w:tcPr>
            <w:tcW w:w="10296" w:type="dxa"/>
            <w:shd w:val="clear" w:color="auto" w:fill="auto"/>
          </w:tcPr>
          <w:p w14:paraId="5EFAD9AD" w14:textId="77777777" w:rsidR="001506C1" w:rsidRPr="00FA3F9C" w:rsidRDefault="001506C1" w:rsidP="0015446A">
            <w:pPr>
              <w:rPr>
                <w:rFonts w:ascii="Arial" w:hAnsi="Arial" w:cs="Arial"/>
                <w:sz w:val="24"/>
                <w:szCs w:val="24"/>
              </w:rPr>
            </w:pPr>
            <w:r w:rsidRPr="00FA3F9C">
              <w:rPr>
                <w:rFonts w:ascii="Arial" w:hAnsi="Arial" w:cs="Arial"/>
                <w:sz w:val="24"/>
                <w:szCs w:val="24"/>
              </w:rPr>
              <w:t xml:space="preserve">2. The patient must have either failed 3 months of phototherapy or systemic therapy, or not be a candidate for it. [Prescriber must state a reasonable reason, in the opinion of the call center pharmacist, why the patient is not a candidate for either phototherapy or other systemic therapy listed below.] </w:t>
            </w:r>
          </w:p>
          <w:p w14:paraId="587D9A56" w14:textId="77777777" w:rsidR="001506C1" w:rsidRPr="00FA3F9C" w:rsidRDefault="001506C1" w:rsidP="0015446A">
            <w:pPr>
              <w:rPr>
                <w:rFonts w:ascii="Arial" w:hAnsi="Arial" w:cs="Arial"/>
                <w:sz w:val="24"/>
                <w:szCs w:val="24"/>
              </w:rPr>
            </w:pPr>
          </w:p>
          <w:p w14:paraId="6596C2EF" w14:textId="77777777" w:rsidR="001506C1" w:rsidRPr="00FA3F9C" w:rsidRDefault="001506C1" w:rsidP="0015446A">
            <w:pPr>
              <w:rPr>
                <w:rFonts w:ascii="Arial" w:hAnsi="Arial" w:cs="Arial"/>
                <w:sz w:val="24"/>
                <w:szCs w:val="24"/>
                <w:lang w:val="es-ES"/>
              </w:rPr>
            </w:pPr>
            <w:proofErr w:type="spellStart"/>
            <w:r w:rsidRPr="00FA3F9C">
              <w:rPr>
                <w:rFonts w:ascii="Arial" w:hAnsi="Arial" w:cs="Arial"/>
                <w:sz w:val="24"/>
                <w:szCs w:val="24"/>
                <w:lang w:val="es-ES"/>
              </w:rPr>
              <w:t>Examples</w:t>
            </w:r>
            <w:proofErr w:type="spellEnd"/>
            <w:r w:rsidRPr="00FA3F9C">
              <w:rPr>
                <w:rFonts w:ascii="Arial" w:hAnsi="Arial" w:cs="Arial"/>
                <w:sz w:val="24"/>
                <w:szCs w:val="24"/>
                <w:lang w:val="es-ES"/>
              </w:rPr>
              <w:t xml:space="preserve"> </w:t>
            </w:r>
            <w:proofErr w:type="spellStart"/>
            <w:r w:rsidRPr="00FA3F9C">
              <w:rPr>
                <w:rFonts w:ascii="Arial" w:hAnsi="Arial" w:cs="Arial"/>
                <w:sz w:val="24"/>
                <w:szCs w:val="24"/>
                <w:lang w:val="es-ES"/>
              </w:rPr>
              <w:t>include</w:t>
            </w:r>
            <w:proofErr w:type="spellEnd"/>
            <w:r w:rsidRPr="00FA3F9C">
              <w:rPr>
                <w:rFonts w:ascii="Arial" w:hAnsi="Arial" w:cs="Arial"/>
                <w:sz w:val="24"/>
                <w:szCs w:val="24"/>
                <w:lang w:val="es-ES"/>
              </w:rPr>
              <w:t>:</w:t>
            </w:r>
          </w:p>
          <w:p w14:paraId="63C14807" w14:textId="77777777" w:rsidR="001506C1" w:rsidRPr="00FA3F9C" w:rsidRDefault="001506C1" w:rsidP="001506C1">
            <w:pPr>
              <w:numPr>
                <w:ilvl w:val="0"/>
                <w:numId w:val="18"/>
              </w:numPr>
              <w:spacing w:after="0" w:line="240" w:lineRule="auto"/>
              <w:rPr>
                <w:rFonts w:ascii="Arial" w:hAnsi="Arial" w:cs="Arial"/>
                <w:sz w:val="24"/>
                <w:szCs w:val="24"/>
              </w:rPr>
            </w:pPr>
            <w:r w:rsidRPr="00FA3F9C">
              <w:rPr>
                <w:rFonts w:ascii="Arial" w:hAnsi="Arial" w:cs="Arial"/>
                <w:sz w:val="24"/>
                <w:szCs w:val="24"/>
              </w:rPr>
              <w:t>systemic therapy: methotrexate or cyclosporine or acitretin systemic therapy</w:t>
            </w:r>
          </w:p>
          <w:p w14:paraId="08F52264" w14:textId="77777777" w:rsidR="001506C1" w:rsidRPr="00FA3F9C" w:rsidRDefault="001506C1" w:rsidP="001506C1">
            <w:pPr>
              <w:numPr>
                <w:ilvl w:val="0"/>
                <w:numId w:val="18"/>
              </w:numPr>
              <w:spacing w:after="0" w:line="240" w:lineRule="auto"/>
              <w:rPr>
                <w:rFonts w:ascii="Arial" w:hAnsi="Arial" w:cs="Arial"/>
                <w:sz w:val="24"/>
                <w:szCs w:val="24"/>
              </w:rPr>
            </w:pPr>
            <w:r w:rsidRPr="00FA3F9C">
              <w:rPr>
                <w:rFonts w:ascii="Arial" w:hAnsi="Arial" w:cs="Arial"/>
                <w:sz w:val="24"/>
                <w:szCs w:val="24"/>
              </w:rPr>
              <w:t xml:space="preserve">phototherapy (broadband ultraviolet B (UVB), narrowband UVB, and psoralen with ultraviolet A (PUVA) </w:t>
            </w:r>
          </w:p>
          <w:p w14:paraId="3F3514BE" w14:textId="77777777" w:rsidR="001506C1" w:rsidRPr="00FA3F9C" w:rsidRDefault="001506C1" w:rsidP="001506C1">
            <w:pPr>
              <w:numPr>
                <w:ilvl w:val="0"/>
                <w:numId w:val="18"/>
              </w:numPr>
              <w:spacing w:after="0" w:line="240" w:lineRule="auto"/>
              <w:rPr>
                <w:rFonts w:ascii="Arial" w:hAnsi="Arial" w:cs="Arial"/>
                <w:sz w:val="24"/>
                <w:szCs w:val="24"/>
                <w:lang w:val="es-ES"/>
              </w:rPr>
            </w:pPr>
            <w:r w:rsidRPr="00FA3F9C">
              <w:rPr>
                <w:rFonts w:ascii="Arial" w:hAnsi="Arial" w:cs="Arial"/>
                <w:sz w:val="24"/>
                <w:szCs w:val="24"/>
              </w:rPr>
              <w:t xml:space="preserve">topical treatments (calcineurin inhibitors (tacrolimus or </w:t>
            </w:r>
            <w:proofErr w:type="spellStart"/>
            <w:r w:rsidRPr="00FA3F9C">
              <w:rPr>
                <w:rFonts w:ascii="Arial" w:hAnsi="Arial" w:cs="Arial"/>
                <w:sz w:val="24"/>
                <w:szCs w:val="24"/>
              </w:rPr>
              <w:t>pimecrolimus</w:t>
            </w:r>
            <w:proofErr w:type="spellEnd"/>
            <w:r w:rsidRPr="00FA3F9C">
              <w:rPr>
                <w:rFonts w:ascii="Arial" w:hAnsi="Arial" w:cs="Arial"/>
                <w:sz w:val="24"/>
                <w:szCs w:val="24"/>
              </w:rPr>
              <w:t>), topical corticosteroids, vitamin D analogs (calcipotriene), topical retinoids (tazarotene))</w:t>
            </w:r>
          </w:p>
        </w:tc>
      </w:tr>
    </w:tbl>
    <w:p w14:paraId="5990B9A7" w14:textId="77777777" w:rsidR="001506C1" w:rsidRPr="00FA3F9C" w:rsidRDefault="001506C1" w:rsidP="00655F04">
      <w:pPr>
        <w:rPr>
          <w:rFonts w:ascii="Arial" w:hAnsi="Arial" w:cs="Arial"/>
          <w:b/>
          <w:sz w:val="24"/>
          <w:szCs w:val="24"/>
        </w:rPr>
      </w:pPr>
      <w:r w:rsidRPr="00FA3F9C">
        <w:rPr>
          <w:rFonts w:ascii="Arial" w:hAnsi="Arial" w:cs="Arial"/>
          <w:b/>
          <w:sz w:val="24"/>
          <w:szCs w:val="24"/>
        </w:rPr>
        <w:t xml:space="preserve">Note: Concurrent TIMs with </w:t>
      </w:r>
      <w:proofErr w:type="spellStart"/>
      <w:r w:rsidRPr="00FA3F9C">
        <w:rPr>
          <w:rFonts w:ascii="Arial" w:hAnsi="Arial" w:cs="Arial"/>
          <w:b/>
          <w:sz w:val="24"/>
          <w:szCs w:val="24"/>
        </w:rPr>
        <w:t>apremilast</w:t>
      </w:r>
      <w:proofErr w:type="spellEnd"/>
      <w:r w:rsidRPr="00FA3F9C">
        <w:rPr>
          <w:rFonts w:ascii="Arial" w:hAnsi="Arial" w:cs="Arial"/>
          <w:b/>
          <w:sz w:val="24"/>
          <w:szCs w:val="24"/>
        </w:rPr>
        <w:t xml:space="preserve"> are not recommended.</w:t>
      </w:r>
    </w:p>
    <w:p w14:paraId="202F1A4E" w14:textId="77777777" w:rsidR="001506C1" w:rsidRPr="00FA3F9C" w:rsidRDefault="001506C1" w:rsidP="00655F04">
      <w:pPr>
        <w:rPr>
          <w:rFonts w:ascii="Arial" w:hAnsi="Arial" w:cs="Arial"/>
          <w:b/>
          <w:sz w:val="24"/>
          <w:szCs w:val="24"/>
          <w:lang w:val="es-ES"/>
        </w:rPr>
      </w:pPr>
      <w:r w:rsidRPr="00FA3F9C">
        <w:rPr>
          <w:rFonts w:ascii="Arial" w:hAnsi="Arial" w:cs="Arial"/>
          <w:b/>
          <w:sz w:val="24"/>
          <w:szCs w:val="24"/>
        </w:rPr>
        <w:t xml:space="preserve">If approved, only </w:t>
      </w:r>
      <w:proofErr w:type="gramStart"/>
      <w:r w:rsidRPr="00FA3F9C">
        <w:rPr>
          <w:rFonts w:ascii="Arial" w:hAnsi="Arial" w:cs="Arial"/>
          <w:b/>
          <w:sz w:val="24"/>
          <w:szCs w:val="24"/>
        </w:rPr>
        <w:t>30 day</w:t>
      </w:r>
      <w:proofErr w:type="gramEnd"/>
      <w:r w:rsidRPr="00FA3F9C">
        <w:rPr>
          <w:rFonts w:ascii="Arial" w:hAnsi="Arial" w:cs="Arial"/>
          <w:b/>
          <w:sz w:val="24"/>
          <w:szCs w:val="24"/>
        </w:rPr>
        <w:t xml:space="preserve"> fills are available through this pharmacy plan.  </w:t>
      </w:r>
      <w:proofErr w:type="spellStart"/>
      <w:r w:rsidRPr="00FA3F9C">
        <w:rPr>
          <w:rFonts w:ascii="Arial" w:hAnsi="Arial" w:cs="Arial"/>
          <w:b/>
          <w:sz w:val="24"/>
          <w:szCs w:val="24"/>
          <w:lang w:val="es-ES"/>
        </w:rPr>
        <w:t>The</w:t>
      </w:r>
      <w:proofErr w:type="spellEnd"/>
      <w:r w:rsidRPr="00FA3F9C">
        <w:rPr>
          <w:rFonts w:ascii="Arial" w:hAnsi="Arial" w:cs="Arial"/>
          <w:b/>
          <w:sz w:val="24"/>
          <w:szCs w:val="24"/>
          <w:lang w:val="es-ES"/>
        </w:rPr>
        <w:t xml:space="preserve"> PA </w:t>
      </w:r>
      <w:proofErr w:type="spellStart"/>
      <w:r w:rsidRPr="00FA3F9C">
        <w:rPr>
          <w:rFonts w:ascii="Arial" w:hAnsi="Arial" w:cs="Arial"/>
          <w:b/>
          <w:sz w:val="24"/>
          <w:szCs w:val="24"/>
          <w:lang w:val="es-ES"/>
        </w:rPr>
        <w:t>is</w:t>
      </w:r>
      <w:proofErr w:type="spellEnd"/>
      <w:r w:rsidRPr="00FA3F9C">
        <w:rPr>
          <w:rFonts w:ascii="Arial" w:hAnsi="Arial" w:cs="Arial"/>
          <w:b/>
          <w:sz w:val="24"/>
          <w:szCs w:val="24"/>
          <w:lang w:val="es-ES"/>
        </w:rPr>
        <w:t xml:space="preserve"> </w:t>
      </w:r>
      <w:proofErr w:type="spellStart"/>
      <w:r w:rsidRPr="00FA3F9C">
        <w:rPr>
          <w:rFonts w:ascii="Arial" w:hAnsi="Arial" w:cs="Arial"/>
          <w:b/>
          <w:sz w:val="24"/>
          <w:szCs w:val="24"/>
          <w:lang w:val="es-ES"/>
        </w:rPr>
        <w:t>good</w:t>
      </w:r>
      <w:proofErr w:type="spellEnd"/>
      <w:r w:rsidRPr="00FA3F9C">
        <w:rPr>
          <w:rFonts w:ascii="Arial" w:hAnsi="Arial" w:cs="Arial"/>
          <w:b/>
          <w:sz w:val="24"/>
          <w:szCs w:val="24"/>
          <w:lang w:val="es-ES"/>
        </w:rPr>
        <w:t xml:space="preserve"> </w:t>
      </w:r>
      <w:proofErr w:type="spellStart"/>
      <w:r w:rsidRPr="00FA3F9C">
        <w:rPr>
          <w:rFonts w:ascii="Arial" w:hAnsi="Arial" w:cs="Arial"/>
          <w:b/>
          <w:sz w:val="24"/>
          <w:szCs w:val="24"/>
          <w:lang w:val="es-ES"/>
        </w:rPr>
        <w:t>for</w:t>
      </w:r>
      <w:proofErr w:type="spellEnd"/>
      <w:r w:rsidRPr="00FA3F9C">
        <w:rPr>
          <w:rFonts w:ascii="Arial" w:hAnsi="Arial" w:cs="Arial"/>
          <w:b/>
          <w:sz w:val="24"/>
          <w:szCs w:val="24"/>
          <w:lang w:val="es-ES"/>
        </w:rPr>
        <w:t xml:space="preserve"> 1 </w:t>
      </w:r>
      <w:proofErr w:type="spellStart"/>
      <w:r w:rsidRPr="00FA3F9C">
        <w:rPr>
          <w:rFonts w:ascii="Arial" w:hAnsi="Arial" w:cs="Arial"/>
          <w:b/>
          <w:sz w:val="24"/>
          <w:szCs w:val="24"/>
          <w:lang w:val="es-ES"/>
        </w:rPr>
        <w:t>year</w:t>
      </w:r>
      <w:proofErr w:type="spellEnd"/>
      <w:r w:rsidRPr="00FA3F9C">
        <w:rPr>
          <w:rFonts w:ascii="Arial" w:hAnsi="Arial" w:cs="Arial"/>
          <w:b/>
          <w:sz w:val="24"/>
          <w:szCs w:val="24"/>
          <w:lang w:val="es-ES"/>
        </w:rPr>
        <w:t>.</w:t>
      </w:r>
    </w:p>
    <w:p w14:paraId="4A10E59F" w14:textId="77777777" w:rsidR="001506C1" w:rsidRPr="00FA3F9C" w:rsidRDefault="001506C1" w:rsidP="0015446A">
      <w:pPr>
        <w:rPr>
          <w:rFonts w:ascii="Arial" w:hAnsi="Arial" w:cs="Arial"/>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6"/>
      </w:tblGrid>
      <w:tr w:rsidR="001506C1" w:rsidRPr="00FA3F9C" w14:paraId="6520441D" w14:textId="77777777" w:rsidTr="009E36D2">
        <w:tc>
          <w:tcPr>
            <w:tcW w:w="10296" w:type="dxa"/>
            <w:shd w:val="clear" w:color="auto" w:fill="000000"/>
          </w:tcPr>
          <w:p w14:paraId="0545E2F3" w14:textId="77777777" w:rsidR="001506C1" w:rsidRPr="00FA3F9C" w:rsidRDefault="001506C1" w:rsidP="0015446A">
            <w:pPr>
              <w:rPr>
                <w:rFonts w:ascii="Arial" w:hAnsi="Arial" w:cs="Arial"/>
                <w:sz w:val="24"/>
                <w:szCs w:val="24"/>
                <w:lang w:val="es-ES"/>
              </w:rPr>
            </w:pPr>
            <w:proofErr w:type="spellStart"/>
            <w:r w:rsidRPr="00FA3F9C">
              <w:rPr>
                <w:rFonts w:ascii="Arial" w:hAnsi="Arial" w:cs="Arial"/>
                <w:sz w:val="24"/>
                <w:szCs w:val="24"/>
                <w:lang w:val="es-ES"/>
              </w:rPr>
              <w:t>Psoriatic</w:t>
            </w:r>
            <w:proofErr w:type="spellEnd"/>
            <w:r w:rsidRPr="00FA3F9C">
              <w:rPr>
                <w:rFonts w:ascii="Arial" w:hAnsi="Arial" w:cs="Arial"/>
                <w:sz w:val="24"/>
                <w:szCs w:val="24"/>
                <w:lang w:val="es-ES"/>
              </w:rPr>
              <w:t xml:space="preserve"> </w:t>
            </w:r>
            <w:proofErr w:type="spellStart"/>
            <w:r w:rsidRPr="00FA3F9C">
              <w:rPr>
                <w:rFonts w:ascii="Arial" w:hAnsi="Arial" w:cs="Arial"/>
                <w:sz w:val="24"/>
                <w:szCs w:val="24"/>
                <w:lang w:val="es-ES"/>
              </w:rPr>
              <w:t>Arthritis</w:t>
            </w:r>
            <w:proofErr w:type="spellEnd"/>
          </w:p>
        </w:tc>
      </w:tr>
      <w:tr w:rsidR="001506C1" w:rsidRPr="00FA3F9C" w14:paraId="76AB105E" w14:textId="77777777" w:rsidTr="009E36D2">
        <w:tc>
          <w:tcPr>
            <w:tcW w:w="10296" w:type="dxa"/>
            <w:shd w:val="clear" w:color="auto" w:fill="auto"/>
          </w:tcPr>
          <w:p w14:paraId="21E20373" w14:textId="77777777" w:rsidR="001506C1" w:rsidRPr="00FA3F9C" w:rsidRDefault="001506C1" w:rsidP="0015446A">
            <w:pPr>
              <w:rPr>
                <w:rFonts w:ascii="Arial" w:hAnsi="Arial" w:cs="Arial"/>
                <w:sz w:val="24"/>
                <w:szCs w:val="24"/>
              </w:rPr>
            </w:pPr>
            <w:r w:rsidRPr="00FA3F9C">
              <w:rPr>
                <w:rFonts w:ascii="Arial" w:hAnsi="Arial" w:cs="Arial"/>
                <w:sz w:val="24"/>
                <w:szCs w:val="24"/>
              </w:rPr>
              <w:t>1. The patient must have the diagnosis “active psoriatic arthritis”.</w:t>
            </w:r>
          </w:p>
        </w:tc>
      </w:tr>
      <w:tr w:rsidR="001506C1" w:rsidRPr="00FA3F9C" w14:paraId="5C5B4A39" w14:textId="77777777" w:rsidTr="009E36D2">
        <w:tc>
          <w:tcPr>
            <w:tcW w:w="10296" w:type="dxa"/>
            <w:shd w:val="clear" w:color="auto" w:fill="auto"/>
          </w:tcPr>
          <w:p w14:paraId="1B9FCBD4" w14:textId="77777777" w:rsidR="001506C1" w:rsidRPr="00FA3F9C" w:rsidRDefault="001506C1" w:rsidP="0015446A">
            <w:pPr>
              <w:rPr>
                <w:rFonts w:ascii="Arial" w:hAnsi="Arial" w:cs="Arial"/>
                <w:sz w:val="24"/>
                <w:szCs w:val="24"/>
                <w:lang w:val="es-ES"/>
              </w:rPr>
            </w:pPr>
            <w:r w:rsidRPr="00FA3F9C">
              <w:rPr>
                <w:rFonts w:ascii="Arial" w:hAnsi="Arial" w:cs="Arial"/>
                <w:sz w:val="24"/>
                <w:szCs w:val="24"/>
              </w:rPr>
              <w:lastRenderedPageBreak/>
              <w:t xml:space="preserve">2. The patient must have failed at least 2 NSAIDs at therapeutic doses.  </w:t>
            </w:r>
            <w:proofErr w:type="spellStart"/>
            <w:r w:rsidRPr="00FA3F9C">
              <w:rPr>
                <w:rFonts w:ascii="Arial" w:hAnsi="Arial" w:cs="Arial"/>
                <w:sz w:val="24"/>
                <w:szCs w:val="24"/>
                <w:lang w:val="es-ES"/>
              </w:rPr>
              <w:t>Each</w:t>
            </w:r>
            <w:proofErr w:type="spellEnd"/>
            <w:r w:rsidRPr="00FA3F9C">
              <w:rPr>
                <w:rFonts w:ascii="Arial" w:hAnsi="Arial" w:cs="Arial"/>
                <w:sz w:val="24"/>
                <w:szCs w:val="24"/>
                <w:lang w:val="es-ES"/>
              </w:rPr>
              <w:t xml:space="preserve"> trial </w:t>
            </w:r>
            <w:proofErr w:type="spellStart"/>
            <w:r w:rsidRPr="00FA3F9C">
              <w:rPr>
                <w:rFonts w:ascii="Arial" w:hAnsi="Arial" w:cs="Arial"/>
                <w:sz w:val="24"/>
                <w:szCs w:val="24"/>
                <w:lang w:val="es-ES"/>
              </w:rPr>
              <w:t>should</w:t>
            </w:r>
            <w:proofErr w:type="spellEnd"/>
            <w:r w:rsidRPr="00FA3F9C">
              <w:rPr>
                <w:rFonts w:ascii="Arial" w:hAnsi="Arial" w:cs="Arial"/>
                <w:sz w:val="24"/>
                <w:szCs w:val="24"/>
                <w:lang w:val="es-ES"/>
              </w:rPr>
              <w:t xml:space="preserve"> be 1 </w:t>
            </w:r>
            <w:proofErr w:type="spellStart"/>
            <w:r w:rsidRPr="00FA3F9C">
              <w:rPr>
                <w:rFonts w:ascii="Arial" w:hAnsi="Arial" w:cs="Arial"/>
                <w:sz w:val="24"/>
                <w:szCs w:val="24"/>
                <w:lang w:val="es-ES"/>
              </w:rPr>
              <w:t>month</w:t>
            </w:r>
            <w:proofErr w:type="spellEnd"/>
            <w:r w:rsidRPr="00FA3F9C">
              <w:rPr>
                <w:rFonts w:ascii="Arial" w:hAnsi="Arial" w:cs="Arial"/>
                <w:sz w:val="24"/>
                <w:szCs w:val="24"/>
                <w:lang w:val="es-ES"/>
              </w:rPr>
              <w:t xml:space="preserve"> in </w:t>
            </w:r>
            <w:proofErr w:type="spellStart"/>
            <w:r w:rsidRPr="00FA3F9C">
              <w:rPr>
                <w:rFonts w:ascii="Arial" w:hAnsi="Arial" w:cs="Arial"/>
                <w:sz w:val="24"/>
                <w:szCs w:val="24"/>
                <w:lang w:val="es-ES"/>
              </w:rPr>
              <w:t>length</w:t>
            </w:r>
            <w:proofErr w:type="spellEnd"/>
            <w:r w:rsidRPr="00FA3F9C">
              <w:rPr>
                <w:rFonts w:ascii="Arial" w:hAnsi="Arial" w:cs="Arial"/>
                <w:sz w:val="24"/>
                <w:szCs w:val="24"/>
                <w:lang w:val="es-ES"/>
              </w:rPr>
              <w:t>.</w:t>
            </w:r>
          </w:p>
        </w:tc>
      </w:tr>
      <w:tr w:rsidR="001506C1" w:rsidRPr="00FA3F9C" w14:paraId="3F308D78" w14:textId="77777777" w:rsidTr="009E36D2">
        <w:tc>
          <w:tcPr>
            <w:tcW w:w="10296" w:type="dxa"/>
            <w:shd w:val="clear" w:color="auto" w:fill="auto"/>
          </w:tcPr>
          <w:p w14:paraId="353B4E1D" w14:textId="77777777" w:rsidR="001506C1" w:rsidRPr="00FA3F9C" w:rsidRDefault="001506C1" w:rsidP="0015446A">
            <w:pPr>
              <w:rPr>
                <w:rFonts w:ascii="Arial" w:hAnsi="Arial" w:cs="Arial"/>
                <w:sz w:val="24"/>
                <w:szCs w:val="24"/>
              </w:rPr>
            </w:pPr>
            <w:r w:rsidRPr="00FA3F9C">
              <w:rPr>
                <w:rFonts w:ascii="Arial" w:hAnsi="Arial" w:cs="Arial"/>
                <w:sz w:val="24"/>
                <w:szCs w:val="24"/>
              </w:rPr>
              <w:t>3. The patient must have failed or not be a candidate for methotrexate (MTX) and must have tried 25mg/week for 8 weeks before being deemed a MTX failure.  Reasons for not being a MTX candidate include underlying liver disease, interstitial lung disease or bone marrow suppression.</w:t>
            </w:r>
          </w:p>
        </w:tc>
      </w:tr>
      <w:tr w:rsidR="001506C1" w:rsidRPr="00FA3F9C" w14:paraId="31F2A0D1" w14:textId="77777777" w:rsidTr="009E36D2">
        <w:tc>
          <w:tcPr>
            <w:tcW w:w="10296" w:type="dxa"/>
            <w:shd w:val="clear" w:color="auto" w:fill="auto"/>
          </w:tcPr>
          <w:p w14:paraId="44B013C1" w14:textId="77777777" w:rsidR="001506C1" w:rsidRPr="00FA3F9C" w:rsidRDefault="001506C1" w:rsidP="0015446A">
            <w:pPr>
              <w:rPr>
                <w:rFonts w:ascii="Arial" w:hAnsi="Arial" w:cs="Arial"/>
                <w:sz w:val="24"/>
                <w:szCs w:val="24"/>
              </w:rPr>
            </w:pPr>
            <w:r w:rsidRPr="00FA3F9C">
              <w:rPr>
                <w:rFonts w:ascii="Arial" w:hAnsi="Arial" w:cs="Arial"/>
                <w:sz w:val="24"/>
                <w:szCs w:val="24"/>
              </w:rPr>
              <w:t xml:space="preserve">4. In the case the patient is not a candidate for MTX, the patient must try leflunomide 20mg daily for 3 months before access to </w:t>
            </w:r>
            <w:proofErr w:type="spellStart"/>
            <w:r w:rsidRPr="00FA3F9C">
              <w:rPr>
                <w:rFonts w:ascii="Arial" w:hAnsi="Arial" w:cs="Arial"/>
                <w:sz w:val="24"/>
                <w:szCs w:val="24"/>
              </w:rPr>
              <w:t>apremilast</w:t>
            </w:r>
            <w:proofErr w:type="spellEnd"/>
            <w:r w:rsidRPr="00FA3F9C">
              <w:rPr>
                <w:rFonts w:ascii="Arial" w:hAnsi="Arial" w:cs="Arial"/>
                <w:sz w:val="24"/>
                <w:szCs w:val="24"/>
              </w:rPr>
              <w:t xml:space="preserve"> would be approved.  If the patient did not get a satisfactory response from MTX, they do NOT have to try leflunomide.</w:t>
            </w:r>
          </w:p>
        </w:tc>
      </w:tr>
    </w:tbl>
    <w:p w14:paraId="44103343" w14:textId="77777777" w:rsidR="001506C1" w:rsidRPr="00FA3F9C" w:rsidRDefault="001506C1" w:rsidP="0015446A">
      <w:pPr>
        <w:rPr>
          <w:rFonts w:ascii="Arial" w:hAnsi="Arial" w:cs="Arial"/>
          <w:b/>
          <w:sz w:val="24"/>
          <w:szCs w:val="24"/>
        </w:rPr>
      </w:pPr>
      <w:r w:rsidRPr="00FA3F9C">
        <w:rPr>
          <w:rFonts w:ascii="Arial" w:hAnsi="Arial" w:cs="Arial"/>
          <w:b/>
          <w:sz w:val="24"/>
          <w:szCs w:val="24"/>
        </w:rPr>
        <w:t xml:space="preserve">Note: Concurrent TIMs with </w:t>
      </w:r>
      <w:proofErr w:type="spellStart"/>
      <w:r w:rsidRPr="00FA3F9C">
        <w:rPr>
          <w:rFonts w:ascii="Arial" w:hAnsi="Arial" w:cs="Arial"/>
          <w:b/>
          <w:sz w:val="24"/>
          <w:szCs w:val="24"/>
        </w:rPr>
        <w:t>apremilast</w:t>
      </w:r>
      <w:proofErr w:type="spellEnd"/>
      <w:r w:rsidRPr="00FA3F9C">
        <w:rPr>
          <w:rFonts w:ascii="Arial" w:hAnsi="Arial" w:cs="Arial"/>
          <w:b/>
          <w:sz w:val="24"/>
          <w:szCs w:val="24"/>
        </w:rPr>
        <w:t xml:space="preserve"> are not recommended.</w:t>
      </w:r>
    </w:p>
    <w:p w14:paraId="3C8B7A2A" w14:textId="77777777" w:rsidR="001506C1" w:rsidRPr="00FA3F9C" w:rsidRDefault="001506C1" w:rsidP="0015446A">
      <w:pPr>
        <w:rPr>
          <w:rFonts w:ascii="Arial" w:hAnsi="Arial" w:cs="Arial"/>
          <w:b/>
          <w:sz w:val="24"/>
          <w:szCs w:val="24"/>
          <w:lang w:val="es-ES"/>
        </w:rPr>
      </w:pPr>
      <w:r w:rsidRPr="00FA3F9C">
        <w:rPr>
          <w:rFonts w:ascii="Arial" w:hAnsi="Arial" w:cs="Arial"/>
          <w:b/>
          <w:sz w:val="24"/>
          <w:szCs w:val="24"/>
        </w:rPr>
        <w:t xml:space="preserve">If approved, only </w:t>
      </w:r>
      <w:proofErr w:type="gramStart"/>
      <w:r w:rsidRPr="00FA3F9C">
        <w:rPr>
          <w:rFonts w:ascii="Arial" w:hAnsi="Arial" w:cs="Arial"/>
          <w:b/>
          <w:sz w:val="24"/>
          <w:szCs w:val="24"/>
        </w:rPr>
        <w:t>30 day</w:t>
      </w:r>
      <w:proofErr w:type="gramEnd"/>
      <w:r w:rsidRPr="00FA3F9C">
        <w:rPr>
          <w:rFonts w:ascii="Arial" w:hAnsi="Arial" w:cs="Arial"/>
          <w:b/>
          <w:sz w:val="24"/>
          <w:szCs w:val="24"/>
        </w:rPr>
        <w:t xml:space="preserve"> fills are available through this pharmacy plan.  </w:t>
      </w:r>
      <w:proofErr w:type="spellStart"/>
      <w:r w:rsidRPr="00FA3F9C">
        <w:rPr>
          <w:rFonts w:ascii="Arial" w:hAnsi="Arial" w:cs="Arial"/>
          <w:b/>
          <w:sz w:val="24"/>
          <w:szCs w:val="24"/>
          <w:lang w:val="es-ES"/>
        </w:rPr>
        <w:t>The</w:t>
      </w:r>
      <w:proofErr w:type="spellEnd"/>
      <w:r w:rsidRPr="00FA3F9C">
        <w:rPr>
          <w:rFonts w:ascii="Arial" w:hAnsi="Arial" w:cs="Arial"/>
          <w:b/>
          <w:sz w:val="24"/>
          <w:szCs w:val="24"/>
          <w:lang w:val="es-ES"/>
        </w:rPr>
        <w:t xml:space="preserve"> PA </w:t>
      </w:r>
      <w:proofErr w:type="spellStart"/>
      <w:r w:rsidRPr="00FA3F9C">
        <w:rPr>
          <w:rFonts w:ascii="Arial" w:hAnsi="Arial" w:cs="Arial"/>
          <w:b/>
          <w:sz w:val="24"/>
          <w:szCs w:val="24"/>
          <w:lang w:val="es-ES"/>
        </w:rPr>
        <w:t>is</w:t>
      </w:r>
      <w:proofErr w:type="spellEnd"/>
      <w:r w:rsidRPr="00FA3F9C">
        <w:rPr>
          <w:rFonts w:ascii="Arial" w:hAnsi="Arial" w:cs="Arial"/>
          <w:b/>
          <w:sz w:val="24"/>
          <w:szCs w:val="24"/>
          <w:lang w:val="es-ES"/>
        </w:rPr>
        <w:t xml:space="preserve"> </w:t>
      </w:r>
      <w:proofErr w:type="spellStart"/>
      <w:r w:rsidRPr="00FA3F9C">
        <w:rPr>
          <w:rFonts w:ascii="Arial" w:hAnsi="Arial" w:cs="Arial"/>
          <w:b/>
          <w:sz w:val="24"/>
          <w:szCs w:val="24"/>
          <w:lang w:val="es-ES"/>
        </w:rPr>
        <w:t>good</w:t>
      </w:r>
      <w:proofErr w:type="spellEnd"/>
      <w:r w:rsidRPr="00FA3F9C">
        <w:rPr>
          <w:rFonts w:ascii="Arial" w:hAnsi="Arial" w:cs="Arial"/>
          <w:b/>
          <w:sz w:val="24"/>
          <w:szCs w:val="24"/>
          <w:lang w:val="es-ES"/>
        </w:rPr>
        <w:t xml:space="preserve"> </w:t>
      </w:r>
      <w:proofErr w:type="spellStart"/>
      <w:r w:rsidRPr="00FA3F9C">
        <w:rPr>
          <w:rFonts w:ascii="Arial" w:hAnsi="Arial" w:cs="Arial"/>
          <w:b/>
          <w:sz w:val="24"/>
          <w:szCs w:val="24"/>
          <w:lang w:val="es-ES"/>
        </w:rPr>
        <w:t>for</w:t>
      </w:r>
      <w:proofErr w:type="spellEnd"/>
      <w:r w:rsidRPr="00FA3F9C">
        <w:rPr>
          <w:rFonts w:ascii="Arial" w:hAnsi="Arial" w:cs="Arial"/>
          <w:b/>
          <w:sz w:val="24"/>
          <w:szCs w:val="24"/>
          <w:lang w:val="es-ES"/>
        </w:rPr>
        <w:t xml:space="preserve"> 1 </w:t>
      </w:r>
      <w:proofErr w:type="spellStart"/>
      <w:r w:rsidRPr="00FA3F9C">
        <w:rPr>
          <w:rFonts w:ascii="Arial" w:hAnsi="Arial" w:cs="Arial"/>
          <w:b/>
          <w:sz w:val="24"/>
          <w:szCs w:val="24"/>
          <w:lang w:val="es-ES"/>
        </w:rPr>
        <w:t>year</w:t>
      </w:r>
      <w:proofErr w:type="spellEnd"/>
      <w:r w:rsidRPr="00FA3F9C">
        <w:rPr>
          <w:rFonts w:ascii="Arial" w:hAnsi="Arial" w:cs="Arial"/>
          <w:b/>
          <w:sz w:val="24"/>
          <w:szCs w:val="24"/>
          <w:lang w:val="es-ES"/>
        </w:rPr>
        <w:t>.</w:t>
      </w:r>
    </w:p>
    <w:p w14:paraId="4DDA7B84" w14:textId="77777777" w:rsidR="001506C1" w:rsidRPr="00FA3F9C" w:rsidRDefault="001506C1" w:rsidP="0015446A">
      <w:pPr>
        <w:rPr>
          <w:rFonts w:ascii="Arial" w:hAnsi="Arial" w:cs="Arial"/>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6"/>
      </w:tblGrid>
      <w:tr w:rsidR="001506C1" w:rsidRPr="00FA3F9C" w14:paraId="032AEC0E" w14:textId="77777777" w:rsidTr="002A7BD6">
        <w:tc>
          <w:tcPr>
            <w:tcW w:w="10296" w:type="dxa"/>
            <w:shd w:val="clear" w:color="auto" w:fill="000000"/>
          </w:tcPr>
          <w:p w14:paraId="51C1641F" w14:textId="77777777" w:rsidR="001506C1" w:rsidRPr="00FA3F9C" w:rsidRDefault="001506C1" w:rsidP="002A7BD6">
            <w:pPr>
              <w:rPr>
                <w:rFonts w:ascii="Arial" w:hAnsi="Arial" w:cs="Arial"/>
                <w:sz w:val="24"/>
                <w:szCs w:val="24"/>
                <w:lang w:val="es-ES"/>
              </w:rPr>
            </w:pPr>
            <w:proofErr w:type="spellStart"/>
            <w:r w:rsidRPr="00FA3F9C">
              <w:rPr>
                <w:rFonts w:ascii="Arial" w:hAnsi="Arial" w:cs="Arial"/>
                <w:sz w:val="24"/>
                <w:szCs w:val="24"/>
                <w:lang w:val="es-ES"/>
              </w:rPr>
              <w:t>Behcet’s</w:t>
            </w:r>
            <w:proofErr w:type="spellEnd"/>
            <w:r w:rsidRPr="00FA3F9C">
              <w:rPr>
                <w:rFonts w:ascii="Arial" w:hAnsi="Arial" w:cs="Arial"/>
                <w:sz w:val="24"/>
                <w:szCs w:val="24"/>
                <w:lang w:val="es-ES"/>
              </w:rPr>
              <w:t xml:space="preserve"> </w:t>
            </w:r>
            <w:proofErr w:type="spellStart"/>
            <w:r w:rsidRPr="00FA3F9C">
              <w:rPr>
                <w:rFonts w:ascii="Arial" w:hAnsi="Arial" w:cs="Arial"/>
                <w:sz w:val="24"/>
                <w:szCs w:val="24"/>
                <w:lang w:val="es-ES"/>
              </w:rPr>
              <w:t>Syndrome</w:t>
            </w:r>
            <w:proofErr w:type="spellEnd"/>
            <w:r w:rsidRPr="00FA3F9C">
              <w:rPr>
                <w:rFonts w:ascii="Arial" w:hAnsi="Arial" w:cs="Arial"/>
                <w:sz w:val="24"/>
                <w:szCs w:val="24"/>
                <w:lang w:val="es-ES"/>
              </w:rPr>
              <w:t>/</w:t>
            </w:r>
            <w:proofErr w:type="spellStart"/>
            <w:r w:rsidRPr="00FA3F9C">
              <w:rPr>
                <w:rFonts w:ascii="Arial" w:hAnsi="Arial" w:cs="Arial"/>
                <w:sz w:val="24"/>
                <w:szCs w:val="24"/>
                <w:lang w:val="es-ES"/>
              </w:rPr>
              <w:t>Disease</w:t>
            </w:r>
            <w:proofErr w:type="spellEnd"/>
          </w:p>
        </w:tc>
      </w:tr>
      <w:tr w:rsidR="001506C1" w:rsidRPr="00FA3F9C" w14:paraId="644C3BE1" w14:textId="77777777" w:rsidTr="002A7BD6">
        <w:tc>
          <w:tcPr>
            <w:tcW w:w="10296" w:type="dxa"/>
            <w:shd w:val="clear" w:color="auto" w:fill="auto"/>
          </w:tcPr>
          <w:p w14:paraId="20AE930E" w14:textId="77777777" w:rsidR="001506C1" w:rsidRPr="00FA3F9C" w:rsidRDefault="001506C1" w:rsidP="002A7BD6">
            <w:pPr>
              <w:rPr>
                <w:rFonts w:ascii="Arial" w:hAnsi="Arial" w:cs="Arial"/>
                <w:sz w:val="24"/>
                <w:szCs w:val="24"/>
              </w:rPr>
            </w:pPr>
            <w:r w:rsidRPr="00FA3F9C">
              <w:rPr>
                <w:rFonts w:ascii="Arial" w:hAnsi="Arial" w:cs="Arial"/>
                <w:sz w:val="24"/>
                <w:szCs w:val="24"/>
              </w:rPr>
              <w:t xml:space="preserve">1. The patient must have the diagnosis of </w:t>
            </w:r>
            <w:proofErr w:type="spellStart"/>
            <w:r w:rsidRPr="00FA3F9C">
              <w:rPr>
                <w:rFonts w:ascii="Arial" w:hAnsi="Arial" w:cs="Arial"/>
                <w:sz w:val="24"/>
                <w:szCs w:val="24"/>
              </w:rPr>
              <w:t>Behcet’s</w:t>
            </w:r>
            <w:proofErr w:type="spellEnd"/>
            <w:r w:rsidRPr="00FA3F9C">
              <w:rPr>
                <w:rFonts w:ascii="Arial" w:hAnsi="Arial" w:cs="Arial"/>
                <w:sz w:val="24"/>
                <w:szCs w:val="24"/>
              </w:rPr>
              <w:t xml:space="preserve"> </w:t>
            </w:r>
            <w:proofErr w:type="spellStart"/>
            <w:r w:rsidRPr="00FA3F9C">
              <w:rPr>
                <w:rFonts w:ascii="Arial" w:hAnsi="Arial" w:cs="Arial"/>
                <w:sz w:val="24"/>
                <w:szCs w:val="24"/>
              </w:rPr>
              <w:t>síndrome</w:t>
            </w:r>
            <w:proofErr w:type="spellEnd"/>
            <w:r w:rsidRPr="00FA3F9C">
              <w:rPr>
                <w:rFonts w:ascii="Arial" w:hAnsi="Arial" w:cs="Arial"/>
                <w:sz w:val="24"/>
                <w:szCs w:val="24"/>
              </w:rPr>
              <w:t xml:space="preserve"> and have recurrent oral or genital ulcers.</w:t>
            </w:r>
          </w:p>
        </w:tc>
      </w:tr>
      <w:tr w:rsidR="001506C1" w:rsidRPr="00FA3F9C" w14:paraId="7424BB18" w14:textId="77777777" w:rsidTr="002A7BD6">
        <w:tc>
          <w:tcPr>
            <w:tcW w:w="10296" w:type="dxa"/>
            <w:shd w:val="clear" w:color="auto" w:fill="auto"/>
          </w:tcPr>
          <w:p w14:paraId="5BA215A1" w14:textId="77777777" w:rsidR="001506C1" w:rsidRPr="00FA3F9C" w:rsidRDefault="001506C1" w:rsidP="00D00324">
            <w:pPr>
              <w:rPr>
                <w:rFonts w:ascii="Arial" w:hAnsi="Arial" w:cs="Arial"/>
                <w:sz w:val="24"/>
                <w:szCs w:val="24"/>
              </w:rPr>
            </w:pPr>
            <w:r w:rsidRPr="00FA3F9C">
              <w:rPr>
                <w:rFonts w:ascii="Arial" w:hAnsi="Arial" w:cs="Arial"/>
                <w:sz w:val="24"/>
                <w:szCs w:val="24"/>
              </w:rPr>
              <w:t>2. The patient must have at least 2 months of colchicine at 1.2-1.8mg per day on the profile in the previous 12 months.</w:t>
            </w:r>
          </w:p>
        </w:tc>
      </w:tr>
      <w:tr w:rsidR="001506C1" w:rsidRPr="00FA3F9C" w14:paraId="398AE79E" w14:textId="77777777" w:rsidTr="002A7BD6">
        <w:tc>
          <w:tcPr>
            <w:tcW w:w="10296" w:type="dxa"/>
            <w:shd w:val="clear" w:color="auto" w:fill="auto"/>
          </w:tcPr>
          <w:p w14:paraId="402A805B" w14:textId="77777777" w:rsidR="001506C1" w:rsidRPr="00FA3F9C" w:rsidRDefault="001506C1" w:rsidP="00D00324">
            <w:pPr>
              <w:rPr>
                <w:rFonts w:ascii="Arial" w:hAnsi="Arial" w:cs="Arial"/>
                <w:sz w:val="24"/>
                <w:szCs w:val="24"/>
                <w:lang w:val="es-ES"/>
              </w:rPr>
            </w:pPr>
            <w:r w:rsidRPr="00FA3F9C">
              <w:rPr>
                <w:rFonts w:ascii="Arial" w:hAnsi="Arial" w:cs="Arial"/>
                <w:sz w:val="24"/>
                <w:szCs w:val="24"/>
              </w:rPr>
              <w:t xml:space="preserve">3. In the case the patient has been receiving </w:t>
            </w:r>
            <w:proofErr w:type="spellStart"/>
            <w:r w:rsidRPr="00FA3F9C">
              <w:rPr>
                <w:rFonts w:ascii="Arial" w:hAnsi="Arial" w:cs="Arial"/>
                <w:sz w:val="24"/>
                <w:szCs w:val="24"/>
              </w:rPr>
              <w:t>apremilast</w:t>
            </w:r>
            <w:proofErr w:type="spellEnd"/>
            <w:r w:rsidRPr="00FA3F9C">
              <w:rPr>
                <w:rFonts w:ascii="Arial" w:hAnsi="Arial" w:cs="Arial"/>
                <w:sz w:val="24"/>
                <w:szCs w:val="24"/>
              </w:rPr>
              <w:t xml:space="preserve"> for </w:t>
            </w:r>
            <w:proofErr w:type="spellStart"/>
            <w:r w:rsidRPr="00FA3F9C">
              <w:rPr>
                <w:rFonts w:ascii="Arial" w:hAnsi="Arial" w:cs="Arial"/>
                <w:sz w:val="24"/>
                <w:szCs w:val="24"/>
              </w:rPr>
              <w:t>Behcet’s</w:t>
            </w:r>
            <w:proofErr w:type="spellEnd"/>
            <w:r w:rsidRPr="00FA3F9C">
              <w:rPr>
                <w:rFonts w:ascii="Arial" w:hAnsi="Arial" w:cs="Arial"/>
                <w:sz w:val="24"/>
                <w:szCs w:val="24"/>
              </w:rPr>
              <w:t xml:space="preserve">, they do not have to have colchicine use in the previous 12 months. </w:t>
            </w:r>
            <w:r w:rsidRPr="00FA3F9C">
              <w:rPr>
                <w:rFonts w:ascii="Arial" w:hAnsi="Arial" w:cs="Arial"/>
                <w:sz w:val="24"/>
                <w:szCs w:val="24"/>
                <w:lang w:val="es-ES"/>
              </w:rPr>
              <w:t>(</w:t>
            </w:r>
            <w:proofErr w:type="spellStart"/>
            <w:r w:rsidRPr="00FA3F9C">
              <w:rPr>
                <w:rFonts w:ascii="Arial" w:hAnsi="Arial" w:cs="Arial"/>
                <w:sz w:val="24"/>
                <w:szCs w:val="24"/>
                <w:lang w:val="es-ES"/>
              </w:rPr>
              <w:t>Assume</w:t>
            </w:r>
            <w:proofErr w:type="spellEnd"/>
            <w:r w:rsidRPr="00FA3F9C">
              <w:rPr>
                <w:rFonts w:ascii="Arial" w:hAnsi="Arial" w:cs="Arial"/>
                <w:sz w:val="24"/>
                <w:szCs w:val="24"/>
                <w:lang w:val="es-ES"/>
              </w:rPr>
              <w:t xml:space="preserve"> </w:t>
            </w:r>
            <w:proofErr w:type="spellStart"/>
            <w:r w:rsidRPr="00FA3F9C">
              <w:rPr>
                <w:rFonts w:ascii="Arial" w:hAnsi="Arial" w:cs="Arial"/>
                <w:sz w:val="24"/>
                <w:szCs w:val="24"/>
                <w:lang w:val="es-ES"/>
              </w:rPr>
              <w:t>they</w:t>
            </w:r>
            <w:proofErr w:type="spellEnd"/>
            <w:r w:rsidRPr="00FA3F9C">
              <w:rPr>
                <w:rFonts w:ascii="Arial" w:hAnsi="Arial" w:cs="Arial"/>
                <w:sz w:val="24"/>
                <w:szCs w:val="24"/>
                <w:lang w:val="es-ES"/>
              </w:rPr>
              <w:t xml:space="preserve"> </w:t>
            </w:r>
            <w:proofErr w:type="spellStart"/>
            <w:r w:rsidRPr="00FA3F9C">
              <w:rPr>
                <w:rFonts w:ascii="Arial" w:hAnsi="Arial" w:cs="Arial"/>
                <w:sz w:val="24"/>
                <w:szCs w:val="24"/>
                <w:lang w:val="es-ES"/>
              </w:rPr>
              <w:t>already</w:t>
            </w:r>
            <w:proofErr w:type="spellEnd"/>
            <w:r w:rsidRPr="00FA3F9C">
              <w:rPr>
                <w:rFonts w:ascii="Arial" w:hAnsi="Arial" w:cs="Arial"/>
                <w:sz w:val="24"/>
                <w:szCs w:val="24"/>
                <w:lang w:val="es-ES"/>
              </w:rPr>
              <w:t xml:space="preserve"> </w:t>
            </w:r>
            <w:proofErr w:type="spellStart"/>
            <w:r w:rsidRPr="00FA3F9C">
              <w:rPr>
                <w:rFonts w:ascii="Arial" w:hAnsi="Arial" w:cs="Arial"/>
                <w:sz w:val="24"/>
                <w:szCs w:val="24"/>
                <w:lang w:val="es-ES"/>
              </w:rPr>
              <w:t>satisfied</w:t>
            </w:r>
            <w:proofErr w:type="spellEnd"/>
            <w:r w:rsidRPr="00FA3F9C">
              <w:rPr>
                <w:rFonts w:ascii="Arial" w:hAnsi="Arial" w:cs="Arial"/>
                <w:sz w:val="24"/>
                <w:szCs w:val="24"/>
                <w:lang w:val="es-ES"/>
              </w:rPr>
              <w:t xml:space="preserve"> </w:t>
            </w:r>
            <w:proofErr w:type="spellStart"/>
            <w:r w:rsidRPr="00FA3F9C">
              <w:rPr>
                <w:rFonts w:ascii="Arial" w:hAnsi="Arial" w:cs="Arial"/>
                <w:sz w:val="24"/>
                <w:szCs w:val="24"/>
                <w:lang w:val="es-ES"/>
              </w:rPr>
              <w:t>that</w:t>
            </w:r>
            <w:proofErr w:type="spellEnd"/>
            <w:r w:rsidRPr="00FA3F9C">
              <w:rPr>
                <w:rFonts w:ascii="Arial" w:hAnsi="Arial" w:cs="Arial"/>
                <w:sz w:val="24"/>
                <w:szCs w:val="24"/>
                <w:lang w:val="es-ES"/>
              </w:rPr>
              <w:t xml:space="preserve"> </w:t>
            </w:r>
            <w:proofErr w:type="spellStart"/>
            <w:r w:rsidRPr="00FA3F9C">
              <w:rPr>
                <w:rFonts w:ascii="Arial" w:hAnsi="Arial" w:cs="Arial"/>
                <w:sz w:val="24"/>
                <w:szCs w:val="24"/>
                <w:lang w:val="es-ES"/>
              </w:rPr>
              <w:t>requirement</w:t>
            </w:r>
            <w:proofErr w:type="spellEnd"/>
            <w:r w:rsidRPr="00FA3F9C">
              <w:rPr>
                <w:rFonts w:ascii="Arial" w:hAnsi="Arial" w:cs="Arial"/>
                <w:sz w:val="24"/>
                <w:szCs w:val="24"/>
                <w:lang w:val="es-ES"/>
              </w:rPr>
              <w:t>.)</w:t>
            </w:r>
          </w:p>
        </w:tc>
      </w:tr>
      <w:tr w:rsidR="001506C1" w:rsidRPr="00FA3F9C" w14:paraId="78277282" w14:textId="77777777" w:rsidTr="002A7BD6">
        <w:tc>
          <w:tcPr>
            <w:tcW w:w="10296" w:type="dxa"/>
            <w:shd w:val="clear" w:color="auto" w:fill="auto"/>
          </w:tcPr>
          <w:p w14:paraId="20E479F5" w14:textId="77777777" w:rsidR="001506C1" w:rsidRPr="00FA3F9C" w:rsidRDefault="001506C1" w:rsidP="00D00324">
            <w:pPr>
              <w:rPr>
                <w:rFonts w:ascii="Arial" w:hAnsi="Arial" w:cs="Arial"/>
                <w:sz w:val="24"/>
                <w:szCs w:val="24"/>
              </w:rPr>
            </w:pPr>
            <w:r w:rsidRPr="00FA3F9C">
              <w:rPr>
                <w:rFonts w:ascii="Arial" w:hAnsi="Arial" w:cs="Arial"/>
                <w:sz w:val="24"/>
                <w:szCs w:val="24"/>
              </w:rPr>
              <w:t xml:space="preserve">If approved, the PA is good for 12 months.  </w:t>
            </w:r>
          </w:p>
        </w:tc>
      </w:tr>
    </w:tbl>
    <w:p w14:paraId="1C60E282" w14:textId="77777777" w:rsidR="001506C1" w:rsidRPr="00FA3F9C" w:rsidRDefault="001506C1" w:rsidP="0015446A">
      <w:pPr>
        <w:rPr>
          <w:rFonts w:ascii="Arial" w:hAnsi="Arial" w:cs="Arial"/>
          <w:sz w:val="24"/>
          <w:szCs w:val="24"/>
        </w:rPr>
      </w:pPr>
    </w:p>
    <w:p w14:paraId="4BDE63AD" w14:textId="77777777" w:rsidR="001506C1" w:rsidRPr="00FA3F9C" w:rsidRDefault="001506C1" w:rsidP="002A23A6">
      <w:pPr>
        <w:rPr>
          <w:rFonts w:ascii="Arial" w:hAnsi="Arial" w:cs="Arial"/>
          <w:sz w:val="24"/>
          <w:szCs w:val="24"/>
        </w:rPr>
      </w:pPr>
      <w:r w:rsidRPr="00FA3F9C">
        <w:rPr>
          <w:rFonts w:ascii="Arial" w:hAnsi="Arial" w:cs="Arial"/>
          <w:sz w:val="24"/>
          <w:szCs w:val="24"/>
        </w:rPr>
        <w:t>References:</w:t>
      </w:r>
    </w:p>
    <w:p w14:paraId="2DA2C482" w14:textId="77777777" w:rsidR="001506C1" w:rsidRPr="00FA3F9C" w:rsidRDefault="001506C1" w:rsidP="006D6C6C">
      <w:pPr>
        <w:rPr>
          <w:rFonts w:ascii="Arial" w:hAnsi="Arial" w:cs="Arial"/>
          <w:sz w:val="24"/>
          <w:szCs w:val="24"/>
        </w:rPr>
      </w:pPr>
      <w:r w:rsidRPr="00FA3F9C">
        <w:rPr>
          <w:rFonts w:ascii="Arial" w:hAnsi="Arial" w:cs="Arial"/>
          <w:sz w:val="24"/>
          <w:szCs w:val="24"/>
        </w:rPr>
        <w:t xml:space="preserve">1.  Kavanaugh A, </w:t>
      </w:r>
      <w:proofErr w:type="spellStart"/>
      <w:r w:rsidRPr="00FA3F9C">
        <w:rPr>
          <w:rFonts w:ascii="Arial" w:hAnsi="Arial" w:cs="Arial"/>
          <w:sz w:val="24"/>
          <w:szCs w:val="24"/>
        </w:rPr>
        <w:t>Mease</w:t>
      </w:r>
      <w:proofErr w:type="spellEnd"/>
      <w:r w:rsidRPr="00FA3F9C">
        <w:rPr>
          <w:rFonts w:ascii="Arial" w:hAnsi="Arial" w:cs="Arial"/>
          <w:sz w:val="24"/>
          <w:szCs w:val="24"/>
        </w:rPr>
        <w:t xml:space="preserve"> PJ, Gomez-</w:t>
      </w:r>
      <w:proofErr w:type="spellStart"/>
      <w:r w:rsidRPr="00FA3F9C">
        <w:rPr>
          <w:rFonts w:ascii="Arial" w:hAnsi="Arial" w:cs="Arial"/>
          <w:sz w:val="24"/>
          <w:szCs w:val="24"/>
        </w:rPr>
        <w:t>Reino</w:t>
      </w:r>
      <w:proofErr w:type="spellEnd"/>
      <w:r w:rsidRPr="00FA3F9C">
        <w:rPr>
          <w:rFonts w:ascii="Arial" w:hAnsi="Arial" w:cs="Arial"/>
          <w:sz w:val="24"/>
          <w:szCs w:val="24"/>
        </w:rPr>
        <w:t xml:space="preserve"> JJ, et al. Treatment of psoriatic arthritis in a phase 3 randomized, placebo-controlled trial with </w:t>
      </w:r>
      <w:proofErr w:type="spellStart"/>
      <w:r w:rsidRPr="00FA3F9C">
        <w:rPr>
          <w:rFonts w:ascii="Arial" w:hAnsi="Arial" w:cs="Arial"/>
          <w:sz w:val="24"/>
          <w:szCs w:val="24"/>
        </w:rPr>
        <w:t>apremilast</w:t>
      </w:r>
      <w:proofErr w:type="spellEnd"/>
      <w:r w:rsidRPr="00FA3F9C">
        <w:rPr>
          <w:rFonts w:ascii="Arial" w:hAnsi="Arial" w:cs="Arial"/>
          <w:sz w:val="24"/>
          <w:szCs w:val="24"/>
        </w:rPr>
        <w:t xml:space="preserve">, an oral phosphodiesterase 4 inhibitor  </w:t>
      </w:r>
      <w:r w:rsidRPr="00FA3F9C">
        <w:rPr>
          <w:rFonts w:ascii="Arial" w:hAnsi="Arial" w:cs="Arial"/>
          <w:i/>
          <w:sz w:val="24"/>
          <w:szCs w:val="24"/>
        </w:rPr>
        <w:t>Ann Rheum Dis 2014;73:1020–1026.</w:t>
      </w:r>
    </w:p>
    <w:p w14:paraId="58596ED7" w14:textId="77777777" w:rsidR="001506C1" w:rsidRPr="00FA3F9C" w:rsidRDefault="001506C1" w:rsidP="00044308">
      <w:pPr>
        <w:rPr>
          <w:rFonts w:ascii="Arial" w:hAnsi="Arial" w:cs="Arial"/>
          <w:sz w:val="24"/>
          <w:szCs w:val="24"/>
        </w:rPr>
      </w:pPr>
      <w:r w:rsidRPr="00FA3F9C">
        <w:rPr>
          <w:rFonts w:ascii="Arial" w:hAnsi="Arial" w:cs="Arial"/>
          <w:sz w:val="24"/>
          <w:szCs w:val="24"/>
          <w:lang w:val="es-ES"/>
        </w:rPr>
        <w:lastRenderedPageBreak/>
        <w:t xml:space="preserve">2.  </w:t>
      </w:r>
      <w:proofErr w:type="spellStart"/>
      <w:r w:rsidRPr="00FA3F9C">
        <w:rPr>
          <w:rFonts w:ascii="Arial" w:hAnsi="Arial" w:cs="Arial"/>
          <w:sz w:val="24"/>
          <w:szCs w:val="24"/>
          <w:lang w:val="es-ES"/>
        </w:rPr>
        <w:t>Otezla</w:t>
      </w:r>
      <w:proofErr w:type="spellEnd"/>
      <w:r w:rsidRPr="00FA3F9C">
        <w:rPr>
          <w:rFonts w:ascii="Arial" w:hAnsi="Arial" w:cs="Arial"/>
          <w:sz w:val="24"/>
          <w:szCs w:val="24"/>
          <w:lang w:val="es-ES"/>
        </w:rPr>
        <w:t xml:space="preserve"> PI.  </w:t>
      </w:r>
      <w:hyperlink r:id="rId23" w:history="1">
        <w:r w:rsidRPr="00FA3F9C">
          <w:rPr>
            <w:rStyle w:val="Hyperlink"/>
            <w:rFonts w:ascii="Arial" w:hAnsi="Arial" w:cs="Arial"/>
            <w:sz w:val="24"/>
            <w:szCs w:val="24"/>
            <w:lang w:val="es-ES"/>
          </w:rPr>
          <w:t>www.otezla.com</w:t>
        </w:r>
      </w:hyperlink>
      <w:r w:rsidRPr="00FA3F9C">
        <w:rPr>
          <w:rFonts w:ascii="Arial" w:hAnsi="Arial" w:cs="Arial"/>
          <w:sz w:val="24"/>
          <w:szCs w:val="24"/>
          <w:lang w:val="es-ES"/>
        </w:rPr>
        <w:t xml:space="preserve">.  </w:t>
      </w:r>
      <w:r w:rsidRPr="00FA3F9C">
        <w:rPr>
          <w:rFonts w:ascii="Arial" w:hAnsi="Arial" w:cs="Arial"/>
          <w:sz w:val="24"/>
          <w:szCs w:val="24"/>
        </w:rPr>
        <w:t>Accessed 6/11/14.</w:t>
      </w:r>
    </w:p>
    <w:p w14:paraId="79FE101C" w14:textId="77777777" w:rsidR="001506C1" w:rsidRPr="00FA3F9C" w:rsidRDefault="001506C1" w:rsidP="00655F04">
      <w:pPr>
        <w:rPr>
          <w:rFonts w:ascii="Arial" w:hAnsi="Arial" w:cs="Arial"/>
          <w:sz w:val="24"/>
          <w:szCs w:val="24"/>
        </w:rPr>
      </w:pPr>
      <w:r w:rsidRPr="00FA3F9C">
        <w:rPr>
          <w:rFonts w:ascii="Arial" w:hAnsi="Arial" w:cs="Arial"/>
          <w:sz w:val="24"/>
          <w:szCs w:val="24"/>
        </w:rPr>
        <w:t xml:space="preserve">3. </w:t>
      </w:r>
      <w:r w:rsidRPr="00FA3F9C">
        <w:rPr>
          <w:rFonts w:ascii="Arial" w:hAnsi="Arial" w:cs="Arial"/>
          <w:color w:val="222222"/>
          <w:sz w:val="24"/>
          <w:szCs w:val="24"/>
          <w:shd w:val="clear" w:color="auto" w:fill="F8F8F8"/>
        </w:rPr>
        <w:t>Loos, Anne M., et al. "Comparative effectiveness of targeted immunomodulators for the treatment of moderate-to-severe plaque psoriasis: a systematic review and network meta-analysis." </w:t>
      </w:r>
      <w:r w:rsidRPr="00FA3F9C">
        <w:rPr>
          <w:rFonts w:ascii="Arial" w:hAnsi="Arial" w:cs="Arial"/>
          <w:i/>
          <w:iCs/>
          <w:color w:val="222222"/>
          <w:sz w:val="24"/>
          <w:szCs w:val="24"/>
          <w:shd w:val="clear" w:color="auto" w:fill="F8F8F8"/>
        </w:rPr>
        <w:t>Journal of the American Academy of Dermatology</w:t>
      </w:r>
      <w:r w:rsidRPr="00FA3F9C">
        <w:rPr>
          <w:rFonts w:ascii="Arial" w:hAnsi="Arial" w:cs="Arial"/>
          <w:color w:val="222222"/>
          <w:sz w:val="24"/>
          <w:szCs w:val="24"/>
          <w:shd w:val="clear" w:color="auto" w:fill="F8F8F8"/>
        </w:rPr>
        <w:t> 79.1 (2018): 135-144.</w:t>
      </w:r>
    </w:p>
    <w:p w14:paraId="22BCF27E" w14:textId="77777777" w:rsidR="001506C1" w:rsidRPr="00FA3F9C" w:rsidRDefault="001506C1" w:rsidP="00655F04">
      <w:pPr>
        <w:rPr>
          <w:rFonts w:ascii="Arial" w:hAnsi="Arial" w:cs="Arial"/>
          <w:sz w:val="24"/>
          <w:szCs w:val="24"/>
        </w:rPr>
      </w:pPr>
      <w:r w:rsidRPr="00FA3F9C">
        <w:rPr>
          <w:rFonts w:ascii="Arial" w:hAnsi="Arial" w:cs="Arial"/>
          <w:sz w:val="24"/>
          <w:szCs w:val="24"/>
        </w:rPr>
        <w:t xml:space="preserve">4. </w:t>
      </w:r>
      <w:r w:rsidRPr="00FA3F9C">
        <w:rPr>
          <w:rFonts w:ascii="Arial" w:hAnsi="Arial" w:cs="Arial"/>
          <w:color w:val="222222"/>
          <w:sz w:val="24"/>
          <w:szCs w:val="24"/>
          <w:shd w:val="clear" w:color="auto" w:fill="F8F8F8"/>
        </w:rPr>
        <w:t>Cui, Lian, et al. "Efficacy and safety of biologics targeting IL-17 and IL-23 in the treatment of moderate-to-severe plaque psoriasis: a systematic review and meta-analysis of randomized controlled trials." </w:t>
      </w:r>
      <w:r w:rsidRPr="00FA3F9C">
        <w:rPr>
          <w:rFonts w:ascii="Arial" w:hAnsi="Arial" w:cs="Arial"/>
          <w:i/>
          <w:iCs/>
          <w:color w:val="222222"/>
          <w:sz w:val="24"/>
          <w:szCs w:val="24"/>
          <w:shd w:val="clear" w:color="auto" w:fill="F8F8F8"/>
        </w:rPr>
        <w:t>International immunopharmacology</w:t>
      </w:r>
      <w:r w:rsidRPr="00FA3F9C">
        <w:rPr>
          <w:rFonts w:ascii="Arial" w:hAnsi="Arial" w:cs="Arial"/>
          <w:color w:val="222222"/>
          <w:sz w:val="24"/>
          <w:szCs w:val="24"/>
          <w:shd w:val="clear" w:color="auto" w:fill="F8F8F8"/>
        </w:rPr>
        <w:t> 62 (2018): 46-58.</w:t>
      </w:r>
    </w:p>
    <w:p w14:paraId="45AF8A0A" w14:textId="77777777" w:rsidR="001506C1" w:rsidRPr="00FA3F9C" w:rsidRDefault="001506C1" w:rsidP="00655F04">
      <w:pPr>
        <w:rPr>
          <w:rFonts w:ascii="Arial" w:hAnsi="Arial" w:cs="Arial"/>
          <w:color w:val="0000FF"/>
          <w:sz w:val="24"/>
          <w:szCs w:val="24"/>
          <w:u w:val="single"/>
        </w:rPr>
      </w:pPr>
      <w:r w:rsidRPr="00FA3F9C">
        <w:rPr>
          <w:rFonts w:ascii="Arial" w:hAnsi="Arial" w:cs="Arial"/>
          <w:sz w:val="24"/>
          <w:szCs w:val="24"/>
        </w:rPr>
        <w:t xml:space="preserve">5. UpToDate. Plaque Psoriasis. Accessed 4/10/19.  </w:t>
      </w:r>
      <w:hyperlink r:id="rId24" w:history="1">
        <w:r w:rsidRPr="00FA3F9C">
          <w:rPr>
            <w:rStyle w:val="Hyperlink"/>
            <w:rFonts w:ascii="Arial" w:hAnsi="Arial" w:cs="Arial"/>
            <w:sz w:val="24"/>
            <w:szCs w:val="24"/>
          </w:rPr>
          <w:t>https://www.uptodate.com/contents/treatment-of-psoriasis-in-adults</w:t>
        </w:r>
      </w:hyperlink>
    </w:p>
    <w:p w14:paraId="7A4F794C" w14:textId="77777777" w:rsidR="001506C1" w:rsidRPr="00FA3F9C" w:rsidRDefault="001506C1" w:rsidP="00044308">
      <w:pPr>
        <w:rPr>
          <w:rFonts w:ascii="Arial" w:hAnsi="Arial" w:cs="Arial"/>
          <w:sz w:val="24"/>
          <w:szCs w:val="24"/>
        </w:rPr>
      </w:pPr>
      <w:r w:rsidRPr="00FA3F9C">
        <w:rPr>
          <w:rFonts w:ascii="Arial" w:hAnsi="Arial" w:cs="Arial"/>
          <w:sz w:val="24"/>
          <w:szCs w:val="24"/>
        </w:rPr>
        <w:t xml:space="preserve">6. UpToDate. Psoriatic Arthritis. Accessed 4/10/19. </w:t>
      </w:r>
      <w:hyperlink r:id="rId25" w:history="1">
        <w:r w:rsidRPr="00FA3F9C">
          <w:rPr>
            <w:rStyle w:val="Hyperlink"/>
            <w:rFonts w:ascii="Arial" w:hAnsi="Arial" w:cs="Arial"/>
            <w:sz w:val="24"/>
            <w:szCs w:val="24"/>
          </w:rPr>
          <w:t>https://www.uptodate.com/contents/treatment-of-psoriatic-arthritis?search=psoriatic%20arthritis&amp;source=search_result&amp;selectedTitle=2~150&amp;usage_type=default&amp;display_rank=2</w:t>
        </w:r>
      </w:hyperlink>
    </w:p>
    <w:p w14:paraId="55ED4661" w14:textId="77777777" w:rsidR="001506C1" w:rsidRPr="00FA3F9C" w:rsidRDefault="001506C1" w:rsidP="00B253FD">
      <w:pPr>
        <w:rPr>
          <w:rFonts w:ascii="Arial" w:hAnsi="Arial" w:cs="Arial"/>
          <w:sz w:val="24"/>
          <w:szCs w:val="24"/>
        </w:rPr>
      </w:pPr>
      <w:r w:rsidRPr="00FA3F9C">
        <w:rPr>
          <w:rFonts w:ascii="Arial" w:hAnsi="Arial" w:cs="Arial"/>
          <w:sz w:val="24"/>
          <w:szCs w:val="24"/>
        </w:rPr>
        <w:t xml:space="preserve">7. The American College of Rheumatology Psoriatic Arthritis 2018 Guidelines.  </w:t>
      </w:r>
      <w:hyperlink r:id="rId26" w:history="1">
        <w:r w:rsidRPr="00FA3F9C">
          <w:rPr>
            <w:rStyle w:val="Hyperlink"/>
            <w:rFonts w:ascii="Arial" w:hAnsi="Arial" w:cs="Arial"/>
            <w:sz w:val="24"/>
            <w:szCs w:val="24"/>
          </w:rPr>
          <w:t>https://www.rheumatology.org/Practice-Quality/Clinical-Support/Clinical-Practice-Guidelines/Psoriatic-Arthritis</w:t>
        </w:r>
      </w:hyperlink>
    </w:p>
    <w:p w14:paraId="0AB1D521" w14:textId="77777777" w:rsidR="001506C1" w:rsidRPr="00FA3F9C" w:rsidRDefault="001506C1" w:rsidP="00B253FD">
      <w:pPr>
        <w:rPr>
          <w:rFonts w:ascii="Arial" w:hAnsi="Arial" w:cs="Arial"/>
          <w:sz w:val="24"/>
          <w:szCs w:val="24"/>
        </w:rPr>
      </w:pPr>
      <w:r w:rsidRPr="00FA3F9C">
        <w:rPr>
          <w:rFonts w:ascii="Arial" w:hAnsi="Arial" w:cs="Arial"/>
          <w:sz w:val="24"/>
          <w:szCs w:val="24"/>
        </w:rPr>
        <w:t xml:space="preserve">8. UpToDate. Treatment of </w:t>
      </w:r>
      <w:proofErr w:type="spellStart"/>
      <w:r w:rsidRPr="00FA3F9C">
        <w:rPr>
          <w:rFonts w:ascii="Arial" w:hAnsi="Arial" w:cs="Arial"/>
          <w:sz w:val="24"/>
          <w:szCs w:val="24"/>
        </w:rPr>
        <w:t>Behcet</w:t>
      </w:r>
      <w:proofErr w:type="spellEnd"/>
      <w:r w:rsidRPr="00FA3F9C">
        <w:rPr>
          <w:rFonts w:ascii="Arial" w:hAnsi="Arial" w:cs="Arial"/>
          <w:sz w:val="24"/>
          <w:szCs w:val="24"/>
        </w:rPr>
        <w:t xml:space="preserve"> syndrome. Accessed 2/25/2020.</w:t>
      </w:r>
    </w:p>
    <w:p w14:paraId="6349F6F4" w14:textId="77777777" w:rsidR="001506C1" w:rsidRPr="00FA3F9C" w:rsidRDefault="001506C1" w:rsidP="00B253FD">
      <w:pPr>
        <w:rPr>
          <w:rFonts w:ascii="Arial" w:hAnsi="Arial" w:cs="Arial"/>
          <w:sz w:val="24"/>
          <w:szCs w:val="24"/>
        </w:rPr>
      </w:pPr>
      <w:r w:rsidRPr="00FA3F9C">
        <w:rPr>
          <w:rFonts w:ascii="Arial" w:hAnsi="Arial" w:cs="Arial"/>
          <w:sz w:val="24"/>
          <w:szCs w:val="24"/>
        </w:rPr>
        <w:t xml:space="preserve">9. </w:t>
      </w:r>
      <w:r w:rsidRPr="00FA3F9C">
        <w:rPr>
          <w:rFonts w:ascii="Arial" w:hAnsi="Arial" w:cs="Arial"/>
          <w:color w:val="222222"/>
          <w:sz w:val="24"/>
          <w:szCs w:val="24"/>
          <w:shd w:val="clear" w:color="auto" w:fill="F8F8F8"/>
        </w:rPr>
        <w:t>Hatemi, Gulen, et al. "</w:t>
      </w:r>
      <w:proofErr w:type="spellStart"/>
      <w:r w:rsidRPr="00FA3F9C">
        <w:rPr>
          <w:rFonts w:ascii="Arial" w:hAnsi="Arial" w:cs="Arial"/>
          <w:color w:val="222222"/>
          <w:sz w:val="24"/>
          <w:szCs w:val="24"/>
          <w:shd w:val="clear" w:color="auto" w:fill="F8F8F8"/>
        </w:rPr>
        <w:t>Apremilast</w:t>
      </w:r>
      <w:proofErr w:type="spellEnd"/>
      <w:r w:rsidRPr="00FA3F9C">
        <w:rPr>
          <w:rFonts w:ascii="Arial" w:hAnsi="Arial" w:cs="Arial"/>
          <w:color w:val="222222"/>
          <w:sz w:val="24"/>
          <w:szCs w:val="24"/>
          <w:shd w:val="clear" w:color="auto" w:fill="F8F8F8"/>
        </w:rPr>
        <w:t xml:space="preserve"> for </w:t>
      </w:r>
      <w:proofErr w:type="spellStart"/>
      <w:r w:rsidRPr="00FA3F9C">
        <w:rPr>
          <w:rFonts w:ascii="Arial" w:hAnsi="Arial" w:cs="Arial"/>
          <w:color w:val="222222"/>
          <w:sz w:val="24"/>
          <w:szCs w:val="24"/>
          <w:shd w:val="clear" w:color="auto" w:fill="F8F8F8"/>
        </w:rPr>
        <w:t>Behçet’s</w:t>
      </w:r>
      <w:proofErr w:type="spellEnd"/>
      <w:r w:rsidRPr="00FA3F9C">
        <w:rPr>
          <w:rFonts w:ascii="Arial" w:hAnsi="Arial" w:cs="Arial"/>
          <w:color w:val="222222"/>
          <w:sz w:val="24"/>
          <w:szCs w:val="24"/>
          <w:shd w:val="clear" w:color="auto" w:fill="F8F8F8"/>
        </w:rPr>
        <w:t xml:space="preserve"> syndrome—a phase 2, placebo-controlled study." </w:t>
      </w:r>
      <w:r w:rsidRPr="00FA3F9C">
        <w:rPr>
          <w:rFonts w:ascii="Arial" w:hAnsi="Arial" w:cs="Arial"/>
          <w:i/>
          <w:iCs/>
          <w:color w:val="222222"/>
          <w:sz w:val="24"/>
          <w:szCs w:val="24"/>
          <w:shd w:val="clear" w:color="auto" w:fill="F8F8F8"/>
        </w:rPr>
        <w:t>New England Journal of Medicine</w:t>
      </w:r>
      <w:r w:rsidRPr="00FA3F9C">
        <w:rPr>
          <w:rFonts w:ascii="Arial" w:hAnsi="Arial" w:cs="Arial"/>
          <w:color w:val="222222"/>
          <w:sz w:val="24"/>
          <w:szCs w:val="24"/>
          <w:shd w:val="clear" w:color="auto" w:fill="F8F8F8"/>
        </w:rPr>
        <w:t> 372.16 (2015): 1510-1518.</w:t>
      </w:r>
    </w:p>
    <w:p w14:paraId="2793CFAD" w14:textId="77777777" w:rsidR="001506C1" w:rsidRPr="00FA3F9C" w:rsidRDefault="001506C1" w:rsidP="00496AE5">
      <w:pPr>
        <w:rPr>
          <w:rFonts w:ascii="Arial" w:hAnsi="Arial" w:cs="Arial"/>
          <w:color w:val="222222"/>
          <w:sz w:val="24"/>
          <w:szCs w:val="24"/>
          <w:shd w:val="clear" w:color="auto" w:fill="F8F8F8"/>
        </w:rPr>
      </w:pPr>
      <w:r w:rsidRPr="00FA3F9C">
        <w:rPr>
          <w:rFonts w:ascii="Arial" w:hAnsi="Arial" w:cs="Arial"/>
          <w:color w:val="222222"/>
          <w:sz w:val="24"/>
          <w:szCs w:val="24"/>
          <w:shd w:val="clear" w:color="auto" w:fill="F8F8F8"/>
        </w:rPr>
        <w:t xml:space="preserve">10. </w:t>
      </w:r>
      <w:proofErr w:type="spellStart"/>
      <w:r w:rsidRPr="00FA3F9C">
        <w:rPr>
          <w:rFonts w:ascii="Arial" w:hAnsi="Arial" w:cs="Arial"/>
          <w:color w:val="222222"/>
          <w:sz w:val="24"/>
          <w:szCs w:val="24"/>
          <w:shd w:val="clear" w:color="auto" w:fill="F8F8F8"/>
        </w:rPr>
        <w:t>Yurdakul</w:t>
      </w:r>
      <w:proofErr w:type="spellEnd"/>
      <w:r w:rsidRPr="00FA3F9C">
        <w:rPr>
          <w:rFonts w:ascii="Arial" w:hAnsi="Arial" w:cs="Arial"/>
          <w:color w:val="222222"/>
          <w:sz w:val="24"/>
          <w:szCs w:val="24"/>
          <w:shd w:val="clear" w:color="auto" w:fill="F8F8F8"/>
        </w:rPr>
        <w:t xml:space="preserve">, </w:t>
      </w:r>
      <w:proofErr w:type="spellStart"/>
      <w:r w:rsidRPr="00FA3F9C">
        <w:rPr>
          <w:rFonts w:ascii="Arial" w:hAnsi="Arial" w:cs="Arial"/>
          <w:color w:val="222222"/>
          <w:sz w:val="24"/>
          <w:szCs w:val="24"/>
          <w:shd w:val="clear" w:color="auto" w:fill="F8F8F8"/>
        </w:rPr>
        <w:t>Sebahattin</w:t>
      </w:r>
      <w:proofErr w:type="spellEnd"/>
      <w:r w:rsidRPr="00FA3F9C">
        <w:rPr>
          <w:rFonts w:ascii="Arial" w:hAnsi="Arial" w:cs="Arial"/>
          <w:color w:val="222222"/>
          <w:sz w:val="24"/>
          <w:szCs w:val="24"/>
          <w:shd w:val="clear" w:color="auto" w:fill="F8F8F8"/>
        </w:rPr>
        <w:t>, et al. "A double</w:t>
      </w:r>
      <w:r w:rsidRPr="00FA3F9C">
        <w:rPr>
          <w:rFonts w:ascii="Cambria Math" w:hAnsi="Cambria Math" w:cs="Cambria Math"/>
          <w:color w:val="222222"/>
          <w:sz w:val="24"/>
          <w:szCs w:val="24"/>
          <w:shd w:val="clear" w:color="auto" w:fill="F8F8F8"/>
        </w:rPr>
        <w:t>‐</w:t>
      </w:r>
      <w:r w:rsidRPr="00FA3F9C">
        <w:rPr>
          <w:rFonts w:ascii="Arial" w:hAnsi="Arial" w:cs="Arial"/>
          <w:color w:val="222222"/>
          <w:sz w:val="24"/>
          <w:szCs w:val="24"/>
          <w:shd w:val="clear" w:color="auto" w:fill="F8F8F8"/>
        </w:rPr>
        <w:t xml:space="preserve">blind trial of colchicine in </w:t>
      </w:r>
      <w:proofErr w:type="spellStart"/>
      <w:r w:rsidRPr="00FA3F9C">
        <w:rPr>
          <w:rFonts w:ascii="Arial" w:hAnsi="Arial" w:cs="Arial"/>
          <w:color w:val="222222"/>
          <w:sz w:val="24"/>
          <w:szCs w:val="24"/>
          <w:shd w:val="clear" w:color="auto" w:fill="F8F8F8"/>
        </w:rPr>
        <w:t>Behçet's</w:t>
      </w:r>
      <w:proofErr w:type="spellEnd"/>
      <w:r w:rsidRPr="00FA3F9C">
        <w:rPr>
          <w:rFonts w:ascii="Arial" w:hAnsi="Arial" w:cs="Arial"/>
          <w:color w:val="222222"/>
          <w:sz w:val="24"/>
          <w:szCs w:val="24"/>
          <w:shd w:val="clear" w:color="auto" w:fill="F8F8F8"/>
        </w:rPr>
        <w:t xml:space="preserve"> syndrome." </w:t>
      </w:r>
      <w:r w:rsidRPr="00FA3F9C">
        <w:rPr>
          <w:rFonts w:ascii="Arial" w:hAnsi="Arial" w:cs="Arial"/>
          <w:i/>
          <w:iCs/>
          <w:color w:val="222222"/>
          <w:sz w:val="24"/>
          <w:szCs w:val="24"/>
          <w:shd w:val="clear" w:color="auto" w:fill="F8F8F8"/>
        </w:rPr>
        <w:t>Arthritis &amp; Rheumatism</w:t>
      </w:r>
      <w:r w:rsidRPr="00FA3F9C">
        <w:rPr>
          <w:rFonts w:ascii="Arial" w:hAnsi="Arial" w:cs="Arial"/>
          <w:color w:val="222222"/>
          <w:sz w:val="24"/>
          <w:szCs w:val="24"/>
          <w:shd w:val="clear" w:color="auto" w:fill="F8F8F8"/>
        </w:rPr>
        <w:t> 44.11 (2001): 2686-2692.</w:t>
      </w:r>
    </w:p>
    <w:p w14:paraId="6C92DBF0" w14:textId="77777777" w:rsidR="001506C1" w:rsidRPr="00FA3F9C" w:rsidRDefault="001506C1" w:rsidP="00496AE5">
      <w:pPr>
        <w:rPr>
          <w:rFonts w:ascii="Arial" w:hAnsi="Arial" w:cs="Arial"/>
          <w:sz w:val="24"/>
          <w:szCs w:val="24"/>
        </w:rPr>
      </w:pPr>
      <w:r w:rsidRPr="00FA3F9C">
        <w:rPr>
          <w:rFonts w:ascii="Arial" w:hAnsi="Arial" w:cs="Arial"/>
          <w:color w:val="222222"/>
          <w:sz w:val="24"/>
          <w:szCs w:val="24"/>
          <w:shd w:val="clear" w:color="auto" w:fill="F8F8F8"/>
        </w:rPr>
        <w:t xml:space="preserve">11. </w:t>
      </w:r>
      <w:proofErr w:type="spellStart"/>
      <w:r w:rsidRPr="00FA3F9C">
        <w:rPr>
          <w:rFonts w:ascii="Arial" w:hAnsi="Arial" w:cs="Arial"/>
          <w:color w:val="222222"/>
          <w:sz w:val="24"/>
          <w:szCs w:val="24"/>
          <w:shd w:val="clear" w:color="auto" w:fill="F8F8F8"/>
        </w:rPr>
        <w:t>Davatchi</w:t>
      </w:r>
      <w:proofErr w:type="spellEnd"/>
      <w:r w:rsidRPr="00FA3F9C">
        <w:rPr>
          <w:rFonts w:ascii="Arial" w:hAnsi="Arial" w:cs="Arial"/>
          <w:color w:val="222222"/>
          <w:sz w:val="24"/>
          <w:szCs w:val="24"/>
          <w:shd w:val="clear" w:color="auto" w:fill="F8F8F8"/>
        </w:rPr>
        <w:t xml:space="preserve">, Fereydoun, et al. "Colchicine versus placebo in </w:t>
      </w:r>
      <w:proofErr w:type="spellStart"/>
      <w:r w:rsidRPr="00FA3F9C">
        <w:rPr>
          <w:rFonts w:ascii="Arial" w:hAnsi="Arial" w:cs="Arial"/>
          <w:color w:val="222222"/>
          <w:sz w:val="24"/>
          <w:szCs w:val="24"/>
          <w:shd w:val="clear" w:color="auto" w:fill="F8F8F8"/>
        </w:rPr>
        <w:t>Behçet’s</w:t>
      </w:r>
      <w:proofErr w:type="spellEnd"/>
      <w:r w:rsidRPr="00FA3F9C">
        <w:rPr>
          <w:rFonts w:ascii="Arial" w:hAnsi="Arial" w:cs="Arial"/>
          <w:color w:val="222222"/>
          <w:sz w:val="24"/>
          <w:szCs w:val="24"/>
          <w:shd w:val="clear" w:color="auto" w:fill="F8F8F8"/>
        </w:rPr>
        <w:t xml:space="preserve"> disease: randomized, double-blind, controlled crossover trial." </w:t>
      </w:r>
      <w:r w:rsidRPr="00FA3F9C">
        <w:rPr>
          <w:rFonts w:ascii="Arial" w:hAnsi="Arial" w:cs="Arial"/>
          <w:i/>
          <w:iCs/>
          <w:color w:val="222222"/>
          <w:sz w:val="24"/>
          <w:szCs w:val="24"/>
          <w:shd w:val="clear" w:color="auto" w:fill="F8F8F8"/>
        </w:rPr>
        <w:t>Modern Rheumatology</w:t>
      </w:r>
      <w:r w:rsidRPr="00FA3F9C">
        <w:rPr>
          <w:rFonts w:ascii="Arial" w:hAnsi="Arial" w:cs="Arial"/>
          <w:color w:val="222222"/>
          <w:sz w:val="24"/>
          <w:szCs w:val="24"/>
          <w:shd w:val="clear" w:color="auto" w:fill="F8F8F8"/>
        </w:rPr>
        <w:t> 19.5 (2009): 542-549.</w:t>
      </w:r>
    </w:p>
    <w:p w14:paraId="590C79F3" w14:textId="77777777" w:rsidR="001506C1" w:rsidRPr="00FA3F9C" w:rsidRDefault="001506C1" w:rsidP="00496AE5">
      <w:pPr>
        <w:rPr>
          <w:rFonts w:ascii="Arial" w:hAnsi="Arial" w:cs="Arial"/>
          <w:sz w:val="24"/>
          <w:szCs w:val="24"/>
        </w:rPr>
      </w:pPr>
    </w:p>
    <w:p w14:paraId="4EAF518B" w14:textId="77777777" w:rsidR="001506C1" w:rsidRPr="00FA3F9C" w:rsidRDefault="001506C1" w:rsidP="00B253FD">
      <w:pPr>
        <w:rPr>
          <w:rFonts w:ascii="Arial" w:hAnsi="Arial" w:cs="Arial"/>
          <w:sz w:val="24"/>
          <w:szCs w:val="24"/>
        </w:rPr>
      </w:pPr>
    </w:p>
    <w:p w14:paraId="36D81B69" w14:textId="77777777" w:rsidR="001506C1" w:rsidRPr="00FA3F9C" w:rsidRDefault="001506C1" w:rsidP="00044308">
      <w:pPr>
        <w:rPr>
          <w:rFonts w:ascii="Arial" w:hAnsi="Arial" w:cs="Arial"/>
          <w:sz w:val="24"/>
          <w:szCs w:val="24"/>
        </w:rPr>
      </w:pPr>
    </w:p>
    <w:p w14:paraId="1BA063CA" w14:textId="77777777" w:rsidR="001506C1" w:rsidRPr="00FA3F9C" w:rsidRDefault="001506C1" w:rsidP="00C439A4">
      <w:pPr>
        <w:ind w:left="180" w:hanging="180"/>
        <w:rPr>
          <w:rFonts w:ascii="Arial" w:hAnsi="Arial" w:cs="Arial"/>
          <w:sz w:val="24"/>
          <w:szCs w:val="24"/>
        </w:rPr>
      </w:pPr>
    </w:p>
    <w:p w14:paraId="7320EB49" w14:textId="77777777" w:rsidR="001506C1" w:rsidRPr="00FA3F9C" w:rsidRDefault="001506C1" w:rsidP="00C439A4">
      <w:pPr>
        <w:ind w:left="180" w:hanging="180"/>
        <w:rPr>
          <w:rFonts w:ascii="Arial" w:hAnsi="Arial" w:cs="Arial"/>
          <w:sz w:val="24"/>
          <w:szCs w:val="24"/>
        </w:rPr>
      </w:pPr>
      <w:r w:rsidRPr="00FA3F9C">
        <w:rPr>
          <w:rFonts w:ascii="Arial" w:hAnsi="Arial" w:cs="Arial"/>
          <w:sz w:val="24"/>
          <w:szCs w:val="24"/>
        </w:rPr>
        <w:lastRenderedPageBreak/>
        <w:t>Revision History</w:t>
      </w:r>
    </w:p>
    <w:tbl>
      <w:tblPr>
        <w:tblW w:w="1080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8092"/>
        <w:gridCol w:w="1424"/>
      </w:tblGrid>
      <w:tr w:rsidR="001506C1" w:rsidRPr="00FA3F9C" w14:paraId="422CBDB0" w14:textId="77777777" w:rsidTr="002C4CF5">
        <w:tc>
          <w:tcPr>
            <w:tcW w:w="994" w:type="dxa"/>
          </w:tcPr>
          <w:p w14:paraId="50EF447B" w14:textId="77777777" w:rsidR="001506C1" w:rsidRPr="00FA3F9C" w:rsidRDefault="001506C1" w:rsidP="00C439A4">
            <w:pPr>
              <w:rPr>
                <w:rFonts w:ascii="Arial" w:hAnsi="Arial" w:cs="Arial"/>
                <w:sz w:val="24"/>
                <w:szCs w:val="24"/>
              </w:rPr>
            </w:pPr>
            <w:r w:rsidRPr="00FA3F9C">
              <w:rPr>
                <w:rFonts w:ascii="Arial" w:hAnsi="Arial" w:cs="Arial"/>
                <w:sz w:val="24"/>
                <w:szCs w:val="24"/>
              </w:rPr>
              <w:t>Date</w:t>
            </w:r>
          </w:p>
        </w:tc>
        <w:tc>
          <w:tcPr>
            <w:tcW w:w="8366" w:type="dxa"/>
          </w:tcPr>
          <w:p w14:paraId="0623115B" w14:textId="77777777" w:rsidR="001506C1" w:rsidRPr="00FA3F9C" w:rsidRDefault="001506C1" w:rsidP="00C439A4">
            <w:pPr>
              <w:rPr>
                <w:rFonts w:ascii="Arial" w:hAnsi="Arial" w:cs="Arial"/>
                <w:sz w:val="24"/>
                <w:szCs w:val="24"/>
              </w:rPr>
            </w:pPr>
            <w:r w:rsidRPr="00FA3F9C">
              <w:rPr>
                <w:rFonts w:ascii="Arial" w:hAnsi="Arial" w:cs="Arial"/>
                <w:sz w:val="24"/>
                <w:szCs w:val="24"/>
              </w:rPr>
              <w:t>What changed</w:t>
            </w:r>
          </w:p>
        </w:tc>
        <w:tc>
          <w:tcPr>
            <w:tcW w:w="1440" w:type="dxa"/>
          </w:tcPr>
          <w:p w14:paraId="0A5D8E67" w14:textId="77777777" w:rsidR="001506C1" w:rsidRPr="00FA3F9C" w:rsidRDefault="001506C1" w:rsidP="00C439A4">
            <w:pPr>
              <w:rPr>
                <w:rFonts w:ascii="Arial" w:hAnsi="Arial" w:cs="Arial"/>
                <w:sz w:val="24"/>
                <w:szCs w:val="24"/>
              </w:rPr>
            </w:pPr>
            <w:r w:rsidRPr="00FA3F9C">
              <w:rPr>
                <w:rFonts w:ascii="Arial" w:hAnsi="Arial" w:cs="Arial"/>
                <w:sz w:val="24"/>
                <w:szCs w:val="24"/>
              </w:rPr>
              <w:t>PharmD’s initials</w:t>
            </w:r>
          </w:p>
        </w:tc>
      </w:tr>
      <w:tr w:rsidR="001506C1" w:rsidRPr="00FA3F9C" w14:paraId="54913C45" w14:textId="77777777" w:rsidTr="002C4CF5">
        <w:tc>
          <w:tcPr>
            <w:tcW w:w="994" w:type="dxa"/>
          </w:tcPr>
          <w:p w14:paraId="4975F296" w14:textId="77777777" w:rsidR="001506C1" w:rsidRPr="00FA3F9C" w:rsidRDefault="001506C1" w:rsidP="00C439A4">
            <w:pPr>
              <w:rPr>
                <w:rFonts w:ascii="Arial" w:hAnsi="Arial" w:cs="Arial"/>
                <w:sz w:val="24"/>
                <w:szCs w:val="24"/>
              </w:rPr>
            </w:pPr>
            <w:r w:rsidRPr="00FA3F9C">
              <w:rPr>
                <w:rFonts w:ascii="Arial" w:hAnsi="Arial" w:cs="Arial"/>
                <w:sz w:val="24"/>
                <w:szCs w:val="24"/>
              </w:rPr>
              <w:t>6/11/2014</w:t>
            </w:r>
          </w:p>
        </w:tc>
        <w:tc>
          <w:tcPr>
            <w:tcW w:w="8366" w:type="dxa"/>
          </w:tcPr>
          <w:p w14:paraId="4CE842AD" w14:textId="77777777" w:rsidR="001506C1" w:rsidRPr="00FA3F9C" w:rsidRDefault="001506C1" w:rsidP="00C439A4">
            <w:pPr>
              <w:rPr>
                <w:rFonts w:ascii="Arial" w:hAnsi="Arial" w:cs="Arial"/>
                <w:sz w:val="24"/>
                <w:szCs w:val="24"/>
              </w:rPr>
            </w:pPr>
            <w:r w:rsidRPr="00FA3F9C">
              <w:rPr>
                <w:rFonts w:ascii="Arial" w:hAnsi="Arial" w:cs="Arial"/>
                <w:sz w:val="24"/>
                <w:szCs w:val="24"/>
              </w:rPr>
              <w:t>JJ created criteria</w:t>
            </w:r>
          </w:p>
        </w:tc>
        <w:tc>
          <w:tcPr>
            <w:tcW w:w="1440" w:type="dxa"/>
          </w:tcPr>
          <w:p w14:paraId="0552CD0E" w14:textId="4E1842F2" w:rsidR="001506C1" w:rsidRPr="00FA3F9C" w:rsidRDefault="005C142D" w:rsidP="00C439A4">
            <w:pPr>
              <w:rPr>
                <w:rFonts w:ascii="Arial" w:hAnsi="Arial" w:cs="Arial"/>
                <w:sz w:val="24"/>
                <w:szCs w:val="24"/>
              </w:rPr>
            </w:pPr>
            <w:r w:rsidRPr="00FA3F9C">
              <w:rPr>
                <w:rFonts w:ascii="Arial" w:hAnsi="Arial" w:cs="Arial"/>
                <w:sz w:val="24"/>
                <w:szCs w:val="24"/>
              </w:rPr>
              <w:t>JJ</w:t>
            </w:r>
          </w:p>
        </w:tc>
      </w:tr>
      <w:tr w:rsidR="001506C1" w:rsidRPr="00FA3F9C" w14:paraId="6202B781" w14:textId="77777777" w:rsidTr="002C4CF5">
        <w:tc>
          <w:tcPr>
            <w:tcW w:w="994" w:type="dxa"/>
          </w:tcPr>
          <w:p w14:paraId="62C20705" w14:textId="77777777" w:rsidR="001506C1" w:rsidRPr="00FA3F9C" w:rsidRDefault="001506C1" w:rsidP="00C439A4">
            <w:pPr>
              <w:rPr>
                <w:rFonts w:ascii="Arial" w:hAnsi="Arial" w:cs="Arial"/>
                <w:sz w:val="24"/>
                <w:szCs w:val="24"/>
              </w:rPr>
            </w:pPr>
            <w:r w:rsidRPr="00FA3F9C">
              <w:rPr>
                <w:rFonts w:ascii="Arial" w:hAnsi="Arial" w:cs="Arial"/>
                <w:sz w:val="24"/>
                <w:szCs w:val="24"/>
              </w:rPr>
              <w:t>8/19/14</w:t>
            </w:r>
          </w:p>
        </w:tc>
        <w:tc>
          <w:tcPr>
            <w:tcW w:w="8366" w:type="dxa"/>
          </w:tcPr>
          <w:p w14:paraId="4894307E" w14:textId="77777777" w:rsidR="001506C1" w:rsidRPr="00FA3F9C" w:rsidRDefault="001506C1" w:rsidP="00C439A4">
            <w:pPr>
              <w:rPr>
                <w:rFonts w:ascii="Arial" w:hAnsi="Arial" w:cs="Arial"/>
                <w:sz w:val="24"/>
                <w:szCs w:val="24"/>
              </w:rPr>
            </w:pPr>
            <w:r w:rsidRPr="00FA3F9C">
              <w:rPr>
                <w:rFonts w:ascii="Arial" w:hAnsi="Arial" w:cs="Arial"/>
                <w:sz w:val="24"/>
                <w:szCs w:val="24"/>
              </w:rPr>
              <w:t>Insurance Board adopted the drug at T4PA</w:t>
            </w:r>
          </w:p>
        </w:tc>
        <w:tc>
          <w:tcPr>
            <w:tcW w:w="1440" w:type="dxa"/>
          </w:tcPr>
          <w:p w14:paraId="78153E44" w14:textId="77777777" w:rsidR="001506C1" w:rsidRPr="00FA3F9C" w:rsidRDefault="001506C1" w:rsidP="00C439A4">
            <w:pPr>
              <w:rPr>
                <w:rFonts w:ascii="Arial" w:hAnsi="Arial" w:cs="Arial"/>
                <w:sz w:val="24"/>
                <w:szCs w:val="24"/>
              </w:rPr>
            </w:pPr>
            <w:r w:rsidRPr="00FA3F9C">
              <w:rPr>
                <w:rFonts w:ascii="Arial" w:hAnsi="Arial" w:cs="Arial"/>
                <w:sz w:val="24"/>
                <w:szCs w:val="24"/>
              </w:rPr>
              <w:t>JJ</w:t>
            </w:r>
          </w:p>
        </w:tc>
      </w:tr>
      <w:tr w:rsidR="001506C1" w:rsidRPr="00FA3F9C" w14:paraId="05760543" w14:textId="77777777" w:rsidTr="002C4CF5">
        <w:tc>
          <w:tcPr>
            <w:tcW w:w="994" w:type="dxa"/>
          </w:tcPr>
          <w:p w14:paraId="1D46B2FF" w14:textId="77777777" w:rsidR="001506C1" w:rsidRPr="00FA3F9C" w:rsidRDefault="001506C1" w:rsidP="00C439A4">
            <w:pPr>
              <w:rPr>
                <w:rFonts w:ascii="Arial" w:hAnsi="Arial" w:cs="Arial"/>
                <w:sz w:val="24"/>
                <w:szCs w:val="24"/>
              </w:rPr>
            </w:pPr>
            <w:r w:rsidRPr="00FA3F9C">
              <w:rPr>
                <w:rFonts w:ascii="Arial" w:hAnsi="Arial" w:cs="Arial"/>
                <w:sz w:val="24"/>
                <w:szCs w:val="24"/>
              </w:rPr>
              <w:t>1/15/15</w:t>
            </w:r>
          </w:p>
        </w:tc>
        <w:tc>
          <w:tcPr>
            <w:tcW w:w="8366" w:type="dxa"/>
          </w:tcPr>
          <w:p w14:paraId="3C4DA007" w14:textId="77777777" w:rsidR="001506C1" w:rsidRPr="00FA3F9C" w:rsidRDefault="001506C1" w:rsidP="00C439A4">
            <w:pPr>
              <w:rPr>
                <w:rFonts w:ascii="Arial" w:hAnsi="Arial" w:cs="Arial"/>
                <w:sz w:val="24"/>
                <w:szCs w:val="24"/>
              </w:rPr>
            </w:pPr>
            <w:r w:rsidRPr="00FA3F9C">
              <w:rPr>
                <w:rFonts w:ascii="Arial" w:hAnsi="Arial" w:cs="Arial"/>
                <w:sz w:val="24"/>
                <w:szCs w:val="24"/>
              </w:rPr>
              <w:t>I added plaque psoriasis as an indication.</w:t>
            </w:r>
          </w:p>
        </w:tc>
        <w:tc>
          <w:tcPr>
            <w:tcW w:w="1440" w:type="dxa"/>
          </w:tcPr>
          <w:p w14:paraId="0900F9A6" w14:textId="77777777" w:rsidR="001506C1" w:rsidRPr="00FA3F9C" w:rsidRDefault="001506C1" w:rsidP="00C439A4">
            <w:pPr>
              <w:rPr>
                <w:rFonts w:ascii="Arial" w:hAnsi="Arial" w:cs="Arial"/>
                <w:sz w:val="24"/>
                <w:szCs w:val="24"/>
              </w:rPr>
            </w:pPr>
            <w:r w:rsidRPr="00FA3F9C">
              <w:rPr>
                <w:rFonts w:ascii="Arial" w:hAnsi="Arial" w:cs="Arial"/>
                <w:sz w:val="24"/>
                <w:szCs w:val="24"/>
              </w:rPr>
              <w:t>JJ</w:t>
            </w:r>
          </w:p>
        </w:tc>
      </w:tr>
      <w:tr w:rsidR="001506C1" w:rsidRPr="00FA3F9C" w14:paraId="0F418D6F" w14:textId="77777777" w:rsidTr="002C4CF5">
        <w:tc>
          <w:tcPr>
            <w:tcW w:w="994" w:type="dxa"/>
          </w:tcPr>
          <w:p w14:paraId="1BB49869" w14:textId="77777777" w:rsidR="001506C1" w:rsidRPr="00FA3F9C" w:rsidRDefault="001506C1" w:rsidP="00C439A4">
            <w:pPr>
              <w:rPr>
                <w:rFonts w:ascii="Arial" w:hAnsi="Arial" w:cs="Arial"/>
                <w:sz w:val="24"/>
                <w:szCs w:val="24"/>
              </w:rPr>
            </w:pPr>
            <w:r w:rsidRPr="00FA3F9C">
              <w:rPr>
                <w:rFonts w:ascii="Arial" w:hAnsi="Arial" w:cs="Arial"/>
                <w:sz w:val="24"/>
                <w:szCs w:val="24"/>
              </w:rPr>
              <w:t>4/10/19</w:t>
            </w:r>
          </w:p>
        </w:tc>
        <w:tc>
          <w:tcPr>
            <w:tcW w:w="8366" w:type="dxa"/>
          </w:tcPr>
          <w:p w14:paraId="7A47A90A" w14:textId="77777777" w:rsidR="001506C1" w:rsidRPr="00FA3F9C" w:rsidRDefault="001506C1" w:rsidP="00B253FD">
            <w:pPr>
              <w:rPr>
                <w:rFonts w:ascii="Arial" w:hAnsi="Arial" w:cs="Arial"/>
                <w:sz w:val="24"/>
                <w:szCs w:val="24"/>
              </w:rPr>
            </w:pPr>
            <w:r w:rsidRPr="00FA3F9C">
              <w:rPr>
                <w:rFonts w:ascii="Arial" w:hAnsi="Arial" w:cs="Arial"/>
                <w:sz w:val="24"/>
                <w:szCs w:val="24"/>
              </w:rPr>
              <w:t>I updated the PA to be consistent with updated guidelines. I added references 3-7.  The 2019 American Academy of Dermatology is putting out new psoriasis guidelines for non-biologics expected in the 4</w:t>
            </w:r>
            <w:r w:rsidRPr="00FA3F9C">
              <w:rPr>
                <w:rFonts w:ascii="Arial" w:hAnsi="Arial" w:cs="Arial"/>
                <w:sz w:val="24"/>
                <w:szCs w:val="24"/>
                <w:vertAlign w:val="superscript"/>
              </w:rPr>
              <w:t>th</w:t>
            </w:r>
            <w:r w:rsidRPr="00FA3F9C">
              <w:rPr>
                <w:rFonts w:ascii="Arial" w:hAnsi="Arial" w:cs="Arial"/>
                <w:sz w:val="24"/>
                <w:szCs w:val="24"/>
              </w:rPr>
              <w:t xml:space="preserve"> quarter 2019. </w:t>
            </w:r>
            <w:hyperlink r:id="rId27" w:history="1">
              <w:r w:rsidRPr="00FA3F9C">
                <w:rPr>
                  <w:rStyle w:val="Hyperlink"/>
                  <w:rFonts w:ascii="Arial" w:hAnsi="Arial" w:cs="Arial"/>
                  <w:sz w:val="24"/>
                  <w:szCs w:val="24"/>
                </w:rPr>
                <w:t>https://www.aad.org/practicecenter/quality/clinical-guidelines</w:t>
              </w:r>
            </w:hyperlink>
          </w:p>
          <w:p w14:paraId="2A2CEDFA" w14:textId="77777777" w:rsidR="001506C1" w:rsidRPr="00FA3F9C" w:rsidRDefault="001506C1" w:rsidP="00C439A4">
            <w:pPr>
              <w:rPr>
                <w:rFonts w:ascii="Arial" w:hAnsi="Arial" w:cs="Arial"/>
                <w:sz w:val="24"/>
                <w:szCs w:val="24"/>
              </w:rPr>
            </w:pPr>
          </w:p>
        </w:tc>
        <w:tc>
          <w:tcPr>
            <w:tcW w:w="1440" w:type="dxa"/>
          </w:tcPr>
          <w:p w14:paraId="18B267B7" w14:textId="77777777" w:rsidR="001506C1" w:rsidRPr="00FA3F9C" w:rsidRDefault="001506C1" w:rsidP="00C439A4">
            <w:pPr>
              <w:rPr>
                <w:rFonts w:ascii="Arial" w:hAnsi="Arial" w:cs="Arial"/>
                <w:sz w:val="24"/>
                <w:szCs w:val="24"/>
              </w:rPr>
            </w:pPr>
            <w:r w:rsidRPr="00FA3F9C">
              <w:rPr>
                <w:rFonts w:ascii="Arial" w:hAnsi="Arial" w:cs="Arial"/>
                <w:sz w:val="24"/>
                <w:szCs w:val="24"/>
              </w:rPr>
              <w:t>JJ</w:t>
            </w:r>
          </w:p>
        </w:tc>
      </w:tr>
      <w:tr w:rsidR="001506C1" w:rsidRPr="00FA3F9C" w14:paraId="1F9B16E6" w14:textId="77777777" w:rsidTr="002C4CF5">
        <w:tc>
          <w:tcPr>
            <w:tcW w:w="994" w:type="dxa"/>
          </w:tcPr>
          <w:p w14:paraId="60DB8668" w14:textId="77777777" w:rsidR="001506C1" w:rsidRPr="00FA3F9C" w:rsidRDefault="001506C1" w:rsidP="00C439A4">
            <w:pPr>
              <w:rPr>
                <w:rFonts w:ascii="Arial" w:hAnsi="Arial" w:cs="Arial"/>
                <w:sz w:val="24"/>
                <w:szCs w:val="24"/>
              </w:rPr>
            </w:pPr>
            <w:r w:rsidRPr="00FA3F9C">
              <w:rPr>
                <w:rFonts w:ascii="Arial" w:hAnsi="Arial" w:cs="Arial"/>
                <w:sz w:val="24"/>
                <w:szCs w:val="24"/>
              </w:rPr>
              <w:t>2/26/2020</w:t>
            </w:r>
          </w:p>
        </w:tc>
        <w:tc>
          <w:tcPr>
            <w:tcW w:w="8366" w:type="dxa"/>
          </w:tcPr>
          <w:p w14:paraId="60C02EA1" w14:textId="77777777" w:rsidR="001506C1" w:rsidRPr="00FA3F9C" w:rsidRDefault="001506C1" w:rsidP="00B253FD">
            <w:pPr>
              <w:rPr>
                <w:rFonts w:ascii="Arial" w:hAnsi="Arial" w:cs="Arial"/>
                <w:sz w:val="24"/>
                <w:szCs w:val="24"/>
              </w:rPr>
            </w:pPr>
            <w:r w:rsidRPr="00FA3F9C">
              <w:rPr>
                <w:rFonts w:ascii="Arial" w:hAnsi="Arial" w:cs="Arial"/>
                <w:sz w:val="24"/>
                <w:szCs w:val="24"/>
              </w:rPr>
              <w:t xml:space="preserve">I updated the PA to include the FDA approval </w:t>
            </w:r>
            <w:proofErr w:type="spellStart"/>
            <w:r w:rsidRPr="00FA3F9C">
              <w:rPr>
                <w:rFonts w:ascii="Arial" w:hAnsi="Arial" w:cs="Arial"/>
                <w:sz w:val="24"/>
                <w:szCs w:val="24"/>
              </w:rPr>
              <w:t>Behcet’s</w:t>
            </w:r>
            <w:proofErr w:type="spellEnd"/>
            <w:r w:rsidRPr="00FA3F9C">
              <w:rPr>
                <w:rFonts w:ascii="Arial" w:hAnsi="Arial" w:cs="Arial"/>
                <w:sz w:val="24"/>
                <w:szCs w:val="24"/>
              </w:rPr>
              <w:t xml:space="preserve"> Disease and I included references 9-11.  There are not comparative data to date and therefore we do not know whether colchicine is superior to </w:t>
            </w:r>
            <w:proofErr w:type="spellStart"/>
            <w:r w:rsidRPr="00FA3F9C">
              <w:rPr>
                <w:rFonts w:ascii="Arial" w:hAnsi="Arial" w:cs="Arial"/>
                <w:sz w:val="24"/>
                <w:szCs w:val="24"/>
              </w:rPr>
              <w:t>apremilast</w:t>
            </w:r>
            <w:proofErr w:type="spellEnd"/>
            <w:r w:rsidRPr="00FA3F9C">
              <w:rPr>
                <w:rFonts w:ascii="Arial" w:hAnsi="Arial" w:cs="Arial"/>
                <w:sz w:val="24"/>
                <w:szCs w:val="24"/>
              </w:rPr>
              <w:t xml:space="preserve">, however, in the case they have tried and failed an adequate trial of colchicine, it is reasonable to allow </w:t>
            </w:r>
            <w:proofErr w:type="spellStart"/>
            <w:r w:rsidRPr="00FA3F9C">
              <w:rPr>
                <w:rFonts w:ascii="Arial" w:hAnsi="Arial" w:cs="Arial"/>
                <w:sz w:val="24"/>
                <w:szCs w:val="24"/>
              </w:rPr>
              <w:t>apremilast</w:t>
            </w:r>
            <w:proofErr w:type="spellEnd"/>
            <w:r w:rsidRPr="00FA3F9C">
              <w:rPr>
                <w:rFonts w:ascii="Arial" w:hAnsi="Arial" w:cs="Arial"/>
                <w:sz w:val="24"/>
                <w:szCs w:val="24"/>
              </w:rPr>
              <w:t>. The QL should be 30mg BID.</w:t>
            </w:r>
          </w:p>
        </w:tc>
        <w:tc>
          <w:tcPr>
            <w:tcW w:w="1440" w:type="dxa"/>
          </w:tcPr>
          <w:p w14:paraId="47C9B114" w14:textId="77777777" w:rsidR="001506C1" w:rsidRPr="00FA3F9C" w:rsidRDefault="001506C1" w:rsidP="00C439A4">
            <w:pPr>
              <w:rPr>
                <w:rFonts w:ascii="Arial" w:hAnsi="Arial" w:cs="Arial"/>
                <w:sz w:val="24"/>
                <w:szCs w:val="24"/>
              </w:rPr>
            </w:pPr>
            <w:r w:rsidRPr="00FA3F9C">
              <w:rPr>
                <w:rFonts w:ascii="Arial" w:hAnsi="Arial" w:cs="Arial"/>
                <w:sz w:val="24"/>
                <w:szCs w:val="24"/>
              </w:rPr>
              <w:t>JJ</w:t>
            </w:r>
          </w:p>
        </w:tc>
      </w:tr>
    </w:tbl>
    <w:p w14:paraId="1BCA25BC" w14:textId="77777777" w:rsidR="001506C1" w:rsidRPr="00FA3F9C" w:rsidRDefault="001506C1" w:rsidP="00C439A4">
      <w:pPr>
        <w:ind w:left="180" w:hanging="180"/>
        <w:rPr>
          <w:rFonts w:ascii="Arial" w:hAnsi="Arial" w:cs="Arial"/>
          <w:sz w:val="24"/>
          <w:szCs w:val="24"/>
        </w:rPr>
      </w:pPr>
    </w:p>
    <w:p w14:paraId="35166F45" w14:textId="77777777" w:rsidR="001506C1" w:rsidRPr="00FA3F9C" w:rsidRDefault="001506C1" w:rsidP="00BD761B">
      <w:pPr>
        <w:jc w:val="right"/>
        <w:rPr>
          <w:rFonts w:ascii="Arial" w:hAnsi="Arial" w:cs="Arial"/>
          <w:sz w:val="24"/>
          <w:szCs w:val="24"/>
        </w:rPr>
      </w:pPr>
    </w:p>
    <w:p w14:paraId="42325E5A" w14:textId="77777777" w:rsidR="005005CA" w:rsidRDefault="005005CA">
      <w:pPr>
        <w:rPr>
          <w:rFonts w:ascii="Arial" w:eastAsia="Times New Roman" w:hAnsi="Arial" w:cs="Arial"/>
          <w:b/>
          <w:sz w:val="28"/>
          <w:szCs w:val="20"/>
        </w:rPr>
      </w:pPr>
      <w:bookmarkStart w:id="18" w:name="_Toc106369720"/>
      <w:r>
        <w:br w:type="page"/>
      </w:r>
    </w:p>
    <w:p w14:paraId="63094603" w14:textId="77777777" w:rsidR="001506C1" w:rsidRPr="00FA3F9C" w:rsidRDefault="001506C1" w:rsidP="00CA4C3C">
      <w:pPr>
        <w:pStyle w:val="Heading2"/>
      </w:pPr>
      <w:bookmarkStart w:id="19" w:name="_Toc106369721"/>
      <w:bookmarkEnd w:id="18"/>
      <w:r w:rsidRPr="00FA3F9C">
        <w:lastRenderedPageBreak/>
        <w:t xml:space="preserve">Aripiprazole IM, ER 1-month injection (Abilify </w:t>
      </w:r>
      <w:proofErr w:type="spellStart"/>
      <w:r w:rsidRPr="00FA3F9C">
        <w:t>Maintena</w:t>
      </w:r>
      <w:proofErr w:type="spellEnd"/>
      <w:r w:rsidRPr="00FA3F9C">
        <w:t>)</w:t>
      </w:r>
      <w:bookmarkEnd w:id="19"/>
    </w:p>
    <w:p w14:paraId="75CFBA40" w14:textId="77777777" w:rsidR="001506C1" w:rsidRPr="00FA3F9C" w:rsidRDefault="001506C1" w:rsidP="006F623F">
      <w:pPr>
        <w:spacing w:after="0"/>
        <w:jc w:val="center"/>
        <w:rPr>
          <w:rFonts w:ascii="Arial" w:hAnsi="Arial" w:cs="Arial"/>
          <w:sz w:val="24"/>
          <w:szCs w:val="24"/>
        </w:rPr>
      </w:pPr>
      <w:r w:rsidRPr="00FA3F9C">
        <w:rPr>
          <w:rFonts w:ascii="Arial" w:hAnsi="Arial" w:cs="Arial"/>
          <w:sz w:val="24"/>
          <w:szCs w:val="24"/>
        </w:rPr>
        <w:t>300, 400mg suspension for IM administration</w:t>
      </w:r>
    </w:p>
    <w:p w14:paraId="3D292F4C" w14:textId="77777777" w:rsidR="001506C1" w:rsidRPr="00FA3F9C" w:rsidRDefault="001506C1" w:rsidP="006F623F">
      <w:pPr>
        <w:spacing w:after="0"/>
        <w:jc w:val="center"/>
        <w:rPr>
          <w:rFonts w:ascii="Arial" w:hAnsi="Arial" w:cs="Arial"/>
          <w:sz w:val="24"/>
          <w:szCs w:val="24"/>
        </w:rPr>
      </w:pPr>
      <w:r w:rsidRPr="00FA3F9C">
        <w:rPr>
          <w:rFonts w:ascii="Arial" w:hAnsi="Arial" w:cs="Arial"/>
          <w:sz w:val="24"/>
          <w:szCs w:val="24"/>
        </w:rPr>
        <w:t>EBRx PA Criteria</w:t>
      </w:r>
    </w:p>
    <w:p w14:paraId="70084ECC" w14:textId="77777777" w:rsidR="001506C1" w:rsidRPr="00FA3F9C" w:rsidRDefault="001506C1" w:rsidP="006F623F">
      <w:pPr>
        <w:spacing w:after="0"/>
        <w:rPr>
          <w:rFonts w:ascii="Arial" w:hAnsi="Arial" w:cs="Arial"/>
          <w:b/>
          <w:sz w:val="24"/>
          <w:szCs w:val="24"/>
          <w:u w:val="single"/>
        </w:rPr>
      </w:pPr>
    </w:p>
    <w:p w14:paraId="09C3E04C" w14:textId="77777777" w:rsidR="001506C1" w:rsidRPr="00FA3F9C" w:rsidRDefault="001506C1"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w:t>
      </w:r>
    </w:p>
    <w:p w14:paraId="3A808493" w14:textId="77777777" w:rsidR="001506C1" w:rsidRPr="00FA3F9C" w:rsidRDefault="001506C1" w:rsidP="001506C1">
      <w:pPr>
        <w:pStyle w:val="ListParagraph"/>
        <w:numPr>
          <w:ilvl w:val="0"/>
          <w:numId w:val="20"/>
        </w:numPr>
        <w:spacing w:after="0" w:line="276" w:lineRule="auto"/>
        <w:rPr>
          <w:rFonts w:ascii="Arial" w:hAnsi="Arial" w:cs="Arial"/>
          <w:sz w:val="24"/>
          <w:szCs w:val="24"/>
        </w:rPr>
      </w:pPr>
      <w:r w:rsidRPr="00FA3F9C">
        <w:rPr>
          <w:rFonts w:ascii="Arial" w:hAnsi="Arial" w:cs="Arial"/>
          <w:sz w:val="24"/>
          <w:szCs w:val="24"/>
        </w:rPr>
        <w:t>Bipolar I disorder maintenance, monotherapy</w:t>
      </w:r>
    </w:p>
    <w:p w14:paraId="6F6AC162" w14:textId="77777777" w:rsidR="001506C1" w:rsidRPr="00FA3F9C" w:rsidRDefault="001506C1" w:rsidP="001506C1">
      <w:pPr>
        <w:pStyle w:val="ListParagraph"/>
        <w:numPr>
          <w:ilvl w:val="0"/>
          <w:numId w:val="20"/>
        </w:numPr>
        <w:spacing w:after="0" w:line="276" w:lineRule="auto"/>
        <w:rPr>
          <w:rFonts w:ascii="Arial" w:hAnsi="Arial" w:cs="Arial"/>
          <w:sz w:val="24"/>
          <w:szCs w:val="24"/>
        </w:rPr>
      </w:pPr>
      <w:r w:rsidRPr="00FA3F9C">
        <w:rPr>
          <w:rFonts w:ascii="Arial" w:hAnsi="Arial" w:cs="Arial"/>
          <w:sz w:val="24"/>
          <w:szCs w:val="24"/>
        </w:rPr>
        <w:t>Schizophrenia treatment</w:t>
      </w:r>
    </w:p>
    <w:tbl>
      <w:tblPr>
        <w:tblStyle w:val="TableGrid"/>
        <w:tblW w:w="0" w:type="auto"/>
        <w:tblLook w:val="04A0" w:firstRow="1" w:lastRow="0" w:firstColumn="1" w:lastColumn="0" w:noHBand="0" w:noVBand="1"/>
      </w:tblPr>
      <w:tblGrid>
        <w:gridCol w:w="8928"/>
        <w:gridCol w:w="2088"/>
      </w:tblGrid>
      <w:tr w:rsidR="001506C1" w:rsidRPr="00FA3F9C" w14:paraId="39F9B006" w14:textId="77777777" w:rsidTr="00571CAB">
        <w:tc>
          <w:tcPr>
            <w:tcW w:w="8928" w:type="dxa"/>
            <w:shd w:val="clear" w:color="auto" w:fill="000000"/>
          </w:tcPr>
          <w:p w14:paraId="6D89BF77" w14:textId="77777777" w:rsidR="001506C1" w:rsidRPr="00FA3F9C" w:rsidRDefault="001506C1"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88" w:type="dxa"/>
            <w:shd w:val="clear" w:color="auto" w:fill="000000"/>
          </w:tcPr>
          <w:p w14:paraId="5883239A" w14:textId="77777777" w:rsidR="001506C1" w:rsidRPr="00FA3F9C" w:rsidRDefault="001506C1" w:rsidP="006F623F">
            <w:pPr>
              <w:jc w:val="center"/>
              <w:rPr>
                <w:rFonts w:ascii="Arial" w:hAnsi="Arial" w:cs="Arial"/>
                <w:b/>
                <w:sz w:val="24"/>
                <w:szCs w:val="24"/>
                <w:u w:val="single"/>
              </w:rPr>
            </w:pPr>
          </w:p>
        </w:tc>
      </w:tr>
      <w:tr w:rsidR="001506C1" w:rsidRPr="00FA3F9C" w14:paraId="25B85F4B" w14:textId="77777777" w:rsidTr="00F337AE">
        <w:tc>
          <w:tcPr>
            <w:tcW w:w="11016" w:type="dxa"/>
            <w:gridSpan w:val="2"/>
          </w:tcPr>
          <w:p w14:paraId="3AE2B14B" w14:textId="77777777" w:rsidR="001506C1" w:rsidRPr="00FA3F9C" w:rsidRDefault="001506C1" w:rsidP="006F623F">
            <w:pPr>
              <w:rPr>
                <w:rFonts w:ascii="Arial" w:hAnsi="Arial" w:cs="Arial"/>
                <w:sz w:val="24"/>
                <w:szCs w:val="24"/>
              </w:rPr>
            </w:pPr>
            <w:r w:rsidRPr="00FA3F9C">
              <w:rPr>
                <w:rFonts w:ascii="Arial" w:hAnsi="Arial" w:cs="Arial"/>
                <w:sz w:val="24"/>
                <w:szCs w:val="24"/>
              </w:rPr>
              <w:t>1. The patient must have the diagnosis of either schizophrenia or bipolar I disorder.</w:t>
            </w:r>
          </w:p>
        </w:tc>
      </w:tr>
      <w:tr w:rsidR="001506C1" w:rsidRPr="00FA3F9C" w14:paraId="1E4EE726" w14:textId="77777777" w:rsidTr="00B1617E">
        <w:tc>
          <w:tcPr>
            <w:tcW w:w="11016" w:type="dxa"/>
            <w:gridSpan w:val="2"/>
          </w:tcPr>
          <w:p w14:paraId="2D2C79F1" w14:textId="77777777" w:rsidR="001506C1" w:rsidRPr="00FA3F9C" w:rsidRDefault="001506C1" w:rsidP="006F623F">
            <w:pPr>
              <w:rPr>
                <w:rFonts w:ascii="Arial" w:hAnsi="Arial" w:cs="Arial"/>
                <w:sz w:val="24"/>
                <w:szCs w:val="24"/>
              </w:rPr>
            </w:pPr>
            <w:r w:rsidRPr="00FA3F9C">
              <w:rPr>
                <w:rFonts w:ascii="Arial" w:hAnsi="Arial" w:cs="Arial"/>
                <w:sz w:val="24"/>
                <w:szCs w:val="24"/>
              </w:rPr>
              <w:t xml:space="preserve">2. Must have a history of intolerable extrapyramidal symptoms from taking haloperidol decanoate or fluphenazine decanoate long-acting injections not responsive to benztropine, trihexyphenidyl, or propranolol in the medical records; look back 5 y or </w:t>
            </w:r>
            <w:proofErr w:type="gramStart"/>
            <w:r w:rsidRPr="00FA3F9C">
              <w:rPr>
                <w:rFonts w:ascii="Arial" w:hAnsi="Arial" w:cs="Arial"/>
                <w:sz w:val="24"/>
                <w:szCs w:val="24"/>
              </w:rPr>
              <w:t>as long as</w:t>
            </w:r>
            <w:proofErr w:type="gramEnd"/>
            <w:r w:rsidRPr="00FA3F9C">
              <w:rPr>
                <w:rFonts w:ascii="Arial" w:hAnsi="Arial" w:cs="Arial"/>
                <w:sz w:val="24"/>
                <w:szCs w:val="24"/>
              </w:rPr>
              <w:t xml:space="preserve"> our profile’s history and as long a history available in the medical records available to us.</w:t>
            </w:r>
          </w:p>
        </w:tc>
      </w:tr>
      <w:tr w:rsidR="001506C1" w:rsidRPr="00FA3F9C" w14:paraId="11AD070C" w14:textId="77777777" w:rsidTr="0010789D">
        <w:tc>
          <w:tcPr>
            <w:tcW w:w="11016" w:type="dxa"/>
            <w:gridSpan w:val="2"/>
          </w:tcPr>
          <w:p w14:paraId="5406530D" w14:textId="77777777" w:rsidR="001506C1" w:rsidRPr="00FA3F9C" w:rsidRDefault="001506C1" w:rsidP="006F623F">
            <w:pPr>
              <w:rPr>
                <w:rFonts w:ascii="Arial" w:hAnsi="Arial" w:cs="Arial"/>
                <w:sz w:val="24"/>
                <w:szCs w:val="24"/>
              </w:rPr>
            </w:pPr>
            <w:r w:rsidRPr="00FA3F9C">
              <w:rPr>
                <w:rFonts w:ascii="Arial" w:hAnsi="Arial" w:cs="Arial"/>
                <w:sz w:val="24"/>
                <w:szCs w:val="24"/>
              </w:rPr>
              <w:t xml:space="preserve">If </w:t>
            </w:r>
            <w:proofErr w:type="gramStart"/>
            <w:r w:rsidRPr="00FA3F9C">
              <w:rPr>
                <w:rFonts w:ascii="Arial" w:hAnsi="Arial" w:cs="Arial"/>
                <w:sz w:val="24"/>
                <w:szCs w:val="24"/>
              </w:rPr>
              <w:t>all of</w:t>
            </w:r>
            <w:proofErr w:type="gramEnd"/>
            <w:r w:rsidRPr="00FA3F9C">
              <w:rPr>
                <w:rFonts w:ascii="Arial" w:hAnsi="Arial" w:cs="Arial"/>
                <w:sz w:val="24"/>
                <w:szCs w:val="24"/>
              </w:rPr>
              <w:t xml:space="preserve"> these criteria are fulfilled, approve for 12 months.</w:t>
            </w:r>
          </w:p>
        </w:tc>
      </w:tr>
      <w:tr w:rsidR="001506C1" w:rsidRPr="00FA3F9C" w14:paraId="2607F222" w14:textId="77777777" w:rsidTr="00DA57E0">
        <w:tc>
          <w:tcPr>
            <w:tcW w:w="11016" w:type="dxa"/>
            <w:gridSpan w:val="2"/>
          </w:tcPr>
          <w:p w14:paraId="35F40B5C" w14:textId="77777777" w:rsidR="001506C1" w:rsidRPr="00FA3F9C" w:rsidRDefault="001506C1" w:rsidP="001506C1">
            <w:pPr>
              <w:pStyle w:val="ListParagraph"/>
              <w:numPr>
                <w:ilvl w:val="0"/>
                <w:numId w:val="21"/>
              </w:numPr>
              <w:rPr>
                <w:rFonts w:ascii="Arial" w:hAnsi="Arial" w:cs="Arial"/>
                <w:sz w:val="24"/>
                <w:szCs w:val="24"/>
              </w:rPr>
            </w:pPr>
            <w:r w:rsidRPr="00FA3F9C">
              <w:rPr>
                <w:rFonts w:ascii="Arial" w:hAnsi="Arial" w:cs="Arial"/>
                <w:sz w:val="24"/>
                <w:szCs w:val="24"/>
              </w:rPr>
              <w:t xml:space="preserve">Concurrent use of other forms of olanzapine, quetiapine, ziprasidone, chlorpromazine, haloperidol, trifluoperazine, prochlorperazine, thioridazine, thiothixene, aripiprazole, or risperidone should be given concurrently for </w:t>
            </w:r>
            <w:r w:rsidRPr="00FA3F9C">
              <w:rPr>
                <w:rFonts w:ascii="Arial" w:hAnsi="Arial" w:cs="Arial"/>
                <w:b/>
                <w:sz w:val="24"/>
                <w:szCs w:val="24"/>
                <w:u w:val="single"/>
              </w:rPr>
              <w:t>ONLY the first 2 weeks or when there is a mixed dose.  Permanent combination therapy is not indicated.</w:t>
            </w:r>
          </w:p>
          <w:p w14:paraId="6E64A482" w14:textId="77777777" w:rsidR="001506C1" w:rsidRPr="00FA3F9C" w:rsidRDefault="001506C1" w:rsidP="001506C1">
            <w:pPr>
              <w:pStyle w:val="ListParagraph"/>
              <w:numPr>
                <w:ilvl w:val="0"/>
                <w:numId w:val="21"/>
              </w:numPr>
              <w:rPr>
                <w:rFonts w:ascii="Arial" w:hAnsi="Arial" w:cs="Arial"/>
                <w:sz w:val="24"/>
                <w:szCs w:val="24"/>
              </w:rPr>
            </w:pPr>
            <w:r w:rsidRPr="00FA3F9C">
              <w:rPr>
                <w:rFonts w:ascii="Arial" w:hAnsi="Arial" w:cs="Arial"/>
                <w:sz w:val="24"/>
                <w:szCs w:val="24"/>
              </w:rPr>
              <w:t>Max dose is 400mg once monthly.</w:t>
            </w:r>
          </w:p>
        </w:tc>
      </w:tr>
    </w:tbl>
    <w:p w14:paraId="19E0D334" w14:textId="77777777" w:rsidR="001506C1" w:rsidRPr="00FA3F9C" w:rsidRDefault="001506C1" w:rsidP="006F623F">
      <w:pPr>
        <w:spacing w:after="0"/>
        <w:rPr>
          <w:rFonts w:ascii="Arial" w:hAnsi="Arial" w:cs="Arial"/>
          <w:b/>
          <w:sz w:val="24"/>
          <w:szCs w:val="24"/>
          <w:u w:val="single"/>
        </w:rPr>
      </w:pPr>
    </w:p>
    <w:tbl>
      <w:tblPr>
        <w:tblStyle w:val="TableGrid"/>
        <w:tblW w:w="0" w:type="auto"/>
        <w:tblLook w:val="04A0" w:firstRow="1" w:lastRow="0" w:firstColumn="1" w:lastColumn="0" w:noHBand="0" w:noVBand="1"/>
      </w:tblPr>
      <w:tblGrid>
        <w:gridCol w:w="8928"/>
        <w:gridCol w:w="2088"/>
      </w:tblGrid>
      <w:tr w:rsidR="001506C1" w:rsidRPr="00FA3F9C" w14:paraId="4035383A" w14:textId="77777777" w:rsidTr="00571CAB">
        <w:tc>
          <w:tcPr>
            <w:tcW w:w="8928" w:type="dxa"/>
            <w:shd w:val="clear" w:color="auto" w:fill="000000"/>
          </w:tcPr>
          <w:p w14:paraId="611324FD" w14:textId="77777777" w:rsidR="001506C1" w:rsidRPr="00FA3F9C" w:rsidRDefault="001506C1" w:rsidP="00571CAB">
            <w:pPr>
              <w:rPr>
                <w:rFonts w:ascii="Arial" w:hAnsi="Arial" w:cs="Arial"/>
                <w:b/>
                <w:sz w:val="24"/>
                <w:szCs w:val="24"/>
                <w:u w:val="single"/>
              </w:rPr>
            </w:pPr>
            <w:r w:rsidRPr="00FA3F9C">
              <w:rPr>
                <w:rFonts w:ascii="Arial" w:hAnsi="Arial" w:cs="Arial"/>
                <w:b/>
                <w:sz w:val="24"/>
                <w:szCs w:val="24"/>
                <w:u w:val="single"/>
              </w:rPr>
              <w:t>Criteria for continuation</w:t>
            </w:r>
          </w:p>
        </w:tc>
        <w:tc>
          <w:tcPr>
            <w:tcW w:w="2088" w:type="dxa"/>
            <w:shd w:val="clear" w:color="auto" w:fill="000000"/>
          </w:tcPr>
          <w:p w14:paraId="367EF978" w14:textId="77777777" w:rsidR="001506C1" w:rsidRPr="00FA3F9C" w:rsidRDefault="001506C1" w:rsidP="00571CAB">
            <w:pPr>
              <w:jc w:val="center"/>
              <w:rPr>
                <w:rFonts w:ascii="Arial" w:hAnsi="Arial" w:cs="Arial"/>
                <w:b/>
                <w:sz w:val="24"/>
                <w:szCs w:val="24"/>
                <w:u w:val="single"/>
              </w:rPr>
            </w:pPr>
          </w:p>
        </w:tc>
      </w:tr>
      <w:tr w:rsidR="001506C1" w:rsidRPr="00FA3F9C" w14:paraId="1E9A6D99" w14:textId="77777777" w:rsidTr="00FE7E94">
        <w:tc>
          <w:tcPr>
            <w:tcW w:w="11016" w:type="dxa"/>
            <w:gridSpan w:val="2"/>
          </w:tcPr>
          <w:p w14:paraId="54BAD56C" w14:textId="77777777" w:rsidR="001506C1" w:rsidRPr="00FA3F9C" w:rsidRDefault="001506C1" w:rsidP="00571CAB">
            <w:pPr>
              <w:rPr>
                <w:rFonts w:ascii="Arial" w:hAnsi="Arial" w:cs="Arial"/>
                <w:sz w:val="24"/>
                <w:szCs w:val="24"/>
              </w:rPr>
            </w:pPr>
            <w:r w:rsidRPr="00FA3F9C">
              <w:rPr>
                <w:rFonts w:ascii="Arial" w:hAnsi="Arial" w:cs="Arial"/>
                <w:sz w:val="24"/>
                <w:szCs w:val="24"/>
              </w:rPr>
              <w:t>1. At least 26 days must have elapsed since the previous dose to get another long-acting injection.</w:t>
            </w:r>
          </w:p>
        </w:tc>
      </w:tr>
    </w:tbl>
    <w:p w14:paraId="256B467F" w14:textId="77777777" w:rsidR="001506C1" w:rsidRPr="00FA3F9C" w:rsidRDefault="001506C1" w:rsidP="006F623F">
      <w:pPr>
        <w:spacing w:after="0"/>
        <w:rPr>
          <w:rFonts w:ascii="Arial" w:hAnsi="Arial" w:cs="Arial"/>
          <w:b/>
          <w:sz w:val="24"/>
          <w:szCs w:val="24"/>
          <w:u w:val="single"/>
        </w:rPr>
      </w:pPr>
    </w:p>
    <w:tbl>
      <w:tblPr>
        <w:tblStyle w:val="TableGrid"/>
        <w:tblW w:w="0" w:type="auto"/>
        <w:shd w:val="clear" w:color="auto" w:fill="BFBFBF" w:themeFill="background1" w:themeFillShade="BF"/>
        <w:tblLook w:val="04A0" w:firstRow="1" w:lastRow="0" w:firstColumn="1" w:lastColumn="0" w:noHBand="0" w:noVBand="1"/>
      </w:tblPr>
      <w:tblGrid>
        <w:gridCol w:w="10998"/>
      </w:tblGrid>
      <w:tr w:rsidR="001506C1" w:rsidRPr="00FA3F9C" w14:paraId="6E4861A6" w14:textId="77777777" w:rsidTr="00D82B6E">
        <w:tc>
          <w:tcPr>
            <w:tcW w:w="10998" w:type="dxa"/>
            <w:shd w:val="clear" w:color="auto" w:fill="BFBFBF" w:themeFill="background1" w:themeFillShade="BF"/>
          </w:tcPr>
          <w:p w14:paraId="1F7C4DA8" w14:textId="77777777" w:rsidR="001506C1" w:rsidRPr="00FA3F9C" w:rsidRDefault="001506C1" w:rsidP="00D82B6E">
            <w:pPr>
              <w:rPr>
                <w:rFonts w:ascii="Arial" w:hAnsi="Arial" w:cs="Arial"/>
                <w:sz w:val="24"/>
                <w:szCs w:val="24"/>
              </w:rPr>
            </w:pPr>
            <w:r w:rsidRPr="00FA3F9C">
              <w:rPr>
                <w:rFonts w:ascii="Arial" w:hAnsi="Arial" w:cs="Arial"/>
                <w:sz w:val="24"/>
                <w:szCs w:val="24"/>
              </w:rPr>
              <w:t>Note: Doses:</w:t>
            </w:r>
          </w:p>
          <w:p w14:paraId="7EBBDF7F" w14:textId="77777777" w:rsidR="001506C1" w:rsidRPr="00FA3F9C" w:rsidRDefault="001506C1" w:rsidP="001506C1">
            <w:pPr>
              <w:pStyle w:val="ListParagraph"/>
              <w:numPr>
                <w:ilvl w:val="0"/>
                <w:numId w:val="20"/>
              </w:numPr>
              <w:rPr>
                <w:rFonts w:ascii="Arial" w:hAnsi="Arial" w:cs="Arial"/>
                <w:sz w:val="24"/>
                <w:szCs w:val="24"/>
              </w:rPr>
            </w:pPr>
            <w:r w:rsidRPr="00FA3F9C">
              <w:rPr>
                <w:rFonts w:ascii="Arial" w:hAnsi="Arial" w:cs="Arial"/>
                <w:sz w:val="24"/>
                <w:szCs w:val="24"/>
              </w:rPr>
              <w:t>Bipolar I disorder maintenance, monotherapy</w:t>
            </w:r>
          </w:p>
          <w:p w14:paraId="087A178E" w14:textId="77777777" w:rsidR="001506C1" w:rsidRPr="00FA3F9C" w:rsidRDefault="001506C1" w:rsidP="001506C1">
            <w:pPr>
              <w:pStyle w:val="ListParagraph"/>
              <w:numPr>
                <w:ilvl w:val="1"/>
                <w:numId w:val="20"/>
              </w:numPr>
              <w:rPr>
                <w:rFonts w:ascii="Arial" w:hAnsi="Arial" w:cs="Arial"/>
                <w:sz w:val="24"/>
                <w:szCs w:val="24"/>
              </w:rPr>
            </w:pPr>
            <w:r w:rsidRPr="00FA3F9C">
              <w:rPr>
                <w:rFonts w:ascii="Arial" w:hAnsi="Arial" w:cs="Arial"/>
                <w:sz w:val="24"/>
                <w:szCs w:val="24"/>
              </w:rPr>
              <w:t>400mg once monthly, separated by &gt;26d; Note: tolerability should be established using oral aripiprazole prior to initiation of parenteral therapy. Continue oral aripiprazole or other oral antipsychotic for 14 days during initiation of parenteral therapy.</w:t>
            </w:r>
          </w:p>
          <w:p w14:paraId="4EE66559" w14:textId="77777777" w:rsidR="001506C1" w:rsidRPr="00FA3F9C" w:rsidRDefault="001506C1" w:rsidP="001506C1">
            <w:pPr>
              <w:pStyle w:val="ListParagraph"/>
              <w:numPr>
                <w:ilvl w:val="0"/>
                <w:numId w:val="20"/>
              </w:numPr>
              <w:rPr>
                <w:rFonts w:ascii="Arial" w:hAnsi="Arial" w:cs="Arial"/>
                <w:sz w:val="24"/>
                <w:szCs w:val="24"/>
              </w:rPr>
            </w:pPr>
            <w:r w:rsidRPr="00FA3F9C">
              <w:rPr>
                <w:rFonts w:ascii="Arial" w:hAnsi="Arial" w:cs="Arial"/>
                <w:sz w:val="24"/>
                <w:szCs w:val="24"/>
              </w:rPr>
              <w:t>Schizophrenia treatment</w:t>
            </w:r>
          </w:p>
          <w:p w14:paraId="77CADB19" w14:textId="77777777" w:rsidR="001506C1" w:rsidRPr="00FA3F9C" w:rsidRDefault="001506C1" w:rsidP="001506C1">
            <w:pPr>
              <w:pStyle w:val="ListParagraph"/>
              <w:numPr>
                <w:ilvl w:val="1"/>
                <w:numId w:val="20"/>
              </w:numPr>
              <w:rPr>
                <w:rFonts w:ascii="Arial" w:hAnsi="Arial" w:cs="Arial"/>
                <w:sz w:val="24"/>
                <w:szCs w:val="24"/>
              </w:rPr>
            </w:pPr>
            <w:r w:rsidRPr="00FA3F9C">
              <w:rPr>
                <w:rFonts w:ascii="Arial" w:hAnsi="Arial" w:cs="Arial"/>
                <w:sz w:val="24"/>
                <w:szCs w:val="24"/>
              </w:rPr>
              <w:t>400mg once monthly, separated by &gt;26d; Note: tolerability should be established using oral aripiprazole prior to initiation of parenteral therapy. Continue oral aripiprazole or other oral antipsychotic for 14 days during initiation of parenteral therapy.</w:t>
            </w:r>
          </w:p>
          <w:p w14:paraId="3C445122" w14:textId="77777777" w:rsidR="001506C1" w:rsidRPr="00FA3F9C" w:rsidRDefault="001506C1" w:rsidP="001506C1">
            <w:pPr>
              <w:pStyle w:val="ListParagraph"/>
              <w:numPr>
                <w:ilvl w:val="1"/>
                <w:numId w:val="20"/>
              </w:numPr>
              <w:rPr>
                <w:rFonts w:ascii="Arial" w:hAnsi="Arial" w:cs="Arial"/>
                <w:sz w:val="24"/>
                <w:szCs w:val="24"/>
              </w:rPr>
            </w:pPr>
            <w:r w:rsidRPr="00FA3F9C">
              <w:rPr>
                <w:rFonts w:ascii="Arial" w:hAnsi="Arial" w:cs="Arial"/>
                <w:sz w:val="24"/>
                <w:szCs w:val="24"/>
              </w:rPr>
              <w:lastRenderedPageBreak/>
              <w:t>Missed doses:</w:t>
            </w:r>
          </w:p>
          <w:p w14:paraId="23E9535B" w14:textId="77777777" w:rsidR="001506C1" w:rsidRPr="00FA3F9C" w:rsidRDefault="001506C1" w:rsidP="001506C1">
            <w:pPr>
              <w:pStyle w:val="ListParagraph"/>
              <w:numPr>
                <w:ilvl w:val="2"/>
                <w:numId w:val="20"/>
              </w:numPr>
              <w:rPr>
                <w:rFonts w:ascii="Arial" w:hAnsi="Arial" w:cs="Arial"/>
                <w:sz w:val="24"/>
                <w:szCs w:val="24"/>
              </w:rPr>
            </w:pPr>
            <w:r w:rsidRPr="00FA3F9C">
              <w:rPr>
                <w:rFonts w:ascii="Arial" w:hAnsi="Arial" w:cs="Arial"/>
                <w:sz w:val="24"/>
                <w:szCs w:val="24"/>
              </w:rPr>
              <w:t>2</w:t>
            </w:r>
            <w:r w:rsidRPr="00FA3F9C">
              <w:rPr>
                <w:rFonts w:ascii="Arial" w:hAnsi="Arial" w:cs="Arial"/>
                <w:sz w:val="24"/>
                <w:szCs w:val="24"/>
                <w:vertAlign w:val="superscript"/>
              </w:rPr>
              <w:t>nd</w:t>
            </w:r>
            <w:r w:rsidRPr="00FA3F9C">
              <w:rPr>
                <w:rFonts w:ascii="Arial" w:hAnsi="Arial" w:cs="Arial"/>
                <w:sz w:val="24"/>
                <w:szCs w:val="24"/>
              </w:rPr>
              <w:t xml:space="preserve"> or 3</w:t>
            </w:r>
            <w:r w:rsidRPr="00FA3F9C">
              <w:rPr>
                <w:rFonts w:ascii="Arial" w:hAnsi="Arial" w:cs="Arial"/>
                <w:sz w:val="24"/>
                <w:szCs w:val="24"/>
                <w:vertAlign w:val="superscript"/>
              </w:rPr>
              <w:t>rd</w:t>
            </w:r>
            <w:r w:rsidRPr="00FA3F9C">
              <w:rPr>
                <w:rFonts w:ascii="Arial" w:hAnsi="Arial" w:cs="Arial"/>
                <w:sz w:val="24"/>
                <w:szCs w:val="24"/>
              </w:rPr>
              <w:t xml:space="preserve"> doses missed:</w:t>
            </w:r>
          </w:p>
          <w:p w14:paraId="492F80E8" w14:textId="77777777" w:rsidR="001506C1" w:rsidRPr="00FA3F9C" w:rsidRDefault="001506C1" w:rsidP="001506C1">
            <w:pPr>
              <w:pStyle w:val="ListParagraph"/>
              <w:numPr>
                <w:ilvl w:val="3"/>
                <w:numId w:val="20"/>
              </w:numPr>
              <w:rPr>
                <w:rFonts w:ascii="Arial" w:hAnsi="Arial" w:cs="Arial"/>
                <w:sz w:val="24"/>
                <w:szCs w:val="24"/>
              </w:rPr>
            </w:pPr>
            <w:r w:rsidRPr="00FA3F9C">
              <w:rPr>
                <w:rFonts w:ascii="Arial" w:hAnsi="Arial" w:cs="Arial"/>
                <w:sz w:val="24"/>
                <w:szCs w:val="24"/>
              </w:rPr>
              <w:t>&gt;4w but &lt;5w since last dose: Administer next dose ASAP.</w:t>
            </w:r>
          </w:p>
          <w:p w14:paraId="3E711C9F" w14:textId="77777777" w:rsidR="001506C1" w:rsidRPr="00FA3F9C" w:rsidRDefault="001506C1" w:rsidP="001506C1">
            <w:pPr>
              <w:pStyle w:val="ListParagraph"/>
              <w:numPr>
                <w:ilvl w:val="3"/>
                <w:numId w:val="20"/>
              </w:numPr>
              <w:rPr>
                <w:rFonts w:ascii="Arial" w:hAnsi="Arial" w:cs="Arial"/>
                <w:sz w:val="24"/>
                <w:szCs w:val="24"/>
              </w:rPr>
            </w:pPr>
            <w:r w:rsidRPr="00FA3F9C">
              <w:rPr>
                <w:rFonts w:ascii="Arial" w:hAnsi="Arial" w:cs="Arial"/>
                <w:sz w:val="24"/>
                <w:szCs w:val="24"/>
              </w:rPr>
              <w:t>&gt;5w since last dose: Administer oral aripiprazole for next 14d with injection.</w:t>
            </w:r>
          </w:p>
          <w:p w14:paraId="1463DF86" w14:textId="77777777" w:rsidR="001506C1" w:rsidRPr="00FA3F9C" w:rsidRDefault="001506C1" w:rsidP="001506C1">
            <w:pPr>
              <w:pStyle w:val="ListParagraph"/>
              <w:numPr>
                <w:ilvl w:val="2"/>
                <w:numId w:val="20"/>
              </w:numPr>
              <w:rPr>
                <w:rFonts w:ascii="Arial" w:hAnsi="Arial" w:cs="Arial"/>
                <w:sz w:val="24"/>
                <w:szCs w:val="24"/>
              </w:rPr>
            </w:pPr>
            <w:r w:rsidRPr="00FA3F9C">
              <w:rPr>
                <w:rFonts w:ascii="Arial" w:hAnsi="Arial" w:cs="Arial"/>
                <w:sz w:val="24"/>
                <w:szCs w:val="24"/>
              </w:rPr>
              <w:t>4</w:t>
            </w:r>
            <w:r w:rsidRPr="00FA3F9C">
              <w:rPr>
                <w:rFonts w:ascii="Arial" w:hAnsi="Arial" w:cs="Arial"/>
                <w:sz w:val="24"/>
                <w:szCs w:val="24"/>
                <w:vertAlign w:val="superscript"/>
              </w:rPr>
              <w:t>th</w:t>
            </w:r>
            <w:r w:rsidRPr="00FA3F9C">
              <w:rPr>
                <w:rFonts w:ascii="Arial" w:hAnsi="Arial" w:cs="Arial"/>
                <w:sz w:val="24"/>
                <w:szCs w:val="24"/>
              </w:rPr>
              <w:t xml:space="preserve"> or subsequent doses missed:</w:t>
            </w:r>
          </w:p>
          <w:p w14:paraId="5682D066" w14:textId="77777777" w:rsidR="001506C1" w:rsidRPr="00FA3F9C" w:rsidRDefault="001506C1" w:rsidP="001506C1">
            <w:pPr>
              <w:pStyle w:val="ListParagraph"/>
              <w:numPr>
                <w:ilvl w:val="3"/>
                <w:numId w:val="20"/>
              </w:numPr>
              <w:rPr>
                <w:rFonts w:ascii="Arial" w:hAnsi="Arial" w:cs="Arial"/>
                <w:sz w:val="24"/>
                <w:szCs w:val="24"/>
              </w:rPr>
            </w:pPr>
            <w:r w:rsidRPr="00FA3F9C">
              <w:rPr>
                <w:rFonts w:ascii="Arial" w:hAnsi="Arial" w:cs="Arial"/>
                <w:sz w:val="24"/>
                <w:szCs w:val="24"/>
              </w:rPr>
              <w:t>&gt;4w but &lt;6w since last dose: Administer next dose ASAP.</w:t>
            </w:r>
          </w:p>
          <w:p w14:paraId="7381C626" w14:textId="77777777" w:rsidR="001506C1" w:rsidRPr="00FA3F9C" w:rsidRDefault="001506C1" w:rsidP="001506C1">
            <w:pPr>
              <w:pStyle w:val="ListParagraph"/>
              <w:numPr>
                <w:ilvl w:val="3"/>
                <w:numId w:val="20"/>
              </w:numPr>
              <w:rPr>
                <w:rFonts w:ascii="Arial" w:hAnsi="Arial" w:cs="Arial"/>
                <w:sz w:val="24"/>
                <w:szCs w:val="24"/>
              </w:rPr>
            </w:pPr>
            <w:r w:rsidRPr="00FA3F9C">
              <w:rPr>
                <w:rFonts w:ascii="Arial" w:hAnsi="Arial" w:cs="Arial"/>
                <w:sz w:val="24"/>
                <w:szCs w:val="24"/>
              </w:rPr>
              <w:t>&gt;6w since last dose: Administer oral aripiprazole for 14 d with next injection.</w:t>
            </w:r>
          </w:p>
          <w:p w14:paraId="549B8BA0" w14:textId="77777777" w:rsidR="001506C1" w:rsidRPr="00FA3F9C" w:rsidRDefault="001506C1" w:rsidP="001506C1">
            <w:pPr>
              <w:pStyle w:val="ListParagraph"/>
              <w:numPr>
                <w:ilvl w:val="1"/>
                <w:numId w:val="20"/>
              </w:numPr>
              <w:rPr>
                <w:rFonts w:ascii="Arial" w:hAnsi="Arial" w:cs="Arial"/>
                <w:sz w:val="24"/>
                <w:szCs w:val="24"/>
              </w:rPr>
            </w:pPr>
            <w:r w:rsidRPr="00FA3F9C">
              <w:rPr>
                <w:rFonts w:ascii="Arial" w:hAnsi="Arial" w:cs="Arial"/>
                <w:sz w:val="24"/>
                <w:szCs w:val="24"/>
              </w:rPr>
              <w:t>Dosage adjustment for adverse effects: Consider reducing dose to 300mg QM.</w:t>
            </w:r>
          </w:p>
        </w:tc>
      </w:tr>
    </w:tbl>
    <w:p w14:paraId="69D7060D"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lastRenderedPageBreak/>
        <w:t>Quantity Limits: 400mg q26 days</w:t>
      </w:r>
    </w:p>
    <w:p w14:paraId="79101E86" w14:textId="77777777" w:rsidR="001506C1" w:rsidRPr="00FA3F9C" w:rsidRDefault="001506C1" w:rsidP="006F623F">
      <w:pPr>
        <w:spacing w:after="0"/>
        <w:rPr>
          <w:rFonts w:ascii="Arial" w:hAnsi="Arial" w:cs="Arial"/>
          <w:sz w:val="24"/>
          <w:szCs w:val="24"/>
        </w:rPr>
      </w:pPr>
    </w:p>
    <w:p w14:paraId="7A6FF9E8"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References:</w:t>
      </w:r>
    </w:p>
    <w:p w14:paraId="34D3239B"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 xml:space="preserve">1. UpToDate. Bipolar I treatment.  </w:t>
      </w:r>
      <w:proofErr w:type="gramStart"/>
      <w:r w:rsidRPr="00FA3F9C">
        <w:rPr>
          <w:rFonts w:ascii="Arial" w:hAnsi="Arial" w:cs="Arial"/>
          <w:sz w:val="24"/>
          <w:szCs w:val="24"/>
        </w:rPr>
        <w:t>Also</w:t>
      </w:r>
      <w:proofErr w:type="gramEnd"/>
      <w:r w:rsidRPr="00FA3F9C">
        <w:rPr>
          <w:rFonts w:ascii="Arial" w:hAnsi="Arial" w:cs="Arial"/>
          <w:sz w:val="24"/>
          <w:szCs w:val="24"/>
        </w:rPr>
        <w:t xml:space="preserve"> Schizophrenia treatment guidelines. Accessed 6/24/19.</w:t>
      </w:r>
    </w:p>
    <w:p w14:paraId="2309C18F"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 xml:space="preserve">2. </w:t>
      </w:r>
      <w:proofErr w:type="spellStart"/>
      <w:r w:rsidRPr="00FA3F9C">
        <w:rPr>
          <w:rFonts w:ascii="Arial" w:hAnsi="Arial" w:cs="Arial"/>
          <w:sz w:val="24"/>
          <w:szCs w:val="24"/>
        </w:rPr>
        <w:t>LexiComp</w:t>
      </w:r>
      <w:proofErr w:type="spellEnd"/>
      <w:r w:rsidRPr="00FA3F9C">
        <w:rPr>
          <w:rFonts w:ascii="Arial" w:hAnsi="Arial" w:cs="Arial"/>
          <w:sz w:val="24"/>
          <w:szCs w:val="24"/>
        </w:rPr>
        <w:t>, dosing info.  Accessed 6/24/19.</w:t>
      </w:r>
    </w:p>
    <w:p w14:paraId="48535308" w14:textId="77777777" w:rsidR="001506C1" w:rsidRPr="00FA3F9C" w:rsidRDefault="001506C1" w:rsidP="006F623F">
      <w:pPr>
        <w:spacing w:after="0"/>
        <w:rPr>
          <w:rFonts w:ascii="Arial" w:hAnsi="Arial" w:cs="Arial"/>
          <w:sz w:val="24"/>
          <w:szCs w:val="24"/>
        </w:rPr>
      </w:pPr>
    </w:p>
    <w:p w14:paraId="3FA529B5"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151"/>
        <w:gridCol w:w="7470"/>
        <w:gridCol w:w="2538"/>
      </w:tblGrid>
      <w:tr w:rsidR="001506C1" w:rsidRPr="00FA3F9C" w14:paraId="5534AB2F" w14:textId="77777777" w:rsidTr="00FE491B">
        <w:tc>
          <w:tcPr>
            <w:tcW w:w="1008" w:type="dxa"/>
          </w:tcPr>
          <w:p w14:paraId="3E3DC963" w14:textId="77777777" w:rsidR="001506C1" w:rsidRPr="00FA3F9C" w:rsidRDefault="001506C1" w:rsidP="006F623F">
            <w:pPr>
              <w:rPr>
                <w:rFonts w:ascii="Arial" w:hAnsi="Arial" w:cs="Arial"/>
                <w:sz w:val="24"/>
                <w:szCs w:val="24"/>
              </w:rPr>
            </w:pPr>
            <w:r w:rsidRPr="00FA3F9C">
              <w:rPr>
                <w:rFonts w:ascii="Arial" w:hAnsi="Arial" w:cs="Arial"/>
                <w:sz w:val="24"/>
                <w:szCs w:val="24"/>
              </w:rPr>
              <w:t>Date</w:t>
            </w:r>
          </w:p>
        </w:tc>
        <w:tc>
          <w:tcPr>
            <w:tcW w:w="7470" w:type="dxa"/>
          </w:tcPr>
          <w:p w14:paraId="6363C37D" w14:textId="77777777" w:rsidR="001506C1" w:rsidRPr="00FA3F9C" w:rsidRDefault="001506C1" w:rsidP="006F623F">
            <w:pPr>
              <w:rPr>
                <w:rFonts w:ascii="Arial" w:hAnsi="Arial" w:cs="Arial"/>
                <w:sz w:val="24"/>
                <w:szCs w:val="24"/>
              </w:rPr>
            </w:pPr>
            <w:r w:rsidRPr="00FA3F9C">
              <w:rPr>
                <w:rFonts w:ascii="Arial" w:hAnsi="Arial" w:cs="Arial"/>
                <w:sz w:val="24"/>
                <w:szCs w:val="24"/>
              </w:rPr>
              <w:t>What changed</w:t>
            </w:r>
          </w:p>
        </w:tc>
        <w:tc>
          <w:tcPr>
            <w:tcW w:w="2538" w:type="dxa"/>
          </w:tcPr>
          <w:p w14:paraId="054F7B2A" w14:textId="77777777" w:rsidR="001506C1" w:rsidRPr="00FA3F9C" w:rsidRDefault="001506C1" w:rsidP="006F623F">
            <w:pPr>
              <w:rPr>
                <w:rFonts w:ascii="Arial" w:hAnsi="Arial" w:cs="Arial"/>
                <w:sz w:val="24"/>
                <w:szCs w:val="24"/>
              </w:rPr>
            </w:pPr>
            <w:r w:rsidRPr="00FA3F9C">
              <w:rPr>
                <w:rFonts w:ascii="Arial" w:hAnsi="Arial" w:cs="Arial"/>
                <w:sz w:val="24"/>
                <w:szCs w:val="24"/>
              </w:rPr>
              <w:t>Pharmacist’s initials</w:t>
            </w:r>
          </w:p>
        </w:tc>
      </w:tr>
      <w:tr w:rsidR="001506C1" w:rsidRPr="00FA3F9C" w14:paraId="36602EA3" w14:textId="77777777" w:rsidTr="00FE491B">
        <w:tc>
          <w:tcPr>
            <w:tcW w:w="1008" w:type="dxa"/>
          </w:tcPr>
          <w:p w14:paraId="60981B5D" w14:textId="77777777" w:rsidR="001506C1" w:rsidRPr="00FA3F9C" w:rsidRDefault="001506C1" w:rsidP="006F623F">
            <w:pPr>
              <w:rPr>
                <w:rFonts w:ascii="Arial" w:hAnsi="Arial" w:cs="Arial"/>
                <w:sz w:val="24"/>
                <w:szCs w:val="24"/>
              </w:rPr>
            </w:pPr>
            <w:r w:rsidRPr="00FA3F9C">
              <w:rPr>
                <w:rFonts w:ascii="Arial" w:hAnsi="Arial" w:cs="Arial"/>
                <w:sz w:val="24"/>
                <w:szCs w:val="24"/>
              </w:rPr>
              <w:t>10/30/15</w:t>
            </w:r>
          </w:p>
        </w:tc>
        <w:tc>
          <w:tcPr>
            <w:tcW w:w="7470" w:type="dxa"/>
          </w:tcPr>
          <w:p w14:paraId="465EB133" w14:textId="77777777" w:rsidR="001506C1" w:rsidRPr="00FA3F9C" w:rsidRDefault="001506C1" w:rsidP="006F623F">
            <w:pPr>
              <w:rPr>
                <w:rFonts w:ascii="Arial" w:hAnsi="Arial" w:cs="Arial"/>
                <w:sz w:val="24"/>
                <w:szCs w:val="24"/>
              </w:rPr>
            </w:pPr>
            <w:r w:rsidRPr="00FA3F9C">
              <w:rPr>
                <w:rFonts w:ascii="Arial" w:hAnsi="Arial" w:cs="Arial"/>
                <w:sz w:val="24"/>
                <w:szCs w:val="24"/>
              </w:rPr>
              <w:t>I wrote the criteria.</w:t>
            </w:r>
          </w:p>
        </w:tc>
        <w:tc>
          <w:tcPr>
            <w:tcW w:w="2538" w:type="dxa"/>
          </w:tcPr>
          <w:p w14:paraId="39C0D961" w14:textId="7C3C0041" w:rsidR="001506C1" w:rsidRPr="00FA3F9C" w:rsidRDefault="005C142D" w:rsidP="006F623F">
            <w:pPr>
              <w:rPr>
                <w:rFonts w:ascii="Arial" w:hAnsi="Arial" w:cs="Arial"/>
                <w:sz w:val="24"/>
                <w:szCs w:val="24"/>
              </w:rPr>
            </w:pPr>
            <w:r w:rsidRPr="00FA3F9C">
              <w:rPr>
                <w:rFonts w:ascii="Arial" w:hAnsi="Arial" w:cs="Arial"/>
                <w:sz w:val="24"/>
                <w:szCs w:val="24"/>
              </w:rPr>
              <w:t>JJ</w:t>
            </w:r>
          </w:p>
        </w:tc>
      </w:tr>
      <w:tr w:rsidR="001506C1" w:rsidRPr="00FA3F9C" w14:paraId="64C82288" w14:textId="77777777" w:rsidTr="00FE491B">
        <w:tc>
          <w:tcPr>
            <w:tcW w:w="1008" w:type="dxa"/>
          </w:tcPr>
          <w:p w14:paraId="22E9F93C" w14:textId="77777777" w:rsidR="001506C1" w:rsidRPr="00FA3F9C" w:rsidRDefault="001506C1" w:rsidP="006F623F">
            <w:pPr>
              <w:rPr>
                <w:rFonts w:ascii="Arial" w:hAnsi="Arial" w:cs="Arial"/>
                <w:sz w:val="24"/>
                <w:szCs w:val="24"/>
              </w:rPr>
            </w:pPr>
            <w:r w:rsidRPr="00FA3F9C">
              <w:rPr>
                <w:rFonts w:ascii="Arial" w:hAnsi="Arial" w:cs="Arial"/>
                <w:sz w:val="24"/>
                <w:szCs w:val="24"/>
              </w:rPr>
              <w:t>6/24/19</w:t>
            </w:r>
          </w:p>
        </w:tc>
        <w:tc>
          <w:tcPr>
            <w:tcW w:w="7470" w:type="dxa"/>
          </w:tcPr>
          <w:p w14:paraId="050B3A5B" w14:textId="77777777" w:rsidR="001506C1" w:rsidRPr="00FA3F9C" w:rsidRDefault="001506C1" w:rsidP="006F623F">
            <w:pPr>
              <w:rPr>
                <w:rFonts w:ascii="Arial" w:hAnsi="Arial" w:cs="Arial"/>
                <w:sz w:val="24"/>
                <w:szCs w:val="24"/>
              </w:rPr>
            </w:pPr>
            <w:r w:rsidRPr="00FA3F9C">
              <w:rPr>
                <w:rFonts w:ascii="Arial" w:hAnsi="Arial" w:cs="Arial"/>
                <w:sz w:val="24"/>
                <w:szCs w:val="24"/>
              </w:rPr>
              <w:t>I added bipolar I indication.</w:t>
            </w:r>
          </w:p>
        </w:tc>
        <w:tc>
          <w:tcPr>
            <w:tcW w:w="2538" w:type="dxa"/>
          </w:tcPr>
          <w:p w14:paraId="1ACA7A72" w14:textId="27D5810E" w:rsidR="001506C1" w:rsidRPr="00FA3F9C" w:rsidRDefault="005C142D" w:rsidP="006F623F">
            <w:pPr>
              <w:rPr>
                <w:rFonts w:ascii="Arial" w:hAnsi="Arial" w:cs="Arial"/>
                <w:sz w:val="24"/>
                <w:szCs w:val="24"/>
              </w:rPr>
            </w:pPr>
            <w:r w:rsidRPr="00FA3F9C">
              <w:rPr>
                <w:rFonts w:ascii="Arial" w:hAnsi="Arial" w:cs="Arial"/>
                <w:sz w:val="24"/>
                <w:szCs w:val="24"/>
              </w:rPr>
              <w:t>JJ</w:t>
            </w:r>
          </w:p>
        </w:tc>
      </w:tr>
      <w:tr w:rsidR="001506C1" w:rsidRPr="00FA3F9C" w14:paraId="3D1CAE59" w14:textId="77777777" w:rsidTr="00FE491B">
        <w:tc>
          <w:tcPr>
            <w:tcW w:w="1008" w:type="dxa"/>
          </w:tcPr>
          <w:p w14:paraId="6CE1A14E" w14:textId="77777777" w:rsidR="001506C1" w:rsidRPr="00FA3F9C" w:rsidRDefault="001506C1" w:rsidP="006F623F">
            <w:pPr>
              <w:rPr>
                <w:rFonts w:ascii="Arial" w:hAnsi="Arial" w:cs="Arial"/>
                <w:sz w:val="24"/>
                <w:szCs w:val="24"/>
              </w:rPr>
            </w:pPr>
          </w:p>
        </w:tc>
        <w:tc>
          <w:tcPr>
            <w:tcW w:w="7470" w:type="dxa"/>
          </w:tcPr>
          <w:p w14:paraId="26F62EBD" w14:textId="77777777" w:rsidR="001506C1" w:rsidRPr="00FA3F9C" w:rsidRDefault="001506C1" w:rsidP="006F623F">
            <w:pPr>
              <w:rPr>
                <w:rFonts w:ascii="Arial" w:hAnsi="Arial" w:cs="Arial"/>
                <w:sz w:val="24"/>
                <w:szCs w:val="24"/>
              </w:rPr>
            </w:pPr>
          </w:p>
        </w:tc>
        <w:tc>
          <w:tcPr>
            <w:tcW w:w="2538" w:type="dxa"/>
          </w:tcPr>
          <w:p w14:paraId="4D6BD6CF" w14:textId="77777777" w:rsidR="001506C1" w:rsidRPr="00FA3F9C" w:rsidRDefault="001506C1" w:rsidP="006F623F">
            <w:pPr>
              <w:rPr>
                <w:rFonts w:ascii="Arial" w:hAnsi="Arial" w:cs="Arial"/>
                <w:sz w:val="24"/>
                <w:szCs w:val="24"/>
              </w:rPr>
            </w:pPr>
          </w:p>
        </w:tc>
      </w:tr>
    </w:tbl>
    <w:p w14:paraId="10595C6F" w14:textId="77777777" w:rsidR="001506C1" w:rsidRPr="00FA3F9C" w:rsidRDefault="001506C1" w:rsidP="006F623F">
      <w:pPr>
        <w:spacing w:after="0"/>
        <w:rPr>
          <w:rFonts w:ascii="Arial" w:hAnsi="Arial" w:cs="Arial"/>
          <w:sz w:val="24"/>
          <w:szCs w:val="24"/>
        </w:rPr>
      </w:pPr>
    </w:p>
    <w:p w14:paraId="26A7CE1C" w14:textId="77777777" w:rsidR="005005CA" w:rsidRDefault="005005CA">
      <w:pPr>
        <w:rPr>
          <w:rFonts w:ascii="Arial" w:eastAsia="Times New Roman" w:hAnsi="Arial" w:cs="Arial"/>
          <w:b/>
          <w:sz w:val="28"/>
          <w:szCs w:val="20"/>
        </w:rPr>
      </w:pPr>
      <w:bookmarkStart w:id="20" w:name="_Toc106369722"/>
      <w:r>
        <w:br w:type="page"/>
      </w:r>
    </w:p>
    <w:p w14:paraId="559E0482" w14:textId="215A7784" w:rsidR="001506C1" w:rsidRPr="00FA3F9C" w:rsidRDefault="001506C1" w:rsidP="00CA4C3C">
      <w:pPr>
        <w:pStyle w:val="Heading2"/>
      </w:pPr>
      <w:proofErr w:type="spellStart"/>
      <w:r w:rsidRPr="00FA3F9C">
        <w:lastRenderedPageBreak/>
        <w:t>Ascminib</w:t>
      </w:r>
      <w:proofErr w:type="spellEnd"/>
      <w:r w:rsidRPr="00FA3F9C">
        <w:t xml:space="preserve"> (</w:t>
      </w:r>
      <w:proofErr w:type="spellStart"/>
      <w:r w:rsidRPr="00FA3F9C">
        <w:t>Scemblix</w:t>
      </w:r>
      <w:proofErr w:type="spellEnd"/>
      <w:r w:rsidRPr="00FA3F9C">
        <w:t>)</w:t>
      </w:r>
      <w:bookmarkEnd w:id="20"/>
    </w:p>
    <w:p w14:paraId="2A1FC3D3" w14:textId="77777777" w:rsidR="001506C1" w:rsidRPr="00FA3F9C" w:rsidRDefault="001506C1" w:rsidP="006F623F">
      <w:pPr>
        <w:spacing w:after="0"/>
        <w:jc w:val="center"/>
        <w:rPr>
          <w:rFonts w:ascii="Arial" w:hAnsi="Arial" w:cs="Arial"/>
          <w:sz w:val="24"/>
          <w:szCs w:val="24"/>
        </w:rPr>
      </w:pPr>
      <w:r w:rsidRPr="00FA3F9C">
        <w:rPr>
          <w:rFonts w:ascii="Arial" w:hAnsi="Arial" w:cs="Arial"/>
          <w:sz w:val="24"/>
          <w:szCs w:val="24"/>
        </w:rPr>
        <w:t>20 mg and 40 mg tablets</w:t>
      </w:r>
    </w:p>
    <w:p w14:paraId="1FA82BE7" w14:textId="77777777" w:rsidR="001506C1" w:rsidRPr="00FA3F9C" w:rsidRDefault="001506C1" w:rsidP="006F623F">
      <w:pPr>
        <w:spacing w:after="0"/>
        <w:jc w:val="center"/>
        <w:rPr>
          <w:rFonts w:ascii="Arial" w:hAnsi="Arial" w:cs="Arial"/>
          <w:sz w:val="24"/>
          <w:szCs w:val="24"/>
        </w:rPr>
      </w:pPr>
      <w:r w:rsidRPr="00FA3F9C">
        <w:rPr>
          <w:rFonts w:ascii="Arial" w:hAnsi="Arial" w:cs="Arial"/>
          <w:sz w:val="24"/>
          <w:szCs w:val="24"/>
        </w:rPr>
        <w:t>EBRx PA Criteria</w:t>
      </w:r>
    </w:p>
    <w:p w14:paraId="11A903E1" w14:textId="77777777" w:rsidR="001506C1" w:rsidRPr="00FA3F9C" w:rsidRDefault="001506C1" w:rsidP="006F623F">
      <w:pPr>
        <w:spacing w:after="0"/>
        <w:rPr>
          <w:rFonts w:ascii="Arial" w:hAnsi="Arial" w:cs="Arial"/>
          <w:b/>
          <w:sz w:val="24"/>
          <w:szCs w:val="24"/>
          <w:u w:val="single"/>
        </w:rPr>
      </w:pPr>
    </w:p>
    <w:p w14:paraId="1C0682BE" w14:textId="77777777" w:rsidR="001506C1" w:rsidRPr="00FA3F9C" w:rsidRDefault="001506C1"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w:t>
      </w:r>
    </w:p>
    <w:p w14:paraId="40D268BF" w14:textId="77777777" w:rsidR="001506C1" w:rsidRPr="00FA3F9C" w:rsidRDefault="001506C1" w:rsidP="001506C1">
      <w:pPr>
        <w:pStyle w:val="ListParagraph"/>
        <w:numPr>
          <w:ilvl w:val="0"/>
          <w:numId w:val="22"/>
        </w:numPr>
        <w:spacing w:after="0" w:line="276" w:lineRule="auto"/>
        <w:ind w:left="270" w:hanging="180"/>
        <w:rPr>
          <w:rFonts w:ascii="Arial" w:hAnsi="Arial" w:cs="Arial"/>
          <w:sz w:val="24"/>
          <w:szCs w:val="24"/>
        </w:rPr>
      </w:pPr>
      <w:r w:rsidRPr="00FA3F9C">
        <w:rPr>
          <w:rFonts w:ascii="Arial" w:hAnsi="Arial" w:cs="Arial"/>
          <w:sz w:val="24"/>
          <w:szCs w:val="24"/>
        </w:rPr>
        <w:t xml:space="preserve">Philadelphia chromosome-positive chronic myeloid leukemia (Ph+ CML) in chronic phase (CP), previously treated with two or more tyrosine kinase inhibitors (TKIs). (Accelerated approval based on major molecular response (MMR). </w:t>
      </w:r>
      <w:r w:rsidRPr="00FA3F9C">
        <w:rPr>
          <w:rFonts w:ascii="Arial" w:hAnsi="Arial" w:cs="Arial"/>
          <w:sz w:val="24"/>
          <w:szCs w:val="24"/>
          <w:highlight w:val="cyan"/>
        </w:rPr>
        <w:t>SEE CRITERIA</w:t>
      </w:r>
    </w:p>
    <w:p w14:paraId="63094A4A" w14:textId="77777777" w:rsidR="001506C1" w:rsidRPr="00FA3F9C" w:rsidRDefault="001506C1" w:rsidP="001506C1">
      <w:pPr>
        <w:pStyle w:val="ListParagraph"/>
        <w:numPr>
          <w:ilvl w:val="0"/>
          <w:numId w:val="22"/>
        </w:numPr>
        <w:spacing w:after="0" w:line="276" w:lineRule="auto"/>
        <w:ind w:left="270" w:hanging="180"/>
        <w:rPr>
          <w:rFonts w:ascii="Arial" w:hAnsi="Arial" w:cs="Arial"/>
          <w:sz w:val="24"/>
          <w:szCs w:val="24"/>
        </w:rPr>
      </w:pPr>
      <w:r w:rsidRPr="00FA3F9C">
        <w:rPr>
          <w:rFonts w:ascii="Arial" w:hAnsi="Arial" w:cs="Arial"/>
          <w:sz w:val="24"/>
          <w:szCs w:val="24"/>
        </w:rPr>
        <w:t xml:space="preserve">Ph+ CML in CP with the T315I mutation. </w:t>
      </w:r>
      <w:r w:rsidRPr="00FA3F9C">
        <w:rPr>
          <w:rFonts w:ascii="Arial" w:hAnsi="Arial" w:cs="Arial"/>
          <w:sz w:val="24"/>
          <w:szCs w:val="24"/>
          <w:highlight w:val="yellow"/>
        </w:rPr>
        <w:t>NOT COVERED</w:t>
      </w:r>
      <w:r w:rsidRPr="00FA3F9C">
        <w:rPr>
          <w:rFonts w:ascii="Arial" w:hAnsi="Arial" w:cs="Arial"/>
          <w:sz w:val="24"/>
          <w:szCs w:val="24"/>
        </w:rPr>
        <w:t xml:space="preserve"> see ponatinib criteria</w:t>
      </w:r>
    </w:p>
    <w:p w14:paraId="7673F017" w14:textId="77777777" w:rsidR="001506C1" w:rsidRPr="00FA3F9C" w:rsidRDefault="001506C1" w:rsidP="001506C1">
      <w:pPr>
        <w:pStyle w:val="ListParagraph"/>
        <w:numPr>
          <w:ilvl w:val="1"/>
          <w:numId w:val="22"/>
        </w:numPr>
        <w:spacing w:after="0" w:line="276" w:lineRule="auto"/>
        <w:ind w:left="810" w:hanging="270"/>
        <w:rPr>
          <w:rFonts w:ascii="Arial" w:hAnsi="Arial" w:cs="Arial"/>
          <w:sz w:val="24"/>
          <w:szCs w:val="24"/>
        </w:rPr>
      </w:pPr>
      <w:r w:rsidRPr="00FA3F9C">
        <w:rPr>
          <w:rFonts w:ascii="Arial" w:hAnsi="Arial" w:cs="Arial"/>
          <w:sz w:val="24"/>
          <w:szCs w:val="24"/>
        </w:rPr>
        <w:t xml:space="preserve">A single arm trial (CABL001X2101; NCT02081378) in CP-CML patients with T315I mutation found a major molecular response rate of 49%. Although </w:t>
      </w:r>
      <w:proofErr w:type="spellStart"/>
      <w:r w:rsidRPr="00FA3F9C">
        <w:rPr>
          <w:rFonts w:ascii="Arial" w:hAnsi="Arial" w:cs="Arial"/>
          <w:sz w:val="24"/>
          <w:szCs w:val="24"/>
        </w:rPr>
        <w:t>asciminib</w:t>
      </w:r>
      <w:proofErr w:type="spellEnd"/>
      <w:r w:rsidRPr="00FA3F9C">
        <w:rPr>
          <w:rFonts w:ascii="Arial" w:hAnsi="Arial" w:cs="Arial"/>
          <w:sz w:val="24"/>
          <w:szCs w:val="24"/>
        </w:rPr>
        <w:t xml:space="preserve"> appears effective, ponatinib is also an effective option that is less expensive (as of 12/16/2021: AWP ~$100,000/</w:t>
      </w:r>
      <w:proofErr w:type="spellStart"/>
      <w:r w:rsidRPr="00FA3F9C">
        <w:rPr>
          <w:rFonts w:ascii="Arial" w:hAnsi="Arial" w:cs="Arial"/>
          <w:sz w:val="24"/>
          <w:szCs w:val="24"/>
        </w:rPr>
        <w:t>mo</w:t>
      </w:r>
      <w:proofErr w:type="spellEnd"/>
      <w:r w:rsidRPr="00FA3F9C">
        <w:rPr>
          <w:rFonts w:ascii="Arial" w:hAnsi="Arial" w:cs="Arial"/>
          <w:sz w:val="24"/>
          <w:szCs w:val="24"/>
        </w:rPr>
        <w:t xml:space="preserve"> versus ~$20,000/</w:t>
      </w:r>
      <w:proofErr w:type="spellStart"/>
      <w:r w:rsidRPr="00FA3F9C">
        <w:rPr>
          <w:rFonts w:ascii="Arial" w:hAnsi="Arial" w:cs="Arial"/>
          <w:sz w:val="24"/>
          <w:szCs w:val="24"/>
        </w:rPr>
        <w:t>mo</w:t>
      </w:r>
      <w:proofErr w:type="spellEnd"/>
      <w:r w:rsidRPr="00FA3F9C">
        <w:rPr>
          <w:rFonts w:ascii="Arial" w:hAnsi="Arial" w:cs="Arial"/>
          <w:sz w:val="24"/>
          <w:szCs w:val="24"/>
        </w:rPr>
        <w:t>).</w:t>
      </w:r>
    </w:p>
    <w:p w14:paraId="58CEA22F" w14:textId="77777777" w:rsidR="001506C1" w:rsidRPr="00FA3F9C" w:rsidRDefault="001506C1" w:rsidP="001506C1">
      <w:pPr>
        <w:pStyle w:val="ListParagraph"/>
        <w:numPr>
          <w:ilvl w:val="1"/>
          <w:numId w:val="22"/>
        </w:numPr>
        <w:spacing w:after="0" w:line="276" w:lineRule="auto"/>
        <w:rPr>
          <w:rFonts w:ascii="Arial" w:hAnsi="Arial" w:cs="Arial"/>
          <w:sz w:val="24"/>
          <w:szCs w:val="24"/>
        </w:rPr>
      </w:pPr>
      <w:r w:rsidRPr="00FA3F9C">
        <w:rPr>
          <w:rFonts w:ascii="Arial" w:hAnsi="Arial" w:cs="Arial"/>
          <w:sz w:val="24"/>
          <w:szCs w:val="24"/>
        </w:rPr>
        <w:t xml:space="preserve">Reference: </w:t>
      </w:r>
      <w:proofErr w:type="spellStart"/>
      <w:r w:rsidRPr="00FA3F9C">
        <w:rPr>
          <w:rFonts w:ascii="Arial" w:hAnsi="Arial" w:cs="Arial"/>
          <w:sz w:val="24"/>
          <w:szCs w:val="24"/>
        </w:rPr>
        <w:t>asciminib</w:t>
      </w:r>
      <w:proofErr w:type="spellEnd"/>
      <w:r w:rsidRPr="00FA3F9C">
        <w:rPr>
          <w:rFonts w:ascii="Arial" w:hAnsi="Arial" w:cs="Arial"/>
          <w:sz w:val="24"/>
          <w:szCs w:val="24"/>
        </w:rPr>
        <w:t xml:space="preserve"> package insert. https://www.novartis.us/sites/www.novartis.us/files/scemblix.pdf</w:t>
      </w:r>
    </w:p>
    <w:tbl>
      <w:tblPr>
        <w:tblStyle w:val="TableGrid"/>
        <w:tblW w:w="0" w:type="auto"/>
        <w:tblLook w:val="04A0" w:firstRow="1" w:lastRow="0" w:firstColumn="1" w:lastColumn="0" w:noHBand="0" w:noVBand="1"/>
      </w:tblPr>
      <w:tblGrid>
        <w:gridCol w:w="8928"/>
        <w:gridCol w:w="2088"/>
      </w:tblGrid>
      <w:tr w:rsidR="001506C1" w:rsidRPr="00FA3F9C" w14:paraId="7D226328" w14:textId="77777777" w:rsidTr="00571CAB">
        <w:tc>
          <w:tcPr>
            <w:tcW w:w="8928" w:type="dxa"/>
            <w:shd w:val="clear" w:color="auto" w:fill="000000"/>
          </w:tcPr>
          <w:p w14:paraId="0A30BA6C" w14:textId="77777777" w:rsidR="001506C1" w:rsidRPr="00FA3F9C" w:rsidRDefault="001506C1"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88" w:type="dxa"/>
            <w:shd w:val="clear" w:color="auto" w:fill="000000"/>
          </w:tcPr>
          <w:p w14:paraId="0A6C7071" w14:textId="77777777" w:rsidR="001506C1" w:rsidRPr="00FA3F9C" w:rsidRDefault="001506C1" w:rsidP="006F623F">
            <w:pPr>
              <w:jc w:val="center"/>
              <w:rPr>
                <w:rFonts w:ascii="Arial" w:hAnsi="Arial" w:cs="Arial"/>
                <w:b/>
                <w:sz w:val="24"/>
                <w:szCs w:val="24"/>
                <w:u w:val="single"/>
              </w:rPr>
            </w:pPr>
          </w:p>
        </w:tc>
      </w:tr>
      <w:tr w:rsidR="001506C1" w:rsidRPr="00FA3F9C" w14:paraId="437DD799" w14:textId="77777777" w:rsidTr="00F337AE">
        <w:tc>
          <w:tcPr>
            <w:tcW w:w="11016" w:type="dxa"/>
            <w:gridSpan w:val="2"/>
          </w:tcPr>
          <w:p w14:paraId="2B42FA02" w14:textId="77777777" w:rsidR="001506C1" w:rsidRPr="00FA3F9C" w:rsidRDefault="001506C1" w:rsidP="006E3CA5">
            <w:pPr>
              <w:rPr>
                <w:rFonts w:ascii="Arial" w:hAnsi="Arial" w:cs="Arial"/>
                <w:sz w:val="24"/>
                <w:szCs w:val="24"/>
              </w:rPr>
            </w:pPr>
            <w:r w:rsidRPr="00FA3F9C">
              <w:rPr>
                <w:rFonts w:ascii="Arial" w:hAnsi="Arial" w:cs="Arial"/>
                <w:sz w:val="24"/>
                <w:szCs w:val="24"/>
              </w:rPr>
              <w:t xml:space="preserve">Ph+ chronic myeloid leukemia (CML) in chronic phase with resistance*, intolerance, or contraindication to imatinib AND </w:t>
            </w:r>
            <w:proofErr w:type="spellStart"/>
            <w:r w:rsidRPr="00FA3F9C">
              <w:rPr>
                <w:rFonts w:ascii="Arial" w:hAnsi="Arial" w:cs="Arial"/>
                <w:sz w:val="24"/>
                <w:szCs w:val="24"/>
              </w:rPr>
              <w:t>dasatinib</w:t>
            </w:r>
            <w:proofErr w:type="spellEnd"/>
            <w:r w:rsidRPr="00FA3F9C">
              <w:rPr>
                <w:rFonts w:ascii="Arial" w:hAnsi="Arial" w:cs="Arial"/>
                <w:sz w:val="24"/>
                <w:szCs w:val="24"/>
              </w:rPr>
              <w:t xml:space="preserve"> (note: Ph+ may also be denoted as t(9;22) or BCR/ABL)</w:t>
            </w:r>
          </w:p>
        </w:tc>
      </w:tr>
      <w:tr w:rsidR="001506C1" w:rsidRPr="00FA3F9C" w14:paraId="49663586" w14:textId="77777777" w:rsidTr="006E3CA5">
        <w:tc>
          <w:tcPr>
            <w:tcW w:w="11016" w:type="dxa"/>
            <w:gridSpan w:val="2"/>
            <w:shd w:val="clear" w:color="auto" w:fill="F2F2F2" w:themeFill="background1" w:themeFillShade="F2"/>
          </w:tcPr>
          <w:p w14:paraId="4DC4DD40" w14:textId="77777777" w:rsidR="001506C1" w:rsidRPr="00FA3F9C" w:rsidRDefault="001506C1" w:rsidP="006E3CA5">
            <w:pPr>
              <w:rPr>
                <w:rFonts w:ascii="Arial" w:hAnsi="Arial" w:cs="Arial"/>
                <w:sz w:val="24"/>
                <w:szCs w:val="24"/>
              </w:rPr>
            </w:pPr>
            <w:r w:rsidRPr="00FA3F9C">
              <w:rPr>
                <w:rFonts w:ascii="Arial" w:hAnsi="Arial" w:cs="Arial"/>
                <w:sz w:val="24"/>
                <w:szCs w:val="24"/>
              </w:rPr>
              <w:t>*Resistance to CML therapy is generally defined as any of the following:</w:t>
            </w:r>
          </w:p>
          <w:p w14:paraId="1468C3D5" w14:textId="77777777" w:rsidR="001506C1" w:rsidRPr="00FA3F9C" w:rsidRDefault="001506C1" w:rsidP="001506C1">
            <w:pPr>
              <w:pStyle w:val="ListParagraph"/>
              <w:numPr>
                <w:ilvl w:val="0"/>
                <w:numId w:val="23"/>
              </w:numPr>
              <w:rPr>
                <w:rFonts w:ascii="Arial" w:hAnsi="Arial" w:cs="Arial"/>
                <w:sz w:val="24"/>
                <w:szCs w:val="24"/>
              </w:rPr>
            </w:pPr>
            <w:r w:rsidRPr="00FA3F9C">
              <w:rPr>
                <w:rFonts w:ascii="Arial" w:hAnsi="Arial" w:cs="Arial"/>
                <w:sz w:val="24"/>
                <w:szCs w:val="24"/>
              </w:rPr>
              <w:t xml:space="preserve">Inadequate response (defined as one of the following): </w:t>
            </w:r>
          </w:p>
          <w:p w14:paraId="122D8538" w14:textId="77777777" w:rsidR="001506C1" w:rsidRPr="00FA3F9C" w:rsidRDefault="001506C1" w:rsidP="001506C1">
            <w:pPr>
              <w:pStyle w:val="ListParagraph"/>
              <w:numPr>
                <w:ilvl w:val="2"/>
                <w:numId w:val="23"/>
              </w:numPr>
              <w:ind w:left="1080"/>
              <w:rPr>
                <w:rFonts w:ascii="Arial" w:hAnsi="Arial" w:cs="Arial"/>
                <w:sz w:val="24"/>
                <w:szCs w:val="24"/>
              </w:rPr>
            </w:pPr>
            <w:r w:rsidRPr="00FA3F9C">
              <w:rPr>
                <w:rFonts w:ascii="Arial" w:hAnsi="Arial" w:cs="Arial"/>
                <w:sz w:val="24"/>
                <w:szCs w:val="24"/>
              </w:rPr>
              <w:t>After 3 months of therapy: Lack of complete hematologic response (Platelets &lt;450 x10</w:t>
            </w:r>
            <w:r w:rsidRPr="00FA3F9C">
              <w:rPr>
                <w:rFonts w:ascii="Arial" w:hAnsi="Arial" w:cs="Arial"/>
                <w:sz w:val="24"/>
                <w:szCs w:val="24"/>
                <w:vertAlign w:val="superscript"/>
              </w:rPr>
              <w:t>9</w:t>
            </w:r>
            <w:r w:rsidRPr="00FA3F9C">
              <w:rPr>
                <w:rFonts w:ascii="Arial" w:hAnsi="Arial" w:cs="Arial"/>
                <w:sz w:val="24"/>
                <w:szCs w:val="24"/>
              </w:rPr>
              <w:t>/L; leukocyte count &lt;10 x 10</w:t>
            </w:r>
            <w:r w:rsidRPr="00FA3F9C">
              <w:rPr>
                <w:rFonts w:ascii="Arial" w:hAnsi="Arial" w:cs="Arial"/>
                <w:sz w:val="24"/>
                <w:szCs w:val="24"/>
                <w:vertAlign w:val="superscript"/>
              </w:rPr>
              <w:t>9</w:t>
            </w:r>
            <w:r w:rsidRPr="00FA3F9C">
              <w:rPr>
                <w:rFonts w:ascii="Arial" w:hAnsi="Arial" w:cs="Arial"/>
                <w:sz w:val="24"/>
                <w:szCs w:val="24"/>
              </w:rPr>
              <w:t xml:space="preserve">/L) </w:t>
            </w:r>
          </w:p>
          <w:p w14:paraId="775C69B7" w14:textId="77777777" w:rsidR="001506C1" w:rsidRPr="00FA3F9C" w:rsidRDefault="001506C1" w:rsidP="001506C1">
            <w:pPr>
              <w:pStyle w:val="ListParagraph"/>
              <w:numPr>
                <w:ilvl w:val="2"/>
                <w:numId w:val="23"/>
              </w:numPr>
              <w:ind w:left="1080"/>
              <w:rPr>
                <w:rFonts w:ascii="Arial" w:hAnsi="Arial" w:cs="Arial"/>
                <w:sz w:val="24"/>
                <w:szCs w:val="24"/>
              </w:rPr>
            </w:pPr>
            <w:r w:rsidRPr="00FA3F9C">
              <w:rPr>
                <w:rFonts w:ascii="Arial" w:hAnsi="Arial" w:cs="Arial"/>
                <w:sz w:val="24"/>
                <w:szCs w:val="24"/>
              </w:rPr>
              <w:t xml:space="preserve">After 3 months of therapy: Cytogenetic analysis shows &gt;95% Ph+ metaphases </w:t>
            </w:r>
          </w:p>
          <w:p w14:paraId="2F509069" w14:textId="77777777" w:rsidR="001506C1" w:rsidRPr="00FA3F9C" w:rsidRDefault="001506C1" w:rsidP="001506C1">
            <w:pPr>
              <w:pStyle w:val="ListParagraph"/>
              <w:numPr>
                <w:ilvl w:val="2"/>
                <w:numId w:val="23"/>
              </w:numPr>
              <w:ind w:left="1080"/>
              <w:rPr>
                <w:rFonts w:ascii="Arial" w:hAnsi="Arial" w:cs="Arial"/>
                <w:sz w:val="24"/>
                <w:szCs w:val="24"/>
              </w:rPr>
            </w:pPr>
            <w:r w:rsidRPr="00FA3F9C">
              <w:rPr>
                <w:rFonts w:ascii="Arial" w:hAnsi="Arial" w:cs="Arial"/>
                <w:sz w:val="24"/>
                <w:szCs w:val="24"/>
              </w:rPr>
              <w:t xml:space="preserve">After 6 months of therapy: BCR-ABL1 (IS) &gt;10% by quantitative PCR (qPCR) </w:t>
            </w:r>
          </w:p>
          <w:p w14:paraId="40C0DA98" w14:textId="77777777" w:rsidR="001506C1" w:rsidRPr="00FA3F9C" w:rsidRDefault="001506C1" w:rsidP="001506C1">
            <w:pPr>
              <w:pStyle w:val="ListParagraph"/>
              <w:numPr>
                <w:ilvl w:val="2"/>
                <w:numId w:val="23"/>
              </w:numPr>
              <w:ind w:left="1080"/>
              <w:rPr>
                <w:rFonts w:ascii="Arial" w:hAnsi="Arial" w:cs="Arial"/>
                <w:sz w:val="24"/>
                <w:szCs w:val="24"/>
              </w:rPr>
            </w:pPr>
            <w:r w:rsidRPr="00FA3F9C">
              <w:rPr>
                <w:rFonts w:ascii="Arial" w:hAnsi="Arial" w:cs="Arial"/>
                <w:sz w:val="24"/>
                <w:szCs w:val="24"/>
              </w:rPr>
              <w:t xml:space="preserve">After 6 months of therapy: Cytogenetic analysis shows &gt;35% Ph+ metaphases </w:t>
            </w:r>
          </w:p>
          <w:p w14:paraId="418ED9E0" w14:textId="77777777" w:rsidR="001506C1" w:rsidRPr="00FA3F9C" w:rsidRDefault="001506C1" w:rsidP="001506C1">
            <w:pPr>
              <w:pStyle w:val="ListParagraph"/>
              <w:numPr>
                <w:ilvl w:val="2"/>
                <w:numId w:val="23"/>
              </w:numPr>
              <w:ind w:left="1080"/>
              <w:rPr>
                <w:rFonts w:ascii="Arial" w:hAnsi="Arial" w:cs="Arial"/>
                <w:sz w:val="24"/>
                <w:szCs w:val="24"/>
              </w:rPr>
            </w:pPr>
            <w:r w:rsidRPr="00FA3F9C">
              <w:rPr>
                <w:rFonts w:ascii="Arial" w:hAnsi="Arial" w:cs="Arial"/>
                <w:sz w:val="24"/>
                <w:szCs w:val="24"/>
              </w:rPr>
              <w:t xml:space="preserve">After 12 months of therapy: BCR-ABL1 (IS) &gt;1% by quantitative PCR (qPCR) </w:t>
            </w:r>
          </w:p>
          <w:p w14:paraId="20494C5B" w14:textId="77777777" w:rsidR="001506C1" w:rsidRPr="00FA3F9C" w:rsidRDefault="001506C1" w:rsidP="001506C1">
            <w:pPr>
              <w:pStyle w:val="ListParagraph"/>
              <w:numPr>
                <w:ilvl w:val="2"/>
                <w:numId w:val="23"/>
              </w:numPr>
              <w:ind w:left="1080"/>
              <w:rPr>
                <w:rFonts w:ascii="Arial" w:hAnsi="Arial" w:cs="Arial"/>
                <w:sz w:val="24"/>
                <w:szCs w:val="24"/>
              </w:rPr>
            </w:pPr>
            <w:r w:rsidRPr="00FA3F9C">
              <w:rPr>
                <w:rFonts w:ascii="Arial" w:hAnsi="Arial" w:cs="Arial"/>
                <w:sz w:val="24"/>
                <w:szCs w:val="24"/>
              </w:rPr>
              <w:t xml:space="preserve">After 12 months of therapy: Cytogenetic analysis shows &gt;0% Ph+ metaphases </w:t>
            </w:r>
          </w:p>
          <w:p w14:paraId="3702FAB4" w14:textId="77777777" w:rsidR="001506C1" w:rsidRPr="00FA3F9C" w:rsidRDefault="001506C1" w:rsidP="001506C1">
            <w:pPr>
              <w:pStyle w:val="ListParagraph"/>
              <w:numPr>
                <w:ilvl w:val="0"/>
                <w:numId w:val="23"/>
              </w:numPr>
              <w:rPr>
                <w:rFonts w:ascii="Arial" w:hAnsi="Arial" w:cs="Arial"/>
                <w:sz w:val="24"/>
                <w:szCs w:val="24"/>
              </w:rPr>
            </w:pPr>
            <w:r w:rsidRPr="00FA3F9C">
              <w:rPr>
                <w:rFonts w:ascii="Arial" w:hAnsi="Arial" w:cs="Arial"/>
                <w:sz w:val="24"/>
                <w:szCs w:val="24"/>
              </w:rPr>
              <w:t xml:space="preserve">Progression of disease after a cytogenetic/hematologic response was achieved </w:t>
            </w:r>
          </w:p>
          <w:p w14:paraId="08589559" w14:textId="77777777" w:rsidR="001506C1" w:rsidRPr="00FA3F9C" w:rsidRDefault="001506C1" w:rsidP="001506C1">
            <w:pPr>
              <w:pStyle w:val="ListParagraph"/>
              <w:numPr>
                <w:ilvl w:val="0"/>
                <w:numId w:val="23"/>
              </w:numPr>
              <w:rPr>
                <w:rFonts w:ascii="Arial" w:hAnsi="Arial" w:cs="Arial"/>
                <w:sz w:val="24"/>
                <w:szCs w:val="24"/>
              </w:rPr>
            </w:pPr>
            <w:r w:rsidRPr="00FA3F9C">
              <w:rPr>
                <w:rFonts w:ascii="Arial" w:hAnsi="Arial" w:cs="Arial"/>
                <w:sz w:val="24"/>
                <w:szCs w:val="24"/>
              </w:rPr>
              <w:t>Documentation of mutation associated with drug resistance (typically checked after failure of first-line therapy—see below)</w:t>
            </w:r>
          </w:p>
        </w:tc>
      </w:tr>
      <w:tr w:rsidR="001506C1" w:rsidRPr="00FA3F9C" w14:paraId="796D22C3" w14:textId="77777777" w:rsidTr="006E3CA5">
        <w:tc>
          <w:tcPr>
            <w:tcW w:w="11016" w:type="dxa"/>
            <w:gridSpan w:val="2"/>
            <w:shd w:val="clear" w:color="auto" w:fill="D9D9D9" w:themeFill="background1" w:themeFillShade="D9"/>
          </w:tcPr>
          <w:p w14:paraId="71202660" w14:textId="77777777" w:rsidR="001506C1" w:rsidRPr="00FA3F9C" w:rsidRDefault="001506C1" w:rsidP="006F623F">
            <w:pPr>
              <w:rPr>
                <w:rFonts w:ascii="Arial" w:hAnsi="Arial" w:cs="Arial"/>
                <w:sz w:val="24"/>
                <w:szCs w:val="24"/>
              </w:rPr>
            </w:pPr>
            <w:r w:rsidRPr="00FA3F9C">
              <w:rPr>
                <w:rFonts w:ascii="Arial" w:hAnsi="Arial" w:cs="Arial"/>
                <w:sz w:val="24"/>
                <w:szCs w:val="24"/>
              </w:rPr>
              <w:t>If criteria 1 is fulfilled, approve for 12 months</w:t>
            </w:r>
          </w:p>
        </w:tc>
      </w:tr>
    </w:tbl>
    <w:p w14:paraId="6ADB96A3" w14:textId="77777777" w:rsidR="001506C1" w:rsidRPr="00FA3F9C" w:rsidRDefault="001506C1" w:rsidP="006F623F">
      <w:pPr>
        <w:spacing w:after="0"/>
        <w:rPr>
          <w:rFonts w:ascii="Arial" w:hAnsi="Arial" w:cs="Arial"/>
          <w:b/>
          <w:sz w:val="24"/>
          <w:szCs w:val="24"/>
          <w:u w:val="single"/>
        </w:rPr>
      </w:pPr>
    </w:p>
    <w:p w14:paraId="052ED88A" w14:textId="77777777" w:rsidR="001506C1" w:rsidRPr="00FA3F9C" w:rsidRDefault="001506C1" w:rsidP="006E3CA5">
      <w:pPr>
        <w:spacing w:after="0"/>
        <w:rPr>
          <w:rFonts w:ascii="Arial" w:hAnsi="Arial" w:cs="Arial"/>
          <w:sz w:val="24"/>
          <w:szCs w:val="24"/>
        </w:rPr>
      </w:pPr>
    </w:p>
    <w:tbl>
      <w:tblPr>
        <w:tblStyle w:val="TableGrid"/>
        <w:tblW w:w="0" w:type="auto"/>
        <w:shd w:val="clear" w:color="auto" w:fill="BFBFBF" w:themeFill="background1" w:themeFillShade="BF"/>
        <w:tblLook w:val="04A0" w:firstRow="1" w:lastRow="0" w:firstColumn="1" w:lastColumn="0" w:noHBand="0" w:noVBand="1"/>
      </w:tblPr>
      <w:tblGrid>
        <w:gridCol w:w="10998"/>
      </w:tblGrid>
      <w:tr w:rsidR="001506C1" w:rsidRPr="00FA3F9C" w14:paraId="72B6E651" w14:textId="77777777" w:rsidTr="00291442">
        <w:tc>
          <w:tcPr>
            <w:tcW w:w="10998" w:type="dxa"/>
            <w:shd w:val="clear" w:color="auto" w:fill="BFBFBF" w:themeFill="background1" w:themeFillShade="BF"/>
          </w:tcPr>
          <w:p w14:paraId="7135DA35" w14:textId="77777777" w:rsidR="001506C1" w:rsidRPr="00FA3F9C" w:rsidRDefault="001506C1" w:rsidP="00291442">
            <w:pPr>
              <w:rPr>
                <w:rFonts w:ascii="Arial" w:hAnsi="Arial" w:cs="Arial"/>
                <w:sz w:val="24"/>
                <w:szCs w:val="24"/>
              </w:rPr>
            </w:pPr>
            <w:r w:rsidRPr="00FA3F9C">
              <w:rPr>
                <w:rFonts w:ascii="Arial" w:hAnsi="Arial" w:cs="Arial"/>
                <w:sz w:val="24"/>
                <w:szCs w:val="24"/>
              </w:rPr>
              <w:t xml:space="preserve">Notes: </w:t>
            </w:r>
          </w:p>
          <w:p w14:paraId="3A01064F" w14:textId="77777777" w:rsidR="001506C1" w:rsidRPr="00FA3F9C" w:rsidRDefault="001506C1" w:rsidP="00291442">
            <w:pPr>
              <w:rPr>
                <w:rFonts w:ascii="Arial" w:hAnsi="Arial" w:cs="Arial"/>
                <w:sz w:val="24"/>
                <w:szCs w:val="24"/>
              </w:rPr>
            </w:pPr>
            <w:r w:rsidRPr="00FA3F9C">
              <w:rPr>
                <w:rFonts w:ascii="Arial" w:hAnsi="Arial" w:cs="Arial"/>
                <w:sz w:val="24"/>
                <w:szCs w:val="24"/>
              </w:rPr>
              <w:lastRenderedPageBreak/>
              <w:t>General CML information:</w:t>
            </w:r>
          </w:p>
          <w:p w14:paraId="545BE3A2" w14:textId="77777777" w:rsidR="001506C1" w:rsidRPr="00FA3F9C" w:rsidRDefault="001506C1" w:rsidP="001506C1">
            <w:pPr>
              <w:pStyle w:val="ListParagraph"/>
              <w:numPr>
                <w:ilvl w:val="0"/>
                <w:numId w:val="24"/>
              </w:numPr>
              <w:rPr>
                <w:rFonts w:ascii="Arial" w:hAnsi="Arial" w:cs="Arial"/>
                <w:sz w:val="24"/>
                <w:szCs w:val="24"/>
              </w:rPr>
            </w:pPr>
            <w:r w:rsidRPr="00FA3F9C">
              <w:rPr>
                <w:rFonts w:ascii="Arial" w:hAnsi="Arial" w:cs="Arial"/>
                <w:sz w:val="24"/>
                <w:szCs w:val="24"/>
              </w:rPr>
              <w:t>Cytogenetic monitoring: Chromosomes are examined directly for BCR-ABL chromosomal translocation. Number of cells in metaphase are examined. The number of metaphase cells that contain BCR-ABL are divided by total number of metaphase cells to get a percentage. Test requires bone marrow aspirate.</w:t>
            </w:r>
          </w:p>
          <w:p w14:paraId="64389D02" w14:textId="77777777" w:rsidR="001506C1" w:rsidRPr="00FA3F9C" w:rsidRDefault="001506C1" w:rsidP="001506C1">
            <w:pPr>
              <w:pStyle w:val="ListParagraph"/>
              <w:numPr>
                <w:ilvl w:val="0"/>
                <w:numId w:val="24"/>
              </w:numPr>
              <w:rPr>
                <w:rFonts w:ascii="Arial" w:hAnsi="Arial" w:cs="Arial"/>
                <w:sz w:val="24"/>
                <w:szCs w:val="24"/>
              </w:rPr>
            </w:pPr>
            <w:r w:rsidRPr="00FA3F9C">
              <w:rPr>
                <w:rFonts w:ascii="Arial" w:hAnsi="Arial" w:cs="Arial"/>
                <w:sz w:val="24"/>
                <w:szCs w:val="24"/>
              </w:rPr>
              <w:t>Molecular monitoring: Transcripts for BCR-ABL mRNA are quantified via real time PCR. “IS” denotes that the result is obtained via a standardized method. Test requires peripheral blood sample.</w:t>
            </w:r>
          </w:p>
          <w:p w14:paraId="6AEC49CA" w14:textId="77777777" w:rsidR="001506C1" w:rsidRPr="00FA3F9C" w:rsidRDefault="001506C1" w:rsidP="001506C1">
            <w:pPr>
              <w:pStyle w:val="ListParagraph"/>
              <w:numPr>
                <w:ilvl w:val="0"/>
                <w:numId w:val="24"/>
              </w:numPr>
              <w:rPr>
                <w:rFonts w:ascii="Arial" w:hAnsi="Arial" w:cs="Arial"/>
                <w:sz w:val="24"/>
                <w:szCs w:val="24"/>
              </w:rPr>
            </w:pPr>
            <w:r w:rsidRPr="00FA3F9C">
              <w:rPr>
                <w:rFonts w:ascii="Arial" w:hAnsi="Arial" w:cs="Arial"/>
                <w:sz w:val="24"/>
                <w:szCs w:val="24"/>
              </w:rPr>
              <w:t xml:space="preserve">Cytogenetic and molecular monitoring are both valid. Since cytogenetic monitoring requires bone marrow biopsy, molecular monitoring may be preferred. </w:t>
            </w:r>
          </w:p>
          <w:p w14:paraId="05D7B216" w14:textId="77777777" w:rsidR="001506C1" w:rsidRPr="00FA3F9C" w:rsidRDefault="001506C1" w:rsidP="001506C1">
            <w:pPr>
              <w:pStyle w:val="ListParagraph"/>
              <w:numPr>
                <w:ilvl w:val="0"/>
                <w:numId w:val="24"/>
              </w:numPr>
              <w:rPr>
                <w:rFonts w:ascii="Arial" w:hAnsi="Arial" w:cs="Arial"/>
                <w:sz w:val="24"/>
                <w:szCs w:val="24"/>
              </w:rPr>
            </w:pPr>
            <w:r w:rsidRPr="00FA3F9C">
              <w:rPr>
                <w:rFonts w:ascii="Arial" w:hAnsi="Arial" w:cs="Arial"/>
                <w:sz w:val="24"/>
                <w:szCs w:val="24"/>
              </w:rPr>
              <w:t>Analysis of BCR-ABL mutations is typically not done until failure of first-line therapy for chronic phase CML but may be checked sooner in advanced phase. If a mutation is documented that predicts resistance to imatinib or other therapy, an alternative agent should be used. NCCN has guide for treatment options according to which mutation is identified.</w:t>
            </w:r>
          </w:p>
          <w:p w14:paraId="3ED7B874" w14:textId="77777777" w:rsidR="001506C1" w:rsidRPr="00FA3F9C" w:rsidRDefault="001506C1" w:rsidP="006E3CA5">
            <w:pPr>
              <w:rPr>
                <w:rFonts w:ascii="Arial" w:hAnsi="Arial" w:cs="Arial"/>
                <w:sz w:val="24"/>
                <w:szCs w:val="24"/>
              </w:rPr>
            </w:pPr>
          </w:p>
          <w:tbl>
            <w:tblPr>
              <w:tblStyle w:val="TableGrid"/>
              <w:tblW w:w="0" w:type="auto"/>
              <w:tblInd w:w="720" w:type="dxa"/>
              <w:tblLook w:val="04A0" w:firstRow="1" w:lastRow="0" w:firstColumn="1" w:lastColumn="0" w:noHBand="0" w:noVBand="1"/>
            </w:tblPr>
            <w:tblGrid>
              <w:gridCol w:w="3427"/>
              <w:gridCol w:w="6625"/>
            </w:tblGrid>
            <w:tr w:rsidR="001506C1" w:rsidRPr="00FA3F9C" w14:paraId="54D0EE39" w14:textId="77777777" w:rsidTr="006F1EDE">
              <w:tc>
                <w:tcPr>
                  <w:tcW w:w="10052" w:type="dxa"/>
                  <w:gridSpan w:val="2"/>
                </w:tcPr>
                <w:p w14:paraId="74CC1866" w14:textId="77777777" w:rsidR="001506C1" w:rsidRPr="00FA3F9C" w:rsidRDefault="001506C1" w:rsidP="00291442">
                  <w:pPr>
                    <w:pStyle w:val="ListParagraph"/>
                    <w:ind w:left="0"/>
                    <w:rPr>
                      <w:rFonts w:ascii="Arial" w:hAnsi="Arial" w:cs="Arial"/>
                      <w:b/>
                      <w:sz w:val="24"/>
                      <w:szCs w:val="24"/>
                    </w:rPr>
                  </w:pPr>
                  <w:r w:rsidRPr="00FA3F9C">
                    <w:rPr>
                      <w:rFonts w:ascii="Arial" w:hAnsi="Arial" w:cs="Arial"/>
                      <w:b/>
                      <w:sz w:val="24"/>
                      <w:szCs w:val="24"/>
                    </w:rPr>
                    <w:t>Treatment recommendations based on BCR-ABL1 mutation profile (NCCN CML version 2.2022)</w:t>
                  </w:r>
                </w:p>
              </w:tc>
            </w:tr>
            <w:tr w:rsidR="001506C1" w:rsidRPr="00FA3F9C" w14:paraId="1132A848" w14:textId="77777777" w:rsidTr="0019081E">
              <w:tc>
                <w:tcPr>
                  <w:tcW w:w="3427" w:type="dxa"/>
                </w:tcPr>
                <w:p w14:paraId="6E4FF392" w14:textId="77777777" w:rsidR="001506C1" w:rsidRPr="00FA3F9C" w:rsidRDefault="001506C1" w:rsidP="00291442">
                  <w:pPr>
                    <w:pStyle w:val="ListParagraph"/>
                    <w:ind w:left="0"/>
                    <w:rPr>
                      <w:rFonts w:ascii="Arial" w:hAnsi="Arial" w:cs="Arial"/>
                      <w:sz w:val="24"/>
                      <w:szCs w:val="24"/>
                      <w:u w:val="single"/>
                    </w:rPr>
                  </w:pPr>
                  <w:r w:rsidRPr="00FA3F9C">
                    <w:rPr>
                      <w:rFonts w:ascii="Arial" w:hAnsi="Arial" w:cs="Arial"/>
                      <w:sz w:val="24"/>
                      <w:szCs w:val="24"/>
                      <w:u w:val="single"/>
                    </w:rPr>
                    <w:t>Contraindicated Mutations</w:t>
                  </w:r>
                </w:p>
              </w:tc>
              <w:tc>
                <w:tcPr>
                  <w:tcW w:w="6625" w:type="dxa"/>
                </w:tcPr>
                <w:p w14:paraId="0C401357" w14:textId="77777777" w:rsidR="001506C1" w:rsidRPr="00FA3F9C" w:rsidRDefault="001506C1" w:rsidP="00291442">
                  <w:pPr>
                    <w:pStyle w:val="ListParagraph"/>
                    <w:ind w:left="0"/>
                    <w:rPr>
                      <w:rFonts w:ascii="Arial" w:hAnsi="Arial" w:cs="Arial"/>
                      <w:sz w:val="24"/>
                      <w:szCs w:val="24"/>
                      <w:u w:val="single"/>
                    </w:rPr>
                  </w:pPr>
                  <w:r w:rsidRPr="00FA3F9C">
                    <w:rPr>
                      <w:rFonts w:ascii="Arial" w:hAnsi="Arial" w:cs="Arial"/>
                      <w:sz w:val="24"/>
                      <w:szCs w:val="24"/>
                      <w:u w:val="single"/>
                    </w:rPr>
                    <w:t>Drugs</w:t>
                  </w:r>
                </w:p>
              </w:tc>
            </w:tr>
            <w:tr w:rsidR="001506C1" w:rsidRPr="00FA3F9C" w14:paraId="2E5B635E" w14:textId="77777777" w:rsidTr="0019081E">
              <w:tc>
                <w:tcPr>
                  <w:tcW w:w="3427" w:type="dxa"/>
                </w:tcPr>
                <w:p w14:paraId="5F6E840F" w14:textId="77777777" w:rsidR="001506C1" w:rsidRPr="00FA3F9C" w:rsidRDefault="001506C1" w:rsidP="006E3CA5">
                  <w:pPr>
                    <w:pStyle w:val="ListParagraph"/>
                    <w:ind w:left="0"/>
                    <w:rPr>
                      <w:rFonts w:ascii="Arial" w:hAnsi="Arial" w:cs="Arial"/>
                      <w:sz w:val="24"/>
                      <w:szCs w:val="24"/>
                    </w:rPr>
                  </w:pPr>
                  <w:r w:rsidRPr="00FA3F9C">
                    <w:rPr>
                      <w:rFonts w:ascii="Arial" w:hAnsi="Arial" w:cs="Arial"/>
                      <w:sz w:val="24"/>
                      <w:szCs w:val="24"/>
                    </w:rPr>
                    <w:t>T315I/A, F317L/V/I/C, V299L</w:t>
                  </w:r>
                </w:p>
              </w:tc>
              <w:tc>
                <w:tcPr>
                  <w:tcW w:w="6625" w:type="dxa"/>
                </w:tcPr>
                <w:p w14:paraId="2DCD0C3E" w14:textId="77777777" w:rsidR="001506C1" w:rsidRPr="00FA3F9C" w:rsidRDefault="001506C1" w:rsidP="00291442">
                  <w:pPr>
                    <w:pStyle w:val="ListParagraph"/>
                    <w:ind w:left="0"/>
                    <w:rPr>
                      <w:rFonts w:ascii="Arial" w:hAnsi="Arial" w:cs="Arial"/>
                      <w:sz w:val="24"/>
                      <w:szCs w:val="24"/>
                    </w:rPr>
                  </w:pPr>
                  <w:proofErr w:type="spellStart"/>
                  <w:r w:rsidRPr="00FA3F9C">
                    <w:rPr>
                      <w:rFonts w:ascii="Arial" w:hAnsi="Arial" w:cs="Arial"/>
                      <w:sz w:val="24"/>
                      <w:szCs w:val="24"/>
                    </w:rPr>
                    <w:t>Dasatinib</w:t>
                  </w:r>
                  <w:proofErr w:type="spellEnd"/>
                </w:p>
              </w:tc>
            </w:tr>
            <w:tr w:rsidR="001506C1" w:rsidRPr="00FA3F9C" w14:paraId="668926F2" w14:textId="77777777" w:rsidTr="0019081E">
              <w:tc>
                <w:tcPr>
                  <w:tcW w:w="3427" w:type="dxa"/>
                </w:tcPr>
                <w:p w14:paraId="02FFD383" w14:textId="77777777" w:rsidR="001506C1" w:rsidRPr="00FA3F9C" w:rsidRDefault="001506C1" w:rsidP="006E3CA5">
                  <w:pPr>
                    <w:pStyle w:val="ListParagraph"/>
                    <w:ind w:left="0"/>
                    <w:rPr>
                      <w:rFonts w:ascii="Arial" w:hAnsi="Arial" w:cs="Arial"/>
                      <w:sz w:val="24"/>
                      <w:szCs w:val="24"/>
                    </w:rPr>
                  </w:pPr>
                  <w:r w:rsidRPr="00FA3F9C">
                    <w:rPr>
                      <w:rFonts w:ascii="Arial" w:hAnsi="Arial" w:cs="Arial"/>
                      <w:sz w:val="24"/>
                      <w:szCs w:val="24"/>
                    </w:rPr>
                    <w:t>T315I, Y253H, E255K/V, F359V/C/I</w:t>
                  </w:r>
                </w:p>
              </w:tc>
              <w:tc>
                <w:tcPr>
                  <w:tcW w:w="6625" w:type="dxa"/>
                </w:tcPr>
                <w:p w14:paraId="2B61EB35" w14:textId="77777777" w:rsidR="001506C1" w:rsidRPr="00FA3F9C" w:rsidRDefault="001506C1" w:rsidP="00291442">
                  <w:pPr>
                    <w:pStyle w:val="ListParagraph"/>
                    <w:ind w:left="0"/>
                    <w:rPr>
                      <w:rFonts w:ascii="Arial" w:hAnsi="Arial" w:cs="Arial"/>
                      <w:sz w:val="24"/>
                      <w:szCs w:val="24"/>
                    </w:rPr>
                  </w:pPr>
                  <w:r w:rsidRPr="00FA3F9C">
                    <w:rPr>
                      <w:rFonts w:ascii="Arial" w:hAnsi="Arial" w:cs="Arial"/>
                      <w:sz w:val="24"/>
                      <w:szCs w:val="24"/>
                    </w:rPr>
                    <w:t>Nilotinib</w:t>
                  </w:r>
                </w:p>
              </w:tc>
            </w:tr>
            <w:tr w:rsidR="001506C1" w:rsidRPr="00FA3F9C" w14:paraId="0571A1FD" w14:textId="77777777" w:rsidTr="0019081E">
              <w:tc>
                <w:tcPr>
                  <w:tcW w:w="3427" w:type="dxa"/>
                </w:tcPr>
                <w:p w14:paraId="36A808D3" w14:textId="77777777" w:rsidR="001506C1" w:rsidRPr="00FA3F9C" w:rsidRDefault="001506C1" w:rsidP="0019081E">
                  <w:pPr>
                    <w:pStyle w:val="ListParagraph"/>
                    <w:ind w:left="0"/>
                    <w:rPr>
                      <w:rFonts w:ascii="Arial" w:hAnsi="Arial" w:cs="Arial"/>
                      <w:sz w:val="24"/>
                      <w:szCs w:val="24"/>
                    </w:rPr>
                  </w:pPr>
                  <w:r w:rsidRPr="00FA3F9C">
                    <w:rPr>
                      <w:rFonts w:ascii="Arial" w:hAnsi="Arial" w:cs="Arial"/>
                      <w:sz w:val="24"/>
                      <w:szCs w:val="24"/>
                    </w:rPr>
                    <w:t>T315I, V299L, G250E, F317L</w:t>
                  </w:r>
                </w:p>
              </w:tc>
              <w:tc>
                <w:tcPr>
                  <w:tcW w:w="6625" w:type="dxa"/>
                </w:tcPr>
                <w:p w14:paraId="67676A9B" w14:textId="77777777" w:rsidR="001506C1" w:rsidRPr="00FA3F9C" w:rsidRDefault="001506C1" w:rsidP="00291442">
                  <w:pPr>
                    <w:pStyle w:val="ListParagraph"/>
                    <w:ind w:left="0"/>
                    <w:rPr>
                      <w:rFonts w:ascii="Arial" w:hAnsi="Arial" w:cs="Arial"/>
                      <w:sz w:val="24"/>
                      <w:szCs w:val="24"/>
                    </w:rPr>
                  </w:pPr>
                  <w:r w:rsidRPr="00FA3F9C">
                    <w:rPr>
                      <w:rFonts w:ascii="Arial" w:hAnsi="Arial" w:cs="Arial"/>
                      <w:sz w:val="24"/>
                      <w:szCs w:val="24"/>
                    </w:rPr>
                    <w:t>Bosutinib</w:t>
                  </w:r>
                </w:p>
              </w:tc>
            </w:tr>
            <w:tr w:rsidR="001506C1" w:rsidRPr="00FA3F9C" w14:paraId="411E5A74" w14:textId="77777777" w:rsidTr="0019081E">
              <w:tc>
                <w:tcPr>
                  <w:tcW w:w="3427" w:type="dxa"/>
                </w:tcPr>
                <w:p w14:paraId="73602D0A" w14:textId="77777777" w:rsidR="001506C1" w:rsidRPr="00FA3F9C" w:rsidRDefault="001506C1" w:rsidP="00291442">
                  <w:pPr>
                    <w:pStyle w:val="ListParagraph"/>
                    <w:ind w:left="0"/>
                    <w:rPr>
                      <w:rFonts w:ascii="Arial" w:hAnsi="Arial" w:cs="Arial"/>
                      <w:sz w:val="24"/>
                      <w:szCs w:val="24"/>
                    </w:rPr>
                  </w:pPr>
                  <w:r w:rsidRPr="00FA3F9C">
                    <w:rPr>
                      <w:rFonts w:ascii="Arial" w:hAnsi="Arial" w:cs="Arial"/>
                      <w:sz w:val="24"/>
                      <w:szCs w:val="24"/>
                    </w:rPr>
                    <w:t>None</w:t>
                  </w:r>
                </w:p>
              </w:tc>
              <w:tc>
                <w:tcPr>
                  <w:tcW w:w="6625" w:type="dxa"/>
                </w:tcPr>
                <w:p w14:paraId="4BACD96F" w14:textId="77777777" w:rsidR="001506C1" w:rsidRPr="00FA3F9C" w:rsidRDefault="001506C1" w:rsidP="0019081E">
                  <w:pPr>
                    <w:pStyle w:val="ListParagraph"/>
                    <w:ind w:left="0"/>
                    <w:rPr>
                      <w:rFonts w:ascii="Arial" w:hAnsi="Arial" w:cs="Arial"/>
                      <w:sz w:val="24"/>
                      <w:szCs w:val="24"/>
                    </w:rPr>
                  </w:pPr>
                  <w:proofErr w:type="spellStart"/>
                  <w:r w:rsidRPr="00FA3F9C">
                    <w:rPr>
                      <w:rFonts w:ascii="Arial" w:hAnsi="Arial" w:cs="Arial"/>
                      <w:sz w:val="24"/>
                      <w:szCs w:val="24"/>
                    </w:rPr>
                    <w:t>Asciminib</w:t>
                  </w:r>
                  <w:proofErr w:type="spellEnd"/>
                  <w:r w:rsidRPr="00FA3F9C">
                    <w:rPr>
                      <w:rFonts w:ascii="Arial" w:hAnsi="Arial" w:cs="Arial"/>
                      <w:sz w:val="24"/>
                      <w:szCs w:val="24"/>
                    </w:rPr>
                    <w:t>, Ponatinib, Omacetaxine, stem cell transplant, clinical trial</w:t>
                  </w:r>
                </w:p>
              </w:tc>
            </w:tr>
          </w:tbl>
          <w:p w14:paraId="4480F9E5" w14:textId="77777777" w:rsidR="001506C1" w:rsidRPr="00FA3F9C" w:rsidRDefault="001506C1" w:rsidP="00291442">
            <w:pPr>
              <w:rPr>
                <w:rFonts w:ascii="Arial" w:hAnsi="Arial" w:cs="Arial"/>
                <w:sz w:val="24"/>
                <w:szCs w:val="24"/>
              </w:rPr>
            </w:pPr>
          </w:p>
          <w:p w14:paraId="22FF934B" w14:textId="77777777" w:rsidR="001506C1" w:rsidRPr="00FA3F9C" w:rsidRDefault="001506C1" w:rsidP="00291442">
            <w:pPr>
              <w:rPr>
                <w:rFonts w:ascii="Arial" w:hAnsi="Arial" w:cs="Arial"/>
                <w:sz w:val="24"/>
                <w:szCs w:val="24"/>
              </w:rPr>
            </w:pPr>
            <w:r w:rsidRPr="00FA3F9C">
              <w:rPr>
                <w:rFonts w:ascii="Arial" w:hAnsi="Arial" w:cs="Arial"/>
                <w:sz w:val="24"/>
                <w:szCs w:val="24"/>
              </w:rPr>
              <w:t>Notes regarding EBRx criteria:</w:t>
            </w:r>
          </w:p>
          <w:p w14:paraId="41C27A90" w14:textId="77777777" w:rsidR="001506C1" w:rsidRPr="00FA3F9C" w:rsidRDefault="001506C1" w:rsidP="001506C1">
            <w:pPr>
              <w:pStyle w:val="ListParagraph"/>
              <w:numPr>
                <w:ilvl w:val="0"/>
                <w:numId w:val="25"/>
              </w:numPr>
              <w:rPr>
                <w:rFonts w:ascii="Arial" w:hAnsi="Arial" w:cs="Arial"/>
                <w:sz w:val="24"/>
                <w:szCs w:val="24"/>
              </w:rPr>
            </w:pPr>
            <w:r w:rsidRPr="00FA3F9C">
              <w:rPr>
                <w:rFonts w:ascii="Arial" w:hAnsi="Arial" w:cs="Arial"/>
                <w:sz w:val="24"/>
                <w:szCs w:val="24"/>
              </w:rPr>
              <w:t xml:space="preserve">Above criteria for resistance/failure of imatinib were obtained from NCCN guidelines Early Treatment Response Milestones page CML-3 in version 1.2019 and guideline published by European </w:t>
            </w:r>
            <w:proofErr w:type="spellStart"/>
            <w:r w:rsidRPr="00FA3F9C">
              <w:rPr>
                <w:rFonts w:ascii="Arial" w:hAnsi="Arial" w:cs="Arial"/>
                <w:sz w:val="24"/>
                <w:szCs w:val="24"/>
              </w:rPr>
              <w:t>LeukemiaNet</w:t>
            </w:r>
            <w:proofErr w:type="spellEnd"/>
            <w:r w:rsidRPr="00FA3F9C">
              <w:rPr>
                <w:rFonts w:ascii="Arial" w:hAnsi="Arial" w:cs="Arial"/>
                <w:sz w:val="24"/>
                <w:szCs w:val="24"/>
              </w:rPr>
              <w:t xml:space="preserve"> (ELN).</w:t>
            </w:r>
            <w:r w:rsidRPr="00FA3F9C">
              <w:rPr>
                <w:rFonts w:ascii="Arial" w:hAnsi="Arial" w:cs="Arial"/>
                <w:sz w:val="24"/>
                <w:szCs w:val="24"/>
                <w:vertAlign w:val="superscript"/>
              </w:rPr>
              <w:t>1</w:t>
            </w:r>
            <w:r w:rsidRPr="00FA3F9C">
              <w:rPr>
                <w:rFonts w:ascii="Arial" w:hAnsi="Arial" w:cs="Arial"/>
                <w:sz w:val="24"/>
                <w:szCs w:val="24"/>
              </w:rPr>
              <w:t xml:space="preserve"> ELN proposes more restrictive resistance/failure definitions for second line therapy, however, NCCN has no specific guidelines.  Therefore, will leave resistance/failure definitions as listed above.</w:t>
            </w:r>
          </w:p>
          <w:p w14:paraId="5CE4C9BE" w14:textId="77777777" w:rsidR="001506C1" w:rsidRPr="00FA3F9C" w:rsidRDefault="001506C1" w:rsidP="001506C1">
            <w:pPr>
              <w:pStyle w:val="ListParagraph"/>
              <w:numPr>
                <w:ilvl w:val="0"/>
                <w:numId w:val="25"/>
              </w:numPr>
              <w:rPr>
                <w:rFonts w:ascii="Arial" w:hAnsi="Arial" w:cs="Arial"/>
                <w:sz w:val="24"/>
                <w:szCs w:val="24"/>
              </w:rPr>
            </w:pPr>
            <w:r w:rsidRPr="00FA3F9C">
              <w:rPr>
                <w:rFonts w:ascii="Arial" w:hAnsi="Arial" w:cs="Arial"/>
                <w:sz w:val="24"/>
                <w:szCs w:val="24"/>
              </w:rPr>
              <w:t>After failure of first line therapy, there are no randomized trials showing one TKI to be superior to another.</w:t>
            </w:r>
          </w:p>
          <w:p w14:paraId="501C5949" w14:textId="77777777" w:rsidR="001506C1" w:rsidRPr="00FA3F9C" w:rsidRDefault="001506C1" w:rsidP="00291442">
            <w:pPr>
              <w:pStyle w:val="ListParagraph"/>
              <w:rPr>
                <w:rFonts w:ascii="Arial" w:hAnsi="Arial" w:cs="Arial"/>
                <w:sz w:val="24"/>
                <w:szCs w:val="24"/>
              </w:rPr>
            </w:pPr>
          </w:p>
          <w:p w14:paraId="6A9A287F" w14:textId="77777777" w:rsidR="001506C1" w:rsidRPr="00FA3F9C" w:rsidRDefault="001506C1" w:rsidP="00291442">
            <w:pPr>
              <w:rPr>
                <w:rFonts w:ascii="Arial" w:hAnsi="Arial" w:cs="Arial"/>
                <w:sz w:val="24"/>
                <w:szCs w:val="24"/>
              </w:rPr>
            </w:pPr>
            <w:proofErr w:type="spellStart"/>
            <w:r w:rsidRPr="00FA3F9C">
              <w:rPr>
                <w:rFonts w:ascii="Arial" w:hAnsi="Arial" w:cs="Arial"/>
                <w:sz w:val="24"/>
                <w:szCs w:val="24"/>
              </w:rPr>
              <w:t>Ascminib</w:t>
            </w:r>
            <w:proofErr w:type="spellEnd"/>
            <w:r w:rsidRPr="00FA3F9C">
              <w:rPr>
                <w:rFonts w:ascii="Arial" w:hAnsi="Arial" w:cs="Arial"/>
                <w:sz w:val="24"/>
                <w:szCs w:val="24"/>
              </w:rPr>
              <w:t xml:space="preserve"> dosing:</w:t>
            </w:r>
          </w:p>
          <w:p w14:paraId="37108E51" w14:textId="77777777" w:rsidR="001506C1" w:rsidRPr="00FA3F9C" w:rsidRDefault="001506C1" w:rsidP="00291442">
            <w:pPr>
              <w:rPr>
                <w:rFonts w:ascii="Arial" w:hAnsi="Arial" w:cs="Arial"/>
                <w:sz w:val="24"/>
                <w:szCs w:val="24"/>
              </w:rPr>
            </w:pPr>
            <w:r w:rsidRPr="00FA3F9C">
              <w:rPr>
                <w:rFonts w:ascii="Arial" w:hAnsi="Arial" w:cs="Arial"/>
                <w:sz w:val="24"/>
                <w:szCs w:val="24"/>
              </w:rPr>
              <w:t>After failure of at least 2 prior TKIs: 80 mg PO once daily or 40 mg PO twice daily</w:t>
            </w:r>
          </w:p>
          <w:p w14:paraId="11308EC6" w14:textId="77777777" w:rsidR="001506C1" w:rsidRPr="00FA3F9C" w:rsidRDefault="001506C1" w:rsidP="00291442">
            <w:pPr>
              <w:rPr>
                <w:rFonts w:ascii="Arial" w:hAnsi="Arial" w:cs="Arial"/>
                <w:sz w:val="24"/>
                <w:szCs w:val="24"/>
              </w:rPr>
            </w:pPr>
          </w:p>
          <w:p w14:paraId="0EE1F123" w14:textId="77777777" w:rsidR="001506C1" w:rsidRPr="00FA3F9C" w:rsidRDefault="001506C1" w:rsidP="00291442">
            <w:pPr>
              <w:rPr>
                <w:rFonts w:ascii="Arial" w:hAnsi="Arial" w:cs="Arial"/>
                <w:sz w:val="24"/>
                <w:szCs w:val="24"/>
              </w:rPr>
            </w:pPr>
            <w:proofErr w:type="spellStart"/>
            <w:r w:rsidRPr="00FA3F9C">
              <w:rPr>
                <w:rFonts w:ascii="Arial" w:hAnsi="Arial" w:cs="Arial"/>
                <w:sz w:val="24"/>
                <w:szCs w:val="24"/>
              </w:rPr>
              <w:t>Asciminib</w:t>
            </w:r>
            <w:proofErr w:type="spellEnd"/>
            <w:r w:rsidRPr="00FA3F9C">
              <w:rPr>
                <w:rFonts w:ascii="Arial" w:hAnsi="Arial" w:cs="Arial"/>
                <w:sz w:val="24"/>
                <w:szCs w:val="24"/>
              </w:rPr>
              <w:t xml:space="preserve"> was compared to bosutinib in this patient population and found to have a higher major molecular response rate (25% vs. 13%) and lower incidence of adverse events.</w:t>
            </w:r>
          </w:p>
          <w:p w14:paraId="0CEC8FD4" w14:textId="77777777" w:rsidR="001506C1" w:rsidRPr="00FA3F9C" w:rsidRDefault="001506C1" w:rsidP="00291442">
            <w:pPr>
              <w:rPr>
                <w:rFonts w:ascii="Arial" w:eastAsia="Times New Roman" w:hAnsi="Arial" w:cs="Arial"/>
                <w:sz w:val="24"/>
                <w:szCs w:val="24"/>
              </w:rPr>
            </w:pPr>
          </w:p>
          <w:p w14:paraId="6A566FC3" w14:textId="77777777" w:rsidR="001506C1" w:rsidRPr="00FA3F9C" w:rsidRDefault="001506C1" w:rsidP="00291442">
            <w:pPr>
              <w:rPr>
                <w:rFonts w:ascii="Arial" w:eastAsia="Times New Roman" w:hAnsi="Arial" w:cs="Arial"/>
                <w:sz w:val="24"/>
                <w:szCs w:val="24"/>
              </w:rPr>
            </w:pPr>
            <w:r w:rsidRPr="00FA3F9C">
              <w:rPr>
                <w:rFonts w:ascii="Arial" w:eastAsia="Times New Roman" w:hAnsi="Arial" w:cs="Arial"/>
                <w:sz w:val="24"/>
                <w:szCs w:val="24"/>
              </w:rPr>
              <w:t>REFERENCES:</w:t>
            </w:r>
          </w:p>
          <w:p w14:paraId="110A6B14" w14:textId="77777777" w:rsidR="001506C1" w:rsidRPr="00FA3F9C" w:rsidRDefault="001506C1" w:rsidP="001506C1">
            <w:pPr>
              <w:pStyle w:val="ListParagraph"/>
              <w:numPr>
                <w:ilvl w:val="0"/>
                <w:numId w:val="26"/>
              </w:numPr>
              <w:ind w:left="360" w:hanging="180"/>
              <w:rPr>
                <w:rFonts w:ascii="Arial" w:eastAsia="Times New Roman" w:hAnsi="Arial" w:cs="Arial"/>
                <w:sz w:val="24"/>
                <w:szCs w:val="24"/>
              </w:rPr>
            </w:pPr>
            <w:proofErr w:type="spellStart"/>
            <w:r w:rsidRPr="00FA3F9C">
              <w:rPr>
                <w:rFonts w:ascii="Arial" w:eastAsia="Times New Roman" w:hAnsi="Arial" w:cs="Arial"/>
                <w:sz w:val="24"/>
                <w:szCs w:val="24"/>
                <w:lang w:val="fr-FR"/>
              </w:rPr>
              <w:t>Baccarani</w:t>
            </w:r>
            <w:proofErr w:type="spellEnd"/>
            <w:r w:rsidRPr="00FA3F9C">
              <w:rPr>
                <w:rFonts w:ascii="Arial" w:eastAsia="Times New Roman" w:hAnsi="Arial" w:cs="Arial"/>
                <w:sz w:val="24"/>
                <w:szCs w:val="24"/>
                <w:lang w:val="fr-FR"/>
              </w:rPr>
              <w:t xml:space="preserve"> M et al. </w:t>
            </w:r>
            <w:hyperlink r:id="rId28" w:tooltip="Blood." w:history="1">
              <w:r w:rsidRPr="00FA3F9C">
                <w:rPr>
                  <w:rStyle w:val="highlight"/>
                  <w:rFonts w:ascii="Arial" w:hAnsi="Arial" w:cs="Arial"/>
                  <w:sz w:val="24"/>
                  <w:szCs w:val="24"/>
                  <w:lang w:val="fr-FR"/>
                </w:rPr>
                <w:t>Blood</w:t>
              </w:r>
              <w:r w:rsidRPr="00FA3F9C">
                <w:rPr>
                  <w:rStyle w:val="Hyperlink"/>
                  <w:rFonts w:ascii="Arial" w:hAnsi="Arial" w:cs="Arial"/>
                  <w:sz w:val="24"/>
                  <w:szCs w:val="24"/>
                  <w:lang w:val="fr-FR"/>
                </w:rPr>
                <w:t>.</w:t>
              </w:r>
            </w:hyperlink>
            <w:r w:rsidRPr="00FA3F9C">
              <w:rPr>
                <w:rFonts w:ascii="Arial" w:hAnsi="Arial" w:cs="Arial"/>
                <w:sz w:val="24"/>
                <w:szCs w:val="24"/>
                <w:lang w:val="fr-FR"/>
              </w:rPr>
              <w:t xml:space="preserve"> </w:t>
            </w:r>
            <w:r w:rsidRPr="00FA3F9C">
              <w:rPr>
                <w:rFonts w:ascii="Arial" w:hAnsi="Arial" w:cs="Arial"/>
                <w:sz w:val="24"/>
                <w:szCs w:val="24"/>
              </w:rPr>
              <w:t xml:space="preserve">2013 Aug </w:t>
            </w:r>
            <w:proofErr w:type="gramStart"/>
            <w:r w:rsidRPr="00FA3F9C">
              <w:rPr>
                <w:rFonts w:ascii="Arial" w:hAnsi="Arial" w:cs="Arial"/>
                <w:sz w:val="24"/>
                <w:szCs w:val="24"/>
              </w:rPr>
              <w:t>8;</w:t>
            </w:r>
            <w:proofErr w:type="gramEnd"/>
            <w:r w:rsidRPr="00FA3F9C">
              <w:rPr>
                <w:rStyle w:val="highlight"/>
                <w:rFonts w:ascii="Arial" w:hAnsi="Arial" w:cs="Arial"/>
                <w:sz w:val="24"/>
                <w:szCs w:val="24"/>
              </w:rPr>
              <w:t>122</w:t>
            </w:r>
            <w:r w:rsidRPr="00FA3F9C">
              <w:rPr>
                <w:rFonts w:ascii="Arial" w:hAnsi="Arial" w:cs="Arial"/>
                <w:sz w:val="24"/>
                <w:szCs w:val="24"/>
              </w:rPr>
              <w:t>(6):872-84. PMID 23803709</w:t>
            </w:r>
          </w:p>
          <w:p w14:paraId="57BA8C92" w14:textId="77777777" w:rsidR="001506C1" w:rsidRPr="00FA3F9C" w:rsidRDefault="001506C1" w:rsidP="001506C1">
            <w:pPr>
              <w:pStyle w:val="ListParagraph"/>
              <w:numPr>
                <w:ilvl w:val="0"/>
                <w:numId w:val="26"/>
              </w:numPr>
              <w:ind w:left="360" w:hanging="180"/>
              <w:rPr>
                <w:rFonts w:ascii="Arial" w:eastAsia="Times New Roman" w:hAnsi="Arial" w:cs="Arial"/>
                <w:sz w:val="24"/>
                <w:szCs w:val="24"/>
              </w:rPr>
            </w:pPr>
            <w:proofErr w:type="spellStart"/>
            <w:r w:rsidRPr="00FA3F9C">
              <w:rPr>
                <w:rFonts w:ascii="Arial" w:eastAsia="Times New Roman" w:hAnsi="Arial" w:cs="Arial"/>
                <w:sz w:val="24"/>
                <w:szCs w:val="24"/>
              </w:rPr>
              <w:t>Asciminib</w:t>
            </w:r>
            <w:proofErr w:type="spellEnd"/>
            <w:r w:rsidRPr="00FA3F9C">
              <w:rPr>
                <w:rFonts w:ascii="Arial" w:eastAsia="Times New Roman" w:hAnsi="Arial" w:cs="Arial"/>
                <w:sz w:val="24"/>
                <w:szCs w:val="24"/>
              </w:rPr>
              <w:t xml:space="preserve"> package insert.</w:t>
            </w:r>
            <w:r w:rsidRPr="00FA3F9C">
              <w:rPr>
                <w:rFonts w:ascii="Arial" w:hAnsi="Arial" w:cs="Arial"/>
                <w:sz w:val="24"/>
                <w:szCs w:val="24"/>
              </w:rPr>
              <w:t xml:space="preserve"> </w:t>
            </w:r>
            <w:hyperlink r:id="rId29" w:history="1">
              <w:r w:rsidRPr="00FA3F9C">
                <w:rPr>
                  <w:rStyle w:val="Hyperlink"/>
                  <w:rFonts w:ascii="Arial" w:eastAsia="Times New Roman" w:hAnsi="Arial" w:cs="Arial"/>
                  <w:sz w:val="24"/>
                  <w:szCs w:val="24"/>
                </w:rPr>
                <w:t>https://www.novartis.us/sites/www.novartis.us/files/scemblix.pdf</w:t>
              </w:r>
            </w:hyperlink>
            <w:r w:rsidRPr="00FA3F9C">
              <w:rPr>
                <w:rFonts w:ascii="Arial" w:eastAsia="Times New Roman" w:hAnsi="Arial" w:cs="Arial"/>
                <w:sz w:val="24"/>
                <w:szCs w:val="24"/>
              </w:rPr>
              <w:t>. Accessed 12/16/2021</w:t>
            </w:r>
          </w:p>
          <w:p w14:paraId="2AAFA09F" w14:textId="77777777" w:rsidR="001506C1" w:rsidRPr="00FA3F9C" w:rsidRDefault="001506C1" w:rsidP="001506C1">
            <w:pPr>
              <w:pStyle w:val="ListParagraph"/>
              <w:numPr>
                <w:ilvl w:val="0"/>
                <w:numId w:val="26"/>
              </w:numPr>
              <w:ind w:left="360" w:hanging="180"/>
              <w:rPr>
                <w:rFonts w:ascii="Arial" w:eastAsia="Times New Roman" w:hAnsi="Arial" w:cs="Arial"/>
                <w:sz w:val="24"/>
                <w:szCs w:val="24"/>
              </w:rPr>
            </w:pPr>
            <w:proofErr w:type="spellStart"/>
            <w:r w:rsidRPr="00FA3F9C">
              <w:rPr>
                <w:rFonts w:ascii="Arial" w:eastAsia="Times New Roman" w:hAnsi="Arial" w:cs="Arial"/>
                <w:sz w:val="24"/>
                <w:szCs w:val="24"/>
              </w:rPr>
              <w:t>Réa</w:t>
            </w:r>
            <w:proofErr w:type="spellEnd"/>
            <w:r w:rsidRPr="00FA3F9C">
              <w:rPr>
                <w:rFonts w:ascii="Arial" w:eastAsia="Times New Roman" w:hAnsi="Arial" w:cs="Arial"/>
                <w:sz w:val="24"/>
                <w:szCs w:val="24"/>
              </w:rPr>
              <w:t xml:space="preserve"> D et al. A phase 3, open-label, randomized study of </w:t>
            </w:r>
            <w:proofErr w:type="spellStart"/>
            <w:r w:rsidRPr="00FA3F9C">
              <w:rPr>
                <w:rFonts w:ascii="Arial" w:eastAsia="Times New Roman" w:hAnsi="Arial" w:cs="Arial"/>
                <w:sz w:val="24"/>
                <w:szCs w:val="24"/>
              </w:rPr>
              <w:t>asciminib</w:t>
            </w:r>
            <w:proofErr w:type="spellEnd"/>
            <w:r w:rsidRPr="00FA3F9C">
              <w:rPr>
                <w:rFonts w:ascii="Arial" w:eastAsia="Times New Roman" w:hAnsi="Arial" w:cs="Arial"/>
                <w:sz w:val="24"/>
                <w:szCs w:val="24"/>
              </w:rPr>
              <w:t xml:space="preserve">, a STAMP inhibitor, vs bosutinib in CML after 2 or more prior TKIs. Blood. 2021 Nov 25;138(21):2031-2041. </w:t>
            </w:r>
            <w:proofErr w:type="spellStart"/>
            <w:r w:rsidRPr="00FA3F9C">
              <w:rPr>
                <w:rFonts w:ascii="Arial" w:eastAsia="Times New Roman" w:hAnsi="Arial" w:cs="Arial"/>
                <w:sz w:val="24"/>
                <w:szCs w:val="24"/>
              </w:rPr>
              <w:t>doi</w:t>
            </w:r>
            <w:proofErr w:type="spellEnd"/>
            <w:r w:rsidRPr="00FA3F9C">
              <w:rPr>
                <w:rFonts w:ascii="Arial" w:eastAsia="Times New Roman" w:hAnsi="Arial" w:cs="Arial"/>
                <w:sz w:val="24"/>
                <w:szCs w:val="24"/>
              </w:rPr>
              <w:t xml:space="preserve">: 10.1182/blood.2020009984. PMID: 34407542. </w:t>
            </w:r>
            <w:hyperlink r:id="rId30" w:history="1">
              <w:r w:rsidRPr="00FA3F9C">
                <w:rPr>
                  <w:rStyle w:val="Hyperlink"/>
                  <w:rFonts w:ascii="Arial" w:eastAsia="Times New Roman" w:hAnsi="Arial" w:cs="Arial"/>
                  <w:sz w:val="24"/>
                  <w:szCs w:val="24"/>
                </w:rPr>
                <w:t>https://ashpublications-org.libproxy.uams.edu/blood/article/138/21/2031/476601/A-phase-3-open-label-randomized-study-of-asciminib</w:t>
              </w:r>
            </w:hyperlink>
          </w:p>
          <w:p w14:paraId="2EB1B699" w14:textId="77777777" w:rsidR="001506C1" w:rsidRPr="00FA3F9C" w:rsidRDefault="001506C1" w:rsidP="001506C1">
            <w:pPr>
              <w:pStyle w:val="ListParagraph"/>
              <w:numPr>
                <w:ilvl w:val="0"/>
                <w:numId w:val="26"/>
              </w:numPr>
              <w:ind w:left="360" w:hanging="180"/>
              <w:rPr>
                <w:rFonts w:ascii="Arial" w:eastAsia="Times New Roman" w:hAnsi="Arial" w:cs="Arial"/>
                <w:sz w:val="24"/>
                <w:szCs w:val="24"/>
              </w:rPr>
            </w:pPr>
            <w:r w:rsidRPr="00FA3F9C">
              <w:rPr>
                <w:rFonts w:ascii="Arial" w:eastAsia="Times New Roman" w:hAnsi="Arial" w:cs="Arial"/>
                <w:sz w:val="24"/>
                <w:szCs w:val="24"/>
              </w:rPr>
              <w:t xml:space="preserve">Hughes TP et al. </w:t>
            </w:r>
            <w:proofErr w:type="spellStart"/>
            <w:r w:rsidRPr="00FA3F9C">
              <w:rPr>
                <w:rFonts w:ascii="Arial" w:eastAsia="Times New Roman" w:hAnsi="Arial" w:cs="Arial"/>
                <w:sz w:val="24"/>
                <w:szCs w:val="24"/>
              </w:rPr>
              <w:t>Asciminib</w:t>
            </w:r>
            <w:proofErr w:type="spellEnd"/>
            <w:r w:rsidRPr="00FA3F9C">
              <w:rPr>
                <w:rFonts w:ascii="Arial" w:eastAsia="Times New Roman" w:hAnsi="Arial" w:cs="Arial"/>
                <w:sz w:val="24"/>
                <w:szCs w:val="24"/>
              </w:rPr>
              <w:t xml:space="preserve"> in Chronic Myeloid Leukemia after ABL Kinase Inhibitor Failure. N </w:t>
            </w:r>
            <w:proofErr w:type="spellStart"/>
            <w:r w:rsidRPr="00FA3F9C">
              <w:rPr>
                <w:rFonts w:ascii="Arial" w:eastAsia="Times New Roman" w:hAnsi="Arial" w:cs="Arial"/>
                <w:sz w:val="24"/>
                <w:szCs w:val="24"/>
              </w:rPr>
              <w:t>Engl</w:t>
            </w:r>
            <w:proofErr w:type="spellEnd"/>
            <w:r w:rsidRPr="00FA3F9C">
              <w:rPr>
                <w:rFonts w:ascii="Arial" w:eastAsia="Times New Roman" w:hAnsi="Arial" w:cs="Arial"/>
                <w:sz w:val="24"/>
                <w:szCs w:val="24"/>
              </w:rPr>
              <w:t xml:space="preserve"> J Med. 2019 Dec 12;381(24):2315-2326. </w:t>
            </w:r>
            <w:proofErr w:type="spellStart"/>
            <w:r w:rsidRPr="00FA3F9C">
              <w:rPr>
                <w:rFonts w:ascii="Arial" w:eastAsia="Times New Roman" w:hAnsi="Arial" w:cs="Arial"/>
                <w:sz w:val="24"/>
                <w:szCs w:val="24"/>
              </w:rPr>
              <w:t>doi</w:t>
            </w:r>
            <w:proofErr w:type="spellEnd"/>
            <w:r w:rsidRPr="00FA3F9C">
              <w:rPr>
                <w:rFonts w:ascii="Arial" w:eastAsia="Times New Roman" w:hAnsi="Arial" w:cs="Arial"/>
                <w:sz w:val="24"/>
                <w:szCs w:val="24"/>
              </w:rPr>
              <w:t>: 10.1056/NEJMoa1902328. PMID: 31826340; PMCID: PMC7724923. https://www.ncbi.nlm.nih.gov/pmc/articles/PMC7724923/</w:t>
            </w:r>
          </w:p>
        </w:tc>
      </w:tr>
    </w:tbl>
    <w:p w14:paraId="6DAEB05A" w14:textId="77777777" w:rsidR="001506C1" w:rsidRPr="00FA3F9C" w:rsidRDefault="001506C1" w:rsidP="006E3CA5">
      <w:pPr>
        <w:spacing w:after="0"/>
        <w:rPr>
          <w:rFonts w:ascii="Arial" w:hAnsi="Arial" w:cs="Arial"/>
          <w:sz w:val="24"/>
          <w:szCs w:val="24"/>
        </w:rPr>
      </w:pPr>
    </w:p>
    <w:p w14:paraId="61B06182"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 xml:space="preserve">Quantity Limits: </w:t>
      </w:r>
      <w:proofErr w:type="gramStart"/>
      <w:r w:rsidRPr="00FA3F9C">
        <w:rPr>
          <w:rFonts w:ascii="Arial" w:hAnsi="Arial" w:cs="Arial"/>
          <w:sz w:val="24"/>
          <w:szCs w:val="24"/>
        </w:rPr>
        <w:t>30 day</w:t>
      </w:r>
      <w:proofErr w:type="gramEnd"/>
      <w:r w:rsidRPr="00FA3F9C">
        <w:rPr>
          <w:rFonts w:ascii="Arial" w:hAnsi="Arial" w:cs="Arial"/>
          <w:sz w:val="24"/>
          <w:szCs w:val="24"/>
        </w:rPr>
        <w:t xml:space="preserve"> supply</w:t>
      </w:r>
    </w:p>
    <w:p w14:paraId="469998F5" w14:textId="77777777" w:rsidR="001506C1" w:rsidRPr="00FA3F9C" w:rsidRDefault="001506C1" w:rsidP="006F623F">
      <w:pPr>
        <w:spacing w:after="0"/>
        <w:rPr>
          <w:rFonts w:ascii="Arial" w:hAnsi="Arial" w:cs="Arial"/>
          <w:sz w:val="24"/>
          <w:szCs w:val="24"/>
        </w:rPr>
      </w:pPr>
    </w:p>
    <w:p w14:paraId="0D8DDBF4"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418"/>
        <w:gridCol w:w="7470"/>
        <w:gridCol w:w="2538"/>
      </w:tblGrid>
      <w:tr w:rsidR="001506C1" w:rsidRPr="00FA3F9C" w14:paraId="1E1AB623" w14:textId="77777777" w:rsidTr="00FE491B">
        <w:tc>
          <w:tcPr>
            <w:tcW w:w="1008" w:type="dxa"/>
          </w:tcPr>
          <w:p w14:paraId="163BD72A" w14:textId="77777777" w:rsidR="001506C1" w:rsidRPr="00FA3F9C" w:rsidRDefault="001506C1" w:rsidP="006F623F">
            <w:pPr>
              <w:rPr>
                <w:rFonts w:ascii="Arial" w:hAnsi="Arial" w:cs="Arial"/>
                <w:sz w:val="24"/>
                <w:szCs w:val="24"/>
              </w:rPr>
            </w:pPr>
            <w:r w:rsidRPr="00FA3F9C">
              <w:rPr>
                <w:rFonts w:ascii="Arial" w:hAnsi="Arial" w:cs="Arial"/>
                <w:sz w:val="24"/>
                <w:szCs w:val="24"/>
              </w:rPr>
              <w:t>Date</w:t>
            </w:r>
          </w:p>
        </w:tc>
        <w:tc>
          <w:tcPr>
            <w:tcW w:w="7470" w:type="dxa"/>
          </w:tcPr>
          <w:p w14:paraId="10BA3097" w14:textId="77777777" w:rsidR="001506C1" w:rsidRPr="00FA3F9C" w:rsidRDefault="001506C1" w:rsidP="006F623F">
            <w:pPr>
              <w:rPr>
                <w:rFonts w:ascii="Arial" w:hAnsi="Arial" w:cs="Arial"/>
                <w:sz w:val="24"/>
                <w:szCs w:val="24"/>
              </w:rPr>
            </w:pPr>
            <w:r w:rsidRPr="00FA3F9C">
              <w:rPr>
                <w:rFonts w:ascii="Arial" w:hAnsi="Arial" w:cs="Arial"/>
                <w:sz w:val="24"/>
                <w:szCs w:val="24"/>
              </w:rPr>
              <w:t>What changed</w:t>
            </w:r>
          </w:p>
        </w:tc>
        <w:tc>
          <w:tcPr>
            <w:tcW w:w="2538" w:type="dxa"/>
          </w:tcPr>
          <w:p w14:paraId="51E6CB86" w14:textId="77777777" w:rsidR="001506C1" w:rsidRPr="00FA3F9C" w:rsidRDefault="001506C1" w:rsidP="006F623F">
            <w:pPr>
              <w:rPr>
                <w:rFonts w:ascii="Arial" w:hAnsi="Arial" w:cs="Arial"/>
                <w:sz w:val="24"/>
                <w:szCs w:val="24"/>
              </w:rPr>
            </w:pPr>
            <w:r w:rsidRPr="00FA3F9C">
              <w:rPr>
                <w:rFonts w:ascii="Arial" w:hAnsi="Arial" w:cs="Arial"/>
                <w:sz w:val="24"/>
                <w:szCs w:val="24"/>
              </w:rPr>
              <w:t>Pharmacist’s initials</w:t>
            </w:r>
          </w:p>
        </w:tc>
      </w:tr>
      <w:tr w:rsidR="001506C1" w:rsidRPr="00FA3F9C" w14:paraId="554D51B7" w14:textId="77777777" w:rsidTr="00FE491B">
        <w:tc>
          <w:tcPr>
            <w:tcW w:w="1008" w:type="dxa"/>
          </w:tcPr>
          <w:p w14:paraId="01CA2A1F" w14:textId="77777777" w:rsidR="001506C1" w:rsidRPr="00FA3F9C" w:rsidRDefault="001506C1" w:rsidP="006F623F">
            <w:pPr>
              <w:rPr>
                <w:rFonts w:ascii="Arial" w:hAnsi="Arial" w:cs="Arial"/>
                <w:sz w:val="24"/>
                <w:szCs w:val="24"/>
              </w:rPr>
            </w:pPr>
            <w:r w:rsidRPr="00FA3F9C">
              <w:rPr>
                <w:rFonts w:ascii="Arial" w:hAnsi="Arial" w:cs="Arial"/>
                <w:sz w:val="24"/>
                <w:szCs w:val="24"/>
              </w:rPr>
              <w:t>12/16/2021</w:t>
            </w:r>
          </w:p>
        </w:tc>
        <w:tc>
          <w:tcPr>
            <w:tcW w:w="7470" w:type="dxa"/>
          </w:tcPr>
          <w:p w14:paraId="43BE8CBA" w14:textId="77777777" w:rsidR="001506C1" w:rsidRPr="00FA3F9C" w:rsidRDefault="001506C1" w:rsidP="006F623F">
            <w:pPr>
              <w:rPr>
                <w:rFonts w:ascii="Arial" w:hAnsi="Arial" w:cs="Arial"/>
                <w:sz w:val="24"/>
                <w:szCs w:val="24"/>
              </w:rPr>
            </w:pPr>
            <w:r w:rsidRPr="00FA3F9C">
              <w:rPr>
                <w:rFonts w:ascii="Arial" w:hAnsi="Arial" w:cs="Arial"/>
                <w:sz w:val="24"/>
                <w:szCs w:val="24"/>
              </w:rPr>
              <w:t>Criteria written</w:t>
            </w:r>
          </w:p>
        </w:tc>
        <w:tc>
          <w:tcPr>
            <w:tcW w:w="2538" w:type="dxa"/>
          </w:tcPr>
          <w:p w14:paraId="00298E86" w14:textId="77777777" w:rsidR="001506C1" w:rsidRPr="00FA3F9C" w:rsidRDefault="001506C1" w:rsidP="006F623F">
            <w:pPr>
              <w:rPr>
                <w:rFonts w:ascii="Arial" w:hAnsi="Arial" w:cs="Arial"/>
                <w:sz w:val="24"/>
                <w:szCs w:val="24"/>
              </w:rPr>
            </w:pPr>
            <w:r w:rsidRPr="00FA3F9C">
              <w:rPr>
                <w:rFonts w:ascii="Arial" w:hAnsi="Arial" w:cs="Arial"/>
                <w:sz w:val="24"/>
                <w:szCs w:val="24"/>
              </w:rPr>
              <w:t>SK</w:t>
            </w:r>
          </w:p>
        </w:tc>
      </w:tr>
      <w:tr w:rsidR="001506C1" w:rsidRPr="00FA3F9C" w14:paraId="66E40942" w14:textId="77777777" w:rsidTr="00FE491B">
        <w:tc>
          <w:tcPr>
            <w:tcW w:w="1008" w:type="dxa"/>
          </w:tcPr>
          <w:p w14:paraId="1244CBAD" w14:textId="77777777" w:rsidR="001506C1" w:rsidRPr="00FA3F9C" w:rsidRDefault="001506C1" w:rsidP="006F623F">
            <w:pPr>
              <w:rPr>
                <w:rFonts w:ascii="Arial" w:hAnsi="Arial" w:cs="Arial"/>
                <w:sz w:val="24"/>
                <w:szCs w:val="24"/>
              </w:rPr>
            </w:pPr>
          </w:p>
        </w:tc>
        <w:tc>
          <w:tcPr>
            <w:tcW w:w="7470" w:type="dxa"/>
          </w:tcPr>
          <w:p w14:paraId="744666D0" w14:textId="77777777" w:rsidR="001506C1" w:rsidRPr="00FA3F9C" w:rsidRDefault="001506C1" w:rsidP="006F623F">
            <w:pPr>
              <w:rPr>
                <w:rFonts w:ascii="Arial" w:hAnsi="Arial" w:cs="Arial"/>
                <w:sz w:val="24"/>
                <w:szCs w:val="24"/>
              </w:rPr>
            </w:pPr>
          </w:p>
        </w:tc>
        <w:tc>
          <w:tcPr>
            <w:tcW w:w="2538" w:type="dxa"/>
          </w:tcPr>
          <w:p w14:paraId="4BE337E4" w14:textId="77777777" w:rsidR="001506C1" w:rsidRPr="00FA3F9C" w:rsidRDefault="001506C1" w:rsidP="006F623F">
            <w:pPr>
              <w:rPr>
                <w:rFonts w:ascii="Arial" w:hAnsi="Arial" w:cs="Arial"/>
                <w:sz w:val="24"/>
                <w:szCs w:val="24"/>
              </w:rPr>
            </w:pPr>
          </w:p>
        </w:tc>
      </w:tr>
    </w:tbl>
    <w:p w14:paraId="5544043D" w14:textId="77777777" w:rsidR="001506C1" w:rsidRPr="00FA3F9C" w:rsidRDefault="001506C1" w:rsidP="006F623F">
      <w:pPr>
        <w:spacing w:after="0"/>
        <w:rPr>
          <w:rFonts w:ascii="Arial" w:hAnsi="Arial" w:cs="Arial"/>
          <w:sz w:val="24"/>
          <w:szCs w:val="24"/>
        </w:rPr>
      </w:pPr>
    </w:p>
    <w:p w14:paraId="622EB4B0" w14:textId="77777777" w:rsidR="005005CA" w:rsidRDefault="005005CA">
      <w:pPr>
        <w:rPr>
          <w:rFonts w:ascii="Arial" w:eastAsia="Times New Roman" w:hAnsi="Arial" w:cs="Arial"/>
          <w:b/>
          <w:sz w:val="28"/>
          <w:szCs w:val="20"/>
        </w:rPr>
      </w:pPr>
      <w:bookmarkStart w:id="21" w:name="_Toc106369723"/>
      <w:r>
        <w:br w:type="page"/>
      </w:r>
    </w:p>
    <w:p w14:paraId="2BAE8182" w14:textId="0E9AC2C5" w:rsidR="001506C1" w:rsidRPr="00FA3F9C" w:rsidRDefault="001506C1" w:rsidP="00CA4C3C">
      <w:pPr>
        <w:pStyle w:val="Heading2"/>
      </w:pPr>
      <w:r w:rsidRPr="00FA3F9C">
        <w:lastRenderedPageBreak/>
        <w:t>Atezolizumab (</w:t>
      </w:r>
      <w:proofErr w:type="spellStart"/>
      <w:r w:rsidRPr="00FA3F9C">
        <w:t>Tecentriq</w:t>
      </w:r>
      <w:proofErr w:type="spellEnd"/>
      <w:r w:rsidRPr="00FA3F9C">
        <w:t>)</w:t>
      </w:r>
      <w:bookmarkEnd w:id="21"/>
      <w:r w:rsidRPr="00FA3F9C">
        <w:t xml:space="preserve"> </w:t>
      </w:r>
    </w:p>
    <w:p w14:paraId="60AB148B" w14:textId="77777777" w:rsidR="001506C1" w:rsidRPr="00FA3F9C" w:rsidRDefault="001506C1" w:rsidP="00266CBA">
      <w:pPr>
        <w:spacing w:after="0"/>
        <w:jc w:val="center"/>
        <w:rPr>
          <w:rFonts w:ascii="Arial" w:hAnsi="Arial" w:cs="Arial"/>
          <w:sz w:val="24"/>
          <w:szCs w:val="24"/>
        </w:rPr>
      </w:pPr>
      <w:r w:rsidRPr="00FA3F9C">
        <w:rPr>
          <w:rFonts w:ascii="Arial" w:hAnsi="Arial" w:cs="Arial"/>
          <w:sz w:val="24"/>
          <w:szCs w:val="24"/>
        </w:rPr>
        <w:t>840 mg/14 mL and 1200 mg/20 mL vials</w:t>
      </w:r>
    </w:p>
    <w:p w14:paraId="1E3FFACE" w14:textId="77777777" w:rsidR="001506C1" w:rsidRPr="00FA3F9C" w:rsidRDefault="001506C1" w:rsidP="006F623F">
      <w:pPr>
        <w:spacing w:after="0"/>
        <w:jc w:val="center"/>
        <w:rPr>
          <w:rFonts w:ascii="Arial" w:hAnsi="Arial" w:cs="Arial"/>
          <w:sz w:val="24"/>
          <w:szCs w:val="24"/>
        </w:rPr>
      </w:pPr>
      <w:r w:rsidRPr="00FA3F9C">
        <w:rPr>
          <w:rFonts w:ascii="Arial" w:hAnsi="Arial" w:cs="Arial"/>
          <w:sz w:val="24"/>
          <w:szCs w:val="24"/>
        </w:rPr>
        <w:t>EBRx PA Criteria</w:t>
      </w:r>
    </w:p>
    <w:p w14:paraId="1785704E" w14:textId="77777777" w:rsidR="001506C1" w:rsidRPr="00FA3F9C" w:rsidRDefault="001506C1" w:rsidP="006F623F">
      <w:pPr>
        <w:spacing w:after="0"/>
        <w:rPr>
          <w:rFonts w:ascii="Arial" w:hAnsi="Arial" w:cs="Arial"/>
          <w:b/>
          <w:sz w:val="24"/>
          <w:szCs w:val="24"/>
          <w:u w:val="single"/>
        </w:rPr>
      </w:pPr>
    </w:p>
    <w:p w14:paraId="75320E0A" w14:textId="77777777" w:rsidR="001506C1" w:rsidRPr="00FA3F9C" w:rsidRDefault="001506C1"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w:t>
      </w:r>
    </w:p>
    <w:p w14:paraId="1C518E32" w14:textId="77777777" w:rsidR="001506C1" w:rsidRPr="00FA3F9C" w:rsidRDefault="001506C1" w:rsidP="001506C1">
      <w:pPr>
        <w:pStyle w:val="ListParagraph"/>
        <w:numPr>
          <w:ilvl w:val="0"/>
          <w:numId w:val="27"/>
        </w:numPr>
        <w:spacing w:after="0" w:line="276" w:lineRule="auto"/>
        <w:rPr>
          <w:rFonts w:ascii="Arial" w:hAnsi="Arial" w:cs="Arial"/>
          <w:sz w:val="24"/>
          <w:szCs w:val="24"/>
        </w:rPr>
      </w:pPr>
      <w:r w:rsidRPr="00FA3F9C">
        <w:rPr>
          <w:rFonts w:ascii="Arial" w:hAnsi="Arial" w:cs="Arial"/>
          <w:b/>
          <w:sz w:val="24"/>
          <w:szCs w:val="24"/>
          <w:u w:val="single"/>
        </w:rPr>
        <w:t>Non-small cell lung cancer, metastatic (NSCLC)</w:t>
      </w:r>
    </w:p>
    <w:p w14:paraId="7FC8D1AD" w14:textId="77777777" w:rsidR="001506C1" w:rsidRPr="00FA3F9C" w:rsidRDefault="001506C1" w:rsidP="001506C1">
      <w:pPr>
        <w:pStyle w:val="ListParagraph"/>
        <w:numPr>
          <w:ilvl w:val="1"/>
          <w:numId w:val="27"/>
        </w:numPr>
        <w:spacing w:after="0" w:line="276" w:lineRule="auto"/>
        <w:rPr>
          <w:rFonts w:ascii="Arial" w:hAnsi="Arial" w:cs="Arial"/>
          <w:sz w:val="24"/>
          <w:szCs w:val="24"/>
        </w:rPr>
      </w:pPr>
      <w:r w:rsidRPr="00FA3F9C">
        <w:rPr>
          <w:rFonts w:ascii="Arial" w:hAnsi="Arial" w:cs="Arial"/>
          <w:sz w:val="24"/>
          <w:szCs w:val="24"/>
        </w:rPr>
        <w:t>As monotherapy for the first-line treatment of adult patients with metastatic NSCLC whose tumors have high PD-L1 expression (</w:t>
      </w:r>
      <w:r w:rsidRPr="00FA3F9C">
        <w:rPr>
          <w:rFonts w:ascii="Arial" w:hAnsi="Arial" w:cs="Arial"/>
          <w:b/>
          <w:sz w:val="24"/>
          <w:szCs w:val="24"/>
          <w:u w:val="single"/>
        </w:rPr>
        <w:t>EITHER</w:t>
      </w:r>
      <w:r w:rsidRPr="00FA3F9C">
        <w:rPr>
          <w:rFonts w:ascii="Arial" w:hAnsi="Arial" w:cs="Arial"/>
          <w:sz w:val="24"/>
          <w:szCs w:val="24"/>
        </w:rPr>
        <w:t xml:space="preserve"> PD-L1 stained </w:t>
      </w:r>
      <w:r w:rsidRPr="00FA3F9C">
        <w:rPr>
          <w:rFonts w:ascii="Arial" w:hAnsi="Arial" w:cs="Arial"/>
          <w:sz w:val="24"/>
          <w:szCs w:val="24"/>
          <w:u w:val="single"/>
        </w:rPr>
        <w:t>&gt;</w:t>
      </w:r>
      <w:r w:rsidRPr="00FA3F9C">
        <w:rPr>
          <w:rFonts w:ascii="Arial" w:hAnsi="Arial" w:cs="Arial"/>
          <w:sz w:val="24"/>
          <w:szCs w:val="24"/>
        </w:rPr>
        <w:t xml:space="preserve">50% of tumor cells [TC </w:t>
      </w:r>
      <w:r w:rsidRPr="00FA3F9C">
        <w:rPr>
          <w:rFonts w:ascii="Arial" w:hAnsi="Arial" w:cs="Arial"/>
          <w:sz w:val="24"/>
          <w:szCs w:val="24"/>
          <w:u w:val="single"/>
        </w:rPr>
        <w:t>&gt;</w:t>
      </w:r>
      <w:r w:rsidRPr="00FA3F9C">
        <w:rPr>
          <w:rFonts w:ascii="Arial" w:hAnsi="Arial" w:cs="Arial"/>
          <w:sz w:val="24"/>
          <w:szCs w:val="24"/>
        </w:rPr>
        <w:t xml:space="preserve">50%] </w:t>
      </w:r>
      <w:r w:rsidRPr="00FA3F9C">
        <w:rPr>
          <w:rFonts w:ascii="Arial" w:hAnsi="Arial" w:cs="Arial"/>
          <w:b/>
          <w:sz w:val="24"/>
          <w:szCs w:val="24"/>
          <w:u w:val="single"/>
        </w:rPr>
        <w:t>OR</w:t>
      </w:r>
      <w:r w:rsidRPr="00FA3F9C">
        <w:rPr>
          <w:rFonts w:ascii="Arial" w:hAnsi="Arial" w:cs="Arial"/>
          <w:sz w:val="24"/>
          <w:szCs w:val="24"/>
        </w:rPr>
        <w:t xml:space="preserve"> PD-L1 stained tumor-infiltrating immune cells covering </w:t>
      </w:r>
      <w:r w:rsidRPr="00FA3F9C">
        <w:rPr>
          <w:rFonts w:ascii="Arial" w:hAnsi="Arial" w:cs="Arial"/>
          <w:sz w:val="24"/>
          <w:szCs w:val="24"/>
          <w:u w:val="single"/>
        </w:rPr>
        <w:t>&gt;</w:t>
      </w:r>
      <w:r w:rsidRPr="00FA3F9C">
        <w:rPr>
          <w:rFonts w:ascii="Arial" w:hAnsi="Arial" w:cs="Arial"/>
          <w:sz w:val="24"/>
          <w:szCs w:val="24"/>
        </w:rPr>
        <w:t xml:space="preserve">10% of the tumor area [IC </w:t>
      </w:r>
      <w:r w:rsidRPr="00FA3F9C">
        <w:rPr>
          <w:rFonts w:ascii="Arial" w:hAnsi="Arial" w:cs="Arial"/>
          <w:sz w:val="24"/>
          <w:szCs w:val="24"/>
          <w:u w:val="single"/>
        </w:rPr>
        <w:t>&gt;</w:t>
      </w:r>
      <w:r w:rsidRPr="00FA3F9C">
        <w:rPr>
          <w:rFonts w:ascii="Arial" w:hAnsi="Arial" w:cs="Arial"/>
          <w:sz w:val="24"/>
          <w:szCs w:val="24"/>
        </w:rPr>
        <w:t>10%]), with no EGFR or ALK genomic tumor aberrations</w:t>
      </w:r>
    </w:p>
    <w:p w14:paraId="5620DEEB" w14:textId="77777777" w:rsidR="001506C1" w:rsidRPr="00FA3F9C" w:rsidRDefault="001506C1" w:rsidP="001506C1">
      <w:pPr>
        <w:pStyle w:val="ListParagraph"/>
        <w:numPr>
          <w:ilvl w:val="1"/>
          <w:numId w:val="27"/>
        </w:numPr>
        <w:spacing w:after="0" w:line="276" w:lineRule="auto"/>
        <w:rPr>
          <w:rFonts w:ascii="Arial" w:hAnsi="Arial" w:cs="Arial"/>
          <w:sz w:val="24"/>
          <w:szCs w:val="24"/>
        </w:rPr>
      </w:pPr>
      <w:r w:rsidRPr="00FA3F9C">
        <w:rPr>
          <w:rFonts w:ascii="Arial" w:hAnsi="Arial" w:cs="Arial"/>
          <w:sz w:val="24"/>
          <w:szCs w:val="24"/>
        </w:rPr>
        <w:t>In combination with bevacizumab, paclitaxel, and carboplatin, for the first-line treatment of patients with metastatic non-squamous NSCLC with no EGFR or ALK genomic tumor aberrations</w:t>
      </w:r>
    </w:p>
    <w:p w14:paraId="4614CDFD" w14:textId="77777777" w:rsidR="001506C1" w:rsidRPr="00FA3F9C" w:rsidRDefault="001506C1" w:rsidP="001506C1">
      <w:pPr>
        <w:pStyle w:val="ListParagraph"/>
        <w:numPr>
          <w:ilvl w:val="1"/>
          <w:numId w:val="27"/>
        </w:numPr>
        <w:spacing w:after="0" w:line="276" w:lineRule="auto"/>
        <w:rPr>
          <w:rFonts w:ascii="Arial" w:hAnsi="Arial" w:cs="Arial"/>
          <w:sz w:val="24"/>
          <w:szCs w:val="24"/>
        </w:rPr>
      </w:pPr>
      <w:r w:rsidRPr="00FA3F9C">
        <w:rPr>
          <w:rFonts w:ascii="Arial" w:hAnsi="Arial" w:cs="Arial"/>
          <w:sz w:val="24"/>
          <w:szCs w:val="24"/>
        </w:rPr>
        <w:t>In combination with paclitaxel protein-bound (Abraxane) and carboplatin for the first-line treatment of adult patients with metastatic non-squamous NSCLC with no EGFR or ALK genomic tumor aberrations</w:t>
      </w:r>
    </w:p>
    <w:p w14:paraId="272F3CFA" w14:textId="77777777" w:rsidR="001506C1" w:rsidRPr="00FA3F9C" w:rsidRDefault="001506C1" w:rsidP="001506C1">
      <w:pPr>
        <w:pStyle w:val="ListParagraph"/>
        <w:numPr>
          <w:ilvl w:val="1"/>
          <w:numId w:val="27"/>
        </w:numPr>
        <w:spacing w:after="0" w:line="276" w:lineRule="auto"/>
        <w:rPr>
          <w:rFonts w:ascii="Arial" w:hAnsi="Arial" w:cs="Arial"/>
          <w:sz w:val="24"/>
          <w:szCs w:val="24"/>
        </w:rPr>
      </w:pPr>
      <w:r w:rsidRPr="00FA3F9C">
        <w:rPr>
          <w:rFonts w:ascii="Arial" w:hAnsi="Arial" w:cs="Arial"/>
          <w:sz w:val="24"/>
          <w:szCs w:val="24"/>
        </w:rPr>
        <w:t>As monotherapy in patients with disease progression during or following platinum-containing chemotherapy.  Patients should have disease progression on approved therapy for EGFR or ALK genomic tumor mutations (if present) prior to receiving atezolizumab</w:t>
      </w:r>
    </w:p>
    <w:p w14:paraId="5A430308" w14:textId="77777777" w:rsidR="001506C1" w:rsidRPr="00FA3F9C" w:rsidRDefault="001506C1" w:rsidP="001506C1">
      <w:pPr>
        <w:pStyle w:val="ListParagraph"/>
        <w:numPr>
          <w:ilvl w:val="0"/>
          <w:numId w:val="27"/>
        </w:numPr>
        <w:spacing w:after="0" w:line="276" w:lineRule="auto"/>
        <w:rPr>
          <w:rFonts w:ascii="Arial" w:hAnsi="Arial" w:cs="Arial"/>
          <w:sz w:val="24"/>
          <w:szCs w:val="24"/>
        </w:rPr>
      </w:pPr>
      <w:r w:rsidRPr="00FA3F9C">
        <w:rPr>
          <w:rFonts w:ascii="Arial" w:hAnsi="Arial" w:cs="Arial"/>
          <w:b/>
          <w:sz w:val="24"/>
          <w:szCs w:val="24"/>
          <w:u w:val="single"/>
        </w:rPr>
        <w:t>Urothelial carcinoma, locally advanced or metastatic</w:t>
      </w:r>
    </w:p>
    <w:p w14:paraId="57D83D4B" w14:textId="77777777" w:rsidR="001506C1" w:rsidRPr="00FA3F9C" w:rsidRDefault="001506C1" w:rsidP="001506C1">
      <w:pPr>
        <w:pStyle w:val="ListParagraph"/>
        <w:numPr>
          <w:ilvl w:val="1"/>
          <w:numId w:val="27"/>
        </w:numPr>
        <w:spacing w:after="0" w:line="276" w:lineRule="auto"/>
        <w:rPr>
          <w:rFonts w:ascii="Arial" w:hAnsi="Arial" w:cs="Arial"/>
          <w:sz w:val="24"/>
          <w:szCs w:val="24"/>
        </w:rPr>
      </w:pPr>
      <w:r w:rsidRPr="00FA3F9C">
        <w:rPr>
          <w:rFonts w:ascii="Arial" w:hAnsi="Arial" w:cs="Arial"/>
          <w:sz w:val="24"/>
          <w:szCs w:val="24"/>
        </w:rPr>
        <w:t>patients not eligible for cisplatin-containing chemotherapy and whose tumors express PD-L1 (PD-L1 stained tumor-</w:t>
      </w:r>
      <w:proofErr w:type="spellStart"/>
      <w:r w:rsidRPr="00FA3F9C">
        <w:rPr>
          <w:rFonts w:ascii="Arial" w:hAnsi="Arial" w:cs="Arial"/>
          <w:sz w:val="24"/>
          <w:szCs w:val="24"/>
        </w:rPr>
        <w:t>inflitrating</w:t>
      </w:r>
      <w:proofErr w:type="spellEnd"/>
      <w:r w:rsidRPr="00FA3F9C">
        <w:rPr>
          <w:rFonts w:ascii="Arial" w:hAnsi="Arial" w:cs="Arial"/>
          <w:sz w:val="24"/>
          <w:szCs w:val="24"/>
        </w:rPr>
        <w:t xml:space="preserve"> immune cells [IC] covering </w:t>
      </w:r>
      <w:r w:rsidRPr="00FA3F9C">
        <w:rPr>
          <w:rFonts w:ascii="Arial" w:hAnsi="Arial" w:cs="Arial"/>
          <w:sz w:val="24"/>
          <w:szCs w:val="24"/>
          <w:u w:val="single"/>
        </w:rPr>
        <w:t>&gt;</w:t>
      </w:r>
      <w:r w:rsidRPr="00FA3F9C">
        <w:rPr>
          <w:rFonts w:ascii="Arial" w:hAnsi="Arial" w:cs="Arial"/>
          <w:sz w:val="24"/>
          <w:szCs w:val="24"/>
        </w:rPr>
        <w:t xml:space="preserve">5% of the tumor area) </w:t>
      </w:r>
      <w:r w:rsidRPr="00FA3F9C">
        <w:rPr>
          <w:rFonts w:ascii="Arial" w:hAnsi="Arial" w:cs="Arial"/>
          <w:sz w:val="24"/>
          <w:szCs w:val="24"/>
          <w:highlight w:val="yellow"/>
        </w:rPr>
        <w:t>NOT COVERED</w:t>
      </w:r>
      <w:r w:rsidRPr="00FA3F9C">
        <w:rPr>
          <w:rFonts w:ascii="Arial" w:hAnsi="Arial" w:cs="Arial"/>
          <w:sz w:val="24"/>
          <w:szCs w:val="24"/>
        </w:rPr>
        <w:t>: single arm trial only</w:t>
      </w:r>
    </w:p>
    <w:p w14:paraId="1DB45BF6" w14:textId="77777777" w:rsidR="001506C1" w:rsidRPr="00FA3F9C" w:rsidRDefault="001506C1" w:rsidP="001506C1">
      <w:pPr>
        <w:pStyle w:val="ListParagraph"/>
        <w:numPr>
          <w:ilvl w:val="1"/>
          <w:numId w:val="27"/>
        </w:numPr>
        <w:spacing w:after="0" w:line="276" w:lineRule="auto"/>
        <w:rPr>
          <w:rFonts w:ascii="Arial" w:hAnsi="Arial" w:cs="Arial"/>
          <w:sz w:val="24"/>
          <w:szCs w:val="24"/>
        </w:rPr>
      </w:pPr>
      <w:r w:rsidRPr="00FA3F9C">
        <w:rPr>
          <w:rFonts w:ascii="Arial" w:hAnsi="Arial" w:cs="Arial"/>
          <w:sz w:val="24"/>
          <w:szCs w:val="24"/>
        </w:rPr>
        <w:t xml:space="preserve">patients not eligible for any platinum-containing chemotherapy regardless of PD-L1 status </w:t>
      </w:r>
      <w:r w:rsidRPr="00FA3F9C">
        <w:rPr>
          <w:rFonts w:ascii="Arial" w:hAnsi="Arial" w:cs="Arial"/>
          <w:sz w:val="24"/>
          <w:szCs w:val="24"/>
          <w:highlight w:val="yellow"/>
        </w:rPr>
        <w:t>NOT COVERED</w:t>
      </w:r>
      <w:r w:rsidRPr="00FA3F9C">
        <w:rPr>
          <w:rFonts w:ascii="Arial" w:hAnsi="Arial" w:cs="Arial"/>
          <w:sz w:val="24"/>
          <w:szCs w:val="24"/>
        </w:rPr>
        <w:t>: single arm trial only</w:t>
      </w:r>
    </w:p>
    <w:p w14:paraId="2B38AD8E" w14:textId="77777777" w:rsidR="001506C1" w:rsidRPr="00FA3F9C" w:rsidRDefault="001506C1" w:rsidP="001506C1">
      <w:pPr>
        <w:pStyle w:val="ListParagraph"/>
        <w:numPr>
          <w:ilvl w:val="1"/>
          <w:numId w:val="27"/>
        </w:numPr>
        <w:spacing w:after="0" w:line="276" w:lineRule="auto"/>
        <w:rPr>
          <w:rFonts w:ascii="Arial" w:hAnsi="Arial" w:cs="Arial"/>
          <w:sz w:val="24"/>
          <w:szCs w:val="24"/>
        </w:rPr>
      </w:pPr>
      <w:r w:rsidRPr="00FA3F9C">
        <w:rPr>
          <w:rFonts w:ascii="Arial" w:hAnsi="Arial" w:cs="Arial"/>
          <w:sz w:val="24"/>
          <w:szCs w:val="24"/>
        </w:rPr>
        <w:t xml:space="preserve">Patients who have disease progression during or following any platinum-containing chemotherapy, or within 12 months of neoadjuvant or adjuvant chemotherapy. </w:t>
      </w:r>
      <w:r w:rsidRPr="00FA3F9C">
        <w:rPr>
          <w:rFonts w:ascii="Arial" w:hAnsi="Arial" w:cs="Arial"/>
          <w:sz w:val="24"/>
          <w:szCs w:val="24"/>
          <w:highlight w:val="yellow"/>
        </w:rPr>
        <w:t>NOT COVERED</w:t>
      </w:r>
      <w:r w:rsidRPr="00FA3F9C">
        <w:rPr>
          <w:rFonts w:ascii="Arial" w:hAnsi="Arial" w:cs="Arial"/>
          <w:sz w:val="24"/>
          <w:szCs w:val="24"/>
        </w:rPr>
        <w:t xml:space="preserve"> (see pembrolizumab-Keytruda): RCT showed fewer side effect but no overall survival benefit with atezolizumab vs. chemo (Powles et al. Lancet 2018;391(10122):748-757; only 6% of chemo </w:t>
      </w:r>
      <w:proofErr w:type="spellStart"/>
      <w:r w:rsidRPr="00FA3F9C">
        <w:rPr>
          <w:rFonts w:ascii="Arial" w:hAnsi="Arial" w:cs="Arial"/>
          <w:sz w:val="24"/>
          <w:szCs w:val="24"/>
        </w:rPr>
        <w:t>pt</w:t>
      </w:r>
      <w:proofErr w:type="spellEnd"/>
      <w:r w:rsidRPr="00FA3F9C">
        <w:rPr>
          <w:rFonts w:ascii="Arial" w:hAnsi="Arial" w:cs="Arial"/>
          <w:sz w:val="24"/>
          <w:szCs w:val="24"/>
        </w:rPr>
        <w:t xml:space="preserve"> received post-trial immunotherapy). PEMBROLIZUMAB has shown overall survival benefit in this setting with fewer severe adverse effects versus chemotherapy.</w:t>
      </w:r>
    </w:p>
    <w:p w14:paraId="3866FB7A" w14:textId="77777777" w:rsidR="001506C1" w:rsidRPr="00FA3F9C" w:rsidRDefault="001506C1" w:rsidP="001506C1">
      <w:pPr>
        <w:pStyle w:val="ListParagraph"/>
        <w:numPr>
          <w:ilvl w:val="0"/>
          <w:numId w:val="27"/>
        </w:numPr>
        <w:spacing w:after="0" w:line="276" w:lineRule="auto"/>
        <w:rPr>
          <w:rFonts w:ascii="Arial" w:hAnsi="Arial" w:cs="Arial"/>
          <w:sz w:val="24"/>
          <w:szCs w:val="24"/>
        </w:rPr>
      </w:pPr>
      <w:r w:rsidRPr="00FA3F9C">
        <w:rPr>
          <w:rFonts w:ascii="Arial" w:hAnsi="Arial" w:cs="Arial"/>
          <w:b/>
          <w:sz w:val="24"/>
          <w:szCs w:val="24"/>
          <w:u w:val="single"/>
        </w:rPr>
        <w:t>Triple-Negative Breast Cancer (TNBC)</w:t>
      </w:r>
    </w:p>
    <w:p w14:paraId="61CA3775" w14:textId="77777777" w:rsidR="001506C1" w:rsidRPr="00FA3F9C" w:rsidRDefault="001506C1" w:rsidP="001506C1">
      <w:pPr>
        <w:pStyle w:val="ListParagraph"/>
        <w:numPr>
          <w:ilvl w:val="1"/>
          <w:numId w:val="27"/>
        </w:numPr>
        <w:spacing w:after="0" w:line="276" w:lineRule="auto"/>
        <w:rPr>
          <w:rFonts w:ascii="Arial" w:hAnsi="Arial" w:cs="Arial"/>
          <w:sz w:val="24"/>
          <w:szCs w:val="24"/>
        </w:rPr>
      </w:pPr>
      <w:r w:rsidRPr="00FA3F9C">
        <w:rPr>
          <w:rFonts w:ascii="Arial" w:hAnsi="Arial" w:cs="Arial"/>
          <w:sz w:val="24"/>
          <w:szCs w:val="24"/>
        </w:rPr>
        <w:t xml:space="preserve">In combination with paclitaxel protein-bound (Abraxane) for the treatment of adult patients with unresectable locally advanced or metastatic TNBC whose tumors express PD-L1 (PD-L1 stained tumor-infiltrating immune cells [IC] of </w:t>
      </w:r>
      <w:r w:rsidRPr="00FA3F9C">
        <w:rPr>
          <w:rFonts w:ascii="Arial" w:hAnsi="Arial" w:cs="Arial"/>
          <w:sz w:val="24"/>
          <w:szCs w:val="24"/>
        </w:rPr>
        <w:lastRenderedPageBreak/>
        <w:t>any intensity covering ≥ 1% of the tumor area), as determined by an FDA approved test (</w:t>
      </w:r>
      <w:r w:rsidRPr="00FA3F9C">
        <w:rPr>
          <w:rFonts w:ascii="Arial" w:hAnsi="Arial" w:cs="Arial"/>
          <w:b/>
          <w:sz w:val="24"/>
          <w:szCs w:val="24"/>
        </w:rPr>
        <w:t>accelerated approval based on progression free survival</w:t>
      </w:r>
      <w:r w:rsidRPr="00FA3F9C">
        <w:rPr>
          <w:rFonts w:ascii="Arial" w:hAnsi="Arial" w:cs="Arial"/>
          <w:sz w:val="24"/>
          <w:szCs w:val="24"/>
        </w:rPr>
        <w:t xml:space="preserve">). </w:t>
      </w:r>
      <w:r w:rsidRPr="00FA3F9C">
        <w:rPr>
          <w:rFonts w:ascii="Arial" w:hAnsi="Arial" w:cs="Arial"/>
          <w:sz w:val="24"/>
          <w:szCs w:val="24"/>
          <w:highlight w:val="yellow"/>
        </w:rPr>
        <w:t>NOT COVERED</w:t>
      </w:r>
    </w:p>
    <w:p w14:paraId="25BE6FED" w14:textId="77777777" w:rsidR="001506C1" w:rsidRPr="00FA3F9C" w:rsidRDefault="001506C1" w:rsidP="00680717">
      <w:pPr>
        <w:spacing w:after="0"/>
        <w:ind w:left="1080" w:firstLine="720"/>
        <w:rPr>
          <w:rFonts w:ascii="Arial" w:hAnsi="Arial" w:cs="Arial"/>
          <w:b/>
          <w:sz w:val="24"/>
          <w:szCs w:val="24"/>
          <w:u w:val="single"/>
        </w:rPr>
      </w:pPr>
      <w:r w:rsidRPr="00FA3F9C">
        <w:rPr>
          <w:rFonts w:ascii="Arial" w:hAnsi="Arial" w:cs="Arial"/>
          <w:b/>
          <w:sz w:val="24"/>
          <w:szCs w:val="24"/>
          <w:highlight w:val="yellow"/>
          <w:u w:val="single"/>
        </w:rPr>
        <w:t>**PLEASE READ**</w:t>
      </w:r>
    </w:p>
    <w:p w14:paraId="15D8AA92" w14:textId="77777777" w:rsidR="001506C1" w:rsidRPr="00FA3F9C" w:rsidRDefault="001506C1" w:rsidP="001506C1">
      <w:pPr>
        <w:pStyle w:val="ListParagraph"/>
        <w:numPr>
          <w:ilvl w:val="2"/>
          <w:numId w:val="27"/>
        </w:numPr>
        <w:spacing w:after="0" w:line="276" w:lineRule="auto"/>
        <w:rPr>
          <w:rFonts w:ascii="Arial" w:hAnsi="Arial" w:cs="Arial"/>
          <w:sz w:val="24"/>
          <w:szCs w:val="24"/>
        </w:rPr>
      </w:pPr>
      <w:r w:rsidRPr="00FA3F9C">
        <w:rPr>
          <w:rFonts w:ascii="Arial" w:hAnsi="Arial" w:cs="Arial"/>
          <w:sz w:val="24"/>
          <w:szCs w:val="24"/>
        </w:rPr>
        <w:t xml:space="preserve">As of 5/20/2021 EBRx P&amp;T meeting, TNBC indication will no longer be covered. </w:t>
      </w:r>
      <w:r w:rsidRPr="00FA3F9C">
        <w:rPr>
          <w:rFonts w:ascii="Arial" w:hAnsi="Arial" w:cs="Arial"/>
          <w:b/>
          <w:i/>
          <w:sz w:val="24"/>
          <w:szCs w:val="24"/>
        </w:rPr>
        <w:t>Current users will be grandfathered.</w:t>
      </w:r>
    </w:p>
    <w:p w14:paraId="341463DA" w14:textId="77777777" w:rsidR="001506C1" w:rsidRPr="00FA3F9C" w:rsidRDefault="001506C1" w:rsidP="001506C1">
      <w:pPr>
        <w:pStyle w:val="ListParagraph"/>
        <w:numPr>
          <w:ilvl w:val="2"/>
          <w:numId w:val="27"/>
        </w:numPr>
        <w:spacing w:after="0" w:line="276" w:lineRule="auto"/>
        <w:rPr>
          <w:rFonts w:ascii="Arial" w:hAnsi="Arial" w:cs="Arial"/>
          <w:sz w:val="24"/>
          <w:szCs w:val="24"/>
        </w:rPr>
      </w:pPr>
      <w:r w:rsidRPr="00FA3F9C">
        <w:rPr>
          <w:rFonts w:ascii="Arial" w:hAnsi="Arial" w:cs="Arial"/>
          <w:sz w:val="24"/>
          <w:szCs w:val="24"/>
        </w:rPr>
        <w:t xml:space="preserve">In IMPOWER130, benefit was limited to progression free survival only. </w:t>
      </w:r>
    </w:p>
    <w:p w14:paraId="0D47809C" w14:textId="77777777" w:rsidR="001506C1" w:rsidRPr="00FA3F9C" w:rsidRDefault="001506C1" w:rsidP="001506C1">
      <w:pPr>
        <w:pStyle w:val="ListParagraph"/>
        <w:numPr>
          <w:ilvl w:val="2"/>
          <w:numId w:val="27"/>
        </w:numPr>
        <w:spacing w:after="0" w:line="276" w:lineRule="auto"/>
        <w:rPr>
          <w:rFonts w:ascii="Arial" w:hAnsi="Arial" w:cs="Arial"/>
          <w:sz w:val="24"/>
          <w:szCs w:val="24"/>
        </w:rPr>
      </w:pPr>
      <w:r w:rsidRPr="00FA3F9C">
        <w:rPr>
          <w:rFonts w:ascii="Arial" w:hAnsi="Arial" w:cs="Arial"/>
          <w:sz w:val="24"/>
          <w:szCs w:val="24"/>
        </w:rPr>
        <w:t xml:space="preserve">In confirmatory trial (IMPOWER131), PFS benefit was NOT confirmed, and an overall survival benefit was not evident. </w:t>
      </w:r>
    </w:p>
    <w:p w14:paraId="0B1D8F0E" w14:textId="77777777" w:rsidR="001506C1" w:rsidRPr="00FA3F9C" w:rsidRDefault="001506C1" w:rsidP="001506C1">
      <w:pPr>
        <w:pStyle w:val="ListParagraph"/>
        <w:numPr>
          <w:ilvl w:val="2"/>
          <w:numId w:val="27"/>
        </w:numPr>
        <w:spacing w:after="0" w:line="276" w:lineRule="auto"/>
        <w:rPr>
          <w:rFonts w:ascii="Arial" w:hAnsi="Arial" w:cs="Arial"/>
          <w:sz w:val="24"/>
          <w:szCs w:val="24"/>
        </w:rPr>
      </w:pPr>
      <w:r w:rsidRPr="00FA3F9C">
        <w:rPr>
          <w:rFonts w:ascii="Arial" w:hAnsi="Arial" w:cs="Arial"/>
          <w:sz w:val="24"/>
          <w:szCs w:val="24"/>
        </w:rPr>
        <w:t>References:</w:t>
      </w:r>
    </w:p>
    <w:p w14:paraId="0805D046" w14:textId="77777777" w:rsidR="001506C1" w:rsidRPr="00FA3F9C" w:rsidRDefault="001506C1" w:rsidP="001506C1">
      <w:pPr>
        <w:pStyle w:val="ListParagraph"/>
        <w:numPr>
          <w:ilvl w:val="0"/>
          <w:numId w:val="27"/>
        </w:numPr>
        <w:ind w:left="2610"/>
        <w:rPr>
          <w:rFonts w:ascii="Arial" w:hAnsi="Arial" w:cs="Arial"/>
          <w:sz w:val="24"/>
          <w:szCs w:val="24"/>
        </w:rPr>
      </w:pPr>
      <w:r w:rsidRPr="00FA3F9C">
        <w:rPr>
          <w:rFonts w:ascii="Arial" w:hAnsi="Arial" w:cs="Arial"/>
          <w:color w:val="212121"/>
          <w:sz w:val="24"/>
          <w:szCs w:val="24"/>
          <w:shd w:val="clear" w:color="auto" w:fill="FFFFFF"/>
        </w:rPr>
        <w:t xml:space="preserve">IMPOWER130: Schmid P et al. Atezolizumab and Nab-Paclitaxel in Advanced Triple-Negative Breast Cancer. N </w:t>
      </w:r>
      <w:proofErr w:type="spellStart"/>
      <w:r w:rsidRPr="00FA3F9C">
        <w:rPr>
          <w:rFonts w:ascii="Arial" w:hAnsi="Arial" w:cs="Arial"/>
          <w:color w:val="212121"/>
          <w:sz w:val="24"/>
          <w:szCs w:val="24"/>
          <w:shd w:val="clear" w:color="auto" w:fill="FFFFFF"/>
        </w:rPr>
        <w:t>Engl</w:t>
      </w:r>
      <w:proofErr w:type="spellEnd"/>
      <w:r w:rsidRPr="00FA3F9C">
        <w:rPr>
          <w:rFonts w:ascii="Arial" w:hAnsi="Arial" w:cs="Arial"/>
          <w:color w:val="212121"/>
          <w:sz w:val="24"/>
          <w:szCs w:val="24"/>
          <w:shd w:val="clear" w:color="auto" w:fill="FFFFFF"/>
        </w:rPr>
        <w:t xml:space="preserve"> J Med. 2018 Nov 29;379(22):2108-2121. </w:t>
      </w:r>
      <w:proofErr w:type="spellStart"/>
      <w:r w:rsidRPr="00FA3F9C">
        <w:rPr>
          <w:rFonts w:ascii="Arial" w:hAnsi="Arial" w:cs="Arial"/>
          <w:color w:val="212121"/>
          <w:sz w:val="24"/>
          <w:szCs w:val="24"/>
          <w:shd w:val="clear" w:color="auto" w:fill="FFFFFF"/>
        </w:rPr>
        <w:t>doi</w:t>
      </w:r>
      <w:proofErr w:type="spellEnd"/>
      <w:r w:rsidRPr="00FA3F9C">
        <w:rPr>
          <w:rFonts w:ascii="Arial" w:hAnsi="Arial" w:cs="Arial"/>
          <w:color w:val="212121"/>
          <w:sz w:val="24"/>
          <w:szCs w:val="24"/>
          <w:shd w:val="clear" w:color="auto" w:fill="FFFFFF"/>
        </w:rPr>
        <w:t xml:space="preserve">: 10.1056/NEJMoa1809615. </w:t>
      </w:r>
      <w:proofErr w:type="spellStart"/>
      <w:r w:rsidRPr="00FA3F9C">
        <w:rPr>
          <w:rFonts w:ascii="Arial" w:hAnsi="Arial" w:cs="Arial"/>
          <w:color w:val="212121"/>
          <w:sz w:val="24"/>
          <w:szCs w:val="24"/>
          <w:shd w:val="clear" w:color="auto" w:fill="FFFFFF"/>
        </w:rPr>
        <w:t>Epub</w:t>
      </w:r>
      <w:proofErr w:type="spellEnd"/>
      <w:r w:rsidRPr="00FA3F9C">
        <w:rPr>
          <w:rFonts w:ascii="Arial" w:hAnsi="Arial" w:cs="Arial"/>
          <w:color w:val="212121"/>
          <w:sz w:val="24"/>
          <w:szCs w:val="24"/>
          <w:shd w:val="clear" w:color="auto" w:fill="FFFFFF"/>
        </w:rPr>
        <w:t xml:space="preserve"> 2018 Oct 20. PMID: 30345906.</w:t>
      </w:r>
    </w:p>
    <w:p w14:paraId="6213CC25" w14:textId="77777777" w:rsidR="001506C1" w:rsidRPr="00FA3F9C" w:rsidRDefault="001506C1" w:rsidP="001506C1">
      <w:pPr>
        <w:pStyle w:val="ListParagraph"/>
        <w:numPr>
          <w:ilvl w:val="0"/>
          <w:numId w:val="27"/>
        </w:numPr>
        <w:ind w:left="2610"/>
        <w:rPr>
          <w:rFonts w:ascii="Arial" w:hAnsi="Arial" w:cs="Arial"/>
          <w:color w:val="212121"/>
          <w:sz w:val="24"/>
          <w:szCs w:val="24"/>
          <w:shd w:val="clear" w:color="auto" w:fill="FFFFFF"/>
        </w:rPr>
      </w:pPr>
      <w:r w:rsidRPr="00FA3F9C">
        <w:rPr>
          <w:rFonts w:ascii="Arial" w:hAnsi="Arial" w:cs="Arial"/>
          <w:color w:val="212121"/>
          <w:sz w:val="24"/>
          <w:szCs w:val="24"/>
          <w:shd w:val="clear" w:color="auto" w:fill="FFFFFF"/>
        </w:rPr>
        <w:t xml:space="preserve">IMPOWER130 (updated results):  Schmid P et al. Atezolizumab plus nab-paclitaxel as first-line treatment for unresectable, locally advanced or metastatic triple-negative breast cancer (IMpassion130): updated efficacy results from a </w:t>
      </w:r>
      <w:proofErr w:type="spellStart"/>
      <w:r w:rsidRPr="00FA3F9C">
        <w:rPr>
          <w:rFonts w:ascii="Arial" w:hAnsi="Arial" w:cs="Arial"/>
          <w:color w:val="212121"/>
          <w:sz w:val="24"/>
          <w:szCs w:val="24"/>
          <w:shd w:val="clear" w:color="auto" w:fill="FFFFFF"/>
        </w:rPr>
        <w:t>randomised</w:t>
      </w:r>
      <w:proofErr w:type="spellEnd"/>
      <w:r w:rsidRPr="00FA3F9C">
        <w:rPr>
          <w:rFonts w:ascii="Arial" w:hAnsi="Arial" w:cs="Arial"/>
          <w:color w:val="212121"/>
          <w:sz w:val="24"/>
          <w:szCs w:val="24"/>
          <w:shd w:val="clear" w:color="auto" w:fill="FFFFFF"/>
        </w:rPr>
        <w:t xml:space="preserve">, double-blind, placebo-controlled, phase 3 trial. Lancet Oncol. 2020 Jan;21(1):44-59. </w:t>
      </w:r>
      <w:proofErr w:type="spellStart"/>
      <w:r w:rsidRPr="00FA3F9C">
        <w:rPr>
          <w:rFonts w:ascii="Arial" w:hAnsi="Arial" w:cs="Arial"/>
          <w:color w:val="212121"/>
          <w:sz w:val="24"/>
          <w:szCs w:val="24"/>
          <w:shd w:val="clear" w:color="auto" w:fill="FFFFFF"/>
        </w:rPr>
        <w:t>doi</w:t>
      </w:r>
      <w:proofErr w:type="spellEnd"/>
      <w:r w:rsidRPr="00FA3F9C">
        <w:rPr>
          <w:rFonts w:ascii="Arial" w:hAnsi="Arial" w:cs="Arial"/>
          <w:color w:val="212121"/>
          <w:sz w:val="24"/>
          <w:szCs w:val="24"/>
          <w:shd w:val="clear" w:color="auto" w:fill="FFFFFF"/>
        </w:rPr>
        <w:t xml:space="preserve">: 10.1016/S1470-2045(19)30689-8. </w:t>
      </w:r>
      <w:proofErr w:type="spellStart"/>
      <w:r w:rsidRPr="00FA3F9C">
        <w:rPr>
          <w:rFonts w:ascii="Arial" w:hAnsi="Arial" w:cs="Arial"/>
          <w:color w:val="212121"/>
          <w:sz w:val="24"/>
          <w:szCs w:val="24"/>
          <w:shd w:val="clear" w:color="auto" w:fill="FFFFFF"/>
        </w:rPr>
        <w:t>Epub</w:t>
      </w:r>
      <w:proofErr w:type="spellEnd"/>
      <w:r w:rsidRPr="00FA3F9C">
        <w:rPr>
          <w:rFonts w:ascii="Arial" w:hAnsi="Arial" w:cs="Arial"/>
          <w:color w:val="212121"/>
          <w:sz w:val="24"/>
          <w:szCs w:val="24"/>
          <w:shd w:val="clear" w:color="auto" w:fill="FFFFFF"/>
        </w:rPr>
        <w:t xml:space="preserve"> 2019 Nov 27. PMID: 31786121.</w:t>
      </w:r>
    </w:p>
    <w:p w14:paraId="2C8B828E" w14:textId="77777777" w:rsidR="001506C1" w:rsidRPr="00FA3F9C" w:rsidRDefault="001506C1" w:rsidP="001506C1">
      <w:pPr>
        <w:pStyle w:val="ListParagraph"/>
        <w:numPr>
          <w:ilvl w:val="0"/>
          <w:numId w:val="27"/>
        </w:numPr>
        <w:ind w:left="2610"/>
        <w:rPr>
          <w:rFonts w:ascii="Arial" w:hAnsi="Arial" w:cs="Arial"/>
          <w:color w:val="212121"/>
          <w:sz w:val="24"/>
          <w:szCs w:val="24"/>
          <w:shd w:val="clear" w:color="auto" w:fill="FFFFFF"/>
        </w:rPr>
      </w:pPr>
      <w:r w:rsidRPr="00FA3F9C">
        <w:rPr>
          <w:rFonts w:ascii="Arial" w:hAnsi="Arial" w:cs="Arial"/>
          <w:sz w:val="24"/>
          <w:szCs w:val="24"/>
        </w:rPr>
        <w:t xml:space="preserve">IMPOWER 131: </w:t>
      </w:r>
      <w:hyperlink r:id="rId31" w:history="1">
        <w:r w:rsidRPr="00FA3F9C">
          <w:rPr>
            <w:rStyle w:val="Hyperlink"/>
            <w:rFonts w:ascii="Arial" w:hAnsi="Arial" w:cs="Arial"/>
            <w:sz w:val="24"/>
            <w:szCs w:val="24"/>
            <w:shd w:val="clear" w:color="auto" w:fill="FFFFFF"/>
          </w:rPr>
          <w:t xml:space="preserve">https://oncologypro.esmo.org/meeting-resources/esmo-virtual-congress-2020/primary-results-from-impassion131-a-double-blind-placebo-controlled-randomised-phase-iii-trial-of-first-line-paclitaxel-pac-atezolizumab-atez </w:t>
        </w:r>
        <w:r w:rsidRPr="00FA3F9C">
          <w:rPr>
            <w:rStyle w:val="Hyperlink"/>
            <w:rFonts w:ascii="Arial" w:hAnsi="Arial" w:cs="Arial"/>
            <w:sz w:val="24"/>
            <w:szCs w:val="24"/>
          </w:rPr>
          <w:t>Accessed 4/27/2021</w:t>
        </w:r>
      </w:hyperlink>
      <w:r w:rsidRPr="00FA3F9C">
        <w:rPr>
          <w:rFonts w:ascii="Arial" w:hAnsi="Arial" w:cs="Arial"/>
          <w:sz w:val="24"/>
          <w:szCs w:val="24"/>
        </w:rPr>
        <w:t xml:space="preserve"> [</w:t>
      </w:r>
      <w:r w:rsidRPr="00FA3F9C">
        <w:rPr>
          <w:rFonts w:ascii="Arial" w:hAnsi="Arial" w:cs="Arial"/>
          <w:color w:val="212121"/>
          <w:sz w:val="24"/>
          <w:szCs w:val="24"/>
          <w:shd w:val="clear" w:color="auto" w:fill="FFFFFF"/>
        </w:rPr>
        <w:t>NCT03125902 impassion 131]</w:t>
      </w:r>
    </w:p>
    <w:p w14:paraId="7F1C56A0" w14:textId="77777777" w:rsidR="001506C1" w:rsidRPr="00FA3F9C" w:rsidRDefault="001506C1" w:rsidP="001506C1">
      <w:pPr>
        <w:pStyle w:val="ListParagraph"/>
        <w:numPr>
          <w:ilvl w:val="0"/>
          <w:numId w:val="27"/>
        </w:numPr>
        <w:spacing w:after="0" w:line="276" w:lineRule="auto"/>
        <w:rPr>
          <w:rFonts w:ascii="Arial" w:hAnsi="Arial" w:cs="Arial"/>
          <w:sz w:val="24"/>
          <w:szCs w:val="24"/>
        </w:rPr>
      </w:pPr>
      <w:r w:rsidRPr="00FA3F9C">
        <w:rPr>
          <w:rFonts w:ascii="Arial" w:hAnsi="Arial" w:cs="Arial"/>
          <w:b/>
          <w:sz w:val="24"/>
          <w:szCs w:val="24"/>
          <w:u w:val="single"/>
        </w:rPr>
        <w:t>Small Cell Lung Cancer (SCLC)</w:t>
      </w:r>
    </w:p>
    <w:p w14:paraId="7D343E8B" w14:textId="77777777" w:rsidR="001506C1" w:rsidRPr="00FA3F9C" w:rsidRDefault="001506C1" w:rsidP="001506C1">
      <w:pPr>
        <w:pStyle w:val="ListParagraph"/>
        <w:numPr>
          <w:ilvl w:val="1"/>
          <w:numId w:val="27"/>
        </w:numPr>
        <w:spacing w:after="0" w:line="276" w:lineRule="auto"/>
        <w:rPr>
          <w:rFonts w:ascii="Arial" w:hAnsi="Arial" w:cs="Arial"/>
          <w:sz w:val="24"/>
          <w:szCs w:val="24"/>
        </w:rPr>
      </w:pPr>
      <w:r w:rsidRPr="00FA3F9C">
        <w:rPr>
          <w:rFonts w:ascii="Arial" w:hAnsi="Arial" w:cs="Arial"/>
          <w:sz w:val="24"/>
          <w:szCs w:val="24"/>
        </w:rPr>
        <w:t>In combination with carboplatin and etoposide, for the first-line treatment of adult patients with extensive-stage SCLC.</w:t>
      </w:r>
    </w:p>
    <w:p w14:paraId="5850559A" w14:textId="77777777" w:rsidR="001506C1" w:rsidRPr="00FA3F9C" w:rsidRDefault="001506C1" w:rsidP="001506C1">
      <w:pPr>
        <w:pStyle w:val="ListParagraph"/>
        <w:numPr>
          <w:ilvl w:val="0"/>
          <w:numId w:val="27"/>
        </w:numPr>
        <w:spacing w:after="0" w:line="276" w:lineRule="auto"/>
        <w:rPr>
          <w:rFonts w:ascii="Arial" w:hAnsi="Arial" w:cs="Arial"/>
          <w:b/>
          <w:sz w:val="24"/>
          <w:szCs w:val="24"/>
          <w:u w:val="single"/>
        </w:rPr>
      </w:pPr>
      <w:r w:rsidRPr="00FA3F9C">
        <w:rPr>
          <w:rFonts w:ascii="Arial" w:hAnsi="Arial" w:cs="Arial"/>
          <w:b/>
          <w:sz w:val="24"/>
          <w:szCs w:val="24"/>
          <w:u w:val="single"/>
        </w:rPr>
        <w:t>Hepatocellular Carcinoma (HCC)</w:t>
      </w:r>
    </w:p>
    <w:p w14:paraId="1CF0DF92" w14:textId="77777777" w:rsidR="001506C1" w:rsidRPr="00FA3F9C" w:rsidRDefault="001506C1" w:rsidP="001506C1">
      <w:pPr>
        <w:pStyle w:val="ListParagraph"/>
        <w:numPr>
          <w:ilvl w:val="1"/>
          <w:numId w:val="27"/>
        </w:numPr>
        <w:spacing w:after="0" w:line="276" w:lineRule="auto"/>
        <w:rPr>
          <w:rFonts w:ascii="Arial" w:hAnsi="Arial" w:cs="Arial"/>
          <w:b/>
          <w:sz w:val="24"/>
          <w:szCs w:val="24"/>
          <w:u w:val="single"/>
        </w:rPr>
      </w:pPr>
      <w:r w:rsidRPr="00FA3F9C">
        <w:rPr>
          <w:rFonts w:ascii="Arial" w:hAnsi="Arial" w:cs="Arial"/>
          <w:sz w:val="24"/>
          <w:szCs w:val="24"/>
        </w:rPr>
        <w:t>in combination with bevacizumab for the treatment of patients with unresectable or metastatic HCC who have not received prior systemic therapy</w:t>
      </w:r>
    </w:p>
    <w:p w14:paraId="5FBDA9B9" w14:textId="77777777" w:rsidR="001506C1" w:rsidRPr="00FA3F9C" w:rsidRDefault="001506C1" w:rsidP="001506C1">
      <w:pPr>
        <w:pStyle w:val="ListParagraph"/>
        <w:numPr>
          <w:ilvl w:val="0"/>
          <w:numId w:val="27"/>
        </w:numPr>
        <w:spacing w:after="0" w:line="276" w:lineRule="auto"/>
        <w:rPr>
          <w:rFonts w:ascii="Arial" w:hAnsi="Arial" w:cs="Arial"/>
          <w:b/>
          <w:sz w:val="24"/>
          <w:szCs w:val="24"/>
          <w:u w:val="single"/>
        </w:rPr>
      </w:pPr>
      <w:r w:rsidRPr="00FA3F9C">
        <w:rPr>
          <w:rFonts w:ascii="Arial" w:hAnsi="Arial" w:cs="Arial"/>
          <w:b/>
          <w:sz w:val="24"/>
          <w:szCs w:val="24"/>
          <w:u w:val="single"/>
        </w:rPr>
        <w:t>Melanoma</w:t>
      </w:r>
      <w:r w:rsidRPr="00FA3F9C">
        <w:rPr>
          <w:rFonts w:ascii="Arial" w:hAnsi="Arial" w:cs="Arial"/>
          <w:sz w:val="24"/>
          <w:szCs w:val="24"/>
        </w:rPr>
        <w:t xml:space="preserve"> </w:t>
      </w:r>
    </w:p>
    <w:p w14:paraId="0A24F534" w14:textId="77777777" w:rsidR="001506C1" w:rsidRPr="00FA3F9C" w:rsidRDefault="001506C1" w:rsidP="001506C1">
      <w:pPr>
        <w:pStyle w:val="ListParagraph"/>
        <w:numPr>
          <w:ilvl w:val="1"/>
          <w:numId w:val="27"/>
        </w:numPr>
        <w:spacing w:after="0" w:line="276" w:lineRule="auto"/>
        <w:rPr>
          <w:rFonts w:ascii="Arial" w:hAnsi="Arial" w:cs="Arial"/>
          <w:b/>
          <w:sz w:val="24"/>
          <w:szCs w:val="24"/>
          <w:u w:val="single"/>
        </w:rPr>
      </w:pPr>
      <w:r w:rsidRPr="00FA3F9C">
        <w:rPr>
          <w:rFonts w:ascii="Arial" w:hAnsi="Arial" w:cs="Arial"/>
          <w:sz w:val="24"/>
          <w:szCs w:val="24"/>
        </w:rPr>
        <w:t xml:space="preserve">in combination with </w:t>
      </w:r>
      <w:proofErr w:type="spellStart"/>
      <w:r w:rsidRPr="00FA3F9C">
        <w:rPr>
          <w:rFonts w:ascii="Arial" w:hAnsi="Arial" w:cs="Arial"/>
          <w:sz w:val="24"/>
          <w:szCs w:val="24"/>
        </w:rPr>
        <w:t>cobimetinib</w:t>
      </w:r>
      <w:proofErr w:type="spellEnd"/>
      <w:r w:rsidRPr="00FA3F9C">
        <w:rPr>
          <w:rFonts w:ascii="Arial" w:hAnsi="Arial" w:cs="Arial"/>
          <w:sz w:val="24"/>
          <w:szCs w:val="24"/>
        </w:rPr>
        <w:t xml:space="preserve"> and vemurafenib for the treatment of patients with BRAF V600 mutation-positive unresectable or metastatic melanoma </w:t>
      </w:r>
      <w:r w:rsidRPr="00FA3F9C">
        <w:rPr>
          <w:rFonts w:ascii="Arial" w:hAnsi="Arial" w:cs="Arial"/>
          <w:sz w:val="24"/>
          <w:szCs w:val="24"/>
          <w:highlight w:val="yellow"/>
        </w:rPr>
        <w:t>NOT COVERED</w:t>
      </w:r>
    </w:p>
    <w:p w14:paraId="46DF7AF2" w14:textId="77777777" w:rsidR="001506C1" w:rsidRPr="00FA3F9C" w:rsidRDefault="001506C1" w:rsidP="001506C1">
      <w:pPr>
        <w:pStyle w:val="ListParagraph"/>
        <w:numPr>
          <w:ilvl w:val="2"/>
          <w:numId w:val="27"/>
        </w:numPr>
        <w:spacing w:after="200" w:line="276" w:lineRule="auto"/>
        <w:rPr>
          <w:rFonts w:ascii="Arial" w:hAnsi="Arial" w:cs="Arial"/>
          <w:sz w:val="24"/>
          <w:szCs w:val="24"/>
        </w:rPr>
      </w:pPr>
      <w:r w:rsidRPr="00FA3F9C">
        <w:rPr>
          <w:rFonts w:ascii="Arial" w:hAnsi="Arial" w:cs="Arial"/>
          <w:sz w:val="24"/>
          <w:szCs w:val="24"/>
        </w:rPr>
        <w:lastRenderedPageBreak/>
        <w:t xml:space="preserve">Benefit of this combination is limited to progression free survival. Overall survival nor quality of life have been shown to be improved at this time. </w:t>
      </w:r>
    </w:p>
    <w:p w14:paraId="067C7274" w14:textId="77777777" w:rsidR="001506C1" w:rsidRPr="00FA3F9C" w:rsidRDefault="001506C1" w:rsidP="001506C1">
      <w:pPr>
        <w:pStyle w:val="ListParagraph"/>
        <w:numPr>
          <w:ilvl w:val="2"/>
          <w:numId w:val="27"/>
        </w:numPr>
        <w:spacing w:after="200" w:line="276" w:lineRule="auto"/>
        <w:rPr>
          <w:rFonts w:ascii="Arial" w:hAnsi="Arial" w:cs="Arial"/>
          <w:sz w:val="24"/>
          <w:szCs w:val="24"/>
        </w:rPr>
      </w:pPr>
      <w:r w:rsidRPr="00FA3F9C">
        <w:rPr>
          <w:rFonts w:ascii="Arial" w:hAnsi="Arial" w:cs="Arial"/>
          <w:sz w:val="24"/>
          <w:szCs w:val="24"/>
        </w:rPr>
        <w:t xml:space="preserve">Reference: </w:t>
      </w:r>
      <w:proofErr w:type="spellStart"/>
      <w:r w:rsidRPr="00FA3F9C">
        <w:rPr>
          <w:rFonts w:ascii="Arial" w:hAnsi="Arial" w:cs="Arial"/>
          <w:sz w:val="24"/>
          <w:szCs w:val="24"/>
        </w:rPr>
        <w:t>Gutzmer</w:t>
      </w:r>
      <w:proofErr w:type="spellEnd"/>
      <w:r w:rsidRPr="00FA3F9C">
        <w:rPr>
          <w:rFonts w:ascii="Arial" w:hAnsi="Arial" w:cs="Arial"/>
          <w:sz w:val="24"/>
          <w:szCs w:val="24"/>
        </w:rPr>
        <w:t xml:space="preserve"> R, </w:t>
      </w:r>
      <w:proofErr w:type="spellStart"/>
      <w:r w:rsidRPr="00FA3F9C">
        <w:rPr>
          <w:rFonts w:ascii="Arial" w:hAnsi="Arial" w:cs="Arial"/>
          <w:sz w:val="24"/>
          <w:szCs w:val="24"/>
        </w:rPr>
        <w:t>Stroyakovskiy</w:t>
      </w:r>
      <w:proofErr w:type="spellEnd"/>
      <w:r w:rsidRPr="00FA3F9C">
        <w:rPr>
          <w:rFonts w:ascii="Arial" w:hAnsi="Arial" w:cs="Arial"/>
          <w:sz w:val="24"/>
          <w:szCs w:val="24"/>
        </w:rPr>
        <w:t xml:space="preserve"> D, </w:t>
      </w:r>
      <w:proofErr w:type="spellStart"/>
      <w:r w:rsidRPr="00FA3F9C">
        <w:rPr>
          <w:rFonts w:ascii="Arial" w:hAnsi="Arial" w:cs="Arial"/>
          <w:sz w:val="24"/>
          <w:szCs w:val="24"/>
        </w:rPr>
        <w:t>Gogas</w:t>
      </w:r>
      <w:proofErr w:type="spellEnd"/>
      <w:r w:rsidRPr="00FA3F9C">
        <w:rPr>
          <w:rFonts w:ascii="Arial" w:hAnsi="Arial" w:cs="Arial"/>
          <w:sz w:val="24"/>
          <w:szCs w:val="24"/>
        </w:rPr>
        <w:t xml:space="preserve"> H, et al. Atezolizumab, vemurafenib, and </w:t>
      </w:r>
      <w:proofErr w:type="spellStart"/>
      <w:r w:rsidRPr="00FA3F9C">
        <w:rPr>
          <w:rFonts w:ascii="Arial" w:hAnsi="Arial" w:cs="Arial"/>
          <w:sz w:val="24"/>
          <w:szCs w:val="24"/>
        </w:rPr>
        <w:t>cobimetinib</w:t>
      </w:r>
      <w:proofErr w:type="spellEnd"/>
      <w:r w:rsidRPr="00FA3F9C">
        <w:rPr>
          <w:rFonts w:ascii="Arial" w:hAnsi="Arial" w:cs="Arial"/>
          <w:sz w:val="24"/>
          <w:szCs w:val="24"/>
        </w:rPr>
        <w:t xml:space="preserve"> as first-line treatment for unresectable advanced BRAFV600 mutation-positive melanoma (IMspire150): primary analysis of the </w:t>
      </w:r>
      <w:proofErr w:type="spellStart"/>
      <w:r w:rsidRPr="00FA3F9C">
        <w:rPr>
          <w:rFonts w:ascii="Arial" w:hAnsi="Arial" w:cs="Arial"/>
          <w:sz w:val="24"/>
          <w:szCs w:val="24"/>
        </w:rPr>
        <w:t>randomised</w:t>
      </w:r>
      <w:proofErr w:type="spellEnd"/>
      <w:r w:rsidRPr="00FA3F9C">
        <w:rPr>
          <w:rFonts w:ascii="Arial" w:hAnsi="Arial" w:cs="Arial"/>
          <w:sz w:val="24"/>
          <w:szCs w:val="24"/>
        </w:rPr>
        <w:t>, double-blind, placebo-controlled, phase 3 trial. Lancet. 2020;395(10240):1835-1844. doi:10.1016/S0140-6736(20)30934-X PMID 32534646</w:t>
      </w:r>
    </w:p>
    <w:p w14:paraId="6F3F8C20" w14:textId="77777777" w:rsidR="001506C1" w:rsidRPr="00FA3F9C" w:rsidRDefault="001506C1" w:rsidP="001D713B">
      <w:pPr>
        <w:spacing w:after="0"/>
        <w:rPr>
          <w:rFonts w:ascii="Arial" w:hAnsi="Arial" w:cs="Arial"/>
          <w:sz w:val="24"/>
          <w:szCs w:val="24"/>
        </w:rPr>
      </w:pPr>
    </w:p>
    <w:p w14:paraId="73EFAC78" w14:textId="77777777" w:rsidR="001506C1" w:rsidRPr="00FA3F9C" w:rsidRDefault="001506C1" w:rsidP="001D713B">
      <w:pPr>
        <w:spacing w:after="0"/>
        <w:rPr>
          <w:rFonts w:ascii="Arial" w:hAnsi="Arial" w:cs="Arial"/>
          <w:sz w:val="24"/>
          <w:szCs w:val="24"/>
        </w:rPr>
      </w:pPr>
    </w:p>
    <w:tbl>
      <w:tblPr>
        <w:tblStyle w:val="TableGrid"/>
        <w:tblW w:w="0" w:type="auto"/>
        <w:tblLook w:val="04A0" w:firstRow="1" w:lastRow="0" w:firstColumn="1" w:lastColumn="0" w:noHBand="0" w:noVBand="1"/>
      </w:tblPr>
      <w:tblGrid>
        <w:gridCol w:w="8928"/>
        <w:gridCol w:w="2088"/>
      </w:tblGrid>
      <w:tr w:rsidR="001506C1" w:rsidRPr="00FA3F9C" w14:paraId="5379D913" w14:textId="77777777" w:rsidTr="00571CAB">
        <w:tc>
          <w:tcPr>
            <w:tcW w:w="8928" w:type="dxa"/>
            <w:shd w:val="clear" w:color="auto" w:fill="000000"/>
          </w:tcPr>
          <w:p w14:paraId="4CB879BE" w14:textId="77777777" w:rsidR="001506C1" w:rsidRPr="00FA3F9C" w:rsidRDefault="001506C1" w:rsidP="00FF13A6">
            <w:pPr>
              <w:rPr>
                <w:rFonts w:ascii="Arial" w:hAnsi="Arial" w:cs="Arial"/>
                <w:b/>
                <w:sz w:val="24"/>
                <w:szCs w:val="24"/>
                <w:u w:val="single"/>
              </w:rPr>
            </w:pPr>
            <w:r w:rsidRPr="00FA3F9C">
              <w:rPr>
                <w:rFonts w:ascii="Arial" w:hAnsi="Arial" w:cs="Arial"/>
                <w:b/>
                <w:sz w:val="24"/>
                <w:szCs w:val="24"/>
                <w:u w:val="single"/>
              </w:rPr>
              <w:t xml:space="preserve">Non-Small Cell Lung Cancer (NSCLC) </w:t>
            </w:r>
          </w:p>
        </w:tc>
        <w:tc>
          <w:tcPr>
            <w:tcW w:w="2088" w:type="dxa"/>
            <w:shd w:val="clear" w:color="auto" w:fill="000000"/>
          </w:tcPr>
          <w:p w14:paraId="5C235B7E" w14:textId="77777777" w:rsidR="001506C1" w:rsidRPr="00FA3F9C" w:rsidRDefault="001506C1" w:rsidP="006F623F">
            <w:pPr>
              <w:jc w:val="center"/>
              <w:rPr>
                <w:rFonts w:ascii="Arial" w:hAnsi="Arial" w:cs="Arial"/>
                <w:b/>
                <w:sz w:val="24"/>
                <w:szCs w:val="24"/>
                <w:u w:val="single"/>
              </w:rPr>
            </w:pPr>
          </w:p>
        </w:tc>
      </w:tr>
      <w:tr w:rsidR="001506C1" w:rsidRPr="00FA3F9C" w14:paraId="2A43600B" w14:textId="77777777" w:rsidTr="009C56BA">
        <w:trPr>
          <w:trHeight w:val="323"/>
        </w:trPr>
        <w:tc>
          <w:tcPr>
            <w:tcW w:w="11016" w:type="dxa"/>
            <w:gridSpan w:val="2"/>
            <w:shd w:val="clear" w:color="auto" w:fill="D9D9D9" w:themeFill="background1" w:themeFillShade="D9"/>
            <w:vAlign w:val="center"/>
          </w:tcPr>
          <w:p w14:paraId="048981C0" w14:textId="77777777" w:rsidR="001506C1" w:rsidRPr="00FA3F9C" w:rsidRDefault="001506C1" w:rsidP="00465EBB">
            <w:pPr>
              <w:rPr>
                <w:rFonts w:ascii="Arial" w:hAnsi="Arial" w:cs="Arial"/>
                <w:b/>
                <w:sz w:val="24"/>
                <w:szCs w:val="24"/>
              </w:rPr>
            </w:pPr>
            <w:r w:rsidRPr="00FA3F9C">
              <w:rPr>
                <w:rFonts w:ascii="Arial" w:hAnsi="Arial" w:cs="Arial"/>
                <w:b/>
                <w:sz w:val="24"/>
                <w:szCs w:val="24"/>
              </w:rPr>
              <w:t xml:space="preserve">PATIENTS WITH </w:t>
            </w:r>
            <w:proofErr w:type="gramStart"/>
            <w:r w:rsidRPr="00FA3F9C">
              <w:rPr>
                <w:rFonts w:ascii="Arial" w:hAnsi="Arial" w:cs="Arial"/>
                <w:b/>
                <w:sz w:val="24"/>
                <w:szCs w:val="24"/>
              </w:rPr>
              <w:t>PREVIOUSLY-TREATED</w:t>
            </w:r>
            <w:proofErr w:type="gramEnd"/>
            <w:r w:rsidRPr="00FA3F9C">
              <w:rPr>
                <w:rFonts w:ascii="Arial" w:hAnsi="Arial" w:cs="Arial"/>
                <w:b/>
                <w:sz w:val="24"/>
                <w:szCs w:val="24"/>
              </w:rPr>
              <w:t xml:space="preserve"> ADVANCED/METASTATIC DISEASE:</w:t>
            </w:r>
          </w:p>
        </w:tc>
      </w:tr>
      <w:tr w:rsidR="001506C1" w:rsidRPr="00FA3F9C" w14:paraId="20AA4218" w14:textId="77777777" w:rsidTr="00EE0CC2">
        <w:trPr>
          <w:trHeight w:val="323"/>
        </w:trPr>
        <w:tc>
          <w:tcPr>
            <w:tcW w:w="11016" w:type="dxa"/>
            <w:gridSpan w:val="2"/>
          </w:tcPr>
          <w:p w14:paraId="75C84FCC" w14:textId="77777777" w:rsidR="001506C1" w:rsidRPr="00FA3F9C" w:rsidRDefault="001506C1" w:rsidP="008B3117">
            <w:pPr>
              <w:ind w:left="270" w:hanging="270"/>
              <w:rPr>
                <w:rFonts w:ascii="Arial" w:hAnsi="Arial" w:cs="Arial"/>
                <w:sz w:val="24"/>
                <w:szCs w:val="24"/>
              </w:rPr>
            </w:pPr>
            <w:r w:rsidRPr="00FA3F9C">
              <w:rPr>
                <w:rFonts w:ascii="Arial" w:hAnsi="Arial" w:cs="Arial"/>
                <w:sz w:val="24"/>
                <w:szCs w:val="24"/>
              </w:rPr>
              <w:t>1. Patient must have diagnosis of metastatic NSCLC diagnosis (squamous or non-squamous)</w:t>
            </w:r>
          </w:p>
        </w:tc>
      </w:tr>
      <w:tr w:rsidR="001506C1" w:rsidRPr="00FA3F9C" w14:paraId="718D3F63" w14:textId="77777777" w:rsidTr="0047173B">
        <w:trPr>
          <w:trHeight w:val="224"/>
        </w:trPr>
        <w:tc>
          <w:tcPr>
            <w:tcW w:w="11016" w:type="dxa"/>
            <w:gridSpan w:val="2"/>
          </w:tcPr>
          <w:p w14:paraId="3EB6454C" w14:textId="77777777" w:rsidR="001506C1" w:rsidRPr="00FA3F9C" w:rsidRDefault="001506C1" w:rsidP="00EB7A41">
            <w:pPr>
              <w:ind w:left="270" w:hanging="270"/>
              <w:rPr>
                <w:rFonts w:ascii="Arial" w:hAnsi="Arial" w:cs="Arial"/>
                <w:sz w:val="24"/>
                <w:szCs w:val="24"/>
              </w:rPr>
            </w:pPr>
            <w:r w:rsidRPr="00FA3F9C">
              <w:rPr>
                <w:rFonts w:ascii="Arial" w:hAnsi="Arial" w:cs="Arial"/>
                <w:sz w:val="24"/>
                <w:szCs w:val="24"/>
              </w:rPr>
              <w:t>2. Patient must have been treated previously with platinum-based chemotherapy.</w:t>
            </w:r>
          </w:p>
        </w:tc>
      </w:tr>
      <w:tr w:rsidR="001506C1" w:rsidRPr="00FA3F9C" w14:paraId="0235E839" w14:textId="77777777" w:rsidTr="00EE106D">
        <w:trPr>
          <w:trHeight w:val="620"/>
        </w:trPr>
        <w:tc>
          <w:tcPr>
            <w:tcW w:w="11016" w:type="dxa"/>
            <w:gridSpan w:val="2"/>
          </w:tcPr>
          <w:p w14:paraId="52C59D71" w14:textId="77777777" w:rsidR="001506C1" w:rsidRPr="00FA3F9C" w:rsidRDefault="001506C1" w:rsidP="00EB7A41">
            <w:pPr>
              <w:ind w:left="270" w:hanging="270"/>
              <w:rPr>
                <w:rFonts w:ascii="Arial" w:hAnsi="Arial" w:cs="Arial"/>
                <w:sz w:val="24"/>
                <w:szCs w:val="24"/>
              </w:rPr>
            </w:pPr>
            <w:r w:rsidRPr="00FA3F9C">
              <w:rPr>
                <w:rFonts w:ascii="Arial" w:hAnsi="Arial" w:cs="Arial"/>
                <w:sz w:val="24"/>
                <w:szCs w:val="24"/>
              </w:rPr>
              <w:t xml:space="preserve">3. If patient is ALK/EGFR mutation </w:t>
            </w:r>
            <w:r w:rsidRPr="00FA3F9C">
              <w:rPr>
                <w:rFonts w:ascii="Arial" w:hAnsi="Arial" w:cs="Arial"/>
                <w:sz w:val="24"/>
                <w:szCs w:val="24"/>
                <w:u w:val="single"/>
              </w:rPr>
              <w:t>positive</w:t>
            </w:r>
            <w:r w:rsidRPr="00FA3F9C">
              <w:rPr>
                <w:rFonts w:ascii="Arial" w:hAnsi="Arial" w:cs="Arial"/>
                <w:sz w:val="24"/>
                <w:szCs w:val="24"/>
              </w:rPr>
              <w:t>, patient also has previously been treated with targeted therapy (</w:t>
            </w:r>
            <w:proofErr w:type="gramStart"/>
            <w:r w:rsidRPr="00FA3F9C">
              <w:rPr>
                <w:rFonts w:ascii="Arial" w:hAnsi="Arial" w:cs="Arial"/>
                <w:sz w:val="24"/>
                <w:szCs w:val="24"/>
              </w:rPr>
              <w:t>e.g.</w:t>
            </w:r>
            <w:proofErr w:type="gramEnd"/>
            <w:r w:rsidRPr="00FA3F9C">
              <w:rPr>
                <w:rFonts w:ascii="Arial" w:hAnsi="Arial" w:cs="Arial"/>
                <w:sz w:val="24"/>
                <w:szCs w:val="24"/>
              </w:rPr>
              <w:t xml:space="preserve"> erlotinib, </w:t>
            </w:r>
            <w:proofErr w:type="spellStart"/>
            <w:r w:rsidRPr="00FA3F9C">
              <w:rPr>
                <w:rFonts w:ascii="Arial" w:hAnsi="Arial" w:cs="Arial"/>
                <w:sz w:val="24"/>
                <w:szCs w:val="24"/>
              </w:rPr>
              <w:t>afatinib</w:t>
            </w:r>
            <w:proofErr w:type="spellEnd"/>
            <w:r w:rsidRPr="00FA3F9C">
              <w:rPr>
                <w:rFonts w:ascii="Arial" w:hAnsi="Arial" w:cs="Arial"/>
                <w:sz w:val="24"/>
                <w:szCs w:val="24"/>
              </w:rPr>
              <w:t xml:space="preserve">, dacomitinib, gefitinib, </w:t>
            </w:r>
            <w:proofErr w:type="spellStart"/>
            <w:r w:rsidRPr="00FA3F9C">
              <w:rPr>
                <w:rFonts w:ascii="Arial" w:hAnsi="Arial" w:cs="Arial"/>
                <w:sz w:val="24"/>
                <w:szCs w:val="24"/>
              </w:rPr>
              <w:t>osimertinib</w:t>
            </w:r>
            <w:proofErr w:type="spellEnd"/>
            <w:r w:rsidRPr="00FA3F9C">
              <w:rPr>
                <w:rFonts w:ascii="Arial" w:hAnsi="Arial" w:cs="Arial"/>
                <w:sz w:val="24"/>
                <w:szCs w:val="24"/>
              </w:rPr>
              <w:t xml:space="preserve">, </w:t>
            </w:r>
            <w:proofErr w:type="spellStart"/>
            <w:r w:rsidRPr="00FA3F9C">
              <w:rPr>
                <w:rFonts w:ascii="Arial" w:hAnsi="Arial" w:cs="Arial"/>
                <w:sz w:val="24"/>
                <w:szCs w:val="24"/>
              </w:rPr>
              <w:t>alectinib</w:t>
            </w:r>
            <w:proofErr w:type="spellEnd"/>
            <w:r w:rsidRPr="00FA3F9C">
              <w:rPr>
                <w:rFonts w:ascii="Arial" w:hAnsi="Arial" w:cs="Arial"/>
                <w:sz w:val="24"/>
                <w:szCs w:val="24"/>
              </w:rPr>
              <w:t xml:space="preserve">, </w:t>
            </w:r>
            <w:proofErr w:type="spellStart"/>
            <w:r w:rsidRPr="00FA3F9C">
              <w:rPr>
                <w:rFonts w:ascii="Arial" w:hAnsi="Arial" w:cs="Arial"/>
                <w:sz w:val="24"/>
                <w:szCs w:val="24"/>
              </w:rPr>
              <w:t>crizotinib</w:t>
            </w:r>
            <w:proofErr w:type="spellEnd"/>
            <w:r w:rsidRPr="00FA3F9C">
              <w:rPr>
                <w:rFonts w:ascii="Arial" w:hAnsi="Arial" w:cs="Arial"/>
                <w:sz w:val="24"/>
                <w:szCs w:val="24"/>
              </w:rPr>
              <w:t xml:space="preserve">, </w:t>
            </w:r>
            <w:proofErr w:type="spellStart"/>
            <w:r w:rsidRPr="00FA3F9C">
              <w:rPr>
                <w:rFonts w:ascii="Arial" w:hAnsi="Arial" w:cs="Arial"/>
                <w:sz w:val="24"/>
                <w:szCs w:val="24"/>
              </w:rPr>
              <w:t>brigatinib</w:t>
            </w:r>
            <w:proofErr w:type="spellEnd"/>
            <w:r w:rsidRPr="00FA3F9C">
              <w:rPr>
                <w:rFonts w:ascii="Arial" w:hAnsi="Arial" w:cs="Arial"/>
                <w:sz w:val="24"/>
                <w:szCs w:val="24"/>
              </w:rPr>
              <w:t xml:space="preserve">, </w:t>
            </w:r>
            <w:proofErr w:type="spellStart"/>
            <w:r w:rsidRPr="00FA3F9C">
              <w:rPr>
                <w:rFonts w:ascii="Arial" w:hAnsi="Arial" w:cs="Arial"/>
                <w:sz w:val="24"/>
                <w:szCs w:val="24"/>
              </w:rPr>
              <w:t>ceritinib</w:t>
            </w:r>
            <w:proofErr w:type="spellEnd"/>
            <w:r w:rsidRPr="00FA3F9C">
              <w:rPr>
                <w:rFonts w:ascii="Arial" w:hAnsi="Arial" w:cs="Arial"/>
                <w:sz w:val="24"/>
                <w:szCs w:val="24"/>
              </w:rPr>
              <w:t xml:space="preserve">) </w:t>
            </w:r>
          </w:p>
        </w:tc>
      </w:tr>
      <w:tr w:rsidR="001506C1" w:rsidRPr="00FA3F9C" w14:paraId="391EF04F" w14:textId="77777777" w:rsidTr="0078093A">
        <w:trPr>
          <w:trHeight w:val="350"/>
        </w:trPr>
        <w:tc>
          <w:tcPr>
            <w:tcW w:w="11016" w:type="dxa"/>
            <w:gridSpan w:val="2"/>
          </w:tcPr>
          <w:p w14:paraId="691A82F5" w14:textId="77777777" w:rsidR="001506C1" w:rsidRPr="00FA3F9C" w:rsidRDefault="001506C1" w:rsidP="00A31222">
            <w:pPr>
              <w:ind w:left="270" w:hanging="270"/>
              <w:rPr>
                <w:rFonts w:ascii="Arial" w:hAnsi="Arial" w:cs="Arial"/>
                <w:sz w:val="24"/>
                <w:szCs w:val="24"/>
              </w:rPr>
            </w:pPr>
            <w:r w:rsidRPr="00FA3F9C">
              <w:rPr>
                <w:rFonts w:ascii="Arial" w:hAnsi="Arial" w:cs="Arial"/>
                <w:sz w:val="24"/>
                <w:szCs w:val="24"/>
              </w:rPr>
              <w:t>4. At initial request, patient must be ECOG performance status 0-1.</w:t>
            </w:r>
          </w:p>
        </w:tc>
      </w:tr>
      <w:tr w:rsidR="001506C1" w:rsidRPr="00FA3F9C" w14:paraId="5EE49218" w14:textId="77777777" w:rsidTr="0078093A">
        <w:trPr>
          <w:trHeight w:val="350"/>
        </w:trPr>
        <w:tc>
          <w:tcPr>
            <w:tcW w:w="11016" w:type="dxa"/>
            <w:gridSpan w:val="2"/>
          </w:tcPr>
          <w:p w14:paraId="72F5E87A" w14:textId="77777777" w:rsidR="001506C1" w:rsidRPr="00FA3F9C" w:rsidRDefault="001506C1" w:rsidP="00A31222">
            <w:pPr>
              <w:ind w:left="270" w:hanging="270"/>
              <w:rPr>
                <w:rFonts w:ascii="Arial" w:hAnsi="Arial" w:cs="Arial"/>
                <w:sz w:val="24"/>
                <w:szCs w:val="24"/>
              </w:rPr>
            </w:pPr>
            <w:r w:rsidRPr="00FA3F9C">
              <w:rPr>
                <w:rFonts w:ascii="Arial" w:hAnsi="Arial" w:cs="Arial"/>
                <w:sz w:val="24"/>
                <w:szCs w:val="24"/>
              </w:rPr>
              <w:t>5. No prior PD-L1 or PD-1 inhibitor</w:t>
            </w:r>
          </w:p>
        </w:tc>
      </w:tr>
      <w:tr w:rsidR="001506C1" w:rsidRPr="00FA3F9C" w14:paraId="13BDA3CB" w14:textId="77777777" w:rsidTr="001C1566">
        <w:tc>
          <w:tcPr>
            <w:tcW w:w="11016" w:type="dxa"/>
            <w:gridSpan w:val="2"/>
            <w:shd w:val="clear" w:color="auto" w:fill="auto"/>
          </w:tcPr>
          <w:p w14:paraId="01C593A4" w14:textId="77777777" w:rsidR="001506C1" w:rsidRPr="00FA3F9C" w:rsidRDefault="001506C1" w:rsidP="008B3117">
            <w:pPr>
              <w:rPr>
                <w:rFonts w:ascii="Arial" w:hAnsi="Arial" w:cs="Arial"/>
                <w:b/>
                <w:sz w:val="24"/>
                <w:szCs w:val="24"/>
              </w:rPr>
            </w:pPr>
            <w:r w:rsidRPr="00FA3F9C">
              <w:rPr>
                <w:rFonts w:ascii="Arial" w:hAnsi="Arial" w:cs="Arial"/>
                <w:b/>
                <w:sz w:val="24"/>
                <w:szCs w:val="24"/>
              </w:rPr>
              <w:t>If all criteria met, approve for 12 months</w:t>
            </w:r>
          </w:p>
        </w:tc>
      </w:tr>
      <w:tr w:rsidR="001506C1" w:rsidRPr="00FA3F9C" w14:paraId="7E05F7D8" w14:textId="77777777" w:rsidTr="009C56BA">
        <w:trPr>
          <w:trHeight w:val="377"/>
        </w:trPr>
        <w:tc>
          <w:tcPr>
            <w:tcW w:w="11016" w:type="dxa"/>
            <w:gridSpan w:val="2"/>
            <w:shd w:val="clear" w:color="auto" w:fill="D9D9D9" w:themeFill="background1" w:themeFillShade="D9"/>
            <w:vAlign w:val="center"/>
          </w:tcPr>
          <w:p w14:paraId="6D41527A" w14:textId="77777777" w:rsidR="001506C1" w:rsidRPr="00FA3F9C" w:rsidRDefault="001506C1" w:rsidP="00A31222">
            <w:pPr>
              <w:rPr>
                <w:rFonts w:ascii="Arial" w:hAnsi="Arial" w:cs="Arial"/>
                <w:b/>
                <w:sz w:val="24"/>
                <w:szCs w:val="24"/>
              </w:rPr>
            </w:pPr>
            <w:r w:rsidRPr="00FA3F9C">
              <w:rPr>
                <w:rFonts w:ascii="Arial" w:hAnsi="Arial" w:cs="Arial"/>
                <w:b/>
                <w:sz w:val="24"/>
                <w:szCs w:val="24"/>
              </w:rPr>
              <w:t>PATIENTS WITH NO PRIOR THERAPY FOR ADVANCED/METASTATIC DISEASE:</w:t>
            </w:r>
          </w:p>
        </w:tc>
      </w:tr>
      <w:tr w:rsidR="001506C1" w:rsidRPr="00FA3F9C" w14:paraId="5A57A4F4" w14:textId="77777777" w:rsidTr="001C1566">
        <w:trPr>
          <w:trHeight w:val="341"/>
        </w:trPr>
        <w:tc>
          <w:tcPr>
            <w:tcW w:w="11016" w:type="dxa"/>
            <w:gridSpan w:val="2"/>
            <w:shd w:val="clear" w:color="auto" w:fill="auto"/>
          </w:tcPr>
          <w:p w14:paraId="46021E77" w14:textId="77777777" w:rsidR="001506C1" w:rsidRPr="00FA3F9C" w:rsidRDefault="001506C1" w:rsidP="00014F43">
            <w:pPr>
              <w:rPr>
                <w:rFonts w:ascii="Arial" w:hAnsi="Arial" w:cs="Arial"/>
                <w:sz w:val="24"/>
                <w:szCs w:val="24"/>
              </w:rPr>
            </w:pPr>
            <w:r w:rsidRPr="00FA3F9C">
              <w:rPr>
                <w:rFonts w:ascii="Arial" w:hAnsi="Arial" w:cs="Arial"/>
                <w:sz w:val="24"/>
                <w:szCs w:val="24"/>
              </w:rPr>
              <w:t xml:space="preserve">1. Patient must have diagnosis of metastatic NSCLC </w:t>
            </w:r>
          </w:p>
        </w:tc>
      </w:tr>
      <w:tr w:rsidR="001506C1" w:rsidRPr="00FA3F9C" w14:paraId="526492D4" w14:textId="77777777" w:rsidTr="001C1566">
        <w:trPr>
          <w:trHeight w:val="341"/>
        </w:trPr>
        <w:tc>
          <w:tcPr>
            <w:tcW w:w="11016" w:type="dxa"/>
            <w:gridSpan w:val="2"/>
            <w:shd w:val="clear" w:color="auto" w:fill="auto"/>
          </w:tcPr>
          <w:p w14:paraId="6F6009CB" w14:textId="77777777" w:rsidR="001506C1" w:rsidRPr="00FA3F9C" w:rsidRDefault="001506C1" w:rsidP="00014F43">
            <w:pPr>
              <w:rPr>
                <w:rFonts w:ascii="Arial" w:hAnsi="Arial" w:cs="Arial"/>
                <w:sz w:val="24"/>
                <w:szCs w:val="24"/>
              </w:rPr>
            </w:pPr>
            <w:r w:rsidRPr="00FA3F9C">
              <w:rPr>
                <w:rFonts w:ascii="Arial" w:hAnsi="Arial" w:cs="Arial"/>
                <w:sz w:val="24"/>
                <w:szCs w:val="24"/>
              </w:rPr>
              <w:t>2. Tumor does NOT harbor EGFR or ALK mutations.</w:t>
            </w:r>
          </w:p>
        </w:tc>
      </w:tr>
      <w:tr w:rsidR="001506C1" w:rsidRPr="00FA3F9C" w14:paraId="77447A7D" w14:textId="77777777" w:rsidTr="001C1566">
        <w:trPr>
          <w:trHeight w:val="341"/>
        </w:trPr>
        <w:tc>
          <w:tcPr>
            <w:tcW w:w="11016" w:type="dxa"/>
            <w:gridSpan w:val="2"/>
            <w:shd w:val="clear" w:color="auto" w:fill="auto"/>
          </w:tcPr>
          <w:p w14:paraId="7761A003" w14:textId="77777777" w:rsidR="001506C1" w:rsidRPr="00FA3F9C" w:rsidRDefault="001506C1" w:rsidP="00014F43">
            <w:pPr>
              <w:rPr>
                <w:rFonts w:ascii="Arial" w:hAnsi="Arial" w:cs="Arial"/>
                <w:sz w:val="24"/>
                <w:szCs w:val="24"/>
              </w:rPr>
            </w:pPr>
            <w:r w:rsidRPr="00FA3F9C">
              <w:rPr>
                <w:rFonts w:ascii="Arial" w:hAnsi="Arial" w:cs="Arial"/>
                <w:sz w:val="24"/>
                <w:szCs w:val="24"/>
              </w:rPr>
              <w:t>3. At initial request, patient must be ECOG performance status 0-1.</w:t>
            </w:r>
          </w:p>
        </w:tc>
      </w:tr>
      <w:tr w:rsidR="001506C1" w:rsidRPr="00FA3F9C" w14:paraId="6254A806" w14:textId="77777777" w:rsidTr="0078093A">
        <w:trPr>
          <w:trHeight w:val="341"/>
        </w:trPr>
        <w:tc>
          <w:tcPr>
            <w:tcW w:w="11016" w:type="dxa"/>
            <w:gridSpan w:val="2"/>
            <w:shd w:val="clear" w:color="auto" w:fill="auto"/>
          </w:tcPr>
          <w:p w14:paraId="191C00BA" w14:textId="77777777" w:rsidR="001506C1" w:rsidRPr="00FA3F9C" w:rsidRDefault="001506C1" w:rsidP="00014F43">
            <w:pPr>
              <w:rPr>
                <w:rFonts w:ascii="Arial" w:hAnsi="Arial" w:cs="Arial"/>
                <w:sz w:val="24"/>
                <w:szCs w:val="24"/>
              </w:rPr>
            </w:pPr>
            <w:r w:rsidRPr="00FA3F9C">
              <w:rPr>
                <w:rFonts w:ascii="Arial" w:hAnsi="Arial" w:cs="Arial"/>
                <w:sz w:val="24"/>
                <w:szCs w:val="24"/>
              </w:rPr>
              <w:t xml:space="preserve">4. If atezolizumab monotherapy will be used, tumor has high PD-L1 expression (TC </w:t>
            </w:r>
            <w:r w:rsidRPr="00FA3F9C">
              <w:rPr>
                <w:rFonts w:ascii="Arial" w:hAnsi="Arial" w:cs="Arial"/>
                <w:sz w:val="24"/>
                <w:szCs w:val="24"/>
                <w:u w:val="single"/>
              </w:rPr>
              <w:t>&gt;</w:t>
            </w:r>
            <w:r w:rsidRPr="00FA3F9C">
              <w:rPr>
                <w:rFonts w:ascii="Arial" w:hAnsi="Arial" w:cs="Arial"/>
                <w:sz w:val="24"/>
                <w:szCs w:val="24"/>
              </w:rPr>
              <w:t xml:space="preserve">50% or IC </w:t>
            </w:r>
            <w:r w:rsidRPr="00FA3F9C">
              <w:rPr>
                <w:rFonts w:ascii="Arial" w:hAnsi="Arial" w:cs="Arial"/>
                <w:sz w:val="24"/>
                <w:szCs w:val="24"/>
                <w:u w:val="single"/>
              </w:rPr>
              <w:t>&gt;</w:t>
            </w:r>
            <w:r w:rsidRPr="00FA3F9C">
              <w:rPr>
                <w:rFonts w:ascii="Arial" w:hAnsi="Arial" w:cs="Arial"/>
                <w:sz w:val="24"/>
                <w:szCs w:val="24"/>
              </w:rPr>
              <w:t xml:space="preserve">10%) [tumor histology can be squamous or </w:t>
            </w:r>
            <w:proofErr w:type="spellStart"/>
            <w:r w:rsidRPr="00FA3F9C">
              <w:rPr>
                <w:rFonts w:ascii="Arial" w:hAnsi="Arial" w:cs="Arial"/>
                <w:sz w:val="24"/>
                <w:szCs w:val="24"/>
              </w:rPr>
              <w:t>non squamous</w:t>
            </w:r>
            <w:proofErr w:type="spellEnd"/>
            <w:r w:rsidRPr="00FA3F9C">
              <w:rPr>
                <w:rFonts w:ascii="Arial" w:hAnsi="Arial" w:cs="Arial"/>
                <w:sz w:val="24"/>
                <w:szCs w:val="24"/>
              </w:rPr>
              <w:t>]</w:t>
            </w:r>
          </w:p>
        </w:tc>
      </w:tr>
      <w:tr w:rsidR="001506C1" w:rsidRPr="00FA3F9C" w14:paraId="35F5BED0" w14:textId="77777777" w:rsidTr="0078093A">
        <w:trPr>
          <w:trHeight w:val="341"/>
        </w:trPr>
        <w:tc>
          <w:tcPr>
            <w:tcW w:w="11016" w:type="dxa"/>
            <w:gridSpan w:val="2"/>
            <w:shd w:val="clear" w:color="auto" w:fill="auto"/>
          </w:tcPr>
          <w:p w14:paraId="64BEE0D1" w14:textId="77777777" w:rsidR="001506C1" w:rsidRPr="00FA3F9C" w:rsidRDefault="001506C1" w:rsidP="00014F43">
            <w:pPr>
              <w:rPr>
                <w:rFonts w:ascii="Arial" w:hAnsi="Arial" w:cs="Arial"/>
                <w:sz w:val="24"/>
                <w:szCs w:val="24"/>
              </w:rPr>
            </w:pPr>
            <w:r w:rsidRPr="00FA3F9C">
              <w:rPr>
                <w:rFonts w:ascii="Arial" w:hAnsi="Arial" w:cs="Arial"/>
                <w:sz w:val="24"/>
                <w:szCs w:val="24"/>
              </w:rPr>
              <w:t xml:space="preserve">5. If atezolizumab combination therapy will be used, </w:t>
            </w:r>
            <w:r w:rsidRPr="00FA3F9C">
              <w:rPr>
                <w:rFonts w:ascii="Arial" w:hAnsi="Arial" w:cs="Arial"/>
                <w:sz w:val="24"/>
                <w:szCs w:val="24"/>
                <w:u w:val="single"/>
              </w:rPr>
              <w:t>both</w:t>
            </w:r>
            <w:r w:rsidRPr="00FA3F9C">
              <w:rPr>
                <w:rFonts w:ascii="Arial" w:hAnsi="Arial" w:cs="Arial"/>
                <w:sz w:val="24"/>
                <w:szCs w:val="24"/>
              </w:rPr>
              <w:t xml:space="preserve"> of the following criteria are met: </w:t>
            </w:r>
          </w:p>
          <w:p w14:paraId="09C3AEAF" w14:textId="77777777" w:rsidR="001506C1" w:rsidRPr="00FA3F9C" w:rsidRDefault="001506C1" w:rsidP="001506C1">
            <w:pPr>
              <w:pStyle w:val="ListParagraph"/>
              <w:numPr>
                <w:ilvl w:val="0"/>
                <w:numId w:val="29"/>
              </w:numPr>
              <w:rPr>
                <w:rFonts w:ascii="Arial" w:hAnsi="Arial" w:cs="Arial"/>
                <w:sz w:val="24"/>
                <w:szCs w:val="24"/>
              </w:rPr>
            </w:pPr>
            <w:r w:rsidRPr="00FA3F9C">
              <w:rPr>
                <w:rFonts w:ascii="Arial" w:hAnsi="Arial" w:cs="Arial"/>
                <w:sz w:val="24"/>
                <w:szCs w:val="24"/>
              </w:rPr>
              <w:t>Tumor histology is non squamous (</w:t>
            </w:r>
            <w:proofErr w:type="gramStart"/>
            <w:r w:rsidRPr="00FA3F9C">
              <w:rPr>
                <w:rFonts w:ascii="Arial" w:hAnsi="Arial" w:cs="Arial"/>
                <w:sz w:val="24"/>
                <w:szCs w:val="24"/>
              </w:rPr>
              <w:t>e.g.</w:t>
            </w:r>
            <w:proofErr w:type="gramEnd"/>
            <w:r w:rsidRPr="00FA3F9C">
              <w:rPr>
                <w:rFonts w:ascii="Arial" w:hAnsi="Arial" w:cs="Arial"/>
                <w:sz w:val="24"/>
                <w:szCs w:val="24"/>
              </w:rPr>
              <w:t xml:space="preserve"> adenocarcinoma, large cell) AND</w:t>
            </w:r>
          </w:p>
          <w:p w14:paraId="3311339C" w14:textId="77777777" w:rsidR="001506C1" w:rsidRPr="00FA3F9C" w:rsidRDefault="001506C1" w:rsidP="001506C1">
            <w:pPr>
              <w:pStyle w:val="ListParagraph"/>
              <w:numPr>
                <w:ilvl w:val="0"/>
                <w:numId w:val="29"/>
              </w:numPr>
              <w:rPr>
                <w:rFonts w:ascii="Arial" w:hAnsi="Arial" w:cs="Arial"/>
                <w:sz w:val="24"/>
                <w:szCs w:val="24"/>
              </w:rPr>
            </w:pPr>
            <w:r w:rsidRPr="00FA3F9C">
              <w:rPr>
                <w:rFonts w:ascii="Arial" w:hAnsi="Arial" w:cs="Arial"/>
                <w:sz w:val="24"/>
                <w:szCs w:val="24"/>
              </w:rPr>
              <w:t xml:space="preserve">Atezolizumab will be used in combination with bevacizumab, carboplatin, and conventional paclitaxel </w:t>
            </w:r>
            <w:r w:rsidRPr="00FA3F9C">
              <w:rPr>
                <w:rFonts w:ascii="Arial" w:hAnsi="Arial" w:cs="Arial"/>
                <w:b/>
                <w:sz w:val="24"/>
                <w:szCs w:val="24"/>
                <w:u w:val="single"/>
              </w:rPr>
              <w:t>OR</w:t>
            </w:r>
            <w:r w:rsidRPr="00FA3F9C">
              <w:rPr>
                <w:rFonts w:ascii="Arial" w:hAnsi="Arial" w:cs="Arial"/>
                <w:sz w:val="24"/>
                <w:szCs w:val="24"/>
              </w:rPr>
              <w:t xml:space="preserve"> in    combination with carboplatin and nab-paclitaxel (Abraxane). [PD-L1 expression can be present or absent]</w:t>
            </w:r>
          </w:p>
        </w:tc>
      </w:tr>
      <w:tr w:rsidR="001506C1" w:rsidRPr="00FA3F9C" w14:paraId="117D4FAB" w14:textId="77777777" w:rsidTr="00FF13A6">
        <w:trPr>
          <w:trHeight w:val="233"/>
        </w:trPr>
        <w:tc>
          <w:tcPr>
            <w:tcW w:w="11016" w:type="dxa"/>
            <w:gridSpan w:val="2"/>
            <w:shd w:val="clear" w:color="auto" w:fill="auto"/>
          </w:tcPr>
          <w:p w14:paraId="2FA614EB" w14:textId="77777777" w:rsidR="001506C1" w:rsidRPr="00FA3F9C" w:rsidRDefault="001506C1" w:rsidP="00014F43">
            <w:pPr>
              <w:rPr>
                <w:rFonts w:ascii="Arial" w:hAnsi="Arial" w:cs="Arial"/>
                <w:sz w:val="24"/>
                <w:szCs w:val="24"/>
              </w:rPr>
            </w:pPr>
            <w:r w:rsidRPr="00FA3F9C">
              <w:rPr>
                <w:rFonts w:ascii="Arial" w:hAnsi="Arial" w:cs="Arial"/>
                <w:b/>
                <w:sz w:val="24"/>
                <w:szCs w:val="24"/>
              </w:rPr>
              <w:lastRenderedPageBreak/>
              <w:t xml:space="preserve">If 1, 2, 3, and </w:t>
            </w:r>
            <w:r w:rsidRPr="00FA3F9C">
              <w:rPr>
                <w:rFonts w:ascii="Arial" w:hAnsi="Arial" w:cs="Arial"/>
                <w:b/>
                <w:sz w:val="24"/>
                <w:szCs w:val="24"/>
                <w:u w:val="single"/>
              </w:rPr>
              <w:t>either</w:t>
            </w:r>
            <w:r w:rsidRPr="00FA3F9C">
              <w:rPr>
                <w:rFonts w:ascii="Arial" w:hAnsi="Arial" w:cs="Arial"/>
                <w:b/>
                <w:sz w:val="24"/>
                <w:szCs w:val="24"/>
              </w:rPr>
              <w:t xml:space="preserve"> 4 or 5 are met, approve for 12 months</w:t>
            </w:r>
          </w:p>
        </w:tc>
      </w:tr>
      <w:tr w:rsidR="001506C1" w:rsidRPr="00FA3F9C" w14:paraId="3A22BA5C" w14:textId="77777777" w:rsidTr="00EE0CC2">
        <w:tc>
          <w:tcPr>
            <w:tcW w:w="11016" w:type="dxa"/>
            <w:gridSpan w:val="2"/>
            <w:shd w:val="clear" w:color="auto" w:fill="BFBFBF" w:themeFill="background1" w:themeFillShade="BF"/>
          </w:tcPr>
          <w:p w14:paraId="0F6613DD" w14:textId="77777777" w:rsidR="001506C1" w:rsidRPr="00FA3F9C" w:rsidRDefault="001506C1" w:rsidP="00014F43">
            <w:pPr>
              <w:rPr>
                <w:rFonts w:ascii="Arial" w:hAnsi="Arial" w:cs="Arial"/>
                <w:sz w:val="24"/>
                <w:szCs w:val="24"/>
              </w:rPr>
            </w:pPr>
            <w:r w:rsidRPr="00FA3F9C">
              <w:rPr>
                <w:rFonts w:ascii="Arial" w:hAnsi="Arial" w:cs="Arial"/>
                <w:sz w:val="24"/>
                <w:szCs w:val="24"/>
              </w:rPr>
              <w:t xml:space="preserve">Note:   </w:t>
            </w:r>
          </w:p>
          <w:p w14:paraId="5A14B65D" w14:textId="77777777" w:rsidR="001506C1" w:rsidRPr="00FA3F9C" w:rsidRDefault="001506C1" w:rsidP="00014F43">
            <w:pPr>
              <w:rPr>
                <w:rFonts w:ascii="Arial" w:hAnsi="Arial" w:cs="Arial"/>
                <w:sz w:val="24"/>
                <w:szCs w:val="24"/>
              </w:rPr>
            </w:pPr>
            <w:r w:rsidRPr="00FA3F9C">
              <w:rPr>
                <w:rFonts w:ascii="Arial" w:hAnsi="Arial" w:cs="Arial"/>
                <w:sz w:val="24"/>
                <w:szCs w:val="24"/>
              </w:rPr>
              <w:t xml:space="preserve">-In patients </w:t>
            </w:r>
            <w:r w:rsidRPr="00FA3F9C">
              <w:rPr>
                <w:rFonts w:ascii="Arial" w:hAnsi="Arial" w:cs="Arial"/>
                <w:sz w:val="24"/>
                <w:szCs w:val="24"/>
                <w:u w:val="single"/>
              </w:rPr>
              <w:t>previously treated</w:t>
            </w:r>
            <w:r w:rsidRPr="00FA3F9C">
              <w:rPr>
                <w:rFonts w:ascii="Arial" w:hAnsi="Arial" w:cs="Arial"/>
                <w:sz w:val="24"/>
                <w:szCs w:val="24"/>
              </w:rPr>
              <w:t xml:space="preserve"> with platinum-based chemotherapy (and targeted therapy if EGFR/ALK mutation +), atezolizumab improved OS compared to docetaxel with median OS 13.8 </w:t>
            </w:r>
            <w:proofErr w:type="spellStart"/>
            <w:r w:rsidRPr="00FA3F9C">
              <w:rPr>
                <w:rFonts w:ascii="Arial" w:hAnsi="Arial" w:cs="Arial"/>
                <w:sz w:val="24"/>
                <w:szCs w:val="24"/>
              </w:rPr>
              <w:t>mo</w:t>
            </w:r>
            <w:proofErr w:type="spellEnd"/>
            <w:r w:rsidRPr="00FA3F9C">
              <w:rPr>
                <w:rFonts w:ascii="Arial" w:hAnsi="Arial" w:cs="Arial"/>
                <w:sz w:val="24"/>
                <w:szCs w:val="24"/>
              </w:rPr>
              <w:t xml:space="preserve"> vs 9.6 </w:t>
            </w:r>
            <w:proofErr w:type="spellStart"/>
            <w:r w:rsidRPr="00FA3F9C">
              <w:rPr>
                <w:rFonts w:ascii="Arial" w:hAnsi="Arial" w:cs="Arial"/>
                <w:sz w:val="24"/>
                <w:szCs w:val="24"/>
              </w:rPr>
              <w:t>mo</w:t>
            </w:r>
            <w:proofErr w:type="spellEnd"/>
            <w:r w:rsidRPr="00FA3F9C">
              <w:rPr>
                <w:rFonts w:ascii="Arial" w:hAnsi="Arial" w:cs="Arial"/>
                <w:sz w:val="24"/>
                <w:szCs w:val="24"/>
              </w:rPr>
              <w:t xml:space="preserve"> (HR 0.73 95% CI 0.62-0.87). 1-2 prior chemo regimens with one being platinum based were required prior to enrollment.</w:t>
            </w:r>
            <w:r w:rsidRPr="00FA3F9C">
              <w:rPr>
                <w:rFonts w:ascii="Arial" w:hAnsi="Arial" w:cs="Arial"/>
                <w:sz w:val="24"/>
                <w:szCs w:val="24"/>
                <w:vertAlign w:val="superscript"/>
              </w:rPr>
              <w:t>1</w:t>
            </w:r>
            <w:r w:rsidRPr="00FA3F9C">
              <w:rPr>
                <w:rFonts w:ascii="Arial" w:hAnsi="Arial" w:cs="Arial"/>
                <w:sz w:val="24"/>
                <w:szCs w:val="24"/>
              </w:rPr>
              <w:t xml:space="preserve"> Fewer severe adverse events were observed in atezolizumab arm (15% vs 43%)</w:t>
            </w:r>
          </w:p>
          <w:p w14:paraId="67A4E6A6" w14:textId="77777777" w:rsidR="001506C1" w:rsidRPr="00FA3F9C" w:rsidRDefault="001506C1" w:rsidP="00014F43">
            <w:pPr>
              <w:rPr>
                <w:rFonts w:ascii="Arial" w:hAnsi="Arial" w:cs="Arial"/>
                <w:sz w:val="24"/>
                <w:szCs w:val="24"/>
              </w:rPr>
            </w:pPr>
            <w:r w:rsidRPr="00FA3F9C">
              <w:rPr>
                <w:rFonts w:ascii="Arial" w:hAnsi="Arial" w:cs="Arial"/>
                <w:sz w:val="24"/>
                <w:szCs w:val="24"/>
              </w:rPr>
              <w:t xml:space="preserve">-If </w:t>
            </w:r>
            <w:proofErr w:type="gramStart"/>
            <w:r w:rsidRPr="00FA3F9C">
              <w:rPr>
                <w:rFonts w:ascii="Arial" w:hAnsi="Arial" w:cs="Arial"/>
                <w:sz w:val="24"/>
                <w:szCs w:val="24"/>
              </w:rPr>
              <w:t>newly-diagnosed</w:t>
            </w:r>
            <w:proofErr w:type="gramEnd"/>
            <w:r w:rsidRPr="00FA3F9C">
              <w:rPr>
                <w:rFonts w:ascii="Arial" w:hAnsi="Arial" w:cs="Arial"/>
                <w:sz w:val="24"/>
                <w:szCs w:val="24"/>
              </w:rPr>
              <w:t xml:space="preserve">, </w:t>
            </w:r>
            <w:r w:rsidRPr="00FA3F9C">
              <w:rPr>
                <w:rFonts w:ascii="Arial" w:hAnsi="Arial" w:cs="Arial"/>
                <w:sz w:val="24"/>
                <w:szCs w:val="24"/>
                <w:u w:val="single"/>
              </w:rPr>
              <w:t>untreated</w:t>
            </w:r>
            <w:r w:rsidRPr="00FA3F9C">
              <w:rPr>
                <w:rFonts w:ascii="Arial" w:hAnsi="Arial" w:cs="Arial"/>
                <w:sz w:val="24"/>
                <w:szCs w:val="24"/>
              </w:rPr>
              <w:t xml:space="preserve">, and non-squamous histology, atezolizumab/bevacizumab/carboplatin/paclitaxel improved OS vs bevacizumab/carboplatin/paclitaxel with median OS of 19.2 </w:t>
            </w:r>
            <w:proofErr w:type="spellStart"/>
            <w:r w:rsidRPr="00FA3F9C">
              <w:rPr>
                <w:rFonts w:ascii="Arial" w:hAnsi="Arial" w:cs="Arial"/>
                <w:sz w:val="24"/>
                <w:szCs w:val="24"/>
              </w:rPr>
              <w:t>mo</w:t>
            </w:r>
            <w:proofErr w:type="spellEnd"/>
            <w:r w:rsidRPr="00FA3F9C">
              <w:rPr>
                <w:rFonts w:ascii="Arial" w:hAnsi="Arial" w:cs="Arial"/>
                <w:sz w:val="24"/>
                <w:szCs w:val="24"/>
              </w:rPr>
              <w:t xml:space="preserve"> vs. 14.7 </w:t>
            </w:r>
            <w:proofErr w:type="spellStart"/>
            <w:r w:rsidRPr="00FA3F9C">
              <w:rPr>
                <w:rFonts w:ascii="Arial" w:hAnsi="Arial" w:cs="Arial"/>
                <w:sz w:val="24"/>
                <w:szCs w:val="24"/>
              </w:rPr>
              <w:t>mo</w:t>
            </w:r>
            <w:proofErr w:type="spellEnd"/>
            <w:r w:rsidRPr="00FA3F9C">
              <w:rPr>
                <w:rFonts w:ascii="Arial" w:hAnsi="Arial" w:cs="Arial"/>
                <w:sz w:val="24"/>
                <w:szCs w:val="24"/>
              </w:rPr>
              <w:t xml:space="preserve"> (HR 0.78; 95% CI, 0.64 to 0.96).</w:t>
            </w:r>
            <w:r w:rsidRPr="00FA3F9C">
              <w:rPr>
                <w:rFonts w:ascii="Arial" w:hAnsi="Arial" w:cs="Arial"/>
                <w:sz w:val="24"/>
                <w:szCs w:val="24"/>
                <w:vertAlign w:val="superscript"/>
              </w:rPr>
              <w:t>2</w:t>
            </w:r>
            <w:r w:rsidRPr="00FA3F9C">
              <w:rPr>
                <w:rFonts w:ascii="Arial" w:hAnsi="Arial" w:cs="Arial"/>
                <w:sz w:val="24"/>
                <w:szCs w:val="24"/>
              </w:rPr>
              <w:t xml:space="preserve"> Atezolizumab/carboplatin/nab-paclitaxel also improved OS vs carboplatin/nab-paclitaxel with median OS of 18.6 </w:t>
            </w:r>
            <w:proofErr w:type="spellStart"/>
            <w:r w:rsidRPr="00FA3F9C">
              <w:rPr>
                <w:rFonts w:ascii="Arial" w:hAnsi="Arial" w:cs="Arial"/>
                <w:sz w:val="24"/>
                <w:szCs w:val="24"/>
              </w:rPr>
              <w:t>mo</w:t>
            </w:r>
            <w:proofErr w:type="spellEnd"/>
            <w:r w:rsidRPr="00FA3F9C">
              <w:rPr>
                <w:rFonts w:ascii="Arial" w:hAnsi="Arial" w:cs="Arial"/>
                <w:sz w:val="24"/>
                <w:szCs w:val="24"/>
              </w:rPr>
              <w:t xml:space="preserve"> vs. 13.9 mo.</w:t>
            </w:r>
            <w:r w:rsidRPr="00FA3F9C">
              <w:rPr>
                <w:rFonts w:ascii="Arial" w:hAnsi="Arial" w:cs="Arial"/>
                <w:sz w:val="24"/>
                <w:szCs w:val="24"/>
                <w:vertAlign w:val="superscript"/>
              </w:rPr>
              <w:t>3</w:t>
            </w:r>
          </w:p>
          <w:p w14:paraId="3C31587B" w14:textId="77777777" w:rsidR="001506C1" w:rsidRPr="00FA3F9C" w:rsidRDefault="001506C1" w:rsidP="00014F43">
            <w:pPr>
              <w:rPr>
                <w:rFonts w:ascii="Arial" w:hAnsi="Arial" w:cs="Arial"/>
                <w:sz w:val="24"/>
                <w:szCs w:val="24"/>
              </w:rPr>
            </w:pPr>
            <w:r w:rsidRPr="00FA3F9C">
              <w:rPr>
                <w:rFonts w:ascii="Arial" w:hAnsi="Arial" w:cs="Arial"/>
                <w:sz w:val="24"/>
                <w:szCs w:val="24"/>
              </w:rPr>
              <w:t xml:space="preserve">-If newly-diagnosed, </w:t>
            </w:r>
            <w:r w:rsidRPr="00FA3F9C">
              <w:rPr>
                <w:rFonts w:ascii="Arial" w:hAnsi="Arial" w:cs="Arial"/>
                <w:sz w:val="24"/>
                <w:szCs w:val="24"/>
                <w:u w:val="single"/>
              </w:rPr>
              <w:t>untreated</w:t>
            </w:r>
            <w:r w:rsidRPr="00FA3F9C">
              <w:rPr>
                <w:rFonts w:ascii="Arial" w:hAnsi="Arial" w:cs="Arial"/>
                <w:sz w:val="24"/>
                <w:szCs w:val="24"/>
              </w:rPr>
              <w:t xml:space="preserve">, any histology, and high PD-L1 expression (TC &gt;50% or IC &gt;10%), atezolizumab monotherapy improved overall survival compared with platinum-based doublet (median OS 20 </w:t>
            </w:r>
            <w:proofErr w:type="spellStart"/>
            <w:r w:rsidRPr="00FA3F9C">
              <w:rPr>
                <w:rFonts w:ascii="Arial" w:hAnsi="Arial" w:cs="Arial"/>
                <w:sz w:val="24"/>
                <w:szCs w:val="24"/>
              </w:rPr>
              <w:t>mo</w:t>
            </w:r>
            <w:proofErr w:type="spellEnd"/>
            <w:r w:rsidRPr="00FA3F9C">
              <w:rPr>
                <w:rFonts w:ascii="Arial" w:hAnsi="Arial" w:cs="Arial"/>
                <w:sz w:val="24"/>
                <w:szCs w:val="24"/>
              </w:rPr>
              <w:t xml:space="preserve"> vs 13 </w:t>
            </w:r>
            <w:proofErr w:type="spellStart"/>
            <w:r w:rsidRPr="00FA3F9C">
              <w:rPr>
                <w:rFonts w:ascii="Arial" w:hAnsi="Arial" w:cs="Arial"/>
                <w:sz w:val="24"/>
                <w:szCs w:val="24"/>
              </w:rPr>
              <w:t>mo</w:t>
            </w:r>
            <w:proofErr w:type="spellEnd"/>
            <w:r w:rsidRPr="00FA3F9C">
              <w:rPr>
                <w:rFonts w:ascii="Arial" w:hAnsi="Arial" w:cs="Arial"/>
                <w:sz w:val="24"/>
                <w:szCs w:val="24"/>
              </w:rPr>
              <w:t>).</w:t>
            </w:r>
            <w:r w:rsidRPr="00FA3F9C">
              <w:rPr>
                <w:rFonts w:ascii="Arial" w:hAnsi="Arial" w:cs="Arial"/>
                <w:sz w:val="24"/>
                <w:szCs w:val="24"/>
                <w:vertAlign w:val="superscript"/>
              </w:rPr>
              <w:t>4</w:t>
            </w:r>
            <w:r w:rsidRPr="00FA3F9C">
              <w:rPr>
                <w:rFonts w:ascii="Arial" w:hAnsi="Arial" w:cs="Arial"/>
                <w:sz w:val="24"/>
                <w:szCs w:val="24"/>
              </w:rPr>
              <w:t xml:space="preserve"> [data from trial Impower 110 study, NCT02409342—results published in PI only as of 6/2/2020]</w:t>
            </w:r>
          </w:p>
          <w:p w14:paraId="4C1C28EB" w14:textId="77777777" w:rsidR="001506C1" w:rsidRPr="00FA3F9C" w:rsidRDefault="001506C1" w:rsidP="00454B29">
            <w:pPr>
              <w:rPr>
                <w:rFonts w:ascii="Arial" w:hAnsi="Arial" w:cs="Arial"/>
                <w:sz w:val="24"/>
                <w:szCs w:val="24"/>
              </w:rPr>
            </w:pPr>
            <w:r w:rsidRPr="00FA3F9C">
              <w:rPr>
                <w:rFonts w:ascii="Arial" w:hAnsi="Arial" w:cs="Arial"/>
                <w:sz w:val="24"/>
                <w:szCs w:val="24"/>
              </w:rPr>
              <w:t xml:space="preserve"> </w:t>
            </w:r>
          </w:p>
          <w:p w14:paraId="6F5AAF16" w14:textId="77777777" w:rsidR="001506C1" w:rsidRPr="00FA3F9C" w:rsidRDefault="001506C1" w:rsidP="00014F43">
            <w:pPr>
              <w:rPr>
                <w:rFonts w:ascii="Arial" w:eastAsia="Times New Roman" w:hAnsi="Arial" w:cs="Arial"/>
                <w:sz w:val="24"/>
                <w:szCs w:val="24"/>
              </w:rPr>
            </w:pPr>
          </w:p>
          <w:p w14:paraId="04FBD888" w14:textId="77777777" w:rsidR="001506C1" w:rsidRPr="00FA3F9C" w:rsidRDefault="001506C1" w:rsidP="00014F43">
            <w:pPr>
              <w:rPr>
                <w:rFonts w:ascii="Arial" w:eastAsia="Times New Roman" w:hAnsi="Arial" w:cs="Arial"/>
                <w:sz w:val="24"/>
                <w:szCs w:val="24"/>
              </w:rPr>
            </w:pPr>
            <w:r w:rsidRPr="00FA3F9C">
              <w:rPr>
                <w:rFonts w:ascii="Arial" w:eastAsia="Times New Roman" w:hAnsi="Arial" w:cs="Arial"/>
                <w:sz w:val="24"/>
                <w:szCs w:val="24"/>
              </w:rPr>
              <w:t>References:</w:t>
            </w:r>
          </w:p>
          <w:p w14:paraId="4CAE7E7F" w14:textId="77777777" w:rsidR="001506C1" w:rsidRPr="00FA3F9C" w:rsidRDefault="00500371" w:rsidP="001506C1">
            <w:pPr>
              <w:pStyle w:val="ListParagraph"/>
              <w:numPr>
                <w:ilvl w:val="0"/>
                <w:numId w:val="28"/>
              </w:numPr>
              <w:ind w:left="270" w:hanging="180"/>
              <w:rPr>
                <w:rFonts w:ascii="Arial" w:hAnsi="Arial" w:cs="Arial"/>
                <w:sz w:val="24"/>
                <w:szCs w:val="24"/>
              </w:rPr>
            </w:pPr>
            <w:hyperlink r:id="rId32" w:history="1">
              <w:proofErr w:type="spellStart"/>
              <w:r w:rsidR="001506C1" w:rsidRPr="00FA3F9C">
                <w:rPr>
                  <w:rFonts w:ascii="Arial" w:eastAsia="Times New Roman" w:hAnsi="Arial" w:cs="Arial"/>
                  <w:sz w:val="24"/>
                  <w:szCs w:val="24"/>
                </w:rPr>
                <w:t>Rittmeyer</w:t>
              </w:r>
              <w:proofErr w:type="spellEnd"/>
              <w:r w:rsidR="001506C1" w:rsidRPr="00FA3F9C">
                <w:rPr>
                  <w:rFonts w:ascii="Arial" w:eastAsia="Times New Roman" w:hAnsi="Arial" w:cs="Arial"/>
                  <w:sz w:val="24"/>
                  <w:szCs w:val="24"/>
                </w:rPr>
                <w:t xml:space="preserve"> A</w:t>
              </w:r>
            </w:hyperlink>
            <w:r w:rsidR="001506C1" w:rsidRPr="00FA3F9C">
              <w:rPr>
                <w:rFonts w:ascii="Arial" w:eastAsia="Times New Roman" w:hAnsi="Arial" w:cs="Arial"/>
                <w:sz w:val="24"/>
                <w:szCs w:val="24"/>
              </w:rPr>
              <w:t xml:space="preserve"> et al.</w:t>
            </w:r>
            <w:r w:rsidR="001506C1" w:rsidRPr="00FA3F9C">
              <w:rPr>
                <w:rFonts w:ascii="Arial" w:eastAsia="Times New Roman" w:hAnsi="Arial" w:cs="Arial"/>
                <w:bCs/>
                <w:kern w:val="36"/>
                <w:sz w:val="24"/>
                <w:szCs w:val="24"/>
              </w:rPr>
              <w:t xml:space="preserve"> Atezolizumab versus docetaxel in patients with previously treated non-small-cell lung cancer (OAK): a phase 3, open-label, </w:t>
            </w:r>
            <w:proofErr w:type="spellStart"/>
            <w:r w:rsidR="001506C1" w:rsidRPr="00FA3F9C">
              <w:rPr>
                <w:rFonts w:ascii="Arial" w:eastAsia="Times New Roman" w:hAnsi="Arial" w:cs="Arial"/>
                <w:bCs/>
                <w:kern w:val="36"/>
                <w:sz w:val="24"/>
                <w:szCs w:val="24"/>
              </w:rPr>
              <w:t>multicentre</w:t>
            </w:r>
            <w:proofErr w:type="spellEnd"/>
            <w:r w:rsidR="001506C1" w:rsidRPr="00FA3F9C">
              <w:rPr>
                <w:rFonts w:ascii="Arial" w:eastAsia="Times New Roman" w:hAnsi="Arial" w:cs="Arial"/>
                <w:bCs/>
                <w:kern w:val="36"/>
                <w:sz w:val="24"/>
                <w:szCs w:val="24"/>
              </w:rPr>
              <w:t xml:space="preserve"> </w:t>
            </w:r>
            <w:proofErr w:type="spellStart"/>
            <w:r w:rsidR="001506C1" w:rsidRPr="00FA3F9C">
              <w:rPr>
                <w:rFonts w:ascii="Arial" w:eastAsia="Times New Roman" w:hAnsi="Arial" w:cs="Arial"/>
                <w:bCs/>
                <w:kern w:val="36"/>
                <w:sz w:val="24"/>
                <w:szCs w:val="24"/>
              </w:rPr>
              <w:t>randomised</w:t>
            </w:r>
            <w:proofErr w:type="spellEnd"/>
            <w:r w:rsidR="001506C1" w:rsidRPr="00FA3F9C">
              <w:rPr>
                <w:rFonts w:ascii="Arial" w:eastAsia="Times New Roman" w:hAnsi="Arial" w:cs="Arial"/>
                <w:bCs/>
                <w:kern w:val="36"/>
                <w:sz w:val="24"/>
                <w:szCs w:val="24"/>
              </w:rPr>
              <w:t xml:space="preserve"> controlled trial. </w:t>
            </w:r>
            <w:hyperlink r:id="rId33" w:tooltip="Lancet (London, England)." w:history="1">
              <w:r w:rsidR="001506C1" w:rsidRPr="00FA3F9C">
                <w:rPr>
                  <w:rFonts w:ascii="Arial" w:eastAsia="Times New Roman" w:hAnsi="Arial" w:cs="Arial"/>
                  <w:sz w:val="24"/>
                  <w:szCs w:val="24"/>
                  <w:u w:val="single"/>
                </w:rPr>
                <w:t>Lancet.</w:t>
              </w:r>
            </w:hyperlink>
            <w:r w:rsidR="001506C1" w:rsidRPr="00FA3F9C">
              <w:rPr>
                <w:rFonts w:ascii="Arial" w:eastAsia="Times New Roman" w:hAnsi="Arial" w:cs="Arial"/>
                <w:sz w:val="24"/>
                <w:szCs w:val="24"/>
              </w:rPr>
              <w:t xml:space="preserve"> 2017 Jan 21;389(10066):255-265. </w:t>
            </w:r>
            <w:r w:rsidR="001506C1" w:rsidRPr="00FA3F9C">
              <w:rPr>
                <w:rFonts w:ascii="Arial" w:hAnsi="Arial" w:cs="Arial"/>
                <w:sz w:val="24"/>
                <w:szCs w:val="24"/>
              </w:rPr>
              <w:t>NCT02008227 PMID27979383</w:t>
            </w:r>
          </w:p>
          <w:p w14:paraId="5D37A49A" w14:textId="77777777" w:rsidR="001506C1" w:rsidRPr="00FA3F9C" w:rsidRDefault="00500371" w:rsidP="001506C1">
            <w:pPr>
              <w:pStyle w:val="ListParagraph"/>
              <w:numPr>
                <w:ilvl w:val="0"/>
                <w:numId w:val="28"/>
              </w:numPr>
              <w:ind w:left="270" w:hanging="180"/>
              <w:rPr>
                <w:rFonts w:ascii="Arial" w:hAnsi="Arial" w:cs="Arial"/>
                <w:sz w:val="24"/>
                <w:szCs w:val="24"/>
              </w:rPr>
            </w:pPr>
            <w:hyperlink r:id="rId34" w:history="1">
              <w:proofErr w:type="spellStart"/>
              <w:r w:rsidR="001506C1" w:rsidRPr="00FA3F9C">
                <w:rPr>
                  <w:rFonts w:ascii="Arial" w:eastAsia="Times New Roman" w:hAnsi="Arial" w:cs="Arial"/>
                  <w:sz w:val="24"/>
                  <w:szCs w:val="24"/>
                </w:rPr>
                <w:t>Socinski</w:t>
              </w:r>
              <w:proofErr w:type="spellEnd"/>
              <w:r w:rsidR="001506C1" w:rsidRPr="00FA3F9C">
                <w:rPr>
                  <w:rFonts w:ascii="Arial" w:eastAsia="Times New Roman" w:hAnsi="Arial" w:cs="Arial"/>
                  <w:sz w:val="24"/>
                  <w:szCs w:val="24"/>
                </w:rPr>
                <w:t xml:space="preserve"> MA</w:t>
              </w:r>
            </w:hyperlink>
            <w:r w:rsidR="001506C1" w:rsidRPr="00FA3F9C">
              <w:rPr>
                <w:rFonts w:ascii="Arial" w:eastAsia="Times New Roman" w:hAnsi="Arial" w:cs="Arial"/>
                <w:sz w:val="24"/>
                <w:szCs w:val="24"/>
              </w:rPr>
              <w:t xml:space="preserve"> et al.</w:t>
            </w:r>
            <w:r w:rsidR="001506C1" w:rsidRPr="00FA3F9C">
              <w:rPr>
                <w:rFonts w:ascii="Arial" w:eastAsia="Times New Roman" w:hAnsi="Arial" w:cs="Arial"/>
                <w:bCs/>
                <w:kern w:val="36"/>
                <w:sz w:val="24"/>
                <w:szCs w:val="24"/>
              </w:rPr>
              <w:t xml:space="preserve"> Atezolizumab for First-Line Treatment of Metastatic </w:t>
            </w:r>
            <w:proofErr w:type="spellStart"/>
            <w:r w:rsidR="001506C1" w:rsidRPr="00FA3F9C">
              <w:rPr>
                <w:rFonts w:ascii="Arial" w:eastAsia="Times New Roman" w:hAnsi="Arial" w:cs="Arial"/>
                <w:bCs/>
                <w:kern w:val="36"/>
                <w:sz w:val="24"/>
                <w:szCs w:val="24"/>
              </w:rPr>
              <w:t>Nonsquamous</w:t>
            </w:r>
            <w:proofErr w:type="spellEnd"/>
            <w:r w:rsidR="001506C1" w:rsidRPr="00FA3F9C">
              <w:rPr>
                <w:rFonts w:ascii="Arial" w:eastAsia="Times New Roman" w:hAnsi="Arial" w:cs="Arial"/>
                <w:bCs/>
                <w:kern w:val="36"/>
                <w:sz w:val="24"/>
                <w:szCs w:val="24"/>
              </w:rPr>
              <w:t xml:space="preserve"> NSCLC. </w:t>
            </w:r>
            <w:hyperlink r:id="rId35" w:tooltip="The New England journal of medicine." w:history="1">
              <w:r w:rsidR="001506C1" w:rsidRPr="00FA3F9C">
                <w:rPr>
                  <w:rFonts w:ascii="Arial" w:eastAsia="Times New Roman" w:hAnsi="Arial" w:cs="Arial"/>
                  <w:sz w:val="24"/>
                  <w:szCs w:val="24"/>
                </w:rPr>
                <w:t xml:space="preserve">N </w:t>
              </w:r>
              <w:proofErr w:type="spellStart"/>
              <w:r w:rsidR="001506C1" w:rsidRPr="00FA3F9C">
                <w:rPr>
                  <w:rFonts w:ascii="Arial" w:eastAsia="Times New Roman" w:hAnsi="Arial" w:cs="Arial"/>
                  <w:sz w:val="24"/>
                  <w:szCs w:val="24"/>
                </w:rPr>
                <w:t>Engl</w:t>
              </w:r>
              <w:proofErr w:type="spellEnd"/>
              <w:r w:rsidR="001506C1" w:rsidRPr="00FA3F9C">
                <w:rPr>
                  <w:rFonts w:ascii="Arial" w:eastAsia="Times New Roman" w:hAnsi="Arial" w:cs="Arial"/>
                  <w:sz w:val="24"/>
                  <w:szCs w:val="24"/>
                </w:rPr>
                <w:t xml:space="preserve"> J Med.</w:t>
              </w:r>
            </w:hyperlink>
            <w:r w:rsidR="001506C1" w:rsidRPr="00FA3F9C">
              <w:rPr>
                <w:rFonts w:ascii="Arial" w:eastAsia="Times New Roman" w:hAnsi="Arial" w:cs="Arial"/>
                <w:sz w:val="24"/>
                <w:szCs w:val="24"/>
              </w:rPr>
              <w:t xml:space="preserve"> 2018 Jun 14;378(24):2288-2301. NCT02366143 PMID 29863955</w:t>
            </w:r>
          </w:p>
          <w:p w14:paraId="3AB29950" w14:textId="77777777" w:rsidR="001506C1" w:rsidRPr="00FA3F9C" w:rsidRDefault="001506C1" w:rsidP="001506C1">
            <w:pPr>
              <w:pStyle w:val="ListParagraph"/>
              <w:numPr>
                <w:ilvl w:val="0"/>
                <w:numId w:val="28"/>
              </w:numPr>
              <w:ind w:left="270" w:hanging="180"/>
              <w:rPr>
                <w:rFonts w:ascii="Arial" w:hAnsi="Arial" w:cs="Arial"/>
                <w:sz w:val="24"/>
                <w:szCs w:val="24"/>
              </w:rPr>
            </w:pPr>
            <w:r w:rsidRPr="00FA3F9C">
              <w:rPr>
                <w:rFonts w:ascii="Arial" w:eastAsia="Times New Roman" w:hAnsi="Arial" w:cs="Arial"/>
                <w:sz w:val="24"/>
                <w:szCs w:val="24"/>
              </w:rPr>
              <w:t xml:space="preserve">West H et al. Atezolizumab in combination with carboplatin plus nab-paclitaxel chemotherapy compared with chemotherapy alone as first-line treatment for metastatic non-squamous non-small-cell lung cancer (IMpower130): a </w:t>
            </w:r>
            <w:proofErr w:type="spellStart"/>
            <w:r w:rsidRPr="00FA3F9C">
              <w:rPr>
                <w:rFonts w:ascii="Arial" w:eastAsia="Times New Roman" w:hAnsi="Arial" w:cs="Arial"/>
                <w:sz w:val="24"/>
                <w:szCs w:val="24"/>
              </w:rPr>
              <w:t>multicentre</w:t>
            </w:r>
            <w:proofErr w:type="spellEnd"/>
            <w:r w:rsidRPr="00FA3F9C">
              <w:rPr>
                <w:rFonts w:ascii="Arial" w:eastAsia="Times New Roman" w:hAnsi="Arial" w:cs="Arial"/>
                <w:sz w:val="24"/>
                <w:szCs w:val="24"/>
              </w:rPr>
              <w:t xml:space="preserve">, </w:t>
            </w:r>
            <w:proofErr w:type="spellStart"/>
            <w:r w:rsidRPr="00FA3F9C">
              <w:rPr>
                <w:rFonts w:ascii="Arial" w:eastAsia="Times New Roman" w:hAnsi="Arial" w:cs="Arial"/>
                <w:sz w:val="24"/>
                <w:szCs w:val="24"/>
              </w:rPr>
              <w:t>randomised</w:t>
            </w:r>
            <w:proofErr w:type="spellEnd"/>
            <w:r w:rsidRPr="00FA3F9C">
              <w:rPr>
                <w:rFonts w:ascii="Arial" w:eastAsia="Times New Roman" w:hAnsi="Arial" w:cs="Arial"/>
                <w:sz w:val="24"/>
                <w:szCs w:val="24"/>
              </w:rPr>
              <w:t xml:space="preserve">, open-label, phase 3 trial. Lancet Oncol. 2019 May 20. </w:t>
            </w:r>
            <w:proofErr w:type="spellStart"/>
            <w:r w:rsidRPr="00FA3F9C">
              <w:rPr>
                <w:rFonts w:ascii="Arial" w:eastAsia="Times New Roman" w:hAnsi="Arial" w:cs="Arial"/>
                <w:sz w:val="24"/>
                <w:szCs w:val="24"/>
              </w:rPr>
              <w:t>pii</w:t>
            </w:r>
            <w:proofErr w:type="spellEnd"/>
            <w:r w:rsidRPr="00FA3F9C">
              <w:rPr>
                <w:rFonts w:ascii="Arial" w:eastAsia="Times New Roman" w:hAnsi="Arial" w:cs="Arial"/>
                <w:sz w:val="24"/>
                <w:szCs w:val="24"/>
              </w:rPr>
              <w:t xml:space="preserve">: S1470-2045(19)30167-6. </w:t>
            </w:r>
            <w:proofErr w:type="spellStart"/>
            <w:r w:rsidRPr="00FA3F9C">
              <w:rPr>
                <w:rFonts w:ascii="Arial" w:eastAsia="Times New Roman" w:hAnsi="Arial" w:cs="Arial"/>
                <w:sz w:val="24"/>
                <w:szCs w:val="24"/>
              </w:rPr>
              <w:t>doi</w:t>
            </w:r>
            <w:proofErr w:type="spellEnd"/>
            <w:r w:rsidRPr="00FA3F9C">
              <w:rPr>
                <w:rFonts w:ascii="Arial" w:eastAsia="Times New Roman" w:hAnsi="Arial" w:cs="Arial"/>
                <w:sz w:val="24"/>
                <w:szCs w:val="24"/>
              </w:rPr>
              <w:t>: 10.1016/S1470-2045(19)30167-6. [</w:t>
            </w:r>
            <w:proofErr w:type="spellStart"/>
            <w:r w:rsidRPr="00FA3F9C">
              <w:rPr>
                <w:rFonts w:ascii="Arial" w:eastAsia="Times New Roman" w:hAnsi="Arial" w:cs="Arial"/>
                <w:sz w:val="24"/>
                <w:szCs w:val="24"/>
              </w:rPr>
              <w:t>Epub</w:t>
            </w:r>
            <w:proofErr w:type="spellEnd"/>
            <w:r w:rsidRPr="00FA3F9C">
              <w:rPr>
                <w:rFonts w:ascii="Arial" w:eastAsia="Times New Roman" w:hAnsi="Arial" w:cs="Arial"/>
                <w:sz w:val="24"/>
                <w:szCs w:val="24"/>
              </w:rPr>
              <w:t xml:space="preserve"> ahead of print] NCT02367781 PMID 31122901</w:t>
            </w:r>
          </w:p>
          <w:p w14:paraId="70B06515" w14:textId="77777777" w:rsidR="001506C1" w:rsidRPr="00FA3F9C" w:rsidRDefault="001506C1" w:rsidP="001506C1">
            <w:pPr>
              <w:pStyle w:val="ListParagraph"/>
              <w:numPr>
                <w:ilvl w:val="0"/>
                <w:numId w:val="28"/>
              </w:numPr>
              <w:ind w:left="270" w:hanging="180"/>
              <w:rPr>
                <w:rFonts w:ascii="Arial" w:hAnsi="Arial" w:cs="Arial"/>
                <w:sz w:val="24"/>
                <w:szCs w:val="24"/>
              </w:rPr>
            </w:pPr>
            <w:proofErr w:type="spellStart"/>
            <w:r w:rsidRPr="00FA3F9C">
              <w:rPr>
                <w:rFonts w:ascii="Arial" w:eastAsia="Times New Roman" w:hAnsi="Arial" w:cs="Arial"/>
                <w:sz w:val="24"/>
                <w:szCs w:val="24"/>
                <w:lang w:val="fr-FR"/>
              </w:rPr>
              <w:t>Tecentriq</w:t>
            </w:r>
            <w:proofErr w:type="spellEnd"/>
            <w:r w:rsidRPr="00FA3F9C">
              <w:rPr>
                <w:rFonts w:ascii="Arial" w:eastAsia="Times New Roman" w:hAnsi="Arial" w:cs="Arial"/>
                <w:sz w:val="24"/>
                <w:szCs w:val="24"/>
                <w:lang w:val="fr-FR"/>
              </w:rPr>
              <w:t xml:space="preserve"> PI. </w:t>
            </w:r>
            <w:hyperlink r:id="rId36" w:history="1">
              <w:r w:rsidRPr="00FA3F9C">
                <w:rPr>
                  <w:rStyle w:val="Hyperlink"/>
                  <w:rFonts w:ascii="Arial" w:hAnsi="Arial" w:cs="Arial"/>
                  <w:sz w:val="24"/>
                  <w:szCs w:val="24"/>
                  <w:lang w:val="fr-FR"/>
                </w:rPr>
                <w:t>https://www.gene.com/download/pdf/tecentriq_prescribing.pdf</w:t>
              </w:r>
            </w:hyperlink>
            <w:r w:rsidRPr="00FA3F9C">
              <w:rPr>
                <w:rFonts w:ascii="Arial" w:hAnsi="Arial" w:cs="Arial"/>
                <w:sz w:val="24"/>
                <w:szCs w:val="24"/>
                <w:lang w:val="fr-FR"/>
              </w:rPr>
              <w:t xml:space="preserve">. </w:t>
            </w:r>
            <w:r w:rsidRPr="00FA3F9C">
              <w:rPr>
                <w:rFonts w:ascii="Arial" w:eastAsia="Times New Roman" w:hAnsi="Arial" w:cs="Arial"/>
                <w:sz w:val="24"/>
                <w:szCs w:val="24"/>
              </w:rPr>
              <w:t>Accessed 5/22/2020.</w:t>
            </w:r>
          </w:p>
        </w:tc>
      </w:tr>
    </w:tbl>
    <w:p w14:paraId="61542C45" w14:textId="77777777" w:rsidR="001506C1" w:rsidRPr="00FA3F9C" w:rsidRDefault="001506C1" w:rsidP="006F623F">
      <w:pPr>
        <w:spacing w:after="0"/>
        <w:rPr>
          <w:rFonts w:ascii="Arial" w:hAnsi="Arial" w:cs="Arial"/>
          <w:b/>
          <w:sz w:val="24"/>
          <w:szCs w:val="24"/>
          <w:u w:val="single"/>
        </w:rPr>
      </w:pPr>
    </w:p>
    <w:p w14:paraId="75332C87" w14:textId="77777777" w:rsidR="001506C1" w:rsidRPr="00FA3F9C" w:rsidRDefault="001506C1" w:rsidP="006F623F">
      <w:pPr>
        <w:spacing w:after="0"/>
        <w:rPr>
          <w:rFonts w:ascii="Arial" w:hAnsi="Arial" w:cs="Arial"/>
          <w:b/>
          <w:sz w:val="24"/>
          <w:szCs w:val="24"/>
          <w:u w:val="single"/>
        </w:rPr>
      </w:pPr>
    </w:p>
    <w:p w14:paraId="47403299" w14:textId="77777777" w:rsidR="001506C1" w:rsidRPr="00FA3F9C" w:rsidRDefault="001506C1" w:rsidP="006F623F">
      <w:pPr>
        <w:spacing w:after="0"/>
        <w:rPr>
          <w:rFonts w:ascii="Arial" w:hAnsi="Arial" w:cs="Arial"/>
          <w:b/>
          <w:sz w:val="24"/>
          <w:szCs w:val="24"/>
          <w:u w:val="single"/>
        </w:rPr>
      </w:pPr>
    </w:p>
    <w:p w14:paraId="04E205A8" w14:textId="77777777" w:rsidR="001506C1" w:rsidRPr="00FA3F9C" w:rsidRDefault="001506C1" w:rsidP="006F623F">
      <w:pPr>
        <w:spacing w:after="0"/>
        <w:rPr>
          <w:rFonts w:ascii="Arial" w:hAnsi="Arial" w:cs="Arial"/>
          <w:b/>
          <w:sz w:val="24"/>
          <w:szCs w:val="24"/>
          <w:u w:val="single"/>
        </w:rPr>
      </w:pPr>
    </w:p>
    <w:p w14:paraId="6DFFAAFC" w14:textId="77777777" w:rsidR="001506C1" w:rsidRPr="00FA3F9C" w:rsidRDefault="001506C1" w:rsidP="006F623F">
      <w:pPr>
        <w:spacing w:after="0"/>
        <w:rPr>
          <w:rFonts w:ascii="Arial" w:hAnsi="Arial" w:cs="Arial"/>
          <w:b/>
          <w:sz w:val="24"/>
          <w:szCs w:val="24"/>
          <w:u w:val="single"/>
        </w:rPr>
      </w:pPr>
    </w:p>
    <w:tbl>
      <w:tblPr>
        <w:tblStyle w:val="TableGrid"/>
        <w:tblW w:w="0" w:type="auto"/>
        <w:tblLook w:val="04A0" w:firstRow="1" w:lastRow="0" w:firstColumn="1" w:lastColumn="0" w:noHBand="0" w:noVBand="1"/>
      </w:tblPr>
      <w:tblGrid>
        <w:gridCol w:w="8928"/>
        <w:gridCol w:w="2088"/>
      </w:tblGrid>
      <w:tr w:rsidR="001506C1" w:rsidRPr="00FA3F9C" w14:paraId="0612E160" w14:textId="77777777" w:rsidTr="00AD0B73">
        <w:tc>
          <w:tcPr>
            <w:tcW w:w="8928" w:type="dxa"/>
            <w:shd w:val="clear" w:color="auto" w:fill="000000"/>
          </w:tcPr>
          <w:p w14:paraId="044F8527" w14:textId="77777777" w:rsidR="001506C1" w:rsidRPr="00FA3F9C" w:rsidRDefault="001506C1" w:rsidP="00AD0B73">
            <w:pPr>
              <w:rPr>
                <w:rFonts w:ascii="Arial" w:hAnsi="Arial" w:cs="Arial"/>
                <w:b/>
                <w:sz w:val="24"/>
                <w:szCs w:val="24"/>
                <w:u w:val="single"/>
              </w:rPr>
            </w:pPr>
            <w:r w:rsidRPr="00FA3F9C">
              <w:rPr>
                <w:rFonts w:ascii="Arial" w:hAnsi="Arial" w:cs="Arial"/>
                <w:b/>
                <w:sz w:val="24"/>
                <w:szCs w:val="24"/>
                <w:u w:val="single"/>
              </w:rPr>
              <w:t>Small Cell Lung Cancer</w:t>
            </w:r>
          </w:p>
        </w:tc>
        <w:tc>
          <w:tcPr>
            <w:tcW w:w="2088" w:type="dxa"/>
            <w:shd w:val="clear" w:color="auto" w:fill="000000"/>
          </w:tcPr>
          <w:p w14:paraId="79B3E987" w14:textId="77777777" w:rsidR="001506C1" w:rsidRPr="00FA3F9C" w:rsidRDefault="001506C1" w:rsidP="00AD0B73">
            <w:pPr>
              <w:jc w:val="center"/>
              <w:rPr>
                <w:rFonts w:ascii="Arial" w:hAnsi="Arial" w:cs="Arial"/>
                <w:b/>
                <w:sz w:val="24"/>
                <w:szCs w:val="24"/>
                <w:u w:val="single"/>
              </w:rPr>
            </w:pPr>
          </w:p>
        </w:tc>
      </w:tr>
      <w:tr w:rsidR="001506C1" w:rsidRPr="00FA3F9C" w14:paraId="0A5C1572" w14:textId="77777777" w:rsidTr="00AD0B73">
        <w:trPr>
          <w:trHeight w:val="323"/>
        </w:trPr>
        <w:tc>
          <w:tcPr>
            <w:tcW w:w="11016" w:type="dxa"/>
            <w:gridSpan w:val="2"/>
          </w:tcPr>
          <w:p w14:paraId="1D5CC0C5" w14:textId="77777777" w:rsidR="001506C1" w:rsidRPr="00FA3F9C" w:rsidRDefault="001506C1" w:rsidP="00EB7A41">
            <w:pPr>
              <w:rPr>
                <w:rFonts w:ascii="Arial" w:hAnsi="Arial" w:cs="Arial"/>
                <w:sz w:val="24"/>
                <w:szCs w:val="24"/>
              </w:rPr>
            </w:pPr>
            <w:r w:rsidRPr="00FA3F9C">
              <w:rPr>
                <w:rFonts w:ascii="Arial" w:hAnsi="Arial" w:cs="Arial"/>
                <w:sz w:val="24"/>
                <w:szCs w:val="24"/>
              </w:rPr>
              <w:t>1.  Diagnosis of extensive stage small cell lung cancer</w:t>
            </w:r>
          </w:p>
        </w:tc>
      </w:tr>
      <w:tr w:rsidR="001506C1" w:rsidRPr="00FA3F9C" w14:paraId="275BFA13" w14:textId="77777777" w:rsidTr="00AD0B73">
        <w:trPr>
          <w:trHeight w:val="332"/>
        </w:trPr>
        <w:tc>
          <w:tcPr>
            <w:tcW w:w="11016" w:type="dxa"/>
            <w:gridSpan w:val="2"/>
          </w:tcPr>
          <w:p w14:paraId="09AF5BA8" w14:textId="77777777" w:rsidR="001506C1" w:rsidRPr="00FA3F9C" w:rsidRDefault="001506C1" w:rsidP="00EB7A41">
            <w:pPr>
              <w:rPr>
                <w:rFonts w:ascii="Arial" w:hAnsi="Arial" w:cs="Arial"/>
                <w:sz w:val="24"/>
                <w:szCs w:val="24"/>
              </w:rPr>
            </w:pPr>
            <w:r w:rsidRPr="00FA3F9C">
              <w:rPr>
                <w:rFonts w:ascii="Arial" w:hAnsi="Arial" w:cs="Arial"/>
                <w:sz w:val="24"/>
                <w:szCs w:val="24"/>
              </w:rPr>
              <w:t>2.  Atezolizumab will be given in combination with carboplatin and etoposide</w:t>
            </w:r>
          </w:p>
        </w:tc>
      </w:tr>
      <w:tr w:rsidR="001506C1" w:rsidRPr="00FA3F9C" w14:paraId="159CE688" w14:textId="77777777" w:rsidTr="00AD0B73">
        <w:trPr>
          <w:trHeight w:val="350"/>
        </w:trPr>
        <w:tc>
          <w:tcPr>
            <w:tcW w:w="11016" w:type="dxa"/>
            <w:gridSpan w:val="2"/>
          </w:tcPr>
          <w:p w14:paraId="0E956DAB" w14:textId="77777777" w:rsidR="001506C1" w:rsidRPr="00FA3F9C" w:rsidRDefault="001506C1" w:rsidP="00EB7A41">
            <w:pPr>
              <w:rPr>
                <w:rFonts w:ascii="Arial" w:hAnsi="Arial" w:cs="Arial"/>
                <w:sz w:val="24"/>
                <w:szCs w:val="24"/>
              </w:rPr>
            </w:pPr>
            <w:r w:rsidRPr="00FA3F9C">
              <w:rPr>
                <w:rFonts w:ascii="Arial" w:hAnsi="Arial" w:cs="Arial"/>
                <w:sz w:val="24"/>
                <w:szCs w:val="24"/>
              </w:rPr>
              <w:t xml:space="preserve">3.  The patient has received no prior systemic therapy </w:t>
            </w:r>
          </w:p>
        </w:tc>
      </w:tr>
      <w:tr w:rsidR="001506C1" w:rsidRPr="00FA3F9C" w14:paraId="4796C4DC" w14:textId="77777777" w:rsidTr="00AD0B73">
        <w:trPr>
          <w:trHeight w:val="341"/>
        </w:trPr>
        <w:tc>
          <w:tcPr>
            <w:tcW w:w="11016" w:type="dxa"/>
            <w:gridSpan w:val="2"/>
            <w:shd w:val="clear" w:color="auto" w:fill="auto"/>
          </w:tcPr>
          <w:p w14:paraId="3F44A5BB" w14:textId="77777777" w:rsidR="001506C1" w:rsidRPr="00FA3F9C" w:rsidRDefault="001506C1" w:rsidP="00AD0B73">
            <w:pPr>
              <w:rPr>
                <w:rFonts w:ascii="Arial" w:hAnsi="Arial" w:cs="Arial"/>
                <w:sz w:val="24"/>
                <w:szCs w:val="24"/>
              </w:rPr>
            </w:pPr>
            <w:r w:rsidRPr="00FA3F9C">
              <w:rPr>
                <w:rFonts w:ascii="Arial" w:hAnsi="Arial" w:cs="Arial"/>
                <w:b/>
                <w:sz w:val="24"/>
                <w:szCs w:val="24"/>
              </w:rPr>
              <w:t>If all criteria met, approve for 12 months</w:t>
            </w:r>
          </w:p>
        </w:tc>
      </w:tr>
      <w:tr w:rsidR="001506C1" w:rsidRPr="00FA3F9C" w14:paraId="31FAECE8" w14:textId="77777777" w:rsidTr="00FF13A6">
        <w:trPr>
          <w:trHeight w:val="2258"/>
        </w:trPr>
        <w:tc>
          <w:tcPr>
            <w:tcW w:w="11016" w:type="dxa"/>
            <w:gridSpan w:val="2"/>
            <w:shd w:val="clear" w:color="auto" w:fill="BFBFBF" w:themeFill="background1" w:themeFillShade="BF"/>
          </w:tcPr>
          <w:p w14:paraId="7E0B0229" w14:textId="77777777" w:rsidR="001506C1" w:rsidRPr="00FA3F9C" w:rsidRDefault="001506C1" w:rsidP="00AD0B73">
            <w:pPr>
              <w:rPr>
                <w:rFonts w:ascii="Arial" w:hAnsi="Arial" w:cs="Arial"/>
                <w:sz w:val="24"/>
                <w:szCs w:val="24"/>
              </w:rPr>
            </w:pPr>
            <w:r w:rsidRPr="00FA3F9C">
              <w:rPr>
                <w:rFonts w:ascii="Arial" w:hAnsi="Arial" w:cs="Arial"/>
                <w:sz w:val="24"/>
                <w:szCs w:val="24"/>
              </w:rPr>
              <w:t xml:space="preserve">Note:   </w:t>
            </w:r>
          </w:p>
          <w:p w14:paraId="075EE1B9" w14:textId="77777777" w:rsidR="001506C1" w:rsidRPr="00FA3F9C" w:rsidRDefault="001506C1" w:rsidP="00E820B2">
            <w:pPr>
              <w:rPr>
                <w:rFonts w:ascii="Arial" w:hAnsi="Arial" w:cs="Arial"/>
                <w:sz w:val="24"/>
                <w:szCs w:val="24"/>
              </w:rPr>
            </w:pPr>
            <w:proofErr w:type="spellStart"/>
            <w:r w:rsidRPr="00FA3F9C">
              <w:rPr>
                <w:rFonts w:ascii="Arial" w:hAnsi="Arial" w:cs="Arial"/>
                <w:sz w:val="24"/>
                <w:szCs w:val="24"/>
              </w:rPr>
              <w:t>Atezolizumab+carboplatin+etoposide</w:t>
            </w:r>
            <w:proofErr w:type="spellEnd"/>
            <w:r w:rsidRPr="00FA3F9C">
              <w:rPr>
                <w:rFonts w:ascii="Arial" w:hAnsi="Arial" w:cs="Arial"/>
                <w:sz w:val="24"/>
                <w:szCs w:val="24"/>
              </w:rPr>
              <w:t xml:space="preserve"> was compared to </w:t>
            </w:r>
            <w:proofErr w:type="spellStart"/>
            <w:r w:rsidRPr="00FA3F9C">
              <w:rPr>
                <w:rFonts w:ascii="Arial" w:hAnsi="Arial" w:cs="Arial"/>
                <w:sz w:val="24"/>
                <w:szCs w:val="24"/>
              </w:rPr>
              <w:t>carboplatin+etoposide</w:t>
            </w:r>
            <w:proofErr w:type="spellEnd"/>
            <w:r w:rsidRPr="00FA3F9C">
              <w:rPr>
                <w:rFonts w:ascii="Arial" w:hAnsi="Arial" w:cs="Arial"/>
                <w:sz w:val="24"/>
                <w:szCs w:val="24"/>
              </w:rPr>
              <w:t>. Median overall survival (</w:t>
            </w:r>
            <w:proofErr w:type="spellStart"/>
            <w:r w:rsidRPr="00FA3F9C">
              <w:rPr>
                <w:rFonts w:ascii="Arial" w:hAnsi="Arial" w:cs="Arial"/>
                <w:sz w:val="24"/>
                <w:szCs w:val="24"/>
              </w:rPr>
              <w:t>atez+chemo</w:t>
            </w:r>
            <w:proofErr w:type="spellEnd"/>
            <w:r w:rsidRPr="00FA3F9C">
              <w:rPr>
                <w:rFonts w:ascii="Arial" w:hAnsi="Arial" w:cs="Arial"/>
                <w:sz w:val="24"/>
                <w:szCs w:val="24"/>
              </w:rPr>
              <w:t xml:space="preserve"> vs chemo) was 12.3 </w:t>
            </w:r>
            <w:proofErr w:type="spellStart"/>
            <w:r w:rsidRPr="00FA3F9C">
              <w:rPr>
                <w:rFonts w:ascii="Arial" w:hAnsi="Arial" w:cs="Arial"/>
                <w:sz w:val="24"/>
                <w:szCs w:val="24"/>
              </w:rPr>
              <w:t>mo</w:t>
            </w:r>
            <w:proofErr w:type="spellEnd"/>
            <w:r w:rsidRPr="00FA3F9C">
              <w:rPr>
                <w:rFonts w:ascii="Arial" w:hAnsi="Arial" w:cs="Arial"/>
                <w:sz w:val="24"/>
                <w:szCs w:val="24"/>
              </w:rPr>
              <w:t xml:space="preserve"> versus 10.3 </w:t>
            </w:r>
            <w:proofErr w:type="spellStart"/>
            <w:r w:rsidRPr="00FA3F9C">
              <w:rPr>
                <w:rFonts w:ascii="Arial" w:hAnsi="Arial" w:cs="Arial"/>
                <w:sz w:val="24"/>
                <w:szCs w:val="24"/>
              </w:rPr>
              <w:t>mo</w:t>
            </w:r>
            <w:proofErr w:type="spellEnd"/>
            <w:r w:rsidRPr="00FA3F9C">
              <w:rPr>
                <w:rFonts w:ascii="Arial" w:hAnsi="Arial" w:cs="Arial"/>
                <w:sz w:val="24"/>
                <w:szCs w:val="24"/>
              </w:rPr>
              <w:t xml:space="preserve"> (HR 0.7; 95% CI 0.54-0.91; p=0.007). 12-month overall survival: 51.7% vs. 38.2%.</w:t>
            </w:r>
          </w:p>
          <w:p w14:paraId="5E062F60" w14:textId="77777777" w:rsidR="001506C1" w:rsidRPr="00FA3F9C" w:rsidRDefault="001506C1" w:rsidP="00E820B2">
            <w:pPr>
              <w:rPr>
                <w:rFonts w:ascii="Arial" w:hAnsi="Arial" w:cs="Arial"/>
                <w:sz w:val="24"/>
                <w:szCs w:val="24"/>
              </w:rPr>
            </w:pPr>
          </w:p>
          <w:p w14:paraId="2E54666B" w14:textId="77777777" w:rsidR="001506C1" w:rsidRPr="00FA3F9C" w:rsidRDefault="001506C1" w:rsidP="00E820B2">
            <w:pPr>
              <w:rPr>
                <w:rFonts w:ascii="Arial" w:hAnsi="Arial" w:cs="Arial"/>
                <w:sz w:val="24"/>
                <w:szCs w:val="24"/>
              </w:rPr>
            </w:pPr>
            <w:proofErr w:type="spellStart"/>
            <w:r w:rsidRPr="00FA3F9C">
              <w:rPr>
                <w:rFonts w:ascii="Arial" w:hAnsi="Arial" w:cs="Arial"/>
                <w:sz w:val="24"/>
                <w:szCs w:val="24"/>
              </w:rPr>
              <w:t>Atezolizumab+chemo</w:t>
            </w:r>
            <w:proofErr w:type="spellEnd"/>
            <w:r w:rsidRPr="00FA3F9C">
              <w:rPr>
                <w:rFonts w:ascii="Arial" w:hAnsi="Arial" w:cs="Arial"/>
                <w:sz w:val="24"/>
                <w:szCs w:val="24"/>
              </w:rPr>
              <w:t xml:space="preserve"> is given for 4 cycles, then atezolizumab is continued as maintenance therapy until disease progression or unacceptable toxicity.</w:t>
            </w:r>
          </w:p>
          <w:p w14:paraId="76E9E9F7" w14:textId="77777777" w:rsidR="001506C1" w:rsidRPr="00FA3F9C" w:rsidRDefault="001506C1" w:rsidP="00AD0B73">
            <w:pPr>
              <w:rPr>
                <w:rFonts w:ascii="Arial" w:eastAsia="Times New Roman" w:hAnsi="Arial" w:cs="Arial"/>
                <w:sz w:val="24"/>
                <w:szCs w:val="24"/>
              </w:rPr>
            </w:pPr>
          </w:p>
          <w:p w14:paraId="06C1936F" w14:textId="77777777" w:rsidR="001506C1" w:rsidRPr="00FA3F9C" w:rsidRDefault="001506C1" w:rsidP="00AD0B73">
            <w:pPr>
              <w:rPr>
                <w:rFonts w:ascii="Arial" w:eastAsia="Times New Roman" w:hAnsi="Arial" w:cs="Arial"/>
                <w:sz w:val="24"/>
                <w:szCs w:val="24"/>
              </w:rPr>
            </w:pPr>
            <w:r w:rsidRPr="00FA3F9C">
              <w:rPr>
                <w:rFonts w:ascii="Arial" w:eastAsia="Times New Roman" w:hAnsi="Arial" w:cs="Arial"/>
                <w:sz w:val="24"/>
                <w:szCs w:val="24"/>
              </w:rPr>
              <w:t>Reference:</w:t>
            </w:r>
          </w:p>
          <w:p w14:paraId="4B41AF9D" w14:textId="77777777" w:rsidR="001506C1" w:rsidRPr="00FA3F9C" w:rsidRDefault="001506C1" w:rsidP="00E820B2">
            <w:pPr>
              <w:spacing w:after="160"/>
              <w:rPr>
                <w:rFonts w:ascii="Arial" w:hAnsi="Arial" w:cs="Arial"/>
                <w:sz w:val="24"/>
                <w:szCs w:val="24"/>
              </w:rPr>
            </w:pPr>
            <w:r w:rsidRPr="00FA3F9C">
              <w:rPr>
                <w:rFonts w:ascii="Arial" w:hAnsi="Arial" w:cs="Arial"/>
                <w:sz w:val="24"/>
                <w:szCs w:val="24"/>
              </w:rPr>
              <w:t xml:space="preserve">Horn L et al. First-Line Atezolizumab plus Chemotherapy in Extensive-Stage Small-Cell Lung Cancer. N </w:t>
            </w:r>
            <w:proofErr w:type="spellStart"/>
            <w:r w:rsidRPr="00FA3F9C">
              <w:rPr>
                <w:rFonts w:ascii="Arial" w:hAnsi="Arial" w:cs="Arial"/>
                <w:sz w:val="24"/>
                <w:szCs w:val="24"/>
              </w:rPr>
              <w:t>Engl</w:t>
            </w:r>
            <w:proofErr w:type="spellEnd"/>
            <w:r w:rsidRPr="00FA3F9C">
              <w:rPr>
                <w:rFonts w:ascii="Arial" w:hAnsi="Arial" w:cs="Arial"/>
                <w:sz w:val="24"/>
                <w:szCs w:val="24"/>
              </w:rPr>
              <w:t xml:space="preserve"> J Med. 2018 Dec 6;379(23):2220-2229. PMID 30280641 NCT02763579</w:t>
            </w:r>
          </w:p>
        </w:tc>
      </w:tr>
    </w:tbl>
    <w:p w14:paraId="1CA5EF63" w14:textId="77777777" w:rsidR="001506C1" w:rsidRPr="00FA3F9C" w:rsidRDefault="001506C1" w:rsidP="006F623F">
      <w:pPr>
        <w:spacing w:after="0"/>
        <w:rPr>
          <w:rFonts w:ascii="Arial" w:hAnsi="Arial" w:cs="Arial"/>
          <w:sz w:val="24"/>
          <w:szCs w:val="24"/>
        </w:rPr>
      </w:pPr>
    </w:p>
    <w:p w14:paraId="24DD5D1E" w14:textId="77777777" w:rsidR="001506C1" w:rsidRPr="00FA3F9C" w:rsidRDefault="001506C1" w:rsidP="006F623F">
      <w:pPr>
        <w:spacing w:after="0"/>
        <w:rPr>
          <w:rFonts w:ascii="Arial" w:hAnsi="Arial" w:cs="Arial"/>
          <w:sz w:val="24"/>
          <w:szCs w:val="24"/>
        </w:rPr>
      </w:pPr>
    </w:p>
    <w:tbl>
      <w:tblPr>
        <w:tblStyle w:val="TableGrid"/>
        <w:tblW w:w="0" w:type="auto"/>
        <w:tblLook w:val="04A0" w:firstRow="1" w:lastRow="0" w:firstColumn="1" w:lastColumn="0" w:noHBand="0" w:noVBand="1"/>
      </w:tblPr>
      <w:tblGrid>
        <w:gridCol w:w="8753"/>
        <w:gridCol w:w="2263"/>
      </w:tblGrid>
      <w:tr w:rsidR="001506C1" w:rsidRPr="00FA3F9C" w14:paraId="198A23A2" w14:textId="77777777" w:rsidTr="005A0EB6">
        <w:tc>
          <w:tcPr>
            <w:tcW w:w="8753" w:type="dxa"/>
            <w:shd w:val="clear" w:color="auto" w:fill="000000"/>
          </w:tcPr>
          <w:p w14:paraId="5B4A0B8F" w14:textId="77777777" w:rsidR="001506C1" w:rsidRPr="00FA3F9C" w:rsidRDefault="001506C1" w:rsidP="00000444">
            <w:pPr>
              <w:rPr>
                <w:rFonts w:ascii="Arial" w:hAnsi="Arial" w:cs="Arial"/>
                <w:b/>
                <w:sz w:val="24"/>
                <w:szCs w:val="24"/>
                <w:u w:val="single"/>
              </w:rPr>
            </w:pPr>
            <w:r w:rsidRPr="00FA3F9C">
              <w:rPr>
                <w:rFonts w:ascii="Arial" w:hAnsi="Arial" w:cs="Arial"/>
                <w:b/>
                <w:sz w:val="24"/>
                <w:szCs w:val="24"/>
                <w:u w:val="single"/>
              </w:rPr>
              <w:t>Hepatocellular Carcinoma</w:t>
            </w:r>
          </w:p>
        </w:tc>
        <w:tc>
          <w:tcPr>
            <w:tcW w:w="2037" w:type="dxa"/>
            <w:shd w:val="clear" w:color="auto" w:fill="000000"/>
          </w:tcPr>
          <w:p w14:paraId="42AA479D" w14:textId="77777777" w:rsidR="001506C1" w:rsidRPr="00FA3F9C" w:rsidRDefault="001506C1" w:rsidP="00000444">
            <w:pPr>
              <w:jc w:val="center"/>
              <w:rPr>
                <w:rFonts w:ascii="Arial" w:hAnsi="Arial" w:cs="Arial"/>
                <w:b/>
                <w:sz w:val="24"/>
                <w:szCs w:val="24"/>
                <w:u w:val="single"/>
              </w:rPr>
            </w:pPr>
          </w:p>
        </w:tc>
      </w:tr>
      <w:tr w:rsidR="001506C1" w:rsidRPr="00FA3F9C" w14:paraId="1F93DFC7" w14:textId="77777777" w:rsidTr="00000444">
        <w:trPr>
          <w:trHeight w:val="323"/>
        </w:trPr>
        <w:tc>
          <w:tcPr>
            <w:tcW w:w="11016" w:type="dxa"/>
            <w:gridSpan w:val="2"/>
          </w:tcPr>
          <w:p w14:paraId="6385D045" w14:textId="77777777" w:rsidR="001506C1" w:rsidRPr="00FA3F9C" w:rsidRDefault="001506C1" w:rsidP="005A0EB6">
            <w:pPr>
              <w:rPr>
                <w:rFonts w:ascii="Arial" w:hAnsi="Arial" w:cs="Arial"/>
                <w:sz w:val="24"/>
                <w:szCs w:val="24"/>
              </w:rPr>
            </w:pPr>
            <w:r w:rsidRPr="00FA3F9C">
              <w:rPr>
                <w:rFonts w:ascii="Arial" w:hAnsi="Arial" w:cs="Arial"/>
                <w:sz w:val="24"/>
                <w:szCs w:val="24"/>
              </w:rPr>
              <w:t>1.  Diagnosis of advanced/unresectable hepatocellular carcinoma</w:t>
            </w:r>
          </w:p>
        </w:tc>
      </w:tr>
      <w:tr w:rsidR="001506C1" w:rsidRPr="00FA3F9C" w14:paraId="24ACB5FC" w14:textId="77777777" w:rsidTr="00000444">
        <w:trPr>
          <w:trHeight w:val="332"/>
        </w:trPr>
        <w:tc>
          <w:tcPr>
            <w:tcW w:w="11016" w:type="dxa"/>
            <w:gridSpan w:val="2"/>
          </w:tcPr>
          <w:p w14:paraId="06FCA0AD" w14:textId="77777777" w:rsidR="001506C1" w:rsidRPr="00FA3F9C" w:rsidRDefault="001506C1" w:rsidP="005A0EB6">
            <w:pPr>
              <w:rPr>
                <w:rFonts w:ascii="Arial" w:hAnsi="Arial" w:cs="Arial"/>
                <w:sz w:val="24"/>
                <w:szCs w:val="24"/>
              </w:rPr>
            </w:pPr>
            <w:r w:rsidRPr="00FA3F9C">
              <w:rPr>
                <w:rFonts w:ascii="Arial" w:hAnsi="Arial" w:cs="Arial"/>
                <w:sz w:val="24"/>
                <w:szCs w:val="24"/>
              </w:rPr>
              <w:t>2.  Atezolizumab will be given in combination with bevacizumab</w:t>
            </w:r>
          </w:p>
        </w:tc>
      </w:tr>
      <w:tr w:rsidR="001506C1" w:rsidRPr="00FA3F9C" w14:paraId="566CC021" w14:textId="77777777" w:rsidTr="00000444">
        <w:trPr>
          <w:trHeight w:val="350"/>
        </w:trPr>
        <w:tc>
          <w:tcPr>
            <w:tcW w:w="11016" w:type="dxa"/>
            <w:gridSpan w:val="2"/>
          </w:tcPr>
          <w:p w14:paraId="10CE53AD" w14:textId="77777777" w:rsidR="001506C1" w:rsidRPr="00FA3F9C" w:rsidRDefault="001506C1" w:rsidP="00000444">
            <w:pPr>
              <w:rPr>
                <w:rFonts w:ascii="Arial" w:hAnsi="Arial" w:cs="Arial"/>
                <w:sz w:val="24"/>
                <w:szCs w:val="24"/>
              </w:rPr>
            </w:pPr>
            <w:r w:rsidRPr="00FA3F9C">
              <w:rPr>
                <w:rFonts w:ascii="Arial" w:hAnsi="Arial" w:cs="Arial"/>
                <w:sz w:val="24"/>
                <w:szCs w:val="24"/>
              </w:rPr>
              <w:t xml:space="preserve">3.  The patient has received no prior systemic therapy </w:t>
            </w:r>
          </w:p>
        </w:tc>
      </w:tr>
      <w:tr w:rsidR="001506C1" w:rsidRPr="00FA3F9C" w14:paraId="7BEA9E89" w14:textId="77777777" w:rsidTr="00000444">
        <w:trPr>
          <w:trHeight w:val="350"/>
        </w:trPr>
        <w:tc>
          <w:tcPr>
            <w:tcW w:w="11016" w:type="dxa"/>
            <w:gridSpan w:val="2"/>
          </w:tcPr>
          <w:p w14:paraId="2513993E" w14:textId="77777777" w:rsidR="001506C1" w:rsidRPr="00FA3F9C" w:rsidRDefault="001506C1" w:rsidP="005A0EB6">
            <w:pPr>
              <w:rPr>
                <w:rFonts w:ascii="Arial" w:hAnsi="Arial" w:cs="Arial"/>
                <w:sz w:val="24"/>
                <w:szCs w:val="24"/>
              </w:rPr>
            </w:pPr>
            <w:r w:rsidRPr="00FA3F9C">
              <w:rPr>
                <w:rFonts w:ascii="Arial" w:hAnsi="Arial" w:cs="Arial"/>
                <w:sz w:val="24"/>
                <w:szCs w:val="24"/>
              </w:rPr>
              <w:t>4. No variceal bleeding 6 months prior to initiation of treatment</w:t>
            </w:r>
          </w:p>
        </w:tc>
      </w:tr>
      <w:tr w:rsidR="001506C1" w:rsidRPr="00FA3F9C" w14:paraId="52E4AB09" w14:textId="77777777" w:rsidTr="00000444">
        <w:trPr>
          <w:trHeight w:val="350"/>
        </w:trPr>
        <w:tc>
          <w:tcPr>
            <w:tcW w:w="11016" w:type="dxa"/>
            <w:gridSpan w:val="2"/>
          </w:tcPr>
          <w:p w14:paraId="72D0E4C1" w14:textId="77777777" w:rsidR="001506C1" w:rsidRPr="00FA3F9C" w:rsidRDefault="001506C1" w:rsidP="005A0EB6">
            <w:pPr>
              <w:rPr>
                <w:rFonts w:ascii="Arial" w:hAnsi="Arial" w:cs="Arial"/>
                <w:sz w:val="24"/>
                <w:szCs w:val="24"/>
              </w:rPr>
            </w:pPr>
            <w:r w:rsidRPr="00FA3F9C">
              <w:rPr>
                <w:rFonts w:ascii="Arial" w:hAnsi="Arial" w:cs="Arial"/>
                <w:sz w:val="24"/>
                <w:szCs w:val="24"/>
              </w:rPr>
              <w:t>5. Child Pugh score =  A</w:t>
            </w:r>
          </w:p>
        </w:tc>
      </w:tr>
      <w:tr w:rsidR="001506C1" w:rsidRPr="00FA3F9C" w14:paraId="08BFC066" w14:textId="77777777" w:rsidTr="00000444">
        <w:trPr>
          <w:trHeight w:val="341"/>
        </w:trPr>
        <w:tc>
          <w:tcPr>
            <w:tcW w:w="11016" w:type="dxa"/>
            <w:gridSpan w:val="2"/>
            <w:shd w:val="clear" w:color="auto" w:fill="auto"/>
          </w:tcPr>
          <w:p w14:paraId="298259E7" w14:textId="77777777" w:rsidR="001506C1" w:rsidRPr="00FA3F9C" w:rsidRDefault="001506C1" w:rsidP="00000444">
            <w:pPr>
              <w:rPr>
                <w:rFonts w:ascii="Arial" w:hAnsi="Arial" w:cs="Arial"/>
                <w:sz w:val="24"/>
                <w:szCs w:val="24"/>
              </w:rPr>
            </w:pPr>
            <w:r w:rsidRPr="00FA3F9C">
              <w:rPr>
                <w:rFonts w:ascii="Arial" w:hAnsi="Arial" w:cs="Arial"/>
                <w:b/>
                <w:sz w:val="24"/>
                <w:szCs w:val="24"/>
              </w:rPr>
              <w:t>If all criteria met, approve for 12 months</w:t>
            </w:r>
          </w:p>
        </w:tc>
      </w:tr>
      <w:tr w:rsidR="001506C1" w:rsidRPr="00FA3F9C" w14:paraId="3D001DCB" w14:textId="77777777" w:rsidTr="005A0EB6">
        <w:trPr>
          <w:trHeight w:val="2258"/>
        </w:trPr>
        <w:tc>
          <w:tcPr>
            <w:tcW w:w="10790" w:type="dxa"/>
            <w:gridSpan w:val="2"/>
            <w:shd w:val="clear" w:color="auto" w:fill="BFBFBF" w:themeFill="background1" w:themeFillShade="BF"/>
          </w:tcPr>
          <w:p w14:paraId="3F44B57D" w14:textId="77777777" w:rsidR="001506C1" w:rsidRPr="00FA3F9C" w:rsidRDefault="001506C1" w:rsidP="00000444">
            <w:pPr>
              <w:rPr>
                <w:rFonts w:ascii="Arial" w:hAnsi="Arial" w:cs="Arial"/>
                <w:sz w:val="24"/>
                <w:szCs w:val="24"/>
              </w:rPr>
            </w:pPr>
            <w:r w:rsidRPr="00FA3F9C">
              <w:rPr>
                <w:rFonts w:ascii="Arial" w:hAnsi="Arial" w:cs="Arial"/>
                <w:sz w:val="24"/>
                <w:szCs w:val="24"/>
              </w:rPr>
              <w:lastRenderedPageBreak/>
              <w:t xml:space="preserve">Note:   </w:t>
            </w:r>
          </w:p>
          <w:p w14:paraId="49F34B3C" w14:textId="77777777" w:rsidR="001506C1" w:rsidRPr="00FA3F9C" w:rsidRDefault="001506C1" w:rsidP="00000444">
            <w:pPr>
              <w:rPr>
                <w:rFonts w:ascii="Arial" w:hAnsi="Arial" w:cs="Arial"/>
                <w:sz w:val="24"/>
                <w:szCs w:val="24"/>
              </w:rPr>
            </w:pPr>
            <w:proofErr w:type="spellStart"/>
            <w:r w:rsidRPr="00FA3F9C">
              <w:rPr>
                <w:rFonts w:ascii="Arial" w:hAnsi="Arial" w:cs="Arial"/>
                <w:sz w:val="24"/>
                <w:szCs w:val="24"/>
              </w:rPr>
              <w:t>Atezolizumab+bevacizumab</w:t>
            </w:r>
            <w:proofErr w:type="spellEnd"/>
            <w:r w:rsidRPr="00FA3F9C">
              <w:rPr>
                <w:rFonts w:ascii="Arial" w:hAnsi="Arial" w:cs="Arial"/>
                <w:sz w:val="24"/>
                <w:szCs w:val="24"/>
              </w:rPr>
              <w:t xml:space="preserve"> was compared to sorafenib. Median overall survival was improved in the </w:t>
            </w:r>
            <w:proofErr w:type="spellStart"/>
            <w:r w:rsidRPr="00FA3F9C">
              <w:rPr>
                <w:rFonts w:ascii="Arial" w:hAnsi="Arial" w:cs="Arial"/>
                <w:sz w:val="24"/>
                <w:szCs w:val="24"/>
              </w:rPr>
              <w:t>atezo</w:t>
            </w:r>
            <w:proofErr w:type="spellEnd"/>
            <w:r w:rsidRPr="00FA3F9C">
              <w:rPr>
                <w:rFonts w:ascii="Arial" w:hAnsi="Arial" w:cs="Arial"/>
                <w:sz w:val="24"/>
                <w:szCs w:val="24"/>
              </w:rPr>
              <w:t>/</w:t>
            </w:r>
            <w:proofErr w:type="spellStart"/>
            <w:r w:rsidRPr="00FA3F9C">
              <w:rPr>
                <w:rFonts w:ascii="Arial" w:hAnsi="Arial" w:cs="Arial"/>
                <w:sz w:val="24"/>
                <w:szCs w:val="24"/>
              </w:rPr>
              <w:t>bev</w:t>
            </w:r>
            <w:proofErr w:type="spellEnd"/>
            <w:r w:rsidRPr="00FA3F9C">
              <w:rPr>
                <w:rFonts w:ascii="Arial" w:hAnsi="Arial" w:cs="Arial"/>
                <w:sz w:val="24"/>
                <w:szCs w:val="24"/>
              </w:rPr>
              <w:t xml:space="preserve"> group compared to sorafenib (median not reached in </w:t>
            </w:r>
            <w:proofErr w:type="spellStart"/>
            <w:r w:rsidRPr="00FA3F9C">
              <w:rPr>
                <w:rFonts w:ascii="Arial" w:hAnsi="Arial" w:cs="Arial"/>
                <w:sz w:val="24"/>
                <w:szCs w:val="24"/>
              </w:rPr>
              <w:t>atezo</w:t>
            </w:r>
            <w:proofErr w:type="spellEnd"/>
            <w:r w:rsidRPr="00FA3F9C">
              <w:rPr>
                <w:rFonts w:ascii="Arial" w:hAnsi="Arial" w:cs="Arial"/>
                <w:sz w:val="24"/>
                <w:szCs w:val="24"/>
              </w:rPr>
              <w:t>/</w:t>
            </w:r>
            <w:proofErr w:type="spellStart"/>
            <w:r w:rsidRPr="00FA3F9C">
              <w:rPr>
                <w:rFonts w:ascii="Arial" w:hAnsi="Arial" w:cs="Arial"/>
                <w:sz w:val="24"/>
                <w:szCs w:val="24"/>
              </w:rPr>
              <w:t>bev</w:t>
            </w:r>
            <w:proofErr w:type="spellEnd"/>
            <w:r w:rsidRPr="00FA3F9C">
              <w:rPr>
                <w:rFonts w:ascii="Arial" w:hAnsi="Arial" w:cs="Arial"/>
                <w:sz w:val="24"/>
                <w:szCs w:val="24"/>
              </w:rPr>
              <w:t xml:space="preserve"> group versus 13.2 </w:t>
            </w:r>
            <w:proofErr w:type="spellStart"/>
            <w:r w:rsidRPr="00FA3F9C">
              <w:rPr>
                <w:rFonts w:ascii="Arial" w:hAnsi="Arial" w:cs="Arial"/>
                <w:sz w:val="24"/>
                <w:szCs w:val="24"/>
              </w:rPr>
              <w:t>mo</w:t>
            </w:r>
            <w:proofErr w:type="spellEnd"/>
            <w:r w:rsidRPr="00FA3F9C">
              <w:rPr>
                <w:rFonts w:ascii="Arial" w:hAnsi="Arial" w:cs="Arial"/>
                <w:sz w:val="24"/>
                <w:szCs w:val="24"/>
              </w:rPr>
              <w:t>; HR 0.58; 95% CI 0.42-0.79; p=0.0006).</w:t>
            </w:r>
          </w:p>
          <w:p w14:paraId="159A19F0" w14:textId="77777777" w:rsidR="001506C1" w:rsidRPr="00FA3F9C" w:rsidRDefault="001506C1" w:rsidP="00000444">
            <w:pPr>
              <w:rPr>
                <w:rFonts w:ascii="Arial" w:hAnsi="Arial" w:cs="Arial"/>
                <w:sz w:val="24"/>
                <w:szCs w:val="24"/>
              </w:rPr>
            </w:pPr>
          </w:p>
          <w:p w14:paraId="53E1B732" w14:textId="77777777" w:rsidR="001506C1" w:rsidRPr="00FA3F9C" w:rsidRDefault="001506C1" w:rsidP="00000444">
            <w:pPr>
              <w:rPr>
                <w:rFonts w:ascii="Arial" w:hAnsi="Arial" w:cs="Arial"/>
                <w:sz w:val="24"/>
                <w:szCs w:val="24"/>
              </w:rPr>
            </w:pPr>
            <w:r w:rsidRPr="00FA3F9C">
              <w:rPr>
                <w:rFonts w:ascii="Arial" w:hAnsi="Arial" w:cs="Arial"/>
                <w:sz w:val="24"/>
                <w:szCs w:val="24"/>
              </w:rPr>
              <w:t xml:space="preserve">Time to deterioration of overall quality of life using EORTC-QLQ C30) was also prolonged in the </w:t>
            </w:r>
            <w:proofErr w:type="spellStart"/>
            <w:r w:rsidRPr="00FA3F9C">
              <w:rPr>
                <w:rFonts w:ascii="Arial" w:hAnsi="Arial" w:cs="Arial"/>
                <w:sz w:val="24"/>
                <w:szCs w:val="24"/>
              </w:rPr>
              <w:t>atezo</w:t>
            </w:r>
            <w:proofErr w:type="spellEnd"/>
            <w:r w:rsidRPr="00FA3F9C">
              <w:rPr>
                <w:rFonts w:ascii="Arial" w:hAnsi="Arial" w:cs="Arial"/>
                <w:sz w:val="24"/>
                <w:szCs w:val="24"/>
              </w:rPr>
              <w:t>/</w:t>
            </w:r>
            <w:proofErr w:type="spellStart"/>
            <w:r w:rsidRPr="00FA3F9C">
              <w:rPr>
                <w:rFonts w:ascii="Arial" w:hAnsi="Arial" w:cs="Arial"/>
                <w:sz w:val="24"/>
                <w:szCs w:val="24"/>
              </w:rPr>
              <w:t>bev</w:t>
            </w:r>
            <w:proofErr w:type="spellEnd"/>
            <w:r w:rsidRPr="00FA3F9C">
              <w:rPr>
                <w:rFonts w:ascii="Arial" w:hAnsi="Arial" w:cs="Arial"/>
                <w:sz w:val="24"/>
                <w:szCs w:val="24"/>
              </w:rPr>
              <w:t xml:space="preserve"> group (median 11.2 </w:t>
            </w:r>
            <w:proofErr w:type="spellStart"/>
            <w:r w:rsidRPr="00FA3F9C">
              <w:rPr>
                <w:rFonts w:ascii="Arial" w:hAnsi="Arial" w:cs="Arial"/>
                <w:sz w:val="24"/>
                <w:szCs w:val="24"/>
              </w:rPr>
              <w:t>mo</w:t>
            </w:r>
            <w:proofErr w:type="spellEnd"/>
            <w:r w:rsidRPr="00FA3F9C">
              <w:rPr>
                <w:rFonts w:ascii="Arial" w:hAnsi="Arial" w:cs="Arial"/>
                <w:sz w:val="24"/>
                <w:szCs w:val="24"/>
              </w:rPr>
              <w:t xml:space="preserve"> vs 3.6 </w:t>
            </w:r>
            <w:proofErr w:type="spellStart"/>
            <w:r w:rsidRPr="00FA3F9C">
              <w:rPr>
                <w:rFonts w:ascii="Arial" w:hAnsi="Arial" w:cs="Arial"/>
                <w:sz w:val="24"/>
                <w:szCs w:val="24"/>
              </w:rPr>
              <w:t>mo</w:t>
            </w:r>
            <w:proofErr w:type="spellEnd"/>
            <w:r w:rsidRPr="00FA3F9C">
              <w:rPr>
                <w:rFonts w:ascii="Arial" w:hAnsi="Arial" w:cs="Arial"/>
                <w:sz w:val="24"/>
                <w:szCs w:val="24"/>
              </w:rPr>
              <w:t xml:space="preserve">; HR 0.63; 95% CI 0.46-0.85). Time to deterioration of physical functioning and role functioning was also prolonged in the </w:t>
            </w:r>
            <w:proofErr w:type="spellStart"/>
            <w:r w:rsidRPr="00FA3F9C">
              <w:rPr>
                <w:rFonts w:ascii="Arial" w:hAnsi="Arial" w:cs="Arial"/>
                <w:sz w:val="24"/>
                <w:szCs w:val="24"/>
              </w:rPr>
              <w:t>atezo</w:t>
            </w:r>
            <w:proofErr w:type="spellEnd"/>
            <w:r w:rsidRPr="00FA3F9C">
              <w:rPr>
                <w:rFonts w:ascii="Arial" w:hAnsi="Arial" w:cs="Arial"/>
                <w:sz w:val="24"/>
                <w:szCs w:val="24"/>
              </w:rPr>
              <w:t>/</w:t>
            </w:r>
            <w:proofErr w:type="spellStart"/>
            <w:r w:rsidRPr="00FA3F9C">
              <w:rPr>
                <w:rFonts w:ascii="Arial" w:hAnsi="Arial" w:cs="Arial"/>
                <w:sz w:val="24"/>
                <w:szCs w:val="24"/>
              </w:rPr>
              <w:t>bev</w:t>
            </w:r>
            <w:proofErr w:type="spellEnd"/>
            <w:r w:rsidRPr="00FA3F9C">
              <w:rPr>
                <w:rFonts w:ascii="Arial" w:hAnsi="Arial" w:cs="Arial"/>
                <w:sz w:val="24"/>
                <w:szCs w:val="24"/>
              </w:rPr>
              <w:t xml:space="preserve"> group.</w:t>
            </w:r>
          </w:p>
          <w:p w14:paraId="153DDD0C" w14:textId="77777777" w:rsidR="001506C1" w:rsidRPr="00FA3F9C" w:rsidRDefault="001506C1" w:rsidP="00000444">
            <w:pPr>
              <w:rPr>
                <w:rFonts w:ascii="Arial" w:eastAsia="Times New Roman" w:hAnsi="Arial" w:cs="Arial"/>
                <w:sz w:val="24"/>
                <w:szCs w:val="24"/>
              </w:rPr>
            </w:pPr>
          </w:p>
          <w:p w14:paraId="0155CDB6" w14:textId="77777777" w:rsidR="001506C1" w:rsidRPr="00FA3F9C" w:rsidRDefault="001506C1" w:rsidP="00000444">
            <w:pPr>
              <w:rPr>
                <w:rFonts w:ascii="Arial" w:eastAsia="Times New Roman" w:hAnsi="Arial" w:cs="Arial"/>
                <w:sz w:val="24"/>
                <w:szCs w:val="24"/>
              </w:rPr>
            </w:pPr>
            <w:r w:rsidRPr="00FA3F9C">
              <w:rPr>
                <w:rFonts w:ascii="Arial" w:eastAsia="Times New Roman" w:hAnsi="Arial" w:cs="Arial"/>
                <w:sz w:val="24"/>
                <w:szCs w:val="24"/>
              </w:rPr>
              <w:t>Reference:</w:t>
            </w:r>
          </w:p>
          <w:p w14:paraId="53C16302" w14:textId="77777777" w:rsidR="001506C1" w:rsidRPr="00FA3F9C" w:rsidRDefault="001506C1" w:rsidP="00000444">
            <w:pPr>
              <w:spacing w:after="160"/>
              <w:rPr>
                <w:rFonts w:ascii="Arial" w:hAnsi="Arial" w:cs="Arial"/>
                <w:sz w:val="24"/>
                <w:szCs w:val="24"/>
              </w:rPr>
            </w:pPr>
            <w:r w:rsidRPr="00FA3F9C">
              <w:rPr>
                <w:rFonts w:ascii="Arial" w:hAnsi="Arial" w:cs="Arial"/>
                <w:sz w:val="24"/>
                <w:szCs w:val="24"/>
              </w:rPr>
              <w:t xml:space="preserve">Finn RS, Qin S, Ikeda M, et al. Atezolizumab plus Bevacizumab in Unresectable Hepatocellular Carcinoma. N </w:t>
            </w:r>
            <w:proofErr w:type="spellStart"/>
            <w:r w:rsidRPr="00FA3F9C">
              <w:rPr>
                <w:rFonts w:ascii="Arial" w:hAnsi="Arial" w:cs="Arial"/>
                <w:sz w:val="24"/>
                <w:szCs w:val="24"/>
              </w:rPr>
              <w:t>Engl</w:t>
            </w:r>
            <w:proofErr w:type="spellEnd"/>
            <w:r w:rsidRPr="00FA3F9C">
              <w:rPr>
                <w:rFonts w:ascii="Arial" w:hAnsi="Arial" w:cs="Arial"/>
                <w:sz w:val="24"/>
                <w:szCs w:val="24"/>
              </w:rPr>
              <w:t xml:space="preserve"> J Med. 2020;382(20):1894-1905. doi:10.1056/NEJMoa1915745. PMID 32402160 NCT03434379</w:t>
            </w:r>
          </w:p>
        </w:tc>
      </w:tr>
    </w:tbl>
    <w:p w14:paraId="4883C06C" w14:textId="77777777" w:rsidR="001506C1" w:rsidRPr="00FA3F9C" w:rsidRDefault="001506C1" w:rsidP="006F623F">
      <w:pPr>
        <w:spacing w:after="0"/>
        <w:rPr>
          <w:rFonts w:ascii="Arial" w:hAnsi="Arial" w:cs="Arial"/>
          <w:sz w:val="24"/>
          <w:szCs w:val="24"/>
        </w:rPr>
      </w:pPr>
    </w:p>
    <w:p w14:paraId="0179DA9C" w14:textId="77777777" w:rsidR="001506C1" w:rsidRPr="00FA3F9C" w:rsidRDefault="001506C1" w:rsidP="006F623F">
      <w:pPr>
        <w:spacing w:after="0"/>
        <w:rPr>
          <w:rFonts w:ascii="Arial" w:hAnsi="Arial" w:cs="Arial"/>
          <w:sz w:val="24"/>
          <w:szCs w:val="24"/>
        </w:rPr>
      </w:pPr>
    </w:p>
    <w:p w14:paraId="3AC45150" w14:textId="77777777" w:rsidR="001506C1" w:rsidRPr="00FA3F9C" w:rsidRDefault="001506C1" w:rsidP="006F623F">
      <w:pPr>
        <w:spacing w:after="0"/>
        <w:rPr>
          <w:rFonts w:ascii="Arial" w:hAnsi="Arial" w:cs="Arial"/>
          <w:sz w:val="24"/>
          <w:szCs w:val="24"/>
        </w:rPr>
      </w:pPr>
    </w:p>
    <w:p w14:paraId="18703E36"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284"/>
        <w:gridCol w:w="7937"/>
        <w:gridCol w:w="1998"/>
      </w:tblGrid>
      <w:tr w:rsidR="001506C1" w:rsidRPr="00FA3F9C" w14:paraId="5889AE44" w14:textId="77777777" w:rsidTr="00B50245">
        <w:tc>
          <w:tcPr>
            <w:tcW w:w="1081" w:type="dxa"/>
          </w:tcPr>
          <w:p w14:paraId="250F5BE2" w14:textId="77777777" w:rsidR="001506C1" w:rsidRPr="00FA3F9C" w:rsidRDefault="001506C1" w:rsidP="006F623F">
            <w:pPr>
              <w:rPr>
                <w:rFonts w:ascii="Arial" w:hAnsi="Arial" w:cs="Arial"/>
                <w:sz w:val="24"/>
                <w:szCs w:val="24"/>
              </w:rPr>
            </w:pPr>
            <w:r w:rsidRPr="00FA3F9C">
              <w:rPr>
                <w:rFonts w:ascii="Arial" w:hAnsi="Arial" w:cs="Arial"/>
                <w:sz w:val="24"/>
                <w:szCs w:val="24"/>
              </w:rPr>
              <w:t>Date</w:t>
            </w:r>
          </w:p>
        </w:tc>
        <w:tc>
          <w:tcPr>
            <w:tcW w:w="7937" w:type="dxa"/>
          </w:tcPr>
          <w:p w14:paraId="5944C4C4" w14:textId="77777777" w:rsidR="001506C1" w:rsidRPr="00FA3F9C" w:rsidRDefault="001506C1" w:rsidP="006F623F">
            <w:pPr>
              <w:rPr>
                <w:rFonts w:ascii="Arial" w:hAnsi="Arial" w:cs="Arial"/>
                <w:sz w:val="24"/>
                <w:szCs w:val="24"/>
              </w:rPr>
            </w:pPr>
            <w:r w:rsidRPr="00FA3F9C">
              <w:rPr>
                <w:rFonts w:ascii="Arial" w:hAnsi="Arial" w:cs="Arial"/>
                <w:sz w:val="24"/>
                <w:szCs w:val="24"/>
              </w:rPr>
              <w:t>What changed</w:t>
            </w:r>
          </w:p>
        </w:tc>
        <w:tc>
          <w:tcPr>
            <w:tcW w:w="1998" w:type="dxa"/>
          </w:tcPr>
          <w:p w14:paraId="3E3D80F9" w14:textId="77777777" w:rsidR="001506C1" w:rsidRPr="00FA3F9C" w:rsidRDefault="001506C1" w:rsidP="006F623F">
            <w:pPr>
              <w:rPr>
                <w:rFonts w:ascii="Arial" w:hAnsi="Arial" w:cs="Arial"/>
                <w:sz w:val="24"/>
                <w:szCs w:val="24"/>
              </w:rPr>
            </w:pPr>
            <w:r w:rsidRPr="00FA3F9C">
              <w:rPr>
                <w:rFonts w:ascii="Arial" w:hAnsi="Arial" w:cs="Arial"/>
                <w:sz w:val="24"/>
                <w:szCs w:val="24"/>
              </w:rPr>
              <w:t>Pharmacist’s initials</w:t>
            </w:r>
          </w:p>
        </w:tc>
      </w:tr>
      <w:tr w:rsidR="001506C1" w:rsidRPr="00FA3F9C" w14:paraId="3B09814D" w14:textId="77777777" w:rsidTr="00B50245">
        <w:tc>
          <w:tcPr>
            <w:tcW w:w="1081" w:type="dxa"/>
          </w:tcPr>
          <w:p w14:paraId="34EF506E" w14:textId="77777777" w:rsidR="001506C1" w:rsidRPr="00FA3F9C" w:rsidRDefault="001506C1" w:rsidP="006F623F">
            <w:pPr>
              <w:rPr>
                <w:rFonts w:ascii="Arial" w:hAnsi="Arial" w:cs="Arial"/>
                <w:sz w:val="24"/>
                <w:szCs w:val="24"/>
              </w:rPr>
            </w:pPr>
            <w:r w:rsidRPr="00FA3F9C">
              <w:rPr>
                <w:rFonts w:ascii="Arial" w:hAnsi="Arial" w:cs="Arial"/>
                <w:sz w:val="24"/>
                <w:szCs w:val="24"/>
              </w:rPr>
              <w:t>3/2/17</w:t>
            </w:r>
          </w:p>
        </w:tc>
        <w:tc>
          <w:tcPr>
            <w:tcW w:w="7937" w:type="dxa"/>
          </w:tcPr>
          <w:p w14:paraId="5BED4AC0" w14:textId="77777777" w:rsidR="001506C1" w:rsidRPr="00FA3F9C" w:rsidRDefault="001506C1" w:rsidP="006F623F">
            <w:pPr>
              <w:rPr>
                <w:rFonts w:ascii="Arial" w:hAnsi="Arial" w:cs="Arial"/>
                <w:sz w:val="24"/>
                <w:szCs w:val="24"/>
              </w:rPr>
            </w:pPr>
            <w:r w:rsidRPr="00FA3F9C">
              <w:rPr>
                <w:rFonts w:ascii="Arial" w:hAnsi="Arial" w:cs="Arial"/>
                <w:sz w:val="24"/>
                <w:szCs w:val="24"/>
              </w:rPr>
              <w:t>I wrote the criteria.</w:t>
            </w:r>
          </w:p>
        </w:tc>
        <w:tc>
          <w:tcPr>
            <w:tcW w:w="1998" w:type="dxa"/>
          </w:tcPr>
          <w:p w14:paraId="395989D5" w14:textId="77777777" w:rsidR="001506C1" w:rsidRPr="00FA3F9C" w:rsidRDefault="001506C1" w:rsidP="006F623F">
            <w:pPr>
              <w:rPr>
                <w:rFonts w:ascii="Arial" w:hAnsi="Arial" w:cs="Arial"/>
                <w:sz w:val="24"/>
                <w:szCs w:val="24"/>
              </w:rPr>
            </w:pPr>
            <w:r w:rsidRPr="00FA3F9C">
              <w:rPr>
                <w:rFonts w:ascii="Arial" w:hAnsi="Arial" w:cs="Arial"/>
                <w:sz w:val="24"/>
                <w:szCs w:val="24"/>
              </w:rPr>
              <w:t>JJ</w:t>
            </w:r>
          </w:p>
        </w:tc>
      </w:tr>
      <w:tr w:rsidR="001506C1" w:rsidRPr="00FA3F9C" w14:paraId="37FC5140" w14:textId="77777777" w:rsidTr="00B50245">
        <w:tc>
          <w:tcPr>
            <w:tcW w:w="1081" w:type="dxa"/>
          </w:tcPr>
          <w:p w14:paraId="76B24767" w14:textId="77777777" w:rsidR="001506C1" w:rsidRPr="00FA3F9C" w:rsidRDefault="001506C1" w:rsidP="006F623F">
            <w:pPr>
              <w:rPr>
                <w:rFonts w:ascii="Arial" w:hAnsi="Arial" w:cs="Arial"/>
                <w:sz w:val="24"/>
                <w:szCs w:val="24"/>
              </w:rPr>
            </w:pPr>
            <w:r w:rsidRPr="00FA3F9C">
              <w:rPr>
                <w:rFonts w:ascii="Arial" w:hAnsi="Arial" w:cs="Arial"/>
                <w:sz w:val="24"/>
                <w:szCs w:val="24"/>
              </w:rPr>
              <w:t>5/10/17</w:t>
            </w:r>
          </w:p>
        </w:tc>
        <w:tc>
          <w:tcPr>
            <w:tcW w:w="7937" w:type="dxa"/>
          </w:tcPr>
          <w:p w14:paraId="306A31DB" w14:textId="77777777" w:rsidR="001506C1" w:rsidRPr="00FA3F9C" w:rsidRDefault="001506C1" w:rsidP="006F623F">
            <w:pPr>
              <w:rPr>
                <w:rFonts w:ascii="Arial" w:eastAsia="Times New Roman" w:hAnsi="Arial" w:cs="Arial"/>
                <w:sz w:val="24"/>
                <w:szCs w:val="24"/>
              </w:rPr>
            </w:pPr>
            <w:r w:rsidRPr="00FA3F9C">
              <w:rPr>
                <w:rFonts w:ascii="Arial" w:eastAsia="Times New Roman" w:hAnsi="Arial" w:cs="Arial"/>
                <w:color w:val="111111"/>
                <w:sz w:val="24"/>
                <w:szCs w:val="24"/>
              </w:rPr>
              <w:t>IMvigor211, the confirmatory trial, seeking an OS benefit over chemotherapy, failed to show a benefit, putting the FDA-approval for urothelial carcinoma in jeopardy.  Awaiting the actual reference from the peer-reviewed publication.</w:t>
            </w:r>
          </w:p>
        </w:tc>
        <w:tc>
          <w:tcPr>
            <w:tcW w:w="1998" w:type="dxa"/>
          </w:tcPr>
          <w:p w14:paraId="750766B6" w14:textId="77777777" w:rsidR="001506C1" w:rsidRPr="00FA3F9C" w:rsidRDefault="001506C1" w:rsidP="006F623F">
            <w:pPr>
              <w:rPr>
                <w:rFonts w:ascii="Arial" w:hAnsi="Arial" w:cs="Arial"/>
                <w:sz w:val="24"/>
                <w:szCs w:val="24"/>
              </w:rPr>
            </w:pPr>
            <w:r w:rsidRPr="00FA3F9C">
              <w:rPr>
                <w:rFonts w:ascii="Arial" w:hAnsi="Arial" w:cs="Arial"/>
                <w:sz w:val="24"/>
                <w:szCs w:val="24"/>
              </w:rPr>
              <w:t>JJ</w:t>
            </w:r>
          </w:p>
        </w:tc>
      </w:tr>
      <w:tr w:rsidR="001506C1" w:rsidRPr="00FA3F9C" w14:paraId="355845FF" w14:textId="77777777" w:rsidTr="00B50245">
        <w:tc>
          <w:tcPr>
            <w:tcW w:w="1081" w:type="dxa"/>
          </w:tcPr>
          <w:p w14:paraId="65C5C4E9" w14:textId="77777777" w:rsidR="001506C1" w:rsidRPr="00FA3F9C" w:rsidRDefault="001506C1" w:rsidP="006F623F">
            <w:pPr>
              <w:rPr>
                <w:rFonts w:ascii="Arial" w:hAnsi="Arial" w:cs="Arial"/>
                <w:sz w:val="24"/>
                <w:szCs w:val="24"/>
              </w:rPr>
            </w:pPr>
            <w:r w:rsidRPr="00FA3F9C">
              <w:rPr>
                <w:rFonts w:ascii="Arial" w:hAnsi="Arial" w:cs="Arial"/>
                <w:sz w:val="24"/>
                <w:szCs w:val="24"/>
              </w:rPr>
              <w:t>2/26/2019</w:t>
            </w:r>
          </w:p>
        </w:tc>
        <w:tc>
          <w:tcPr>
            <w:tcW w:w="7937" w:type="dxa"/>
          </w:tcPr>
          <w:p w14:paraId="6F20157A" w14:textId="77777777" w:rsidR="001506C1" w:rsidRPr="00FA3F9C" w:rsidRDefault="001506C1" w:rsidP="009C56BA">
            <w:pPr>
              <w:rPr>
                <w:rFonts w:ascii="Arial" w:eastAsia="Times New Roman" w:hAnsi="Arial" w:cs="Arial"/>
                <w:color w:val="111111"/>
                <w:sz w:val="24"/>
                <w:szCs w:val="24"/>
              </w:rPr>
            </w:pPr>
            <w:r w:rsidRPr="00FA3F9C">
              <w:rPr>
                <w:rFonts w:ascii="Arial" w:eastAsia="Times New Roman" w:hAnsi="Arial" w:cs="Arial"/>
                <w:color w:val="111111"/>
                <w:sz w:val="24"/>
                <w:szCs w:val="24"/>
              </w:rPr>
              <w:t>Added first line use criteria in combination with bevacizumab/carboplatin/paclitaxel per study criteria.</w:t>
            </w:r>
          </w:p>
        </w:tc>
        <w:tc>
          <w:tcPr>
            <w:tcW w:w="1998" w:type="dxa"/>
          </w:tcPr>
          <w:p w14:paraId="3CE4ECAC" w14:textId="77777777" w:rsidR="001506C1" w:rsidRPr="00FA3F9C" w:rsidRDefault="001506C1" w:rsidP="006F623F">
            <w:pPr>
              <w:rPr>
                <w:rFonts w:ascii="Arial" w:hAnsi="Arial" w:cs="Arial"/>
                <w:sz w:val="24"/>
                <w:szCs w:val="24"/>
              </w:rPr>
            </w:pPr>
            <w:proofErr w:type="spellStart"/>
            <w:r w:rsidRPr="00FA3F9C">
              <w:rPr>
                <w:rFonts w:ascii="Arial" w:hAnsi="Arial" w:cs="Arial"/>
                <w:sz w:val="24"/>
                <w:szCs w:val="24"/>
              </w:rPr>
              <w:t>Sk</w:t>
            </w:r>
            <w:proofErr w:type="spellEnd"/>
          </w:p>
        </w:tc>
      </w:tr>
      <w:tr w:rsidR="001506C1" w:rsidRPr="00FA3F9C" w14:paraId="7F425F7F" w14:textId="77777777" w:rsidTr="00B50245">
        <w:tc>
          <w:tcPr>
            <w:tcW w:w="1081" w:type="dxa"/>
          </w:tcPr>
          <w:p w14:paraId="1682145E" w14:textId="77777777" w:rsidR="001506C1" w:rsidRPr="00FA3F9C" w:rsidRDefault="001506C1" w:rsidP="006F623F">
            <w:pPr>
              <w:rPr>
                <w:rFonts w:ascii="Arial" w:hAnsi="Arial" w:cs="Arial"/>
                <w:sz w:val="24"/>
                <w:szCs w:val="24"/>
              </w:rPr>
            </w:pPr>
            <w:r w:rsidRPr="00FA3F9C">
              <w:rPr>
                <w:rFonts w:ascii="Arial" w:hAnsi="Arial" w:cs="Arial"/>
                <w:sz w:val="24"/>
                <w:szCs w:val="24"/>
              </w:rPr>
              <w:t>7/18/19</w:t>
            </w:r>
          </w:p>
        </w:tc>
        <w:tc>
          <w:tcPr>
            <w:tcW w:w="7937" w:type="dxa"/>
          </w:tcPr>
          <w:p w14:paraId="17540DA1" w14:textId="77777777" w:rsidR="001506C1" w:rsidRPr="00FA3F9C" w:rsidRDefault="001506C1" w:rsidP="00EB7A41">
            <w:pPr>
              <w:rPr>
                <w:rFonts w:ascii="Arial" w:eastAsia="Times New Roman" w:hAnsi="Arial" w:cs="Arial"/>
                <w:color w:val="111111"/>
                <w:sz w:val="24"/>
                <w:szCs w:val="24"/>
              </w:rPr>
            </w:pPr>
            <w:r w:rsidRPr="00FA3F9C">
              <w:rPr>
                <w:rFonts w:ascii="Arial" w:eastAsia="Times New Roman" w:hAnsi="Arial" w:cs="Arial"/>
                <w:color w:val="111111"/>
                <w:sz w:val="24"/>
                <w:szCs w:val="24"/>
              </w:rPr>
              <w:t>Added TNBC and small cell lung cancer indications. Simplified NSCLC criteria</w:t>
            </w:r>
          </w:p>
        </w:tc>
        <w:tc>
          <w:tcPr>
            <w:tcW w:w="1998" w:type="dxa"/>
          </w:tcPr>
          <w:p w14:paraId="0E9B84CD" w14:textId="77777777" w:rsidR="001506C1" w:rsidRPr="00FA3F9C" w:rsidRDefault="001506C1" w:rsidP="006F623F">
            <w:pPr>
              <w:rPr>
                <w:rFonts w:ascii="Arial" w:hAnsi="Arial" w:cs="Arial"/>
                <w:sz w:val="24"/>
                <w:szCs w:val="24"/>
              </w:rPr>
            </w:pPr>
            <w:r w:rsidRPr="00FA3F9C">
              <w:rPr>
                <w:rFonts w:ascii="Arial" w:hAnsi="Arial" w:cs="Arial"/>
                <w:sz w:val="24"/>
                <w:szCs w:val="24"/>
              </w:rPr>
              <w:t>SK</w:t>
            </w:r>
          </w:p>
        </w:tc>
      </w:tr>
      <w:tr w:rsidR="001506C1" w:rsidRPr="00FA3F9C" w14:paraId="523A5CDF" w14:textId="77777777" w:rsidTr="00B50245">
        <w:tc>
          <w:tcPr>
            <w:tcW w:w="1081" w:type="dxa"/>
          </w:tcPr>
          <w:p w14:paraId="30567FBA" w14:textId="77777777" w:rsidR="001506C1" w:rsidRPr="00FA3F9C" w:rsidRDefault="001506C1" w:rsidP="006F623F">
            <w:pPr>
              <w:rPr>
                <w:rFonts w:ascii="Arial" w:hAnsi="Arial" w:cs="Arial"/>
                <w:sz w:val="24"/>
                <w:szCs w:val="24"/>
              </w:rPr>
            </w:pPr>
            <w:r w:rsidRPr="00FA3F9C">
              <w:rPr>
                <w:rFonts w:ascii="Arial" w:hAnsi="Arial" w:cs="Arial"/>
                <w:sz w:val="24"/>
                <w:szCs w:val="24"/>
              </w:rPr>
              <w:t>12/9/19</w:t>
            </w:r>
          </w:p>
        </w:tc>
        <w:tc>
          <w:tcPr>
            <w:tcW w:w="7937" w:type="dxa"/>
          </w:tcPr>
          <w:p w14:paraId="016ECE54" w14:textId="77777777" w:rsidR="001506C1" w:rsidRPr="00FA3F9C" w:rsidRDefault="001506C1" w:rsidP="006844A1">
            <w:pPr>
              <w:rPr>
                <w:rFonts w:ascii="Arial" w:eastAsia="Times New Roman" w:hAnsi="Arial" w:cs="Arial"/>
                <w:color w:val="111111"/>
                <w:sz w:val="24"/>
                <w:szCs w:val="24"/>
              </w:rPr>
            </w:pPr>
            <w:r w:rsidRPr="00FA3F9C">
              <w:rPr>
                <w:rFonts w:ascii="Arial" w:eastAsia="Times New Roman" w:hAnsi="Arial" w:cs="Arial"/>
                <w:color w:val="111111"/>
                <w:sz w:val="24"/>
                <w:szCs w:val="24"/>
              </w:rPr>
              <w:t xml:space="preserve">Added new FDA approved indication under FDA approvals (no change to criteria—this indication was already covered--data was released months ago): </w:t>
            </w:r>
            <w:r w:rsidRPr="00FA3F9C">
              <w:rPr>
                <w:rFonts w:ascii="Arial" w:eastAsia="Calibri" w:hAnsi="Arial" w:cs="Arial"/>
                <w:sz w:val="24"/>
                <w:szCs w:val="24"/>
              </w:rPr>
              <w:t xml:space="preserve">In combination with paclitaxel protein-bound (Abraxane) and carboplatin for the first-line treatment of adult patients with </w:t>
            </w:r>
            <w:r w:rsidRPr="00FA3F9C">
              <w:rPr>
                <w:rFonts w:ascii="Arial" w:eastAsia="Calibri" w:hAnsi="Arial" w:cs="Arial"/>
                <w:sz w:val="24"/>
                <w:szCs w:val="24"/>
              </w:rPr>
              <w:lastRenderedPageBreak/>
              <w:t>metastatic non-squamous NSCLC with no EGFR or ALK genomic tumor aberrations</w:t>
            </w:r>
          </w:p>
        </w:tc>
        <w:tc>
          <w:tcPr>
            <w:tcW w:w="1998" w:type="dxa"/>
          </w:tcPr>
          <w:p w14:paraId="12EE1222" w14:textId="77777777" w:rsidR="001506C1" w:rsidRPr="00FA3F9C" w:rsidRDefault="001506C1" w:rsidP="006F623F">
            <w:pPr>
              <w:rPr>
                <w:rFonts w:ascii="Arial" w:hAnsi="Arial" w:cs="Arial"/>
                <w:sz w:val="24"/>
                <w:szCs w:val="24"/>
              </w:rPr>
            </w:pPr>
            <w:proofErr w:type="spellStart"/>
            <w:r w:rsidRPr="00FA3F9C">
              <w:rPr>
                <w:rFonts w:ascii="Arial" w:hAnsi="Arial" w:cs="Arial"/>
                <w:sz w:val="24"/>
                <w:szCs w:val="24"/>
              </w:rPr>
              <w:lastRenderedPageBreak/>
              <w:t>Sk</w:t>
            </w:r>
            <w:proofErr w:type="spellEnd"/>
          </w:p>
        </w:tc>
      </w:tr>
      <w:tr w:rsidR="001506C1" w:rsidRPr="00FA3F9C" w14:paraId="312AA3A4" w14:textId="77777777" w:rsidTr="00B50245">
        <w:tc>
          <w:tcPr>
            <w:tcW w:w="1081" w:type="dxa"/>
          </w:tcPr>
          <w:p w14:paraId="2409B709" w14:textId="77777777" w:rsidR="001506C1" w:rsidRPr="00FA3F9C" w:rsidRDefault="001506C1" w:rsidP="006F623F">
            <w:pPr>
              <w:rPr>
                <w:rFonts w:ascii="Arial" w:hAnsi="Arial" w:cs="Arial"/>
                <w:sz w:val="24"/>
                <w:szCs w:val="24"/>
              </w:rPr>
            </w:pPr>
            <w:r w:rsidRPr="00FA3F9C">
              <w:rPr>
                <w:rFonts w:ascii="Arial" w:hAnsi="Arial" w:cs="Arial"/>
                <w:sz w:val="24"/>
                <w:szCs w:val="24"/>
              </w:rPr>
              <w:t>1/29/2020</w:t>
            </w:r>
          </w:p>
        </w:tc>
        <w:tc>
          <w:tcPr>
            <w:tcW w:w="7937" w:type="dxa"/>
          </w:tcPr>
          <w:p w14:paraId="23BF922A" w14:textId="77777777" w:rsidR="001506C1" w:rsidRPr="00FA3F9C" w:rsidRDefault="001506C1" w:rsidP="00622957">
            <w:pPr>
              <w:rPr>
                <w:rFonts w:ascii="Arial" w:eastAsia="Times New Roman" w:hAnsi="Arial" w:cs="Arial"/>
                <w:color w:val="111111"/>
                <w:sz w:val="24"/>
                <w:szCs w:val="24"/>
              </w:rPr>
            </w:pPr>
            <w:r w:rsidRPr="00FA3F9C">
              <w:rPr>
                <w:rFonts w:ascii="Arial" w:eastAsia="Times New Roman" w:hAnsi="Arial" w:cs="Arial"/>
                <w:color w:val="111111"/>
                <w:sz w:val="24"/>
                <w:szCs w:val="24"/>
              </w:rPr>
              <w:t>Reviewed all criteria. No change</w:t>
            </w:r>
          </w:p>
        </w:tc>
        <w:tc>
          <w:tcPr>
            <w:tcW w:w="1998" w:type="dxa"/>
          </w:tcPr>
          <w:p w14:paraId="07570A16" w14:textId="77777777" w:rsidR="001506C1" w:rsidRPr="00FA3F9C" w:rsidRDefault="001506C1" w:rsidP="006F623F">
            <w:pPr>
              <w:rPr>
                <w:rFonts w:ascii="Arial" w:hAnsi="Arial" w:cs="Arial"/>
                <w:sz w:val="24"/>
                <w:szCs w:val="24"/>
              </w:rPr>
            </w:pPr>
            <w:proofErr w:type="spellStart"/>
            <w:r w:rsidRPr="00FA3F9C">
              <w:rPr>
                <w:rFonts w:ascii="Arial" w:hAnsi="Arial" w:cs="Arial"/>
                <w:sz w:val="24"/>
                <w:szCs w:val="24"/>
              </w:rPr>
              <w:t>Sk</w:t>
            </w:r>
            <w:proofErr w:type="spellEnd"/>
          </w:p>
        </w:tc>
      </w:tr>
      <w:tr w:rsidR="001506C1" w:rsidRPr="00FA3F9C" w14:paraId="5651CF5E" w14:textId="77777777" w:rsidTr="00B50245">
        <w:tc>
          <w:tcPr>
            <w:tcW w:w="1081" w:type="dxa"/>
          </w:tcPr>
          <w:p w14:paraId="4BD4A684" w14:textId="77777777" w:rsidR="001506C1" w:rsidRPr="00FA3F9C" w:rsidRDefault="001506C1" w:rsidP="006F623F">
            <w:pPr>
              <w:rPr>
                <w:rFonts w:ascii="Arial" w:hAnsi="Arial" w:cs="Arial"/>
                <w:sz w:val="24"/>
                <w:szCs w:val="24"/>
              </w:rPr>
            </w:pPr>
            <w:r w:rsidRPr="00FA3F9C">
              <w:rPr>
                <w:rFonts w:ascii="Arial" w:hAnsi="Arial" w:cs="Arial"/>
                <w:sz w:val="24"/>
                <w:szCs w:val="24"/>
              </w:rPr>
              <w:t>5/27/2020</w:t>
            </w:r>
          </w:p>
        </w:tc>
        <w:tc>
          <w:tcPr>
            <w:tcW w:w="7937" w:type="dxa"/>
          </w:tcPr>
          <w:p w14:paraId="3804EAEC" w14:textId="77777777" w:rsidR="001506C1" w:rsidRPr="00FA3F9C" w:rsidRDefault="001506C1" w:rsidP="004503B3">
            <w:pPr>
              <w:rPr>
                <w:rFonts w:ascii="Arial" w:eastAsia="Times New Roman" w:hAnsi="Arial" w:cs="Arial"/>
                <w:color w:val="111111"/>
                <w:sz w:val="24"/>
                <w:szCs w:val="24"/>
              </w:rPr>
            </w:pPr>
            <w:r w:rsidRPr="00FA3F9C">
              <w:rPr>
                <w:rFonts w:ascii="Arial" w:eastAsia="Times New Roman" w:hAnsi="Arial" w:cs="Arial"/>
                <w:color w:val="111111"/>
                <w:sz w:val="24"/>
                <w:szCs w:val="24"/>
              </w:rPr>
              <w:t xml:space="preserve">Added coverage for monotherapy indication for </w:t>
            </w:r>
            <w:proofErr w:type="spellStart"/>
            <w:r w:rsidRPr="00FA3F9C">
              <w:rPr>
                <w:rFonts w:ascii="Arial" w:eastAsia="Times New Roman" w:hAnsi="Arial" w:cs="Arial"/>
                <w:color w:val="111111"/>
                <w:sz w:val="24"/>
                <w:szCs w:val="24"/>
              </w:rPr>
              <w:t>non small</w:t>
            </w:r>
            <w:proofErr w:type="spellEnd"/>
            <w:r w:rsidRPr="00FA3F9C">
              <w:rPr>
                <w:rFonts w:ascii="Arial" w:eastAsia="Times New Roman" w:hAnsi="Arial" w:cs="Arial"/>
                <w:color w:val="111111"/>
                <w:sz w:val="24"/>
                <w:szCs w:val="24"/>
              </w:rPr>
              <w:t xml:space="preserve"> cell lung cancer with high PD-L1 expression.</w:t>
            </w:r>
          </w:p>
        </w:tc>
        <w:tc>
          <w:tcPr>
            <w:tcW w:w="1998" w:type="dxa"/>
          </w:tcPr>
          <w:p w14:paraId="2FB538D3" w14:textId="77777777" w:rsidR="001506C1" w:rsidRPr="00FA3F9C" w:rsidRDefault="001506C1" w:rsidP="006F623F">
            <w:pPr>
              <w:rPr>
                <w:rFonts w:ascii="Arial" w:hAnsi="Arial" w:cs="Arial"/>
                <w:sz w:val="24"/>
                <w:szCs w:val="24"/>
              </w:rPr>
            </w:pPr>
            <w:r w:rsidRPr="00FA3F9C">
              <w:rPr>
                <w:rFonts w:ascii="Arial" w:hAnsi="Arial" w:cs="Arial"/>
                <w:sz w:val="24"/>
                <w:szCs w:val="24"/>
              </w:rPr>
              <w:t>SK</w:t>
            </w:r>
          </w:p>
        </w:tc>
      </w:tr>
      <w:tr w:rsidR="001506C1" w:rsidRPr="00FA3F9C" w14:paraId="3F559908" w14:textId="77777777" w:rsidTr="00B50245">
        <w:tc>
          <w:tcPr>
            <w:tcW w:w="1081" w:type="dxa"/>
          </w:tcPr>
          <w:p w14:paraId="1B8D2563" w14:textId="77777777" w:rsidR="001506C1" w:rsidRPr="00FA3F9C" w:rsidRDefault="001506C1" w:rsidP="006F623F">
            <w:pPr>
              <w:rPr>
                <w:rFonts w:ascii="Arial" w:hAnsi="Arial" w:cs="Arial"/>
                <w:sz w:val="24"/>
                <w:szCs w:val="24"/>
              </w:rPr>
            </w:pPr>
            <w:r w:rsidRPr="00FA3F9C">
              <w:rPr>
                <w:rFonts w:ascii="Arial" w:hAnsi="Arial" w:cs="Arial"/>
                <w:sz w:val="24"/>
                <w:szCs w:val="24"/>
              </w:rPr>
              <w:t>6/24/2020</w:t>
            </w:r>
          </w:p>
        </w:tc>
        <w:tc>
          <w:tcPr>
            <w:tcW w:w="7937" w:type="dxa"/>
          </w:tcPr>
          <w:p w14:paraId="10E01172" w14:textId="77777777" w:rsidR="001506C1" w:rsidRPr="00FA3F9C" w:rsidRDefault="001506C1" w:rsidP="004503B3">
            <w:pPr>
              <w:rPr>
                <w:rFonts w:ascii="Arial" w:eastAsia="Times New Roman" w:hAnsi="Arial" w:cs="Arial"/>
                <w:color w:val="111111"/>
                <w:sz w:val="24"/>
                <w:szCs w:val="24"/>
              </w:rPr>
            </w:pPr>
            <w:r w:rsidRPr="00FA3F9C">
              <w:rPr>
                <w:rFonts w:ascii="Arial" w:eastAsia="Times New Roman" w:hAnsi="Arial" w:cs="Arial"/>
                <w:color w:val="111111"/>
                <w:sz w:val="24"/>
                <w:szCs w:val="24"/>
              </w:rPr>
              <w:t>Added coverage for hepatocellular carcinoma</w:t>
            </w:r>
          </w:p>
        </w:tc>
        <w:tc>
          <w:tcPr>
            <w:tcW w:w="1998" w:type="dxa"/>
          </w:tcPr>
          <w:p w14:paraId="7F0A0B04" w14:textId="77777777" w:rsidR="001506C1" w:rsidRPr="00FA3F9C" w:rsidRDefault="001506C1" w:rsidP="006F623F">
            <w:pPr>
              <w:rPr>
                <w:rFonts w:ascii="Arial" w:hAnsi="Arial" w:cs="Arial"/>
                <w:sz w:val="24"/>
                <w:szCs w:val="24"/>
              </w:rPr>
            </w:pPr>
            <w:r w:rsidRPr="00FA3F9C">
              <w:rPr>
                <w:rFonts w:ascii="Arial" w:hAnsi="Arial" w:cs="Arial"/>
                <w:sz w:val="24"/>
                <w:szCs w:val="24"/>
              </w:rPr>
              <w:t>SK</w:t>
            </w:r>
          </w:p>
        </w:tc>
      </w:tr>
      <w:tr w:rsidR="001506C1" w:rsidRPr="00FA3F9C" w14:paraId="0FC5BCB4" w14:textId="77777777" w:rsidTr="00B50245">
        <w:tc>
          <w:tcPr>
            <w:tcW w:w="1081" w:type="dxa"/>
          </w:tcPr>
          <w:p w14:paraId="51DC960E" w14:textId="77777777" w:rsidR="001506C1" w:rsidRPr="00FA3F9C" w:rsidRDefault="001506C1" w:rsidP="006F623F">
            <w:pPr>
              <w:rPr>
                <w:rFonts w:ascii="Arial" w:hAnsi="Arial" w:cs="Arial"/>
                <w:sz w:val="24"/>
                <w:szCs w:val="24"/>
              </w:rPr>
            </w:pPr>
            <w:r w:rsidRPr="00FA3F9C">
              <w:rPr>
                <w:rFonts w:ascii="Arial" w:hAnsi="Arial" w:cs="Arial"/>
                <w:sz w:val="24"/>
                <w:szCs w:val="24"/>
              </w:rPr>
              <w:t>8/7/2020</w:t>
            </w:r>
          </w:p>
        </w:tc>
        <w:tc>
          <w:tcPr>
            <w:tcW w:w="7937" w:type="dxa"/>
          </w:tcPr>
          <w:p w14:paraId="1675823C" w14:textId="77777777" w:rsidR="001506C1" w:rsidRPr="00FA3F9C" w:rsidRDefault="001506C1" w:rsidP="004503B3">
            <w:pPr>
              <w:rPr>
                <w:rFonts w:ascii="Arial" w:eastAsia="Times New Roman" w:hAnsi="Arial" w:cs="Arial"/>
                <w:color w:val="111111"/>
                <w:sz w:val="24"/>
                <w:szCs w:val="24"/>
              </w:rPr>
            </w:pPr>
            <w:r w:rsidRPr="00FA3F9C">
              <w:rPr>
                <w:rFonts w:ascii="Arial" w:eastAsia="Times New Roman" w:hAnsi="Arial" w:cs="Arial"/>
                <w:color w:val="111111"/>
                <w:sz w:val="24"/>
                <w:szCs w:val="24"/>
              </w:rPr>
              <w:t xml:space="preserve">New indication reviewed (melanoma). Do not cover. </w:t>
            </w:r>
          </w:p>
        </w:tc>
        <w:tc>
          <w:tcPr>
            <w:tcW w:w="1998" w:type="dxa"/>
          </w:tcPr>
          <w:p w14:paraId="351207E5" w14:textId="77777777" w:rsidR="001506C1" w:rsidRPr="00FA3F9C" w:rsidRDefault="001506C1" w:rsidP="006F623F">
            <w:pPr>
              <w:rPr>
                <w:rFonts w:ascii="Arial" w:hAnsi="Arial" w:cs="Arial"/>
                <w:sz w:val="24"/>
                <w:szCs w:val="24"/>
              </w:rPr>
            </w:pPr>
            <w:r w:rsidRPr="00FA3F9C">
              <w:rPr>
                <w:rFonts w:ascii="Arial" w:hAnsi="Arial" w:cs="Arial"/>
                <w:sz w:val="24"/>
                <w:szCs w:val="24"/>
              </w:rPr>
              <w:t>SK</w:t>
            </w:r>
          </w:p>
        </w:tc>
      </w:tr>
      <w:tr w:rsidR="001506C1" w:rsidRPr="00FA3F9C" w14:paraId="5FE60325" w14:textId="77777777" w:rsidTr="00B50245">
        <w:tc>
          <w:tcPr>
            <w:tcW w:w="1081" w:type="dxa"/>
          </w:tcPr>
          <w:p w14:paraId="2FE4F712" w14:textId="77777777" w:rsidR="001506C1" w:rsidRPr="00FA3F9C" w:rsidRDefault="001506C1" w:rsidP="006F623F">
            <w:pPr>
              <w:rPr>
                <w:rFonts w:ascii="Arial" w:hAnsi="Arial" w:cs="Arial"/>
                <w:sz w:val="24"/>
                <w:szCs w:val="24"/>
              </w:rPr>
            </w:pPr>
            <w:r w:rsidRPr="00FA3F9C">
              <w:rPr>
                <w:rFonts w:ascii="Arial" w:hAnsi="Arial" w:cs="Arial"/>
                <w:sz w:val="24"/>
                <w:szCs w:val="24"/>
              </w:rPr>
              <w:t>5/21/2021</w:t>
            </w:r>
          </w:p>
        </w:tc>
        <w:tc>
          <w:tcPr>
            <w:tcW w:w="7937" w:type="dxa"/>
          </w:tcPr>
          <w:p w14:paraId="7DE7316C" w14:textId="77777777" w:rsidR="001506C1" w:rsidRPr="00FA3F9C" w:rsidRDefault="001506C1" w:rsidP="007354CC">
            <w:pPr>
              <w:rPr>
                <w:rFonts w:ascii="Arial" w:eastAsia="Times New Roman" w:hAnsi="Arial" w:cs="Arial"/>
                <w:color w:val="111111"/>
                <w:sz w:val="24"/>
                <w:szCs w:val="24"/>
              </w:rPr>
            </w:pPr>
            <w:r w:rsidRPr="00FA3F9C">
              <w:rPr>
                <w:rFonts w:ascii="Arial" w:eastAsia="Times New Roman" w:hAnsi="Arial" w:cs="Arial"/>
                <w:color w:val="111111"/>
                <w:sz w:val="24"/>
                <w:szCs w:val="24"/>
              </w:rPr>
              <w:t xml:space="preserve">PER 5/20/2021 P&amp;T meeting, do not cover </w:t>
            </w:r>
            <w:proofErr w:type="spellStart"/>
            <w:r w:rsidRPr="00FA3F9C">
              <w:rPr>
                <w:rFonts w:ascii="Arial" w:eastAsia="Times New Roman" w:hAnsi="Arial" w:cs="Arial"/>
                <w:color w:val="111111"/>
                <w:sz w:val="24"/>
                <w:szCs w:val="24"/>
              </w:rPr>
              <w:t>mTNBC</w:t>
            </w:r>
            <w:proofErr w:type="spellEnd"/>
            <w:r w:rsidRPr="00FA3F9C">
              <w:rPr>
                <w:rFonts w:ascii="Arial" w:eastAsia="Times New Roman" w:hAnsi="Arial" w:cs="Arial"/>
                <w:color w:val="111111"/>
                <w:sz w:val="24"/>
                <w:szCs w:val="24"/>
              </w:rPr>
              <w:t xml:space="preserve"> indication. Criteria removed. Details above.</w:t>
            </w:r>
          </w:p>
        </w:tc>
        <w:tc>
          <w:tcPr>
            <w:tcW w:w="1998" w:type="dxa"/>
          </w:tcPr>
          <w:p w14:paraId="295FEBCE" w14:textId="77777777" w:rsidR="001506C1" w:rsidRPr="00FA3F9C" w:rsidRDefault="001506C1" w:rsidP="006F623F">
            <w:pPr>
              <w:rPr>
                <w:rFonts w:ascii="Arial" w:hAnsi="Arial" w:cs="Arial"/>
                <w:sz w:val="24"/>
                <w:szCs w:val="24"/>
              </w:rPr>
            </w:pPr>
            <w:r w:rsidRPr="00FA3F9C">
              <w:rPr>
                <w:rFonts w:ascii="Arial" w:hAnsi="Arial" w:cs="Arial"/>
                <w:sz w:val="24"/>
                <w:szCs w:val="24"/>
              </w:rPr>
              <w:t>SK</w:t>
            </w:r>
          </w:p>
        </w:tc>
      </w:tr>
    </w:tbl>
    <w:p w14:paraId="16137CF5" w14:textId="77777777" w:rsidR="001506C1" w:rsidRPr="00FA3F9C" w:rsidRDefault="001506C1" w:rsidP="00D85BCB">
      <w:pPr>
        <w:spacing w:after="0"/>
        <w:rPr>
          <w:rFonts w:ascii="Arial" w:hAnsi="Arial" w:cs="Arial"/>
          <w:sz w:val="24"/>
          <w:szCs w:val="24"/>
        </w:rPr>
      </w:pPr>
    </w:p>
    <w:p w14:paraId="04AD86AB" w14:textId="77777777" w:rsidR="001506C1" w:rsidRPr="00FA3F9C" w:rsidRDefault="001506C1" w:rsidP="00D85BCB">
      <w:pPr>
        <w:spacing w:after="0"/>
        <w:rPr>
          <w:rFonts w:ascii="Arial" w:hAnsi="Arial" w:cs="Arial"/>
          <w:sz w:val="24"/>
          <w:szCs w:val="24"/>
        </w:rPr>
      </w:pPr>
    </w:p>
    <w:p w14:paraId="1014026D" w14:textId="77777777" w:rsidR="001506C1" w:rsidRPr="00FA3F9C" w:rsidRDefault="001506C1" w:rsidP="00D85BCB">
      <w:pPr>
        <w:spacing w:after="0"/>
        <w:rPr>
          <w:rFonts w:ascii="Arial" w:hAnsi="Arial" w:cs="Arial"/>
          <w:sz w:val="24"/>
          <w:szCs w:val="24"/>
        </w:rPr>
      </w:pPr>
    </w:p>
    <w:p w14:paraId="6AADBAD4" w14:textId="77777777" w:rsidR="001506C1" w:rsidRPr="00FA3F9C" w:rsidRDefault="001506C1" w:rsidP="00D85BCB">
      <w:pPr>
        <w:spacing w:after="0"/>
        <w:rPr>
          <w:rFonts w:ascii="Arial" w:hAnsi="Arial" w:cs="Arial"/>
          <w:sz w:val="24"/>
          <w:szCs w:val="24"/>
        </w:rPr>
      </w:pPr>
    </w:p>
    <w:p w14:paraId="25E54FCD" w14:textId="77777777" w:rsidR="001506C1" w:rsidRPr="00FA3F9C" w:rsidRDefault="001506C1" w:rsidP="00D85BCB">
      <w:pPr>
        <w:spacing w:after="0"/>
        <w:rPr>
          <w:rFonts w:ascii="Arial" w:hAnsi="Arial" w:cs="Arial"/>
          <w:sz w:val="24"/>
          <w:szCs w:val="24"/>
        </w:rPr>
      </w:pPr>
    </w:p>
    <w:p w14:paraId="69333DD1" w14:textId="77777777" w:rsidR="001506C1" w:rsidRPr="00FA3F9C" w:rsidRDefault="001506C1" w:rsidP="00D85BCB">
      <w:pPr>
        <w:spacing w:after="0"/>
        <w:rPr>
          <w:rFonts w:ascii="Arial" w:hAnsi="Arial" w:cs="Arial"/>
          <w:sz w:val="24"/>
          <w:szCs w:val="24"/>
        </w:rPr>
      </w:pPr>
    </w:p>
    <w:p w14:paraId="6DD76CAA" w14:textId="77777777" w:rsidR="001506C1" w:rsidRPr="00FA3F9C" w:rsidRDefault="001506C1" w:rsidP="00D85BCB">
      <w:pPr>
        <w:spacing w:after="0"/>
        <w:rPr>
          <w:rFonts w:ascii="Arial" w:hAnsi="Arial" w:cs="Arial"/>
          <w:sz w:val="24"/>
          <w:szCs w:val="24"/>
        </w:rPr>
      </w:pPr>
    </w:p>
    <w:p w14:paraId="7C70AB9E" w14:textId="77777777" w:rsidR="001506C1" w:rsidRPr="00FA3F9C" w:rsidRDefault="001506C1" w:rsidP="00D85BCB">
      <w:pPr>
        <w:spacing w:after="0"/>
        <w:rPr>
          <w:rFonts w:ascii="Arial" w:hAnsi="Arial" w:cs="Arial"/>
          <w:sz w:val="24"/>
          <w:szCs w:val="24"/>
        </w:rPr>
      </w:pPr>
    </w:p>
    <w:p w14:paraId="0974C1F7" w14:textId="77777777" w:rsidR="001506C1" w:rsidRPr="00FA3F9C" w:rsidRDefault="001506C1" w:rsidP="00D85BCB">
      <w:pPr>
        <w:spacing w:after="0"/>
        <w:rPr>
          <w:rFonts w:ascii="Arial" w:hAnsi="Arial" w:cs="Arial"/>
          <w:sz w:val="24"/>
          <w:szCs w:val="24"/>
        </w:rPr>
      </w:pPr>
    </w:p>
    <w:p w14:paraId="5F41D40E" w14:textId="77777777" w:rsidR="001506C1" w:rsidRPr="00FA3F9C" w:rsidRDefault="001506C1" w:rsidP="00D85BCB">
      <w:pPr>
        <w:spacing w:after="0"/>
        <w:rPr>
          <w:rFonts w:ascii="Arial" w:hAnsi="Arial" w:cs="Arial"/>
          <w:sz w:val="24"/>
          <w:szCs w:val="24"/>
        </w:rPr>
      </w:pPr>
    </w:p>
    <w:p w14:paraId="7B71072E" w14:textId="77777777" w:rsidR="001506C1" w:rsidRPr="00FA3F9C" w:rsidRDefault="001506C1" w:rsidP="00D85BCB">
      <w:pPr>
        <w:spacing w:after="0"/>
        <w:rPr>
          <w:rFonts w:ascii="Arial" w:hAnsi="Arial" w:cs="Arial"/>
          <w:sz w:val="24"/>
          <w:szCs w:val="24"/>
        </w:rPr>
      </w:pPr>
    </w:p>
    <w:p w14:paraId="3A2D77B5" w14:textId="77777777" w:rsidR="001506C1" w:rsidRPr="00FA3F9C" w:rsidRDefault="001506C1" w:rsidP="00D85BCB">
      <w:pPr>
        <w:spacing w:after="0"/>
        <w:rPr>
          <w:rFonts w:ascii="Arial" w:hAnsi="Arial" w:cs="Arial"/>
          <w:sz w:val="24"/>
          <w:szCs w:val="24"/>
        </w:rPr>
      </w:pPr>
    </w:p>
    <w:p w14:paraId="7D56284D" w14:textId="77777777" w:rsidR="001506C1" w:rsidRPr="00FA3F9C" w:rsidRDefault="001506C1" w:rsidP="00076432"/>
    <w:p w14:paraId="2CF0591B" w14:textId="77777777" w:rsidR="005005CA" w:rsidRDefault="005005CA">
      <w:pPr>
        <w:rPr>
          <w:rFonts w:ascii="Arial" w:eastAsia="Times New Roman" w:hAnsi="Arial" w:cs="Arial"/>
          <w:b/>
          <w:sz w:val="28"/>
          <w:szCs w:val="20"/>
        </w:rPr>
      </w:pPr>
      <w:bookmarkStart w:id="22" w:name="_Toc106369724"/>
      <w:r>
        <w:br w:type="page"/>
      </w:r>
    </w:p>
    <w:p w14:paraId="6BC190A0" w14:textId="34D6BBD3" w:rsidR="001506C1" w:rsidRPr="005005CA" w:rsidRDefault="001506C1" w:rsidP="00CA4C3C">
      <w:pPr>
        <w:pStyle w:val="Heading2"/>
        <w:rPr>
          <w:lang w:val="es-ES"/>
        </w:rPr>
      </w:pPr>
      <w:proofErr w:type="spellStart"/>
      <w:r w:rsidRPr="005005CA">
        <w:rPr>
          <w:lang w:val="es-ES"/>
        </w:rPr>
        <w:lastRenderedPageBreak/>
        <w:t>Avacopan</w:t>
      </w:r>
      <w:proofErr w:type="spellEnd"/>
      <w:r w:rsidRPr="005005CA">
        <w:rPr>
          <w:lang w:val="es-ES"/>
        </w:rPr>
        <w:t xml:space="preserve"> (</w:t>
      </w:r>
      <w:proofErr w:type="spellStart"/>
      <w:r w:rsidRPr="005005CA">
        <w:rPr>
          <w:lang w:val="es-ES"/>
        </w:rPr>
        <w:t>Tavneos</w:t>
      </w:r>
      <w:proofErr w:type="spellEnd"/>
      <w:r w:rsidRPr="005005CA">
        <w:rPr>
          <w:lang w:val="es-ES"/>
        </w:rPr>
        <w:t>)</w:t>
      </w:r>
      <w:bookmarkEnd w:id="22"/>
    </w:p>
    <w:p w14:paraId="7BD63FE9" w14:textId="77777777" w:rsidR="001506C1" w:rsidRPr="005005CA" w:rsidRDefault="001506C1" w:rsidP="006F623F">
      <w:pPr>
        <w:spacing w:after="0"/>
        <w:jc w:val="center"/>
        <w:rPr>
          <w:rFonts w:ascii="Arial" w:hAnsi="Arial" w:cs="Arial"/>
          <w:sz w:val="24"/>
          <w:szCs w:val="24"/>
          <w:lang w:val="es-ES"/>
        </w:rPr>
      </w:pPr>
      <w:r w:rsidRPr="005005CA">
        <w:rPr>
          <w:rFonts w:ascii="Arial" w:hAnsi="Arial" w:cs="Arial"/>
          <w:sz w:val="24"/>
          <w:szCs w:val="24"/>
          <w:lang w:val="es-ES"/>
        </w:rPr>
        <w:t xml:space="preserve">EBRx PA </w:t>
      </w:r>
      <w:proofErr w:type="spellStart"/>
      <w:r w:rsidRPr="005005CA">
        <w:rPr>
          <w:rFonts w:ascii="Arial" w:hAnsi="Arial" w:cs="Arial"/>
          <w:sz w:val="24"/>
          <w:szCs w:val="24"/>
          <w:lang w:val="es-ES"/>
        </w:rPr>
        <w:t>Criteria</w:t>
      </w:r>
      <w:proofErr w:type="spellEnd"/>
    </w:p>
    <w:p w14:paraId="655EBC29" w14:textId="77777777" w:rsidR="001506C1" w:rsidRPr="005005CA" w:rsidRDefault="001506C1" w:rsidP="006F623F">
      <w:pPr>
        <w:spacing w:after="0"/>
        <w:rPr>
          <w:rFonts w:ascii="Arial" w:hAnsi="Arial" w:cs="Arial"/>
          <w:b/>
          <w:sz w:val="24"/>
          <w:szCs w:val="24"/>
          <w:u w:val="single"/>
          <w:lang w:val="es-ES"/>
        </w:rPr>
      </w:pPr>
    </w:p>
    <w:p w14:paraId="7E656E19" w14:textId="77777777" w:rsidR="001506C1" w:rsidRPr="00FA3F9C" w:rsidRDefault="001506C1" w:rsidP="00BB3F23">
      <w:pPr>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adjunctive treatment of severe active antineutrophil cytoplasmic autoantibody (ANCA)-associated vasculitis (granulomatosis with polyangiitis (GPA) and microscopic polyangiitis(MPA)) in combination with standard therapy, including glucocorticoids, in adults.</w:t>
      </w:r>
    </w:p>
    <w:tbl>
      <w:tblPr>
        <w:tblStyle w:val="TableGrid"/>
        <w:tblW w:w="0" w:type="auto"/>
        <w:tblLook w:val="04A0" w:firstRow="1" w:lastRow="0" w:firstColumn="1" w:lastColumn="0" w:noHBand="0" w:noVBand="1"/>
      </w:tblPr>
      <w:tblGrid>
        <w:gridCol w:w="8928"/>
        <w:gridCol w:w="2088"/>
      </w:tblGrid>
      <w:tr w:rsidR="001506C1" w:rsidRPr="00FA3F9C" w14:paraId="6E3830B7" w14:textId="77777777" w:rsidTr="00571CAB">
        <w:tc>
          <w:tcPr>
            <w:tcW w:w="8928" w:type="dxa"/>
            <w:shd w:val="clear" w:color="auto" w:fill="000000"/>
          </w:tcPr>
          <w:p w14:paraId="143DA2EE" w14:textId="77777777" w:rsidR="001506C1" w:rsidRPr="00FA3F9C" w:rsidRDefault="001506C1"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88" w:type="dxa"/>
            <w:shd w:val="clear" w:color="auto" w:fill="000000"/>
          </w:tcPr>
          <w:p w14:paraId="1BA04307" w14:textId="77777777" w:rsidR="001506C1" w:rsidRPr="00FA3F9C" w:rsidRDefault="001506C1" w:rsidP="006F623F">
            <w:pPr>
              <w:jc w:val="center"/>
              <w:rPr>
                <w:rFonts w:ascii="Arial" w:hAnsi="Arial" w:cs="Arial"/>
                <w:b/>
                <w:sz w:val="24"/>
                <w:szCs w:val="24"/>
                <w:u w:val="single"/>
              </w:rPr>
            </w:pPr>
          </w:p>
        </w:tc>
      </w:tr>
      <w:tr w:rsidR="001506C1" w:rsidRPr="00FA3F9C" w14:paraId="4EF0315F" w14:textId="77777777" w:rsidTr="00F337AE">
        <w:tc>
          <w:tcPr>
            <w:tcW w:w="11016" w:type="dxa"/>
            <w:gridSpan w:val="2"/>
          </w:tcPr>
          <w:p w14:paraId="7CB1E020" w14:textId="77777777" w:rsidR="001506C1" w:rsidRPr="00FA3F9C" w:rsidRDefault="001506C1" w:rsidP="006F623F">
            <w:pPr>
              <w:rPr>
                <w:rFonts w:ascii="Arial" w:hAnsi="Arial" w:cs="Arial"/>
                <w:sz w:val="24"/>
                <w:szCs w:val="24"/>
              </w:rPr>
            </w:pPr>
            <w:r w:rsidRPr="00FA3F9C">
              <w:rPr>
                <w:rFonts w:ascii="Arial" w:hAnsi="Arial" w:cs="Arial"/>
                <w:sz w:val="24"/>
                <w:szCs w:val="24"/>
              </w:rPr>
              <w:t>1. Must have diagnosis of severe active ANCA-associated vasculitis</w:t>
            </w:r>
          </w:p>
        </w:tc>
      </w:tr>
      <w:tr w:rsidR="001506C1" w:rsidRPr="00FA3F9C" w14:paraId="584BF61B" w14:textId="77777777" w:rsidTr="00B1617E">
        <w:tc>
          <w:tcPr>
            <w:tcW w:w="11016" w:type="dxa"/>
            <w:gridSpan w:val="2"/>
          </w:tcPr>
          <w:p w14:paraId="6FA2EC31" w14:textId="77777777" w:rsidR="001506C1" w:rsidRPr="00FA3F9C" w:rsidRDefault="001506C1" w:rsidP="006F623F">
            <w:pPr>
              <w:rPr>
                <w:rFonts w:ascii="Arial" w:hAnsi="Arial" w:cs="Arial"/>
                <w:sz w:val="24"/>
                <w:szCs w:val="24"/>
              </w:rPr>
            </w:pPr>
            <w:r w:rsidRPr="00FA3F9C">
              <w:rPr>
                <w:rFonts w:ascii="Arial" w:hAnsi="Arial" w:cs="Arial"/>
                <w:sz w:val="24"/>
                <w:szCs w:val="24"/>
              </w:rPr>
              <w:t xml:space="preserve">2. Must be taking standard therapy including systemic </w:t>
            </w:r>
            <w:proofErr w:type="spellStart"/>
            <w:r w:rsidRPr="00FA3F9C">
              <w:rPr>
                <w:rFonts w:ascii="Arial" w:hAnsi="Arial" w:cs="Arial"/>
                <w:sz w:val="24"/>
                <w:szCs w:val="24"/>
              </w:rPr>
              <w:t>glucocorticosteroids</w:t>
            </w:r>
            <w:proofErr w:type="spellEnd"/>
            <w:r w:rsidRPr="00FA3F9C">
              <w:rPr>
                <w:rFonts w:ascii="Arial" w:hAnsi="Arial" w:cs="Arial"/>
                <w:sz w:val="24"/>
                <w:szCs w:val="24"/>
              </w:rPr>
              <w:t>, plus azathioprine, rituximab, methotrexate, or mycophenolate. Cyclophosphamide may be switched out with rituximab.</w:t>
            </w:r>
          </w:p>
        </w:tc>
      </w:tr>
    </w:tbl>
    <w:p w14:paraId="752D4FA2" w14:textId="77777777" w:rsidR="001506C1" w:rsidRPr="00FA3F9C" w:rsidRDefault="001506C1" w:rsidP="006F623F">
      <w:pPr>
        <w:spacing w:after="0"/>
        <w:rPr>
          <w:rFonts w:ascii="Arial" w:hAnsi="Arial" w:cs="Arial"/>
          <w:b/>
          <w:sz w:val="24"/>
          <w:szCs w:val="24"/>
          <w:u w:val="single"/>
        </w:rPr>
      </w:pPr>
    </w:p>
    <w:tbl>
      <w:tblPr>
        <w:tblStyle w:val="TableGrid"/>
        <w:tblW w:w="0" w:type="auto"/>
        <w:shd w:val="clear" w:color="auto" w:fill="BFBFBF" w:themeFill="background1" w:themeFillShade="BF"/>
        <w:tblLook w:val="04A0" w:firstRow="1" w:lastRow="0" w:firstColumn="1" w:lastColumn="0" w:noHBand="0" w:noVBand="1"/>
      </w:tblPr>
      <w:tblGrid>
        <w:gridCol w:w="10998"/>
      </w:tblGrid>
      <w:tr w:rsidR="001506C1" w:rsidRPr="00FA3F9C" w14:paraId="642C66DD" w14:textId="77777777" w:rsidTr="00D82B6E">
        <w:tc>
          <w:tcPr>
            <w:tcW w:w="10998" w:type="dxa"/>
            <w:shd w:val="clear" w:color="auto" w:fill="BFBFBF" w:themeFill="background1" w:themeFillShade="BF"/>
          </w:tcPr>
          <w:p w14:paraId="6654F448" w14:textId="77777777" w:rsidR="001506C1" w:rsidRPr="00FA3F9C" w:rsidRDefault="001506C1" w:rsidP="00D82B6E">
            <w:pPr>
              <w:rPr>
                <w:rFonts w:ascii="Arial" w:hAnsi="Arial" w:cs="Arial"/>
                <w:sz w:val="24"/>
                <w:szCs w:val="24"/>
              </w:rPr>
            </w:pPr>
            <w:r w:rsidRPr="00FA3F9C">
              <w:rPr>
                <w:rFonts w:ascii="Arial" w:hAnsi="Arial" w:cs="Arial"/>
                <w:sz w:val="24"/>
                <w:szCs w:val="24"/>
              </w:rPr>
              <w:t xml:space="preserve">Note:   dose is </w:t>
            </w:r>
            <w:proofErr w:type="spellStart"/>
            <w:r w:rsidRPr="00FA3F9C">
              <w:rPr>
                <w:rFonts w:ascii="Arial" w:hAnsi="Arial" w:cs="Arial"/>
                <w:sz w:val="24"/>
                <w:szCs w:val="24"/>
              </w:rPr>
              <w:t>avacopan</w:t>
            </w:r>
            <w:proofErr w:type="spellEnd"/>
            <w:r w:rsidRPr="00FA3F9C">
              <w:rPr>
                <w:rFonts w:ascii="Arial" w:hAnsi="Arial" w:cs="Arial"/>
                <w:sz w:val="24"/>
                <w:szCs w:val="24"/>
              </w:rPr>
              <w:t xml:space="preserve"> 30mg BID. </w:t>
            </w:r>
          </w:p>
        </w:tc>
      </w:tr>
    </w:tbl>
    <w:p w14:paraId="16731E07" w14:textId="77777777" w:rsidR="001506C1" w:rsidRPr="00FA3F9C" w:rsidRDefault="001506C1" w:rsidP="006F623F">
      <w:pPr>
        <w:spacing w:after="0"/>
        <w:rPr>
          <w:rFonts w:ascii="Arial" w:hAnsi="Arial" w:cs="Arial"/>
          <w:sz w:val="24"/>
          <w:szCs w:val="24"/>
        </w:rPr>
      </w:pPr>
    </w:p>
    <w:p w14:paraId="5953C20A"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Quantity Limits: QL should be 6 tablets/1day</w:t>
      </w:r>
    </w:p>
    <w:p w14:paraId="7D47EF1E" w14:textId="77777777" w:rsidR="001506C1" w:rsidRPr="00FA3F9C" w:rsidRDefault="001506C1" w:rsidP="00BB3F23">
      <w:pPr>
        <w:spacing w:after="0" w:line="240" w:lineRule="auto"/>
        <w:rPr>
          <w:rFonts w:ascii="Arial" w:hAnsi="Arial" w:cs="Arial"/>
          <w:sz w:val="24"/>
          <w:szCs w:val="24"/>
        </w:rPr>
      </w:pPr>
    </w:p>
    <w:p w14:paraId="4BAD4AE8" w14:textId="77777777" w:rsidR="001506C1" w:rsidRPr="00FA3F9C" w:rsidRDefault="001506C1" w:rsidP="00BB3F23">
      <w:pPr>
        <w:spacing w:after="0" w:line="240" w:lineRule="auto"/>
        <w:rPr>
          <w:rFonts w:ascii="Arial" w:hAnsi="Arial" w:cs="Arial"/>
          <w:sz w:val="24"/>
          <w:szCs w:val="24"/>
        </w:rPr>
      </w:pPr>
      <w:r w:rsidRPr="00FA3F9C">
        <w:rPr>
          <w:rFonts w:ascii="Arial" w:hAnsi="Arial" w:cs="Arial"/>
          <w:sz w:val="24"/>
          <w:szCs w:val="24"/>
        </w:rPr>
        <w:t>References:</w:t>
      </w:r>
    </w:p>
    <w:p w14:paraId="521F8D9B" w14:textId="77777777" w:rsidR="001506C1" w:rsidRPr="00FA3F9C" w:rsidRDefault="001506C1" w:rsidP="00BB3F23">
      <w:pPr>
        <w:spacing w:after="0" w:line="240" w:lineRule="auto"/>
        <w:rPr>
          <w:rFonts w:ascii="Arial" w:hAnsi="Arial" w:cs="Arial"/>
          <w:sz w:val="24"/>
          <w:szCs w:val="24"/>
        </w:rPr>
      </w:pPr>
      <w:r w:rsidRPr="00FA3F9C">
        <w:rPr>
          <w:rFonts w:ascii="Arial" w:hAnsi="Arial" w:cs="Arial"/>
          <w:sz w:val="24"/>
          <w:szCs w:val="24"/>
        </w:rPr>
        <w:t xml:space="preserve">1. Lexicomp. </w:t>
      </w:r>
      <w:proofErr w:type="spellStart"/>
      <w:r w:rsidRPr="00FA3F9C">
        <w:rPr>
          <w:rFonts w:ascii="Arial" w:hAnsi="Arial" w:cs="Arial"/>
          <w:sz w:val="24"/>
          <w:szCs w:val="24"/>
        </w:rPr>
        <w:t>Avacopan</w:t>
      </w:r>
      <w:proofErr w:type="spellEnd"/>
      <w:r w:rsidRPr="00FA3F9C">
        <w:rPr>
          <w:rFonts w:ascii="Arial" w:hAnsi="Arial" w:cs="Arial"/>
          <w:sz w:val="24"/>
          <w:szCs w:val="24"/>
        </w:rPr>
        <w:t>. Accessed 11/16/21.</w:t>
      </w:r>
    </w:p>
    <w:p w14:paraId="1F885FA8" w14:textId="77777777" w:rsidR="001506C1" w:rsidRPr="00FA3F9C" w:rsidRDefault="001506C1" w:rsidP="00BB3F23">
      <w:pPr>
        <w:spacing w:after="0" w:line="240" w:lineRule="auto"/>
        <w:rPr>
          <w:rFonts w:ascii="Arial" w:eastAsia="Times New Roman" w:hAnsi="Arial" w:cs="Arial"/>
          <w:sz w:val="24"/>
          <w:szCs w:val="24"/>
        </w:rPr>
      </w:pPr>
      <w:r w:rsidRPr="00FA3F9C">
        <w:rPr>
          <w:rFonts w:ascii="Arial" w:hAnsi="Arial" w:cs="Arial"/>
          <w:sz w:val="24"/>
          <w:szCs w:val="24"/>
        </w:rPr>
        <w:t xml:space="preserve">2. </w:t>
      </w:r>
      <w:r w:rsidRPr="00FA3F9C">
        <w:rPr>
          <w:rFonts w:ascii="Arial" w:eastAsia="Times New Roman" w:hAnsi="Arial" w:cs="Arial"/>
          <w:color w:val="222222"/>
          <w:sz w:val="24"/>
          <w:szCs w:val="24"/>
          <w:shd w:val="clear" w:color="auto" w:fill="FFFFFF"/>
        </w:rPr>
        <w:t>Chung, Sharon A., et al. "2021 American College of Rheumatology/Vasculitis Foundation guideline for the management of antineutrophil cytoplasmic antibody–associated vasculitis." </w:t>
      </w:r>
      <w:r w:rsidRPr="00FA3F9C">
        <w:rPr>
          <w:rFonts w:ascii="Arial" w:eastAsia="Times New Roman" w:hAnsi="Arial" w:cs="Arial"/>
          <w:i/>
          <w:iCs/>
          <w:color w:val="222222"/>
          <w:sz w:val="24"/>
          <w:szCs w:val="24"/>
          <w:shd w:val="clear" w:color="auto" w:fill="FFFFFF"/>
        </w:rPr>
        <w:t>Arthritis &amp; Rheumatology</w:t>
      </w:r>
      <w:r w:rsidRPr="00FA3F9C">
        <w:rPr>
          <w:rFonts w:ascii="Arial" w:eastAsia="Times New Roman" w:hAnsi="Arial" w:cs="Arial"/>
          <w:color w:val="222222"/>
          <w:sz w:val="24"/>
          <w:szCs w:val="24"/>
          <w:shd w:val="clear" w:color="auto" w:fill="FFFFFF"/>
        </w:rPr>
        <w:t> 73.8 (2021): 1366-1383.</w:t>
      </w:r>
    </w:p>
    <w:p w14:paraId="4DCA7C88" w14:textId="77777777" w:rsidR="001506C1" w:rsidRPr="00FA3F9C" w:rsidRDefault="001506C1" w:rsidP="00BB3F23">
      <w:pPr>
        <w:spacing w:after="0" w:line="240" w:lineRule="auto"/>
        <w:rPr>
          <w:rFonts w:ascii="Arial" w:eastAsia="Times New Roman" w:hAnsi="Arial" w:cs="Arial"/>
          <w:color w:val="222222"/>
          <w:sz w:val="24"/>
          <w:szCs w:val="24"/>
          <w:shd w:val="clear" w:color="auto" w:fill="FFFFFF"/>
        </w:rPr>
      </w:pPr>
      <w:r w:rsidRPr="00FA3F9C">
        <w:rPr>
          <w:rFonts w:ascii="Arial" w:hAnsi="Arial" w:cs="Arial"/>
          <w:sz w:val="24"/>
          <w:szCs w:val="24"/>
        </w:rPr>
        <w:t xml:space="preserve">3. </w:t>
      </w:r>
      <w:r w:rsidRPr="00FA3F9C">
        <w:rPr>
          <w:rFonts w:ascii="Arial" w:eastAsia="Times New Roman" w:hAnsi="Arial" w:cs="Arial"/>
          <w:color w:val="222222"/>
          <w:sz w:val="24"/>
          <w:szCs w:val="24"/>
          <w:shd w:val="clear" w:color="auto" w:fill="FFFFFF"/>
        </w:rPr>
        <w:t>Jayne, David RW, et al. "</w:t>
      </w:r>
      <w:proofErr w:type="spellStart"/>
      <w:r w:rsidRPr="00FA3F9C">
        <w:rPr>
          <w:rFonts w:ascii="Arial" w:eastAsia="Times New Roman" w:hAnsi="Arial" w:cs="Arial"/>
          <w:color w:val="222222"/>
          <w:sz w:val="24"/>
          <w:szCs w:val="24"/>
          <w:shd w:val="clear" w:color="auto" w:fill="FFFFFF"/>
        </w:rPr>
        <w:t>Avacopan</w:t>
      </w:r>
      <w:proofErr w:type="spellEnd"/>
      <w:r w:rsidRPr="00FA3F9C">
        <w:rPr>
          <w:rFonts w:ascii="Arial" w:eastAsia="Times New Roman" w:hAnsi="Arial" w:cs="Arial"/>
          <w:color w:val="222222"/>
          <w:sz w:val="24"/>
          <w:szCs w:val="24"/>
          <w:shd w:val="clear" w:color="auto" w:fill="FFFFFF"/>
        </w:rPr>
        <w:t xml:space="preserve"> for the treatment of ANCA-associated vasculitis." </w:t>
      </w:r>
      <w:r w:rsidRPr="00FA3F9C">
        <w:rPr>
          <w:rFonts w:ascii="Arial" w:eastAsia="Times New Roman" w:hAnsi="Arial" w:cs="Arial"/>
          <w:i/>
          <w:iCs/>
          <w:color w:val="222222"/>
          <w:sz w:val="24"/>
          <w:szCs w:val="24"/>
          <w:shd w:val="clear" w:color="auto" w:fill="FFFFFF"/>
        </w:rPr>
        <w:t>New England Journal of Medicine</w:t>
      </w:r>
      <w:r w:rsidRPr="00FA3F9C">
        <w:rPr>
          <w:rFonts w:ascii="Arial" w:eastAsia="Times New Roman" w:hAnsi="Arial" w:cs="Arial"/>
          <w:color w:val="222222"/>
          <w:sz w:val="24"/>
          <w:szCs w:val="24"/>
          <w:shd w:val="clear" w:color="auto" w:fill="FFFFFF"/>
        </w:rPr>
        <w:t> 384.7 (2021): 599-609.</w:t>
      </w:r>
    </w:p>
    <w:p w14:paraId="6C1858B4" w14:textId="77777777" w:rsidR="001506C1" w:rsidRPr="00FA3F9C" w:rsidRDefault="001506C1" w:rsidP="00BB3F23">
      <w:pPr>
        <w:spacing w:after="0" w:line="240" w:lineRule="auto"/>
        <w:rPr>
          <w:rFonts w:ascii="Arial" w:eastAsia="Times New Roman" w:hAnsi="Arial" w:cs="Arial"/>
          <w:sz w:val="24"/>
          <w:szCs w:val="24"/>
        </w:rPr>
      </w:pPr>
      <w:r w:rsidRPr="00FA3F9C">
        <w:rPr>
          <w:rFonts w:ascii="Arial" w:eastAsia="Times New Roman" w:hAnsi="Arial" w:cs="Arial"/>
          <w:color w:val="222222"/>
          <w:sz w:val="24"/>
          <w:szCs w:val="24"/>
          <w:shd w:val="clear" w:color="auto" w:fill="FFFFFF"/>
        </w:rPr>
        <w:t>4. NICE. https://www.nice.org.uk/guidance/indevelopment/gid-ta10740</w:t>
      </w:r>
    </w:p>
    <w:p w14:paraId="7D0FCF6C" w14:textId="77777777" w:rsidR="001506C1" w:rsidRPr="00FA3F9C" w:rsidRDefault="001506C1" w:rsidP="00BB3F23">
      <w:pPr>
        <w:spacing w:after="0" w:line="240" w:lineRule="auto"/>
        <w:rPr>
          <w:rFonts w:ascii="Arial" w:hAnsi="Arial" w:cs="Arial"/>
          <w:sz w:val="24"/>
          <w:szCs w:val="24"/>
        </w:rPr>
      </w:pPr>
    </w:p>
    <w:p w14:paraId="629560F0" w14:textId="77777777" w:rsidR="001506C1" w:rsidRPr="00FA3F9C" w:rsidRDefault="001506C1" w:rsidP="006F623F">
      <w:pPr>
        <w:spacing w:after="0"/>
        <w:rPr>
          <w:rFonts w:ascii="Arial" w:hAnsi="Arial" w:cs="Arial"/>
          <w:sz w:val="24"/>
          <w:szCs w:val="24"/>
        </w:rPr>
      </w:pPr>
    </w:p>
    <w:p w14:paraId="17B4B706" w14:textId="77777777" w:rsidR="001506C1" w:rsidRPr="00FA3F9C" w:rsidRDefault="001506C1" w:rsidP="006F623F">
      <w:pPr>
        <w:spacing w:after="0"/>
        <w:rPr>
          <w:rFonts w:ascii="Arial" w:hAnsi="Arial" w:cs="Arial"/>
          <w:sz w:val="24"/>
          <w:szCs w:val="24"/>
        </w:rPr>
      </w:pPr>
    </w:p>
    <w:p w14:paraId="0ADE20DF"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017"/>
        <w:gridCol w:w="7470"/>
        <w:gridCol w:w="2538"/>
      </w:tblGrid>
      <w:tr w:rsidR="001506C1" w:rsidRPr="00FA3F9C" w14:paraId="3B5BE500" w14:textId="77777777" w:rsidTr="00FE491B">
        <w:tc>
          <w:tcPr>
            <w:tcW w:w="1008" w:type="dxa"/>
          </w:tcPr>
          <w:p w14:paraId="069FCDA0" w14:textId="77777777" w:rsidR="001506C1" w:rsidRPr="00FA3F9C" w:rsidRDefault="001506C1" w:rsidP="006F623F">
            <w:pPr>
              <w:rPr>
                <w:rFonts w:ascii="Arial" w:hAnsi="Arial" w:cs="Arial"/>
                <w:sz w:val="24"/>
                <w:szCs w:val="24"/>
              </w:rPr>
            </w:pPr>
            <w:r w:rsidRPr="00FA3F9C">
              <w:rPr>
                <w:rFonts w:ascii="Arial" w:hAnsi="Arial" w:cs="Arial"/>
                <w:sz w:val="24"/>
                <w:szCs w:val="24"/>
              </w:rPr>
              <w:t>Date</w:t>
            </w:r>
          </w:p>
        </w:tc>
        <w:tc>
          <w:tcPr>
            <w:tcW w:w="7470" w:type="dxa"/>
          </w:tcPr>
          <w:p w14:paraId="3BA038F5" w14:textId="77777777" w:rsidR="001506C1" w:rsidRPr="00FA3F9C" w:rsidRDefault="001506C1" w:rsidP="006F623F">
            <w:pPr>
              <w:rPr>
                <w:rFonts w:ascii="Arial" w:hAnsi="Arial" w:cs="Arial"/>
                <w:sz w:val="24"/>
                <w:szCs w:val="24"/>
              </w:rPr>
            </w:pPr>
            <w:r w:rsidRPr="00FA3F9C">
              <w:rPr>
                <w:rFonts w:ascii="Arial" w:hAnsi="Arial" w:cs="Arial"/>
                <w:sz w:val="24"/>
                <w:szCs w:val="24"/>
              </w:rPr>
              <w:t>What changed</w:t>
            </w:r>
          </w:p>
        </w:tc>
        <w:tc>
          <w:tcPr>
            <w:tcW w:w="2538" w:type="dxa"/>
          </w:tcPr>
          <w:p w14:paraId="0CB5F3F0" w14:textId="77777777" w:rsidR="001506C1" w:rsidRPr="00FA3F9C" w:rsidRDefault="001506C1" w:rsidP="006F623F">
            <w:pPr>
              <w:rPr>
                <w:rFonts w:ascii="Arial" w:hAnsi="Arial" w:cs="Arial"/>
                <w:sz w:val="24"/>
                <w:szCs w:val="24"/>
              </w:rPr>
            </w:pPr>
            <w:r w:rsidRPr="00FA3F9C">
              <w:rPr>
                <w:rFonts w:ascii="Arial" w:hAnsi="Arial" w:cs="Arial"/>
                <w:sz w:val="24"/>
                <w:szCs w:val="24"/>
              </w:rPr>
              <w:t>Pharmacist’s initials</w:t>
            </w:r>
          </w:p>
        </w:tc>
      </w:tr>
      <w:tr w:rsidR="001506C1" w:rsidRPr="00FA3F9C" w14:paraId="2EB1D321" w14:textId="77777777" w:rsidTr="00FE491B">
        <w:tc>
          <w:tcPr>
            <w:tcW w:w="1008" w:type="dxa"/>
          </w:tcPr>
          <w:p w14:paraId="4F6D0E49" w14:textId="77777777" w:rsidR="001506C1" w:rsidRPr="00FA3F9C" w:rsidRDefault="001506C1" w:rsidP="006F623F">
            <w:pPr>
              <w:rPr>
                <w:rFonts w:ascii="Arial" w:hAnsi="Arial" w:cs="Arial"/>
                <w:sz w:val="24"/>
                <w:szCs w:val="24"/>
              </w:rPr>
            </w:pPr>
            <w:r w:rsidRPr="00FA3F9C">
              <w:rPr>
                <w:rFonts w:ascii="Arial" w:hAnsi="Arial" w:cs="Arial"/>
                <w:sz w:val="24"/>
                <w:szCs w:val="24"/>
              </w:rPr>
              <w:t>2/18/22</w:t>
            </w:r>
          </w:p>
        </w:tc>
        <w:tc>
          <w:tcPr>
            <w:tcW w:w="7470" w:type="dxa"/>
          </w:tcPr>
          <w:p w14:paraId="25C9E5D5" w14:textId="77777777" w:rsidR="001506C1" w:rsidRPr="00FA3F9C" w:rsidRDefault="001506C1" w:rsidP="006F623F">
            <w:pPr>
              <w:rPr>
                <w:rFonts w:ascii="Arial" w:hAnsi="Arial" w:cs="Arial"/>
                <w:sz w:val="24"/>
                <w:szCs w:val="24"/>
              </w:rPr>
            </w:pPr>
            <w:r w:rsidRPr="00FA3F9C">
              <w:rPr>
                <w:rFonts w:ascii="Arial" w:hAnsi="Arial" w:cs="Arial"/>
                <w:sz w:val="24"/>
                <w:szCs w:val="24"/>
              </w:rPr>
              <w:t>I wrote the criteria.</w:t>
            </w:r>
          </w:p>
        </w:tc>
        <w:tc>
          <w:tcPr>
            <w:tcW w:w="2538" w:type="dxa"/>
          </w:tcPr>
          <w:p w14:paraId="4D82D1A7" w14:textId="77777777" w:rsidR="001506C1" w:rsidRPr="00FA3F9C" w:rsidRDefault="001506C1" w:rsidP="006F623F">
            <w:pPr>
              <w:rPr>
                <w:rFonts w:ascii="Arial" w:hAnsi="Arial" w:cs="Arial"/>
                <w:sz w:val="24"/>
                <w:szCs w:val="24"/>
              </w:rPr>
            </w:pPr>
            <w:r w:rsidRPr="00FA3F9C">
              <w:rPr>
                <w:rFonts w:ascii="Arial" w:hAnsi="Arial" w:cs="Arial"/>
                <w:sz w:val="24"/>
                <w:szCs w:val="24"/>
              </w:rPr>
              <w:t>JJ</w:t>
            </w:r>
          </w:p>
        </w:tc>
      </w:tr>
      <w:tr w:rsidR="001506C1" w:rsidRPr="00FA3F9C" w14:paraId="5B8B7C94" w14:textId="77777777" w:rsidTr="00FE491B">
        <w:tc>
          <w:tcPr>
            <w:tcW w:w="1008" w:type="dxa"/>
          </w:tcPr>
          <w:p w14:paraId="76FD5C32" w14:textId="77777777" w:rsidR="001506C1" w:rsidRPr="00FA3F9C" w:rsidRDefault="001506C1" w:rsidP="006F623F">
            <w:pPr>
              <w:rPr>
                <w:rFonts w:ascii="Arial" w:hAnsi="Arial" w:cs="Arial"/>
                <w:sz w:val="24"/>
                <w:szCs w:val="24"/>
              </w:rPr>
            </w:pPr>
          </w:p>
        </w:tc>
        <w:tc>
          <w:tcPr>
            <w:tcW w:w="7470" w:type="dxa"/>
          </w:tcPr>
          <w:p w14:paraId="70C6E7BE" w14:textId="77777777" w:rsidR="001506C1" w:rsidRPr="00FA3F9C" w:rsidRDefault="001506C1" w:rsidP="006F623F">
            <w:pPr>
              <w:rPr>
                <w:rFonts w:ascii="Arial" w:hAnsi="Arial" w:cs="Arial"/>
                <w:sz w:val="24"/>
                <w:szCs w:val="24"/>
              </w:rPr>
            </w:pPr>
          </w:p>
        </w:tc>
        <w:tc>
          <w:tcPr>
            <w:tcW w:w="2538" w:type="dxa"/>
          </w:tcPr>
          <w:p w14:paraId="19B54E59" w14:textId="77777777" w:rsidR="001506C1" w:rsidRPr="00FA3F9C" w:rsidRDefault="001506C1" w:rsidP="006F623F">
            <w:pPr>
              <w:rPr>
                <w:rFonts w:ascii="Arial" w:hAnsi="Arial" w:cs="Arial"/>
                <w:sz w:val="24"/>
                <w:szCs w:val="24"/>
              </w:rPr>
            </w:pPr>
          </w:p>
        </w:tc>
      </w:tr>
    </w:tbl>
    <w:p w14:paraId="11372837" w14:textId="77777777" w:rsidR="001506C1" w:rsidRPr="00FA3F9C" w:rsidRDefault="001506C1" w:rsidP="006F623F">
      <w:pPr>
        <w:spacing w:after="0"/>
        <w:rPr>
          <w:rFonts w:ascii="Arial" w:hAnsi="Arial" w:cs="Arial"/>
          <w:sz w:val="24"/>
          <w:szCs w:val="24"/>
        </w:rPr>
      </w:pPr>
    </w:p>
    <w:p w14:paraId="2D586384" w14:textId="77777777" w:rsidR="001506C1" w:rsidRPr="00FA3F9C" w:rsidRDefault="001506C1" w:rsidP="00CA4C3C">
      <w:pPr>
        <w:pStyle w:val="Heading2"/>
      </w:pPr>
      <w:bookmarkStart w:id="23" w:name="_Toc106369725"/>
      <w:r w:rsidRPr="00FA3F9C">
        <w:lastRenderedPageBreak/>
        <w:t>Avelumab (Bavencio)</w:t>
      </w:r>
      <w:bookmarkEnd w:id="23"/>
    </w:p>
    <w:p w14:paraId="32EE8636" w14:textId="77777777" w:rsidR="001506C1" w:rsidRPr="00FA3F9C" w:rsidRDefault="001506C1" w:rsidP="006F623F">
      <w:pPr>
        <w:spacing w:after="0"/>
        <w:jc w:val="center"/>
        <w:rPr>
          <w:rFonts w:ascii="Arial" w:hAnsi="Arial" w:cs="Arial"/>
          <w:sz w:val="24"/>
          <w:szCs w:val="24"/>
        </w:rPr>
      </w:pPr>
      <w:r w:rsidRPr="00FA3F9C">
        <w:rPr>
          <w:rFonts w:ascii="Arial" w:hAnsi="Arial" w:cs="Arial"/>
          <w:sz w:val="24"/>
          <w:szCs w:val="24"/>
        </w:rPr>
        <w:t>200 mg/10 ml solution</w:t>
      </w:r>
    </w:p>
    <w:p w14:paraId="039F957F" w14:textId="77777777" w:rsidR="001506C1" w:rsidRPr="00FA3F9C" w:rsidRDefault="001506C1" w:rsidP="006F623F">
      <w:pPr>
        <w:spacing w:after="0"/>
        <w:jc w:val="center"/>
        <w:rPr>
          <w:rFonts w:ascii="Arial" w:hAnsi="Arial" w:cs="Arial"/>
          <w:sz w:val="24"/>
          <w:szCs w:val="24"/>
        </w:rPr>
      </w:pPr>
      <w:r w:rsidRPr="00FA3F9C">
        <w:rPr>
          <w:rFonts w:ascii="Arial" w:hAnsi="Arial" w:cs="Arial"/>
          <w:sz w:val="24"/>
          <w:szCs w:val="24"/>
        </w:rPr>
        <w:t>EBRx PA Criteria</w:t>
      </w:r>
    </w:p>
    <w:p w14:paraId="1C36CE61" w14:textId="77777777" w:rsidR="001506C1" w:rsidRPr="00FA3F9C" w:rsidRDefault="001506C1" w:rsidP="006F623F">
      <w:pPr>
        <w:spacing w:after="0"/>
        <w:rPr>
          <w:rFonts w:ascii="Arial" w:hAnsi="Arial" w:cs="Arial"/>
          <w:b/>
          <w:sz w:val="24"/>
          <w:szCs w:val="24"/>
          <w:u w:val="single"/>
        </w:rPr>
      </w:pPr>
    </w:p>
    <w:p w14:paraId="7D981D47" w14:textId="77777777" w:rsidR="001506C1" w:rsidRPr="00FA3F9C" w:rsidRDefault="001506C1" w:rsidP="006F623F">
      <w:pPr>
        <w:spacing w:after="0"/>
        <w:rPr>
          <w:rFonts w:ascii="Arial" w:hAnsi="Arial" w:cs="Arial"/>
          <w:sz w:val="24"/>
          <w:szCs w:val="24"/>
        </w:rPr>
      </w:pPr>
      <w:r w:rsidRPr="00FA3F9C">
        <w:rPr>
          <w:rFonts w:ascii="Arial" w:hAnsi="Arial" w:cs="Arial"/>
          <w:b/>
          <w:sz w:val="24"/>
          <w:szCs w:val="24"/>
          <w:u w:val="single"/>
        </w:rPr>
        <w:t>FDA-approved for:</w:t>
      </w:r>
      <w:r w:rsidRPr="00FA3F9C">
        <w:rPr>
          <w:rFonts w:ascii="Arial" w:hAnsi="Arial" w:cs="Arial"/>
          <w:sz w:val="24"/>
          <w:szCs w:val="24"/>
        </w:rPr>
        <w:t xml:space="preserve">  </w:t>
      </w:r>
    </w:p>
    <w:p w14:paraId="4FA815EB" w14:textId="77777777" w:rsidR="001506C1" w:rsidRPr="00FA3F9C" w:rsidRDefault="001506C1" w:rsidP="006F623F">
      <w:pPr>
        <w:spacing w:after="0"/>
        <w:rPr>
          <w:rFonts w:ascii="Arial" w:hAnsi="Arial" w:cs="Arial"/>
          <w:b/>
          <w:sz w:val="24"/>
          <w:szCs w:val="24"/>
          <w:u w:val="single"/>
        </w:rPr>
      </w:pPr>
    </w:p>
    <w:p w14:paraId="7E5DAC36" w14:textId="77777777" w:rsidR="001506C1" w:rsidRPr="00FA3F9C" w:rsidRDefault="001506C1" w:rsidP="006F623F">
      <w:pPr>
        <w:spacing w:after="0"/>
        <w:rPr>
          <w:rFonts w:ascii="Arial" w:hAnsi="Arial" w:cs="Arial"/>
          <w:sz w:val="24"/>
          <w:szCs w:val="24"/>
        </w:rPr>
      </w:pPr>
      <w:r w:rsidRPr="00FA3F9C">
        <w:rPr>
          <w:rFonts w:ascii="Arial" w:hAnsi="Arial" w:cs="Arial"/>
          <w:b/>
          <w:sz w:val="24"/>
          <w:szCs w:val="24"/>
          <w:u w:val="single"/>
        </w:rPr>
        <w:t>Merkel Cell Carcinoma (MCC)</w:t>
      </w:r>
      <w:r w:rsidRPr="00FA3F9C">
        <w:rPr>
          <w:rFonts w:ascii="Arial" w:hAnsi="Arial" w:cs="Arial"/>
          <w:sz w:val="24"/>
          <w:szCs w:val="24"/>
          <w:vertAlign w:val="superscript"/>
        </w:rPr>
        <w:t>1</w:t>
      </w:r>
      <w:r w:rsidRPr="00FA3F9C">
        <w:rPr>
          <w:rFonts w:ascii="Arial" w:hAnsi="Arial" w:cs="Arial"/>
          <w:sz w:val="24"/>
          <w:szCs w:val="24"/>
        </w:rPr>
        <w:t xml:space="preserve"> </w:t>
      </w:r>
    </w:p>
    <w:p w14:paraId="6AA49DA2"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 xml:space="preserve">• Adults and pediatric patients 12 years and older with metastatic MCC. </w:t>
      </w:r>
      <w:r w:rsidRPr="00FA3F9C">
        <w:rPr>
          <w:rFonts w:ascii="Arial" w:hAnsi="Arial" w:cs="Arial"/>
          <w:sz w:val="24"/>
          <w:szCs w:val="24"/>
          <w:highlight w:val="yellow"/>
        </w:rPr>
        <w:t>NOT COVERED</w:t>
      </w:r>
      <w:r w:rsidRPr="00FA3F9C">
        <w:rPr>
          <w:rFonts w:ascii="Arial" w:hAnsi="Arial" w:cs="Arial"/>
          <w:sz w:val="24"/>
          <w:szCs w:val="24"/>
        </w:rPr>
        <w:t>: Data limited to single arm trial with no report of overall survival or quality of life benefit. (</w:t>
      </w:r>
      <w:r w:rsidRPr="00FA3F9C">
        <w:rPr>
          <w:rFonts w:ascii="Arial" w:hAnsi="Arial" w:cs="Arial"/>
          <w:sz w:val="24"/>
          <w:szCs w:val="24"/>
          <w:u w:val="single"/>
        </w:rPr>
        <w:t>See pembrolizumab criteria</w:t>
      </w:r>
      <w:r w:rsidRPr="00FA3F9C">
        <w:rPr>
          <w:rFonts w:ascii="Arial" w:hAnsi="Arial" w:cs="Arial"/>
          <w:sz w:val="24"/>
          <w:szCs w:val="24"/>
        </w:rPr>
        <w:t>)</w:t>
      </w:r>
    </w:p>
    <w:p w14:paraId="4840402B"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ab/>
        <w:t>References (two reports of same study):</w:t>
      </w:r>
    </w:p>
    <w:p w14:paraId="63EA962C" w14:textId="77777777" w:rsidR="001506C1" w:rsidRPr="00FA3F9C" w:rsidRDefault="001506C1" w:rsidP="001506C1">
      <w:pPr>
        <w:pStyle w:val="ListParagraph"/>
        <w:numPr>
          <w:ilvl w:val="0"/>
          <w:numId w:val="32"/>
        </w:numPr>
        <w:spacing w:after="0" w:line="276" w:lineRule="auto"/>
        <w:ind w:left="1260"/>
        <w:rPr>
          <w:rFonts w:ascii="Arial" w:hAnsi="Arial" w:cs="Arial"/>
          <w:sz w:val="24"/>
          <w:szCs w:val="24"/>
        </w:rPr>
      </w:pPr>
      <w:r w:rsidRPr="00FA3F9C">
        <w:rPr>
          <w:rFonts w:ascii="Arial" w:hAnsi="Arial" w:cs="Arial"/>
          <w:color w:val="212121"/>
          <w:sz w:val="24"/>
          <w:szCs w:val="24"/>
          <w:shd w:val="clear" w:color="auto" w:fill="FFFFFF"/>
        </w:rPr>
        <w:t xml:space="preserve">Kaufman HL et al. Avelumab in patients with chemotherapy-refractory metastatic Merkel cell carcinoma: a </w:t>
      </w:r>
      <w:proofErr w:type="spellStart"/>
      <w:r w:rsidRPr="00FA3F9C">
        <w:rPr>
          <w:rFonts w:ascii="Arial" w:hAnsi="Arial" w:cs="Arial"/>
          <w:color w:val="212121"/>
          <w:sz w:val="24"/>
          <w:szCs w:val="24"/>
          <w:shd w:val="clear" w:color="auto" w:fill="FFFFFF"/>
        </w:rPr>
        <w:t>multicentre</w:t>
      </w:r>
      <w:proofErr w:type="spellEnd"/>
      <w:r w:rsidRPr="00FA3F9C">
        <w:rPr>
          <w:rFonts w:ascii="Arial" w:hAnsi="Arial" w:cs="Arial"/>
          <w:color w:val="212121"/>
          <w:sz w:val="24"/>
          <w:szCs w:val="24"/>
          <w:shd w:val="clear" w:color="auto" w:fill="FFFFFF"/>
        </w:rPr>
        <w:t>, single-group, open-label, phase 2 trial. </w:t>
      </w:r>
      <w:r w:rsidRPr="00FA3F9C">
        <w:rPr>
          <w:rFonts w:ascii="Arial" w:hAnsi="Arial" w:cs="Arial"/>
          <w:i/>
          <w:iCs/>
          <w:color w:val="212121"/>
          <w:sz w:val="24"/>
          <w:szCs w:val="24"/>
          <w:shd w:val="clear" w:color="auto" w:fill="FFFFFF"/>
        </w:rPr>
        <w:t>Lancet Oncol</w:t>
      </w:r>
      <w:r w:rsidRPr="00FA3F9C">
        <w:rPr>
          <w:rFonts w:ascii="Arial" w:hAnsi="Arial" w:cs="Arial"/>
          <w:color w:val="212121"/>
          <w:sz w:val="24"/>
          <w:szCs w:val="24"/>
          <w:shd w:val="clear" w:color="auto" w:fill="FFFFFF"/>
        </w:rPr>
        <w:t>. 2016;17(10):1374-1385. PMID 27592805 NCT02155647</w:t>
      </w:r>
    </w:p>
    <w:p w14:paraId="39900D0C" w14:textId="77777777" w:rsidR="001506C1" w:rsidRPr="00FA3F9C" w:rsidRDefault="001506C1" w:rsidP="001506C1">
      <w:pPr>
        <w:pStyle w:val="ListParagraph"/>
        <w:numPr>
          <w:ilvl w:val="0"/>
          <w:numId w:val="32"/>
        </w:numPr>
        <w:spacing w:after="0" w:line="276" w:lineRule="auto"/>
        <w:ind w:left="1260"/>
        <w:rPr>
          <w:rFonts w:ascii="Arial" w:hAnsi="Arial" w:cs="Arial"/>
          <w:sz w:val="24"/>
          <w:szCs w:val="24"/>
        </w:rPr>
      </w:pPr>
      <w:r w:rsidRPr="00FA3F9C">
        <w:rPr>
          <w:rFonts w:ascii="Arial" w:hAnsi="Arial" w:cs="Arial"/>
          <w:color w:val="212121"/>
          <w:sz w:val="24"/>
          <w:szCs w:val="24"/>
          <w:shd w:val="clear" w:color="auto" w:fill="FFFFFF"/>
        </w:rPr>
        <w:t xml:space="preserve">D'Angelo SP et al. Efficacy and Safety of </w:t>
      </w:r>
      <w:proofErr w:type="gramStart"/>
      <w:r w:rsidRPr="00FA3F9C">
        <w:rPr>
          <w:rFonts w:ascii="Arial" w:hAnsi="Arial" w:cs="Arial"/>
          <w:color w:val="212121"/>
          <w:sz w:val="24"/>
          <w:szCs w:val="24"/>
          <w:shd w:val="clear" w:color="auto" w:fill="FFFFFF"/>
        </w:rPr>
        <w:t>First-line</w:t>
      </w:r>
      <w:proofErr w:type="gramEnd"/>
      <w:r w:rsidRPr="00FA3F9C">
        <w:rPr>
          <w:rFonts w:ascii="Arial" w:hAnsi="Arial" w:cs="Arial"/>
          <w:color w:val="212121"/>
          <w:sz w:val="24"/>
          <w:szCs w:val="24"/>
          <w:shd w:val="clear" w:color="auto" w:fill="FFFFFF"/>
        </w:rPr>
        <w:t xml:space="preserve"> Avelumab Treatment in Patients With Stage IV Metastatic Merkel Cell Carcinoma: A Preplanned Interim Analysis of a Clinical Trial. </w:t>
      </w:r>
      <w:r w:rsidRPr="00FA3F9C">
        <w:rPr>
          <w:rFonts w:ascii="Arial" w:hAnsi="Arial" w:cs="Arial"/>
          <w:i/>
          <w:iCs/>
          <w:color w:val="212121"/>
          <w:sz w:val="24"/>
          <w:szCs w:val="24"/>
          <w:shd w:val="clear" w:color="auto" w:fill="FFFFFF"/>
        </w:rPr>
        <w:t>JAMA Oncol</w:t>
      </w:r>
      <w:r w:rsidRPr="00FA3F9C">
        <w:rPr>
          <w:rFonts w:ascii="Arial" w:hAnsi="Arial" w:cs="Arial"/>
          <w:color w:val="212121"/>
          <w:sz w:val="24"/>
          <w:szCs w:val="24"/>
          <w:shd w:val="clear" w:color="auto" w:fill="FFFFFF"/>
        </w:rPr>
        <w:t>. 2018;4(9):e180077. PMID 29566106  NCT02155647</w:t>
      </w:r>
    </w:p>
    <w:p w14:paraId="665150E3" w14:textId="77777777" w:rsidR="001506C1" w:rsidRPr="00FA3F9C" w:rsidRDefault="001506C1" w:rsidP="006F623F">
      <w:pPr>
        <w:spacing w:after="0"/>
        <w:rPr>
          <w:rFonts w:ascii="Arial" w:hAnsi="Arial" w:cs="Arial"/>
          <w:sz w:val="24"/>
          <w:szCs w:val="24"/>
        </w:rPr>
      </w:pPr>
    </w:p>
    <w:p w14:paraId="5898F1E6" w14:textId="77777777" w:rsidR="001506C1" w:rsidRPr="00FA3F9C" w:rsidRDefault="001506C1" w:rsidP="006F623F">
      <w:pPr>
        <w:spacing w:after="0"/>
        <w:rPr>
          <w:rFonts w:ascii="Arial" w:hAnsi="Arial" w:cs="Arial"/>
          <w:sz w:val="24"/>
          <w:szCs w:val="24"/>
        </w:rPr>
      </w:pPr>
      <w:r w:rsidRPr="00FA3F9C">
        <w:rPr>
          <w:rFonts w:ascii="Arial" w:hAnsi="Arial" w:cs="Arial"/>
          <w:b/>
          <w:sz w:val="24"/>
          <w:szCs w:val="24"/>
          <w:u w:val="single"/>
        </w:rPr>
        <w:t>Urothelial Carcinoma (UC)</w:t>
      </w:r>
    </w:p>
    <w:p w14:paraId="7E84F1CC" w14:textId="77777777" w:rsidR="001506C1" w:rsidRPr="00FA3F9C" w:rsidRDefault="001506C1" w:rsidP="00D02C5F">
      <w:pPr>
        <w:spacing w:after="0"/>
        <w:ind w:left="180" w:hanging="180"/>
        <w:rPr>
          <w:rFonts w:ascii="Arial" w:hAnsi="Arial" w:cs="Arial"/>
          <w:sz w:val="24"/>
          <w:szCs w:val="24"/>
        </w:rPr>
      </w:pPr>
      <w:r w:rsidRPr="00FA3F9C">
        <w:rPr>
          <w:rFonts w:ascii="Arial" w:hAnsi="Arial" w:cs="Arial"/>
          <w:sz w:val="24"/>
          <w:szCs w:val="24"/>
        </w:rPr>
        <w:t>• Maintenance treatment of patients with locally advanced or metastatic UC that has not progressed with first-line platinum-containing chemotherapy (</w:t>
      </w:r>
      <w:r w:rsidRPr="00FA3F9C">
        <w:rPr>
          <w:rFonts w:ascii="Arial" w:hAnsi="Arial" w:cs="Arial"/>
          <w:sz w:val="24"/>
          <w:szCs w:val="24"/>
          <w:highlight w:val="cyan"/>
        </w:rPr>
        <w:t>SEE CRITERIA</w:t>
      </w:r>
      <w:r w:rsidRPr="00FA3F9C">
        <w:rPr>
          <w:rFonts w:ascii="Arial" w:hAnsi="Arial" w:cs="Arial"/>
          <w:sz w:val="24"/>
          <w:szCs w:val="24"/>
        </w:rPr>
        <w:t xml:space="preserve">) </w:t>
      </w:r>
    </w:p>
    <w:p w14:paraId="4D3D18DE" w14:textId="77777777" w:rsidR="001506C1" w:rsidRPr="00FA3F9C" w:rsidRDefault="001506C1" w:rsidP="00D02C5F">
      <w:pPr>
        <w:spacing w:after="0"/>
        <w:rPr>
          <w:rFonts w:ascii="Arial" w:hAnsi="Arial" w:cs="Arial"/>
          <w:sz w:val="24"/>
          <w:szCs w:val="24"/>
        </w:rPr>
      </w:pPr>
      <w:r w:rsidRPr="00FA3F9C">
        <w:rPr>
          <w:rFonts w:ascii="Arial" w:hAnsi="Arial" w:cs="Arial"/>
          <w:sz w:val="24"/>
          <w:szCs w:val="24"/>
        </w:rPr>
        <w:t xml:space="preserve">• Patients with locally advanced or metastatic UC who meet one of the following conditions: </w:t>
      </w:r>
    </w:p>
    <w:p w14:paraId="3BEFDCEF" w14:textId="77777777" w:rsidR="001506C1" w:rsidRPr="00FA3F9C" w:rsidRDefault="001506C1" w:rsidP="001506C1">
      <w:pPr>
        <w:pStyle w:val="ListParagraph"/>
        <w:numPr>
          <w:ilvl w:val="1"/>
          <w:numId w:val="30"/>
        </w:numPr>
        <w:spacing w:after="0" w:line="276" w:lineRule="auto"/>
        <w:ind w:left="720"/>
        <w:rPr>
          <w:rFonts w:ascii="Arial" w:hAnsi="Arial" w:cs="Arial"/>
          <w:sz w:val="24"/>
          <w:szCs w:val="24"/>
        </w:rPr>
      </w:pPr>
      <w:r w:rsidRPr="00FA3F9C">
        <w:rPr>
          <w:rFonts w:ascii="Arial" w:hAnsi="Arial" w:cs="Arial"/>
          <w:sz w:val="24"/>
          <w:szCs w:val="24"/>
        </w:rPr>
        <w:t xml:space="preserve">Have disease progression during or following platinum-containing chemotherapy. </w:t>
      </w:r>
      <w:r w:rsidRPr="00FA3F9C">
        <w:rPr>
          <w:rFonts w:ascii="Arial" w:hAnsi="Arial" w:cs="Arial"/>
          <w:sz w:val="24"/>
          <w:szCs w:val="24"/>
          <w:highlight w:val="yellow"/>
        </w:rPr>
        <w:t>NOT COVERED</w:t>
      </w:r>
      <w:r w:rsidRPr="00FA3F9C">
        <w:rPr>
          <w:rFonts w:ascii="Arial" w:hAnsi="Arial" w:cs="Arial"/>
          <w:sz w:val="24"/>
          <w:szCs w:val="24"/>
        </w:rPr>
        <w:t>: Data limited to single arm trial with no report of overall survival or quality of life benefit. (See pembrolizumab criteria)</w:t>
      </w:r>
    </w:p>
    <w:p w14:paraId="7BFB7FF5" w14:textId="77777777" w:rsidR="001506C1" w:rsidRPr="00FA3F9C" w:rsidRDefault="001506C1" w:rsidP="001506C1">
      <w:pPr>
        <w:pStyle w:val="ListParagraph"/>
        <w:numPr>
          <w:ilvl w:val="0"/>
          <w:numId w:val="30"/>
        </w:numPr>
        <w:spacing w:after="0" w:line="276" w:lineRule="auto"/>
        <w:ind w:left="720"/>
        <w:rPr>
          <w:rFonts w:ascii="Arial" w:hAnsi="Arial" w:cs="Arial"/>
          <w:sz w:val="24"/>
          <w:szCs w:val="24"/>
        </w:rPr>
      </w:pPr>
      <w:r w:rsidRPr="00FA3F9C">
        <w:rPr>
          <w:rFonts w:ascii="Arial" w:hAnsi="Arial" w:cs="Arial"/>
          <w:sz w:val="24"/>
          <w:szCs w:val="24"/>
        </w:rPr>
        <w:t xml:space="preserve">Have disease progression within 12 months of neoadjuvant or adjuvant treatment with platinum-containing chemotherapy. </w:t>
      </w:r>
      <w:r w:rsidRPr="00FA3F9C">
        <w:rPr>
          <w:rFonts w:ascii="Arial" w:hAnsi="Arial" w:cs="Arial"/>
          <w:sz w:val="24"/>
          <w:szCs w:val="24"/>
          <w:highlight w:val="yellow"/>
        </w:rPr>
        <w:t>NOT COVERED</w:t>
      </w:r>
      <w:r w:rsidRPr="00FA3F9C">
        <w:rPr>
          <w:rFonts w:ascii="Arial" w:hAnsi="Arial" w:cs="Arial"/>
          <w:sz w:val="24"/>
          <w:szCs w:val="24"/>
        </w:rPr>
        <w:t>: Data limited to single arm trial with no report of overall survival or quality of life benefit. (</w:t>
      </w:r>
      <w:r w:rsidRPr="00FA3F9C">
        <w:rPr>
          <w:rFonts w:ascii="Arial" w:hAnsi="Arial" w:cs="Arial"/>
          <w:sz w:val="24"/>
          <w:szCs w:val="24"/>
          <w:u w:val="single"/>
        </w:rPr>
        <w:t>See pembrolizumab criteria</w:t>
      </w:r>
      <w:r w:rsidRPr="00FA3F9C">
        <w:rPr>
          <w:rFonts w:ascii="Arial" w:hAnsi="Arial" w:cs="Arial"/>
          <w:sz w:val="24"/>
          <w:szCs w:val="24"/>
        </w:rPr>
        <w:t>)</w:t>
      </w:r>
    </w:p>
    <w:p w14:paraId="7A68D09D" w14:textId="77777777" w:rsidR="001506C1" w:rsidRPr="00FA3F9C" w:rsidRDefault="001506C1" w:rsidP="00243B1A">
      <w:pPr>
        <w:pStyle w:val="ListParagraph"/>
        <w:spacing w:after="0"/>
        <w:rPr>
          <w:rFonts w:ascii="Arial" w:hAnsi="Arial" w:cs="Arial"/>
          <w:sz w:val="24"/>
          <w:szCs w:val="24"/>
        </w:rPr>
      </w:pPr>
      <w:r w:rsidRPr="00FA3F9C">
        <w:rPr>
          <w:rFonts w:ascii="Arial" w:hAnsi="Arial" w:cs="Arial"/>
          <w:sz w:val="24"/>
          <w:szCs w:val="24"/>
        </w:rPr>
        <w:t>Reference:</w:t>
      </w:r>
    </w:p>
    <w:p w14:paraId="2218058E" w14:textId="77777777" w:rsidR="001506C1" w:rsidRPr="00FA3F9C" w:rsidRDefault="001506C1" w:rsidP="00243B1A">
      <w:pPr>
        <w:pStyle w:val="ListParagraph"/>
        <w:spacing w:after="0"/>
        <w:rPr>
          <w:rFonts w:ascii="Arial" w:hAnsi="Arial" w:cs="Arial"/>
          <w:sz w:val="24"/>
          <w:szCs w:val="24"/>
        </w:rPr>
      </w:pPr>
      <w:r w:rsidRPr="00FA3F9C">
        <w:rPr>
          <w:rFonts w:ascii="Arial" w:hAnsi="Arial" w:cs="Arial"/>
          <w:color w:val="212121"/>
          <w:sz w:val="24"/>
          <w:szCs w:val="24"/>
          <w:shd w:val="clear" w:color="auto" w:fill="FFFFFF"/>
        </w:rPr>
        <w:t xml:space="preserve">Patel MR et al. Avelumab in metastatic urothelial carcinoma after platinum failure (JAVELIN Solid Tumor): pooled results from two expansion cohorts of an open-label, phase 1 trial </w:t>
      </w:r>
      <w:r w:rsidRPr="00FA3F9C">
        <w:rPr>
          <w:rFonts w:ascii="Arial" w:hAnsi="Arial" w:cs="Arial"/>
          <w:i/>
          <w:iCs/>
          <w:color w:val="212121"/>
          <w:sz w:val="24"/>
          <w:szCs w:val="24"/>
          <w:shd w:val="clear" w:color="auto" w:fill="FFFFFF"/>
        </w:rPr>
        <w:t>Lancet Oncol</w:t>
      </w:r>
      <w:r w:rsidRPr="00FA3F9C">
        <w:rPr>
          <w:rFonts w:ascii="Arial" w:hAnsi="Arial" w:cs="Arial"/>
          <w:color w:val="212121"/>
          <w:sz w:val="24"/>
          <w:szCs w:val="24"/>
          <w:shd w:val="clear" w:color="auto" w:fill="FFFFFF"/>
        </w:rPr>
        <w:t xml:space="preserve">. 2018;19(1):51-64. PMID </w:t>
      </w:r>
      <w:r w:rsidRPr="00FA3F9C">
        <w:rPr>
          <w:rFonts w:ascii="Arial" w:eastAsia="Times New Roman" w:hAnsi="Arial" w:cs="Arial"/>
          <w:color w:val="212121"/>
          <w:sz w:val="24"/>
          <w:szCs w:val="24"/>
        </w:rPr>
        <w:t>29217288 NCT01772004</w:t>
      </w:r>
    </w:p>
    <w:p w14:paraId="0E99EF6E" w14:textId="77777777" w:rsidR="001506C1" w:rsidRPr="00FA3F9C" w:rsidRDefault="001506C1" w:rsidP="006F623F">
      <w:pPr>
        <w:spacing w:after="0"/>
        <w:rPr>
          <w:rFonts w:ascii="Arial" w:hAnsi="Arial" w:cs="Arial"/>
          <w:sz w:val="24"/>
          <w:szCs w:val="24"/>
        </w:rPr>
      </w:pPr>
    </w:p>
    <w:p w14:paraId="42831671" w14:textId="77777777" w:rsidR="001506C1" w:rsidRPr="00FA3F9C" w:rsidRDefault="001506C1" w:rsidP="006F623F">
      <w:pPr>
        <w:spacing w:after="0"/>
        <w:rPr>
          <w:rFonts w:ascii="Arial" w:hAnsi="Arial" w:cs="Arial"/>
          <w:sz w:val="24"/>
          <w:szCs w:val="24"/>
        </w:rPr>
      </w:pPr>
      <w:r w:rsidRPr="00FA3F9C">
        <w:rPr>
          <w:rFonts w:ascii="Arial" w:hAnsi="Arial" w:cs="Arial"/>
          <w:b/>
          <w:sz w:val="24"/>
          <w:szCs w:val="24"/>
          <w:u w:val="single"/>
        </w:rPr>
        <w:t>Renal Cell Carcinoma (RCC)</w:t>
      </w:r>
      <w:r w:rsidRPr="00FA3F9C">
        <w:rPr>
          <w:rFonts w:ascii="Arial" w:hAnsi="Arial" w:cs="Arial"/>
          <w:sz w:val="24"/>
          <w:szCs w:val="24"/>
        </w:rPr>
        <w:t xml:space="preserve"> </w:t>
      </w:r>
    </w:p>
    <w:p w14:paraId="3A00D1D4"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 xml:space="preserve">• First-line treatment, in combination with </w:t>
      </w:r>
      <w:proofErr w:type="spellStart"/>
      <w:r w:rsidRPr="00FA3F9C">
        <w:rPr>
          <w:rFonts w:ascii="Arial" w:hAnsi="Arial" w:cs="Arial"/>
          <w:sz w:val="24"/>
          <w:szCs w:val="24"/>
        </w:rPr>
        <w:t>axitinib</w:t>
      </w:r>
      <w:proofErr w:type="spellEnd"/>
      <w:r w:rsidRPr="00FA3F9C">
        <w:rPr>
          <w:rFonts w:ascii="Arial" w:hAnsi="Arial" w:cs="Arial"/>
          <w:sz w:val="24"/>
          <w:szCs w:val="24"/>
        </w:rPr>
        <w:t xml:space="preserve">, of patients with advanced RCC. </w:t>
      </w:r>
      <w:r w:rsidRPr="00FA3F9C">
        <w:rPr>
          <w:rFonts w:ascii="Arial" w:hAnsi="Arial" w:cs="Arial"/>
          <w:sz w:val="24"/>
          <w:szCs w:val="24"/>
          <w:highlight w:val="yellow"/>
        </w:rPr>
        <w:t>NOT COVERED</w:t>
      </w:r>
      <w:r w:rsidRPr="00FA3F9C">
        <w:rPr>
          <w:rFonts w:ascii="Arial" w:hAnsi="Arial" w:cs="Arial"/>
          <w:sz w:val="24"/>
          <w:szCs w:val="24"/>
        </w:rPr>
        <w:t>: Benefit limited to progression free survival. (</w:t>
      </w:r>
      <w:r w:rsidRPr="00FA3F9C">
        <w:rPr>
          <w:rFonts w:ascii="Arial" w:hAnsi="Arial" w:cs="Arial"/>
          <w:sz w:val="24"/>
          <w:szCs w:val="24"/>
          <w:u w:val="single"/>
        </w:rPr>
        <w:t xml:space="preserve">See pembrolizumab + </w:t>
      </w:r>
      <w:proofErr w:type="spellStart"/>
      <w:r w:rsidRPr="00FA3F9C">
        <w:rPr>
          <w:rFonts w:ascii="Arial" w:hAnsi="Arial" w:cs="Arial"/>
          <w:sz w:val="24"/>
          <w:szCs w:val="24"/>
          <w:u w:val="single"/>
        </w:rPr>
        <w:t>axitinib</w:t>
      </w:r>
      <w:proofErr w:type="spellEnd"/>
      <w:r w:rsidRPr="00FA3F9C">
        <w:rPr>
          <w:rFonts w:ascii="Arial" w:hAnsi="Arial" w:cs="Arial"/>
          <w:sz w:val="24"/>
          <w:szCs w:val="24"/>
          <w:u w:val="single"/>
        </w:rPr>
        <w:t xml:space="preserve"> criteria</w:t>
      </w:r>
      <w:r w:rsidRPr="00FA3F9C">
        <w:rPr>
          <w:rFonts w:ascii="Arial" w:hAnsi="Arial" w:cs="Arial"/>
          <w:sz w:val="24"/>
          <w:szCs w:val="24"/>
        </w:rPr>
        <w:t>).</w:t>
      </w:r>
    </w:p>
    <w:p w14:paraId="4C7E979E"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ab/>
        <w:t>Reference:</w:t>
      </w:r>
    </w:p>
    <w:p w14:paraId="2F8B6DED" w14:textId="77777777" w:rsidR="001506C1" w:rsidRPr="00FA3F9C" w:rsidRDefault="001506C1" w:rsidP="00612585">
      <w:pPr>
        <w:spacing w:after="0"/>
        <w:ind w:left="720"/>
        <w:rPr>
          <w:rFonts w:ascii="Arial" w:hAnsi="Arial" w:cs="Arial"/>
          <w:sz w:val="24"/>
          <w:szCs w:val="24"/>
        </w:rPr>
      </w:pPr>
      <w:proofErr w:type="spellStart"/>
      <w:r w:rsidRPr="00FA3F9C">
        <w:rPr>
          <w:rFonts w:ascii="Arial" w:hAnsi="Arial" w:cs="Arial"/>
          <w:sz w:val="24"/>
          <w:szCs w:val="24"/>
        </w:rPr>
        <w:t>Motzer</w:t>
      </w:r>
      <w:proofErr w:type="spellEnd"/>
      <w:r w:rsidRPr="00FA3F9C">
        <w:rPr>
          <w:rFonts w:ascii="Arial" w:hAnsi="Arial" w:cs="Arial"/>
          <w:sz w:val="24"/>
          <w:szCs w:val="24"/>
        </w:rPr>
        <w:t xml:space="preserve"> RJ et al. Avelumab plus </w:t>
      </w:r>
      <w:proofErr w:type="spellStart"/>
      <w:r w:rsidRPr="00FA3F9C">
        <w:rPr>
          <w:rFonts w:ascii="Arial" w:hAnsi="Arial" w:cs="Arial"/>
          <w:sz w:val="24"/>
          <w:szCs w:val="24"/>
        </w:rPr>
        <w:t>Axitinib</w:t>
      </w:r>
      <w:proofErr w:type="spellEnd"/>
      <w:r w:rsidRPr="00FA3F9C">
        <w:rPr>
          <w:rFonts w:ascii="Arial" w:hAnsi="Arial" w:cs="Arial"/>
          <w:sz w:val="24"/>
          <w:szCs w:val="24"/>
        </w:rPr>
        <w:t xml:space="preserve"> versus Sunitinib for Advanced Renal-Cell Carcinoma. N </w:t>
      </w:r>
      <w:proofErr w:type="spellStart"/>
      <w:r w:rsidRPr="00FA3F9C">
        <w:rPr>
          <w:rFonts w:ascii="Arial" w:hAnsi="Arial" w:cs="Arial"/>
          <w:sz w:val="24"/>
          <w:szCs w:val="24"/>
        </w:rPr>
        <w:t>Engl</w:t>
      </w:r>
      <w:proofErr w:type="spellEnd"/>
      <w:r w:rsidRPr="00FA3F9C">
        <w:rPr>
          <w:rFonts w:ascii="Arial" w:hAnsi="Arial" w:cs="Arial"/>
          <w:sz w:val="24"/>
          <w:szCs w:val="24"/>
        </w:rPr>
        <w:t xml:space="preserve"> J Med. 2019;380(12):1103-1115. PMID 30779531 NCT02684006</w:t>
      </w:r>
    </w:p>
    <w:p w14:paraId="1304FBA9" w14:textId="77777777" w:rsidR="001506C1" w:rsidRPr="00FA3F9C" w:rsidRDefault="001506C1" w:rsidP="006F623F">
      <w:pPr>
        <w:spacing w:after="0"/>
        <w:rPr>
          <w:rFonts w:ascii="Arial" w:hAnsi="Arial" w:cs="Arial"/>
          <w:sz w:val="24"/>
          <w:szCs w:val="24"/>
        </w:rPr>
      </w:pPr>
    </w:p>
    <w:p w14:paraId="41373EB6"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vertAlign w:val="superscript"/>
        </w:rPr>
        <w:t>1</w:t>
      </w:r>
      <w:r w:rsidRPr="00FA3F9C">
        <w:rPr>
          <w:rFonts w:ascii="Arial" w:hAnsi="Arial" w:cs="Arial"/>
          <w:sz w:val="24"/>
          <w:szCs w:val="24"/>
        </w:rPr>
        <w:t xml:space="preserve">This indication is approved under accelerated approval based on tumor response rate and duration of response. Continued approval for this indication may be contingent upon verification and description of clinical benefit in confirmatory trials. </w:t>
      </w:r>
    </w:p>
    <w:p w14:paraId="7F6DAE6B" w14:textId="77777777" w:rsidR="001506C1" w:rsidRPr="00FA3F9C" w:rsidRDefault="001506C1" w:rsidP="006F623F">
      <w:pPr>
        <w:spacing w:after="0"/>
        <w:rPr>
          <w:rFonts w:ascii="Arial" w:hAnsi="Arial" w:cs="Arial"/>
          <w:sz w:val="24"/>
          <w:szCs w:val="24"/>
        </w:rPr>
      </w:pPr>
    </w:p>
    <w:tbl>
      <w:tblPr>
        <w:tblStyle w:val="TableGrid"/>
        <w:tblW w:w="0" w:type="auto"/>
        <w:tblLook w:val="04A0" w:firstRow="1" w:lastRow="0" w:firstColumn="1" w:lastColumn="0" w:noHBand="0" w:noVBand="1"/>
      </w:tblPr>
      <w:tblGrid>
        <w:gridCol w:w="11016"/>
      </w:tblGrid>
      <w:tr w:rsidR="001506C1" w:rsidRPr="00FA3F9C" w14:paraId="1E5178F6" w14:textId="77777777" w:rsidTr="00E946D8">
        <w:tc>
          <w:tcPr>
            <w:tcW w:w="11016" w:type="dxa"/>
            <w:shd w:val="clear" w:color="auto" w:fill="000000"/>
            <w:vAlign w:val="center"/>
          </w:tcPr>
          <w:p w14:paraId="2DC94B10" w14:textId="77777777" w:rsidR="001506C1" w:rsidRPr="00FA3F9C" w:rsidRDefault="001506C1" w:rsidP="002A33C4">
            <w:pPr>
              <w:rPr>
                <w:rFonts w:ascii="Arial" w:hAnsi="Arial" w:cs="Arial"/>
                <w:b/>
                <w:sz w:val="24"/>
                <w:szCs w:val="24"/>
                <w:u w:val="single"/>
              </w:rPr>
            </w:pPr>
            <w:r w:rsidRPr="00FA3F9C">
              <w:rPr>
                <w:rFonts w:ascii="Arial" w:hAnsi="Arial" w:cs="Arial"/>
                <w:b/>
                <w:sz w:val="24"/>
                <w:szCs w:val="24"/>
                <w:u w:val="single"/>
              </w:rPr>
              <w:t>Criteria for urothelial carcinoma (maintenance therapy after first-line chemotherapy)</w:t>
            </w:r>
          </w:p>
        </w:tc>
      </w:tr>
      <w:tr w:rsidR="001506C1" w:rsidRPr="00FA3F9C" w14:paraId="5303D94E" w14:textId="77777777" w:rsidTr="00F337AE">
        <w:tc>
          <w:tcPr>
            <w:tcW w:w="11016" w:type="dxa"/>
          </w:tcPr>
          <w:p w14:paraId="369A282B" w14:textId="77777777" w:rsidR="001506C1" w:rsidRPr="00FA3F9C" w:rsidRDefault="001506C1" w:rsidP="006F623F">
            <w:pPr>
              <w:rPr>
                <w:rFonts w:ascii="Arial" w:hAnsi="Arial" w:cs="Arial"/>
                <w:sz w:val="24"/>
                <w:szCs w:val="24"/>
              </w:rPr>
            </w:pPr>
            <w:r w:rsidRPr="00FA3F9C">
              <w:rPr>
                <w:rFonts w:ascii="Arial" w:hAnsi="Arial" w:cs="Arial"/>
                <w:sz w:val="24"/>
                <w:szCs w:val="24"/>
              </w:rPr>
              <w:t>1. Diagnosis of unresectable, locally advanced or metastatic urothelial (bladder) carcinoma</w:t>
            </w:r>
          </w:p>
        </w:tc>
      </w:tr>
      <w:tr w:rsidR="001506C1" w:rsidRPr="00FA3F9C" w14:paraId="0371F5FF" w14:textId="77777777" w:rsidTr="00B1617E">
        <w:tc>
          <w:tcPr>
            <w:tcW w:w="11016" w:type="dxa"/>
          </w:tcPr>
          <w:p w14:paraId="55B45D73" w14:textId="77777777" w:rsidR="001506C1" w:rsidRPr="00FA3F9C" w:rsidRDefault="001506C1" w:rsidP="007A0351">
            <w:pPr>
              <w:rPr>
                <w:rFonts w:ascii="Arial" w:hAnsi="Arial" w:cs="Arial"/>
                <w:sz w:val="24"/>
                <w:szCs w:val="24"/>
              </w:rPr>
            </w:pPr>
            <w:r w:rsidRPr="00FA3F9C">
              <w:rPr>
                <w:rFonts w:ascii="Arial" w:hAnsi="Arial" w:cs="Arial"/>
                <w:sz w:val="24"/>
                <w:szCs w:val="24"/>
              </w:rPr>
              <w:t>2. In the first-line setting, patient was treated with platinum-based chemotherapy, and disease did not progress on or after therapy. [platinum-based chemotherapy typically consists of cisplatin/gemcitabine or carboplatin/gemcitabine]</w:t>
            </w:r>
          </w:p>
        </w:tc>
      </w:tr>
      <w:tr w:rsidR="001506C1" w:rsidRPr="00FA3F9C" w14:paraId="2F4A0AD1" w14:textId="77777777" w:rsidTr="00DA57E0">
        <w:tc>
          <w:tcPr>
            <w:tcW w:w="11016" w:type="dxa"/>
          </w:tcPr>
          <w:p w14:paraId="45F6FCB8" w14:textId="77777777" w:rsidR="001506C1" w:rsidRPr="00FA3F9C" w:rsidRDefault="001506C1" w:rsidP="006F623F">
            <w:pPr>
              <w:rPr>
                <w:rFonts w:ascii="Arial" w:hAnsi="Arial" w:cs="Arial"/>
                <w:sz w:val="24"/>
                <w:szCs w:val="24"/>
              </w:rPr>
            </w:pPr>
            <w:r w:rsidRPr="00FA3F9C">
              <w:rPr>
                <w:rFonts w:ascii="Arial" w:hAnsi="Arial" w:cs="Arial"/>
                <w:sz w:val="24"/>
                <w:szCs w:val="24"/>
              </w:rPr>
              <w:t>4. Avelumab will be initiated within 10 weeks of last dose of chemotherapy.</w:t>
            </w:r>
          </w:p>
        </w:tc>
      </w:tr>
      <w:tr w:rsidR="001506C1" w:rsidRPr="00FA3F9C" w14:paraId="47A31AD1" w14:textId="77777777" w:rsidTr="00D6133D">
        <w:tc>
          <w:tcPr>
            <w:tcW w:w="11016" w:type="dxa"/>
            <w:shd w:val="clear" w:color="auto" w:fill="F2F2F2" w:themeFill="background1" w:themeFillShade="F2"/>
          </w:tcPr>
          <w:p w14:paraId="468DC3F3" w14:textId="77777777" w:rsidR="001506C1" w:rsidRPr="00FA3F9C" w:rsidRDefault="001506C1" w:rsidP="007A0351">
            <w:pPr>
              <w:rPr>
                <w:rFonts w:ascii="Arial" w:hAnsi="Arial" w:cs="Arial"/>
                <w:sz w:val="24"/>
                <w:szCs w:val="24"/>
              </w:rPr>
            </w:pPr>
            <w:r w:rsidRPr="00FA3F9C">
              <w:rPr>
                <w:rFonts w:ascii="Arial" w:hAnsi="Arial" w:cs="Arial"/>
                <w:sz w:val="24"/>
                <w:szCs w:val="24"/>
              </w:rPr>
              <w:t>If all criteria met, approve for 12 months. Avelumab continues until disease progression or unacceptable toxicity.</w:t>
            </w:r>
          </w:p>
        </w:tc>
      </w:tr>
    </w:tbl>
    <w:p w14:paraId="5748A016" w14:textId="77777777" w:rsidR="001506C1" w:rsidRPr="00FA3F9C" w:rsidRDefault="001506C1" w:rsidP="006F623F">
      <w:pPr>
        <w:spacing w:after="0"/>
        <w:rPr>
          <w:rFonts w:ascii="Arial" w:hAnsi="Arial" w:cs="Arial"/>
          <w:b/>
          <w:sz w:val="24"/>
          <w:szCs w:val="24"/>
          <w:u w:val="single"/>
        </w:rPr>
      </w:pPr>
    </w:p>
    <w:p w14:paraId="183255DE" w14:textId="77777777" w:rsidR="001506C1" w:rsidRPr="00FA3F9C" w:rsidRDefault="001506C1" w:rsidP="006F623F">
      <w:pPr>
        <w:spacing w:after="0"/>
        <w:rPr>
          <w:rFonts w:ascii="Arial" w:hAnsi="Arial" w:cs="Arial"/>
          <w:b/>
          <w:sz w:val="24"/>
          <w:szCs w:val="24"/>
          <w:u w:val="single"/>
        </w:rPr>
      </w:pPr>
    </w:p>
    <w:p w14:paraId="5E14F260" w14:textId="77777777" w:rsidR="001506C1" w:rsidRPr="00FA3F9C" w:rsidRDefault="001506C1" w:rsidP="006F623F">
      <w:pPr>
        <w:spacing w:after="0"/>
        <w:rPr>
          <w:rFonts w:ascii="Arial" w:hAnsi="Arial" w:cs="Arial"/>
          <w:b/>
          <w:sz w:val="24"/>
          <w:szCs w:val="24"/>
          <w:u w:val="single"/>
        </w:rPr>
      </w:pPr>
    </w:p>
    <w:tbl>
      <w:tblPr>
        <w:tblStyle w:val="TableGrid"/>
        <w:tblW w:w="0" w:type="auto"/>
        <w:shd w:val="clear" w:color="auto" w:fill="BFBFBF" w:themeFill="background1" w:themeFillShade="BF"/>
        <w:tblLook w:val="04A0" w:firstRow="1" w:lastRow="0" w:firstColumn="1" w:lastColumn="0" w:noHBand="0" w:noVBand="1"/>
      </w:tblPr>
      <w:tblGrid>
        <w:gridCol w:w="10998"/>
      </w:tblGrid>
      <w:tr w:rsidR="001506C1" w:rsidRPr="00FA3F9C" w14:paraId="1EC4D36B" w14:textId="77777777" w:rsidTr="00D82B6E">
        <w:tc>
          <w:tcPr>
            <w:tcW w:w="10998" w:type="dxa"/>
            <w:shd w:val="clear" w:color="auto" w:fill="BFBFBF" w:themeFill="background1" w:themeFillShade="BF"/>
          </w:tcPr>
          <w:p w14:paraId="64A326B6" w14:textId="77777777" w:rsidR="001506C1" w:rsidRPr="00FA3F9C" w:rsidRDefault="001506C1" w:rsidP="00D82B6E">
            <w:pPr>
              <w:rPr>
                <w:rFonts w:ascii="Arial" w:hAnsi="Arial" w:cs="Arial"/>
                <w:sz w:val="24"/>
                <w:szCs w:val="24"/>
              </w:rPr>
            </w:pPr>
            <w:r w:rsidRPr="00FA3F9C">
              <w:rPr>
                <w:rFonts w:ascii="Arial" w:hAnsi="Arial" w:cs="Arial"/>
                <w:sz w:val="24"/>
                <w:szCs w:val="24"/>
              </w:rPr>
              <w:t xml:space="preserve">Note: </w:t>
            </w:r>
          </w:p>
          <w:p w14:paraId="62110C27" w14:textId="77777777" w:rsidR="001506C1" w:rsidRPr="00FA3F9C" w:rsidRDefault="001506C1" w:rsidP="00D6133D">
            <w:pPr>
              <w:rPr>
                <w:rFonts w:ascii="Arial" w:hAnsi="Arial" w:cs="Arial"/>
                <w:sz w:val="24"/>
                <w:szCs w:val="24"/>
              </w:rPr>
            </w:pPr>
            <w:r w:rsidRPr="00FA3F9C">
              <w:rPr>
                <w:rFonts w:ascii="Arial" w:hAnsi="Arial" w:cs="Arial"/>
                <w:sz w:val="24"/>
                <w:szCs w:val="24"/>
              </w:rPr>
              <w:t xml:space="preserve">Avelumab was compared to placebo in this treatment setting. Overall survival was significant prolonged in the avelumab group (median 21.4 </w:t>
            </w:r>
            <w:proofErr w:type="spellStart"/>
            <w:r w:rsidRPr="00FA3F9C">
              <w:rPr>
                <w:rFonts w:ascii="Arial" w:hAnsi="Arial" w:cs="Arial"/>
                <w:sz w:val="24"/>
                <w:szCs w:val="24"/>
              </w:rPr>
              <w:t>mo</w:t>
            </w:r>
            <w:proofErr w:type="spellEnd"/>
            <w:r w:rsidRPr="00FA3F9C">
              <w:rPr>
                <w:rFonts w:ascii="Arial" w:hAnsi="Arial" w:cs="Arial"/>
                <w:sz w:val="24"/>
                <w:szCs w:val="24"/>
              </w:rPr>
              <w:t xml:space="preserve"> vs 14.3 </w:t>
            </w:r>
            <w:proofErr w:type="spellStart"/>
            <w:proofErr w:type="gramStart"/>
            <w:r w:rsidRPr="00FA3F9C">
              <w:rPr>
                <w:rFonts w:ascii="Arial" w:hAnsi="Arial" w:cs="Arial"/>
                <w:sz w:val="24"/>
                <w:szCs w:val="24"/>
              </w:rPr>
              <w:t>mo</w:t>
            </w:r>
            <w:proofErr w:type="spellEnd"/>
            <w:r w:rsidRPr="00FA3F9C">
              <w:rPr>
                <w:rFonts w:ascii="Arial" w:hAnsi="Arial" w:cs="Arial"/>
                <w:sz w:val="24"/>
                <w:szCs w:val="24"/>
              </w:rPr>
              <w:t>;</w:t>
            </w:r>
            <w:proofErr w:type="gramEnd"/>
            <w:r w:rsidRPr="00FA3F9C">
              <w:rPr>
                <w:rFonts w:ascii="Arial" w:hAnsi="Arial" w:cs="Arial"/>
                <w:sz w:val="24"/>
                <w:szCs w:val="24"/>
              </w:rPr>
              <w:t xml:space="preserve"> HR 0.69). </w:t>
            </w:r>
          </w:p>
          <w:p w14:paraId="430C0D8F" w14:textId="77777777" w:rsidR="001506C1" w:rsidRPr="00FA3F9C" w:rsidRDefault="001506C1" w:rsidP="00D6133D">
            <w:pPr>
              <w:rPr>
                <w:rFonts w:ascii="Arial" w:hAnsi="Arial" w:cs="Arial"/>
                <w:sz w:val="24"/>
                <w:szCs w:val="24"/>
              </w:rPr>
            </w:pPr>
          </w:p>
          <w:p w14:paraId="4070F52D" w14:textId="77777777" w:rsidR="001506C1" w:rsidRPr="00FA3F9C" w:rsidRDefault="001506C1" w:rsidP="00D6133D">
            <w:pPr>
              <w:rPr>
                <w:rFonts w:ascii="Arial" w:hAnsi="Arial" w:cs="Arial"/>
                <w:sz w:val="24"/>
                <w:szCs w:val="24"/>
              </w:rPr>
            </w:pPr>
            <w:r w:rsidRPr="00FA3F9C">
              <w:rPr>
                <w:rFonts w:ascii="Arial" w:hAnsi="Arial" w:cs="Arial"/>
                <w:sz w:val="24"/>
                <w:szCs w:val="24"/>
              </w:rPr>
              <w:t>Dose: 10 mg/kg IV every 2 weeks until disease progression or unacceptable toxicity.</w:t>
            </w:r>
          </w:p>
          <w:p w14:paraId="487A8B1A" w14:textId="77777777" w:rsidR="001506C1" w:rsidRPr="00FA3F9C" w:rsidRDefault="001506C1" w:rsidP="00D6133D">
            <w:pPr>
              <w:rPr>
                <w:rFonts w:ascii="Arial" w:hAnsi="Arial" w:cs="Arial"/>
                <w:sz w:val="24"/>
                <w:szCs w:val="24"/>
              </w:rPr>
            </w:pPr>
          </w:p>
          <w:p w14:paraId="2037306D" w14:textId="77777777" w:rsidR="001506C1" w:rsidRPr="00FA3F9C" w:rsidRDefault="001506C1" w:rsidP="00D6133D">
            <w:pPr>
              <w:rPr>
                <w:rFonts w:ascii="Arial" w:hAnsi="Arial" w:cs="Arial"/>
                <w:sz w:val="24"/>
                <w:szCs w:val="24"/>
              </w:rPr>
            </w:pPr>
            <w:r w:rsidRPr="00FA3F9C">
              <w:rPr>
                <w:rFonts w:ascii="Arial" w:hAnsi="Arial" w:cs="Arial"/>
                <w:sz w:val="24"/>
                <w:szCs w:val="24"/>
              </w:rPr>
              <w:t>Reference:</w:t>
            </w:r>
          </w:p>
          <w:p w14:paraId="0049801F" w14:textId="77777777" w:rsidR="001506C1" w:rsidRPr="00FA3F9C" w:rsidRDefault="001506C1" w:rsidP="001506C1">
            <w:pPr>
              <w:numPr>
                <w:ilvl w:val="0"/>
                <w:numId w:val="31"/>
              </w:numPr>
              <w:spacing w:after="160" w:line="259" w:lineRule="auto"/>
              <w:rPr>
                <w:rFonts w:ascii="Arial" w:hAnsi="Arial" w:cs="Arial"/>
                <w:sz w:val="24"/>
                <w:szCs w:val="24"/>
              </w:rPr>
            </w:pPr>
            <w:proofErr w:type="spellStart"/>
            <w:r w:rsidRPr="00FA3F9C">
              <w:rPr>
                <w:rFonts w:ascii="Arial" w:hAnsi="Arial" w:cs="Arial"/>
                <w:sz w:val="24"/>
                <w:szCs w:val="24"/>
                <w:lang w:val="es-ES"/>
              </w:rPr>
              <w:t>Bevancio</w:t>
            </w:r>
            <w:proofErr w:type="spellEnd"/>
            <w:r w:rsidRPr="00FA3F9C">
              <w:rPr>
                <w:rFonts w:ascii="Arial" w:hAnsi="Arial" w:cs="Arial"/>
                <w:sz w:val="24"/>
                <w:szCs w:val="24"/>
                <w:lang w:val="es-ES"/>
              </w:rPr>
              <w:t xml:space="preserve"> PI. </w:t>
            </w:r>
            <w:hyperlink r:id="rId37" w:history="1">
              <w:r w:rsidRPr="00FA3F9C">
                <w:rPr>
                  <w:rStyle w:val="Hyperlink"/>
                  <w:rFonts w:ascii="Arial" w:hAnsi="Arial" w:cs="Arial"/>
                  <w:sz w:val="24"/>
                  <w:szCs w:val="24"/>
                  <w:lang w:val="es-ES"/>
                </w:rPr>
                <w:t>https://www.emdserono.com/us-en/pi/bavencio-pi.pdf</w:t>
              </w:r>
            </w:hyperlink>
            <w:r w:rsidRPr="00FA3F9C">
              <w:rPr>
                <w:rFonts w:ascii="Arial" w:hAnsi="Arial" w:cs="Arial"/>
                <w:sz w:val="24"/>
                <w:szCs w:val="24"/>
                <w:lang w:val="es-ES"/>
              </w:rPr>
              <w:t xml:space="preserve">. </w:t>
            </w:r>
            <w:r w:rsidRPr="00FA3F9C">
              <w:rPr>
                <w:rFonts w:ascii="Arial" w:hAnsi="Arial" w:cs="Arial"/>
                <w:sz w:val="24"/>
                <w:szCs w:val="24"/>
              </w:rPr>
              <w:t>Accessed 7/7/2020.</w:t>
            </w:r>
          </w:p>
        </w:tc>
      </w:tr>
    </w:tbl>
    <w:p w14:paraId="7FEF8583" w14:textId="77777777" w:rsidR="001506C1" w:rsidRPr="00FA3F9C" w:rsidRDefault="001506C1" w:rsidP="006F623F">
      <w:pPr>
        <w:spacing w:after="0"/>
        <w:rPr>
          <w:rFonts w:ascii="Arial" w:hAnsi="Arial" w:cs="Arial"/>
          <w:sz w:val="24"/>
          <w:szCs w:val="24"/>
        </w:rPr>
      </w:pPr>
    </w:p>
    <w:p w14:paraId="22E1F26B"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lastRenderedPageBreak/>
        <w:t>Quantity Limits: n/a</w:t>
      </w:r>
    </w:p>
    <w:p w14:paraId="511DC837" w14:textId="77777777" w:rsidR="001506C1" w:rsidRPr="00FA3F9C" w:rsidRDefault="001506C1" w:rsidP="006F623F">
      <w:pPr>
        <w:spacing w:after="0"/>
        <w:rPr>
          <w:rFonts w:ascii="Arial" w:hAnsi="Arial" w:cs="Arial"/>
          <w:sz w:val="24"/>
          <w:szCs w:val="24"/>
        </w:rPr>
      </w:pPr>
    </w:p>
    <w:p w14:paraId="7E96BB8C"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284"/>
        <w:gridCol w:w="7470"/>
        <w:gridCol w:w="2538"/>
      </w:tblGrid>
      <w:tr w:rsidR="001506C1" w:rsidRPr="00FA3F9C" w14:paraId="284DBCE0" w14:textId="77777777" w:rsidTr="00FE491B">
        <w:tc>
          <w:tcPr>
            <w:tcW w:w="1008" w:type="dxa"/>
          </w:tcPr>
          <w:p w14:paraId="77A5D454" w14:textId="77777777" w:rsidR="001506C1" w:rsidRPr="00FA3F9C" w:rsidRDefault="001506C1" w:rsidP="006F623F">
            <w:pPr>
              <w:rPr>
                <w:rFonts w:ascii="Arial" w:hAnsi="Arial" w:cs="Arial"/>
                <w:sz w:val="24"/>
                <w:szCs w:val="24"/>
              </w:rPr>
            </w:pPr>
            <w:r w:rsidRPr="00FA3F9C">
              <w:rPr>
                <w:rFonts w:ascii="Arial" w:hAnsi="Arial" w:cs="Arial"/>
                <w:sz w:val="24"/>
                <w:szCs w:val="24"/>
              </w:rPr>
              <w:t>Date</w:t>
            </w:r>
          </w:p>
        </w:tc>
        <w:tc>
          <w:tcPr>
            <w:tcW w:w="7470" w:type="dxa"/>
          </w:tcPr>
          <w:p w14:paraId="2FCF9F11" w14:textId="77777777" w:rsidR="001506C1" w:rsidRPr="00FA3F9C" w:rsidRDefault="001506C1" w:rsidP="006F623F">
            <w:pPr>
              <w:rPr>
                <w:rFonts w:ascii="Arial" w:hAnsi="Arial" w:cs="Arial"/>
                <w:sz w:val="24"/>
                <w:szCs w:val="24"/>
              </w:rPr>
            </w:pPr>
            <w:r w:rsidRPr="00FA3F9C">
              <w:rPr>
                <w:rFonts w:ascii="Arial" w:hAnsi="Arial" w:cs="Arial"/>
                <w:sz w:val="24"/>
                <w:szCs w:val="24"/>
              </w:rPr>
              <w:t>What changed</w:t>
            </w:r>
          </w:p>
        </w:tc>
        <w:tc>
          <w:tcPr>
            <w:tcW w:w="2538" w:type="dxa"/>
          </w:tcPr>
          <w:p w14:paraId="4B160F17" w14:textId="77777777" w:rsidR="001506C1" w:rsidRPr="00FA3F9C" w:rsidRDefault="001506C1" w:rsidP="006F623F">
            <w:pPr>
              <w:rPr>
                <w:rFonts w:ascii="Arial" w:hAnsi="Arial" w:cs="Arial"/>
                <w:sz w:val="24"/>
                <w:szCs w:val="24"/>
              </w:rPr>
            </w:pPr>
            <w:r w:rsidRPr="00FA3F9C">
              <w:rPr>
                <w:rFonts w:ascii="Arial" w:hAnsi="Arial" w:cs="Arial"/>
                <w:sz w:val="24"/>
                <w:szCs w:val="24"/>
              </w:rPr>
              <w:t>Pharmacist’s initials</w:t>
            </w:r>
          </w:p>
        </w:tc>
      </w:tr>
      <w:tr w:rsidR="001506C1" w:rsidRPr="00FA3F9C" w14:paraId="31807015" w14:textId="77777777" w:rsidTr="00FE491B">
        <w:tc>
          <w:tcPr>
            <w:tcW w:w="1008" w:type="dxa"/>
          </w:tcPr>
          <w:p w14:paraId="495396D8" w14:textId="77777777" w:rsidR="001506C1" w:rsidRPr="00FA3F9C" w:rsidRDefault="001506C1" w:rsidP="006F623F">
            <w:pPr>
              <w:rPr>
                <w:rFonts w:ascii="Arial" w:hAnsi="Arial" w:cs="Arial"/>
                <w:sz w:val="24"/>
                <w:szCs w:val="24"/>
              </w:rPr>
            </w:pPr>
            <w:r w:rsidRPr="00FA3F9C">
              <w:rPr>
                <w:rFonts w:ascii="Arial" w:hAnsi="Arial" w:cs="Arial"/>
                <w:sz w:val="24"/>
                <w:szCs w:val="24"/>
              </w:rPr>
              <w:t>7/22/2020</w:t>
            </w:r>
          </w:p>
        </w:tc>
        <w:tc>
          <w:tcPr>
            <w:tcW w:w="7470" w:type="dxa"/>
          </w:tcPr>
          <w:p w14:paraId="26CEC286" w14:textId="77777777" w:rsidR="001506C1" w:rsidRPr="00FA3F9C" w:rsidRDefault="001506C1" w:rsidP="006F623F">
            <w:pPr>
              <w:rPr>
                <w:rFonts w:ascii="Arial" w:hAnsi="Arial" w:cs="Arial"/>
                <w:sz w:val="24"/>
                <w:szCs w:val="24"/>
              </w:rPr>
            </w:pPr>
            <w:r w:rsidRPr="00FA3F9C">
              <w:rPr>
                <w:rFonts w:ascii="Arial" w:hAnsi="Arial" w:cs="Arial"/>
                <w:sz w:val="24"/>
                <w:szCs w:val="24"/>
              </w:rPr>
              <w:t>Criteria written</w:t>
            </w:r>
          </w:p>
        </w:tc>
        <w:tc>
          <w:tcPr>
            <w:tcW w:w="2538" w:type="dxa"/>
          </w:tcPr>
          <w:p w14:paraId="6509514A" w14:textId="77777777" w:rsidR="001506C1" w:rsidRPr="00FA3F9C" w:rsidRDefault="001506C1" w:rsidP="006F623F">
            <w:pPr>
              <w:rPr>
                <w:rFonts w:ascii="Arial" w:hAnsi="Arial" w:cs="Arial"/>
                <w:sz w:val="24"/>
                <w:szCs w:val="24"/>
              </w:rPr>
            </w:pPr>
            <w:r w:rsidRPr="00FA3F9C">
              <w:rPr>
                <w:rFonts w:ascii="Arial" w:hAnsi="Arial" w:cs="Arial"/>
                <w:sz w:val="24"/>
                <w:szCs w:val="24"/>
              </w:rPr>
              <w:t>SK</w:t>
            </w:r>
          </w:p>
        </w:tc>
      </w:tr>
      <w:tr w:rsidR="001506C1" w:rsidRPr="00FA3F9C" w14:paraId="73645F22" w14:textId="77777777" w:rsidTr="00FE491B">
        <w:tc>
          <w:tcPr>
            <w:tcW w:w="1008" w:type="dxa"/>
          </w:tcPr>
          <w:p w14:paraId="27589432" w14:textId="77777777" w:rsidR="001506C1" w:rsidRPr="00FA3F9C" w:rsidRDefault="001506C1" w:rsidP="006F623F">
            <w:pPr>
              <w:rPr>
                <w:rFonts w:ascii="Arial" w:hAnsi="Arial" w:cs="Arial"/>
                <w:sz w:val="24"/>
                <w:szCs w:val="24"/>
              </w:rPr>
            </w:pPr>
          </w:p>
        </w:tc>
        <w:tc>
          <w:tcPr>
            <w:tcW w:w="7470" w:type="dxa"/>
          </w:tcPr>
          <w:p w14:paraId="0C3A0F58" w14:textId="77777777" w:rsidR="001506C1" w:rsidRPr="00FA3F9C" w:rsidRDefault="001506C1" w:rsidP="006F623F">
            <w:pPr>
              <w:rPr>
                <w:rFonts w:ascii="Arial" w:hAnsi="Arial" w:cs="Arial"/>
                <w:sz w:val="24"/>
                <w:szCs w:val="24"/>
              </w:rPr>
            </w:pPr>
          </w:p>
        </w:tc>
        <w:tc>
          <w:tcPr>
            <w:tcW w:w="2538" w:type="dxa"/>
          </w:tcPr>
          <w:p w14:paraId="2A6B59E5" w14:textId="77777777" w:rsidR="001506C1" w:rsidRPr="00FA3F9C" w:rsidRDefault="001506C1" w:rsidP="006F623F">
            <w:pPr>
              <w:rPr>
                <w:rFonts w:ascii="Arial" w:hAnsi="Arial" w:cs="Arial"/>
                <w:sz w:val="24"/>
                <w:szCs w:val="24"/>
              </w:rPr>
            </w:pPr>
          </w:p>
        </w:tc>
      </w:tr>
    </w:tbl>
    <w:p w14:paraId="6CA29D5A" w14:textId="77777777" w:rsidR="001506C1" w:rsidRPr="00FA3F9C" w:rsidRDefault="001506C1" w:rsidP="00076432"/>
    <w:p w14:paraId="133069CD" w14:textId="77777777" w:rsidR="005005CA" w:rsidRDefault="005005CA">
      <w:pPr>
        <w:rPr>
          <w:rFonts w:ascii="Arial" w:eastAsia="Times New Roman" w:hAnsi="Arial" w:cs="Arial"/>
          <w:b/>
          <w:sz w:val="28"/>
          <w:szCs w:val="20"/>
        </w:rPr>
      </w:pPr>
      <w:bookmarkStart w:id="24" w:name="_Toc106369726"/>
      <w:r>
        <w:br w:type="page"/>
      </w:r>
    </w:p>
    <w:p w14:paraId="7367391E" w14:textId="1B973747" w:rsidR="001506C1" w:rsidRDefault="001506C1" w:rsidP="00CA4C3C">
      <w:pPr>
        <w:pStyle w:val="Heading2"/>
      </w:pPr>
      <w:proofErr w:type="spellStart"/>
      <w:r w:rsidRPr="00FA3F9C">
        <w:lastRenderedPageBreak/>
        <w:t>Axicabtagene</w:t>
      </w:r>
      <w:proofErr w:type="spellEnd"/>
      <w:r w:rsidRPr="00FA3F9C">
        <w:t xml:space="preserve"> </w:t>
      </w:r>
      <w:proofErr w:type="spellStart"/>
      <w:r w:rsidRPr="00FA3F9C">
        <w:t>ciloleucel</w:t>
      </w:r>
      <w:proofErr w:type="spellEnd"/>
      <w:r w:rsidRPr="00FA3F9C">
        <w:t xml:space="preserve"> (</w:t>
      </w:r>
      <w:proofErr w:type="spellStart"/>
      <w:r w:rsidRPr="00FA3F9C">
        <w:t>Yescarta</w:t>
      </w:r>
      <w:proofErr w:type="spellEnd"/>
      <w:r w:rsidRPr="00FA3F9C">
        <w:t>)</w:t>
      </w:r>
      <w:bookmarkEnd w:id="24"/>
    </w:p>
    <w:p w14:paraId="68647880" w14:textId="77777777" w:rsidR="00CA4C3C" w:rsidRPr="00FA3F9C" w:rsidRDefault="00CA4C3C" w:rsidP="00CA4C3C">
      <w:pPr>
        <w:spacing w:after="0"/>
        <w:jc w:val="center"/>
        <w:rPr>
          <w:rFonts w:ascii="Arial" w:hAnsi="Arial" w:cs="Arial"/>
          <w:sz w:val="24"/>
          <w:szCs w:val="24"/>
        </w:rPr>
      </w:pPr>
      <w:r w:rsidRPr="00FA3F9C">
        <w:rPr>
          <w:rFonts w:ascii="Arial" w:hAnsi="Arial" w:cs="Arial"/>
          <w:sz w:val="24"/>
          <w:szCs w:val="24"/>
        </w:rPr>
        <w:t>EBRx PA Criteria</w:t>
      </w:r>
    </w:p>
    <w:p w14:paraId="093F9C86" w14:textId="77777777" w:rsidR="00CA4C3C" w:rsidRPr="00FA3F9C" w:rsidRDefault="00CA4C3C" w:rsidP="00CA4C3C">
      <w:pPr>
        <w:spacing w:after="0"/>
        <w:rPr>
          <w:rFonts w:ascii="Arial" w:hAnsi="Arial" w:cs="Arial"/>
          <w:sz w:val="24"/>
          <w:szCs w:val="24"/>
        </w:rPr>
      </w:pPr>
    </w:p>
    <w:p w14:paraId="5A07184D" w14:textId="77777777" w:rsidR="001506C1" w:rsidRPr="00FA3F9C" w:rsidRDefault="001506C1" w:rsidP="006F623F">
      <w:pPr>
        <w:spacing w:after="0"/>
        <w:jc w:val="center"/>
        <w:rPr>
          <w:rFonts w:ascii="Arial" w:hAnsi="Arial" w:cs="Arial"/>
          <w:sz w:val="24"/>
          <w:szCs w:val="24"/>
        </w:rPr>
      </w:pPr>
      <w:r w:rsidRPr="00FA3F9C">
        <w:rPr>
          <w:rFonts w:ascii="Arial" w:hAnsi="Arial" w:cs="Arial"/>
          <w:sz w:val="24"/>
          <w:szCs w:val="24"/>
          <w:highlight w:val="cyan"/>
        </w:rPr>
        <w:t>MEDICAL PRIOR AUTHORIZATION</w:t>
      </w:r>
    </w:p>
    <w:p w14:paraId="5D3C2B18" w14:textId="77777777" w:rsidR="001506C1" w:rsidRPr="00FA3F9C" w:rsidRDefault="001506C1" w:rsidP="006F623F">
      <w:pPr>
        <w:spacing w:after="0"/>
        <w:rPr>
          <w:rFonts w:ascii="Arial" w:hAnsi="Arial" w:cs="Arial"/>
          <w:b/>
          <w:sz w:val="24"/>
          <w:szCs w:val="24"/>
          <w:u w:val="single"/>
        </w:rPr>
      </w:pPr>
    </w:p>
    <w:p w14:paraId="684E31DA" w14:textId="77777777" w:rsidR="001506C1" w:rsidRPr="00FA3F9C" w:rsidRDefault="001506C1"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w:t>
      </w:r>
    </w:p>
    <w:p w14:paraId="1ADB54E2" w14:textId="77777777" w:rsidR="001506C1" w:rsidRPr="00FA3F9C" w:rsidRDefault="001506C1" w:rsidP="001506C1">
      <w:pPr>
        <w:pStyle w:val="ListParagraph"/>
        <w:numPr>
          <w:ilvl w:val="0"/>
          <w:numId w:val="36"/>
        </w:numPr>
        <w:spacing w:after="0" w:line="276" w:lineRule="auto"/>
        <w:rPr>
          <w:rFonts w:ascii="Arial" w:hAnsi="Arial" w:cs="Arial"/>
          <w:sz w:val="24"/>
          <w:szCs w:val="24"/>
        </w:rPr>
      </w:pPr>
      <w:r w:rsidRPr="00FA3F9C">
        <w:rPr>
          <w:rFonts w:ascii="Arial" w:hAnsi="Arial" w:cs="Arial"/>
          <w:sz w:val="24"/>
          <w:szCs w:val="24"/>
        </w:rPr>
        <w:t>Adults with Large B-cell lymphoma, relapsed or refractory after 2 or more lines of systemic therapy, including diffuse large B-cell lymphoma (DLBCL) not otherwise specified, primary mediastinal large B-cell lymphoma, high grade B-cell lymphoma, and DLBCL arising from follicular lymphoma.</w:t>
      </w:r>
    </w:p>
    <w:p w14:paraId="6B543006" w14:textId="77777777" w:rsidR="001506C1" w:rsidRPr="00FA3F9C" w:rsidRDefault="001506C1" w:rsidP="00CD182D">
      <w:pPr>
        <w:pStyle w:val="ListParagraph"/>
        <w:spacing w:after="0"/>
        <w:rPr>
          <w:rFonts w:ascii="Arial" w:hAnsi="Arial" w:cs="Arial"/>
          <w:sz w:val="24"/>
          <w:szCs w:val="24"/>
        </w:rPr>
      </w:pPr>
    </w:p>
    <w:p w14:paraId="17C352CA" w14:textId="77777777" w:rsidR="001506C1" w:rsidRPr="00FA3F9C" w:rsidRDefault="001506C1" w:rsidP="001506C1">
      <w:pPr>
        <w:pStyle w:val="ListParagraph"/>
        <w:numPr>
          <w:ilvl w:val="0"/>
          <w:numId w:val="36"/>
        </w:numPr>
        <w:spacing w:after="0" w:line="276" w:lineRule="auto"/>
        <w:rPr>
          <w:rFonts w:ascii="Arial" w:hAnsi="Arial" w:cs="Arial"/>
          <w:sz w:val="24"/>
          <w:szCs w:val="24"/>
        </w:rPr>
      </w:pPr>
      <w:r w:rsidRPr="00FA3F9C">
        <w:rPr>
          <w:rFonts w:ascii="Arial" w:hAnsi="Arial" w:cs="Arial"/>
          <w:sz w:val="24"/>
          <w:szCs w:val="24"/>
        </w:rPr>
        <w:t xml:space="preserve">Adults with relapsed or refractory follicular lymphoma (FL) after two or more lines of systemic therapy. This indication is approved under accelerated approval based on response rate. Continued approval for this indication may be contingent upon verification and description of clinical benefit in confirmatory trial(s). </w:t>
      </w:r>
      <w:r w:rsidRPr="00FA3F9C">
        <w:rPr>
          <w:rFonts w:ascii="Arial" w:hAnsi="Arial" w:cs="Arial"/>
          <w:sz w:val="24"/>
          <w:szCs w:val="24"/>
          <w:highlight w:val="yellow"/>
        </w:rPr>
        <w:t>NOT COVERED</w:t>
      </w:r>
      <w:r w:rsidRPr="00FA3F9C">
        <w:rPr>
          <w:rFonts w:ascii="Arial" w:hAnsi="Arial" w:cs="Arial"/>
          <w:sz w:val="24"/>
          <w:szCs w:val="24"/>
        </w:rPr>
        <w:t xml:space="preserve"> Data is only available from package insert with response rate and duration of response results only. Complete response rate is high (60%), but there is no evaluation of impact on PFS, OS, or QOL </w:t>
      </w:r>
      <w:proofErr w:type="gramStart"/>
      <w:r w:rsidRPr="00FA3F9C">
        <w:rPr>
          <w:rFonts w:ascii="Arial" w:hAnsi="Arial" w:cs="Arial"/>
          <w:sz w:val="24"/>
          <w:szCs w:val="24"/>
        </w:rPr>
        <w:t>at this time</w:t>
      </w:r>
      <w:proofErr w:type="gramEnd"/>
      <w:r w:rsidRPr="00FA3F9C">
        <w:rPr>
          <w:rFonts w:ascii="Arial" w:hAnsi="Arial" w:cs="Arial"/>
          <w:sz w:val="24"/>
          <w:szCs w:val="24"/>
        </w:rPr>
        <w:t>.</w:t>
      </w:r>
    </w:p>
    <w:p w14:paraId="3B4BC58E" w14:textId="77777777" w:rsidR="001506C1" w:rsidRPr="00FA3F9C" w:rsidRDefault="001506C1" w:rsidP="00CD182D">
      <w:pPr>
        <w:pStyle w:val="ListParagraph"/>
        <w:spacing w:after="0"/>
        <w:rPr>
          <w:rFonts w:ascii="Arial" w:hAnsi="Arial" w:cs="Arial"/>
          <w:sz w:val="24"/>
          <w:szCs w:val="24"/>
        </w:rPr>
      </w:pPr>
    </w:p>
    <w:p w14:paraId="64E6BEF0" w14:textId="77777777" w:rsidR="001506C1" w:rsidRPr="00FA3F9C" w:rsidRDefault="001506C1" w:rsidP="000A7EEA">
      <w:pPr>
        <w:spacing w:after="0"/>
        <w:jc w:val="both"/>
        <w:rPr>
          <w:rFonts w:ascii="Arial" w:hAnsi="Arial" w:cs="Arial"/>
          <w:sz w:val="24"/>
          <w:szCs w:val="24"/>
        </w:rPr>
      </w:pPr>
      <w:r w:rsidRPr="00FA3F9C">
        <w:rPr>
          <w:rFonts w:ascii="Arial" w:hAnsi="Arial" w:cs="Arial"/>
          <w:sz w:val="24"/>
          <w:szCs w:val="24"/>
        </w:rPr>
        <w:t>Limitation of use: not indicated for treatment of patients with primary central nervous system lymphoma</w:t>
      </w:r>
    </w:p>
    <w:p w14:paraId="0337DBAD" w14:textId="77777777" w:rsidR="001506C1" w:rsidRPr="00FA3F9C" w:rsidRDefault="001506C1" w:rsidP="000A7EEA">
      <w:pPr>
        <w:spacing w:after="0"/>
        <w:jc w:val="both"/>
        <w:rPr>
          <w:rFonts w:ascii="Arial" w:hAnsi="Arial" w:cs="Arial"/>
          <w:sz w:val="24"/>
          <w:szCs w:val="24"/>
        </w:rPr>
      </w:pPr>
    </w:p>
    <w:tbl>
      <w:tblPr>
        <w:tblStyle w:val="TableGrid"/>
        <w:tblW w:w="0" w:type="auto"/>
        <w:tblLook w:val="04A0" w:firstRow="1" w:lastRow="0" w:firstColumn="1" w:lastColumn="0" w:noHBand="0" w:noVBand="1"/>
      </w:tblPr>
      <w:tblGrid>
        <w:gridCol w:w="8747"/>
        <w:gridCol w:w="2025"/>
        <w:gridCol w:w="18"/>
      </w:tblGrid>
      <w:tr w:rsidR="001506C1" w:rsidRPr="00FA3F9C" w14:paraId="61826A4F" w14:textId="77777777" w:rsidTr="003F1EB9">
        <w:tc>
          <w:tcPr>
            <w:tcW w:w="8747" w:type="dxa"/>
            <w:shd w:val="clear" w:color="auto" w:fill="000000"/>
          </w:tcPr>
          <w:p w14:paraId="10F33133" w14:textId="77777777" w:rsidR="001506C1" w:rsidRPr="00FA3F9C" w:rsidRDefault="001506C1"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43" w:type="dxa"/>
            <w:gridSpan w:val="2"/>
            <w:shd w:val="clear" w:color="auto" w:fill="000000"/>
          </w:tcPr>
          <w:p w14:paraId="5CB33198" w14:textId="77777777" w:rsidR="001506C1" w:rsidRPr="00FA3F9C" w:rsidRDefault="001506C1" w:rsidP="006F623F">
            <w:pPr>
              <w:jc w:val="center"/>
              <w:rPr>
                <w:rFonts w:ascii="Arial" w:hAnsi="Arial" w:cs="Arial"/>
                <w:b/>
                <w:sz w:val="24"/>
                <w:szCs w:val="24"/>
                <w:u w:val="single"/>
              </w:rPr>
            </w:pPr>
          </w:p>
        </w:tc>
      </w:tr>
      <w:tr w:rsidR="001506C1" w:rsidRPr="00FA3F9C" w14:paraId="0EEE5B1F" w14:textId="77777777" w:rsidTr="003F1EB9">
        <w:tc>
          <w:tcPr>
            <w:tcW w:w="10790" w:type="dxa"/>
            <w:gridSpan w:val="3"/>
          </w:tcPr>
          <w:p w14:paraId="63354D96" w14:textId="77777777" w:rsidR="001506C1" w:rsidRPr="00FA3F9C" w:rsidRDefault="001506C1" w:rsidP="006F623F">
            <w:pPr>
              <w:rPr>
                <w:rFonts w:ascii="Arial" w:hAnsi="Arial" w:cs="Arial"/>
                <w:sz w:val="24"/>
                <w:szCs w:val="24"/>
              </w:rPr>
            </w:pPr>
            <w:r w:rsidRPr="00FA3F9C">
              <w:rPr>
                <w:rFonts w:ascii="Arial" w:hAnsi="Arial" w:cs="Arial"/>
                <w:sz w:val="24"/>
                <w:szCs w:val="24"/>
              </w:rPr>
              <w:t>1.  Patient must have the diagnosis: Large B-cell lymphoma, relapsed or refractory after 2 or more lines of systemic therapy, including diffuse large B-cell lymphoma (DLBCL) not otherwise specified, primary mediastinal large B-cell lymphoma, high grade B-cell lymphoma, and DLBCL arising from follicular lymphoma.</w:t>
            </w:r>
          </w:p>
        </w:tc>
      </w:tr>
      <w:tr w:rsidR="001506C1" w:rsidRPr="00FA3F9C" w14:paraId="42B96FFD" w14:textId="77777777" w:rsidTr="003F1EB9">
        <w:tc>
          <w:tcPr>
            <w:tcW w:w="10790" w:type="dxa"/>
            <w:gridSpan w:val="3"/>
          </w:tcPr>
          <w:p w14:paraId="692A6FC1" w14:textId="77777777" w:rsidR="001506C1" w:rsidRPr="00FA3F9C" w:rsidRDefault="001506C1" w:rsidP="006F623F">
            <w:pPr>
              <w:rPr>
                <w:rFonts w:ascii="Arial" w:hAnsi="Arial" w:cs="Arial"/>
                <w:sz w:val="24"/>
                <w:szCs w:val="24"/>
              </w:rPr>
            </w:pPr>
            <w:r w:rsidRPr="00FA3F9C">
              <w:rPr>
                <w:rFonts w:ascii="Arial" w:hAnsi="Arial" w:cs="Arial"/>
                <w:sz w:val="24"/>
                <w:szCs w:val="24"/>
              </w:rPr>
              <w:t>2.  Patient must have chemotherapy-refractory disease defined as one or more of the following:</w:t>
            </w:r>
          </w:p>
          <w:p w14:paraId="1C0E217F" w14:textId="77777777" w:rsidR="001506C1" w:rsidRPr="00FA3F9C" w:rsidRDefault="001506C1" w:rsidP="001506C1">
            <w:pPr>
              <w:pStyle w:val="ListParagraph"/>
              <w:numPr>
                <w:ilvl w:val="0"/>
                <w:numId w:val="34"/>
              </w:numPr>
              <w:rPr>
                <w:rFonts w:ascii="Arial" w:hAnsi="Arial" w:cs="Arial"/>
                <w:sz w:val="24"/>
                <w:szCs w:val="24"/>
              </w:rPr>
            </w:pPr>
            <w:r w:rsidRPr="00FA3F9C">
              <w:rPr>
                <w:rFonts w:ascii="Arial" w:hAnsi="Arial" w:cs="Arial"/>
                <w:sz w:val="24"/>
                <w:szCs w:val="24"/>
              </w:rPr>
              <w:t xml:space="preserve">Stable disease (duration of stable disease must be </w:t>
            </w:r>
            <w:r w:rsidRPr="00FA3F9C">
              <w:rPr>
                <w:rFonts w:ascii="Arial" w:hAnsi="Arial" w:cs="Arial"/>
                <w:sz w:val="24"/>
                <w:szCs w:val="24"/>
                <w:u w:val="single"/>
              </w:rPr>
              <w:t>&lt;</w:t>
            </w:r>
            <w:r w:rsidRPr="00FA3F9C">
              <w:rPr>
                <w:rFonts w:ascii="Arial" w:hAnsi="Arial" w:cs="Arial"/>
                <w:sz w:val="24"/>
                <w:szCs w:val="24"/>
              </w:rPr>
              <w:t>12 months) or progressive disease as best response to most recent chemotherapy containing regimen</w:t>
            </w:r>
          </w:p>
          <w:p w14:paraId="6527CB91" w14:textId="77777777" w:rsidR="001506C1" w:rsidRPr="00FA3F9C" w:rsidRDefault="001506C1" w:rsidP="001506C1">
            <w:pPr>
              <w:pStyle w:val="ListParagraph"/>
              <w:numPr>
                <w:ilvl w:val="0"/>
                <w:numId w:val="34"/>
              </w:numPr>
              <w:rPr>
                <w:rFonts w:ascii="Arial" w:hAnsi="Arial" w:cs="Arial"/>
                <w:sz w:val="24"/>
                <w:szCs w:val="24"/>
              </w:rPr>
            </w:pPr>
            <w:r w:rsidRPr="00FA3F9C">
              <w:rPr>
                <w:rFonts w:ascii="Arial" w:hAnsi="Arial" w:cs="Arial"/>
                <w:sz w:val="24"/>
                <w:szCs w:val="24"/>
              </w:rPr>
              <w:t xml:space="preserve">Disease progression or recurrence within </w:t>
            </w:r>
            <w:r w:rsidRPr="00FA3F9C">
              <w:rPr>
                <w:rFonts w:ascii="Arial" w:hAnsi="Arial" w:cs="Arial"/>
                <w:sz w:val="24"/>
                <w:szCs w:val="24"/>
                <w:u w:val="single"/>
              </w:rPr>
              <w:t>&lt;</w:t>
            </w:r>
            <w:r w:rsidRPr="00FA3F9C">
              <w:rPr>
                <w:rFonts w:ascii="Arial" w:hAnsi="Arial" w:cs="Arial"/>
                <w:sz w:val="24"/>
                <w:szCs w:val="24"/>
              </w:rPr>
              <w:t>12 months after autologous stem cell transplant</w:t>
            </w:r>
          </w:p>
        </w:tc>
      </w:tr>
      <w:tr w:rsidR="001506C1" w:rsidRPr="00FA3F9C" w14:paraId="7BC686A7" w14:textId="77777777" w:rsidTr="003F1EB9">
        <w:tc>
          <w:tcPr>
            <w:tcW w:w="10790" w:type="dxa"/>
            <w:gridSpan w:val="3"/>
          </w:tcPr>
          <w:p w14:paraId="5F0A0F7B" w14:textId="77777777" w:rsidR="001506C1" w:rsidRPr="00FA3F9C" w:rsidRDefault="001506C1" w:rsidP="006F623F">
            <w:pPr>
              <w:rPr>
                <w:rFonts w:ascii="Arial" w:hAnsi="Arial" w:cs="Arial"/>
                <w:sz w:val="24"/>
                <w:szCs w:val="24"/>
              </w:rPr>
            </w:pPr>
            <w:r w:rsidRPr="00FA3F9C">
              <w:rPr>
                <w:rFonts w:ascii="Arial" w:hAnsi="Arial" w:cs="Arial"/>
                <w:sz w:val="24"/>
                <w:szCs w:val="24"/>
              </w:rPr>
              <w:t>3.  Patient must have received at least two prior therapies including at a minimum:</w:t>
            </w:r>
          </w:p>
          <w:p w14:paraId="2000C1F8" w14:textId="77777777" w:rsidR="001506C1" w:rsidRPr="00FA3F9C" w:rsidRDefault="001506C1" w:rsidP="001506C1">
            <w:pPr>
              <w:pStyle w:val="ListParagraph"/>
              <w:numPr>
                <w:ilvl w:val="0"/>
                <w:numId w:val="35"/>
              </w:numPr>
              <w:rPr>
                <w:rFonts w:ascii="Arial" w:hAnsi="Arial" w:cs="Arial"/>
                <w:sz w:val="24"/>
                <w:szCs w:val="24"/>
              </w:rPr>
            </w:pPr>
            <w:r w:rsidRPr="00FA3F9C">
              <w:rPr>
                <w:rFonts w:ascii="Arial" w:hAnsi="Arial" w:cs="Arial"/>
                <w:sz w:val="24"/>
                <w:szCs w:val="24"/>
              </w:rPr>
              <w:t>Anti-CD20 monoclonal antibody (if the tumor is CD20-positive) AND</w:t>
            </w:r>
          </w:p>
          <w:p w14:paraId="581E0A3A" w14:textId="77777777" w:rsidR="001506C1" w:rsidRPr="00FA3F9C" w:rsidRDefault="001506C1" w:rsidP="001506C1">
            <w:pPr>
              <w:pStyle w:val="ListParagraph"/>
              <w:numPr>
                <w:ilvl w:val="0"/>
                <w:numId w:val="35"/>
              </w:numPr>
              <w:rPr>
                <w:rFonts w:ascii="Arial" w:hAnsi="Arial" w:cs="Arial"/>
                <w:sz w:val="24"/>
                <w:szCs w:val="24"/>
              </w:rPr>
            </w:pPr>
            <w:r w:rsidRPr="00FA3F9C">
              <w:rPr>
                <w:rFonts w:ascii="Arial" w:hAnsi="Arial" w:cs="Arial"/>
                <w:sz w:val="24"/>
                <w:szCs w:val="24"/>
              </w:rPr>
              <w:t>An anthracycline containing chemotherapy regimen</w:t>
            </w:r>
          </w:p>
          <w:p w14:paraId="137B49AF" w14:textId="77777777" w:rsidR="001506C1" w:rsidRPr="00FA3F9C" w:rsidRDefault="001506C1" w:rsidP="001506C1">
            <w:pPr>
              <w:pStyle w:val="ListParagraph"/>
              <w:numPr>
                <w:ilvl w:val="0"/>
                <w:numId w:val="35"/>
              </w:numPr>
              <w:rPr>
                <w:rFonts w:ascii="Arial" w:hAnsi="Arial" w:cs="Arial"/>
                <w:sz w:val="24"/>
                <w:szCs w:val="24"/>
              </w:rPr>
            </w:pPr>
            <w:r w:rsidRPr="00FA3F9C">
              <w:rPr>
                <w:rFonts w:ascii="Arial" w:hAnsi="Arial" w:cs="Arial"/>
                <w:sz w:val="24"/>
                <w:szCs w:val="24"/>
              </w:rPr>
              <w:lastRenderedPageBreak/>
              <w:t>Patients with follicular lymphoma that has transformed to DLBCL must have received prior chemotherapy for follicular lymphoma and subsequently have chemo-refractory disease after transformation to DLBCL.</w:t>
            </w:r>
          </w:p>
        </w:tc>
      </w:tr>
      <w:tr w:rsidR="001506C1" w:rsidRPr="00FA3F9C" w14:paraId="552E7216" w14:textId="77777777" w:rsidTr="003F1EB9">
        <w:tc>
          <w:tcPr>
            <w:tcW w:w="10790" w:type="dxa"/>
            <w:gridSpan w:val="3"/>
          </w:tcPr>
          <w:p w14:paraId="0A28AAD5" w14:textId="77777777" w:rsidR="001506C1" w:rsidRPr="00FA3F9C" w:rsidRDefault="001506C1" w:rsidP="006F623F">
            <w:pPr>
              <w:rPr>
                <w:rFonts w:ascii="Arial" w:hAnsi="Arial" w:cs="Arial"/>
                <w:sz w:val="24"/>
                <w:szCs w:val="24"/>
              </w:rPr>
            </w:pPr>
            <w:r w:rsidRPr="00FA3F9C">
              <w:rPr>
                <w:rFonts w:ascii="Arial" w:hAnsi="Arial" w:cs="Arial"/>
                <w:sz w:val="24"/>
                <w:szCs w:val="24"/>
              </w:rPr>
              <w:lastRenderedPageBreak/>
              <w:t>4.  Patient must be ECOG performance status 0 or 1.</w:t>
            </w:r>
          </w:p>
        </w:tc>
      </w:tr>
      <w:tr w:rsidR="001506C1" w:rsidRPr="00FA3F9C" w14:paraId="12686AAE" w14:textId="77777777" w:rsidTr="003F1EB9">
        <w:tc>
          <w:tcPr>
            <w:tcW w:w="10790" w:type="dxa"/>
            <w:gridSpan w:val="3"/>
          </w:tcPr>
          <w:p w14:paraId="71DBA57C" w14:textId="77777777" w:rsidR="001506C1" w:rsidRPr="00FA3F9C" w:rsidRDefault="001506C1" w:rsidP="006F623F">
            <w:pPr>
              <w:rPr>
                <w:rFonts w:ascii="Arial" w:hAnsi="Arial" w:cs="Arial"/>
                <w:sz w:val="24"/>
                <w:szCs w:val="24"/>
              </w:rPr>
            </w:pPr>
            <w:r w:rsidRPr="00FA3F9C">
              <w:rPr>
                <w:rFonts w:ascii="Arial" w:hAnsi="Arial" w:cs="Arial"/>
                <w:sz w:val="24"/>
                <w:szCs w:val="24"/>
              </w:rPr>
              <w:t>5.  Patient must have an absolute neutrophil count greater than 1,000 cells per microliter, an absolute lymphocyte count greater than 100 cells per microliter, a platelet count greater than 75,000 cells per microliter, no central nervous system involvement, and no active infection.</w:t>
            </w:r>
          </w:p>
        </w:tc>
      </w:tr>
      <w:tr w:rsidR="001506C1" w:rsidRPr="00FA3F9C" w14:paraId="64D28A12" w14:textId="77777777" w:rsidTr="003F1EB9">
        <w:tc>
          <w:tcPr>
            <w:tcW w:w="10790" w:type="dxa"/>
            <w:gridSpan w:val="3"/>
          </w:tcPr>
          <w:p w14:paraId="4AD14697" w14:textId="77777777" w:rsidR="001506C1" w:rsidRPr="00FA3F9C" w:rsidRDefault="001506C1" w:rsidP="006F623F">
            <w:pPr>
              <w:rPr>
                <w:rFonts w:ascii="Arial" w:hAnsi="Arial" w:cs="Arial"/>
                <w:sz w:val="24"/>
                <w:szCs w:val="24"/>
              </w:rPr>
            </w:pPr>
            <w:r w:rsidRPr="00FA3F9C">
              <w:rPr>
                <w:rFonts w:ascii="Arial" w:hAnsi="Arial" w:cs="Arial"/>
                <w:sz w:val="24"/>
                <w:szCs w:val="24"/>
              </w:rPr>
              <w:t>6.  Patient must have adequate organ function as defined by:</w:t>
            </w:r>
          </w:p>
          <w:p w14:paraId="598DDD3B" w14:textId="77777777" w:rsidR="001506C1" w:rsidRPr="00FA3F9C" w:rsidRDefault="001506C1" w:rsidP="001506C1">
            <w:pPr>
              <w:pStyle w:val="ListParagraph"/>
              <w:numPr>
                <w:ilvl w:val="0"/>
                <w:numId w:val="33"/>
              </w:numPr>
              <w:autoSpaceDE w:val="0"/>
              <w:autoSpaceDN w:val="0"/>
              <w:adjustRightInd w:val="0"/>
              <w:rPr>
                <w:rFonts w:ascii="Arial" w:hAnsi="Arial" w:cs="Arial"/>
                <w:sz w:val="24"/>
                <w:szCs w:val="24"/>
              </w:rPr>
            </w:pPr>
            <w:r w:rsidRPr="00FA3F9C">
              <w:rPr>
                <w:rFonts w:ascii="Arial" w:hAnsi="Arial" w:cs="Arial"/>
                <w:sz w:val="24"/>
                <w:szCs w:val="24"/>
              </w:rPr>
              <w:t>Creatinine clearance (as estimated by Cockcroft Gault) ≥ 60 mL/min</w:t>
            </w:r>
          </w:p>
          <w:p w14:paraId="326CFA20" w14:textId="77777777" w:rsidR="001506C1" w:rsidRPr="00FA3F9C" w:rsidRDefault="001506C1" w:rsidP="001506C1">
            <w:pPr>
              <w:pStyle w:val="ListParagraph"/>
              <w:numPr>
                <w:ilvl w:val="0"/>
                <w:numId w:val="33"/>
              </w:numPr>
              <w:autoSpaceDE w:val="0"/>
              <w:autoSpaceDN w:val="0"/>
              <w:adjustRightInd w:val="0"/>
              <w:rPr>
                <w:rFonts w:ascii="Arial" w:hAnsi="Arial" w:cs="Arial"/>
                <w:sz w:val="24"/>
                <w:szCs w:val="24"/>
              </w:rPr>
            </w:pPr>
            <w:r w:rsidRPr="00FA3F9C">
              <w:rPr>
                <w:rFonts w:ascii="Arial" w:hAnsi="Arial" w:cs="Arial"/>
                <w:sz w:val="24"/>
                <w:szCs w:val="24"/>
              </w:rPr>
              <w:t>Serum ALT/AST ≤ 2.5 ULN</w:t>
            </w:r>
          </w:p>
          <w:p w14:paraId="19C4615D" w14:textId="77777777" w:rsidR="001506C1" w:rsidRPr="00FA3F9C" w:rsidRDefault="001506C1" w:rsidP="001506C1">
            <w:pPr>
              <w:pStyle w:val="ListParagraph"/>
              <w:numPr>
                <w:ilvl w:val="0"/>
                <w:numId w:val="33"/>
              </w:numPr>
              <w:autoSpaceDE w:val="0"/>
              <w:autoSpaceDN w:val="0"/>
              <w:adjustRightInd w:val="0"/>
              <w:rPr>
                <w:rFonts w:ascii="Arial" w:hAnsi="Arial" w:cs="Arial"/>
                <w:sz w:val="24"/>
                <w:szCs w:val="24"/>
              </w:rPr>
            </w:pPr>
            <w:r w:rsidRPr="00FA3F9C">
              <w:rPr>
                <w:rFonts w:ascii="Arial" w:hAnsi="Arial" w:cs="Arial"/>
                <w:sz w:val="24"/>
                <w:szCs w:val="24"/>
              </w:rPr>
              <w:t>Total bilirubin ≤1.5 mg/dl, except in subjects with Gilbert’s syndrome.</w:t>
            </w:r>
          </w:p>
          <w:p w14:paraId="1DD7E80E" w14:textId="77777777" w:rsidR="001506C1" w:rsidRPr="00FA3F9C" w:rsidRDefault="001506C1" w:rsidP="001506C1">
            <w:pPr>
              <w:pStyle w:val="ListParagraph"/>
              <w:numPr>
                <w:ilvl w:val="0"/>
                <w:numId w:val="33"/>
              </w:numPr>
              <w:autoSpaceDE w:val="0"/>
              <w:autoSpaceDN w:val="0"/>
              <w:adjustRightInd w:val="0"/>
              <w:rPr>
                <w:rFonts w:ascii="Arial" w:hAnsi="Arial" w:cs="Arial"/>
                <w:sz w:val="24"/>
                <w:szCs w:val="24"/>
              </w:rPr>
            </w:pPr>
            <w:r w:rsidRPr="00FA3F9C">
              <w:rPr>
                <w:rFonts w:ascii="Arial" w:hAnsi="Arial" w:cs="Arial"/>
                <w:sz w:val="24"/>
                <w:szCs w:val="24"/>
              </w:rPr>
              <w:t xml:space="preserve">Cardiac ejection fraction ≥ 50% with no evidence of pericardial effusion as determined by an ECHO, and no clinically significant ECG findings </w:t>
            </w:r>
          </w:p>
          <w:p w14:paraId="7EEE2E8F" w14:textId="77777777" w:rsidR="001506C1" w:rsidRPr="00FA3F9C" w:rsidRDefault="001506C1" w:rsidP="001506C1">
            <w:pPr>
              <w:pStyle w:val="ListParagraph"/>
              <w:numPr>
                <w:ilvl w:val="0"/>
                <w:numId w:val="33"/>
              </w:numPr>
              <w:autoSpaceDE w:val="0"/>
              <w:autoSpaceDN w:val="0"/>
              <w:adjustRightInd w:val="0"/>
              <w:rPr>
                <w:rFonts w:ascii="Arial" w:hAnsi="Arial" w:cs="Arial"/>
                <w:sz w:val="24"/>
                <w:szCs w:val="24"/>
              </w:rPr>
            </w:pPr>
            <w:r w:rsidRPr="00FA3F9C">
              <w:rPr>
                <w:rFonts w:ascii="Arial" w:hAnsi="Arial" w:cs="Arial"/>
                <w:sz w:val="24"/>
                <w:szCs w:val="24"/>
              </w:rPr>
              <w:t>No clinically significant pleural effusion</w:t>
            </w:r>
          </w:p>
          <w:p w14:paraId="127D1D1D" w14:textId="77777777" w:rsidR="001506C1" w:rsidRPr="00FA3F9C" w:rsidRDefault="001506C1" w:rsidP="001506C1">
            <w:pPr>
              <w:pStyle w:val="ListParagraph"/>
              <w:numPr>
                <w:ilvl w:val="0"/>
                <w:numId w:val="33"/>
              </w:numPr>
              <w:autoSpaceDE w:val="0"/>
              <w:autoSpaceDN w:val="0"/>
              <w:adjustRightInd w:val="0"/>
              <w:rPr>
                <w:rFonts w:ascii="Arial" w:hAnsi="Arial" w:cs="Arial"/>
                <w:sz w:val="24"/>
                <w:szCs w:val="24"/>
              </w:rPr>
            </w:pPr>
            <w:r w:rsidRPr="00FA3F9C">
              <w:rPr>
                <w:rFonts w:ascii="Arial" w:hAnsi="Arial" w:cs="Arial"/>
                <w:sz w:val="24"/>
                <w:szCs w:val="24"/>
              </w:rPr>
              <w:t>Baseline oxygen saturation &gt;92% on room air</w:t>
            </w:r>
          </w:p>
        </w:tc>
      </w:tr>
      <w:tr w:rsidR="001506C1" w:rsidRPr="00FA3F9C" w14:paraId="4F435F31" w14:textId="77777777" w:rsidTr="003F1EB9">
        <w:tc>
          <w:tcPr>
            <w:tcW w:w="10790" w:type="dxa"/>
            <w:gridSpan w:val="3"/>
          </w:tcPr>
          <w:p w14:paraId="7C07B8A4" w14:textId="77777777" w:rsidR="001506C1" w:rsidRPr="00FA3F9C" w:rsidRDefault="001506C1" w:rsidP="00956DF8">
            <w:pPr>
              <w:rPr>
                <w:rFonts w:ascii="Arial" w:hAnsi="Arial" w:cs="Arial"/>
                <w:sz w:val="24"/>
                <w:szCs w:val="24"/>
              </w:rPr>
            </w:pPr>
            <w:r w:rsidRPr="00FA3F9C">
              <w:rPr>
                <w:rFonts w:ascii="Arial" w:hAnsi="Arial" w:cs="Arial"/>
                <w:sz w:val="24"/>
                <w:szCs w:val="24"/>
              </w:rPr>
              <w:t xml:space="preserve">7.  Patient must be able to take cyclophosphamide and fludarabine prior to </w:t>
            </w:r>
            <w:proofErr w:type="spellStart"/>
            <w:r w:rsidRPr="00FA3F9C">
              <w:rPr>
                <w:rFonts w:ascii="Arial" w:hAnsi="Arial" w:cs="Arial"/>
                <w:sz w:val="24"/>
                <w:szCs w:val="24"/>
              </w:rPr>
              <w:t>axicabtagene</w:t>
            </w:r>
            <w:proofErr w:type="spellEnd"/>
            <w:r w:rsidRPr="00FA3F9C">
              <w:rPr>
                <w:rFonts w:ascii="Arial" w:hAnsi="Arial" w:cs="Arial"/>
                <w:sz w:val="24"/>
                <w:szCs w:val="24"/>
              </w:rPr>
              <w:t xml:space="preserve"> infusion</w:t>
            </w:r>
          </w:p>
        </w:tc>
      </w:tr>
      <w:tr w:rsidR="001506C1" w:rsidRPr="00FA3F9C" w14:paraId="4C5C3725" w14:textId="77777777" w:rsidTr="003F1EB9">
        <w:tc>
          <w:tcPr>
            <w:tcW w:w="10790" w:type="dxa"/>
            <w:gridSpan w:val="3"/>
          </w:tcPr>
          <w:p w14:paraId="66A7BF21" w14:textId="77777777" w:rsidR="001506C1" w:rsidRPr="00FA3F9C" w:rsidRDefault="001506C1" w:rsidP="006F623F">
            <w:pPr>
              <w:rPr>
                <w:rFonts w:ascii="Arial" w:hAnsi="Arial" w:cs="Arial"/>
                <w:sz w:val="24"/>
                <w:szCs w:val="24"/>
              </w:rPr>
            </w:pPr>
            <w:r w:rsidRPr="00FA3F9C">
              <w:rPr>
                <w:rFonts w:ascii="Arial" w:hAnsi="Arial" w:cs="Arial"/>
                <w:sz w:val="24"/>
                <w:szCs w:val="24"/>
              </w:rPr>
              <w:t>8.  Patient must have NO brain metastases, seizure disorder, cerebrovascular ischemia/hemorrhage, dementia, cerebellar disease, or any autoimmune disease with CNS involvement, or with cardiac atrial or ventricular lymphoma involvement</w:t>
            </w:r>
          </w:p>
        </w:tc>
      </w:tr>
      <w:tr w:rsidR="001506C1" w:rsidRPr="00FA3F9C" w14:paraId="3D7BBF31" w14:textId="77777777" w:rsidTr="003F1EB9">
        <w:tc>
          <w:tcPr>
            <w:tcW w:w="10790" w:type="dxa"/>
            <w:gridSpan w:val="3"/>
          </w:tcPr>
          <w:p w14:paraId="08BC5E56" w14:textId="77777777" w:rsidR="001506C1" w:rsidRPr="00FA3F9C" w:rsidRDefault="001506C1" w:rsidP="006F623F">
            <w:pPr>
              <w:rPr>
                <w:rFonts w:ascii="Arial" w:hAnsi="Arial" w:cs="Arial"/>
                <w:sz w:val="24"/>
                <w:szCs w:val="24"/>
              </w:rPr>
            </w:pPr>
            <w:r w:rsidRPr="00FA3F9C">
              <w:rPr>
                <w:rFonts w:ascii="Arial" w:hAnsi="Arial" w:cs="Arial"/>
                <w:sz w:val="24"/>
                <w:szCs w:val="24"/>
              </w:rPr>
              <w:t>9.  Patient must not have received any prior chimeric antigen receptor therapy or other genetically modified T cell therapy.</w:t>
            </w:r>
          </w:p>
        </w:tc>
      </w:tr>
      <w:tr w:rsidR="001506C1" w:rsidRPr="00FA3F9C" w14:paraId="12AB37BD" w14:textId="77777777" w:rsidTr="003F1EB9">
        <w:tblPrEx>
          <w:shd w:val="clear" w:color="auto" w:fill="BFBFBF" w:themeFill="background1" w:themeFillShade="BF"/>
        </w:tblPrEx>
        <w:trPr>
          <w:gridAfter w:val="1"/>
          <w:wAfter w:w="18" w:type="dxa"/>
        </w:trPr>
        <w:tc>
          <w:tcPr>
            <w:tcW w:w="10772" w:type="dxa"/>
            <w:gridSpan w:val="2"/>
            <w:shd w:val="clear" w:color="auto" w:fill="D9D9D9" w:themeFill="background1" w:themeFillShade="D9"/>
          </w:tcPr>
          <w:p w14:paraId="4F628C3F" w14:textId="77777777" w:rsidR="001506C1" w:rsidRPr="00FA3F9C" w:rsidRDefault="001506C1" w:rsidP="00D82B6E">
            <w:pPr>
              <w:rPr>
                <w:rFonts w:ascii="Arial" w:hAnsi="Arial" w:cs="Arial"/>
                <w:sz w:val="24"/>
                <w:szCs w:val="24"/>
              </w:rPr>
            </w:pPr>
            <w:r w:rsidRPr="00FA3F9C">
              <w:rPr>
                <w:rFonts w:ascii="Arial" w:hAnsi="Arial" w:cs="Arial"/>
                <w:sz w:val="24"/>
                <w:szCs w:val="24"/>
              </w:rPr>
              <w:t xml:space="preserve">Note:  Retreatment may be considered only in cases where a partial or complete response was achieved.  Any patient for consideration must meet </w:t>
            </w:r>
            <w:proofErr w:type="gramStart"/>
            <w:r w:rsidRPr="00FA3F9C">
              <w:rPr>
                <w:rFonts w:ascii="Arial" w:hAnsi="Arial" w:cs="Arial"/>
                <w:sz w:val="24"/>
                <w:szCs w:val="24"/>
              </w:rPr>
              <w:t>all of</w:t>
            </w:r>
            <w:proofErr w:type="gramEnd"/>
            <w:r w:rsidRPr="00FA3F9C">
              <w:rPr>
                <w:rFonts w:ascii="Arial" w:hAnsi="Arial" w:cs="Arial"/>
                <w:sz w:val="24"/>
                <w:szCs w:val="24"/>
              </w:rPr>
              <w:t xml:space="preserve"> the original criteria.  Retreatment may NOT be considered in a patient who experiences toxicity or develops a neutralizing antibody.</w:t>
            </w:r>
          </w:p>
        </w:tc>
      </w:tr>
      <w:tr w:rsidR="001506C1" w:rsidRPr="00FA3F9C" w14:paraId="79BF6B42" w14:textId="77777777" w:rsidTr="003F1EB9">
        <w:tblPrEx>
          <w:shd w:val="clear" w:color="auto" w:fill="BFBFBF" w:themeFill="background1" w:themeFillShade="BF"/>
        </w:tblPrEx>
        <w:trPr>
          <w:gridAfter w:val="1"/>
          <w:wAfter w:w="18" w:type="dxa"/>
        </w:trPr>
        <w:tc>
          <w:tcPr>
            <w:tcW w:w="10772" w:type="dxa"/>
            <w:gridSpan w:val="2"/>
            <w:shd w:val="clear" w:color="auto" w:fill="BFBFBF" w:themeFill="background1" w:themeFillShade="BF"/>
          </w:tcPr>
          <w:p w14:paraId="4D8601E2" w14:textId="77777777" w:rsidR="001506C1" w:rsidRPr="00FA3F9C" w:rsidRDefault="001506C1" w:rsidP="00D82B6E">
            <w:pPr>
              <w:rPr>
                <w:rFonts w:ascii="Arial" w:hAnsi="Arial" w:cs="Arial"/>
                <w:sz w:val="24"/>
                <w:szCs w:val="24"/>
                <w:u w:val="single"/>
              </w:rPr>
            </w:pPr>
            <w:r w:rsidRPr="00FA3F9C">
              <w:rPr>
                <w:rFonts w:ascii="Arial" w:hAnsi="Arial" w:cs="Arial"/>
                <w:sz w:val="24"/>
                <w:szCs w:val="24"/>
                <w:u w:val="single"/>
              </w:rPr>
              <w:t>Evidence:</w:t>
            </w:r>
          </w:p>
          <w:p w14:paraId="29032C18" w14:textId="77777777" w:rsidR="001506C1" w:rsidRPr="00FA3F9C" w:rsidRDefault="001506C1" w:rsidP="006A6839">
            <w:pPr>
              <w:rPr>
                <w:rFonts w:ascii="Arial" w:hAnsi="Arial" w:cs="Arial"/>
                <w:sz w:val="24"/>
                <w:szCs w:val="24"/>
              </w:rPr>
            </w:pPr>
            <w:r w:rsidRPr="00FA3F9C">
              <w:rPr>
                <w:rFonts w:ascii="Arial" w:hAnsi="Arial" w:cs="Arial"/>
                <w:sz w:val="24"/>
                <w:szCs w:val="24"/>
              </w:rPr>
              <w:t xml:space="preserve">The ZUMA-1 study is a single-arm trial, which enrolled patients with above characteristics. 83% of patients experiences a response to therapy including 58% of patients with a complete response, which is a very high rate of response for previously treated disease. Median duration of response was 11 months and median overall survival was not reached (95% CI 12.8-NE). Estimated 24-month survival was 50.5%. For comparison, with conventional therapies, median overall survival is 6 </w:t>
            </w:r>
            <w:proofErr w:type="gramStart"/>
            <w:r w:rsidRPr="00FA3F9C">
              <w:rPr>
                <w:rFonts w:ascii="Arial" w:hAnsi="Arial" w:cs="Arial"/>
                <w:sz w:val="24"/>
                <w:szCs w:val="24"/>
              </w:rPr>
              <w:t>months</w:t>
            </w:r>
            <w:proofErr w:type="gramEnd"/>
            <w:r w:rsidRPr="00FA3F9C">
              <w:rPr>
                <w:rFonts w:ascii="Arial" w:hAnsi="Arial" w:cs="Arial"/>
                <w:sz w:val="24"/>
                <w:szCs w:val="24"/>
              </w:rPr>
              <w:t xml:space="preserve"> and 24-month survival is 20%. </w:t>
            </w:r>
          </w:p>
        </w:tc>
      </w:tr>
    </w:tbl>
    <w:p w14:paraId="3F82BB50" w14:textId="77777777" w:rsidR="001506C1" w:rsidRPr="00FA3F9C" w:rsidRDefault="001506C1" w:rsidP="003C3D5B">
      <w:pPr>
        <w:spacing w:after="0"/>
        <w:rPr>
          <w:rFonts w:ascii="Arial" w:hAnsi="Arial" w:cs="Arial"/>
          <w:sz w:val="24"/>
          <w:szCs w:val="24"/>
        </w:rPr>
      </w:pPr>
      <w:r w:rsidRPr="00FA3F9C">
        <w:rPr>
          <w:rFonts w:ascii="Arial" w:hAnsi="Arial" w:cs="Arial"/>
          <w:sz w:val="24"/>
          <w:szCs w:val="24"/>
        </w:rPr>
        <w:t>References:</w:t>
      </w:r>
    </w:p>
    <w:p w14:paraId="1558BB1D" w14:textId="77777777" w:rsidR="001506C1" w:rsidRPr="00FA3F9C" w:rsidRDefault="001506C1" w:rsidP="000A7EEA">
      <w:pPr>
        <w:spacing w:after="0"/>
        <w:ind w:left="180" w:hanging="180"/>
        <w:rPr>
          <w:rFonts w:ascii="Arial" w:eastAsia="Times New Roman" w:hAnsi="Arial" w:cs="Arial"/>
          <w:sz w:val="24"/>
          <w:szCs w:val="24"/>
        </w:rPr>
      </w:pPr>
      <w:r w:rsidRPr="00FA3F9C">
        <w:rPr>
          <w:rFonts w:ascii="Arial" w:hAnsi="Arial" w:cs="Arial"/>
          <w:sz w:val="24"/>
          <w:szCs w:val="24"/>
        </w:rPr>
        <w:lastRenderedPageBreak/>
        <w:t xml:space="preserve">1. </w:t>
      </w:r>
      <w:r w:rsidRPr="00FA3F9C">
        <w:rPr>
          <w:rFonts w:ascii="Arial" w:eastAsia="Times New Roman" w:hAnsi="Arial" w:cs="Arial"/>
          <w:sz w:val="24"/>
          <w:szCs w:val="24"/>
        </w:rPr>
        <w:t xml:space="preserve">Protocol for: </w:t>
      </w:r>
      <w:proofErr w:type="spellStart"/>
      <w:r w:rsidRPr="00FA3F9C">
        <w:rPr>
          <w:rFonts w:ascii="Arial" w:eastAsia="Times New Roman" w:hAnsi="Arial" w:cs="Arial"/>
          <w:sz w:val="24"/>
          <w:szCs w:val="24"/>
        </w:rPr>
        <w:t>Neelapu</w:t>
      </w:r>
      <w:proofErr w:type="spellEnd"/>
      <w:r w:rsidRPr="00FA3F9C">
        <w:rPr>
          <w:rFonts w:ascii="Arial" w:eastAsia="Times New Roman" w:hAnsi="Arial" w:cs="Arial"/>
          <w:sz w:val="24"/>
          <w:szCs w:val="24"/>
        </w:rPr>
        <w:t xml:space="preserve"> SS, Locke FL, Bartlett NL, et al. </w:t>
      </w:r>
      <w:proofErr w:type="spellStart"/>
      <w:r w:rsidRPr="00FA3F9C">
        <w:rPr>
          <w:rFonts w:ascii="Arial" w:eastAsia="Times New Roman" w:hAnsi="Arial" w:cs="Arial"/>
          <w:sz w:val="24"/>
          <w:szCs w:val="24"/>
        </w:rPr>
        <w:t>Axicabtagene</w:t>
      </w:r>
      <w:proofErr w:type="spellEnd"/>
      <w:r w:rsidRPr="00FA3F9C">
        <w:rPr>
          <w:rFonts w:ascii="Arial" w:eastAsia="Times New Roman" w:hAnsi="Arial" w:cs="Arial"/>
          <w:sz w:val="24"/>
          <w:szCs w:val="24"/>
        </w:rPr>
        <w:t xml:space="preserve"> </w:t>
      </w:r>
      <w:proofErr w:type="spellStart"/>
      <w:r w:rsidRPr="00FA3F9C">
        <w:rPr>
          <w:rFonts w:ascii="Arial" w:eastAsia="Times New Roman" w:hAnsi="Arial" w:cs="Arial"/>
          <w:sz w:val="24"/>
          <w:szCs w:val="24"/>
        </w:rPr>
        <w:t>ciloleucel</w:t>
      </w:r>
      <w:proofErr w:type="spellEnd"/>
      <w:r w:rsidRPr="00FA3F9C">
        <w:rPr>
          <w:rFonts w:ascii="Arial" w:eastAsia="Times New Roman" w:hAnsi="Arial" w:cs="Arial"/>
          <w:sz w:val="24"/>
          <w:szCs w:val="24"/>
        </w:rPr>
        <w:t xml:space="preserve"> CAR T-cell therapy in refractory large B-cell lymphoma. N </w:t>
      </w:r>
      <w:proofErr w:type="spellStart"/>
      <w:r w:rsidRPr="00FA3F9C">
        <w:rPr>
          <w:rFonts w:ascii="Arial" w:eastAsia="Times New Roman" w:hAnsi="Arial" w:cs="Arial"/>
          <w:sz w:val="24"/>
          <w:szCs w:val="24"/>
        </w:rPr>
        <w:t>Engl</w:t>
      </w:r>
      <w:proofErr w:type="spellEnd"/>
      <w:r w:rsidRPr="00FA3F9C">
        <w:rPr>
          <w:rFonts w:ascii="Arial" w:eastAsia="Times New Roman" w:hAnsi="Arial" w:cs="Arial"/>
          <w:sz w:val="24"/>
          <w:szCs w:val="24"/>
        </w:rPr>
        <w:t xml:space="preserve"> J Med 2017;377:2531-44. DOI: 10.1056/NEJMoa1707447</w:t>
      </w:r>
    </w:p>
    <w:p w14:paraId="080F1337" w14:textId="77777777" w:rsidR="001506C1" w:rsidRPr="00FA3F9C" w:rsidRDefault="001506C1" w:rsidP="000A7EEA">
      <w:pPr>
        <w:spacing w:after="0"/>
        <w:ind w:left="180" w:hanging="180"/>
        <w:rPr>
          <w:rFonts w:ascii="Arial" w:hAnsi="Arial" w:cs="Arial"/>
          <w:sz w:val="24"/>
          <w:szCs w:val="24"/>
        </w:rPr>
      </w:pPr>
      <w:r w:rsidRPr="00FA3F9C">
        <w:rPr>
          <w:rFonts w:ascii="Arial" w:hAnsi="Arial" w:cs="Arial"/>
          <w:sz w:val="24"/>
          <w:szCs w:val="24"/>
        </w:rPr>
        <w:t xml:space="preserve">2. </w:t>
      </w:r>
      <w:hyperlink r:id="rId38" w:history="1">
        <w:r w:rsidRPr="00FA3F9C">
          <w:rPr>
            <w:rStyle w:val="Hyperlink"/>
            <w:rFonts w:ascii="Arial" w:hAnsi="Arial" w:cs="Arial"/>
            <w:sz w:val="24"/>
            <w:szCs w:val="24"/>
          </w:rPr>
          <w:t>Locke FL</w:t>
        </w:r>
      </w:hyperlink>
      <w:r w:rsidRPr="00FA3F9C">
        <w:rPr>
          <w:rFonts w:ascii="Arial" w:hAnsi="Arial" w:cs="Arial"/>
          <w:sz w:val="24"/>
          <w:szCs w:val="24"/>
        </w:rPr>
        <w:t xml:space="preserve"> et al. Long-term safety and activity of </w:t>
      </w:r>
      <w:proofErr w:type="spellStart"/>
      <w:r w:rsidRPr="00FA3F9C">
        <w:rPr>
          <w:rStyle w:val="highlight"/>
          <w:rFonts w:ascii="Arial" w:hAnsi="Arial" w:cs="Arial"/>
          <w:sz w:val="24"/>
          <w:szCs w:val="24"/>
        </w:rPr>
        <w:t>axicabtagene</w:t>
      </w:r>
      <w:proofErr w:type="spellEnd"/>
      <w:r w:rsidRPr="00FA3F9C">
        <w:rPr>
          <w:rFonts w:ascii="Arial" w:hAnsi="Arial" w:cs="Arial"/>
          <w:sz w:val="24"/>
          <w:szCs w:val="24"/>
        </w:rPr>
        <w:t> </w:t>
      </w:r>
      <w:proofErr w:type="spellStart"/>
      <w:r w:rsidRPr="00FA3F9C">
        <w:rPr>
          <w:rFonts w:ascii="Arial" w:hAnsi="Arial" w:cs="Arial"/>
          <w:sz w:val="24"/>
          <w:szCs w:val="24"/>
        </w:rPr>
        <w:t>ciloleucel</w:t>
      </w:r>
      <w:proofErr w:type="spellEnd"/>
      <w:r w:rsidRPr="00FA3F9C">
        <w:rPr>
          <w:rFonts w:ascii="Arial" w:hAnsi="Arial" w:cs="Arial"/>
          <w:sz w:val="24"/>
          <w:szCs w:val="24"/>
        </w:rPr>
        <w:t xml:space="preserve"> in refractory large B-cell lymphoma (ZUMA-1): a single-arm, </w:t>
      </w:r>
      <w:proofErr w:type="spellStart"/>
      <w:r w:rsidRPr="00FA3F9C">
        <w:rPr>
          <w:rFonts w:ascii="Arial" w:hAnsi="Arial" w:cs="Arial"/>
          <w:sz w:val="24"/>
          <w:szCs w:val="24"/>
        </w:rPr>
        <w:t>multicentre</w:t>
      </w:r>
      <w:proofErr w:type="spellEnd"/>
      <w:r w:rsidRPr="00FA3F9C">
        <w:rPr>
          <w:rFonts w:ascii="Arial" w:hAnsi="Arial" w:cs="Arial"/>
          <w:sz w:val="24"/>
          <w:szCs w:val="24"/>
        </w:rPr>
        <w:t xml:space="preserve">, phase 1-2 trial. </w:t>
      </w:r>
      <w:hyperlink r:id="rId39" w:tooltip="The Lancet. Oncology." w:history="1">
        <w:r w:rsidRPr="00FA3F9C">
          <w:rPr>
            <w:rStyle w:val="Hyperlink"/>
            <w:rFonts w:ascii="Arial" w:hAnsi="Arial" w:cs="Arial"/>
            <w:sz w:val="24"/>
            <w:szCs w:val="24"/>
          </w:rPr>
          <w:t>Lancet Oncol.</w:t>
        </w:r>
      </w:hyperlink>
      <w:r w:rsidRPr="00FA3F9C">
        <w:rPr>
          <w:rFonts w:ascii="Arial" w:hAnsi="Arial" w:cs="Arial"/>
          <w:sz w:val="24"/>
          <w:szCs w:val="24"/>
        </w:rPr>
        <w:t> 2019 Jan;20(1):31-42.</w:t>
      </w:r>
    </w:p>
    <w:p w14:paraId="4560E9FD" w14:textId="77777777" w:rsidR="001506C1" w:rsidRPr="00FA3F9C" w:rsidRDefault="001506C1" w:rsidP="006F623F">
      <w:pPr>
        <w:spacing w:after="0"/>
        <w:rPr>
          <w:rFonts w:ascii="Arial" w:hAnsi="Arial" w:cs="Arial"/>
          <w:sz w:val="24"/>
          <w:szCs w:val="24"/>
        </w:rPr>
      </w:pPr>
    </w:p>
    <w:p w14:paraId="31FD73EA"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418"/>
        <w:gridCol w:w="7470"/>
        <w:gridCol w:w="2538"/>
      </w:tblGrid>
      <w:tr w:rsidR="001506C1" w:rsidRPr="00FA3F9C" w14:paraId="38F96D6E" w14:textId="77777777" w:rsidTr="00FE491B">
        <w:tc>
          <w:tcPr>
            <w:tcW w:w="1008" w:type="dxa"/>
          </w:tcPr>
          <w:p w14:paraId="6354AC27" w14:textId="77777777" w:rsidR="001506C1" w:rsidRPr="00FA3F9C" w:rsidRDefault="001506C1" w:rsidP="006F623F">
            <w:pPr>
              <w:rPr>
                <w:rFonts w:ascii="Arial" w:hAnsi="Arial" w:cs="Arial"/>
                <w:sz w:val="24"/>
                <w:szCs w:val="24"/>
              </w:rPr>
            </w:pPr>
            <w:r w:rsidRPr="00FA3F9C">
              <w:rPr>
                <w:rFonts w:ascii="Arial" w:hAnsi="Arial" w:cs="Arial"/>
                <w:sz w:val="24"/>
                <w:szCs w:val="24"/>
              </w:rPr>
              <w:t>Date</w:t>
            </w:r>
          </w:p>
        </w:tc>
        <w:tc>
          <w:tcPr>
            <w:tcW w:w="7470" w:type="dxa"/>
          </w:tcPr>
          <w:p w14:paraId="425D2D55" w14:textId="77777777" w:rsidR="001506C1" w:rsidRPr="00FA3F9C" w:rsidRDefault="001506C1" w:rsidP="006F623F">
            <w:pPr>
              <w:rPr>
                <w:rFonts w:ascii="Arial" w:hAnsi="Arial" w:cs="Arial"/>
                <w:sz w:val="24"/>
                <w:szCs w:val="24"/>
              </w:rPr>
            </w:pPr>
            <w:r w:rsidRPr="00FA3F9C">
              <w:rPr>
                <w:rFonts w:ascii="Arial" w:hAnsi="Arial" w:cs="Arial"/>
                <w:sz w:val="24"/>
                <w:szCs w:val="24"/>
              </w:rPr>
              <w:t>What changed</w:t>
            </w:r>
          </w:p>
        </w:tc>
        <w:tc>
          <w:tcPr>
            <w:tcW w:w="2538" w:type="dxa"/>
          </w:tcPr>
          <w:p w14:paraId="0BA0F591" w14:textId="77777777" w:rsidR="001506C1" w:rsidRPr="00FA3F9C" w:rsidRDefault="001506C1" w:rsidP="006F623F">
            <w:pPr>
              <w:rPr>
                <w:rFonts w:ascii="Arial" w:hAnsi="Arial" w:cs="Arial"/>
                <w:sz w:val="24"/>
                <w:szCs w:val="24"/>
              </w:rPr>
            </w:pPr>
            <w:r w:rsidRPr="00FA3F9C">
              <w:rPr>
                <w:rFonts w:ascii="Arial" w:hAnsi="Arial" w:cs="Arial"/>
                <w:sz w:val="24"/>
                <w:szCs w:val="24"/>
              </w:rPr>
              <w:t>Pharmacist’s initials</w:t>
            </w:r>
          </w:p>
        </w:tc>
      </w:tr>
      <w:tr w:rsidR="001506C1" w:rsidRPr="00FA3F9C" w14:paraId="079D650E" w14:textId="77777777" w:rsidTr="00FE491B">
        <w:tc>
          <w:tcPr>
            <w:tcW w:w="1008" w:type="dxa"/>
          </w:tcPr>
          <w:p w14:paraId="53E7DFD0" w14:textId="77777777" w:rsidR="001506C1" w:rsidRPr="00FA3F9C" w:rsidRDefault="001506C1" w:rsidP="006F623F">
            <w:pPr>
              <w:rPr>
                <w:rFonts w:ascii="Arial" w:hAnsi="Arial" w:cs="Arial"/>
                <w:sz w:val="24"/>
                <w:szCs w:val="24"/>
              </w:rPr>
            </w:pPr>
            <w:r w:rsidRPr="00FA3F9C">
              <w:rPr>
                <w:rFonts w:ascii="Arial" w:hAnsi="Arial" w:cs="Arial"/>
                <w:sz w:val="24"/>
                <w:szCs w:val="24"/>
              </w:rPr>
              <w:t>2/6/18</w:t>
            </w:r>
          </w:p>
        </w:tc>
        <w:tc>
          <w:tcPr>
            <w:tcW w:w="7470" w:type="dxa"/>
          </w:tcPr>
          <w:p w14:paraId="01821A04" w14:textId="77777777" w:rsidR="001506C1" w:rsidRPr="00FA3F9C" w:rsidRDefault="001506C1" w:rsidP="006F623F">
            <w:pPr>
              <w:rPr>
                <w:rFonts w:ascii="Arial" w:hAnsi="Arial" w:cs="Arial"/>
                <w:sz w:val="24"/>
                <w:szCs w:val="24"/>
              </w:rPr>
            </w:pPr>
            <w:r w:rsidRPr="00FA3F9C">
              <w:rPr>
                <w:rFonts w:ascii="Arial" w:hAnsi="Arial" w:cs="Arial"/>
                <w:sz w:val="24"/>
                <w:szCs w:val="24"/>
              </w:rPr>
              <w:t>I wrote the criteria.</w:t>
            </w:r>
          </w:p>
        </w:tc>
        <w:tc>
          <w:tcPr>
            <w:tcW w:w="2538" w:type="dxa"/>
          </w:tcPr>
          <w:p w14:paraId="772CAAB2" w14:textId="48E8DCA1" w:rsidR="001506C1" w:rsidRPr="00FA3F9C" w:rsidRDefault="005C142D" w:rsidP="006F623F">
            <w:pPr>
              <w:rPr>
                <w:rFonts w:ascii="Arial" w:hAnsi="Arial" w:cs="Arial"/>
                <w:sz w:val="24"/>
                <w:szCs w:val="24"/>
              </w:rPr>
            </w:pPr>
            <w:r w:rsidRPr="00FA3F9C">
              <w:rPr>
                <w:rFonts w:ascii="Arial" w:hAnsi="Arial" w:cs="Arial"/>
                <w:sz w:val="24"/>
                <w:szCs w:val="24"/>
              </w:rPr>
              <w:t>JJ</w:t>
            </w:r>
          </w:p>
        </w:tc>
      </w:tr>
      <w:tr w:rsidR="001506C1" w:rsidRPr="00FA3F9C" w14:paraId="61D12DD3" w14:textId="77777777" w:rsidTr="00FE491B">
        <w:tc>
          <w:tcPr>
            <w:tcW w:w="1008" w:type="dxa"/>
          </w:tcPr>
          <w:p w14:paraId="3C3A88CD" w14:textId="77777777" w:rsidR="001506C1" w:rsidRPr="00FA3F9C" w:rsidRDefault="001506C1" w:rsidP="006F623F">
            <w:pPr>
              <w:rPr>
                <w:rFonts w:ascii="Arial" w:hAnsi="Arial" w:cs="Arial"/>
                <w:sz w:val="24"/>
                <w:szCs w:val="24"/>
              </w:rPr>
            </w:pPr>
            <w:r w:rsidRPr="00FA3F9C">
              <w:rPr>
                <w:rFonts w:ascii="Arial" w:hAnsi="Arial" w:cs="Arial"/>
                <w:sz w:val="24"/>
                <w:szCs w:val="24"/>
              </w:rPr>
              <w:t>4/18/19</w:t>
            </w:r>
          </w:p>
        </w:tc>
        <w:tc>
          <w:tcPr>
            <w:tcW w:w="7470" w:type="dxa"/>
          </w:tcPr>
          <w:p w14:paraId="2C9EFB96" w14:textId="77777777" w:rsidR="001506C1" w:rsidRPr="00FA3F9C" w:rsidRDefault="001506C1" w:rsidP="006A6839">
            <w:pPr>
              <w:rPr>
                <w:rFonts w:ascii="Arial" w:hAnsi="Arial" w:cs="Arial"/>
                <w:sz w:val="24"/>
                <w:szCs w:val="24"/>
              </w:rPr>
            </w:pPr>
            <w:r w:rsidRPr="00FA3F9C">
              <w:rPr>
                <w:rFonts w:ascii="Arial" w:hAnsi="Arial" w:cs="Arial"/>
                <w:sz w:val="24"/>
                <w:szCs w:val="24"/>
              </w:rPr>
              <w:t xml:space="preserve">Criteria reviewed. Removed requirement for MRI to look for brain </w:t>
            </w:r>
            <w:proofErr w:type="spellStart"/>
            <w:r w:rsidRPr="00FA3F9C">
              <w:rPr>
                <w:rFonts w:ascii="Arial" w:hAnsi="Arial" w:cs="Arial"/>
                <w:sz w:val="24"/>
                <w:szCs w:val="24"/>
              </w:rPr>
              <w:t>mets</w:t>
            </w:r>
            <w:proofErr w:type="spellEnd"/>
            <w:r w:rsidRPr="00FA3F9C">
              <w:rPr>
                <w:rFonts w:ascii="Arial" w:hAnsi="Arial" w:cs="Arial"/>
                <w:sz w:val="24"/>
                <w:szCs w:val="24"/>
              </w:rPr>
              <w:t xml:space="preserve"> and requirement for measurable lesions. MRI </w:t>
            </w:r>
            <w:proofErr w:type="gramStart"/>
            <w:r w:rsidRPr="00FA3F9C">
              <w:rPr>
                <w:rFonts w:ascii="Arial" w:hAnsi="Arial" w:cs="Arial"/>
                <w:sz w:val="24"/>
                <w:szCs w:val="24"/>
              </w:rPr>
              <w:t>isn’t</w:t>
            </w:r>
            <w:proofErr w:type="gramEnd"/>
            <w:r w:rsidRPr="00FA3F9C">
              <w:rPr>
                <w:rFonts w:ascii="Arial" w:hAnsi="Arial" w:cs="Arial"/>
                <w:sz w:val="24"/>
                <w:szCs w:val="24"/>
              </w:rPr>
              <w:t xml:space="preserve"> a typical workup done unless the patient is symptomatic. Requirement for measurable lesions is required for clinical trials looking at response rates. </w:t>
            </w:r>
          </w:p>
        </w:tc>
        <w:tc>
          <w:tcPr>
            <w:tcW w:w="2538" w:type="dxa"/>
          </w:tcPr>
          <w:p w14:paraId="6A267E89" w14:textId="77777777" w:rsidR="001506C1" w:rsidRPr="00FA3F9C" w:rsidRDefault="001506C1" w:rsidP="006F623F">
            <w:pPr>
              <w:rPr>
                <w:rFonts w:ascii="Arial" w:hAnsi="Arial" w:cs="Arial"/>
                <w:sz w:val="24"/>
                <w:szCs w:val="24"/>
              </w:rPr>
            </w:pPr>
            <w:r w:rsidRPr="00FA3F9C">
              <w:rPr>
                <w:rFonts w:ascii="Arial" w:hAnsi="Arial" w:cs="Arial"/>
                <w:sz w:val="24"/>
                <w:szCs w:val="24"/>
              </w:rPr>
              <w:t>SK</w:t>
            </w:r>
          </w:p>
        </w:tc>
      </w:tr>
      <w:tr w:rsidR="001506C1" w:rsidRPr="00FA3F9C" w14:paraId="2AAB3CAF" w14:textId="77777777" w:rsidTr="00FE491B">
        <w:tc>
          <w:tcPr>
            <w:tcW w:w="1008" w:type="dxa"/>
          </w:tcPr>
          <w:p w14:paraId="30D7F29C" w14:textId="77777777" w:rsidR="001506C1" w:rsidRPr="00FA3F9C" w:rsidRDefault="001506C1" w:rsidP="006F623F">
            <w:pPr>
              <w:rPr>
                <w:rFonts w:ascii="Arial" w:hAnsi="Arial" w:cs="Arial"/>
                <w:sz w:val="24"/>
                <w:szCs w:val="24"/>
              </w:rPr>
            </w:pPr>
            <w:r w:rsidRPr="00FA3F9C">
              <w:rPr>
                <w:rFonts w:ascii="Arial" w:hAnsi="Arial" w:cs="Arial"/>
                <w:sz w:val="24"/>
                <w:szCs w:val="24"/>
              </w:rPr>
              <w:t>9/30/19</w:t>
            </w:r>
          </w:p>
        </w:tc>
        <w:tc>
          <w:tcPr>
            <w:tcW w:w="7470" w:type="dxa"/>
          </w:tcPr>
          <w:p w14:paraId="67832748" w14:textId="77777777" w:rsidR="001506C1" w:rsidRPr="00FA3F9C" w:rsidRDefault="001506C1" w:rsidP="00447170">
            <w:pPr>
              <w:rPr>
                <w:rFonts w:ascii="Arial" w:hAnsi="Arial" w:cs="Arial"/>
                <w:sz w:val="24"/>
                <w:szCs w:val="24"/>
              </w:rPr>
            </w:pPr>
            <w:r w:rsidRPr="00FA3F9C">
              <w:rPr>
                <w:rFonts w:ascii="Arial" w:hAnsi="Arial" w:cs="Arial"/>
                <w:sz w:val="24"/>
                <w:szCs w:val="24"/>
              </w:rPr>
              <w:t>Criteria reviewed. Made minor wording changes but no changes to criteria.</w:t>
            </w:r>
          </w:p>
        </w:tc>
        <w:tc>
          <w:tcPr>
            <w:tcW w:w="2538" w:type="dxa"/>
          </w:tcPr>
          <w:p w14:paraId="2D86E27A" w14:textId="77777777" w:rsidR="001506C1" w:rsidRPr="00FA3F9C" w:rsidRDefault="001506C1" w:rsidP="006F623F">
            <w:pPr>
              <w:rPr>
                <w:rFonts w:ascii="Arial" w:hAnsi="Arial" w:cs="Arial"/>
                <w:sz w:val="24"/>
                <w:szCs w:val="24"/>
              </w:rPr>
            </w:pPr>
            <w:r w:rsidRPr="00FA3F9C">
              <w:rPr>
                <w:rFonts w:ascii="Arial" w:hAnsi="Arial" w:cs="Arial"/>
                <w:sz w:val="24"/>
                <w:szCs w:val="24"/>
              </w:rPr>
              <w:t>SK</w:t>
            </w:r>
          </w:p>
        </w:tc>
      </w:tr>
      <w:tr w:rsidR="001506C1" w:rsidRPr="00FA3F9C" w14:paraId="7B5ACED3" w14:textId="77777777" w:rsidTr="00FE491B">
        <w:tc>
          <w:tcPr>
            <w:tcW w:w="1008" w:type="dxa"/>
          </w:tcPr>
          <w:p w14:paraId="0643E1AA" w14:textId="77777777" w:rsidR="001506C1" w:rsidRPr="00FA3F9C" w:rsidRDefault="001506C1" w:rsidP="006F623F">
            <w:pPr>
              <w:rPr>
                <w:rFonts w:ascii="Arial" w:hAnsi="Arial" w:cs="Arial"/>
                <w:sz w:val="24"/>
                <w:szCs w:val="24"/>
              </w:rPr>
            </w:pPr>
            <w:r w:rsidRPr="00FA3F9C">
              <w:rPr>
                <w:rFonts w:ascii="Arial" w:hAnsi="Arial" w:cs="Arial"/>
                <w:sz w:val="24"/>
                <w:szCs w:val="24"/>
              </w:rPr>
              <w:t>12/29/2020</w:t>
            </w:r>
          </w:p>
        </w:tc>
        <w:tc>
          <w:tcPr>
            <w:tcW w:w="7470" w:type="dxa"/>
          </w:tcPr>
          <w:p w14:paraId="7534F34C" w14:textId="77777777" w:rsidR="001506C1" w:rsidRPr="00FA3F9C" w:rsidRDefault="001506C1" w:rsidP="00956DF8">
            <w:pPr>
              <w:rPr>
                <w:rFonts w:ascii="Arial" w:hAnsi="Arial" w:cs="Arial"/>
                <w:sz w:val="24"/>
                <w:szCs w:val="24"/>
              </w:rPr>
            </w:pPr>
            <w:r w:rsidRPr="00FA3F9C">
              <w:rPr>
                <w:rFonts w:ascii="Arial" w:hAnsi="Arial" w:cs="Arial"/>
                <w:sz w:val="24"/>
                <w:szCs w:val="24"/>
              </w:rPr>
              <w:t xml:space="preserve">Criteria reviewed. Reworded criteria #7 to say </w:t>
            </w:r>
            <w:proofErr w:type="spellStart"/>
            <w:r w:rsidRPr="00FA3F9C">
              <w:rPr>
                <w:rFonts w:ascii="Arial" w:hAnsi="Arial" w:cs="Arial"/>
                <w:sz w:val="24"/>
                <w:szCs w:val="24"/>
              </w:rPr>
              <w:t>pt</w:t>
            </w:r>
            <w:proofErr w:type="spellEnd"/>
            <w:r w:rsidRPr="00FA3F9C">
              <w:rPr>
                <w:rFonts w:ascii="Arial" w:hAnsi="Arial" w:cs="Arial"/>
                <w:sz w:val="24"/>
                <w:szCs w:val="24"/>
              </w:rPr>
              <w:t xml:space="preserve"> must be able to take </w:t>
            </w:r>
            <w:proofErr w:type="spellStart"/>
            <w:r w:rsidRPr="00FA3F9C">
              <w:rPr>
                <w:rFonts w:ascii="Arial" w:hAnsi="Arial" w:cs="Arial"/>
                <w:sz w:val="24"/>
                <w:szCs w:val="24"/>
              </w:rPr>
              <w:t>fludara</w:t>
            </w:r>
            <w:proofErr w:type="spellEnd"/>
            <w:r w:rsidRPr="00FA3F9C">
              <w:rPr>
                <w:rFonts w:ascii="Arial" w:hAnsi="Arial" w:cs="Arial"/>
                <w:sz w:val="24"/>
                <w:szCs w:val="24"/>
              </w:rPr>
              <w:t>/</w:t>
            </w:r>
            <w:proofErr w:type="spellStart"/>
            <w:r w:rsidRPr="00FA3F9C">
              <w:rPr>
                <w:rFonts w:ascii="Arial" w:hAnsi="Arial" w:cs="Arial"/>
                <w:sz w:val="24"/>
                <w:szCs w:val="24"/>
              </w:rPr>
              <w:t>cyclophos</w:t>
            </w:r>
            <w:proofErr w:type="spellEnd"/>
            <w:r w:rsidRPr="00FA3F9C">
              <w:rPr>
                <w:rFonts w:ascii="Arial" w:hAnsi="Arial" w:cs="Arial"/>
                <w:sz w:val="24"/>
                <w:szCs w:val="24"/>
              </w:rPr>
              <w:t xml:space="preserve"> prior to </w:t>
            </w:r>
            <w:proofErr w:type="spellStart"/>
            <w:r w:rsidRPr="00FA3F9C">
              <w:rPr>
                <w:rFonts w:ascii="Arial" w:hAnsi="Arial" w:cs="Arial"/>
                <w:sz w:val="24"/>
                <w:szCs w:val="24"/>
              </w:rPr>
              <w:t>axicabtagene</w:t>
            </w:r>
            <w:proofErr w:type="spellEnd"/>
            <w:r w:rsidRPr="00FA3F9C">
              <w:rPr>
                <w:rFonts w:ascii="Arial" w:hAnsi="Arial" w:cs="Arial"/>
                <w:sz w:val="24"/>
                <w:szCs w:val="24"/>
              </w:rPr>
              <w:t xml:space="preserve"> infusion (rather than prior to </w:t>
            </w:r>
            <w:proofErr w:type="spellStart"/>
            <w:r w:rsidRPr="00FA3F9C">
              <w:rPr>
                <w:rFonts w:ascii="Arial" w:hAnsi="Arial" w:cs="Arial"/>
                <w:sz w:val="24"/>
                <w:szCs w:val="24"/>
              </w:rPr>
              <w:t>leukepheresis</w:t>
            </w:r>
            <w:proofErr w:type="spellEnd"/>
            <w:r w:rsidRPr="00FA3F9C">
              <w:rPr>
                <w:rFonts w:ascii="Arial" w:hAnsi="Arial" w:cs="Arial"/>
                <w:sz w:val="24"/>
                <w:szCs w:val="24"/>
              </w:rPr>
              <w:t>)</w:t>
            </w:r>
          </w:p>
        </w:tc>
        <w:tc>
          <w:tcPr>
            <w:tcW w:w="2538" w:type="dxa"/>
          </w:tcPr>
          <w:p w14:paraId="0B66A1D3" w14:textId="77777777" w:rsidR="001506C1" w:rsidRPr="00FA3F9C" w:rsidRDefault="001506C1" w:rsidP="006F623F">
            <w:pPr>
              <w:rPr>
                <w:rFonts w:ascii="Arial" w:hAnsi="Arial" w:cs="Arial"/>
                <w:sz w:val="24"/>
                <w:szCs w:val="24"/>
              </w:rPr>
            </w:pPr>
            <w:r w:rsidRPr="00FA3F9C">
              <w:rPr>
                <w:rFonts w:ascii="Arial" w:hAnsi="Arial" w:cs="Arial"/>
                <w:sz w:val="24"/>
                <w:szCs w:val="24"/>
              </w:rPr>
              <w:t>SK</w:t>
            </w:r>
          </w:p>
        </w:tc>
      </w:tr>
      <w:tr w:rsidR="001506C1" w:rsidRPr="00FA3F9C" w14:paraId="090FC098" w14:textId="77777777" w:rsidTr="00FE491B">
        <w:tc>
          <w:tcPr>
            <w:tcW w:w="1008" w:type="dxa"/>
          </w:tcPr>
          <w:p w14:paraId="65BD772D" w14:textId="77777777" w:rsidR="001506C1" w:rsidRPr="00FA3F9C" w:rsidRDefault="001506C1" w:rsidP="006F623F">
            <w:pPr>
              <w:rPr>
                <w:rFonts w:ascii="Arial" w:hAnsi="Arial" w:cs="Arial"/>
                <w:sz w:val="24"/>
                <w:szCs w:val="24"/>
              </w:rPr>
            </w:pPr>
            <w:r w:rsidRPr="00FA3F9C">
              <w:rPr>
                <w:rFonts w:ascii="Arial" w:hAnsi="Arial" w:cs="Arial"/>
                <w:sz w:val="24"/>
                <w:szCs w:val="24"/>
              </w:rPr>
              <w:t>4/1/2021</w:t>
            </w:r>
          </w:p>
        </w:tc>
        <w:tc>
          <w:tcPr>
            <w:tcW w:w="7470" w:type="dxa"/>
          </w:tcPr>
          <w:p w14:paraId="3091E35F" w14:textId="77777777" w:rsidR="001506C1" w:rsidRPr="00FA3F9C" w:rsidRDefault="001506C1" w:rsidP="00CD182D">
            <w:pPr>
              <w:rPr>
                <w:rFonts w:ascii="Arial" w:hAnsi="Arial" w:cs="Arial"/>
                <w:sz w:val="24"/>
                <w:szCs w:val="24"/>
              </w:rPr>
            </w:pPr>
            <w:r w:rsidRPr="00FA3F9C">
              <w:rPr>
                <w:rFonts w:ascii="Arial" w:hAnsi="Arial" w:cs="Arial"/>
                <w:sz w:val="24"/>
                <w:szCs w:val="24"/>
              </w:rPr>
              <w:t xml:space="preserve">Added new indication (follicular lymphoma). Data is only available from PI with response rate and duration of response only. Complete response rate is high (60%), but no evaluation of impact on PFS, OS, or QOL </w:t>
            </w:r>
            <w:proofErr w:type="gramStart"/>
            <w:r w:rsidRPr="00FA3F9C">
              <w:rPr>
                <w:rFonts w:ascii="Arial" w:hAnsi="Arial" w:cs="Arial"/>
                <w:sz w:val="24"/>
                <w:szCs w:val="24"/>
              </w:rPr>
              <w:t>at this time</w:t>
            </w:r>
            <w:proofErr w:type="gramEnd"/>
            <w:r w:rsidRPr="00FA3F9C">
              <w:rPr>
                <w:rFonts w:ascii="Arial" w:hAnsi="Arial" w:cs="Arial"/>
                <w:sz w:val="24"/>
                <w:szCs w:val="24"/>
              </w:rPr>
              <w:t>.</w:t>
            </w:r>
          </w:p>
          <w:p w14:paraId="67CC8E2C" w14:textId="77777777" w:rsidR="001506C1" w:rsidRPr="00FA3F9C" w:rsidRDefault="001506C1" w:rsidP="00CD182D">
            <w:pPr>
              <w:rPr>
                <w:rFonts w:ascii="Arial" w:hAnsi="Arial" w:cs="Arial"/>
                <w:sz w:val="24"/>
                <w:szCs w:val="24"/>
              </w:rPr>
            </w:pPr>
          </w:p>
          <w:p w14:paraId="2D7725F2" w14:textId="77777777" w:rsidR="001506C1" w:rsidRPr="00FA3F9C" w:rsidRDefault="001506C1" w:rsidP="00CD182D">
            <w:pPr>
              <w:rPr>
                <w:rFonts w:ascii="Arial" w:hAnsi="Arial" w:cs="Arial"/>
                <w:sz w:val="24"/>
                <w:szCs w:val="24"/>
              </w:rPr>
            </w:pPr>
            <w:r w:rsidRPr="00FA3F9C">
              <w:rPr>
                <w:rFonts w:ascii="Arial" w:hAnsi="Arial" w:cs="Arial"/>
                <w:sz w:val="24"/>
                <w:szCs w:val="24"/>
              </w:rPr>
              <w:t xml:space="preserve">Note: for DLBCL indication, follow </w:t>
            </w:r>
            <w:r w:rsidRPr="00FA3F9C">
              <w:rPr>
                <w:rFonts w:ascii="Arial" w:hAnsi="Arial" w:cs="Arial"/>
                <w:color w:val="000000"/>
                <w:sz w:val="24"/>
                <w:szCs w:val="24"/>
                <w:shd w:val="clear" w:color="auto" w:fill="FFFFFF"/>
              </w:rPr>
              <w:t>NCT03391466 (RCT w/ primary results 1/2022)</w:t>
            </w:r>
          </w:p>
        </w:tc>
        <w:tc>
          <w:tcPr>
            <w:tcW w:w="2538" w:type="dxa"/>
          </w:tcPr>
          <w:p w14:paraId="4EF78756" w14:textId="77777777" w:rsidR="001506C1" w:rsidRPr="00FA3F9C" w:rsidRDefault="001506C1" w:rsidP="006F623F">
            <w:pPr>
              <w:rPr>
                <w:rFonts w:ascii="Arial" w:hAnsi="Arial" w:cs="Arial"/>
                <w:sz w:val="24"/>
                <w:szCs w:val="24"/>
              </w:rPr>
            </w:pPr>
            <w:r w:rsidRPr="00FA3F9C">
              <w:rPr>
                <w:rFonts w:ascii="Arial" w:hAnsi="Arial" w:cs="Arial"/>
                <w:sz w:val="24"/>
                <w:szCs w:val="24"/>
              </w:rPr>
              <w:t>SK</w:t>
            </w:r>
          </w:p>
        </w:tc>
      </w:tr>
      <w:tr w:rsidR="001506C1" w:rsidRPr="00FA3F9C" w14:paraId="4E02F9F1" w14:textId="77777777" w:rsidTr="00FE491B">
        <w:tc>
          <w:tcPr>
            <w:tcW w:w="1008" w:type="dxa"/>
          </w:tcPr>
          <w:p w14:paraId="3C5C2C3C" w14:textId="77777777" w:rsidR="001506C1" w:rsidRPr="00FA3F9C" w:rsidRDefault="001506C1" w:rsidP="006F623F">
            <w:pPr>
              <w:rPr>
                <w:rFonts w:ascii="Arial" w:hAnsi="Arial" w:cs="Arial"/>
                <w:sz w:val="24"/>
                <w:szCs w:val="24"/>
              </w:rPr>
            </w:pPr>
            <w:r w:rsidRPr="00FA3F9C">
              <w:rPr>
                <w:rFonts w:ascii="Arial" w:hAnsi="Arial" w:cs="Arial"/>
                <w:sz w:val="24"/>
                <w:szCs w:val="24"/>
              </w:rPr>
              <w:t>10/21/2021</w:t>
            </w:r>
          </w:p>
        </w:tc>
        <w:tc>
          <w:tcPr>
            <w:tcW w:w="7470" w:type="dxa"/>
          </w:tcPr>
          <w:p w14:paraId="3719C94C" w14:textId="77777777" w:rsidR="001506C1" w:rsidRPr="00FA3F9C" w:rsidRDefault="001506C1" w:rsidP="00CD182D">
            <w:pPr>
              <w:rPr>
                <w:rFonts w:ascii="Arial" w:hAnsi="Arial" w:cs="Arial"/>
                <w:sz w:val="24"/>
                <w:szCs w:val="24"/>
              </w:rPr>
            </w:pPr>
            <w:r w:rsidRPr="00FA3F9C">
              <w:rPr>
                <w:rFonts w:ascii="Arial" w:hAnsi="Arial" w:cs="Arial"/>
                <w:sz w:val="24"/>
                <w:szCs w:val="24"/>
              </w:rPr>
              <w:t xml:space="preserve">Per 10/21/2021 EBRx P&amp;T meeting, change </w:t>
            </w:r>
            <w:proofErr w:type="spellStart"/>
            <w:r w:rsidRPr="00FA3F9C">
              <w:rPr>
                <w:rFonts w:ascii="Arial" w:hAnsi="Arial" w:cs="Arial"/>
                <w:sz w:val="24"/>
                <w:szCs w:val="24"/>
              </w:rPr>
              <w:t>Yescarta</w:t>
            </w:r>
            <w:proofErr w:type="spellEnd"/>
            <w:r w:rsidRPr="00FA3F9C">
              <w:rPr>
                <w:rFonts w:ascii="Arial" w:hAnsi="Arial" w:cs="Arial"/>
                <w:sz w:val="24"/>
                <w:szCs w:val="24"/>
              </w:rPr>
              <w:t xml:space="preserve"> to n/a medical. Will archive criteria when change is official</w:t>
            </w:r>
          </w:p>
        </w:tc>
        <w:tc>
          <w:tcPr>
            <w:tcW w:w="2538" w:type="dxa"/>
          </w:tcPr>
          <w:p w14:paraId="734C37BB" w14:textId="77777777" w:rsidR="001506C1" w:rsidRPr="00FA3F9C" w:rsidRDefault="001506C1" w:rsidP="006F623F">
            <w:pPr>
              <w:rPr>
                <w:rFonts w:ascii="Arial" w:hAnsi="Arial" w:cs="Arial"/>
                <w:sz w:val="24"/>
                <w:szCs w:val="24"/>
              </w:rPr>
            </w:pPr>
            <w:proofErr w:type="spellStart"/>
            <w:r w:rsidRPr="00FA3F9C">
              <w:rPr>
                <w:rFonts w:ascii="Arial" w:hAnsi="Arial" w:cs="Arial"/>
                <w:sz w:val="24"/>
                <w:szCs w:val="24"/>
              </w:rPr>
              <w:t>sk</w:t>
            </w:r>
            <w:proofErr w:type="spellEnd"/>
          </w:p>
        </w:tc>
      </w:tr>
    </w:tbl>
    <w:p w14:paraId="633B79E0" w14:textId="77777777" w:rsidR="001506C1" w:rsidRPr="00FA3F9C" w:rsidRDefault="001506C1" w:rsidP="006F623F">
      <w:pPr>
        <w:spacing w:after="0"/>
        <w:rPr>
          <w:rFonts w:ascii="Arial" w:hAnsi="Arial" w:cs="Arial"/>
          <w:sz w:val="24"/>
          <w:szCs w:val="24"/>
        </w:rPr>
      </w:pPr>
    </w:p>
    <w:p w14:paraId="105AF7B9" w14:textId="77777777" w:rsidR="005005CA" w:rsidRDefault="005005CA">
      <w:pPr>
        <w:rPr>
          <w:rFonts w:ascii="Arial" w:eastAsia="Times New Roman" w:hAnsi="Arial" w:cs="Arial"/>
          <w:b/>
          <w:sz w:val="28"/>
          <w:szCs w:val="20"/>
        </w:rPr>
      </w:pPr>
      <w:bookmarkStart w:id="25" w:name="_Toc106369727"/>
      <w:r>
        <w:br w:type="page"/>
      </w:r>
    </w:p>
    <w:p w14:paraId="337BF30D" w14:textId="43578A21" w:rsidR="00CA4C3C" w:rsidRDefault="001506C1" w:rsidP="00CA4C3C">
      <w:pPr>
        <w:pStyle w:val="Heading2"/>
      </w:pPr>
      <w:proofErr w:type="spellStart"/>
      <w:r w:rsidRPr="00FA3F9C">
        <w:lastRenderedPageBreak/>
        <w:t>Axitinib</w:t>
      </w:r>
      <w:proofErr w:type="spellEnd"/>
      <w:r w:rsidRPr="00FA3F9C">
        <w:t xml:space="preserve"> (Inlyta)</w:t>
      </w:r>
      <w:bookmarkEnd w:id="25"/>
      <w:r w:rsidRPr="00FA3F9C">
        <w:t xml:space="preserve"> </w:t>
      </w:r>
    </w:p>
    <w:p w14:paraId="7A5B2E0F" w14:textId="472D64AC" w:rsidR="001506C1" w:rsidRPr="00FA3F9C" w:rsidRDefault="001506C1" w:rsidP="006F623F">
      <w:pPr>
        <w:spacing w:after="0"/>
        <w:jc w:val="center"/>
        <w:rPr>
          <w:rFonts w:ascii="Arial" w:hAnsi="Arial" w:cs="Arial"/>
          <w:sz w:val="24"/>
          <w:szCs w:val="24"/>
        </w:rPr>
      </w:pPr>
      <w:r w:rsidRPr="00FA3F9C">
        <w:rPr>
          <w:rFonts w:ascii="Arial" w:hAnsi="Arial" w:cs="Arial"/>
          <w:sz w:val="24"/>
          <w:szCs w:val="24"/>
        </w:rPr>
        <w:t>1 mg, 5 mg tablets</w:t>
      </w:r>
    </w:p>
    <w:p w14:paraId="1702F8CD" w14:textId="77777777" w:rsidR="001506C1" w:rsidRPr="00FA3F9C" w:rsidRDefault="001506C1" w:rsidP="006F623F">
      <w:pPr>
        <w:spacing w:after="0"/>
        <w:jc w:val="center"/>
        <w:rPr>
          <w:rFonts w:ascii="Arial" w:hAnsi="Arial" w:cs="Arial"/>
          <w:sz w:val="24"/>
          <w:szCs w:val="24"/>
        </w:rPr>
      </w:pPr>
      <w:r w:rsidRPr="00FA3F9C">
        <w:rPr>
          <w:rFonts w:ascii="Arial" w:hAnsi="Arial" w:cs="Arial"/>
          <w:sz w:val="24"/>
          <w:szCs w:val="24"/>
        </w:rPr>
        <w:t>EBRx PA Criteria</w:t>
      </w:r>
    </w:p>
    <w:p w14:paraId="680F93FB" w14:textId="77777777" w:rsidR="001506C1" w:rsidRPr="00FA3F9C" w:rsidRDefault="001506C1" w:rsidP="006F623F">
      <w:pPr>
        <w:spacing w:after="0"/>
        <w:rPr>
          <w:rFonts w:ascii="Arial" w:hAnsi="Arial" w:cs="Arial"/>
          <w:b/>
          <w:sz w:val="24"/>
          <w:szCs w:val="24"/>
          <w:u w:val="single"/>
        </w:rPr>
      </w:pPr>
    </w:p>
    <w:p w14:paraId="38ACF746" w14:textId="77777777" w:rsidR="001506C1" w:rsidRPr="00FA3F9C" w:rsidRDefault="001506C1" w:rsidP="006F623F">
      <w:pPr>
        <w:spacing w:after="0"/>
        <w:rPr>
          <w:rFonts w:ascii="Arial" w:hAnsi="Arial" w:cs="Arial"/>
          <w:sz w:val="24"/>
          <w:szCs w:val="24"/>
        </w:rPr>
      </w:pPr>
      <w:r w:rsidRPr="00FA3F9C">
        <w:rPr>
          <w:rFonts w:ascii="Arial" w:hAnsi="Arial" w:cs="Arial"/>
          <w:b/>
          <w:sz w:val="24"/>
          <w:szCs w:val="24"/>
          <w:u w:val="single"/>
        </w:rPr>
        <w:t>FDA-approved for:</w:t>
      </w:r>
      <w:r w:rsidRPr="00FA3F9C">
        <w:rPr>
          <w:rFonts w:ascii="Arial" w:hAnsi="Arial" w:cs="Arial"/>
          <w:sz w:val="24"/>
          <w:szCs w:val="24"/>
        </w:rPr>
        <w:t xml:space="preserve">  </w:t>
      </w:r>
    </w:p>
    <w:p w14:paraId="5E971244" w14:textId="77777777" w:rsidR="001506C1" w:rsidRPr="00FA3F9C" w:rsidRDefault="001506C1" w:rsidP="001506C1">
      <w:pPr>
        <w:pStyle w:val="ListParagraph"/>
        <w:numPr>
          <w:ilvl w:val="0"/>
          <w:numId w:val="37"/>
        </w:numPr>
        <w:spacing w:after="0" w:line="276" w:lineRule="auto"/>
        <w:ind w:left="540" w:hanging="180"/>
        <w:rPr>
          <w:rFonts w:ascii="Arial" w:hAnsi="Arial" w:cs="Arial"/>
          <w:sz w:val="24"/>
          <w:szCs w:val="24"/>
        </w:rPr>
      </w:pPr>
      <w:r w:rsidRPr="00FA3F9C">
        <w:rPr>
          <w:rFonts w:ascii="Arial" w:hAnsi="Arial" w:cs="Arial"/>
          <w:color w:val="000000"/>
          <w:sz w:val="24"/>
          <w:szCs w:val="24"/>
        </w:rPr>
        <w:t xml:space="preserve">Treatment of advanced renal cell carcinoma after failure of one prior systemic therapy </w:t>
      </w:r>
      <w:r w:rsidRPr="00FA3F9C">
        <w:rPr>
          <w:rFonts w:ascii="Arial" w:hAnsi="Arial" w:cs="Arial"/>
          <w:color w:val="000000"/>
          <w:sz w:val="24"/>
          <w:szCs w:val="24"/>
          <w:highlight w:val="yellow"/>
        </w:rPr>
        <w:t>NOT COVERED</w:t>
      </w:r>
    </w:p>
    <w:p w14:paraId="64A4B2BD" w14:textId="77777777" w:rsidR="001506C1" w:rsidRPr="00FA3F9C" w:rsidRDefault="001506C1" w:rsidP="001506C1">
      <w:pPr>
        <w:pStyle w:val="ListParagraph"/>
        <w:numPr>
          <w:ilvl w:val="1"/>
          <w:numId w:val="37"/>
        </w:numPr>
        <w:spacing w:after="0" w:line="276" w:lineRule="auto"/>
        <w:ind w:left="810" w:hanging="180"/>
        <w:rPr>
          <w:rFonts w:ascii="Arial" w:hAnsi="Arial" w:cs="Arial"/>
          <w:sz w:val="24"/>
          <w:szCs w:val="24"/>
        </w:rPr>
      </w:pPr>
      <w:r w:rsidRPr="00FA3F9C">
        <w:rPr>
          <w:rFonts w:ascii="Arial" w:hAnsi="Arial" w:cs="Arial"/>
          <w:color w:val="000000"/>
          <w:sz w:val="24"/>
          <w:szCs w:val="24"/>
        </w:rPr>
        <w:t xml:space="preserve">In patients who progressed on first-line therapy (sunitinib, cytokines, bevacizumab, or </w:t>
      </w:r>
      <w:proofErr w:type="spellStart"/>
      <w:r w:rsidRPr="00FA3F9C">
        <w:rPr>
          <w:rFonts w:ascii="Arial" w:hAnsi="Arial" w:cs="Arial"/>
          <w:color w:val="000000"/>
          <w:sz w:val="24"/>
          <w:szCs w:val="24"/>
        </w:rPr>
        <w:t>temsirolimus</w:t>
      </w:r>
      <w:proofErr w:type="spellEnd"/>
      <w:r w:rsidRPr="00FA3F9C">
        <w:rPr>
          <w:rFonts w:ascii="Arial" w:hAnsi="Arial" w:cs="Arial"/>
          <w:color w:val="000000"/>
          <w:sz w:val="24"/>
          <w:szCs w:val="24"/>
        </w:rPr>
        <w:t xml:space="preserve">), </w:t>
      </w:r>
      <w:proofErr w:type="spellStart"/>
      <w:r w:rsidRPr="00FA3F9C">
        <w:rPr>
          <w:rFonts w:ascii="Arial" w:hAnsi="Arial" w:cs="Arial"/>
          <w:color w:val="000000"/>
          <w:sz w:val="24"/>
          <w:szCs w:val="24"/>
        </w:rPr>
        <w:t>axitinib</w:t>
      </w:r>
      <w:proofErr w:type="spellEnd"/>
      <w:r w:rsidRPr="00FA3F9C">
        <w:rPr>
          <w:rFonts w:ascii="Arial" w:hAnsi="Arial" w:cs="Arial"/>
          <w:color w:val="000000"/>
          <w:sz w:val="24"/>
          <w:szCs w:val="24"/>
        </w:rPr>
        <w:t xml:space="preserve"> improved PFS but not OS compared to sorafenib. Crossover was not allowed in this study. Quality of life was not significantly improved.</w:t>
      </w:r>
    </w:p>
    <w:p w14:paraId="1D69D60D" w14:textId="77777777" w:rsidR="001506C1" w:rsidRPr="00FA3F9C" w:rsidRDefault="001506C1" w:rsidP="00AC1786">
      <w:pPr>
        <w:spacing w:after="0"/>
        <w:ind w:left="720" w:firstLine="270"/>
        <w:rPr>
          <w:rFonts w:ascii="Arial" w:hAnsi="Arial" w:cs="Arial"/>
          <w:sz w:val="24"/>
          <w:szCs w:val="24"/>
        </w:rPr>
      </w:pPr>
      <w:r w:rsidRPr="00FA3F9C">
        <w:rPr>
          <w:rFonts w:ascii="Arial" w:hAnsi="Arial" w:cs="Arial"/>
          <w:sz w:val="24"/>
          <w:szCs w:val="24"/>
        </w:rPr>
        <w:t>References:</w:t>
      </w:r>
    </w:p>
    <w:p w14:paraId="00457EF4" w14:textId="77777777" w:rsidR="001506C1" w:rsidRPr="00FA3F9C" w:rsidRDefault="001506C1" w:rsidP="001506C1">
      <w:pPr>
        <w:pStyle w:val="ListParagraph"/>
        <w:numPr>
          <w:ilvl w:val="0"/>
          <w:numId w:val="38"/>
        </w:numPr>
        <w:spacing w:after="0" w:line="240" w:lineRule="auto"/>
        <w:ind w:left="1260" w:hanging="180"/>
        <w:rPr>
          <w:rFonts w:ascii="Arial" w:hAnsi="Arial" w:cs="Arial"/>
          <w:sz w:val="24"/>
          <w:szCs w:val="24"/>
        </w:rPr>
      </w:pPr>
      <w:proofErr w:type="spellStart"/>
      <w:r w:rsidRPr="00FA3F9C">
        <w:rPr>
          <w:rFonts w:ascii="Arial" w:hAnsi="Arial" w:cs="Arial"/>
          <w:sz w:val="24"/>
          <w:szCs w:val="24"/>
        </w:rPr>
        <w:t>Rini</w:t>
      </w:r>
      <w:proofErr w:type="spellEnd"/>
      <w:r w:rsidRPr="00FA3F9C">
        <w:rPr>
          <w:rFonts w:ascii="Arial" w:hAnsi="Arial" w:cs="Arial"/>
          <w:sz w:val="24"/>
          <w:szCs w:val="24"/>
        </w:rPr>
        <w:t xml:space="preserve"> BI et al. Comparative effectiveness of </w:t>
      </w:r>
      <w:proofErr w:type="spellStart"/>
      <w:r w:rsidRPr="00FA3F9C">
        <w:rPr>
          <w:rFonts w:ascii="Arial" w:hAnsi="Arial" w:cs="Arial"/>
          <w:sz w:val="24"/>
          <w:szCs w:val="24"/>
        </w:rPr>
        <w:t>axitinib</w:t>
      </w:r>
      <w:proofErr w:type="spellEnd"/>
      <w:r w:rsidRPr="00FA3F9C">
        <w:rPr>
          <w:rFonts w:ascii="Arial" w:hAnsi="Arial" w:cs="Arial"/>
          <w:sz w:val="24"/>
          <w:szCs w:val="24"/>
        </w:rPr>
        <w:t xml:space="preserve"> versus sorafenib in advanced renal cell carcinoma (AXIS): a </w:t>
      </w:r>
      <w:proofErr w:type="spellStart"/>
      <w:r w:rsidRPr="00FA3F9C">
        <w:rPr>
          <w:rFonts w:ascii="Arial" w:hAnsi="Arial" w:cs="Arial"/>
          <w:sz w:val="24"/>
          <w:szCs w:val="24"/>
        </w:rPr>
        <w:t>randomised</w:t>
      </w:r>
      <w:proofErr w:type="spellEnd"/>
      <w:r w:rsidRPr="00FA3F9C">
        <w:rPr>
          <w:rFonts w:ascii="Arial" w:hAnsi="Arial" w:cs="Arial"/>
          <w:sz w:val="24"/>
          <w:szCs w:val="24"/>
        </w:rPr>
        <w:t xml:space="preserve"> phase 3 trial. Lancet. 2011 Dec 3;378(9807):1931-9. PMID 22056247 NCT00678392</w:t>
      </w:r>
    </w:p>
    <w:p w14:paraId="0523FC09" w14:textId="77777777" w:rsidR="001506C1" w:rsidRPr="00FA3F9C" w:rsidRDefault="001506C1" w:rsidP="001506C1">
      <w:pPr>
        <w:pStyle w:val="ListParagraph"/>
        <w:numPr>
          <w:ilvl w:val="0"/>
          <w:numId w:val="38"/>
        </w:numPr>
        <w:spacing w:after="0" w:line="240" w:lineRule="auto"/>
        <w:ind w:left="1260" w:hanging="180"/>
        <w:rPr>
          <w:rFonts w:ascii="Arial" w:hAnsi="Arial" w:cs="Arial"/>
          <w:sz w:val="24"/>
          <w:szCs w:val="24"/>
        </w:rPr>
      </w:pPr>
      <w:proofErr w:type="spellStart"/>
      <w:r w:rsidRPr="00FA3F9C">
        <w:rPr>
          <w:rFonts w:ascii="Arial" w:hAnsi="Arial" w:cs="Arial"/>
          <w:sz w:val="24"/>
          <w:szCs w:val="24"/>
        </w:rPr>
        <w:t>Cella</w:t>
      </w:r>
      <w:proofErr w:type="spellEnd"/>
      <w:r w:rsidRPr="00FA3F9C">
        <w:rPr>
          <w:rFonts w:ascii="Arial" w:hAnsi="Arial" w:cs="Arial"/>
          <w:sz w:val="24"/>
          <w:szCs w:val="24"/>
        </w:rPr>
        <w:t xml:space="preserve"> D et al. Patient-reported outcomes for </w:t>
      </w:r>
      <w:proofErr w:type="spellStart"/>
      <w:r w:rsidRPr="00FA3F9C">
        <w:rPr>
          <w:rFonts w:ascii="Arial" w:hAnsi="Arial" w:cs="Arial"/>
          <w:sz w:val="24"/>
          <w:szCs w:val="24"/>
        </w:rPr>
        <w:t>axitinib</w:t>
      </w:r>
      <w:proofErr w:type="spellEnd"/>
      <w:r w:rsidRPr="00FA3F9C">
        <w:rPr>
          <w:rFonts w:ascii="Arial" w:hAnsi="Arial" w:cs="Arial"/>
          <w:sz w:val="24"/>
          <w:szCs w:val="24"/>
        </w:rPr>
        <w:t xml:space="preserve"> vs sorafenib in metastatic renal cell carcinoma: phase III (AXIS) trial. Br J Cancer. 2013 Apr 30;108(8):1571-8. PMID 23579211 NCT00678392</w:t>
      </w:r>
    </w:p>
    <w:p w14:paraId="50888AE2" w14:textId="77777777" w:rsidR="001506C1" w:rsidRPr="00FA3F9C" w:rsidRDefault="001506C1" w:rsidP="001506C1">
      <w:pPr>
        <w:pStyle w:val="ListParagraph"/>
        <w:numPr>
          <w:ilvl w:val="0"/>
          <w:numId w:val="38"/>
        </w:numPr>
        <w:spacing w:after="0" w:line="240" w:lineRule="auto"/>
        <w:ind w:left="1260" w:hanging="180"/>
        <w:rPr>
          <w:rFonts w:ascii="Arial" w:hAnsi="Arial" w:cs="Arial"/>
          <w:sz w:val="24"/>
          <w:szCs w:val="24"/>
        </w:rPr>
      </w:pPr>
      <w:proofErr w:type="spellStart"/>
      <w:r w:rsidRPr="00FA3F9C">
        <w:rPr>
          <w:rFonts w:ascii="Arial" w:hAnsi="Arial" w:cs="Arial"/>
          <w:sz w:val="24"/>
          <w:szCs w:val="24"/>
        </w:rPr>
        <w:t>Motzer</w:t>
      </w:r>
      <w:proofErr w:type="spellEnd"/>
      <w:r w:rsidRPr="00FA3F9C">
        <w:rPr>
          <w:rFonts w:ascii="Arial" w:hAnsi="Arial" w:cs="Arial"/>
          <w:sz w:val="24"/>
          <w:szCs w:val="24"/>
        </w:rPr>
        <w:t xml:space="preserve"> RJ et al. </w:t>
      </w:r>
      <w:proofErr w:type="spellStart"/>
      <w:r w:rsidRPr="00FA3F9C">
        <w:rPr>
          <w:rFonts w:ascii="Arial" w:hAnsi="Arial" w:cs="Arial"/>
          <w:sz w:val="24"/>
          <w:szCs w:val="24"/>
        </w:rPr>
        <w:t>Axitinib</w:t>
      </w:r>
      <w:proofErr w:type="spellEnd"/>
      <w:r w:rsidRPr="00FA3F9C">
        <w:rPr>
          <w:rFonts w:ascii="Arial" w:hAnsi="Arial" w:cs="Arial"/>
          <w:sz w:val="24"/>
          <w:szCs w:val="24"/>
        </w:rPr>
        <w:t xml:space="preserve"> versus sorafenib as second-line treatment for advanced renal cell carcinoma: overall survival analysis and updated results from a </w:t>
      </w:r>
      <w:proofErr w:type="spellStart"/>
      <w:r w:rsidRPr="00FA3F9C">
        <w:rPr>
          <w:rFonts w:ascii="Arial" w:hAnsi="Arial" w:cs="Arial"/>
          <w:sz w:val="24"/>
          <w:szCs w:val="24"/>
        </w:rPr>
        <w:t>randomised</w:t>
      </w:r>
      <w:proofErr w:type="spellEnd"/>
      <w:r w:rsidRPr="00FA3F9C">
        <w:rPr>
          <w:rFonts w:ascii="Arial" w:hAnsi="Arial" w:cs="Arial"/>
          <w:sz w:val="24"/>
          <w:szCs w:val="24"/>
        </w:rPr>
        <w:t xml:space="preserve"> phase 3 trial. Lancet Oncol. 2013 May;14(6):552-62. PMID 23598172 NCT00678392</w:t>
      </w:r>
    </w:p>
    <w:p w14:paraId="2144EF5C" w14:textId="77777777" w:rsidR="001506C1" w:rsidRPr="00FA3F9C" w:rsidRDefault="001506C1" w:rsidP="001506C1">
      <w:pPr>
        <w:pStyle w:val="ListParagraph"/>
        <w:numPr>
          <w:ilvl w:val="0"/>
          <w:numId w:val="37"/>
        </w:numPr>
        <w:spacing w:after="0" w:line="240" w:lineRule="auto"/>
        <w:rPr>
          <w:rFonts w:ascii="Arial" w:hAnsi="Arial" w:cs="Arial"/>
          <w:sz w:val="24"/>
          <w:szCs w:val="24"/>
        </w:rPr>
      </w:pPr>
      <w:r w:rsidRPr="00FA3F9C">
        <w:rPr>
          <w:rFonts w:ascii="Arial" w:hAnsi="Arial" w:cs="Arial"/>
          <w:sz w:val="24"/>
          <w:szCs w:val="24"/>
        </w:rPr>
        <w:t xml:space="preserve">In combination with pembrolizumab, for the first-line treatment of patients with advanced renal cell carcinoma (note: this indication is listed in the pembrolizumab package insert, not the </w:t>
      </w:r>
      <w:proofErr w:type="spellStart"/>
      <w:r w:rsidRPr="00FA3F9C">
        <w:rPr>
          <w:rFonts w:ascii="Arial" w:hAnsi="Arial" w:cs="Arial"/>
          <w:sz w:val="24"/>
          <w:szCs w:val="24"/>
        </w:rPr>
        <w:t>axitinib</w:t>
      </w:r>
      <w:proofErr w:type="spellEnd"/>
      <w:r w:rsidRPr="00FA3F9C">
        <w:rPr>
          <w:rFonts w:ascii="Arial" w:hAnsi="Arial" w:cs="Arial"/>
          <w:sz w:val="24"/>
          <w:szCs w:val="24"/>
        </w:rPr>
        <w:t xml:space="preserve"> package insert).</w:t>
      </w:r>
    </w:p>
    <w:p w14:paraId="6C9F554A" w14:textId="77777777" w:rsidR="001506C1" w:rsidRPr="00FA3F9C" w:rsidRDefault="001506C1" w:rsidP="008A7ED6">
      <w:pPr>
        <w:spacing w:after="0" w:line="240" w:lineRule="auto"/>
        <w:rPr>
          <w:rFonts w:ascii="Arial" w:hAnsi="Arial" w:cs="Arial"/>
          <w:sz w:val="24"/>
          <w:szCs w:val="24"/>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68"/>
      </w:tblGrid>
      <w:tr w:rsidR="001506C1" w:rsidRPr="00FA3F9C" w14:paraId="5B4EDEBC" w14:textId="77777777" w:rsidTr="00EF475D">
        <w:tc>
          <w:tcPr>
            <w:tcW w:w="10368" w:type="dxa"/>
            <w:tcBorders>
              <w:bottom w:val="single" w:sz="4" w:space="0" w:color="auto"/>
            </w:tcBorders>
            <w:shd w:val="clear" w:color="auto" w:fill="000000"/>
          </w:tcPr>
          <w:p w14:paraId="3797F2EA" w14:textId="77777777" w:rsidR="001506C1" w:rsidRPr="00FA3F9C" w:rsidRDefault="001506C1" w:rsidP="00544433">
            <w:pPr>
              <w:rPr>
                <w:rFonts w:ascii="Arial" w:hAnsi="Arial" w:cs="Arial"/>
                <w:b/>
                <w:sz w:val="24"/>
                <w:szCs w:val="24"/>
                <w:u w:val="single"/>
              </w:rPr>
            </w:pPr>
            <w:r w:rsidRPr="00FA3F9C">
              <w:rPr>
                <w:rFonts w:ascii="Arial" w:hAnsi="Arial" w:cs="Arial"/>
                <w:sz w:val="24"/>
                <w:szCs w:val="24"/>
              </w:rPr>
              <w:br w:type="page"/>
            </w:r>
            <w:r w:rsidRPr="00FA3F9C">
              <w:rPr>
                <w:rFonts w:ascii="Arial" w:hAnsi="Arial" w:cs="Arial"/>
                <w:b/>
                <w:sz w:val="24"/>
                <w:szCs w:val="24"/>
                <w:u w:val="single"/>
              </w:rPr>
              <w:t>Renal Cell Carcinoma</w:t>
            </w:r>
          </w:p>
        </w:tc>
      </w:tr>
      <w:tr w:rsidR="001506C1" w:rsidRPr="00FA3F9C" w14:paraId="211379D3" w14:textId="77777777" w:rsidTr="00EF475D">
        <w:trPr>
          <w:trHeight w:val="278"/>
        </w:trPr>
        <w:tc>
          <w:tcPr>
            <w:tcW w:w="10368" w:type="dxa"/>
            <w:vAlign w:val="center"/>
          </w:tcPr>
          <w:p w14:paraId="7BC3C96E" w14:textId="77777777" w:rsidR="001506C1" w:rsidRPr="00FA3F9C" w:rsidRDefault="001506C1" w:rsidP="001506C1">
            <w:pPr>
              <w:pStyle w:val="ListParagraph"/>
              <w:numPr>
                <w:ilvl w:val="0"/>
                <w:numId w:val="40"/>
              </w:numPr>
              <w:spacing w:after="0" w:line="240" w:lineRule="auto"/>
              <w:ind w:left="249" w:hanging="245"/>
              <w:rPr>
                <w:rFonts w:ascii="Arial" w:hAnsi="Arial" w:cs="Arial"/>
                <w:sz w:val="24"/>
                <w:szCs w:val="24"/>
              </w:rPr>
            </w:pPr>
            <w:r w:rsidRPr="00FA3F9C">
              <w:rPr>
                <w:rFonts w:ascii="Arial" w:hAnsi="Arial" w:cs="Arial"/>
                <w:sz w:val="24"/>
                <w:szCs w:val="24"/>
              </w:rPr>
              <w:t>Advanced or metastatic clear cell renal cell carcinoma</w:t>
            </w:r>
          </w:p>
        </w:tc>
      </w:tr>
      <w:tr w:rsidR="001506C1" w:rsidRPr="00FA3F9C" w14:paraId="2DE54F70" w14:textId="77777777" w:rsidTr="00EF475D">
        <w:trPr>
          <w:trHeight w:val="206"/>
        </w:trPr>
        <w:tc>
          <w:tcPr>
            <w:tcW w:w="10368" w:type="dxa"/>
            <w:vAlign w:val="center"/>
          </w:tcPr>
          <w:p w14:paraId="033546AF" w14:textId="77777777" w:rsidR="001506C1" w:rsidRPr="00FA3F9C" w:rsidRDefault="001506C1" w:rsidP="001506C1">
            <w:pPr>
              <w:pStyle w:val="ListParagraph"/>
              <w:numPr>
                <w:ilvl w:val="0"/>
                <w:numId w:val="40"/>
              </w:numPr>
              <w:spacing w:after="0" w:line="240" w:lineRule="auto"/>
              <w:ind w:left="249" w:hanging="245"/>
              <w:rPr>
                <w:rFonts w:ascii="Arial" w:hAnsi="Arial" w:cs="Arial"/>
                <w:sz w:val="24"/>
                <w:szCs w:val="24"/>
              </w:rPr>
            </w:pPr>
            <w:r w:rsidRPr="00FA3F9C">
              <w:rPr>
                <w:rFonts w:ascii="Arial" w:hAnsi="Arial" w:cs="Arial"/>
                <w:sz w:val="24"/>
                <w:szCs w:val="24"/>
              </w:rPr>
              <w:t>No prior therapy for advanced disease</w:t>
            </w:r>
          </w:p>
        </w:tc>
      </w:tr>
      <w:tr w:rsidR="001506C1" w:rsidRPr="00FA3F9C" w14:paraId="1E329D09" w14:textId="77777777" w:rsidTr="00EF475D">
        <w:trPr>
          <w:trHeight w:val="224"/>
        </w:trPr>
        <w:tc>
          <w:tcPr>
            <w:tcW w:w="10368" w:type="dxa"/>
            <w:vAlign w:val="center"/>
          </w:tcPr>
          <w:p w14:paraId="51254771" w14:textId="77777777" w:rsidR="001506C1" w:rsidRPr="00FA3F9C" w:rsidRDefault="001506C1" w:rsidP="001506C1">
            <w:pPr>
              <w:pStyle w:val="ListParagraph"/>
              <w:numPr>
                <w:ilvl w:val="0"/>
                <w:numId w:val="40"/>
              </w:numPr>
              <w:spacing w:after="0" w:line="240" w:lineRule="auto"/>
              <w:ind w:left="249" w:hanging="245"/>
              <w:rPr>
                <w:rFonts w:ascii="Arial" w:hAnsi="Arial" w:cs="Arial"/>
                <w:sz w:val="24"/>
                <w:szCs w:val="24"/>
              </w:rPr>
            </w:pPr>
            <w:proofErr w:type="spellStart"/>
            <w:r w:rsidRPr="00FA3F9C">
              <w:rPr>
                <w:rFonts w:ascii="Arial" w:hAnsi="Arial" w:cs="Arial"/>
                <w:sz w:val="24"/>
                <w:szCs w:val="24"/>
              </w:rPr>
              <w:t>Axitinib</w:t>
            </w:r>
            <w:proofErr w:type="spellEnd"/>
            <w:r w:rsidRPr="00FA3F9C">
              <w:rPr>
                <w:rFonts w:ascii="Arial" w:hAnsi="Arial" w:cs="Arial"/>
                <w:sz w:val="24"/>
                <w:szCs w:val="24"/>
              </w:rPr>
              <w:t xml:space="preserve"> must be given in combination with pembrolizumab</w:t>
            </w:r>
          </w:p>
        </w:tc>
      </w:tr>
      <w:tr w:rsidR="001506C1" w:rsidRPr="00FA3F9C" w14:paraId="3B64758D" w14:textId="77777777" w:rsidTr="00EF475D">
        <w:trPr>
          <w:trHeight w:val="242"/>
        </w:trPr>
        <w:tc>
          <w:tcPr>
            <w:tcW w:w="10368" w:type="dxa"/>
            <w:vAlign w:val="center"/>
          </w:tcPr>
          <w:p w14:paraId="16BF13BA" w14:textId="77777777" w:rsidR="001506C1" w:rsidRPr="00FA3F9C" w:rsidRDefault="001506C1" w:rsidP="001506C1">
            <w:pPr>
              <w:pStyle w:val="ListParagraph"/>
              <w:numPr>
                <w:ilvl w:val="0"/>
                <w:numId w:val="40"/>
              </w:numPr>
              <w:spacing w:after="0" w:line="240" w:lineRule="auto"/>
              <w:ind w:left="249" w:hanging="245"/>
              <w:rPr>
                <w:rFonts w:ascii="Arial" w:hAnsi="Arial" w:cs="Arial"/>
                <w:sz w:val="24"/>
                <w:szCs w:val="24"/>
              </w:rPr>
            </w:pPr>
            <w:r w:rsidRPr="00FA3F9C">
              <w:rPr>
                <w:rFonts w:ascii="Arial" w:hAnsi="Arial" w:cs="Arial"/>
                <w:sz w:val="24"/>
                <w:szCs w:val="24"/>
              </w:rPr>
              <w:t xml:space="preserve">Patient must have </w:t>
            </w:r>
            <w:proofErr w:type="spellStart"/>
            <w:r w:rsidRPr="00FA3F9C">
              <w:rPr>
                <w:rFonts w:ascii="Arial" w:hAnsi="Arial" w:cs="Arial"/>
                <w:sz w:val="24"/>
                <w:szCs w:val="24"/>
              </w:rPr>
              <w:t>Karnofsky</w:t>
            </w:r>
            <w:proofErr w:type="spellEnd"/>
            <w:r w:rsidRPr="00FA3F9C">
              <w:rPr>
                <w:rFonts w:ascii="Arial" w:hAnsi="Arial" w:cs="Arial"/>
                <w:sz w:val="24"/>
                <w:szCs w:val="24"/>
              </w:rPr>
              <w:t xml:space="preserve"> performance status of </w:t>
            </w:r>
            <w:r w:rsidRPr="00FA3F9C">
              <w:rPr>
                <w:rFonts w:ascii="Arial" w:hAnsi="Arial" w:cs="Arial"/>
                <w:sz w:val="24"/>
                <w:szCs w:val="24"/>
                <w:u w:val="single"/>
              </w:rPr>
              <w:t>&gt;</w:t>
            </w:r>
            <w:r w:rsidRPr="00FA3F9C">
              <w:rPr>
                <w:rFonts w:ascii="Arial" w:hAnsi="Arial" w:cs="Arial"/>
                <w:sz w:val="24"/>
                <w:szCs w:val="24"/>
              </w:rPr>
              <w:t>70% (see below)</w:t>
            </w:r>
          </w:p>
        </w:tc>
      </w:tr>
      <w:tr w:rsidR="001506C1" w:rsidRPr="00FA3F9C" w14:paraId="18466ADC" w14:textId="77777777" w:rsidTr="00EF475D">
        <w:trPr>
          <w:trHeight w:val="179"/>
        </w:trPr>
        <w:tc>
          <w:tcPr>
            <w:tcW w:w="10368" w:type="dxa"/>
            <w:vAlign w:val="center"/>
          </w:tcPr>
          <w:p w14:paraId="17FE77CB" w14:textId="77777777" w:rsidR="001506C1" w:rsidRPr="00FA3F9C" w:rsidRDefault="001506C1" w:rsidP="001506C1">
            <w:pPr>
              <w:pStyle w:val="ListParagraph"/>
              <w:numPr>
                <w:ilvl w:val="0"/>
                <w:numId w:val="40"/>
              </w:numPr>
              <w:spacing w:after="0" w:line="240" w:lineRule="auto"/>
              <w:ind w:left="249" w:hanging="245"/>
              <w:rPr>
                <w:rFonts w:ascii="Arial" w:hAnsi="Arial" w:cs="Arial"/>
                <w:sz w:val="24"/>
                <w:szCs w:val="24"/>
              </w:rPr>
            </w:pPr>
            <w:r w:rsidRPr="00FA3F9C">
              <w:rPr>
                <w:rFonts w:ascii="Arial" w:hAnsi="Arial" w:cs="Arial"/>
                <w:sz w:val="24"/>
                <w:szCs w:val="24"/>
              </w:rPr>
              <w:t>Patient must have intermediate or poor risk disease as measured by IMDC criteria (see below)</w:t>
            </w:r>
          </w:p>
        </w:tc>
      </w:tr>
      <w:tr w:rsidR="001506C1" w:rsidRPr="00FA3F9C" w14:paraId="64444C5A" w14:textId="77777777" w:rsidTr="004A6DD7">
        <w:trPr>
          <w:trHeight w:val="287"/>
        </w:trPr>
        <w:tc>
          <w:tcPr>
            <w:tcW w:w="10368" w:type="dxa"/>
            <w:shd w:val="clear" w:color="auto" w:fill="F2F2F2" w:themeFill="background1" w:themeFillShade="F2"/>
            <w:vAlign w:val="center"/>
          </w:tcPr>
          <w:p w14:paraId="607E31AB" w14:textId="77777777" w:rsidR="001506C1" w:rsidRPr="00FA3F9C" w:rsidRDefault="001506C1" w:rsidP="00EF475D">
            <w:pPr>
              <w:spacing w:after="0" w:line="240" w:lineRule="auto"/>
              <w:rPr>
                <w:rFonts w:ascii="Arial" w:hAnsi="Arial" w:cs="Arial"/>
                <w:sz w:val="24"/>
                <w:szCs w:val="24"/>
              </w:rPr>
            </w:pPr>
            <w:r w:rsidRPr="00FA3F9C">
              <w:rPr>
                <w:rFonts w:ascii="Arial" w:hAnsi="Arial" w:cs="Arial"/>
                <w:b/>
                <w:sz w:val="24"/>
                <w:szCs w:val="24"/>
              </w:rPr>
              <w:t>If all criteria fulfilled, approve for 6 months.</w:t>
            </w:r>
          </w:p>
        </w:tc>
      </w:tr>
      <w:tr w:rsidR="001506C1" w:rsidRPr="00FA3F9C" w14:paraId="3B9BCA1A" w14:textId="77777777" w:rsidTr="004A6DD7">
        <w:trPr>
          <w:trHeight w:val="764"/>
        </w:trPr>
        <w:tc>
          <w:tcPr>
            <w:tcW w:w="10368" w:type="dxa"/>
            <w:shd w:val="clear" w:color="auto" w:fill="F2F2F2" w:themeFill="background1" w:themeFillShade="F2"/>
          </w:tcPr>
          <w:p w14:paraId="2B3213BB" w14:textId="77777777" w:rsidR="001506C1" w:rsidRPr="00FA3F9C" w:rsidRDefault="001506C1" w:rsidP="00EF475D">
            <w:pPr>
              <w:spacing w:after="0" w:line="240" w:lineRule="auto"/>
              <w:rPr>
                <w:rFonts w:ascii="Arial" w:hAnsi="Arial" w:cs="Arial"/>
                <w:b/>
                <w:sz w:val="24"/>
                <w:szCs w:val="24"/>
              </w:rPr>
            </w:pPr>
            <w:r w:rsidRPr="00FA3F9C">
              <w:rPr>
                <w:rFonts w:ascii="Arial" w:hAnsi="Arial" w:cs="Arial"/>
                <w:b/>
                <w:sz w:val="24"/>
                <w:szCs w:val="24"/>
              </w:rPr>
              <w:t xml:space="preserve">QL: </w:t>
            </w:r>
          </w:p>
          <w:p w14:paraId="3B2BAA27" w14:textId="77777777" w:rsidR="001506C1" w:rsidRPr="00FA3F9C" w:rsidRDefault="001506C1" w:rsidP="00EF475D">
            <w:pPr>
              <w:spacing w:after="0" w:line="240" w:lineRule="auto"/>
              <w:rPr>
                <w:rFonts w:ascii="Arial" w:hAnsi="Arial" w:cs="Arial"/>
                <w:b/>
                <w:sz w:val="24"/>
                <w:szCs w:val="24"/>
              </w:rPr>
            </w:pPr>
            <w:r w:rsidRPr="00FA3F9C">
              <w:rPr>
                <w:rFonts w:ascii="Arial" w:hAnsi="Arial" w:cs="Arial"/>
                <w:b/>
                <w:sz w:val="24"/>
                <w:szCs w:val="24"/>
              </w:rPr>
              <w:t>5 mg tabs: #120/30d</w:t>
            </w:r>
          </w:p>
          <w:p w14:paraId="152B5D02" w14:textId="77777777" w:rsidR="001506C1" w:rsidRPr="00FA3F9C" w:rsidRDefault="001506C1" w:rsidP="00EF475D">
            <w:pPr>
              <w:spacing w:after="0" w:line="240" w:lineRule="auto"/>
              <w:rPr>
                <w:rFonts w:ascii="Arial" w:hAnsi="Arial" w:cs="Arial"/>
                <w:b/>
                <w:sz w:val="24"/>
                <w:szCs w:val="24"/>
              </w:rPr>
            </w:pPr>
            <w:r w:rsidRPr="00FA3F9C">
              <w:rPr>
                <w:rFonts w:ascii="Arial" w:hAnsi="Arial" w:cs="Arial"/>
                <w:b/>
                <w:sz w:val="24"/>
                <w:szCs w:val="24"/>
              </w:rPr>
              <w:t>1 mg tabs: #180/30d</w:t>
            </w:r>
          </w:p>
        </w:tc>
      </w:tr>
      <w:tr w:rsidR="001506C1" w:rsidRPr="00FA3F9C" w14:paraId="385937E1" w14:textId="77777777" w:rsidTr="00EF475D">
        <w:trPr>
          <w:trHeight w:val="260"/>
        </w:trPr>
        <w:tc>
          <w:tcPr>
            <w:tcW w:w="10368" w:type="dxa"/>
            <w:tcBorders>
              <w:bottom w:val="single" w:sz="4" w:space="0" w:color="auto"/>
            </w:tcBorders>
            <w:shd w:val="clear" w:color="auto" w:fill="BFBFBF" w:themeFill="background1" w:themeFillShade="BF"/>
          </w:tcPr>
          <w:p w14:paraId="62A52002" w14:textId="77777777" w:rsidR="001506C1" w:rsidRPr="00FA3F9C" w:rsidRDefault="001506C1" w:rsidP="00544433">
            <w:pPr>
              <w:spacing w:after="0" w:line="240" w:lineRule="auto"/>
              <w:rPr>
                <w:rFonts w:ascii="Arial" w:hAnsi="Arial" w:cs="Arial"/>
                <w:sz w:val="24"/>
                <w:szCs w:val="24"/>
                <w:u w:val="single"/>
              </w:rPr>
            </w:pPr>
            <w:r w:rsidRPr="00FA3F9C">
              <w:rPr>
                <w:rFonts w:ascii="Arial" w:hAnsi="Arial" w:cs="Arial"/>
                <w:sz w:val="24"/>
                <w:szCs w:val="24"/>
                <w:u w:val="single"/>
              </w:rPr>
              <w:lastRenderedPageBreak/>
              <w:t xml:space="preserve">Dose: </w:t>
            </w:r>
          </w:p>
          <w:p w14:paraId="73C9E163" w14:textId="77777777" w:rsidR="001506C1" w:rsidRPr="00FA3F9C" w:rsidRDefault="001506C1" w:rsidP="00544433">
            <w:pPr>
              <w:spacing w:after="0" w:line="240" w:lineRule="auto"/>
              <w:rPr>
                <w:rFonts w:ascii="Arial" w:hAnsi="Arial" w:cs="Arial"/>
                <w:sz w:val="24"/>
                <w:szCs w:val="24"/>
              </w:rPr>
            </w:pPr>
            <w:r w:rsidRPr="00FA3F9C">
              <w:rPr>
                <w:rFonts w:ascii="Arial" w:hAnsi="Arial" w:cs="Arial"/>
                <w:sz w:val="24"/>
                <w:szCs w:val="24"/>
              </w:rPr>
              <w:t xml:space="preserve">Initial: 5 mg twice daily (in combination with pembrolizumab); increase to 7 mg twice daily and then 10 mg twice daily if tolerated. </w:t>
            </w:r>
          </w:p>
          <w:p w14:paraId="22D88C0D" w14:textId="77777777" w:rsidR="001506C1" w:rsidRPr="00FA3F9C" w:rsidRDefault="001506C1" w:rsidP="00544433">
            <w:pPr>
              <w:spacing w:after="0" w:line="240" w:lineRule="auto"/>
              <w:rPr>
                <w:rFonts w:ascii="Arial" w:hAnsi="Arial" w:cs="Arial"/>
                <w:sz w:val="24"/>
                <w:szCs w:val="24"/>
              </w:rPr>
            </w:pPr>
          </w:p>
          <w:p w14:paraId="68819694" w14:textId="77777777" w:rsidR="001506C1" w:rsidRPr="00FA3F9C" w:rsidRDefault="001506C1" w:rsidP="00544433">
            <w:pPr>
              <w:spacing w:after="0" w:line="240" w:lineRule="auto"/>
              <w:rPr>
                <w:rFonts w:ascii="Arial" w:hAnsi="Arial" w:cs="Arial"/>
                <w:sz w:val="24"/>
                <w:szCs w:val="24"/>
                <w:u w:val="single"/>
              </w:rPr>
            </w:pPr>
            <w:r w:rsidRPr="00FA3F9C">
              <w:rPr>
                <w:rFonts w:ascii="Arial" w:hAnsi="Arial" w:cs="Arial"/>
                <w:sz w:val="24"/>
                <w:szCs w:val="24"/>
                <w:u w:val="single"/>
              </w:rPr>
              <w:t>Evidence:</w:t>
            </w:r>
          </w:p>
          <w:p w14:paraId="4E7A8D06" w14:textId="77777777" w:rsidR="001506C1" w:rsidRPr="00FA3F9C" w:rsidRDefault="001506C1" w:rsidP="00544433">
            <w:pPr>
              <w:spacing w:after="0" w:line="240" w:lineRule="auto"/>
              <w:rPr>
                <w:rFonts w:ascii="Arial" w:hAnsi="Arial" w:cs="Arial"/>
                <w:sz w:val="24"/>
                <w:szCs w:val="24"/>
              </w:rPr>
            </w:pPr>
            <w:r w:rsidRPr="00FA3F9C">
              <w:rPr>
                <w:rFonts w:ascii="Arial" w:hAnsi="Arial" w:cs="Arial"/>
                <w:sz w:val="24"/>
                <w:szCs w:val="24"/>
              </w:rPr>
              <w:t xml:space="preserve">In the first line setting, </w:t>
            </w:r>
            <w:proofErr w:type="spellStart"/>
            <w:r w:rsidRPr="00FA3F9C">
              <w:rPr>
                <w:rFonts w:ascii="Arial" w:hAnsi="Arial" w:cs="Arial"/>
                <w:sz w:val="24"/>
                <w:szCs w:val="24"/>
              </w:rPr>
              <w:t>pembrolizumab+axitinib</w:t>
            </w:r>
            <w:proofErr w:type="spellEnd"/>
            <w:r w:rsidRPr="00FA3F9C">
              <w:rPr>
                <w:rFonts w:ascii="Arial" w:hAnsi="Arial" w:cs="Arial"/>
                <w:sz w:val="24"/>
                <w:szCs w:val="24"/>
              </w:rPr>
              <w:t xml:space="preserve"> improved overall survival regardless of IMDC risk (12-month OS: 89.9% vs 78.3%). No difference was found in subgroup with favorable risk per IMDC criteria below indicating that benefit was driven by intermediate/poor risk subgroup. The lack of benefit seen in the favorable risk subgroup is consistent with the ipilimumab/nivolumab data. </w:t>
            </w:r>
          </w:p>
          <w:p w14:paraId="4E80F02D" w14:textId="77777777" w:rsidR="001506C1" w:rsidRPr="00FA3F9C" w:rsidRDefault="001506C1" w:rsidP="00544433">
            <w:pPr>
              <w:spacing w:after="0" w:line="240" w:lineRule="auto"/>
              <w:rPr>
                <w:rFonts w:ascii="Arial" w:hAnsi="Arial" w:cs="Arial"/>
                <w:sz w:val="24"/>
                <w:szCs w:val="24"/>
              </w:rPr>
            </w:pPr>
          </w:p>
          <w:p w14:paraId="438AD5C0" w14:textId="77777777" w:rsidR="001506C1" w:rsidRPr="00FA3F9C" w:rsidRDefault="001506C1" w:rsidP="00544433">
            <w:pPr>
              <w:spacing w:after="0" w:line="240" w:lineRule="auto"/>
              <w:rPr>
                <w:rFonts w:ascii="Arial" w:hAnsi="Arial" w:cs="Arial"/>
                <w:sz w:val="24"/>
                <w:szCs w:val="24"/>
              </w:rPr>
            </w:pPr>
            <w:r w:rsidRPr="00FA3F9C">
              <w:rPr>
                <w:rFonts w:ascii="Arial" w:hAnsi="Arial" w:cs="Arial"/>
                <w:sz w:val="24"/>
                <w:szCs w:val="24"/>
              </w:rPr>
              <w:t xml:space="preserve">NCCN guidelines list </w:t>
            </w:r>
            <w:proofErr w:type="spellStart"/>
            <w:r w:rsidRPr="00FA3F9C">
              <w:rPr>
                <w:rFonts w:ascii="Arial" w:hAnsi="Arial" w:cs="Arial"/>
                <w:sz w:val="24"/>
                <w:szCs w:val="24"/>
              </w:rPr>
              <w:t>axitinib+pembro</w:t>
            </w:r>
            <w:proofErr w:type="spellEnd"/>
            <w:r w:rsidRPr="00FA3F9C">
              <w:rPr>
                <w:rFonts w:ascii="Arial" w:hAnsi="Arial" w:cs="Arial"/>
                <w:sz w:val="24"/>
                <w:szCs w:val="24"/>
              </w:rPr>
              <w:t xml:space="preserve"> as category 1 recommendation for intermediate/poor risk patients and category 2A for favorable risk patients.</w:t>
            </w:r>
          </w:p>
          <w:p w14:paraId="4036F3B4" w14:textId="77777777" w:rsidR="001506C1" w:rsidRPr="00FA3F9C" w:rsidRDefault="001506C1" w:rsidP="00544433">
            <w:pPr>
              <w:pStyle w:val="Heading1"/>
              <w:spacing w:before="0" w:beforeAutospacing="0" w:after="0" w:afterAutospacing="0"/>
              <w:rPr>
                <w:rFonts w:ascii="Arial" w:hAnsi="Arial" w:cs="Arial"/>
                <w:sz w:val="24"/>
                <w:szCs w:val="24"/>
              </w:rPr>
            </w:pPr>
          </w:p>
          <w:p w14:paraId="173008C6" w14:textId="77777777" w:rsidR="001506C1" w:rsidRPr="00FA3F9C" w:rsidRDefault="001506C1" w:rsidP="00544433">
            <w:pPr>
              <w:spacing w:after="0" w:line="240" w:lineRule="auto"/>
              <w:rPr>
                <w:rFonts w:ascii="Arial" w:hAnsi="Arial" w:cs="Arial"/>
                <w:sz w:val="24"/>
                <w:szCs w:val="24"/>
              </w:rPr>
            </w:pPr>
            <w:r w:rsidRPr="00FA3F9C">
              <w:rPr>
                <w:rFonts w:ascii="Arial" w:hAnsi="Arial" w:cs="Arial"/>
                <w:b/>
                <w:sz w:val="24"/>
                <w:szCs w:val="24"/>
                <w:u w:val="single"/>
              </w:rPr>
              <w:t>IMDC risk:</w:t>
            </w:r>
            <w:r w:rsidRPr="00FA3F9C">
              <w:rPr>
                <w:rFonts w:ascii="Arial" w:hAnsi="Arial" w:cs="Arial"/>
                <w:sz w:val="24"/>
                <w:szCs w:val="24"/>
              </w:rPr>
              <w:t xml:space="preserve"> </w:t>
            </w:r>
          </w:p>
          <w:p w14:paraId="28CD593D" w14:textId="77777777" w:rsidR="001506C1" w:rsidRPr="00FA3F9C" w:rsidRDefault="001506C1" w:rsidP="00544433">
            <w:pPr>
              <w:spacing w:after="0" w:line="240" w:lineRule="auto"/>
              <w:ind w:left="245"/>
              <w:rPr>
                <w:rFonts w:ascii="Arial" w:hAnsi="Arial" w:cs="Arial"/>
                <w:sz w:val="24"/>
                <w:szCs w:val="24"/>
              </w:rPr>
            </w:pPr>
            <w:r w:rsidRPr="00FA3F9C">
              <w:rPr>
                <w:rFonts w:ascii="Arial" w:hAnsi="Arial" w:cs="Arial"/>
                <w:sz w:val="24"/>
                <w:szCs w:val="24"/>
              </w:rPr>
              <w:t>Favorable risk: no risk factors</w:t>
            </w:r>
          </w:p>
          <w:p w14:paraId="68E553AC" w14:textId="77777777" w:rsidR="001506C1" w:rsidRPr="00FA3F9C" w:rsidRDefault="001506C1" w:rsidP="00544433">
            <w:pPr>
              <w:spacing w:after="0" w:line="240" w:lineRule="auto"/>
              <w:ind w:left="245"/>
              <w:rPr>
                <w:rFonts w:ascii="Arial" w:hAnsi="Arial" w:cs="Arial"/>
                <w:sz w:val="24"/>
                <w:szCs w:val="24"/>
              </w:rPr>
            </w:pPr>
            <w:r w:rsidRPr="00FA3F9C">
              <w:rPr>
                <w:rFonts w:ascii="Arial" w:hAnsi="Arial" w:cs="Arial"/>
                <w:sz w:val="24"/>
                <w:szCs w:val="24"/>
              </w:rPr>
              <w:t>Intermediate risk: 1-2 risk factors</w:t>
            </w:r>
          </w:p>
          <w:p w14:paraId="40C7D782" w14:textId="77777777" w:rsidR="001506C1" w:rsidRPr="00FA3F9C" w:rsidRDefault="001506C1" w:rsidP="00544433">
            <w:pPr>
              <w:spacing w:after="0" w:line="240" w:lineRule="auto"/>
              <w:ind w:left="245"/>
              <w:rPr>
                <w:rFonts w:ascii="Arial" w:hAnsi="Arial" w:cs="Arial"/>
                <w:sz w:val="24"/>
                <w:szCs w:val="24"/>
              </w:rPr>
            </w:pPr>
            <w:r w:rsidRPr="00FA3F9C">
              <w:rPr>
                <w:rFonts w:ascii="Arial" w:hAnsi="Arial" w:cs="Arial"/>
                <w:sz w:val="24"/>
                <w:szCs w:val="24"/>
              </w:rPr>
              <w:t>Poor risk: 3 or more risk factors</w:t>
            </w:r>
          </w:p>
          <w:p w14:paraId="4DA370E4" w14:textId="77777777" w:rsidR="001506C1" w:rsidRPr="00FA3F9C" w:rsidRDefault="001506C1" w:rsidP="00544433">
            <w:pPr>
              <w:spacing w:after="0" w:line="240" w:lineRule="auto"/>
              <w:rPr>
                <w:rFonts w:ascii="Arial" w:hAnsi="Arial" w:cs="Arial"/>
                <w:sz w:val="24"/>
                <w:szCs w:val="24"/>
              </w:rPr>
            </w:pPr>
            <w:r w:rsidRPr="00FA3F9C">
              <w:rPr>
                <w:rFonts w:ascii="Arial" w:hAnsi="Arial" w:cs="Arial"/>
                <w:sz w:val="24"/>
                <w:szCs w:val="24"/>
              </w:rPr>
              <w:t>Risk factors:</w:t>
            </w:r>
          </w:p>
          <w:p w14:paraId="122EAC6E" w14:textId="77777777" w:rsidR="001506C1" w:rsidRPr="00FA3F9C" w:rsidRDefault="001506C1" w:rsidP="001506C1">
            <w:pPr>
              <w:pStyle w:val="ListParagraph"/>
              <w:numPr>
                <w:ilvl w:val="0"/>
                <w:numId w:val="39"/>
              </w:numPr>
              <w:spacing w:after="200" w:line="276" w:lineRule="auto"/>
              <w:ind w:left="425" w:hanging="180"/>
              <w:rPr>
                <w:rFonts w:ascii="Arial" w:hAnsi="Arial" w:cs="Arial"/>
                <w:sz w:val="24"/>
                <w:szCs w:val="24"/>
              </w:rPr>
            </w:pPr>
            <w:r w:rsidRPr="00FA3F9C">
              <w:rPr>
                <w:rFonts w:ascii="Arial" w:hAnsi="Arial" w:cs="Arial"/>
                <w:sz w:val="24"/>
                <w:szCs w:val="24"/>
              </w:rPr>
              <w:t>Less than 1 year from time of diagnosis to systemic therapy</w:t>
            </w:r>
          </w:p>
          <w:p w14:paraId="2399A405" w14:textId="77777777" w:rsidR="001506C1" w:rsidRPr="00FA3F9C" w:rsidRDefault="001506C1" w:rsidP="001506C1">
            <w:pPr>
              <w:pStyle w:val="ListParagraph"/>
              <w:numPr>
                <w:ilvl w:val="0"/>
                <w:numId w:val="39"/>
              </w:numPr>
              <w:spacing w:after="200" w:line="276" w:lineRule="auto"/>
              <w:ind w:left="425" w:hanging="180"/>
              <w:rPr>
                <w:rFonts w:ascii="Arial" w:hAnsi="Arial" w:cs="Arial"/>
                <w:sz w:val="24"/>
                <w:szCs w:val="24"/>
              </w:rPr>
            </w:pPr>
            <w:r w:rsidRPr="00FA3F9C">
              <w:rPr>
                <w:rFonts w:ascii="Arial" w:hAnsi="Arial" w:cs="Arial"/>
                <w:sz w:val="24"/>
                <w:szCs w:val="24"/>
              </w:rPr>
              <w:t>Performance status &lt;80% (</w:t>
            </w:r>
            <w:proofErr w:type="spellStart"/>
            <w:r w:rsidRPr="00FA3F9C">
              <w:rPr>
                <w:rFonts w:ascii="Arial" w:hAnsi="Arial" w:cs="Arial"/>
                <w:sz w:val="24"/>
                <w:szCs w:val="24"/>
              </w:rPr>
              <w:t>Karnofsky</w:t>
            </w:r>
            <w:proofErr w:type="spellEnd"/>
            <w:r w:rsidRPr="00FA3F9C">
              <w:rPr>
                <w:rFonts w:ascii="Arial" w:hAnsi="Arial" w:cs="Arial"/>
                <w:sz w:val="24"/>
                <w:szCs w:val="24"/>
              </w:rPr>
              <w:t>—see guide below)</w:t>
            </w:r>
          </w:p>
          <w:p w14:paraId="58362629" w14:textId="77777777" w:rsidR="001506C1" w:rsidRPr="00FA3F9C" w:rsidRDefault="001506C1" w:rsidP="001506C1">
            <w:pPr>
              <w:pStyle w:val="ListParagraph"/>
              <w:numPr>
                <w:ilvl w:val="0"/>
                <w:numId w:val="39"/>
              </w:numPr>
              <w:spacing w:after="200" w:line="276" w:lineRule="auto"/>
              <w:ind w:left="425" w:hanging="180"/>
              <w:rPr>
                <w:rFonts w:ascii="Arial" w:hAnsi="Arial" w:cs="Arial"/>
                <w:sz w:val="24"/>
                <w:szCs w:val="24"/>
              </w:rPr>
            </w:pPr>
            <w:r w:rsidRPr="00FA3F9C">
              <w:rPr>
                <w:rFonts w:ascii="Arial" w:hAnsi="Arial" w:cs="Arial"/>
                <w:sz w:val="24"/>
                <w:szCs w:val="24"/>
              </w:rPr>
              <w:t>Hemoglobin &lt; lower limit of normal (LLN)</w:t>
            </w:r>
          </w:p>
          <w:p w14:paraId="3062E4A3" w14:textId="77777777" w:rsidR="001506C1" w:rsidRPr="00FA3F9C" w:rsidRDefault="001506C1" w:rsidP="001506C1">
            <w:pPr>
              <w:pStyle w:val="ListParagraph"/>
              <w:numPr>
                <w:ilvl w:val="0"/>
                <w:numId w:val="39"/>
              </w:numPr>
              <w:spacing w:after="200" w:line="276" w:lineRule="auto"/>
              <w:ind w:left="425" w:hanging="180"/>
              <w:rPr>
                <w:rFonts w:ascii="Arial" w:hAnsi="Arial" w:cs="Arial"/>
                <w:sz w:val="24"/>
                <w:szCs w:val="24"/>
              </w:rPr>
            </w:pPr>
            <w:r w:rsidRPr="00FA3F9C">
              <w:rPr>
                <w:rFonts w:ascii="Arial" w:hAnsi="Arial" w:cs="Arial"/>
                <w:sz w:val="24"/>
                <w:szCs w:val="24"/>
              </w:rPr>
              <w:t>calcium &gt; upper limit of normal (ULN)</w:t>
            </w:r>
          </w:p>
          <w:p w14:paraId="5CEA10B6" w14:textId="77777777" w:rsidR="001506C1" w:rsidRPr="00FA3F9C" w:rsidRDefault="001506C1" w:rsidP="001506C1">
            <w:pPr>
              <w:pStyle w:val="ListParagraph"/>
              <w:numPr>
                <w:ilvl w:val="0"/>
                <w:numId w:val="39"/>
              </w:numPr>
              <w:spacing w:after="200" w:line="276" w:lineRule="auto"/>
              <w:ind w:left="425" w:hanging="180"/>
              <w:rPr>
                <w:rFonts w:ascii="Arial" w:hAnsi="Arial" w:cs="Arial"/>
                <w:sz w:val="24"/>
                <w:szCs w:val="24"/>
              </w:rPr>
            </w:pPr>
            <w:r w:rsidRPr="00FA3F9C">
              <w:rPr>
                <w:rFonts w:ascii="Arial" w:hAnsi="Arial" w:cs="Arial"/>
                <w:sz w:val="24"/>
                <w:szCs w:val="24"/>
              </w:rPr>
              <w:t>Neutrophil &gt; ULN</w:t>
            </w:r>
          </w:p>
          <w:p w14:paraId="1A900B9B" w14:textId="77777777" w:rsidR="001506C1" w:rsidRPr="00FA3F9C" w:rsidRDefault="001506C1" w:rsidP="001506C1">
            <w:pPr>
              <w:pStyle w:val="ListParagraph"/>
              <w:numPr>
                <w:ilvl w:val="0"/>
                <w:numId w:val="39"/>
              </w:numPr>
              <w:spacing w:after="200" w:line="276" w:lineRule="auto"/>
              <w:ind w:left="425" w:hanging="180"/>
              <w:rPr>
                <w:rFonts w:ascii="Arial" w:hAnsi="Arial" w:cs="Arial"/>
                <w:sz w:val="24"/>
                <w:szCs w:val="24"/>
              </w:rPr>
            </w:pPr>
            <w:r w:rsidRPr="00FA3F9C">
              <w:rPr>
                <w:rFonts w:ascii="Arial" w:hAnsi="Arial" w:cs="Arial"/>
                <w:sz w:val="24"/>
                <w:szCs w:val="24"/>
              </w:rPr>
              <w:t>Platelets &gt; ULN</w:t>
            </w:r>
          </w:p>
          <w:p w14:paraId="231A0BF5" w14:textId="77777777" w:rsidR="001506C1" w:rsidRPr="00FA3F9C" w:rsidRDefault="001506C1" w:rsidP="00544433">
            <w:pPr>
              <w:pStyle w:val="Heading1"/>
              <w:spacing w:before="0" w:beforeAutospacing="0" w:after="0" w:afterAutospacing="0"/>
              <w:rPr>
                <w:rFonts w:ascii="Arial" w:hAnsi="Arial" w:cs="Arial"/>
                <w:sz w:val="24"/>
                <w:szCs w:val="24"/>
              </w:rPr>
            </w:pPr>
          </w:p>
          <w:p w14:paraId="394976E4" w14:textId="77777777" w:rsidR="001506C1" w:rsidRPr="00FA3F9C" w:rsidRDefault="001506C1" w:rsidP="00652A6E">
            <w:pPr>
              <w:rPr>
                <w:b/>
              </w:rPr>
            </w:pPr>
            <w:r w:rsidRPr="00FA3F9C">
              <w:t>REFERENCE</w:t>
            </w:r>
          </w:p>
          <w:p w14:paraId="5262EE35" w14:textId="77777777" w:rsidR="001506C1" w:rsidRPr="00FA3F9C" w:rsidRDefault="001506C1" w:rsidP="00652A6E">
            <w:pPr>
              <w:rPr>
                <w:b/>
              </w:rPr>
            </w:pPr>
            <w:proofErr w:type="spellStart"/>
            <w:r w:rsidRPr="00FA3F9C">
              <w:t>Rini</w:t>
            </w:r>
            <w:proofErr w:type="spellEnd"/>
            <w:r w:rsidRPr="00FA3F9C">
              <w:t xml:space="preserve"> et al. Pembrolizumab plus </w:t>
            </w:r>
            <w:proofErr w:type="spellStart"/>
            <w:r w:rsidRPr="00FA3F9C">
              <w:t>Axitinib</w:t>
            </w:r>
            <w:proofErr w:type="spellEnd"/>
            <w:r w:rsidRPr="00FA3F9C">
              <w:t xml:space="preserve"> versus Sunitinib for Advanced Renal-Cell Carcinoma. N </w:t>
            </w:r>
            <w:proofErr w:type="spellStart"/>
            <w:r w:rsidRPr="00FA3F9C">
              <w:t>Engl</w:t>
            </w:r>
            <w:proofErr w:type="spellEnd"/>
            <w:r w:rsidRPr="00FA3F9C">
              <w:t xml:space="preserve"> J Med. 2019 Mar 21;380(12):1116-1127. NCT02853331 PMID 30779529</w:t>
            </w:r>
          </w:p>
        </w:tc>
      </w:tr>
    </w:tbl>
    <w:p w14:paraId="51C1774C" w14:textId="77777777" w:rsidR="001506C1" w:rsidRPr="00FA3F9C" w:rsidRDefault="001506C1" w:rsidP="006F623F">
      <w:pPr>
        <w:spacing w:after="0"/>
        <w:rPr>
          <w:rFonts w:ascii="Arial" w:hAnsi="Arial" w:cs="Arial"/>
          <w:b/>
          <w:sz w:val="24"/>
          <w:szCs w:val="24"/>
          <w:u w:val="single"/>
        </w:rPr>
      </w:pPr>
    </w:p>
    <w:tbl>
      <w:tblPr>
        <w:tblpPr w:leftFromText="180" w:rightFromText="180" w:vertAnchor="text" w:horzAnchor="margin" w:tblpY="306"/>
        <w:tblW w:w="10346" w:type="dxa"/>
        <w:tblBorders>
          <w:top w:val="outset" w:sz="12" w:space="0" w:color="C0C0C0"/>
          <w:left w:val="outset" w:sz="12" w:space="0" w:color="C0C0C0"/>
          <w:bottom w:val="outset" w:sz="12" w:space="0" w:color="C0C0C0"/>
          <w:right w:val="outset" w:sz="12" w:space="0" w:color="C0C0C0"/>
        </w:tblBorders>
        <w:tblCellMar>
          <w:top w:w="45" w:type="dxa"/>
          <w:left w:w="45" w:type="dxa"/>
          <w:bottom w:w="45" w:type="dxa"/>
          <w:right w:w="45" w:type="dxa"/>
        </w:tblCellMar>
        <w:tblLook w:val="04A0" w:firstRow="1" w:lastRow="0" w:firstColumn="1" w:lastColumn="0" w:noHBand="0" w:noVBand="1"/>
      </w:tblPr>
      <w:tblGrid>
        <w:gridCol w:w="1966"/>
        <w:gridCol w:w="8380"/>
      </w:tblGrid>
      <w:tr w:rsidR="001506C1" w:rsidRPr="00FA3F9C" w14:paraId="4A1BA0E8" w14:textId="77777777" w:rsidTr="003D0F26">
        <w:tc>
          <w:tcPr>
            <w:tcW w:w="1966" w:type="dxa"/>
            <w:tcBorders>
              <w:top w:val="outset" w:sz="6" w:space="0" w:color="C0C0C0"/>
              <w:left w:val="outset" w:sz="6" w:space="0" w:color="C0C0C0"/>
              <w:bottom w:val="outset" w:sz="6" w:space="0" w:color="C0C0C0"/>
              <w:right w:val="outset" w:sz="6" w:space="0" w:color="C0C0C0"/>
            </w:tcBorders>
            <w:shd w:val="clear" w:color="auto" w:fill="D9E2F3" w:themeFill="accent1" w:themeFillTint="33"/>
            <w:vAlign w:val="center"/>
            <w:hideMark/>
          </w:tcPr>
          <w:p w14:paraId="060A802B" w14:textId="77777777" w:rsidR="001506C1" w:rsidRPr="00FA3F9C" w:rsidRDefault="001506C1" w:rsidP="003D0F26">
            <w:pPr>
              <w:spacing w:after="0" w:line="240" w:lineRule="auto"/>
              <w:jc w:val="center"/>
              <w:rPr>
                <w:rFonts w:ascii="Arial" w:eastAsia="Times New Roman" w:hAnsi="Arial" w:cs="Arial"/>
                <w:color w:val="000000"/>
                <w:sz w:val="24"/>
                <w:szCs w:val="24"/>
              </w:rPr>
            </w:pPr>
            <w:proofErr w:type="spellStart"/>
            <w:r w:rsidRPr="00FA3F9C">
              <w:rPr>
                <w:rFonts w:ascii="Arial" w:eastAsia="Times New Roman" w:hAnsi="Arial" w:cs="Arial"/>
                <w:color w:val="0000FF"/>
                <w:sz w:val="24"/>
                <w:szCs w:val="24"/>
              </w:rPr>
              <w:lastRenderedPageBreak/>
              <w:t>Karnofsky</w:t>
            </w:r>
            <w:proofErr w:type="spellEnd"/>
            <w:r w:rsidRPr="00FA3F9C">
              <w:rPr>
                <w:rFonts w:ascii="Arial" w:eastAsia="Times New Roman" w:hAnsi="Arial" w:cs="Arial"/>
                <w:color w:val="0000FF"/>
                <w:sz w:val="24"/>
                <w:szCs w:val="24"/>
              </w:rPr>
              <w:t xml:space="preserve"> Score (KS)</w:t>
            </w:r>
          </w:p>
        </w:tc>
        <w:tc>
          <w:tcPr>
            <w:tcW w:w="8380" w:type="dxa"/>
            <w:tcBorders>
              <w:top w:val="outset" w:sz="6" w:space="0" w:color="C0C0C0"/>
              <w:left w:val="outset" w:sz="6" w:space="0" w:color="C0C0C0"/>
              <w:bottom w:val="outset" w:sz="6" w:space="0" w:color="C0C0C0"/>
              <w:right w:val="outset" w:sz="6" w:space="0" w:color="C0C0C0"/>
            </w:tcBorders>
            <w:shd w:val="clear" w:color="auto" w:fill="D9E2F3" w:themeFill="accent1" w:themeFillTint="33"/>
            <w:vAlign w:val="center"/>
            <w:hideMark/>
          </w:tcPr>
          <w:p w14:paraId="5BE3B821" w14:textId="77777777" w:rsidR="001506C1" w:rsidRPr="00FA3F9C" w:rsidRDefault="001506C1" w:rsidP="003D0F26">
            <w:pPr>
              <w:spacing w:after="0" w:line="240" w:lineRule="auto"/>
              <w:rPr>
                <w:rFonts w:ascii="Arial" w:eastAsia="Times New Roman" w:hAnsi="Arial" w:cs="Arial"/>
                <w:color w:val="000000"/>
                <w:sz w:val="24"/>
                <w:szCs w:val="24"/>
              </w:rPr>
            </w:pPr>
            <w:r w:rsidRPr="00FA3F9C">
              <w:rPr>
                <w:rFonts w:ascii="Arial" w:eastAsia="Times New Roman" w:hAnsi="Arial" w:cs="Arial"/>
                <w:color w:val="0000FF"/>
                <w:sz w:val="24"/>
                <w:szCs w:val="24"/>
              </w:rPr>
              <w:t>                  Definition</w:t>
            </w:r>
          </w:p>
        </w:tc>
      </w:tr>
      <w:tr w:rsidR="001506C1" w:rsidRPr="00FA3F9C" w14:paraId="57D0D6D5" w14:textId="77777777" w:rsidTr="003D0F26">
        <w:tc>
          <w:tcPr>
            <w:tcW w:w="1966" w:type="dxa"/>
            <w:tcBorders>
              <w:top w:val="outset" w:sz="6" w:space="0" w:color="C0C0C0"/>
              <w:left w:val="outset" w:sz="6" w:space="0" w:color="C0C0C0"/>
              <w:bottom w:val="outset" w:sz="6" w:space="0" w:color="C0C0C0"/>
              <w:right w:val="outset" w:sz="6" w:space="0" w:color="C0C0C0"/>
            </w:tcBorders>
            <w:shd w:val="clear" w:color="auto" w:fill="D9E2F3" w:themeFill="accent1" w:themeFillTint="33"/>
            <w:vAlign w:val="center"/>
            <w:hideMark/>
          </w:tcPr>
          <w:p w14:paraId="20F8B2BC" w14:textId="77777777" w:rsidR="001506C1" w:rsidRPr="00FA3F9C" w:rsidRDefault="001506C1" w:rsidP="003D0F26">
            <w:pPr>
              <w:spacing w:after="0" w:line="240" w:lineRule="auto"/>
              <w:jc w:val="center"/>
              <w:rPr>
                <w:rFonts w:ascii="Arial" w:eastAsia="Times New Roman" w:hAnsi="Arial" w:cs="Arial"/>
                <w:color w:val="000000"/>
                <w:sz w:val="24"/>
                <w:szCs w:val="24"/>
              </w:rPr>
            </w:pPr>
            <w:r w:rsidRPr="00FA3F9C">
              <w:rPr>
                <w:rFonts w:ascii="Arial" w:eastAsia="Times New Roman" w:hAnsi="Arial" w:cs="Arial"/>
                <w:color w:val="FF0000"/>
                <w:sz w:val="24"/>
                <w:szCs w:val="24"/>
              </w:rPr>
              <w:t>100</w:t>
            </w:r>
          </w:p>
        </w:tc>
        <w:tc>
          <w:tcPr>
            <w:tcW w:w="8380" w:type="dxa"/>
            <w:tcBorders>
              <w:top w:val="outset" w:sz="6" w:space="0" w:color="C0C0C0"/>
              <w:left w:val="outset" w:sz="6" w:space="0" w:color="C0C0C0"/>
              <w:bottom w:val="outset" w:sz="6" w:space="0" w:color="C0C0C0"/>
              <w:right w:val="outset" w:sz="6" w:space="0" w:color="C0C0C0"/>
            </w:tcBorders>
            <w:shd w:val="clear" w:color="auto" w:fill="D9E2F3" w:themeFill="accent1" w:themeFillTint="33"/>
            <w:vAlign w:val="center"/>
            <w:hideMark/>
          </w:tcPr>
          <w:p w14:paraId="7FED9096" w14:textId="77777777" w:rsidR="001506C1" w:rsidRPr="00FA3F9C" w:rsidRDefault="001506C1" w:rsidP="003D0F26">
            <w:pPr>
              <w:spacing w:after="0"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Normal; no complaints; no evidence of disease</w:t>
            </w:r>
          </w:p>
        </w:tc>
      </w:tr>
      <w:tr w:rsidR="001506C1" w:rsidRPr="00FA3F9C" w14:paraId="18E36BD2" w14:textId="77777777" w:rsidTr="003D0F26">
        <w:tc>
          <w:tcPr>
            <w:tcW w:w="1966" w:type="dxa"/>
            <w:tcBorders>
              <w:top w:val="outset" w:sz="6" w:space="0" w:color="C0C0C0"/>
              <w:left w:val="outset" w:sz="6" w:space="0" w:color="C0C0C0"/>
              <w:bottom w:val="outset" w:sz="6" w:space="0" w:color="C0C0C0"/>
              <w:right w:val="outset" w:sz="6" w:space="0" w:color="C0C0C0"/>
            </w:tcBorders>
            <w:shd w:val="clear" w:color="auto" w:fill="D9E2F3" w:themeFill="accent1" w:themeFillTint="33"/>
            <w:vAlign w:val="center"/>
            <w:hideMark/>
          </w:tcPr>
          <w:p w14:paraId="01CE8B77" w14:textId="77777777" w:rsidR="001506C1" w:rsidRPr="00FA3F9C" w:rsidRDefault="001506C1" w:rsidP="003D0F26">
            <w:pPr>
              <w:spacing w:after="0" w:line="240" w:lineRule="auto"/>
              <w:jc w:val="center"/>
              <w:rPr>
                <w:rFonts w:ascii="Arial" w:eastAsia="Times New Roman" w:hAnsi="Arial" w:cs="Arial"/>
                <w:color w:val="000000"/>
                <w:sz w:val="24"/>
                <w:szCs w:val="24"/>
              </w:rPr>
            </w:pPr>
            <w:r w:rsidRPr="00FA3F9C">
              <w:rPr>
                <w:rFonts w:ascii="Arial" w:eastAsia="Times New Roman" w:hAnsi="Arial" w:cs="Arial"/>
                <w:color w:val="FF0000"/>
                <w:sz w:val="24"/>
                <w:szCs w:val="24"/>
              </w:rPr>
              <w:t>90</w:t>
            </w:r>
          </w:p>
        </w:tc>
        <w:tc>
          <w:tcPr>
            <w:tcW w:w="8380" w:type="dxa"/>
            <w:tcBorders>
              <w:top w:val="outset" w:sz="6" w:space="0" w:color="C0C0C0"/>
              <w:left w:val="outset" w:sz="6" w:space="0" w:color="C0C0C0"/>
              <w:bottom w:val="outset" w:sz="6" w:space="0" w:color="C0C0C0"/>
              <w:right w:val="outset" w:sz="6" w:space="0" w:color="C0C0C0"/>
            </w:tcBorders>
            <w:shd w:val="clear" w:color="auto" w:fill="D9E2F3" w:themeFill="accent1" w:themeFillTint="33"/>
            <w:vAlign w:val="center"/>
            <w:hideMark/>
          </w:tcPr>
          <w:p w14:paraId="6BC8FECA" w14:textId="77777777" w:rsidR="001506C1" w:rsidRPr="00FA3F9C" w:rsidRDefault="001506C1" w:rsidP="003D0F26">
            <w:pPr>
              <w:spacing w:after="0"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Able to carry on normal activity; minor signs or symptoms of disease</w:t>
            </w:r>
          </w:p>
        </w:tc>
      </w:tr>
      <w:tr w:rsidR="001506C1" w:rsidRPr="00FA3F9C" w14:paraId="745A4BFD" w14:textId="77777777" w:rsidTr="003D0F26">
        <w:tc>
          <w:tcPr>
            <w:tcW w:w="1966" w:type="dxa"/>
            <w:tcBorders>
              <w:top w:val="outset" w:sz="6" w:space="0" w:color="C0C0C0"/>
              <w:left w:val="outset" w:sz="6" w:space="0" w:color="C0C0C0"/>
              <w:bottom w:val="outset" w:sz="6" w:space="0" w:color="C0C0C0"/>
              <w:right w:val="outset" w:sz="6" w:space="0" w:color="C0C0C0"/>
            </w:tcBorders>
            <w:shd w:val="clear" w:color="auto" w:fill="D9E2F3" w:themeFill="accent1" w:themeFillTint="33"/>
            <w:vAlign w:val="center"/>
            <w:hideMark/>
          </w:tcPr>
          <w:p w14:paraId="67AC1900" w14:textId="77777777" w:rsidR="001506C1" w:rsidRPr="00FA3F9C" w:rsidRDefault="001506C1" w:rsidP="003D0F26">
            <w:pPr>
              <w:spacing w:after="0" w:line="240" w:lineRule="auto"/>
              <w:jc w:val="center"/>
              <w:rPr>
                <w:rFonts w:ascii="Arial" w:eastAsia="Times New Roman" w:hAnsi="Arial" w:cs="Arial"/>
                <w:color w:val="000000"/>
                <w:sz w:val="24"/>
                <w:szCs w:val="24"/>
              </w:rPr>
            </w:pPr>
            <w:r w:rsidRPr="00FA3F9C">
              <w:rPr>
                <w:rFonts w:ascii="Arial" w:eastAsia="Times New Roman" w:hAnsi="Arial" w:cs="Arial"/>
                <w:color w:val="FF0000"/>
                <w:sz w:val="24"/>
                <w:szCs w:val="24"/>
              </w:rPr>
              <w:t>80</w:t>
            </w:r>
          </w:p>
        </w:tc>
        <w:tc>
          <w:tcPr>
            <w:tcW w:w="8380" w:type="dxa"/>
            <w:tcBorders>
              <w:top w:val="outset" w:sz="6" w:space="0" w:color="C0C0C0"/>
              <w:left w:val="outset" w:sz="6" w:space="0" w:color="C0C0C0"/>
              <w:bottom w:val="outset" w:sz="6" w:space="0" w:color="C0C0C0"/>
              <w:right w:val="outset" w:sz="6" w:space="0" w:color="C0C0C0"/>
            </w:tcBorders>
            <w:shd w:val="clear" w:color="auto" w:fill="D9E2F3" w:themeFill="accent1" w:themeFillTint="33"/>
            <w:vAlign w:val="center"/>
            <w:hideMark/>
          </w:tcPr>
          <w:p w14:paraId="5047FA4D" w14:textId="77777777" w:rsidR="001506C1" w:rsidRPr="00FA3F9C" w:rsidRDefault="001506C1" w:rsidP="003D0F26">
            <w:pPr>
              <w:spacing w:after="0"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Normal activity with effort; some sign or symptoms of disease</w:t>
            </w:r>
          </w:p>
        </w:tc>
      </w:tr>
      <w:tr w:rsidR="001506C1" w:rsidRPr="00FA3F9C" w14:paraId="00AD446D" w14:textId="77777777" w:rsidTr="003D0F26">
        <w:tc>
          <w:tcPr>
            <w:tcW w:w="1966" w:type="dxa"/>
            <w:tcBorders>
              <w:top w:val="outset" w:sz="6" w:space="0" w:color="C0C0C0"/>
              <w:left w:val="outset" w:sz="6" w:space="0" w:color="C0C0C0"/>
              <w:bottom w:val="outset" w:sz="6" w:space="0" w:color="C0C0C0"/>
              <w:right w:val="outset" w:sz="6" w:space="0" w:color="C0C0C0"/>
            </w:tcBorders>
            <w:shd w:val="clear" w:color="auto" w:fill="D9E2F3" w:themeFill="accent1" w:themeFillTint="33"/>
            <w:vAlign w:val="center"/>
            <w:hideMark/>
          </w:tcPr>
          <w:p w14:paraId="472217F4" w14:textId="77777777" w:rsidR="001506C1" w:rsidRPr="00FA3F9C" w:rsidRDefault="001506C1" w:rsidP="003D0F26">
            <w:pPr>
              <w:spacing w:after="0" w:line="240" w:lineRule="auto"/>
              <w:jc w:val="center"/>
              <w:rPr>
                <w:rFonts w:ascii="Arial" w:eastAsia="Times New Roman" w:hAnsi="Arial" w:cs="Arial"/>
                <w:color w:val="000000"/>
                <w:sz w:val="24"/>
                <w:szCs w:val="24"/>
              </w:rPr>
            </w:pPr>
            <w:r w:rsidRPr="00FA3F9C">
              <w:rPr>
                <w:rFonts w:ascii="Arial" w:eastAsia="Times New Roman" w:hAnsi="Arial" w:cs="Arial"/>
                <w:color w:val="FF0000"/>
                <w:sz w:val="24"/>
                <w:szCs w:val="24"/>
              </w:rPr>
              <w:t>70</w:t>
            </w:r>
          </w:p>
        </w:tc>
        <w:tc>
          <w:tcPr>
            <w:tcW w:w="8380" w:type="dxa"/>
            <w:tcBorders>
              <w:top w:val="outset" w:sz="6" w:space="0" w:color="C0C0C0"/>
              <w:left w:val="outset" w:sz="6" w:space="0" w:color="C0C0C0"/>
              <w:bottom w:val="outset" w:sz="6" w:space="0" w:color="C0C0C0"/>
              <w:right w:val="outset" w:sz="6" w:space="0" w:color="C0C0C0"/>
            </w:tcBorders>
            <w:shd w:val="clear" w:color="auto" w:fill="D9E2F3" w:themeFill="accent1" w:themeFillTint="33"/>
            <w:vAlign w:val="center"/>
            <w:hideMark/>
          </w:tcPr>
          <w:p w14:paraId="01FDCCFA" w14:textId="77777777" w:rsidR="001506C1" w:rsidRPr="00FA3F9C" w:rsidRDefault="001506C1" w:rsidP="003D0F26">
            <w:pPr>
              <w:spacing w:after="0"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Cares for self; unable to carry on normal activity or do active work</w:t>
            </w:r>
          </w:p>
        </w:tc>
      </w:tr>
      <w:tr w:rsidR="001506C1" w:rsidRPr="00FA3F9C" w14:paraId="6A1D64D2" w14:textId="77777777" w:rsidTr="003D0F26">
        <w:tc>
          <w:tcPr>
            <w:tcW w:w="1966" w:type="dxa"/>
            <w:tcBorders>
              <w:top w:val="outset" w:sz="6" w:space="0" w:color="C0C0C0"/>
              <w:left w:val="outset" w:sz="6" w:space="0" w:color="C0C0C0"/>
              <w:bottom w:val="outset" w:sz="6" w:space="0" w:color="C0C0C0"/>
              <w:right w:val="outset" w:sz="6" w:space="0" w:color="C0C0C0"/>
            </w:tcBorders>
            <w:shd w:val="clear" w:color="auto" w:fill="D9E2F3" w:themeFill="accent1" w:themeFillTint="33"/>
            <w:vAlign w:val="center"/>
            <w:hideMark/>
          </w:tcPr>
          <w:p w14:paraId="1226C685" w14:textId="77777777" w:rsidR="001506C1" w:rsidRPr="00FA3F9C" w:rsidRDefault="001506C1" w:rsidP="003D0F26">
            <w:pPr>
              <w:spacing w:after="0" w:line="240" w:lineRule="auto"/>
              <w:jc w:val="center"/>
              <w:rPr>
                <w:rFonts w:ascii="Arial" w:eastAsia="Times New Roman" w:hAnsi="Arial" w:cs="Arial"/>
                <w:color w:val="000000"/>
                <w:sz w:val="24"/>
                <w:szCs w:val="24"/>
              </w:rPr>
            </w:pPr>
            <w:r w:rsidRPr="00FA3F9C">
              <w:rPr>
                <w:rFonts w:ascii="Arial" w:eastAsia="Times New Roman" w:hAnsi="Arial" w:cs="Arial"/>
                <w:color w:val="FF0000"/>
                <w:sz w:val="24"/>
                <w:szCs w:val="24"/>
              </w:rPr>
              <w:t>60</w:t>
            </w:r>
          </w:p>
        </w:tc>
        <w:tc>
          <w:tcPr>
            <w:tcW w:w="8380" w:type="dxa"/>
            <w:tcBorders>
              <w:top w:val="outset" w:sz="6" w:space="0" w:color="C0C0C0"/>
              <w:left w:val="outset" w:sz="6" w:space="0" w:color="C0C0C0"/>
              <w:bottom w:val="outset" w:sz="6" w:space="0" w:color="C0C0C0"/>
              <w:right w:val="outset" w:sz="6" w:space="0" w:color="C0C0C0"/>
            </w:tcBorders>
            <w:shd w:val="clear" w:color="auto" w:fill="D9E2F3" w:themeFill="accent1" w:themeFillTint="33"/>
            <w:vAlign w:val="center"/>
            <w:hideMark/>
          </w:tcPr>
          <w:p w14:paraId="749A9A46" w14:textId="77777777" w:rsidR="001506C1" w:rsidRPr="00FA3F9C" w:rsidRDefault="001506C1" w:rsidP="003D0F26">
            <w:pPr>
              <w:spacing w:after="0"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 xml:space="preserve">Requires occasional assistance, but </w:t>
            </w:r>
            <w:proofErr w:type="gramStart"/>
            <w:r w:rsidRPr="00FA3F9C">
              <w:rPr>
                <w:rFonts w:ascii="Arial" w:eastAsia="Times New Roman" w:hAnsi="Arial" w:cs="Arial"/>
                <w:color w:val="000000"/>
                <w:sz w:val="24"/>
                <w:szCs w:val="24"/>
              </w:rPr>
              <w:t>is able to</w:t>
            </w:r>
            <w:proofErr w:type="gramEnd"/>
            <w:r w:rsidRPr="00FA3F9C">
              <w:rPr>
                <w:rFonts w:ascii="Arial" w:eastAsia="Times New Roman" w:hAnsi="Arial" w:cs="Arial"/>
                <w:color w:val="000000"/>
                <w:sz w:val="24"/>
                <w:szCs w:val="24"/>
              </w:rPr>
              <w:t xml:space="preserve"> care for most personal needs</w:t>
            </w:r>
          </w:p>
        </w:tc>
      </w:tr>
      <w:tr w:rsidR="001506C1" w:rsidRPr="00FA3F9C" w14:paraId="224E62FD" w14:textId="77777777" w:rsidTr="003D0F26">
        <w:tc>
          <w:tcPr>
            <w:tcW w:w="1966" w:type="dxa"/>
            <w:tcBorders>
              <w:top w:val="outset" w:sz="6" w:space="0" w:color="C0C0C0"/>
              <w:left w:val="outset" w:sz="6" w:space="0" w:color="C0C0C0"/>
              <w:bottom w:val="outset" w:sz="6" w:space="0" w:color="C0C0C0"/>
              <w:right w:val="outset" w:sz="6" w:space="0" w:color="C0C0C0"/>
            </w:tcBorders>
            <w:shd w:val="clear" w:color="auto" w:fill="D9E2F3" w:themeFill="accent1" w:themeFillTint="33"/>
            <w:vAlign w:val="center"/>
            <w:hideMark/>
          </w:tcPr>
          <w:p w14:paraId="04B1C634" w14:textId="77777777" w:rsidR="001506C1" w:rsidRPr="00FA3F9C" w:rsidRDefault="001506C1" w:rsidP="003D0F26">
            <w:pPr>
              <w:spacing w:after="0" w:line="240" w:lineRule="auto"/>
              <w:jc w:val="center"/>
              <w:rPr>
                <w:rFonts w:ascii="Arial" w:eastAsia="Times New Roman" w:hAnsi="Arial" w:cs="Arial"/>
                <w:color w:val="000000"/>
                <w:sz w:val="24"/>
                <w:szCs w:val="24"/>
              </w:rPr>
            </w:pPr>
            <w:r w:rsidRPr="00FA3F9C">
              <w:rPr>
                <w:rFonts w:ascii="Arial" w:eastAsia="Times New Roman" w:hAnsi="Arial" w:cs="Arial"/>
                <w:color w:val="FF0000"/>
                <w:sz w:val="24"/>
                <w:szCs w:val="24"/>
              </w:rPr>
              <w:t>50</w:t>
            </w:r>
          </w:p>
        </w:tc>
        <w:tc>
          <w:tcPr>
            <w:tcW w:w="8380" w:type="dxa"/>
            <w:tcBorders>
              <w:top w:val="outset" w:sz="6" w:space="0" w:color="C0C0C0"/>
              <w:left w:val="outset" w:sz="6" w:space="0" w:color="C0C0C0"/>
              <w:bottom w:val="outset" w:sz="6" w:space="0" w:color="C0C0C0"/>
              <w:right w:val="outset" w:sz="6" w:space="0" w:color="C0C0C0"/>
            </w:tcBorders>
            <w:shd w:val="clear" w:color="auto" w:fill="D9E2F3" w:themeFill="accent1" w:themeFillTint="33"/>
            <w:vAlign w:val="center"/>
            <w:hideMark/>
          </w:tcPr>
          <w:p w14:paraId="330D5A4F" w14:textId="77777777" w:rsidR="001506C1" w:rsidRPr="00FA3F9C" w:rsidRDefault="001506C1" w:rsidP="003D0F26">
            <w:pPr>
              <w:spacing w:after="0"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Requires considerable assistance and frequent medical care</w:t>
            </w:r>
          </w:p>
        </w:tc>
      </w:tr>
      <w:tr w:rsidR="001506C1" w:rsidRPr="00FA3F9C" w14:paraId="0238D984" w14:textId="77777777" w:rsidTr="003D0F26">
        <w:tc>
          <w:tcPr>
            <w:tcW w:w="1966" w:type="dxa"/>
            <w:tcBorders>
              <w:top w:val="outset" w:sz="6" w:space="0" w:color="C0C0C0"/>
              <w:left w:val="outset" w:sz="6" w:space="0" w:color="C0C0C0"/>
              <w:bottom w:val="outset" w:sz="6" w:space="0" w:color="C0C0C0"/>
              <w:right w:val="outset" w:sz="6" w:space="0" w:color="C0C0C0"/>
            </w:tcBorders>
            <w:shd w:val="clear" w:color="auto" w:fill="D9E2F3" w:themeFill="accent1" w:themeFillTint="33"/>
            <w:vAlign w:val="center"/>
            <w:hideMark/>
          </w:tcPr>
          <w:p w14:paraId="34385908" w14:textId="77777777" w:rsidR="001506C1" w:rsidRPr="00FA3F9C" w:rsidRDefault="001506C1" w:rsidP="003D0F26">
            <w:pPr>
              <w:spacing w:after="0" w:line="240" w:lineRule="auto"/>
              <w:jc w:val="center"/>
              <w:rPr>
                <w:rFonts w:ascii="Arial" w:eastAsia="Times New Roman" w:hAnsi="Arial" w:cs="Arial"/>
                <w:color w:val="000000"/>
                <w:sz w:val="24"/>
                <w:szCs w:val="24"/>
              </w:rPr>
            </w:pPr>
            <w:r w:rsidRPr="00FA3F9C">
              <w:rPr>
                <w:rFonts w:ascii="Arial" w:eastAsia="Times New Roman" w:hAnsi="Arial" w:cs="Arial"/>
                <w:color w:val="FF0000"/>
                <w:sz w:val="24"/>
                <w:szCs w:val="24"/>
              </w:rPr>
              <w:t>40</w:t>
            </w:r>
          </w:p>
        </w:tc>
        <w:tc>
          <w:tcPr>
            <w:tcW w:w="8380" w:type="dxa"/>
            <w:tcBorders>
              <w:top w:val="outset" w:sz="6" w:space="0" w:color="C0C0C0"/>
              <w:left w:val="outset" w:sz="6" w:space="0" w:color="C0C0C0"/>
              <w:bottom w:val="outset" w:sz="6" w:space="0" w:color="C0C0C0"/>
              <w:right w:val="outset" w:sz="6" w:space="0" w:color="C0C0C0"/>
            </w:tcBorders>
            <w:shd w:val="clear" w:color="auto" w:fill="D9E2F3" w:themeFill="accent1" w:themeFillTint="33"/>
            <w:vAlign w:val="center"/>
            <w:hideMark/>
          </w:tcPr>
          <w:p w14:paraId="70BC4891" w14:textId="77777777" w:rsidR="001506C1" w:rsidRPr="00FA3F9C" w:rsidRDefault="001506C1" w:rsidP="003D0F26">
            <w:pPr>
              <w:spacing w:after="0"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Disabled; requires special care and assistance</w:t>
            </w:r>
          </w:p>
        </w:tc>
      </w:tr>
      <w:tr w:rsidR="001506C1" w:rsidRPr="00FA3F9C" w14:paraId="1E463370" w14:textId="77777777" w:rsidTr="003D0F26">
        <w:tc>
          <w:tcPr>
            <w:tcW w:w="1966" w:type="dxa"/>
            <w:tcBorders>
              <w:top w:val="outset" w:sz="6" w:space="0" w:color="C0C0C0"/>
              <w:left w:val="outset" w:sz="6" w:space="0" w:color="C0C0C0"/>
              <w:bottom w:val="outset" w:sz="6" w:space="0" w:color="C0C0C0"/>
              <w:right w:val="outset" w:sz="6" w:space="0" w:color="C0C0C0"/>
            </w:tcBorders>
            <w:shd w:val="clear" w:color="auto" w:fill="D9E2F3" w:themeFill="accent1" w:themeFillTint="33"/>
            <w:vAlign w:val="center"/>
            <w:hideMark/>
          </w:tcPr>
          <w:p w14:paraId="59FD53B9" w14:textId="77777777" w:rsidR="001506C1" w:rsidRPr="00FA3F9C" w:rsidRDefault="001506C1" w:rsidP="003D0F26">
            <w:pPr>
              <w:spacing w:after="0" w:line="240" w:lineRule="auto"/>
              <w:jc w:val="center"/>
              <w:rPr>
                <w:rFonts w:ascii="Arial" w:eastAsia="Times New Roman" w:hAnsi="Arial" w:cs="Arial"/>
                <w:color w:val="000000"/>
                <w:sz w:val="24"/>
                <w:szCs w:val="24"/>
              </w:rPr>
            </w:pPr>
            <w:r w:rsidRPr="00FA3F9C">
              <w:rPr>
                <w:rFonts w:ascii="Arial" w:eastAsia="Times New Roman" w:hAnsi="Arial" w:cs="Arial"/>
                <w:color w:val="FF0000"/>
                <w:sz w:val="24"/>
                <w:szCs w:val="24"/>
              </w:rPr>
              <w:t>30</w:t>
            </w:r>
          </w:p>
        </w:tc>
        <w:tc>
          <w:tcPr>
            <w:tcW w:w="8380" w:type="dxa"/>
            <w:tcBorders>
              <w:top w:val="outset" w:sz="6" w:space="0" w:color="C0C0C0"/>
              <w:left w:val="outset" w:sz="6" w:space="0" w:color="C0C0C0"/>
              <w:bottom w:val="outset" w:sz="6" w:space="0" w:color="C0C0C0"/>
              <w:right w:val="outset" w:sz="6" w:space="0" w:color="C0C0C0"/>
            </w:tcBorders>
            <w:shd w:val="clear" w:color="auto" w:fill="D9E2F3" w:themeFill="accent1" w:themeFillTint="33"/>
            <w:vAlign w:val="center"/>
            <w:hideMark/>
          </w:tcPr>
          <w:p w14:paraId="6681D7F1" w14:textId="77777777" w:rsidR="001506C1" w:rsidRPr="00FA3F9C" w:rsidRDefault="001506C1" w:rsidP="003D0F26">
            <w:pPr>
              <w:spacing w:after="0"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Severely disabled; hospitalization is indicated, although death not imminent</w:t>
            </w:r>
          </w:p>
        </w:tc>
      </w:tr>
      <w:tr w:rsidR="001506C1" w:rsidRPr="00FA3F9C" w14:paraId="32CBE0F9" w14:textId="77777777" w:rsidTr="003D0F26">
        <w:tc>
          <w:tcPr>
            <w:tcW w:w="1966" w:type="dxa"/>
            <w:tcBorders>
              <w:top w:val="outset" w:sz="6" w:space="0" w:color="C0C0C0"/>
              <w:left w:val="outset" w:sz="6" w:space="0" w:color="C0C0C0"/>
              <w:bottom w:val="outset" w:sz="6" w:space="0" w:color="C0C0C0"/>
              <w:right w:val="outset" w:sz="6" w:space="0" w:color="C0C0C0"/>
            </w:tcBorders>
            <w:shd w:val="clear" w:color="auto" w:fill="D9E2F3" w:themeFill="accent1" w:themeFillTint="33"/>
            <w:vAlign w:val="center"/>
            <w:hideMark/>
          </w:tcPr>
          <w:p w14:paraId="062FFEF9" w14:textId="77777777" w:rsidR="001506C1" w:rsidRPr="00FA3F9C" w:rsidRDefault="001506C1" w:rsidP="003D0F26">
            <w:pPr>
              <w:spacing w:after="0" w:line="240" w:lineRule="auto"/>
              <w:jc w:val="center"/>
              <w:rPr>
                <w:rFonts w:ascii="Arial" w:eastAsia="Times New Roman" w:hAnsi="Arial" w:cs="Arial"/>
                <w:color w:val="000000"/>
                <w:sz w:val="24"/>
                <w:szCs w:val="24"/>
              </w:rPr>
            </w:pPr>
            <w:r w:rsidRPr="00FA3F9C">
              <w:rPr>
                <w:rFonts w:ascii="Arial" w:eastAsia="Times New Roman" w:hAnsi="Arial" w:cs="Arial"/>
                <w:color w:val="FF0000"/>
                <w:sz w:val="24"/>
                <w:szCs w:val="24"/>
              </w:rPr>
              <w:t>20</w:t>
            </w:r>
          </w:p>
        </w:tc>
        <w:tc>
          <w:tcPr>
            <w:tcW w:w="8380" w:type="dxa"/>
            <w:tcBorders>
              <w:top w:val="outset" w:sz="6" w:space="0" w:color="C0C0C0"/>
              <w:left w:val="outset" w:sz="6" w:space="0" w:color="C0C0C0"/>
              <w:bottom w:val="outset" w:sz="6" w:space="0" w:color="C0C0C0"/>
              <w:right w:val="outset" w:sz="6" w:space="0" w:color="C0C0C0"/>
            </w:tcBorders>
            <w:shd w:val="clear" w:color="auto" w:fill="D9E2F3" w:themeFill="accent1" w:themeFillTint="33"/>
            <w:vAlign w:val="center"/>
            <w:hideMark/>
          </w:tcPr>
          <w:p w14:paraId="7A553B2B" w14:textId="77777777" w:rsidR="001506C1" w:rsidRPr="00FA3F9C" w:rsidRDefault="001506C1" w:rsidP="003D0F26">
            <w:pPr>
              <w:spacing w:after="0"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Very sick; hospitalization necessary; active support treatment is necessary</w:t>
            </w:r>
          </w:p>
        </w:tc>
      </w:tr>
      <w:tr w:rsidR="001506C1" w:rsidRPr="00FA3F9C" w14:paraId="42958205" w14:textId="77777777" w:rsidTr="003D0F26">
        <w:tc>
          <w:tcPr>
            <w:tcW w:w="1966" w:type="dxa"/>
            <w:tcBorders>
              <w:top w:val="outset" w:sz="6" w:space="0" w:color="C0C0C0"/>
              <w:left w:val="outset" w:sz="6" w:space="0" w:color="C0C0C0"/>
              <w:bottom w:val="outset" w:sz="6" w:space="0" w:color="C0C0C0"/>
              <w:right w:val="outset" w:sz="6" w:space="0" w:color="C0C0C0"/>
            </w:tcBorders>
            <w:shd w:val="clear" w:color="auto" w:fill="D9E2F3" w:themeFill="accent1" w:themeFillTint="33"/>
            <w:vAlign w:val="center"/>
            <w:hideMark/>
          </w:tcPr>
          <w:p w14:paraId="52829024" w14:textId="77777777" w:rsidR="001506C1" w:rsidRPr="00FA3F9C" w:rsidRDefault="001506C1" w:rsidP="003D0F26">
            <w:pPr>
              <w:spacing w:after="0" w:line="240" w:lineRule="auto"/>
              <w:jc w:val="center"/>
              <w:rPr>
                <w:rFonts w:ascii="Arial" w:eastAsia="Times New Roman" w:hAnsi="Arial" w:cs="Arial"/>
                <w:color w:val="000000"/>
                <w:sz w:val="24"/>
                <w:szCs w:val="24"/>
              </w:rPr>
            </w:pPr>
            <w:r w:rsidRPr="00FA3F9C">
              <w:rPr>
                <w:rFonts w:ascii="Arial" w:eastAsia="Times New Roman" w:hAnsi="Arial" w:cs="Arial"/>
                <w:color w:val="FF0000"/>
                <w:sz w:val="24"/>
                <w:szCs w:val="24"/>
              </w:rPr>
              <w:t>10</w:t>
            </w:r>
          </w:p>
        </w:tc>
        <w:tc>
          <w:tcPr>
            <w:tcW w:w="8380" w:type="dxa"/>
            <w:tcBorders>
              <w:top w:val="outset" w:sz="6" w:space="0" w:color="C0C0C0"/>
              <w:left w:val="outset" w:sz="6" w:space="0" w:color="C0C0C0"/>
              <w:bottom w:val="outset" w:sz="6" w:space="0" w:color="C0C0C0"/>
              <w:right w:val="outset" w:sz="6" w:space="0" w:color="C0C0C0"/>
            </w:tcBorders>
            <w:shd w:val="clear" w:color="auto" w:fill="D9E2F3" w:themeFill="accent1" w:themeFillTint="33"/>
            <w:vAlign w:val="center"/>
            <w:hideMark/>
          </w:tcPr>
          <w:p w14:paraId="75E08D31" w14:textId="77777777" w:rsidR="001506C1" w:rsidRPr="00FA3F9C" w:rsidRDefault="001506C1" w:rsidP="003D0F26">
            <w:pPr>
              <w:spacing w:after="0"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Moribund; fatal processes progressing rapidly</w:t>
            </w:r>
          </w:p>
        </w:tc>
      </w:tr>
      <w:tr w:rsidR="001506C1" w:rsidRPr="00FA3F9C" w14:paraId="66DC9A1B" w14:textId="77777777" w:rsidTr="003D0F26">
        <w:tc>
          <w:tcPr>
            <w:tcW w:w="1966" w:type="dxa"/>
            <w:tcBorders>
              <w:top w:val="outset" w:sz="6" w:space="0" w:color="C0C0C0"/>
              <w:left w:val="outset" w:sz="6" w:space="0" w:color="C0C0C0"/>
              <w:bottom w:val="outset" w:sz="6" w:space="0" w:color="C0C0C0"/>
              <w:right w:val="outset" w:sz="6" w:space="0" w:color="C0C0C0"/>
            </w:tcBorders>
            <w:shd w:val="clear" w:color="auto" w:fill="D9E2F3" w:themeFill="accent1" w:themeFillTint="33"/>
            <w:vAlign w:val="center"/>
            <w:hideMark/>
          </w:tcPr>
          <w:p w14:paraId="7CA9BEF9" w14:textId="77777777" w:rsidR="001506C1" w:rsidRPr="00FA3F9C" w:rsidRDefault="001506C1" w:rsidP="003D0F26">
            <w:pPr>
              <w:spacing w:after="0" w:line="240" w:lineRule="auto"/>
              <w:jc w:val="center"/>
              <w:rPr>
                <w:rFonts w:ascii="Arial" w:eastAsia="Times New Roman" w:hAnsi="Arial" w:cs="Arial"/>
                <w:color w:val="000000"/>
                <w:sz w:val="24"/>
                <w:szCs w:val="24"/>
              </w:rPr>
            </w:pPr>
            <w:r w:rsidRPr="00FA3F9C">
              <w:rPr>
                <w:rFonts w:ascii="Arial" w:eastAsia="Times New Roman" w:hAnsi="Arial" w:cs="Arial"/>
                <w:color w:val="FF0000"/>
                <w:sz w:val="24"/>
                <w:szCs w:val="24"/>
              </w:rPr>
              <w:t>0</w:t>
            </w:r>
          </w:p>
        </w:tc>
        <w:tc>
          <w:tcPr>
            <w:tcW w:w="8380" w:type="dxa"/>
            <w:tcBorders>
              <w:top w:val="outset" w:sz="6" w:space="0" w:color="C0C0C0"/>
              <w:left w:val="outset" w:sz="6" w:space="0" w:color="C0C0C0"/>
              <w:bottom w:val="outset" w:sz="6" w:space="0" w:color="C0C0C0"/>
              <w:right w:val="outset" w:sz="6" w:space="0" w:color="C0C0C0"/>
            </w:tcBorders>
            <w:shd w:val="clear" w:color="auto" w:fill="D9E2F3" w:themeFill="accent1" w:themeFillTint="33"/>
            <w:vAlign w:val="center"/>
            <w:hideMark/>
          </w:tcPr>
          <w:p w14:paraId="17104966" w14:textId="77777777" w:rsidR="001506C1" w:rsidRPr="00FA3F9C" w:rsidRDefault="001506C1" w:rsidP="003D0F26">
            <w:pPr>
              <w:spacing w:after="0"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Dead</w:t>
            </w:r>
          </w:p>
        </w:tc>
      </w:tr>
    </w:tbl>
    <w:p w14:paraId="3810E5A9" w14:textId="77777777" w:rsidR="001506C1" w:rsidRPr="00FA3F9C" w:rsidRDefault="001506C1" w:rsidP="006F623F">
      <w:pPr>
        <w:spacing w:after="0"/>
        <w:rPr>
          <w:rFonts w:ascii="Arial" w:hAnsi="Arial" w:cs="Arial"/>
          <w:sz w:val="24"/>
          <w:szCs w:val="24"/>
        </w:rPr>
      </w:pPr>
    </w:p>
    <w:p w14:paraId="7B4754CA"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418"/>
        <w:gridCol w:w="7470"/>
        <w:gridCol w:w="2538"/>
      </w:tblGrid>
      <w:tr w:rsidR="001506C1" w:rsidRPr="00FA3F9C" w14:paraId="3EDB410F" w14:textId="77777777" w:rsidTr="00FE491B">
        <w:tc>
          <w:tcPr>
            <w:tcW w:w="1008" w:type="dxa"/>
          </w:tcPr>
          <w:p w14:paraId="7A8CC5C3" w14:textId="77777777" w:rsidR="001506C1" w:rsidRPr="00FA3F9C" w:rsidRDefault="001506C1" w:rsidP="006F623F">
            <w:pPr>
              <w:rPr>
                <w:rFonts w:ascii="Arial" w:hAnsi="Arial" w:cs="Arial"/>
                <w:sz w:val="24"/>
                <w:szCs w:val="24"/>
              </w:rPr>
            </w:pPr>
            <w:r w:rsidRPr="00FA3F9C">
              <w:rPr>
                <w:rFonts w:ascii="Arial" w:hAnsi="Arial" w:cs="Arial"/>
                <w:sz w:val="24"/>
                <w:szCs w:val="24"/>
              </w:rPr>
              <w:t>Date</w:t>
            </w:r>
          </w:p>
        </w:tc>
        <w:tc>
          <w:tcPr>
            <w:tcW w:w="7470" w:type="dxa"/>
          </w:tcPr>
          <w:p w14:paraId="058BB7C3" w14:textId="77777777" w:rsidR="001506C1" w:rsidRPr="00FA3F9C" w:rsidRDefault="001506C1" w:rsidP="006F623F">
            <w:pPr>
              <w:rPr>
                <w:rFonts w:ascii="Arial" w:hAnsi="Arial" w:cs="Arial"/>
                <w:sz w:val="24"/>
                <w:szCs w:val="24"/>
              </w:rPr>
            </w:pPr>
            <w:r w:rsidRPr="00FA3F9C">
              <w:rPr>
                <w:rFonts w:ascii="Arial" w:hAnsi="Arial" w:cs="Arial"/>
                <w:sz w:val="24"/>
                <w:szCs w:val="24"/>
              </w:rPr>
              <w:t>What changed</w:t>
            </w:r>
          </w:p>
        </w:tc>
        <w:tc>
          <w:tcPr>
            <w:tcW w:w="2538" w:type="dxa"/>
          </w:tcPr>
          <w:p w14:paraId="5C15794C" w14:textId="77777777" w:rsidR="001506C1" w:rsidRPr="00FA3F9C" w:rsidRDefault="001506C1" w:rsidP="006F623F">
            <w:pPr>
              <w:rPr>
                <w:rFonts w:ascii="Arial" w:hAnsi="Arial" w:cs="Arial"/>
                <w:sz w:val="24"/>
                <w:szCs w:val="24"/>
              </w:rPr>
            </w:pPr>
            <w:r w:rsidRPr="00FA3F9C">
              <w:rPr>
                <w:rFonts w:ascii="Arial" w:hAnsi="Arial" w:cs="Arial"/>
                <w:sz w:val="24"/>
                <w:szCs w:val="24"/>
              </w:rPr>
              <w:t>Pharmacist’s initials</w:t>
            </w:r>
          </w:p>
        </w:tc>
      </w:tr>
      <w:tr w:rsidR="001506C1" w:rsidRPr="00FA3F9C" w14:paraId="7EF8D089" w14:textId="77777777" w:rsidTr="00FE491B">
        <w:tc>
          <w:tcPr>
            <w:tcW w:w="1008" w:type="dxa"/>
          </w:tcPr>
          <w:p w14:paraId="7C5BBE3A" w14:textId="77777777" w:rsidR="001506C1" w:rsidRPr="00FA3F9C" w:rsidRDefault="001506C1" w:rsidP="006F623F">
            <w:pPr>
              <w:rPr>
                <w:rFonts w:ascii="Arial" w:hAnsi="Arial" w:cs="Arial"/>
                <w:sz w:val="24"/>
                <w:szCs w:val="24"/>
              </w:rPr>
            </w:pPr>
            <w:r w:rsidRPr="00FA3F9C">
              <w:rPr>
                <w:rFonts w:ascii="Arial" w:hAnsi="Arial" w:cs="Arial"/>
                <w:sz w:val="24"/>
                <w:szCs w:val="24"/>
              </w:rPr>
              <w:t>5/20/19</w:t>
            </w:r>
          </w:p>
        </w:tc>
        <w:tc>
          <w:tcPr>
            <w:tcW w:w="7470" w:type="dxa"/>
          </w:tcPr>
          <w:p w14:paraId="669DB8D8" w14:textId="77777777" w:rsidR="001506C1" w:rsidRPr="00FA3F9C" w:rsidRDefault="001506C1" w:rsidP="006F623F">
            <w:pPr>
              <w:rPr>
                <w:rFonts w:ascii="Arial" w:hAnsi="Arial" w:cs="Arial"/>
                <w:sz w:val="24"/>
                <w:szCs w:val="24"/>
              </w:rPr>
            </w:pPr>
            <w:r w:rsidRPr="00FA3F9C">
              <w:rPr>
                <w:rFonts w:ascii="Arial" w:hAnsi="Arial" w:cs="Arial"/>
                <w:sz w:val="24"/>
                <w:szCs w:val="24"/>
              </w:rPr>
              <w:t>Criteria written</w:t>
            </w:r>
          </w:p>
        </w:tc>
        <w:tc>
          <w:tcPr>
            <w:tcW w:w="2538" w:type="dxa"/>
          </w:tcPr>
          <w:p w14:paraId="4BC92763" w14:textId="77777777" w:rsidR="001506C1" w:rsidRPr="00FA3F9C" w:rsidRDefault="001506C1" w:rsidP="006F623F">
            <w:pPr>
              <w:rPr>
                <w:rFonts w:ascii="Arial" w:hAnsi="Arial" w:cs="Arial"/>
                <w:sz w:val="24"/>
                <w:szCs w:val="24"/>
              </w:rPr>
            </w:pPr>
            <w:proofErr w:type="spellStart"/>
            <w:r w:rsidRPr="00FA3F9C">
              <w:rPr>
                <w:rFonts w:ascii="Arial" w:hAnsi="Arial" w:cs="Arial"/>
                <w:sz w:val="24"/>
                <w:szCs w:val="24"/>
              </w:rPr>
              <w:t>sk</w:t>
            </w:r>
            <w:proofErr w:type="spellEnd"/>
          </w:p>
        </w:tc>
      </w:tr>
      <w:tr w:rsidR="001506C1" w:rsidRPr="00FA3F9C" w14:paraId="5C7AFB37" w14:textId="77777777" w:rsidTr="00FE491B">
        <w:tc>
          <w:tcPr>
            <w:tcW w:w="1008" w:type="dxa"/>
          </w:tcPr>
          <w:p w14:paraId="2A65143A" w14:textId="77777777" w:rsidR="001506C1" w:rsidRPr="00FA3F9C" w:rsidRDefault="001506C1" w:rsidP="006F623F">
            <w:pPr>
              <w:rPr>
                <w:rFonts w:ascii="Arial" w:hAnsi="Arial" w:cs="Arial"/>
                <w:sz w:val="24"/>
                <w:szCs w:val="24"/>
              </w:rPr>
            </w:pPr>
            <w:r w:rsidRPr="00FA3F9C">
              <w:rPr>
                <w:rFonts w:ascii="Arial" w:hAnsi="Arial" w:cs="Arial"/>
                <w:sz w:val="24"/>
                <w:szCs w:val="24"/>
              </w:rPr>
              <w:t>10/31/19</w:t>
            </w:r>
          </w:p>
        </w:tc>
        <w:tc>
          <w:tcPr>
            <w:tcW w:w="7470" w:type="dxa"/>
          </w:tcPr>
          <w:p w14:paraId="02C5C3AD" w14:textId="77777777" w:rsidR="001506C1" w:rsidRPr="00FA3F9C" w:rsidRDefault="001506C1" w:rsidP="006F623F">
            <w:pPr>
              <w:rPr>
                <w:rFonts w:ascii="Arial" w:hAnsi="Arial" w:cs="Arial"/>
                <w:sz w:val="24"/>
                <w:szCs w:val="24"/>
              </w:rPr>
            </w:pPr>
            <w:r w:rsidRPr="00FA3F9C">
              <w:rPr>
                <w:rFonts w:ascii="Arial" w:hAnsi="Arial" w:cs="Arial"/>
                <w:sz w:val="24"/>
                <w:szCs w:val="24"/>
              </w:rPr>
              <w:t>Criteria reviewed. No changes</w:t>
            </w:r>
          </w:p>
        </w:tc>
        <w:tc>
          <w:tcPr>
            <w:tcW w:w="2538" w:type="dxa"/>
          </w:tcPr>
          <w:p w14:paraId="77F065B6" w14:textId="77777777" w:rsidR="001506C1" w:rsidRPr="00FA3F9C" w:rsidRDefault="001506C1" w:rsidP="006F623F">
            <w:pPr>
              <w:rPr>
                <w:rFonts w:ascii="Arial" w:hAnsi="Arial" w:cs="Arial"/>
                <w:sz w:val="24"/>
                <w:szCs w:val="24"/>
              </w:rPr>
            </w:pPr>
            <w:r w:rsidRPr="00FA3F9C">
              <w:rPr>
                <w:rFonts w:ascii="Arial" w:hAnsi="Arial" w:cs="Arial"/>
                <w:sz w:val="24"/>
                <w:szCs w:val="24"/>
              </w:rPr>
              <w:t>SK</w:t>
            </w:r>
          </w:p>
        </w:tc>
      </w:tr>
      <w:tr w:rsidR="001506C1" w:rsidRPr="00FA3F9C" w14:paraId="2AAA2415" w14:textId="77777777" w:rsidTr="00FE491B">
        <w:tc>
          <w:tcPr>
            <w:tcW w:w="1008" w:type="dxa"/>
          </w:tcPr>
          <w:p w14:paraId="750466BC" w14:textId="77777777" w:rsidR="001506C1" w:rsidRPr="00FA3F9C" w:rsidRDefault="001506C1" w:rsidP="006F623F">
            <w:pPr>
              <w:rPr>
                <w:rFonts w:ascii="Arial" w:hAnsi="Arial" w:cs="Arial"/>
                <w:sz w:val="24"/>
                <w:szCs w:val="24"/>
              </w:rPr>
            </w:pPr>
            <w:r w:rsidRPr="00FA3F9C">
              <w:rPr>
                <w:rFonts w:ascii="Arial" w:hAnsi="Arial" w:cs="Arial"/>
                <w:sz w:val="24"/>
                <w:szCs w:val="24"/>
              </w:rPr>
              <w:t>12/29/2020</w:t>
            </w:r>
          </w:p>
        </w:tc>
        <w:tc>
          <w:tcPr>
            <w:tcW w:w="7470" w:type="dxa"/>
          </w:tcPr>
          <w:p w14:paraId="44E640DE" w14:textId="77777777" w:rsidR="001506C1" w:rsidRPr="00FA3F9C" w:rsidRDefault="001506C1" w:rsidP="006F623F">
            <w:pPr>
              <w:rPr>
                <w:rFonts w:ascii="Arial" w:hAnsi="Arial" w:cs="Arial"/>
                <w:sz w:val="24"/>
                <w:szCs w:val="24"/>
              </w:rPr>
            </w:pPr>
            <w:r w:rsidRPr="00FA3F9C">
              <w:rPr>
                <w:rFonts w:ascii="Arial" w:hAnsi="Arial" w:cs="Arial"/>
                <w:sz w:val="24"/>
                <w:szCs w:val="24"/>
              </w:rPr>
              <w:t>Criteria reviewed. No changes</w:t>
            </w:r>
          </w:p>
        </w:tc>
        <w:tc>
          <w:tcPr>
            <w:tcW w:w="2538" w:type="dxa"/>
          </w:tcPr>
          <w:p w14:paraId="5053672E" w14:textId="77777777" w:rsidR="001506C1" w:rsidRPr="00FA3F9C" w:rsidRDefault="001506C1" w:rsidP="006F623F">
            <w:pPr>
              <w:rPr>
                <w:rFonts w:ascii="Arial" w:hAnsi="Arial" w:cs="Arial"/>
                <w:sz w:val="24"/>
                <w:szCs w:val="24"/>
              </w:rPr>
            </w:pPr>
            <w:r w:rsidRPr="00FA3F9C">
              <w:rPr>
                <w:rFonts w:ascii="Arial" w:hAnsi="Arial" w:cs="Arial"/>
                <w:sz w:val="24"/>
                <w:szCs w:val="24"/>
              </w:rPr>
              <w:t>SK</w:t>
            </w:r>
          </w:p>
        </w:tc>
      </w:tr>
    </w:tbl>
    <w:p w14:paraId="5C370155" w14:textId="77777777" w:rsidR="001506C1" w:rsidRPr="00FA3F9C" w:rsidRDefault="001506C1" w:rsidP="006F623F">
      <w:pPr>
        <w:spacing w:after="0"/>
        <w:rPr>
          <w:rFonts w:ascii="Arial" w:hAnsi="Arial" w:cs="Arial"/>
          <w:sz w:val="24"/>
          <w:szCs w:val="24"/>
        </w:rPr>
      </w:pPr>
    </w:p>
    <w:p w14:paraId="404965E5" w14:textId="77777777" w:rsidR="005005CA" w:rsidRDefault="005005CA">
      <w:pPr>
        <w:rPr>
          <w:rFonts w:ascii="Arial" w:eastAsia="Times New Roman" w:hAnsi="Arial" w:cs="Arial"/>
          <w:b/>
          <w:sz w:val="28"/>
          <w:szCs w:val="20"/>
        </w:rPr>
      </w:pPr>
      <w:bookmarkStart w:id="26" w:name="_Toc106369728"/>
      <w:r>
        <w:br w:type="page"/>
      </w:r>
    </w:p>
    <w:p w14:paraId="6CAC070E" w14:textId="0CDE1E9F" w:rsidR="001506C1" w:rsidRPr="00FA3F9C" w:rsidRDefault="001506C1" w:rsidP="00CA4C3C">
      <w:pPr>
        <w:pStyle w:val="Heading2"/>
      </w:pPr>
      <w:proofErr w:type="spellStart"/>
      <w:r w:rsidRPr="00FA3F9C">
        <w:lastRenderedPageBreak/>
        <w:t>Azacitidine</w:t>
      </w:r>
      <w:proofErr w:type="spellEnd"/>
      <w:r w:rsidRPr="00FA3F9C">
        <w:t xml:space="preserve"> (</w:t>
      </w:r>
      <w:proofErr w:type="spellStart"/>
      <w:r w:rsidRPr="00FA3F9C">
        <w:t>Onureg</w:t>
      </w:r>
      <w:proofErr w:type="spellEnd"/>
      <w:r w:rsidRPr="00FA3F9C">
        <w:t>)</w:t>
      </w:r>
      <w:bookmarkEnd w:id="26"/>
    </w:p>
    <w:p w14:paraId="1E978738" w14:textId="77777777" w:rsidR="001506C1" w:rsidRPr="00FA3F9C" w:rsidRDefault="001506C1" w:rsidP="006F623F">
      <w:pPr>
        <w:spacing w:after="0"/>
        <w:jc w:val="center"/>
        <w:rPr>
          <w:rFonts w:ascii="Arial" w:hAnsi="Arial" w:cs="Arial"/>
          <w:sz w:val="24"/>
          <w:szCs w:val="24"/>
        </w:rPr>
      </w:pPr>
      <w:r w:rsidRPr="00FA3F9C">
        <w:rPr>
          <w:rFonts w:ascii="Arial" w:hAnsi="Arial" w:cs="Arial"/>
          <w:sz w:val="24"/>
          <w:szCs w:val="24"/>
        </w:rPr>
        <w:t>200 mg, 300 mg tablets</w:t>
      </w:r>
    </w:p>
    <w:p w14:paraId="362B2ECF" w14:textId="77777777" w:rsidR="001506C1" w:rsidRPr="00FA3F9C" w:rsidRDefault="001506C1" w:rsidP="006F623F">
      <w:pPr>
        <w:spacing w:after="0"/>
        <w:jc w:val="center"/>
        <w:rPr>
          <w:rFonts w:ascii="Arial" w:hAnsi="Arial" w:cs="Arial"/>
          <w:sz w:val="24"/>
          <w:szCs w:val="24"/>
        </w:rPr>
      </w:pPr>
      <w:r w:rsidRPr="00FA3F9C">
        <w:rPr>
          <w:rFonts w:ascii="Arial" w:hAnsi="Arial" w:cs="Arial"/>
          <w:sz w:val="24"/>
          <w:szCs w:val="24"/>
        </w:rPr>
        <w:t>EBRx PA Criteria</w:t>
      </w:r>
    </w:p>
    <w:p w14:paraId="31AF8F45" w14:textId="77777777" w:rsidR="001506C1" w:rsidRPr="00FA3F9C" w:rsidRDefault="001506C1" w:rsidP="006F623F">
      <w:pPr>
        <w:spacing w:after="0"/>
        <w:rPr>
          <w:rFonts w:ascii="Arial" w:hAnsi="Arial" w:cs="Arial"/>
          <w:b/>
          <w:sz w:val="24"/>
          <w:szCs w:val="24"/>
          <w:u w:val="single"/>
        </w:rPr>
      </w:pPr>
    </w:p>
    <w:p w14:paraId="37181C43" w14:textId="77777777" w:rsidR="001506C1" w:rsidRPr="00FA3F9C" w:rsidRDefault="001506C1"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w:t>
      </w:r>
    </w:p>
    <w:p w14:paraId="33011A25"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Nucleoside metabolic inhibitor indicated for continued treatment of adult patients with acute myeloid leukemia who achieved first complete remission (CR) or complete remission with incomplete blood count recovery (</w:t>
      </w:r>
      <w:proofErr w:type="spellStart"/>
      <w:r w:rsidRPr="00FA3F9C">
        <w:rPr>
          <w:rFonts w:ascii="Arial" w:hAnsi="Arial" w:cs="Arial"/>
          <w:sz w:val="24"/>
          <w:szCs w:val="24"/>
        </w:rPr>
        <w:t>CRi</w:t>
      </w:r>
      <w:proofErr w:type="spellEnd"/>
      <w:r w:rsidRPr="00FA3F9C">
        <w:rPr>
          <w:rFonts w:ascii="Arial" w:hAnsi="Arial" w:cs="Arial"/>
          <w:sz w:val="24"/>
          <w:szCs w:val="24"/>
        </w:rPr>
        <w:t>) following intensive induction chemotherapy and are not able to complete intensive curative therapy</w:t>
      </w:r>
    </w:p>
    <w:p w14:paraId="4C54D52F" w14:textId="77777777" w:rsidR="001506C1" w:rsidRPr="00FA3F9C" w:rsidRDefault="001506C1" w:rsidP="006F623F">
      <w:pPr>
        <w:spacing w:after="0"/>
        <w:rPr>
          <w:rFonts w:ascii="Arial" w:hAnsi="Arial" w:cs="Arial"/>
          <w:sz w:val="24"/>
          <w:szCs w:val="24"/>
        </w:rPr>
      </w:pPr>
    </w:p>
    <w:tbl>
      <w:tblPr>
        <w:tblStyle w:val="TableGrid"/>
        <w:tblW w:w="0" w:type="auto"/>
        <w:tblLook w:val="04A0" w:firstRow="1" w:lastRow="0" w:firstColumn="1" w:lastColumn="0" w:noHBand="0" w:noVBand="1"/>
      </w:tblPr>
      <w:tblGrid>
        <w:gridCol w:w="8928"/>
        <w:gridCol w:w="2088"/>
      </w:tblGrid>
      <w:tr w:rsidR="001506C1" w:rsidRPr="00FA3F9C" w14:paraId="1004EA68" w14:textId="77777777" w:rsidTr="00571CAB">
        <w:tc>
          <w:tcPr>
            <w:tcW w:w="8928" w:type="dxa"/>
            <w:shd w:val="clear" w:color="auto" w:fill="000000"/>
          </w:tcPr>
          <w:p w14:paraId="6D833A72" w14:textId="77777777" w:rsidR="001506C1" w:rsidRPr="00FA3F9C" w:rsidRDefault="001506C1"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88" w:type="dxa"/>
            <w:shd w:val="clear" w:color="auto" w:fill="000000"/>
          </w:tcPr>
          <w:p w14:paraId="5E662777" w14:textId="77777777" w:rsidR="001506C1" w:rsidRPr="00FA3F9C" w:rsidRDefault="001506C1" w:rsidP="006F623F">
            <w:pPr>
              <w:jc w:val="center"/>
              <w:rPr>
                <w:rFonts w:ascii="Arial" w:hAnsi="Arial" w:cs="Arial"/>
                <w:b/>
                <w:sz w:val="24"/>
                <w:szCs w:val="24"/>
                <w:u w:val="single"/>
              </w:rPr>
            </w:pPr>
          </w:p>
        </w:tc>
      </w:tr>
      <w:tr w:rsidR="001506C1" w:rsidRPr="00FA3F9C" w14:paraId="74073B2B" w14:textId="77777777" w:rsidTr="00F337AE">
        <w:tc>
          <w:tcPr>
            <w:tcW w:w="11016" w:type="dxa"/>
            <w:gridSpan w:val="2"/>
          </w:tcPr>
          <w:p w14:paraId="27A15A05" w14:textId="77777777" w:rsidR="001506C1" w:rsidRPr="00FA3F9C" w:rsidRDefault="001506C1" w:rsidP="005A60A5">
            <w:pPr>
              <w:rPr>
                <w:rFonts w:ascii="Arial" w:hAnsi="Arial" w:cs="Arial"/>
                <w:sz w:val="24"/>
                <w:szCs w:val="24"/>
              </w:rPr>
            </w:pPr>
            <w:r w:rsidRPr="00FA3F9C">
              <w:rPr>
                <w:rFonts w:ascii="Arial" w:hAnsi="Arial" w:cs="Arial"/>
                <w:sz w:val="24"/>
                <w:szCs w:val="24"/>
              </w:rPr>
              <w:t xml:space="preserve">1. Age </w:t>
            </w:r>
            <w:r w:rsidRPr="00FA3F9C">
              <w:rPr>
                <w:rFonts w:ascii="Arial" w:hAnsi="Arial" w:cs="Arial"/>
                <w:sz w:val="24"/>
                <w:szCs w:val="24"/>
                <w:u w:val="single"/>
              </w:rPr>
              <w:t>&gt;</w:t>
            </w:r>
            <w:r w:rsidRPr="00FA3F9C">
              <w:rPr>
                <w:rFonts w:ascii="Arial" w:hAnsi="Arial" w:cs="Arial"/>
                <w:sz w:val="24"/>
                <w:szCs w:val="24"/>
              </w:rPr>
              <w:t xml:space="preserve"> 55 y/o</w:t>
            </w:r>
          </w:p>
        </w:tc>
      </w:tr>
      <w:tr w:rsidR="001506C1" w:rsidRPr="00FA3F9C" w14:paraId="483EFBFC" w14:textId="77777777" w:rsidTr="00B1617E">
        <w:tc>
          <w:tcPr>
            <w:tcW w:w="11016" w:type="dxa"/>
            <w:gridSpan w:val="2"/>
          </w:tcPr>
          <w:p w14:paraId="5475DA27" w14:textId="77777777" w:rsidR="001506C1" w:rsidRPr="00FA3F9C" w:rsidRDefault="001506C1" w:rsidP="005A60A5">
            <w:pPr>
              <w:rPr>
                <w:rFonts w:ascii="Arial" w:hAnsi="Arial" w:cs="Arial"/>
                <w:sz w:val="24"/>
                <w:szCs w:val="24"/>
              </w:rPr>
            </w:pPr>
            <w:r w:rsidRPr="00FA3F9C">
              <w:rPr>
                <w:rFonts w:ascii="Arial" w:hAnsi="Arial" w:cs="Arial"/>
                <w:sz w:val="24"/>
                <w:szCs w:val="24"/>
              </w:rPr>
              <w:t>2. Diagnosis of acute myeloid leukemia (AML)</w:t>
            </w:r>
          </w:p>
        </w:tc>
      </w:tr>
      <w:tr w:rsidR="001506C1" w:rsidRPr="00FA3F9C" w14:paraId="7D0D6974" w14:textId="77777777" w:rsidTr="00B1617E">
        <w:tc>
          <w:tcPr>
            <w:tcW w:w="11016" w:type="dxa"/>
            <w:gridSpan w:val="2"/>
          </w:tcPr>
          <w:p w14:paraId="3355C904" w14:textId="77777777" w:rsidR="001506C1" w:rsidRPr="00FA3F9C" w:rsidRDefault="001506C1" w:rsidP="005A60A5">
            <w:pPr>
              <w:rPr>
                <w:rFonts w:ascii="Arial" w:hAnsi="Arial" w:cs="Arial"/>
                <w:sz w:val="24"/>
                <w:szCs w:val="24"/>
              </w:rPr>
            </w:pPr>
            <w:r w:rsidRPr="00FA3F9C">
              <w:rPr>
                <w:rFonts w:ascii="Arial" w:hAnsi="Arial" w:cs="Arial"/>
                <w:sz w:val="24"/>
                <w:szCs w:val="24"/>
              </w:rPr>
              <w:t>3. AML is intermediate or high risk*</w:t>
            </w:r>
          </w:p>
        </w:tc>
      </w:tr>
      <w:tr w:rsidR="001506C1" w:rsidRPr="00FA3F9C" w14:paraId="63B67868" w14:textId="77777777" w:rsidTr="00B1617E">
        <w:tc>
          <w:tcPr>
            <w:tcW w:w="11016" w:type="dxa"/>
            <w:gridSpan w:val="2"/>
          </w:tcPr>
          <w:p w14:paraId="06938087" w14:textId="77777777" w:rsidR="001506C1" w:rsidRPr="00FA3F9C" w:rsidRDefault="001506C1" w:rsidP="0056546D">
            <w:pPr>
              <w:rPr>
                <w:rFonts w:ascii="Arial" w:hAnsi="Arial" w:cs="Arial"/>
                <w:sz w:val="24"/>
                <w:szCs w:val="24"/>
              </w:rPr>
            </w:pPr>
            <w:r w:rsidRPr="00FA3F9C">
              <w:rPr>
                <w:rFonts w:ascii="Arial" w:hAnsi="Arial" w:cs="Arial"/>
                <w:sz w:val="24"/>
                <w:szCs w:val="24"/>
              </w:rPr>
              <w:t xml:space="preserve">4. AML has </w:t>
            </w:r>
            <w:r w:rsidRPr="00FA3F9C">
              <w:rPr>
                <w:rFonts w:ascii="Arial" w:hAnsi="Arial" w:cs="Arial"/>
                <w:sz w:val="24"/>
                <w:szCs w:val="24"/>
                <w:u w:val="single"/>
              </w:rPr>
              <w:t>not</w:t>
            </w:r>
            <w:r w:rsidRPr="00FA3F9C">
              <w:rPr>
                <w:rFonts w:ascii="Arial" w:hAnsi="Arial" w:cs="Arial"/>
                <w:sz w:val="24"/>
                <w:szCs w:val="24"/>
              </w:rPr>
              <w:t xml:space="preserve"> been previously treated with a hypomethylating agent (</w:t>
            </w:r>
            <w:proofErr w:type="gramStart"/>
            <w:r w:rsidRPr="00FA3F9C">
              <w:rPr>
                <w:rFonts w:ascii="Arial" w:hAnsi="Arial" w:cs="Arial"/>
                <w:sz w:val="24"/>
                <w:szCs w:val="24"/>
              </w:rPr>
              <w:t>e.g.</w:t>
            </w:r>
            <w:proofErr w:type="gramEnd"/>
            <w:r w:rsidRPr="00FA3F9C">
              <w:rPr>
                <w:rFonts w:ascii="Arial" w:hAnsi="Arial" w:cs="Arial"/>
                <w:sz w:val="24"/>
                <w:szCs w:val="24"/>
              </w:rPr>
              <w:t xml:space="preserve"> </w:t>
            </w:r>
            <w:proofErr w:type="spellStart"/>
            <w:r w:rsidRPr="00FA3F9C">
              <w:rPr>
                <w:rFonts w:ascii="Arial" w:hAnsi="Arial" w:cs="Arial"/>
                <w:sz w:val="24"/>
                <w:szCs w:val="24"/>
              </w:rPr>
              <w:t>azacitidine</w:t>
            </w:r>
            <w:proofErr w:type="spellEnd"/>
            <w:r w:rsidRPr="00FA3F9C">
              <w:rPr>
                <w:rFonts w:ascii="Arial" w:hAnsi="Arial" w:cs="Arial"/>
                <w:sz w:val="24"/>
                <w:szCs w:val="24"/>
              </w:rPr>
              <w:t xml:space="preserve"> or decitabine)</w:t>
            </w:r>
          </w:p>
        </w:tc>
      </w:tr>
      <w:tr w:rsidR="001506C1" w:rsidRPr="00FA3F9C" w14:paraId="3A331DDE" w14:textId="77777777" w:rsidTr="0010789D">
        <w:tc>
          <w:tcPr>
            <w:tcW w:w="11016" w:type="dxa"/>
            <w:gridSpan w:val="2"/>
          </w:tcPr>
          <w:p w14:paraId="6A3624EA" w14:textId="77777777" w:rsidR="001506C1" w:rsidRPr="00FA3F9C" w:rsidRDefault="001506C1" w:rsidP="0056546D">
            <w:pPr>
              <w:rPr>
                <w:rFonts w:ascii="Arial" w:hAnsi="Arial" w:cs="Arial"/>
                <w:sz w:val="24"/>
                <w:szCs w:val="24"/>
              </w:rPr>
            </w:pPr>
            <w:r w:rsidRPr="00FA3F9C">
              <w:rPr>
                <w:rFonts w:ascii="Arial" w:hAnsi="Arial" w:cs="Arial"/>
                <w:sz w:val="24"/>
                <w:szCs w:val="24"/>
              </w:rPr>
              <w:t xml:space="preserve">5. Patient has achieved </w:t>
            </w:r>
            <w:r w:rsidRPr="00FA3F9C">
              <w:rPr>
                <w:rFonts w:ascii="Arial" w:hAnsi="Arial" w:cs="Arial"/>
                <w:sz w:val="24"/>
                <w:szCs w:val="24"/>
                <w:u w:val="single"/>
              </w:rPr>
              <w:t>first</w:t>
            </w:r>
            <w:r w:rsidRPr="00FA3F9C">
              <w:rPr>
                <w:rFonts w:ascii="Arial" w:hAnsi="Arial" w:cs="Arial"/>
                <w:sz w:val="24"/>
                <w:szCs w:val="24"/>
              </w:rPr>
              <w:t xml:space="preserve"> complete remission (CR) or complete remission with incomplete blood count recovery (</w:t>
            </w:r>
            <w:proofErr w:type="spellStart"/>
            <w:r w:rsidRPr="00FA3F9C">
              <w:rPr>
                <w:rFonts w:ascii="Arial" w:hAnsi="Arial" w:cs="Arial"/>
                <w:sz w:val="24"/>
                <w:szCs w:val="24"/>
              </w:rPr>
              <w:t>CRi</w:t>
            </w:r>
            <w:proofErr w:type="spellEnd"/>
            <w:r w:rsidRPr="00FA3F9C">
              <w:rPr>
                <w:rFonts w:ascii="Arial" w:hAnsi="Arial" w:cs="Arial"/>
                <w:sz w:val="24"/>
                <w:szCs w:val="24"/>
              </w:rPr>
              <w:t xml:space="preserve">)** following </w:t>
            </w:r>
            <w:r w:rsidRPr="00FA3F9C">
              <w:rPr>
                <w:rFonts w:ascii="Arial" w:hAnsi="Arial" w:cs="Arial"/>
                <w:sz w:val="24"/>
                <w:szCs w:val="24"/>
                <w:u w:val="single"/>
              </w:rPr>
              <w:t>intensive</w:t>
            </w:r>
            <w:r w:rsidRPr="00FA3F9C">
              <w:rPr>
                <w:rFonts w:ascii="Arial" w:hAnsi="Arial" w:cs="Arial"/>
                <w:sz w:val="24"/>
                <w:szCs w:val="24"/>
              </w:rPr>
              <w:t xml:space="preserve"> induction chemotherapy***</w:t>
            </w:r>
          </w:p>
        </w:tc>
      </w:tr>
      <w:tr w:rsidR="001506C1" w:rsidRPr="00FA3F9C" w14:paraId="64CB18FC" w14:textId="77777777" w:rsidTr="0010789D">
        <w:tc>
          <w:tcPr>
            <w:tcW w:w="11016" w:type="dxa"/>
            <w:gridSpan w:val="2"/>
          </w:tcPr>
          <w:p w14:paraId="560DA6F6" w14:textId="77777777" w:rsidR="001506C1" w:rsidRPr="00FA3F9C" w:rsidRDefault="001506C1" w:rsidP="006F623F">
            <w:pPr>
              <w:rPr>
                <w:rFonts w:ascii="Arial" w:hAnsi="Arial" w:cs="Arial"/>
                <w:sz w:val="24"/>
                <w:szCs w:val="24"/>
              </w:rPr>
            </w:pPr>
            <w:r w:rsidRPr="00FA3F9C">
              <w:rPr>
                <w:rFonts w:ascii="Arial" w:hAnsi="Arial" w:cs="Arial"/>
                <w:sz w:val="24"/>
                <w:szCs w:val="24"/>
              </w:rPr>
              <w:t>6. Time of first request is within 4 months of attainment of first remission</w:t>
            </w:r>
          </w:p>
        </w:tc>
      </w:tr>
      <w:tr w:rsidR="001506C1" w:rsidRPr="00FA3F9C" w14:paraId="003BF7A0" w14:textId="77777777" w:rsidTr="0010789D">
        <w:tc>
          <w:tcPr>
            <w:tcW w:w="11016" w:type="dxa"/>
            <w:gridSpan w:val="2"/>
          </w:tcPr>
          <w:p w14:paraId="5E8A71C8" w14:textId="77777777" w:rsidR="001506C1" w:rsidRPr="00FA3F9C" w:rsidRDefault="001506C1" w:rsidP="006F623F">
            <w:pPr>
              <w:rPr>
                <w:rFonts w:ascii="Arial" w:hAnsi="Arial" w:cs="Arial"/>
                <w:sz w:val="24"/>
                <w:szCs w:val="24"/>
              </w:rPr>
            </w:pPr>
            <w:r w:rsidRPr="00FA3F9C">
              <w:rPr>
                <w:rFonts w:ascii="Arial" w:hAnsi="Arial" w:cs="Arial"/>
                <w:sz w:val="24"/>
                <w:szCs w:val="24"/>
              </w:rPr>
              <w:t xml:space="preserve">7. Patient remains in CR or </w:t>
            </w:r>
            <w:proofErr w:type="spellStart"/>
            <w:r w:rsidRPr="00FA3F9C">
              <w:rPr>
                <w:rFonts w:ascii="Arial" w:hAnsi="Arial" w:cs="Arial"/>
                <w:sz w:val="24"/>
                <w:szCs w:val="24"/>
              </w:rPr>
              <w:t>CRi</w:t>
            </w:r>
            <w:proofErr w:type="spellEnd"/>
            <w:r w:rsidRPr="00FA3F9C">
              <w:rPr>
                <w:rFonts w:ascii="Arial" w:hAnsi="Arial" w:cs="Arial"/>
                <w:sz w:val="24"/>
                <w:szCs w:val="24"/>
              </w:rPr>
              <w:t xml:space="preserve"> at time of first request</w:t>
            </w:r>
          </w:p>
        </w:tc>
      </w:tr>
      <w:tr w:rsidR="001506C1" w:rsidRPr="00FA3F9C" w14:paraId="2829FB63" w14:textId="77777777" w:rsidTr="00DA57E0">
        <w:tc>
          <w:tcPr>
            <w:tcW w:w="11016" w:type="dxa"/>
            <w:gridSpan w:val="2"/>
          </w:tcPr>
          <w:p w14:paraId="1797732B" w14:textId="77777777" w:rsidR="001506C1" w:rsidRPr="00FA3F9C" w:rsidRDefault="001506C1" w:rsidP="00570C23">
            <w:pPr>
              <w:rPr>
                <w:rFonts w:ascii="Arial" w:hAnsi="Arial" w:cs="Arial"/>
                <w:sz w:val="24"/>
                <w:szCs w:val="24"/>
              </w:rPr>
            </w:pPr>
            <w:r w:rsidRPr="00FA3F9C">
              <w:rPr>
                <w:rFonts w:ascii="Arial" w:hAnsi="Arial" w:cs="Arial"/>
                <w:sz w:val="24"/>
                <w:szCs w:val="24"/>
              </w:rPr>
              <w:t>8. Patient is unable to complete intensive curative therapy****</w:t>
            </w:r>
          </w:p>
        </w:tc>
      </w:tr>
      <w:tr w:rsidR="001506C1" w:rsidRPr="00FA3F9C" w14:paraId="57F7F26B" w14:textId="77777777" w:rsidTr="00DA57E0">
        <w:tc>
          <w:tcPr>
            <w:tcW w:w="11016" w:type="dxa"/>
            <w:gridSpan w:val="2"/>
          </w:tcPr>
          <w:p w14:paraId="6D9DC0BD" w14:textId="77777777" w:rsidR="001506C1" w:rsidRPr="00FA3F9C" w:rsidRDefault="001506C1" w:rsidP="005A60A5">
            <w:pPr>
              <w:rPr>
                <w:rFonts w:ascii="Arial" w:hAnsi="Arial" w:cs="Arial"/>
                <w:sz w:val="24"/>
                <w:szCs w:val="24"/>
              </w:rPr>
            </w:pPr>
            <w:r w:rsidRPr="00FA3F9C">
              <w:rPr>
                <w:rFonts w:ascii="Arial" w:hAnsi="Arial" w:cs="Arial"/>
                <w:sz w:val="24"/>
                <w:szCs w:val="24"/>
              </w:rPr>
              <w:t>9. Patient is not a candidate for hematopoietic stem cell transplantation</w:t>
            </w:r>
          </w:p>
        </w:tc>
      </w:tr>
    </w:tbl>
    <w:p w14:paraId="5E1BD21A" w14:textId="77777777" w:rsidR="001506C1" w:rsidRPr="00FA3F9C" w:rsidRDefault="001506C1" w:rsidP="006F623F">
      <w:pPr>
        <w:spacing w:after="0"/>
        <w:rPr>
          <w:rFonts w:ascii="Arial" w:hAnsi="Arial" w:cs="Arial"/>
          <w:b/>
          <w:sz w:val="24"/>
          <w:szCs w:val="24"/>
        </w:rPr>
      </w:pPr>
    </w:p>
    <w:p w14:paraId="6C582A7A" w14:textId="77777777" w:rsidR="001506C1" w:rsidRPr="00FA3F9C" w:rsidRDefault="001506C1" w:rsidP="006F623F">
      <w:pPr>
        <w:spacing w:after="0"/>
        <w:rPr>
          <w:rFonts w:ascii="Arial" w:hAnsi="Arial" w:cs="Arial"/>
          <w:b/>
          <w:sz w:val="24"/>
          <w:szCs w:val="24"/>
        </w:rPr>
      </w:pPr>
      <w:r w:rsidRPr="00FA3F9C">
        <w:rPr>
          <w:rFonts w:ascii="Arial" w:hAnsi="Arial" w:cs="Arial"/>
          <w:b/>
          <w:sz w:val="24"/>
          <w:szCs w:val="24"/>
        </w:rPr>
        <w:t>*AML Risk Stratification</w:t>
      </w:r>
    </w:p>
    <w:p w14:paraId="0D626DE7" w14:textId="77777777" w:rsidR="001506C1" w:rsidRPr="00FA3F9C" w:rsidRDefault="001506C1" w:rsidP="006F623F">
      <w:pPr>
        <w:spacing w:after="0"/>
        <w:rPr>
          <w:rFonts w:ascii="Arial" w:hAnsi="Arial" w:cs="Arial"/>
          <w:b/>
          <w:sz w:val="24"/>
          <w:szCs w:val="24"/>
        </w:rPr>
      </w:pPr>
      <w:r w:rsidRPr="00FA3F9C">
        <w:rPr>
          <w:rFonts w:ascii="Arial" w:hAnsi="Arial" w:cs="Arial"/>
          <w:noProof/>
          <w:sz w:val="24"/>
          <w:szCs w:val="24"/>
        </w:rPr>
        <w:lastRenderedPageBreak/>
        <w:t xml:space="preserve"> </w:t>
      </w:r>
      <w:r w:rsidRPr="00FA3F9C">
        <w:rPr>
          <w:rFonts w:ascii="Arial" w:hAnsi="Arial" w:cs="Arial"/>
          <w:noProof/>
          <w:sz w:val="24"/>
          <w:szCs w:val="24"/>
        </w:rPr>
        <w:drawing>
          <wp:inline distT="0" distB="0" distL="0" distR="0" wp14:anchorId="32261AB6" wp14:editId="7ADB8464">
            <wp:extent cx="4012737" cy="1850746"/>
            <wp:effectExtent l="19050" t="19050" r="26035" b="165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4213" t="25793" r="64175" b="38773"/>
                    <a:stretch/>
                  </pic:blipFill>
                  <pic:spPr bwMode="auto">
                    <a:xfrm>
                      <a:off x="0" y="0"/>
                      <a:ext cx="4049139" cy="186753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41EF9D5" w14:textId="77777777" w:rsidR="001506C1" w:rsidRPr="00FA3F9C" w:rsidRDefault="001506C1" w:rsidP="006F623F">
      <w:pPr>
        <w:spacing w:after="0"/>
        <w:rPr>
          <w:rFonts w:ascii="Arial" w:hAnsi="Arial" w:cs="Arial"/>
          <w:b/>
          <w:sz w:val="24"/>
          <w:szCs w:val="24"/>
        </w:rPr>
      </w:pPr>
    </w:p>
    <w:p w14:paraId="03631BBA" w14:textId="77777777" w:rsidR="001506C1" w:rsidRPr="00FA3F9C" w:rsidRDefault="001506C1" w:rsidP="00B20885">
      <w:pPr>
        <w:spacing w:after="0"/>
        <w:ind w:left="630" w:hanging="630"/>
        <w:rPr>
          <w:rFonts w:ascii="Arial" w:hAnsi="Arial" w:cs="Arial"/>
          <w:b/>
          <w:sz w:val="24"/>
          <w:szCs w:val="24"/>
        </w:rPr>
      </w:pPr>
      <w:r w:rsidRPr="00FA3F9C">
        <w:rPr>
          <w:rFonts w:ascii="Arial" w:hAnsi="Arial" w:cs="Arial"/>
          <w:b/>
          <w:sz w:val="24"/>
          <w:szCs w:val="24"/>
        </w:rPr>
        <w:t>**CR = patient independent of transfusion AND absolute neutrophil count (ANC) &gt;1000/</w:t>
      </w:r>
      <w:proofErr w:type="spellStart"/>
      <w:r w:rsidRPr="00FA3F9C">
        <w:rPr>
          <w:rFonts w:ascii="Arial" w:hAnsi="Arial" w:cs="Arial"/>
          <w:b/>
          <w:sz w:val="24"/>
          <w:szCs w:val="24"/>
        </w:rPr>
        <w:t>mcL</w:t>
      </w:r>
      <w:proofErr w:type="spellEnd"/>
      <w:r w:rsidRPr="00FA3F9C">
        <w:rPr>
          <w:rFonts w:ascii="Arial" w:hAnsi="Arial" w:cs="Arial"/>
          <w:b/>
          <w:sz w:val="24"/>
          <w:szCs w:val="24"/>
        </w:rPr>
        <w:t xml:space="preserve"> (blasts &lt;5%) AND platelets </w:t>
      </w:r>
      <w:r w:rsidRPr="00FA3F9C">
        <w:rPr>
          <w:rFonts w:ascii="Arial" w:hAnsi="Arial" w:cs="Arial"/>
          <w:b/>
          <w:sz w:val="24"/>
          <w:szCs w:val="24"/>
          <w:u w:val="single"/>
        </w:rPr>
        <w:t>&gt;</w:t>
      </w:r>
      <w:r w:rsidRPr="00FA3F9C">
        <w:rPr>
          <w:rFonts w:ascii="Arial" w:hAnsi="Arial" w:cs="Arial"/>
          <w:b/>
          <w:sz w:val="24"/>
          <w:szCs w:val="24"/>
        </w:rPr>
        <w:t>100,000/</w:t>
      </w:r>
      <w:proofErr w:type="spellStart"/>
      <w:r w:rsidRPr="00FA3F9C">
        <w:rPr>
          <w:rFonts w:ascii="Arial" w:hAnsi="Arial" w:cs="Arial"/>
          <w:b/>
          <w:sz w:val="24"/>
          <w:szCs w:val="24"/>
        </w:rPr>
        <w:t>mcL</w:t>
      </w:r>
      <w:proofErr w:type="spellEnd"/>
    </w:p>
    <w:p w14:paraId="0C2B5CA8" w14:textId="77777777" w:rsidR="001506C1" w:rsidRPr="00FA3F9C" w:rsidRDefault="001506C1" w:rsidP="006F623F">
      <w:pPr>
        <w:spacing w:after="0"/>
        <w:rPr>
          <w:rFonts w:ascii="Arial" w:hAnsi="Arial" w:cs="Arial"/>
          <w:b/>
          <w:sz w:val="24"/>
          <w:szCs w:val="24"/>
        </w:rPr>
      </w:pPr>
      <w:r w:rsidRPr="00FA3F9C">
        <w:rPr>
          <w:rFonts w:ascii="Arial" w:hAnsi="Arial" w:cs="Arial"/>
          <w:b/>
          <w:sz w:val="24"/>
          <w:szCs w:val="24"/>
        </w:rPr>
        <w:t xml:space="preserve">    </w:t>
      </w:r>
      <w:proofErr w:type="spellStart"/>
      <w:r w:rsidRPr="00FA3F9C">
        <w:rPr>
          <w:rFonts w:ascii="Arial" w:hAnsi="Arial" w:cs="Arial"/>
          <w:b/>
          <w:sz w:val="24"/>
          <w:szCs w:val="24"/>
        </w:rPr>
        <w:t>CRi</w:t>
      </w:r>
      <w:proofErr w:type="spellEnd"/>
      <w:r w:rsidRPr="00FA3F9C">
        <w:rPr>
          <w:rFonts w:ascii="Arial" w:hAnsi="Arial" w:cs="Arial"/>
          <w:b/>
          <w:sz w:val="24"/>
          <w:szCs w:val="24"/>
        </w:rPr>
        <w:t xml:space="preserve"> = patient independent of transfusion but ANC &lt;1000/</w:t>
      </w:r>
      <w:proofErr w:type="spellStart"/>
      <w:r w:rsidRPr="00FA3F9C">
        <w:rPr>
          <w:rFonts w:ascii="Arial" w:hAnsi="Arial" w:cs="Arial"/>
          <w:b/>
          <w:sz w:val="24"/>
          <w:szCs w:val="24"/>
        </w:rPr>
        <w:t>mcL</w:t>
      </w:r>
      <w:proofErr w:type="spellEnd"/>
      <w:r w:rsidRPr="00FA3F9C">
        <w:rPr>
          <w:rFonts w:ascii="Arial" w:hAnsi="Arial" w:cs="Arial"/>
          <w:b/>
          <w:sz w:val="24"/>
          <w:szCs w:val="24"/>
        </w:rPr>
        <w:t xml:space="preserve"> and platelets &lt;100,000/</w:t>
      </w:r>
      <w:proofErr w:type="spellStart"/>
      <w:r w:rsidRPr="00FA3F9C">
        <w:rPr>
          <w:rFonts w:ascii="Arial" w:hAnsi="Arial" w:cs="Arial"/>
          <w:b/>
          <w:sz w:val="24"/>
          <w:szCs w:val="24"/>
        </w:rPr>
        <w:t>mcL</w:t>
      </w:r>
      <w:proofErr w:type="spellEnd"/>
    </w:p>
    <w:p w14:paraId="768E4157" w14:textId="77777777" w:rsidR="001506C1" w:rsidRPr="00FA3F9C" w:rsidRDefault="001506C1" w:rsidP="006F623F">
      <w:pPr>
        <w:spacing w:after="0"/>
        <w:rPr>
          <w:rFonts w:ascii="Arial" w:hAnsi="Arial" w:cs="Arial"/>
          <w:b/>
          <w:sz w:val="24"/>
          <w:szCs w:val="24"/>
        </w:rPr>
      </w:pPr>
    </w:p>
    <w:p w14:paraId="4A6D9C2B" w14:textId="77777777" w:rsidR="001506C1" w:rsidRPr="00FA3F9C" w:rsidRDefault="001506C1" w:rsidP="006F623F">
      <w:pPr>
        <w:spacing w:after="0"/>
        <w:rPr>
          <w:rFonts w:ascii="Arial" w:hAnsi="Arial" w:cs="Arial"/>
          <w:b/>
          <w:sz w:val="24"/>
          <w:szCs w:val="24"/>
        </w:rPr>
      </w:pPr>
      <w:r w:rsidRPr="00FA3F9C">
        <w:rPr>
          <w:rFonts w:ascii="Arial" w:hAnsi="Arial" w:cs="Arial"/>
          <w:b/>
          <w:sz w:val="24"/>
          <w:szCs w:val="24"/>
        </w:rPr>
        <w:t>***Intensive induction chemotherapy regimens include, but are not limited to the following:</w:t>
      </w:r>
    </w:p>
    <w:p w14:paraId="6A0CF74F" w14:textId="77777777" w:rsidR="001506C1" w:rsidRPr="00FA3F9C" w:rsidRDefault="001506C1" w:rsidP="001506C1">
      <w:pPr>
        <w:pStyle w:val="ListParagraph"/>
        <w:numPr>
          <w:ilvl w:val="0"/>
          <w:numId w:val="41"/>
        </w:numPr>
        <w:spacing w:after="0" w:line="276" w:lineRule="auto"/>
        <w:rPr>
          <w:rFonts w:ascii="Arial" w:hAnsi="Arial" w:cs="Arial"/>
          <w:sz w:val="24"/>
          <w:szCs w:val="24"/>
        </w:rPr>
      </w:pPr>
      <w:r w:rsidRPr="00FA3F9C">
        <w:rPr>
          <w:rFonts w:ascii="Arial" w:hAnsi="Arial" w:cs="Arial"/>
          <w:sz w:val="24"/>
          <w:szCs w:val="24"/>
        </w:rPr>
        <w:t>7+3 (idarubicin/cytarabine or daunorubicin/cytarabine)</w:t>
      </w:r>
    </w:p>
    <w:p w14:paraId="0E787BCD" w14:textId="77777777" w:rsidR="001506C1" w:rsidRPr="00FA3F9C" w:rsidRDefault="001506C1" w:rsidP="001506C1">
      <w:pPr>
        <w:pStyle w:val="ListParagraph"/>
        <w:numPr>
          <w:ilvl w:val="0"/>
          <w:numId w:val="41"/>
        </w:numPr>
        <w:spacing w:after="0" w:line="276" w:lineRule="auto"/>
        <w:rPr>
          <w:rFonts w:ascii="Arial" w:hAnsi="Arial" w:cs="Arial"/>
          <w:sz w:val="24"/>
          <w:szCs w:val="24"/>
        </w:rPr>
      </w:pPr>
      <w:r w:rsidRPr="00FA3F9C">
        <w:rPr>
          <w:rFonts w:ascii="Arial" w:hAnsi="Arial" w:cs="Arial"/>
          <w:sz w:val="24"/>
          <w:szCs w:val="24"/>
        </w:rPr>
        <w:t>FLAG-IDA (fludarabine, idarubicin, cytarabine, GCSF)</w:t>
      </w:r>
    </w:p>
    <w:p w14:paraId="3F3222BE" w14:textId="77777777" w:rsidR="001506C1" w:rsidRPr="00FA3F9C" w:rsidRDefault="001506C1" w:rsidP="001506C1">
      <w:pPr>
        <w:pStyle w:val="ListParagraph"/>
        <w:numPr>
          <w:ilvl w:val="0"/>
          <w:numId w:val="41"/>
        </w:numPr>
        <w:spacing w:after="0" w:line="276" w:lineRule="auto"/>
        <w:rPr>
          <w:rFonts w:ascii="Arial" w:hAnsi="Arial" w:cs="Arial"/>
          <w:sz w:val="24"/>
          <w:szCs w:val="24"/>
        </w:rPr>
      </w:pPr>
      <w:proofErr w:type="spellStart"/>
      <w:r w:rsidRPr="00FA3F9C">
        <w:rPr>
          <w:rFonts w:ascii="Arial" w:hAnsi="Arial" w:cs="Arial"/>
          <w:sz w:val="24"/>
          <w:szCs w:val="24"/>
        </w:rPr>
        <w:t>Vyxeos</w:t>
      </w:r>
      <w:proofErr w:type="spellEnd"/>
      <w:r w:rsidRPr="00FA3F9C">
        <w:rPr>
          <w:rFonts w:ascii="Arial" w:hAnsi="Arial" w:cs="Arial"/>
          <w:sz w:val="24"/>
          <w:szCs w:val="24"/>
        </w:rPr>
        <w:t xml:space="preserve"> (liposomal daunorubicin/cytarabine)</w:t>
      </w:r>
    </w:p>
    <w:p w14:paraId="016BA081" w14:textId="77777777" w:rsidR="001506C1" w:rsidRPr="00FA3F9C" w:rsidRDefault="001506C1" w:rsidP="001506C1">
      <w:pPr>
        <w:pStyle w:val="ListParagraph"/>
        <w:numPr>
          <w:ilvl w:val="0"/>
          <w:numId w:val="41"/>
        </w:numPr>
        <w:spacing w:after="0" w:line="276" w:lineRule="auto"/>
        <w:rPr>
          <w:rFonts w:ascii="Arial" w:hAnsi="Arial" w:cs="Arial"/>
          <w:sz w:val="24"/>
          <w:szCs w:val="24"/>
        </w:rPr>
      </w:pPr>
      <w:r w:rsidRPr="00FA3F9C">
        <w:rPr>
          <w:rFonts w:ascii="Arial" w:hAnsi="Arial" w:cs="Arial"/>
          <w:sz w:val="24"/>
          <w:szCs w:val="24"/>
        </w:rPr>
        <w:t>ADE (cytarabine, daunorubicin, etoposide)</w:t>
      </w:r>
    </w:p>
    <w:p w14:paraId="18F9214C" w14:textId="77777777" w:rsidR="001506C1" w:rsidRPr="00FA3F9C" w:rsidRDefault="001506C1" w:rsidP="001506C1">
      <w:pPr>
        <w:pStyle w:val="ListParagraph"/>
        <w:numPr>
          <w:ilvl w:val="0"/>
          <w:numId w:val="41"/>
        </w:numPr>
        <w:spacing w:after="0" w:line="276" w:lineRule="auto"/>
        <w:rPr>
          <w:rFonts w:ascii="Arial" w:hAnsi="Arial" w:cs="Arial"/>
          <w:sz w:val="24"/>
          <w:szCs w:val="24"/>
        </w:rPr>
      </w:pPr>
      <w:r w:rsidRPr="00FA3F9C">
        <w:rPr>
          <w:rFonts w:ascii="Arial" w:hAnsi="Arial" w:cs="Arial"/>
          <w:sz w:val="24"/>
          <w:szCs w:val="24"/>
        </w:rPr>
        <w:t>AIE (cytarabine, idarubicin, etoposide)</w:t>
      </w:r>
    </w:p>
    <w:p w14:paraId="287F2F70" w14:textId="77777777" w:rsidR="001506C1" w:rsidRPr="00FA3F9C" w:rsidRDefault="001506C1" w:rsidP="001506C1">
      <w:pPr>
        <w:pStyle w:val="ListParagraph"/>
        <w:numPr>
          <w:ilvl w:val="0"/>
          <w:numId w:val="41"/>
        </w:numPr>
        <w:spacing w:after="0" w:line="276" w:lineRule="auto"/>
        <w:rPr>
          <w:rFonts w:ascii="Arial" w:hAnsi="Arial" w:cs="Arial"/>
          <w:sz w:val="24"/>
          <w:szCs w:val="24"/>
        </w:rPr>
      </w:pPr>
      <w:r w:rsidRPr="00FA3F9C">
        <w:rPr>
          <w:rFonts w:ascii="Arial" w:hAnsi="Arial" w:cs="Arial"/>
          <w:sz w:val="24"/>
          <w:szCs w:val="24"/>
        </w:rPr>
        <w:t>MEC (mitoxantrone, etoposide, cytarabine)</w:t>
      </w:r>
    </w:p>
    <w:p w14:paraId="324B9DF6" w14:textId="77777777" w:rsidR="001506C1" w:rsidRPr="00FA3F9C" w:rsidRDefault="001506C1" w:rsidP="00570C23">
      <w:pPr>
        <w:spacing w:after="0"/>
        <w:rPr>
          <w:rFonts w:ascii="Arial" w:hAnsi="Arial" w:cs="Arial"/>
          <w:sz w:val="24"/>
          <w:szCs w:val="24"/>
        </w:rPr>
      </w:pPr>
    </w:p>
    <w:p w14:paraId="19F7C664" w14:textId="77777777" w:rsidR="001506C1" w:rsidRPr="00FA3F9C" w:rsidRDefault="001506C1" w:rsidP="00570C23">
      <w:pPr>
        <w:spacing w:after="0"/>
        <w:rPr>
          <w:rFonts w:ascii="Arial" w:hAnsi="Arial" w:cs="Arial"/>
          <w:b/>
          <w:sz w:val="24"/>
          <w:szCs w:val="24"/>
        </w:rPr>
      </w:pPr>
      <w:r w:rsidRPr="00FA3F9C">
        <w:rPr>
          <w:rFonts w:ascii="Arial" w:hAnsi="Arial" w:cs="Arial"/>
          <w:b/>
          <w:sz w:val="24"/>
          <w:szCs w:val="24"/>
        </w:rPr>
        <w:t>****Intensive consolidation therapy regimens include, but are not limited to the following:</w:t>
      </w:r>
    </w:p>
    <w:p w14:paraId="5182A841" w14:textId="77777777" w:rsidR="001506C1" w:rsidRPr="00FA3F9C" w:rsidRDefault="001506C1" w:rsidP="001506C1">
      <w:pPr>
        <w:pStyle w:val="ListParagraph"/>
        <w:numPr>
          <w:ilvl w:val="0"/>
          <w:numId w:val="42"/>
        </w:numPr>
        <w:spacing w:after="0" w:line="276" w:lineRule="auto"/>
        <w:rPr>
          <w:rFonts w:ascii="Arial" w:hAnsi="Arial" w:cs="Arial"/>
          <w:sz w:val="24"/>
          <w:szCs w:val="24"/>
        </w:rPr>
      </w:pPr>
      <w:r w:rsidRPr="00FA3F9C">
        <w:rPr>
          <w:rFonts w:ascii="Arial" w:hAnsi="Arial" w:cs="Arial"/>
          <w:sz w:val="24"/>
          <w:szCs w:val="24"/>
        </w:rPr>
        <w:t>High dose cytarabine</w:t>
      </w:r>
    </w:p>
    <w:p w14:paraId="1C7DB778" w14:textId="77777777" w:rsidR="001506C1" w:rsidRPr="00FA3F9C" w:rsidRDefault="001506C1" w:rsidP="001506C1">
      <w:pPr>
        <w:pStyle w:val="ListParagraph"/>
        <w:numPr>
          <w:ilvl w:val="0"/>
          <w:numId w:val="42"/>
        </w:numPr>
        <w:spacing w:after="0" w:line="276" w:lineRule="auto"/>
        <w:rPr>
          <w:rFonts w:ascii="Arial" w:hAnsi="Arial" w:cs="Arial"/>
          <w:sz w:val="24"/>
          <w:szCs w:val="24"/>
        </w:rPr>
      </w:pPr>
      <w:proofErr w:type="spellStart"/>
      <w:r w:rsidRPr="00FA3F9C">
        <w:rPr>
          <w:rFonts w:ascii="Arial" w:hAnsi="Arial" w:cs="Arial"/>
          <w:sz w:val="24"/>
          <w:szCs w:val="24"/>
        </w:rPr>
        <w:t>Vyxeos</w:t>
      </w:r>
      <w:proofErr w:type="spellEnd"/>
    </w:p>
    <w:p w14:paraId="1DF43D54" w14:textId="77777777" w:rsidR="001506C1" w:rsidRPr="00FA3F9C" w:rsidRDefault="001506C1" w:rsidP="001506C1">
      <w:pPr>
        <w:pStyle w:val="ListParagraph"/>
        <w:numPr>
          <w:ilvl w:val="0"/>
          <w:numId w:val="42"/>
        </w:numPr>
        <w:spacing w:after="0" w:line="276" w:lineRule="auto"/>
        <w:rPr>
          <w:rFonts w:ascii="Arial" w:hAnsi="Arial" w:cs="Arial"/>
          <w:sz w:val="24"/>
          <w:szCs w:val="24"/>
        </w:rPr>
      </w:pPr>
      <w:r w:rsidRPr="00FA3F9C">
        <w:rPr>
          <w:rFonts w:ascii="Arial" w:hAnsi="Arial" w:cs="Arial"/>
          <w:sz w:val="24"/>
          <w:szCs w:val="24"/>
        </w:rPr>
        <w:t>7+3 (idarubicin/cytarabine or daunorubicin/cytarabine)</w:t>
      </w:r>
    </w:p>
    <w:p w14:paraId="3DE184F9" w14:textId="77777777" w:rsidR="001506C1" w:rsidRPr="00FA3F9C" w:rsidRDefault="001506C1" w:rsidP="001506C1">
      <w:pPr>
        <w:pStyle w:val="ListParagraph"/>
        <w:numPr>
          <w:ilvl w:val="0"/>
          <w:numId w:val="42"/>
        </w:numPr>
        <w:spacing w:after="0" w:line="276" w:lineRule="auto"/>
        <w:rPr>
          <w:rFonts w:ascii="Arial" w:hAnsi="Arial" w:cs="Arial"/>
          <w:sz w:val="24"/>
          <w:szCs w:val="24"/>
        </w:rPr>
      </w:pPr>
      <w:r w:rsidRPr="00FA3F9C">
        <w:rPr>
          <w:rFonts w:ascii="Arial" w:hAnsi="Arial" w:cs="Arial"/>
          <w:sz w:val="24"/>
          <w:szCs w:val="24"/>
        </w:rPr>
        <w:t>5+2 (idarubicin/cytarabine or daunorubicin/cytarabine)</w:t>
      </w:r>
    </w:p>
    <w:p w14:paraId="0FB72CE9" w14:textId="77777777" w:rsidR="001506C1" w:rsidRPr="00FA3F9C" w:rsidRDefault="001506C1" w:rsidP="001506C1">
      <w:pPr>
        <w:pStyle w:val="ListParagraph"/>
        <w:numPr>
          <w:ilvl w:val="0"/>
          <w:numId w:val="42"/>
        </w:numPr>
        <w:spacing w:after="0" w:line="276" w:lineRule="auto"/>
        <w:rPr>
          <w:rFonts w:ascii="Arial" w:hAnsi="Arial" w:cs="Arial"/>
          <w:sz w:val="24"/>
          <w:szCs w:val="24"/>
        </w:rPr>
      </w:pPr>
      <w:r w:rsidRPr="00FA3F9C">
        <w:rPr>
          <w:rFonts w:ascii="Arial" w:hAnsi="Arial" w:cs="Arial"/>
          <w:sz w:val="24"/>
          <w:szCs w:val="24"/>
        </w:rPr>
        <w:t>Allogeneic stem cell transplant</w:t>
      </w:r>
    </w:p>
    <w:p w14:paraId="0142A211" w14:textId="77777777" w:rsidR="001506C1" w:rsidRPr="00FA3F9C" w:rsidRDefault="001506C1" w:rsidP="006F623F">
      <w:pPr>
        <w:spacing w:after="0"/>
        <w:rPr>
          <w:rFonts w:ascii="Arial" w:hAnsi="Arial" w:cs="Arial"/>
          <w:b/>
          <w:sz w:val="24"/>
          <w:szCs w:val="24"/>
          <w:u w:val="single"/>
        </w:rPr>
      </w:pPr>
    </w:p>
    <w:p w14:paraId="74501B39" w14:textId="77777777" w:rsidR="001506C1" w:rsidRPr="00FA3F9C" w:rsidRDefault="001506C1" w:rsidP="006F623F">
      <w:pPr>
        <w:spacing w:after="0"/>
        <w:rPr>
          <w:rFonts w:ascii="Arial" w:hAnsi="Arial" w:cs="Arial"/>
          <w:b/>
          <w:sz w:val="24"/>
          <w:szCs w:val="24"/>
          <w:u w:val="single"/>
        </w:rPr>
      </w:pPr>
    </w:p>
    <w:tbl>
      <w:tblPr>
        <w:tblStyle w:val="TableGrid"/>
        <w:tblW w:w="0" w:type="auto"/>
        <w:shd w:val="clear" w:color="auto" w:fill="BFBFBF" w:themeFill="background1" w:themeFillShade="BF"/>
        <w:tblLook w:val="04A0" w:firstRow="1" w:lastRow="0" w:firstColumn="1" w:lastColumn="0" w:noHBand="0" w:noVBand="1"/>
      </w:tblPr>
      <w:tblGrid>
        <w:gridCol w:w="11831"/>
      </w:tblGrid>
      <w:tr w:rsidR="001506C1" w:rsidRPr="00FA3F9C" w14:paraId="3FD9C01D" w14:textId="77777777" w:rsidTr="00D82B6E">
        <w:tc>
          <w:tcPr>
            <w:tcW w:w="10998" w:type="dxa"/>
            <w:shd w:val="clear" w:color="auto" w:fill="BFBFBF" w:themeFill="background1" w:themeFillShade="BF"/>
          </w:tcPr>
          <w:p w14:paraId="40314AA0" w14:textId="77777777" w:rsidR="001506C1" w:rsidRPr="00FA3F9C" w:rsidRDefault="001506C1" w:rsidP="00D82B6E">
            <w:pPr>
              <w:rPr>
                <w:rFonts w:ascii="Arial" w:hAnsi="Arial" w:cs="Arial"/>
                <w:sz w:val="24"/>
                <w:szCs w:val="24"/>
              </w:rPr>
            </w:pPr>
            <w:r w:rsidRPr="00FA3F9C">
              <w:rPr>
                <w:rFonts w:ascii="Arial" w:hAnsi="Arial" w:cs="Arial"/>
                <w:sz w:val="24"/>
                <w:szCs w:val="24"/>
              </w:rPr>
              <w:t xml:space="preserve">Notes: </w:t>
            </w:r>
          </w:p>
          <w:tbl>
            <w:tblPr>
              <w:tblStyle w:val="TableGrid"/>
              <w:tblpPr w:leftFromText="180" w:rightFromText="180" w:vertAnchor="text" w:horzAnchor="margin" w:tblpXSpec="center" w:tblpY="363"/>
              <w:tblW w:w="11605" w:type="dxa"/>
              <w:tblLook w:val="04A0" w:firstRow="1" w:lastRow="0" w:firstColumn="1" w:lastColumn="0" w:noHBand="0" w:noVBand="1"/>
            </w:tblPr>
            <w:tblGrid>
              <w:gridCol w:w="1958"/>
              <w:gridCol w:w="3547"/>
              <w:gridCol w:w="1434"/>
              <w:gridCol w:w="876"/>
              <w:gridCol w:w="3790"/>
            </w:tblGrid>
            <w:tr w:rsidR="001506C1" w:rsidRPr="00FA3F9C" w14:paraId="205942DD" w14:textId="77777777" w:rsidTr="00D761EE">
              <w:trPr>
                <w:cantSplit/>
                <w:trHeight w:val="50"/>
                <w:tblHeader/>
              </w:trPr>
              <w:tc>
                <w:tcPr>
                  <w:tcW w:w="1968" w:type="dxa"/>
                  <w:shd w:val="clear" w:color="auto" w:fill="BFBFBF" w:themeFill="background1" w:themeFillShade="BF"/>
                </w:tcPr>
                <w:p w14:paraId="3E08B750" w14:textId="77777777" w:rsidR="001506C1" w:rsidRPr="00FA3F9C" w:rsidRDefault="001506C1" w:rsidP="00C1570D">
                  <w:pPr>
                    <w:pStyle w:val="ListParagraph"/>
                    <w:ind w:left="0"/>
                    <w:rPr>
                      <w:rFonts w:ascii="Arial" w:hAnsi="Arial" w:cs="Arial"/>
                      <w:sz w:val="24"/>
                      <w:szCs w:val="24"/>
                    </w:rPr>
                  </w:pPr>
                  <w:r w:rsidRPr="00FA3F9C">
                    <w:rPr>
                      <w:rFonts w:ascii="Arial" w:hAnsi="Arial" w:cs="Arial"/>
                      <w:sz w:val="24"/>
                      <w:szCs w:val="24"/>
                    </w:rPr>
                    <w:t>Trial</w:t>
                  </w:r>
                </w:p>
              </w:tc>
              <w:tc>
                <w:tcPr>
                  <w:tcW w:w="3607" w:type="dxa"/>
                  <w:shd w:val="clear" w:color="auto" w:fill="BFBFBF" w:themeFill="background1" w:themeFillShade="BF"/>
                </w:tcPr>
                <w:p w14:paraId="6F6D5412" w14:textId="77777777" w:rsidR="001506C1" w:rsidRPr="00FA3F9C" w:rsidRDefault="001506C1" w:rsidP="00C1570D">
                  <w:pPr>
                    <w:pStyle w:val="ListParagraph"/>
                    <w:ind w:left="0"/>
                    <w:rPr>
                      <w:rFonts w:ascii="Arial" w:hAnsi="Arial" w:cs="Arial"/>
                      <w:sz w:val="24"/>
                      <w:szCs w:val="24"/>
                    </w:rPr>
                  </w:pPr>
                  <w:r w:rsidRPr="00FA3F9C">
                    <w:rPr>
                      <w:rFonts w:ascii="Arial" w:hAnsi="Arial" w:cs="Arial"/>
                      <w:sz w:val="24"/>
                      <w:szCs w:val="24"/>
                    </w:rPr>
                    <w:t>Population</w:t>
                  </w:r>
                </w:p>
              </w:tc>
              <w:tc>
                <w:tcPr>
                  <w:tcW w:w="1440" w:type="dxa"/>
                  <w:shd w:val="clear" w:color="auto" w:fill="BFBFBF" w:themeFill="background1" w:themeFillShade="BF"/>
                </w:tcPr>
                <w:p w14:paraId="503F38D7" w14:textId="77777777" w:rsidR="001506C1" w:rsidRPr="00FA3F9C" w:rsidRDefault="001506C1" w:rsidP="00C1570D">
                  <w:pPr>
                    <w:pStyle w:val="ListParagraph"/>
                    <w:ind w:left="0"/>
                    <w:rPr>
                      <w:rFonts w:ascii="Arial" w:hAnsi="Arial" w:cs="Arial"/>
                      <w:sz w:val="24"/>
                      <w:szCs w:val="24"/>
                    </w:rPr>
                  </w:pPr>
                  <w:r w:rsidRPr="00FA3F9C">
                    <w:rPr>
                      <w:rFonts w:ascii="Arial" w:hAnsi="Arial" w:cs="Arial"/>
                      <w:sz w:val="24"/>
                      <w:szCs w:val="24"/>
                    </w:rPr>
                    <w:t>Key Outcomes</w:t>
                  </w:r>
                </w:p>
              </w:tc>
              <w:tc>
                <w:tcPr>
                  <w:tcW w:w="4590" w:type="dxa"/>
                  <w:gridSpan w:val="2"/>
                  <w:shd w:val="clear" w:color="auto" w:fill="BFBFBF" w:themeFill="background1" w:themeFillShade="BF"/>
                </w:tcPr>
                <w:p w14:paraId="24746527" w14:textId="77777777" w:rsidR="001506C1" w:rsidRPr="00FA3F9C" w:rsidRDefault="001506C1" w:rsidP="00C1570D">
                  <w:pPr>
                    <w:pStyle w:val="ListParagraph"/>
                    <w:ind w:left="0"/>
                    <w:rPr>
                      <w:rFonts w:ascii="Arial" w:hAnsi="Arial" w:cs="Arial"/>
                      <w:sz w:val="24"/>
                      <w:szCs w:val="24"/>
                    </w:rPr>
                  </w:pPr>
                  <w:r w:rsidRPr="00FA3F9C">
                    <w:rPr>
                      <w:rFonts w:ascii="Arial" w:hAnsi="Arial" w:cs="Arial"/>
                      <w:sz w:val="24"/>
                      <w:szCs w:val="24"/>
                    </w:rPr>
                    <w:t>Key Results (</w:t>
                  </w:r>
                  <w:proofErr w:type="spellStart"/>
                  <w:r w:rsidRPr="00FA3F9C">
                    <w:rPr>
                      <w:rFonts w:ascii="Arial" w:hAnsi="Arial" w:cs="Arial"/>
                      <w:sz w:val="24"/>
                      <w:szCs w:val="24"/>
                    </w:rPr>
                    <w:t>Onureg</w:t>
                  </w:r>
                  <w:proofErr w:type="spellEnd"/>
                  <w:r w:rsidRPr="00FA3F9C">
                    <w:rPr>
                      <w:rFonts w:ascii="Arial" w:hAnsi="Arial" w:cs="Arial"/>
                      <w:sz w:val="24"/>
                      <w:szCs w:val="24"/>
                    </w:rPr>
                    <w:t xml:space="preserve"> vs placebo)</w:t>
                  </w:r>
                </w:p>
              </w:tc>
            </w:tr>
            <w:tr w:rsidR="001506C1" w:rsidRPr="00FA3F9C" w14:paraId="112F6504" w14:textId="77777777" w:rsidTr="00D761EE">
              <w:trPr>
                <w:trHeight w:val="302"/>
              </w:trPr>
              <w:tc>
                <w:tcPr>
                  <w:tcW w:w="1968" w:type="dxa"/>
                  <w:vMerge w:val="restart"/>
                </w:tcPr>
                <w:p w14:paraId="1B66ECE2" w14:textId="77777777" w:rsidR="001506C1" w:rsidRPr="00FA3F9C" w:rsidRDefault="001506C1" w:rsidP="00C1570D">
                  <w:pPr>
                    <w:ind w:left="-630" w:right="-270"/>
                    <w:rPr>
                      <w:rFonts w:ascii="Arial" w:hAnsi="Arial" w:cs="Arial"/>
                      <w:sz w:val="24"/>
                      <w:szCs w:val="24"/>
                    </w:rPr>
                  </w:pPr>
                  <w:r w:rsidRPr="00FA3F9C">
                    <w:rPr>
                      <w:rFonts w:ascii="Arial" w:hAnsi="Arial" w:cs="Arial"/>
                      <w:color w:val="000000"/>
                      <w:sz w:val="24"/>
                      <w:szCs w:val="24"/>
                    </w:rPr>
                    <w:t xml:space="preserve">QUAZA   </w:t>
                  </w:r>
                  <w:r w:rsidRPr="00FA3F9C">
                    <w:rPr>
                      <w:rFonts w:ascii="Arial" w:hAnsi="Arial" w:cs="Arial"/>
                      <w:sz w:val="24"/>
                      <w:szCs w:val="24"/>
                    </w:rPr>
                    <w:t>QUAZAR AML-001</w:t>
                  </w:r>
                  <w:r w:rsidRPr="00FA3F9C">
                    <w:rPr>
                      <w:rFonts w:ascii="Arial" w:hAnsi="Arial" w:cs="Arial"/>
                      <w:sz w:val="24"/>
                      <w:szCs w:val="24"/>
                      <w:vertAlign w:val="superscript"/>
                    </w:rPr>
                    <w:t>1-4</w:t>
                  </w:r>
                </w:p>
                <w:p w14:paraId="569A5059" w14:textId="77777777" w:rsidR="001506C1" w:rsidRPr="00FA3F9C" w:rsidRDefault="001506C1" w:rsidP="00C1570D">
                  <w:pPr>
                    <w:rPr>
                      <w:rFonts w:ascii="Arial" w:hAnsi="Arial" w:cs="Arial"/>
                      <w:sz w:val="24"/>
                      <w:szCs w:val="24"/>
                    </w:rPr>
                  </w:pPr>
                  <w:r w:rsidRPr="00FA3F9C">
                    <w:rPr>
                      <w:rFonts w:ascii="Arial" w:hAnsi="Arial" w:cs="Arial"/>
                      <w:sz w:val="24"/>
                      <w:szCs w:val="24"/>
                    </w:rPr>
                    <w:t>NCT01757535</w:t>
                  </w:r>
                </w:p>
                <w:p w14:paraId="790953A6" w14:textId="77777777" w:rsidR="001506C1" w:rsidRPr="00FA3F9C" w:rsidRDefault="001506C1" w:rsidP="00C1570D">
                  <w:pPr>
                    <w:rPr>
                      <w:rFonts w:ascii="Arial" w:hAnsi="Arial" w:cs="Arial"/>
                      <w:sz w:val="24"/>
                      <w:szCs w:val="24"/>
                    </w:rPr>
                  </w:pPr>
                  <w:r w:rsidRPr="00FA3F9C">
                    <w:rPr>
                      <w:rFonts w:ascii="Arial" w:hAnsi="Arial" w:cs="Arial"/>
                      <w:sz w:val="24"/>
                      <w:szCs w:val="24"/>
                    </w:rPr>
                    <w:t>RCT, DB, PB, P3</w:t>
                  </w:r>
                </w:p>
                <w:p w14:paraId="75DB0807" w14:textId="77777777" w:rsidR="001506C1" w:rsidRPr="00FA3F9C" w:rsidRDefault="001506C1" w:rsidP="00C1570D">
                  <w:pPr>
                    <w:rPr>
                      <w:rFonts w:ascii="Arial" w:hAnsi="Arial" w:cs="Arial"/>
                      <w:sz w:val="24"/>
                      <w:szCs w:val="24"/>
                    </w:rPr>
                  </w:pPr>
                </w:p>
                <w:p w14:paraId="6ECFF724" w14:textId="77777777" w:rsidR="001506C1" w:rsidRPr="00FA3F9C" w:rsidRDefault="001506C1" w:rsidP="00C1570D">
                  <w:pPr>
                    <w:rPr>
                      <w:rFonts w:ascii="Arial" w:hAnsi="Arial" w:cs="Arial"/>
                      <w:sz w:val="24"/>
                      <w:szCs w:val="24"/>
                    </w:rPr>
                  </w:pPr>
                  <w:proofErr w:type="spellStart"/>
                  <w:r w:rsidRPr="00FA3F9C">
                    <w:rPr>
                      <w:rFonts w:ascii="Arial" w:hAnsi="Arial" w:cs="Arial"/>
                      <w:sz w:val="24"/>
                      <w:szCs w:val="24"/>
                    </w:rPr>
                    <w:t>Onureg</w:t>
                  </w:r>
                  <w:proofErr w:type="spellEnd"/>
                  <w:r w:rsidRPr="00FA3F9C">
                    <w:rPr>
                      <w:rFonts w:ascii="Arial" w:hAnsi="Arial" w:cs="Arial"/>
                      <w:sz w:val="24"/>
                      <w:szCs w:val="24"/>
                    </w:rPr>
                    <w:t xml:space="preserve"> vs </w:t>
                  </w:r>
                </w:p>
                <w:p w14:paraId="3B4910FF" w14:textId="77777777" w:rsidR="001506C1" w:rsidRPr="00FA3F9C" w:rsidRDefault="001506C1" w:rsidP="00C1570D">
                  <w:pPr>
                    <w:rPr>
                      <w:rFonts w:ascii="Arial" w:hAnsi="Arial" w:cs="Arial"/>
                      <w:sz w:val="24"/>
                      <w:szCs w:val="24"/>
                    </w:rPr>
                  </w:pPr>
                  <w:r w:rsidRPr="00FA3F9C">
                    <w:rPr>
                      <w:rFonts w:ascii="Arial" w:hAnsi="Arial" w:cs="Arial"/>
                      <w:sz w:val="24"/>
                      <w:szCs w:val="24"/>
                    </w:rPr>
                    <w:t>placebo</w:t>
                  </w:r>
                </w:p>
                <w:p w14:paraId="7D1DD648" w14:textId="77777777" w:rsidR="001506C1" w:rsidRPr="00FA3F9C" w:rsidRDefault="001506C1" w:rsidP="00C1570D">
                  <w:pPr>
                    <w:rPr>
                      <w:rFonts w:ascii="Arial" w:hAnsi="Arial" w:cs="Arial"/>
                      <w:sz w:val="24"/>
                      <w:szCs w:val="24"/>
                    </w:rPr>
                  </w:pPr>
                </w:p>
                <w:p w14:paraId="7CB28B94" w14:textId="77777777" w:rsidR="001506C1" w:rsidRPr="00FA3F9C" w:rsidRDefault="001506C1" w:rsidP="00C1570D">
                  <w:pPr>
                    <w:rPr>
                      <w:rFonts w:ascii="Arial" w:hAnsi="Arial" w:cs="Arial"/>
                      <w:sz w:val="24"/>
                      <w:szCs w:val="24"/>
                    </w:rPr>
                  </w:pPr>
                  <w:r w:rsidRPr="00FA3F9C">
                    <w:rPr>
                      <w:rFonts w:ascii="Arial" w:hAnsi="Arial" w:cs="Arial"/>
                      <w:sz w:val="24"/>
                      <w:szCs w:val="24"/>
                    </w:rPr>
                    <w:t>1:1 randomization</w:t>
                  </w:r>
                </w:p>
              </w:tc>
              <w:tc>
                <w:tcPr>
                  <w:tcW w:w="3607" w:type="dxa"/>
                  <w:vMerge w:val="restart"/>
                </w:tcPr>
                <w:p w14:paraId="68A19DAE" w14:textId="77777777" w:rsidR="001506C1" w:rsidRPr="00FA3F9C" w:rsidRDefault="001506C1" w:rsidP="00C1570D">
                  <w:pPr>
                    <w:pBdr>
                      <w:bottom w:val="single" w:sz="4" w:space="1" w:color="auto"/>
                    </w:pBdr>
                    <w:rPr>
                      <w:rFonts w:ascii="Arial" w:hAnsi="Arial" w:cs="Arial"/>
                      <w:sz w:val="24"/>
                      <w:szCs w:val="24"/>
                    </w:rPr>
                  </w:pPr>
                  <w:r w:rsidRPr="00FA3F9C">
                    <w:rPr>
                      <w:rFonts w:ascii="Arial" w:hAnsi="Arial" w:cs="Arial"/>
                      <w:sz w:val="24"/>
                      <w:szCs w:val="24"/>
                    </w:rPr>
                    <w:t>Key Inclusion/Exclusion Criteria</w:t>
                  </w:r>
                </w:p>
                <w:p w14:paraId="1B2B123A" w14:textId="77777777" w:rsidR="001506C1" w:rsidRPr="00FA3F9C" w:rsidRDefault="001506C1" w:rsidP="001506C1">
                  <w:pPr>
                    <w:pStyle w:val="ListParagraph"/>
                    <w:numPr>
                      <w:ilvl w:val="0"/>
                      <w:numId w:val="43"/>
                    </w:numPr>
                    <w:ind w:left="75" w:hanging="90"/>
                    <w:rPr>
                      <w:rFonts w:ascii="Arial" w:hAnsi="Arial" w:cs="Arial"/>
                      <w:sz w:val="24"/>
                      <w:szCs w:val="24"/>
                    </w:rPr>
                  </w:pPr>
                  <w:r w:rsidRPr="00FA3F9C">
                    <w:rPr>
                      <w:rFonts w:ascii="Arial" w:hAnsi="Arial" w:cs="Arial"/>
                      <w:sz w:val="24"/>
                      <w:szCs w:val="24"/>
                    </w:rPr>
                    <w:t xml:space="preserve"> ≥ 55 years of age</w:t>
                  </w:r>
                </w:p>
                <w:p w14:paraId="5E66F1C4" w14:textId="77777777" w:rsidR="001506C1" w:rsidRPr="00FA3F9C" w:rsidRDefault="001506C1" w:rsidP="001506C1">
                  <w:pPr>
                    <w:pStyle w:val="ListParagraph"/>
                    <w:numPr>
                      <w:ilvl w:val="0"/>
                      <w:numId w:val="43"/>
                    </w:numPr>
                    <w:ind w:left="75" w:hanging="90"/>
                    <w:rPr>
                      <w:rFonts w:ascii="Arial" w:hAnsi="Arial" w:cs="Arial"/>
                      <w:sz w:val="24"/>
                      <w:szCs w:val="24"/>
                    </w:rPr>
                  </w:pPr>
                  <w:r w:rsidRPr="00FA3F9C">
                    <w:rPr>
                      <w:rFonts w:ascii="Arial" w:hAnsi="Arial" w:cs="Arial"/>
                      <w:sz w:val="24"/>
                      <w:szCs w:val="24"/>
                    </w:rPr>
                    <w:t xml:space="preserve"> Newly diagnosed AML or AML secondary to prior myelodysplastic disease </w:t>
                  </w:r>
                </w:p>
                <w:p w14:paraId="2E55DCF9" w14:textId="77777777" w:rsidR="001506C1" w:rsidRPr="00FA3F9C" w:rsidRDefault="001506C1" w:rsidP="001506C1">
                  <w:pPr>
                    <w:pStyle w:val="ListParagraph"/>
                    <w:numPr>
                      <w:ilvl w:val="0"/>
                      <w:numId w:val="43"/>
                    </w:numPr>
                    <w:ind w:left="75" w:hanging="90"/>
                    <w:rPr>
                      <w:rFonts w:ascii="Arial" w:hAnsi="Arial" w:cs="Arial"/>
                      <w:sz w:val="24"/>
                      <w:szCs w:val="24"/>
                    </w:rPr>
                  </w:pPr>
                  <w:r w:rsidRPr="00FA3F9C">
                    <w:rPr>
                      <w:rFonts w:ascii="Arial" w:hAnsi="Arial" w:cs="Arial"/>
                      <w:sz w:val="24"/>
                      <w:szCs w:val="24"/>
                    </w:rPr>
                    <w:t xml:space="preserve"> Within 4 months of first complete remission (CR) or complete remission with incomplete blood count (</w:t>
                  </w:r>
                  <w:proofErr w:type="spellStart"/>
                  <w:r w:rsidRPr="00FA3F9C">
                    <w:rPr>
                      <w:rFonts w:ascii="Arial" w:hAnsi="Arial" w:cs="Arial"/>
                      <w:sz w:val="24"/>
                      <w:szCs w:val="24"/>
                    </w:rPr>
                    <w:t>CRi</w:t>
                  </w:r>
                  <w:proofErr w:type="spellEnd"/>
                  <w:r w:rsidRPr="00FA3F9C">
                    <w:rPr>
                      <w:rFonts w:ascii="Arial" w:hAnsi="Arial" w:cs="Arial"/>
                      <w:sz w:val="24"/>
                      <w:szCs w:val="24"/>
                    </w:rPr>
                    <w:t xml:space="preserve">) recovery with induction therapy </w:t>
                  </w:r>
                </w:p>
                <w:p w14:paraId="2F0AFE18" w14:textId="77777777" w:rsidR="001506C1" w:rsidRPr="00FA3F9C" w:rsidRDefault="001506C1" w:rsidP="001506C1">
                  <w:pPr>
                    <w:pStyle w:val="ListParagraph"/>
                    <w:numPr>
                      <w:ilvl w:val="0"/>
                      <w:numId w:val="43"/>
                    </w:numPr>
                    <w:ind w:left="75" w:hanging="90"/>
                    <w:rPr>
                      <w:rFonts w:ascii="Arial" w:hAnsi="Arial" w:cs="Arial"/>
                      <w:sz w:val="24"/>
                      <w:szCs w:val="24"/>
                    </w:rPr>
                  </w:pPr>
                  <w:r w:rsidRPr="00FA3F9C">
                    <w:rPr>
                      <w:rFonts w:ascii="Arial" w:hAnsi="Arial" w:cs="Arial"/>
                      <w:sz w:val="24"/>
                      <w:szCs w:val="24"/>
                    </w:rPr>
                    <w:t xml:space="preserve"> Consolidation therapy could have been given but not required</w:t>
                  </w:r>
                </w:p>
                <w:p w14:paraId="53C2BD0D" w14:textId="77777777" w:rsidR="001506C1" w:rsidRPr="00FA3F9C" w:rsidRDefault="001506C1" w:rsidP="001506C1">
                  <w:pPr>
                    <w:pStyle w:val="ListParagraph"/>
                    <w:numPr>
                      <w:ilvl w:val="0"/>
                      <w:numId w:val="43"/>
                    </w:numPr>
                    <w:ind w:left="75" w:hanging="90"/>
                    <w:rPr>
                      <w:rFonts w:ascii="Arial" w:hAnsi="Arial" w:cs="Arial"/>
                      <w:sz w:val="24"/>
                      <w:szCs w:val="24"/>
                    </w:rPr>
                  </w:pPr>
                  <w:r w:rsidRPr="00FA3F9C">
                    <w:rPr>
                      <w:rFonts w:ascii="Arial" w:hAnsi="Arial" w:cs="Arial"/>
                      <w:sz w:val="24"/>
                      <w:szCs w:val="24"/>
                    </w:rPr>
                    <w:t xml:space="preserve"> Not a candidate for stem cell transplantation</w:t>
                  </w:r>
                </w:p>
                <w:p w14:paraId="70DB8FDC" w14:textId="77777777" w:rsidR="001506C1" w:rsidRPr="00FA3F9C" w:rsidRDefault="001506C1" w:rsidP="001506C1">
                  <w:pPr>
                    <w:pStyle w:val="ListParagraph"/>
                    <w:numPr>
                      <w:ilvl w:val="0"/>
                      <w:numId w:val="43"/>
                    </w:numPr>
                    <w:ind w:left="75" w:hanging="90"/>
                    <w:rPr>
                      <w:rFonts w:ascii="Arial" w:hAnsi="Arial" w:cs="Arial"/>
                      <w:sz w:val="24"/>
                      <w:szCs w:val="24"/>
                    </w:rPr>
                  </w:pPr>
                  <w:r w:rsidRPr="00FA3F9C">
                    <w:rPr>
                      <w:rFonts w:ascii="Arial" w:hAnsi="Arial" w:cs="Arial"/>
                      <w:sz w:val="24"/>
                      <w:szCs w:val="24"/>
                    </w:rPr>
                    <w:t xml:space="preserve"> Hypomethylating agent not used to achieve CR/</w:t>
                  </w:r>
                  <w:proofErr w:type="spellStart"/>
                  <w:r w:rsidRPr="00FA3F9C">
                    <w:rPr>
                      <w:rFonts w:ascii="Arial" w:hAnsi="Arial" w:cs="Arial"/>
                      <w:sz w:val="24"/>
                      <w:szCs w:val="24"/>
                    </w:rPr>
                    <w:t>CRi</w:t>
                  </w:r>
                  <w:proofErr w:type="spellEnd"/>
                  <w:r w:rsidRPr="00FA3F9C">
                    <w:rPr>
                      <w:rFonts w:ascii="Arial" w:hAnsi="Arial" w:cs="Arial"/>
                      <w:sz w:val="24"/>
                      <w:szCs w:val="24"/>
                    </w:rPr>
                    <w:t>.</w:t>
                  </w:r>
                </w:p>
                <w:p w14:paraId="322AD998" w14:textId="77777777" w:rsidR="001506C1" w:rsidRPr="00FA3F9C" w:rsidRDefault="001506C1" w:rsidP="00C1570D">
                  <w:pPr>
                    <w:pBdr>
                      <w:top w:val="single" w:sz="4" w:space="1" w:color="auto"/>
                      <w:bottom w:val="single" w:sz="4" w:space="1" w:color="auto"/>
                    </w:pBdr>
                    <w:rPr>
                      <w:rFonts w:ascii="Arial" w:hAnsi="Arial" w:cs="Arial"/>
                      <w:sz w:val="24"/>
                      <w:szCs w:val="24"/>
                    </w:rPr>
                  </w:pPr>
                  <w:r w:rsidRPr="00FA3F9C">
                    <w:rPr>
                      <w:rFonts w:ascii="Arial" w:hAnsi="Arial" w:cs="Arial"/>
                      <w:sz w:val="24"/>
                      <w:szCs w:val="24"/>
                    </w:rPr>
                    <w:t>POPULATION ENROLLED</w:t>
                  </w:r>
                </w:p>
                <w:p w14:paraId="30EA5AA3" w14:textId="77777777" w:rsidR="001506C1" w:rsidRPr="00FA3F9C" w:rsidRDefault="001506C1" w:rsidP="00C1570D">
                  <w:pPr>
                    <w:rPr>
                      <w:rFonts w:ascii="Arial" w:hAnsi="Arial" w:cs="Arial"/>
                      <w:sz w:val="24"/>
                      <w:szCs w:val="24"/>
                    </w:rPr>
                  </w:pPr>
                  <w:r w:rsidRPr="00FA3F9C">
                    <w:rPr>
                      <w:rFonts w:ascii="Arial" w:hAnsi="Arial" w:cs="Arial"/>
                      <w:sz w:val="24"/>
                      <w:szCs w:val="24"/>
                    </w:rPr>
                    <w:t xml:space="preserve"> N = 472 patients </w:t>
                  </w:r>
                </w:p>
                <w:p w14:paraId="29A3DE75" w14:textId="77777777" w:rsidR="001506C1" w:rsidRPr="00FA3F9C" w:rsidRDefault="001506C1" w:rsidP="001506C1">
                  <w:pPr>
                    <w:pStyle w:val="ListParagraph"/>
                    <w:numPr>
                      <w:ilvl w:val="0"/>
                      <w:numId w:val="43"/>
                    </w:numPr>
                    <w:ind w:left="75" w:hanging="90"/>
                    <w:rPr>
                      <w:rFonts w:ascii="Arial" w:hAnsi="Arial" w:cs="Arial"/>
                      <w:sz w:val="24"/>
                      <w:szCs w:val="24"/>
                    </w:rPr>
                  </w:pPr>
                  <w:r w:rsidRPr="00FA3F9C">
                    <w:rPr>
                      <w:rFonts w:ascii="Arial" w:hAnsi="Arial" w:cs="Arial"/>
                      <w:sz w:val="24"/>
                      <w:szCs w:val="24"/>
                    </w:rPr>
                    <w:t xml:space="preserve"> Median age: 68 years </w:t>
                  </w:r>
                </w:p>
                <w:p w14:paraId="0E99EDAC" w14:textId="77777777" w:rsidR="001506C1" w:rsidRPr="00FA3F9C" w:rsidRDefault="001506C1" w:rsidP="001506C1">
                  <w:pPr>
                    <w:pStyle w:val="ListParagraph"/>
                    <w:numPr>
                      <w:ilvl w:val="0"/>
                      <w:numId w:val="43"/>
                    </w:numPr>
                    <w:ind w:left="75" w:hanging="90"/>
                    <w:rPr>
                      <w:rFonts w:ascii="Arial" w:hAnsi="Arial" w:cs="Arial"/>
                      <w:sz w:val="24"/>
                      <w:szCs w:val="24"/>
                    </w:rPr>
                  </w:pPr>
                  <w:r w:rsidRPr="00FA3F9C">
                    <w:rPr>
                      <w:rFonts w:ascii="Arial" w:hAnsi="Arial" w:cs="Arial"/>
                      <w:sz w:val="24"/>
                      <w:szCs w:val="24"/>
                    </w:rPr>
                    <w:t xml:space="preserve"> ECOG 1 or 2: ~91%</w:t>
                  </w:r>
                </w:p>
                <w:p w14:paraId="423F97AE" w14:textId="77777777" w:rsidR="001506C1" w:rsidRPr="00FA3F9C" w:rsidRDefault="001506C1" w:rsidP="001506C1">
                  <w:pPr>
                    <w:pStyle w:val="ListParagraph"/>
                    <w:numPr>
                      <w:ilvl w:val="0"/>
                      <w:numId w:val="43"/>
                    </w:numPr>
                    <w:ind w:left="75" w:hanging="90"/>
                    <w:rPr>
                      <w:rFonts w:ascii="Arial" w:hAnsi="Arial" w:cs="Arial"/>
                      <w:sz w:val="24"/>
                      <w:szCs w:val="24"/>
                    </w:rPr>
                  </w:pPr>
                  <w:r w:rsidRPr="00FA3F9C">
                    <w:rPr>
                      <w:rFonts w:ascii="Arial" w:hAnsi="Arial" w:cs="Arial"/>
                      <w:sz w:val="24"/>
                      <w:szCs w:val="24"/>
                    </w:rPr>
                    <w:t xml:space="preserve"> Intermediate risk: ~85%</w:t>
                  </w:r>
                </w:p>
                <w:p w14:paraId="1CAAD0E5" w14:textId="77777777" w:rsidR="001506C1" w:rsidRPr="00FA3F9C" w:rsidRDefault="001506C1" w:rsidP="001506C1">
                  <w:pPr>
                    <w:pStyle w:val="ListParagraph"/>
                    <w:numPr>
                      <w:ilvl w:val="0"/>
                      <w:numId w:val="43"/>
                    </w:numPr>
                    <w:ind w:left="75" w:hanging="90"/>
                    <w:rPr>
                      <w:rFonts w:ascii="Arial" w:hAnsi="Arial" w:cs="Arial"/>
                      <w:sz w:val="24"/>
                      <w:szCs w:val="24"/>
                    </w:rPr>
                  </w:pPr>
                  <w:r w:rsidRPr="00FA3F9C">
                    <w:rPr>
                      <w:rFonts w:ascii="Arial" w:hAnsi="Arial" w:cs="Arial"/>
                      <w:sz w:val="24"/>
                      <w:szCs w:val="24"/>
                    </w:rPr>
                    <w:t xml:space="preserve"> Poor risk: ~15%</w:t>
                  </w:r>
                </w:p>
                <w:p w14:paraId="601C9D22" w14:textId="77777777" w:rsidR="001506C1" w:rsidRPr="00FA3F9C" w:rsidRDefault="001506C1" w:rsidP="001506C1">
                  <w:pPr>
                    <w:pStyle w:val="ListParagraph"/>
                    <w:numPr>
                      <w:ilvl w:val="0"/>
                      <w:numId w:val="43"/>
                    </w:numPr>
                    <w:ind w:left="75" w:hanging="90"/>
                    <w:rPr>
                      <w:rFonts w:ascii="Arial" w:hAnsi="Arial" w:cs="Arial"/>
                      <w:sz w:val="24"/>
                      <w:szCs w:val="24"/>
                    </w:rPr>
                  </w:pPr>
                  <w:r w:rsidRPr="00FA3F9C">
                    <w:rPr>
                      <w:rFonts w:ascii="Arial" w:hAnsi="Arial" w:cs="Arial"/>
                      <w:sz w:val="24"/>
                      <w:szCs w:val="24"/>
                    </w:rPr>
                    <w:t xml:space="preserve">Consolidation after induction: </w:t>
                  </w:r>
                </w:p>
                <w:p w14:paraId="44C5072E" w14:textId="77777777" w:rsidR="001506C1" w:rsidRPr="00FA3F9C" w:rsidRDefault="001506C1" w:rsidP="001506C1">
                  <w:pPr>
                    <w:pStyle w:val="ListParagraph"/>
                    <w:numPr>
                      <w:ilvl w:val="0"/>
                      <w:numId w:val="43"/>
                    </w:numPr>
                    <w:ind w:left="345" w:hanging="90"/>
                    <w:rPr>
                      <w:rFonts w:ascii="Arial" w:hAnsi="Arial" w:cs="Arial"/>
                      <w:sz w:val="24"/>
                      <w:szCs w:val="24"/>
                    </w:rPr>
                  </w:pPr>
                  <w:r w:rsidRPr="00FA3F9C">
                    <w:rPr>
                      <w:rFonts w:ascii="Arial" w:hAnsi="Arial" w:cs="Arial"/>
                      <w:sz w:val="24"/>
                      <w:szCs w:val="24"/>
                    </w:rPr>
                    <w:lastRenderedPageBreak/>
                    <w:t>None: ~20%</w:t>
                  </w:r>
                </w:p>
                <w:p w14:paraId="55B143C8" w14:textId="77777777" w:rsidR="001506C1" w:rsidRPr="00FA3F9C" w:rsidRDefault="001506C1" w:rsidP="001506C1">
                  <w:pPr>
                    <w:pStyle w:val="ListParagraph"/>
                    <w:numPr>
                      <w:ilvl w:val="0"/>
                      <w:numId w:val="43"/>
                    </w:numPr>
                    <w:ind w:left="345" w:hanging="90"/>
                    <w:rPr>
                      <w:rFonts w:ascii="Arial" w:hAnsi="Arial" w:cs="Arial"/>
                      <w:sz w:val="24"/>
                      <w:szCs w:val="24"/>
                    </w:rPr>
                  </w:pPr>
                  <w:r w:rsidRPr="00FA3F9C">
                    <w:rPr>
                      <w:rFonts w:ascii="Arial" w:hAnsi="Arial" w:cs="Arial"/>
                      <w:sz w:val="24"/>
                      <w:szCs w:val="24"/>
                    </w:rPr>
                    <w:t>1 cycle: ~45%</w:t>
                  </w:r>
                </w:p>
                <w:p w14:paraId="0C8221DB" w14:textId="77777777" w:rsidR="001506C1" w:rsidRPr="00FA3F9C" w:rsidRDefault="001506C1" w:rsidP="001506C1">
                  <w:pPr>
                    <w:pStyle w:val="ListParagraph"/>
                    <w:numPr>
                      <w:ilvl w:val="0"/>
                      <w:numId w:val="43"/>
                    </w:numPr>
                    <w:ind w:left="345" w:hanging="90"/>
                    <w:rPr>
                      <w:rFonts w:ascii="Arial" w:hAnsi="Arial" w:cs="Arial"/>
                      <w:sz w:val="24"/>
                      <w:szCs w:val="24"/>
                    </w:rPr>
                  </w:pPr>
                  <w:r w:rsidRPr="00FA3F9C">
                    <w:rPr>
                      <w:rFonts w:ascii="Arial" w:hAnsi="Arial" w:cs="Arial"/>
                      <w:sz w:val="24"/>
                      <w:szCs w:val="24"/>
                    </w:rPr>
                    <w:t>2 cycles: ~30%</w:t>
                  </w:r>
                </w:p>
                <w:p w14:paraId="77598BFF" w14:textId="77777777" w:rsidR="001506C1" w:rsidRPr="00FA3F9C" w:rsidRDefault="001506C1" w:rsidP="001506C1">
                  <w:pPr>
                    <w:pStyle w:val="ListParagraph"/>
                    <w:numPr>
                      <w:ilvl w:val="0"/>
                      <w:numId w:val="43"/>
                    </w:numPr>
                    <w:ind w:left="345" w:hanging="90"/>
                    <w:rPr>
                      <w:rFonts w:ascii="Arial" w:hAnsi="Arial" w:cs="Arial"/>
                      <w:sz w:val="24"/>
                      <w:szCs w:val="24"/>
                    </w:rPr>
                  </w:pPr>
                  <w:r w:rsidRPr="00FA3F9C">
                    <w:rPr>
                      <w:rFonts w:ascii="Arial" w:hAnsi="Arial" w:cs="Arial"/>
                      <w:sz w:val="24"/>
                      <w:szCs w:val="24"/>
                    </w:rPr>
                    <w:t>3 cycles: ~5%</w:t>
                  </w:r>
                </w:p>
              </w:tc>
              <w:tc>
                <w:tcPr>
                  <w:tcW w:w="1440" w:type="dxa"/>
                  <w:vMerge w:val="restart"/>
                </w:tcPr>
                <w:p w14:paraId="415CB3BE" w14:textId="77777777" w:rsidR="001506C1" w:rsidRPr="00FA3F9C" w:rsidRDefault="001506C1" w:rsidP="00C1570D">
                  <w:pPr>
                    <w:pStyle w:val="ListParagraph"/>
                    <w:ind w:left="0"/>
                    <w:rPr>
                      <w:rFonts w:ascii="Arial" w:hAnsi="Arial" w:cs="Arial"/>
                      <w:sz w:val="24"/>
                      <w:szCs w:val="24"/>
                    </w:rPr>
                  </w:pPr>
                  <w:r w:rsidRPr="00FA3F9C">
                    <w:rPr>
                      <w:rFonts w:ascii="Arial" w:hAnsi="Arial" w:cs="Arial"/>
                      <w:sz w:val="24"/>
                      <w:szCs w:val="24"/>
                    </w:rPr>
                    <w:lastRenderedPageBreak/>
                    <w:t>1⁰: OS</w:t>
                  </w:r>
                </w:p>
                <w:p w14:paraId="1C684E7A" w14:textId="77777777" w:rsidR="001506C1" w:rsidRPr="00FA3F9C" w:rsidRDefault="001506C1" w:rsidP="00C1570D">
                  <w:pPr>
                    <w:pStyle w:val="ListParagraph"/>
                    <w:ind w:left="0"/>
                    <w:rPr>
                      <w:rFonts w:ascii="Arial" w:hAnsi="Arial" w:cs="Arial"/>
                      <w:sz w:val="24"/>
                      <w:szCs w:val="24"/>
                    </w:rPr>
                  </w:pPr>
                  <w:r w:rsidRPr="00FA3F9C">
                    <w:rPr>
                      <w:rFonts w:ascii="Arial" w:hAnsi="Arial" w:cs="Arial"/>
                      <w:sz w:val="24"/>
                      <w:szCs w:val="24"/>
                    </w:rPr>
                    <w:t xml:space="preserve">2⁰: RFS &amp; Safety </w:t>
                  </w:r>
                </w:p>
              </w:tc>
              <w:tc>
                <w:tcPr>
                  <w:tcW w:w="4590" w:type="dxa"/>
                  <w:gridSpan w:val="2"/>
                </w:tcPr>
                <w:p w14:paraId="6897589D" w14:textId="77777777" w:rsidR="001506C1" w:rsidRPr="00FA3F9C" w:rsidRDefault="001506C1" w:rsidP="00C1570D">
                  <w:pPr>
                    <w:ind w:left="69" w:hanging="90"/>
                    <w:rPr>
                      <w:rFonts w:ascii="Arial" w:hAnsi="Arial" w:cs="Arial"/>
                      <w:sz w:val="24"/>
                      <w:szCs w:val="24"/>
                    </w:rPr>
                  </w:pPr>
                  <w:r w:rsidRPr="00FA3F9C">
                    <w:rPr>
                      <w:rFonts w:ascii="Arial" w:hAnsi="Arial" w:cs="Arial"/>
                      <w:sz w:val="24"/>
                      <w:szCs w:val="24"/>
                    </w:rPr>
                    <w:t>Median f/u 41.2 months:</w:t>
                  </w:r>
                </w:p>
              </w:tc>
            </w:tr>
            <w:tr w:rsidR="001506C1" w:rsidRPr="00FA3F9C" w14:paraId="76D3C7B5" w14:textId="77777777" w:rsidTr="00D761EE">
              <w:trPr>
                <w:trHeight w:val="593"/>
              </w:trPr>
              <w:tc>
                <w:tcPr>
                  <w:tcW w:w="1968" w:type="dxa"/>
                  <w:vMerge/>
                </w:tcPr>
                <w:p w14:paraId="62430618" w14:textId="77777777" w:rsidR="001506C1" w:rsidRPr="00FA3F9C" w:rsidRDefault="001506C1" w:rsidP="00C1570D">
                  <w:pPr>
                    <w:rPr>
                      <w:rFonts w:ascii="Arial" w:hAnsi="Arial" w:cs="Arial"/>
                      <w:sz w:val="24"/>
                      <w:szCs w:val="24"/>
                    </w:rPr>
                  </w:pPr>
                </w:p>
              </w:tc>
              <w:tc>
                <w:tcPr>
                  <w:tcW w:w="3607" w:type="dxa"/>
                  <w:vMerge/>
                </w:tcPr>
                <w:p w14:paraId="404DB709" w14:textId="77777777" w:rsidR="001506C1" w:rsidRPr="00FA3F9C" w:rsidRDefault="001506C1" w:rsidP="00C1570D">
                  <w:pPr>
                    <w:pBdr>
                      <w:bottom w:val="single" w:sz="4" w:space="1" w:color="auto"/>
                    </w:pBdr>
                    <w:rPr>
                      <w:rFonts w:ascii="Arial" w:hAnsi="Arial" w:cs="Arial"/>
                      <w:sz w:val="24"/>
                      <w:szCs w:val="24"/>
                    </w:rPr>
                  </w:pPr>
                </w:p>
              </w:tc>
              <w:tc>
                <w:tcPr>
                  <w:tcW w:w="1440" w:type="dxa"/>
                  <w:vMerge/>
                </w:tcPr>
                <w:p w14:paraId="0073B8D4" w14:textId="77777777" w:rsidR="001506C1" w:rsidRPr="00FA3F9C" w:rsidRDefault="001506C1" w:rsidP="00C1570D">
                  <w:pPr>
                    <w:pStyle w:val="ListParagraph"/>
                    <w:ind w:left="0"/>
                    <w:rPr>
                      <w:rFonts w:ascii="Arial" w:hAnsi="Arial" w:cs="Arial"/>
                      <w:sz w:val="24"/>
                      <w:szCs w:val="24"/>
                    </w:rPr>
                  </w:pPr>
                </w:p>
              </w:tc>
              <w:tc>
                <w:tcPr>
                  <w:tcW w:w="720" w:type="dxa"/>
                </w:tcPr>
                <w:p w14:paraId="72864759" w14:textId="77777777" w:rsidR="001506C1" w:rsidRPr="00FA3F9C" w:rsidRDefault="001506C1" w:rsidP="00C1570D">
                  <w:pPr>
                    <w:ind w:left="69" w:hanging="90"/>
                    <w:rPr>
                      <w:rFonts w:ascii="Arial" w:hAnsi="Arial" w:cs="Arial"/>
                      <w:b/>
                      <w:sz w:val="24"/>
                      <w:szCs w:val="24"/>
                      <w:u w:val="single"/>
                    </w:rPr>
                  </w:pPr>
                  <w:r w:rsidRPr="00FA3F9C">
                    <w:rPr>
                      <w:rFonts w:ascii="Arial" w:hAnsi="Arial" w:cs="Arial"/>
                      <w:b/>
                      <w:sz w:val="24"/>
                      <w:szCs w:val="24"/>
                      <w:u w:val="single"/>
                    </w:rPr>
                    <w:t>OS:</w:t>
                  </w:r>
                </w:p>
              </w:tc>
              <w:tc>
                <w:tcPr>
                  <w:tcW w:w="3870" w:type="dxa"/>
                </w:tcPr>
                <w:p w14:paraId="246C133A" w14:textId="77777777" w:rsidR="001506C1" w:rsidRPr="00FA3F9C" w:rsidRDefault="001506C1" w:rsidP="00C1570D">
                  <w:pPr>
                    <w:rPr>
                      <w:rFonts w:ascii="Arial" w:hAnsi="Arial" w:cs="Arial"/>
                      <w:b/>
                      <w:color w:val="000000"/>
                      <w:sz w:val="24"/>
                      <w:szCs w:val="24"/>
                      <w:u w:val="single"/>
                    </w:rPr>
                  </w:pPr>
                  <w:r w:rsidRPr="00FA3F9C">
                    <w:rPr>
                      <w:rFonts w:ascii="Arial" w:hAnsi="Arial" w:cs="Arial"/>
                      <w:b/>
                      <w:color w:val="000000"/>
                      <w:sz w:val="24"/>
                      <w:szCs w:val="24"/>
                      <w:u w:val="single"/>
                    </w:rPr>
                    <w:t xml:space="preserve">24.7 months vs. 14.8 months </w:t>
                  </w:r>
                </w:p>
                <w:p w14:paraId="612A5AAE" w14:textId="77777777" w:rsidR="001506C1" w:rsidRPr="00FA3F9C" w:rsidRDefault="001506C1" w:rsidP="00C1570D">
                  <w:pPr>
                    <w:rPr>
                      <w:rFonts w:ascii="Arial" w:hAnsi="Arial" w:cs="Arial"/>
                      <w:b/>
                      <w:color w:val="000000"/>
                      <w:sz w:val="24"/>
                      <w:szCs w:val="24"/>
                      <w:u w:val="single"/>
                    </w:rPr>
                  </w:pPr>
                  <w:r w:rsidRPr="00FA3F9C">
                    <w:rPr>
                      <w:rFonts w:ascii="Arial" w:hAnsi="Arial" w:cs="Arial"/>
                      <w:b/>
                      <w:color w:val="000000"/>
                      <w:sz w:val="24"/>
                      <w:szCs w:val="24"/>
                      <w:u w:val="single"/>
                    </w:rPr>
                    <w:t>(HR 0.69; 95% CI: 0.55-0.86; p = 0.0009)</w:t>
                  </w:r>
                </w:p>
                <w:p w14:paraId="30E5B169" w14:textId="77777777" w:rsidR="001506C1" w:rsidRPr="00FA3F9C" w:rsidRDefault="001506C1" w:rsidP="00C1570D">
                  <w:pPr>
                    <w:ind w:left="69" w:hanging="90"/>
                    <w:rPr>
                      <w:rFonts w:ascii="Arial" w:hAnsi="Arial" w:cs="Arial"/>
                      <w:b/>
                      <w:sz w:val="24"/>
                      <w:szCs w:val="24"/>
                      <w:u w:val="single"/>
                    </w:rPr>
                  </w:pPr>
                </w:p>
              </w:tc>
            </w:tr>
            <w:tr w:rsidR="001506C1" w:rsidRPr="00FA3F9C" w14:paraId="307FE6CF" w14:textId="77777777" w:rsidTr="00D761EE">
              <w:trPr>
                <w:trHeight w:val="457"/>
              </w:trPr>
              <w:tc>
                <w:tcPr>
                  <w:tcW w:w="1968" w:type="dxa"/>
                  <w:vMerge/>
                </w:tcPr>
                <w:p w14:paraId="35A15E4B" w14:textId="77777777" w:rsidR="001506C1" w:rsidRPr="00FA3F9C" w:rsidRDefault="001506C1" w:rsidP="00C1570D">
                  <w:pPr>
                    <w:rPr>
                      <w:rFonts w:ascii="Arial" w:hAnsi="Arial" w:cs="Arial"/>
                      <w:sz w:val="24"/>
                      <w:szCs w:val="24"/>
                    </w:rPr>
                  </w:pPr>
                </w:p>
              </w:tc>
              <w:tc>
                <w:tcPr>
                  <w:tcW w:w="3607" w:type="dxa"/>
                  <w:vMerge/>
                </w:tcPr>
                <w:p w14:paraId="0AAB40AF" w14:textId="77777777" w:rsidR="001506C1" w:rsidRPr="00FA3F9C" w:rsidRDefault="001506C1" w:rsidP="00C1570D">
                  <w:pPr>
                    <w:pBdr>
                      <w:bottom w:val="single" w:sz="4" w:space="1" w:color="auto"/>
                    </w:pBdr>
                    <w:rPr>
                      <w:rFonts w:ascii="Arial" w:hAnsi="Arial" w:cs="Arial"/>
                      <w:sz w:val="24"/>
                      <w:szCs w:val="24"/>
                    </w:rPr>
                  </w:pPr>
                </w:p>
              </w:tc>
              <w:tc>
                <w:tcPr>
                  <w:tcW w:w="1440" w:type="dxa"/>
                  <w:vMerge/>
                </w:tcPr>
                <w:p w14:paraId="66DD4074" w14:textId="77777777" w:rsidR="001506C1" w:rsidRPr="00FA3F9C" w:rsidRDefault="001506C1" w:rsidP="00C1570D">
                  <w:pPr>
                    <w:pStyle w:val="ListParagraph"/>
                    <w:ind w:left="0"/>
                    <w:rPr>
                      <w:rFonts w:ascii="Arial" w:hAnsi="Arial" w:cs="Arial"/>
                      <w:sz w:val="24"/>
                      <w:szCs w:val="24"/>
                    </w:rPr>
                  </w:pPr>
                </w:p>
              </w:tc>
              <w:tc>
                <w:tcPr>
                  <w:tcW w:w="720" w:type="dxa"/>
                </w:tcPr>
                <w:p w14:paraId="50FE9BE6" w14:textId="77777777" w:rsidR="001506C1" w:rsidRPr="00FA3F9C" w:rsidRDefault="001506C1" w:rsidP="00C1570D">
                  <w:pPr>
                    <w:ind w:left="69" w:hanging="90"/>
                    <w:rPr>
                      <w:rFonts w:ascii="Arial" w:hAnsi="Arial" w:cs="Arial"/>
                      <w:sz w:val="24"/>
                      <w:szCs w:val="24"/>
                      <w:u w:val="single"/>
                    </w:rPr>
                  </w:pPr>
                  <w:r w:rsidRPr="00FA3F9C">
                    <w:rPr>
                      <w:rFonts w:ascii="Arial" w:hAnsi="Arial" w:cs="Arial"/>
                      <w:sz w:val="24"/>
                      <w:szCs w:val="24"/>
                    </w:rPr>
                    <w:t>RFS:</w:t>
                  </w:r>
                </w:p>
              </w:tc>
              <w:tc>
                <w:tcPr>
                  <w:tcW w:w="3870" w:type="dxa"/>
                </w:tcPr>
                <w:p w14:paraId="52AFA6C3" w14:textId="77777777" w:rsidR="001506C1" w:rsidRPr="00FA3F9C" w:rsidRDefault="001506C1" w:rsidP="00C1570D">
                  <w:pPr>
                    <w:rPr>
                      <w:rFonts w:ascii="Arial" w:hAnsi="Arial" w:cs="Arial"/>
                      <w:color w:val="000000"/>
                      <w:sz w:val="24"/>
                      <w:szCs w:val="24"/>
                    </w:rPr>
                  </w:pPr>
                  <w:r w:rsidRPr="00FA3F9C">
                    <w:rPr>
                      <w:rFonts w:ascii="Arial" w:hAnsi="Arial" w:cs="Arial"/>
                      <w:color w:val="000000"/>
                      <w:sz w:val="24"/>
                      <w:szCs w:val="24"/>
                    </w:rPr>
                    <w:t xml:space="preserve">10.2 months vs. 4.8 months </w:t>
                  </w:r>
                </w:p>
                <w:p w14:paraId="379D695F" w14:textId="77777777" w:rsidR="001506C1" w:rsidRPr="00FA3F9C" w:rsidRDefault="001506C1" w:rsidP="00C1570D">
                  <w:pPr>
                    <w:rPr>
                      <w:rFonts w:ascii="Arial" w:hAnsi="Arial" w:cs="Arial"/>
                      <w:color w:val="000000"/>
                      <w:sz w:val="24"/>
                      <w:szCs w:val="24"/>
                    </w:rPr>
                  </w:pPr>
                  <w:r w:rsidRPr="00FA3F9C">
                    <w:rPr>
                      <w:rFonts w:ascii="Arial" w:hAnsi="Arial" w:cs="Arial"/>
                      <w:color w:val="000000"/>
                      <w:sz w:val="24"/>
                      <w:szCs w:val="24"/>
                    </w:rPr>
                    <w:t>(HR 0.65; 95% CI 0.52-0.81; p = 0.0001]</w:t>
                  </w:r>
                </w:p>
                <w:p w14:paraId="2CE035E2" w14:textId="77777777" w:rsidR="001506C1" w:rsidRPr="00FA3F9C" w:rsidRDefault="001506C1" w:rsidP="00C1570D">
                  <w:pPr>
                    <w:ind w:left="69" w:hanging="90"/>
                    <w:rPr>
                      <w:rFonts w:ascii="Arial" w:hAnsi="Arial" w:cs="Arial"/>
                      <w:sz w:val="24"/>
                      <w:szCs w:val="24"/>
                    </w:rPr>
                  </w:pPr>
                </w:p>
              </w:tc>
            </w:tr>
            <w:tr w:rsidR="001506C1" w:rsidRPr="00FA3F9C" w14:paraId="1B8970EB" w14:textId="77777777" w:rsidTr="00D761EE">
              <w:trPr>
                <w:trHeight w:val="1200"/>
              </w:trPr>
              <w:tc>
                <w:tcPr>
                  <w:tcW w:w="1968" w:type="dxa"/>
                  <w:vMerge/>
                </w:tcPr>
                <w:p w14:paraId="35C66685" w14:textId="77777777" w:rsidR="001506C1" w:rsidRPr="00FA3F9C" w:rsidRDefault="001506C1" w:rsidP="00C1570D">
                  <w:pPr>
                    <w:rPr>
                      <w:rFonts w:ascii="Arial" w:hAnsi="Arial" w:cs="Arial"/>
                      <w:sz w:val="24"/>
                      <w:szCs w:val="24"/>
                    </w:rPr>
                  </w:pPr>
                </w:p>
              </w:tc>
              <w:tc>
                <w:tcPr>
                  <w:tcW w:w="3607" w:type="dxa"/>
                  <w:vMerge/>
                </w:tcPr>
                <w:p w14:paraId="1757D58F" w14:textId="77777777" w:rsidR="001506C1" w:rsidRPr="00FA3F9C" w:rsidRDefault="001506C1" w:rsidP="00C1570D">
                  <w:pPr>
                    <w:pBdr>
                      <w:bottom w:val="single" w:sz="4" w:space="1" w:color="auto"/>
                    </w:pBdr>
                    <w:rPr>
                      <w:rFonts w:ascii="Arial" w:hAnsi="Arial" w:cs="Arial"/>
                      <w:sz w:val="24"/>
                      <w:szCs w:val="24"/>
                    </w:rPr>
                  </w:pPr>
                </w:p>
              </w:tc>
              <w:tc>
                <w:tcPr>
                  <w:tcW w:w="1440" w:type="dxa"/>
                  <w:vMerge/>
                </w:tcPr>
                <w:p w14:paraId="1FA88F3D" w14:textId="77777777" w:rsidR="001506C1" w:rsidRPr="00FA3F9C" w:rsidRDefault="001506C1" w:rsidP="00C1570D">
                  <w:pPr>
                    <w:pStyle w:val="ListParagraph"/>
                    <w:ind w:left="0"/>
                    <w:rPr>
                      <w:rFonts w:ascii="Arial" w:hAnsi="Arial" w:cs="Arial"/>
                      <w:sz w:val="24"/>
                      <w:szCs w:val="24"/>
                    </w:rPr>
                  </w:pPr>
                </w:p>
              </w:tc>
              <w:tc>
                <w:tcPr>
                  <w:tcW w:w="720" w:type="dxa"/>
                </w:tcPr>
                <w:p w14:paraId="208BEB28" w14:textId="77777777" w:rsidR="001506C1" w:rsidRPr="00FA3F9C" w:rsidRDefault="001506C1" w:rsidP="00C1570D">
                  <w:pPr>
                    <w:ind w:left="69" w:hanging="90"/>
                    <w:rPr>
                      <w:rFonts w:ascii="Arial" w:hAnsi="Arial" w:cs="Arial"/>
                      <w:sz w:val="24"/>
                      <w:szCs w:val="24"/>
                    </w:rPr>
                  </w:pPr>
                  <w:r w:rsidRPr="00FA3F9C">
                    <w:rPr>
                      <w:rFonts w:ascii="Arial" w:hAnsi="Arial" w:cs="Arial"/>
                      <w:sz w:val="24"/>
                      <w:szCs w:val="24"/>
                    </w:rPr>
                    <w:t xml:space="preserve">Safety </w:t>
                  </w:r>
                </w:p>
              </w:tc>
              <w:tc>
                <w:tcPr>
                  <w:tcW w:w="3870" w:type="dxa"/>
                </w:tcPr>
                <w:p w14:paraId="32C928C3" w14:textId="77777777" w:rsidR="001506C1" w:rsidRPr="00FA3F9C" w:rsidRDefault="001506C1" w:rsidP="001506C1">
                  <w:pPr>
                    <w:pStyle w:val="ListParagraph"/>
                    <w:numPr>
                      <w:ilvl w:val="0"/>
                      <w:numId w:val="44"/>
                    </w:numPr>
                    <w:ind w:left="0" w:right="524" w:hanging="90"/>
                    <w:rPr>
                      <w:rFonts w:ascii="Arial" w:hAnsi="Arial" w:cs="Arial"/>
                      <w:sz w:val="24"/>
                      <w:szCs w:val="24"/>
                    </w:rPr>
                  </w:pPr>
                  <w:r w:rsidRPr="00FA3F9C">
                    <w:rPr>
                      <w:rFonts w:ascii="Arial" w:hAnsi="Arial" w:cs="Arial"/>
                      <w:sz w:val="24"/>
                      <w:szCs w:val="24"/>
                    </w:rPr>
                    <w:t xml:space="preserve">15% had severe side effects (pneumonia &amp; low WBC counts) </w:t>
                  </w:r>
                </w:p>
                <w:p w14:paraId="6A2D8266" w14:textId="77777777" w:rsidR="001506C1" w:rsidRPr="00FA3F9C" w:rsidRDefault="001506C1" w:rsidP="001506C1">
                  <w:pPr>
                    <w:pStyle w:val="ListParagraph"/>
                    <w:numPr>
                      <w:ilvl w:val="0"/>
                      <w:numId w:val="44"/>
                    </w:numPr>
                    <w:ind w:left="0" w:right="524" w:hanging="90"/>
                    <w:rPr>
                      <w:rFonts w:ascii="Arial" w:hAnsi="Arial" w:cs="Arial"/>
                      <w:sz w:val="24"/>
                      <w:szCs w:val="24"/>
                    </w:rPr>
                  </w:pPr>
                  <w:r w:rsidRPr="00FA3F9C">
                    <w:rPr>
                      <w:rFonts w:ascii="Arial" w:hAnsi="Arial" w:cs="Arial"/>
                      <w:sz w:val="24"/>
                      <w:szCs w:val="24"/>
                    </w:rPr>
                    <w:t xml:space="preserve">5% vs. 0.4% stopped medication </w:t>
                  </w:r>
                </w:p>
                <w:p w14:paraId="6EF080C8" w14:textId="77777777" w:rsidR="001506C1" w:rsidRPr="00FA3F9C" w:rsidRDefault="001506C1" w:rsidP="001506C1">
                  <w:pPr>
                    <w:pStyle w:val="ListParagraph"/>
                    <w:numPr>
                      <w:ilvl w:val="0"/>
                      <w:numId w:val="44"/>
                    </w:numPr>
                    <w:ind w:left="0" w:right="524" w:hanging="90"/>
                    <w:rPr>
                      <w:rFonts w:ascii="Arial" w:hAnsi="Arial" w:cs="Arial"/>
                      <w:sz w:val="24"/>
                      <w:szCs w:val="24"/>
                    </w:rPr>
                  </w:pPr>
                  <w:r w:rsidRPr="00FA3F9C">
                    <w:rPr>
                      <w:rFonts w:ascii="Arial" w:hAnsi="Arial" w:cs="Arial"/>
                      <w:sz w:val="24"/>
                      <w:szCs w:val="24"/>
                    </w:rPr>
                    <w:t xml:space="preserve">Median exposure was 12 cycles for </w:t>
                  </w:r>
                  <w:proofErr w:type="spellStart"/>
                  <w:r w:rsidRPr="00FA3F9C">
                    <w:rPr>
                      <w:rFonts w:ascii="Arial" w:hAnsi="Arial" w:cs="Arial"/>
                      <w:sz w:val="24"/>
                      <w:szCs w:val="24"/>
                    </w:rPr>
                    <w:t>azacitidine</w:t>
                  </w:r>
                  <w:proofErr w:type="spellEnd"/>
                  <w:r w:rsidRPr="00FA3F9C">
                    <w:rPr>
                      <w:rFonts w:ascii="Arial" w:hAnsi="Arial" w:cs="Arial"/>
                      <w:sz w:val="24"/>
                      <w:szCs w:val="24"/>
                    </w:rPr>
                    <w:t xml:space="preserve"> and 6 cycles for placebo</w:t>
                  </w:r>
                </w:p>
              </w:tc>
            </w:tr>
            <w:tr w:rsidR="001506C1" w:rsidRPr="00FA3F9C" w14:paraId="61A60442" w14:textId="77777777" w:rsidTr="00D761EE">
              <w:trPr>
                <w:trHeight w:val="1065"/>
              </w:trPr>
              <w:tc>
                <w:tcPr>
                  <w:tcW w:w="1968" w:type="dxa"/>
                  <w:vMerge/>
                </w:tcPr>
                <w:p w14:paraId="02BDAF62" w14:textId="77777777" w:rsidR="001506C1" w:rsidRPr="00FA3F9C" w:rsidRDefault="001506C1" w:rsidP="00C1570D">
                  <w:pPr>
                    <w:rPr>
                      <w:rFonts w:ascii="Arial" w:hAnsi="Arial" w:cs="Arial"/>
                      <w:sz w:val="24"/>
                      <w:szCs w:val="24"/>
                    </w:rPr>
                  </w:pPr>
                </w:p>
              </w:tc>
              <w:tc>
                <w:tcPr>
                  <w:tcW w:w="3607" w:type="dxa"/>
                  <w:vMerge/>
                </w:tcPr>
                <w:p w14:paraId="41FDE512" w14:textId="77777777" w:rsidR="001506C1" w:rsidRPr="00FA3F9C" w:rsidRDefault="001506C1" w:rsidP="00C1570D">
                  <w:pPr>
                    <w:pBdr>
                      <w:bottom w:val="single" w:sz="4" w:space="1" w:color="auto"/>
                    </w:pBdr>
                    <w:rPr>
                      <w:rFonts w:ascii="Arial" w:hAnsi="Arial" w:cs="Arial"/>
                      <w:sz w:val="24"/>
                      <w:szCs w:val="24"/>
                    </w:rPr>
                  </w:pPr>
                </w:p>
              </w:tc>
              <w:tc>
                <w:tcPr>
                  <w:tcW w:w="1440" w:type="dxa"/>
                  <w:vMerge/>
                </w:tcPr>
                <w:p w14:paraId="4449AC4C" w14:textId="77777777" w:rsidR="001506C1" w:rsidRPr="00FA3F9C" w:rsidRDefault="001506C1" w:rsidP="00C1570D">
                  <w:pPr>
                    <w:pStyle w:val="ListParagraph"/>
                    <w:ind w:left="0"/>
                    <w:rPr>
                      <w:rFonts w:ascii="Arial" w:hAnsi="Arial" w:cs="Arial"/>
                      <w:sz w:val="24"/>
                      <w:szCs w:val="24"/>
                    </w:rPr>
                  </w:pPr>
                </w:p>
              </w:tc>
              <w:tc>
                <w:tcPr>
                  <w:tcW w:w="4590" w:type="dxa"/>
                  <w:gridSpan w:val="2"/>
                </w:tcPr>
                <w:p w14:paraId="5963B866" w14:textId="77777777" w:rsidR="001506C1" w:rsidRPr="00FA3F9C" w:rsidRDefault="001506C1" w:rsidP="00C1570D">
                  <w:pPr>
                    <w:rPr>
                      <w:rFonts w:ascii="Arial" w:hAnsi="Arial" w:cs="Arial"/>
                      <w:sz w:val="24"/>
                      <w:szCs w:val="24"/>
                    </w:rPr>
                  </w:pPr>
                  <w:r w:rsidRPr="00FA3F9C">
                    <w:rPr>
                      <w:rFonts w:ascii="Arial" w:hAnsi="Arial" w:cs="Arial"/>
                      <w:sz w:val="24"/>
                      <w:szCs w:val="24"/>
                    </w:rPr>
                    <w:t>OS/RFS benefit demonstrated regardless of baseline cytogenetic risk, the number of prior consolidation cycles received, and remission status (CR/</w:t>
                  </w:r>
                  <w:proofErr w:type="spellStart"/>
                  <w:r w:rsidRPr="00FA3F9C">
                    <w:rPr>
                      <w:rFonts w:ascii="Arial" w:hAnsi="Arial" w:cs="Arial"/>
                      <w:sz w:val="24"/>
                      <w:szCs w:val="24"/>
                    </w:rPr>
                    <w:t>CRi</w:t>
                  </w:r>
                  <w:proofErr w:type="spellEnd"/>
                  <w:r w:rsidRPr="00FA3F9C">
                    <w:rPr>
                      <w:rFonts w:ascii="Arial" w:hAnsi="Arial" w:cs="Arial"/>
                      <w:sz w:val="24"/>
                      <w:szCs w:val="24"/>
                    </w:rPr>
                    <w:t>).</w:t>
                  </w:r>
                </w:p>
              </w:tc>
            </w:tr>
            <w:tr w:rsidR="001506C1" w:rsidRPr="00FA3F9C" w14:paraId="0D9E5003" w14:textId="77777777" w:rsidTr="00C1570D">
              <w:trPr>
                <w:trHeight w:val="236"/>
              </w:trPr>
              <w:tc>
                <w:tcPr>
                  <w:tcW w:w="11605" w:type="dxa"/>
                  <w:gridSpan w:val="5"/>
                  <w:shd w:val="clear" w:color="auto" w:fill="D9D9D9" w:themeFill="background1" w:themeFillShade="D9"/>
                </w:tcPr>
                <w:p w14:paraId="38FE44B3" w14:textId="77777777" w:rsidR="001506C1" w:rsidRPr="00FA3F9C" w:rsidRDefault="001506C1" w:rsidP="00C1570D">
                  <w:pPr>
                    <w:ind w:right="614"/>
                    <w:rPr>
                      <w:rFonts w:ascii="Arial" w:hAnsi="Arial" w:cs="Arial"/>
                      <w:sz w:val="24"/>
                      <w:szCs w:val="24"/>
                    </w:rPr>
                  </w:pPr>
                  <w:r w:rsidRPr="00FA3F9C">
                    <w:rPr>
                      <w:rFonts w:ascii="Arial" w:hAnsi="Arial" w:cs="Arial"/>
                      <w:sz w:val="24"/>
                      <w:szCs w:val="24"/>
                    </w:rPr>
                    <w:t xml:space="preserve">RCT: randomized controlled trial, PB: placebo controlled, DB: double blind, P3: phase III, OS: overall survival, RFS: relapse free survival </w:t>
                  </w:r>
                </w:p>
              </w:tc>
            </w:tr>
          </w:tbl>
          <w:p w14:paraId="0D70336C" w14:textId="77777777" w:rsidR="001506C1" w:rsidRPr="00FA3F9C" w:rsidRDefault="001506C1" w:rsidP="00D82B6E">
            <w:pPr>
              <w:rPr>
                <w:rFonts w:ascii="Arial" w:hAnsi="Arial" w:cs="Arial"/>
                <w:sz w:val="24"/>
                <w:szCs w:val="24"/>
              </w:rPr>
            </w:pPr>
          </w:p>
          <w:p w14:paraId="24716FC8" w14:textId="77777777" w:rsidR="001506C1" w:rsidRPr="00FA3F9C" w:rsidRDefault="001506C1" w:rsidP="00D82B6E">
            <w:pPr>
              <w:rPr>
                <w:rFonts w:ascii="Arial" w:hAnsi="Arial" w:cs="Arial"/>
                <w:sz w:val="24"/>
                <w:szCs w:val="24"/>
              </w:rPr>
            </w:pPr>
          </w:p>
          <w:p w14:paraId="2EDA1251" w14:textId="77777777" w:rsidR="001506C1" w:rsidRPr="00FA3F9C" w:rsidRDefault="001506C1" w:rsidP="00D82B6E">
            <w:pPr>
              <w:rPr>
                <w:rFonts w:ascii="Arial" w:hAnsi="Arial" w:cs="Arial"/>
                <w:sz w:val="24"/>
                <w:szCs w:val="24"/>
              </w:rPr>
            </w:pPr>
            <w:r w:rsidRPr="00FA3F9C">
              <w:rPr>
                <w:rFonts w:ascii="Arial" w:hAnsi="Arial" w:cs="Arial"/>
                <w:sz w:val="24"/>
                <w:szCs w:val="24"/>
              </w:rPr>
              <w:t>Notes:</w:t>
            </w:r>
          </w:p>
          <w:p w14:paraId="7EFD6BEA" w14:textId="77777777" w:rsidR="001506C1" w:rsidRPr="00FA3F9C" w:rsidRDefault="001506C1" w:rsidP="00D82B6E">
            <w:pPr>
              <w:rPr>
                <w:rFonts w:ascii="Arial" w:hAnsi="Arial" w:cs="Arial"/>
                <w:sz w:val="24"/>
                <w:szCs w:val="24"/>
              </w:rPr>
            </w:pPr>
            <w:r w:rsidRPr="00FA3F9C">
              <w:rPr>
                <w:rFonts w:ascii="Arial" w:hAnsi="Arial" w:cs="Arial"/>
                <w:sz w:val="24"/>
                <w:szCs w:val="24"/>
              </w:rPr>
              <w:t xml:space="preserve">-The FDA approval is stricter than the study criteria in that the FDA requires the patient </w:t>
            </w:r>
            <w:r w:rsidRPr="00FA3F9C">
              <w:rPr>
                <w:rFonts w:ascii="Arial" w:hAnsi="Arial" w:cs="Arial"/>
                <w:sz w:val="24"/>
                <w:szCs w:val="24"/>
                <w:u w:val="single"/>
              </w:rPr>
              <w:t>not</w:t>
            </w:r>
            <w:r w:rsidRPr="00FA3F9C">
              <w:rPr>
                <w:rFonts w:ascii="Arial" w:hAnsi="Arial" w:cs="Arial"/>
                <w:sz w:val="24"/>
                <w:szCs w:val="24"/>
              </w:rPr>
              <w:t xml:space="preserve"> to be a candidate for intensive consolidation therapy. This is reasonable since it likely was unethical to give placebo to patients who were candidates for intensive consolidation therapy in the study. </w:t>
            </w:r>
            <w:proofErr w:type="gramStart"/>
            <w:r w:rsidRPr="00FA3F9C">
              <w:rPr>
                <w:rFonts w:ascii="Arial" w:hAnsi="Arial" w:cs="Arial"/>
                <w:sz w:val="24"/>
                <w:szCs w:val="24"/>
              </w:rPr>
              <w:t>That being said, it</w:t>
            </w:r>
            <w:proofErr w:type="gramEnd"/>
            <w:r w:rsidRPr="00FA3F9C">
              <w:rPr>
                <w:rFonts w:ascii="Arial" w:hAnsi="Arial" w:cs="Arial"/>
                <w:sz w:val="24"/>
                <w:szCs w:val="24"/>
              </w:rPr>
              <w:t xml:space="preserve"> is unclear what the best consolidation therapy is and for how long it should be continued.</w:t>
            </w:r>
          </w:p>
          <w:p w14:paraId="5B21DC94" w14:textId="77777777" w:rsidR="001506C1" w:rsidRPr="00FA3F9C" w:rsidRDefault="001506C1" w:rsidP="00D82B6E">
            <w:pPr>
              <w:rPr>
                <w:rFonts w:ascii="Arial" w:hAnsi="Arial" w:cs="Arial"/>
                <w:sz w:val="24"/>
                <w:szCs w:val="24"/>
              </w:rPr>
            </w:pPr>
            <w:r w:rsidRPr="00FA3F9C">
              <w:rPr>
                <w:rFonts w:ascii="Arial" w:hAnsi="Arial" w:cs="Arial"/>
                <w:sz w:val="24"/>
                <w:szCs w:val="24"/>
              </w:rPr>
              <w:t xml:space="preserve">-Intravenous </w:t>
            </w:r>
            <w:proofErr w:type="spellStart"/>
            <w:r w:rsidRPr="00FA3F9C">
              <w:rPr>
                <w:rFonts w:ascii="Arial" w:hAnsi="Arial" w:cs="Arial"/>
                <w:sz w:val="24"/>
                <w:szCs w:val="24"/>
              </w:rPr>
              <w:t>azacitidine</w:t>
            </w:r>
            <w:proofErr w:type="spellEnd"/>
            <w:r w:rsidRPr="00FA3F9C">
              <w:rPr>
                <w:rFonts w:ascii="Arial" w:hAnsi="Arial" w:cs="Arial"/>
                <w:sz w:val="24"/>
                <w:szCs w:val="24"/>
              </w:rPr>
              <w:t xml:space="preserve"> is also available and much cheaper, but overall survival data have not been demonstrated in this setting</w:t>
            </w:r>
            <w:r w:rsidRPr="00FA3F9C">
              <w:rPr>
                <w:rFonts w:ascii="Arial" w:hAnsi="Arial" w:cs="Arial"/>
                <w:sz w:val="24"/>
                <w:szCs w:val="24"/>
                <w:vertAlign w:val="superscript"/>
              </w:rPr>
              <w:t>5</w:t>
            </w:r>
          </w:p>
          <w:p w14:paraId="3D17FB3F" w14:textId="77777777" w:rsidR="001506C1" w:rsidRPr="00FA3F9C" w:rsidRDefault="001506C1" w:rsidP="00D82B6E">
            <w:pPr>
              <w:rPr>
                <w:rFonts w:ascii="Arial" w:hAnsi="Arial" w:cs="Arial"/>
                <w:sz w:val="24"/>
                <w:szCs w:val="24"/>
              </w:rPr>
            </w:pPr>
            <w:r w:rsidRPr="00FA3F9C">
              <w:rPr>
                <w:rFonts w:ascii="Arial" w:hAnsi="Arial" w:cs="Arial"/>
                <w:sz w:val="24"/>
                <w:szCs w:val="24"/>
              </w:rPr>
              <w:t xml:space="preserve">-The following statement is made in </w:t>
            </w:r>
            <w:r w:rsidRPr="00FA3F9C">
              <w:rPr>
                <w:rFonts w:ascii="Arial" w:hAnsi="Arial" w:cs="Arial"/>
                <w:b/>
                <w:sz w:val="24"/>
                <w:szCs w:val="24"/>
                <w:u w:val="single"/>
              </w:rPr>
              <w:t>NCCN guidelines</w:t>
            </w:r>
            <w:r w:rsidRPr="00FA3F9C">
              <w:rPr>
                <w:rFonts w:ascii="Arial" w:hAnsi="Arial" w:cs="Arial"/>
                <w:sz w:val="24"/>
                <w:szCs w:val="24"/>
              </w:rPr>
              <w:t xml:space="preserve"> regarding oral </w:t>
            </w:r>
            <w:proofErr w:type="spellStart"/>
            <w:r w:rsidRPr="00FA3F9C">
              <w:rPr>
                <w:rFonts w:ascii="Arial" w:hAnsi="Arial" w:cs="Arial"/>
                <w:sz w:val="24"/>
                <w:szCs w:val="24"/>
              </w:rPr>
              <w:t>azacitidine</w:t>
            </w:r>
            <w:proofErr w:type="spellEnd"/>
            <w:r w:rsidRPr="00FA3F9C">
              <w:rPr>
                <w:rFonts w:ascii="Arial" w:hAnsi="Arial" w:cs="Arial"/>
                <w:sz w:val="24"/>
                <w:szCs w:val="24"/>
              </w:rPr>
              <w:t>:</w:t>
            </w:r>
          </w:p>
          <w:p w14:paraId="5C0E85CA" w14:textId="77777777" w:rsidR="001506C1" w:rsidRPr="00FA3F9C" w:rsidRDefault="001506C1" w:rsidP="007500FE">
            <w:pPr>
              <w:ind w:left="360"/>
              <w:rPr>
                <w:rFonts w:ascii="Arial" w:hAnsi="Arial" w:cs="Arial"/>
                <w:sz w:val="24"/>
                <w:szCs w:val="24"/>
              </w:rPr>
            </w:pPr>
            <w:r w:rsidRPr="00FA3F9C">
              <w:rPr>
                <w:rFonts w:ascii="Arial" w:hAnsi="Arial" w:cs="Arial"/>
                <w:sz w:val="24"/>
                <w:szCs w:val="24"/>
              </w:rPr>
              <w:t xml:space="preserve">“This is a maintenance therapy and is not intended to replace consolidation chemotherapy, which can be curative in some cases. In addition, fit patients with intermediate- and/or adverse-risk cytogenetics may benefit from HCT in first CR, and there are no data to suggest that maintenance therapy with oral </w:t>
            </w:r>
            <w:proofErr w:type="spellStart"/>
            <w:r w:rsidRPr="00FA3F9C">
              <w:rPr>
                <w:rFonts w:ascii="Arial" w:hAnsi="Arial" w:cs="Arial"/>
                <w:sz w:val="24"/>
                <w:szCs w:val="24"/>
              </w:rPr>
              <w:t>azacitidine</w:t>
            </w:r>
            <w:proofErr w:type="spellEnd"/>
            <w:r w:rsidRPr="00FA3F9C">
              <w:rPr>
                <w:rFonts w:ascii="Arial" w:hAnsi="Arial" w:cs="Arial"/>
                <w:sz w:val="24"/>
                <w:szCs w:val="24"/>
              </w:rPr>
              <w:t xml:space="preserve"> can replace HCT. The panel also notes that the trial did not include younger patients or those with CBF-AM; it was restricted to patients &gt;55 years of age with intermediate or adverse cytogenetics who were not felt to be candidates for HCT. Most patients received at least 1 cycle of consolidation prior to starting azacitidine.”</w:t>
            </w:r>
            <w:r w:rsidRPr="00FA3F9C">
              <w:rPr>
                <w:rFonts w:ascii="Arial" w:hAnsi="Arial" w:cs="Arial"/>
                <w:sz w:val="24"/>
                <w:szCs w:val="24"/>
                <w:vertAlign w:val="superscript"/>
              </w:rPr>
              <w:t>5</w:t>
            </w:r>
          </w:p>
          <w:p w14:paraId="342F716C" w14:textId="77777777" w:rsidR="001506C1" w:rsidRPr="00FA3F9C" w:rsidRDefault="001506C1" w:rsidP="001F54D7">
            <w:pPr>
              <w:rPr>
                <w:rFonts w:ascii="Arial" w:hAnsi="Arial" w:cs="Arial"/>
                <w:sz w:val="24"/>
                <w:szCs w:val="24"/>
              </w:rPr>
            </w:pPr>
            <w:r w:rsidRPr="00FA3F9C">
              <w:rPr>
                <w:rFonts w:ascii="Arial" w:hAnsi="Arial" w:cs="Arial"/>
                <w:sz w:val="24"/>
                <w:szCs w:val="24"/>
              </w:rPr>
              <w:t>-Dose: 300 mg PO daily on days 1 to 14 of a 28-day cycle. Continue until disease progression or unacceptable toxicity.</w:t>
            </w:r>
          </w:p>
          <w:p w14:paraId="1B1F0A50" w14:textId="77777777" w:rsidR="001506C1" w:rsidRPr="00FA3F9C" w:rsidRDefault="001506C1" w:rsidP="00D82B6E">
            <w:pPr>
              <w:rPr>
                <w:rFonts w:ascii="Arial" w:hAnsi="Arial" w:cs="Arial"/>
                <w:sz w:val="24"/>
                <w:szCs w:val="24"/>
                <w:u w:val="single"/>
              </w:rPr>
            </w:pPr>
          </w:p>
          <w:p w14:paraId="10DB5CE2" w14:textId="77777777" w:rsidR="001506C1" w:rsidRPr="00FA3F9C" w:rsidRDefault="001506C1" w:rsidP="00C1570D">
            <w:pPr>
              <w:rPr>
                <w:rFonts w:ascii="Arial" w:hAnsi="Arial" w:cs="Arial"/>
                <w:sz w:val="24"/>
                <w:szCs w:val="24"/>
              </w:rPr>
            </w:pPr>
            <w:r w:rsidRPr="00FA3F9C">
              <w:rPr>
                <w:rFonts w:ascii="Arial" w:hAnsi="Arial" w:cs="Arial"/>
                <w:sz w:val="24"/>
                <w:szCs w:val="24"/>
              </w:rPr>
              <w:t xml:space="preserve">REFERENCES:  </w:t>
            </w:r>
          </w:p>
          <w:p w14:paraId="4A86F7F5" w14:textId="77777777" w:rsidR="001506C1" w:rsidRPr="00FA3F9C" w:rsidRDefault="001506C1" w:rsidP="006A6A06">
            <w:pPr>
              <w:ind w:left="90" w:hanging="180"/>
              <w:rPr>
                <w:rFonts w:ascii="Arial" w:hAnsi="Arial" w:cs="Arial"/>
                <w:sz w:val="24"/>
                <w:szCs w:val="24"/>
              </w:rPr>
            </w:pPr>
            <w:r w:rsidRPr="00FA3F9C">
              <w:rPr>
                <w:rFonts w:ascii="Arial" w:hAnsi="Arial" w:cs="Arial"/>
                <w:sz w:val="24"/>
                <w:szCs w:val="24"/>
                <w:lang w:val="fr-FR"/>
              </w:rPr>
              <w:t xml:space="preserve">1. </w:t>
            </w:r>
            <w:proofErr w:type="spellStart"/>
            <w:r w:rsidRPr="00FA3F9C">
              <w:rPr>
                <w:rFonts w:ascii="Arial" w:hAnsi="Arial" w:cs="Arial"/>
                <w:sz w:val="24"/>
                <w:szCs w:val="24"/>
                <w:lang w:val="fr-FR"/>
              </w:rPr>
              <w:t>Roboz</w:t>
            </w:r>
            <w:proofErr w:type="spellEnd"/>
            <w:r w:rsidRPr="00FA3F9C">
              <w:rPr>
                <w:rFonts w:ascii="Arial" w:hAnsi="Arial" w:cs="Arial"/>
                <w:sz w:val="24"/>
                <w:szCs w:val="24"/>
                <w:lang w:val="fr-FR"/>
              </w:rPr>
              <w:t xml:space="preserve">, Gail J., et al. </w:t>
            </w:r>
            <w:r w:rsidRPr="00FA3F9C">
              <w:rPr>
                <w:rFonts w:ascii="Arial" w:hAnsi="Arial" w:cs="Arial"/>
                <w:sz w:val="24"/>
                <w:szCs w:val="24"/>
              </w:rPr>
              <w:t xml:space="preserve">"Design of the randomized, Phase III, QUAZAR AML Maintenance trial of CC-486 (oral </w:t>
            </w:r>
            <w:proofErr w:type="spellStart"/>
            <w:r w:rsidRPr="00FA3F9C">
              <w:rPr>
                <w:rFonts w:ascii="Arial" w:hAnsi="Arial" w:cs="Arial"/>
                <w:sz w:val="24"/>
                <w:szCs w:val="24"/>
              </w:rPr>
              <w:t>azacitidine</w:t>
            </w:r>
            <w:proofErr w:type="spellEnd"/>
            <w:r w:rsidRPr="00FA3F9C">
              <w:rPr>
                <w:rFonts w:ascii="Arial" w:hAnsi="Arial" w:cs="Arial"/>
                <w:sz w:val="24"/>
                <w:szCs w:val="24"/>
              </w:rPr>
              <w:t>) maintenance therapy in acute myeloid leukemia." Future Oncology 12.3 (2016): 293-302.</w:t>
            </w:r>
          </w:p>
          <w:p w14:paraId="36E35223" w14:textId="77777777" w:rsidR="001506C1" w:rsidRPr="00FA3F9C" w:rsidRDefault="001506C1" w:rsidP="006A6A06">
            <w:pPr>
              <w:ind w:left="90" w:hanging="180"/>
              <w:rPr>
                <w:rFonts w:ascii="Arial" w:hAnsi="Arial" w:cs="Arial"/>
                <w:sz w:val="24"/>
                <w:szCs w:val="24"/>
              </w:rPr>
            </w:pPr>
            <w:r w:rsidRPr="00FA3F9C">
              <w:rPr>
                <w:rFonts w:ascii="Arial" w:hAnsi="Arial" w:cs="Arial"/>
                <w:sz w:val="24"/>
                <w:szCs w:val="24"/>
              </w:rPr>
              <w:t>2. ONUREG (</w:t>
            </w:r>
            <w:proofErr w:type="spellStart"/>
            <w:r w:rsidRPr="00FA3F9C">
              <w:rPr>
                <w:rFonts w:ascii="Arial" w:hAnsi="Arial" w:cs="Arial"/>
                <w:sz w:val="24"/>
                <w:szCs w:val="24"/>
              </w:rPr>
              <w:t>azacitidine</w:t>
            </w:r>
            <w:proofErr w:type="spellEnd"/>
            <w:r w:rsidRPr="00FA3F9C">
              <w:rPr>
                <w:rFonts w:ascii="Arial" w:hAnsi="Arial" w:cs="Arial"/>
                <w:sz w:val="24"/>
                <w:szCs w:val="24"/>
              </w:rPr>
              <w:t xml:space="preserve">) [package insert] Summit. NJ: Celgene Corporation; 2020. </w:t>
            </w:r>
          </w:p>
          <w:p w14:paraId="49D2E447" w14:textId="77777777" w:rsidR="001506C1" w:rsidRPr="00FA3F9C" w:rsidRDefault="001506C1" w:rsidP="006A6A06">
            <w:pPr>
              <w:ind w:left="90" w:hanging="180"/>
              <w:rPr>
                <w:rFonts w:ascii="Arial" w:hAnsi="Arial" w:cs="Arial"/>
                <w:sz w:val="24"/>
                <w:szCs w:val="24"/>
                <w:lang w:val="es-ES"/>
              </w:rPr>
            </w:pPr>
            <w:r w:rsidRPr="00FA3F9C">
              <w:rPr>
                <w:rFonts w:ascii="Arial" w:hAnsi="Arial" w:cs="Arial"/>
                <w:sz w:val="24"/>
                <w:szCs w:val="24"/>
              </w:rPr>
              <w:t xml:space="preserve">3. Wei, Andrew H., et al. "The QUAZAR AML-001 Maintenance Trial: results of a phase III international, randomized, double-blind, placebo-controlled study of CC-486 (oral formulation of </w:t>
            </w:r>
            <w:proofErr w:type="spellStart"/>
            <w:r w:rsidRPr="00FA3F9C">
              <w:rPr>
                <w:rFonts w:ascii="Arial" w:hAnsi="Arial" w:cs="Arial"/>
                <w:sz w:val="24"/>
                <w:szCs w:val="24"/>
              </w:rPr>
              <w:t>azacitidine</w:t>
            </w:r>
            <w:proofErr w:type="spellEnd"/>
            <w:r w:rsidRPr="00FA3F9C">
              <w:rPr>
                <w:rFonts w:ascii="Arial" w:hAnsi="Arial" w:cs="Arial"/>
                <w:sz w:val="24"/>
                <w:szCs w:val="24"/>
              </w:rPr>
              <w:t xml:space="preserve">) in patients with acute myeloid leukemia (AML) in first remission." </w:t>
            </w:r>
            <w:r w:rsidRPr="00FA3F9C">
              <w:rPr>
                <w:rFonts w:ascii="Arial" w:hAnsi="Arial" w:cs="Arial"/>
                <w:sz w:val="24"/>
                <w:szCs w:val="24"/>
                <w:lang w:val="es-ES"/>
              </w:rPr>
              <w:t xml:space="preserve">(2019): LBA-3. </w:t>
            </w:r>
            <w:r w:rsidRPr="00FA3F9C">
              <w:rPr>
                <w:rFonts w:ascii="Arial" w:hAnsi="Arial" w:cs="Arial"/>
                <w:sz w:val="24"/>
                <w:szCs w:val="24"/>
              </w:rPr>
              <w:lastRenderedPageBreak/>
              <w:fldChar w:fldCharType="begin"/>
            </w:r>
            <w:r w:rsidRPr="00FA3F9C">
              <w:rPr>
                <w:rFonts w:ascii="Arial" w:hAnsi="Arial" w:cs="Arial"/>
                <w:sz w:val="24"/>
                <w:szCs w:val="24"/>
                <w:lang w:val="es-ES"/>
              </w:rPr>
              <w:instrText xml:space="preserve"> HYPERLINK "https://ashpublications.org/blood/article/134/Supplement_2/LBA-3/428840/The-QUAZAR-AML-001-Maintenance-Trial-Results-of-a. </w:instrText>
            </w:r>
          </w:p>
          <w:p w14:paraId="3A8C5049" w14:textId="77777777" w:rsidR="001506C1" w:rsidRPr="00FA3F9C" w:rsidRDefault="001506C1" w:rsidP="006A6A06">
            <w:pPr>
              <w:ind w:left="90" w:hanging="180"/>
              <w:rPr>
                <w:rStyle w:val="Hyperlink"/>
                <w:rFonts w:ascii="Arial" w:hAnsi="Arial" w:cs="Arial"/>
                <w:sz w:val="24"/>
                <w:szCs w:val="24"/>
                <w:lang w:val="es-ES"/>
              </w:rPr>
            </w:pPr>
            <w:r w:rsidRPr="00FA3F9C">
              <w:rPr>
                <w:rFonts w:ascii="Arial" w:hAnsi="Arial" w:cs="Arial"/>
                <w:sz w:val="24"/>
                <w:szCs w:val="24"/>
                <w:lang w:val="es-ES"/>
              </w:rPr>
              <w:instrText xml:space="preserve">4" </w:instrText>
            </w:r>
            <w:r w:rsidRPr="00FA3F9C">
              <w:rPr>
                <w:rFonts w:ascii="Arial" w:hAnsi="Arial" w:cs="Arial"/>
                <w:sz w:val="24"/>
                <w:szCs w:val="24"/>
              </w:rPr>
              <w:fldChar w:fldCharType="separate"/>
            </w:r>
            <w:r w:rsidRPr="00FA3F9C">
              <w:rPr>
                <w:rStyle w:val="Hyperlink"/>
                <w:rFonts w:ascii="Arial" w:hAnsi="Arial" w:cs="Arial"/>
                <w:sz w:val="24"/>
                <w:szCs w:val="24"/>
                <w:lang w:val="es-ES"/>
              </w:rPr>
              <w:t xml:space="preserve">https://ashpublications.org/blood/article/134/Supplement_2/LBA-3/428840/The-QUAZAR-AML-001-Maintenance-Trial-Results-of-a. </w:t>
            </w:r>
          </w:p>
          <w:p w14:paraId="33F0C7DA" w14:textId="77777777" w:rsidR="001506C1" w:rsidRPr="00FA3F9C" w:rsidRDefault="001506C1" w:rsidP="006A6A06">
            <w:pPr>
              <w:ind w:left="90" w:hanging="180"/>
              <w:rPr>
                <w:rFonts w:ascii="Arial" w:hAnsi="Arial" w:cs="Arial"/>
                <w:sz w:val="24"/>
                <w:szCs w:val="24"/>
                <w:u w:val="single"/>
              </w:rPr>
            </w:pPr>
            <w:r w:rsidRPr="00FA3F9C">
              <w:rPr>
                <w:rStyle w:val="Hyperlink"/>
                <w:rFonts w:ascii="Arial" w:hAnsi="Arial" w:cs="Arial"/>
                <w:sz w:val="24"/>
                <w:szCs w:val="24"/>
              </w:rPr>
              <w:t>4</w:t>
            </w:r>
            <w:r w:rsidRPr="00FA3F9C">
              <w:rPr>
                <w:rFonts w:ascii="Arial" w:hAnsi="Arial" w:cs="Arial"/>
                <w:sz w:val="24"/>
                <w:szCs w:val="24"/>
              </w:rPr>
              <w:fldChar w:fldCharType="end"/>
            </w:r>
            <w:r w:rsidRPr="00FA3F9C">
              <w:rPr>
                <w:rFonts w:ascii="Arial" w:hAnsi="Arial" w:cs="Arial"/>
                <w:sz w:val="24"/>
                <w:szCs w:val="24"/>
              </w:rPr>
              <w:t xml:space="preserve">. </w:t>
            </w:r>
            <w:proofErr w:type="spellStart"/>
            <w:r w:rsidRPr="00FA3F9C">
              <w:rPr>
                <w:rFonts w:ascii="Arial" w:hAnsi="Arial" w:cs="Arial"/>
                <w:sz w:val="24"/>
                <w:szCs w:val="24"/>
              </w:rPr>
              <w:t>Huls</w:t>
            </w:r>
            <w:proofErr w:type="spellEnd"/>
            <w:r w:rsidRPr="00FA3F9C">
              <w:rPr>
                <w:rFonts w:ascii="Arial" w:hAnsi="Arial" w:cs="Arial"/>
                <w:sz w:val="24"/>
                <w:szCs w:val="24"/>
              </w:rPr>
              <w:t xml:space="preserve"> G et al. </w:t>
            </w:r>
            <w:proofErr w:type="spellStart"/>
            <w:r w:rsidRPr="00FA3F9C">
              <w:rPr>
                <w:rFonts w:ascii="Arial" w:hAnsi="Arial" w:cs="Arial"/>
                <w:sz w:val="24"/>
                <w:szCs w:val="24"/>
              </w:rPr>
              <w:t>Azacitidine</w:t>
            </w:r>
            <w:proofErr w:type="spellEnd"/>
            <w:r w:rsidRPr="00FA3F9C">
              <w:rPr>
                <w:rFonts w:ascii="Arial" w:hAnsi="Arial" w:cs="Arial"/>
                <w:sz w:val="24"/>
                <w:szCs w:val="24"/>
              </w:rPr>
              <w:t xml:space="preserve"> maintenance after intensive chemotherapy improves DFS in older AML </w:t>
            </w:r>
            <w:proofErr w:type="spellStart"/>
            <w:r w:rsidRPr="00FA3F9C">
              <w:rPr>
                <w:rFonts w:ascii="Arial" w:hAnsi="Arial" w:cs="Arial"/>
                <w:sz w:val="24"/>
                <w:szCs w:val="24"/>
              </w:rPr>
              <w:t>patients</w:t>
            </w:r>
            <w:proofErr w:type="spellEnd"/>
            <w:r w:rsidRPr="00FA3F9C">
              <w:rPr>
                <w:rFonts w:ascii="Arial" w:hAnsi="Arial" w:cs="Arial"/>
                <w:sz w:val="24"/>
                <w:szCs w:val="24"/>
              </w:rPr>
              <w:t xml:space="preserve"> Blood (2019) 133 (13): 1457–1464. </w:t>
            </w:r>
            <w:hyperlink r:id="rId41" w:history="1">
              <w:r w:rsidRPr="00FA3F9C">
                <w:rPr>
                  <w:rStyle w:val="Hyperlink"/>
                  <w:rFonts w:ascii="Arial" w:hAnsi="Arial" w:cs="Arial"/>
                  <w:sz w:val="24"/>
                  <w:szCs w:val="24"/>
                </w:rPr>
                <w:t>https://ashpublications.org/blood/article/133/13/1457/261475/Azacitidine-maintenance-after-intensive</w:t>
              </w:r>
            </w:hyperlink>
          </w:p>
          <w:p w14:paraId="372FCD0A" w14:textId="77777777" w:rsidR="001506C1" w:rsidRPr="00FA3F9C" w:rsidRDefault="001506C1" w:rsidP="006A6A06">
            <w:pPr>
              <w:ind w:left="90" w:hanging="180"/>
              <w:rPr>
                <w:rFonts w:ascii="Arial" w:hAnsi="Arial" w:cs="Arial"/>
                <w:sz w:val="24"/>
                <w:szCs w:val="24"/>
              </w:rPr>
            </w:pPr>
            <w:r w:rsidRPr="00FA3F9C">
              <w:rPr>
                <w:rFonts w:ascii="Arial" w:hAnsi="Arial" w:cs="Arial"/>
                <w:sz w:val="24"/>
                <w:szCs w:val="24"/>
              </w:rPr>
              <w:t xml:space="preserve">5. NCCN AML guidelines Version 1.2021. </w:t>
            </w:r>
            <w:hyperlink r:id="rId42" w:history="1">
              <w:r w:rsidRPr="00FA3F9C">
                <w:rPr>
                  <w:rStyle w:val="Hyperlink"/>
                  <w:rFonts w:ascii="Arial" w:hAnsi="Arial" w:cs="Arial"/>
                  <w:sz w:val="24"/>
                  <w:szCs w:val="24"/>
                </w:rPr>
                <w:t>https://www.nccn.org/professionals/physician_gls/pdf/aml.pdf</w:t>
              </w:r>
            </w:hyperlink>
            <w:r w:rsidRPr="00FA3F9C">
              <w:rPr>
                <w:rFonts w:ascii="Arial" w:hAnsi="Arial" w:cs="Arial"/>
                <w:sz w:val="24"/>
                <w:szCs w:val="24"/>
              </w:rPr>
              <w:t xml:space="preserve"> </w:t>
            </w:r>
          </w:p>
        </w:tc>
      </w:tr>
    </w:tbl>
    <w:p w14:paraId="1FABFD51" w14:textId="77777777" w:rsidR="001506C1" w:rsidRPr="00FA3F9C" w:rsidRDefault="001506C1" w:rsidP="006F623F">
      <w:pPr>
        <w:spacing w:after="0"/>
        <w:rPr>
          <w:rFonts w:ascii="Arial" w:hAnsi="Arial" w:cs="Arial"/>
          <w:sz w:val="24"/>
          <w:szCs w:val="24"/>
        </w:rPr>
      </w:pPr>
    </w:p>
    <w:p w14:paraId="2421CBAB"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Quantity Limits: 14 tabs/28 days</w:t>
      </w:r>
    </w:p>
    <w:p w14:paraId="3F8F1E49" w14:textId="77777777" w:rsidR="001506C1" w:rsidRPr="00FA3F9C" w:rsidRDefault="001506C1" w:rsidP="006F623F">
      <w:pPr>
        <w:spacing w:after="0"/>
        <w:rPr>
          <w:rFonts w:ascii="Arial" w:hAnsi="Arial" w:cs="Arial"/>
          <w:sz w:val="24"/>
          <w:szCs w:val="24"/>
        </w:rPr>
      </w:pPr>
    </w:p>
    <w:p w14:paraId="7089B514"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418"/>
        <w:gridCol w:w="7470"/>
        <w:gridCol w:w="2538"/>
      </w:tblGrid>
      <w:tr w:rsidR="001506C1" w:rsidRPr="00FA3F9C" w14:paraId="501097D1" w14:textId="77777777" w:rsidTr="00FE491B">
        <w:tc>
          <w:tcPr>
            <w:tcW w:w="1008" w:type="dxa"/>
          </w:tcPr>
          <w:p w14:paraId="6DF4A2F2" w14:textId="77777777" w:rsidR="001506C1" w:rsidRPr="00FA3F9C" w:rsidRDefault="001506C1" w:rsidP="006F623F">
            <w:pPr>
              <w:rPr>
                <w:rFonts w:ascii="Arial" w:hAnsi="Arial" w:cs="Arial"/>
                <w:sz w:val="24"/>
                <w:szCs w:val="24"/>
              </w:rPr>
            </w:pPr>
            <w:r w:rsidRPr="00FA3F9C">
              <w:rPr>
                <w:rFonts w:ascii="Arial" w:hAnsi="Arial" w:cs="Arial"/>
                <w:sz w:val="24"/>
                <w:szCs w:val="24"/>
              </w:rPr>
              <w:t>Date</w:t>
            </w:r>
          </w:p>
        </w:tc>
        <w:tc>
          <w:tcPr>
            <w:tcW w:w="7470" w:type="dxa"/>
          </w:tcPr>
          <w:p w14:paraId="5D1C004B" w14:textId="77777777" w:rsidR="001506C1" w:rsidRPr="00FA3F9C" w:rsidRDefault="001506C1" w:rsidP="006F623F">
            <w:pPr>
              <w:rPr>
                <w:rFonts w:ascii="Arial" w:hAnsi="Arial" w:cs="Arial"/>
                <w:sz w:val="24"/>
                <w:szCs w:val="24"/>
              </w:rPr>
            </w:pPr>
            <w:r w:rsidRPr="00FA3F9C">
              <w:rPr>
                <w:rFonts w:ascii="Arial" w:hAnsi="Arial" w:cs="Arial"/>
                <w:sz w:val="24"/>
                <w:szCs w:val="24"/>
              </w:rPr>
              <w:t>What changed</w:t>
            </w:r>
          </w:p>
        </w:tc>
        <w:tc>
          <w:tcPr>
            <w:tcW w:w="2538" w:type="dxa"/>
          </w:tcPr>
          <w:p w14:paraId="16442A1F" w14:textId="77777777" w:rsidR="001506C1" w:rsidRPr="00FA3F9C" w:rsidRDefault="001506C1" w:rsidP="006F623F">
            <w:pPr>
              <w:rPr>
                <w:rFonts w:ascii="Arial" w:hAnsi="Arial" w:cs="Arial"/>
                <w:sz w:val="24"/>
                <w:szCs w:val="24"/>
              </w:rPr>
            </w:pPr>
            <w:r w:rsidRPr="00FA3F9C">
              <w:rPr>
                <w:rFonts w:ascii="Arial" w:hAnsi="Arial" w:cs="Arial"/>
                <w:sz w:val="24"/>
                <w:szCs w:val="24"/>
              </w:rPr>
              <w:t>Pharmacist’s initials</w:t>
            </w:r>
          </w:p>
        </w:tc>
      </w:tr>
      <w:tr w:rsidR="001506C1" w:rsidRPr="00FA3F9C" w14:paraId="17C3DE9C" w14:textId="77777777" w:rsidTr="00FE491B">
        <w:tc>
          <w:tcPr>
            <w:tcW w:w="1008" w:type="dxa"/>
          </w:tcPr>
          <w:p w14:paraId="279CFB61" w14:textId="77777777" w:rsidR="001506C1" w:rsidRPr="00FA3F9C" w:rsidRDefault="001506C1" w:rsidP="006F623F">
            <w:pPr>
              <w:rPr>
                <w:rFonts w:ascii="Arial" w:hAnsi="Arial" w:cs="Arial"/>
                <w:sz w:val="24"/>
                <w:szCs w:val="24"/>
              </w:rPr>
            </w:pPr>
            <w:r w:rsidRPr="00FA3F9C">
              <w:rPr>
                <w:rFonts w:ascii="Arial" w:hAnsi="Arial" w:cs="Arial"/>
                <w:sz w:val="24"/>
                <w:szCs w:val="24"/>
              </w:rPr>
              <w:t>10/22/2020</w:t>
            </w:r>
          </w:p>
        </w:tc>
        <w:tc>
          <w:tcPr>
            <w:tcW w:w="7470" w:type="dxa"/>
          </w:tcPr>
          <w:p w14:paraId="4C647288" w14:textId="77777777" w:rsidR="001506C1" w:rsidRPr="00FA3F9C" w:rsidRDefault="001506C1" w:rsidP="006F623F">
            <w:pPr>
              <w:rPr>
                <w:rFonts w:ascii="Arial" w:hAnsi="Arial" w:cs="Arial"/>
                <w:sz w:val="24"/>
                <w:szCs w:val="24"/>
              </w:rPr>
            </w:pPr>
            <w:r w:rsidRPr="00FA3F9C">
              <w:rPr>
                <w:rFonts w:ascii="Arial" w:hAnsi="Arial" w:cs="Arial"/>
                <w:sz w:val="24"/>
                <w:szCs w:val="24"/>
              </w:rPr>
              <w:t>Criteria written</w:t>
            </w:r>
          </w:p>
        </w:tc>
        <w:tc>
          <w:tcPr>
            <w:tcW w:w="2538" w:type="dxa"/>
          </w:tcPr>
          <w:p w14:paraId="448AB162" w14:textId="77777777" w:rsidR="001506C1" w:rsidRPr="00FA3F9C" w:rsidRDefault="001506C1" w:rsidP="006F623F">
            <w:pPr>
              <w:rPr>
                <w:rFonts w:ascii="Arial" w:hAnsi="Arial" w:cs="Arial"/>
                <w:sz w:val="24"/>
                <w:szCs w:val="24"/>
              </w:rPr>
            </w:pPr>
            <w:r w:rsidRPr="00FA3F9C">
              <w:rPr>
                <w:rFonts w:ascii="Arial" w:hAnsi="Arial" w:cs="Arial"/>
                <w:sz w:val="24"/>
                <w:szCs w:val="24"/>
              </w:rPr>
              <w:t>SK</w:t>
            </w:r>
          </w:p>
        </w:tc>
      </w:tr>
      <w:tr w:rsidR="001506C1" w:rsidRPr="00FA3F9C" w14:paraId="43998B2C" w14:textId="77777777" w:rsidTr="00FE491B">
        <w:tc>
          <w:tcPr>
            <w:tcW w:w="1008" w:type="dxa"/>
          </w:tcPr>
          <w:p w14:paraId="503FD0A0" w14:textId="77777777" w:rsidR="001506C1" w:rsidRPr="00FA3F9C" w:rsidRDefault="001506C1" w:rsidP="006F623F">
            <w:pPr>
              <w:rPr>
                <w:rFonts w:ascii="Arial" w:hAnsi="Arial" w:cs="Arial"/>
                <w:sz w:val="24"/>
                <w:szCs w:val="24"/>
              </w:rPr>
            </w:pPr>
            <w:r w:rsidRPr="00FA3F9C">
              <w:rPr>
                <w:rFonts w:ascii="Arial" w:hAnsi="Arial" w:cs="Arial"/>
                <w:sz w:val="24"/>
                <w:szCs w:val="24"/>
              </w:rPr>
              <w:t>4/13/21</w:t>
            </w:r>
          </w:p>
        </w:tc>
        <w:tc>
          <w:tcPr>
            <w:tcW w:w="7470" w:type="dxa"/>
          </w:tcPr>
          <w:p w14:paraId="3B336EAE" w14:textId="77777777" w:rsidR="001506C1" w:rsidRPr="00FA3F9C" w:rsidRDefault="001506C1" w:rsidP="006F623F">
            <w:pPr>
              <w:rPr>
                <w:rFonts w:ascii="Arial" w:hAnsi="Arial" w:cs="Arial"/>
                <w:sz w:val="24"/>
                <w:szCs w:val="24"/>
              </w:rPr>
            </w:pPr>
            <w:r w:rsidRPr="00FA3F9C">
              <w:rPr>
                <w:rFonts w:ascii="Arial" w:hAnsi="Arial" w:cs="Arial"/>
                <w:sz w:val="24"/>
                <w:szCs w:val="24"/>
              </w:rPr>
              <w:t>Applied EBRx criteria to UAS Plan.</w:t>
            </w:r>
          </w:p>
        </w:tc>
        <w:tc>
          <w:tcPr>
            <w:tcW w:w="2538" w:type="dxa"/>
          </w:tcPr>
          <w:p w14:paraId="3F29D9E9" w14:textId="77777777" w:rsidR="001506C1" w:rsidRPr="00FA3F9C" w:rsidRDefault="001506C1" w:rsidP="006F623F">
            <w:pPr>
              <w:rPr>
                <w:rFonts w:ascii="Arial" w:hAnsi="Arial" w:cs="Arial"/>
                <w:sz w:val="24"/>
                <w:szCs w:val="24"/>
              </w:rPr>
            </w:pPr>
            <w:r w:rsidRPr="00FA3F9C">
              <w:rPr>
                <w:rFonts w:ascii="Arial" w:hAnsi="Arial" w:cs="Arial"/>
                <w:sz w:val="24"/>
                <w:szCs w:val="24"/>
              </w:rPr>
              <w:t>JJ</w:t>
            </w:r>
          </w:p>
        </w:tc>
      </w:tr>
      <w:tr w:rsidR="001506C1" w:rsidRPr="00FA3F9C" w14:paraId="39009145" w14:textId="77777777" w:rsidTr="00FE491B">
        <w:tc>
          <w:tcPr>
            <w:tcW w:w="1008" w:type="dxa"/>
          </w:tcPr>
          <w:p w14:paraId="747CF46B" w14:textId="77777777" w:rsidR="001506C1" w:rsidRPr="00FA3F9C" w:rsidRDefault="001506C1" w:rsidP="006F623F">
            <w:pPr>
              <w:rPr>
                <w:rFonts w:ascii="Arial" w:hAnsi="Arial" w:cs="Arial"/>
                <w:sz w:val="24"/>
                <w:szCs w:val="24"/>
              </w:rPr>
            </w:pPr>
            <w:r w:rsidRPr="00FA3F9C">
              <w:rPr>
                <w:rFonts w:ascii="Arial" w:hAnsi="Arial" w:cs="Arial"/>
                <w:sz w:val="24"/>
                <w:szCs w:val="24"/>
              </w:rPr>
              <w:t>1/26/2021</w:t>
            </w:r>
          </w:p>
        </w:tc>
        <w:tc>
          <w:tcPr>
            <w:tcW w:w="7470" w:type="dxa"/>
          </w:tcPr>
          <w:p w14:paraId="78B99A1D" w14:textId="77777777" w:rsidR="001506C1" w:rsidRPr="00FA3F9C" w:rsidRDefault="001506C1" w:rsidP="006F623F">
            <w:pPr>
              <w:rPr>
                <w:rFonts w:ascii="Arial" w:hAnsi="Arial" w:cs="Arial"/>
                <w:sz w:val="24"/>
                <w:szCs w:val="24"/>
              </w:rPr>
            </w:pPr>
            <w:r w:rsidRPr="00FA3F9C">
              <w:rPr>
                <w:rFonts w:ascii="Arial" w:hAnsi="Arial" w:cs="Arial"/>
                <w:sz w:val="24"/>
                <w:szCs w:val="24"/>
              </w:rPr>
              <w:t>Criteria reviewed. No change.</w:t>
            </w:r>
          </w:p>
        </w:tc>
        <w:tc>
          <w:tcPr>
            <w:tcW w:w="2538" w:type="dxa"/>
          </w:tcPr>
          <w:p w14:paraId="035A4473" w14:textId="77777777" w:rsidR="001506C1" w:rsidRPr="00FA3F9C" w:rsidRDefault="001506C1" w:rsidP="006F623F">
            <w:pPr>
              <w:rPr>
                <w:rFonts w:ascii="Arial" w:hAnsi="Arial" w:cs="Arial"/>
                <w:sz w:val="24"/>
                <w:szCs w:val="24"/>
              </w:rPr>
            </w:pPr>
            <w:r w:rsidRPr="00FA3F9C">
              <w:rPr>
                <w:rFonts w:ascii="Arial" w:hAnsi="Arial" w:cs="Arial"/>
                <w:sz w:val="24"/>
                <w:szCs w:val="24"/>
              </w:rPr>
              <w:t>SK</w:t>
            </w:r>
          </w:p>
        </w:tc>
      </w:tr>
    </w:tbl>
    <w:p w14:paraId="65D1E552" w14:textId="77777777" w:rsidR="001506C1" w:rsidRPr="00FA3F9C" w:rsidRDefault="001506C1" w:rsidP="006F623F">
      <w:pPr>
        <w:spacing w:after="0"/>
        <w:rPr>
          <w:rFonts w:ascii="Arial" w:hAnsi="Arial" w:cs="Arial"/>
          <w:sz w:val="24"/>
          <w:szCs w:val="24"/>
        </w:rPr>
      </w:pPr>
    </w:p>
    <w:p w14:paraId="40577226" w14:textId="77777777" w:rsidR="001506C1" w:rsidRPr="00FA3F9C" w:rsidRDefault="001506C1" w:rsidP="006F623F">
      <w:pPr>
        <w:spacing w:after="0"/>
        <w:rPr>
          <w:rFonts w:ascii="Arial" w:hAnsi="Arial" w:cs="Arial"/>
          <w:sz w:val="24"/>
          <w:szCs w:val="24"/>
        </w:rPr>
      </w:pPr>
    </w:p>
    <w:p w14:paraId="75C30334" w14:textId="77777777" w:rsidR="001506C1" w:rsidRPr="00FA3F9C" w:rsidRDefault="001506C1" w:rsidP="006F623F">
      <w:pPr>
        <w:spacing w:after="0"/>
        <w:rPr>
          <w:rFonts w:ascii="Arial" w:hAnsi="Arial" w:cs="Arial"/>
          <w:sz w:val="24"/>
          <w:szCs w:val="24"/>
        </w:rPr>
      </w:pPr>
    </w:p>
    <w:p w14:paraId="555ED534" w14:textId="77777777" w:rsidR="001506C1" w:rsidRPr="00FA3F9C" w:rsidRDefault="001506C1" w:rsidP="006F623F">
      <w:pPr>
        <w:spacing w:after="0"/>
        <w:rPr>
          <w:rFonts w:ascii="Arial" w:hAnsi="Arial" w:cs="Arial"/>
          <w:sz w:val="24"/>
          <w:szCs w:val="24"/>
        </w:rPr>
      </w:pPr>
    </w:p>
    <w:p w14:paraId="7FAFD17B" w14:textId="77777777" w:rsidR="005005CA" w:rsidRDefault="005005CA">
      <w:pPr>
        <w:rPr>
          <w:rFonts w:ascii="Arial" w:eastAsia="Times New Roman" w:hAnsi="Arial" w:cs="Arial"/>
          <w:b/>
          <w:sz w:val="28"/>
          <w:szCs w:val="20"/>
        </w:rPr>
      </w:pPr>
      <w:bookmarkStart w:id="27" w:name="_Toc106369729"/>
      <w:r>
        <w:br w:type="page"/>
      </w:r>
    </w:p>
    <w:p w14:paraId="031B66A7" w14:textId="5AD6DB81" w:rsidR="001506C1" w:rsidRPr="00FA3F9C" w:rsidRDefault="001506C1" w:rsidP="00CA4C3C">
      <w:pPr>
        <w:pStyle w:val="Heading2"/>
      </w:pPr>
      <w:r w:rsidRPr="00FA3F9C">
        <w:lastRenderedPageBreak/>
        <w:t>Aztreonam inhaled (</w:t>
      </w:r>
      <w:proofErr w:type="spellStart"/>
      <w:r w:rsidRPr="00FA3F9C">
        <w:t>Cayston</w:t>
      </w:r>
      <w:proofErr w:type="spellEnd"/>
      <w:r w:rsidRPr="00FA3F9C">
        <w:t>)</w:t>
      </w:r>
      <w:bookmarkEnd w:id="27"/>
    </w:p>
    <w:p w14:paraId="4D3DB45D" w14:textId="77777777" w:rsidR="001506C1" w:rsidRPr="00FA3F9C" w:rsidRDefault="001506C1" w:rsidP="004D07B2">
      <w:pPr>
        <w:jc w:val="center"/>
        <w:rPr>
          <w:rFonts w:ascii="Arial" w:hAnsi="Arial" w:cs="Arial"/>
          <w:sz w:val="24"/>
          <w:szCs w:val="24"/>
        </w:rPr>
      </w:pPr>
      <w:r w:rsidRPr="00FA3F9C">
        <w:rPr>
          <w:rFonts w:ascii="Arial" w:hAnsi="Arial" w:cs="Arial"/>
          <w:sz w:val="24"/>
          <w:szCs w:val="24"/>
        </w:rPr>
        <w:t>EBRx PA Criteria</w:t>
      </w:r>
    </w:p>
    <w:p w14:paraId="533D2742" w14:textId="77777777" w:rsidR="001506C1" w:rsidRPr="00FA3F9C" w:rsidRDefault="001506C1" w:rsidP="004D07B2">
      <w:pPr>
        <w:rPr>
          <w:rFonts w:ascii="Arial" w:hAnsi="Arial" w:cs="Arial"/>
          <w:b/>
          <w:sz w:val="24"/>
          <w:szCs w:val="24"/>
          <w:u w:val="single"/>
        </w:rPr>
      </w:pPr>
    </w:p>
    <w:p w14:paraId="6C17E6CA" w14:textId="77777777" w:rsidR="001506C1" w:rsidRPr="00FA3F9C" w:rsidRDefault="001506C1" w:rsidP="004D07B2">
      <w:pPr>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improvement of respiratory symptoms in cystic fibrosis patients with pulmonary Pseudomonas aeruginosa infections.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8"/>
        <w:gridCol w:w="2088"/>
      </w:tblGrid>
      <w:tr w:rsidR="001506C1" w:rsidRPr="00FA3F9C" w14:paraId="77C17A26" w14:textId="77777777" w:rsidTr="006F7593">
        <w:tc>
          <w:tcPr>
            <w:tcW w:w="8928" w:type="dxa"/>
            <w:shd w:val="clear" w:color="auto" w:fill="000000"/>
          </w:tcPr>
          <w:p w14:paraId="6BFDCF16" w14:textId="77777777" w:rsidR="001506C1" w:rsidRPr="00FA3F9C" w:rsidRDefault="001506C1" w:rsidP="006F7593">
            <w:pPr>
              <w:rPr>
                <w:rFonts w:ascii="Arial" w:hAnsi="Arial" w:cs="Arial"/>
                <w:b/>
                <w:sz w:val="24"/>
                <w:szCs w:val="24"/>
                <w:u w:val="single"/>
              </w:rPr>
            </w:pPr>
            <w:r w:rsidRPr="00FA3F9C">
              <w:rPr>
                <w:rFonts w:ascii="Arial" w:hAnsi="Arial" w:cs="Arial"/>
                <w:b/>
                <w:sz w:val="24"/>
                <w:szCs w:val="24"/>
                <w:u w:val="single"/>
              </w:rPr>
              <w:t>Criteria for new users</w:t>
            </w:r>
          </w:p>
        </w:tc>
        <w:tc>
          <w:tcPr>
            <w:tcW w:w="2088" w:type="dxa"/>
            <w:shd w:val="clear" w:color="auto" w:fill="000000"/>
          </w:tcPr>
          <w:p w14:paraId="02FE7B01" w14:textId="77777777" w:rsidR="001506C1" w:rsidRPr="00FA3F9C" w:rsidRDefault="001506C1" w:rsidP="006F7593">
            <w:pPr>
              <w:jc w:val="center"/>
              <w:rPr>
                <w:rFonts w:ascii="Arial" w:hAnsi="Arial" w:cs="Arial"/>
                <w:b/>
                <w:sz w:val="24"/>
                <w:szCs w:val="24"/>
                <w:u w:val="single"/>
              </w:rPr>
            </w:pPr>
          </w:p>
        </w:tc>
      </w:tr>
      <w:tr w:rsidR="001506C1" w:rsidRPr="00FA3F9C" w14:paraId="1C4FBD31" w14:textId="77777777" w:rsidTr="006F7593">
        <w:tc>
          <w:tcPr>
            <w:tcW w:w="11016" w:type="dxa"/>
            <w:gridSpan w:val="2"/>
            <w:shd w:val="clear" w:color="auto" w:fill="auto"/>
          </w:tcPr>
          <w:p w14:paraId="54780B20" w14:textId="77777777" w:rsidR="001506C1" w:rsidRPr="00FA3F9C" w:rsidRDefault="001506C1" w:rsidP="006F7593">
            <w:pPr>
              <w:rPr>
                <w:rFonts w:ascii="Arial" w:hAnsi="Arial" w:cs="Arial"/>
                <w:sz w:val="24"/>
                <w:szCs w:val="24"/>
              </w:rPr>
            </w:pPr>
            <w:r w:rsidRPr="00FA3F9C">
              <w:rPr>
                <w:rFonts w:ascii="Arial" w:hAnsi="Arial" w:cs="Arial"/>
                <w:sz w:val="24"/>
                <w:szCs w:val="24"/>
              </w:rPr>
              <w:t>1. The patient must have a diagnosis of cystic fibrosis.</w:t>
            </w:r>
          </w:p>
        </w:tc>
      </w:tr>
      <w:tr w:rsidR="001506C1" w:rsidRPr="00FA3F9C" w14:paraId="0B56093B" w14:textId="77777777" w:rsidTr="006F7593">
        <w:tc>
          <w:tcPr>
            <w:tcW w:w="11016" w:type="dxa"/>
            <w:gridSpan w:val="2"/>
            <w:shd w:val="clear" w:color="auto" w:fill="auto"/>
          </w:tcPr>
          <w:p w14:paraId="3A19D03A" w14:textId="77777777" w:rsidR="001506C1" w:rsidRPr="00FA3F9C" w:rsidRDefault="001506C1" w:rsidP="006F7593">
            <w:pPr>
              <w:rPr>
                <w:rFonts w:ascii="Arial" w:hAnsi="Arial" w:cs="Arial"/>
                <w:sz w:val="24"/>
                <w:szCs w:val="24"/>
              </w:rPr>
            </w:pPr>
            <w:r w:rsidRPr="00FA3F9C">
              <w:rPr>
                <w:rFonts w:ascii="Arial" w:hAnsi="Arial" w:cs="Arial"/>
                <w:sz w:val="24"/>
                <w:szCs w:val="24"/>
              </w:rPr>
              <w:t>2. the patient must have a known pulmonary infection with Pseudomonas aeruginosa.</w:t>
            </w:r>
          </w:p>
        </w:tc>
      </w:tr>
      <w:tr w:rsidR="001506C1" w:rsidRPr="00FA3F9C" w14:paraId="463B149E" w14:textId="77777777" w:rsidTr="006F7593">
        <w:tc>
          <w:tcPr>
            <w:tcW w:w="11016" w:type="dxa"/>
            <w:gridSpan w:val="2"/>
            <w:shd w:val="clear" w:color="auto" w:fill="auto"/>
          </w:tcPr>
          <w:p w14:paraId="7EACCCD5" w14:textId="77777777" w:rsidR="001506C1" w:rsidRPr="00FA3F9C" w:rsidRDefault="001506C1" w:rsidP="006F7593">
            <w:pPr>
              <w:rPr>
                <w:rFonts w:ascii="Arial" w:hAnsi="Arial" w:cs="Arial"/>
                <w:sz w:val="24"/>
                <w:szCs w:val="24"/>
              </w:rPr>
            </w:pPr>
            <w:r w:rsidRPr="00FA3F9C">
              <w:rPr>
                <w:rFonts w:ascii="Arial" w:hAnsi="Arial" w:cs="Arial"/>
                <w:sz w:val="24"/>
                <w:szCs w:val="24"/>
              </w:rPr>
              <w:t>3. The patient must be receiving bronchodilator therapy.</w:t>
            </w:r>
          </w:p>
        </w:tc>
      </w:tr>
      <w:tr w:rsidR="001506C1" w:rsidRPr="00FA3F9C" w14:paraId="13D05AB6" w14:textId="77777777" w:rsidTr="006F7593">
        <w:tc>
          <w:tcPr>
            <w:tcW w:w="11016" w:type="dxa"/>
            <w:gridSpan w:val="2"/>
            <w:shd w:val="clear" w:color="auto" w:fill="auto"/>
          </w:tcPr>
          <w:p w14:paraId="6392DA5F" w14:textId="77777777" w:rsidR="001506C1" w:rsidRPr="00FA3F9C" w:rsidRDefault="001506C1" w:rsidP="006F7593">
            <w:pPr>
              <w:rPr>
                <w:rFonts w:ascii="Arial" w:hAnsi="Arial" w:cs="Arial"/>
                <w:sz w:val="24"/>
                <w:szCs w:val="24"/>
              </w:rPr>
            </w:pPr>
            <w:r w:rsidRPr="00FA3F9C">
              <w:rPr>
                <w:rFonts w:ascii="Arial" w:hAnsi="Arial" w:cs="Arial"/>
                <w:sz w:val="24"/>
                <w:szCs w:val="24"/>
              </w:rPr>
              <w:t xml:space="preserve">4. The patient should not have overlapping </w:t>
            </w:r>
            <w:proofErr w:type="spellStart"/>
            <w:r w:rsidRPr="00FA3F9C">
              <w:rPr>
                <w:rFonts w:ascii="Arial" w:hAnsi="Arial" w:cs="Arial"/>
                <w:sz w:val="24"/>
                <w:szCs w:val="24"/>
              </w:rPr>
              <w:t>days</w:t>
            </w:r>
            <w:proofErr w:type="spellEnd"/>
            <w:r w:rsidRPr="00FA3F9C">
              <w:rPr>
                <w:rFonts w:ascii="Arial" w:hAnsi="Arial" w:cs="Arial"/>
                <w:sz w:val="24"/>
                <w:szCs w:val="24"/>
              </w:rPr>
              <w:t xml:space="preserve"> supply of inhaled tobramycin (therapeutic duplication).</w:t>
            </w:r>
          </w:p>
        </w:tc>
      </w:tr>
    </w:tbl>
    <w:p w14:paraId="3B34B6AF" w14:textId="77777777" w:rsidR="001506C1" w:rsidRPr="00FA3F9C" w:rsidRDefault="001506C1" w:rsidP="004D07B2">
      <w:pPr>
        <w:rPr>
          <w:rFonts w:ascii="Arial" w:hAnsi="Arial" w:cs="Arial"/>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10998"/>
      </w:tblGrid>
      <w:tr w:rsidR="001506C1" w:rsidRPr="00FA3F9C" w14:paraId="73FBB708" w14:textId="77777777" w:rsidTr="006F7593">
        <w:tc>
          <w:tcPr>
            <w:tcW w:w="10998" w:type="dxa"/>
            <w:shd w:val="clear" w:color="auto" w:fill="BFBFBF"/>
          </w:tcPr>
          <w:p w14:paraId="705124BF" w14:textId="77777777" w:rsidR="001506C1" w:rsidRPr="00FA3F9C" w:rsidRDefault="001506C1" w:rsidP="006F7593">
            <w:pPr>
              <w:rPr>
                <w:rFonts w:ascii="Arial" w:hAnsi="Arial" w:cs="Arial"/>
                <w:sz w:val="24"/>
                <w:szCs w:val="24"/>
              </w:rPr>
            </w:pPr>
            <w:r w:rsidRPr="00FA3F9C">
              <w:rPr>
                <w:rFonts w:ascii="Arial" w:hAnsi="Arial" w:cs="Arial"/>
                <w:sz w:val="24"/>
                <w:szCs w:val="24"/>
              </w:rPr>
              <w:t>Note: Dosing is 75mg TID for 28 days followed by 28 days off.</w:t>
            </w:r>
          </w:p>
        </w:tc>
      </w:tr>
    </w:tbl>
    <w:p w14:paraId="1AA9B3A8" w14:textId="77777777" w:rsidR="001506C1" w:rsidRPr="00FA3F9C" w:rsidRDefault="001506C1" w:rsidP="004D07B2">
      <w:pPr>
        <w:rPr>
          <w:rFonts w:ascii="Arial" w:hAnsi="Arial" w:cs="Arial"/>
          <w:sz w:val="24"/>
          <w:szCs w:val="24"/>
        </w:rPr>
      </w:pPr>
    </w:p>
    <w:p w14:paraId="7B5DF058" w14:textId="77777777" w:rsidR="001506C1" w:rsidRPr="00FA3F9C" w:rsidRDefault="001506C1" w:rsidP="004D07B2">
      <w:pPr>
        <w:rPr>
          <w:rFonts w:ascii="Arial" w:hAnsi="Arial" w:cs="Arial"/>
          <w:sz w:val="24"/>
          <w:szCs w:val="24"/>
        </w:rPr>
      </w:pPr>
      <w:r w:rsidRPr="00FA3F9C">
        <w:rPr>
          <w:rFonts w:ascii="Arial" w:hAnsi="Arial" w:cs="Arial"/>
          <w:sz w:val="24"/>
          <w:szCs w:val="24"/>
        </w:rPr>
        <w:t xml:space="preserve">Quantity Limits: 6-28d supplies in a year.  </w:t>
      </w:r>
    </w:p>
    <w:p w14:paraId="5DDA68A3" w14:textId="77777777" w:rsidR="001506C1" w:rsidRPr="00FA3F9C" w:rsidRDefault="001506C1" w:rsidP="004B79B7">
      <w:pPr>
        <w:rPr>
          <w:rFonts w:ascii="Arial" w:hAnsi="Arial" w:cs="Arial"/>
          <w:sz w:val="24"/>
          <w:szCs w:val="24"/>
        </w:rPr>
      </w:pPr>
    </w:p>
    <w:p w14:paraId="1EED1B0B" w14:textId="77777777" w:rsidR="001506C1" w:rsidRPr="00FA3F9C" w:rsidRDefault="001506C1" w:rsidP="004B79B7">
      <w:pPr>
        <w:rPr>
          <w:rFonts w:ascii="Arial" w:hAnsi="Arial" w:cs="Arial"/>
          <w:sz w:val="24"/>
          <w:szCs w:val="24"/>
        </w:rPr>
      </w:pPr>
      <w:r w:rsidRPr="00FA3F9C">
        <w:rPr>
          <w:rFonts w:ascii="Arial" w:hAnsi="Arial" w:cs="Arial"/>
          <w:sz w:val="24"/>
          <w:szCs w:val="24"/>
        </w:rPr>
        <w:t xml:space="preserve">References:  </w:t>
      </w:r>
    </w:p>
    <w:p w14:paraId="09334912" w14:textId="77777777" w:rsidR="001506C1" w:rsidRPr="00FA3F9C" w:rsidRDefault="001506C1" w:rsidP="00503E55">
      <w:pPr>
        <w:rPr>
          <w:rFonts w:ascii="Arial" w:hAnsi="Arial" w:cs="Arial"/>
          <w:color w:val="222222"/>
          <w:sz w:val="24"/>
          <w:szCs w:val="24"/>
          <w:shd w:val="clear" w:color="auto" w:fill="F8F8F8"/>
        </w:rPr>
      </w:pPr>
      <w:r w:rsidRPr="00FA3F9C">
        <w:rPr>
          <w:rFonts w:ascii="Arial" w:hAnsi="Arial" w:cs="Arial"/>
          <w:sz w:val="24"/>
          <w:szCs w:val="24"/>
        </w:rPr>
        <w:t xml:space="preserve">1. </w:t>
      </w:r>
      <w:proofErr w:type="spellStart"/>
      <w:r w:rsidRPr="00FA3F9C">
        <w:rPr>
          <w:rFonts w:ascii="Arial" w:hAnsi="Arial" w:cs="Arial"/>
          <w:color w:val="222222"/>
          <w:sz w:val="24"/>
          <w:szCs w:val="24"/>
          <w:shd w:val="clear" w:color="auto" w:fill="F8F8F8"/>
        </w:rPr>
        <w:t>Kirkby</w:t>
      </w:r>
      <w:proofErr w:type="spellEnd"/>
      <w:r w:rsidRPr="00FA3F9C">
        <w:rPr>
          <w:rFonts w:ascii="Arial" w:hAnsi="Arial" w:cs="Arial"/>
          <w:color w:val="222222"/>
          <w:sz w:val="24"/>
          <w:szCs w:val="24"/>
          <w:shd w:val="clear" w:color="auto" w:fill="F8F8F8"/>
        </w:rPr>
        <w:t>, Stephen, Kimberly Novak, and Karen McCoy. "Aztreonam (for inhalation solution) for the treatment of chronic lung infections in patients with cystic fibrosis: an evidence-based review." </w:t>
      </w:r>
      <w:r w:rsidRPr="00FA3F9C">
        <w:rPr>
          <w:rFonts w:ascii="Arial" w:hAnsi="Arial" w:cs="Arial"/>
          <w:i/>
          <w:iCs/>
          <w:color w:val="222222"/>
          <w:sz w:val="24"/>
          <w:szCs w:val="24"/>
          <w:shd w:val="clear" w:color="auto" w:fill="F8F8F8"/>
        </w:rPr>
        <w:t>Core evidence</w:t>
      </w:r>
      <w:r w:rsidRPr="00FA3F9C">
        <w:rPr>
          <w:rFonts w:ascii="Arial" w:hAnsi="Arial" w:cs="Arial"/>
          <w:color w:val="222222"/>
          <w:sz w:val="24"/>
          <w:szCs w:val="24"/>
          <w:shd w:val="clear" w:color="auto" w:fill="F8F8F8"/>
        </w:rPr>
        <w:t> 6 (2011): 59.</w:t>
      </w:r>
    </w:p>
    <w:p w14:paraId="0F86E360" w14:textId="77777777" w:rsidR="001506C1" w:rsidRPr="00FA3F9C" w:rsidRDefault="001506C1" w:rsidP="00503E55">
      <w:pPr>
        <w:rPr>
          <w:rFonts w:ascii="Arial" w:hAnsi="Arial" w:cs="Arial"/>
          <w:sz w:val="24"/>
          <w:szCs w:val="24"/>
        </w:rPr>
      </w:pPr>
      <w:r w:rsidRPr="00FA3F9C">
        <w:rPr>
          <w:rFonts w:ascii="Arial" w:hAnsi="Arial" w:cs="Arial"/>
          <w:color w:val="222222"/>
          <w:sz w:val="24"/>
          <w:szCs w:val="24"/>
          <w:shd w:val="clear" w:color="auto" w:fill="F8F8F8"/>
        </w:rPr>
        <w:t xml:space="preserve">2. </w:t>
      </w:r>
      <w:proofErr w:type="spellStart"/>
      <w:r w:rsidRPr="00FA3F9C">
        <w:rPr>
          <w:rFonts w:ascii="Arial" w:hAnsi="Arial" w:cs="Arial"/>
          <w:color w:val="222222"/>
          <w:sz w:val="24"/>
          <w:szCs w:val="24"/>
          <w:shd w:val="clear" w:color="auto" w:fill="F8F8F8"/>
        </w:rPr>
        <w:t>Assael</w:t>
      </w:r>
      <w:proofErr w:type="spellEnd"/>
      <w:r w:rsidRPr="00FA3F9C">
        <w:rPr>
          <w:rFonts w:ascii="Arial" w:hAnsi="Arial" w:cs="Arial"/>
          <w:color w:val="222222"/>
          <w:sz w:val="24"/>
          <w:szCs w:val="24"/>
          <w:shd w:val="clear" w:color="auto" w:fill="F8F8F8"/>
        </w:rPr>
        <w:t xml:space="preserve">, </w:t>
      </w:r>
      <w:proofErr w:type="spellStart"/>
      <w:r w:rsidRPr="00FA3F9C">
        <w:rPr>
          <w:rFonts w:ascii="Arial" w:hAnsi="Arial" w:cs="Arial"/>
          <w:color w:val="222222"/>
          <w:sz w:val="24"/>
          <w:szCs w:val="24"/>
          <w:shd w:val="clear" w:color="auto" w:fill="F8F8F8"/>
        </w:rPr>
        <w:t>Baroukh</w:t>
      </w:r>
      <w:proofErr w:type="spellEnd"/>
      <w:r w:rsidRPr="00FA3F9C">
        <w:rPr>
          <w:rFonts w:ascii="Arial" w:hAnsi="Arial" w:cs="Arial"/>
          <w:color w:val="222222"/>
          <w:sz w:val="24"/>
          <w:szCs w:val="24"/>
          <w:shd w:val="clear" w:color="auto" w:fill="F8F8F8"/>
        </w:rPr>
        <w:t xml:space="preserve"> M., et al. "Inhaled aztreonam lysine vs. inhaled tobramycin in cystic fibrosis: a comparative efficacy trial." </w:t>
      </w:r>
      <w:r w:rsidRPr="00FA3F9C">
        <w:rPr>
          <w:rFonts w:ascii="Arial" w:hAnsi="Arial" w:cs="Arial"/>
          <w:i/>
          <w:iCs/>
          <w:color w:val="222222"/>
          <w:sz w:val="24"/>
          <w:szCs w:val="24"/>
          <w:shd w:val="clear" w:color="auto" w:fill="F8F8F8"/>
        </w:rPr>
        <w:t>Journal of Cystic fibrosis</w:t>
      </w:r>
      <w:r w:rsidRPr="00FA3F9C">
        <w:rPr>
          <w:rFonts w:ascii="Arial" w:hAnsi="Arial" w:cs="Arial"/>
          <w:color w:val="222222"/>
          <w:sz w:val="24"/>
          <w:szCs w:val="24"/>
          <w:shd w:val="clear" w:color="auto" w:fill="F8F8F8"/>
        </w:rPr>
        <w:t> 12.2 (2013): 130-140.</w:t>
      </w:r>
    </w:p>
    <w:p w14:paraId="44CD9751" w14:textId="77777777" w:rsidR="001506C1" w:rsidRPr="00FA3F9C" w:rsidRDefault="001506C1" w:rsidP="00503E55">
      <w:pPr>
        <w:rPr>
          <w:rFonts w:ascii="Arial" w:hAnsi="Arial" w:cs="Arial"/>
          <w:sz w:val="24"/>
          <w:szCs w:val="24"/>
        </w:rPr>
      </w:pPr>
      <w:r w:rsidRPr="00FA3F9C">
        <w:rPr>
          <w:rFonts w:ascii="Arial" w:hAnsi="Arial" w:cs="Arial"/>
          <w:sz w:val="24"/>
          <w:szCs w:val="24"/>
        </w:rPr>
        <w:lastRenderedPageBreak/>
        <w:t xml:space="preserve">3. </w:t>
      </w:r>
      <w:r w:rsidRPr="00FA3F9C">
        <w:rPr>
          <w:rFonts w:ascii="Arial" w:hAnsi="Arial" w:cs="Arial"/>
          <w:color w:val="222222"/>
          <w:sz w:val="24"/>
          <w:szCs w:val="24"/>
          <w:shd w:val="clear" w:color="auto" w:fill="F8F8F8"/>
        </w:rPr>
        <w:t>Flume, Patrick A., et al. "Continuous alternating inhaled antibiotics for chronic pseudomonal infection in cystic fibrosis." </w:t>
      </w:r>
      <w:r w:rsidRPr="00FA3F9C">
        <w:rPr>
          <w:rFonts w:ascii="Arial" w:hAnsi="Arial" w:cs="Arial"/>
          <w:i/>
          <w:iCs/>
          <w:color w:val="222222"/>
          <w:sz w:val="24"/>
          <w:szCs w:val="24"/>
          <w:shd w:val="clear" w:color="auto" w:fill="F8F8F8"/>
        </w:rPr>
        <w:t>Journal of Cystic Fibrosis</w:t>
      </w:r>
      <w:r w:rsidRPr="00FA3F9C">
        <w:rPr>
          <w:rFonts w:ascii="Arial" w:hAnsi="Arial" w:cs="Arial"/>
          <w:color w:val="222222"/>
          <w:sz w:val="24"/>
          <w:szCs w:val="24"/>
          <w:shd w:val="clear" w:color="auto" w:fill="F8F8F8"/>
        </w:rPr>
        <w:t> 15.6 (2016): 809-815.</w:t>
      </w:r>
    </w:p>
    <w:p w14:paraId="1E32D62B" w14:textId="77777777" w:rsidR="001506C1" w:rsidRPr="00FA3F9C" w:rsidRDefault="001506C1" w:rsidP="00503E55">
      <w:pPr>
        <w:rPr>
          <w:rFonts w:ascii="Arial" w:hAnsi="Arial" w:cs="Arial"/>
          <w:sz w:val="24"/>
          <w:szCs w:val="24"/>
        </w:rPr>
      </w:pPr>
    </w:p>
    <w:p w14:paraId="1F4EFE00" w14:textId="77777777" w:rsidR="001506C1" w:rsidRPr="00FA3F9C" w:rsidRDefault="001506C1" w:rsidP="004B79B7">
      <w:pPr>
        <w:rPr>
          <w:rFonts w:ascii="Arial" w:hAnsi="Arial" w:cs="Arial"/>
          <w:sz w:val="24"/>
          <w:szCs w:val="24"/>
        </w:rPr>
      </w:pPr>
    </w:p>
    <w:p w14:paraId="3472F954" w14:textId="77777777" w:rsidR="001506C1" w:rsidRPr="00FA3F9C" w:rsidRDefault="001506C1" w:rsidP="004B79B7">
      <w:pPr>
        <w:rPr>
          <w:rFonts w:ascii="Arial" w:hAnsi="Arial" w:cs="Arial"/>
          <w:b/>
          <w:sz w:val="24"/>
          <w:szCs w:val="24"/>
        </w:rPr>
      </w:pPr>
    </w:p>
    <w:p w14:paraId="39D3CF40" w14:textId="77777777" w:rsidR="001506C1" w:rsidRPr="00FA3F9C" w:rsidRDefault="001506C1" w:rsidP="004B79B7">
      <w:pPr>
        <w:rPr>
          <w:rFonts w:ascii="Arial" w:hAnsi="Arial" w:cs="Arial"/>
          <w:b/>
          <w:sz w:val="24"/>
          <w:szCs w:val="24"/>
        </w:rPr>
      </w:pPr>
    </w:p>
    <w:p w14:paraId="0DC2ABE3" w14:textId="77777777" w:rsidR="001506C1" w:rsidRPr="00FA3F9C" w:rsidRDefault="001506C1" w:rsidP="004B79B7">
      <w:pPr>
        <w:rPr>
          <w:rFonts w:ascii="Arial" w:hAnsi="Arial" w:cs="Arial"/>
          <w:b/>
          <w:sz w:val="24"/>
          <w:szCs w:val="24"/>
        </w:rPr>
      </w:pPr>
      <w:r w:rsidRPr="00FA3F9C">
        <w:rPr>
          <w:rFonts w:ascii="Arial" w:hAnsi="Arial" w:cs="Arial"/>
          <w:b/>
          <w:sz w:val="24"/>
          <w:szCs w:val="24"/>
        </w:rPr>
        <w:t>Revision History:</w:t>
      </w:r>
    </w:p>
    <w:tbl>
      <w:tblPr>
        <w:tblW w:w="106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6942"/>
        <w:gridCol w:w="2394"/>
      </w:tblGrid>
      <w:tr w:rsidR="001506C1" w:rsidRPr="00FA3F9C" w14:paraId="13F9133A" w14:textId="77777777" w:rsidTr="00EA6203">
        <w:tc>
          <w:tcPr>
            <w:tcW w:w="1190" w:type="dxa"/>
          </w:tcPr>
          <w:p w14:paraId="0048CA95" w14:textId="77777777" w:rsidR="001506C1" w:rsidRPr="00FA3F9C" w:rsidRDefault="001506C1" w:rsidP="004B79B7">
            <w:pPr>
              <w:rPr>
                <w:rFonts w:ascii="Arial" w:hAnsi="Arial" w:cs="Arial"/>
                <w:b/>
                <w:sz w:val="24"/>
                <w:szCs w:val="24"/>
              </w:rPr>
            </w:pPr>
            <w:r w:rsidRPr="00FA3F9C">
              <w:rPr>
                <w:rFonts w:ascii="Arial" w:hAnsi="Arial" w:cs="Arial"/>
                <w:b/>
                <w:sz w:val="24"/>
                <w:szCs w:val="24"/>
              </w:rPr>
              <w:t>Date</w:t>
            </w:r>
          </w:p>
        </w:tc>
        <w:tc>
          <w:tcPr>
            <w:tcW w:w="7026" w:type="dxa"/>
          </w:tcPr>
          <w:p w14:paraId="03906291" w14:textId="77777777" w:rsidR="001506C1" w:rsidRPr="00FA3F9C" w:rsidRDefault="001506C1" w:rsidP="004B79B7">
            <w:pPr>
              <w:rPr>
                <w:rFonts w:ascii="Arial" w:hAnsi="Arial" w:cs="Arial"/>
                <w:b/>
                <w:sz w:val="24"/>
                <w:szCs w:val="24"/>
              </w:rPr>
            </w:pPr>
            <w:r w:rsidRPr="00FA3F9C">
              <w:rPr>
                <w:rFonts w:ascii="Arial" w:hAnsi="Arial" w:cs="Arial"/>
                <w:b/>
                <w:sz w:val="24"/>
                <w:szCs w:val="24"/>
              </w:rPr>
              <w:t>What changed?</w:t>
            </w:r>
          </w:p>
        </w:tc>
        <w:tc>
          <w:tcPr>
            <w:tcW w:w="2404" w:type="dxa"/>
          </w:tcPr>
          <w:p w14:paraId="5521FD23" w14:textId="77777777" w:rsidR="001506C1" w:rsidRPr="00FA3F9C" w:rsidRDefault="001506C1" w:rsidP="004B79B7">
            <w:pPr>
              <w:rPr>
                <w:rFonts w:ascii="Arial" w:hAnsi="Arial" w:cs="Arial"/>
                <w:b/>
                <w:sz w:val="24"/>
                <w:szCs w:val="24"/>
              </w:rPr>
            </w:pPr>
            <w:r w:rsidRPr="00FA3F9C">
              <w:rPr>
                <w:rFonts w:ascii="Arial" w:hAnsi="Arial" w:cs="Arial"/>
                <w:b/>
                <w:sz w:val="24"/>
                <w:szCs w:val="24"/>
              </w:rPr>
              <w:t>Pharmacist’s initials</w:t>
            </w:r>
          </w:p>
        </w:tc>
      </w:tr>
      <w:tr w:rsidR="001506C1" w:rsidRPr="00FA3F9C" w14:paraId="4B787B6B" w14:textId="77777777" w:rsidTr="00EA6203">
        <w:tc>
          <w:tcPr>
            <w:tcW w:w="1190" w:type="dxa"/>
          </w:tcPr>
          <w:p w14:paraId="55634DCB" w14:textId="77777777" w:rsidR="001506C1" w:rsidRPr="00FA3F9C" w:rsidRDefault="001506C1" w:rsidP="00EA6203">
            <w:pPr>
              <w:rPr>
                <w:rFonts w:ascii="Arial" w:hAnsi="Arial" w:cs="Arial"/>
                <w:b/>
                <w:sz w:val="24"/>
                <w:szCs w:val="24"/>
              </w:rPr>
            </w:pPr>
            <w:r w:rsidRPr="00FA3F9C">
              <w:rPr>
                <w:rFonts w:ascii="Arial" w:hAnsi="Arial" w:cs="Arial"/>
                <w:b/>
                <w:sz w:val="24"/>
                <w:szCs w:val="24"/>
              </w:rPr>
              <w:t>4/2010</w:t>
            </w:r>
          </w:p>
        </w:tc>
        <w:tc>
          <w:tcPr>
            <w:tcW w:w="7026" w:type="dxa"/>
          </w:tcPr>
          <w:p w14:paraId="5DAC47A6" w14:textId="77777777" w:rsidR="001506C1" w:rsidRPr="00FA3F9C" w:rsidRDefault="001506C1" w:rsidP="00EA6203">
            <w:pPr>
              <w:rPr>
                <w:rFonts w:ascii="Arial" w:hAnsi="Arial" w:cs="Arial"/>
                <w:b/>
                <w:sz w:val="24"/>
                <w:szCs w:val="24"/>
              </w:rPr>
            </w:pPr>
            <w:r w:rsidRPr="00FA3F9C">
              <w:rPr>
                <w:rFonts w:ascii="Arial" w:hAnsi="Arial" w:cs="Arial"/>
                <w:b/>
                <w:sz w:val="24"/>
                <w:szCs w:val="24"/>
              </w:rPr>
              <w:t>JJ created the criteria</w:t>
            </w:r>
          </w:p>
        </w:tc>
        <w:tc>
          <w:tcPr>
            <w:tcW w:w="2404" w:type="dxa"/>
          </w:tcPr>
          <w:p w14:paraId="3545A284" w14:textId="77777777" w:rsidR="001506C1" w:rsidRPr="00FA3F9C" w:rsidRDefault="001506C1" w:rsidP="00EA6203">
            <w:pPr>
              <w:rPr>
                <w:rFonts w:ascii="Arial" w:hAnsi="Arial" w:cs="Arial"/>
                <w:b/>
                <w:sz w:val="24"/>
                <w:szCs w:val="24"/>
              </w:rPr>
            </w:pPr>
            <w:r w:rsidRPr="00FA3F9C">
              <w:rPr>
                <w:rFonts w:ascii="Arial" w:hAnsi="Arial" w:cs="Arial"/>
                <w:b/>
                <w:sz w:val="24"/>
                <w:szCs w:val="24"/>
              </w:rPr>
              <w:t>JJ</w:t>
            </w:r>
          </w:p>
        </w:tc>
      </w:tr>
      <w:tr w:rsidR="001506C1" w:rsidRPr="00FA3F9C" w14:paraId="7D3BD794" w14:textId="77777777" w:rsidTr="00EA6203">
        <w:tc>
          <w:tcPr>
            <w:tcW w:w="1190" w:type="dxa"/>
          </w:tcPr>
          <w:p w14:paraId="68238D10" w14:textId="77777777" w:rsidR="001506C1" w:rsidRPr="00FA3F9C" w:rsidRDefault="001506C1" w:rsidP="00EA6203">
            <w:pPr>
              <w:rPr>
                <w:rFonts w:ascii="Arial" w:hAnsi="Arial" w:cs="Arial"/>
                <w:b/>
                <w:sz w:val="24"/>
                <w:szCs w:val="24"/>
              </w:rPr>
            </w:pPr>
            <w:r w:rsidRPr="00FA3F9C">
              <w:rPr>
                <w:rFonts w:ascii="Arial" w:hAnsi="Arial" w:cs="Arial"/>
                <w:b/>
                <w:sz w:val="24"/>
                <w:szCs w:val="24"/>
              </w:rPr>
              <w:t>5/8/12</w:t>
            </w:r>
          </w:p>
        </w:tc>
        <w:tc>
          <w:tcPr>
            <w:tcW w:w="7026" w:type="dxa"/>
          </w:tcPr>
          <w:p w14:paraId="36E78CCF" w14:textId="77777777" w:rsidR="001506C1" w:rsidRPr="00FA3F9C" w:rsidRDefault="001506C1" w:rsidP="00EA6203">
            <w:pPr>
              <w:rPr>
                <w:rFonts w:ascii="Arial" w:hAnsi="Arial" w:cs="Arial"/>
                <w:b/>
                <w:sz w:val="24"/>
                <w:szCs w:val="24"/>
              </w:rPr>
            </w:pPr>
            <w:r w:rsidRPr="00FA3F9C">
              <w:rPr>
                <w:rFonts w:ascii="Arial" w:hAnsi="Arial" w:cs="Arial"/>
                <w:b/>
                <w:sz w:val="24"/>
                <w:szCs w:val="24"/>
              </w:rPr>
              <w:t>JJ inserted revision history</w:t>
            </w:r>
          </w:p>
        </w:tc>
        <w:tc>
          <w:tcPr>
            <w:tcW w:w="2404" w:type="dxa"/>
          </w:tcPr>
          <w:p w14:paraId="6C11AD8C" w14:textId="77777777" w:rsidR="001506C1" w:rsidRPr="00FA3F9C" w:rsidRDefault="001506C1" w:rsidP="00EA6203">
            <w:pPr>
              <w:rPr>
                <w:rFonts w:ascii="Arial" w:hAnsi="Arial" w:cs="Arial"/>
                <w:b/>
                <w:sz w:val="24"/>
                <w:szCs w:val="24"/>
              </w:rPr>
            </w:pPr>
            <w:r w:rsidRPr="00FA3F9C">
              <w:rPr>
                <w:rFonts w:ascii="Arial" w:hAnsi="Arial" w:cs="Arial"/>
                <w:b/>
                <w:sz w:val="24"/>
                <w:szCs w:val="24"/>
              </w:rPr>
              <w:t>JJ</w:t>
            </w:r>
          </w:p>
        </w:tc>
      </w:tr>
      <w:tr w:rsidR="001506C1" w:rsidRPr="00FA3F9C" w14:paraId="26E85446" w14:textId="77777777" w:rsidTr="00EA6203">
        <w:tc>
          <w:tcPr>
            <w:tcW w:w="1190" w:type="dxa"/>
          </w:tcPr>
          <w:p w14:paraId="7BCA558D" w14:textId="77777777" w:rsidR="001506C1" w:rsidRPr="00FA3F9C" w:rsidRDefault="001506C1" w:rsidP="00EA6203">
            <w:pPr>
              <w:rPr>
                <w:rFonts w:ascii="Arial" w:hAnsi="Arial" w:cs="Arial"/>
                <w:b/>
                <w:sz w:val="24"/>
                <w:szCs w:val="24"/>
              </w:rPr>
            </w:pPr>
            <w:r w:rsidRPr="00FA3F9C">
              <w:rPr>
                <w:rFonts w:ascii="Arial" w:hAnsi="Arial" w:cs="Arial"/>
                <w:b/>
                <w:sz w:val="24"/>
                <w:szCs w:val="24"/>
              </w:rPr>
              <w:t>9/24/19</w:t>
            </w:r>
          </w:p>
        </w:tc>
        <w:tc>
          <w:tcPr>
            <w:tcW w:w="7026" w:type="dxa"/>
          </w:tcPr>
          <w:p w14:paraId="1C410E1E" w14:textId="77777777" w:rsidR="001506C1" w:rsidRPr="00FA3F9C" w:rsidRDefault="001506C1" w:rsidP="00EA6203">
            <w:pPr>
              <w:rPr>
                <w:rFonts w:ascii="Arial" w:hAnsi="Arial" w:cs="Arial"/>
                <w:b/>
                <w:sz w:val="24"/>
                <w:szCs w:val="24"/>
              </w:rPr>
            </w:pPr>
            <w:r w:rsidRPr="00FA3F9C">
              <w:rPr>
                <w:rFonts w:ascii="Arial" w:hAnsi="Arial" w:cs="Arial"/>
                <w:b/>
                <w:sz w:val="24"/>
                <w:szCs w:val="24"/>
              </w:rPr>
              <w:t>I reviewed the criteria.  Formatted.  I added references 1-3.</w:t>
            </w:r>
          </w:p>
        </w:tc>
        <w:tc>
          <w:tcPr>
            <w:tcW w:w="2404" w:type="dxa"/>
          </w:tcPr>
          <w:p w14:paraId="06C74D2C" w14:textId="77777777" w:rsidR="001506C1" w:rsidRPr="00FA3F9C" w:rsidRDefault="001506C1" w:rsidP="00EA6203">
            <w:pPr>
              <w:rPr>
                <w:rFonts w:ascii="Arial" w:hAnsi="Arial" w:cs="Arial"/>
                <w:b/>
                <w:sz w:val="24"/>
                <w:szCs w:val="24"/>
              </w:rPr>
            </w:pPr>
            <w:r w:rsidRPr="00FA3F9C">
              <w:rPr>
                <w:rFonts w:ascii="Arial" w:hAnsi="Arial" w:cs="Arial"/>
                <w:b/>
                <w:sz w:val="24"/>
                <w:szCs w:val="24"/>
              </w:rPr>
              <w:t>JJ</w:t>
            </w:r>
          </w:p>
        </w:tc>
      </w:tr>
      <w:tr w:rsidR="001506C1" w:rsidRPr="00FA3F9C" w14:paraId="27D12FE5" w14:textId="77777777" w:rsidTr="00EA6203">
        <w:tc>
          <w:tcPr>
            <w:tcW w:w="1190" w:type="dxa"/>
          </w:tcPr>
          <w:p w14:paraId="39F5B941" w14:textId="77777777" w:rsidR="001506C1" w:rsidRPr="00FA3F9C" w:rsidRDefault="001506C1" w:rsidP="00EA6203">
            <w:pPr>
              <w:rPr>
                <w:rFonts w:ascii="Arial" w:hAnsi="Arial" w:cs="Arial"/>
                <w:b/>
                <w:sz w:val="24"/>
                <w:szCs w:val="24"/>
              </w:rPr>
            </w:pPr>
            <w:r w:rsidRPr="00FA3F9C">
              <w:rPr>
                <w:rFonts w:ascii="Arial" w:hAnsi="Arial" w:cs="Arial"/>
                <w:b/>
                <w:sz w:val="24"/>
                <w:szCs w:val="24"/>
              </w:rPr>
              <w:t>7/16/2020</w:t>
            </w:r>
          </w:p>
        </w:tc>
        <w:tc>
          <w:tcPr>
            <w:tcW w:w="7026" w:type="dxa"/>
          </w:tcPr>
          <w:p w14:paraId="22D0B274" w14:textId="77777777" w:rsidR="001506C1" w:rsidRPr="00FA3F9C" w:rsidRDefault="001506C1" w:rsidP="00EA6203">
            <w:pPr>
              <w:rPr>
                <w:rFonts w:ascii="Arial" w:hAnsi="Arial" w:cs="Arial"/>
                <w:b/>
                <w:sz w:val="24"/>
                <w:szCs w:val="24"/>
              </w:rPr>
            </w:pPr>
            <w:r w:rsidRPr="00FA3F9C">
              <w:rPr>
                <w:rFonts w:ascii="Arial" w:hAnsi="Arial" w:cs="Arial"/>
                <w:b/>
                <w:sz w:val="24"/>
                <w:szCs w:val="24"/>
              </w:rPr>
              <w:t>I added TD with TOBI and to avoid allowing this.</w:t>
            </w:r>
          </w:p>
        </w:tc>
        <w:tc>
          <w:tcPr>
            <w:tcW w:w="2404" w:type="dxa"/>
          </w:tcPr>
          <w:p w14:paraId="3B5ADCB0" w14:textId="77777777" w:rsidR="001506C1" w:rsidRPr="00FA3F9C" w:rsidRDefault="001506C1" w:rsidP="00EA6203">
            <w:pPr>
              <w:rPr>
                <w:rFonts w:ascii="Arial" w:hAnsi="Arial" w:cs="Arial"/>
                <w:b/>
                <w:sz w:val="24"/>
                <w:szCs w:val="24"/>
              </w:rPr>
            </w:pPr>
            <w:r w:rsidRPr="00FA3F9C">
              <w:rPr>
                <w:rFonts w:ascii="Arial" w:hAnsi="Arial" w:cs="Arial"/>
                <w:b/>
                <w:sz w:val="24"/>
                <w:szCs w:val="24"/>
              </w:rPr>
              <w:t>JJ</w:t>
            </w:r>
          </w:p>
        </w:tc>
      </w:tr>
      <w:tr w:rsidR="001506C1" w:rsidRPr="00FA3F9C" w14:paraId="0B78C9FB" w14:textId="77777777" w:rsidTr="00EA6203">
        <w:tc>
          <w:tcPr>
            <w:tcW w:w="1190" w:type="dxa"/>
          </w:tcPr>
          <w:p w14:paraId="1F272382" w14:textId="77777777" w:rsidR="001506C1" w:rsidRPr="00FA3F9C" w:rsidRDefault="001506C1" w:rsidP="00EA6203">
            <w:pPr>
              <w:rPr>
                <w:rFonts w:ascii="Arial" w:hAnsi="Arial" w:cs="Arial"/>
                <w:b/>
                <w:sz w:val="24"/>
                <w:szCs w:val="24"/>
              </w:rPr>
            </w:pPr>
            <w:r w:rsidRPr="00FA3F9C">
              <w:rPr>
                <w:rFonts w:ascii="Arial" w:hAnsi="Arial" w:cs="Arial"/>
                <w:b/>
                <w:sz w:val="24"/>
                <w:szCs w:val="24"/>
              </w:rPr>
              <w:t>3/30/21</w:t>
            </w:r>
          </w:p>
        </w:tc>
        <w:tc>
          <w:tcPr>
            <w:tcW w:w="7026" w:type="dxa"/>
          </w:tcPr>
          <w:p w14:paraId="3B89F85C" w14:textId="77777777" w:rsidR="001506C1" w:rsidRPr="00FA3F9C" w:rsidRDefault="001506C1" w:rsidP="00EA6203">
            <w:pPr>
              <w:rPr>
                <w:rFonts w:ascii="Arial" w:hAnsi="Arial" w:cs="Arial"/>
                <w:b/>
                <w:sz w:val="24"/>
                <w:szCs w:val="24"/>
              </w:rPr>
            </w:pPr>
            <w:r w:rsidRPr="00FA3F9C">
              <w:rPr>
                <w:rFonts w:ascii="Arial" w:hAnsi="Arial" w:cs="Arial"/>
                <w:b/>
                <w:sz w:val="24"/>
                <w:szCs w:val="24"/>
              </w:rPr>
              <w:t>Reviewed. No changes.  Applied to UAS plan.</w:t>
            </w:r>
          </w:p>
        </w:tc>
        <w:tc>
          <w:tcPr>
            <w:tcW w:w="2404" w:type="dxa"/>
          </w:tcPr>
          <w:p w14:paraId="3709BBDC" w14:textId="77777777" w:rsidR="001506C1" w:rsidRPr="00FA3F9C" w:rsidRDefault="001506C1" w:rsidP="00EA6203">
            <w:pPr>
              <w:rPr>
                <w:rFonts w:ascii="Arial" w:hAnsi="Arial" w:cs="Arial"/>
                <w:b/>
                <w:sz w:val="24"/>
                <w:szCs w:val="24"/>
              </w:rPr>
            </w:pPr>
            <w:r w:rsidRPr="00FA3F9C">
              <w:rPr>
                <w:rFonts w:ascii="Arial" w:hAnsi="Arial" w:cs="Arial"/>
                <w:b/>
                <w:sz w:val="24"/>
                <w:szCs w:val="24"/>
              </w:rPr>
              <w:t>JJ</w:t>
            </w:r>
          </w:p>
        </w:tc>
      </w:tr>
    </w:tbl>
    <w:p w14:paraId="33E95A9B" w14:textId="77777777" w:rsidR="001506C1" w:rsidRPr="00FA3F9C" w:rsidRDefault="001506C1" w:rsidP="004B79B7">
      <w:pPr>
        <w:rPr>
          <w:rFonts w:ascii="Arial" w:hAnsi="Arial" w:cs="Arial"/>
          <w:b/>
          <w:sz w:val="24"/>
          <w:szCs w:val="24"/>
        </w:rPr>
      </w:pPr>
    </w:p>
    <w:p w14:paraId="1A45BD89" w14:textId="77777777" w:rsidR="001506C1" w:rsidRPr="00FA3F9C" w:rsidRDefault="001506C1" w:rsidP="00E4013F">
      <w:pPr>
        <w:jc w:val="center"/>
        <w:rPr>
          <w:rFonts w:ascii="Arial" w:hAnsi="Arial" w:cs="Arial"/>
          <w:b/>
          <w:sz w:val="24"/>
          <w:szCs w:val="24"/>
        </w:rPr>
      </w:pPr>
    </w:p>
    <w:p w14:paraId="0084E05A" w14:textId="77777777" w:rsidR="001506C1" w:rsidRPr="00FA3F9C" w:rsidRDefault="001506C1" w:rsidP="00E4013F">
      <w:pPr>
        <w:jc w:val="center"/>
        <w:rPr>
          <w:rFonts w:ascii="Arial" w:hAnsi="Arial" w:cs="Arial"/>
          <w:b/>
          <w:sz w:val="24"/>
          <w:szCs w:val="24"/>
        </w:rPr>
      </w:pPr>
    </w:p>
    <w:p w14:paraId="049F9D4A" w14:textId="77777777" w:rsidR="001506C1" w:rsidRPr="00FA3F9C" w:rsidRDefault="001506C1" w:rsidP="00E4013F">
      <w:pPr>
        <w:jc w:val="center"/>
        <w:rPr>
          <w:rFonts w:ascii="Arial" w:hAnsi="Arial" w:cs="Arial"/>
          <w:b/>
          <w:sz w:val="24"/>
          <w:szCs w:val="24"/>
        </w:rPr>
      </w:pPr>
    </w:p>
    <w:p w14:paraId="7A61C306" w14:textId="77777777" w:rsidR="001506C1" w:rsidRPr="00FA3F9C" w:rsidRDefault="001506C1" w:rsidP="00E4013F">
      <w:pPr>
        <w:jc w:val="center"/>
        <w:rPr>
          <w:rFonts w:ascii="Arial" w:hAnsi="Arial" w:cs="Arial"/>
          <w:b/>
          <w:sz w:val="24"/>
          <w:szCs w:val="24"/>
        </w:rPr>
      </w:pPr>
    </w:p>
    <w:p w14:paraId="1383A9C9" w14:textId="77777777" w:rsidR="001506C1" w:rsidRPr="00FA3F9C" w:rsidRDefault="001506C1" w:rsidP="00E4013F">
      <w:pPr>
        <w:rPr>
          <w:rFonts w:ascii="Arial" w:hAnsi="Arial" w:cs="Arial"/>
          <w:b/>
          <w:sz w:val="24"/>
          <w:szCs w:val="24"/>
        </w:rPr>
      </w:pPr>
    </w:p>
    <w:p w14:paraId="3D154E20" w14:textId="77777777" w:rsidR="001506C1" w:rsidRPr="00FA3F9C" w:rsidRDefault="001506C1">
      <w:pPr>
        <w:rPr>
          <w:rFonts w:ascii="Arial" w:hAnsi="Arial" w:cs="Arial"/>
          <w:sz w:val="24"/>
          <w:szCs w:val="24"/>
        </w:rPr>
      </w:pPr>
    </w:p>
    <w:p w14:paraId="440625AA" w14:textId="77777777" w:rsidR="00CA4C3C" w:rsidRDefault="001506C1" w:rsidP="00CA4C3C">
      <w:pPr>
        <w:pStyle w:val="Heading2"/>
      </w:pPr>
      <w:bookmarkStart w:id="28" w:name="_Toc106369730"/>
      <w:proofErr w:type="spellStart"/>
      <w:r w:rsidRPr="00FA3F9C">
        <w:lastRenderedPageBreak/>
        <w:t>Bedaquiline</w:t>
      </w:r>
      <w:proofErr w:type="spellEnd"/>
      <w:r w:rsidRPr="00FA3F9C">
        <w:t xml:space="preserve"> (</w:t>
      </w:r>
      <w:proofErr w:type="spellStart"/>
      <w:r w:rsidRPr="00FA3F9C">
        <w:t>Sirturo</w:t>
      </w:r>
      <w:proofErr w:type="spellEnd"/>
      <w:r w:rsidRPr="00FA3F9C">
        <w:t>®)</w:t>
      </w:r>
      <w:bookmarkEnd w:id="28"/>
    </w:p>
    <w:p w14:paraId="15BED1EB" w14:textId="202EF1FC" w:rsidR="001506C1" w:rsidRPr="00FA3F9C" w:rsidRDefault="001506C1" w:rsidP="00CF77DE">
      <w:pPr>
        <w:jc w:val="center"/>
        <w:rPr>
          <w:rFonts w:ascii="Arial" w:hAnsi="Arial" w:cs="Arial"/>
          <w:sz w:val="24"/>
          <w:szCs w:val="24"/>
        </w:rPr>
      </w:pPr>
      <w:r w:rsidRPr="00FA3F9C">
        <w:rPr>
          <w:rFonts w:ascii="Arial" w:hAnsi="Arial" w:cs="Arial"/>
          <w:sz w:val="24"/>
          <w:szCs w:val="24"/>
        </w:rPr>
        <w:t xml:space="preserve"> 100mg tablets</w:t>
      </w:r>
    </w:p>
    <w:p w14:paraId="5487D84C" w14:textId="77777777" w:rsidR="001506C1" w:rsidRPr="00FA3F9C" w:rsidRDefault="001506C1" w:rsidP="00CF77DE">
      <w:pPr>
        <w:jc w:val="center"/>
        <w:rPr>
          <w:rFonts w:ascii="Arial" w:hAnsi="Arial" w:cs="Arial"/>
          <w:sz w:val="24"/>
          <w:szCs w:val="24"/>
        </w:rPr>
      </w:pPr>
      <w:r w:rsidRPr="00FA3F9C">
        <w:rPr>
          <w:rFonts w:ascii="Arial" w:hAnsi="Arial" w:cs="Arial"/>
          <w:sz w:val="24"/>
          <w:szCs w:val="24"/>
        </w:rPr>
        <w:t>EBRx PA Criteria</w:t>
      </w:r>
    </w:p>
    <w:p w14:paraId="7A81B0BA" w14:textId="77777777" w:rsidR="001506C1" w:rsidRPr="00FA3F9C" w:rsidRDefault="001506C1" w:rsidP="00CF77DE">
      <w:pPr>
        <w:rPr>
          <w:rFonts w:ascii="Arial" w:hAnsi="Arial" w:cs="Arial"/>
          <w:b/>
          <w:sz w:val="24"/>
          <w:szCs w:val="24"/>
          <w:u w:val="single"/>
        </w:rPr>
      </w:pPr>
    </w:p>
    <w:p w14:paraId="5C65B698" w14:textId="77777777" w:rsidR="001506C1" w:rsidRPr="00FA3F9C" w:rsidRDefault="001506C1" w:rsidP="00CF77DE">
      <w:pPr>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treating multidrug resistant TB in combination with other drugs; in pediatric patients </w:t>
      </w:r>
      <w:r w:rsidRPr="00FA3F9C">
        <w:rPr>
          <w:rFonts w:ascii="Arial" w:hAnsi="Arial" w:cs="Arial"/>
          <w:sz w:val="24"/>
          <w:szCs w:val="24"/>
          <w:u w:val="single"/>
        </w:rPr>
        <w:t>&gt;</w:t>
      </w:r>
      <w:r w:rsidRPr="00FA3F9C">
        <w:rPr>
          <w:rFonts w:ascii="Arial" w:hAnsi="Arial" w:cs="Arial"/>
          <w:sz w:val="24"/>
          <w:szCs w:val="24"/>
        </w:rPr>
        <w:t xml:space="preserve">5 y weighing </w:t>
      </w:r>
      <w:r w:rsidRPr="00FA3F9C">
        <w:rPr>
          <w:rFonts w:ascii="Arial" w:hAnsi="Arial" w:cs="Arial"/>
          <w:sz w:val="24"/>
          <w:szCs w:val="24"/>
          <w:u w:val="single"/>
        </w:rPr>
        <w:t>&gt;</w:t>
      </w:r>
      <w:r w:rsidRPr="00FA3F9C">
        <w:rPr>
          <w:rFonts w:ascii="Arial" w:hAnsi="Arial" w:cs="Arial"/>
          <w:sz w:val="24"/>
          <w:szCs w:val="24"/>
        </w:rPr>
        <w:t>15kg and adults when an effective treatment regimen cannot otherwise be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3"/>
        <w:gridCol w:w="1683"/>
      </w:tblGrid>
      <w:tr w:rsidR="001506C1" w:rsidRPr="00FA3F9C" w14:paraId="50CC203A" w14:textId="77777777" w:rsidTr="00E14FD6">
        <w:tc>
          <w:tcPr>
            <w:tcW w:w="7173" w:type="dxa"/>
            <w:shd w:val="clear" w:color="auto" w:fill="000000"/>
          </w:tcPr>
          <w:p w14:paraId="451ADC21" w14:textId="77777777" w:rsidR="001506C1" w:rsidRPr="00FA3F9C" w:rsidRDefault="001506C1" w:rsidP="00E14FD6">
            <w:pPr>
              <w:rPr>
                <w:rFonts w:ascii="Arial" w:hAnsi="Arial" w:cs="Arial"/>
                <w:b/>
                <w:sz w:val="24"/>
                <w:szCs w:val="24"/>
                <w:u w:val="single"/>
              </w:rPr>
            </w:pPr>
            <w:r w:rsidRPr="00FA3F9C">
              <w:rPr>
                <w:rFonts w:ascii="Arial" w:hAnsi="Arial" w:cs="Arial"/>
                <w:b/>
                <w:sz w:val="24"/>
                <w:szCs w:val="24"/>
                <w:u w:val="single"/>
              </w:rPr>
              <w:t>Criteria for new users</w:t>
            </w:r>
          </w:p>
        </w:tc>
        <w:tc>
          <w:tcPr>
            <w:tcW w:w="1683" w:type="dxa"/>
            <w:shd w:val="clear" w:color="auto" w:fill="000000"/>
          </w:tcPr>
          <w:p w14:paraId="327BC1F2" w14:textId="77777777" w:rsidR="001506C1" w:rsidRPr="00FA3F9C" w:rsidRDefault="001506C1" w:rsidP="00E14FD6">
            <w:pPr>
              <w:jc w:val="center"/>
              <w:rPr>
                <w:rFonts w:ascii="Arial" w:hAnsi="Arial" w:cs="Arial"/>
                <w:b/>
                <w:sz w:val="24"/>
                <w:szCs w:val="24"/>
                <w:u w:val="single"/>
              </w:rPr>
            </w:pPr>
          </w:p>
        </w:tc>
      </w:tr>
      <w:tr w:rsidR="001506C1" w:rsidRPr="00FA3F9C" w14:paraId="2B2FBE1E" w14:textId="77777777" w:rsidTr="00E14FD6">
        <w:tc>
          <w:tcPr>
            <w:tcW w:w="8856" w:type="dxa"/>
            <w:gridSpan w:val="2"/>
            <w:shd w:val="clear" w:color="auto" w:fill="auto"/>
          </w:tcPr>
          <w:p w14:paraId="41FD3D91" w14:textId="77777777" w:rsidR="001506C1" w:rsidRPr="00FA3F9C" w:rsidRDefault="001506C1" w:rsidP="00E14FD6">
            <w:pPr>
              <w:rPr>
                <w:rFonts w:ascii="Arial" w:hAnsi="Arial" w:cs="Arial"/>
                <w:sz w:val="24"/>
                <w:szCs w:val="24"/>
              </w:rPr>
            </w:pPr>
            <w:r w:rsidRPr="00FA3F9C">
              <w:rPr>
                <w:rFonts w:ascii="Arial" w:hAnsi="Arial" w:cs="Arial"/>
                <w:sz w:val="24"/>
                <w:szCs w:val="24"/>
              </w:rPr>
              <w:t>1. The patient must have the diagnosis of multidrug resistant tuberculosis.</w:t>
            </w:r>
          </w:p>
        </w:tc>
      </w:tr>
      <w:tr w:rsidR="001506C1" w:rsidRPr="00FA3F9C" w14:paraId="68EA1CA3" w14:textId="77777777" w:rsidTr="00E14FD6">
        <w:tc>
          <w:tcPr>
            <w:tcW w:w="8856" w:type="dxa"/>
            <w:gridSpan w:val="2"/>
            <w:shd w:val="clear" w:color="auto" w:fill="auto"/>
          </w:tcPr>
          <w:p w14:paraId="619D4197" w14:textId="77777777" w:rsidR="001506C1" w:rsidRPr="00FA3F9C" w:rsidRDefault="001506C1" w:rsidP="00E14FD6">
            <w:pPr>
              <w:rPr>
                <w:rFonts w:ascii="Arial" w:hAnsi="Arial" w:cs="Arial"/>
                <w:sz w:val="24"/>
                <w:szCs w:val="24"/>
              </w:rPr>
            </w:pPr>
            <w:r w:rsidRPr="00FA3F9C">
              <w:rPr>
                <w:rFonts w:ascii="Arial" w:hAnsi="Arial" w:cs="Arial"/>
                <w:sz w:val="24"/>
                <w:szCs w:val="24"/>
              </w:rPr>
              <w:t>2. The Arkansas Health Department should be consulted on the appropriate regimen.</w:t>
            </w:r>
          </w:p>
        </w:tc>
      </w:tr>
      <w:tr w:rsidR="001506C1" w:rsidRPr="00FA3F9C" w14:paraId="1F14DE6B" w14:textId="77777777" w:rsidTr="00E14FD6">
        <w:tc>
          <w:tcPr>
            <w:tcW w:w="8856" w:type="dxa"/>
            <w:gridSpan w:val="2"/>
            <w:shd w:val="clear" w:color="auto" w:fill="auto"/>
          </w:tcPr>
          <w:p w14:paraId="785990CC" w14:textId="77777777" w:rsidR="001506C1" w:rsidRPr="00FA3F9C" w:rsidRDefault="001506C1" w:rsidP="00E14FD6">
            <w:pPr>
              <w:rPr>
                <w:rFonts w:ascii="Arial" w:hAnsi="Arial" w:cs="Arial"/>
                <w:sz w:val="24"/>
                <w:szCs w:val="24"/>
              </w:rPr>
            </w:pPr>
            <w:r w:rsidRPr="00FA3F9C">
              <w:rPr>
                <w:rFonts w:ascii="Arial" w:hAnsi="Arial" w:cs="Arial"/>
                <w:sz w:val="24"/>
                <w:szCs w:val="24"/>
              </w:rPr>
              <w:t>If approved, allow the AR Dept of Health to determine the length of treatment and approve the PA accordingly.</w:t>
            </w:r>
          </w:p>
        </w:tc>
      </w:tr>
    </w:tbl>
    <w:p w14:paraId="7EA56F88" w14:textId="77777777" w:rsidR="001506C1" w:rsidRPr="00FA3F9C" w:rsidRDefault="001506C1" w:rsidP="00CF77DE">
      <w:pPr>
        <w:rPr>
          <w:rFonts w:ascii="Arial" w:hAnsi="Arial" w:cs="Arial"/>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10998"/>
      </w:tblGrid>
      <w:tr w:rsidR="001506C1" w:rsidRPr="00FA3F9C" w14:paraId="4D013320" w14:textId="77777777" w:rsidTr="00E14FD6">
        <w:tc>
          <w:tcPr>
            <w:tcW w:w="10998" w:type="dxa"/>
            <w:shd w:val="clear" w:color="auto" w:fill="BFBFBF"/>
          </w:tcPr>
          <w:p w14:paraId="2BB4AB3E" w14:textId="77777777" w:rsidR="001506C1" w:rsidRPr="00FA3F9C" w:rsidRDefault="001506C1" w:rsidP="00CF77DE">
            <w:pPr>
              <w:rPr>
                <w:rFonts w:ascii="Arial" w:hAnsi="Arial" w:cs="Arial"/>
                <w:b/>
                <w:sz w:val="24"/>
                <w:szCs w:val="24"/>
              </w:rPr>
            </w:pPr>
            <w:r w:rsidRPr="00FA3F9C">
              <w:rPr>
                <w:rFonts w:ascii="Arial" w:hAnsi="Arial" w:cs="Arial"/>
                <w:sz w:val="24"/>
                <w:szCs w:val="24"/>
              </w:rPr>
              <w:t xml:space="preserve">Note: </w:t>
            </w:r>
            <w:r w:rsidRPr="00FA3F9C">
              <w:rPr>
                <w:rFonts w:ascii="Arial" w:hAnsi="Arial" w:cs="Arial"/>
                <w:b/>
                <w:sz w:val="24"/>
                <w:szCs w:val="24"/>
              </w:rPr>
              <w:t>Max treatment regimen is 24 weeks.</w:t>
            </w:r>
          </w:p>
          <w:p w14:paraId="4D1A46A9" w14:textId="77777777" w:rsidR="001506C1" w:rsidRPr="00FA3F9C" w:rsidRDefault="001506C1" w:rsidP="00CF77DE">
            <w:pPr>
              <w:rPr>
                <w:rFonts w:ascii="Arial" w:hAnsi="Arial" w:cs="Arial"/>
                <w:b/>
                <w:sz w:val="24"/>
                <w:szCs w:val="24"/>
              </w:rPr>
            </w:pPr>
            <w:r w:rsidRPr="00FA3F9C">
              <w:rPr>
                <w:rFonts w:ascii="Arial" w:hAnsi="Arial" w:cs="Arial"/>
                <w:b/>
                <w:sz w:val="24"/>
                <w:szCs w:val="24"/>
              </w:rPr>
              <w:t xml:space="preserve">Dose is 400mg daily for 2 weeks, then 200mg 3x/w up to 24 weeks.  At least 3 </w:t>
            </w:r>
            <w:proofErr w:type="gramStart"/>
            <w:r w:rsidRPr="00FA3F9C">
              <w:rPr>
                <w:rFonts w:ascii="Arial" w:hAnsi="Arial" w:cs="Arial"/>
                <w:b/>
                <w:sz w:val="24"/>
                <w:szCs w:val="24"/>
              </w:rPr>
              <w:t>other</w:t>
            </w:r>
            <w:proofErr w:type="gramEnd"/>
            <w:r w:rsidRPr="00FA3F9C">
              <w:rPr>
                <w:rFonts w:ascii="Arial" w:hAnsi="Arial" w:cs="Arial"/>
                <w:b/>
                <w:sz w:val="24"/>
                <w:szCs w:val="24"/>
              </w:rPr>
              <w:t xml:space="preserve"> effective </w:t>
            </w:r>
            <w:proofErr w:type="spellStart"/>
            <w:r w:rsidRPr="00FA3F9C">
              <w:rPr>
                <w:rFonts w:ascii="Arial" w:hAnsi="Arial" w:cs="Arial"/>
                <w:b/>
                <w:sz w:val="24"/>
                <w:szCs w:val="24"/>
              </w:rPr>
              <w:t>antiTB</w:t>
            </w:r>
            <w:proofErr w:type="spellEnd"/>
            <w:r w:rsidRPr="00FA3F9C">
              <w:rPr>
                <w:rFonts w:ascii="Arial" w:hAnsi="Arial" w:cs="Arial"/>
                <w:b/>
                <w:sz w:val="24"/>
                <w:szCs w:val="24"/>
              </w:rPr>
              <w:t xml:space="preserve"> drugs must be taken along with </w:t>
            </w:r>
            <w:proofErr w:type="spellStart"/>
            <w:r w:rsidRPr="00FA3F9C">
              <w:rPr>
                <w:rFonts w:ascii="Arial" w:hAnsi="Arial" w:cs="Arial"/>
                <w:b/>
                <w:sz w:val="24"/>
                <w:szCs w:val="24"/>
              </w:rPr>
              <w:t>bedaquiline</w:t>
            </w:r>
            <w:proofErr w:type="spellEnd"/>
            <w:r w:rsidRPr="00FA3F9C">
              <w:rPr>
                <w:rFonts w:ascii="Arial" w:hAnsi="Arial" w:cs="Arial"/>
                <w:b/>
                <w:sz w:val="24"/>
                <w:szCs w:val="24"/>
              </w:rPr>
              <w:t>.</w:t>
            </w:r>
          </w:p>
          <w:p w14:paraId="041592C5" w14:textId="77777777" w:rsidR="001506C1" w:rsidRPr="00FA3F9C" w:rsidRDefault="001506C1" w:rsidP="00CF77DE">
            <w:pPr>
              <w:rPr>
                <w:rFonts w:ascii="Arial" w:hAnsi="Arial" w:cs="Arial"/>
                <w:b/>
                <w:sz w:val="24"/>
                <w:szCs w:val="24"/>
              </w:rPr>
            </w:pPr>
            <w:r w:rsidRPr="00FA3F9C">
              <w:rPr>
                <w:rFonts w:ascii="Arial" w:hAnsi="Arial" w:cs="Arial"/>
                <w:b/>
                <w:sz w:val="24"/>
                <w:szCs w:val="24"/>
              </w:rPr>
              <w:t xml:space="preserve">It should be noted mortality was increased with </w:t>
            </w:r>
            <w:proofErr w:type="spellStart"/>
            <w:r w:rsidRPr="00FA3F9C">
              <w:rPr>
                <w:rFonts w:ascii="Arial" w:hAnsi="Arial" w:cs="Arial"/>
                <w:b/>
                <w:sz w:val="24"/>
                <w:szCs w:val="24"/>
              </w:rPr>
              <w:t>bedaquiline</w:t>
            </w:r>
            <w:proofErr w:type="spellEnd"/>
            <w:r w:rsidRPr="00FA3F9C">
              <w:rPr>
                <w:rFonts w:ascii="Arial" w:hAnsi="Arial" w:cs="Arial"/>
                <w:b/>
                <w:sz w:val="24"/>
                <w:szCs w:val="24"/>
              </w:rPr>
              <w:t xml:space="preserve"> vs placebo and is thus far unexplained.  </w:t>
            </w:r>
          </w:p>
          <w:p w14:paraId="4AAC4D15" w14:textId="77777777" w:rsidR="001506C1" w:rsidRPr="00FA3F9C" w:rsidRDefault="001506C1" w:rsidP="00CF77DE">
            <w:pPr>
              <w:rPr>
                <w:rFonts w:ascii="Arial" w:hAnsi="Arial" w:cs="Arial"/>
                <w:b/>
                <w:sz w:val="24"/>
                <w:szCs w:val="24"/>
              </w:rPr>
            </w:pPr>
          </w:p>
          <w:p w14:paraId="4F15FD56" w14:textId="77777777" w:rsidR="001506C1" w:rsidRPr="00FA3F9C" w:rsidRDefault="001506C1" w:rsidP="00CF77DE">
            <w:pPr>
              <w:rPr>
                <w:rFonts w:ascii="Arial" w:hAnsi="Arial" w:cs="Arial"/>
                <w:b/>
                <w:sz w:val="24"/>
                <w:szCs w:val="24"/>
              </w:rPr>
            </w:pPr>
            <w:r w:rsidRPr="00FA3F9C">
              <w:rPr>
                <w:rFonts w:ascii="Arial" w:hAnsi="Arial" w:cs="Arial"/>
                <w:b/>
                <w:sz w:val="24"/>
                <w:szCs w:val="24"/>
              </w:rPr>
              <w:t>QT prolongation is caused by the drug and is additive with other drugs (see PI) including quinolones which are often used in the combination therapy.  Frequent EKGs should be performed.  Stop drug if QT interval exceeds 500ms.</w:t>
            </w:r>
          </w:p>
          <w:p w14:paraId="19A4BCDD" w14:textId="77777777" w:rsidR="001506C1" w:rsidRPr="00FA3F9C" w:rsidRDefault="001506C1" w:rsidP="00CF77DE">
            <w:pPr>
              <w:rPr>
                <w:rFonts w:ascii="Arial" w:hAnsi="Arial" w:cs="Arial"/>
                <w:b/>
                <w:sz w:val="24"/>
                <w:szCs w:val="24"/>
              </w:rPr>
            </w:pPr>
          </w:p>
          <w:p w14:paraId="5FEE1DFC" w14:textId="77777777" w:rsidR="001506C1" w:rsidRPr="00FA3F9C" w:rsidRDefault="001506C1" w:rsidP="00E14FD6">
            <w:pPr>
              <w:rPr>
                <w:rFonts w:ascii="Arial" w:hAnsi="Arial" w:cs="Arial"/>
                <w:sz w:val="24"/>
                <w:szCs w:val="24"/>
              </w:rPr>
            </w:pPr>
          </w:p>
        </w:tc>
      </w:tr>
    </w:tbl>
    <w:p w14:paraId="42131FA7" w14:textId="77777777" w:rsidR="001506C1" w:rsidRPr="00FA3F9C" w:rsidRDefault="001506C1" w:rsidP="00CF77DE">
      <w:pPr>
        <w:rPr>
          <w:rFonts w:ascii="Arial" w:hAnsi="Arial" w:cs="Arial"/>
          <w:sz w:val="24"/>
          <w:szCs w:val="24"/>
        </w:rPr>
      </w:pPr>
    </w:p>
    <w:p w14:paraId="72B21904" w14:textId="77777777" w:rsidR="001506C1" w:rsidRPr="00FA3F9C" w:rsidRDefault="001506C1" w:rsidP="00CF77DE">
      <w:pPr>
        <w:rPr>
          <w:rFonts w:ascii="Arial" w:hAnsi="Arial" w:cs="Arial"/>
          <w:sz w:val="24"/>
          <w:szCs w:val="24"/>
        </w:rPr>
      </w:pPr>
      <w:r w:rsidRPr="00FA3F9C">
        <w:rPr>
          <w:rFonts w:ascii="Arial" w:hAnsi="Arial" w:cs="Arial"/>
          <w:sz w:val="24"/>
          <w:szCs w:val="24"/>
        </w:rPr>
        <w:t>References:</w:t>
      </w:r>
    </w:p>
    <w:p w14:paraId="35769601" w14:textId="77777777" w:rsidR="001506C1" w:rsidRPr="00FA3F9C" w:rsidRDefault="001506C1" w:rsidP="001506C1">
      <w:pPr>
        <w:numPr>
          <w:ilvl w:val="0"/>
          <w:numId w:val="45"/>
        </w:numPr>
        <w:autoSpaceDE w:val="0"/>
        <w:autoSpaceDN w:val="0"/>
        <w:adjustRightInd w:val="0"/>
        <w:spacing w:after="0" w:line="240" w:lineRule="auto"/>
        <w:ind w:left="360"/>
        <w:rPr>
          <w:rFonts w:ascii="Arial" w:hAnsi="Arial" w:cs="Arial"/>
          <w:bCs/>
          <w:sz w:val="24"/>
          <w:szCs w:val="24"/>
        </w:rPr>
      </w:pPr>
      <w:r w:rsidRPr="00FA3F9C">
        <w:rPr>
          <w:rFonts w:ascii="Arial" w:hAnsi="Arial" w:cs="Arial"/>
          <w:sz w:val="24"/>
          <w:szCs w:val="24"/>
        </w:rPr>
        <w:t>Lexicomp</w:t>
      </w:r>
      <w:r w:rsidRPr="00FA3F9C">
        <w:rPr>
          <w:rFonts w:ascii="Arial" w:hAnsi="Arial" w:cs="Arial"/>
          <w:bCs/>
          <w:sz w:val="24"/>
          <w:szCs w:val="24"/>
        </w:rPr>
        <w:t xml:space="preserve">. </w:t>
      </w:r>
      <w:proofErr w:type="spellStart"/>
      <w:r w:rsidRPr="00FA3F9C">
        <w:rPr>
          <w:rFonts w:ascii="Arial" w:hAnsi="Arial" w:cs="Arial"/>
          <w:bCs/>
          <w:sz w:val="24"/>
          <w:szCs w:val="24"/>
        </w:rPr>
        <w:t>Bedaquiline</w:t>
      </w:r>
      <w:proofErr w:type="spellEnd"/>
      <w:r w:rsidRPr="00FA3F9C">
        <w:rPr>
          <w:rFonts w:ascii="Arial" w:hAnsi="Arial" w:cs="Arial"/>
          <w:bCs/>
          <w:sz w:val="24"/>
          <w:szCs w:val="24"/>
        </w:rPr>
        <w:t>.  Accessed 5/28/13.</w:t>
      </w:r>
    </w:p>
    <w:p w14:paraId="21657F67" w14:textId="77777777" w:rsidR="001506C1" w:rsidRPr="00FA3F9C" w:rsidRDefault="001506C1" w:rsidP="001506C1">
      <w:pPr>
        <w:numPr>
          <w:ilvl w:val="0"/>
          <w:numId w:val="45"/>
        </w:numPr>
        <w:autoSpaceDE w:val="0"/>
        <w:autoSpaceDN w:val="0"/>
        <w:adjustRightInd w:val="0"/>
        <w:spacing w:after="0" w:line="240" w:lineRule="auto"/>
        <w:ind w:left="360"/>
        <w:rPr>
          <w:rFonts w:ascii="Arial" w:hAnsi="Arial" w:cs="Arial"/>
          <w:sz w:val="24"/>
          <w:szCs w:val="24"/>
        </w:rPr>
      </w:pPr>
      <w:proofErr w:type="spellStart"/>
      <w:r w:rsidRPr="00FA3F9C">
        <w:rPr>
          <w:rFonts w:ascii="Arial" w:hAnsi="Arial" w:cs="Arial"/>
          <w:bCs/>
          <w:sz w:val="24"/>
          <w:szCs w:val="24"/>
          <w:lang w:val="fr-FR"/>
        </w:rPr>
        <w:t>Diacon</w:t>
      </w:r>
      <w:proofErr w:type="spellEnd"/>
      <w:r w:rsidRPr="00FA3F9C">
        <w:rPr>
          <w:rFonts w:ascii="Arial" w:hAnsi="Arial" w:cs="Arial"/>
          <w:bCs/>
          <w:sz w:val="24"/>
          <w:szCs w:val="24"/>
          <w:lang w:val="fr-FR"/>
        </w:rPr>
        <w:t xml:space="preserve"> AH, Dawson R, </w:t>
      </w:r>
      <w:proofErr w:type="spellStart"/>
      <w:r w:rsidRPr="00FA3F9C">
        <w:rPr>
          <w:rFonts w:ascii="Arial" w:hAnsi="Arial" w:cs="Arial"/>
          <w:bCs/>
          <w:sz w:val="24"/>
          <w:szCs w:val="24"/>
          <w:lang w:val="fr-FR"/>
        </w:rPr>
        <w:t>vonGroote-Bidlingmaier</w:t>
      </w:r>
      <w:proofErr w:type="spellEnd"/>
      <w:r w:rsidRPr="00FA3F9C">
        <w:rPr>
          <w:rFonts w:ascii="Arial" w:hAnsi="Arial" w:cs="Arial"/>
          <w:bCs/>
          <w:sz w:val="24"/>
          <w:szCs w:val="24"/>
          <w:lang w:val="fr-FR"/>
        </w:rPr>
        <w:t xml:space="preserve"> F, et al.  </w:t>
      </w:r>
      <w:r w:rsidRPr="00FA3F9C">
        <w:rPr>
          <w:rFonts w:ascii="Arial" w:hAnsi="Arial" w:cs="Arial"/>
          <w:bCs/>
          <w:sz w:val="24"/>
          <w:szCs w:val="24"/>
        </w:rPr>
        <w:t xml:space="preserve">140day bactericidal activity of PA-824,bedaquiline, pyrazinamide, and moxifloxacin combinations:  a randomized trial.  Lancet. 2012;380(9846):986-93. </w:t>
      </w:r>
    </w:p>
    <w:p w14:paraId="4DD5607E" w14:textId="77777777" w:rsidR="001506C1" w:rsidRPr="00FA3F9C" w:rsidRDefault="001506C1" w:rsidP="001506C1">
      <w:pPr>
        <w:numPr>
          <w:ilvl w:val="0"/>
          <w:numId w:val="45"/>
        </w:numPr>
        <w:autoSpaceDE w:val="0"/>
        <w:autoSpaceDN w:val="0"/>
        <w:adjustRightInd w:val="0"/>
        <w:spacing w:after="0" w:line="240" w:lineRule="auto"/>
        <w:ind w:left="360"/>
        <w:rPr>
          <w:rFonts w:ascii="Arial" w:hAnsi="Arial" w:cs="Arial"/>
          <w:sz w:val="24"/>
          <w:szCs w:val="24"/>
        </w:rPr>
      </w:pPr>
      <w:proofErr w:type="spellStart"/>
      <w:r w:rsidRPr="00FA3F9C">
        <w:rPr>
          <w:rFonts w:ascii="Arial" w:hAnsi="Arial" w:cs="Arial"/>
          <w:bCs/>
          <w:sz w:val="24"/>
          <w:szCs w:val="24"/>
          <w:lang w:val="es-ES"/>
        </w:rPr>
        <w:t>Sirturo</w:t>
      </w:r>
      <w:proofErr w:type="spellEnd"/>
      <w:r w:rsidRPr="00FA3F9C">
        <w:rPr>
          <w:rFonts w:ascii="Arial" w:hAnsi="Arial" w:cs="Arial"/>
          <w:bCs/>
          <w:sz w:val="24"/>
          <w:szCs w:val="24"/>
          <w:lang w:val="es-ES"/>
        </w:rPr>
        <w:t xml:space="preserve"> PI.  </w:t>
      </w:r>
      <w:hyperlink r:id="rId43" w:history="1">
        <w:r w:rsidRPr="00FA3F9C">
          <w:rPr>
            <w:rStyle w:val="Hyperlink"/>
            <w:rFonts w:ascii="Arial" w:hAnsi="Arial" w:cs="Arial"/>
            <w:bCs/>
            <w:sz w:val="24"/>
            <w:szCs w:val="24"/>
            <w:lang w:val="es-ES"/>
          </w:rPr>
          <w:t>http://www.sirturo.com/sirturo-clinical-trials</w:t>
        </w:r>
      </w:hyperlink>
      <w:r w:rsidRPr="00FA3F9C">
        <w:rPr>
          <w:rFonts w:ascii="Arial" w:hAnsi="Arial" w:cs="Arial"/>
          <w:bCs/>
          <w:sz w:val="24"/>
          <w:szCs w:val="24"/>
          <w:lang w:val="es-ES"/>
        </w:rPr>
        <w:t xml:space="preserve">.  </w:t>
      </w:r>
      <w:r w:rsidRPr="00FA3F9C">
        <w:rPr>
          <w:rFonts w:ascii="Arial" w:hAnsi="Arial" w:cs="Arial"/>
          <w:bCs/>
          <w:sz w:val="24"/>
          <w:szCs w:val="24"/>
        </w:rPr>
        <w:t>Accessed 5/28/13.</w:t>
      </w:r>
    </w:p>
    <w:p w14:paraId="0DE3A5F5" w14:textId="77777777" w:rsidR="001506C1" w:rsidRPr="00FA3F9C" w:rsidRDefault="001506C1" w:rsidP="00CF77DE">
      <w:pPr>
        <w:rPr>
          <w:rFonts w:ascii="Arial" w:hAnsi="Arial" w:cs="Arial"/>
          <w:sz w:val="24"/>
          <w:szCs w:val="24"/>
        </w:rPr>
      </w:pPr>
      <w:r w:rsidRPr="00FA3F9C">
        <w:rPr>
          <w:rFonts w:ascii="Arial" w:hAnsi="Arial" w:cs="Arial"/>
          <w:bCs/>
          <w:sz w:val="24"/>
          <w:szCs w:val="24"/>
        </w:rPr>
        <w:t xml:space="preserve">4.  </w:t>
      </w:r>
      <w:r w:rsidRPr="00FA3F9C">
        <w:rPr>
          <w:rFonts w:ascii="Arial" w:hAnsi="Arial" w:cs="Arial"/>
          <w:color w:val="222222"/>
          <w:sz w:val="24"/>
          <w:szCs w:val="24"/>
          <w:shd w:val="clear" w:color="auto" w:fill="F8F8F8"/>
        </w:rPr>
        <w:t>World Health Organization. "WHO consolidated guidelines on drug-resistant tuberculosis treatment." (2019).</w:t>
      </w:r>
    </w:p>
    <w:p w14:paraId="716255DB" w14:textId="77777777" w:rsidR="001506C1" w:rsidRPr="00FA3F9C" w:rsidRDefault="00500371" w:rsidP="00CF77DE">
      <w:pPr>
        <w:rPr>
          <w:rFonts w:ascii="Arial" w:hAnsi="Arial" w:cs="Arial"/>
          <w:sz w:val="24"/>
          <w:szCs w:val="24"/>
        </w:rPr>
      </w:pPr>
      <w:hyperlink r:id="rId44" w:history="1">
        <w:r w:rsidR="001506C1" w:rsidRPr="00FA3F9C">
          <w:rPr>
            <w:rStyle w:val="Hyperlink"/>
            <w:rFonts w:ascii="Arial" w:hAnsi="Arial" w:cs="Arial"/>
            <w:sz w:val="24"/>
            <w:szCs w:val="24"/>
          </w:rPr>
          <w:t>https://apps.who.int/iris/bitstream/handle/10665/311389/9789241550529-eng.pdf?ua=1%20(Accessed%20on%20March%2028,%202019).</w:t>
        </w:r>
      </w:hyperlink>
    </w:p>
    <w:p w14:paraId="6484B90E" w14:textId="77777777" w:rsidR="001506C1" w:rsidRPr="00FA3F9C" w:rsidRDefault="001506C1" w:rsidP="00CF77DE">
      <w:pPr>
        <w:autoSpaceDE w:val="0"/>
        <w:autoSpaceDN w:val="0"/>
        <w:adjustRightInd w:val="0"/>
        <w:rPr>
          <w:rFonts w:ascii="Arial" w:hAnsi="Arial" w:cs="Arial"/>
          <w:sz w:val="24"/>
          <w:szCs w:val="24"/>
        </w:rPr>
      </w:pPr>
    </w:p>
    <w:p w14:paraId="52BC29B9" w14:textId="77777777" w:rsidR="001506C1" w:rsidRPr="00FA3F9C" w:rsidRDefault="001506C1" w:rsidP="00CF77DE">
      <w:pPr>
        <w:rPr>
          <w:rFonts w:ascii="Arial" w:hAnsi="Arial" w:cs="Arial"/>
          <w:sz w:val="24"/>
          <w:szCs w:val="24"/>
        </w:rPr>
      </w:pPr>
    </w:p>
    <w:p w14:paraId="17997DAB" w14:textId="77777777" w:rsidR="001506C1" w:rsidRPr="00FA3F9C" w:rsidRDefault="001506C1" w:rsidP="00CF77DE">
      <w:pPr>
        <w:rPr>
          <w:rFonts w:ascii="Arial" w:hAnsi="Arial" w:cs="Arial"/>
          <w:sz w:val="24"/>
          <w:szCs w:val="24"/>
        </w:rPr>
      </w:pPr>
    </w:p>
    <w:p w14:paraId="7676CC54" w14:textId="77777777" w:rsidR="001506C1" w:rsidRPr="00FA3F9C" w:rsidRDefault="001506C1" w:rsidP="00CF77DE">
      <w:pPr>
        <w:rPr>
          <w:rFonts w:ascii="Arial" w:hAnsi="Arial" w:cs="Arial"/>
          <w:sz w:val="24"/>
          <w:szCs w:val="24"/>
        </w:rPr>
      </w:pPr>
    </w:p>
    <w:p w14:paraId="4689B018" w14:textId="77777777" w:rsidR="001506C1" w:rsidRPr="00FA3F9C" w:rsidRDefault="001506C1" w:rsidP="00CF77DE">
      <w:pPr>
        <w:rPr>
          <w:rFonts w:ascii="Arial" w:hAnsi="Arial" w:cs="Arial"/>
          <w:sz w:val="24"/>
          <w:szCs w:val="24"/>
        </w:rPr>
      </w:pPr>
      <w:r w:rsidRPr="00FA3F9C">
        <w:rPr>
          <w:rFonts w:ascii="Arial" w:hAnsi="Arial" w:cs="Arial"/>
          <w:sz w:val="24"/>
          <w:szCs w:val="24"/>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
        <w:gridCol w:w="7416"/>
        <w:gridCol w:w="2610"/>
      </w:tblGrid>
      <w:tr w:rsidR="001506C1" w:rsidRPr="00FA3F9C" w14:paraId="28A9CD01" w14:textId="77777777" w:rsidTr="00E14FD6">
        <w:tc>
          <w:tcPr>
            <w:tcW w:w="972" w:type="dxa"/>
            <w:shd w:val="clear" w:color="auto" w:fill="auto"/>
          </w:tcPr>
          <w:p w14:paraId="2B35730B" w14:textId="77777777" w:rsidR="001506C1" w:rsidRPr="00FA3F9C" w:rsidRDefault="001506C1" w:rsidP="00E14FD6">
            <w:pPr>
              <w:rPr>
                <w:rFonts w:ascii="Arial" w:hAnsi="Arial" w:cs="Arial"/>
                <w:sz w:val="24"/>
                <w:szCs w:val="24"/>
              </w:rPr>
            </w:pPr>
            <w:r w:rsidRPr="00FA3F9C">
              <w:rPr>
                <w:rFonts w:ascii="Arial" w:hAnsi="Arial" w:cs="Arial"/>
                <w:sz w:val="24"/>
                <w:szCs w:val="24"/>
              </w:rPr>
              <w:t>Date</w:t>
            </w:r>
          </w:p>
        </w:tc>
        <w:tc>
          <w:tcPr>
            <w:tcW w:w="7416" w:type="dxa"/>
            <w:shd w:val="clear" w:color="auto" w:fill="auto"/>
          </w:tcPr>
          <w:p w14:paraId="3C8B3D2B" w14:textId="77777777" w:rsidR="001506C1" w:rsidRPr="00FA3F9C" w:rsidRDefault="001506C1" w:rsidP="00E14FD6">
            <w:pPr>
              <w:rPr>
                <w:rFonts w:ascii="Arial" w:hAnsi="Arial" w:cs="Arial"/>
                <w:sz w:val="24"/>
                <w:szCs w:val="24"/>
              </w:rPr>
            </w:pPr>
            <w:r w:rsidRPr="00FA3F9C">
              <w:rPr>
                <w:rFonts w:ascii="Arial" w:hAnsi="Arial" w:cs="Arial"/>
                <w:sz w:val="24"/>
                <w:szCs w:val="24"/>
              </w:rPr>
              <w:t>What changed</w:t>
            </w:r>
          </w:p>
        </w:tc>
        <w:tc>
          <w:tcPr>
            <w:tcW w:w="2610" w:type="dxa"/>
            <w:shd w:val="clear" w:color="auto" w:fill="auto"/>
          </w:tcPr>
          <w:p w14:paraId="44B68219" w14:textId="77777777" w:rsidR="001506C1" w:rsidRPr="00FA3F9C" w:rsidRDefault="001506C1" w:rsidP="00E14FD6">
            <w:pPr>
              <w:rPr>
                <w:rFonts w:ascii="Arial" w:hAnsi="Arial" w:cs="Arial"/>
                <w:sz w:val="24"/>
                <w:szCs w:val="24"/>
              </w:rPr>
            </w:pPr>
            <w:r w:rsidRPr="00FA3F9C">
              <w:rPr>
                <w:rFonts w:ascii="Arial" w:hAnsi="Arial" w:cs="Arial"/>
                <w:sz w:val="24"/>
                <w:szCs w:val="24"/>
              </w:rPr>
              <w:t>Pharmacist’s initials</w:t>
            </w:r>
          </w:p>
        </w:tc>
      </w:tr>
      <w:tr w:rsidR="001506C1" w:rsidRPr="00FA3F9C" w14:paraId="0EB3FF39" w14:textId="77777777" w:rsidTr="00E14FD6">
        <w:tc>
          <w:tcPr>
            <w:tcW w:w="972" w:type="dxa"/>
            <w:shd w:val="clear" w:color="auto" w:fill="auto"/>
          </w:tcPr>
          <w:p w14:paraId="152A63A0" w14:textId="77777777" w:rsidR="001506C1" w:rsidRPr="00FA3F9C" w:rsidRDefault="001506C1" w:rsidP="00CF77DE">
            <w:pPr>
              <w:rPr>
                <w:rFonts w:ascii="Arial" w:hAnsi="Arial" w:cs="Arial"/>
                <w:sz w:val="24"/>
                <w:szCs w:val="24"/>
              </w:rPr>
            </w:pPr>
            <w:r w:rsidRPr="00FA3F9C">
              <w:rPr>
                <w:rFonts w:ascii="Arial" w:hAnsi="Arial" w:cs="Arial"/>
                <w:sz w:val="24"/>
                <w:szCs w:val="24"/>
              </w:rPr>
              <w:t>5/28/13</w:t>
            </w:r>
          </w:p>
        </w:tc>
        <w:tc>
          <w:tcPr>
            <w:tcW w:w="7416" w:type="dxa"/>
            <w:shd w:val="clear" w:color="auto" w:fill="auto"/>
          </w:tcPr>
          <w:p w14:paraId="163CB6D0" w14:textId="77777777" w:rsidR="001506C1" w:rsidRPr="00FA3F9C" w:rsidRDefault="001506C1" w:rsidP="00CF77DE">
            <w:pPr>
              <w:rPr>
                <w:rFonts w:ascii="Arial" w:hAnsi="Arial" w:cs="Arial"/>
                <w:sz w:val="24"/>
                <w:szCs w:val="24"/>
              </w:rPr>
            </w:pPr>
            <w:r w:rsidRPr="00FA3F9C">
              <w:rPr>
                <w:rFonts w:ascii="Arial" w:hAnsi="Arial" w:cs="Arial"/>
                <w:sz w:val="24"/>
                <w:szCs w:val="24"/>
              </w:rPr>
              <w:t>Criteria written</w:t>
            </w:r>
          </w:p>
        </w:tc>
        <w:tc>
          <w:tcPr>
            <w:tcW w:w="2610" w:type="dxa"/>
            <w:shd w:val="clear" w:color="auto" w:fill="auto"/>
          </w:tcPr>
          <w:p w14:paraId="323DFA31" w14:textId="3EFB0E70" w:rsidR="001506C1" w:rsidRPr="00FA3F9C" w:rsidRDefault="005C142D" w:rsidP="00CF77DE">
            <w:pPr>
              <w:rPr>
                <w:rFonts w:ascii="Arial" w:hAnsi="Arial" w:cs="Arial"/>
                <w:sz w:val="24"/>
                <w:szCs w:val="24"/>
              </w:rPr>
            </w:pPr>
            <w:r w:rsidRPr="00FA3F9C">
              <w:rPr>
                <w:rFonts w:ascii="Arial" w:hAnsi="Arial" w:cs="Arial"/>
                <w:sz w:val="24"/>
                <w:szCs w:val="24"/>
              </w:rPr>
              <w:t>JJ</w:t>
            </w:r>
          </w:p>
        </w:tc>
      </w:tr>
      <w:tr w:rsidR="001506C1" w:rsidRPr="00FA3F9C" w14:paraId="2E30A0D2" w14:textId="77777777" w:rsidTr="00E14FD6">
        <w:tc>
          <w:tcPr>
            <w:tcW w:w="972" w:type="dxa"/>
            <w:shd w:val="clear" w:color="auto" w:fill="auto"/>
          </w:tcPr>
          <w:p w14:paraId="2A52E3E2" w14:textId="77777777" w:rsidR="001506C1" w:rsidRPr="00FA3F9C" w:rsidRDefault="001506C1" w:rsidP="00E14FD6">
            <w:pPr>
              <w:rPr>
                <w:rFonts w:ascii="Arial" w:hAnsi="Arial" w:cs="Arial"/>
                <w:sz w:val="24"/>
                <w:szCs w:val="24"/>
              </w:rPr>
            </w:pPr>
            <w:r w:rsidRPr="00FA3F9C">
              <w:rPr>
                <w:rFonts w:ascii="Arial" w:hAnsi="Arial" w:cs="Arial"/>
                <w:sz w:val="24"/>
                <w:szCs w:val="24"/>
              </w:rPr>
              <w:t>9/24/19</w:t>
            </w:r>
          </w:p>
        </w:tc>
        <w:tc>
          <w:tcPr>
            <w:tcW w:w="7416" w:type="dxa"/>
            <w:shd w:val="clear" w:color="auto" w:fill="auto"/>
          </w:tcPr>
          <w:p w14:paraId="48FD1517" w14:textId="77777777" w:rsidR="001506C1" w:rsidRPr="00FA3F9C" w:rsidRDefault="001506C1" w:rsidP="00E14FD6">
            <w:pPr>
              <w:rPr>
                <w:rFonts w:ascii="Arial" w:hAnsi="Arial" w:cs="Arial"/>
                <w:sz w:val="24"/>
                <w:szCs w:val="24"/>
              </w:rPr>
            </w:pPr>
            <w:r w:rsidRPr="00FA3F9C">
              <w:rPr>
                <w:rFonts w:ascii="Arial" w:hAnsi="Arial" w:cs="Arial"/>
                <w:sz w:val="24"/>
                <w:szCs w:val="24"/>
              </w:rPr>
              <w:t>I reviewed the criteria.  I updated and simplified the criteria. Added reference 4.</w:t>
            </w:r>
          </w:p>
        </w:tc>
        <w:tc>
          <w:tcPr>
            <w:tcW w:w="2610" w:type="dxa"/>
            <w:shd w:val="clear" w:color="auto" w:fill="auto"/>
          </w:tcPr>
          <w:p w14:paraId="301EF1D7" w14:textId="1BA98A98" w:rsidR="001506C1" w:rsidRPr="00FA3F9C" w:rsidRDefault="005C142D" w:rsidP="00E14FD6">
            <w:pPr>
              <w:rPr>
                <w:rFonts w:ascii="Arial" w:hAnsi="Arial" w:cs="Arial"/>
                <w:sz w:val="24"/>
                <w:szCs w:val="24"/>
              </w:rPr>
            </w:pPr>
            <w:r w:rsidRPr="00FA3F9C">
              <w:rPr>
                <w:rFonts w:ascii="Arial" w:hAnsi="Arial" w:cs="Arial"/>
                <w:sz w:val="24"/>
                <w:szCs w:val="24"/>
              </w:rPr>
              <w:t>JJ</w:t>
            </w:r>
          </w:p>
        </w:tc>
      </w:tr>
      <w:tr w:rsidR="001506C1" w:rsidRPr="00FA3F9C" w14:paraId="12EE787F" w14:textId="77777777" w:rsidTr="00E14FD6">
        <w:tc>
          <w:tcPr>
            <w:tcW w:w="972" w:type="dxa"/>
            <w:shd w:val="clear" w:color="auto" w:fill="auto"/>
          </w:tcPr>
          <w:p w14:paraId="1A96585B" w14:textId="77777777" w:rsidR="001506C1" w:rsidRPr="00FA3F9C" w:rsidRDefault="001506C1" w:rsidP="00E14FD6">
            <w:pPr>
              <w:rPr>
                <w:rFonts w:ascii="Arial" w:hAnsi="Arial" w:cs="Arial"/>
                <w:sz w:val="24"/>
                <w:szCs w:val="24"/>
              </w:rPr>
            </w:pPr>
            <w:r w:rsidRPr="00FA3F9C">
              <w:rPr>
                <w:rFonts w:ascii="Arial" w:hAnsi="Arial" w:cs="Arial"/>
                <w:sz w:val="24"/>
                <w:szCs w:val="24"/>
              </w:rPr>
              <w:t>3/10/21</w:t>
            </w:r>
          </w:p>
        </w:tc>
        <w:tc>
          <w:tcPr>
            <w:tcW w:w="7416" w:type="dxa"/>
            <w:shd w:val="clear" w:color="auto" w:fill="auto"/>
          </w:tcPr>
          <w:p w14:paraId="14C85A27" w14:textId="77777777" w:rsidR="001506C1" w:rsidRPr="00FA3F9C" w:rsidRDefault="001506C1" w:rsidP="00E14FD6">
            <w:pPr>
              <w:rPr>
                <w:rFonts w:ascii="Arial" w:hAnsi="Arial" w:cs="Arial"/>
                <w:sz w:val="24"/>
                <w:szCs w:val="24"/>
              </w:rPr>
            </w:pPr>
            <w:r w:rsidRPr="00FA3F9C">
              <w:rPr>
                <w:rFonts w:ascii="Arial" w:hAnsi="Arial" w:cs="Arial"/>
                <w:sz w:val="24"/>
                <w:szCs w:val="24"/>
              </w:rPr>
              <w:t>Criteria reviewed.  Changed FDA-approval on criteria down from 12y to 5y and from 30kg to 15kg.  Applied to UAS plan.</w:t>
            </w:r>
          </w:p>
        </w:tc>
        <w:tc>
          <w:tcPr>
            <w:tcW w:w="2610" w:type="dxa"/>
            <w:shd w:val="clear" w:color="auto" w:fill="auto"/>
          </w:tcPr>
          <w:p w14:paraId="65373B65" w14:textId="77777777" w:rsidR="001506C1" w:rsidRPr="00FA3F9C" w:rsidRDefault="001506C1" w:rsidP="00E14FD6">
            <w:pPr>
              <w:rPr>
                <w:rFonts w:ascii="Arial" w:hAnsi="Arial" w:cs="Arial"/>
                <w:sz w:val="24"/>
                <w:szCs w:val="24"/>
              </w:rPr>
            </w:pPr>
            <w:r w:rsidRPr="00FA3F9C">
              <w:rPr>
                <w:rFonts w:ascii="Arial" w:hAnsi="Arial" w:cs="Arial"/>
                <w:sz w:val="24"/>
                <w:szCs w:val="24"/>
              </w:rPr>
              <w:t>JJ</w:t>
            </w:r>
          </w:p>
        </w:tc>
      </w:tr>
    </w:tbl>
    <w:p w14:paraId="61915BB4" w14:textId="77777777" w:rsidR="001506C1" w:rsidRPr="00FA3F9C" w:rsidRDefault="001506C1" w:rsidP="00CF77DE">
      <w:pPr>
        <w:rPr>
          <w:rFonts w:ascii="Arial" w:hAnsi="Arial" w:cs="Arial"/>
          <w:sz w:val="24"/>
          <w:szCs w:val="24"/>
        </w:rPr>
      </w:pPr>
    </w:p>
    <w:p w14:paraId="2077F1BE" w14:textId="77777777" w:rsidR="001506C1" w:rsidRPr="00FA3F9C" w:rsidRDefault="001506C1" w:rsidP="00E4013F">
      <w:pPr>
        <w:jc w:val="center"/>
        <w:rPr>
          <w:rFonts w:ascii="Arial" w:hAnsi="Arial" w:cs="Arial"/>
          <w:b/>
          <w:sz w:val="24"/>
          <w:szCs w:val="24"/>
        </w:rPr>
      </w:pPr>
    </w:p>
    <w:p w14:paraId="3481C856" w14:textId="77777777" w:rsidR="001506C1" w:rsidRPr="00FA3F9C" w:rsidRDefault="001506C1" w:rsidP="00CF77DE">
      <w:pPr>
        <w:rPr>
          <w:rFonts w:ascii="Arial" w:hAnsi="Arial" w:cs="Arial"/>
          <w:b/>
          <w:sz w:val="24"/>
          <w:szCs w:val="24"/>
        </w:rPr>
      </w:pPr>
      <w:r w:rsidRPr="00FA3F9C">
        <w:rPr>
          <w:rFonts w:ascii="Arial" w:hAnsi="Arial" w:cs="Arial"/>
          <w:b/>
          <w:sz w:val="24"/>
          <w:szCs w:val="24"/>
        </w:rPr>
        <w:lastRenderedPageBreak/>
        <w:tab/>
      </w:r>
    </w:p>
    <w:p w14:paraId="48AF41CE" w14:textId="77777777" w:rsidR="001506C1" w:rsidRPr="00FA3F9C" w:rsidRDefault="001506C1" w:rsidP="00CA4C3C">
      <w:pPr>
        <w:pStyle w:val="Heading2"/>
      </w:pPr>
      <w:bookmarkStart w:id="29" w:name="_Toc106369731"/>
      <w:proofErr w:type="spellStart"/>
      <w:r w:rsidRPr="00FA3F9C">
        <w:t>Belantamab</w:t>
      </w:r>
      <w:proofErr w:type="spellEnd"/>
      <w:r w:rsidRPr="00FA3F9C">
        <w:t xml:space="preserve"> </w:t>
      </w:r>
      <w:proofErr w:type="spellStart"/>
      <w:r w:rsidRPr="00FA3F9C">
        <w:t>mafodotin-blmf</w:t>
      </w:r>
      <w:proofErr w:type="spellEnd"/>
      <w:r w:rsidRPr="00FA3F9C">
        <w:t xml:space="preserve"> (</w:t>
      </w:r>
      <w:proofErr w:type="spellStart"/>
      <w:r w:rsidRPr="00FA3F9C">
        <w:t>Blenrep</w:t>
      </w:r>
      <w:proofErr w:type="spellEnd"/>
      <w:r w:rsidRPr="00FA3F9C">
        <w:t>)</w:t>
      </w:r>
      <w:bookmarkEnd w:id="29"/>
    </w:p>
    <w:p w14:paraId="067C5CCC" w14:textId="77777777" w:rsidR="001506C1" w:rsidRPr="00FA3F9C" w:rsidRDefault="001506C1" w:rsidP="000E1D6C">
      <w:pPr>
        <w:spacing w:after="0" w:line="240" w:lineRule="auto"/>
        <w:jc w:val="center"/>
        <w:rPr>
          <w:rFonts w:ascii="Arial" w:hAnsi="Arial" w:cs="Arial"/>
          <w:sz w:val="24"/>
          <w:szCs w:val="24"/>
        </w:rPr>
      </w:pPr>
      <w:r w:rsidRPr="00FA3F9C">
        <w:rPr>
          <w:rFonts w:ascii="Arial" w:hAnsi="Arial" w:cs="Arial"/>
          <w:sz w:val="24"/>
          <w:szCs w:val="24"/>
        </w:rPr>
        <w:t>100 mg single dose vial for reconstitution</w:t>
      </w:r>
    </w:p>
    <w:p w14:paraId="6C00B33B" w14:textId="77777777" w:rsidR="001506C1" w:rsidRPr="00FA3F9C" w:rsidRDefault="001506C1" w:rsidP="006F623F">
      <w:pPr>
        <w:spacing w:after="0"/>
        <w:jc w:val="center"/>
        <w:rPr>
          <w:rFonts w:ascii="Arial" w:hAnsi="Arial" w:cs="Arial"/>
          <w:sz w:val="24"/>
          <w:szCs w:val="24"/>
        </w:rPr>
      </w:pPr>
      <w:r w:rsidRPr="00FA3F9C">
        <w:rPr>
          <w:rFonts w:ascii="Arial" w:hAnsi="Arial" w:cs="Arial"/>
          <w:sz w:val="24"/>
          <w:szCs w:val="24"/>
        </w:rPr>
        <w:t>EBRx PA Criteria</w:t>
      </w:r>
    </w:p>
    <w:p w14:paraId="71E8D651" w14:textId="77777777" w:rsidR="001506C1" w:rsidRPr="00FA3F9C" w:rsidRDefault="001506C1" w:rsidP="006F623F">
      <w:pPr>
        <w:spacing w:after="0"/>
        <w:rPr>
          <w:rFonts w:ascii="Arial" w:hAnsi="Arial" w:cs="Arial"/>
          <w:b/>
          <w:sz w:val="24"/>
          <w:szCs w:val="24"/>
          <w:u w:val="single"/>
        </w:rPr>
      </w:pPr>
    </w:p>
    <w:p w14:paraId="0C72D33F" w14:textId="77777777" w:rsidR="001506C1" w:rsidRPr="00FA3F9C" w:rsidRDefault="001506C1"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Treatment of adult patients with relapsed or refractory multiple myeloma who have received at least 4 prior therapies including an anti-CD38 monoclonal antibody, a proteasome inhibitor, and an immunomodulatory agent.</w:t>
      </w:r>
    </w:p>
    <w:tbl>
      <w:tblPr>
        <w:tblStyle w:val="TableGrid"/>
        <w:tblW w:w="0" w:type="auto"/>
        <w:tblLook w:val="04A0" w:firstRow="1" w:lastRow="0" w:firstColumn="1" w:lastColumn="0" w:noHBand="0" w:noVBand="1"/>
      </w:tblPr>
      <w:tblGrid>
        <w:gridCol w:w="8928"/>
        <w:gridCol w:w="2088"/>
      </w:tblGrid>
      <w:tr w:rsidR="001506C1" w:rsidRPr="00FA3F9C" w14:paraId="4D6EAEB4" w14:textId="77777777" w:rsidTr="00571CAB">
        <w:tc>
          <w:tcPr>
            <w:tcW w:w="8928" w:type="dxa"/>
            <w:shd w:val="clear" w:color="auto" w:fill="000000"/>
          </w:tcPr>
          <w:p w14:paraId="2C1EC811" w14:textId="77777777" w:rsidR="001506C1" w:rsidRPr="00FA3F9C" w:rsidRDefault="001506C1"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88" w:type="dxa"/>
            <w:shd w:val="clear" w:color="auto" w:fill="000000"/>
          </w:tcPr>
          <w:p w14:paraId="33EE0626" w14:textId="77777777" w:rsidR="001506C1" w:rsidRPr="00FA3F9C" w:rsidRDefault="001506C1" w:rsidP="006F623F">
            <w:pPr>
              <w:jc w:val="center"/>
              <w:rPr>
                <w:rFonts w:ascii="Arial" w:hAnsi="Arial" w:cs="Arial"/>
                <w:b/>
                <w:sz w:val="24"/>
                <w:szCs w:val="24"/>
                <w:u w:val="single"/>
              </w:rPr>
            </w:pPr>
          </w:p>
        </w:tc>
      </w:tr>
      <w:tr w:rsidR="001506C1" w:rsidRPr="00FA3F9C" w14:paraId="37C5BC63" w14:textId="77777777" w:rsidTr="00F337AE">
        <w:tc>
          <w:tcPr>
            <w:tcW w:w="11016" w:type="dxa"/>
            <w:gridSpan w:val="2"/>
          </w:tcPr>
          <w:p w14:paraId="2A31137F" w14:textId="77777777" w:rsidR="001506C1" w:rsidRPr="00FA3F9C" w:rsidRDefault="001506C1" w:rsidP="006F623F">
            <w:pPr>
              <w:rPr>
                <w:rFonts w:ascii="Arial" w:hAnsi="Arial" w:cs="Arial"/>
                <w:sz w:val="24"/>
                <w:szCs w:val="24"/>
              </w:rPr>
            </w:pPr>
            <w:r w:rsidRPr="00FA3F9C">
              <w:rPr>
                <w:rFonts w:ascii="Arial" w:hAnsi="Arial" w:cs="Arial"/>
                <w:sz w:val="24"/>
                <w:szCs w:val="24"/>
              </w:rPr>
              <w:t>1. Diagnosis of multiple myeloma</w:t>
            </w:r>
          </w:p>
        </w:tc>
      </w:tr>
      <w:tr w:rsidR="001506C1" w:rsidRPr="00FA3F9C" w14:paraId="1BD06D89" w14:textId="77777777" w:rsidTr="00B1617E">
        <w:tc>
          <w:tcPr>
            <w:tcW w:w="11016" w:type="dxa"/>
            <w:gridSpan w:val="2"/>
          </w:tcPr>
          <w:p w14:paraId="37D90638" w14:textId="77777777" w:rsidR="001506C1" w:rsidRPr="00FA3F9C" w:rsidRDefault="001506C1" w:rsidP="006F623F">
            <w:pPr>
              <w:rPr>
                <w:rFonts w:ascii="Arial" w:hAnsi="Arial" w:cs="Arial"/>
                <w:sz w:val="24"/>
                <w:szCs w:val="24"/>
              </w:rPr>
            </w:pPr>
            <w:r w:rsidRPr="00FA3F9C">
              <w:rPr>
                <w:rFonts w:ascii="Arial" w:hAnsi="Arial" w:cs="Arial"/>
                <w:sz w:val="24"/>
                <w:szCs w:val="24"/>
              </w:rPr>
              <w:t xml:space="preserve">2. Prior treatment with at least 4 prior </w:t>
            </w:r>
            <w:r w:rsidRPr="00FA3F9C">
              <w:rPr>
                <w:rFonts w:ascii="Arial" w:hAnsi="Arial" w:cs="Arial"/>
                <w:sz w:val="24"/>
                <w:szCs w:val="24"/>
                <w:u w:val="single"/>
              </w:rPr>
              <w:t>regimens</w:t>
            </w:r>
          </w:p>
        </w:tc>
      </w:tr>
      <w:tr w:rsidR="001506C1" w:rsidRPr="00FA3F9C" w14:paraId="3AEB1493" w14:textId="77777777" w:rsidTr="0010789D">
        <w:tc>
          <w:tcPr>
            <w:tcW w:w="11016" w:type="dxa"/>
            <w:gridSpan w:val="2"/>
          </w:tcPr>
          <w:p w14:paraId="2606D66C" w14:textId="77777777" w:rsidR="001506C1" w:rsidRPr="00FA3F9C" w:rsidRDefault="001506C1" w:rsidP="006F623F">
            <w:pPr>
              <w:rPr>
                <w:rFonts w:ascii="Arial" w:hAnsi="Arial" w:cs="Arial"/>
                <w:sz w:val="24"/>
                <w:szCs w:val="24"/>
              </w:rPr>
            </w:pPr>
            <w:r w:rsidRPr="00FA3F9C">
              <w:rPr>
                <w:rFonts w:ascii="Arial" w:hAnsi="Arial" w:cs="Arial"/>
                <w:sz w:val="24"/>
                <w:szCs w:val="24"/>
              </w:rPr>
              <w:t xml:space="preserve">3. Prior regimens included </w:t>
            </w:r>
            <w:proofErr w:type="gramStart"/>
            <w:r w:rsidRPr="00FA3F9C">
              <w:rPr>
                <w:rFonts w:ascii="Arial" w:hAnsi="Arial" w:cs="Arial"/>
                <w:sz w:val="24"/>
                <w:szCs w:val="24"/>
              </w:rPr>
              <w:t>all of</w:t>
            </w:r>
            <w:proofErr w:type="gramEnd"/>
            <w:r w:rsidRPr="00FA3F9C">
              <w:rPr>
                <w:rFonts w:ascii="Arial" w:hAnsi="Arial" w:cs="Arial"/>
                <w:sz w:val="24"/>
                <w:szCs w:val="24"/>
              </w:rPr>
              <w:t xml:space="preserve"> the following:</w:t>
            </w:r>
          </w:p>
          <w:p w14:paraId="6F5CA2CE" w14:textId="77777777" w:rsidR="001506C1" w:rsidRPr="00FA3F9C" w:rsidRDefault="001506C1" w:rsidP="000E1D6C">
            <w:pPr>
              <w:ind w:left="450" w:hanging="180"/>
              <w:rPr>
                <w:rFonts w:ascii="Arial" w:hAnsi="Arial" w:cs="Arial"/>
                <w:sz w:val="24"/>
                <w:szCs w:val="24"/>
              </w:rPr>
            </w:pPr>
            <w:r w:rsidRPr="00FA3F9C">
              <w:rPr>
                <w:rFonts w:ascii="Arial" w:hAnsi="Arial" w:cs="Arial"/>
                <w:sz w:val="24"/>
                <w:szCs w:val="24"/>
              </w:rPr>
              <w:t>a. at least one anti-CD38 monoclonal antibody (</w:t>
            </w:r>
            <w:proofErr w:type="gramStart"/>
            <w:r w:rsidRPr="00FA3F9C">
              <w:rPr>
                <w:rFonts w:ascii="Arial" w:hAnsi="Arial" w:cs="Arial"/>
                <w:sz w:val="24"/>
                <w:szCs w:val="24"/>
              </w:rPr>
              <w:t>e.g.</w:t>
            </w:r>
            <w:proofErr w:type="gramEnd"/>
            <w:r w:rsidRPr="00FA3F9C">
              <w:rPr>
                <w:rFonts w:ascii="Arial" w:hAnsi="Arial" w:cs="Arial"/>
                <w:sz w:val="24"/>
                <w:szCs w:val="24"/>
              </w:rPr>
              <w:t xml:space="preserve"> </w:t>
            </w:r>
            <w:proofErr w:type="spellStart"/>
            <w:r w:rsidRPr="00FA3F9C">
              <w:rPr>
                <w:rFonts w:ascii="Arial" w:hAnsi="Arial" w:cs="Arial"/>
                <w:sz w:val="24"/>
                <w:szCs w:val="24"/>
              </w:rPr>
              <w:t>siltuximab</w:t>
            </w:r>
            <w:proofErr w:type="spellEnd"/>
            <w:r w:rsidRPr="00FA3F9C">
              <w:rPr>
                <w:rFonts w:ascii="Arial" w:hAnsi="Arial" w:cs="Arial"/>
                <w:sz w:val="24"/>
                <w:szCs w:val="24"/>
              </w:rPr>
              <w:t xml:space="preserve"> [</w:t>
            </w:r>
            <w:proofErr w:type="spellStart"/>
            <w:r w:rsidRPr="00FA3F9C">
              <w:rPr>
                <w:rFonts w:ascii="Arial" w:hAnsi="Arial" w:cs="Arial"/>
                <w:sz w:val="24"/>
                <w:szCs w:val="24"/>
              </w:rPr>
              <w:t>Sarclisa</w:t>
            </w:r>
            <w:proofErr w:type="spellEnd"/>
            <w:r w:rsidRPr="00FA3F9C">
              <w:rPr>
                <w:rFonts w:ascii="Arial" w:hAnsi="Arial" w:cs="Arial"/>
                <w:sz w:val="24"/>
                <w:szCs w:val="24"/>
              </w:rPr>
              <w:t>], daratumumab [</w:t>
            </w:r>
            <w:proofErr w:type="spellStart"/>
            <w:r w:rsidRPr="00FA3F9C">
              <w:rPr>
                <w:rFonts w:ascii="Arial" w:hAnsi="Arial" w:cs="Arial"/>
                <w:sz w:val="24"/>
                <w:szCs w:val="24"/>
              </w:rPr>
              <w:t>Darzalex</w:t>
            </w:r>
            <w:proofErr w:type="spellEnd"/>
            <w:r w:rsidRPr="00FA3F9C">
              <w:rPr>
                <w:rFonts w:ascii="Arial" w:hAnsi="Arial" w:cs="Arial"/>
                <w:sz w:val="24"/>
                <w:szCs w:val="24"/>
              </w:rPr>
              <w:t>])</w:t>
            </w:r>
          </w:p>
          <w:p w14:paraId="4FDEB42B" w14:textId="77777777" w:rsidR="001506C1" w:rsidRPr="00FA3F9C" w:rsidRDefault="001506C1" w:rsidP="000E1D6C">
            <w:pPr>
              <w:ind w:left="450" w:hanging="180"/>
              <w:rPr>
                <w:rFonts w:ascii="Arial" w:hAnsi="Arial" w:cs="Arial"/>
                <w:sz w:val="24"/>
                <w:szCs w:val="24"/>
              </w:rPr>
            </w:pPr>
            <w:r w:rsidRPr="00FA3F9C">
              <w:rPr>
                <w:rFonts w:ascii="Arial" w:hAnsi="Arial" w:cs="Arial"/>
                <w:sz w:val="24"/>
                <w:szCs w:val="24"/>
              </w:rPr>
              <w:t>b. at least one proteasome inhibitor (</w:t>
            </w:r>
            <w:proofErr w:type="gramStart"/>
            <w:r w:rsidRPr="00FA3F9C">
              <w:rPr>
                <w:rFonts w:ascii="Arial" w:hAnsi="Arial" w:cs="Arial"/>
                <w:sz w:val="24"/>
                <w:szCs w:val="24"/>
              </w:rPr>
              <w:t>e.g.</w:t>
            </w:r>
            <w:proofErr w:type="gramEnd"/>
            <w:r w:rsidRPr="00FA3F9C">
              <w:rPr>
                <w:rFonts w:ascii="Arial" w:hAnsi="Arial" w:cs="Arial"/>
                <w:sz w:val="24"/>
                <w:szCs w:val="24"/>
              </w:rPr>
              <w:t xml:space="preserve"> carfilzomib [</w:t>
            </w:r>
            <w:proofErr w:type="spellStart"/>
            <w:r w:rsidRPr="00FA3F9C">
              <w:rPr>
                <w:rFonts w:ascii="Arial" w:hAnsi="Arial" w:cs="Arial"/>
                <w:sz w:val="24"/>
                <w:szCs w:val="24"/>
              </w:rPr>
              <w:t>Kyprolis</w:t>
            </w:r>
            <w:proofErr w:type="spellEnd"/>
            <w:r w:rsidRPr="00FA3F9C">
              <w:rPr>
                <w:rFonts w:ascii="Arial" w:hAnsi="Arial" w:cs="Arial"/>
                <w:sz w:val="24"/>
                <w:szCs w:val="24"/>
              </w:rPr>
              <w:t>], bortezomib [</w:t>
            </w:r>
            <w:proofErr w:type="spellStart"/>
            <w:r w:rsidRPr="00FA3F9C">
              <w:rPr>
                <w:rFonts w:ascii="Arial" w:hAnsi="Arial" w:cs="Arial"/>
                <w:sz w:val="24"/>
                <w:szCs w:val="24"/>
              </w:rPr>
              <w:t>Velcade</w:t>
            </w:r>
            <w:proofErr w:type="spellEnd"/>
            <w:r w:rsidRPr="00FA3F9C">
              <w:rPr>
                <w:rFonts w:ascii="Arial" w:hAnsi="Arial" w:cs="Arial"/>
                <w:sz w:val="24"/>
                <w:szCs w:val="24"/>
              </w:rPr>
              <w:t xml:space="preserve">], </w:t>
            </w:r>
            <w:proofErr w:type="spellStart"/>
            <w:r w:rsidRPr="00FA3F9C">
              <w:rPr>
                <w:rFonts w:ascii="Arial" w:hAnsi="Arial" w:cs="Arial"/>
                <w:sz w:val="24"/>
                <w:szCs w:val="24"/>
              </w:rPr>
              <w:t>ixazomib</w:t>
            </w:r>
            <w:proofErr w:type="spellEnd"/>
            <w:r w:rsidRPr="00FA3F9C">
              <w:rPr>
                <w:rFonts w:ascii="Arial" w:hAnsi="Arial" w:cs="Arial"/>
                <w:sz w:val="24"/>
                <w:szCs w:val="24"/>
              </w:rPr>
              <w:t xml:space="preserve"> [</w:t>
            </w:r>
            <w:proofErr w:type="spellStart"/>
            <w:r w:rsidRPr="00FA3F9C">
              <w:rPr>
                <w:rFonts w:ascii="Arial" w:hAnsi="Arial" w:cs="Arial"/>
                <w:sz w:val="24"/>
                <w:szCs w:val="24"/>
              </w:rPr>
              <w:t>Ninlaro</w:t>
            </w:r>
            <w:proofErr w:type="spellEnd"/>
            <w:r w:rsidRPr="00FA3F9C">
              <w:rPr>
                <w:rFonts w:ascii="Arial" w:hAnsi="Arial" w:cs="Arial"/>
                <w:sz w:val="24"/>
                <w:szCs w:val="24"/>
              </w:rPr>
              <w:t>])</w:t>
            </w:r>
          </w:p>
          <w:p w14:paraId="2DB2AEDD" w14:textId="77777777" w:rsidR="001506C1" w:rsidRPr="00FA3F9C" w:rsidRDefault="001506C1" w:rsidP="000E1D6C">
            <w:pPr>
              <w:ind w:left="450" w:hanging="180"/>
              <w:rPr>
                <w:rFonts w:ascii="Arial" w:hAnsi="Arial" w:cs="Arial"/>
                <w:sz w:val="24"/>
                <w:szCs w:val="24"/>
              </w:rPr>
            </w:pPr>
            <w:r w:rsidRPr="00FA3F9C">
              <w:rPr>
                <w:rFonts w:ascii="Arial" w:hAnsi="Arial" w:cs="Arial"/>
                <w:sz w:val="24"/>
                <w:szCs w:val="24"/>
              </w:rPr>
              <w:t>c. at least one immunomodulatory agent (</w:t>
            </w:r>
            <w:proofErr w:type="gramStart"/>
            <w:r w:rsidRPr="00FA3F9C">
              <w:rPr>
                <w:rFonts w:ascii="Arial" w:hAnsi="Arial" w:cs="Arial"/>
                <w:sz w:val="24"/>
                <w:szCs w:val="24"/>
              </w:rPr>
              <w:t>e.g.</w:t>
            </w:r>
            <w:proofErr w:type="gramEnd"/>
            <w:r w:rsidRPr="00FA3F9C">
              <w:rPr>
                <w:rFonts w:ascii="Arial" w:hAnsi="Arial" w:cs="Arial"/>
                <w:sz w:val="24"/>
                <w:szCs w:val="24"/>
              </w:rPr>
              <w:t xml:space="preserve"> lenalidomide [Revlimid], pomalidomide [</w:t>
            </w:r>
            <w:proofErr w:type="spellStart"/>
            <w:r w:rsidRPr="00FA3F9C">
              <w:rPr>
                <w:rFonts w:ascii="Arial" w:hAnsi="Arial" w:cs="Arial"/>
                <w:sz w:val="24"/>
                <w:szCs w:val="24"/>
              </w:rPr>
              <w:t>Pomalyst</w:t>
            </w:r>
            <w:proofErr w:type="spellEnd"/>
            <w:r w:rsidRPr="00FA3F9C">
              <w:rPr>
                <w:rFonts w:ascii="Arial" w:hAnsi="Arial" w:cs="Arial"/>
                <w:sz w:val="24"/>
                <w:szCs w:val="24"/>
              </w:rPr>
              <w:t>], thalidomide [</w:t>
            </w:r>
            <w:proofErr w:type="spellStart"/>
            <w:r w:rsidRPr="00FA3F9C">
              <w:rPr>
                <w:rFonts w:ascii="Arial" w:hAnsi="Arial" w:cs="Arial"/>
                <w:sz w:val="24"/>
                <w:szCs w:val="24"/>
              </w:rPr>
              <w:t>Thalomid</w:t>
            </w:r>
            <w:proofErr w:type="spellEnd"/>
            <w:r w:rsidRPr="00FA3F9C">
              <w:rPr>
                <w:rFonts w:ascii="Arial" w:hAnsi="Arial" w:cs="Arial"/>
                <w:sz w:val="24"/>
                <w:szCs w:val="24"/>
              </w:rPr>
              <w:t>]</w:t>
            </w:r>
          </w:p>
        </w:tc>
      </w:tr>
      <w:tr w:rsidR="001506C1" w:rsidRPr="00FA3F9C" w14:paraId="5F9E5748" w14:textId="77777777" w:rsidTr="007E731F">
        <w:tc>
          <w:tcPr>
            <w:tcW w:w="11016" w:type="dxa"/>
            <w:gridSpan w:val="2"/>
            <w:shd w:val="clear" w:color="auto" w:fill="F2F2F2" w:themeFill="background1" w:themeFillShade="F2"/>
          </w:tcPr>
          <w:p w14:paraId="67811F65" w14:textId="77777777" w:rsidR="001506C1" w:rsidRPr="00FA3F9C" w:rsidRDefault="001506C1" w:rsidP="000E1D6C">
            <w:pPr>
              <w:rPr>
                <w:rFonts w:ascii="Arial" w:hAnsi="Arial" w:cs="Arial"/>
                <w:sz w:val="24"/>
                <w:szCs w:val="24"/>
              </w:rPr>
            </w:pPr>
            <w:r w:rsidRPr="00FA3F9C">
              <w:rPr>
                <w:rFonts w:ascii="Arial" w:hAnsi="Arial" w:cs="Arial"/>
                <w:sz w:val="24"/>
                <w:szCs w:val="24"/>
              </w:rPr>
              <w:t>If all criteria are met, approve for 12 months.</w:t>
            </w:r>
          </w:p>
        </w:tc>
      </w:tr>
    </w:tbl>
    <w:p w14:paraId="58874D15" w14:textId="77777777" w:rsidR="001506C1" w:rsidRPr="00FA3F9C" w:rsidRDefault="001506C1" w:rsidP="006F623F">
      <w:pPr>
        <w:spacing w:after="0"/>
        <w:rPr>
          <w:rFonts w:ascii="Arial" w:hAnsi="Arial" w:cs="Arial"/>
          <w:b/>
          <w:sz w:val="24"/>
          <w:szCs w:val="24"/>
          <w:u w:val="single"/>
        </w:rPr>
      </w:pPr>
    </w:p>
    <w:p w14:paraId="59A4F5FE" w14:textId="77777777" w:rsidR="001506C1" w:rsidRPr="00FA3F9C" w:rsidRDefault="001506C1" w:rsidP="006F623F">
      <w:pPr>
        <w:spacing w:after="0"/>
        <w:rPr>
          <w:rFonts w:ascii="Arial" w:hAnsi="Arial" w:cs="Arial"/>
          <w:b/>
          <w:sz w:val="24"/>
          <w:szCs w:val="24"/>
          <w:u w:val="single"/>
        </w:rPr>
      </w:pPr>
    </w:p>
    <w:tbl>
      <w:tblPr>
        <w:tblStyle w:val="TableGrid"/>
        <w:tblW w:w="0" w:type="auto"/>
        <w:shd w:val="clear" w:color="auto" w:fill="BFBFBF" w:themeFill="background1" w:themeFillShade="BF"/>
        <w:tblLook w:val="04A0" w:firstRow="1" w:lastRow="0" w:firstColumn="1" w:lastColumn="0" w:noHBand="0" w:noVBand="1"/>
      </w:tblPr>
      <w:tblGrid>
        <w:gridCol w:w="10998"/>
      </w:tblGrid>
      <w:tr w:rsidR="001506C1" w:rsidRPr="00FA3F9C" w14:paraId="11F2EE0C" w14:textId="77777777" w:rsidTr="00D82B6E">
        <w:tc>
          <w:tcPr>
            <w:tcW w:w="10998" w:type="dxa"/>
            <w:shd w:val="clear" w:color="auto" w:fill="BFBFBF" w:themeFill="background1" w:themeFillShade="BF"/>
          </w:tcPr>
          <w:p w14:paraId="287E0989" w14:textId="77777777" w:rsidR="001506C1" w:rsidRPr="00FA3F9C" w:rsidRDefault="001506C1" w:rsidP="00D82B6E">
            <w:pPr>
              <w:rPr>
                <w:rFonts w:ascii="Arial" w:hAnsi="Arial" w:cs="Arial"/>
                <w:sz w:val="24"/>
                <w:szCs w:val="24"/>
              </w:rPr>
            </w:pPr>
            <w:r w:rsidRPr="00FA3F9C">
              <w:rPr>
                <w:rFonts w:ascii="Arial" w:hAnsi="Arial" w:cs="Arial"/>
                <w:sz w:val="24"/>
                <w:szCs w:val="24"/>
              </w:rPr>
              <w:t xml:space="preserve">Note: </w:t>
            </w:r>
          </w:p>
          <w:p w14:paraId="064094B4" w14:textId="77777777" w:rsidR="001506C1" w:rsidRPr="00FA3F9C" w:rsidRDefault="001506C1" w:rsidP="00D82B6E">
            <w:pPr>
              <w:rPr>
                <w:rFonts w:ascii="Arial" w:hAnsi="Arial" w:cs="Arial"/>
                <w:sz w:val="24"/>
                <w:szCs w:val="24"/>
              </w:rPr>
            </w:pPr>
            <w:r w:rsidRPr="00FA3F9C">
              <w:rPr>
                <w:rFonts w:ascii="Arial" w:hAnsi="Arial" w:cs="Arial"/>
                <w:sz w:val="24"/>
                <w:szCs w:val="24"/>
              </w:rPr>
              <w:t>Dose: 2.5 mg/kg IV every 3 weeks</w:t>
            </w:r>
          </w:p>
          <w:p w14:paraId="76957F40" w14:textId="77777777" w:rsidR="001506C1" w:rsidRPr="00FA3F9C" w:rsidRDefault="001506C1" w:rsidP="00D82B6E">
            <w:pPr>
              <w:rPr>
                <w:rFonts w:ascii="Arial" w:hAnsi="Arial" w:cs="Arial"/>
                <w:sz w:val="24"/>
                <w:szCs w:val="24"/>
              </w:rPr>
            </w:pPr>
          </w:p>
          <w:p w14:paraId="603FAD7D" w14:textId="77777777" w:rsidR="001506C1" w:rsidRPr="00FA3F9C" w:rsidRDefault="001506C1" w:rsidP="000E1D6C">
            <w:pPr>
              <w:rPr>
                <w:rFonts w:ascii="Arial" w:hAnsi="Arial" w:cs="Arial"/>
                <w:sz w:val="24"/>
                <w:szCs w:val="24"/>
              </w:rPr>
            </w:pPr>
            <w:proofErr w:type="spellStart"/>
            <w:r w:rsidRPr="00FA3F9C">
              <w:rPr>
                <w:rFonts w:ascii="Arial" w:hAnsi="Arial" w:cs="Arial"/>
                <w:sz w:val="24"/>
                <w:szCs w:val="24"/>
              </w:rPr>
              <w:t>Belantamab</w:t>
            </w:r>
            <w:proofErr w:type="spellEnd"/>
            <w:r w:rsidRPr="00FA3F9C">
              <w:rPr>
                <w:rFonts w:ascii="Arial" w:hAnsi="Arial" w:cs="Arial"/>
                <w:sz w:val="24"/>
                <w:szCs w:val="24"/>
              </w:rPr>
              <w:t xml:space="preserve"> </w:t>
            </w:r>
            <w:proofErr w:type="spellStart"/>
            <w:r w:rsidRPr="00FA3F9C">
              <w:rPr>
                <w:rFonts w:ascii="Arial" w:hAnsi="Arial" w:cs="Arial"/>
                <w:sz w:val="24"/>
                <w:szCs w:val="24"/>
              </w:rPr>
              <w:t>mafodotin</w:t>
            </w:r>
            <w:proofErr w:type="spellEnd"/>
            <w:r w:rsidRPr="00FA3F9C">
              <w:rPr>
                <w:rFonts w:ascii="Arial" w:hAnsi="Arial" w:cs="Arial"/>
                <w:sz w:val="24"/>
                <w:szCs w:val="24"/>
              </w:rPr>
              <w:t xml:space="preserve"> has not been directly compared to another agent and exhibited a </w:t>
            </w:r>
            <w:proofErr w:type="gramStart"/>
            <w:r w:rsidRPr="00FA3F9C">
              <w:rPr>
                <w:rFonts w:ascii="Arial" w:hAnsi="Arial" w:cs="Arial"/>
                <w:sz w:val="24"/>
                <w:szCs w:val="24"/>
              </w:rPr>
              <w:t>low response rates</w:t>
            </w:r>
            <w:proofErr w:type="gramEnd"/>
            <w:r w:rsidRPr="00FA3F9C">
              <w:rPr>
                <w:rFonts w:ascii="Arial" w:hAnsi="Arial" w:cs="Arial"/>
                <w:sz w:val="24"/>
                <w:szCs w:val="24"/>
              </w:rPr>
              <w:t xml:space="preserve"> in the DREAMM2 trial (~31%). However, indirect comparison of the DREAMM-2 trial to MAMMOTH data reveals a possible prolongation in overall survival compared to usual care.</w:t>
            </w:r>
          </w:p>
          <w:p w14:paraId="05EF7C57" w14:textId="77777777" w:rsidR="001506C1" w:rsidRPr="00FA3F9C" w:rsidRDefault="001506C1" w:rsidP="000E1D6C">
            <w:pPr>
              <w:rPr>
                <w:rFonts w:ascii="Arial" w:hAnsi="Arial" w:cs="Arial"/>
                <w:sz w:val="24"/>
                <w:szCs w:val="24"/>
              </w:rPr>
            </w:pPr>
          </w:p>
          <w:p w14:paraId="4F81C69C" w14:textId="77777777" w:rsidR="001506C1" w:rsidRPr="00FA3F9C" w:rsidRDefault="001506C1" w:rsidP="000E1D6C">
            <w:pPr>
              <w:rPr>
                <w:rFonts w:ascii="Arial" w:hAnsi="Arial" w:cs="Arial"/>
                <w:sz w:val="24"/>
                <w:szCs w:val="24"/>
                <w:u w:val="single"/>
              </w:rPr>
            </w:pPr>
            <w:r w:rsidRPr="00FA3F9C">
              <w:rPr>
                <w:rFonts w:ascii="Arial" w:hAnsi="Arial" w:cs="Arial"/>
                <w:sz w:val="24"/>
                <w:szCs w:val="24"/>
                <w:u w:val="single"/>
              </w:rPr>
              <w:t>DREAMM-2 trial (single arm trial)</w:t>
            </w:r>
            <w:r w:rsidRPr="00FA3F9C">
              <w:rPr>
                <w:rFonts w:ascii="Arial" w:hAnsi="Arial" w:cs="Arial"/>
                <w:sz w:val="24"/>
                <w:szCs w:val="24"/>
                <w:u w:val="single"/>
                <w:vertAlign w:val="superscript"/>
              </w:rPr>
              <w:t>1,2</w:t>
            </w:r>
          </w:p>
          <w:p w14:paraId="40AD2092" w14:textId="77777777" w:rsidR="001506C1" w:rsidRPr="00FA3F9C" w:rsidRDefault="001506C1" w:rsidP="000E1D6C">
            <w:pPr>
              <w:rPr>
                <w:rFonts w:ascii="Arial" w:hAnsi="Arial" w:cs="Arial"/>
                <w:sz w:val="24"/>
                <w:szCs w:val="24"/>
              </w:rPr>
            </w:pPr>
            <w:r w:rsidRPr="00FA3F9C">
              <w:rPr>
                <w:rFonts w:ascii="Arial" w:hAnsi="Arial" w:cs="Arial"/>
                <w:sz w:val="24"/>
                <w:szCs w:val="24"/>
              </w:rPr>
              <w:t>-response rate: 31%</w:t>
            </w:r>
          </w:p>
          <w:p w14:paraId="4CC748F8" w14:textId="77777777" w:rsidR="001506C1" w:rsidRPr="00FA3F9C" w:rsidRDefault="001506C1" w:rsidP="000E1D6C">
            <w:pPr>
              <w:rPr>
                <w:rFonts w:ascii="Arial" w:hAnsi="Arial" w:cs="Arial"/>
                <w:sz w:val="24"/>
                <w:szCs w:val="24"/>
              </w:rPr>
            </w:pPr>
            <w:r w:rsidRPr="00FA3F9C">
              <w:rPr>
                <w:rFonts w:ascii="Arial" w:hAnsi="Arial" w:cs="Arial"/>
                <w:sz w:val="24"/>
                <w:szCs w:val="24"/>
              </w:rPr>
              <w:t xml:space="preserve">-median overall survival: </w:t>
            </w:r>
            <w:r w:rsidRPr="00FA3F9C">
              <w:rPr>
                <w:rFonts w:ascii="Arial" w:hAnsi="Arial" w:cs="Arial"/>
                <w:sz w:val="24"/>
                <w:szCs w:val="24"/>
                <w:highlight w:val="yellow"/>
              </w:rPr>
              <w:t xml:space="preserve">13.7 </w:t>
            </w:r>
            <w:proofErr w:type="spellStart"/>
            <w:r w:rsidRPr="00FA3F9C">
              <w:rPr>
                <w:rFonts w:ascii="Arial" w:hAnsi="Arial" w:cs="Arial"/>
                <w:sz w:val="24"/>
                <w:szCs w:val="24"/>
                <w:highlight w:val="yellow"/>
              </w:rPr>
              <w:t>mo</w:t>
            </w:r>
            <w:proofErr w:type="spellEnd"/>
          </w:p>
          <w:p w14:paraId="14473A52" w14:textId="77777777" w:rsidR="001506C1" w:rsidRPr="00FA3F9C" w:rsidRDefault="001506C1" w:rsidP="000E1D6C">
            <w:pPr>
              <w:rPr>
                <w:rFonts w:ascii="Arial" w:hAnsi="Arial" w:cs="Arial"/>
                <w:sz w:val="24"/>
                <w:szCs w:val="24"/>
              </w:rPr>
            </w:pPr>
          </w:p>
          <w:p w14:paraId="0B9528AB" w14:textId="77777777" w:rsidR="001506C1" w:rsidRPr="00FA3F9C" w:rsidRDefault="001506C1" w:rsidP="000E1D6C">
            <w:pPr>
              <w:rPr>
                <w:rFonts w:ascii="Arial" w:hAnsi="Arial" w:cs="Arial"/>
                <w:sz w:val="24"/>
                <w:szCs w:val="24"/>
                <w:u w:val="single"/>
              </w:rPr>
            </w:pPr>
            <w:r w:rsidRPr="00FA3F9C">
              <w:rPr>
                <w:rFonts w:ascii="Arial" w:hAnsi="Arial" w:cs="Arial"/>
                <w:sz w:val="24"/>
                <w:szCs w:val="24"/>
                <w:u w:val="single"/>
              </w:rPr>
              <w:t xml:space="preserve">MAMMOTH (included patients with relapsed/refractory multiple myeloma not treated with  novel agents, such as </w:t>
            </w:r>
            <w:proofErr w:type="spellStart"/>
            <w:r w:rsidRPr="00FA3F9C">
              <w:rPr>
                <w:rFonts w:ascii="Arial" w:hAnsi="Arial" w:cs="Arial"/>
                <w:sz w:val="24"/>
                <w:szCs w:val="24"/>
                <w:u w:val="single"/>
              </w:rPr>
              <w:t>belantamab</w:t>
            </w:r>
            <w:proofErr w:type="spellEnd"/>
            <w:r w:rsidRPr="00FA3F9C">
              <w:rPr>
                <w:rFonts w:ascii="Arial" w:hAnsi="Arial" w:cs="Arial"/>
                <w:sz w:val="24"/>
                <w:szCs w:val="24"/>
                <w:u w:val="single"/>
              </w:rPr>
              <w:t>)</w:t>
            </w:r>
            <w:r w:rsidRPr="00FA3F9C">
              <w:rPr>
                <w:rFonts w:ascii="Arial" w:hAnsi="Arial" w:cs="Arial"/>
                <w:sz w:val="24"/>
                <w:szCs w:val="24"/>
                <w:u w:val="single"/>
                <w:vertAlign w:val="superscript"/>
              </w:rPr>
              <w:t>3,4</w:t>
            </w:r>
          </w:p>
          <w:p w14:paraId="7445E988" w14:textId="77777777" w:rsidR="001506C1" w:rsidRPr="00FA3F9C" w:rsidRDefault="001506C1" w:rsidP="000E1D6C">
            <w:pPr>
              <w:rPr>
                <w:rFonts w:ascii="Arial" w:hAnsi="Arial" w:cs="Arial"/>
                <w:sz w:val="24"/>
                <w:szCs w:val="24"/>
              </w:rPr>
            </w:pPr>
            <w:r w:rsidRPr="00FA3F9C">
              <w:rPr>
                <w:rFonts w:ascii="Arial" w:hAnsi="Arial" w:cs="Arial"/>
                <w:sz w:val="24"/>
                <w:szCs w:val="24"/>
              </w:rPr>
              <w:lastRenderedPageBreak/>
              <w:t xml:space="preserve">-triple and quad refractory subgroup: Median overall survival: </w:t>
            </w:r>
            <w:r w:rsidRPr="00FA3F9C">
              <w:rPr>
                <w:rFonts w:ascii="Arial" w:hAnsi="Arial" w:cs="Arial"/>
                <w:sz w:val="24"/>
                <w:szCs w:val="24"/>
                <w:highlight w:val="yellow"/>
              </w:rPr>
              <w:t xml:space="preserve">9.2 </w:t>
            </w:r>
            <w:proofErr w:type="spellStart"/>
            <w:r w:rsidRPr="00FA3F9C">
              <w:rPr>
                <w:rFonts w:ascii="Arial" w:hAnsi="Arial" w:cs="Arial"/>
                <w:sz w:val="24"/>
                <w:szCs w:val="24"/>
                <w:highlight w:val="yellow"/>
              </w:rPr>
              <w:t>mo</w:t>
            </w:r>
            <w:proofErr w:type="spellEnd"/>
          </w:p>
          <w:p w14:paraId="391CF633" w14:textId="77777777" w:rsidR="001506C1" w:rsidRPr="00FA3F9C" w:rsidRDefault="001506C1" w:rsidP="000E1D6C">
            <w:pPr>
              <w:rPr>
                <w:rFonts w:ascii="Arial" w:hAnsi="Arial" w:cs="Arial"/>
                <w:sz w:val="24"/>
                <w:szCs w:val="24"/>
              </w:rPr>
            </w:pPr>
          </w:p>
          <w:p w14:paraId="271DDCAB" w14:textId="77777777" w:rsidR="001506C1" w:rsidRPr="00FA3F9C" w:rsidRDefault="001506C1" w:rsidP="000E1D6C">
            <w:pPr>
              <w:rPr>
                <w:rFonts w:ascii="Arial" w:hAnsi="Arial" w:cs="Arial"/>
                <w:sz w:val="24"/>
                <w:szCs w:val="24"/>
              </w:rPr>
            </w:pPr>
            <w:r w:rsidRPr="00FA3F9C">
              <w:rPr>
                <w:rFonts w:ascii="Arial" w:hAnsi="Arial" w:cs="Arial"/>
                <w:sz w:val="24"/>
                <w:szCs w:val="24"/>
              </w:rPr>
              <w:t>References:</w:t>
            </w:r>
          </w:p>
          <w:p w14:paraId="3FA7534E" w14:textId="77777777" w:rsidR="001506C1" w:rsidRPr="00FA3F9C" w:rsidRDefault="001506C1" w:rsidP="001506C1">
            <w:pPr>
              <w:pStyle w:val="ListParagraph"/>
              <w:numPr>
                <w:ilvl w:val="0"/>
                <w:numId w:val="46"/>
              </w:numPr>
              <w:ind w:left="180" w:hanging="180"/>
              <w:rPr>
                <w:rFonts w:ascii="Arial" w:hAnsi="Arial" w:cs="Arial"/>
                <w:sz w:val="24"/>
                <w:szCs w:val="24"/>
              </w:rPr>
            </w:pPr>
            <w:proofErr w:type="spellStart"/>
            <w:r w:rsidRPr="00FA3F9C">
              <w:rPr>
                <w:rFonts w:ascii="Arial" w:hAnsi="Arial" w:cs="Arial"/>
                <w:sz w:val="24"/>
                <w:szCs w:val="24"/>
              </w:rPr>
              <w:t>Lonial</w:t>
            </w:r>
            <w:proofErr w:type="spellEnd"/>
            <w:r w:rsidRPr="00FA3F9C">
              <w:rPr>
                <w:rFonts w:ascii="Arial" w:hAnsi="Arial" w:cs="Arial"/>
                <w:sz w:val="24"/>
                <w:szCs w:val="24"/>
              </w:rPr>
              <w:t xml:space="preserve"> S, Lee HC, </w:t>
            </w:r>
            <w:proofErr w:type="spellStart"/>
            <w:r w:rsidRPr="00FA3F9C">
              <w:rPr>
                <w:rFonts w:ascii="Arial" w:hAnsi="Arial" w:cs="Arial"/>
                <w:sz w:val="24"/>
                <w:szCs w:val="24"/>
              </w:rPr>
              <w:t>Badros</w:t>
            </w:r>
            <w:proofErr w:type="spellEnd"/>
            <w:r w:rsidRPr="00FA3F9C">
              <w:rPr>
                <w:rFonts w:ascii="Arial" w:hAnsi="Arial" w:cs="Arial"/>
                <w:sz w:val="24"/>
                <w:szCs w:val="24"/>
              </w:rPr>
              <w:t xml:space="preserve"> A, et al. </w:t>
            </w:r>
            <w:proofErr w:type="spellStart"/>
            <w:r w:rsidRPr="00FA3F9C">
              <w:rPr>
                <w:rFonts w:ascii="Arial" w:hAnsi="Arial" w:cs="Arial"/>
                <w:sz w:val="24"/>
                <w:szCs w:val="24"/>
              </w:rPr>
              <w:t>Belantamab</w:t>
            </w:r>
            <w:proofErr w:type="spellEnd"/>
            <w:r w:rsidRPr="00FA3F9C">
              <w:rPr>
                <w:rFonts w:ascii="Arial" w:hAnsi="Arial" w:cs="Arial"/>
                <w:sz w:val="24"/>
                <w:szCs w:val="24"/>
              </w:rPr>
              <w:t xml:space="preserve"> </w:t>
            </w:r>
            <w:proofErr w:type="spellStart"/>
            <w:r w:rsidRPr="00FA3F9C">
              <w:rPr>
                <w:rFonts w:ascii="Arial" w:hAnsi="Arial" w:cs="Arial"/>
                <w:sz w:val="24"/>
                <w:szCs w:val="24"/>
              </w:rPr>
              <w:t>mafodotin</w:t>
            </w:r>
            <w:proofErr w:type="spellEnd"/>
            <w:r w:rsidRPr="00FA3F9C">
              <w:rPr>
                <w:rFonts w:ascii="Arial" w:hAnsi="Arial" w:cs="Arial"/>
                <w:sz w:val="24"/>
                <w:szCs w:val="24"/>
              </w:rPr>
              <w:t xml:space="preserve"> for relapsed or refractory multiple myeloma (DREAMM-2): a two-arm, </w:t>
            </w:r>
            <w:proofErr w:type="spellStart"/>
            <w:r w:rsidRPr="00FA3F9C">
              <w:rPr>
                <w:rFonts w:ascii="Arial" w:hAnsi="Arial" w:cs="Arial"/>
                <w:sz w:val="24"/>
                <w:szCs w:val="24"/>
              </w:rPr>
              <w:t>randomised</w:t>
            </w:r>
            <w:proofErr w:type="spellEnd"/>
            <w:r w:rsidRPr="00FA3F9C">
              <w:rPr>
                <w:rFonts w:ascii="Arial" w:hAnsi="Arial" w:cs="Arial"/>
                <w:sz w:val="24"/>
                <w:szCs w:val="24"/>
              </w:rPr>
              <w:t xml:space="preserve">, open-label, phase 2 study. Lancet Oncol. 2020;21(2):207-221. doi:10.1016/S1470-2045(19)30788-0. PMID 31859245 </w:t>
            </w:r>
          </w:p>
          <w:p w14:paraId="1133A03F" w14:textId="77777777" w:rsidR="001506C1" w:rsidRPr="00FA3F9C" w:rsidRDefault="001506C1" w:rsidP="001506C1">
            <w:pPr>
              <w:pStyle w:val="ListParagraph"/>
              <w:numPr>
                <w:ilvl w:val="0"/>
                <w:numId w:val="46"/>
              </w:numPr>
              <w:ind w:left="180" w:hanging="180"/>
              <w:rPr>
                <w:rFonts w:ascii="Arial" w:hAnsi="Arial" w:cs="Arial"/>
                <w:sz w:val="24"/>
                <w:szCs w:val="24"/>
              </w:rPr>
            </w:pPr>
            <w:proofErr w:type="spellStart"/>
            <w:r w:rsidRPr="00FA3F9C">
              <w:rPr>
                <w:rFonts w:ascii="Arial" w:hAnsi="Arial" w:cs="Arial"/>
                <w:sz w:val="24"/>
                <w:szCs w:val="24"/>
              </w:rPr>
              <w:t>Lonial</w:t>
            </w:r>
            <w:proofErr w:type="spellEnd"/>
            <w:r w:rsidRPr="00FA3F9C">
              <w:rPr>
                <w:rFonts w:ascii="Arial" w:hAnsi="Arial" w:cs="Arial"/>
                <w:sz w:val="24"/>
                <w:szCs w:val="24"/>
              </w:rPr>
              <w:t xml:space="preserve"> et al. MM-219: Pivotal DREAMM-2 Study: Single-Agent </w:t>
            </w:r>
            <w:proofErr w:type="spellStart"/>
            <w:r w:rsidRPr="00FA3F9C">
              <w:rPr>
                <w:rFonts w:ascii="Arial" w:hAnsi="Arial" w:cs="Arial"/>
                <w:sz w:val="24"/>
                <w:szCs w:val="24"/>
              </w:rPr>
              <w:t>Belantamab</w:t>
            </w:r>
            <w:proofErr w:type="spellEnd"/>
            <w:r w:rsidRPr="00FA3F9C">
              <w:rPr>
                <w:rFonts w:ascii="Arial" w:hAnsi="Arial" w:cs="Arial"/>
                <w:sz w:val="24"/>
                <w:szCs w:val="24"/>
              </w:rPr>
              <w:t xml:space="preserve"> </w:t>
            </w:r>
            <w:proofErr w:type="spellStart"/>
            <w:r w:rsidRPr="00FA3F9C">
              <w:rPr>
                <w:rFonts w:ascii="Arial" w:hAnsi="Arial" w:cs="Arial"/>
                <w:sz w:val="24"/>
                <w:szCs w:val="24"/>
              </w:rPr>
              <w:t>Mafodotin</w:t>
            </w:r>
            <w:proofErr w:type="spellEnd"/>
            <w:r w:rsidRPr="00FA3F9C">
              <w:rPr>
                <w:rFonts w:ascii="Arial" w:hAnsi="Arial" w:cs="Arial"/>
                <w:sz w:val="24"/>
                <w:szCs w:val="24"/>
              </w:rPr>
              <w:t xml:space="preserve"> (</w:t>
            </w:r>
            <w:proofErr w:type="spellStart"/>
            <w:r w:rsidRPr="00FA3F9C">
              <w:rPr>
                <w:rFonts w:ascii="Arial" w:hAnsi="Arial" w:cs="Arial"/>
                <w:sz w:val="24"/>
                <w:szCs w:val="24"/>
              </w:rPr>
              <w:t>Belamaf</w:t>
            </w:r>
            <w:proofErr w:type="spellEnd"/>
            <w:r w:rsidRPr="00FA3F9C">
              <w:rPr>
                <w:rFonts w:ascii="Arial" w:hAnsi="Arial" w:cs="Arial"/>
                <w:sz w:val="24"/>
                <w:szCs w:val="24"/>
              </w:rPr>
              <w:t>; GSK2857916) in Patients with Relapsed/Refractory Multiple Myeloma (RRMM) Refractory to Proteasome Inhibitors and Immunomodulatory Agents, and Refractory and/or Intolerant to Anti-CD38 Monoclonal Antibodies (</w:t>
            </w:r>
            <w:proofErr w:type="spellStart"/>
            <w:r w:rsidRPr="00FA3F9C">
              <w:rPr>
                <w:rFonts w:ascii="Arial" w:hAnsi="Arial" w:cs="Arial"/>
                <w:sz w:val="24"/>
                <w:szCs w:val="24"/>
              </w:rPr>
              <w:t>mAbs</w:t>
            </w:r>
            <w:proofErr w:type="spellEnd"/>
            <w:r w:rsidRPr="00FA3F9C">
              <w:rPr>
                <w:rFonts w:ascii="Arial" w:hAnsi="Arial" w:cs="Arial"/>
                <w:sz w:val="24"/>
                <w:szCs w:val="24"/>
              </w:rPr>
              <w:t xml:space="preserve">), Including Subgroups with Renal Impairment (RI) and High-Risk (HR) Cytogenetics. Clinical Lymphoma Myeloma and Leukemia. Volume 20, Supplement 1, September 2020, Pages S301-S302. </w:t>
            </w:r>
            <w:hyperlink r:id="rId45" w:history="1">
              <w:r w:rsidRPr="00FA3F9C">
                <w:rPr>
                  <w:rStyle w:val="Hyperlink"/>
                  <w:rFonts w:ascii="Arial" w:hAnsi="Arial" w:cs="Arial"/>
                  <w:sz w:val="24"/>
                  <w:szCs w:val="24"/>
                </w:rPr>
                <w:t>https://www.sciencedirect.com/science/article/abs/pii/S2152265020309435. Accessed 5/17/2021</w:t>
              </w:r>
            </w:hyperlink>
            <w:r w:rsidRPr="00FA3F9C">
              <w:rPr>
                <w:rFonts w:ascii="Arial" w:hAnsi="Arial" w:cs="Arial"/>
                <w:sz w:val="24"/>
                <w:szCs w:val="24"/>
              </w:rPr>
              <w:t>.</w:t>
            </w:r>
          </w:p>
          <w:p w14:paraId="04973A40" w14:textId="77777777" w:rsidR="001506C1" w:rsidRPr="00FA3F9C" w:rsidRDefault="001506C1" w:rsidP="001506C1">
            <w:pPr>
              <w:pStyle w:val="ListParagraph"/>
              <w:numPr>
                <w:ilvl w:val="0"/>
                <w:numId w:val="46"/>
              </w:numPr>
              <w:ind w:left="180" w:hanging="180"/>
              <w:rPr>
                <w:rFonts w:ascii="Arial" w:hAnsi="Arial" w:cs="Arial"/>
                <w:sz w:val="24"/>
                <w:szCs w:val="24"/>
              </w:rPr>
            </w:pPr>
            <w:r w:rsidRPr="00FA3F9C">
              <w:rPr>
                <w:rFonts w:ascii="Arial" w:hAnsi="Arial" w:cs="Arial"/>
                <w:sz w:val="24"/>
                <w:szCs w:val="24"/>
                <w:lang w:val="es-ES"/>
              </w:rPr>
              <w:t xml:space="preserve">LJ Costa et al. </w:t>
            </w:r>
            <w:hyperlink r:id="rId46" w:history="1">
              <w:r w:rsidRPr="00FA3F9C">
                <w:rPr>
                  <w:rStyle w:val="Hyperlink"/>
                  <w:rFonts w:ascii="Arial" w:hAnsi="Arial" w:cs="Arial"/>
                  <w:sz w:val="24"/>
                  <w:szCs w:val="24"/>
                  <w:lang w:val="es-ES"/>
                </w:rPr>
                <w:t>https://ashpublications.org/blood/article/134/Supplement_1/3125/423837/Overall-Survival-of-Triple-Class-Refractory-Penta</w:t>
              </w:r>
            </w:hyperlink>
            <w:r w:rsidRPr="00FA3F9C">
              <w:rPr>
                <w:rFonts w:ascii="Arial" w:hAnsi="Arial" w:cs="Arial"/>
                <w:sz w:val="24"/>
                <w:szCs w:val="24"/>
                <w:lang w:val="es-ES"/>
              </w:rPr>
              <w:t xml:space="preserve">. </w:t>
            </w:r>
            <w:r w:rsidRPr="00FA3F9C">
              <w:rPr>
                <w:rFonts w:ascii="Arial" w:hAnsi="Arial" w:cs="Arial"/>
                <w:sz w:val="24"/>
                <w:szCs w:val="24"/>
              </w:rPr>
              <w:t>Accessed 11/18/19 [mammoth]</w:t>
            </w:r>
          </w:p>
          <w:p w14:paraId="38A266EB" w14:textId="77777777" w:rsidR="001506C1" w:rsidRPr="00FA3F9C" w:rsidRDefault="001506C1" w:rsidP="001506C1">
            <w:pPr>
              <w:pStyle w:val="ListParagraph"/>
              <w:numPr>
                <w:ilvl w:val="0"/>
                <w:numId w:val="46"/>
              </w:numPr>
              <w:ind w:left="180" w:hanging="180"/>
              <w:rPr>
                <w:rFonts w:ascii="Arial" w:hAnsi="Arial" w:cs="Arial"/>
                <w:sz w:val="24"/>
                <w:szCs w:val="24"/>
              </w:rPr>
            </w:pPr>
            <w:r w:rsidRPr="00FA3F9C">
              <w:rPr>
                <w:rFonts w:ascii="Arial" w:hAnsi="Arial" w:cs="Arial"/>
                <w:noProof/>
                <w:color w:val="000000"/>
                <w:sz w:val="24"/>
                <w:szCs w:val="24"/>
              </w:rPr>
              <w:t>Cornell R et al. Overall survival of patients with triple-class refractory multiple myeloma treated with selinexor plus dexamethasone vs standard of care in MAMMOTH. Am J Hematol. 2021 Jan;96(1):E5-E8. doi: 10.1002/ajh.26010. Epub 2020 Oct 21. PMID: 32974944.</w:t>
            </w:r>
          </w:p>
          <w:p w14:paraId="49530BA7" w14:textId="77777777" w:rsidR="001506C1" w:rsidRPr="00FA3F9C" w:rsidRDefault="001506C1" w:rsidP="000E1D6C">
            <w:pPr>
              <w:rPr>
                <w:rFonts w:ascii="Arial" w:hAnsi="Arial" w:cs="Arial"/>
                <w:sz w:val="24"/>
                <w:szCs w:val="24"/>
              </w:rPr>
            </w:pPr>
          </w:p>
        </w:tc>
      </w:tr>
    </w:tbl>
    <w:p w14:paraId="2FA2F6CF" w14:textId="77777777" w:rsidR="001506C1" w:rsidRPr="00FA3F9C" w:rsidRDefault="001506C1" w:rsidP="006F623F">
      <w:pPr>
        <w:spacing w:after="0"/>
        <w:rPr>
          <w:rFonts w:ascii="Arial" w:hAnsi="Arial" w:cs="Arial"/>
          <w:sz w:val="24"/>
          <w:szCs w:val="24"/>
        </w:rPr>
      </w:pPr>
    </w:p>
    <w:p w14:paraId="19E342BC"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Quantity Limits: n/a (medical drug)</w:t>
      </w:r>
    </w:p>
    <w:p w14:paraId="3E83F07A" w14:textId="77777777" w:rsidR="001506C1" w:rsidRPr="00FA3F9C" w:rsidRDefault="001506C1" w:rsidP="006F623F">
      <w:pPr>
        <w:spacing w:after="0"/>
        <w:rPr>
          <w:rFonts w:ascii="Arial" w:hAnsi="Arial" w:cs="Arial"/>
          <w:sz w:val="24"/>
          <w:szCs w:val="24"/>
        </w:rPr>
      </w:pPr>
    </w:p>
    <w:p w14:paraId="66AD4B6A"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284"/>
        <w:gridCol w:w="7470"/>
        <w:gridCol w:w="2538"/>
      </w:tblGrid>
      <w:tr w:rsidR="001506C1" w:rsidRPr="00FA3F9C" w14:paraId="0CF729F7" w14:textId="77777777" w:rsidTr="00FE491B">
        <w:tc>
          <w:tcPr>
            <w:tcW w:w="1008" w:type="dxa"/>
          </w:tcPr>
          <w:p w14:paraId="21330C35" w14:textId="77777777" w:rsidR="001506C1" w:rsidRPr="00FA3F9C" w:rsidRDefault="001506C1" w:rsidP="006F623F">
            <w:pPr>
              <w:rPr>
                <w:rFonts w:ascii="Arial" w:hAnsi="Arial" w:cs="Arial"/>
                <w:sz w:val="24"/>
                <w:szCs w:val="24"/>
              </w:rPr>
            </w:pPr>
            <w:r w:rsidRPr="00FA3F9C">
              <w:rPr>
                <w:rFonts w:ascii="Arial" w:hAnsi="Arial" w:cs="Arial"/>
                <w:sz w:val="24"/>
                <w:szCs w:val="24"/>
              </w:rPr>
              <w:t>Date</w:t>
            </w:r>
          </w:p>
        </w:tc>
        <w:tc>
          <w:tcPr>
            <w:tcW w:w="7470" w:type="dxa"/>
          </w:tcPr>
          <w:p w14:paraId="3E6819E8" w14:textId="77777777" w:rsidR="001506C1" w:rsidRPr="00FA3F9C" w:rsidRDefault="001506C1" w:rsidP="006F623F">
            <w:pPr>
              <w:rPr>
                <w:rFonts w:ascii="Arial" w:hAnsi="Arial" w:cs="Arial"/>
                <w:sz w:val="24"/>
                <w:szCs w:val="24"/>
              </w:rPr>
            </w:pPr>
            <w:r w:rsidRPr="00FA3F9C">
              <w:rPr>
                <w:rFonts w:ascii="Arial" w:hAnsi="Arial" w:cs="Arial"/>
                <w:sz w:val="24"/>
                <w:szCs w:val="24"/>
              </w:rPr>
              <w:t>What changed</w:t>
            </w:r>
          </w:p>
        </w:tc>
        <w:tc>
          <w:tcPr>
            <w:tcW w:w="2538" w:type="dxa"/>
          </w:tcPr>
          <w:p w14:paraId="3AB6AC27" w14:textId="77777777" w:rsidR="001506C1" w:rsidRPr="00FA3F9C" w:rsidRDefault="001506C1" w:rsidP="006F623F">
            <w:pPr>
              <w:rPr>
                <w:rFonts w:ascii="Arial" w:hAnsi="Arial" w:cs="Arial"/>
                <w:sz w:val="24"/>
                <w:szCs w:val="24"/>
              </w:rPr>
            </w:pPr>
            <w:r w:rsidRPr="00FA3F9C">
              <w:rPr>
                <w:rFonts w:ascii="Arial" w:hAnsi="Arial" w:cs="Arial"/>
                <w:sz w:val="24"/>
                <w:szCs w:val="24"/>
              </w:rPr>
              <w:t>Pharmacist’s initials</w:t>
            </w:r>
          </w:p>
        </w:tc>
      </w:tr>
      <w:tr w:rsidR="001506C1" w:rsidRPr="00FA3F9C" w14:paraId="34F649E8" w14:textId="77777777" w:rsidTr="00FE491B">
        <w:tc>
          <w:tcPr>
            <w:tcW w:w="1008" w:type="dxa"/>
          </w:tcPr>
          <w:p w14:paraId="01119B63" w14:textId="77777777" w:rsidR="001506C1" w:rsidRPr="00FA3F9C" w:rsidRDefault="001506C1" w:rsidP="006F623F">
            <w:pPr>
              <w:rPr>
                <w:rFonts w:ascii="Arial" w:hAnsi="Arial" w:cs="Arial"/>
                <w:sz w:val="24"/>
                <w:szCs w:val="24"/>
              </w:rPr>
            </w:pPr>
            <w:r w:rsidRPr="00FA3F9C">
              <w:rPr>
                <w:rFonts w:ascii="Arial" w:hAnsi="Arial" w:cs="Arial"/>
                <w:sz w:val="24"/>
                <w:szCs w:val="24"/>
              </w:rPr>
              <w:t>5/21/2021</w:t>
            </w:r>
          </w:p>
        </w:tc>
        <w:tc>
          <w:tcPr>
            <w:tcW w:w="7470" w:type="dxa"/>
          </w:tcPr>
          <w:p w14:paraId="1B82D05A" w14:textId="77777777" w:rsidR="001506C1" w:rsidRPr="00FA3F9C" w:rsidRDefault="001506C1" w:rsidP="006F623F">
            <w:pPr>
              <w:rPr>
                <w:rFonts w:ascii="Arial" w:hAnsi="Arial" w:cs="Arial"/>
                <w:sz w:val="24"/>
                <w:szCs w:val="24"/>
              </w:rPr>
            </w:pPr>
            <w:r w:rsidRPr="00FA3F9C">
              <w:rPr>
                <w:rFonts w:ascii="Arial" w:hAnsi="Arial" w:cs="Arial"/>
                <w:sz w:val="24"/>
                <w:szCs w:val="24"/>
              </w:rPr>
              <w:t>Criteria written</w:t>
            </w:r>
          </w:p>
        </w:tc>
        <w:tc>
          <w:tcPr>
            <w:tcW w:w="2538" w:type="dxa"/>
          </w:tcPr>
          <w:p w14:paraId="047FC6B2" w14:textId="77777777" w:rsidR="001506C1" w:rsidRPr="00FA3F9C" w:rsidRDefault="001506C1" w:rsidP="006F623F">
            <w:pPr>
              <w:rPr>
                <w:rFonts w:ascii="Arial" w:hAnsi="Arial" w:cs="Arial"/>
                <w:sz w:val="24"/>
                <w:szCs w:val="24"/>
              </w:rPr>
            </w:pPr>
            <w:r w:rsidRPr="00FA3F9C">
              <w:rPr>
                <w:rFonts w:ascii="Arial" w:hAnsi="Arial" w:cs="Arial"/>
                <w:sz w:val="24"/>
                <w:szCs w:val="24"/>
              </w:rPr>
              <w:t>SK</w:t>
            </w:r>
          </w:p>
        </w:tc>
      </w:tr>
      <w:tr w:rsidR="001506C1" w:rsidRPr="00FA3F9C" w14:paraId="36DC7DD4" w14:textId="77777777" w:rsidTr="00FE491B">
        <w:tc>
          <w:tcPr>
            <w:tcW w:w="1008" w:type="dxa"/>
          </w:tcPr>
          <w:p w14:paraId="677E240E" w14:textId="77777777" w:rsidR="001506C1" w:rsidRPr="00FA3F9C" w:rsidRDefault="001506C1" w:rsidP="006F623F">
            <w:pPr>
              <w:rPr>
                <w:rFonts w:ascii="Arial" w:hAnsi="Arial" w:cs="Arial"/>
                <w:sz w:val="24"/>
                <w:szCs w:val="24"/>
              </w:rPr>
            </w:pPr>
          </w:p>
        </w:tc>
        <w:tc>
          <w:tcPr>
            <w:tcW w:w="7470" w:type="dxa"/>
          </w:tcPr>
          <w:p w14:paraId="6D3A1C51" w14:textId="77777777" w:rsidR="001506C1" w:rsidRPr="00FA3F9C" w:rsidRDefault="001506C1" w:rsidP="006F623F">
            <w:pPr>
              <w:rPr>
                <w:rFonts w:ascii="Arial" w:hAnsi="Arial" w:cs="Arial"/>
                <w:sz w:val="24"/>
                <w:szCs w:val="24"/>
              </w:rPr>
            </w:pPr>
          </w:p>
        </w:tc>
        <w:tc>
          <w:tcPr>
            <w:tcW w:w="2538" w:type="dxa"/>
          </w:tcPr>
          <w:p w14:paraId="695D2EE2" w14:textId="77777777" w:rsidR="001506C1" w:rsidRPr="00FA3F9C" w:rsidRDefault="001506C1" w:rsidP="006F623F">
            <w:pPr>
              <w:rPr>
                <w:rFonts w:ascii="Arial" w:hAnsi="Arial" w:cs="Arial"/>
                <w:sz w:val="24"/>
                <w:szCs w:val="24"/>
              </w:rPr>
            </w:pPr>
          </w:p>
        </w:tc>
      </w:tr>
    </w:tbl>
    <w:p w14:paraId="43D3ECCE" w14:textId="77777777" w:rsidR="001506C1" w:rsidRPr="00FA3F9C" w:rsidRDefault="001506C1" w:rsidP="006F623F">
      <w:pPr>
        <w:spacing w:after="0"/>
        <w:rPr>
          <w:rFonts w:ascii="Arial" w:hAnsi="Arial" w:cs="Arial"/>
          <w:sz w:val="24"/>
          <w:szCs w:val="24"/>
        </w:rPr>
      </w:pPr>
    </w:p>
    <w:p w14:paraId="39E5F765" w14:textId="77777777" w:rsidR="001506C1" w:rsidRPr="00FA3F9C" w:rsidRDefault="001506C1" w:rsidP="00CA4C3C">
      <w:pPr>
        <w:pStyle w:val="Heading2"/>
      </w:pPr>
      <w:bookmarkStart w:id="30" w:name="_Toc106369732"/>
      <w:proofErr w:type="spellStart"/>
      <w:r w:rsidRPr="00FA3F9C">
        <w:t>Belatacept</w:t>
      </w:r>
      <w:proofErr w:type="spellEnd"/>
      <w:r w:rsidRPr="00FA3F9C">
        <w:t xml:space="preserve"> (</w:t>
      </w:r>
      <w:proofErr w:type="spellStart"/>
      <w:r w:rsidRPr="00FA3F9C">
        <w:t>Nulojix</w:t>
      </w:r>
      <w:proofErr w:type="spellEnd"/>
      <w:r w:rsidRPr="00FA3F9C">
        <w:t>)</w:t>
      </w:r>
      <w:bookmarkEnd w:id="30"/>
    </w:p>
    <w:p w14:paraId="4650BEF3" w14:textId="77777777" w:rsidR="001506C1" w:rsidRPr="00FA3F9C" w:rsidRDefault="001506C1" w:rsidP="00937F0C">
      <w:pPr>
        <w:jc w:val="center"/>
        <w:rPr>
          <w:rFonts w:ascii="Arial" w:hAnsi="Arial" w:cs="Arial"/>
          <w:sz w:val="24"/>
          <w:szCs w:val="24"/>
        </w:rPr>
      </w:pPr>
      <w:r w:rsidRPr="00FA3F9C">
        <w:rPr>
          <w:rFonts w:ascii="Arial" w:hAnsi="Arial" w:cs="Arial"/>
          <w:sz w:val="24"/>
          <w:szCs w:val="24"/>
        </w:rPr>
        <w:t>250mg IV infusion</w:t>
      </w:r>
    </w:p>
    <w:p w14:paraId="22BA4147" w14:textId="77777777" w:rsidR="001506C1" w:rsidRPr="00FA3F9C" w:rsidRDefault="001506C1" w:rsidP="00937F0C">
      <w:pPr>
        <w:jc w:val="center"/>
        <w:rPr>
          <w:rFonts w:ascii="Arial" w:hAnsi="Arial" w:cs="Arial"/>
          <w:sz w:val="24"/>
          <w:szCs w:val="24"/>
        </w:rPr>
      </w:pPr>
      <w:r w:rsidRPr="00FA3F9C">
        <w:rPr>
          <w:rFonts w:ascii="Arial" w:hAnsi="Arial" w:cs="Arial"/>
          <w:sz w:val="24"/>
          <w:szCs w:val="24"/>
        </w:rPr>
        <w:t>EBRx PA Criteria</w:t>
      </w:r>
    </w:p>
    <w:p w14:paraId="5E6701D4" w14:textId="77777777" w:rsidR="001506C1" w:rsidRPr="00FA3F9C" w:rsidRDefault="001506C1" w:rsidP="00937F0C">
      <w:pPr>
        <w:rPr>
          <w:rFonts w:ascii="Arial" w:hAnsi="Arial" w:cs="Arial"/>
          <w:b/>
          <w:sz w:val="24"/>
          <w:szCs w:val="24"/>
          <w:u w:val="single"/>
        </w:rPr>
      </w:pPr>
    </w:p>
    <w:p w14:paraId="30BE1555" w14:textId="77777777" w:rsidR="001506C1" w:rsidRPr="00FA3F9C" w:rsidRDefault="001506C1" w:rsidP="00937F0C">
      <w:pPr>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Prophylaxis of organ rejection concomitantly with </w:t>
      </w:r>
      <w:proofErr w:type="spellStart"/>
      <w:r w:rsidRPr="00FA3F9C">
        <w:rPr>
          <w:rFonts w:ascii="Arial" w:hAnsi="Arial" w:cs="Arial"/>
          <w:sz w:val="24"/>
          <w:szCs w:val="24"/>
        </w:rPr>
        <w:t>basiliximab</w:t>
      </w:r>
      <w:proofErr w:type="spellEnd"/>
      <w:r w:rsidRPr="00FA3F9C">
        <w:rPr>
          <w:rFonts w:ascii="Arial" w:hAnsi="Arial" w:cs="Arial"/>
          <w:sz w:val="24"/>
          <w:szCs w:val="24"/>
        </w:rPr>
        <w:t xml:space="preserve"> induction, mycophenolate, and corticosteroids in adult Epstein-Barr virus (EBV) seropositive kidney transplant recipients.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6"/>
        <w:gridCol w:w="1950"/>
      </w:tblGrid>
      <w:tr w:rsidR="001506C1" w:rsidRPr="00FA3F9C" w14:paraId="7181C3D1" w14:textId="77777777" w:rsidTr="000871F5">
        <w:tc>
          <w:tcPr>
            <w:tcW w:w="8346" w:type="dxa"/>
            <w:shd w:val="clear" w:color="auto" w:fill="000000"/>
          </w:tcPr>
          <w:p w14:paraId="07452643" w14:textId="77777777" w:rsidR="001506C1" w:rsidRPr="00FA3F9C" w:rsidRDefault="001506C1" w:rsidP="000871F5">
            <w:pPr>
              <w:rPr>
                <w:rFonts w:ascii="Arial" w:hAnsi="Arial" w:cs="Arial"/>
                <w:b/>
                <w:sz w:val="24"/>
                <w:szCs w:val="24"/>
                <w:u w:val="single"/>
              </w:rPr>
            </w:pPr>
            <w:r w:rsidRPr="00FA3F9C">
              <w:rPr>
                <w:rFonts w:ascii="Arial" w:hAnsi="Arial" w:cs="Arial"/>
                <w:b/>
                <w:sz w:val="24"/>
                <w:szCs w:val="24"/>
                <w:u w:val="single"/>
              </w:rPr>
              <w:t>Criteria for new users</w:t>
            </w:r>
          </w:p>
        </w:tc>
        <w:tc>
          <w:tcPr>
            <w:tcW w:w="1950" w:type="dxa"/>
            <w:shd w:val="clear" w:color="auto" w:fill="000000"/>
          </w:tcPr>
          <w:p w14:paraId="02D99DA7" w14:textId="77777777" w:rsidR="001506C1" w:rsidRPr="00FA3F9C" w:rsidRDefault="001506C1" w:rsidP="000871F5">
            <w:pPr>
              <w:jc w:val="center"/>
              <w:rPr>
                <w:rFonts w:ascii="Arial" w:hAnsi="Arial" w:cs="Arial"/>
                <w:b/>
                <w:sz w:val="24"/>
                <w:szCs w:val="24"/>
                <w:u w:val="single"/>
              </w:rPr>
            </w:pPr>
          </w:p>
        </w:tc>
      </w:tr>
      <w:tr w:rsidR="001506C1" w:rsidRPr="00FA3F9C" w14:paraId="73DDE5F1" w14:textId="77777777" w:rsidTr="000871F5">
        <w:tc>
          <w:tcPr>
            <w:tcW w:w="10296" w:type="dxa"/>
            <w:gridSpan w:val="2"/>
            <w:shd w:val="clear" w:color="auto" w:fill="auto"/>
          </w:tcPr>
          <w:p w14:paraId="1A4212F4" w14:textId="77777777" w:rsidR="001506C1" w:rsidRPr="00FA3F9C" w:rsidRDefault="001506C1" w:rsidP="000871F5">
            <w:pPr>
              <w:rPr>
                <w:rFonts w:ascii="Arial" w:hAnsi="Arial" w:cs="Arial"/>
                <w:sz w:val="24"/>
                <w:szCs w:val="24"/>
              </w:rPr>
            </w:pPr>
            <w:r w:rsidRPr="00FA3F9C">
              <w:rPr>
                <w:rFonts w:ascii="Arial" w:hAnsi="Arial" w:cs="Arial"/>
                <w:sz w:val="24"/>
                <w:szCs w:val="24"/>
              </w:rPr>
              <w:t xml:space="preserve">1. The patient must be status post kidney transplant and currently taking mycophenolate </w:t>
            </w:r>
            <w:proofErr w:type="spellStart"/>
            <w:r w:rsidRPr="00FA3F9C">
              <w:rPr>
                <w:rFonts w:ascii="Arial" w:hAnsi="Arial" w:cs="Arial"/>
                <w:sz w:val="24"/>
                <w:szCs w:val="24"/>
              </w:rPr>
              <w:t>mofexit</w:t>
            </w:r>
            <w:proofErr w:type="spellEnd"/>
            <w:r w:rsidRPr="00FA3F9C">
              <w:rPr>
                <w:rFonts w:ascii="Arial" w:hAnsi="Arial" w:cs="Arial"/>
                <w:sz w:val="24"/>
                <w:szCs w:val="24"/>
              </w:rPr>
              <w:t xml:space="preserve"> and corticosteroids.</w:t>
            </w:r>
          </w:p>
        </w:tc>
      </w:tr>
      <w:tr w:rsidR="001506C1" w:rsidRPr="00FA3F9C" w14:paraId="6A0111A8" w14:textId="77777777" w:rsidTr="000871F5">
        <w:tc>
          <w:tcPr>
            <w:tcW w:w="10296" w:type="dxa"/>
            <w:gridSpan w:val="2"/>
            <w:shd w:val="clear" w:color="auto" w:fill="auto"/>
          </w:tcPr>
          <w:p w14:paraId="22CB3D72" w14:textId="77777777" w:rsidR="001506C1" w:rsidRPr="00FA3F9C" w:rsidRDefault="001506C1" w:rsidP="000871F5">
            <w:pPr>
              <w:rPr>
                <w:rFonts w:ascii="Arial" w:hAnsi="Arial" w:cs="Arial"/>
                <w:sz w:val="24"/>
                <w:szCs w:val="24"/>
              </w:rPr>
            </w:pPr>
            <w:r w:rsidRPr="00FA3F9C">
              <w:rPr>
                <w:rFonts w:ascii="Arial" w:hAnsi="Arial" w:cs="Arial"/>
                <w:sz w:val="24"/>
                <w:szCs w:val="24"/>
              </w:rPr>
              <w:t>2. The patient must be known to be seropositive for Epstein-Barr virus.</w:t>
            </w:r>
          </w:p>
        </w:tc>
      </w:tr>
      <w:tr w:rsidR="001506C1" w:rsidRPr="00FA3F9C" w14:paraId="54E32E88" w14:textId="77777777" w:rsidTr="000871F5">
        <w:tc>
          <w:tcPr>
            <w:tcW w:w="10296" w:type="dxa"/>
            <w:gridSpan w:val="2"/>
            <w:shd w:val="clear" w:color="auto" w:fill="auto"/>
          </w:tcPr>
          <w:p w14:paraId="460F52AA" w14:textId="77777777" w:rsidR="001506C1" w:rsidRPr="00FA3F9C" w:rsidRDefault="001506C1" w:rsidP="000871F5">
            <w:pPr>
              <w:rPr>
                <w:rFonts w:ascii="Arial" w:hAnsi="Arial" w:cs="Arial"/>
                <w:sz w:val="24"/>
                <w:szCs w:val="24"/>
              </w:rPr>
            </w:pPr>
            <w:r w:rsidRPr="00FA3F9C">
              <w:rPr>
                <w:rFonts w:ascii="Arial" w:hAnsi="Arial" w:cs="Arial"/>
                <w:sz w:val="24"/>
                <w:szCs w:val="24"/>
              </w:rPr>
              <w:t>If approved, PA is for 1 year.</w:t>
            </w:r>
          </w:p>
        </w:tc>
      </w:tr>
    </w:tbl>
    <w:p w14:paraId="2A7CEB07" w14:textId="77777777" w:rsidR="001506C1" w:rsidRPr="00FA3F9C" w:rsidRDefault="001506C1" w:rsidP="00937F0C">
      <w:pPr>
        <w:rPr>
          <w:rFonts w:ascii="Arial" w:hAnsi="Arial" w:cs="Arial"/>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10296"/>
      </w:tblGrid>
      <w:tr w:rsidR="001506C1" w:rsidRPr="00FA3F9C" w14:paraId="68362569" w14:textId="77777777" w:rsidTr="000871F5">
        <w:tc>
          <w:tcPr>
            <w:tcW w:w="10296" w:type="dxa"/>
            <w:shd w:val="clear" w:color="auto" w:fill="BFBFBF"/>
          </w:tcPr>
          <w:p w14:paraId="15513A4C" w14:textId="77777777" w:rsidR="001506C1" w:rsidRPr="00FA3F9C" w:rsidRDefault="001506C1" w:rsidP="000871F5">
            <w:pPr>
              <w:autoSpaceDE w:val="0"/>
              <w:autoSpaceDN w:val="0"/>
              <w:adjustRightInd w:val="0"/>
              <w:rPr>
                <w:rFonts w:ascii="Arial" w:eastAsia="HelveticaNeueLTStd-Cn" w:hAnsi="Arial" w:cs="Arial"/>
                <w:sz w:val="24"/>
                <w:szCs w:val="24"/>
              </w:rPr>
            </w:pPr>
            <w:r w:rsidRPr="00FA3F9C">
              <w:rPr>
                <w:rFonts w:ascii="Arial" w:hAnsi="Arial" w:cs="Arial"/>
                <w:sz w:val="24"/>
                <w:szCs w:val="24"/>
              </w:rPr>
              <w:t>Note: The dose is 10mg/kg initially dosed on Day 1, on day 5, at the end of week 2, at the end of weeks 4, 8, &amp; 12. Then the dose is changed to a maintenance dose of 5mg/kg at the end of week 16 and every 4 weeks thereafter.</w:t>
            </w:r>
          </w:p>
        </w:tc>
      </w:tr>
    </w:tbl>
    <w:p w14:paraId="00462901" w14:textId="77777777" w:rsidR="001506C1" w:rsidRPr="00FA3F9C" w:rsidRDefault="001506C1" w:rsidP="00937F0C">
      <w:pPr>
        <w:rPr>
          <w:rFonts w:ascii="Arial" w:hAnsi="Arial" w:cs="Arial"/>
          <w:sz w:val="24"/>
          <w:szCs w:val="24"/>
        </w:rPr>
      </w:pPr>
    </w:p>
    <w:p w14:paraId="1E9FC882" w14:textId="77777777" w:rsidR="001506C1" w:rsidRPr="00FA3F9C" w:rsidRDefault="001506C1" w:rsidP="00937F0C">
      <w:pPr>
        <w:rPr>
          <w:rFonts w:ascii="Arial" w:hAnsi="Arial" w:cs="Arial"/>
          <w:sz w:val="24"/>
          <w:szCs w:val="24"/>
        </w:rPr>
      </w:pPr>
      <w:r w:rsidRPr="00FA3F9C">
        <w:rPr>
          <w:rFonts w:ascii="Arial" w:hAnsi="Arial" w:cs="Arial"/>
          <w:sz w:val="24"/>
          <w:szCs w:val="24"/>
        </w:rPr>
        <w:t>References:</w:t>
      </w:r>
    </w:p>
    <w:p w14:paraId="72DBDF18" w14:textId="77777777" w:rsidR="001506C1" w:rsidRPr="00FA3F9C" w:rsidRDefault="001506C1" w:rsidP="00937F0C">
      <w:pPr>
        <w:rPr>
          <w:rFonts w:ascii="Arial" w:hAnsi="Arial" w:cs="Arial"/>
          <w:sz w:val="24"/>
          <w:szCs w:val="24"/>
        </w:rPr>
      </w:pPr>
      <w:r w:rsidRPr="00FA3F9C">
        <w:rPr>
          <w:rFonts w:ascii="Arial" w:hAnsi="Arial" w:cs="Arial"/>
          <w:sz w:val="24"/>
          <w:szCs w:val="24"/>
        </w:rPr>
        <w:t xml:space="preserve">1.  </w:t>
      </w:r>
      <w:proofErr w:type="spellStart"/>
      <w:r w:rsidRPr="00FA3F9C">
        <w:rPr>
          <w:rFonts w:ascii="Arial" w:hAnsi="Arial" w:cs="Arial"/>
          <w:sz w:val="24"/>
          <w:szCs w:val="24"/>
        </w:rPr>
        <w:t>Nulojix</w:t>
      </w:r>
      <w:proofErr w:type="spellEnd"/>
      <w:r w:rsidRPr="00FA3F9C">
        <w:rPr>
          <w:rFonts w:ascii="Arial" w:hAnsi="Arial" w:cs="Arial"/>
          <w:sz w:val="24"/>
          <w:szCs w:val="24"/>
        </w:rPr>
        <w:t xml:space="preserve"> website.  </w:t>
      </w:r>
      <w:hyperlink r:id="rId47" w:history="1">
        <w:r w:rsidRPr="00FA3F9C">
          <w:rPr>
            <w:rStyle w:val="Hyperlink"/>
            <w:rFonts w:ascii="Arial" w:hAnsi="Arial" w:cs="Arial"/>
            <w:sz w:val="24"/>
            <w:szCs w:val="24"/>
          </w:rPr>
          <w:t>http://packageinserts.bms.com/pi/pi_nulojix.pdf</w:t>
        </w:r>
      </w:hyperlink>
      <w:r w:rsidRPr="00FA3F9C">
        <w:rPr>
          <w:rFonts w:ascii="Arial" w:hAnsi="Arial" w:cs="Arial"/>
          <w:sz w:val="24"/>
          <w:szCs w:val="24"/>
        </w:rPr>
        <w:t xml:space="preserve">  Accessed 8/3/11.</w:t>
      </w:r>
    </w:p>
    <w:p w14:paraId="780A88F6" w14:textId="77777777" w:rsidR="001506C1" w:rsidRPr="00FA3F9C" w:rsidRDefault="001506C1" w:rsidP="00937F0C">
      <w:pPr>
        <w:ind w:left="180" w:hanging="180"/>
        <w:rPr>
          <w:rFonts w:ascii="Arial" w:hAnsi="Arial" w:cs="Arial"/>
          <w:sz w:val="24"/>
          <w:szCs w:val="24"/>
        </w:rPr>
      </w:pPr>
      <w:r w:rsidRPr="00FA3F9C">
        <w:rPr>
          <w:rFonts w:ascii="Arial" w:hAnsi="Arial" w:cs="Arial"/>
          <w:sz w:val="24"/>
          <w:szCs w:val="24"/>
        </w:rPr>
        <w:t xml:space="preserve">2.  </w:t>
      </w:r>
      <w:proofErr w:type="spellStart"/>
      <w:r w:rsidRPr="00FA3F9C">
        <w:rPr>
          <w:rFonts w:ascii="Arial" w:hAnsi="Arial" w:cs="Arial"/>
          <w:sz w:val="24"/>
          <w:szCs w:val="24"/>
        </w:rPr>
        <w:t>Vincenti</w:t>
      </w:r>
      <w:proofErr w:type="spellEnd"/>
      <w:r w:rsidRPr="00FA3F9C">
        <w:rPr>
          <w:rFonts w:ascii="Arial" w:hAnsi="Arial" w:cs="Arial"/>
          <w:sz w:val="24"/>
          <w:szCs w:val="24"/>
        </w:rPr>
        <w:t xml:space="preserve"> F, </w:t>
      </w:r>
      <w:proofErr w:type="spellStart"/>
      <w:r w:rsidRPr="00FA3F9C">
        <w:rPr>
          <w:rFonts w:ascii="Arial" w:hAnsi="Arial" w:cs="Arial"/>
          <w:sz w:val="24"/>
          <w:szCs w:val="24"/>
        </w:rPr>
        <w:t>Blancho</w:t>
      </w:r>
      <w:proofErr w:type="spellEnd"/>
      <w:r w:rsidRPr="00FA3F9C">
        <w:rPr>
          <w:rFonts w:ascii="Arial" w:hAnsi="Arial" w:cs="Arial"/>
          <w:sz w:val="24"/>
          <w:szCs w:val="24"/>
        </w:rPr>
        <w:t xml:space="preserve"> G, </w:t>
      </w:r>
      <w:proofErr w:type="spellStart"/>
      <w:r w:rsidRPr="00FA3F9C">
        <w:rPr>
          <w:rFonts w:ascii="Arial" w:hAnsi="Arial" w:cs="Arial"/>
          <w:sz w:val="24"/>
          <w:szCs w:val="24"/>
        </w:rPr>
        <w:t>Durrbach</w:t>
      </w:r>
      <w:proofErr w:type="spellEnd"/>
      <w:r w:rsidRPr="00FA3F9C">
        <w:rPr>
          <w:rFonts w:ascii="Arial" w:hAnsi="Arial" w:cs="Arial"/>
          <w:sz w:val="24"/>
          <w:szCs w:val="24"/>
        </w:rPr>
        <w:t xml:space="preserve"> A, Friend P, et al.  </w:t>
      </w:r>
      <w:proofErr w:type="gramStart"/>
      <w:r w:rsidRPr="00FA3F9C">
        <w:rPr>
          <w:rFonts w:ascii="Arial" w:hAnsi="Arial" w:cs="Arial"/>
          <w:sz w:val="24"/>
          <w:szCs w:val="24"/>
        </w:rPr>
        <w:t>Five year</w:t>
      </w:r>
      <w:proofErr w:type="gramEnd"/>
      <w:r w:rsidRPr="00FA3F9C">
        <w:rPr>
          <w:rFonts w:ascii="Arial" w:hAnsi="Arial" w:cs="Arial"/>
          <w:sz w:val="24"/>
          <w:szCs w:val="24"/>
        </w:rPr>
        <w:t xml:space="preserve"> safety and efficacy of </w:t>
      </w:r>
      <w:proofErr w:type="spellStart"/>
      <w:r w:rsidRPr="00FA3F9C">
        <w:rPr>
          <w:rFonts w:ascii="Arial" w:hAnsi="Arial" w:cs="Arial"/>
          <w:sz w:val="24"/>
          <w:szCs w:val="24"/>
        </w:rPr>
        <w:t>belatacept</w:t>
      </w:r>
      <w:proofErr w:type="spellEnd"/>
      <w:r w:rsidRPr="00FA3F9C">
        <w:rPr>
          <w:rFonts w:ascii="Arial" w:hAnsi="Arial" w:cs="Arial"/>
          <w:sz w:val="24"/>
          <w:szCs w:val="24"/>
        </w:rPr>
        <w:t xml:space="preserve"> in renal transplantation.  J Am Soc Nephrol. 2010. 21:1587-96.</w:t>
      </w:r>
    </w:p>
    <w:p w14:paraId="47353F47" w14:textId="77777777" w:rsidR="001506C1" w:rsidRPr="00FA3F9C" w:rsidRDefault="001506C1" w:rsidP="00937F0C">
      <w:pPr>
        <w:rPr>
          <w:rFonts w:ascii="Arial" w:hAnsi="Arial" w:cs="Arial"/>
          <w:sz w:val="24"/>
          <w:szCs w:val="24"/>
        </w:rPr>
      </w:pPr>
      <w:r w:rsidRPr="00FA3F9C">
        <w:rPr>
          <w:rFonts w:ascii="Arial" w:hAnsi="Arial" w:cs="Arial"/>
          <w:color w:val="222222"/>
          <w:sz w:val="24"/>
          <w:szCs w:val="24"/>
          <w:shd w:val="clear" w:color="auto" w:fill="F8F8F8"/>
        </w:rPr>
        <w:t>3. Neuberger, James M., et al. "Practical recommendations for long-term management of modifiable risks in kidney and liver transplant recipients: a guidance report and clinical checklist by the Consensus on Managing Modifiable Risk in Transplantation (COMMIT) Group." </w:t>
      </w:r>
      <w:r w:rsidRPr="00FA3F9C">
        <w:rPr>
          <w:rFonts w:ascii="Arial" w:hAnsi="Arial" w:cs="Arial"/>
          <w:i/>
          <w:iCs/>
          <w:color w:val="222222"/>
          <w:sz w:val="24"/>
          <w:szCs w:val="24"/>
          <w:shd w:val="clear" w:color="auto" w:fill="F8F8F8"/>
        </w:rPr>
        <w:t>Transplantation</w:t>
      </w:r>
      <w:r w:rsidRPr="00FA3F9C">
        <w:rPr>
          <w:rFonts w:ascii="Arial" w:hAnsi="Arial" w:cs="Arial"/>
          <w:color w:val="222222"/>
          <w:sz w:val="24"/>
          <w:szCs w:val="24"/>
          <w:shd w:val="clear" w:color="auto" w:fill="F8F8F8"/>
        </w:rPr>
        <w:t> 101.4S (2017): S1-S56.</w:t>
      </w:r>
    </w:p>
    <w:p w14:paraId="60C94EA6" w14:textId="77777777" w:rsidR="001506C1" w:rsidRPr="00FA3F9C" w:rsidRDefault="001506C1" w:rsidP="00937F0C">
      <w:pPr>
        <w:ind w:left="180" w:hanging="180"/>
        <w:rPr>
          <w:rFonts w:ascii="Arial" w:hAnsi="Arial" w:cs="Arial"/>
          <w:sz w:val="24"/>
          <w:szCs w:val="24"/>
        </w:rPr>
      </w:pPr>
    </w:p>
    <w:p w14:paraId="25DB1790" w14:textId="77777777" w:rsidR="001506C1" w:rsidRPr="00FA3F9C" w:rsidRDefault="001506C1" w:rsidP="00937F0C">
      <w:pPr>
        <w:rPr>
          <w:rFonts w:ascii="Arial" w:hAnsi="Arial" w:cs="Arial"/>
          <w:sz w:val="24"/>
          <w:szCs w:val="24"/>
        </w:rPr>
      </w:pPr>
    </w:p>
    <w:p w14:paraId="6123C04F" w14:textId="77777777" w:rsidR="001506C1" w:rsidRPr="00FA3F9C" w:rsidRDefault="001506C1" w:rsidP="00937F0C">
      <w:pPr>
        <w:ind w:left="180" w:hanging="180"/>
        <w:rPr>
          <w:rFonts w:ascii="Arial" w:hAnsi="Arial" w:cs="Arial"/>
          <w:sz w:val="24"/>
          <w:szCs w:val="24"/>
        </w:rPr>
      </w:pPr>
      <w:r w:rsidRPr="00FA3F9C">
        <w:rPr>
          <w:rFonts w:ascii="Arial" w:hAnsi="Arial" w:cs="Arial"/>
          <w:sz w:val="24"/>
          <w:szCs w:val="24"/>
        </w:rPr>
        <w:t>Revision History</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5560"/>
        <w:gridCol w:w="3326"/>
      </w:tblGrid>
      <w:tr w:rsidR="001506C1" w:rsidRPr="00FA3F9C" w14:paraId="26B6F2FF" w14:textId="77777777" w:rsidTr="00483117">
        <w:tc>
          <w:tcPr>
            <w:tcW w:w="1230" w:type="dxa"/>
          </w:tcPr>
          <w:p w14:paraId="33957E1A" w14:textId="77777777" w:rsidR="001506C1" w:rsidRPr="00FA3F9C" w:rsidRDefault="001506C1" w:rsidP="000871F5">
            <w:pPr>
              <w:rPr>
                <w:rFonts w:ascii="Arial" w:hAnsi="Arial" w:cs="Arial"/>
                <w:sz w:val="24"/>
                <w:szCs w:val="24"/>
              </w:rPr>
            </w:pPr>
            <w:r w:rsidRPr="00FA3F9C">
              <w:rPr>
                <w:rFonts w:ascii="Arial" w:hAnsi="Arial" w:cs="Arial"/>
                <w:sz w:val="24"/>
                <w:szCs w:val="24"/>
              </w:rPr>
              <w:lastRenderedPageBreak/>
              <w:t>Date</w:t>
            </w:r>
          </w:p>
        </w:tc>
        <w:tc>
          <w:tcPr>
            <w:tcW w:w="5560" w:type="dxa"/>
          </w:tcPr>
          <w:p w14:paraId="09137866" w14:textId="77777777" w:rsidR="001506C1" w:rsidRPr="00FA3F9C" w:rsidRDefault="001506C1" w:rsidP="000871F5">
            <w:pPr>
              <w:rPr>
                <w:rFonts w:ascii="Arial" w:hAnsi="Arial" w:cs="Arial"/>
                <w:sz w:val="24"/>
                <w:szCs w:val="24"/>
              </w:rPr>
            </w:pPr>
            <w:r w:rsidRPr="00FA3F9C">
              <w:rPr>
                <w:rFonts w:ascii="Arial" w:hAnsi="Arial" w:cs="Arial"/>
                <w:sz w:val="24"/>
                <w:szCs w:val="24"/>
              </w:rPr>
              <w:t>What changed</w:t>
            </w:r>
          </w:p>
        </w:tc>
        <w:tc>
          <w:tcPr>
            <w:tcW w:w="3326" w:type="dxa"/>
          </w:tcPr>
          <w:p w14:paraId="4AFEA96F" w14:textId="77777777" w:rsidR="001506C1" w:rsidRPr="00FA3F9C" w:rsidRDefault="001506C1" w:rsidP="000871F5">
            <w:pPr>
              <w:rPr>
                <w:rFonts w:ascii="Arial" w:hAnsi="Arial" w:cs="Arial"/>
                <w:sz w:val="24"/>
                <w:szCs w:val="24"/>
              </w:rPr>
            </w:pPr>
            <w:r w:rsidRPr="00FA3F9C">
              <w:rPr>
                <w:rFonts w:ascii="Arial" w:hAnsi="Arial" w:cs="Arial"/>
                <w:sz w:val="24"/>
                <w:szCs w:val="24"/>
              </w:rPr>
              <w:t>PharmD’s initials</w:t>
            </w:r>
          </w:p>
        </w:tc>
      </w:tr>
      <w:tr w:rsidR="001506C1" w:rsidRPr="00FA3F9C" w14:paraId="240241CF" w14:textId="77777777" w:rsidTr="00483117">
        <w:tc>
          <w:tcPr>
            <w:tcW w:w="1230" w:type="dxa"/>
          </w:tcPr>
          <w:p w14:paraId="5394FB26" w14:textId="77777777" w:rsidR="001506C1" w:rsidRPr="00FA3F9C" w:rsidRDefault="001506C1" w:rsidP="00483117">
            <w:pPr>
              <w:rPr>
                <w:rFonts w:ascii="Arial" w:hAnsi="Arial" w:cs="Arial"/>
                <w:sz w:val="24"/>
                <w:szCs w:val="24"/>
              </w:rPr>
            </w:pPr>
            <w:r w:rsidRPr="00FA3F9C">
              <w:rPr>
                <w:rFonts w:ascii="Arial" w:hAnsi="Arial" w:cs="Arial"/>
                <w:sz w:val="24"/>
                <w:szCs w:val="24"/>
              </w:rPr>
              <w:t>10/11/11</w:t>
            </w:r>
          </w:p>
        </w:tc>
        <w:tc>
          <w:tcPr>
            <w:tcW w:w="5560" w:type="dxa"/>
          </w:tcPr>
          <w:p w14:paraId="1573CAD5" w14:textId="77777777" w:rsidR="001506C1" w:rsidRPr="00FA3F9C" w:rsidRDefault="001506C1" w:rsidP="00483117">
            <w:pPr>
              <w:rPr>
                <w:rFonts w:ascii="Arial" w:hAnsi="Arial" w:cs="Arial"/>
                <w:sz w:val="24"/>
                <w:szCs w:val="24"/>
              </w:rPr>
            </w:pPr>
            <w:r w:rsidRPr="00FA3F9C">
              <w:rPr>
                <w:rFonts w:ascii="Arial" w:hAnsi="Arial" w:cs="Arial"/>
                <w:sz w:val="24"/>
                <w:szCs w:val="24"/>
              </w:rPr>
              <w:t>JJ created criteria</w:t>
            </w:r>
          </w:p>
        </w:tc>
        <w:tc>
          <w:tcPr>
            <w:tcW w:w="3326" w:type="dxa"/>
          </w:tcPr>
          <w:p w14:paraId="163901AF" w14:textId="77777777" w:rsidR="001506C1" w:rsidRPr="00FA3F9C" w:rsidRDefault="001506C1" w:rsidP="00483117">
            <w:pPr>
              <w:rPr>
                <w:rFonts w:ascii="Arial" w:hAnsi="Arial" w:cs="Arial"/>
                <w:sz w:val="24"/>
                <w:szCs w:val="24"/>
              </w:rPr>
            </w:pPr>
            <w:r w:rsidRPr="00FA3F9C">
              <w:rPr>
                <w:rFonts w:ascii="Arial" w:hAnsi="Arial" w:cs="Arial"/>
                <w:sz w:val="24"/>
                <w:szCs w:val="24"/>
              </w:rPr>
              <w:t>JJ</w:t>
            </w:r>
          </w:p>
        </w:tc>
      </w:tr>
      <w:tr w:rsidR="001506C1" w:rsidRPr="00FA3F9C" w14:paraId="190173B9" w14:textId="77777777" w:rsidTr="00483117">
        <w:tc>
          <w:tcPr>
            <w:tcW w:w="1230" w:type="dxa"/>
          </w:tcPr>
          <w:p w14:paraId="05A374A0" w14:textId="77777777" w:rsidR="001506C1" w:rsidRPr="00FA3F9C" w:rsidRDefault="001506C1" w:rsidP="00483117">
            <w:pPr>
              <w:rPr>
                <w:rFonts w:ascii="Arial" w:hAnsi="Arial" w:cs="Arial"/>
                <w:sz w:val="24"/>
                <w:szCs w:val="24"/>
              </w:rPr>
            </w:pPr>
            <w:r w:rsidRPr="00FA3F9C">
              <w:rPr>
                <w:rFonts w:ascii="Arial" w:hAnsi="Arial" w:cs="Arial"/>
                <w:sz w:val="24"/>
                <w:szCs w:val="24"/>
              </w:rPr>
              <w:t>5/8/12</w:t>
            </w:r>
          </w:p>
        </w:tc>
        <w:tc>
          <w:tcPr>
            <w:tcW w:w="5560" w:type="dxa"/>
          </w:tcPr>
          <w:p w14:paraId="6ABDCA1B" w14:textId="77777777" w:rsidR="001506C1" w:rsidRPr="00FA3F9C" w:rsidRDefault="001506C1" w:rsidP="00483117">
            <w:pPr>
              <w:rPr>
                <w:rFonts w:ascii="Arial" w:hAnsi="Arial" w:cs="Arial"/>
                <w:sz w:val="24"/>
                <w:szCs w:val="24"/>
              </w:rPr>
            </w:pPr>
            <w:r w:rsidRPr="00FA3F9C">
              <w:rPr>
                <w:rFonts w:ascii="Arial" w:hAnsi="Arial" w:cs="Arial"/>
                <w:sz w:val="24"/>
                <w:szCs w:val="24"/>
              </w:rPr>
              <w:t>JJ created revision history box</w:t>
            </w:r>
          </w:p>
        </w:tc>
        <w:tc>
          <w:tcPr>
            <w:tcW w:w="3326" w:type="dxa"/>
          </w:tcPr>
          <w:p w14:paraId="0DFF5F8E" w14:textId="77777777" w:rsidR="001506C1" w:rsidRPr="00FA3F9C" w:rsidRDefault="001506C1" w:rsidP="00483117">
            <w:pPr>
              <w:rPr>
                <w:rFonts w:ascii="Arial" w:hAnsi="Arial" w:cs="Arial"/>
                <w:sz w:val="24"/>
                <w:szCs w:val="24"/>
              </w:rPr>
            </w:pPr>
            <w:r w:rsidRPr="00FA3F9C">
              <w:rPr>
                <w:rFonts w:ascii="Arial" w:hAnsi="Arial" w:cs="Arial"/>
                <w:sz w:val="24"/>
                <w:szCs w:val="24"/>
              </w:rPr>
              <w:t>JJ</w:t>
            </w:r>
          </w:p>
        </w:tc>
      </w:tr>
      <w:tr w:rsidR="001506C1" w:rsidRPr="00FA3F9C" w14:paraId="5B9090FD" w14:textId="77777777" w:rsidTr="00483117">
        <w:tc>
          <w:tcPr>
            <w:tcW w:w="1230" w:type="dxa"/>
          </w:tcPr>
          <w:p w14:paraId="67C14F54" w14:textId="77777777" w:rsidR="001506C1" w:rsidRPr="00FA3F9C" w:rsidRDefault="001506C1" w:rsidP="00483117">
            <w:pPr>
              <w:rPr>
                <w:rFonts w:ascii="Arial" w:hAnsi="Arial" w:cs="Arial"/>
                <w:sz w:val="24"/>
                <w:szCs w:val="24"/>
              </w:rPr>
            </w:pPr>
            <w:r w:rsidRPr="00FA3F9C">
              <w:rPr>
                <w:rFonts w:ascii="Arial" w:hAnsi="Arial" w:cs="Arial"/>
                <w:sz w:val="24"/>
                <w:szCs w:val="24"/>
              </w:rPr>
              <w:t>9/24/19</w:t>
            </w:r>
          </w:p>
        </w:tc>
        <w:tc>
          <w:tcPr>
            <w:tcW w:w="5560" w:type="dxa"/>
          </w:tcPr>
          <w:p w14:paraId="7E0D4285" w14:textId="77777777" w:rsidR="001506C1" w:rsidRPr="00FA3F9C" w:rsidRDefault="001506C1" w:rsidP="00483117">
            <w:pPr>
              <w:rPr>
                <w:rFonts w:ascii="Arial" w:hAnsi="Arial" w:cs="Arial"/>
                <w:sz w:val="24"/>
                <w:szCs w:val="24"/>
              </w:rPr>
            </w:pPr>
            <w:r w:rsidRPr="00FA3F9C">
              <w:rPr>
                <w:rFonts w:ascii="Arial" w:hAnsi="Arial" w:cs="Arial"/>
                <w:sz w:val="24"/>
                <w:szCs w:val="24"/>
              </w:rPr>
              <w:t>I updated the criteria, formatted, added reference 3.</w:t>
            </w:r>
          </w:p>
        </w:tc>
        <w:tc>
          <w:tcPr>
            <w:tcW w:w="3326" w:type="dxa"/>
          </w:tcPr>
          <w:p w14:paraId="5DBDF5EE" w14:textId="77777777" w:rsidR="001506C1" w:rsidRPr="00FA3F9C" w:rsidRDefault="001506C1" w:rsidP="00483117">
            <w:pPr>
              <w:rPr>
                <w:rFonts w:ascii="Arial" w:hAnsi="Arial" w:cs="Arial"/>
                <w:sz w:val="24"/>
                <w:szCs w:val="24"/>
              </w:rPr>
            </w:pPr>
            <w:r w:rsidRPr="00FA3F9C">
              <w:rPr>
                <w:rFonts w:ascii="Arial" w:hAnsi="Arial" w:cs="Arial"/>
                <w:sz w:val="24"/>
                <w:szCs w:val="24"/>
              </w:rPr>
              <w:t>JJ</w:t>
            </w:r>
          </w:p>
        </w:tc>
      </w:tr>
      <w:tr w:rsidR="001506C1" w:rsidRPr="00FA3F9C" w14:paraId="19165B21" w14:textId="77777777" w:rsidTr="00483117">
        <w:tc>
          <w:tcPr>
            <w:tcW w:w="1230" w:type="dxa"/>
          </w:tcPr>
          <w:p w14:paraId="54171878" w14:textId="77777777" w:rsidR="001506C1" w:rsidRPr="00FA3F9C" w:rsidRDefault="001506C1" w:rsidP="00483117">
            <w:pPr>
              <w:rPr>
                <w:rFonts w:ascii="Arial" w:hAnsi="Arial" w:cs="Arial"/>
                <w:sz w:val="24"/>
                <w:szCs w:val="24"/>
              </w:rPr>
            </w:pPr>
            <w:r w:rsidRPr="00FA3F9C">
              <w:rPr>
                <w:rFonts w:ascii="Arial" w:hAnsi="Arial" w:cs="Arial"/>
                <w:sz w:val="24"/>
                <w:szCs w:val="24"/>
              </w:rPr>
              <w:t>07/16/2020</w:t>
            </w:r>
          </w:p>
        </w:tc>
        <w:tc>
          <w:tcPr>
            <w:tcW w:w="5560" w:type="dxa"/>
          </w:tcPr>
          <w:p w14:paraId="15129647" w14:textId="77777777" w:rsidR="001506C1" w:rsidRPr="00FA3F9C" w:rsidRDefault="001506C1" w:rsidP="00483117">
            <w:pPr>
              <w:rPr>
                <w:rFonts w:ascii="Arial" w:hAnsi="Arial" w:cs="Arial"/>
                <w:sz w:val="24"/>
                <w:szCs w:val="24"/>
              </w:rPr>
            </w:pPr>
            <w:r w:rsidRPr="00FA3F9C">
              <w:rPr>
                <w:rFonts w:ascii="Arial" w:hAnsi="Arial" w:cs="Arial"/>
                <w:sz w:val="24"/>
                <w:szCs w:val="24"/>
              </w:rPr>
              <w:t>Reviewed.  No changes</w:t>
            </w:r>
          </w:p>
        </w:tc>
        <w:tc>
          <w:tcPr>
            <w:tcW w:w="3326" w:type="dxa"/>
          </w:tcPr>
          <w:p w14:paraId="051BDDBD" w14:textId="77777777" w:rsidR="001506C1" w:rsidRPr="00FA3F9C" w:rsidRDefault="001506C1" w:rsidP="00483117">
            <w:pPr>
              <w:rPr>
                <w:rFonts w:ascii="Arial" w:hAnsi="Arial" w:cs="Arial"/>
                <w:sz w:val="24"/>
                <w:szCs w:val="24"/>
              </w:rPr>
            </w:pPr>
            <w:r w:rsidRPr="00FA3F9C">
              <w:rPr>
                <w:rFonts w:ascii="Arial" w:hAnsi="Arial" w:cs="Arial"/>
                <w:sz w:val="24"/>
                <w:szCs w:val="24"/>
              </w:rPr>
              <w:t>JJ</w:t>
            </w:r>
          </w:p>
        </w:tc>
      </w:tr>
      <w:tr w:rsidR="001506C1" w:rsidRPr="00FA3F9C" w14:paraId="77C89A4F" w14:textId="77777777" w:rsidTr="00483117">
        <w:tc>
          <w:tcPr>
            <w:tcW w:w="1230" w:type="dxa"/>
          </w:tcPr>
          <w:p w14:paraId="09B2AEB3" w14:textId="77777777" w:rsidR="001506C1" w:rsidRPr="00FA3F9C" w:rsidRDefault="001506C1" w:rsidP="00483117">
            <w:pPr>
              <w:rPr>
                <w:rFonts w:ascii="Arial" w:hAnsi="Arial" w:cs="Arial"/>
                <w:sz w:val="24"/>
                <w:szCs w:val="24"/>
              </w:rPr>
            </w:pPr>
            <w:r w:rsidRPr="00FA3F9C">
              <w:rPr>
                <w:rFonts w:ascii="Arial" w:hAnsi="Arial" w:cs="Arial"/>
                <w:sz w:val="24"/>
                <w:szCs w:val="24"/>
              </w:rPr>
              <w:t>4/2/21</w:t>
            </w:r>
          </w:p>
        </w:tc>
        <w:tc>
          <w:tcPr>
            <w:tcW w:w="5560" w:type="dxa"/>
          </w:tcPr>
          <w:p w14:paraId="26E4B4DD" w14:textId="77777777" w:rsidR="001506C1" w:rsidRPr="00FA3F9C" w:rsidRDefault="001506C1" w:rsidP="00483117">
            <w:pPr>
              <w:rPr>
                <w:rFonts w:ascii="Arial" w:hAnsi="Arial" w:cs="Arial"/>
                <w:sz w:val="24"/>
                <w:szCs w:val="24"/>
              </w:rPr>
            </w:pPr>
            <w:r w:rsidRPr="00FA3F9C">
              <w:rPr>
                <w:rFonts w:ascii="Arial" w:hAnsi="Arial" w:cs="Arial"/>
                <w:sz w:val="24"/>
                <w:szCs w:val="24"/>
              </w:rPr>
              <w:t>Applied EBRx criteria to UAS Plan.</w:t>
            </w:r>
          </w:p>
        </w:tc>
        <w:tc>
          <w:tcPr>
            <w:tcW w:w="3326" w:type="dxa"/>
          </w:tcPr>
          <w:p w14:paraId="2EFB3FBA" w14:textId="77777777" w:rsidR="001506C1" w:rsidRPr="00FA3F9C" w:rsidRDefault="001506C1" w:rsidP="00483117">
            <w:pPr>
              <w:rPr>
                <w:rFonts w:ascii="Arial" w:hAnsi="Arial" w:cs="Arial"/>
                <w:sz w:val="24"/>
                <w:szCs w:val="24"/>
              </w:rPr>
            </w:pPr>
            <w:r w:rsidRPr="00FA3F9C">
              <w:rPr>
                <w:rFonts w:ascii="Arial" w:hAnsi="Arial" w:cs="Arial"/>
                <w:sz w:val="24"/>
                <w:szCs w:val="24"/>
              </w:rPr>
              <w:t>JJ</w:t>
            </w:r>
          </w:p>
        </w:tc>
      </w:tr>
    </w:tbl>
    <w:p w14:paraId="65D4BD6F" w14:textId="77777777" w:rsidR="001506C1" w:rsidRPr="00FA3F9C" w:rsidRDefault="001506C1" w:rsidP="00937F0C">
      <w:pPr>
        <w:ind w:left="180" w:hanging="180"/>
        <w:rPr>
          <w:rFonts w:ascii="Arial" w:hAnsi="Arial" w:cs="Arial"/>
          <w:sz w:val="24"/>
          <w:szCs w:val="24"/>
        </w:rPr>
      </w:pPr>
    </w:p>
    <w:p w14:paraId="2D744B87" w14:textId="77777777" w:rsidR="001506C1" w:rsidRPr="00FA3F9C" w:rsidRDefault="001506C1" w:rsidP="002A23A6">
      <w:pPr>
        <w:jc w:val="center"/>
        <w:rPr>
          <w:rFonts w:ascii="Arial" w:hAnsi="Arial" w:cs="Arial"/>
          <w:b/>
          <w:sz w:val="24"/>
          <w:szCs w:val="24"/>
          <w:lang w:val="es-ES"/>
        </w:rPr>
      </w:pPr>
    </w:p>
    <w:p w14:paraId="61824BB7" w14:textId="77777777" w:rsidR="001506C1" w:rsidRPr="00FA3F9C" w:rsidRDefault="001506C1" w:rsidP="00C439A4">
      <w:pPr>
        <w:ind w:left="180" w:hanging="180"/>
        <w:rPr>
          <w:rFonts w:ascii="Arial" w:hAnsi="Arial" w:cs="Arial"/>
          <w:sz w:val="24"/>
          <w:szCs w:val="24"/>
        </w:rPr>
      </w:pPr>
    </w:p>
    <w:p w14:paraId="5E9F84DE" w14:textId="77777777" w:rsidR="001506C1" w:rsidRPr="00FA3F9C" w:rsidRDefault="001506C1" w:rsidP="00BD761B">
      <w:pPr>
        <w:jc w:val="right"/>
        <w:rPr>
          <w:rFonts w:ascii="Arial" w:hAnsi="Arial" w:cs="Arial"/>
          <w:sz w:val="24"/>
          <w:szCs w:val="24"/>
        </w:rPr>
      </w:pPr>
    </w:p>
    <w:p w14:paraId="28B92D3D" w14:textId="77777777" w:rsidR="001506C1" w:rsidRPr="00FA3F9C" w:rsidRDefault="001506C1" w:rsidP="00BD761B">
      <w:pPr>
        <w:jc w:val="right"/>
        <w:rPr>
          <w:rFonts w:ascii="Arial" w:hAnsi="Arial" w:cs="Arial"/>
          <w:sz w:val="24"/>
          <w:szCs w:val="24"/>
        </w:rPr>
      </w:pPr>
    </w:p>
    <w:p w14:paraId="630948E9" w14:textId="77777777" w:rsidR="001506C1" w:rsidRPr="00FA3F9C" w:rsidRDefault="001506C1" w:rsidP="00BD761B">
      <w:pPr>
        <w:jc w:val="right"/>
        <w:rPr>
          <w:rFonts w:ascii="Arial" w:hAnsi="Arial" w:cs="Arial"/>
          <w:sz w:val="24"/>
          <w:szCs w:val="24"/>
        </w:rPr>
      </w:pPr>
    </w:p>
    <w:p w14:paraId="763F04FB" w14:textId="77777777" w:rsidR="001506C1" w:rsidRPr="00FA3F9C" w:rsidRDefault="001506C1" w:rsidP="00BD761B">
      <w:pPr>
        <w:jc w:val="right"/>
        <w:rPr>
          <w:rFonts w:ascii="Arial" w:hAnsi="Arial" w:cs="Arial"/>
          <w:sz w:val="24"/>
          <w:szCs w:val="24"/>
        </w:rPr>
      </w:pPr>
    </w:p>
    <w:p w14:paraId="6AAF186D" w14:textId="77777777" w:rsidR="001506C1" w:rsidRPr="00FA3F9C" w:rsidRDefault="001506C1" w:rsidP="00BD761B">
      <w:pPr>
        <w:jc w:val="right"/>
        <w:rPr>
          <w:rFonts w:ascii="Arial" w:hAnsi="Arial" w:cs="Arial"/>
          <w:sz w:val="24"/>
          <w:szCs w:val="24"/>
        </w:rPr>
      </w:pPr>
    </w:p>
    <w:p w14:paraId="5A49088E" w14:textId="77777777" w:rsidR="001506C1" w:rsidRPr="00FA3F9C" w:rsidRDefault="001506C1" w:rsidP="00BD761B">
      <w:pPr>
        <w:jc w:val="right"/>
        <w:rPr>
          <w:rFonts w:ascii="Arial" w:hAnsi="Arial" w:cs="Arial"/>
          <w:sz w:val="24"/>
          <w:szCs w:val="24"/>
        </w:rPr>
      </w:pPr>
    </w:p>
    <w:p w14:paraId="3EDA0C33" w14:textId="77777777" w:rsidR="001506C1" w:rsidRPr="00FA3F9C" w:rsidRDefault="001506C1" w:rsidP="00BD761B">
      <w:pPr>
        <w:jc w:val="right"/>
        <w:rPr>
          <w:rFonts w:ascii="Arial" w:hAnsi="Arial" w:cs="Arial"/>
          <w:sz w:val="24"/>
          <w:szCs w:val="24"/>
        </w:rPr>
      </w:pPr>
    </w:p>
    <w:p w14:paraId="4E12C77C" w14:textId="77777777" w:rsidR="001506C1" w:rsidRPr="00FA3F9C" w:rsidRDefault="001506C1" w:rsidP="00BD761B">
      <w:pPr>
        <w:jc w:val="right"/>
        <w:rPr>
          <w:rFonts w:ascii="Arial" w:hAnsi="Arial" w:cs="Arial"/>
          <w:sz w:val="24"/>
          <w:szCs w:val="24"/>
        </w:rPr>
      </w:pPr>
    </w:p>
    <w:p w14:paraId="417BBA69" w14:textId="77777777" w:rsidR="001506C1" w:rsidRPr="00FA3F9C" w:rsidRDefault="001506C1" w:rsidP="00BD761B">
      <w:pPr>
        <w:jc w:val="right"/>
        <w:rPr>
          <w:rFonts w:ascii="Arial" w:hAnsi="Arial" w:cs="Arial"/>
          <w:sz w:val="24"/>
          <w:szCs w:val="24"/>
        </w:rPr>
      </w:pPr>
    </w:p>
    <w:p w14:paraId="42AB2A3B" w14:textId="77777777" w:rsidR="001506C1" w:rsidRPr="00FA3F9C" w:rsidRDefault="001506C1" w:rsidP="00BD761B">
      <w:pPr>
        <w:jc w:val="right"/>
        <w:rPr>
          <w:rFonts w:ascii="Arial" w:hAnsi="Arial" w:cs="Arial"/>
          <w:sz w:val="24"/>
          <w:szCs w:val="24"/>
        </w:rPr>
      </w:pPr>
    </w:p>
    <w:p w14:paraId="3B7FFC57" w14:textId="77777777" w:rsidR="001506C1" w:rsidRPr="00FA3F9C" w:rsidRDefault="001506C1" w:rsidP="00937F0C">
      <w:pPr>
        <w:rPr>
          <w:rFonts w:ascii="Arial" w:hAnsi="Arial" w:cs="Arial"/>
          <w:sz w:val="24"/>
          <w:szCs w:val="24"/>
        </w:rPr>
      </w:pPr>
    </w:p>
    <w:p w14:paraId="38006674" w14:textId="77777777" w:rsidR="001506C1" w:rsidRPr="00FA3F9C" w:rsidRDefault="001506C1" w:rsidP="00BD761B">
      <w:pPr>
        <w:jc w:val="right"/>
        <w:rPr>
          <w:rFonts w:ascii="Arial" w:hAnsi="Arial" w:cs="Arial"/>
          <w:sz w:val="24"/>
          <w:szCs w:val="24"/>
        </w:rPr>
      </w:pPr>
    </w:p>
    <w:p w14:paraId="0267499C" w14:textId="77777777" w:rsidR="001506C1" w:rsidRPr="00FA3F9C" w:rsidRDefault="001506C1" w:rsidP="00BD761B">
      <w:pPr>
        <w:jc w:val="right"/>
        <w:rPr>
          <w:rFonts w:ascii="Arial" w:hAnsi="Arial" w:cs="Arial"/>
          <w:sz w:val="24"/>
          <w:szCs w:val="24"/>
        </w:rPr>
      </w:pPr>
    </w:p>
    <w:p w14:paraId="4F7F9480" w14:textId="77777777" w:rsidR="001506C1" w:rsidRPr="00FA3F9C" w:rsidRDefault="001506C1" w:rsidP="00BD761B">
      <w:pPr>
        <w:jc w:val="right"/>
        <w:rPr>
          <w:rFonts w:ascii="Arial" w:hAnsi="Arial" w:cs="Arial"/>
          <w:sz w:val="24"/>
          <w:szCs w:val="24"/>
        </w:rPr>
      </w:pPr>
    </w:p>
    <w:p w14:paraId="6C70E07F" w14:textId="77777777" w:rsidR="001506C1" w:rsidRPr="00FA3F9C" w:rsidRDefault="001506C1" w:rsidP="00BD761B">
      <w:pPr>
        <w:jc w:val="right"/>
        <w:rPr>
          <w:rFonts w:ascii="Arial" w:hAnsi="Arial" w:cs="Arial"/>
          <w:sz w:val="24"/>
          <w:szCs w:val="24"/>
        </w:rPr>
      </w:pPr>
    </w:p>
    <w:p w14:paraId="41614B7E" w14:textId="77777777" w:rsidR="001506C1" w:rsidRPr="00FA3F9C" w:rsidRDefault="001506C1" w:rsidP="00BD761B">
      <w:pPr>
        <w:jc w:val="right"/>
        <w:rPr>
          <w:rFonts w:ascii="Arial" w:hAnsi="Arial" w:cs="Arial"/>
          <w:sz w:val="24"/>
          <w:szCs w:val="24"/>
        </w:rPr>
      </w:pPr>
    </w:p>
    <w:p w14:paraId="4C99F538" w14:textId="77777777" w:rsidR="001506C1" w:rsidRPr="00FA3F9C" w:rsidRDefault="001506C1" w:rsidP="00BD761B">
      <w:pPr>
        <w:jc w:val="right"/>
        <w:rPr>
          <w:rFonts w:ascii="Arial" w:hAnsi="Arial" w:cs="Arial"/>
          <w:sz w:val="24"/>
          <w:szCs w:val="24"/>
        </w:rPr>
      </w:pPr>
    </w:p>
    <w:p w14:paraId="7FCDBEAD" w14:textId="77777777" w:rsidR="001506C1" w:rsidRPr="00FA3F9C" w:rsidRDefault="001506C1" w:rsidP="00CA4C3C">
      <w:pPr>
        <w:pStyle w:val="Heading2"/>
      </w:pPr>
      <w:bookmarkStart w:id="31" w:name="_Toc106369733"/>
      <w:r w:rsidRPr="00FA3F9C">
        <w:t>Belimumab (Benlysta)</w:t>
      </w:r>
      <w:bookmarkEnd w:id="31"/>
    </w:p>
    <w:p w14:paraId="1318FF0B" w14:textId="77777777" w:rsidR="001506C1" w:rsidRPr="00FA3F9C" w:rsidRDefault="001506C1" w:rsidP="006F623F">
      <w:pPr>
        <w:spacing w:after="0"/>
        <w:jc w:val="center"/>
        <w:rPr>
          <w:rFonts w:ascii="Arial" w:hAnsi="Arial" w:cs="Arial"/>
          <w:sz w:val="24"/>
          <w:szCs w:val="24"/>
        </w:rPr>
      </w:pPr>
      <w:r w:rsidRPr="00FA3F9C">
        <w:rPr>
          <w:rFonts w:ascii="Arial" w:hAnsi="Arial" w:cs="Arial"/>
          <w:sz w:val="24"/>
          <w:szCs w:val="24"/>
        </w:rPr>
        <w:t>EBRx PA Criteria</w:t>
      </w:r>
    </w:p>
    <w:p w14:paraId="40FCF6C7" w14:textId="77777777" w:rsidR="001506C1" w:rsidRPr="00FA3F9C" w:rsidRDefault="001506C1" w:rsidP="006F623F">
      <w:pPr>
        <w:spacing w:after="0"/>
        <w:rPr>
          <w:rFonts w:ascii="Arial" w:hAnsi="Arial" w:cs="Arial"/>
          <w:b/>
          <w:sz w:val="24"/>
          <w:szCs w:val="24"/>
          <w:u w:val="single"/>
        </w:rPr>
      </w:pPr>
    </w:p>
    <w:p w14:paraId="43940975" w14:textId="77777777" w:rsidR="001506C1" w:rsidRPr="00FA3F9C" w:rsidRDefault="001506C1"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w:t>
      </w:r>
    </w:p>
    <w:p w14:paraId="213BAD31" w14:textId="77777777" w:rsidR="001506C1" w:rsidRPr="00FA3F9C" w:rsidRDefault="001506C1" w:rsidP="001506C1">
      <w:pPr>
        <w:pStyle w:val="ListParagraph"/>
        <w:numPr>
          <w:ilvl w:val="0"/>
          <w:numId w:val="47"/>
        </w:numPr>
        <w:spacing w:after="0" w:line="276" w:lineRule="auto"/>
        <w:rPr>
          <w:rFonts w:ascii="Arial" w:hAnsi="Arial" w:cs="Arial"/>
          <w:b/>
          <w:sz w:val="24"/>
          <w:szCs w:val="24"/>
        </w:rPr>
      </w:pPr>
      <w:r w:rsidRPr="00FA3F9C">
        <w:rPr>
          <w:rFonts w:ascii="Arial" w:hAnsi="Arial" w:cs="Arial"/>
          <w:b/>
          <w:sz w:val="24"/>
          <w:szCs w:val="24"/>
        </w:rPr>
        <w:t>Lupus nephritis, treatment of adults with active LN who are receiving standard therapy</w:t>
      </w:r>
    </w:p>
    <w:p w14:paraId="096FE28F" w14:textId="77777777" w:rsidR="001506C1" w:rsidRPr="00FA3F9C" w:rsidRDefault="001506C1" w:rsidP="001506C1">
      <w:pPr>
        <w:pStyle w:val="ListParagraph"/>
        <w:numPr>
          <w:ilvl w:val="0"/>
          <w:numId w:val="47"/>
        </w:numPr>
        <w:spacing w:after="0" w:line="276" w:lineRule="auto"/>
        <w:rPr>
          <w:rFonts w:ascii="Arial" w:hAnsi="Arial" w:cs="Arial"/>
          <w:sz w:val="24"/>
          <w:szCs w:val="24"/>
          <w:highlight w:val="yellow"/>
        </w:rPr>
      </w:pPr>
      <w:r w:rsidRPr="00FA3F9C">
        <w:rPr>
          <w:rFonts w:ascii="Arial" w:hAnsi="Arial" w:cs="Arial"/>
          <w:sz w:val="24"/>
          <w:szCs w:val="24"/>
        </w:rPr>
        <w:t xml:space="preserve">Systemic lupus erythematosus, treatment of adults and children &gt;5y old with active, </w:t>
      </w:r>
      <w:proofErr w:type="gramStart"/>
      <w:r w:rsidRPr="00FA3F9C">
        <w:rPr>
          <w:rFonts w:ascii="Arial" w:hAnsi="Arial" w:cs="Arial"/>
          <w:sz w:val="24"/>
          <w:szCs w:val="24"/>
        </w:rPr>
        <w:t>autoantibody-positive</w:t>
      </w:r>
      <w:proofErr w:type="gramEnd"/>
      <w:r w:rsidRPr="00FA3F9C">
        <w:rPr>
          <w:rFonts w:ascii="Arial" w:hAnsi="Arial" w:cs="Arial"/>
          <w:sz w:val="24"/>
          <w:szCs w:val="24"/>
        </w:rPr>
        <w:t xml:space="preserve"> SLE who are receiving standard therapy </w:t>
      </w:r>
      <w:r w:rsidRPr="00FA3F9C">
        <w:rPr>
          <w:rFonts w:ascii="Arial" w:hAnsi="Arial" w:cs="Arial"/>
          <w:sz w:val="24"/>
          <w:szCs w:val="24"/>
          <w:highlight w:val="yellow"/>
        </w:rPr>
        <w:t>(NOT COVERED due to lack of clinical endpoint data)</w:t>
      </w:r>
    </w:p>
    <w:tbl>
      <w:tblPr>
        <w:tblStyle w:val="TableGrid"/>
        <w:tblW w:w="0" w:type="auto"/>
        <w:tblLook w:val="04A0" w:firstRow="1" w:lastRow="0" w:firstColumn="1" w:lastColumn="0" w:noHBand="0" w:noVBand="1"/>
      </w:tblPr>
      <w:tblGrid>
        <w:gridCol w:w="8928"/>
        <w:gridCol w:w="2088"/>
      </w:tblGrid>
      <w:tr w:rsidR="001506C1" w:rsidRPr="00FA3F9C" w14:paraId="1E5DF453" w14:textId="77777777" w:rsidTr="00571CAB">
        <w:tc>
          <w:tcPr>
            <w:tcW w:w="8928" w:type="dxa"/>
            <w:shd w:val="clear" w:color="auto" w:fill="000000"/>
          </w:tcPr>
          <w:p w14:paraId="24532C71" w14:textId="77777777" w:rsidR="001506C1" w:rsidRPr="00FA3F9C" w:rsidRDefault="001506C1" w:rsidP="00571CAB">
            <w:pPr>
              <w:rPr>
                <w:rFonts w:ascii="Arial" w:hAnsi="Arial" w:cs="Arial"/>
                <w:b/>
                <w:sz w:val="24"/>
                <w:szCs w:val="24"/>
                <w:u w:val="single"/>
              </w:rPr>
            </w:pPr>
            <w:r w:rsidRPr="00FA3F9C">
              <w:rPr>
                <w:rFonts w:ascii="Arial" w:hAnsi="Arial" w:cs="Arial"/>
                <w:b/>
                <w:sz w:val="24"/>
                <w:szCs w:val="24"/>
                <w:u w:val="single"/>
              </w:rPr>
              <w:t>Criteria for new users with LN</w:t>
            </w:r>
          </w:p>
        </w:tc>
        <w:tc>
          <w:tcPr>
            <w:tcW w:w="2088" w:type="dxa"/>
            <w:shd w:val="clear" w:color="auto" w:fill="000000"/>
          </w:tcPr>
          <w:p w14:paraId="25DCB023" w14:textId="77777777" w:rsidR="001506C1" w:rsidRPr="00FA3F9C" w:rsidRDefault="001506C1" w:rsidP="006F623F">
            <w:pPr>
              <w:jc w:val="center"/>
              <w:rPr>
                <w:rFonts w:ascii="Arial" w:hAnsi="Arial" w:cs="Arial"/>
                <w:b/>
                <w:sz w:val="24"/>
                <w:szCs w:val="24"/>
                <w:u w:val="single"/>
              </w:rPr>
            </w:pPr>
          </w:p>
        </w:tc>
      </w:tr>
      <w:tr w:rsidR="001506C1" w:rsidRPr="00FA3F9C" w14:paraId="73A86BE2" w14:textId="77777777" w:rsidTr="00F337AE">
        <w:tc>
          <w:tcPr>
            <w:tcW w:w="11016" w:type="dxa"/>
            <w:gridSpan w:val="2"/>
          </w:tcPr>
          <w:p w14:paraId="1572E42E" w14:textId="77777777" w:rsidR="001506C1" w:rsidRPr="00FA3F9C" w:rsidRDefault="001506C1" w:rsidP="006F623F">
            <w:pPr>
              <w:rPr>
                <w:rFonts w:ascii="Arial" w:hAnsi="Arial" w:cs="Arial"/>
                <w:sz w:val="24"/>
                <w:szCs w:val="24"/>
              </w:rPr>
            </w:pPr>
            <w:r w:rsidRPr="00FA3F9C">
              <w:rPr>
                <w:rFonts w:ascii="Arial" w:hAnsi="Arial" w:cs="Arial"/>
                <w:sz w:val="24"/>
                <w:szCs w:val="24"/>
              </w:rPr>
              <w:t>1. The patient must be 18 y+.</w:t>
            </w:r>
          </w:p>
        </w:tc>
      </w:tr>
      <w:tr w:rsidR="001506C1" w:rsidRPr="00FA3F9C" w14:paraId="6BA74725" w14:textId="77777777" w:rsidTr="00B1617E">
        <w:tc>
          <w:tcPr>
            <w:tcW w:w="11016" w:type="dxa"/>
            <w:gridSpan w:val="2"/>
          </w:tcPr>
          <w:p w14:paraId="1F3FBFA1" w14:textId="77777777" w:rsidR="001506C1" w:rsidRPr="00FA3F9C" w:rsidRDefault="001506C1" w:rsidP="006F623F">
            <w:pPr>
              <w:rPr>
                <w:rFonts w:ascii="Arial" w:hAnsi="Arial" w:cs="Arial"/>
                <w:sz w:val="24"/>
                <w:szCs w:val="24"/>
              </w:rPr>
            </w:pPr>
            <w:r w:rsidRPr="00FA3F9C">
              <w:rPr>
                <w:rFonts w:ascii="Arial" w:hAnsi="Arial" w:cs="Arial"/>
                <w:sz w:val="24"/>
                <w:szCs w:val="24"/>
              </w:rPr>
              <w:t>2. The patient must have a diagnosis of autoantibody+ SLE (antinuclear antibody titers &gt;1:80, anti-double-stranded DNA antibodies, or both) that fulfilled the 1982 (updated 1997) ACR classification criteria for SLE active lupus nephritis.</w:t>
            </w:r>
          </w:p>
        </w:tc>
      </w:tr>
      <w:tr w:rsidR="001506C1" w:rsidRPr="00FA3F9C" w14:paraId="30656857" w14:textId="77777777" w:rsidTr="0010789D">
        <w:tc>
          <w:tcPr>
            <w:tcW w:w="11016" w:type="dxa"/>
            <w:gridSpan w:val="2"/>
          </w:tcPr>
          <w:p w14:paraId="0B615779" w14:textId="77777777" w:rsidR="001506C1" w:rsidRPr="00FA3F9C" w:rsidRDefault="001506C1" w:rsidP="006F623F">
            <w:pPr>
              <w:rPr>
                <w:rFonts w:ascii="Arial" w:hAnsi="Arial" w:cs="Arial"/>
                <w:sz w:val="24"/>
                <w:szCs w:val="24"/>
              </w:rPr>
            </w:pPr>
            <w:r w:rsidRPr="00FA3F9C">
              <w:rPr>
                <w:rFonts w:ascii="Arial" w:hAnsi="Arial" w:cs="Arial"/>
                <w:sz w:val="24"/>
                <w:szCs w:val="24"/>
              </w:rPr>
              <w:t>3. The patient must have a ratio of urinary protein to creatinine of 1 or more within the past 3 months. (</w:t>
            </w:r>
            <w:proofErr w:type="gramStart"/>
            <w:r w:rsidRPr="00FA3F9C">
              <w:rPr>
                <w:rFonts w:ascii="Arial" w:hAnsi="Arial" w:cs="Arial"/>
                <w:sz w:val="24"/>
                <w:szCs w:val="24"/>
              </w:rPr>
              <w:t>time</w:t>
            </w:r>
            <w:proofErr w:type="gramEnd"/>
            <w:r w:rsidRPr="00FA3F9C">
              <w:rPr>
                <w:rFonts w:ascii="Arial" w:hAnsi="Arial" w:cs="Arial"/>
                <w:sz w:val="24"/>
                <w:szCs w:val="24"/>
              </w:rPr>
              <w:t xml:space="preserve"> frame was at screening in the clinical trial; 3 months is generous but arbitrary)</w:t>
            </w:r>
          </w:p>
        </w:tc>
      </w:tr>
      <w:tr w:rsidR="001506C1" w:rsidRPr="00FA3F9C" w14:paraId="41981AD6" w14:textId="77777777" w:rsidTr="00DA57E0">
        <w:tc>
          <w:tcPr>
            <w:tcW w:w="11016" w:type="dxa"/>
            <w:gridSpan w:val="2"/>
          </w:tcPr>
          <w:p w14:paraId="3D60B1F7" w14:textId="77777777" w:rsidR="001506C1" w:rsidRPr="00FA3F9C" w:rsidRDefault="001506C1" w:rsidP="006F623F">
            <w:pPr>
              <w:rPr>
                <w:rFonts w:ascii="Arial" w:hAnsi="Arial" w:cs="Arial"/>
                <w:sz w:val="24"/>
                <w:szCs w:val="24"/>
              </w:rPr>
            </w:pPr>
            <w:r w:rsidRPr="00FA3F9C">
              <w:rPr>
                <w:rFonts w:ascii="Arial" w:hAnsi="Arial" w:cs="Arial"/>
                <w:sz w:val="24"/>
                <w:szCs w:val="24"/>
              </w:rPr>
              <w:t>4. The patient must have biopsy-proven lupus nephritis of International Society of Nephrology and Renal Pathology Society class III (focal lupus nephritis) or IV (diffuse LN) within the past 6 months.</w:t>
            </w:r>
          </w:p>
        </w:tc>
      </w:tr>
      <w:tr w:rsidR="001506C1" w:rsidRPr="00FA3F9C" w14:paraId="54E6E677" w14:textId="77777777" w:rsidTr="00DA57E0">
        <w:tc>
          <w:tcPr>
            <w:tcW w:w="11016" w:type="dxa"/>
            <w:gridSpan w:val="2"/>
          </w:tcPr>
          <w:p w14:paraId="034A4FE0" w14:textId="77777777" w:rsidR="001506C1" w:rsidRPr="00FA3F9C" w:rsidRDefault="001506C1" w:rsidP="006F623F">
            <w:pPr>
              <w:rPr>
                <w:rFonts w:ascii="Arial" w:hAnsi="Arial" w:cs="Arial"/>
                <w:sz w:val="24"/>
                <w:szCs w:val="24"/>
              </w:rPr>
            </w:pPr>
            <w:r w:rsidRPr="00FA3F9C">
              <w:rPr>
                <w:rFonts w:ascii="Arial" w:hAnsi="Arial" w:cs="Arial"/>
                <w:sz w:val="24"/>
                <w:szCs w:val="24"/>
              </w:rPr>
              <w:t>5. The patient must not be receiving dialysis.</w:t>
            </w:r>
          </w:p>
        </w:tc>
      </w:tr>
      <w:tr w:rsidR="001506C1" w:rsidRPr="00FA3F9C" w14:paraId="41FF3968" w14:textId="77777777" w:rsidTr="00DA57E0">
        <w:tc>
          <w:tcPr>
            <w:tcW w:w="11016" w:type="dxa"/>
            <w:gridSpan w:val="2"/>
          </w:tcPr>
          <w:p w14:paraId="392455E0" w14:textId="77777777" w:rsidR="001506C1" w:rsidRPr="00FA3F9C" w:rsidRDefault="001506C1" w:rsidP="006F623F">
            <w:pPr>
              <w:rPr>
                <w:rFonts w:ascii="Arial" w:hAnsi="Arial" w:cs="Arial"/>
                <w:sz w:val="24"/>
                <w:szCs w:val="24"/>
              </w:rPr>
            </w:pPr>
            <w:r w:rsidRPr="00FA3F9C">
              <w:rPr>
                <w:rFonts w:ascii="Arial" w:hAnsi="Arial" w:cs="Arial"/>
                <w:sz w:val="24"/>
                <w:szCs w:val="24"/>
              </w:rPr>
              <w:t xml:space="preserve">6. The patient </w:t>
            </w:r>
            <w:r w:rsidRPr="00FA3F9C">
              <w:rPr>
                <w:rFonts w:ascii="Arial" w:hAnsi="Arial" w:cs="Arial"/>
                <w:b/>
                <w:sz w:val="24"/>
                <w:szCs w:val="24"/>
                <w:u w:val="single"/>
              </w:rPr>
              <w:t>must be receiving standard therapy for LN including cyclophosphamide-azathioprine, or mycophenolate</w:t>
            </w:r>
            <w:r w:rsidRPr="00FA3F9C">
              <w:rPr>
                <w:rFonts w:ascii="Arial" w:hAnsi="Arial" w:cs="Arial"/>
                <w:sz w:val="24"/>
                <w:szCs w:val="24"/>
              </w:rPr>
              <w:t xml:space="preserve"> mofetil. [Patients may also receive </w:t>
            </w:r>
            <w:proofErr w:type="spellStart"/>
            <w:r w:rsidRPr="00FA3F9C">
              <w:rPr>
                <w:rFonts w:ascii="Arial" w:hAnsi="Arial" w:cs="Arial"/>
                <w:sz w:val="24"/>
                <w:szCs w:val="24"/>
              </w:rPr>
              <w:t>ACEi</w:t>
            </w:r>
            <w:proofErr w:type="spellEnd"/>
            <w:r w:rsidRPr="00FA3F9C">
              <w:rPr>
                <w:rFonts w:ascii="Arial" w:hAnsi="Arial" w:cs="Arial"/>
                <w:sz w:val="24"/>
                <w:szCs w:val="24"/>
              </w:rPr>
              <w:t xml:space="preserve"> or ARB, hydroxychloroquine.]</w:t>
            </w:r>
          </w:p>
        </w:tc>
      </w:tr>
      <w:tr w:rsidR="001506C1" w:rsidRPr="00FA3F9C" w14:paraId="738B2C80" w14:textId="77777777" w:rsidTr="00DA57E0">
        <w:tc>
          <w:tcPr>
            <w:tcW w:w="11016" w:type="dxa"/>
            <w:gridSpan w:val="2"/>
          </w:tcPr>
          <w:p w14:paraId="774A2C1C" w14:textId="77777777" w:rsidR="001506C1" w:rsidRPr="00FA3F9C" w:rsidRDefault="001506C1" w:rsidP="006F623F">
            <w:pPr>
              <w:rPr>
                <w:rFonts w:ascii="Arial" w:hAnsi="Arial" w:cs="Arial"/>
                <w:sz w:val="24"/>
                <w:szCs w:val="24"/>
              </w:rPr>
            </w:pPr>
            <w:r w:rsidRPr="00FA3F9C">
              <w:rPr>
                <w:rFonts w:ascii="Arial" w:hAnsi="Arial" w:cs="Arial"/>
                <w:sz w:val="24"/>
                <w:szCs w:val="24"/>
              </w:rPr>
              <w:t>If the criteria above are satisfied, approve PA for 1 year.</w:t>
            </w:r>
          </w:p>
        </w:tc>
      </w:tr>
    </w:tbl>
    <w:p w14:paraId="3D370DEE"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ACR= American College of Rheumatology</w:t>
      </w:r>
    </w:p>
    <w:tbl>
      <w:tblPr>
        <w:tblStyle w:val="TableGrid"/>
        <w:tblW w:w="0" w:type="auto"/>
        <w:shd w:val="clear" w:color="auto" w:fill="BFBFBF" w:themeFill="background1" w:themeFillShade="BF"/>
        <w:tblLook w:val="04A0" w:firstRow="1" w:lastRow="0" w:firstColumn="1" w:lastColumn="0" w:noHBand="0" w:noVBand="1"/>
      </w:tblPr>
      <w:tblGrid>
        <w:gridCol w:w="10998"/>
      </w:tblGrid>
      <w:tr w:rsidR="001506C1" w:rsidRPr="00FA3F9C" w14:paraId="175C0210" w14:textId="77777777" w:rsidTr="00D82B6E">
        <w:tc>
          <w:tcPr>
            <w:tcW w:w="10998" w:type="dxa"/>
            <w:shd w:val="clear" w:color="auto" w:fill="BFBFBF" w:themeFill="background1" w:themeFillShade="BF"/>
          </w:tcPr>
          <w:p w14:paraId="041E3ECD" w14:textId="77777777" w:rsidR="001506C1" w:rsidRPr="00FA3F9C" w:rsidRDefault="001506C1" w:rsidP="00D82B6E">
            <w:pPr>
              <w:rPr>
                <w:rFonts w:ascii="Arial" w:hAnsi="Arial" w:cs="Arial"/>
                <w:sz w:val="24"/>
                <w:szCs w:val="24"/>
              </w:rPr>
            </w:pPr>
            <w:r w:rsidRPr="00FA3F9C">
              <w:rPr>
                <w:rFonts w:ascii="Arial" w:hAnsi="Arial" w:cs="Arial"/>
                <w:sz w:val="24"/>
                <w:szCs w:val="24"/>
              </w:rPr>
              <w:lastRenderedPageBreak/>
              <w:t>Note: Belimumab dose was 10mg/kg of body weight on days 1, 15, 29, and q28d thereafter.</w:t>
            </w:r>
          </w:p>
        </w:tc>
      </w:tr>
    </w:tbl>
    <w:p w14:paraId="3FC7CD25" w14:textId="77777777" w:rsidR="001506C1" w:rsidRPr="00FA3F9C" w:rsidRDefault="001506C1" w:rsidP="006F623F">
      <w:pPr>
        <w:spacing w:after="0"/>
        <w:rPr>
          <w:rFonts w:ascii="Arial" w:hAnsi="Arial" w:cs="Arial"/>
          <w:sz w:val="24"/>
          <w:szCs w:val="24"/>
        </w:rPr>
      </w:pPr>
    </w:p>
    <w:p w14:paraId="6F15DA28" w14:textId="77777777" w:rsidR="001506C1" w:rsidRPr="00FA3F9C" w:rsidRDefault="001506C1" w:rsidP="006F623F">
      <w:pPr>
        <w:spacing w:after="0"/>
        <w:rPr>
          <w:rFonts w:ascii="Arial" w:hAnsi="Arial" w:cs="Arial"/>
          <w:sz w:val="24"/>
          <w:szCs w:val="24"/>
          <w:lang w:val="fr-FR"/>
        </w:rPr>
      </w:pPr>
      <w:proofErr w:type="spellStart"/>
      <w:r w:rsidRPr="00FA3F9C">
        <w:rPr>
          <w:rFonts w:ascii="Arial" w:hAnsi="Arial" w:cs="Arial"/>
          <w:sz w:val="24"/>
          <w:szCs w:val="24"/>
          <w:lang w:val="fr-FR"/>
        </w:rPr>
        <w:t>Quantity</w:t>
      </w:r>
      <w:proofErr w:type="spellEnd"/>
      <w:r w:rsidRPr="00FA3F9C">
        <w:rPr>
          <w:rFonts w:ascii="Arial" w:hAnsi="Arial" w:cs="Arial"/>
          <w:sz w:val="24"/>
          <w:szCs w:val="24"/>
          <w:lang w:val="fr-FR"/>
        </w:rPr>
        <w:t xml:space="preserve"> </w:t>
      </w:r>
      <w:proofErr w:type="gramStart"/>
      <w:r w:rsidRPr="00FA3F9C">
        <w:rPr>
          <w:rFonts w:ascii="Arial" w:hAnsi="Arial" w:cs="Arial"/>
          <w:sz w:val="24"/>
          <w:szCs w:val="24"/>
          <w:lang w:val="fr-FR"/>
        </w:rPr>
        <w:t>Limits:</w:t>
      </w:r>
      <w:proofErr w:type="gramEnd"/>
      <w:r w:rsidRPr="00FA3F9C">
        <w:rPr>
          <w:rFonts w:ascii="Arial" w:hAnsi="Arial" w:cs="Arial"/>
          <w:sz w:val="24"/>
          <w:szCs w:val="24"/>
          <w:lang w:val="fr-FR"/>
        </w:rPr>
        <w:t xml:space="preserve"> 30ds </w:t>
      </w:r>
      <w:proofErr w:type="spellStart"/>
      <w:r w:rsidRPr="00FA3F9C">
        <w:rPr>
          <w:rFonts w:ascii="Arial" w:hAnsi="Arial" w:cs="Arial"/>
          <w:sz w:val="24"/>
          <w:szCs w:val="24"/>
          <w:lang w:val="fr-FR"/>
        </w:rPr>
        <w:t>limit</w:t>
      </w:r>
      <w:proofErr w:type="spellEnd"/>
    </w:p>
    <w:p w14:paraId="345F28F1" w14:textId="77777777" w:rsidR="001506C1" w:rsidRPr="00FA3F9C" w:rsidRDefault="001506C1" w:rsidP="006F623F">
      <w:pPr>
        <w:spacing w:after="0"/>
        <w:rPr>
          <w:rFonts w:ascii="Arial" w:hAnsi="Arial" w:cs="Arial"/>
          <w:sz w:val="24"/>
          <w:szCs w:val="24"/>
          <w:lang w:val="fr-FR"/>
        </w:rPr>
      </w:pPr>
    </w:p>
    <w:p w14:paraId="41B27B7E" w14:textId="77777777" w:rsidR="001506C1" w:rsidRPr="00FA3F9C" w:rsidRDefault="001506C1" w:rsidP="006C4147">
      <w:pPr>
        <w:spacing w:after="0"/>
        <w:rPr>
          <w:rFonts w:ascii="Arial" w:hAnsi="Arial" w:cs="Arial"/>
          <w:sz w:val="24"/>
          <w:szCs w:val="24"/>
          <w:lang w:val="fr-FR"/>
        </w:rPr>
      </w:pPr>
      <w:proofErr w:type="spellStart"/>
      <w:proofErr w:type="gramStart"/>
      <w:r w:rsidRPr="00FA3F9C">
        <w:rPr>
          <w:rFonts w:ascii="Arial" w:hAnsi="Arial" w:cs="Arial"/>
          <w:sz w:val="24"/>
          <w:szCs w:val="24"/>
          <w:lang w:val="fr-FR"/>
        </w:rPr>
        <w:t>References</w:t>
      </w:r>
      <w:proofErr w:type="spellEnd"/>
      <w:r w:rsidRPr="00FA3F9C">
        <w:rPr>
          <w:rFonts w:ascii="Arial" w:hAnsi="Arial" w:cs="Arial"/>
          <w:sz w:val="24"/>
          <w:szCs w:val="24"/>
          <w:lang w:val="fr-FR"/>
        </w:rPr>
        <w:t>:</w:t>
      </w:r>
      <w:proofErr w:type="gramEnd"/>
    </w:p>
    <w:p w14:paraId="773877B9" w14:textId="77777777" w:rsidR="001506C1" w:rsidRPr="00FA3F9C" w:rsidRDefault="001506C1" w:rsidP="006C4147">
      <w:pPr>
        <w:spacing w:after="0"/>
        <w:rPr>
          <w:rFonts w:ascii="Arial" w:eastAsia="Times New Roman" w:hAnsi="Arial" w:cs="Arial"/>
          <w:sz w:val="24"/>
          <w:szCs w:val="24"/>
        </w:rPr>
      </w:pPr>
      <w:r w:rsidRPr="00FA3F9C">
        <w:rPr>
          <w:rFonts w:ascii="Arial" w:hAnsi="Arial" w:cs="Arial"/>
          <w:sz w:val="24"/>
          <w:szCs w:val="24"/>
          <w:lang w:val="fr-FR"/>
        </w:rPr>
        <w:t xml:space="preserve">1. </w:t>
      </w:r>
      <w:r w:rsidRPr="00FA3F9C">
        <w:rPr>
          <w:rFonts w:ascii="Arial" w:eastAsia="Times New Roman" w:hAnsi="Arial" w:cs="Arial"/>
          <w:color w:val="222222"/>
          <w:sz w:val="24"/>
          <w:szCs w:val="24"/>
          <w:shd w:val="clear" w:color="auto" w:fill="FFFFFF"/>
          <w:lang w:val="fr-FR"/>
        </w:rPr>
        <w:t xml:space="preserve">Furie, Richard, et al. </w:t>
      </w:r>
      <w:r w:rsidRPr="00FA3F9C">
        <w:rPr>
          <w:rFonts w:ascii="Arial" w:eastAsia="Times New Roman" w:hAnsi="Arial" w:cs="Arial"/>
          <w:color w:val="222222"/>
          <w:sz w:val="24"/>
          <w:szCs w:val="24"/>
          <w:shd w:val="clear" w:color="auto" w:fill="FFFFFF"/>
        </w:rPr>
        <w:t>"Two-year, randomized, controlled trial of belimumab in lupus nephritis." </w:t>
      </w:r>
      <w:r w:rsidRPr="00FA3F9C">
        <w:rPr>
          <w:rFonts w:ascii="Arial" w:eastAsia="Times New Roman" w:hAnsi="Arial" w:cs="Arial"/>
          <w:i/>
          <w:iCs/>
          <w:color w:val="222222"/>
          <w:sz w:val="24"/>
          <w:szCs w:val="24"/>
          <w:shd w:val="clear" w:color="auto" w:fill="FFFFFF"/>
        </w:rPr>
        <w:t>New England Journal of Medicine</w:t>
      </w:r>
      <w:r w:rsidRPr="00FA3F9C">
        <w:rPr>
          <w:rFonts w:ascii="Arial" w:eastAsia="Times New Roman" w:hAnsi="Arial" w:cs="Arial"/>
          <w:color w:val="222222"/>
          <w:sz w:val="24"/>
          <w:szCs w:val="24"/>
          <w:shd w:val="clear" w:color="auto" w:fill="FFFFFF"/>
        </w:rPr>
        <w:t> 383.12 (2020): 1117-1128.</w:t>
      </w:r>
    </w:p>
    <w:p w14:paraId="4C55E413" w14:textId="77777777" w:rsidR="001506C1" w:rsidRPr="00FA3F9C" w:rsidRDefault="001506C1" w:rsidP="006F623F">
      <w:pPr>
        <w:spacing w:after="0"/>
        <w:rPr>
          <w:rFonts w:ascii="Arial" w:hAnsi="Arial" w:cs="Arial"/>
          <w:sz w:val="24"/>
          <w:szCs w:val="24"/>
        </w:rPr>
      </w:pPr>
    </w:p>
    <w:p w14:paraId="161B8E16" w14:textId="77777777" w:rsidR="001506C1" w:rsidRPr="00FA3F9C" w:rsidRDefault="001506C1" w:rsidP="006F623F">
      <w:pPr>
        <w:spacing w:after="0"/>
        <w:rPr>
          <w:rFonts w:ascii="Arial" w:hAnsi="Arial" w:cs="Arial"/>
          <w:sz w:val="24"/>
          <w:szCs w:val="24"/>
        </w:rPr>
      </w:pPr>
    </w:p>
    <w:p w14:paraId="3A26AC06" w14:textId="77777777" w:rsidR="001506C1" w:rsidRPr="00FA3F9C" w:rsidRDefault="001506C1" w:rsidP="006F623F">
      <w:pPr>
        <w:spacing w:after="0"/>
        <w:rPr>
          <w:rFonts w:ascii="Arial" w:hAnsi="Arial" w:cs="Arial"/>
          <w:sz w:val="24"/>
          <w:szCs w:val="24"/>
        </w:rPr>
      </w:pPr>
    </w:p>
    <w:p w14:paraId="78A22756"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017"/>
        <w:gridCol w:w="9130"/>
        <w:gridCol w:w="1590"/>
      </w:tblGrid>
      <w:tr w:rsidR="001506C1" w:rsidRPr="00FA3F9C" w14:paraId="1534D398" w14:textId="77777777" w:rsidTr="00C37A90">
        <w:tc>
          <w:tcPr>
            <w:tcW w:w="878" w:type="dxa"/>
          </w:tcPr>
          <w:p w14:paraId="7FCC012E" w14:textId="77777777" w:rsidR="001506C1" w:rsidRPr="00FA3F9C" w:rsidRDefault="001506C1" w:rsidP="006F623F">
            <w:pPr>
              <w:rPr>
                <w:rFonts w:ascii="Arial" w:hAnsi="Arial" w:cs="Arial"/>
                <w:sz w:val="24"/>
                <w:szCs w:val="24"/>
              </w:rPr>
            </w:pPr>
            <w:r w:rsidRPr="00FA3F9C">
              <w:rPr>
                <w:rFonts w:ascii="Arial" w:hAnsi="Arial" w:cs="Arial"/>
                <w:sz w:val="24"/>
                <w:szCs w:val="24"/>
              </w:rPr>
              <w:t>Date</w:t>
            </w:r>
          </w:p>
        </w:tc>
        <w:tc>
          <w:tcPr>
            <w:tcW w:w="9130" w:type="dxa"/>
          </w:tcPr>
          <w:p w14:paraId="50563420" w14:textId="77777777" w:rsidR="001506C1" w:rsidRPr="00FA3F9C" w:rsidRDefault="001506C1" w:rsidP="006F623F">
            <w:pPr>
              <w:rPr>
                <w:rFonts w:ascii="Arial" w:hAnsi="Arial" w:cs="Arial"/>
                <w:sz w:val="24"/>
                <w:szCs w:val="24"/>
              </w:rPr>
            </w:pPr>
            <w:r w:rsidRPr="00FA3F9C">
              <w:rPr>
                <w:rFonts w:ascii="Arial" w:hAnsi="Arial" w:cs="Arial"/>
                <w:sz w:val="24"/>
                <w:szCs w:val="24"/>
              </w:rPr>
              <w:t>What changed</w:t>
            </w:r>
          </w:p>
        </w:tc>
        <w:tc>
          <w:tcPr>
            <w:tcW w:w="1008" w:type="dxa"/>
          </w:tcPr>
          <w:p w14:paraId="161A978E" w14:textId="77777777" w:rsidR="001506C1" w:rsidRPr="00FA3F9C" w:rsidRDefault="001506C1" w:rsidP="006F623F">
            <w:pPr>
              <w:rPr>
                <w:rFonts w:ascii="Arial" w:hAnsi="Arial" w:cs="Arial"/>
                <w:sz w:val="24"/>
                <w:szCs w:val="24"/>
              </w:rPr>
            </w:pPr>
            <w:r w:rsidRPr="00FA3F9C">
              <w:rPr>
                <w:rFonts w:ascii="Arial" w:hAnsi="Arial" w:cs="Arial"/>
                <w:sz w:val="24"/>
                <w:szCs w:val="24"/>
              </w:rPr>
              <w:t>Pharmacist’s initials</w:t>
            </w:r>
          </w:p>
        </w:tc>
      </w:tr>
      <w:tr w:rsidR="001506C1" w:rsidRPr="00FA3F9C" w14:paraId="21DBBE96" w14:textId="77777777" w:rsidTr="00C37A90">
        <w:tc>
          <w:tcPr>
            <w:tcW w:w="878" w:type="dxa"/>
          </w:tcPr>
          <w:p w14:paraId="26A619C1" w14:textId="77777777" w:rsidR="001506C1" w:rsidRPr="00FA3F9C" w:rsidRDefault="001506C1" w:rsidP="006F623F">
            <w:pPr>
              <w:rPr>
                <w:rFonts w:ascii="Arial" w:hAnsi="Arial" w:cs="Arial"/>
                <w:sz w:val="24"/>
                <w:szCs w:val="24"/>
              </w:rPr>
            </w:pPr>
            <w:r w:rsidRPr="00FA3F9C">
              <w:rPr>
                <w:rFonts w:ascii="Arial" w:hAnsi="Arial" w:cs="Arial"/>
                <w:sz w:val="24"/>
                <w:szCs w:val="24"/>
              </w:rPr>
              <w:t>4/14/21</w:t>
            </w:r>
          </w:p>
        </w:tc>
        <w:tc>
          <w:tcPr>
            <w:tcW w:w="9130" w:type="dxa"/>
          </w:tcPr>
          <w:p w14:paraId="4D36C90B" w14:textId="77777777" w:rsidR="001506C1" w:rsidRPr="00FA3F9C" w:rsidRDefault="001506C1" w:rsidP="006F623F">
            <w:pPr>
              <w:rPr>
                <w:rFonts w:ascii="Arial" w:hAnsi="Arial" w:cs="Arial"/>
                <w:sz w:val="24"/>
                <w:szCs w:val="24"/>
              </w:rPr>
            </w:pPr>
            <w:r w:rsidRPr="00FA3F9C">
              <w:rPr>
                <w:rFonts w:ascii="Arial" w:hAnsi="Arial" w:cs="Arial"/>
                <w:sz w:val="24"/>
                <w:szCs w:val="24"/>
              </w:rPr>
              <w:t xml:space="preserve">I wrote the criteria.  EBRx reconsidered coverage due to the BLISS-LN trial that measured clinical endpoints.  Previously the drug was not covered by EBRx plans and still does not cover it for people not qualifying with LN, due to lack of clinical endpoint data.  SELENA-SLEDAI was measured in the BLISS trials that includes lab values to help patients qualify as responders where clinical improvement in health was not independently established or where the benefit of belimumab waned (was not durable).  For EBRx plans for which we do not manage </w:t>
            </w:r>
            <w:proofErr w:type="gramStart"/>
            <w:r w:rsidRPr="00FA3F9C">
              <w:rPr>
                <w:rFonts w:ascii="Arial" w:hAnsi="Arial" w:cs="Arial"/>
                <w:sz w:val="24"/>
                <w:szCs w:val="24"/>
              </w:rPr>
              <w:t>medically-administered</w:t>
            </w:r>
            <w:proofErr w:type="gramEnd"/>
            <w:r w:rsidRPr="00FA3F9C">
              <w:rPr>
                <w:rFonts w:ascii="Arial" w:hAnsi="Arial" w:cs="Arial"/>
                <w:sz w:val="24"/>
                <w:szCs w:val="24"/>
              </w:rPr>
              <w:t xml:space="preserve"> drugs, belimumab would likely not be provided on the pharmacy benefit.</w:t>
            </w:r>
          </w:p>
        </w:tc>
        <w:tc>
          <w:tcPr>
            <w:tcW w:w="1008" w:type="dxa"/>
          </w:tcPr>
          <w:p w14:paraId="49CB9339" w14:textId="77777777" w:rsidR="001506C1" w:rsidRPr="00FA3F9C" w:rsidRDefault="001506C1" w:rsidP="006F623F">
            <w:pPr>
              <w:rPr>
                <w:rFonts w:ascii="Arial" w:hAnsi="Arial" w:cs="Arial"/>
                <w:sz w:val="24"/>
                <w:szCs w:val="24"/>
              </w:rPr>
            </w:pPr>
            <w:r w:rsidRPr="00FA3F9C">
              <w:rPr>
                <w:rFonts w:ascii="Arial" w:hAnsi="Arial" w:cs="Arial"/>
                <w:sz w:val="24"/>
                <w:szCs w:val="24"/>
              </w:rPr>
              <w:t>JJ</w:t>
            </w:r>
          </w:p>
        </w:tc>
      </w:tr>
      <w:tr w:rsidR="001506C1" w:rsidRPr="00FA3F9C" w14:paraId="10794529" w14:textId="77777777" w:rsidTr="00C37A90">
        <w:tc>
          <w:tcPr>
            <w:tcW w:w="878" w:type="dxa"/>
          </w:tcPr>
          <w:p w14:paraId="062B41E9" w14:textId="77777777" w:rsidR="001506C1" w:rsidRPr="00FA3F9C" w:rsidRDefault="001506C1" w:rsidP="006F623F">
            <w:pPr>
              <w:rPr>
                <w:rFonts w:ascii="Arial" w:hAnsi="Arial" w:cs="Arial"/>
                <w:sz w:val="24"/>
                <w:szCs w:val="24"/>
              </w:rPr>
            </w:pPr>
          </w:p>
        </w:tc>
        <w:tc>
          <w:tcPr>
            <w:tcW w:w="9130" w:type="dxa"/>
          </w:tcPr>
          <w:p w14:paraId="448C2AB6" w14:textId="77777777" w:rsidR="001506C1" w:rsidRPr="00FA3F9C" w:rsidRDefault="001506C1" w:rsidP="006F623F">
            <w:pPr>
              <w:rPr>
                <w:rFonts w:ascii="Arial" w:hAnsi="Arial" w:cs="Arial"/>
                <w:sz w:val="24"/>
                <w:szCs w:val="24"/>
              </w:rPr>
            </w:pPr>
          </w:p>
        </w:tc>
        <w:tc>
          <w:tcPr>
            <w:tcW w:w="1008" w:type="dxa"/>
          </w:tcPr>
          <w:p w14:paraId="504F6241" w14:textId="77777777" w:rsidR="001506C1" w:rsidRPr="00FA3F9C" w:rsidRDefault="001506C1" w:rsidP="006F623F">
            <w:pPr>
              <w:rPr>
                <w:rFonts w:ascii="Arial" w:hAnsi="Arial" w:cs="Arial"/>
                <w:sz w:val="24"/>
                <w:szCs w:val="24"/>
              </w:rPr>
            </w:pPr>
          </w:p>
        </w:tc>
      </w:tr>
    </w:tbl>
    <w:p w14:paraId="175EFECD" w14:textId="77777777" w:rsidR="001506C1" w:rsidRPr="00FA3F9C" w:rsidRDefault="001506C1" w:rsidP="00076432"/>
    <w:p w14:paraId="7DFAFF1E" w14:textId="77777777" w:rsidR="001506C1" w:rsidRPr="00FA3F9C" w:rsidRDefault="001506C1" w:rsidP="00CA4C3C">
      <w:pPr>
        <w:pStyle w:val="Heading2"/>
      </w:pPr>
      <w:bookmarkStart w:id="32" w:name="_Toc106369734"/>
      <w:proofErr w:type="spellStart"/>
      <w:r w:rsidRPr="00FA3F9C">
        <w:t>Belumosudil</w:t>
      </w:r>
      <w:proofErr w:type="spellEnd"/>
      <w:r w:rsidRPr="00FA3F9C">
        <w:t xml:space="preserve"> (</w:t>
      </w:r>
      <w:proofErr w:type="spellStart"/>
      <w:r w:rsidRPr="00FA3F9C">
        <w:t>Rezurock</w:t>
      </w:r>
      <w:proofErr w:type="spellEnd"/>
      <w:r w:rsidRPr="00FA3F9C">
        <w:t>)</w:t>
      </w:r>
      <w:bookmarkEnd w:id="32"/>
    </w:p>
    <w:p w14:paraId="211A15BD" w14:textId="77777777" w:rsidR="001506C1" w:rsidRPr="00FA3F9C" w:rsidRDefault="001506C1" w:rsidP="006F623F">
      <w:pPr>
        <w:spacing w:after="0"/>
        <w:jc w:val="center"/>
        <w:rPr>
          <w:rFonts w:ascii="Arial" w:hAnsi="Arial" w:cs="Arial"/>
          <w:sz w:val="24"/>
          <w:szCs w:val="24"/>
        </w:rPr>
      </w:pPr>
      <w:r w:rsidRPr="00FA3F9C">
        <w:rPr>
          <w:rFonts w:ascii="Arial" w:hAnsi="Arial" w:cs="Arial"/>
          <w:sz w:val="24"/>
          <w:szCs w:val="24"/>
        </w:rPr>
        <w:t>200 mg Tablet</w:t>
      </w:r>
    </w:p>
    <w:p w14:paraId="00C0C69C" w14:textId="77777777" w:rsidR="001506C1" w:rsidRPr="00FA3F9C" w:rsidRDefault="001506C1" w:rsidP="006F623F">
      <w:pPr>
        <w:spacing w:after="0"/>
        <w:jc w:val="center"/>
        <w:rPr>
          <w:rFonts w:ascii="Arial" w:hAnsi="Arial" w:cs="Arial"/>
          <w:sz w:val="24"/>
          <w:szCs w:val="24"/>
        </w:rPr>
      </w:pPr>
      <w:r w:rsidRPr="00FA3F9C">
        <w:rPr>
          <w:rFonts w:ascii="Arial" w:hAnsi="Arial" w:cs="Arial"/>
          <w:sz w:val="24"/>
          <w:szCs w:val="24"/>
        </w:rPr>
        <w:t>EBRx PA Criteria</w:t>
      </w:r>
    </w:p>
    <w:p w14:paraId="7E900511" w14:textId="77777777" w:rsidR="001506C1" w:rsidRPr="00FA3F9C" w:rsidRDefault="001506C1" w:rsidP="006F623F">
      <w:pPr>
        <w:spacing w:after="0"/>
        <w:rPr>
          <w:rFonts w:ascii="Arial" w:hAnsi="Arial" w:cs="Arial"/>
          <w:b/>
          <w:sz w:val="24"/>
          <w:szCs w:val="24"/>
          <w:u w:val="single"/>
        </w:rPr>
      </w:pPr>
    </w:p>
    <w:p w14:paraId="761F586E" w14:textId="77777777" w:rsidR="001506C1" w:rsidRPr="00FA3F9C" w:rsidRDefault="001506C1"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w:t>
      </w:r>
    </w:p>
    <w:p w14:paraId="2B907810"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Treatment of adult and pediatric patients 12 years and older with chronic graft-versus-host disease (chronic GVHD) after failure of at least two prior lines of systemic therapy.</w:t>
      </w:r>
    </w:p>
    <w:tbl>
      <w:tblPr>
        <w:tblStyle w:val="TableGrid"/>
        <w:tblW w:w="0" w:type="auto"/>
        <w:tblLook w:val="04A0" w:firstRow="1" w:lastRow="0" w:firstColumn="1" w:lastColumn="0" w:noHBand="0" w:noVBand="1"/>
      </w:tblPr>
      <w:tblGrid>
        <w:gridCol w:w="8928"/>
        <w:gridCol w:w="2088"/>
      </w:tblGrid>
      <w:tr w:rsidR="001506C1" w:rsidRPr="00FA3F9C" w14:paraId="5B2504DB" w14:textId="77777777" w:rsidTr="00571CAB">
        <w:tc>
          <w:tcPr>
            <w:tcW w:w="8928" w:type="dxa"/>
            <w:shd w:val="clear" w:color="auto" w:fill="000000"/>
          </w:tcPr>
          <w:p w14:paraId="605ABA47" w14:textId="77777777" w:rsidR="001506C1" w:rsidRPr="00FA3F9C" w:rsidRDefault="001506C1" w:rsidP="00571CAB">
            <w:pPr>
              <w:rPr>
                <w:rFonts w:ascii="Arial" w:hAnsi="Arial" w:cs="Arial"/>
                <w:b/>
                <w:sz w:val="24"/>
                <w:szCs w:val="24"/>
                <w:u w:val="single"/>
              </w:rPr>
            </w:pPr>
            <w:r w:rsidRPr="00FA3F9C">
              <w:rPr>
                <w:rFonts w:ascii="Arial" w:hAnsi="Arial" w:cs="Arial"/>
                <w:b/>
                <w:sz w:val="24"/>
                <w:szCs w:val="24"/>
                <w:u w:val="single"/>
              </w:rPr>
              <w:lastRenderedPageBreak/>
              <w:t>Criteria for new users</w:t>
            </w:r>
          </w:p>
        </w:tc>
        <w:tc>
          <w:tcPr>
            <w:tcW w:w="2088" w:type="dxa"/>
            <w:shd w:val="clear" w:color="auto" w:fill="000000"/>
          </w:tcPr>
          <w:p w14:paraId="13A9260A" w14:textId="77777777" w:rsidR="001506C1" w:rsidRPr="00FA3F9C" w:rsidRDefault="001506C1" w:rsidP="006F623F">
            <w:pPr>
              <w:jc w:val="center"/>
              <w:rPr>
                <w:rFonts w:ascii="Arial" w:hAnsi="Arial" w:cs="Arial"/>
                <w:b/>
                <w:sz w:val="24"/>
                <w:szCs w:val="24"/>
                <w:u w:val="single"/>
              </w:rPr>
            </w:pPr>
          </w:p>
        </w:tc>
      </w:tr>
      <w:tr w:rsidR="001506C1" w:rsidRPr="00FA3F9C" w14:paraId="2158C665" w14:textId="77777777" w:rsidTr="00F337AE">
        <w:tc>
          <w:tcPr>
            <w:tcW w:w="11016" w:type="dxa"/>
            <w:gridSpan w:val="2"/>
          </w:tcPr>
          <w:p w14:paraId="36381A61" w14:textId="77777777" w:rsidR="001506C1" w:rsidRPr="00FA3F9C" w:rsidRDefault="001506C1" w:rsidP="006F623F">
            <w:pPr>
              <w:rPr>
                <w:rFonts w:ascii="Arial" w:hAnsi="Arial" w:cs="Arial"/>
                <w:sz w:val="24"/>
                <w:szCs w:val="24"/>
              </w:rPr>
            </w:pPr>
            <w:r w:rsidRPr="00FA3F9C">
              <w:rPr>
                <w:rFonts w:ascii="Arial" w:hAnsi="Arial" w:cs="Arial"/>
                <w:sz w:val="24"/>
                <w:szCs w:val="24"/>
              </w:rPr>
              <w:t>1. Diagnosis of chronic graft versus host disease (</w:t>
            </w:r>
            <w:proofErr w:type="spellStart"/>
            <w:r w:rsidRPr="00FA3F9C">
              <w:rPr>
                <w:rFonts w:ascii="Arial" w:hAnsi="Arial" w:cs="Arial"/>
                <w:sz w:val="24"/>
                <w:szCs w:val="24"/>
              </w:rPr>
              <w:t>cGVHD</w:t>
            </w:r>
            <w:proofErr w:type="spellEnd"/>
            <w:r w:rsidRPr="00FA3F9C">
              <w:rPr>
                <w:rFonts w:ascii="Arial" w:hAnsi="Arial" w:cs="Arial"/>
                <w:sz w:val="24"/>
                <w:szCs w:val="24"/>
              </w:rPr>
              <w:t>)</w:t>
            </w:r>
          </w:p>
        </w:tc>
      </w:tr>
      <w:tr w:rsidR="001506C1" w:rsidRPr="00FA3F9C" w14:paraId="09E68B03" w14:textId="77777777" w:rsidTr="00B1617E">
        <w:tc>
          <w:tcPr>
            <w:tcW w:w="11016" w:type="dxa"/>
            <w:gridSpan w:val="2"/>
          </w:tcPr>
          <w:p w14:paraId="65BFCB49" w14:textId="77777777" w:rsidR="001506C1" w:rsidRPr="00FA3F9C" w:rsidRDefault="001506C1" w:rsidP="008E78B9">
            <w:pPr>
              <w:rPr>
                <w:rFonts w:ascii="Arial" w:hAnsi="Arial" w:cs="Arial"/>
                <w:sz w:val="24"/>
                <w:szCs w:val="24"/>
              </w:rPr>
            </w:pPr>
            <w:r w:rsidRPr="00FA3F9C">
              <w:rPr>
                <w:rFonts w:ascii="Arial" w:hAnsi="Arial" w:cs="Arial"/>
                <w:sz w:val="24"/>
                <w:szCs w:val="24"/>
              </w:rPr>
              <w:t xml:space="preserve">2. Patient has been treated with at least two prior lines of systemic therapy with persistent manifestations of </w:t>
            </w:r>
            <w:proofErr w:type="spellStart"/>
            <w:r w:rsidRPr="00FA3F9C">
              <w:rPr>
                <w:rFonts w:ascii="Arial" w:hAnsi="Arial" w:cs="Arial"/>
                <w:sz w:val="24"/>
                <w:szCs w:val="24"/>
              </w:rPr>
              <w:t>cGVHD</w:t>
            </w:r>
            <w:proofErr w:type="spellEnd"/>
          </w:p>
        </w:tc>
      </w:tr>
      <w:tr w:rsidR="001506C1" w:rsidRPr="00FA3F9C" w14:paraId="10F06BB5" w14:textId="77777777" w:rsidTr="0010789D">
        <w:tc>
          <w:tcPr>
            <w:tcW w:w="11016" w:type="dxa"/>
            <w:gridSpan w:val="2"/>
          </w:tcPr>
          <w:p w14:paraId="6C6F9D3F" w14:textId="77777777" w:rsidR="001506C1" w:rsidRPr="00FA3F9C" w:rsidRDefault="001506C1" w:rsidP="008E78B9">
            <w:pPr>
              <w:rPr>
                <w:rFonts w:ascii="Arial" w:hAnsi="Arial" w:cs="Arial"/>
                <w:sz w:val="24"/>
                <w:szCs w:val="24"/>
              </w:rPr>
            </w:pPr>
            <w:r w:rsidRPr="00FA3F9C">
              <w:rPr>
                <w:rFonts w:ascii="Arial" w:hAnsi="Arial" w:cs="Arial"/>
                <w:sz w:val="24"/>
                <w:szCs w:val="24"/>
              </w:rPr>
              <w:t>3. Patient’s age is 12 years or older</w:t>
            </w:r>
          </w:p>
        </w:tc>
      </w:tr>
      <w:tr w:rsidR="001506C1" w:rsidRPr="00FA3F9C" w14:paraId="0223D8CD" w14:textId="77777777" w:rsidTr="008E78B9">
        <w:tc>
          <w:tcPr>
            <w:tcW w:w="11016" w:type="dxa"/>
            <w:gridSpan w:val="2"/>
            <w:shd w:val="clear" w:color="auto" w:fill="F2F2F2" w:themeFill="background1" w:themeFillShade="F2"/>
          </w:tcPr>
          <w:p w14:paraId="7260AEEE" w14:textId="77777777" w:rsidR="001506C1" w:rsidRPr="00FA3F9C" w:rsidRDefault="001506C1" w:rsidP="006F623F">
            <w:pPr>
              <w:rPr>
                <w:rFonts w:ascii="Arial" w:hAnsi="Arial" w:cs="Arial"/>
                <w:sz w:val="24"/>
                <w:szCs w:val="24"/>
              </w:rPr>
            </w:pPr>
            <w:r w:rsidRPr="00FA3F9C">
              <w:rPr>
                <w:rFonts w:ascii="Arial" w:hAnsi="Arial" w:cs="Arial"/>
                <w:sz w:val="24"/>
                <w:szCs w:val="24"/>
              </w:rPr>
              <w:t xml:space="preserve">Approve for 12 months if all criteria met. </w:t>
            </w:r>
          </w:p>
        </w:tc>
      </w:tr>
    </w:tbl>
    <w:p w14:paraId="3440D929" w14:textId="77777777" w:rsidR="001506C1" w:rsidRPr="00FA3F9C" w:rsidRDefault="001506C1" w:rsidP="006F623F">
      <w:pPr>
        <w:spacing w:after="0"/>
        <w:rPr>
          <w:rFonts w:ascii="Arial" w:hAnsi="Arial" w:cs="Arial"/>
          <w:b/>
          <w:sz w:val="24"/>
          <w:szCs w:val="24"/>
          <w:u w:val="single"/>
        </w:rPr>
      </w:pPr>
    </w:p>
    <w:tbl>
      <w:tblPr>
        <w:tblStyle w:val="TableGrid"/>
        <w:tblW w:w="0" w:type="auto"/>
        <w:shd w:val="clear" w:color="auto" w:fill="BFBFBF" w:themeFill="background1" w:themeFillShade="BF"/>
        <w:tblLook w:val="04A0" w:firstRow="1" w:lastRow="0" w:firstColumn="1" w:lastColumn="0" w:noHBand="0" w:noVBand="1"/>
      </w:tblPr>
      <w:tblGrid>
        <w:gridCol w:w="10998"/>
      </w:tblGrid>
      <w:tr w:rsidR="001506C1" w:rsidRPr="00FA3F9C" w14:paraId="0478A87A" w14:textId="77777777" w:rsidTr="00D82B6E">
        <w:tc>
          <w:tcPr>
            <w:tcW w:w="10998" w:type="dxa"/>
            <w:shd w:val="clear" w:color="auto" w:fill="BFBFBF" w:themeFill="background1" w:themeFillShade="BF"/>
          </w:tcPr>
          <w:p w14:paraId="36D7C593" w14:textId="77777777" w:rsidR="001506C1" w:rsidRPr="00FA3F9C" w:rsidRDefault="001506C1" w:rsidP="00D82B6E">
            <w:pPr>
              <w:rPr>
                <w:rFonts w:ascii="Arial" w:hAnsi="Arial" w:cs="Arial"/>
                <w:sz w:val="24"/>
                <w:szCs w:val="24"/>
              </w:rPr>
            </w:pPr>
            <w:r w:rsidRPr="00FA3F9C">
              <w:rPr>
                <w:rFonts w:ascii="Arial" w:hAnsi="Arial" w:cs="Arial"/>
                <w:sz w:val="24"/>
                <w:szCs w:val="24"/>
              </w:rPr>
              <w:t>Dose: 200 mg PO once daily. Treatment continues until progression of GVHD or unacceptable toxicity.</w:t>
            </w:r>
          </w:p>
          <w:p w14:paraId="0EC3746B" w14:textId="77777777" w:rsidR="001506C1" w:rsidRPr="00FA3F9C" w:rsidRDefault="001506C1" w:rsidP="00D82B6E">
            <w:pPr>
              <w:rPr>
                <w:rFonts w:ascii="Arial" w:hAnsi="Arial" w:cs="Arial"/>
                <w:sz w:val="24"/>
                <w:szCs w:val="24"/>
              </w:rPr>
            </w:pPr>
          </w:p>
          <w:p w14:paraId="7B55E271" w14:textId="77777777" w:rsidR="001506C1" w:rsidRPr="00FA3F9C" w:rsidRDefault="001506C1" w:rsidP="00D82B6E">
            <w:pPr>
              <w:rPr>
                <w:rFonts w:ascii="Arial" w:hAnsi="Arial" w:cs="Arial"/>
                <w:sz w:val="24"/>
                <w:szCs w:val="24"/>
              </w:rPr>
            </w:pPr>
            <w:r w:rsidRPr="00FA3F9C">
              <w:rPr>
                <w:rFonts w:ascii="Arial" w:hAnsi="Arial" w:cs="Arial"/>
                <w:sz w:val="24"/>
                <w:szCs w:val="24"/>
              </w:rPr>
              <w:t>References:</w:t>
            </w:r>
          </w:p>
          <w:p w14:paraId="28DD0462" w14:textId="77777777" w:rsidR="001506C1" w:rsidRPr="00FA3F9C" w:rsidRDefault="001506C1" w:rsidP="001506C1">
            <w:pPr>
              <w:pStyle w:val="ListParagraph"/>
              <w:numPr>
                <w:ilvl w:val="0"/>
                <w:numId w:val="48"/>
              </w:numPr>
              <w:ind w:left="360" w:hanging="270"/>
              <w:rPr>
                <w:rFonts w:ascii="Arial" w:hAnsi="Arial" w:cs="Arial"/>
                <w:sz w:val="24"/>
                <w:szCs w:val="24"/>
              </w:rPr>
            </w:pPr>
            <w:r w:rsidRPr="00FA3F9C">
              <w:rPr>
                <w:rFonts w:ascii="Arial" w:hAnsi="Arial" w:cs="Arial"/>
                <w:sz w:val="24"/>
                <w:szCs w:val="24"/>
              </w:rPr>
              <w:t>Cutler, Corey, et al. "</w:t>
            </w:r>
            <w:proofErr w:type="spellStart"/>
            <w:r w:rsidRPr="00FA3F9C">
              <w:rPr>
                <w:rFonts w:ascii="Arial" w:hAnsi="Arial" w:cs="Arial"/>
                <w:sz w:val="24"/>
                <w:szCs w:val="24"/>
              </w:rPr>
              <w:t>Belumosudil</w:t>
            </w:r>
            <w:proofErr w:type="spellEnd"/>
            <w:r w:rsidRPr="00FA3F9C">
              <w:rPr>
                <w:rFonts w:ascii="Arial" w:hAnsi="Arial" w:cs="Arial"/>
                <w:sz w:val="24"/>
                <w:szCs w:val="24"/>
              </w:rPr>
              <w:t xml:space="preserve"> for Chronic Graft-versus-Host Disease (</w:t>
            </w:r>
            <w:proofErr w:type="spellStart"/>
            <w:r w:rsidRPr="00FA3F9C">
              <w:rPr>
                <w:rFonts w:ascii="Arial" w:hAnsi="Arial" w:cs="Arial"/>
                <w:sz w:val="24"/>
                <w:szCs w:val="24"/>
              </w:rPr>
              <w:t>cGVHD</w:t>
            </w:r>
            <w:proofErr w:type="spellEnd"/>
            <w:r w:rsidRPr="00FA3F9C">
              <w:rPr>
                <w:rFonts w:ascii="Arial" w:hAnsi="Arial" w:cs="Arial"/>
                <w:sz w:val="24"/>
                <w:szCs w:val="24"/>
              </w:rPr>
              <w:t xml:space="preserve">) After 2 or More Prior Lines of Therapy: The </w:t>
            </w:r>
            <w:proofErr w:type="spellStart"/>
            <w:r w:rsidRPr="00FA3F9C">
              <w:rPr>
                <w:rFonts w:ascii="Arial" w:hAnsi="Arial" w:cs="Arial"/>
                <w:sz w:val="24"/>
                <w:szCs w:val="24"/>
              </w:rPr>
              <w:t>ROCKstar</w:t>
            </w:r>
            <w:proofErr w:type="spellEnd"/>
            <w:r w:rsidRPr="00FA3F9C">
              <w:rPr>
                <w:rFonts w:ascii="Arial" w:hAnsi="Arial" w:cs="Arial"/>
                <w:sz w:val="24"/>
                <w:szCs w:val="24"/>
              </w:rPr>
              <w:t xml:space="preserve"> Study." Blood (2021).</w:t>
            </w:r>
          </w:p>
          <w:p w14:paraId="41FDFCD7" w14:textId="77777777" w:rsidR="001506C1" w:rsidRPr="00FA3F9C" w:rsidRDefault="001506C1" w:rsidP="001506C1">
            <w:pPr>
              <w:pStyle w:val="ListParagraph"/>
              <w:numPr>
                <w:ilvl w:val="0"/>
                <w:numId w:val="48"/>
              </w:numPr>
              <w:ind w:left="360" w:hanging="270"/>
              <w:rPr>
                <w:rFonts w:ascii="Arial" w:hAnsi="Arial" w:cs="Arial"/>
                <w:sz w:val="24"/>
                <w:szCs w:val="24"/>
              </w:rPr>
            </w:pPr>
            <w:r w:rsidRPr="00FA3F9C">
              <w:rPr>
                <w:rFonts w:ascii="Arial" w:hAnsi="Arial" w:cs="Arial"/>
                <w:sz w:val="24"/>
                <w:szCs w:val="24"/>
              </w:rPr>
              <w:t xml:space="preserve">NIH response criteria for </w:t>
            </w:r>
            <w:proofErr w:type="spellStart"/>
            <w:r w:rsidRPr="00FA3F9C">
              <w:rPr>
                <w:rFonts w:ascii="Arial" w:hAnsi="Arial" w:cs="Arial"/>
                <w:sz w:val="24"/>
                <w:szCs w:val="24"/>
              </w:rPr>
              <w:t>cGVHD</w:t>
            </w:r>
            <w:proofErr w:type="spellEnd"/>
            <w:r w:rsidRPr="00FA3F9C">
              <w:rPr>
                <w:rFonts w:ascii="Arial" w:hAnsi="Arial" w:cs="Arial"/>
                <w:sz w:val="24"/>
                <w:szCs w:val="24"/>
              </w:rPr>
              <w:t xml:space="preserve">: </w:t>
            </w:r>
            <w:hyperlink r:id="rId48" w:history="1">
              <w:r w:rsidRPr="00FA3F9C">
                <w:rPr>
                  <w:rStyle w:val="Hyperlink"/>
                  <w:rFonts w:ascii="Arial" w:hAnsi="Arial" w:cs="Arial"/>
                  <w:sz w:val="24"/>
                  <w:szCs w:val="24"/>
                </w:rPr>
                <w:t>https://www.sciencedirect.com/science/article/pii/S108387911500155X</w:t>
              </w:r>
            </w:hyperlink>
            <w:r w:rsidRPr="00FA3F9C">
              <w:rPr>
                <w:rFonts w:ascii="Arial" w:hAnsi="Arial" w:cs="Arial"/>
                <w:sz w:val="24"/>
                <w:szCs w:val="24"/>
              </w:rPr>
              <w:t xml:space="preserve"> </w:t>
            </w:r>
          </w:p>
          <w:p w14:paraId="47D9AAC2" w14:textId="77777777" w:rsidR="001506C1" w:rsidRPr="00FA3F9C" w:rsidRDefault="001506C1" w:rsidP="001506C1">
            <w:pPr>
              <w:pStyle w:val="ListParagraph"/>
              <w:numPr>
                <w:ilvl w:val="0"/>
                <w:numId w:val="48"/>
              </w:numPr>
              <w:ind w:left="360" w:hanging="270"/>
              <w:rPr>
                <w:rFonts w:ascii="Arial" w:hAnsi="Arial" w:cs="Arial"/>
                <w:sz w:val="24"/>
                <w:szCs w:val="24"/>
              </w:rPr>
            </w:pPr>
            <w:proofErr w:type="spellStart"/>
            <w:r w:rsidRPr="00FA3F9C">
              <w:rPr>
                <w:rFonts w:ascii="Arial" w:hAnsi="Arial" w:cs="Arial"/>
                <w:sz w:val="24"/>
                <w:szCs w:val="24"/>
              </w:rPr>
              <w:t>Rezurock</w:t>
            </w:r>
            <w:proofErr w:type="spellEnd"/>
            <w:r w:rsidRPr="00FA3F9C">
              <w:rPr>
                <w:rFonts w:ascii="Arial" w:hAnsi="Arial" w:cs="Arial"/>
                <w:sz w:val="24"/>
                <w:szCs w:val="24"/>
              </w:rPr>
              <w:t xml:space="preserve"> PI: https://www.rezurock.com/full-prescribing-information.pdf  </w:t>
            </w:r>
          </w:p>
        </w:tc>
      </w:tr>
    </w:tbl>
    <w:p w14:paraId="23E3F530" w14:textId="77777777" w:rsidR="001506C1" w:rsidRPr="00FA3F9C" w:rsidRDefault="001506C1" w:rsidP="006F623F">
      <w:pPr>
        <w:spacing w:after="0"/>
        <w:rPr>
          <w:rFonts w:ascii="Arial" w:hAnsi="Arial" w:cs="Arial"/>
          <w:sz w:val="24"/>
          <w:szCs w:val="24"/>
        </w:rPr>
      </w:pPr>
    </w:p>
    <w:p w14:paraId="7B41F3FF"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Quantity Limits: 1/1</w:t>
      </w:r>
    </w:p>
    <w:p w14:paraId="2C3A7B5E" w14:textId="77777777" w:rsidR="001506C1" w:rsidRPr="00FA3F9C" w:rsidRDefault="001506C1" w:rsidP="006F623F">
      <w:pPr>
        <w:spacing w:after="0"/>
        <w:rPr>
          <w:rFonts w:ascii="Arial" w:hAnsi="Arial" w:cs="Arial"/>
          <w:sz w:val="24"/>
          <w:szCs w:val="24"/>
        </w:rPr>
      </w:pPr>
    </w:p>
    <w:p w14:paraId="5A9B9732"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017"/>
        <w:gridCol w:w="7470"/>
        <w:gridCol w:w="2538"/>
      </w:tblGrid>
      <w:tr w:rsidR="001506C1" w:rsidRPr="00FA3F9C" w14:paraId="1B2167E0" w14:textId="77777777" w:rsidTr="00FE491B">
        <w:tc>
          <w:tcPr>
            <w:tcW w:w="1008" w:type="dxa"/>
          </w:tcPr>
          <w:p w14:paraId="1E042F09" w14:textId="77777777" w:rsidR="001506C1" w:rsidRPr="00FA3F9C" w:rsidRDefault="001506C1" w:rsidP="006F623F">
            <w:pPr>
              <w:rPr>
                <w:rFonts w:ascii="Arial" w:hAnsi="Arial" w:cs="Arial"/>
                <w:sz w:val="24"/>
                <w:szCs w:val="24"/>
              </w:rPr>
            </w:pPr>
            <w:r w:rsidRPr="00FA3F9C">
              <w:rPr>
                <w:rFonts w:ascii="Arial" w:hAnsi="Arial" w:cs="Arial"/>
                <w:sz w:val="24"/>
                <w:szCs w:val="24"/>
              </w:rPr>
              <w:t>Date</w:t>
            </w:r>
          </w:p>
        </w:tc>
        <w:tc>
          <w:tcPr>
            <w:tcW w:w="7470" w:type="dxa"/>
          </w:tcPr>
          <w:p w14:paraId="218D25E4" w14:textId="77777777" w:rsidR="001506C1" w:rsidRPr="00FA3F9C" w:rsidRDefault="001506C1" w:rsidP="006F623F">
            <w:pPr>
              <w:rPr>
                <w:rFonts w:ascii="Arial" w:hAnsi="Arial" w:cs="Arial"/>
                <w:sz w:val="24"/>
                <w:szCs w:val="24"/>
              </w:rPr>
            </w:pPr>
            <w:r w:rsidRPr="00FA3F9C">
              <w:rPr>
                <w:rFonts w:ascii="Arial" w:hAnsi="Arial" w:cs="Arial"/>
                <w:sz w:val="24"/>
                <w:szCs w:val="24"/>
              </w:rPr>
              <w:t>What changed</w:t>
            </w:r>
          </w:p>
        </w:tc>
        <w:tc>
          <w:tcPr>
            <w:tcW w:w="2538" w:type="dxa"/>
          </w:tcPr>
          <w:p w14:paraId="3EF36974" w14:textId="77777777" w:rsidR="001506C1" w:rsidRPr="00FA3F9C" w:rsidRDefault="001506C1" w:rsidP="006F623F">
            <w:pPr>
              <w:rPr>
                <w:rFonts w:ascii="Arial" w:hAnsi="Arial" w:cs="Arial"/>
                <w:sz w:val="24"/>
                <w:szCs w:val="24"/>
              </w:rPr>
            </w:pPr>
            <w:r w:rsidRPr="00FA3F9C">
              <w:rPr>
                <w:rFonts w:ascii="Arial" w:hAnsi="Arial" w:cs="Arial"/>
                <w:sz w:val="24"/>
                <w:szCs w:val="24"/>
              </w:rPr>
              <w:t>Pharmacist’s initials</w:t>
            </w:r>
          </w:p>
        </w:tc>
      </w:tr>
      <w:tr w:rsidR="001506C1" w:rsidRPr="00FA3F9C" w14:paraId="3B49BE6F" w14:textId="77777777" w:rsidTr="00FE491B">
        <w:tc>
          <w:tcPr>
            <w:tcW w:w="1008" w:type="dxa"/>
          </w:tcPr>
          <w:p w14:paraId="6B9AC2F5" w14:textId="77777777" w:rsidR="001506C1" w:rsidRPr="00FA3F9C" w:rsidRDefault="001506C1" w:rsidP="006F623F">
            <w:pPr>
              <w:rPr>
                <w:rFonts w:ascii="Arial" w:hAnsi="Arial" w:cs="Arial"/>
                <w:sz w:val="24"/>
                <w:szCs w:val="24"/>
              </w:rPr>
            </w:pPr>
            <w:r w:rsidRPr="00FA3F9C">
              <w:rPr>
                <w:rFonts w:ascii="Arial" w:hAnsi="Arial" w:cs="Arial"/>
                <w:sz w:val="24"/>
                <w:szCs w:val="24"/>
              </w:rPr>
              <w:t>9/21/21</w:t>
            </w:r>
          </w:p>
        </w:tc>
        <w:tc>
          <w:tcPr>
            <w:tcW w:w="7470" w:type="dxa"/>
          </w:tcPr>
          <w:p w14:paraId="2B360EE4" w14:textId="77777777" w:rsidR="001506C1" w:rsidRPr="00FA3F9C" w:rsidRDefault="001506C1" w:rsidP="006F623F">
            <w:pPr>
              <w:rPr>
                <w:rFonts w:ascii="Arial" w:hAnsi="Arial" w:cs="Arial"/>
                <w:sz w:val="24"/>
                <w:szCs w:val="24"/>
              </w:rPr>
            </w:pPr>
            <w:r w:rsidRPr="00FA3F9C">
              <w:rPr>
                <w:rFonts w:ascii="Arial" w:hAnsi="Arial" w:cs="Arial"/>
                <w:sz w:val="24"/>
                <w:szCs w:val="24"/>
              </w:rPr>
              <w:t>Criteria written</w:t>
            </w:r>
          </w:p>
        </w:tc>
        <w:tc>
          <w:tcPr>
            <w:tcW w:w="2538" w:type="dxa"/>
          </w:tcPr>
          <w:p w14:paraId="53E60B3B" w14:textId="77777777" w:rsidR="001506C1" w:rsidRPr="00FA3F9C" w:rsidRDefault="001506C1" w:rsidP="006F623F">
            <w:pPr>
              <w:rPr>
                <w:rFonts w:ascii="Arial" w:hAnsi="Arial" w:cs="Arial"/>
                <w:sz w:val="24"/>
                <w:szCs w:val="24"/>
              </w:rPr>
            </w:pPr>
            <w:r w:rsidRPr="00FA3F9C">
              <w:rPr>
                <w:rFonts w:ascii="Arial" w:hAnsi="Arial" w:cs="Arial"/>
                <w:sz w:val="24"/>
                <w:szCs w:val="24"/>
              </w:rPr>
              <w:t>SK</w:t>
            </w:r>
          </w:p>
        </w:tc>
      </w:tr>
      <w:tr w:rsidR="001506C1" w:rsidRPr="00FA3F9C" w14:paraId="4DE86296" w14:textId="77777777" w:rsidTr="00FE491B">
        <w:tc>
          <w:tcPr>
            <w:tcW w:w="1008" w:type="dxa"/>
          </w:tcPr>
          <w:p w14:paraId="171B86A9" w14:textId="77777777" w:rsidR="001506C1" w:rsidRPr="00FA3F9C" w:rsidRDefault="001506C1" w:rsidP="006F623F">
            <w:pPr>
              <w:rPr>
                <w:rFonts w:ascii="Arial" w:hAnsi="Arial" w:cs="Arial"/>
                <w:sz w:val="24"/>
                <w:szCs w:val="24"/>
              </w:rPr>
            </w:pPr>
          </w:p>
        </w:tc>
        <w:tc>
          <w:tcPr>
            <w:tcW w:w="7470" w:type="dxa"/>
          </w:tcPr>
          <w:p w14:paraId="1609CF2C" w14:textId="77777777" w:rsidR="001506C1" w:rsidRPr="00FA3F9C" w:rsidRDefault="001506C1" w:rsidP="006F623F">
            <w:pPr>
              <w:rPr>
                <w:rFonts w:ascii="Arial" w:hAnsi="Arial" w:cs="Arial"/>
                <w:sz w:val="24"/>
                <w:szCs w:val="24"/>
              </w:rPr>
            </w:pPr>
          </w:p>
        </w:tc>
        <w:tc>
          <w:tcPr>
            <w:tcW w:w="2538" w:type="dxa"/>
          </w:tcPr>
          <w:p w14:paraId="115D934B" w14:textId="77777777" w:rsidR="001506C1" w:rsidRPr="00FA3F9C" w:rsidRDefault="001506C1" w:rsidP="006F623F">
            <w:pPr>
              <w:rPr>
                <w:rFonts w:ascii="Arial" w:hAnsi="Arial" w:cs="Arial"/>
                <w:sz w:val="24"/>
                <w:szCs w:val="24"/>
              </w:rPr>
            </w:pPr>
          </w:p>
        </w:tc>
      </w:tr>
    </w:tbl>
    <w:p w14:paraId="671AF320" w14:textId="77777777" w:rsidR="001506C1" w:rsidRPr="00FA3F9C" w:rsidRDefault="001506C1" w:rsidP="006F623F">
      <w:pPr>
        <w:spacing w:after="0"/>
        <w:rPr>
          <w:rFonts w:ascii="Arial" w:hAnsi="Arial" w:cs="Arial"/>
          <w:sz w:val="24"/>
          <w:szCs w:val="24"/>
        </w:rPr>
      </w:pPr>
    </w:p>
    <w:p w14:paraId="49E1B042" w14:textId="77777777" w:rsidR="001506C1" w:rsidRPr="00FA3F9C" w:rsidRDefault="001506C1" w:rsidP="00CA4C3C">
      <w:pPr>
        <w:pStyle w:val="Heading2"/>
      </w:pPr>
      <w:bookmarkStart w:id="33" w:name="_Toc106369735"/>
      <w:proofErr w:type="spellStart"/>
      <w:r w:rsidRPr="00FA3F9C">
        <w:t>Belzutifan</w:t>
      </w:r>
      <w:proofErr w:type="spellEnd"/>
      <w:r w:rsidRPr="00FA3F9C">
        <w:t xml:space="preserve"> (</w:t>
      </w:r>
      <w:proofErr w:type="spellStart"/>
      <w:r w:rsidRPr="00FA3F9C">
        <w:t>Welireg</w:t>
      </w:r>
      <w:proofErr w:type="spellEnd"/>
      <w:r w:rsidRPr="00FA3F9C">
        <w:t>)</w:t>
      </w:r>
      <w:bookmarkEnd w:id="33"/>
    </w:p>
    <w:p w14:paraId="7233AF17" w14:textId="77777777" w:rsidR="001506C1" w:rsidRPr="00FA3F9C" w:rsidRDefault="001506C1" w:rsidP="006F623F">
      <w:pPr>
        <w:spacing w:after="0"/>
        <w:jc w:val="center"/>
        <w:rPr>
          <w:rFonts w:ascii="Arial" w:hAnsi="Arial" w:cs="Arial"/>
          <w:sz w:val="24"/>
          <w:szCs w:val="24"/>
        </w:rPr>
      </w:pPr>
      <w:r w:rsidRPr="00FA3F9C">
        <w:rPr>
          <w:rFonts w:ascii="Arial" w:hAnsi="Arial" w:cs="Arial"/>
          <w:sz w:val="24"/>
          <w:szCs w:val="24"/>
        </w:rPr>
        <w:t>40 mg tablet</w:t>
      </w:r>
    </w:p>
    <w:p w14:paraId="43D0F167" w14:textId="77777777" w:rsidR="001506C1" w:rsidRPr="00FA3F9C" w:rsidRDefault="001506C1" w:rsidP="006F623F">
      <w:pPr>
        <w:spacing w:after="0"/>
        <w:jc w:val="center"/>
        <w:rPr>
          <w:rFonts w:ascii="Arial" w:hAnsi="Arial" w:cs="Arial"/>
          <w:sz w:val="24"/>
          <w:szCs w:val="24"/>
        </w:rPr>
      </w:pPr>
      <w:r w:rsidRPr="00FA3F9C">
        <w:rPr>
          <w:rFonts w:ascii="Arial" w:hAnsi="Arial" w:cs="Arial"/>
          <w:sz w:val="24"/>
          <w:szCs w:val="24"/>
        </w:rPr>
        <w:t>EBRx PA Criteria</w:t>
      </w:r>
    </w:p>
    <w:p w14:paraId="41C9D38F" w14:textId="77777777" w:rsidR="001506C1" w:rsidRPr="00FA3F9C" w:rsidRDefault="001506C1" w:rsidP="006F623F">
      <w:pPr>
        <w:spacing w:after="0"/>
        <w:rPr>
          <w:rFonts w:ascii="Arial" w:hAnsi="Arial" w:cs="Arial"/>
          <w:b/>
          <w:sz w:val="24"/>
          <w:szCs w:val="24"/>
          <w:u w:val="single"/>
        </w:rPr>
      </w:pPr>
    </w:p>
    <w:p w14:paraId="76C5F84D" w14:textId="77777777" w:rsidR="001506C1" w:rsidRPr="00FA3F9C" w:rsidRDefault="001506C1"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w:t>
      </w:r>
    </w:p>
    <w:p w14:paraId="23D39CA2"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Treatment of adult patients with von Hippel-Lindau (VHL) disease who require therapy for associated renal cell carcinoma (RCC), central nervous system (CNS) hemangioblastomas, or pancreatic neuroendocrine tumors (</w:t>
      </w:r>
      <w:proofErr w:type="spellStart"/>
      <w:r w:rsidRPr="00FA3F9C">
        <w:rPr>
          <w:rFonts w:ascii="Arial" w:hAnsi="Arial" w:cs="Arial"/>
          <w:sz w:val="24"/>
          <w:szCs w:val="24"/>
        </w:rPr>
        <w:t>pNET</w:t>
      </w:r>
      <w:proofErr w:type="spellEnd"/>
      <w:r w:rsidRPr="00FA3F9C">
        <w:rPr>
          <w:rFonts w:ascii="Arial" w:hAnsi="Arial" w:cs="Arial"/>
          <w:sz w:val="24"/>
          <w:szCs w:val="24"/>
        </w:rPr>
        <w:t>), not requiring immediate surgery.</w:t>
      </w:r>
    </w:p>
    <w:tbl>
      <w:tblPr>
        <w:tblStyle w:val="TableGrid"/>
        <w:tblW w:w="0" w:type="auto"/>
        <w:tblLook w:val="04A0" w:firstRow="1" w:lastRow="0" w:firstColumn="1" w:lastColumn="0" w:noHBand="0" w:noVBand="1"/>
      </w:tblPr>
      <w:tblGrid>
        <w:gridCol w:w="8928"/>
        <w:gridCol w:w="2088"/>
      </w:tblGrid>
      <w:tr w:rsidR="001506C1" w:rsidRPr="00FA3F9C" w14:paraId="2150C95E" w14:textId="77777777" w:rsidTr="00571CAB">
        <w:tc>
          <w:tcPr>
            <w:tcW w:w="8928" w:type="dxa"/>
            <w:shd w:val="clear" w:color="auto" w:fill="000000"/>
          </w:tcPr>
          <w:p w14:paraId="082CB3AB" w14:textId="77777777" w:rsidR="001506C1" w:rsidRPr="00FA3F9C" w:rsidRDefault="001506C1" w:rsidP="00571CAB">
            <w:pPr>
              <w:rPr>
                <w:rFonts w:ascii="Arial" w:hAnsi="Arial" w:cs="Arial"/>
                <w:b/>
                <w:sz w:val="24"/>
                <w:szCs w:val="24"/>
                <w:u w:val="single"/>
              </w:rPr>
            </w:pPr>
            <w:r w:rsidRPr="00FA3F9C">
              <w:rPr>
                <w:rFonts w:ascii="Arial" w:hAnsi="Arial" w:cs="Arial"/>
                <w:b/>
                <w:sz w:val="24"/>
                <w:szCs w:val="24"/>
                <w:u w:val="single"/>
              </w:rPr>
              <w:lastRenderedPageBreak/>
              <w:t>Criteria for new users</w:t>
            </w:r>
          </w:p>
        </w:tc>
        <w:tc>
          <w:tcPr>
            <w:tcW w:w="2088" w:type="dxa"/>
            <w:shd w:val="clear" w:color="auto" w:fill="000000"/>
          </w:tcPr>
          <w:p w14:paraId="35F55F2B" w14:textId="77777777" w:rsidR="001506C1" w:rsidRPr="00FA3F9C" w:rsidRDefault="001506C1" w:rsidP="006F623F">
            <w:pPr>
              <w:jc w:val="center"/>
              <w:rPr>
                <w:rFonts w:ascii="Arial" w:hAnsi="Arial" w:cs="Arial"/>
                <w:b/>
                <w:sz w:val="24"/>
                <w:szCs w:val="24"/>
                <w:u w:val="single"/>
              </w:rPr>
            </w:pPr>
          </w:p>
        </w:tc>
      </w:tr>
      <w:tr w:rsidR="001506C1" w:rsidRPr="00FA3F9C" w14:paraId="3409A4F5" w14:textId="77777777" w:rsidTr="00F337AE">
        <w:tc>
          <w:tcPr>
            <w:tcW w:w="11016" w:type="dxa"/>
            <w:gridSpan w:val="2"/>
          </w:tcPr>
          <w:p w14:paraId="3349DF56" w14:textId="77777777" w:rsidR="001506C1" w:rsidRPr="00FA3F9C" w:rsidRDefault="001506C1" w:rsidP="00CA78C6">
            <w:pPr>
              <w:rPr>
                <w:rFonts w:ascii="Arial" w:hAnsi="Arial" w:cs="Arial"/>
                <w:sz w:val="24"/>
                <w:szCs w:val="24"/>
              </w:rPr>
            </w:pPr>
            <w:r w:rsidRPr="00FA3F9C">
              <w:rPr>
                <w:rFonts w:ascii="Arial" w:hAnsi="Arial" w:cs="Arial"/>
                <w:sz w:val="24"/>
                <w:szCs w:val="24"/>
              </w:rPr>
              <w:t>1. Diagnosis renal cell carcinoma, central nervous system hemangioblastoma, or pancreatic neuroendocrine tumor</w:t>
            </w:r>
          </w:p>
        </w:tc>
      </w:tr>
      <w:tr w:rsidR="001506C1" w:rsidRPr="00FA3F9C" w14:paraId="2D6521F2" w14:textId="77777777" w:rsidTr="00B1617E">
        <w:tc>
          <w:tcPr>
            <w:tcW w:w="11016" w:type="dxa"/>
            <w:gridSpan w:val="2"/>
          </w:tcPr>
          <w:p w14:paraId="710A261D" w14:textId="77777777" w:rsidR="001506C1" w:rsidRPr="00FA3F9C" w:rsidRDefault="001506C1" w:rsidP="00CA78C6">
            <w:pPr>
              <w:rPr>
                <w:rFonts w:ascii="Arial" w:hAnsi="Arial" w:cs="Arial"/>
                <w:sz w:val="24"/>
                <w:szCs w:val="24"/>
              </w:rPr>
            </w:pPr>
            <w:r w:rsidRPr="00FA3F9C">
              <w:rPr>
                <w:rFonts w:ascii="Arial" w:hAnsi="Arial" w:cs="Arial"/>
                <w:sz w:val="24"/>
                <w:szCs w:val="24"/>
              </w:rPr>
              <w:t>2. Diagnosis of von Hippel-Lindau (VHL) disease with documentation of germline VHL alteration</w:t>
            </w:r>
          </w:p>
        </w:tc>
      </w:tr>
      <w:tr w:rsidR="001506C1" w:rsidRPr="00FA3F9C" w14:paraId="2E44E723" w14:textId="77777777" w:rsidTr="0010789D">
        <w:tc>
          <w:tcPr>
            <w:tcW w:w="11016" w:type="dxa"/>
            <w:gridSpan w:val="2"/>
          </w:tcPr>
          <w:p w14:paraId="1BD3FAB0" w14:textId="77777777" w:rsidR="001506C1" w:rsidRPr="00FA3F9C" w:rsidRDefault="001506C1" w:rsidP="00CA78C6">
            <w:pPr>
              <w:rPr>
                <w:rFonts w:ascii="Arial" w:hAnsi="Arial" w:cs="Arial"/>
                <w:sz w:val="24"/>
                <w:szCs w:val="24"/>
              </w:rPr>
            </w:pPr>
            <w:r w:rsidRPr="00FA3F9C">
              <w:rPr>
                <w:rFonts w:ascii="Arial" w:hAnsi="Arial" w:cs="Arial"/>
                <w:sz w:val="24"/>
                <w:szCs w:val="24"/>
              </w:rPr>
              <w:t>3. Disease does not require immediate surgery</w:t>
            </w:r>
          </w:p>
        </w:tc>
      </w:tr>
      <w:tr w:rsidR="001506C1" w:rsidRPr="00FA3F9C" w14:paraId="2BB57296" w14:textId="77777777" w:rsidTr="00DA57E0">
        <w:tc>
          <w:tcPr>
            <w:tcW w:w="11016" w:type="dxa"/>
            <w:gridSpan w:val="2"/>
          </w:tcPr>
          <w:p w14:paraId="24640235" w14:textId="77777777" w:rsidR="001506C1" w:rsidRPr="00FA3F9C" w:rsidRDefault="001506C1" w:rsidP="00CA78C6">
            <w:pPr>
              <w:rPr>
                <w:rFonts w:ascii="Arial" w:hAnsi="Arial" w:cs="Arial"/>
                <w:sz w:val="24"/>
                <w:szCs w:val="24"/>
              </w:rPr>
            </w:pPr>
            <w:r w:rsidRPr="00FA3F9C">
              <w:rPr>
                <w:rFonts w:ascii="Arial" w:hAnsi="Arial" w:cs="Arial"/>
                <w:sz w:val="24"/>
                <w:szCs w:val="24"/>
              </w:rPr>
              <w:t>4. No metastatic disease</w:t>
            </w:r>
          </w:p>
        </w:tc>
      </w:tr>
    </w:tbl>
    <w:p w14:paraId="6AF9BB55" w14:textId="77777777" w:rsidR="001506C1" w:rsidRPr="00FA3F9C" w:rsidRDefault="001506C1" w:rsidP="006F623F">
      <w:pPr>
        <w:spacing w:after="0"/>
        <w:rPr>
          <w:rFonts w:ascii="Arial" w:hAnsi="Arial" w:cs="Arial"/>
          <w:b/>
          <w:sz w:val="24"/>
          <w:szCs w:val="24"/>
          <w:u w:val="single"/>
        </w:rPr>
      </w:pPr>
    </w:p>
    <w:tbl>
      <w:tblPr>
        <w:tblStyle w:val="TableGrid"/>
        <w:tblW w:w="0" w:type="auto"/>
        <w:shd w:val="clear" w:color="auto" w:fill="BFBFBF" w:themeFill="background1" w:themeFillShade="BF"/>
        <w:tblLook w:val="04A0" w:firstRow="1" w:lastRow="0" w:firstColumn="1" w:lastColumn="0" w:noHBand="0" w:noVBand="1"/>
      </w:tblPr>
      <w:tblGrid>
        <w:gridCol w:w="10998"/>
      </w:tblGrid>
      <w:tr w:rsidR="001506C1" w:rsidRPr="00FA3F9C" w14:paraId="50028657" w14:textId="77777777" w:rsidTr="00D82B6E">
        <w:tc>
          <w:tcPr>
            <w:tcW w:w="10998" w:type="dxa"/>
            <w:shd w:val="clear" w:color="auto" w:fill="BFBFBF" w:themeFill="background1" w:themeFillShade="BF"/>
          </w:tcPr>
          <w:p w14:paraId="099499BA" w14:textId="77777777" w:rsidR="001506C1" w:rsidRPr="00FA3F9C" w:rsidRDefault="001506C1" w:rsidP="00D82B6E">
            <w:pPr>
              <w:rPr>
                <w:rFonts w:ascii="Arial" w:hAnsi="Arial" w:cs="Arial"/>
                <w:sz w:val="24"/>
                <w:szCs w:val="24"/>
              </w:rPr>
            </w:pPr>
            <w:r w:rsidRPr="00FA3F9C">
              <w:rPr>
                <w:rFonts w:ascii="Arial" w:hAnsi="Arial" w:cs="Arial"/>
                <w:sz w:val="24"/>
                <w:szCs w:val="24"/>
              </w:rPr>
              <w:t>Notes:</w:t>
            </w:r>
          </w:p>
          <w:p w14:paraId="24DA3323" w14:textId="77777777" w:rsidR="001506C1" w:rsidRPr="00FA3F9C" w:rsidRDefault="001506C1" w:rsidP="00D82B6E">
            <w:pPr>
              <w:rPr>
                <w:rFonts w:ascii="Arial" w:hAnsi="Arial" w:cs="Arial"/>
                <w:sz w:val="24"/>
                <w:szCs w:val="24"/>
              </w:rPr>
            </w:pPr>
          </w:p>
          <w:p w14:paraId="61E892E4" w14:textId="77777777" w:rsidR="001506C1" w:rsidRPr="00FA3F9C" w:rsidRDefault="001506C1" w:rsidP="00D82B6E">
            <w:pPr>
              <w:rPr>
                <w:rFonts w:ascii="Arial" w:hAnsi="Arial" w:cs="Arial"/>
                <w:sz w:val="24"/>
                <w:szCs w:val="24"/>
              </w:rPr>
            </w:pPr>
            <w:r w:rsidRPr="00FA3F9C">
              <w:rPr>
                <w:rFonts w:ascii="Arial" w:hAnsi="Arial" w:cs="Arial"/>
                <w:sz w:val="24"/>
                <w:szCs w:val="24"/>
              </w:rPr>
              <w:t>Dose 120 mg PO daily until disease progression or unacceptable toxicity.</w:t>
            </w:r>
          </w:p>
          <w:p w14:paraId="3258121D" w14:textId="77777777" w:rsidR="001506C1" w:rsidRPr="00FA3F9C" w:rsidRDefault="001506C1" w:rsidP="00D82B6E">
            <w:pPr>
              <w:rPr>
                <w:rFonts w:ascii="Arial" w:hAnsi="Arial" w:cs="Arial"/>
                <w:sz w:val="24"/>
                <w:szCs w:val="24"/>
              </w:rPr>
            </w:pPr>
          </w:p>
          <w:p w14:paraId="77BBC1D7" w14:textId="77777777" w:rsidR="001506C1" w:rsidRPr="00FA3F9C" w:rsidRDefault="001506C1" w:rsidP="00D82B6E">
            <w:pPr>
              <w:rPr>
                <w:rFonts w:ascii="Arial" w:hAnsi="Arial" w:cs="Arial"/>
                <w:sz w:val="24"/>
                <w:szCs w:val="24"/>
              </w:rPr>
            </w:pPr>
            <w:r w:rsidRPr="00FA3F9C">
              <w:rPr>
                <w:rFonts w:ascii="Arial" w:hAnsi="Arial" w:cs="Arial"/>
                <w:sz w:val="24"/>
                <w:szCs w:val="24"/>
              </w:rPr>
              <w:t>Reference:</w:t>
            </w:r>
          </w:p>
          <w:p w14:paraId="7908571A" w14:textId="77777777" w:rsidR="001506C1" w:rsidRPr="00FA3F9C" w:rsidRDefault="001506C1" w:rsidP="00CA78C6">
            <w:pPr>
              <w:rPr>
                <w:rFonts w:ascii="Arial" w:hAnsi="Arial" w:cs="Arial"/>
                <w:sz w:val="24"/>
                <w:szCs w:val="24"/>
              </w:rPr>
            </w:pPr>
            <w:proofErr w:type="spellStart"/>
            <w:r w:rsidRPr="00FA3F9C">
              <w:rPr>
                <w:rFonts w:ascii="Arial" w:hAnsi="Arial" w:cs="Arial"/>
                <w:sz w:val="24"/>
                <w:szCs w:val="24"/>
              </w:rPr>
              <w:t>Belzutifan</w:t>
            </w:r>
            <w:proofErr w:type="spellEnd"/>
            <w:r w:rsidRPr="00FA3F9C">
              <w:rPr>
                <w:rFonts w:ascii="Arial" w:hAnsi="Arial" w:cs="Arial"/>
                <w:sz w:val="24"/>
                <w:szCs w:val="24"/>
              </w:rPr>
              <w:t xml:space="preserve"> package insert. </w:t>
            </w:r>
            <w:hyperlink r:id="rId49" w:history="1">
              <w:r w:rsidRPr="00FA3F9C">
                <w:rPr>
                  <w:rStyle w:val="Hyperlink"/>
                  <w:rFonts w:ascii="Arial" w:hAnsi="Arial" w:cs="Arial"/>
                  <w:sz w:val="24"/>
                  <w:szCs w:val="24"/>
                </w:rPr>
                <w:t>https://www.merck.com/product/usa/pi_circulars/w/welireg/welireg_pi.pdf</w:t>
              </w:r>
            </w:hyperlink>
            <w:r w:rsidRPr="00FA3F9C">
              <w:rPr>
                <w:rFonts w:ascii="Arial" w:hAnsi="Arial" w:cs="Arial"/>
                <w:sz w:val="24"/>
                <w:szCs w:val="24"/>
              </w:rPr>
              <w:t xml:space="preserve">. </w:t>
            </w:r>
          </w:p>
        </w:tc>
      </w:tr>
    </w:tbl>
    <w:p w14:paraId="0BE8A83A" w14:textId="77777777" w:rsidR="001506C1" w:rsidRPr="00FA3F9C" w:rsidRDefault="001506C1" w:rsidP="006F623F">
      <w:pPr>
        <w:spacing w:after="0"/>
        <w:rPr>
          <w:rFonts w:ascii="Arial" w:hAnsi="Arial" w:cs="Arial"/>
          <w:sz w:val="24"/>
          <w:szCs w:val="24"/>
        </w:rPr>
      </w:pPr>
    </w:p>
    <w:p w14:paraId="778A6CC5"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Quantity Limits: 3/1</w:t>
      </w:r>
    </w:p>
    <w:p w14:paraId="147BA825" w14:textId="77777777" w:rsidR="001506C1" w:rsidRPr="00FA3F9C" w:rsidRDefault="001506C1" w:rsidP="006F623F">
      <w:pPr>
        <w:spacing w:after="0"/>
        <w:rPr>
          <w:rFonts w:ascii="Arial" w:hAnsi="Arial" w:cs="Arial"/>
          <w:sz w:val="24"/>
          <w:szCs w:val="24"/>
        </w:rPr>
      </w:pPr>
    </w:p>
    <w:p w14:paraId="66EE608A"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418"/>
        <w:gridCol w:w="7470"/>
        <w:gridCol w:w="2538"/>
      </w:tblGrid>
      <w:tr w:rsidR="001506C1" w:rsidRPr="00FA3F9C" w14:paraId="3D2479C0" w14:textId="77777777" w:rsidTr="00FE491B">
        <w:tc>
          <w:tcPr>
            <w:tcW w:w="1008" w:type="dxa"/>
          </w:tcPr>
          <w:p w14:paraId="61FA8AD0" w14:textId="77777777" w:rsidR="001506C1" w:rsidRPr="00FA3F9C" w:rsidRDefault="001506C1" w:rsidP="006F623F">
            <w:pPr>
              <w:rPr>
                <w:rFonts w:ascii="Arial" w:hAnsi="Arial" w:cs="Arial"/>
                <w:sz w:val="24"/>
                <w:szCs w:val="24"/>
              </w:rPr>
            </w:pPr>
            <w:r w:rsidRPr="00FA3F9C">
              <w:rPr>
                <w:rFonts w:ascii="Arial" w:hAnsi="Arial" w:cs="Arial"/>
                <w:sz w:val="24"/>
                <w:szCs w:val="24"/>
              </w:rPr>
              <w:t>Date</w:t>
            </w:r>
          </w:p>
        </w:tc>
        <w:tc>
          <w:tcPr>
            <w:tcW w:w="7470" w:type="dxa"/>
          </w:tcPr>
          <w:p w14:paraId="63AC30FE" w14:textId="77777777" w:rsidR="001506C1" w:rsidRPr="00FA3F9C" w:rsidRDefault="001506C1" w:rsidP="006F623F">
            <w:pPr>
              <w:rPr>
                <w:rFonts w:ascii="Arial" w:hAnsi="Arial" w:cs="Arial"/>
                <w:sz w:val="24"/>
                <w:szCs w:val="24"/>
              </w:rPr>
            </w:pPr>
            <w:r w:rsidRPr="00FA3F9C">
              <w:rPr>
                <w:rFonts w:ascii="Arial" w:hAnsi="Arial" w:cs="Arial"/>
                <w:sz w:val="24"/>
                <w:szCs w:val="24"/>
              </w:rPr>
              <w:t>What changed</w:t>
            </w:r>
          </w:p>
        </w:tc>
        <w:tc>
          <w:tcPr>
            <w:tcW w:w="2538" w:type="dxa"/>
          </w:tcPr>
          <w:p w14:paraId="5FE05B89" w14:textId="77777777" w:rsidR="001506C1" w:rsidRPr="00FA3F9C" w:rsidRDefault="001506C1" w:rsidP="006F623F">
            <w:pPr>
              <w:rPr>
                <w:rFonts w:ascii="Arial" w:hAnsi="Arial" w:cs="Arial"/>
                <w:sz w:val="24"/>
                <w:szCs w:val="24"/>
              </w:rPr>
            </w:pPr>
            <w:r w:rsidRPr="00FA3F9C">
              <w:rPr>
                <w:rFonts w:ascii="Arial" w:hAnsi="Arial" w:cs="Arial"/>
                <w:sz w:val="24"/>
                <w:szCs w:val="24"/>
              </w:rPr>
              <w:t>Pharmacist’s initials</w:t>
            </w:r>
          </w:p>
        </w:tc>
      </w:tr>
      <w:tr w:rsidR="001506C1" w:rsidRPr="00FA3F9C" w14:paraId="5E89A513" w14:textId="77777777" w:rsidTr="00FE491B">
        <w:tc>
          <w:tcPr>
            <w:tcW w:w="1008" w:type="dxa"/>
          </w:tcPr>
          <w:p w14:paraId="3B5F9291" w14:textId="77777777" w:rsidR="001506C1" w:rsidRPr="00FA3F9C" w:rsidRDefault="001506C1" w:rsidP="006F623F">
            <w:pPr>
              <w:rPr>
                <w:rFonts w:ascii="Arial" w:hAnsi="Arial" w:cs="Arial"/>
                <w:sz w:val="24"/>
                <w:szCs w:val="24"/>
              </w:rPr>
            </w:pPr>
            <w:r w:rsidRPr="00FA3F9C">
              <w:rPr>
                <w:rFonts w:ascii="Arial" w:hAnsi="Arial" w:cs="Arial"/>
                <w:sz w:val="24"/>
                <w:szCs w:val="24"/>
              </w:rPr>
              <w:t>10/21/2021</w:t>
            </w:r>
          </w:p>
        </w:tc>
        <w:tc>
          <w:tcPr>
            <w:tcW w:w="7470" w:type="dxa"/>
          </w:tcPr>
          <w:p w14:paraId="5C869A05" w14:textId="77777777" w:rsidR="001506C1" w:rsidRPr="00FA3F9C" w:rsidRDefault="001506C1" w:rsidP="006F623F">
            <w:pPr>
              <w:rPr>
                <w:rFonts w:ascii="Arial" w:hAnsi="Arial" w:cs="Arial"/>
                <w:sz w:val="24"/>
                <w:szCs w:val="24"/>
              </w:rPr>
            </w:pPr>
            <w:r w:rsidRPr="00FA3F9C">
              <w:rPr>
                <w:rFonts w:ascii="Arial" w:hAnsi="Arial" w:cs="Arial"/>
                <w:sz w:val="24"/>
                <w:szCs w:val="24"/>
              </w:rPr>
              <w:t>Criteria written. Drug discussed in EBRx P&amp;T</w:t>
            </w:r>
          </w:p>
        </w:tc>
        <w:tc>
          <w:tcPr>
            <w:tcW w:w="2538" w:type="dxa"/>
          </w:tcPr>
          <w:p w14:paraId="32CF8763" w14:textId="77777777" w:rsidR="001506C1" w:rsidRPr="00FA3F9C" w:rsidRDefault="001506C1" w:rsidP="006F623F">
            <w:pPr>
              <w:rPr>
                <w:rFonts w:ascii="Arial" w:hAnsi="Arial" w:cs="Arial"/>
                <w:sz w:val="24"/>
                <w:szCs w:val="24"/>
              </w:rPr>
            </w:pPr>
            <w:r w:rsidRPr="00FA3F9C">
              <w:rPr>
                <w:rFonts w:ascii="Arial" w:hAnsi="Arial" w:cs="Arial"/>
                <w:sz w:val="24"/>
                <w:szCs w:val="24"/>
              </w:rPr>
              <w:t>SK</w:t>
            </w:r>
          </w:p>
        </w:tc>
      </w:tr>
      <w:tr w:rsidR="001506C1" w:rsidRPr="00FA3F9C" w14:paraId="477AB9DE" w14:textId="77777777" w:rsidTr="00FE491B">
        <w:tc>
          <w:tcPr>
            <w:tcW w:w="1008" w:type="dxa"/>
          </w:tcPr>
          <w:p w14:paraId="618EA803" w14:textId="77777777" w:rsidR="001506C1" w:rsidRPr="00FA3F9C" w:rsidRDefault="001506C1" w:rsidP="006F623F">
            <w:pPr>
              <w:rPr>
                <w:rFonts w:ascii="Arial" w:hAnsi="Arial" w:cs="Arial"/>
                <w:sz w:val="24"/>
                <w:szCs w:val="24"/>
              </w:rPr>
            </w:pPr>
          </w:p>
        </w:tc>
        <w:tc>
          <w:tcPr>
            <w:tcW w:w="7470" w:type="dxa"/>
          </w:tcPr>
          <w:p w14:paraId="38D05A53" w14:textId="77777777" w:rsidR="001506C1" w:rsidRPr="00FA3F9C" w:rsidRDefault="001506C1" w:rsidP="006F623F">
            <w:pPr>
              <w:rPr>
                <w:rFonts w:ascii="Arial" w:hAnsi="Arial" w:cs="Arial"/>
                <w:sz w:val="24"/>
                <w:szCs w:val="24"/>
              </w:rPr>
            </w:pPr>
          </w:p>
        </w:tc>
        <w:tc>
          <w:tcPr>
            <w:tcW w:w="2538" w:type="dxa"/>
          </w:tcPr>
          <w:p w14:paraId="2C25F6D3" w14:textId="77777777" w:rsidR="001506C1" w:rsidRPr="00FA3F9C" w:rsidRDefault="001506C1" w:rsidP="006F623F">
            <w:pPr>
              <w:rPr>
                <w:rFonts w:ascii="Arial" w:hAnsi="Arial" w:cs="Arial"/>
                <w:sz w:val="24"/>
                <w:szCs w:val="24"/>
              </w:rPr>
            </w:pPr>
          </w:p>
        </w:tc>
      </w:tr>
    </w:tbl>
    <w:p w14:paraId="4A3962D9" w14:textId="77777777" w:rsidR="001506C1" w:rsidRPr="00FA3F9C" w:rsidRDefault="001506C1" w:rsidP="006F623F">
      <w:pPr>
        <w:spacing w:after="0"/>
        <w:rPr>
          <w:rFonts w:ascii="Arial" w:hAnsi="Arial" w:cs="Arial"/>
          <w:sz w:val="24"/>
          <w:szCs w:val="24"/>
        </w:rPr>
      </w:pPr>
    </w:p>
    <w:p w14:paraId="0AC505ED" w14:textId="77777777" w:rsidR="00CA4C3C" w:rsidRDefault="001506C1" w:rsidP="00CA4C3C">
      <w:pPr>
        <w:pStyle w:val="Heading2"/>
      </w:pPr>
      <w:bookmarkStart w:id="34" w:name="_Toc106369736"/>
      <w:proofErr w:type="spellStart"/>
      <w:r w:rsidRPr="00FA3F9C">
        <w:t>Binimetinib</w:t>
      </w:r>
      <w:proofErr w:type="spellEnd"/>
      <w:r w:rsidRPr="00FA3F9C">
        <w:t xml:space="preserve"> (</w:t>
      </w:r>
      <w:proofErr w:type="spellStart"/>
      <w:r w:rsidRPr="00FA3F9C">
        <w:t>Mektovi</w:t>
      </w:r>
      <w:proofErr w:type="spellEnd"/>
      <w:r w:rsidRPr="00FA3F9C">
        <w:t>)</w:t>
      </w:r>
      <w:bookmarkEnd w:id="34"/>
    </w:p>
    <w:p w14:paraId="57F16A98" w14:textId="14548D7F" w:rsidR="001506C1" w:rsidRPr="00FA3F9C" w:rsidRDefault="001506C1" w:rsidP="00CC493D">
      <w:pPr>
        <w:spacing w:after="0"/>
        <w:jc w:val="center"/>
        <w:rPr>
          <w:rFonts w:ascii="Arial" w:hAnsi="Arial" w:cs="Arial"/>
          <w:sz w:val="24"/>
          <w:szCs w:val="24"/>
        </w:rPr>
      </w:pPr>
      <w:r w:rsidRPr="00FA3F9C">
        <w:rPr>
          <w:rFonts w:ascii="Arial" w:hAnsi="Arial" w:cs="Arial"/>
          <w:sz w:val="24"/>
          <w:szCs w:val="24"/>
        </w:rPr>
        <w:t xml:space="preserve"> 15 mg tablets</w:t>
      </w:r>
    </w:p>
    <w:p w14:paraId="6393338A" w14:textId="77777777" w:rsidR="001506C1" w:rsidRPr="00FA3F9C" w:rsidRDefault="001506C1" w:rsidP="006F623F">
      <w:pPr>
        <w:spacing w:after="0"/>
        <w:jc w:val="center"/>
        <w:rPr>
          <w:rFonts w:ascii="Arial" w:hAnsi="Arial" w:cs="Arial"/>
          <w:sz w:val="24"/>
          <w:szCs w:val="24"/>
        </w:rPr>
      </w:pPr>
      <w:r w:rsidRPr="00FA3F9C">
        <w:rPr>
          <w:rFonts w:ascii="Arial" w:hAnsi="Arial" w:cs="Arial"/>
          <w:sz w:val="24"/>
          <w:szCs w:val="24"/>
        </w:rPr>
        <w:t>EBRx PA Criteria</w:t>
      </w:r>
    </w:p>
    <w:p w14:paraId="212D2BAC" w14:textId="77777777" w:rsidR="001506C1" w:rsidRPr="00FA3F9C" w:rsidRDefault="001506C1" w:rsidP="006F623F">
      <w:pPr>
        <w:spacing w:after="0"/>
        <w:rPr>
          <w:rFonts w:ascii="Arial" w:hAnsi="Arial" w:cs="Arial"/>
          <w:b/>
          <w:sz w:val="24"/>
          <w:szCs w:val="24"/>
          <w:u w:val="single"/>
        </w:rPr>
      </w:pPr>
    </w:p>
    <w:p w14:paraId="5CF12698" w14:textId="77777777" w:rsidR="001506C1" w:rsidRPr="00FA3F9C" w:rsidRDefault="001506C1" w:rsidP="006F623F">
      <w:pPr>
        <w:spacing w:after="0"/>
        <w:rPr>
          <w:rFonts w:ascii="Arial" w:hAnsi="Arial" w:cs="Arial"/>
          <w:sz w:val="24"/>
          <w:szCs w:val="24"/>
        </w:rPr>
      </w:pPr>
      <w:proofErr w:type="spellStart"/>
      <w:r w:rsidRPr="00FA3F9C">
        <w:rPr>
          <w:rFonts w:ascii="Arial" w:hAnsi="Arial" w:cs="Arial"/>
          <w:b/>
          <w:sz w:val="24"/>
          <w:szCs w:val="24"/>
          <w:u w:val="single"/>
        </w:rPr>
        <w:t>Mektovi</w:t>
      </w:r>
      <w:proofErr w:type="spellEnd"/>
      <w:r w:rsidRPr="00FA3F9C">
        <w:rPr>
          <w:rFonts w:ascii="Arial" w:hAnsi="Arial" w:cs="Arial"/>
          <w:b/>
          <w:sz w:val="24"/>
          <w:szCs w:val="24"/>
          <w:u w:val="single"/>
        </w:rPr>
        <w:t xml:space="preserve"> (</w:t>
      </w:r>
      <w:proofErr w:type="spellStart"/>
      <w:r w:rsidRPr="00FA3F9C">
        <w:rPr>
          <w:rFonts w:ascii="Arial" w:hAnsi="Arial" w:cs="Arial"/>
          <w:b/>
          <w:sz w:val="24"/>
          <w:szCs w:val="24"/>
          <w:u w:val="single"/>
        </w:rPr>
        <w:t>binimetinib</w:t>
      </w:r>
      <w:proofErr w:type="spellEnd"/>
      <w:r w:rsidRPr="00FA3F9C">
        <w:rPr>
          <w:rFonts w:ascii="Arial" w:hAnsi="Arial" w:cs="Arial"/>
          <w:b/>
          <w:sz w:val="24"/>
          <w:szCs w:val="24"/>
          <w:u w:val="single"/>
        </w:rPr>
        <w:t xml:space="preserve">) is FDA approved in combination with </w:t>
      </w:r>
      <w:proofErr w:type="spellStart"/>
      <w:r w:rsidRPr="00FA3F9C">
        <w:rPr>
          <w:rFonts w:ascii="Arial" w:hAnsi="Arial" w:cs="Arial"/>
          <w:b/>
          <w:sz w:val="24"/>
          <w:szCs w:val="24"/>
          <w:u w:val="single"/>
        </w:rPr>
        <w:t>Braftovi</w:t>
      </w:r>
      <w:proofErr w:type="spellEnd"/>
      <w:r w:rsidRPr="00FA3F9C">
        <w:rPr>
          <w:rFonts w:ascii="Arial" w:hAnsi="Arial" w:cs="Arial"/>
          <w:b/>
          <w:sz w:val="24"/>
          <w:szCs w:val="24"/>
          <w:u w:val="single"/>
        </w:rPr>
        <w:t xml:space="preserve"> (</w:t>
      </w:r>
      <w:proofErr w:type="spellStart"/>
      <w:r w:rsidRPr="00FA3F9C">
        <w:rPr>
          <w:rFonts w:ascii="Arial" w:hAnsi="Arial" w:cs="Arial"/>
          <w:b/>
          <w:sz w:val="24"/>
          <w:szCs w:val="24"/>
          <w:u w:val="single"/>
        </w:rPr>
        <w:t>encorafenib</w:t>
      </w:r>
      <w:proofErr w:type="spellEnd"/>
      <w:r w:rsidRPr="00FA3F9C">
        <w:rPr>
          <w:rFonts w:ascii="Arial" w:hAnsi="Arial" w:cs="Arial"/>
          <w:b/>
          <w:sz w:val="24"/>
          <w:szCs w:val="24"/>
          <w:u w:val="single"/>
        </w:rPr>
        <w:t>) for:</w:t>
      </w:r>
      <w:r w:rsidRPr="00FA3F9C">
        <w:rPr>
          <w:rFonts w:ascii="Arial" w:hAnsi="Arial" w:cs="Arial"/>
          <w:sz w:val="24"/>
          <w:szCs w:val="24"/>
        </w:rPr>
        <w:t xml:space="preserve">  Melanoma, unresectable or metastatic with BRAF V600E V600K mutation.</w:t>
      </w:r>
    </w:p>
    <w:p w14:paraId="2A628F81" w14:textId="77777777" w:rsidR="001506C1" w:rsidRPr="00FA3F9C" w:rsidRDefault="001506C1" w:rsidP="006F623F">
      <w:pPr>
        <w:spacing w:after="0"/>
        <w:rPr>
          <w:rFonts w:ascii="Arial" w:hAnsi="Arial" w:cs="Arial"/>
          <w:sz w:val="24"/>
          <w:szCs w:val="24"/>
        </w:rPr>
      </w:pPr>
    </w:p>
    <w:tbl>
      <w:tblPr>
        <w:tblStyle w:val="TableGrid"/>
        <w:tblW w:w="0" w:type="auto"/>
        <w:tblLook w:val="04A0" w:firstRow="1" w:lastRow="0" w:firstColumn="1" w:lastColumn="0" w:noHBand="0" w:noVBand="1"/>
      </w:tblPr>
      <w:tblGrid>
        <w:gridCol w:w="8746"/>
        <w:gridCol w:w="2044"/>
      </w:tblGrid>
      <w:tr w:rsidR="001506C1" w:rsidRPr="00FA3F9C" w14:paraId="624DC6B0" w14:textId="77777777" w:rsidTr="006F1176">
        <w:tc>
          <w:tcPr>
            <w:tcW w:w="8746" w:type="dxa"/>
            <w:shd w:val="clear" w:color="auto" w:fill="000000"/>
          </w:tcPr>
          <w:p w14:paraId="22280C20" w14:textId="77777777" w:rsidR="001506C1" w:rsidRPr="00FA3F9C" w:rsidRDefault="001506C1"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44" w:type="dxa"/>
            <w:shd w:val="clear" w:color="auto" w:fill="000000"/>
          </w:tcPr>
          <w:p w14:paraId="7565ED4E" w14:textId="77777777" w:rsidR="001506C1" w:rsidRPr="00FA3F9C" w:rsidRDefault="001506C1" w:rsidP="006F623F">
            <w:pPr>
              <w:jc w:val="center"/>
              <w:rPr>
                <w:rFonts w:ascii="Arial" w:hAnsi="Arial" w:cs="Arial"/>
                <w:b/>
                <w:sz w:val="24"/>
                <w:szCs w:val="24"/>
                <w:u w:val="single"/>
              </w:rPr>
            </w:pPr>
          </w:p>
        </w:tc>
      </w:tr>
      <w:tr w:rsidR="001506C1" w:rsidRPr="00FA3F9C" w14:paraId="2437D441" w14:textId="77777777" w:rsidTr="006F1176">
        <w:tc>
          <w:tcPr>
            <w:tcW w:w="10790" w:type="dxa"/>
            <w:gridSpan w:val="2"/>
          </w:tcPr>
          <w:p w14:paraId="5CCC49CB" w14:textId="77777777" w:rsidR="001506C1" w:rsidRPr="00FA3F9C" w:rsidRDefault="001506C1" w:rsidP="006F1176">
            <w:pPr>
              <w:rPr>
                <w:rFonts w:ascii="Arial" w:hAnsi="Arial" w:cs="Arial"/>
                <w:sz w:val="24"/>
                <w:szCs w:val="24"/>
              </w:rPr>
            </w:pPr>
            <w:r w:rsidRPr="00FA3F9C">
              <w:rPr>
                <w:rFonts w:ascii="Arial" w:hAnsi="Arial" w:cs="Arial"/>
                <w:sz w:val="24"/>
                <w:szCs w:val="24"/>
              </w:rPr>
              <w:t>1. Patient must have histologically confirmed, unresectable or metastatic cutaneous melanoma or unknown primary melanoma.</w:t>
            </w:r>
          </w:p>
        </w:tc>
      </w:tr>
      <w:tr w:rsidR="001506C1" w:rsidRPr="00FA3F9C" w14:paraId="1B98B68C" w14:textId="77777777" w:rsidTr="006F1176">
        <w:tc>
          <w:tcPr>
            <w:tcW w:w="10790" w:type="dxa"/>
            <w:gridSpan w:val="2"/>
          </w:tcPr>
          <w:p w14:paraId="0CD67D7C" w14:textId="77777777" w:rsidR="001506C1" w:rsidRPr="00FA3F9C" w:rsidRDefault="001506C1" w:rsidP="00CC493D">
            <w:pPr>
              <w:rPr>
                <w:rFonts w:ascii="Arial" w:hAnsi="Arial" w:cs="Arial"/>
                <w:sz w:val="24"/>
                <w:szCs w:val="24"/>
              </w:rPr>
            </w:pPr>
            <w:r w:rsidRPr="00FA3F9C">
              <w:rPr>
                <w:rFonts w:ascii="Arial" w:hAnsi="Arial" w:cs="Arial"/>
                <w:sz w:val="24"/>
                <w:szCs w:val="24"/>
              </w:rPr>
              <w:t>2. Tumor must be BRAF V600E or BRAF V600k mutation positive</w:t>
            </w:r>
          </w:p>
        </w:tc>
      </w:tr>
      <w:tr w:rsidR="001506C1" w:rsidRPr="00FA3F9C" w14:paraId="292F93C3" w14:textId="77777777" w:rsidTr="006F1176">
        <w:tc>
          <w:tcPr>
            <w:tcW w:w="10790" w:type="dxa"/>
            <w:gridSpan w:val="2"/>
          </w:tcPr>
          <w:p w14:paraId="4C9FCAB0" w14:textId="77777777" w:rsidR="001506C1" w:rsidRPr="00FA3F9C" w:rsidRDefault="001506C1" w:rsidP="006F623F">
            <w:pPr>
              <w:rPr>
                <w:rFonts w:ascii="Arial" w:hAnsi="Arial" w:cs="Arial"/>
                <w:sz w:val="24"/>
                <w:szCs w:val="24"/>
              </w:rPr>
            </w:pPr>
            <w:r w:rsidRPr="00FA3F9C">
              <w:rPr>
                <w:rFonts w:ascii="Arial" w:hAnsi="Arial" w:cs="Arial"/>
                <w:sz w:val="24"/>
                <w:szCs w:val="24"/>
              </w:rPr>
              <w:lastRenderedPageBreak/>
              <w:t>3. Patient must be ECOG 0 or 1.</w:t>
            </w:r>
          </w:p>
        </w:tc>
      </w:tr>
      <w:tr w:rsidR="001506C1" w:rsidRPr="00FA3F9C" w14:paraId="574284D1" w14:textId="77777777" w:rsidTr="006F1176">
        <w:tc>
          <w:tcPr>
            <w:tcW w:w="10790" w:type="dxa"/>
            <w:gridSpan w:val="2"/>
          </w:tcPr>
          <w:p w14:paraId="214460CE" w14:textId="77777777" w:rsidR="001506C1" w:rsidRPr="00FA3F9C" w:rsidRDefault="001506C1" w:rsidP="006F623F">
            <w:pPr>
              <w:rPr>
                <w:rFonts w:ascii="Arial" w:hAnsi="Arial" w:cs="Arial"/>
                <w:sz w:val="24"/>
                <w:szCs w:val="24"/>
              </w:rPr>
            </w:pPr>
            <w:r w:rsidRPr="00FA3F9C">
              <w:rPr>
                <w:rFonts w:ascii="Arial" w:hAnsi="Arial" w:cs="Arial"/>
                <w:sz w:val="24"/>
                <w:szCs w:val="24"/>
              </w:rPr>
              <w:t xml:space="preserve">4. </w:t>
            </w:r>
            <w:proofErr w:type="spellStart"/>
            <w:r w:rsidRPr="00FA3F9C">
              <w:rPr>
                <w:rFonts w:ascii="Arial" w:hAnsi="Arial" w:cs="Arial"/>
                <w:sz w:val="24"/>
                <w:szCs w:val="24"/>
              </w:rPr>
              <w:t>Binimetinib</w:t>
            </w:r>
            <w:proofErr w:type="spellEnd"/>
            <w:r w:rsidRPr="00FA3F9C">
              <w:rPr>
                <w:rFonts w:ascii="Arial" w:hAnsi="Arial" w:cs="Arial"/>
                <w:sz w:val="24"/>
                <w:szCs w:val="24"/>
              </w:rPr>
              <w:t xml:space="preserve"> MUST be used in combination with </w:t>
            </w:r>
            <w:proofErr w:type="spellStart"/>
            <w:r w:rsidRPr="00FA3F9C">
              <w:rPr>
                <w:rFonts w:ascii="Arial" w:hAnsi="Arial" w:cs="Arial"/>
                <w:sz w:val="24"/>
                <w:szCs w:val="24"/>
              </w:rPr>
              <w:t>encorafenib</w:t>
            </w:r>
            <w:proofErr w:type="spellEnd"/>
          </w:p>
        </w:tc>
      </w:tr>
      <w:tr w:rsidR="001506C1" w:rsidRPr="00FA3F9C" w14:paraId="270588AF" w14:textId="77777777" w:rsidTr="006F1176">
        <w:tc>
          <w:tcPr>
            <w:tcW w:w="10790" w:type="dxa"/>
            <w:gridSpan w:val="2"/>
          </w:tcPr>
          <w:p w14:paraId="2DEE38CB" w14:textId="77777777" w:rsidR="001506C1" w:rsidRPr="00FA3F9C" w:rsidRDefault="001506C1" w:rsidP="00820667">
            <w:pPr>
              <w:rPr>
                <w:rFonts w:ascii="Arial" w:hAnsi="Arial" w:cs="Arial"/>
                <w:sz w:val="24"/>
                <w:szCs w:val="24"/>
              </w:rPr>
            </w:pPr>
            <w:r w:rsidRPr="00FA3F9C">
              <w:rPr>
                <w:rFonts w:ascii="Arial" w:hAnsi="Arial" w:cs="Arial"/>
                <w:sz w:val="24"/>
                <w:szCs w:val="24"/>
              </w:rPr>
              <w:t>5. No prior BRAF or MEK inhibitor</w:t>
            </w:r>
          </w:p>
        </w:tc>
      </w:tr>
      <w:tr w:rsidR="001506C1" w:rsidRPr="00FA3F9C" w14:paraId="4EDD16F5" w14:textId="77777777" w:rsidTr="00CC493D">
        <w:trPr>
          <w:trHeight w:val="107"/>
        </w:trPr>
        <w:tc>
          <w:tcPr>
            <w:tcW w:w="10790" w:type="dxa"/>
            <w:gridSpan w:val="2"/>
            <w:tcBorders>
              <w:bottom w:val="single" w:sz="4" w:space="0" w:color="auto"/>
            </w:tcBorders>
            <w:shd w:val="clear" w:color="auto" w:fill="F2F2F2" w:themeFill="background1" w:themeFillShade="F2"/>
          </w:tcPr>
          <w:p w14:paraId="1A595940" w14:textId="77777777" w:rsidR="001506C1" w:rsidRPr="00FA3F9C" w:rsidRDefault="001506C1" w:rsidP="00CC493D">
            <w:pPr>
              <w:rPr>
                <w:rFonts w:ascii="Arial" w:hAnsi="Arial" w:cs="Arial"/>
                <w:sz w:val="24"/>
                <w:szCs w:val="24"/>
              </w:rPr>
            </w:pPr>
            <w:r w:rsidRPr="00FA3F9C">
              <w:rPr>
                <w:rFonts w:ascii="Arial" w:hAnsi="Arial" w:cs="Arial"/>
                <w:sz w:val="24"/>
                <w:szCs w:val="24"/>
              </w:rPr>
              <w:t>If all criteria met, approve for 12 months</w:t>
            </w:r>
          </w:p>
          <w:p w14:paraId="70C19E26" w14:textId="77777777" w:rsidR="001506C1" w:rsidRPr="00FA3F9C" w:rsidRDefault="001506C1" w:rsidP="00622771">
            <w:pPr>
              <w:rPr>
                <w:rFonts w:ascii="Arial" w:hAnsi="Arial" w:cs="Arial"/>
                <w:sz w:val="24"/>
                <w:szCs w:val="24"/>
              </w:rPr>
            </w:pPr>
            <w:r w:rsidRPr="00FA3F9C">
              <w:rPr>
                <w:rFonts w:ascii="Arial" w:hAnsi="Arial" w:cs="Arial"/>
                <w:sz w:val="24"/>
                <w:szCs w:val="24"/>
              </w:rPr>
              <w:t xml:space="preserve">QL: </w:t>
            </w:r>
            <w:proofErr w:type="spellStart"/>
            <w:r w:rsidRPr="00FA3F9C">
              <w:rPr>
                <w:rFonts w:ascii="Arial" w:hAnsi="Arial" w:cs="Arial"/>
                <w:sz w:val="24"/>
                <w:szCs w:val="24"/>
              </w:rPr>
              <w:t>Binimetinib</w:t>
            </w:r>
            <w:proofErr w:type="spellEnd"/>
            <w:r w:rsidRPr="00FA3F9C">
              <w:rPr>
                <w:rFonts w:ascii="Arial" w:hAnsi="Arial" w:cs="Arial"/>
                <w:sz w:val="24"/>
                <w:szCs w:val="24"/>
              </w:rPr>
              <w:t>: 6 tabs/day</w:t>
            </w:r>
          </w:p>
        </w:tc>
      </w:tr>
      <w:tr w:rsidR="001506C1" w:rsidRPr="00FA3F9C" w14:paraId="67CCF5D8" w14:textId="77777777" w:rsidTr="00BC6678">
        <w:trPr>
          <w:trHeight w:val="107"/>
        </w:trPr>
        <w:tc>
          <w:tcPr>
            <w:tcW w:w="10790" w:type="dxa"/>
            <w:gridSpan w:val="2"/>
            <w:tcBorders>
              <w:bottom w:val="single" w:sz="4" w:space="0" w:color="auto"/>
            </w:tcBorders>
            <w:shd w:val="clear" w:color="auto" w:fill="D9D9D9" w:themeFill="background1" w:themeFillShade="D9"/>
          </w:tcPr>
          <w:p w14:paraId="12C69849" w14:textId="77777777" w:rsidR="001506C1" w:rsidRPr="00FA3F9C" w:rsidRDefault="001506C1" w:rsidP="00622771">
            <w:pPr>
              <w:rPr>
                <w:rFonts w:ascii="Arial" w:hAnsi="Arial" w:cs="Arial"/>
                <w:b/>
                <w:sz w:val="24"/>
                <w:szCs w:val="24"/>
                <w:u w:val="single"/>
              </w:rPr>
            </w:pPr>
            <w:r w:rsidRPr="00FA3F9C">
              <w:rPr>
                <w:rFonts w:ascii="Arial" w:hAnsi="Arial" w:cs="Arial"/>
                <w:b/>
                <w:sz w:val="24"/>
                <w:szCs w:val="24"/>
                <w:u w:val="single"/>
              </w:rPr>
              <w:t>Note: Treatment continues until progression or unacceptable toxicity.</w:t>
            </w:r>
          </w:p>
        </w:tc>
      </w:tr>
      <w:tr w:rsidR="001506C1" w:rsidRPr="00FA3F9C" w14:paraId="2117868C" w14:textId="77777777" w:rsidTr="00BC6678">
        <w:trPr>
          <w:trHeight w:val="1031"/>
        </w:trPr>
        <w:tc>
          <w:tcPr>
            <w:tcW w:w="10790" w:type="dxa"/>
            <w:gridSpan w:val="2"/>
            <w:tcBorders>
              <w:bottom w:val="single" w:sz="4" w:space="0" w:color="auto"/>
            </w:tcBorders>
            <w:shd w:val="clear" w:color="auto" w:fill="BFBFBF" w:themeFill="background1" w:themeFillShade="BF"/>
          </w:tcPr>
          <w:p w14:paraId="3D004AB1" w14:textId="77777777" w:rsidR="001506C1" w:rsidRPr="00FA3F9C" w:rsidRDefault="001506C1" w:rsidP="006F1176">
            <w:pPr>
              <w:rPr>
                <w:rFonts w:ascii="Arial" w:hAnsi="Arial" w:cs="Arial"/>
                <w:sz w:val="24"/>
                <w:szCs w:val="24"/>
                <w:u w:val="single"/>
              </w:rPr>
            </w:pPr>
            <w:r w:rsidRPr="00FA3F9C">
              <w:rPr>
                <w:rFonts w:ascii="Arial" w:hAnsi="Arial" w:cs="Arial"/>
                <w:sz w:val="24"/>
                <w:szCs w:val="24"/>
                <w:u w:val="single"/>
              </w:rPr>
              <w:t xml:space="preserve">Doses </w:t>
            </w:r>
          </w:p>
          <w:p w14:paraId="4F3E3F5E" w14:textId="77777777" w:rsidR="001506C1" w:rsidRPr="00FA3F9C" w:rsidRDefault="001506C1" w:rsidP="006F1176">
            <w:pPr>
              <w:rPr>
                <w:rFonts w:ascii="Arial" w:hAnsi="Arial" w:cs="Arial"/>
                <w:sz w:val="24"/>
                <w:szCs w:val="24"/>
              </w:rPr>
            </w:pPr>
            <w:r w:rsidRPr="00FA3F9C">
              <w:rPr>
                <w:rFonts w:ascii="Arial" w:hAnsi="Arial" w:cs="Arial"/>
                <w:sz w:val="24"/>
                <w:szCs w:val="24"/>
              </w:rPr>
              <w:t>-</w:t>
            </w:r>
            <w:proofErr w:type="spellStart"/>
            <w:r w:rsidRPr="00FA3F9C">
              <w:rPr>
                <w:rFonts w:ascii="Arial" w:hAnsi="Arial" w:cs="Arial"/>
                <w:sz w:val="24"/>
                <w:szCs w:val="24"/>
              </w:rPr>
              <w:t>binimetinib</w:t>
            </w:r>
            <w:proofErr w:type="spellEnd"/>
            <w:r w:rsidRPr="00FA3F9C">
              <w:rPr>
                <w:rFonts w:ascii="Arial" w:hAnsi="Arial" w:cs="Arial"/>
                <w:sz w:val="24"/>
                <w:szCs w:val="24"/>
              </w:rPr>
              <w:t xml:space="preserve"> 45mg BID</w:t>
            </w:r>
          </w:p>
          <w:p w14:paraId="2211D58A" w14:textId="77777777" w:rsidR="001506C1" w:rsidRPr="00FA3F9C" w:rsidRDefault="001506C1" w:rsidP="006F1176">
            <w:pPr>
              <w:rPr>
                <w:rFonts w:ascii="Arial" w:hAnsi="Arial" w:cs="Arial"/>
                <w:sz w:val="24"/>
                <w:szCs w:val="24"/>
              </w:rPr>
            </w:pPr>
          </w:p>
          <w:p w14:paraId="2139C130" w14:textId="77777777" w:rsidR="001506C1" w:rsidRPr="00FA3F9C" w:rsidRDefault="001506C1" w:rsidP="006F1176">
            <w:pPr>
              <w:rPr>
                <w:rFonts w:ascii="Arial" w:hAnsi="Arial" w:cs="Arial"/>
                <w:b/>
                <w:sz w:val="24"/>
                <w:szCs w:val="24"/>
                <w:u w:val="single"/>
              </w:rPr>
            </w:pPr>
            <w:r w:rsidRPr="00FA3F9C">
              <w:rPr>
                <w:rFonts w:ascii="Arial" w:hAnsi="Arial" w:cs="Arial"/>
                <w:b/>
                <w:sz w:val="24"/>
                <w:szCs w:val="24"/>
                <w:u w:val="single"/>
              </w:rPr>
              <w:t>Evidence:</w:t>
            </w:r>
          </w:p>
          <w:p w14:paraId="3FB50ECD" w14:textId="77777777" w:rsidR="001506C1" w:rsidRPr="00FA3F9C" w:rsidRDefault="001506C1" w:rsidP="006F1176">
            <w:pPr>
              <w:rPr>
                <w:rFonts w:ascii="Arial" w:hAnsi="Arial" w:cs="Arial"/>
                <w:sz w:val="24"/>
                <w:szCs w:val="24"/>
              </w:rPr>
            </w:pPr>
            <w:proofErr w:type="spellStart"/>
            <w:r w:rsidRPr="00FA3F9C">
              <w:rPr>
                <w:rFonts w:ascii="Arial" w:hAnsi="Arial" w:cs="Arial"/>
                <w:sz w:val="24"/>
                <w:szCs w:val="24"/>
              </w:rPr>
              <w:t>Encorafenib</w:t>
            </w:r>
            <w:proofErr w:type="spellEnd"/>
            <w:r w:rsidRPr="00FA3F9C">
              <w:rPr>
                <w:rFonts w:ascii="Arial" w:hAnsi="Arial" w:cs="Arial"/>
                <w:sz w:val="24"/>
                <w:szCs w:val="24"/>
              </w:rPr>
              <w:t xml:space="preserve"> + </w:t>
            </w:r>
            <w:proofErr w:type="spellStart"/>
            <w:r w:rsidRPr="00FA3F9C">
              <w:rPr>
                <w:rFonts w:ascii="Arial" w:hAnsi="Arial" w:cs="Arial"/>
                <w:sz w:val="24"/>
                <w:szCs w:val="24"/>
              </w:rPr>
              <w:t>Binimetinib</w:t>
            </w:r>
            <w:proofErr w:type="spellEnd"/>
            <w:r w:rsidRPr="00FA3F9C">
              <w:rPr>
                <w:rFonts w:ascii="Arial" w:hAnsi="Arial" w:cs="Arial"/>
                <w:sz w:val="24"/>
                <w:szCs w:val="24"/>
              </w:rPr>
              <w:t xml:space="preserve"> improved overall survival compared to vemurafenib (34 </w:t>
            </w:r>
            <w:proofErr w:type="spellStart"/>
            <w:r w:rsidRPr="00FA3F9C">
              <w:rPr>
                <w:rFonts w:ascii="Arial" w:hAnsi="Arial" w:cs="Arial"/>
                <w:sz w:val="24"/>
                <w:szCs w:val="24"/>
              </w:rPr>
              <w:t>mo</w:t>
            </w:r>
            <w:proofErr w:type="spellEnd"/>
            <w:r w:rsidRPr="00FA3F9C">
              <w:rPr>
                <w:rFonts w:ascii="Arial" w:hAnsi="Arial" w:cs="Arial"/>
                <w:sz w:val="24"/>
                <w:szCs w:val="24"/>
              </w:rPr>
              <w:t xml:space="preserve"> versus 17 </w:t>
            </w:r>
            <w:proofErr w:type="spellStart"/>
            <w:r w:rsidRPr="00FA3F9C">
              <w:rPr>
                <w:rFonts w:ascii="Arial" w:hAnsi="Arial" w:cs="Arial"/>
                <w:sz w:val="24"/>
                <w:szCs w:val="24"/>
              </w:rPr>
              <w:t>mo</w:t>
            </w:r>
            <w:proofErr w:type="spellEnd"/>
            <w:r w:rsidRPr="00FA3F9C">
              <w:rPr>
                <w:rFonts w:ascii="Arial" w:hAnsi="Arial" w:cs="Arial"/>
                <w:sz w:val="24"/>
                <w:szCs w:val="24"/>
              </w:rPr>
              <w:t xml:space="preserve">, HR 0.61 95% CI 0.47-0.79) in patients with advanced/metastatic melanoma </w:t>
            </w:r>
            <w:r w:rsidRPr="00FA3F9C">
              <w:rPr>
                <w:rFonts w:ascii="Arial" w:hAnsi="Arial" w:cs="Arial"/>
                <w:sz w:val="24"/>
                <w:szCs w:val="24"/>
                <w:u w:val="single"/>
              </w:rPr>
              <w:t>who were either treatment naïve or had progressed on or after immunotherapy</w:t>
            </w:r>
            <w:r w:rsidRPr="00FA3F9C">
              <w:rPr>
                <w:rFonts w:ascii="Arial" w:hAnsi="Arial" w:cs="Arial"/>
                <w:sz w:val="24"/>
                <w:szCs w:val="24"/>
              </w:rPr>
              <w:t>.</w:t>
            </w:r>
          </w:p>
          <w:p w14:paraId="2005A970" w14:textId="77777777" w:rsidR="001506C1" w:rsidRPr="00FA3F9C" w:rsidRDefault="001506C1" w:rsidP="006F1176">
            <w:pPr>
              <w:rPr>
                <w:rFonts w:ascii="Arial" w:hAnsi="Arial" w:cs="Arial"/>
                <w:sz w:val="24"/>
                <w:szCs w:val="24"/>
              </w:rPr>
            </w:pPr>
          </w:p>
          <w:p w14:paraId="1441F4CC" w14:textId="77777777" w:rsidR="001506C1" w:rsidRPr="00FA3F9C" w:rsidRDefault="001506C1" w:rsidP="00BC6678">
            <w:pPr>
              <w:rPr>
                <w:rFonts w:ascii="Arial" w:hAnsi="Arial" w:cs="Arial"/>
                <w:sz w:val="24"/>
                <w:szCs w:val="24"/>
              </w:rPr>
            </w:pPr>
            <w:r w:rsidRPr="00FA3F9C">
              <w:rPr>
                <w:rFonts w:ascii="Arial" w:hAnsi="Arial" w:cs="Arial"/>
                <w:sz w:val="24"/>
                <w:szCs w:val="24"/>
              </w:rPr>
              <w:t>References:</w:t>
            </w:r>
          </w:p>
          <w:p w14:paraId="4158F80C" w14:textId="77777777" w:rsidR="001506C1" w:rsidRPr="00FA3F9C" w:rsidRDefault="00500371" w:rsidP="001506C1">
            <w:pPr>
              <w:pStyle w:val="ListParagraph"/>
              <w:framePr w:hSpace="180" w:wrap="around" w:vAnchor="text" w:hAnchor="margin" w:xAlign="center" w:y="97"/>
              <w:numPr>
                <w:ilvl w:val="0"/>
                <w:numId w:val="49"/>
              </w:numPr>
              <w:spacing w:after="160" w:line="259" w:lineRule="auto"/>
              <w:ind w:left="250" w:hanging="180"/>
              <w:rPr>
                <w:rFonts w:ascii="Arial" w:eastAsia="Times New Roman" w:hAnsi="Arial" w:cs="Arial"/>
                <w:color w:val="000000"/>
                <w:sz w:val="24"/>
                <w:szCs w:val="24"/>
              </w:rPr>
            </w:pPr>
            <w:hyperlink r:id="rId50" w:history="1">
              <w:proofErr w:type="spellStart"/>
              <w:r w:rsidR="001506C1" w:rsidRPr="00FA3F9C">
                <w:rPr>
                  <w:rFonts w:ascii="Arial" w:eastAsia="Times New Roman" w:hAnsi="Arial" w:cs="Arial"/>
                  <w:sz w:val="24"/>
                  <w:szCs w:val="24"/>
                </w:rPr>
                <w:t>Dummer</w:t>
              </w:r>
              <w:proofErr w:type="spellEnd"/>
              <w:r w:rsidR="001506C1" w:rsidRPr="00FA3F9C">
                <w:rPr>
                  <w:rFonts w:ascii="Arial" w:eastAsia="Times New Roman" w:hAnsi="Arial" w:cs="Arial"/>
                  <w:sz w:val="24"/>
                  <w:szCs w:val="24"/>
                </w:rPr>
                <w:t xml:space="preserve"> R</w:t>
              </w:r>
            </w:hyperlink>
            <w:r w:rsidR="001506C1" w:rsidRPr="00FA3F9C">
              <w:rPr>
                <w:rFonts w:ascii="Arial" w:eastAsia="Times New Roman" w:hAnsi="Arial" w:cs="Arial"/>
                <w:sz w:val="24"/>
                <w:szCs w:val="24"/>
              </w:rPr>
              <w:t xml:space="preserve"> et al. </w:t>
            </w:r>
            <w:proofErr w:type="spellStart"/>
            <w:r w:rsidR="001506C1" w:rsidRPr="00FA3F9C">
              <w:rPr>
                <w:rFonts w:ascii="Arial" w:eastAsia="Times New Roman" w:hAnsi="Arial" w:cs="Arial"/>
                <w:bCs/>
                <w:kern w:val="36"/>
                <w:sz w:val="24"/>
                <w:szCs w:val="24"/>
              </w:rPr>
              <w:t>Encorafenib</w:t>
            </w:r>
            <w:proofErr w:type="spellEnd"/>
            <w:r w:rsidR="001506C1" w:rsidRPr="00FA3F9C">
              <w:rPr>
                <w:rFonts w:ascii="Arial" w:eastAsia="Times New Roman" w:hAnsi="Arial" w:cs="Arial"/>
                <w:bCs/>
                <w:kern w:val="36"/>
                <w:sz w:val="24"/>
                <w:szCs w:val="24"/>
              </w:rPr>
              <w:t xml:space="preserve"> plus </w:t>
            </w:r>
            <w:proofErr w:type="spellStart"/>
            <w:r w:rsidR="001506C1" w:rsidRPr="00FA3F9C">
              <w:rPr>
                <w:rFonts w:ascii="Arial" w:eastAsia="Times New Roman" w:hAnsi="Arial" w:cs="Arial"/>
                <w:bCs/>
                <w:kern w:val="36"/>
                <w:sz w:val="24"/>
                <w:szCs w:val="24"/>
              </w:rPr>
              <w:t>binimetinib</w:t>
            </w:r>
            <w:proofErr w:type="spellEnd"/>
            <w:r w:rsidR="001506C1" w:rsidRPr="00FA3F9C">
              <w:rPr>
                <w:rFonts w:ascii="Arial" w:eastAsia="Times New Roman" w:hAnsi="Arial" w:cs="Arial"/>
                <w:bCs/>
                <w:kern w:val="36"/>
                <w:sz w:val="24"/>
                <w:szCs w:val="24"/>
              </w:rPr>
              <w:t xml:space="preserve"> versus vemurafenib or </w:t>
            </w:r>
            <w:proofErr w:type="spellStart"/>
            <w:r w:rsidR="001506C1" w:rsidRPr="00FA3F9C">
              <w:rPr>
                <w:rFonts w:ascii="Arial" w:eastAsia="Times New Roman" w:hAnsi="Arial" w:cs="Arial"/>
                <w:bCs/>
                <w:kern w:val="36"/>
                <w:sz w:val="24"/>
                <w:szCs w:val="24"/>
              </w:rPr>
              <w:t>encorafenib</w:t>
            </w:r>
            <w:proofErr w:type="spellEnd"/>
            <w:r w:rsidR="001506C1" w:rsidRPr="00FA3F9C">
              <w:rPr>
                <w:rFonts w:ascii="Arial" w:eastAsia="Times New Roman" w:hAnsi="Arial" w:cs="Arial"/>
                <w:bCs/>
                <w:kern w:val="36"/>
                <w:sz w:val="24"/>
                <w:szCs w:val="24"/>
              </w:rPr>
              <w:t xml:space="preserve"> in patients with BRAF-mutant melanoma (COLUMBUS): a </w:t>
            </w:r>
            <w:proofErr w:type="spellStart"/>
            <w:r w:rsidR="001506C1" w:rsidRPr="00FA3F9C">
              <w:rPr>
                <w:rFonts w:ascii="Arial" w:eastAsia="Times New Roman" w:hAnsi="Arial" w:cs="Arial"/>
                <w:bCs/>
                <w:kern w:val="36"/>
                <w:sz w:val="24"/>
                <w:szCs w:val="24"/>
              </w:rPr>
              <w:t>multicentre</w:t>
            </w:r>
            <w:proofErr w:type="spellEnd"/>
            <w:r w:rsidR="001506C1" w:rsidRPr="00FA3F9C">
              <w:rPr>
                <w:rFonts w:ascii="Arial" w:eastAsia="Times New Roman" w:hAnsi="Arial" w:cs="Arial"/>
                <w:bCs/>
                <w:kern w:val="36"/>
                <w:sz w:val="24"/>
                <w:szCs w:val="24"/>
              </w:rPr>
              <w:t xml:space="preserve">, open-label, </w:t>
            </w:r>
            <w:proofErr w:type="spellStart"/>
            <w:r w:rsidR="001506C1" w:rsidRPr="00FA3F9C">
              <w:rPr>
                <w:rFonts w:ascii="Arial" w:eastAsia="Times New Roman" w:hAnsi="Arial" w:cs="Arial"/>
                <w:bCs/>
                <w:kern w:val="36"/>
                <w:sz w:val="24"/>
                <w:szCs w:val="24"/>
              </w:rPr>
              <w:t>randomised</w:t>
            </w:r>
            <w:proofErr w:type="spellEnd"/>
            <w:r w:rsidR="001506C1" w:rsidRPr="00FA3F9C">
              <w:rPr>
                <w:rFonts w:ascii="Arial" w:eastAsia="Times New Roman" w:hAnsi="Arial" w:cs="Arial"/>
                <w:bCs/>
                <w:kern w:val="36"/>
                <w:sz w:val="24"/>
                <w:szCs w:val="24"/>
              </w:rPr>
              <w:t xml:space="preserve"> phase 3 trial.</w:t>
            </w:r>
            <w:r w:rsidR="001506C1" w:rsidRPr="00FA3F9C">
              <w:rPr>
                <w:rFonts w:ascii="Arial" w:eastAsia="Times New Roman" w:hAnsi="Arial" w:cs="Arial"/>
                <w:sz w:val="24"/>
                <w:szCs w:val="24"/>
              </w:rPr>
              <w:t xml:space="preserve"> </w:t>
            </w:r>
            <w:hyperlink r:id="rId51" w:tooltip="The Lancet. Oncology." w:history="1">
              <w:r w:rsidR="001506C1" w:rsidRPr="00FA3F9C">
                <w:rPr>
                  <w:rFonts w:ascii="Arial" w:eastAsia="Times New Roman" w:hAnsi="Arial" w:cs="Arial"/>
                  <w:sz w:val="24"/>
                  <w:szCs w:val="24"/>
                </w:rPr>
                <w:t>Lancet Oncol.</w:t>
              </w:r>
            </w:hyperlink>
            <w:r w:rsidR="001506C1" w:rsidRPr="00FA3F9C">
              <w:rPr>
                <w:rFonts w:ascii="Arial" w:eastAsia="Times New Roman" w:hAnsi="Arial" w:cs="Arial"/>
                <w:sz w:val="24"/>
                <w:szCs w:val="24"/>
              </w:rPr>
              <w:t xml:space="preserve"> 2018 May;19(5):603-615. NCT01909453 PMID 29573941</w:t>
            </w:r>
          </w:p>
          <w:p w14:paraId="0D30B835" w14:textId="77777777" w:rsidR="001506C1" w:rsidRPr="00FA3F9C" w:rsidRDefault="00500371" w:rsidP="001506C1">
            <w:pPr>
              <w:pStyle w:val="ListParagraph"/>
              <w:numPr>
                <w:ilvl w:val="0"/>
                <w:numId w:val="49"/>
              </w:numPr>
              <w:ind w:left="250" w:hanging="180"/>
              <w:rPr>
                <w:rFonts w:ascii="Arial" w:hAnsi="Arial" w:cs="Arial"/>
                <w:sz w:val="24"/>
                <w:szCs w:val="24"/>
              </w:rPr>
            </w:pPr>
            <w:hyperlink r:id="rId52" w:history="1">
              <w:proofErr w:type="spellStart"/>
              <w:r w:rsidR="001506C1" w:rsidRPr="00FA3F9C">
                <w:rPr>
                  <w:rFonts w:ascii="Arial" w:eastAsia="Times New Roman" w:hAnsi="Arial" w:cs="Arial"/>
                  <w:sz w:val="24"/>
                  <w:szCs w:val="24"/>
                </w:rPr>
                <w:t>Dummer</w:t>
              </w:r>
              <w:proofErr w:type="spellEnd"/>
              <w:r w:rsidR="001506C1" w:rsidRPr="00FA3F9C">
                <w:rPr>
                  <w:rFonts w:ascii="Arial" w:eastAsia="Times New Roman" w:hAnsi="Arial" w:cs="Arial"/>
                  <w:sz w:val="24"/>
                  <w:szCs w:val="24"/>
                </w:rPr>
                <w:t xml:space="preserve"> R</w:t>
              </w:r>
            </w:hyperlink>
            <w:r w:rsidR="001506C1" w:rsidRPr="00FA3F9C">
              <w:rPr>
                <w:rFonts w:ascii="Arial" w:eastAsia="Times New Roman" w:hAnsi="Arial" w:cs="Arial"/>
                <w:sz w:val="24"/>
                <w:szCs w:val="24"/>
              </w:rPr>
              <w:t xml:space="preserve"> et al. </w:t>
            </w:r>
            <w:r w:rsidR="001506C1" w:rsidRPr="00FA3F9C">
              <w:rPr>
                <w:rFonts w:ascii="Arial" w:eastAsia="Times New Roman" w:hAnsi="Arial" w:cs="Arial"/>
                <w:bCs/>
                <w:kern w:val="36"/>
                <w:sz w:val="24"/>
                <w:szCs w:val="24"/>
              </w:rPr>
              <w:t xml:space="preserve">Overall survival in patients with BRAF-mutant melanoma receiving </w:t>
            </w:r>
            <w:proofErr w:type="spellStart"/>
            <w:r w:rsidR="001506C1" w:rsidRPr="00FA3F9C">
              <w:rPr>
                <w:rFonts w:ascii="Arial" w:eastAsia="Times New Roman" w:hAnsi="Arial" w:cs="Arial"/>
                <w:bCs/>
                <w:kern w:val="36"/>
                <w:sz w:val="24"/>
                <w:szCs w:val="24"/>
              </w:rPr>
              <w:t>encorafenib</w:t>
            </w:r>
            <w:proofErr w:type="spellEnd"/>
            <w:r w:rsidR="001506C1" w:rsidRPr="00FA3F9C">
              <w:rPr>
                <w:rFonts w:ascii="Arial" w:eastAsia="Times New Roman" w:hAnsi="Arial" w:cs="Arial"/>
                <w:bCs/>
                <w:kern w:val="36"/>
                <w:sz w:val="24"/>
                <w:szCs w:val="24"/>
              </w:rPr>
              <w:t xml:space="preserve"> plus </w:t>
            </w:r>
            <w:proofErr w:type="spellStart"/>
            <w:r w:rsidR="001506C1" w:rsidRPr="00FA3F9C">
              <w:rPr>
                <w:rFonts w:ascii="Arial" w:eastAsia="Times New Roman" w:hAnsi="Arial" w:cs="Arial"/>
                <w:bCs/>
                <w:kern w:val="36"/>
                <w:sz w:val="24"/>
                <w:szCs w:val="24"/>
              </w:rPr>
              <w:t>binimetinib</w:t>
            </w:r>
            <w:proofErr w:type="spellEnd"/>
            <w:r w:rsidR="001506C1" w:rsidRPr="00FA3F9C">
              <w:rPr>
                <w:rFonts w:ascii="Arial" w:eastAsia="Times New Roman" w:hAnsi="Arial" w:cs="Arial"/>
                <w:bCs/>
                <w:kern w:val="36"/>
                <w:sz w:val="24"/>
                <w:szCs w:val="24"/>
              </w:rPr>
              <w:t xml:space="preserve"> versus vemurafenib or </w:t>
            </w:r>
            <w:proofErr w:type="spellStart"/>
            <w:r w:rsidR="001506C1" w:rsidRPr="00FA3F9C">
              <w:rPr>
                <w:rFonts w:ascii="Arial" w:eastAsia="Times New Roman" w:hAnsi="Arial" w:cs="Arial"/>
                <w:bCs/>
                <w:kern w:val="36"/>
                <w:sz w:val="24"/>
                <w:szCs w:val="24"/>
              </w:rPr>
              <w:t>encorafenib</w:t>
            </w:r>
            <w:proofErr w:type="spellEnd"/>
            <w:r w:rsidR="001506C1" w:rsidRPr="00FA3F9C">
              <w:rPr>
                <w:rFonts w:ascii="Arial" w:eastAsia="Times New Roman" w:hAnsi="Arial" w:cs="Arial"/>
                <w:bCs/>
                <w:kern w:val="36"/>
                <w:sz w:val="24"/>
                <w:szCs w:val="24"/>
              </w:rPr>
              <w:t xml:space="preserve"> (COLUMBUS): a </w:t>
            </w:r>
            <w:proofErr w:type="spellStart"/>
            <w:r w:rsidR="001506C1" w:rsidRPr="00FA3F9C">
              <w:rPr>
                <w:rFonts w:ascii="Arial" w:eastAsia="Times New Roman" w:hAnsi="Arial" w:cs="Arial"/>
                <w:bCs/>
                <w:kern w:val="36"/>
                <w:sz w:val="24"/>
                <w:szCs w:val="24"/>
              </w:rPr>
              <w:t>multicentre</w:t>
            </w:r>
            <w:proofErr w:type="spellEnd"/>
            <w:r w:rsidR="001506C1" w:rsidRPr="00FA3F9C">
              <w:rPr>
                <w:rFonts w:ascii="Arial" w:eastAsia="Times New Roman" w:hAnsi="Arial" w:cs="Arial"/>
                <w:bCs/>
                <w:kern w:val="36"/>
                <w:sz w:val="24"/>
                <w:szCs w:val="24"/>
              </w:rPr>
              <w:t xml:space="preserve">, open-label, </w:t>
            </w:r>
            <w:proofErr w:type="spellStart"/>
            <w:r w:rsidR="001506C1" w:rsidRPr="00FA3F9C">
              <w:rPr>
                <w:rFonts w:ascii="Arial" w:eastAsia="Times New Roman" w:hAnsi="Arial" w:cs="Arial"/>
                <w:bCs/>
                <w:kern w:val="36"/>
                <w:sz w:val="24"/>
                <w:szCs w:val="24"/>
              </w:rPr>
              <w:t>randomised</w:t>
            </w:r>
            <w:proofErr w:type="spellEnd"/>
            <w:r w:rsidR="001506C1" w:rsidRPr="00FA3F9C">
              <w:rPr>
                <w:rFonts w:ascii="Arial" w:eastAsia="Times New Roman" w:hAnsi="Arial" w:cs="Arial"/>
                <w:bCs/>
                <w:kern w:val="36"/>
                <w:sz w:val="24"/>
                <w:szCs w:val="24"/>
              </w:rPr>
              <w:t>, phase 3 trial.</w:t>
            </w:r>
            <w:r w:rsidR="001506C1" w:rsidRPr="00FA3F9C">
              <w:rPr>
                <w:rFonts w:ascii="Arial" w:eastAsia="Times New Roman" w:hAnsi="Arial" w:cs="Arial"/>
                <w:sz w:val="24"/>
                <w:szCs w:val="24"/>
              </w:rPr>
              <w:t xml:space="preserve"> </w:t>
            </w:r>
            <w:hyperlink r:id="rId53" w:tooltip="The Lancet. Oncology." w:history="1">
              <w:r w:rsidR="001506C1" w:rsidRPr="00FA3F9C">
                <w:rPr>
                  <w:rFonts w:ascii="Arial" w:eastAsia="Times New Roman" w:hAnsi="Arial" w:cs="Arial"/>
                  <w:sz w:val="24"/>
                  <w:szCs w:val="24"/>
                </w:rPr>
                <w:t>Lancet Oncol.</w:t>
              </w:r>
            </w:hyperlink>
            <w:r w:rsidR="001506C1" w:rsidRPr="00FA3F9C">
              <w:rPr>
                <w:rFonts w:ascii="Arial" w:eastAsia="Times New Roman" w:hAnsi="Arial" w:cs="Arial"/>
                <w:sz w:val="24"/>
                <w:szCs w:val="24"/>
              </w:rPr>
              <w:t xml:space="preserve"> 2018 Oct;19(10):1315-1327. NCT01909453 PMID 30219628</w:t>
            </w:r>
          </w:p>
        </w:tc>
      </w:tr>
    </w:tbl>
    <w:p w14:paraId="1E9172AB" w14:textId="77777777" w:rsidR="001506C1" w:rsidRPr="00FA3F9C" w:rsidRDefault="001506C1" w:rsidP="006F623F">
      <w:pPr>
        <w:spacing w:after="0"/>
        <w:rPr>
          <w:rFonts w:ascii="Arial" w:hAnsi="Arial" w:cs="Arial"/>
          <w:b/>
          <w:sz w:val="24"/>
          <w:szCs w:val="24"/>
          <w:u w:val="single"/>
        </w:rPr>
      </w:pPr>
    </w:p>
    <w:p w14:paraId="4CE8BA60" w14:textId="77777777" w:rsidR="001506C1" w:rsidRPr="00FA3F9C" w:rsidRDefault="001506C1" w:rsidP="006F623F">
      <w:pPr>
        <w:spacing w:after="0"/>
        <w:rPr>
          <w:rFonts w:ascii="Arial" w:hAnsi="Arial" w:cs="Arial"/>
          <w:sz w:val="24"/>
          <w:szCs w:val="24"/>
        </w:rPr>
      </w:pPr>
    </w:p>
    <w:p w14:paraId="1742CDD1"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284"/>
        <w:gridCol w:w="7470"/>
        <w:gridCol w:w="2538"/>
      </w:tblGrid>
      <w:tr w:rsidR="001506C1" w:rsidRPr="00FA3F9C" w14:paraId="09E37A8C" w14:textId="77777777" w:rsidTr="00FE491B">
        <w:tc>
          <w:tcPr>
            <w:tcW w:w="1008" w:type="dxa"/>
          </w:tcPr>
          <w:p w14:paraId="78DE95B3" w14:textId="77777777" w:rsidR="001506C1" w:rsidRPr="00FA3F9C" w:rsidRDefault="001506C1" w:rsidP="006F623F">
            <w:pPr>
              <w:rPr>
                <w:rFonts w:ascii="Arial" w:hAnsi="Arial" w:cs="Arial"/>
                <w:sz w:val="24"/>
                <w:szCs w:val="24"/>
              </w:rPr>
            </w:pPr>
            <w:r w:rsidRPr="00FA3F9C">
              <w:rPr>
                <w:rFonts w:ascii="Arial" w:hAnsi="Arial" w:cs="Arial"/>
                <w:sz w:val="24"/>
                <w:szCs w:val="24"/>
              </w:rPr>
              <w:t>Date</w:t>
            </w:r>
          </w:p>
        </w:tc>
        <w:tc>
          <w:tcPr>
            <w:tcW w:w="7470" w:type="dxa"/>
          </w:tcPr>
          <w:p w14:paraId="0E21FEDF" w14:textId="77777777" w:rsidR="001506C1" w:rsidRPr="00FA3F9C" w:rsidRDefault="001506C1" w:rsidP="006F623F">
            <w:pPr>
              <w:rPr>
                <w:rFonts w:ascii="Arial" w:hAnsi="Arial" w:cs="Arial"/>
                <w:sz w:val="24"/>
                <w:szCs w:val="24"/>
              </w:rPr>
            </w:pPr>
            <w:r w:rsidRPr="00FA3F9C">
              <w:rPr>
                <w:rFonts w:ascii="Arial" w:hAnsi="Arial" w:cs="Arial"/>
                <w:sz w:val="24"/>
                <w:szCs w:val="24"/>
              </w:rPr>
              <w:t>What changed</w:t>
            </w:r>
          </w:p>
        </w:tc>
        <w:tc>
          <w:tcPr>
            <w:tcW w:w="2538" w:type="dxa"/>
          </w:tcPr>
          <w:p w14:paraId="493B7AD1" w14:textId="77777777" w:rsidR="001506C1" w:rsidRPr="00FA3F9C" w:rsidRDefault="001506C1" w:rsidP="006F623F">
            <w:pPr>
              <w:rPr>
                <w:rFonts w:ascii="Arial" w:hAnsi="Arial" w:cs="Arial"/>
                <w:sz w:val="24"/>
                <w:szCs w:val="24"/>
              </w:rPr>
            </w:pPr>
            <w:r w:rsidRPr="00FA3F9C">
              <w:rPr>
                <w:rFonts w:ascii="Arial" w:hAnsi="Arial" w:cs="Arial"/>
                <w:sz w:val="24"/>
                <w:szCs w:val="24"/>
              </w:rPr>
              <w:t>Pharmacist’s initials</w:t>
            </w:r>
          </w:p>
        </w:tc>
      </w:tr>
      <w:tr w:rsidR="001506C1" w:rsidRPr="00FA3F9C" w14:paraId="18296A97" w14:textId="77777777" w:rsidTr="00FE491B">
        <w:tc>
          <w:tcPr>
            <w:tcW w:w="1008" w:type="dxa"/>
          </w:tcPr>
          <w:p w14:paraId="76E0FF6F" w14:textId="77777777" w:rsidR="001506C1" w:rsidRPr="00FA3F9C" w:rsidRDefault="001506C1" w:rsidP="006F623F">
            <w:pPr>
              <w:rPr>
                <w:rFonts w:ascii="Arial" w:hAnsi="Arial" w:cs="Arial"/>
                <w:sz w:val="24"/>
                <w:szCs w:val="24"/>
              </w:rPr>
            </w:pPr>
            <w:r w:rsidRPr="00FA3F9C">
              <w:rPr>
                <w:rFonts w:ascii="Arial" w:hAnsi="Arial" w:cs="Arial"/>
                <w:sz w:val="24"/>
                <w:szCs w:val="24"/>
              </w:rPr>
              <w:t>9/25/18</w:t>
            </w:r>
          </w:p>
        </w:tc>
        <w:tc>
          <w:tcPr>
            <w:tcW w:w="7470" w:type="dxa"/>
          </w:tcPr>
          <w:p w14:paraId="30B43678" w14:textId="77777777" w:rsidR="001506C1" w:rsidRPr="00FA3F9C" w:rsidRDefault="001506C1" w:rsidP="00622771">
            <w:pPr>
              <w:rPr>
                <w:rFonts w:ascii="Arial" w:hAnsi="Arial" w:cs="Arial"/>
                <w:sz w:val="24"/>
                <w:szCs w:val="24"/>
              </w:rPr>
            </w:pPr>
            <w:r w:rsidRPr="00FA3F9C">
              <w:rPr>
                <w:rFonts w:ascii="Arial" w:hAnsi="Arial" w:cs="Arial"/>
                <w:sz w:val="24"/>
                <w:szCs w:val="24"/>
              </w:rPr>
              <w:t>I wrote criteria.</w:t>
            </w:r>
          </w:p>
        </w:tc>
        <w:tc>
          <w:tcPr>
            <w:tcW w:w="2538" w:type="dxa"/>
          </w:tcPr>
          <w:p w14:paraId="0C9A57DD" w14:textId="4243D1EB" w:rsidR="001506C1" w:rsidRPr="00FA3F9C" w:rsidRDefault="005C142D" w:rsidP="006F623F">
            <w:pPr>
              <w:rPr>
                <w:rFonts w:ascii="Arial" w:hAnsi="Arial" w:cs="Arial"/>
                <w:sz w:val="24"/>
                <w:szCs w:val="24"/>
              </w:rPr>
            </w:pPr>
            <w:r w:rsidRPr="00FA3F9C">
              <w:rPr>
                <w:rFonts w:ascii="Arial" w:hAnsi="Arial" w:cs="Arial"/>
                <w:sz w:val="24"/>
                <w:szCs w:val="24"/>
              </w:rPr>
              <w:t>JJ</w:t>
            </w:r>
          </w:p>
        </w:tc>
      </w:tr>
      <w:tr w:rsidR="001506C1" w:rsidRPr="00FA3F9C" w14:paraId="06902933" w14:textId="77777777" w:rsidTr="00FE491B">
        <w:tc>
          <w:tcPr>
            <w:tcW w:w="1008" w:type="dxa"/>
          </w:tcPr>
          <w:p w14:paraId="07EAEA44" w14:textId="77777777" w:rsidR="001506C1" w:rsidRPr="00FA3F9C" w:rsidRDefault="001506C1" w:rsidP="006F623F">
            <w:pPr>
              <w:rPr>
                <w:rFonts w:ascii="Arial" w:hAnsi="Arial" w:cs="Arial"/>
                <w:sz w:val="24"/>
                <w:szCs w:val="24"/>
              </w:rPr>
            </w:pPr>
            <w:r w:rsidRPr="00FA3F9C">
              <w:rPr>
                <w:rFonts w:ascii="Arial" w:hAnsi="Arial" w:cs="Arial"/>
                <w:sz w:val="24"/>
                <w:szCs w:val="24"/>
              </w:rPr>
              <w:t>4/18/19</w:t>
            </w:r>
          </w:p>
        </w:tc>
        <w:tc>
          <w:tcPr>
            <w:tcW w:w="7470" w:type="dxa"/>
          </w:tcPr>
          <w:p w14:paraId="5A29EA26" w14:textId="77777777" w:rsidR="001506C1" w:rsidRPr="00FA3F9C" w:rsidRDefault="001506C1" w:rsidP="006F1176">
            <w:pPr>
              <w:rPr>
                <w:rFonts w:ascii="Arial" w:hAnsi="Arial" w:cs="Arial"/>
                <w:sz w:val="24"/>
                <w:szCs w:val="24"/>
              </w:rPr>
            </w:pPr>
            <w:r w:rsidRPr="00FA3F9C">
              <w:rPr>
                <w:rFonts w:ascii="Arial" w:hAnsi="Arial" w:cs="Arial"/>
                <w:sz w:val="24"/>
                <w:szCs w:val="24"/>
              </w:rPr>
              <w:t>Reviewed criteria (no major change) and added references and evidence summary</w:t>
            </w:r>
          </w:p>
        </w:tc>
        <w:tc>
          <w:tcPr>
            <w:tcW w:w="2538" w:type="dxa"/>
          </w:tcPr>
          <w:p w14:paraId="15089D88" w14:textId="77777777" w:rsidR="001506C1" w:rsidRPr="00FA3F9C" w:rsidRDefault="001506C1" w:rsidP="006F623F">
            <w:pPr>
              <w:rPr>
                <w:rFonts w:ascii="Arial" w:hAnsi="Arial" w:cs="Arial"/>
                <w:sz w:val="24"/>
                <w:szCs w:val="24"/>
              </w:rPr>
            </w:pPr>
            <w:r w:rsidRPr="00FA3F9C">
              <w:rPr>
                <w:rFonts w:ascii="Arial" w:hAnsi="Arial" w:cs="Arial"/>
                <w:sz w:val="24"/>
                <w:szCs w:val="24"/>
              </w:rPr>
              <w:t>SK</w:t>
            </w:r>
          </w:p>
        </w:tc>
      </w:tr>
      <w:tr w:rsidR="001506C1" w:rsidRPr="00FA3F9C" w14:paraId="3E21AAED" w14:textId="77777777" w:rsidTr="00FE491B">
        <w:tc>
          <w:tcPr>
            <w:tcW w:w="1008" w:type="dxa"/>
          </w:tcPr>
          <w:p w14:paraId="6389453E" w14:textId="77777777" w:rsidR="001506C1" w:rsidRPr="00FA3F9C" w:rsidRDefault="001506C1" w:rsidP="006F623F">
            <w:pPr>
              <w:rPr>
                <w:rFonts w:ascii="Arial" w:hAnsi="Arial" w:cs="Arial"/>
                <w:sz w:val="24"/>
                <w:szCs w:val="24"/>
              </w:rPr>
            </w:pPr>
            <w:r w:rsidRPr="00FA3F9C">
              <w:rPr>
                <w:rFonts w:ascii="Arial" w:hAnsi="Arial" w:cs="Arial"/>
                <w:sz w:val="24"/>
                <w:szCs w:val="24"/>
              </w:rPr>
              <w:t>9/30/19</w:t>
            </w:r>
          </w:p>
        </w:tc>
        <w:tc>
          <w:tcPr>
            <w:tcW w:w="7470" w:type="dxa"/>
          </w:tcPr>
          <w:p w14:paraId="243252D0" w14:textId="77777777" w:rsidR="001506C1" w:rsidRPr="00FA3F9C" w:rsidRDefault="001506C1" w:rsidP="00622771">
            <w:pPr>
              <w:rPr>
                <w:rFonts w:ascii="Arial" w:hAnsi="Arial" w:cs="Arial"/>
                <w:sz w:val="24"/>
                <w:szCs w:val="24"/>
              </w:rPr>
            </w:pPr>
            <w:r w:rsidRPr="00FA3F9C">
              <w:rPr>
                <w:rFonts w:ascii="Arial" w:hAnsi="Arial" w:cs="Arial"/>
                <w:sz w:val="24"/>
                <w:szCs w:val="24"/>
              </w:rPr>
              <w:t xml:space="preserve">Reviewed criteria. No change in criteria. Added quantity limits. </w:t>
            </w:r>
          </w:p>
        </w:tc>
        <w:tc>
          <w:tcPr>
            <w:tcW w:w="2538" w:type="dxa"/>
          </w:tcPr>
          <w:p w14:paraId="399FAFA2" w14:textId="77777777" w:rsidR="001506C1" w:rsidRPr="00FA3F9C" w:rsidRDefault="001506C1" w:rsidP="006F623F">
            <w:pPr>
              <w:rPr>
                <w:rFonts w:ascii="Arial" w:hAnsi="Arial" w:cs="Arial"/>
                <w:sz w:val="24"/>
                <w:szCs w:val="24"/>
              </w:rPr>
            </w:pPr>
            <w:r w:rsidRPr="00FA3F9C">
              <w:rPr>
                <w:rFonts w:ascii="Arial" w:hAnsi="Arial" w:cs="Arial"/>
                <w:sz w:val="24"/>
                <w:szCs w:val="24"/>
              </w:rPr>
              <w:t>SK</w:t>
            </w:r>
          </w:p>
        </w:tc>
      </w:tr>
      <w:tr w:rsidR="001506C1" w:rsidRPr="00FA3F9C" w14:paraId="4841CB07" w14:textId="77777777" w:rsidTr="00FE491B">
        <w:tc>
          <w:tcPr>
            <w:tcW w:w="1008" w:type="dxa"/>
          </w:tcPr>
          <w:p w14:paraId="2CA70E1B" w14:textId="77777777" w:rsidR="001506C1" w:rsidRPr="00FA3F9C" w:rsidRDefault="001506C1" w:rsidP="006F623F">
            <w:pPr>
              <w:rPr>
                <w:rFonts w:ascii="Arial" w:hAnsi="Arial" w:cs="Arial"/>
                <w:sz w:val="24"/>
                <w:szCs w:val="24"/>
              </w:rPr>
            </w:pPr>
            <w:r w:rsidRPr="00FA3F9C">
              <w:rPr>
                <w:rFonts w:ascii="Arial" w:hAnsi="Arial" w:cs="Arial"/>
                <w:sz w:val="24"/>
                <w:szCs w:val="24"/>
              </w:rPr>
              <w:lastRenderedPageBreak/>
              <w:t>4/27/2020</w:t>
            </w:r>
          </w:p>
        </w:tc>
        <w:tc>
          <w:tcPr>
            <w:tcW w:w="7470" w:type="dxa"/>
          </w:tcPr>
          <w:p w14:paraId="1FD4EAA4" w14:textId="77777777" w:rsidR="001506C1" w:rsidRPr="00FA3F9C" w:rsidRDefault="001506C1" w:rsidP="005221FB">
            <w:pPr>
              <w:rPr>
                <w:rFonts w:ascii="Arial" w:hAnsi="Arial" w:cs="Arial"/>
                <w:sz w:val="24"/>
                <w:szCs w:val="24"/>
              </w:rPr>
            </w:pPr>
            <w:r w:rsidRPr="00FA3F9C">
              <w:rPr>
                <w:rFonts w:ascii="Arial" w:hAnsi="Arial" w:cs="Arial"/>
                <w:sz w:val="24"/>
                <w:szCs w:val="24"/>
              </w:rPr>
              <w:t xml:space="preserve">Divided </w:t>
            </w:r>
            <w:proofErr w:type="spellStart"/>
            <w:r w:rsidRPr="00FA3F9C">
              <w:rPr>
                <w:rFonts w:ascii="Arial" w:hAnsi="Arial" w:cs="Arial"/>
                <w:sz w:val="24"/>
                <w:szCs w:val="24"/>
              </w:rPr>
              <w:t>encorafenib</w:t>
            </w:r>
            <w:proofErr w:type="spellEnd"/>
            <w:r w:rsidRPr="00FA3F9C">
              <w:rPr>
                <w:rFonts w:ascii="Arial" w:hAnsi="Arial" w:cs="Arial"/>
                <w:sz w:val="24"/>
                <w:szCs w:val="24"/>
              </w:rPr>
              <w:t xml:space="preserve"> and </w:t>
            </w:r>
            <w:proofErr w:type="spellStart"/>
            <w:r w:rsidRPr="00FA3F9C">
              <w:rPr>
                <w:rFonts w:ascii="Arial" w:hAnsi="Arial" w:cs="Arial"/>
                <w:sz w:val="24"/>
                <w:szCs w:val="24"/>
              </w:rPr>
              <w:t>binimetinib</w:t>
            </w:r>
            <w:proofErr w:type="spellEnd"/>
            <w:r w:rsidRPr="00FA3F9C">
              <w:rPr>
                <w:rFonts w:ascii="Arial" w:hAnsi="Arial" w:cs="Arial"/>
                <w:sz w:val="24"/>
                <w:szCs w:val="24"/>
              </w:rPr>
              <w:t xml:space="preserve"> criteria into two documents due to new </w:t>
            </w:r>
            <w:proofErr w:type="spellStart"/>
            <w:r w:rsidRPr="00FA3F9C">
              <w:rPr>
                <w:rFonts w:ascii="Arial" w:hAnsi="Arial" w:cs="Arial"/>
                <w:sz w:val="24"/>
                <w:szCs w:val="24"/>
              </w:rPr>
              <w:t>encorafenib</w:t>
            </w:r>
            <w:proofErr w:type="spellEnd"/>
            <w:r w:rsidRPr="00FA3F9C">
              <w:rPr>
                <w:rFonts w:ascii="Arial" w:hAnsi="Arial" w:cs="Arial"/>
                <w:sz w:val="24"/>
                <w:szCs w:val="24"/>
              </w:rPr>
              <w:t xml:space="preserve"> indication for colorectal cancer that does not require </w:t>
            </w:r>
            <w:proofErr w:type="spellStart"/>
            <w:r w:rsidRPr="00FA3F9C">
              <w:rPr>
                <w:rFonts w:ascii="Arial" w:hAnsi="Arial" w:cs="Arial"/>
                <w:sz w:val="24"/>
                <w:szCs w:val="24"/>
              </w:rPr>
              <w:t>binimetinib</w:t>
            </w:r>
            <w:proofErr w:type="spellEnd"/>
            <w:r w:rsidRPr="00FA3F9C">
              <w:rPr>
                <w:rFonts w:ascii="Arial" w:hAnsi="Arial" w:cs="Arial"/>
                <w:sz w:val="24"/>
                <w:szCs w:val="24"/>
              </w:rPr>
              <w:t xml:space="preserve"> co-therapy. </w:t>
            </w:r>
            <w:r w:rsidRPr="00FA3F9C">
              <w:rPr>
                <w:rFonts w:ascii="Arial" w:hAnsi="Arial" w:cs="Arial"/>
                <w:b/>
                <w:sz w:val="24"/>
                <w:szCs w:val="24"/>
                <w:u w:val="single"/>
              </w:rPr>
              <w:t xml:space="preserve">No change in </w:t>
            </w:r>
            <w:proofErr w:type="spellStart"/>
            <w:r w:rsidRPr="00FA3F9C">
              <w:rPr>
                <w:rFonts w:ascii="Arial" w:hAnsi="Arial" w:cs="Arial"/>
                <w:b/>
                <w:sz w:val="24"/>
                <w:szCs w:val="24"/>
                <w:u w:val="single"/>
              </w:rPr>
              <w:t>binimetinib</w:t>
            </w:r>
            <w:proofErr w:type="spellEnd"/>
            <w:r w:rsidRPr="00FA3F9C">
              <w:rPr>
                <w:rFonts w:ascii="Arial" w:hAnsi="Arial" w:cs="Arial"/>
                <w:b/>
                <w:sz w:val="24"/>
                <w:szCs w:val="24"/>
                <w:u w:val="single"/>
              </w:rPr>
              <w:t xml:space="preserve"> criteria</w:t>
            </w:r>
            <w:r w:rsidRPr="00FA3F9C">
              <w:rPr>
                <w:rFonts w:ascii="Arial" w:hAnsi="Arial" w:cs="Arial"/>
                <w:sz w:val="24"/>
                <w:szCs w:val="24"/>
              </w:rPr>
              <w:t>.</w:t>
            </w:r>
          </w:p>
        </w:tc>
        <w:tc>
          <w:tcPr>
            <w:tcW w:w="2538" w:type="dxa"/>
          </w:tcPr>
          <w:p w14:paraId="463A5E55" w14:textId="77777777" w:rsidR="001506C1" w:rsidRPr="00FA3F9C" w:rsidRDefault="001506C1" w:rsidP="006F623F">
            <w:pPr>
              <w:rPr>
                <w:rFonts w:ascii="Arial" w:hAnsi="Arial" w:cs="Arial"/>
                <w:sz w:val="24"/>
                <w:szCs w:val="24"/>
              </w:rPr>
            </w:pPr>
            <w:r w:rsidRPr="00FA3F9C">
              <w:rPr>
                <w:rFonts w:ascii="Arial" w:hAnsi="Arial" w:cs="Arial"/>
                <w:sz w:val="24"/>
                <w:szCs w:val="24"/>
              </w:rPr>
              <w:t>SK</w:t>
            </w:r>
          </w:p>
        </w:tc>
      </w:tr>
      <w:tr w:rsidR="001506C1" w:rsidRPr="00FA3F9C" w14:paraId="35EE1865" w14:textId="77777777" w:rsidTr="00FE491B">
        <w:tc>
          <w:tcPr>
            <w:tcW w:w="1008" w:type="dxa"/>
          </w:tcPr>
          <w:p w14:paraId="1F16B7D1" w14:textId="77777777" w:rsidR="001506C1" w:rsidRPr="00FA3F9C" w:rsidRDefault="001506C1" w:rsidP="006F623F">
            <w:pPr>
              <w:rPr>
                <w:rFonts w:ascii="Arial" w:hAnsi="Arial" w:cs="Arial"/>
                <w:sz w:val="24"/>
                <w:szCs w:val="24"/>
              </w:rPr>
            </w:pPr>
            <w:r w:rsidRPr="00FA3F9C">
              <w:rPr>
                <w:rFonts w:ascii="Arial" w:hAnsi="Arial" w:cs="Arial"/>
                <w:sz w:val="24"/>
                <w:szCs w:val="24"/>
              </w:rPr>
              <w:t>7/26/2021</w:t>
            </w:r>
          </w:p>
        </w:tc>
        <w:tc>
          <w:tcPr>
            <w:tcW w:w="7470" w:type="dxa"/>
          </w:tcPr>
          <w:p w14:paraId="45969276" w14:textId="77777777" w:rsidR="001506C1" w:rsidRPr="00FA3F9C" w:rsidRDefault="001506C1" w:rsidP="005221FB">
            <w:pPr>
              <w:rPr>
                <w:rFonts w:ascii="Arial" w:hAnsi="Arial" w:cs="Arial"/>
                <w:sz w:val="24"/>
                <w:szCs w:val="24"/>
              </w:rPr>
            </w:pPr>
            <w:r w:rsidRPr="00FA3F9C">
              <w:rPr>
                <w:rFonts w:ascii="Arial" w:hAnsi="Arial" w:cs="Arial"/>
                <w:sz w:val="24"/>
                <w:szCs w:val="24"/>
              </w:rPr>
              <w:t>Criteria reviewed. Clarified criteria 5. No other changes.</w:t>
            </w:r>
          </w:p>
        </w:tc>
        <w:tc>
          <w:tcPr>
            <w:tcW w:w="2538" w:type="dxa"/>
          </w:tcPr>
          <w:p w14:paraId="3C7D81EC" w14:textId="77777777" w:rsidR="001506C1" w:rsidRPr="00FA3F9C" w:rsidRDefault="001506C1" w:rsidP="006F623F">
            <w:pPr>
              <w:rPr>
                <w:rFonts w:ascii="Arial" w:hAnsi="Arial" w:cs="Arial"/>
                <w:sz w:val="24"/>
                <w:szCs w:val="24"/>
              </w:rPr>
            </w:pPr>
            <w:proofErr w:type="spellStart"/>
            <w:r w:rsidRPr="00FA3F9C">
              <w:rPr>
                <w:rFonts w:ascii="Arial" w:hAnsi="Arial" w:cs="Arial"/>
                <w:sz w:val="24"/>
                <w:szCs w:val="24"/>
              </w:rPr>
              <w:t>sk</w:t>
            </w:r>
            <w:proofErr w:type="spellEnd"/>
          </w:p>
        </w:tc>
      </w:tr>
    </w:tbl>
    <w:p w14:paraId="0A2AB67B" w14:textId="77777777" w:rsidR="001506C1" w:rsidRPr="00FA3F9C" w:rsidRDefault="001506C1" w:rsidP="006F623F">
      <w:pPr>
        <w:spacing w:after="0"/>
        <w:rPr>
          <w:rFonts w:ascii="Arial" w:hAnsi="Arial" w:cs="Arial"/>
          <w:sz w:val="24"/>
          <w:szCs w:val="24"/>
        </w:rPr>
      </w:pPr>
    </w:p>
    <w:p w14:paraId="0D76CF31" w14:textId="77777777" w:rsidR="001506C1" w:rsidRPr="00FA3F9C" w:rsidRDefault="001506C1" w:rsidP="00CA4C3C">
      <w:pPr>
        <w:pStyle w:val="Heading2"/>
      </w:pPr>
      <w:bookmarkStart w:id="35" w:name="_Toc106369737"/>
      <w:r w:rsidRPr="00FA3F9C">
        <w:t>Blinatumomab (</w:t>
      </w:r>
      <w:proofErr w:type="spellStart"/>
      <w:r w:rsidRPr="00FA3F9C">
        <w:t>Blincyto</w:t>
      </w:r>
      <w:proofErr w:type="spellEnd"/>
      <w:r w:rsidRPr="00FA3F9C">
        <w:t>)</w:t>
      </w:r>
      <w:bookmarkEnd w:id="35"/>
    </w:p>
    <w:p w14:paraId="21F73D9B" w14:textId="77777777" w:rsidR="001506C1" w:rsidRPr="00FA3F9C" w:rsidRDefault="001506C1" w:rsidP="006F623F">
      <w:pPr>
        <w:spacing w:after="0"/>
        <w:jc w:val="center"/>
        <w:rPr>
          <w:rFonts w:ascii="Arial" w:hAnsi="Arial" w:cs="Arial"/>
          <w:sz w:val="24"/>
          <w:szCs w:val="24"/>
        </w:rPr>
      </w:pPr>
      <w:r w:rsidRPr="00FA3F9C">
        <w:rPr>
          <w:rFonts w:ascii="Arial" w:hAnsi="Arial" w:cs="Arial"/>
          <w:sz w:val="24"/>
          <w:szCs w:val="24"/>
        </w:rPr>
        <w:t>35 mcg vial</w:t>
      </w:r>
    </w:p>
    <w:p w14:paraId="25031CA1" w14:textId="77777777" w:rsidR="001506C1" w:rsidRPr="00FA3F9C" w:rsidRDefault="001506C1" w:rsidP="006F623F">
      <w:pPr>
        <w:spacing w:after="0"/>
        <w:jc w:val="center"/>
        <w:rPr>
          <w:rFonts w:ascii="Arial" w:hAnsi="Arial" w:cs="Arial"/>
          <w:sz w:val="24"/>
          <w:szCs w:val="24"/>
        </w:rPr>
      </w:pPr>
      <w:r w:rsidRPr="00FA3F9C">
        <w:rPr>
          <w:rFonts w:ascii="Arial" w:hAnsi="Arial" w:cs="Arial"/>
          <w:sz w:val="24"/>
          <w:szCs w:val="24"/>
        </w:rPr>
        <w:t>EBRx PA Criteria</w:t>
      </w:r>
    </w:p>
    <w:p w14:paraId="036E249C" w14:textId="77777777" w:rsidR="001506C1" w:rsidRPr="00FA3F9C" w:rsidRDefault="001506C1" w:rsidP="006F623F">
      <w:pPr>
        <w:spacing w:after="0"/>
        <w:rPr>
          <w:rFonts w:ascii="Arial" w:hAnsi="Arial" w:cs="Arial"/>
          <w:b/>
          <w:sz w:val="24"/>
          <w:szCs w:val="24"/>
          <w:u w:val="single"/>
        </w:rPr>
      </w:pPr>
    </w:p>
    <w:p w14:paraId="337F192A" w14:textId="77777777" w:rsidR="001506C1" w:rsidRPr="00FA3F9C" w:rsidRDefault="001506C1"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w:t>
      </w:r>
    </w:p>
    <w:p w14:paraId="2DF52558" w14:textId="77777777" w:rsidR="001506C1" w:rsidRPr="00FA3F9C" w:rsidRDefault="001506C1" w:rsidP="001506C1">
      <w:pPr>
        <w:pStyle w:val="ListParagraph"/>
        <w:numPr>
          <w:ilvl w:val="0"/>
          <w:numId w:val="50"/>
        </w:numPr>
        <w:spacing w:after="0" w:line="276" w:lineRule="auto"/>
        <w:rPr>
          <w:rFonts w:ascii="Arial" w:hAnsi="Arial" w:cs="Arial"/>
          <w:sz w:val="24"/>
          <w:szCs w:val="24"/>
        </w:rPr>
      </w:pPr>
      <w:r w:rsidRPr="00FA3F9C">
        <w:rPr>
          <w:rFonts w:ascii="Arial" w:hAnsi="Arial" w:cs="Arial"/>
          <w:sz w:val="24"/>
          <w:szCs w:val="24"/>
        </w:rPr>
        <w:t xml:space="preserve">CD19-positive B-cell precursor acute lymphoblastic leukemia (ALL) in first or second complete remission with minimal residual disease (MRD) greater than or equal to 0.1%. </w:t>
      </w:r>
    </w:p>
    <w:p w14:paraId="30A66694" w14:textId="77777777" w:rsidR="001506C1" w:rsidRPr="00FA3F9C" w:rsidRDefault="001506C1" w:rsidP="001506C1">
      <w:pPr>
        <w:pStyle w:val="ListParagraph"/>
        <w:numPr>
          <w:ilvl w:val="1"/>
          <w:numId w:val="50"/>
        </w:numPr>
        <w:spacing w:after="0" w:line="276" w:lineRule="auto"/>
        <w:rPr>
          <w:rFonts w:ascii="Arial" w:hAnsi="Arial" w:cs="Arial"/>
          <w:sz w:val="24"/>
          <w:szCs w:val="24"/>
        </w:rPr>
      </w:pPr>
      <w:r w:rsidRPr="00FA3F9C">
        <w:rPr>
          <w:rFonts w:ascii="Arial" w:hAnsi="Arial" w:cs="Arial"/>
          <w:sz w:val="24"/>
          <w:szCs w:val="24"/>
        </w:rPr>
        <w:t xml:space="preserve">This indication is approved under accelerated approval based on MRD response rate and hematological relapse-free survival. Continued approval for this indication may be contingent upon verification and description of clinical benefit in the confirmatory trials. </w:t>
      </w:r>
    </w:p>
    <w:p w14:paraId="7ABA0BC9" w14:textId="77777777" w:rsidR="001506C1" w:rsidRPr="00FA3F9C" w:rsidRDefault="001506C1" w:rsidP="001506C1">
      <w:pPr>
        <w:pStyle w:val="ListParagraph"/>
        <w:numPr>
          <w:ilvl w:val="1"/>
          <w:numId w:val="50"/>
        </w:numPr>
        <w:spacing w:after="0" w:line="276" w:lineRule="auto"/>
        <w:rPr>
          <w:rFonts w:ascii="Arial" w:hAnsi="Arial" w:cs="Arial"/>
          <w:sz w:val="24"/>
          <w:szCs w:val="24"/>
        </w:rPr>
      </w:pPr>
      <w:r w:rsidRPr="00FA3F9C">
        <w:rPr>
          <w:rFonts w:ascii="Arial" w:hAnsi="Arial" w:cs="Arial"/>
          <w:sz w:val="24"/>
          <w:szCs w:val="24"/>
          <w:highlight w:val="yellow"/>
        </w:rPr>
        <w:t>NOT COVERED</w:t>
      </w:r>
      <w:r w:rsidRPr="00FA3F9C">
        <w:rPr>
          <w:rFonts w:ascii="Arial" w:hAnsi="Arial" w:cs="Arial"/>
          <w:sz w:val="24"/>
          <w:szCs w:val="24"/>
        </w:rPr>
        <w:t xml:space="preserve"> Data limited to single arm trial demonstrating response rates only.</w:t>
      </w:r>
    </w:p>
    <w:p w14:paraId="4E631DEC" w14:textId="77777777" w:rsidR="001506C1" w:rsidRPr="00FA3F9C" w:rsidRDefault="001506C1" w:rsidP="001506C1">
      <w:pPr>
        <w:pStyle w:val="ListParagraph"/>
        <w:numPr>
          <w:ilvl w:val="2"/>
          <w:numId w:val="50"/>
        </w:numPr>
        <w:spacing w:after="200" w:line="276" w:lineRule="auto"/>
        <w:rPr>
          <w:rFonts w:ascii="Arial" w:hAnsi="Arial" w:cs="Arial"/>
          <w:sz w:val="24"/>
          <w:szCs w:val="24"/>
        </w:rPr>
      </w:pPr>
      <w:proofErr w:type="gramStart"/>
      <w:r w:rsidRPr="00FA3F9C">
        <w:rPr>
          <w:rFonts w:ascii="Arial" w:hAnsi="Arial" w:cs="Arial"/>
          <w:sz w:val="24"/>
          <w:szCs w:val="24"/>
          <w:lang w:val="fr-FR"/>
        </w:rPr>
        <w:t>Reference:</w:t>
      </w:r>
      <w:proofErr w:type="gramEnd"/>
      <w:r w:rsidRPr="00FA3F9C">
        <w:rPr>
          <w:rFonts w:ascii="Arial" w:hAnsi="Arial" w:cs="Arial"/>
          <w:sz w:val="24"/>
          <w:szCs w:val="24"/>
          <w:lang w:val="fr-FR"/>
        </w:rPr>
        <w:t xml:space="preserve"> </w:t>
      </w:r>
      <w:proofErr w:type="spellStart"/>
      <w:r w:rsidRPr="00FA3F9C">
        <w:rPr>
          <w:rFonts w:ascii="Arial" w:hAnsi="Arial" w:cs="Arial"/>
          <w:sz w:val="24"/>
          <w:szCs w:val="24"/>
          <w:lang w:val="fr-FR"/>
        </w:rPr>
        <w:t>Gökbuget</w:t>
      </w:r>
      <w:proofErr w:type="spellEnd"/>
      <w:r w:rsidRPr="00FA3F9C">
        <w:rPr>
          <w:rFonts w:ascii="Arial" w:hAnsi="Arial" w:cs="Arial"/>
          <w:sz w:val="24"/>
          <w:szCs w:val="24"/>
          <w:lang w:val="fr-FR"/>
        </w:rPr>
        <w:t xml:space="preserve"> N et al. </w:t>
      </w:r>
      <w:r w:rsidRPr="00FA3F9C">
        <w:rPr>
          <w:rFonts w:ascii="Arial" w:hAnsi="Arial" w:cs="Arial"/>
          <w:sz w:val="24"/>
          <w:szCs w:val="24"/>
        </w:rPr>
        <w:t xml:space="preserve">Blinatumomab for minimal residual disease in adults with B-cell precursor acute lymphoblastic leukemia. Blood. 2018 Apr 5;131(14):1522-1531. </w:t>
      </w:r>
      <w:proofErr w:type="spellStart"/>
      <w:r w:rsidRPr="00FA3F9C">
        <w:rPr>
          <w:rFonts w:ascii="Arial" w:hAnsi="Arial" w:cs="Arial"/>
          <w:sz w:val="24"/>
          <w:szCs w:val="24"/>
        </w:rPr>
        <w:t>doi</w:t>
      </w:r>
      <w:proofErr w:type="spellEnd"/>
      <w:r w:rsidRPr="00FA3F9C">
        <w:rPr>
          <w:rFonts w:ascii="Arial" w:hAnsi="Arial" w:cs="Arial"/>
          <w:sz w:val="24"/>
          <w:szCs w:val="24"/>
        </w:rPr>
        <w:t xml:space="preserve">: 10.1182/blood-2017-08-798322. </w:t>
      </w:r>
      <w:proofErr w:type="spellStart"/>
      <w:r w:rsidRPr="00FA3F9C">
        <w:rPr>
          <w:rFonts w:ascii="Arial" w:hAnsi="Arial" w:cs="Arial"/>
          <w:sz w:val="24"/>
          <w:szCs w:val="24"/>
        </w:rPr>
        <w:t>Epub</w:t>
      </w:r>
      <w:proofErr w:type="spellEnd"/>
      <w:r w:rsidRPr="00FA3F9C">
        <w:rPr>
          <w:rFonts w:ascii="Arial" w:hAnsi="Arial" w:cs="Arial"/>
          <w:sz w:val="24"/>
          <w:szCs w:val="24"/>
        </w:rPr>
        <w:t xml:space="preserve"> 2018 Jan 22. Erratum in: Blood. 2019 Jun 13;133(24):2625. PMID: 29358182; PMCID: PMC6027091. [BLAST]</w:t>
      </w:r>
    </w:p>
    <w:p w14:paraId="4B7FC2F9" w14:textId="77777777" w:rsidR="001506C1" w:rsidRPr="00FA3F9C" w:rsidRDefault="001506C1" w:rsidP="001506C1">
      <w:pPr>
        <w:pStyle w:val="ListParagraph"/>
        <w:numPr>
          <w:ilvl w:val="0"/>
          <w:numId w:val="50"/>
        </w:numPr>
        <w:spacing w:after="0" w:line="276" w:lineRule="auto"/>
        <w:rPr>
          <w:rFonts w:ascii="Arial" w:hAnsi="Arial" w:cs="Arial"/>
          <w:sz w:val="24"/>
          <w:szCs w:val="24"/>
        </w:rPr>
      </w:pPr>
      <w:r w:rsidRPr="00FA3F9C">
        <w:rPr>
          <w:rFonts w:ascii="Arial" w:hAnsi="Arial" w:cs="Arial"/>
          <w:sz w:val="24"/>
          <w:szCs w:val="24"/>
        </w:rPr>
        <w:t xml:space="preserve">Relapsed or refractory CD19-positive B-cell precursor acute lymphoblastic leukemia (ALL). </w:t>
      </w:r>
      <w:r w:rsidRPr="00FA3F9C">
        <w:rPr>
          <w:rFonts w:ascii="Arial" w:hAnsi="Arial" w:cs="Arial"/>
          <w:sz w:val="24"/>
          <w:szCs w:val="24"/>
          <w:highlight w:val="cyan"/>
        </w:rPr>
        <w:t>SEE CRITERIA</w:t>
      </w:r>
    </w:p>
    <w:p w14:paraId="7F6794EF" w14:textId="77777777" w:rsidR="001506C1" w:rsidRPr="00FA3F9C" w:rsidRDefault="001506C1" w:rsidP="006F623F">
      <w:pPr>
        <w:spacing w:after="0"/>
        <w:rPr>
          <w:rFonts w:ascii="Arial" w:hAnsi="Arial" w:cs="Arial"/>
          <w:sz w:val="24"/>
          <w:szCs w:val="24"/>
        </w:rPr>
      </w:pPr>
    </w:p>
    <w:tbl>
      <w:tblPr>
        <w:tblStyle w:val="TableGrid"/>
        <w:tblW w:w="0" w:type="auto"/>
        <w:tblLook w:val="04A0" w:firstRow="1" w:lastRow="0" w:firstColumn="1" w:lastColumn="0" w:noHBand="0" w:noVBand="1"/>
      </w:tblPr>
      <w:tblGrid>
        <w:gridCol w:w="8928"/>
        <w:gridCol w:w="2088"/>
      </w:tblGrid>
      <w:tr w:rsidR="001506C1" w:rsidRPr="00FA3F9C" w14:paraId="22197764" w14:textId="77777777" w:rsidTr="00571CAB">
        <w:tc>
          <w:tcPr>
            <w:tcW w:w="8928" w:type="dxa"/>
            <w:shd w:val="clear" w:color="auto" w:fill="000000"/>
          </w:tcPr>
          <w:p w14:paraId="43C983CB" w14:textId="77777777" w:rsidR="001506C1" w:rsidRPr="00FA3F9C" w:rsidRDefault="001506C1"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88" w:type="dxa"/>
            <w:shd w:val="clear" w:color="auto" w:fill="000000"/>
          </w:tcPr>
          <w:p w14:paraId="24D1DD09" w14:textId="77777777" w:rsidR="001506C1" w:rsidRPr="00FA3F9C" w:rsidRDefault="001506C1" w:rsidP="006F623F">
            <w:pPr>
              <w:jc w:val="center"/>
              <w:rPr>
                <w:rFonts w:ascii="Arial" w:hAnsi="Arial" w:cs="Arial"/>
                <w:b/>
                <w:sz w:val="24"/>
                <w:szCs w:val="24"/>
                <w:u w:val="single"/>
              </w:rPr>
            </w:pPr>
          </w:p>
        </w:tc>
      </w:tr>
      <w:tr w:rsidR="001506C1" w:rsidRPr="00FA3F9C" w14:paraId="6E079BBE" w14:textId="77777777" w:rsidTr="00F337AE">
        <w:tc>
          <w:tcPr>
            <w:tcW w:w="11016" w:type="dxa"/>
            <w:gridSpan w:val="2"/>
          </w:tcPr>
          <w:p w14:paraId="4605F7FE" w14:textId="77777777" w:rsidR="001506C1" w:rsidRPr="00FA3F9C" w:rsidRDefault="001506C1" w:rsidP="001506C1">
            <w:pPr>
              <w:pStyle w:val="ListParagraph"/>
              <w:numPr>
                <w:ilvl w:val="0"/>
                <w:numId w:val="51"/>
              </w:numPr>
              <w:ind w:left="270" w:hanging="270"/>
              <w:rPr>
                <w:rFonts w:ascii="Arial" w:hAnsi="Arial" w:cs="Arial"/>
                <w:sz w:val="24"/>
                <w:szCs w:val="24"/>
              </w:rPr>
            </w:pPr>
            <w:r w:rsidRPr="00FA3F9C">
              <w:rPr>
                <w:rFonts w:ascii="Arial" w:hAnsi="Arial" w:cs="Arial"/>
                <w:sz w:val="24"/>
                <w:szCs w:val="24"/>
              </w:rPr>
              <w:t xml:space="preserve">Diagnosis of relapsed or refractory acute lymphocytic leukemia (ALL) </w:t>
            </w:r>
          </w:p>
        </w:tc>
      </w:tr>
      <w:tr w:rsidR="001506C1" w:rsidRPr="00FA3F9C" w14:paraId="47FCE563" w14:textId="77777777" w:rsidTr="00B1617E">
        <w:tc>
          <w:tcPr>
            <w:tcW w:w="11016" w:type="dxa"/>
            <w:gridSpan w:val="2"/>
          </w:tcPr>
          <w:p w14:paraId="34EECB60" w14:textId="77777777" w:rsidR="001506C1" w:rsidRPr="00FA3F9C" w:rsidRDefault="001506C1" w:rsidP="001506C1">
            <w:pPr>
              <w:pStyle w:val="ListParagraph"/>
              <w:numPr>
                <w:ilvl w:val="0"/>
                <w:numId w:val="51"/>
              </w:numPr>
              <w:ind w:left="270" w:hanging="270"/>
              <w:rPr>
                <w:rFonts w:ascii="Arial" w:hAnsi="Arial" w:cs="Arial"/>
                <w:sz w:val="24"/>
                <w:szCs w:val="24"/>
              </w:rPr>
            </w:pPr>
            <w:r w:rsidRPr="00FA3F9C">
              <w:rPr>
                <w:rFonts w:ascii="Arial" w:hAnsi="Arial" w:cs="Arial"/>
                <w:sz w:val="24"/>
                <w:szCs w:val="24"/>
              </w:rPr>
              <w:t>Leukemia is CD19 positive</w:t>
            </w:r>
          </w:p>
        </w:tc>
      </w:tr>
      <w:tr w:rsidR="001506C1" w:rsidRPr="00FA3F9C" w14:paraId="23DE0724" w14:textId="77777777" w:rsidTr="0010789D">
        <w:tc>
          <w:tcPr>
            <w:tcW w:w="11016" w:type="dxa"/>
            <w:gridSpan w:val="2"/>
          </w:tcPr>
          <w:p w14:paraId="4BF8D3B1" w14:textId="77777777" w:rsidR="001506C1" w:rsidRPr="00FA3F9C" w:rsidRDefault="001506C1" w:rsidP="001506C1">
            <w:pPr>
              <w:pStyle w:val="ListParagraph"/>
              <w:numPr>
                <w:ilvl w:val="0"/>
                <w:numId w:val="51"/>
              </w:numPr>
              <w:ind w:left="270" w:hanging="270"/>
              <w:rPr>
                <w:rFonts w:ascii="Arial" w:hAnsi="Arial" w:cs="Arial"/>
                <w:sz w:val="24"/>
                <w:szCs w:val="24"/>
              </w:rPr>
            </w:pPr>
            <w:r w:rsidRPr="00FA3F9C">
              <w:rPr>
                <w:rFonts w:ascii="Arial" w:hAnsi="Arial" w:cs="Arial"/>
                <w:sz w:val="24"/>
                <w:szCs w:val="24"/>
              </w:rPr>
              <w:t>Disease has relapsed or is refractory [</w:t>
            </w:r>
            <w:proofErr w:type="gramStart"/>
            <w:r w:rsidRPr="00FA3F9C">
              <w:rPr>
                <w:rFonts w:ascii="Arial" w:hAnsi="Arial" w:cs="Arial"/>
                <w:sz w:val="24"/>
                <w:szCs w:val="24"/>
              </w:rPr>
              <w:t>e.g.</w:t>
            </w:r>
            <w:proofErr w:type="gramEnd"/>
            <w:r w:rsidRPr="00FA3F9C">
              <w:rPr>
                <w:rFonts w:ascii="Arial" w:hAnsi="Arial" w:cs="Arial"/>
                <w:sz w:val="24"/>
                <w:szCs w:val="24"/>
              </w:rPr>
              <w:t xml:space="preserve"> patient has been treated with at least one prior therapy with no response OR disease has relapsed or progressed after response]</w:t>
            </w:r>
          </w:p>
        </w:tc>
      </w:tr>
      <w:tr w:rsidR="001506C1" w:rsidRPr="00FA3F9C" w14:paraId="7249BC23" w14:textId="77777777" w:rsidTr="00A83591">
        <w:tc>
          <w:tcPr>
            <w:tcW w:w="11016" w:type="dxa"/>
            <w:gridSpan w:val="2"/>
            <w:shd w:val="clear" w:color="auto" w:fill="F2F2F2" w:themeFill="background1" w:themeFillShade="F2"/>
          </w:tcPr>
          <w:p w14:paraId="17C4C1C1" w14:textId="77777777" w:rsidR="001506C1" w:rsidRPr="00FA3F9C" w:rsidRDefault="001506C1" w:rsidP="00F54BED">
            <w:pPr>
              <w:rPr>
                <w:rFonts w:ascii="Arial" w:hAnsi="Arial" w:cs="Arial"/>
                <w:sz w:val="24"/>
                <w:szCs w:val="24"/>
              </w:rPr>
            </w:pPr>
            <w:r w:rsidRPr="00FA3F9C">
              <w:rPr>
                <w:rFonts w:ascii="Arial" w:hAnsi="Arial" w:cs="Arial"/>
                <w:sz w:val="24"/>
                <w:szCs w:val="24"/>
              </w:rPr>
              <w:t>If criteria are met, approve x 16 months. No renewals without justification. Maximum duration of therapy is 9 cycles (see dosing below).</w:t>
            </w:r>
          </w:p>
        </w:tc>
      </w:tr>
    </w:tbl>
    <w:p w14:paraId="11C37F4E" w14:textId="77777777" w:rsidR="001506C1" w:rsidRPr="00FA3F9C" w:rsidRDefault="001506C1" w:rsidP="006F623F">
      <w:pPr>
        <w:spacing w:after="0"/>
        <w:rPr>
          <w:rFonts w:ascii="Arial" w:hAnsi="Arial" w:cs="Arial"/>
          <w:b/>
          <w:sz w:val="24"/>
          <w:szCs w:val="24"/>
          <w:u w:val="single"/>
        </w:rPr>
      </w:pPr>
    </w:p>
    <w:tbl>
      <w:tblPr>
        <w:tblStyle w:val="TableGrid"/>
        <w:tblW w:w="0" w:type="auto"/>
        <w:shd w:val="clear" w:color="auto" w:fill="BFBFBF" w:themeFill="background1" w:themeFillShade="BF"/>
        <w:tblLook w:val="04A0" w:firstRow="1" w:lastRow="0" w:firstColumn="1" w:lastColumn="0" w:noHBand="0" w:noVBand="1"/>
      </w:tblPr>
      <w:tblGrid>
        <w:gridCol w:w="10998"/>
      </w:tblGrid>
      <w:tr w:rsidR="001506C1" w:rsidRPr="00FA3F9C" w14:paraId="070B12C2" w14:textId="77777777" w:rsidTr="00D82B6E">
        <w:tc>
          <w:tcPr>
            <w:tcW w:w="10998" w:type="dxa"/>
            <w:shd w:val="clear" w:color="auto" w:fill="BFBFBF" w:themeFill="background1" w:themeFillShade="BF"/>
          </w:tcPr>
          <w:p w14:paraId="13F79F17" w14:textId="77777777" w:rsidR="001506C1" w:rsidRPr="00FA3F9C" w:rsidRDefault="001506C1" w:rsidP="00D82B6E">
            <w:pPr>
              <w:rPr>
                <w:rFonts w:ascii="Arial" w:hAnsi="Arial" w:cs="Arial"/>
                <w:sz w:val="24"/>
                <w:szCs w:val="24"/>
              </w:rPr>
            </w:pPr>
            <w:r w:rsidRPr="00FA3F9C">
              <w:rPr>
                <w:rFonts w:ascii="Arial" w:hAnsi="Arial" w:cs="Arial"/>
                <w:sz w:val="24"/>
                <w:szCs w:val="24"/>
              </w:rPr>
              <w:t xml:space="preserve">Note: </w:t>
            </w:r>
          </w:p>
          <w:p w14:paraId="1D9F0156" w14:textId="77777777" w:rsidR="001506C1" w:rsidRPr="00FA3F9C" w:rsidRDefault="001506C1" w:rsidP="00D82B6E">
            <w:pPr>
              <w:rPr>
                <w:rFonts w:ascii="Arial" w:hAnsi="Arial" w:cs="Arial"/>
                <w:sz w:val="24"/>
                <w:szCs w:val="24"/>
              </w:rPr>
            </w:pPr>
          </w:p>
          <w:p w14:paraId="7802FAC2" w14:textId="77777777" w:rsidR="001506C1" w:rsidRPr="00FA3F9C" w:rsidRDefault="001506C1" w:rsidP="00A83591">
            <w:pPr>
              <w:rPr>
                <w:rFonts w:ascii="Arial" w:hAnsi="Arial" w:cs="Arial"/>
                <w:sz w:val="24"/>
                <w:szCs w:val="24"/>
              </w:rPr>
            </w:pPr>
            <w:r w:rsidRPr="00FA3F9C">
              <w:rPr>
                <w:rFonts w:ascii="Arial" w:hAnsi="Arial" w:cs="Arial"/>
                <w:b/>
                <w:sz w:val="24"/>
                <w:szCs w:val="24"/>
              </w:rPr>
              <w:t>Adult dosing (see PI for pediatric dosing)</w:t>
            </w:r>
            <w:r w:rsidRPr="00FA3F9C">
              <w:rPr>
                <w:rFonts w:ascii="Arial" w:hAnsi="Arial" w:cs="Arial"/>
                <w:sz w:val="24"/>
                <w:szCs w:val="24"/>
              </w:rPr>
              <w:t>:</w:t>
            </w:r>
          </w:p>
          <w:p w14:paraId="255ADF5C" w14:textId="77777777" w:rsidR="001506C1" w:rsidRPr="00FA3F9C" w:rsidRDefault="001506C1" w:rsidP="00A83591">
            <w:pPr>
              <w:ind w:left="720"/>
              <w:rPr>
                <w:rFonts w:ascii="Arial" w:hAnsi="Arial" w:cs="Arial"/>
                <w:sz w:val="24"/>
                <w:szCs w:val="24"/>
              </w:rPr>
            </w:pPr>
            <w:r w:rsidRPr="00FA3F9C">
              <w:rPr>
                <w:rFonts w:ascii="Arial" w:hAnsi="Arial" w:cs="Arial"/>
                <w:sz w:val="24"/>
                <w:szCs w:val="24"/>
              </w:rPr>
              <w:t xml:space="preserve">Note: Hospitalization is recommended for the first 9 days of cycle 1, and the first 2 days of cycle 2. </w:t>
            </w:r>
          </w:p>
          <w:p w14:paraId="2A37A211" w14:textId="77777777" w:rsidR="001506C1" w:rsidRPr="00FA3F9C" w:rsidRDefault="001506C1" w:rsidP="00A83591">
            <w:pPr>
              <w:ind w:left="1350" w:hanging="630"/>
              <w:rPr>
                <w:rFonts w:ascii="Arial" w:hAnsi="Arial" w:cs="Arial"/>
                <w:sz w:val="24"/>
                <w:szCs w:val="24"/>
              </w:rPr>
            </w:pPr>
            <w:r w:rsidRPr="00FA3F9C">
              <w:rPr>
                <w:rFonts w:ascii="Arial" w:hAnsi="Arial" w:cs="Arial"/>
                <w:sz w:val="24"/>
                <w:szCs w:val="24"/>
              </w:rPr>
              <w:t>Cycle 1: IV: 9 mcg daily administered as a continuous infusion on days 1 to 7, followed by 28 mcg daily as a continuous infusion on days 8 to 28 of a 6-week treatment cycle.</w:t>
            </w:r>
          </w:p>
          <w:p w14:paraId="33513141" w14:textId="77777777" w:rsidR="001506C1" w:rsidRPr="00FA3F9C" w:rsidRDefault="001506C1" w:rsidP="00F54BED">
            <w:pPr>
              <w:ind w:left="1350" w:hanging="630"/>
              <w:rPr>
                <w:rFonts w:ascii="Arial" w:hAnsi="Arial" w:cs="Arial"/>
                <w:sz w:val="24"/>
                <w:szCs w:val="24"/>
              </w:rPr>
            </w:pPr>
            <w:r w:rsidRPr="00FA3F9C">
              <w:rPr>
                <w:rFonts w:ascii="Arial" w:hAnsi="Arial" w:cs="Arial"/>
                <w:sz w:val="24"/>
                <w:szCs w:val="24"/>
              </w:rPr>
              <w:t xml:space="preserve">Cycles 2 through 5: 28 mcg daily administered as a continuous infusion on days 1 to 28 of a 6-week treatment cycle. </w:t>
            </w:r>
          </w:p>
          <w:p w14:paraId="4CDB649A" w14:textId="77777777" w:rsidR="001506C1" w:rsidRPr="00FA3F9C" w:rsidRDefault="001506C1" w:rsidP="00F54BED">
            <w:pPr>
              <w:ind w:left="1350" w:hanging="630"/>
              <w:rPr>
                <w:rFonts w:ascii="Arial" w:hAnsi="Arial" w:cs="Arial"/>
                <w:sz w:val="24"/>
                <w:szCs w:val="24"/>
              </w:rPr>
            </w:pPr>
            <w:r w:rsidRPr="00FA3F9C">
              <w:rPr>
                <w:rFonts w:ascii="Arial" w:hAnsi="Arial" w:cs="Arial"/>
                <w:sz w:val="24"/>
                <w:szCs w:val="24"/>
              </w:rPr>
              <w:t>Cycles 6 through 9: 28 mcg daily administered as a continuous infusion on days 1 to 28 of a 12-week treatment cycle.</w:t>
            </w:r>
          </w:p>
          <w:p w14:paraId="17AF478E" w14:textId="77777777" w:rsidR="001506C1" w:rsidRPr="00FA3F9C" w:rsidRDefault="001506C1" w:rsidP="00F54BED">
            <w:pPr>
              <w:ind w:left="1350" w:hanging="630"/>
              <w:rPr>
                <w:rFonts w:ascii="Arial" w:hAnsi="Arial" w:cs="Arial"/>
                <w:sz w:val="24"/>
                <w:szCs w:val="24"/>
              </w:rPr>
            </w:pPr>
          </w:p>
          <w:p w14:paraId="3A58E3BC" w14:textId="77777777" w:rsidR="001506C1" w:rsidRPr="00FA3F9C" w:rsidRDefault="001506C1" w:rsidP="00F54BED">
            <w:pPr>
              <w:rPr>
                <w:rFonts w:ascii="Arial" w:hAnsi="Arial" w:cs="Arial"/>
                <w:sz w:val="24"/>
                <w:szCs w:val="24"/>
              </w:rPr>
            </w:pPr>
            <w:r w:rsidRPr="00FA3F9C">
              <w:rPr>
                <w:rFonts w:ascii="Arial" w:hAnsi="Arial" w:cs="Arial"/>
                <w:sz w:val="24"/>
                <w:szCs w:val="24"/>
              </w:rPr>
              <w:t xml:space="preserve">The TOWER trial randomized patients with relapsed/refractory ALL to either blinatumomab or standard chemotherapy. Overall survival was significantly improved in the blinatumomab group (7.7 </w:t>
            </w:r>
            <w:proofErr w:type="spellStart"/>
            <w:r w:rsidRPr="00FA3F9C">
              <w:rPr>
                <w:rFonts w:ascii="Arial" w:hAnsi="Arial" w:cs="Arial"/>
                <w:sz w:val="24"/>
                <w:szCs w:val="24"/>
              </w:rPr>
              <w:t>mo</w:t>
            </w:r>
            <w:proofErr w:type="spellEnd"/>
            <w:r w:rsidRPr="00FA3F9C">
              <w:rPr>
                <w:rFonts w:ascii="Arial" w:hAnsi="Arial" w:cs="Arial"/>
                <w:sz w:val="24"/>
                <w:szCs w:val="24"/>
              </w:rPr>
              <w:t xml:space="preserve"> vs 4 </w:t>
            </w:r>
            <w:proofErr w:type="spellStart"/>
            <w:r w:rsidRPr="00FA3F9C">
              <w:rPr>
                <w:rFonts w:ascii="Arial" w:hAnsi="Arial" w:cs="Arial"/>
                <w:sz w:val="24"/>
                <w:szCs w:val="24"/>
              </w:rPr>
              <w:t>mo</w:t>
            </w:r>
            <w:proofErr w:type="spellEnd"/>
            <w:r w:rsidRPr="00FA3F9C">
              <w:rPr>
                <w:rFonts w:ascii="Arial" w:hAnsi="Arial" w:cs="Arial"/>
                <w:sz w:val="24"/>
                <w:szCs w:val="24"/>
              </w:rPr>
              <w:t>; HR 0.71; 95% CI, 0.55 to 0.93; P = 0.01) as well complete response rate (78% vs 41%).</w:t>
            </w:r>
            <w:r w:rsidRPr="00FA3F9C">
              <w:rPr>
                <w:rFonts w:ascii="Arial" w:hAnsi="Arial" w:cs="Arial"/>
                <w:sz w:val="24"/>
                <w:szCs w:val="24"/>
                <w:vertAlign w:val="superscript"/>
              </w:rPr>
              <w:t>1</w:t>
            </w:r>
            <w:r w:rsidRPr="00FA3F9C">
              <w:rPr>
                <w:rFonts w:ascii="Arial" w:hAnsi="Arial" w:cs="Arial"/>
                <w:sz w:val="24"/>
                <w:szCs w:val="24"/>
              </w:rPr>
              <w:t xml:space="preserve">  Health-related quality of life was also improved in the blinatumomab group.</w:t>
            </w:r>
            <w:r w:rsidRPr="00FA3F9C">
              <w:rPr>
                <w:rFonts w:ascii="Arial" w:hAnsi="Arial" w:cs="Arial"/>
                <w:sz w:val="24"/>
                <w:szCs w:val="24"/>
                <w:vertAlign w:val="superscript"/>
              </w:rPr>
              <w:t>2</w:t>
            </w:r>
            <w:r w:rsidRPr="00FA3F9C">
              <w:rPr>
                <w:rFonts w:ascii="Arial" w:hAnsi="Arial" w:cs="Arial"/>
                <w:sz w:val="24"/>
                <w:szCs w:val="24"/>
              </w:rPr>
              <w:t xml:space="preserve"> </w:t>
            </w:r>
          </w:p>
          <w:p w14:paraId="7F257245" w14:textId="77777777" w:rsidR="001506C1" w:rsidRPr="00FA3F9C" w:rsidRDefault="001506C1" w:rsidP="00F54BED">
            <w:pPr>
              <w:rPr>
                <w:rFonts w:ascii="Arial" w:hAnsi="Arial" w:cs="Arial"/>
                <w:sz w:val="24"/>
                <w:szCs w:val="24"/>
              </w:rPr>
            </w:pPr>
          </w:p>
          <w:p w14:paraId="5A9DAC23" w14:textId="77777777" w:rsidR="001506C1" w:rsidRPr="00FA3F9C" w:rsidRDefault="001506C1" w:rsidP="00F54BED">
            <w:pPr>
              <w:rPr>
                <w:rFonts w:ascii="Arial" w:hAnsi="Arial" w:cs="Arial"/>
                <w:sz w:val="24"/>
                <w:szCs w:val="24"/>
              </w:rPr>
            </w:pPr>
            <w:r w:rsidRPr="00FA3F9C">
              <w:rPr>
                <w:rFonts w:ascii="Arial" w:hAnsi="Arial" w:cs="Arial"/>
                <w:sz w:val="24"/>
                <w:szCs w:val="24"/>
              </w:rPr>
              <w:t>A cost-effectiveness analysis estimated the ICER for blinatumomab vs chemo to be $110,108/QALY gained, and blinatumomab has a 74% chance of being cost effective based on threshold of $150,000/QALY gained.</w:t>
            </w:r>
            <w:r w:rsidRPr="00FA3F9C">
              <w:rPr>
                <w:rFonts w:ascii="Arial" w:hAnsi="Arial" w:cs="Arial"/>
                <w:sz w:val="24"/>
                <w:szCs w:val="24"/>
                <w:vertAlign w:val="superscript"/>
              </w:rPr>
              <w:t>3</w:t>
            </w:r>
          </w:p>
          <w:p w14:paraId="6DE1AA48" w14:textId="77777777" w:rsidR="001506C1" w:rsidRPr="00FA3F9C" w:rsidRDefault="001506C1" w:rsidP="00F54BED">
            <w:pPr>
              <w:rPr>
                <w:rFonts w:ascii="Arial" w:hAnsi="Arial" w:cs="Arial"/>
                <w:sz w:val="24"/>
                <w:szCs w:val="24"/>
              </w:rPr>
            </w:pPr>
          </w:p>
          <w:p w14:paraId="054E77C2" w14:textId="77777777" w:rsidR="001506C1" w:rsidRPr="00FA3F9C" w:rsidRDefault="001506C1" w:rsidP="00F54BED">
            <w:pPr>
              <w:rPr>
                <w:rFonts w:ascii="Arial" w:hAnsi="Arial" w:cs="Arial"/>
                <w:sz w:val="24"/>
                <w:szCs w:val="24"/>
              </w:rPr>
            </w:pPr>
            <w:r w:rsidRPr="00FA3F9C">
              <w:rPr>
                <w:rFonts w:ascii="Arial" w:hAnsi="Arial" w:cs="Arial"/>
                <w:sz w:val="24"/>
                <w:szCs w:val="24"/>
              </w:rPr>
              <w:t>References:</w:t>
            </w:r>
          </w:p>
          <w:p w14:paraId="2E54FAA9" w14:textId="77777777" w:rsidR="001506C1" w:rsidRPr="00FA3F9C" w:rsidRDefault="001506C1" w:rsidP="001506C1">
            <w:pPr>
              <w:pStyle w:val="ListParagraph"/>
              <w:numPr>
                <w:ilvl w:val="0"/>
                <w:numId w:val="52"/>
              </w:numPr>
              <w:ind w:left="180" w:hanging="180"/>
              <w:rPr>
                <w:rFonts w:ascii="Arial" w:hAnsi="Arial" w:cs="Arial"/>
                <w:sz w:val="24"/>
                <w:szCs w:val="24"/>
              </w:rPr>
            </w:pPr>
            <w:proofErr w:type="spellStart"/>
            <w:r w:rsidRPr="00FA3F9C">
              <w:rPr>
                <w:rFonts w:ascii="Arial" w:hAnsi="Arial" w:cs="Arial"/>
                <w:sz w:val="24"/>
                <w:szCs w:val="24"/>
              </w:rPr>
              <w:t>Kantarjian</w:t>
            </w:r>
            <w:proofErr w:type="spellEnd"/>
            <w:r w:rsidRPr="00FA3F9C">
              <w:rPr>
                <w:rFonts w:ascii="Arial" w:hAnsi="Arial" w:cs="Arial"/>
                <w:sz w:val="24"/>
                <w:szCs w:val="24"/>
              </w:rPr>
              <w:t xml:space="preserve"> H et al. Blinatumomab versus Chemotherapy for Advanced Acute Lymphoblastic Leukemia. N </w:t>
            </w:r>
            <w:proofErr w:type="spellStart"/>
            <w:r w:rsidRPr="00FA3F9C">
              <w:rPr>
                <w:rFonts w:ascii="Arial" w:hAnsi="Arial" w:cs="Arial"/>
                <w:sz w:val="24"/>
                <w:szCs w:val="24"/>
              </w:rPr>
              <w:t>Engl</w:t>
            </w:r>
            <w:proofErr w:type="spellEnd"/>
            <w:r w:rsidRPr="00FA3F9C">
              <w:rPr>
                <w:rFonts w:ascii="Arial" w:hAnsi="Arial" w:cs="Arial"/>
                <w:sz w:val="24"/>
                <w:szCs w:val="24"/>
              </w:rPr>
              <w:t xml:space="preserve"> J Med. 2017 Mar 2;376(9):836-847. </w:t>
            </w:r>
            <w:proofErr w:type="spellStart"/>
            <w:r w:rsidRPr="00FA3F9C">
              <w:rPr>
                <w:rFonts w:ascii="Arial" w:hAnsi="Arial" w:cs="Arial"/>
                <w:sz w:val="24"/>
                <w:szCs w:val="24"/>
              </w:rPr>
              <w:t>doi</w:t>
            </w:r>
            <w:proofErr w:type="spellEnd"/>
            <w:r w:rsidRPr="00FA3F9C">
              <w:rPr>
                <w:rFonts w:ascii="Arial" w:hAnsi="Arial" w:cs="Arial"/>
                <w:sz w:val="24"/>
                <w:szCs w:val="24"/>
              </w:rPr>
              <w:t>: 10.1056/NEJMoa1609783. PMID: 28249141; PMCID: PMC5881572.</w:t>
            </w:r>
          </w:p>
          <w:p w14:paraId="0D20ED2E" w14:textId="77777777" w:rsidR="001506C1" w:rsidRPr="00FA3F9C" w:rsidRDefault="001506C1" w:rsidP="001506C1">
            <w:pPr>
              <w:pStyle w:val="ListParagraph"/>
              <w:numPr>
                <w:ilvl w:val="0"/>
                <w:numId w:val="52"/>
              </w:numPr>
              <w:ind w:left="180" w:hanging="180"/>
              <w:rPr>
                <w:rFonts w:ascii="Arial" w:hAnsi="Arial" w:cs="Arial"/>
                <w:sz w:val="24"/>
                <w:szCs w:val="24"/>
              </w:rPr>
            </w:pPr>
            <w:proofErr w:type="spellStart"/>
            <w:r w:rsidRPr="00FA3F9C">
              <w:rPr>
                <w:rFonts w:ascii="Arial" w:hAnsi="Arial" w:cs="Arial"/>
                <w:sz w:val="24"/>
                <w:szCs w:val="24"/>
              </w:rPr>
              <w:t>Topp</w:t>
            </w:r>
            <w:proofErr w:type="spellEnd"/>
            <w:r w:rsidRPr="00FA3F9C">
              <w:rPr>
                <w:rFonts w:ascii="Arial" w:hAnsi="Arial" w:cs="Arial"/>
                <w:sz w:val="24"/>
                <w:szCs w:val="24"/>
              </w:rPr>
              <w:t xml:space="preserve"> MS et al. Health-related quality of life in adults with relapsed/refractory acute lymphoblastic leukemia treated with blinatumomab. Blood. 2018 Jun 28;131(26):2906-2914. PMID 29739753</w:t>
            </w:r>
          </w:p>
          <w:p w14:paraId="4337B1A3" w14:textId="77777777" w:rsidR="001506C1" w:rsidRPr="00FA3F9C" w:rsidRDefault="001506C1" w:rsidP="001506C1">
            <w:pPr>
              <w:pStyle w:val="ListParagraph"/>
              <w:numPr>
                <w:ilvl w:val="0"/>
                <w:numId w:val="52"/>
              </w:numPr>
              <w:ind w:left="180" w:hanging="180"/>
              <w:rPr>
                <w:rFonts w:ascii="Arial" w:hAnsi="Arial" w:cs="Arial"/>
                <w:sz w:val="24"/>
                <w:szCs w:val="24"/>
              </w:rPr>
            </w:pPr>
            <w:proofErr w:type="spellStart"/>
            <w:r w:rsidRPr="00FA3F9C">
              <w:rPr>
                <w:rFonts w:ascii="Arial" w:hAnsi="Arial" w:cs="Arial"/>
                <w:sz w:val="24"/>
                <w:szCs w:val="24"/>
              </w:rPr>
              <w:t>Delea</w:t>
            </w:r>
            <w:proofErr w:type="spellEnd"/>
            <w:r w:rsidRPr="00FA3F9C">
              <w:rPr>
                <w:rFonts w:ascii="Arial" w:hAnsi="Arial" w:cs="Arial"/>
                <w:sz w:val="24"/>
                <w:szCs w:val="24"/>
              </w:rPr>
              <w:t xml:space="preserve"> TE. Cost-effectiveness of blinatumomab versus salvage chemotherapy in relapsed or refractory Philadelphia-chromosome-negative B-precursor acute lymphoblastic leukemia from a US payer perspective J Med Econ. 2017 Sep;20(9):911-922. </w:t>
            </w:r>
            <w:proofErr w:type="spellStart"/>
            <w:r w:rsidRPr="00FA3F9C">
              <w:rPr>
                <w:rFonts w:ascii="Arial" w:hAnsi="Arial" w:cs="Arial"/>
                <w:sz w:val="24"/>
                <w:szCs w:val="24"/>
              </w:rPr>
              <w:t>doi</w:t>
            </w:r>
            <w:proofErr w:type="spellEnd"/>
            <w:r w:rsidRPr="00FA3F9C">
              <w:rPr>
                <w:rFonts w:ascii="Arial" w:hAnsi="Arial" w:cs="Arial"/>
                <w:sz w:val="24"/>
                <w:szCs w:val="24"/>
              </w:rPr>
              <w:t xml:space="preserve">: 10.1080/13696998.2017.1344127. </w:t>
            </w:r>
            <w:proofErr w:type="spellStart"/>
            <w:r w:rsidRPr="00FA3F9C">
              <w:rPr>
                <w:rFonts w:ascii="Arial" w:hAnsi="Arial" w:cs="Arial"/>
                <w:sz w:val="24"/>
                <w:szCs w:val="24"/>
              </w:rPr>
              <w:t>Epub</w:t>
            </w:r>
            <w:proofErr w:type="spellEnd"/>
            <w:r w:rsidRPr="00FA3F9C">
              <w:rPr>
                <w:rFonts w:ascii="Arial" w:hAnsi="Arial" w:cs="Arial"/>
                <w:sz w:val="24"/>
                <w:szCs w:val="24"/>
              </w:rPr>
              <w:t xml:space="preserve"> 2017 Jul 11. PMID: 28631497.</w:t>
            </w:r>
          </w:p>
          <w:p w14:paraId="4AA68F55" w14:textId="77777777" w:rsidR="001506C1" w:rsidRPr="00FA3F9C" w:rsidRDefault="001506C1" w:rsidP="00F54BED">
            <w:pPr>
              <w:rPr>
                <w:rFonts w:ascii="Arial" w:hAnsi="Arial" w:cs="Arial"/>
                <w:sz w:val="24"/>
                <w:szCs w:val="24"/>
              </w:rPr>
            </w:pPr>
          </w:p>
          <w:p w14:paraId="72D596E7" w14:textId="77777777" w:rsidR="001506C1" w:rsidRPr="00FA3F9C" w:rsidRDefault="001506C1" w:rsidP="00F54BED">
            <w:pPr>
              <w:rPr>
                <w:rFonts w:ascii="Arial" w:hAnsi="Arial" w:cs="Arial"/>
                <w:sz w:val="24"/>
                <w:szCs w:val="24"/>
              </w:rPr>
            </w:pPr>
          </w:p>
        </w:tc>
      </w:tr>
    </w:tbl>
    <w:p w14:paraId="4EDB5340" w14:textId="77777777" w:rsidR="001506C1" w:rsidRPr="00FA3F9C" w:rsidRDefault="001506C1" w:rsidP="006F623F">
      <w:pPr>
        <w:spacing w:after="0"/>
        <w:rPr>
          <w:rFonts w:ascii="Arial" w:hAnsi="Arial" w:cs="Arial"/>
          <w:sz w:val="24"/>
          <w:szCs w:val="24"/>
        </w:rPr>
      </w:pPr>
    </w:p>
    <w:p w14:paraId="4F158F9F"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Quantity Limits: n/a (medical benefit drug)</w:t>
      </w:r>
    </w:p>
    <w:p w14:paraId="0933AAA5" w14:textId="77777777" w:rsidR="001506C1" w:rsidRPr="00FA3F9C" w:rsidRDefault="001506C1" w:rsidP="006F623F">
      <w:pPr>
        <w:spacing w:after="0"/>
        <w:rPr>
          <w:rFonts w:ascii="Arial" w:hAnsi="Arial" w:cs="Arial"/>
          <w:sz w:val="24"/>
          <w:szCs w:val="24"/>
        </w:rPr>
      </w:pPr>
    </w:p>
    <w:p w14:paraId="1E26344A"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284"/>
        <w:gridCol w:w="7470"/>
        <w:gridCol w:w="2538"/>
      </w:tblGrid>
      <w:tr w:rsidR="001506C1" w:rsidRPr="00FA3F9C" w14:paraId="744BC109" w14:textId="77777777" w:rsidTr="00FE491B">
        <w:tc>
          <w:tcPr>
            <w:tcW w:w="1008" w:type="dxa"/>
          </w:tcPr>
          <w:p w14:paraId="3AB0C523" w14:textId="77777777" w:rsidR="001506C1" w:rsidRPr="00FA3F9C" w:rsidRDefault="001506C1" w:rsidP="006F623F">
            <w:pPr>
              <w:rPr>
                <w:rFonts w:ascii="Arial" w:hAnsi="Arial" w:cs="Arial"/>
                <w:sz w:val="24"/>
                <w:szCs w:val="24"/>
              </w:rPr>
            </w:pPr>
            <w:r w:rsidRPr="00FA3F9C">
              <w:rPr>
                <w:rFonts w:ascii="Arial" w:hAnsi="Arial" w:cs="Arial"/>
                <w:sz w:val="24"/>
                <w:szCs w:val="24"/>
              </w:rPr>
              <w:t>Date</w:t>
            </w:r>
          </w:p>
        </w:tc>
        <w:tc>
          <w:tcPr>
            <w:tcW w:w="7470" w:type="dxa"/>
          </w:tcPr>
          <w:p w14:paraId="2A87A9C8" w14:textId="77777777" w:rsidR="001506C1" w:rsidRPr="00FA3F9C" w:rsidRDefault="001506C1" w:rsidP="006F623F">
            <w:pPr>
              <w:rPr>
                <w:rFonts w:ascii="Arial" w:hAnsi="Arial" w:cs="Arial"/>
                <w:sz w:val="24"/>
                <w:szCs w:val="24"/>
              </w:rPr>
            </w:pPr>
            <w:r w:rsidRPr="00FA3F9C">
              <w:rPr>
                <w:rFonts w:ascii="Arial" w:hAnsi="Arial" w:cs="Arial"/>
                <w:sz w:val="24"/>
                <w:szCs w:val="24"/>
              </w:rPr>
              <w:t>What changed</w:t>
            </w:r>
          </w:p>
        </w:tc>
        <w:tc>
          <w:tcPr>
            <w:tcW w:w="2538" w:type="dxa"/>
          </w:tcPr>
          <w:p w14:paraId="31891DDF" w14:textId="77777777" w:rsidR="001506C1" w:rsidRPr="00FA3F9C" w:rsidRDefault="001506C1" w:rsidP="006F623F">
            <w:pPr>
              <w:rPr>
                <w:rFonts w:ascii="Arial" w:hAnsi="Arial" w:cs="Arial"/>
                <w:sz w:val="24"/>
                <w:szCs w:val="24"/>
              </w:rPr>
            </w:pPr>
            <w:r w:rsidRPr="00FA3F9C">
              <w:rPr>
                <w:rFonts w:ascii="Arial" w:hAnsi="Arial" w:cs="Arial"/>
                <w:sz w:val="24"/>
                <w:szCs w:val="24"/>
              </w:rPr>
              <w:t>Pharmacist’s initials</w:t>
            </w:r>
          </w:p>
        </w:tc>
      </w:tr>
      <w:tr w:rsidR="001506C1" w:rsidRPr="00FA3F9C" w14:paraId="2B20A178" w14:textId="77777777" w:rsidTr="00FE491B">
        <w:tc>
          <w:tcPr>
            <w:tcW w:w="1008" w:type="dxa"/>
          </w:tcPr>
          <w:p w14:paraId="19396BFC" w14:textId="77777777" w:rsidR="001506C1" w:rsidRPr="00FA3F9C" w:rsidRDefault="001506C1" w:rsidP="006F623F">
            <w:pPr>
              <w:rPr>
                <w:rFonts w:ascii="Arial" w:hAnsi="Arial" w:cs="Arial"/>
                <w:sz w:val="24"/>
                <w:szCs w:val="24"/>
              </w:rPr>
            </w:pPr>
            <w:r w:rsidRPr="00FA3F9C">
              <w:rPr>
                <w:rFonts w:ascii="Arial" w:hAnsi="Arial" w:cs="Arial"/>
                <w:sz w:val="24"/>
                <w:szCs w:val="24"/>
              </w:rPr>
              <w:t>6/17/2021</w:t>
            </w:r>
          </w:p>
        </w:tc>
        <w:tc>
          <w:tcPr>
            <w:tcW w:w="7470" w:type="dxa"/>
          </w:tcPr>
          <w:p w14:paraId="4AF063CF" w14:textId="77777777" w:rsidR="001506C1" w:rsidRPr="00FA3F9C" w:rsidRDefault="001506C1" w:rsidP="006F623F">
            <w:pPr>
              <w:rPr>
                <w:rFonts w:ascii="Arial" w:hAnsi="Arial" w:cs="Arial"/>
                <w:sz w:val="24"/>
                <w:szCs w:val="24"/>
              </w:rPr>
            </w:pPr>
            <w:r w:rsidRPr="00FA3F9C">
              <w:rPr>
                <w:rFonts w:ascii="Arial" w:hAnsi="Arial" w:cs="Arial"/>
                <w:sz w:val="24"/>
                <w:szCs w:val="24"/>
              </w:rPr>
              <w:t>Criteria written</w:t>
            </w:r>
          </w:p>
        </w:tc>
        <w:tc>
          <w:tcPr>
            <w:tcW w:w="2538" w:type="dxa"/>
          </w:tcPr>
          <w:p w14:paraId="0331DE0F" w14:textId="77777777" w:rsidR="001506C1" w:rsidRPr="00FA3F9C" w:rsidRDefault="001506C1" w:rsidP="006F623F">
            <w:pPr>
              <w:rPr>
                <w:rFonts w:ascii="Arial" w:hAnsi="Arial" w:cs="Arial"/>
                <w:sz w:val="24"/>
                <w:szCs w:val="24"/>
              </w:rPr>
            </w:pPr>
            <w:r w:rsidRPr="00FA3F9C">
              <w:rPr>
                <w:rFonts w:ascii="Arial" w:hAnsi="Arial" w:cs="Arial"/>
                <w:sz w:val="24"/>
                <w:szCs w:val="24"/>
              </w:rPr>
              <w:t>SK</w:t>
            </w:r>
          </w:p>
        </w:tc>
      </w:tr>
      <w:tr w:rsidR="001506C1" w:rsidRPr="00FA3F9C" w14:paraId="71A967AF" w14:textId="77777777" w:rsidTr="00FE491B">
        <w:tc>
          <w:tcPr>
            <w:tcW w:w="1008" w:type="dxa"/>
          </w:tcPr>
          <w:p w14:paraId="1DDF3F08" w14:textId="77777777" w:rsidR="001506C1" w:rsidRPr="00FA3F9C" w:rsidRDefault="001506C1" w:rsidP="006F623F">
            <w:pPr>
              <w:rPr>
                <w:rFonts w:ascii="Arial" w:hAnsi="Arial" w:cs="Arial"/>
                <w:sz w:val="24"/>
                <w:szCs w:val="24"/>
              </w:rPr>
            </w:pPr>
          </w:p>
        </w:tc>
        <w:tc>
          <w:tcPr>
            <w:tcW w:w="7470" w:type="dxa"/>
          </w:tcPr>
          <w:p w14:paraId="1881D67F" w14:textId="77777777" w:rsidR="001506C1" w:rsidRPr="00FA3F9C" w:rsidRDefault="001506C1" w:rsidP="006F623F">
            <w:pPr>
              <w:rPr>
                <w:rFonts w:ascii="Arial" w:hAnsi="Arial" w:cs="Arial"/>
                <w:sz w:val="24"/>
                <w:szCs w:val="24"/>
              </w:rPr>
            </w:pPr>
          </w:p>
        </w:tc>
        <w:tc>
          <w:tcPr>
            <w:tcW w:w="2538" w:type="dxa"/>
          </w:tcPr>
          <w:p w14:paraId="480E8FA4" w14:textId="77777777" w:rsidR="001506C1" w:rsidRPr="00FA3F9C" w:rsidRDefault="001506C1" w:rsidP="006F623F">
            <w:pPr>
              <w:rPr>
                <w:rFonts w:ascii="Arial" w:hAnsi="Arial" w:cs="Arial"/>
                <w:sz w:val="24"/>
                <w:szCs w:val="24"/>
              </w:rPr>
            </w:pPr>
          </w:p>
        </w:tc>
      </w:tr>
    </w:tbl>
    <w:p w14:paraId="0AFB8E00" w14:textId="77777777" w:rsidR="001506C1" w:rsidRPr="00FA3F9C" w:rsidRDefault="001506C1" w:rsidP="006F623F">
      <w:pPr>
        <w:spacing w:after="0"/>
        <w:rPr>
          <w:rFonts w:ascii="Arial" w:hAnsi="Arial" w:cs="Arial"/>
          <w:sz w:val="24"/>
          <w:szCs w:val="24"/>
        </w:rPr>
      </w:pPr>
    </w:p>
    <w:p w14:paraId="6E346C3E" w14:textId="77777777" w:rsidR="001506C1" w:rsidRPr="00FA3F9C" w:rsidRDefault="001506C1" w:rsidP="00CA4C3C">
      <w:pPr>
        <w:pStyle w:val="Heading2"/>
      </w:pPr>
      <w:bookmarkStart w:id="36" w:name="_Toc106369738"/>
      <w:proofErr w:type="spellStart"/>
      <w:r w:rsidRPr="00FA3F9C">
        <w:t>Bosentan</w:t>
      </w:r>
      <w:proofErr w:type="spellEnd"/>
      <w:r w:rsidRPr="00FA3F9C">
        <w:t xml:space="preserve"> (</w:t>
      </w:r>
      <w:proofErr w:type="spellStart"/>
      <w:r w:rsidRPr="00FA3F9C">
        <w:t>Tracleer</w:t>
      </w:r>
      <w:proofErr w:type="spellEnd"/>
      <w:r w:rsidRPr="00FA3F9C">
        <w:t>)</w:t>
      </w:r>
      <w:bookmarkEnd w:id="36"/>
    </w:p>
    <w:p w14:paraId="6C298920" w14:textId="42136985" w:rsidR="001506C1" w:rsidRDefault="001506C1" w:rsidP="00743217">
      <w:pPr>
        <w:spacing w:after="0"/>
        <w:jc w:val="center"/>
        <w:rPr>
          <w:rFonts w:ascii="Arial" w:hAnsi="Arial" w:cs="Arial"/>
          <w:sz w:val="24"/>
          <w:szCs w:val="24"/>
        </w:rPr>
      </w:pPr>
      <w:r w:rsidRPr="00FA3F9C">
        <w:rPr>
          <w:rFonts w:ascii="Arial" w:hAnsi="Arial" w:cs="Arial"/>
          <w:sz w:val="24"/>
          <w:szCs w:val="24"/>
        </w:rPr>
        <w:t>62.5mg, 125mg oral tablets, 32mg soluble dispersible tablet (age</w:t>
      </w:r>
      <w:r w:rsidRPr="00FA3F9C">
        <w:rPr>
          <w:rFonts w:ascii="Arial" w:hAnsi="Arial" w:cs="Arial"/>
          <w:sz w:val="24"/>
          <w:szCs w:val="24"/>
          <w:u w:val="single"/>
        </w:rPr>
        <w:t>&lt;</w:t>
      </w:r>
      <w:r w:rsidRPr="00FA3F9C">
        <w:rPr>
          <w:rFonts w:ascii="Arial" w:hAnsi="Arial" w:cs="Arial"/>
          <w:sz w:val="24"/>
          <w:szCs w:val="24"/>
        </w:rPr>
        <w:t>12y)</w:t>
      </w:r>
    </w:p>
    <w:p w14:paraId="6153DEDB" w14:textId="77777777" w:rsidR="00CA4C3C" w:rsidRPr="00FA3F9C" w:rsidRDefault="00CA4C3C" w:rsidP="00CA4C3C">
      <w:pPr>
        <w:spacing w:after="0"/>
        <w:jc w:val="center"/>
        <w:rPr>
          <w:rFonts w:ascii="Arial" w:hAnsi="Arial" w:cs="Arial"/>
          <w:sz w:val="24"/>
          <w:szCs w:val="24"/>
        </w:rPr>
      </w:pPr>
      <w:r w:rsidRPr="00FA3F9C">
        <w:rPr>
          <w:rFonts w:ascii="Arial" w:hAnsi="Arial" w:cs="Arial"/>
          <w:sz w:val="24"/>
          <w:szCs w:val="24"/>
        </w:rPr>
        <w:t>EBRx PA Criteria</w:t>
      </w:r>
    </w:p>
    <w:p w14:paraId="7DC3F325" w14:textId="77777777" w:rsidR="00CA4C3C" w:rsidRPr="00FA3F9C" w:rsidRDefault="00CA4C3C" w:rsidP="00743217">
      <w:pPr>
        <w:spacing w:after="0"/>
        <w:jc w:val="center"/>
        <w:rPr>
          <w:rFonts w:ascii="Arial" w:hAnsi="Arial" w:cs="Arial"/>
          <w:b/>
          <w:sz w:val="24"/>
          <w:szCs w:val="24"/>
          <w:u w:val="single"/>
        </w:rPr>
      </w:pPr>
    </w:p>
    <w:p w14:paraId="107E721C" w14:textId="77777777" w:rsidR="001506C1" w:rsidRPr="00FA3F9C" w:rsidRDefault="001506C1" w:rsidP="006F623F">
      <w:pPr>
        <w:spacing w:after="0"/>
        <w:rPr>
          <w:rFonts w:ascii="Arial" w:hAnsi="Arial" w:cs="Arial"/>
          <w:b/>
          <w:sz w:val="24"/>
          <w:szCs w:val="24"/>
          <w:u w:val="single"/>
        </w:rPr>
      </w:pPr>
    </w:p>
    <w:p w14:paraId="5DEC5BC9" w14:textId="77777777" w:rsidR="001506C1" w:rsidRPr="00FA3F9C" w:rsidRDefault="001506C1" w:rsidP="006F623F">
      <w:pPr>
        <w:spacing w:after="0"/>
        <w:rPr>
          <w:rFonts w:ascii="Arial" w:hAnsi="Arial" w:cs="Arial"/>
          <w:b/>
          <w:sz w:val="24"/>
          <w:szCs w:val="24"/>
          <w:u w:val="single"/>
        </w:rPr>
      </w:pPr>
      <w:proofErr w:type="spellStart"/>
      <w:r w:rsidRPr="00FA3F9C">
        <w:rPr>
          <w:rFonts w:ascii="Arial" w:hAnsi="Arial" w:cs="Arial"/>
          <w:b/>
          <w:sz w:val="24"/>
          <w:szCs w:val="24"/>
          <w:u w:val="single"/>
        </w:rPr>
        <w:t>Bosentan</w:t>
      </w:r>
      <w:proofErr w:type="spellEnd"/>
      <w:r w:rsidRPr="00FA3F9C">
        <w:rPr>
          <w:rFonts w:ascii="Arial" w:hAnsi="Arial" w:cs="Arial"/>
          <w:b/>
          <w:sz w:val="24"/>
          <w:szCs w:val="24"/>
          <w:u w:val="single"/>
        </w:rPr>
        <w:t xml:space="preserve"> (</w:t>
      </w:r>
      <w:proofErr w:type="spellStart"/>
      <w:r w:rsidRPr="00FA3F9C">
        <w:rPr>
          <w:rFonts w:ascii="Arial" w:hAnsi="Arial" w:cs="Arial"/>
          <w:b/>
          <w:sz w:val="24"/>
          <w:szCs w:val="24"/>
          <w:u w:val="single"/>
        </w:rPr>
        <w:t>Tracleer</w:t>
      </w:r>
      <w:proofErr w:type="spellEnd"/>
      <w:r w:rsidRPr="00FA3F9C">
        <w:rPr>
          <w:rFonts w:ascii="Arial" w:hAnsi="Arial" w:cs="Arial"/>
          <w:b/>
          <w:sz w:val="24"/>
          <w:szCs w:val="24"/>
          <w:u w:val="single"/>
        </w:rPr>
        <w:t xml:space="preserve">) is FDA-approved for: </w:t>
      </w:r>
    </w:p>
    <w:p w14:paraId="4F8A1006" w14:textId="77777777" w:rsidR="001506C1" w:rsidRPr="00FA3F9C" w:rsidRDefault="001506C1" w:rsidP="001506C1">
      <w:pPr>
        <w:pStyle w:val="ListParagraph"/>
        <w:numPr>
          <w:ilvl w:val="0"/>
          <w:numId w:val="53"/>
        </w:numPr>
        <w:spacing w:after="0" w:line="276" w:lineRule="auto"/>
        <w:rPr>
          <w:rFonts w:ascii="Arial" w:hAnsi="Arial" w:cs="Arial"/>
          <w:b/>
          <w:sz w:val="24"/>
          <w:szCs w:val="24"/>
          <w:u w:val="single"/>
        </w:rPr>
      </w:pPr>
      <w:r w:rsidRPr="00FA3F9C">
        <w:rPr>
          <w:rFonts w:ascii="Arial" w:hAnsi="Arial" w:cs="Arial"/>
          <w:b/>
          <w:sz w:val="24"/>
          <w:szCs w:val="24"/>
          <w:u w:val="single"/>
        </w:rPr>
        <w:t xml:space="preserve">treatment of PAH (WHO Group I) in patients with NYHA Class II, III, or IV symptoms to improve exercise capacity and decrease the rate of clinical </w:t>
      </w:r>
      <w:proofErr w:type="gramStart"/>
      <w:r w:rsidRPr="00FA3F9C">
        <w:rPr>
          <w:rFonts w:ascii="Arial" w:hAnsi="Arial" w:cs="Arial"/>
          <w:b/>
          <w:sz w:val="24"/>
          <w:szCs w:val="24"/>
          <w:u w:val="single"/>
        </w:rPr>
        <w:t>deterioration;</w:t>
      </w:r>
      <w:proofErr w:type="gramEnd"/>
      <w:r w:rsidRPr="00FA3F9C">
        <w:rPr>
          <w:rFonts w:ascii="Arial" w:hAnsi="Arial" w:cs="Arial"/>
          <w:b/>
          <w:sz w:val="24"/>
          <w:szCs w:val="24"/>
          <w:u w:val="single"/>
        </w:rPr>
        <w:t xml:space="preserve"> </w:t>
      </w:r>
    </w:p>
    <w:p w14:paraId="7E95A67E" w14:textId="77777777" w:rsidR="001506C1" w:rsidRPr="00FA3F9C" w:rsidRDefault="001506C1" w:rsidP="001506C1">
      <w:pPr>
        <w:pStyle w:val="ListParagraph"/>
        <w:numPr>
          <w:ilvl w:val="0"/>
          <w:numId w:val="53"/>
        </w:numPr>
        <w:spacing w:after="0" w:line="276" w:lineRule="auto"/>
        <w:rPr>
          <w:rFonts w:ascii="Arial" w:hAnsi="Arial" w:cs="Arial"/>
          <w:b/>
          <w:sz w:val="24"/>
          <w:szCs w:val="24"/>
          <w:u w:val="single"/>
        </w:rPr>
      </w:pPr>
      <w:r w:rsidRPr="00FA3F9C">
        <w:rPr>
          <w:rFonts w:ascii="Arial" w:hAnsi="Arial" w:cs="Arial"/>
          <w:b/>
          <w:sz w:val="24"/>
          <w:szCs w:val="24"/>
          <w:u w:val="single"/>
        </w:rPr>
        <w:t>treatment of PAH (WHO group 1) in pediatric patients &gt;3 years with idiopathic or congenital PAH to improve pulmonary vascular resistance resulting in an improvement in exercise ability.</w:t>
      </w:r>
    </w:p>
    <w:tbl>
      <w:tblPr>
        <w:tblStyle w:val="TableGrid"/>
        <w:tblW w:w="0" w:type="auto"/>
        <w:tblLook w:val="04A0" w:firstRow="1" w:lastRow="0" w:firstColumn="1" w:lastColumn="0" w:noHBand="0" w:noVBand="1"/>
      </w:tblPr>
      <w:tblGrid>
        <w:gridCol w:w="10998"/>
      </w:tblGrid>
      <w:tr w:rsidR="001506C1" w:rsidRPr="00FA3F9C" w14:paraId="6BD56925" w14:textId="77777777" w:rsidTr="00E30097">
        <w:tc>
          <w:tcPr>
            <w:tcW w:w="10998" w:type="dxa"/>
          </w:tcPr>
          <w:p w14:paraId="4E213AB1" w14:textId="77777777" w:rsidR="001506C1" w:rsidRPr="00FA3F9C" w:rsidRDefault="001506C1" w:rsidP="006F623F">
            <w:pPr>
              <w:jc w:val="center"/>
              <w:rPr>
                <w:rFonts w:ascii="Arial" w:hAnsi="Arial" w:cs="Arial"/>
                <w:b/>
                <w:sz w:val="24"/>
                <w:szCs w:val="24"/>
                <w:u w:val="single"/>
              </w:rPr>
            </w:pPr>
            <w:r w:rsidRPr="00FA3F9C">
              <w:rPr>
                <w:rFonts w:ascii="Arial" w:hAnsi="Arial" w:cs="Arial"/>
                <w:b/>
                <w:sz w:val="24"/>
                <w:szCs w:val="24"/>
                <w:u w:val="single"/>
              </w:rPr>
              <w:t>Criteria</w:t>
            </w:r>
          </w:p>
        </w:tc>
      </w:tr>
      <w:tr w:rsidR="001506C1" w:rsidRPr="00FA3F9C" w14:paraId="418A1C69" w14:textId="77777777" w:rsidTr="00E30097">
        <w:tc>
          <w:tcPr>
            <w:tcW w:w="10998" w:type="dxa"/>
          </w:tcPr>
          <w:p w14:paraId="752FB044" w14:textId="77777777" w:rsidR="001506C1" w:rsidRPr="00FA3F9C" w:rsidRDefault="001506C1" w:rsidP="006F623F">
            <w:pPr>
              <w:rPr>
                <w:rFonts w:ascii="Arial" w:hAnsi="Arial" w:cs="Arial"/>
                <w:sz w:val="24"/>
                <w:szCs w:val="24"/>
              </w:rPr>
            </w:pPr>
            <w:r w:rsidRPr="00FA3F9C">
              <w:rPr>
                <w:rFonts w:ascii="Arial" w:hAnsi="Arial" w:cs="Arial"/>
                <w:sz w:val="24"/>
                <w:szCs w:val="24"/>
              </w:rPr>
              <w:t>1.  The patient must have the diagnosis of PAH (Group I</w:t>
            </w:r>
            <w:proofErr w:type="gramStart"/>
            <w:r w:rsidRPr="00FA3F9C">
              <w:rPr>
                <w:rFonts w:ascii="Arial" w:hAnsi="Arial" w:cs="Arial"/>
                <w:sz w:val="24"/>
                <w:szCs w:val="24"/>
              </w:rPr>
              <w:t>)</w:t>
            </w:r>
            <w:proofErr w:type="gramEnd"/>
            <w:r w:rsidRPr="00FA3F9C">
              <w:rPr>
                <w:rFonts w:ascii="Arial" w:hAnsi="Arial" w:cs="Arial"/>
                <w:sz w:val="24"/>
                <w:szCs w:val="24"/>
              </w:rPr>
              <w:t xml:space="preserve"> and either be taking a CCB and still having symptoms, or have failed a CCB.</w:t>
            </w:r>
          </w:p>
        </w:tc>
      </w:tr>
      <w:tr w:rsidR="001506C1" w:rsidRPr="00FA3F9C" w14:paraId="022DB977" w14:textId="77777777" w:rsidTr="00E30097">
        <w:tc>
          <w:tcPr>
            <w:tcW w:w="10998" w:type="dxa"/>
          </w:tcPr>
          <w:p w14:paraId="6A70BDC9" w14:textId="77777777" w:rsidR="001506C1" w:rsidRPr="00FA3F9C" w:rsidRDefault="001506C1" w:rsidP="006F623F">
            <w:pPr>
              <w:rPr>
                <w:rFonts w:ascii="Arial" w:hAnsi="Arial" w:cs="Arial"/>
                <w:sz w:val="24"/>
                <w:szCs w:val="24"/>
              </w:rPr>
            </w:pPr>
            <w:r w:rsidRPr="00FA3F9C">
              <w:rPr>
                <w:rFonts w:ascii="Arial" w:hAnsi="Arial" w:cs="Arial"/>
                <w:sz w:val="24"/>
                <w:szCs w:val="24"/>
              </w:rPr>
              <w:t>2.  The patient must have tried and failed a PDE5 inhibitor (like sildenafil or tadalafil)</w:t>
            </w:r>
          </w:p>
        </w:tc>
      </w:tr>
      <w:tr w:rsidR="001506C1" w:rsidRPr="00FA3F9C" w14:paraId="7BF05A2B" w14:textId="77777777" w:rsidTr="00E30097">
        <w:tc>
          <w:tcPr>
            <w:tcW w:w="10998" w:type="dxa"/>
          </w:tcPr>
          <w:p w14:paraId="2F30BDDB" w14:textId="77777777" w:rsidR="001506C1" w:rsidRPr="00FA3F9C" w:rsidRDefault="001506C1" w:rsidP="006F623F">
            <w:pPr>
              <w:rPr>
                <w:rFonts w:ascii="Arial" w:hAnsi="Arial" w:cs="Arial"/>
                <w:sz w:val="24"/>
                <w:szCs w:val="24"/>
              </w:rPr>
            </w:pPr>
            <w:r w:rsidRPr="00FA3F9C">
              <w:rPr>
                <w:rFonts w:ascii="Arial" w:hAnsi="Arial" w:cs="Arial"/>
                <w:sz w:val="24"/>
                <w:szCs w:val="24"/>
              </w:rPr>
              <w:t>OR</w:t>
            </w:r>
          </w:p>
        </w:tc>
      </w:tr>
      <w:tr w:rsidR="001506C1" w:rsidRPr="00FA3F9C" w14:paraId="389070FD" w14:textId="77777777" w:rsidTr="00E30097">
        <w:tc>
          <w:tcPr>
            <w:tcW w:w="10998" w:type="dxa"/>
          </w:tcPr>
          <w:p w14:paraId="4EC00BC5" w14:textId="77777777" w:rsidR="001506C1" w:rsidRPr="00FA3F9C" w:rsidRDefault="001506C1" w:rsidP="006F623F">
            <w:pPr>
              <w:rPr>
                <w:rFonts w:ascii="Arial" w:hAnsi="Arial" w:cs="Arial"/>
                <w:sz w:val="24"/>
                <w:szCs w:val="24"/>
              </w:rPr>
            </w:pPr>
            <w:r w:rsidRPr="00FA3F9C">
              <w:rPr>
                <w:rFonts w:ascii="Arial" w:hAnsi="Arial" w:cs="Arial"/>
                <w:sz w:val="24"/>
                <w:szCs w:val="24"/>
              </w:rPr>
              <w:t>3.  The patient must have the diagnosis of pulmonary hypertension (Group 5)</w:t>
            </w:r>
          </w:p>
        </w:tc>
      </w:tr>
      <w:tr w:rsidR="001506C1" w:rsidRPr="00FA3F9C" w14:paraId="20B0096B" w14:textId="77777777" w:rsidTr="00E30097">
        <w:tc>
          <w:tcPr>
            <w:tcW w:w="10998" w:type="dxa"/>
          </w:tcPr>
          <w:p w14:paraId="184B6D62" w14:textId="77777777" w:rsidR="001506C1" w:rsidRPr="00FA3F9C" w:rsidRDefault="001506C1" w:rsidP="006F623F">
            <w:pPr>
              <w:rPr>
                <w:rFonts w:ascii="Arial" w:hAnsi="Arial" w:cs="Arial"/>
                <w:b/>
                <w:sz w:val="24"/>
                <w:szCs w:val="24"/>
              </w:rPr>
            </w:pPr>
            <w:r w:rsidRPr="00FA3F9C">
              <w:rPr>
                <w:rFonts w:ascii="Arial" w:hAnsi="Arial" w:cs="Arial"/>
                <w:b/>
                <w:sz w:val="24"/>
                <w:szCs w:val="24"/>
              </w:rPr>
              <w:t>To access 32mg dispersible tablets, the patient must be under age 12 AND under 25kg.</w:t>
            </w:r>
          </w:p>
        </w:tc>
      </w:tr>
      <w:tr w:rsidR="001506C1" w:rsidRPr="00FA3F9C" w14:paraId="10FDDD1E" w14:textId="77777777" w:rsidTr="00743217">
        <w:tblPrEx>
          <w:shd w:val="clear" w:color="auto" w:fill="BFBFBF" w:themeFill="background1" w:themeFillShade="BF"/>
        </w:tblPrEx>
        <w:tc>
          <w:tcPr>
            <w:tcW w:w="10998" w:type="dxa"/>
            <w:shd w:val="clear" w:color="auto" w:fill="BFBFBF" w:themeFill="background1" w:themeFillShade="BF"/>
          </w:tcPr>
          <w:p w14:paraId="1C6605EC" w14:textId="77777777" w:rsidR="001506C1" w:rsidRPr="00FA3F9C" w:rsidRDefault="001506C1" w:rsidP="006F623F">
            <w:pPr>
              <w:rPr>
                <w:rFonts w:ascii="Arial" w:hAnsi="Arial" w:cs="Arial"/>
                <w:sz w:val="24"/>
                <w:szCs w:val="24"/>
              </w:rPr>
            </w:pPr>
            <w:r w:rsidRPr="00FA3F9C">
              <w:rPr>
                <w:rFonts w:ascii="Arial" w:hAnsi="Arial" w:cs="Arial"/>
                <w:sz w:val="24"/>
                <w:szCs w:val="24"/>
              </w:rPr>
              <w:t>Dosing:  &lt;40kg, 62.5mg BID.  &gt;40kg, 62.5mg BID X4w, then 125mg BID.  Doses &gt;125mg BID do not appear to offer additional benefit but may increase liver toxicity risk.  Pediatric dosing is weight-based.</w:t>
            </w:r>
          </w:p>
        </w:tc>
      </w:tr>
    </w:tbl>
    <w:p w14:paraId="76188C15"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 xml:space="preserve">Quantity Limits: 2 tabs/1 day (60 tabs/30d), </w:t>
      </w:r>
      <w:proofErr w:type="gramStart"/>
      <w:r w:rsidRPr="00FA3F9C">
        <w:rPr>
          <w:rFonts w:ascii="Arial" w:hAnsi="Arial" w:cs="Arial"/>
          <w:sz w:val="24"/>
          <w:szCs w:val="24"/>
        </w:rPr>
        <w:t>either dosage</w:t>
      </w:r>
      <w:proofErr w:type="gramEnd"/>
      <w:r w:rsidRPr="00FA3F9C">
        <w:rPr>
          <w:rFonts w:ascii="Arial" w:hAnsi="Arial" w:cs="Arial"/>
          <w:sz w:val="24"/>
          <w:szCs w:val="24"/>
        </w:rPr>
        <w:t xml:space="preserve"> form.  Use dose optimization.  </w:t>
      </w:r>
    </w:p>
    <w:p w14:paraId="26C2E6B6" w14:textId="77777777" w:rsidR="001506C1" w:rsidRPr="00FA3F9C" w:rsidRDefault="001506C1" w:rsidP="006F623F">
      <w:pPr>
        <w:pStyle w:val="Default"/>
        <w:rPr>
          <w:rFonts w:ascii="Arial" w:hAnsi="Arial" w:cs="Arial"/>
        </w:rPr>
      </w:pPr>
    </w:p>
    <w:p w14:paraId="1E1988F2"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Addendum:</w:t>
      </w:r>
    </w:p>
    <w:tbl>
      <w:tblPr>
        <w:tblStyle w:val="TableGrid"/>
        <w:tblW w:w="0" w:type="auto"/>
        <w:tblLook w:val="04A0" w:firstRow="1" w:lastRow="0" w:firstColumn="1" w:lastColumn="0" w:noHBand="0" w:noVBand="1"/>
      </w:tblPr>
      <w:tblGrid>
        <w:gridCol w:w="1832"/>
        <w:gridCol w:w="1788"/>
        <w:gridCol w:w="2055"/>
        <w:gridCol w:w="1918"/>
        <w:gridCol w:w="1999"/>
        <w:gridCol w:w="2097"/>
        <w:gridCol w:w="1981"/>
      </w:tblGrid>
      <w:tr w:rsidR="001506C1" w:rsidRPr="00FA3F9C" w14:paraId="3456AD40" w14:textId="77777777" w:rsidTr="003926F2">
        <w:tc>
          <w:tcPr>
            <w:tcW w:w="14616" w:type="dxa"/>
            <w:gridSpan w:val="7"/>
          </w:tcPr>
          <w:p w14:paraId="54A76190" w14:textId="77777777" w:rsidR="001506C1" w:rsidRPr="00FA3F9C" w:rsidRDefault="001506C1"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lastRenderedPageBreak/>
              <w:t>Diagnostic Criteria and WHO categorization of PH</w:t>
            </w:r>
          </w:p>
        </w:tc>
      </w:tr>
      <w:tr w:rsidR="001506C1" w:rsidRPr="00FA3F9C" w14:paraId="2BB48C91" w14:textId="77777777" w:rsidTr="003926F2">
        <w:tc>
          <w:tcPr>
            <w:tcW w:w="2088" w:type="dxa"/>
          </w:tcPr>
          <w:p w14:paraId="7C414537" w14:textId="77777777" w:rsidR="001506C1" w:rsidRPr="00FA3F9C" w:rsidRDefault="001506C1" w:rsidP="003926F2">
            <w:pPr>
              <w:widowControl w:val="0"/>
              <w:autoSpaceDE w:val="0"/>
              <w:autoSpaceDN w:val="0"/>
              <w:adjustRightInd w:val="0"/>
              <w:rPr>
                <w:rFonts w:ascii="Arial" w:hAnsi="Arial" w:cs="Arial"/>
                <w:b/>
                <w:color w:val="231F20"/>
                <w:sz w:val="24"/>
                <w:szCs w:val="24"/>
              </w:rPr>
            </w:pPr>
          </w:p>
        </w:tc>
        <w:tc>
          <w:tcPr>
            <w:tcW w:w="2088" w:type="dxa"/>
          </w:tcPr>
          <w:p w14:paraId="6F094E6E" w14:textId="77777777" w:rsidR="001506C1" w:rsidRPr="00FA3F9C" w:rsidRDefault="001506C1"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All Groups</w:t>
            </w:r>
          </w:p>
        </w:tc>
        <w:tc>
          <w:tcPr>
            <w:tcW w:w="2088" w:type="dxa"/>
          </w:tcPr>
          <w:p w14:paraId="5312D11D" w14:textId="77777777" w:rsidR="001506C1" w:rsidRPr="00FA3F9C" w:rsidRDefault="001506C1"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Group 1</w:t>
            </w:r>
          </w:p>
        </w:tc>
        <w:tc>
          <w:tcPr>
            <w:tcW w:w="2088" w:type="dxa"/>
          </w:tcPr>
          <w:p w14:paraId="13ED28D1" w14:textId="77777777" w:rsidR="001506C1" w:rsidRPr="00FA3F9C" w:rsidRDefault="001506C1"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Group 2</w:t>
            </w:r>
          </w:p>
        </w:tc>
        <w:tc>
          <w:tcPr>
            <w:tcW w:w="2088" w:type="dxa"/>
          </w:tcPr>
          <w:p w14:paraId="0C43A741" w14:textId="77777777" w:rsidR="001506C1" w:rsidRPr="00FA3F9C" w:rsidRDefault="001506C1"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Group 3</w:t>
            </w:r>
          </w:p>
        </w:tc>
        <w:tc>
          <w:tcPr>
            <w:tcW w:w="2088" w:type="dxa"/>
          </w:tcPr>
          <w:p w14:paraId="1A742D7A" w14:textId="77777777" w:rsidR="001506C1" w:rsidRPr="00FA3F9C" w:rsidRDefault="001506C1"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Group 4</w:t>
            </w:r>
          </w:p>
        </w:tc>
        <w:tc>
          <w:tcPr>
            <w:tcW w:w="2088" w:type="dxa"/>
          </w:tcPr>
          <w:p w14:paraId="76015205" w14:textId="77777777" w:rsidR="001506C1" w:rsidRPr="00FA3F9C" w:rsidRDefault="001506C1"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Group 5</w:t>
            </w:r>
          </w:p>
        </w:tc>
      </w:tr>
      <w:tr w:rsidR="001506C1" w:rsidRPr="00FA3F9C" w14:paraId="5D2CFBB1" w14:textId="77777777" w:rsidTr="003926F2">
        <w:tc>
          <w:tcPr>
            <w:tcW w:w="2088" w:type="dxa"/>
          </w:tcPr>
          <w:p w14:paraId="48816F2A" w14:textId="77777777" w:rsidR="001506C1" w:rsidRPr="00FA3F9C" w:rsidRDefault="001506C1"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Description</w:t>
            </w:r>
          </w:p>
        </w:tc>
        <w:tc>
          <w:tcPr>
            <w:tcW w:w="2088" w:type="dxa"/>
          </w:tcPr>
          <w:p w14:paraId="28928BF4" w14:textId="77777777" w:rsidR="001506C1" w:rsidRPr="00FA3F9C" w:rsidRDefault="001506C1"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Elevated PAP</w:t>
            </w:r>
          </w:p>
        </w:tc>
        <w:tc>
          <w:tcPr>
            <w:tcW w:w="2088" w:type="dxa"/>
          </w:tcPr>
          <w:p w14:paraId="190FE67C" w14:textId="77777777" w:rsidR="001506C1" w:rsidRPr="00FA3F9C" w:rsidRDefault="001506C1"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Pulmonary arterial hypertension</w:t>
            </w:r>
          </w:p>
        </w:tc>
        <w:tc>
          <w:tcPr>
            <w:tcW w:w="2088" w:type="dxa"/>
          </w:tcPr>
          <w:p w14:paraId="1209EA88" w14:textId="77777777" w:rsidR="001506C1" w:rsidRPr="00FA3F9C" w:rsidRDefault="001506C1"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Pulmonary venous hypertension</w:t>
            </w:r>
          </w:p>
        </w:tc>
        <w:tc>
          <w:tcPr>
            <w:tcW w:w="2088" w:type="dxa"/>
          </w:tcPr>
          <w:p w14:paraId="217721D3" w14:textId="77777777" w:rsidR="001506C1" w:rsidRPr="00FA3F9C" w:rsidRDefault="001506C1"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PH due to hypoxemia</w:t>
            </w:r>
          </w:p>
        </w:tc>
        <w:tc>
          <w:tcPr>
            <w:tcW w:w="2088" w:type="dxa"/>
          </w:tcPr>
          <w:p w14:paraId="72595AE4" w14:textId="77777777" w:rsidR="001506C1" w:rsidRPr="00FA3F9C" w:rsidRDefault="001506C1"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Chronic thromboembolic PH</w:t>
            </w:r>
          </w:p>
        </w:tc>
        <w:tc>
          <w:tcPr>
            <w:tcW w:w="2088" w:type="dxa"/>
          </w:tcPr>
          <w:p w14:paraId="6900C25B" w14:textId="77777777" w:rsidR="001506C1" w:rsidRPr="00FA3F9C" w:rsidRDefault="001506C1"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Miscellaneous or multifactorial PH</w:t>
            </w:r>
          </w:p>
        </w:tc>
      </w:tr>
      <w:tr w:rsidR="001506C1" w:rsidRPr="00FA3F9C" w14:paraId="3ED66E01" w14:textId="77777777" w:rsidTr="003926F2">
        <w:tc>
          <w:tcPr>
            <w:tcW w:w="2088" w:type="dxa"/>
          </w:tcPr>
          <w:p w14:paraId="21C09EF4" w14:textId="77777777" w:rsidR="001506C1" w:rsidRPr="00FA3F9C" w:rsidRDefault="001506C1"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Estimated prevalence</w:t>
            </w:r>
          </w:p>
        </w:tc>
        <w:tc>
          <w:tcPr>
            <w:tcW w:w="2088" w:type="dxa"/>
          </w:tcPr>
          <w:p w14:paraId="759EAE76" w14:textId="77777777" w:rsidR="001506C1" w:rsidRPr="00FA3F9C" w:rsidRDefault="001506C1"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Up to 10-20% of the general population</w:t>
            </w:r>
          </w:p>
        </w:tc>
        <w:tc>
          <w:tcPr>
            <w:tcW w:w="2088" w:type="dxa"/>
          </w:tcPr>
          <w:p w14:paraId="6397CB11" w14:textId="77777777" w:rsidR="001506C1" w:rsidRPr="00FA3F9C" w:rsidRDefault="001506C1"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15 cases/1,000,000 overall; 6 cases per 1mil for idiopathic PAH</w:t>
            </w:r>
          </w:p>
        </w:tc>
        <w:tc>
          <w:tcPr>
            <w:tcW w:w="2088" w:type="dxa"/>
          </w:tcPr>
          <w:p w14:paraId="51564216" w14:textId="77777777" w:rsidR="001506C1" w:rsidRPr="00FA3F9C" w:rsidRDefault="001506C1"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&gt;3-4 mil in US</w:t>
            </w:r>
          </w:p>
        </w:tc>
        <w:tc>
          <w:tcPr>
            <w:tcW w:w="2088" w:type="dxa"/>
          </w:tcPr>
          <w:p w14:paraId="753229F2" w14:textId="77777777" w:rsidR="001506C1" w:rsidRPr="00FA3F9C" w:rsidRDefault="001506C1"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20% in COPD pts w/ a prior hospitalization for COPD</w:t>
            </w:r>
          </w:p>
        </w:tc>
        <w:tc>
          <w:tcPr>
            <w:tcW w:w="2088" w:type="dxa"/>
          </w:tcPr>
          <w:p w14:paraId="20800E98" w14:textId="77777777" w:rsidR="001506C1" w:rsidRPr="00FA3F9C" w:rsidRDefault="001506C1"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0.5-2% (up to 3.8%) in survivors of acute PE</w:t>
            </w:r>
          </w:p>
        </w:tc>
        <w:tc>
          <w:tcPr>
            <w:tcW w:w="2088" w:type="dxa"/>
          </w:tcPr>
          <w:p w14:paraId="6BBCA36D" w14:textId="77777777" w:rsidR="001506C1" w:rsidRPr="00FA3F9C" w:rsidRDefault="001506C1"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Unclear</w:t>
            </w:r>
          </w:p>
        </w:tc>
      </w:tr>
      <w:tr w:rsidR="001506C1" w:rsidRPr="00FA3F9C" w14:paraId="0BD06045" w14:textId="77777777" w:rsidTr="003926F2">
        <w:tc>
          <w:tcPr>
            <w:tcW w:w="2088" w:type="dxa"/>
          </w:tcPr>
          <w:p w14:paraId="4346FB4C" w14:textId="77777777" w:rsidR="001506C1" w:rsidRPr="00FA3F9C" w:rsidRDefault="001506C1"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Diagnostic criteria</w:t>
            </w:r>
          </w:p>
        </w:tc>
        <w:tc>
          <w:tcPr>
            <w:tcW w:w="12528" w:type="dxa"/>
            <w:gridSpan w:val="6"/>
          </w:tcPr>
          <w:p w14:paraId="152371C5" w14:textId="77777777" w:rsidR="001506C1" w:rsidRPr="00FA3F9C" w:rsidRDefault="001506C1" w:rsidP="003926F2">
            <w:pPr>
              <w:widowControl w:val="0"/>
              <w:autoSpaceDE w:val="0"/>
              <w:autoSpaceDN w:val="0"/>
              <w:adjustRightInd w:val="0"/>
              <w:rPr>
                <w:rFonts w:ascii="Arial" w:hAnsi="Arial" w:cs="Arial"/>
                <w:b/>
                <w:color w:val="231F20"/>
                <w:sz w:val="24"/>
                <w:szCs w:val="24"/>
              </w:rPr>
            </w:pPr>
          </w:p>
        </w:tc>
      </w:tr>
      <w:tr w:rsidR="001506C1" w:rsidRPr="00FA3F9C" w14:paraId="14F546BC" w14:textId="77777777" w:rsidTr="003926F2">
        <w:tc>
          <w:tcPr>
            <w:tcW w:w="2088" w:type="dxa"/>
          </w:tcPr>
          <w:p w14:paraId="5409F867" w14:textId="77777777" w:rsidR="001506C1" w:rsidRPr="00FA3F9C" w:rsidRDefault="001506C1"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Mean PA pressure, mmHg</w:t>
            </w:r>
          </w:p>
        </w:tc>
        <w:tc>
          <w:tcPr>
            <w:tcW w:w="2088" w:type="dxa"/>
          </w:tcPr>
          <w:p w14:paraId="1D8B703F" w14:textId="77777777" w:rsidR="001506C1" w:rsidRPr="00FA3F9C" w:rsidRDefault="001506C1"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u w:val="single"/>
              </w:rPr>
              <w:t>&gt;</w:t>
            </w:r>
            <w:r w:rsidRPr="00FA3F9C">
              <w:rPr>
                <w:rFonts w:ascii="Arial" w:hAnsi="Arial" w:cs="Arial"/>
                <w:b/>
                <w:color w:val="231F20"/>
                <w:sz w:val="24"/>
                <w:szCs w:val="24"/>
              </w:rPr>
              <w:t>25</w:t>
            </w:r>
          </w:p>
        </w:tc>
        <w:tc>
          <w:tcPr>
            <w:tcW w:w="2088" w:type="dxa"/>
          </w:tcPr>
          <w:p w14:paraId="095DD8C9" w14:textId="77777777" w:rsidR="001506C1" w:rsidRPr="00FA3F9C" w:rsidRDefault="001506C1"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u w:val="single"/>
              </w:rPr>
              <w:t>&gt;</w:t>
            </w:r>
            <w:r w:rsidRPr="00FA3F9C">
              <w:rPr>
                <w:rFonts w:ascii="Arial" w:hAnsi="Arial" w:cs="Arial"/>
                <w:b/>
                <w:color w:val="231F20"/>
                <w:sz w:val="24"/>
                <w:szCs w:val="24"/>
              </w:rPr>
              <w:t>25</w:t>
            </w:r>
          </w:p>
        </w:tc>
        <w:tc>
          <w:tcPr>
            <w:tcW w:w="2088" w:type="dxa"/>
          </w:tcPr>
          <w:p w14:paraId="70525DD3" w14:textId="77777777" w:rsidR="001506C1" w:rsidRPr="00FA3F9C" w:rsidRDefault="001506C1" w:rsidP="003926F2">
            <w:pPr>
              <w:rPr>
                <w:rFonts w:ascii="Arial" w:hAnsi="Arial" w:cs="Arial"/>
                <w:sz w:val="24"/>
                <w:szCs w:val="24"/>
              </w:rPr>
            </w:pPr>
            <w:r w:rsidRPr="00FA3F9C">
              <w:rPr>
                <w:rFonts w:ascii="Arial" w:hAnsi="Arial" w:cs="Arial"/>
                <w:b/>
                <w:color w:val="231F20"/>
                <w:sz w:val="24"/>
                <w:szCs w:val="24"/>
                <w:u w:val="single"/>
              </w:rPr>
              <w:t>&gt;</w:t>
            </w:r>
            <w:r w:rsidRPr="00FA3F9C">
              <w:rPr>
                <w:rFonts w:ascii="Arial" w:hAnsi="Arial" w:cs="Arial"/>
                <w:b/>
                <w:color w:val="231F20"/>
                <w:sz w:val="24"/>
                <w:szCs w:val="24"/>
              </w:rPr>
              <w:t>25</w:t>
            </w:r>
          </w:p>
        </w:tc>
        <w:tc>
          <w:tcPr>
            <w:tcW w:w="2088" w:type="dxa"/>
          </w:tcPr>
          <w:p w14:paraId="22E65A72" w14:textId="77777777" w:rsidR="001506C1" w:rsidRPr="00FA3F9C" w:rsidRDefault="001506C1" w:rsidP="003926F2">
            <w:pPr>
              <w:rPr>
                <w:rFonts w:ascii="Arial" w:hAnsi="Arial" w:cs="Arial"/>
                <w:sz w:val="24"/>
                <w:szCs w:val="24"/>
              </w:rPr>
            </w:pPr>
            <w:r w:rsidRPr="00FA3F9C">
              <w:rPr>
                <w:rFonts w:ascii="Arial" w:hAnsi="Arial" w:cs="Arial"/>
                <w:b/>
                <w:color w:val="231F20"/>
                <w:sz w:val="24"/>
                <w:szCs w:val="24"/>
                <w:u w:val="single"/>
              </w:rPr>
              <w:t>&gt;</w:t>
            </w:r>
            <w:r w:rsidRPr="00FA3F9C">
              <w:rPr>
                <w:rFonts w:ascii="Arial" w:hAnsi="Arial" w:cs="Arial"/>
                <w:b/>
                <w:color w:val="231F20"/>
                <w:sz w:val="24"/>
                <w:szCs w:val="24"/>
              </w:rPr>
              <w:t>25</w:t>
            </w:r>
          </w:p>
        </w:tc>
        <w:tc>
          <w:tcPr>
            <w:tcW w:w="2088" w:type="dxa"/>
          </w:tcPr>
          <w:p w14:paraId="7A288560" w14:textId="77777777" w:rsidR="001506C1" w:rsidRPr="00FA3F9C" w:rsidRDefault="001506C1" w:rsidP="003926F2">
            <w:pPr>
              <w:rPr>
                <w:rFonts w:ascii="Arial" w:hAnsi="Arial" w:cs="Arial"/>
                <w:sz w:val="24"/>
                <w:szCs w:val="24"/>
              </w:rPr>
            </w:pPr>
            <w:r w:rsidRPr="00FA3F9C">
              <w:rPr>
                <w:rFonts w:ascii="Arial" w:hAnsi="Arial" w:cs="Arial"/>
                <w:b/>
                <w:color w:val="231F20"/>
                <w:sz w:val="24"/>
                <w:szCs w:val="24"/>
                <w:u w:val="single"/>
              </w:rPr>
              <w:t>&gt;</w:t>
            </w:r>
            <w:r w:rsidRPr="00FA3F9C">
              <w:rPr>
                <w:rFonts w:ascii="Arial" w:hAnsi="Arial" w:cs="Arial"/>
                <w:b/>
                <w:color w:val="231F20"/>
                <w:sz w:val="24"/>
                <w:szCs w:val="24"/>
              </w:rPr>
              <w:t>25</w:t>
            </w:r>
          </w:p>
        </w:tc>
        <w:tc>
          <w:tcPr>
            <w:tcW w:w="2088" w:type="dxa"/>
          </w:tcPr>
          <w:p w14:paraId="7F91BC64" w14:textId="77777777" w:rsidR="001506C1" w:rsidRPr="00FA3F9C" w:rsidRDefault="001506C1" w:rsidP="003926F2">
            <w:pPr>
              <w:rPr>
                <w:rFonts w:ascii="Arial" w:hAnsi="Arial" w:cs="Arial"/>
                <w:sz w:val="24"/>
                <w:szCs w:val="24"/>
              </w:rPr>
            </w:pPr>
            <w:r w:rsidRPr="00FA3F9C">
              <w:rPr>
                <w:rFonts w:ascii="Arial" w:hAnsi="Arial" w:cs="Arial"/>
                <w:b/>
                <w:color w:val="231F20"/>
                <w:sz w:val="24"/>
                <w:szCs w:val="24"/>
                <w:u w:val="single"/>
              </w:rPr>
              <w:t>&gt;</w:t>
            </w:r>
            <w:r w:rsidRPr="00FA3F9C">
              <w:rPr>
                <w:rFonts w:ascii="Arial" w:hAnsi="Arial" w:cs="Arial"/>
                <w:b/>
                <w:color w:val="231F20"/>
                <w:sz w:val="24"/>
                <w:szCs w:val="24"/>
              </w:rPr>
              <w:t>25</w:t>
            </w:r>
          </w:p>
        </w:tc>
      </w:tr>
      <w:tr w:rsidR="001506C1" w:rsidRPr="00FA3F9C" w14:paraId="43280379" w14:textId="77777777" w:rsidTr="003926F2">
        <w:tc>
          <w:tcPr>
            <w:tcW w:w="2088" w:type="dxa"/>
          </w:tcPr>
          <w:p w14:paraId="20A75E42" w14:textId="77777777" w:rsidR="001506C1" w:rsidRPr="00FA3F9C" w:rsidRDefault="001506C1"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PCWP or LVEDP, mmHg</w:t>
            </w:r>
          </w:p>
        </w:tc>
        <w:tc>
          <w:tcPr>
            <w:tcW w:w="2088" w:type="dxa"/>
          </w:tcPr>
          <w:p w14:paraId="4FD7DA26" w14:textId="77777777" w:rsidR="001506C1" w:rsidRPr="00FA3F9C" w:rsidRDefault="001506C1" w:rsidP="003926F2">
            <w:pPr>
              <w:widowControl w:val="0"/>
              <w:autoSpaceDE w:val="0"/>
              <w:autoSpaceDN w:val="0"/>
              <w:adjustRightInd w:val="0"/>
              <w:rPr>
                <w:rFonts w:ascii="Arial" w:hAnsi="Arial" w:cs="Arial"/>
                <w:b/>
                <w:color w:val="231F20"/>
                <w:sz w:val="24"/>
                <w:szCs w:val="24"/>
              </w:rPr>
            </w:pPr>
          </w:p>
        </w:tc>
        <w:tc>
          <w:tcPr>
            <w:tcW w:w="2088" w:type="dxa"/>
          </w:tcPr>
          <w:p w14:paraId="26D8CB48" w14:textId="77777777" w:rsidR="001506C1" w:rsidRPr="00FA3F9C" w:rsidRDefault="001506C1"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u w:val="single"/>
              </w:rPr>
              <w:t>&lt;</w:t>
            </w:r>
            <w:r w:rsidRPr="00FA3F9C">
              <w:rPr>
                <w:rFonts w:ascii="Arial" w:hAnsi="Arial" w:cs="Arial"/>
                <w:b/>
                <w:color w:val="231F20"/>
                <w:sz w:val="24"/>
                <w:szCs w:val="24"/>
              </w:rPr>
              <w:t>15</w:t>
            </w:r>
          </w:p>
        </w:tc>
        <w:tc>
          <w:tcPr>
            <w:tcW w:w="2088" w:type="dxa"/>
          </w:tcPr>
          <w:p w14:paraId="65FB5D13" w14:textId="77777777" w:rsidR="001506C1" w:rsidRPr="00FA3F9C" w:rsidRDefault="001506C1"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highlight w:val="yellow"/>
              </w:rPr>
              <w:t>&gt;15</w:t>
            </w:r>
          </w:p>
        </w:tc>
        <w:tc>
          <w:tcPr>
            <w:tcW w:w="2088" w:type="dxa"/>
          </w:tcPr>
          <w:p w14:paraId="772E8C86" w14:textId="77777777" w:rsidR="001506C1" w:rsidRPr="00FA3F9C" w:rsidRDefault="001506C1" w:rsidP="003926F2">
            <w:pPr>
              <w:rPr>
                <w:rFonts w:ascii="Arial" w:hAnsi="Arial" w:cs="Arial"/>
                <w:sz w:val="24"/>
                <w:szCs w:val="24"/>
              </w:rPr>
            </w:pPr>
            <w:r w:rsidRPr="00FA3F9C">
              <w:rPr>
                <w:rFonts w:ascii="Arial" w:hAnsi="Arial" w:cs="Arial"/>
                <w:b/>
                <w:color w:val="231F20"/>
                <w:sz w:val="24"/>
                <w:szCs w:val="24"/>
                <w:u w:val="single"/>
              </w:rPr>
              <w:t>&lt;</w:t>
            </w:r>
            <w:r w:rsidRPr="00FA3F9C">
              <w:rPr>
                <w:rFonts w:ascii="Arial" w:hAnsi="Arial" w:cs="Arial"/>
                <w:b/>
                <w:color w:val="231F20"/>
                <w:sz w:val="24"/>
                <w:szCs w:val="24"/>
              </w:rPr>
              <w:t>15</w:t>
            </w:r>
          </w:p>
        </w:tc>
        <w:tc>
          <w:tcPr>
            <w:tcW w:w="2088" w:type="dxa"/>
          </w:tcPr>
          <w:p w14:paraId="4FD1DCBA" w14:textId="77777777" w:rsidR="001506C1" w:rsidRPr="00FA3F9C" w:rsidRDefault="001506C1" w:rsidP="003926F2">
            <w:pPr>
              <w:rPr>
                <w:rFonts w:ascii="Arial" w:hAnsi="Arial" w:cs="Arial"/>
                <w:sz w:val="24"/>
                <w:szCs w:val="24"/>
              </w:rPr>
            </w:pPr>
            <w:r w:rsidRPr="00FA3F9C">
              <w:rPr>
                <w:rFonts w:ascii="Arial" w:hAnsi="Arial" w:cs="Arial"/>
                <w:b/>
                <w:color w:val="231F20"/>
                <w:sz w:val="24"/>
                <w:szCs w:val="24"/>
                <w:u w:val="single"/>
              </w:rPr>
              <w:t>&lt;</w:t>
            </w:r>
            <w:r w:rsidRPr="00FA3F9C">
              <w:rPr>
                <w:rFonts w:ascii="Arial" w:hAnsi="Arial" w:cs="Arial"/>
                <w:b/>
                <w:color w:val="231F20"/>
                <w:sz w:val="24"/>
                <w:szCs w:val="24"/>
              </w:rPr>
              <w:t>15</w:t>
            </w:r>
          </w:p>
        </w:tc>
        <w:tc>
          <w:tcPr>
            <w:tcW w:w="2088" w:type="dxa"/>
          </w:tcPr>
          <w:p w14:paraId="410DA2B6" w14:textId="77777777" w:rsidR="001506C1" w:rsidRPr="00FA3F9C" w:rsidRDefault="001506C1" w:rsidP="003926F2">
            <w:pPr>
              <w:rPr>
                <w:rFonts w:ascii="Arial" w:hAnsi="Arial" w:cs="Arial"/>
                <w:sz w:val="24"/>
                <w:szCs w:val="24"/>
              </w:rPr>
            </w:pPr>
            <w:r w:rsidRPr="00FA3F9C">
              <w:rPr>
                <w:rFonts w:ascii="Arial" w:hAnsi="Arial" w:cs="Arial"/>
                <w:b/>
                <w:color w:val="231F20"/>
                <w:sz w:val="24"/>
                <w:szCs w:val="24"/>
                <w:u w:val="single"/>
              </w:rPr>
              <w:t>&lt;</w:t>
            </w:r>
            <w:r w:rsidRPr="00FA3F9C">
              <w:rPr>
                <w:rFonts w:ascii="Arial" w:hAnsi="Arial" w:cs="Arial"/>
                <w:b/>
                <w:color w:val="231F20"/>
                <w:sz w:val="24"/>
                <w:szCs w:val="24"/>
              </w:rPr>
              <w:t>15</w:t>
            </w:r>
          </w:p>
        </w:tc>
      </w:tr>
      <w:tr w:rsidR="001506C1" w:rsidRPr="00FA3F9C" w14:paraId="0C58AFD6" w14:textId="77777777" w:rsidTr="003926F2">
        <w:tc>
          <w:tcPr>
            <w:tcW w:w="2088" w:type="dxa"/>
          </w:tcPr>
          <w:p w14:paraId="711A0D40" w14:textId="77777777" w:rsidR="001506C1" w:rsidRPr="00FA3F9C" w:rsidRDefault="001506C1"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PVR, dynes/s/cm</w:t>
            </w:r>
          </w:p>
        </w:tc>
        <w:tc>
          <w:tcPr>
            <w:tcW w:w="2088" w:type="dxa"/>
          </w:tcPr>
          <w:p w14:paraId="0F7B375B" w14:textId="77777777" w:rsidR="001506C1" w:rsidRPr="00FA3F9C" w:rsidRDefault="001506C1" w:rsidP="003926F2">
            <w:pPr>
              <w:widowControl w:val="0"/>
              <w:autoSpaceDE w:val="0"/>
              <w:autoSpaceDN w:val="0"/>
              <w:adjustRightInd w:val="0"/>
              <w:rPr>
                <w:rFonts w:ascii="Arial" w:hAnsi="Arial" w:cs="Arial"/>
                <w:b/>
                <w:color w:val="231F20"/>
                <w:sz w:val="24"/>
                <w:szCs w:val="24"/>
              </w:rPr>
            </w:pPr>
          </w:p>
        </w:tc>
        <w:tc>
          <w:tcPr>
            <w:tcW w:w="2088" w:type="dxa"/>
          </w:tcPr>
          <w:p w14:paraId="05074F24" w14:textId="77777777" w:rsidR="001506C1" w:rsidRPr="00FA3F9C" w:rsidRDefault="001506C1" w:rsidP="003926F2">
            <w:pPr>
              <w:widowControl w:val="0"/>
              <w:autoSpaceDE w:val="0"/>
              <w:autoSpaceDN w:val="0"/>
              <w:adjustRightInd w:val="0"/>
              <w:rPr>
                <w:rFonts w:ascii="Arial" w:hAnsi="Arial" w:cs="Arial"/>
                <w:color w:val="231F20"/>
                <w:sz w:val="24"/>
                <w:szCs w:val="24"/>
              </w:rPr>
            </w:pPr>
            <w:r w:rsidRPr="00FA3F9C">
              <w:rPr>
                <w:rFonts w:ascii="Arial" w:hAnsi="Arial" w:cs="Arial"/>
                <w:color w:val="231F20"/>
                <w:sz w:val="24"/>
                <w:szCs w:val="24"/>
              </w:rPr>
              <w:t>&gt;240</w:t>
            </w:r>
          </w:p>
        </w:tc>
        <w:tc>
          <w:tcPr>
            <w:tcW w:w="2088" w:type="dxa"/>
          </w:tcPr>
          <w:p w14:paraId="0473CA95" w14:textId="77777777" w:rsidR="001506C1" w:rsidRPr="00FA3F9C" w:rsidRDefault="001506C1" w:rsidP="003926F2">
            <w:pPr>
              <w:widowControl w:val="0"/>
              <w:autoSpaceDE w:val="0"/>
              <w:autoSpaceDN w:val="0"/>
              <w:adjustRightInd w:val="0"/>
              <w:rPr>
                <w:rFonts w:ascii="Arial" w:hAnsi="Arial" w:cs="Arial"/>
                <w:b/>
                <w:color w:val="231F20"/>
                <w:sz w:val="24"/>
                <w:szCs w:val="24"/>
                <w:highlight w:val="yellow"/>
              </w:rPr>
            </w:pPr>
          </w:p>
        </w:tc>
        <w:tc>
          <w:tcPr>
            <w:tcW w:w="2088" w:type="dxa"/>
          </w:tcPr>
          <w:p w14:paraId="692F79F0" w14:textId="77777777" w:rsidR="001506C1" w:rsidRPr="00FA3F9C" w:rsidRDefault="001506C1" w:rsidP="003926F2">
            <w:pPr>
              <w:rPr>
                <w:rFonts w:ascii="Arial" w:hAnsi="Arial" w:cs="Arial"/>
                <w:sz w:val="24"/>
                <w:szCs w:val="24"/>
              </w:rPr>
            </w:pPr>
            <w:r w:rsidRPr="00FA3F9C">
              <w:rPr>
                <w:rFonts w:ascii="Arial" w:hAnsi="Arial" w:cs="Arial"/>
                <w:color w:val="231F20"/>
                <w:sz w:val="24"/>
                <w:szCs w:val="24"/>
              </w:rPr>
              <w:t>&gt;240</w:t>
            </w:r>
          </w:p>
        </w:tc>
        <w:tc>
          <w:tcPr>
            <w:tcW w:w="2088" w:type="dxa"/>
          </w:tcPr>
          <w:p w14:paraId="5D65D4C9" w14:textId="77777777" w:rsidR="001506C1" w:rsidRPr="00FA3F9C" w:rsidRDefault="001506C1" w:rsidP="003926F2">
            <w:pPr>
              <w:rPr>
                <w:rFonts w:ascii="Arial" w:hAnsi="Arial" w:cs="Arial"/>
                <w:sz w:val="24"/>
                <w:szCs w:val="24"/>
              </w:rPr>
            </w:pPr>
            <w:r w:rsidRPr="00FA3F9C">
              <w:rPr>
                <w:rFonts w:ascii="Arial" w:hAnsi="Arial" w:cs="Arial"/>
                <w:color w:val="231F20"/>
                <w:sz w:val="24"/>
                <w:szCs w:val="24"/>
              </w:rPr>
              <w:t>&gt;240</w:t>
            </w:r>
          </w:p>
        </w:tc>
        <w:tc>
          <w:tcPr>
            <w:tcW w:w="2088" w:type="dxa"/>
          </w:tcPr>
          <w:p w14:paraId="26A112BD" w14:textId="77777777" w:rsidR="001506C1" w:rsidRPr="00FA3F9C" w:rsidRDefault="001506C1" w:rsidP="003926F2">
            <w:pPr>
              <w:rPr>
                <w:rFonts w:ascii="Arial" w:hAnsi="Arial" w:cs="Arial"/>
                <w:sz w:val="24"/>
                <w:szCs w:val="24"/>
              </w:rPr>
            </w:pPr>
            <w:r w:rsidRPr="00FA3F9C">
              <w:rPr>
                <w:rFonts w:ascii="Arial" w:hAnsi="Arial" w:cs="Arial"/>
                <w:color w:val="231F20"/>
                <w:sz w:val="24"/>
                <w:szCs w:val="24"/>
              </w:rPr>
              <w:t>&gt;240</w:t>
            </w:r>
          </w:p>
        </w:tc>
      </w:tr>
    </w:tbl>
    <w:p w14:paraId="415E49AF" w14:textId="77777777" w:rsidR="001506C1" w:rsidRPr="00FA3F9C" w:rsidRDefault="001506C1" w:rsidP="006F623F">
      <w:pPr>
        <w:spacing w:after="0"/>
        <w:rPr>
          <w:rFonts w:ascii="Arial" w:hAnsi="Arial" w:cs="Arial"/>
          <w:sz w:val="24"/>
          <w:szCs w:val="24"/>
        </w:rPr>
      </w:pPr>
    </w:p>
    <w:p w14:paraId="593D871B"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References:</w:t>
      </w:r>
    </w:p>
    <w:p w14:paraId="2874EA0E" w14:textId="77777777" w:rsidR="001506C1" w:rsidRPr="00FA3F9C" w:rsidRDefault="001506C1" w:rsidP="00E30097">
      <w:pPr>
        <w:rPr>
          <w:rFonts w:ascii="Arial" w:eastAsia="Times New Roman" w:hAnsi="Arial" w:cs="Arial"/>
          <w:sz w:val="24"/>
          <w:szCs w:val="24"/>
        </w:rPr>
      </w:pPr>
      <w:r w:rsidRPr="00FA3F9C">
        <w:rPr>
          <w:rFonts w:ascii="Arial" w:hAnsi="Arial" w:cs="Arial"/>
          <w:sz w:val="24"/>
          <w:szCs w:val="24"/>
        </w:rPr>
        <w:t xml:space="preserve">1. </w:t>
      </w:r>
      <w:proofErr w:type="spellStart"/>
      <w:r w:rsidRPr="00FA3F9C">
        <w:rPr>
          <w:rFonts w:ascii="Arial" w:eastAsia="Times New Roman" w:hAnsi="Arial" w:cs="Arial"/>
          <w:color w:val="222222"/>
          <w:sz w:val="24"/>
          <w:szCs w:val="24"/>
          <w:shd w:val="clear" w:color="auto" w:fill="F8F8F8"/>
        </w:rPr>
        <w:t>Galiè</w:t>
      </w:r>
      <w:proofErr w:type="spellEnd"/>
      <w:r w:rsidRPr="00FA3F9C">
        <w:rPr>
          <w:rFonts w:ascii="Arial" w:eastAsia="Times New Roman" w:hAnsi="Arial" w:cs="Arial"/>
          <w:color w:val="222222"/>
          <w:sz w:val="24"/>
          <w:szCs w:val="24"/>
          <w:shd w:val="clear" w:color="auto" w:fill="F8F8F8"/>
        </w:rPr>
        <w:t xml:space="preserve">, </w:t>
      </w:r>
      <w:proofErr w:type="spellStart"/>
      <w:r w:rsidRPr="00FA3F9C">
        <w:rPr>
          <w:rFonts w:ascii="Arial" w:eastAsia="Times New Roman" w:hAnsi="Arial" w:cs="Arial"/>
          <w:color w:val="222222"/>
          <w:sz w:val="24"/>
          <w:szCs w:val="24"/>
          <w:shd w:val="clear" w:color="auto" w:fill="F8F8F8"/>
        </w:rPr>
        <w:t>Nazzareno</w:t>
      </w:r>
      <w:proofErr w:type="spellEnd"/>
      <w:r w:rsidRPr="00FA3F9C">
        <w:rPr>
          <w:rFonts w:ascii="Arial" w:eastAsia="Times New Roman" w:hAnsi="Arial" w:cs="Arial"/>
          <w:color w:val="222222"/>
          <w:sz w:val="24"/>
          <w:szCs w:val="24"/>
          <w:shd w:val="clear" w:color="auto" w:fill="F8F8F8"/>
        </w:rPr>
        <w:t xml:space="preserve">, et al. "2015 ESC/ERS guidelines for the diagnosis and treatment of pulmonary hypertension: the joint task force for the diagnosis and treatment of pulmonary hypertension of the European Society of Cardiology (ESC) and the European Respiratory Society (ERS): endorsed by: Association for European </w:t>
      </w:r>
      <w:proofErr w:type="spellStart"/>
      <w:r w:rsidRPr="00FA3F9C">
        <w:rPr>
          <w:rFonts w:ascii="Arial" w:eastAsia="Times New Roman" w:hAnsi="Arial" w:cs="Arial"/>
          <w:color w:val="222222"/>
          <w:sz w:val="24"/>
          <w:szCs w:val="24"/>
          <w:shd w:val="clear" w:color="auto" w:fill="F8F8F8"/>
        </w:rPr>
        <w:t>Paediatric</w:t>
      </w:r>
      <w:proofErr w:type="spellEnd"/>
      <w:r w:rsidRPr="00FA3F9C">
        <w:rPr>
          <w:rFonts w:ascii="Arial" w:eastAsia="Times New Roman" w:hAnsi="Arial" w:cs="Arial"/>
          <w:color w:val="222222"/>
          <w:sz w:val="24"/>
          <w:szCs w:val="24"/>
          <w:shd w:val="clear" w:color="auto" w:fill="F8F8F8"/>
        </w:rPr>
        <w:t xml:space="preserve"> and Congenital Cardiology (AEPC), International Society for Heart and Lung Transplantation (ISHLT)." </w:t>
      </w:r>
      <w:r w:rsidRPr="00FA3F9C">
        <w:rPr>
          <w:rFonts w:ascii="Arial" w:eastAsia="Times New Roman" w:hAnsi="Arial" w:cs="Arial"/>
          <w:i/>
          <w:iCs/>
          <w:color w:val="222222"/>
          <w:sz w:val="24"/>
          <w:szCs w:val="24"/>
          <w:shd w:val="clear" w:color="auto" w:fill="F8F8F8"/>
        </w:rPr>
        <w:t>European heart journal</w:t>
      </w:r>
      <w:r w:rsidRPr="00FA3F9C">
        <w:rPr>
          <w:rFonts w:ascii="Arial" w:eastAsia="Times New Roman" w:hAnsi="Arial" w:cs="Arial"/>
          <w:color w:val="222222"/>
          <w:sz w:val="24"/>
          <w:szCs w:val="24"/>
          <w:shd w:val="clear" w:color="auto" w:fill="F8F8F8"/>
        </w:rPr>
        <w:t xml:space="preserve"> 37.1 (2015): 67-119.  </w:t>
      </w:r>
      <w:hyperlink r:id="rId54" w:history="1">
        <w:r w:rsidRPr="00FA3F9C">
          <w:rPr>
            <w:rFonts w:ascii="Arial" w:eastAsia="Times New Roman" w:hAnsi="Arial" w:cs="Arial"/>
            <w:color w:val="0000FF"/>
            <w:sz w:val="24"/>
            <w:szCs w:val="24"/>
            <w:u w:val="single"/>
          </w:rPr>
          <w:t>https://orbi.uliege.be/bitstream/2268/192756/1/eur%20h%20j%202016%2037%2067.full.pdf</w:t>
        </w:r>
      </w:hyperlink>
    </w:p>
    <w:p w14:paraId="2843ED5C" w14:textId="77777777" w:rsidR="001506C1" w:rsidRPr="00FA3F9C" w:rsidRDefault="001506C1" w:rsidP="006F623F">
      <w:pPr>
        <w:spacing w:after="0"/>
        <w:rPr>
          <w:rFonts w:ascii="Arial" w:hAnsi="Arial" w:cs="Arial"/>
          <w:sz w:val="24"/>
          <w:szCs w:val="24"/>
        </w:rPr>
      </w:pPr>
    </w:p>
    <w:p w14:paraId="50F5A6D5" w14:textId="77777777" w:rsidR="001506C1" w:rsidRPr="00FA3F9C" w:rsidRDefault="001506C1" w:rsidP="00E30097">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284"/>
        <w:gridCol w:w="7761"/>
        <w:gridCol w:w="2088"/>
      </w:tblGrid>
      <w:tr w:rsidR="001506C1" w:rsidRPr="00FA3F9C" w14:paraId="21E43ABD" w14:textId="77777777" w:rsidTr="00457F7B">
        <w:tc>
          <w:tcPr>
            <w:tcW w:w="1167" w:type="dxa"/>
          </w:tcPr>
          <w:p w14:paraId="7B0E0CFF" w14:textId="77777777" w:rsidR="001506C1" w:rsidRPr="00FA3F9C" w:rsidRDefault="001506C1" w:rsidP="00457F7B">
            <w:pPr>
              <w:rPr>
                <w:rFonts w:ascii="Arial" w:hAnsi="Arial" w:cs="Arial"/>
                <w:sz w:val="24"/>
                <w:szCs w:val="24"/>
              </w:rPr>
            </w:pPr>
            <w:r w:rsidRPr="00FA3F9C">
              <w:rPr>
                <w:rFonts w:ascii="Arial" w:hAnsi="Arial" w:cs="Arial"/>
                <w:sz w:val="24"/>
                <w:szCs w:val="24"/>
              </w:rPr>
              <w:t>Date</w:t>
            </w:r>
          </w:p>
        </w:tc>
        <w:tc>
          <w:tcPr>
            <w:tcW w:w="7761" w:type="dxa"/>
          </w:tcPr>
          <w:p w14:paraId="651587BF" w14:textId="77777777" w:rsidR="001506C1" w:rsidRPr="00FA3F9C" w:rsidRDefault="001506C1" w:rsidP="00457F7B">
            <w:pPr>
              <w:rPr>
                <w:rFonts w:ascii="Arial" w:hAnsi="Arial" w:cs="Arial"/>
                <w:sz w:val="24"/>
                <w:szCs w:val="24"/>
              </w:rPr>
            </w:pPr>
            <w:r w:rsidRPr="00FA3F9C">
              <w:rPr>
                <w:rFonts w:ascii="Arial" w:hAnsi="Arial" w:cs="Arial"/>
                <w:sz w:val="24"/>
                <w:szCs w:val="24"/>
              </w:rPr>
              <w:t>What changed</w:t>
            </w:r>
          </w:p>
        </w:tc>
        <w:tc>
          <w:tcPr>
            <w:tcW w:w="2088" w:type="dxa"/>
          </w:tcPr>
          <w:p w14:paraId="0605A6FF" w14:textId="77777777" w:rsidR="001506C1" w:rsidRPr="00FA3F9C" w:rsidRDefault="001506C1" w:rsidP="00457F7B">
            <w:pPr>
              <w:rPr>
                <w:rFonts w:ascii="Arial" w:hAnsi="Arial" w:cs="Arial"/>
                <w:sz w:val="24"/>
                <w:szCs w:val="24"/>
              </w:rPr>
            </w:pPr>
            <w:r w:rsidRPr="00FA3F9C">
              <w:rPr>
                <w:rFonts w:ascii="Arial" w:hAnsi="Arial" w:cs="Arial"/>
                <w:sz w:val="24"/>
                <w:szCs w:val="24"/>
              </w:rPr>
              <w:t>Pharmacist’s initials</w:t>
            </w:r>
          </w:p>
        </w:tc>
      </w:tr>
      <w:tr w:rsidR="001506C1" w:rsidRPr="00FA3F9C" w14:paraId="50573B5D" w14:textId="77777777" w:rsidTr="00457F7B">
        <w:tc>
          <w:tcPr>
            <w:tcW w:w="1167" w:type="dxa"/>
          </w:tcPr>
          <w:p w14:paraId="4BAE1DAE" w14:textId="77777777" w:rsidR="001506C1" w:rsidRPr="00FA3F9C" w:rsidRDefault="001506C1" w:rsidP="00457F7B">
            <w:pPr>
              <w:rPr>
                <w:rFonts w:ascii="Arial" w:hAnsi="Arial" w:cs="Arial"/>
                <w:sz w:val="24"/>
                <w:szCs w:val="24"/>
              </w:rPr>
            </w:pPr>
            <w:r w:rsidRPr="00FA3F9C">
              <w:rPr>
                <w:rFonts w:ascii="Arial" w:hAnsi="Arial" w:cs="Arial"/>
                <w:sz w:val="24"/>
                <w:szCs w:val="24"/>
              </w:rPr>
              <w:lastRenderedPageBreak/>
              <w:t>2-6-15</w:t>
            </w:r>
          </w:p>
        </w:tc>
        <w:tc>
          <w:tcPr>
            <w:tcW w:w="7761" w:type="dxa"/>
          </w:tcPr>
          <w:p w14:paraId="71B57ED0" w14:textId="77777777" w:rsidR="001506C1" w:rsidRPr="00FA3F9C" w:rsidRDefault="001506C1" w:rsidP="00457F7B">
            <w:pPr>
              <w:rPr>
                <w:rFonts w:ascii="Arial" w:hAnsi="Arial" w:cs="Arial"/>
                <w:sz w:val="24"/>
                <w:szCs w:val="24"/>
              </w:rPr>
            </w:pPr>
            <w:r w:rsidRPr="00FA3F9C">
              <w:rPr>
                <w:rFonts w:ascii="Arial" w:hAnsi="Arial" w:cs="Arial"/>
                <w:sz w:val="24"/>
                <w:szCs w:val="24"/>
              </w:rPr>
              <w:t>I wrote the criteria.</w:t>
            </w:r>
          </w:p>
        </w:tc>
        <w:tc>
          <w:tcPr>
            <w:tcW w:w="2088" w:type="dxa"/>
          </w:tcPr>
          <w:p w14:paraId="5ACEF343" w14:textId="15CF9733" w:rsidR="001506C1" w:rsidRPr="00FA3F9C" w:rsidRDefault="005C142D" w:rsidP="00457F7B">
            <w:pPr>
              <w:rPr>
                <w:rFonts w:ascii="Arial" w:hAnsi="Arial" w:cs="Arial"/>
                <w:sz w:val="24"/>
                <w:szCs w:val="24"/>
              </w:rPr>
            </w:pPr>
            <w:r w:rsidRPr="00FA3F9C">
              <w:rPr>
                <w:rFonts w:ascii="Arial" w:hAnsi="Arial" w:cs="Arial"/>
                <w:sz w:val="24"/>
                <w:szCs w:val="24"/>
              </w:rPr>
              <w:t>JJ</w:t>
            </w:r>
          </w:p>
        </w:tc>
      </w:tr>
      <w:tr w:rsidR="001506C1" w:rsidRPr="00FA3F9C" w14:paraId="2E53C8F5" w14:textId="77777777" w:rsidTr="00457F7B">
        <w:tc>
          <w:tcPr>
            <w:tcW w:w="1167" w:type="dxa"/>
          </w:tcPr>
          <w:p w14:paraId="3D8D3973" w14:textId="77777777" w:rsidR="001506C1" w:rsidRPr="00FA3F9C" w:rsidRDefault="001506C1" w:rsidP="00457F7B">
            <w:pPr>
              <w:rPr>
                <w:rFonts w:ascii="Arial" w:hAnsi="Arial" w:cs="Arial"/>
                <w:sz w:val="24"/>
                <w:szCs w:val="24"/>
              </w:rPr>
            </w:pPr>
            <w:r w:rsidRPr="00FA3F9C">
              <w:rPr>
                <w:rFonts w:ascii="Arial" w:hAnsi="Arial" w:cs="Arial"/>
                <w:sz w:val="24"/>
                <w:szCs w:val="24"/>
              </w:rPr>
              <w:t>12/19/17</w:t>
            </w:r>
          </w:p>
        </w:tc>
        <w:tc>
          <w:tcPr>
            <w:tcW w:w="7761" w:type="dxa"/>
          </w:tcPr>
          <w:p w14:paraId="6DE1C25F" w14:textId="77777777" w:rsidR="001506C1" w:rsidRPr="00FA3F9C" w:rsidRDefault="001506C1" w:rsidP="00457F7B">
            <w:pPr>
              <w:rPr>
                <w:rFonts w:ascii="Arial" w:hAnsi="Arial" w:cs="Arial"/>
                <w:sz w:val="24"/>
                <w:szCs w:val="24"/>
              </w:rPr>
            </w:pPr>
            <w:r w:rsidRPr="00FA3F9C">
              <w:rPr>
                <w:rFonts w:ascii="Arial" w:hAnsi="Arial" w:cs="Arial"/>
                <w:sz w:val="24"/>
                <w:szCs w:val="24"/>
              </w:rPr>
              <w:t>I added the 32mg dispersible tablet and included an age limit of 12 or younger and a weight limit based on Lexi-Comp dosing guidelines.</w:t>
            </w:r>
          </w:p>
        </w:tc>
        <w:tc>
          <w:tcPr>
            <w:tcW w:w="2088" w:type="dxa"/>
          </w:tcPr>
          <w:p w14:paraId="08EAAF4D" w14:textId="77777777" w:rsidR="001506C1" w:rsidRPr="00FA3F9C" w:rsidRDefault="001506C1" w:rsidP="00457F7B">
            <w:pPr>
              <w:rPr>
                <w:rFonts w:ascii="Arial" w:hAnsi="Arial" w:cs="Arial"/>
                <w:sz w:val="24"/>
                <w:szCs w:val="24"/>
              </w:rPr>
            </w:pPr>
            <w:r w:rsidRPr="00FA3F9C">
              <w:rPr>
                <w:rFonts w:ascii="Arial" w:hAnsi="Arial" w:cs="Arial"/>
                <w:sz w:val="24"/>
                <w:szCs w:val="24"/>
              </w:rPr>
              <w:t>JJ</w:t>
            </w:r>
          </w:p>
        </w:tc>
      </w:tr>
      <w:tr w:rsidR="001506C1" w:rsidRPr="00FA3F9C" w14:paraId="24ABA0B0" w14:textId="77777777" w:rsidTr="00457F7B">
        <w:tc>
          <w:tcPr>
            <w:tcW w:w="1167" w:type="dxa"/>
          </w:tcPr>
          <w:p w14:paraId="5F512A61" w14:textId="77777777" w:rsidR="001506C1" w:rsidRPr="00FA3F9C" w:rsidRDefault="001506C1" w:rsidP="00457F7B">
            <w:pPr>
              <w:rPr>
                <w:rFonts w:ascii="Arial" w:hAnsi="Arial" w:cs="Arial"/>
                <w:sz w:val="24"/>
                <w:szCs w:val="24"/>
              </w:rPr>
            </w:pPr>
            <w:r w:rsidRPr="00FA3F9C">
              <w:rPr>
                <w:rFonts w:ascii="Arial" w:hAnsi="Arial" w:cs="Arial"/>
                <w:sz w:val="24"/>
                <w:szCs w:val="24"/>
              </w:rPr>
              <w:t>9/25/2019</w:t>
            </w:r>
          </w:p>
        </w:tc>
        <w:tc>
          <w:tcPr>
            <w:tcW w:w="7761" w:type="dxa"/>
          </w:tcPr>
          <w:p w14:paraId="47D3C11A" w14:textId="77777777" w:rsidR="001506C1" w:rsidRPr="00FA3F9C" w:rsidRDefault="001506C1" w:rsidP="00457F7B">
            <w:pPr>
              <w:rPr>
                <w:rFonts w:ascii="Arial" w:hAnsi="Arial" w:cs="Arial"/>
                <w:sz w:val="24"/>
                <w:szCs w:val="24"/>
              </w:rPr>
            </w:pPr>
            <w:r w:rsidRPr="00FA3F9C">
              <w:rPr>
                <w:rFonts w:ascii="Arial" w:hAnsi="Arial" w:cs="Arial"/>
                <w:sz w:val="24"/>
                <w:szCs w:val="24"/>
              </w:rPr>
              <w:t>I reviewed the criteria. I added reference 1.</w:t>
            </w:r>
          </w:p>
        </w:tc>
        <w:tc>
          <w:tcPr>
            <w:tcW w:w="2088" w:type="dxa"/>
          </w:tcPr>
          <w:p w14:paraId="21A3D192" w14:textId="2829B1EF" w:rsidR="001506C1" w:rsidRPr="00FA3F9C" w:rsidRDefault="005C142D" w:rsidP="00457F7B">
            <w:pPr>
              <w:rPr>
                <w:rFonts w:ascii="Arial" w:hAnsi="Arial" w:cs="Arial"/>
                <w:sz w:val="24"/>
                <w:szCs w:val="24"/>
              </w:rPr>
            </w:pPr>
            <w:r w:rsidRPr="00FA3F9C">
              <w:rPr>
                <w:rFonts w:ascii="Arial" w:hAnsi="Arial" w:cs="Arial"/>
                <w:sz w:val="24"/>
                <w:szCs w:val="24"/>
              </w:rPr>
              <w:t>JJ</w:t>
            </w:r>
          </w:p>
        </w:tc>
      </w:tr>
    </w:tbl>
    <w:p w14:paraId="674040D3" w14:textId="77777777" w:rsidR="001506C1" w:rsidRPr="00FA3F9C" w:rsidRDefault="001506C1" w:rsidP="006F623F">
      <w:pPr>
        <w:spacing w:after="0"/>
        <w:rPr>
          <w:rFonts w:ascii="Arial" w:hAnsi="Arial" w:cs="Arial"/>
          <w:sz w:val="24"/>
          <w:szCs w:val="24"/>
        </w:rPr>
      </w:pPr>
    </w:p>
    <w:p w14:paraId="51E9875E" w14:textId="77777777" w:rsidR="001506C1" w:rsidRPr="00FA3F9C" w:rsidRDefault="001506C1" w:rsidP="00CA4C3C">
      <w:pPr>
        <w:pStyle w:val="Heading2"/>
      </w:pPr>
      <w:bookmarkStart w:id="37" w:name="_Toc106369739"/>
      <w:r w:rsidRPr="00FA3F9C">
        <w:t>Bosutinib (</w:t>
      </w:r>
      <w:proofErr w:type="spellStart"/>
      <w:r w:rsidRPr="00FA3F9C">
        <w:t>Bosulif</w:t>
      </w:r>
      <w:proofErr w:type="spellEnd"/>
      <w:r w:rsidRPr="00FA3F9C">
        <w:t>)</w:t>
      </w:r>
      <w:bookmarkEnd w:id="37"/>
    </w:p>
    <w:p w14:paraId="06FB125E" w14:textId="77777777" w:rsidR="001506C1" w:rsidRPr="00FA3F9C" w:rsidRDefault="001506C1" w:rsidP="006F623F">
      <w:pPr>
        <w:spacing w:after="0"/>
        <w:jc w:val="center"/>
        <w:rPr>
          <w:rFonts w:ascii="Arial" w:hAnsi="Arial" w:cs="Arial"/>
          <w:sz w:val="24"/>
          <w:szCs w:val="24"/>
        </w:rPr>
      </w:pPr>
      <w:r w:rsidRPr="00FA3F9C">
        <w:rPr>
          <w:rFonts w:ascii="Arial" w:hAnsi="Arial" w:cs="Arial"/>
          <w:sz w:val="24"/>
          <w:szCs w:val="24"/>
        </w:rPr>
        <w:t>EBRx PA Criteria</w:t>
      </w:r>
    </w:p>
    <w:p w14:paraId="68FC653B" w14:textId="77777777" w:rsidR="001506C1" w:rsidRPr="00FA3F9C" w:rsidRDefault="001506C1" w:rsidP="006F623F">
      <w:pPr>
        <w:spacing w:after="0"/>
        <w:rPr>
          <w:rFonts w:ascii="Arial" w:hAnsi="Arial" w:cs="Arial"/>
          <w:b/>
          <w:sz w:val="24"/>
          <w:szCs w:val="24"/>
          <w:u w:val="single"/>
        </w:rPr>
      </w:pPr>
    </w:p>
    <w:p w14:paraId="35C47468" w14:textId="77777777" w:rsidR="001506C1" w:rsidRPr="00FA3F9C" w:rsidRDefault="001506C1"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w:t>
      </w:r>
    </w:p>
    <w:p w14:paraId="4CB289CE" w14:textId="77777777" w:rsidR="001506C1" w:rsidRPr="00FA3F9C" w:rsidRDefault="001506C1" w:rsidP="001506C1">
      <w:pPr>
        <w:numPr>
          <w:ilvl w:val="0"/>
          <w:numId w:val="55"/>
        </w:numPr>
        <w:spacing w:before="17" w:after="100" w:afterAutospacing="1" w:line="240" w:lineRule="auto"/>
        <w:ind w:left="288"/>
        <w:rPr>
          <w:rFonts w:ascii="Arial" w:hAnsi="Arial" w:cs="Arial"/>
          <w:color w:val="000000"/>
          <w:sz w:val="24"/>
          <w:szCs w:val="24"/>
        </w:rPr>
      </w:pPr>
      <w:proofErr w:type="gramStart"/>
      <w:r w:rsidRPr="00FA3F9C">
        <w:rPr>
          <w:rFonts w:ascii="Arial" w:hAnsi="Arial" w:cs="Arial"/>
          <w:color w:val="000000"/>
          <w:sz w:val="24"/>
          <w:szCs w:val="24"/>
        </w:rPr>
        <w:t>Newly-diagnosed</w:t>
      </w:r>
      <w:proofErr w:type="gramEnd"/>
      <w:r w:rsidRPr="00FA3F9C">
        <w:rPr>
          <w:rFonts w:ascii="Arial" w:hAnsi="Arial" w:cs="Arial"/>
          <w:color w:val="000000"/>
          <w:sz w:val="24"/>
          <w:szCs w:val="24"/>
        </w:rPr>
        <w:t xml:space="preserve"> chronic phase Ph+ chronic myelogenous leukemia (CML). T </w:t>
      </w:r>
      <w:r w:rsidRPr="00FA3F9C">
        <w:rPr>
          <w:rFonts w:ascii="Arial" w:hAnsi="Arial" w:cs="Arial"/>
          <w:color w:val="000000"/>
          <w:sz w:val="24"/>
          <w:szCs w:val="24"/>
          <w:highlight w:val="yellow"/>
        </w:rPr>
        <w:t>NOT COVERED</w:t>
      </w:r>
    </w:p>
    <w:p w14:paraId="785D7D5F" w14:textId="77777777" w:rsidR="001506C1" w:rsidRPr="00FA3F9C" w:rsidRDefault="001506C1" w:rsidP="001506C1">
      <w:pPr>
        <w:numPr>
          <w:ilvl w:val="0"/>
          <w:numId w:val="55"/>
        </w:numPr>
        <w:spacing w:before="17" w:after="100" w:afterAutospacing="1" w:line="240" w:lineRule="auto"/>
        <w:ind w:left="288"/>
        <w:rPr>
          <w:rFonts w:ascii="Arial" w:hAnsi="Arial" w:cs="Arial"/>
          <w:color w:val="000000"/>
          <w:sz w:val="24"/>
          <w:szCs w:val="24"/>
        </w:rPr>
      </w:pPr>
      <w:r w:rsidRPr="00FA3F9C">
        <w:rPr>
          <w:rFonts w:ascii="Arial" w:hAnsi="Arial" w:cs="Arial"/>
          <w:color w:val="000000"/>
          <w:sz w:val="24"/>
          <w:szCs w:val="24"/>
        </w:rPr>
        <w:t>Chronic, accelerated, or blast phase Ph+ CML with resistance or intolerance to prior therapy.</w:t>
      </w:r>
    </w:p>
    <w:tbl>
      <w:tblPr>
        <w:tblStyle w:val="TableGrid"/>
        <w:tblW w:w="0" w:type="auto"/>
        <w:tblLook w:val="04A0" w:firstRow="1" w:lastRow="0" w:firstColumn="1" w:lastColumn="0" w:noHBand="0" w:noVBand="1"/>
      </w:tblPr>
      <w:tblGrid>
        <w:gridCol w:w="8928"/>
        <w:gridCol w:w="2088"/>
      </w:tblGrid>
      <w:tr w:rsidR="001506C1" w:rsidRPr="00FA3F9C" w14:paraId="5E9B56E8" w14:textId="77777777" w:rsidTr="00E924F1">
        <w:tc>
          <w:tcPr>
            <w:tcW w:w="8928" w:type="dxa"/>
            <w:shd w:val="clear" w:color="auto" w:fill="000000"/>
          </w:tcPr>
          <w:p w14:paraId="359FA80A" w14:textId="77777777" w:rsidR="001506C1" w:rsidRPr="00FA3F9C" w:rsidRDefault="001506C1" w:rsidP="00E924F1">
            <w:pPr>
              <w:rPr>
                <w:rFonts w:ascii="Arial" w:hAnsi="Arial" w:cs="Arial"/>
                <w:b/>
                <w:sz w:val="24"/>
                <w:szCs w:val="24"/>
                <w:u w:val="single"/>
              </w:rPr>
            </w:pPr>
            <w:r w:rsidRPr="00FA3F9C">
              <w:rPr>
                <w:rFonts w:ascii="Arial" w:hAnsi="Arial" w:cs="Arial"/>
                <w:b/>
                <w:sz w:val="24"/>
                <w:szCs w:val="24"/>
                <w:u w:val="single"/>
              </w:rPr>
              <w:t>Criteria for new users</w:t>
            </w:r>
          </w:p>
        </w:tc>
        <w:tc>
          <w:tcPr>
            <w:tcW w:w="2088" w:type="dxa"/>
            <w:shd w:val="clear" w:color="auto" w:fill="000000"/>
          </w:tcPr>
          <w:p w14:paraId="48FE4B4B" w14:textId="77777777" w:rsidR="001506C1" w:rsidRPr="00FA3F9C" w:rsidRDefault="001506C1" w:rsidP="00E924F1">
            <w:pPr>
              <w:jc w:val="center"/>
              <w:rPr>
                <w:rFonts w:ascii="Arial" w:hAnsi="Arial" w:cs="Arial"/>
                <w:b/>
                <w:sz w:val="24"/>
                <w:szCs w:val="24"/>
                <w:u w:val="single"/>
              </w:rPr>
            </w:pPr>
          </w:p>
        </w:tc>
      </w:tr>
      <w:tr w:rsidR="001506C1" w:rsidRPr="00FA3F9C" w14:paraId="31C9EEF2" w14:textId="77777777" w:rsidTr="00E924F1">
        <w:tc>
          <w:tcPr>
            <w:tcW w:w="11016" w:type="dxa"/>
            <w:gridSpan w:val="2"/>
          </w:tcPr>
          <w:p w14:paraId="0861FA3F" w14:textId="77777777" w:rsidR="001506C1" w:rsidRPr="00FA3F9C" w:rsidRDefault="001506C1" w:rsidP="001506C1">
            <w:pPr>
              <w:pStyle w:val="ListParagraph"/>
              <w:numPr>
                <w:ilvl w:val="0"/>
                <w:numId w:val="54"/>
              </w:numPr>
              <w:ind w:left="270" w:hanging="270"/>
              <w:rPr>
                <w:rFonts w:ascii="Arial" w:hAnsi="Arial" w:cs="Arial"/>
                <w:sz w:val="24"/>
                <w:szCs w:val="24"/>
              </w:rPr>
            </w:pPr>
            <w:r w:rsidRPr="00FA3F9C">
              <w:rPr>
                <w:rFonts w:ascii="Arial" w:hAnsi="Arial" w:cs="Arial"/>
                <w:sz w:val="24"/>
                <w:szCs w:val="24"/>
              </w:rPr>
              <w:t xml:space="preserve">Ph+ chronic myeloid leukemia (CML) in chronic phase, accelerated/advanced phase, or blast crisis with resistance*, intolerance, or contraindication to imatinib AND </w:t>
            </w:r>
            <w:proofErr w:type="spellStart"/>
            <w:r w:rsidRPr="00FA3F9C">
              <w:rPr>
                <w:rFonts w:ascii="Arial" w:hAnsi="Arial" w:cs="Arial"/>
                <w:sz w:val="24"/>
                <w:szCs w:val="24"/>
              </w:rPr>
              <w:t>dasatinib</w:t>
            </w:r>
            <w:proofErr w:type="spellEnd"/>
            <w:r w:rsidRPr="00FA3F9C">
              <w:rPr>
                <w:rFonts w:ascii="Arial" w:hAnsi="Arial" w:cs="Arial"/>
                <w:sz w:val="24"/>
                <w:szCs w:val="24"/>
              </w:rPr>
              <w:t xml:space="preserve"> (note: Ph+ may also be denoted as t(9;22) or BCR/ABL)</w:t>
            </w:r>
          </w:p>
        </w:tc>
      </w:tr>
      <w:tr w:rsidR="001506C1" w:rsidRPr="00FA3F9C" w14:paraId="00895363" w14:textId="77777777" w:rsidTr="00E924F1">
        <w:tc>
          <w:tcPr>
            <w:tcW w:w="11016" w:type="dxa"/>
            <w:gridSpan w:val="2"/>
            <w:shd w:val="clear" w:color="auto" w:fill="F2F2F2" w:themeFill="background1" w:themeFillShade="F2"/>
          </w:tcPr>
          <w:p w14:paraId="2AE08C43" w14:textId="77777777" w:rsidR="001506C1" w:rsidRPr="00FA3F9C" w:rsidRDefault="001506C1" w:rsidP="00E924F1">
            <w:pPr>
              <w:rPr>
                <w:rFonts w:ascii="Arial" w:hAnsi="Arial" w:cs="Arial"/>
                <w:sz w:val="24"/>
                <w:szCs w:val="24"/>
              </w:rPr>
            </w:pPr>
            <w:r w:rsidRPr="00FA3F9C">
              <w:rPr>
                <w:rFonts w:ascii="Arial" w:hAnsi="Arial" w:cs="Arial"/>
                <w:sz w:val="24"/>
                <w:szCs w:val="24"/>
              </w:rPr>
              <w:t>*Resistance to CML therapy is generally defined as any of the following:</w:t>
            </w:r>
          </w:p>
          <w:p w14:paraId="0371B1B9" w14:textId="77777777" w:rsidR="001506C1" w:rsidRPr="00FA3F9C" w:rsidRDefault="001506C1" w:rsidP="001506C1">
            <w:pPr>
              <w:pStyle w:val="ListParagraph"/>
              <w:numPr>
                <w:ilvl w:val="0"/>
                <w:numId w:val="23"/>
              </w:numPr>
              <w:rPr>
                <w:rFonts w:ascii="Arial" w:hAnsi="Arial" w:cs="Arial"/>
                <w:sz w:val="24"/>
                <w:szCs w:val="24"/>
              </w:rPr>
            </w:pPr>
            <w:r w:rsidRPr="00FA3F9C">
              <w:rPr>
                <w:rFonts w:ascii="Arial" w:hAnsi="Arial" w:cs="Arial"/>
                <w:sz w:val="24"/>
                <w:szCs w:val="24"/>
              </w:rPr>
              <w:t xml:space="preserve">Inadequate response (defined as one of the following): </w:t>
            </w:r>
          </w:p>
          <w:p w14:paraId="3BBBAF58" w14:textId="77777777" w:rsidR="001506C1" w:rsidRPr="00FA3F9C" w:rsidRDefault="001506C1" w:rsidP="001506C1">
            <w:pPr>
              <w:pStyle w:val="ListParagraph"/>
              <w:numPr>
                <w:ilvl w:val="2"/>
                <w:numId w:val="23"/>
              </w:numPr>
              <w:ind w:left="1080"/>
              <w:rPr>
                <w:rFonts w:ascii="Arial" w:hAnsi="Arial" w:cs="Arial"/>
                <w:sz w:val="24"/>
                <w:szCs w:val="24"/>
              </w:rPr>
            </w:pPr>
            <w:r w:rsidRPr="00FA3F9C">
              <w:rPr>
                <w:rFonts w:ascii="Arial" w:hAnsi="Arial" w:cs="Arial"/>
                <w:sz w:val="24"/>
                <w:szCs w:val="24"/>
              </w:rPr>
              <w:t>After 3 months of therapy: Lack of complete hematologic response (Platelets &lt;450 x10</w:t>
            </w:r>
            <w:r w:rsidRPr="00FA3F9C">
              <w:rPr>
                <w:rFonts w:ascii="Arial" w:hAnsi="Arial" w:cs="Arial"/>
                <w:sz w:val="24"/>
                <w:szCs w:val="24"/>
                <w:vertAlign w:val="superscript"/>
              </w:rPr>
              <w:t>9</w:t>
            </w:r>
            <w:r w:rsidRPr="00FA3F9C">
              <w:rPr>
                <w:rFonts w:ascii="Arial" w:hAnsi="Arial" w:cs="Arial"/>
                <w:sz w:val="24"/>
                <w:szCs w:val="24"/>
              </w:rPr>
              <w:t>/L; leukocyte count &lt;10 x 10</w:t>
            </w:r>
            <w:r w:rsidRPr="00FA3F9C">
              <w:rPr>
                <w:rFonts w:ascii="Arial" w:hAnsi="Arial" w:cs="Arial"/>
                <w:sz w:val="24"/>
                <w:szCs w:val="24"/>
                <w:vertAlign w:val="superscript"/>
              </w:rPr>
              <w:t>9</w:t>
            </w:r>
            <w:r w:rsidRPr="00FA3F9C">
              <w:rPr>
                <w:rFonts w:ascii="Arial" w:hAnsi="Arial" w:cs="Arial"/>
                <w:sz w:val="24"/>
                <w:szCs w:val="24"/>
              </w:rPr>
              <w:t xml:space="preserve">/L) </w:t>
            </w:r>
          </w:p>
          <w:p w14:paraId="2A429218" w14:textId="77777777" w:rsidR="001506C1" w:rsidRPr="00FA3F9C" w:rsidRDefault="001506C1" w:rsidP="001506C1">
            <w:pPr>
              <w:pStyle w:val="ListParagraph"/>
              <w:numPr>
                <w:ilvl w:val="2"/>
                <w:numId w:val="23"/>
              </w:numPr>
              <w:ind w:left="1080"/>
              <w:rPr>
                <w:rFonts w:ascii="Arial" w:hAnsi="Arial" w:cs="Arial"/>
                <w:sz w:val="24"/>
                <w:szCs w:val="24"/>
              </w:rPr>
            </w:pPr>
            <w:r w:rsidRPr="00FA3F9C">
              <w:rPr>
                <w:rFonts w:ascii="Arial" w:hAnsi="Arial" w:cs="Arial"/>
                <w:sz w:val="24"/>
                <w:szCs w:val="24"/>
              </w:rPr>
              <w:t xml:space="preserve">After 3 months of therapy: Cytogenetic analysis shows &gt;95% Ph+ metaphases </w:t>
            </w:r>
          </w:p>
          <w:p w14:paraId="56EB755D" w14:textId="77777777" w:rsidR="001506C1" w:rsidRPr="00FA3F9C" w:rsidRDefault="001506C1" w:rsidP="001506C1">
            <w:pPr>
              <w:pStyle w:val="ListParagraph"/>
              <w:numPr>
                <w:ilvl w:val="2"/>
                <w:numId w:val="23"/>
              </w:numPr>
              <w:ind w:left="1080"/>
              <w:rPr>
                <w:rFonts w:ascii="Arial" w:hAnsi="Arial" w:cs="Arial"/>
                <w:sz w:val="24"/>
                <w:szCs w:val="24"/>
              </w:rPr>
            </w:pPr>
            <w:r w:rsidRPr="00FA3F9C">
              <w:rPr>
                <w:rFonts w:ascii="Arial" w:hAnsi="Arial" w:cs="Arial"/>
                <w:sz w:val="24"/>
                <w:szCs w:val="24"/>
              </w:rPr>
              <w:t xml:space="preserve">After 6 months of therapy: BCR-ABL1 (IS) &gt;10% by quantitative PCR (qPCR) </w:t>
            </w:r>
          </w:p>
          <w:p w14:paraId="2202580A" w14:textId="77777777" w:rsidR="001506C1" w:rsidRPr="00FA3F9C" w:rsidRDefault="001506C1" w:rsidP="001506C1">
            <w:pPr>
              <w:pStyle w:val="ListParagraph"/>
              <w:numPr>
                <w:ilvl w:val="2"/>
                <w:numId w:val="23"/>
              </w:numPr>
              <w:ind w:left="1080"/>
              <w:rPr>
                <w:rFonts w:ascii="Arial" w:hAnsi="Arial" w:cs="Arial"/>
                <w:sz w:val="24"/>
                <w:szCs w:val="24"/>
              </w:rPr>
            </w:pPr>
            <w:r w:rsidRPr="00FA3F9C">
              <w:rPr>
                <w:rFonts w:ascii="Arial" w:hAnsi="Arial" w:cs="Arial"/>
                <w:sz w:val="24"/>
                <w:szCs w:val="24"/>
              </w:rPr>
              <w:t xml:space="preserve">After 6 months of therapy: Cytogenetic analysis shows &gt;35% Ph+ metaphases </w:t>
            </w:r>
          </w:p>
          <w:p w14:paraId="4EF836A6" w14:textId="77777777" w:rsidR="001506C1" w:rsidRPr="00FA3F9C" w:rsidRDefault="001506C1" w:rsidP="001506C1">
            <w:pPr>
              <w:pStyle w:val="ListParagraph"/>
              <w:numPr>
                <w:ilvl w:val="2"/>
                <w:numId w:val="23"/>
              </w:numPr>
              <w:ind w:left="1080"/>
              <w:rPr>
                <w:rFonts w:ascii="Arial" w:hAnsi="Arial" w:cs="Arial"/>
                <w:sz w:val="24"/>
                <w:szCs w:val="24"/>
              </w:rPr>
            </w:pPr>
            <w:r w:rsidRPr="00FA3F9C">
              <w:rPr>
                <w:rFonts w:ascii="Arial" w:hAnsi="Arial" w:cs="Arial"/>
                <w:sz w:val="24"/>
                <w:szCs w:val="24"/>
              </w:rPr>
              <w:t xml:space="preserve">After 12 months of therapy: BCR-ABL1 (IS) &gt;1% by quantitative PCR (qPCR) </w:t>
            </w:r>
          </w:p>
          <w:p w14:paraId="23554EEE" w14:textId="77777777" w:rsidR="001506C1" w:rsidRPr="00FA3F9C" w:rsidRDefault="001506C1" w:rsidP="001506C1">
            <w:pPr>
              <w:pStyle w:val="ListParagraph"/>
              <w:numPr>
                <w:ilvl w:val="2"/>
                <w:numId w:val="23"/>
              </w:numPr>
              <w:ind w:left="1080"/>
              <w:rPr>
                <w:rFonts w:ascii="Arial" w:hAnsi="Arial" w:cs="Arial"/>
                <w:sz w:val="24"/>
                <w:szCs w:val="24"/>
              </w:rPr>
            </w:pPr>
            <w:r w:rsidRPr="00FA3F9C">
              <w:rPr>
                <w:rFonts w:ascii="Arial" w:hAnsi="Arial" w:cs="Arial"/>
                <w:sz w:val="24"/>
                <w:szCs w:val="24"/>
              </w:rPr>
              <w:t xml:space="preserve">After 12 months of therapy: Cytogenetic analysis shows &gt;0% Ph+ metaphases </w:t>
            </w:r>
          </w:p>
          <w:p w14:paraId="1AC1C506" w14:textId="77777777" w:rsidR="001506C1" w:rsidRPr="00FA3F9C" w:rsidRDefault="001506C1" w:rsidP="001506C1">
            <w:pPr>
              <w:pStyle w:val="ListParagraph"/>
              <w:numPr>
                <w:ilvl w:val="0"/>
                <w:numId w:val="23"/>
              </w:numPr>
              <w:rPr>
                <w:rFonts w:ascii="Arial" w:hAnsi="Arial" w:cs="Arial"/>
                <w:sz w:val="24"/>
                <w:szCs w:val="24"/>
              </w:rPr>
            </w:pPr>
            <w:r w:rsidRPr="00FA3F9C">
              <w:rPr>
                <w:rFonts w:ascii="Arial" w:hAnsi="Arial" w:cs="Arial"/>
                <w:sz w:val="24"/>
                <w:szCs w:val="24"/>
              </w:rPr>
              <w:t xml:space="preserve">Progression of disease after a cytogenetic/hematologic response was achieved </w:t>
            </w:r>
          </w:p>
          <w:p w14:paraId="16B03260" w14:textId="77777777" w:rsidR="001506C1" w:rsidRPr="00FA3F9C" w:rsidRDefault="001506C1" w:rsidP="001506C1">
            <w:pPr>
              <w:pStyle w:val="ListParagraph"/>
              <w:numPr>
                <w:ilvl w:val="0"/>
                <w:numId w:val="23"/>
              </w:numPr>
              <w:rPr>
                <w:rFonts w:ascii="Arial" w:hAnsi="Arial" w:cs="Arial"/>
                <w:sz w:val="24"/>
                <w:szCs w:val="24"/>
              </w:rPr>
            </w:pPr>
            <w:r w:rsidRPr="00FA3F9C">
              <w:rPr>
                <w:rFonts w:ascii="Arial" w:hAnsi="Arial" w:cs="Arial"/>
                <w:sz w:val="24"/>
                <w:szCs w:val="24"/>
              </w:rPr>
              <w:t>Documentation of mutation associated with drug resistance (typically checked after failure of first-line therapy—see below)</w:t>
            </w:r>
          </w:p>
        </w:tc>
      </w:tr>
      <w:tr w:rsidR="001506C1" w:rsidRPr="00FA3F9C" w14:paraId="451D95C4" w14:textId="77777777" w:rsidTr="00E924F1">
        <w:tc>
          <w:tcPr>
            <w:tcW w:w="11016" w:type="dxa"/>
            <w:gridSpan w:val="2"/>
            <w:shd w:val="clear" w:color="auto" w:fill="D9D9D9" w:themeFill="background1" w:themeFillShade="D9"/>
          </w:tcPr>
          <w:p w14:paraId="2F50AD85" w14:textId="77777777" w:rsidR="001506C1" w:rsidRPr="00FA3F9C" w:rsidRDefault="001506C1" w:rsidP="00E924F1">
            <w:pPr>
              <w:rPr>
                <w:rFonts w:ascii="Arial" w:hAnsi="Arial" w:cs="Arial"/>
                <w:sz w:val="24"/>
                <w:szCs w:val="24"/>
              </w:rPr>
            </w:pPr>
            <w:r w:rsidRPr="00FA3F9C">
              <w:rPr>
                <w:rFonts w:ascii="Arial" w:hAnsi="Arial" w:cs="Arial"/>
                <w:sz w:val="24"/>
                <w:szCs w:val="24"/>
              </w:rPr>
              <w:t>If criteria 1 is fulfilled, approve for 6 months</w:t>
            </w:r>
          </w:p>
        </w:tc>
      </w:tr>
      <w:tr w:rsidR="001506C1" w:rsidRPr="00FA3F9C" w14:paraId="338810D8" w14:textId="77777777" w:rsidTr="00E924F1">
        <w:tc>
          <w:tcPr>
            <w:tcW w:w="8928" w:type="dxa"/>
            <w:shd w:val="clear" w:color="auto" w:fill="000000"/>
          </w:tcPr>
          <w:p w14:paraId="1B076C5D" w14:textId="77777777" w:rsidR="001506C1" w:rsidRPr="00FA3F9C" w:rsidRDefault="001506C1" w:rsidP="00E924F1">
            <w:pPr>
              <w:rPr>
                <w:rFonts w:ascii="Arial" w:hAnsi="Arial" w:cs="Arial"/>
                <w:b/>
                <w:sz w:val="24"/>
                <w:szCs w:val="24"/>
                <w:u w:val="single"/>
              </w:rPr>
            </w:pPr>
            <w:r w:rsidRPr="00FA3F9C">
              <w:rPr>
                <w:rFonts w:ascii="Arial" w:hAnsi="Arial" w:cs="Arial"/>
                <w:b/>
                <w:sz w:val="24"/>
                <w:szCs w:val="24"/>
                <w:u w:val="single"/>
              </w:rPr>
              <w:t>Criteria for continuation</w:t>
            </w:r>
          </w:p>
        </w:tc>
        <w:tc>
          <w:tcPr>
            <w:tcW w:w="2088" w:type="dxa"/>
            <w:shd w:val="clear" w:color="auto" w:fill="000000"/>
          </w:tcPr>
          <w:p w14:paraId="06D4FA04" w14:textId="77777777" w:rsidR="001506C1" w:rsidRPr="00FA3F9C" w:rsidRDefault="001506C1" w:rsidP="00E924F1">
            <w:pPr>
              <w:jc w:val="center"/>
              <w:rPr>
                <w:rFonts w:ascii="Arial" w:hAnsi="Arial" w:cs="Arial"/>
                <w:b/>
                <w:sz w:val="24"/>
                <w:szCs w:val="24"/>
                <w:u w:val="single"/>
              </w:rPr>
            </w:pPr>
          </w:p>
        </w:tc>
      </w:tr>
      <w:tr w:rsidR="001506C1" w:rsidRPr="00FA3F9C" w14:paraId="0866C84D" w14:textId="77777777" w:rsidTr="00E924F1">
        <w:tc>
          <w:tcPr>
            <w:tcW w:w="11016" w:type="dxa"/>
            <w:gridSpan w:val="2"/>
          </w:tcPr>
          <w:p w14:paraId="05FAFA73" w14:textId="77777777" w:rsidR="001506C1" w:rsidRPr="00FA3F9C" w:rsidRDefault="001506C1" w:rsidP="00E924F1">
            <w:pPr>
              <w:rPr>
                <w:rFonts w:ascii="Arial" w:hAnsi="Arial" w:cs="Arial"/>
                <w:sz w:val="24"/>
                <w:szCs w:val="24"/>
              </w:rPr>
            </w:pPr>
            <w:r w:rsidRPr="00FA3F9C">
              <w:rPr>
                <w:rFonts w:ascii="Arial" w:hAnsi="Arial" w:cs="Arial"/>
                <w:sz w:val="24"/>
                <w:szCs w:val="24"/>
              </w:rPr>
              <w:t>Review of fill history indicates compliance with therapy</w:t>
            </w:r>
          </w:p>
        </w:tc>
      </w:tr>
      <w:tr w:rsidR="001506C1" w:rsidRPr="00FA3F9C" w14:paraId="3D8927A2" w14:textId="77777777" w:rsidTr="00E924F1">
        <w:tc>
          <w:tcPr>
            <w:tcW w:w="11016" w:type="dxa"/>
            <w:gridSpan w:val="2"/>
          </w:tcPr>
          <w:p w14:paraId="6A1EE020" w14:textId="77777777" w:rsidR="001506C1" w:rsidRPr="00FA3F9C" w:rsidRDefault="001506C1" w:rsidP="00E924F1">
            <w:pPr>
              <w:rPr>
                <w:rFonts w:ascii="Arial" w:hAnsi="Arial" w:cs="Arial"/>
                <w:sz w:val="24"/>
                <w:szCs w:val="24"/>
              </w:rPr>
            </w:pPr>
            <w:r w:rsidRPr="00FA3F9C">
              <w:rPr>
                <w:rFonts w:ascii="Arial" w:hAnsi="Arial" w:cs="Arial"/>
                <w:sz w:val="24"/>
                <w:szCs w:val="24"/>
              </w:rPr>
              <w:t>No progression of disease</w:t>
            </w:r>
          </w:p>
        </w:tc>
      </w:tr>
      <w:tr w:rsidR="001506C1" w:rsidRPr="00FA3F9C" w14:paraId="23A85074" w14:textId="77777777" w:rsidTr="00E924F1">
        <w:tc>
          <w:tcPr>
            <w:tcW w:w="11016" w:type="dxa"/>
            <w:gridSpan w:val="2"/>
          </w:tcPr>
          <w:p w14:paraId="51C23CEE" w14:textId="77777777" w:rsidR="001506C1" w:rsidRPr="00FA3F9C" w:rsidRDefault="001506C1" w:rsidP="00E924F1">
            <w:pPr>
              <w:rPr>
                <w:rFonts w:ascii="Arial" w:hAnsi="Arial" w:cs="Arial"/>
                <w:sz w:val="24"/>
                <w:szCs w:val="24"/>
              </w:rPr>
            </w:pPr>
            <w:r w:rsidRPr="00FA3F9C">
              <w:rPr>
                <w:rFonts w:ascii="Arial" w:hAnsi="Arial" w:cs="Arial"/>
                <w:sz w:val="24"/>
                <w:szCs w:val="24"/>
              </w:rPr>
              <w:lastRenderedPageBreak/>
              <w:t>No unacceptable toxicity</w:t>
            </w:r>
          </w:p>
        </w:tc>
      </w:tr>
      <w:tr w:rsidR="001506C1" w:rsidRPr="00FA3F9C" w14:paraId="59429582" w14:textId="77777777" w:rsidTr="00E924F1">
        <w:tc>
          <w:tcPr>
            <w:tcW w:w="11016" w:type="dxa"/>
            <w:gridSpan w:val="2"/>
            <w:shd w:val="clear" w:color="auto" w:fill="D9D9D9" w:themeFill="background1" w:themeFillShade="D9"/>
          </w:tcPr>
          <w:p w14:paraId="0B232B64" w14:textId="77777777" w:rsidR="001506C1" w:rsidRPr="00FA3F9C" w:rsidRDefault="001506C1" w:rsidP="00F40CDD">
            <w:pPr>
              <w:rPr>
                <w:rFonts w:ascii="Arial" w:hAnsi="Arial" w:cs="Arial"/>
                <w:sz w:val="24"/>
                <w:szCs w:val="24"/>
              </w:rPr>
            </w:pPr>
            <w:r w:rsidRPr="00FA3F9C">
              <w:rPr>
                <w:rFonts w:ascii="Arial" w:hAnsi="Arial" w:cs="Arial"/>
                <w:sz w:val="24"/>
                <w:szCs w:val="24"/>
              </w:rPr>
              <w:t xml:space="preserve">If continuation criteria fulfilled, approve for 1 year </w:t>
            </w:r>
          </w:p>
          <w:p w14:paraId="5F44461C" w14:textId="77777777" w:rsidR="001506C1" w:rsidRPr="00FA3F9C" w:rsidRDefault="001506C1" w:rsidP="00F40CDD">
            <w:pPr>
              <w:rPr>
                <w:rFonts w:ascii="Arial" w:hAnsi="Arial" w:cs="Arial"/>
                <w:sz w:val="24"/>
                <w:szCs w:val="24"/>
              </w:rPr>
            </w:pPr>
            <w:r w:rsidRPr="00FA3F9C">
              <w:rPr>
                <w:rFonts w:ascii="Arial" w:hAnsi="Arial" w:cs="Arial"/>
                <w:sz w:val="24"/>
                <w:szCs w:val="24"/>
              </w:rPr>
              <w:t xml:space="preserve">Quantity limits: </w:t>
            </w:r>
            <w:proofErr w:type="gramStart"/>
            <w:r w:rsidRPr="00FA3F9C">
              <w:rPr>
                <w:rFonts w:ascii="Arial" w:hAnsi="Arial" w:cs="Arial"/>
                <w:sz w:val="24"/>
                <w:szCs w:val="24"/>
              </w:rPr>
              <w:t>28 day</w:t>
            </w:r>
            <w:proofErr w:type="gramEnd"/>
            <w:r w:rsidRPr="00FA3F9C">
              <w:rPr>
                <w:rFonts w:ascii="Arial" w:hAnsi="Arial" w:cs="Arial"/>
                <w:sz w:val="24"/>
                <w:szCs w:val="24"/>
              </w:rPr>
              <w:t xml:space="preserve"> supply max</w:t>
            </w:r>
          </w:p>
        </w:tc>
      </w:tr>
    </w:tbl>
    <w:p w14:paraId="6A6E874C" w14:textId="77777777" w:rsidR="001506C1" w:rsidRPr="00FA3F9C" w:rsidRDefault="001506C1" w:rsidP="00D43243">
      <w:pPr>
        <w:spacing w:after="0"/>
        <w:rPr>
          <w:rFonts w:ascii="Arial" w:hAnsi="Arial" w:cs="Arial"/>
          <w:sz w:val="24"/>
          <w:szCs w:val="24"/>
        </w:rPr>
      </w:pPr>
    </w:p>
    <w:p w14:paraId="2D495E1B" w14:textId="77777777" w:rsidR="001506C1" w:rsidRPr="00FA3F9C" w:rsidRDefault="001506C1" w:rsidP="00D43243">
      <w:pPr>
        <w:spacing w:after="0"/>
        <w:rPr>
          <w:rFonts w:ascii="Arial" w:hAnsi="Arial" w:cs="Arial"/>
          <w:sz w:val="24"/>
          <w:szCs w:val="24"/>
        </w:rPr>
      </w:pPr>
      <w:r w:rsidRPr="00FA3F9C">
        <w:rPr>
          <w:rFonts w:ascii="Arial" w:hAnsi="Arial" w:cs="Arial"/>
          <w:sz w:val="24"/>
          <w:szCs w:val="24"/>
          <w:highlight w:val="yellow"/>
        </w:rPr>
        <w:t>Note about EBRx coverage:</w:t>
      </w:r>
      <w:r w:rsidRPr="00FA3F9C">
        <w:rPr>
          <w:rFonts w:ascii="Arial" w:hAnsi="Arial" w:cs="Arial"/>
          <w:sz w:val="24"/>
          <w:szCs w:val="24"/>
        </w:rPr>
        <w:t xml:space="preserve"> EBRx prefers imatinib for treatment of all phases of CML. </w:t>
      </w:r>
      <w:proofErr w:type="spellStart"/>
      <w:r w:rsidRPr="00FA3F9C">
        <w:rPr>
          <w:rFonts w:ascii="Arial" w:hAnsi="Arial" w:cs="Arial"/>
          <w:sz w:val="24"/>
          <w:szCs w:val="24"/>
        </w:rPr>
        <w:t>Dasatinib</w:t>
      </w:r>
      <w:proofErr w:type="spellEnd"/>
      <w:r w:rsidRPr="00FA3F9C">
        <w:rPr>
          <w:rFonts w:ascii="Arial" w:hAnsi="Arial" w:cs="Arial"/>
          <w:sz w:val="24"/>
          <w:szCs w:val="24"/>
        </w:rPr>
        <w:t xml:space="preserve"> is preferred after imatinib therapy due to cost advantage and impending patent expiration. Bosutinib may be covered if the patient experiences resistance or intolerance to imatinib and </w:t>
      </w:r>
      <w:proofErr w:type="spellStart"/>
      <w:r w:rsidRPr="00FA3F9C">
        <w:rPr>
          <w:rFonts w:ascii="Arial" w:hAnsi="Arial" w:cs="Arial"/>
          <w:sz w:val="24"/>
          <w:szCs w:val="24"/>
        </w:rPr>
        <w:t>dasatinib</w:t>
      </w:r>
      <w:proofErr w:type="spellEnd"/>
      <w:r w:rsidRPr="00FA3F9C">
        <w:rPr>
          <w:rFonts w:ascii="Arial" w:hAnsi="Arial" w:cs="Arial"/>
          <w:sz w:val="24"/>
          <w:szCs w:val="24"/>
        </w:rPr>
        <w:t xml:space="preserve">. NCCN guidelines suggest using a non-imatinib agent for first line therapy for intermediate/high risk patients (risk determined by </w:t>
      </w:r>
      <w:proofErr w:type="spellStart"/>
      <w:r w:rsidRPr="00FA3F9C">
        <w:rPr>
          <w:rFonts w:ascii="Arial" w:hAnsi="Arial" w:cs="Arial"/>
          <w:sz w:val="24"/>
          <w:szCs w:val="24"/>
        </w:rPr>
        <w:t>Sokal</w:t>
      </w:r>
      <w:proofErr w:type="spellEnd"/>
      <w:r w:rsidRPr="00FA3F9C">
        <w:rPr>
          <w:rFonts w:ascii="Arial" w:hAnsi="Arial" w:cs="Arial"/>
          <w:sz w:val="24"/>
          <w:szCs w:val="24"/>
        </w:rPr>
        <w:t xml:space="preserve"> or </w:t>
      </w:r>
      <w:proofErr w:type="spellStart"/>
      <w:r w:rsidRPr="00FA3F9C">
        <w:rPr>
          <w:rFonts w:ascii="Arial" w:hAnsi="Arial" w:cs="Arial"/>
          <w:sz w:val="24"/>
          <w:szCs w:val="24"/>
        </w:rPr>
        <w:t>Hasford</w:t>
      </w:r>
      <w:proofErr w:type="spellEnd"/>
      <w:r w:rsidRPr="00FA3F9C">
        <w:rPr>
          <w:rFonts w:ascii="Arial" w:hAnsi="Arial" w:cs="Arial"/>
          <w:sz w:val="24"/>
          <w:szCs w:val="24"/>
        </w:rPr>
        <w:t xml:space="preserve"> methods) based on quicker time to response.  Although quicker time to response has been associated with improved outcomes, non-imatinib agents have not been shown to improve overall survival compared to imatinib in the first line setting. Therefore, EBRx recommends that non-imatinib agents be denied access for first line use unless there is documentation of resistance or intolerance to a trial of imatinib.</w:t>
      </w:r>
    </w:p>
    <w:p w14:paraId="72ABF012" w14:textId="77777777" w:rsidR="001506C1" w:rsidRPr="00FA3F9C" w:rsidRDefault="001506C1" w:rsidP="006F623F">
      <w:pPr>
        <w:spacing w:after="0"/>
        <w:rPr>
          <w:rFonts w:ascii="Arial" w:hAnsi="Arial" w:cs="Arial"/>
          <w:sz w:val="24"/>
          <w:szCs w:val="24"/>
        </w:rPr>
      </w:pPr>
    </w:p>
    <w:p w14:paraId="4925E091" w14:textId="77777777" w:rsidR="001506C1" w:rsidRPr="00FA3F9C" w:rsidRDefault="001506C1" w:rsidP="006F623F">
      <w:pPr>
        <w:spacing w:after="0"/>
        <w:rPr>
          <w:rFonts w:ascii="Arial" w:hAnsi="Arial" w:cs="Arial"/>
          <w:b/>
          <w:sz w:val="24"/>
          <w:szCs w:val="24"/>
          <w:u w:val="single"/>
        </w:rPr>
      </w:pPr>
    </w:p>
    <w:tbl>
      <w:tblPr>
        <w:tblStyle w:val="TableGrid"/>
        <w:tblW w:w="0" w:type="auto"/>
        <w:shd w:val="clear" w:color="auto" w:fill="BFBFBF" w:themeFill="background1" w:themeFillShade="BF"/>
        <w:tblLook w:val="04A0" w:firstRow="1" w:lastRow="0" w:firstColumn="1" w:lastColumn="0" w:noHBand="0" w:noVBand="1"/>
      </w:tblPr>
      <w:tblGrid>
        <w:gridCol w:w="10998"/>
      </w:tblGrid>
      <w:tr w:rsidR="001506C1" w:rsidRPr="00FA3F9C" w14:paraId="14E46824" w14:textId="77777777" w:rsidTr="00D82B6E">
        <w:tc>
          <w:tcPr>
            <w:tcW w:w="10998" w:type="dxa"/>
            <w:shd w:val="clear" w:color="auto" w:fill="BFBFBF" w:themeFill="background1" w:themeFillShade="BF"/>
          </w:tcPr>
          <w:p w14:paraId="4D250898" w14:textId="77777777" w:rsidR="001506C1" w:rsidRPr="00FA3F9C" w:rsidRDefault="001506C1" w:rsidP="00D82B6E">
            <w:pPr>
              <w:rPr>
                <w:rFonts w:ascii="Arial" w:hAnsi="Arial" w:cs="Arial"/>
                <w:sz w:val="24"/>
                <w:szCs w:val="24"/>
              </w:rPr>
            </w:pPr>
            <w:r w:rsidRPr="00FA3F9C">
              <w:rPr>
                <w:rFonts w:ascii="Arial" w:hAnsi="Arial" w:cs="Arial"/>
                <w:sz w:val="24"/>
                <w:szCs w:val="24"/>
              </w:rPr>
              <w:t xml:space="preserve">Notes: </w:t>
            </w:r>
          </w:p>
          <w:p w14:paraId="20C79AF8" w14:textId="77777777" w:rsidR="001506C1" w:rsidRPr="00FA3F9C" w:rsidRDefault="001506C1" w:rsidP="00D82B6E">
            <w:pPr>
              <w:rPr>
                <w:rFonts w:ascii="Arial" w:hAnsi="Arial" w:cs="Arial"/>
                <w:sz w:val="24"/>
                <w:szCs w:val="24"/>
              </w:rPr>
            </w:pPr>
            <w:r w:rsidRPr="00FA3F9C">
              <w:rPr>
                <w:rFonts w:ascii="Arial" w:hAnsi="Arial" w:cs="Arial"/>
                <w:sz w:val="24"/>
                <w:szCs w:val="24"/>
              </w:rPr>
              <w:t>General CML information:</w:t>
            </w:r>
          </w:p>
          <w:p w14:paraId="2490D737" w14:textId="77777777" w:rsidR="001506C1" w:rsidRPr="00FA3F9C" w:rsidRDefault="001506C1" w:rsidP="001506C1">
            <w:pPr>
              <w:pStyle w:val="ListParagraph"/>
              <w:numPr>
                <w:ilvl w:val="0"/>
                <w:numId w:val="24"/>
              </w:numPr>
              <w:rPr>
                <w:rFonts w:ascii="Arial" w:hAnsi="Arial" w:cs="Arial"/>
                <w:sz w:val="24"/>
                <w:szCs w:val="24"/>
              </w:rPr>
            </w:pPr>
            <w:r w:rsidRPr="00FA3F9C">
              <w:rPr>
                <w:rFonts w:ascii="Arial" w:hAnsi="Arial" w:cs="Arial"/>
                <w:sz w:val="24"/>
                <w:szCs w:val="24"/>
              </w:rPr>
              <w:t>Cytogenetic monitoring: Chromosomes are examined directly for BCR-ABL chromosomal translocation. Number of cells in metaphase are examined. The number of metaphase cells that contain BCR-ABL are divided by total number of metaphase cells to get a percentage. Test requires bone marrow aspirate.</w:t>
            </w:r>
          </w:p>
          <w:p w14:paraId="639D1885" w14:textId="77777777" w:rsidR="001506C1" w:rsidRPr="00FA3F9C" w:rsidRDefault="001506C1" w:rsidP="001506C1">
            <w:pPr>
              <w:pStyle w:val="ListParagraph"/>
              <w:numPr>
                <w:ilvl w:val="0"/>
                <w:numId w:val="24"/>
              </w:numPr>
              <w:rPr>
                <w:rFonts w:ascii="Arial" w:hAnsi="Arial" w:cs="Arial"/>
                <w:sz w:val="24"/>
                <w:szCs w:val="24"/>
              </w:rPr>
            </w:pPr>
            <w:r w:rsidRPr="00FA3F9C">
              <w:rPr>
                <w:rFonts w:ascii="Arial" w:hAnsi="Arial" w:cs="Arial"/>
                <w:sz w:val="24"/>
                <w:szCs w:val="24"/>
              </w:rPr>
              <w:t>Molecular monitoring: Transcripts for BCR-ABL mRNA are quantified via real time PCR. “IS” denotes that the result is obtained via a standardized method. Test requires peripheral blood sample.</w:t>
            </w:r>
          </w:p>
          <w:p w14:paraId="1CC2815B" w14:textId="77777777" w:rsidR="001506C1" w:rsidRPr="00FA3F9C" w:rsidRDefault="001506C1" w:rsidP="001506C1">
            <w:pPr>
              <w:pStyle w:val="ListParagraph"/>
              <w:numPr>
                <w:ilvl w:val="0"/>
                <w:numId w:val="24"/>
              </w:numPr>
              <w:rPr>
                <w:rFonts w:ascii="Arial" w:hAnsi="Arial" w:cs="Arial"/>
                <w:sz w:val="24"/>
                <w:szCs w:val="24"/>
              </w:rPr>
            </w:pPr>
            <w:r w:rsidRPr="00FA3F9C">
              <w:rPr>
                <w:rFonts w:ascii="Arial" w:hAnsi="Arial" w:cs="Arial"/>
                <w:sz w:val="24"/>
                <w:szCs w:val="24"/>
              </w:rPr>
              <w:t xml:space="preserve">Cytogenetic and molecular monitoring are both valid. Since cytogenetic monitoring requires bone marrow biopsy, molecular monitoring may be preferred. </w:t>
            </w:r>
          </w:p>
          <w:p w14:paraId="6CE94E22" w14:textId="77777777" w:rsidR="001506C1" w:rsidRPr="00FA3F9C" w:rsidRDefault="001506C1" w:rsidP="001506C1">
            <w:pPr>
              <w:pStyle w:val="ListParagraph"/>
              <w:numPr>
                <w:ilvl w:val="0"/>
                <w:numId w:val="24"/>
              </w:numPr>
              <w:rPr>
                <w:rFonts w:ascii="Arial" w:hAnsi="Arial" w:cs="Arial"/>
                <w:sz w:val="24"/>
                <w:szCs w:val="24"/>
              </w:rPr>
            </w:pPr>
            <w:r w:rsidRPr="00FA3F9C">
              <w:rPr>
                <w:rFonts w:ascii="Arial" w:hAnsi="Arial" w:cs="Arial"/>
                <w:sz w:val="24"/>
                <w:szCs w:val="24"/>
              </w:rPr>
              <w:t>Analysis of BCR-ABL mutations is typically not done until failure of first-line therapy for chronic phase CML but may be checked sooner in advanced phase. If a mutation is documented that predicts resistance to imatinib or other therapy, an alternative agent should be used. NCCN has guide for treatment options according to which mutation is identified.</w:t>
            </w:r>
          </w:p>
          <w:p w14:paraId="4D675288" w14:textId="77777777" w:rsidR="001506C1" w:rsidRPr="00FA3F9C" w:rsidRDefault="001506C1" w:rsidP="00990E77">
            <w:pPr>
              <w:rPr>
                <w:rFonts w:ascii="Arial" w:hAnsi="Arial" w:cs="Arial"/>
                <w:sz w:val="24"/>
                <w:szCs w:val="24"/>
              </w:rPr>
            </w:pPr>
          </w:p>
          <w:tbl>
            <w:tblPr>
              <w:tblStyle w:val="TableGrid"/>
              <w:tblW w:w="0" w:type="auto"/>
              <w:tblInd w:w="720" w:type="dxa"/>
              <w:tblLook w:val="04A0" w:firstRow="1" w:lastRow="0" w:firstColumn="1" w:lastColumn="0" w:noHBand="0" w:noVBand="1"/>
            </w:tblPr>
            <w:tblGrid>
              <w:gridCol w:w="3427"/>
              <w:gridCol w:w="6625"/>
            </w:tblGrid>
            <w:tr w:rsidR="001506C1" w:rsidRPr="00FA3F9C" w14:paraId="1FBF5D22" w14:textId="77777777" w:rsidTr="00291442">
              <w:tc>
                <w:tcPr>
                  <w:tcW w:w="10052" w:type="dxa"/>
                  <w:gridSpan w:val="2"/>
                </w:tcPr>
                <w:p w14:paraId="0FD5FFB4" w14:textId="77777777" w:rsidR="001506C1" w:rsidRPr="00FA3F9C" w:rsidRDefault="001506C1" w:rsidP="00990E77">
                  <w:pPr>
                    <w:pStyle w:val="ListParagraph"/>
                    <w:ind w:left="0"/>
                    <w:rPr>
                      <w:rFonts w:ascii="Arial" w:hAnsi="Arial" w:cs="Arial"/>
                      <w:b/>
                      <w:sz w:val="24"/>
                      <w:szCs w:val="24"/>
                    </w:rPr>
                  </w:pPr>
                  <w:r w:rsidRPr="00FA3F9C">
                    <w:rPr>
                      <w:rFonts w:ascii="Arial" w:hAnsi="Arial" w:cs="Arial"/>
                      <w:b/>
                      <w:sz w:val="24"/>
                      <w:szCs w:val="24"/>
                    </w:rPr>
                    <w:t>Treatment recommendations based on BCR-ABL1 mutation profile (NCCN CML version 2.2022)</w:t>
                  </w:r>
                </w:p>
              </w:tc>
            </w:tr>
            <w:tr w:rsidR="001506C1" w:rsidRPr="00FA3F9C" w14:paraId="6F0CAED3" w14:textId="77777777" w:rsidTr="00291442">
              <w:tc>
                <w:tcPr>
                  <w:tcW w:w="3427" w:type="dxa"/>
                </w:tcPr>
                <w:p w14:paraId="0B64926F" w14:textId="77777777" w:rsidR="001506C1" w:rsidRPr="00FA3F9C" w:rsidRDefault="001506C1" w:rsidP="00990E77">
                  <w:pPr>
                    <w:pStyle w:val="ListParagraph"/>
                    <w:ind w:left="0"/>
                    <w:rPr>
                      <w:rFonts w:ascii="Arial" w:hAnsi="Arial" w:cs="Arial"/>
                      <w:sz w:val="24"/>
                      <w:szCs w:val="24"/>
                      <w:u w:val="single"/>
                    </w:rPr>
                  </w:pPr>
                  <w:r w:rsidRPr="00FA3F9C">
                    <w:rPr>
                      <w:rFonts w:ascii="Arial" w:hAnsi="Arial" w:cs="Arial"/>
                      <w:sz w:val="24"/>
                      <w:szCs w:val="24"/>
                      <w:u w:val="single"/>
                    </w:rPr>
                    <w:t>Contraindicated Mutations</w:t>
                  </w:r>
                </w:p>
              </w:tc>
              <w:tc>
                <w:tcPr>
                  <w:tcW w:w="6625" w:type="dxa"/>
                </w:tcPr>
                <w:p w14:paraId="2C525ED4" w14:textId="77777777" w:rsidR="001506C1" w:rsidRPr="00FA3F9C" w:rsidRDefault="001506C1" w:rsidP="00990E77">
                  <w:pPr>
                    <w:pStyle w:val="ListParagraph"/>
                    <w:ind w:left="0"/>
                    <w:rPr>
                      <w:rFonts w:ascii="Arial" w:hAnsi="Arial" w:cs="Arial"/>
                      <w:sz w:val="24"/>
                      <w:szCs w:val="24"/>
                      <w:u w:val="single"/>
                    </w:rPr>
                  </w:pPr>
                  <w:r w:rsidRPr="00FA3F9C">
                    <w:rPr>
                      <w:rFonts w:ascii="Arial" w:hAnsi="Arial" w:cs="Arial"/>
                      <w:sz w:val="24"/>
                      <w:szCs w:val="24"/>
                      <w:u w:val="single"/>
                    </w:rPr>
                    <w:t>Drug</w:t>
                  </w:r>
                </w:p>
              </w:tc>
            </w:tr>
            <w:tr w:rsidR="001506C1" w:rsidRPr="00FA3F9C" w14:paraId="36151044" w14:textId="77777777" w:rsidTr="00291442">
              <w:tc>
                <w:tcPr>
                  <w:tcW w:w="3427" w:type="dxa"/>
                </w:tcPr>
                <w:p w14:paraId="549BBD40" w14:textId="77777777" w:rsidR="001506C1" w:rsidRPr="00FA3F9C" w:rsidRDefault="001506C1" w:rsidP="00990E77">
                  <w:pPr>
                    <w:pStyle w:val="ListParagraph"/>
                    <w:ind w:left="0"/>
                    <w:rPr>
                      <w:rFonts w:ascii="Arial" w:hAnsi="Arial" w:cs="Arial"/>
                      <w:sz w:val="24"/>
                      <w:szCs w:val="24"/>
                    </w:rPr>
                  </w:pPr>
                  <w:r w:rsidRPr="00FA3F9C">
                    <w:rPr>
                      <w:rFonts w:ascii="Arial" w:hAnsi="Arial" w:cs="Arial"/>
                      <w:sz w:val="24"/>
                      <w:szCs w:val="24"/>
                    </w:rPr>
                    <w:lastRenderedPageBreak/>
                    <w:t>T315I/A, F317L/V/I/C, V299L</w:t>
                  </w:r>
                </w:p>
              </w:tc>
              <w:tc>
                <w:tcPr>
                  <w:tcW w:w="6625" w:type="dxa"/>
                </w:tcPr>
                <w:p w14:paraId="75B82FF7" w14:textId="77777777" w:rsidR="001506C1" w:rsidRPr="00FA3F9C" w:rsidRDefault="001506C1" w:rsidP="00990E77">
                  <w:pPr>
                    <w:pStyle w:val="ListParagraph"/>
                    <w:ind w:left="0"/>
                    <w:rPr>
                      <w:rFonts w:ascii="Arial" w:hAnsi="Arial" w:cs="Arial"/>
                      <w:sz w:val="24"/>
                      <w:szCs w:val="24"/>
                    </w:rPr>
                  </w:pPr>
                  <w:proofErr w:type="spellStart"/>
                  <w:r w:rsidRPr="00FA3F9C">
                    <w:rPr>
                      <w:rFonts w:ascii="Arial" w:hAnsi="Arial" w:cs="Arial"/>
                      <w:sz w:val="24"/>
                      <w:szCs w:val="24"/>
                    </w:rPr>
                    <w:t>Dasatinib</w:t>
                  </w:r>
                  <w:proofErr w:type="spellEnd"/>
                </w:p>
              </w:tc>
            </w:tr>
            <w:tr w:rsidR="001506C1" w:rsidRPr="00FA3F9C" w14:paraId="30835801" w14:textId="77777777" w:rsidTr="00291442">
              <w:tc>
                <w:tcPr>
                  <w:tcW w:w="3427" w:type="dxa"/>
                </w:tcPr>
                <w:p w14:paraId="611DCC27" w14:textId="77777777" w:rsidR="001506C1" w:rsidRPr="00FA3F9C" w:rsidRDefault="001506C1" w:rsidP="00990E77">
                  <w:pPr>
                    <w:pStyle w:val="ListParagraph"/>
                    <w:ind w:left="0"/>
                    <w:rPr>
                      <w:rFonts w:ascii="Arial" w:hAnsi="Arial" w:cs="Arial"/>
                      <w:sz w:val="24"/>
                      <w:szCs w:val="24"/>
                    </w:rPr>
                  </w:pPr>
                  <w:r w:rsidRPr="00FA3F9C">
                    <w:rPr>
                      <w:rFonts w:ascii="Arial" w:hAnsi="Arial" w:cs="Arial"/>
                      <w:sz w:val="24"/>
                      <w:szCs w:val="24"/>
                    </w:rPr>
                    <w:t>T315I, Y253H, E255K/V, F359V/C/I</w:t>
                  </w:r>
                </w:p>
              </w:tc>
              <w:tc>
                <w:tcPr>
                  <w:tcW w:w="6625" w:type="dxa"/>
                </w:tcPr>
                <w:p w14:paraId="4F2DF0FF" w14:textId="77777777" w:rsidR="001506C1" w:rsidRPr="00FA3F9C" w:rsidRDefault="001506C1" w:rsidP="00990E77">
                  <w:pPr>
                    <w:pStyle w:val="ListParagraph"/>
                    <w:ind w:left="0"/>
                    <w:rPr>
                      <w:rFonts w:ascii="Arial" w:hAnsi="Arial" w:cs="Arial"/>
                      <w:sz w:val="24"/>
                      <w:szCs w:val="24"/>
                    </w:rPr>
                  </w:pPr>
                  <w:r w:rsidRPr="00FA3F9C">
                    <w:rPr>
                      <w:rFonts w:ascii="Arial" w:hAnsi="Arial" w:cs="Arial"/>
                      <w:sz w:val="24"/>
                      <w:szCs w:val="24"/>
                    </w:rPr>
                    <w:t>Nilotinib</w:t>
                  </w:r>
                </w:p>
              </w:tc>
            </w:tr>
            <w:tr w:rsidR="001506C1" w:rsidRPr="00FA3F9C" w14:paraId="3B452DA7" w14:textId="77777777" w:rsidTr="00291442">
              <w:tc>
                <w:tcPr>
                  <w:tcW w:w="3427" w:type="dxa"/>
                </w:tcPr>
                <w:p w14:paraId="39D3F162" w14:textId="77777777" w:rsidR="001506C1" w:rsidRPr="00FA3F9C" w:rsidRDefault="001506C1" w:rsidP="00990E77">
                  <w:pPr>
                    <w:pStyle w:val="ListParagraph"/>
                    <w:ind w:left="0"/>
                    <w:rPr>
                      <w:rFonts w:ascii="Arial" w:hAnsi="Arial" w:cs="Arial"/>
                      <w:sz w:val="24"/>
                      <w:szCs w:val="24"/>
                    </w:rPr>
                  </w:pPr>
                  <w:r w:rsidRPr="00FA3F9C">
                    <w:rPr>
                      <w:rFonts w:ascii="Arial" w:hAnsi="Arial" w:cs="Arial"/>
                      <w:sz w:val="24"/>
                      <w:szCs w:val="24"/>
                    </w:rPr>
                    <w:t>T315I, V299L, G250E, F317L</w:t>
                  </w:r>
                </w:p>
              </w:tc>
              <w:tc>
                <w:tcPr>
                  <w:tcW w:w="6625" w:type="dxa"/>
                </w:tcPr>
                <w:p w14:paraId="12E02056" w14:textId="77777777" w:rsidR="001506C1" w:rsidRPr="00FA3F9C" w:rsidRDefault="001506C1" w:rsidP="00990E77">
                  <w:pPr>
                    <w:pStyle w:val="ListParagraph"/>
                    <w:ind w:left="0"/>
                    <w:rPr>
                      <w:rFonts w:ascii="Arial" w:hAnsi="Arial" w:cs="Arial"/>
                      <w:sz w:val="24"/>
                      <w:szCs w:val="24"/>
                    </w:rPr>
                  </w:pPr>
                  <w:r w:rsidRPr="00FA3F9C">
                    <w:rPr>
                      <w:rFonts w:ascii="Arial" w:hAnsi="Arial" w:cs="Arial"/>
                      <w:sz w:val="24"/>
                      <w:szCs w:val="24"/>
                    </w:rPr>
                    <w:t>Bosutinib</w:t>
                  </w:r>
                </w:p>
              </w:tc>
            </w:tr>
            <w:tr w:rsidR="001506C1" w:rsidRPr="00FA3F9C" w14:paraId="3BDD24A9" w14:textId="77777777" w:rsidTr="00291442">
              <w:tc>
                <w:tcPr>
                  <w:tcW w:w="3427" w:type="dxa"/>
                </w:tcPr>
                <w:p w14:paraId="67F53229" w14:textId="77777777" w:rsidR="001506C1" w:rsidRPr="00FA3F9C" w:rsidRDefault="001506C1" w:rsidP="00990E77">
                  <w:pPr>
                    <w:pStyle w:val="ListParagraph"/>
                    <w:ind w:left="0"/>
                    <w:rPr>
                      <w:rFonts w:ascii="Arial" w:hAnsi="Arial" w:cs="Arial"/>
                      <w:sz w:val="24"/>
                      <w:szCs w:val="24"/>
                    </w:rPr>
                  </w:pPr>
                  <w:r w:rsidRPr="00FA3F9C">
                    <w:rPr>
                      <w:rFonts w:ascii="Arial" w:hAnsi="Arial" w:cs="Arial"/>
                      <w:sz w:val="24"/>
                      <w:szCs w:val="24"/>
                    </w:rPr>
                    <w:t>None</w:t>
                  </w:r>
                </w:p>
              </w:tc>
              <w:tc>
                <w:tcPr>
                  <w:tcW w:w="6625" w:type="dxa"/>
                </w:tcPr>
                <w:p w14:paraId="44924E93" w14:textId="77777777" w:rsidR="001506C1" w:rsidRPr="00FA3F9C" w:rsidRDefault="001506C1" w:rsidP="00990E77">
                  <w:pPr>
                    <w:pStyle w:val="ListParagraph"/>
                    <w:ind w:left="0"/>
                    <w:rPr>
                      <w:rFonts w:ascii="Arial" w:hAnsi="Arial" w:cs="Arial"/>
                      <w:sz w:val="24"/>
                      <w:szCs w:val="24"/>
                    </w:rPr>
                  </w:pPr>
                  <w:proofErr w:type="spellStart"/>
                  <w:r w:rsidRPr="00FA3F9C">
                    <w:rPr>
                      <w:rFonts w:ascii="Arial" w:hAnsi="Arial" w:cs="Arial"/>
                      <w:sz w:val="24"/>
                      <w:szCs w:val="24"/>
                    </w:rPr>
                    <w:t>Asciminib</w:t>
                  </w:r>
                  <w:proofErr w:type="spellEnd"/>
                  <w:r w:rsidRPr="00FA3F9C">
                    <w:rPr>
                      <w:rFonts w:ascii="Arial" w:hAnsi="Arial" w:cs="Arial"/>
                      <w:sz w:val="24"/>
                      <w:szCs w:val="24"/>
                    </w:rPr>
                    <w:t>, Ponatinib, Omacetaxine, stem cell transplant, clinical trial</w:t>
                  </w:r>
                </w:p>
              </w:tc>
            </w:tr>
          </w:tbl>
          <w:p w14:paraId="2DD43745" w14:textId="77777777" w:rsidR="001506C1" w:rsidRPr="00FA3F9C" w:rsidRDefault="001506C1" w:rsidP="00990E77">
            <w:pPr>
              <w:rPr>
                <w:rFonts w:ascii="Arial" w:hAnsi="Arial" w:cs="Arial"/>
                <w:sz w:val="24"/>
                <w:szCs w:val="24"/>
              </w:rPr>
            </w:pPr>
          </w:p>
          <w:p w14:paraId="41591DAB" w14:textId="77777777" w:rsidR="001506C1" w:rsidRPr="00FA3F9C" w:rsidRDefault="001506C1" w:rsidP="006664AF">
            <w:pPr>
              <w:rPr>
                <w:rFonts w:ascii="Arial" w:hAnsi="Arial" w:cs="Arial"/>
                <w:sz w:val="24"/>
                <w:szCs w:val="24"/>
              </w:rPr>
            </w:pPr>
          </w:p>
          <w:p w14:paraId="12D40D87" w14:textId="77777777" w:rsidR="001506C1" w:rsidRPr="00FA3F9C" w:rsidRDefault="001506C1" w:rsidP="006664AF">
            <w:pPr>
              <w:rPr>
                <w:rFonts w:ascii="Arial" w:hAnsi="Arial" w:cs="Arial"/>
                <w:sz w:val="24"/>
                <w:szCs w:val="24"/>
              </w:rPr>
            </w:pPr>
            <w:r w:rsidRPr="00FA3F9C">
              <w:rPr>
                <w:rFonts w:ascii="Arial" w:hAnsi="Arial" w:cs="Arial"/>
                <w:sz w:val="24"/>
                <w:szCs w:val="24"/>
              </w:rPr>
              <w:t>Notes regarding EBRx criteria:</w:t>
            </w:r>
          </w:p>
          <w:p w14:paraId="6C17B6CD" w14:textId="77777777" w:rsidR="001506C1" w:rsidRPr="00FA3F9C" w:rsidRDefault="001506C1" w:rsidP="001506C1">
            <w:pPr>
              <w:pStyle w:val="ListParagraph"/>
              <w:numPr>
                <w:ilvl w:val="0"/>
                <w:numId w:val="25"/>
              </w:numPr>
              <w:rPr>
                <w:rFonts w:ascii="Arial" w:hAnsi="Arial" w:cs="Arial"/>
                <w:sz w:val="24"/>
                <w:szCs w:val="24"/>
              </w:rPr>
            </w:pPr>
            <w:r w:rsidRPr="00FA3F9C">
              <w:rPr>
                <w:rFonts w:ascii="Arial" w:hAnsi="Arial" w:cs="Arial"/>
                <w:sz w:val="24"/>
                <w:szCs w:val="24"/>
              </w:rPr>
              <w:t xml:space="preserve">Above criteria for resistance/failure of imatinib were obtained from NCCN guidelines Early Treatment Response Milestones page CML-3 in version 1.2019 and guideline published by European </w:t>
            </w:r>
            <w:proofErr w:type="spellStart"/>
            <w:r w:rsidRPr="00FA3F9C">
              <w:rPr>
                <w:rFonts w:ascii="Arial" w:hAnsi="Arial" w:cs="Arial"/>
                <w:sz w:val="24"/>
                <w:szCs w:val="24"/>
              </w:rPr>
              <w:t>LeukemiaNet</w:t>
            </w:r>
            <w:proofErr w:type="spellEnd"/>
            <w:r w:rsidRPr="00FA3F9C">
              <w:rPr>
                <w:rFonts w:ascii="Arial" w:hAnsi="Arial" w:cs="Arial"/>
                <w:sz w:val="24"/>
                <w:szCs w:val="24"/>
              </w:rPr>
              <w:t xml:space="preserve"> (ELN).</w:t>
            </w:r>
            <w:r w:rsidRPr="00FA3F9C">
              <w:rPr>
                <w:rFonts w:ascii="Arial" w:hAnsi="Arial" w:cs="Arial"/>
                <w:sz w:val="24"/>
                <w:szCs w:val="24"/>
                <w:vertAlign w:val="superscript"/>
              </w:rPr>
              <w:t>1</w:t>
            </w:r>
            <w:r w:rsidRPr="00FA3F9C">
              <w:rPr>
                <w:rFonts w:ascii="Arial" w:hAnsi="Arial" w:cs="Arial"/>
                <w:sz w:val="24"/>
                <w:szCs w:val="24"/>
              </w:rPr>
              <w:t xml:space="preserve"> ELN proposes more restrictive resistance/failure definitions for second line therapy, however, NCCN has no specific guidelines.  Therefore, will leave resistance/failure definitions as listed above.</w:t>
            </w:r>
          </w:p>
          <w:p w14:paraId="64CCD09B" w14:textId="77777777" w:rsidR="001506C1" w:rsidRPr="00FA3F9C" w:rsidRDefault="001506C1" w:rsidP="001506C1">
            <w:pPr>
              <w:pStyle w:val="ListParagraph"/>
              <w:numPr>
                <w:ilvl w:val="0"/>
                <w:numId w:val="25"/>
              </w:numPr>
              <w:rPr>
                <w:rFonts w:ascii="Arial" w:hAnsi="Arial" w:cs="Arial"/>
                <w:sz w:val="24"/>
                <w:szCs w:val="24"/>
              </w:rPr>
            </w:pPr>
            <w:r w:rsidRPr="00FA3F9C">
              <w:rPr>
                <w:rFonts w:ascii="Arial" w:hAnsi="Arial" w:cs="Arial"/>
                <w:sz w:val="24"/>
                <w:szCs w:val="24"/>
              </w:rPr>
              <w:t>Bosutinib in the first line setting was shown to induce quicker responses as compared to imatinib. Though quicker responses have been associated with improved outcomes, no overall survival benefit has been demonstrated in the primary study.</w:t>
            </w:r>
            <w:r w:rsidRPr="00FA3F9C">
              <w:rPr>
                <w:rFonts w:ascii="Arial" w:hAnsi="Arial" w:cs="Arial"/>
                <w:sz w:val="24"/>
                <w:szCs w:val="24"/>
                <w:vertAlign w:val="superscript"/>
              </w:rPr>
              <w:t>2</w:t>
            </w:r>
            <w:r w:rsidRPr="00FA3F9C">
              <w:rPr>
                <w:rFonts w:ascii="Arial" w:hAnsi="Arial" w:cs="Arial"/>
                <w:sz w:val="24"/>
                <w:szCs w:val="24"/>
              </w:rPr>
              <w:t xml:space="preserve"> Imatinib will be preferred until more data is available.</w:t>
            </w:r>
          </w:p>
          <w:p w14:paraId="206BA726" w14:textId="77777777" w:rsidR="001506C1" w:rsidRPr="00FA3F9C" w:rsidRDefault="001506C1" w:rsidP="001506C1">
            <w:pPr>
              <w:pStyle w:val="ListParagraph"/>
              <w:numPr>
                <w:ilvl w:val="0"/>
                <w:numId w:val="25"/>
              </w:numPr>
              <w:rPr>
                <w:rFonts w:ascii="Arial" w:hAnsi="Arial" w:cs="Arial"/>
                <w:sz w:val="24"/>
                <w:szCs w:val="24"/>
              </w:rPr>
            </w:pPr>
            <w:r w:rsidRPr="00FA3F9C">
              <w:rPr>
                <w:rFonts w:ascii="Arial" w:hAnsi="Arial" w:cs="Arial"/>
                <w:sz w:val="24"/>
                <w:szCs w:val="24"/>
              </w:rPr>
              <w:t>After failure of first line therapy, there are no randomized trials showing one TKI to be superior to another.</w:t>
            </w:r>
          </w:p>
          <w:p w14:paraId="5CF8124D" w14:textId="77777777" w:rsidR="001506C1" w:rsidRPr="00FA3F9C" w:rsidRDefault="001506C1" w:rsidP="007A6D5E">
            <w:pPr>
              <w:pStyle w:val="ListParagraph"/>
              <w:rPr>
                <w:rFonts w:ascii="Arial" w:hAnsi="Arial" w:cs="Arial"/>
                <w:sz w:val="24"/>
                <w:szCs w:val="24"/>
              </w:rPr>
            </w:pPr>
          </w:p>
          <w:p w14:paraId="33E30856" w14:textId="77777777" w:rsidR="001506C1" w:rsidRPr="00FA3F9C" w:rsidRDefault="001506C1" w:rsidP="00CF0CC2">
            <w:pPr>
              <w:rPr>
                <w:rFonts w:ascii="Arial" w:hAnsi="Arial" w:cs="Arial"/>
                <w:sz w:val="24"/>
                <w:szCs w:val="24"/>
              </w:rPr>
            </w:pPr>
            <w:r w:rsidRPr="00FA3F9C">
              <w:rPr>
                <w:rFonts w:ascii="Arial" w:hAnsi="Arial" w:cs="Arial"/>
                <w:sz w:val="24"/>
                <w:szCs w:val="24"/>
              </w:rPr>
              <w:t>Adult bosutinib dosing:</w:t>
            </w:r>
          </w:p>
          <w:p w14:paraId="27C3A874" w14:textId="77777777" w:rsidR="001506C1" w:rsidRPr="00FA3F9C" w:rsidRDefault="001506C1" w:rsidP="00CF0CC2">
            <w:pPr>
              <w:rPr>
                <w:rFonts w:ascii="Arial" w:hAnsi="Arial" w:cs="Arial"/>
                <w:sz w:val="24"/>
                <w:szCs w:val="24"/>
              </w:rPr>
            </w:pPr>
            <w:r w:rsidRPr="00FA3F9C">
              <w:rPr>
                <w:rFonts w:ascii="Arial" w:hAnsi="Arial" w:cs="Arial"/>
                <w:sz w:val="24"/>
                <w:szCs w:val="24"/>
              </w:rPr>
              <w:t xml:space="preserve">First-line treatment of CML: 400 mg PO daily  </w:t>
            </w:r>
          </w:p>
          <w:p w14:paraId="1822427C" w14:textId="77777777" w:rsidR="001506C1" w:rsidRPr="00FA3F9C" w:rsidRDefault="001506C1" w:rsidP="00CF0CC2">
            <w:pPr>
              <w:rPr>
                <w:rFonts w:ascii="Arial" w:hAnsi="Arial" w:cs="Arial"/>
                <w:sz w:val="24"/>
                <w:szCs w:val="24"/>
              </w:rPr>
            </w:pPr>
            <w:r w:rsidRPr="00FA3F9C">
              <w:rPr>
                <w:rFonts w:ascii="Arial" w:hAnsi="Arial" w:cs="Arial"/>
                <w:sz w:val="24"/>
                <w:szCs w:val="24"/>
              </w:rPr>
              <w:t>Second/subsequent-line treatment of CML: 500 mg PO daily</w:t>
            </w:r>
          </w:p>
          <w:p w14:paraId="755D4870" w14:textId="77777777" w:rsidR="001506C1" w:rsidRPr="00FA3F9C" w:rsidRDefault="001506C1" w:rsidP="00CF0CC2">
            <w:pPr>
              <w:rPr>
                <w:rFonts w:ascii="Arial" w:eastAsia="Times New Roman" w:hAnsi="Arial" w:cs="Arial"/>
                <w:sz w:val="24"/>
                <w:szCs w:val="24"/>
              </w:rPr>
            </w:pPr>
          </w:p>
          <w:p w14:paraId="16B0F623" w14:textId="77777777" w:rsidR="001506C1" w:rsidRPr="00FA3F9C" w:rsidRDefault="001506C1" w:rsidP="00CF0CC2">
            <w:pPr>
              <w:rPr>
                <w:rFonts w:ascii="Arial" w:eastAsia="Times New Roman" w:hAnsi="Arial" w:cs="Arial"/>
                <w:sz w:val="24"/>
                <w:szCs w:val="24"/>
              </w:rPr>
            </w:pPr>
            <w:r w:rsidRPr="00FA3F9C">
              <w:rPr>
                <w:rFonts w:ascii="Arial" w:eastAsia="Times New Roman" w:hAnsi="Arial" w:cs="Arial"/>
                <w:sz w:val="24"/>
                <w:szCs w:val="24"/>
              </w:rPr>
              <w:t>REFERENCES:</w:t>
            </w:r>
          </w:p>
          <w:p w14:paraId="1DDF6386" w14:textId="77777777" w:rsidR="001506C1" w:rsidRPr="00FA3F9C" w:rsidRDefault="001506C1" w:rsidP="001506C1">
            <w:pPr>
              <w:pStyle w:val="ListParagraph"/>
              <w:numPr>
                <w:ilvl w:val="0"/>
                <w:numId w:val="26"/>
              </w:numPr>
              <w:ind w:left="360" w:hanging="180"/>
              <w:rPr>
                <w:rFonts w:ascii="Arial" w:eastAsia="Times New Roman" w:hAnsi="Arial" w:cs="Arial"/>
                <w:sz w:val="24"/>
                <w:szCs w:val="24"/>
              </w:rPr>
            </w:pPr>
            <w:proofErr w:type="spellStart"/>
            <w:r w:rsidRPr="00FA3F9C">
              <w:rPr>
                <w:rFonts w:ascii="Arial" w:eastAsia="Times New Roman" w:hAnsi="Arial" w:cs="Arial"/>
                <w:sz w:val="24"/>
                <w:szCs w:val="24"/>
                <w:lang w:val="fr-FR"/>
              </w:rPr>
              <w:t>Baccarani</w:t>
            </w:r>
            <w:proofErr w:type="spellEnd"/>
            <w:r w:rsidRPr="00FA3F9C">
              <w:rPr>
                <w:rFonts w:ascii="Arial" w:eastAsia="Times New Roman" w:hAnsi="Arial" w:cs="Arial"/>
                <w:sz w:val="24"/>
                <w:szCs w:val="24"/>
                <w:lang w:val="fr-FR"/>
              </w:rPr>
              <w:t xml:space="preserve"> M et al. </w:t>
            </w:r>
            <w:hyperlink r:id="rId55" w:tooltip="Blood." w:history="1">
              <w:r w:rsidRPr="00FA3F9C">
                <w:rPr>
                  <w:rStyle w:val="highlight"/>
                  <w:rFonts w:ascii="Arial" w:hAnsi="Arial" w:cs="Arial"/>
                  <w:sz w:val="24"/>
                  <w:szCs w:val="24"/>
                  <w:lang w:val="fr-FR"/>
                </w:rPr>
                <w:t>Blood</w:t>
              </w:r>
              <w:r w:rsidRPr="00FA3F9C">
                <w:rPr>
                  <w:rStyle w:val="Hyperlink"/>
                  <w:rFonts w:ascii="Arial" w:hAnsi="Arial" w:cs="Arial"/>
                  <w:sz w:val="24"/>
                  <w:szCs w:val="24"/>
                  <w:lang w:val="fr-FR"/>
                </w:rPr>
                <w:t>.</w:t>
              </w:r>
            </w:hyperlink>
            <w:r w:rsidRPr="00FA3F9C">
              <w:rPr>
                <w:rFonts w:ascii="Arial" w:hAnsi="Arial" w:cs="Arial"/>
                <w:sz w:val="24"/>
                <w:szCs w:val="24"/>
                <w:lang w:val="fr-FR"/>
              </w:rPr>
              <w:t xml:space="preserve"> </w:t>
            </w:r>
            <w:r w:rsidRPr="00FA3F9C">
              <w:rPr>
                <w:rFonts w:ascii="Arial" w:hAnsi="Arial" w:cs="Arial"/>
                <w:sz w:val="24"/>
                <w:szCs w:val="24"/>
              </w:rPr>
              <w:t xml:space="preserve">2013 Aug </w:t>
            </w:r>
            <w:proofErr w:type="gramStart"/>
            <w:r w:rsidRPr="00FA3F9C">
              <w:rPr>
                <w:rFonts w:ascii="Arial" w:hAnsi="Arial" w:cs="Arial"/>
                <w:sz w:val="24"/>
                <w:szCs w:val="24"/>
              </w:rPr>
              <w:t>8;</w:t>
            </w:r>
            <w:proofErr w:type="gramEnd"/>
            <w:r w:rsidRPr="00FA3F9C">
              <w:rPr>
                <w:rStyle w:val="highlight"/>
                <w:rFonts w:ascii="Arial" w:hAnsi="Arial" w:cs="Arial"/>
                <w:sz w:val="24"/>
                <w:szCs w:val="24"/>
              </w:rPr>
              <w:t>122</w:t>
            </w:r>
            <w:r w:rsidRPr="00FA3F9C">
              <w:rPr>
                <w:rFonts w:ascii="Arial" w:hAnsi="Arial" w:cs="Arial"/>
                <w:sz w:val="24"/>
                <w:szCs w:val="24"/>
              </w:rPr>
              <w:t>(6):872-84. PMID 23803709</w:t>
            </w:r>
          </w:p>
          <w:p w14:paraId="1DF9D81C" w14:textId="77777777" w:rsidR="001506C1" w:rsidRPr="00FA3F9C" w:rsidRDefault="00500371" w:rsidP="001506C1">
            <w:pPr>
              <w:pStyle w:val="ListParagraph"/>
              <w:numPr>
                <w:ilvl w:val="0"/>
                <w:numId w:val="26"/>
              </w:numPr>
              <w:ind w:left="360" w:hanging="180"/>
              <w:rPr>
                <w:rFonts w:ascii="Arial" w:eastAsia="Times New Roman" w:hAnsi="Arial" w:cs="Arial"/>
                <w:sz w:val="24"/>
                <w:szCs w:val="24"/>
              </w:rPr>
            </w:pPr>
            <w:hyperlink r:id="rId56" w:history="1">
              <w:r w:rsidR="001506C1" w:rsidRPr="00FA3F9C">
                <w:rPr>
                  <w:rStyle w:val="Hyperlink"/>
                  <w:rFonts w:ascii="Arial" w:hAnsi="Arial" w:cs="Arial"/>
                  <w:sz w:val="24"/>
                  <w:szCs w:val="24"/>
                  <w:lang w:val="fr-FR"/>
                </w:rPr>
                <w:t>Cortes JE</w:t>
              </w:r>
            </w:hyperlink>
            <w:r w:rsidR="001506C1" w:rsidRPr="00FA3F9C">
              <w:rPr>
                <w:rFonts w:ascii="Arial" w:hAnsi="Arial" w:cs="Arial"/>
                <w:sz w:val="24"/>
                <w:szCs w:val="24"/>
                <w:lang w:val="fr-FR"/>
              </w:rPr>
              <w:t xml:space="preserve"> et al. </w:t>
            </w:r>
            <w:hyperlink r:id="rId57" w:tooltip="Journal of clinical oncology : official journal of the American Society of Clinical Oncology." w:history="1">
              <w:r w:rsidR="001506C1" w:rsidRPr="00FA3F9C">
                <w:rPr>
                  <w:rStyle w:val="Hyperlink"/>
                  <w:rFonts w:ascii="Arial" w:hAnsi="Arial" w:cs="Arial"/>
                  <w:sz w:val="24"/>
                  <w:szCs w:val="24"/>
                  <w:lang w:val="fr-FR"/>
                </w:rPr>
                <w:t xml:space="preserve">J Clin </w:t>
              </w:r>
              <w:proofErr w:type="spellStart"/>
              <w:r w:rsidR="001506C1" w:rsidRPr="00FA3F9C">
                <w:rPr>
                  <w:rStyle w:val="Hyperlink"/>
                  <w:rFonts w:ascii="Arial" w:hAnsi="Arial" w:cs="Arial"/>
                  <w:sz w:val="24"/>
                  <w:szCs w:val="24"/>
                  <w:lang w:val="fr-FR"/>
                </w:rPr>
                <w:t>Oncol</w:t>
              </w:r>
              <w:proofErr w:type="spellEnd"/>
              <w:r w:rsidR="001506C1" w:rsidRPr="00FA3F9C">
                <w:rPr>
                  <w:rStyle w:val="Hyperlink"/>
                  <w:rFonts w:ascii="Arial" w:hAnsi="Arial" w:cs="Arial"/>
                  <w:sz w:val="24"/>
                  <w:szCs w:val="24"/>
                  <w:lang w:val="fr-FR"/>
                </w:rPr>
                <w:t>.</w:t>
              </w:r>
            </w:hyperlink>
            <w:r w:rsidR="001506C1" w:rsidRPr="00FA3F9C">
              <w:rPr>
                <w:rFonts w:ascii="Arial" w:hAnsi="Arial" w:cs="Arial"/>
                <w:sz w:val="24"/>
                <w:szCs w:val="24"/>
                <w:lang w:val="fr-FR"/>
              </w:rPr>
              <w:t xml:space="preserve"> </w:t>
            </w:r>
            <w:r w:rsidR="001506C1" w:rsidRPr="00FA3F9C">
              <w:rPr>
                <w:rFonts w:ascii="Arial" w:hAnsi="Arial" w:cs="Arial"/>
                <w:sz w:val="24"/>
                <w:szCs w:val="24"/>
              </w:rPr>
              <w:t xml:space="preserve">2018 Jan </w:t>
            </w:r>
            <w:proofErr w:type="gramStart"/>
            <w:r w:rsidR="001506C1" w:rsidRPr="00FA3F9C">
              <w:rPr>
                <w:rFonts w:ascii="Arial" w:hAnsi="Arial" w:cs="Arial"/>
                <w:sz w:val="24"/>
                <w:szCs w:val="24"/>
              </w:rPr>
              <w:t>20;</w:t>
            </w:r>
            <w:proofErr w:type="gramEnd"/>
            <w:r w:rsidR="001506C1" w:rsidRPr="00FA3F9C">
              <w:rPr>
                <w:rFonts w:ascii="Arial" w:hAnsi="Arial" w:cs="Arial"/>
                <w:sz w:val="24"/>
                <w:szCs w:val="24"/>
              </w:rPr>
              <w:t>36(3):231-237 NCT02130557</w:t>
            </w:r>
          </w:p>
        </w:tc>
      </w:tr>
    </w:tbl>
    <w:p w14:paraId="197BE8E0" w14:textId="77777777" w:rsidR="001506C1" w:rsidRPr="00FA3F9C" w:rsidRDefault="001506C1" w:rsidP="006F623F">
      <w:pPr>
        <w:spacing w:after="0"/>
        <w:rPr>
          <w:rFonts w:ascii="Arial" w:hAnsi="Arial" w:cs="Arial"/>
          <w:sz w:val="24"/>
          <w:szCs w:val="24"/>
        </w:rPr>
      </w:pPr>
    </w:p>
    <w:p w14:paraId="41A18AE7" w14:textId="77777777" w:rsidR="001506C1" w:rsidRPr="00FA3F9C" w:rsidRDefault="001506C1" w:rsidP="006F623F">
      <w:pPr>
        <w:spacing w:after="0"/>
        <w:rPr>
          <w:rFonts w:ascii="Arial" w:hAnsi="Arial" w:cs="Arial"/>
          <w:sz w:val="24"/>
          <w:szCs w:val="24"/>
        </w:rPr>
      </w:pPr>
    </w:p>
    <w:p w14:paraId="6D5A9C3A"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7888"/>
        <w:gridCol w:w="2178"/>
      </w:tblGrid>
      <w:tr w:rsidR="001506C1" w:rsidRPr="00FA3F9C" w14:paraId="6D6B1125" w14:textId="77777777" w:rsidTr="00F40CDD">
        <w:tc>
          <w:tcPr>
            <w:tcW w:w="950" w:type="dxa"/>
          </w:tcPr>
          <w:p w14:paraId="482854E1" w14:textId="77777777" w:rsidR="001506C1" w:rsidRPr="00FA3F9C" w:rsidRDefault="001506C1" w:rsidP="00F40CDD">
            <w:pPr>
              <w:spacing w:after="0" w:line="240" w:lineRule="auto"/>
              <w:rPr>
                <w:rFonts w:ascii="Arial" w:hAnsi="Arial" w:cs="Arial"/>
                <w:sz w:val="24"/>
                <w:szCs w:val="24"/>
              </w:rPr>
            </w:pPr>
            <w:r w:rsidRPr="00FA3F9C">
              <w:rPr>
                <w:rFonts w:ascii="Arial" w:hAnsi="Arial" w:cs="Arial"/>
                <w:sz w:val="24"/>
                <w:szCs w:val="24"/>
              </w:rPr>
              <w:t>Date</w:t>
            </w:r>
          </w:p>
        </w:tc>
        <w:tc>
          <w:tcPr>
            <w:tcW w:w="7888" w:type="dxa"/>
          </w:tcPr>
          <w:p w14:paraId="4E4D26A9" w14:textId="77777777" w:rsidR="001506C1" w:rsidRPr="00FA3F9C" w:rsidRDefault="001506C1" w:rsidP="00F40CDD">
            <w:pPr>
              <w:spacing w:after="0" w:line="240" w:lineRule="auto"/>
              <w:rPr>
                <w:rFonts w:ascii="Arial" w:hAnsi="Arial" w:cs="Arial"/>
                <w:sz w:val="24"/>
                <w:szCs w:val="24"/>
              </w:rPr>
            </w:pPr>
            <w:r w:rsidRPr="00FA3F9C">
              <w:rPr>
                <w:rFonts w:ascii="Arial" w:hAnsi="Arial" w:cs="Arial"/>
                <w:sz w:val="24"/>
                <w:szCs w:val="24"/>
              </w:rPr>
              <w:t>What changed?</w:t>
            </w:r>
          </w:p>
        </w:tc>
        <w:tc>
          <w:tcPr>
            <w:tcW w:w="2178" w:type="dxa"/>
          </w:tcPr>
          <w:p w14:paraId="00D102F5" w14:textId="77777777" w:rsidR="001506C1" w:rsidRPr="00FA3F9C" w:rsidRDefault="001506C1" w:rsidP="00F40CDD">
            <w:pPr>
              <w:spacing w:after="0" w:line="240" w:lineRule="auto"/>
              <w:rPr>
                <w:rFonts w:ascii="Arial" w:hAnsi="Arial" w:cs="Arial"/>
                <w:sz w:val="24"/>
                <w:szCs w:val="24"/>
              </w:rPr>
            </w:pPr>
            <w:r w:rsidRPr="00FA3F9C">
              <w:rPr>
                <w:rFonts w:ascii="Arial" w:hAnsi="Arial" w:cs="Arial"/>
                <w:sz w:val="24"/>
                <w:szCs w:val="24"/>
              </w:rPr>
              <w:t>Pharmacist’s initials</w:t>
            </w:r>
          </w:p>
        </w:tc>
      </w:tr>
      <w:tr w:rsidR="001506C1" w:rsidRPr="00FA3F9C" w14:paraId="0D9D3A15" w14:textId="77777777" w:rsidTr="00F40CDD">
        <w:tc>
          <w:tcPr>
            <w:tcW w:w="950" w:type="dxa"/>
          </w:tcPr>
          <w:p w14:paraId="3F7DB5B9" w14:textId="77777777" w:rsidR="001506C1" w:rsidRPr="00FA3F9C" w:rsidRDefault="001506C1" w:rsidP="00F40CDD">
            <w:pPr>
              <w:spacing w:after="0" w:line="240" w:lineRule="auto"/>
              <w:rPr>
                <w:rFonts w:ascii="Arial" w:hAnsi="Arial" w:cs="Arial"/>
                <w:sz w:val="24"/>
                <w:szCs w:val="24"/>
              </w:rPr>
            </w:pPr>
            <w:r w:rsidRPr="00FA3F9C">
              <w:rPr>
                <w:rFonts w:ascii="Arial" w:hAnsi="Arial" w:cs="Arial"/>
                <w:sz w:val="24"/>
                <w:szCs w:val="24"/>
              </w:rPr>
              <w:lastRenderedPageBreak/>
              <w:t>3/6/13</w:t>
            </w:r>
          </w:p>
        </w:tc>
        <w:tc>
          <w:tcPr>
            <w:tcW w:w="7888" w:type="dxa"/>
          </w:tcPr>
          <w:p w14:paraId="54B15432" w14:textId="77777777" w:rsidR="001506C1" w:rsidRPr="00FA3F9C" w:rsidRDefault="001506C1" w:rsidP="00F40CDD">
            <w:pPr>
              <w:spacing w:after="0" w:line="240" w:lineRule="auto"/>
              <w:rPr>
                <w:rFonts w:ascii="Arial" w:hAnsi="Arial" w:cs="Arial"/>
                <w:sz w:val="24"/>
                <w:szCs w:val="24"/>
              </w:rPr>
            </w:pPr>
            <w:r w:rsidRPr="00FA3F9C">
              <w:rPr>
                <w:rFonts w:ascii="Arial" w:hAnsi="Arial" w:cs="Arial"/>
                <w:sz w:val="24"/>
                <w:szCs w:val="24"/>
              </w:rPr>
              <w:t>Criteria created</w:t>
            </w:r>
          </w:p>
        </w:tc>
        <w:tc>
          <w:tcPr>
            <w:tcW w:w="2178" w:type="dxa"/>
          </w:tcPr>
          <w:p w14:paraId="31F7E1C6" w14:textId="77777777" w:rsidR="001506C1" w:rsidRPr="00FA3F9C" w:rsidRDefault="001506C1" w:rsidP="00F40CDD">
            <w:pPr>
              <w:spacing w:after="0" w:line="240" w:lineRule="auto"/>
              <w:rPr>
                <w:rFonts w:ascii="Arial" w:hAnsi="Arial" w:cs="Arial"/>
                <w:sz w:val="24"/>
                <w:szCs w:val="24"/>
              </w:rPr>
            </w:pPr>
            <w:r w:rsidRPr="00FA3F9C">
              <w:rPr>
                <w:rFonts w:ascii="Arial" w:hAnsi="Arial" w:cs="Arial"/>
                <w:sz w:val="24"/>
                <w:szCs w:val="24"/>
              </w:rPr>
              <w:t>JB</w:t>
            </w:r>
          </w:p>
        </w:tc>
      </w:tr>
      <w:tr w:rsidR="001506C1" w:rsidRPr="00FA3F9C" w14:paraId="35D37DBA" w14:textId="77777777" w:rsidTr="006B6E00">
        <w:trPr>
          <w:trHeight w:val="458"/>
        </w:trPr>
        <w:tc>
          <w:tcPr>
            <w:tcW w:w="950" w:type="dxa"/>
          </w:tcPr>
          <w:p w14:paraId="63C9E03D" w14:textId="77777777" w:rsidR="001506C1" w:rsidRPr="00FA3F9C" w:rsidRDefault="001506C1" w:rsidP="00F40CDD">
            <w:pPr>
              <w:spacing w:after="0" w:line="240" w:lineRule="auto"/>
              <w:rPr>
                <w:rFonts w:ascii="Arial" w:hAnsi="Arial" w:cs="Arial"/>
                <w:sz w:val="24"/>
                <w:szCs w:val="24"/>
              </w:rPr>
            </w:pPr>
            <w:r w:rsidRPr="00FA3F9C">
              <w:rPr>
                <w:rFonts w:ascii="Arial" w:hAnsi="Arial" w:cs="Arial"/>
                <w:sz w:val="24"/>
                <w:szCs w:val="24"/>
              </w:rPr>
              <w:t>3/5/19</w:t>
            </w:r>
          </w:p>
        </w:tc>
        <w:tc>
          <w:tcPr>
            <w:tcW w:w="7888" w:type="dxa"/>
          </w:tcPr>
          <w:p w14:paraId="52AC6F3B" w14:textId="77777777" w:rsidR="001506C1" w:rsidRPr="00FA3F9C" w:rsidRDefault="001506C1" w:rsidP="00F40CDD">
            <w:pPr>
              <w:spacing w:after="0" w:line="240" w:lineRule="auto"/>
              <w:rPr>
                <w:rFonts w:ascii="Arial" w:hAnsi="Arial" w:cs="Arial"/>
                <w:sz w:val="24"/>
                <w:szCs w:val="24"/>
              </w:rPr>
            </w:pPr>
            <w:r w:rsidRPr="00FA3F9C">
              <w:rPr>
                <w:rFonts w:ascii="Arial" w:hAnsi="Arial" w:cs="Arial"/>
                <w:sz w:val="24"/>
                <w:szCs w:val="24"/>
              </w:rPr>
              <w:t xml:space="preserve">Criteria updated requiring imatinib and </w:t>
            </w:r>
            <w:proofErr w:type="spellStart"/>
            <w:r w:rsidRPr="00FA3F9C">
              <w:rPr>
                <w:rFonts w:ascii="Arial" w:hAnsi="Arial" w:cs="Arial"/>
                <w:sz w:val="24"/>
                <w:szCs w:val="24"/>
              </w:rPr>
              <w:t>dasatinib</w:t>
            </w:r>
            <w:proofErr w:type="spellEnd"/>
            <w:r w:rsidRPr="00FA3F9C">
              <w:rPr>
                <w:rFonts w:ascii="Arial" w:hAnsi="Arial" w:cs="Arial"/>
                <w:sz w:val="24"/>
                <w:szCs w:val="24"/>
              </w:rPr>
              <w:t xml:space="preserve"> trial before proceeding with bosutinib; also added general information about CML monitoring</w:t>
            </w:r>
          </w:p>
        </w:tc>
        <w:tc>
          <w:tcPr>
            <w:tcW w:w="2178" w:type="dxa"/>
          </w:tcPr>
          <w:p w14:paraId="3C3419ED" w14:textId="77777777" w:rsidR="001506C1" w:rsidRPr="00FA3F9C" w:rsidRDefault="001506C1" w:rsidP="00F40CDD">
            <w:pPr>
              <w:spacing w:after="0" w:line="240" w:lineRule="auto"/>
              <w:rPr>
                <w:rFonts w:ascii="Arial" w:hAnsi="Arial" w:cs="Arial"/>
                <w:sz w:val="24"/>
                <w:szCs w:val="24"/>
              </w:rPr>
            </w:pPr>
            <w:r w:rsidRPr="00FA3F9C">
              <w:rPr>
                <w:rFonts w:ascii="Arial" w:hAnsi="Arial" w:cs="Arial"/>
                <w:sz w:val="24"/>
                <w:szCs w:val="24"/>
              </w:rPr>
              <w:t>SK</w:t>
            </w:r>
          </w:p>
        </w:tc>
      </w:tr>
      <w:tr w:rsidR="001506C1" w:rsidRPr="00FA3F9C" w14:paraId="35ACD9C6" w14:textId="77777777" w:rsidTr="006B6E00">
        <w:trPr>
          <w:trHeight w:val="242"/>
        </w:trPr>
        <w:tc>
          <w:tcPr>
            <w:tcW w:w="950" w:type="dxa"/>
          </w:tcPr>
          <w:p w14:paraId="0D8B203D" w14:textId="77777777" w:rsidR="001506C1" w:rsidRPr="00FA3F9C" w:rsidRDefault="001506C1" w:rsidP="00F40CDD">
            <w:pPr>
              <w:spacing w:after="0" w:line="240" w:lineRule="auto"/>
              <w:rPr>
                <w:rFonts w:ascii="Arial" w:hAnsi="Arial" w:cs="Arial"/>
                <w:sz w:val="24"/>
                <w:szCs w:val="24"/>
              </w:rPr>
            </w:pPr>
            <w:r w:rsidRPr="00FA3F9C">
              <w:rPr>
                <w:rFonts w:ascii="Arial" w:hAnsi="Arial" w:cs="Arial"/>
                <w:sz w:val="24"/>
                <w:szCs w:val="24"/>
              </w:rPr>
              <w:t>8/7/19</w:t>
            </w:r>
          </w:p>
        </w:tc>
        <w:tc>
          <w:tcPr>
            <w:tcW w:w="7888" w:type="dxa"/>
          </w:tcPr>
          <w:p w14:paraId="2D608B91" w14:textId="77777777" w:rsidR="001506C1" w:rsidRPr="00FA3F9C" w:rsidRDefault="001506C1" w:rsidP="00F40CDD">
            <w:pPr>
              <w:spacing w:after="0" w:line="240" w:lineRule="auto"/>
              <w:rPr>
                <w:rFonts w:ascii="Arial" w:hAnsi="Arial" w:cs="Arial"/>
                <w:sz w:val="24"/>
                <w:szCs w:val="24"/>
              </w:rPr>
            </w:pPr>
            <w:r w:rsidRPr="00FA3F9C">
              <w:rPr>
                <w:rFonts w:ascii="Arial" w:hAnsi="Arial" w:cs="Arial"/>
                <w:sz w:val="24"/>
                <w:szCs w:val="24"/>
              </w:rPr>
              <w:t>Criteria reviewed. No change.</w:t>
            </w:r>
          </w:p>
        </w:tc>
        <w:tc>
          <w:tcPr>
            <w:tcW w:w="2178" w:type="dxa"/>
          </w:tcPr>
          <w:p w14:paraId="6BD7177C" w14:textId="77777777" w:rsidR="001506C1" w:rsidRPr="00FA3F9C" w:rsidRDefault="001506C1" w:rsidP="00F40CDD">
            <w:pPr>
              <w:spacing w:after="0" w:line="240" w:lineRule="auto"/>
              <w:rPr>
                <w:rFonts w:ascii="Arial" w:hAnsi="Arial" w:cs="Arial"/>
                <w:sz w:val="24"/>
                <w:szCs w:val="24"/>
              </w:rPr>
            </w:pPr>
            <w:r w:rsidRPr="00FA3F9C">
              <w:rPr>
                <w:rFonts w:ascii="Arial" w:hAnsi="Arial" w:cs="Arial"/>
                <w:sz w:val="24"/>
                <w:szCs w:val="24"/>
              </w:rPr>
              <w:t>SK</w:t>
            </w:r>
          </w:p>
        </w:tc>
      </w:tr>
      <w:tr w:rsidR="001506C1" w:rsidRPr="00FA3F9C" w14:paraId="6DFE2086" w14:textId="77777777" w:rsidTr="006B6E00">
        <w:trPr>
          <w:trHeight w:val="161"/>
        </w:trPr>
        <w:tc>
          <w:tcPr>
            <w:tcW w:w="950" w:type="dxa"/>
          </w:tcPr>
          <w:p w14:paraId="432B3FCB" w14:textId="77777777" w:rsidR="001506C1" w:rsidRPr="00FA3F9C" w:rsidRDefault="001506C1" w:rsidP="00F40CDD">
            <w:pPr>
              <w:spacing w:after="0" w:line="240" w:lineRule="auto"/>
              <w:rPr>
                <w:rFonts w:ascii="Arial" w:hAnsi="Arial" w:cs="Arial"/>
                <w:sz w:val="24"/>
                <w:szCs w:val="24"/>
              </w:rPr>
            </w:pPr>
            <w:r w:rsidRPr="00FA3F9C">
              <w:rPr>
                <w:rFonts w:ascii="Arial" w:hAnsi="Arial" w:cs="Arial"/>
                <w:sz w:val="24"/>
                <w:szCs w:val="24"/>
              </w:rPr>
              <w:t>6/18/2020</w:t>
            </w:r>
          </w:p>
        </w:tc>
        <w:tc>
          <w:tcPr>
            <w:tcW w:w="7888" w:type="dxa"/>
          </w:tcPr>
          <w:p w14:paraId="6D3B37CB" w14:textId="77777777" w:rsidR="001506C1" w:rsidRPr="00FA3F9C" w:rsidRDefault="001506C1" w:rsidP="00F40CDD">
            <w:pPr>
              <w:spacing w:after="0" w:line="240" w:lineRule="auto"/>
              <w:rPr>
                <w:rFonts w:ascii="Arial" w:hAnsi="Arial" w:cs="Arial"/>
                <w:sz w:val="24"/>
                <w:szCs w:val="24"/>
              </w:rPr>
            </w:pPr>
            <w:r w:rsidRPr="00FA3F9C">
              <w:rPr>
                <w:rFonts w:ascii="Arial" w:hAnsi="Arial" w:cs="Arial"/>
                <w:sz w:val="24"/>
                <w:szCs w:val="24"/>
              </w:rPr>
              <w:t>Added “(note: Ph+ may also be denoted as t(9;22) or BCR/ABL)”</w:t>
            </w:r>
          </w:p>
        </w:tc>
        <w:tc>
          <w:tcPr>
            <w:tcW w:w="2178" w:type="dxa"/>
          </w:tcPr>
          <w:p w14:paraId="13D859EA" w14:textId="77777777" w:rsidR="001506C1" w:rsidRPr="00FA3F9C" w:rsidRDefault="001506C1" w:rsidP="00F40CDD">
            <w:pPr>
              <w:spacing w:after="0" w:line="240" w:lineRule="auto"/>
              <w:rPr>
                <w:rFonts w:ascii="Arial" w:hAnsi="Arial" w:cs="Arial"/>
                <w:sz w:val="24"/>
                <w:szCs w:val="24"/>
              </w:rPr>
            </w:pPr>
            <w:r w:rsidRPr="00FA3F9C">
              <w:rPr>
                <w:rFonts w:ascii="Arial" w:hAnsi="Arial" w:cs="Arial"/>
                <w:sz w:val="24"/>
                <w:szCs w:val="24"/>
              </w:rPr>
              <w:t>SK</w:t>
            </w:r>
          </w:p>
        </w:tc>
      </w:tr>
      <w:tr w:rsidR="001506C1" w:rsidRPr="00FA3F9C" w14:paraId="2597159F" w14:textId="77777777" w:rsidTr="006B6E00">
        <w:trPr>
          <w:trHeight w:val="89"/>
        </w:trPr>
        <w:tc>
          <w:tcPr>
            <w:tcW w:w="950" w:type="dxa"/>
          </w:tcPr>
          <w:p w14:paraId="4932AF90" w14:textId="77777777" w:rsidR="001506C1" w:rsidRPr="00FA3F9C" w:rsidRDefault="001506C1" w:rsidP="00F40CDD">
            <w:pPr>
              <w:spacing w:after="0" w:line="240" w:lineRule="auto"/>
              <w:rPr>
                <w:rFonts w:ascii="Arial" w:hAnsi="Arial" w:cs="Arial"/>
                <w:sz w:val="24"/>
                <w:szCs w:val="24"/>
              </w:rPr>
            </w:pPr>
            <w:r w:rsidRPr="00FA3F9C">
              <w:rPr>
                <w:rFonts w:ascii="Arial" w:hAnsi="Arial" w:cs="Arial"/>
                <w:sz w:val="24"/>
                <w:szCs w:val="24"/>
              </w:rPr>
              <w:t>8/20/2020</w:t>
            </w:r>
          </w:p>
        </w:tc>
        <w:tc>
          <w:tcPr>
            <w:tcW w:w="7888" w:type="dxa"/>
          </w:tcPr>
          <w:p w14:paraId="3885FCF5" w14:textId="77777777" w:rsidR="001506C1" w:rsidRPr="00FA3F9C" w:rsidRDefault="001506C1" w:rsidP="00F40CDD">
            <w:pPr>
              <w:spacing w:after="0" w:line="240" w:lineRule="auto"/>
              <w:rPr>
                <w:rFonts w:ascii="Arial" w:hAnsi="Arial" w:cs="Arial"/>
                <w:sz w:val="24"/>
                <w:szCs w:val="24"/>
              </w:rPr>
            </w:pPr>
            <w:r w:rsidRPr="00FA3F9C">
              <w:rPr>
                <w:rFonts w:ascii="Arial" w:hAnsi="Arial" w:cs="Arial"/>
                <w:sz w:val="24"/>
                <w:szCs w:val="24"/>
              </w:rPr>
              <w:t>Criteria reviewed. No change</w:t>
            </w:r>
          </w:p>
        </w:tc>
        <w:tc>
          <w:tcPr>
            <w:tcW w:w="2178" w:type="dxa"/>
          </w:tcPr>
          <w:p w14:paraId="07460E16" w14:textId="77777777" w:rsidR="001506C1" w:rsidRPr="00FA3F9C" w:rsidRDefault="001506C1" w:rsidP="00F40CDD">
            <w:pPr>
              <w:spacing w:after="0" w:line="240" w:lineRule="auto"/>
              <w:rPr>
                <w:rFonts w:ascii="Arial" w:hAnsi="Arial" w:cs="Arial"/>
                <w:sz w:val="24"/>
                <w:szCs w:val="24"/>
              </w:rPr>
            </w:pPr>
            <w:r w:rsidRPr="00FA3F9C">
              <w:rPr>
                <w:rFonts w:ascii="Arial" w:hAnsi="Arial" w:cs="Arial"/>
                <w:sz w:val="24"/>
                <w:szCs w:val="24"/>
              </w:rPr>
              <w:t>SK</w:t>
            </w:r>
          </w:p>
        </w:tc>
      </w:tr>
      <w:tr w:rsidR="001506C1" w:rsidRPr="00FA3F9C" w14:paraId="5291CC67" w14:textId="77777777" w:rsidTr="006B6E00">
        <w:trPr>
          <w:trHeight w:val="89"/>
        </w:trPr>
        <w:tc>
          <w:tcPr>
            <w:tcW w:w="950" w:type="dxa"/>
          </w:tcPr>
          <w:p w14:paraId="30252E02" w14:textId="77777777" w:rsidR="001506C1" w:rsidRPr="00FA3F9C" w:rsidRDefault="001506C1" w:rsidP="00F40CDD">
            <w:pPr>
              <w:spacing w:after="0" w:line="240" w:lineRule="auto"/>
              <w:rPr>
                <w:rFonts w:ascii="Arial" w:hAnsi="Arial" w:cs="Arial"/>
                <w:sz w:val="24"/>
                <w:szCs w:val="24"/>
              </w:rPr>
            </w:pPr>
            <w:r w:rsidRPr="00FA3F9C">
              <w:rPr>
                <w:rFonts w:ascii="Arial" w:hAnsi="Arial" w:cs="Arial"/>
                <w:sz w:val="24"/>
                <w:szCs w:val="24"/>
              </w:rPr>
              <w:t>4/2/21</w:t>
            </w:r>
          </w:p>
        </w:tc>
        <w:tc>
          <w:tcPr>
            <w:tcW w:w="7888" w:type="dxa"/>
          </w:tcPr>
          <w:p w14:paraId="1D62D3E0" w14:textId="77777777" w:rsidR="001506C1" w:rsidRPr="00FA3F9C" w:rsidRDefault="001506C1" w:rsidP="00F40CDD">
            <w:pPr>
              <w:spacing w:after="0" w:line="240" w:lineRule="auto"/>
              <w:rPr>
                <w:rFonts w:ascii="Arial" w:hAnsi="Arial" w:cs="Arial"/>
                <w:sz w:val="24"/>
                <w:szCs w:val="24"/>
              </w:rPr>
            </w:pPr>
            <w:r w:rsidRPr="00FA3F9C">
              <w:rPr>
                <w:rFonts w:ascii="Arial" w:hAnsi="Arial" w:cs="Arial"/>
                <w:sz w:val="24"/>
                <w:szCs w:val="24"/>
              </w:rPr>
              <w:t>Applied EBRx criteria to UAS Plan.  Before today UAS covered newly diagnosed, Ph+ CML, however EBRx does not recommend covering this.  If you run across a patient already on it for this indication, please ask about grandfathering.</w:t>
            </w:r>
          </w:p>
        </w:tc>
        <w:tc>
          <w:tcPr>
            <w:tcW w:w="2178" w:type="dxa"/>
          </w:tcPr>
          <w:p w14:paraId="73670759" w14:textId="77777777" w:rsidR="001506C1" w:rsidRPr="00FA3F9C" w:rsidRDefault="001506C1" w:rsidP="00F40CDD">
            <w:pPr>
              <w:spacing w:after="0" w:line="240" w:lineRule="auto"/>
              <w:rPr>
                <w:rFonts w:ascii="Arial" w:hAnsi="Arial" w:cs="Arial"/>
                <w:sz w:val="24"/>
                <w:szCs w:val="24"/>
              </w:rPr>
            </w:pPr>
            <w:r w:rsidRPr="00FA3F9C">
              <w:rPr>
                <w:rFonts w:ascii="Arial" w:hAnsi="Arial" w:cs="Arial"/>
                <w:sz w:val="24"/>
                <w:szCs w:val="24"/>
              </w:rPr>
              <w:t>JJ</w:t>
            </w:r>
          </w:p>
        </w:tc>
      </w:tr>
      <w:tr w:rsidR="001506C1" w:rsidRPr="00FA3F9C" w14:paraId="3EEAA0B1" w14:textId="77777777" w:rsidTr="006B6E00">
        <w:trPr>
          <w:trHeight w:val="89"/>
        </w:trPr>
        <w:tc>
          <w:tcPr>
            <w:tcW w:w="950" w:type="dxa"/>
          </w:tcPr>
          <w:p w14:paraId="3E5B7AFD" w14:textId="77777777" w:rsidR="001506C1" w:rsidRPr="00FA3F9C" w:rsidRDefault="001506C1" w:rsidP="00F40CDD">
            <w:pPr>
              <w:spacing w:after="0" w:line="240" w:lineRule="auto"/>
              <w:rPr>
                <w:rFonts w:ascii="Arial" w:hAnsi="Arial" w:cs="Arial"/>
                <w:sz w:val="24"/>
                <w:szCs w:val="24"/>
              </w:rPr>
            </w:pPr>
            <w:r w:rsidRPr="00FA3F9C">
              <w:rPr>
                <w:rFonts w:ascii="Arial" w:hAnsi="Arial" w:cs="Arial"/>
                <w:sz w:val="24"/>
                <w:szCs w:val="24"/>
              </w:rPr>
              <w:t>10/2/2021</w:t>
            </w:r>
          </w:p>
        </w:tc>
        <w:tc>
          <w:tcPr>
            <w:tcW w:w="7888" w:type="dxa"/>
          </w:tcPr>
          <w:p w14:paraId="568A0125" w14:textId="77777777" w:rsidR="001506C1" w:rsidRPr="00FA3F9C" w:rsidRDefault="001506C1" w:rsidP="00B31BF4">
            <w:pPr>
              <w:spacing w:after="0" w:line="240" w:lineRule="auto"/>
              <w:rPr>
                <w:rFonts w:ascii="Arial" w:hAnsi="Arial" w:cs="Arial"/>
                <w:sz w:val="24"/>
                <w:szCs w:val="24"/>
              </w:rPr>
            </w:pPr>
            <w:r w:rsidRPr="00FA3F9C">
              <w:rPr>
                <w:rFonts w:ascii="Arial" w:hAnsi="Arial" w:cs="Arial"/>
                <w:sz w:val="24"/>
                <w:szCs w:val="24"/>
              </w:rPr>
              <w:t>Criteria reviewed. No changes to criteria. Now has full approval for newly diagnosed indication—updated FDA approvals as such.</w:t>
            </w:r>
          </w:p>
        </w:tc>
        <w:tc>
          <w:tcPr>
            <w:tcW w:w="2178" w:type="dxa"/>
          </w:tcPr>
          <w:p w14:paraId="075ABBFE" w14:textId="77777777" w:rsidR="001506C1" w:rsidRPr="00FA3F9C" w:rsidRDefault="001506C1" w:rsidP="00F40CDD">
            <w:pPr>
              <w:spacing w:after="0" w:line="240" w:lineRule="auto"/>
              <w:rPr>
                <w:rFonts w:ascii="Arial" w:hAnsi="Arial" w:cs="Arial"/>
                <w:sz w:val="24"/>
                <w:szCs w:val="24"/>
              </w:rPr>
            </w:pPr>
            <w:r w:rsidRPr="00FA3F9C">
              <w:rPr>
                <w:rFonts w:ascii="Arial" w:hAnsi="Arial" w:cs="Arial"/>
                <w:sz w:val="24"/>
                <w:szCs w:val="24"/>
              </w:rPr>
              <w:t>SK</w:t>
            </w:r>
          </w:p>
        </w:tc>
      </w:tr>
      <w:tr w:rsidR="001506C1" w:rsidRPr="00FA3F9C" w14:paraId="6670BD85" w14:textId="77777777" w:rsidTr="006B6E00">
        <w:trPr>
          <w:trHeight w:val="89"/>
        </w:trPr>
        <w:tc>
          <w:tcPr>
            <w:tcW w:w="950" w:type="dxa"/>
          </w:tcPr>
          <w:p w14:paraId="4A238097" w14:textId="77777777" w:rsidR="001506C1" w:rsidRPr="00FA3F9C" w:rsidRDefault="001506C1" w:rsidP="00F40CDD">
            <w:pPr>
              <w:spacing w:after="0" w:line="240" w:lineRule="auto"/>
              <w:rPr>
                <w:rFonts w:ascii="Arial" w:hAnsi="Arial" w:cs="Arial"/>
                <w:sz w:val="24"/>
                <w:szCs w:val="24"/>
              </w:rPr>
            </w:pPr>
            <w:r w:rsidRPr="00FA3F9C">
              <w:rPr>
                <w:rFonts w:ascii="Arial" w:hAnsi="Arial" w:cs="Arial"/>
                <w:sz w:val="24"/>
                <w:szCs w:val="24"/>
              </w:rPr>
              <w:t>12/16/2021</w:t>
            </w:r>
          </w:p>
        </w:tc>
        <w:tc>
          <w:tcPr>
            <w:tcW w:w="7888" w:type="dxa"/>
          </w:tcPr>
          <w:p w14:paraId="4F08F5F9" w14:textId="77777777" w:rsidR="001506C1" w:rsidRPr="00FA3F9C" w:rsidRDefault="001506C1" w:rsidP="00881020">
            <w:pPr>
              <w:spacing w:after="0" w:line="240" w:lineRule="auto"/>
              <w:rPr>
                <w:rFonts w:ascii="Arial" w:hAnsi="Arial" w:cs="Arial"/>
                <w:sz w:val="24"/>
                <w:szCs w:val="24"/>
              </w:rPr>
            </w:pPr>
            <w:r w:rsidRPr="00FA3F9C">
              <w:rPr>
                <w:rFonts w:ascii="Arial" w:hAnsi="Arial" w:cs="Arial"/>
                <w:sz w:val="24"/>
                <w:szCs w:val="24"/>
              </w:rPr>
              <w:t>Updated Table re: treatments recs based on mutation</w:t>
            </w:r>
          </w:p>
        </w:tc>
        <w:tc>
          <w:tcPr>
            <w:tcW w:w="2178" w:type="dxa"/>
          </w:tcPr>
          <w:p w14:paraId="25D1387C" w14:textId="77777777" w:rsidR="001506C1" w:rsidRPr="00FA3F9C" w:rsidRDefault="001506C1" w:rsidP="00F40CDD">
            <w:pPr>
              <w:spacing w:after="0" w:line="240" w:lineRule="auto"/>
              <w:rPr>
                <w:rFonts w:ascii="Arial" w:hAnsi="Arial" w:cs="Arial"/>
                <w:sz w:val="24"/>
                <w:szCs w:val="24"/>
              </w:rPr>
            </w:pPr>
            <w:r w:rsidRPr="00FA3F9C">
              <w:rPr>
                <w:rFonts w:ascii="Arial" w:hAnsi="Arial" w:cs="Arial"/>
                <w:sz w:val="24"/>
                <w:szCs w:val="24"/>
              </w:rPr>
              <w:t>SK</w:t>
            </w:r>
          </w:p>
        </w:tc>
      </w:tr>
    </w:tbl>
    <w:p w14:paraId="0E23744E" w14:textId="77777777" w:rsidR="001506C1" w:rsidRPr="00FA3F9C" w:rsidRDefault="001506C1" w:rsidP="006F623F">
      <w:pPr>
        <w:spacing w:after="0"/>
        <w:rPr>
          <w:rFonts w:ascii="Arial" w:hAnsi="Arial" w:cs="Arial"/>
          <w:sz w:val="24"/>
          <w:szCs w:val="24"/>
        </w:rPr>
      </w:pPr>
    </w:p>
    <w:p w14:paraId="013197C7" w14:textId="77777777" w:rsidR="001506C1" w:rsidRPr="00FA3F9C" w:rsidRDefault="001506C1" w:rsidP="006F623F">
      <w:pPr>
        <w:spacing w:after="0"/>
        <w:rPr>
          <w:rFonts w:ascii="Arial" w:hAnsi="Arial" w:cs="Arial"/>
          <w:sz w:val="24"/>
          <w:szCs w:val="24"/>
        </w:rPr>
      </w:pPr>
    </w:p>
    <w:p w14:paraId="66984CB0" w14:textId="77777777" w:rsidR="001506C1" w:rsidRPr="00FA3F9C" w:rsidRDefault="001506C1" w:rsidP="006F623F">
      <w:pPr>
        <w:spacing w:after="0"/>
        <w:rPr>
          <w:rFonts w:ascii="Arial" w:hAnsi="Arial" w:cs="Arial"/>
          <w:sz w:val="24"/>
          <w:szCs w:val="24"/>
        </w:rPr>
      </w:pPr>
    </w:p>
    <w:p w14:paraId="7BC2D9E5" w14:textId="77777777" w:rsidR="001506C1" w:rsidRPr="00FA3F9C" w:rsidRDefault="001506C1" w:rsidP="006F623F">
      <w:pPr>
        <w:spacing w:after="0"/>
        <w:rPr>
          <w:rFonts w:ascii="Arial" w:hAnsi="Arial" w:cs="Arial"/>
          <w:sz w:val="24"/>
          <w:szCs w:val="24"/>
        </w:rPr>
      </w:pPr>
    </w:p>
    <w:p w14:paraId="7D2E2950" w14:textId="77777777" w:rsidR="001506C1" w:rsidRPr="00FA3F9C" w:rsidRDefault="001506C1" w:rsidP="006F623F">
      <w:pPr>
        <w:spacing w:after="0"/>
        <w:rPr>
          <w:rFonts w:ascii="Arial" w:hAnsi="Arial" w:cs="Arial"/>
          <w:sz w:val="24"/>
          <w:szCs w:val="24"/>
        </w:rPr>
      </w:pPr>
    </w:p>
    <w:p w14:paraId="5DA44BA3" w14:textId="77777777" w:rsidR="001506C1" w:rsidRPr="00FA3F9C" w:rsidRDefault="001506C1" w:rsidP="00FC1E85">
      <w:pPr>
        <w:pStyle w:val="Heading2"/>
      </w:pPr>
      <w:bookmarkStart w:id="38" w:name="_Toc106369740"/>
      <w:r w:rsidRPr="00FA3F9C">
        <w:t>Botulinum toxins (various)</w:t>
      </w:r>
      <w:bookmarkEnd w:id="38"/>
    </w:p>
    <w:p w14:paraId="02F687EE" w14:textId="77777777" w:rsidR="001506C1" w:rsidRPr="00FA3F9C" w:rsidRDefault="001506C1" w:rsidP="007B6A48">
      <w:pPr>
        <w:spacing w:after="0" w:line="240" w:lineRule="auto"/>
        <w:jc w:val="center"/>
        <w:rPr>
          <w:rFonts w:ascii="Arial" w:hAnsi="Arial" w:cs="Arial"/>
          <w:b/>
          <w:sz w:val="24"/>
          <w:szCs w:val="24"/>
        </w:rPr>
      </w:pPr>
      <w:proofErr w:type="spellStart"/>
      <w:r w:rsidRPr="00FA3F9C">
        <w:rPr>
          <w:rFonts w:ascii="Arial" w:hAnsi="Arial" w:cs="Arial"/>
          <w:b/>
          <w:sz w:val="24"/>
          <w:szCs w:val="24"/>
        </w:rPr>
        <w:t>AbobotulinumtoxinA</w:t>
      </w:r>
      <w:proofErr w:type="spellEnd"/>
      <w:r w:rsidRPr="00FA3F9C">
        <w:rPr>
          <w:rFonts w:ascii="Arial" w:hAnsi="Arial" w:cs="Arial"/>
          <w:b/>
          <w:sz w:val="24"/>
          <w:szCs w:val="24"/>
        </w:rPr>
        <w:t xml:space="preserve"> (Dysport)</w:t>
      </w:r>
    </w:p>
    <w:p w14:paraId="46C97586" w14:textId="6420A56D" w:rsidR="001506C1" w:rsidRPr="00FA3F9C" w:rsidRDefault="001506C1" w:rsidP="007B6A48">
      <w:pPr>
        <w:spacing w:after="0" w:line="240" w:lineRule="auto"/>
        <w:jc w:val="center"/>
        <w:rPr>
          <w:rFonts w:ascii="Arial" w:hAnsi="Arial" w:cs="Arial"/>
          <w:b/>
          <w:sz w:val="24"/>
          <w:szCs w:val="24"/>
        </w:rPr>
      </w:pPr>
      <w:proofErr w:type="spellStart"/>
      <w:r w:rsidRPr="00FA3F9C">
        <w:rPr>
          <w:rFonts w:ascii="Arial" w:hAnsi="Arial" w:cs="Arial"/>
          <w:b/>
          <w:sz w:val="24"/>
          <w:szCs w:val="24"/>
        </w:rPr>
        <w:t>IncobotulinumtoxinA</w:t>
      </w:r>
      <w:proofErr w:type="spellEnd"/>
      <w:r w:rsidRPr="00FA3F9C">
        <w:rPr>
          <w:rFonts w:ascii="Arial" w:hAnsi="Arial" w:cs="Arial"/>
          <w:b/>
          <w:sz w:val="24"/>
          <w:szCs w:val="24"/>
        </w:rPr>
        <w:t xml:space="preserve"> (</w:t>
      </w:r>
      <w:proofErr w:type="spellStart"/>
      <w:r w:rsidRPr="00FA3F9C">
        <w:rPr>
          <w:rFonts w:ascii="Arial" w:hAnsi="Arial" w:cs="Arial"/>
          <w:b/>
          <w:sz w:val="24"/>
          <w:szCs w:val="24"/>
        </w:rPr>
        <w:t>Xeomin</w:t>
      </w:r>
      <w:proofErr w:type="spellEnd"/>
      <w:r w:rsidRPr="00FA3F9C">
        <w:rPr>
          <w:rFonts w:ascii="Arial" w:hAnsi="Arial" w:cs="Arial"/>
          <w:b/>
          <w:sz w:val="24"/>
          <w:szCs w:val="24"/>
        </w:rPr>
        <w:t>)—</w:t>
      </w:r>
      <w:r w:rsidRPr="00FA3F9C">
        <w:rPr>
          <w:rFonts w:ascii="Arial" w:hAnsi="Arial" w:cs="Arial"/>
          <w:b/>
          <w:sz w:val="24"/>
          <w:szCs w:val="24"/>
          <w:highlight w:val="cyan"/>
        </w:rPr>
        <w:t>Cover</w:t>
      </w:r>
      <w:r w:rsidR="00FC1E85">
        <w:rPr>
          <w:rFonts w:ascii="Arial" w:hAnsi="Arial" w:cs="Arial"/>
          <w:b/>
          <w:sz w:val="24"/>
          <w:szCs w:val="24"/>
          <w:highlight w:val="cyan"/>
        </w:rPr>
        <w:t>ed</w:t>
      </w:r>
      <w:r w:rsidRPr="00FA3F9C">
        <w:rPr>
          <w:rFonts w:ascii="Arial" w:hAnsi="Arial" w:cs="Arial"/>
          <w:b/>
          <w:sz w:val="24"/>
          <w:szCs w:val="24"/>
          <w:highlight w:val="cyan"/>
        </w:rPr>
        <w:t xml:space="preserve"> by EBD plans</w:t>
      </w:r>
    </w:p>
    <w:p w14:paraId="39AE7B23" w14:textId="773E73A0" w:rsidR="001506C1" w:rsidRPr="00FA3F9C" w:rsidRDefault="001506C1" w:rsidP="007B6A48">
      <w:pPr>
        <w:spacing w:after="0" w:line="240" w:lineRule="auto"/>
        <w:jc w:val="center"/>
        <w:rPr>
          <w:rFonts w:ascii="Arial" w:hAnsi="Arial" w:cs="Arial"/>
          <w:b/>
          <w:sz w:val="24"/>
          <w:szCs w:val="24"/>
        </w:rPr>
      </w:pPr>
      <w:proofErr w:type="spellStart"/>
      <w:r w:rsidRPr="00FA3F9C">
        <w:rPr>
          <w:rFonts w:ascii="Arial" w:hAnsi="Arial" w:cs="Arial"/>
          <w:b/>
          <w:sz w:val="24"/>
          <w:szCs w:val="24"/>
        </w:rPr>
        <w:t>OnabotulinumtoxinA</w:t>
      </w:r>
      <w:proofErr w:type="spellEnd"/>
      <w:r w:rsidRPr="00FA3F9C">
        <w:rPr>
          <w:rFonts w:ascii="Arial" w:hAnsi="Arial" w:cs="Arial"/>
          <w:b/>
          <w:sz w:val="24"/>
          <w:szCs w:val="24"/>
        </w:rPr>
        <w:t xml:space="preserve"> (Botox)</w:t>
      </w:r>
    </w:p>
    <w:p w14:paraId="75B6B5F1" w14:textId="77777777" w:rsidR="001506C1" w:rsidRPr="00FA3F9C" w:rsidRDefault="001506C1" w:rsidP="007B6A48">
      <w:pPr>
        <w:spacing w:after="0" w:line="240" w:lineRule="auto"/>
        <w:jc w:val="center"/>
        <w:rPr>
          <w:rFonts w:ascii="Arial" w:hAnsi="Arial" w:cs="Arial"/>
          <w:b/>
          <w:sz w:val="24"/>
          <w:szCs w:val="24"/>
        </w:rPr>
      </w:pPr>
      <w:proofErr w:type="spellStart"/>
      <w:r w:rsidRPr="00FA3F9C">
        <w:rPr>
          <w:rFonts w:ascii="Arial" w:hAnsi="Arial" w:cs="Arial"/>
          <w:b/>
          <w:sz w:val="24"/>
          <w:szCs w:val="24"/>
        </w:rPr>
        <w:t>PrabotulinumtoxinA</w:t>
      </w:r>
      <w:proofErr w:type="spellEnd"/>
      <w:r w:rsidRPr="00FA3F9C">
        <w:rPr>
          <w:rFonts w:ascii="Arial" w:hAnsi="Arial" w:cs="Arial"/>
          <w:b/>
          <w:sz w:val="24"/>
          <w:szCs w:val="24"/>
        </w:rPr>
        <w:t xml:space="preserve"> (</w:t>
      </w:r>
      <w:proofErr w:type="spellStart"/>
      <w:r w:rsidRPr="00FA3F9C">
        <w:rPr>
          <w:rFonts w:ascii="Arial" w:hAnsi="Arial" w:cs="Arial"/>
          <w:b/>
          <w:sz w:val="24"/>
          <w:szCs w:val="24"/>
        </w:rPr>
        <w:t>Jeuveau</w:t>
      </w:r>
      <w:proofErr w:type="spellEnd"/>
      <w:r w:rsidRPr="00FA3F9C">
        <w:rPr>
          <w:rFonts w:ascii="Arial" w:hAnsi="Arial" w:cs="Arial"/>
          <w:b/>
          <w:sz w:val="24"/>
          <w:szCs w:val="24"/>
        </w:rPr>
        <w:t>)</w:t>
      </w:r>
    </w:p>
    <w:p w14:paraId="7D6EE2A5" w14:textId="5C063EAF" w:rsidR="001506C1" w:rsidRPr="00FA3F9C" w:rsidRDefault="001506C1" w:rsidP="007B6A48">
      <w:pPr>
        <w:spacing w:after="0" w:line="240" w:lineRule="auto"/>
        <w:jc w:val="center"/>
        <w:rPr>
          <w:rFonts w:ascii="Arial" w:hAnsi="Arial" w:cs="Arial"/>
          <w:b/>
          <w:sz w:val="24"/>
          <w:szCs w:val="24"/>
        </w:rPr>
      </w:pPr>
      <w:proofErr w:type="spellStart"/>
      <w:r w:rsidRPr="00FA3F9C">
        <w:rPr>
          <w:rFonts w:ascii="Arial" w:hAnsi="Arial" w:cs="Arial"/>
          <w:b/>
          <w:sz w:val="24"/>
          <w:szCs w:val="24"/>
        </w:rPr>
        <w:t>RimabotulinumtoxinB</w:t>
      </w:r>
      <w:proofErr w:type="spellEnd"/>
      <w:r w:rsidRPr="00FA3F9C">
        <w:rPr>
          <w:rFonts w:ascii="Arial" w:hAnsi="Arial" w:cs="Arial"/>
          <w:b/>
          <w:sz w:val="24"/>
          <w:szCs w:val="24"/>
        </w:rPr>
        <w:t xml:space="preserve"> (</w:t>
      </w:r>
      <w:proofErr w:type="spellStart"/>
      <w:r w:rsidRPr="00FA3F9C">
        <w:rPr>
          <w:rFonts w:ascii="Arial" w:hAnsi="Arial" w:cs="Arial"/>
          <w:b/>
          <w:sz w:val="24"/>
          <w:szCs w:val="24"/>
        </w:rPr>
        <w:t>Myobloc</w:t>
      </w:r>
      <w:proofErr w:type="spellEnd"/>
      <w:r w:rsidRPr="00FA3F9C">
        <w:rPr>
          <w:rFonts w:ascii="Arial" w:hAnsi="Arial" w:cs="Arial"/>
          <w:b/>
          <w:sz w:val="24"/>
          <w:szCs w:val="24"/>
        </w:rPr>
        <w:t>)</w:t>
      </w:r>
    </w:p>
    <w:p w14:paraId="21F9DD23" w14:textId="77777777" w:rsidR="001506C1" w:rsidRPr="00FA3F9C" w:rsidRDefault="001506C1" w:rsidP="007B6A48">
      <w:pPr>
        <w:spacing w:after="0" w:line="240" w:lineRule="auto"/>
        <w:jc w:val="center"/>
        <w:rPr>
          <w:rFonts w:ascii="Arial" w:hAnsi="Arial" w:cs="Arial"/>
          <w:b/>
          <w:sz w:val="24"/>
          <w:szCs w:val="24"/>
        </w:rPr>
      </w:pPr>
      <w:r w:rsidRPr="00FA3F9C">
        <w:rPr>
          <w:rFonts w:ascii="Arial" w:hAnsi="Arial" w:cs="Arial"/>
          <w:b/>
          <w:sz w:val="24"/>
          <w:szCs w:val="24"/>
        </w:rPr>
        <w:t>10/2/2019</w:t>
      </w:r>
    </w:p>
    <w:p w14:paraId="09A551AC" w14:textId="77777777" w:rsidR="001506C1" w:rsidRPr="00FA3F9C" w:rsidRDefault="001506C1" w:rsidP="007B6A48">
      <w:pPr>
        <w:spacing w:after="0" w:line="240" w:lineRule="auto"/>
        <w:rPr>
          <w:rFonts w:ascii="Arial" w:hAnsi="Arial" w:cs="Arial"/>
          <w:b/>
          <w:sz w:val="24"/>
          <w:szCs w:val="24"/>
        </w:rPr>
      </w:pPr>
    </w:p>
    <w:tbl>
      <w:tblPr>
        <w:tblStyle w:val="TableGrid"/>
        <w:tblW w:w="0" w:type="auto"/>
        <w:tblLook w:val="04A0" w:firstRow="1" w:lastRow="0" w:firstColumn="1" w:lastColumn="0" w:noHBand="0" w:noVBand="1"/>
      </w:tblPr>
      <w:tblGrid>
        <w:gridCol w:w="8553"/>
        <w:gridCol w:w="5117"/>
      </w:tblGrid>
      <w:tr w:rsidR="001506C1" w:rsidRPr="00FA3F9C" w14:paraId="0F76A864" w14:textId="77777777" w:rsidTr="00AF56F4">
        <w:tc>
          <w:tcPr>
            <w:tcW w:w="8928" w:type="dxa"/>
            <w:shd w:val="clear" w:color="auto" w:fill="000000"/>
          </w:tcPr>
          <w:p w14:paraId="263AF1AD" w14:textId="77777777" w:rsidR="001506C1" w:rsidRPr="00FA3F9C" w:rsidRDefault="001506C1" w:rsidP="00457F7B">
            <w:pPr>
              <w:rPr>
                <w:rFonts w:ascii="Arial" w:hAnsi="Arial" w:cs="Arial"/>
                <w:b/>
                <w:sz w:val="24"/>
                <w:szCs w:val="24"/>
                <w:u w:val="single"/>
              </w:rPr>
            </w:pPr>
            <w:r w:rsidRPr="00FA3F9C">
              <w:rPr>
                <w:rFonts w:ascii="Arial" w:hAnsi="Arial" w:cs="Arial"/>
                <w:b/>
                <w:sz w:val="24"/>
                <w:szCs w:val="24"/>
                <w:u w:val="single"/>
              </w:rPr>
              <w:t>Criteria for new users</w:t>
            </w:r>
          </w:p>
        </w:tc>
        <w:tc>
          <w:tcPr>
            <w:tcW w:w="5377" w:type="dxa"/>
            <w:shd w:val="clear" w:color="auto" w:fill="000000"/>
          </w:tcPr>
          <w:p w14:paraId="3E564A8C" w14:textId="77777777" w:rsidR="001506C1" w:rsidRPr="00FA3F9C" w:rsidRDefault="001506C1" w:rsidP="00457F7B">
            <w:pPr>
              <w:jc w:val="center"/>
              <w:rPr>
                <w:rFonts w:ascii="Arial" w:hAnsi="Arial" w:cs="Arial"/>
                <w:b/>
                <w:sz w:val="24"/>
                <w:szCs w:val="24"/>
                <w:u w:val="single"/>
              </w:rPr>
            </w:pPr>
          </w:p>
        </w:tc>
      </w:tr>
      <w:tr w:rsidR="001506C1" w:rsidRPr="00FA3F9C" w14:paraId="44DC62ED" w14:textId="77777777" w:rsidTr="00AF56F4">
        <w:tc>
          <w:tcPr>
            <w:tcW w:w="14305" w:type="dxa"/>
            <w:gridSpan w:val="2"/>
          </w:tcPr>
          <w:p w14:paraId="5626BB66" w14:textId="77777777" w:rsidR="001506C1" w:rsidRPr="00FA3F9C" w:rsidRDefault="001506C1" w:rsidP="00457F7B">
            <w:pPr>
              <w:rPr>
                <w:rFonts w:ascii="Arial" w:hAnsi="Arial" w:cs="Arial"/>
                <w:sz w:val="24"/>
                <w:szCs w:val="24"/>
              </w:rPr>
            </w:pPr>
            <w:r w:rsidRPr="00FA3F9C">
              <w:rPr>
                <w:rFonts w:ascii="Arial" w:hAnsi="Arial" w:cs="Arial"/>
                <w:sz w:val="24"/>
                <w:szCs w:val="24"/>
              </w:rPr>
              <w:t>1. The patient must have the diagnosis of:</w:t>
            </w:r>
          </w:p>
          <w:p w14:paraId="26F0254D" w14:textId="77777777" w:rsidR="001506C1" w:rsidRPr="00FA3F9C" w:rsidRDefault="001506C1" w:rsidP="001506C1">
            <w:pPr>
              <w:pStyle w:val="ListParagraph"/>
              <w:numPr>
                <w:ilvl w:val="0"/>
                <w:numId w:val="60"/>
              </w:numPr>
              <w:rPr>
                <w:rFonts w:ascii="Arial" w:hAnsi="Arial" w:cs="Arial"/>
                <w:sz w:val="24"/>
                <w:szCs w:val="24"/>
              </w:rPr>
            </w:pPr>
            <w:r w:rsidRPr="00FA3F9C">
              <w:rPr>
                <w:rFonts w:ascii="Arial" w:hAnsi="Arial" w:cs="Arial"/>
                <w:sz w:val="24"/>
                <w:szCs w:val="24"/>
              </w:rPr>
              <w:t>Axillary hyperhidrosis OR</w:t>
            </w:r>
          </w:p>
          <w:p w14:paraId="65D3CE5E" w14:textId="77777777" w:rsidR="001506C1" w:rsidRPr="00FA3F9C" w:rsidRDefault="001506C1" w:rsidP="001506C1">
            <w:pPr>
              <w:pStyle w:val="ListParagraph"/>
              <w:numPr>
                <w:ilvl w:val="0"/>
                <w:numId w:val="60"/>
              </w:numPr>
              <w:rPr>
                <w:rFonts w:ascii="Arial" w:hAnsi="Arial" w:cs="Arial"/>
                <w:sz w:val="24"/>
                <w:szCs w:val="24"/>
              </w:rPr>
            </w:pPr>
            <w:r w:rsidRPr="00FA3F9C">
              <w:rPr>
                <w:rFonts w:ascii="Arial" w:hAnsi="Arial" w:cs="Arial"/>
                <w:sz w:val="24"/>
                <w:szCs w:val="24"/>
              </w:rPr>
              <w:t>Cervical dystonia OR</w:t>
            </w:r>
          </w:p>
          <w:p w14:paraId="09A0CC5C" w14:textId="77777777" w:rsidR="001506C1" w:rsidRPr="00FA3F9C" w:rsidRDefault="001506C1" w:rsidP="001506C1">
            <w:pPr>
              <w:pStyle w:val="ListParagraph"/>
              <w:numPr>
                <w:ilvl w:val="0"/>
                <w:numId w:val="60"/>
              </w:numPr>
              <w:rPr>
                <w:rFonts w:ascii="Arial" w:hAnsi="Arial" w:cs="Arial"/>
                <w:sz w:val="24"/>
                <w:szCs w:val="24"/>
              </w:rPr>
            </w:pPr>
            <w:r w:rsidRPr="00FA3F9C">
              <w:rPr>
                <w:rFonts w:ascii="Arial" w:hAnsi="Arial" w:cs="Arial"/>
                <w:sz w:val="24"/>
                <w:szCs w:val="24"/>
              </w:rPr>
              <w:t>Chronic migraine (&gt;15 headache days/month for the previous 3 months, lasting &gt;4 hours per day; AND still have an inadequate response to triptan therapy). OR</w:t>
            </w:r>
          </w:p>
          <w:p w14:paraId="78CCA196" w14:textId="77777777" w:rsidR="001506C1" w:rsidRPr="00FA3F9C" w:rsidRDefault="001506C1" w:rsidP="001506C1">
            <w:pPr>
              <w:pStyle w:val="ListParagraph"/>
              <w:numPr>
                <w:ilvl w:val="0"/>
                <w:numId w:val="60"/>
              </w:numPr>
              <w:rPr>
                <w:rFonts w:ascii="Arial" w:hAnsi="Arial" w:cs="Arial"/>
                <w:sz w:val="24"/>
                <w:szCs w:val="24"/>
              </w:rPr>
            </w:pPr>
            <w:r w:rsidRPr="00FA3F9C">
              <w:rPr>
                <w:rFonts w:ascii="Arial" w:hAnsi="Arial" w:cs="Arial"/>
                <w:sz w:val="24"/>
                <w:szCs w:val="24"/>
              </w:rPr>
              <w:lastRenderedPageBreak/>
              <w:t>Spasticity OR</w:t>
            </w:r>
          </w:p>
          <w:p w14:paraId="5D5FF239" w14:textId="77777777" w:rsidR="001506C1" w:rsidRPr="00FA3F9C" w:rsidRDefault="001506C1" w:rsidP="001506C1">
            <w:pPr>
              <w:pStyle w:val="ListParagraph"/>
              <w:numPr>
                <w:ilvl w:val="0"/>
                <w:numId w:val="60"/>
              </w:numPr>
              <w:rPr>
                <w:rFonts w:ascii="Arial" w:hAnsi="Arial" w:cs="Arial"/>
                <w:sz w:val="24"/>
                <w:szCs w:val="24"/>
              </w:rPr>
            </w:pPr>
            <w:r w:rsidRPr="00FA3F9C">
              <w:rPr>
                <w:rFonts w:ascii="Arial" w:hAnsi="Arial" w:cs="Arial"/>
                <w:sz w:val="24"/>
                <w:szCs w:val="24"/>
              </w:rPr>
              <w:t>Sialorrhea</w:t>
            </w:r>
          </w:p>
        </w:tc>
      </w:tr>
      <w:tr w:rsidR="001506C1" w:rsidRPr="00FA3F9C" w14:paraId="0E10170F" w14:textId="77777777" w:rsidTr="00AF56F4">
        <w:tc>
          <w:tcPr>
            <w:tcW w:w="14305" w:type="dxa"/>
            <w:gridSpan w:val="2"/>
          </w:tcPr>
          <w:p w14:paraId="55CBFF5B" w14:textId="77777777" w:rsidR="001506C1" w:rsidRPr="00FA3F9C" w:rsidRDefault="001506C1" w:rsidP="00457F7B">
            <w:pPr>
              <w:rPr>
                <w:rFonts w:ascii="Arial" w:hAnsi="Arial" w:cs="Arial"/>
                <w:b/>
                <w:sz w:val="24"/>
                <w:szCs w:val="24"/>
              </w:rPr>
            </w:pPr>
            <w:r w:rsidRPr="00FA3F9C">
              <w:rPr>
                <w:rFonts w:ascii="Arial" w:hAnsi="Arial" w:cs="Arial"/>
                <w:b/>
                <w:sz w:val="24"/>
                <w:szCs w:val="24"/>
              </w:rPr>
              <w:lastRenderedPageBreak/>
              <w:t>Note: EBRx will not approve use for strabismus.  Please see subsection below.</w:t>
            </w:r>
          </w:p>
        </w:tc>
      </w:tr>
      <w:tr w:rsidR="001506C1" w:rsidRPr="00FA3F9C" w14:paraId="3E2F975D" w14:textId="77777777" w:rsidTr="00AF56F4">
        <w:tc>
          <w:tcPr>
            <w:tcW w:w="14305" w:type="dxa"/>
            <w:gridSpan w:val="2"/>
          </w:tcPr>
          <w:p w14:paraId="1A515B7D" w14:textId="77777777" w:rsidR="001506C1" w:rsidRPr="00FA3F9C" w:rsidRDefault="001506C1" w:rsidP="00457F7B">
            <w:pPr>
              <w:rPr>
                <w:rFonts w:ascii="Arial" w:hAnsi="Arial" w:cs="Arial"/>
                <w:sz w:val="24"/>
                <w:szCs w:val="24"/>
              </w:rPr>
            </w:pPr>
            <w:r w:rsidRPr="00FA3F9C">
              <w:rPr>
                <w:rFonts w:ascii="Arial" w:hAnsi="Arial" w:cs="Arial"/>
                <w:sz w:val="24"/>
                <w:szCs w:val="24"/>
              </w:rPr>
              <w:t>If the criteria are fulfilled, approve PA for 1 year.</w:t>
            </w:r>
          </w:p>
        </w:tc>
      </w:tr>
    </w:tbl>
    <w:p w14:paraId="42CE932B" w14:textId="77777777" w:rsidR="001506C1" w:rsidRPr="00FA3F9C" w:rsidRDefault="001506C1" w:rsidP="007B6A48">
      <w:pPr>
        <w:spacing w:after="0" w:line="240" w:lineRule="auto"/>
        <w:rPr>
          <w:rFonts w:ascii="Arial" w:hAnsi="Arial" w:cs="Arial"/>
          <w:b/>
          <w:sz w:val="24"/>
          <w:szCs w:val="24"/>
        </w:rPr>
      </w:pPr>
    </w:p>
    <w:tbl>
      <w:tblPr>
        <w:tblStyle w:val="TableGrid"/>
        <w:tblW w:w="14305" w:type="dxa"/>
        <w:tblLayout w:type="fixed"/>
        <w:tblLook w:val="04A0" w:firstRow="1" w:lastRow="0" w:firstColumn="1" w:lastColumn="0" w:noHBand="0" w:noVBand="1"/>
      </w:tblPr>
      <w:tblGrid>
        <w:gridCol w:w="1165"/>
        <w:gridCol w:w="1080"/>
        <w:gridCol w:w="810"/>
        <w:gridCol w:w="810"/>
        <w:gridCol w:w="810"/>
        <w:gridCol w:w="810"/>
        <w:gridCol w:w="900"/>
        <w:gridCol w:w="810"/>
        <w:gridCol w:w="810"/>
        <w:gridCol w:w="900"/>
        <w:gridCol w:w="900"/>
        <w:gridCol w:w="1170"/>
        <w:gridCol w:w="1080"/>
        <w:gridCol w:w="810"/>
        <w:gridCol w:w="1440"/>
      </w:tblGrid>
      <w:tr w:rsidR="001506C1" w:rsidRPr="00FA3F9C" w14:paraId="71BFC5B3" w14:textId="77777777" w:rsidTr="000B4FA3">
        <w:tc>
          <w:tcPr>
            <w:tcW w:w="1165" w:type="dxa"/>
            <w:tcBorders>
              <w:bottom w:val="single" w:sz="4" w:space="0" w:color="auto"/>
            </w:tcBorders>
          </w:tcPr>
          <w:p w14:paraId="09F09DEF" w14:textId="77777777" w:rsidR="001506C1" w:rsidRPr="00FA3F9C" w:rsidRDefault="001506C1" w:rsidP="007B6A48">
            <w:pPr>
              <w:rPr>
                <w:rFonts w:ascii="Arial" w:hAnsi="Arial" w:cs="Arial"/>
                <w:b/>
                <w:sz w:val="24"/>
                <w:szCs w:val="24"/>
              </w:rPr>
            </w:pPr>
            <w:r w:rsidRPr="00FA3F9C">
              <w:rPr>
                <w:rFonts w:ascii="Arial" w:hAnsi="Arial" w:cs="Arial"/>
                <w:b/>
                <w:sz w:val="24"/>
                <w:szCs w:val="24"/>
              </w:rPr>
              <w:t>FDA-approved uses:</w:t>
            </w:r>
          </w:p>
        </w:tc>
        <w:tc>
          <w:tcPr>
            <w:tcW w:w="1080" w:type="dxa"/>
            <w:tcBorders>
              <w:bottom w:val="single" w:sz="4" w:space="0" w:color="auto"/>
            </w:tcBorders>
          </w:tcPr>
          <w:p w14:paraId="6EE78DF9" w14:textId="77777777" w:rsidR="001506C1" w:rsidRPr="00FA3F9C" w:rsidRDefault="001506C1" w:rsidP="007B6A48">
            <w:pPr>
              <w:rPr>
                <w:rFonts w:ascii="Arial" w:hAnsi="Arial" w:cs="Arial"/>
                <w:b/>
                <w:sz w:val="24"/>
                <w:szCs w:val="24"/>
              </w:rPr>
            </w:pPr>
            <w:r w:rsidRPr="00FA3F9C">
              <w:rPr>
                <w:rFonts w:ascii="Arial" w:hAnsi="Arial" w:cs="Arial"/>
                <w:b/>
                <w:sz w:val="24"/>
                <w:szCs w:val="24"/>
              </w:rPr>
              <w:t>Axillary hyperhidrosis</w:t>
            </w:r>
          </w:p>
        </w:tc>
        <w:tc>
          <w:tcPr>
            <w:tcW w:w="810" w:type="dxa"/>
            <w:tcBorders>
              <w:bottom w:val="single" w:sz="4" w:space="0" w:color="auto"/>
            </w:tcBorders>
          </w:tcPr>
          <w:p w14:paraId="443E737B" w14:textId="77777777" w:rsidR="001506C1" w:rsidRPr="00FA3F9C" w:rsidRDefault="001506C1" w:rsidP="007B6A48">
            <w:pPr>
              <w:rPr>
                <w:rFonts w:ascii="Arial" w:hAnsi="Arial" w:cs="Arial"/>
                <w:b/>
                <w:sz w:val="24"/>
                <w:szCs w:val="24"/>
              </w:rPr>
            </w:pPr>
            <w:r w:rsidRPr="00FA3F9C">
              <w:rPr>
                <w:rFonts w:ascii="Arial" w:hAnsi="Arial" w:cs="Arial"/>
                <w:b/>
                <w:sz w:val="24"/>
                <w:szCs w:val="24"/>
              </w:rPr>
              <w:t>Cervical dystonia</w:t>
            </w:r>
          </w:p>
        </w:tc>
        <w:tc>
          <w:tcPr>
            <w:tcW w:w="810" w:type="dxa"/>
            <w:tcBorders>
              <w:bottom w:val="single" w:sz="4" w:space="0" w:color="auto"/>
            </w:tcBorders>
          </w:tcPr>
          <w:p w14:paraId="2AE1106C" w14:textId="77777777" w:rsidR="001506C1" w:rsidRPr="00FA3F9C" w:rsidRDefault="001506C1" w:rsidP="007B6A48">
            <w:pPr>
              <w:rPr>
                <w:rFonts w:ascii="Arial" w:hAnsi="Arial" w:cs="Arial"/>
                <w:b/>
                <w:sz w:val="24"/>
                <w:szCs w:val="24"/>
              </w:rPr>
            </w:pPr>
            <w:r w:rsidRPr="00FA3F9C">
              <w:rPr>
                <w:rFonts w:ascii="Arial" w:hAnsi="Arial" w:cs="Arial"/>
                <w:b/>
                <w:sz w:val="24"/>
                <w:szCs w:val="24"/>
              </w:rPr>
              <w:t>Chronic migraine</w:t>
            </w:r>
          </w:p>
        </w:tc>
        <w:tc>
          <w:tcPr>
            <w:tcW w:w="810" w:type="dxa"/>
            <w:tcBorders>
              <w:bottom w:val="single" w:sz="4" w:space="0" w:color="auto"/>
            </w:tcBorders>
          </w:tcPr>
          <w:p w14:paraId="173FD7CD" w14:textId="77777777" w:rsidR="001506C1" w:rsidRPr="00FA3F9C" w:rsidRDefault="001506C1" w:rsidP="007B6A48">
            <w:pPr>
              <w:rPr>
                <w:rFonts w:ascii="Arial" w:hAnsi="Arial" w:cs="Arial"/>
                <w:b/>
                <w:sz w:val="24"/>
                <w:szCs w:val="24"/>
              </w:rPr>
            </w:pPr>
            <w:r w:rsidRPr="00FA3F9C">
              <w:rPr>
                <w:rFonts w:ascii="Arial" w:hAnsi="Arial" w:cs="Arial"/>
                <w:b/>
                <w:sz w:val="24"/>
                <w:szCs w:val="24"/>
              </w:rPr>
              <w:t>Glabellar lines</w:t>
            </w:r>
          </w:p>
        </w:tc>
        <w:tc>
          <w:tcPr>
            <w:tcW w:w="810" w:type="dxa"/>
            <w:tcBorders>
              <w:bottom w:val="single" w:sz="4" w:space="0" w:color="auto"/>
            </w:tcBorders>
          </w:tcPr>
          <w:p w14:paraId="0746A1C7" w14:textId="77777777" w:rsidR="001506C1" w:rsidRPr="00FA3F9C" w:rsidRDefault="001506C1" w:rsidP="007B6A48">
            <w:pPr>
              <w:rPr>
                <w:rFonts w:ascii="Arial" w:hAnsi="Arial" w:cs="Arial"/>
                <w:b/>
                <w:sz w:val="24"/>
                <w:szCs w:val="24"/>
              </w:rPr>
            </w:pPr>
            <w:r w:rsidRPr="00FA3F9C">
              <w:rPr>
                <w:rFonts w:ascii="Arial" w:hAnsi="Arial" w:cs="Arial"/>
                <w:b/>
                <w:sz w:val="24"/>
                <w:szCs w:val="24"/>
              </w:rPr>
              <w:t>Forehead lines</w:t>
            </w:r>
          </w:p>
        </w:tc>
        <w:tc>
          <w:tcPr>
            <w:tcW w:w="900" w:type="dxa"/>
            <w:tcBorders>
              <w:bottom w:val="single" w:sz="4" w:space="0" w:color="auto"/>
              <w:right w:val="single" w:sz="48" w:space="0" w:color="auto"/>
            </w:tcBorders>
          </w:tcPr>
          <w:p w14:paraId="3BB8FBA7" w14:textId="77777777" w:rsidR="001506C1" w:rsidRPr="00FA3F9C" w:rsidRDefault="001506C1" w:rsidP="007B6A48">
            <w:pPr>
              <w:rPr>
                <w:rFonts w:ascii="Arial" w:hAnsi="Arial" w:cs="Arial"/>
                <w:b/>
                <w:sz w:val="24"/>
                <w:szCs w:val="24"/>
              </w:rPr>
            </w:pPr>
            <w:r w:rsidRPr="00FA3F9C">
              <w:rPr>
                <w:rFonts w:ascii="Arial" w:hAnsi="Arial" w:cs="Arial"/>
                <w:b/>
                <w:sz w:val="24"/>
                <w:szCs w:val="24"/>
              </w:rPr>
              <w:t>Lateral canthal lines</w:t>
            </w:r>
          </w:p>
        </w:tc>
        <w:tc>
          <w:tcPr>
            <w:tcW w:w="810" w:type="dxa"/>
            <w:tcBorders>
              <w:top w:val="single" w:sz="48" w:space="0" w:color="auto"/>
              <w:left w:val="single" w:sz="48" w:space="0" w:color="auto"/>
              <w:bottom w:val="single" w:sz="48" w:space="0" w:color="auto"/>
              <w:right w:val="single" w:sz="48" w:space="0" w:color="auto"/>
            </w:tcBorders>
          </w:tcPr>
          <w:p w14:paraId="429AFD86" w14:textId="77777777" w:rsidR="001506C1" w:rsidRPr="00FA3F9C" w:rsidRDefault="001506C1" w:rsidP="007B6A48">
            <w:pPr>
              <w:rPr>
                <w:rFonts w:ascii="Arial" w:hAnsi="Arial" w:cs="Arial"/>
                <w:b/>
                <w:sz w:val="24"/>
                <w:szCs w:val="24"/>
              </w:rPr>
            </w:pPr>
            <w:r w:rsidRPr="00FA3F9C">
              <w:rPr>
                <w:rFonts w:ascii="Arial" w:hAnsi="Arial" w:cs="Arial"/>
                <w:b/>
                <w:sz w:val="24"/>
                <w:szCs w:val="24"/>
              </w:rPr>
              <w:t>Upper limb spasticity</w:t>
            </w:r>
          </w:p>
        </w:tc>
        <w:tc>
          <w:tcPr>
            <w:tcW w:w="810" w:type="dxa"/>
            <w:tcBorders>
              <w:top w:val="single" w:sz="48" w:space="0" w:color="auto"/>
              <w:left w:val="single" w:sz="48" w:space="0" w:color="auto"/>
              <w:bottom w:val="single" w:sz="48" w:space="0" w:color="auto"/>
              <w:right w:val="single" w:sz="48" w:space="0" w:color="auto"/>
            </w:tcBorders>
          </w:tcPr>
          <w:p w14:paraId="4EFCDEF0" w14:textId="77777777" w:rsidR="001506C1" w:rsidRPr="00FA3F9C" w:rsidRDefault="001506C1" w:rsidP="007B6A48">
            <w:pPr>
              <w:rPr>
                <w:rFonts w:ascii="Arial" w:hAnsi="Arial" w:cs="Arial"/>
                <w:b/>
                <w:sz w:val="24"/>
                <w:szCs w:val="24"/>
              </w:rPr>
            </w:pPr>
            <w:r w:rsidRPr="00FA3F9C">
              <w:rPr>
                <w:rFonts w:ascii="Arial" w:hAnsi="Arial" w:cs="Arial"/>
                <w:b/>
                <w:sz w:val="24"/>
                <w:szCs w:val="24"/>
              </w:rPr>
              <w:t>Lower limb spasticity</w:t>
            </w:r>
          </w:p>
        </w:tc>
        <w:tc>
          <w:tcPr>
            <w:tcW w:w="900" w:type="dxa"/>
            <w:tcBorders>
              <w:top w:val="single" w:sz="48" w:space="0" w:color="auto"/>
              <w:left w:val="single" w:sz="48" w:space="0" w:color="auto"/>
              <w:bottom w:val="single" w:sz="48" w:space="0" w:color="auto"/>
              <w:right w:val="single" w:sz="48" w:space="0" w:color="auto"/>
            </w:tcBorders>
          </w:tcPr>
          <w:p w14:paraId="56016E2F" w14:textId="77777777" w:rsidR="001506C1" w:rsidRPr="00FA3F9C" w:rsidRDefault="001506C1" w:rsidP="007B6A48">
            <w:pPr>
              <w:rPr>
                <w:rFonts w:ascii="Arial" w:hAnsi="Arial" w:cs="Arial"/>
                <w:b/>
                <w:sz w:val="24"/>
                <w:szCs w:val="24"/>
              </w:rPr>
            </w:pPr>
            <w:r w:rsidRPr="00FA3F9C">
              <w:rPr>
                <w:rFonts w:ascii="Arial" w:hAnsi="Arial" w:cs="Arial"/>
                <w:b/>
                <w:sz w:val="24"/>
                <w:szCs w:val="24"/>
              </w:rPr>
              <w:t>Spasticity in adults</w:t>
            </w:r>
          </w:p>
        </w:tc>
        <w:tc>
          <w:tcPr>
            <w:tcW w:w="900" w:type="dxa"/>
            <w:tcBorders>
              <w:left w:val="single" w:sz="48" w:space="0" w:color="auto"/>
              <w:bottom w:val="single" w:sz="4" w:space="0" w:color="auto"/>
            </w:tcBorders>
          </w:tcPr>
          <w:p w14:paraId="0FECE87B" w14:textId="77777777" w:rsidR="001506C1" w:rsidRPr="00FA3F9C" w:rsidRDefault="001506C1" w:rsidP="007B6A48">
            <w:pPr>
              <w:rPr>
                <w:rFonts w:ascii="Arial" w:hAnsi="Arial" w:cs="Arial"/>
                <w:b/>
                <w:sz w:val="24"/>
                <w:szCs w:val="24"/>
              </w:rPr>
            </w:pPr>
            <w:r w:rsidRPr="00FA3F9C">
              <w:rPr>
                <w:rFonts w:ascii="Arial" w:hAnsi="Arial" w:cs="Arial"/>
                <w:b/>
                <w:sz w:val="24"/>
                <w:szCs w:val="24"/>
              </w:rPr>
              <w:t>Overactive bladder</w:t>
            </w:r>
          </w:p>
        </w:tc>
        <w:tc>
          <w:tcPr>
            <w:tcW w:w="1170" w:type="dxa"/>
            <w:tcBorders>
              <w:bottom w:val="single" w:sz="4" w:space="0" w:color="auto"/>
            </w:tcBorders>
          </w:tcPr>
          <w:p w14:paraId="0E9F5D46" w14:textId="77777777" w:rsidR="001506C1" w:rsidRPr="00FA3F9C" w:rsidRDefault="001506C1" w:rsidP="007B6A48">
            <w:pPr>
              <w:rPr>
                <w:rFonts w:ascii="Arial" w:hAnsi="Arial" w:cs="Arial"/>
                <w:b/>
                <w:sz w:val="24"/>
                <w:szCs w:val="24"/>
              </w:rPr>
            </w:pPr>
            <w:r w:rsidRPr="00FA3F9C">
              <w:rPr>
                <w:rFonts w:ascii="Arial" w:hAnsi="Arial" w:cs="Arial"/>
                <w:b/>
                <w:sz w:val="24"/>
                <w:szCs w:val="24"/>
              </w:rPr>
              <w:t>Strabismus and blepharospasm associated w/ dystonia</w:t>
            </w:r>
          </w:p>
        </w:tc>
        <w:tc>
          <w:tcPr>
            <w:tcW w:w="1080" w:type="dxa"/>
            <w:tcBorders>
              <w:bottom w:val="single" w:sz="4" w:space="0" w:color="auto"/>
            </w:tcBorders>
          </w:tcPr>
          <w:p w14:paraId="12CA0ED0" w14:textId="77777777" w:rsidR="001506C1" w:rsidRPr="00FA3F9C" w:rsidRDefault="001506C1" w:rsidP="007B6A48">
            <w:pPr>
              <w:rPr>
                <w:rFonts w:ascii="Arial" w:hAnsi="Arial" w:cs="Arial"/>
                <w:b/>
                <w:sz w:val="24"/>
                <w:szCs w:val="24"/>
              </w:rPr>
            </w:pPr>
            <w:r w:rsidRPr="00FA3F9C">
              <w:rPr>
                <w:rFonts w:ascii="Arial" w:hAnsi="Arial" w:cs="Arial"/>
                <w:b/>
                <w:sz w:val="24"/>
                <w:szCs w:val="24"/>
              </w:rPr>
              <w:t>Urinary incontinence due to detrusor overactivity</w:t>
            </w:r>
          </w:p>
        </w:tc>
        <w:tc>
          <w:tcPr>
            <w:tcW w:w="810" w:type="dxa"/>
            <w:tcBorders>
              <w:bottom w:val="single" w:sz="4" w:space="0" w:color="auto"/>
            </w:tcBorders>
          </w:tcPr>
          <w:p w14:paraId="6CA706DE" w14:textId="77777777" w:rsidR="001506C1" w:rsidRPr="00FA3F9C" w:rsidRDefault="001506C1" w:rsidP="007B6A48">
            <w:pPr>
              <w:rPr>
                <w:rFonts w:ascii="Arial" w:hAnsi="Arial" w:cs="Arial"/>
                <w:b/>
                <w:sz w:val="24"/>
                <w:szCs w:val="24"/>
              </w:rPr>
            </w:pPr>
            <w:r w:rsidRPr="00FA3F9C">
              <w:rPr>
                <w:rFonts w:ascii="Arial" w:hAnsi="Arial" w:cs="Arial"/>
                <w:b/>
                <w:sz w:val="24"/>
                <w:szCs w:val="24"/>
              </w:rPr>
              <w:t>Blepharospasm</w:t>
            </w:r>
          </w:p>
        </w:tc>
        <w:tc>
          <w:tcPr>
            <w:tcW w:w="1440" w:type="dxa"/>
            <w:tcBorders>
              <w:bottom w:val="single" w:sz="4" w:space="0" w:color="auto"/>
            </w:tcBorders>
          </w:tcPr>
          <w:p w14:paraId="5EBF7386" w14:textId="77777777" w:rsidR="001506C1" w:rsidRPr="00FA3F9C" w:rsidRDefault="001506C1" w:rsidP="007B6A48">
            <w:pPr>
              <w:rPr>
                <w:rFonts w:ascii="Arial" w:hAnsi="Arial" w:cs="Arial"/>
                <w:b/>
                <w:sz w:val="24"/>
                <w:szCs w:val="24"/>
              </w:rPr>
            </w:pPr>
            <w:r w:rsidRPr="00FA3F9C">
              <w:rPr>
                <w:rFonts w:ascii="Arial" w:hAnsi="Arial" w:cs="Arial"/>
                <w:b/>
                <w:sz w:val="24"/>
                <w:szCs w:val="24"/>
              </w:rPr>
              <w:t>Sialorrhea</w:t>
            </w:r>
          </w:p>
        </w:tc>
      </w:tr>
      <w:tr w:rsidR="001506C1" w:rsidRPr="00FA3F9C" w14:paraId="073CECEE" w14:textId="77777777" w:rsidTr="000B4FA3">
        <w:tc>
          <w:tcPr>
            <w:tcW w:w="1165" w:type="dxa"/>
            <w:shd w:val="clear" w:color="auto" w:fill="FFFF00"/>
          </w:tcPr>
          <w:p w14:paraId="6510650D" w14:textId="77777777" w:rsidR="001506C1" w:rsidRPr="00FA3F9C" w:rsidRDefault="001506C1" w:rsidP="007B6A48">
            <w:pPr>
              <w:rPr>
                <w:rFonts w:ascii="Arial" w:hAnsi="Arial" w:cs="Arial"/>
                <w:b/>
                <w:sz w:val="24"/>
                <w:szCs w:val="24"/>
              </w:rPr>
            </w:pPr>
            <w:r w:rsidRPr="00FA3F9C">
              <w:rPr>
                <w:rFonts w:ascii="Arial" w:hAnsi="Arial" w:cs="Arial"/>
                <w:b/>
                <w:sz w:val="24"/>
                <w:szCs w:val="24"/>
              </w:rPr>
              <w:t>Botox</w:t>
            </w:r>
          </w:p>
        </w:tc>
        <w:tc>
          <w:tcPr>
            <w:tcW w:w="1080" w:type="dxa"/>
            <w:shd w:val="clear" w:color="auto" w:fill="000000" w:themeFill="text1"/>
          </w:tcPr>
          <w:p w14:paraId="41019BD5" w14:textId="77777777" w:rsidR="001506C1" w:rsidRPr="00FA3F9C" w:rsidRDefault="001506C1" w:rsidP="007B6A48">
            <w:pPr>
              <w:rPr>
                <w:rFonts w:ascii="Arial" w:hAnsi="Arial" w:cs="Arial"/>
                <w:b/>
                <w:sz w:val="24"/>
                <w:szCs w:val="24"/>
              </w:rPr>
            </w:pPr>
          </w:p>
        </w:tc>
        <w:tc>
          <w:tcPr>
            <w:tcW w:w="810" w:type="dxa"/>
            <w:shd w:val="clear" w:color="auto" w:fill="000000" w:themeFill="text1"/>
          </w:tcPr>
          <w:p w14:paraId="75C41ABC" w14:textId="77777777" w:rsidR="001506C1" w:rsidRPr="00FA3F9C" w:rsidRDefault="001506C1" w:rsidP="007B6A48">
            <w:pPr>
              <w:rPr>
                <w:rFonts w:ascii="Arial" w:hAnsi="Arial" w:cs="Arial"/>
                <w:b/>
                <w:sz w:val="24"/>
                <w:szCs w:val="24"/>
              </w:rPr>
            </w:pPr>
          </w:p>
        </w:tc>
        <w:tc>
          <w:tcPr>
            <w:tcW w:w="810" w:type="dxa"/>
            <w:shd w:val="clear" w:color="auto" w:fill="000000" w:themeFill="text1"/>
          </w:tcPr>
          <w:p w14:paraId="7F428EC3" w14:textId="77777777" w:rsidR="001506C1" w:rsidRPr="00FA3F9C" w:rsidRDefault="001506C1" w:rsidP="007B6A48">
            <w:pPr>
              <w:rPr>
                <w:rFonts w:ascii="Arial" w:hAnsi="Arial" w:cs="Arial"/>
                <w:b/>
                <w:sz w:val="24"/>
                <w:szCs w:val="24"/>
              </w:rPr>
            </w:pPr>
          </w:p>
        </w:tc>
        <w:tc>
          <w:tcPr>
            <w:tcW w:w="810" w:type="dxa"/>
            <w:tcBorders>
              <w:bottom w:val="single" w:sz="4" w:space="0" w:color="auto"/>
            </w:tcBorders>
            <w:shd w:val="clear" w:color="auto" w:fill="808080" w:themeFill="background1" w:themeFillShade="80"/>
          </w:tcPr>
          <w:p w14:paraId="376BC168" w14:textId="77777777" w:rsidR="001506C1" w:rsidRPr="00FA3F9C" w:rsidRDefault="001506C1" w:rsidP="007B6A48">
            <w:pPr>
              <w:rPr>
                <w:rFonts w:ascii="Arial" w:hAnsi="Arial" w:cs="Arial"/>
                <w:sz w:val="24"/>
                <w:szCs w:val="24"/>
              </w:rPr>
            </w:pPr>
            <w:r w:rsidRPr="00FA3F9C">
              <w:rPr>
                <w:rFonts w:ascii="Arial" w:hAnsi="Arial" w:cs="Arial"/>
                <w:sz w:val="24"/>
                <w:szCs w:val="24"/>
              </w:rPr>
              <w:t>Cosmetic</w:t>
            </w:r>
          </w:p>
        </w:tc>
        <w:tc>
          <w:tcPr>
            <w:tcW w:w="810" w:type="dxa"/>
            <w:tcBorders>
              <w:bottom w:val="single" w:sz="4" w:space="0" w:color="auto"/>
            </w:tcBorders>
            <w:shd w:val="clear" w:color="auto" w:fill="808080" w:themeFill="background1" w:themeFillShade="80"/>
          </w:tcPr>
          <w:p w14:paraId="3BE78248" w14:textId="77777777" w:rsidR="001506C1" w:rsidRPr="00FA3F9C" w:rsidRDefault="001506C1" w:rsidP="007B6A48">
            <w:pPr>
              <w:rPr>
                <w:rFonts w:ascii="Arial" w:hAnsi="Arial" w:cs="Arial"/>
                <w:sz w:val="24"/>
                <w:szCs w:val="24"/>
              </w:rPr>
            </w:pPr>
            <w:r w:rsidRPr="00FA3F9C">
              <w:rPr>
                <w:rFonts w:ascii="Arial" w:hAnsi="Arial" w:cs="Arial"/>
                <w:sz w:val="24"/>
                <w:szCs w:val="24"/>
              </w:rPr>
              <w:t>Cosmetic</w:t>
            </w:r>
          </w:p>
        </w:tc>
        <w:tc>
          <w:tcPr>
            <w:tcW w:w="900" w:type="dxa"/>
            <w:tcBorders>
              <w:bottom w:val="single" w:sz="4" w:space="0" w:color="auto"/>
            </w:tcBorders>
            <w:shd w:val="clear" w:color="auto" w:fill="808080" w:themeFill="background1" w:themeFillShade="80"/>
          </w:tcPr>
          <w:p w14:paraId="3B7DD348" w14:textId="77777777" w:rsidR="001506C1" w:rsidRPr="00FA3F9C" w:rsidRDefault="001506C1" w:rsidP="007B6A48">
            <w:pPr>
              <w:rPr>
                <w:rFonts w:ascii="Arial" w:hAnsi="Arial" w:cs="Arial"/>
                <w:sz w:val="24"/>
                <w:szCs w:val="24"/>
              </w:rPr>
            </w:pPr>
            <w:r w:rsidRPr="00FA3F9C">
              <w:rPr>
                <w:rFonts w:ascii="Arial" w:hAnsi="Arial" w:cs="Arial"/>
                <w:sz w:val="24"/>
                <w:szCs w:val="24"/>
              </w:rPr>
              <w:t>Cosmetic</w:t>
            </w:r>
          </w:p>
        </w:tc>
        <w:tc>
          <w:tcPr>
            <w:tcW w:w="810" w:type="dxa"/>
            <w:tcBorders>
              <w:top w:val="single" w:sz="48" w:space="0" w:color="auto"/>
            </w:tcBorders>
            <w:shd w:val="clear" w:color="auto" w:fill="000000" w:themeFill="text1"/>
          </w:tcPr>
          <w:p w14:paraId="651F43CD" w14:textId="77777777" w:rsidR="001506C1" w:rsidRPr="00FA3F9C" w:rsidRDefault="001506C1" w:rsidP="007B6A48">
            <w:pPr>
              <w:rPr>
                <w:rFonts w:ascii="Arial" w:hAnsi="Arial" w:cs="Arial"/>
                <w:b/>
                <w:sz w:val="24"/>
                <w:szCs w:val="24"/>
              </w:rPr>
            </w:pPr>
            <w:r w:rsidRPr="00FA3F9C">
              <w:rPr>
                <w:rFonts w:ascii="Arial" w:hAnsi="Arial" w:cs="Arial"/>
                <w:b/>
                <w:sz w:val="24"/>
                <w:szCs w:val="24"/>
              </w:rPr>
              <w:t>2-17y</w:t>
            </w:r>
          </w:p>
        </w:tc>
        <w:tc>
          <w:tcPr>
            <w:tcW w:w="810" w:type="dxa"/>
            <w:tcBorders>
              <w:top w:val="single" w:sz="48" w:space="0" w:color="auto"/>
            </w:tcBorders>
            <w:shd w:val="clear" w:color="auto" w:fill="000000" w:themeFill="text1"/>
          </w:tcPr>
          <w:p w14:paraId="7B78F6B8" w14:textId="77777777" w:rsidR="001506C1" w:rsidRPr="00FA3F9C" w:rsidRDefault="001506C1" w:rsidP="007B6A48">
            <w:pPr>
              <w:rPr>
                <w:rFonts w:ascii="Arial" w:hAnsi="Arial" w:cs="Arial"/>
                <w:b/>
                <w:sz w:val="24"/>
                <w:szCs w:val="24"/>
              </w:rPr>
            </w:pPr>
            <w:r w:rsidRPr="00FA3F9C">
              <w:rPr>
                <w:rFonts w:ascii="Arial" w:hAnsi="Arial" w:cs="Arial"/>
                <w:b/>
                <w:sz w:val="24"/>
                <w:szCs w:val="24"/>
              </w:rPr>
              <w:t>Adults</w:t>
            </w:r>
          </w:p>
        </w:tc>
        <w:tc>
          <w:tcPr>
            <w:tcW w:w="900" w:type="dxa"/>
            <w:tcBorders>
              <w:top w:val="single" w:sz="48" w:space="0" w:color="auto"/>
              <w:bottom w:val="single" w:sz="4" w:space="0" w:color="auto"/>
            </w:tcBorders>
            <w:shd w:val="clear" w:color="auto" w:fill="auto"/>
          </w:tcPr>
          <w:p w14:paraId="6A9DFC95" w14:textId="77777777" w:rsidR="001506C1" w:rsidRPr="00FA3F9C" w:rsidRDefault="001506C1" w:rsidP="007B6A48">
            <w:pPr>
              <w:rPr>
                <w:rFonts w:ascii="Arial" w:hAnsi="Arial" w:cs="Arial"/>
                <w:b/>
                <w:sz w:val="24"/>
                <w:szCs w:val="24"/>
              </w:rPr>
            </w:pPr>
          </w:p>
        </w:tc>
        <w:tc>
          <w:tcPr>
            <w:tcW w:w="900" w:type="dxa"/>
            <w:shd w:val="clear" w:color="auto" w:fill="000000" w:themeFill="text1"/>
          </w:tcPr>
          <w:p w14:paraId="49EFD731" w14:textId="77777777" w:rsidR="001506C1" w:rsidRPr="00FA3F9C" w:rsidRDefault="001506C1" w:rsidP="007B6A48">
            <w:pPr>
              <w:rPr>
                <w:rFonts w:ascii="Arial" w:hAnsi="Arial" w:cs="Arial"/>
                <w:b/>
                <w:sz w:val="24"/>
                <w:szCs w:val="24"/>
              </w:rPr>
            </w:pPr>
          </w:p>
        </w:tc>
        <w:tc>
          <w:tcPr>
            <w:tcW w:w="1170" w:type="dxa"/>
            <w:shd w:val="clear" w:color="auto" w:fill="000000" w:themeFill="text1"/>
          </w:tcPr>
          <w:p w14:paraId="111F3E55" w14:textId="77777777" w:rsidR="001506C1" w:rsidRPr="00FA3F9C" w:rsidRDefault="001506C1" w:rsidP="007B6A48">
            <w:pPr>
              <w:rPr>
                <w:rFonts w:ascii="Arial" w:hAnsi="Arial" w:cs="Arial"/>
                <w:b/>
                <w:sz w:val="24"/>
                <w:szCs w:val="24"/>
              </w:rPr>
            </w:pPr>
          </w:p>
        </w:tc>
        <w:tc>
          <w:tcPr>
            <w:tcW w:w="1080" w:type="dxa"/>
            <w:shd w:val="clear" w:color="auto" w:fill="000000" w:themeFill="text1"/>
          </w:tcPr>
          <w:p w14:paraId="76A6F9F3" w14:textId="77777777" w:rsidR="001506C1" w:rsidRPr="00FA3F9C" w:rsidRDefault="001506C1" w:rsidP="007B6A48">
            <w:pPr>
              <w:rPr>
                <w:rFonts w:ascii="Arial" w:hAnsi="Arial" w:cs="Arial"/>
                <w:b/>
                <w:sz w:val="24"/>
                <w:szCs w:val="24"/>
              </w:rPr>
            </w:pPr>
          </w:p>
        </w:tc>
        <w:tc>
          <w:tcPr>
            <w:tcW w:w="810" w:type="dxa"/>
            <w:shd w:val="clear" w:color="auto" w:fill="auto"/>
          </w:tcPr>
          <w:p w14:paraId="7ECFCC85" w14:textId="77777777" w:rsidR="001506C1" w:rsidRPr="00FA3F9C" w:rsidRDefault="001506C1" w:rsidP="007B6A48">
            <w:pPr>
              <w:rPr>
                <w:rFonts w:ascii="Arial" w:hAnsi="Arial" w:cs="Arial"/>
                <w:b/>
                <w:sz w:val="24"/>
                <w:szCs w:val="24"/>
              </w:rPr>
            </w:pPr>
          </w:p>
        </w:tc>
        <w:tc>
          <w:tcPr>
            <w:tcW w:w="1440" w:type="dxa"/>
          </w:tcPr>
          <w:p w14:paraId="04E6043B" w14:textId="77777777" w:rsidR="001506C1" w:rsidRPr="00FA3F9C" w:rsidRDefault="001506C1" w:rsidP="007B6A48">
            <w:pPr>
              <w:rPr>
                <w:rFonts w:ascii="Arial" w:hAnsi="Arial" w:cs="Arial"/>
                <w:b/>
                <w:sz w:val="24"/>
                <w:szCs w:val="24"/>
              </w:rPr>
            </w:pPr>
          </w:p>
        </w:tc>
      </w:tr>
      <w:tr w:rsidR="001506C1" w:rsidRPr="00FA3F9C" w14:paraId="14DBC604" w14:textId="77777777" w:rsidTr="000B4FA3">
        <w:tc>
          <w:tcPr>
            <w:tcW w:w="1165" w:type="dxa"/>
            <w:tcBorders>
              <w:bottom w:val="single" w:sz="4" w:space="0" w:color="auto"/>
            </w:tcBorders>
          </w:tcPr>
          <w:p w14:paraId="475A215B" w14:textId="77777777" w:rsidR="001506C1" w:rsidRPr="00FA3F9C" w:rsidRDefault="001506C1" w:rsidP="007B6A48">
            <w:pPr>
              <w:rPr>
                <w:rFonts w:ascii="Arial" w:hAnsi="Arial" w:cs="Arial"/>
                <w:b/>
                <w:sz w:val="24"/>
                <w:szCs w:val="24"/>
              </w:rPr>
            </w:pPr>
            <w:r w:rsidRPr="00FA3F9C">
              <w:rPr>
                <w:rFonts w:ascii="Arial" w:hAnsi="Arial" w:cs="Arial"/>
                <w:b/>
                <w:sz w:val="24"/>
                <w:szCs w:val="24"/>
              </w:rPr>
              <w:t>Dysport</w:t>
            </w:r>
          </w:p>
        </w:tc>
        <w:tc>
          <w:tcPr>
            <w:tcW w:w="1080" w:type="dxa"/>
          </w:tcPr>
          <w:p w14:paraId="67BE710E" w14:textId="77777777" w:rsidR="001506C1" w:rsidRPr="00FA3F9C" w:rsidRDefault="001506C1" w:rsidP="007B6A48">
            <w:pPr>
              <w:rPr>
                <w:rFonts w:ascii="Arial" w:hAnsi="Arial" w:cs="Arial"/>
                <w:b/>
                <w:sz w:val="24"/>
                <w:szCs w:val="24"/>
              </w:rPr>
            </w:pPr>
          </w:p>
        </w:tc>
        <w:tc>
          <w:tcPr>
            <w:tcW w:w="810" w:type="dxa"/>
            <w:tcBorders>
              <w:bottom w:val="single" w:sz="4" w:space="0" w:color="auto"/>
            </w:tcBorders>
            <w:shd w:val="clear" w:color="auto" w:fill="000000" w:themeFill="text1"/>
          </w:tcPr>
          <w:p w14:paraId="10040D7D" w14:textId="77777777" w:rsidR="001506C1" w:rsidRPr="00FA3F9C" w:rsidRDefault="001506C1" w:rsidP="007B6A48">
            <w:pPr>
              <w:rPr>
                <w:rFonts w:ascii="Arial" w:hAnsi="Arial" w:cs="Arial"/>
                <w:b/>
                <w:sz w:val="24"/>
                <w:szCs w:val="24"/>
              </w:rPr>
            </w:pPr>
          </w:p>
        </w:tc>
        <w:tc>
          <w:tcPr>
            <w:tcW w:w="810" w:type="dxa"/>
          </w:tcPr>
          <w:p w14:paraId="0686415E" w14:textId="77777777" w:rsidR="001506C1" w:rsidRPr="00FA3F9C" w:rsidRDefault="001506C1" w:rsidP="007B6A48">
            <w:pPr>
              <w:rPr>
                <w:rFonts w:ascii="Arial" w:hAnsi="Arial" w:cs="Arial"/>
                <w:sz w:val="24"/>
                <w:szCs w:val="24"/>
              </w:rPr>
            </w:pPr>
          </w:p>
        </w:tc>
        <w:tc>
          <w:tcPr>
            <w:tcW w:w="810" w:type="dxa"/>
            <w:tcBorders>
              <w:bottom w:val="single" w:sz="4" w:space="0" w:color="auto"/>
            </w:tcBorders>
            <w:shd w:val="clear" w:color="auto" w:fill="808080" w:themeFill="background1" w:themeFillShade="80"/>
          </w:tcPr>
          <w:p w14:paraId="6786552A" w14:textId="77777777" w:rsidR="001506C1" w:rsidRPr="00FA3F9C" w:rsidRDefault="001506C1" w:rsidP="007B6A48">
            <w:pPr>
              <w:rPr>
                <w:rFonts w:ascii="Arial" w:hAnsi="Arial" w:cs="Arial"/>
                <w:sz w:val="24"/>
                <w:szCs w:val="24"/>
              </w:rPr>
            </w:pPr>
            <w:r w:rsidRPr="00FA3F9C">
              <w:rPr>
                <w:rFonts w:ascii="Arial" w:hAnsi="Arial" w:cs="Arial"/>
                <w:sz w:val="24"/>
                <w:szCs w:val="24"/>
              </w:rPr>
              <w:t>Cosmetic</w:t>
            </w:r>
          </w:p>
        </w:tc>
        <w:tc>
          <w:tcPr>
            <w:tcW w:w="810" w:type="dxa"/>
          </w:tcPr>
          <w:p w14:paraId="277E17EE" w14:textId="77777777" w:rsidR="001506C1" w:rsidRPr="00FA3F9C" w:rsidRDefault="001506C1" w:rsidP="007B6A48">
            <w:pPr>
              <w:rPr>
                <w:rFonts w:ascii="Arial" w:hAnsi="Arial" w:cs="Arial"/>
                <w:sz w:val="24"/>
                <w:szCs w:val="24"/>
              </w:rPr>
            </w:pPr>
          </w:p>
        </w:tc>
        <w:tc>
          <w:tcPr>
            <w:tcW w:w="900" w:type="dxa"/>
          </w:tcPr>
          <w:p w14:paraId="2B68DFFA" w14:textId="77777777" w:rsidR="001506C1" w:rsidRPr="00FA3F9C" w:rsidRDefault="001506C1" w:rsidP="007B6A48">
            <w:pPr>
              <w:rPr>
                <w:rFonts w:ascii="Arial" w:hAnsi="Arial" w:cs="Arial"/>
                <w:sz w:val="24"/>
                <w:szCs w:val="24"/>
              </w:rPr>
            </w:pPr>
          </w:p>
        </w:tc>
        <w:tc>
          <w:tcPr>
            <w:tcW w:w="810" w:type="dxa"/>
            <w:tcBorders>
              <w:bottom w:val="single" w:sz="4" w:space="0" w:color="auto"/>
            </w:tcBorders>
            <w:shd w:val="clear" w:color="auto" w:fill="auto"/>
          </w:tcPr>
          <w:p w14:paraId="71653D7A" w14:textId="77777777" w:rsidR="001506C1" w:rsidRPr="00FA3F9C" w:rsidRDefault="001506C1" w:rsidP="007B6A48">
            <w:pPr>
              <w:rPr>
                <w:rFonts w:ascii="Arial" w:hAnsi="Arial" w:cs="Arial"/>
                <w:sz w:val="24"/>
                <w:szCs w:val="24"/>
              </w:rPr>
            </w:pPr>
          </w:p>
        </w:tc>
        <w:tc>
          <w:tcPr>
            <w:tcW w:w="810" w:type="dxa"/>
            <w:shd w:val="clear" w:color="auto" w:fill="000000" w:themeFill="text1"/>
          </w:tcPr>
          <w:p w14:paraId="53F47259" w14:textId="77777777" w:rsidR="001506C1" w:rsidRPr="00FA3F9C" w:rsidRDefault="001506C1" w:rsidP="007B6A48">
            <w:pPr>
              <w:rPr>
                <w:rFonts w:ascii="Arial" w:hAnsi="Arial" w:cs="Arial"/>
                <w:sz w:val="24"/>
                <w:szCs w:val="24"/>
              </w:rPr>
            </w:pPr>
            <w:r w:rsidRPr="00FA3F9C">
              <w:rPr>
                <w:rFonts w:ascii="Arial" w:hAnsi="Arial" w:cs="Arial"/>
                <w:sz w:val="24"/>
                <w:szCs w:val="24"/>
              </w:rPr>
              <w:t>Age</w:t>
            </w:r>
            <w:r w:rsidRPr="00FA3F9C">
              <w:rPr>
                <w:rFonts w:ascii="Arial" w:hAnsi="Arial" w:cs="Arial"/>
                <w:sz w:val="24"/>
                <w:szCs w:val="24"/>
                <w:u w:val="single"/>
              </w:rPr>
              <w:t>&gt;</w:t>
            </w:r>
            <w:r w:rsidRPr="00FA3F9C">
              <w:rPr>
                <w:rFonts w:ascii="Arial" w:hAnsi="Arial" w:cs="Arial"/>
                <w:sz w:val="24"/>
                <w:szCs w:val="24"/>
              </w:rPr>
              <w:t>2y</w:t>
            </w:r>
          </w:p>
        </w:tc>
        <w:tc>
          <w:tcPr>
            <w:tcW w:w="900" w:type="dxa"/>
            <w:shd w:val="clear" w:color="auto" w:fill="000000" w:themeFill="text1"/>
          </w:tcPr>
          <w:p w14:paraId="63D39214" w14:textId="77777777" w:rsidR="001506C1" w:rsidRPr="00FA3F9C" w:rsidRDefault="001506C1" w:rsidP="007B6A48">
            <w:pPr>
              <w:rPr>
                <w:rFonts w:ascii="Arial" w:hAnsi="Arial" w:cs="Arial"/>
                <w:b/>
                <w:sz w:val="24"/>
                <w:szCs w:val="24"/>
              </w:rPr>
            </w:pPr>
          </w:p>
        </w:tc>
        <w:tc>
          <w:tcPr>
            <w:tcW w:w="900" w:type="dxa"/>
          </w:tcPr>
          <w:p w14:paraId="4697E9A0" w14:textId="77777777" w:rsidR="001506C1" w:rsidRPr="00FA3F9C" w:rsidRDefault="001506C1" w:rsidP="007B6A48">
            <w:pPr>
              <w:rPr>
                <w:rFonts w:ascii="Arial" w:hAnsi="Arial" w:cs="Arial"/>
                <w:b/>
                <w:sz w:val="24"/>
                <w:szCs w:val="24"/>
              </w:rPr>
            </w:pPr>
          </w:p>
        </w:tc>
        <w:tc>
          <w:tcPr>
            <w:tcW w:w="1170" w:type="dxa"/>
          </w:tcPr>
          <w:p w14:paraId="4CEA693B" w14:textId="77777777" w:rsidR="001506C1" w:rsidRPr="00FA3F9C" w:rsidRDefault="001506C1" w:rsidP="007B6A48">
            <w:pPr>
              <w:rPr>
                <w:rFonts w:ascii="Arial" w:hAnsi="Arial" w:cs="Arial"/>
                <w:b/>
                <w:sz w:val="24"/>
                <w:szCs w:val="24"/>
              </w:rPr>
            </w:pPr>
          </w:p>
        </w:tc>
        <w:tc>
          <w:tcPr>
            <w:tcW w:w="1080" w:type="dxa"/>
          </w:tcPr>
          <w:p w14:paraId="57D3C88F" w14:textId="77777777" w:rsidR="001506C1" w:rsidRPr="00FA3F9C" w:rsidRDefault="001506C1" w:rsidP="007B6A48">
            <w:pPr>
              <w:rPr>
                <w:rFonts w:ascii="Arial" w:hAnsi="Arial" w:cs="Arial"/>
                <w:b/>
                <w:sz w:val="24"/>
                <w:szCs w:val="24"/>
              </w:rPr>
            </w:pPr>
          </w:p>
        </w:tc>
        <w:tc>
          <w:tcPr>
            <w:tcW w:w="810" w:type="dxa"/>
            <w:tcBorders>
              <w:bottom w:val="single" w:sz="4" w:space="0" w:color="auto"/>
            </w:tcBorders>
            <w:shd w:val="clear" w:color="auto" w:fill="auto"/>
          </w:tcPr>
          <w:p w14:paraId="72C204C4" w14:textId="77777777" w:rsidR="001506C1" w:rsidRPr="00FA3F9C" w:rsidRDefault="001506C1" w:rsidP="007B6A48">
            <w:pPr>
              <w:rPr>
                <w:rFonts w:ascii="Arial" w:hAnsi="Arial" w:cs="Arial"/>
                <w:b/>
                <w:sz w:val="24"/>
                <w:szCs w:val="24"/>
              </w:rPr>
            </w:pPr>
          </w:p>
        </w:tc>
        <w:tc>
          <w:tcPr>
            <w:tcW w:w="1440" w:type="dxa"/>
            <w:tcBorders>
              <w:bottom w:val="single" w:sz="4" w:space="0" w:color="auto"/>
            </w:tcBorders>
          </w:tcPr>
          <w:p w14:paraId="183DC5D9" w14:textId="77777777" w:rsidR="001506C1" w:rsidRPr="00FA3F9C" w:rsidRDefault="001506C1" w:rsidP="007B6A48">
            <w:pPr>
              <w:rPr>
                <w:rFonts w:ascii="Arial" w:hAnsi="Arial" w:cs="Arial"/>
                <w:b/>
                <w:sz w:val="24"/>
                <w:szCs w:val="24"/>
              </w:rPr>
            </w:pPr>
          </w:p>
        </w:tc>
      </w:tr>
      <w:tr w:rsidR="001506C1" w:rsidRPr="00FA3F9C" w14:paraId="0E66E452" w14:textId="77777777" w:rsidTr="000B4FA3">
        <w:tc>
          <w:tcPr>
            <w:tcW w:w="1165" w:type="dxa"/>
            <w:tcBorders>
              <w:bottom w:val="single" w:sz="4" w:space="0" w:color="auto"/>
            </w:tcBorders>
            <w:shd w:val="clear" w:color="auto" w:fill="73FEFF"/>
          </w:tcPr>
          <w:p w14:paraId="4E483310" w14:textId="77777777" w:rsidR="001506C1" w:rsidRPr="00FA3F9C" w:rsidRDefault="001506C1" w:rsidP="007B6A48">
            <w:pPr>
              <w:rPr>
                <w:rFonts w:ascii="Arial" w:hAnsi="Arial" w:cs="Arial"/>
                <w:b/>
                <w:sz w:val="24"/>
                <w:szCs w:val="24"/>
              </w:rPr>
            </w:pPr>
            <w:proofErr w:type="spellStart"/>
            <w:r w:rsidRPr="00FA3F9C">
              <w:rPr>
                <w:rFonts w:ascii="Arial" w:hAnsi="Arial" w:cs="Arial"/>
                <w:b/>
                <w:sz w:val="24"/>
                <w:szCs w:val="24"/>
              </w:rPr>
              <w:t>Xeomin</w:t>
            </w:r>
            <w:proofErr w:type="spellEnd"/>
          </w:p>
        </w:tc>
        <w:tc>
          <w:tcPr>
            <w:tcW w:w="1080" w:type="dxa"/>
            <w:tcBorders>
              <w:bottom w:val="single" w:sz="4" w:space="0" w:color="auto"/>
            </w:tcBorders>
          </w:tcPr>
          <w:p w14:paraId="42DBBBB6" w14:textId="77777777" w:rsidR="001506C1" w:rsidRPr="00FA3F9C" w:rsidRDefault="001506C1" w:rsidP="007B6A48">
            <w:pPr>
              <w:rPr>
                <w:rFonts w:ascii="Arial" w:hAnsi="Arial" w:cs="Arial"/>
                <w:b/>
                <w:sz w:val="24"/>
                <w:szCs w:val="24"/>
              </w:rPr>
            </w:pPr>
          </w:p>
        </w:tc>
        <w:tc>
          <w:tcPr>
            <w:tcW w:w="810" w:type="dxa"/>
            <w:tcBorders>
              <w:bottom w:val="single" w:sz="4" w:space="0" w:color="auto"/>
            </w:tcBorders>
            <w:shd w:val="clear" w:color="auto" w:fill="000000" w:themeFill="text1"/>
          </w:tcPr>
          <w:p w14:paraId="02BD193A" w14:textId="77777777" w:rsidR="001506C1" w:rsidRPr="00FA3F9C" w:rsidRDefault="001506C1" w:rsidP="007B6A48">
            <w:pPr>
              <w:rPr>
                <w:rFonts w:ascii="Arial" w:hAnsi="Arial" w:cs="Arial"/>
                <w:b/>
                <w:sz w:val="24"/>
                <w:szCs w:val="24"/>
              </w:rPr>
            </w:pPr>
          </w:p>
        </w:tc>
        <w:tc>
          <w:tcPr>
            <w:tcW w:w="810" w:type="dxa"/>
            <w:tcBorders>
              <w:bottom w:val="single" w:sz="4" w:space="0" w:color="auto"/>
            </w:tcBorders>
          </w:tcPr>
          <w:p w14:paraId="2B7D6CF6" w14:textId="77777777" w:rsidR="001506C1" w:rsidRPr="00FA3F9C" w:rsidRDefault="001506C1" w:rsidP="007B6A48">
            <w:pPr>
              <w:rPr>
                <w:rFonts w:ascii="Arial" w:hAnsi="Arial" w:cs="Arial"/>
                <w:b/>
                <w:sz w:val="24"/>
                <w:szCs w:val="24"/>
              </w:rPr>
            </w:pPr>
          </w:p>
        </w:tc>
        <w:tc>
          <w:tcPr>
            <w:tcW w:w="810" w:type="dxa"/>
            <w:tcBorders>
              <w:bottom w:val="single" w:sz="4" w:space="0" w:color="auto"/>
            </w:tcBorders>
            <w:shd w:val="clear" w:color="auto" w:fill="808080" w:themeFill="background1" w:themeFillShade="80"/>
          </w:tcPr>
          <w:p w14:paraId="05C9D744" w14:textId="77777777" w:rsidR="001506C1" w:rsidRPr="00FA3F9C" w:rsidRDefault="001506C1" w:rsidP="007B6A48">
            <w:pPr>
              <w:rPr>
                <w:rFonts w:ascii="Arial" w:hAnsi="Arial" w:cs="Arial"/>
                <w:sz w:val="24"/>
                <w:szCs w:val="24"/>
              </w:rPr>
            </w:pPr>
            <w:r w:rsidRPr="00FA3F9C">
              <w:rPr>
                <w:rFonts w:ascii="Arial" w:hAnsi="Arial" w:cs="Arial"/>
                <w:sz w:val="24"/>
                <w:szCs w:val="24"/>
              </w:rPr>
              <w:t>Cosmetic</w:t>
            </w:r>
          </w:p>
        </w:tc>
        <w:tc>
          <w:tcPr>
            <w:tcW w:w="810" w:type="dxa"/>
            <w:tcBorders>
              <w:bottom w:val="single" w:sz="4" w:space="0" w:color="auto"/>
            </w:tcBorders>
          </w:tcPr>
          <w:p w14:paraId="2B53F12B" w14:textId="77777777" w:rsidR="001506C1" w:rsidRPr="00FA3F9C" w:rsidRDefault="001506C1" w:rsidP="007B6A48">
            <w:pPr>
              <w:rPr>
                <w:rFonts w:ascii="Arial" w:hAnsi="Arial" w:cs="Arial"/>
                <w:sz w:val="24"/>
                <w:szCs w:val="24"/>
              </w:rPr>
            </w:pPr>
          </w:p>
        </w:tc>
        <w:tc>
          <w:tcPr>
            <w:tcW w:w="900" w:type="dxa"/>
            <w:tcBorders>
              <w:bottom w:val="single" w:sz="4" w:space="0" w:color="auto"/>
            </w:tcBorders>
          </w:tcPr>
          <w:p w14:paraId="4E57D191" w14:textId="77777777" w:rsidR="001506C1" w:rsidRPr="00FA3F9C" w:rsidRDefault="001506C1" w:rsidP="007B6A48">
            <w:pPr>
              <w:rPr>
                <w:rFonts w:ascii="Arial" w:hAnsi="Arial" w:cs="Arial"/>
                <w:sz w:val="24"/>
                <w:szCs w:val="24"/>
              </w:rPr>
            </w:pPr>
          </w:p>
        </w:tc>
        <w:tc>
          <w:tcPr>
            <w:tcW w:w="810" w:type="dxa"/>
            <w:tcBorders>
              <w:bottom w:val="single" w:sz="4" w:space="0" w:color="auto"/>
            </w:tcBorders>
            <w:shd w:val="clear" w:color="auto" w:fill="000000" w:themeFill="text1"/>
          </w:tcPr>
          <w:p w14:paraId="1A0F8471" w14:textId="77777777" w:rsidR="001506C1" w:rsidRPr="00FA3F9C" w:rsidRDefault="001506C1" w:rsidP="007B6A48">
            <w:pPr>
              <w:rPr>
                <w:rFonts w:ascii="Arial" w:hAnsi="Arial" w:cs="Arial"/>
                <w:b/>
                <w:sz w:val="24"/>
                <w:szCs w:val="24"/>
              </w:rPr>
            </w:pPr>
          </w:p>
        </w:tc>
        <w:tc>
          <w:tcPr>
            <w:tcW w:w="810" w:type="dxa"/>
            <w:tcBorders>
              <w:bottom w:val="single" w:sz="4" w:space="0" w:color="auto"/>
            </w:tcBorders>
          </w:tcPr>
          <w:p w14:paraId="60589194" w14:textId="77777777" w:rsidR="001506C1" w:rsidRPr="00FA3F9C" w:rsidRDefault="001506C1" w:rsidP="007B6A48">
            <w:pPr>
              <w:rPr>
                <w:rFonts w:ascii="Arial" w:hAnsi="Arial" w:cs="Arial"/>
                <w:b/>
                <w:sz w:val="24"/>
                <w:szCs w:val="24"/>
              </w:rPr>
            </w:pPr>
          </w:p>
        </w:tc>
        <w:tc>
          <w:tcPr>
            <w:tcW w:w="900" w:type="dxa"/>
            <w:tcBorders>
              <w:bottom w:val="single" w:sz="4" w:space="0" w:color="auto"/>
            </w:tcBorders>
          </w:tcPr>
          <w:p w14:paraId="40D5D340" w14:textId="77777777" w:rsidR="001506C1" w:rsidRPr="00FA3F9C" w:rsidRDefault="001506C1" w:rsidP="007B6A48">
            <w:pPr>
              <w:rPr>
                <w:rFonts w:ascii="Arial" w:hAnsi="Arial" w:cs="Arial"/>
                <w:b/>
                <w:sz w:val="24"/>
                <w:szCs w:val="24"/>
              </w:rPr>
            </w:pPr>
          </w:p>
        </w:tc>
        <w:tc>
          <w:tcPr>
            <w:tcW w:w="900" w:type="dxa"/>
            <w:tcBorders>
              <w:bottom w:val="single" w:sz="4" w:space="0" w:color="auto"/>
            </w:tcBorders>
          </w:tcPr>
          <w:p w14:paraId="66161B16" w14:textId="77777777" w:rsidR="001506C1" w:rsidRPr="00FA3F9C" w:rsidRDefault="001506C1" w:rsidP="007B6A48">
            <w:pPr>
              <w:rPr>
                <w:rFonts w:ascii="Arial" w:hAnsi="Arial" w:cs="Arial"/>
                <w:b/>
                <w:sz w:val="24"/>
                <w:szCs w:val="24"/>
              </w:rPr>
            </w:pPr>
          </w:p>
        </w:tc>
        <w:tc>
          <w:tcPr>
            <w:tcW w:w="1170" w:type="dxa"/>
            <w:tcBorders>
              <w:bottom w:val="single" w:sz="4" w:space="0" w:color="auto"/>
            </w:tcBorders>
          </w:tcPr>
          <w:p w14:paraId="7919F6DA" w14:textId="77777777" w:rsidR="001506C1" w:rsidRPr="00FA3F9C" w:rsidRDefault="001506C1" w:rsidP="007B6A48">
            <w:pPr>
              <w:rPr>
                <w:rFonts w:ascii="Arial" w:hAnsi="Arial" w:cs="Arial"/>
                <w:b/>
                <w:sz w:val="24"/>
                <w:szCs w:val="24"/>
              </w:rPr>
            </w:pPr>
          </w:p>
        </w:tc>
        <w:tc>
          <w:tcPr>
            <w:tcW w:w="1080" w:type="dxa"/>
            <w:tcBorders>
              <w:bottom w:val="single" w:sz="4" w:space="0" w:color="auto"/>
            </w:tcBorders>
          </w:tcPr>
          <w:p w14:paraId="741FFD8E" w14:textId="77777777" w:rsidR="001506C1" w:rsidRPr="00FA3F9C" w:rsidRDefault="001506C1" w:rsidP="007B6A48">
            <w:pPr>
              <w:rPr>
                <w:rFonts w:ascii="Arial" w:hAnsi="Arial" w:cs="Arial"/>
                <w:b/>
                <w:sz w:val="24"/>
                <w:szCs w:val="24"/>
              </w:rPr>
            </w:pPr>
          </w:p>
        </w:tc>
        <w:tc>
          <w:tcPr>
            <w:tcW w:w="810" w:type="dxa"/>
            <w:tcBorders>
              <w:bottom w:val="single" w:sz="4" w:space="0" w:color="auto"/>
            </w:tcBorders>
            <w:shd w:val="clear" w:color="auto" w:fill="000000" w:themeFill="text1"/>
          </w:tcPr>
          <w:p w14:paraId="0A4F343D" w14:textId="77777777" w:rsidR="001506C1" w:rsidRPr="00FA3F9C" w:rsidRDefault="001506C1" w:rsidP="007B6A48">
            <w:pPr>
              <w:rPr>
                <w:rFonts w:ascii="Arial" w:hAnsi="Arial" w:cs="Arial"/>
                <w:b/>
                <w:sz w:val="24"/>
                <w:szCs w:val="24"/>
              </w:rPr>
            </w:pPr>
          </w:p>
        </w:tc>
        <w:tc>
          <w:tcPr>
            <w:tcW w:w="1440" w:type="dxa"/>
            <w:tcBorders>
              <w:bottom w:val="single" w:sz="4" w:space="0" w:color="auto"/>
            </w:tcBorders>
            <w:shd w:val="clear" w:color="auto" w:fill="000000" w:themeFill="text1"/>
          </w:tcPr>
          <w:p w14:paraId="1B93C12F" w14:textId="77777777" w:rsidR="001506C1" w:rsidRPr="00FA3F9C" w:rsidRDefault="001506C1" w:rsidP="007B6A48">
            <w:pPr>
              <w:rPr>
                <w:rFonts w:ascii="Arial" w:hAnsi="Arial" w:cs="Arial"/>
                <w:b/>
                <w:sz w:val="24"/>
                <w:szCs w:val="24"/>
              </w:rPr>
            </w:pPr>
          </w:p>
        </w:tc>
      </w:tr>
      <w:tr w:rsidR="001506C1" w:rsidRPr="00FA3F9C" w14:paraId="74666F08" w14:textId="77777777" w:rsidTr="000B4FA3">
        <w:tc>
          <w:tcPr>
            <w:tcW w:w="1165" w:type="dxa"/>
            <w:tcBorders>
              <w:bottom w:val="single" w:sz="4" w:space="0" w:color="auto"/>
            </w:tcBorders>
            <w:shd w:val="clear" w:color="auto" w:fill="auto"/>
          </w:tcPr>
          <w:p w14:paraId="1C51D2C4" w14:textId="77777777" w:rsidR="001506C1" w:rsidRPr="00FA3F9C" w:rsidRDefault="001506C1" w:rsidP="007B6A48">
            <w:pPr>
              <w:rPr>
                <w:rFonts w:ascii="Arial" w:hAnsi="Arial" w:cs="Arial"/>
                <w:b/>
                <w:sz w:val="24"/>
                <w:szCs w:val="24"/>
              </w:rPr>
            </w:pPr>
            <w:proofErr w:type="spellStart"/>
            <w:r w:rsidRPr="00FA3F9C">
              <w:rPr>
                <w:rFonts w:ascii="Arial" w:hAnsi="Arial" w:cs="Arial"/>
                <w:b/>
                <w:sz w:val="24"/>
                <w:szCs w:val="24"/>
              </w:rPr>
              <w:t>Jeuveau</w:t>
            </w:r>
            <w:proofErr w:type="spellEnd"/>
          </w:p>
        </w:tc>
        <w:tc>
          <w:tcPr>
            <w:tcW w:w="1080" w:type="dxa"/>
            <w:shd w:val="clear" w:color="auto" w:fill="auto"/>
          </w:tcPr>
          <w:p w14:paraId="0A0F6CCB" w14:textId="77777777" w:rsidR="001506C1" w:rsidRPr="00FA3F9C" w:rsidRDefault="001506C1" w:rsidP="007B6A48">
            <w:pPr>
              <w:rPr>
                <w:rFonts w:ascii="Arial" w:hAnsi="Arial" w:cs="Arial"/>
                <w:b/>
                <w:sz w:val="24"/>
                <w:szCs w:val="24"/>
              </w:rPr>
            </w:pPr>
          </w:p>
        </w:tc>
        <w:tc>
          <w:tcPr>
            <w:tcW w:w="810" w:type="dxa"/>
            <w:tcBorders>
              <w:bottom w:val="single" w:sz="4" w:space="0" w:color="auto"/>
            </w:tcBorders>
            <w:shd w:val="clear" w:color="auto" w:fill="auto"/>
          </w:tcPr>
          <w:p w14:paraId="0CCD5515" w14:textId="77777777" w:rsidR="001506C1" w:rsidRPr="00FA3F9C" w:rsidRDefault="001506C1" w:rsidP="007B6A48">
            <w:pPr>
              <w:rPr>
                <w:rFonts w:ascii="Arial" w:hAnsi="Arial" w:cs="Arial"/>
                <w:b/>
                <w:sz w:val="24"/>
                <w:szCs w:val="24"/>
              </w:rPr>
            </w:pPr>
          </w:p>
        </w:tc>
        <w:tc>
          <w:tcPr>
            <w:tcW w:w="810" w:type="dxa"/>
            <w:shd w:val="clear" w:color="auto" w:fill="auto"/>
          </w:tcPr>
          <w:p w14:paraId="3C45B5FC" w14:textId="77777777" w:rsidR="001506C1" w:rsidRPr="00FA3F9C" w:rsidRDefault="001506C1" w:rsidP="007B6A48">
            <w:pPr>
              <w:rPr>
                <w:rFonts w:ascii="Arial" w:hAnsi="Arial" w:cs="Arial"/>
                <w:b/>
                <w:sz w:val="24"/>
                <w:szCs w:val="24"/>
              </w:rPr>
            </w:pPr>
          </w:p>
        </w:tc>
        <w:tc>
          <w:tcPr>
            <w:tcW w:w="810" w:type="dxa"/>
            <w:shd w:val="clear" w:color="auto" w:fill="808080" w:themeFill="background1" w:themeFillShade="80"/>
          </w:tcPr>
          <w:p w14:paraId="59635698" w14:textId="77777777" w:rsidR="001506C1" w:rsidRPr="00FA3F9C" w:rsidRDefault="001506C1" w:rsidP="007B6A48">
            <w:pPr>
              <w:rPr>
                <w:rFonts w:ascii="Arial" w:hAnsi="Arial" w:cs="Arial"/>
                <w:sz w:val="24"/>
                <w:szCs w:val="24"/>
              </w:rPr>
            </w:pPr>
            <w:r w:rsidRPr="00FA3F9C">
              <w:rPr>
                <w:rFonts w:ascii="Arial" w:hAnsi="Arial" w:cs="Arial"/>
                <w:sz w:val="24"/>
                <w:szCs w:val="24"/>
              </w:rPr>
              <w:t>Cosmetic</w:t>
            </w:r>
          </w:p>
        </w:tc>
        <w:tc>
          <w:tcPr>
            <w:tcW w:w="810" w:type="dxa"/>
            <w:shd w:val="clear" w:color="auto" w:fill="auto"/>
          </w:tcPr>
          <w:p w14:paraId="52FDDB16" w14:textId="77777777" w:rsidR="001506C1" w:rsidRPr="00FA3F9C" w:rsidRDefault="001506C1" w:rsidP="007B6A48">
            <w:pPr>
              <w:rPr>
                <w:rFonts w:ascii="Arial" w:hAnsi="Arial" w:cs="Arial"/>
                <w:sz w:val="24"/>
                <w:szCs w:val="24"/>
              </w:rPr>
            </w:pPr>
          </w:p>
        </w:tc>
        <w:tc>
          <w:tcPr>
            <w:tcW w:w="900" w:type="dxa"/>
            <w:shd w:val="clear" w:color="auto" w:fill="auto"/>
          </w:tcPr>
          <w:p w14:paraId="6FCABAF9" w14:textId="77777777" w:rsidR="001506C1" w:rsidRPr="00FA3F9C" w:rsidRDefault="001506C1" w:rsidP="007B6A48">
            <w:pPr>
              <w:rPr>
                <w:rFonts w:ascii="Arial" w:hAnsi="Arial" w:cs="Arial"/>
                <w:sz w:val="24"/>
                <w:szCs w:val="24"/>
              </w:rPr>
            </w:pPr>
          </w:p>
        </w:tc>
        <w:tc>
          <w:tcPr>
            <w:tcW w:w="810" w:type="dxa"/>
          </w:tcPr>
          <w:p w14:paraId="4F73D672" w14:textId="77777777" w:rsidR="001506C1" w:rsidRPr="00FA3F9C" w:rsidRDefault="001506C1" w:rsidP="007B6A48">
            <w:pPr>
              <w:rPr>
                <w:rFonts w:ascii="Arial" w:hAnsi="Arial" w:cs="Arial"/>
                <w:b/>
                <w:sz w:val="24"/>
                <w:szCs w:val="24"/>
              </w:rPr>
            </w:pPr>
          </w:p>
        </w:tc>
        <w:tc>
          <w:tcPr>
            <w:tcW w:w="810" w:type="dxa"/>
            <w:shd w:val="clear" w:color="auto" w:fill="auto"/>
          </w:tcPr>
          <w:p w14:paraId="29F6B426" w14:textId="77777777" w:rsidR="001506C1" w:rsidRPr="00FA3F9C" w:rsidRDefault="001506C1" w:rsidP="007B6A48">
            <w:pPr>
              <w:rPr>
                <w:rFonts w:ascii="Arial" w:hAnsi="Arial" w:cs="Arial"/>
                <w:b/>
                <w:sz w:val="24"/>
                <w:szCs w:val="24"/>
              </w:rPr>
            </w:pPr>
          </w:p>
        </w:tc>
        <w:tc>
          <w:tcPr>
            <w:tcW w:w="900" w:type="dxa"/>
          </w:tcPr>
          <w:p w14:paraId="7869DC62" w14:textId="77777777" w:rsidR="001506C1" w:rsidRPr="00FA3F9C" w:rsidRDefault="001506C1" w:rsidP="007B6A48">
            <w:pPr>
              <w:rPr>
                <w:rFonts w:ascii="Arial" w:hAnsi="Arial" w:cs="Arial"/>
                <w:b/>
                <w:sz w:val="24"/>
                <w:szCs w:val="24"/>
              </w:rPr>
            </w:pPr>
          </w:p>
        </w:tc>
        <w:tc>
          <w:tcPr>
            <w:tcW w:w="900" w:type="dxa"/>
            <w:shd w:val="clear" w:color="auto" w:fill="auto"/>
          </w:tcPr>
          <w:p w14:paraId="10389FDA" w14:textId="77777777" w:rsidR="001506C1" w:rsidRPr="00FA3F9C" w:rsidRDefault="001506C1" w:rsidP="007B6A48">
            <w:pPr>
              <w:rPr>
                <w:rFonts w:ascii="Arial" w:hAnsi="Arial" w:cs="Arial"/>
                <w:b/>
                <w:sz w:val="24"/>
                <w:szCs w:val="24"/>
              </w:rPr>
            </w:pPr>
          </w:p>
        </w:tc>
        <w:tc>
          <w:tcPr>
            <w:tcW w:w="1170" w:type="dxa"/>
            <w:shd w:val="clear" w:color="auto" w:fill="auto"/>
          </w:tcPr>
          <w:p w14:paraId="67593899" w14:textId="77777777" w:rsidR="001506C1" w:rsidRPr="00FA3F9C" w:rsidRDefault="001506C1" w:rsidP="007B6A48">
            <w:pPr>
              <w:rPr>
                <w:rFonts w:ascii="Arial" w:hAnsi="Arial" w:cs="Arial"/>
                <w:b/>
                <w:sz w:val="24"/>
                <w:szCs w:val="24"/>
              </w:rPr>
            </w:pPr>
          </w:p>
        </w:tc>
        <w:tc>
          <w:tcPr>
            <w:tcW w:w="1080" w:type="dxa"/>
            <w:shd w:val="clear" w:color="auto" w:fill="auto"/>
          </w:tcPr>
          <w:p w14:paraId="64DD2D95" w14:textId="77777777" w:rsidR="001506C1" w:rsidRPr="00FA3F9C" w:rsidRDefault="001506C1" w:rsidP="007B6A48">
            <w:pPr>
              <w:rPr>
                <w:rFonts w:ascii="Arial" w:hAnsi="Arial" w:cs="Arial"/>
                <w:b/>
                <w:sz w:val="24"/>
                <w:szCs w:val="24"/>
              </w:rPr>
            </w:pPr>
          </w:p>
        </w:tc>
        <w:tc>
          <w:tcPr>
            <w:tcW w:w="810" w:type="dxa"/>
            <w:shd w:val="clear" w:color="auto" w:fill="auto"/>
          </w:tcPr>
          <w:p w14:paraId="142A8B77" w14:textId="77777777" w:rsidR="001506C1" w:rsidRPr="00FA3F9C" w:rsidRDefault="001506C1" w:rsidP="007B6A48">
            <w:pPr>
              <w:rPr>
                <w:rFonts w:ascii="Arial" w:hAnsi="Arial" w:cs="Arial"/>
                <w:b/>
                <w:sz w:val="24"/>
                <w:szCs w:val="24"/>
              </w:rPr>
            </w:pPr>
          </w:p>
        </w:tc>
        <w:tc>
          <w:tcPr>
            <w:tcW w:w="1440" w:type="dxa"/>
            <w:tcBorders>
              <w:bottom w:val="single" w:sz="4" w:space="0" w:color="auto"/>
            </w:tcBorders>
            <w:shd w:val="clear" w:color="auto" w:fill="auto"/>
          </w:tcPr>
          <w:p w14:paraId="3F352202" w14:textId="77777777" w:rsidR="001506C1" w:rsidRPr="00FA3F9C" w:rsidRDefault="001506C1" w:rsidP="007B6A48">
            <w:pPr>
              <w:rPr>
                <w:rFonts w:ascii="Arial" w:hAnsi="Arial" w:cs="Arial"/>
                <w:b/>
                <w:sz w:val="24"/>
                <w:szCs w:val="24"/>
              </w:rPr>
            </w:pPr>
          </w:p>
        </w:tc>
      </w:tr>
      <w:tr w:rsidR="001506C1" w:rsidRPr="00FA3F9C" w14:paraId="016506A3" w14:textId="77777777" w:rsidTr="000B4FA3">
        <w:tc>
          <w:tcPr>
            <w:tcW w:w="1165" w:type="dxa"/>
            <w:shd w:val="clear" w:color="auto" w:fill="FFFF00"/>
          </w:tcPr>
          <w:p w14:paraId="18BE6A9D" w14:textId="77777777" w:rsidR="001506C1" w:rsidRPr="00FA3F9C" w:rsidRDefault="001506C1" w:rsidP="007B6A48">
            <w:pPr>
              <w:rPr>
                <w:rFonts w:ascii="Arial" w:hAnsi="Arial" w:cs="Arial"/>
                <w:b/>
                <w:sz w:val="24"/>
                <w:szCs w:val="24"/>
              </w:rPr>
            </w:pPr>
            <w:proofErr w:type="spellStart"/>
            <w:r w:rsidRPr="00FA3F9C">
              <w:rPr>
                <w:rFonts w:ascii="Arial" w:hAnsi="Arial" w:cs="Arial"/>
                <w:b/>
                <w:sz w:val="24"/>
                <w:szCs w:val="24"/>
              </w:rPr>
              <w:t>Myobloc</w:t>
            </w:r>
            <w:proofErr w:type="spellEnd"/>
          </w:p>
        </w:tc>
        <w:tc>
          <w:tcPr>
            <w:tcW w:w="1080" w:type="dxa"/>
            <w:shd w:val="clear" w:color="auto" w:fill="auto"/>
          </w:tcPr>
          <w:p w14:paraId="5C0CC14E" w14:textId="77777777" w:rsidR="001506C1" w:rsidRPr="00FA3F9C" w:rsidRDefault="001506C1" w:rsidP="007B6A48">
            <w:pPr>
              <w:rPr>
                <w:rFonts w:ascii="Arial" w:hAnsi="Arial" w:cs="Arial"/>
                <w:b/>
                <w:sz w:val="24"/>
                <w:szCs w:val="24"/>
              </w:rPr>
            </w:pPr>
          </w:p>
        </w:tc>
        <w:tc>
          <w:tcPr>
            <w:tcW w:w="810" w:type="dxa"/>
            <w:shd w:val="clear" w:color="auto" w:fill="000000" w:themeFill="text1"/>
          </w:tcPr>
          <w:p w14:paraId="7060B6FB" w14:textId="77777777" w:rsidR="001506C1" w:rsidRPr="00FA3F9C" w:rsidRDefault="001506C1" w:rsidP="007B6A48">
            <w:pPr>
              <w:rPr>
                <w:rFonts w:ascii="Arial" w:hAnsi="Arial" w:cs="Arial"/>
                <w:b/>
                <w:sz w:val="24"/>
                <w:szCs w:val="24"/>
              </w:rPr>
            </w:pPr>
          </w:p>
        </w:tc>
        <w:tc>
          <w:tcPr>
            <w:tcW w:w="810" w:type="dxa"/>
            <w:shd w:val="clear" w:color="auto" w:fill="auto"/>
          </w:tcPr>
          <w:p w14:paraId="4958BFBB" w14:textId="77777777" w:rsidR="001506C1" w:rsidRPr="00FA3F9C" w:rsidRDefault="001506C1" w:rsidP="007B6A48">
            <w:pPr>
              <w:rPr>
                <w:rFonts w:ascii="Arial" w:hAnsi="Arial" w:cs="Arial"/>
                <w:b/>
                <w:sz w:val="24"/>
                <w:szCs w:val="24"/>
              </w:rPr>
            </w:pPr>
          </w:p>
        </w:tc>
        <w:tc>
          <w:tcPr>
            <w:tcW w:w="810" w:type="dxa"/>
            <w:shd w:val="clear" w:color="auto" w:fill="auto"/>
          </w:tcPr>
          <w:p w14:paraId="6CC04F35" w14:textId="77777777" w:rsidR="001506C1" w:rsidRPr="00FA3F9C" w:rsidRDefault="001506C1" w:rsidP="007B6A48">
            <w:pPr>
              <w:rPr>
                <w:rFonts w:ascii="Arial" w:hAnsi="Arial" w:cs="Arial"/>
                <w:b/>
                <w:sz w:val="24"/>
                <w:szCs w:val="24"/>
              </w:rPr>
            </w:pPr>
          </w:p>
        </w:tc>
        <w:tc>
          <w:tcPr>
            <w:tcW w:w="810" w:type="dxa"/>
            <w:shd w:val="clear" w:color="auto" w:fill="auto"/>
          </w:tcPr>
          <w:p w14:paraId="28ABA223" w14:textId="77777777" w:rsidR="001506C1" w:rsidRPr="00FA3F9C" w:rsidRDefault="001506C1" w:rsidP="007B6A48">
            <w:pPr>
              <w:rPr>
                <w:rFonts w:ascii="Arial" w:hAnsi="Arial" w:cs="Arial"/>
                <w:b/>
                <w:sz w:val="24"/>
                <w:szCs w:val="24"/>
              </w:rPr>
            </w:pPr>
          </w:p>
        </w:tc>
        <w:tc>
          <w:tcPr>
            <w:tcW w:w="900" w:type="dxa"/>
            <w:shd w:val="clear" w:color="auto" w:fill="auto"/>
          </w:tcPr>
          <w:p w14:paraId="5B77D22F" w14:textId="77777777" w:rsidR="001506C1" w:rsidRPr="00FA3F9C" w:rsidRDefault="001506C1" w:rsidP="007B6A48">
            <w:pPr>
              <w:rPr>
                <w:rFonts w:ascii="Arial" w:hAnsi="Arial" w:cs="Arial"/>
                <w:b/>
                <w:sz w:val="24"/>
                <w:szCs w:val="24"/>
              </w:rPr>
            </w:pPr>
          </w:p>
        </w:tc>
        <w:tc>
          <w:tcPr>
            <w:tcW w:w="810" w:type="dxa"/>
          </w:tcPr>
          <w:p w14:paraId="1EC73B21" w14:textId="77777777" w:rsidR="001506C1" w:rsidRPr="00FA3F9C" w:rsidRDefault="001506C1" w:rsidP="007B6A48">
            <w:pPr>
              <w:rPr>
                <w:rFonts w:ascii="Arial" w:hAnsi="Arial" w:cs="Arial"/>
                <w:b/>
                <w:sz w:val="24"/>
                <w:szCs w:val="24"/>
              </w:rPr>
            </w:pPr>
          </w:p>
        </w:tc>
        <w:tc>
          <w:tcPr>
            <w:tcW w:w="810" w:type="dxa"/>
            <w:shd w:val="clear" w:color="auto" w:fill="auto"/>
          </w:tcPr>
          <w:p w14:paraId="5C342399" w14:textId="77777777" w:rsidR="001506C1" w:rsidRPr="00FA3F9C" w:rsidRDefault="001506C1" w:rsidP="007B6A48">
            <w:pPr>
              <w:rPr>
                <w:rFonts w:ascii="Arial" w:hAnsi="Arial" w:cs="Arial"/>
                <w:b/>
                <w:sz w:val="24"/>
                <w:szCs w:val="24"/>
              </w:rPr>
            </w:pPr>
          </w:p>
        </w:tc>
        <w:tc>
          <w:tcPr>
            <w:tcW w:w="900" w:type="dxa"/>
          </w:tcPr>
          <w:p w14:paraId="574690C7" w14:textId="77777777" w:rsidR="001506C1" w:rsidRPr="00FA3F9C" w:rsidRDefault="001506C1" w:rsidP="007B6A48">
            <w:pPr>
              <w:rPr>
                <w:rFonts w:ascii="Arial" w:hAnsi="Arial" w:cs="Arial"/>
                <w:b/>
                <w:sz w:val="24"/>
                <w:szCs w:val="24"/>
              </w:rPr>
            </w:pPr>
          </w:p>
        </w:tc>
        <w:tc>
          <w:tcPr>
            <w:tcW w:w="900" w:type="dxa"/>
            <w:shd w:val="clear" w:color="auto" w:fill="auto"/>
          </w:tcPr>
          <w:p w14:paraId="492D0739" w14:textId="77777777" w:rsidR="001506C1" w:rsidRPr="00FA3F9C" w:rsidRDefault="001506C1" w:rsidP="007B6A48">
            <w:pPr>
              <w:rPr>
                <w:rFonts w:ascii="Arial" w:hAnsi="Arial" w:cs="Arial"/>
                <w:b/>
                <w:sz w:val="24"/>
                <w:szCs w:val="24"/>
              </w:rPr>
            </w:pPr>
          </w:p>
        </w:tc>
        <w:tc>
          <w:tcPr>
            <w:tcW w:w="1170" w:type="dxa"/>
            <w:shd w:val="clear" w:color="auto" w:fill="auto"/>
          </w:tcPr>
          <w:p w14:paraId="5F7AE2E2" w14:textId="77777777" w:rsidR="001506C1" w:rsidRPr="00FA3F9C" w:rsidRDefault="001506C1" w:rsidP="007B6A48">
            <w:pPr>
              <w:rPr>
                <w:rFonts w:ascii="Arial" w:hAnsi="Arial" w:cs="Arial"/>
                <w:b/>
                <w:sz w:val="24"/>
                <w:szCs w:val="24"/>
              </w:rPr>
            </w:pPr>
          </w:p>
        </w:tc>
        <w:tc>
          <w:tcPr>
            <w:tcW w:w="1080" w:type="dxa"/>
            <w:shd w:val="clear" w:color="auto" w:fill="auto"/>
          </w:tcPr>
          <w:p w14:paraId="085ED564" w14:textId="77777777" w:rsidR="001506C1" w:rsidRPr="00FA3F9C" w:rsidRDefault="001506C1" w:rsidP="007B6A48">
            <w:pPr>
              <w:rPr>
                <w:rFonts w:ascii="Arial" w:hAnsi="Arial" w:cs="Arial"/>
                <w:b/>
                <w:sz w:val="24"/>
                <w:szCs w:val="24"/>
              </w:rPr>
            </w:pPr>
          </w:p>
        </w:tc>
        <w:tc>
          <w:tcPr>
            <w:tcW w:w="810" w:type="dxa"/>
            <w:shd w:val="clear" w:color="auto" w:fill="auto"/>
          </w:tcPr>
          <w:p w14:paraId="392D1646" w14:textId="77777777" w:rsidR="001506C1" w:rsidRPr="00FA3F9C" w:rsidRDefault="001506C1" w:rsidP="007B6A48">
            <w:pPr>
              <w:rPr>
                <w:rFonts w:ascii="Arial" w:hAnsi="Arial" w:cs="Arial"/>
                <w:b/>
                <w:sz w:val="24"/>
                <w:szCs w:val="24"/>
              </w:rPr>
            </w:pPr>
          </w:p>
        </w:tc>
        <w:tc>
          <w:tcPr>
            <w:tcW w:w="1440" w:type="dxa"/>
            <w:shd w:val="clear" w:color="auto" w:fill="000000" w:themeFill="text1"/>
          </w:tcPr>
          <w:p w14:paraId="11BC5712" w14:textId="77777777" w:rsidR="001506C1" w:rsidRPr="00FA3F9C" w:rsidRDefault="001506C1" w:rsidP="007B6A48">
            <w:pPr>
              <w:rPr>
                <w:rFonts w:ascii="Arial" w:hAnsi="Arial" w:cs="Arial"/>
                <w:b/>
                <w:sz w:val="24"/>
                <w:szCs w:val="24"/>
              </w:rPr>
            </w:pPr>
          </w:p>
        </w:tc>
      </w:tr>
    </w:tbl>
    <w:p w14:paraId="1BBC5E6E" w14:textId="77777777" w:rsidR="001506C1" w:rsidRPr="00FA3F9C" w:rsidRDefault="001506C1" w:rsidP="007B6A48">
      <w:pPr>
        <w:spacing w:after="0" w:line="240" w:lineRule="auto"/>
        <w:rPr>
          <w:rFonts w:ascii="Arial" w:hAnsi="Arial" w:cs="Arial"/>
          <w:b/>
          <w:sz w:val="24"/>
          <w:szCs w:val="24"/>
        </w:rPr>
      </w:pPr>
    </w:p>
    <w:p w14:paraId="247F52D1" w14:textId="77777777" w:rsidR="001506C1" w:rsidRPr="00FA3F9C" w:rsidRDefault="001506C1" w:rsidP="007B6A48">
      <w:pPr>
        <w:spacing w:after="0" w:line="240" w:lineRule="auto"/>
        <w:rPr>
          <w:rFonts w:ascii="Arial" w:hAnsi="Arial" w:cs="Arial"/>
          <w:b/>
          <w:sz w:val="24"/>
          <w:szCs w:val="24"/>
          <w:u w:val="single"/>
        </w:rPr>
      </w:pPr>
      <w:r w:rsidRPr="00FA3F9C">
        <w:rPr>
          <w:rFonts w:ascii="Arial" w:hAnsi="Arial" w:cs="Arial"/>
          <w:b/>
          <w:sz w:val="24"/>
          <w:szCs w:val="24"/>
          <w:u w:val="single"/>
        </w:rPr>
        <w:t>Spasticity:</w:t>
      </w:r>
    </w:p>
    <w:p w14:paraId="4398EB63" w14:textId="77777777" w:rsidR="001506C1" w:rsidRPr="00FA3F9C" w:rsidRDefault="001506C1" w:rsidP="007B6A48">
      <w:pPr>
        <w:spacing w:after="0" w:line="240" w:lineRule="auto"/>
        <w:ind w:left="720"/>
        <w:rPr>
          <w:rFonts w:ascii="Arial" w:hAnsi="Arial" w:cs="Arial"/>
          <w:sz w:val="24"/>
          <w:szCs w:val="24"/>
        </w:rPr>
      </w:pPr>
      <w:r w:rsidRPr="00FA3F9C">
        <w:rPr>
          <w:rFonts w:ascii="Arial" w:hAnsi="Arial" w:cs="Arial"/>
          <w:sz w:val="24"/>
          <w:szCs w:val="24"/>
        </w:rPr>
        <w:t xml:space="preserve">A meta-analysis of </w:t>
      </w:r>
      <w:proofErr w:type="spellStart"/>
      <w:r w:rsidRPr="00FA3F9C">
        <w:rPr>
          <w:rFonts w:ascii="Arial" w:hAnsi="Arial" w:cs="Arial"/>
          <w:sz w:val="24"/>
          <w:szCs w:val="24"/>
        </w:rPr>
        <w:t>botulinumtoxinA</w:t>
      </w:r>
      <w:proofErr w:type="spellEnd"/>
      <w:r w:rsidRPr="00FA3F9C">
        <w:rPr>
          <w:rFonts w:ascii="Arial" w:hAnsi="Arial" w:cs="Arial"/>
          <w:sz w:val="24"/>
          <w:szCs w:val="24"/>
        </w:rPr>
        <w:t xml:space="preserve"> products (Botox, Dysport, &amp; </w:t>
      </w:r>
      <w:proofErr w:type="spellStart"/>
      <w:r w:rsidRPr="00FA3F9C">
        <w:rPr>
          <w:rFonts w:ascii="Arial" w:hAnsi="Arial" w:cs="Arial"/>
          <w:sz w:val="24"/>
          <w:szCs w:val="24"/>
        </w:rPr>
        <w:t>Xeomin</w:t>
      </w:r>
      <w:proofErr w:type="spellEnd"/>
      <w:r w:rsidRPr="00FA3F9C">
        <w:rPr>
          <w:rFonts w:ascii="Arial" w:hAnsi="Arial" w:cs="Arial"/>
          <w:sz w:val="24"/>
          <w:szCs w:val="24"/>
        </w:rPr>
        <w:t xml:space="preserve">) showed they are effective and safe in adult patients with upper and lower limb spasticity after stroke.  BTXA improves muscle tone, physician global assessment, and disability assessment scale in upper limb spasticity and increases the </w:t>
      </w:r>
      <w:proofErr w:type="spellStart"/>
      <w:r w:rsidRPr="00FA3F9C">
        <w:rPr>
          <w:rFonts w:ascii="Arial" w:hAnsi="Arial" w:cs="Arial"/>
          <w:sz w:val="24"/>
          <w:szCs w:val="24"/>
        </w:rPr>
        <w:t>Fugl</w:t>
      </w:r>
      <w:proofErr w:type="spellEnd"/>
      <w:r w:rsidRPr="00FA3F9C">
        <w:rPr>
          <w:rFonts w:ascii="Arial" w:hAnsi="Arial" w:cs="Arial"/>
          <w:sz w:val="24"/>
          <w:szCs w:val="24"/>
        </w:rPr>
        <w:t>-Meyer score in lower limb spasticity.  BTXA did not have a significant effect on active upper limb function and adverse events.  For lower limb spasticity, BTXA had no effect on muscle tone or gait speed or adverse events.</w:t>
      </w:r>
    </w:p>
    <w:p w14:paraId="5C8B13C9" w14:textId="77777777" w:rsidR="001506C1" w:rsidRPr="00FA3F9C" w:rsidRDefault="001506C1" w:rsidP="001506C1">
      <w:pPr>
        <w:pStyle w:val="ListParagraph"/>
        <w:numPr>
          <w:ilvl w:val="0"/>
          <w:numId w:val="58"/>
        </w:numPr>
        <w:spacing w:after="0" w:line="240" w:lineRule="auto"/>
        <w:rPr>
          <w:rFonts w:ascii="Arial" w:eastAsia="Times New Roman" w:hAnsi="Arial" w:cs="Arial"/>
          <w:sz w:val="24"/>
          <w:szCs w:val="24"/>
        </w:rPr>
      </w:pPr>
      <w:r w:rsidRPr="00FA3F9C">
        <w:rPr>
          <w:rFonts w:ascii="Arial" w:eastAsia="Times New Roman" w:hAnsi="Arial" w:cs="Arial"/>
          <w:color w:val="222222"/>
          <w:sz w:val="24"/>
          <w:szCs w:val="24"/>
          <w:shd w:val="clear" w:color="auto" w:fill="F8F8F8"/>
        </w:rPr>
        <w:lastRenderedPageBreak/>
        <w:t>Dong, Y., et al. "Efficacy and safety of botulinum toxin type A for upper limb spasticity after stroke or traumatic brain injury: a systematic review with meta-analysis and trial sequential analysis." (2017): 256-267.</w:t>
      </w:r>
    </w:p>
    <w:p w14:paraId="5E82EDDE" w14:textId="77777777" w:rsidR="001506C1" w:rsidRPr="00FA3F9C" w:rsidRDefault="001506C1" w:rsidP="007B6A48">
      <w:pPr>
        <w:spacing w:after="0" w:line="240" w:lineRule="auto"/>
        <w:rPr>
          <w:rFonts w:ascii="Arial" w:hAnsi="Arial" w:cs="Arial"/>
          <w:b/>
          <w:sz w:val="24"/>
          <w:szCs w:val="24"/>
        </w:rPr>
      </w:pPr>
    </w:p>
    <w:p w14:paraId="5FEC5468" w14:textId="77777777" w:rsidR="001506C1" w:rsidRPr="00FA3F9C" w:rsidRDefault="001506C1" w:rsidP="007B6A48">
      <w:pPr>
        <w:spacing w:after="0" w:line="240" w:lineRule="auto"/>
        <w:rPr>
          <w:rFonts w:ascii="Arial" w:hAnsi="Arial" w:cs="Arial"/>
          <w:b/>
          <w:sz w:val="24"/>
          <w:szCs w:val="24"/>
          <w:u w:val="single"/>
        </w:rPr>
      </w:pPr>
      <w:r w:rsidRPr="00FA3F9C">
        <w:rPr>
          <w:rFonts w:ascii="Arial" w:hAnsi="Arial" w:cs="Arial"/>
          <w:b/>
          <w:sz w:val="24"/>
          <w:szCs w:val="24"/>
          <w:u w:val="single"/>
        </w:rPr>
        <w:t>Urinary incontinence (Botox is the only one FDA-approved):</w:t>
      </w:r>
    </w:p>
    <w:p w14:paraId="086F162A" w14:textId="77777777" w:rsidR="001506C1" w:rsidRPr="00FA3F9C" w:rsidRDefault="001506C1" w:rsidP="007B6A48">
      <w:pPr>
        <w:spacing w:after="0" w:line="240" w:lineRule="auto"/>
        <w:ind w:left="720"/>
        <w:rPr>
          <w:rFonts w:ascii="Arial" w:hAnsi="Arial" w:cs="Arial"/>
          <w:sz w:val="24"/>
          <w:szCs w:val="24"/>
        </w:rPr>
      </w:pPr>
      <w:r w:rsidRPr="00FA3F9C">
        <w:rPr>
          <w:rFonts w:ascii="Arial" w:hAnsi="Arial" w:cs="Arial"/>
          <w:sz w:val="24"/>
          <w:szCs w:val="24"/>
        </w:rPr>
        <w:t xml:space="preserve">This NMA of 19 trials showed Botox was associated with improved outcomes, including reductions in the # of </w:t>
      </w:r>
      <w:proofErr w:type="spellStart"/>
      <w:r w:rsidRPr="00FA3F9C">
        <w:rPr>
          <w:rFonts w:ascii="Arial" w:hAnsi="Arial" w:cs="Arial"/>
          <w:sz w:val="24"/>
          <w:szCs w:val="24"/>
        </w:rPr>
        <w:t>micturitions</w:t>
      </w:r>
      <w:proofErr w:type="spellEnd"/>
      <w:r w:rsidRPr="00FA3F9C">
        <w:rPr>
          <w:rFonts w:ascii="Arial" w:hAnsi="Arial" w:cs="Arial"/>
          <w:sz w:val="24"/>
          <w:szCs w:val="24"/>
        </w:rPr>
        <w:t xml:space="preserve"> in 24 </w:t>
      </w:r>
      <w:proofErr w:type="spellStart"/>
      <w:r w:rsidRPr="00FA3F9C">
        <w:rPr>
          <w:rFonts w:ascii="Arial" w:hAnsi="Arial" w:cs="Arial"/>
          <w:sz w:val="24"/>
          <w:szCs w:val="24"/>
        </w:rPr>
        <w:t>hrs</w:t>
      </w:r>
      <w:proofErr w:type="spellEnd"/>
      <w:r w:rsidRPr="00FA3F9C">
        <w:rPr>
          <w:rFonts w:ascii="Arial" w:hAnsi="Arial" w:cs="Arial"/>
          <w:sz w:val="24"/>
          <w:szCs w:val="24"/>
        </w:rPr>
        <w:t xml:space="preserve"> and the number of incontinence episodes, compared to mirabegron.  Mirabegron was associated with a lower risk of UTIs vs Botox, however.</w:t>
      </w:r>
    </w:p>
    <w:p w14:paraId="28B210D1" w14:textId="77777777" w:rsidR="001506C1" w:rsidRPr="00FA3F9C" w:rsidRDefault="001506C1" w:rsidP="001506C1">
      <w:pPr>
        <w:pStyle w:val="ListParagraph"/>
        <w:numPr>
          <w:ilvl w:val="0"/>
          <w:numId w:val="57"/>
        </w:numPr>
        <w:spacing w:after="0" w:line="240" w:lineRule="auto"/>
        <w:rPr>
          <w:rFonts w:ascii="Arial" w:eastAsia="Times New Roman" w:hAnsi="Arial" w:cs="Arial"/>
          <w:sz w:val="24"/>
          <w:szCs w:val="24"/>
        </w:rPr>
      </w:pPr>
      <w:r w:rsidRPr="00FA3F9C">
        <w:rPr>
          <w:rFonts w:ascii="Arial" w:eastAsia="Times New Roman" w:hAnsi="Arial" w:cs="Arial"/>
          <w:sz w:val="24"/>
          <w:szCs w:val="24"/>
          <w:shd w:val="clear" w:color="auto" w:fill="FFFFFF"/>
        </w:rPr>
        <w:t xml:space="preserve">Lozano-Ortega G, Walker D, </w:t>
      </w:r>
      <w:proofErr w:type="spellStart"/>
      <w:r w:rsidRPr="00FA3F9C">
        <w:rPr>
          <w:rFonts w:ascii="Arial" w:eastAsia="Times New Roman" w:hAnsi="Arial" w:cs="Arial"/>
          <w:sz w:val="24"/>
          <w:szCs w:val="24"/>
          <w:shd w:val="clear" w:color="auto" w:fill="FFFFFF"/>
        </w:rPr>
        <w:t>Rogula</w:t>
      </w:r>
      <w:proofErr w:type="spellEnd"/>
      <w:r w:rsidRPr="00FA3F9C">
        <w:rPr>
          <w:rFonts w:ascii="Arial" w:eastAsia="Times New Roman" w:hAnsi="Arial" w:cs="Arial"/>
          <w:sz w:val="24"/>
          <w:szCs w:val="24"/>
          <w:shd w:val="clear" w:color="auto" w:fill="FFFFFF"/>
        </w:rPr>
        <w:t xml:space="preserve"> B, Deighton A, et al. The Relative Efficacy and Safety of Mirabegron and </w:t>
      </w:r>
      <w:proofErr w:type="spellStart"/>
      <w:r w:rsidRPr="00FA3F9C">
        <w:rPr>
          <w:rFonts w:ascii="Arial" w:eastAsia="Times New Roman" w:hAnsi="Arial" w:cs="Arial"/>
          <w:sz w:val="24"/>
          <w:szCs w:val="24"/>
          <w:shd w:val="clear" w:color="auto" w:fill="FFFFFF"/>
        </w:rPr>
        <w:t>OnabotulinumtoxinA</w:t>
      </w:r>
      <w:proofErr w:type="spellEnd"/>
      <w:r w:rsidRPr="00FA3F9C">
        <w:rPr>
          <w:rFonts w:ascii="Arial" w:eastAsia="Times New Roman" w:hAnsi="Arial" w:cs="Arial"/>
          <w:sz w:val="24"/>
          <w:szCs w:val="24"/>
          <w:shd w:val="clear" w:color="auto" w:fill="FFFFFF"/>
        </w:rPr>
        <w:t xml:space="preserve"> in Patients </w:t>
      </w:r>
      <w:proofErr w:type="gramStart"/>
      <w:r w:rsidRPr="00FA3F9C">
        <w:rPr>
          <w:rFonts w:ascii="Arial" w:eastAsia="Times New Roman" w:hAnsi="Arial" w:cs="Arial"/>
          <w:sz w:val="24"/>
          <w:szCs w:val="24"/>
          <w:shd w:val="clear" w:color="auto" w:fill="FFFFFF"/>
        </w:rPr>
        <w:t>With</w:t>
      </w:r>
      <w:proofErr w:type="gramEnd"/>
      <w:r w:rsidRPr="00FA3F9C">
        <w:rPr>
          <w:rFonts w:ascii="Arial" w:eastAsia="Times New Roman" w:hAnsi="Arial" w:cs="Arial"/>
          <w:sz w:val="24"/>
          <w:szCs w:val="24"/>
          <w:shd w:val="clear" w:color="auto" w:fill="FFFFFF"/>
        </w:rPr>
        <w:t xml:space="preserve"> Overactive Bladder who have previously been managed with an Antimuscarinic: A Network Meta-analysis. Urology 127:1-8, 2019.</w:t>
      </w:r>
    </w:p>
    <w:p w14:paraId="523BE74F" w14:textId="77777777" w:rsidR="001506C1" w:rsidRPr="00FA3F9C" w:rsidRDefault="001506C1" w:rsidP="007B6A48">
      <w:pPr>
        <w:spacing w:after="0" w:line="240" w:lineRule="auto"/>
        <w:rPr>
          <w:rFonts w:ascii="Arial" w:hAnsi="Arial" w:cs="Arial"/>
          <w:b/>
          <w:sz w:val="24"/>
          <w:szCs w:val="24"/>
        </w:rPr>
      </w:pPr>
    </w:p>
    <w:p w14:paraId="5F25A32E" w14:textId="77777777" w:rsidR="001506C1" w:rsidRPr="00FA3F9C" w:rsidRDefault="001506C1" w:rsidP="007B6A48">
      <w:pPr>
        <w:spacing w:after="0" w:line="240" w:lineRule="auto"/>
        <w:rPr>
          <w:rFonts w:ascii="Arial" w:hAnsi="Arial" w:cs="Arial"/>
          <w:b/>
          <w:sz w:val="24"/>
          <w:szCs w:val="24"/>
          <w:u w:val="single"/>
        </w:rPr>
      </w:pPr>
      <w:r w:rsidRPr="00FA3F9C">
        <w:rPr>
          <w:rFonts w:ascii="Arial" w:hAnsi="Arial" w:cs="Arial"/>
          <w:b/>
          <w:sz w:val="24"/>
          <w:szCs w:val="24"/>
          <w:u w:val="single"/>
        </w:rPr>
        <w:t>Migraine:</w:t>
      </w:r>
    </w:p>
    <w:p w14:paraId="41F2019D" w14:textId="77777777" w:rsidR="001506C1" w:rsidRPr="00FA3F9C" w:rsidRDefault="001506C1" w:rsidP="007B6A48">
      <w:pPr>
        <w:spacing w:after="0" w:line="240" w:lineRule="auto"/>
        <w:ind w:left="720"/>
        <w:rPr>
          <w:rFonts w:ascii="Arial" w:hAnsi="Arial" w:cs="Arial"/>
          <w:sz w:val="24"/>
          <w:szCs w:val="24"/>
        </w:rPr>
      </w:pPr>
      <w:r w:rsidRPr="00FA3F9C">
        <w:rPr>
          <w:rFonts w:ascii="Arial" w:hAnsi="Arial" w:cs="Arial"/>
          <w:sz w:val="24"/>
          <w:szCs w:val="24"/>
        </w:rPr>
        <w:t>This meta-analysis of 17 trials (6 chronic migraine, 11 episodic migraine attacks) and 3646 patients of botulinum toxin in reducing the frequency of migraine reported a tendency in favor of BTXA over placebo at 3 m, with a mean difference in the OVERALL change of migraine frequency of -0.23 (95%CI, -0.47 to 0.02; p=0.08). The reduction in CHRONIC migraine frequency was significant, with a mean differential change of -1.56 (95%CI, -3.05 to -0.07; p=0.04), significant after 2 months.  There was not a significant improvement in episodic migraine reduction with a mean difference in change of migraine frequency per month of -0.17 (95%CI, -0.41 to 0.08; p=0.18), with statistical heterogeneity.  There was also an improvement in the patient’s QOL at 3 months in the BTXA group (p&lt;0.0001). Further adverse events were significantly increased, RR=1.32 (p=0.002).</w:t>
      </w:r>
    </w:p>
    <w:p w14:paraId="7C34BF12" w14:textId="77777777" w:rsidR="001506C1" w:rsidRPr="00FA3F9C" w:rsidRDefault="001506C1" w:rsidP="007B6A48">
      <w:pPr>
        <w:spacing w:after="0" w:line="240" w:lineRule="auto"/>
        <w:ind w:left="720"/>
        <w:rPr>
          <w:rFonts w:ascii="Arial" w:hAnsi="Arial" w:cs="Arial"/>
          <w:b/>
          <w:sz w:val="24"/>
          <w:szCs w:val="24"/>
          <w:u w:val="single"/>
        </w:rPr>
      </w:pPr>
      <w:r w:rsidRPr="00FA3F9C">
        <w:rPr>
          <w:rFonts w:ascii="Arial" w:hAnsi="Arial" w:cs="Arial"/>
          <w:b/>
          <w:sz w:val="24"/>
          <w:szCs w:val="24"/>
          <w:u w:val="single"/>
        </w:rPr>
        <w:t>BOTTOM LINE:  BTXA should not be used for episodic migraine.  This MA as well as the American Academy of Neurology in 2008 led to acknowledgment of the inefficacy of BTXA for episodic migraines.</w:t>
      </w:r>
    </w:p>
    <w:p w14:paraId="0E9309FB" w14:textId="77777777" w:rsidR="001506C1" w:rsidRPr="00FA3F9C" w:rsidRDefault="001506C1" w:rsidP="00652A6E">
      <w:proofErr w:type="spellStart"/>
      <w:r w:rsidRPr="00FA3F9C">
        <w:t>Bruloy</w:t>
      </w:r>
      <w:proofErr w:type="spellEnd"/>
      <w:r w:rsidRPr="00FA3F9C">
        <w:t>, Eva (01/2019). "Botulinum Toxin versus Placebo: A Meta-Analysis of Prophylactic Treatment for Migraine.". </w:t>
      </w:r>
      <w:r w:rsidRPr="00FA3F9C">
        <w:rPr>
          <w:i/>
          <w:iCs/>
        </w:rPr>
        <w:t>Plastic and reconstructive surgery (1963)</w:t>
      </w:r>
      <w:r w:rsidRPr="00FA3F9C">
        <w:t> (0032-1052), 143 (1), p. 239.</w:t>
      </w:r>
    </w:p>
    <w:p w14:paraId="2BF6B3F6" w14:textId="1FE90A81" w:rsidR="001506C1" w:rsidRPr="00076432" w:rsidRDefault="001506C1" w:rsidP="00076432">
      <w:r w:rsidRPr="00222A23">
        <w:rPr>
          <w:color w:val="222222"/>
          <w:shd w:val="clear" w:color="auto" w:fill="F8F8F8"/>
        </w:rPr>
        <w:t xml:space="preserve">Herd, Clare P., et al. </w:t>
      </w:r>
      <w:r w:rsidRPr="00FA3F9C">
        <w:rPr>
          <w:color w:val="222222"/>
          <w:shd w:val="clear" w:color="auto" w:fill="F8F8F8"/>
        </w:rPr>
        <w:t>"Botulinum toxins for the prevention of migraine in adults." </w:t>
      </w:r>
      <w:r w:rsidRPr="00FA3F9C">
        <w:rPr>
          <w:i/>
          <w:iCs/>
          <w:color w:val="222222"/>
          <w:shd w:val="clear" w:color="auto" w:fill="F8F8F8"/>
        </w:rPr>
        <w:t>Cochrane Database of Systematic Reviews</w:t>
      </w:r>
      <w:r w:rsidRPr="00FA3F9C">
        <w:rPr>
          <w:color w:val="222222"/>
          <w:shd w:val="clear" w:color="auto" w:fill="F8F8F8"/>
        </w:rPr>
        <w:t> 6 (2018).</w:t>
      </w:r>
    </w:p>
    <w:p w14:paraId="3262BC42" w14:textId="77777777" w:rsidR="001506C1" w:rsidRPr="00FA3F9C" w:rsidRDefault="001506C1" w:rsidP="007B6A48">
      <w:pPr>
        <w:spacing w:after="0" w:line="240" w:lineRule="auto"/>
        <w:rPr>
          <w:rFonts w:ascii="Arial" w:hAnsi="Arial" w:cs="Arial"/>
          <w:b/>
          <w:sz w:val="24"/>
          <w:szCs w:val="24"/>
          <w:u w:val="single"/>
        </w:rPr>
      </w:pPr>
      <w:r w:rsidRPr="00FA3F9C">
        <w:rPr>
          <w:rFonts w:ascii="Arial" w:hAnsi="Arial" w:cs="Arial"/>
          <w:b/>
          <w:sz w:val="24"/>
          <w:szCs w:val="24"/>
          <w:u w:val="single"/>
        </w:rPr>
        <w:t>Sialorrhea (excessive salivation associated w/ neurological disorders or local anatomical abnormalities):</w:t>
      </w:r>
    </w:p>
    <w:p w14:paraId="10DD0C4B" w14:textId="77777777" w:rsidR="001506C1" w:rsidRPr="00FA3F9C" w:rsidRDefault="001506C1" w:rsidP="007B6A48">
      <w:pPr>
        <w:spacing w:after="0" w:line="240" w:lineRule="auto"/>
        <w:ind w:left="720"/>
        <w:rPr>
          <w:rFonts w:ascii="Arial" w:hAnsi="Arial" w:cs="Arial"/>
          <w:sz w:val="24"/>
          <w:szCs w:val="24"/>
        </w:rPr>
      </w:pPr>
      <w:r w:rsidRPr="00FA3F9C">
        <w:rPr>
          <w:rFonts w:ascii="Arial" w:hAnsi="Arial" w:cs="Arial"/>
          <w:sz w:val="24"/>
          <w:szCs w:val="24"/>
        </w:rPr>
        <w:t xml:space="preserve">This mixed treatment NMA of 15 trials determined that compared to placebo, benztropine and BTX A &amp; B are associated with drooling. </w:t>
      </w:r>
      <w:r w:rsidRPr="00FA3F9C">
        <w:rPr>
          <w:rFonts w:ascii="Arial" w:hAnsi="Arial" w:cs="Arial"/>
          <w:b/>
          <w:sz w:val="24"/>
          <w:szCs w:val="24"/>
        </w:rPr>
        <w:t>Benztropine showed to be substantially and statistically superior to BTX A &amp;/or B</w:t>
      </w:r>
      <w:r w:rsidRPr="00FA3F9C">
        <w:rPr>
          <w:rFonts w:ascii="Arial" w:hAnsi="Arial" w:cs="Arial"/>
          <w:sz w:val="24"/>
          <w:szCs w:val="24"/>
        </w:rPr>
        <w:t>.  In children with cerebral palsy or adults with Parkinson’s disease, benztropine and BTXB and glycopyrrolate were superior to placebo, while BTXA was not.</w:t>
      </w:r>
    </w:p>
    <w:p w14:paraId="0B2D4455" w14:textId="77777777" w:rsidR="001506C1" w:rsidRPr="00FA3F9C" w:rsidRDefault="001506C1" w:rsidP="001506C1">
      <w:pPr>
        <w:pStyle w:val="ListParagraph"/>
        <w:numPr>
          <w:ilvl w:val="0"/>
          <w:numId w:val="59"/>
        </w:numPr>
        <w:spacing w:after="0" w:line="240" w:lineRule="auto"/>
        <w:rPr>
          <w:rFonts w:ascii="Arial" w:eastAsia="Times New Roman" w:hAnsi="Arial" w:cs="Arial"/>
          <w:sz w:val="24"/>
          <w:szCs w:val="24"/>
        </w:rPr>
      </w:pPr>
      <w:r w:rsidRPr="00FA3F9C">
        <w:rPr>
          <w:rFonts w:ascii="Arial" w:eastAsia="Times New Roman" w:hAnsi="Arial" w:cs="Arial"/>
          <w:color w:val="222222"/>
          <w:sz w:val="24"/>
          <w:szCs w:val="24"/>
          <w:shd w:val="clear" w:color="auto" w:fill="F8F8F8"/>
        </w:rPr>
        <w:lastRenderedPageBreak/>
        <w:t xml:space="preserve">Sridharan, Kannan, and Gowri </w:t>
      </w:r>
      <w:proofErr w:type="spellStart"/>
      <w:r w:rsidRPr="00FA3F9C">
        <w:rPr>
          <w:rFonts w:ascii="Arial" w:eastAsia="Times New Roman" w:hAnsi="Arial" w:cs="Arial"/>
          <w:color w:val="222222"/>
          <w:sz w:val="24"/>
          <w:szCs w:val="24"/>
          <w:shd w:val="clear" w:color="auto" w:fill="F8F8F8"/>
        </w:rPr>
        <w:t>Sivaramakrishnan</w:t>
      </w:r>
      <w:proofErr w:type="spellEnd"/>
      <w:r w:rsidRPr="00FA3F9C">
        <w:rPr>
          <w:rFonts w:ascii="Arial" w:eastAsia="Times New Roman" w:hAnsi="Arial" w:cs="Arial"/>
          <w:color w:val="222222"/>
          <w:sz w:val="24"/>
          <w:szCs w:val="24"/>
          <w:shd w:val="clear" w:color="auto" w:fill="F8F8F8"/>
        </w:rPr>
        <w:t>. "Pharmacological interventions for treating sialorrhea associated with neurological disorders: A mixed treatment network meta-analysis of randomized controlled trials." </w:t>
      </w:r>
      <w:r w:rsidRPr="00FA3F9C">
        <w:rPr>
          <w:rFonts w:ascii="Arial" w:eastAsia="Times New Roman" w:hAnsi="Arial" w:cs="Arial"/>
          <w:i/>
          <w:iCs/>
          <w:color w:val="222222"/>
          <w:sz w:val="24"/>
          <w:szCs w:val="24"/>
          <w:shd w:val="clear" w:color="auto" w:fill="F8F8F8"/>
        </w:rPr>
        <w:t>Journal of Clinical Neuroscience</w:t>
      </w:r>
      <w:r w:rsidRPr="00FA3F9C">
        <w:rPr>
          <w:rFonts w:ascii="Arial" w:eastAsia="Times New Roman" w:hAnsi="Arial" w:cs="Arial"/>
          <w:color w:val="222222"/>
          <w:sz w:val="24"/>
          <w:szCs w:val="24"/>
          <w:shd w:val="clear" w:color="auto" w:fill="F8F8F8"/>
        </w:rPr>
        <w:t> 51 (2018): 12-17.</w:t>
      </w:r>
    </w:p>
    <w:p w14:paraId="62A3355D" w14:textId="77777777" w:rsidR="001506C1" w:rsidRPr="00FA3F9C" w:rsidRDefault="001506C1" w:rsidP="007B6A48">
      <w:pPr>
        <w:spacing w:after="0" w:line="240" w:lineRule="auto"/>
        <w:rPr>
          <w:rFonts w:ascii="Arial" w:hAnsi="Arial" w:cs="Arial"/>
          <w:b/>
          <w:sz w:val="24"/>
          <w:szCs w:val="24"/>
        </w:rPr>
      </w:pPr>
    </w:p>
    <w:p w14:paraId="2A430B60" w14:textId="77777777" w:rsidR="001506C1" w:rsidRPr="00FA3F9C" w:rsidRDefault="001506C1" w:rsidP="007B6A48">
      <w:pPr>
        <w:spacing w:after="0" w:line="240" w:lineRule="auto"/>
        <w:rPr>
          <w:rFonts w:ascii="Arial" w:eastAsia="Times New Roman" w:hAnsi="Arial" w:cs="Arial"/>
          <w:b/>
          <w:sz w:val="24"/>
          <w:szCs w:val="24"/>
          <w:u w:val="single"/>
        </w:rPr>
      </w:pPr>
      <w:r w:rsidRPr="00FA3F9C">
        <w:rPr>
          <w:rFonts w:ascii="Arial" w:eastAsia="Times New Roman" w:hAnsi="Arial" w:cs="Arial"/>
          <w:b/>
          <w:sz w:val="24"/>
          <w:szCs w:val="24"/>
          <w:u w:val="single"/>
        </w:rPr>
        <w:t xml:space="preserve">Blepharospasm (focal dystonia involving the orbicularis oculi muscles and other periocular muscles manifested by increased blinking and spasms of involuntary eye closure, </w:t>
      </w:r>
      <w:proofErr w:type="spellStart"/>
      <w:r w:rsidRPr="00FA3F9C">
        <w:rPr>
          <w:rFonts w:ascii="Arial" w:eastAsia="Times New Roman" w:hAnsi="Arial" w:cs="Arial"/>
          <w:b/>
          <w:sz w:val="24"/>
          <w:szCs w:val="24"/>
          <w:u w:val="single"/>
        </w:rPr>
        <w:t>usu</w:t>
      </w:r>
      <w:proofErr w:type="spellEnd"/>
      <w:r w:rsidRPr="00FA3F9C">
        <w:rPr>
          <w:rFonts w:ascii="Arial" w:eastAsia="Times New Roman" w:hAnsi="Arial" w:cs="Arial"/>
          <w:b/>
          <w:sz w:val="24"/>
          <w:szCs w:val="24"/>
          <w:u w:val="single"/>
        </w:rPr>
        <w:t xml:space="preserve"> bilateral, synchronous, and symmetric or asymmetric: </w:t>
      </w:r>
    </w:p>
    <w:p w14:paraId="69182C80" w14:textId="77777777" w:rsidR="001506C1" w:rsidRPr="00FA3F9C" w:rsidRDefault="001506C1" w:rsidP="00AF56F4">
      <w:pPr>
        <w:spacing w:after="0"/>
        <w:rPr>
          <w:rFonts w:ascii="Arial" w:hAnsi="Arial" w:cs="Arial"/>
          <w:sz w:val="24"/>
          <w:szCs w:val="24"/>
        </w:rPr>
      </w:pPr>
      <w:r w:rsidRPr="00FA3F9C">
        <w:rPr>
          <w:rFonts w:ascii="Arial" w:hAnsi="Arial" w:cs="Arial"/>
          <w:color w:val="232323"/>
          <w:sz w:val="24"/>
          <w:szCs w:val="24"/>
          <w:shd w:val="clear" w:color="auto" w:fill="FFFFFF"/>
        </w:rPr>
        <w:t> A systematic review by the American Academy of Ophthalmology identified two placebo-controlled randomized trials (n = 194) and four blinded comparative trials (n = 719) of different types of botulinum neurotoxin A (</w:t>
      </w:r>
      <w:proofErr w:type="spellStart"/>
      <w:r w:rsidRPr="00FA3F9C">
        <w:rPr>
          <w:rFonts w:ascii="Arial" w:hAnsi="Arial" w:cs="Arial"/>
          <w:color w:val="232323"/>
          <w:sz w:val="24"/>
          <w:szCs w:val="24"/>
          <w:shd w:val="clear" w:color="auto" w:fill="FFFFFF"/>
        </w:rPr>
        <w:t>BoNT</w:t>
      </w:r>
      <w:proofErr w:type="spellEnd"/>
      <w:r w:rsidRPr="00FA3F9C">
        <w:rPr>
          <w:rFonts w:ascii="Arial" w:hAnsi="Arial" w:cs="Arial"/>
          <w:color w:val="232323"/>
          <w:sz w:val="24"/>
          <w:szCs w:val="24"/>
          <w:shd w:val="clear" w:color="auto" w:fill="FFFFFF"/>
        </w:rPr>
        <w:t>-A) for blepharospasm in adults [</w:t>
      </w:r>
      <w:hyperlink r:id="rId58" w:history="1">
        <w:r w:rsidRPr="00FA3F9C">
          <w:rPr>
            <w:rStyle w:val="Hyperlink"/>
            <w:rFonts w:ascii="Arial" w:hAnsi="Arial" w:cs="Arial"/>
            <w:color w:val="00905A"/>
            <w:sz w:val="24"/>
            <w:szCs w:val="24"/>
            <w:shd w:val="clear" w:color="auto" w:fill="FFFFFF"/>
          </w:rPr>
          <w:t>35</w:t>
        </w:r>
      </w:hyperlink>
      <w:r w:rsidRPr="00FA3F9C">
        <w:rPr>
          <w:rFonts w:ascii="Arial" w:hAnsi="Arial" w:cs="Arial"/>
          <w:color w:val="232323"/>
          <w:sz w:val="24"/>
          <w:szCs w:val="24"/>
          <w:shd w:val="clear" w:color="auto" w:fill="FFFFFF"/>
        </w:rPr>
        <w:t xml:space="preserve">]. The review concluded that periocular </w:t>
      </w:r>
      <w:proofErr w:type="spellStart"/>
      <w:r w:rsidRPr="00FA3F9C">
        <w:rPr>
          <w:rFonts w:ascii="Arial" w:hAnsi="Arial" w:cs="Arial"/>
          <w:color w:val="232323"/>
          <w:sz w:val="24"/>
          <w:szCs w:val="24"/>
          <w:shd w:val="clear" w:color="auto" w:fill="FFFFFF"/>
        </w:rPr>
        <w:t>BoNT</w:t>
      </w:r>
      <w:proofErr w:type="spellEnd"/>
      <w:r w:rsidRPr="00FA3F9C">
        <w:rPr>
          <w:rFonts w:ascii="Arial" w:hAnsi="Arial" w:cs="Arial"/>
          <w:color w:val="232323"/>
          <w:sz w:val="24"/>
          <w:szCs w:val="24"/>
          <w:shd w:val="clear" w:color="auto" w:fill="FFFFFF"/>
        </w:rPr>
        <w:t xml:space="preserve">-A injections are more effective than placebo for reducing blepharospasm severity based on standardized rating scales and that the three types of </w:t>
      </w:r>
      <w:proofErr w:type="spellStart"/>
      <w:r w:rsidRPr="00FA3F9C">
        <w:rPr>
          <w:rFonts w:ascii="Arial" w:hAnsi="Arial" w:cs="Arial"/>
          <w:color w:val="232323"/>
          <w:sz w:val="24"/>
          <w:szCs w:val="24"/>
          <w:shd w:val="clear" w:color="auto" w:fill="FFFFFF"/>
        </w:rPr>
        <w:t>BoNT</w:t>
      </w:r>
      <w:proofErr w:type="spellEnd"/>
      <w:r w:rsidRPr="00FA3F9C">
        <w:rPr>
          <w:rFonts w:ascii="Arial" w:hAnsi="Arial" w:cs="Arial"/>
          <w:color w:val="232323"/>
          <w:sz w:val="24"/>
          <w:szCs w:val="24"/>
          <w:shd w:val="clear" w:color="auto" w:fill="FFFFFF"/>
        </w:rPr>
        <w:t>-A (</w:t>
      </w:r>
      <w:proofErr w:type="spellStart"/>
      <w:r w:rsidR="005005CA">
        <w:fldChar w:fldCharType="begin"/>
      </w:r>
      <w:r w:rsidR="005005CA">
        <w:instrText xml:space="preserve"> HYPERLINK "https://www-uptodate-com.libproxy.uams.edu/contents/onabotulinumtoxina-botox-drug-information?search=blepharospasm+treatment&amp;topicRef=4887&amp;source=see_link" </w:instrText>
      </w:r>
      <w:r w:rsidR="005005CA">
        <w:fldChar w:fldCharType="separate"/>
      </w:r>
      <w:r w:rsidRPr="00FA3F9C">
        <w:rPr>
          <w:rStyle w:val="Hyperlink"/>
          <w:rFonts w:ascii="Arial" w:hAnsi="Arial" w:cs="Arial"/>
          <w:color w:val="00905A"/>
          <w:sz w:val="24"/>
          <w:szCs w:val="24"/>
          <w:shd w:val="clear" w:color="auto" w:fill="FFFFFF"/>
        </w:rPr>
        <w:t>onabotulinumtoxinA</w:t>
      </w:r>
      <w:proofErr w:type="spellEnd"/>
      <w:r w:rsidR="005005CA">
        <w:rPr>
          <w:rStyle w:val="Hyperlink"/>
          <w:rFonts w:ascii="Arial" w:hAnsi="Arial" w:cs="Arial"/>
          <w:color w:val="00905A"/>
          <w:sz w:val="24"/>
          <w:szCs w:val="24"/>
          <w:shd w:val="clear" w:color="auto" w:fill="FFFFFF"/>
        </w:rPr>
        <w:fldChar w:fldCharType="end"/>
      </w:r>
      <w:r w:rsidRPr="00FA3F9C">
        <w:rPr>
          <w:rFonts w:ascii="Arial" w:hAnsi="Arial" w:cs="Arial"/>
          <w:color w:val="232323"/>
          <w:sz w:val="24"/>
          <w:szCs w:val="24"/>
          <w:shd w:val="clear" w:color="auto" w:fill="FFFFFF"/>
        </w:rPr>
        <w:t>, </w:t>
      </w:r>
      <w:proofErr w:type="spellStart"/>
      <w:r w:rsidR="005005CA">
        <w:fldChar w:fldCharType="begin"/>
      </w:r>
      <w:r w:rsidR="005005CA">
        <w:instrText xml:space="preserve"> HYPERLINK "https://www-uptodate-com.libproxy.uams.edu/contents/abobotulinumtoxina-dysport-drug-information?search=blepharospasm+treatment&amp;topicRef=4887&amp;source=see_link" </w:instrText>
      </w:r>
      <w:r w:rsidR="005005CA">
        <w:fldChar w:fldCharType="separate"/>
      </w:r>
      <w:r w:rsidRPr="00FA3F9C">
        <w:rPr>
          <w:rStyle w:val="Hyperlink"/>
          <w:rFonts w:ascii="Arial" w:hAnsi="Arial" w:cs="Arial"/>
          <w:color w:val="00905A"/>
          <w:sz w:val="24"/>
          <w:szCs w:val="24"/>
          <w:shd w:val="clear" w:color="auto" w:fill="FFFFFF"/>
        </w:rPr>
        <w:t>abobotulinumtoxinA</w:t>
      </w:r>
      <w:proofErr w:type="spellEnd"/>
      <w:r w:rsidR="005005CA">
        <w:rPr>
          <w:rStyle w:val="Hyperlink"/>
          <w:rFonts w:ascii="Arial" w:hAnsi="Arial" w:cs="Arial"/>
          <w:color w:val="00905A"/>
          <w:sz w:val="24"/>
          <w:szCs w:val="24"/>
          <w:shd w:val="clear" w:color="auto" w:fill="FFFFFF"/>
        </w:rPr>
        <w:fldChar w:fldCharType="end"/>
      </w:r>
      <w:r w:rsidRPr="00FA3F9C">
        <w:rPr>
          <w:rFonts w:ascii="Arial" w:hAnsi="Arial" w:cs="Arial"/>
          <w:color w:val="232323"/>
          <w:sz w:val="24"/>
          <w:szCs w:val="24"/>
          <w:shd w:val="clear" w:color="auto" w:fill="FFFFFF"/>
        </w:rPr>
        <w:t>, and </w:t>
      </w:r>
      <w:proofErr w:type="spellStart"/>
      <w:r w:rsidR="005005CA">
        <w:fldChar w:fldCharType="begin"/>
      </w:r>
      <w:r w:rsidR="005005CA">
        <w:instrText xml:space="preserve"> HYPERLINK "https://www-uptodate-com.libproxy.uams.edu/contents/incobotulinumtoxina-xeomin-drug-information?search=blepharospasm+treatment&amp;topicRef=4887&amp;source=see_link" </w:instrText>
      </w:r>
      <w:r w:rsidR="005005CA">
        <w:fldChar w:fldCharType="separate"/>
      </w:r>
      <w:r w:rsidRPr="00FA3F9C">
        <w:rPr>
          <w:rStyle w:val="Hyperlink"/>
          <w:rFonts w:ascii="Arial" w:hAnsi="Arial" w:cs="Arial"/>
          <w:color w:val="00905A"/>
          <w:sz w:val="24"/>
          <w:szCs w:val="24"/>
          <w:shd w:val="clear" w:color="auto" w:fill="FFFFFF"/>
        </w:rPr>
        <w:t>incobotulinumtoxinA</w:t>
      </w:r>
      <w:proofErr w:type="spellEnd"/>
      <w:r w:rsidR="005005CA">
        <w:rPr>
          <w:rStyle w:val="Hyperlink"/>
          <w:rFonts w:ascii="Arial" w:hAnsi="Arial" w:cs="Arial"/>
          <w:color w:val="00905A"/>
          <w:sz w:val="24"/>
          <w:szCs w:val="24"/>
          <w:shd w:val="clear" w:color="auto" w:fill="FFFFFF"/>
        </w:rPr>
        <w:fldChar w:fldCharType="end"/>
      </w:r>
      <w:r w:rsidRPr="00FA3F9C">
        <w:rPr>
          <w:rFonts w:ascii="Arial" w:hAnsi="Arial" w:cs="Arial"/>
          <w:color w:val="232323"/>
          <w:sz w:val="24"/>
          <w:szCs w:val="24"/>
          <w:shd w:val="clear" w:color="auto" w:fill="FFFFFF"/>
        </w:rPr>
        <w:t xml:space="preserve">) </w:t>
      </w:r>
      <w:r w:rsidRPr="00FA3F9C">
        <w:rPr>
          <w:rFonts w:ascii="Arial" w:hAnsi="Arial" w:cs="Arial"/>
          <w:b/>
          <w:i/>
          <w:color w:val="232323"/>
          <w:sz w:val="24"/>
          <w:szCs w:val="24"/>
          <w:highlight w:val="yellow"/>
          <w:u w:val="single"/>
          <w:shd w:val="clear" w:color="auto" w:fill="FFFFFF"/>
        </w:rPr>
        <w:t>have similar efficacy</w:t>
      </w:r>
      <w:r w:rsidRPr="00FA3F9C">
        <w:rPr>
          <w:rFonts w:ascii="Arial" w:hAnsi="Arial" w:cs="Arial"/>
          <w:color w:val="232323"/>
          <w:sz w:val="24"/>
          <w:szCs w:val="24"/>
          <w:highlight w:val="yellow"/>
          <w:shd w:val="clear" w:color="auto" w:fill="FFFFFF"/>
        </w:rPr>
        <w:t>.</w:t>
      </w:r>
      <w:r w:rsidRPr="00FA3F9C">
        <w:rPr>
          <w:rFonts w:ascii="Arial" w:hAnsi="Arial" w:cs="Arial"/>
          <w:color w:val="232323"/>
          <w:sz w:val="24"/>
          <w:szCs w:val="24"/>
          <w:shd w:val="clear" w:color="auto" w:fill="FFFFFF"/>
        </w:rPr>
        <w:t xml:space="preserve"> In the largest placebo-controlled trial, patients treated with </w:t>
      </w:r>
      <w:proofErr w:type="spellStart"/>
      <w:r w:rsidRPr="00FA3F9C">
        <w:rPr>
          <w:rFonts w:ascii="Arial" w:hAnsi="Arial" w:cs="Arial"/>
          <w:color w:val="232323"/>
          <w:sz w:val="24"/>
          <w:szCs w:val="24"/>
          <w:shd w:val="clear" w:color="auto" w:fill="FFFFFF"/>
        </w:rPr>
        <w:t>incobotulinumtoxinA</w:t>
      </w:r>
      <w:proofErr w:type="spellEnd"/>
      <w:r w:rsidRPr="00FA3F9C">
        <w:rPr>
          <w:rFonts w:ascii="Arial" w:hAnsi="Arial" w:cs="Arial"/>
          <w:color w:val="232323"/>
          <w:sz w:val="24"/>
          <w:szCs w:val="24"/>
          <w:shd w:val="clear" w:color="auto" w:fill="FFFFFF"/>
        </w:rPr>
        <w:t xml:space="preserve"> improved by 0.8 points on a 4-point severity scale from a baseline score of 3.1 (adjusted mean difference compared with placebo 1.0 points, 95% CI 0.5-1.4) [</w:t>
      </w:r>
      <w:hyperlink r:id="rId59" w:history="1">
        <w:r w:rsidRPr="00FA3F9C">
          <w:rPr>
            <w:rStyle w:val="Hyperlink"/>
            <w:rFonts w:ascii="Arial" w:hAnsi="Arial" w:cs="Arial"/>
            <w:color w:val="00905A"/>
            <w:sz w:val="24"/>
            <w:szCs w:val="24"/>
            <w:shd w:val="clear" w:color="auto" w:fill="FFFFFF"/>
          </w:rPr>
          <w:t>36</w:t>
        </w:r>
      </w:hyperlink>
      <w:r w:rsidRPr="00FA3F9C">
        <w:rPr>
          <w:rFonts w:ascii="Arial" w:hAnsi="Arial" w:cs="Arial"/>
          <w:color w:val="232323"/>
          <w:sz w:val="24"/>
          <w:szCs w:val="24"/>
          <w:shd w:val="clear" w:color="auto" w:fill="FFFFFF"/>
        </w:rPr>
        <w:t>].</w:t>
      </w:r>
    </w:p>
    <w:p w14:paraId="5F702767" w14:textId="77777777" w:rsidR="001506C1" w:rsidRPr="00FA3F9C" w:rsidRDefault="001506C1" w:rsidP="001506C1">
      <w:pPr>
        <w:pStyle w:val="ListParagraph"/>
        <w:numPr>
          <w:ilvl w:val="0"/>
          <w:numId w:val="59"/>
        </w:numPr>
        <w:autoSpaceDE w:val="0"/>
        <w:autoSpaceDN w:val="0"/>
        <w:adjustRightInd w:val="0"/>
        <w:spacing w:after="0" w:line="240" w:lineRule="auto"/>
        <w:rPr>
          <w:rFonts w:ascii="Arial" w:hAnsi="Arial" w:cs="Arial"/>
          <w:sz w:val="24"/>
          <w:szCs w:val="24"/>
        </w:rPr>
      </w:pPr>
      <w:r w:rsidRPr="00FA3F9C">
        <w:rPr>
          <w:rFonts w:ascii="Arial" w:hAnsi="Arial" w:cs="Arial"/>
          <w:sz w:val="24"/>
          <w:szCs w:val="24"/>
        </w:rPr>
        <w:t>UpToDate. Treatment of dystonia. Blepharospasm. Accessed 2019 10 02.</w:t>
      </w:r>
    </w:p>
    <w:p w14:paraId="6CA492C0" w14:textId="77777777" w:rsidR="001506C1" w:rsidRPr="00FA3F9C" w:rsidRDefault="001506C1" w:rsidP="007B6A48">
      <w:pPr>
        <w:autoSpaceDE w:val="0"/>
        <w:autoSpaceDN w:val="0"/>
        <w:adjustRightInd w:val="0"/>
        <w:spacing w:after="0" w:line="240" w:lineRule="auto"/>
        <w:rPr>
          <w:rFonts w:ascii="Arial" w:hAnsi="Arial" w:cs="Arial"/>
          <w:sz w:val="24"/>
          <w:szCs w:val="24"/>
          <w:vertAlign w:val="superscript"/>
        </w:rPr>
      </w:pPr>
    </w:p>
    <w:p w14:paraId="009EC504" w14:textId="77777777" w:rsidR="001506C1" w:rsidRPr="00FA3F9C" w:rsidRDefault="001506C1" w:rsidP="007B6A48">
      <w:pPr>
        <w:autoSpaceDE w:val="0"/>
        <w:autoSpaceDN w:val="0"/>
        <w:adjustRightInd w:val="0"/>
        <w:spacing w:after="0" w:line="240" w:lineRule="auto"/>
        <w:rPr>
          <w:rFonts w:ascii="Arial" w:hAnsi="Arial" w:cs="Arial"/>
          <w:b/>
          <w:sz w:val="24"/>
          <w:szCs w:val="24"/>
          <w:u w:val="single"/>
        </w:rPr>
      </w:pPr>
      <w:r w:rsidRPr="00FA3F9C">
        <w:rPr>
          <w:rFonts w:ascii="Arial" w:hAnsi="Arial" w:cs="Arial"/>
          <w:b/>
          <w:sz w:val="24"/>
          <w:szCs w:val="24"/>
          <w:u w:val="single"/>
        </w:rPr>
        <w:t>Strabismus:</w:t>
      </w:r>
    </w:p>
    <w:p w14:paraId="65F8E844" w14:textId="77777777" w:rsidR="001506C1" w:rsidRPr="00FA3F9C" w:rsidRDefault="001506C1" w:rsidP="00AF56F4">
      <w:pPr>
        <w:spacing w:after="0" w:line="240" w:lineRule="auto"/>
        <w:rPr>
          <w:rFonts w:ascii="Arial" w:eastAsia="Times New Roman" w:hAnsi="Arial" w:cs="Arial"/>
          <w:color w:val="333333"/>
          <w:sz w:val="24"/>
          <w:szCs w:val="24"/>
        </w:rPr>
      </w:pPr>
      <w:r w:rsidRPr="00FA3F9C">
        <w:rPr>
          <w:rFonts w:ascii="Arial" w:eastAsia="Times New Roman" w:hAnsi="Arial" w:cs="Arial"/>
          <w:color w:val="333333"/>
          <w:sz w:val="24"/>
          <w:szCs w:val="24"/>
        </w:rPr>
        <w:t xml:space="preserve">Cochrane Systematic Reviews-insufficient evidence.  “Further </w:t>
      </w:r>
      <w:proofErr w:type="gramStart"/>
      <w:r w:rsidRPr="00FA3F9C">
        <w:rPr>
          <w:rFonts w:ascii="Arial" w:eastAsia="Times New Roman" w:hAnsi="Arial" w:cs="Arial"/>
          <w:color w:val="333333"/>
          <w:sz w:val="24"/>
          <w:szCs w:val="24"/>
        </w:rPr>
        <w:t>high quality</w:t>
      </w:r>
      <w:proofErr w:type="gramEnd"/>
      <w:r w:rsidRPr="00FA3F9C">
        <w:rPr>
          <w:rFonts w:ascii="Arial" w:eastAsia="Times New Roman" w:hAnsi="Arial" w:cs="Arial"/>
          <w:color w:val="333333"/>
          <w:sz w:val="24"/>
          <w:szCs w:val="24"/>
        </w:rPr>
        <w:t xml:space="preserve"> trials using robust methodologies are required to compare the clinical and cost effectiveness of various forms of botulinum toxin (e.g. Dysport, </w:t>
      </w:r>
      <w:proofErr w:type="spellStart"/>
      <w:r w:rsidRPr="00FA3F9C">
        <w:rPr>
          <w:rFonts w:ascii="Arial" w:eastAsia="Times New Roman" w:hAnsi="Arial" w:cs="Arial"/>
          <w:color w:val="333333"/>
          <w:sz w:val="24"/>
          <w:szCs w:val="24"/>
        </w:rPr>
        <w:t>Xeomin</w:t>
      </w:r>
      <w:proofErr w:type="spellEnd"/>
      <w:r w:rsidRPr="00FA3F9C">
        <w:rPr>
          <w:rFonts w:ascii="Arial" w:eastAsia="Times New Roman" w:hAnsi="Arial" w:cs="Arial"/>
          <w:color w:val="333333"/>
          <w:sz w:val="24"/>
          <w:szCs w:val="24"/>
        </w:rPr>
        <w:t xml:space="preserve">, </w:t>
      </w:r>
      <w:proofErr w:type="spellStart"/>
      <w:r w:rsidRPr="00FA3F9C">
        <w:rPr>
          <w:rFonts w:ascii="Arial" w:eastAsia="Times New Roman" w:hAnsi="Arial" w:cs="Arial"/>
          <w:color w:val="333333"/>
          <w:sz w:val="24"/>
          <w:szCs w:val="24"/>
        </w:rPr>
        <w:t>etc</w:t>
      </w:r>
      <w:proofErr w:type="spellEnd"/>
      <w:r w:rsidRPr="00FA3F9C">
        <w:rPr>
          <w:rFonts w:ascii="Arial" w:eastAsia="Times New Roman" w:hAnsi="Arial" w:cs="Arial"/>
          <w:color w:val="333333"/>
          <w:sz w:val="24"/>
          <w:szCs w:val="24"/>
        </w:rPr>
        <w:t>), to compare botulinum toxin with and without adjuvant solutions and to compare botulinum toxin to alternative surgical interventions in </w:t>
      </w:r>
      <w:r w:rsidRPr="00FA3F9C">
        <w:rPr>
          <w:rFonts w:ascii="Arial" w:eastAsia="Times New Roman" w:hAnsi="Arial" w:cs="Arial"/>
          <w:b/>
          <w:bCs/>
          <w:color w:val="333333"/>
          <w:sz w:val="24"/>
          <w:szCs w:val="24"/>
          <w:bdr w:val="none" w:sz="0" w:space="0" w:color="auto" w:frame="1"/>
        </w:rPr>
        <w:t>strabismus</w:t>
      </w:r>
      <w:r w:rsidRPr="00FA3F9C">
        <w:rPr>
          <w:rFonts w:ascii="Arial" w:eastAsia="Times New Roman" w:hAnsi="Arial" w:cs="Arial"/>
          <w:color w:val="333333"/>
          <w:sz w:val="24"/>
          <w:szCs w:val="24"/>
        </w:rPr>
        <w:t> cases with and without potential for binocular vision.”</w:t>
      </w:r>
    </w:p>
    <w:p w14:paraId="18F3734A" w14:textId="77777777" w:rsidR="001506C1" w:rsidRPr="00FA3F9C" w:rsidRDefault="001506C1" w:rsidP="001506C1">
      <w:pPr>
        <w:pStyle w:val="ListParagraph"/>
        <w:numPr>
          <w:ilvl w:val="0"/>
          <w:numId w:val="59"/>
        </w:numPr>
        <w:spacing w:after="0" w:line="240" w:lineRule="auto"/>
        <w:rPr>
          <w:rFonts w:ascii="Arial" w:eastAsia="Times New Roman" w:hAnsi="Arial" w:cs="Arial"/>
          <w:sz w:val="24"/>
          <w:szCs w:val="24"/>
        </w:rPr>
      </w:pPr>
      <w:r w:rsidRPr="00FA3F9C">
        <w:rPr>
          <w:rFonts w:ascii="Arial" w:eastAsia="Times New Roman" w:hAnsi="Arial" w:cs="Arial"/>
          <w:color w:val="222222"/>
          <w:sz w:val="24"/>
          <w:szCs w:val="24"/>
          <w:shd w:val="clear" w:color="auto" w:fill="F8F8F8"/>
        </w:rPr>
        <w:t>Rowe, Fiona J., and Carmel P. Noonan. "Botulinum toxin for the treatment of strabismus." </w:t>
      </w:r>
      <w:r w:rsidRPr="00FA3F9C">
        <w:rPr>
          <w:rFonts w:ascii="Arial" w:eastAsia="Times New Roman" w:hAnsi="Arial" w:cs="Arial"/>
          <w:i/>
          <w:iCs/>
          <w:color w:val="222222"/>
          <w:sz w:val="24"/>
          <w:szCs w:val="24"/>
          <w:shd w:val="clear" w:color="auto" w:fill="F8F8F8"/>
        </w:rPr>
        <w:t>Cochrane Database of Systematic Reviews</w:t>
      </w:r>
      <w:r w:rsidRPr="00FA3F9C">
        <w:rPr>
          <w:rFonts w:ascii="Arial" w:eastAsia="Times New Roman" w:hAnsi="Arial" w:cs="Arial"/>
          <w:color w:val="222222"/>
          <w:sz w:val="24"/>
          <w:szCs w:val="24"/>
          <w:shd w:val="clear" w:color="auto" w:fill="F8F8F8"/>
        </w:rPr>
        <w:t> 3 (2017).</w:t>
      </w:r>
    </w:p>
    <w:p w14:paraId="4E9AA31E" w14:textId="77777777" w:rsidR="001506C1" w:rsidRPr="00FA3F9C" w:rsidRDefault="001506C1" w:rsidP="007B6A48">
      <w:pPr>
        <w:autoSpaceDE w:val="0"/>
        <w:autoSpaceDN w:val="0"/>
        <w:adjustRightInd w:val="0"/>
        <w:spacing w:after="0" w:line="240" w:lineRule="auto"/>
        <w:rPr>
          <w:rFonts w:ascii="Arial" w:hAnsi="Arial" w:cs="Arial"/>
          <w:b/>
          <w:sz w:val="24"/>
          <w:szCs w:val="24"/>
          <w:u w:val="single"/>
        </w:rPr>
      </w:pPr>
      <w:bookmarkStart w:id="39" w:name="rev1x116663"/>
      <w:bookmarkEnd w:id="39"/>
    </w:p>
    <w:p w14:paraId="1D708972" w14:textId="77777777" w:rsidR="001506C1" w:rsidRPr="00FA3F9C" w:rsidRDefault="001506C1" w:rsidP="007B6A48">
      <w:pPr>
        <w:autoSpaceDE w:val="0"/>
        <w:autoSpaceDN w:val="0"/>
        <w:adjustRightInd w:val="0"/>
        <w:spacing w:after="0" w:line="240" w:lineRule="auto"/>
        <w:rPr>
          <w:rFonts w:ascii="Arial" w:hAnsi="Arial" w:cs="Arial"/>
          <w:b/>
          <w:sz w:val="24"/>
          <w:szCs w:val="24"/>
        </w:rPr>
      </w:pPr>
      <w:r w:rsidRPr="00FA3F9C">
        <w:rPr>
          <w:rFonts w:ascii="Arial" w:hAnsi="Arial" w:cs="Arial"/>
          <w:b/>
          <w:sz w:val="24"/>
          <w:szCs w:val="24"/>
          <w:u w:val="single"/>
        </w:rPr>
        <w:t>Cervical dystonia</w:t>
      </w:r>
      <w:r w:rsidRPr="00FA3F9C">
        <w:rPr>
          <w:rFonts w:ascii="Arial" w:hAnsi="Arial" w:cs="Arial"/>
          <w:b/>
          <w:sz w:val="24"/>
          <w:szCs w:val="24"/>
        </w:rPr>
        <w:t xml:space="preserve">: involuntary activation of the muscles of the neck and shoulders; results in sustained abnormal posturing of the head, neck, and shoulders.   </w:t>
      </w:r>
    </w:p>
    <w:p w14:paraId="0155A233" w14:textId="77777777" w:rsidR="001506C1" w:rsidRPr="00FA3F9C" w:rsidRDefault="001506C1" w:rsidP="007B6A48">
      <w:pPr>
        <w:autoSpaceDE w:val="0"/>
        <w:autoSpaceDN w:val="0"/>
        <w:adjustRightInd w:val="0"/>
        <w:spacing w:after="0" w:line="240" w:lineRule="auto"/>
        <w:rPr>
          <w:rFonts w:ascii="Arial" w:hAnsi="Arial" w:cs="Arial"/>
          <w:sz w:val="24"/>
          <w:szCs w:val="24"/>
        </w:rPr>
      </w:pPr>
      <w:r w:rsidRPr="00FA3F9C">
        <w:rPr>
          <w:rFonts w:ascii="Arial" w:hAnsi="Arial" w:cs="Arial"/>
          <w:sz w:val="24"/>
          <w:szCs w:val="24"/>
        </w:rPr>
        <w:t xml:space="preserve">“Indirect comparisons between trials that used Dysport against placebo and trials that used Botox against placebo showed no significant differences between Dysport and Botox in terms of benefits or adverse events.  A single injection cycle of </w:t>
      </w:r>
      <w:proofErr w:type="spellStart"/>
      <w:r w:rsidRPr="00FA3F9C">
        <w:rPr>
          <w:rFonts w:ascii="Arial" w:hAnsi="Arial" w:cs="Arial"/>
          <w:sz w:val="24"/>
          <w:szCs w:val="24"/>
        </w:rPr>
        <w:t>BtA</w:t>
      </w:r>
      <w:proofErr w:type="spellEnd"/>
      <w:r w:rsidRPr="00FA3F9C">
        <w:rPr>
          <w:rFonts w:ascii="Arial" w:hAnsi="Arial" w:cs="Arial"/>
          <w:sz w:val="24"/>
          <w:szCs w:val="24"/>
        </w:rPr>
        <w:t xml:space="preserve"> is effective and safe for treating cervical dystonia.  Enriched trials (using patients previously treated with </w:t>
      </w:r>
      <w:proofErr w:type="spellStart"/>
      <w:r w:rsidRPr="00FA3F9C">
        <w:rPr>
          <w:rFonts w:ascii="Arial" w:hAnsi="Arial" w:cs="Arial"/>
          <w:sz w:val="24"/>
          <w:szCs w:val="24"/>
        </w:rPr>
        <w:t>BtA</w:t>
      </w:r>
      <w:proofErr w:type="spellEnd"/>
      <w:r w:rsidRPr="00FA3F9C">
        <w:rPr>
          <w:rFonts w:ascii="Arial" w:hAnsi="Arial" w:cs="Arial"/>
          <w:sz w:val="24"/>
          <w:szCs w:val="24"/>
        </w:rPr>
        <w:t>), suggest that further injection cycles continue to work for most patients.”</w:t>
      </w:r>
      <w:r w:rsidRPr="00FA3F9C">
        <w:rPr>
          <w:rFonts w:ascii="Arial" w:hAnsi="Arial" w:cs="Arial"/>
          <w:sz w:val="24"/>
          <w:szCs w:val="24"/>
          <w:vertAlign w:val="superscript"/>
        </w:rPr>
        <w:t xml:space="preserve">  </w:t>
      </w:r>
      <w:r w:rsidRPr="00FA3F9C">
        <w:rPr>
          <w:rFonts w:ascii="Arial" w:hAnsi="Arial" w:cs="Arial"/>
          <w:sz w:val="24"/>
          <w:szCs w:val="24"/>
        </w:rPr>
        <w:t xml:space="preserve">It appears that </w:t>
      </w:r>
      <w:proofErr w:type="spellStart"/>
      <w:r w:rsidRPr="00FA3F9C">
        <w:rPr>
          <w:rFonts w:ascii="Arial" w:hAnsi="Arial" w:cs="Arial"/>
          <w:sz w:val="24"/>
          <w:szCs w:val="24"/>
        </w:rPr>
        <w:t>BtA</w:t>
      </w:r>
      <w:proofErr w:type="spellEnd"/>
      <w:r w:rsidRPr="00FA3F9C">
        <w:rPr>
          <w:rFonts w:ascii="Arial" w:hAnsi="Arial" w:cs="Arial"/>
          <w:sz w:val="24"/>
          <w:szCs w:val="24"/>
        </w:rPr>
        <w:t xml:space="preserve"> is more beneficial than trihexyphenidyl in cervical dystonia, but comparisons with other anticholinergics are lacking.</w:t>
      </w:r>
    </w:p>
    <w:p w14:paraId="4D3C3274" w14:textId="77777777" w:rsidR="001506C1" w:rsidRPr="00FA3F9C" w:rsidRDefault="001506C1" w:rsidP="007B6A48">
      <w:pPr>
        <w:autoSpaceDE w:val="0"/>
        <w:autoSpaceDN w:val="0"/>
        <w:adjustRightInd w:val="0"/>
        <w:spacing w:after="0" w:line="240" w:lineRule="auto"/>
        <w:rPr>
          <w:rFonts w:ascii="Arial" w:hAnsi="Arial" w:cs="Arial"/>
          <w:sz w:val="24"/>
          <w:szCs w:val="24"/>
        </w:rPr>
      </w:pPr>
    </w:p>
    <w:p w14:paraId="19686143" w14:textId="77777777" w:rsidR="001506C1" w:rsidRPr="00FA3F9C" w:rsidRDefault="001506C1" w:rsidP="007B6A48">
      <w:pPr>
        <w:autoSpaceDE w:val="0"/>
        <w:autoSpaceDN w:val="0"/>
        <w:adjustRightInd w:val="0"/>
        <w:spacing w:after="0" w:line="240" w:lineRule="auto"/>
        <w:rPr>
          <w:rFonts w:ascii="Arial" w:hAnsi="Arial" w:cs="Arial"/>
          <w:b/>
          <w:sz w:val="24"/>
          <w:szCs w:val="24"/>
          <w:u w:val="single"/>
        </w:rPr>
      </w:pPr>
      <w:r w:rsidRPr="00FA3F9C">
        <w:rPr>
          <w:rFonts w:ascii="Arial" w:hAnsi="Arial" w:cs="Arial"/>
          <w:b/>
          <w:sz w:val="24"/>
          <w:szCs w:val="24"/>
          <w:u w:val="single"/>
        </w:rPr>
        <w:t>Hyperhidrosis:</w:t>
      </w:r>
    </w:p>
    <w:p w14:paraId="54681377" w14:textId="77777777" w:rsidR="001506C1" w:rsidRPr="00FA3F9C" w:rsidRDefault="001506C1" w:rsidP="007B6A48">
      <w:pPr>
        <w:autoSpaceDE w:val="0"/>
        <w:autoSpaceDN w:val="0"/>
        <w:adjustRightInd w:val="0"/>
        <w:spacing w:after="0" w:line="240" w:lineRule="auto"/>
        <w:rPr>
          <w:rFonts w:ascii="Arial" w:hAnsi="Arial" w:cs="Arial"/>
          <w:sz w:val="24"/>
          <w:szCs w:val="24"/>
        </w:rPr>
      </w:pPr>
      <w:r w:rsidRPr="00FA3F9C">
        <w:rPr>
          <w:rFonts w:ascii="Arial" w:hAnsi="Arial" w:cs="Arial"/>
          <w:sz w:val="24"/>
          <w:szCs w:val="24"/>
        </w:rPr>
        <w:lastRenderedPageBreak/>
        <w:t xml:space="preserve">Evidence for effectiveness and safety of treatments for primary hyperhidrosis is limited overall, and few firm conclusions can be drawn.  There is moderate-quality evidence to support the use of </w:t>
      </w:r>
      <w:proofErr w:type="spellStart"/>
      <w:r w:rsidRPr="00FA3F9C">
        <w:rPr>
          <w:rFonts w:ascii="Arial" w:hAnsi="Arial" w:cs="Arial"/>
          <w:sz w:val="24"/>
          <w:szCs w:val="24"/>
        </w:rPr>
        <w:t>botulinumtoxin</w:t>
      </w:r>
      <w:proofErr w:type="spellEnd"/>
      <w:r w:rsidRPr="00FA3F9C">
        <w:rPr>
          <w:rFonts w:ascii="Arial" w:hAnsi="Arial" w:cs="Arial"/>
          <w:sz w:val="24"/>
          <w:szCs w:val="24"/>
        </w:rPr>
        <w:t xml:space="preserve"> for axillary hyperhidrosis.  A trial comparing </w:t>
      </w:r>
      <w:proofErr w:type="spellStart"/>
      <w:r w:rsidRPr="00FA3F9C">
        <w:rPr>
          <w:rFonts w:ascii="Arial" w:hAnsi="Arial" w:cs="Arial"/>
          <w:sz w:val="24"/>
          <w:szCs w:val="24"/>
        </w:rPr>
        <w:t>botulinumtoxin</w:t>
      </w:r>
      <w:proofErr w:type="spellEnd"/>
      <w:r w:rsidRPr="00FA3F9C">
        <w:rPr>
          <w:rFonts w:ascii="Arial" w:hAnsi="Arial" w:cs="Arial"/>
          <w:sz w:val="24"/>
          <w:szCs w:val="24"/>
        </w:rPr>
        <w:t xml:space="preserve"> with iontophoresis for palmar hyperhidrosis is warranted.</w:t>
      </w:r>
    </w:p>
    <w:p w14:paraId="37BFAB0D" w14:textId="77777777" w:rsidR="001506C1" w:rsidRPr="00FA3F9C" w:rsidRDefault="001506C1" w:rsidP="009665CB">
      <w:pPr>
        <w:spacing w:after="0" w:line="240" w:lineRule="auto"/>
        <w:rPr>
          <w:rFonts w:ascii="Arial" w:eastAsia="Times New Roman" w:hAnsi="Arial" w:cs="Arial"/>
          <w:sz w:val="24"/>
          <w:szCs w:val="24"/>
        </w:rPr>
      </w:pPr>
      <w:r w:rsidRPr="00FA3F9C">
        <w:rPr>
          <w:rFonts w:ascii="Arial" w:eastAsia="Times New Roman" w:hAnsi="Arial" w:cs="Arial"/>
          <w:color w:val="222222"/>
          <w:sz w:val="24"/>
          <w:szCs w:val="24"/>
          <w:shd w:val="clear" w:color="auto" w:fill="F8F8F8"/>
        </w:rPr>
        <w:t>Wade, R., et al. "Interventional management of hyperhidrosis in secondary care: a systematic review." </w:t>
      </w:r>
      <w:r w:rsidRPr="00FA3F9C">
        <w:rPr>
          <w:rFonts w:ascii="Arial" w:eastAsia="Times New Roman" w:hAnsi="Arial" w:cs="Arial"/>
          <w:i/>
          <w:iCs/>
          <w:color w:val="222222"/>
          <w:sz w:val="24"/>
          <w:szCs w:val="24"/>
          <w:shd w:val="clear" w:color="auto" w:fill="F8F8F8"/>
        </w:rPr>
        <w:t>British Journal of Dermatology</w:t>
      </w:r>
      <w:r w:rsidRPr="00FA3F9C">
        <w:rPr>
          <w:rFonts w:ascii="Arial" w:eastAsia="Times New Roman" w:hAnsi="Arial" w:cs="Arial"/>
          <w:color w:val="222222"/>
          <w:sz w:val="24"/>
          <w:szCs w:val="24"/>
          <w:shd w:val="clear" w:color="auto" w:fill="F8F8F8"/>
        </w:rPr>
        <w:t> 179.3 (2018): 599-608.</w:t>
      </w:r>
    </w:p>
    <w:p w14:paraId="4F11DE00" w14:textId="77777777" w:rsidR="001506C1" w:rsidRPr="00FA3F9C" w:rsidRDefault="001506C1" w:rsidP="007B6A48">
      <w:pPr>
        <w:autoSpaceDE w:val="0"/>
        <w:autoSpaceDN w:val="0"/>
        <w:adjustRightInd w:val="0"/>
        <w:spacing w:after="0" w:line="240" w:lineRule="auto"/>
        <w:rPr>
          <w:rFonts w:ascii="Arial" w:hAnsi="Arial" w:cs="Arial"/>
          <w:sz w:val="24"/>
          <w:szCs w:val="24"/>
        </w:rPr>
      </w:pPr>
    </w:p>
    <w:p w14:paraId="7B7E7C64" w14:textId="77777777" w:rsidR="001506C1" w:rsidRPr="00FA3F9C" w:rsidRDefault="001506C1" w:rsidP="007B6A48">
      <w:pPr>
        <w:autoSpaceDE w:val="0"/>
        <w:autoSpaceDN w:val="0"/>
        <w:adjustRightInd w:val="0"/>
        <w:spacing w:after="0" w:line="240" w:lineRule="auto"/>
        <w:rPr>
          <w:rFonts w:ascii="Arial" w:hAnsi="Arial" w:cs="Arial"/>
          <w:sz w:val="24"/>
          <w:szCs w:val="24"/>
        </w:rPr>
      </w:pPr>
    </w:p>
    <w:p w14:paraId="3E76F2BA" w14:textId="77777777" w:rsidR="001506C1" w:rsidRPr="00FA3F9C" w:rsidRDefault="001506C1" w:rsidP="007B6A48">
      <w:pPr>
        <w:spacing w:after="0" w:line="240" w:lineRule="auto"/>
        <w:rPr>
          <w:rFonts w:ascii="Arial" w:hAnsi="Arial" w:cs="Arial"/>
          <w:b/>
          <w:sz w:val="24"/>
          <w:szCs w:val="24"/>
        </w:rPr>
      </w:pPr>
      <w:r w:rsidRPr="00FA3F9C">
        <w:rPr>
          <w:rFonts w:ascii="Arial" w:hAnsi="Arial" w:cs="Arial"/>
          <w:b/>
          <w:sz w:val="24"/>
          <w:szCs w:val="24"/>
        </w:rPr>
        <w:t>Revision History:</w:t>
      </w:r>
    </w:p>
    <w:tbl>
      <w:tblPr>
        <w:tblStyle w:val="TableGrid"/>
        <w:tblW w:w="14395" w:type="dxa"/>
        <w:tblLook w:val="04A0" w:firstRow="1" w:lastRow="0" w:firstColumn="1" w:lastColumn="0" w:noHBand="0" w:noVBand="1"/>
      </w:tblPr>
      <w:tblGrid>
        <w:gridCol w:w="1626"/>
        <w:gridCol w:w="11259"/>
        <w:gridCol w:w="1510"/>
      </w:tblGrid>
      <w:tr w:rsidR="001506C1" w:rsidRPr="00FA3F9C" w14:paraId="1021ED2C" w14:textId="77777777" w:rsidTr="00AF56F4">
        <w:tc>
          <w:tcPr>
            <w:tcW w:w="1638" w:type="dxa"/>
            <w:tcBorders>
              <w:top w:val="single" w:sz="4" w:space="0" w:color="auto"/>
              <w:left w:val="single" w:sz="4" w:space="0" w:color="auto"/>
              <w:bottom w:val="single" w:sz="4" w:space="0" w:color="auto"/>
              <w:right w:val="single" w:sz="4" w:space="0" w:color="auto"/>
            </w:tcBorders>
            <w:hideMark/>
          </w:tcPr>
          <w:p w14:paraId="744AA0B6" w14:textId="77777777" w:rsidR="001506C1" w:rsidRPr="00FA3F9C" w:rsidRDefault="001506C1" w:rsidP="007B6A48">
            <w:pPr>
              <w:jc w:val="center"/>
              <w:rPr>
                <w:rFonts w:ascii="Arial" w:hAnsi="Arial" w:cs="Arial"/>
                <w:b/>
                <w:sz w:val="24"/>
                <w:szCs w:val="24"/>
              </w:rPr>
            </w:pPr>
            <w:r w:rsidRPr="00FA3F9C">
              <w:rPr>
                <w:rFonts w:ascii="Arial" w:hAnsi="Arial" w:cs="Arial"/>
                <w:b/>
                <w:sz w:val="24"/>
                <w:szCs w:val="24"/>
              </w:rPr>
              <w:t>Date</w:t>
            </w:r>
          </w:p>
        </w:tc>
        <w:tc>
          <w:tcPr>
            <w:tcW w:w="11587" w:type="dxa"/>
            <w:tcBorders>
              <w:top w:val="single" w:sz="4" w:space="0" w:color="auto"/>
              <w:left w:val="single" w:sz="4" w:space="0" w:color="auto"/>
              <w:bottom w:val="single" w:sz="4" w:space="0" w:color="auto"/>
              <w:right w:val="single" w:sz="4" w:space="0" w:color="auto"/>
            </w:tcBorders>
            <w:hideMark/>
          </w:tcPr>
          <w:p w14:paraId="6E044978" w14:textId="77777777" w:rsidR="001506C1" w:rsidRPr="00FA3F9C" w:rsidRDefault="001506C1" w:rsidP="007B6A48">
            <w:pPr>
              <w:jc w:val="center"/>
              <w:rPr>
                <w:rFonts w:ascii="Arial" w:hAnsi="Arial" w:cs="Arial"/>
                <w:b/>
                <w:sz w:val="24"/>
                <w:szCs w:val="24"/>
              </w:rPr>
            </w:pPr>
            <w:r w:rsidRPr="00FA3F9C">
              <w:rPr>
                <w:rFonts w:ascii="Arial" w:hAnsi="Arial" w:cs="Arial"/>
                <w:b/>
                <w:sz w:val="24"/>
                <w:szCs w:val="24"/>
              </w:rPr>
              <w:t>Changes</w:t>
            </w:r>
          </w:p>
        </w:tc>
        <w:tc>
          <w:tcPr>
            <w:tcW w:w="1170" w:type="dxa"/>
            <w:tcBorders>
              <w:top w:val="single" w:sz="4" w:space="0" w:color="auto"/>
              <w:left w:val="single" w:sz="4" w:space="0" w:color="auto"/>
              <w:bottom w:val="single" w:sz="4" w:space="0" w:color="auto"/>
              <w:right w:val="single" w:sz="4" w:space="0" w:color="auto"/>
            </w:tcBorders>
            <w:hideMark/>
          </w:tcPr>
          <w:p w14:paraId="35837B67" w14:textId="77777777" w:rsidR="001506C1" w:rsidRPr="00FA3F9C" w:rsidRDefault="001506C1" w:rsidP="007B6A48">
            <w:pPr>
              <w:jc w:val="center"/>
              <w:rPr>
                <w:rFonts w:ascii="Arial" w:hAnsi="Arial" w:cs="Arial"/>
                <w:b/>
                <w:sz w:val="24"/>
                <w:szCs w:val="24"/>
              </w:rPr>
            </w:pPr>
            <w:r w:rsidRPr="00FA3F9C">
              <w:rPr>
                <w:rFonts w:ascii="Arial" w:hAnsi="Arial" w:cs="Arial"/>
                <w:b/>
                <w:sz w:val="24"/>
                <w:szCs w:val="24"/>
              </w:rPr>
              <w:t>Pharmacist</w:t>
            </w:r>
          </w:p>
        </w:tc>
      </w:tr>
      <w:tr w:rsidR="001506C1" w:rsidRPr="00FA3F9C" w14:paraId="7B36136E" w14:textId="77777777" w:rsidTr="00AF56F4">
        <w:tc>
          <w:tcPr>
            <w:tcW w:w="1638" w:type="dxa"/>
            <w:tcBorders>
              <w:top w:val="single" w:sz="4" w:space="0" w:color="auto"/>
              <w:left w:val="single" w:sz="4" w:space="0" w:color="auto"/>
              <w:bottom w:val="single" w:sz="4" w:space="0" w:color="auto"/>
              <w:right w:val="single" w:sz="4" w:space="0" w:color="auto"/>
            </w:tcBorders>
            <w:hideMark/>
          </w:tcPr>
          <w:p w14:paraId="009460CB" w14:textId="77777777" w:rsidR="001506C1" w:rsidRPr="00FA3F9C" w:rsidRDefault="001506C1" w:rsidP="007B6A48">
            <w:pPr>
              <w:rPr>
                <w:rFonts w:ascii="Arial" w:hAnsi="Arial" w:cs="Arial"/>
                <w:sz w:val="24"/>
                <w:szCs w:val="24"/>
              </w:rPr>
            </w:pPr>
            <w:r w:rsidRPr="00FA3F9C">
              <w:rPr>
                <w:rFonts w:ascii="Arial" w:hAnsi="Arial" w:cs="Arial"/>
                <w:sz w:val="24"/>
                <w:szCs w:val="24"/>
              </w:rPr>
              <w:t>2/9/2011</w:t>
            </w:r>
          </w:p>
        </w:tc>
        <w:tc>
          <w:tcPr>
            <w:tcW w:w="11587" w:type="dxa"/>
            <w:tcBorders>
              <w:top w:val="single" w:sz="4" w:space="0" w:color="auto"/>
              <w:left w:val="single" w:sz="4" w:space="0" w:color="auto"/>
              <w:bottom w:val="single" w:sz="4" w:space="0" w:color="auto"/>
              <w:right w:val="single" w:sz="4" w:space="0" w:color="auto"/>
            </w:tcBorders>
            <w:hideMark/>
          </w:tcPr>
          <w:p w14:paraId="5751FAE0" w14:textId="77777777" w:rsidR="001506C1" w:rsidRPr="00FA3F9C" w:rsidRDefault="001506C1" w:rsidP="007B6A48">
            <w:pPr>
              <w:rPr>
                <w:rFonts w:ascii="Arial" w:hAnsi="Arial" w:cs="Arial"/>
                <w:sz w:val="24"/>
                <w:szCs w:val="24"/>
              </w:rPr>
            </w:pPr>
            <w:r w:rsidRPr="00FA3F9C">
              <w:rPr>
                <w:rFonts w:ascii="Arial" w:hAnsi="Arial" w:cs="Arial"/>
                <w:sz w:val="24"/>
                <w:szCs w:val="24"/>
              </w:rPr>
              <w:t>Document Created</w:t>
            </w:r>
          </w:p>
        </w:tc>
        <w:tc>
          <w:tcPr>
            <w:tcW w:w="1170" w:type="dxa"/>
            <w:tcBorders>
              <w:top w:val="single" w:sz="4" w:space="0" w:color="auto"/>
              <w:left w:val="single" w:sz="4" w:space="0" w:color="auto"/>
              <w:bottom w:val="single" w:sz="4" w:space="0" w:color="auto"/>
              <w:right w:val="single" w:sz="4" w:space="0" w:color="auto"/>
            </w:tcBorders>
            <w:hideMark/>
          </w:tcPr>
          <w:p w14:paraId="7F1246E1" w14:textId="77777777" w:rsidR="001506C1" w:rsidRPr="00FA3F9C" w:rsidRDefault="001506C1" w:rsidP="007B6A48">
            <w:pPr>
              <w:rPr>
                <w:rFonts w:ascii="Arial" w:hAnsi="Arial" w:cs="Arial"/>
                <w:sz w:val="24"/>
                <w:szCs w:val="24"/>
              </w:rPr>
            </w:pPr>
            <w:r w:rsidRPr="00FA3F9C">
              <w:rPr>
                <w:rFonts w:ascii="Arial" w:hAnsi="Arial" w:cs="Arial"/>
                <w:sz w:val="24"/>
                <w:szCs w:val="24"/>
              </w:rPr>
              <w:t>CK</w:t>
            </w:r>
          </w:p>
        </w:tc>
      </w:tr>
      <w:tr w:rsidR="001506C1" w:rsidRPr="00FA3F9C" w14:paraId="5883DD33" w14:textId="77777777" w:rsidTr="00AF56F4">
        <w:tc>
          <w:tcPr>
            <w:tcW w:w="1638" w:type="dxa"/>
            <w:tcBorders>
              <w:top w:val="single" w:sz="4" w:space="0" w:color="auto"/>
              <w:left w:val="single" w:sz="4" w:space="0" w:color="auto"/>
              <w:bottom w:val="single" w:sz="4" w:space="0" w:color="auto"/>
              <w:right w:val="single" w:sz="4" w:space="0" w:color="auto"/>
            </w:tcBorders>
          </w:tcPr>
          <w:p w14:paraId="6494602A" w14:textId="77777777" w:rsidR="001506C1" w:rsidRPr="00FA3F9C" w:rsidRDefault="001506C1" w:rsidP="007B6A48">
            <w:pPr>
              <w:rPr>
                <w:rFonts w:ascii="Arial" w:hAnsi="Arial" w:cs="Arial"/>
                <w:sz w:val="24"/>
                <w:szCs w:val="24"/>
              </w:rPr>
            </w:pPr>
            <w:r w:rsidRPr="00FA3F9C">
              <w:rPr>
                <w:rFonts w:ascii="Arial" w:hAnsi="Arial" w:cs="Arial"/>
                <w:sz w:val="24"/>
                <w:szCs w:val="24"/>
              </w:rPr>
              <w:t>7/17/12</w:t>
            </w:r>
          </w:p>
        </w:tc>
        <w:tc>
          <w:tcPr>
            <w:tcW w:w="11587" w:type="dxa"/>
            <w:tcBorders>
              <w:top w:val="single" w:sz="4" w:space="0" w:color="auto"/>
              <w:left w:val="single" w:sz="4" w:space="0" w:color="auto"/>
              <w:bottom w:val="single" w:sz="4" w:space="0" w:color="auto"/>
              <w:right w:val="single" w:sz="4" w:space="0" w:color="auto"/>
            </w:tcBorders>
          </w:tcPr>
          <w:p w14:paraId="2B3A192E" w14:textId="77777777" w:rsidR="001506C1" w:rsidRPr="00FA3F9C" w:rsidRDefault="001506C1" w:rsidP="007B6A48">
            <w:pPr>
              <w:rPr>
                <w:rFonts w:ascii="Arial" w:hAnsi="Arial" w:cs="Arial"/>
                <w:sz w:val="24"/>
                <w:szCs w:val="24"/>
              </w:rPr>
            </w:pPr>
            <w:r w:rsidRPr="00FA3F9C">
              <w:rPr>
                <w:rFonts w:ascii="Arial" w:hAnsi="Arial" w:cs="Arial"/>
                <w:sz w:val="24"/>
                <w:szCs w:val="24"/>
              </w:rPr>
              <w:t xml:space="preserve">Added migraine criteria; specified infantile esotropia as indication and requirement for 2 w of eye patching </w:t>
            </w:r>
            <w:proofErr w:type="gramStart"/>
            <w:r w:rsidRPr="00FA3F9C">
              <w:rPr>
                <w:rFonts w:ascii="Arial" w:hAnsi="Arial" w:cs="Arial"/>
                <w:sz w:val="24"/>
                <w:szCs w:val="24"/>
              </w:rPr>
              <w:t>previous to</w:t>
            </w:r>
            <w:proofErr w:type="gramEnd"/>
            <w:r w:rsidRPr="00FA3F9C">
              <w:rPr>
                <w:rFonts w:ascii="Arial" w:hAnsi="Arial" w:cs="Arial"/>
                <w:sz w:val="24"/>
                <w:szCs w:val="24"/>
              </w:rPr>
              <w:t xml:space="preserve"> botulinum</w:t>
            </w:r>
          </w:p>
        </w:tc>
        <w:tc>
          <w:tcPr>
            <w:tcW w:w="1170" w:type="dxa"/>
            <w:tcBorders>
              <w:top w:val="single" w:sz="4" w:space="0" w:color="auto"/>
              <w:left w:val="single" w:sz="4" w:space="0" w:color="auto"/>
              <w:bottom w:val="single" w:sz="4" w:space="0" w:color="auto"/>
              <w:right w:val="single" w:sz="4" w:space="0" w:color="auto"/>
            </w:tcBorders>
          </w:tcPr>
          <w:p w14:paraId="6EE4BF18" w14:textId="77777777" w:rsidR="001506C1" w:rsidRPr="00FA3F9C" w:rsidRDefault="001506C1" w:rsidP="007B6A48">
            <w:pPr>
              <w:rPr>
                <w:rFonts w:ascii="Arial" w:hAnsi="Arial" w:cs="Arial"/>
                <w:sz w:val="24"/>
                <w:szCs w:val="24"/>
              </w:rPr>
            </w:pPr>
            <w:r w:rsidRPr="00FA3F9C">
              <w:rPr>
                <w:rFonts w:ascii="Arial" w:hAnsi="Arial" w:cs="Arial"/>
                <w:sz w:val="24"/>
                <w:szCs w:val="24"/>
              </w:rPr>
              <w:t>JJ</w:t>
            </w:r>
          </w:p>
        </w:tc>
      </w:tr>
      <w:tr w:rsidR="001506C1" w:rsidRPr="00FA3F9C" w14:paraId="77A45148" w14:textId="77777777" w:rsidTr="00AF56F4">
        <w:tc>
          <w:tcPr>
            <w:tcW w:w="1638" w:type="dxa"/>
            <w:tcBorders>
              <w:top w:val="single" w:sz="4" w:space="0" w:color="auto"/>
              <w:left w:val="single" w:sz="4" w:space="0" w:color="auto"/>
              <w:bottom w:val="single" w:sz="4" w:space="0" w:color="auto"/>
              <w:right w:val="single" w:sz="4" w:space="0" w:color="auto"/>
            </w:tcBorders>
          </w:tcPr>
          <w:p w14:paraId="55C9D381" w14:textId="77777777" w:rsidR="001506C1" w:rsidRPr="00FA3F9C" w:rsidRDefault="001506C1" w:rsidP="007B6A48">
            <w:pPr>
              <w:rPr>
                <w:rFonts w:ascii="Arial" w:hAnsi="Arial" w:cs="Arial"/>
                <w:sz w:val="24"/>
                <w:szCs w:val="24"/>
              </w:rPr>
            </w:pPr>
            <w:r w:rsidRPr="00FA3F9C">
              <w:rPr>
                <w:rFonts w:ascii="Arial" w:hAnsi="Arial" w:cs="Arial"/>
                <w:sz w:val="24"/>
                <w:szCs w:val="24"/>
              </w:rPr>
              <w:t>7/31/12</w:t>
            </w:r>
          </w:p>
        </w:tc>
        <w:tc>
          <w:tcPr>
            <w:tcW w:w="11587" w:type="dxa"/>
            <w:tcBorders>
              <w:top w:val="single" w:sz="4" w:space="0" w:color="auto"/>
              <w:left w:val="single" w:sz="4" w:space="0" w:color="auto"/>
              <w:bottom w:val="single" w:sz="4" w:space="0" w:color="auto"/>
              <w:right w:val="single" w:sz="4" w:space="0" w:color="auto"/>
            </w:tcBorders>
          </w:tcPr>
          <w:p w14:paraId="3AC3DDDF" w14:textId="77777777" w:rsidR="001506C1" w:rsidRPr="00FA3F9C" w:rsidRDefault="001506C1" w:rsidP="007B6A48">
            <w:pPr>
              <w:rPr>
                <w:rFonts w:ascii="Arial" w:hAnsi="Arial" w:cs="Arial"/>
                <w:sz w:val="24"/>
                <w:szCs w:val="24"/>
              </w:rPr>
            </w:pPr>
            <w:r w:rsidRPr="00FA3F9C">
              <w:rPr>
                <w:rFonts w:ascii="Arial" w:hAnsi="Arial" w:cs="Arial"/>
                <w:sz w:val="24"/>
                <w:szCs w:val="24"/>
              </w:rPr>
              <w:t>Added medication overuse reference, definition, hyperlink; placed article/reference in the EBRx file on the network.</w:t>
            </w:r>
          </w:p>
        </w:tc>
        <w:tc>
          <w:tcPr>
            <w:tcW w:w="1170" w:type="dxa"/>
            <w:tcBorders>
              <w:top w:val="single" w:sz="4" w:space="0" w:color="auto"/>
              <w:left w:val="single" w:sz="4" w:space="0" w:color="auto"/>
              <w:bottom w:val="single" w:sz="4" w:space="0" w:color="auto"/>
              <w:right w:val="single" w:sz="4" w:space="0" w:color="auto"/>
            </w:tcBorders>
          </w:tcPr>
          <w:p w14:paraId="07237DF8" w14:textId="77777777" w:rsidR="001506C1" w:rsidRPr="00FA3F9C" w:rsidRDefault="001506C1" w:rsidP="007B6A48">
            <w:pPr>
              <w:rPr>
                <w:rFonts w:ascii="Arial" w:hAnsi="Arial" w:cs="Arial"/>
                <w:sz w:val="24"/>
                <w:szCs w:val="24"/>
              </w:rPr>
            </w:pPr>
            <w:r w:rsidRPr="00FA3F9C">
              <w:rPr>
                <w:rFonts w:ascii="Arial" w:hAnsi="Arial" w:cs="Arial"/>
                <w:sz w:val="24"/>
                <w:szCs w:val="24"/>
              </w:rPr>
              <w:t>JJ</w:t>
            </w:r>
          </w:p>
        </w:tc>
      </w:tr>
      <w:tr w:rsidR="001506C1" w:rsidRPr="00FA3F9C" w14:paraId="5338416C" w14:textId="77777777" w:rsidTr="00AF56F4">
        <w:tc>
          <w:tcPr>
            <w:tcW w:w="1638" w:type="dxa"/>
            <w:tcBorders>
              <w:top w:val="single" w:sz="4" w:space="0" w:color="auto"/>
              <w:left w:val="single" w:sz="4" w:space="0" w:color="auto"/>
              <w:bottom w:val="single" w:sz="4" w:space="0" w:color="auto"/>
              <w:right w:val="single" w:sz="4" w:space="0" w:color="auto"/>
            </w:tcBorders>
          </w:tcPr>
          <w:p w14:paraId="75CF2E37" w14:textId="77777777" w:rsidR="001506C1" w:rsidRPr="00FA3F9C" w:rsidRDefault="001506C1" w:rsidP="007B6A48">
            <w:pPr>
              <w:rPr>
                <w:rFonts w:ascii="Arial" w:hAnsi="Arial" w:cs="Arial"/>
                <w:sz w:val="24"/>
                <w:szCs w:val="24"/>
              </w:rPr>
            </w:pPr>
            <w:r w:rsidRPr="00FA3F9C">
              <w:rPr>
                <w:rFonts w:ascii="Arial" w:hAnsi="Arial" w:cs="Arial"/>
                <w:sz w:val="24"/>
                <w:szCs w:val="24"/>
              </w:rPr>
              <w:t>2/25/16</w:t>
            </w:r>
          </w:p>
        </w:tc>
        <w:tc>
          <w:tcPr>
            <w:tcW w:w="11587" w:type="dxa"/>
            <w:tcBorders>
              <w:top w:val="single" w:sz="4" w:space="0" w:color="auto"/>
              <w:left w:val="single" w:sz="4" w:space="0" w:color="auto"/>
              <w:bottom w:val="single" w:sz="4" w:space="0" w:color="auto"/>
              <w:right w:val="single" w:sz="4" w:space="0" w:color="auto"/>
            </w:tcBorders>
          </w:tcPr>
          <w:p w14:paraId="282CE5F3" w14:textId="77777777" w:rsidR="001506C1" w:rsidRPr="00FA3F9C" w:rsidRDefault="001506C1" w:rsidP="007B6A48">
            <w:pPr>
              <w:rPr>
                <w:rFonts w:ascii="Arial" w:hAnsi="Arial" w:cs="Arial"/>
                <w:sz w:val="24"/>
                <w:szCs w:val="24"/>
              </w:rPr>
            </w:pPr>
            <w:r w:rsidRPr="00FA3F9C">
              <w:rPr>
                <w:rFonts w:ascii="Arial" w:hAnsi="Arial" w:cs="Arial"/>
                <w:sz w:val="24"/>
                <w:szCs w:val="24"/>
              </w:rPr>
              <w:t xml:space="preserve">Added upper limb spasticity data and allowed access to </w:t>
            </w:r>
            <w:proofErr w:type="spellStart"/>
            <w:r w:rsidRPr="00FA3F9C">
              <w:rPr>
                <w:rFonts w:ascii="Arial" w:hAnsi="Arial" w:cs="Arial"/>
                <w:sz w:val="24"/>
                <w:szCs w:val="24"/>
              </w:rPr>
              <w:t>Xeomin</w:t>
            </w:r>
            <w:proofErr w:type="spellEnd"/>
            <w:r w:rsidRPr="00FA3F9C">
              <w:rPr>
                <w:rFonts w:ascii="Arial" w:hAnsi="Arial" w:cs="Arial"/>
                <w:sz w:val="24"/>
                <w:szCs w:val="24"/>
              </w:rPr>
              <w:t xml:space="preserve"> for post stroke. No access for this with Botox because of lack of data.</w:t>
            </w:r>
          </w:p>
        </w:tc>
        <w:tc>
          <w:tcPr>
            <w:tcW w:w="1170" w:type="dxa"/>
            <w:tcBorders>
              <w:top w:val="single" w:sz="4" w:space="0" w:color="auto"/>
              <w:left w:val="single" w:sz="4" w:space="0" w:color="auto"/>
              <w:bottom w:val="single" w:sz="4" w:space="0" w:color="auto"/>
              <w:right w:val="single" w:sz="4" w:space="0" w:color="auto"/>
            </w:tcBorders>
          </w:tcPr>
          <w:p w14:paraId="5D7E5964" w14:textId="77777777" w:rsidR="001506C1" w:rsidRPr="00FA3F9C" w:rsidRDefault="001506C1" w:rsidP="007B6A48">
            <w:pPr>
              <w:rPr>
                <w:rFonts w:ascii="Arial" w:hAnsi="Arial" w:cs="Arial"/>
                <w:sz w:val="24"/>
                <w:szCs w:val="24"/>
              </w:rPr>
            </w:pPr>
            <w:r w:rsidRPr="00FA3F9C">
              <w:rPr>
                <w:rFonts w:ascii="Arial" w:hAnsi="Arial" w:cs="Arial"/>
                <w:sz w:val="24"/>
                <w:szCs w:val="24"/>
              </w:rPr>
              <w:t>AM/JJ</w:t>
            </w:r>
          </w:p>
        </w:tc>
      </w:tr>
      <w:tr w:rsidR="001506C1" w:rsidRPr="00FA3F9C" w14:paraId="5E07B665" w14:textId="77777777" w:rsidTr="00AF56F4">
        <w:tc>
          <w:tcPr>
            <w:tcW w:w="1638" w:type="dxa"/>
            <w:tcBorders>
              <w:top w:val="single" w:sz="4" w:space="0" w:color="auto"/>
              <w:left w:val="single" w:sz="4" w:space="0" w:color="auto"/>
              <w:bottom w:val="single" w:sz="4" w:space="0" w:color="auto"/>
              <w:right w:val="single" w:sz="4" w:space="0" w:color="auto"/>
            </w:tcBorders>
          </w:tcPr>
          <w:p w14:paraId="30329BE2" w14:textId="77777777" w:rsidR="001506C1" w:rsidRPr="00FA3F9C" w:rsidRDefault="001506C1" w:rsidP="007B6A48">
            <w:pPr>
              <w:rPr>
                <w:rFonts w:ascii="Arial" w:hAnsi="Arial" w:cs="Arial"/>
                <w:sz w:val="24"/>
                <w:szCs w:val="24"/>
              </w:rPr>
            </w:pPr>
            <w:r w:rsidRPr="00FA3F9C">
              <w:rPr>
                <w:rFonts w:ascii="Arial" w:hAnsi="Arial" w:cs="Arial"/>
                <w:sz w:val="24"/>
                <w:szCs w:val="24"/>
              </w:rPr>
              <w:t>10/2/2019</w:t>
            </w:r>
          </w:p>
        </w:tc>
        <w:tc>
          <w:tcPr>
            <w:tcW w:w="11587" w:type="dxa"/>
            <w:tcBorders>
              <w:top w:val="single" w:sz="4" w:space="0" w:color="auto"/>
              <w:left w:val="single" w:sz="4" w:space="0" w:color="auto"/>
              <w:bottom w:val="single" w:sz="4" w:space="0" w:color="auto"/>
              <w:right w:val="single" w:sz="4" w:space="0" w:color="auto"/>
            </w:tcBorders>
          </w:tcPr>
          <w:p w14:paraId="20930A2A" w14:textId="77777777" w:rsidR="001506C1" w:rsidRPr="00FA3F9C" w:rsidRDefault="001506C1" w:rsidP="007B6A48">
            <w:pPr>
              <w:rPr>
                <w:rFonts w:ascii="Arial" w:hAnsi="Arial" w:cs="Arial"/>
                <w:sz w:val="24"/>
                <w:szCs w:val="24"/>
              </w:rPr>
            </w:pPr>
            <w:r w:rsidRPr="00FA3F9C">
              <w:rPr>
                <w:rFonts w:ascii="Arial" w:hAnsi="Arial" w:cs="Arial"/>
                <w:sz w:val="24"/>
                <w:szCs w:val="24"/>
              </w:rPr>
              <w:t xml:space="preserve">I reviewed the evidence including meta-analyses and NMA for each indication as shown above.  Currently, UAMS/EBRx has a contract on </w:t>
            </w:r>
            <w:proofErr w:type="spellStart"/>
            <w:r w:rsidRPr="00FA3F9C">
              <w:rPr>
                <w:rFonts w:ascii="Arial" w:hAnsi="Arial" w:cs="Arial"/>
                <w:sz w:val="24"/>
                <w:szCs w:val="24"/>
              </w:rPr>
              <w:t>Xeomin</w:t>
            </w:r>
            <w:proofErr w:type="spellEnd"/>
            <w:r w:rsidRPr="00FA3F9C">
              <w:rPr>
                <w:rFonts w:ascii="Arial" w:hAnsi="Arial" w:cs="Arial"/>
                <w:sz w:val="24"/>
                <w:szCs w:val="24"/>
              </w:rPr>
              <w:t xml:space="preserve"> for EBD plans.  The evidence supports this is very likely to have a similar effect in most if not all the indications.  I removed the info on this document regarding anal fissures as current treatment does not support BTXA or B for this purpose.</w:t>
            </w:r>
          </w:p>
        </w:tc>
        <w:tc>
          <w:tcPr>
            <w:tcW w:w="1170" w:type="dxa"/>
            <w:tcBorders>
              <w:top w:val="single" w:sz="4" w:space="0" w:color="auto"/>
              <w:left w:val="single" w:sz="4" w:space="0" w:color="auto"/>
              <w:bottom w:val="single" w:sz="4" w:space="0" w:color="auto"/>
              <w:right w:val="single" w:sz="4" w:space="0" w:color="auto"/>
            </w:tcBorders>
          </w:tcPr>
          <w:p w14:paraId="43F9B7A9" w14:textId="77777777" w:rsidR="001506C1" w:rsidRPr="00FA3F9C" w:rsidRDefault="001506C1" w:rsidP="007B6A48">
            <w:pPr>
              <w:rPr>
                <w:rFonts w:ascii="Arial" w:hAnsi="Arial" w:cs="Arial"/>
                <w:sz w:val="24"/>
                <w:szCs w:val="24"/>
              </w:rPr>
            </w:pPr>
            <w:r w:rsidRPr="00FA3F9C">
              <w:rPr>
                <w:rFonts w:ascii="Arial" w:hAnsi="Arial" w:cs="Arial"/>
                <w:sz w:val="24"/>
                <w:szCs w:val="24"/>
              </w:rPr>
              <w:t>JJ</w:t>
            </w:r>
          </w:p>
        </w:tc>
      </w:tr>
      <w:tr w:rsidR="001506C1" w:rsidRPr="00FA3F9C" w14:paraId="2383CC80" w14:textId="77777777" w:rsidTr="00AF56F4">
        <w:tc>
          <w:tcPr>
            <w:tcW w:w="1638" w:type="dxa"/>
            <w:tcBorders>
              <w:top w:val="single" w:sz="4" w:space="0" w:color="auto"/>
              <w:left w:val="single" w:sz="4" w:space="0" w:color="auto"/>
              <w:bottom w:val="single" w:sz="4" w:space="0" w:color="auto"/>
              <w:right w:val="single" w:sz="4" w:space="0" w:color="auto"/>
            </w:tcBorders>
          </w:tcPr>
          <w:p w14:paraId="68ED1F06" w14:textId="77777777" w:rsidR="001506C1" w:rsidRPr="00FA3F9C" w:rsidRDefault="001506C1" w:rsidP="007B6A48">
            <w:pPr>
              <w:rPr>
                <w:rFonts w:ascii="Arial" w:hAnsi="Arial" w:cs="Arial"/>
                <w:sz w:val="24"/>
                <w:szCs w:val="24"/>
              </w:rPr>
            </w:pPr>
            <w:r w:rsidRPr="00FA3F9C">
              <w:rPr>
                <w:rFonts w:ascii="Arial" w:hAnsi="Arial" w:cs="Arial"/>
                <w:sz w:val="24"/>
                <w:szCs w:val="24"/>
              </w:rPr>
              <w:t>4/1/21</w:t>
            </w:r>
          </w:p>
        </w:tc>
        <w:tc>
          <w:tcPr>
            <w:tcW w:w="11587" w:type="dxa"/>
            <w:tcBorders>
              <w:top w:val="single" w:sz="4" w:space="0" w:color="auto"/>
              <w:left w:val="single" w:sz="4" w:space="0" w:color="auto"/>
              <w:bottom w:val="single" w:sz="4" w:space="0" w:color="auto"/>
              <w:right w:val="single" w:sz="4" w:space="0" w:color="auto"/>
            </w:tcBorders>
          </w:tcPr>
          <w:p w14:paraId="6BCC1D51" w14:textId="77777777" w:rsidR="001506C1" w:rsidRPr="00FA3F9C" w:rsidRDefault="001506C1" w:rsidP="007B6A48">
            <w:pPr>
              <w:rPr>
                <w:rFonts w:ascii="Arial" w:hAnsi="Arial" w:cs="Arial"/>
                <w:sz w:val="24"/>
                <w:szCs w:val="24"/>
              </w:rPr>
            </w:pPr>
            <w:r w:rsidRPr="00FA3F9C">
              <w:rPr>
                <w:rFonts w:ascii="Arial" w:hAnsi="Arial" w:cs="Arial"/>
                <w:sz w:val="24"/>
                <w:szCs w:val="24"/>
              </w:rPr>
              <w:t xml:space="preserve">Applied </w:t>
            </w:r>
            <w:proofErr w:type="spellStart"/>
            <w:r w:rsidRPr="00FA3F9C">
              <w:rPr>
                <w:rFonts w:ascii="Arial" w:hAnsi="Arial" w:cs="Arial"/>
                <w:sz w:val="24"/>
                <w:szCs w:val="24"/>
              </w:rPr>
              <w:t>Ebrx</w:t>
            </w:r>
            <w:proofErr w:type="spellEnd"/>
            <w:r w:rsidRPr="00FA3F9C">
              <w:rPr>
                <w:rFonts w:ascii="Arial" w:hAnsi="Arial" w:cs="Arial"/>
                <w:sz w:val="24"/>
                <w:szCs w:val="24"/>
              </w:rPr>
              <w:t xml:space="preserve"> criteria to UAS Plan.  They cover </w:t>
            </w:r>
            <w:proofErr w:type="spellStart"/>
            <w:r w:rsidRPr="00FA3F9C">
              <w:rPr>
                <w:rFonts w:ascii="Arial" w:hAnsi="Arial" w:cs="Arial"/>
                <w:sz w:val="24"/>
                <w:szCs w:val="24"/>
              </w:rPr>
              <w:t>Myobloc</w:t>
            </w:r>
            <w:proofErr w:type="spellEnd"/>
            <w:r w:rsidRPr="00FA3F9C">
              <w:rPr>
                <w:rFonts w:ascii="Arial" w:hAnsi="Arial" w:cs="Arial"/>
                <w:sz w:val="24"/>
                <w:szCs w:val="24"/>
              </w:rPr>
              <w:t xml:space="preserve"> and Botox (non-cosmetic).</w:t>
            </w:r>
          </w:p>
        </w:tc>
        <w:tc>
          <w:tcPr>
            <w:tcW w:w="1170" w:type="dxa"/>
            <w:tcBorders>
              <w:top w:val="single" w:sz="4" w:space="0" w:color="auto"/>
              <w:left w:val="single" w:sz="4" w:space="0" w:color="auto"/>
              <w:bottom w:val="single" w:sz="4" w:space="0" w:color="auto"/>
              <w:right w:val="single" w:sz="4" w:space="0" w:color="auto"/>
            </w:tcBorders>
          </w:tcPr>
          <w:p w14:paraId="108D9B19" w14:textId="77777777" w:rsidR="001506C1" w:rsidRPr="00FA3F9C" w:rsidRDefault="001506C1" w:rsidP="007B6A48">
            <w:pPr>
              <w:rPr>
                <w:rFonts w:ascii="Arial" w:hAnsi="Arial" w:cs="Arial"/>
                <w:sz w:val="24"/>
                <w:szCs w:val="24"/>
              </w:rPr>
            </w:pPr>
            <w:r w:rsidRPr="00FA3F9C">
              <w:rPr>
                <w:rFonts w:ascii="Arial" w:hAnsi="Arial" w:cs="Arial"/>
                <w:sz w:val="24"/>
                <w:szCs w:val="24"/>
              </w:rPr>
              <w:t>JJ</w:t>
            </w:r>
          </w:p>
        </w:tc>
      </w:tr>
    </w:tbl>
    <w:p w14:paraId="124909BE" w14:textId="77777777" w:rsidR="001506C1" w:rsidRPr="00FA3F9C" w:rsidRDefault="001506C1" w:rsidP="007B6A48">
      <w:pPr>
        <w:shd w:val="clear" w:color="auto" w:fill="FFFFFF"/>
        <w:autoSpaceDE w:val="0"/>
        <w:autoSpaceDN w:val="0"/>
        <w:adjustRightInd w:val="0"/>
        <w:spacing w:after="0" w:line="240" w:lineRule="auto"/>
        <w:rPr>
          <w:rFonts w:ascii="Arial" w:hAnsi="Arial" w:cs="Arial"/>
          <w:sz w:val="24"/>
          <w:szCs w:val="24"/>
        </w:rPr>
      </w:pPr>
    </w:p>
    <w:p w14:paraId="0A8C0406" w14:textId="77777777" w:rsidR="001506C1" w:rsidRPr="00FA3F9C" w:rsidRDefault="001506C1" w:rsidP="0015446A">
      <w:pPr>
        <w:jc w:val="right"/>
        <w:rPr>
          <w:rFonts w:ascii="Arial" w:hAnsi="Arial" w:cs="Arial"/>
          <w:sz w:val="24"/>
          <w:szCs w:val="24"/>
        </w:rPr>
      </w:pPr>
    </w:p>
    <w:p w14:paraId="212C006C" w14:textId="77777777" w:rsidR="00FC1E85" w:rsidRDefault="001506C1" w:rsidP="00FC1E85">
      <w:pPr>
        <w:pStyle w:val="Heading2"/>
      </w:pPr>
      <w:bookmarkStart w:id="40" w:name="_Toc106369741"/>
      <w:r w:rsidRPr="00FA3F9C">
        <w:t xml:space="preserve">Brentuximab </w:t>
      </w:r>
      <w:proofErr w:type="spellStart"/>
      <w:r w:rsidRPr="00FA3F9C">
        <w:t>vedotin</w:t>
      </w:r>
      <w:proofErr w:type="spellEnd"/>
      <w:r w:rsidRPr="00FA3F9C">
        <w:t xml:space="preserve"> (</w:t>
      </w:r>
      <w:proofErr w:type="spellStart"/>
      <w:r w:rsidRPr="00FA3F9C">
        <w:t>Adcetris</w:t>
      </w:r>
      <w:proofErr w:type="spellEnd"/>
      <w:r w:rsidRPr="00FA3F9C">
        <w:t>)</w:t>
      </w:r>
      <w:bookmarkEnd w:id="40"/>
      <w:r w:rsidRPr="00FA3F9C">
        <w:t xml:space="preserve"> </w:t>
      </w:r>
    </w:p>
    <w:p w14:paraId="38830F61" w14:textId="53774201" w:rsidR="001506C1" w:rsidRPr="00FA3F9C" w:rsidRDefault="001506C1" w:rsidP="002A23A6">
      <w:pPr>
        <w:jc w:val="center"/>
        <w:rPr>
          <w:rFonts w:ascii="Arial" w:hAnsi="Arial" w:cs="Arial"/>
          <w:sz w:val="24"/>
          <w:szCs w:val="24"/>
        </w:rPr>
      </w:pPr>
      <w:r w:rsidRPr="00FA3F9C">
        <w:rPr>
          <w:rFonts w:ascii="Arial" w:hAnsi="Arial" w:cs="Arial"/>
          <w:sz w:val="24"/>
          <w:szCs w:val="24"/>
        </w:rPr>
        <w:t>50mg IV vial</w:t>
      </w:r>
    </w:p>
    <w:p w14:paraId="16F1D4BB" w14:textId="77777777" w:rsidR="001506C1" w:rsidRPr="00FA3F9C" w:rsidRDefault="001506C1" w:rsidP="00443BA9">
      <w:pPr>
        <w:jc w:val="center"/>
        <w:rPr>
          <w:rFonts w:ascii="Arial" w:hAnsi="Arial" w:cs="Arial"/>
          <w:sz w:val="24"/>
          <w:szCs w:val="24"/>
        </w:rPr>
      </w:pPr>
      <w:r w:rsidRPr="00FA3F9C">
        <w:rPr>
          <w:rFonts w:ascii="Arial" w:hAnsi="Arial" w:cs="Arial"/>
          <w:sz w:val="24"/>
          <w:szCs w:val="24"/>
        </w:rPr>
        <w:t>EBRx PA Criteria</w:t>
      </w:r>
    </w:p>
    <w:p w14:paraId="567AD144" w14:textId="77777777" w:rsidR="001506C1" w:rsidRPr="00FA3F9C" w:rsidRDefault="001506C1" w:rsidP="002A23A6">
      <w:pPr>
        <w:jc w:val="center"/>
        <w:rPr>
          <w:rFonts w:ascii="Arial" w:hAnsi="Arial" w:cs="Arial"/>
          <w:b/>
          <w:sz w:val="24"/>
          <w:szCs w:val="24"/>
        </w:rPr>
      </w:pPr>
    </w:p>
    <w:p w14:paraId="40BAF48C" w14:textId="77777777" w:rsidR="001506C1" w:rsidRPr="00FA3F9C" w:rsidRDefault="001506C1" w:rsidP="00443BA9">
      <w:pPr>
        <w:rPr>
          <w:rFonts w:ascii="Arial" w:hAnsi="Arial" w:cs="Arial"/>
          <w:b/>
          <w:sz w:val="24"/>
          <w:szCs w:val="24"/>
          <w:u w:val="single"/>
        </w:rPr>
      </w:pPr>
      <w:r w:rsidRPr="00FA3F9C">
        <w:rPr>
          <w:rFonts w:ascii="Arial" w:hAnsi="Arial" w:cs="Arial"/>
          <w:b/>
          <w:sz w:val="24"/>
          <w:szCs w:val="24"/>
          <w:u w:val="single"/>
        </w:rPr>
        <w:t>Is FDA-approved for:</w:t>
      </w:r>
    </w:p>
    <w:p w14:paraId="5F446657" w14:textId="77777777" w:rsidR="001506C1" w:rsidRPr="00FA3F9C" w:rsidRDefault="001506C1" w:rsidP="001506C1">
      <w:pPr>
        <w:numPr>
          <w:ilvl w:val="0"/>
          <w:numId w:val="61"/>
        </w:numPr>
        <w:spacing w:after="0" w:line="240" w:lineRule="auto"/>
        <w:ind w:left="270" w:hanging="180"/>
        <w:rPr>
          <w:rFonts w:ascii="Arial" w:hAnsi="Arial" w:cs="Arial"/>
          <w:sz w:val="24"/>
          <w:szCs w:val="24"/>
        </w:rPr>
      </w:pPr>
      <w:r w:rsidRPr="00FA3F9C">
        <w:rPr>
          <w:rFonts w:ascii="Arial" w:hAnsi="Arial" w:cs="Arial"/>
          <w:i/>
          <w:sz w:val="24"/>
          <w:szCs w:val="24"/>
        </w:rPr>
        <w:t>Classical Hodgkin lymphoma (</w:t>
      </w:r>
      <w:proofErr w:type="spellStart"/>
      <w:r w:rsidRPr="00FA3F9C">
        <w:rPr>
          <w:rFonts w:ascii="Arial" w:hAnsi="Arial" w:cs="Arial"/>
          <w:i/>
          <w:sz w:val="24"/>
          <w:szCs w:val="24"/>
        </w:rPr>
        <w:t>cHL</w:t>
      </w:r>
      <w:proofErr w:type="spellEnd"/>
      <w:r w:rsidRPr="00FA3F9C">
        <w:rPr>
          <w:rFonts w:ascii="Arial" w:hAnsi="Arial" w:cs="Arial"/>
          <w:i/>
          <w:sz w:val="24"/>
          <w:szCs w:val="24"/>
        </w:rPr>
        <w:t>)</w:t>
      </w:r>
      <w:r w:rsidRPr="00FA3F9C">
        <w:rPr>
          <w:rFonts w:ascii="Arial" w:hAnsi="Arial" w:cs="Arial"/>
          <w:sz w:val="24"/>
          <w:szCs w:val="24"/>
        </w:rPr>
        <w:t xml:space="preserve"> in the following treatment settings:</w:t>
      </w:r>
    </w:p>
    <w:p w14:paraId="5E16FC62" w14:textId="77777777" w:rsidR="001506C1" w:rsidRPr="00FA3F9C" w:rsidRDefault="001506C1" w:rsidP="001506C1">
      <w:pPr>
        <w:numPr>
          <w:ilvl w:val="1"/>
          <w:numId w:val="61"/>
        </w:numPr>
        <w:spacing w:after="0" w:line="240" w:lineRule="auto"/>
        <w:ind w:left="720" w:hanging="270"/>
        <w:rPr>
          <w:rFonts w:ascii="Arial" w:hAnsi="Arial" w:cs="Arial"/>
          <w:sz w:val="24"/>
          <w:szCs w:val="24"/>
        </w:rPr>
      </w:pPr>
      <w:r w:rsidRPr="00FA3F9C">
        <w:rPr>
          <w:rFonts w:ascii="Arial" w:hAnsi="Arial" w:cs="Arial"/>
          <w:sz w:val="24"/>
          <w:szCs w:val="24"/>
        </w:rPr>
        <w:lastRenderedPageBreak/>
        <w:t xml:space="preserve">Previously untreated Stage III or IV </w:t>
      </w:r>
      <w:proofErr w:type="spellStart"/>
      <w:r w:rsidRPr="00FA3F9C">
        <w:rPr>
          <w:rFonts w:ascii="Arial" w:hAnsi="Arial" w:cs="Arial"/>
          <w:sz w:val="24"/>
          <w:szCs w:val="24"/>
        </w:rPr>
        <w:t>cHL</w:t>
      </w:r>
      <w:proofErr w:type="spellEnd"/>
      <w:r w:rsidRPr="00FA3F9C">
        <w:rPr>
          <w:rFonts w:ascii="Arial" w:hAnsi="Arial" w:cs="Arial"/>
          <w:sz w:val="24"/>
          <w:szCs w:val="24"/>
        </w:rPr>
        <w:t xml:space="preserve">, in combination with doxorubicin, vinblastine, and dacarbazine </w:t>
      </w:r>
      <w:r w:rsidRPr="00FA3F9C">
        <w:rPr>
          <w:rFonts w:ascii="Arial" w:hAnsi="Arial" w:cs="Arial"/>
          <w:sz w:val="24"/>
          <w:szCs w:val="24"/>
          <w:highlight w:val="yellow"/>
        </w:rPr>
        <w:t>NOT COVERED</w:t>
      </w:r>
      <w:r w:rsidRPr="00FA3F9C">
        <w:rPr>
          <w:rFonts w:ascii="Arial" w:hAnsi="Arial" w:cs="Arial"/>
          <w:sz w:val="24"/>
          <w:szCs w:val="24"/>
        </w:rPr>
        <w:t xml:space="preserve">: ECHELON-1 study used unconventional primary endpoint (modified progression free survival) and no overall survival nor quality of life benefit has been demonstrated to date. </w:t>
      </w:r>
    </w:p>
    <w:p w14:paraId="32DD2135" w14:textId="77777777" w:rsidR="001506C1" w:rsidRPr="00FA3F9C" w:rsidRDefault="001506C1" w:rsidP="0041077F">
      <w:pPr>
        <w:ind w:left="1260"/>
        <w:rPr>
          <w:rFonts w:ascii="Arial" w:hAnsi="Arial" w:cs="Arial"/>
          <w:sz w:val="24"/>
          <w:szCs w:val="24"/>
        </w:rPr>
      </w:pPr>
      <w:r w:rsidRPr="00FA3F9C">
        <w:rPr>
          <w:rFonts w:ascii="Arial" w:hAnsi="Arial" w:cs="Arial"/>
          <w:sz w:val="24"/>
          <w:szCs w:val="24"/>
          <w:u w:val="single"/>
        </w:rPr>
        <w:t>References</w:t>
      </w:r>
      <w:r w:rsidRPr="00FA3F9C">
        <w:rPr>
          <w:rFonts w:ascii="Arial" w:hAnsi="Arial" w:cs="Arial"/>
          <w:sz w:val="24"/>
          <w:szCs w:val="24"/>
        </w:rPr>
        <w:t xml:space="preserve">: </w:t>
      </w:r>
    </w:p>
    <w:p w14:paraId="684FAD6B" w14:textId="77777777" w:rsidR="001506C1" w:rsidRPr="00FA3F9C" w:rsidRDefault="001506C1" w:rsidP="001506C1">
      <w:pPr>
        <w:numPr>
          <w:ilvl w:val="2"/>
          <w:numId w:val="61"/>
        </w:numPr>
        <w:spacing w:after="0" w:line="240" w:lineRule="auto"/>
        <w:ind w:left="1440" w:hanging="90"/>
        <w:rPr>
          <w:rFonts w:ascii="Arial" w:hAnsi="Arial" w:cs="Arial"/>
          <w:sz w:val="24"/>
          <w:szCs w:val="24"/>
        </w:rPr>
      </w:pPr>
      <w:r w:rsidRPr="00FA3F9C">
        <w:rPr>
          <w:rFonts w:ascii="Arial" w:hAnsi="Arial" w:cs="Arial"/>
          <w:sz w:val="24"/>
          <w:szCs w:val="24"/>
        </w:rPr>
        <w:t xml:space="preserve">Connors JM et al. Brentuximab </w:t>
      </w:r>
      <w:proofErr w:type="spellStart"/>
      <w:r w:rsidRPr="00FA3F9C">
        <w:rPr>
          <w:rFonts w:ascii="Arial" w:hAnsi="Arial" w:cs="Arial"/>
          <w:sz w:val="24"/>
          <w:szCs w:val="24"/>
        </w:rPr>
        <w:t>Vedotin</w:t>
      </w:r>
      <w:proofErr w:type="spellEnd"/>
      <w:r w:rsidRPr="00FA3F9C">
        <w:rPr>
          <w:rFonts w:ascii="Arial" w:hAnsi="Arial" w:cs="Arial"/>
          <w:sz w:val="24"/>
          <w:szCs w:val="24"/>
        </w:rPr>
        <w:t xml:space="preserve"> with Chemotherapy for Stage III or IV Hodgkin's Lymphoma. N </w:t>
      </w:r>
      <w:proofErr w:type="spellStart"/>
      <w:r w:rsidRPr="00FA3F9C">
        <w:rPr>
          <w:rFonts w:ascii="Arial" w:hAnsi="Arial" w:cs="Arial"/>
          <w:sz w:val="24"/>
          <w:szCs w:val="24"/>
        </w:rPr>
        <w:t>Engl</w:t>
      </w:r>
      <w:proofErr w:type="spellEnd"/>
      <w:r w:rsidRPr="00FA3F9C">
        <w:rPr>
          <w:rFonts w:ascii="Arial" w:hAnsi="Arial" w:cs="Arial"/>
          <w:sz w:val="24"/>
          <w:szCs w:val="24"/>
        </w:rPr>
        <w:t xml:space="preserve"> J Med. 2018 Jan 25;378(4):331-344. PMID 29224502 NCT01712490</w:t>
      </w:r>
    </w:p>
    <w:p w14:paraId="53BCC06E" w14:textId="77777777" w:rsidR="001506C1" w:rsidRPr="00FA3F9C" w:rsidRDefault="001506C1" w:rsidP="001506C1">
      <w:pPr>
        <w:numPr>
          <w:ilvl w:val="2"/>
          <w:numId w:val="61"/>
        </w:numPr>
        <w:spacing w:after="0" w:line="240" w:lineRule="auto"/>
        <w:ind w:left="1440" w:hanging="90"/>
        <w:rPr>
          <w:rFonts w:ascii="Arial" w:hAnsi="Arial" w:cs="Arial"/>
          <w:sz w:val="24"/>
          <w:szCs w:val="24"/>
        </w:rPr>
      </w:pPr>
      <w:proofErr w:type="spellStart"/>
      <w:r w:rsidRPr="00FA3F9C">
        <w:rPr>
          <w:rFonts w:ascii="Arial" w:hAnsi="Arial" w:cs="Arial"/>
          <w:sz w:val="24"/>
          <w:szCs w:val="24"/>
          <w:lang w:val="fr-FR"/>
        </w:rPr>
        <w:t>Straus</w:t>
      </w:r>
      <w:proofErr w:type="spellEnd"/>
      <w:r w:rsidRPr="00FA3F9C">
        <w:rPr>
          <w:rFonts w:ascii="Arial" w:hAnsi="Arial" w:cs="Arial"/>
          <w:sz w:val="24"/>
          <w:szCs w:val="24"/>
          <w:lang w:val="fr-FR"/>
        </w:rPr>
        <w:t xml:space="preserve"> DJ, </w:t>
      </w:r>
      <w:proofErr w:type="spellStart"/>
      <w:r w:rsidRPr="00FA3F9C">
        <w:rPr>
          <w:rFonts w:ascii="Arial" w:hAnsi="Arial" w:cs="Arial"/>
          <w:sz w:val="24"/>
          <w:szCs w:val="24"/>
          <w:lang w:val="fr-FR"/>
        </w:rPr>
        <w:t>Długosz-Danecka</w:t>
      </w:r>
      <w:proofErr w:type="spellEnd"/>
      <w:r w:rsidRPr="00FA3F9C">
        <w:rPr>
          <w:rFonts w:ascii="Arial" w:hAnsi="Arial" w:cs="Arial"/>
          <w:sz w:val="24"/>
          <w:szCs w:val="24"/>
          <w:lang w:val="fr-FR"/>
        </w:rPr>
        <w:t xml:space="preserve"> M, Connors JM, et al. </w:t>
      </w:r>
      <w:r w:rsidRPr="00FA3F9C">
        <w:rPr>
          <w:rFonts w:ascii="Arial" w:hAnsi="Arial" w:cs="Arial"/>
          <w:sz w:val="24"/>
          <w:szCs w:val="24"/>
        </w:rPr>
        <w:t xml:space="preserve">Brentuximab </w:t>
      </w:r>
      <w:proofErr w:type="spellStart"/>
      <w:r w:rsidRPr="00FA3F9C">
        <w:rPr>
          <w:rFonts w:ascii="Arial" w:hAnsi="Arial" w:cs="Arial"/>
          <w:sz w:val="24"/>
          <w:szCs w:val="24"/>
        </w:rPr>
        <w:t>vedotin</w:t>
      </w:r>
      <w:proofErr w:type="spellEnd"/>
      <w:r w:rsidRPr="00FA3F9C">
        <w:rPr>
          <w:rFonts w:ascii="Arial" w:hAnsi="Arial" w:cs="Arial"/>
          <w:sz w:val="24"/>
          <w:szCs w:val="24"/>
        </w:rPr>
        <w:t xml:space="preserve"> with chemotherapy for stage III or IV classical Hodgkin lymphoma (ECHELON-1): 5-year update of an international, open-label, </w:t>
      </w:r>
      <w:proofErr w:type="spellStart"/>
      <w:r w:rsidRPr="00FA3F9C">
        <w:rPr>
          <w:rFonts w:ascii="Arial" w:hAnsi="Arial" w:cs="Arial"/>
          <w:sz w:val="24"/>
          <w:szCs w:val="24"/>
        </w:rPr>
        <w:t>randomised</w:t>
      </w:r>
      <w:proofErr w:type="spellEnd"/>
      <w:r w:rsidRPr="00FA3F9C">
        <w:rPr>
          <w:rFonts w:ascii="Arial" w:hAnsi="Arial" w:cs="Arial"/>
          <w:sz w:val="24"/>
          <w:szCs w:val="24"/>
        </w:rPr>
        <w:t xml:space="preserve">, phase 3 trial [published correction appears in Lancet </w:t>
      </w:r>
      <w:proofErr w:type="spellStart"/>
      <w:r w:rsidRPr="00FA3F9C">
        <w:rPr>
          <w:rFonts w:ascii="Arial" w:hAnsi="Arial" w:cs="Arial"/>
          <w:sz w:val="24"/>
          <w:szCs w:val="24"/>
        </w:rPr>
        <w:t>Haematol</w:t>
      </w:r>
      <w:proofErr w:type="spellEnd"/>
      <w:r w:rsidRPr="00FA3F9C">
        <w:rPr>
          <w:rFonts w:ascii="Arial" w:hAnsi="Arial" w:cs="Arial"/>
          <w:sz w:val="24"/>
          <w:szCs w:val="24"/>
        </w:rPr>
        <w:t xml:space="preserve">. 2022 Feb;9(2):e91]. Lancet </w:t>
      </w:r>
      <w:proofErr w:type="spellStart"/>
      <w:r w:rsidRPr="00FA3F9C">
        <w:rPr>
          <w:rFonts w:ascii="Arial" w:hAnsi="Arial" w:cs="Arial"/>
          <w:sz w:val="24"/>
          <w:szCs w:val="24"/>
        </w:rPr>
        <w:t>Haematol</w:t>
      </w:r>
      <w:proofErr w:type="spellEnd"/>
      <w:r w:rsidRPr="00FA3F9C">
        <w:rPr>
          <w:rFonts w:ascii="Arial" w:hAnsi="Arial" w:cs="Arial"/>
          <w:sz w:val="24"/>
          <w:szCs w:val="24"/>
        </w:rPr>
        <w:t>. 2021;8(6):e410-e421. doi:10.1016/S2352-3026(21)00102-2</w:t>
      </w:r>
    </w:p>
    <w:p w14:paraId="0B2F1EA5" w14:textId="77777777" w:rsidR="001506C1" w:rsidRPr="00FA3F9C" w:rsidRDefault="001506C1" w:rsidP="001506C1">
      <w:pPr>
        <w:numPr>
          <w:ilvl w:val="1"/>
          <w:numId w:val="61"/>
        </w:numPr>
        <w:spacing w:after="0" w:line="240" w:lineRule="auto"/>
        <w:ind w:left="720" w:hanging="270"/>
        <w:rPr>
          <w:rFonts w:ascii="Arial" w:hAnsi="Arial" w:cs="Arial"/>
          <w:sz w:val="24"/>
          <w:szCs w:val="24"/>
        </w:rPr>
      </w:pPr>
      <w:proofErr w:type="spellStart"/>
      <w:r w:rsidRPr="00FA3F9C">
        <w:rPr>
          <w:rFonts w:ascii="Arial" w:hAnsi="Arial" w:cs="Arial"/>
          <w:sz w:val="24"/>
          <w:szCs w:val="24"/>
        </w:rPr>
        <w:t>cHL</w:t>
      </w:r>
      <w:proofErr w:type="spellEnd"/>
      <w:r w:rsidRPr="00FA3F9C">
        <w:rPr>
          <w:rFonts w:ascii="Arial" w:hAnsi="Arial" w:cs="Arial"/>
          <w:sz w:val="24"/>
          <w:szCs w:val="24"/>
        </w:rPr>
        <w:t xml:space="preserve"> at high risk of relapse or progression as post autologous hematopoietic stem cell transplantation (auto-HSCT) consolidation </w:t>
      </w:r>
      <w:r w:rsidRPr="00FA3F9C">
        <w:rPr>
          <w:rFonts w:ascii="Arial" w:hAnsi="Arial" w:cs="Arial"/>
          <w:sz w:val="24"/>
          <w:szCs w:val="24"/>
          <w:highlight w:val="cyan"/>
        </w:rPr>
        <w:t>SEE CRITERIA</w:t>
      </w:r>
    </w:p>
    <w:p w14:paraId="29B75BE3" w14:textId="77777777" w:rsidR="001506C1" w:rsidRPr="00FA3F9C" w:rsidRDefault="001506C1" w:rsidP="001506C1">
      <w:pPr>
        <w:numPr>
          <w:ilvl w:val="1"/>
          <w:numId w:val="61"/>
        </w:numPr>
        <w:spacing w:after="0" w:line="240" w:lineRule="auto"/>
        <w:ind w:left="720" w:hanging="270"/>
        <w:rPr>
          <w:rFonts w:ascii="Arial" w:hAnsi="Arial" w:cs="Arial"/>
          <w:sz w:val="24"/>
          <w:szCs w:val="24"/>
        </w:rPr>
      </w:pPr>
      <w:proofErr w:type="spellStart"/>
      <w:r w:rsidRPr="00FA3F9C">
        <w:rPr>
          <w:rFonts w:ascii="Arial" w:hAnsi="Arial" w:cs="Arial"/>
          <w:sz w:val="24"/>
          <w:szCs w:val="24"/>
        </w:rPr>
        <w:t>cHL</w:t>
      </w:r>
      <w:proofErr w:type="spellEnd"/>
      <w:r w:rsidRPr="00FA3F9C">
        <w:rPr>
          <w:rFonts w:ascii="Arial" w:hAnsi="Arial" w:cs="Arial"/>
          <w:sz w:val="24"/>
          <w:szCs w:val="24"/>
        </w:rPr>
        <w:t xml:space="preserve"> after failure of auto-HSCT or after failure of at least two prior multi-agent chemotherapy regimens in patients who are not auto-HSCT candidates  </w:t>
      </w:r>
      <w:r w:rsidRPr="00FA3F9C">
        <w:rPr>
          <w:rFonts w:ascii="Arial" w:hAnsi="Arial" w:cs="Arial"/>
          <w:sz w:val="24"/>
          <w:szCs w:val="24"/>
          <w:highlight w:val="cyan"/>
        </w:rPr>
        <w:t>SEE CRITERIA</w:t>
      </w:r>
    </w:p>
    <w:p w14:paraId="7A4CD2ED" w14:textId="77777777" w:rsidR="001506C1" w:rsidRPr="00FA3F9C" w:rsidRDefault="001506C1" w:rsidP="001506C1">
      <w:pPr>
        <w:numPr>
          <w:ilvl w:val="0"/>
          <w:numId w:val="61"/>
        </w:numPr>
        <w:spacing w:after="0" w:line="240" w:lineRule="auto"/>
        <w:ind w:left="270" w:hanging="180"/>
        <w:rPr>
          <w:rFonts w:ascii="Arial" w:hAnsi="Arial" w:cs="Arial"/>
          <w:sz w:val="24"/>
          <w:szCs w:val="24"/>
        </w:rPr>
      </w:pPr>
      <w:r w:rsidRPr="00FA3F9C">
        <w:rPr>
          <w:rFonts w:ascii="Arial" w:hAnsi="Arial" w:cs="Arial"/>
          <w:i/>
          <w:sz w:val="24"/>
          <w:szCs w:val="24"/>
        </w:rPr>
        <w:t>T cell lymphoma subtypes</w:t>
      </w:r>
      <w:r w:rsidRPr="00FA3F9C">
        <w:rPr>
          <w:rFonts w:ascii="Arial" w:hAnsi="Arial" w:cs="Arial"/>
          <w:sz w:val="24"/>
          <w:szCs w:val="24"/>
        </w:rPr>
        <w:t xml:space="preserve"> </w:t>
      </w:r>
    </w:p>
    <w:p w14:paraId="7044C887" w14:textId="77777777" w:rsidR="001506C1" w:rsidRPr="00FA3F9C" w:rsidRDefault="001506C1" w:rsidP="001506C1">
      <w:pPr>
        <w:numPr>
          <w:ilvl w:val="1"/>
          <w:numId w:val="61"/>
        </w:numPr>
        <w:spacing w:after="0" w:line="240" w:lineRule="auto"/>
        <w:ind w:left="810"/>
        <w:rPr>
          <w:rFonts w:ascii="Arial" w:hAnsi="Arial" w:cs="Arial"/>
          <w:sz w:val="24"/>
          <w:szCs w:val="24"/>
        </w:rPr>
      </w:pPr>
      <w:r w:rsidRPr="00FA3F9C">
        <w:rPr>
          <w:rFonts w:ascii="Arial" w:hAnsi="Arial" w:cs="Arial"/>
          <w:sz w:val="24"/>
          <w:szCs w:val="24"/>
        </w:rPr>
        <w:t>Previously untreated systemic anaplastic large cell lymphoma (</w:t>
      </w:r>
      <w:proofErr w:type="spellStart"/>
      <w:r w:rsidRPr="00FA3F9C">
        <w:rPr>
          <w:rFonts w:ascii="Arial" w:hAnsi="Arial" w:cs="Arial"/>
          <w:sz w:val="24"/>
          <w:szCs w:val="24"/>
        </w:rPr>
        <w:t>sALCL</w:t>
      </w:r>
      <w:proofErr w:type="spellEnd"/>
      <w:r w:rsidRPr="00FA3F9C">
        <w:rPr>
          <w:rFonts w:ascii="Arial" w:hAnsi="Arial" w:cs="Arial"/>
          <w:sz w:val="24"/>
          <w:szCs w:val="24"/>
        </w:rPr>
        <w:t xml:space="preserve">) or other CD30-expressing peripheral T-cell lymphomas (PTCL), including angioimmunoblastic T-cell lymphoma and PTCL not otherwise specified, in combination with cyclophosphamide, doxorubicin, and prednisone </w:t>
      </w:r>
      <w:r w:rsidRPr="00FA3F9C">
        <w:rPr>
          <w:rFonts w:ascii="Arial" w:hAnsi="Arial" w:cs="Arial"/>
          <w:sz w:val="24"/>
          <w:szCs w:val="24"/>
          <w:highlight w:val="cyan"/>
        </w:rPr>
        <w:t>SEE CRITERIA</w:t>
      </w:r>
    </w:p>
    <w:p w14:paraId="19CDDBC1" w14:textId="77777777" w:rsidR="001506C1" w:rsidRPr="00FA3F9C" w:rsidRDefault="001506C1" w:rsidP="001506C1">
      <w:pPr>
        <w:numPr>
          <w:ilvl w:val="1"/>
          <w:numId w:val="61"/>
        </w:numPr>
        <w:spacing w:after="0" w:line="240" w:lineRule="auto"/>
        <w:ind w:left="810"/>
        <w:rPr>
          <w:rFonts w:ascii="Arial" w:hAnsi="Arial" w:cs="Arial"/>
          <w:sz w:val="24"/>
          <w:szCs w:val="24"/>
        </w:rPr>
      </w:pPr>
      <w:r w:rsidRPr="00FA3F9C">
        <w:rPr>
          <w:rFonts w:ascii="Arial" w:hAnsi="Arial" w:cs="Arial"/>
          <w:sz w:val="24"/>
          <w:szCs w:val="24"/>
        </w:rPr>
        <w:t>Systemic anaplastic large cell lymphoma (</w:t>
      </w:r>
      <w:proofErr w:type="spellStart"/>
      <w:r w:rsidRPr="00FA3F9C">
        <w:rPr>
          <w:rFonts w:ascii="Arial" w:hAnsi="Arial" w:cs="Arial"/>
          <w:sz w:val="24"/>
          <w:szCs w:val="24"/>
        </w:rPr>
        <w:t>sALCL</w:t>
      </w:r>
      <w:proofErr w:type="spellEnd"/>
      <w:r w:rsidRPr="00FA3F9C">
        <w:rPr>
          <w:rFonts w:ascii="Arial" w:hAnsi="Arial" w:cs="Arial"/>
          <w:sz w:val="24"/>
          <w:szCs w:val="24"/>
        </w:rPr>
        <w:t xml:space="preserve">) after failure of at least one prior multiagent chemotherapy regimen  </w:t>
      </w:r>
      <w:r w:rsidRPr="00FA3F9C">
        <w:rPr>
          <w:rFonts w:ascii="Arial" w:hAnsi="Arial" w:cs="Arial"/>
          <w:sz w:val="24"/>
          <w:szCs w:val="24"/>
          <w:highlight w:val="cyan"/>
        </w:rPr>
        <w:t>SEE CRITERIA</w:t>
      </w:r>
    </w:p>
    <w:p w14:paraId="09744692" w14:textId="77777777" w:rsidR="001506C1" w:rsidRPr="00FA3F9C" w:rsidRDefault="001506C1" w:rsidP="001506C1">
      <w:pPr>
        <w:numPr>
          <w:ilvl w:val="1"/>
          <w:numId w:val="61"/>
        </w:numPr>
        <w:spacing w:after="0" w:line="240" w:lineRule="auto"/>
        <w:ind w:left="810"/>
        <w:rPr>
          <w:rFonts w:ascii="Arial" w:hAnsi="Arial" w:cs="Arial"/>
          <w:sz w:val="24"/>
          <w:szCs w:val="24"/>
        </w:rPr>
      </w:pPr>
      <w:r w:rsidRPr="00FA3F9C">
        <w:rPr>
          <w:rFonts w:ascii="Arial" w:hAnsi="Arial" w:cs="Arial"/>
          <w:sz w:val="24"/>
          <w:szCs w:val="24"/>
        </w:rPr>
        <w:t>Primary cutaneous anaplastic large cell lymphoma (</w:t>
      </w:r>
      <w:proofErr w:type="spellStart"/>
      <w:r w:rsidRPr="00FA3F9C">
        <w:rPr>
          <w:rFonts w:ascii="Arial" w:hAnsi="Arial" w:cs="Arial"/>
          <w:sz w:val="24"/>
          <w:szCs w:val="24"/>
        </w:rPr>
        <w:t>pcALCL</w:t>
      </w:r>
      <w:proofErr w:type="spellEnd"/>
      <w:r w:rsidRPr="00FA3F9C">
        <w:rPr>
          <w:rFonts w:ascii="Arial" w:hAnsi="Arial" w:cs="Arial"/>
          <w:sz w:val="24"/>
          <w:szCs w:val="24"/>
        </w:rPr>
        <w:t xml:space="preserve">) or CD30-expressing mycosis fungoides (MF) in patients who have received prior systemic therapy </w:t>
      </w:r>
      <w:r w:rsidRPr="00FA3F9C">
        <w:rPr>
          <w:rFonts w:ascii="Arial" w:hAnsi="Arial" w:cs="Arial"/>
          <w:sz w:val="24"/>
          <w:szCs w:val="24"/>
          <w:highlight w:val="cyan"/>
        </w:rPr>
        <w:t>SEE CRITERIA</w:t>
      </w:r>
    </w:p>
    <w:p w14:paraId="4CC3FF24" w14:textId="77777777" w:rsidR="001506C1" w:rsidRPr="00FA3F9C" w:rsidRDefault="001506C1" w:rsidP="00443BA9">
      <w:pPr>
        <w:rPr>
          <w:rFonts w:ascii="Arial" w:hAnsi="Arial" w:cs="Arial"/>
          <w:b/>
          <w:sz w:val="24"/>
          <w:szCs w:val="24"/>
          <w:u w:val="single"/>
        </w:rPr>
      </w:pPr>
    </w:p>
    <w:p w14:paraId="161FF973" w14:textId="77777777" w:rsidR="001506C1" w:rsidRPr="00FA3F9C" w:rsidRDefault="001506C1" w:rsidP="00443BA9">
      <w:pPr>
        <w:rPr>
          <w:rFonts w:ascii="Arial" w:hAnsi="Arial" w:cs="Arial"/>
          <w:b/>
          <w:sz w:val="24"/>
          <w:szCs w:val="24"/>
          <w:u w:val="single"/>
        </w:rPr>
      </w:pPr>
    </w:p>
    <w:p w14:paraId="63B15D6F" w14:textId="77777777" w:rsidR="001506C1" w:rsidRPr="00FA3F9C" w:rsidRDefault="001506C1" w:rsidP="00443BA9">
      <w:pPr>
        <w:rPr>
          <w:rFonts w:ascii="Arial" w:hAnsi="Arial" w:cs="Arial"/>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0"/>
        <w:gridCol w:w="2656"/>
      </w:tblGrid>
      <w:tr w:rsidR="001506C1" w:rsidRPr="00FA3F9C" w14:paraId="6069766B" w14:textId="77777777" w:rsidTr="009753F6">
        <w:tc>
          <w:tcPr>
            <w:tcW w:w="8360" w:type="dxa"/>
            <w:shd w:val="clear" w:color="auto" w:fill="000000"/>
          </w:tcPr>
          <w:p w14:paraId="265A4F0E" w14:textId="77777777" w:rsidR="001506C1" w:rsidRPr="00FA3F9C" w:rsidRDefault="001506C1" w:rsidP="009753F6">
            <w:pPr>
              <w:rPr>
                <w:rFonts w:ascii="Arial" w:hAnsi="Arial" w:cs="Arial"/>
                <w:b/>
                <w:sz w:val="24"/>
                <w:szCs w:val="24"/>
                <w:u w:val="single"/>
              </w:rPr>
            </w:pPr>
            <w:r w:rsidRPr="00FA3F9C">
              <w:rPr>
                <w:rFonts w:ascii="Arial" w:hAnsi="Arial" w:cs="Arial"/>
                <w:b/>
                <w:sz w:val="24"/>
                <w:szCs w:val="24"/>
                <w:u w:val="single"/>
              </w:rPr>
              <w:t>Classical Hodgkin Lymphoma (relapsed/refractory)</w:t>
            </w:r>
          </w:p>
        </w:tc>
        <w:tc>
          <w:tcPr>
            <w:tcW w:w="1936" w:type="dxa"/>
            <w:shd w:val="clear" w:color="auto" w:fill="000000"/>
          </w:tcPr>
          <w:p w14:paraId="71979CDB" w14:textId="77777777" w:rsidR="001506C1" w:rsidRPr="00FA3F9C" w:rsidRDefault="001506C1" w:rsidP="00804A4D">
            <w:pPr>
              <w:jc w:val="center"/>
              <w:rPr>
                <w:rFonts w:ascii="Arial" w:hAnsi="Arial" w:cs="Arial"/>
                <w:b/>
                <w:sz w:val="24"/>
                <w:szCs w:val="24"/>
                <w:u w:val="single"/>
              </w:rPr>
            </w:pPr>
          </w:p>
        </w:tc>
      </w:tr>
      <w:tr w:rsidR="001506C1" w:rsidRPr="00FA3F9C" w14:paraId="570C9890" w14:textId="77777777" w:rsidTr="00804A4D">
        <w:tc>
          <w:tcPr>
            <w:tcW w:w="11016" w:type="dxa"/>
            <w:gridSpan w:val="2"/>
            <w:shd w:val="clear" w:color="auto" w:fill="auto"/>
          </w:tcPr>
          <w:p w14:paraId="48F0C043" w14:textId="77777777" w:rsidR="001506C1" w:rsidRPr="00FA3F9C" w:rsidRDefault="001506C1" w:rsidP="001506C1">
            <w:pPr>
              <w:numPr>
                <w:ilvl w:val="0"/>
                <w:numId w:val="64"/>
              </w:numPr>
              <w:spacing w:after="0" w:line="240" w:lineRule="auto"/>
              <w:ind w:left="360" w:hanging="270"/>
              <w:rPr>
                <w:rFonts w:ascii="Arial" w:hAnsi="Arial" w:cs="Arial"/>
                <w:sz w:val="24"/>
                <w:szCs w:val="24"/>
              </w:rPr>
            </w:pPr>
            <w:r w:rsidRPr="00FA3F9C">
              <w:rPr>
                <w:rFonts w:ascii="Arial" w:hAnsi="Arial" w:cs="Arial"/>
                <w:sz w:val="24"/>
                <w:szCs w:val="24"/>
              </w:rPr>
              <w:t>Diagnosis of classical Hodgkin lymphoma that is progressing</w:t>
            </w:r>
          </w:p>
        </w:tc>
      </w:tr>
      <w:tr w:rsidR="001506C1" w:rsidRPr="00FA3F9C" w14:paraId="23A74DF1" w14:textId="77777777" w:rsidTr="00804A4D">
        <w:tc>
          <w:tcPr>
            <w:tcW w:w="11016" w:type="dxa"/>
            <w:gridSpan w:val="2"/>
            <w:shd w:val="clear" w:color="auto" w:fill="auto"/>
          </w:tcPr>
          <w:p w14:paraId="1945BE6E" w14:textId="77777777" w:rsidR="001506C1" w:rsidRPr="00FA3F9C" w:rsidRDefault="001506C1" w:rsidP="001506C1">
            <w:pPr>
              <w:numPr>
                <w:ilvl w:val="0"/>
                <w:numId w:val="64"/>
              </w:numPr>
              <w:spacing w:after="0" w:line="240" w:lineRule="auto"/>
              <w:ind w:left="360" w:hanging="270"/>
              <w:rPr>
                <w:rFonts w:ascii="Arial" w:hAnsi="Arial" w:cs="Arial"/>
                <w:sz w:val="24"/>
                <w:szCs w:val="24"/>
              </w:rPr>
            </w:pPr>
            <w:r w:rsidRPr="00FA3F9C">
              <w:rPr>
                <w:rFonts w:ascii="Arial" w:hAnsi="Arial" w:cs="Arial"/>
                <w:sz w:val="24"/>
                <w:szCs w:val="24"/>
              </w:rPr>
              <w:t xml:space="preserve">Patient has undergone autologous stem cell transplant (ASCT) </w:t>
            </w:r>
            <w:r w:rsidRPr="00FA3F9C">
              <w:rPr>
                <w:rFonts w:ascii="Arial" w:hAnsi="Arial" w:cs="Arial"/>
                <w:sz w:val="24"/>
                <w:szCs w:val="24"/>
                <w:u w:val="single"/>
              </w:rPr>
              <w:t>or</w:t>
            </w:r>
            <w:r w:rsidRPr="00FA3F9C">
              <w:rPr>
                <w:rFonts w:ascii="Arial" w:hAnsi="Arial" w:cs="Arial"/>
                <w:sz w:val="24"/>
                <w:szCs w:val="24"/>
              </w:rPr>
              <w:t>, if the patient is not an ASCT candidate, he/she has failed at least two multi-agent chemotherapy regimens</w:t>
            </w:r>
          </w:p>
        </w:tc>
      </w:tr>
      <w:tr w:rsidR="001506C1" w:rsidRPr="00FA3F9C" w14:paraId="3112740F" w14:textId="77777777" w:rsidTr="00804A4D">
        <w:tc>
          <w:tcPr>
            <w:tcW w:w="11016" w:type="dxa"/>
            <w:gridSpan w:val="2"/>
            <w:shd w:val="clear" w:color="auto" w:fill="auto"/>
          </w:tcPr>
          <w:p w14:paraId="6465D111" w14:textId="77777777" w:rsidR="001506C1" w:rsidRPr="00FA3F9C" w:rsidRDefault="001506C1" w:rsidP="001506C1">
            <w:pPr>
              <w:numPr>
                <w:ilvl w:val="0"/>
                <w:numId w:val="64"/>
              </w:numPr>
              <w:spacing w:after="0" w:line="240" w:lineRule="auto"/>
              <w:ind w:left="360" w:hanging="270"/>
              <w:rPr>
                <w:rFonts w:ascii="Arial" w:hAnsi="Arial" w:cs="Arial"/>
                <w:sz w:val="24"/>
                <w:szCs w:val="24"/>
              </w:rPr>
            </w:pPr>
            <w:r w:rsidRPr="00FA3F9C">
              <w:rPr>
                <w:rFonts w:ascii="Arial" w:hAnsi="Arial" w:cs="Arial"/>
                <w:sz w:val="24"/>
                <w:szCs w:val="24"/>
              </w:rPr>
              <w:t>No prior brentuximab</w:t>
            </w:r>
          </w:p>
        </w:tc>
      </w:tr>
      <w:tr w:rsidR="001506C1" w:rsidRPr="00FA3F9C" w14:paraId="5FCA18CC" w14:textId="77777777" w:rsidTr="00804A4D">
        <w:tc>
          <w:tcPr>
            <w:tcW w:w="11016" w:type="dxa"/>
            <w:gridSpan w:val="2"/>
            <w:shd w:val="clear" w:color="auto" w:fill="auto"/>
          </w:tcPr>
          <w:p w14:paraId="2BFB3918" w14:textId="77777777" w:rsidR="001506C1" w:rsidRPr="00FA3F9C" w:rsidRDefault="001506C1" w:rsidP="001506C1">
            <w:pPr>
              <w:numPr>
                <w:ilvl w:val="0"/>
                <w:numId w:val="64"/>
              </w:numPr>
              <w:spacing w:after="0" w:line="240" w:lineRule="auto"/>
              <w:ind w:left="360" w:hanging="270"/>
              <w:rPr>
                <w:rFonts w:ascii="Arial" w:hAnsi="Arial" w:cs="Arial"/>
                <w:sz w:val="24"/>
                <w:szCs w:val="24"/>
              </w:rPr>
            </w:pPr>
            <w:r w:rsidRPr="00FA3F9C">
              <w:rPr>
                <w:rFonts w:ascii="Arial" w:hAnsi="Arial" w:cs="Arial"/>
                <w:sz w:val="24"/>
                <w:szCs w:val="24"/>
              </w:rPr>
              <w:lastRenderedPageBreak/>
              <w:t>Brentuximab will be given as single agent</w:t>
            </w:r>
          </w:p>
        </w:tc>
      </w:tr>
      <w:tr w:rsidR="001506C1" w:rsidRPr="00FA3F9C" w14:paraId="3D43B2B1" w14:textId="77777777" w:rsidTr="009753F6">
        <w:tc>
          <w:tcPr>
            <w:tcW w:w="10296" w:type="dxa"/>
            <w:gridSpan w:val="2"/>
            <w:shd w:val="clear" w:color="auto" w:fill="F2F2F2"/>
          </w:tcPr>
          <w:p w14:paraId="67262419" w14:textId="77777777" w:rsidR="001506C1" w:rsidRPr="00FA3F9C" w:rsidRDefault="001506C1" w:rsidP="009753F6">
            <w:pPr>
              <w:rPr>
                <w:rFonts w:ascii="Arial" w:hAnsi="Arial" w:cs="Arial"/>
                <w:sz w:val="24"/>
                <w:szCs w:val="24"/>
              </w:rPr>
            </w:pPr>
            <w:r w:rsidRPr="00FA3F9C">
              <w:rPr>
                <w:rFonts w:ascii="Arial" w:hAnsi="Arial" w:cs="Arial"/>
                <w:sz w:val="24"/>
                <w:szCs w:val="24"/>
              </w:rPr>
              <w:t xml:space="preserve">If </w:t>
            </w:r>
            <w:proofErr w:type="gramStart"/>
            <w:r w:rsidRPr="00FA3F9C">
              <w:rPr>
                <w:rFonts w:ascii="Arial" w:hAnsi="Arial" w:cs="Arial"/>
                <w:sz w:val="24"/>
                <w:szCs w:val="24"/>
              </w:rPr>
              <w:t>all of</w:t>
            </w:r>
            <w:proofErr w:type="gramEnd"/>
            <w:r w:rsidRPr="00FA3F9C">
              <w:rPr>
                <w:rFonts w:ascii="Arial" w:hAnsi="Arial" w:cs="Arial"/>
                <w:sz w:val="24"/>
                <w:szCs w:val="24"/>
              </w:rPr>
              <w:t xml:space="preserve"> above criteria are met, approve x 1 year</w:t>
            </w:r>
          </w:p>
        </w:tc>
      </w:tr>
      <w:tr w:rsidR="001506C1" w:rsidRPr="00FA3F9C" w14:paraId="110836C9" w14:textId="77777777" w:rsidTr="009753F6">
        <w:tc>
          <w:tcPr>
            <w:tcW w:w="10296" w:type="dxa"/>
            <w:gridSpan w:val="2"/>
            <w:shd w:val="clear" w:color="auto" w:fill="F2F2F2"/>
          </w:tcPr>
          <w:p w14:paraId="692B0172" w14:textId="77777777" w:rsidR="001506C1" w:rsidRPr="00FA3F9C" w:rsidRDefault="001506C1" w:rsidP="00804A4D">
            <w:pPr>
              <w:rPr>
                <w:rFonts w:ascii="Arial" w:hAnsi="Arial" w:cs="Arial"/>
                <w:sz w:val="24"/>
                <w:szCs w:val="24"/>
              </w:rPr>
            </w:pPr>
            <w:r w:rsidRPr="00FA3F9C">
              <w:rPr>
                <w:rFonts w:ascii="Arial" w:hAnsi="Arial" w:cs="Arial"/>
                <w:sz w:val="24"/>
                <w:szCs w:val="24"/>
              </w:rPr>
              <w:t xml:space="preserve">Note: </w:t>
            </w:r>
          </w:p>
          <w:p w14:paraId="31E367C1" w14:textId="77777777" w:rsidR="001506C1" w:rsidRPr="00FA3F9C" w:rsidRDefault="001506C1" w:rsidP="00804A4D">
            <w:pPr>
              <w:rPr>
                <w:rFonts w:ascii="Arial" w:hAnsi="Arial" w:cs="Arial"/>
                <w:sz w:val="24"/>
                <w:szCs w:val="24"/>
              </w:rPr>
            </w:pPr>
            <w:r w:rsidRPr="00FA3F9C">
              <w:rPr>
                <w:rFonts w:ascii="Arial" w:hAnsi="Arial" w:cs="Arial"/>
                <w:sz w:val="24"/>
                <w:szCs w:val="24"/>
              </w:rPr>
              <w:t xml:space="preserve">-Classical Hodgkin Lymphoma includes the following subtypes: nodular sclerosis, mixed cellularity, lymphocyte-predominant, and lymphocyte-rich, which are all treated similarly.  </w:t>
            </w:r>
          </w:p>
          <w:p w14:paraId="7C101BD2" w14:textId="77777777" w:rsidR="001506C1" w:rsidRPr="00FA3F9C" w:rsidRDefault="001506C1" w:rsidP="00804A4D">
            <w:pPr>
              <w:rPr>
                <w:rFonts w:ascii="Arial" w:hAnsi="Arial" w:cs="Arial"/>
                <w:sz w:val="24"/>
                <w:szCs w:val="24"/>
              </w:rPr>
            </w:pPr>
            <w:r w:rsidRPr="00FA3F9C">
              <w:rPr>
                <w:rFonts w:ascii="Arial" w:hAnsi="Arial" w:cs="Arial"/>
                <w:sz w:val="24"/>
                <w:szCs w:val="24"/>
              </w:rPr>
              <w:t>- Nodular lymphocyte-predominant Hodgkin lymphoma is NOT a type of classical Hodgkin lymphoma and is not covered under this indication</w:t>
            </w:r>
          </w:p>
        </w:tc>
      </w:tr>
      <w:tr w:rsidR="001506C1" w:rsidRPr="00FA3F9C" w14:paraId="3EB12B76" w14:textId="77777777" w:rsidTr="009753F6">
        <w:tc>
          <w:tcPr>
            <w:tcW w:w="10296" w:type="dxa"/>
            <w:gridSpan w:val="2"/>
            <w:shd w:val="clear" w:color="auto" w:fill="D9D9D9"/>
          </w:tcPr>
          <w:p w14:paraId="032A7B4A" w14:textId="77777777" w:rsidR="001506C1" w:rsidRPr="00FA3F9C" w:rsidRDefault="001506C1" w:rsidP="00804A4D">
            <w:pPr>
              <w:rPr>
                <w:rFonts w:ascii="Arial" w:hAnsi="Arial" w:cs="Arial"/>
                <w:sz w:val="24"/>
                <w:szCs w:val="24"/>
              </w:rPr>
            </w:pPr>
            <w:r w:rsidRPr="00FA3F9C">
              <w:rPr>
                <w:rFonts w:ascii="Arial" w:hAnsi="Arial" w:cs="Arial"/>
                <w:sz w:val="24"/>
                <w:szCs w:val="24"/>
              </w:rPr>
              <w:t>Evidence:</w:t>
            </w:r>
          </w:p>
          <w:p w14:paraId="0FC87730" w14:textId="77777777" w:rsidR="001506C1" w:rsidRPr="00FA3F9C" w:rsidRDefault="001506C1" w:rsidP="001506C1">
            <w:pPr>
              <w:numPr>
                <w:ilvl w:val="0"/>
                <w:numId w:val="63"/>
              </w:numPr>
              <w:spacing w:after="0" w:line="240" w:lineRule="auto"/>
              <w:ind w:left="270" w:hanging="180"/>
              <w:rPr>
                <w:rFonts w:ascii="Arial" w:hAnsi="Arial" w:cs="Arial"/>
                <w:sz w:val="24"/>
                <w:szCs w:val="24"/>
              </w:rPr>
            </w:pPr>
            <w:r w:rsidRPr="00FA3F9C">
              <w:rPr>
                <w:rFonts w:ascii="Arial" w:hAnsi="Arial" w:cs="Arial"/>
                <w:sz w:val="24"/>
                <w:szCs w:val="24"/>
              </w:rPr>
              <w:t>Patients meeting the above criteria were given brentuximab, the response rate was 75% with a complete response rate of 34%. The median progression free survival (PFS) was 9.3 months. The 5-year overall survival (OS) was 41% with a median OS of 41 months.  According to a registry study, patients treated with brentuximab after autologous transplant had improved OS compared with patients who were not treated with brentuximab (median 57 months vs 31 months).</w:t>
            </w:r>
            <w:r w:rsidRPr="00FA3F9C">
              <w:rPr>
                <w:rFonts w:ascii="Arial" w:hAnsi="Arial" w:cs="Arial"/>
                <w:sz w:val="24"/>
                <w:szCs w:val="24"/>
                <w:vertAlign w:val="superscript"/>
              </w:rPr>
              <w:t>1,2</w:t>
            </w:r>
          </w:p>
          <w:p w14:paraId="189133D9" w14:textId="77777777" w:rsidR="001506C1" w:rsidRPr="00FA3F9C" w:rsidRDefault="001506C1" w:rsidP="001506C1">
            <w:pPr>
              <w:numPr>
                <w:ilvl w:val="0"/>
                <w:numId w:val="63"/>
              </w:numPr>
              <w:spacing w:after="0" w:line="240" w:lineRule="auto"/>
              <w:ind w:left="270" w:hanging="180"/>
              <w:rPr>
                <w:rFonts w:ascii="Arial" w:hAnsi="Arial" w:cs="Arial"/>
                <w:sz w:val="24"/>
                <w:szCs w:val="24"/>
              </w:rPr>
            </w:pPr>
            <w:r w:rsidRPr="00FA3F9C">
              <w:rPr>
                <w:rFonts w:ascii="Arial" w:hAnsi="Arial" w:cs="Arial"/>
                <w:sz w:val="24"/>
                <w:szCs w:val="24"/>
              </w:rPr>
              <w:t>Dose: 1.8 mg/kg IV (max 180 mg) every 3 weeks x 16 doses total until disease progression or unacceptable toxicity.</w:t>
            </w:r>
          </w:p>
          <w:p w14:paraId="157EDA49" w14:textId="77777777" w:rsidR="001506C1" w:rsidRPr="00FA3F9C" w:rsidRDefault="001506C1" w:rsidP="00804A4D">
            <w:pPr>
              <w:rPr>
                <w:rFonts w:ascii="Arial" w:hAnsi="Arial" w:cs="Arial"/>
                <w:sz w:val="24"/>
                <w:szCs w:val="24"/>
              </w:rPr>
            </w:pPr>
          </w:p>
          <w:p w14:paraId="3E88DCD0" w14:textId="77777777" w:rsidR="001506C1" w:rsidRPr="00FA3F9C" w:rsidRDefault="001506C1" w:rsidP="00804A4D">
            <w:pPr>
              <w:rPr>
                <w:rFonts w:ascii="Arial" w:hAnsi="Arial" w:cs="Arial"/>
                <w:sz w:val="24"/>
                <w:szCs w:val="24"/>
                <w:lang w:val="fr-FR"/>
              </w:rPr>
            </w:pPr>
            <w:proofErr w:type="spellStart"/>
            <w:proofErr w:type="gramStart"/>
            <w:r w:rsidRPr="00FA3F9C">
              <w:rPr>
                <w:rFonts w:ascii="Arial" w:hAnsi="Arial" w:cs="Arial"/>
                <w:sz w:val="24"/>
                <w:szCs w:val="24"/>
                <w:lang w:val="fr-FR"/>
              </w:rPr>
              <w:t>References</w:t>
            </w:r>
            <w:proofErr w:type="spellEnd"/>
            <w:r w:rsidRPr="00FA3F9C">
              <w:rPr>
                <w:rFonts w:ascii="Arial" w:hAnsi="Arial" w:cs="Arial"/>
                <w:sz w:val="24"/>
                <w:szCs w:val="24"/>
                <w:lang w:val="fr-FR"/>
              </w:rPr>
              <w:t>:</w:t>
            </w:r>
            <w:proofErr w:type="gramEnd"/>
          </w:p>
          <w:p w14:paraId="238BFD8B" w14:textId="77777777" w:rsidR="001506C1" w:rsidRPr="00FA3F9C" w:rsidRDefault="001506C1" w:rsidP="00804A4D">
            <w:pPr>
              <w:ind w:left="270" w:hanging="180"/>
              <w:rPr>
                <w:rFonts w:ascii="Arial" w:hAnsi="Arial" w:cs="Arial"/>
                <w:sz w:val="24"/>
                <w:szCs w:val="24"/>
              </w:rPr>
            </w:pPr>
            <w:r w:rsidRPr="00FA3F9C">
              <w:rPr>
                <w:rFonts w:ascii="Arial" w:hAnsi="Arial" w:cs="Arial"/>
                <w:sz w:val="24"/>
                <w:szCs w:val="24"/>
                <w:lang w:val="fr-FR"/>
              </w:rPr>
              <w:t>1.</w:t>
            </w:r>
            <w:r w:rsidRPr="00FA3F9C">
              <w:rPr>
                <w:rFonts w:ascii="Arial" w:hAnsi="Arial" w:cs="Arial"/>
                <w:sz w:val="24"/>
                <w:szCs w:val="24"/>
                <w:lang w:val="fr-FR"/>
              </w:rPr>
              <w:tab/>
              <w:t xml:space="preserve">Chen R et al. </w:t>
            </w:r>
            <w:r w:rsidRPr="00FA3F9C">
              <w:rPr>
                <w:rFonts w:ascii="Arial" w:hAnsi="Arial" w:cs="Arial"/>
                <w:sz w:val="24"/>
                <w:szCs w:val="24"/>
              </w:rPr>
              <w:t xml:space="preserve">Five-year survival and durability results of brentuximab </w:t>
            </w:r>
            <w:proofErr w:type="spellStart"/>
            <w:r w:rsidRPr="00FA3F9C">
              <w:rPr>
                <w:rFonts w:ascii="Arial" w:hAnsi="Arial" w:cs="Arial"/>
                <w:sz w:val="24"/>
                <w:szCs w:val="24"/>
              </w:rPr>
              <w:t>vedotin</w:t>
            </w:r>
            <w:proofErr w:type="spellEnd"/>
            <w:r w:rsidRPr="00FA3F9C">
              <w:rPr>
                <w:rFonts w:ascii="Arial" w:hAnsi="Arial" w:cs="Arial"/>
                <w:sz w:val="24"/>
                <w:szCs w:val="24"/>
              </w:rPr>
              <w:t xml:space="preserve"> in patients with relapsed or refractory Hodgkin lymphoma. Blood. 2016 Sep 22;128(12):1562-6. PMID 274328752.</w:t>
            </w:r>
            <w:r w:rsidRPr="00FA3F9C">
              <w:rPr>
                <w:rFonts w:ascii="Arial" w:hAnsi="Arial" w:cs="Arial"/>
                <w:sz w:val="24"/>
                <w:szCs w:val="24"/>
              </w:rPr>
              <w:tab/>
            </w:r>
          </w:p>
          <w:p w14:paraId="4C8A7923" w14:textId="77777777" w:rsidR="001506C1" w:rsidRPr="00FA3F9C" w:rsidRDefault="001506C1" w:rsidP="00804A4D">
            <w:pPr>
              <w:ind w:left="270" w:hanging="180"/>
              <w:rPr>
                <w:rFonts w:ascii="Arial" w:hAnsi="Arial" w:cs="Arial"/>
                <w:sz w:val="24"/>
                <w:szCs w:val="24"/>
              </w:rPr>
            </w:pPr>
            <w:r w:rsidRPr="00FA3F9C">
              <w:rPr>
                <w:rFonts w:ascii="Arial" w:hAnsi="Arial" w:cs="Arial"/>
                <w:sz w:val="24"/>
                <w:szCs w:val="24"/>
              </w:rPr>
              <w:t>2.</w:t>
            </w:r>
            <w:r w:rsidRPr="00FA3F9C">
              <w:rPr>
                <w:rFonts w:ascii="Arial" w:hAnsi="Arial" w:cs="Arial"/>
                <w:sz w:val="24"/>
                <w:szCs w:val="24"/>
              </w:rPr>
              <w:tab/>
            </w:r>
            <w:proofErr w:type="spellStart"/>
            <w:r w:rsidRPr="00FA3F9C">
              <w:rPr>
                <w:rFonts w:ascii="Arial" w:hAnsi="Arial" w:cs="Arial"/>
                <w:sz w:val="24"/>
                <w:szCs w:val="24"/>
              </w:rPr>
              <w:t>Tsirigotis</w:t>
            </w:r>
            <w:proofErr w:type="spellEnd"/>
            <w:r w:rsidRPr="00FA3F9C">
              <w:rPr>
                <w:rFonts w:ascii="Arial" w:hAnsi="Arial" w:cs="Arial"/>
                <w:sz w:val="24"/>
                <w:szCs w:val="24"/>
              </w:rPr>
              <w:t xml:space="preserve"> P et al. Positive impact of brentuximab </w:t>
            </w:r>
            <w:proofErr w:type="spellStart"/>
            <w:r w:rsidRPr="00FA3F9C">
              <w:rPr>
                <w:rFonts w:ascii="Arial" w:hAnsi="Arial" w:cs="Arial"/>
                <w:sz w:val="24"/>
                <w:szCs w:val="24"/>
              </w:rPr>
              <w:t>vedotin</w:t>
            </w:r>
            <w:proofErr w:type="spellEnd"/>
            <w:r w:rsidRPr="00FA3F9C">
              <w:rPr>
                <w:rFonts w:ascii="Arial" w:hAnsi="Arial" w:cs="Arial"/>
                <w:sz w:val="24"/>
                <w:szCs w:val="24"/>
              </w:rPr>
              <w:t xml:space="preserve"> on overall survival of patients with classical Hodgkin lymphoma who relapse or progress after autologous stem cell transplantation: A nationwide analysis. </w:t>
            </w:r>
            <w:proofErr w:type="spellStart"/>
            <w:r w:rsidRPr="00FA3F9C">
              <w:rPr>
                <w:rFonts w:ascii="Arial" w:hAnsi="Arial" w:cs="Arial"/>
                <w:sz w:val="24"/>
                <w:szCs w:val="24"/>
              </w:rPr>
              <w:t>Hematol</w:t>
            </w:r>
            <w:proofErr w:type="spellEnd"/>
            <w:r w:rsidRPr="00FA3F9C">
              <w:rPr>
                <w:rFonts w:ascii="Arial" w:hAnsi="Arial" w:cs="Arial"/>
                <w:sz w:val="24"/>
                <w:szCs w:val="24"/>
              </w:rPr>
              <w:t xml:space="preserve"> Oncol. 2018 Oct;36(4):645-650. </w:t>
            </w:r>
            <w:proofErr w:type="spellStart"/>
            <w:r w:rsidRPr="00FA3F9C">
              <w:rPr>
                <w:rFonts w:ascii="Arial" w:hAnsi="Arial" w:cs="Arial"/>
                <w:sz w:val="24"/>
                <w:szCs w:val="24"/>
              </w:rPr>
              <w:t>doi</w:t>
            </w:r>
            <w:proofErr w:type="spellEnd"/>
            <w:r w:rsidRPr="00FA3F9C">
              <w:rPr>
                <w:rFonts w:ascii="Arial" w:hAnsi="Arial" w:cs="Arial"/>
                <w:sz w:val="24"/>
                <w:szCs w:val="24"/>
              </w:rPr>
              <w:t xml:space="preserve">: 10.1002/hon.2521. PMID 298823634. </w:t>
            </w:r>
          </w:p>
          <w:p w14:paraId="77562408" w14:textId="77777777" w:rsidR="001506C1" w:rsidRPr="00FA3F9C" w:rsidRDefault="001506C1" w:rsidP="00804A4D">
            <w:pPr>
              <w:ind w:left="270" w:hanging="180"/>
              <w:rPr>
                <w:rFonts w:ascii="Arial" w:hAnsi="Arial" w:cs="Arial"/>
                <w:sz w:val="24"/>
                <w:szCs w:val="24"/>
              </w:rPr>
            </w:pPr>
            <w:r w:rsidRPr="00FA3F9C">
              <w:rPr>
                <w:rFonts w:ascii="Arial" w:hAnsi="Arial" w:cs="Arial"/>
                <w:sz w:val="24"/>
                <w:szCs w:val="24"/>
              </w:rPr>
              <w:t xml:space="preserve">3. NCCN guidelines for Hodgkin Lymphoma: </w:t>
            </w:r>
            <w:hyperlink r:id="rId60" w:history="1">
              <w:r w:rsidRPr="00FA3F9C">
                <w:rPr>
                  <w:rStyle w:val="Hyperlink"/>
                  <w:rFonts w:ascii="Arial" w:hAnsi="Arial" w:cs="Arial"/>
                  <w:sz w:val="24"/>
                  <w:szCs w:val="24"/>
                </w:rPr>
                <w:t>https://www.nccn.org/professionals/physician_gls/pdf/hodgkins.pdf</w:t>
              </w:r>
            </w:hyperlink>
            <w:r w:rsidRPr="00FA3F9C">
              <w:rPr>
                <w:rFonts w:ascii="Arial" w:hAnsi="Arial" w:cs="Arial"/>
                <w:sz w:val="24"/>
                <w:szCs w:val="24"/>
              </w:rPr>
              <w:t xml:space="preserve"> </w:t>
            </w:r>
          </w:p>
        </w:tc>
      </w:tr>
    </w:tbl>
    <w:p w14:paraId="2DDD1EB7" w14:textId="77777777" w:rsidR="001506C1" w:rsidRPr="00FA3F9C" w:rsidRDefault="001506C1" w:rsidP="00443BA9">
      <w:pPr>
        <w:rPr>
          <w:rFonts w:ascii="Arial" w:hAnsi="Arial" w:cs="Arial"/>
          <w:b/>
          <w:sz w:val="24"/>
          <w:szCs w:val="24"/>
          <w:u w:val="single"/>
        </w:rPr>
      </w:pPr>
    </w:p>
    <w:p w14:paraId="16F02BF3" w14:textId="77777777" w:rsidR="001506C1" w:rsidRPr="00FA3F9C" w:rsidRDefault="001506C1" w:rsidP="00443BA9">
      <w:pPr>
        <w:rPr>
          <w:rFonts w:ascii="Arial" w:hAnsi="Arial" w:cs="Arial"/>
          <w:b/>
          <w:sz w:val="24"/>
          <w:szCs w:val="24"/>
          <w:u w:val="single"/>
        </w:rPr>
      </w:pPr>
    </w:p>
    <w:p w14:paraId="16D2B81C" w14:textId="77777777" w:rsidR="001506C1" w:rsidRPr="00FA3F9C" w:rsidRDefault="001506C1" w:rsidP="00443BA9">
      <w:pPr>
        <w:rPr>
          <w:rFonts w:ascii="Arial" w:hAnsi="Arial" w:cs="Arial"/>
          <w:b/>
          <w:sz w:val="24"/>
          <w:szCs w:val="24"/>
          <w:u w:val="single"/>
        </w:rPr>
      </w:pPr>
    </w:p>
    <w:p w14:paraId="2CEDD1CE" w14:textId="77777777" w:rsidR="001506C1" w:rsidRPr="00FA3F9C" w:rsidRDefault="001506C1" w:rsidP="00443BA9">
      <w:pPr>
        <w:rPr>
          <w:rFonts w:ascii="Arial" w:hAnsi="Arial" w:cs="Arial"/>
          <w:b/>
          <w:sz w:val="24"/>
          <w:szCs w:val="24"/>
          <w:u w:val="single"/>
        </w:rPr>
      </w:pPr>
    </w:p>
    <w:p w14:paraId="3A969830" w14:textId="77777777" w:rsidR="001506C1" w:rsidRPr="00FA3F9C" w:rsidRDefault="001506C1" w:rsidP="00443BA9">
      <w:pPr>
        <w:rPr>
          <w:rFonts w:ascii="Arial" w:hAnsi="Arial" w:cs="Arial"/>
          <w:b/>
          <w:sz w:val="24"/>
          <w:szCs w:val="24"/>
          <w:u w:val="single"/>
        </w:rPr>
      </w:pPr>
    </w:p>
    <w:p w14:paraId="3E5946CC" w14:textId="77777777" w:rsidR="001506C1" w:rsidRPr="00FA3F9C" w:rsidRDefault="001506C1" w:rsidP="00443BA9">
      <w:pPr>
        <w:rPr>
          <w:rFonts w:ascii="Arial" w:hAnsi="Arial" w:cs="Arial"/>
          <w:b/>
          <w:sz w:val="24"/>
          <w:szCs w:val="24"/>
          <w:u w:val="single"/>
        </w:rPr>
      </w:pPr>
    </w:p>
    <w:p w14:paraId="01FDE664" w14:textId="77777777" w:rsidR="001506C1" w:rsidRPr="00FA3F9C" w:rsidRDefault="001506C1" w:rsidP="00443BA9">
      <w:pPr>
        <w:rPr>
          <w:rFonts w:ascii="Arial" w:hAnsi="Arial" w:cs="Arial"/>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8"/>
        <w:gridCol w:w="2088"/>
      </w:tblGrid>
      <w:tr w:rsidR="001506C1" w:rsidRPr="00FA3F9C" w14:paraId="5D2D6DFF" w14:textId="77777777" w:rsidTr="00CC603E">
        <w:tc>
          <w:tcPr>
            <w:tcW w:w="8928" w:type="dxa"/>
            <w:shd w:val="clear" w:color="auto" w:fill="000000"/>
          </w:tcPr>
          <w:p w14:paraId="047C3B7C" w14:textId="77777777" w:rsidR="001506C1" w:rsidRPr="00FA3F9C" w:rsidRDefault="001506C1" w:rsidP="00174DB2">
            <w:pPr>
              <w:rPr>
                <w:rFonts w:ascii="Arial" w:hAnsi="Arial" w:cs="Arial"/>
                <w:b/>
                <w:sz w:val="24"/>
                <w:szCs w:val="24"/>
                <w:u w:val="single"/>
              </w:rPr>
            </w:pPr>
            <w:r w:rsidRPr="00FA3F9C">
              <w:rPr>
                <w:rFonts w:ascii="Arial" w:hAnsi="Arial" w:cs="Arial"/>
                <w:b/>
                <w:sz w:val="24"/>
                <w:szCs w:val="24"/>
                <w:u w:val="single"/>
              </w:rPr>
              <w:t>Classical Hodgkin Lymphoma (post-transplant consolidation therapy)</w:t>
            </w:r>
          </w:p>
        </w:tc>
        <w:tc>
          <w:tcPr>
            <w:tcW w:w="2088" w:type="dxa"/>
            <w:shd w:val="clear" w:color="auto" w:fill="000000"/>
          </w:tcPr>
          <w:p w14:paraId="2D02BD85" w14:textId="77777777" w:rsidR="001506C1" w:rsidRPr="00FA3F9C" w:rsidRDefault="001506C1" w:rsidP="00CC603E">
            <w:pPr>
              <w:jc w:val="center"/>
              <w:rPr>
                <w:rFonts w:ascii="Arial" w:hAnsi="Arial" w:cs="Arial"/>
                <w:b/>
                <w:sz w:val="24"/>
                <w:szCs w:val="24"/>
                <w:u w:val="single"/>
              </w:rPr>
            </w:pPr>
          </w:p>
        </w:tc>
      </w:tr>
      <w:tr w:rsidR="001506C1" w:rsidRPr="00FA3F9C" w14:paraId="1A8F1CA9" w14:textId="77777777" w:rsidTr="00CC603E">
        <w:tc>
          <w:tcPr>
            <w:tcW w:w="11016" w:type="dxa"/>
            <w:gridSpan w:val="2"/>
            <w:shd w:val="clear" w:color="auto" w:fill="auto"/>
          </w:tcPr>
          <w:p w14:paraId="32E1C6A9" w14:textId="77777777" w:rsidR="001506C1" w:rsidRPr="00FA3F9C" w:rsidRDefault="001506C1" w:rsidP="001506C1">
            <w:pPr>
              <w:numPr>
                <w:ilvl w:val="0"/>
                <w:numId w:val="65"/>
              </w:numPr>
              <w:spacing w:after="0" w:line="240" w:lineRule="auto"/>
              <w:ind w:left="180" w:hanging="180"/>
              <w:rPr>
                <w:rFonts w:ascii="Arial" w:hAnsi="Arial" w:cs="Arial"/>
                <w:sz w:val="24"/>
                <w:szCs w:val="24"/>
              </w:rPr>
            </w:pPr>
            <w:r w:rsidRPr="00FA3F9C">
              <w:rPr>
                <w:rFonts w:ascii="Arial" w:hAnsi="Arial" w:cs="Arial"/>
                <w:sz w:val="24"/>
                <w:szCs w:val="24"/>
              </w:rPr>
              <w:t>Diagnosis of classical Hodgkin lymphoma</w:t>
            </w:r>
          </w:p>
        </w:tc>
      </w:tr>
      <w:tr w:rsidR="001506C1" w:rsidRPr="00FA3F9C" w14:paraId="044A16E9" w14:textId="77777777" w:rsidTr="00CC603E">
        <w:tc>
          <w:tcPr>
            <w:tcW w:w="11016" w:type="dxa"/>
            <w:gridSpan w:val="2"/>
            <w:shd w:val="clear" w:color="auto" w:fill="auto"/>
          </w:tcPr>
          <w:p w14:paraId="7F4B3C02" w14:textId="77777777" w:rsidR="001506C1" w:rsidRPr="00FA3F9C" w:rsidRDefault="001506C1" w:rsidP="001506C1">
            <w:pPr>
              <w:numPr>
                <w:ilvl w:val="0"/>
                <w:numId w:val="65"/>
              </w:numPr>
              <w:spacing w:after="0" w:line="240" w:lineRule="auto"/>
              <w:ind w:left="180" w:hanging="180"/>
              <w:rPr>
                <w:rFonts w:ascii="Arial" w:hAnsi="Arial" w:cs="Arial"/>
                <w:sz w:val="24"/>
                <w:szCs w:val="24"/>
              </w:rPr>
            </w:pPr>
            <w:r w:rsidRPr="00FA3F9C">
              <w:rPr>
                <w:rFonts w:ascii="Arial" w:hAnsi="Arial" w:cs="Arial"/>
                <w:sz w:val="24"/>
                <w:szCs w:val="24"/>
              </w:rPr>
              <w:t>Patient has undergone autologous stem cell transplant within the past 1-2 months and has no known progression of disease</w:t>
            </w:r>
          </w:p>
        </w:tc>
      </w:tr>
      <w:tr w:rsidR="001506C1" w:rsidRPr="00FA3F9C" w14:paraId="7D3EC2DD" w14:textId="77777777" w:rsidTr="00CC603E">
        <w:tc>
          <w:tcPr>
            <w:tcW w:w="11016" w:type="dxa"/>
            <w:gridSpan w:val="2"/>
            <w:shd w:val="clear" w:color="auto" w:fill="auto"/>
          </w:tcPr>
          <w:p w14:paraId="295D97A0" w14:textId="77777777" w:rsidR="001506C1" w:rsidRPr="00FA3F9C" w:rsidRDefault="001506C1" w:rsidP="001506C1">
            <w:pPr>
              <w:numPr>
                <w:ilvl w:val="0"/>
                <w:numId w:val="65"/>
              </w:numPr>
              <w:spacing w:after="0" w:line="240" w:lineRule="auto"/>
              <w:ind w:left="180" w:hanging="180"/>
              <w:rPr>
                <w:rFonts w:ascii="Arial" w:hAnsi="Arial" w:cs="Arial"/>
                <w:sz w:val="24"/>
                <w:szCs w:val="24"/>
              </w:rPr>
            </w:pPr>
            <w:r w:rsidRPr="00FA3F9C">
              <w:rPr>
                <w:rFonts w:ascii="Arial" w:hAnsi="Arial" w:cs="Arial"/>
                <w:sz w:val="24"/>
                <w:szCs w:val="24"/>
              </w:rPr>
              <w:t xml:space="preserve">Presence of </w:t>
            </w:r>
            <w:r w:rsidRPr="00FA3F9C">
              <w:rPr>
                <w:rFonts w:ascii="Arial" w:hAnsi="Arial" w:cs="Arial"/>
                <w:i/>
                <w:sz w:val="24"/>
                <w:szCs w:val="24"/>
                <w:u w:val="single"/>
              </w:rPr>
              <w:t>one</w:t>
            </w:r>
            <w:r w:rsidRPr="00FA3F9C">
              <w:rPr>
                <w:rFonts w:ascii="Arial" w:hAnsi="Arial" w:cs="Arial"/>
                <w:sz w:val="24"/>
                <w:szCs w:val="24"/>
              </w:rPr>
              <w:t xml:space="preserve"> of the following </w:t>
            </w:r>
            <w:proofErr w:type="gramStart"/>
            <w:r w:rsidRPr="00FA3F9C">
              <w:rPr>
                <w:rFonts w:ascii="Arial" w:hAnsi="Arial" w:cs="Arial"/>
                <w:sz w:val="24"/>
                <w:szCs w:val="24"/>
              </w:rPr>
              <w:t>high risk</w:t>
            </w:r>
            <w:proofErr w:type="gramEnd"/>
            <w:r w:rsidRPr="00FA3F9C">
              <w:rPr>
                <w:rFonts w:ascii="Arial" w:hAnsi="Arial" w:cs="Arial"/>
                <w:sz w:val="24"/>
                <w:szCs w:val="24"/>
              </w:rPr>
              <w:t xml:space="preserve"> factors: </w:t>
            </w:r>
          </w:p>
          <w:p w14:paraId="068EAAB2" w14:textId="77777777" w:rsidR="001506C1" w:rsidRPr="00FA3F9C" w:rsidRDefault="001506C1" w:rsidP="001506C1">
            <w:pPr>
              <w:numPr>
                <w:ilvl w:val="0"/>
                <w:numId w:val="62"/>
              </w:numPr>
              <w:spacing w:after="0" w:line="240" w:lineRule="auto"/>
              <w:rPr>
                <w:rFonts w:ascii="Arial" w:hAnsi="Arial" w:cs="Arial"/>
                <w:sz w:val="24"/>
                <w:szCs w:val="24"/>
              </w:rPr>
            </w:pPr>
            <w:r w:rsidRPr="00FA3F9C">
              <w:rPr>
                <w:rFonts w:ascii="Arial" w:hAnsi="Arial" w:cs="Arial"/>
                <w:sz w:val="24"/>
                <w:szCs w:val="24"/>
              </w:rPr>
              <w:t>Primary refractory Hodgkin lymphoma (</w:t>
            </w:r>
            <w:proofErr w:type="gramStart"/>
            <w:r w:rsidRPr="00FA3F9C">
              <w:rPr>
                <w:rFonts w:ascii="Arial" w:hAnsi="Arial" w:cs="Arial"/>
                <w:sz w:val="24"/>
                <w:szCs w:val="24"/>
              </w:rPr>
              <w:t>i.e.</w:t>
            </w:r>
            <w:proofErr w:type="gramEnd"/>
            <w:r w:rsidRPr="00FA3F9C">
              <w:rPr>
                <w:rFonts w:ascii="Arial" w:hAnsi="Arial" w:cs="Arial"/>
                <w:sz w:val="24"/>
                <w:szCs w:val="24"/>
              </w:rPr>
              <w:t xml:space="preserve"> failure to achieve complete remission after first line therapy OR progression of disease </w:t>
            </w:r>
            <w:r w:rsidRPr="00FA3F9C">
              <w:rPr>
                <w:rFonts w:ascii="Arial" w:hAnsi="Arial" w:cs="Arial"/>
                <w:b/>
                <w:sz w:val="24"/>
                <w:szCs w:val="24"/>
              </w:rPr>
              <w:t>during</w:t>
            </w:r>
            <w:r w:rsidRPr="00FA3F9C">
              <w:rPr>
                <w:rFonts w:ascii="Arial" w:hAnsi="Arial" w:cs="Arial"/>
                <w:sz w:val="24"/>
                <w:szCs w:val="24"/>
              </w:rPr>
              <w:t xml:space="preserve"> first line therapy)</w:t>
            </w:r>
          </w:p>
          <w:p w14:paraId="2A3732C7" w14:textId="77777777" w:rsidR="001506C1" w:rsidRPr="00FA3F9C" w:rsidRDefault="001506C1" w:rsidP="001506C1">
            <w:pPr>
              <w:numPr>
                <w:ilvl w:val="0"/>
                <w:numId w:val="62"/>
              </w:numPr>
              <w:spacing w:after="0" w:line="240" w:lineRule="auto"/>
              <w:rPr>
                <w:rFonts w:ascii="Arial" w:hAnsi="Arial" w:cs="Arial"/>
                <w:sz w:val="24"/>
                <w:szCs w:val="24"/>
              </w:rPr>
            </w:pPr>
            <w:r w:rsidRPr="00FA3F9C">
              <w:rPr>
                <w:rFonts w:ascii="Arial" w:hAnsi="Arial" w:cs="Arial"/>
                <w:sz w:val="24"/>
                <w:szCs w:val="24"/>
              </w:rPr>
              <w:t>Relapse or progression of disease within 12 months of initial remission</w:t>
            </w:r>
          </w:p>
          <w:p w14:paraId="22A3B40B" w14:textId="77777777" w:rsidR="001506C1" w:rsidRPr="00FA3F9C" w:rsidRDefault="001506C1" w:rsidP="001506C1">
            <w:pPr>
              <w:numPr>
                <w:ilvl w:val="0"/>
                <w:numId w:val="62"/>
              </w:numPr>
              <w:spacing w:after="0" w:line="240" w:lineRule="auto"/>
              <w:rPr>
                <w:rFonts w:ascii="Arial" w:hAnsi="Arial" w:cs="Arial"/>
                <w:sz w:val="24"/>
                <w:szCs w:val="24"/>
              </w:rPr>
            </w:pPr>
            <w:proofErr w:type="spellStart"/>
            <w:r w:rsidRPr="00FA3F9C">
              <w:rPr>
                <w:rFonts w:ascii="Arial" w:hAnsi="Arial" w:cs="Arial"/>
                <w:sz w:val="24"/>
                <w:szCs w:val="24"/>
              </w:rPr>
              <w:t>Extranodal</w:t>
            </w:r>
            <w:proofErr w:type="spellEnd"/>
            <w:r w:rsidRPr="00FA3F9C">
              <w:rPr>
                <w:rFonts w:ascii="Arial" w:hAnsi="Arial" w:cs="Arial"/>
                <w:sz w:val="24"/>
                <w:szCs w:val="24"/>
              </w:rPr>
              <w:t xml:space="preserve"> involvement (</w:t>
            </w:r>
            <w:proofErr w:type="gramStart"/>
            <w:r w:rsidRPr="00FA3F9C">
              <w:rPr>
                <w:rFonts w:ascii="Arial" w:hAnsi="Arial" w:cs="Arial"/>
                <w:sz w:val="24"/>
                <w:szCs w:val="24"/>
              </w:rPr>
              <w:t>e.g.</w:t>
            </w:r>
            <w:proofErr w:type="gramEnd"/>
            <w:r w:rsidRPr="00FA3F9C">
              <w:rPr>
                <w:rFonts w:ascii="Arial" w:hAnsi="Arial" w:cs="Arial"/>
                <w:sz w:val="24"/>
                <w:szCs w:val="24"/>
              </w:rPr>
              <w:t xml:space="preserve"> liver, bone, lung, </w:t>
            </w:r>
            <w:proofErr w:type="spellStart"/>
            <w:r w:rsidRPr="00FA3F9C">
              <w:rPr>
                <w:rFonts w:ascii="Arial" w:hAnsi="Arial" w:cs="Arial"/>
                <w:sz w:val="24"/>
                <w:szCs w:val="24"/>
              </w:rPr>
              <w:t>etc</w:t>
            </w:r>
            <w:proofErr w:type="spellEnd"/>
            <w:r w:rsidRPr="00FA3F9C">
              <w:rPr>
                <w:rFonts w:ascii="Arial" w:hAnsi="Arial" w:cs="Arial"/>
                <w:sz w:val="24"/>
                <w:szCs w:val="24"/>
              </w:rPr>
              <w:t xml:space="preserve">) </w:t>
            </w:r>
          </w:p>
        </w:tc>
      </w:tr>
      <w:tr w:rsidR="001506C1" w:rsidRPr="00FA3F9C" w14:paraId="3C0E6E28" w14:textId="77777777" w:rsidTr="00CC603E">
        <w:tc>
          <w:tcPr>
            <w:tcW w:w="11016" w:type="dxa"/>
            <w:gridSpan w:val="2"/>
            <w:shd w:val="clear" w:color="auto" w:fill="auto"/>
          </w:tcPr>
          <w:p w14:paraId="6BC69351" w14:textId="77777777" w:rsidR="001506C1" w:rsidRPr="00FA3F9C" w:rsidRDefault="001506C1" w:rsidP="002F55E1">
            <w:pPr>
              <w:rPr>
                <w:rFonts w:ascii="Arial" w:hAnsi="Arial" w:cs="Arial"/>
                <w:sz w:val="24"/>
                <w:szCs w:val="24"/>
              </w:rPr>
            </w:pPr>
            <w:r w:rsidRPr="00FA3F9C">
              <w:rPr>
                <w:rFonts w:ascii="Arial" w:hAnsi="Arial" w:cs="Arial"/>
                <w:sz w:val="24"/>
                <w:szCs w:val="24"/>
              </w:rPr>
              <w:t>4. No prior brentuximab</w:t>
            </w:r>
          </w:p>
        </w:tc>
      </w:tr>
      <w:tr w:rsidR="001506C1" w:rsidRPr="00FA3F9C" w14:paraId="1C34F3B5" w14:textId="77777777" w:rsidTr="00CC603E">
        <w:tc>
          <w:tcPr>
            <w:tcW w:w="11016" w:type="dxa"/>
            <w:gridSpan w:val="2"/>
            <w:shd w:val="clear" w:color="auto" w:fill="auto"/>
          </w:tcPr>
          <w:p w14:paraId="10A4C562" w14:textId="77777777" w:rsidR="001506C1" w:rsidRPr="00FA3F9C" w:rsidRDefault="001506C1" w:rsidP="001506C1">
            <w:pPr>
              <w:numPr>
                <w:ilvl w:val="0"/>
                <w:numId w:val="64"/>
              </w:numPr>
              <w:spacing w:after="0" w:line="240" w:lineRule="auto"/>
              <w:ind w:left="180" w:hanging="180"/>
              <w:rPr>
                <w:rFonts w:ascii="Arial" w:hAnsi="Arial" w:cs="Arial"/>
                <w:sz w:val="24"/>
                <w:szCs w:val="24"/>
              </w:rPr>
            </w:pPr>
            <w:r w:rsidRPr="00FA3F9C">
              <w:rPr>
                <w:rFonts w:ascii="Arial" w:hAnsi="Arial" w:cs="Arial"/>
                <w:sz w:val="24"/>
                <w:szCs w:val="24"/>
              </w:rPr>
              <w:t>Brentuximab will be given as single agent</w:t>
            </w:r>
          </w:p>
        </w:tc>
      </w:tr>
      <w:tr w:rsidR="001506C1" w:rsidRPr="00FA3F9C" w14:paraId="6B26E31F" w14:textId="77777777" w:rsidTr="00804A4D">
        <w:tc>
          <w:tcPr>
            <w:tcW w:w="11016" w:type="dxa"/>
            <w:gridSpan w:val="2"/>
            <w:shd w:val="clear" w:color="auto" w:fill="F2F2F2"/>
          </w:tcPr>
          <w:p w14:paraId="36761596" w14:textId="77777777" w:rsidR="001506C1" w:rsidRPr="00FA3F9C" w:rsidRDefault="001506C1" w:rsidP="00CC603E">
            <w:pPr>
              <w:rPr>
                <w:rFonts w:ascii="Arial" w:hAnsi="Arial" w:cs="Arial"/>
                <w:sz w:val="24"/>
                <w:szCs w:val="24"/>
              </w:rPr>
            </w:pPr>
            <w:r w:rsidRPr="00FA3F9C">
              <w:rPr>
                <w:rFonts w:ascii="Arial" w:hAnsi="Arial" w:cs="Arial"/>
                <w:sz w:val="24"/>
                <w:szCs w:val="24"/>
              </w:rPr>
              <w:t xml:space="preserve">If </w:t>
            </w:r>
            <w:proofErr w:type="gramStart"/>
            <w:r w:rsidRPr="00FA3F9C">
              <w:rPr>
                <w:rFonts w:ascii="Arial" w:hAnsi="Arial" w:cs="Arial"/>
                <w:sz w:val="24"/>
                <w:szCs w:val="24"/>
              </w:rPr>
              <w:t>all of</w:t>
            </w:r>
            <w:proofErr w:type="gramEnd"/>
            <w:r w:rsidRPr="00FA3F9C">
              <w:rPr>
                <w:rFonts w:ascii="Arial" w:hAnsi="Arial" w:cs="Arial"/>
                <w:sz w:val="24"/>
                <w:szCs w:val="24"/>
              </w:rPr>
              <w:t xml:space="preserve"> above criteria are met, approve x 1 year. Maximum duration of therapy for post-transplant consolidation is 16 doses or ~1 year.</w:t>
            </w:r>
          </w:p>
        </w:tc>
      </w:tr>
      <w:tr w:rsidR="001506C1" w:rsidRPr="00FA3F9C" w14:paraId="3891C751" w14:textId="77777777" w:rsidTr="00804A4D">
        <w:tc>
          <w:tcPr>
            <w:tcW w:w="11016" w:type="dxa"/>
            <w:gridSpan w:val="2"/>
            <w:shd w:val="clear" w:color="auto" w:fill="F2F2F2"/>
          </w:tcPr>
          <w:p w14:paraId="4DE40EFA" w14:textId="77777777" w:rsidR="001506C1" w:rsidRPr="00FA3F9C" w:rsidRDefault="001506C1" w:rsidP="009753F6">
            <w:pPr>
              <w:rPr>
                <w:rFonts w:ascii="Arial" w:hAnsi="Arial" w:cs="Arial"/>
                <w:sz w:val="24"/>
                <w:szCs w:val="24"/>
              </w:rPr>
            </w:pPr>
            <w:r w:rsidRPr="00FA3F9C">
              <w:rPr>
                <w:rFonts w:ascii="Arial" w:hAnsi="Arial" w:cs="Arial"/>
                <w:sz w:val="24"/>
                <w:szCs w:val="24"/>
              </w:rPr>
              <w:t xml:space="preserve">Note: </w:t>
            </w:r>
          </w:p>
          <w:p w14:paraId="411F6A42" w14:textId="77777777" w:rsidR="001506C1" w:rsidRPr="00FA3F9C" w:rsidRDefault="001506C1" w:rsidP="009753F6">
            <w:pPr>
              <w:rPr>
                <w:rFonts w:ascii="Arial" w:hAnsi="Arial" w:cs="Arial"/>
                <w:sz w:val="24"/>
                <w:szCs w:val="24"/>
              </w:rPr>
            </w:pPr>
            <w:r w:rsidRPr="00FA3F9C">
              <w:rPr>
                <w:rFonts w:ascii="Arial" w:hAnsi="Arial" w:cs="Arial"/>
                <w:sz w:val="24"/>
                <w:szCs w:val="24"/>
              </w:rPr>
              <w:t xml:space="preserve">-Classical Hodgkin Lymphoma includes the following subtypes: nodular sclerosis, mixed cellularity, lymphocyte-predominant, and lymphocyte-rich, which are all treated similarly.  </w:t>
            </w:r>
          </w:p>
          <w:p w14:paraId="6D3C2CDB" w14:textId="77777777" w:rsidR="001506C1" w:rsidRPr="00FA3F9C" w:rsidRDefault="001506C1" w:rsidP="009753F6">
            <w:pPr>
              <w:rPr>
                <w:rFonts w:ascii="Arial" w:hAnsi="Arial" w:cs="Arial"/>
                <w:sz w:val="24"/>
                <w:szCs w:val="24"/>
              </w:rPr>
            </w:pPr>
            <w:r w:rsidRPr="00FA3F9C">
              <w:rPr>
                <w:rFonts w:ascii="Arial" w:hAnsi="Arial" w:cs="Arial"/>
                <w:sz w:val="24"/>
                <w:szCs w:val="24"/>
              </w:rPr>
              <w:t>- Nodular lymphocyte-predominant Hodgkin lymphoma is NOT a type of classical Hodgkin lymphoma and is not covered under this indication</w:t>
            </w:r>
          </w:p>
        </w:tc>
      </w:tr>
      <w:tr w:rsidR="001506C1" w:rsidRPr="00FA3F9C" w14:paraId="0024AEC5" w14:textId="77777777" w:rsidTr="00804A4D">
        <w:tc>
          <w:tcPr>
            <w:tcW w:w="11016" w:type="dxa"/>
            <w:gridSpan w:val="2"/>
            <w:shd w:val="clear" w:color="auto" w:fill="D9D9D9"/>
          </w:tcPr>
          <w:p w14:paraId="4B984EB5" w14:textId="77777777" w:rsidR="001506C1" w:rsidRPr="00FA3F9C" w:rsidRDefault="001506C1" w:rsidP="00CC603E">
            <w:pPr>
              <w:rPr>
                <w:rFonts w:ascii="Arial" w:hAnsi="Arial" w:cs="Arial"/>
                <w:sz w:val="24"/>
                <w:szCs w:val="24"/>
              </w:rPr>
            </w:pPr>
            <w:r w:rsidRPr="00FA3F9C">
              <w:rPr>
                <w:rFonts w:ascii="Arial" w:hAnsi="Arial" w:cs="Arial"/>
                <w:sz w:val="24"/>
                <w:szCs w:val="24"/>
              </w:rPr>
              <w:lastRenderedPageBreak/>
              <w:t>Evidence:</w:t>
            </w:r>
          </w:p>
          <w:p w14:paraId="2D105F41" w14:textId="77777777" w:rsidR="001506C1" w:rsidRPr="00FA3F9C" w:rsidRDefault="001506C1" w:rsidP="001506C1">
            <w:pPr>
              <w:numPr>
                <w:ilvl w:val="0"/>
                <w:numId w:val="66"/>
              </w:numPr>
              <w:spacing w:after="0" w:line="240" w:lineRule="auto"/>
              <w:ind w:left="360" w:hanging="270"/>
              <w:rPr>
                <w:rFonts w:ascii="Arial" w:hAnsi="Arial" w:cs="Arial"/>
                <w:sz w:val="24"/>
                <w:szCs w:val="24"/>
              </w:rPr>
            </w:pPr>
            <w:r w:rsidRPr="00FA3F9C">
              <w:rPr>
                <w:rFonts w:ascii="Arial" w:hAnsi="Arial" w:cs="Arial"/>
                <w:sz w:val="24"/>
                <w:szCs w:val="24"/>
              </w:rPr>
              <w:t xml:space="preserve">The AETHERA trial randomized patients meeting above criteria to brentuximab or placebo. The primary endpoint of progression free survival (PFS) was improved in the brentuximab group (median 43 </w:t>
            </w:r>
            <w:proofErr w:type="spellStart"/>
            <w:r w:rsidRPr="00FA3F9C">
              <w:rPr>
                <w:rFonts w:ascii="Arial" w:hAnsi="Arial" w:cs="Arial"/>
                <w:sz w:val="24"/>
                <w:szCs w:val="24"/>
              </w:rPr>
              <w:t>mo</w:t>
            </w:r>
            <w:proofErr w:type="spellEnd"/>
            <w:r w:rsidRPr="00FA3F9C">
              <w:rPr>
                <w:rFonts w:ascii="Arial" w:hAnsi="Arial" w:cs="Arial"/>
                <w:sz w:val="24"/>
                <w:szCs w:val="24"/>
              </w:rPr>
              <w:t xml:space="preserve"> vs 24 </w:t>
            </w:r>
            <w:proofErr w:type="spellStart"/>
            <w:r w:rsidRPr="00FA3F9C">
              <w:rPr>
                <w:rFonts w:ascii="Arial" w:hAnsi="Arial" w:cs="Arial"/>
                <w:sz w:val="24"/>
                <w:szCs w:val="24"/>
              </w:rPr>
              <w:t>mo</w:t>
            </w:r>
            <w:proofErr w:type="spellEnd"/>
            <w:r w:rsidRPr="00FA3F9C">
              <w:rPr>
                <w:rFonts w:ascii="Arial" w:hAnsi="Arial" w:cs="Arial"/>
                <w:sz w:val="24"/>
                <w:szCs w:val="24"/>
              </w:rPr>
              <w:t>). There was no statistical improvement in overall survival though the 85% crossover rate may have confounded the result.</w:t>
            </w:r>
            <w:r w:rsidRPr="00FA3F9C">
              <w:rPr>
                <w:rFonts w:ascii="Arial" w:hAnsi="Arial" w:cs="Arial"/>
                <w:sz w:val="24"/>
                <w:szCs w:val="24"/>
                <w:vertAlign w:val="superscript"/>
              </w:rPr>
              <w:t>1,2,3</w:t>
            </w:r>
          </w:p>
          <w:p w14:paraId="682310DC" w14:textId="77777777" w:rsidR="001506C1" w:rsidRPr="00FA3F9C" w:rsidRDefault="001506C1" w:rsidP="001506C1">
            <w:pPr>
              <w:numPr>
                <w:ilvl w:val="0"/>
                <w:numId w:val="66"/>
              </w:numPr>
              <w:spacing w:after="0" w:line="240" w:lineRule="auto"/>
              <w:ind w:left="360" w:hanging="270"/>
              <w:rPr>
                <w:rFonts w:ascii="Arial" w:hAnsi="Arial" w:cs="Arial"/>
                <w:sz w:val="24"/>
                <w:szCs w:val="24"/>
              </w:rPr>
            </w:pPr>
            <w:r w:rsidRPr="00FA3F9C">
              <w:rPr>
                <w:rFonts w:ascii="Arial" w:hAnsi="Arial" w:cs="Arial"/>
                <w:sz w:val="24"/>
                <w:szCs w:val="24"/>
              </w:rPr>
              <w:t>Dose 1.8 mg/kg IV (max 180 mg) every 3 weeks x 16 doses total.</w:t>
            </w:r>
          </w:p>
          <w:p w14:paraId="244AB65E" w14:textId="77777777" w:rsidR="001506C1" w:rsidRPr="00FA3F9C" w:rsidRDefault="001506C1" w:rsidP="000357D8">
            <w:pPr>
              <w:rPr>
                <w:rFonts w:ascii="Arial" w:hAnsi="Arial" w:cs="Arial"/>
                <w:sz w:val="24"/>
                <w:szCs w:val="24"/>
              </w:rPr>
            </w:pPr>
          </w:p>
          <w:p w14:paraId="614303F2" w14:textId="77777777" w:rsidR="001506C1" w:rsidRPr="00FA3F9C" w:rsidRDefault="001506C1" w:rsidP="000357D8">
            <w:pPr>
              <w:rPr>
                <w:rFonts w:ascii="Arial" w:hAnsi="Arial" w:cs="Arial"/>
                <w:sz w:val="24"/>
                <w:szCs w:val="24"/>
              </w:rPr>
            </w:pPr>
            <w:r w:rsidRPr="00FA3F9C">
              <w:rPr>
                <w:rFonts w:ascii="Arial" w:hAnsi="Arial" w:cs="Arial"/>
                <w:sz w:val="24"/>
                <w:szCs w:val="24"/>
              </w:rPr>
              <w:t>References:</w:t>
            </w:r>
          </w:p>
          <w:p w14:paraId="62FB45E9" w14:textId="77777777" w:rsidR="001506C1" w:rsidRPr="00FA3F9C" w:rsidRDefault="001506C1" w:rsidP="000357D8">
            <w:pPr>
              <w:ind w:left="270" w:hanging="180"/>
              <w:rPr>
                <w:rFonts w:ascii="Arial" w:hAnsi="Arial" w:cs="Arial"/>
                <w:sz w:val="24"/>
                <w:szCs w:val="24"/>
              </w:rPr>
            </w:pPr>
            <w:r w:rsidRPr="00FA3F9C">
              <w:rPr>
                <w:rFonts w:ascii="Arial" w:hAnsi="Arial" w:cs="Arial"/>
                <w:sz w:val="24"/>
                <w:szCs w:val="24"/>
              </w:rPr>
              <w:t>1.</w:t>
            </w:r>
            <w:r w:rsidRPr="00FA3F9C">
              <w:rPr>
                <w:rFonts w:ascii="Arial" w:hAnsi="Arial" w:cs="Arial"/>
                <w:sz w:val="24"/>
                <w:szCs w:val="24"/>
              </w:rPr>
              <w:tab/>
              <w:t xml:space="preserve">Moskowitz CH et al. Brentuximab </w:t>
            </w:r>
            <w:proofErr w:type="spellStart"/>
            <w:r w:rsidRPr="00FA3F9C">
              <w:rPr>
                <w:rFonts w:ascii="Arial" w:hAnsi="Arial" w:cs="Arial"/>
                <w:sz w:val="24"/>
                <w:szCs w:val="24"/>
              </w:rPr>
              <w:t>vedotin</w:t>
            </w:r>
            <w:proofErr w:type="spellEnd"/>
            <w:r w:rsidRPr="00FA3F9C">
              <w:rPr>
                <w:rFonts w:ascii="Arial" w:hAnsi="Arial" w:cs="Arial"/>
                <w:sz w:val="24"/>
                <w:szCs w:val="24"/>
              </w:rPr>
              <w:t xml:space="preserve"> as consolidation therapy after autologous stem-cell transplantation in patients with Hodgkin's lymphoma at risk of relapse or progression (AETHERA): a </w:t>
            </w:r>
            <w:proofErr w:type="spellStart"/>
            <w:r w:rsidRPr="00FA3F9C">
              <w:rPr>
                <w:rFonts w:ascii="Arial" w:hAnsi="Arial" w:cs="Arial"/>
                <w:sz w:val="24"/>
                <w:szCs w:val="24"/>
              </w:rPr>
              <w:t>randomised</w:t>
            </w:r>
            <w:proofErr w:type="spellEnd"/>
            <w:r w:rsidRPr="00FA3F9C">
              <w:rPr>
                <w:rFonts w:ascii="Arial" w:hAnsi="Arial" w:cs="Arial"/>
                <w:sz w:val="24"/>
                <w:szCs w:val="24"/>
              </w:rPr>
              <w:t>, double-blind, placebo-controlled, phase 3 trial. Lancet. 2015 May 9;385(9980):1853-62. PMID 25796459 NCT01100502</w:t>
            </w:r>
          </w:p>
          <w:p w14:paraId="5CB5E42B" w14:textId="77777777" w:rsidR="001506C1" w:rsidRPr="00FA3F9C" w:rsidRDefault="001506C1" w:rsidP="000357D8">
            <w:pPr>
              <w:ind w:left="270" w:hanging="180"/>
              <w:rPr>
                <w:rFonts w:ascii="Arial" w:hAnsi="Arial" w:cs="Arial"/>
                <w:sz w:val="24"/>
                <w:szCs w:val="24"/>
              </w:rPr>
            </w:pPr>
            <w:r w:rsidRPr="00FA3F9C">
              <w:rPr>
                <w:rFonts w:ascii="Arial" w:hAnsi="Arial" w:cs="Arial"/>
                <w:sz w:val="24"/>
                <w:szCs w:val="24"/>
              </w:rPr>
              <w:t>2.</w:t>
            </w:r>
            <w:r w:rsidRPr="00FA3F9C">
              <w:rPr>
                <w:rFonts w:ascii="Arial" w:hAnsi="Arial" w:cs="Arial"/>
                <w:sz w:val="24"/>
                <w:szCs w:val="24"/>
              </w:rPr>
              <w:tab/>
              <w:t xml:space="preserve">Moskowitz CH et al. Five-year PFS from the AETHERA trial of brentuximab </w:t>
            </w:r>
            <w:proofErr w:type="spellStart"/>
            <w:r w:rsidRPr="00FA3F9C">
              <w:rPr>
                <w:rFonts w:ascii="Arial" w:hAnsi="Arial" w:cs="Arial"/>
                <w:sz w:val="24"/>
                <w:szCs w:val="24"/>
              </w:rPr>
              <w:t>vedotin</w:t>
            </w:r>
            <w:proofErr w:type="spellEnd"/>
            <w:r w:rsidRPr="00FA3F9C">
              <w:rPr>
                <w:rFonts w:ascii="Arial" w:hAnsi="Arial" w:cs="Arial"/>
                <w:sz w:val="24"/>
                <w:szCs w:val="24"/>
              </w:rPr>
              <w:t xml:space="preserve"> for Hodgkin lymphoma at high risk of progression or relapse. Blood. 2018 Dec 20;132(25):2639-2642. PMID 30266774 NCT01100502</w:t>
            </w:r>
          </w:p>
          <w:p w14:paraId="48FF2E5F" w14:textId="77777777" w:rsidR="001506C1" w:rsidRPr="00FA3F9C" w:rsidRDefault="001506C1" w:rsidP="000357D8">
            <w:pPr>
              <w:ind w:left="270" w:hanging="180"/>
              <w:rPr>
                <w:rFonts w:ascii="Arial" w:hAnsi="Arial" w:cs="Arial"/>
                <w:sz w:val="24"/>
                <w:szCs w:val="24"/>
              </w:rPr>
            </w:pPr>
            <w:r w:rsidRPr="00FA3F9C">
              <w:rPr>
                <w:rFonts w:ascii="Arial" w:hAnsi="Arial" w:cs="Arial"/>
                <w:sz w:val="24"/>
                <w:szCs w:val="24"/>
              </w:rPr>
              <w:t>3.</w:t>
            </w:r>
            <w:r w:rsidRPr="00FA3F9C">
              <w:rPr>
                <w:rFonts w:ascii="Arial" w:hAnsi="Arial" w:cs="Arial"/>
                <w:sz w:val="24"/>
                <w:szCs w:val="24"/>
              </w:rPr>
              <w:tab/>
              <w:t xml:space="preserve">Ramsey S et al. Quality of life results from a phase 3 study of brentuximab </w:t>
            </w:r>
            <w:proofErr w:type="spellStart"/>
            <w:r w:rsidRPr="00FA3F9C">
              <w:rPr>
                <w:rFonts w:ascii="Arial" w:hAnsi="Arial" w:cs="Arial"/>
                <w:sz w:val="24"/>
                <w:szCs w:val="24"/>
              </w:rPr>
              <w:t>vedotin</w:t>
            </w:r>
            <w:proofErr w:type="spellEnd"/>
            <w:r w:rsidRPr="00FA3F9C">
              <w:rPr>
                <w:rFonts w:ascii="Arial" w:hAnsi="Arial" w:cs="Arial"/>
                <w:sz w:val="24"/>
                <w:szCs w:val="24"/>
              </w:rPr>
              <w:t xml:space="preserve"> consolidation following autologous </w:t>
            </w:r>
            <w:proofErr w:type="spellStart"/>
            <w:r w:rsidRPr="00FA3F9C">
              <w:rPr>
                <w:rFonts w:ascii="Arial" w:hAnsi="Arial" w:cs="Arial"/>
                <w:sz w:val="24"/>
                <w:szCs w:val="24"/>
              </w:rPr>
              <w:t>haematopoietic</w:t>
            </w:r>
            <w:proofErr w:type="spellEnd"/>
            <w:r w:rsidRPr="00FA3F9C">
              <w:rPr>
                <w:rFonts w:ascii="Arial" w:hAnsi="Arial" w:cs="Arial"/>
                <w:sz w:val="24"/>
                <w:szCs w:val="24"/>
              </w:rPr>
              <w:t xml:space="preserve"> stem cell transplant for persons with Hodgkin lymphoma. Br J </w:t>
            </w:r>
            <w:proofErr w:type="spellStart"/>
            <w:r w:rsidRPr="00FA3F9C">
              <w:rPr>
                <w:rFonts w:ascii="Arial" w:hAnsi="Arial" w:cs="Arial"/>
                <w:sz w:val="24"/>
                <w:szCs w:val="24"/>
              </w:rPr>
              <w:t>Haematol</w:t>
            </w:r>
            <w:proofErr w:type="spellEnd"/>
            <w:r w:rsidRPr="00FA3F9C">
              <w:rPr>
                <w:rFonts w:ascii="Arial" w:hAnsi="Arial" w:cs="Arial"/>
                <w:sz w:val="24"/>
                <w:szCs w:val="24"/>
              </w:rPr>
              <w:t>. 2016 Dec;175(5):860-867. PMID 27649689  NCT01100502</w:t>
            </w:r>
          </w:p>
          <w:p w14:paraId="00A2C9CF" w14:textId="77777777" w:rsidR="001506C1" w:rsidRPr="00FA3F9C" w:rsidRDefault="001506C1" w:rsidP="000357D8">
            <w:pPr>
              <w:ind w:left="270" w:hanging="180"/>
              <w:rPr>
                <w:rFonts w:ascii="Arial" w:hAnsi="Arial" w:cs="Arial"/>
                <w:sz w:val="24"/>
                <w:szCs w:val="24"/>
              </w:rPr>
            </w:pPr>
            <w:r w:rsidRPr="00FA3F9C">
              <w:rPr>
                <w:rFonts w:ascii="Arial" w:hAnsi="Arial" w:cs="Arial"/>
                <w:sz w:val="24"/>
                <w:szCs w:val="24"/>
              </w:rPr>
              <w:t xml:space="preserve">4. NCCN guidelines for Hodgkin Lymphoma: </w:t>
            </w:r>
            <w:hyperlink r:id="rId61" w:history="1">
              <w:r w:rsidRPr="00FA3F9C">
                <w:rPr>
                  <w:rStyle w:val="Hyperlink"/>
                  <w:rFonts w:ascii="Arial" w:hAnsi="Arial" w:cs="Arial"/>
                  <w:sz w:val="24"/>
                  <w:szCs w:val="24"/>
                </w:rPr>
                <w:t>https://www.nccn.org/professionals/physician_gls/pdf/hodgkins.pdf</w:t>
              </w:r>
            </w:hyperlink>
            <w:r w:rsidRPr="00FA3F9C">
              <w:rPr>
                <w:rFonts w:ascii="Arial" w:hAnsi="Arial" w:cs="Arial"/>
                <w:sz w:val="24"/>
                <w:szCs w:val="24"/>
              </w:rPr>
              <w:t xml:space="preserve"> </w:t>
            </w:r>
          </w:p>
        </w:tc>
      </w:tr>
    </w:tbl>
    <w:p w14:paraId="1A516142" w14:textId="77777777" w:rsidR="001506C1" w:rsidRPr="00FA3F9C" w:rsidRDefault="001506C1" w:rsidP="00443BA9">
      <w:pPr>
        <w:rPr>
          <w:rFonts w:ascii="Arial" w:hAnsi="Arial" w:cs="Arial"/>
          <w:b/>
          <w:sz w:val="24"/>
          <w:szCs w:val="24"/>
          <w:u w:val="single"/>
        </w:rPr>
      </w:pPr>
    </w:p>
    <w:p w14:paraId="3F0CEDF7" w14:textId="77777777" w:rsidR="001506C1" w:rsidRPr="00FA3F9C" w:rsidRDefault="001506C1" w:rsidP="00443BA9">
      <w:pPr>
        <w:rPr>
          <w:rFonts w:ascii="Arial" w:hAnsi="Arial" w:cs="Arial"/>
          <w:b/>
          <w:sz w:val="24"/>
          <w:szCs w:val="24"/>
          <w:u w:val="single"/>
        </w:rPr>
      </w:pPr>
    </w:p>
    <w:p w14:paraId="6E11E7A8" w14:textId="77777777" w:rsidR="001506C1" w:rsidRPr="00FA3F9C" w:rsidRDefault="001506C1" w:rsidP="00443BA9">
      <w:pPr>
        <w:rPr>
          <w:rFonts w:ascii="Arial" w:hAnsi="Arial" w:cs="Arial"/>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1"/>
        <w:gridCol w:w="3205"/>
      </w:tblGrid>
      <w:tr w:rsidR="001506C1" w:rsidRPr="00FA3F9C" w14:paraId="072FA3FA" w14:textId="77777777" w:rsidTr="00375D24">
        <w:tc>
          <w:tcPr>
            <w:tcW w:w="7811" w:type="dxa"/>
            <w:shd w:val="clear" w:color="auto" w:fill="000000"/>
          </w:tcPr>
          <w:p w14:paraId="3FF10A72" w14:textId="77777777" w:rsidR="001506C1" w:rsidRPr="00FA3F9C" w:rsidRDefault="001506C1" w:rsidP="002F55E1">
            <w:pPr>
              <w:rPr>
                <w:rFonts w:ascii="Arial" w:hAnsi="Arial" w:cs="Arial"/>
                <w:b/>
                <w:sz w:val="24"/>
                <w:szCs w:val="24"/>
                <w:u w:val="single"/>
              </w:rPr>
            </w:pPr>
            <w:r w:rsidRPr="00FA3F9C">
              <w:rPr>
                <w:rFonts w:ascii="Arial" w:hAnsi="Arial" w:cs="Arial"/>
                <w:b/>
                <w:sz w:val="24"/>
                <w:szCs w:val="24"/>
                <w:u w:val="single"/>
              </w:rPr>
              <w:t>T Cell Lymphoma (untreated)</w:t>
            </w:r>
          </w:p>
        </w:tc>
        <w:tc>
          <w:tcPr>
            <w:tcW w:w="2485" w:type="dxa"/>
            <w:shd w:val="clear" w:color="auto" w:fill="000000"/>
          </w:tcPr>
          <w:p w14:paraId="1D2A9F58" w14:textId="77777777" w:rsidR="001506C1" w:rsidRPr="00FA3F9C" w:rsidRDefault="001506C1" w:rsidP="00804A4D">
            <w:pPr>
              <w:jc w:val="center"/>
              <w:rPr>
                <w:rFonts w:ascii="Arial" w:hAnsi="Arial" w:cs="Arial"/>
                <w:b/>
                <w:sz w:val="24"/>
                <w:szCs w:val="24"/>
                <w:u w:val="single"/>
              </w:rPr>
            </w:pPr>
          </w:p>
        </w:tc>
      </w:tr>
      <w:tr w:rsidR="001506C1" w:rsidRPr="00FA3F9C" w14:paraId="5A1ABFFD" w14:textId="77777777" w:rsidTr="00804A4D">
        <w:tc>
          <w:tcPr>
            <w:tcW w:w="11016" w:type="dxa"/>
            <w:gridSpan w:val="2"/>
            <w:shd w:val="clear" w:color="auto" w:fill="auto"/>
          </w:tcPr>
          <w:p w14:paraId="49B2595A" w14:textId="77777777" w:rsidR="001506C1" w:rsidRPr="00FA3F9C" w:rsidRDefault="001506C1" w:rsidP="001506C1">
            <w:pPr>
              <w:numPr>
                <w:ilvl w:val="0"/>
                <w:numId w:val="67"/>
              </w:numPr>
              <w:spacing w:after="0" w:line="240" w:lineRule="auto"/>
              <w:ind w:left="360" w:hanging="270"/>
              <w:rPr>
                <w:rFonts w:ascii="Arial" w:hAnsi="Arial" w:cs="Arial"/>
                <w:sz w:val="24"/>
                <w:szCs w:val="24"/>
              </w:rPr>
            </w:pPr>
            <w:r w:rsidRPr="00FA3F9C">
              <w:rPr>
                <w:rFonts w:ascii="Arial" w:hAnsi="Arial" w:cs="Arial"/>
                <w:sz w:val="24"/>
                <w:szCs w:val="24"/>
              </w:rPr>
              <w:lastRenderedPageBreak/>
              <w:t>Diagnosis of systemic anaplastic large cell lymphoma (</w:t>
            </w:r>
            <w:proofErr w:type="spellStart"/>
            <w:r w:rsidRPr="00FA3F9C">
              <w:rPr>
                <w:rFonts w:ascii="Arial" w:hAnsi="Arial" w:cs="Arial"/>
                <w:sz w:val="24"/>
                <w:szCs w:val="24"/>
              </w:rPr>
              <w:t>sALCL</w:t>
            </w:r>
            <w:proofErr w:type="spellEnd"/>
            <w:r w:rsidRPr="00FA3F9C">
              <w:rPr>
                <w:rFonts w:ascii="Arial" w:hAnsi="Arial" w:cs="Arial"/>
                <w:sz w:val="24"/>
                <w:szCs w:val="24"/>
              </w:rPr>
              <w:t>) or other CD30-expressing peripheral T-cell lymphomas (PTCLs) including angioimmunoblastic T-cell lymphoma and PTCL not otherwise specified</w:t>
            </w:r>
          </w:p>
        </w:tc>
      </w:tr>
      <w:tr w:rsidR="001506C1" w:rsidRPr="00FA3F9C" w14:paraId="06B74C98" w14:textId="77777777" w:rsidTr="00804A4D">
        <w:tc>
          <w:tcPr>
            <w:tcW w:w="11016" w:type="dxa"/>
            <w:gridSpan w:val="2"/>
            <w:shd w:val="clear" w:color="auto" w:fill="auto"/>
          </w:tcPr>
          <w:p w14:paraId="4F443523" w14:textId="77777777" w:rsidR="001506C1" w:rsidRPr="00FA3F9C" w:rsidRDefault="001506C1" w:rsidP="001506C1">
            <w:pPr>
              <w:numPr>
                <w:ilvl w:val="0"/>
                <w:numId w:val="67"/>
              </w:numPr>
              <w:spacing w:after="0" w:line="240" w:lineRule="auto"/>
              <w:ind w:left="360" w:hanging="270"/>
              <w:rPr>
                <w:rFonts w:ascii="Arial" w:hAnsi="Arial" w:cs="Arial"/>
                <w:sz w:val="24"/>
                <w:szCs w:val="24"/>
              </w:rPr>
            </w:pPr>
            <w:r w:rsidRPr="00FA3F9C">
              <w:rPr>
                <w:rFonts w:ascii="Arial" w:hAnsi="Arial" w:cs="Arial"/>
                <w:sz w:val="24"/>
                <w:szCs w:val="24"/>
              </w:rPr>
              <w:t>No prior therapy for ALCL/PTCL</w:t>
            </w:r>
          </w:p>
        </w:tc>
      </w:tr>
      <w:tr w:rsidR="001506C1" w:rsidRPr="00FA3F9C" w14:paraId="0A442449" w14:textId="77777777" w:rsidTr="00804A4D">
        <w:tc>
          <w:tcPr>
            <w:tcW w:w="11016" w:type="dxa"/>
            <w:gridSpan w:val="2"/>
            <w:shd w:val="clear" w:color="auto" w:fill="auto"/>
          </w:tcPr>
          <w:p w14:paraId="410224A2" w14:textId="77777777" w:rsidR="001506C1" w:rsidRPr="00FA3F9C" w:rsidRDefault="001506C1" w:rsidP="00375D24">
            <w:pPr>
              <w:ind w:left="360" w:hanging="270"/>
              <w:rPr>
                <w:rFonts w:ascii="Arial" w:hAnsi="Arial" w:cs="Arial"/>
                <w:sz w:val="24"/>
                <w:szCs w:val="24"/>
              </w:rPr>
            </w:pPr>
            <w:r w:rsidRPr="00FA3F9C">
              <w:rPr>
                <w:rFonts w:ascii="Arial" w:hAnsi="Arial" w:cs="Arial"/>
                <w:sz w:val="24"/>
                <w:szCs w:val="24"/>
              </w:rPr>
              <w:t>3.  Brentuximab will be used in combination with cyclophosphamide, doxorubicin, and prednisone</w:t>
            </w:r>
          </w:p>
        </w:tc>
      </w:tr>
      <w:tr w:rsidR="001506C1" w:rsidRPr="00FA3F9C" w14:paraId="2F1B02CB" w14:textId="77777777" w:rsidTr="00804A4D">
        <w:tc>
          <w:tcPr>
            <w:tcW w:w="11016" w:type="dxa"/>
            <w:gridSpan w:val="2"/>
            <w:shd w:val="clear" w:color="auto" w:fill="auto"/>
          </w:tcPr>
          <w:p w14:paraId="7330B84B" w14:textId="77777777" w:rsidR="001506C1" w:rsidRPr="00FA3F9C" w:rsidRDefault="001506C1" w:rsidP="00375D24">
            <w:pPr>
              <w:ind w:left="360" w:hanging="270"/>
              <w:rPr>
                <w:rFonts w:ascii="Arial" w:hAnsi="Arial" w:cs="Arial"/>
                <w:sz w:val="24"/>
                <w:szCs w:val="24"/>
              </w:rPr>
            </w:pPr>
            <w:r w:rsidRPr="00FA3F9C">
              <w:rPr>
                <w:rFonts w:ascii="Arial" w:hAnsi="Arial" w:cs="Arial"/>
                <w:sz w:val="24"/>
                <w:szCs w:val="24"/>
              </w:rPr>
              <w:t>4. Growth factor support will be used (</w:t>
            </w:r>
            <w:proofErr w:type="gramStart"/>
            <w:r w:rsidRPr="00FA3F9C">
              <w:rPr>
                <w:rFonts w:ascii="Arial" w:hAnsi="Arial" w:cs="Arial"/>
                <w:sz w:val="24"/>
                <w:szCs w:val="24"/>
              </w:rPr>
              <w:t>i.e.</w:t>
            </w:r>
            <w:proofErr w:type="gramEnd"/>
            <w:r w:rsidRPr="00FA3F9C">
              <w:rPr>
                <w:rFonts w:ascii="Arial" w:hAnsi="Arial" w:cs="Arial"/>
                <w:sz w:val="24"/>
                <w:szCs w:val="24"/>
              </w:rPr>
              <w:t xml:space="preserve"> filgrastim or </w:t>
            </w:r>
            <w:proofErr w:type="spellStart"/>
            <w:r w:rsidRPr="00FA3F9C">
              <w:rPr>
                <w:rFonts w:ascii="Arial" w:hAnsi="Arial" w:cs="Arial"/>
                <w:sz w:val="24"/>
                <w:szCs w:val="24"/>
              </w:rPr>
              <w:t>pegfilgrastim</w:t>
            </w:r>
            <w:proofErr w:type="spellEnd"/>
            <w:r w:rsidRPr="00FA3F9C">
              <w:rPr>
                <w:rFonts w:ascii="Arial" w:hAnsi="Arial" w:cs="Arial"/>
                <w:sz w:val="24"/>
                <w:szCs w:val="24"/>
              </w:rPr>
              <w:t>)</w:t>
            </w:r>
          </w:p>
        </w:tc>
      </w:tr>
      <w:tr w:rsidR="001506C1" w:rsidRPr="00FA3F9C" w14:paraId="4E440C22" w14:textId="77777777" w:rsidTr="00375D24">
        <w:tc>
          <w:tcPr>
            <w:tcW w:w="10296" w:type="dxa"/>
            <w:gridSpan w:val="2"/>
            <w:shd w:val="clear" w:color="auto" w:fill="F2F2F2"/>
          </w:tcPr>
          <w:p w14:paraId="3A46EECD" w14:textId="77777777" w:rsidR="001506C1" w:rsidRPr="00FA3F9C" w:rsidRDefault="001506C1" w:rsidP="00375D24">
            <w:pPr>
              <w:rPr>
                <w:rFonts w:ascii="Arial" w:hAnsi="Arial" w:cs="Arial"/>
                <w:sz w:val="24"/>
                <w:szCs w:val="24"/>
              </w:rPr>
            </w:pPr>
            <w:r w:rsidRPr="00FA3F9C">
              <w:rPr>
                <w:rFonts w:ascii="Arial" w:hAnsi="Arial" w:cs="Arial"/>
                <w:sz w:val="24"/>
                <w:szCs w:val="24"/>
              </w:rPr>
              <w:t xml:space="preserve">If </w:t>
            </w:r>
            <w:proofErr w:type="gramStart"/>
            <w:r w:rsidRPr="00FA3F9C">
              <w:rPr>
                <w:rFonts w:ascii="Arial" w:hAnsi="Arial" w:cs="Arial"/>
                <w:sz w:val="24"/>
                <w:szCs w:val="24"/>
              </w:rPr>
              <w:t>all of</w:t>
            </w:r>
            <w:proofErr w:type="gramEnd"/>
            <w:r w:rsidRPr="00FA3F9C">
              <w:rPr>
                <w:rFonts w:ascii="Arial" w:hAnsi="Arial" w:cs="Arial"/>
                <w:sz w:val="24"/>
                <w:szCs w:val="24"/>
              </w:rPr>
              <w:t xml:space="preserve"> above criteria are met, approve x 6 months. Therapy consists of 6 cycles maximum. </w:t>
            </w:r>
          </w:p>
        </w:tc>
      </w:tr>
      <w:tr w:rsidR="001506C1" w:rsidRPr="00FA3F9C" w14:paraId="7C29466C" w14:textId="77777777" w:rsidTr="00375D24">
        <w:tc>
          <w:tcPr>
            <w:tcW w:w="10296" w:type="dxa"/>
            <w:gridSpan w:val="2"/>
            <w:shd w:val="clear" w:color="auto" w:fill="D9D9D9"/>
          </w:tcPr>
          <w:p w14:paraId="23925024" w14:textId="77777777" w:rsidR="001506C1" w:rsidRPr="00FA3F9C" w:rsidRDefault="001506C1" w:rsidP="00804A4D">
            <w:pPr>
              <w:rPr>
                <w:rFonts w:ascii="Arial" w:hAnsi="Arial" w:cs="Arial"/>
                <w:sz w:val="24"/>
                <w:szCs w:val="24"/>
              </w:rPr>
            </w:pPr>
            <w:r w:rsidRPr="00FA3F9C">
              <w:rPr>
                <w:rFonts w:ascii="Arial" w:hAnsi="Arial" w:cs="Arial"/>
                <w:sz w:val="24"/>
                <w:szCs w:val="24"/>
              </w:rPr>
              <w:t>Evidence:</w:t>
            </w:r>
          </w:p>
          <w:p w14:paraId="3F193C1C" w14:textId="77777777" w:rsidR="001506C1" w:rsidRPr="00FA3F9C" w:rsidRDefault="001506C1" w:rsidP="001506C1">
            <w:pPr>
              <w:numPr>
                <w:ilvl w:val="0"/>
                <w:numId w:val="68"/>
              </w:numPr>
              <w:spacing w:after="0" w:line="240" w:lineRule="auto"/>
              <w:ind w:left="360" w:hanging="270"/>
              <w:rPr>
                <w:rFonts w:ascii="Arial" w:hAnsi="Arial" w:cs="Arial"/>
                <w:sz w:val="24"/>
                <w:szCs w:val="24"/>
              </w:rPr>
            </w:pPr>
            <w:r w:rsidRPr="00FA3F9C">
              <w:rPr>
                <w:rFonts w:ascii="Arial" w:hAnsi="Arial" w:cs="Arial"/>
                <w:sz w:val="24"/>
                <w:szCs w:val="24"/>
              </w:rPr>
              <w:t>The ECHELON-2 trial randomized patients meeting above criteria to brentuximab-cyclophosphamide-doxorubicin-prednisone or CHOP. The primary endpoint of overall survival was improved in the brentuximab group (HR 0.66, 95% CI 0.46-0.95) with similar rates of adverse events.</w:t>
            </w:r>
            <w:r w:rsidRPr="00FA3F9C">
              <w:rPr>
                <w:rFonts w:ascii="Arial" w:hAnsi="Arial" w:cs="Arial"/>
                <w:sz w:val="24"/>
                <w:szCs w:val="24"/>
                <w:vertAlign w:val="superscript"/>
              </w:rPr>
              <w:t>1</w:t>
            </w:r>
          </w:p>
          <w:p w14:paraId="4623DF81" w14:textId="77777777" w:rsidR="001506C1" w:rsidRPr="00FA3F9C" w:rsidRDefault="001506C1" w:rsidP="001506C1">
            <w:pPr>
              <w:numPr>
                <w:ilvl w:val="0"/>
                <w:numId w:val="68"/>
              </w:numPr>
              <w:spacing w:after="0" w:line="240" w:lineRule="auto"/>
              <w:ind w:left="360" w:hanging="270"/>
              <w:rPr>
                <w:rFonts w:ascii="Arial" w:hAnsi="Arial" w:cs="Arial"/>
                <w:sz w:val="24"/>
                <w:szCs w:val="24"/>
              </w:rPr>
            </w:pPr>
            <w:r w:rsidRPr="00FA3F9C">
              <w:rPr>
                <w:rFonts w:ascii="Arial" w:hAnsi="Arial" w:cs="Arial"/>
                <w:sz w:val="24"/>
                <w:szCs w:val="24"/>
              </w:rPr>
              <w:t>Dose: 1.8 mg/kg IV (max 180 mg) every 3 weeks x 8 cycles maximum (in combination with cyclophosphamide, doxorubicin, and prednisone.</w:t>
            </w:r>
          </w:p>
          <w:p w14:paraId="69422FD4" w14:textId="77777777" w:rsidR="001506C1" w:rsidRPr="00FA3F9C" w:rsidRDefault="001506C1" w:rsidP="00804A4D">
            <w:pPr>
              <w:rPr>
                <w:rFonts w:ascii="Arial" w:hAnsi="Arial" w:cs="Arial"/>
                <w:sz w:val="24"/>
                <w:szCs w:val="24"/>
              </w:rPr>
            </w:pPr>
          </w:p>
          <w:p w14:paraId="2B31BB4C" w14:textId="77777777" w:rsidR="001506C1" w:rsidRPr="00FA3F9C" w:rsidRDefault="001506C1" w:rsidP="00804A4D">
            <w:pPr>
              <w:rPr>
                <w:rFonts w:ascii="Arial" w:hAnsi="Arial" w:cs="Arial"/>
                <w:sz w:val="24"/>
                <w:szCs w:val="24"/>
              </w:rPr>
            </w:pPr>
            <w:r w:rsidRPr="00FA3F9C">
              <w:rPr>
                <w:rFonts w:ascii="Arial" w:hAnsi="Arial" w:cs="Arial"/>
                <w:sz w:val="24"/>
                <w:szCs w:val="24"/>
              </w:rPr>
              <w:t>References:</w:t>
            </w:r>
          </w:p>
          <w:p w14:paraId="2DEB1FF0" w14:textId="77777777" w:rsidR="001506C1" w:rsidRPr="00FA3F9C" w:rsidRDefault="001506C1" w:rsidP="001506C1">
            <w:pPr>
              <w:numPr>
                <w:ilvl w:val="0"/>
                <w:numId w:val="69"/>
              </w:numPr>
              <w:spacing w:after="0" w:line="240" w:lineRule="auto"/>
              <w:rPr>
                <w:rFonts w:ascii="Arial" w:hAnsi="Arial" w:cs="Arial"/>
                <w:sz w:val="24"/>
                <w:szCs w:val="24"/>
              </w:rPr>
            </w:pPr>
            <w:r w:rsidRPr="00FA3F9C">
              <w:rPr>
                <w:rFonts w:ascii="Arial" w:hAnsi="Arial" w:cs="Arial"/>
                <w:sz w:val="24"/>
                <w:szCs w:val="24"/>
              </w:rPr>
              <w:t xml:space="preserve">Horwitz S et al. Brentuximab </w:t>
            </w:r>
            <w:proofErr w:type="spellStart"/>
            <w:r w:rsidRPr="00FA3F9C">
              <w:rPr>
                <w:rFonts w:ascii="Arial" w:hAnsi="Arial" w:cs="Arial"/>
                <w:sz w:val="24"/>
                <w:szCs w:val="24"/>
              </w:rPr>
              <w:t>vedotin</w:t>
            </w:r>
            <w:proofErr w:type="spellEnd"/>
            <w:r w:rsidRPr="00FA3F9C">
              <w:rPr>
                <w:rFonts w:ascii="Arial" w:hAnsi="Arial" w:cs="Arial"/>
                <w:sz w:val="24"/>
                <w:szCs w:val="24"/>
              </w:rPr>
              <w:t xml:space="preserve"> with chemotherapy for CD30-positive peripheral T-cell lymphoma (ECHELON-2): a global, double-blind, </w:t>
            </w:r>
            <w:proofErr w:type="spellStart"/>
            <w:r w:rsidRPr="00FA3F9C">
              <w:rPr>
                <w:rFonts w:ascii="Arial" w:hAnsi="Arial" w:cs="Arial"/>
                <w:sz w:val="24"/>
                <w:szCs w:val="24"/>
              </w:rPr>
              <w:t>randomised</w:t>
            </w:r>
            <w:proofErr w:type="spellEnd"/>
            <w:r w:rsidRPr="00FA3F9C">
              <w:rPr>
                <w:rFonts w:ascii="Arial" w:hAnsi="Arial" w:cs="Arial"/>
                <w:sz w:val="24"/>
                <w:szCs w:val="24"/>
              </w:rPr>
              <w:t xml:space="preserve">, phase 3 trial. Lancet. 2019 Jan 19;393(10168):229-240. PMID 30522922 NCT017771524. </w:t>
            </w:r>
          </w:p>
          <w:p w14:paraId="3034FF0C" w14:textId="77777777" w:rsidR="001506C1" w:rsidRPr="00FA3F9C" w:rsidRDefault="001506C1" w:rsidP="001506C1">
            <w:pPr>
              <w:numPr>
                <w:ilvl w:val="0"/>
                <w:numId w:val="69"/>
              </w:numPr>
              <w:spacing w:after="0" w:line="240" w:lineRule="auto"/>
              <w:rPr>
                <w:rFonts w:ascii="Arial" w:hAnsi="Arial" w:cs="Arial"/>
                <w:sz w:val="24"/>
                <w:szCs w:val="24"/>
              </w:rPr>
            </w:pPr>
            <w:r w:rsidRPr="00FA3F9C">
              <w:rPr>
                <w:rFonts w:ascii="Arial" w:hAnsi="Arial" w:cs="Arial"/>
                <w:sz w:val="24"/>
                <w:szCs w:val="24"/>
              </w:rPr>
              <w:t xml:space="preserve">NCCN guidelines for T-cell lymphomas: </w:t>
            </w:r>
            <w:hyperlink r:id="rId62" w:history="1">
              <w:r w:rsidRPr="00FA3F9C">
                <w:rPr>
                  <w:rStyle w:val="Hyperlink"/>
                  <w:rFonts w:ascii="Arial" w:hAnsi="Arial" w:cs="Arial"/>
                  <w:sz w:val="24"/>
                  <w:szCs w:val="24"/>
                </w:rPr>
                <w:t>https://www.nccn.org/professionals/physician_gls/pdf/t-cell.pdf</w:t>
              </w:r>
            </w:hyperlink>
            <w:r w:rsidRPr="00FA3F9C">
              <w:rPr>
                <w:rFonts w:ascii="Arial" w:hAnsi="Arial" w:cs="Arial"/>
                <w:sz w:val="24"/>
                <w:szCs w:val="24"/>
              </w:rPr>
              <w:t xml:space="preserve">  </w:t>
            </w:r>
          </w:p>
        </w:tc>
      </w:tr>
    </w:tbl>
    <w:p w14:paraId="567F9FFC" w14:textId="77777777" w:rsidR="001506C1" w:rsidRPr="00FA3F9C" w:rsidRDefault="001506C1" w:rsidP="00443BA9">
      <w:pPr>
        <w:rPr>
          <w:rFonts w:ascii="Arial" w:hAnsi="Arial" w:cs="Arial"/>
          <w:b/>
          <w:sz w:val="24"/>
          <w:szCs w:val="24"/>
          <w:u w:val="single"/>
        </w:rPr>
      </w:pPr>
    </w:p>
    <w:p w14:paraId="79295F09" w14:textId="77777777" w:rsidR="001506C1" w:rsidRPr="00FA3F9C" w:rsidRDefault="001506C1" w:rsidP="00443BA9">
      <w:pPr>
        <w:rPr>
          <w:rFonts w:ascii="Arial" w:hAnsi="Arial" w:cs="Arial"/>
          <w:b/>
          <w:sz w:val="24"/>
          <w:szCs w:val="24"/>
          <w:u w:val="single"/>
        </w:rPr>
      </w:pPr>
    </w:p>
    <w:p w14:paraId="432FC9F7" w14:textId="77777777" w:rsidR="001506C1" w:rsidRPr="00FA3F9C" w:rsidRDefault="001506C1" w:rsidP="00443BA9">
      <w:pPr>
        <w:rPr>
          <w:rFonts w:ascii="Arial" w:hAnsi="Arial" w:cs="Arial"/>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6"/>
      </w:tblGrid>
      <w:tr w:rsidR="001506C1" w:rsidRPr="00FA3F9C" w14:paraId="6184D1E2" w14:textId="77777777" w:rsidTr="003120AC">
        <w:tc>
          <w:tcPr>
            <w:tcW w:w="10296" w:type="dxa"/>
            <w:shd w:val="clear" w:color="auto" w:fill="000000"/>
          </w:tcPr>
          <w:p w14:paraId="1B63DF93" w14:textId="77777777" w:rsidR="001506C1" w:rsidRPr="00FA3F9C" w:rsidRDefault="001506C1" w:rsidP="00371BC3">
            <w:pPr>
              <w:rPr>
                <w:rFonts w:ascii="Arial" w:hAnsi="Arial" w:cs="Arial"/>
                <w:b/>
                <w:sz w:val="24"/>
                <w:szCs w:val="24"/>
                <w:u w:val="single"/>
              </w:rPr>
            </w:pPr>
            <w:r w:rsidRPr="00FA3F9C">
              <w:rPr>
                <w:rFonts w:ascii="Arial" w:hAnsi="Arial" w:cs="Arial"/>
                <w:b/>
                <w:sz w:val="24"/>
                <w:szCs w:val="24"/>
                <w:u w:val="single"/>
              </w:rPr>
              <w:t>T Cell Lymphoma (systemic/cutaneous ALCL or mycosis fungoides, relapsed/refractory)</w:t>
            </w:r>
          </w:p>
        </w:tc>
      </w:tr>
      <w:tr w:rsidR="001506C1" w:rsidRPr="00FA3F9C" w14:paraId="7A8C3056" w14:textId="77777777" w:rsidTr="00905E39">
        <w:tc>
          <w:tcPr>
            <w:tcW w:w="10296" w:type="dxa"/>
            <w:shd w:val="clear" w:color="auto" w:fill="auto"/>
          </w:tcPr>
          <w:p w14:paraId="3F74AFE1" w14:textId="77777777" w:rsidR="001506C1" w:rsidRPr="00FA3F9C" w:rsidRDefault="001506C1" w:rsidP="001506C1">
            <w:pPr>
              <w:numPr>
                <w:ilvl w:val="0"/>
                <w:numId w:val="70"/>
              </w:numPr>
              <w:spacing w:after="0" w:line="240" w:lineRule="auto"/>
              <w:ind w:left="360" w:hanging="270"/>
              <w:rPr>
                <w:rFonts w:ascii="Arial" w:hAnsi="Arial" w:cs="Arial"/>
                <w:sz w:val="24"/>
                <w:szCs w:val="24"/>
              </w:rPr>
            </w:pPr>
            <w:r w:rsidRPr="00FA3F9C">
              <w:rPr>
                <w:rFonts w:ascii="Arial" w:hAnsi="Arial" w:cs="Arial"/>
                <w:sz w:val="24"/>
                <w:szCs w:val="24"/>
              </w:rPr>
              <w:lastRenderedPageBreak/>
              <w:t xml:space="preserve">Diagnosis of systemic anaplastic large cell lymphoma (ALCL) </w:t>
            </w:r>
            <w:r w:rsidRPr="00FA3F9C">
              <w:rPr>
                <w:rFonts w:ascii="Arial" w:hAnsi="Arial" w:cs="Arial"/>
                <w:sz w:val="24"/>
                <w:szCs w:val="24"/>
                <w:u w:val="single"/>
              </w:rPr>
              <w:t>or</w:t>
            </w:r>
            <w:r w:rsidRPr="00FA3F9C">
              <w:rPr>
                <w:rFonts w:ascii="Arial" w:hAnsi="Arial" w:cs="Arial"/>
                <w:sz w:val="24"/>
                <w:szCs w:val="24"/>
              </w:rPr>
              <w:t xml:space="preserve"> primary cutaneous ALCL </w:t>
            </w:r>
            <w:r w:rsidRPr="00FA3F9C">
              <w:rPr>
                <w:rFonts w:ascii="Arial" w:hAnsi="Arial" w:cs="Arial"/>
                <w:sz w:val="24"/>
                <w:szCs w:val="24"/>
                <w:u w:val="single"/>
              </w:rPr>
              <w:t xml:space="preserve">or </w:t>
            </w:r>
            <w:r w:rsidRPr="00FA3F9C">
              <w:rPr>
                <w:rFonts w:ascii="Arial" w:hAnsi="Arial" w:cs="Arial"/>
                <w:sz w:val="24"/>
                <w:szCs w:val="24"/>
              </w:rPr>
              <w:t>CD30-expressing mycosis fungoides</w:t>
            </w:r>
          </w:p>
        </w:tc>
      </w:tr>
      <w:tr w:rsidR="001506C1" w:rsidRPr="00FA3F9C" w14:paraId="547979FC" w14:textId="77777777" w:rsidTr="00905E39">
        <w:tc>
          <w:tcPr>
            <w:tcW w:w="10296" w:type="dxa"/>
            <w:shd w:val="clear" w:color="auto" w:fill="auto"/>
          </w:tcPr>
          <w:p w14:paraId="6F275F21" w14:textId="77777777" w:rsidR="001506C1" w:rsidRPr="00FA3F9C" w:rsidRDefault="001506C1" w:rsidP="001506C1">
            <w:pPr>
              <w:numPr>
                <w:ilvl w:val="0"/>
                <w:numId w:val="70"/>
              </w:numPr>
              <w:spacing w:after="0" w:line="240" w:lineRule="auto"/>
              <w:ind w:left="360" w:hanging="270"/>
              <w:rPr>
                <w:rFonts w:ascii="Arial" w:hAnsi="Arial" w:cs="Arial"/>
                <w:sz w:val="24"/>
                <w:szCs w:val="24"/>
              </w:rPr>
            </w:pPr>
            <w:r w:rsidRPr="00FA3F9C">
              <w:rPr>
                <w:rFonts w:ascii="Arial" w:hAnsi="Arial" w:cs="Arial"/>
                <w:sz w:val="24"/>
                <w:szCs w:val="24"/>
              </w:rPr>
              <w:t>No prior brentuximab</w:t>
            </w:r>
          </w:p>
        </w:tc>
      </w:tr>
      <w:tr w:rsidR="001506C1" w:rsidRPr="00FA3F9C" w14:paraId="4AE31638" w14:textId="77777777" w:rsidTr="00905E39">
        <w:tc>
          <w:tcPr>
            <w:tcW w:w="10296" w:type="dxa"/>
            <w:shd w:val="clear" w:color="auto" w:fill="auto"/>
          </w:tcPr>
          <w:p w14:paraId="5349A245" w14:textId="77777777" w:rsidR="001506C1" w:rsidRPr="00FA3F9C" w:rsidRDefault="001506C1" w:rsidP="007E286A">
            <w:pPr>
              <w:ind w:left="360" w:hanging="270"/>
              <w:rPr>
                <w:rFonts w:ascii="Arial" w:hAnsi="Arial" w:cs="Arial"/>
                <w:sz w:val="24"/>
                <w:szCs w:val="24"/>
              </w:rPr>
            </w:pPr>
            <w:r w:rsidRPr="00FA3F9C">
              <w:rPr>
                <w:rFonts w:ascii="Arial" w:hAnsi="Arial" w:cs="Arial"/>
                <w:sz w:val="24"/>
                <w:szCs w:val="24"/>
              </w:rPr>
              <w:t>3.  Progression of disease after at least one prior therapy</w:t>
            </w:r>
          </w:p>
        </w:tc>
      </w:tr>
      <w:tr w:rsidR="001506C1" w:rsidRPr="00FA3F9C" w14:paraId="77C5DA84" w14:textId="77777777" w:rsidTr="00905E39">
        <w:tc>
          <w:tcPr>
            <w:tcW w:w="10296" w:type="dxa"/>
            <w:shd w:val="clear" w:color="auto" w:fill="auto"/>
          </w:tcPr>
          <w:p w14:paraId="04D8446E" w14:textId="77777777" w:rsidR="001506C1" w:rsidRPr="00FA3F9C" w:rsidRDefault="001506C1" w:rsidP="007E286A">
            <w:pPr>
              <w:ind w:left="360" w:hanging="270"/>
              <w:rPr>
                <w:rFonts w:ascii="Arial" w:hAnsi="Arial" w:cs="Arial"/>
                <w:sz w:val="24"/>
                <w:szCs w:val="24"/>
              </w:rPr>
            </w:pPr>
            <w:r w:rsidRPr="00FA3F9C">
              <w:rPr>
                <w:rFonts w:ascii="Arial" w:hAnsi="Arial" w:cs="Arial"/>
                <w:sz w:val="24"/>
                <w:szCs w:val="24"/>
              </w:rPr>
              <w:t xml:space="preserve">4. Brentuximab will be given as single agent </w:t>
            </w:r>
          </w:p>
        </w:tc>
      </w:tr>
      <w:tr w:rsidR="001506C1" w:rsidRPr="00FA3F9C" w14:paraId="16F296E6" w14:textId="77777777" w:rsidTr="00804A4D">
        <w:tc>
          <w:tcPr>
            <w:tcW w:w="10296" w:type="dxa"/>
            <w:shd w:val="clear" w:color="auto" w:fill="F2F2F2"/>
          </w:tcPr>
          <w:p w14:paraId="7C5D00BF" w14:textId="77777777" w:rsidR="001506C1" w:rsidRPr="00FA3F9C" w:rsidRDefault="001506C1" w:rsidP="007E286A">
            <w:pPr>
              <w:rPr>
                <w:rFonts w:ascii="Arial" w:hAnsi="Arial" w:cs="Arial"/>
                <w:sz w:val="24"/>
                <w:szCs w:val="24"/>
              </w:rPr>
            </w:pPr>
            <w:r w:rsidRPr="00FA3F9C">
              <w:rPr>
                <w:rFonts w:ascii="Arial" w:hAnsi="Arial" w:cs="Arial"/>
                <w:sz w:val="24"/>
                <w:szCs w:val="24"/>
              </w:rPr>
              <w:t xml:space="preserve">If </w:t>
            </w:r>
            <w:proofErr w:type="gramStart"/>
            <w:r w:rsidRPr="00FA3F9C">
              <w:rPr>
                <w:rFonts w:ascii="Arial" w:hAnsi="Arial" w:cs="Arial"/>
                <w:sz w:val="24"/>
                <w:szCs w:val="24"/>
              </w:rPr>
              <w:t>all of</w:t>
            </w:r>
            <w:proofErr w:type="gramEnd"/>
            <w:r w:rsidRPr="00FA3F9C">
              <w:rPr>
                <w:rFonts w:ascii="Arial" w:hAnsi="Arial" w:cs="Arial"/>
                <w:sz w:val="24"/>
                <w:szCs w:val="24"/>
              </w:rPr>
              <w:t xml:space="preserve"> above criteria are met, approve x 1 year. </w:t>
            </w:r>
          </w:p>
        </w:tc>
      </w:tr>
      <w:tr w:rsidR="001506C1" w:rsidRPr="00FA3F9C" w14:paraId="3D01E661" w14:textId="77777777" w:rsidTr="00804A4D">
        <w:tc>
          <w:tcPr>
            <w:tcW w:w="10296" w:type="dxa"/>
            <w:shd w:val="clear" w:color="auto" w:fill="D9D9D9"/>
          </w:tcPr>
          <w:p w14:paraId="7393C49A" w14:textId="77777777" w:rsidR="001506C1" w:rsidRPr="00FA3F9C" w:rsidRDefault="001506C1" w:rsidP="00804A4D">
            <w:pPr>
              <w:rPr>
                <w:rFonts w:ascii="Arial" w:hAnsi="Arial" w:cs="Arial"/>
                <w:sz w:val="24"/>
                <w:szCs w:val="24"/>
              </w:rPr>
            </w:pPr>
            <w:r w:rsidRPr="00FA3F9C">
              <w:rPr>
                <w:rFonts w:ascii="Arial" w:hAnsi="Arial" w:cs="Arial"/>
                <w:sz w:val="24"/>
                <w:szCs w:val="24"/>
              </w:rPr>
              <w:t>Evidence:</w:t>
            </w:r>
          </w:p>
          <w:p w14:paraId="06EA39FD" w14:textId="77777777" w:rsidR="001506C1" w:rsidRPr="00FA3F9C" w:rsidRDefault="001506C1" w:rsidP="001506C1">
            <w:pPr>
              <w:numPr>
                <w:ilvl w:val="0"/>
                <w:numId w:val="71"/>
              </w:numPr>
              <w:spacing w:after="0" w:line="240" w:lineRule="auto"/>
              <w:ind w:left="270" w:hanging="270"/>
              <w:rPr>
                <w:rFonts w:ascii="Arial" w:hAnsi="Arial" w:cs="Arial"/>
                <w:sz w:val="24"/>
                <w:szCs w:val="24"/>
              </w:rPr>
            </w:pPr>
            <w:r w:rsidRPr="00FA3F9C">
              <w:rPr>
                <w:rFonts w:ascii="Arial" w:hAnsi="Arial" w:cs="Arial"/>
                <w:sz w:val="24"/>
                <w:szCs w:val="24"/>
              </w:rPr>
              <w:t>In patients with systemic ALCL, brentuximab produced a response rate of 86% with a complete response rate of 57% in a single arm trial. The 5-year rate of overall survival was 60%. Of all patients, 82% had reduction in B symptoms.</w:t>
            </w:r>
            <w:r w:rsidRPr="00FA3F9C">
              <w:rPr>
                <w:rFonts w:ascii="Arial" w:hAnsi="Arial" w:cs="Arial"/>
                <w:sz w:val="24"/>
                <w:szCs w:val="24"/>
                <w:vertAlign w:val="superscript"/>
              </w:rPr>
              <w:t>1</w:t>
            </w:r>
            <w:r w:rsidRPr="00FA3F9C">
              <w:rPr>
                <w:rFonts w:ascii="Arial" w:hAnsi="Arial" w:cs="Arial"/>
                <w:sz w:val="24"/>
                <w:szCs w:val="24"/>
              </w:rPr>
              <w:t xml:space="preserve"> The response rate with brentuximab is much high than those seen with other newer agents such Pralatrexate and Romidepsin.</w:t>
            </w:r>
            <w:r w:rsidRPr="00FA3F9C">
              <w:rPr>
                <w:rFonts w:ascii="Arial" w:hAnsi="Arial" w:cs="Arial"/>
                <w:sz w:val="24"/>
                <w:szCs w:val="24"/>
                <w:vertAlign w:val="superscript"/>
              </w:rPr>
              <w:t>2</w:t>
            </w:r>
          </w:p>
          <w:p w14:paraId="62BF6411" w14:textId="77777777" w:rsidR="001506C1" w:rsidRPr="00FA3F9C" w:rsidRDefault="001506C1" w:rsidP="001506C1">
            <w:pPr>
              <w:numPr>
                <w:ilvl w:val="0"/>
                <w:numId w:val="71"/>
              </w:numPr>
              <w:spacing w:after="0" w:line="240" w:lineRule="auto"/>
              <w:ind w:left="270" w:hanging="270"/>
              <w:rPr>
                <w:rFonts w:ascii="Arial" w:hAnsi="Arial" w:cs="Arial"/>
                <w:sz w:val="24"/>
                <w:szCs w:val="24"/>
              </w:rPr>
            </w:pPr>
            <w:r w:rsidRPr="00FA3F9C">
              <w:rPr>
                <w:rFonts w:ascii="Arial" w:hAnsi="Arial" w:cs="Arial"/>
                <w:sz w:val="24"/>
                <w:szCs w:val="24"/>
              </w:rPr>
              <w:t>In patients with primary cutaneous ALCL or CD30-expressing mycosis fungoides who had received prior therapy, brentuximab was compared to investigator’s choice of bexarotene or methotrexate. The primary endpoint of progression free survival was prolonged in the brentuximab group (median 17 vs 3.5 months) along with a statistically and clinically greater improvement in the patient-reported burden of symptoms domain of the Skindex-29 score (MCID 10 points).</w:t>
            </w:r>
            <w:r w:rsidRPr="00FA3F9C">
              <w:rPr>
                <w:rFonts w:ascii="Arial" w:hAnsi="Arial" w:cs="Arial"/>
                <w:sz w:val="24"/>
                <w:szCs w:val="24"/>
                <w:vertAlign w:val="superscript"/>
              </w:rPr>
              <w:t>3</w:t>
            </w:r>
            <w:r w:rsidRPr="00FA3F9C">
              <w:rPr>
                <w:rFonts w:ascii="Arial" w:hAnsi="Arial" w:cs="Arial"/>
                <w:sz w:val="24"/>
                <w:szCs w:val="24"/>
              </w:rPr>
              <w:t xml:space="preserve"> </w:t>
            </w:r>
          </w:p>
          <w:p w14:paraId="636ED31D" w14:textId="77777777" w:rsidR="001506C1" w:rsidRPr="00FA3F9C" w:rsidRDefault="001506C1" w:rsidP="001506C1">
            <w:pPr>
              <w:numPr>
                <w:ilvl w:val="0"/>
                <w:numId w:val="71"/>
              </w:numPr>
              <w:spacing w:after="0" w:line="240" w:lineRule="auto"/>
              <w:ind w:left="270" w:hanging="270"/>
              <w:rPr>
                <w:rFonts w:ascii="Arial" w:hAnsi="Arial" w:cs="Arial"/>
                <w:sz w:val="24"/>
                <w:szCs w:val="24"/>
              </w:rPr>
            </w:pPr>
            <w:r w:rsidRPr="00FA3F9C">
              <w:rPr>
                <w:rFonts w:ascii="Arial" w:hAnsi="Arial" w:cs="Arial"/>
                <w:sz w:val="24"/>
                <w:szCs w:val="24"/>
              </w:rPr>
              <w:t>Dose: 1.8 mg/kg IV (max 180 mg) every 3 weeks until progression of disease or unacceptable toxicity</w:t>
            </w:r>
          </w:p>
          <w:p w14:paraId="2DA5F1CD" w14:textId="77777777" w:rsidR="001506C1" w:rsidRPr="00FA3F9C" w:rsidRDefault="001506C1" w:rsidP="00804A4D">
            <w:pPr>
              <w:rPr>
                <w:rFonts w:ascii="Arial" w:hAnsi="Arial" w:cs="Arial"/>
                <w:sz w:val="24"/>
                <w:szCs w:val="24"/>
              </w:rPr>
            </w:pPr>
          </w:p>
          <w:p w14:paraId="523A1F63" w14:textId="77777777" w:rsidR="001506C1" w:rsidRPr="00FA3F9C" w:rsidRDefault="001506C1" w:rsidP="00804A4D">
            <w:pPr>
              <w:rPr>
                <w:rFonts w:ascii="Arial" w:hAnsi="Arial" w:cs="Arial"/>
                <w:sz w:val="24"/>
                <w:szCs w:val="24"/>
              </w:rPr>
            </w:pPr>
            <w:r w:rsidRPr="00FA3F9C">
              <w:rPr>
                <w:rFonts w:ascii="Arial" w:hAnsi="Arial" w:cs="Arial"/>
                <w:sz w:val="24"/>
                <w:szCs w:val="24"/>
              </w:rPr>
              <w:t>References:</w:t>
            </w:r>
          </w:p>
          <w:p w14:paraId="1AD2F19C" w14:textId="77777777" w:rsidR="001506C1" w:rsidRPr="00FA3F9C" w:rsidRDefault="001506C1" w:rsidP="001506C1">
            <w:pPr>
              <w:numPr>
                <w:ilvl w:val="0"/>
                <w:numId w:val="72"/>
              </w:numPr>
              <w:spacing w:after="0" w:line="240" w:lineRule="auto"/>
              <w:rPr>
                <w:rFonts w:ascii="Arial" w:hAnsi="Arial" w:cs="Arial"/>
                <w:sz w:val="24"/>
                <w:szCs w:val="24"/>
              </w:rPr>
            </w:pPr>
            <w:r w:rsidRPr="00FA3F9C">
              <w:rPr>
                <w:rFonts w:ascii="Arial" w:hAnsi="Arial" w:cs="Arial"/>
                <w:sz w:val="24"/>
                <w:szCs w:val="24"/>
              </w:rPr>
              <w:t xml:space="preserve">Pro B et al. Five-year results of brentuximab </w:t>
            </w:r>
            <w:proofErr w:type="spellStart"/>
            <w:r w:rsidRPr="00FA3F9C">
              <w:rPr>
                <w:rFonts w:ascii="Arial" w:hAnsi="Arial" w:cs="Arial"/>
                <w:sz w:val="24"/>
                <w:szCs w:val="24"/>
              </w:rPr>
              <w:t>vedotin</w:t>
            </w:r>
            <w:proofErr w:type="spellEnd"/>
            <w:r w:rsidRPr="00FA3F9C">
              <w:rPr>
                <w:rFonts w:ascii="Arial" w:hAnsi="Arial" w:cs="Arial"/>
                <w:sz w:val="24"/>
                <w:szCs w:val="24"/>
              </w:rPr>
              <w:t xml:space="preserve"> in patients with relapsed or refractory systemic anaplastic large cell lymphoma. Blood. 2017 Dec 21;130(25):2709-2717. PMID 28974506 NCT00866047</w:t>
            </w:r>
          </w:p>
          <w:p w14:paraId="298B9C94" w14:textId="77777777" w:rsidR="001506C1" w:rsidRPr="00FA3F9C" w:rsidRDefault="001506C1" w:rsidP="001506C1">
            <w:pPr>
              <w:numPr>
                <w:ilvl w:val="0"/>
                <w:numId w:val="72"/>
              </w:numPr>
              <w:spacing w:after="0" w:line="240" w:lineRule="auto"/>
              <w:rPr>
                <w:rFonts w:ascii="Arial" w:hAnsi="Arial" w:cs="Arial"/>
                <w:sz w:val="24"/>
                <w:szCs w:val="24"/>
              </w:rPr>
            </w:pPr>
            <w:r w:rsidRPr="00FA3F9C">
              <w:rPr>
                <w:rFonts w:ascii="Arial" w:hAnsi="Arial" w:cs="Arial"/>
                <w:sz w:val="24"/>
                <w:szCs w:val="24"/>
              </w:rPr>
              <w:t xml:space="preserve">NCCN guidelines for T-cell lymphomas: </w:t>
            </w:r>
            <w:hyperlink r:id="rId63" w:history="1">
              <w:r w:rsidRPr="00FA3F9C">
                <w:rPr>
                  <w:rStyle w:val="Hyperlink"/>
                  <w:rFonts w:ascii="Arial" w:hAnsi="Arial" w:cs="Arial"/>
                  <w:sz w:val="24"/>
                  <w:szCs w:val="24"/>
                </w:rPr>
                <w:t>https://www.nccn.org/professionals/physician_gls/pdf/t-cell.pdf</w:t>
              </w:r>
            </w:hyperlink>
            <w:r w:rsidRPr="00FA3F9C">
              <w:rPr>
                <w:rFonts w:ascii="Arial" w:hAnsi="Arial" w:cs="Arial"/>
                <w:sz w:val="24"/>
                <w:szCs w:val="24"/>
              </w:rPr>
              <w:t xml:space="preserve">  </w:t>
            </w:r>
          </w:p>
          <w:p w14:paraId="6C02A85D" w14:textId="77777777" w:rsidR="001506C1" w:rsidRPr="00FA3F9C" w:rsidRDefault="001506C1" w:rsidP="001506C1">
            <w:pPr>
              <w:numPr>
                <w:ilvl w:val="0"/>
                <w:numId w:val="72"/>
              </w:numPr>
              <w:spacing w:after="0" w:line="240" w:lineRule="auto"/>
              <w:rPr>
                <w:rFonts w:ascii="Arial" w:hAnsi="Arial" w:cs="Arial"/>
                <w:sz w:val="24"/>
                <w:szCs w:val="24"/>
              </w:rPr>
            </w:pPr>
            <w:r w:rsidRPr="00FA3F9C">
              <w:rPr>
                <w:rFonts w:ascii="Arial" w:hAnsi="Arial" w:cs="Arial"/>
                <w:sz w:val="24"/>
                <w:szCs w:val="24"/>
              </w:rPr>
              <w:lastRenderedPageBreak/>
              <w:t xml:space="preserve">Prince HM et al. Brentuximab </w:t>
            </w:r>
            <w:proofErr w:type="spellStart"/>
            <w:r w:rsidRPr="00FA3F9C">
              <w:rPr>
                <w:rFonts w:ascii="Arial" w:hAnsi="Arial" w:cs="Arial"/>
                <w:sz w:val="24"/>
                <w:szCs w:val="24"/>
              </w:rPr>
              <w:t>vedotin</w:t>
            </w:r>
            <w:proofErr w:type="spellEnd"/>
            <w:r w:rsidRPr="00FA3F9C">
              <w:rPr>
                <w:rFonts w:ascii="Arial" w:hAnsi="Arial" w:cs="Arial"/>
                <w:sz w:val="24"/>
                <w:szCs w:val="24"/>
              </w:rPr>
              <w:t xml:space="preserve"> or physician's choice in CD30-positive cutaneous T-cell lymphoma (ALCANZA): an international, open-label, </w:t>
            </w:r>
            <w:proofErr w:type="spellStart"/>
            <w:r w:rsidRPr="00FA3F9C">
              <w:rPr>
                <w:rFonts w:ascii="Arial" w:hAnsi="Arial" w:cs="Arial"/>
                <w:sz w:val="24"/>
                <w:szCs w:val="24"/>
              </w:rPr>
              <w:t>randomised</w:t>
            </w:r>
            <w:proofErr w:type="spellEnd"/>
            <w:r w:rsidRPr="00FA3F9C">
              <w:rPr>
                <w:rFonts w:ascii="Arial" w:hAnsi="Arial" w:cs="Arial"/>
                <w:sz w:val="24"/>
                <w:szCs w:val="24"/>
              </w:rPr>
              <w:t xml:space="preserve">, phase 3, </w:t>
            </w:r>
            <w:proofErr w:type="spellStart"/>
            <w:r w:rsidRPr="00FA3F9C">
              <w:rPr>
                <w:rFonts w:ascii="Arial" w:hAnsi="Arial" w:cs="Arial"/>
                <w:sz w:val="24"/>
                <w:szCs w:val="24"/>
              </w:rPr>
              <w:t>multicentre</w:t>
            </w:r>
            <w:proofErr w:type="spellEnd"/>
            <w:r w:rsidRPr="00FA3F9C">
              <w:rPr>
                <w:rFonts w:ascii="Arial" w:hAnsi="Arial" w:cs="Arial"/>
                <w:sz w:val="24"/>
                <w:szCs w:val="24"/>
              </w:rPr>
              <w:t xml:space="preserve"> trial. Lancet. 2017 Aug 5;390(10094):555-566. PMID 28600132</w:t>
            </w:r>
          </w:p>
        </w:tc>
      </w:tr>
    </w:tbl>
    <w:p w14:paraId="0CEFF4FA" w14:textId="77777777" w:rsidR="001506C1" w:rsidRPr="00FA3F9C" w:rsidRDefault="001506C1" w:rsidP="007C01FE">
      <w:pPr>
        <w:shd w:val="clear" w:color="auto" w:fill="FFFFFF"/>
        <w:rPr>
          <w:rFonts w:ascii="Arial" w:hAnsi="Arial" w:cs="Arial"/>
          <w:sz w:val="24"/>
          <w:szCs w:val="24"/>
        </w:rPr>
      </w:pPr>
    </w:p>
    <w:p w14:paraId="6C95D736" w14:textId="77777777" w:rsidR="001506C1" w:rsidRPr="00FA3F9C" w:rsidRDefault="001506C1" w:rsidP="00BD761B">
      <w:pPr>
        <w:jc w:val="right"/>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7380"/>
        <w:gridCol w:w="1908"/>
      </w:tblGrid>
      <w:tr w:rsidR="001506C1" w:rsidRPr="00FA3F9C" w14:paraId="1F2CD58C" w14:textId="77777777" w:rsidTr="005A5CD2">
        <w:tc>
          <w:tcPr>
            <w:tcW w:w="1008" w:type="dxa"/>
          </w:tcPr>
          <w:p w14:paraId="4B6E1BE4" w14:textId="77777777" w:rsidR="001506C1" w:rsidRPr="00FA3F9C" w:rsidRDefault="001506C1" w:rsidP="00954633">
            <w:pPr>
              <w:rPr>
                <w:rFonts w:ascii="Arial" w:hAnsi="Arial" w:cs="Arial"/>
                <w:sz w:val="24"/>
                <w:szCs w:val="24"/>
              </w:rPr>
            </w:pPr>
            <w:r w:rsidRPr="00FA3F9C">
              <w:rPr>
                <w:rFonts w:ascii="Arial" w:hAnsi="Arial" w:cs="Arial"/>
                <w:sz w:val="24"/>
                <w:szCs w:val="24"/>
              </w:rPr>
              <w:t>Date</w:t>
            </w:r>
          </w:p>
        </w:tc>
        <w:tc>
          <w:tcPr>
            <w:tcW w:w="7380" w:type="dxa"/>
          </w:tcPr>
          <w:p w14:paraId="5A30DB9C" w14:textId="77777777" w:rsidR="001506C1" w:rsidRPr="00FA3F9C" w:rsidRDefault="001506C1" w:rsidP="00954633">
            <w:pPr>
              <w:rPr>
                <w:rFonts w:ascii="Arial" w:hAnsi="Arial" w:cs="Arial"/>
                <w:sz w:val="24"/>
                <w:szCs w:val="24"/>
              </w:rPr>
            </w:pPr>
            <w:r w:rsidRPr="00FA3F9C">
              <w:rPr>
                <w:rFonts w:ascii="Arial" w:hAnsi="Arial" w:cs="Arial"/>
                <w:sz w:val="24"/>
                <w:szCs w:val="24"/>
              </w:rPr>
              <w:t>What Changed?</w:t>
            </w:r>
          </w:p>
        </w:tc>
        <w:tc>
          <w:tcPr>
            <w:tcW w:w="1908" w:type="dxa"/>
          </w:tcPr>
          <w:p w14:paraId="1F65CB16" w14:textId="77777777" w:rsidR="001506C1" w:rsidRPr="00FA3F9C" w:rsidRDefault="001506C1" w:rsidP="00954633">
            <w:pPr>
              <w:rPr>
                <w:rFonts w:ascii="Arial" w:hAnsi="Arial" w:cs="Arial"/>
                <w:sz w:val="24"/>
                <w:szCs w:val="24"/>
              </w:rPr>
            </w:pPr>
            <w:r w:rsidRPr="00FA3F9C">
              <w:rPr>
                <w:rFonts w:ascii="Arial" w:hAnsi="Arial" w:cs="Arial"/>
                <w:sz w:val="24"/>
                <w:szCs w:val="24"/>
              </w:rPr>
              <w:t>Pharmacist’s initials</w:t>
            </w:r>
          </w:p>
        </w:tc>
      </w:tr>
      <w:tr w:rsidR="001506C1" w:rsidRPr="00FA3F9C" w14:paraId="59013451" w14:textId="77777777" w:rsidTr="005A5CD2">
        <w:tc>
          <w:tcPr>
            <w:tcW w:w="1008" w:type="dxa"/>
          </w:tcPr>
          <w:p w14:paraId="16092B70" w14:textId="77777777" w:rsidR="001506C1" w:rsidRPr="00FA3F9C" w:rsidRDefault="001506C1" w:rsidP="00954633">
            <w:pPr>
              <w:rPr>
                <w:rFonts w:ascii="Arial" w:hAnsi="Arial" w:cs="Arial"/>
                <w:sz w:val="24"/>
                <w:szCs w:val="24"/>
              </w:rPr>
            </w:pPr>
            <w:r w:rsidRPr="00FA3F9C">
              <w:rPr>
                <w:rFonts w:ascii="Arial" w:hAnsi="Arial" w:cs="Arial"/>
                <w:sz w:val="24"/>
                <w:szCs w:val="24"/>
              </w:rPr>
              <w:t>6/10/14</w:t>
            </w:r>
          </w:p>
        </w:tc>
        <w:tc>
          <w:tcPr>
            <w:tcW w:w="7380" w:type="dxa"/>
          </w:tcPr>
          <w:p w14:paraId="78D4176A" w14:textId="77777777" w:rsidR="001506C1" w:rsidRPr="00FA3F9C" w:rsidRDefault="001506C1" w:rsidP="00954633">
            <w:pPr>
              <w:rPr>
                <w:rFonts w:ascii="Arial" w:hAnsi="Arial" w:cs="Arial"/>
                <w:sz w:val="24"/>
                <w:szCs w:val="24"/>
              </w:rPr>
            </w:pPr>
            <w:r w:rsidRPr="00FA3F9C">
              <w:rPr>
                <w:rFonts w:ascii="Arial" w:hAnsi="Arial" w:cs="Arial"/>
                <w:sz w:val="24"/>
                <w:szCs w:val="24"/>
              </w:rPr>
              <w:t>JJ created PA criteria. Sidney’s handout is in Jill’s electronic file contracts/DUEC Drug Delivery/Brentuximab</w:t>
            </w:r>
          </w:p>
        </w:tc>
        <w:tc>
          <w:tcPr>
            <w:tcW w:w="1908" w:type="dxa"/>
          </w:tcPr>
          <w:p w14:paraId="7B933265" w14:textId="027DB917" w:rsidR="001506C1" w:rsidRPr="00FA3F9C" w:rsidRDefault="005C142D" w:rsidP="00954633">
            <w:pPr>
              <w:rPr>
                <w:rFonts w:ascii="Arial" w:hAnsi="Arial" w:cs="Arial"/>
                <w:sz w:val="24"/>
                <w:szCs w:val="24"/>
              </w:rPr>
            </w:pPr>
            <w:r w:rsidRPr="00FA3F9C">
              <w:rPr>
                <w:rFonts w:ascii="Arial" w:hAnsi="Arial" w:cs="Arial"/>
                <w:sz w:val="24"/>
                <w:szCs w:val="24"/>
              </w:rPr>
              <w:t>JJ</w:t>
            </w:r>
          </w:p>
        </w:tc>
      </w:tr>
      <w:tr w:rsidR="001506C1" w:rsidRPr="00FA3F9C" w14:paraId="06C1A24E" w14:textId="77777777" w:rsidTr="005A5CD2">
        <w:tc>
          <w:tcPr>
            <w:tcW w:w="1008" w:type="dxa"/>
          </w:tcPr>
          <w:p w14:paraId="1E40E95C" w14:textId="77777777" w:rsidR="001506C1" w:rsidRPr="00FA3F9C" w:rsidRDefault="001506C1" w:rsidP="00954633">
            <w:pPr>
              <w:rPr>
                <w:rFonts w:ascii="Arial" w:hAnsi="Arial" w:cs="Arial"/>
                <w:sz w:val="24"/>
                <w:szCs w:val="24"/>
              </w:rPr>
            </w:pPr>
            <w:r w:rsidRPr="00FA3F9C">
              <w:rPr>
                <w:rFonts w:ascii="Arial" w:hAnsi="Arial" w:cs="Arial"/>
                <w:sz w:val="24"/>
                <w:szCs w:val="24"/>
              </w:rPr>
              <w:t>6/17/19</w:t>
            </w:r>
          </w:p>
        </w:tc>
        <w:tc>
          <w:tcPr>
            <w:tcW w:w="7380" w:type="dxa"/>
          </w:tcPr>
          <w:p w14:paraId="3B453169" w14:textId="77777777" w:rsidR="001506C1" w:rsidRPr="00FA3F9C" w:rsidRDefault="001506C1" w:rsidP="00C407C4">
            <w:pPr>
              <w:rPr>
                <w:rFonts w:ascii="Arial" w:hAnsi="Arial" w:cs="Arial"/>
                <w:sz w:val="24"/>
                <w:szCs w:val="24"/>
              </w:rPr>
            </w:pPr>
            <w:r w:rsidRPr="00FA3F9C">
              <w:rPr>
                <w:rFonts w:ascii="Arial" w:hAnsi="Arial" w:cs="Arial"/>
                <w:sz w:val="24"/>
                <w:szCs w:val="24"/>
              </w:rPr>
              <w:t xml:space="preserve">Criteria reviewed: add new </w:t>
            </w:r>
            <w:r w:rsidRPr="00FA3F9C">
              <w:rPr>
                <w:rFonts w:ascii="Arial" w:hAnsi="Arial" w:cs="Arial"/>
                <w:b/>
                <w:sz w:val="24"/>
                <w:szCs w:val="24"/>
              </w:rPr>
              <w:t xml:space="preserve">covered </w:t>
            </w:r>
            <w:r w:rsidRPr="00FA3F9C">
              <w:rPr>
                <w:rFonts w:ascii="Arial" w:hAnsi="Arial" w:cs="Arial"/>
                <w:sz w:val="24"/>
                <w:szCs w:val="24"/>
              </w:rPr>
              <w:t xml:space="preserve">indications: </w:t>
            </w:r>
          </w:p>
          <w:p w14:paraId="68854B74" w14:textId="77777777" w:rsidR="001506C1" w:rsidRPr="00FA3F9C" w:rsidRDefault="001506C1" w:rsidP="001506C1">
            <w:pPr>
              <w:numPr>
                <w:ilvl w:val="0"/>
                <w:numId w:val="73"/>
              </w:numPr>
              <w:spacing w:after="0" w:line="240" w:lineRule="auto"/>
              <w:rPr>
                <w:rFonts w:ascii="Arial" w:hAnsi="Arial" w:cs="Arial"/>
                <w:sz w:val="24"/>
                <w:szCs w:val="24"/>
              </w:rPr>
            </w:pPr>
            <w:r w:rsidRPr="00FA3F9C">
              <w:rPr>
                <w:rFonts w:ascii="Arial" w:hAnsi="Arial" w:cs="Arial"/>
                <w:sz w:val="24"/>
                <w:szCs w:val="24"/>
              </w:rPr>
              <w:t xml:space="preserve">high-risk Hodgkin lymphoma patients after autologous stem cell transplant, </w:t>
            </w:r>
          </w:p>
          <w:p w14:paraId="5CAC97D3" w14:textId="77777777" w:rsidR="001506C1" w:rsidRPr="00FA3F9C" w:rsidRDefault="001506C1" w:rsidP="001506C1">
            <w:pPr>
              <w:numPr>
                <w:ilvl w:val="0"/>
                <w:numId w:val="73"/>
              </w:numPr>
              <w:spacing w:after="0" w:line="240" w:lineRule="auto"/>
              <w:rPr>
                <w:rFonts w:ascii="Arial" w:hAnsi="Arial" w:cs="Arial"/>
                <w:sz w:val="24"/>
                <w:szCs w:val="24"/>
              </w:rPr>
            </w:pPr>
            <w:r w:rsidRPr="00FA3F9C">
              <w:rPr>
                <w:rFonts w:ascii="Arial" w:hAnsi="Arial" w:cs="Arial"/>
                <w:sz w:val="24"/>
                <w:szCs w:val="24"/>
              </w:rPr>
              <w:t xml:space="preserve">untreated ALCL or PTCL, </w:t>
            </w:r>
          </w:p>
          <w:p w14:paraId="64496F10" w14:textId="77777777" w:rsidR="001506C1" w:rsidRPr="00FA3F9C" w:rsidRDefault="001506C1" w:rsidP="001506C1">
            <w:pPr>
              <w:numPr>
                <w:ilvl w:val="0"/>
                <w:numId w:val="73"/>
              </w:numPr>
              <w:spacing w:after="0" w:line="240" w:lineRule="auto"/>
              <w:rPr>
                <w:rFonts w:ascii="Arial" w:hAnsi="Arial" w:cs="Arial"/>
                <w:sz w:val="24"/>
                <w:szCs w:val="24"/>
              </w:rPr>
            </w:pPr>
            <w:r w:rsidRPr="00FA3F9C">
              <w:rPr>
                <w:rFonts w:ascii="Arial" w:hAnsi="Arial" w:cs="Arial"/>
                <w:sz w:val="24"/>
                <w:szCs w:val="24"/>
              </w:rPr>
              <w:t xml:space="preserve">cutaneous ALCL or </w:t>
            </w:r>
          </w:p>
          <w:p w14:paraId="7036AADA" w14:textId="77777777" w:rsidR="001506C1" w:rsidRPr="00FA3F9C" w:rsidRDefault="001506C1" w:rsidP="001506C1">
            <w:pPr>
              <w:numPr>
                <w:ilvl w:val="0"/>
                <w:numId w:val="73"/>
              </w:numPr>
              <w:spacing w:after="0" w:line="240" w:lineRule="auto"/>
              <w:rPr>
                <w:rFonts w:ascii="Arial" w:hAnsi="Arial" w:cs="Arial"/>
                <w:sz w:val="24"/>
                <w:szCs w:val="24"/>
              </w:rPr>
            </w:pPr>
            <w:r w:rsidRPr="00FA3F9C">
              <w:rPr>
                <w:rFonts w:ascii="Arial" w:hAnsi="Arial" w:cs="Arial"/>
                <w:sz w:val="24"/>
                <w:szCs w:val="24"/>
              </w:rPr>
              <w:t xml:space="preserve">mycosis fungoides. </w:t>
            </w:r>
          </w:p>
          <w:p w14:paraId="7C455890" w14:textId="77777777" w:rsidR="001506C1" w:rsidRPr="00FA3F9C" w:rsidRDefault="001506C1" w:rsidP="005A5CD2">
            <w:pPr>
              <w:rPr>
                <w:rFonts w:ascii="Arial" w:hAnsi="Arial" w:cs="Arial"/>
                <w:sz w:val="24"/>
                <w:szCs w:val="24"/>
              </w:rPr>
            </w:pPr>
            <w:r w:rsidRPr="00FA3F9C">
              <w:rPr>
                <w:rFonts w:ascii="Arial" w:hAnsi="Arial" w:cs="Arial"/>
                <w:sz w:val="24"/>
                <w:szCs w:val="24"/>
              </w:rPr>
              <w:t>The following new indication will not be covered: untreated Hodgkin Lymphoma</w:t>
            </w:r>
          </w:p>
        </w:tc>
        <w:tc>
          <w:tcPr>
            <w:tcW w:w="1908" w:type="dxa"/>
          </w:tcPr>
          <w:p w14:paraId="0B6397C2" w14:textId="77777777" w:rsidR="001506C1" w:rsidRPr="00FA3F9C" w:rsidRDefault="001506C1" w:rsidP="00954633">
            <w:pPr>
              <w:rPr>
                <w:rFonts w:ascii="Arial" w:hAnsi="Arial" w:cs="Arial"/>
                <w:sz w:val="24"/>
                <w:szCs w:val="24"/>
              </w:rPr>
            </w:pPr>
            <w:r w:rsidRPr="00FA3F9C">
              <w:rPr>
                <w:rFonts w:ascii="Arial" w:hAnsi="Arial" w:cs="Arial"/>
                <w:sz w:val="24"/>
                <w:szCs w:val="24"/>
              </w:rPr>
              <w:t>SK</w:t>
            </w:r>
          </w:p>
        </w:tc>
      </w:tr>
      <w:tr w:rsidR="001506C1" w:rsidRPr="00FA3F9C" w14:paraId="7BFA068A" w14:textId="77777777" w:rsidTr="005A5CD2">
        <w:tc>
          <w:tcPr>
            <w:tcW w:w="1008" w:type="dxa"/>
          </w:tcPr>
          <w:p w14:paraId="4D7C3FFC" w14:textId="77777777" w:rsidR="001506C1" w:rsidRPr="00FA3F9C" w:rsidRDefault="001506C1" w:rsidP="00954633">
            <w:pPr>
              <w:rPr>
                <w:rFonts w:ascii="Arial" w:hAnsi="Arial" w:cs="Arial"/>
                <w:sz w:val="24"/>
                <w:szCs w:val="24"/>
              </w:rPr>
            </w:pPr>
            <w:r w:rsidRPr="00FA3F9C">
              <w:rPr>
                <w:rFonts w:ascii="Arial" w:hAnsi="Arial" w:cs="Arial"/>
                <w:sz w:val="24"/>
                <w:szCs w:val="24"/>
              </w:rPr>
              <w:t>6/16/2020</w:t>
            </w:r>
          </w:p>
        </w:tc>
        <w:tc>
          <w:tcPr>
            <w:tcW w:w="7380" w:type="dxa"/>
          </w:tcPr>
          <w:p w14:paraId="32AF827C" w14:textId="77777777" w:rsidR="001506C1" w:rsidRPr="00FA3F9C" w:rsidRDefault="001506C1" w:rsidP="00C407C4">
            <w:pPr>
              <w:rPr>
                <w:rFonts w:ascii="Arial" w:hAnsi="Arial" w:cs="Arial"/>
                <w:sz w:val="24"/>
                <w:szCs w:val="24"/>
              </w:rPr>
            </w:pPr>
            <w:r w:rsidRPr="00FA3F9C">
              <w:rPr>
                <w:rFonts w:ascii="Arial" w:hAnsi="Arial" w:cs="Arial"/>
                <w:sz w:val="24"/>
                <w:szCs w:val="24"/>
              </w:rPr>
              <w:t>Criteria reviewed. No changes</w:t>
            </w:r>
          </w:p>
        </w:tc>
        <w:tc>
          <w:tcPr>
            <w:tcW w:w="1908" w:type="dxa"/>
          </w:tcPr>
          <w:p w14:paraId="122DA405" w14:textId="77777777" w:rsidR="001506C1" w:rsidRPr="00FA3F9C" w:rsidRDefault="001506C1" w:rsidP="00954633">
            <w:pPr>
              <w:rPr>
                <w:rFonts w:ascii="Arial" w:hAnsi="Arial" w:cs="Arial"/>
                <w:sz w:val="24"/>
                <w:szCs w:val="24"/>
              </w:rPr>
            </w:pPr>
            <w:r w:rsidRPr="00FA3F9C">
              <w:rPr>
                <w:rFonts w:ascii="Arial" w:hAnsi="Arial" w:cs="Arial"/>
                <w:sz w:val="24"/>
                <w:szCs w:val="24"/>
              </w:rPr>
              <w:t>SK</w:t>
            </w:r>
          </w:p>
        </w:tc>
      </w:tr>
      <w:tr w:rsidR="001506C1" w:rsidRPr="00FA3F9C" w14:paraId="44FB063D" w14:textId="77777777" w:rsidTr="005A5CD2">
        <w:tc>
          <w:tcPr>
            <w:tcW w:w="1008" w:type="dxa"/>
          </w:tcPr>
          <w:p w14:paraId="41D9DB36" w14:textId="77777777" w:rsidR="001506C1" w:rsidRPr="00FA3F9C" w:rsidRDefault="001506C1" w:rsidP="00954633">
            <w:pPr>
              <w:rPr>
                <w:rFonts w:ascii="Arial" w:hAnsi="Arial" w:cs="Arial"/>
                <w:sz w:val="24"/>
                <w:szCs w:val="24"/>
              </w:rPr>
            </w:pPr>
            <w:r w:rsidRPr="00FA3F9C">
              <w:rPr>
                <w:rFonts w:ascii="Arial" w:hAnsi="Arial" w:cs="Arial"/>
                <w:sz w:val="24"/>
                <w:szCs w:val="24"/>
              </w:rPr>
              <w:t>9/1/2021</w:t>
            </w:r>
          </w:p>
        </w:tc>
        <w:tc>
          <w:tcPr>
            <w:tcW w:w="7380" w:type="dxa"/>
          </w:tcPr>
          <w:p w14:paraId="5DBB82DA" w14:textId="77777777" w:rsidR="001506C1" w:rsidRPr="00FA3F9C" w:rsidRDefault="001506C1" w:rsidP="0041077F">
            <w:pPr>
              <w:rPr>
                <w:rFonts w:ascii="Arial" w:hAnsi="Arial" w:cs="Arial"/>
                <w:sz w:val="24"/>
                <w:szCs w:val="24"/>
              </w:rPr>
            </w:pPr>
            <w:r w:rsidRPr="00FA3F9C">
              <w:rPr>
                <w:rFonts w:ascii="Arial" w:hAnsi="Arial" w:cs="Arial"/>
                <w:sz w:val="24"/>
                <w:szCs w:val="24"/>
              </w:rPr>
              <w:t xml:space="preserve">Criteria reviewed. No changes. </w:t>
            </w:r>
          </w:p>
        </w:tc>
        <w:tc>
          <w:tcPr>
            <w:tcW w:w="1908" w:type="dxa"/>
          </w:tcPr>
          <w:p w14:paraId="7D97D609" w14:textId="77777777" w:rsidR="001506C1" w:rsidRPr="00FA3F9C" w:rsidRDefault="001506C1" w:rsidP="00954633">
            <w:pPr>
              <w:rPr>
                <w:rFonts w:ascii="Arial" w:hAnsi="Arial" w:cs="Arial"/>
                <w:sz w:val="24"/>
                <w:szCs w:val="24"/>
              </w:rPr>
            </w:pPr>
            <w:r w:rsidRPr="00FA3F9C">
              <w:rPr>
                <w:rFonts w:ascii="Arial" w:hAnsi="Arial" w:cs="Arial"/>
                <w:sz w:val="24"/>
                <w:szCs w:val="24"/>
              </w:rPr>
              <w:t>SK</w:t>
            </w:r>
          </w:p>
        </w:tc>
      </w:tr>
      <w:tr w:rsidR="001506C1" w:rsidRPr="00FA3F9C" w14:paraId="0A2EF8D2" w14:textId="77777777" w:rsidTr="005A5CD2">
        <w:tc>
          <w:tcPr>
            <w:tcW w:w="1008" w:type="dxa"/>
          </w:tcPr>
          <w:p w14:paraId="6D2B2C72" w14:textId="77777777" w:rsidR="001506C1" w:rsidRPr="00FA3F9C" w:rsidRDefault="001506C1" w:rsidP="00954633">
            <w:pPr>
              <w:rPr>
                <w:rFonts w:ascii="Arial" w:hAnsi="Arial" w:cs="Arial"/>
                <w:sz w:val="24"/>
                <w:szCs w:val="24"/>
              </w:rPr>
            </w:pPr>
            <w:r w:rsidRPr="00FA3F9C">
              <w:rPr>
                <w:rFonts w:ascii="Arial" w:hAnsi="Arial" w:cs="Arial"/>
                <w:sz w:val="24"/>
                <w:szCs w:val="24"/>
              </w:rPr>
              <w:t>3/22/2022</w:t>
            </w:r>
          </w:p>
        </w:tc>
        <w:tc>
          <w:tcPr>
            <w:tcW w:w="7380" w:type="dxa"/>
          </w:tcPr>
          <w:p w14:paraId="2C550CE6" w14:textId="77777777" w:rsidR="001506C1" w:rsidRPr="00FA3F9C" w:rsidRDefault="001506C1" w:rsidP="0041077F">
            <w:pPr>
              <w:rPr>
                <w:rFonts w:ascii="Arial" w:hAnsi="Arial" w:cs="Arial"/>
                <w:sz w:val="24"/>
                <w:szCs w:val="24"/>
              </w:rPr>
            </w:pPr>
            <w:r w:rsidRPr="00FA3F9C">
              <w:rPr>
                <w:rFonts w:ascii="Arial" w:hAnsi="Arial" w:cs="Arial"/>
                <w:sz w:val="24"/>
                <w:szCs w:val="24"/>
              </w:rPr>
              <w:t>Added updated ECHELON-1 reference for first line indication. No change in criteria</w:t>
            </w:r>
          </w:p>
        </w:tc>
        <w:tc>
          <w:tcPr>
            <w:tcW w:w="1908" w:type="dxa"/>
          </w:tcPr>
          <w:p w14:paraId="55DC9438" w14:textId="77777777" w:rsidR="001506C1" w:rsidRPr="00FA3F9C" w:rsidRDefault="001506C1" w:rsidP="00954633">
            <w:pPr>
              <w:rPr>
                <w:rFonts w:ascii="Arial" w:hAnsi="Arial" w:cs="Arial"/>
                <w:sz w:val="24"/>
                <w:szCs w:val="24"/>
              </w:rPr>
            </w:pPr>
            <w:r w:rsidRPr="00FA3F9C">
              <w:rPr>
                <w:rFonts w:ascii="Arial" w:hAnsi="Arial" w:cs="Arial"/>
                <w:sz w:val="24"/>
                <w:szCs w:val="24"/>
              </w:rPr>
              <w:t>SK</w:t>
            </w:r>
          </w:p>
        </w:tc>
      </w:tr>
    </w:tbl>
    <w:p w14:paraId="470C46E9" w14:textId="77777777" w:rsidR="001506C1" w:rsidRPr="00FA3F9C" w:rsidRDefault="001506C1" w:rsidP="00BD761B">
      <w:pPr>
        <w:jc w:val="right"/>
        <w:rPr>
          <w:rFonts w:ascii="Arial" w:hAnsi="Arial" w:cs="Arial"/>
          <w:sz w:val="24"/>
          <w:szCs w:val="24"/>
        </w:rPr>
      </w:pPr>
    </w:p>
    <w:p w14:paraId="3D094272" w14:textId="77777777" w:rsidR="001506C1" w:rsidRPr="00FA3F9C" w:rsidRDefault="001506C1" w:rsidP="00BD761B">
      <w:pPr>
        <w:jc w:val="right"/>
        <w:rPr>
          <w:rFonts w:ascii="Arial" w:hAnsi="Arial" w:cs="Arial"/>
          <w:sz w:val="24"/>
          <w:szCs w:val="24"/>
        </w:rPr>
      </w:pPr>
    </w:p>
    <w:p w14:paraId="2746D52D" w14:textId="77777777" w:rsidR="001506C1" w:rsidRPr="00FA3F9C" w:rsidRDefault="001506C1" w:rsidP="00E237F4">
      <w:pPr>
        <w:rPr>
          <w:rFonts w:ascii="Arial" w:hAnsi="Arial" w:cs="Arial"/>
          <w:sz w:val="24"/>
          <w:szCs w:val="24"/>
        </w:rPr>
      </w:pPr>
    </w:p>
    <w:p w14:paraId="3FB2A3A2" w14:textId="77777777" w:rsidR="00FC1E85" w:rsidRDefault="001506C1" w:rsidP="00FC1E85">
      <w:pPr>
        <w:pStyle w:val="Heading2"/>
      </w:pPr>
      <w:bookmarkStart w:id="41" w:name="_Toc106369742"/>
      <w:proofErr w:type="spellStart"/>
      <w:r w:rsidRPr="00FA3F9C">
        <w:lastRenderedPageBreak/>
        <w:t>Brexanolone</w:t>
      </w:r>
      <w:proofErr w:type="spellEnd"/>
      <w:r w:rsidRPr="00FA3F9C">
        <w:t xml:space="preserve"> (</w:t>
      </w:r>
      <w:proofErr w:type="spellStart"/>
      <w:r w:rsidRPr="00FA3F9C">
        <w:t>Zulresso</w:t>
      </w:r>
      <w:proofErr w:type="spellEnd"/>
      <w:r w:rsidRPr="00FA3F9C">
        <w:t>)</w:t>
      </w:r>
      <w:bookmarkEnd w:id="41"/>
    </w:p>
    <w:p w14:paraId="058A1832" w14:textId="21E740EE" w:rsidR="001506C1" w:rsidRPr="00FA3F9C" w:rsidRDefault="001506C1" w:rsidP="006F623F">
      <w:pPr>
        <w:spacing w:after="0"/>
        <w:jc w:val="center"/>
        <w:rPr>
          <w:rFonts w:ascii="Arial" w:hAnsi="Arial" w:cs="Arial"/>
          <w:sz w:val="24"/>
          <w:szCs w:val="24"/>
        </w:rPr>
      </w:pPr>
      <w:r w:rsidRPr="00FA3F9C">
        <w:rPr>
          <w:rFonts w:ascii="Arial" w:hAnsi="Arial" w:cs="Arial"/>
          <w:sz w:val="24"/>
          <w:szCs w:val="24"/>
        </w:rPr>
        <w:t>MEDICAL PA</w:t>
      </w:r>
    </w:p>
    <w:p w14:paraId="1DCEE90B" w14:textId="77777777" w:rsidR="001506C1" w:rsidRPr="00FA3F9C" w:rsidRDefault="001506C1" w:rsidP="006F623F">
      <w:pPr>
        <w:spacing w:after="0"/>
        <w:jc w:val="center"/>
        <w:rPr>
          <w:rFonts w:ascii="Arial" w:hAnsi="Arial" w:cs="Arial"/>
          <w:sz w:val="24"/>
          <w:szCs w:val="24"/>
        </w:rPr>
      </w:pPr>
      <w:r w:rsidRPr="00FA3F9C">
        <w:rPr>
          <w:rFonts w:ascii="Arial" w:hAnsi="Arial" w:cs="Arial"/>
          <w:sz w:val="24"/>
          <w:szCs w:val="24"/>
        </w:rPr>
        <w:t>100mg/20mL for IV infusion</w:t>
      </w:r>
    </w:p>
    <w:p w14:paraId="25CF0B49" w14:textId="77777777" w:rsidR="001506C1" w:rsidRPr="00FA3F9C" w:rsidRDefault="001506C1" w:rsidP="006F623F">
      <w:pPr>
        <w:spacing w:after="0"/>
        <w:jc w:val="center"/>
        <w:rPr>
          <w:rFonts w:ascii="Arial" w:hAnsi="Arial" w:cs="Arial"/>
          <w:sz w:val="24"/>
          <w:szCs w:val="24"/>
        </w:rPr>
      </w:pPr>
      <w:r w:rsidRPr="00FA3F9C">
        <w:rPr>
          <w:rFonts w:ascii="Arial" w:hAnsi="Arial" w:cs="Arial"/>
          <w:sz w:val="24"/>
          <w:szCs w:val="24"/>
        </w:rPr>
        <w:t>EBRx PA Criteria</w:t>
      </w:r>
    </w:p>
    <w:p w14:paraId="12F0C384" w14:textId="77777777" w:rsidR="001506C1" w:rsidRPr="00FA3F9C" w:rsidRDefault="001506C1" w:rsidP="006F623F">
      <w:pPr>
        <w:spacing w:after="0"/>
        <w:rPr>
          <w:rFonts w:ascii="Arial" w:hAnsi="Arial" w:cs="Arial"/>
          <w:b/>
          <w:sz w:val="24"/>
          <w:szCs w:val="24"/>
          <w:u w:val="single"/>
        </w:rPr>
      </w:pPr>
    </w:p>
    <w:p w14:paraId="39896A2F" w14:textId="77777777" w:rsidR="001506C1" w:rsidRPr="00FA3F9C" w:rsidRDefault="001506C1"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postpartum depression</w:t>
      </w:r>
    </w:p>
    <w:tbl>
      <w:tblPr>
        <w:tblStyle w:val="TableGrid"/>
        <w:tblW w:w="0" w:type="auto"/>
        <w:tblLook w:val="04A0" w:firstRow="1" w:lastRow="0" w:firstColumn="1" w:lastColumn="0" w:noHBand="0" w:noVBand="1"/>
      </w:tblPr>
      <w:tblGrid>
        <w:gridCol w:w="8928"/>
        <w:gridCol w:w="2088"/>
      </w:tblGrid>
      <w:tr w:rsidR="001506C1" w:rsidRPr="00FA3F9C" w14:paraId="6C6B1806" w14:textId="77777777" w:rsidTr="00571CAB">
        <w:tc>
          <w:tcPr>
            <w:tcW w:w="8928" w:type="dxa"/>
            <w:shd w:val="clear" w:color="auto" w:fill="000000"/>
          </w:tcPr>
          <w:p w14:paraId="67BB4EA2" w14:textId="77777777" w:rsidR="001506C1" w:rsidRPr="00FA3F9C" w:rsidRDefault="001506C1"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88" w:type="dxa"/>
            <w:shd w:val="clear" w:color="auto" w:fill="000000"/>
          </w:tcPr>
          <w:p w14:paraId="17C49A96" w14:textId="77777777" w:rsidR="001506C1" w:rsidRPr="00FA3F9C" w:rsidRDefault="001506C1" w:rsidP="006F623F">
            <w:pPr>
              <w:jc w:val="center"/>
              <w:rPr>
                <w:rFonts w:ascii="Arial" w:hAnsi="Arial" w:cs="Arial"/>
                <w:b/>
                <w:sz w:val="24"/>
                <w:szCs w:val="24"/>
                <w:u w:val="single"/>
              </w:rPr>
            </w:pPr>
          </w:p>
        </w:tc>
      </w:tr>
      <w:tr w:rsidR="001506C1" w:rsidRPr="00FA3F9C" w14:paraId="156AE62F" w14:textId="77777777" w:rsidTr="00F337AE">
        <w:tc>
          <w:tcPr>
            <w:tcW w:w="11016" w:type="dxa"/>
            <w:gridSpan w:val="2"/>
          </w:tcPr>
          <w:p w14:paraId="63858C79" w14:textId="77777777" w:rsidR="001506C1" w:rsidRPr="00FA3F9C" w:rsidRDefault="001506C1" w:rsidP="006F623F">
            <w:pPr>
              <w:rPr>
                <w:rFonts w:ascii="Arial" w:hAnsi="Arial" w:cs="Arial"/>
                <w:sz w:val="24"/>
                <w:szCs w:val="24"/>
              </w:rPr>
            </w:pPr>
            <w:r w:rsidRPr="00FA3F9C">
              <w:rPr>
                <w:rFonts w:ascii="Arial" w:hAnsi="Arial" w:cs="Arial"/>
                <w:sz w:val="24"/>
                <w:szCs w:val="24"/>
              </w:rPr>
              <w:t xml:space="preserve">1. Patient must be </w:t>
            </w:r>
            <w:proofErr w:type="gramStart"/>
            <w:r w:rsidRPr="00FA3F9C">
              <w:rPr>
                <w:rFonts w:ascii="Arial" w:hAnsi="Arial" w:cs="Arial"/>
                <w:sz w:val="24"/>
                <w:szCs w:val="24"/>
              </w:rPr>
              <w:t>female, and</w:t>
            </w:r>
            <w:proofErr w:type="gramEnd"/>
            <w:r w:rsidRPr="00FA3F9C">
              <w:rPr>
                <w:rFonts w:ascii="Arial" w:hAnsi="Arial" w:cs="Arial"/>
                <w:sz w:val="24"/>
                <w:szCs w:val="24"/>
              </w:rPr>
              <w:t xml:space="preserve"> be at least temporarily not breastfeeding for 4 days after receiving </w:t>
            </w:r>
            <w:proofErr w:type="spellStart"/>
            <w:r w:rsidRPr="00FA3F9C">
              <w:rPr>
                <w:rFonts w:ascii="Arial" w:hAnsi="Arial" w:cs="Arial"/>
                <w:sz w:val="24"/>
                <w:szCs w:val="24"/>
              </w:rPr>
              <w:t>brexanolone</w:t>
            </w:r>
            <w:proofErr w:type="spellEnd"/>
            <w:r w:rsidRPr="00FA3F9C">
              <w:rPr>
                <w:rFonts w:ascii="Arial" w:hAnsi="Arial" w:cs="Arial"/>
                <w:sz w:val="24"/>
                <w:szCs w:val="24"/>
              </w:rPr>
              <w:t>.</w:t>
            </w:r>
          </w:p>
        </w:tc>
      </w:tr>
      <w:tr w:rsidR="001506C1" w:rsidRPr="00FA3F9C" w14:paraId="3A0D030E" w14:textId="77777777" w:rsidTr="00B1617E">
        <w:tc>
          <w:tcPr>
            <w:tcW w:w="11016" w:type="dxa"/>
            <w:gridSpan w:val="2"/>
          </w:tcPr>
          <w:p w14:paraId="410D65F3" w14:textId="77777777" w:rsidR="001506C1" w:rsidRPr="00FA3F9C" w:rsidRDefault="001506C1" w:rsidP="006F623F">
            <w:pPr>
              <w:rPr>
                <w:rFonts w:ascii="Arial" w:hAnsi="Arial" w:cs="Arial"/>
                <w:sz w:val="24"/>
                <w:szCs w:val="24"/>
              </w:rPr>
            </w:pPr>
            <w:r w:rsidRPr="00FA3F9C">
              <w:rPr>
                <w:rFonts w:ascii="Arial" w:hAnsi="Arial" w:cs="Arial"/>
                <w:sz w:val="24"/>
                <w:szCs w:val="24"/>
              </w:rPr>
              <w:t>2. Diagnosis of a major depressive episode with onset no later than 4 weeks after delivery</w:t>
            </w:r>
          </w:p>
        </w:tc>
      </w:tr>
      <w:tr w:rsidR="001506C1" w:rsidRPr="00FA3F9C" w14:paraId="11831718" w14:textId="77777777" w:rsidTr="00B1617E">
        <w:tc>
          <w:tcPr>
            <w:tcW w:w="11016" w:type="dxa"/>
            <w:gridSpan w:val="2"/>
          </w:tcPr>
          <w:p w14:paraId="203AF985" w14:textId="77777777" w:rsidR="001506C1" w:rsidRPr="00FA3F9C" w:rsidRDefault="001506C1" w:rsidP="006F623F">
            <w:pPr>
              <w:rPr>
                <w:rFonts w:ascii="Arial" w:hAnsi="Arial" w:cs="Arial"/>
                <w:sz w:val="24"/>
                <w:szCs w:val="24"/>
              </w:rPr>
            </w:pPr>
            <w:r w:rsidRPr="00FA3F9C">
              <w:rPr>
                <w:rFonts w:ascii="Arial" w:hAnsi="Arial" w:cs="Arial"/>
                <w:sz w:val="24"/>
                <w:szCs w:val="24"/>
              </w:rPr>
              <w:t>3. Currently 6 months or less postpartum.</w:t>
            </w:r>
          </w:p>
        </w:tc>
      </w:tr>
      <w:tr w:rsidR="001506C1" w:rsidRPr="00FA3F9C" w14:paraId="0F23F8D4" w14:textId="77777777" w:rsidTr="0010789D">
        <w:tc>
          <w:tcPr>
            <w:tcW w:w="11016" w:type="dxa"/>
            <w:gridSpan w:val="2"/>
          </w:tcPr>
          <w:p w14:paraId="6D19BAE6" w14:textId="77777777" w:rsidR="001506C1" w:rsidRPr="00FA3F9C" w:rsidRDefault="001506C1" w:rsidP="006F623F">
            <w:pPr>
              <w:rPr>
                <w:rFonts w:ascii="Arial" w:hAnsi="Arial" w:cs="Arial"/>
                <w:sz w:val="24"/>
                <w:szCs w:val="24"/>
              </w:rPr>
            </w:pPr>
            <w:r w:rsidRPr="00FA3F9C">
              <w:rPr>
                <w:rFonts w:ascii="Arial" w:hAnsi="Arial" w:cs="Arial"/>
                <w:sz w:val="24"/>
                <w:szCs w:val="24"/>
              </w:rPr>
              <w:t xml:space="preserve">4. HAM-D total score </w:t>
            </w:r>
            <w:r w:rsidRPr="00FA3F9C">
              <w:rPr>
                <w:rFonts w:ascii="Arial" w:hAnsi="Arial" w:cs="Arial"/>
                <w:sz w:val="24"/>
                <w:szCs w:val="24"/>
                <w:u w:val="single"/>
              </w:rPr>
              <w:t>&gt;</w:t>
            </w:r>
            <w:r w:rsidRPr="00FA3F9C">
              <w:rPr>
                <w:rFonts w:ascii="Arial" w:hAnsi="Arial" w:cs="Arial"/>
                <w:sz w:val="24"/>
                <w:szCs w:val="24"/>
              </w:rPr>
              <w:t>26, before infusion.</w:t>
            </w:r>
          </w:p>
        </w:tc>
      </w:tr>
      <w:tr w:rsidR="001506C1" w:rsidRPr="00FA3F9C" w14:paraId="0BEBD4C7" w14:textId="77777777" w:rsidTr="0010789D">
        <w:tc>
          <w:tcPr>
            <w:tcW w:w="11016" w:type="dxa"/>
            <w:gridSpan w:val="2"/>
          </w:tcPr>
          <w:p w14:paraId="720D8673" w14:textId="77777777" w:rsidR="001506C1" w:rsidRPr="00FA3F9C" w:rsidRDefault="001506C1" w:rsidP="006F623F">
            <w:pPr>
              <w:rPr>
                <w:rFonts w:ascii="Arial" w:hAnsi="Arial" w:cs="Arial"/>
                <w:sz w:val="24"/>
                <w:szCs w:val="24"/>
              </w:rPr>
            </w:pPr>
            <w:r w:rsidRPr="00FA3F9C">
              <w:rPr>
                <w:rFonts w:ascii="Arial" w:hAnsi="Arial" w:cs="Arial"/>
                <w:sz w:val="24"/>
                <w:szCs w:val="24"/>
              </w:rPr>
              <w:t>5. Must have kidney function better than 15 mL/min/1.73m</w:t>
            </w:r>
            <w:r w:rsidRPr="00FA3F9C">
              <w:rPr>
                <w:rFonts w:ascii="Arial" w:hAnsi="Arial" w:cs="Arial"/>
                <w:sz w:val="24"/>
                <w:szCs w:val="24"/>
                <w:vertAlign w:val="superscript"/>
              </w:rPr>
              <w:t>2</w:t>
            </w:r>
          </w:p>
        </w:tc>
      </w:tr>
      <w:tr w:rsidR="001506C1" w:rsidRPr="00FA3F9C" w14:paraId="6838A9B2" w14:textId="77777777" w:rsidTr="00DA57E0">
        <w:tc>
          <w:tcPr>
            <w:tcW w:w="11016" w:type="dxa"/>
            <w:gridSpan w:val="2"/>
          </w:tcPr>
          <w:p w14:paraId="714E9874" w14:textId="77777777" w:rsidR="001506C1" w:rsidRPr="00FA3F9C" w:rsidRDefault="001506C1" w:rsidP="006F623F">
            <w:pPr>
              <w:rPr>
                <w:rFonts w:ascii="Arial" w:hAnsi="Arial" w:cs="Arial"/>
                <w:sz w:val="24"/>
                <w:szCs w:val="24"/>
              </w:rPr>
            </w:pPr>
            <w:r w:rsidRPr="00FA3F9C">
              <w:rPr>
                <w:rFonts w:ascii="Arial" w:hAnsi="Arial" w:cs="Arial"/>
                <w:sz w:val="24"/>
                <w:szCs w:val="24"/>
              </w:rPr>
              <w:t>If the criteria are met, the approved dose will be:</w:t>
            </w:r>
          </w:p>
          <w:p w14:paraId="6F3B82E3" w14:textId="77777777" w:rsidR="001506C1" w:rsidRPr="00FA3F9C" w:rsidRDefault="001506C1" w:rsidP="006F623F">
            <w:pPr>
              <w:rPr>
                <w:rFonts w:ascii="Arial" w:hAnsi="Arial" w:cs="Arial"/>
                <w:sz w:val="24"/>
                <w:szCs w:val="24"/>
              </w:rPr>
            </w:pPr>
            <w:r w:rsidRPr="00FA3F9C">
              <w:rPr>
                <w:rFonts w:ascii="Arial" w:hAnsi="Arial" w:cs="Arial"/>
                <w:sz w:val="24"/>
                <w:szCs w:val="24"/>
              </w:rPr>
              <w:t>0-4h: 30mcg/kg/hour</w:t>
            </w:r>
          </w:p>
          <w:p w14:paraId="59193C45" w14:textId="77777777" w:rsidR="001506C1" w:rsidRPr="00FA3F9C" w:rsidRDefault="001506C1" w:rsidP="006F623F">
            <w:pPr>
              <w:rPr>
                <w:rFonts w:ascii="Arial" w:hAnsi="Arial" w:cs="Arial"/>
                <w:sz w:val="24"/>
                <w:szCs w:val="24"/>
              </w:rPr>
            </w:pPr>
            <w:r w:rsidRPr="00FA3F9C">
              <w:rPr>
                <w:rFonts w:ascii="Arial" w:hAnsi="Arial" w:cs="Arial"/>
                <w:sz w:val="24"/>
                <w:szCs w:val="24"/>
              </w:rPr>
              <w:t>4-24h: 60 mcg/kg/hour</w:t>
            </w:r>
          </w:p>
          <w:p w14:paraId="3829FC02" w14:textId="77777777" w:rsidR="001506C1" w:rsidRPr="00FA3F9C" w:rsidRDefault="001506C1" w:rsidP="006F623F">
            <w:pPr>
              <w:rPr>
                <w:rFonts w:ascii="Arial" w:hAnsi="Arial" w:cs="Arial"/>
                <w:sz w:val="24"/>
                <w:szCs w:val="24"/>
              </w:rPr>
            </w:pPr>
            <w:r w:rsidRPr="00FA3F9C">
              <w:rPr>
                <w:rFonts w:ascii="Arial" w:hAnsi="Arial" w:cs="Arial"/>
                <w:sz w:val="24"/>
                <w:szCs w:val="24"/>
              </w:rPr>
              <w:t>24-52: 90 mcg/kg/hour; may reduce dose to 60 mcg/kg/hour based on tolerability</w:t>
            </w:r>
          </w:p>
          <w:p w14:paraId="3DB5A381" w14:textId="77777777" w:rsidR="001506C1" w:rsidRPr="00FA3F9C" w:rsidRDefault="001506C1" w:rsidP="006F623F">
            <w:pPr>
              <w:rPr>
                <w:rFonts w:ascii="Arial" w:hAnsi="Arial" w:cs="Arial"/>
                <w:sz w:val="24"/>
                <w:szCs w:val="24"/>
              </w:rPr>
            </w:pPr>
            <w:r w:rsidRPr="00FA3F9C">
              <w:rPr>
                <w:rFonts w:ascii="Arial" w:hAnsi="Arial" w:cs="Arial"/>
                <w:sz w:val="24"/>
                <w:szCs w:val="24"/>
              </w:rPr>
              <w:t>52-56 hours: 60 mcg/kg/hour</w:t>
            </w:r>
          </w:p>
          <w:p w14:paraId="7C4E7057" w14:textId="77777777" w:rsidR="001506C1" w:rsidRPr="00FA3F9C" w:rsidRDefault="001506C1" w:rsidP="006F623F">
            <w:pPr>
              <w:rPr>
                <w:rFonts w:ascii="Arial" w:hAnsi="Arial" w:cs="Arial"/>
                <w:sz w:val="24"/>
                <w:szCs w:val="24"/>
              </w:rPr>
            </w:pPr>
            <w:r w:rsidRPr="00FA3F9C">
              <w:rPr>
                <w:rFonts w:ascii="Arial" w:hAnsi="Arial" w:cs="Arial"/>
                <w:sz w:val="24"/>
                <w:szCs w:val="24"/>
              </w:rPr>
              <w:t>56-60 hours: 30 mcg/kg/hour</w:t>
            </w:r>
          </w:p>
        </w:tc>
      </w:tr>
    </w:tbl>
    <w:p w14:paraId="60D307AD" w14:textId="77777777" w:rsidR="001506C1" w:rsidRPr="00FA3F9C" w:rsidRDefault="001506C1" w:rsidP="006F623F">
      <w:pPr>
        <w:spacing w:after="0"/>
        <w:rPr>
          <w:rFonts w:ascii="Arial" w:hAnsi="Arial" w:cs="Arial"/>
          <w:b/>
          <w:sz w:val="24"/>
          <w:szCs w:val="24"/>
          <w:u w:val="single"/>
        </w:rPr>
      </w:pPr>
    </w:p>
    <w:p w14:paraId="1ADA54E9"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 xml:space="preserve">Quantity Limits: QL is </w:t>
      </w:r>
      <w:proofErr w:type="gramStart"/>
      <w:r w:rsidRPr="00FA3F9C">
        <w:rPr>
          <w:rFonts w:ascii="Arial" w:hAnsi="Arial" w:cs="Arial"/>
          <w:sz w:val="24"/>
          <w:szCs w:val="24"/>
        </w:rPr>
        <w:t>1-60 minute</w:t>
      </w:r>
      <w:proofErr w:type="gramEnd"/>
      <w:r w:rsidRPr="00FA3F9C">
        <w:rPr>
          <w:rFonts w:ascii="Arial" w:hAnsi="Arial" w:cs="Arial"/>
          <w:sz w:val="24"/>
          <w:szCs w:val="24"/>
        </w:rPr>
        <w:t xml:space="preserve"> infusion.</w:t>
      </w:r>
    </w:p>
    <w:p w14:paraId="44F8390C" w14:textId="77777777" w:rsidR="001506C1" w:rsidRPr="00FA3F9C" w:rsidRDefault="001506C1" w:rsidP="006F623F">
      <w:pPr>
        <w:spacing w:after="0"/>
        <w:rPr>
          <w:rFonts w:ascii="Arial" w:hAnsi="Arial" w:cs="Arial"/>
          <w:sz w:val="24"/>
          <w:szCs w:val="24"/>
        </w:rPr>
      </w:pPr>
    </w:p>
    <w:p w14:paraId="01B1695D" w14:textId="77777777" w:rsidR="001506C1" w:rsidRPr="00FA3F9C" w:rsidRDefault="001506C1" w:rsidP="006654C3">
      <w:pPr>
        <w:spacing w:after="0"/>
        <w:rPr>
          <w:rFonts w:ascii="Arial" w:hAnsi="Arial" w:cs="Arial"/>
          <w:sz w:val="24"/>
          <w:szCs w:val="24"/>
        </w:rPr>
      </w:pPr>
      <w:r w:rsidRPr="00FA3F9C">
        <w:rPr>
          <w:rFonts w:ascii="Arial" w:hAnsi="Arial" w:cs="Arial"/>
          <w:sz w:val="24"/>
          <w:szCs w:val="24"/>
        </w:rPr>
        <w:t>References:</w:t>
      </w:r>
    </w:p>
    <w:p w14:paraId="0E23CCC3" w14:textId="77777777" w:rsidR="001506C1" w:rsidRPr="00FA3F9C" w:rsidRDefault="001506C1" w:rsidP="006654C3">
      <w:pPr>
        <w:spacing w:after="0"/>
        <w:rPr>
          <w:rFonts w:ascii="Arial" w:eastAsia="Times New Roman" w:hAnsi="Arial" w:cs="Arial"/>
          <w:sz w:val="24"/>
          <w:szCs w:val="24"/>
        </w:rPr>
      </w:pPr>
      <w:r w:rsidRPr="00FA3F9C">
        <w:rPr>
          <w:rFonts w:ascii="Arial" w:hAnsi="Arial" w:cs="Arial"/>
          <w:sz w:val="24"/>
          <w:szCs w:val="24"/>
        </w:rPr>
        <w:t xml:space="preserve">1. </w:t>
      </w:r>
      <w:r w:rsidRPr="00FA3F9C">
        <w:rPr>
          <w:rFonts w:ascii="Arial" w:eastAsia="Times New Roman" w:hAnsi="Arial" w:cs="Arial"/>
          <w:color w:val="222222"/>
          <w:sz w:val="24"/>
          <w:szCs w:val="24"/>
          <w:shd w:val="clear" w:color="auto" w:fill="F8F8F8"/>
        </w:rPr>
        <w:t>Meltzer-Brody, Samantha, et al. "</w:t>
      </w:r>
      <w:proofErr w:type="spellStart"/>
      <w:r w:rsidRPr="00FA3F9C">
        <w:rPr>
          <w:rFonts w:ascii="Arial" w:eastAsia="Times New Roman" w:hAnsi="Arial" w:cs="Arial"/>
          <w:color w:val="222222"/>
          <w:sz w:val="24"/>
          <w:szCs w:val="24"/>
          <w:shd w:val="clear" w:color="auto" w:fill="F8F8F8"/>
        </w:rPr>
        <w:t>Brexanolone</w:t>
      </w:r>
      <w:proofErr w:type="spellEnd"/>
      <w:r w:rsidRPr="00FA3F9C">
        <w:rPr>
          <w:rFonts w:ascii="Arial" w:eastAsia="Times New Roman" w:hAnsi="Arial" w:cs="Arial"/>
          <w:color w:val="222222"/>
          <w:sz w:val="24"/>
          <w:szCs w:val="24"/>
          <w:shd w:val="clear" w:color="auto" w:fill="F8F8F8"/>
        </w:rPr>
        <w:t xml:space="preserve"> injection in post-partum depression: two </w:t>
      </w:r>
      <w:proofErr w:type="spellStart"/>
      <w:r w:rsidRPr="00FA3F9C">
        <w:rPr>
          <w:rFonts w:ascii="Arial" w:eastAsia="Times New Roman" w:hAnsi="Arial" w:cs="Arial"/>
          <w:color w:val="222222"/>
          <w:sz w:val="24"/>
          <w:szCs w:val="24"/>
          <w:shd w:val="clear" w:color="auto" w:fill="F8F8F8"/>
        </w:rPr>
        <w:t>multicentre</w:t>
      </w:r>
      <w:proofErr w:type="spellEnd"/>
      <w:r w:rsidRPr="00FA3F9C">
        <w:rPr>
          <w:rFonts w:ascii="Arial" w:eastAsia="Times New Roman" w:hAnsi="Arial" w:cs="Arial"/>
          <w:color w:val="222222"/>
          <w:sz w:val="24"/>
          <w:szCs w:val="24"/>
          <w:shd w:val="clear" w:color="auto" w:fill="F8F8F8"/>
        </w:rPr>
        <w:t xml:space="preserve">, double-blind, </w:t>
      </w:r>
      <w:proofErr w:type="spellStart"/>
      <w:r w:rsidRPr="00FA3F9C">
        <w:rPr>
          <w:rFonts w:ascii="Arial" w:eastAsia="Times New Roman" w:hAnsi="Arial" w:cs="Arial"/>
          <w:color w:val="222222"/>
          <w:sz w:val="24"/>
          <w:szCs w:val="24"/>
          <w:shd w:val="clear" w:color="auto" w:fill="F8F8F8"/>
        </w:rPr>
        <w:t>randomised</w:t>
      </w:r>
      <w:proofErr w:type="spellEnd"/>
      <w:r w:rsidRPr="00FA3F9C">
        <w:rPr>
          <w:rFonts w:ascii="Arial" w:eastAsia="Times New Roman" w:hAnsi="Arial" w:cs="Arial"/>
          <w:color w:val="222222"/>
          <w:sz w:val="24"/>
          <w:szCs w:val="24"/>
          <w:shd w:val="clear" w:color="auto" w:fill="F8F8F8"/>
        </w:rPr>
        <w:t>, placebo-controlled, phase 3 trials." </w:t>
      </w:r>
      <w:r w:rsidRPr="00FA3F9C">
        <w:rPr>
          <w:rFonts w:ascii="Arial" w:eastAsia="Times New Roman" w:hAnsi="Arial" w:cs="Arial"/>
          <w:i/>
          <w:iCs/>
          <w:color w:val="222222"/>
          <w:sz w:val="24"/>
          <w:szCs w:val="24"/>
          <w:shd w:val="clear" w:color="auto" w:fill="F8F8F8"/>
        </w:rPr>
        <w:t>The Lancet</w:t>
      </w:r>
      <w:r w:rsidRPr="00FA3F9C">
        <w:rPr>
          <w:rFonts w:ascii="Arial" w:eastAsia="Times New Roman" w:hAnsi="Arial" w:cs="Arial"/>
          <w:color w:val="222222"/>
          <w:sz w:val="24"/>
          <w:szCs w:val="24"/>
          <w:shd w:val="clear" w:color="auto" w:fill="F8F8F8"/>
        </w:rPr>
        <w:t> 392.10152 (2018): 1058-1070.</w:t>
      </w:r>
    </w:p>
    <w:p w14:paraId="0E72FC42" w14:textId="77777777" w:rsidR="001506C1" w:rsidRPr="00FA3F9C" w:rsidRDefault="001506C1" w:rsidP="006654C3">
      <w:pPr>
        <w:spacing w:after="0"/>
        <w:rPr>
          <w:rFonts w:ascii="Arial" w:hAnsi="Arial" w:cs="Arial"/>
          <w:sz w:val="24"/>
          <w:szCs w:val="24"/>
        </w:rPr>
      </w:pPr>
      <w:r w:rsidRPr="00FA3F9C">
        <w:rPr>
          <w:rFonts w:ascii="Arial" w:hAnsi="Arial" w:cs="Arial"/>
          <w:sz w:val="24"/>
          <w:szCs w:val="24"/>
        </w:rPr>
        <w:t xml:space="preserve">2. Lexi-Comp.  </w:t>
      </w:r>
      <w:proofErr w:type="spellStart"/>
      <w:r w:rsidRPr="00FA3F9C">
        <w:rPr>
          <w:rFonts w:ascii="Arial" w:hAnsi="Arial" w:cs="Arial"/>
          <w:sz w:val="24"/>
          <w:szCs w:val="24"/>
        </w:rPr>
        <w:t>Brexanolone</w:t>
      </w:r>
      <w:proofErr w:type="spellEnd"/>
      <w:r w:rsidRPr="00FA3F9C">
        <w:rPr>
          <w:rFonts w:ascii="Arial" w:hAnsi="Arial" w:cs="Arial"/>
          <w:sz w:val="24"/>
          <w:szCs w:val="24"/>
        </w:rPr>
        <w:t>. Accessed 10/14/19.</w:t>
      </w:r>
    </w:p>
    <w:p w14:paraId="6C4428EB" w14:textId="77777777" w:rsidR="001506C1" w:rsidRPr="00FA3F9C" w:rsidRDefault="001506C1" w:rsidP="006654C3">
      <w:pPr>
        <w:spacing w:after="0"/>
        <w:rPr>
          <w:rFonts w:ascii="Arial" w:hAnsi="Arial" w:cs="Arial"/>
          <w:sz w:val="24"/>
          <w:szCs w:val="24"/>
        </w:rPr>
      </w:pPr>
    </w:p>
    <w:p w14:paraId="0DE2C160"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284"/>
        <w:gridCol w:w="7963"/>
        <w:gridCol w:w="1998"/>
      </w:tblGrid>
      <w:tr w:rsidR="001506C1" w:rsidRPr="00FA3F9C" w14:paraId="57C75BC4" w14:textId="77777777" w:rsidTr="006654C3">
        <w:tc>
          <w:tcPr>
            <w:tcW w:w="1055" w:type="dxa"/>
          </w:tcPr>
          <w:p w14:paraId="4F21390B" w14:textId="77777777" w:rsidR="001506C1" w:rsidRPr="00FA3F9C" w:rsidRDefault="001506C1" w:rsidP="006F623F">
            <w:pPr>
              <w:rPr>
                <w:rFonts w:ascii="Arial" w:hAnsi="Arial" w:cs="Arial"/>
                <w:sz w:val="24"/>
                <w:szCs w:val="24"/>
              </w:rPr>
            </w:pPr>
            <w:r w:rsidRPr="00FA3F9C">
              <w:rPr>
                <w:rFonts w:ascii="Arial" w:hAnsi="Arial" w:cs="Arial"/>
                <w:sz w:val="24"/>
                <w:szCs w:val="24"/>
              </w:rPr>
              <w:t>Date</w:t>
            </w:r>
          </w:p>
        </w:tc>
        <w:tc>
          <w:tcPr>
            <w:tcW w:w="7963" w:type="dxa"/>
          </w:tcPr>
          <w:p w14:paraId="48964B8A" w14:textId="77777777" w:rsidR="001506C1" w:rsidRPr="00FA3F9C" w:rsidRDefault="001506C1" w:rsidP="006F623F">
            <w:pPr>
              <w:rPr>
                <w:rFonts w:ascii="Arial" w:hAnsi="Arial" w:cs="Arial"/>
                <w:sz w:val="24"/>
                <w:szCs w:val="24"/>
              </w:rPr>
            </w:pPr>
            <w:r w:rsidRPr="00FA3F9C">
              <w:rPr>
                <w:rFonts w:ascii="Arial" w:hAnsi="Arial" w:cs="Arial"/>
                <w:sz w:val="24"/>
                <w:szCs w:val="24"/>
              </w:rPr>
              <w:t>What changed</w:t>
            </w:r>
          </w:p>
        </w:tc>
        <w:tc>
          <w:tcPr>
            <w:tcW w:w="1998" w:type="dxa"/>
          </w:tcPr>
          <w:p w14:paraId="48DCC03A" w14:textId="77777777" w:rsidR="001506C1" w:rsidRPr="00FA3F9C" w:rsidRDefault="001506C1" w:rsidP="006F623F">
            <w:pPr>
              <w:rPr>
                <w:rFonts w:ascii="Arial" w:hAnsi="Arial" w:cs="Arial"/>
                <w:sz w:val="24"/>
                <w:szCs w:val="24"/>
              </w:rPr>
            </w:pPr>
            <w:r w:rsidRPr="00FA3F9C">
              <w:rPr>
                <w:rFonts w:ascii="Arial" w:hAnsi="Arial" w:cs="Arial"/>
                <w:sz w:val="24"/>
                <w:szCs w:val="24"/>
              </w:rPr>
              <w:t>Pharmacist’s initials</w:t>
            </w:r>
          </w:p>
        </w:tc>
      </w:tr>
      <w:tr w:rsidR="001506C1" w:rsidRPr="00FA3F9C" w14:paraId="76297FF1" w14:textId="77777777" w:rsidTr="006654C3">
        <w:tc>
          <w:tcPr>
            <w:tcW w:w="1055" w:type="dxa"/>
          </w:tcPr>
          <w:p w14:paraId="16186139" w14:textId="77777777" w:rsidR="001506C1" w:rsidRPr="00FA3F9C" w:rsidRDefault="001506C1" w:rsidP="006F623F">
            <w:pPr>
              <w:rPr>
                <w:rFonts w:ascii="Arial" w:hAnsi="Arial" w:cs="Arial"/>
                <w:sz w:val="24"/>
                <w:szCs w:val="24"/>
              </w:rPr>
            </w:pPr>
            <w:r w:rsidRPr="00FA3F9C">
              <w:rPr>
                <w:rFonts w:ascii="Arial" w:hAnsi="Arial" w:cs="Arial"/>
                <w:sz w:val="24"/>
                <w:szCs w:val="24"/>
              </w:rPr>
              <w:lastRenderedPageBreak/>
              <w:t>10/14/19</w:t>
            </w:r>
          </w:p>
        </w:tc>
        <w:tc>
          <w:tcPr>
            <w:tcW w:w="7963" w:type="dxa"/>
          </w:tcPr>
          <w:p w14:paraId="40567437" w14:textId="77777777" w:rsidR="001506C1" w:rsidRPr="00FA3F9C" w:rsidRDefault="001506C1" w:rsidP="006F623F">
            <w:pPr>
              <w:rPr>
                <w:rFonts w:ascii="Arial" w:hAnsi="Arial" w:cs="Arial"/>
                <w:sz w:val="24"/>
                <w:szCs w:val="24"/>
              </w:rPr>
            </w:pPr>
            <w:r w:rsidRPr="00FA3F9C">
              <w:rPr>
                <w:rFonts w:ascii="Arial" w:hAnsi="Arial" w:cs="Arial"/>
                <w:sz w:val="24"/>
                <w:szCs w:val="24"/>
              </w:rPr>
              <w:t>I wrote the criteria based on the clinical trial.  I excluded eligibility to patients with HAM-D scores of 25 or better (lower/less severe) as the trial showed there was not a significant improvement in those patients.</w:t>
            </w:r>
          </w:p>
        </w:tc>
        <w:tc>
          <w:tcPr>
            <w:tcW w:w="1998" w:type="dxa"/>
          </w:tcPr>
          <w:p w14:paraId="4FB537C6" w14:textId="77777777" w:rsidR="001506C1" w:rsidRPr="00FA3F9C" w:rsidRDefault="001506C1" w:rsidP="006F623F">
            <w:pPr>
              <w:rPr>
                <w:rFonts w:ascii="Arial" w:hAnsi="Arial" w:cs="Arial"/>
                <w:sz w:val="24"/>
                <w:szCs w:val="24"/>
              </w:rPr>
            </w:pPr>
            <w:r w:rsidRPr="00FA3F9C">
              <w:rPr>
                <w:rFonts w:ascii="Arial" w:hAnsi="Arial" w:cs="Arial"/>
                <w:sz w:val="24"/>
                <w:szCs w:val="24"/>
              </w:rPr>
              <w:t>JJ</w:t>
            </w:r>
          </w:p>
        </w:tc>
      </w:tr>
      <w:tr w:rsidR="001506C1" w:rsidRPr="00FA3F9C" w14:paraId="6382DB82" w14:textId="77777777" w:rsidTr="006654C3">
        <w:tc>
          <w:tcPr>
            <w:tcW w:w="1055" w:type="dxa"/>
          </w:tcPr>
          <w:p w14:paraId="311E38A9" w14:textId="77777777" w:rsidR="001506C1" w:rsidRPr="00FA3F9C" w:rsidRDefault="001506C1" w:rsidP="006F623F">
            <w:pPr>
              <w:rPr>
                <w:rFonts w:ascii="Arial" w:hAnsi="Arial" w:cs="Arial"/>
                <w:sz w:val="24"/>
                <w:szCs w:val="24"/>
              </w:rPr>
            </w:pPr>
            <w:r w:rsidRPr="00FA3F9C">
              <w:rPr>
                <w:rFonts w:ascii="Arial" w:hAnsi="Arial" w:cs="Arial"/>
                <w:sz w:val="24"/>
                <w:szCs w:val="24"/>
              </w:rPr>
              <w:t>1/14/2021</w:t>
            </w:r>
          </w:p>
        </w:tc>
        <w:tc>
          <w:tcPr>
            <w:tcW w:w="7963" w:type="dxa"/>
          </w:tcPr>
          <w:p w14:paraId="6F708BD3" w14:textId="77777777" w:rsidR="001506C1" w:rsidRPr="00FA3F9C" w:rsidRDefault="001506C1" w:rsidP="006F623F">
            <w:pPr>
              <w:rPr>
                <w:rFonts w:ascii="Arial" w:hAnsi="Arial" w:cs="Arial"/>
                <w:sz w:val="24"/>
                <w:szCs w:val="24"/>
              </w:rPr>
            </w:pPr>
            <w:r w:rsidRPr="00FA3F9C">
              <w:rPr>
                <w:rFonts w:ascii="Arial" w:hAnsi="Arial" w:cs="Arial"/>
                <w:sz w:val="24"/>
                <w:szCs w:val="24"/>
              </w:rPr>
              <w:t>I reviewed the criteria.  No changes were made.</w:t>
            </w:r>
          </w:p>
        </w:tc>
        <w:tc>
          <w:tcPr>
            <w:tcW w:w="1998" w:type="dxa"/>
          </w:tcPr>
          <w:p w14:paraId="4BB11516" w14:textId="77777777" w:rsidR="001506C1" w:rsidRPr="00FA3F9C" w:rsidRDefault="001506C1" w:rsidP="006F623F">
            <w:pPr>
              <w:rPr>
                <w:rFonts w:ascii="Arial" w:hAnsi="Arial" w:cs="Arial"/>
                <w:sz w:val="24"/>
                <w:szCs w:val="24"/>
              </w:rPr>
            </w:pPr>
            <w:r w:rsidRPr="00FA3F9C">
              <w:rPr>
                <w:rFonts w:ascii="Arial" w:hAnsi="Arial" w:cs="Arial"/>
                <w:sz w:val="24"/>
                <w:szCs w:val="24"/>
              </w:rPr>
              <w:t>JJ</w:t>
            </w:r>
          </w:p>
        </w:tc>
      </w:tr>
    </w:tbl>
    <w:p w14:paraId="2E2C075C" w14:textId="77777777" w:rsidR="001506C1" w:rsidRPr="00FA3F9C" w:rsidRDefault="001506C1" w:rsidP="006F623F">
      <w:pPr>
        <w:spacing w:after="0"/>
        <w:rPr>
          <w:rFonts w:ascii="Arial" w:hAnsi="Arial" w:cs="Arial"/>
          <w:sz w:val="24"/>
          <w:szCs w:val="24"/>
        </w:rPr>
      </w:pPr>
    </w:p>
    <w:p w14:paraId="4378A8FA" w14:textId="77777777" w:rsidR="00FC1E85" w:rsidRDefault="001506C1" w:rsidP="00FC1E85">
      <w:pPr>
        <w:pStyle w:val="Heading2"/>
      </w:pPr>
      <w:bookmarkStart w:id="42" w:name="_Toc106369743"/>
      <w:r w:rsidRPr="00FA3F9C">
        <w:t>Budesonide (</w:t>
      </w:r>
      <w:proofErr w:type="spellStart"/>
      <w:r w:rsidRPr="00FA3F9C">
        <w:t>Uceris</w:t>
      </w:r>
      <w:proofErr w:type="spellEnd"/>
      <w:r w:rsidRPr="00FA3F9C">
        <w:t>)</w:t>
      </w:r>
      <w:bookmarkEnd w:id="42"/>
      <w:r w:rsidRPr="00FA3F9C">
        <w:t xml:space="preserve"> </w:t>
      </w:r>
    </w:p>
    <w:p w14:paraId="2A1FB37A" w14:textId="06F769AC" w:rsidR="001506C1" w:rsidRDefault="001506C1" w:rsidP="006F623F">
      <w:pPr>
        <w:spacing w:after="0"/>
        <w:jc w:val="center"/>
        <w:rPr>
          <w:rFonts w:ascii="Arial" w:hAnsi="Arial" w:cs="Arial"/>
          <w:sz w:val="24"/>
          <w:szCs w:val="24"/>
        </w:rPr>
      </w:pPr>
      <w:r w:rsidRPr="00FA3F9C">
        <w:rPr>
          <w:rFonts w:ascii="Arial" w:hAnsi="Arial" w:cs="Arial"/>
          <w:sz w:val="24"/>
          <w:szCs w:val="24"/>
        </w:rPr>
        <w:t>tab SR 24h 9mg</w:t>
      </w:r>
    </w:p>
    <w:p w14:paraId="2604D3BF" w14:textId="77777777" w:rsidR="00FC1E85" w:rsidRPr="00FA3F9C" w:rsidRDefault="00FC1E85" w:rsidP="00FC1E85">
      <w:pPr>
        <w:spacing w:after="0"/>
        <w:jc w:val="center"/>
        <w:rPr>
          <w:rFonts w:ascii="Arial" w:hAnsi="Arial" w:cs="Arial"/>
          <w:sz w:val="24"/>
          <w:szCs w:val="24"/>
        </w:rPr>
      </w:pPr>
      <w:r w:rsidRPr="00FA3F9C">
        <w:rPr>
          <w:rFonts w:ascii="Arial" w:hAnsi="Arial" w:cs="Arial"/>
          <w:sz w:val="24"/>
          <w:szCs w:val="24"/>
        </w:rPr>
        <w:t>EBRx PA Criteria</w:t>
      </w:r>
    </w:p>
    <w:p w14:paraId="5C9D9FB5" w14:textId="77777777" w:rsidR="00FC1E85" w:rsidRPr="00FA3F9C" w:rsidRDefault="00FC1E85" w:rsidP="006F623F">
      <w:pPr>
        <w:spacing w:after="0"/>
        <w:jc w:val="center"/>
        <w:rPr>
          <w:rFonts w:ascii="Arial" w:hAnsi="Arial" w:cs="Arial"/>
          <w:sz w:val="24"/>
          <w:szCs w:val="24"/>
        </w:rPr>
      </w:pPr>
    </w:p>
    <w:p w14:paraId="1D3505F2" w14:textId="77777777" w:rsidR="001506C1" w:rsidRPr="00FA3F9C" w:rsidRDefault="001506C1" w:rsidP="006F623F">
      <w:pPr>
        <w:spacing w:after="0"/>
        <w:rPr>
          <w:rFonts w:ascii="Arial" w:hAnsi="Arial" w:cs="Arial"/>
          <w:b/>
          <w:sz w:val="24"/>
          <w:szCs w:val="24"/>
          <w:u w:val="single"/>
        </w:rPr>
      </w:pPr>
    </w:p>
    <w:p w14:paraId="1631D85A" w14:textId="77777777" w:rsidR="001506C1" w:rsidRPr="00FA3F9C" w:rsidRDefault="001506C1" w:rsidP="006F623F">
      <w:pPr>
        <w:spacing w:after="0"/>
        <w:rPr>
          <w:rFonts w:ascii="Arial" w:hAnsi="Arial" w:cs="Arial"/>
          <w:sz w:val="24"/>
          <w:szCs w:val="24"/>
        </w:rPr>
      </w:pPr>
      <w:r w:rsidRPr="00FA3F9C">
        <w:rPr>
          <w:rFonts w:ascii="Arial" w:hAnsi="Arial" w:cs="Arial"/>
          <w:b/>
          <w:sz w:val="24"/>
          <w:szCs w:val="24"/>
          <w:u w:val="single"/>
        </w:rPr>
        <w:t>is FDA-approved for active Crohn’s disease, mild-moderate involving the ileum and/or ascending colon; maintenance of remission of Crohn’s disease, mild-mod involving the ileum and/or ascending colon; ulcerative colitis, active, mild-mod to induce remission:</w:t>
      </w:r>
      <w:r w:rsidRPr="00FA3F9C">
        <w:rPr>
          <w:rFonts w:ascii="Arial" w:hAnsi="Arial" w:cs="Arial"/>
          <w:sz w:val="24"/>
          <w:szCs w:val="24"/>
        </w:rPr>
        <w:t xml:space="preserve">  </w:t>
      </w:r>
    </w:p>
    <w:tbl>
      <w:tblPr>
        <w:tblStyle w:val="TableGrid"/>
        <w:tblW w:w="0" w:type="auto"/>
        <w:tblLook w:val="04A0" w:firstRow="1" w:lastRow="0" w:firstColumn="1" w:lastColumn="0" w:noHBand="0" w:noVBand="1"/>
      </w:tblPr>
      <w:tblGrid>
        <w:gridCol w:w="10998"/>
      </w:tblGrid>
      <w:tr w:rsidR="001506C1" w:rsidRPr="00FA3F9C" w14:paraId="3B0ED21A" w14:textId="77777777" w:rsidTr="003A163F">
        <w:tc>
          <w:tcPr>
            <w:tcW w:w="10998" w:type="dxa"/>
            <w:shd w:val="clear" w:color="auto" w:fill="000000"/>
          </w:tcPr>
          <w:p w14:paraId="1145BA75" w14:textId="77777777" w:rsidR="001506C1" w:rsidRPr="00FA3F9C" w:rsidRDefault="001506C1" w:rsidP="00571CAB">
            <w:pPr>
              <w:rPr>
                <w:rFonts w:ascii="Arial" w:hAnsi="Arial" w:cs="Arial"/>
                <w:b/>
                <w:sz w:val="24"/>
                <w:szCs w:val="24"/>
                <w:u w:val="single"/>
              </w:rPr>
            </w:pPr>
            <w:r w:rsidRPr="00FA3F9C">
              <w:rPr>
                <w:rFonts w:ascii="Arial" w:hAnsi="Arial" w:cs="Arial"/>
                <w:b/>
                <w:sz w:val="24"/>
                <w:szCs w:val="24"/>
                <w:u w:val="single"/>
              </w:rPr>
              <w:t>Criteria for new users</w:t>
            </w:r>
          </w:p>
        </w:tc>
      </w:tr>
      <w:tr w:rsidR="001506C1" w:rsidRPr="00FA3F9C" w14:paraId="68EC55EF" w14:textId="77777777" w:rsidTr="003A163F">
        <w:tc>
          <w:tcPr>
            <w:tcW w:w="10998" w:type="dxa"/>
          </w:tcPr>
          <w:p w14:paraId="429F00BE" w14:textId="77777777" w:rsidR="001506C1" w:rsidRPr="00FA3F9C" w:rsidRDefault="001506C1" w:rsidP="006F623F">
            <w:pPr>
              <w:rPr>
                <w:rFonts w:ascii="Arial" w:hAnsi="Arial" w:cs="Arial"/>
                <w:sz w:val="24"/>
                <w:szCs w:val="24"/>
              </w:rPr>
            </w:pPr>
            <w:r w:rsidRPr="00FA3F9C">
              <w:rPr>
                <w:rFonts w:ascii="Arial" w:hAnsi="Arial" w:cs="Arial"/>
                <w:sz w:val="24"/>
                <w:szCs w:val="24"/>
              </w:rPr>
              <w:t>1.  Patient must have the diagnosis of ulcer colitis or Crohn’s disease, and</w:t>
            </w:r>
          </w:p>
        </w:tc>
      </w:tr>
      <w:tr w:rsidR="001506C1" w:rsidRPr="00FA3F9C" w14:paraId="7DB8BAE8" w14:textId="77777777" w:rsidTr="003A163F">
        <w:tc>
          <w:tcPr>
            <w:tcW w:w="10998" w:type="dxa"/>
          </w:tcPr>
          <w:p w14:paraId="4DA994A7" w14:textId="77777777" w:rsidR="001506C1" w:rsidRPr="00FA3F9C" w:rsidRDefault="001506C1" w:rsidP="006F623F">
            <w:pPr>
              <w:rPr>
                <w:rFonts w:ascii="Arial" w:hAnsi="Arial" w:cs="Arial"/>
                <w:sz w:val="24"/>
                <w:szCs w:val="24"/>
              </w:rPr>
            </w:pPr>
            <w:r w:rsidRPr="00FA3F9C">
              <w:rPr>
                <w:rFonts w:ascii="Arial" w:hAnsi="Arial" w:cs="Arial"/>
                <w:sz w:val="24"/>
                <w:szCs w:val="24"/>
              </w:rPr>
              <w:t>2.  Patient must have either failure of or be intolerant to sulfasalazine, and</w:t>
            </w:r>
          </w:p>
        </w:tc>
      </w:tr>
      <w:tr w:rsidR="001506C1" w:rsidRPr="00FA3F9C" w14:paraId="707D5E53" w14:textId="77777777" w:rsidTr="003A163F">
        <w:tc>
          <w:tcPr>
            <w:tcW w:w="10998" w:type="dxa"/>
          </w:tcPr>
          <w:p w14:paraId="32E75A3B" w14:textId="77777777" w:rsidR="001506C1" w:rsidRPr="00FA3F9C" w:rsidRDefault="001506C1" w:rsidP="006F623F">
            <w:pPr>
              <w:rPr>
                <w:rFonts w:ascii="Arial" w:hAnsi="Arial" w:cs="Arial"/>
                <w:sz w:val="24"/>
                <w:szCs w:val="24"/>
              </w:rPr>
            </w:pPr>
            <w:r w:rsidRPr="00FA3F9C">
              <w:rPr>
                <w:rFonts w:ascii="Arial" w:hAnsi="Arial" w:cs="Arial"/>
                <w:sz w:val="24"/>
                <w:szCs w:val="24"/>
              </w:rPr>
              <w:t>3.  patient must have either failure of or be intolerant to mesalamine oral or rectal.</w:t>
            </w:r>
          </w:p>
        </w:tc>
      </w:tr>
      <w:tr w:rsidR="001506C1" w:rsidRPr="00FA3F9C" w14:paraId="3BA4E00D" w14:textId="77777777" w:rsidTr="003A163F">
        <w:tc>
          <w:tcPr>
            <w:tcW w:w="10998" w:type="dxa"/>
          </w:tcPr>
          <w:p w14:paraId="14988EA4" w14:textId="77777777" w:rsidR="001506C1" w:rsidRPr="00FA3F9C" w:rsidRDefault="001506C1" w:rsidP="006F623F">
            <w:pPr>
              <w:rPr>
                <w:rFonts w:ascii="Arial" w:hAnsi="Arial" w:cs="Arial"/>
                <w:sz w:val="24"/>
                <w:szCs w:val="24"/>
              </w:rPr>
            </w:pPr>
            <w:r w:rsidRPr="00FA3F9C">
              <w:rPr>
                <w:rFonts w:ascii="Arial" w:hAnsi="Arial" w:cs="Arial"/>
                <w:sz w:val="24"/>
                <w:szCs w:val="24"/>
              </w:rPr>
              <w:t>4.  Patient must not be taking concurrent systemic corticosteroids. (Systemic budesonide is intended to provide the effect.)</w:t>
            </w:r>
          </w:p>
        </w:tc>
      </w:tr>
    </w:tbl>
    <w:p w14:paraId="3F342E96" w14:textId="77777777" w:rsidR="001506C1" w:rsidRPr="00FA3F9C" w:rsidRDefault="001506C1" w:rsidP="006F623F">
      <w:pPr>
        <w:spacing w:after="0"/>
        <w:rPr>
          <w:rFonts w:ascii="Arial" w:hAnsi="Arial" w:cs="Arial"/>
          <w:b/>
          <w:sz w:val="24"/>
          <w:szCs w:val="24"/>
          <w:u w:val="single"/>
        </w:rPr>
      </w:pPr>
    </w:p>
    <w:p w14:paraId="4FEBFE7E" w14:textId="77777777" w:rsidR="001506C1" w:rsidRPr="00FA3F9C" w:rsidRDefault="001506C1" w:rsidP="006F623F">
      <w:pPr>
        <w:spacing w:after="0"/>
        <w:rPr>
          <w:rFonts w:ascii="Arial" w:hAnsi="Arial" w:cs="Arial"/>
          <w:b/>
          <w:sz w:val="24"/>
          <w:szCs w:val="24"/>
          <w:u w:val="single"/>
        </w:rPr>
      </w:pPr>
    </w:p>
    <w:tbl>
      <w:tblPr>
        <w:tblStyle w:val="TableGrid"/>
        <w:tblW w:w="0" w:type="auto"/>
        <w:shd w:val="clear" w:color="auto" w:fill="BFBFBF" w:themeFill="background1" w:themeFillShade="BF"/>
        <w:tblLook w:val="04A0" w:firstRow="1" w:lastRow="0" w:firstColumn="1" w:lastColumn="0" w:noHBand="0" w:noVBand="1"/>
      </w:tblPr>
      <w:tblGrid>
        <w:gridCol w:w="10998"/>
      </w:tblGrid>
      <w:tr w:rsidR="001506C1" w:rsidRPr="00FA3F9C" w14:paraId="2E0C04CB" w14:textId="77777777" w:rsidTr="00D82B6E">
        <w:tc>
          <w:tcPr>
            <w:tcW w:w="10998" w:type="dxa"/>
            <w:shd w:val="clear" w:color="auto" w:fill="BFBFBF" w:themeFill="background1" w:themeFillShade="BF"/>
          </w:tcPr>
          <w:p w14:paraId="2B8F04FC" w14:textId="77777777" w:rsidR="001506C1" w:rsidRPr="00FA3F9C" w:rsidRDefault="001506C1" w:rsidP="003A163F">
            <w:pPr>
              <w:rPr>
                <w:rFonts w:ascii="Arial" w:hAnsi="Arial" w:cs="Arial"/>
                <w:color w:val="000000"/>
                <w:sz w:val="24"/>
                <w:szCs w:val="24"/>
              </w:rPr>
            </w:pPr>
            <w:r w:rsidRPr="00FA3F9C">
              <w:rPr>
                <w:rFonts w:ascii="Arial" w:hAnsi="Arial" w:cs="Arial"/>
                <w:sz w:val="24"/>
                <w:szCs w:val="24"/>
              </w:rPr>
              <w:t xml:space="preserve">Note:  </w:t>
            </w:r>
            <w:r w:rsidRPr="00FA3F9C">
              <w:rPr>
                <w:rFonts w:ascii="Arial" w:hAnsi="Arial" w:cs="Arial"/>
                <w:color w:val="000000"/>
                <w:sz w:val="24"/>
                <w:szCs w:val="24"/>
              </w:rPr>
              <w:t xml:space="preserve">From the Pharmacists’ Letter 3/13:  </w:t>
            </w:r>
            <w:proofErr w:type="spellStart"/>
            <w:r w:rsidRPr="00FA3F9C">
              <w:rPr>
                <w:rFonts w:ascii="Arial" w:hAnsi="Arial" w:cs="Arial"/>
                <w:color w:val="000000"/>
                <w:sz w:val="24"/>
                <w:szCs w:val="24"/>
              </w:rPr>
              <w:t>Uceris</w:t>
            </w:r>
            <w:proofErr w:type="spellEnd"/>
            <w:r w:rsidRPr="00FA3F9C">
              <w:rPr>
                <w:rFonts w:ascii="Arial" w:hAnsi="Arial" w:cs="Arial"/>
                <w:color w:val="000000"/>
                <w:sz w:val="24"/>
                <w:szCs w:val="24"/>
              </w:rPr>
              <w:t xml:space="preserve"> is budesonide like </w:t>
            </w:r>
            <w:proofErr w:type="spellStart"/>
            <w:r w:rsidRPr="00FA3F9C">
              <w:rPr>
                <w:rFonts w:ascii="Arial" w:hAnsi="Arial" w:cs="Arial"/>
                <w:color w:val="000000"/>
                <w:sz w:val="24"/>
                <w:szCs w:val="24"/>
              </w:rPr>
              <w:t>Entocort</w:t>
            </w:r>
            <w:proofErr w:type="spellEnd"/>
            <w:r w:rsidRPr="00FA3F9C">
              <w:rPr>
                <w:rFonts w:ascii="Arial" w:hAnsi="Arial" w:cs="Arial"/>
                <w:color w:val="000000"/>
                <w:sz w:val="24"/>
                <w:szCs w:val="24"/>
              </w:rPr>
              <w:t xml:space="preserve"> EC...but not interchangeable. Both </w:t>
            </w:r>
            <w:proofErr w:type="gramStart"/>
            <w:r w:rsidRPr="00FA3F9C">
              <w:rPr>
                <w:rFonts w:ascii="Arial" w:hAnsi="Arial" w:cs="Arial"/>
                <w:color w:val="000000"/>
                <w:sz w:val="24"/>
                <w:szCs w:val="24"/>
              </w:rPr>
              <w:t>work</w:t>
            </w:r>
            <w:proofErr w:type="gramEnd"/>
            <w:r w:rsidRPr="00FA3F9C">
              <w:rPr>
                <w:rFonts w:ascii="Arial" w:hAnsi="Arial" w:cs="Arial"/>
                <w:color w:val="000000"/>
                <w:sz w:val="24"/>
                <w:szCs w:val="24"/>
              </w:rPr>
              <w:t xml:space="preserve"> locally in the GI tract to reduce systemic steroid effects...but they target different areas.  </w:t>
            </w:r>
            <w:proofErr w:type="spellStart"/>
            <w:r w:rsidRPr="00FA3F9C">
              <w:rPr>
                <w:rFonts w:ascii="Arial" w:hAnsi="Arial" w:cs="Arial"/>
                <w:color w:val="000000"/>
                <w:sz w:val="24"/>
                <w:szCs w:val="24"/>
              </w:rPr>
              <w:t>Entocort</w:t>
            </w:r>
            <w:proofErr w:type="spellEnd"/>
            <w:r w:rsidRPr="00FA3F9C">
              <w:rPr>
                <w:rFonts w:ascii="Arial" w:hAnsi="Arial" w:cs="Arial"/>
                <w:color w:val="000000"/>
                <w:sz w:val="24"/>
                <w:szCs w:val="24"/>
              </w:rPr>
              <w:t xml:space="preserve"> EC targets the ileum and right colon for Crohn's disease...</w:t>
            </w:r>
            <w:proofErr w:type="spellStart"/>
            <w:r w:rsidRPr="00FA3F9C">
              <w:rPr>
                <w:rFonts w:ascii="Arial" w:hAnsi="Arial" w:cs="Arial"/>
                <w:color w:val="000000"/>
                <w:sz w:val="24"/>
                <w:szCs w:val="24"/>
              </w:rPr>
              <w:t>Uceris</w:t>
            </w:r>
            <w:proofErr w:type="spellEnd"/>
            <w:r w:rsidRPr="00FA3F9C">
              <w:rPr>
                <w:rFonts w:ascii="Arial" w:hAnsi="Arial" w:cs="Arial"/>
                <w:color w:val="000000"/>
                <w:sz w:val="24"/>
                <w:szCs w:val="24"/>
              </w:rPr>
              <w:t xml:space="preserve"> targets the entire colon for ulcerative colitis.  UC </w:t>
            </w:r>
            <w:proofErr w:type="spellStart"/>
            <w:r w:rsidRPr="00FA3F9C">
              <w:rPr>
                <w:rFonts w:ascii="Arial" w:hAnsi="Arial" w:cs="Arial"/>
                <w:color w:val="000000"/>
                <w:sz w:val="24"/>
                <w:szCs w:val="24"/>
              </w:rPr>
              <w:t>tx</w:t>
            </w:r>
            <w:proofErr w:type="spellEnd"/>
            <w:r w:rsidRPr="00FA3F9C">
              <w:rPr>
                <w:rFonts w:ascii="Arial" w:hAnsi="Arial" w:cs="Arial"/>
                <w:color w:val="000000"/>
                <w:sz w:val="24"/>
                <w:szCs w:val="24"/>
              </w:rPr>
              <w:t xml:space="preserve"> is based on disease location and severity...patient preferences...and cost.  Pts w/ distal disease may achieve remission w/ rectal mesalamine (</w:t>
            </w:r>
            <w:proofErr w:type="spellStart"/>
            <w:r w:rsidRPr="00FA3F9C">
              <w:rPr>
                <w:rFonts w:ascii="Arial" w:hAnsi="Arial" w:cs="Arial"/>
                <w:color w:val="000000"/>
                <w:sz w:val="24"/>
                <w:szCs w:val="24"/>
              </w:rPr>
              <w:t>Rowasa</w:t>
            </w:r>
            <w:proofErr w:type="spellEnd"/>
            <w:r w:rsidRPr="00FA3F9C">
              <w:rPr>
                <w:rFonts w:ascii="Arial" w:hAnsi="Arial" w:cs="Arial"/>
                <w:color w:val="000000"/>
                <w:sz w:val="24"/>
                <w:szCs w:val="24"/>
              </w:rPr>
              <w:t xml:space="preserve">, </w:t>
            </w:r>
            <w:proofErr w:type="spellStart"/>
            <w:r w:rsidRPr="00FA3F9C">
              <w:rPr>
                <w:rFonts w:ascii="Arial" w:hAnsi="Arial" w:cs="Arial"/>
                <w:color w:val="000000"/>
                <w:sz w:val="24"/>
                <w:szCs w:val="24"/>
              </w:rPr>
              <w:t>etc</w:t>
            </w:r>
            <w:proofErr w:type="spellEnd"/>
            <w:r w:rsidRPr="00FA3F9C">
              <w:rPr>
                <w:rFonts w:ascii="Arial" w:hAnsi="Arial" w:cs="Arial"/>
                <w:color w:val="000000"/>
                <w:sz w:val="24"/>
                <w:szCs w:val="24"/>
              </w:rPr>
              <w:t>) or hydrocortisone (</w:t>
            </w:r>
            <w:proofErr w:type="spellStart"/>
            <w:r w:rsidRPr="00FA3F9C">
              <w:rPr>
                <w:rFonts w:ascii="Arial" w:hAnsi="Arial" w:cs="Arial"/>
                <w:color w:val="000000"/>
                <w:sz w:val="24"/>
                <w:szCs w:val="24"/>
              </w:rPr>
              <w:t>Cortenema</w:t>
            </w:r>
            <w:proofErr w:type="spellEnd"/>
            <w:r w:rsidRPr="00FA3F9C">
              <w:rPr>
                <w:rFonts w:ascii="Arial" w:hAnsi="Arial" w:cs="Arial"/>
                <w:color w:val="000000"/>
                <w:sz w:val="24"/>
                <w:szCs w:val="24"/>
              </w:rPr>
              <w:t xml:space="preserve">, </w:t>
            </w:r>
            <w:proofErr w:type="spellStart"/>
            <w:r w:rsidRPr="00FA3F9C">
              <w:rPr>
                <w:rFonts w:ascii="Arial" w:hAnsi="Arial" w:cs="Arial"/>
                <w:color w:val="000000"/>
                <w:sz w:val="24"/>
                <w:szCs w:val="24"/>
              </w:rPr>
              <w:t>etc</w:t>
            </w:r>
            <w:proofErr w:type="spellEnd"/>
            <w:r w:rsidRPr="00FA3F9C">
              <w:rPr>
                <w:rFonts w:ascii="Arial" w:hAnsi="Arial" w:cs="Arial"/>
                <w:color w:val="000000"/>
                <w:sz w:val="24"/>
                <w:szCs w:val="24"/>
              </w:rPr>
              <w:t xml:space="preserve">)...but pts w/ more extensive disease </w:t>
            </w:r>
            <w:proofErr w:type="spellStart"/>
            <w:r w:rsidRPr="00FA3F9C">
              <w:rPr>
                <w:rFonts w:ascii="Arial" w:hAnsi="Arial" w:cs="Arial"/>
                <w:color w:val="000000"/>
                <w:sz w:val="24"/>
                <w:szCs w:val="24"/>
              </w:rPr>
              <w:t>usu</w:t>
            </w:r>
            <w:proofErr w:type="spellEnd"/>
            <w:r w:rsidRPr="00FA3F9C">
              <w:rPr>
                <w:rFonts w:ascii="Arial" w:hAnsi="Arial" w:cs="Arial"/>
                <w:color w:val="000000"/>
                <w:sz w:val="24"/>
                <w:szCs w:val="24"/>
              </w:rPr>
              <w:t xml:space="preserve"> need oral therapy.   5-ASA products (mesalamine, </w:t>
            </w:r>
            <w:proofErr w:type="spellStart"/>
            <w:r w:rsidRPr="00FA3F9C">
              <w:rPr>
                <w:rFonts w:ascii="Arial" w:hAnsi="Arial" w:cs="Arial"/>
                <w:color w:val="000000"/>
                <w:sz w:val="24"/>
                <w:szCs w:val="24"/>
              </w:rPr>
              <w:t>etc</w:t>
            </w:r>
            <w:proofErr w:type="spellEnd"/>
            <w:r w:rsidRPr="00FA3F9C">
              <w:rPr>
                <w:rFonts w:ascii="Arial" w:hAnsi="Arial" w:cs="Arial"/>
                <w:color w:val="000000"/>
                <w:sz w:val="24"/>
                <w:szCs w:val="24"/>
              </w:rPr>
              <w:t xml:space="preserve">) are still first-line for inducing and maintaining remission in mild-mod dz. </w:t>
            </w:r>
          </w:p>
          <w:p w14:paraId="28BF0FE4" w14:textId="77777777" w:rsidR="001506C1" w:rsidRPr="00FA3F9C" w:rsidRDefault="001506C1" w:rsidP="003A163F">
            <w:pPr>
              <w:rPr>
                <w:rFonts w:ascii="Arial" w:hAnsi="Arial" w:cs="Arial"/>
                <w:color w:val="000000"/>
                <w:sz w:val="24"/>
                <w:szCs w:val="24"/>
              </w:rPr>
            </w:pPr>
            <w:r w:rsidRPr="00FA3F9C">
              <w:rPr>
                <w:rFonts w:ascii="Arial" w:hAnsi="Arial" w:cs="Arial"/>
                <w:color w:val="000000"/>
                <w:sz w:val="24"/>
                <w:szCs w:val="24"/>
              </w:rPr>
              <w:t xml:space="preserve">   </w:t>
            </w:r>
            <w:proofErr w:type="spellStart"/>
            <w:r w:rsidRPr="00FA3F9C">
              <w:rPr>
                <w:rFonts w:ascii="Arial" w:hAnsi="Arial" w:cs="Arial"/>
                <w:color w:val="000000"/>
                <w:sz w:val="24"/>
                <w:szCs w:val="24"/>
              </w:rPr>
              <w:t>Uceris</w:t>
            </w:r>
            <w:proofErr w:type="spellEnd"/>
            <w:r w:rsidRPr="00FA3F9C">
              <w:rPr>
                <w:rFonts w:ascii="Arial" w:hAnsi="Arial" w:cs="Arial"/>
                <w:color w:val="000000"/>
                <w:sz w:val="24"/>
                <w:szCs w:val="24"/>
              </w:rPr>
              <w:t xml:space="preserve"> would be an alternative to oral prednisone if 5-ASA products </w:t>
            </w:r>
            <w:proofErr w:type="gramStart"/>
            <w:r w:rsidRPr="00FA3F9C">
              <w:rPr>
                <w:rFonts w:ascii="Arial" w:hAnsi="Arial" w:cs="Arial"/>
                <w:color w:val="000000"/>
                <w:sz w:val="24"/>
                <w:szCs w:val="24"/>
              </w:rPr>
              <w:t>aren't</w:t>
            </w:r>
            <w:proofErr w:type="gramEnd"/>
            <w:r w:rsidRPr="00FA3F9C">
              <w:rPr>
                <w:rFonts w:ascii="Arial" w:hAnsi="Arial" w:cs="Arial"/>
                <w:color w:val="000000"/>
                <w:sz w:val="24"/>
                <w:szCs w:val="24"/>
              </w:rPr>
              <w:t xml:space="preserve"> effective.  </w:t>
            </w:r>
            <w:proofErr w:type="spellStart"/>
            <w:r w:rsidRPr="00FA3F9C">
              <w:rPr>
                <w:rFonts w:ascii="Arial" w:hAnsi="Arial" w:cs="Arial"/>
                <w:color w:val="000000"/>
                <w:sz w:val="24"/>
                <w:szCs w:val="24"/>
              </w:rPr>
              <w:t>Uceris</w:t>
            </w:r>
            <w:proofErr w:type="spellEnd"/>
            <w:r w:rsidRPr="00FA3F9C">
              <w:rPr>
                <w:rFonts w:ascii="Arial" w:hAnsi="Arial" w:cs="Arial"/>
                <w:color w:val="000000"/>
                <w:sz w:val="24"/>
                <w:szCs w:val="24"/>
              </w:rPr>
              <w:t xml:space="preserve"> will cost about $1200/m; vs as little as $4 per month for prednisone.   But adrenal suppression is unlikely when </w:t>
            </w:r>
            <w:proofErr w:type="spellStart"/>
            <w:r w:rsidRPr="00FA3F9C">
              <w:rPr>
                <w:rFonts w:ascii="Arial" w:hAnsi="Arial" w:cs="Arial"/>
                <w:color w:val="000000"/>
                <w:sz w:val="24"/>
                <w:szCs w:val="24"/>
              </w:rPr>
              <w:t>Uceris</w:t>
            </w:r>
            <w:proofErr w:type="spellEnd"/>
            <w:r w:rsidRPr="00FA3F9C">
              <w:rPr>
                <w:rFonts w:ascii="Arial" w:hAnsi="Arial" w:cs="Arial"/>
                <w:color w:val="000000"/>
                <w:sz w:val="24"/>
                <w:szCs w:val="24"/>
              </w:rPr>
              <w:t xml:space="preserve"> is used short-term. </w:t>
            </w:r>
          </w:p>
          <w:p w14:paraId="44D15739" w14:textId="77777777" w:rsidR="001506C1" w:rsidRPr="00FA3F9C" w:rsidRDefault="001506C1" w:rsidP="00D82B6E">
            <w:pPr>
              <w:rPr>
                <w:rFonts w:ascii="Arial" w:hAnsi="Arial" w:cs="Arial"/>
                <w:sz w:val="24"/>
                <w:szCs w:val="24"/>
              </w:rPr>
            </w:pPr>
          </w:p>
        </w:tc>
      </w:tr>
    </w:tbl>
    <w:p w14:paraId="1E20A67B" w14:textId="77777777" w:rsidR="001506C1" w:rsidRPr="00FA3F9C" w:rsidRDefault="001506C1" w:rsidP="006F623F">
      <w:pPr>
        <w:spacing w:after="0"/>
        <w:rPr>
          <w:rFonts w:ascii="Arial" w:hAnsi="Arial" w:cs="Arial"/>
          <w:sz w:val="24"/>
          <w:szCs w:val="24"/>
        </w:rPr>
      </w:pPr>
    </w:p>
    <w:tbl>
      <w:tblPr>
        <w:tblStyle w:val="TableGrid"/>
        <w:tblW w:w="0" w:type="auto"/>
        <w:tblLook w:val="04A0" w:firstRow="1" w:lastRow="0" w:firstColumn="1" w:lastColumn="0" w:noHBand="0" w:noVBand="1"/>
      </w:tblPr>
      <w:tblGrid>
        <w:gridCol w:w="13670"/>
      </w:tblGrid>
      <w:tr w:rsidR="001506C1" w:rsidRPr="00FA3F9C" w14:paraId="33508787" w14:textId="77777777" w:rsidTr="007918B6">
        <w:tc>
          <w:tcPr>
            <w:tcW w:w="14616" w:type="dxa"/>
            <w:shd w:val="clear" w:color="auto" w:fill="000000"/>
          </w:tcPr>
          <w:p w14:paraId="659F8224" w14:textId="77777777" w:rsidR="001506C1" w:rsidRPr="00FA3F9C" w:rsidRDefault="001506C1" w:rsidP="007918B6">
            <w:pPr>
              <w:rPr>
                <w:rFonts w:ascii="Arial" w:hAnsi="Arial" w:cs="Arial"/>
                <w:sz w:val="24"/>
                <w:szCs w:val="24"/>
                <w:u w:val="single"/>
              </w:rPr>
            </w:pPr>
            <w:r w:rsidRPr="00FA3F9C">
              <w:rPr>
                <w:rFonts w:ascii="Arial" w:hAnsi="Arial" w:cs="Arial"/>
                <w:sz w:val="24"/>
                <w:szCs w:val="24"/>
                <w:u w:val="single"/>
              </w:rPr>
              <w:t>Efficacy in Crohn’s:</w:t>
            </w:r>
          </w:p>
        </w:tc>
      </w:tr>
      <w:tr w:rsidR="001506C1" w:rsidRPr="00FA3F9C" w14:paraId="475A6750" w14:textId="77777777" w:rsidTr="007918B6">
        <w:tc>
          <w:tcPr>
            <w:tcW w:w="14616" w:type="dxa"/>
          </w:tcPr>
          <w:p w14:paraId="336C27D3" w14:textId="77777777" w:rsidR="001506C1" w:rsidRPr="00FA3F9C" w:rsidRDefault="001506C1" w:rsidP="007918B6">
            <w:pPr>
              <w:rPr>
                <w:rFonts w:ascii="Arial" w:eastAsia="Times New Roman" w:hAnsi="Arial" w:cs="Arial"/>
                <w:sz w:val="24"/>
                <w:szCs w:val="24"/>
              </w:rPr>
            </w:pPr>
            <w:r w:rsidRPr="00FA3F9C">
              <w:rPr>
                <w:rFonts w:ascii="Arial" w:eastAsia="Times New Roman" w:hAnsi="Arial" w:cs="Arial"/>
                <w:sz w:val="24"/>
                <w:szCs w:val="24"/>
              </w:rPr>
              <w:t xml:space="preserve">14 studies (1805 patients) were included: </w:t>
            </w:r>
          </w:p>
          <w:p w14:paraId="5740A510" w14:textId="77777777" w:rsidR="001506C1" w:rsidRPr="00FA3F9C" w:rsidRDefault="001506C1" w:rsidP="007918B6">
            <w:pPr>
              <w:rPr>
                <w:rFonts w:ascii="Arial" w:eastAsia="Times New Roman" w:hAnsi="Arial" w:cs="Arial"/>
                <w:sz w:val="24"/>
                <w:szCs w:val="24"/>
              </w:rPr>
            </w:pPr>
            <w:r w:rsidRPr="00FA3F9C">
              <w:rPr>
                <w:rFonts w:ascii="Arial" w:eastAsia="Times New Roman" w:hAnsi="Arial" w:cs="Arial"/>
                <w:sz w:val="24"/>
                <w:szCs w:val="24"/>
              </w:rPr>
              <w:t xml:space="preserve">--Nine (779 patients) compared budesonide to conventional corticosteroids, 3 (535 patients) were placebo-controlled, and 2 (491 patients) compared budesonide to mesalamine. </w:t>
            </w:r>
          </w:p>
          <w:p w14:paraId="660947BA" w14:textId="77777777" w:rsidR="001506C1" w:rsidRPr="00FA3F9C" w:rsidRDefault="001506C1" w:rsidP="007918B6">
            <w:pPr>
              <w:rPr>
                <w:rFonts w:ascii="Arial" w:eastAsia="Times New Roman" w:hAnsi="Arial" w:cs="Arial"/>
                <w:sz w:val="24"/>
                <w:szCs w:val="24"/>
              </w:rPr>
            </w:pPr>
            <w:r w:rsidRPr="00FA3F9C">
              <w:rPr>
                <w:rFonts w:ascii="Arial" w:eastAsia="Times New Roman" w:hAnsi="Arial" w:cs="Arial"/>
                <w:sz w:val="24"/>
                <w:szCs w:val="24"/>
              </w:rPr>
              <w:t>Findings:</w:t>
            </w:r>
          </w:p>
          <w:p w14:paraId="0D11A083" w14:textId="77777777" w:rsidR="001506C1" w:rsidRPr="00FA3F9C" w:rsidRDefault="001506C1" w:rsidP="007918B6">
            <w:pPr>
              <w:ind w:left="360"/>
              <w:rPr>
                <w:rFonts w:ascii="Arial" w:eastAsia="Times New Roman" w:hAnsi="Arial" w:cs="Arial"/>
                <w:sz w:val="24"/>
                <w:szCs w:val="24"/>
              </w:rPr>
            </w:pPr>
            <w:r w:rsidRPr="00FA3F9C">
              <w:rPr>
                <w:rFonts w:ascii="Arial" w:eastAsia="Times New Roman" w:hAnsi="Arial" w:cs="Arial"/>
                <w:sz w:val="24"/>
                <w:szCs w:val="24"/>
              </w:rPr>
              <w:t xml:space="preserve">Oral 9 mg budesonide X 8w was significantly </w:t>
            </w:r>
            <w:r w:rsidRPr="00FA3F9C">
              <w:rPr>
                <w:rFonts w:ascii="Arial" w:eastAsia="Times New Roman" w:hAnsi="Arial" w:cs="Arial"/>
                <w:b/>
                <w:sz w:val="24"/>
                <w:szCs w:val="24"/>
                <w:u w:val="single"/>
              </w:rPr>
              <w:t>more effective</w:t>
            </w:r>
            <w:r w:rsidRPr="00FA3F9C">
              <w:rPr>
                <w:rFonts w:ascii="Arial" w:eastAsia="Times New Roman" w:hAnsi="Arial" w:cs="Arial"/>
                <w:sz w:val="24"/>
                <w:szCs w:val="24"/>
              </w:rPr>
              <w:t xml:space="preserve"> than placebo for induction of clinical remission. </w:t>
            </w:r>
          </w:p>
          <w:p w14:paraId="78477151" w14:textId="77777777" w:rsidR="001506C1" w:rsidRPr="00FA3F9C" w:rsidRDefault="001506C1" w:rsidP="001506C1">
            <w:pPr>
              <w:pStyle w:val="ListParagraph"/>
              <w:numPr>
                <w:ilvl w:val="0"/>
                <w:numId w:val="74"/>
              </w:numPr>
              <w:ind w:left="720"/>
              <w:rPr>
                <w:rFonts w:ascii="Arial" w:eastAsia="Times New Roman" w:hAnsi="Arial" w:cs="Arial"/>
                <w:sz w:val="24"/>
                <w:szCs w:val="24"/>
              </w:rPr>
            </w:pPr>
            <w:r w:rsidRPr="00FA3F9C">
              <w:rPr>
                <w:rFonts w:ascii="Arial" w:eastAsia="Times New Roman" w:hAnsi="Arial" w:cs="Arial"/>
                <w:sz w:val="24"/>
                <w:szCs w:val="24"/>
              </w:rPr>
              <w:t xml:space="preserve">47% (115/246) of budesonide pts achieved remission at 8 w compared to 22% (29/133) of placebo pts (RR 1.93, 95% CI 1.37 to 2.73; 3 studies, 379 patients). </w:t>
            </w:r>
          </w:p>
          <w:p w14:paraId="67D32550" w14:textId="77777777" w:rsidR="001506C1" w:rsidRPr="00FA3F9C" w:rsidRDefault="001506C1" w:rsidP="007918B6">
            <w:pPr>
              <w:ind w:left="360"/>
              <w:rPr>
                <w:rFonts w:ascii="Arial" w:eastAsia="Times New Roman" w:hAnsi="Arial" w:cs="Arial"/>
                <w:sz w:val="24"/>
                <w:szCs w:val="24"/>
              </w:rPr>
            </w:pPr>
            <w:r w:rsidRPr="00FA3F9C">
              <w:rPr>
                <w:rFonts w:ascii="Arial" w:eastAsia="Times New Roman" w:hAnsi="Arial" w:cs="Arial"/>
                <w:sz w:val="24"/>
                <w:szCs w:val="24"/>
              </w:rPr>
              <w:t xml:space="preserve">Budesonide X8w was significantly </w:t>
            </w:r>
            <w:r w:rsidRPr="00FA3F9C">
              <w:rPr>
                <w:rFonts w:ascii="Arial" w:eastAsia="Times New Roman" w:hAnsi="Arial" w:cs="Arial"/>
                <w:b/>
                <w:sz w:val="24"/>
                <w:szCs w:val="24"/>
                <w:u w:val="single"/>
              </w:rPr>
              <w:t>less effective</w:t>
            </w:r>
            <w:r w:rsidRPr="00FA3F9C">
              <w:rPr>
                <w:rFonts w:ascii="Arial" w:eastAsia="Times New Roman" w:hAnsi="Arial" w:cs="Arial"/>
                <w:sz w:val="24"/>
                <w:szCs w:val="24"/>
              </w:rPr>
              <w:t xml:space="preserve"> than conventional steroids for induction of remission.  </w:t>
            </w:r>
          </w:p>
          <w:p w14:paraId="2A4B55B1" w14:textId="77777777" w:rsidR="001506C1" w:rsidRPr="00FA3F9C" w:rsidRDefault="001506C1" w:rsidP="001506C1">
            <w:pPr>
              <w:pStyle w:val="ListParagraph"/>
              <w:numPr>
                <w:ilvl w:val="0"/>
                <w:numId w:val="74"/>
              </w:numPr>
              <w:ind w:left="720"/>
              <w:rPr>
                <w:rFonts w:ascii="Arial" w:eastAsia="Times New Roman" w:hAnsi="Arial" w:cs="Arial"/>
                <w:sz w:val="24"/>
                <w:szCs w:val="24"/>
              </w:rPr>
            </w:pPr>
            <w:r w:rsidRPr="00FA3F9C">
              <w:rPr>
                <w:rFonts w:ascii="Arial" w:eastAsia="Times New Roman" w:hAnsi="Arial" w:cs="Arial"/>
                <w:sz w:val="24"/>
                <w:szCs w:val="24"/>
              </w:rPr>
              <w:t xml:space="preserve">52% budesonide pts achieved remission at week 8 compared to 61% of pts who received conventional steroids (RR 0.85, 95% CI 0.75 to 0.97; 8 studies, 750 patients). </w:t>
            </w:r>
          </w:p>
          <w:p w14:paraId="272322CC" w14:textId="77777777" w:rsidR="001506C1" w:rsidRPr="00FA3F9C" w:rsidRDefault="001506C1" w:rsidP="007918B6">
            <w:pPr>
              <w:ind w:left="360"/>
              <w:rPr>
                <w:rFonts w:ascii="Arial" w:eastAsia="Times New Roman" w:hAnsi="Arial" w:cs="Arial"/>
                <w:sz w:val="24"/>
                <w:szCs w:val="24"/>
              </w:rPr>
            </w:pPr>
            <w:r w:rsidRPr="00FA3F9C">
              <w:rPr>
                <w:rFonts w:ascii="Arial" w:eastAsia="Times New Roman" w:hAnsi="Arial" w:cs="Arial"/>
                <w:sz w:val="24"/>
                <w:szCs w:val="24"/>
              </w:rPr>
              <w:t xml:space="preserve">Budesonide was significantly </w:t>
            </w:r>
            <w:r w:rsidRPr="00FA3F9C">
              <w:rPr>
                <w:rFonts w:ascii="Arial" w:eastAsia="Times New Roman" w:hAnsi="Arial" w:cs="Arial"/>
                <w:b/>
                <w:sz w:val="24"/>
                <w:szCs w:val="24"/>
                <w:u w:val="single"/>
              </w:rPr>
              <w:t>less effective</w:t>
            </w:r>
            <w:r w:rsidRPr="00FA3F9C">
              <w:rPr>
                <w:rFonts w:ascii="Arial" w:eastAsia="Times New Roman" w:hAnsi="Arial" w:cs="Arial"/>
                <w:sz w:val="24"/>
                <w:szCs w:val="24"/>
              </w:rPr>
              <w:t xml:space="preserve"> than conventional steroids among patients with severe disease (CDAI &gt; 300) </w:t>
            </w:r>
          </w:p>
          <w:p w14:paraId="09FAA821" w14:textId="77777777" w:rsidR="001506C1" w:rsidRPr="00FA3F9C" w:rsidRDefault="001506C1" w:rsidP="001506C1">
            <w:pPr>
              <w:pStyle w:val="ListParagraph"/>
              <w:numPr>
                <w:ilvl w:val="0"/>
                <w:numId w:val="74"/>
              </w:numPr>
              <w:ind w:left="720"/>
              <w:rPr>
                <w:rFonts w:ascii="Arial" w:eastAsia="Times New Roman" w:hAnsi="Arial" w:cs="Arial"/>
                <w:sz w:val="24"/>
                <w:szCs w:val="24"/>
              </w:rPr>
            </w:pPr>
            <w:r w:rsidRPr="00FA3F9C">
              <w:rPr>
                <w:rFonts w:ascii="Arial" w:eastAsia="Times New Roman" w:hAnsi="Arial" w:cs="Arial"/>
                <w:sz w:val="24"/>
                <w:szCs w:val="24"/>
              </w:rPr>
              <w:t xml:space="preserve">(RR 0.52, 95% CI 0.28 to 0.95). Studies comparing budesonide to mesalamine were not pooled due to heterogeneity (I2 = 81%). </w:t>
            </w:r>
          </w:p>
          <w:p w14:paraId="7010C06B" w14:textId="77777777" w:rsidR="001506C1" w:rsidRPr="00FA3F9C" w:rsidRDefault="001506C1" w:rsidP="007918B6">
            <w:pPr>
              <w:ind w:left="360"/>
              <w:rPr>
                <w:rFonts w:ascii="Arial" w:eastAsia="Times New Roman" w:hAnsi="Arial" w:cs="Arial"/>
                <w:sz w:val="24"/>
                <w:szCs w:val="24"/>
              </w:rPr>
            </w:pPr>
            <w:r w:rsidRPr="00FA3F9C">
              <w:rPr>
                <w:rFonts w:ascii="Arial" w:eastAsia="Times New Roman" w:hAnsi="Arial" w:cs="Arial"/>
                <w:sz w:val="24"/>
                <w:szCs w:val="24"/>
              </w:rPr>
              <w:t xml:space="preserve">One study (n = 182) found budesonide X8w to be </w:t>
            </w:r>
            <w:r w:rsidRPr="00FA3F9C">
              <w:rPr>
                <w:rFonts w:ascii="Arial" w:eastAsia="Times New Roman" w:hAnsi="Arial" w:cs="Arial"/>
                <w:b/>
                <w:sz w:val="24"/>
                <w:szCs w:val="24"/>
              </w:rPr>
              <w:t>superior to mesalamine</w:t>
            </w:r>
            <w:r w:rsidRPr="00FA3F9C">
              <w:rPr>
                <w:rFonts w:ascii="Arial" w:eastAsia="Times New Roman" w:hAnsi="Arial" w:cs="Arial"/>
                <w:sz w:val="24"/>
                <w:szCs w:val="24"/>
              </w:rPr>
              <w:t xml:space="preserve"> for induction of remission. </w:t>
            </w:r>
          </w:p>
          <w:p w14:paraId="4DB2BF2F" w14:textId="77777777" w:rsidR="001506C1" w:rsidRPr="00FA3F9C" w:rsidRDefault="001506C1" w:rsidP="001506C1">
            <w:pPr>
              <w:pStyle w:val="ListParagraph"/>
              <w:numPr>
                <w:ilvl w:val="0"/>
                <w:numId w:val="74"/>
              </w:numPr>
              <w:ind w:left="720"/>
              <w:rPr>
                <w:rFonts w:ascii="Arial" w:eastAsia="Times New Roman" w:hAnsi="Arial" w:cs="Arial"/>
                <w:sz w:val="24"/>
                <w:szCs w:val="24"/>
              </w:rPr>
            </w:pPr>
            <w:r w:rsidRPr="00FA3F9C">
              <w:rPr>
                <w:rFonts w:ascii="Arial" w:eastAsia="Times New Roman" w:hAnsi="Arial" w:cs="Arial"/>
                <w:sz w:val="24"/>
                <w:szCs w:val="24"/>
              </w:rPr>
              <w:t xml:space="preserve">68% (63/93) of budesonide pts were in remission at 8w compared to 42% (37/89) of mesalamine pts (RR 1.63, 95%CI1.23-2.16). </w:t>
            </w:r>
          </w:p>
          <w:p w14:paraId="5D5D40B8" w14:textId="77777777" w:rsidR="001506C1" w:rsidRPr="00FA3F9C" w:rsidRDefault="001506C1" w:rsidP="001506C1">
            <w:pPr>
              <w:pStyle w:val="ListParagraph"/>
              <w:numPr>
                <w:ilvl w:val="0"/>
                <w:numId w:val="74"/>
              </w:numPr>
              <w:ind w:left="720"/>
              <w:rPr>
                <w:rFonts w:ascii="Arial" w:eastAsia="Times New Roman" w:hAnsi="Arial" w:cs="Arial"/>
                <w:sz w:val="24"/>
                <w:szCs w:val="24"/>
              </w:rPr>
            </w:pPr>
            <w:r w:rsidRPr="00FA3F9C">
              <w:rPr>
                <w:rFonts w:ascii="Arial" w:eastAsia="Times New Roman" w:hAnsi="Arial" w:cs="Arial"/>
                <w:sz w:val="24"/>
                <w:szCs w:val="24"/>
              </w:rPr>
              <w:t xml:space="preserve">The other study found </w:t>
            </w:r>
            <w:r w:rsidRPr="00FA3F9C">
              <w:rPr>
                <w:rFonts w:ascii="Arial" w:eastAsia="Times New Roman" w:hAnsi="Arial" w:cs="Arial"/>
                <w:b/>
                <w:sz w:val="24"/>
                <w:szCs w:val="24"/>
              </w:rPr>
              <w:t xml:space="preserve">no statistically significant difference </w:t>
            </w:r>
            <w:r w:rsidRPr="00FA3F9C">
              <w:rPr>
                <w:rFonts w:ascii="Arial" w:eastAsia="Times New Roman" w:hAnsi="Arial" w:cs="Arial"/>
                <w:sz w:val="24"/>
                <w:szCs w:val="24"/>
              </w:rPr>
              <w:t>in remission rates at 8w.</w:t>
            </w:r>
          </w:p>
          <w:p w14:paraId="5D88BA18" w14:textId="77777777" w:rsidR="001506C1" w:rsidRPr="00FA3F9C" w:rsidRDefault="001506C1" w:rsidP="001506C1">
            <w:pPr>
              <w:pStyle w:val="ListParagraph"/>
              <w:numPr>
                <w:ilvl w:val="0"/>
                <w:numId w:val="74"/>
              </w:numPr>
              <w:ind w:left="720"/>
              <w:rPr>
                <w:rFonts w:ascii="Arial" w:eastAsia="Times New Roman" w:hAnsi="Arial" w:cs="Arial"/>
                <w:sz w:val="24"/>
                <w:szCs w:val="24"/>
              </w:rPr>
            </w:pPr>
            <w:r w:rsidRPr="00FA3F9C">
              <w:rPr>
                <w:rFonts w:ascii="Arial" w:eastAsia="Times New Roman" w:hAnsi="Arial" w:cs="Arial"/>
                <w:sz w:val="24"/>
                <w:szCs w:val="24"/>
              </w:rPr>
              <w:t xml:space="preserve">69% (107/154) of budesonide pts were in remission at 8 w compared to 62% (132/242) of mesalamine patients (RR 1.12, 95% CI 0.95 to 1.32). </w:t>
            </w:r>
          </w:p>
          <w:p w14:paraId="61581018" w14:textId="77777777" w:rsidR="001506C1" w:rsidRPr="00FA3F9C" w:rsidRDefault="001506C1" w:rsidP="001506C1">
            <w:pPr>
              <w:pStyle w:val="ListParagraph"/>
              <w:numPr>
                <w:ilvl w:val="0"/>
                <w:numId w:val="74"/>
              </w:numPr>
              <w:ind w:left="720"/>
              <w:rPr>
                <w:rFonts w:ascii="Arial" w:eastAsia="Times New Roman" w:hAnsi="Arial" w:cs="Arial"/>
                <w:sz w:val="24"/>
                <w:szCs w:val="24"/>
              </w:rPr>
            </w:pPr>
            <w:r w:rsidRPr="00FA3F9C">
              <w:rPr>
                <w:rFonts w:ascii="Arial" w:eastAsia="Times New Roman" w:hAnsi="Arial" w:cs="Arial"/>
                <w:b/>
                <w:sz w:val="24"/>
                <w:szCs w:val="24"/>
              </w:rPr>
              <w:t>Fewer AEs</w:t>
            </w:r>
            <w:r w:rsidRPr="00FA3F9C">
              <w:rPr>
                <w:rFonts w:ascii="Arial" w:eastAsia="Times New Roman" w:hAnsi="Arial" w:cs="Arial"/>
                <w:sz w:val="24"/>
                <w:szCs w:val="24"/>
              </w:rPr>
              <w:t xml:space="preserve"> occurred in those treated with budesonide compared to conventional steroids (RR 0.64, 95% CI 0.54 to 0.76) and budesonide was better than conventional steroids in preserving adrenal function (RR for abnormal ACTH test </w:t>
            </w:r>
            <w:r w:rsidRPr="00FA3F9C">
              <w:rPr>
                <w:rFonts w:ascii="Arial" w:eastAsia="Times New Roman" w:hAnsi="Arial" w:cs="Arial"/>
                <w:b/>
                <w:sz w:val="24"/>
                <w:szCs w:val="24"/>
              </w:rPr>
              <w:t>0.65</w:t>
            </w:r>
            <w:r w:rsidRPr="00FA3F9C">
              <w:rPr>
                <w:rFonts w:ascii="Arial" w:eastAsia="Times New Roman" w:hAnsi="Arial" w:cs="Arial"/>
                <w:sz w:val="24"/>
                <w:szCs w:val="24"/>
              </w:rPr>
              <w:t xml:space="preserve">, 95% CI 0.55 to 0.78). </w:t>
            </w:r>
          </w:p>
          <w:p w14:paraId="0A6E5FB5" w14:textId="77777777" w:rsidR="001506C1" w:rsidRPr="00FA3F9C" w:rsidRDefault="001506C1" w:rsidP="001506C1">
            <w:pPr>
              <w:pStyle w:val="ListParagraph"/>
              <w:numPr>
                <w:ilvl w:val="0"/>
                <w:numId w:val="74"/>
              </w:numPr>
              <w:ind w:left="720"/>
              <w:rPr>
                <w:rFonts w:ascii="Arial" w:eastAsia="Times New Roman" w:hAnsi="Arial" w:cs="Arial"/>
                <w:sz w:val="24"/>
                <w:szCs w:val="24"/>
                <w:u w:val="single"/>
              </w:rPr>
            </w:pPr>
            <w:r w:rsidRPr="00FA3F9C">
              <w:rPr>
                <w:rFonts w:ascii="Arial" w:eastAsia="Times New Roman" w:hAnsi="Arial" w:cs="Arial"/>
                <w:sz w:val="24"/>
                <w:szCs w:val="24"/>
                <w:u w:val="single"/>
              </w:rPr>
              <w:t>Authors’ conclusions:  Budesonide is more effective than placebo for induction of remission in Crohn’s disease. Although short-term efficacy with budesonide is &lt; with conventional steroids, particularly in those with severe disease or more extensive colonic involvement, the likelihood of AEs and adrenal suppression with budesonide is lower. The current evidence does not allow for a firm conclusion on the relative efficacy of budesonide compared to 5-ASA products.</w:t>
            </w:r>
          </w:p>
        </w:tc>
      </w:tr>
      <w:tr w:rsidR="001506C1" w:rsidRPr="00FA3F9C" w14:paraId="41271F45" w14:textId="77777777" w:rsidTr="007918B6">
        <w:tc>
          <w:tcPr>
            <w:tcW w:w="14616" w:type="dxa"/>
            <w:shd w:val="clear" w:color="auto" w:fill="000000"/>
          </w:tcPr>
          <w:p w14:paraId="723A499E" w14:textId="77777777" w:rsidR="001506C1" w:rsidRPr="00FA3F9C" w:rsidRDefault="001506C1" w:rsidP="007918B6">
            <w:pPr>
              <w:rPr>
                <w:rFonts w:ascii="Arial" w:hAnsi="Arial" w:cs="Arial"/>
                <w:sz w:val="24"/>
                <w:szCs w:val="24"/>
              </w:rPr>
            </w:pPr>
            <w:r w:rsidRPr="00FA3F9C">
              <w:rPr>
                <w:rFonts w:ascii="Arial" w:hAnsi="Arial" w:cs="Arial"/>
                <w:sz w:val="24"/>
                <w:szCs w:val="24"/>
              </w:rPr>
              <w:t>Efficacy of oral budesonide in UC:</w:t>
            </w:r>
          </w:p>
        </w:tc>
      </w:tr>
      <w:tr w:rsidR="001506C1" w:rsidRPr="00FA3F9C" w14:paraId="2142B46B" w14:textId="77777777" w:rsidTr="007918B6">
        <w:tc>
          <w:tcPr>
            <w:tcW w:w="14616" w:type="dxa"/>
          </w:tcPr>
          <w:p w14:paraId="14E77110" w14:textId="77777777" w:rsidR="001506C1" w:rsidRPr="00FA3F9C" w:rsidRDefault="001506C1" w:rsidP="001506C1">
            <w:pPr>
              <w:pStyle w:val="ListParagraph"/>
              <w:numPr>
                <w:ilvl w:val="0"/>
                <w:numId w:val="75"/>
              </w:numPr>
              <w:rPr>
                <w:rFonts w:ascii="Arial" w:eastAsia="Times New Roman" w:hAnsi="Arial" w:cs="Arial"/>
                <w:sz w:val="24"/>
                <w:szCs w:val="24"/>
              </w:rPr>
            </w:pPr>
            <w:r w:rsidRPr="00FA3F9C">
              <w:rPr>
                <w:rFonts w:ascii="Arial" w:eastAsia="Times New Roman" w:hAnsi="Arial" w:cs="Arial"/>
                <w:sz w:val="24"/>
                <w:szCs w:val="24"/>
              </w:rPr>
              <w:t xml:space="preserve">Oral budesonide was significantly less likely to induce clinical remission than oral mesalamine after 8 weeks of therapy (RR 0.72, 95% CI 0.57 to 0.91). </w:t>
            </w:r>
          </w:p>
          <w:p w14:paraId="0DE921DF" w14:textId="77777777" w:rsidR="001506C1" w:rsidRPr="00FA3F9C" w:rsidRDefault="001506C1" w:rsidP="001506C1">
            <w:pPr>
              <w:pStyle w:val="ListParagraph"/>
              <w:numPr>
                <w:ilvl w:val="0"/>
                <w:numId w:val="75"/>
              </w:numPr>
              <w:rPr>
                <w:rFonts w:ascii="Arial" w:eastAsia="Times New Roman" w:hAnsi="Arial" w:cs="Arial"/>
                <w:sz w:val="24"/>
                <w:szCs w:val="24"/>
              </w:rPr>
            </w:pPr>
            <w:r w:rsidRPr="00FA3F9C">
              <w:rPr>
                <w:rFonts w:ascii="Arial" w:eastAsia="Times New Roman" w:hAnsi="Arial" w:cs="Arial"/>
                <w:sz w:val="24"/>
                <w:szCs w:val="24"/>
              </w:rPr>
              <w:lastRenderedPageBreak/>
              <w:t xml:space="preserve">There was no significant benefit of oral budesonide in comparison to placebo for inducing clinical remission after 4 weeks of treatment (RR 1.41, 95% CI 0.59 to 3.39). </w:t>
            </w:r>
          </w:p>
          <w:p w14:paraId="43C51E2F" w14:textId="77777777" w:rsidR="001506C1" w:rsidRPr="00FA3F9C" w:rsidRDefault="001506C1" w:rsidP="001506C1">
            <w:pPr>
              <w:pStyle w:val="ListParagraph"/>
              <w:numPr>
                <w:ilvl w:val="0"/>
                <w:numId w:val="75"/>
              </w:numPr>
              <w:rPr>
                <w:rFonts w:ascii="Arial" w:eastAsia="Times New Roman" w:hAnsi="Arial" w:cs="Arial"/>
                <w:sz w:val="24"/>
                <w:szCs w:val="24"/>
              </w:rPr>
            </w:pPr>
            <w:r w:rsidRPr="00FA3F9C">
              <w:rPr>
                <w:rFonts w:ascii="Arial" w:eastAsia="Times New Roman" w:hAnsi="Arial" w:cs="Arial"/>
                <w:sz w:val="24"/>
                <w:szCs w:val="24"/>
              </w:rPr>
              <w:t xml:space="preserve">A small pilot study reported no statistically significant difference in endoscopic remission between budesonide and prednisolone (RR 0.75, 95% CI 0.23 to 2.42). The study was small and not powered to evaluate the impact of budesonide on clinical remission. </w:t>
            </w:r>
          </w:p>
          <w:p w14:paraId="7C23D76C" w14:textId="77777777" w:rsidR="001506C1" w:rsidRPr="00FA3F9C" w:rsidRDefault="001506C1" w:rsidP="001506C1">
            <w:pPr>
              <w:pStyle w:val="ListParagraph"/>
              <w:numPr>
                <w:ilvl w:val="0"/>
                <w:numId w:val="75"/>
              </w:numPr>
              <w:rPr>
                <w:rFonts w:ascii="Arial" w:eastAsia="Times New Roman" w:hAnsi="Arial" w:cs="Arial"/>
                <w:sz w:val="24"/>
                <w:szCs w:val="24"/>
              </w:rPr>
            </w:pPr>
            <w:r w:rsidRPr="00FA3F9C">
              <w:rPr>
                <w:rFonts w:ascii="Arial" w:eastAsia="Times New Roman" w:hAnsi="Arial" w:cs="Arial"/>
                <w:sz w:val="24"/>
                <w:szCs w:val="24"/>
              </w:rPr>
              <w:t xml:space="preserve">Suppression of plasma cortisol was significantly more common in prednisolone treated patients (RR 0.02, 95% CI 0.0 to 0.33). Two multicenter studies are ongoing. </w:t>
            </w:r>
          </w:p>
          <w:p w14:paraId="060C4F16" w14:textId="77777777" w:rsidR="001506C1" w:rsidRPr="00FA3F9C" w:rsidRDefault="001506C1" w:rsidP="001506C1">
            <w:pPr>
              <w:pStyle w:val="ListParagraph"/>
              <w:numPr>
                <w:ilvl w:val="0"/>
                <w:numId w:val="75"/>
              </w:numPr>
              <w:rPr>
                <w:rFonts w:ascii="Arial" w:eastAsia="Times New Roman" w:hAnsi="Arial" w:cs="Arial"/>
                <w:sz w:val="24"/>
                <w:szCs w:val="24"/>
                <w:u w:val="single"/>
              </w:rPr>
            </w:pPr>
            <w:r w:rsidRPr="00FA3F9C">
              <w:rPr>
                <w:rFonts w:ascii="Arial" w:eastAsia="Times New Roman" w:hAnsi="Arial" w:cs="Arial"/>
                <w:sz w:val="24"/>
                <w:szCs w:val="24"/>
                <w:u w:val="single"/>
              </w:rPr>
              <w:t>Authors’ conclusions:  At present, there is no evidence to recommend the clinical use of oral budesonide for the induction of remission in active UC. Mesalamine is superior to budesonide for the treatment of active UC.</w:t>
            </w:r>
          </w:p>
        </w:tc>
      </w:tr>
      <w:tr w:rsidR="001506C1" w:rsidRPr="00FA3F9C" w14:paraId="63A4063F" w14:textId="77777777" w:rsidTr="007918B6">
        <w:tc>
          <w:tcPr>
            <w:tcW w:w="14616" w:type="dxa"/>
            <w:shd w:val="clear" w:color="auto" w:fill="000000"/>
          </w:tcPr>
          <w:p w14:paraId="171033E8" w14:textId="77777777" w:rsidR="001506C1" w:rsidRPr="00FA3F9C" w:rsidRDefault="001506C1" w:rsidP="007918B6">
            <w:pPr>
              <w:rPr>
                <w:rFonts w:ascii="Arial" w:hAnsi="Arial" w:cs="Arial"/>
                <w:sz w:val="24"/>
                <w:szCs w:val="24"/>
              </w:rPr>
            </w:pPr>
            <w:r w:rsidRPr="00FA3F9C">
              <w:rPr>
                <w:rFonts w:ascii="Arial" w:hAnsi="Arial" w:cs="Arial"/>
                <w:sz w:val="24"/>
                <w:szCs w:val="24"/>
              </w:rPr>
              <w:lastRenderedPageBreak/>
              <w:t>Efficacy of rectal foam budesonide in UC:</w:t>
            </w:r>
          </w:p>
        </w:tc>
      </w:tr>
      <w:tr w:rsidR="001506C1" w:rsidRPr="00FA3F9C" w14:paraId="431E19AA" w14:textId="77777777" w:rsidTr="007918B6">
        <w:tc>
          <w:tcPr>
            <w:tcW w:w="14616" w:type="dxa"/>
          </w:tcPr>
          <w:p w14:paraId="26909D38" w14:textId="77777777" w:rsidR="001506C1" w:rsidRPr="00FA3F9C" w:rsidRDefault="001506C1" w:rsidP="007918B6">
            <w:pPr>
              <w:rPr>
                <w:rFonts w:ascii="Arial" w:eastAsia="Times New Roman" w:hAnsi="Arial" w:cs="Arial"/>
                <w:sz w:val="24"/>
                <w:szCs w:val="24"/>
              </w:rPr>
            </w:pPr>
            <w:r w:rsidRPr="00FA3F9C">
              <w:rPr>
                <w:rFonts w:ascii="Arial" w:eastAsia="Times New Roman" w:hAnsi="Arial" w:cs="Arial"/>
                <w:sz w:val="24"/>
                <w:szCs w:val="24"/>
              </w:rPr>
              <w:t xml:space="preserve">2 identically designed, R, DB, PC trials evaluated the efficacy of budesonide foam for induction of remission in 546 pts w/ mild-mod UC proctitis or ulcerative proctosigmoiditis who received budesonide foam 2 mg/25 mL BID X2w, then QD X4w, or placebo. </w:t>
            </w:r>
          </w:p>
          <w:p w14:paraId="14EC2A43" w14:textId="77777777" w:rsidR="001506C1" w:rsidRPr="00FA3F9C" w:rsidRDefault="001506C1" w:rsidP="007918B6">
            <w:pPr>
              <w:rPr>
                <w:rFonts w:ascii="Arial" w:eastAsia="Times New Roman" w:hAnsi="Arial" w:cs="Arial"/>
                <w:sz w:val="24"/>
                <w:szCs w:val="24"/>
              </w:rPr>
            </w:pPr>
            <w:r w:rsidRPr="00FA3F9C">
              <w:rPr>
                <w:rFonts w:ascii="Arial" w:eastAsia="Times New Roman" w:hAnsi="Arial" w:cs="Arial"/>
                <w:sz w:val="24"/>
                <w:szCs w:val="24"/>
              </w:rPr>
              <w:t>RESULTS: Remission at w6 occurred significantly more frequently among pts receiving budesonide foam than placebo (Study 1: 38.3% vs 25.8%; P ¼ .0324; Study 2: 44.0% vs 22.4%; P &lt; .0001). A significantly greater % of pts receiving budesonide foam vs placebo achieved rectal bleeding resolution (Study 1: 46.6% vs 28.0%; P ¼ .0022; Study 2: 50.0% vs 28.6%; P ¼ .0002) and endoscopic improvement (Study 1: 55.6% vs 43.2%; P ¼ .0486; Study 2: 56.0% vs 36.7%; P ¼ .0013) at week 6. Most AEs occurred at similar frequencies between groups, although events related to changes in cortisol values were reported more frequently with budesonide foam. There were no cases of clinically symptomatic adrenal insufficiency. CONCLUSIONS: Budesonide rectal foam was well tolerated and more efficacious than placebo in inducing remission in pts w/ mild-mod ulcerative proctitis and ulcerative proctosigmoiditis.</w:t>
            </w:r>
          </w:p>
        </w:tc>
      </w:tr>
    </w:tbl>
    <w:p w14:paraId="74CB79FA" w14:textId="77777777" w:rsidR="001506C1" w:rsidRPr="00FA3F9C" w:rsidRDefault="001506C1" w:rsidP="006F623F">
      <w:pPr>
        <w:spacing w:after="0"/>
        <w:rPr>
          <w:rFonts w:ascii="Arial" w:hAnsi="Arial" w:cs="Arial"/>
          <w:sz w:val="24"/>
          <w:szCs w:val="24"/>
        </w:rPr>
      </w:pPr>
    </w:p>
    <w:p w14:paraId="3D136940" w14:textId="77777777" w:rsidR="001506C1" w:rsidRPr="00FA3F9C" w:rsidRDefault="001506C1" w:rsidP="006F623F">
      <w:pPr>
        <w:spacing w:after="0"/>
        <w:rPr>
          <w:rFonts w:ascii="Arial" w:hAnsi="Arial" w:cs="Arial"/>
          <w:sz w:val="24"/>
          <w:szCs w:val="24"/>
        </w:rPr>
      </w:pPr>
    </w:p>
    <w:p w14:paraId="2CB998CA"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418"/>
        <w:gridCol w:w="7470"/>
        <w:gridCol w:w="2538"/>
      </w:tblGrid>
      <w:tr w:rsidR="001506C1" w:rsidRPr="00FA3F9C" w14:paraId="343961C3" w14:textId="77777777" w:rsidTr="00FE491B">
        <w:tc>
          <w:tcPr>
            <w:tcW w:w="1008" w:type="dxa"/>
          </w:tcPr>
          <w:p w14:paraId="67273D5F" w14:textId="77777777" w:rsidR="001506C1" w:rsidRPr="00FA3F9C" w:rsidRDefault="001506C1" w:rsidP="006F623F">
            <w:pPr>
              <w:rPr>
                <w:rFonts w:ascii="Arial" w:hAnsi="Arial" w:cs="Arial"/>
                <w:sz w:val="24"/>
                <w:szCs w:val="24"/>
              </w:rPr>
            </w:pPr>
            <w:r w:rsidRPr="00FA3F9C">
              <w:rPr>
                <w:rFonts w:ascii="Arial" w:hAnsi="Arial" w:cs="Arial"/>
                <w:sz w:val="24"/>
                <w:szCs w:val="24"/>
              </w:rPr>
              <w:t>Date</w:t>
            </w:r>
          </w:p>
        </w:tc>
        <w:tc>
          <w:tcPr>
            <w:tcW w:w="7470" w:type="dxa"/>
          </w:tcPr>
          <w:p w14:paraId="676A43FF" w14:textId="77777777" w:rsidR="001506C1" w:rsidRPr="00FA3F9C" w:rsidRDefault="001506C1" w:rsidP="006F623F">
            <w:pPr>
              <w:rPr>
                <w:rFonts w:ascii="Arial" w:hAnsi="Arial" w:cs="Arial"/>
                <w:sz w:val="24"/>
                <w:szCs w:val="24"/>
              </w:rPr>
            </w:pPr>
            <w:r w:rsidRPr="00FA3F9C">
              <w:rPr>
                <w:rFonts w:ascii="Arial" w:hAnsi="Arial" w:cs="Arial"/>
                <w:sz w:val="24"/>
                <w:szCs w:val="24"/>
              </w:rPr>
              <w:t>What changed</w:t>
            </w:r>
          </w:p>
        </w:tc>
        <w:tc>
          <w:tcPr>
            <w:tcW w:w="2538" w:type="dxa"/>
          </w:tcPr>
          <w:p w14:paraId="72BF6959" w14:textId="77777777" w:rsidR="001506C1" w:rsidRPr="00FA3F9C" w:rsidRDefault="001506C1" w:rsidP="006F623F">
            <w:pPr>
              <w:rPr>
                <w:rFonts w:ascii="Arial" w:hAnsi="Arial" w:cs="Arial"/>
                <w:sz w:val="24"/>
                <w:szCs w:val="24"/>
              </w:rPr>
            </w:pPr>
            <w:r w:rsidRPr="00FA3F9C">
              <w:rPr>
                <w:rFonts w:ascii="Arial" w:hAnsi="Arial" w:cs="Arial"/>
                <w:sz w:val="24"/>
                <w:szCs w:val="24"/>
              </w:rPr>
              <w:t>Pharmacist’s initials</w:t>
            </w:r>
          </w:p>
        </w:tc>
      </w:tr>
      <w:tr w:rsidR="001506C1" w:rsidRPr="00FA3F9C" w14:paraId="0CC131E4" w14:textId="77777777" w:rsidTr="00FE491B">
        <w:tc>
          <w:tcPr>
            <w:tcW w:w="1008" w:type="dxa"/>
          </w:tcPr>
          <w:p w14:paraId="18683502" w14:textId="77777777" w:rsidR="001506C1" w:rsidRPr="00FA3F9C" w:rsidRDefault="001506C1" w:rsidP="006F623F">
            <w:pPr>
              <w:rPr>
                <w:rFonts w:ascii="Arial" w:hAnsi="Arial" w:cs="Arial"/>
                <w:sz w:val="24"/>
                <w:szCs w:val="24"/>
              </w:rPr>
            </w:pPr>
            <w:r w:rsidRPr="00FA3F9C">
              <w:rPr>
                <w:rFonts w:ascii="Arial" w:hAnsi="Arial" w:cs="Arial"/>
                <w:sz w:val="24"/>
                <w:szCs w:val="24"/>
              </w:rPr>
              <w:t>12/22/2015</w:t>
            </w:r>
          </w:p>
        </w:tc>
        <w:tc>
          <w:tcPr>
            <w:tcW w:w="7470" w:type="dxa"/>
          </w:tcPr>
          <w:p w14:paraId="70C645EC" w14:textId="77777777" w:rsidR="001506C1" w:rsidRPr="00FA3F9C" w:rsidRDefault="001506C1" w:rsidP="006F623F">
            <w:pPr>
              <w:rPr>
                <w:rFonts w:ascii="Arial" w:hAnsi="Arial" w:cs="Arial"/>
                <w:sz w:val="24"/>
                <w:szCs w:val="24"/>
              </w:rPr>
            </w:pPr>
            <w:r w:rsidRPr="00FA3F9C">
              <w:rPr>
                <w:rFonts w:ascii="Arial" w:hAnsi="Arial" w:cs="Arial"/>
                <w:sz w:val="24"/>
                <w:szCs w:val="24"/>
              </w:rPr>
              <w:t>I wrote the criteria.</w:t>
            </w:r>
          </w:p>
        </w:tc>
        <w:tc>
          <w:tcPr>
            <w:tcW w:w="2538" w:type="dxa"/>
          </w:tcPr>
          <w:p w14:paraId="0175516B" w14:textId="77777777" w:rsidR="001506C1" w:rsidRPr="00FA3F9C" w:rsidRDefault="001506C1" w:rsidP="006F623F">
            <w:pPr>
              <w:rPr>
                <w:rFonts w:ascii="Arial" w:hAnsi="Arial" w:cs="Arial"/>
                <w:sz w:val="24"/>
                <w:szCs w:val="24"/>
              </w:rPr>
            </w:pPr>
            <w:r w:rsidRPr="00FA3F9C">
              <w:rPr>
                <w:rFonts w:ascii="Arial" w:hAnsi="Arial" w:cs="Arial"/>
                <w:sz w:val="24"/>
                <w:szCs w:val="24"/>
              </w:rPr>
              <w:t>JJ</w:t>
            </w:r>
          </w:p>
        </w:tc>
      </w:tr>
      <w:tr w:rsidR="001506C1" w:rsidRPr="00FA3F9C" w14:paraId="0423B594" w14:textId="77777777" w:rsidTr="00FE491B">
        <w:tc>
          <w:tcPr>
            <w:tcW w:w="1008" w:type="dxa"/>
          </w:tcPr>
          <w:p w14:paraId="6AA3BE42" w14:textId="77777777" w:rsidR="001506C1" w:rsidRPr="00FA3F9C" w:rsidRDefault="001506C1" w:rsidP="006F623F">
            <w:pPr>
              <w:rPr>
                <w:rFonts w:ascii="Arial" w:hAnsi="Arial" w:cs="Arial"/>
                <w:sz w:val="24"/>
                <w:szCs w:val="24"/>
              </w:rPr>
            </w:pPr>
          </w:p>
        </w:tc>
        <w:tc>
          <w:tcPr>
            <w:tcW w:w="7470" w:type="dxa"/>
          </w:tcPr>
          <w:p w14:paraId="26C6EBCB" w14:textId="77777777" w:rsidR="001506C1" w:rsidRPr="00FA3F9C" w:rsidRDefault="001506C1" w:rsidP="006F623F">
            <w:pPr>
              <w:rPr>
                <w:rFonts w:ascii="Arial" w:hAnsi="Arial" w:cs="Arial"/>
                <w:sz w:val="24"/>
                <w:szCs w:val="24"/>
              </w:rPr>
            </w:pPr>
          </w:p>
        </w:tc>
        <w:tc>
          <w:tcPr>
            <w:tcW w:w="2538" w:type="dxa"/>
          </w:tcPr>
          <w:p w14:paraId="385085A4" w14:textId="77777777" w:rsidR="001506C1" w:rsidRPr="00FA3F9C" w:rsidRDefault="001506C1" w:rsidP="006F623F">
            <w:pPr>
              <w:rPr>
                <w:rFonts w:ascii="Arial" w:hAnsi="Arial" w:cs="Arial"/>
                <w:sz w:val="24"/>
                <w:szCs w:val="24"/>
              </w:rPr>
            </w:pPr>
          </w:p>
        </w:tc>
      </w:tr>
    </w:tbl>
    <w:p w14:paraId="68F9AFCD" w14:textId="77777777" w:rsidR="001506C1" w:rsidRPr="00FA3F9C" w:rsidRDefault="001506C1" w:rsidP="006F623F">
      <w:pPr>
        <w:spacing w:after="0"/>
        <w:rPr>
          <w:rFonts w:ascii="Arial" w:hAnsi="Arial" w:cs="Arial"/>
          <w:sz w:val="24"/>
          <w:szCs w:val="24"/>
        </w:rPr>
      </w:pPr>
    </w:p>
    <w:p w14:paraId="585E3E78" w14:textId="77777777" w:rsidR="00FC1E85" w:rsidRDefault="001506C1" w:rsidP="00FC1E85">
      <w:pPr>
        <w:pStyle w:val="Heading2"/>
      </w:pPr>
      <w:bookmarkStart w:id="43" w:name="_Toc106369744"/>
      <w:proofErr w:type="spellStart"/>
      <w:r w:rsidRPr="00FA3F9C">
        <w:t>Burosumab-twza</w:t>
      </w:r>
      <w:proofErr w:type="spellEnd"/>
      <w:r w:rsidRPr="00FA3F9C">
        <w:t xml:space="preserve"> (</w:t>
      </w:r>
      <w:proofErr w:type="spellStart"/>
      <w:r w:rsidRPr="00FA3F9C">
        <w:t>Crysvita</w:t>
      </w:r>
      <w:proofErr w:type="spellEnd"/>
      <w:r w:rsidRPr="00FA3F9C">
        <w:t>)</w:t>
      </w:r>
      <w:bookmarkEnd w:id="43"/>
      <w:r w:rsidRPr="00FA3F9C">
        <w:t xml:space="preserve"> </w:t>
      </w:r>
    </w:p>
    <w:p w14:paraId="07E98DE4" w14:textId="688884DF" w:rsidR="001506C1" w:rsidRPr="00FC1E85" w:rsidRDefault="001506C1" w:rsidP="006F623F">
      <w:pPr>
        <w:spacing w:after="0"/>
        <w:jc w:val="center"/>
        <w:rPr>
          <w:rFonts w:ascii="Arial" w:hAnsi="Arial" w:cs="Arial"/>
          <w:sz w:val="24"/>
          <w:szCs w:val="24"/>
          <w:lang w:val="fr-FR"/>
        </w:rPr>
      </w:pPr>
      <w:r w:rsidRPr="00FC1E85">
        <w:rPr>
          <w:rFonts w:ascii="Arial" w:hAnsi="Arial" w:cs="Arial"/>
          <w:sz w:val="24"/>
          <w:szCs w:val="24"/>
          <w:lang w:val="fr-FR"/>
        </w:rPr>
        <w:t>SC injection</w:t>
      </w:r>
    </w:p>
    <w:p w14:paraId="25F529E3" w14:textId="77777777" w:rsidR="001506C1" w:rsidRPr="00FC1E85" w:rsidRDefault="001506C1" w:rsidP="006F623F">
      <w:pPr>
        <w:spacing w:after="0"/>
        <w:jc w:val="center"/>
        <w:rPr>
          <w:rFonts w:ascii="Arial" w:hAnsi="Arial" w:cs="Arial"/>
          <w:sz w:val="24"/>
          <w:szCs w:val="24"/>
          <w:lang w:val="fr-FR"/>
        </w:rPr>
      </w:pPr>
      <w:r w:rsidRPr="00FC1E85">
        <w:rPr>
          <w:rFonts w:ascii="Arial" w:hAnsi="Arial" w:cs="Arial"/>
          <w:sz w:val="24"/>
          <w:szCs w:val="24"/>
          <w:lang w:val="fr-FR"/>
        </w:rPr>
        <w:t>10, 20, 30mg/</w:t>
      </w:r>
      <w:proofErr w:type="spellStart"/>
      <w:r w:rsidRPr="00FC1E85">
        <w:rPr>
          <w:rFonts w:ascii="Arial" w:hAnsi="Arial" w:cs="Arial"/>
          <w:sz w:val="24"/>
          <w:szCs w:val="24"/>
          <w:lang w:val="fr-FR"/>
        </w:rPr>
        <w:t>mL</w:t>
      </w:r>
      <w:proofErr w:type="spellEnd"/>
      <w:r w:rsidRPr="00FC1E85">
        <w:rPr>
          <w:rFonts w:ascii="Arial" w:hAnsi="Arial" w:cs="Arial"/>
          <w:sz w:val="24"/>
          <w:szCs w:val="24"/>
          <w:lang w:val="fr-FR"/>
        </w:rPr>
        <w:t xml:space="preserve"> (1mL)</w:t>
      </w:r>
    </w:p>
    <w:p w14:paraId="4954BCEF" w14:textId="77777777" w:rsidR="001506C1" w:rsidRPr="00FC1E85" w:rsidRDefault="001506C1" w:rsidP="006F623F">
      <w:pPr>
        <w:spacing w:after="0"/>
        <w:jc w:val="center"/>
        <w:rPr>
          <w:rFonts w:ascii="Arial" w:hAnsi="Arial" w:cs="Arial"/>
          <w:sz w:val="24"/>
          <w:szCs w:val="24"/>
          <w:lang w:val="fr-FR"/>
        </w:rPr>
      </w:pPr>
      <w:r w:rsidRPr="00FC1E85">
        <w:rPr>
          <w:rFonts w:ascii="Arial" w:hAnsi="Arial" w:cs="Arial"/>
          <w:sz w:val="24"/>
          <w:szCs w:val="24"/>
          <w:lang w:val="fr-FR"/>
        </w:rPr>
        <w:t xml:space="preserve">EBRx PA </w:t>
      </w:r>
      <w:proofErr w:type="spellStart"/>
      <w:r w:rsidRPr="00FC1E85">
        <w:rPr>
          <w:rFonts w:ascii="Arial" w:hAnsi="Arial" w:cs="Arial"/>
          <w:sz w:val="24"/>
          <w:szCs w:val="24"/>
          <w:lang w:val="fr-FR"/>
        </w:rPr>
        <w:t>Criteria</w:t>
      </w:r>
      <w:proofErr w:type="spellEnd"/>
    </w:p>
    <w:p w14:paraId="52E10400" w14:textId="77777777" w:rsidR="001506C1" w:rsidRPr="00FC1E85" w:rsidRDefault="001506C1" w:rsidP="006F623F">
      <w:pPr>
        <w:spacing w:after="0"/>
        <w:rPr>
          <w:rFonts w:ascii="Arial" w:hAnsi="Arial" w:cs="Arial"/>
          <w:b/>
          <w:sz w:val="24"/>
          <w:szCs w:val="24"/>
          <w:u w:val="single"/>
          <w:lang w:val="fr-FR"/>
        </w:rPr>
      </w:pPr>
    </w:p>
    <w:p w14:paraId="1D635269" w14:textId="77777777" w:rsidR="001506C1" w:rsidRPr="00FA3F9C" w:rsidRDefault="001506C1"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treating adults and children ages 1y+ with x-linked hypophosphatemia, a rare, inherited form of rickets</w:t>
      </w:r>
    </w:p>
    <w:tbl>
      <w:tblPr>
        <w:tblStyle w:val="TableGrid"/>
        <w:tblW w:w="0" w:type="auto"/>
        <w:tblLook w:val="04A0" w:firstRow="1" w:lastRow="0" w:firstColumn="1" w:lastColumn="0" w:noHBand="0" w:noVBand="1"/>
      </w:tblPr>
      <w:tblGrid>
        <w:gridCol w:w="8928"/>
        <w:gridCol w:w="2088"/>
      </w:tblGrid>
      <w:tr w:rsidR="001506C1" w:rsidRPr="00FA3F9C" w14:paraId="0351D52C" w14:textId="77777777" w:rsidTr="00571CAB">
        <w:tc>
          <w:tcPr>
            <w:tcW w:w="8928" w:type="dxa"/>
            <w:shd w:val="clear" w:color="auto" w:fill="000000"/>
          </w:tcPr>
          <w:p w14:paraId="065D5AE4" w14:textId="77777777" w:rsidR="001506C1" w:rsidRPr="00FA3F9C" w:rsidRDefault="001506C1"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88" w:type="dxa"/>
            <w:shd w:val="clear" w:color="auto" w:fill="000000"/>
          </w:tcPr>
          <w:p w14:paraId="4674A103" w14:textId="77777777" w:rsidR="001506C1" w:rsidRPr="00FA3F9C" w:rsidRDefault="001506C1" w:rsidP="006F623F">
            <w:pPr>
              <w:jc w:val="center"/>
              <w:rPr>
                <w:rFonts w:ascii="Arial" w:hAnsi="Arial" w:cs="Arial"/>
                <w:b/>
                <w:sz w:val="24"/>
                <w:szCs w:val="24"/>
                <w:u w:val="single"/>
              </w:rPr>
            </w:pPr>
          </w:p>
        </w:tc>
      </w:tr>
      <w:tr w:rsidR="001506C1" w:rsidRPr="00FA3F9C" w14:paraId="3EF4DA58" w14:textId="77777777" w:rsidTr="00F337AE">
        <w:tc>
          <w:tcPr>
            <w:tcW w:w="11016" w:type="dxa"/>
            <w:gridSpan w:val="2"/>
          </w:tcPr>
          <w:p w14:paraId="756BADBB" w14:textId="77777777" w:rsidR="001506C1" w:rsidRPr="00FA3F9C" w:rsidRDefault="001506C1" w:rsidP="006F623F">
            <w:pPr>
              <w:rPr>
                <w:rFonts w:ascii="Arial" w:hAnsi="Arial" w:cs="Arial"/>
                <w:sz w:val="24"/>
                <w:szCs w:val="24"/>
              </w:rPr>
            </w:pPr>
            <w:r w:rsidRPr="00FA3F9C">
              <w:rPr>
                <w:rFonts w:ascii="Arial" w:hAnsi="Arial" w:cs="Arial"/>
                <w:sz w:val="24"/>
                <w:szCs w:val="24"/>
              </w:rPr>
              <w:t xml:space="preserve">1. Diagnosis of x-linked hypophosphatemia (XLH) confirmed either by the presence of the PHEX mutation in the patient or a directly related family member or by a serum intact FGF-23 level of &gt;30 </w:t>
            </w:r>
            <w:proofErr w:type="spellStart"/>
            <w:r w:rsidRPr="00FA3F9C">
              <w:rPr>
                <w:rFonts w:ascii="Arial" w:hAnsi="Arial" w:cs="Arial"/>
                <w:sz w:val="24"/>
                <w:szCs w:val="24"/>
              </w:rPr>
              <w:t>pg</w:t>
            </w:r>
            <w:proofErr w:type="spellEnd"/>
            <w:r w:rsidRPr="00FA3F9C">
              <w:rPr>
                <w:rFonts w:ascii="Arial" w:hAnsi="Arial" w:cs="Arial"/>
                <w:sz w:val="24"/>
                <w:szCs w:val="24"/>
              </w:rPr>
              <w:t>/</w:t>
            </w:r>
            <w:proofErr w:type="spellStart"/>
            <w:r w:rsidRPr="00FA3F9C">
              <w:rPr>
                <w:rFonts w:ascii="Arial" w:hAnsi="Arial" w:cs="Arial"/>
                <w:sz w:val="24"/>
                <w:szCs w:val="24"/>
              </w:rPr>
              <w:t>mL.</w:t>
            </w:r>
            <w:proofErr w:type="spellEnd"/>
          </w:p>
        </w:tc>
      </w:tr>
      <w:tr w:rsidR="001506C1" w:rsidRPr="00FA3F9C" w14:paraId="28C995A7" w14:textId="77777777" w:rsidTr="00B1617E">
        <w:tc>
          <w:tcPr>
            <w:tcW w:w="11016" w:type="dxa"/>
            <w:gridSpan w:val="2"/>
          </w:tcPr>
          <w:p w14:paraId="526932AA" w14:textId="77777777" w:rsidR="001506C1" w:rsidRPr="00FA3F9C" w:rsidRDefault="001506C1" w:rsidP="006F623F">
            <w:pPr>
              <w:rPr>
                <w:rFonts w:ascii="Arial" w:hAnsi="Arial" w:cs="Arial"/>
                <w:sz w:val="24"/>
                <w:szCs w:val="24"/>
              </w:rPr>
            </w:pPr>
            <w:r w:rsidRPr="00FA3F9C">
              <w:rPr>
                <w:rFonts w:ascii="Arial" w:hAnsi="Arial" w:cs="Arial"/>
                <w:sz w:val="24"/>
                <w:szCs w:val="24"/>
              </w:rPr>
              <w:t xml:space="preserve">2. Fasting serum phosphorus level of </w:t>
            </w:r>
            <w:r w:rsidRPr="00FA3F9C">
              <w:rPr>
                <w:rFonts w:ascii="Arial" w:hAnsi="Arial" w:cs="Arial"/>
                <w:sz w:val="24"/>
                <w:szCs w:val="24"/>
                <w:u w:val="single"/>
              </w:rPr>
              <w:t>&lt;</w:t>
            </w:r>
            <w:r w:rsidRPr="00FA3F9C">
              <w:rPr>
                <w:rFonts w:ascii="Arial" w:hAnsi="Arial" w:cs="Arial"/>
                <w:sz w:val="24"/>
                <w:szCs w:val="24"/>
              </w:rPr>
              <w:t>2.8mg/dL (or a level below the lower level of normal for reference)</w:t>
            </w:r>
          </w:p>
        </w:tc>
      </w:tr>
      <w:tr w:rsidR="001506C1" w:rsidRPr="00FA3F9C" w14:paraId="1633E5E9" w14:textId="77777777" w:rsidTr="0010789D">
        <w:tc>
          <w:tcPr>
            <w:tcW w:w="11016" w:type="dxa"/>
            <w:gridSpan w:val="2"/>
          </w:tcPr>
          <w:p w14:paraId="587EDEBD" w14:textId="77777777" w:rsidR="001506C1" w:rsidRPr="00FA3F9C" w:rsidRDefault="001506C1" w:rsidP="006F623F">
            <w:pPr>
              <w:rPr>
                <w:rFonts w:ascii="Arial" w:hAnsi="Arial" w:cs="Arial"/>
                <w:sz w:val="24"/>
                <w:szCs w:val="24"/>
              </w:rPr>
            </w:pPr>
            <w:r w:rsidRPr="00FA3F9C">
              <w:rPr>
                <w:rFonts w:ascii="Arial" w:hAnsi="Arial" w:cs="Arial"/>
                <w:sz w:val="24"/>
                <w:szCs w:val="24"/>
              </w:rPr>
              <w:t>3. A standing height below the 50</w:t>
            </w:r>
            <w:r w:rsidRPr="00FA3F9C">
              <w:rPr>
                <w:rFonts w:ascii="Arial" w:hAnsi="Arial" w:cs="Arial"/>
                <w:sz w:val="24"/>
                <w:szCs w:val="24"/>
                <w:vertAlign w:val="superscript"/>
              </w:rPr>
              <w:t>th</w:t>
            </w:r>
            <w:r w:rsidRPr="00FA3F9C">
              <w:rPr>
                <w:rFonts w:ascii="Arial" w:hAnsi="Arial" w:cs="Arial"/>
                <w:sz w:val="24"/>
                <w:szCs w:val="24"/>
              </w:rPr>
              <w:t xml:space="preserve"> percentile for age and sex </w:t>
            </w:r>
            <w:proofErr w:type="gramStart"/>
            <w:r w:rsidRPr="00FA3F9C">
              <w:rPr>
                <w:rFonts w:ascii="Arial" w:hAnsi="Arial" w:cs="Arial"/>
                <w:sz w:val="24"/>
                <w:szCs w:val="24"/>
              </w:rPr>
              <w:t>on the basis of</w:t>
            </w:r>
            <w:proofErr w:type="gramEnd"/>
            <w:r w:rsidRPr="00FA3F9C">
              <w:rPr>
                <w:rFonts w:ascii="Arial" w:hAnsi="Arial" w:cs="Arial"/>
                <w:sz w:val="24"/>
                <w:szCs w:val="24"/>
              </w:rPr>
              <w:t xml:space="preserve"> local normative data from the US.</w:t>
            </w:r>
          </w:p>
        </w:tc>
      </w:tr>
      <w:tr w:rsidR="001506C1" w:rsidRPr="00FA3F9C" w14:paraId="5F0E8DC4" w14:textId="77777777" w:rsidTr="00DA57E0">
        <w:tc>
          <w:tcPr>
            <w:tcW w:w="11016" w:type="dxa"/>
            <w:gridSpan w:val="2"/>
          </w:tcPr>
          <w:p w14:paraId="6007C8AD" w14:textId="77777777" w:rsidR="001506C1" w:rsidRPr="00FA3F9C" w:rsidRDefault="001506C1" w:rsidP="006F623F">
            <w:pPr>
              <w:rPr>
                <w:rFonts w:ascii="Arial" w:hAnsi="Arial" w:cs="Arial"/>
                <w:sz w:val="24"/>
                <w:szCs w:val="24"/>
              </w:rPr>
            </w:pPr>
            <w:r w:rsidRPr="00FA3F9C">
              <w:rPr>
                <w:rFonts w:ascii="Arial" w:hAnsi="Arial" w:cs="Arial"/>
                <w:sz w:val="24"/>
                <w:szCs w:val="24"/>
              </w:rPr>
              <w:t>4. Must have received oral phosphate plus active vitamin D therapy for:</w:t>
            </w:r>
          </w:p>
          <w:p w14:paraId="25AA750F" w14:textId="77777777" w:rsidR="001506C1" w:rsidRPr="00FA3F9C" w:rsidRDefault="001506C1" w:rsidP="001506C1">
            <w:pPr>
              <w:pStyle w:val="ListParagraph"/>
              <w:numPr>
                <w:ilvl w:val="0"/>
                <w:numId w:val="76"/>
              </w:numPr>
              <w:rPr>
                <w:rFonts w:ascii="Arial" w:hAnsi="Arial" w:cs="Arial"/>
                <w:sz w:val="24"/>
                <w:szCs w:val="24"/>
              </w:rPr>
            </w:pPr>
            <w:r w:rsidRPr="00FA3F9C">
              <w:rPr>
                <w:rFonts w:ascii="Arial" w:hAnsi="Arial" w:cs="Arial"/>
                <w:sz w:val="24"/>
                <w:szCs w:val="24"/>
              </w:rPr>
              <w:t xml:space="preserve">&gt;12 consecutive months (for children &gt;3y) or </w:t>
            </w:r>
          </w:p>
          <w:p w14:paraId="17597C9F" w14:textId="77777777" w:rsidR="001506C1" w:rsidRPr="00FA3F9C" w:rsidRDefault="001506C1" w:rsidP="001506C1">
            <w:pPr>
              <w:pStyle w:val="ListParagraph"/>
              <w:numPr>
                <w:ilvl w:val="0"/>
                <w:numId w:val="76"/>
              </w:numPr>
              <w:rPr>
                <w:rFonts w:ascii="Arial" w:hAnsi="Arial" w:cs="Arial"/>
                <w:sz w:val="24"/>
                <w:szCs w:val="24"/>
              </w:rPr>
            </w:pPr>
            <w:r w:rsidRPr="00FA3F9C">
              <w:rPr>
                <w:rFonts w:ascii="Arial" w:hAnsi="Arial" w:cs="Arial"/>
                <w:sz w:val="24"/>
                <w:szCs w:val="24"/>
              </w:rPr>
              <w:t>&gt;6 consecutive months (for children &lt;3y)</w:t>
            </w:r>
          </w:p>
        </w:tc>
      </w:tr>
      <w:tr w:rsidR="001506C1" w:rsidRPr="00FA3F9C" w14:paraId="5468FEC0" w14:textId="77777777" w:rsidTr="00DA57E0">
        <w:tc>
          <w:tcPr>
            <w:tcW w:w="11016" w:type="dxa"/>
            <w:gridSpan w:val="2"/>
          </w:tcPr>
          <w:p w14:paraId="4C618646" w14:textId="77777777" w:rsidR="001506C1" w:rsidRPr="00FA3F9C" w:rsidRDefault="001506C1" w:rsidP="006F623F">
            <w:pPr>
              <w:rPr>
                <w:rFonts w:ascii="Arial" w:hAnsi="Arial" w:cs="Arial"/>
                <w:sz w:val="24"/>
                <w:szCs w:val="24"/>
              </w:rPr>
            </w:pPr>
            <w:r w:rsidRPr="00FA3F9C">
              <w:rPr>
                <w:rFonts w:ascii="Arial" w:hAnsi="Arial" w:cs="Arial"/>
                <w:sz w:val="24"/>
                <w:szCs w:val="24"/>
              </w:rPr>
              <w:t>5. Must have an X-Ray confirming rickets @ the growth plates OR bowing of femur, tibia, or both femur and tibia.</w:t>
            </w:r>
          </w:p>
        </w:tc>
      </w:tr>
      <w:tr w:rsidR="001506C1" w:rsidRPr="00FA3F9C" w14:paraId="72BAA48F" w14:textId="77777777" w:rsidTr="00DA57E0">
        <w:tc>
          <w:tcPr>
            <w:tcW w:w="11016" w:type="dxa"/>
            <w:gridSpan w:val="2"/>
          </w:tcPr>
          <w:p w14:paraId="5B01E4FD" w14:textId="77777777" w:rsidR="001506C1" w:rsidRPr="00FA3F9C" w:rsidRDefault="001506C1" w:rsidP="006F623F">
            <w:pPr>
              <w:rPr>
                <w:rFonts w:ascii="Arial" w:hAnsi="Arial" w:cs="Arial"/>
                <w:sz w:val="24"/>
                <w:szCs w:val="24"/>
              </w:rPr>
            </w:pPr>
            <w:r w:rsidRPr="00FA3F9C">
              <w:rPr>
                <w:rFonts w:ascii="Arial" w:hAnsi="Arial" w:cs="Arial"/>
                <w:sz w:val="24"/>
                <w:szCs w:val="24"/>
              </w:rPr>
              <w:t xml:space="preserve">6. Must be age 1-12 years. </w:t>
            </w:r>
          </w:p>
        </w:tc>
      </w:tr>
    </w:tbl>
    <w:p w14:paraId="7D47FC4E" w14:textId="77777777" w:rsidR="001506C1" w:rsidRPr="00FA3F9C" w:rsidRDefault="001506C1" w:rsidP="006F623F">
      <w:pPr>
        <w:spacing w:after="0"/>
        <w:rPr>
          <w:rFonts w:ascii="Arial" w:hAnsi="Arial" w:cs="Arial"/>
          <w:b/>
          <w:sz w:val="24"/>
          <w:szCs w:val="24"/>
          <w:u w:val="single"/>
        </w:rPr>
      </w:pPr>
    </w:p>
    <w:tbl>
      <w:tblPr>
        <w:tblStyle w:val="TableGrid"/>
        <w:tblW w:w="0" w:type="auto"/>
        <w:tblLook w:val="04A0" w:firstRow="1" w:lastRow="0" w:firstColumn="1" w:lastColumn="0" w:noHBand="0" w:noVBand="1"/>
      </w:tblPr>
      <w:tblGrid>
        <w:gridCol w:w="8928"/>
        <w:gridCol w:w="2088"/>
      </w:tblGrid>
      <w:tr w:rsidR="001506C1" w:rsidRPr="00FA3F9C" w14:paraId="11719850" w14:textId="77777777" w:rsidTr="00571CAB">
        <w:tc>
          <w:tcPr>
            <w:tcW w:w="8928" w:type="dxa"/>
            <w:shd w:val="clear" w:color="auto" w:fill="000000"/>
          </w:tcPr>
          <w:p w14:paraId="4DA72E00" w14:textId="77777777" w:rsidR="001506C1" w:rsidRPr="00FA3F9C" w:rsidRDefault="001506C1" w:rsidP="00571CAB">
            <w:pPr>
              <w:rPr>
                <w:rFonts w:ascii="Arial" w:hAnsi="Arial" w:cs="Arial"/>
                <w:b/>
                <w:sz w:val="24"/>
                <w:szCs w:val="24"/>
                <w:u w:val="single"/>
              </w:rPr>
            </w:pPr>
            <w:r w:rsidRPr="00FA3F9C">
              <w:rPr>
                <w:rFonts w:ascii="Arial" w:hAnsi="Arial" w:cs="Arial"/>
                <w:b/>
                <w:sz w:val="24"/>
                <w:szCs w:val="24"/>
                <w:u w:val="single"/>
              </w:rPr>
              <w:t>Criteria for continuation</w:t>
            </w:r>
          </w:p>
        </w:tc>
        <w:tc>
          <w:tcPr>
            <w:tcW w:w="2088" w:type="dxa"/>
            <w:shd w:val="clear" w:color="auto" w:fill="000000"/>
          </w:tcPr>
          <w:p w14:paraId="219CA4F9" w14:textId="77777777" w:rsidR="001506C1" w:rsidRPr="00FA3F9C" w:rsidRDefault="001506C1" w:rsidP="00571CAB">
            <w:pPr>
              <w:jc w:val="center"/>
              <w:rPr>
                <w:rFonts w:ascii="Arial" w:hAnsi="Arial" w:cs="Arial"/>
                <w:b/>
                <w:sz w:val="24"/>
                <w:szCs w:val="24"/>
                <w:u w:val="single"/>
              </w:rPr>
            </w:pPr>
          </w:p>
        </w:tc>
      </w:tr>
      <w:tr w:rsidR="001506C1" w:rsidRPr="00FA3F9C" w14:paraId="12E15BFC" w14:textId="77777777" w:rsidTr="00FE7E94">
        <w:tc>
          <w:tcPr>
            <w:tcW w:w="11016" w:type="dxa"/>
            <w:gridSpan w:val="2"/>
          </w:tcPr>
          <w:p w14:paraId="4DECDCD9" w14:textId="77777777" w:rsidR="001506C1" w:rsidRPr="00FA3F9C" w:rsidRDefault="001506C1" w:rsidP="00571CAB">
            <w:pPr>
              <w:rPr>
                <w:rFonts w:ascii="Arial" w:hAnsi="Arial" w:cs="Arial"/>
                <w:sz w:val="24"/>
                <w:szCs w:val="24"/>
              </w:rPr>
            </w:pPr>
            <w:r w:rsidRPr="00FA3F9C">
              <w:rPr>
                <w:rFonts w:ascii="Arial" w:hAnsi="Arial" w:cs="Arial"/>
                <w:sz w:val="24"/>
                <w:szCs w:val="24"/>
              </w:rPr>
              <w:t xml:space="preserve">1. Must have a serum phosphate level in the normal range during </w:t>
            </w:r>
            <w:proofErr w:type="spellStart"/>
            <w:r w:rsidRPr="00FA3F9C">
              <w:rPr>
                <w:rFonts w:ascii="Arial" w:hAnsi="Arial" w:cs="Arial"/>
                <w:sz w:val="24"/>
                <w:szCs w:val="24"/>
              </w:rPr>
              <w:t>burosumab</w:t>
            </w:r>
            <w:proofErr w:type="spellEnd"/>
            <w:r w:rsidRPr="00FA3F9C">
              <w:rPr>
                <w:rFonts w:ascii="Arial" w:hAnsi="Arial" w:cs="Arial"/>
                <w:sz w:val="24"/>
                <w:szCs w:val="24"/>
              </w:rPr>
              <w:t xml:space="preserve"> therapy.</w:t>
            </w:r>
          </w:p>
        </w:tc>
      </w:tr>
      <w:tr w:rsidR="001506C1" w:rsidRPr="00FA3F9C" w14:paraId="10B6B6AB" w14:textId="77777777" w:rsidTr="00E85040">
        <w:tc>
          <w:tcPr>
            <w:tcW w:w="11016" w:type="dxa"/>
            <w:gridSpan w:val="2"/>
          </w:tcPr>
          <w:p w14:paraId="6A927C48" w14:textId="77777777" w:rsidR="001506C1" w:rsidRPr="00FA3F9C" w:rsidRDefault="001506C1" w:rsidP="00571CAB">
            <w:pPr>
              <w:rPr>
                <w:rFonts w:ascii="Arial" w:hAnsi="Arial" w:cs="Arial"/>
                <w:sz w:val="24"/>
                <w:szCs w:val="24"/>
              </w:rPr>
            </w:pPr>
            <w:r w:rsidRPr="00FA3F9C">
              <w:rPr>
                <w:rFonts w:ascii="Arial" w:hAnsi="Arial" w:cs="Arial"/>
                <w:sz w:val="24"/>
                <w:szCs w:val="24"/>
              </w:rPr>
              <w:t xml:space="preserve">2. Must be adherent to </w:t>
            </w:r>
            <w:proofErr w:type="spellStart"/>
            <w:r w:rsidRPr="00FA3F9C">
              <w:rPr>
                <w:rFonts w:ascii="Arial" w:hAnsi="Arial" w:cs="Arial"/>
                <w:sz w:val="24"/>
                <w:szCs w:val="24"/>
              </w:rPr>
              <w:t>burosumab</w:t>
            </w:r>
            <w:proofErr w:type="spellEnd"/>
            <w:r w:rsidRPr="00FA3F9C">
              <w:rPr>
                <w:rFonts w:ascii="Arial" w:hAnsi="Arial" w:cs="Arial"/>
                <w:sz w:val="24"/>
                <w:szCs w:val="24"/>
              </w:rPr>
              <w:t xml:space="preserve"> therapy.</w:t>
            </w:r>
          </w:p>
        </w:tc>
      </w:tr>
    </w:tbl>
    <w:p w14:paraId="4C8A6FCC" w14:textId="77777777" w:rsidR="001506C1" w:rsidRPr="00FA3F9C" w:rsidRDefault="001506C1" w:rsidP="006F623F">
      <w:pPr>
        <w:spacing w:after="0"/>
        <w:rPr>
          <w:rFonts w:ascii="Arial" w:hAnsi="Arial" w:cs="Arial"/>
          <w:sz w:val="24"/>
          <w:szCs w:val="24"/>
        </w:rPr>
      </w:pPr>
    </w:p>
    <w:p w14:paraId="75EFCF5B" w14:textId="77777777" w:rsidR="001506C1" w:rsidRPr="00FA3F9C" w:rsidRDefault="001506C1" w:rsidP="0085242A">
      <w:pPr>
        <w:spacing w:after="0"/>
        <w:rPr>
          <w:rFonts w:ascii="Arial" w:hAnsi="Arial" w:cs="Arial"/>
          <w:sz w:val="24"/>
          <w:szCs w:val="24"/>
        </w:rPr>
      </w:pPr>
      <w:r w:rsidRPr="00FA3F9C">
        <w:rPr>
          <w:rFonts w:ascii="Arial" w:hAnsi="Arial" w:cs="Arial"/>
          <w:sz w:val="24"/>
          <w:szCs w:val="24"/>
        </w:rPr>
        <w:t>References:</w:t>
      </w:r>
    </w:p>
    <w:p w14:paraId="0BF2C5A1" w14:textId="77777777" w:rsidR="001506C1" w:rsidRPr="00FA3F9C" w:rsidRDefault="001506C1" w:rsidP="0085242A">
      <w:pPr>
        <w:spacing w:after="0"/>
        <w:rPr>
          <w:rFonts w:ascii="Arial" w:eastAsia="Times New Roman" w:hAnsi="Arial" w:cs="Arial"/>
          <w:b/>
          <w:color w:val="222222"/>
          <w:sz w:val="24"/>
          <w:szCs w:val="24"/>
          <w:shd w:val="clear" w:color="auto" w:fill="F8F8F8"/>
        </w:rPr>
      </w:pPr>
      <w:r w:rsidRPr="00FA3F9C">
        <w:rPr>
          <w:rFonts w:ascii="Arial" w:eastAsia="Times New Roman" w:hAnsi="Arial" w:cs="Arial"/>
          <w:b/>
          <w:color w:val="222222"/>
          <w:sz w:val="24"/>
          <w:szCs w:val="24"/>
          <w:shd w:val="clear" w:color="auto" w:fill="F8F8F8"/>
        </w:rPr>
        <w:t>1. Carpenter, Thomas O., et al. "</w:t>
      </w:r>
      <w:proofErr w:type="spellStart"/>
      <w:r w:rsidRPr="00FA3F9C">
        <w:rPr>
          <w:rFonts w:ascii="Arial" w:eastAsia="Times New Roman" w:hAnsi="Arial" w:cs="Arial"/>
          <w:b/>
          <w:color w:val="222222"/>
          <w:sz w:val="24"/>
          <w:szCs w:val="24"/>
          <w:shd w:val="clear" w:color="auto" w:fill="F8F8F8"/>
        </w:rPr>
        <w:t>Burosumab</w:t>
      </w:r>
      <w:proofErr w:type="spellEnd"/>
      <w:r w:rsidRPr="00FA3F9C">
        <w:rPr>
          <w:rFonts w:ascii="Arial" w:eastAsia="Times New Roman" w:hAnsi="Arial" w:cs="Arial"/>
          <w:b/>
          <w:color w:val="222222"/>
          <w:sz w:val="24"/>
          <w:szCs w:val="24"/>
          <w:shd w:val="clear" w:color="auto" w:fill="F8F8F8"/>
        </w:rPr>
        <w:t xml:space="preserve"> therapy in children with X-linked hypophosphatemia." </w:t>
      </w:r>
      <w:r w:rsidRPr="00FA3F9C">
        <w:rPr>
          <w:rFonts w:ascii="Arial" w:eastAsia="Times New Roman" w:hAnsi="Arial" w:cs="Arial"/>
          <w:b/>
          <w:i/>
          <w:iCs/>
          <w:color w:val="222222"/>
          <w:sz w:val="24"/>
          <w:szCs w:val="24"/>
          <w:shd w:val="clear" w:color="auto" w:fill="F8F8F8"/>
        </w:rPr>
        <w:t xml:space="preserve">N </w:t>
      </w:r>
      <w:proofErr w:type="spellStart"/>
      <w:r w:rsidRPr="00FA3F9C">
        <w:rPr>
          <w:rFonts w:ascii="Arial" w:eastAsia="Times New Roman" w:hAnsi="Arial" w:cs="Arial"/>
          <w:b/>
          <w:i/>
          <w:iCs/>
          <w:color w:val="222222"/>
          <w:sz w:val="24"/>
          <w:szCs w:val="24"/>
          <w:shd w:val="clear" w:color="auto" w:fill="F8F8F8"/>
        </w:rPr>
        <w:t>Eng</w:t>
      </w:r>
      <w:proofErr w:type="spellEnd"/>
      <w:r w:rsidRPr="00FA3F9C">
        <w:rPr>
          <w:rFonts w:ascii="Arial" w:eastAsia="Times New Roman" w:hAnsi="Arial" w:cs="Arial"/>
          <w:b/>
          <w:i/>
          <w:iCs/>
          <w:color w:val="222222"/>
          <w:sz w:val="24"/>
          <w:szCs w:val="24"/>
          <w:shd w:val="clear" w:color="auto" w:fill="F8F8F8"/>
        </w:rPr>
        <w:t xml:space="preserve"> J Med</w:t>
      </w:r>
      <w:r w:rsidRPr="00FA3F9C">
        <w:rPr>
          <w:rFonts w:ascii="Arial" w:eastAsia="Times New Roman" w:hAnsi="Arial" w:cs="Arial"/>
          <w:b/>
          <w:color w:val="222222"/>
          <w:sz w:val="24"/>
          <w:szCs w:val="24"/>
          <w:shd w:val="clear" w:color="auto" w:fill="F8F8F8"/>
        </w:rPr>
        <w:t> 378.21 (2018): 1987-1998.</w:t>
      </w:r>
    </w:p>
    <w:p w14:paraId="7B9476CB" w14:textId="77777777" w:rsidR="001506C1" w:rsidRPr="00FA3F9C" w:rsidRDefault="001506C1" w:rsidP="0085242A">
      <w:pPr>
        <w:spacing w:after="0"/>
        <w:rPr>
          <w:rFonts w:ascii="Arial" w:hAnsi="Arial" w:cs="Arial"/>
          <w:b/>
          <w:color w:val="333333"/>
          <w:sz w:val="24"/>
          <w:szCs w:val="24"/>
          <w:shd w:val="clear" w:color="auto" w:fill="FFFFFF"/>
        </w:rPr>
      </w:pPr>
      <w:r w:rsidRPr="00FA3F9C">
        <w:rPr>
          <w:rFonts w:ascii="Arial" w:hAnsi="Arial" w:cs="Arial"/>
          <w:b/>
          <w:color w:val="333333"/>
          <w:sz w:val="24"/>
          <w:szCs w:val="24"/>
          <w:shd w:val="clear" w:color="auto" w:fill="FFFFFF"/>
        </w:rPr>
        <w:t>2. UpToDate (accessed 6/12/19), XLH.</w:t>
      </w:r>
    </w:p>
    <w:p w14:paraId="099E4AA0" w14:textId="77777777" w:rsidR="001506C1" w:rsidRPr="00FA3F9C" w:rsidRDefault="001506C1" w:rsidP="0085242A">
      <w:pPr>
        <w:spacing w:after="0"/>
        <w:rPr>
          <w:rFonts w:ascii="Arial" w:hAnsi="Arial" w:cs="Arial"/>
          <w:color w:val="333333"/>
          <w:sz w:val="24"/>
          <w:szCs w:val="24"/>
          <w:shd w:val="clear" w:color="auto" w:fill="FFFFFF"/>
        </w:rPr>
      </w:pPr>
      <w:r w:rsidRPr="00FA3F9C">
        <w:rPr>
          <w:rFonts w:ascii="Arial" w:hAnsi="Arial" w:cs="Arial"/>
          <w:b/>
          <w:color w:val="333333"/>
          <w:sz w:val="24"/>
          <w:szCs w:val="24"/>
          <w:shd w:val="clear" w:color="auto" w:fill="FFFFFF"/>
        </w:rPr>
        <w:t xml:space="preserve">3. Clinicaltrials.gov. </w:t>
      </w:r>
      <w:r w:rsidRPr="00FA3F9C">
        <w:rPr>
          <w:rFonts w:ascii="Arial" w:eastAsia="Times New Roman" w:hAnsi="Arial" w:cs="Arial"/>
          <w:b/>
          <w:color w:val="000000"/>
          <w:sz w:val="24"/>
          <w:szCs w:val="24"/>
          <w:shd w:val="clear" w:color="auto" w:fill="FFFFFF"/>
        </w:rPr>
        <w:t xml:space="preserve">NCT02915705 </w:t>
      </w:r>
      <w:r w:rsidRPr="00FA3F9C">
        <w:rPr>
          <w:rFonts w:ascii="Arial" w:hAnsi="Arial" w:cs="Arial"/>
          <w:b/>
          <w:color w:val="333333"/>
          <w:sz w:val="24"/>
          <w:szCs w:val="24"/>
          <w:shd w:val="clear" w:color="auto" w:fill="FFFFFF"/>
        </w:rPr>
        <w:t xml:space="preserve">Efficacy and safety of </w:t>
      </w:r>
      <w:proofErr w:type="spellStart"/>
      <w:r w:rsidRPr="00FA3F9C">
        <w:rPr>
          <w:rFonts w:ascii="Arial" w:hAnsi="Arial" w:cs="Arial"/>
          <w:b/>
          <w:color w:val="333333"/>
          <w:sz w:val="24"/>
          <w:szCs w:val="24"/>
          <w:shd w:val="clear" w:color="auto" w:fill="FFFFFF"/>
        </w:rPr>
        <w:t>burosumab</w:t>
      </w:r>
      <w:proofErr w:type="spellEnd"/>
      <w:r w:rsidRPr="00FA3F9C">
        <w:rPr>
          <w:rFonts w:ascii="Arial" w:hAnsi="Arial" w:cs="Arial"/>
          <w:b/>
          <w:color w:val="333333"/>
          <w:sz w:val="24"/>
          <w:szCs w:val="24"/>
          <w:shd w:val="clear" w:color="auto" w:fill="FFFFFF"/>
        </w:rPr>
        <w:t xml:space="preserve"> (KRN23) versus oral phosphate and active vitamin D treatment in pediatric patients with X-linked hypophosphatemia (XLH).</w:t>
      </w:r>
      <w:r w:rsidRPr="00FA3F9C">
        <w:rPr>
          <w:rFonts w:ascii="Arial" w:hAnsi="Arial" w:cs="Arial"/>
          <w:color w:val="333333"/>
          <w:sz w:val="24"/>
          <w:szCs w:val="24"/>
          <w:shd w:val="clear" w:color="auto" w:fill="FFFFFF"/>
        </w:rPr>
        <w:t xml:space="preserve">  </w:t>
      </w:r>
    </w:p>
    <w:p w14:paraId="18A19FCA" w14:textId="77777777" w:rsidR="001506C1" w:rsidRPr="00FA3F9C" w:rsidRDefault="001506C1" w:rsidP="0085242A">
      <w:pPr>
        <w:spacing w:after="0"/>
        <w:rPr>
          <w:rFonts w:ascii="Arial" w:hAnsi="Arial" w:cs="Arial"/>
          <w:b/>
          <w:color w:val="333333"/>
          <w:sz w:val="24"/>
          <w:szCs w:val="24"/>
          <w:shd w:val="clear" w:color="auto" w:fill="FFFFFF"/>
        </w:rPr>
      </w:pPr>
    </w:p>
    <w:p w14:paraId="0B7BBCB0"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017"/>
        <w:gridCol w:w="8010"/>
        <w:gridCol w:w="1998"/>
      </w:tblGrid>
      <w:tr w:rsidR="001506C1" w:rsidRPr="00FA3F9C" w14:paraId="1B57725E" w14:textId="77777777" w:rsidTr="0085242A">
        <w:tc>
          <w:tcPr>
            <w:tcW w:w="1008" w:type="dxa"/>
          </w:tcPr>
          <w:p w14:paraId="2502572C" w14:textId="77777777" w:rsidR="001506C1" w:rsidRPr="00FA3F9C" w:rsidRDefault="001506C1" w:rsidP="006F623F">
            <w:pPr>
              <w:rPr>
                <w:rFonts w:ascii="Arial" w:hAnsi="Arial" w:cs="Arial"/>
                <w:sz w:val="24"/>
                <w:szCs w:val="24"/>
              </w:rPr>
            </w:pPr>
            <w:r w:rsidRPr="00FA3F9C">
              <w:rPr>
                <w:rFonts w:ascii="Arial" w:hAnsi="Arial" w:cs="Arial"/>
                <w:sz w:val="24"/>
                <w:szCs w:val="24"/>
              </w:rPr>
              <w:t>Date</w:t>
            </w:r>
          </w:p>
        </w:tc>
        <w:tc>
          <w:tcPr>
            <w:tcW w:w="8010" w:type="dxa"/>
          </w:tcPr>
          <w:p w14:paraId="65D70567" w14:textId="77777777" w:rsidR="001506C1" w:rsidRPr="00FA3F9C" w:rsidRDefault="001506C1" w:rsidP="006F623F">
            <w:pPr>
              <w:rPr>
                <w:rFonts w:ascii="Arial" w:hAnsi="Arial" w:cs="Arial"/>
                <w:sz w:val="24"/>
                <w:szCs w:val="24"/>
              </w:rPr>
            </w:pPr>
            <w:r w:rsidRPr="00FA3F9C">
              <w:rPr>
                <w:rFonts w:ascii="Arial" w:hAnsi="Arial" w:cs="Arial"/>
                <w:sz w:val="24"/>
                <w:szCs w:val="24"/>
              </w:rPr>
              <w:t>What changed</w:t>
            </w:r>
          </w:p>
        </w:tc>
        <w:tc>
          <w:tcPr>
            <w:tcW w:w="1998" w:type="dxa"/>
          </w:tcPr>
          <w:p w14:paraId="04F73922" w14:textId="77777777" w:rsidR="001506C1" w:rsidRPr="00FA3F9C" w:rsidRDefault="001506C1" w:rsidP="006F623F">
            <w:pPr>
              <w:rPr>
                <w:rFonts w:ascii="Arial" w:hAnsi="Arial" w:cs="Arial"/>
                <w:sz w:val="24"/>
                <w:szCs w:val="24"/>
              </w:rPr>
            </w:pPr>
            <w:r w:rsidRPr="00FA3F9C">
              <w:rPr>
                <w:rFonts w:ascii="Arial" w:hAnsi="Arial" w:cs="Arial"/>
                <w:sz w:val="24"/>
                <w:szCs w:val="24"/>
              </w:rPr>
              <w:t>Pharmacist’s initials</w:t>
            </w:r>
          </w:p>
        </w:tc>
      </w:tr>
      <w:tr w:rsidR="001506C1" w:rsidRPr="00FA3F9C" w14:paraId="0CD76990" w14:textId="77777777" w:rsidTr="0085242A">
        <w:tc>
          <w:tcPr>
            <w:tcW w:w="1008" w:type="dxa"/>
          </w:tcPr>
          <w:p w14:paraId="04CB4FA7" w14:textId="77777777" w:rsidR="001506C1" w:rsidRPr="00FA3F9C" w:rsidRDefault="001506C1" w:rsidP="006F623F">
            <w:pPr>
              <w:rPr>
                <w:rFonts w:ascii="Arial" w:hAnsi="Arial" w:cs="Arial"/>
                <w:sz w:val="24"/>
                <w:szCs w:val="24"/>
              </w:rPr>
            </w:pPr>
            <w:r w:rsidRPr="00FA3F9C">
              <w:rPr>
                <w:rFonts w:ascii="Arial" w:hAnsi="Arial" w:cs="Arial"/>
                <w:sz w:val="24"/>
                <w:szCs w:val="24"/>
              </w:rPr>
              <w:lastRenderedPageBreak/>
              <w:t>6/17/19</w:t>
            </w:r>
          </w:p>
        </w:tc>
        <w:tc>
          <w:tcPr>
            <w:tcW w:w="8010" w:type="dxa"/>
          </w:tcPr>
          <w:p w14:paraId="06BB626F" w14:textId="77777777" w:rsidR="001506C1" w:rsidRPr="00FA3F9C" w:rsidRDefault="001506C1" w:rsidP="006F623F">
            <w:pPr>
              <w:rPr>
                <w:rFonts w:ascii="Arial" w:hAnsi="Arial" w:cs="Arial"/>
                <w:sz w:val="24"/>
                <w:szCs w:val="24"/>
              </w:rPr>
            </w:pPr>
            <w:r w:rsidRPr="00FA3F9C">
              <w:rPr>
                <w:rFonts w:ascii="Arial" w:hAnsi="Arial" w:cs="Arial"/>
                <w:sz w:val="24"/>
                <w:szCs w:val="24"/>
              </w:rPr>
              <w:t xml:space="preserve">I wrote the criteria. Although the FDA approval includes adults, I omitted it per EBRx discussion and related information from UpToDate stating “for adults with XLH, </w:t>
            </w:r>
            <w:proofErr w:type="spellStart"/>
            <w:r w:rsidRPr="00FA3F9C">
              <w:rPr>
                <w:rFonts w:ascii="Arial" w:hAnsi="Arial" w:cs="Arial"/>
                <w:sz w:val="24"/>
                <w:szCs w:val="24"/>
              </w:rPr>
              <w:t>burosumab</w:t>
            </w:r>
            <w:proofErr w:type="spellEnd"/>
            <w:r w:rsidRPr="00FA3F9C">
              <w:rPr>
                <w:rFonts w:ascii="Arial" w:hAnsi="Arial" w:cs="Arial"/>
                <w:sz w:val="24"/>
                <w:szCs w:val="24"/>
              </w:rPr>
              <w:t xml:space="preserve"> therapy is more difficult to quantify because they do not manifest active rickets and their height is already established.  However, there could be significant benefit to </w:t>
            </w:r>
            <w:proofErr w:type="spellStart"/>
            <w:r w:rsidRPr="00FA3F9C">
              <w:rPr>
                <w:rFonts w:ascii="Arial" w:hAnsi="Arial" w:cs="Arial"/>
                <w:sz w:val="24"/>
                <w:szCs w:val="24"/>
              </w:rPr>
              <w:t>burosumab</w:t>
            </w:r>
            <w:proofErr w:type="spellEnd"/>
            <w:r w:rsidRPr="00FA3F9C">
              <w:rPr>
                <w:rFonts w:ascii="Arial" w:hAnsi="Arial" w:cs="Arial"/>
                <w:sz w:val="24"/>
                <w:szCs w:val="24"/>
              </w:rPr>
              <w:t xml:space="preserve"> because the hypophosphatemia may contribute to bone and joint pain, failure to heal fractures, and symptoms such as muscle weakness and poor stamina.”  Therefore, I recommend EBRx have a low threshold for changing these criteria to include symptomatic adults who may have or may in the future gain benefit from this drug.</w:t>
            </w:r>
          </w:p>
        </w:tc>
        <w:tc>
          <w:tcPr>
            <w:tcW w:w="1998" w:type="dxa"/>
          </w:tcPr>
          <w:p w14:paraId="5DBBE89B" w14:textId="123180B0" w:rsidR="001506C1" w:rsidRPr="00FA3F9C" w:rsidRDefault="005C142D" w:rsidP="006F623F">
            <w:pPr>
              <w:rPr>
                <w:rFonts w:ascii="Arial" w:hAnsi="Arial" w:cs="Arial"/>
                <w:sz w:val="24"/>
                <w:szCs w:val="24"/>
              </w:rPr>
            </w:pPr>
            <w:r w:rsidRPr="00FA3F9C">
              <w:rPr>
                <w:rFonts w:ascii="Arial" w:hAnsi="Arial" w:cs="Arial"/>
                <w:sz w:val="24"/>
                <w:szCs w:val="24"/>
              </w:rPr>
              <w:t>JJ</w:t>
            </w:r>
          </w:p>
        </w:tc>
      </w:tr>
      <w:tr w:rsidR="001506C1" w:rsidRPr="00FA3F9C" w14:paraId="0C706AC6" w14:textId="77777777" w:rsidTr="0085242A">
        <w:tc>
          <w:tcPr>
            <w:tcW w:w="1008" w:type="dxa"/>
          </w:tcPr>
          <w:p w14:paraId="3EF97854" w14:textId="77777777" w:rsidR="001506C1" w:rsidRPr="00FA3F9C" w:rsidRDefault="001506C1" w:rsidP="006F623F">
            <w:pPr>
              <w:rPr>
                <w:rFonts w:ascii="Arial" w:hAnsi="Arial" w:cs="Arial"/>
                <w:sz w:val="24"/>
                <w:szCs w:val="24"/>
              </w:rPr>
            </w:pPr>
          </w:p>
        </w:tc>
        <w:tc>
          <w:tcPr>
            <w:tcW w:w="8010" w:type="dxa"/>
          </w:tcPr>
          <w:p w14:paraId="0389FF24" w14:textId="77777777" w:rsidR="001506C1" w:rsidRPr="00FA3F9C" w:rsidRDefault="001506C1" w:rsidP="006F623F">
            <w:pPr>
              <w:rPr>
                <w:rFonts w:ascii="Arial" w:hAnsi="Arial" w:cs="Arial"/>
                <w:sz w:val="24"/>
                <w:szCs w:val="24"/>
              </w:rPr>
            </w:pPr>
          </w:p>
        </w:tc>
        <w:tc>
          <w:tcPr>
            <w:tcW w:w="1998" w:type="dxa"/>
          </w:tcPr>
          <w:p w14:paraId="600DCCA3" w14:textId="77777777" w:rsidR="001506C1" w:rsidRPr="00FA3F9C" w:rsidRDefault="001506C1" w:rsidP="006F623F">
            <w:pPr>
              <w:rPr>
                <w:rFonts w:ascii="Arial" w:hAnsi="Arial" w:cs="Arial"/>
                <w:sz w:val="24"/>
                <w:szCs w:val="24"/>
              </w:rPr>
            </w:pPr>
          </w:p>
        </w:tc>
      </w:tr>
    </w:tbl>
    <w:p w14:paraId="4FBCF470" w14:textId="77777777" w:rsidR="001506C1" w:rsidRPr="00FA3F9C" w:rsidRDefault="001506C1" w:rsidP="006F623F">
      <w:pPr>
        <w:spacing w:after="0"/>
        <w:rPr>
          <w:rFonts w:ascii="Arial" w:hAnsi="Arial" w:cs="Arial"/>
          <w:sz w:val="24"/>
          <w:szCs w:val="24"/>
        </w:rPr>
      </w:pPr>
    </w:p>
    <w:p w14:paraId="51962D2C" w14:textId="77777777" w:rsidR="001506C1" w:rsidRPr="00FA3F9C" w:rsidRDefault="001506C1" w:rsidP="00DD149E">
      <w:pPr>
        <w:spacing w:after="0"/>
        <w:jc w:val="center"/>
        <w:rPr>
          <w:rFonts w:ascii="Arial" w:hAnsi="Arial" w:cs="Arial"/>
          <w:b/>
          <w:sz w:val="24"/>
          <w:szCs w:val="24"/>
        </w:rPr>
      </w:pPr>
      <w:r w:rsidRPr="00FA3F9C">
        <w:rPr>
          <w:rFonts w:ascii="Arial" w:hAnsi="Arial" w:cs="Arial"/>
          <w:b/>
          <w:sz w:val="24"/>
          <w:szCs w:val="24"/>
        </w:rPr>
        <w:t>EBRx Fax 501-526-4188</w:t>
      </w:r>
    </w:p>
    <w:p w14:paraId="094FE281" w14:textId="71159A0B" w:rsidR="001506C1" w:rsidRPr="00FA3F9C" w:rsidRDefault="001506C1" w:rsidP="00DD149E">
      <w:pPr>
        <w:spacing w:after="0"/>
        <w:jc w:val="center"/>
        <w:rPr>
          <w:rFonts w:ascii="Arial" w:hAnsi="Arial" w:cs="Arial"/>
          <w:b/>
          <w:sz w:val="24"/>
          <w:szCs w:val="24"/>
        </w:rPr>
      </w:pPr>
      <w:bookmarkStart w:id="44" w:name="_Toc106369745"/>
      <w:r w:rsidRPr="00FC1E85">
        <w:rPr>
          <w:rStyle w:val="Heading2Char"/>
          <w:rFonts w:eastAsiaTheme="minorHAnsi"/>
        </w:rPr>
        <w:t>C-1 esterase inhibitor</w:t>
      </w:r>
      <w:bookmarkEnd w:id="44"/>
      <w:r w:rsidRPr="00FC1E85">
        <w:rPr>
          <w:rStyle w:val="Heading2Char"/>
          <w:rFonts w:eastAsiaTheme="minorHAnsi"/>
        </w:rPr>
        <w:t xml:space="preserve"> </w:t>
      </w:r>
      <w:proofErr w:type="spellStart"/>
      <w:r w:rsidRPr="00FA3F9C">
        <w:rPr>
          <w:rFonts w:ascii="Arial" w:hAnsi="Arial" w:cs="Arial"/>
          <w:b/>
          <w:sz w:val="24"/>
          <w:szCs w:val="24"/>
          <w:highlight w:val="yellow"/>
        </w:rPr>
        <w:t>Haegarda</w:t>
      </w:r>
      <w:proofErr w:type="spellEnd"/>
      <w:r w:rsidRPr="00FA3F9C">
        <w:rPr>
          <w:rFonts w:ascii="Arial" w:hAnsi="Arial" w:cs="Arial"/>
          <w:b/>
          <w:sz w:val="24"/>
          <w:szCs w:val="24"/>
          <w:highlight w:val="yellow"/>
        </w:rPr>
        <w:t xml:space="preserve"> is the only covered product.</w:t>
      </w:r>
      <w:r w:rsidRPr="00FA3F9C">
        <w:rPr>
          <w:rFonts w:ascii="Arial" w:hAnsi="Arial" w:cs="Arial"/>
          <w:b/>
          <w:sz w:val="24"/>
          <w:szCs w:val="24"/>
        </w:rPr>
        <w:t>)</w:t>
      </w:r>
    </w:p>
    <w:p w14:paraId="58B12975" w14:textId="77777777" w:rsidR="001506C1" w:rsidRPr="00FA3F9C" w:rsidRDefault="001506C1" w:rsidP="00DD149E">
      <w:pPr>
        <w:spacing w:after="0"/>
        <w:jc w:val="center"/>
        <w:rPr>
          <w:rFonts w:ascii="Arial" w:hAnsi="Arial" w:cs="Arial"/>
          <w:b/>
          <w:sz w:val="24"/>
          <w:szCs w:val="24"/>
        </w:rPr>
      </w:pPr>
      <w:r w:rsidRPr="00FA3F9C">
        <w:rPr>
          <w:rFonts w:ascii="Arial" w:hAnsi="Arial" w:cs="Arial"/>
          <w:b/>
          <w:sz w:val="24"/>
          <w:szCs w:val="24"/>
        </w:rPr>
        <w:t>EBRx PA Criteria</w:t>
      </w:r>
    </w:p>
    <w:p w14:paraId="1F9048FE" w14:textId="77777777" w:rsidR="001506C1" w:rsidRPr="00FA3F9C" w:rsidRDefault="001506C1" w:rsidP="005D0ADA">
      <w:pPr>
        <w:spacing w:after="0"/>
        <w:rPr>
          <w:rFonts w:ascii="Arial" w:hAnsi="Arial" w:cs="Arial"/>
          <w:b/>
          <w:sz w:val="24"/>
          <w:szCs w:val="24"/>
        </w:rPr>
      </w:pPr>
      <w:r w:rsidRPr="00FA3F9C">
        <w:rPr>
          <w:rFonts w:ascii="Arial" w:hAnsi="Arial" w:cs="Arial"/>
          <w:b/>
          <w:sz w:val="24"/>
          <w:szCs w:val="24"/>
          <w:highlight w:val="yellow"/>
        </w:rPr>
        <w:t>***</w:t>
      </w:r>
      <w:proofErr w:type="spellStart"/>
      <w:r w:rsidRPr="00FA3F9C">
        <w:rPr>
          <w:rFonts w:ascii="Arial" w:hAnsi="Arial" w:cs="Arial"/>
          <w:b/>
          <w:sz w:val="24"/>
          <w:szCs w:val="24"/>
          <w:highlight w:val="yellow"/>
        </w:rPr>
        <w:t>Haegarda</w:t>
      </w:r>
      <w:proofErr w:type="spellEnd"/>
      <w:r w:rsidRPr="00FA3F9C">
        <w:rPr>
          <w:rFonts w:ascii="Arial" w:hAnsi="Arial" w:cs="Arial"/>
          <w:b/>
          <w:sz w:val="24"/>
          <w:szCs w:val="24"/>
          <w:highlight w:val="yellow"/>
        </w:rPr>
        <w:t xml:space="preserve"> is the covered product for EBD as of 2/2018.  Neither </w:t>
      </w:r>
      <w:proofErr w:type="spellStart"/>
      <w:r w:rsidRPr="00FA3F9C">
        <w:rPr>
          <w:rFonts w:ascii="Arial" w:hAnsi="Arial" w:cs="Arial"/>
          <w:b/>
          <w:sz w:val="24"/>
          <w:szCs w:val="24"/>
          <w:highlight w:val="yellow"/>
        </w:rPr>
        <w:t>Ruconest</w:t>
      </w:r>
      <w:proofErr w:type="spellEnd"/>
      <w:r w:rsidRPr="00FA3F9C">
        <w:rPr>
          <w:rFonts w:ascii="Arial" w:hAnsi="Arial" w:cs="Arial"/>
          <w:b/>
          <w:sz w:val="24"/>
          <w:szCs w:val="24"/>
          <w:highlight w:val="yellow"/>
        </w:rPr>
        <w:t xml:space="preserve"> nor </w:t>
      </w:r>
      <w:proofErr w:type="spellStart"/>
      <w:r w:rsidRPr="00FA3F9C">
        <w:rPr>
          <w:rFonts w:ascii="Arial" w:hAnsi="Arial" w:cs="Arial"/>
          <w:b/>
          <w:sz w:val="24"/>
          <w:szCs w:val="24"/>
          <w:highlight w:val="yellow"/>
        </w:rPr>
        <w:t>Cinryze</w:t>
      </w:r>
      <w:proofErr w:type="spellEnd"/>
      <w:r w:rsidRPr="00FA3F9C">
        <w:rPr>
          <w:rFonts w:ascii="Arial" w:hAnsi="Arial" w:cs="Arial"/>
          <w:b/>
          <w:sz w:val="24"/>
          <w:szCs w:val="24"/>
          <w:highlight w:val="yellow"/>
        </w:rPr>
        <w:t xml:space="preserve"> is covered due to higher cost.</w:t>
      </w:r>
      <w:r w:rsidRPr="00FA3F9C">
        <w:rPr>
          <w:rFonts w:ascii="Arial" w:hAnsi="Arial" w:cs="Arial"/>
          <w:b/>
          <w:sz w:val="24"/>
          <w:szCs w:val="24"/>
        </w:rPr>
        <w:t xml:space="preserve"> </w:t>
      </w:r>
      <w:r w:rsidRPr="00FA3F9C">
        <w:rPr>
          <w:rFonts w:ascii="Arial" w:hAnsi="Arial" w:cs="Arial"/>
          <w:b/>
          <w:sz w:val="24"/>
          <w:szCs w:val="24"/>
          <w:highlight w:val="cyan"/>
        </w:rPr>
        <w:t xml:space="preserve">However, in times of FDA listed drug shortages, </w:t>
      </w:r>
      <w:proofErr w:type="spellStart"/>
      <w:r w:rsidRPr="00FA3F9C">
        <w:rPr>
          <w:rFonts w:ascii="Arial" w:hAnsi="Arial" w:cs="Arial"/>
          <w:b/>
          <w:sz w:val="24"/>
          <w:szCs w:val="24"/>
          <w:highlight w:val="cyan"/>
        </w:rPr>
        <w:t>Ruconest</w:t>
      </w:r>
      <w:proofErr w:type="spellEnd"/>
      <w:r w:rsidRPr="00FA3F9C">
        <w:rPr>
          <w:rFonts w:ascii="Arial" w:hAnsi="Arial" w:cs="Arial"/>
          <w:b/>
          <w:sz w:val="24"/>
          <w:szCs w:val="24"/>
          <w:highlight w:val="cyan"/>
        </w:rPr>
        <w:t xml:space="preserve"> has been used off-label when </w:t>
      </w:r>
      <w:proofErr w:type="spellStart"/>
      <w:r w:rsidRPr="00FA3F9C">
        <w:rPr>
          <w:rFonts w:ascii="Arial" w:hAnsi="Arial" w:cs="Arial"/>
          <w:b/>
          <w:sz w:val="24"/>
          <w:szCs w:val="24"/>
          <w:highlight w:val="cyan"/>
        </w:rPr>
        <w:t>Haegarda</w:t>
      </w:r>
      <w:proofErr w:type="spellEnd"/>
      <w:r w:rsidRPr="00FA3F9C">
        <w:rPr>
          <w:rFonts w:ascii="Arial" w:hAnsi="Arial" w:cs="Arial"/>
          <w:b/>
          <w:sz w:val="24"/>
          <w:szCs w:val="24"/>
          <w:highlight w:val="cyan"/>
        </w:rPr>
        <w:t xml:space="preserve"> or </w:t>
      </w:r>
      <w:proofErr w:type="spellStart"/>
      <w:r w:rsidRPr="00FA3F9C">
        <w:rPr>
          <w:rFonts w:ascii="Arial" w:hAnsi="Arial" w:cs="Arial"/>
          <w:b/>
          <w:sz w:val="24"/>
          <w:szCs w:val="24"/>
          <w:highlight w:val="cyan"/>
        </w:rPr>
        <w:t>Cinryze</w:t>
      </w:r>
      <w:proofErr w:type="spellEnd"/>
      <w:r w:rsidRPr="00FA3F9C">
        <w:rPr>
          <w:rFonts w:ascii="Arial" w:hAnsi="Arial" w:cs="Arial"/>
          <w:b/>
          <w:sz w:val="24"/>
          <w:szCs w:val="24"/>
          <w:highlight w:val="cyan"/>
        </w:rPr>
        <w:t xml:space="preserve"> are not available.</w:t>
      </w:r>
    </w:p>
    <w:tbl>
      <w:tblPr>
        <w:tblStyle w:val="TableGrid"/>
        <w:tblW w:w="10885" w:type="dxa"/>
        <w:tblLook w:val="04A0" w:firstRow="1" w:lastRow="0" w:firstColumn="1" w:lastColumn="0" w:noHBand="0" w:noVBand="1"/>
      </w:tblPr>
      <w:tblGrid>
        <w:gridCol w:w="10885"/>
      </w:tblGrid>
      <w:tr w:rsidR="001506C1" w:rsidRPr="00FA3F9C" w14:paraId="0F7DA291" w14:textId="77777777" w:rsidTr="009D34BC">
        <w:tc>
          <w:tcPr>
            <w:tcW w:w="10885" w:type="dxa"/>
          </w:tcPr>
          <w:p w14:paraId="7D4D09CB" w14:textId="77777777" w:rsidR="001506C1" w:rsidRPr="00FA3F9C" w:rsidRDefault="001506C1" w:rsidP="00A107DD">
            <w:pPr>
              <w:rPr>
                <w:rFonts w:ascii="Arial" w:hAnsi="Arial" w:cs="Arial"/>
                <w:b/>
                <w:sz w:val="24"/>
                <w:szCs w:val="24"/>
              </w:rPr>
            </w:pPr>
            <w:r w:rsidRPr="00FA3F9C">
              <w:rPr>
                <w:rFonts w:ascii="Arial" w:hAnsi="Arial" w:cs="Arial"/>
                <w:b/>
                <w:sz w:val="24"/>
                <w:szCs w:val="24"/>
              </w:rPr>
              <w:t>1.  The patient must have a diagnosis* of hereditary angioedema.  (</w:t>
            </w:r>
            <w:proofErr w:type="gramStart"/>
            <w:r w:rsidRPr="00FA3F9C">
              <w:rPr>
                <w:rFonts w:ascii="Arial" w:hAnsi="Arial" w:cs="Arial"/>
                <w:b/>
                <w:sz w:val="24"/>
                <w:szCs w:val="24"/>
              </w:rPr>
              <w:t>see</w:t>
            </w:r>
            <w:proofErr w:type="gramEnd"/>
            <w:r w:rsidRPr="00FA3F9C">
              <w:rPr>
                <w:rFonts w:ascii="Arial" w:hAnsi="Arial" w:cs="Arial"/>
                <w:b/>
                <w:sz w:val="24"/>
                <w:szCs w:val="24"/>
              </w:rPr>
              <w:t xml:space="preserve"> diagnosis criteria below)</w:t>
            </w:r>
          </w:p>
        </w:tc>
      </w:tr>
      <w:tr w:rsidR="001506C1" w:rsidRPr="00FA3F9C" w14:paraId="5AA85787" w14:textId="77777777" w:rsidTr="009D34BC">
        <w:tc>
          <w:tcPr>
            <w:tcW w:w="10885" w:type="dxa"/>
          </w:tcPr>
          <w:p w14:paraId="61D244DA" w14:textId="77777777" w:rsidR="001506C1" w:rsidRPr="00FA3F9C" w:rsidRDefault="001506C1" w:rsidP="00A107DD">
            <w:pPr>
              <w:rPr>
                <w:rFonts w:ascii="Arial" w:hAnsi="Arial" w:cs="Arial"/>
                <w:b/>
                <w:sz w:val="24"/>
                <w:szCs w:val="24"/>
              </w:rPr>
            </w:pPr>
            <w:r w:rsidRPr="00FA3F9C">
              <w:rPr>
                <w:rFonts w:ascii="Arial" w:hAnsi="Arial" w:cs="Arial"/>
                <w:b/>
                <w:sz w:val="24"/>
                <w:szCs w:val="24"/>
              </w:rPr>
              <w:t>2.  The drug must be used as chronic prophylactic medication.</w:t>
            </w:r>
          </w:p>
        </w:tc>
      </w:tr>
      <w:tr w:rsidR="001506C1" w:rsidRPr="00FA3F9C" w14:paraId="42AE5371" w14:textId="77777777" w:rsidTr="009D34BC">
        <w:tc>
          <w:tcPr>
            <w:tcW w:w="10885" w:type="dxa"/>
          </w:tcPr>
          <w:p w14:paraId="0732CB4F" w14:textId="77777777" w:rsidR="001506C1" w:rsidRPr="00FA3F9C" w:rsidRDefault="001506C1" w:rsidP="000E1CAC">
            <w:pPr>
              <w:rPr>
                <w:rFonts w:ascii="Arial" w:hAnsi="Arial" w:cs="Arial"/>
                <w:b/>
                <w:sz w:val="24"/>
                <w:szCs w:val="24"/>
              </w:rPr>
            </w:pPr>
            <w:r w:rsidRPr="00FA3F9C">
              <w:rPr>
                <w:rFonts w:ascii="Arial" w:hAnsi="Arial" w:cs="Arial"/>
                <w:b/>
                <w:sz w:val="24"/>
                <w:szCs w:val="24"/>
              </w:rPr>
              <w:t xml:space="preserve">3.  The patient must have had  </w:t>
            </w:r>
            <w:r w:rsidRPr="00FA3F9C">
              <w:rPr>
                <w:rFonts w:ascii="Arial" w:hAnsi="Arial" w:cs="Arial"/>
                <w:b/>
                <w:sz w:val="24"/>
                <w:szCs w:val="24"/>
                <w:u w:val="single"/>
              </w:rPr>
              <w:t>&gt;</w:t>
            </w:r>
            <w:r w:rsidRPr="00FA3F9C">
              <w:rPr>
                <w:rFonts w:ascii="Arial" w:hAnsi="Arial" w:cs="Arial"/>
                <w:b/>
                <w:sz w:val="24"/>
                <w:szCs w:val="24"/>
              </w:rPr>
              <w:t xml:space="preserve">2 severe (with abdominal or upper airway involvement that requires hospitalization) or </w:t>
            </w:r>
            <w:proofErr w:type="gramStart"/>
            <w:r w:rsidRPr="00FA3F9C">
              <w:rPr>
                <w:rFonts w:ascii="Arial" w:hAnsi="Arial" w:cs="Arial"/>
                <w:b/>
                <w:sz w:val="24"/>
                <w:szCs w:val="24"/>
              </w:rPr>
              <w:t>life threatening</w:t>
            </w:r>
            <w:proofErr w:type="gramEnd"/>
            <w:r w:rsidRPr="00FA3F9C">
              <w:rPr>
                <w:rFonts w:ascii="Arial" w:hAnsi="Arial" w:cs="Arial"/>
                <w:b/>
                <w:sz w:val="24"/>
                <w:szCs w:val="24"/>
              </w:rPr>
              <w:t xml:space="preserve"> HAE attacks per month that require acute treatment, medical attention in an ED, or caused significant functional impairment (must be documented in the medical record), in the past year.</w:t>
            </w:r>
          </w:p>
        </w:tc>
      </w:tr>
      <w:tr w:rsidR="001506C1" w:rsidRPr="00FA3F9C" w14:paraId="59F3E53A" w14:textId="77777777" w:rsidTr="009D34BC">
        <w:tc>
          <w:tcPr>
            <w:tcW w:w="10885" w:type="dxa"/>
          </w:tcPr>
          <w:p w14:paraId="34C3E34E" w14:textId="77777777" w:rsidR="001506C1" w:rsidRPr="00FA3F9C" w:rsidRDefault="001506C1" w:rsidP="00A107DD">
            <w:pPr>
              <w:rPr>
                <w:rFonts w:ascii="Arial" w:hAnsi="Arial" w:cs="Arial"/>
                <w:b/>
                <w:sz w:val="24"/>
                <w:szCs w:val="24"/>
              </w:rPr>
            </w:pPr>
            <w:r w:rsidRPr="00FA3F9C">
              <w:rPr>
                <w:rFonts w:ascii="Arial" w:hAnsi="Arial" w:cs="Arial"/>
                <w:b/>
                <w:sz w:val="24"/>
                <w:szCs w:val="24"/>
              </w:rPr>
              <w:t xml:space="preserve">4.  The patient must have a contraindication or adverse event to attenuated androgen </w:t>
            </w:r>
            <w:r w:rsidRPr="00FA3F9C">
              <w:rPr>
                <w:rFonts w:ascii="Arial" w:hAnsi="Arial" w:cs="Arial"/>
                <w:sz w:val="24"/>
                <w:szCs w:val="24"/>
              </w:rPr>
              <w:t xml:space="preserve">(Danazol 200mg QD or methyltestosterone, stanozolol, or oxandrolone) </w:t>
            </w:r>
            <w:r w:rsidRPr="00FA3F9C">
              <w:rPr>
                <w:rFonts w:ascii="Arial" w:hAnsi="Arial" w:cs="Arial"/>
                <w:b/>
                <w:sz w:val="24"/>
                <w:szCs w:val="24"/>
              </w:rPr>
              <w:t>prophylaxis.  Please state the contraindication.   ________________________</w:t>
            </w:r>
          </w:p>
        </w:tc>
      </w:tr>
      <w:tr w:rsidR="001506C1" w:rsidRPr="00FA3F9C" w14:paraId="304268FD" w14:textId="77777777" w:rsidTr="009D34BC">
        <w:tc>
          <w:tcPr>
            <w:tcW w:w="10885" w:type="dxa"/>
          </w:tcPr>
          <w:p w14:paraId="7CADBD41" w14:textId="77777777" w:rsidR="001506C1" w:rsidRPr="00FA3F9C" w:rsidRDefault="001506C1" w:rsidP="00A107DD">
            <w:pPr>
              <w:rPr>
                <w:rFonts w:ascii="Arial" w:hAnsi="Arial" w:cs="Arial"/>
                <w:b/>
                <w:sz w:val="24"/>
                <w:szCs w:val="24"/>
              </w:rPr>
            </w:pPr>
            <w:r w:rsidRPr="00FA3F9C">
              <w:rPr>
                <w:rFonts w:ascii="Arial" w:hAnsi="Arial" w:cs="Arial"/>
                <w:b/>
                <w:sz w:val="24"/>
                <w:szCs w:val="24"/>
              </w:rPr>
              <w:t>5.  If “no” to having contraindication or adverse effect to androgens, the patient must have failed androgen treatment.</w:t>
            </w:r>
          </w:p>
        </w:tc>
      </w:tr>
      <w:tr w:rsidR="001506C1" w:rsidRPr="00FA3F9C" w14:paraId="08C892CE" w14:textId="77777777" w:rsidTr="009D34BC">
        <w:tc>
          <w:tcPr>
            <w:tcW w:w="10885" w:type="dxa"/>
          </w:tcPr>
          <w:p w14:paraId="7EC28DD8" w14:textId="77777777" w:rsidR="001506C1" w:rsidRPr="00FA3F9C" w:rsidRDefault="001506C1" w:rsidP="00A107DD">
            <w:pPr>
              <w:rPr>
                <w:rFonts w:ascii="Arial" w:hAnsi="Arial" w:cs="Arial"/>
                <w:b/>
                <w:sz w:val="24"/>
                <w:szCs w:val="24"/>
              </w:rPr>
            </w:pPr>
            <w:r w:rsidRPr="00FA3F9C">
              <w:rPr>
                <w:rFonts w:ascii="Arial" w:hAnsi="Arial" w:cs="Arial"/>
                <w:b/>
                <w:sz w:val="24"/>
                <w:szCs w:val="24"/>
              </w:rPr>
              <w:t>6.  The patient must remain off angiotensin-converting enzyme inhibitors (ACE-I’s).</w:t>
            </w:r>
          </w:p>
        </w:tc>
      </w:tr>
      <w:tr w:rsidR="001506C1" w:rsidRPr="00FA3F9C" w14:paraId="58C67BC5" w14:textId="77777777" w:rsidTr="009D34BC">
        <w:tc>
          <w:tcPr>
            <w:tcW w:w="10885" w:type="dxa"/>
          </w:tcPr>
          <w:p w14:paraId="11B49BB7" w14:textId="77777777" w:rsidR="001506C1" w:rsidRPr="00FA3F9C" w:rsidRDefault="001506C1" w:rsidP="00A107DD">
            <w:pPr>
              <w:rPr>
                <w:rFonts w:ascii="Arial" w:hAnsi="Arial" w:cs="Arial"/>
                <w:b/>
                <w:sz w:val="24"/>
                <w:szCs w:val="24"/>
              </w:rPr>
            </w:pPr>
            <w:r w:rsidRPr="00FA3F9C">
              <w:rPr>
                <w:rFonts w:ascii="Arial" w:hAnsi="Arial" w:cs="Arial"/>
                <w:b/>
                <w:sz w:val="24"/>
                <w:szCs w:val="24"/>
              </w:rPr>
              <w:t>7.  The patient must remain off any type of estrogen-containing medication.</w:t>
            </w:r>
          </w:p>
        </w:tc>
      </w:tr>
    </w:tbl>
    <w:p w14:paraId="5187088F" w14:textId="77777777" w:rsidR="001506C1" w:rsidRPr="00FA3F9C" w:rsidRDefault="001506C1" w:rsidP="00D847FE">
      <w:pPr>
        <w:shd w:val="clear" w:color="auto" w:fill="FFFFFF"/>
        <w:spacing w:after="0" w:line="282" w:lineRule="atLeast"/>
        <w:rPr>
          <w:rFonts w:ascii="Arial" w:hAnsi="Arial" w:cs="Arial"/>
          <w:b/>
          <w:bCs/>
          <w:color w:val="000000"/>
          <w:sz w:val="24"/>
          <w:szCs w:val="24"/>
        </w:rPr>
      </w:pPr>
      <w:r w:rsidRPr="00FA3F9C">
        <w:rPr>
          <w:rFonts w:ascii="Arial" w:hAnsi="Arial" w:cs="Arial"/>
          <w:b/>
          <w:bCs/>
          <w:color w:val="000000"/>
          <w:sz w:val="24"/>
          <w:szCs w:val="24"/>
        </w:rPr>
        <w:lastRenderedPageBreak/>
        <w:t>Note doses:</w:t>
      </w:r>
    </w:p>
    <w:p w14:paraId="4460478A" w14:textId="77777777" w:rsidR="001506C1" w:rsidRPr="00FA3F9C" w:rsidRDefault="001506C1" w:rsidP="00D847FE">
      <w:pPr>
        <w:shd w:val="clear" w:color="auto" w:fill="FFFFFF"/>
        <w:spacing w:after="0" w:line="282" w:lineRule="atLeast"/>
        <w:rPr>
          <w:rFonts w:ascii="Arial" w:hAnsi="Arial" w:cs="Arial"/>
          <w:b/>
          <w:bCs/>
          <w:color w:val="000000"/>
          <w:sz w:val="24"/>
          <w:szCs w:val="24"/>
        </w:rPr>
      </w:pPr>
      <w:proofErr w:type="spellStart"/>
      <w:r w:rsidRPr="00FA3F9C">
        <w:rPr>
          <w:rFonts w:ascii="Arial" w:hAnsi="Arial" w:cs="Arial"/>
          <w:b/>
          <w:bCs/>
          <w:color w:val="000000"/>
          <w:sz w:val="24"/>
          <w:szCs w:val="24"/>
        </w:rPr>
        <w:t>Haegarda</w:t>
      </w:r>
      <w:proofErr w:type="spellEnd"/>
      <w:r w:rsidRPr="00FA3F9C">
        <w:rPr>
          <w:rFonts w:ascii="Arial" w:hAnsi="Arial" w:cs="Arial"/>
          <w:b/>
          <w:bCs/>
          <w:color w:val="000000"/>
          <w:sz w:val="24"/>
          <w:szCs w:val="24"/>
        </w:rPr>
        <w:t xml:space="preserve">:  60IU/kg </w:t>
      </w:r>
      <w:proofErr w:type="spellStart"/>
      <w:r w:rsidRPr="00FA3F9C">
        <w:rPr>
          <w:rFonts w:ascii="Arial" w:hAnsi="Arial" w:cs="Arial"/>
          <w:b/>
          <w:bCs/>
          <w:color w:val="000000"/>
          <w:sz w:val="24"/>
          <w:szCs w:val="24"/>
        </w:rPr>
        <w:t>subQ</w:t>
      </w:r>
      <w:proofErr w:type="spellEnd"/>
      <w:r w:rsidRPr="00FA3F9C">
        <w:rPr>
          <w:rFonts w:ascii="Arial" w:hAnsi="Arial" w:cs="Arial"/>
          <w:b/>
          <w:bCs/>
          <w:color w:val="000000"/>
          <w:sz w:val="24"/>
          <w:szCs w:val="24"/>
        </w:rPr>
        <w:t xml:space="preserve"> twice a week [Dose should be rounded up or down per 500 units to nearest 1000-unit dose.]</w:t>
      </w:r>
    </w:p>
    <w:tbl>
      <w:tblPr>
        <w:tblStyle w:val="GridTable4"/>
        <w:tblpPr w:leftFromText="180" w:rightFromText="180" w:vertAnchor="text" w:tblpY="1"/>
        <w:tblOverlap w:val="never"/>
        <w:tblW w:w="4788" w:type="dxa"/>
        <w:tblLook w:val="04A0" w:firstRow="1" w:lastRow="0" w:firstColumn="1" w:lastColumn="0" w:noHBand="0" w:noVBand="1"/>
      </w:tblPr>
      <w:tblGrid>
        <w:gridCol w:w="1023"/>
        <w:gridCol w:w="1965"/>
        <w:gridCol w:w="1800"/>
      </w:tblGrid>
      <w:tr w:rsidR="001506C1" w:rsidRPr="00FA3F9C" w14:paraId="29804896" w14:textId="77777777" w:rsidTr="009D34B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023" w:type="dxa"/>
            <w:noWrap/>
            <w:hideMark/>
          </w:tcPr>
          <w:p w14:paraId="3CA5610F" w14:textId="77777777" w:rsidR="001506C1" w:rsidRPr="00FA3F9C" w:rsidRDefault="001506C1" w:rsidP="009D34BC">
            <w:pPr>
              <w:rPr>
                <w:rFonts w:ascii="Arial" w:eastAsia="Times New Roman" w:hAnsi="Arial" w:cs="Arial"/>
                <w:b w:val="0"/>
                <w:color w:val="000000" w:themeColor="text1"/>
                <w:sz w:val="24"/>
                <w:szCs w:val="24"/>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3F9C">
              <w:rPr>
                <w:rFonts w:ascii="Arial" w:eastAsia="Times New Roman" w:hAnsi="Arial" w:cs="Arial"/>
                <w:b w:val="0"/>
                <w:color w:val="000000" w:themeColor="text1"/>
                <w:sz w:val="24"/>
                <w:szCs w:val="24"/>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Weight</w:t>
            </w:r>
          </w:p>
        </w:tc>
        <w:tc>
          <w:tcPr>
            <w:tcW w:w="1965" w:type="dxa"/>
            <w:noWrap/>
            <w:hideMark/>
          </w:tcPr>
          <w:p w14:paraId="2F8953D1" w14:textId="77777777" w:rsidR="001506C1" w:rsidRPr="00FA3F9C" w:rsidRDefault="001506C1" w:rsidP="009D34BC">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themeColor="text1"/>
                <w:sz w:val="24"/>
                <w:szCs w:val="24"/>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FA3F9C">
              <w:rPr>
                <w:rFonts w:ascii="Arial" w:eastAsia="Times New Roman" w:hAnsi="Arial" w:cs="Arial"/>
                <w:b w:val="0"/>
                <w:color w:val="000000" w:themeColor="text1"/>
                <w:sz w:val="24"/>
                <w:szCs w:val="24"/>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Haegarda</w:t>
            </w:r>
            <w:proofErr w:type="spellEnd"/>
            <w:r w:rsidRPr="00FA3F9C">
              <w:rPr>
                <w:rFonts w:ascii="Arial" w:eastAsia="Times New Roman" w:hAnsi="Arial" w:cs="Arial"/>
                <w:b w:val="0"/>
                <w:color w:val="000000" w:themeColor="text1"/>
                <w:sz w:val="24"/>
                <w:szCs w:val="24"/>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Dose Range</w:t>
            </w:r>
          </w:p>
        </w:tc>
        <w:tc>
          <w:tcPr>
            <w:tcW w:w="1800" w:type="dxa"/>
            <w:noWrap/>
            <w:hideMark/>
          </w:tcPr>
          <w:p w14:paraId="42614AD3" w14:textId="77777777" w:rsidR="001506C1" w:rsidRPr="00FA3F9C" w:rsidRDefault="001506C1" w:rsidP="009D34BC">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themeColor="text1"/>
                <w:sz w:val="24"/>
                <w:szCs w:val="24"/>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FA3F9C">
              <w:rPr>
                <w:rFonts w:ascii="Arial" w:eastAsia="Times New Roman" w:hAnsi="Arial" w:cs="Arial"/>
                <w:b w:val="0"/>
                <w:color w:val="000000" w:themeColor="text1"/>
                <w:sz w:val="24"/>
                <w:szCs w:val="24"/>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Haegarda</w:t>
            </w:r>
            <w:proofErr w:type="spellEnd"/>
            <w:r w:rsidRPr="00FA3F9C">
              <w:rPr>
                <w:rFonts w:ascii="Arial" w:eastAsia="Times New Roman" w:hAnsi="Arial" w:cs="Arial"/>
                <w:b w:val="0"/>
                <w:color w:val="000000" w:themeColor="text1"/>
                <w:sz w:val="24"/>
                <w:szCs w:val="24"/>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Dose</w:t>
            </w:r>
          </w:p>
        </w:tc>
      </w:tr>
      <w:tr w:rsidR="001506C1" w:rsidRPr="00FA3F9C" w14:paraId="551DD060" w14:textId="77777777" w:rsidTr="009D34B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023" w:type="dxa"/>
            <w:noWrap/>
            <w:hideMark/>
          </w:tcPr>
          <w:p w14:paraId="396D645B" w14:textId="77777777" w:rsidR="001506C1" w:rsidRPr="00FA3F9C" w:rsidRDefault="001506C1" w:rsidP="009D34BC">
            <w:pPr>
              <w:jc w:val="center"/>
              <w:rPr>
                <w:rFonts w:ascii="Arial" w:eastAsia="Times New Roman" w:hAnsi="Arial" w:cs="Arial"/>
                <w:color w:val="000000"/>
                <w:sz w:val="24"/>
                <w:szCs w:val="24"/>
                <w:highlight w:val="yellow"/>
              </w:rPr>
            </w:pPr>
            <w:r w:rsidRPr="00FA3F9C">
              <w:rPr>
                <w:rFonts w:ascii="Arial" w:eastAsia="Times New Roman" w:hAnsi="Arial" w:cs="Arial"/>
                <w:color w:val="000000"/>
                <w:sz w:val="24"/>
                <w:szCs w:val="24"/>
                <w:highlight w:val="yellow"/>
              </w:rPr>
              <w:sym w:font="Symbol" w:char="F03C"/>
            </w:r>
            <w:r w:rsidRPr="00FA3F9C">
              <w:rPr>
                <w:rFonts w:ascii="Arial" w:eastAsia="Times New Roman" w:hAnsi="Arial" w:cs="Arial"/>
                <w:color w:val="000000"/>
                <w:sz w:val="24"/>
                <w:szCs w:val="24"/>
                <w:highlight w:val="yellow"/>
              </w:rPr>
              <w:sym w:font="Symbol" w:char="F02F"/>
            </w:r>
            <w:r w:rsidRPr="00FA3F9C">
              <w:rPr>
                <w:rFonts w:ascii="Arial" w:eastAsia="Times New Roman" w:hAnsi="Arial" w:cs="Arial"/>
                <w:color w:val="000000"/>
                <w:sz w:val="24"/>
                <w:szCs w:val="24"/>
                <w:highlight w:val="yellow"/>
              </w:rPr>
              <w:sym w:font="Symbol" w:char="F03D"/>
            </w:r>
            <w:r w:rsidRPr="00FA3F9C">
              <w:rPr>
                <w:rFonts w:ascii="Arial" w:eastAsia="Times New Roman" w:hAnsi="Arial" w:cs="Arial"/>
                <w:color w:val="000000"/>
                <w:sz w:val="24"/>
                <w:szCs w:val="24"/>
                <w:highlight w:val="yellow"/>
              </w:rPr>
              <w:sym w:font="Symbol" w:char="F020"/>
            </w:r>
            <w:r w:rsidRPr="00FA3F9C">
              <w:rPr>
                <w:rFonts w:ascii="Arial" w:eastAsia="Times New Roman" w:hAnsi="Arial" w:cs="Arial"/>
                <w:color w:val="000000"/>
                <w:sz w:val="24"/>
                <w:szCs w:val="24"/>
                <w:highlight w:val="yellow"/>
              </w:rPr>
              <w:sym w:font="Symbol" w:char="F034"/>
            </w:r>
            <w:r w:rsidRPr="00FA3F9C">
              <w:rPr>
                <w:rFonts w:ascii="Arial" w:eastAsia="Times New Roman" w:hAnsi="Arial" w:cs="Arial"/>
                <w:color w:val="000000"/>
                <w:sz w:val="24"/>
                <w:szCs w:val="24"/>
                <w:highlight w:val="yellow"/>
              </w:rPr>
              <w:sym w:font="Symbol" w:char="F031"/>
            </w:r>
          </w:p>
        </w:tc>
        <w:tc>
          <w:tcPr>
            <w:tcW w:w="1965" w:type="dxa"/>
            <w:noWrap/>
            <w:hideMark/>
          </w:tcPr>
          <w:p w14:paraId="34AFC3F0" w14:textId="77777777" w:rsidR="001506C1" w:rsidRPr="00FA3F9C" w:rsidRDefault="001506C1" w:rsidP="009D34B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highlight w:val="yellow"/>
              </w:rPr>
            </w:pPr>
            <w:r w:rsidRPr="00FA3F9C">
              <w:rPr>
                <w:rFonts w:ascii="Arial" w:eastAsia="Times New Roman" w:hAnsi="Arial" w:cs="Arial"/>
                <w:color w:val="000000"/>
                <w:sz w:val="24"/>
                <w:szCs w:val="24"/>
                <w:highlight w:val="yellow"/>
              </w:rPr>
              <w:t>0-2460</w:t>
            </w:r>
          </w:p>
        </w:tc>
        <w:tc>
          <w:tcPr>
            <w:tcW w:w="1800" w:type="dxa"/>
            <w:noWrap/>
            <w:hideMark/>
          </w:tcPr>
          <w:p w14:paraId="55FC8F99" w14:textId="77777777" w:rsidR="001506C1" w:rsidRPr="00FA3F9C" w:rsidRDefault="001506C1" w:rsidP="009D34B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highlight w:val="yellow"/>
              </w:rPr>
            </w:pPr>
            <w:r w:rsidRPr="00FA3F9C">
              <w:rPr>
                <w:rFonts w:ascii="Arial" w:eastAsia="Times New Roman" w:hAnsi="Arial" w:cs="Arial"/>
                <w:color w:val="000000"/>
                <w:sz w:val="24"/>
                <w:szCs w:val="24"/>
                <w:highlight w:val="yellow"/>
              </w:rPr>
              <w:t>2000</w:t>
            </w:r>
          </w:p>
        </w:tc>
      </w:tr>
      <w:tr w:rsidR="001506C1" w:rsidRPr="00FA3F9C" w14:paraId="4D3733BA" w14:textId="77777777" w:rsidTr="009D34BC">
        <w:trPr>
          <w:trHeight w:val="340"/>
        </w:trPr>
        <w:tc>
          <w:tcPr>
            <w:cnfStyle w:val="001000000000" w:firstRow="0" w:lastRow="0" w:firstColumn="1" w:lastColumn="0" w:oddVBand="0" w:evenVBand="0" w:oddHBand="0" w:evenHBand="0" w:firstRowFirstColumn="0" w:firstRowLastColumn="0" w:lastRowFirstColumn="0" w:lastRowLastColumn="0"/>
            <w:tcW w:w="1023" w:type="dxa"/>
            <w:noWrap/>
            <w:hideMark/>
          </w:tcPr>
          <w:p w14:paraId="73CFCD03" w14:textId="77777777" w:rsidR="001506C1" w:rsidRPr="00FA3F9C" w:rsidRDefault="001506C1" w:rsidP="009D34BC">
            <w:pPr>
              <w:jc w:val="center"/>
              <w:rPr>
                <w:rFonts w:ascii="Arial" w:eastAsia="Times New Roman" w:hAnsi="Arial" w:cs="Arial"/>
                <w:color w:val="000000"/>
                <w:sz w:val="24"/>
                <w:szCs w:val="24"/>
                <w:highlight w:val="yellow"/>
              </w:rPr>
            </w:pPr>
            <w:r w:rsidRPr="00FA3F9C">
              <w:rPr>
                <w:rFonts w:ascii="Arial" w:eastAsia="Times New Roman" w:hAnsi="Arial" w:cs="Arial"/>
                <w:color w:val="000000"/>
                <w:sz w:val="24"/>
                <w:szCs w:val="24"/>
                <w:highlight w:val="yellow"/>
              </w:rPr>
              <w:t>42-58</w:t>
            </w:r>
          </w:p>
        </w:tc>
        <w:tc>
          <w:tcPr>
            <w:tcW w:w="1965" w:type="dxa"/>
            <w:noWrap/>
            <w:hideMark/>
          </w:tcPr>
          <w:p w14:paraId="05F8D9A4" w14:textId="77777777" w:rsidR="001506C1" w:rsidRPr="00FA3F9C" w:rsidRDefault="001506C1" w:rsidP="009D34B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highlight w:val="yellow"/>
              </w:rPr>
            </w:pPr>
            <w:r w:rsidRPr="00FA3F9C">
              <w:rPr>
                <w:rFonts w:ascii="Arial" w:eastAsia="Times New Roman" w:hAnsi="Arial" w:cs="Arial"/>
                <w:color w:val="000000"/>
                <w:sz w:val="24"/>
                <w:szCs w:val="24"/>
                <w:highlight w:val="yellow"/>
              </w:rPr>
              <w:t>2520-3480</w:t>
            </w:r>
          </w:p>
        </w:tc>
        <w:tc>
          <w:tcPr>
            <w:tcW w:w="1800" w:type="dxa"/>
            <w:noWrap/>
            <w:hideMark/>
          </w:tcPr>
          <w:p w14:paraId="36C20B45" w14:textId="77777777" w:rsidR="001506C1" w:rsidRPr="00FA3F9C" w:rsidRDefault="001506C1" w:rsidP="009D34B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highlight w:val="yellow"/>
              </w:rPr>
            </w:pPr>
            <w:r w:rsidRPr="00FA3F9C">
              <w:rPr>
                <w:rFonts w:ascii="Arial" w:eastAsia="Times New Roman" w:hAnsi="Arial" w:cs="Arial"/>
                <w:color w:val="000000"/>
                <w:sz w:val="24"/>
                <w:szCs w:val="24"/>
                <w:highlight w:val="yellow"/>
              </w:rPr>
              <w:t>3000</w:t>
            </w:r>
          </w:p>
        </w:tc>
      </w:tr>
      <w:tr w:rsidR="001506C1" w:rsidRPr="00FA3F9C" w14:paraId="61B3AAFF" w14:textId="77777777" w:rsidTr="009D34B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023" w:type="dxa"/>
            <w:noWrap/>
            <w:hideMark/>
          </w:tcPr>
          <w:p w14:paraId="59C8425B" w14:textId="77777777" w:rsidR="001506C1" w:rsidRPr="00FA3F9C" w:rsidRDefault="001506C1" w:rsidP="009D34BC">
            <w:pPr>
              <w:jc w:val="center"/>
              <w:rPr>
                <w:rFonts w:ascii="Arial" w:eastAsia="Times New Roman" w:hAnsi="Arial" w:cs="Arial"/>
                <w:color w:val="000000"/>
                <w:sz w:val="24"/>
                <w:szCs w:val="24"/>
                <w:highlight w:val="yellow"/>
              </w:rPr>
            </w:pPr>
            <w:r w:rsidRPr="00FA3F9C">
              <w:rPr>
                <w:rFonts w:ascii="Arial" w:eastAsia="Times New Roman" w:hAnsi="Arial" w:cs="Arial"/>
                <w:color w:val="000000"/>
                <w:sz w:val="24"/>
                <w:szCs w:val="24"/>
                <w:highlight w:val="yellow"/>
              </w:rPr>
              <w:t>59-74</w:t>
            </w:r>
          </w:p>
        </w:tc>
        <w:tc>
          <w:tcPr>
            <w:tcW w:w="1965" w:type="dxa"/>
            <w:noWrap/>
            <w:hideMark/>
          </w:tcPr>
          <w:p w14:paraId="72A68A73" w14:textId="77777777" w:rsidR="001506C1" w:rsidRPr="00FA3F9C" w:rsidRDefault="001506C1" w:rsidP="009D34B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highlight w:val="yellow"/>
              </w:rPr>
            </w:pPr>
            <w:r w:rsidRPr="00FA3F9C">
              <w:rPr>
                <w:rFonts w:ascii="Arial" w:eastAsia="Times New Roman" w:hAnsi="Arial" w:cs="Arial"/>
                <w:color w:val="000000"/>
                <w:sz w:val="24"/>
                <w:szCs w:val="24"/>
                <w:highlight w:val="yellow"/>
              </w:rPr>
              <w:t>3540-4440</w:t>
            </w:r>
          </w:p>
        </w:tc>
        <w:tc>
          <w:tcPr>
            <w:tcW w:w="1800" w:type="dxa"/>
            <w:noWrap/>
            <w:hideMark/>
          </w:tcPr>
          <w:p w14:paraId="7A1A6578" w14:textId="77777777" w:rsidR="001506C1" w:rsidRPr="00FA3F9C" w:rsidRDefault="001506C1" w:rsidP="009D34B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highlight w:val="yellow"/>
              </w:rPr>
            </w:pPr>
            <w:r w:rsidRPr="00FA3F9C">
              <w:rPr>
                <w:rFonts w:ascii="Arial" w:eastAsia="Times New Roman" w:hAnsi="Arial" w:cs="Arial"/>
                <w:color w:val="000000"/>
                <w:sz w:val="24"/>
                <w:szCs w:val="24"/>
                <w:highlight w:val="yellow"/>
              </w:rPr>
              <w:t>4000</w:t>
            </w:r>
          </w:p>
        </w:tc>
      </w:tr>
      <w:tr w:rsidR="001506C1" w:rsidRPr="00FA3F9C" w14:paraId="32429498" w14:textId="77777777" w:rsidTr="009D34BC">
        <w:trPr>
          <w:trHeight w:val="340"/>
        </w:trPr>
        <w:tc>
          <w:tcPr>
            <w:cnfStyle w:val="001000000000" w:firstRow="0" w:lastRow="0" w:firstColumn="1" w:lastColumn="0" w:oddVBand="0" w:evenVBand="0" w:oddHBand="0" w:evenHBand="0" w:firstRowFirstColumn="0" w:firstRowLastColumn="0" w:lastRowFirstColumn="0" w:lastRowLastColumn="0"/>
            <w:tcW w:w="1023" w:type="dxa"/>
            <w:noWrap/>
            <w:hideMark/>
          </w:tcPr>
          <w:p w14:paraId="44B3E2F6" w14:textId="77777777" w:rsidR="001506C1" w:rsidRPr="00FA3F9C" w:rsidRDefault="001506C1" w:rsidP="009D34BC">
            <w:pPr>
              <w:jc w:val="center"/>
              <w:rPr>
                <w:rFonts w:ascii="Arial" w:eastAsia="Times New Roman" w:hAnsi="Arial" w:cs="Arial"/>
                <w:color w:val="000000"/>
                <w:sz w:val="24"/>
                <w:szCs w:val="24"/>
                <w:highlight w:val="yellow"/>
              </w:rPr>
            </w:pPr>
            <w:r w:rsidRPr="00FA3F9C">
              <w:rPr>
                <w:rFonts w:ascii="Arial" w:eastAsia="Times New Roman" w:hAnsi="Arial" w:cs="Arial"/>
                <w:color w:val="000000"/>
                <w:sz w:val="24"/>
                <w:szCs w:val="24"/>
                <w:highlight w:val="yellow"/>
              </w:rPr>
              <w:t>75-91</w:t>
            </w:r>
          </w:p>
        </w:tc>
        <w:tc>
          <w:tcPr>
            <w:tcW w:w="1965" w:type="dxa"/>
            <w:noWrap/>
            <w:hideMark/>
          </w:tcPr>
          <w:p w14:paraId="4416C78A" w14:textId="77777777" w:rsidR="001506C1" w:rsidRPr="00FA3F9C" w:rsidRDefault="001506C1" w:rsidP="009D34B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highlight w:val="yellow"/>
              </w:rPr>
            </w:pPr>
            <w:r w:rsidRPr="00FA3F9C">
              <w:rPr>
                <w:rFonts w:ascii="Arial" w:eastAsia="Times New Roman" w:hAnsi="Arial" w:cs="Arial"/>
                <w:color w:val="000000"/>
                <w:sz w:val="24"/>
                <w:szCs w:val="24"/>
                <w:highlight w:val="yellow"/>
              </w:rPr>
              <w:t>4500-5460</w:t>
            </w:r>
          </w:p>
        </w:tc>
        <w:tc>
          <w:tcPr>
            <w:tcW w:w="1800" w:type="dxa"/>
            <w:noWrap/>
            <w:hideMark/>
          </w:tcPr>
          <w:p w14:paraId="38F1E09C" w14:textId="77777777" w:rsidR="001506C1" w:rsidRPr="00FA3F9C" w:rsidRDefault="001506C1" w:rsidP="009D34B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highlight w:val="yellow"/>
              </w:rPr>
            </w:pPr>
            <w:r w:rsidRPr="00FA3F9C">
              <w:rPr>
                <w:rFonts w:ascii="Arial" w:eastAsia="Times New Roman" w:hAnsi="Arial" w:cs="Arial"/>
                <w:color w:val="000000"/>
                <w:sz w:val="24"/>
                <w:szCs w:val="24"/>
                <w:highlight w:val="yellow"/>
              </w:rPr>
              <w:t>5000</w:t>
            </w:r>
          </w:p>
        </w:tc>
      </w:tr>
      <w:tr w:rsidR="001506C1" w:rsidRPr="00FA3F9C" w14:paraId="431CB27F" w14:textId="77777777" w:rsidTr="009D34B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023" w:type="dxa"/>
            <w:noWrap/>
            <w:hideMark/>
          </w:tcPr>
          <w:p w14:paraId="3F4B4F7B" w14:textId="77777777" w:rsidR="001506C1" w:rsidRPr="00FA3F9C" w:rsidRDefault="001506C1" w:rsidP="009D34BC">
            <w:pPr>
              <w:jc w:val="center"/>
              <w:rPr>
                <w:rFonts w:ascii="Arial" w:eastAsia="Times New Roman" w:hAnsi="Arial" w:cs="Arial"/>
                <w:color w:val="000000"/>
                <w:sz w:val="24"/>
                <w:szCs w:val="24"/>
                <w:highlight w:val="yellow"/>
              </w:rPr>
            </w:pPr>
            <w:r w:rsidRPr="00FA3F9C">
              <w:rPr>
                <w:rFonts w:ascii="Arial" w:eastAsia="Times New Roman" w:hAnsi="Arial" w:cs="Arial"/>
                <w:color w:val="000000"/>
                <w:sz w:val="24"/>
                <w:szCs w:val="24"/>
                <w:highlight w:val="yellow"/>
              </w:rPr>
              <w:t>92-108</w:t>
            </w:r>
          </w:p>
        </w:tc>
        <w:tc>
          <w:tcPr>
            <w:tcW w:w="1965" w:type="dxa"/>
            <w:noWrap/>
            <w:hideMark/>
          </w:tcPr>
          <w:p w14:paraId="4734E75E" w14:textId="77777777" w:rsidR="001506C1" w:rsidRPr="00FA3F9C" w:rsidRDefault="001506C1" w:rsidP="009D34B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highlight w:val="yellow"/>
              </w:rPr>
            </w:pPr>
            <w:r w:rsidRPr="00FA3F9C">
              <w:rPr>
                <w:rFonts w:ascii="Arial" w:eastAsia="Times New Roman" w:hAnsi="Arial" w:cs="Arial"/>
                <w:color w:val="000000"/>
                <w:sz w:val="24"/>
                <w:szCs w:val="24"/>
                <w:highlight w:val="yellow"/>
              </w:rPr>
              <w:t>5520-6480</w:t>
            </w:r>
          </w:p>
        </w:tc>
        <w:tc>
          <w:tcPr>
            <w:tcW w:w="1800" w:type="dxa"/>
            <w:noWrap/>
            <w:hideMark/>
          </w:tcPr>
          <w:p w14:paraId="539CD824" w14:textId="77777777" w:rsidR="001506C1" w:rsidRPr="00FA3F9C" w:rsidRDefault="001506C1" w:rsidP="009D34B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highlight w:val="yellow"/>
              </w:rPr>
            </w:pPr>
            <w:r w:rsidRPr="00FA3F9C">
              <w:rPr>
                <w:rFonts w:ascii="Arial" w:eastAsia="Times New Roman" w:hAnsi="Arial" w:cs="Arial"/>
                <w:color w:val="000000"/>
                <w:sz w:val="24"/>
                <w:szCs w:val="24"/>
                <w:highlight w:val="yellow"/>
              </w:rPr>
              <w:t>6000</w:t>
            </w:r>
          </w:p>
        </w:tc>
      </w:tr>
      <w:tr w:rsidR="001506C1" w:rsidRPr="00FA3F9C" w14:paraId="4C2C8EC8" w14:textId="77777777" w:rsidTr="009D34BC">
        <w:trPr>
          <w:trHeight w:val="340"/>
        </w:trPr>
        <w:tc>
          <w:tcPr>
            <w:cnfStyle w:val="001000000000" w:firstRow="0" w:lastRow="0" w:firstColumn="1" w:lastColumn="0" w:oddVBand="0" w:evenVBand="0" w:oddHBand="0" w:evenHBand="0" w:firstRowFirstColumn="0" w:firstRowLastColumn="0" w:lastRowFirstColumn="0" w:lastRowLastColumn="0"/>
            <w:tcW w:w="1023" w:type="dxa"/>
            <w:noWrap/>
            <w:hideMark/>
          </w:tcPr>
          <w:p w14:paraId="3EF88EAC" w14:textId="77777777" w:rsidR="001506C1" w:rsidRPr="00FA3F9C" w:rsidRDefault="001506C1" w:rsidP="009D34BC">
            <w:pPr>
              <w:jc w:val="center"/>
              <w:rPr>
                <w:rFonts w:ascii="Arial" w:eastAsia="Times New Roman" w:hAnsi="Arial" w:cs="Arial"/>
                <w:color w:val="000000"/>
                <w:sz w:val="24"/>
                <w:szCs w:val="24"/>
                <w:highlight w:val="yellow"/>
              </w:rPr>
            </w:pPr>
            <w:r w:rsidRPr="00FA3F9C">
              <w:rPr>
                <w:rFonts w:ascii="Arial" w:eastAsia="Times New Roman" w:hAnsi="Arial" w:cs="Arial"/>
                <w:color w:val="000000"/>
                <w:sz w:val="24"/>
                <w:szCs w:val="24"/>
                <w:highlight w:val="yellow"/>
              </w:rPr>
              <w:t>109-124</w:t>
            </w:r>
          </w:p>
        </w:tc>
        <w:tc>
          <w:tcPr>
            <w:tcW w:w="1965" w:type="dxa"/>
            <w:noWrap/>
            <w:hideMark/>
          </w:tcPr>
          <w:p w14:paraId="608642D6" w14:textId="77777777" w:rsidR="001506C1" w:rsidRPr="00FA3F9C" w:rsidRDefault="001506C1" w:rsidP="009D34B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highlight w:val="yellow"/>
              </w:rPr>
            </w:pPr>
            <w:r w:rsidRPr="00FA3F9C">
              <w:rPr>
                <w:rFonts w:ascii="Arial" w:eastAsia="Times New Roman" w:hAnsi="Arial" w:cs="Arial"/>
                <w:color w:val="000000"/>
                <w:sz w:val="24"/>
                <w:szCs w:val="24"/>
                <w:highlight w:val="yellow"/>
              </w:rPr>
              <w:t>6540-7440</w:t>
            </w:r>
          </w:p>
        </w:tc>
        <w:tc>
          <w:tcPr>
            <w:tcW w:w="1800" w:type="dxa"/>
            <w:noWrap/>
            <w:hideMark/>
          </w:tcPr>
          <w:p w14:paraId="19BEEA3B" w14:textId="77777777" w:rsidR="001506C1" w:rsidRPr="00FA3F9C" w:rsidRDefault="001506C1" w:rsidP="009D34B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highlight w:val="yellow"/>
              </w:rPr>
            </w:pPr>
            <w:r w:rsidRPr="00FA3F9C">
              <w:rPr>
                <w:rFonts w:ascii="Arial" w:eastAsia="Times New Roman" w:hAnsi="Arial" w:cs="Arial"/>
                <w:color w:val="000000"/>
                <w:sz w:val="24"/>
                <w:szCs w:val="24"/>
                <w:highlight w:val="yellow"/>
              </w:rPr>
              <w:t>7000</w:t>
            </w:r>
          </w:p>
        </w:tc>
      </w:tr>
    </w:tbl>
    <w:p w14:paraId="646E7515" w14:textId="77777777" w:rsidR="001506C1" w:rsidRPr="00FA3F9C" w:rsidRDefault="001506C1" w:rsidP="00D847FE">
      <w:pPr>
        <w:shd w:val="clear" w:color="auto" w:fill="FFFFFF"/>
        <w:spacing w:after="0" w:line="240" w:lineRule="auto"/>
        <w:rPr>
          <w:rFonts w:ascii="Arial" w:hAnsi="Arial" w:cs="Arial"/>
          <w:color w:val="000000"/>
          <w:sz w:val="24"/>
          <w:szCs w:val="24"/>
        </w:rPr>
      </w:pPr>
      <w:r w:rsidRPr="00FA3F9C">
        <w:rPr>
          <w:rFonts w:ascii="Arial" w:hAnsi="Arial" w:cs="Arial"/>
          <w:b/>
          <w:bCs/>
          <w:color w:val="000000"/>
          <w:sz w:val="24"/>
          <w:szCs w:val="24"/>
        </w:rPr>
        <w:t>Routine prophylaxis against hereditary angioedema (HAE) attacks (</w:t>
      </w:r>
      <w:proofErr w:type="spellStart"/>
      <w:r w:rsidRPr="00FA3F9C">
        <w:rPr>
          <w:rFonts w:ascii="Arial" w:hAnsi="Arial" w:cs="Arial"/>
          <w:b/>
          <w:bCs/>
          <w:color w:val="000000"/>
          <w:sz w:val="24"/>
          <w:szCs w:val="24"/>
        </w:rPr>
        <w:t>Cinryze</w:t>
      </w:r>
      <w:proofErr w:type="spellEnd"/>
      <w:r w:rsidRPr="00FA3F9C">
        <w:rPr>
          <w:rFonts w:ascii="Arial" w:hAnsi="Arial" w:cs="Arial"/>
          <w:b/>
          <w:bCs/>
          <w:color w:val="000000"/>
          <w:sz w:val="24"/>
          <w:szCs w:val="24"/>
        </w:rPr>
        <w:t>)</w:t>
      </w:r>
      <w:r w:rsidRPr="00FA3F9C">
        <w:rPr>
          <w:rFonts w:ascii="Arial" w:hAnsi="Arial" w:cs="Arial"/>
          <w:color w:val="000000"/>
          <w:sz w:val="24"/>
          <w:szCs w:val="24"/>
        </w:rPr>
        <w:t>: I.V.: 1000 units every 3-4 days.  Administer intravenously at 1 mL/minute (over 10 minutes); use within 3 hours of reconstitution.</w:t>
      </w:r>
    </w:p>
    <w:p w14:paraId="7C8E8C14" w14:textId="77777777" w:rsidR="001506C1" w:rsidRPr="00FA3F9C" w:rsidRDefault="001506C1" w:rsidP="00D847FE">
      <w:pPr>
        <w:shd w:val="clear" w:color="auto" w:fill="FFFFFF"/>
        <w:spacing w:after="0" w:line="240" w:lineRule="auto"/>
        <w:rPr>
          <w:rFonts w:ascii="Arial" w:hAnsi="Arial" w:cs="Arial"/>
          <w:color w:val="000000"/>
          <w:sz w:val="24"/>
          <w:szCs w:val="24"/>
        </w:rPr>
      </w:pPr>
      <w:r w:rsidRPr="00FA3F9C">
        <w:rPr>
          <w:rFonts w:ascii="Arial" w:hAnsi="Arial" w:cs="Arial"/>
          <w:b/>
          <w:color w:val="000000"/>
          <w:sz w:val="24"/>
          <w:szCs w:val="24"/>
          <w:u w:val="single"/>
        </w:rPr>
        <w:t>Self-administration:</w:t>
      </w:r>
      <w:r w:rsidRPr="00FA3F9C">
        <w:rPr>
          <w:rFonts w:ascii="Arial" w:hAnsi="Arial" w:cs="Arial"/>
          <w:color w:val="000000"/>
          <w:sz w:val="24"/>
          <w:szCs w:val="24"/>
        </w:rPr>
        <w:t xml:space="preserve"> Following patient training and instructions on self-administration, patient may self-administer prophylaxis (</w:t>
      </w:r>
      <w:proofErr w:type="spellStart"/>
      <w:r w:rsidRPr="00FA3F9C">
        <w:rPr>
          <w:rFonts w:ascii="Arial" w:hAnsi="Arial" w:cs="Arial"/>
          <w:color w:val="000000"/>
          <w:sz w:val="24"/>
          <w:szCs w:val="24"/>
        </w:rPr>
        <w:t>Cinryze</w:t>
      </w:r>
      <w:proofErr w:type="spellEnd"/>
      <w:r w:rsidRPr="00FA3F9C">
        <w:rPr>
          <w:rFonts w:ascii="Arial" w:hAnsi="Arial" w:cs="Arial"/>
          <w:color w:val="000000"/>
          <w:sz w:val="24"/>
          <w:szCs w:val="24"/>
        </w:rPr>
        <w:t>) therapy. Epinephrine should be available during self-administration in the event of an acute, severe hypersensitivity reaction. Patient suffering from an acute laryngeal HAE attack and self-administering should be informed to seek immediate medical attention following treatment (potential for airway obstruction to occur).</w:t>
      </w:r>
    </w:p>
    <w:p w14:paraId="03A0D939" w14:textId="77777777" w:rsidR="001506C1" w:rsidRPr="00FA3F9C" w:rsidRDefault="001506C1" w:rsidP="00D847FE">
      <w:pPr>
        <w:spacing w:after="0" w:line="240" w:lineRule="auto"/>
        <w:rPr>
          <w:rFonts w:ascii="Arial" w:eastAsia="Times New Roman" w:hAnsi="Arial" w:cs="Arial"/>
          <w:sz w:val="24"/>
          <w:szCs w:val="24"/>
        </w:rPr>
      </w:pPr>
    </w:p>
    <w:p w14:paraId="4CBA2038" w14:textId="77777777" w:rsidR="001506C1" w:rsidRPr="00FA3F9C" w:rsidRDefault="001506C1" w:rsidP="00DD149E">
      <w:pPr>
        <w:spacing w:after="0"/>
        <w:rPr>
          <w:rFonts w:ascii="Arial" w:hAnsi="Arial" w:cs="Arial"/>
          <w:b/>
          <w:sz w:val="24"/>
          <w:szCs w:val="24"/>
        </w:rPr>
      </w:pPr>
      <w:r w:rsidRPr="00FA3F9C">
        <w:rPr>
          <w:rFonts w:ascii="Arial" w:hAnsi="Arial" w:cs="Arial"/>
          <w:b/>
          <w:sz w:val="24"/>
          <w:szCs w:val="24"/>
        </w:rPr>
        <w:t xml:space="preserve">***Please submit documentation of patient’s attack history for review.*** </w:t>
      </w:r>
    </w:p>
    <w:p w14:paraId="1B72ED3F" w14:textId="77777777" w:rsidR="001506C1" w:rsidRPr="00FA3F9C" w:rsidRDefault="001506C1" w:rsidP="00DD149E">
      <w:pPr>
        <w:spacing w:after="0"/>
        <w:rPr>
          <w:rFonts w:ascii="Arial" w:hAnsi="Arial" w:cs="Arial"/>
          <w:b/>
          <w:sz w:val="24"/>
          <w:szCs w:val="24"/>
        </w:rPr>
      </w:pPr>
    </w:p>
    <w:p w14:paraId="230448C1" w14:textId="77777777" w:rsidR="001506C1" w:rsidRPr="00FA3F9C" w:rsidRDefault="001506C1" w:rsidP="005D0ADA">
      <w:pPr>
        <w:spacing w:after="0"/>
        <w:rPr>
          <w:rFonts w:ascii="Arial" w:hAnsi="Arial" w:cs="Arial"/>
          <w:b/>
          <w:sz w:val="24"/>
          <w:szCs w:val="24"/>
        </w:rPr>
      </w:pPr>
      <w:r w:rsidRPr="00FA3F9C">
        <w:rPr>
          <w:rFonts w:ascii="Arial" w:hAnsi="Arial" w:cs="Arial"/>
          <w:b/>
          <w:sz w:val="24"/>
          <w:szCs w:val="24"/>
        </w:rPr>
        <w:t>Physician signature: ________________________________ Date: ______________________________</w:t>
      </w:r>
    </w:p>
    <w:p w14:paraId="7667D6CC" w14:textId="77777777" w:rsidR="001506C1" w:rsidRPr="00FA3F9C" w:rsidRDefault="001506C1" w:rsidP="005D0ADA">
      <w:pPr>
        <w:spacing w:after="0"/>
        <w:rPr>
          <w:rFonts w:ascii="Arial" w:hAnsi="Arial" w:cs="Arial"/>
          <w:b/>
          <w:sz w:val="24"/>
          <w:szCs w:val="24"/>
        </w:rPr>
      </w:pPr>
    </w:p>
    <w:p w14:paraId="08A84347" w14:textId="77777777" w:rsidR="001506C1" w:rsidRPr="00FA3F9C" w:rsidRDefault="001506C1" w:rsidP="00F12F97">
      <w:pPr>
        <w:pStyle w:val="NormalWeb"/>
        <w:shd w:val="clear" w:color="auto" w:fill="FFFFFF"/>
        <w:spacing w:before="0" w:beforeAutospacing="0" w:after="0" w:afterAutospacing="0" w:line="282" w:lineRule="atLeast"/>
        <w:rPr>
          <w:rFonts w:ascii="Arial" w:hAnsi="Arial" w:cs="Arial"/>
          <w:b/>
          <w:color w:val="000000"/>
          <w:sz w:val="24"/>
          <w:szCs w:val="24"/>
          <w:u w:val="single"/>
        </w:rPr>
      </w:pPr>
      <w:r w:rsidRPr="00FA3F9C">
        <w:rPr>
          <w:rFonts w:ascii="Arial" w:hAnsi="Arial" w:cs="Arial"/>
          <w:b/>
          <w:color w:val="000000"/>
          <w:sz w:val="24"/>
          <w:szCs w:val="24"/>
          <w:u w:val="single"/>
        </w:rPr>
        <w:t>*The diagnosis requires</w:t>
      </w:r>
      <w:r w:rsidRPr="00FA3F9C">
        <w:rPr>
          <w:rStyle w:val="apple-converted-space"/>
          <w:rFonts w:ascii="Arial" w:hAnsi="Arial" w:cs="Arial"/>
          <w:b/>
          <w:color w:val="000000"/>
          <w:sz w:val="24"/>
          <w:szCs w:val="24"/>
          <w:u w:val="single"/>
        </w:rPr>
        <w:t> </w:t>
      </w:r>
      <w:r w:rsidRPr="00FA3F9C">
        <w:rPr>
          <w:rStyle w:val="Strong"/>
          <w:rFonts w:ascii="Arial" w:hAnsi="Arial" w:cs="Arial"/>
          <w:color w:val="000000"/>
          <w:sz w:val="24"/>
          <w:szCs w:val="24"/>
          <w:u w:val="single"/>
        </w:rPr>
        <w:t>one clinical</w:t>
      </w:r>
      <w:r w:rsidRPr="00FA3F9C">
        <w:rPr>
          <w:rStyle w:val="apple-converted-space"/>
          <w:rFonts w:ascii="Arial" w:hAnsi="Arial" w:cs="Arial"/>
          <w:b/>
          <w:color w:val="000000"/>
          <w:sz w:val="24"/>
          <w:szCs w:val="24"/>
          <w:u w:val="single"/>
        </w:rPr>
        <w:t> </w:t>
      </w:r>
      <w:r w:rsidRPr="00FA3F9C">
        <w:rPr>
          <w:rFonts w:ascii="Arial" w:hAnsi="Arial" w:cs="Arial"/>
          <w:b/>
          <w:color w:val="000000"/>
          <w:sz w:val="24"/>
          <w:szCs w:val="24"/>
          <w:u w:val="single"/>
        </w:rPr>
        <w:t>criterion and</w:t>
      </w:r>
      <w:r w:rsidRPr="00FA3F9C">
        <w:rPr>
          <w:rStyle w:val="apple-converted-space"/>
          <w:rFonts w:ascii="Arial" w:hAnsi="Arial" w:cs="Arial"/>
          <w:b/>
          <w:color w:val="000000"/>
          <w:sz w:val="24"/>
          <w:szCs w:val="24"/>
          <w:u w:val="single"/>
        </w:rPr>
        <w:t> </w:t>
      </w:r>
      <w:r w:rsidRPr="00FA3F9C">
        <w:rPr>
          <w:rStyle w:val="Strong"/>
          <w:rFonts w:ascii="Arial" w:hAnsi="Arial" w:cs="Arial"/>
          <w:color w:val="000000"/>
          <w:sz w:val="24"/>
          <w:szCs w:val="24"/>
          <w:u w:val="single"/>
        </w:rPr>
        <w:t>one laboratory</w:t>
      </w:r>
      <w:r w:rsidRPr="00FA3F9C">
        <w:rPr>
          <w:rStyle w:val="apple-converted-space"/>
          <w:rFonts w:ascii="Arial" w:hAnsi="Arial" w:cs="Arial"/>
          <w:b/>
          <w:color w:val="000000"/>
          <w:sz w:val="24"/>
          <w:szCs w:val="24"/>
          <w:u w:val="single"/>
        </w:rPr>
        <w:t> </w:t>
      </w:r>
      <w:r w:rsidRPr="00FA3F9C">
        <w:rPr>
          <w:rFonts w:ascii="Arial" w:hAnsi="Arial" w:cs="Arial"/>
          <w:b/>
          <w:color w:val="000000"/>
          <w:sz w:val="24"/>
          <w:szCs w:val="24"/>
          <w:u w:val="single"/>
        </w:rPr>
        <w:t>criterion:</w:t>
      </w:r>
    </w:p>
    <w:p w14:paraId="3A29B550" w14:textId="77777777" w:rsidR="001506C1" w:rsidRPr="00FA3F9C" w:rsidRDefault="001506C1" w:rsidP="00F12F97">
      <w:pPr>
        <w:pStyle w:val="NormalWeb"/>
        <w:shd w:val="clear" w:color="auto" w:fill="FFFFFF"/>
        <w:spacing w:before="0" w:beforeAutospacing="0" w:after="0" w:afterAutospacing="0" w:line="282" w:lineRule="atLeast"/>
        <w:rPr>
          <w:rFonts w:ascii="Arial" w:hAnsi="Arial" w:cs="Arial"/>
          <w:b/>
          <w:color w:val="000000"/>
          <w:sz w:val="24"/>
          <w:szCs w:val="24"/>
          <w:u w:val="single"/>
        </w:rPr>
      </w:pPr>
      <w:r w:rsidRPr="00FA3F9C">
        <w:rPr>
          <w:rFonts w:ascii="Arial" w:hAnsi="Arial" w:cs="Arial"/>
          <w:b/>
          <w:color w:val="000000"/>
          <w:sz w:val="24"/>
          <w:szCs w:val="24"/>
          <w:u w:val="single"/>
        </w:rPr>
        <w:t>Clinical criteria:</w:t>
      </w:r>
    </w:p>
    <w:p w14:paraId="6D1D9294" w14:textId="77777777" w:rsidR="001506C1" w:rsidRPr="00FA3F9C" w:rsidRDefault="001506C1" w:rsidP="00F12F97">
      <w:pPr>
        <w:pStyle w:val="bulletindent1"/>
        <w:shd w:val="clear" w:color="auto" w:fill="FFFFFF"/>
        <w:spacing w:before="0" w:beforeAutospacing="0" w:after="0" w:afterAutospacing="0" w:line="282" w:lineRule="atLeast"/>
        <w:rPr>
          <w:rFonts w:ascii="Arial" w:hAnsi="Arial" w:cs="Arial"/>
          <w:color w:val="000000"/>
          <w:sz w:val="24"/>
          <w:szCs w:val="24"/>
        </w:rPr>
      </w:pPr>
      <w:r w:rsidRPr="00FA3F9C">
        <w:rPr>
          <w:rStyle w:val="glyph"/>
          <w:rFonts w:ascii="Arial" w:hAnsi="Arial" w:cs="Arial"/>
          <w:color w:val="000000"/>
          <w:sz w:val="24"/>
          <w:szCs w:val="24"/>
        </w:rPr>
        <w:sym w:font="Wingdings 2" w:char="F0A3"/>
      </w:r>
      <w:r w:rsidRPr="00FA3F9C">
        <w:rPr>
          <w:rFonts w:ascii="Arial" w:hAnsi="Arial" w:cs="Arial"/>
          <w:color w:val="000000"/>
          <w:sz w:val="24"/>
          <w:szCs w:val="24"/>
        </w:rPr>
        <w:t>Self-limiting, noninflammatory subcutaneous angioedema without urticaria, recurrent, and lasting more than 12 hours.</w:t>
      </w:r>
    </w:p>
    <w:p w14:paraId="228D33C6" w14:textId="77777777" w:rsidR="001506C1" w:rsidRPr="00FA3F9C" w:rsidRDefault="001506C1" w:rsidP="00F12F97">
      <w:pPr>
        <w:pStyle w:val="bulletindent1"/>
        <w:shd w:val="clear" w:color="auto" w:fill="FFFFFF"/>
        <w:spacing w:before="0" w:beforeAutospacing="0" w:after="0" w:afterAutospacing="0" w:line="282" w:lineRule="atLeast"/>
        <w:rPr>
          <w:rFonts w:ascii="Arial" w:hAnsi="Arial" w:cs="Arial"/>
          <w:color w:val="000000"/>
          <w:sz w:val="24"/>
          <w:szCs w:val="24"/>
        </w:rPr>
      </w:pPr>
      <w:r w:rsidRPr="00FA3F9C">
        <w:rPr>
          <w:rStyle w:val="glyph"/>
          <w:rFonts w:ascii="Arial" w:hAnsi="Arial" w:cs="Arial"/>
          <w:color w:val="000000"/>
          <w:sz w:val="24"/>
          <w:szCs w:val="24"/>
        </w:rPr>
        <w:sym w:font="Wingdings 2" w:char="F0A3"/>
      </w:r>
      <w:r w:rsidRPr="00FA3F9C">
        <w:rPr>
          <w:rFonts w:ascii="Arial" w:hAnsi="Arial" w:cs="Arial"/>
          <w:color w:val="000000"/>
          <w:sz w:val="24"/>
          <w:szCs w:val="24"/>
        </w:rPr>
        <w:t>Self-remitting abdominal pain without clear organic etiology, recurrent, and lasting more than six hours.</w:t>
      </w:r>
    </w:p>
    <w:p w14:paraId="1E07FE16" w14:textId="77777777" w:rsidR="001506C1" w:rsidRPr="00FA3F9C" w:rsidRDefault="001506C1" w:rsidP="00F12F97">
      <w:pPr>
        <w:pStyle w:val="bulletindent1"/>
        <w:shd w:val="clear" w:color="auto" w:fill="FFFFFF"/>
        <w:spacing w:before="0" w:beforeAutospacing="0" w:after="0" w:afterAutospacing="0" w:line="282" w:lineRule="atLeast"/>
        <w:rPr>
          <w:rFonts w:ascii="Arial" w:hAnsi="Arial" w:cs="Arial"/>
          <w:color w:val="000000"/>
          <w:sz w:val="24"/>
          <w:szCs w:val="24"/>
        </w:rPr>
      </w:pPr>
      <w:r w:rsidRPr="00FA3F9C">
        <w:rPr>
          <w:rStyle w:val="glyph"/>
          <w:rFonts w:ascii="Arial" w:hAnsi="Arial" w:cs="Arial"/>
          <w:color w:val="000000"/>
          <w:sz w:val="24"/>
          <w:szCs w:val="24"/>
        </w:rPr>
        <w:sym w:font="Wingdings 2" w:char="F0A3"/>
      </w:r>
      <w:r w:rsidRPr="00FA3F9C">
        <w:rPr>
          <w:rFonts w:ascii="Arial" w:hAnsi="Arial" w:cs="Arial"/>
          <w:color w:val="000000"/>
          <w:sz w:val="24"/>
          <w:szCs w:val="24"/>
        </w:rPr>
        <w:t>Recurrent laryngeal edema.</w:t>
      </w:r>
    </w:p>
    <w:p w14:paraId="33AB4C96" w14:textId="77777777" w:rsidR="001506C1" w:rsidRPr="00FA3F9C" w:rsidRDefault="001506C1" w:rsidP="00F12F97">
      <w:pPr>
        <w:pStyle w:val="NormalWeb"/>
        <w:shd w:val="clear" w:color="auto" w:fill="FFFFFF"/>
        <w:spacing w:before="0" w:beforeAutospacing="0" w:after="0" w:afterAutospacing="0" w:line="282" w:lineRule="atLeast"/>
        <w:rPr>
          <w:rFonts w:ascii="Arial" w:hAnsi="Arial" w:cs="Arial"/>
          <w:color w:val="000000"/>
          <w:sz w:val="24"/>
          <w:szCs w:val="24"/>
        </w:rPr>
      </w:pPr>
      <w:r w:rsidRPr="00FA3F9C">
        <w:rPr>
          <w:rStyle w:val="glyph"/>
          <w:rFonts w:ascii="Arial" w:hAnsi="Arial" w:cs="Arial"/>
          <w:color w:val="000000"/>
          <w:sz w:val="24"/>
          <w:szCs w:val="24"/>
        </w:rPr>
        <w:sym w:font="Wingdings 2" w:char="F0A3"/>
      </w:r>
      <w:r w:rsidRPr="00FA3F9C">
        <w:rPr>
          <w:rFonts w:ascii="Arial" w:hAnsi="Arial" w:cs="Arial"/>
          <w:color w:val="000000"/>
          <w:sz w:val="24"/>
          <w:szCs w:val="24"/>
        </w:rPr>
        <w:t>A family history of recurrent angioedema</w:t>
      </w:r>
      <w:r w:rsidRPr="00FA3F9C">
        <w:rPr>
          <w:rStyle w:val="apple-converted-space"/>
          <w:rFonts w:ascii="Arial" w:hAnsi="Arial" w:cs="Arial"/>
          <w:color w:val="000000"/>
          <w:sz w:val="24"/>
          <w:szCs w:val="24"/>
        </w:rPr>
        <w:t> </w:t>
      </w:r>
      <w:r w:rsidRPr="00FA3F9C">
        <w:rPr>
          <w:rStyle w:val="nowrap"/>
          <w:rFonts w:ascii="Arial" w:hAnsi="Arial" w:cs="Arial"/>
          <w:color w:val="000000"/>
          <w:sz w:val="24"/>
          <w:szCs w:val="24"/>
        </w:rPr>
        <w:t>and/or</w:t>
      </w:r>
      <w:r w:rsidRPr="00FA3F9C">
        <w:rPr>
          <w:rStyle w:val="apple-converted-space"/>
          <w:rFonts w:ascii="Arial" w:hAnsi="Arial" w:cs="Arial"/>
          <w:color w:val="000000"/>
          <w:sz w:val="24"/>
          <w:szCs w:val="24"/>
        </w:rPr>
        <w:t> </w:t>
      </w:r>
      <w:r w:rsidRPr="00FA3F9C">
        <w:rPr>
          <w:rFonts w:ascii="Arial" w:hAnsi="Arial" w:cs="Arial"/>
          <w:color w:val="000000"/>
          <w:sz w:val="24"/>
          <w:szCs w:val="24"/>
        </w:rPr>
        <w:t>abdominal pain</w:t>
      </w:r>
      <w:r w:rsidRPr="00FA3F9C">
        <w:rPr>
          <w:rStyle w:val="apple-converted-space"/>
          <w:rFonts w:ascii="Arial" w:hAnsi="Arial" w:cs="Arial"/>
          <w:color w:val="000000"/>
          <w:sz w:val="24"/>
          <w:szCs w:val="24"/>
        </w:rPr>
        <w:t> </w:t>
      </w:r>
      <w:r w:rsidRPr="00FA3F9C">
        <w:rPr>
          <w:rStyle w:val="nowrap"/>
          <w:rFonts w:ascii="Arial" w:hAnsi="Arial" w:cs="Arial"/>
          <w:color w:val="000000"/>
          <w:sz w:val="24"/>
          <w:szCs w:val="24"/>
        </w:rPr>
        <w:t>and/or</w:t>
      </w:r>
      <w:r w:rsidRPr="00FA3F9C">
        <w:rPr>
          <w:rStyle w:val="apple-converted-space"/>
          <w:rFonts w:ascii="Arial" w:hAnsi="Arial" w:cs="Arial"/>
          <w:color w:val="000000"/>
          <w:sz w:val="24"/>
          <w:szCs w:val="24"/>
        </w:rPr>
        <w:t> </w:t>
      </w:r>
      <w:r w:rsidRPr="00FA3F9C">
        <w:rPr>
          <w:rFonts w:ascii="Arial" w:hAnsi="Arial" w:cs="Arial"/>
          <w:color w:val="000000"/>
          <w:sz w:val="24"/>
          <w:szCs w:val="24"/>
        </w:rPr>
        <w:t>laryngeal edema, if present, supports the diagnosis of HAE, although it is not required because the patient may have a new mutation or an acquired disorder.</w:t>
      </w:r>
    </w:p>
    <w:p w14:paraId="4DA5F1FB" w14:textId="77777777" w:rsidR="001506C1" w:rsidRPr="00FA3F9C" w:rsidRDefault="001506C1" w:rsidP="00F12F97">
      <w:pPr>
        <w:pStyle w:val="NormalWeb"/>
        <w:shd w:val="clear" w:color="auto" w:fill="FFFFFF"/>
        <w:spacing w:before="0" w:beforeAutospacing="0" w:after="0" w:afterAutospacing="0" w:line="282" w:lineRule="atLeast"/>
        <w:rPr>
          <w:rFonts w:ascii="Arial" w:hAnsi="Arial" w:cs="Arial"/>
          <w:b/>
          <w:color w:val="000000"/>
          <w:sz w:val="24"/>
          <w:szCs w:val="24"/>
          <w:u w:val="single"/>
        </w:rPr>
      </w:pPr>
      <w:r w:rsidRPr="00FA3F9C">
        <w:rPr>
          <w:rFonts w:ascii="Arial" w:hAnsi="Arial" w:cs="Arial"/>
          <w:b/>
          <w:color w:val="000000"/>
          <w:sz w:val="24"/>
          <w:szCs w:val="24"/>
          <w:u w:val="single"/>
        </w:rPr>
        <w:t>Laboratory criteria:</w:t>
      </w:r>
    </w:p>
    <w:p w14:paraId="7240FBB4" w14:textId="77777777" w:rsidR="001506C1" w:rsidRPr="00FA3F9C" w:rsidRDefault="001506C1" w:rsidP="00F12F97">
      <w:pPr>
        <w:pStyle w:val="bulletindent1"/>
        <w:shd w:val="clear" w:color="auto" w:fill="FFFFFF"/>
        <w:spacing w:before="0" w:beforeAutospacing="0" w:after="0" w:afterAutospacing="0" w:line="282" w:lineRule="atLeast"/>
        <w:rPr>
          <w:rFonts w:ascii="Arial" w:hAnsi="Arial" w:cs="Arial"/>
          <w:color w:val="000000"/>
          <w:sz w:val="24"/>
          <w:szCs w:val="24"/>
        </w:rPr>
      </w:pPr>
      <w:r w:rsidRPr="00FA3F9C">
        <w:rPr>
          <w:rStyle w:val="glyph"/>
          <w:rFonts w:ascii="Arial" w:hAnsi="Arial" w:cs="Arial"/>
          <w:color w:val="000000"/>
          <w:sz w:val="24"/>
          <w:szCs w:val="24"/>
        </w:rPr>
        <w:sym w:font="Wingdings 2" w:char="F0A3"/>
      </w:r>
      <w:r w:rsidRPr="00FA3F9C">
        <w:rPr>
          <w:rFonts w:ascii="Arial" w:hAnsi="Arial" w:cs="Arial"/>
          <w:b/>
          <w:color w:val="000000"/>
          <w:sz w:val="24"/>
          <w:szCs w:val="24"/>
        </w:rPr>
        <w:t>C1 inhibitor levels &lt; 50% of the lower limit</w:t>
      </w:r>
      <w:r w:rsidRPr="00FA3F9C">
        <w:rPr>
          <w:rFonts w:ascii="Arial" w:hAnsi="Arial" w:cs="Arial"/>
          <w:color w:val="000000"/>
          <w:sz w:val="24"/>
          <w:szCs w:val="24"/>
        </w:rPr>
        <w:t xml:space="preserve"> </w:t>
      </w:r>
      <w:r w:rsidRPr="00FA3F9C">
        <w:rPr>
          <w:rFonts w:ascii="Arial" w:hAnsi="Arial" w:cs="Arial"/>
          <w:b/>
          <w:color w:val="000000"/>
          <w:sz w:val="24"/>
          <w:szCs w:val="24"/>
        </w:rPr>
        <w:t>of normal</w:t>
      </w:r>
      <w:r w:rsidRPr="00FA3F9C">
        <w:rPr>
          <w:rFonts w:ascii="Arial" w:hAnsi="Arial" w:cs="Arial"/>
          <w:color w:val="000000"/>
          <w:sz w:val="24"/>
          <w:szCs w:val="24"/>
        </w:rPr>
        <w:t xml:space="preserve"> at two separate determinations (at least 1 month apart) with the patient in their basal condition and after the first year of life </w:t>
      </w:r>
      <w:r w:rsidRPr="00FA3F9C">
        <w:rPr>
          <w:rFonts w:ascii="Arial" w:hAnsi="Arial" w:cs="Arial"/>
          <w:b/>
          <w:color w:val="000000"/>
          <w:sz w:val="24"/>
          <w:szCs w:val="24"/>
          <w:highlight w:val="yellow"/>
        </w:rPr>
        <w:t>and</w:t>
      </w:r>
      <w:r w:rsidRPr="00FA3F9C">
        <w:rPr>
          <w:rFonts w:ascii="Arial" w:hAnsi="Arial" w:cs="Arial"/>
          <w:color w:val="000000"/>
          <w:sz w:val="24"/>
          <w:szCs w:val="24"/>
          <w:highlight w:val="yellow"/>
        </w:rPr>
        <w:t xml:space="preserve"> </w:t>
      </w:r>
      <w:r w:rsidRPr="00FA3F9C">
        <w:rPr>
          <w:rFonts w:ascii="Arial" w:hAnsi="Arial" w:cs="Arial"/>
          <w:b/>
          <w:color w:val="000000"/>
          <w:sz w:val="24"/>
          <w:szCs w:val="24"/>
          <w:highlight w:val="yellow"/>
        </w:rPr>
        <w:t>C4 antigen level below the laboratory reference range</w:t>
      </w:r>
      <w:r w:rsidRPr="00FA3F9C">
        <w:rPr>
          <w:rFonts w:ascii="Arial" w:hAnsi="Arial" w:cs="Arial"/>
          <w:color w:val="000000"/>
          <w:sz w:val="24"/>
          <w:szCs w:val="24"/>
        </w:rPr>
        <w:t>.</w:t>
      </w:r>
    </w:p>
    <w:p w14:paraId="42051A35" w14:textId="77777777" w:rsidR="001506C1" w:rsidRPr="00FA3F9C" w:rsidRDefault="001506C1" w:rsidP="00F12F97">
      <w:pPr>
        <w:pStyle w:val="bulletindent1"/>
        <w:shd w:val="clear" w:color="auto" w:fill="FFFFFF"/>
        <w:spacing w:before="0" w:beforeAutospacing="0" w:after="0" w:afterAutospacing="0" w:line="282" w:lineRule="atLeast"/>
        <w:rPr>
          <w:rFonts w:ascii="Arial" w:hAnsi="Arial" w:cs="Arial"/>
          <w:color w:val="000000"/>
          <w:sz w:val="24"/>
          <w:szCs w:val="24"/>
        </w:rPr>
      </w:pPr>
      <w:r w:rsidRPr="00FA3F9C">
        <w:rPr>
          <w:rStyle w:val="glyph"/>
          <w:rFonts w:ascii="Arial" w:hAnsi="Arial" w:cs="Arial"/>
          <w:color w:val="000000"/>
          <w:sz w:val="24"/>
          <w:szCs w:val="24"/>
        </w:rPr>
        <w:sym w:font="Wingdings 2" w:char="F0A3"/>
      </w:r>
      <w:r w:rsidRPr="00FA3F9C">
        <w:rPr>
          <w:rFonts w:ascii="Arial" w:hAnsi="Arial" w:cs="Arial"/>
          <w:b/>
          <w:color w:val="000000"/>
          <w:sz w:val="24"/>
          <w:szCs w:val="24"/>
        </w:rPr>
        <w:t xml:space="preserve">C1 inhibitor function of &lt; 50% of normal </w:t>
      </w:r>
      <w:r w:rsidRPr="00FA3F9C">
        <w:rPr>
          <w:rFonts w:ascii="Arial" w:hAnsi="Arial" w:cs="Arial"/>
          <w:color w:val="000000"/>
          <w:sz w:val="24"/>
          <w:szCs w:val="24"/>
        </w:rPr>
        <w:t xml:space="preserve">at two separate determinations (at least one month apart) with the patient in their basal condition and after the first year of life </w:t>
      </w:r>
      <w:r w:rsidRPr="00FA3F9C">
        <w:rPr>
          <w:rFonts w:ascii="Arial" w:hAnsi="Arial" w:cs="Arial"/>
          <w:b/>
          <w:color w:val="000000"/>
          <w:sz w:val="24"/>
          <w:szCs w:val="24"/>
        </w:rPr>
        <w:t>and</w:t>
      </w:r>
      <w:r w:rsidRPr="00FA3F9C">
        <w:rPr>
          <w:rFonts w:ascii="Arial" w:hAnsi="Arial" w:cs="Arial"/>
          <w:color w:val="000000"/>
          <w:sz w:val="24"/>
          <w:szCs w:val="24"/>
        </w:rPr>
        <w:t xml:space="preserve"> </w:t>
      </w:r>
      <w:r w:rsidRPr="00FA3F9C">
        <w:rPr>
          <w:rFonts w:ascii="Arial" w:hAnsi="Arial" w:cs="Arial"/>
          <w:b/>
          <w:color w:val="000000"/>
          <w:sz w:val="24"/>
          <w:szCs w:val="24"/>
        </w:rPr>
        <w:t>C4 antigen level below the laboratory reference range.</w:t>
      </w:r>
    </w:p>
    <w:p w14:paraId="58CB39CB" w14:textId="77777777" w:rsidR="001506C1" w:rsidRPr="00FA3F9C" w:rsidRDefault="001506C1" w:rsidP="00F12F97">
      <w:pPr>
        <w:pStyle w:val="bulletindent1"/>
        <w:shd w:val="clear" w:color="auto" w:fill="FFFFFF"/>
        <w:spacing w:before="0" w:beforeAutospacing="0" w:after="0" w:afterAutospacing="0" w:line="282" w:lineRule="atLeast"/>
        <w:rPr>
          <w:rFonts w:ascii="Arial" w:hAnsi="Arial" w:cs="Arial"/>
          <w:b/>
          <w:color w:val="000000"/>
          <w:sz w:val="24"/>
          <w:szCs w:val="24"/>
        </w:rPr>
      </w:pPr>
      <w:r w:rsidRPr="00FA3F9C">
        <w:rPr>
          <w:rStyle w:val="glyph"/>
          <w:rFonts w:ascii="Arial" w:hAnsi="Arial" w:cs="Arial"/>
          <w:color w:val="000000"/>
          <w:sz w:val="24"/>
          <w:szCs w:val="24"/>
        </w:rPr>
        <w:sym w:font="Wingdings 2" w:char="F0A3"/>
      </w:r>
      <w:r w:rsidRPr="00FA3F9C">
        <w:rPr>
          <w:rFonts w:ascii="Arial" w:hAnsi="Arial" w:cs="Arial"/>
          <w:color w:val="000000"/>
          <w:sz w:val="24"/>
          <w:szCs w:val="24"/>
        </w:rPr>
        <w:t>Mutation in C1 inhibitor gene altering protein synthesis</w:t>
      </w:r>
      <w:r w:rsidRPr="00FA3F9C">
        <w:rPr>
          <w:rStyle w:val="apple-converted-space"/>
          <w:rFonts w:ascii="Arial" w:hAnsi="Arial" w:cs="Arial"/>
          <w:color w:val="000000"/>
          <w:sz w:val="24"/>
          <w:szCs w:val="24"/>
        </w:rPr>
        <w:t> </w:t>
      </w:r>
      <w:r w:rsidRPr="00FA3F9C">
        <w:rPr>
          <w:rStyle w:val="nowrap"/>
          <w:rFonts w:ascii="Arial" w:hAnsi="Arial" w:cs="Arial"/>
          <w:color w:val="000000"/>
          <w:sz w:val="24"/>
          <w:szCs w:val="24"/>
        </w:rPr>
        <w:t>and/or</w:t>
      </w:r>
      <w:r w:rsidRPr="00FA3F9C">
        <w:rPr>
          <w:rStyle w:val="apple-converted-space"/>
          <w:rFonts w:ascii="Arial" w:hAnsi="Arial" w:cs="Arial"/>
          <w:color w:val="000000"/>
          <w:sz w:val="24"/>
          <w:szCs w:val="24"/>
        </w:rPr>
        <w:t> </w:t>
      </w:r>
      <w:r w:rsidRPr="00FA3F9C">
        <w:rPr>
          <w:rFonts w:ascii="Arial" w:hAnsi="Arial" w:cs="Arial"/>
          <w:color w:val="000000"/>
          <w:sz w:val="24"/>
          <w:szCs w:val="24"/>
        </w:rPr>
        <w:t xml:space="preserve">function. This is the only laboratory criterion that can be used to make the diagnosis in </w:t>
      </w:r>
      <w:r w:rsidRPr="00FA3F9C">
        <w:rPr>
          <w:rFonts w:ascii="Arial" w:hAnsi="Arial" w:cs="Arial"/>
          <w:b/>
          <w:color w:val="000000"/>
          <w:sz w:val="24"/>
          <w:szCs w:val="24"/>
        </w:rPr>
        <w:t>patients younger than one year of age.</w:t>
      </w:r>
    </w:p>
    <w:p w14:paraId="07751916" w14:textId="77777777" w:rsidR="001506C1" w:rsidRPr="00FA3F9C" w:rsidRDefault="001506C1" w:rsidP="001506C1">
      <w:pPr>
        <w:pStyle w:val="NormalWeb"/>
        <w:numPr>
          <w:ilvl w:val="0"/>
          <w:numId w:val="78"/>
        </w:numPr>
        <w:shd w:val="clear" w:color="auto" w:fill="FFFFFF"/>
        <w:spacing w:before="0" w:beforeAutospacing="0" w:after="0" w:afterAutospacing="0" w:line="282" w:lineRule="atLeast"/>
        <w:rPr>
          <w:rFonts w:ascii="Arial" w:hAnsi="Arial" w:cs="Arial"/>
          <w:b/>
          <w:color w:val="000000"/>
          <w:sz w:val="24"/>
          <w:szCs w:val="24"/>
        </w:rPr>
      </w:pPr>
      <w:r w:rsidRPr="00FA3F9C">
        <w:rPr>
          <w:rFonts w:ascii="Arial" w:hAnsi="Arial" w:cs="Arial"/>
          <w:b/>
          <w:color w:val="000000"/>
          <w:sz w:val="24"/>
          <w:szCs w:val="24"/>
        </w:rPr>
        <w:t>The criteria stipulate that C1 inhibitor antigenic levels and functional levels must be &lt; 50%. In most cases of type I HAE, the levels are &lt;30%, although some patients have levels slightly higher (30-50%).</w:t>
      </w:r>
    </w:p>
    <w:p w14:paraId="32500988" w14:textId="77777777" w:rsidR="001506C1" w:rsidRPr="00FA3F9C" w:rsidRDefault="001506C1" w:rsidP="00D847FE">
      <w:pPr>
        <w:spacing w:after="0"/>
        <w:rPr>
          <w:rFonts w:ascii="Arial" w:hAnsi="Arial" w:cs="Arial"/>
          <w:b/>
          <w:sz w:val="24"/>
          <w:szCs w:val="24"/>
        </w:rPr>
      </w:pPr>
    </w:p>
    <w:p w14:paraId="438A6426" w14:textId="77777777" w:rsidR="001506C1" w:rsidRPr="00FA3F9C" w:rsidRDefault="001506C1" w:rsidP="00D847FE">
      <w:pPr>
        <w:spacing w:after="0"/>
        <w:rPr>
          <w:rFonts w:ascii="Arial" w:hAnsi="Arial" w:cs="Arial"/>
          <w:b/>
          <w:sz w:val="24"/>
          <w:szCs w:val="24"/>
        </w:rPr>
      </w:pPr>
    </w:p>
    <w:p w14:paraId="2F30D30F" w14:textId="77777777" w:rsidR="001506C1" w:rsidRPr="00FA3F9C" w:rsidRDefault="001506C1" w:rsidP="00D847FE">
      <w:pPr>
        <w:spacing w:after="0"/>
        <w:rPr>
          <w:rFonts w:ascii="Arial" w:hAnsi="Arial" w:cs="Arial"/>
          <w:b/>
          <w:sz w:val="24"/>
          <w:szCs w:val="24"/>
        </w:rPr>
      </w:pPr>
      <w:r w:rsidRPr="00FA3F9C">
        <w:rPr>
          <w:rFonts w:ascii="Arial" w:hAnsi="Arial" w:cs="Arial"/>
          <w:b/>
          <w:sz w:val="24"/>
          <w:szCs w:val="24"/>
        </w:rPr>
        <w:t>References:</w:t>
      </w:r>
    </w:p>
    <w:p w14:paraId="7F1DA456" w14:textId="77777777" w:rsidR="001506C1" w:rsidRPr="00FA3F9C" w:rsidRDefault="001506C1" w:rsidP="001506C1">
      <w:pPr>
        <w:pStyle w:val="ListParagraph"/>
        <w:numPr>
          <w:ilvl w:val="0"/>
          <w:numId w:val="77"/>
        </w:numPr>
        <w:spacing w:after="0" w:line="276" w:lineRule="auto"/>
        <w:rPr>
          <w:rFonts w:ascii="Arial" w:hAnsi="Arial" w:cs="Arial"/>
          <w:b/>
          <w:sz w:val="24"/>
          <w:szCs w:val="24"/>
        </w:rPr>
      </w:pPr>
      <w:r w:rsidRPr="00FA3F9C">
        <w:rPr>
          <w:rFonts w:ascii="Arial" w:hAnsi="Arial" w:cs="Arial"/>
          <w:b/>
          <w:sz w:val="24"/>
          <w:szCs w:val="24"/>
        </w:rPr>
        <w:t xml:space="preserve">Xu YY, </w:t>
      </w:r>
      <w:proofErr w:type="spellStart"/>
      <w:r w:rsidRPr="00FA3F9C">
        <w:rPr>
          <w:rFonts w:ascii="Arial" w:hAnsi="Arial" w:cs="Arial"/>
          <w:b/>
          <w:sz w:val="24"/>
          <w:szCs w:val="24"/>
        </w:rPr>
        <w:t>Buyantseva</w:t>
      </w:r>
      <w:proofErr w:type="spellEnd"/>
      <w:r w:rsidRPr="00FA3F9C">
        <w:rPr>
          <w:rFonts w:ascii="Arial" w:hAnsi="Arial" w:cs="Arial"/>
          <w:b/>
          <w:sz w:val="24"/>
          <w:szCs w:val="24"/>
        </w:rPr>
        <w:t xml:space="preserve"> LV, Agarwal NS, et al.  Update on treatment of </w:t>
      </w:r>
      <w:proofErr w:type="spellStart"/>
      <w:r w:rsidRPr="00FA3F9C">
        <w:rPr>
          <w:rFonts w:ascii="Arial" w:hAnsi="Arial" w:cs="Arial"/>
          <w:b/>
          <w:sz w:val="24"/>
          <w:szCs w:val="24"/>
        </w:rPr>
        <w:t>heritary</w:t>
      </w:r>
      <w:proofErr w:type="spellEnd"/>
      <w:r w:rsidRPr="00FA3F9C">
        <w:rPr>
          <w:rFonts w:ascii="Arial" w:hAnsi="Arial" w:cs="Arial"/>
          <w:b/>
          <w:sz w:val="24"/>
          <w:szCs w:val="24"/>
        </w:rPr>
        <w:t xml:space="preserve"> angioedema.  Clinical &amp; Experimental Allergy, 43:395-405.</w:t>
      </w:r>
    </w:p>
    <w:p w14:paraId="2F3678CB" w14:textId="77777777" w:rsidR="001506C1" w:rsidRPr="00FA3F9C" w:rsidRDefault="001506C1" w:rsidP="001506C1">
      <w:pPr>
        <w:pStyle w:val="ListParagraph"/>
        <w:numPr>
          <w:ilvl w:val="0"/>
          <w:numId w:val="77"/>
        </w:numPr>
        <w:spacing w:after="0" w:line="276" w:lineRule="auto"/>
        <w:rPr>
          <w:rFonts w:ascii="Arial" w:hAnsi="Arial" w:cs="Arial"/>
          <w:b/>
          <w:sz w:val="24"/>
          <w:szCs w:val="24"/>
        </w:rPr>
      </w:pPr>
      <w:proofErr w:type="spellStart"/>
      <w:r w:rsidRPr="00FA3F9C">
        <w:rPr>
          <w:rFonts w:ascii="Arial" w:hAnsi="Arial" w:cs="Arial"/>
          <w:b/>
          <w:sz w:val="24"/>
          <w:szCs w:val="24"/>
        </w:rPr>
        <w:t>Zuraw</w:t>
      </w:r>
      <w:proofErr w:type="spellEnd"/>
      <w:r w:rsidRPr="00FA3F9C">
        <w:rPr>
          <w:rFonts w:ascii="Arial" w:hAnsi="Arial" w:cs="Arial"/>
          <w:b/>
          <w:sz w:val="24"/>
          <w:szCs w:val="24"/>
        </w:rPr>
        <w:t xml:space="preserve"> BL, Hereditary Angioedema.  N </w:t>
      </w:r>
      <w:proofErr w:type="spellStart"/>
      <w:r w:rsidRPr="00FA3F9C">
        <w:rPr>
          <w:rFonts w:ascii="Arial" w:hAnsi="Arial" w:cs="Arial"/>
          <w:b/>
          <w:sz w:val="24"/>
          <w:szCs w:val="24"/>
        </w:rPr>
        <w:t>Engl</w:t>
      </w:r>
      <w:proofErr w:type="spellEnd"/>
      <w:r w:rsidRPr="00FA3F9C">
        <w:rPr>
          <w:rFonts w:ascii="Arial" w:hAnsi="Arial" w:cs="Arial"/>
          <w:b/>
          <w:sz w:val="24"/>
          <w:szCs w:val="24"/>
        </w:rPr>
        <w:t xml:space="preserve"> J Med. 2008;359:1027-36.</w:t>
      </w:r>
    </w:p>
    <w:p w14:paraId="57C4DFD5" w14:textId="77777777" w:rsidR="001506C1" w:rsidRPr="00FA3F9C" w:rsidRDefault="001506C1" w:rsidP="001506C1">
      <w:pPr>
        <w:pStyle w:val="ListParagraph"/>
        <w:numPr>
          <w:ilvl w:val="0"/>
          <w:numId w:val="77"/>
        </w:numPr>
        <w:spacing w:after="0" w:line="276" w:lineRule="auto"/>
        <w:rPr>
          <w:rFonts w:ascii="Arial" w:hAnsi="Arial" w:cs="Arial"/>
          <w:b/>
          <w:sz w:val="24"/>
          <w:szCs w:val="24"/>
        </w:rPr>
      </w:pPr>
      <w:r w:rsidRPr="00FA3F9C">
        <w:rPr>
          <w:rFonts w:ascii="Arial" w:hAnsi="Arial" w:cs="Arial"/>
          <w:b/>
          <w:sz w:val="24"/>
          <w:szCs w:val="24"/>
        </w:rPr>
        <w:t xml:space="preserve">Kaplan AP, Greaves MW.  Angioedema.  J Am </w:t>
      </w:r>
      <w:proofErr w:type="spellStart"/>
      <w:r w:rsidRPr="00FA3F9C">
        <w:rPr>
          <w:rFonts w:ascii="Arial" w:hAnsi="Arial" w:cs="Arial"/>
          <w:b/>
          <w:sz w:val="24"/>
          <w:szCs w:val="24"/>
        </w:rPr>
        <w:t>Acad</w:t>
      </w:r>
      <w:proofErr w:type="spellEnd"/>
      <w:r w:rsidRPr="00FA3F9C">
        <w:rPr>
          <w:rFonts w:ascii="Arial" w:hAnsi="Arial" w:cs="Arial"/>
          <w:b/>
          <w:sz w:val="24"/>
          <w:szCs w:val="24"/>
        </w:rPr>
        <w:t xml:space="preserve"> Dermatol. 2005 (Sept);53(3):373-388.</w:t>
      </w:r>
    </w:p>
    <w:p w14:paraId="36CBD149" w14:textId="77777777" w:rsidR="001506C1" w:rsidRPr="00FA3F9C" w:rsidRDefault="001506C1" w:rsidP="001506C1">
      <w:pPr>
        <w:pStyle w:val="ListParagraph"/>
        <w:numPr>
          <w:ilvl w:val="0"/>
          <w:numId w:val="77"/>
        </w:numPr>
        <w:spacing w:after="0" w:line="276" w:lineRule="auto"/>
        <w:rPr>
          <w:rFonts w:ascii="Arial" w:hAnsi="Arial" w:cs="Arial"/>
          <w:b/>
          <w:sz w:val="24"/>
          <w:szCs w:val="24"/>
        </w:rPr>
      </w:pPr>
      <w:proofErr w:type="spellStart"/>
      <w:r w:rsidRPr="00FA3F9C">
        <w:rPr>
          <w:rFonts w:ascii="Arial" w:hAnsi="Arial" w:cs="Arial"/>
          <w:b/>
          <w:sz w:val="24"/>
          <w:szCs w:val="24"/>
        </w:rPr>
        <w:t>Waytes</w:t>
      </w:r>
      <w:proofErr w:type="spellEnd"/>
      <w:r w:rsidRPr="00FA3F9C">
        <w:rPr>
          <w:rFonts w:ascii="Arial" w:hAnsi="Arial" w:cs="Arial"/>
          <w:b/>
          <w:sz w:val="24"/>
          <w:szCs w:val="24"/>
        </w:rPr>
        <w:t xml:space="preserve"> AT, Rosen FS, Frank MM.  Treatment of hereditary angioedema with a </w:t>
      </w:r>
      <w:proofErr w:type="gramStart"/>
      <w:r w:rsidRPr="00FA3F9C">
        <w:rPr>
          <w:rFonts w:ascii="Arial" w:hAnsi="Arial" w:cs="Arial"/>
          <w:b/>
          <w:sz w:val="24"/>
          <w:szCs w:val="24"/>
        </w:rPr>
        <w:t>vapor-heated</w:t>
      </w:r>
      <w:proofErr w:type="gramEnd"/>
      <w:r w:rsidRPr="00FA3F9C">
        <w:rPr>
          <w:rFonts w:ascii="Arial" w:hAnsi="Arial" w:cs="Arial"/>
          <w:b/>
          <w:sz w:val="24"/>
          <w:szCs w:val="24"/>
        </w:rPr>
        <w:t xml:space="preserve"> C1 inhibitor concentrate.  N </w:t>
      </w:r>
      <w:proofErr w:type="spellStart"/>
      <w:r w:rsidRPr="00FA3F9C">
        <w:rPr>
          <w:rFonts w:ascii="Arial" w:hAnsi="Arial" w:cs="Arial"/>
          <w:b/>
          <w:sz w:val="24"/>
          <w:szCs w:val="24"/>
        </w:rPr>
        <w:t>Engl</w:t>
      </w:r>
      <w:proofErr w:type="spellEnd"/>
      <w:r w:rsidRPr="00FA3F9C">
        <w:rPr>
          <w:rFonts w:ascii="Arial" w:hAnsi="Arial" w:cs="Arial"/>
          <w:b/>
          <w:sz w:val="24"/>
          <w:szCs w:val="24"/>
        </w:rPr>
        <w:t xml:space="preserve"> J Med. 1996;334:1630-4.</w:t>
      </w:r>
    </w:p>
    <w:p w14:paraId="4428AE5E" w14:textId="77777777" w:rsidR="001506C1" w:rsidRPr="00FA3F9C" w:rsidRDefault="001506C1" w:rsidP="001506C1">
      <w:pPr>
        <w:pStyle w:val="ListParagraph"/>
        <w:numPr>
          <w:ilvl w:val="0"/>
          <w:numId w:val="77"/>
        </w:numPr>
        <w:spacing w:after="0" w:line="276" w:lineRule="auto"/>
        <w:rPr>
          <w:rFonts w:ascii="Arial" w:hAnsi="Arial" w:cs="Arial"/>
          <w:b/>
          <w:sz w:val="24"/>
          <w:szCs w:val="24"/>
        </w:rPr>
      </w:pPr>
      <w:proofErr w:type="spellStart"/>
      <w:r w:rsidRPr="00FA3F9C">
        <w:rPr>
          <w:rFonts w:ascii="Arial" w:hAnsi="Arial" w:cs="Arial"/>
          <w:b/>
          <w:sz w:val="24"/>
          <w:szCs w:val="24"/>
        </w:rPr>
        <w:t>Kunschak</w:t>
      </w:r>
      <w:proofErr w:type="spellEnd"/>
      <w:r w:rsidRPr="00FA3F9C">
        <w:rPr>
          <w:rFonts w:ascii="Arial" w:hAnsi="Arial" w:cs="Arial"/>
          <w:b/>
          <w:sz w:val="24"/>
          <w:szCs w:val="24"/>
        </w:rPr>
        <w:t xml:space="preserve"> M, </w:t>
      </w:r>
      <w:proofErr w:type="spellStart"/>
      <w:r w:rsidRPr="00FA3F9C">
        <w:rPr>
          <w:rFonts w:ascii="Arial" w:hAnsi="Arial" w:cs="Arial"/>
          <w:b/>
          <w:sz w:val="24"/>
          <w:szCs w:val="24"/>
        </w:rPr>
        <w:t>Dngl</w:t>
      </w:r>
      <w:proofErr w:type="spellEnd"/>
      <w:r w:rsidRPr="00FA3F9C">
        <w:rPr>
          <w:rFonts w:ascii="Arial" w:hAnsi="Arial" w:cs="Arial"/>
          <w:b/>
          <w:sz w:val="24"/>
          <w:szCs w:val="24"/>
        </w:rPr>
        <w:t xml:space="preserve"> W, </w:t>
      </w:r>
      <w:proofErr w:type="spellStart"/>
      <w:r w:rsidRPr="00FA3F9C">
        <w:rPr>
          <w:rFonts w:ascii="Arial" w:hAnsi="Arial" w:cs="Arial"/>
          <w:b/>
          <w:sz w:val="24"/>
          <w:szCs w:val="24"/>
        </w:rPr>
        <w:t>Maritsch</w:t>
      </w:r>
      <w:proofErr w:type="spellEnd"/>
      <w:r w:rsidRPr="00FA3F9C">
        <w:rPr>
          <w:rFonts w:ascii="Arial" w:hAnsi="Arial" w:cs="Arial"/>
          <w:b/>
          <w:sz w:val="24"/>
          <w:szCs w:val="24"/>
        </w:rPr>
        <w:t xml:space="preserve"> F, Rosen FS, et al.  A randomized, controlled trial to study the efficacy and safety of C1 inhibitor concentrate in treating hereditary angioedema.  Transfusion. 1998;38:540-549.</w:t>
      </w:r>
    </w:p>
    <w:p w14:paraId="67B6259C" w14:textId="77777777" w:rsidR="001506C1" w:rsidRPr="00FA3F9C" w:rsidRDefault="001506C1" w:rsidP="001506C1">
      <w:pPr>
        <w:pStyle w:val="ListParagraph"/>
        <w:numPr>
          <w:ilvl w:val="0"/>
          <w:numId w:val="77"/>
        </w:numPr>
        <w:spacing w:after="0" w:line="276" w:lineRule="auto"/>
        <w:rPr>
          <w:rFonts w:ascii="Arial" w:hAnsi="Arial" w:cs="Arial"/>
          <w:b/>
          <w:sz w:val="24"/>
          <w:szCs w:val="24"/>
        </w:rPr>
      </w:pPr>
      <w:r w:rsidRPr="00FA3F9C">
        <w:rPr>
          <w:rFonts w:ascii="Arial" w:hAnsi="Arial" w:cs="Arial"/>
          <w:b/>
          <w:sz w:val="24"/>
          <w:szCs w:val="24"/>
        </w:rPr>
        <w:t>Hereditary Angioedema.  UpToDate online.  Accessed 6/6/14.</w:t>
      </w:r>
    </w:p>
    <w:p w14:paraId="51CDCD3A" w14:textId="77777777" w:rsidR="001506C1" w:rsidRPr="00FA3F9C" w:rsidRDefault="001506C1" w:rsidP="001506C1">
      <w:pPr>
        <w:pStyle w:val="ListParagraph"/>
        <w:numPr>
          <w:ilvl w:val="0"/>
          <w:numId w:val="77"/>
        </w:numPr>
        <w:spacing w:after="0" w:line="240" w:lineRule="auto"/>
        <w:rPr>
          <w:rFonts w:ascii="Arial" w:eastAsia="Times New Roman" w:hAnsi="Arial" w:cs="Arial"/>
          <w:sz w:val="24"/>
          <w:szCs w:val="24"/>
        </w:rPr>
      </w:pPr>
      <w:r w:rsidRPr="00FA3F9C">
        <w:rPr>
          <w:rFonts w:ascii="Arial" w:eastAsia="Times New Roman" w:hAnsi="Arial" w:cs="Arial"/>
          <w:color w:val="222222"/>
          <w:sz w:val="24"/>
          <w:szCs w:val="24"/>
          <w:shd w:val="clear" w:color="auto" w:fill="FFFFFF"/>
        </w:rPr>
        <w:t>Maurer, Marcus, et al. "The international WAO/EAACI guideline for the management of hereditary angioedema–the 2017 revision and update." </w:t>
      </w:r>
      <w:r w:rsidRPr="00FA3F9C">
        <w:rPr>
          <w:rFonts w:ascii="Arial" w:eastAsia="Times New Roman" w:hAnsi="Arial" w:cs="Arial"/>
          <w:i/>
          <w:iCs/>
          <w:color w:val="222222"/>
          <w:sz w:val="24"/>
          <w:szCs w:val="24"/>
          <w:shd w:val="clear" w:color="auto" w:fill="FFFFFF"/>
        </w:rPr>
        <w:t>Allergy</w:t>
      </w:r>
      <w:r w:rsidRPr="00FA3F9C">
        <w:rPr>
          <w:rFonts w:ascii="Arial" w:eastAsia="Times New Roman" w:hAnsi="Arial" w:cs="Arial"/>
          <w:color w:val="222222"/>
          <w:sz w:val="24"/>
          <w:szCs w:val="24"/>
          <w:shd w:val="clear" w:color="auto" w:fill="FFFFFF"/>
        </w:rPr>
        <w:t> (2018).</w:t>
      </w:r>
    </w:p>
    <w:p w14:paraId="5F471810" w14:textId="77777777" w:rsidR="001506C1" w:rsidRPr="00FA3F9C" w:rsidRDefault="001506C1" w:rsidP="00F12F97">
      <w:pPr>
        <w:spacing w:after="0"/>
        <w:ind w:left="360"/>
        <w:rPr>
          <w:rFonts w:ascii="Arial" w:hAnsi="Arial" w:cs="Arial"/>
          <w:b/>
          <w:sz w:val="24"/>
          <w:szCs w:val="24"/>
        </w:rPr>
      </w:pPr>
    </w:p>
    <w:p w14:paraId="45731087" w14:textId="77777777" w:rsidR="001506C1" w:rsidRPr="00FA3F9C" w:rsidRDefault="001506C1" w:rsidP="00DD149E">
      <w:pPr>
        <w:spacing w:after="0"/>
        <w:rPr>
          <w:rFonts w:ascii="Arial" w:hAnsi="Arial" w:cs="Arial"/>
          <w:b/>
          <w:sz w:val="24"/>
          <w:szCs w:val="24"/>
        </w:rPr>
      </w:pPr>
    </w:p>
    <w:p w14:paraId="6A4DE867" w14:textId="77777777" w:rsidR="001506C1" w:rsidRPr="00FA3F9C" w:rsidRDefault="001506C1" w:rsidP="00D847FE">
      <w:pPr>
        <w:spacing w:after="0"/>
        <w:rPr>
          <w:rFonts w:ascii="Arial" w:hAnsi="Arial" w:cs="Arial"/>
          <w:b/>
          <w:sz w:val="24"/>
          <w:szCs w:val="24"/>
        </w:rPr>
      </w:pPr>
      <w:r w:rsidRPr="00FA3F9C">
        <w:rPr>
          <w:rFonts w:ascii="Arial" w:hAnsi="Arial" w:cs="Arial"/>
          <w:b/>
          <w:sz w:val="24"/>
          <w:szCs w:val="24"/>
        </w:rPr>
        <w:t>Criteria History:</w:t>
      </w:r>
    </w:p>
    <w:tbl>
      <w:tblPr>
        <w:tblStyle w:val="TableGrid"/>
        <w:tblW w:w="0" w:type="auto"/>
        <w:tblLook w:val="04A0" w:firstRow="1" w:lastRow="0" w:firstColumn="1" w:lastColumn="0" w:noHBand="0" w:noVBand="1"/>
      </w:tblPr>
      <w:tblGrid>
        <w:gridCol w:w="1017"/>
        <w:gridCol w:w="9314"/>
        <w:gridCol w:w="1711"/>
      </w:tblGrid>
      <w:tr w:rsidR="001506C1" w:rsidRPr="00FA3F9C" w14:paraId="35CAA38D" w14:textId="77777777" w:rsidTr="009D34BC">
        <w:tc>
          <w:tcPr>
            <w:tcW w:w="851" w:type="dxa"/>
          </w:tcPr>
          <w:p w14:paraId="49D99DB2" w14:textId="77777777" w:rsidR="001506C1" w:rsidRPr="00FA3F9C" w:rsidRDefault="001506C1" w:rsidP="00526846">
            <w:pPr>
              <w:rPr>
                <w:rFonts w:ascii="Arial" w:hAnsi="Arial" w:cs="Arial"/>
                <w:b/>
                <w:sz w:val="24"/>
                <w:szCs w:val="24"/>
              </w:rPr>
            </w:pPr>
            <w:r w:rsidRPr="00FA3F9C">
              <w:rPr>
                <w:rFonts w:ascii="Arial" w:hAnsi="Arial" w:cs="Arial"/>
                <w:b/>
                <w:sz w:val="24"/>
                <w:szCs w:val="24"/>
              </w:rPr>
              <w:t>Date</w:t>
            </w:r>
          </w:p>
        </w:tc>
        <w:tc>
          <w:tcPr>
            <w:tcW w:w="9314" w:type="dxa"/>
          </w:tcPr>
          <w:p w14:paraId="3C838D2E" w14:textId="77777777" w:rsidR="001506C1" w:rsidRPr="00FA3F9C" w:rsidRDefault="001506C1" w:rsidP="00526846">
            <w:pPr>
              <w:rPr>
                <w:rFonts w:ascii="Arial" w:hAnsi="Arial" w:cs="Arial"/>
                <w:b/>
                <w:sz w:val="24"/>
                <w:szCs w:val="24"/>
              </w:rPr>
            </w:pPr>
            <w:r w:rsidRPr="00FA3F9C">
              <w:rPr>
                <w:rFonts w:ascii="Arial" w:hAnsi="Arial" w:cs="Arial"/>
                <w:b/>
                <w:sz w:val="24"/>
                <w:szCs w:val="24"/>
              </w:rPr>
              <w:t>What was changed</w:t>
            </w:r>
          </w:p>
        </w:tc>
        <w:tc>
          <w:tcPr>
            <w:tcW w:w="625" w:type="dxa"/>
          </w:tcPr>
          <w:p w14:paraId="1DCBFD8C" w14:textId="77777777" w:rsidR="001506C1" w:rsidRPr="00FA3F9C" w:rsidRDefault="001506C1" w:rsidP="00526846">
            <w:pPr>
              <w:rPr>
                <w:rFonts w:ascii="Arial" w:hAnsi="Arial" w:cs="Arial"/>
                <w:b/>
                <w:sz w:val="24"/>
                <w:szCs w:val="24"/>
              </w:rPr>
            </w:pPr>
            <w:r w:rsidRPr="00FA3F9C">
              <w:rPr>
                <w:rFonts w:ascii="Arial" w:hAnsi="Arial" w:cs="Arial"/>
                <w:b/>
                <w:sz w:val="24"/>
                <w:szCs w:val="24"/>
              </w:rPr>
              <w:t>Pharmacist’s initials</w:t>
            </w:r>
          </w:p>
        </w:tc>
      </w:tr>
      <w:tr w:rsidR="001506C1" w:rsidRPr="00FA3F9C" w14:paraId="3CA0B13E" w14:textId="77777777" w:rsidTr="009D34BC">
        <w:tc>
          <w:tcPr>
            <w:tcW w:w="851" w:type="dxa"/>
          </w:tcPr>
          <w:p w14:paraId="39F11AD6" w14:textId="77777777" w:rsidR="001506C1" w:rsidRPr="00FA3F9C" w:rsidRDefault="001506C1" w:rsidP="00526846">
            <w:pPr>
              <w:rPr>
                <w:rFonts w:ascii="Arial" w:hAnsi="Arial" w:cs="Arial"/>
                <w:b/>
                <w:sz w:val="24"/>
                <w:szCs w:val="24"/>
              </w:rPr>
            </w:pPr>
            <w:r w:rsidRPr="00FA3F9C">
              <w:rPr>
                <w:rFonts w:ascii="Arial" w:hAnsi="Arial" w:cs="Arial"/>
                <w:b/>
                <w:sz w:val="24"/>
                <w:szCs w:val="24"/>
              </w:rPr>
              <w:t>6/6/14</w:t>
            </w:r>
          </w:p>
        </w:tc>
        <w:tc>
          <w:tcPr>
            <w:tcW w:w="9314" w:type="dxa"/>
          </w:tcPr>
          <w:p w14:paraId="719F4993" w14:textId="77777777" w:rsidR="001506C1" w:rsidRPr="00FA3F9C" w:rsidRDefault="001506C1" w:rsidP="00526846">
            <w:pPr>
              <w:rPr>
                <w:rFonts w:ascii="Arial" w:hAnsi="Arial" w:cs="Arial"/>
                <w:b/>
                <w:sz w:val="24"/>
                <w:szCs w:val="24"/>
              </w:rPr>
            </w:pPr>
            <w:r w:rsidRPr="00FA3F9C">
              <w:rPr>
                <w:rFonts w:ascii="Arial" w:hAnsi="Arial" w:cs="Arial"/>
                <w:b/>
                <w:sz w:val="24"/>
                <w:szCs w:val="24"/>
              </w:rPr>
              <w:t>PA was already written by someone besides me.  I reformatted and added examples of androgens.  I also changed on question 5, that androgen failure meant still having symptoms as in question 3 while taking the androgen.  I also added references.</w:t>
            </w:r>
          </w:p>
          <w:p w14:paraId="06D67156" w14:textId="77777777" w:rsidR="001506C1" w:rsidRPr="00FA3F9C" w:rsidRDefault="001506C1" w:rsidP="00381EF4">
            <w:pPr>
              <w:rPr>
                <w:rFonts w:ascii="Arial" w:hAnsi="Arial" w:cs="Arial"/>
                <w:b/>
                <w:sz w:val="24"/>
                <w:szCs w:val="24"/>
              </w:rPr>
            </w:pPr>
            <w:r w:rsidRPr="00FA3F9C">
              <w:rPr>
                <w:rFonts w:ascii="Arial" w:hAnsi="Arial" w:cs="Arial"/>
                <w:b/>
                <w:sz w:val="24"/>
                <w:szCs w:val="24"/>
              </w:rPr>
              <w:t xml:space="preserve">I also included the documentation that should be included for the diagnosis.  The Drug Delivery Committee minimized the US HAE Association Medical Advisory Board 2013 recommendations to not require androgen failure because of the disclosed financial conflicts with the committee members and their relationship to </w:t>
            </w:r>
            <w:proofErr w:type="spellStart"/>
            <w:r w:rsidRPr="00FA3F9C">
              <w:rPr>
                <w:rFonts w:ascii="Arial" w:hAnsi="Arial" w:cs="Arial"/>
                <w:b/>
                <w:sz w:val="24"/>
                <w:szCs w:val="24"/>
              </w:rPr>
              <w:t>Viro</w:t>
            </w:r>
            <w:proofErr w:type="spellEnd"/>
            <w:r w:rsidRPr="00FA3F9C">
              <w:rPr>
                <w:rFonts w:ascii="Arial" w:hAnsi="Arial" w:cs="Arial"/>
                <w:b/>
                <w:sz w:val="24"/>
                <w:szCs w:val="24"/>
              </w:rPr>
              <w:t xml:space="preserve">-Pharma (maker of </w:t>
            </w:r>
            <w:proofErr w:type="spellStart"/>
            <w:r w:rsidRPr="00FA3F9C">
              <w:rPr>
                <w:rFonts w:ascii="Arial" w:hAnsi="Arial" w:cs="Arial"/>
                <w:b/>
                <w:sz w:val="24"/>
                <w:szCs w:val="24"/>
              </w:rPr>
              <w:t>Cinryze</w:t>
            </w:r>
            <w:proofErr w:type="spellEnd"/>
            <w:r w:rsidRPr="00FA3F9C">
              <w:rPr>
                <w:rFonts w:ascii="Arial" w:hAnsi="Arial" w:cs="Arial"/>
                <w:b/>
                <w:sz w:val="24"/>
                <w:szCs w:val="24"/>
              </w:rPr>
              <w:t xml:space="preserve">).  Together with unconflicted authors who wrote a different article which state androgens are effective prophylaxis for HAE, it was the decision of our committee to require androgen failure prior to access to </w:t>
            </w:r>
            <w:proofErr w:type="spellStart"/>
            <w:r w:rsidRPr="00FA3F9C">
              <w:rPr>
                <w:rFonts w:ascii="Arial" w:hAnsi="Arial" w:cs="Arial"/>
                <w:b/>
                <w:sz w:val="24"/>
                <w:szCs w:val="24"/>
              </w:rPr>
              <w:t>Cinryze</w:t>
            </w:r>
            <w:proofErr w:type="spellEnd"/>
            <w:r w:rsidRPr="00FA3F9C">
              <w:rPr>
                <w:rFonts w:ascii="Arial" w:hAnsi="Arial" w:cs="Arial"/>
                <w:b/>
                <w:sz w:val="24"/>
                <w:szCs w:val="24"/>
              </w:rPr>
              <w:t xml:space="preserve"> for HAE prophylaxis.</w:t>
            </w:r>
          </w:p>
        </w:tc>
        <w:tc>
          <w:tcPr>
            <w:tcW w:w="625" w:type="dxa"/>
          </w:tcPr>
          <w:p w14:paraId="6BC69721" w14:textId="77777777" w:rsidR="001506C1" w:rsidRPr="00FA3F9C" w:rsidRDefault="001506C1" w:rsidP="00526846">
            <w:pPr>
              <w:rPr>
                <w:rFonts w:ascii="Arial" w:hAnsi="Arial" w:cs="Arial"/>
                <w:b/>
                <w:sz w:val="24"/>
                <w:szCs w:val="24"/>
              </w:rPr>
            </w:pPr>
            <w:r w:rsidRPr="00FA3F9C">
              <w:rPr>
                <w:rFonts w:ascii="Arial" w:hAnsi="Arial" w:cs="Arial"/>
                <w:b/>
                <w:sz w:val="24"/>
                <w:szCs w:val="24"/>
              </w:rPr>
              <w:t>JJ</w:t>
            </w:r>
          </w:p>
        </w:tc>
      </w:tr>
      <w:tr w:rsidR="001506C1" w:rsidRPr="00FA3F9C" w14:paraId="070F1E38" w14:textId="77777777" w:rsidTr="009D34BC">
        <w:tc>
          <w:tcPr>
            <w:tcW w:w="851" w:type="dxa"/>
          </w:tcPr>
          <w:p w14:paraId="7BBC72DC" w14:textId="77777777" w:rsidR="001506C1" w:rsidRPr="00FA3F9C" w:rsidRDefault="001506C1" w:rsidP="00526846">
            <w:pPr>
              <w:rPr>
                <w:rFonts w:ascii="Arial" w:hAnsi="Arial" w:cs="Arial"/>
                <w:b/>
                <w:sz w:val="24"/>
                <w:szCs w:val="24"/>
              </w:rPr>
            </w:pPr>
            <w:r w:rsidRPr="00FA3F9C">
              <w:rPr>
                <w:rFonts w:ascii="Arial" w:hAnsi="Arial" w:cs="Arial"/>
                <w:b/>
                <w:sz w:val="24"/>
                <w:szCs w:val="24"/>
              </w:rPr>
              <w:lastRenderedPageBreak/>
              <w:t>2/6/18</w:t>
            </w:r>
          </w:p>
        </w:tc>
        <w:tc>
          <w:tcPr>
            <w:tcW w:w="9314" w:type="dxa"/>
          </w:tcPr>
          <w:p w14:paraId="078F4BE0" w14:textId="77777777" w:rsidR="001506C1" w:rsidRPr="00FA3F9C" w:rsidRDefault="001506C1" w:rsidP="00526846">
            <w:pPr>
              <w:rPr>
                <w:rFonts w:ascii="Arial" w:hAnsi="Arial" w:cs="Arial"/>
                <w:b/>
                <w:sz w:val="24"/>
                <w:szCs w:val="24"/>
              </w:rPr>
            </w:pPr>
            <w:r w:rsidRPr="00FA3F9C">
              <w:rPr>
                <w:rFonts w:ascii="Arial" w:hAnsi="Arial" w:cs="Arial"/>
                <w:b/>
                <w:sz w:val="24"/>
                <w:szCs w:val="24"/>
              </w:rPr>
              <w:t xml:space="preserve">I added </w:t>
            </w:r>
            <w:proofErr w:type="spellStart"/>
            <w:r w:rsidRPr="00FA3F9C">
              <w:rPr>
                <w:rFonts w:ascii="Arial" w:hAnsi="Arial" w:cs="Arial"/>
                <w:b/>
                <w:sz w:val="24"/>
                <w:szCs w:val="24"/>
              </w:rPr>
              <w:t>Haegarda’s</w:t>
            </w:r>
            <w:proofErr w:type="spellEnd"/>
            <w:r w:rsidRPr="00FA3F9C">
              <w:rPr>
                <w:rFonts w:ascii="Arial" w:hAnsi="Arial" w:cs="Arial"/>
                <w:b/>
                <w:sz w:val="24"/>
                <w:szCs w:val="24"/>
              </w:rPr>
              <w:t xml:space="preserve"> dosing for prophylaxis of attacks.  The DUEC met 2/5/18 and approved covering </w:t>
            </w:r>
            <w:proofErr w:type="spellStart"/>
            <w:r w:rsidRPr="00FA3F9C">
              <w:rPr>
                <w:rFonts w:ascii="Arial" w:hAnsi="Arial" w:cs="Arial"/>
                <w:b/>
                <w:sz w:val="24"/>
                <w:szCs w:val="24"/>
              </w:rPr>
              <w:t>Haegarda</w:t>
            </w:r>
            <w:proofErr w:type="spellEnd"/>
            <w:r w:rsidRPr="00FA3F9C">
              <w:rPr>
                <w:rFonts w:ascii="Arial" w:hAnsi="Arial" w:cs="Arial"/>
                <w:b/>
                <w:sz w:val="24"/>
                <w:szCs w:val="24"/>
              </w:rPr>
              <w:t xml:space="preserve"> and excluding </w:t>
            </w:r>
            <w:proofErr w:type="spellStart"/>
            <w:r w:rsidRPr="00FA3F9C">
              <w:rPr>
                <w:rFonts w:ascii="Arial" w:hAnsi="Arial" w:cs="Arial"/>
                <w:b/>
                <w:sz w:val="24"/>
                <w:szCs w:val="24"/>
              </w:rPr>
              <w:t>Cinryze</w:t>
            </w:r>
            <w:proofErr w:type="spellEnd"/>
            <w:r w:rsidRPr="00FA3F9C">
              <w:rPr>
                <w:rFonts w:ascii="Arial" w:hAnsi="Arial" w:cs="Arial"/>
                <w:b/>
                <w:sz w:val="24"/>
                <w:szCs w:val="24"/>
              </w:rPr>
              <w:t xml:space="preserve"> due to cost.  </w:t>
            </w:r>
            <w:proofErr w:type="spellStart"/>
            <w:r w:rsidRPr="00FA3F9C">
              <w:rPr>
                <w:rFonts w:ascii="Arial" w:hAnsi="Arial" w:cs="Arial"/>
                <w:b/>
                <w:sz w:val="24"/>
                <w:szCs w:val="24"/>
              </w:rPr>
              <w:t>Berinert</w:t>
            </w:r>
            <w:proofErr w:type="spellEnd"/>
            <w:r w:rsidRPr="00FA3F9C">
              <w:rPr>
                <w:rFonts w:ascii="Arial" w:hAnsi="Arial" w:cs="Arial"/>
                <w:b/>
                <w:sz w:val="24"/>
                <w:szCs w:val="24"/>
              </w:rPr>
              <w:t xml:space="preserve"> would still be covered on the medical side for treatment of acute attacks.</w:t>
            </w:r>
          </w:p>
        </w:tc>
        <w:tc>
          <w:tcPr>
            <w:tcW w:w="625" w:type="dxa"/>
          </w:tcPr>
          <w:p w14:paraId="1F5E7DDC" w14:textId="77777777" w:rsidR="001506C1" w:rsidRPr="00FA3F9C" w:rsidRDefault="001506C1" w:rsidP="00526846">
            <w:pPr>
              <w:rPr>
                <w:rFonts w:ascii="Arial" w:hAnsi="Arial" w:cs="Arial"/>
                <w:b/>
                <w:sz w:val="24"/>
                <w:szCs w:val="24"/>
              </w:rPr>
            </w:pPr>
            <w:r w:rsidRPr="00FA3F9C">
              <w:rPr>
                <w:rFonts w:ascii="Arial" w:hAnsi="Arial" w:cs="Arial"/>
                <w:b/>
                <w:sz w:val="24"/>
                <w:szCs w:val="24"/>
              </w:rPr>
              <w:t>JJ</w:t>
            </w:r>
          </w:p>
        </w:tc>
      </w:tr>
      <w:tr w:rsidR="001506C1" w:rsidRPr="00FA3F9C" w14:paraId="28E73550" w14:textId="77777777" w:rsidTr="009D34BC">
        <w:tc>
          <w:tcPr>
            <w:tcW w:w="851" w:type="dxa"/>
          </w:tcPr>
          <w:p w14:paraId="6A06EDC8" w14:textId="77777777" w:rsidR="001506C1" w:rsidRPr="00FA3F9C" w:rsidRDefault="001506C1" w:rsidP="00526846">
            <w:pPr>
              <w:rPr>
                <w:rFonts w:ascii="Arial" w:hAnsi="Arial" w:cs="Arial"/>
                <w:b/>
                <w:sz w:val="24"/>
                <w:szCs w:val="24"/>
              </w:rPr>
            </w:pPr>
            <w:r w:rsidRPr="00FA3F9C">
              <w:rPr>
                <w:rFonts w:ascii="Arial" w:hAnsi="Arial" w:cs="Arial"/>
                <w:b/>
                <w:sz w:val="24"/>
                <w:szCs w:val="24"/>
              </w:rPr>
              <w:t>3/12/18</w:t>
            </w:r>
          </w:p>
        </w:tc>
        <w:tc>
          <w:tcPr>
            <w:tcW w:w="9314" w:type="dxa"/>
          </w:tcPr>
          <w:p w14:paraId="26DD0EA3" w14:textId="77777777" w:rsidR="001506C1" w:rsidRPr="00FA3F9C" w:rsidRDefault="001506C1" w:rsidP="00526846">
            <w:pPr>
              <w:rPr>
                <w:rFonts w:ascii="Arial" w:hAnsi="Arial" w:cs="Arial"/>
                <w:b/>
                <w:sz w:val="24"/>
                <w:szCs w:val="24"/>
              </w:rPr>
            </w:pPr>
            <w:r w:rsidRPr="00FA3F9C">
              <w:rPr>
                <w:rFonts w:ascii="Arial" w:hAnsi="Arial" w:cs="Arial"/>
                <w:b/>
                <w:sz w:val="24"/>
                <w:szCs w:val="24"/>
              </w:rPr>
              <w:t xml:space="preserve">We updated the criteria, inserting “adverse effect” </w:t>
            </w:r>
            <w:proofErr w:type="gramStart"/>
            <w:r w:rsidRPr="00FA3F9C">
              <w:rPr>
                <w:rFonts w:ascii="Arial" w:hAnsi="Arial" w:cs="Arial"/>
                <w:b/>
                <w:sz w:val="24"/>
                <w:szCs w:val="24"/>
              </w:rPr>
              <w:t>as a way to</w:t>
            </w:r>
            <w:proofErr w:type="gramEnd"/>
            <w:r w:rsidRPr="00FA3F9C">
              <w:rPr>
                <w:rFonts w:ascii="Arial" w:hAnsi="Arial" w:cs="Arial"/>
                <w:b/>
                <w:sz w:val="24"/>
                <w:szCs w:val="24"/>
              </w:rPr>
              <w:t xml:space="preserve"> avoid taking androgens, adding the 2017 HAE (expert opinion) guidelines (ref 7), and better defining the diagnosis by requiring C4 antigen level below normal.</w:t>
            </w:r>
          </w:p>
        </w:tc>
        <w:tc>
          <w:tcPr>
            <w:tcW w:w="625" w:type="dxa"/>
          </w:tcPr>
          <w:p w14:paraId="09875C29" w14:textId="77777777" w:rsidR="001506C1" w:rsidRPr="00FA3F9C" w:rsidRDefault="001506C1" w:rsidP="00526846">
            <w:pPr>
              <w:rPr>
                <w:rFonts w:ascii="Arial" w:hAnsi="Arial" w:cs="Arial"/>
                <w:b/>
                <w:sz w:val="24"/>
                <w:szCs w:val="24"/>
              </w:rPr>
            </w:pPr>
            <w:r w:rsidRPr="00FA3F9C">
              <w:rPr>
                <w:rFonts w:ascii="Arial" w:hAnsi="Arial" w:cs="Arial"/>
                <w:b/>
                <w:sz w:val="24"/>
                <w:szCs w:val="24"/>
              </w:rPr>
              <w:t>JJ/JK</w:t>
            </w:r>
          </w:p>
        </w:tc>
      </w:tr>
      <w:tr w:rsidR="001506C1" w:rsidRPr="00FA3F9C" w14:paraId="00BC402B" w14:textId="77777777" w:rsidTr="009D34BC">
        <w:tc>
          <w:tcPr>
            <w:tcW w:w="851" w:type="dxa"/>
          </w:tcPr>
          <w:p w14:paraId="48F4FC2E" w14:textId="77777777" w:rsidR="001506C1" w:rsidRPr="00FA3F9C" w:rsidRDefault="001506C1" w:rsidP="00526846">
            <w:pPr>
              <w:rPr>
                <w:rFonts w:ascii="Arial" w:hAnsi="Arial" w:cs="Arial"/>
                <w:b/>
                <w:sz w:val="24"/>
                <w:szCs w:val="24"/>
              </w:rPr>
            </w:pPr>
            <w:r w:rsidRPr="00FA3F9C">
              <w:rPr>
                <w:rFonts w:ascii="Arial" w:hAnsi="Arial" w:cs="Arial"/>
                <w:b/>
                <w:sz w:val="24"/>
                <w:szCs w:val="24"/>
              </w:rPr>
              <w:t>3/16/21</w:t>
            </w:r>
          </w:p>
        </w:tc>
        <w:tc>
          <w:tcPr>
            <w:tcW w:w="9314" w:type="dxa"/>
          </w:tcPr>
          <w:p w14:paraId="797B3A70" w14:textId="77777777" w:rsidR="001506C1" w:rsidRPr="00FA3F9C" w:rsidRDefault="001506C1" w:rsidP="00526846">
            <w:pPr>
              <w:rPr>
                <w:rFonts w:ascii="Arial" w:hAnsi="Arial" w:cs="Arial"/>
                <w:b/>
                <w:sz w:val="24"/>
                <w:szCs w:val="24"/>
              </w:rPr>
            </w:pPr>
            <w:r w:rsidRPr="00FA3F9C">
              <w:rPr>
                <w:rFonts w:ascii="Arial" w:hAnsi="Arial" w:cs="Arial"/>
                <w:b/>
                <w:sz w:val="24"/>
                <w:szCs w:val="24"/>
              </w:rPr>
              <w:t>I reformatted the criteria.  Otherwise, no changes.</w:t>
            </w:r>
          </w:p>
        </w:tc>
        <w:tc>
          <w:tcPr>
            <w:tcW w:w="625" w:type="dxa"/>
          </w:tcPr>
          <w:p w14:paraId="077DD0B4" w14:textId="77777777" w:rsidR="001506C1" w:rsidRPr="00FA3F9C" w:rsidRDefault="001506C1" w:rsidP="00526846">
            <w:pPr>
              <w:rPr>
                <w:rFonts w:ascii="Arial" w:hAnsi="Arial" w:cs="Arial"/>
                <w:b/>
                <w:sz w:val="24"/>
                <w:szCs w:val="24"/>
              </w:rPr>
            </w:pPr>
            <w:r w:rsidRPr="00FA3F9C">
              <w:rPr>
                <w:rFonts w:ascii="Arial" w:hAnsi="Arial" w:cs="Arial"/>
                <w:b/>
                <w:sz w:val="24"/>
                <w:szCs w:val="24"/>
              </w:rPr>
              <w:t>JJ</w:t>
            </w:r>
          </w:p>
        </w:tc>
      </w:tr>
    </w:tbl>
    <w:p w14:paraId="50F65CA1" w14:textId="77777777" w:rsidR="001506C1" w:rsidRPr="00FA3F9C" w:rsidRDefault="001506C1" w:rsidP="00DD149E">
      <w:pPr>
        <w:spacing w:after="0"/>
        <w:rPr>
          <w:rFonts w:ascii="Arial" w:hAnsi="Arial" w:cs="Arial"/>
          <w:b/>
          <w:sz w:val="24"/>
          <w:szCs w:val="24"/>
        </w:rPr>
      </w:pPr>
    </w:p>
    <w:p w14:paraId="4185A038" w14:textId="77777777" w:rsidR="001506C1" w:rsidRPr="00FA3F9C" w:rsidRDefault="001506C1" w:rsidP="00FC1E85">
      <w:pPr>
        <w:pStyle w:val="Heading2"/>
      </w:pPr>
      <w:bookmarkStart w:id="45" w:name="_Toc106369746"/>
      <w:proofErr w:type="spellStart"/>
      <w:r w:rsidRPr="00FA3F9C">
        <w:t>Cabozantinib</w:t>
      </w:r>
      <w:proofErr w:type="spellEnd"/>
      <w:r w:rsidRPr="00FA3F9C">
        <w:t xml:space="preserve"> (</w:t>
      </w:r>
      <w:proofErr w:type="spellStart"/>
      <w:r w:rsidRPr="00FA3F9C">
        <w:t>Cometriq</w:t>
      </w:r>
      <w:proofErr w:type="spellEnd"/>
      <w:r w:rsidRPr="00FA3F9C">
        <w:t xml:space="preserve"> and </w:t>
      </w:r>
      <w:proofErr w:type="spellStart"/>
      <w:r w:rsidRPr="00FA3F9C">
        <w:t>Cabometyx</w:t>
      </w:r>
      <w:proofErr w:type="spellEnd"/>
      <w:r w:rsidRPr="00FA3F9C">
        <w:t>)</w:t>
      </w:r>
      <w:bookmarkEnd w:id="45"/>
    </w:p>
    <w:p w14:paraId="3E605591" w14:textId="77777777" w:rsidR="001506C1" w:rsidRPr="00FA3F9C" w:rsidRDefault="001506C1" w:rsidP="006F623F">
      <w:pPr>
        <w:spacing w:after="0"/>
        <w:jc w:val="center"/>
        <w:rPr>
          <w:rFonts w:ascii="Arial" w:hAnsi="Arial" w:cs="Arial"/>
          <w:sz w:val="24"/>
          <w:szCs w:val="24"/>
        </w:rPr>
      </w:pPr>
      <w:r w:rsidRPr="00FA3F9C">
        <w:rPr>
          <w:rFonts w:ascii="Arial" w:hAnsi="Arial" w:cs="Arial"/>
          <w:sz w:val="24"/>
          <w:szCs w:val="24"/>
        </w:rPr>
        <w:t>EBRx PA Criteria</w:t>
      </w:r>
    </w:p>
    <w:p w14:paraId="10BF719F" w14:textId="77777777" w:rsidR="001506C1" w:rsidRPr="00FA3F9C" w:rsidRDefault="001506C1" w:rsidP="006F623F">
      <w:pPr>
        <w:spacing w:after="0"/>
        <w:rPr>
          <w:rFonts w:ascii="Arial" w:hAnsi="Arial" w:cs="Arial"/>
          <w:b/>
          <w:sz w:val="24"/>
          <w:szCs w:val="24"/>
          <w:u w:val="single"/>
        </w:rPr>
      </w:pPr>
    </w:p>
    <w:p w14:paraId="1B76A15A" w14:textId="77777777" w:rsidR="001506C1" w:rsidRPr="00FA3F9C" w:rsidRDefault="001506C1" w:rsidP="00595294">
      <w:pPr>
        <w:pStyle w:val="NoSpacing"/>
        <w:rPr>
          <w:rFonts w:ascii="Arial" w:hAnsi="Arial" w:cs="Arial"/>
          <w:sz w:val="24"/>
          <w:szCs w:val="24"/>
        </w:rPr>
      </w:pPr>
      <w:r w:rsidRPr="00FA3F9C">
        <w:rPr>
          <w:rFonts w:ascii="Arial" w:hAnsi="Arial" w:cs="Arial"/>
          <w:b/>
          <w:sz w:val="24"/>
          <w:szCs w:val="24"/>
          <w:u w:val="single"/>
        </w:rPr>
        <w:t>FDA-approvals:</w:t>
      </w:r>
      <w:r w:rsidRPr="00FA3F9C">
        <w:rPr>
          <w:rFonts w:ascii="Arial" w:hAnsi="Arial" w:cs="Arial"/>
          <w:sz w:val="24"/>
          <w:szCs w:val="24"/>
        </w:rPr>
        <w:t xml:space="preserve">  </w:t>
      </w:r>
    </w:p>
    <w:p w14:paraId="3118C334" w14:textId="77777777" w:rsidR="001506C1" w:rsidRPr="00FA3F9C" w:rsidRDefault="001506C1" w:rsidP="00595294">
      <w:pPr>
        <w:pStyle w:val="NoSpacing"/>
        <w:rPr>
          <w:rFonts w:ascii="Arial" w:hAnsi="Arial" w:cs="Arial"/>
          <w:sz w:val="24"/>
          <w:szCs w:val="24"/>
        </w:rPr>
      </w:pPr>
    </w:p>
    <w:p w14:paraId="1E055CA3" w14:textId="77777777" w:rsidR="001506C1" w:rsidRPr="00FA3F9C" w:rsidRDefault="001506C1" w:rsidP="00595294">
      <w:pPr>
        <w:pStyle w:val="NoSpacing"/>
        <w:rPr>
          <w:rFonts w:ascii="Arial" w:hAnsi="Arial" w:cs="Arial"/>
          <w:b/>
          <w:sz w:val="24"/>
          <w:szCs w:val="24"/>
          <w:u w:val="single"/>
        </w:rPr>
      </w:pPr>
      <w:proofErr w:type="spellStart"/>
      <w:r w:rsidRPr="00FA3F9C">
        <w:rPr>
          <w:rFonts w:ascii="Arial" w:hAnsi="Arial" w:cs="Arial"/>
          <w:b/>
          <w:sz w:val="24"/>
          <w:szCs w:val="24"/>
          <w:highlight w:val="yellow"/>
          <w:u w:val="single"/>
        </w:rPr>
        <w:t>Cabometyx</w:t>
      </w:r>
      <w:proofErr w:type="spellEnd"/>
      <w:r w:rsidRPr="00FA3F9C">
        <w:rPr>
          <w:rFonts w:ascii="Arial" w:hAnsi="Arial" w:cs="Arial"/>
          <w:b/>
          <w:sz w:val="24"/>
          <w:szCs w:val="24"/>
          <w:u w:val="single"/>
        </w:rPr>
        <w:t xml:space="preserve"> 20mg, 40mg, and 60mg oral tablets</w:t>
      </w:r>
    </w:p>
    <w:p w14:paraId="4EBF9C46" w14:textId="77777777" w:rsidR="001506C1" w:rsidRPr="00FA3F9C" w:rsidRDefault="001506C1" w:rsidP="001506C1">
      <w:pPr>
        <w:numPr>
          <w:ilvl w:val="0"/>
          <w:numId w:val="79"/>
        </w:numPr>
        <w:spacing w:after="0" w:line="269" w:lineRule="atLeast"/>
        <w:ind w:left="540" w:hanging="270"/>
        <w:rPr>
          <w:rFonts w:ascii="Arial" w:eastAsia="Times New Roman" w:hAnsi="Arial" w:cs="Arial"/>
          <w:sz w:val="24"/>
          <w:szCs w:val="24"/>
        </w:rPr>
      </w:pPr>
      <w:r w:rsidRPr="00FA3F9C">
        <w:rPr>
          <w:rFonts w:ascii="Arial" w:eastAsia="Times New Roman" w:hAnsi="Arial" w:cs="Arial"/>
          <w:sz w:val="24"/>
          <w:szCs w:val="24"/>
        </w:rPr>
        <w:t xml:space="preserve">Monotherapy for advanced renal cell carcinoma (RCC). </w:t>
      </w:r>
      <w:r w:rsidRPr="00FA3F9C">
        <w:rPr>
          <w:rFonts w:ascii="Arial" w:eastAsia="Times New Roman" w:hAnsi="Arial" w:cs="Arial"/>
          <w:sz w:val="24"/>
          <w:szCs w:val="24"/>
          <w:highlight w:val="cyan"/>
        </w:rPr>
        <w:t>EBRx covers second line use only (see criteria)</w:t>
      </w:r>
    </w:p>
    <w:p w14:paraId="27DB1913" w14:textId="77777777" w:rsidR="001506C1" w:rsidRPr="00FA3F9C" w:rsidRDefault="001506C1" w:rsidP="001506C1">
      <w:pPr>
        <w:numPr>
          <w:ilvl w:val="1"/>
          <w:numId w:val="79"/>
        </w:numPr>
        <w:tabs>
          <w:tab w:val="clear" w:pos="1440"/>
          <w:tab w:val="num" w:pos="630"/>
        </w:tabs>
        <w:spacing w:after="0" w:line="240" w:lineRule="auto"/>
        <w:ind w:left="720" w:hanging="187"/>
        <w:rPr>
          <w:rFonts w:ascii="Arial" w:eastAsia="Times New Roman" w:hAnsi="Arial" w:cs="Arial"/>
          <w:sz w:val="24"/>
          <w:szCs w:val="24"/>
        </w:rPr>
      </w:pPr>
      <w:r w:rsidRPr="00FA3F9C">
        <w:rPr>
          <w:rFonts w:ascii="Arial" w:eastAsia="Times New Roman" w:hAnsi="Arial" w:cs="Arial"/>
          <w:sz w:val="24"/>
          <w:szCs w:val="24"/>
        </w:rPr>
        <w:t xml:space="preserve">EBRx does not recommend coverage for first line use of </w:t>
      </w:r>
      <w:proofErr w:type="spellStart"/>
      <w:r w:rsidRPr="00FA3F9C">
        <w:rPr>
          <w:rFonts w:ascii="Arial" w:eastAsia="Times New Roman" w:hAnsi="Arial" w:cs="Arial"/>
          <w:sz w:val="24"/>
          <w:szCs w:val="24"/>
        </w:rPr>
        <w:t>cabozantinib</w:t>
      </w:r>
      <w:proofErr w:type="spellEnd"/>
      <w:r w:rsidRPr="00FA3F9C">
        <w:rPr>
          <w:rFonts w:ascii="Arial" w:eastAsia="Times New Roman" w:hAnsi="Arial" w:cs="Arial"/>
          <w:sz w:val="24"/>
          <w:szCs w:val="24"/>
        </w:rPr>
        <w:t xml:space="preserve"> as monotherapy. </w:t>
      </w:r>
      <w:proofErr w:type="spellStart"/>
      <w:r w:rsidRPr="00FA3F9C">
        <w:rPr>
          <w:rFonts w:ascii="Arial" w:eastAsia="Times New Roman" w:hAnsi="Arial" w:cs="Arial"/>
          <w:sz w:val="24"/>
          <w:szCs w:val="24"/>
        </w:rPr>
        <w:t>Cabozantinib</w:t>
      </w:r>
      <w:proofErr w:type="spellEnd"/>
      <w:r w:rsidRPr="00FA3F9C">
        <w:rPr>
          <w:rFonts w:ascii="Arial" w:eastAsia="Times New Roman" w:hAnsi="Arial" w:cs="Arial"/>
          <w:sz w:val="24"/>
          <w:szCs w:val="24"/>
        </w:rPr>
        <w:t xml:space="preserve"> was compared to sunitinib and was found to improve progression free survival (</w:t>
      </w:r>
      <w:proofErr w:type="spellStart"/>
      <w:r w:rsidRPr="00FA3F9C">
        <w:rPr>
          <w:rFonts w:ascii="Arial" w:eastAsia="Times New Roman" w:hAnsi="Arial" w:cs="Arial"/>
          <w:sz w:val="24"/>
          <w:szCs w:val="24"/>
        </w:rPr>
        <w:t>cabo</w:t>
      </w:r>
      <w:proofErr w:type="spellEnd"/>
      <w:r w:rsidRPr="00FA3F9C">
        <w:rPr>
          <w:rFonts w:ascii="Arial" w:eastAsia="Times New Roman" w:hAnsi="Arial" w:cs="Arial"/>
          <w:sz w:val="24"/>
          <w:szCs w:val="24"/>
        </w:rPr>
        <w:t xml:space="preserve"> 8.6 </w:t>
      </w:r>
      <w:proofErr w:type="spellStart"/>
      <w:r w:rsidRPr="00FA3F9C">
        <w:rPr>
          <w:rFonts w:ascii="Arial" w:eastAsia="Times New Roman" w:hAnsi="Arial" w:cs="Arial"/>
          <w:sz w:val="24"/>
          <w:szCs w:val="24"/>
        </w:rPr>
        <w:t>mo</w:t>
      </w:r>
      <w:proofErr w:type="spellEnd"/>
      <w:r w:rsidRPr="00FA3F9C">
        <w:rPr>
          <w:rFonts w:ascii="Arial" w:eastAsia="Times New Roman" w:hAnsi="Arial" w:cs="Arial"/>
          <w:sz w:val="24"/>
          <w:szCs w:val="24"/>
        </w:rPr>
        <w:t xml:space="preserve"> vs. placebo 5.3 </w:t>
      </w:r>
      <w:proofErr w:type="spellStart"/>
      <w:r w:rsidRPr="00FA3F9C">
        <w:rPr>
          <w:rFonts w:ascii="Arial" w:eastAsia="Times New Roman" w:hAnsi="Arial" w:cs="Arial"/>
          <w:sz w:val="24"/>
          <w:szCs w:val="24"/>
        </w:rPr>
        <w:t>mo</w:t>
      </w:r>
      <w:proofErr w:type="spellEnd"/>
      <w:r w:rsidRPr="00FA3F9C">
        <w:rPr>
          <w:rFonts w:ascii="Arial" w:eastAsia="Times New Roman" w:hAnsi="Arial" w:cs="Arial"/>
          <w:sz w:val="24"/>
          <w:szCs w:val="24"/>
        </w:rPr>
        <w:t>)</w:t>
      </w:r>
      <w:r w:rsidRPr="00FA3F9C">
        <w:rPr>
          <w:rFonts w:ascii="Arial" w:eastAsia="Times New Roman" w:hAnsi="Arial" w:cs="Arial"/>
          <w:sz w:val="24"/>
          <w:szCs w:val="24"/>
          <w:vertAlign w:val="superscript"/>
        </w:rPr>
        <w:t>1</w:t>
      </w:r>
      <w:r w:rsidRPr="00FA3F9C">
        <w:rPr>
          <w:rFonts w:ascii="Arial" w:eastAsia="Times New Roman" w:hAnsi="Arial" w:cs="Arial"/>
          <w:sz w:val="24"/>
          <w:szCs w:val="24"/>
        </w:rPr>
        <w:t xml:space="preserve">, response rate (33% vs. 12%) but not overall survival at 35 month </w:t>
      </w:r>
      <w:proofErr w:type="gramStart"/>
      <w:r w:rsidRPr="00FA3F9C">
        <w:rPr>
          <w:rFonts w:ascii="Arial" w:eastAsia="Times New Roman" w:hAnsi="Arial" w:cs="Arial"/>
          <w:sz w:val="24"/>
          <w:szCs w:val="24"/>
        </w:rPr>
        <w:t>follow</w:t>
      </w:r>
      <w:proofErr w:type="gramEnd"/>
      <w:r w:rsidRPr="00FA3F9C">
        <w:rPr>
          <w:rFonts w:ascii="Arial" w:eastAsia="Times New Roman" w:hAnsi="Arial" w:cs="Arial"/>
          <w:sz w:val="24"/>
          <w:szCs w:val="24"/>
        </w:rPr>
        <w:t xml:space="preserve"> up (26.6 </w:t>
      </w:r>
      <w:proofErr w:type="spellStart"/>
      <w:r w:rsidRPr="00FA3F9C">
        <w:rPr>
          <w:rFonts w:ascii="Arial" w:eastAsia="Times New Roman" w:hAnsi="Arial" w:cs="Arial"/>
          <w:sz w:val="24"/>
          <w:szCs w:val="24"/>
        </w:rPr>
        <w:t>mo</w:t>
      </w:r>
      <w:proofErr w:type="spellEnd"/>
      <w:r w:rsidRPr="00FA3F9C">
        <w:rPr>
          <w:rFonts w:ascii="Arial" w:eastAsia="Times New Roman" w:hAnsi="Arial" w:cs="Arial"/>
          <w:sz w:val="24"/>
          <w:szCs w:val="24"/>
        </w:rPr>
        <w:t xml:space="preserve"> vs. 21.2 </w:t>
      </w:r>
      <w:proofErr w:type="spellStart"/>
      <w:r w:rsidRPr="00FA3F9C">
        <w:rPr>
          <w:rFonts w:ascii="Arial" w:eastAsia="Times New Roman" w:hAnsi="Arial" w:cs="Arial"/>
          <w:sz w:val="24"/>
          <w:szCs w:val="24"/>
        </w:rPr>
        <w:t>mo</w:t>
      </w:r>
      <w:proofErr w:type="spellEnd"/>
      <w:r w:rsidRPr="00FA3F9C">
        <w:rPr>
          <w:rFonts w:ascii="Arial" w:eastAsia="Times New Roman" w:hAnsi="Arial" w:cs="Arial"/>
          <w:sz w:val="24"/>
          <w:szCs w:val="24"/>
        </w:rPr>
        <w:t>; HR 0.8, 95% CI 0.53-1.21)</w:t>
      </w:r>
      <w:r w:rsidRPr="00FA3F9C">
        <w:rPr>
          <w:rFonts w:ascii="Arial" w:eastAsia="Times New Roman" w:hAnsi="Arial" w:cs="Arial"/>
          <w:sz w:val="24"/>
          <w:szCs w:val="24"/>
          <w:vertAlign w:val="superscript"/>
        </w:rPr>
        <w:t>2</w:t>
      </w:r>
      <w:r w:rsidRPr="00FA3F9C">
        <w:rPr>
          <w:rFonts w:ascii="Arial" w:eastAsia="Times New Roman" w:hAnsi="Arial" w:cs="Arial"/>
          <w:sz w:val="24"/>
          <w:szCs w:val="24"/>
        </w:rPr>
        <w:t xml:space="preserve">. Alternatives to </w:t>
      </w:r>
      <w:proofErr w:type="spellStart"/>
      <w:r w:rsidRPr="00FA3F9C">
        <w:rPr>
          <w:rFonts w:ascii="Arial" w:eastAsia="Times New Roman" w:hAnsi="Arial" w:cs="Arial"/>
          <w:sz w:val="24"/>
          <w:szCs w:val="24"/>
        </w:rPr>
        <w:t>cabozantinib</w:t>
      </w:r>
      <w:proofErr w:type="spellEnd"/>
      <w:r w:rsidRPr="00FA3F9C">
        <w:rPr>
          <w:rFonts w:ascii="Arial" w:eastAsia="Times New Roman" w:hAnsi="Arial" w:cs="Arial"/>
          <w:sz w:val="24"/>
          <w:szCs w:val="24"/>
        </w:rPr>
        <w:t xml:space="preserve"> for first line treatment of RCC include pazopanib, sunitinib, or </w:t>
      </w:r>
      <w:proofErr w:type="spellStart"/>
      <w:r w:rsidRPr="00FA3F9C">
        <w:rPr>
          <w:rFonts w:ascii="Arial" w:eastAsia="Times New Roman" w:hAnsi="Arial" w:cs="Arial"/>
          <w:sz w:val="24"/>
          <w:szCs w:val="24"/>
        </w:rPr>
        <w:t>nivolumab+cabozantinib</w:t>
      </w:r>
      <w:proofErr w:type="spellEnd"/>
      <w:r w:rsidRPr="00FA3F9C">
        <w:rPr>
          <w:rFonts w:ascii="Arial" w:eastAsia="Times New Roman" w:hAnsi="Arial" w:cs="Arial"/>
          <w:sz w:val="24"/>
          <w:szCs w:val="24"/>
        </w:rPr>
        <w:t xml:space="preserve"> for any risk category of RCC and </w:t>
      </w:r>
      <w:proofErr w:type="spellStart"/>
      <w:r w:rsidRPr="00FA3F9C">
        <w:rPr>
          <w:rFonts w:ascii="Arial" w:eastAsia="Times New Roman" w:hAnsi="Arial" w:cs="Arial"/>
          <w:sz w:val="24"/>
          <w:szCs w:val="24"/>
        </w:rPr>
        <w:t>ipilimumab+nivolumab</w:t>
      </w:r>
      <w:proofErr w:type="spellEnd"/>
      <w:r w:rsidRPr="00FA3F9C">
        <w:rPr>
          <w:rFonts w:ascii="Arial" w:eastAsia="Times New Roman" w:hAnsi="Arial" w:cs="Arial"/>
          <w:sz w:val="24"/>
          <w:szCs w:val="24"/>
        </w:rPr>
        <w:t xml:space="preserve">, </w:t>
      </w:r>
      <w:proofErr w:type="spellStart"/>
      <w:r w:rsidRPr="00FA3F9C">
        <w:rPr>
          <w:rFonts w:ascii="Arial" w:eastAsia="Times New Roman" w:hAnsi="Arial" w:cs="Arial"/>
          <w:sz w:val="24"/>
          <w:szCs w:val="24"/>
        </w:rPr>
        <w:t>pembrolizumab+axitinib</w:t>
      </w:r>
      <w:proofErr w:type="spellEnd"/>
      <w:r w:rsidRPr="00FA3F9C">
        <w:rPr>
          <w:rFonts w:ascii="Arial" w:eastAsia="Times New Roman" w:hAnsi="Arial" w:cs="Arial"/>
          <w:sz w:val="24"/>
          <w:szCs w:val="24"/>
        </w:rPr>
        <w:t xml:space="preserve"> for intermediate or poor risk RCC.</w:t>
      </w:r>
    </w:p>
    <w:p w14:paraId="1B5DBA1B" w14:textId="77777777" w:rsidR="001506C1" w:rsidRPr="00FA3F9C" w:rsidRDefault="001506C1" w:rsidP="001506C1">
      <w:pPr>
        <w:numPr>
          <w:ilvl w:val="1"/>
          <w:numId w:val="79"/>
        </w:numPr>
        <w:tabs>
          <w:tab w:val="clear" w:pos="1440"/>
          <w:tab w:val="num" w:pos="630"/>
        </w:tabs>
        <w:spacing w:after="0" w:line="240" w:lineRule="auto"/>
        <w:ind w:left="720" w:hanging="187"/>
        <w:rPr>
          <w:rFonts w:ascii="Arial" w:eastAsia="Times New Roman" w:hAnsi="Arial" w:cs="Arial"/>
          <w:sz w:val="24"/>
          <w:szCs w:val="24"/>
        </w:rPr>
      </w:pPr>
      <w:r w:rsidRPr="00FA3F9C">
        <w:rPr>
          <w:rFonts w:ascii="Arial" w:eastAsia="Times New Roman" w:hAnsi="Arial" w:cs="Arial"/>
          <w:sz w:val="24"/>
          <w:szCs w:val="24"/>
        </w:rPr>
        <w:t xml:space="preserve">REFERENCES: </w:t>
      </w:r>
    </w:p>
    <w:p w14:paraId="75B96D3B" w14:textId="77777777" w:rsidR="001506C1" w:rsidRPr="00FA3F9C" w:rsidRDefault="001506C1" w:rsidP="005F573D">
      <w:pPr>
        <w:spacing w:after="0" w:line="240" w:lineRule="auto"/>
        <w:ind w:left="900" w:hanging="177"/>
        <w:rPr>
          <w:rFonts w:ascii="Arial" w:eastAsia="Times New Roman" w:hAnsi="Arial" w:cs="Arial"/>
          <w:sz w:val="24"/>
          <w:szCs w:val="24"/>
        </w:rPr>
      </w:pPr>
      <w:r w:rsidRPr="00FA3F9C">
        <w:rPr>
          <w:rStyle w:val="Hyperlink"/>
          <w:rFonts w:ascii="Arial" w:hAnsi="Arial" w:cs="Arial"/>
          <w:sz w:val="24"/>
          <w:szCs w:val="24"/>
        </w:rPr>
        <w:t xml:space="preserve">1. </w:t>
      </w:r>
      <w:hyperlink r:id="rId64" w:history="1">
        <w:r w:rsidRPr="00FA3F9C">
          <w:rPr>
            <w:rStyle w:val="Hyperlink"/>
            <w:rFonts w:ascii="Arial" w:hAnsi="Arial" w:cs="Arial"/>
            <w:sz w:val="24"/>
            <w:szCs w:val="24"/>
          </w:rPr>
          <w:t>Choueiri TK</w:t>
        </w:r>
      </w:hyperlink>
      <w:r w:rsidRPr="00FA3F9C">
        <w:rPr>
          <w:rFonts w:ascii="Arial" w:hAnsi="Arial" w:cs="Arial"/>
          <w:sz w:val="24"/>
          <w:szCs w:val="24"/>
        </w:rPr>
        <w:t xml:space="preserve"> et al.</w:t>
      </w:r>
      <w:r w:rsidRPr="00FA3F9C">
        <w:rPr>
          <w:rStyle w:val="highlight"/>
          <w:rFonts w:ascii="Arial" w:hAnsi="Arial" w:cs="Arial"/>
          <w:sz w:val="24"/>
          <w:szCs w:val="24"/>
        </w:rPr>
        <w:t xml:space="preserve"> </w:t>
      </w:r>
      <w:proofErr w:type="spellStart"/>
      <w:r w:rsidRPr="00FA3F9C">
        <w:rPr>
          <w:rStyle w:val="highlight"/>
          <w:rFonts w:ascii="Arial" w:hAnsi="Arial" w:cs="Arial"/>
          <w:sz w:val="24"/>
          <w:szCs w:val="24"/>
        </w:rPr>
        <w:t>Cabozantinib</w:t>
      </w:r>
      <w:proofErr w:type="spellEnd"/>
      <w:r w:rsidRPr="00FA3F9C">
        <w:rPr>
          <w:rFonts w:ascii="Arial" w:hAnsi="Arial" w:cs="Arial"/>
          <w:sz w:val="24"/>
          <w:szCs w:val="24"/>
        </w:rPr>
        <w:t xml:space="preserve"> Versus Sunitinib As Initial Targeted Therapy for Patients With Metastatic </w:t>
      </w:r>
      <w:r w:rsidRPr="00FA3F9C">
        <w:rPr>
          <w:rStyle w:val="highlight"/>
          <w:rFonts w:ascii="Arial" w:hAnsi="Arial" w:cs="Arial"/>
          <w:sz w:val="24"/>
          <w:szCs w:val="24"/>
        </w:rPr>
        <w:t>Renal</w:t>
      </w:r>
      <w:r w:rsidRPr="00FA3F9C">
        <w:rPr>
          <w:rFonts w:ascii="Arial" w:hAnsi="Arial" w:cs="Arial"/>
          <w:sz w:val="24"/>
          <w:szCs w:val="24"/>
        </w:rPr>
        <w:t xml:space="preserve"> Cell Carcinoma of Poor or Intermediate Risk: The Alliance A031203 CABOSUN Trial. </w:t>
      </w:r>
      <w:hyperlink r:id="rId65" w:tooltip="Journal of clinical oncology : official journal of the American Society of Clinical Oncology." w:history="1">
        <w:r w:rsidRPr="00FA3F9C">
          <w:rPr>
            <w:rStyle w:val="Hyperlink"/>
            <w:rFonts w:ascii="Arial" w:hAnsi="Arial" w:cs="Arial"/>
            <w:sz w:val="24"/>
            <w:szCs w:val="24"/>
          </w:rPr>
          <w:t>J Clin Oncol.</w:t>
        </w:r>
      </w:hyperlink>
      <w:r w:rsidRPr="00FA3F9C">
        <w:rPr>
          <w:rFonts w:ascii="Arial" w:hAnsi="Arial" w:cs="Arial"/>
          <w:sz w:val="24"/>
          <w:szCs w:val="24"/>
        </w:rPr>
        <w:t xml:space="preserve"> 2017 Feb 20;35(6):591-597.</w:t>
      </w:r>
    </w:p>
    <w:p w14:paraId="65A05EF3" w14:textId="77777777" w:rsidR="001506C1" w:rsidRPr="00FA3F9C" w:rsidRDefault="001506C1" w:rsidP="005F573D">
      <w:pPr>
        <w:spacing w:after="0" w:line="240" w:lineRule="auto"/>
        <w:ind w:left="900" w:hanging="177"/>
        <w:rPr>
          <w:rFonts w:ascii="Arial" w:eastAsia="Times New Roman" w:hAnsi="Arial" w:cs="Arial"/>
          <w:sz w:val="24"/>
          <w:szCs w:val="24"/>
        </w:rPr>
      </w:pPr>
      <w:r w:rsidRPr="00FA3F9C">
        <w:rPr>
          <w:rStyle w:val="Hyperlink"/>
          <w:rFonts w:ascii="Arial" w:hAnsi="Arial" w:cs="Arial"/>
          <w:sz w:val="24"/>
          <w:szCs w:val="24"/>
        </w:rPr>
        <w:t xml:space="preserve">2. </w:t>
      </w:r>
      <w:hyperlink r:id="rId66" w:history="1">
        <w:r w:rsidRPr="00FA3F9C">
          <w:rPr>
            <w:rStyle w:val="Hyperlink"/>
            <w:rFonts w:ascii="Arial" w:hAnsi="Arial" w:cs="Arial"/>
            <w:sz w:val="24"/>
            <w:szCs w:val="24"/>
          </w:rPr>
          <w:t>Choueiri TK</w:t>
        </w:r>
      </w:hyperlink>
      <w:r w:rsidRPr="00FA3F9C">
        <w:rPr>
          <w:rFonts w:ascii="Arial" w:hAnsi="Arial" w:cs="Arial"/>
          <w:sz w:val="24"/>
          <w:szCs w:val="24"/>
        </w:rPr>
        <w:t xml:space="preserve"> et al. </w:t>
      </w:r>
      <w:proofErr w:type="spellStart"/>
      <w:r w:rsidRPr="00FA3F9C">
        <w:rPr>
          <w:rStyle w:val="highlight"/>
          <w:rFonts w:ascii="Arial" w:hAnsi="Arial" w:cs="Arial"/>
          <w:sz w:val="24"/>
          <w:szCs w:val="24"/>
        </w:rPr>
        <w:t>Cabozantinib</w:t>
      </w:r>
      <w:proofErr w:type="spellEnd"/>
      <w:r w:rsidRPr="00FA3F9C">
        <w:rPr>
          <w:rFonts w:ascii="Arial" w:hAnsi="Arial" w:cs="Arial"/>
          <w:sz w:val="24"/>
          <w:szCs w:val="24"/>
        </w:rPr>
        <w:t xml:space="preserve"> versus sunitinib as initial therapy for metastatic </w:t>
      </w:r>
      <w:r w:rsidRPr="00FA3F9C">
        <w:rPr>
          <w:rStyle w:val="highlight"/>
          <w:rFonts w:ascii="Arial" w:hAnsi="Arial" w:cs="Arial"/>
          <w:sz w:val="24"/>
          <w:szCs w:val="24"/>
        </w:rPr>
        <w:t>renal cell carcinoma</w:t>
      </w:r>
      <w:r w:rsidRPr="00FA3F9C">
        <w:rPr>
          <w:rFonts w:ascii="Arial" w:hAnsi="Arial" w:cs="Arial"/>
          <w:sz w:val="24"/>
          <w:szCs w:val="24"/>
        </w:rPr>
        <w:t xml:space="preserve"> of intermediate or poor risk (Alliance A031203 CABOSUN </w:t>
      </w:r>
      <w:proofErr w:type="spellStart"/>
      <w:r w:rsidRPr="00FA3F9C">
        <w:rPr>
          <w:rFonts w:ascii="Arial" w:hAnsi="Arial" w:cs="Arial"/>
          <w:sz w:val="24"/>
          <w:szCs w:val="24"/>
        </w:rPr>
        <w:t>randomised</w:t>
      </w:r>
      <w:proofErr w:type="spellEnd"/>
      <w:r w:rsidRPr="00FA3F9C">
        <w:rPr>
          <w:rFonts w:ascii="Arial" w:hAnsi="Arial" w:cs="Arial"/>
          <w:sz w:val="24"/>
          <w:szCs w:val="24"/>
        </w:rPr>
        <w:t xml:space="preserve"> trial): Progression-free survival by independent review and overall survival update. </w:t>
      </w:r>
      <w:hyperlink r:id="rId67" w:tooltip="European journal of cancer (Oxford, England : 1990)." w:history="1">
        <w:proofErr w:type="spellStart"/>
        <w:r w:rsidRPr="00FA3F9C">
          <w:rPr>
            <w:rStyle w:val="Hyperlink"/>
            <w:rFonts w:ascii="Arial" w:hAnsi="Arial" w:cs="Arial"/>
            <w:sz w:val="24"/>
            <w:szCs w:val="24"/>
          </w:rPr>
          <w:t>Eur</w:t>
        </w:r>
        <w:proofErr w:type="spellEnd"/>
        <w:r w:rsidRPr="00FA3F9C">
          <w:rPr>
            <w:rStyle w:val="Hyperlink"/>
            <w:rFonts w:ascii="Arial" w:hAnsi="Arial" w:cs="Arial"/>
            <w:sz w:val="24"/>
            <w:szCs w:val="24"/>
          </w:rPr>
          <w:t xml:space="preserve"> J Cancer.</w:t>
        </w:r>
      </w:hyperlink>
      <w:r w:rsidRPr="00FA3F9C">
        <w:rPr>
          <w:rFonts w:ascii="Arial" w:hAnsi="Arial" w:cs="Arial"/>
          <w:sz w:val="24"/>
          <w:szCs w:val="24"/>
        </w:rPr>
        <w:t xml:space="preserve"> 2018 May;94:115-125.</w:t>
      </w:r>
    </w:p>
    <w:p w14:paraId="54678D7B" w14:textId="77777777" w:rsidR="001506C1" w:rsidRPr="00FA3F9C" w:rsidRDefault="001506C1" w:rsidP="001506C1">
      <w:pPr>
        <w:numPr>
          <w:ilvl w:val="0"/>
          <w:numId w:val="79"/>
        </w:numPr>
        <w:spacing w:after="0" w:line="269" w:lineRule="atLeast"/>
        <w:ind w:left="540" w:hanging="270"/>
        <w:rPr>
          <w:rFonts w:ascii="Arial" w:eastAsia="Times New Roman" w:hAnsi="Arial" w:cs="Arial"/>
          <w:sz w:val="24"/>
          <w:szCs w:val="24"/>
        </w:rPr>
      </w:pPr>
      <w:r w:rsidRPr="00FA3F9C">
        <w:rPr>
          <w:rFonts w:ascii="Arial" w:eastAsia="Times New Roman" w:hAnsi="Arial" w:cs="Arial"/>
          <w:sz w:val="24"/>
          <w:szCs w:val="24"/>
        </w:rPr>
        <w:t xml:space="preserve">In combination with nivolumab for first-line treatment of advanced renal cell carcinoma </w:t>
      </w:r>
      <w:r w:rsidRPr="00FA3F9C">
        <w:rPr>
          <w:rFonts w:ascii="Arial" w:eastAsia="Times New Roman" w:hAnsi="Arial" w:cs="Arial"/>
          <w:sz w:val="24"/>
          <w:szCs w:val="24"/>
          <w:highlight w:val="cyan"/>
        </w:rPr>
        <w:t>(see criteria)</w:t>
      </w:r>
    </w:p>
    <w:p w14:paraId="23AB9588" w14:textId="77777777" w:rsidR="001506C1" w:rsidRPr="00FA3F9C" w:rsidRDefault="001506C1" w:rsidP="001506C1">
      <w:pPr>
        <w:numPr>
          <w:ilvl w:val="0"/>
          <w:numId w:val="79"/>
        </w:numPr>
        <w:spacing w:after="0" w:line="269" w:lineRule="atLeast"/>
        <w:ind w:left="540" w:hanging="270"/>
        <w:rPr>
          <w:rFonts w:ascii="Arial" w:eastAsia="Times New Roman" w:hAnsi="Arial" w:cs="Arial"/>
          <w:sz w:val="24"/>
          <w:szCs w:val="24"/>
        </w:rPr>
      </w:pPr>
      <w:r w:rsidRPr="00FA3F9C">
        <w:rPr>
          <w:rFonts w:ascii="Arial" w:eastAsia="Times New Roman" w:hAnsi="Arial" w:cs="Arial"/>
          <w:sz w:val="24"/>
          <w:szCs w:val="24"/>
        </w:rPr>
        <w:t xml:space="preserve">Hepatocellular carcinoma (HCC) previously treated with sorafenib </w:t>
      </w:r>
      <w:r w:rsidRPr="00FA3F9C">
        <w:rPr>
          <w:rFonts w:ascii="Arial" w:eastAsia="Times New Roman" w:hAnsi="Arial" w:cs="Arial"/>
          <w:sz w:val="24"/>
          <w:szCs w:val="24"/>
          <w:highlight w:val="yellow"/>
        </w:rPr>
        <w:t>NOT COVERED</w:t>
      </w:r>
    </w:p>
    <w:p w14:paraId="089440D3" w14:textId="77777777" w:rsidR="001506C1" w:rsidRPr="00FA3F9C" w:rsidRDefault="001506C1" w:rsidP="001506C1">
      <w:pPr>
        <w:numPr>
          <w:ilvl w:val="1"/>
          <w:numId w:val="79"/>
        </w:numPr>
        <w:tabs>
          <w:tab w:val="clear" w:pos="1440"/>
          <w:tab w:val="num" w:pos="1170"/>
        </w:tabs>
        <w:spacing w:after="0" w:line="240" w:lineRule="auto"/>
        <w:ind w:left="821" w:hanging="274"/>
        <w:rPr>
          <w:rFonts w:ascii="Arial" w:eastAsia="Times New Roman" w:hAnsi="Arial" w:cs="Arial"/>
          <w:sz w:val="24"/>
          <w:szCs w:val="24"/>
        </w:rPr>
      </w:pPr>
      <w:r w:rsidRPr="00FA3F9C">
        <w:rPr>
          <w:rFonts w:ascii="Arial" w:eastAsia="Times New Roman" w:hAnsi="Arial" w:cs="Arial"/>
          <w:sz w:val="24"/>
          <w:szCs w:val="24"/>
        </w:rPr>
        <w:t xml:space="preserve">In HCC patients (Child Pugh A only) previously treated with sorafenib, </w:t>
      </w:r>
      <w:proofErr w:type="spellStart"/>
      <w:r w:rsidRPr="00FA3F9C">
        <w:rPr>
          <w:rFonts w:ascii="Arial" w:eastAsia="Times New Roman" w:hAnsi="Arial" w:cs="Arial"/>
          <w:sz w:val="24"/>
          <w:szCs w:val="24"/>
        </w:rPr>
        <w:t>cabozantinib</w:t>
      </w:r>
      <w:proofErr w:type="spellEnd"/>
      <w:r w:rsidRPr="00FA3F9C">
        <w:rPr>
          <w:rFonts w:ascii="Arial" w:eastAsia="Times New Roman" w:hAnsi="Arial" w:cs="Arial"/>
          <w:sz w:val="24"/>
          <w:szCs w:val="24"/>
        </w:rPr>
        <w:t xml:space="preserve"> statistically improved overall survival compared to placebo (10.2 </w:t>
      </w:r>
      <w:proofErr w:type="spellStart"/>
      <w:r w:rsidRPr="00FA3F9C">
        <w:rPr>
          <w:rFonts w:ascii="Arial" w:eastAsia="Times New Roman" w:hAnsi="Arial" w:cs="Arial"/>
          <w:sz w:val="24"/>
          <w:szCs w:val="24"/>
        </w:rPr>
        <w:t>mo</w:t>
      </w:r>
      <w:proofErr w:type="spellEnd"/>
      <w:r w:rsidRPr="00FA3F9C">
        <w:rPr>
          <w:rFonts w:ascii="Arial" w:eastAsia="Times New Roman" w:hAnsi="Arial" w:cs="Arial"/>
          <w:sz w:val="24"/>
          <w:szCs w:val="24"/>
        </w:rPr>
        <w:t xml:space="preserve"> vs 8 </w:t>
      </w:r>
      <w:proofErr w:type="spellStart"/>
      <w:r w:rsidRPr="00FA3F9C">
        <w:rPr>
          <w:rFonts w:ascii="Arial" w:eastAsia="Times New Roman" w:hAnsi="Arial" w:cs="Arial"/>
          <w:sz w:val="24"/>
          <w:szCs w:val="24"/>
        </w:rPr>
        <w:t>mo</w:t>
      </w:r>
      <w:proofErr w:type="spellEnd"/>
      <w:r w:rsidRPr="00FA3F9C">
        <w:rPr>
          <w:rFonts w:ascii="Arial" w:eastAsia="Times New Roman" w:hAnsi="Arial" w:cs="Arial"/>
          <w:sz w:val="24"/>
          <w:szCs w:val="24"/>
        </w:rPr>
        <w:t>) (</w:t>
      </w:r>
      <w:r w:rsidRPr="00FA3F9C">
        <w:rPr>
          <w:rFonts w:ascii="Arial" w:hAnsi="Arial" w:cs="Arial"/>
          <w:sz w:val="24"/>
          <w:szCs w:val="24"/>
        </w:rPr>
        <w:t xml:space="preserve">Abou-Alfa GK et al. </w:t>
      </w:r>
      <w:hyperlink r:id="rId68" w:history="1">
        <w:proofErr w:type="spellStart"/>
        <w:r w:rsidRPr="00FA3F9C">
          <w:rPr>
            <w:rStyle w:val="Hyperlink"/>
            <w:rFonts w:ascii="Arial" w:hAnsi="Arial" w:cs="Arial"/>
            <w:sz w:val="24"/>
            <w:szCs w:val="24"/>
          </w:rPr>
          <w:t>Cabozantinib</w:t>
        </w:r>
        <w:proofErr w:type="spellEnd"/>
        <w:r w:rsidRPr="00FA3F9C">
          <w:rPr>
            <w:rStyle w:val="Hyperlink"/>
            <w:rFonts w:ascii="Arial" w:hAnsi="Arial" w:cs="Arial"/>
            <w:sz w:val="24"/>
            <w:szCs w:val="24"/>
          </w:rPr>
          <w:t xml:space="preserve"> in Patients with Advanced and Progressing Hepatocellular Carcinoma.</w:t>
        </w:r>
      </w:hyperlink>
      <w:r w:rsidRPr="00FA3F9C">
        <w:rPr>
          <w:rFonts w:ascii="Arial" w:hAnsi="Arial" w:cs="Arial"/>
          <w:sz w:val="24"/>
          <w:szCs w:val="24"/>
        </w:rPr>
        <w:t xml:space="preserve"> </w:t>
      </w:r>
      <w:r w:rsidRPr="00FA3F9C">
        <w:rPr>
          <w:rStyle w:val="jrnl"/>
          <w:rFonts w:ascii="Arial" w:hAnsi="Arial" w:cs="Arial"/>
          <w:sz w:val="24"/>
          <w:szCs w:val="24"/>
        </w:rPr>
        <w:t xml:space="preserve">N </w:t>
      </w:r>
      <w:proofErr w:type="spellStart"/>
      <w:r w:rsidRPr="00FA3F9C">
        <w:rPr>
          <w:rStyle w:val="jrnl"/>
          <w:rFonts w:ascii="Arial" w:hAnsi="Arial" w:cs="Arial"/>
          <w:sz w:val="24"/>
          <w:szCs w:val="24"/>
        </w:rPr>
        <w:t>Engl</w:t>
      </w:r>
      <w:proofErr w:type="spellEnd"/>
      <w:r w:rsidRPr="00FA3F9C">
        <w:rPr>
          <w:rStyle w:val="jrnl"/>
          <w:rFonts w:ascii="Arial" w:hAnsi="Arial" w:cs="Arial"/>
          <w:sz w:val="24"/>
          <w:szCs w:val="24"/>
        </w:rPr>
        <w:t xml:space="preserve"> J Med</w:t>
      </w:r>
      <w:r w:rsidRPr="00FA3F9C">
        <w:rPr>
          <w:rFonts w:ascii="Arial" w:hAnsi="Arial" w:cs="Arial"/>
          <w:sz w:val="24"/>
          <w:szCs w:val="24"/>
        </w:rPr>
        <w:t>. 2018 Jul 5;379(1):54-63. PMID 29972759 [NCT01908426])</w:t>
      </w:r>
      <w:r w:rsidRPr="00FA3F9C">
        <w:rPr>
          <w:rFonts w:ascii="Arial" w:eastAsia="Times New Roman" w:hAnsi="Arial" w:cs="Arial"/>
          <w:sz w:val="24"/>
          <w:szCs w:val="24"/>
        </w:rPr>
        <w:t xml:space="preserve">. EBRx deemed this increase in overall survival not to be clinically significant and does not recommend coverage of this indication. </w:t>
      </w:r>
    </w:p>
    <w:p w14:paraId="3A879DE4" w14:textId="77777777" w:rsidR="001506C1" w:rsidRPr="00FA3F9C" w:rsidRDefault="001506C1" w:rsidP="005F573D">
      <w:pPr>
        <w:pStyle w:val="NoSpacing"/>
        <w:ind w:left="540"/>
        <w:rPr>
          <w:rFonts w:ascii="Arial" w:hAnsi="Arial" w:cs="Arial"/>
          <w:sz w:val="24"/>
          <w:szCs w:val="24"/>
        </w:rPr>
      </w:pPr>
    </w:p>
    <w:p w14:paraId="7FC1195A" w14:textId="77777777" w:rsidR="001506C1" w:rsidRPr="00FA3F9C" w:rsidRDefault="001506C1" w:rsidP="002C1076">
      <w:pPr>
        <w:pStyle w:val="NoSpacing"/>
        <w:rPr>
          <w:rFonts w:ascii="Arial" w:hAnsi="Arial" w:cs="Arial"/>
          <w:b/>
          <w:sz w:val="24"/>
          <w:szCs w:val="24"/>
          <w:u w:val="single"/>
        </w:rPr>
      </w:pPr>
      <w:proofErr w:type="spellStart"/>
      <w:r w:rsidRPr="00FA3F9C">
        <w:rPr>
          <w:rFonts w:ascii="Arial" w:hAnsi="Arial" w:cs="Arial"/>
          <w:b/>
          <w:sz w:val="24"/>
          <w:szCs w:val="24"/>
          <w:highlight w:val="green"/>
          <w:u w:val="single"/>
        </w:rPr>
        <w:t>Cometriq</w:t>
      </w:r>
      <w:proofErr w:type="spellEnd"/>
      <w:r w:rsidRPr="00FA3F9C">
        <w:rPr>
          <w:rFonts w:ascii="Arial" w:hAnsi="Arial" w:cs="Arial"/>
          <w:b/>
          <w:sz w:val="24"/>
          <w:szCs w:val="24"/>
          <w:u w:val="single"/>
        </w:rPr>
        <w:t xml:space="preserve"> 20 and 80 mg oral capsules</w:t>
      </w:r>
    </w:p>
    <w:p w14:paraId="2DF6969F" w14:textId="77777777" w:rsidR="001506C1" w:rsidRPr="00FA3F9C" w:rsidRDefault="001506C1" w:rsidP="001506C1">
      <w:pPr>
        <w:pStyle w:val="NoSpacing"/>
        <w:numPr>
          <w:ilvl w:val="0"/>
          <w:numId w:val="84"/>
        </w:numPr>
        <w:ind w:left="630"/>
        <w:rPr>
          <w:rFonts w:ascii="Arial" w:hAnsi="Arial" w:cs="Arial"/>
          <w:sz w:val="24"/>
          <w:szCs w:val="24"/>
        </w:rPr>
      </w:pPr>
      <w:r w:rsidRPr="00FA3F9C">
        <w:rPr>
          <w:rFonts w:ascii="Arial" w:hAnsi="Arial" w:cs="Arial"/>
          <w:sz w:val="24"/>
          <w:szCs w:val="24"/>
        </w:rPr>
        <w:t>Progressive, metastatic medullary thyroid cancer</w:t>
      </w:r>
    </w:p>
    <w:p w14:paraId="67FD0E3A" w14:textId="77777777" w:rsidR="001506C1" w:rsidRPr="00FA3F9C" w:rsidRDefault="001506C1" w:rsidP="00D32095">
      <w:pPr>
        <w:pStyle w:val="NoSpacing"/>
        <w:rPr>
          <w:rFonts w:ascii="Arial" w:hAnsi="Arial" w:cs="Arial"/>
          <w:sz w:val="24"/>
          <w:szCs w:val="24"/>
        </w:rPr>
      </w:pPr>
    </w:p>
    <w:p w14:paraId="7217B74F" w14:textId="77777777" w:rsidR="001506C1" w:rsidRPr="00FA3F9C" w:rsidRDefault="001506C1" w:rsidP="00F20E5E">
      <w:pPr>
        <w:pStyle w:val="NoSpacing"/>
        <w:rPr>
          <w:rFonts w:ascii="Arial" w:hAnsi="Arial" w:cs="Arial"/>
          <w:sz w:val="24"/>
          <w:szCs w:val="24"/>
        </w:rPr>
      </w:pPr>
    </w:p>
    <w:tbl>
      <w:tblPr>
        <w:tblStyle w:val="TableGrid"/>
        <w:tblW w:w="0" w:type="auto"/>
        <w:tblLook w:val="04A0" w:firstRow="1" w:lastRow="0" w:firstColumn="1" w:lastColumn="0" w:noHBand="0" w:noVBand="1"/>
      </w:tblPr>
      <w:tblGrid>
        <w:gridCol w:w="8928"/>
        <w:gridCol w:w="2088"/>
      </w:tblGrid>
      <w:tr w:rsidR="001506C1" w:rsidRPr="00FA3F9C" w14:paraId="6C88F4A5" w14:textId="77777777" w:rsidTr="00571CAB">
        <w:tc>
          <w:tcPr>
            <w:tcW w:w="8928" w:type="dxa"/>
            <w:shd w:val="clear" w:color="auto" w:fill="000000"/>
          </w:tcPr>
          <w:p w14:paraId="12E055A7" w14:textId="77777777" w:rsidR="001506C1" w:rsidRPr="00FA3F9C" w:rsidRDefault="001506C1" w:rsidP="0034010B">
            <w:pPr>
              <w:rPr>
                <w:rFonts w:ascii="Arial" w:hAnsi="Arial" w:cs="Arial"/>
                <w:sz w:val="24"/>
                <w:szCs w:val="24"/>
              </w:rPr>
            </w:pPr>
            <w:r w:rsidRPr="00FA3F9C">
              <w:rPr>
                <w:rFonts w:ascii="Arial" w:hAnsi="Arial" w:cs="Arial"/>
                <w:sz w:val="24"/>
                <w:szCs w:val="24"/>
              </w:rPr>
              <w:t>Medullary Thyroid Cancer (COMETRIQ only)  Criteria for new users</w:t>
            </w:r>
          </w:p>
        </w:tc>
        <w:tc>
          <w:tcPr>
            <w:tcW w:w="2088" w:type="dxa"/>
            <w:shd w:val="clear" w:color="auto" w:fill="000000"/>
          </w:tcPr>
          <w:p w14:paraId="43429633" w14:textId="77777777" w:rsidR="001506C1" w:rsidRPr="00FA3F9C" w:rsidRDefault="001506C1" w:rsidP="006F623F">
            <w:pPr>
              <w:jc w:val="center"/>
              <w:rPr>
                <w:rFonts w:ascii="Arial" w:hAnsi="Arial" w:cs="Arial"/>
                <w:b/>
                <w:sz w:val="24"/>
                <w:szCs w:val="24"/>
                <w:u w:val="single"/>
              </w:rPr>
            </w:pPr>
          </w:p>
        </w:tc>
      </w:tr>
      <w:tr w:rsidR="001506C1" w:rsidRPr="00FA3F9C" w14:paraId="71817E03" w14:textId="77777777" w:rsidTr="00F20E5E">
        <w:tc>
          <w:tcPr>
            <w:tcW w:w="11016" w:type="dxa"/>
            <w:gridSpan w:val="2"/>
          </w:tcPr>
          <w:p w14:paraId="5D1E6124" w14:textId="77777777" w:rsidR="001506C1" w:rsidRPr="00FA3F9C" w:rsidRDefault="001506C1" w:rsidP="006F623F">
            <w:pPr>
              <w:rPr>
                <w:rFonts w:ascii="Arial" w:hAnsi="Arial" w:cs="Arial"/>
                <w:sz w:val="24"/>
                <w:szCs w:val="24"/>
              </w:rPr>
            </w:pPr>
            <w:r w:rsidRPr="00FA3F9C">
              <w:rPr>
                <w:rFonts w:ascii="Arial" w:hAnsi="Arial" w:cs="Arial"/>
                <w:bCs/>
                <w:color w:val="000000"/>
                <w:sz w:val="24"/>
                <w:szCs w:val="24"/>
              </w:rPr>
              <w:t>1.  Diagnosis of progressive, metastatic, medullary thyroid cancer</w:t>
            </w:r>
          </w:p>
        </w:tc>
      </w:tr>
      <w:tr w:rsidR="001506C1" w:rsidRPr="00FA3F9C" w14:paraId="2803EC7A" w14:textId="77777777" w:rsidTr="00F20E5E">
        <w:tc>
          <w:tcPr>
            <w:tcW w:w="11016" w:type="dxa"/>
            <w:gridSpan w:val="2"/>
          </w:tcPr>
          <w:p w14:paraId="0FCC346D" w14:textId="77777777" w:rsidR="001506C1" w:rsidRPr="00FA3F9C" w:rsidRDefault="001506C1" w:rsidP="006F623F">
            <w:pPr>
              <w:rPr>
                <w:rFonts w:ascii="Arial" w:hAnsi="Arial" w:cs="Arial"/>
                <w:sz w:val="24"/>
                <w:szCs w:val="24"/>
              </w:rPr>
            </w:pPr>
            <w:r w:rsidRPr="00FA3F9C">
              <w:rPr>
                <w:rFonts w:ascii="Arial" w:hAnsi="Arial" w:cs="Arial"/>
                <w:bCs/>
                <w:color w:val="000000"/>
                <w:sz w:val="24"/>
                <w:szCs w:val="24"/>
              </w:rPr>
              <w:t>2.  Medullary thyroid cancer must have known RET M918T mutation</w:t>
            </w:r>
          </w:p>
        </w:tc>
      </w:tr>
      <w:tr w:rsidR="001506C1" w:rsidRPr="00FA3F9C" w14:paraId="74EA68AA" w14:textId="77777777" w:rsidTr="00F20E5E">
        <w:tc>
          <w:tcPr>
            <w:tcW w:w="11016" w:type="dxa"/>
            <w:gridSpan w:val="2"/>
          </w:tcPr>
          <w:p w14:paraId="3993C49C" w14:textId="77777777" w:rsidR="001506C1" w:rsidRPr="00FA3F9C" w:rsidRDefault="001506C1" w:rsidP="00A44787">
            <w:pPr>
              <w:rPr>
                <w:rFonts w:ascii="Arial" w:hAnsi="Arial" w:cs="Arial"/>
                <w:sz w:val="24"/>
                <w:szCs w:val="24"/>
              </w:rPr>
            </w:pPr>
            <w:r w:rsidRPr="00FA3F9C">
              <w:rPr>
                <w:rFonts w:ascii="Arial" w:hAnsi="Arial" w:cs="Arial"/>
                <w:bCs/>
                <w:color w:val="000000"/>
                <w:sz w:val="24"/>
                <w:szCs w:val="24"/>
              </w:rPr>
              <w:t>3.  Patient must be ECOG performance status 0-2 at initial request.</w:t>
            </w:r>
          </w:p>
        </w:tc>
      </w:tr>
      <w:tr w:rsidR="001506C1" w:rsidRPr="00FA3F9C" w14:paraId="1EC4C543" w14:textId="77777777" w:rsidTr="00F20E5E">
        <w:tc>
          <w:tcPr>
            <w:tcW w:w="11016" w:type="dxa"/>
            <w:gridSpan w:val="2"/>
          </w:tcPr>
          <w:p w14:paraId="5FBE3359" w14:textId="77777777" w:rsidR="001506C1" w:rsidRPr="00FA3F9C" w:rsidRDefault="001506C1" w:rsidP="0034010B">
            <w:pPr>
              <w:rPr>
                <w:rFonts w:ascii="Arial" w:hAnsi="Arial" w:cs="Arial"/>
                <w:bCs/>
                <w:color w:val="000000"/>
                <w:sz w:val="24"/>
                <w:szCs w:val="24"/>
              </w:rPr>
            </w:pPr>
            <w:r w:rsidRPr="00FA3F9C">
              <w:rPr>
                <w:rFonts w:ascii="Arial" w:hAnsi="Arial" w:cs="Arial"/>
                <w:bCs/>
                <w:color w:val="000000"/>
                <w:sz w:val="24"/>
                <w:szCs w:val="24"/>
              </w:rPr>
              <w:t xml:space="preserve">If the answer to all 3 questions above are “yes,” approve for 1 year.  </w:t>
            </w:r>
          </w:p>
        </w:tc>
      </w:tr>
      <w:tr w:rsidR="001506C1" w:rsidRPr="00FA3F9C" w14:paraId="3378C59C" w14:textId="77777777" w:rsidTr="000E33D7">
        <w:trPr>
          <w:trHeight w:val="80"/>
        </w:trPr>
        <w:tc>
          <w:tcPr>
            <w:tcW w:w="11016" w:type="dxa"/>
            <w:gridSpan w:val="2"/>
            <w:shd w:val="clear" w:color="auto" w:fill="BFBFBF" w:themeFill="background1" w:themeFillShade="BF"/>
          </w:tcPr>
          <w:p w14:paraId="7DD04C57" w14:textId="77777777" w:rsidR="001506C1" w:rsidRPr="00FA3F9C" w:rsidRDefault="001506C1" w:rsidP="006F623F">
            <w:pPr>
              <w:rPr>
                <w:rFonts w:ascii="Arial" w:hAnsi="Arial" w:cs="Arial"/>
                <w:bCs/>
                <w:color w:val="000000"/>
                <w:sz w:val="24"/>
                <w:szCs w:val="24"/>
              </w:rPr>
            </w:pPr>
            <w:r w:rsidRPr="00FA3F9C">
              <w:rPr>
                <w:rFonts w:ascii="Arial" w:hAnsi="Arial" w:cs="Arial"/>
                <w:bCs/>
                <w:color w:val="000000"/>
                <w:sz w:val="24"/>
                <w:szCs w:val="24"/>
              </w:rPr>
              <w:t>Notes:</w:t>
            </w:r>
          </w:p>
          <w:p w14:paraId="3B0D9DDE" w14:textId="77777777" w:rsidR="001506C1" w:rsidRPr="00FA3F9C" w:rsidRDefault="001506C1" w:rsidP="001506C1">
            <w:pPr>
              <w:pStyle w:val="ListParagraph"/>
              <w:numPr>
                <w:ilvl w:val="0"/>
                <w:numId w:val="80"/>
              </w:numPr>
              <w:ind w:left="360" w:hanging="270"/>
              <w:rPr>
                <w:rFonts w:ascii="Arial" w:hAnsi="Arial" w:cs="Arial"/>
                <w:bCs/>
                <w:color w:val="000000"/>
                <w:sz w:val="24"/>
                <w:szCs w:val="24"/>
              </w:rPr>
            </w:pPr>
            <w:proofErr w:type="spellStart"/>
            <w:r w:rsidRPr="00FA3F9C">
              <w:rPr>
                <w:rFonts w:ascii="Arial" w:hAnsi="Arial" w:cs="Arial"/>
                <w:bCs/>
                <w:color w:val="000000"/>
                <w:sz w:val="24"/>
                <w:szCs w:val="24"/>
              </w:rPr>
              <w:t>Cabozantinib</w:t>
            </w:r>
            <w:proofErr w:type="spellEnd"/>
            <w:r w:rsidRPr="00FA3F9C">
              <w:rPr>
                <w:rFonts w:ascii="Arial" w:hAnsi="Arial" w:cs="Arial"/>
                <w:bCs/>
                <w:color w:val="000000"/>
                <w:sz w:val="24"/>
                <w:szCs w:val="24"/>
              </w:rPr>
              <w:t xml:space="preserve"> 140 mg daily (</w:t>
            </w:r>
            <w:proofErr w:type="spellStart"/>
            <w:r w:rsidRPr="00FA3F9C">
              <w:rPr>
                <w:rFonts w:ascii="Arial" w:hAnsi="Arial" w:cs="Arial"/>
                <w:bCs/>
                <w:color w:val="000000"/>
                <w:sz w:val="24"/>
                <w:szCs w:val="24"/>
              </w:rPr>
              <w:t>Cometric</w:t>
            </w:r>
            <w:proofErr w:type="spellEnd"/>
            <w:r w:rsidRPr="00FA3F9C">
              <w:rPr>
                <w:rFonts w:ascii="Arial" w:hAnsi="Arial" w:cs="Arial"/>
                <w:bCs/>
                <w:color w:val="000000"/>
                <w:sz w:val="24"/>
                <w:szCs w:val="24"/>
              </w:rPr>
              <w:t xml:space="preserve">) was compared with placebo in patients with metastatic medullary thyroid cancer that was progressing (on or off therapy). There was no limit on # of prior therapies allowed. PFS was improved in the </w:t>
            </w:r>
            <w:proofErr w:type="spellStart"/>
            <w:r w:rsidRPr="00FA3F9C">
              <w:rPr>
                <w:rFonts w:ascii="Arial" w:hAnsi="Arial" w:cs="Arial"/>
                <w:bCs/>
                <w:color w:val="000000"/>
                <w:sz w:val="24"/>
                <w:szCs w:val="24"/>
              </w:rPr>
              <w:t>cabozantinib</w:t>
            </w:r>
            <w:proofErr w:type="spellEnd"/>
            <w:r w:rsidRPr="00FA3F9C">
              <w:rPr>
                <w:rFonts w:ascii="Arial" w:hAnsi="Arial" w:cs="Arial"/>
                <w:bCs/>
                <w:color w:val="000000"/>
                <w:sz w:val="24"/>
                <w:szCs w:val="24"/>
              </w:rPr>
              <w:t xml:space="preserve"> group (11.2 </w:t>
            </w:r>
            <w:proofErr w:type="spellStart"/>
            <w:r w:rsidRPr="00FA3F9C">
              <w:rPr>
                <w:rFonts w:ascii="Arial" w:hAnsi="Arial" w:cs="Arial"/>
                <w:bCs/>
                <w:color w:val="000000"/>
                <w:sz w:val="24"/>
                <w:szCs w:val="24"/>
              </w:rPr>
              <w:t>mo</w:t>
            </w:r>
            <w:proofErr w:type="spellEnd"/>
            <w:r w:rsidRPr="00FA3F9C">
              <w:rPr>
                <w:rFonts w:ascii="Arial" w:hAnsi="Arial" w:cs="Arial"/>
                <w:bCs/>
                <w:color w:val="000000"/>
                <w:sz w:val="24"/>
                <w:szCs w:val="24"/>
              </w:rPr>
              <w:t xml:space="preserve"> vs 4 </w:t>
            </w:r>
            <w:proofErr w:type="spellStart"/>
            <w:r w:rsidRPr="00FA3F9C">
              <w:rPr>
                <w:rFonts w:ascii="Arial" w:hAnsi="Arial" w:cs="Arial"/>
                <w:bCs/>
                <w:color w:val="000000"/>
                <w:sz w:val="24"/>
                <w:szCs w:val="24"/>
              </w:rPr>
              <w:t>mo</w:t>
            </w:r>
            <w:proofErr w:type="spellEnd"/>
            <w:r w:rsidRPr="00FA3F9C">
              <w:rPr>
                <w:rFonts w:ascii="Arial" w:hAnsi="Arial" w:cs="Arial"/>
                <w:bCs/>
                <w:color w:val="000000"/>
                <w:sz w:val="24"/>
                <w:szCs w:val="24"/>
              </w:rPr>
              <w:t xml:space="preserve">) as well as response rate (28% vs 0%). Overall survival was not statistically higher in the </w:t>
            </w:r>
            <w:proofErr w:type="spellStart"/>
            <w:r w:rsidRPr="00FA3F9C">
              <w:rPr>
                <w:rFonts w:ascii="Arial" w:hAnsi="Arial" w:cs="Arial"/>
                <w:bCs/>
                <w:color w:val="000000"/>
                <w:sz w:val="24"/>
                <w:szCs w:val="24"/>
              </w:rPr>
              <w:t>cabozantinib</w:t>
            </w:r>
            <w:proofErr w:type="spellEnd"/>
            <w:r w:rsidRPr="00FA3F9C">
              <w:rPr>
                <w:rFonts w:ascii="Arial" w:hAnsi="Arial" w:cs="Arial"/>
                <w:bCs/>
                <w:color w:val="000000"/>
                <w:sz w:val="24"/>
                <w:szCs w:val="24"/>
              </w:rPr>
              <w:t xml:space="preserve"> group at the 42 </w:t>
            </w:r>
            <w:proofErr w:type="spellStart"/>
            <w:r w:rsidRPr="00FA3F9C">
              <w:rPr>
                <w:rFonts w:ascii="Arial" w:hAnsi="Arial" w:cs="Arial"/>
                <w:bCs/>
                <w:color w:val="000000"/>
                <w:sz w:val="24"/>
                <w:szCs w:val="24"/>
              </w:rPr>
              <w:t>mo</w:t>
            </w:r>
            <w:proofErr w:type="spellEnd"/>
            <w:r w:rsidRPr="00FA3F9C">
              <w:rPr>
                <w:rFonts w:ascii="Arial" w:hAnsi="Arial" w:cs="Arial"/>
                <w:bCs/>
                <w:color w:val="000000"/>
                <w:sz w:val="24"/>
                <w:szCs w:val="24"/>
              </w:rPr>
              <w:t xml:space="preserve"> follow up (26.6 </w:t>
            </w:r>
            <w:proofErr w:type="spellStart"/>
            <w:r w:rsidRPr="00FA3F9C">
              <w:rPr>
                <w:rFonts w:ascii="Arial" w:hAnsi="Arial" w:cs="Arial"/>
                <w:bCs/>
                <w:color w:val="000000"/>
                <w:sz w:val="24"/>
                <w:szCs w:val="24"/>
              </w:rPr>
              <w:t>mo</w:t>
            </w:r>
            <w:proofErr w:type="spellEnd"/>
            <w:r w:rsidRPr="00FA3F9C">
              <w:rPr>
                <w:rFonts w:ascii="Arial" w:hAnsi="Arial" w:cs="Arial"/>
                <w:bCs/>
                <w:color w:val="000000"/>
                <w:sz w:val="24"/>
                <w:szCs w:val="24"/>
              </w:rPr>
              <w:t xml:space="preserve"> vs 21.1 </w:t>
            </w:r>
            <w:proofErr w:type="spellStart"/>
            <w:r w:rsidRPr="00FA3F9C">
              <w:rPr>
                <w:rFonts w:ascii="Arial" w:hAnsi="Arial" w:cs="Arial"/>
                <w:bCs/>
                <w:color w:val="000000"/>
                <w:sz w:val="24"/>
                <w:szCs w:val="24"/>
              </w:rPr>
              <w:t>mo</w:t>
            </w:r>
            <w:proofErr w:type="spellEnd"/>
            <w:r w:rsidRPr="00FA3F9C">
              <w:rPr>
                <w:rFonts w:ascii="Arial" w:hAnsi="Arial" w:cs="Arial"/>
                <w:bCs/>
                <w:color w:val="000000"/>
                <w:sz w:val="24"/>
                <w:szCs w:val="24"/>
              </w:rPr>
              <w:t>).</w:t>
            </w:r>
            <w:r w:rsidRPr="00FA3F9C">
              <w:rPr>
                <w:rFonts w:ascii="Arial" w:hAnsi="Arial" w:cs="Arial"/>
                <w:bCs/>
                <w:color w:val="000000"/>
                <w:sz w:val="24"/>
                <w:szCs w:val="24"/>
                <w:vertAlign w:val="superscript"/>
              </w:rPr>
              <w:t>1</w:t>
            </w:r>
            <w:r w:rsidRPr="00FA3F9C">
              <w:rPr>
                <w:rFonts w:ascii="Arial" w:hAnsi="Arial" w:cs="Arial"/>
                <w:bCs/>
                <w:color w:val="000000"/>
                <w:sz w:val="24"/>
                <w:szCs w:val="24"/>
              </w:rPr>
              <w:t xml:space="preserve"> However, subgroup analysis showed a larger treatment effect in </w:t>
            </w:r>
            <w:proofErr w:type="spellStart"/>
            <w:r w:rsidRPr="00FA3F9C">
              <w:rPr>
                <w:rFonts w:ascii="Arial" w:hAnsi="Arial" w:cs="Arial"/>
                <w:bCs/>
                <w:color w:val="000000"/>
                <w:sz w:val="24"/>
                <w:szCs w:val="24"/>
              </w:rPr>
              <w:t>pt</w:t>
            </w:r>
            <w:proofErr w:type="spellEnd"/>
            <w:r w:rsidRPr="00FA3F9C">
              <w:rPr>
                <w:rFonts w:ascii="Arial" w:hAnsi="Arial" w:cs="Arial"/>
                <w:bCs/>
                <w:color w:val="000000"/>
                <w:sz w:val="24"/>
                <w:szCs w:val="24"/>
              </w:rPr>
              <w:t xml:space="preserve"> with RET M918T mutated tumors (overall survival of </w:t>
            </w:r>
            <w:proofErr w:type="spellStart"/>
            <w:r w:rsidRPr="00FA3F9C">
              <w:rPr>
                <w:rFonts w:ascii="Arial" w:hAnsi="Arial" w:cs="Arial"/>
                <w:bCs/>
                <w:color w:val="000000"/>
                <w:sz w:val="24"/>
                <w:szCs w:val="24"/>
              </w:rPr>
              <w:t>cabo</w:t>
            </w:r>
            <w:proofErr w:type="spellEnd"/>
            <w:r w:rsidRPr="00FA3F9C">
              <w:rPr>
                <w:rFonts w:ascii="Arial" w:hAnsi="Arial" w:cs="Arial"/>
                <w:bCs/>
                <w:color w:val="000000"/>
                <w:sz w:val="24"/>
                <w:szCs w:val="24"/>
              </w:rPr>
              <w:t xml:space="preserve"> vs. placebo: 44.3 </w:t>
            </w:r>
            <w:proofErr w:type="spellStart"/>
            <w:r w:rsidRPr="00FA3F9C">
              <w:rPr>
                <w:rFonts w:ascii="Arial" w:hAnsi="Arial" w:cs="Arial"/>
                <w:bCs/>
                <w:color w:val="000000"/>
                <w:sz w:val="24"/>
                <w:szCs w:val="24"/>
              </w:rPr>
              <w:t>mo</w:t>
            </w:r>
            <w:proofErr w:type="spellEnd"/>
            <w:r w:rsidRPr="00FA3F9C">
              <w:rPr>
                <w:rFonts w:ascii="Arial" w:hAnsi="Arial" w:cs="Arial"/>
                <w:bCs/>
                <w:color w:val="000000"/>
                <w:sz w:val="24"/>
                <w:szCs w:val="24"/>
              </w:rPr>
              <w:t xml:space="preserve"> vs 19.8 </w:t>
            </w:r>
            <w:proofErr w:type="spellStart"/>
            <w:r w:rsidRPr="00FA3F9C">
              <w:rPr>
                <w:rFonts w:ascii="Arial" w:hAnsi="Arial" w:cs="Arial"/>
                <w:bCs/>
                <w:color w:val="000000"/>
                <w:sz w:val="24"/>
                <w:szCs w:val="24"/>
              </w:rPr>
              <w:t>mo</w:t>
            </w:r>
            <w:proofErr w:type="spellEnd"/>
            <w:r w:rsidRPr="00FA3F9C">
              <w:rPr>
                <w:rFonts w:ascii="Arial" w:hAnsi="Arial" w:cs="Arial"/>
                <w:bCs/>
                <w:color w:val="000000"/>
                <w:sz w:val="24"/>
                <w:szCs w:val="24"/>
              </w:rPr>
              <w:t>)</w:t>
            </w:r>
            <w:r w:rsidRPr="00FA3F9C">
              <w:rPr>
                <w:rFonts w:ascii="Arial" w:hAnsi="Arial" w:cs="Arial"/>
                <w:bCs/>
                <w:color w:val="000000"/>
                <w:sz w:val="24"/>
                <w:szCs w:val="24"/>
                <w:vertAlign w:val="superscript"/>
              </w:rPr>
              <w:t>2</w:t>
            </w:r>
            <w:r w:rsidRPr="00FA3F9C">
              <w:rPr>
                <w:rFonts w:ascii="Arial" w:hAnsi="Arial" w:cs="Arial"/>
                <w:bCs/>
                <w:color w:val="000000"/>
                <w:sz w:val="24"/>
                <w:szCs w:val="24"/>
              </w:rPr>
              <w:t>. RET mutations should be checked in all tumors per NCCN guidelines, therefore, EBRx criteria limits coverage to patients with the RET M918T mutation.</w:t>
            </w:r>
          </w:p>
          <w:p w14:paraId="146E15A8" w14:textId="77777777" w:rsidR="001506C1" w:rsidRPr="00FA3F9C" w:rsidRDefault="001506C1" w:rsidP="001506C1">
            <w:pPr>
              <w:pStyle w:val="ListParagraph"/>
              <w:numPr>
                <w:ilvl w:val="0"/>
                <w:numId w:val="80"/>
              </w:numPr>
              <w:ind w:left="360" w:hanging="270"/>
              <w:rPr>
                <w:rFonts w:ascii="Arial" w:hAnsi="Arial" w:cs="Arial"/>
                <w:bCs/>
                <w:color w:val="000000"/>
                <w:sz w:val="24"/>
                <w:szCs w:val="24"/>
              </w:rPr>
            </w:pPr>
            <w:r w:rsidRPr="00FA3F9C">
              <w:rPr>
                <w:rFonts w:ascii="Arial" w:hAnsi="Arial" w:cs="Arial"/>
                <w:bCs/>
                <w:color w:val="000000"/>
                <w:sz w:val="24"/>
                <w:szCs w:val="24"/>
              </w:rPr>
              <w:t>Per NCCN, kinase inhibitors may not be appropriate for patients with stable or slowly progressive indolent disease</w:t>
            </w:r>
            <w:r w:rsidRPr="00FA3F9C">
              <w:rPr>
                <w:rFonts w:ascii="Arial" w:hAnsi="Arial" w:cs="Arial"/>
                <w:bCs/>
                <w:color w:val="000000"/>
                <w:sz w:val="24"/>
                <w:szCs w:val="24"/>
                <w:vertAlign w:val="superscript"/>
              </w:rPr>
              <w:t>3</w:t>
            </w:r>
            <w:r w:rsidRPr="00FA3F9C">
              <w:rPr>
                <w:rFonts w:ascii="Arial" w:hAnsi="Arial" w:cs="Arial"/>
                <w:bCs/>
                <w:color w:val="000000"/>
                <w:sz w:val="24"/>
                <w:szCs w:val="24"/>
              </w:rPr>
              <w:t xml:space="preserve">. Note: </w:t>
            </w:r>
            <w:proofErr w:type="spellStart"/>
            <w:r w:rsidRPr="00FA3F9C">
              <w:rPr>
                <w:rFonts w:ascii="Arial" w:hAnsi="Arial" w:cs="Arial"/>
                <w:bCs/>
                <w:color w:val="000000"/>
                <w:sz w:val="24"/>
                <w:szCs w:val="24"/>
              </w:rPr>
              <w:t>vandetanib</w:t>
            </w:r>
            <w:proofErr w:type="spellEnd"/>
            <w:r w:rsidRPr="00FA3F9C">
              <w:rPr>
                <w:rFonts w:ascii="Arial" w:hAnsi="Arial" w:cs="Arial"/>
                <w:bCs/>
                <w:color w:val="000000"/>
                <w:sz w:val="24"/>
                <w:szCs w:val="24"/>
              </w:rPr>
              <w:t xml:space="preserve"> has similar indication but overall survival data have not been published yet.</w:t>
            </w:r>
          </w:p>
          <w:p w14:paraId="5E4196DC" w14:textId="77777777" w:rsidR="001506C1" w:rsidRPr="00FA3F9C" w:rsidRDefault="001506C1" w:rsidP="006F623F">
            <w:pPr>
              <w:rPr>
                <w:rFonts w:ascii="Arial" w:hAnsi="Arial" w:cs="Arial"/>
                <w:bCs/>
                <w:color w:val="000000"/>
                <w:sz w:val="24"/>
                <w:szCs w:val="24"/>
              </w:rPr>
            </w:pPr>
          </w:p>
          <w:p w14:paraId="1545650B" w14:textId="77777777" w:rsidR="001506C1" w:rsidRPr="00FA3F9C" w:rsidRDefault="001506C1" w:rsidP="006F623F">
            <w:pPr>
              <w:rPr>
                <w:rFonts w:ascii="Arial" w:hAnsi="Arial" w:cs="Arial"/>
                <w:bCs/>
                <w:color w:val="000000"/>
                <w:sz w:val="24"/>
                <w:szCs w:val="24"/>
              </w:rPr>
            </w:pPr>
            <w:r w:rsidRPr="00FA3F9C">
              <w:rPr>
                <w:rFonts w:ascii="Arial" w:hAnsi="Arial" w:cs="Arial"/>
                <w:bCs/>
                <w:color w:val="000000"/>
                <w:sz w:val="24"/>
                <w:szCs w:val="24"/>
              </w:rPr>
              <w:t xml:space="preserve">Dose: </w:t>
            </w:r>
          </w:p>
          <w:p w14:paraId="224218C9" w14:textId="77777777" w:rsidR="001506C1" w:rsidRPr="00FA3F9C" w:rsidRDefault="001506C1" w:rsidP="006F623F">
            <w:pPr>
              <w:rPr>
                <w:rFonts w:ascii="Arial" w:hAnsi="Arial" w:cs="Arial"/>
                <w:bCs/>
                <w:color w:val="000000"/>
                <w:sz w:val="24"/>
                <w:szCs w:val="24"/>
              </w:rPr>
            </w:pPr>
            <w:r w:rsidRPr="00FA3F9C">
              <w:rPr>
                <w:rFonts w:ascii="Arial" w:hAnsi="Arial" w:cs="Arial"/>
                <w:bCs/>
                <w:color w:val="000000"/>
                <w:sz w:val="24"/>
                <w:szCs w:val="24"/>
              </w:rPr>
              <w:t xml:space="preserve">140mg/day unless taking concurrent 3A4 inducer. </w:t>
            </w:r>
          </w:p>
          <w:p w14:paraId="5CBD9CED" w14:textId="77777777" w:rsidR="001506C1" w:rsidRPr="00FA3F9C" w:rsidRDefault="001506C1" w:rsidP="006F623F">
            <w:pPr>
              <w:rPr>
                <w:rFonts w:ascii="Arial" w:hAnsi="Arial" w:cs="Arial"/>
                <w:bCs/>
                <w:color w:val="000000"/>
                <w:sz w:val="24"/>
                <w:szCs w:val="24"/>
              </w:rPr>
            </w:pPr>
          </w:p>
          <w:p w14:paraId="713A1BFE" w14:textId="77777777" w:rsidR="001506C1" w:rsidRPr="00FA3F9C" w:rsidRDefault="001506C1" w:rsidP="006F623F">
            <w:pPr>
              <w:rPr>
                <w:rFonts w:ascii="Arial" w:hAnsi="Arial" w:cs="Arial"/>
                <w:bCs/>
                <w:color w:val="000000"/>
                <w:sz w:val="24"/>
                <w:szCs w:val="24"/>
              </w:rPr>
            </w:pPr>
            <w:r w:rsidRPr="00FA3F9C">
              <w:rPr>
                <w:rFonts w:ascii="Arial" w:hAnsi="Arial" w:cs="Arial"/>
                <w:bCs/>
                <w:color w:val="000000"/>
                <w:sz w:val="24"/>
                <w:szCs w:val="24"/>
              </w:rPr>
              <w:t xml:space="preserve">Note that dosing for </w:t>
            </w:r>
            <w:proofErr w:type="spellStart"/>
            <w:r w:rsidRPr="00FA3F9C">
              <w:rPr>
                <w:rFonts w:ascii="Arial" w:hAnsi="Arial" w:cs="Arial"/>
                <w:bCs/>
                <w:color w:val="000000"/>
                <w:sz w:val="24"/>
                <w:szCs w:val="24"/>
              </w:rPr>
              <w:t>Cometriq</w:t>
            </w:r>
            <w:proofErr w:type="spellEnd"/>
            <w:r w:rsidRPr="00FA3F9C">
              <w:rPr>
                <w:rFonts w:ascii="Arial" w:hAnsi="Arial" w:cs="Arial"/>
                <w:bCs/>
                <w:color w:val="000000"/>
                <w:sz w:val="24"/>
                <w:szCs w:val="24"/>
              </w:rPr>
              <w:t xml:space="preserve"> is different from </w:t>
            </w:r>
            <w:proofErr w:type="spellStart"/>
            <w:r w:rsidRPr="00FA3F9C">
              <w:rPr>
                <w:rFonts w:ascii="Arial" w:hAnsi="Arial" w:cs="Arial"/>
                <w:bCs/>
                <w:color w:val="000000"/>
                <w:sz w:val="24"/>
                <w:szCs w:val="24"/>
              </w:rPr>
              <w:t>Cabometyx</w:t>
            </w:r>
            <w:proofErr w:type="spellEnd"/>
            <w:r w:rsidRPr="00FA3F9C">
              <w:rPr>
                <w:rFonts w:ascii="Arial" w:hAnsi="Arial" w:cs="Arial"/>
                <w:bCs/>
                <w:color w:val="000000"/>
                <w:sz w:val="24"/>
                <w:szCs w:val="24"/>
              </w:rPr>
              <w:t xml:space="preserve">.  </w:t>
            </w:r>
            <w:proofErr w:type="spellStart"/>
            <w:r w:rsidRPr="00FA3F9C">
              <w:rPr>
                <w:rFonts w:ascii="Arial" w:hAnsi="Arial" w:cs="Arial"/>
                <w:bCs/>
                <w:color w:val="000000"/>
                <w:sz w:val="24"/>
                <w:szCs w:val="24"/>
              </w:rPr>
              <w:t>Cometriq</w:t>
            </w:r>
            <w:proofErr w:type="spellEnd"/>
            <w:r w:rsidRPr="00FA3F9C">
              <w:rPr>
                <w:rFonts w:ascii="Arial" w:hAnsi="Arial" w:cs="Arial"/>
                <w:bCs/>
                <w:color w:val="000000"/>
                <w:sz w:val="24"/>
                <w:szCs w:val="24"/>
              </w:rPr>
              <w:t xml:space="preserve"> (capsules) was the first formulation of </w:t>
            </w:r>
            <w:proofErr w:type="spellStart"/>
            <w:r w:rsidRPr="00FA3F9C">
              <w:rPr>
                <w:rFonts w:ascii="Arial" w:hAnsi="Arial" w:cs="Arial"/>
                <w:bCs/>
                <w:color w:val="000000"/>
                <w:sz w:val="24"/>
                <w:szCs w:val="24"/>
              </w:rPr>
              <w:t>cabozantinib</w:t>
            </w:r>
            <w:proofErr w:type="spellEnd"/>
            <w:r w:rsidRPr="00FA3F9C">
              <w:rPr>
                <w:rFonts w:ascii="Arial" w:hAnsi="Arial" w:cs="Arial"/>
                <w:bCs/>
                <w:color w:val="000000"/>
                <w:sz w:val="24"/>
                <w:szCs w:val="24"/>
              </w:rPr>
              <w:t xml:space="preserve"> available. </w:t>
            </w:r>
            <w:proofErr w:type="spellStart"/>
            <w:r w:rsidRPr="00FA3F9C">
              <w:rPr>
                <w:rFonts w:ascii="Arial" w:hAnsi="Arial" w:cs="Arial"/>
                <w:bCs/>
                <w:color w:val="000000"/>
                <w:sz w:val="24"/>
                <w:szCs w:val="24"/>
              </w:rPr>
              <w:t>Cabometyx</w:t>
            </w:r>
            <w:proofErr w:type="spellEnd"/>
            <w:r w:rsidRPr="00FA3F9C">
              <w:rPr>
                <w:rFonts w:ascii="Arial" w:hAnsi="Arial" w:cs="Arial"/>
                <w:bCs/>
                <w:color w:val="000000"/>
                <w:sz w:val="24"/>
                <w:szCs w:val="24"/>
              </w:rPr>
              <w:t xml:space="preserve"> (tablets) was released </w:t>
            </w:r>
            <w:proofErr w:type="gramStart"/>
            <w:r w:rsidRPr="00FA3F9C">
              <w:rPr>
                <w:rFonts w:ascii="Arial" w:hAnsi="Arial" w:cs="Arial"/>
                <w:bCs/>
                <w:color w:val="000000"/>
                <w:sz w:val="24"/>
                <w:szCs w:val="24"/>
              </w:rPr>
              <w:t>at a later date</w:t>
            </w:r>
            <w:proofErr w:type="gramEnd"/>
            <w:r w:rsidRPr="00FA3F9C">
              <w:rPr>
                <w:rFonts w:ascii="Arial" w:hAnsi="Arial" w:cs="Arial"/>
                <w:bCs/>
                <w:color w:val="000000"/>
                <w:sz w:val="24"/>
                <w:szCs w:val="24"/>
              </w:rPr>
              <w:t xml:space="preserve"> and is manufactured more efficiently than the capsule. Bioequivalence studies of the capsules and tablets narrowly failed to meet criteria to deem the two formulations bioequivalent</w:t>
            </w:r>
            <w:r w:rsidRPr="00FA3F9C">
              <w:rPr>
                <w:rFonts w:ascii="Arial" w:hAnsi="Arial" w:cs="Arial"/>
                <w:bCs/>
                <w:color w:val="000000"/>
                <w:sz w:val="24"/>
                <w:szCs w:val="24"/>
                <w:vertAlign w:val="superscript"/>
              </w:rPr>
              <w:t>4</w:t>
            </w:r>
            <w:r w:rsidRPr="00FA3F9C">
              <w:rPr>
                <w:rFonts w:ascii="Arial" w:hAnsi="Arial" w:cs="Arial"/>
                <w:bCs/>
                <w:color w:val="000000"/>
                <w:sz w:val="24"/>
                <w:szCs w:val="24"/>
              </w:rPr>
              <w:t xml:space="preserve">. </w:t>
            </w:r>
          </w:p>
          <w:p w14:paraId="5D50CEB1" w14:textId="77777777" w:rsidR="001506C1" w:rsidRPr="00FA3F9C" w:rsidRDefault="001506C1" w:rsidP="00652A6E">
            <w:r w:rsidRPr="00FA3F9C">
              <w:t>REFERENCES:</w:t>
            </w:r>
          </w:p>
          <w:p w14:paraId="00163A0A" w14:textId="77777777" w:rsidR="001506C1" w:rsidRPr="00FA3F9C" w:rsidRDefault="00500371" w:rsidP="00652A6E">
            <w:pPr>
              <w:rPr>
                <w:rFonts w:eastAsia="Times New Roman"/>
              </w:rPr>
            </w:pPr>
            <w:hyperlink r:id="rId69" w:history="1">
              <w:proofErr w:type="spellStart"/>
              <w:r w:rsidR="001506C1" w:rsidRPr="00FA3F9C">
                <w:rPr>
                  <w:rFonts w:eastAsia="Times New Roman"/>
                </w:rPr>
                <w:t>Elisei</w:t>
              </w:r>
              <w:proofErr w:type="spellEnd"/>
              <w:r w:rsidR="001506C1" w:rsidRPr="00FA3F9C">
                <w:rPr>
                  <w:rFonts w:eastAsia="Times New Roman"/>
                </w:rPr>
                <w:t xml:space="preserve"> R</w:t>
              </w:r>
            </w:hyperlink>
            <w:r w:rsidR="001506C1" w:rsidRPr="00FA3F9C">
              <w:rPr>
                <w:rFonts w:eastAsia="Times New Roman"/>
              </w:rPr>
              <w:t xml:space="preserve"> et al. </w:t>
            </w:r>
            <w:proofErr w:type="spellStart"/>
            <w:r w:rsidR="001506C1" w:rsidRPr="00FA3F9C">
              <w:rPr>
                <w:rFonts w:eastAsia="Times New Roman"/>
                <w:kern w:val="36"/>
              </w:rPr>
              <w:t>Cabozantinib</w:t>
            </w:r>
            <w:proofErr w:type="spellEnd"/>
            <w:r w:rsidR="001506C1" w:rsidRPr="00FA3F9C">
              <w:rPr>
                <w:rFonts w:eastAsia="Times New Roman"/>
                <w:kern w:val="36"/>
              </w:rPr>
              <w:t xml:space="preserve"> in progressive medullary thyroid cancer. </w:t>
            </w:r>
            <w:hyperlink r:id="rId70" w:tooltip="Journal of clinical oncology : official journal of the American Society of Clinical Oncology." w:history="1">
              <w:r w:rsidR="001506C1" w:rsidRPr="00FA3F9C">
                <w:rPr>
                  <w:rFonts w:eastAsia="Times New Roman"/>
                </w:rPr>
                <w:t>J Clin Oncol.</w:t>
              </w:r>
            </w:hyperlink>
            <w:r w:rsidR="001506C1" w:rsidRPr="00FA3F9C">
              <w:rPr>
                <w:rFonts w:eastAsia="Times New Roman"/>
              </w:rPr>
              <w:t xml:space="preserve"> 2013 Oct 10;31(29):3639-46. </w:t>
            </w:r>
            <w:hyperlink r:id="rId71" w:tooltip="See in ClinicalTrials.gov" w:history="1">
              <w:r w:rsidR="001506C1" w:rsidRPr="00FA3F9C">
                <w:rPr>
                  <w:rStyle w:val="highlight"/>
                  <w:rFonts w:ascii="Arial" w:hAnsi="Arial" w:cs="Arial"/>
                  <w:sz w:val="24"/>
                  <w:szCs w:val="24"/>
                </w:rPr>
                <w:t>NCT00704730</w:t>
              </w:r>
            </w:hyperlink>
            <w:r w:rsidR="001506C1" w:rsidRPr="00FA3F9C">
              <w:rPr>
                <w:rFonts w:eastAsia="Times New Roman"/>
              </w:rPr>
              <w:t xml:space="preserve"> PMID 24002501</w:t>
            </w:r>
          </w:p>
          <w:p w14:paraId="6FBD4E06" w14:textId="77777777" w:rsidR="001506C1" w:rsidRPr="00FA3F9C" w:rsidRDefault="00500371" w:rsidP="00652A6E">
            <w:pPr>
              <w:rPr>
                <w:rFonts w:eastAsia="Times New Roman"/>
              </w:rPr>
            </w:pPr>
            <w:hyperlink r:id="rId72" w:history="1">
              <w:r w:rsidR="001506C1" w:rsidRPr="00FA3F9C">
                <w:rPr>
                  <w:rFonts w:eastAsia="Times New Roman"/>
                </w:rPr>
                <w:t>Schlumberger M</w:t>
              </w:r>
            </w:hyperlink>
            <w:r w:rsidR="001506C1" w:rsidRPr="00FA3F9C">
              <w:rPr>
                <w:rFonts w:eastAsia="Times New Roman"/>
              </w:rPr>
              <w:t xml:space="preserve"> et al.  </w:t>
            </w:r>
            <w:r w:rsidR="001506C1" w:rsidRPr="00FA3F9C">
              <w:rPr>
                <w:rFonts w:eastAsia="Times New Roman"/>
                <w:kern w:val="36"/>
              </w:rPr>
              <w:t xml:space="preserve">Overall survival analysis of EXAM, a phase III trial of </w:t>
            </w:r>
            <w:proofErr w:type="spellStart"/>
            <w:r w:rsidR="001506C1" w:rsidRPr="00FA3F9C">
              <w:rPr>
                <w:rFonts w:eastAsia="Times New Roman"/>
                <w:kern w:val="36"/>
              </w:rPr>
              <w:t>cabozantinib</w:t>
            </w:r>
            <w:proofErr w:type="spellEnd"/>
            <w:r w:rsidR="001506C1" w:rsidRPr="00FA3F9C">
              <w:rPr>
                <w:rFonts w:eastAsia="Times New Roman"/>
                <w:kern w:val="36"/>
              </w:rPr>
              <w:t xml:space="preserve"> in patients with radiographically progressive medullary thyroid carcinoma.</w:t>
            </w:r>
            <w:r w:rsidR="001506C1" w:rsidRPr="00FA3F9C">
              <w:rPr>
                <w:rFonts w:eastAsia="Times New Roman"/>
              </w:rPr>
              <w:t xml:space="preserve"> </w:t>
            </w:r>
            <w:hyperlink r:id="rId73" w:tooltip="Annals of oncology : official journal of the European Society for Medical Oncology." w:history="1">
              <w:r w:rsidR="001506C1" w:rsidRPr="00FA3F9C">
                <w:rPr>
                  <w:rFonts w:eastAsia="Times New Roman"/>
                </w:rPr>
                <w:t>Ann Oncol.</w:t>
              </w:r>
            </w:hyperlink>
            <w:r w:rsidR="001506C1" w:rsidRPr="00FA3F9C">
              <w:rPr>
                <w:rFonts w:eastAsia="Times New Roman"/>
              </w:rPr>
              <w:t xml:space="preserve"> 2017 Nov 1;28(11):2813-2819.</w:t>
            </w:r>
            <w:r w:rsidR="001506C1" w:rsidRPr="00FA3F9C">
              <w:t xml:space="preserve"> </w:t>
            </w:r>
            <w:hyperlink r:id="rId74" w:tooltip="See in ClinicalTrials.gov" w:history="1">
              <w:r w:rsidR="001506C1" w:rsidRPr="00FA3F9C">
                <w:rPr>
                  <w:rStyle w:val="highlight"/>
                  <w:rFonts w:ascii="Arial" w:hAnsi="Arial" w:cs="Arial"/>
                  <w:sz w:val="24"/>
                  <w:szCs w:val="24"/>
                </w:rPr>
                <w:t>NCT00704730</w:t>
              </w:r>
            </w:hyperlink>
            <w:r w:rsidR="001506C1" w:rsidRPr="00FA3F9C">
              <w:rPr>
                <w:rFonts w:eastAsia="Times New Roman"/>
              </w:rPr>
              <w:t xml:space="preserve"> PMID 29045520</w:t>
            </w:r>
          </w:p>
          <w:p w14:paraId="4C672574" w14:textId="77777777" w:rsidR="001506C1" w:rsidRPr="00FA3F9C" w:rsidRDefault="001506C1" w:rsidP="00652A6E">
            <w:r w:rsidRPr="00FA3F9C">
              <w:t xml:space="preserve">NCCN guidelines. Thyroid Carcinoma version 3.2018.  </w:t>
            </w:r>
            <w:hyperlink r:id="rId75" w:history="1">
              <w:r w:rsidRPr="00FA3F9C">
                <w:rPr>
                  <w:rStyle w:val="Hyperlink"/>
                  <w:rFonts w:ascii="Arial" w:eastAsia="Times New Roman" w:hAnsi="Arial" w:cs="Arial"/>
                  <w:sz w:val="24"/>
                  <w:szCs w:val="24"/>
                </w:rPr>
                <w:t>https://www.nccn.org/professionals/physician_gls/pdf/thyroid.pdf</w:t>
              </w:r>
            </w:hyperlink>
            <w:r w:rsidRPr="00FA3F9C">
              <w:t>. Accessed 3/18/19.</w:t>
            </w:r>
          </w:p>
          <w:p w14:paraId="2C14C28F" w14:textId="77777777" w:rsidR="001506C1" w:rsidRPr="00FA3F9C" w:rsidRDefault="001506C1" w:rsidP="00652A6E">
            <w:pPr>
              <w:rPr>
                <w:bCs/>
                <w:color w:val="000000"/>
              </w:rPr>
            </w:pPr>
            <w:r w:rsidRPr="00FA3F9C">
              <w:t xml:space="preserve">Nguyen et al. Pharmacokinetics of </w:t>
            </w:r>
            <w:proofErr w:type="spellStart"/>
            <w:r w:rsidRPr="00FA3F9C">
              <w:t>cabozantinib</w:t>
            </w:r>
            <w:proofErr w:type="spellEnd"/>
            <w:r w:rsidRPr="00FA3F9C">
              <w:t xml:space="preserve"> tablet and capsule formulations in healthy adults. Anti-Cancer Drugs. 27(7):669-678. PMID 27139820</w:t>
            </w:r>
          </w:p>
        </w:tc>
      </w:tr>
    </w:tbl>
    <w:p w14:paraId="3B41CD76" w14:textId="77777777" w:rsidR="001506C1" w:rsidRPr="00FA3F9C" w:rsidRDefault="001506C1" w:rsidP="006F623F">
      <w:pPr>
        <w:spacing w:after="0"/>
        <w:rPr>
          <w:rFonts w:ascii="Arial" w:hAnsi="Arial" w:cs="Arial"/>
          <w:b/>
          <w:sz w:val="24"/>
          <w:szCs w:val="24"/>
          <w:u w:val="single"/>
        </w:rPr>
      </w:pPr>
    </w:p>
    <w:tbl>
      <w:tblPr>
        <w:tblStyle w:val="TableGrid"/>
        <w:tblW w:w="0" w:type="auto"/>
        <w:tblLook w:val="04A0" w:firstRow="1" w:lastRow="0" w:firstColumn="1" w:lastColumn="0" w:noHBand="0" w:noVBand="1"/>
      </w:tblPr>
      <w:tblGrid>
        <w:gridCol w:w="8748"/>
        <w:gridCol w:w="2042"/>
      </w:tblGrid>
      <w:tr w:rsidR="001506C1" w:rsidRPr="00FA3F9C" w14:paraId="1C2DB26F" w14:textId="77777777" w:rsidTr="00600E9B">
        <w:tc>
          <w:tcPr>
            <w:tcW w:w="8748" w:type="dxa"/>
            <w:shd w:val="clear" w:color="auto" w:fill="000000"/>
          </w:tcPr>
          <w:p w14:paraId="6673EEE6" w14:textId="77777777" w:rsidR="001506C1" w:rsidRPr="00FA3F9C" w:rsidRDefault="001506C1" w:rsidP="00600E9B">
            <w:pPr>
              <w:rPr>
                <w:rFonts w:ascii="Arial" w:hAnsi="Arial" w:cs="Arial"/>
                <w:sz w:val="24"/>
                <w:szCs w:val="24"/>
              </w:rPr>
            </w:pPr>
            <w:r w:rsidRPr="00FA3F9C">
              <w:rPr>
                <w:rFonts w:ascii="Arial" w:hAnsi="Arial" w:cs="Arial"/>
                <w:sz w:val="24"/>
                <w:szCs w:val="24"/>
              </w:rPr>
              <w:t xml:space="preserve">Renal Cell Carcinoma (CABOMETYX):  in combination with nivolumab </w:t>
            </w:r>
          </w:p>
        </w:tc>
        <w:tc>
          <w:tcPr>
            <w:tcW w:w="2042" w:type="dxa"/>
            <w:shd w:val="clear" w:color="auto" w:fill="000000"/>
          </w:tcPr>
          <w:p w14:paraId="08A0CEE4" w14:textId="77777777" w:rsidR="001506C1" w:rsidRPr="00FA3F9C" w:rsidRDefault="001506C1" w:rsidP="002F25E3">
            <w:pPr>
              <w:jc w:val="center"/>
              <w:rPr>
                <w:rFonts w:ascii="Arial" w:hAnsi="Arial" w:cs="Arial"/>
                <w:b/>
                <w:sz w:val="24"/>
                <w:szCs w:val="24"/>
                <w:u w:val="single"/>
              </w:rPr>
            </w:pPr>
          </w:p>
        </w:tc>
      </w:tr>
      <w:tr w:rsidR="001506C1" w:rsidRPr="00FA3F9C" w14:paraId="7B265CD9" w14:textId="77777777" w:rsidTr="00600E9B">
        <w:tc>
          <w:tcPr>
            <w:tcW w:w="10790" w:type="dxa"/>
            <w:gridSpan w:val="2"/>
          </w:tcPr>
          <w:p w14:paraId="2023093E" w14:textId="77777777" w:rsidR="001506C1" w:rsidRPr="00FA3F9C" w:rsidRDefault="001506C1" w:rsidP="00600E9B">
            <w:pPr>
              <w:rPr>
                <w:rFonts w:ascii="Arial" w:hAnsi="Arial" w:cs="Arial"/>
                <w:sz w:val="24"/>
                <w:szCs w:val="24"/>
              </w:rPr>
            </w:pPr>
            <w:r w:rsidRPr="00FA3F9C">
              <w:rPr>
                <w:rFonts w:ascii="Arial" w:hAnsi="Arial" w:cs="Arial"/>
                <w:bCs/>
                <w:color w:val="000000"/>
                <w:sz w:val="24"/>
                <w:szCs w:val="24"/>
              </w:rPr>
              <w:t>1.  Patient meets criteria as listed in nivolumab (</w:t>
            </w:r>
            <w:proofErr w:type="spellStart"/>
            <w:r w:rsidRPr="00FA3F9C">
              <w:rPr>
                <w:rFonts w:ascii="Arial" w:hAnsi="Arial" w:cs="Arial"/>
                <w:bCs/>
                <w:color w:val="000000"/>
                <w:sz w:val="24"/>
                <w:szCs w:val="24"/>
              </w:rPr>
              <w:t>Opdivo</w:t>
            </w:r>
            <w:proofErr w:type="spellEnd"/>
            <w:r w:rsidRPr="00FA3F9C">
              <w:rPr>
                <w:rFonts w:ascii="Arial" w:hAnsi="Arial" w:cs="Arial"/>
                <w:bCs/>
                <w:color w:val="000000"/>
                <w:sz w:val="24"/>
                <w:szCs w:val="24"/>
              </w:rPr>
              <w:t>) criteria under FIRST LINE TREATMENT CRITERIA for use with CABOZANTINIB.</w:t>
            </w:r>
          </w:p>
        </w:tc>
      </w:tr>
    </w:tbl>
    <w:p w14:paraId="09C4DC0F" w14:textId="77777777" w:rsidR="001506C1" w:rsidRPr="00FA3F9C" w:rsidRDefault="001506C1" w:rsidP="006F623F">
      <w:pPr>
        <w:spacing w:after="0"/>
        <w:rPr>
          <w:rFonts w:ascii="Arial" w:hAnsi="Arial" w:cs="Arial"/>
          <w:b/>
          <w:sz w:val="24"/>
          <w:szCs w:val="24"/>
          <w:u w:val="single"/>
        </w:rPr>
      </w:pPr>
    </w:p>
    <w:tbl>
      <w:tblPr>
        <w:tblStyle w:val="TableGrid"/>
        <w:tblW w:w="0" w:type="auto"/>
        <w:tblLook w:val="04A0" w:firstRow="1" w:lastRow="0" w:firstColumn="1" w:lastColumn="0" w:noHBand="0" w:noVBand="1"/>
      </w:tblPr>
      <w:tblGrid>
        <w:gridCol w:w="8748"/>
        <w:gridCol w:w="2042"/>
      </w:tblGrid>
      <w:tr w:rsidR="001506C1" w:rsidRPr="00FA3F9C" w14:paraId="4C8EA9E4" w14:textId="77777777" w:rsidTr="00600E9B">
        <w:tc>
          <w:tcPr>
            <w:tcW w:w="8748" w:type="dxa"/>
            <w:shd w:val="clear" w:color="auto" w:fill="000000"/>
          </w:tcPr>
          <w:p w14:paraId="603ADC3A" w14:textId="77777777" w:rsidR="001506C1" w:rsidRPr="00FA3F9C" w:rsidRDefault="001506C1" w:rsidP="00600E9B">
            <w:pPr>
              <w:rPr>
                <w:rFonts w:ascii="Arial" w:hAnsi="Arial" w:cs="Arial"/>
                <w:sz w:val="24"/>
                <w:szCs w:val="24"/>
              </w:rPr>
            </w:pPr>
            <w:r w:rsidRPr="00FA3F9C">
              <w:rPr>
                <w:rFonts w:ascii="Arial" w:hAnsi="Arial" w:cs="Arial"/>
                <w:sz w:val="24"/>
                <w:szCs w:val="24"/>
              </w:rPr>
              <w:t xml:space="preserve">Renal Cell Carcinoma (CABOMETYX):  monotherapy </w:t>
            </w:r>
          </w:p>
        </w:tc>
        <w:tc>
          <w:tcPr>
            <w:tcW w:w="2042" w:type="dxa"/>
            <w:shd w:val="clear" w:color="auto" w:fill="000000"/>
          </w:tcPr>
          <w:p w14:paraId="4D1F806D" w14:textId="77777777" w:rsidR="001506C1" w:rsidRPr="00FA3F9C" w:rsidRDefault="001506C1" w:rsidP="00F20E5E">
            <w:pPr>
              <w:jc w:val="center"/>
              <w:rPr>
                <w:rFonts w:ascii="Arial" w:hAnsi="Arial" w:cs="Arial"/>
                <w:b/>
                <w:sz w:val="24"/>
                <w:szCs w:val="24"/>
                <w:u w:val="single"/>
              </w:rPr>
            </w:pPr>
          </w:p>
        </w:tc>
      </w:tr>
      <w:tr w:rsidR="001506C1" w:rsidRPr="00FA3F9C" w14:paraId="7D975FE6" w14:textId="77777777" w:rsidTr="00600E9B">
        <w:tc>
          <w:tcPr>
            <w:tcW w:w="10790" w:type="dxa"/>
            <w:gridSpan w:val="2"/>
          </w:tcPr>
          <w:p w14:paraId="181876EF" w14:textId="77777777" w:rsidR="001506C1" w:rsidRPr="00FA3F9C" w:rsidRDefault="001506C1" w:rsidP="000E33D7">
            <w:pPr>
              <w:rPr>
                <w:rFonts w:ascii="Arial" w:hAnsi="Arial" w:cs="Arial"/>
                <w:sz w:val="24"/>
                <w:szCs w:val="24"/>
              </w:rPr>
            </w:pPr>
            <w:r w:rsidRPr="00FA3F9C">
              <w:rPr>
                <w:rFonts w:ascii="Arial" w:hAnsi="Arial" w:cs="Arial"/>
                <w:bCs/>
                <w:color w:val="000000"/>
                <w:sz w:val="24"/>
                <w:szCs w:val="24"/>
              </w:rPr>
              <w:t xml:space="preserve">1.  Diagnosis of advanced or metastatic renal cell carcinoma with a clear cell component that progressed after receiving at least one prior treatment with a VEGF-targeting TKI (pazopanib, sunitinib, </w:t>
            </w:r>
            <w:proofErr w:type="spellStart"/>
            <w:r w:rsidRPr="00FA3F9C">
              <w:rPr>
                <w:rFonts w:ascii="Arial" w:hAnsi="Arial" w:cs="Arial"/>
                <w:bCs/>
                <w:color w:val="000000"/>
                <w:sz w:val="24"/>
                <w:szCs w:val="24"/>
              </w:rPr>
              <w:t>axitinib</w:t>
            </w:r>
            <w:proofErr w:type="spellEnd"/>
            <w:r w:rsidRPr="00FA3F9C">
              <w:rPr>
                <w:rFonts w:ascii="Arial" w:hAnsi="Arial" w:cs="Arial"/>
                <w:bCs/>
                <w:color w:val="000000"/>
                <w:sz w:val="24"/>
                <w:szCs w:val="24"/>
              </w:rPr>
              <w:t xml:space="preserve">, </w:t>
            </w:r>
            <w:proofErr w:type="spellStart"/>
            <w:r w:rsidRPr="00FA3F9C">
              <w:rPr>
                <w:rFonts w:ascii="Arial" w:hAnsi="Arial" w:cs="Arial"/>
                <w:bCs/>
                <w:color w:val="000000"/>
                <w:sz w:val="24"/>
                <w:szCs w:val="24"/>
              </w:rPr>
              <w:t>lenvatinib</w:t>
            </w:r>
            <w:proofErr w:type="spellEnd"/>
            <w:r w:rsidRPr="00FA3F9C">
              <w:rPr>
                <w:rFonts w:ascii="Arial" w:hAnsi="Arial" w:cs="Arial"/>
                <w:bCs/>
                <w:color w:val="000000"/>
                <w:sz w:val="24"/>
                <w:szCs w:val="24"/>
              </w:rPr>
              <w:t>)</w:t>
            </w:r>
          </w:p>
        </w:tc>
      </w:tr>
      <w:tr w:rsidR="001506C1" w:rsidRPr="00FA3F9C" w14:paraId="44E957FB" w14:textId="77777777" w:rsidTr="00600E9B">
        <w:tc>
          <w:tcPr>
            <w:tcW w:w="10790" w:type="dxa"/>
            <w:gridSpan w:val="2"/>
          </w:tcPr>
          <w:p w14:paraId="3346F9C9" w14:textId="77777777" w:rsidR="001506C1" w:rsidRPr="00FA3F9C" w:rsidRDefault="001506C1" w:rsidP="00A44787">
            <w:pPr>
              <w:rPr>
                <w:rFonts w:ascii="Arial" w:hAnsi="Arial" w:cs="Arial"/>
                <w:sz w:val="24"/>
                <w:szCs w:val="24"/>
              </w:rPr>
            </w:pPr>
            <w:r w:rsidRPr="00FA3F9C">
              <w:rPr>
                <w:rFonts w:ascii="Arial" w:hAnsi="Arial" w:cs="Arial"/>
                <w:bCs/>
                <w:color w:val="000000"/>
                <w:sz w:val="24"/>
                <w:szCs w:val="24"/>
              </w:rPr>
              <w:t xml:space="preserve">2.  Patient must be </w:t>
            </w:r>
            <w:proofErr w:type="spellStart"/>
            <w:r w:rsidRPr="00FA3F9C">
              <w:rPr>
                <w:rFonts w:ascii="Arial" w:hAnsi="Arial" w:cs="Arial"/>
                <w:bCs/>
                <w:color w:val="000000"/>
                <w:sz w:val="24"/>
                <w:szCs w:val="24"/>
              </w:rPr>
              <w:t>Karnofsky</w:t>
            </w:r>
            <w:proofErr w:type="spellEnd"/>
            <w:r w:rsidRPr="00FA3F9C">
              <w:rPr>
                <w:rFonts w:ascii="Arial" w:hAnsi="Arial" w:cs="Arial"/>
                <w:bCs/>
                <w:color w:val="000000"/>
                <w:sz w:val="24"/>
                <w:szCs w:val="24"/>
              </w:rPr>
              <w:t xml:space="preserve"> performance status </w:t>
            </w:r>
            <w:r w:rsidRPr="00FA3F9C">
              <w:rPr>
                <w:rFonts w:ascii="Arial" w:hAnsi="Arial" w:cs="Arial"/>
                <w:bCs/>
                <w:color w:val="000000"/>
                <w:sz w:val="24"/>
                <w:szCs w:val="24"/>
                <w:u w:val="single"/>
              </w:rPr>
              <w:t>&gt;</w:t>
            </w:r>
            <w:r w:rsidRPr="00FA3F9C">
              <w:rPr>
                <w:rFonts w:ascii="Arial" w:hAnsi="Arial" w:cs="Arial"/>
                <w:bCs/>
                <w:color w:val="000000"/>
                <w:sz w:val="24"/>
                <w:szCs w:val="24"/>
              </w:rPr>
              <w:t>70% at the initial request.</w:t>
            </w:r>
          </w:p>
        </w:tc>
      </w:tr>
      <w:tr w:rsidR="001506C1" w:rsidRPr="00FA3F9C" w14:paraId="420A7289" w14:textId="77777777" w:rsidTr="00600E9B">
        <w:tc>
          <w:tcPr>
            <w:tcW w:w="10790" w:type="dxa"/>
            <w:gridSpan w:val="2"/>
          </w:tcPr>
          <w:p w14:paraId="46E1085B" w14:textId="77777777" w:rsidR="001506C1" w:rsidRPr="00FA3F9C" w:rsidRDefault="001506C1" w:rsidP="00F20E5E">
            <w:pPr>
              <w:rPr>
                <w:rFonts w:ascii="Arial" w:hAnsi="Arial" w:cs="Arial"/>
                <w:bCs/>
                <w:color w:val="000000"/>
                <w:sz w:val="24"/>
                <w:szCs w:val="24"/>
              </w:rPr>
            </w:pPr>
            <w:r w:rsidRPr="00FA3F9C">
              <w:rPr>
                <w:rFonts w:ascii="Arial" w:hAnsi="Arial" w:cs="Arial"/>
                <w:bCs/>
                <w:color w:val="000000"/>
                <w:sz w:val="24"/>
                <w:szCs w:val="24"/>
              </w:rPr>
              <w:t>If the answer to both questions above are “yes,” approve for 1 year.  QL of 60mg/day (RCC dose) unless taking concurrent 3A4 inducer, not to exceed 80mg daily.</w:t>
            </w:r>
          </w:p>
        </w:tc>
      </w:tr>
      <w:tr w:rsidR="001506C1" w:rsidRPr="00FA3F9C" w14:paraId="144B3CD7" w14:textId="77777777" w:rsidTr="00600E9B">
        <w:tc>
          <w:tcPr>
            <w:tcW w:w="10790" w:type="dxa"/>
            <w:gridSpan w:val="2"/>
            <w:shd w:val="clear" w:color="auto" w:fill="BFBFBF" w:themeFill="background1" w:themeFillShade="BF"/>
          </w:tcPr>
          <w:p w14:paraId="25D8C5B1" w14:textId="77777777" w:rsidR="001506C1" w:rsidRPr="00FA3F9C" w:rsidRDefault="001506C1" w:rsidP="00F20E5E">
            <w:pPr>
              <w:rPr>
                <w:rFonts w:ascii="Arial" w:hAnsi="Arial" w:cs="Arial"/>
                <w:bCs/>
                <w:color w:val="000000"/>
                <w:sz w:val="24"/>
                <w:szCs w:val="24"/>
              </w:rPr>
            </w:pPr>
            <w:r w:rsidRPr="00FA3F9C">
              <w:rPr>
                <w:rFonts w:ascii="Arial" w:hAnsi="Arial" w:cs="Arial"/>
                <w:bCs/>
                <w:color w:val="000000"/>
                <w:sz w:val="24"/>
                <w:szCs w:val="24"/>
              </w:rPr>
              <w:t>Notes:</w:t>
            </w:r>
          </w:p>
          <w:p w14:paraId="0824DB90" w14:textId="77777777" w:rsidR="001506C1" w:rsidRPr="00FA3F9C" w:rsidRDefault="001506C1" w:rsidP="001506C1">
            <w:pPr>
              <w:pStyle w:val="ListParagraph"/>
              <w:numPr>
                <w:ilvl w:val="0"/>
                <w:numId w:val="82"/>
              </w:numPr>
              <w:ind w:left="180" w:hanging="180"/>
              <w:rPr>
                <w:rFonts w:ascii="Arial" w:hAnsi="Arial" w:cs="Arial"/>
                <w:bCs/>
                <w:color w:val="000000"/>
                <w:sz w:val="24"/>
                <w:szCs w:val="24"/>
              </w:rPr>
            </w:pPr>
            <w:proofErr w:type="spellStart"/>
            <w:r w:rsidRPr="00FA3F9C">
              <w:rPr>
                <w:rFonts w:ascii="Arial" w:hAnsi="Arial" w:cs="Arial"/>
                <w:bCs/>
                <w:color w:val="000000"/>
                <w:sz w:val="24"/>
                <w:szCs w:val="24"/>
              </w:rPr>
              <w:t>Cabozantinib</w:t>
            </w:r>
            <w:proofErr w:type="spellEnd"/>
            <w:r w:rsidRPr="00FA3F9C">
              <w:rPr>
                <w:rFonts w:ascii="Arial" w:hAnsi="Arial" w:cs="Arial"/>
                <w:bCs/>
                <w:color w:val="000000"/>
                <w:sz w:val="24"/>
                <w:szCs w:val="24"/>
              </w:rPr>
              <w:t xml:space="preserve"> (</w:t>
            </w:r>
            <w:proofErr w:type="spellStart"/>
            <w:r w:rsidRPr="00FA3F9C">
              <w:rPr>
                <w:rFonts w:ascii="Arial" w:hAnsi="Arial" w:cs="Arial"/>
                <w:bCs/>
                <w:color w:val="000000"/>
                <w:sz w:val="24"/>
                <w:szCs w:val="24"/>
              </w:rPr>
              <w:t>Cabometyx</w:t>
            </w:r>
            <w:proofErr w:type="spellEnd"/>
            <w:r w:rsidRPr="00FA3F9C">
              <w:rPr>
                <w:rFonts w:ascii="Arial" w:hAnsi="Arial" w:cs="Arial"/>
                <w:bCs/>
                <w:color w:val="000000"/>
                <w:sz w:val="24"/>
                <w:szCs w:val="24"/>
              </w:rPr>
              <w:t xml:space="preserve">) was compared to </w:t>
            </w:r>
            <w:proofErr w:type="spellStart"/>
            <w:r w:rsidRPr="00FA3F9C">
              <w:rPr>
                <w:rFonts w:ascii="Arial" w:hAnsi="Arial" w:cs="Arial"/>
                <w:bCs/>
                <w:color w:val="000000"/>
                <w:sz w:val="24"/>
                <w:szCs w:val="24"/>
              </w:rPr>
              <w:t>everolimus</w:t>
            </w:r>
            <w:proofErr w:type="spellEnd"/>
            <w:r w:rsidRPr="00FA3F9C">
              <w:rPr>
                <w:rFonts w:ascii="Arial" w:hAnsi="Arial" w:cs="Arial"/>
                <w:bCs/>
                <w:color w:val="000000"/>
                <w:sz w:val="24"/>
                <w:szCs w:val="24"/>
              </w:rPr>
              <w:t xml:space="preserve"> in patients with advanced renal cell carcinoma (RCC) with a clear cell component on pathology. </w:t>
            </w:r>
            <w:proofErr w:type="spellStart"/>
            <w:r w:rsidRPr="00FA3F9C">
              <w:rPr>
                <w:rFonts w:ascii="Arial" w:hAnsi="Arial" w:cs="Arial"/>
                <w:bCs/>
                <w:color w:val="000000"/>
                <w:sz w:val="24"/>
                <w:szCs w:val="24"/>
              </w:rPr>
              <w:t>Cabozantinib</w:t>
            </w:r>
            <w:proofErr w:type="spellEnd"/>
            <w:r w:rsidRPr="00FA3F9C">
              <w:rPr>
                <w:rFonts w:ascii="Arial" w:hAnsi="Arial" w:cs="Arial"/>
                <w:bCs/>
                <w:color w:val="000000"/>
                <w:sz w:val="24"/>
                <w:szCs w:val="24"/>
              </w:rPr>
              <w:t xml:space="preserve"> improved overall survival ( 21.4 </w:t>
            </w:r>
            <w:proofErr w:type="spellStart"/>
            <w:r w:rsidRPr="00FA3F9C">
              <w:rPr>
                <w:rFonts w:ascii="Arial" w:hAnsi="Arial" w:cs="Arial"/>
                <w:bCs/>
                <w:color w:val="000000"/>
                <w:sz w:val="24"/>
                <w:szCs w:val="24"/>
              </w:rPr>
              <w:t>mo</w:t>
            </w:r>
            <w:proofErr w:type="spellEnd"/>
            <w:r w:rsidRPr="00FA3F9C">
              <w:rPr>
                <w:rFonts w:ascii="Arial" w:hAnsi="Arial" w:cs="Arial"/>
                <w:bCs/>
                <w:color w:val="000000"/>
                <w:sz w:val="24"/>
                <w:szCs w:val="24"/>
              </w:rPr>
              <w:t xml:space="preserve"> vs 16.5 </w:t>
            </w:r>
            <w:proofErr w:type="spellStart"/>
            <w:r w:rsidRPr="00FA3F9C">
              <w:rPr>
                <w:rFonts w:ascii="Arial" w:hAnsi="Arial" w:cs="Arial"/>
                <w:bCs/>
                <w:color w:val="000000"/>
                <w:sz w:val="24"/>
                <w:szCs w:val="24"/>
              </w:rPr>
              <w:t>mo</w:t>
            </w:r>
            <w:proofErr w:type="spellEnd"/>
            <w:r w:rsidRPr="00FA3F9C">
              <w:rPr>
                <w:rFonts w:ascii="Arial" w:hAnsi="Arial" w:cs="Arial"/>
                <w:bCs/>
                <w:color w:val="000000"/>
                <w:sz w:val="24"/>
                <w:szCs w:val="24"/>
              </w:rPr>
              <w:t>), progression free survival and response rate.</w:t>
            </w:r>
            <w:r w:rsidRPr="00FA3F9C">
              <w:rPr>
                <w:rFonts w:ascii="Arial" w:hAnsi="Arial" w:cs="Arial"/>
                <w:bCs/>
                <w:color w:val="000000"/>
                <w:sz w:val="24"/>
                <w:szCs w:val="24"/>
                <w:vertAlign w:val="superscript"/>
              </w:rPr>
              <w:t>1</w:t>
            </w:r>
          </w:p>
          <w:p w14:paraId="0907E900" w14:textId="77777777" w:rsidR="001506C1" w:rsidRPr="00FA3F9C" w:rsidRDefault="001506C1" w:rsidP="00513340">
            <w:pPr>
              <w:rPr>
                <w:rFonts w:ascii="Arial" w:hAnsi="Arial" w:cs="Arial"/>
                <w:bCs/>
                <w:color w:val="000000"/>
                <w:sz w:val="24"/>
                <w:szCs w:val="24"/>
              </w:rPr>
            </w:pPr>
          </w:p>
          <w:p w14:paraId="0F8255A2" w14:textId="77777777" w:rsidR="001506C1" w:rsidRPr="00FA3F9C" w:rsidRDefault="001506C1" w:rsidP="000E33D7">
            <w:pPr>
              <w:rPr>
                <w:rFonts w:ascii="Arial" w:hAnsi="Arial" w:cs="Arial"/>
                <w:bCs/>
                <w:color w:val="000000"/>
                <w:sz w:val="24"/>
                <w:szCs w:val="24"/>
              </w:rPr>
            </w:pPr>
            <w:r w:rsidRPr="00FA3F9C">
              <w:rPr>
                <w:rFonts w:ascii="Arial" w:hAnsi="Arial" w:cs="Arial"/>
                <w:bCs/>
                <w:color w:val="000000"/>
                <w:sz w:val="24"/>
                <w:szCs w:val="24"/>
              </w:rPr>
              <w:t xml:space="preserve">Dose: </w:t>
            </w:r>
          </w:p>
          <w:p w14:paraId="161BD6E9" w14:textId="77777777" w:rsidR="001506C1" w:rsidRPr="00FA3F9C" w:rsidRDefault="001506C1" w:rsidP="000E33D7">
            <w:pPr>
              <w:rPr>
                <w:rFonts w:ascii="Arial" w:hAnsi="Arial" w:cs="Arial"/>
                <w:bCs/>
                <w:color w:val="000000"/>
                <w:sz w:val="24"/>
                <w:szCs w:val="24"/>
              </w:rPr>
            </w:pPr>
            <w:r w:rsidRPr="00FA3F9C">
              <w:rPr>
                <w:rFonts w:ascii="Arial" w:hAnsi="Arial" w:cs="Arial"/>
                <w:bCs/>
                <w:color w:val="000000"/>
                <w:sz w:val="24"/>
                <w:szCs w:val="24"/>
              </w:rPr>
              <w:t>60 mg daily (</w:t>
            </w:r>
            <w:proofErr w:type="spellStart"/>
            <w:r w:rsidRPr="00FA3F9C">
              <w:rPr>
                <w:rFonts w:ascii="Arial" w:hAnsi="Arial" w:cs="Arial"/>
                <w:bCs/>
                <w:color w:val="000000"/>
                <w:sz w:val="24"/>
                <w:szCs w:val="24"/>
              </w:rPr>
              <w:t>Cabometyx</w:t>
            </w:r>
            <w:proofErr w:type="spellEnd"/>
            <w:r w:rsidRPr="00FA3F9C">
              <w:rPr>
                <w:rFonts w:ascii="Arial" w:hAnsi="Arial" w:cs="Arial"/>
                <w:bCs/>
                <w:color w:val="000000"/>
                <w:sz w:val="24"/>
                <w:szCs w:val="24"/>
              </w:rPr>
              <w:t xml:space="preserve">). </w:t>
            </w:r>
          </w:p>
          <w:p w14:paraId="45105ED1" w14:textId="77777777" w:rsidR="001506C1" w:rsidRPr="00FA3F9C" w:rsidRDefault="001506C1" w:rsidP="000E33D7">
            <w:pPr>
              <w:rPr>
                <w:rFonts w:ascii="Arial" w:hAnsi="Arial" w:cs="Arial"/>
                <w:bCs/>
                <w:color w:val="000000"/>
                <w:sz w:val="24"/>
                <w:szCs w:val="24"/>
              </w:rPr>
            </w:pPr>
          </w:p>
          <w:p w14:paraId="20125E48" w14:textId="77777777" w:rsidR="001506C1" w:rsidRPr="00FA3F9C" w:rsidRDefault="001506C1" w:rsidP="000E33D7">
            <w:pPr>
              <w:rPr>
                <w:rFonts w:ascii="Arial" w:hAnsi="Arial" w:cs="Arial"/>
                <w:bCs/>
                <w:color w:val="000000"/>
                <w:sz w:val="24"/>
                <w:szCs w:val="24"/>
              </w:rPr>
            </w:pPr>
            <w:r w:rsidRPr="00FA3F9C">
              <w:rPr>
                <w:rFonts w:ascii="Arial" w:hAnsi="Arial" w:cs="Arial"/>
                <w:bCs/>
                <w:color w:val="000000"/>
                <w:sz w:val="24"/>
                <w:szCs w:val="24"/>
              </w:rPr>
              <w:t xml:space="preserve">Note that dosing for </w:t>
            </w:r>
            <w:proofErr w:type="spellStart"/>
            <w:r w:rsidRPr="00FA3F9C">
              <w:rPr>
                <w:rFonts w:ascii="Arial" w:hAnsi="Arial" w:cs="Arial"/>
                <w:bCs/>
                <w:color w:val="000000"/>
                <w:sz w:val="24"/>
                <w:szCs w:val="24"/>
              </w:rPr>
              <w:t>Cometriq</w:t>
            </w:r>
            <w:proofErr w:type="spellEnd"/>
            <w:r w:rsidRPr="00FA3F9C">
              <w:rPr>
                <w:rFonts w:ascii="Arial" w:hAnsi="Arial" w:cs="Arial"/>
                <w:bCs/>
                <w:color w:val="000000"/>
                <w:sz w:val="24"/>
                <w:szCs w:val="24"/>
              </w:rPr>
              <w:t xml:space="preserve"> is different from </w:t>
            </w:r>
            <w:proofErr w:type="spellStart"/>
            <w:r w:rsidRPr="00FA3F9C">
              <w:rPr>
                <w:rFonts w:ascii="Arial" w:hAnsi="Arial" w:cs="Arial"/>
                <w:bCs/>
                <w:color w:val="000000"/>
                <w:sz w:val="24"/>
                <w:szCs w:val="24"/>
              </w:rPr>
              <w:t>Cabometyx</w:t>
            </w:r>
            <w:proofErr w:type="spellEnd"/>
            <w:r w:rsidRPr="00FA3F9C">
              <w:rPr>
                <w:rFonts w:ascii="Arial" w:hAnsi="Arial" w:cs="Arial"/>
                <w:bCs/>
                <w:color w:val="000000"/>
                <w:sz w:val="24"/>
                <w:szCs w:val="24"/>
              </w:rPr>
              <w:t xml:space="preserve">.  </w:t>
            </w:r>
            <w:proofErr w:type="spellStart"/>
            <w:r w:rsidRPr="00FA3F9C">
              <w:rPr>
                <w:rFonts w:ascii="Arial" w:hAnsi="Arial" w:cs="Arial"/>
                <w:bCs/>
                <w:color w:val="000000"/>
                <w:sz w:val="24"/>
                <w:szCs w:val="24"/>
              </w:rPr>
              <w:t>Cometriq</w:t>
            </w:r>
            <w:proofErr w:type="spellEnd"/>
            <w:r w:rsidRPr="00FA3F9C">
              <w:rPr>
                <w:rFonts w:ascii="Arial" w:hAnsi="Arial" w:cs="Arial"/>
                <w:bCs/>
                <w:color w:val="000000"/>
                <w:sz w:val="24"/>
                <w:szCs w:val="24"/>
              </w:rPr>
              <w:t xml:space="preserve"> (capsules) was the first formulation of </w:t>
            </w:r>
            <w:proofErr w:type="spellStart"/>
            <w:r w:rsidRPr="00FA3F9C">
              <w:rPr>
                <w:rFonts w:ascii="Arial" w:hAnsi="Arial" w:cs="Arial"/>
                <w:bCs/>
                <w:color w:val="000000"/>
                <w:sz w:val="24"/>
                <w:szCs w:val="24"/>
              </w:rPr>
              <w:t>cabozantinib</w:t>
            </w:r>
            <w:proofErr w:type="spellEnd"/>
            <w:r w:rsidRPr="00FA3F9C">
              <w:rPr>
                <w:rFonts w:ascii="Arial" w:hAnsi="Arial" w:cs="Arial"/>
                <w:bCs/>
                <w:color w:val="000000"/>
                <w:sz w:val="24"/>
                <w:szCs w:val="24"/>
              </w:rPr>
              <w:t xml:space="preserve"> available. </w:t>
            </w:r>
            <w:proofErr w:type="spellStart"/>
            <w:r w:rsidRPr="00FA3F9C">
              <w:rPr>
                <w:rFonts w:ascii="Arial" w:hAnsi="Arial" w:cs="Arial"/>
                <w:bCs/>
                <w:color w:val="000000"/>
                <w:sz w:val="24"/>
                <w:szCs w:val="24"/>
              </w:rPr>
              <w:t>Cabometyx</w:t>
            </w:r>
            <w:proofErr w:type="spellEnd"/>
            <w:r w:rsidRPr="00FA3F9C">
              <w:rPr>
                <w:rFonts w:ascii="Arial" w:hAnsi="Arial" w:cs="Arial"/>
                <w:bCs/>
                <w:color w:val="000000"/>
                <w:sz w:val="24"/>
                <w:szCs w:val="24"/>
              </w:rPr>
              <w:t xml:space="preserve"> (tablets) was released </w:t>
            </w:r>
            <w:proofErr w:type="gramStart"/>
            <w:r w:rsidRPr="00FA3F9C">
              <w:rPr>
                <w:rFonts w:ascii="Arial" w:hAnsi="Arial" w:cs="Arial"/>
                <w:bCs/>
                <w:color w:val="000000"/>
                <w:sz w:val="24"/>
                <w:szCs w:val="24"/>
              </w:rPr>
              <w:t>at a later date</w:t>
            </w:r>
            <w:proofErr w:type="gramEnd"/>
            <w:r w:rsidRPr="00FA3F9C">
              <w:rPr>
                <w:rFonts w:ascii="Arial" w:hAnsi="Arial" w:cs="Arial"/>
                <w:bCs/>
                <w:color w:val="000000"/>
                <w:sz w:val="24"/>
                <w:szCs w:val="24"/>
              </w:rPr>
              <w:t xml:space="preserve"> and is manufactured more efficiently than the capsule. Bioequivalence studies of the capsules and tablets narrowly failed to meet criteria to deem the two formulations bioequivalent</w:t>
            </w:r>
            <w:r w:rsidRPr="00FA3F9C">
              <w:rPr>
                <w:rFonts w:ascii="Arial" w:hAnsi="Arial" w:cs="Arial"/>
                <w:bCs/>
                <w:color w:val="000000"/>
                <w:sz w:val="24"/>
                <w:szCs w:val="24"/>
                <w:vertAlign w:val="superscript"/>
              </w:rPr>
              <w:t>2</w:t>
            </w:r>
            <w:r w:rsidRPr="00FA3F9C">
              <w:rPr>
                <w:rFonts w:ascii="Arial" w:hAnsi="Arial" w:cs="Arial"/>
                <w:bCs/>
                <w:color w:val="000000"/>
                <w:sz w:val="24"/>
                <w:szCs w:val="24"/>
              </w:rPr>
              <w:t xml:space="preserve">. </w:t>
            </w:r>
          </w:p>
          <w:p w14:paraId="7BB7A846" w14:textId="77777777" w:rsidR="001506C1" w:rsidRPr="00FA3F9C" w:rsidRDefault="001506C1" w:rsidP="00513340">
            <w:pPr>
              <w:rPr>
                <w:rFonts w:ascii="Arial" w:hAnsi="Arial" w:cs="Arial"/>
                <w:bCs/>
                <w:color w:val="000000"/>
                <w:sz w:val="24"/>
                <w:szCs w:val="24"/>
              </w:rPr>
            </w:pPr>
          </w:p>
          <w:p w14:paraId="4FBF8781" w14:textId="77777777" w:rsidR="001506C1" w:rsidRPr="00FA3F9C" w:rsidRDefault="001506C1" w:rsidP="00513340">
            <w:pPr>
              <w:rPr>
                <w:rFonts w:ascii="Arial" w:hAnsi="Arial" w:cs="Arial"/>
                <w:bCs/>
                <w:color w:val="000000"/>
                <w:sz w:val="24"/>
                <w:szCs w:val="24"/>
              </w:rPr>
            </w:pPr>
            <w:r w:rsidRPr="00FA3F9C">
              <w:rPr>
                <w:rFonts w:ascii="Arial" w:hAnsi="Arial" w:cs="Arial"/>
                <w:bCs/>
                <w:color w:val="000000"/>
                <w:sz w:val="24"/>
                <w:szCs w:val="24"/>
              </w:rPr>
              <w:t>REFERENCES:</w:t>
            </w:r>
          </w:p>
          <w:p w14:paraId="01BE464B" w14:textId="77777777" w:rsidR="001506C1" w:rsidRPr="00FA3F9C" w:rsidRDefault="001506C1" w:rsidP="001506C1">
            <w:pPr>
              <w:pStyle w:val="ListParagraph"/>
              <w:numPr>
                <w:ilvl w:val="0"/>
                <w:numId w:val="83"/>
              </w:numPr>
              <w:ind w:left="180" w:hanging="180"/>
              <w:rPr>
                <w:rFonts w:ascii="Arial" w:hAnsi="Arial" w:cs="Arial"/>
                <w:bCs/>
                <w:color w:val="000000"/>
                <w:sz w:val="24"/>
                <w:szCs w:val="24"/>
              </w:rPr>
            </w:pPr>
            <w:r w:rsidRPr="00FA3F9C">
              <w:rPr>
                <w:rFonts w:ascii="Arial" w:hAnsi="Arial" w:cs="Arial"/>
                <w:bCs/>
                <w:color w:val="000000"/>
                <w:sz w:val="24"/>
                <w:szCs w:val="24"/>
              </w:rPr>
              <w:lastRenderedPageBreak/>
              <w:t xml:space="preserve">Choueiri TK et al. </w:t>
            </w:r>
            <w:proofErr w:type="spellStart"/>
            <w:r w:rsidRPr="00FA3F9C">
              <w:rPr>
                <w:rFonts w:ascii="Arial" w:hAnsi="Arial" w:cs="Arial"/>
                <w:bCs/>
                <w:color w:val="000000"/>
                <w:sz w:val="24"/>
                <w:szCs w:val="24"/>
              </w:rPr>
              <w:t>Cabozantinib</w:t>
            </w:r>
            <w:proofErr w:type="spellEnd"/>
            <w:r w:rsidRPr="00FA3F9C">
              <w:rPr>
                <w:rFonts w:ascii="Arial" w:hAnsi="Arial" w:cs="Arial"/>
                <w:bCs/>
                <w:color w:val="000000"/>
                <w:sz w:val="24"/>
                <w:szCs w:val="24"/>
              </w:rPr>
              <w:t xml:space="preserve"> versus </w:t>
            </w:r>
            <w:proofErr w:type="spellStart"/>
            <w:r w:rsidRPr="00FA3F9C">
              <w:rPr>
                <w:rFonts w:ascii="Arial" w:hAnsi="Arial" w:cs="Arial"/>
                <w:bCs/>
                <w:color w:val="000000"/>
                <w:sz w:val="24"/>
                <w:szCs w:val="24"/>
              </w:rPr>
              <w:t>everolimus</w:t>
            </w:r>
            <w:proofErr w:type="spellEnd"/>
            <w:r w:rsidRPr="00FA3F9C">
              <w:rPr>
                <w:rFonts w:ascii="Arial" w:hAnsi="Arial" w:cs="Arial"/>
                <w:bCs/>
                <w:color w:val="000000"/>
                <w:sz w:val="24"/>
                <w:szCs w:val="24"/>
              </w:rPr>
              <w:t xml:space="preserve"> in advanced renal cell carcinoma (METEOR): </w:t>
            </w:r>
            <w:proofErr w:type="gramStart"/>
            <w:r w:rsidRPr="00FA3F9C">
              <w:rPr>
                <w:rFonts w:ascii="Arial" w:hAnsi="Arial" w:cs="Arial"/>
                <w:bCs/>
                <w:color w:val="000000"/>
                <w:sz w:val="24"/>
                <w:szCs w:val="24"/>
              </w:rPr>
              <w:t>final results</w:t>
            </w:r>
            <w:proofErr w:type="gramEnd"/>
            <w:r w:rsidRPr="00FA3F9C">
              <w:rPr>
                <w:rFonts w:ascii="Arial" w:hAnsi="Arial" w:cs="Arial"/>
                <w:bCs/>
                <w:color w:val="000000"/>
                <w:sz w:val="24"/>
                <w:szCs w:val="24"/>
              </w:rPr>
              <w:t xml:space="preserve"> from a randomized, open-label, phase 3 trial. Lancet Oncol 2016;17:917-27). NCT01865747 PMID 27279544</w:t>
            </w:r>
          </w:p>
          <w:p w14:paraId="7B9B6A55" w14:textId="77777777" w:rsidR="001506C1" w:rsidRPr="00FA3F9C" w:rsidRDefault="001506C1" w:rsidP="001506C1">
            <w:pPr>
              <w:pStyle w:val="ListParagraph"/>
              <w:numPr>
                <w:ilvl w:val="0"/>
                <w:numId w:val="83"/>
              </w:numPr>
              <w:ind w:left="180" w:hanging="180"/>
              <w:rPr>
                <w:rFonts w:ascii="Arial" w:hAnsi="Arial" w:cs="Arial"/>
                <w:bCs/>
                <w:color w:val="000000"/>
                <w:sz w:val="24"/>
                <w:szCs w:val="24"/>
              </w:rPr>
            </w:pPr>
            <w:r w:rsidRPr="00FA3F9C">
              <w:rPr>
                <w:rFonts w:ascii="Arial" w:eastAsia="Times New Roman" w:hAnsi="Arial" w:cs="Arial"/>
                <w:sz w:val="24"/>
                <w:szCs w:val="24"/>
              </w:rPr>
              <w:t xml:space="preserve">Nguyen et al. Pharmacokinetics of </w:t>
            </w:r>
            <w:proofErr w:type="spellStart"/>
            <w:r w:rsidRPr="00FA3F9C">
              <w:rPr>
                <w:rFonts w:ascii="Arial" w:eastAsia="Times New Roman" w:hAnsi="Arial" w:cs="Arial"/>
                <w:sz w:val="24"/>
                <w:szCs w:val="24"/>
              </w:rPr>
              <w:t>cabozantinib</w:t>
            </w:r>
            <w:proofErr w:type="spellEnd"/>
            <w:r w:rsidRPr="00FA3F9C">
              <w:rPr>
                <w:rFonts w:ascii="Arial" w:eastAsia="Times New Roman" w:hAnsi="Arial" w:cs="Arial"/>
                <w:sz w:val="24"/>
                <w:szCs w:val="24"/>
              </w:rPr>
              <w:t xml:space="preserve"> tablet and capsule formulations in healthy adults. Anti-Cancer Drugs. 27(7):669-678. PMID 27139820</w:t>
            </w:r>
          </w:p>
        </w:tc>
      </w:tr>
    </w:tbl>
    <w:p w14:paraId="2569B52F"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lastRenderedPageBreak/>
        <w:t>VEGFR=vascular endothelial growth factor, TKI=tyrosine kinase inhibitor</w:t>
      </w:r>
    </w:p>
    <w:p w14:paraId="6358A4F0" w14:textId="77777777" w:rsidR="001506C1" w:rsidRPr="00FA3F9C" w:rsidRDefault="001506C1" w:rsidP="006F623F">
      <w:pPr>
        <w:spacing w:after="0"/>
        <w:rPr>
          <w:rFonts w:ascii="Arial" w:hAnsi="Arial" w:cs="Arial"/>
          <w:b/>
          <w:sz w:val="24"/>
          <w:szCs w:val="24"/>
          <w:u w:val="single"/>
        </w:rPr>
      </w:pPr>
    </w:p>
    <w:p w14:paraId="5ABC755C" w14:textId="77777777" w:rsidR="001506C1" w:rsidRPr="00FA3F9C" w:rsidRDefault="001506C1" w:rsidP="006F623F">
      <w:pPr>
        <w:spacing w:after="0"/>
        <w:rPr>
          <w:rFonts w:ascii="Arial" w:hAnsi="Arial" w:cs="Arial"/>
          <w:sz w:val="24"/>
          <w:szCs w:val="24"/>
        </w:rPr>
      </w:pPr>
    </w:p>
    <w:p w14:paraId="0AEF3306"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284"/>
        <w:gridCol w:w="7470"/>
        <w:gridCol w:w="2538"/>
      </w:tblGrid>
      <w:tr w:rsidR="001506C1" w:rsidRPr="00FA3F9C" w14:paraId="50CD9A17" w14:textId="77777777" w:rsidTr="00A44787">
        <w:tc>
          <w:tcPr>
            <w:tcW w:w="1006" w:type="dxa"/>
          </w:tcPr>
          <w:p w14:paraId="1585368A" w14:textId="77777777" w:rsidR="001506C1" w:rsidRPr="00FA3F9C" w:rsidRDefault="001506C1" w:rsidP="006F623F">
            <w:pPr>
              <w:rPr>
                <w:rFonts w:ascii="Arial" w:hAnsi="Arial" w:cs="Arial"/>
                <w:sz w:val="24"/>
                <w:szCs w:val="24"/>
              </w:rPr>
            </w:pPr>
            <w:r w:rsidRPr="00FA3F9C">
              <w:rPr>
                <w:rFonts w:ascii="Arial" w:hAnsi="Arial" w:cs="Arial"/>
                <w:sz w:val="24"/>
                <w:szCs w:val="24"/>
              </w:rPr>
              <w:t>Date</w:t>
            </w:r>
          </w:p>
        </w:tc>
        <w:tc>
          <w:tcPr>
            <w:tcW w:w="7283" w:type="dxa"/>
          </w:tcPr>
          <w:p w14:paraId="3289F8F1" w14:textId="77777777" w:rsidR="001506C1" w:rsidRPr="00FA3F9C" w:rsidRDefault="001506C1" w:rsidP="006F623F">
            <w:pPr>
              <w:rPr>
                <w:rFonts w:ascii="Arial" w:hAnsi="Arial" w:cs="Arial"/>
                <w:sz w:val="24"/>
                <w:szCs w:val="24"/>
              </w:rPr>
            </w:pPr>
            <w:r w:rsidRPr="00FA3F9C">
              <w:rPr>
                <w:rFonts w:ascii="Arial" w:hAnsi="Arial" w:cs="Arial"/>
                <w:sz w:val="24"/>
                <w:szCs w:val="24"/>
              </w:rPr>
              <w:t>What changed</w:t>
            </w:r>
          </w:p>
        </w:tc>
        <w:tc>
          <w:tcPr>
            <w:tcW w:w="2501" w:type="dxa"/>
          </w:tcPr>
          <w:p w14:paraId="722000DA" w14:textId="77777777" w:rsidR="001506C1" w:rsidRPr="00FA3F9C" w:rsidRDefault="001506C1" w:rsidP="006F623F">
            <w:pPr>
              <w:rPr>
                <w:rFonts w:ascii="Arial" w:hAnsi="Arial" w:cs="Arial"/>
                <w:sz w:val="24"/>
                <w:szCs w:val="24"/>
              </w:rPr>
            </w:pPr>
            <w:r w:rsidRPr="00FA3F9C">
              <w:rPr>
                <w:rFonts w:ascii="Arial" w:hAnsi="Arial" w:cs="Arial"/>
                <w:sz w:val="24"/>
                <w:szCs w:val="24"/>
              </w:rPr>
              <w:t>Pharmacist’s initials</w:t>
            </w:r>
          </w:p>
        </w:tc>
      </w:tr>
      <w:tr w:rsidR="001506C1" w:rsidRPr="00FA3F9C" w14:paraId="0CD6B08E" w14:textId="77777777" w:rsidTr="00FE491B">
        <w:tc>
          <w:tcPr>
            <w:tcW w:w="1008" w:type="dxa"/>
          </w:tcPr>
          <w:p w14:paraId="7A9D3799" w14:textId="77777777" w:rsidR="001506C1" w:rsidRPr="00FA3F9C" w:rsidRDefault="001506C1" w:rsidP="006F623F">
            <w:pPr>
              <w:rPr>
                <w:rFonts w:ascii="Arial" w:hAnsi="Arial" w:cs="Arial"/>
                <w:sz w:val="24"/>
                <w:szCs w:val="24"/>
              </w:rPr>
            </w:pPr>
            <w:r w:rsidRPr="00FA3F9C">
              <w:rPr>
                <w:rFonts w:ascii="Arial" w:hAnsi="Arial" w:cs="Arial"/>
                <w:sz w:val="24"/>
                <w:szCs w:val="24"/>
              </w:rPr>
              <w:t>9/16/16</w:t>
            </w:r>
          </w:p>
        </w:tc>
        <w:tc>
          <w:tcPr>
            <w:tcW w:w="7470" w:type="dxa"/>
          </w:tcPr>
          <w:p w14:paraId="7C6AE137" w14:textId="77777777" w:rsidR="001506C1" w:rsidRPr="00FA3F9C" w:rsidRDefault="001506C1" w:rsidP="006F623F">
            <w:pPr>
              <w:rPr>
                <w:rFonts w:ascii="Arial" w:hAnsi="Arial" w:cs="Arial"/>
                <w:sz w:val="24"/>
                <w:szCs w:val="24"/>
              </w:rPr>
            </w:pPr>
            <w:r w:rsidRPr="00FA3F9C">
              <w:rPr>
                <w:rFonts w:ascii="Arial" w:hAnsi="Arial" w:cs="Arial"/>
                <w:sz w:val="24"/>
                <w:szCs w:val="24"/>
              </w:rPr>
              <w:t>I wrote the criteria</w:t>
            </w:r>
          </w:p>
        </w:tc>
        <w:tc>
          <w:tcPr>
            <w:tcW w:w="2538" w:type="dxa"/>
          </w:tcPr>
          <w:p w14:paraId="2B4EE5E8" w14:textId="20167DDE" w:rsidR="001506C1" w:rsidRPr="00FA3F9C" w:rsidRDefault="001506C1" w:rsidP="006F623F">
            <w:pPr>
              <w:rPr>
                <w:rFonts w:ascii="Arial" w:hAnsi="Arial" w:cs="Arial"/>
                <w:sz w:val="24"/>
                <w:szCs w:val="24"/>
              </w:rPr>
            </w:pPr>
            <w:r w:rsidRPr="00FA3F9C">
              <w:rPr>
                <w:rFonts w:ascii="Arial" w:hAnsi="Arial" w:cs="Arial"/>
                <w:sz w:val="24"/>
                <w:szCs w:val="24"/>
              </w:rPr>
              <w:t xml:space="preserve">J </w:t>
            </w:r>
            <w:r w:rsidR="002F3083">
              <w:rPr>
                <w:rFonts w:ascii="Arial" w:hAnsi="Arial" w:cs="Arial"/>
                <w:sz w:val="24"/>
                <w:szCs w:val="24"/>
              </w:rPr>
              <w:t>JJ</w:t>
            </w:r>
          </w:p>
        </w:tc>
      </w:tr>
      <w:tr w:rsidR="001506C1" w:rsidRPr="00FA3F9C" w14:paraId="5411A175" w14:textId="77777777" w:rsidTr="00FE491B">
        <w:tc>
          <w:tcPr>
            <w:tcW w:w="1008" w:type="dxa"/>
          </w:tcPr>
          <w:p w14:paraId="233FDEB3" w14:textId="77777777" w:rsidR="001506C1" w:rsidRPr="00FA3F9C" w:rsidRDefault="001506C1" w:rsidP="006F623F">
            <w:pPr>
              <w:rPr>
                <w:rFonts w:ascii="Arial" w:hAnsi="Arial" w:cs="Arial"/>
                <w:sz w:val="24"/>
                <w:szCs w:val="24"/>
              </w:rPr>
            </w:pPr>
            <w:r w:rsidRPr="00FA3F9C">
              <w:rPr>
                <w:rFonts w:ascii="Arial" w:hAnsi="Arial" w:cs="Arial"/>
                <w:sz w:val="24"/>
                <w:szCs w:val="24"/>
              </w:rPr>
              <w:t>3/18/19</w:t>
            </w:r>
          </w:p>
        </w:tc>
        <w:tc>
          <w:tcPr>
            <w:tcW w:w="7470" w:type="dxa"/>
          </w:tcPr>
          <w:p w14:paraId="644F4BD2" w14:textId="77777777" w:rsidR="001506C1" w:rsidRPr="00FA3F9C" w:rsidRDefault="001506C1" w:rsidP="006F623F">
            <w:pPr>
              <w:rPr>
                <w:rFonts w:ascii="Arial" w:hAnsi="Arial" w:cs="Arial"/>
                <w:sz w:val="24"/>
                <w:szCs w:val="24"/>
              </w:rPr>
            </w:pPr>
            <w:r w:rsidRPr="00FA3F9C">
              <w:rPr>
                <w:rFonts w:ascii="Arial" w:hAnsi="Arial" w:cs="Arial"/>
                <w:sz w:val="24"/>
                <w:szCs w:val="24"/>
              </w:rPr>
              <w:t xml:space="preserve">Updated FDA indications and recommended coverage. Added new FDA approvals of HCC and first line use in RCC (both not covered). Updated notes, rationale, and references. </w:t>
            </w:r>
          </w:p>
        </w:tc>
        <w:tc>
          <w:tcPr>
            <w:tcW w:w="2538" w:type="dxa"/>
          </w:tcPr>
          <w:p w14:paraId="511CAC7A" w14:textId="77777777" w:rsidR="001506C1" w:rsidRPr="00FA3F9C" w:rsidRDefault="001506C1" w:rsidP="006F623F">
            <w:pPr>
              <w:rPr>
                <w:rFonts w:ascii="Arial" w:hAnsi="Arial" w:cs="Arial"/>
                <w:sz w:val="24"/>
                <w:szCs w:val="24"/>
              </w:rPr>
            </w:pPr>
            <w:r w:rsidRPr="00FA3F9C">
              <w:rPr>
                <w:rFonts w:ascii="Arial" w:hAnsi="Arial" w:cs="Arial"/>
                <w:sz w:val="24"/>
                <w:szCs w:val="24"/>
              </w:rPr>
              <w:t>SK</w:t>
            </w:r>
          </w:p>
        </w:tc>
      </w:tr>
      <w:tr w:rsidR="001506C1" w:rsidRPr="00FA3F9C" w14:paraId="2E9DF168" w14:textId="77777777" w:rsidTr="00FE491B">
        <w:tc>
          <w:tcPr>
            <w:tcW w:w="1008" w:type="dxa"/>
          </w:tcPr>
          <w:p w14:paraId="436BD6E0" w14:textId="77777777" w:rsidR="001506C1" w:rsidRPr="00FA3F9C" w:rsidRDefault="001506C1" w:rsidP="00A44787">
            <w:pPr>
              <w:rPr>
                <w:rFonts w:ascii="Arial" w:hAnsi="Arial" w:cs="Arial"/>
                <w:sz w:val="24"/>
                <w:szCs w:val="24"/>
              </w:rPr>
            </w:pPr>
            <w:r w:rsidRPr="00FA3F9C">
              <w:rPr>
                <w:rFonts w:ascii="Arial" w:hAnsi="Arial" w:cs="Arial"/>
                <w:sz w:val="24"/>
                <w:szCs w:val="24"/>
              </w:rPr>
              <w:t>9/23/19</w:t>
            </w:r>
          </w:p>
        </w:tc>
        <w:tc>
          <w:tcPr>
            <w:tcW w:w="7470" w:type="dxa"/>
          </w:tcPr>
          <w:p w14:paraId="1B1F3342" w14:textId="77777777" w:rsidR="001506C1" w:rsidRPr="00FA3F9C" w:rsidRDefault="001506C1" w:rsidP="00A44787">
            <w:pPr>
              <w:rPr>
                <w:rFonts w:ascii="Arial" w:hAnsi="Arial" w:cs="Arial"/>
                <w:sz w:val="24"/>
                <w:szCs w:val="24"/>
              </w:rPr>
            </w:pPr>
            <w:r w:rsidRPr="00FA3F9C">
              <w:rPr>
                <w:rFonts w:ascii="Arial" w:hAnsi="Arial" w:cs="Arial"/>
                <w:sz w:val="24"/>
                <w:szCs w:val="24"/>
              </w:rPr>
              <w:t>All criteria reviewed: no changes</w:t>
            </w:r>
          </w:p>
        </w:tc>
        <w:tc>
          <w:tcPr>
            <w:tcW w:w="2538" w:type="dxa"/>
          </w:tcPr>
          <w:p w14:paraId="16FE2353" w14:textId="77777777" w:rsidR="001506C1" w:rsidRPr="00FA3F9C" w:rsidRDefault="001506C1" w:rsidP="00A44787">
            <w:pPr>
              <w:rPr>
                <w:rFonts w:ascii="Arial" w:hAnsi="Arial" w:cs="Arial"/>
                <w:sz w:val="24"/>
                <w:szCs w:val="24"/>
              </w:rPr>
            </w:pPr>
            <w:r w:rsidRPr="00FA3F9C">
              <w:rPr>
                <w:rFonts w:ascii="Arial" w:hAnsi="Arial" w:cs="Arial"/>
                <w:sz w:val="24"/>
                <w:szCs w:val="24"/>
              </w:rPr>
              <w:t>SK</w:t>
            </w:r>
          </w:p>
        </w:tc>
      </w:tr>
      <w:tr w:rsidR="001506C1" w:rsidRPr="00FA3F9C" w14:paraId="4DCD332F" w14:textId="77777777" w:rsidTr="00FE491B">
        <w:tc>
          <w:tcPr>
            <w:tcW w:w="1008" w:type="dxa"/>
          </w:tcPr>
          <w:p w14:paraId="7C42FCD7" w14:textId="77777777" w:rsidR="001506C1" w:rsidRPr="00FA3F9C" w:rsidRDefault="001506C1" w:rsidP="00A44787">
            <w:pPr>
              <w:rPr>
                <w:rFonts w:ascii="Arial" w:hAnsi="Arial" w:cs="Arial"/>
                <w:sz w:val="24"/>
                <w:szCs w:val="24"/>
              </w:rPr>
            </w:pPr>
            <w:r w:rsidRPr="00FA3F9C">
              <w:rPr>
                <w:rFonts w:ascii="Arial" w:hAnsi="Arial" w:cs="Arial"/>
                <w:sz w:val="24"/>
                <w:szCs w:val="24"/>
              </w:rPr>
              <w:t>3/10/2020</w:t>
            </w:r>
          </w:p>
        </w:tc>
        <w:tc>
          <w:tcPr>
            <w:tcW w:w="7470" w:type="dxa"/>
          </w:tcPr>
          <w:p w14:paraId="30EAD10C" w14:textId="77777777" w:rsidR="001506C1" w:rsidRPr="00FA3F9C" w:rsidRDefault="001506C1" w:rsidP="00A44787">
            <w:pPr>
              <w:rPr>
                <w:rFonts w:ascii="Arial" w:hAnsi="Arial" w:cs="Arial"/>
                <w:sz w:val="24"/>
                <w:szCs w:val="24"/>
              </w:rPr>
            </w:pPr>
            <w:r w:rsidRPr="00FA3F9C">
              <w:rPr>
                <w:rFonts w:ascii="Arial" w:hAnsi="Arial" w:cs="Arial"/>
                <w:sz w:val="24"/>
                <w:szCs w:val="24"/>
              </w:rPr>
              <w:t>Criteria reviewed: no changes</w:t>
            </w:r>
          </w:p>
        </w:tc>
        <w:tc>
          <w:tcPr>
            <w:tcW w:w="2538" w:type="dxa"/>
          </w:tcPr>
          <w:p w14:paraId="3B628676" w14:textId="77777777" w:rsidR="001506C1" w:rsidRPr="00FA3F9C" w:rsidRDefault="001506C1" w:rsidP="00A44787">
            <w:pPr>
              <w:rPr>
                <w:rFonts w:ascii="Arial" w:hAnsi="Arial" w:cs="Arial"/>
                <w:sz w:val="24"/>
                <w:szCs w:val="24"/>
              </w:rPr>
            </w:pPr>
            <w:proofErr w:type="spellStart"/>
            <w:r w:rsidRPr="00FA3F9C">
              <w:rPr>
                <w:rFonts w:ascii="Arial" w:hAnsi="Arial" w:cs="Arial"/>
                <w:sz w:val="24"/>
                <w:szCs w:val="24"/>
              </w:rPr>
              <w:t>Sk</w:t>
            </w:r>
            <w:proofErr w:type="spellEnd"/>
          </w:p>
        </w:tc>
      </w:tr>
      <w:tr w:rsidR="001506C1" w:rsidRPr="00FA3F9C" w14:paraId="27794120" w14:textId="77777777" w:rsidTr="00FE491B">
        <w:tc>
          <w:tcPr>
            <w:tcW w:w="1008" w:type="dxa"/>
          </w:tcPr>
          <w:p w14:paraId="54317581" w14:textId="77777777" w:rsidR="001506C1" w:rsidRPr="00FA3F9C" w:rsidRDefault="001506C1" w:rsidP="00A44787">
            <w:pPr>
              <w:rPr>
                <w:rFonts w:ascii="Arial" w:hAnsi="Arial" w:cs="Arial"/>
                <w:sz w:val="24"/>
                <w:szCs w:val="24"/>
              </w:rPr>
            </w:pPr>
            <w:r w:rsidRPr="00FA3F9C">
              <w:rPr>
                <w:rFonts w:ascii="Arial" w:hAnsi="Arial" w:cs="Arial"/>
                <w:sz w:val="24"/>
                <w:szCs w:val="24"/>
              </w:rPr>
              <w:t>4/2/21</w:t>
            </w:r>
          </w:p>
        </w:tc>
        <w:tc>
          <w:tcPr>
            <w:tcW w:w="7470" w:type="dxa"/>
          </w:tcPr>
          <w:p w14:paraId="0875B121" w14:textId="77777777" w:rsidR="001506C1" w:rsidRPr="00FA3F9C" w:rsidRDefault="001506C1" w:rsidP="00A44787">
            <w:pPr>
              <w:rPr>
                <w:rFonts w:ascii="Arial" w:hAnsi="Arial" w:cs="Arial"/>
                <w:sz w:val="24"/>
                <w:szCs w:val="24"/>
              </w:rPr>
            </w:pPr>
            <w:r w:rsidRPr="00FA3F9C">
              <w:rPr>
                <w:rFonts w:ascii="Arial" w:hAnsi="Arial" w:cs="Arial"/>
                <w:sz w:val="24"/>
                <w:szCs w:val="24"/>
              </w:rPr>
              <w:t>Applied EBRx criteria to UAS Plan.</w:t>
            </w:r>
          </w:p>
        </w:tc>
        <w:tc>
          <w:tcPr>
            <w:tcW w:w="2538" w:type="dxa"/>
          </w:tcPr>
          <w:p w14:paraId="2618FB9B" w14:textId="77777777" w:rsidR="001506C1" w:rsidRPr="00FA3F9C" w:rsidRDefault="001506C1" w:rsidP="00A44787">
            <w:pPr>
              <w:rPr>
                <w:rFonts w:ascii="Arial" w:hAnsi="Arial" w:cs="Arial"/>
                <w:sz w:val="24"/>
                <w:szCs w:val="24"/>
              </w:rPr>
            </w:pPr>
            <w:r w:rsidRPr="00FA3F9C">
              <w:rPr>
                <w:rFonts w:ascii="Arial" w:hAnsi="Arial" w:cs="Arial"/>
                <w:sz w:val="24"/>
                <w:szCs w:val="24"/>
              </w:rPr>
              <w:t>JJ</w:t>
            </w:r>
          </w:p>
        </w:tc>
      </w:tr>
      <w:tr w:rsidR="001506C1" w:rsidRPr="00FA3F9C" w14:paraId="7927737F" w14:textId="77777777" w:rsidTr="00FE491B">
        <w:tc>
          <w:tcPr>
            <w:tcW w:w="1008" w:type="dxa"/>
          </w:tcPr>
          <w:p w14:paraId="71C43DF7" w14:textId="77777777" w:rsidR="001506C1" w:rsidRPr="00FA3F9C" w:rsidRDefault="001506C1" w:rsidP="00A44787">
            <w:pPr>
              <w:rPr>
                <w:rFonts w:ascii="Arial" w:hAnsi="Arial" w:cs="Arial"/>
                <w:sz w:val="24"/>
                <w:szCs w:val="24"/>
              </w:rPr>
            </w:pPr>
            <w:r w:rsidRPr="00FA3F9C">
              <w:rPr>
                <w:rFonts w:ascii="Arial" w:hAnsi="Arial" w:cs="Arial"/>
                <w:sz w:val="24"/>
                <w:szCs w:val="24"/>
              </w:rPr>
              <w:t>4/29/21</w:t>
            </w:r>
          </w:p>
        </w:tc>
        <w:tc>
          <w:tcPr>
            <w:tcW w:w="7470" w:type="dxa"/>
          </w:tcPr>
          <w:p w14:paraId="108A28AA" w14:textId="77777777" w:rsidR="001506C1" w:rsidRPr="00FA3F9C" w:rsidRDefault="001506C1" w:rsidP="00165070">
            <w:pPr>
              <w:rPr>
                <w:rFonts w:ascii="Arial" w:hAnsi="Arial" w:cs="Arial"/>
                <w:sz w:val="24"/>
                <w:szCs w:val="24"/>
              </w:rPr>
            </w:pPr>
            <w:r w:rsidRPr="00FA3F9C">
              <w:rPr>
                <w:rFonts w:ascii="Arial" w:hAnsi="Arial" w:cs="Arial"/>
                <w:sz w:val="24"/>
                <w:szCs w:val="24"/>
              </w:rPr>
              <w:t>Added criteria for renal cell carcinoma in combination with nivolumab (see nivolumab criteria)</w:t>
            </w:r>
          </w:p>
        </w:tc>
        <w:tc>
          <w:tcPr>
            <w:tcW w:w="2538" w:type="dxa"/>
          </w:tcPr>
          <w:p w14:paraId="1F46C605" w14:textId="77777777" w:rsidR="001506C1" w:rsidRPr="00FA3F9C" w:rsidRDefault="001506C1" w:rsidP="00A44787">
            <w:pPr>
              <w:rPr>
                <w:rFonts w:ascii="Arial" w:hAnsi="Arial" w:cs="Arial"/>
                <w:sz w:val="24"/>
                <w:szCs w:val="24"/>
              </w:rPr>
            </w:pPr>
            <w:r w:rsidRPr="00FA3F9C">
              <w:rPr>
                <w:rFonts w:ascii="Arial" w:hAnsi="Arial" w:cs="Arial"/>
                <w:sz w:val="24"/>
                <w:szCs w:val="24"/>
              </w:rPr>
              <w:t>SK</w:t>
            </w:r>
          </w:p>
        </w:tc>
      </w:tr>
      <w:tr w:rsidR="001506C1" w:rsidRPr="00FA3F9C" w14:paraId="7175A25A" w14:textId="77777777" w:rsidTr="00FE491B">
        <w:tc>
          <w:tcPr>
            <w:tcW w:w="1008" w:type="dxa"/>
          </w:tcPr>
          <w:p w14:paraId="7986CC7D" w14:textId="77777777" w:rsidR="001506C1" w:rsidRPr="00FA3F9C" w:rsidRDefault="001506C1" w:rsidP="00A44787">
            <w:pPr>
              <w:rPr>
                <w:rFonts w:ascii="Arial" w:hAnsi="Arial" w:cs="Arial"/>
                <w:sz w:val="24"/>
                <w:szCs w:val="24"/>
              </w:rPr>
            </w:pPr>
            <w:r w:rsidRPr="00FA3F9C">
              <w:rPr>
                <w:rFonts w:ascii="Arial" w:hAnsi="Arial" w:cs="Arial"/>
                <w:sz w:val="24"/>
                <w:szCs w:val="24"/>
              </w:rPr>
              <w:t>4/27/2022</w:t>
            </w:r>
          </w:p>
        </w:tc>
        <w:tc>
          <w:tcPr>
            <w:tcW w:w="7470" w:type="dxa"/>
          </w:tcPr>
          <w:p w14:paraId="435FD344" w14:textId="77777777" w:rsidR="001506C1" w:rsidRPr="00FA3F9C" w:rsidRDefault="001506C1" w:rsidP="00165070">
            <w:pPr>
              <w:rPr>
                <w:rFonts w:ascii="Arial" w:hAnsi="Arial" w:cs="Arial"/>
                <w:sz w:val="24"/>
                <w:szCs w:val="24"/>
              </w:rPr>
            </w:pPr>
            <w:r w:rsidRPr="00FA3F9C">
              <w:rPr>
                <w:rFonts w:ascii="Arial" w:hAnsi="Arial" w:cs="Arial"/>
                <w:sz w:val="24"/>
                <w:szCs w:val="24"/>
              </w:rPr>
              <w:t xml:space="preserve">Added additional first line alternatives to </w:t>
            </w:r>
            <w:proofErr w:type="spellStart"/>
            <w:r w:rsidRPr="00FA3F9C">
              <w:rPr>
                <w:rFonts w:ascii="Arial" w:hAnsi="Arial" w:cs="Arial"/>
                <w:sz w:val="24"/>
                <w:szCs w:val="24"/>
              </w:rPr>
              <w:t>cabometinib</w:t>
            </w:r>
            <w:proofErr w:type="spellEnd"/>
            <w:r w:rsidRPr="00FA3F9C">
              <w:rPr>
                <w:rFonts w:ascii="Arial" w:hAnsi="Arial" w:cs="Arial"/>
                <w:sz w:val="24"/>
                <w:szCs w:val="24"/>
              </w:rPr>
              <w:t xml:space="preserve"> monotherapy</w:t>
            </w:r>
          </w:p>
        </w:tc>
        <w:tc>
          <w:tcPr>
            <w:tcW w:w="2538" w:type="dxa"/>
          </w:tcPr>
          <w:p w14:paraId="4E38BB48" w14:textId="77777777" w:rsidR="001506C1" w:rsidRPr="00FA3F9C" w:rsidRDefault="001506C1" w:rsidP="00A44787">
            <w:pPr>
              <w:rPr>
                <w:rFonts w:ascii="Arial" w:hAnsi="Arial" w:cs="Arial"/>
                <w:sz w:val="24"/>
                <w:szCs w:val="24"/>
              </w:rPr>
            </w:pPr>
            <w:r w:rsidRPr="00FA3F9C">
              <w:rPr>
                <w:rFonts w:ascii="Arial" w:hAnsi="Arial" w:cs="Arial"/>
                <w:sz w:val="24"/>
                <w:szCs w:val="24"/>
              </w:rPr>
              <w:t>SK</w:t>
            </w:r>
          </w:p>
        </w:tc>
      </w:tr>
    </w:tbl>
    <w:p w14:paraId="48E257CC" w14:textId="77777777" w:rsidR="001506C1" w:rsidRPr="00FA3F9C" w:rsidRDefault="001506C1" w:rsidP="006F623F">
      <w:pPr>
        <w:spacing w:after="0"/>
        <w:rPr>
          <w:rFonts w:ascii="Arial" w:hAnsi="Arial" w:cs="Arial"/>
          <w:sz w:val="24"/>
          <w:szCs w:val="24"/>
        </w:rPr>
      </w:pPr>
    </w:p>
    <w:p w14:paraId="2E4F05C0" w14:textId="77777777" w:rsidR="001506C1" w:rsidRPr="00FA3F9C" w:rsidRDefault="001506C1" w:rsidP="00A81E2A">
      <w:pPr>
        <w:rPr>
          <w:rFonts w:ascii="Arial" w:hAnsi="Arial" w:cs="Arial"/>
          <w:sz w:val="24"/>
          <w:szCs w:val="24"/>
          <w:u w:val="single"/>
        </w:rPr>
      </w:pPr>
    </w:p>
    <w:p w14:paraId="003EAE87" w14:textId="77777777" w:rsidR="001506C1" w:rsidRPr="00FA3F9C" w:rsidRDefault="001506C1" w:rsidP="00FC1E85">
      <w:pPr>
        <w:pStyle w:val="Heading2"/>
        <w:rPr>
          <w:lang w:val="es-ES"/>
        </w:rPr>
      </w:pPr>
      <w:bookmarkStart w:id="46" w:name="_Toc106369747"/>
      <w:proofErr w:type="spellStart"/>
      <w:r w:rsidRPr="00FA3F9C">
        <w:rPr>
          <w:lang w:val="es-ES"/>
        </w:rPr>
        <w:t>Calcium</w:t>
      </w:r>
      <w:proofErr w:type="spellEnd"/>
      <w:r w:rsidRPr="00FA3F9C">
        <w:rPr>
          <w:lang w:val="es-ES"/>
        </w:rPr>
        <w:t xml:space="preserve"> </w:t>
      </w:r>
      <w:proofErr w:type="spellStart"/>
      <w:r w:rsidRPr="00FA3F9C">
        <w:rPr>
          <w:lang w:val="es-ES"/>
        </w:rPr>
        <w:t>acetate</w:t>
      </w:r>
      <w:proofErr w:type="spellEnd"/>
      <w:r w:rsidRPr="00FA3F9C">
        <w:rPr>
          <w:lang w:val="es-ES"/>
        </w:rPr>
        <w:t xml:space="preserve"> oral </w:t>
      </w:r>
      <w:proofErr w:type="spellStart"/>
      <w:r w:rsidRPr="00FA3F9C">
        <w:rPr>
          <w:lang w:val="es-ES"/>
        </w:rPr>
        <w:t>solution</w:t>
      </w:r>
      <w:proofErr w:type="spellEnd"/>
      <w:r w:rsidRPr="00FA3F9C">
        <w:rPr>
          <w:lang w:val="es-ES"/>
        </w:rPr>
        <w:t xml:space="preserve"> (</w:t>
      </w:r>
      <w:proofErr w:type="spellStart"/>
      <w:r w:rsidRPr="00FA3F9C">
        <w:rPr>
          <w:lang w:val="es-ES"/>
        </w:rPr>
        <w:t>Phoslyra</w:t>
      </w:r>
      <w:proofErr w:type="spellEnd"/>
      <w:r w:rsidRPr="00FA3F9C">
        <w:rPr>
          <w:lang w:val="es-ES"/>
        </w:rPr>
        <w:t xml:space="preserve"> </w:t>
      </w:r>
      <w:proofErr w:type="spellStart"/>
      <w:r w:rsidRPr="00FA3F9C">
        <w:rPr>
          <w:lang w:val="es-ES"/>
        </w:rPr>
        <w:t>Solution</w:t>
      </w:r>
      <w:proofErr w:type="spellEnd"/>
      <w:r w:rsidRPr="00FA3F9C">
        <w:rPr>
          <w:lang w:val="es-ES"/>
        </w:rPr>
        <w:t>®)</w:t>
      </w:r>
      <w:bookmarkEnd w:id="46"/>
      <w:r w:rsidRPr="00FA3F9C">
        <w:rPr>
          <w:lang w:val="es-ES"/>
        </w:rPr>
        <w:t xml:space="preserve"> </w:t>
      </w:r>
    </w:p>
    <w:p w14:paraId="7FBA25B7" w14:textId="77777777" w:rsidR="001506C1" w:rsidRPr="00FA3F9C" w:rsidRDefault="001506C1" w:rsidP="002A23A6">
      <w:pPr>
        <w:jc w:val="center"/>
        <w:rPr>
          <w:rFonts w:ascii="Arial" w:hAnsi="Arial" w:cs="Arial"/>
          <w:b/>
          <w:sz w:val="24"/>
          <w:szCs w:val="24"/>
          <w:lang w:val="es-ES"/>
        </w:rPr>
      </w:pPr>
      <w:r w:rsidRPr="00FA3F9C">
        <w:rPr>
          <w:rFonts w:ascii="Arial" w:hAnsi="Arial" w:cs="Arial"/>
          <w:b/>
          <w:sz w:val="24"/>
          <w:szCs w:val="24"/>
          <w:lang w:val="es-ES"/>
        </w:rPr>
        <w:t xml:space="preserve">PA </w:t>
      </w:r>
      <w:proofErr w:type="spellStart"/>
      <w:r w:rsidRPr="00FA3F9C">
        <w:rPr>
          <w:rFonts w:ascii="Arial" w:hAnsi="Arial" w:cs="Arial"/>
          <w:b/>
          <w:sz w:val="24"/>
          <w:szCs w:val="24"/>
          <w:lang w:val="es-ES"/>
        </w:rPr>
        <w:t>Criteria</w:t>
      </w:r>
      <w:proofErr w:type="spellEnd"/>
    </w:p>
    <w:p w14:paraId="2345D1EC" w14:textId="77777777" w:rsidR="001506C1" w:rsidRPr="00FA3F9C" w:rsidRDefault="001506C1" w:rsidP="0015446A">
      <w:pPr>
        <w:rPr>
          <w:rFonts w:ascii="Arial" w:hAnsi="Arial" w:cs="Arial"/>
          <w:sz w:val="24"/>
          <w:szCs w:val="24"/>
          <w:lang w:val="es-ES"/>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78"/>
        <w:gridCol w:w="2790"/>
      </w:tblGrid>
      <w:tr w:rsidR="001506C1" w:rsidRPr="00FA3F9C" w14:paraId="01B3328E" w14:textId="77777777" w:rsidTr="00EC402C">
        <w:trPr>
          <w:trHeight w:hRule="exact" w:val="982"/>
        </w:trPr>
        <w:tc>
          <w:tcPr>
            <w:tcW w:w="7578" w:type="dxa"/>
            <w:tcBorders>
              <w:bottom w:val="single" w:sz="4" w:space="0" w:color="auto"/>
            </w:tcBorders>
          </w:tcPr>
          <w:p w14:paraId="489316F0" w14:textId="77777777" w:rsidR="001506C1" w:rsidRPr="00FA3F9C" w:rsidRDefault="001506C1" w:rsidP="001506C1">
            <w:pPr>
              <w:numPr>
                <w:ilvl w:val="0"/>
                <w:numId w:val="85"/>
              </w:numPr>
              <w:spacing w:after="0" w:line="240" w:lineRule="auto"/>
              <w:rPr>
                <w:rFonts w:ascii="Arial" w:hAnsi="Arial" w:cs="Arial"/>
                <w:sz w:val="24"/>
                <w:szCs w:val="24"/>
              </w:rPr>
            </w:pPr>
            <w:r w:rsidRPr="00FA3F9C">
              <w:rPr>
                <w:rFonts w:ascii="Arial" w:hAnsi="Arial" w:cs="Arial"/>
                <w:sz w:val="24"/>
                <w:szCs w:val="24"/>
              </w:rPr>
              <w:t>Is the patient unable to swallow tablets or capsules?</w:t>
            </w:r>
          </w:p>
          <w:p w14:paraId="4DE3C49C" w14:textId="77777777" w:rsidR="001506C1" w:rsidRPr="00FA3F9C" w:rsidRDefault="001506C1" w:rsidP="006743D2">
            <w:pPr>
              <w:rPr>
                <w:rFonts w:ascii="Arial" w:hAnsi="Arial" w:cs="Arial"/>
                <w:sz w:val="24"/>
                <w:szCs w:val="24"/>
              </w:rPr>
            </w:pPr>
          </w:p>
        </w:tc>
        <w:tc>
          <w:tcPr>
            <w:tcW w:w="2790" w:type="dxa"/>
            <w:tcBorders>
              <w:bottom w:val="single" w:sz="4" w:space="0" w:color="auto"/>
            </w:tcBorders>
          </w:tcPr>
          <w:p w14:paraId="35FA8331" w14:textId="77777777" w:rsidR="001506C1" w:rsidRPr="00FA3F9C" w:rsidRDefault="001506C1" w:rsidP="00560EFB">
            <w:pPr>
              <w:rPr>
                <w:rFonts w:ascii="Arial" w:hAnsi="Arial" w:cs="Arial"/>
                <w:sz w:val="24"/>
                <w:szCs w:val="24"/>
              </w:rPr>
            </w:pPr>
            <w:r w:rsidRPr="00FA3F9C">
              <w:rPr>
                <w:rFonts w:ascii="Arial" w:hAnsi="Arial" w:cs="Arial"/>
                <w:sz w:val="24"/>
                <w:szCs w:val="24"/>
              </w:rPr>
              <w:t>(  ) YES      (  ) NO</w:t>
            </w:r>
          </w:p>
          <w:p w14:paraId="6687C591" w14:textId="77777777" w:rsidR="001506C1" w:rsidRPr="00FA3F9C" w:rsidRDefault="001506C1" w:rsidP="00560EFB">
            <w:pPr>
              <w:rPr>
                <w:rFonts w:ascii="Arial" w:hAnsi="Arial" w:cs="Arial"/>
                <w:sz w:val="24"/>
                <w:szCs w:val="24"/>
              </w:rPr>
            </w:pPr>
            <w:r w:rsidRPr="00FA3F9C">
              <w:rPr>
                <w:rFonts w:ascii="Arial" w:hAnsi="Arial" w:cs="Arial"/>
                <w:sz w:val="24"/>
                <w:szCs w:val="24"/>
              </w:rPr>
              <w:t xml:space="preserve"> </w:t>
            </w:r>
          </w:p>
        </w:tc>
      </w:tr>
      <w:tr w:rsidR="001506C1" w:rsidRPr="00FA3F9C" w14:paraId="6EF2E60A" w14:textId="77777777" w:rsidTr="00EC402C">
        <w:tc>
          <w:tcPr>
            <w:tcW w:w="10368" w:type="dxa"/>
            <w:gridSpan w:val="2"/>
            <w:tcBorders>
              <w:left w:val="nil"/>
              <w:right w:val="nil"/>
            </w:tcBorders>
          </w:tcPr>
          <w:p w14:paraId="52A7341F" w14:textId="77777777" w:rsidR="001506C1" w:rsidRPr="00FA3F9C" w:rsidRDefault="001506C1" w:rsidP="00E97725">
            <w:pPr>
              <w:rPr>
                <w:rFonts w:ascii="Arial" w:hAnsi="Arial" w:cs="Arial"/>
                <w:b/>
                <w:sz w:val="24"/>
                <w:szCs w:val="24"/>
              </w:rPr>
            </w:pPr>
          </w:p>
          <w:p w14:paraId="73876E7D" w14:textId="77777777" w:rsidR="001506C1" w:rsidRPr="00FA3F9C" w:rsidRDefault="001506C1" w:rsidP="00EC402C">
            <w:pPr>
              <w:autoSpaceDE w:val="0"/>
              <w:autoSpaceDN w:val="0"/>
              <w:adjustRightInd w:val="0"/>
              <w:rPr>
                <w:rFonts w:ascii="Arial" w:eastAsia="HelveticaNeueLTStd-Cn" w:hAnsi="Arial" w:cs="Arial"/>
                <w:sz w:val="24"/>
                <w:szCs w:val="24"/>
              </w:rPr>
            </w:pPr>
            <w:r w:rsidRPr="00FA3F9C">
              <w:rPr>
                <w:rFonts w:ascii="Arial" w:hAnsi="Arial" w:cs="Arial"/>
                <w:sz w:val="24"/>
                <w:szCs w:val="24"/>
              </w:rPr>
              <w:lastRenderedPageBreak/>
              <w:t>The claim should be denied if other tablets/capsules are on the current profile.</w:t>
            </w:r>
          </w:p>
          <w:p w14:paraId="2DA6B177" w14:textId="77777777" w:rsidR="001506C1" w:rsidRPr="00FA3F9C" w:rsidRDefault="001506C1" w:rsidP="00EC402C">
            <w:pPr>
              <w:jc w:val="center"/>
              <w:rPr>
                <w:rFonts w:ascii="Arial" w:hAnsi="Arial" w:cs="Arial"/>
                <w:b/>
                <w:sz w:val="24"/>
                <w:szCs w:val="24"/>
              </w:rPr>
            </w:pPr>
          </w:p>
        </w:tc>
      </w:tr>
      <w:tr w:rsidR="001506C1" w:rsidRPr="00FA3F9C" w14:paraId="1D462527" w14:textId="77777777" w:rsidTr="00EC402C">
        <w:trPr>
          <w:trHeight w:val="332"/>
        </w:trPr>
        <w:tc>
          <w:tcPr>
            <w:tcW w:w="10368" w:type="dxa"/>
            <w:gridSpan w:val="2"/>
            <w:tcBorders>
              <w:top w:val="single" w:sz="36" w:space="0" w:color="auto"/>
              <w:left w:val="single" w:sz="36" w:space="0" w:color="auto"/>
              <w:bottom w:val="single" w:sz="36" w:space="0" w:color="auto"/>
              <w:right w:val="single" w:sz="36" w:space="0" w:color="auto"/>
            </w:tcBorders>
          </w:tcPr>
          <w:p w14:paraId="776FF63B" w14:textId="77777777" w:rsidR="001506C1" w:rsidRPr="00FA3F9C" w:rsidRDefault="001506C1" w:rsidP="00EC402C">
            <w:pPr>
              <w:jc w:val="center"/>
              <w:rPr>
                <w:rFonts w:ascii="Arial" w:hAnsi="Arial" w:cs="Arial"/>
                <w:b/>
                <w:sz w:val="24"/>
                <w:szCs w:val="24"/>
              </w:rPr>
            </w:pPr>
            <w:r w:rsidRPr="00FA3F9C">
              <w:rPr>
                <w:rFonts w:ascii="Arial" w:hAnsi="Arial" w:cs="Arial"/>
                <w:b/>
                <w:sz w:val="24"/>
                <w:szCs w:val="24"/>
              </w:rPr>
              <w:lastRenderedPageBreak/>
              <w:t>If both questions are answered yes, PA is approved for one year.</w:t>
            </w:r>
          </w:p>
        </w:tc>
      </w:tr>
    </w:tbl>
    <w:p w14:paraId="270C1C6A" w14:textId="77777777" w:rsidR="001506C1" w:rsidRPr="00FA3F9C" w:rsidRDefault="001506C1" w:rsidP="002A23A6">
      <w:pPr>
        <w:rPr>
          <w:rFonts w:ascii="Arial" w:hAnsi="Arial" w:cs="Arial"/>
          <w:sz w:val="24"/>
          <w:szCs w:val="24"/>
        </w:rPr>
      </w:pPr>
    </w:p>
    <w:p w14:paraId="16AAE0C8" w14:textId="77777777" w:rsidR="001506C1" w:rsidRPr="00FA3F9C" w:rsidRDefault="001506C1" w:rsidP="002A23A6">
      <w:pPr>
        <w:rPr>
          <w:rFonts w:ascii="Arial" w:hAnsi="Arial" w:cs="Arial"/>
          <w:sz w:val="24"/>
          <w:szCs w:val="24"/>
        </w:rPr>
      </w:pPr>
      <w:r w:rsidRPr="00FA3F9C">
        <w:rPr>
          <w:rFonts w:ascii="Arial" w:hAnsi="Arial" w:cs="Arial"/>
          <w:sz w:val="24"/>
          <w:szCs w:val="24"/>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
        <w:gridCol w:w="7200"/>
        <w:gridCol w:w="2268"/>
      </w:tblGrid>
      <w:tr w:rsidR="001506C1" w:rsidRPr="00FA3F9C" w14:paraId="5782D617" w14:textId="77777777" w:rsidTr="00367B2E">
        <w:tc>
          <w:tcPr>
            <w:tcW w:w="828" w:type="dxa"/>
          </w:tcPr>
          <w:p w14:paraId="347E1D11" w14:textId="77777777" w:rsidR="001506C1" w:rsidRPr="00FA3F9C" w:rsidRDefault="001506C1" w:rsidP="002A23A6">
            <w:pPr>
              <w:rPr>
                <w:rFonts w:ascii="Arial" w:hAnsi="Arial" w:cs="Arial"/>
                <w:sz w:val="24"/>
                <w:szCs w:val="24"/>
              </w:rPr>
            </w:pPr>
            <w:r w:rsidRPr="00FA3F9C">
              <w:rPr>
                <w:rFonts w:ascii="Arial" w:hAnsi="Arial" w:cs="Arial"/>
                <w:sz w:val="24"/>
                <w:szCs w:val="24"/>
              </w:rPr>
              <w:t>Date</w:t>
            </w:r>
          </w:p>
        </w:tc>
        <w:tc>
          <w:tcPr>
            <w:tcW w:w="7200" w:type="dxa"/>
          </w:tcPr>
          <w:p w14:paraId="652DE8CB" w14:textId="77777777" w:rsidR="001506C1" w:rsidRPr="00FA3F9C" w:rsidRDefault="001506C1" w:rsidP="002A23A6">
            <w:pPr>
              <w:rPr>
                <w:rFonts w:ascii="Arial" w:hAnsi="Arial" w:cs="Arial"/>
                <w:sz w:val="24"/>
                <w:szCs w:val="24"/>
              </w:rPr>
            </w:pPr>
            <w:r w:rsidRPr="00FA3F9C">
              <w:rPr>
                <w:rFonts w:ascii="Arial" w:hAnsi="Arial" w:cs="Arial"/>
                <w:sz w:val="24"/>
                <w:szCs w:val="24"/>
              </w:rPr>
              <w:t>What changed?</w:t>
            </w:r>
          </w:p>
        </w:tc>
        <w:tc>
          <w:tcPr>
            <w:tcW w:w="2268" w:type="dxa"/>
          </w:tcPr>
          <w:p w14:paraId="2D48A8DC" w14:textId="77777777" w:rsidR="001506C1" w:rsidRPr="00FA3F9C" w:rsidRDefault="001506C1" w:rsidP="002A23A6">
            <w:pPr>
              <w:rPr>
                <w:rFonts w:ascii="Arial" w:hAnsi="Arial" w:cs="Arial"/>
                <w:sz w:val="24"/>
                <w:szCs w:val="24"/>
              </w:rPr>
            </w:pPr>
            <w:r w:rsidRPr="00FA3F9C">
              <w:rPr>
                <w:rFonts w:ascii="Arial" w:hAnsi="Arial" w:cs="Arial"/>
                <w:sz w:val="24"/>
                <w:szCs w:val="24"/>
              </w:rPr>
              <w:t>Pharmacist’s initials</w:t>
            </w:r>
          </w:p>
        </w:tc>
      </w:tr>
      <w:tr w:rsidR="001506C1" w:rsidRPr="00FA3F9C" w14:paraId="54DC52D1" w14:textId="77777777" w:rsidTr="00367B2E">
        <w:tc>
          <w:tcPr>
            <w:tcW w:w="828" w:type="dxa"/>
          </w:tcPr>
          <w:p w14:paraId="515C05D9" w14:textId="77777777" w:rsidR="001506C1" w:rsidRPr="00FA3F9C" w:rsidRDefault="001506C1" w:rsidP="002A23A6">
            <w:pPr>
              <w:rPr>
                <w:rFonts w:ascii="Arial" w:hAnsi="Arial" w:cs="Arial"/>
                <w:sz w:val="24"/>
                <w:szCs w:val="24"/>
              </w:rPr>
            </w:pPr>
            <w:r w:rsidRPr="00FA3F9C">
              <w:rPr>
                <w:rFonts w:ascii="Arial" w:hAnsi="Arial" w:cs="Arial"/>
                <w:sz w:val="24"/>
                <w:szCs w:val="24"/>
              </w:rPr>
              <w:t>5/10/12</w:t>
            </w:r>
          </w:p>
        </w:tc>
        <w:tc>
          <w:tcPr>
            <w:tcW w:w="7200" w:type="dxa"/>
          </w:tcPr>
          <w:p w14:paraId="52593956" w14:textId="77777777" w:rsidR="001506C1" w:rsidRPr="00FA3F9C" w:rsidRDefault="001506C1" w:rsidP="00E404C9">
            <w:pPr>
              <w:rPr>
                <w:rFonts w:ascii="Arial" w:hAnsi="Arial" w:cs="Arial"/>
                <w:sz w:val="24"/>
                <w:szCs w:val="24"/>
              </w:rPr>
            </w:pPr>
            <w:r w:rsidRPr="00FA3F9C">
              <w:rPr>
                <w:rFonts w:ascii="Arial" w:hAnsi="Arial" w:cs="Arial"/>
                <w:sz w:val="24"/>
                <w:szCs w:val="24"/>
              </w:rPr>
              <w:t>JJ created the criteria prior to the IB’s 10/11/11 mtg.  5/10/12 JJ added the revision history table.</w:t>
            </w:r>
          </w:p>
        </w:tc>
        <w:tc>
          <w:tcPr>
            <w:tcW w:w="2268" w:type="dxa"/>
          </w:tcPr>
          <w:p w14:paraId="43F97A79" w14:textId="23186BF4" w:rsidR="001506C1" w:rsidRPr="00FA3F9C" w:rsidRDefault="005C142D" w:rsidP="002A23A6">
            <w:pPr>
              <w:rPr>
                <w:rFonts w:ascii="Arial" w:hAnsi="Arial" w:cs="Arial"/>
                <w:sz w:val="24"/>
                <w:szCs w:val="24"/>
              </w:rPr>
            </w:pPr>
            <w:r w:rsidRPr="00FA3F9C">
              <w:rPr>
                <w:rFonts w:ascii="Arial" w:hAnsi="Arial" w:cs="Arial"/>
                <w:sz w:val="24"/>
                <w:szCs w:val="24"/>
              </w:rPr>
              <w:t>JJ</w:t>
            </w:r>
          </w:p>
        </w:tc>
      </w:tr>
      <w:tr w:rsidR="001506C1" w:rsidRPr="00FA3F9C" w14:paraId="0715440C" w14:textId="77777777" w:rsidTr="00367B2E">
        <w:tc>
          <w:tcPr>
            <w:tcW w:w="828" w:type="dxa"/>
          </w:tcPr>
          <w:p w14:paraId="2361F41E" w14:textId="77777777" w:rsidR="001506C1" w:rsidRPr="00FA3F9C" w:rsidRDefault="001506C1" w:rsidP="002A23A6">
            <w:pPr>
              <w:rPr>
                <w:rFonts w:ascii="Arial" w:hAnsi="Arial" w:cs="Arial"/>
                <w:sz w:val="24"/>
                <w:szCs w:val="24"/>
              </w:rPr>
            </w:pPr>
          </w:p>
        </w:tc>
        <w:tc>
          <w:tcPr>
            <w:tcW w:w="7200" w:type="dxa"/>
          </w:tcPr>
          <w:p w14:paraId="7FDEF4B7" w14:textId="77777777" w:rsidR="001506C1" w:rsidRPr="00FA3F9C" w:rsidRDefault="001506C1" w:rsidP="002A23A6">
            <w:pPr>
              <w:rPr>
                <w:rFonts w:ascii="Arial" w:hAnsi="Arial" w:cs="Arial"/>
                <w:sz w:val="24"/>
                <w:szCs w:val="24"/>
              </w:rPr>
            </w:pPr>
          </w:p>
        </w:tc>
        <w:tc>
          <w:tcPr>
            <w:tcW w:w="2268" w:type="dxa"/>
          </w:tcPr>
          <w:p w14:paraId="275F1E2C" w14:textId="77777777" w:rsidR="001506C1" w:rsidRPr="00FA3F9C" w:rsidRDefault="001506C1" w:rsidP="002A23A6">
            <w:pPr>
              <w:rPr>
                <w:rFonts w:ascii="Arial" w:hAnsi="Arial" w:cs="Arial"/>
                <w:sz w:val="24"/>
                <w:szCs w:val="24"/>
              </w:rPr>
            </w:pPr>
          </w:p>
        </w:tc>
      </w:tr>
      <w:tr w:rsidR="001506C1" w:rsidRPr="00FA3F9C" w14:paraId="5518CD8B" w14:textId="77777777" w:rsidTr="00367B2E">
        <w:tc>
          <w:tcPr>
            <w:tcW w:w="828" w:type="dxa"/>
          </w:tcPr>
          <w:p w14:paraId="55E02D77" w14:textId="77777777" w:rsidR="001506C1" w:rsidRPr="00FA3F9C" w:rsidRDefault="001506C1" w:rsidP="002A23A6">
            <w:pPr>
              <w:rPr>
                <w:rFonts w:ascii="Arial" w:hAnsi="Arial" w:cs="Arial"/>
                <w:sz w:val="24"/>
                <w:szCs w:val="24"/>
              </w:rPr>
            </w:pPr>
          </w:p>
        </w:tc>
        <w:tc>
          <w:tcPr>
            <w:tcW w:w="7200" w:type="dxa"/>
          </w:tcPr>
          <w:p w14:paraId="143D1569" w14:textId="77777777" w:rsidR="001506C1" w:rsidRPr="00FA3F9C" w:rsidRDefault="001506C1" w:rsidP="002A23A6">
            <w:pPr>
              <w:rPr>
                <w:rFonts w:ascii="Arial" w:hAnsi="Arial" w:cs="Arial"/>
                <w:sz w:val="24"/>
                <w:szCs w:val="24"/>
              </w:rPr>
            </w:pPr>
          </w:p>
        </w:tc>
        <w:tc>
          <w:tcPr>
            <w:tcW w:w="2268" w:type="dxa"/>
          </w:tcPr>
          <w:p w14:paraId="066B1532" w14:textId="77777777" w:rsidR="001506C1" w:rsidRPr="00FA3F9C" w:rsidRDefault="001506C1" w:rsidP="002A23A6">
            <w:pPr>
              <w:rPr>
                <w:rFonts w:ascii="Arial" w:hAnsi="Arial" w:cs="Arial"/>
                <w:sz w:val="24"/>
                <w:szCs w:val="24"/>
              </w:rPr>
            </w:pPr>
          </w:p>
        </w:tc>
      </w:tr>
    </w:tbl>
    <w:p w14:paraId="3392380C" w14:textId="77777777" w:rsidR="001506C1" w:rsidRPr="00FA3F9C" w:rsidRDefault="001506C1" w:rsidP="002A23A6">
      <w:pPr>
        <w:rPr>
          <w:rFonts w:ascii="Arial" w:hAnsi="Arial" w:cs="Arial"/>
          <w:sz w:val="24"/>
          <w:szCs w:val="24"/>
        </w:rPr>
      </w:pPr>
    </w:p>
    <w:p w14:paraId="4A8D9063" w14:textId="77777777" w:rsidR="00FC1E85" w:rsidRDefault="001506C1" w:rsidP="00FC1E85">
      <w:pPr>
        <w:pStyle w:val="Heading2"/>
      </w:pPr>
      <w:bookmarkStart w:id="47" w:name="_Toc106369748"/>
      <w:r w:rsidRPr="00FA3F9C">
        <w:t>Cannabidiol (CBD) Extract (</w:t>
      </w:r>
      <w:proofErr w:type="spellStart"/>
      <w:r w:rsidRPr="00FA3F9C">
        <w:t>Epidiolex</w:t>
      </w:r>
      <w:proofErr w:type="spellEnd"/>
      <w:r w:rsidRPr="00FA3F9C">
        <w:t>)</w:t>
      </w:r>
      <w:bookmarkEnd w:id="47"/>
      <w:r w:rsidRPr="00FA3F9C">
        <w:t xml:space="preserve"> </w:t>
      </w:r>
    </w:p>
    <w:p w14:paraId="0826D775" w14:textId="11677F5B" w:rsidR="001506C1" w:rsidRPr="00FA3F9C" w:rsidRDefault="001506C1" w:rsidP="006F623F">
      <w:pPr>
        <w:spacing w:after="0"/>
        <w:jc w:val="center"/>
        <w:rPr>
          <w:rFonts w:ascii="Arial" w:hAnsi="Arial" w:cs="Arial"/>
          <w:sz w:val="24"/>
          <w:szCs w:val="24"/>
        </w:rPr>
      </w:pPr>
      <w:r w:rsidRPr="00FA3F9C">
        <w:rPr>
          <w:rFonts w:ascii="Arial" w:hAnsi="Arial" w:cs="Arial"/>
          <w:sz w:val="24"/>
          <w:szCs w:val="24"/>
        </w:rPr>
        <w:t>100mg/mL solution</w:t>
      </w:r>
    </w:p>
    <w:p w14:paraId="55245EEC" w14:textId="77777777" w:rsidR="001506C1" w:rsidRPr="00FA3F9C" w:rsidRDefault="001506C1" w:rsidP="006F623F">
      <w:pPr>
        <w:spacing w:after="0"/>
        <w:jc w:val="center"/>
        <w:rPr>
          <w:rFonts w:ascii="Arial" w:hAnsi="Arial" w:cs="Arial"/>
          <w:sz w:val="24"/>
          <w:szCs w:val="24"/>
        </w:rPr>
      </w:pPr>
      <w:r w:rsidRPr="00FA3F9C">
        <w:rPr>
          <w:rFonts w:ascii="Arial" w:hAnsi="Arial" w:cs="Arial"/>
          <w:sz w:val="24"/>
          <w:szCs w:val="24"/>
        </w:rPr>
        <w:t>EBRx PA Criteria</w:t>
      </w:r>
    </w:p>
    <w:p w14:paraId="6F5A5F25" w14:textId="77777777" w:rsidR="001506C1" w:rsidRPr="00FA3F9C" w:rsidRDefault="001506C1" w:rsidP="006F623F">
      <w:pPr>
        <w:spacing w:after="0"/>
        <w:rPr>
          <w:rFonts w:ascii="Arial" w:hAnsi="Arial" w:cs="Arial"/>
          <w:b/>
          <w:sz w:val="24"/>
          <w:szCs w:val="24"/>
          <w:u w:val="single"/>
        </w:rPr>
      </w:pPr>
    </w:p>
    <w:p w14:paraId="7900FF5B" w14:textId="77777777" w:rsidR="001506C1" w:rsidRPr="00FA3F9C" w:rsidRDefault="001506C1"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w:t>
      </w:r>
      <w:r w:rsidRPr="00FA3F9C">
        <w:rPr>
          <w:rFonts w:ascii="Arial" w:eastAsia="Arial" w:hAnsi="Arial" w:cs="Arial"/>
          <w:sz w:val="24"/>
          <w:szCs w:val="24"/>
        </w:rPr>
        <w:t>Treatment of seizures associated with Lennox-</w:t>
      </w:r>
      <w:proofErr w:type="spellStart"/>
      <w:r w:rsidRPr="00FA3F9C">
        <w:rPr>
          <w:rFonts w:ascii="Arial" w:eastAsia="Arial" w:hAnsi="Arial" w:cs="Arial"/>
          <w:sz w:val="24"/>
          <w:szCs w:val="24"/>
        </w:rPr>
        <w:t>Gastaut</w:t>
      </w:r>
      <w:proofErr w:type="spellEnd"/>
      <w:r w:rsidRPr="00FA3F9C">
        <w:rPr>
          <w:rFonts w:ascii="Arial" w:eastAsia="Arial" w:hAnsi="Arial" w:cs="Arial"/>
          <w:sz w:val="24"/>
          <w:szCs w:val="24"/>
        </w:rPr>
        <w:t xml:space="preserve"> syndrome (LGS) or Dravet syndrome (DS) in patients 2 years old and above.</w:t>
      </w:r>
    </w:p>
    <w:tbl>
      <w:tblPr>
        <w:tblStyle w:val="TableGrid"/>
        <w:tblW w:w="0" w:type="auto"/>
        <w:tblLook w:val="04A0" w:firstRow="1" w:lastRow="0" w:firstColumn="1" w:lastColumn="0" w:noHBand="0" w:noVBand="1"/>
      </w:tblPr>
      <w:tblGrid>
        <w:gridCol w:w="8928"/>
        <w:gridCol w:w="2088"/>
      </w:tblGrid>
      <w:tr w:rsidR="001506C1" w:rsidRPr="00FA3F9C" w14:paraId="221BCD39" w14:textId="77777777" w:rsidTr="00571CAB">
        <w:tc>
          <w:tcPr>
            <w:tcW w:w="8928" w:type="dxa"/>
            <w:shd w:val="clear" w:color="auto" w:fill="000000"/>
          </w:tcPr>
          <w:p w14:paraId="36513C12" w14:textId="77777777" w:rsidR="001506C1" w:rsidRPr="00FA3F9C" w:rsidRDefault="001506C1"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88" w:type="dxa"/>
            <w:shd w:val="clear" w:color="auto" w:fill="000000"/>
          </w:tcPr>
          <w:p w14:paraId="657A5BAC" w14:textId="77777777" w:rsidR="001506C1" w:rsidRPr="00FA3F9C" w:rsidRDefault="001506C1" w:rsidP="006F623F">
            <w:pPr>
              <w:jc w:val="center"/>
              <w:rPr>
                <w:rFonts w:ascii="Arial" w:hAnsi="Arial" w:cs="Arial"/>
                <w:b/>
                <w:sz w:val="24"/>
                <w:szCs w:val="24"/>
                <w:u w:val="single"/>
              </w:rPr>
            </w:pPr>
          </w:p>
        </w:tc>
      </w:tr>
      <w:tr w:rsidR="001506C1" w:rsidRPr="00FA3F9C" w14:paraId="5BAD866A" w14:textId="77777777" w:rsidTr="00F337AE">
        <w:tc>
          <w:tcPr>
            <w:tcW w:w="11016" w:type="dxa"/>
            <w:gridSpan w:val="2"/>
          </w:tcPr>
          <w:p w14:paraId="1F9CC13A" w14:textId="77777777" w:rsidR="001506C1" w:rsidRPr="00FA3F9C" w:rsidRDefault="001506C1" w:rsidP="006F623F">
            <w:pPr>
              <w:rPr>
                <w:rFonts w:ascii="Arial" w:hAnsi="Arial" w:cs="Arial"/>
                <w:sz w:val="24"/>
                <w:szCs w:val="24"/>
              </w:rPr>
            </w:pPr>
            <w:r w:rsidRPr="00FA3F9C">
              <w:rPr>
                <w:rFonts w:ascii="Arial" w:hAnsi="Arial" w:cs="Arial"/>
                <w:sz w:val="24"/>
                <w:szCs w:val="24"/>
              </w:rPr>
              <w:t>1.  Patient must have the diagnosis of seizures due to either Lennox-</w:t>
            </w:r>
            <w:proofErr w:type="spellStart"/>
            <w:r w:rsidRPr="00FA3F9C">
              <w:rPr>
                <w:rFonts w:ascii="Arial" w:hAnsi="Arial" w:cs="Arial"/>
                <w:sz w:val="24"/>
                <w:szCs w:val="24"/>
              </w:rPr>
              <w:t>Gastaut</w:t>
            </w:r>
            <w:proofErr w:type="spellEnd"/>
            <w:r w:rsidRPr="00FA3F9C">
              <w:rPr>
                <w:rFonts w:ascii="Arial" w:hAnsi="Arial" w:cs="Arial"/>
                <w:sz w:val="24"/>
                <w:szCs w:val="24"/>
              </w:rPr>
              <w:t xml:space="preserve"> Syndrome or from Dravet Syndrome as documented in the medical record.</w:t>
            </w:r>
          </w:p>
        </w:tc>
      </w:tr>
      <w:tr w:rsidR="001506C1" w:rsidRPr="00FA3F9C" w14:paraId="4D0882B0" w14:textId="77777777" w:rsidTr="00B1617E">
        <w:tc>
          <w:tcPr>
            <w:tcW w:w="11016" w:type="dxa"/>
            <w:gridSpan w:val="2"/>
          </w:tcPr>
          <w:p w14:paraId="2B0A8120" w14:textId="77777777" w:rsidR="001506C1" w:rsidRPr="00FA3F9C" w:rsidRDefault="001506C1" w:rsidP="006F623F">
            <w:pPr>
              <w:rPr>
                <w:rFonts w:ascii="Arial" w:hAnsi="Arial" w:cs="Arial"/>
                <w:sz w:val="24"/>
                <w:szCs w:val="24"/>
              </w:rPr>
            </w:pPr>
            <w:r w:rsidRPr="00FA3F9C">
              <w:rPr>
                <w:rFonts w:ascii="Arial" w:hAnsi="Arial" w:cs="Arial"/>
                <w:sz w:val="24"/>
                <w:szCs w:val="24"/>
              </w:rPr>
              <w:t xml:space="preserve">2. Patient must be </w:t>
            </w:r>
            <w:r w:rsidRPr="00FA3F9C">
              <w:rPr>
                <w:rFonts w:ascii="Arial" w:hAnsi="Arial" w:cs="Arial"/>
                <w:sz w:val="24"/>
                <w:szCs w:val="24"/>
                <w:u w:val="single"/>
              </w:rPr>
              <w:t>&gt;</w:t>
            </w:r>
            <w:r w:rsidRPr="00FA3F9C">
              <w:rPr>
                <w:rFonts w:ascii="Arial" w:hAnsi="Arial" w:cs="Arial"/>
                <w:sz w:val="24"/>
                <w:szCs w:val="24"/>
              </w:rPr>
              <w:t>2 years of age.</w:t>
            </w:r>
          </w:p>
        </w:tc>
      </w:tr>
      <w:tr w:rsidR="001506C1" w:rsidRPr="00FA3F9C" w14:paraId="0E7114FC" w14:textId="77777777" w:rsidTr="0010789D">
        <w:tc>
          <w:tcPr>
            <w:tcW w:w="11016" w:type="dxa"/>
            <w:gridSpan w:val="2"/>
          </w:tcPr>
          <w:p w14:paraId="5A8A8083" w14:textId="77777777" w:rsidR="001506C1" w:rsidRPr="00FA3F9C" w:rsidRDefault="001506C1" w:rsidP="006F623F">
            <w:pPr>
              <w:rPr>
                <w:rFonts w:ascii="Arial" w:hAnsi="Arial" w:cs="Arial"/>
                <w:sz w:val="24"/>
                <w:szCs w:val="24"/>
              </w:rPr>
            </w:pPr>
            <w:r w:rsidRPr="00FA3F9C">
              <w:rPr>
                <w:rFonts w:ascii="Arial" w:hAnsi="Arial" w:cs="Arial"/>
                <w:sz w:val="24"/>
                <w:szCs w:val="24"/>
              </w:rPr>
              <w:t>3. Patient must have had at least 2 drop seizures each week for the previous 28 days (clinical trial inclusion)</w:t>
            </w:r>
          </w:p>
        </w:tc>
      </w:tr>
      <w:tr w:rsidR="001506C1" w:rsidRPr="00FA3F9C" w14:paraId="370738F5" w14:textId="77777777" w:rsidTr="00DA57E0">
        <w:tc>
          <w:tcPr>
            <w:tcW w:w="11016" w:type="dxa"/>
            <w:gridSpan w:val="2"/>
          </w:tcPr>
          <w:p w14:paraId="233EB089" w14:textId="77777777" w:rsidR="001506C1" w:rsidRPr="00FA3F9C" w:rsidRDefault="001506C1" w:rsidP="006F623F">
            <w:pPr>
              <w:rPr>
                <w:rFonts w:ascii="Arial" w:hAnsi="Arial" w:cs="Arial"/>
                <w:sz w:val="24"/>
                <w:szCs w:val="24"/>
              </w:rPr>
            </w:pPr>
            <w:r w:rsidRPr="00FA3F9C">
              <w:rPr>
                <w:rFonts w:ascii="Arial" w:hAnsi="Arial" w:cs="Arial"/>
                <w:sz w:val="24"/>
                <w:szCs w:val="24"/>
              </w:rPr>
              <w:lastRenderedPageBreak/>
              <w:t xml:space="preserve">4. Prescriber must submit chart notes and documentation that the patient is refractory to antiepileptic drugs with documented failure on </w:t>
            </w:r>
            <w:r w:rsidRPr="00FA3F9C">
              <w:rPr>
                <w:rFonts w:ascii="Arial" w:hAnsi="Arial" w:cs="Arial"/>
                <w:sz w:val="24"/>
                <w:szCs w:val="24"/>
                <w:u w:val="single"/>
              </w:rPr>
              <w:t>&gt;</w:t>
            </w:r>
            <w:r w:rsidRPr="00FA3F9C">
              <w:rPr>
                <w:rFonts w:ascii="Arial" w:hAnsi="Arial" w:cs="Arial"/>
                <w:sz w:val="24"/>
                <w:szCs w:val="24"/>
              </w:rPr>
              <w:t>2 anticonvulsant drugs.</w:t>
            </w:r>
          </w:p>
        </w:tc>
      </w:tr>
      <w:tr w:rsidR="001506C1" w:rsidRPr="00FA3F9C" w14:paraId="28B9B655" w14:textId="77777777" w:rsidTr="00DA57E0">
        <w:tc>
          <w:tcPr>
            <w:tcW w:w="11016" w:type="dxa"/>
            <w:gridSpan w:val="2"/>
          </w:tcPr>
          <w:p w14:paraId="2B20E9E5" w14:textId="77777777" w:rsidR="001506C1" w:rsidRPr="00FA3F9C" w:rsidRDefault="001506C1" w:rsidP="006F623F">
            <w:pPr>
              <w:rPr>
                <w:rFonts w:ascii="Arial" w:hAnsi="Arial" w:cs="Arial"/>
                <w:sz w:val="24"/>
                <w:szCs w:val="24"/>
              </w:rPr>
            </w:pPr>
            <w:r w:rsidRPr="00FA3F9C">
              <w:rPr>
                <w:rFonts w:ascii="Arial" w:hAnsi="Arial" w:cs="Arial"/>
                <w:sz w:val="24"/>
                <w:szCs w:val="24"/>
              </w:rPr>
              <w:t>If all criteria above are met, approve for 3 months.</w:t>
            </w:r>
          </w:p>
        </w:tc>
      </w:tr>
    </w:tbl>
    <w:p w14:paraId="7794A0EF" w14:textId="77777777" w:rsidR="001506C1" w:rsidRPr="00FA3F9C" w:rsidRDefault="001506C1" w:rsidP="006F623F">
      <w:pPr>
        <w:spacing w:after="0"/>
        <w:rPr>
          <w:rFonts w:ascii="Arial" w:hAnsi="Arial" w:cs="Arial"/>
          <w:b/>
          <w:sz w:val="24"/>
          <w:szCs w:val="24"/>
          <w:u w:val="single"/>
        </w:rPr>
      </w:pPr>
    </w:p>
    <w:tbl>
      <w:tblPr>
        <w:tblStyle w:val="TableGrid"/>
        <w:tblW w:w="0" w:type="auto"/>
        <w:tblLook w:val="04A0" w:firstRow="1" w:lastRow="0" w:firstColumn="1" w:lastColumn="0" w:noHBand="0" w:noVBand="1"/>
      </w:tblPr>
      <w:tblGrid>
        <w:gridCol w:w="8928"/>
        <w:gridCol w:w="2088"/>
      </w:tblGrid>
      <w:tr w:rsidR="001506C1" w:rsidRPr="00FA3F9C" w14:paraId="063F8D69" w14:textId="77777777" w:rsidTr="00571CAB">
        <w:tc>
          <w:tcPr>
            <w:tcW w:w="8928" w:type="dxa"/>
            <w:shd w:val="clear" w:color="auto" w:fill="000000"/>
          </w:tcPr>
          <w:p w14:paraId="1BEEEAA9" w14:textId="77777777" w:rsidR="001506C1" w:rsidRPr="00FA3F9C" w:rsidRDefault="001506C1" w:rsidP="00571CAB">
            <w:pPr>
              <w:rPr>
                <w:rFonts w:ascii="Arial" w:hAnsi="Arial" w:cs="Arial"/>
                <w:b/>
                <w:sz w:val="24"/>
                <w:szCs w:val="24"/>
                <w:u w:val="single"/>
              </w:rPr>
            </w:pPr>
            <w:r w:rsidRPr="00FA3F9C">
              <w:rPr>
                <w:rFonts w:ascii="Arial" w:hAnsi="Arial" w:cs="Arial"/>
                <w:b/>
                <w:sz w:val="24"/>
                <w:szCs w:val="24"/>
                <w:u w:val="single"/>
              </w:rPr>
              <w:t>Criteria for continuation</w:t>
            </w:r>
          </w:p>
        </w:tc>
        <w:tc>
          <w:tcPr>
            <w:tcW w:w="2088" w:type="dxa"/>
            <w:shd w:val="clear" w:color="auto" w:fill="000000"/>
          </w:tcPr>
          <w:p w14:paraId="37AD165C" w14:textId="77777777" w:rsidR="001506C1" w:rsidRPr="00FA3F9C" w:rsidRDefault="001506C1" w:rsidP="00571CAB">
            <w:pPr>
              <w:jc w:val="center"/>
              <w:rPr>
                <w:rFonts w:ascii="Arial" w:hAnsi="Arial" w:cs="Arial"/>
                <w:b/>
                <w:sz w:val="24"/>
                <w:szCs w:val="24"/>
                <w:u w:val="single"/>
              </w:rPr>
            </w:pPr>
          </w:p>
        </w:tc>
      </w:tr>
      <w:tr w:rsidR="001506C1" w:rsidRPr="00FA3F9C" w14:paraId="30F20474" w14:textId="77777777" w:rsidTr="00FE7E94">
        <w:tc>
          <w:tcPr>
            <w:tcW w:w="11016" w:type="dxa"/>
            <w:gridSpan w:val="2"/>
          </w:tcPr>
          <w:p w14:paraId="4F209B48" w14:textId="77777777" w:rsidR="001506C1" w:rsidRPr="00FA3F9C" w:rsidRDefault="001506C1" w:rsidP="00571CAB">
            <w:pPr>
              <w:rPr>
                <w:rFonts w:ascii="Arial" w:hAnsi="Arial" w:cs="Arial"/>
                <w:sz w:val="24"/>
                <w:szCs w:val="24"/>
              </w:rPr>
            </w:pPr>
            <w:r w:rsidRPr="00FA3F9C">
              <w:rPr>
                <w:rFonts w:ascii="Arial" w:hAnsi="Arial" w:cs="Arial"/>
                <w:sz w:val="24"/>
                <w:szCs w:val="24"/>
              </w:rPr>
              <w:t>1. Patient must be adherent to the prescribed dose.</w:t>
            </w:r>
          </w:p>
        </w:tc>
      </w:tr>
      <w:tr w:rsidR="001506C1" w:rsidRPr="00FA3F9C" w14:paraId="0989FA9E" w14:textId="77777777" w:rsidTr="00E85040">
        <w:tc>
          <w:tcPr>
            <w:tcW w:w="11016" w:type="dxa"/>
            <w:gridSpan w:val="2"/>
          </w:tcPr>
          <w:p w14:paraId="4FA1B42D" w14:textId="77777777" w:rsidR="001506C1" w:rsidRPr="00FA3F9C" w:rsidRDefault="001506C1" w:rsidP="00571CAB">
            <w:pPr>
              <w:rPr>
                <w:rFonts w:ascii="Arial" w:hAnsi="Arial" w:cs="Arial"/>
                <w:sz w:val="24"/>
                <w:szCs w:val="24"/>
              </w:rPr>
            </w:pPr>
            <w:r w:rsidRPr="00FA3F9C">
              <w:rPr>
                <w:rFonts w:ascii="Arial" w:hAnsi="Arial" w:cs="Arial"/>
                <w:sz w:val="24"/>
                <w:szCs w:val="24"/>
              </w:rPr>
              <w:t>2. Patient must show positive improvement by a reduction from baseline in seizure frequency.</w:t>
            </w:r>
          </w:p>
        </w:tc>
      </w:tr>
      <w:tr w:rsidR="001506C1" w:rsidRPr="00FA3F9C" w14:paraId="3E644EDC" w14:textId="77777777" w:rsidTr="00E85040">
        <w:tc>
          <w:tcPr>
            <w:tcW w:w="11016" w:type="dxa"/>
            <w:gridSpan w:val="2"/>
          </w:tcPr>
          <w:p w14:paraId="0D6031D4" w14:textId="77777777" w:rsidR="001506C1" w:rsidRPr="00FA3F9C" w:rsidRDefault="001506C1" w:rsidP="00571CAB">
            <w:pPr>
              <w:rPr>
                <w:rFonts w:ascii="Arial" w:hAnsi="Arial" w:cs="Arial"/>
                <w:sz w:val="24"/>
                <w:szCs w:val="24"/>
              </w:rPr>
            </w:pPr>
            <w:r w:rsidRPr="00FA3F9C">
              <w:rPr>
                <w:rFonts w:ascii="Arial" w:hAnsi="Arial" w:cs="Arial"/>
                <w:sz w:val="24"/>
                <w:szCs w:val="24"/>
              </w:rPr>
              <w:t>If continuation criteria are met after initial use, approve for 12 months.</w:t>
            </w:r>
          </w:p>
        </w:tc>
      </w:tr>
    </w:tbl>
    <w:p w14:paraId="29321448" w14:textId="77777777" w:rsidR="001506C1" w:rsidRPr="00FA3F9C" w:rsidRDefault="001506C1" w:rsidP="006F623F">
      <w:pPr>
        <w:spacing w:after="0"/>
        <w:rPr>
          <w:rFonts w:ascii="Arial" w:hAnsi="Arial" w:cs="Arial"/>
          <w:b/>
          <w:sz w:val="24"/>
          <w:szCs w:val="24"/>
          <w:u w:val="single"/>
        </w:rPr>
      </w:pPr>
    </w:p>
    <w:tbl>
      <w:tblPr>
        <w:tblStyle w:val="TableGrid"/>
        <w:tblW w:w="0" w:type="auto"/>
        <w:shd w:val="clear" w:color="auto" w:fill="BFBFBF" w:themeFill="background1" w:themeFillShade="BF"/>
        <w:tblLook w:val="04A0" w:firstRow="1" w:lastRow="0" w:firstColumn="1" w:lastColumn="0" w:noHBand="0" w:noVBand="1"/>
      </w:tblPr>
      <w:tblGrid>
        <w:gridCol w:w="10998"/>
      </w:tblGrid>
      <w:tr w:rsidR="001506C1" w:rsidRPr="00FA3F9C" w14:paraId="2F8A3069" w14:textId="77777777" w:rsidTr="00D82B6E">
        <w:tc>
          <w:tcPr>
            <w:tcW w:w="10998" w:type="dxa"/>
            <w:shd w:val="clear" w:color="auto" w:fill="BFBFBF" w:themeFill="background1" w:themeFillShade="BF"/>
          </w:tcPr>
          <w:p w14:paraId="0140D724" w14:textId="77777777" w:rsidR="001506C1" w:rsidRPr="00FA3F9C" w:rsidRDefault="001506C1" w:rsidP="00D82B6E">
            <w:pPr>
              <w:rPr>
                <w:rFonts w:ascii="Arial" w:hAnsi="Arial" w:cs="Arial"/>
                <w:sz w:val="24"/>
                <w:szCs w:val="24"/>
              </w:rPr>
            </w:pPr>
            <w:r w:rsidRPr="00FA3F9C">
              <w:rPr>
                <w:rFonts w:ascii="Arial" w:hAnsi="Arial" w:cs="Arial"/>
                <w:sz w:val="24"/>
                <w:szCs w:val="24"/>
              </w:rPr>
              <w:t>Note: Dose is 2.5mg/kg BID, then increase as quickly as 2.5mg/kg every other day to a max dose of 10mg/kg BID.</w:t>
            </w:r>
          </w:p>
        </w:tc>
      </w:tr>
    </w:tbl>
    <w:p w14:paraId="636FE5B0" w14:textId="77777777" w:rsidR="001506C1" w:rsidRPr="00FA3F9C" w:rsidRDefault="001506C1" w:rsidP="006F623F">
      <w:pPr>
        <w:spacing w:after="0"/>
        <w:rPr>
          <w:rFonts w:ascii="Arial" w:hAnsi="Arial" w:cs="Arial"/>
          <w:sz w:val="24"/>
          <w:szCs w:val="24"/>
        </w:rPr>
      </w:pPr>
    </w:p>
    <w:p w14:paraId="56CB8975"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284"/>
        <w:gridCol w:w="7470"/>
        <w:gridCol w:w="2538"/>
      </w:tblGrid>
      <w:tr w:rsidR="001506C1" w:rsidRPr="00FA3F9C" w14:paraId="14AB35DF" w14:textId="77777777" w:rsidTr="00FE491B">
        <w:tc>
          <w:tcPr>
            <w:tcW w:w="1008" w:type="dxa"/>
          </w:tcPr>
          <w:p w14:paraId="5965410B" w14:textId="77777777" w:rsidR="001506C1" w:rsidRPr="00FA3F9C" w:rsidRDefault="001506C1" w:rsidP="006F623F">
            <w:pPr>
              <w:rPr>
                <w:rFonts w:ascii="Arial" w:hAnsi="Arial" w:cs="Arial"/>
                <w:sz w:val="24"/>
                <w:szCs w:val="24"/>
              </w:rPr>
            </w:pPr>
            <w:r w:rsidRPr="00FA3F9C">
              <w:rPr>
                <w:rFonts w:ascii="Arial" w:hAnsi="Arial" w:cs="Arial"/>
                <w:sz w:val="24"/>
                <w:szCs w:val="24"/>
              </w:rPr>
              <w:t>Date</w:t>
            </w:r>
          </w:p>
        </w:tc>
        <w:tc>
          <w:tcPr>
            <w:tcW w:w="7470" w:type="dxa"/>
          </w:tcPr>
          <w:p w14:paraId="1C7D2049" w14:textId="77777777" w:rsidR="001506C1" w:rsidRPr="00FA3F9C" w:rsidRDefault="001506C1" w:rsidP="006F623F">
            <w:pPr>
              <w:rPr>
                <w:rFonts w:ascii="Arial" w:hAnsi="Arial" w:cs="Arial"/>
                <w:sz w:val="24"/>
                <w:szCs w:val="24"/>
              </w:rPr>
            </w:pPr>
            <w:r w:rsidRPr="00FA3F9C">
              <w:rPr>
                <w:rFonts w:ascii="Arial" w:hAnsi="Arial" w:cs="Arial"/>
                <w:sz w:val="24"/>
                <w:szCs w:val="24"/>
              </w:rPr>
              <w:t>What changed</w:t>
            </w:r>
          </w:p>
        </w:tc>
        <w:tc>
          <w:tcPr>
            <w:tcW w:w="2538" w:type="dxa"/>
          </w:tcPr>
          <w:p w14:paraId="074C4978" w14:textId="77777777" w:rsidR="001506C1" w:rsidRPr="00FA3F9C" w:rsidRDefault="001506C1" w:rsidP="006F623F">
            <w:pPr>
              <w:rPr>
                <w:rFonts w:ascii="Arial" w:hAnsi="Arial" w:cs="Arial"/>
                <w:sz w:val="24"/>
                <w:szCs w:val="24"/>
              </w:rPr>
            </w:pPr>
            <w:r w:rsidRPr="00FA3F9C">
              <w:rPr>
                <w:rFonts w:ascii="Arial" w:hAnsi="Arial" w:cs="Arial"/>
                <w:sz w:val="24"/>
                <w:szCs w:val="24"/>
              </w:rPr>
              <w:t>Pharmacist’s initials</w:t>
            </w:r>
          </w:p>
        </w:tc>
      </w:tr>
      <w:tr w:rsidR="001506C1" w:rsidRPr="00FA3F9C" w14:paraId="3C614040" w14:textId="77777777" w:rsidTr="00FE491B">
        <w:tc>
          <w:tcPr>
            <w:tcW w:w="1008" w:type="dxa"/>
          </w:tcPr>
          <w:p w14:paraId="073E651C" w14:textId="77777777" w:rsidR="001506C1" w:rsidRPr="00FA3F9C" w:rsidRDefault="001506C1" w:rsidP="006F623F">
            <w:pPr>
              <w:rPr>
                <w:rFonts w:ascii="Arial" w:hAnsi="Arial" w:cs="Arial"/>
                <w:sz w:val="24"/>
                <w:szCs w:val="24"/>
              </w:rPr>
            </w:pPr>
            <w:r w:rsidRPr="00FA3F9C">
              <w:rPr>
                <w:rFonts w:ascii="Arial" w:hAnsi="Arial" w:cs="Arial"/>
                <w:sz w:val="24"/>
                <w:szCs w:val="24"/>
              </w:rPr>
              <w:t>1/14/19</w:t>
            </w:r>
          </w:p>
        </w:tc>
        <w:tc>
          <w:tcPr>
            <w:tcW w:w="7470" w:type="dxa"/>
          </w:tcPr>
          <w:p w14:paraId="7FB9A661" w14:textId="77777777" w:rsidR="001506C1" w:rsidRPr="00FA3F9C" w:rsidRDefault="001506C1" w:rsidP="006F623F">
            <w:pPr>
              <w:rPr>
                <w:rFonts w:ascii="Arial" w:hAnsi="Arial" w:cs="Arial"/>
                <w:sz w:val="24"/>
                <w:szCs w:val="24"/>
              </w:rPr>
            </w:pPr>
            <w:r w:rsidRPr="00FA3F9C">
              <w:rPr>
                <w:rFonts w:ascii="Arial" w:hAnsi="Arial" w:cs="Arial"/>
                <w:sz w:val="24"/>
                <w:szCs w:val="24"/>
              </w:rPr>
              <w:t>I wrote the criteria.</w:t>
            </w:r>
          </w:p>
        </w:tc>
        <w:tc>
          <w:tcPr>
            <w:tcW w:w="2538" w:type="dxa"/>
          </w:tcPr>
          <w:p w14:paraId="1030D4D2" w14:textId="77777777" w:rsidR="001506C1" w:rsidRPr="00FA3F9C" w:rsidRDefault="001506C1" w:rsidP="006F623F">
            <w:pPr>
              <w:rPr>
                <w:rFonts w:ascii="Arial" w:hAnsi="Arial" w:cs="Arial"/>
                <w:sz w:val="24"/>
                <w:szCs w:val="24"/>
              </w:rPr>
            </w:pPr>
            <w:r w:rsidRPr="00FA3F9C">
              <w:rPr>
                <w:rFonts w:ascii="Arial" w:hAnsi="Arial" w:cs="Arial"/>
                <w:sz w:val="24"/>
                <w:szCs w:val="24"/>
              </w:rPr>
              <w:t>JJ</w:t>
            </w:r>
          </w:p>
        </w:tc>
      </w:tr>
      <w:tr w:rsidR="001506C1" w:rsidRPr="00FA3F9C" w14:paraId="72A01EC3" w14:textId="77777777" w:rsidTr="00FE491B">
        <w:tc>
          <w:tcPr>
            <w:tcW w:w="1008" w:type="dxa"/>
          </w:tcPr>
          <w:p w14:paraId="79EAA76C" w14:textId="77777777" w:rsidR="001506C1" w:rsidRPr="00FA3F9C" w:rsidRDefault="001506C1" w:rsidP="006F623F">
            <w:pPr>
              <w:rPr>
                <w:rFonts w:ascii="Arial" w:hAnsi="Arial" w:cs="Arial"/>
                <w:sz w:val="24"/>
                <w:szCs w:val="24"/>
              </w:rPr>
            </w:pPr>
            <w:r w:rsidRPr="00FA3F9C">
              <w:rPr>
                <w:rFonts w:ascii="Arial" w:hAnsi="Arial" w:cs="Arial"/>
                <w:sz w:val="24"/>
                <w:szCs w:val="24"/>
              </w:rPr>
              <w:t>6/23/2020</w:t>
            </w:r>
          </w:p>
        </w:tc>
        <w:tc>
          <w:tcPr>
            <w:tcW w:w="7470" w:type="dxa"/>
          </w:tcPr>
          <w:p w14:paraId="3A25C1B6" w14:textId="77777777" w:rsidR="001506C1" w:rsidRPr="00FA3F9C" w:rsidRDefault="001506C1" w:rsidP="006F623F">
            <w:pPr>
              <w:rPr>
                <w:rFonts w:ascii="Arial" w:hAnsi="Arial" w:cs="Arial"/>
                <w:sz w:val="24"/>
                <w:szCs w:val="24"/>
              </w:rPr>
            </w:pPr>
            <w:r w:rsidRPr="00FA3F9C">
              <w:rPr>
                <w:rFonts w:ascii="Arial" w:hAnsi="Arial" w:cs="Arial"/>
                <w:sz w:val="24"/>
                <w:szCs w:val="24"/>
              </w:rPr>
              <w:t>I reviewed the criteria. No changes.</w:t>
            </w:r>
          </w:p>
        </w:tc>
        <w:tc>
          <w:tcPr>
            <w:tcW w:w="2538" w:type="dxa"/>
          </w:tcPr>
          <w:p w14:paraId="5585371C" w14:textId="77777777" w:rsidR="001506C1" w:rsidRPr="00FA3F9C" w:rsidRDefault="001506C1" w:rsidP="006F623F">
            <w:pPr>
              <w:rPr>
                <w:rFonts w:ascii="Arial" w:hAnsi="Arial" w:cs="Arial"/>
                <w:sz w:val="24"/>
                <w:szCs w:val="24"/>
              </w:rPr>
            </w:pPr>
            <w:r w:rsidRPr="00FA3F9C">
              <w:rPr>
                <w:rFonts w:ascii="Arial" w:hAnsi="Arial" w:cs="Arial"/>
                <w:sz w:val="24"/>
                <w:szCs w:val="24"/>
              </w:rPr>
              <w:t>JJ</w:t>
            </w:r>
          </w:p>
        </w:tc>
      </w:tr>
      <w:tr w:rsidR="001506C1" w:rsidRPr="00FA3F9C" w14:paraId="651D5702" w14:textId="77777777" w:rsidTr="00FE491B">
        <w:tc>
          <w:tcPr>
            <w:tcW w:w="1008" w:type="dxa"/>
          </w:tcPr>
          <w:p w14:paraId="03C906C5" w14:textId="77777777" w:rsidR="001506C1" w:rsidRPr="00FA3F9C" w:rsidRDefault="001506C1" w:rsidP="006F623F">
            <w:pPr>
              <w:rPr>
                <w:rFonts w:ascii="Arial" w:hAnsi="Arial" w:cs="Arial"/>
                <w:sz w:val="24"/>
                <w:szCs w:val="24"/>
              </w:rPr>
            </w:pPr>
            <w:r w:rsidRPr="00FA3F9C">
              <w:rPr>
                <w:rFonts w:ascii="Arial" w:hAnsi="Arial" w:cs="Arial"/>
                <w:sz w:val="24"/>
                <w:szCs w:val="24"/>
              </w:rPr>
              <w:t>4/6/21</w:t>
            </w:r>
          </w:p>
        </w:tc>
        <w:tc>
          <w:tcPr>
            <w:tcW w:w="7470" w:type="dxa"/>
          </w:tcPr>
          <w:p w14:paraId="521564A5" w14:textId="77777777" w:rsidR="001506C1" w:rsidRPr="00FA3F9C" w:rsidRDefault="001506C1" w:rsidP="006F623F">
            <w:pPr>
              <w:rPr>
                <w:rFonts w:ascii="Arial" w:hAnsi="Arial" w:cs="Arial"/>
                <w:sz w:val="24"/>
                <w:szCs w:val="24"/>
              </w:rPr>
            </w:pPr>
            <w:r w:rsidRPr="00FA3F9C">
              <w:rPr>
                <w:rFonts w:ascii="Arial" w:hAnsi="Arial" w:cs="Arial"/>
                <w:sz w:val="24"/>
                <w:szCs w:val="24"/>
              </w:rPr>
              <w:t>Applied EBRx criteria to UAS.</w:t>
            </w:r>
          </w:p>
        </w:tc>
        <w:tc>
          <w:tcPr>
            <w:tcW w:w="2538" w:type="dxa"/>
          </w:tcPr>
          <w:p w14:paraId="19C2E6CF" w14:textId="77777777" w:rsidR="001506C1" w:rsidRPr="00FA3F9C" w:rsidRDefault="001506C1" w:rsidP="006F623F">
            <w:pPr>
              <w:rPr>
                <w:rFonts w:ascii="Arial" w:hAnsi="Arial" w:cs="Arial"/>
                <w:sz w:val="24"/>
                <w:szCs w:val="24"/>
              </w:rPr>
            </w:pPr>
            <w:r w:rsidRPr="00FA3F9C">
              <w:rPr>
                <w:rFonts w:ascii="Arial" w:hAnsi="Arial" w:cs="Arial"/>
                <w:sz w:val="24"/>
                <w:szCs w:val="24"/>
              </w:rPr>
              <w:t>JJ</w:t>
            </w:r>
          </w:p>
        </w:tc>
      </w:tr>
    </w:tbl>
    <w:p w14:paraId="319FD054" w14:textId="77777777" w:rsidR="001506C1" w:rsidRPr="00FA3F9C" w:rsidRDefault="001506C1" w:rsidP="00BF303C">
      <w:pPr>
        <w:spacing w:after="0"/>
        <w:rPr>
          <w:rFonts w:ascii="Arial" w:hAnsi="Arial" w:cs="Arial"/>
          <w:sz w:val="24"/>
          <w:szCs w:val="24"/>
        </w:rPr>
      </w:pPr>
    </w:p>
    <w:p w14:paraId="5B07EFDE" w14:textId="77777777" w:rsidR="001506C1" w:rsidRPr="00FA3F9C" w:rsidRDefault="001506C1" w:rsidP="00BF303C">
      <w:pPr>
        <w:spacing w:after="0"/>
        <w:rPr>
          <w:rFonts w:ascii="Arial" w:hAnsi="Arial" w:cs="Arial"/>
          <w:sz w:val="24"/>
          <w:szCs w:val="24"/>
        </w:rPr>
      </w:pPr>
      <w:r w:rsidRPr="00FA3F9C">
        <w:rPr>
          <w:rFonts w:ascii="Arial" w:eastAsia="Arial" w:hAnsi="Arial" w:cs="Arial"/>
          <w:b/>
          <w:sz w:val="24"/>
          <w:szCs w:val="24"/>
        </w:rPr>
        <w:t>Clinical Trials</w:t>
      </w:r>
      <w:r w:rsidRPr="00FA3F9C">
        <w:rPr>
          <w:rFonts w:ascii="Arial" w:eastAsia="Arial" w:hAnsi="Arial" w:cs="Arial"/>
          <w:sz w:val="24"/>
          <w:szCs w:val="24"/>
        </w:rPr>
        <w:t>: **</w:t>
      </w:r>
    </w:p>
    <w:tbl>
      <w:tblPr>
        <w:tblW w:w="11415" w:type="dxa"/>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5"/>
        <w:gridCol w:w="513"/>
        <w:gridCol w:w="2430"/>
        <w:gridCol w:w="2790"/>
        <w:gridCol w:w="3987"/>
      </w:tblGrid>
      <w:tr w:rsidR="001506C1" w:rsidRPr="00FA3F9C" w14:paraId="7D56DF26" w14:textId="77777777" w:rsidTr="00BF303C">
        <w:tc>
          <w:tcPr>
            <w:tcW w:w="1695" w:type="dxa"/>
          </w:tcPr>
          <w:p w14:paraId="5A8A112E" w14:textId="77777777" w:rsidR="001506C1" w:rsidRPr="00FA3F9C" w:rsidRDefault="001506C1" w:rsidP="00BF303C">
            <w:pPr>
              <w:spacing w:after="0" w:line="240" w:lineRule="auto"/>
              <w:rPr>
                <w:rFonts w:ascii="Arial" w:hAnsi="Arial" w:cs="Arial"/>
                <w:sz w:val="24"/>
                <w:szCs w:val="24"/>
              </w:rPr>
            </w:pPr>
            <w:r w:rsidRPr="00FA3F9C">
              <w:rPr>
                <w:rFonts w:ascii="Arial" w:hAnsi="Arial" w:cs="Arial"/>
                <w:b/>
                <w:sz w:val="24"/>
                <w:szCs w:val="24"/>
              </w:rPr>
              <w:t>Trial</w:t>
            </w:r>
          </w:p>
        </w:tc>
        <w:tc>
          <w:tcPr>
            <w:tcW w:w="513" w:type="dxa"/>
          </w:tcPr>
          <w:p w14:paraId="7DC20360" w14:textId="77777777" w:rsidR="001506C1" w:rsidRPr="00FA3F9C" w:rsidRDefault="001506C1" w:rsidP="00BF303C">
            <w:pPr>
              <w:spacing w:after="0" w:line="240" w:lineRule="auto"/>
              <w:rPr>
                <w:rFonts w:ascii="Arial" w:hAnsi="Arial" w:cs="Arial"/>
                <w:sz w:val="24"/>
                <w:szCs w:val="24"/>
              </w:rPr>
            </w:pPr>
            <w:r w:rsidRPr="00FA3F9C">
              <w:rPr>
                <w:rFonts w:ascii="Arial" w:hAnsi="Arial" w:cs="Arial"/>
                <w:b/>
                <w:sz w:val="24"/>
                <w:szCs w:val="24"/>
              </w:rPr>
              <w:t>N</w:t>
            </w:r>
          </w:p>
        </w:tc>
        <w:tc>
          <w:tcPr>
            <w:tcW w:w="2430" w:type="dxa"/>
          </w:tcPr>
          <w:p w14:paraId="170868C6" w14:textId="77777777" w:rsidR="001506C1" w:rsidRPr="00FA3F9C" w:rsidRDefault="001506C1" w:rsidP="00BF303C">
            <w:pPr>
              <w:spacing w:after="0" w:line="240" w:lineRule="auto"/>
              <w:rPr>
                <w:rFonts w:ascii="Arial" w:hAnsi="Arial" w:cs="Arial"/>
                <w:b/>
                <w:sz w:val="24"/>
                <w:szCs w:val="24"/>
              </w:rPr>
            </w:pPr>
            <w:r w:rsidRPr="00FA3F9C">
              <w:rPr>
                <w:rFonts w:ascii="Arial" w:hAnsi="Arial" w:cs="Arial"/>
                <w:b/>
                <w:sz w:val="24"/>
                <w:szCs w:val="24"/>
              </w:rPr>
              <w:t>Population</w:t>
            </w:r>
          </w:p>
        </w:tc>
        <w:tc>
          <w:tcPr>
            <w:tcW w:w="2790" w:type="dxa"/>
          </w:tcPr>
          <w:p w14:paraId="38A820D0" w14:textId="77777777" w:rsidR="001506C1" w:rsidRPr="00FA3F9C" w:rsidRDefault="001506C1" w:rsidP="00BF303C">
            <w:pPr>
              <w:spacing w:after="0" w:line="240" w:lineRule="auto"/>
              <w:rPr>
                <w:rFonts w:ascii="Arial" w:hAnsi="Arial" w:cs="Arial"/>
                <w:sz w:val="24"/>
                <w:szCs w:val="24"/>
              </w:rPr>
            </w:pPr>
            <w:r w:rsidRPr="00FA3F9C">
              <w:rPr>
                <w:rFonts w:ascii="Arial" w:hAnsi="Arial" w:cs="Arial"/>
                <w:b/>
                <w:sz w:val="24"/>
                <w:szCs w:val="24"/>
              </w:rPr>
              <w:t>Endpoints</w:t>
            </w:r>
          </w:p>
        </w:tc>
        <w:tc>
          <w:tcPr>
            <w:tcW w:w="3987" w:type="dxa"/>
          </w:tcPr>
          <w:p w14:paraId="24FF9DD6" w14:textId="77777777" w:rsidR="001506C1" w:rsidRPr="00FA3F9C" w:rsidRDefault="001506C1" w:rsidP="00BF303C">
            <w:pPr>
              <w:spacing w:after="0" w:line="240" w:lineRule="auto"/>
              <w:rPr>
                <w:rFonts w:ascii="Arial" w:hAnsi="Arial" w:cs="Arial"/>
                <w:sz w:val="24"/>
                <w:szCs w:val="24"/>
              </w:rPr>
            </w:pPr>
            <w:r w:rsidRPr="00FA3F9C">
              <w:rPr>
                <w:rFonts w:ascii="Arial" w:hAnsi="Arial" w:cs="Arial"/>
                <w:b/>
                <w:sz w:val="24"/>
                <w:szCs w:val="24"/>
              </w:rPr>
              <w:t>Results</w:t>
            </w:r>
          </w:p>
        </w:tc>
      </w:tr>
      <w:tr w:rsidR="001506C1" w:rsidRPr="00FA3F9C" w14:paraId="51825807" w14:textId="77777777" w:rsidTr="00BF303C">
        <w:trPr>
          <w:trHeight w:val="1538"/>
        </w:trPr>
        <w:tc>
          <w:tcPr>
            <w:tcW w:w="1695" w:type="dxa"/>
          </w:tcPr>
          <w:p w14:paraId="08BBAECB" w14:textId="77777777" w:rsidR="001506C1" w:rsidRPr="00FA3F9C" w:rsidRDefault="001506C1" w:rsidP="00BF303C">
            <w:pPr>
              <w:spacing w:after="0" w:line="240" w:lineRule="auto"/>
              <w:rPr>
                <w:rFonts w:ascii="Arial" w:hAnsi="Arial" w:cs="Arial"/>
                <w:sz w:val="24"/>
                <w:szCs w:val="24"/>
                <w:vertAlign w:val="superscript"/>
              </w:rPr>
            </w:pPr>
            <w:r w:rsidRPr="00FA3F9C">
              <w:rPr>
                <w:rFonts w:ascii="Arial" w:hAnsi="Arial" w:cs="Arial"/>
                <w:sz w:val="24"/>
                <w:szCs w:val="24"/>
              </w:rPr>
              <w:t xml:space="preserve">Effect of Cannabidiol on Drop Seizures in the </w:t>
            </w:r>
            <w:r w:rsidRPr="00FA3F9C">
              <w:rPr>
                <w:rFonts w:ascii="Arial" w:hAnsi="Arial" w:cs="Arial"/>
                <w:sz w:val="24"/>
                <w:szCs w:val="24"/>
                <w:highlight w:val="cyan"/>
              </w:rPr>
              <w:t>Lennox-</w:t>
            </w:r>
            <w:proofErr w:type="spellStart"/>
            <w:r w:rsidRPr="00FA3F9C">
              <w:rPr>
                <w:rFonts w:ascii="Arial" w:hAnsi="Arial" w:cs="Arial"/>
                <w:sz w:val="24"/>
                <w:szCs w:val="24"/>
                <w:highlight w:val="cyan"/>
              </w:rPr>
              <w:t>Gastaut</w:t>
            </w:r>
            <w:proofErr w:type="spellEnd"/>
            <w:r w:rsidRPr="00FA3F9C">
              <w:rPr>
                <w:rFonts w:ascii="Arial" w:hAnsi="Arial" w:cs="Arial"/>
                <w:sz w:val="24"/>
                <w:szCs w:val="24"/>
                <w:highlight w:val="cyan"/>
              </w:rPr>
              <w:t xml:space="preserve"> Syndrome</w:t>
            </w:r>
            <w:r w:rsidRPr="00FA3F9C">
              <w:rPr>
                <w:rFonts w:ascii="Arial" w:hAnsi="Arial" w:cs="Arial"/>
                <w:sz w:val="24"/>
                <w:szCs w:val="24"/>
                <w:highlight w:val="cyan"/>
                <w:vertAlign w:val="superscript"/>
              </w:rPr>
              <w:t>2</w:t>
            </w:r>
          </w:p>
          <w:p w14:paraId="232D4A22" w14:textId="77777777" w:rsidR="001506C1" w:rsidRPr="00FA3F9C" w:rsidRDefault="001506C1" w:rsidP="00BF303C">
            <w:pPr>
              <w:spacing w:after="0" w:line="240" w:lineRule="auto"/>
              <w:rPr>
                <w:rFonts w:ascii="Arial" w:hAnsi="Arial" w:cs="Arial"/>
                <w:sz w:val="24"/>
                <w:szCs w:val="24"/>
              </w:rPr>
            </w:pPr>
            <w:r w:rsidRPr="00FA3F9C">
              <w:rPr>
                <w:rFonts w:ascii="Arial" w:hAnsi="Arial" w:cs="Arial"/>
                <w:sz w:val="24"/>
                <w:szCs w:val="24"/>
              </w:rPr>
              <w:t xml:space="preserve">DB, PC, 23 Centers, 24 </w:t>
            </w:r>
            <w:proofErr w:type="spellStart"/>
            <w:r w:rsidRPr="00FA3F9C">
              <w:rPr>
                <w:rFonts w:ascii="Arial" w:hAnsi="Arial" w:cs="Arial"/>
                <w:sz w:val="24"/>
                <w:szCs w:val="24"/>
              </w:rPr>
              <w:t>wk</w:t>
            </w:r>
            <w:proofErr w:type="spellEnd"/>
          </w:p>
        </w:tc>
        <w:tc>
          <w:tcPr>
            <w:tcW w:w="513" w:type="dxa"/>
          </w:tcPr>
          <w:p w14:paraId="1B81D086" w14:textId="77777777" w:rsidR="001506C1" w:rsidRPr="00FA3F9C" w:rsidRDefault="001506C1" w:rsidP="00BF303C">
            <w:pPr>
              <w:spacing w:after="0" w:line="240" w:lineRule="auto"/>
              <w:rPr>
                <w:rFonts w:ascii="Arial" w:hAnsi="Arial" w:cs="Arial"/>
                <w:sz w:val="24"/>
                <w:szCs w:val="24"/>
              </w:rPr>
            </w:pPr>
            <w:r w:rsidRPr="00FA3F9C">
              <w:rPr>
                <w:rFonts w:ascii="Arial" w:hAnsi="Arial" w:cs="Arial"/>
                <w:sz w:val="24"/>
                <w:szCs w:val="24"/>
              </w:rPr>
              <w:t>225</w:t>
            </w:r>
          </w:p>
        </w:tc>
        <w:tc>
          <w:tcPr>
            <w:tcW w:w="2430" w:type="dxa"/>
          </w:tcPr>
          <w:p w14:paraId="5E2953CF" w14:textId="77777777" w:rsidR="001506C1" w:rsidRPr="00FA3F9C" w:rsidRDefault="001506C1" w:rsidP="00BF303C">
            <w:pPr>
              <w:spacing w:after="0" w:line="240" w:lineRule="auto"/>
              <w:rPr>
                <w:rFonts w:ascii="Arial" w:hAnsi="Arial" w:cs="Arial"/>
                <w:sz w:val="24"/>
                <w:szCs w:val="24"/>
              </w:rPr>
            </w:pPr>
            <w:r w:rsidRPr="00FA3F9C">
              <w:rPr>
                <w:rFonts w:ascii="Arial" w:hAnsi="Arial" w:cs="Arial"/>
                <w:sz w:val="24"/>
                <w:szCs w:val="24"/>
              </w:rPr>
              <w:t>2 to 55 years  old with LGS</w:t>
            </w:r>
          </w:p>
          <w:p w14:paraId="72810FB4" w14:textId="77777777" w:rsidR="001506C1" w:rsidRPr="00FA3F9C" w:rsidRDefault="001506C1" w:rsidP="00BF303C">
            <w:pPr>
              <w:spacing w:after="0" w:line="240" w:lineRule="auto"/>
              <w:rPr>
                <w:rFonts w:ascii="Arial" w:hAnsi="Arial" w:cs="Arial"/>
                <w:sz w:val="24"/>
                <w:szCs w:val="24"/>
              </w:rPr>
            </w:pPr>
            <w:r w:rsidRPr="00FA3F9C">
              <w:rPr>
                <w:rFonts w:ascii="Arial" w:hAnsi="Arial" w:cs="Arial"/>
                <w:sz w:val="24"/>
                <w:szCs w:val="24"/>
              </w:rPr>
              <w:t>Mean 15.5y</w:t>
            </w:r>
          </w:p>
          <w:p w14:paraId="5C444E9F" w14:textId="77777777" w:rsidR="001506C1" w:rsidRPr="00FA3F9C" w:rsidRDefault="001506C1" w:rsidP="00BF303C">
            <w:pPr>
              <w:spacing w:after="0" w:line="240" w:lineRule="auto"/>
              <w:rPr>
                <w:rFonts w:ascii="Arial" w:hAnsi="Arial" w:cs="Arial"/>
                <w:sz w:val="24"/>
                <w:szCs w:val="24"/>
              </w:rPr>
            </w:pPr>
            <w:r w:rsidRPr="00FA3F9C">
              <w:rPr>
                <w:rFonts w:ascii="Arial" w:hAnsi="Arial" w:cs="Arial"/>
                <w:sz w:val="24"/>
                <w:szCs w:val="24"/>
              </w:rPr>
              <w:t>previously tried ASDs: mean 6</w:t>
            </w:r>
          </w:p>
          <w:p w14:paraId="438908B2" w14:textId="77777777" w:rsidR="001506C1" w:rsidRPr="00FA3F9C" w:rsidRDefault="001506C1" w:rsidP="00BF303C">
            <w:pPr>
              <w:spacing w:after="0" w:line="240" w:lineRule="auto"/>
              <w:rPr>
                <w:rFonts w:ascii="Arial" w:hAnsi="Arial" w:cs="Arial"/>
                <w:sz w:val="24"/>
                <w:szCs w:val="24"/>
              </w:rPr>
            </w:pPr>
            <w:bookmarkStart w:id="48" w:name="_gjdgxs" w:colFirst="0" w:colLast="0"/>
            <w:bookmarkStart w:id="49" w:name="_juhz2ebtaoqi" w:colFirst="0" w:colLast="0"/>
            <w:bookmarkEnd w:id="48"/>
            <w:bookmarkEnd w:id="49"/>
            <w:r w:rsidRPr="00FA3F9C">
              <w:rPr>
                <w:rFonts w:ascii="Arial" w:hAnsi="Arial" w:cs="Arial"/>
                <w:sz w:val="24"/>
                <w:szCs w:val="24"/>
              </w:rPr>
              <w:t xml:space="preserve"># </w:t>
            </w:r>
            <w:proofErr w:type="gramStart"/>
            <w:r w:rsidRPr="00FA3F9C">
              <w:rPr>
                <w:rFonts w:ascii="Arial" w:hAnsi="Arial" w:cs="Arial"/>
                <w:sz w:val="24"/>
                <w:szCs w:val="24"/>
              </w:rPr>
              <w:t>of</w:t>
            </w:r>
            <w:proofErr w:type="gramEnd"/>
            <w:r w:rsidRPr="00FA3F9C">
              <w:rPr>
                <w:rFonts w:ascii="Arial" w:hAnsi="Arial" w:cs="Arial"/>
                <w:sz w:val="24"/>
                <w:szCs w:val="24"/>
              </w:rPr>
              <w:t xml:space="preserve"> ASDs in regimen: 3</w:t>
            </w:r>
          </w:p>
          <w:p w14:paraId="7B1F73D2" w14:textId="77777777" w:rsidR="001506C1" w:rsidRPr="00FA3F9C" w:rsidRDefault="001506C1" w:rsidP="00BF303C">
            <w:pPr>
              <w:spacing w:after="0" w:line="240" w:lineRule="auto"/>
              <w:rPr>
                <w:rFonts w:ascii="Arial" w:hAnsi="Arial" w:cs="Arial"/>
                <w:sz w:val="24"/>
                <w:szCs w:val="24"/>
              </w:rPr>
            </w:pPr>
            <w:bookmarkStart w:id="50" w:name="_lr294ggak71t" w:colFirst="0" w:colLast="0"/>
            <w:bookmarkStart w:id="51" w:name="_17dv665zcbji" w:colFirst="0" w:colLast="0"/>
            <w:bookmarkEnd w:id="50"/>
            <w:bookmarkEnd w:id="51"/>
            <w:r w:rsidRPr="00FA3F9C">
              <w:rPr>
                <w:rFonts w:ascii="Arial" w:hAnsi="Arial" w:cs="Arial"/>
                <w:sz w:val="24"/>
                <w:szCs w:val="24"/>
              </w:rPr>
              <w:t>Groups similar at baseline</w:t>
            </w:r>
            <w:bookmarkStart w:id="52" w:name="_ankwk7h6z2ui" w:colFirst="0" w:colLast="0"/>
            <w:bookmarkEnd w:id="52"/>
          </w:p>
        </w:tc>
        <w:tc>
          <w:tcPr>
            <w:tcW w:w="2790" w:type="dxa"/>
          </w:tcPr>
          <w:p w14:paraId="00AB335B" w14:textId="77777777" w:rsidR="001506C1" w:rsidRPr="00FA3F9C" w:rsidRDefault="001506C1" w:rsidP="00BF303C">
            <w:pPr>
              <w:spacing w:after="0" w:line="240" w:lineRule="auto"/>
              <w:rPr>
                <w:rFonts w:ascii="Arial" w:hAnsi="Arial" w:cs="Arial"/>
                <w:sz w:val="24"/>
                <w:szCs w:val="24"/>
              </w:rPr>
            </w:pPr>
            <w:r w:rsidRPr="00FA3F9C">
              <w:rPr>
                <w:rFonts w:ascii="Arial" w:hAnsi="Arial" w:cs="Arial"/>
                <w:sz w:val="24"/>
                <w:szCs w:val="24"/>
              </w:rPr>
              <w:t>Percentage reduction from baseline in the frequency of drop seizures (average per 28 days) during the treatment period</w:t>
            </w:r>
          </w:p>
        </w:tc>
        <w:tc>
          <w:tcPr>
            <w:tcW w:w="3987" w:type="dxa"/>
          </w:tcPr>
          <w:p w14:paraId="42DDEB79" w14:textId="77777777" w:rsidR="001506C1" w:rsidRPr="00FA3F9C" w:rsidRDefault="001506C1" w:rsidP="00BF303C">
            <w:pPr>
              <w:spacing w:after="0" w:line="240" w:lineRule="auto"/>
              <w:rPr>
                <w:rFonts w:ascii="Arial" w:hAnsi="Arial" w:cs="Arial"/>
                <w:sz w:val="24"/>
                <w:szCs w:val="24"/>
              </w:rPr>
            </w:pPr>
            <w:r w:rsidRPr="00FA3F9C">
              <w:rPr>
                <w:rFonts w:ascii="Arial" w:hAnsi="Arial" w:cs="Arial"/>
                <w:sz w:val="24"/>
                <w:szCs w:val="24"/>
              </w:rPr>
              <w:t>20-mg cannabidiol group</w:t>
            </w:r>
            <w:r w:rsidRPr="00FA3F9C">
              <w:rPr>
                <w:rFonts w:ascii="Arial" w:hAnsi="Arial" w:cs="Arial"/>
                <w:sz w:val="24"/>
                <w:szCs w:val="24"/>
              </w:rPr>
              <w:sym w:font="Wingdings" w:char="F0E0"/>
            </w:r>
            <w:r w:rsidRPr="00FA3F9C">
              <w:rPr>
                <w:rFonts w:ascii="Arial" w:hAnsi="Arial" w:cs="Arial"/>
                <w:sz w:val="24"/>
                <w:szCs w:val="24"/>
              </w:rPr>
              <w:t>41.9%   (p=0.005)</w:t>
            </w:r>
          </w:p>
          <w:p w14:paraId="569F4A63" w14:textId="77777777" w:rsidR="001506C1" w:rsidRPr="00FA3F9C" w:rsidRDefault="001506C1" w:rsidP="00BF303C">
            <w:pPr>
              <w:spacing w:after="0" w:line="240" w:lineRule="auto"/>
              <w:rPr>
                <w:rFonts w:ascii="Arial" w:hAnsi="Arial" w:cs="Arial"/>
                <w:sz w:val="24"/>
                <w:szCs w:val="24"/>
              </w:rPr>
            </w:pPr>
            <w:r w:rsidRPr="00FA3F9C">
              <w:rPr>
                <w:rFonts w:ascii="Arial" w:hAnsi="Arial" w:cs="Arial"/>
                <w:sz w:val="24"/>
                <w:szCs w:val="24"/>
              </w:rPr>
              <w:t>10-mg cannabidiol group</w:t>
            </w:r>
            <w:r w:rsidRPr="00FA3F9C">
              <w:rPr>
                <w:rFonts w:ascii="Arial" w:hAnsi="Arial" w:cs="Arial"/>
                <w:sz w:val="24"/>
                <w:szCs w:val="24"/>
              </w:rPr>
              <w:sym w:font="Wingdings" w:char="F0E0"/>
            </w:r>
            <w:r w:rsidRPr="00FA3F9C">
              <w:rPr>
                <w:rFonts w:ascii="Arial" w:hAnsi="Arial" w:cs="Arial"/>
                <w:sz w:val="24"/>
                <w:szCs w:val="24"/>
              </w:rPr>
              <w:t>37.2%   (p=0.002)</w:t>
            </w:r>
          </w:p>
          <w:p w14:paraId="37F59D92" w14:textId="77777777" w:rsidR="001506C1" w:rsidRPr="00FA3F9C" w:rsidRDefault="001506C1" w:rsidP="00BF303C">
            <w:pPr>
              <w:spacing w:after="0" w:line="240" w:lineRule="auto"/>
              <w:rPr>
                <w:rFonts w:ascii="Arial" w:hAnsi="Arial" w:cs="Arial"/>
                <w:sz w:val="24"/>
                <w:szCs w:val="24"/>
              </w:rPr>
            </w:pPr>
            <w:r w:rsidRPr="00FA3F9C">
              <w:rPr>
                <w:rFonts w:ascii="Arial" w:hAnsi="Arial" w:cs="Arial"/>
                <w:sz w:val="24"/>
                <w:szCs w:val="24"/>
              </w:rPr>
              <w:t>placebo group</w:t>
            </w:r>
            <w:r w:rsidRPr="00FA3F9C">
              <w:rPr>
                <w:rFonts w:ascii="Arial" w:hAnsi="Arial" w:cs="Arial"/>
                <w:sz w:val="24"/>
                <w:szCs w:val="24"/>
              </w:rPr>
              <w:sym w:font="Wingdings" w:char="F0E0"/>
            </w:r>
            <w:r w:rsidRPr="00FA3F9C">
              <w:rPr>
                <w:rFonts w:ascii="Arial" w:hAnsi="Arial" w:cs="Arial"/>
                <w:sz w:val="24"/>
                <w:szCs w:val="24"/>
              </w:rPr>
              <w:t>17.2%</w:t>
            </w:r>
          </w:p>
          <w:p w14:paraId="64AAA934" w14:textId="77777777" w:rsidR="001506C1" w:rsidRPr="00FA3F9C" w:rsidRDefault="001506C1" w:rsidP="00BF303C">
            <w:pPr>
              <w:spacing w:after="0" w:line="240" w:lineRule="auto"/>
              <w:rPr>
                <w:rFonts w:ascii="Arial" w:hAnsi="Arial" w:cs="Arial"/>
                <w:sz w:val="24"/>
                <w:szCs w:val="24"/>
              </w:rPr>
            </w:pPr>
          </w:p>
          <w:p w14:paraId="022A0E74" w14:textId="77777777" w:rsidR="001506C1" w:rsidRPr="00FA3F9C" w:rsidRDefault="001506C1" w:rsidP="00BF303C">
            <w:pPr>
              <w:spacing w:after="0" w:line="240" w:lineRule="auto"/>
              <w:rPr>
                <w:rFonts w:ascii="Arial" w:hAnsi="Arial" w:cs="Arial"/>
                <w:sz w:val="24"/>
                <w:szCs w:val="24"/>
              </w:rPr>
            </w:pPr>
            <w:r w:rsidRPr="00FA3F9C">
              <w:rPr>
                <w:rFonts w:ascii="Arial" w:hAnsi="Arial" w:cs="Arial"/>
                <w:sz w:val="24"/>
                <w:szCs w:val="24"/>
              </w:rPr>
              <w:t>Estimated mean difference in reduction:</w:t>
            </w:r>
          </w:p>
          <w:p w14:paraId="22793476" w14:textId="77777777" w:rsidR="001506C1" w:rsidRPr="00FA3F9C" w:rsidRDefault="001506C1" w:rsidP="00BF303C">
            <w:pPr>
              <w:spacing w:after="0" w:line="240" w:lineRule="auto"/>
              <w:rPr>
                <w:rFonts w:ascii="Arial" w:hAnsi="Arial" w:cs="Arial"/>
                <w:sz w:val="24"/>
                <w:szCs w:val="24"/>
              </w:rPr>
            </w:pPr>
            <w:r w:rsidRPr="00FA3F9C">
              <w:rPr>
                <w:rFonts w:ascii="Arial" w:hAnsi="Arial" w:cs="Arial"/>
                <w:sz w:val="24"/>
                <w:szCs w:val="24"/>
              </w:rPr>
              <w:t xml:space="preserve">20-mg vs placebo: </w:t>
            </w:r>
            <w:r w:rsidRPr="00FA3F9C">
              <w:rPr>
                <w:rFonts w:ascii="Arial" w:hAnsi="Arial" w:cs="Arial"/>
                <w:sz w:val="24"/>
                <w:szCs w:val="24"/>
                <w:highlight w:val="yellow"/>
              </w:rPr>
              <w:t>21.6</w:t>
            </w:r>
            <w:r w:rsidRPr="00FA3F9C">
              <w:rPr>
                <w:rFonts w:ascii="Arial" w:hAnsi="Arial" w:cs="Arial"/>
                <w:sz w:val="24"/>
                <w:szCs w:val="24"/>
              </w:rPr>
              <w:t>%.</w:t>
            </w:r>
          </w:p>
          <w:p w14:paraId="1EDE4ED1" w14:textId="77777777" w:rsidR="001506C1" w:rsidRPr="00FA3F9C" w:rsidRDefault="001506C1" w:rsidP="00BF303C">
            <w:pPr>
              <w:spacing w:after="0" w:line="240" w:lineRule="auto"/>
              <w:rPr>
                <w:rFonts w:ascii="Arial" w:hAnsi="Arial" w:cs="Arial"/>
                <w:sz w:val="24"/>
                <w:szCs w:val="24"/>
              </w:rPr>
            </w:pPr>
            <w:r w:rsidRPr="00FA3F9C">
              <w:rPr>
                <w:rFonts w:ascii="Arial" w:hAnsi="Arial" w:cs="Arial"/>
                <w:sz w:val="24"/>
                <w:szCs w:val="24"/>
              </w:rPr>
              <w:t xml:space="preserve">10-mg vs placebo: </w:t>
            </w:r>
            <w:r w:rsidRPr="00FA3F9C">
              <w:rPr>
                <w:rFonts w:ascii="Arial" w:hAnsi="Arial" w:cs="Arial"/>
                <w:sz w:val="24"/>
                <w:szCs w:val="24"/>
                <w:highlight w:val="yellow"/>
              </w:rPr>
              <w:t>19.2%</w:t>
            </w:r>
          </w:p>
        </w:tc>
      </w:tr>
      <w:tr w:rsidR="001506C1" w:rsidRPr="00FA3F9C" w14:paraId="4483B919" w14:textId="77777777" w:rsidTr="00BF303C">
        <w:trPr>
          <w:trHeight w:val="1781"/>
        </w:trPr>
        <w:tc>
          <w:tcPr>
            <w:tcW w:w="1695" w:type="dxa"/>
          </w:tcPr>
          <w:p w14:paraId="1077F5EA" w14:textId="77777777" w:rsidR="001506C1" w:rsidRPr="00FA3F9C" w:rsidRDefault="001506C1" w:rsidP="00BF303C">
            <w:pPr>
              <w:spacing w:after="0" w:line="240" w:lineRule="auto"/>
              <w:rPr>
                <w:rFonts w:ascii="Arial" w:hAnsi="Arial" w:cs="Arial"/>
                <w:sz w:val="24"/>
                <w:szCs w:val="24"/>
                <w:vertAlign w:val="superscript"/>
              </w:rPr>
            </w:pPr>
            <w:r w:rsidRPr="00FA3F9C">
              <w:rPr>
                <w:rFonts w:ascii="Arial" w:hAnsi="Arial" w:cs="Arial"/>
                <w:sz w:val="24"/>
                <w:szCs w:val="24"/>
              </w:rPr>
              <w:lastRenderedPageBreak/>
              <w:t xml:space="preserve">Trial of Cannabidiol for Drug-Resistant Seizures in the </w:t>
            </w:r>
            <w:r w:rsidRPr="00FA3F9C">
              <w:rPr>
                <w:rFonts w:ascii="Arial" w:hAnsi="Arial" w:cs="Arial"/>
                <w:sz w:val="24"/>
                <w:szCs w:val="24"/>
                <w:highlight w:val="green"/>
              </w:rPr>
              <w:t>Dravet Syndrome</w:t>
            </w:r>
            <w:r w:rsidRPr="00FA3F9C">
              <w:rPr>
                <w:rFonts w:ascii="Arial" w:hAnsi="Arial" w:cs="Arial"/>
                <w:sz w:val="24"/>
                <w:szCs w:val="24"/>
                <w:highlight w:val="green"/>
                <w:vertAlign w:val="superscript"/>
              </w:rPr>
              <w:t>3</w:t>
            </w:r>
          </w:p>
          <w:p w14:paraId="6521BEAA" w14:textId="77777777" w:rsidR="001506C1" w:rsidRPr="00FA3F9C" w:rsidRDefault="001506C1" w:rsidP="00BF303C">
            <w:pPr>
              <w:spacing w:after="0" w:line="240" w:lineRule="auto"/>
              <w:rPr>
                <w:rFonts w:ascii="Arial" w:hAnsi="Arial" w:cs="Arial"/>
                <w:sz w:val="24"/>
                <w:szCs w:val="24"/>
              </w:rPr>
            </w:pPr>
            <w:r w:rsidRPr="00FA3F9C">
              <w:rPr>
                <w:rFonts w:ascii="Arial" w:hAnsi="Arial" w:cs="Arial"/>
                <w:sz w:val="24"/>
                <w:szCs w:val="24"/>
              </w:rPr>
              <w:t xml:space="preserve">DB, PC, 30 Centers, 24 </w:t>
            </w:r>
            <w:proofErr w:type="spellStart"/>
            <w:r w:rsidRPr="00FA3F9C">
              <w:rPr>
                <w:rFonts w:ascii="Arial" w:hAnsi="Arial" w:cs="Arial"/>
                <w:sz w:val="24"/>
                <w:szCs w:val="24"/>
              </w:rPr>
              <w:t>wk</w:t>
            </w:r>
            <w:proofErr w:type="spellEnd"/>
          </w:p>
        </w:tc>
        <w:tc>
          <w:tcPr>
            <w:tcW w:w="513" w:type="dxa"/>
          </w:tcPr>
          <w:p w14:paraId="5A9C637C" w14:textId="77777777" w:rsidR="001506C1" w:rsidRPr="00FA3F9C" w:rsidRDefault="001506C1" w:rsidP="00BF303C">
            <w:pPr>
              <w:spacing w:after="0" w:line="240" w:lineRule="auto"/>
              <w:rPr>
                <w:rFonts w:ascii="Arial" w:hAnsi="Arial" w:cs="Arial"/>
                <w:sz w:val="24"/>
                <w:szCs w:val="24"/>
              </w:rPr>
            </w:pPr>
            <w:r w:rsidRPr="00FA3F9C">
              <w:rPr>
                <w:rFonts w:ascii="Arial" w:hAnsi="Arial" w:cs="Arial"/>
                <w:sz w:val="24"/>
                <w:szCs w:val="24"/>
              </w:rPr>
              <w:t>120</w:t>
            </w:r>
          </w:p>
        </w:tc>
        <w:tc>
          <w:tcPr>
            <w:tcW w:w="2430" w:type="dxa"/>
          </w:tcPr>
          <w:p w14:paraId="3CA1832F" w14:textId="77777777" w:rsidR="001506C1" w:rsidRPr="00FA3F9C" w:rsidRDefault="001506C1" w:rsidP="00BF303C">
            <w:pPr>
              <w:spacing w:after="0" w:line="240" w:lineRule="auto"/>
              <w:rPr>
                <w:rFonts w:ascii="Arial" w:hAnsi="Arial" w:cs="Arial"/>
                <w:sz w:val="24"/>
                <w:szCs w:val="24"/>
              </w:rPr>
            </w:pPr>
            <w:r w:rsidRPr="00FA3F9C">
              <w:rPr>
                <w:rFonts w:ascii="Arial" w:hAnsi="Arial" w:cs="Arial"/>
                <w:sz w:val="24"/>
                <w:szCs w:val="24"/>
              </w:rPr>
              <w:t>Ages 2y to 18 w/</w:t>
            </w:r>
            <w:proofErr w:type="gramStart"/>
            <w:r w:rsidRPr="00FA3F9C">
              <w:rPr>
                <w:rFonts w:ascii="Arial" w:hAnsi="Arial" w:cs="Arial"/>
                <w:sz w:val="24"/>
                <w:szCs w:val="24"/>
              </w:rPr>
              <w:t>DS;</w:t>
            </w:r>
            <w:proofErr w:type="gramEnd"/>
            <w:r w:rsidRPr="00FA3F9C">
              <w:rPr>
                <w:rFonts w:ascii="Arial" w:hAnsi="Arial" w:cs="Arial"/>
                <w:sz w:val="24"/>
                <w:szCs w:val="24"/>
              </w:rPr>
              <w:t xml:space="preserve"> </w:t>
            </w:r>
          </w:p>
          <w:p w14:paraId="1B327493" w14:textId="77777777" w:rsidR="001506C1" w:rsidRPr="00FA3F9C" w:rsidRDefault="001506C1" w:rsidP="00BF303C">
            <w:pPr>
              <w:spacing w:after="0" w:line="240" w:lineRule="auto"/>
              <w:rPr>
                <w:rFonts w:ascii="Arial" w:hAnsi="Arial" w:cs="Arial"/>
                <w:sz w:val="24"/>
                <w:szCs w:val="24"/>
              </w:rPr>
            </w:pPr>
            <w:r w:rsidRPr="00FA3F9C">
              <w:rPr>
                <w:rFonts w:ascii="Arial" w:hAnsi="Arial" w:cs="Arial"/>
                <w:sz w:val="24"/>
                <w:szCs w:val="24"/>
              </w:rPr>
              <w:t>Mean 9.8y</w:t>
            </w:r>
          </w:p>
          <w:p w14:paraId="79AEDE5A" w14:textId="77777777" w:rsidR="001506C1" w:rsidRPr="00FA3F9C" w:rsidRDefault="001506C1" w:rsidP="00BF303C">
            <w:pPr>
              <w:spacing w:after="0" w:line="240" w:lineRule="auto"/>
              <w:rPr>
                <w:rFonts w:ascii="Arial" w:hAnsi="Arial" w:cs="Arial"/>
                <w:sz w:val="24"/>
                <w:szCs w:val="24"/>
              </w:rPr>
            </w:pPr>
            <w:r w:rsidRPr="00FA3F9C">
              <w:rPr>
                <w:rFonts w:ascii="Arial" w:hAnsi="Arial" w:cs="Arial"/>
                <w:sz w:val="24"/>
                <w:szCs w:val="24"/>
              </w:rPr>
              <w:t>previously tried ASDs: mean 4.6</w:t>
            </w:r>
          </w:p>
          <w:p w14:paraId="44951051" w14:textId="77777777" w:rsidR="001506C1" w:rsidRPr="00FA3F9C" w:rsidRDefault="001506C1" w:rsidP="00BF303C">
            <w:pPr>
              <w:spacing w:after="0" w:line="240" w:lineRule="auto"/>
              <w:rPr>
                <w:rFonts w:ascii="Arial" w:hAnsi="Arial" w:cs="Arial"/>
                <w:sz w:val="24"/>
                <w:szCs w:val="24"/>
              </w:rPr>
            </w:pPr>
            <w:r w:rsidRPr="00FA3F9C">
              <w:rPr>
                <w:rFonts w:ascii="Arial" w:hAnsi="Arial" w:cs="Arial"/>
                <w:sz w:val="24"/>
                <w:szCs w:val="24"/>
              </w:rPr>
              <w:t xml:space="preserve"># </w:t>
            </w:r>
            <w:proofErr w:type="gramStart"/>
            <w:r w:rsidRPr="00FA3F9C">
              <w:rPr>
                <w:rFonts w:ascii="Arial" w:hAnsi="Arial" w:cs="Arial"/>
                <w:sz w:val="24"/>
                <w:szCs w:val="24"/>
              </w:rPr>
              <w:t>of</w:t>
            </w:r>
            <w:proofErr w:type="gramEnd"/>
            <w:r w:rsidRPr="00FA3F9C">
              <w:rPr>
                <w:rFonts w:ascii="Arial" w:hAnsi="Arial" w:cs="Arial"/>
                <w:sz w:val="24"/>
                <w:szCs w:val="24"/>
              </w:rPr>
              <w:t xml:space="preserve"> ASDs in regimen: 3</w:t>
            </w:r>
          </w:p>
          <w:p w14:paraId="259FC360" w14:textId="77777777" w:rsidR="001506C1" w:rsidRPr="00FA3F9C" w:rsidRDefault="001506C1" w:rsidP="00BF303C">
            <w:pPr>
              <w:spacing w:after="0" w:line="240" w:lineRule="auto"/>
              <w:rPr>
                <w:rFonts w:ascii="Arial" w:hAnsi="Arial" w:cs="Arial"/>
                <w:sz w:val="24"/>
                <w:szCs w:val="24"/>
              </w:rPr>
            </w:pPr>
            <w:r w:rsidRPr="00FA3F9C">
              <w:rPr>
                <w:rFonts w:ascii="Arial" w:hAnsi="Arial" w:cs="Arial"/>
                <w:sz w:val="24"/>
                <w:szCs w:val="24"/>
              </w:rPr>
              <w:t>Groups similar at baseline</w:t>
            </w:r>
          </w:p>
        </w:tc>
        <w:tc>
          <w:tcPr>
            <w:tcW w:w="2790" w:type="dxa"/>
          </w:tcPr>
          <w:p w14:paraId="7D170C71" w14:textId="77777777" w:rsidR="001506C1" w:rsidRPr="00FA3F9C" w:rsidRDefault="001506C1" w:rsidP="00BF303C">
            <w:pPr>
              <w:spacing w:after="0" w:line="240" w:lineRule="auto"/>
              <w:rPr>
                <w:rFonts w:ascii="Arial" w:hAnsi="Arial" w:cs="Arial"/>
                <w:sz w:val="24"/>
                <w:szCs w:val="24"/>
              </w:rPr>
            </w:pPr>
            <w:r w:rsidRPr="00FA3F9C">
              <w:rPr>
                <w:rFonts w:ascii="Arial" w:hAnsi="Arial" w:cs="Arial"/>
                <w:sz w:val="24"/>
                <w:szCs w:val="24"/>
              </w:rPr>
              <w:t xml:space="preserve">% </w:t>
            </w:r>
            <w:proofErr w:type="gramStart"/>
            <w:r w:rsidRPr="00FA3F9C">
              <w:rPr>
                <w:rFonts w:ascii="Arial" w:hAnsi="Arial" w:cs="Arial"/>
                <w:sz w:val="24"/>
                <w:szCs w:val="24"/>
              </w:rPr>
              <w:t>change</w:t>
            </w:r>
            <w:proofErr w:type="gramEnd"/>
            <w:r w:rsidRPr="00FA3F9C">
              <w:rPr>
                <w:rFonts w:ascii="Arial" w:hAnsi="Arial" w:cs="Arial"/>
                <w:sz w:val="24"/>
                <w:szCs w:val="24"/>
              </w:rPr>
              <w:t xml:space="preserve"> per 28 days from the 4-week baseline period in convulsive-seizure frequency during the 14-week treatment period among patients who received cannabidiol vs placebo</w:t>
            </w:r>
          </w:p>
        </w:tc>
        <w:tc>
          <w:tcPr>
            <w:tcW w:w="3987" w:type="dxa"/>
          </w:tcPr>
          <w:p w14:paraId="784551B2" w14:textId="77777777" w:rsidR="001506C1" w:rsidRPr="00FA3F9C" w:rsidRDefault="001506C1" w:rsidP="00BF303C">
            <w:pPr>
              <w:spacing w:after="0" w:line="240" w:lineRule="auto"/>
              <w:rPr>
                <w:rFonts w:ascii="Arial" w:hAnsi="Arial" w:cs="Arial"/>
                <w:sz w:val="24"/>
                <w:szCs w:val="24"/>
              </w:rPr>
            </w:pPr>
            <w:r w:rsidRPr="00FA3F9C">
              <w:rPr>
                <w:rFonts w:ascii="Arial" w:hAnsi="Arial" w:cs="Arial"/>
                <w:sz w:val="24"/>
                <w:szCs w:val="24"/>
              </w:rPr>
              <w:t xml:space="preserve">Median 12.4 seizures per month at baseline </w:t>
            </w:r>
          </w:p>
          <w:p w14:paraId="165C033E" w14:textId="77777777" w:rsidR="001506C1" w:rsidRPr="00FA3F9C" w:rsidRDefault="001506C1" w:rsidP="00BF303C">
            <w:pPr>
              <w:spacing w:after="0" w:line="240" w:lineRule="auto"/>
              <w:rPr>
                <w:rFonts w:ascii="Arial" w:hAnsi="Arial" w:cs="Arial"/>
                <w:sz w:val="24"/>
                <w:szCs w:val="24"/>
              </w:rPr>
            </w:pPr>
            <w:r w:rsidRPr="00FA3F9C">
              <w:rPr>
                <w:rFonts w:ascii="Arial" w:hAnsi="Arial" w:cs="Arial"/>
                <w:sz w:val="24"/>
                <w:szCs w:val="24"/>
              </w:rPr>
              <w:t xml:space="preserve">Tx group down </w:t>
            </w:r>
            <w:r w:rsidRPr="00FA3F9C">
              <w:rPr>
                <w:rFonts w:ascii="Arial" w:hAnsi="Arial" w:cs="Arial"/>
                <w:sz w:val="24"/>
                <w:szCs w:val="24"/>
              </w:rPr>
              <w:sym w:font="Wingdings" w:char="F0E0"/>
            </w:r>
            <w:r w:rsidRPr="00FA3F9C">
              <w:rPr>
                <w:rFonts w:ascii="Arial" w:hAnsi="Arial" w:cs="Arial"/>
                <w:sz w:val="24"/>
                <w:szCs w:val="24"/>
              </w:rPr>
              <w:t>5.9           (p=0.01)</w:t>
            </w:r>
          </w:p>
          <w:p w14:paraId="62F51273" w14:textId="77777777" w:rsidR="001506C1" w:rsidRPr="00FA3F9C" w:rsidRDefault="001506C1" w:rsidP="00BF303C">
            <w:pPr>
              <w:spacing w:after="0" w:line="240" w:lineRule="auto"/>
              <w:rPr>
                <w:rFonts w:ascii="Arial" w:hAnsi="Arial" w:cs="Arial"/>
                <w:sz w:val="24"/>
                <w:szCs w:val="24"/>
              </w:rPr>
            </w:pPr>
          </w:p>
          <w:p w14:paraId="6ED1B711" w14:textId="77777777" w:rsidR="001506C1" w:rsidRPr="00FA3F9C" w:rsidRDefault="001506C1" w:rsidP="00BF303C">
            <w:pPr>
              <w:spacing w:after="0" w:line="240" w:lineRule="auto"/>
              <w:rPr>
                <w:rFonts w:ascii="Arial" w:hAnsi="Arial" w:cs="Arial"/>
                <w:sz w:val="24"/>
                <w:szCs w:val="24"/>
              </w:rPr>
            </w:pPr>
            <w:r w:rsidRPr="00FA3F9C">
              <w:rPr>
                <w:rFonts w:ascii="Arial" w:hAnsi="Arial" w:cs="Arial"/>
                <w:sz w:val="24"/>
                <w:szCs w:val="24"/>
              </w:rPr>
              <w:t>Median 14.9 at baseline to</w:t>
            </w:r>
          </w:p>
          <w:p w14:paraId="7E68F996" w14:textId="77777777" w:rsidR="001506C1" w:rsidRPr="00FA3F9C" w:rsidRDefault="001506C1" w:rsidP="00BF303C">
            <w:pPr>
              <w:spacing w:after="0" w:line="240" w:lineRule="auto"/>
              <w:rPr>
                <w:rFonts w:ascii="Arial" w:hAnsi="Arial" w:cs="Arial"/>
                <w:sz w:val="24"/>
                <w:szCs w:val="24"/>
              </w:rPr>
            </w:pPr>
            <w:r w:rsidRPr="00FA3F9C">
              <w:rPr>
                <w:rFonts w:ascii="Arial" w:hAnsi="Arial" w:cs="Arial"/>
                <w:sz w:val="24"/>
                <w:szCs w:val="24"/>
              </w:rPr>
              <w:t>Placebo group</w:t>
            </w:r>
            <w:r w:rsidRPr="00FA3F9C">
              <w:rPr>
                <w:rFonts w:ascii="Arial" w:hAnsi="Arial" w:cs="Arial"/>
                <w:sz w:val="24"/>
                <w:szCs w:val="24"/>
              </w:rPr>
              <w:sym w:font="Wingdings" w:char="F0E0"/>
            </w:r>
            <w:r w:rsidRPr="00FA3F9C">
              <w:rPr>
                <w:rFonts w:ascii="Arial" w:hAnsi="Arial" w:cs="Arial"/>
                <w:sz w:val="24"/>
                <w:szCs w:val="24"/>
              </w:rPr>
              <w:t xml:space="preserve">14.1 </w:t>
            </w:r>
          </w:p>
          <w:p w14:paraId="1C3BFDC9" w14:textId="77777777" w:rsidR="001506C1" w:rsidRPr="00FA3F9C" w:rsidRDefault="001506C1" w:rsidP="00BF303C">
            <w:pPr>
              <w:spacing w:after="0" w:line="240" w:lineRule="auto"/>
              <w:rPr>
                <w:rFonts w:ascii="Arial" w:hAnsi="Arial" w:cs="Arial"/>
                <w:sz w:val="24"/>
                <w:szCs w:val="24"/>
              </w:rPr>
            </w:pPr>
            <w:r w:rsidRPr="00FA3F9C">
              <w:rPr>
                <w:rFonts w:ascii="Arial" w:hAnsi="Arial" w:cs="Arial"/>
                <w:sz w:val="24"/>
                <w:szCs w:val="24"/>
              </w:rPr>
              <w:t xml:space="preserve">Adjusted median difference in convulsive-seizure frequency was significant with a </w:t>
            </w:r>
            <w:r w:rsidRPr="00FA3F9C">
              <w:rPr>
                <w:rFonts w:ascii="Arial" w:hAnsi="Arial" w:cs="Arial"/>
                <w:sz w:val="24"/>
                <w:szCs w:val="24"/>
                <w:highlight w:val="yellow"/>
              </w:rPr>
              <w:t>22.8</w:t>
            </w:r>
            <w:r w:rsidRPr="00FA3F9C">
              <w:rPr>
                <w:rFonts w:ascii="Arial" w:hAnsi="Arial" w:cs="Arial"/>
                <w:sz w:val="24"/>
                <w:szCs w:val="24"/>
              </w:rPr>
              <w:t>% reduction.</w:t>
            </w:r>
          </w:p>
        </w:tc>
      </w:tr>
    </w:tbl>
    <w:p w14:paraId="0C60CCF3"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DB=double-blind, PC=placebo controlled, LGS-Lennox-</w:t>
      </w:r>
      <w:proofErr w:type="spellStart"/>
      <w:r w:rsidRPr="00FA3F9C">
        <w:rPr>
          <w:rFonts w:ascii="Arial" w:hAnsi="Arial" w:cs="Arial"/>
          <w:sz w:val="24"/>
          <w:szCs w:val="24"/>
        </w:rPr>
        <w:t>Gastaut</w:t>
      </w:r>
      <w:proofErr w:type="spellEnd"/>
      <w:r w:rsidRPr="00FA3F9C">
        <w:rPr>
          <w:rFonts w:ascii="Arial" w:hAnsi="Arial" w:cs="Arial"/>
          <w:sz w:val="24"/>
          <w:szCs w:val="24"/>
        </w:rPr>
        <w:t xml:space="preserve"> Syndrome, DS- Dravet Syndrome, ASD- Anti-seizure Drugs</w:t>
      </w:r>
    </w:p>
    <w:p w14:paraId="78A34A16"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References:</w:t>
      </w:r>
    </w:p>
    <w:p w14:paraId="2B5E1698" w14:textId="77777777" w:rsidR="001506C1" w:rsidRPr="00FA3F9C" w:rsidRDefault="001506C1" w:rsidP="00BF303C">
      <w:pPr>
        <w:tabs>
          <w:tab w:val="center" w:pos="4680"/>
          <w:tab w:val="right" w:pos="9360"/>
        </w:tabs>
        <w:spacing w:after="0" w:line="240" w:lineRule="auto"/>
        <w:rPr>
          <w:rFonts w:ascii="Arial" w:hAnsi="Arial" w:cs="Arial"/>
          <w:color w:val="000000" w:themeColor="text1"/>
          <w:sz w:val="24"/>
          <w:szCs w:val="24"/>
          <w:highlight w:val="white"/>
        </w:rPr>
      </w:pPr>
      <w:r w:rsidRPr="00FA3F9C">
        <w:rPr>
          <w:rFonts w:ascii="Arial" w:hAnsi="Arial" w:cs="Arial"/>
          <w:color w:val="000000" w:themeColor="text1"/>
          <w:sz w:val="24"/>
          <w:szCs w:val="24"/>
          <w:highlight w:val="white"/>
        </w:rPr>
        <w:t>1. Devinsky, Orrin, M.D., et al. "Effect of Cannabidiol on Drop Seizures in the Lennox-</w:t>
      </w:r>
      <w:proofErr w:type="spellStart"/>
      <w:r w:rsidRPr="00FA3F9C">
        <w:rPr>
          <w:rFonts w:ascii="Arial" w:hAnsi="Arial" w:cs="Arial"/>
          <w:color w:val="000000" w:themeColor="text1"/>
          <w:sz w:val="24"/>
          <w:szCs w:val="24"/>
          <w:highlight w:val="white"/>
        </w:rPr>
        <w:t>Gastaut</w:t>
      </w:r>
      <w:proofErr w:type="spellEnd"/>
      <w:r w:rsidRPr="00FA3F9C">
        <w:rPr>
          <w:rFonts w:ascii="Arial" w:hAnsi="Arial" w:cs="Arial"/>
          <w:color w:val="000000" w:themeColor="text1"/>
          <w:sz w:val="24"/>
          <w:szCs w:val="24"/>
          <w:highlight w:val="white"/>
        </w:rPr>
        <w:t xml:space="preserve"> Syndrome." NEJM 378.20 (2018): 1888-97. </w:t>
      </w:r>
      <w:r w:rsidRPr="00FA3F9C">
        <w:rPr>
          <w:rFonts w:ascii="Arial" w:hAnsi="Arial" w:cs="Arial"/>
          <w:color w:val="000000" w:themeColor="text1"/>
          <w:sz w:val="24"/>
          <w:szCs w:val="24"/>
          <w:highlight w:val="white"/>
          <w:u w:val="single"/>
        </w:rPr>
        <w:t>ProQuest</w:t>
      </w:r>
      <w:r w:rsidRPr="00FA3F9C">
        <w:rPr>
          <w:rFonts w:ascii="Arial" w:hAnsi="Arial" w:cs="Arial"/>
          <w:color w:val="000000" w:themeColor="text1"/>
          <w:sz w:val="24"/>
          <w:szCs w:val="24"/>
          <w:highlight w:val="white"/>
        </w:rPr>
        <w:t>. 6 Nov. 2018 .</w:t>
      </w:r>
    </w:p>
    <w:p w14:paraId="53958E93" w14:textId="77777777" w:rsidR="001506C1" w:rsidRPr="00FA3F9C" w:rsidRDefault="001506C1" w:rsidP="00BF303C">
      <w:pPr>
        <w:tabs>
          <w:tab w:val="center" w:pos="4680"/>
          <w:tab w:val="right" w:pos="9360"/>
        </w:tabs>
        <w:spacing w:after="0" w:line="240" w:lineRule="auto"/>
        <w:rPr>
          <w:rFonts w:ascii="Arial" w:hAnsi="Arial" w:cs="Arial"/>
          <w:color w:val="000000" w:themeColor="text1"/>
          <w:sz w:val="24"/>
          <w:szCs w:val="24"/>
          <w:highlight w:val="white"/>
        </w:rPr>
      </w:pPr>
      <w:r w:rsidRPr="00FA3F9C">
        <w:rPr>
          <w:rFonts w:ascii="Arial" w:hAnsi="Arial" w:cs="Arial"/>
          <w:color w:val="000000" w:themeColor="text1"/>
          <w:sz w:val="24"/>
          <w:szCs w:val="24"/>
          <w:highlight w:val="white"/>
        </w:rPr>
        <w:t xml:space="preserve">2. Orrin, Devinsky, et al. "Trial of Cannabidiol for Drug-Resistant Seizures in the Dravet Syndrome." NEJM 376.21 (2017): 2011-20. </w:t>
      </w:r>
      <w:r w:rsidRPr="00FA3F9C">
        <w:rPr>
          <w:rFonts w:ascii="Arial" w:hAnsi="Arial" w:cs="Arial"/>
          <w:color w:val="000000" w:themeColor="text1"/>
          <w:sz w:val="24"/>
          <w:szCs w:val="24"/>
          <w:highlight w:val="white"/>
          <w:u w:val="single"/>
        </w:rPr>
        <w:t>ProQuest</w:t>
      </w:r>
      <w:r w:rsidRPr="00FA3F9C">
        <w:rPr>
          <w:rFonts w:ascii="Arial" w:hAnsi="Arial" w:cs="Arial"/>
          <w:color w:val="000000" w:themeColor="text1"/>
          <w:sz w:val="24"/>
          <w:szCs w:val="24"/>
          <w:highlight w:val="white"/>
        </w:rPr>
        <w:t>. 6 Nov. 2018 .</w:t>
      </w:r>
    </w:p>
    <w:p w14:paraId="2B8B7093" w14:textId="77777777" w:rsidR="001506C1" w:rsidRPr="00FA3F9C" w:rsidRDefault="001506C1" w:rsidP="00BF303C">
      <w:pPr>
        <w:spacing w:after="0" w:line="240" w:lineRule="auto"/>
        <w:rPr>
          <w:rFonts w:ascii="Arial" w:hAnsi="Arial" w:cs="Arial"/>
          <w:color w:val="000000" w:themeColor="text1"/>
          <w:sz w:val="24"/>
          <w:szCs w:val="24"/>
        </w:rPr>
      </w:pPr>
    </w:p>
    <w:p w14:paraId="181B6739" w14:textId="77777777" w:rsidR="00FC1E85" w:rsidRDefault="001506C1" w:rsidP="00FC1E85">
      <w:pPr>
        <w:pStyle w:val="Heading2"/>
      </w:pPr>
      <w:bookmarkStart w:id="53" w:name="_Toc106369749"/>
      <w:proofErr w:type="spellStart"/>
      <w:r w:rsidRPr="00FA3F9C">
        <w:t>Caplacizumab</w:t>
      </w:r>
      <w:proofErr w:type="spellEnd"/>
      <w:r w:rsidRPr="00FA3F9C">
        <w:t xml:space="preserve"> (</w:t>
      </w:r>
      <w:proofErr w:type="spellStart"/>
      <w:r w:rsidRPr="00FA3F9C">
        <w:t>Cablivi</w:t>
      </w:r>
      <w:proofErr w:type="spellEnd"/>
      <w:r w:rsidR="00FC1E85">
        <w:t>)</w:t>
      </w:r>
      <w:bookmarkEnd w:id="53"/>
    </w:p>
    <w:p w14:paraId="0593931C" w14:textId="6E53B146" w:rsidR="001506C1" w:rsidRPr="00FA3F9C" w:rsidRDefault="001506C1" w:rsidP="006F623F">
      <w:pPr>
        <w:spacing w:after="0"/>
        <w:jc w:val="center"/>
        <w:rPr>
          <w:rFonts w:ascii="Arial" w:hAnsi="Arial" w:cs="Arial"/>
          <w:sz w:val="24"/>
          <w:szCs w:val="24"/>
        </w:rPr>
      </w:pPr>
      <w:r w:rsidRPr="00FA3F9C">
        <w:rPr>
          <w:rFonts w:ascii="Arial" w:hAnsi="Arial" w:cs="Arial"/>
          <w:sz w:val="24"/>
          <w:szCs w:val="24"/>
        </w:rPr>
        <w:t xml:space="preserve"> Kit 11mg</w:t>
      </w:r>
    </w:p>
    <w:p w14:paraId="097F399F" w14:textId="77777777" w:rsidR="001506C1" w:rsidRPr="00FA3F9C" w:rsidRDefault="001506C1" w:rsidP="006F623F">
      <w:pPr>
        <w:spacing w:after="0"/>
        <w:jc w:val="center"/>
        <w:rPr>
          <w:rFonts w:ascii="Arial" w:hAnsi="Arial" w:cs="Arial"/>
          <w:sz w:val="24"/>
          <w:szCs w:val="24"/>
        </w:rPr>
      </w:pPr>
      <w:r w:rsidRPr="00FA3F9C">
        <w:rPr>
          <w:rFonts w:ascii="Arial" w:hAnsi="Arial" w:cs="Arial"/>
          <w:sz w:val="24"/>
          <w:szCs w:val="24"/>
        </w:rPr>
        <w:t>EBRx PA Criteria</w:t>
      </w:r>
    </w:p>
    <w:p w14:paraId="70D22ED3" w14:textId="77777777" w:rsidR="001506C1" w:rsidRPr="00FA3F9C" w:rsidRDefault="001506C1" w:rsidP="006F623F">
      <w:pPr>
        <w:spacing w:after="0"/>
        <w:jc w:val="center"/>
        <w:rPr>
          <w:rFonts w:ascii="Arial" w:hAnsi="Arial" w:cs="Arial"/>
          <w:sz w:val="24"/>
          <w:szCs w:val="24"/>
        </w:rPr>
      </w:pPr>
      <w:r w:rsidRPr="00FA3F9C">
        <w:rPr>
          <w:rFonts w:ascii="Arial" w:hAnsi="Arial" w:cs="Arial"/>
          <w:sz w:val="24"/>
          <w:szCs w:val="24"/>
        </w:rPr>
        <w:t>Medical PA if needed; SQ can be self-administered.</w:t>
      </w:r>
    </w:p>
    <w:p w14:paraId="4A5B38FB" w14:textId="77777777" w:rsidR="001506C1" w:rsidRPr="00FA3F9C" w:rsidRDefault="001506C1" w:rsidP="006F623F">
      <w:pPr>
        <w:spacing w:after="0"/>
        <w:rPr>
          <w:rFonts w:ascii="Arial" w:hAnsi="Arial" w:cs="Arial"/>
          <w:b/>
          <w:sz w:val="24"/>
          <w:szCs w:val="24"/>
          <w:u w:val="single"/>
        </w:rPr>
      </w:pPr>
    </w:p>
    <w:p w14:paraId="28A5D76B" w14:textId="77777777" w:rsidR="001506C1" w:rsidRPr="00FA3F9C" w:rsidRDefault="001506C1" w:rsidP="00E36A15">
      <w:pPr>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for treatment of acquired thrombotic thrombocytopenic purpura (</w:t>
      </w:r>
      <w:proofErr w:type="spellStart"/>
      <w:r w:rsidRPr="00FA3F9C">
        <w:rPr>
          <w:rFonts w:ascii="Arial" w:hAnsi="Arial" w:cs="Arial"/>
          <w:sz w:val="24"/>
          <w:szCs w:val="24"/>
        </w:rPr>
        <w:t>aTTP</w:t>
      </w:r>
      <w:proofErr w:type="spellEnd"/>
      <w:r w:rsidRPr="00FA3F9C">
        <w:rPr>
          <w:rFonts w:ascii="Arial" w:hAnsi="Arial" w:cs="Arial"/>
          <w:sz w:val="24"/>
          <w:szCs w:val="24"/>
        </w:rPr>
        <w:t>) in adults, in combination with plasma exchange and immunosuppressive drug therapy</w:t>
      </w:r>
    </w:p>
    <w:tbl>
      <w:tblPr>
        <w:tblStyle w:val="TableGrid"/>
        <w:tblW w:w="0" w:type="auto"/>
        <w:tblLook w:val="04A0" w:firstRow="1" w:lastRow="0" w:firstColumn="1" w:lastColumn="0" w:noHBand="0" w:noVBand="1"/>
      </w:tblPr>
      <w:tblGrid>
        <w:gridCol w:w="8928"/>
        <w:gridCol w:w="2088"/>
      </w:tblGrid>
      <w:tr w:rsidR="001506C1" w:rsidRPr="00FA3F9C" w14:paraId="067C0D82" w14:textId="77777777" w:rsidTr="00571CAB">
        <w:tc>
          <w:tcPr>
            <w:tcW w:w="8928" w:type="dxa"/>
            <w:shd w:val="clear" w:color="auto" w:fill="000000"/>
          </w:tcPr>
          <w:p w14:paraId="7D45DC5D" w14:textId="77777777" w:rsidR="001506C1" w:rsidRPr="00FA3F9C" w:rsidRDefault="001506C1"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88" w:type="dxa"/>
            <w:shd w:val="clear" w:color="auto" w:fill="000000"/>
          </w:tcPr>
          <w:p w14:paraId="7C23DA56" w14:textId="77777777" w:rsidR="001506C1" w:rsidRPr="00FA3F9C" w:rsidRDefault="001506C1" w:rsidP="006F623F">
            <w:pPr>
              <w:jc w:val="center"/>
              <w:rPr>
                <w:rFonts w:ascii="Arial" w:hAnsi="Arial" w:cs="Arial"/>
                <w:b/>
                <w:sz w:val="24"/>
                <w:szCs w:val="24"/>
                <w:u w:val="single"/>
              </w:rPr>
            </w:pPr>
          </w:p>
        </w:tc>
      </w:tr>
      <w:tr w:rsidR="001506C1" w:rsidRPr="00FA3F9C" w14:paraId="19FF94D8" w14:textId="77777777" w:rsidTr="00F337AE">
        <w:tc>
          <w:tcPr>
            <w:tcW w:w="11016" w:type="dxa"/>
            <w:gridSpan w:val="2"/>
          </w:tcPr>
          <w:p w14:paraId="601ED5DE" w14:textId="77777777" w:rsidR="001506C1" w:rsidRPr="00FA3F9C" w:rsidRDefault="001506C1" w:rsidP="006F623F">
            <w:pPr>
              <w:rPr>
                <w:rFonts w:ascii="Arial" w:hAnsi="Arial" w:cs="Arial"/>
                <w:sz w:val="24"/>
                <w:szCs w:val="24"/>
              </w:rPr>
            </w:pPr>
            <w:r w:rsidRPr="00FA3F9C">
              <w:rPr>
                <w:rFonts w:ascii="Arial" w:hAnsi="Arial" w:cs="Arial"/>
                <w:sz w:val="24"/>
                <w:szCs w:val="24"/>
              </w:rPr>
              <w:t>1. Must have diagnosis of acquired thrombotic thrombocytopenic purpura</w:t>
            </w:r>
          </w:p>
        </w:tc>
      </w:tr>
      <w:tr w:rsidR="001506C1" w:rsidRPr="00FA3F9C" w14:paraId="3435D1DC" w14:textId="77777777" w:rsidTr="00B1617E">
        <w:tc>
          <w:tcPr>
            <w:tcW w:w="11016" w:type="dxa"/>
            <w:gridSpan w:val="2"/>
          </w:tcPr>
          <w:p w14:paraId="7CFDEB39" w14:textId="77777777" w:rsidR="001506C1" w:rsidRPr="00FA3F9C" w:rsidRDefault="001506C1" w:rsidP="006F623F">
            <w:pPr>
              <w:rPr>
                <w:rFonts w:ascii="Arial" w:hAnsi="Arial" w:cs="Arial"/>
                <w:sz w:val="24"/>
                <w:szCs w:val="24"/>
              </w:rPr>
            </w:pPr>
            <w:r w:rsidRPr="00FA3F9C">
              <w:rPr>
                <w:rFonts w:ascii="Arial" w:hAnsi="Arial" w:cs="Arial"/>
                <w:sz w:val="24"/>
                <w:szCs w:val="24"/>
              </w:rPr>
              <w:t>2. Must have a platelet count of &lt; 150,000 currently</w:t>
            </w:r>
          </w:p>
        </w:tc>
      </w:tr>
      <w:tr w:rsidR="001506C1" w:rsidRPr="00FA3F9C" w14:paraId="6D6C32A7" w14:textId="77777777" w:rsidTr="0010789D">
        <w:tc>
          <w:tcPr>
            <w:tcW w:w="11016" w:type="dxa"/>
            <w:gridSpan w:val="2"/>
          </w:tcPr>
          <w:p w14:paraId="0FC0AAFC" w14:textId="77777777" w:rsidR="001506C1" w:rsidRPr="00FA3F9C" w:rsidRDefault="001506C1" w:rsidP="006F623F">
            <w:pPr>
              <w:rPr>
                <w:rFonts w:ascii="Arial" w:hAnsi="Arial" w:cs="Arial"/>
                <w:sz w:val="24"/>
                <w:szCs w:val="24"/>
              </w:rPr>
            </w:pPr>
            <w:r w:rsidRPr="00FA3F9C">
              <w:rPr>
                <w:rFonts w:ascii="Arial" w:hAnsi="Arial" w:cs="Arial"/>
                <w:sz w:val="24"/>
                <w:szCs w:val="24"/>
              </w:rPr>
              <w:t>3. Must be receiving plasma exchange concurrently</w:t>
            </w:r>
          </w:p>
        </w:tc>
      </w:tr>
      <w:tr w:rsidR="001506C1" w:rsidRPr="00FA3F9C" w14:paraId="31FF97F4" w14:textId="77777777" w:rsidTr="00DA57E0">
        <w:tc>
          <w:tcPr>
            <w:tcW w:w="11016" w:type="dxa"/>
            <w:gridSpan w:val="2"/>
          </w:tcPr>
          <w:p w14:paraId="6AE017D8" w14:textId="77777777" w:rsidR="001506C1" w:rsidRPr="00FA3F9C" w:rsidRDefault="001506C1" w:rsidP="006F623F">
            <w:pPr>
              <w:rPr>
                <w:rFonts w:ascii="Arial" w:hAnsi="Arial" w:cs="Arial"/>
                <w:sz w:val="24"/>
                <w:szCs w:val="24"/>
              </w:rPr>
            </w:pPr>
            <w:r w:rsidRPr="00FA3F9C">
              <w:rPr>
                <w:rFonts w:ascii="Arial" w:hAnsi="Arial" w:cs="Arial"/>
                <w:sz w:val="24"/>
                <w:szCs w:val="24"/>
              </w:rPr>
              <w:t>4. Must be receiving concomitant immunosuppressive therapy (</w:t>
            </w:r>
            <w:proofErr w:type="gramStart"/>
            <w:r w:rsidRPr="00FA3F9C">
              <w:rPr>
                <w:rFonts w:ascii="Arial" w:hAnsi="Arial" w:cs="Arial"/>
                <w:sz w:val="24"/>
                <w:szCs w:val="24"/>
              </w:rPr>
              <w:t>e.g.</w:t>
            </w:r>
            <w:proofErr w:type="gramEnd"/>
            <w:r w:rsidRPr="00FA3F9C">
              <w:rPr>
                <w:rFonts w:ascii="Arial" w:hAnsi="Arial" w:cs="Arial"/>
                <w:sz w:val="24"/>
                <w:szCs w:val="24"/>
              </w:rPr>
              <w:t xml:space="preserve"> rituximab, high dose steroids)</w:t>
            </w:r>
          </w:p>
        </w:tc>
      </w:tr>
      <w:tr w:rsidR="001506C1" w:rsidRPr="00FA3F9C" w14:paraId="6F420DFE" w14:textId="77777777" w:rsidTr="00DA57E0">
        <w:tc>
          <w:tcPr>
            <w:tcW w:w="11016" w:type="dxa"/>
            <w:gridSpan w:val="2"/>
          </w:tcPr>
          <w:p w14:paraId="3575476E" w14:textId="77777777" w:rsidR="001506C1" w:rsidRPr="00FA3F9C" w:rsidRDefault="001506C1" w:rsidP="006F623F">
            <w:pPr>
              <w:rPr>
                <w:rFonts w:ascii="Arial" w:hAnsi="Arial" w:cs="Arial"/>
                <w:sz w:val="24"/>
                <w:szCs w:val="24"/>
              </w:rPr>
            </w:pPr>
            <w:r w:rsidRPr="00FA3F9C">
              <w:rPr>
                <w:rFonts w:ascii="Arial" w:hAnsi="Arial" w:cs="Arial"/>
                <w:sz w:val="24"/>
                <w:szCs w:val="24"/>
              </w:rPr>
              <w:t>5. Must present initially with severe features (neurologic findings such as seizures, focal weakness, aphasia, dysarthria, confusion, coma, encephalopathy, high serum troponin levels) to warrant this more aggressive initial therapy.</w:t>
            </w:r>
          </w:p>
        </w:tc>
      </w:tr>
      <w:tr w:rsidR="001506C1" w:rsidRPr="00FA3F9C" w14:paraId="5DE0D459" w14:textId="77777777" w:rsidTr="00DA57E0">
        <w:tc>
          <w:tcPr>
            <w:tcW w:w="11016" w:type="dxa"/>
            <w:gridSpan w:val="2"/>
          </w:tcPr>
          <w:p w14:paraId="541FAA9B" w14:textId="77777777" w:rsidR="001506C1" w:rsidRPr="00FA3F9C" w:rsidRDefault="001506C1" w:rsidP="006F623F">
            <w:pPr>
              <w:rPr>
                <w:rFonts w:ascii="Arial" w:hAnsi="Arial" w:cs="Arial"/>
                <w:sz w:val="24"/>
                <w:szCs w:val="24"/>
              </w:rPr>
            </w:pPr>
            <w:r w:rsidRPr="00FA3F9C">
              <w:rPr>
                <w:rFonts w:ascii="Arial" w:hAnsi="Arial" w:cs="Arial"/>
                <w:sz w:val="24"/>
                <w:szCs w:val="24"/>
              </w:rPr>
              <w:lastRenderedPageBreak/>
              <w:t>6. Prescriber must be a hematologist.</w:t>
            </w:r>
          </w:p>
        </w:tc>
      </w:tr>
      <w:tr w:rsidR="001506C1" w:rsidRPr="00FA3F9C" w14:paraId="3736D156" w14:textId="77777777" w:rsidTr="00DA57E0">
        <w:tc>
          <w:tcPr>
            <w:tcW w:w="11016" w:type="dxa"/>
            <w:gridSpan w:val="2"/>
          </w:tcPr>
          <w:p w14:paraId="153F4495" w14:textId="77777777" w:rsidR="001506C1" w:rsidRPr="00FA3F9C" w:rsidRDefault="001506C1" w:rsidP="006F623F">
            <w:pPr>
              <w:rPr>
                <w:rFonts w:ascii="Arial" w:hAnsi="Arial" w:cs="Arial"/>
                <w:sz w:val="24"/>
                <w:szCs w:val="24"/>
              </w:rPr>
            </w:pPr>
            <w:r w:rsidRPr="00FA3F9C">
              <w:rPr>
                <w:rFonts w:ascii="Arial" w:hAnsi="Arial" w:cs="Arial"/>
                <w:sz w:val="24"/>
                <w:szCs w:val="24"/>
              </w:rPr>
              <w:t xml:space="preserve">Note:  Must discontinue if &gt;2 </w:t>
            </w:r>
            <w:proofErr w:type="spellStart"/>
            <w:r w:rsidRPr="00FA3F9C">
              <w:rPr>
                <w:rFonts w:ascii="Arial" w:hAnsi="Arial" w:cs="Arial"/>
                <w:sz w:val="24"/>
                <w:szCs w:val="24"/>
              </w:rPr>
              <w:t>aTTP</w:t>
            </w:r>
            <w:proofErr w:type="spellEnd"/>
            <w:r w:rsidRPr="00FA3F9C">
              <w:rPr>
                <w:rFonts w:ascii="Arial" w:hAnsi="Arial" w:cs="Arial"/>
                <w:sz w:val="24"/>
                <w:szCs w:val="24"/>
              </w:rPr>
              <w:t xml:space="preserve"> recurrences occur during treatment.</w:t>
            </w:r>
          </w:p>
        </w:tc>
      </w:tr>
    </w:tbl>
    <w:p w14:paraId="4D09957A" w14:textId="77777777" w:rsidR="001506C1" w:rsidRPr="00FA3F9C" w:rsidRDefault="001506C1" w:rsidP="006F623F">
      <w:pPr>
        <w:spacing w:after="0"/>
        <w:rPr>
          <w:rFonts w:ascii="Arial" w:hAnsi="Arial" w:cs="Arial"/>
          <w:b/>
          <w:sz w:val="24"/>
          <w:szCs w:val="24"/>
          <w:u w:val="single"/>
        </w:rPr>
      </w:pPr>
    </w:p>
    <w:tbl>
      <w:tblPr>
        <w:tblStyle w:val="TableGrid"/>
        <w:tblW w:w="0" w:type="auto"/>
        <w:tblLook w:val="04A0" w:firstRow="1" w:lastRow="0" w:firstColumn="1" w:lastColumn="0" w:noHBand="0" w:noVBand="1"/>
      </w:tblPr>
      <w:tblGrid>
        <w:gridCol w:w="8928"/>
        <w:gridCol w:w="2088"/>
      </w:tblGrid>
      <w:tr w:rsidR="001506C1" w:rsidRPr="00FA3F9C" w14:paraId="0492CE41" w14:textId="77777777" w:rsidTr="00571CAB">
        <w:tc>
          <w:tcPr>
            <w:tcW w:w="8928" w:type="dxa"/>
            <w:shd w:val="clear" w:color="auto" w:fill="000000"/>
          </w:tcPr>
          <w:p w14:paraId="03B83CDF" w14:textId="77777777" w:rsidR="001506C1" w:rsidRPr="00FA3F9C" w:rsidRDefault="001506C1" w:rsidP="00571CAB">
            <w:pPr>
              <w:rPr>
                <w:rFonts w:ascii="Arial" w:hAnsi="Arial" w:cs="Arial"/>
                <w:b/>
                <w:sz w:val="24"/>
                <w:szCs w:val="24"/>
                <w:u w:val="single"/>
              </w:rPr>
            </w:pPr>
            <w:r w:rsidRPr="00FA3F9C">
              <w:rPr>
                <w:rFonts w:ascii="Arial" w:hAnsi="Arial" w:cs="Arial"/>
                <w:b/>
                <w:sz w:val="24"/>
                <w:szCs w:val="24"/>
                <w:u w:val="single"/>
              </w:rPr>
              <w:t>Criteria for continuation</w:t>
            </w:r>
          </w:p>
        </w:tc>
        <w:tc>
          <w:tcPr>
            <w:tcW w:w="2088" w:type="dxa"/>
            <w:shd w:val="clear" w:color="auto" w:fill="000000"/>
          </w:tcPr>
          <w:p w14:paraId="4E03D86E" w14:textId="77777777" w:rsidR="001506C1" w:rsidRPr="00FA3F9C" w:rsidRDefault="001506C1" w:rsidP="00571CAB">
            <w:pPr>
              <w:jc w:val="center"/>
              <w:rPr>
                <w:rFonts w:ascii="Arial" w:hAnsi="Arial" w:cs="Arial"/>
                <w:b/>
                <w:sz w:val="24"/>
                <w:szCs w:val="24"/>
                <w:u w:val="single"/>
              </w:rPr>
            </w:pPr>
          </w:p>
        </w:tc>
      </w:tr>
      <w:tr w:rsidR="001506C1" w:rsidRPr="00FA3F9C" w14:paraId="71A1F72C" w14:textId="77777777" w:rsidTr="00FE7E94">
        <w:tc>
          <w:tcPr>
            <w:tcW w:w="11016" w:type="dxa"/>
            <w:gridSpan w:val="2"/>
          </w:tcPr>
          <w:p w14:paraId="0EFF425F" w14:textId="77777777" w:rsidR="001506C1" w:rsidRPr="00FA3F9C" w:rsidRDefault="001506C1" w:rsidP="00571CAB">
            <w:pPr>
              <w:rPr>
                <w:rFonts w:ascii="Arial" w:hAnsi="Arial" w:cs="Arial"/>
                <w:sz w:val="24"/>
                <w:szCs w:val="24"/>
              </w:rPr>
            </w:pPr>
            <w:r w:rsidRPr="00FA3F9C">
              <w:rPr>
                <w:rFonts w:ascii="Arial" w:hAnsi="Arial" w:cs="Arial"/>
                <w:sz w:val="24"/>
                <w:szCs w:val="24"/>
              </w:rPr>
              <w:t xml:space="preserve">1. Must have failed the first 30 days of </w:t>
            </w:r>
            <w:proofErr w:type="spellStart"/>
            <w:r w:rsidRPr="00FA3F9C">
              <w:rPr>
                <w:rFonts w:ascii="Arial" w:hAnsi="Arial" w:cs="Arial"/>
                <w:sz w:val="24"/>
                <w:szCs w:val="24"/>
              </w:rPr>
              <w:t>caplacizumab</w:t>
            </w:r>
            <w:proofErr w:type="spellEnd"/>
            <w:r w:rsidRPr="00FA3F9C">
              <w:rPr>
                <w:rFonts w:ascii="Arial" w:hAnsi="Arial" w:cs="Arial"/>
                <w:sz w:val="24"/>
                <w:szCs w:val="24"/>
              </w:rPr>
              <w:t xml:space="preserve"> and still be suffering from </w:t>
            </w:r>
            <w:proofErr w:type="spellStart"/>
            <w:r w:rsidRPr="00FA3F9C">
              <w:rPr>
                <w:rFonts w:ascii="Arial" w:hAnsi="Arial" w:cs="Arial"/>
                <w:sz w:val="24"/>
                <w:szCs w:val="24"/>
              </w:rPr>
              <w:t>aTTP</w:t>
            </w:r>
            <w:proofErr w:type="spellEnd"/>
            <w:r w:rsidRPr="00FA3F9C">
              <w:rPr>
                <w:rFonts w:ascii="Arial" w:hAnsi="Arial" w:cs="Arial"/>
                <w:sz w:val="24"/>
                <w:szCs w:val="24"/>
              </w:rPr>
              <w:t>.</w:t>
            </w:r>
          </w:p>
        </w:tc>
      </w:tr>
      <w:tr w:rsidR="001506C1" w:rsidRPr="00FA3F9C" w14:paraId="6CE0DA6C" w14:textId="77777777" w:rsidTr="00FE7E94">
        <w:tc>
          <w:tcPr>
            <w:tcW w:w="11016" w:type="dxa"/>
            <w:gridSpan w:val="2"/>
          </w:tcPr>
          <w:p w14:paraId="6D9449D1" w14:textId="77777777" w:rsidR="001506C1" w:rsidRPr="00FA3F9C" w:rsidRDefault="001506C1" w:rsidP="00571CAB">
            <w:pPr>
              <w:rPr>
                <w:rFonts w:ascii="Arial" w:hAnsi="Arial" w:cs="Arial"/>
                <w:sz w:val="24"/>
                <w:szCs w:val="24"/>
              </w:rPr>
            </w:pPr>
            <w:r w:rsidRPr="00FA3F9C">
              <w:rPr>
                <w:rFonts w:ascii="Arial" w:hAnsi="Arial" w:cs="Arial"/>
                <w:sz w:val="24"/>
                <w:szCs w:val="24"/>
              </w:rPr>
              <w:t>2. Must be receiving concurrent plasma exchange, immunosuppressive therapy, and still have a platelet count &lt;150,000.</w:t>
            </w:r>
          </w:p>
        </w:tc>
      </w:tr>
    </w:tbl>
    <w:p w14:paraId="0928590C" w14:textId="77777777" w:rsidR="001506C1" w:rsidRPr="00FA3F9C" w:rsidRDefault="001506C1" w:rsidP="006F623F">
      <w:pPr>
        <w:spacing w:after="0"/>
        <w:rPr>
          <w:rFonts w:ascii="Arial" w:hAnsi="Arial" w:cs="Arial"/>
          <w:b/>
          <w:sz w:val="24"/>
          <w:szCs w:val="24"/>
          <w:u w:val="single"/>
        </w:rPr>
      </w:pPr>
    </w:p>
    <w:p w14:paraId="6BECE5EB" w14:textId="77777777" w:rsidR="001506C1" w:rsidRPr="00FA3F9C" w:rsidRDefault="001506C1" w:rsidP="006F623F">
      <w:pPr>
        <w:spacing w:after="0"/>
        <w:rPr>
          <w:rFonts w:ascii="Arial" w:hAnsi="Arial" w:cs="Arial"/>
          <w:b/>
          <w:sz w:val="24"/>
          <w:szCs w:val="24"/>
          <w:u w:val="single"/>
        </w:rPr>
      </w:pPr>
    </w:p>
    <w:tbl>
      <w:tblPr>
        <w:tblStyle w:val="TableGrid"/>
        <w:tblW w:w="0" w:type="auto"/>
        <w:shd w:val="clear" w:color="auto" w:fill="BFBFBF" w:themeFill="background1" w:themeFillShade="BF"/>
        <w:tblLook w:val="04A0" w:firstRow="1" w:lastRow="0" w:firstColumn="1" w:lastColumn="0" w:noHBand="0" w:noVBand="1"/>
      </w:tblPr>
      <w:tblGrid>
        <w:gridCol w:w="10998"/>
      </w:tblGrid>
      <w:tr w:rsidR="001506C1" w:rsidRPr="00FA3F9C" w14:paraId="1C49F61F" w14:textId="77777777" w:rsidTr="00D82B6E">
        <w:tc>
          <w:tcPr>
            <w:tcW w:w="10998" w:type="dxa"/>
            <w:shd w:val="clear" w:color="auto" w:fill="BFBFBF" w:themeFill="background1" w:themeFillShade="BF"/>
          </w:tcPr>
          <w:p w14:paraId="7A3D49ED" w14:textId="77777777" w:rsidR="001506C1" w:rsidRPr="00FA3F9C" w:rsidRDefault="001506C1" w:rsidP="00D82B6E">
            <w:pPr>
              <w:rPr>
                <w:rFonts w:ascii="Arial" w:hAnsi="Arial" w:cs="Arial"/>
                <w:sz w:val="24"/>
                <w:szCs w:val="24"/>
              </w:rPr>
            </w:pPr>
            <w:r w:rsidRPr="00FA3F9C">
              <w:rPr>
                <w:rFonts w:ascii="Arial" w:hAnsi="Arial" w:cs="Arial"/>
                <w:sz w:val="24"/>
                <w:szCs w:val="24"/>
              </w:rPr>
              <w:t>Note: PI says it should be given for 30 days initially, with an additional course extended up to an additional maximum 28 days.</w:t>
            </w:r>
          </w:p>
        </w:tc>
      </w:tr>
    </w:tbl>
    <w:p w14:paraId="5C73C1D3" w14:textId="77777777" w:rsidR="001506C1" w:rsidRPr="00FA3F9C" w:rsidRDefault="001506C1" w:rsidP="006F623F">
      <w:pPr>
        <w:spacing w:after="0"/>
        <w:rPr>
          <w:rFonts w:ascii="Arial" w:hAnsi="Arial" w:cs="Arial"/>
          <w:sz w:val="24"/>
          <w:szCs w:val="24"/>
        </w:rPr>
      </w:pPr>
    </w:p>
    <w:p w14:paraId="5FDFAF31"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Quantity Limits: 58 days max.</w:t>
      </w:r>
    </w:p>
    <w:p w14:paraId="2350C817" w14:textId="77777777" w:rsidR="001506C1" w:rsidRPr="00FA3F9C" w:rsidRDefault="001506C1" w:rsidP="00B372E8">
      <w:pPr>
        <w:spacing w:after="0"/>
        <w:rPr>
          <w:rFonts w:ascii="Arial" w:hAnsi="Arial" w:cs="Arial"/>
          <w:b/>
          <w:sz w:val="24"/>
          <w:szCs w:val="24"/>
        </w:rPr>
      </w:pPr>
      <w:r w:rsidRPr="00FA3F9C">
        <w:rPr>
          <w:rFonts w:ascii="Arial" w:hAnsi="Arial" w:cs="Arial"/>
          <w:b/>
          <w:sz w:val="24"/>
          <w:szCs w:val="24"/>
        </w:rPr>
        <w:t>References:</w:t>
      </w:r>
    </w:p>
    <w:p w14:paraId="6D18D34C" w14:textId="77777777" w:rsidR="001506C1" w:rsidRPr="00FA3F9C" w:rsidRDefault="001506C1" w:rsidP="00B372E8">
      <w:pPr>
        <w:spacing w:after="0"/>
        <w:rPr>
          <w:rFonts w:ascii="Arial" w:hAnsi="Arial" w:cs="Arial"/>
          <w:b/>
          <w:sz w:val="24"/>
          <w:szCs w:val="24"/>
        </w:rPr>
      </w:pPr>
      <w:r w:rsidRPr="00FA3F9C">
        <w:rPr>
          <w:rFonts w:ascii="Arial" w:hAnsi="Arial" w:cs="Arial"/>
          <w:b/>
          <w:sz w:val="24"/>
          <w:szCs w:val="24"/>
        </w:rPr>
        <w:t>1. UpToDate. Thrombotic thrombocytopenia purpura.  Accessed 5/6/19.</w:t>
      </w:r>
    </w:p>
    <w:p w14:paraId="6C6F0C9C" w14:textId="77777777" w:rsidR="001506C1" w:rsidRPr="00FA3F9C" w:rsidRDefault="001506C1" w:rsidP="00B372E8">
      <w:pPr>
        <w:shd w:val="clear" w:color="auto" w:fill="FFFFFF"/>
        <w:spacing w:after="0"/>
        <w:rPr>
          <w:rFonts w:ascii="Arial" w:eastAsia="Times New Roman" w:hAnsi="Arial" w:cs="Arial"/>
          <w:b/>
          <w:color w:val="000000" w:themeColor="text1"/>
          <w:sz w:val="24"/>
          <w:szCs w:val="24"/>
        </w:rPr>
      </w:pPr>
      <w:r w:rsidRPr="00FA3F9C">
        <w:rPr>
          <w:rFonts w:ascii="Arial" w:hAnsi="Arial" w:cs="Arial"/>
          <w:b/>
          <w:sz w:val="24"/>
          <w:szCs w:val="24"/>
        </w:rPr>
        <w:t xml:space="preserve">2. </w:t>
      </w:r>
      <w:proofErr w:type="spellStart"/>
      <w:r w:rsidRPr="00FA3F9C">
        <w:rPr>
          <w:rFonts w:ascii="Arial" w:eastAsia="Times New Roman" w:hAnsi="Arial" w:cs="Arial"/>
          <w:b/>
          <w:color w:val="000000" w:themeColor="text1"/>
          <w:sz w:val="24"/>
          <w:szCs w:val="24"/>
          <w:u w:val="single"/>
        </w:rPr>
        <w:t>Bendapudi</w:t>
      </w:r>
      <w:proofErr w:type="spellEnd"/>
      <w:r w:rsidRPr="00FA3F9C">
        <w:rPr>
          <w:rFonts w:ascii="Arial" w:eastAsia="Times New Roman" w:hAnsi="Arial" w:cs="Arial"/>
          <w:b/>
          <w:color w:val="000000" w:themeColor="text1"/>
          <w:sz w:val="24"/>
          <w:szCs w:val="24"/>
          <w:u w:val="single"/>
        </w:rPr>
        <w:t xml:space="preserve"> PK, Hurwitz S, Fry A, et al. Derivation and external validation of the PLASMIC score for rapid assessment of adults with thrombotic microangiopathies: a cohort study. Lancet </w:t>
      </w:r>
      <w:proofErr w:type="spellStart"/>
      <w:r w:rsidRPr="00FA3F9C">
        <w:rPr>
          <w:rFonts w:ascii="Arial" w:eastAsia="Times New Roman" w:hAnsi="Arial" w:cs="Arial"/>
          <w:b/>
          <w:color w:val="000000" w:themeColor="text1"/>
          <w:sz w:val="24"/>
          <w:szCs w:val="24"/>
          <w:u w:val="single"/>
        </w:rPr>
        <w:t>Haematol</w:t>
      </w:r>
      <w:proofErr w:type="spellEnd"/>
      <w:r w:rsidRPr="00FA3F9C">
        <w:rPr>
          <w:rFonts w:ascii="Arial" w:eastAsia="Times New Roman" w:hAnsi="Arial" w:cs="Arial"/>
          <w:b/>
          <w:color w:val="000000" w:themeColor="text1"/>
          <w:sz w:val="24"/>
          <w:szCs w:val="24"/>
          <w:u w:val="single"/>
        </w:rPr>
        <w:t xml:space="preserve"> 2017 Apr;4(4):e157.</w:t>
      </w:r>
    </w:p>
    <w:p w14:paraId="7B439C34" w14:textId="77777777" w:rsidR="001506C1" w:rsidRPr="00FA3F9C" w:rsidRDefault="001506C1" w:rsidP="00B372E8">
      <w:pPr>
        <w:spacing w:after="0"/>
        <w:rPr>
          <w:rFonts w:ascii="Arial" w:eastAsia="Times New Roman" w:hAnsi="Arial" w:cs="Arial"/>
          <w:b/>
          <w:color w:val="222222"/>
          <w:sz w:val="24"/>
          <w:szCs w:val="24"/>
          <w:shd w:val="clear" w:color="auto" w:fill="F8F8F8"/>
        </w:rPr>
      </w:pPr>
      <w:r w:rsidRPr="00FA3F9C">
        <w:rPr>
          <w:rFonts w:ascii="Arial" w:eastAsia="Times New Roman" w:hAnsi="Arial" w:cs="Arial"/>
          <w:b/>
          <w:color w:val="222222"/>
          <w:sz w:val="24"/>
          <w:szCs w:val="24"/>
          <w:shd w:val="clear" w:color="auto" w:fill="F8F8F8"/>
        </w:rPr>
        <w:t xml:space="preserve">3. </w:t>
      </w:r>
      <w:proofErr w:type="spellStart"/>
      <w:r w:rsidRPr="00FA3F9C">
        <w:rPr>
          <w:rFonts w:ascii="Arial" w:eastAsia="Times New Roman" w:hAnsi="Arial" w:cs="Arial"/>
          <w:b/>
          <w:color w:val="222222"/>
          <w:sz w:val="24"/>
          <w:szCs w:val="24"/>
          <w:shd w:val="clear" w:color="auto" w:fill="F8F8F8"/>
        </w:rPr>
        <w:t>Peyvandi</w:t>
      </w:r>
      <w:proofErr w:type="spellEnd"/>
      <w:r w:rsidRPr="00FA3F9C">
        <w:rPr>
          <w:rFonts w:ascii="Arial" w:eastAsia="Times New Roman" w:hAnsi="Arial" w:cs="Arial"/>
          <w:b/>
          <w:color w:val="222222"/>
          <w:sz w:val="24"/>
          <w:szCs w:val="24"/>
          <w:shd w:val="clear" w:color="auto" w:fill="F8F8F8"/>
        </w:rPr>
        <w:t>, Flora, et al. "</w:t>
      </w:r>
      <w:proofErr w:type="spellStart"/>
      <w:r w:rsidRPr="00FA3F9C">
        <w:rPr>
          <w:rFonts w:ascii="Arial" w:eastAsia="Times New Roman" w:hAnsi="Arial" w:cs="Arial"/>
          <w:b/>
          <w:color w:val="222222"/>
          <w:sz w:val="24"/>
          <w:szCs w:val="24"/>
          <w:shd w:val="clear" w:color="auto" w:fill="F8F8F8"/>
        </w:rPr>
        <w:t>Caplacizumab</w:t>
      </w:r>
      <w:proofErr w:type="spellEnd"/>
      <w:r w:rsidRPr="00FA3F9C">
        <w:rPr>
          <w:rFonts w:ascii="Arial" w:eastAsia="Times New Roman" w:hAnsi="Arial" w:cs="Arial"/>
          <w:b/>
          <w:color w:val="222222"/>
          <w:sz w:val="24"/>
          <w:szCs w:val="24"/>
          <w:shd w:val="clear" w:color="auto" w:fill="F8F8F8"/>
        </w:rPr>
        <w:t xml:space="preserve"> for acquired thrombotic thrombocytopenic purpura." </w:t>
      </w:r>
      <w:r w:rsidRPr="00FA3F9C">
        <w:rPr>
          <w:rFonts w:ascii="Arial" w:eastAsia="Times New Roman" w:hAnsi="Arial" w:cs="Arial"/>
          <w:b/>
          <w:i/>
          <w:iCs/>
          <w:color w:val="222222"/>
          <w:sz w:val="24"/>
          <w:szCs w:val="24"/>
          <w:shd w:val="clear" w:color="auto" w:fill="F8F8F8"/>
        </w:rPr>
        <w:t>New England Journal of Medicine</w:t>
      </w:r>
      <w:r w:rsidRPr="00FA3F9C">
        <w:rPr>
          <w:rFonts w:ascii="Arial" w:eastAsia="Times New Roman" w:hAnsi="Arial" w:cs="Arial"/>
          <w:b/>
          <w:color w:val="222222"/>
          <w:sz w:val="24"/>
          <w:szCs w:val="24"/>
          <w:shd w:val="clear" w:color="auto" w:fill="F8F8F8"/>
        </w:rPr>
        <w:t> 374.6 (2016): 511-522. TITAN</w:t>
      </w:r>
    </w:p>
    <w:p w14:paraId="6BCC6781" w14:textId="77777777" w:rsidR="001506C1" w:rsidRPr="00FA3F9C" w:rsidRDefault="001506C1" w:rsidP="00B372E8">
      <w:pPr>
        <w:spacing w:after="0"/>
        <w:rPr>
          <w:rFonts w:ascii="Arial" w:eastAsia="Times New Roman" w:hAnsi="Arial" w:cs="Arial"/>
          <w:b/>
          <w:sz w:val="24"/>
          <w:szCs w:val="24"/>
        </w:rPr>
      </w:pPr>
      <w:r w:rsidRPr="00FA3F9C">
        <w:rPr>
          <w:rFonts w:ascii="Arial" w:hAnsi="Arial" w:cs="Arial"/>
          <w:b/>
          <w:sz w:val="24"/>
          <w:szCs w:val="24"/>
        </w:rPr>
        <w:t xml:space="preserve">4. </w:t>
      </w:r>
      <w:r w:rsidRPr="00FA3F9C">
        <w:rPr>
          <w:rFonts w:ascii="Arial" w:eastAsia="Times New Roman" w:hAnsi="Arial" w:cs="Arial"/>
          <w:b/>
          <w:color w:val="222222"/>
          <w:sz w:val="24"/>
          <w:szCs w:val="24"/>
          <w:shd w:val="clear" w:color="auto" w:fill="F8F8F8"/>
        </w:rPr>
        <w:t>Scully, Marie, et al. "</w:t>
      </w:r>
      <w:proofErr w:type="spellStart"/>
      <w:r w:rsidRPr="00FA3F9C">
        <w:rPr>
          <w:rFonts w:ascii="Arial" w:eastAsia="Times New Roman" w:hAnsi="Arial" w:cs="Arial"/>
          <w:b/>
          <w:color w:val="222222"/>
          <w:sz w:val="24"/>
          <w:szCs w:val="24"/>
          <w:shd w:val="clear" w:color="auto" w:fill="F8F8F8"/>
        </w:rPr>
        <w:t>Caplacizumab</w:t>
      </w:r>
      <w:proofErr w:type="spellEnd"/>
      <w:r w:rsidRPr="00FA3F9C">
        <w:rPr>
          <w:rFonts w:ascii="Arial" w:eastAsia="Times New Roman" w:hAnsi="Arial" w:cs="Arial"/>
          <w:b/>
          <w:color w:val="222222"/>
          <w:sz w:val="24"/>
          <w:szCs w:val="24"/>
          <w:shd w:val="clear" w:color="auto" w:fill="F8F8F8"/>
        </w:rPr>
        <w:t xml:space="preserve"> treatment for acquired thrombotic thrombocytopenic purpura." </w:t>
      </w:r>
      <w:r w:rsidRPr="00FA3F9C">
        <w:rPr>
          <w:rFonts w:ascii="Arial" w:eastAsia="Times New Roman" w:hAnsi="Arial" w:cs="Arial"/>
          <w:b/>
          <w:i/>
          <w:iCs/>
          <w:color w:val="222222"/>
          <w:sz w:val="24"/>
          <w:szCs w:val="24"/>
          <w:shd w:val="clear" w:color="auto" w:fill="F8F8F8"/>
        </w:rPr>
        <w:t>New England Journal of Medicine</w:t>
      </w:r>
      <w:r w:rsidRPr="00FA3F9C">
        <w:rPr>
          <w:rFonts w:ascii="Arial" w:eastAsia="Times New Roman" w:hAnsi="Arial" w:cs="Arial"/>
          <w:b/>
          <w:color w:val="222222"/>
          <w:sz w:val="24"/>
          <w:szCs w:val="24"/>
          <w:shd w:val="clear" w:color="auto" w:fill="F8F8F8"/>
        </w:rPr>
        <w:t> 380.4 (2019): 335-346. HERCULES</w:t>
      </w:r>
    </w:p>
    <w:p w14:paraId="1BABC05E" w14:textId="77777777" w:rsidR="001506C1" w:rsidRPr="00FA3F9C" w:rsidRDefault="001506C1" w:rsidP="006F623F">
      <w:pPr>
        <w:spacing w:after="0"/>
        <w:rPr>
          <w:rFonts w:ascii="Arial" w:hAnsi="Arial" w:cs="Arial"/>
          <w:sz w:val="24"/>
          <w:szCs w:val="24"/>
        </w:rPr>
      </w:pPr>
    </w:p>
    <w:p w14:paraId="26FF9D68"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284"/>
        <w:gridCol w:w="7470"/>
        <w:gridCol w:w="2538"/>
      </w:tblGrid>
      <w:tr w:rsidR="001506C1" w:rsidRPr="00FA3F9C" w14:paraId="213123BD" w14:textId="77777777" w:rsidTr="00FE491B">
        <w:tc>
          <w:tcPr>
            <w:tcW w:w="1008" w:type="dxa"/>
          </w:tcPr>
          <w:p w14:paraId="37466EA8" w14:textId="77777777" w:rsidR="001506C1" w:rsidRPr="00FA3F9C" w:rsidRDefault="001506C1" w:rsidP="006F623F">
            <w:pPr>
              <w:rPr>
                <w:rFonts w:ascii="Arial" w:hAnsi="Arial" w:cs="Arial"/>
                <w:sz w:val="24"/>
                <w:szCs w:val="24"/>
              </w:rPr>
            </w:pPr>
            <w:r w:rsidRPr="00FA3F9C">
              <w:rPr>
                <w:rFonts w:ascii="Arial" w:hAnsi="Arial" w:cs="Arial"/>
                <w:sz w:val="24"/>
                <w:szCs w:val="24"/>
              </w:rPr>
              <w:t>Date</w:t>
            </w:r>
          </w:p>
        </w:tc>
        <w:tc>
          <w:tcPr>
            <w:tcW w:w="7470" w:type="dxa"/>
          </w:tcPr>
          <w:p w14:paraId="240FEEA3" w14:textId="77777777" w:rsidR="001506C1" w:rsidRPr="00FA3F9C" w:rsidRDefault="001506C1" w:rsidP="006F623F">
            <w:pPr>
              <w:rPr>
                <w:rFonts w:ascii="Arial" w:hAnsi="Arial" w:cs="Arial"/>
                <w:sz w:val="24"/>
                <w:szCs w:val="24"/>
              </w:rPr>
            </w:pPr>
            <w:r w:rsidRPr="00FA3F9C">
              <w:rPr>
                <w:rFonts w:ascii="Arial" w:hAnsi="Arial" w:cs="Arial"/>
                <w:sz w:val="24"/>
                <w:szCs w:val="24"/>
              </w:rPr>
              <w:t>What changed</w:t>
            </w:r>
          </w:p>
        </w:tc>
        <w:tc>
          <w:tcPr>
            <w:tcW w:w="2538" w:type="dxa"/>
          </w:tcPr>
          <w:p w14:paraId="1242A142" w14:textId="77777777" w:rsidR="001506C1" w:rsidRPr="00FA3F9C" w:rsidRDefault="001506C1" w:rsidP="006F623F">
            <w:pPr>
              <w:rPr>
                <w:rFonts w:ascii="Arial" w:hAnsi="Arial" w:cs="Arial"/>
                <w:sz w:val="24"/>
                <w:szCs w:val="24"/>
              </w:rPr>
            </w:pPr>
            <w:r w:rsidRPr="00FA3F9C">
              <w:rPr>
                <w:rFonts w:ascii="Arial" w:hAnsi="Arial" w:cs="Arial"/>
                <w:sz w:val="24"/>
                <w:szCs w:val="24"/>
              </w:rPr>
              <w:t>Pharmacist’s initials</w:t>
            </w:r>
          </w:p>
        </w:tc>
      </w:tr>
      <w:tr w:rsidR="001506C1" w:rsidRPr="00FA3F9C" w14:paraId="694F2C8B" w14:textId="77777777" w:rsidTr="00FE491B">
        <w:tc>
          <w:tcPr>
            <w:tcW w:w="1008" w:type="dxa"/>
          </w:tcPr>
          <w:p w14:paraId="7534DD6D" w14:textId="77777777" w:rsidR="001506C1" w:rsidRPr="00FA3F9C" w:rsidRDefault="001506C1" w:rsidP="006F623F">
            <w:pPr>
              <w:rPr>
                <w:rFonts w:ascii="Arial" w:hAnsi="Arial" w:cs="Arial"/>
                <w:sz w:val="24"/>
                <w:szCs w:val="24"/>
              </w:rPr>
            </w:pPr>
            <w:r w:rsidRPr="00FA3F9C">
              <w:rPr>
                <w:rFonts w:ascii="Arial" w:hAnsi="Arial" w:cs="Arial"/>
                <w:sz w:val="24"/>
                <w:szCs w:val="24"/>
              </w:rPr>
              <w:t>5/20/19</w:t>
            </w:r>
          </w:p>
        </w:tc>
        <w:tc>
          <w:tcPr>
            <w:tcW w:w="7470" w:type="dxa"/>
          </w:tcPr>
          <w:p w14:paraId="081FA1A7" w14:textId="77777777" w:rsidR="001506C1" w:rsidRPr="00FA3F9C" w:rsidRDefault="001506C1" w:rsidP="006F623F">
            <w:pPr>
              <w:rPr>
                <w:rFonts w:ascii="Arial" w:hAnsi="Arial" w:cs="Arial"/>
                <w:sz w:val="24"/>
                <w:szCs w:val="24"/>
              </w:rPr>
            </w:pPr>
            <w:r w:rsidRPr="00FA3F9C">
              <w:rPr>
                <w:rFonts w:ascii="Arial" w:hAnsi="Arial" w:cs="Arial"/>
                <w:sz w:val="24"/>
                <w:szCs w:val="24"/>
              </w:rPr>
              <w:t>I wrote the criteria.</w:t>
            </w:r>
          </w:p>
        </w:tc>
        <w:tc>
          <w:tcPr>
            <w:tcW w:w="2538" w:type="dxa"/>
          </w:tcPr>
          <w:p w14:paraId="40892B4E" w14:textId="77777777" w:rsidR="001506C1" w:rsidRPr="00FA3F9C" w:rsidRDefault="001506C1" w:rsidP="006F623F">
            <w:pPr>
              <w:rPr>
                <w:rFonts w:ascii="Arial" w:hAnsi="Arial" w:cs="Arial"/>
                <w:sz w:val="24"/>
                <w:szCs w:val="24"/>
              </w:rPr>
            </w:pPr>
            <w:r w:rsidRPr="00FA3F9C">
              <w:rPr>
                <w:rFonts w:ascii="Arial" w:hAnsi="Arial" w:cs="Arial"/>
                <w:sz w:val="24"/>
                <w:szCs w:val="24"/>
              </w:rPr>
              <w:t>JJ</w:t>
            </w:r>
          </w:p>
        </w:tc>
      </w:tr>
      <w:tr w:rsidR="001506C1" w:rsidRPr="00FA3F9C" w14:paraId="11EBE31E" w14:textId="77777777" w:rsidTr="00FE491B">
        <w:tc>
          <w:tcPr>
            <w:tcW w:w="1008" w:type="dxa"/>
          </w:tcPr>
          <w:p w14:paraId="1D6CCF34" w14:textId="77777777" w:rsidR="001506C1" w:rsidRPr="00FA3F9C" w:rsidRDefault="001506C1" w:rsidP="006F623F">
            <w:pPr>
              <w:rPr>
                <w:rFonts w:ascii="Arial" w:hAnsi="Arial" w:cs="Arial"/>
                <w:sz w:val="24"/>
                <w:szCs w:val="24"/>
              </w:rPr>
            </w:pPr>
            <w:r w:rsidRPr="00FA3F9C">
              <w:rPr>
                <w:rFonts w:ascii="Arial" w:hAnsi="Arial" w:cs="Arial"/>
                <w:sz w:val="24"/>
                <w:szCs w:val="24"/>
              </w:rPr>
              <w:t>1/26/2021</w:t>
            </w:r>
          </w:p>
        </w:tc>
        <w:tc>
          <w:tcPr>
            <w:tcW w:w="7470" w:type="dxa"/>
          </w:tcPr>
          <w:p w14:paraId="7255B748" w14:textId="77777777" w:rsidR="001506C1" w:rsidRPr="00FA3F9C" w:rsidRDefault="001506C1" w:rsidP="006F623F">
            <w:pPr>
              <w:rPr>
                <w:rFonts w:ascii="Arial" w:hAnsi="Arial" w:cs="Arial"/>
                <w:sz w:val="24"/>
                <w:szCs w:val="24"/>
              </w:rPr>
            </w:pPr>
            <w:r w:rsidRPr="00FA3F9C">
              <w:rPr>
                <w:rFonts w:ascii="Arial" w:hAnsi="Arial" w:cs="Arial"/>
                <w:sz w:val="24"/>
                <w:szCs w:val="24"/>
              </w:rPr>
              <w:t>I added the criteria to require the prescriber to be a hematologist.</w:t>
            </w:r>
          </w:p>
        </w:tc>
        <w:tc>
          <w:tcPr>
            <w:tcW w:w="2538" w:type="dxa"/>
          </w:tcPr>
          <w:p w14:paraId="5D654A9A" w14:textId="77777777" w:rsidR="001506C1" w:rsidRPr="00FA3F9C" w:rsidRDefault="001506C1" w:rsidP="006F623F">
            <w:pPr>
              <w:rPr>
                <w:rFonts w:ascii="Arial" w:hAnsi="Arial" w:cs="Arial"/>
                <w:sz w:val="24"/>
                <w:szCs w:val="24"/>
              </w:rPr>
            </w:pPr>
            <w:r w:rsidRPr="00FA3F9C">
              <w:rPr>
                <w:rFonts w:ascii="Arial" w:hAnsi="Arial" w:cs="Arial"/>
                <w:sz w:val="24"/>
                <w:szCs w:val="24"/>
              </w:rPr>
              <w:t>JJ</w:t>
            </w:r>
          </w:p>
        </w:tc>
      </w:tr>
    </w:tbl>
    <w:p w14:paraId="2174C254" w14:textId="77777777" w:rsidR="001506C1" w:rsidRPr="00FA3F9C" w:rsidRDefault="001506C1" w:rsidP="006F623F">
      <w:pPr>
        <w:spacing w:after="0"/>
        <w:rPr>
          <w:rFonts w:ascii="Arial" w:hAnsi="Arial" w:cs="Arial"/>
          <w:sz w:val="24"/>
          <w:szCs w:val="24"/>
        </w:rPr>
      </w:pPr>
    </w:p>
    <w:p w14:paraId="57E1AB69" w14:textId="77777777" w:rsidR="001506C1" w:rsidRPr="00FA3F9C" w:rsidRDefault="001506C1" w:rsidP="00FC1E85">
      <w:pPr>
        <w:pStyle w:val="Heading2"/>
      </w:pPr>
      <w:bookmarkStart w:id="54" w:name="_Toc106369750"/>
      <w:r w:rsidRPr="00FA3F9C">
        <w:t>Carfilzomib (</w:t>
      </w:r>
      <w:proofErr w:type="spellStart"/>
      <w:r w:rsidRPr="00FA3F9C">
        <w:t>Kyprolis</w:t>
      </w:r>
      <w:proofErr w:type="spellEnd"/>
      <w:r w:rsidRPr="00FA3F9C">
        <w:t>)</w:t>
      </w:r>
      <w:bookmarkEnd w:id="54"/>
      <w:r w:rsidRPr="00FA3F9C">
        <w:t xml:space="preserve"> </w:t>
      </w:r>
    </w:p>
    <w:p w14:paraId="0779BCB4" w14:textId="77777777" w:rsidR="001506C1" w:rsidRPr="00FA3F9C" w:rsidRDefault="001506C1" w:rsidP="00544F20">
      <w:pPr>
        <w:spacing w:after="0"/>
        <w:jc w:val="center"/>
        <w:rPr>
          <w:rFonts w:ascii="Arial" w:hAnsi="Arial" w:cs="Arial"/>
          <w:sz w:val="24"/>
          <w:szCs w:val="24"/>
        </w:rPr>
      </w:pPr>
      <w:r w:rsidRPr="00FA3F9C">
        <w:rPr>
          <w:rFonts w:ascii="Arial" w:hAnsi="Arial" w:cs="Arial"/>
          <w:sz w:val="24"/>
          <w:szCs w:val="24"/>
        </w:rPr>
        <w:t>10 mg, 30 mg, 60 mg single dose vial</w:t>
      </w:r>
    </w:p>
    <w:p w14:paraId="64490BE5" w14:textId="77777777" w:rsidR="001506C1" w:rsidRPr="00FA3F9C" w:rsidRDefault="001506C1" w:rsidP="006F623F">
      <w:pPr>
        <w:spacing w:after="0"/>
        <w:jc w:val="center"/>
        <w:rPr>
          <w:rFonts w:ascii="Arial" w:hAnsi="Arial" w:cs="Arial"/>
          <w:sz w:val="24"/>
          <w:szCs w:val="24"/>
        </w:rPr>
      </w:pPr>
      <w:r w:rsidRPr="00FA3F9C">
        <w:rPr>
          <w:rFonts w:ascii="Arial" w:hAnsi="Arial" w:cs="Arial"/>
          <w:sz w:val="24"/>
          <w:szCs w:val="24"/>
        </w:rPr>
        <w:t>EBRx PA Criteria</w:t>
      </w:r>
    </w:p>
    <w:p w14:paraId="615A4D78" w14:textId="77777777" w:rsidR="001506C1" w:rsidRPr="00FA3F9C" w:rsidRDefault="001506C1" w:rsidP="006F623F">
      <w:pPr>
        <w:spacing w:after="0"/>
        <w:rPr>
          <w:rFonts w:ascii="Arial" w:hAnsi="Arial" w:cs="Arial"/>
          <w:b/>
          <w:sz w:val="24"/>
          <w:szCs w:val="24"/>
          <w:u w:val="single"/>
        </w:rPr>
      </w:pPr>
    </w:p>
    <w:p w14:paraId="605AE968" w14:textId="77777777" w:rsidR="001506C1" w:rsidRPr="00FA3F9C" w:rsidRDefault="001506C1" w:rsidP="006F623F">
      <w:pPr>
        <w:spacing w:after="0"/>
        <w:rPr>
          <w:rFonts w:ascii="Arial" w:hAnsi="Arial" w:cs="Arial"/>
          <w:sz w:val="24"/>
          <w:szCs w:val="24"/>
        </w:rPr>
      </w:pPr>
      <w:r w:rsidRPr="00FA3F9C">
        <w:rPr>
          <w:rFonts w:ascii="Arial" w:hAnsi="Arial" w:cs="Arial"/>
          <w:b/>
          <w:sz w:val="24"/>
          <w:szCs w:val="24"/>
          <w:u w:val="single"/>
        </w:rPr>
        <w:lastRenderedPageBreak/>
        <w:t>FDA-approved for:</w:t>
      </w:r>
      <w:r w:rsidRPr="00FA3F9C">
        <w:rPr>
          <w:rFonts w:ascii="Arial" w:hAnsi="Arial" w:cs="Arial"/>
          <w:sz w:val="24"/>
          <w:szCs w:val="24"/>
        </w:rPr>
        <w:t xml:space="preserve">  </w:t>
      </w:r>
    </w:p>
    <w:p w14:paraId="1AB91B71" w14:textId="77777777" w:rsidR="001506C1" w:rsidRPr="00FA3F9C" w:rsidRDefault="001506C1" w:rsidP="001506C1">
      <w:pPr>
        <w:pStyle w:val="ListParagraph"/>
        <w:numPr>
          <w:ilvl w:val="0"/>
          <w:numId w:val="86"/>
        </w:numPr>
        <w:spacing w:after="0" w:line="276" w:lineRule="auto"/>
        <w:rPr>
          <w:rFonts w:ascii="Arial" w:hAnsi="Arial" w:cs="Arial"/>
          <w:sz w:val="24"/>
          <w:szCs w:val="24"/>
        </w:rPr>
      </w:pPr>
      <w:r w:rsidRPr="00FA3F9C">
        <w:rPr>
          <w:rFonts w:ascii="Arial" w:hAnsi="Arial" w:cs="Arial"/>
          <w:sz w:val="24"/>
          <w:szCs w:val="24"/>
        </w:rPr>
        <w:t>relapsed or refractory multiple myeloma after one to three lines of therapy in combination with</w:t>
      </w:r>
    </w:p>
    <w:p w14:paraId="4A5E7DAA" w14:textId="77777777" w:rsidR="001506C1" w:rsidRPr="00FA3F9C" w:rsidRDefault="001506C1" w:rsidP="001506C1">
      <w:pPr>
        <w:pStyle w:val="ListParagraph"/>
        <w:numPr>
          <w:ilvl w:val="1"/>
          <w:numId w:val="86"/>
        </w:numPr>
        <w:spacing w:after="0" w:line="276" w:lineRule="auto"/>
        <w:rPr>
          <w:rFonts w:ascii="Arial" w:hAnsi="Arial" w:cs="Arial"/>
          <w:sz w:val="24"/>
          <w:szCs w:val="24"/>
        </w:rPr>
      </w:pPr>
      <w:r w:rsidRPr="00FA3F9C">
        <w:rPr>
          <w:rFonts w:ascii="Arial" w:hAnsi="Arial" w:cs="Arial"/>
          <w:sz w:val="24"/>
          <w:szCs w:val="24"/>
        </w:rPr>
        <w:t xml:space="preserve">lenalidomide and dexamethasone </w:t>
      </w:r>
      <w:r w:rsidRPr="00FA3F9C">
        <w:rPr>
          <w:rFonts w:ascii="Arial" w:hAnsi="Arial" w:cs="Arial"/>
          <w:sz w:val="24"/>
          <w:szCs w:val="24"/>
          <w:highlight w:val="cyan"/>
        </w:rPr>
        <w:t>(SEE CRITERIA)</w:t>
      </w:r>
      <w:r w:rsidRPr="00FA3F9C">
        <w:rPr>
          <w:rFonts w:ascii="Arial" w:hAnsi="Arial" w:cs="Arial"/>
          <w:sz w:val="24"/>
          <w:szCs w:val="24"/>
        </w:rPr>
        <w:t xml:space="preserve"> </w:t>
      </w:r>
      <w:r w:rsidRPr="00FA3F9C">
        <w:rPr>
          <w:rFonts w:ascii="Arial" w:hAnsi="Arial" w:cs="Arial"/>
          <w:b/>
          <w:sz w:val="24"/>
          <w:szCs w:val="24"/>
          <w:u w:val="single"/>
        </w:rPr>
        <w:t>OR</w:t>
      </w:r>
    </w:p>
    <w:p w14:paraId="2607C4C4" w14:textId="77777777" w:rsidR="001506C1" w:rsidRPr="00FA3F9C" w:rsidRDefault="001506C1" w:rsidP="001506C1">
      <w:pPr>
        <w:pStyle w:val="ListParagraph"/>
        <w:numPr>
          <w:ilvl w:val="1"/>
          <w:numId w:val="86"/>
        </w:numPr>
        <w:spacing w:after="0" w:line="276" w:lineRule="auto"/>
        <w:rPr>
          <w:rFonts w:ascii="Arial" w:hAnsi="Arial" w:cs="Arial"/>
          <w:sz w:val="24"/>
          <w:szCs w:val="24"/>
        </w:rPr>
      </w:pPr>
      <w:r w:rsidRPr="00FA3F9C">
        <w:rPr>
          <w:rFonts w:ascii="Arial" w:hAnsi="Arial" w:cs="Arial"/>
          <w:sz w:val="24"/>
          <w:szCs w:val="24"/>
        </w:rPr>
        <w:t xml:space="preserve">dexamethasone </w:t>
      </w:r>
      <w:r w:rsidRPr="00FA3F9C">
        <w:rPr>
          <w:rFonts w:ascii="Arial" w:hAnsi="Arial" w:cs="Arial"/>
          <w:sz w:val="24"/>
          <w:szCs w:val="24"/>
          <w:highlight w:val="cyan"/>
        </w:rPr>
        <w:t>(SEE CRITERIA)</w:t>
      </w:r>
      <w:r w:rsidRPr="00FA3F9C">
        <w:rPr>
          <w:rFonts w:ascii="Arial" w:hAnsi="Arial" w:cs="Arial"/>
          <w:sz w:val="24"/>
          <w:szCs w:val="24"/>
        </w:rPr>
        <w:t xml:space="preserve"> </w:t>
      </w:r>
      <w:r w:rsidRPr="00FA3F9C">
        <w:rPr>
          <w:rFonts w:ascii="Arial" w:hAnsi="Arial" w:cs="Arial"/>
          <w:b/>
          <w:sz w:val="24"/>
          <w:szCs w:val="24"/>
          <w:u w:val="single"/>
        </w:rPr>
        <w:t>OR</w:t>
      </w:r>
    </w:p>
    <w:p w14:paraId="13145D29" w14:textId="77777777" w:rsidR="001506C1" w:rsidRPr="00FA3F9C" w:rsidRDefault="001506C1" w:rsidP="001506C1">
      <w:pPr>
        <w:pStyle w:val="ListParagraph"/>
        <w:numPr>
          <w:ilvl w:val="1"/>
          <w:numId w:val="86"/>
        </w:numPr>
        <w:spacing w:after="0" w:line="276" w:lineRule="auto"/>
        <w:rPr>
          <w:rFonts w:ascii="Arial" w:hAnsi="Arial" w:cs="Arial"/>
          <w:sz w:val="24"/>
          <w:szCs w:val="24"/>
        </w:rPr>
      </w:pPr>
      <w:r w:rsidRPr="00FA3F9C">
        <w:rPr>
          <w:rFonts w:ascii="Arial" w:hAnsi="Arial" w:cs="Arial"/>
          <w:sz w:val="24"/>
          <w:szCs w:val="24"/>
        </w:rPr>
        <w:t xml:space="preserve">daratumumab and dexamethasone </w:t>
      </w:r>
      <w:r w:rsidRPr="00FA3F9C">
        <w:rPr>
          <w:rFonts w:ascii="Arial" w:hAnsi="Arial" w:cs="Arial"/>
          <w:sz w:val="24"/>
          <w:szCs w:val="24"/>
          <w:highlight w:val="yellow"/>
        </w:rPr>
        <w:t>NOT COVERED</w:t>
      </w:r>
    </w:p>
    <w:p w14:paraId="0F46AC17" w14:textId="77777777" w:rsidR="001506C1" w:rsidRPr="00FA3F9C" w:rsidRDefault="001506C1" w:rsidP="001506C1">
      <w:pPr>
        <w:pStyle w:val="ListParagraph"/>
        <w:numPr>
          <w:ilvl w:val="2"/>
          <w:numId w:val="86"/>
        </w:numPr>
        <w:spacing w:after="0" w:line="276" w:lineRule="auto"/>
        <w:rPr>
          <w:rFonts w:ascii="Arial" w:hAnsi="Arial" w:cs="Arial"/>
          <w:sz w:val="24"/>
          <w:szCs w:val="24"/>
        </w:rPr>
      </w:pPr>
      <w:r w:rsidRPr="00FA3F9C">
        <w:rPr>
          <w:rFonts w:ascii="Arial" w:hAnsi="Arial" w:cs="Arial"/>
          <w:sz w:val="24"/>
          <w:szCs w:val="24"/>
        </w:rPr>
        <w:t>Daratumumab/carfilzomib/dexamethasone was compared to carfilzomib dexamethasone. Progression free survival benefit was demonstrated, but an overall survival or quality of life benefit has not been demonstrated to date</w:t>
      </w:r>
    </w:p>
    <w:p w14:paraId="254498B1" w14:textId="77777777" w:rsidR="001506C1" w:rsidRPr="00FA3F9C" w:rsidRDefault="001506C1" w:rsidP="001506C1">
      <w:pPr>
        <w:pStyle w:val="ListParagraph"/>
        <w:numPr>
          <w:ilvl w:val="3"/>
          <w:numId w:val="86"/>
        </w:numPr>
        <w:spacing w:after="0" w:line="276" w:lineRule="auto"/>
        <w:rPr>
          <w:rFonts w:ascii="Arial" w:hAnsi="Arial" w:cs="Arial"/>
          <w:sz w:val="24"/>
          <w:szCs w:val="24"/>
        </w:rPr>
      </w:pPr>
      <w:r w:rsidRPr="00FA3F9C">
        <w:rPr>
          <w:rFonts w:ascii="Arial" w:hAnsi="Arial" w:cs="Arial"/>
          <w:sz w:val="24"/>
          <w:szCs w:val="24"/>
          <w:lang w:val="es-ES"/>
        </w:rPr>
        <w:t xml:space="preserve">Reference: </w:t>
      </w:r>
      <w:proofErr w:type="spellStart"/>
      <w:r w:rsidRPr="00FA3F9C">
        <w:rPr>
          <w:rFonts w:ascii="Arial" w:hAnsi="Arial" w:cs="Arial"/>
          <w:sz w:val="24"/>
          <w:szCs w:val="24"/>
          <w:lang w:val="es-ES"/>
        </w:rPr>
        <w:t>Dimopoulos</w:t>
      </w:r>
      <w:proofErr w:type="spellEnd"/>
      <w:r w:rsidRPr="00FA3F9C">
        <w:rPr>
          <w:rFonts w:ascii="Arial" w:hAnsi="Arial" w:cs="Arial"/>
          <w:sz w:val="24"/>
          <w:szCs w:val="24"/>
          <w:lang w:val="es-ES"/>
        </w:rPr>
        <w:t xml:space="preserve">, </w:t>
      </w:r>
      <w:proofErr w:type="spellStart"/>
      <w:r w:rsidRPr="00FA3F9C">
        <w:rPr>
          <w:rFonts w:ascii="Arial" w:hAnsi="Arial" w:cs="Arial"/>
          <w:sz w:val="24"/>
          <w:szCs w:val="24"/>
          <w:lang w:val="es-ES"/>
        </w:rPr>
        <w:t>Meletios</w:t>
      </w:r>
      <w:proofErr w:type="spellEnd"/>
      <w:r w:rsidRPr="00FA3F9C">
        <w:rPr>
          <w:rFonts w:ascii="Arial" w:hAnsi="Arial" w:cs="Arial"/>
          <w:sz w:val="24"/>
          <w:szCs w:val="24"/>
          <w:lang w:val="es-ES"/>
        </w:rPr>
        <w:t xml:space="preserve">, et al. </w:t>
      </w:r>
      <w:r w:rsidRPr="00FA3F9C">
        <w:rPr>
          <w:rFonts w:ascii="Arial" w:hAnsi="Arial" w:cs="Arial"/>
          <w:sz w:val="24"/>
          <w:szCs w:val="24"/>
        </w:rPr>
        <w:t xml:space="preserve">"Carfilzomib, dexamethasone, and daratumumab versus carfilzomib and dexamethasone for patients with relapsed or refractory multiple myeloma (CANDOR): results from a </w:t>
      </w:r>
      <w:proofErr w:type="spellStart"/>
      <w:r w:rsidRPr="00FA3F9C">
        <w:rPr>
          <w:rFonts w:ascii="Arial" w:hAnsi="Arial" w:cs="Arial"/>
          <w:sz w:val="24"/>
          <w:szCs w:val="24"/>
        </w:rPr>
        <w:t>randomised</w:t>
      </w:r>
      <w:proofErr w:type="spellEnd"/>
      <w:r w:rsidRPr="00FA3F9C">
        <w:rPr>
          <w:rFonts w:ascii="Arial" w:hAnsi="Arial" w:cs="Arial"/>
          <w:sz w:val="24"/>
          <w:szCs w:val="24"/>
        </w:rPr>
        <w:t xml:space="preserve">, </w:t>
      </w:r>
      <w:proofErr w:type="spellStart"/>
      <w:r w:rsidRPr="00FA3F9C">
        <w:rPr>
          <w:rFonts w:ascii="Arial" w:hAnsi="Arial" w:cs="Arial"/>
          <w:sz w:val="24"/>
          <w:szCs w:val="24"/>
        </w:rPr>
        <w:t>multicentre</w:t>
      </w:r>
      <w:proofErr w:type="spellEnd"/>
      <w:r w:rsidRPr="00FA3F9C">
        <w:rPr>
          <w:rFonts w:ascii="Arial" w:hAnsi="Arial" w:cs="Arial"/>
          <w:sz w:val="24"/>
          <w:szCs w:val="24"/>
        </w:rPr>
        <w:t>, open-label, phase 3 study." The Lancet 396.10245 (2020): 186-197.</w:t>
      </w:r>
    </w:p>
    <w:p w14:paraId="53A289D4" w14:textId="77777777" w:rsidR="001506C1" w:rsidRPr="00FA3F9C" w:rsidRDefault="001506C1" w:rsidP="001506C1">
      <w:pPr>
        <w:pStyle w:val="ListParagraph"/>
        <w:numPr>
          <w:ilvl w:val="0"/>
          <w:numId w:val="86"/>
        </w:numPr>
        <w:spacing w:after="0" w:line="276" w:lineRule="auto"/>
        <w:rPr>
          <w:rFonts w:ascii="Arial" w:hAnsi="Arial" w:cs="Arial"/>
          <w:sz w:val="24"/>
          <w:szCs w:val="24"/>
        </w:rPr>
      </w:pPr>
      <w:r w:rsidRPr="00FA3F9C">
        <w:rPr>
          <w:rFonts w:ascii="Arial" w:hAnsi="Arial" w:cs="Arial"/>
          <w:sz w:val="24"/>
          <w:szCs w:val="24"/>
        </w:rPr>
        <w:t xml:space="preserve">relapsed/refractory multiple myeloma, as a </w:t>
      </w:r>
      <w:r w:rsidRPr="00FA3F9C">
        <w:rPr>
          <w:rFonts w:ascii="Arial" w:hAnsi="Arial" w:cs="Arial"/>
          <w:sz w:val="24"/>
          <w:szCs w:val="24"/>
          <w:u w:val="single"/>
        </w:rPr>
        <w:t>single agent</w:t>
      </w:r>
      <w:r w:rsidRPr="00FA3F9C">
        <w:rPr>
          <w:rFonts w:ascii="Arial" w:hAnsi="Arial" w:cs="Arial"/>
          <w:sz w:val="24"/>
          <w:szCs w:val="24"/>
        </w:rPr>
        <w:t xml:space="preserve"> for the treatment of patients who have received one or more lines of therapy </w:t>
      </w:r>
      <w:r w:rsidRPr="00FA3F9C">
        <w:rPr>
          <w:rFonts w:ascii="Arial" w:hAnsi="Arial" w:cs="Arial"/>
          <w:sz w:val="24"/>
          <w:szCs w:val="24"/>
          <w:highlight w:val="yellow"/>
        </w:rPr>
        <w:t>(NOT COVERED)</w:t>
      </w:r>
      <w:r w:rsidRPr="00FA3F9C">
        <w:rPr>
          <w:rFonts w:ascii="Arial" w:hAnsi="Arial" w:cs="Arial"/>
          <w:sz w:val="24"/>
          <w:szCs w:val="24"/>
        </w:rPr>
        <w:t xml:space="preserve"> Monotherapy with carfilzomib was no better than steroid alone in a heavily pretreated population. </w:t>
      </w:r>
    </w:p>
    <w:p w14:paraId="1D8E6774" w14:textId="77777777" w:rsidR="001506C1" w:rsidRPr="00FA3F9C" w:rsidRDefault="001506C1" w:rsidP="001506C1">
      <w:pPr>
        <w:pStyle w:val="ListParagraph"/>
        <w:numPr>
          <w:ilvl w:val="1"/>
          <w:numId w:val="86"/>
        </w:numPr>
        <w:spacing w:after="0" w:line="276" w:lineRule="auto"/>
        <w:rPr>
          <w:rFonts w:ascii="Arial" w:hAnsi="Arial" w:cs="Arial"/>
          <w:sz w:val="24"/>
          <w:szCs w:val="24"/>
        </w:rPr>
      </w:pPr>
      <w:r w:rsidRPr="00FA3F9C">
        <w:rPr>
          <w:rFonts w:ascii="Arial" w:hAnsi="Arial" w:cs="Arial"/>
          <w:sz w:val="24"/>
          <w:szCs w:val="24"/>
        </w:rPr>
        <w:t xml:space="preserve">Reference: </w:t>
      </w:r>
      <w:proofErr w:type="spellStart"/>
      <w:r w:rsidRPr="00FA3F9C">
        <w:rPr>
          <w:rFonts w:ascii="Arial" w:hAnsi="Arial" w:cs="Arial"/>
          <w:sz w:val="24"/>
          <w:szCs w:val="24"/>
        </w:rPr>
        <w:t>Hájek</w:t>
      </w:r>
      <w:proofErr w:type="spellEnd"/>
      <w:r w:rsidRPr="00FA3F9C">
        <w:rPr>
          <w:rFonts w:ascii="Arial" w:hAnsi="Arial" w:cs="Arial"/>
          <w:sz w:val="24"/>
          <w:szCs w:val="24"/>
        </w:rPr>
        <w:t xml:space="preserve"> R et al. A randomized phase III study of carfilzomib vs low-dose corticosteroids with optional cyclophosphamide in relapsed and refractory multiple myeloma (FOCUS). Leukemia. 2017 Jan;31(1):107-114. PMID 27416912 NCT01302392</w:t>
      </w:r>
    </w:p>
    <w:p w14:paraId="7B239405" w14:textId="77777777" w:rsidR="001506C1" w:rsidRPr="00FA3F9C" w:rsidRDefault="001506C1" w:rsidP="006F6797">
      <w:pPr>
        <w:spacing w:after="0"/>
        <w:rPr>
          <w:rFonts w:ascii="Arial" w:hAnsi="Arial" w:cs="Arial"/>
          <w:sz w:val="24"/>
          <w:szCs w:val="24"/>
        </w:rPr>
      </w:pPr>
    </w:p>
    <w:p w14:paraId="1EF27D94" w14:textId="77777777" w:rsidR="001506C1" w:rsidRPr="00FA3F9C" w:rsidRDefault="001506C1" w:rsidP="006F6797">
      <w:pPr>
        <w:spacing w:after="0"/>
        <w:rPr>
          <w:rFonts w:ascii="Arial" w:hAnsi="Arial" w:cs="Arial"/>
          <w:b/>
          <w:sz w:val="24"/>
          <w:szCs w:val="24"/>
          <w:u w:val="single"/>
        </w:rPr>
      </w:pPr>
      <w:r w:rsidRPr="00FA3F9C">
        <w:rPr>
          <w:rFonts w:ascii="Arial" w:hAnsi="Arial" w:cs="Arial"/>
          <w:b/>
          <w:sz w:val="24"/>
          <w:szCs w:val="24"/>
          <w:u w:val="single"/>
        </w:rPr>
        <w:t>Additional indication not included in package insert:</w:t>
      </w:r>
    </w:p>
    <w:p w14:paraId="57C850AF" w14:textId="77777777" w:rsidR="001506C1" w:rsidRPr="00FA3F9C" w:rsidRDefault="001506C1" w:rsidP="001506C1">
      <w:pPr>
        <w:pStyle w:val="ListParagraph"/>
        <w:numPr>
          <w:ilvl w:val="0"/>
          <w:numId w:val="89"/>
        </w:numPr>
        <w:spacing w:after="0" w:line="276" w:lineRule="auto"/>
        <w:rPr>
          <w:rFonts w:ascii="Arial" w:hAnsi="Arial" w:cs="Arial"/>
          <w:b/>
          <w:sz w:val="24"/>
          <w:szCs w:val="24"/>
        </w:rPr>
      </w:pPr>
      <w:r w:rsidRPr="00FA3F9C">
        <w:rPr>
          <w:rFonts w:ascii="Arial" w:hAnsi="Arial" w:cs="Arial"/>
          <w:sz w:val="24"/>
          <w:szCs w:val="24"/>
        </w:rPr>
        <w:t xml:space="preserve">in combination with </w:t>
      </w:r>
      <w:proofErr w:type="spellStart"/>
      <w:r w:rsidRPr="00FA3F9C">
        <w:rPr>
          <w:rFonts w:ascii="Arial" w:hAnsi="Arial" w:cs="Arial"/>
          <w:sz w:val="24"/>
          <w:szCs w:val="24"/>
        </w:rPr>
        <w:t>isatuximab</w:t>
      </w:r>
      <w:proofErr w:type="spellEnd"/>
      <w:r w:rsidRPr="00FA3F9C">
        <w:rPr>
          <w:rFonts w:ascii="Arial" w:hAnsi="Arial" w:cs="Arial"/>
          <w:sz w:val="24"/>
          <w:szCs w:val="24"/>
        </w:rPr>
        <w:t xml:space="preserve"> (</w:t>
      </w:r>
      <w:proofErr w:type="spellStart"/>
      <w:r w:rsidRPr="00FA3F9C">
        <w:rPr>
          <w:rFonts w:ascii="Arial" w:hAnsi="Arial" w:cs="Arial"/>
          <w:sz w:val="24"/>
          <w:szCs w:val="24"/>
        </w:rPr>
        <w:t>Sarclisa</w:t>
      </w:r>
      <w:proofErr w:type="spellEnd"/>
      <w:r w:rsidRPr="00FA3F9C">
        <w:rPr>
          <w:rFonts w:ascii="Arial" w:hAnsi="Arial" w:cs="Arial"/>
          <w:sz w:val="24"/>
          <w:szCs w:val="24"/>
        </w:rPr>
        <w:t>) and dexamethasone, for the treatment of adult patients with relapsed or refractory multiple myeloma who have received 1 to 3 prior lines of therapy</w:t>
      </w:r>
    </w:p>
    <w:p w14:paraId="3ACC3313" w14:textId="77777777" w:rsidR="001506C1" w:rsidRPr="00FA3F9C" w:rsidRDefault="001506C1" w:rsidP="001506C1">
      <w:pPr>
        <w:pStyle w:val="ListParagraph"/>
        <w:numPr>
          <w:ilvl w:val="1"/>
          <w:numId w:val="89"/>
        </w:numPr>
        <w:spacing w:after="0" w:line="276" w:lineRule="auto"/>
        <w:ind w:left="1080"/>
        <w:rPr>
          <w:rFonts w:ascii="Arial" w:hAnsi="Arial" w:cs="Arial"/>
          <w:b/>
          <w:sz w:val="24"/>
          <w:szCs w:val="24"/>
        </w:rPr>
      </w:pPr>
      <w:r w:rsidRPr="00FA3F9C">
        <w:rPr>
          <w:rFonts w:ascii="Arial" w:hAnsi="Arial" w:cs="Arial"/>
          <w:sz w:val="24"/>
          <w:szCs w:val="24"/>
        </w:rPr>
        <w:t>not covered: benefit is limited to progression free survival only compared to carfilzomib plus dexamethasone</w:t>
      </w:r>
    </w:p>
    <w:p w14:paraId="46D03027" w14:textId="77777777" w:rsidR="001506C1" w:rsidRPr="00FA3F9C" w:rsidRDefault="001506C1" w:rsidP="001506C1">
      <w:pPr>
        <w:pStyle w:val="ListParagraph"/>
        <w:numPr>
          <w:ilvl w:val="2"/>
          <w:numId w:val="89"/>
        </w:numPr>
        <w:spacing w:after="0" w:line="276" w:lineRule="auto"/>
        <w:ind w:left="1350" w:hanging="180"/>
        <w:rPr>
          <w:rFonts w:ascii="Arial" w:hAnsi="Arial" w:cs="Arial"/>
          <w:b/>
          <w:sz w:val="24"/>
          <w:szCs w:val="24"/>
        </w:rPr>
      </w:pPr>
      <w:r w:rsidRPr="00FA3F9C">
        <w:rPr>
          <w:rFonts w:ascii="Arial" w:hAnsi="Arial" w:cs="Arial"/>
          <w:sz w:val="24"/>
          <w:szCs w:val="24"/>
        </w:rPr>
        <w:t xml:space="preserve">Reference: Moreau P et al. </w:t>
      </w:r>
      <w:proofErr w:type="spellStart"/>
      <w:r w:rsidRPr="00FA3F9C">
        <w:rPr>
          <w:rFonts w:ascii="Arial" w:hAnsi="Arial" w:cs="Arial"/>
          <w:sz w:val="24"/>
          <w:szCs w:val="24"/>
        </w:rPr>
        <w:t>Isatuximab</w:t>
      </w:r>
      <w:proofErr w:type="spellEnd"/>
      <w:r w:rsidRPr="00FA3F9C">
        <w:rPr>
          <w:rFonts w:ascii="Arial" w:hAnsi="Arial" w:cs="Arial"/>
          <w:sz w:val="24"/>
          <w:szCs w:val="24"/>
        </w:rPr>
        <w:t xml:space="preserve">, carfilzomib, and dexamethasone in relapsed multiple myeloma (IKEMA): a </w:t>
      </w:r>
      <w:proofErr w:type="spellStart"/>
      <w:r w:rsidRPr="00FA3F9C">
        <w:rPr>
          <w:rFonts w:ascii="Arial" w:hAnsi="Arial" w:cs="Arial"/>
          <w:sz w:val="24"/>
          <w:szCs w:val="24"/>
        </w:rPr>
        <w:t>multicentre</w:t>
      </w:r>
      <w:proofErr w:type="spellEnd"/>
      <w:r w:rsidRPr="00FA3F9C">
        <w:rPr>
          <w:rFonts w:ascii="Arial" w:hAnsi="Arial" w:cs="Arial"/>
          <w:sz w:val="24"/>
          <w:szCs w:val="24"/>
        </w:rPr>
        <w:t xml:space="preserve">, open-label, </w:t>
      </w:r>
      <w:proofErr w:type="spellStart"/>
      <w:r w:rsidRPr="00FA3F9C">
        <w:rPr>
          <w:rFonts w:ascii="Arial" w:hAnsi="Arial" w:cs="Arial"/>
          <w:sz w:val="24"/>
          <w:szCs w:val="24"/>
        </w:rPr>
        <w:t>randomised</w:t>
      </w:r>
      <w:proofErr w:type="spellEnd"/>
      <w:r w:rsidRPr="00FA3F9C">
        <w:rPr>
          <w:rFonts w:ascii="Arial" w:hAnsi="Arial" w:cs="Arial"/>
          <w:sz w:val="24"/>
          <w:szCs w:val="24"/>
        </w:rPr>
        <w:t xml:space="preserve"> phase 3 trial. Lancet. 2021 Jun 4:S0140-6736(21)00592-4. </w:t>
      </w:r>
      <w:proofErr w:type="spellStart"/>
      <w:r w:rsidRPr="00FA3F9C">
        <w:rPr>
          <w:rFonts w:ascii="Arial" w:hAnsi="Arial" w:cs="Arial"/>
          <w:sz w:val="24"/>
          <w:szCs w:val="24"/>
        </w:rPr>
        <w:t>doi</w:t>
      </w:r>
      <w:proofErr w:type="spellEnd"/>
      <w:r w:rsidRPr="00FA3F9C">
        <w:rPr>
          <w:rFonts w:ascii="Arial" w:hAnsi="Arial" w:cs="Arial"/>
          <w:sz w:val="24"/>
          <w:szCs w:val="24"/>
        </w:rPr>
        <w:t xml:space="preserve">: 10.1016/S0140-6736(21)00592-4. </w:t>
      </w:r>
      <w:proofErr w:type="spellStart"/>
      <w:r w:rsidRPr="00FA3F9C">
        <w:rPr>
          <w:rFonts w:ascii="Arial" w:hAnsi="Arial" w:cs="Arial"/>
          <w:sz w:val="24"/>
          <w:szCs w:val="24"/>
        </w:rPr>
        <w:t>Epub</w:t>
      </w:r>
      <w:proofErr w:type="spellEnd"/>
      <w:r w:rsidRPr="00FA3F9C">
        <w:rPr>
          <w:rFonts w:ascii="Arial" w:hAnsi="Arial" w:cs="Arial"/>
          <w:sz w:val="24"/>
          <w:szCs w:val="24"/>
        </w:rPr>
        <w:t xml:space="preserve"> ahead of print. PMID: 34097854.</w:t>
      </w:r>
    </w:p>
    <w:p w14:paraId="3BD41040" w14:textId="77777777" w:rsidR="001506C1" w:rsidRPr="00FA3F9C" w:rsidRDefault="001506C1" w:rsidP="00613001">
      <w:pPr>
        <w:spacing w:after="0"/>
        <w:rPr>
          <w:rFonts w:ascii="Arial" w:hAnsi="Arial" w:cs="Arial"/>
          <w:sz w:val="24"/>
          <w:szCs w:val="24"/>
        </w:rPr>
      </w:pPr>
    </w:p>
    <w:tbl>
      <w:tblPr>
        <w:tblStyle w:val="TableGrid"/>
        <w:tblW w:w="0" w:type="auto"/>
        <w:tblLook w:val="04A0" w:firstRow="1" w:lastRow="0" w:firstColumn="1" w:lastColumn="0" w:noHBand="0" w:noVBand="1"/>
      </w:tblPr>
      <w:tblGrid>
        <w:gridCol w:w="8928"/>
        <w:gridCol w:w="2088"/>
      </w:tblGrid>
      <w:tr w:rsidR="001506C1" w:rsidRPr="00FA3F9C" w14:paraId="4DE33595" w14:textId="77777777" w:rsidTr="00571CAB">
        <w:tc>
          <w:tcPr>
            <w:tcW w:w="8928" w:type="dxa"/>
            <w:shd w:val="clear" w:color="auto" w:fill="000000"/>
          </w:tcPr>
          <w:p w14:paraId="5180370C" w14:textId="77777777" w:rsidR="001506C1" w:rsidRPr="00FA3F9C" w:rsidRDefault="001506C1"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88" w:type="dxa"/>
            <w:shd w:val="clear" w:color="auto" w:fill="000000"/>
          </w:tcPr>
          <w:p w14:paraId="3ECCB25B" w14:textId="77777777" w:rsidR="001506C1" w:rsidRPr="00FA3F9C" w:rsidRDefault="001506C1" w:rsidP="006F623F">
            <w:pPr>
              <w:jc w:val="center"/>
              <w:rPr>
                <w:rFonts w:ascii="Arial" w:hAnsi="Arial" w:cs="Arial"/>
                <w:b/>
                <w:sz w:val="24"/>
                <w:szCs w:val="24"/>
                <w:u w:val="single"/>
              </w:rPr>
            </w:pPr>
          </w:p>
        </w:tc>
      </w:tr>
      <w:tr w:rsidR="001506C1" w:rsidRPr="00FA3F9C" w14:paraId="2268F808" w14:textId="77777777" w:rsidTr="00613001">
        <w:tc>
          <w:tcPr>
            <w:tcW w:w="11016" w:type="dxa"/>
            <w:gridSpan w:val="2"/>
          </w:tcPr>
          <w:p w14:paraId="208B7DE2" w14:textId="77777777" w:rsidR="001506C1" w:rsidRPr="00FA3F9C" w:rsidRDefault="001506C1" w:rsidP="006F623F">
            <w:pPr>
              <w:rPr>
                <w:rFonts w:ascii="Arial" w:hAnsi="Arial" w:cs="Arial"/>
                <w:sz w:val="24"/>
                <w:szCs w:val="24"/>
              </w:rPr>
            </w:pPr>
            <w:r w:rsidRPr="00FA3F9C">
              <w:rPr>
                <w:rFonts w:ascii="Arial" w:hAnsi="Arial" w:cs="Arial"/>
                <w:sz w:val="24"/>
                <w:szCs w:val="24"/>
              </w:rPr>
              <w:t>1.  Must have a diagnosis of multiple myeloma that is relapsed or refractory</w:t>
            </w:r>
          </w:p>
        </w:tc>
      </w:tr>
      <w:tr w:rsidR="001506C1" w:rsidRPr="00FA3F9C" w14:paraId="0E527ECC" w14:textId="77777777" w:rsidTr="00613001">
        <w:tc>
          <w:tcPr>
            <w:tcW w:w="11016" w:type="dxa"/>
            <w:gridSpan w:val="2"/>
          </w:tcPr>
          <w:p w14:paraId="300015D6" w14:textId="77777777" w:rsidR="001506C1" w:rsidRPr="00FA3F9C" w:rsidRDefault="001506C1" w:rsidP="006F623F">
            <w:pPr>
              <w:rPr>
                <w:rFonts w:ascii="Arial" w:hAnsi="Arial" w:cs="Arial"/>
                <w:sz w:val="24"/>
                <w:szCs w:val="24"/>
              </w:rPr>
            </w:pPr>
            <w:r w:rsidRPr="00FA3F9C">
              <w:rPr>
                <w:rFonts w:ascii="Arial" w:hAnsi="Arial" w:cs="Arial"/>
                <w:sz w:val="24"/>
                <w:szCs w:val="24"/>
              </w:rPr>
              <w:t>2.  Must have received 1-3 prior lines of therapy</w:t>
            </w:r>
          </w:p>
        </w:tc>
      </w:tr>
      <w:tr w:rsidR="001506C1" w:rsidRPr="00FA3F9C" w14:paraId="0FFDD2FC" w14:textId="77777777" w:rsidTr="00613001">
        <w:tc>
          <w:tcPr>
            <w:tcW w:w="11016" w:type="dxa"/>
            <w:gridSpan w:val="2"/>
          </w:tcPr>
          <w:p w14:paraId="0DD7199A" w14:textId="77777777" w:rsidR="001506C1" w:rsidRPr="00FA3F9C" w:rsidRDefault="001506C1" w:rsidP="00EE7D3C">
            <w:pPr>
              <w:rPr>
                <w:rFonts w:ascii="Arial" w:hAnsi="Arial" w:cs="Arial"/>
                <w:sz w:val="24"/>
                <w:szCs w:val="24"/>
              </w:rPr>
            </w:pPr>
            <w:r w:rsidRPr="00FA3F9C">
              <w:rPr>
                <w:rFonts w:ascii="Arial" w:hAnsi="Arial" w:cs="Arial"/>
                <w:sz w:val="24"/>
                <w:szCs w:val="24"/>
              </w:rPr>
              <w:lastRenderedPageBreak/>
              <w:t xml:space="preserve">3.  Must be planning to receive carfilzomib in combination with dexamethasone </w:t>
            </w:r>
            <w:r w:rsidRPr="00FA3F9C">
              <w:rPr>
                <w:rFonts w:ascii="Arial" w:hAnsi="Arial" w:cs="Arial"/>
                <w:b/>
                <w:sz w:val="24"/>
                <w:szCs w:val="24"/>
                <w:u w:val="single"/>
              </w:rPr>
              <w:t>OR</w:t>
            </w:r>
            <w:r w:rsidRPr="00FA3F9C">
              <w:rPr>
                <w:rFonts w:ascii="Arial" w:hAnsi="Arial" w:cs="Arial"/>
                <w:sz w:val="24"/>
                <w:szCs w:val="24"/>
              </w:rPr>
              <w:t xml:space="preserve"> in combination with dexamethasone and lenalidomide</w:t>
            </w:r>
          </w:p>
        </w:tc>
      </w:tr>
      <w:tr w:rsidR="001506C1" w:rsidRPr="00FA3F9C" w14:paraId="19CE3B73" w14:textId="77777777" w:rsidTr="00613001">
        <w:tc>
          <w:tcPr>
            <w:tcW w:w="11016" w:type="dxa"/>
            <w:gridSpan w:val="2"/>
          </w:tcPr>
          <w:p w14:paraId="1793BD34" w14:textId="77777777" w:rsidR="001506C1" w:rsidRPr="00FA3F9C" w:rsidRDefault="001506C1" w:rsidP="00102689">
            <w:pPr>
              <w:rPr>
                <w:rFonts w:ascii="Arial" w:hAnsi="Arial" w:cs="Arial"/>
                <w:sz w:val="24"/>
                <w:szCs w:val="24"/>
              </w:rPr>
            </w:pPr>
            <w:r w:rsidRPr="00FA3F9C">
              <w:rPr>
                <w:rFonts w:ascii="Arial" w:hAnsi="Arial" w:cs="Arial"/>
                <w:sz w:val="24"/>
                <w:szCs w:val="24"/>
              </w:rPr>
              <w:t>4.  Must be ECOG Performance status 0-2 upon initial request for carfilzomib.</w:t>
            </w:r>
          </w:p>
        </w:tc>
      </w:tr>
      <w:tr w:rsidR="001506C1" w:rsidRPr="00FA3F9C" w14:paraId="729AB660" w14:textId="77777777" w:rsidTr="00613001">
        <w:tc>
          <w:tcPr>
            <w:tcW w:w="11016" w:type="dxa"/>
            <w:gridSpan w:val="2"/>
          </w:tcPr>
          <w:p w14:paraId="17CB702A" w14:textId="77777777" w:rsidR="001506C1" w:rsidRPr="00FA3F9C" w:rsidRDefault="001506C1" w:rsidP="00102689">
            <w:pPr>
              <w:rPr>
                <w:rFonts w:ascii="Arial" w:hAnsi="Arial" w:cs="Arial"/>
                <w:sz w:val="24"/>
                <w:szCs w:val="24"/>
              </w:rPr>
            </w:pPr>
            <w:r w:rsidRPr="00FA3F9C">
              <w:rPr>
                <w:rFonts w:ascii="Arial" w:hAnsi="Arial" w:cs="Arial"/>
                <w:sz w:val="24"/>
                <w:szCs w:val="24"/>
              </w:rPr>
              <w:t>If all above criteria met, approve for 6 months</w:t>
            </w:r>
          </w:p>
        </w:tc>
      </w:tr>
    </w:tbl>
    <w:p w14:paraId="345366C7" w14:textId="77777777" w:rsidR="001506C1" w:rsidRPr="00FA3F9C" w:rsidRDefault="001506C1" w:rsidP="006F623F">
      <w:pPr>
        <w:spacing w:after="0"/>
        <w:rPr>
          <w:rFonts w:ascii="Arial" w:hAnsi="Arial" w:cs="Arial"/>
          <w:b/>
          <w:sz w:val="24"/>
          <w:szCs w:val="24"/>
          <w:u w:val="single"/>
        </w:rPr>
      </w:pPr>
    </w:p>
    <w:tbl>
      <w:tblPr>
        <w:tblStyle w:val="TableGrid"/>
        <w:tblW w:w="0" w:type="auto"/>
        <w:shd w:val="clear" w:color="auto" w:fill="BFBFBF" w:themeFill="background1" w:themeFillShade="BF"/>
        <w:tblLook w:val="04A0" w:firstRow="1" w:lastRow="0" w:firstColumn="1" w:lastColumn="0" w:noHBand="0" w:noVBand="1"/>
      </w:tblPr>
      <w:tblGrid>
        <w:gridCol w:w="10998"/>
      </w:tblGrid>
      <w:tr w:rsidR="001506C1" w:rsidRPr="00FA3F9C" w14:paraId="560BA027" w14:textId="77777777" w:rsidTr="00D82B6E">
        <w:tc>
          <w:tcPr>
            <w:tcW w:w="10998" w:type="dxa"/>
            <w:shd w:val="clear" w:color="auto" w:fill="BFBFBF" w:themeFill="background1" w:themeFillShade="BF"/>
          </w:tcPr>
          <w:p w14:paraId="7E9ABB54" w14:textId="77777777" w:rsidR="001506C1" w:rsidRPr="00FA3F9C" w:rsidRDefault="001506C1" w:rsidP="00D82B6E">
            <w:pPr>
              <w:rPr>
                <w:rFonts w:ascii="Arial" w:hAnsi="Arial" w:cs="Arial"/>
                <w:sz w:val="24"/>
                <w:szCs w:val="24"/>
              </w:rPr>
            </w:pPr>
            <w:r w:rsidRPr="00FA3F9C">
              <w:rPr>
                <w:rFonts w:ascii="Arial" w:hAnsi="Arial" w:cs="Arial"/>
                <w:sz w:val="24"/>
                <w:szCs w:val="24"/>
              </w:rPr>
              <w:t xml:space="preserve">Note: </w:t>
            </w:r>
          </w:p>
          <w:p w14:paraId="111179F5" w14:textId="77777777" w:rsidR="001506C1" w:rsidRPr="00FA3F9C" w:rsidRDefault="001506C1" w:rsidP="001506C1">
            <w:pPr>
              <w:pStyle w:val="ListParagraph"/>
              <w:numPr>
                <w:ilvl w:val="0"/>
                <w:numId w:val="87"/>
              </w:numPr>
              <w:rPr>
                <w:rFonts w:ascii="Arial" w:hAnsi="Arial" w:cs="Arial"/>
                <w:sz w:val="24"/>
                <w:szCs w:val="24"/>
              </w:rPr>
            </w:pPr>
            <w:r w:rsidRPr="00FA3F9C">
              <w:rPr>
                <w:rFonts w:ascii="Arial" w:hAnsi="Arial" w:cs="Arial"/>
                <w:sz w:val="24"/>
                <w:szCs w:val="24"/>
              </w:rPr>
              <w:t>Therapy continues until progression or unacceptable toxicity.</w:t>
            </w:r>
          </w:p>
          <w:p w14:paraId="668069F8" w14:textId="77777777" w:rsidR="001506C1" w:rsidRPr="00FA3F9C" w:rsidRDefault="001506C1" w:rsidP="001506C1">
            <w:pPr>
              <w:pStyle w:val="ListParagraph"/>
              <w:numPr>
                <w:ilvl w:val="0"/>
                <w:numId w:val="87"/>
              </w:numPr>
              <w:rPr>
                <w:rFonts w:ascii="Arial" w:hAnsi="Arial" w:cs="Arial"/>
                <w:sz w:val="24"/>
                <w:szCs w:val="24"/>
              </w:rPr>
            </w:pPr>
            <w:r w:rsidRPr="00FA3F9C">
              <w:rPr>
                <w:rFonts w:ascii="Arial" w:hAnsi="Arial" w:cs="Arial"/>
                <w:sz w:val="24"/>
                <w:szCs w:val="24"/>
              </w:rPr>
              <w:t>Monotherapy is not approved. Monotherapy with carfilzomib was no better than steroid alone in a heavily pretreated population.</w:t>
            </w:r>
            <w:r w:rsidRPr="00FA3F9C">
              <w:rPr>
                <w:rFonts w:ascii="Arial" w:hAnsi="Arial" w:cs="Arial"/>
                <w:sz w:val="24"/>
                <w:szCs w:val="24"/>
                <w:vertAlign w:val="superscript"/>
              </w:rPr>
              <w:t>1</w:t>
            </w:r>
          </w:p>
          <w:p w14:paraId="676E313F" w14:textId="77777777" w:rsidR="001506C1" w:rsidRPr="00FA3F9C" w:rsidRDefault="001506C1" w:rsidP="001506C1">
            <w:pPr>
              <w:pStyle w:val="ListParagraph"/>
              <w:widowControl w:val="0"/>
              <w:numPr>
                <w:ilvl w:val="0"/>
                <w:numId w:val="87"/>
              </w:numPr>
              <w:autoSpaceDE w:val="0"/>
              <w:autoSpaceDN w:val="0"/>
              <w:adjustRightInd w:val="0"/>
              <w:rPr>
                <w:rFonts w:ascii="Arial" w:hAnsi="Arial" w:cs="Arial"/>
                <w:sz w:val="24"/>
                <w:szCs w:val="24"/>
              </w:rPr>
            </w:pPr>
            <w:r w:rsidRPr="00FA3F9C">
              <w:rPr>
                <w:rFonts w:ascii="Arial" w:hAnsi="Arial" w:cs="Arial"/>
                <w:sz w:val="24"/>
                <w:szCs w:val="24"/>
              </w:rPr>
              <w:t xml:space="preserve">Carfilzomib/lenalidomide/dexamethasone improved OS compared with lenalidomide/dexamethasone (median 48 </w:t>
            </w:r>
            <w:proofErr w:type="spellStart"/>
            <w:r w:rsidRPr="00FA3F9C">
              <w:rPr>
                <w:rFonts w:ascii="Arial" w:hAnsi="Arial" w:cs="Arial"/>
                <w:sz w:val="24"/>
                <w:szCs w:val="24"/>
              </w:rPr>
              <w:t>mo</w:t>
            </w:r>
            <w:proofErr w:type="spellEnd"/>
            <w:r w:rsidRPr="00FA3F9C">
              <w:rPr>
                <w:rFonts w:ascii="Arial" w:hAnsi="Arial" w:cs="Arial"/>
                <w:sz w:val="24"/>
                <w:szCs w:val="24"/>
              </w:rPr>
              <w:t xml:space="preserve"> vs 40 </w:t>
            </w:r>
            <w:proofErr w:type="spellStart"/>
            <w:r w:rsidRPr="00FA3F9C">
              <w:rPr>
                <w:rFonts w:ascii="Arial" w:hAnsi="Arial" w:cs="Arial"/>
                <w:sz w:val="24"/>
                <w:szCs w:val="24"/>
              </w:rPr>
              <w:t>mo</w:t>
            </w:r>
            <w:proofErr w:type="spellEnd"/>
            <w:r w:rsidRPr="00FA3F9C">
              <w:rPr>
                <w:rFonts w:ascii="Arial" w:hAnsi="Arial" w:cs="Arial"/>
                <w:sz w:val="24"/>
                <w:szCs w:val="24"/>
              </w:rPr>
              <w:t>).  20% of subjects received previous lenalidomide.</w:t>
            </w:r>
            <w:r w:rsidRPr="00FA3F9C">
              <w:rPr>
                <w:rFonts w:ascii="Arial" w:hAnsi="Arial" w:cs="Arial"/>
                <w:sz w:val="24"/>
                <w:szCs w:val="24"/>
                <w:vertAlign w:val="superscript"/>
              </w:rPr>
              <w:t>2</w:t>
            </w:r>
          </w:p>
          <w:p w14:paraId="09643C25" w14:textId="77777777" w:rsidR="001506C1" w:rsidRPr="00FA3F9C" w:rsidRDefault="001506C1" w:rsidP="001506C1">
            <w:pPr>
              <w:pStyle w:val="ListParagraph"/>
              <w:widowControl w:val="0"/>
              <w:numPr>
                <w:ilvl w:val="0"/>
                <w:numId w:val="87"/>
              </w:numPr>
              <w:autoSpaceDE w:val="0"/>
              <w:autoSpaceDN w:val="0"/>
              <w:adjustRightInd w:val="0"/>
              <w:rPr>
                <w:rFonts w:ascii="Arial" w:hAnsi="Arial" w:cs="Arial"/>
                <w:sz w:val="24"/>
                <w:szCs w:val="24"/>
              </w:rPr>
            </w:pPr>
            <w:r w:rsidRPr="00FA3F9C">
              <w:rPr>
                <w:rFonts w:ascii="Arial" w:hAnsi="Arial" w:cs="Arial"/>
                <w:sz w:val="24"/>
                <w:szCs w:val="24"/>
              </w:rPr>
              <w:t xml:space="preserve">Carfilzomib/dexamethasone improved OS compared to bortezomib/dexamethasone (median 48 </w:t>
            </w:r>
            <w:proofErr w:type="spellStart"/>
            <w:r w:rsidRPr="00FA3F9C">
              <w:rPr>
                <w:rFonts w:ascii="Arial" w:hAnsi="Arial" w:cs="Arial"/>
                <w:sz w:val="24"/>
                <w:szCs w:val="24"/>
              </w:rPr>
              <w:t>mo</w:t>
            </w:r>
            <w:proofErr w:type="spellEnd"/>
            <w:r w:rsidRPr="00FA3F9C">
              <w:rPr>
                <w:rFonts w:ascii="Arial" w:hAnsi="Arial" w:cs="Arial"/>
                <w:sz w:val="24"/>
                <w:szCs w:val="24"/>
              </w:rPr>
              <w:t xml:space="preserve"> vs 40 </w:t>
            </w:r>
            <w:proofErr w:type="spellStart"/>
            <w:r w:rsidRPr="00FA3F9C">
              <w:rPr>
                <w:rFonts w:ascii="Arial" w:hAnsi="Arial" w:cs="Arial"/>
                <w:sz w:val="24"/>
                <w:szCs w:val="24"/>
              </w:rPr>
              <w:t>mo</w:t>
            </w:r>
            <w:proofErr w:type="spellEnd"/>
            <w:r w:rsidRPr="00FA3F9C">
              <w:rPr>
                <w:rFonts w:ascii="Arial" w:hAnsi="Arial" w:cs="Arial"/>
                <w:sz w:val="24"/>
                <w:szCs w:val="24"/>
              </w:rPr>
              <w:t>) with less grade 3/4 neuropathy (1% vs 6%), but overall grade 3/4 and serious adverse events were higher in carfilzomib group (81% vs 71% and 59% vs 40%, respectively).</w:t>
            </w:r>
            <w:r w:rsidRPr="00FA3F9C">
              <w:rPr>
                <w:rFonts w:ascii="Arial" w:hAnsi="Arial" w:cs="Arial"/>
                <w:sz w:val="24"/>
                <w:szCs w:val="24"/>
                <w:vertAlign w:val="superscript"/>
              </w:rPr>
              <w:t>3</w:t>
            </w:r>
          </w:p>
          <w:p w14:paraId="65640D63" w14:textId="77777777" w:rsidR="001506C1" w:rsidRPr="00FA3F9C" w:rsidRDefault="001506C1" w:rsidP="00F31BDE">
            <w:pPr>
              <w:widowControl w:val="0"/>
              <w:autoSpaceDE w:val="0"/>
              <w:autoSpaceDN w:val="0"/>
              <w:adjustRightInd w:val="0"/>
              <w:rPr>
                <w:rFonts w:ascii="Arial" w:hAnsi="Arial" w:cs="Arial"/>
                <w:sz w:val="24"/>
                <w:szCs w:val="24"/>
              </w:rPr>
            </w:pPr>
          </w:p>
          <w:tbl>
            <w:tblPr>
              <w:tblStyle w:val="TableGrid"/>
              <w:tblW w:w="0" w:type="auto"/>
              <w:tblLook w:val="04A0" w:firstRow="1" w:lastRow="0" w:firstColumn="1" w:lastColumn="0" w:noHBand="0" w:noVBand="1"/>
            </w:tblPr>
            <w:tblGrid>
              <w:gridCol w:w="3116"/>
              <w:gridCol w:w="2639"/>
              <w:gridCol w:w="1440"/>
            </w:tblGrid>
            <w:tr w:rsidR="001506C1" w:rsidRPr="00FA3F9C" w14:paraId="5D0188BB" w14:textId="77777777" w:rsidTr="007D6794">
              <w:tc>
                <w:tcPr>
                  <w:tcW w:w="3116" w:type="dxa"/>
                </w:tcPr>
                <w:p w14:paraId="4A6286C6" w14:textId="77777777" w:rsidR="001506C1" w:rsidRPr="00FA3F9C" w:rsidRDefault="001506C1" w:rsidP="00D51D21">
                  <w:pPr>
                    <w:rPr>
                      <w:rFonts w:ascii="Arial" w:hAnsi="Arial" w:cs="Arial"/>
                      <w:sz w:val="24"/>
                      <w:szCs w:val="24"/>
                    </w:rPr>
                  </w:pPr>
                  <w:r w:rsidRPr="00FA3F9C">
                    <w:rPr>
                      <w:rFonts w:ascii="Arial" w:hAnsi="Arial" w:cs="Arial"/>
                      <w:sz w:val="24"/>
                      <w:szCs w:val="24"/>
                    </w:rPr>
                    <w:t>Regimen</w:t>
                  </w:r>
                </w:p>
              </w:tc>
              <w:tc>
                <w:tcPr>
                  <w:tcW w:w="2639" w:type="dxa"/>
                </w:tcPr>
                <w:p w14:paraId="40D944C7" w14:textId="77777777" w:rsidR="001506C1" w:rsidRPr="00FA3F9C" w:rsidRDefault="001506C1" w:rsidP="00D51D21">
                  <w:pPr>
                    <w:rPr>
                      <w:rFonts w:ascii="Arial" w:hAnsi="Arial" w:cs="Arial"/>
                      <w:sz w:val="24"/>
                      <w:szCs w:val="24"/>
                    </w:rPr>
                  </w:pPr>
                  <w:r w:rsidRPr="00FA3F9C">
                    <w:rPr>
                      <w:rFonts w:ascii="Arial" w:hAnsi="Arial" w:cs="Arial"/>
                      <w:sz w:val="24"/>
                      <w:szCs w:val="24"/>
                    </w:rPr>
                    <w:t>Dose</w:t>
                  </w:r>
                </w:p>
              </w:tc>
              <w:tc>
                <w:tcPr>
                  <w:tcW w:w="1440" w:type="dxa"/>
                </w:tcPr>
                <w:p w14:paraId="6A3060E1" w14:textId="77777777" w:rsidR="001506C1" w:rsidRPr="00FA3F9C" w:rsidRDefault="001506C1" w:rsidP="00D51D21">
                  <w:pPr>
                    <w:rPr>
                      <w:rFonts w:ascii="Arial" w:hAnsi="Arial" w:cs="Arial"/>
                      <w:sz w:val="24"/>
                      <w:szCs w:val="24"/>
                    </w:rPr>
                  </w:pPr>
                  <w:r w:rsidRPr="00FA3F9C">
                    <w:rPr>
                      <w:rFonts w:ascii="Arial" w:hAnsi="Arial" w:cs="Arial"/>
                      <w:sz w:val="24"/>
                      <w:szCs w:val="24"/>
                    </w:rPr>
                    <w:t>Infusion time</w:t>
                  </w:r>
                </w:p>
              </w:tc>
            </w:tr>
            <w:tr w:rsidR="001506C1" w:rsidRPr="00FA3F9C" w14:paraId="7FD8898B" w14:textId="77777777" w:rsidTr="007D6794">
              <w:tc>
                <w:tcPr>
                  <w:tcW w:w="3116" w:type="dxa"/>
                </w:tcPr>
                <w:p w14:paraId="1EE7447A" w14:textId="77777777" w:rsidR="001506C1" w:rsidRPr="00FA3F9C" w:rsidRDefault="001506C1" w:rsidP="00D51D21">
                  <w:pPr>
                    <w:rPr>
                      <w:rFonts w:ascii="Arial" w:hAnsi="Arial" w:cs="Arial"/>
                      <w:sz w:val="24"/>
                      <w:szCs w:val="24"/>
                    </w:rPr>
                  </w:pPr>
                  <w:r w:rsidRPr="00FA3F9C">
                    <w:rPr>
                      <w:rFonts w:ascii="Arial" w:hAnsi="Arial" w:cs="Arial"/>
                      <w:sz w:val="24"/>
                      <w:szCs w:val="24"/>
                    </w:rPr>
                    <w:t>Carfilzomib + dexamethasone</w:t>
                  </w:r>
                </w:p>
              </w:tc>
              <w:tc>
                <w:tcPr>
                  <w:tcW w:w="2639" w:type="dxa"/>
                </w:tcPr>
                <w:p w14:paraId="293ACE4B" w14:textId="77777777" w:rsidR="001506C1" w:rsidRPr="00FA3F9C" w:rsidRDefault="001506C1" w:rsidP="00D51D21">
                  <w:pPr>
                    <w:rPr>
                      <w:rFonts w:ascii="Arial" w:hAnsi="Arial" w:cs="Arial"/>
                      <w:sz w:val="24"/>
                      <w:szCs w:val="24"/>
                    </w:rPr>
                  </w:pPr>
                  <w:r w:rsidRPr="00FA3F9C">
                    <w:rPr>
                      <w:rFonts w:ascii="Arial" w:hAnsi="Arial" w:cs="Arial"/>
                      <w:sz w:val="24"/>
                      <w:szCs w:val="24"/>
                    </w:rPr>
                    <w:t>20/70 mg/m2 once weekly</w:t>
                  </w:r>
                </w:p>
              </w:tc>
              <w:tc>
                <w:tcPr>
                  <w:tcW w:w="1440" w:type="dxa"/>
                </w:tcPr>
                <w:p w14:paraId="5008E225" w14:textId="77777777" w:rsidR="001506C1" w:rsidRPr="00FA3F9C" w:rsidRDefault="001506C1" w:rsidP="00D51D21">
                  <w:pPr>
                    <w:rPr>
                      <w:rFonts w:ascii="Arial" w:hAnsi="Arial" w:cs="Arial"/>
                      <w:sz w:val="24"/>
                      <w:szCs w:val="24"/>
                    </w:rPr>
                  </w:pPr>
                  <w:r w:rsidRPr="00FA3F9C">
                    <w:rPr>
                      <w:rFonts w:ascii="Arial" w:hAnsi="Arial" w:cs="Arial"/>
                      <w:sz w:val="24"/>
                      <w:szCs w:val="24"/>
                    </w:rPr>
                    <w:t>30 minutes</w:t>
                  </w:r>
                </w:p>
              </w:tc>
            </w:tr>
            <w:tr w:rsidR="001506C1" w:rsidRPr="00FA3F9C" w14:paraId="62A3DC12" w14:textId="77777777" w:rsidTr="007D6794">
              <w:tc>
                <w:tcPr>
                  <w:tcW w:w="3116" w:type="dxa"/>
                </w:tcPr>
                <w:p w14:paraId="31218D1D" w14:textId="77777777" w:rsidR="001506C1" w:rsidRPr="00FA3F9C" w:rsidRDefault="001506C1" w:rsidP="00D51D21">
                  <w:pPr>
                    <w:rPr>
                      <w:rFonts w:ascii="Arial" w:hAnsi="Arial" w:cs="Arial"/>
                      <w:sz w:val="24"/>
                      <w:szCs w:val="24"/>
                    </w:rPr>
                  </w:pPr>
                  <w:r w:rsidRPr="00FA3F9C">
                    <w:rPr>
                      <w:rFonts w:ascii="Arial" w:hAnsi="Arial" w:cs="Arial"/>
                      <w:sz w:val="24"/>
                      <w:szCs w:val="24"/>
                    </w:rPr>
                    <w:t>Carfilzomib + dexamethasone, or monotherapy</w:t>
                  </w:r>
                </w:p>
              </w:tc>
              <w:tc>
                <w:tcPr>
                  <w:tcW w:w="2639" w:type="dxa"/>
                </w:tcPr>
                <w:p w14:paraId="6F2F4F80" w14:textId="77777777" w:rsidR="001506C1" w:rsidRPr="00FA3F9C" w:rsidRDefault="001506C1" w:rsidP="00D51D21">
                  <w:pPr>
                    <w:rPr>
                      <w:rFonts w:ascii="Arial" w:hAnsi="Arial" w:cs="Arial"/>
                      <w:sz w:val="24"/>
                      <w:szCs w:val="24"/>
                    </w:rPr>
                  </w:pPr>
                  <w:r w:rsidRPr="00FA3F9C">
                    <w:rPr>
                      <w:rFonts w:ascii="Arial" w:hAnsi="Arial" w:cs="Arial"/>
                      <w:sz w:val="24"/>
                      <w:szCs w:val="24"/>
                    </w:rPr>
                    <w:t>20/56 mg/m2 twice weekly</w:t>
                  </w:r>
                </w:p>
              </w:tc>
              <w:tc>
                <w:tcPr>
                  <w:tcW w:w="1440" w:type="dxa"/>
                </w:tcPr>
                <w:p w14:paraId="0509C3A9" w14:textId="77777777" w:rsidR="001506C1" w:rsidRPr="00FA3F9C" w:rsidRDefault="001506C1" w:rsidP="00D51D21">
                  <w:pPr>
                    <w:rPr>
                      <w:rFonts w:ascii="Arial" w:hAnsi="Arial" w:cs="Arial"/>
                      <w:sz w:val="24"/>
                      <w:szCs w:val="24"/>
                    </w:rPr>
                  </w:pPr>
                  <w:r w:rsidRPr="00FA3F9C">
                    <w:rPr>
                      <w:rFonts w:ascii="Arial" w:hAnsi="Arial" w:cs="Arial"/>
                      <w:sz w:val="24"/>
                      <w:szCs w:val="24"/>
                    </w:rPr>
                    <w:t>30 minutes</w:t>
                  </w:r>
                </w:p>
              </w:tc>
            </w:tr>
            <w:tr w:rsidR="001506C1" w:rsidRPr="00FA3F9C" w14:paraId="0AACF9E7" w14:textId="77777777" w:rsidTr="007D6794">
              <w:tc>
                <w:tcPr>
                  <w:tcW w:w="3116" w:type="dxa"/>
                </w:tcPr>
                <w:p w14:paraId="433E88CA" w14:textId="77777777" w:rsidR="001506C1" w:rsidRPr="00FA3F9C" w:rsidRDefault="001506C1" w:rsidP="00D51D21">
                  <w:pPr>
                    <w:rPr>
                      <w:rFonts w:ascii="Arial" w:hAnsi="Arial" w:cs="Arial"/>
                      <w:sz w:val="24"/>
                      <w:szCs w:val="24"/>
                    </w:rPr>
                  </w:pPr>
                  <w:r w:rsidRPr="00FA3F9C">
                    <w:rPr>
                      <w:rFonts w:ascii="Arial" w:hAnsi="Arial" w:cs="Arial"/>
                      <w:sz w:val="24"/>
                      <w:szCs w:val="24"/>
                    </w:rPr>
                    <w:t xml:space="preserve">Carfilzomib, Lenalidomide, and dexamethasone, or monotherapy </w:t>
                  </w:r>
                </w:p>
              </w:tc>
              <w:tc>
                <w:tcPr>
                  <w:tcW w:w="2639" w:type="dxa"/>
                </w:tcPr>
                <w:p w14:paraId="51127696" w14:textId="77777777" w:rsidR="001506C1" w:rsidRPr="00FA3F9C" w:rsidRDefault="001506C1" w:rsidP="00D51D21">
                  <w:pPr>
                    <w:rPr>
                      <w:rFonts w:ascii="Arial" w:hAnsi="Arial" w:cs="Arial"/>
                      <w:sz w:val="24"/>
                      <w:szCs w:val="24"/>
                    </w:rPr>
                  </w:pPr>
                  <w:r w:rsidRPr="00FA3F9C">
                    <w:rPr>
                      <w:rFonts w:ascii="Arial" w:hAnsi="Arial" w:cs="Arial"/>
                      <w:sz w:val="24"/>
                      <w:szCs w:val="24"/>
                    </w:rPr>
                    <w:t>20/27 mg/m2 twice weekly</w:t>
                  </w:r>
                </w:p>
              </w:tc>
              <w:tc>
                <w:tcPr>
                  <w:tcW w:w="1440" w:type="dxa"/>
                </w:tcPr>
                <w:p w14:paraId="4C5C4417" w14:textId="77777777" w:rsidR="001506C1" w:rsidRPr="00FA3F9C" w:rsidRDefault="001506C1" w:rsidP="00D51D21">
                  <w:pPr>
                    <w:rPr>
                      <w:rFonts w:ascii="Arial" w:hAnsi="Arial" w:cs="Arial"/>
                      <w:sz w:val="24"/>
                      <w:szCs w:val="24"/>
                    </w:rPr>
                  </w:pPr>
                  <w:r w:rsidRPr="00FA3F9C">
                    <w:rPr>
                      <w:rFonts w:ascii="Arial" w:hAnsi="Arial" w:cs="Arial"/>
                      <w:sz w:val="24"/>
                      <w:szCs w:val="24"/>
                    </w:rPr>
                    <w:t>10 minutes</w:t>
                  </w:r>
                </w:p>
              </w:tc>
            </w:tr>
          </w:tbl>
          <w:p w14:paraId="28FBDAB3" w14:textId="77777777" w:rsidR="001506C1" w:rsidRPr="00FA3F9C" w:rsidRDefault="001506C1" w:rsidP="00F31BDE">
            <w:pPr>
              <w:widowControl w:val="0"/>
              <w:autoSpaceDE w:val="0"/>
              <w:autoSpaceDN w:val="0"/>
              <w:adjustRightInd w:val="0"/>
              <w:rPr>
                <w:rFonts w:ascii="Arial" w:hAnsi="Arial" w:cs="Arial"/>
                <w:sz w:val="24"/>
                <w:szCs w:val="24"/>
              </w:rPr>
            </w:pPr>
          </w:p>
          <w:p w14:paraId="6101DF50" w14:textId="77777777" w:rsidR="001506C1" w:rsidRPr="00FA3F9C" w:rsidRDefault="001506C1" w:rsidP="00F31BDE">
            <w:pPr>
              <w:widowControl w:val="0"/>
              <w:autoSpaceDE w:val="0"/>
              <w:autoSpaceDN w:val="0"/>
              <w:adjustRightInd w:val="0"/>
              <w:rPr>
                <w:rFonts w:ascii="Arial" w:hAnsi="Arial" w:cs="Arial"/>
                <w:sz w:val="24"/>
                <w:szCs w:val="24"/>
              </w:rPr>
            </w:pPr>
            <w:r w:rsidRPr="00FA3F9C">
              <w:rPr>
                <w:rFonts w:ascii="Arial" w:hAnsi="Arial" w:cs="Arial"/>
                <w:sz w:val="24"/>
                <w:szCs w:val="24"/>
              </w:rPr>
              <w:t>References:</w:t>
            </w:r>
          </w:p>
          <w:p w14:paraId="1FE0FB8C" w14:textId="77777777" w:rsidR="001506C1" w:rsidRPr="00FA3F9C" w:rsidRDefault="001506C1" w:rsidP="001506C1">
            <w:pPr>
              <w:pStyle w:val="ListParagraph"/>
              <w:widowControl w:val="0"/>
              <w:numPr>
                <w:ilvl w:val="0"/>
                <w:numId w:val="88"/>
              </w:numPr>
              <w:autoSpaceDE w:val="0"/>
              <w:autoSpaceDN w:val="0"/>
              <w:adjustRightInd w:val="0"/>
              <w:ind w:left="180" w:hanging="180"/>
              <w:rPr>
                <w:rFonts w:ascii="Arial" w:hAnsi="Arial" w:cs="Arial"/>
                <w:sz w:val="24"/>
                <w:szCs w:val="24"/>
              </w:rPr>
            </w:pPr>
            <w:proofErr w:type="spellStart"/>
            <w:r w:rsidRPr="00FA3F9C">
              <w:rPr>
                <w:rFonts w:ascii="Arial" w:hAnsi="Arial" w:cs="Arial"/>
                <w:sz w:val="24"/>
                <w:szCs w:val="24"/>
              </w:rPr>
              <w:t>Hájek</w:t>
            </w:r>
            <w:proofErr w:type="spellEnd"/>
            <w:r w:rsidRPr="00FA3F9C">
              <w:rPr>
                <w:rFonts w:ascii="Arial" w:hAnsi="Arial" w:cs="Arial"/>
                <w:sz w:val="24"/>
                <w:szCs w:val="24"/>
              </w:rPr>
              <w:t xml:space="preserve"> R et al. A randomized phase III study of carfilzomib vs low-dose corticosteroids with optional cyclophosphamide in relapsed and refractory multiple myeloma (FOCUS). Leukemia. 2017 Jan;31(1):107-114. PMID 27416912 NCT01302392</w:t>
            </w:r>
          </w:p>
          <w:p w14:paraId="151EEA87" w14:textId="77777777" w:rsidR="001506C1" w:rsidRPr="00FA3F9C" w:rsidRDefault="001506C1" w:rsidP="001506C1">
            <w:pPr>
              <w:pStyle w:val="ListParagraph"/>
              <w:widowControl w:val="0"/>
              <w:numPr>
                <w:ilvl w:val="0"/>
                <w:numId w:val="88"/>
              </w:numPr>
              <w:autoSpaceDE w:val="0"/>
              <w:autoSpaceDN w:val="0"/>
              <w:adjustRightInd w:val="0"/>
              <w:ind w:left="180" w:hanging="180"/>
              <w:rPr>
                <w:rFonts w:ascii="Arial" w:hAnsi="Arial" w:cs="Arial"/>
                <w:sz w:val="24"/>
                <w:szCs w:val="24"/>
              </w:rPr>
            </w:pPr>
            <w:r w:rsidRPr="00FA3F9C">
              <w:rPr>
                <w:rFonts w:ascii="Arial" w:hAnsi="Arial" w:cs="Arial"/>
                <w:sz w:val="24"/>
                <w:szCs w:val="24"/>
              </w:rPr>
              <w:t xml:space="preserve">Siegel DS et al. Improvement in Overall Survival </w:t>
            </w:r>
            <w:proofErr w:type="gramStart"/>
            <w:r w:rsidRPr="00FA3F9C">
              <w:rPr>
                <w:rFonts w:ascii="Arial" w:hAnsi="Arial" w:cs="Arial"/>
                <w:sz w:val="24"/>
                <w:szCs w:val="24"/>
              </w:rPr>
              <w:t>With</w:t>
            </w:r>
            <w:proofErr w:type="gramEnd"/>
            <w:r w:rsidRPr="00FA3F9C">
              <w:rPr>
                <w:rFonts w:ascii="Arial" w:hAnsi="Arial" w:cs="Arial"/>
                <w:sz w:val="24"/>
                <w:szCs w:val="24"/>
              </w:rPr>
              <w:t xml:space="preserve"> Carfilzomib, Lenalidomide, and Dexamethasone in Patients With Relapsed or Refractory Multiple Myeloma. J Clin Oncol. 2018 Mar </w:t>
            </w:r>
            <w:r w:rsidRPr="00FA3F9C">
              <w:rPr>
                <w:rFonts w:ascii="Arial" w:hAnsi="Arial" w:cs="Arial"/>
                <w:sz w:val="24"/>
                <w:szCs w:val="24"/>
              </w:rPr>
              <w:lastRenderedPageBreak/>
              <w:t>10;36(8):728-734. PMID 29341834 NCT01080391</w:t>
            </w:r>
          </w:p>
          <w:p w14:paraId="5E17E727" w14:textId="77777777" w:rsidR="001506C1" w:rsidRPr="00FA3F9C" w:rsidRDefault="001506C1" w:rsidP="001506C1">
            <w:pPr>
              <w:pStyle w:val="ListParagraph"/>
              <w:widowControl w:val="0"/>
              <w:numPr>
                <w:ilvl w:val="0"/>
                <w:numId w:val="88"/>
              </w:numPr>
              <w:autoSpaceDE w:val="0"/>
              <w:autoSpaceDN w:val="0"/>
              <w:adjustRightInd w:val="0"/>
              <w:ind w:left="180" w:hanging="180"/>
              <w:rPr>
                <w:rFonts w:ascii="Arial" w:hAnsi="Arial" w:cs="Arial"/>
                <w:sz w:val="24"/>
                <w:szCs w:val="24"/>
              </w:rPr>
            </w:pPr>
            <w:proofErr w:type="spellStart"/>
            <w:r w:rsidRPr="00FA3F9C">
              <w:rPr>
                <w:rFonts w:ascii="Arial" w:hAnsi="Arial" w:cs="Arial"/>
                <w:sz w:val="24"/>
                <w:szCs w:val="24"/>
              </w:rPr>
              <w:t>Dimopoulos</w:t>
            </w:r>
            <w:proofErr w:type="spellEnd"/>
            <w:r w:rsidRPr="00FA3F9C">
              <w:rPr>
                <w:rFonts w:ascii="Arial" w:hAnsi="Arial" w:cs="Arial"/>
                <w:sz w:val="24"/>
                <w:szCs w:val="24"/>
              </w:rPr>
              <w:t xml:space="preserve"> MA et al. Carfilzomib or bortezomib in relapsed or refractory multiple myeloma (ENDEAVOR): an interim overall survival analysis of an </w:t>
            </w:r>
            <w:proofErr w:type="gramStart"/>
            <w:r w:rsidRPr="00FA3F9C">
              <w:rPr>
                <w:rFonts w:ascii="Arial" w:hAnsi="Arial" w:cs="Arial"/>
                <w:sz w:val="24"/>
                <w:szCs w:val="24"/>
              </w:rPr>
              <w:t>open-label</w:t>
            </w:r>
            <w:proofErr w:type="gramEnd"/>
            <w:r w:rsidRPr="00FA3F9C">
              <w:rPr>
                <w:rFonts w:ascii="Arial" w:hAnsi="Arial" w:cs="Arial"/>
                <w:sz w:val="24"/>
                <w:szCs w:val="24"/>
              </w:rPr>
              <w:t xml:space="preserve">, </w:t>
            </w:r>
            <w:proofErr w:type="spellStart"/>
            <w:r w:rsidRPr="00FA3F9C">
              <w:rPr>
                <w:rFonts w:ascii="Arial" w:hAnsi="Arial" w:cs="Arial"/>
                <w:sz w:val="24"/>
                <w:szCs w:val="24"/>
              </w:rPr>
              <w:t>randomised</w:t>
            </w:r>
            <w:proofErr w:type="spellEnd"/>
            <w:r w:rsidRPr="00FA3F9C">
              <w:rPr>
                <w:rFonts w:ascii="Arial" w:hAnsi="Arial" w:cs="Arial"/>
                <w:sz w:val="24"/>
                <w:szCs w:val="24"/>
              </w:rPr>
              <w:t>, phase 3 trial. Lancet Oncol. 2017 Oct;18(10):1327-1337. PMID 28843768 NCT01568866</w:t>
            </w:r>
          </w:p>
        </w:tc>
      </w:tr>
    </w:tbl>
    <w:p w14:paraId="170BE1F8"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lastRenderedPageBreak/>
        <w:t>Revision History:</w:t>
      </w:r>
    </w:p>
    <w:tbl>
      <w:tblPr>
        <w:tblStyle w:val="TableGrid"/>
        <w:tblW w:w="0" w:type="auto"/>
        <w:tblLook w:val="04A0" w:firstRow="1" w:lastRow="0" w:firstColumn="1" w:lastColumn="0" w:noHBand="0" w:noVBand="1"/>
      </w:tblPr>
      <w:tblGrid>
        <w:gridCol w:w="1418"/>
        <w:gridCol w:w="8481"/>
        <w:gridCol w:w="1590"/>
      </w:tblGrid>
      <w:tr w:rsidR="001506C1" w:rsidRPr="00FA3F9C" w14:paraId="278CC1EE" w14:textId="77777777" w:rsidTr="00613001">
        <w:tc>
          <w:tcPr>
            <w:tcW w:w="1167" w:type="dxa"/>
          </w:tcPr>
          <w:p w14:paraId="3DE8ACDA" w14:textId="77777777" w:rsidR="001506C1" w:rsidRPr="00FA3F9C" w:rsidRDefault="001506C1" w:rsidP="006F623F">
            <w:pPr>
              <w:rPr>
                <w:rFonts w:ascii="Arial" w:hAnsi="Arial" w:cs="Arial"/>
                <w:sz w:val="24"/>
                <w:szCs w:val="24"/>
              </w:rPr>
            </w:pPr>
            <w:r w:rsidRPr="00FA3F9C">
              <w:rPr>
                <w:rFonts w:ascii="Arial" w:hAnsi="Arial" w:cs="Arial"/>
                <w:sz w:val="24"/>
                <w:szCs w:val="24"/>
              </w:rPr>
              <w:t>Date</w:t>
            </w:r>
          </w:p>
        </w:tc>
        <w:tc>
          <w:tcPr>
            <w:tcW w:w="8481" w:type="dxa"/>
          </w:tcPr>
          <w:p w14:paraId="223C0528" w14:textId="77777777" w:rsidR="001506C1" w:rsidRPr="00FA3F9C" w:rsidRDefault="001506C1" w:rsidP="006F623F">
            <w:pPr>
              <w:rPr>
                <w:rFonts w:ascii="Arial" w:hAnsi="Arial" w:cs="Arial"/>
                <w:sz w:val="24"/>
                <w:szCs w:val="24"/>
              </w:rPr>
            </w:pPr>
            <w:r w:rsidRPr="00FA3F9C">
              <w:rPr>
                <w:rFonts w:ascii="Arial" w:hAnsi="Arial" w:cs="Arial"/>
                <w:sz w:val="24"/>
                <w:szCs w:val="24"/>
              </w:rPr>
              <w:t>What changed</w:t>
            </w:r>
          </w:p>
        </w:tc>
        <w:tc>
          <w:tcPr>
            <w:tcW w:w="1368" w:type="dxa"/>
          </w:tcPr>
          <w:p w14:paraId="739EA0D3" w14:textId="77777777" w:rsidR="001506C1" w:rsidRPr="00FA3F9C" w:rsidRDefault="001506C1" w:rsidP="006F623F">
            <w:pPr>
              <w:rPr>
                <w:rFonts w:ascii="Arial" w:hAnsi="Arial" w:cs="Arial"/>
                <w:sz w:val="24"/>
                <w:szCs w:val="24"/>
              </w:rPr>
            </w:pPr>
            <w:r w:rsidRPr="00FA3F9C">
              <w:rPr>
                <w:rFonts w:ascii="Arial" w:hAnsi="Arial" w:cs="Arial"/>
                <w:sz w:val="24"/>
                <w:szCs w:val="24"/>
              </w:rPr>
              <w:t>Pharmacist’s initials</w:t>
            </w:r>
          </w:p>
        </w:tc>
      </w:tr>
      <w:tr w:rsidR="001506C1" w:rsidRPr="00FA3F9C" w14:paraId="6BA8BA9E" w14:textId="77777777" w:rsidTr="00613001">
        <w:tc>
          <w:tcPr>
            <w:tcW w:w="1167" w:type="dxa"/>
          </w:tcPr>
          <w:p w14:paraId="5DF883ED" w14:textId="77777777" w:rsidR="001506C1" w:rsidRPr="00FA3F9C" w:rsidRDefault="001506C1" w:rsidP="006F623F">
            <w:pPr>
              <w:rPr>
                <w:rFonts w:ascii="Arial" w:hAnsi="Arial" w:cs="Arial"/>
                <w:sz w:val="24"/>
                <w:szCs w:val="24"/>
              </w:rPr>
            </w:pPr>
            <w:r w:rsidRPr="00FA3F9C">
              <w:rPr>
                <w:rFonts w:ascii="Arial" w:hAnsi="Arial" w:cs="Arial"/>
                <w:sz w:val="24"/>
                <w:szCs w:val="24"/>
              </w:rPr>
              <w:t>3/28/2017</w:t>
            </w:r>
          </w:p>
        </w:tc>
        <w:tc>
          <w:tcPr>
            <w:tcW w:w="8481" w:type="dxa"/>
          </w:tcPr>
          <w:p w14:paraId="21EA0B58" w14:textId="77777777" w:rsidR="001506C1" w:rsidRPr="00FA3F9C" w:rsidRDefault="001506C1" w:rsidP="006F623F">
            <w:pPr>
              <w:rPr>
                <w:rFonts w:ascii="Arial" w:hAnsi="Arial" w:cs="Arial"/>
                <w:sz w:val="24"/>
                <w:szCs w:val="24"/>
              </w:rPr>
            </w:pPr>
            <w:r w:rsidRPr="00FA3F9C">
              <w:rPr>
                <w:rFonts w:ascii="Arial" w:hAnsi="Arial" w:cs="Arial"/>
                <w:sz w:val="24"/>
                <w:szCs w:val="24"/>
              </w:rPr>
              <w:t>I wrote the criteria.  Coverage for combination therapy was covered because of comparative data.  Compared to LEN+DEX, CFZ+LEN+DEX significantly improved OS (HR for death was 0.79 (95%CI 0.63-0.99), p=0.04, PFS was 0.69, (95%CI 0.57-0.83), p=0.0001.</w:t>
            </w:r>
          </w:p>
        </w:tc>
        <w:tc>
          <w:tcPr>
            <w:tcW w:w="1368" w:type="dxa"/>
          </w:tcPr>
          <w:p w14:paraId="2AC1E631" w14:textId="77777777" w:rsidR="001506C1" w:rsidRPr="00FA3F9C" w:rsidRDefault="001506C1" w:rsidP="006F623F">
            <w:pPr>
              <w:rPr>
                <w:rFonts w:ascii="Arial" w:hAnsi="Arial" w:cs="Arial"/>
                <w:sz w:val="24"/>
                <w:szCs w:val="24"/>
              </w:rPr>
            </w:pPr>
            <w:r w:rsidRPr="00FA3F9C">
              <w:rPr>
                <w:rFonts w:ascii="Arial" w:hAnsi="Arial" w:cs="Arial"/>
                <w:sz w:val="24"/>
                <w:szCs w:val="24"/>
              </w:rPr>
              <w:t>JJ</w:t>
            </w:r>
          </w:p>
        </w:tc>
      </w:tr>
      <w:tr w:rsidR="001506C1" w:rsidRPr="00FA3F9C" w14:paraId="42E1CBC2" w14:textId="77777777" w:rsidTr="00613001">
        <w:tc>
          <w:tcPr>
            <w:tcW w:w="1167" w:type="dxa"/>
          </w:tcPr>
          <w:p w14:paraId="430C30EA" w14:textId="77777777" w:rsidR="001506C1" w:rsidRPr="00FA3F9C" w:rsidRDefault="001506C1" w:rsidP="006F623F">
            <w:pPr>
              <w:rPr>
                <w:rFonts w:ascii="Arial" w:hAnsi="Arial" w:cs="Arial"/>
                <w:sz w:val="24"/>
                <w:szCs w:val="24"/>
              </w:rPr>
            </w:pPr>
            <w:r w:rsidRPr="00FA3F9C">
              <w:rPr>
                <w:rFonts w:ascii="Arial" w:hAnsi="Arial" w:cs="Arial"/>
                <w:sz w:val="24"/>
                <w:szCs w:val="24"/>
              </w:rPr>
              <w:t>4/18/17</w:t>
            </w:r>
          </w:p>
        </w:tc>
        <w:tc>
          <w:tcPr>
            <w:tcW w:w="8481" w:type="dxa"/>
          </w:tcPr>
          <w:p w14:paraId="45BD620A" w14:textId="77777777" w:rsidR="001506C1" w:rsidRPr="00FA3F9C" w:rsidRDefault="001506C1" w:rsidP="006F623F">
            <w:pPr>
              <w:rPr>
                <w:rFonts w:ascii="Arial" w:hAnsi="Arial" w:cs="Arial"/>
                <w:sz w:val="24"/>
                <w:szCs w:val="24"/>
              </w:rPr>
            </w:pPr>
            <w:r w:rsidRPr="00FA3F9C">
              <w:rPr>
                <w:rFonts w:ascii="Arial" w:hAnsi="Arial" w:cs="Arial"/>
                <w:sz w:val="24"/>
                <w:szCs w:val="24"/>
              </w:rPr>
              <w:t>For EBD, the Insurance Board approved carfilzomib as a covered drug through the medical benefit with EBRx applying the PA criteria above.</w:t>
            </w:r>
          </w:p>
        </w:tc>
        <w:tc>
          <w:tcPr>
            <w:tcW w:w="1368" w:type="dxa"/>
          </w:tcPr>
          <w:p w14:paraId="0D66FC18" w14:textId="77777777" w:rsidR="001506C1" w:rsidRPr="00FA3F9C" w:rsidRDefault="001506C1" w:rsidP="006F623F">
            <w:pPr>
              <w:rPr>
                <w:rFonts w:ascii="Arial" w:hAnsi="Arial" w:cs="Arial"/>
                <w:sz w:val="24"/>
                <w:szCs w:val="24"/>
              </w:rPr>
            </w:pPr>
            <w:r w:rsidRPr="00FA3F9C">
              <w:rPr>
                <w:rFonts w:ascii="Arial" w:hAnsi="Arial" w:cs="Arial"/>
                <w:sz w:val="24"/>
                <w:szCs w:val="24"/>
              </w:rPr>
              <w:t>JJ</w:t>
            </w:r>
          </w:p>
        </w:tc>
      </w:tr>
      <w:tr w:rsidR="001506C1" w:rsidRPr="00FA3F9C" w14:paraId="1BA92623" w14:textId="77777777" w:rsidTr="00613001">
        <w:tc>
          <w:tcPr>
            <w:tcW w:w="1167" w:type="dxa"/>
          </w:tcPr>
          <w:p w14:paraId="6B529D4D" w14:textId="77777777" w:rsidR="001506C1" w:rsidRPr="00FA3F9C" w:rsidRDefault="001506C1" w:rsidP="006F623F">
            <w:pPr>
              <w:rPr>
                <w:rFonts w:ascii="Arial" w:hAnsi="Arial" w:cs="Arial"/>
                <w:sz w:val="24"/>
                <w:szCs w:val="24"/>
              </w:rPr>
            </w:pPr>
            <w:r w:rsidRPr="00FA3F9C">
              <w:rPr>
                <w:rFonts w:ascii="Arial" w:hAnsi="Arial" w:cs="Arial"/>
                <w:sz w:val="24"/>
                <w:szCs w:val="24"/>
              </w:rPr>
              <w:t>5/20/19</w:t>
            </w:r>
          </w:p>
        </w:tc>
        <w:tc>
          <w:tcPr>
            <w:tcW w:w="8481" w:type="dxa"/>
          </w:tcPr>
          <w:p w14:paraId="5B698C48" w14:textId="77777777" w:rsidR="001506C1" w:rsidRPr="00FA3F9C" w:rsidRDefault="001506C1" w:rsidP="006F623F">
            <w:pPr>
              <w:rPr>
                <w:rFonts w:ascii="Arial" w:hAnsi="Arial" w:cs="Arial"/>
                <w:sz w:val="24"/>
                <w:szCs w:val="24"/>
              </w:rPr>
            </w:pPr>
            <w:r w:rsidRPr="00FA3F9C">
              <w:rPr>
                <w:rFonts w:ascii="Arial" w:hAnsi="Arial" w:cs="Arial"/>
                <w:sz w:val="24"/>
                <w:szCs w:val="24"/>
              </w:rPr>
              <w:t>Expand coverage to include Carfilzomib + dexamethasone as noted above.</w:t>
            </w:r>
          </w:p>
        </w:tc>
        <w:tc>
          <w:tcPr>
            <w:tcW w:w="1368" w:type="dxa"/>
          </w:tcPr>
          <w:p w14:paraId="7B3782FD" w14:textId="77777777" w:rsidR="001506C1" w:rsidRPr="00FA3F9C" w:rsidRDefault="001506C1" w:rsidP="006F623F">
            <w:pPr>
              <w:rPr>
                <w:rFonts w:ascii="Arial" w:hAnsi="Arial" w:cs="Arial"/>
                <w:sz w:val="24"/>
                <w:szCs w:val="24"/>
              </w:rPr>
            </w:pPr>
            <w:r w:rsidRPr="00FA3F9C">
              <w:rPr>
                <w:rFonts w:ascii="Arial" w:hAnsi="Arial" w:cs="Arial"/>
                <w:sz w:val="24"/>
                <w:szCs w:val="24"/>
              </w:rPr>
              <w:t>SK</w:t>
            </w:r>
          </w:p>
        </w:tc>
      </w:tr>
      <w:tr w:rsidR="001506C1" w:rsidRPr="00FA3F9C" w14:paraId="46A1CCBE" w14:textId="77777777" w:rsidTr="00613001">
        <w:tc>
          <w:tcPr>
            <w:tcW w:w="1167" w:type="dxa"/>
          </w:tcPr>
          <w:p w14:paraId="4328DADD" w14:textId="77777777" w:rsidR="001506C1" w:rsidRPr="00FA3F9C" w:rsidRDefault="001506C1" w:rsidP="006F623F">
            <w:pPr>
              <w:rPr>
                <w:rFonts w:ascii="Arial" w:hAnsi="Arial" w:cs="Arial"/>
                <w:sz w:val="24"/>
                <w:szCs w:val="24"/>
              </w:rPr>
            </w:pPr>
            <w:r w:rsidRPr="00FA3F9C">
              <w:rPr>
                <w:rFonts w:ascii="Arial" w:hAnsi="Arial" w:cs="Arial"/>
                <w:sz w:val="24"/>
                <w:szCs w:val="24"/>
              </w:rPr>
              <w:t>10/31/19</w:t>
            </w:r>
          </w:p>
        </w:tc>
        <w:tc>
          <w:tcPr>
            <w:tcW w:w="8481" w:type="dxa"/>
          </w:tcPr>
          <w:p w14:paraId="11613B70" w14:textId="77777777" w:rsidR="001506C1" w:rsidRPr="00FA3F9C" w:rsidRDefault="001506C1" w:rsidP="006F623F">
            <w:pPr>
              <w:rPr>
                <w:rFonts w:ascii="Arial" w:hAnsi="Arial" w:cs="Arial"/>
                <w:sz w:val="24"/>
                <w:szCs w:val="24"/>
              </w:rPr>
            </w:pPr>
            <w:r w:rsidRPr="00FA3F9C">
              <w:rPr>
                <w:rFonts w:ascii="Arial" w:hAnsi="Arial" w:cs="Arial"/>
                <w:sz w:val="24"/>
                <w:szCs w:val="24"/>
              </w:rPr>
              <w:t>Criteria Reviewed. No changes.</w:t>
            </w:r>
          </w:p>
        </w:tc>
        <w:tc>
          <w:tcPr>
            <w:tcW w:w="1368" w:type="dxa"/>
          </w:tcPr>
          <w:p w14:paraId="5A31E16C" w14:textId="77777777" w:rsidR="001506C1" w:rsidRPr="00FA3F9C" w:rsidRDefault="001506C1" w:rsidP="006F623F">
            <w:pPr>
              <w:rPr>
                <w:rFonts w:ascii="Arial" w:hAnsi="Arial" w:cs="Arial"/>
                <w:sz w:val="24"/>
                <w:szCs w:val="24"/>
              </w:rPr>
            </w:pPr>
            <w:r w:rsidRPr="00FA3F9C">
              <w:rPr>
                <w:rFonts w:ascii="Arial" w:hAnsi="Arial" w:cs="Arial"/>
                <w:sz w:val="24"/>
                <w:szCs w:val="24"/>
              </w:rPr>
              <w:t>SK</w:t>
            </w:r>
          </w:p>
        </w:tc>
      </w:tr>
      <w:tr w:rsidR="001506C1" w:rsidRPr="00FA3F9C" w14:paraId="42E3890D" w14:textId="77777777" w:rsidTr="00613001">
        <w:tc>
          <w:tcPr>
            <w:tcW w:w="1167" w:type="dxa"/>
          </w:tcPr>
          <w:p w14:paraId="48386D10" w14:textId="77777777" w:rsidR="001506C1" w:rsidRPr="00FA3F9C" w:rsidRDefault="001506C1" w:rsidP="00C063FD">
            <w:pPr>
              <w:rPr>
                <w:rFonts w:ascii="Arial" w:hAnsi="Arial" w:cs="Arial"/>
                <w:sz w:val="24"/>
                <w:szCs w:val="24"/>
              </w:rPr>
            </w:pPr>
            <w:r w:rsidRPr="00FA3F9C">
              <w:rPr>
                <w:rFonts w:ascii="Arial" w:hAnsi="Arial" w:cs="Arial"/>
                <w:sz w:val="24"/>
                <w:szCs w:val="24"/>
              </w:rPr>
              <w:t>11/19/2020</w:t>
            </w:r>
          </w:p>
        </w:tc>
        <w:tc>
          <w:tcPr>
            <w:tcW w:w="8481" w:type="dxa"/>
          </w:tcPr>
          <w:p w14:paraId="37BCE910" w14:textId="77777777" w:rsidR="001506C1" w:rsidRPr="00FA3F9C" w:rsidRDefault="001506C1" w:rsidP="00C063FD">
            <w:pPr>
              <w:rPr>
                <w:rFonts w:ascii="Arial" w:hAnsi="Arial" w:cs="Arial"/>
                <w:sz w:val="24"/>
                <w:szCs w:val="24"/>
              </w:rPr>
            </w:pPr>
            <w:r w:rsidRPr="00FA3F9C">
              <w:rPr>
                <w:rFonts w:ascii="Arial" w:hAnsi="Arial" w:cs="Arial"/>
                <w:sz w:val="24"/>
                <w:szCs w:val="24"/>
              </w:rPr>
              <w:t>Document new indication for treatment of relapsed multiple myeloma (</w:t>
            </w:r>
            <w:proofErr w:type="spellStart"/>
            <w:r w:rsidRPr="00FA3F9C">
              <w:rPr>
                <w:rFonts w:ascii="Arial" w:hAnsi="Arial" w:cs="Arial"/>
                <w:sz w:val="24"/>
                <w:szCs w:val="24"/>
              </w:rPr>
              <w:t>daratumumab+carfilzomib+dexamethasone</w:t>
            </w:r>
            <w:proofErr w:type="spellEnd"/>
            <w:r w:rsidRPr="00FA3F9C">
              <w:rPr>
                <w:rFonts w:ascii="Arial" w:hAnsi="Arial" w:cs="Arial"/>
                <w:sz w:val="24"/>
                <w:szCs w:val="24"/>
              </w:rPr>
              <w:t xml:space="preserve">). This combination was compared to </w:t>
            </w:r>
            <w:proofErr w:type="spellStart"/>
            <w:r w:rsidRPr="00FA3F9C">
              <w:rPr>
                <w:rFonts w:ascii="Arial" w:hAnsi="Arial" w:cs="Arial"/>
                <w:sz w:val="24"/>
                <w:szCs w:val="24"/>
              </w:rPr>
              <w:t>carfilzomib+dex</w:t>
            </w:r>
            <w:proofErr w:type="spellEnd"/>
            <w:r w:rsidRPr="00FA3F9C">
              <w:rPr>
                <w:rFonts w:ascii="Arial" w:hAnsi="Arial" w:cs="Arial"/>
                <w:sz w:val="24"/>
                <w:szCs w:val="24"/>
              </w:rPr>
              <w:t xml:space="preserve"> and progression free survival is only benefit demonstrated to date (do not cover).</w:t>
            </w:r>
          </w:p>
        </w:tc>
        <w:tc>
          <w:tcPr>
            <w:tcW w:w="1368" w:type="dxa"/>
          </w:tcPr>
          <w:p w14:paraId="6545D404" w14:textId="77777777" w:rsidR="001506C1" w:rsidRPr="00FA3F9C" w:rsidRDefault="001506C1" w:rsidP="00C063FD">
            <w:pPr>
              <w:rPr>
                <w:rFonts w:ascii="Arial" w:hAnsi="Arial" w:cs="Arial"/>
                <w:sz w:val="24"/>
                <w:szCs w:val="24"/>
              </w:rPr>
            </w:pPr>
            <w:r w:rsidRPr="00FA3F9C">
              <w:rPr>
                <w:rFonts w:ascii="Arial" w:hAnsi="Arial" w:cs="Arial"/>
                <w:sz w:val="24"/>
                <w:szCs w:val="24"/>
              </w:rPr>
              <w:t>SK</w:t>
            </w:r>
          </w:p>
        </w:tc>
      </w:tr>
      <w:tr w:rsidR="001506C1" w:rsidRPr="00FA3F9C" w14:paraId="7ACF4261" w14:textId="77777777" w:rsidTr="00613001">
        <w:tc>
          <w:tcPr>
            <w:tcW w:w="1167" w:type="dxa"/>
          </w:tcPr>
          <w:p w14:paraId="2E0D8B45" w14:textId="77777777" w:rsidR="001506C1" w:rsidRPr="00FA3F9C" w:rsidRDefault="001506C1" w:rsidP="00C063FD">
            <w:pPr>
              <w:rPr>
                <w:rFonts w:ascii="Arial" w:hAnsi="Arial" w:cs="Arial"/>
                <w:sz w:val="24"/>
                <w:szCs w:val="24"/>
              </w:rPr>
            </w:pPr>
            <w:r w:rsidRPr="00FA3F9C">
              <w:rPr>
                <w:rFonts w:ascii="Arial" w:hAnsi="Arial" w:cs="Arial"/>
                <w:sz w:val="24"/>
                <w:szCs w:val="24"/>
              </w:rPr>
              <w:t>1/20/2021</w:t>
            </w:r>
          </w:p>
        </w:tc>
        <w:tc>
          <w:tcPr>
            <w:tcW w:w="8481" w:type="dxa"/>
          </w:tcPr>
          <w:p w14:paraId="58A49DD9" w14:textId="77777777" w:rsidR="001506C1" w:rsidRPr="00FA3F9C" w:rsidRDefault="001506C1" w:rsidP="00EE7D3C">
            <w:pPr>
              <w:rPr>
                <w:rFonts w:ascii="Arial" w:hAnsi="Arial" w:cs="Arial"/>
                <w:sz w:val="24"/>
                <w:szCs w:val="24"/>
              </w:rPr>
            </w:pPr>
            <w:r w:rsidRPr="00FA3F9C">
              <w:rPr>
                <w:rFonts w:ascii="Arial" w:hAnsi="Arial" w:cs="Arial"/>
                <w:sz w:val="24"/>
                <w:szCs w:val="24"/>
              </w:rPr>
              <w:t>Criteria reviewed. No changes. Reformatted FDA indications to match package insert</w:t>
            </w:r>
          </w:p>
        </w:tc>
        <w:tc>
          <w:tcPr>
            <w:tcW w:w="1368" w:type="dxa"/>
          </w:tcPr>
          <w:p w14:paraId="3E48681F" w14:textId="77777777" w:rsidR="001506C1" w:rsidRPr="00FA3F9C" w:rsidRDefault="001506C1" w:rsidP="00C063FD">
            <w:pPr>
              <w:rPr>
                <w:rFonts w:ascii="Arial" w:hAnsi="Arial" w:cs="Arial"/>
                <w:sz w:val="24"/>
                <w:szCs w:val="24"/>
              </w:rPr>
            </w:pPr>
            <w:r w:rsidRPr="00FA3F9C">
              <w:rPr>
                <w:rFonts w:ascii="Arial" w:hAnsi="Arial" w:cs="Arial"/>
                <w:sz w:val="24"/>
                <w:szCs w:val="24"/>
              </w:rPr>
              <w:t>SK</w:t>
            </w:r>
          </w:p>
        </w:tc>
      </w:tr>
      <w:tr w:rsidR="001506C1" w:rsidRPr="00FA3F9C" w14:paraId="761D1A70" w14:textId="77777777" w:rsidTr="00613001">
        <w:tc>
          <w:tcPr>
            <w:tcW w:w="1167" w:type="dxa"/>
          </w:tcPr>
          <w:p w14:paraId="7C326A43" w14:textId="77777777" w:rsidR="001506C1" w:rsidRPr="00FA3F9C" w:rsidRDefault="001506C1" w:rsidP="00C063FD">
            <w:pPr>
              <w:rPr>
                <w:rFonts w:ascii="Arial" w:hAnsi="Arial" w:cs="Arial"/>
                <w:sz w:val="24"/>
                <w:szCs w:val="24"/>
              </w:rPr>
            </w:pPr>
            <w:r w:rsidRPr="00FA3F9C">
              <w:rPr>
                <w:rFonts w:ascii="Arial" w:hAnsi="Arial" w:cs="Arial"/>
                <w:sz w:val="24"/>
                <w:szCs w:val="24"/>
              </w:rPr>
              <w:t>6/17/2021</w:t>
            </w:r>
          </w:p>
        </w:tc>
        <w:tc>
          <w:tcPr>
            <w:tcW w:w="8481" w:type="dxa"/>
          </w:tcPr>
          <w:p w14:paraId="35238341" w14:textId="77777777" w:rsidR="001506C1" w:rsidRPr="00FA3F9C" w:rsidRDefault="001506C1" w:rsidP="00EE7D3C">
            <w:pPr>
              <w:rPr>
                <w:rFonts w:ascii="Arial" w:hAnsi="Arial" w:cs="Arial"/>
                <w:sz w:val="24"/>
                <w:szCs w:val="24"/>
              </w:rPr>
            </w:pPr>
            <w:r w:rsidRPr="00FA3F9C">
              <w:rPr>
                <w:rFonts w:ascii="Arial" w:hAnsi="Arial" w:cs="Arial"/>
                <w:sz w:val="24"/>
                <w:szCs w:val="24"/>
              </w:rPr>
              <w:t xml:space="preserve">Added new indication (with </w:t>
            </w:r>
            <w:proofErr w:type="spellStart"/>
            <w:r w:rsidRPr="00FA3F9C">
              <w:rPr>
                <w:rFonts w:ascii="Arial" w:hAnsi="Arial" w:cs="Arial"/>
                <w:sz w:val="24"/>
                <w:szCs w:val="24"/>
              </w:rPr>
              <w:t>isatuximab+dex</w:t>
            </w:r>
            <w:proofErr w:type="spellEnd"/>
            <w:r w:rsidRPr="00FA3F9C">
              <w:rPr>
                <w:rFonts w:ascii="Arial" w:hAnsi="Arial" w:cs="Arial"/>
                <w:sz w:val="24"/>
                <w:szCs w:val="24"/>
              </w:rPr>
              <w:t>)—not covered</w:t>
            </w:r>
          </w:p>
        </w:tc>
        <w:tc>
          <w:tcPr>
            <w:tcW w:w="1368" w:type="dxa"/>
          </w:tcPr>
          <w:p w14:paraId="2E6F1248" w14:textId="77777777" w:rsidR="001506C1" w:rsidRPr="00FA3F9C" w:rsidRDefault="001506C1" w:rsidP="00C063FD">
            <w:pPr>
              <w:rPr>
                <w:rFonts w:ascii="Arial" w:hAnsi="Arial" w:cs="Arial"/>
                <w:sz w:val="24"/>
                <w:szCs w:val="24"/>
              </w:rPr>
            </w:pPr>
            <w:r w:rsidRPr="00FA3F9C">
              <w:rPr>
                <w:rFonts w:ascii="Arial" w:hAnsi="Arial" w:cs="Arial"/>
                <w:sz w:val="24"/>
                <w:szCs w:val="24"/>
              </w:rPr>
              <w:t>SK</w:t>
            </w:r>
          </w:p>
        </w:tc>
      </w:tr>
    </w:tbl>
    <w:p w14:paraId="558C2310" w14:textId="77777777" w:rsidR="001506C1" w:rsidRPr="00FA3F9C" w:rsidRDefault="001506C1" w:rsidP="00BC3CB8">
      <w:pPr>
        <w:spacing w:after="0"/>
        <w:rPr>
          <w:rFonts w:ascii="Arial" w:hAnsi="Arial" w:cs="Arial"/>
          <w:sz w:val="24"/>
          <w:szCs w:val="24"/>
        </w:rPr>
      </w:pPr>
    </w:p>
    <w:p w14:paraId="0DB92E55" w14:textId="77777777" w:rsidR="001506C1" w:rsidRPr="00FA3F9C" w:rsidRDefault="001506C1" w:rsidP="00FC1E85">
      <w:pPr>
        <w:pStyle w:val="Heading2"/>
      </w:pPr>
      <w:bookmarkStart w:id="55" w:name="_Toc106369751"/>
      <w:proofErr w:type="spellStart"/>
      <w:r w:rsidRPr="00FA3F9C">
        <w:t>Cenegermin</w:t>
      </w:r>
      <w:proofErr w:type="spellEnd"/>
      <w:r w:rsidRPr="00FA3F9C">
        <w:t xml:space="preserve"> (</w:t>
      </w:r>
      <w:proofErr w:type="spellStart"/>
      <w:r w:rsidRPr="00FA3F9C">
        <w:t>Oxervate</w:t>
      </w:r>
      <w:proofErr w:type="spellEnd"/>
      <w:r w:rsidRPr="00FA3F9C">
        <w:t>)</w:t>
      </w:r>
      <w:bookmarkEnd w:id="55"/>
    </w:p>
    <w:p w14:paraId="14332875" w14:textId="77777777" w:rsidR="001506C1" w:rsidRPr="00FA3F9C" w:rsidRDefault="001506C1" w:rsidP="006F623F">
      <w:pPr>
        <w:spacing w:after="0"/>
        <w:jc w:val="center"/>
        <w:rPr>
          <w:rFonts w:ascii="Arial" w:hAnsi="Arial" w:cs="Arial"/>
          <w:sz w:val="24"/>
          <w:szCs w:val="24"/>
        </w:rPr>
      </w:pPr>
      <w:r w:rsidRPr="00FA3F9C">
        <w:rPr>
          <w:rFonts w:ascii="Arial" w:hAnsi="Arial" w:cs="Arial"/>
          <w:sz w:val="24"/>
          <w:szCs w:val="24"/>
        </w:rPr>
        <w:t>EBRx PA Criteria</w:t>
      </w:r>
    </w:p>
    <w:p w14:paraId="09A3BF1D" w14:textId="77777777" w:rsidR="001506C1" w:rsidRPr="00FA3F9C" w:rsidRDefault="001506C1" w:rsidP="006F623F">
      <w:pPr>
        <w:spacing w:after="0"/>
        <w:rPr>
          <w:rFonts w:ascii="Arial" w:hAnsi="Arial" w:cs="Arial"/>
          <w:b/>
          <w:sz w:val="24"/>
          <w:szCs w:val="24"/>
          <w:u w:val="single"/>
        </w:rPr>
      </w:pPr>
    </w:p>
    <w:p w14:paraId="69E76E42" w14:textId="77777777" w:rsidR="001506C1" w:rsidRPr="00FA3F9C" w:rsidRDefault="001506C1"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treatment of neurotrophic keratitis</w:t>
      </w:r>
    </w:p>
    <w:tbl>
      <w:tblPr>
        <w:tblStyle w:val="TableGrid"/>
        <w:tblW w:w="0" w:type="auto"/>
        <w:tblLook w:val="04A0" w:firstRow="1" w:lastRow="0" w:firstColumn="1" w:lastColumn="0" w:noHBand="0" w:noVBand="1"/>
      </w:tblPr>
      <w:tblGrid>
        <w:gridCol w:w="8928"/>
        <w:gridCol w:w="2088"/>
      </w:tblGrid>
      <w:tr w:rsidR="001506C1" w:rsidRPr="00FA3F9C" w14:paraId="38EA9CB5" w14:textId="77777777" w:rsidTr="00571CAB">
        <w:tc>
          <w:tcPr>
            <w:tcW w:w="8928" w:type="dxa"/>
            <w:shd w:val="clear" w:color="auto" w:fill="000000"/>
          </w:tcPr>
          <w:p w14:paraId="6E7DD90D" w14:textId="77777777" w:rsidR="001506C1" w:rsidRPr="00FA3F9C" w:rsidRDefault="001506C1"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88" w:type="dxa"/>
            <w:shd w:val="clear" w:color="auto" w:fill="000000"/>
          </w:tcPr>
          <w:p w14:paraId="6CFCCA52" w14:textId="77777777" w:rsidR="001506C1" w:rsidRPr="00FA3F9C" w:rsidRDefault="001506C1" w:rsidP="006F623F">
            <w:pPr>
              <w:jc w:val="center"/>
              <w:rPr>
                <w:rFonts w:ascii="Arial" w:hAnsi="Arial" w:cs="Arial"/>
                <w:b/>
                <w:sz w:val="24"/>
                <w:szCs w:val="24"/>
                <w:u w:val="single"/>
              </w:rPr>
            </w:pPr>
          </w:p>
        </w:tc>
      </w:tr>
      <w:tr w:rsidR="001506C1" w:rsidRPr="00FA3F9C" w14:paraId="2F789B7B" w14:textId="77777777" w:rsidTr="00950BF8">
        <w:tc>
          <w:tcPr>
            <w:tcW w:w="11016" w:type="dxa"/>
            <w:gridSpan w:val="2"/>
          </w:tcPr>
          <w:p w14:paraId="1B8A9B68" w14:textId="77777777" w:rsidR="001506C1" w:rsidRPr="00FA3F9C" w:rsidRDefault="001506C1" w:rsidP="006F623F">
            <w:pPr>
              <w:rPr>
                <w:rFonts w:ascii="Arial" w:hAnsi="Arial" w:cs="Arial"/>
                <w:sz w:val="24"/>
                <w:szCs w:val="24"/>
              </w:rPr>
            </w:pPr>
            <w:r w:rsidRPr="00FA3F9C">
              <w:rPr>
                <w:rFonts w:ascii="Arial" w:hAnsi="Arial" w:cs="Arial"/>
                <w:sz w:val="24"/>
                <w:szCs w:val="24"/>
              </w:rPr>
              <w:t>1. The patient has the diagnosis of stage 2 or 3 neurotrophic keratitis.</w:t>
            </w:r>
          </w:p>
        </w:tc>
      </w:tr>
      <w:tr w:rsidR="001506C1" w:rsidRPr="00FA3F9C" w14:paraId="0CFE9BFF" w14:textId="77777777" w:rsidTr="00950BF8">
        <w:tc>
          <w:tcPr>
            <w:tcW w:w="11016" w:type="dxa"/>
            <w:gridSpan w:val="2"/>
          </w:tcPr>
          <w:p w14:paraId="40F18816" w14:textId="77777777" w:rsidR="001506C1" w:rsidRPr="00FA3F9C" w:rsidRDefault="001506C1" w:rsidP="006F623F">
            <w:pPr>
              <w:rPr>
                <w:rFonts w:ascii="Arial" w:hAnsi="Arial" w:cs="Arial"/>
                <w:sz w:val="24"/>
                <w:szCs w:val="24"/>
              </w:rPr>
            </w:pPr>
            <w:r w:rsidRPr="00FA3F9C">
              <w:rPr>
                <w:rFonts w:ascii="Arial" w:hAnsi="Arial" w:cs="Arial"/>
                <w:sz w:val="24"/>
                <w:szCs w:val="24"/>
              </w:rPr>
              <w:t>2. The patient should have failed preservative-free artificial eye drops and/or lubricant ointments.</w:t>
            </w:r>
          </w:p>
        </w:tc>
      </w:tr>
      <w:tr w:rsidR="001506C1" w:rsidRPr="00FA3F9C" w14:paraId="5D4F5772" w14:textId="77777777" w:rsidTr="00950BF8">
        <w:tc>
          <w:tcPr>
            <w:tcW w:w="11016" w:type="dxa"/>
            <w:gridSpan w:val="2"/>
          </w:tcPr>
          <w:p w14:paraId="1EB33D9C" w14:textId="77777777" w:rsidR="001506C1" w:rsidRPr="00FA3F9C" w:rsidRDefault="001506C1" w:rsidP="006F623F">
            <w:pPr>
              <w:rPr>
                <w:rFonts w:ascii="Arial" w:hAnsi="Arial" w:cs="Arial"/>
                <w:sz w:val="24"/>
                <w:szCs w:val="24"/>
              </w:rPr>
            </w:pPr>
            <w:r w:rsidRPr="00FA3F9C">
              <w:rPr>
                <w:rFonts w:ascii="Arial" w:hAnsi="Arial" w:cs="Arial"/>
                <w:sz w:val="24"/>
                <w:szCs w:val="24"/>
              </w:rPr>
              <w:t xml:space="preserve">3. The patient should have tried therapeutic soft contact lenses (per the American Academy of </w:t>
            </w:r>
            <w:proofErr w:type="spellStart"/>
            <w:r w:rsidRPr="00FA3F9C">
              <w:rPr>
                <w:rFonts w:ascii="Arial" w:hAnsi="Arial" w:cs="Arial"/>
                <w:sz w:val="24"/>
                <w:szCs w:val="24"/>
              </w:rPr>
              <w:t>Opthalmology’s</w:t>
            </w:r>
            <w:proofErr w:type="spellEnd"/>
            <w:r w:rsidRPr="00FA3F9C">
              <w:rPr>
                <w:rFonts w:ascii="Arial" w:hAnsi="Arial" w:cs="Arial"/>
                <w:sz w:val="24"/>
                <w:szCs w:val="24"/>
              </w:rPr>
              <w:t xml:space="preserve"> recommendations (below)).</w:t>
            </w:r>
          </w:p>
        </w:tc>
      </w:tr>
      <w:tr w:rsidR="001506C1" w:rsidRPr="00FA3F9C" w14:paraId="2915CD56" w14:textId="77777777" w:rsidTr="00950BF8">
        <w:tc>
          <w:tcPr>
            <w:tcW w:w="11016" w:type="dxa"/>
            <w:gridSpan w:val="2"/>
          </w:tcPr>
          <w:p w14:paraId="47DA9F15" w14:textId="77777777" w:rsidR="001506C1" w:rsidRPr="00FA3F9C" w:rsidRDefault="001506C1" w:rsidP="006F623F">
            <w:pPr>
              <w:rPr>
                <w:rFonts w:ascii="Arial" w:hAnsi="Arial" w:cs="Arial"/>
                <w:sz w:val="24"/>
                <w:szCs w:val="24"/>
              </w:rPr>
            </w:pPr>
            <w:r w:rsidRPr="00FA3F9C">
              <w:rPr>
                <w:rFonts w:ascii="Arial" w:hAnsi="Arial" w:cs="Arial"/>
                <w:sz w:val="24"/>
                <w:szCs w:val="24"/>
              </w:rPr>
              <w:lastRenderedPageBreak/>
              <w:t xml:space="preserve">If all 3 criteria are satisfied, the patient may have an </w:t>
            </w:r>
            <w:proofErr w:type="gramStart"/>
            <w:r w:rsidRPr="00FA3F9C">
              <w:rPr>
                <w:rFonts w:ascii="Arial" w:hAnsi="Arial" w:cs="Arial"/>
                <w:sz w:val="24"/>
                <w:szCs w:val="24"/>
              </w:rPr>
              <w:t>8 week</w:t>
            </w:r>
            <w:proofErr w:type="gramEnd"/>
            <w:r w:rsidRPr="00FA3F9C">
              <w:rPr>
                <w:rFonts w:ascii="Arial" w:hAnsi="Arial" w:cs="Arial"/>
                <w:sz w:val="24"/>
                <w:szCs w:val="24"/>
              </w:rPr>
              <w:t xml:space="preserve"> therapy.</w:t>
            </w:r>
          </w:p>
        </w:tc>
      </w:tr>
    </w:tbl>
    <w:p w14:paraId="44731483" w14:textId="77777777" w:rsidR="001506C1" w:rsidRPr="00FA3F9C" w:rsidRDefault="001506C1" w:rsidP="006F623F">
      <w:pPr>
        <w:spacing w:after="0"/>
        <w:rPr>
          <w:rFonts w:ascii="Arial" w:hAnsi="Arial" w:cs="Arial"/>
          <w:b/>
          <w:sz w:val="24"/>
          <w:szCs w:val="24"/>
          <w:u w:val="single"/>
        </w:rPr>
      </w:pPr>
    </w:p>
    <w:tbl>
      <w:tblPr>
        <w:tblStyle w:val="TableGrid"/>
        <w:tblW w:w="0" w:type="auto"/>
        <w:shd w:val="clear" w:color="auto" w:fill="BFBFBF" w:themeFill="background1" w:themeFillShade="BF"/>
        <w:tblLook w:val="04A0" w:firstRow="1" w:lastRow="0" w:firstColumn="1" w:lastColumn="0" w:noHBand="0" w:noVBand="1"/>
      </w:tblPr>
      <w:tblGrid>
        <w:gridCol w:w="10998"/>
      </w:tblGrid>
      <w:tr w:rsidR="001506C1" w:rsidRPr="00FA3F9C" w14:paraId="6AA93558" w14:textId="77777777" w:rsidTr="00D82B6E">
        <w:tc>
          <w:tcPr>
            <w:tcW w:w="10998" w:type="dxa"/>
            <w:shd w:val="clear" w:color="auto" w:fill="BFBFBF" w:themeFill="background1" w:themeFillShade="BF"/>
          </w:tcPr>
          <w:p w14:paraId="0DE6CF3E" w14:textId="77777777" w:rsidR="001506C1" w:rsidRPr="00FA3F9C" w:rsidRDefault="001506C1" w:rsidP="00D82B6E">
            <w:pPr>
              <w:rPr>
                <w:rFonts w:ascii="Arial" w:hAnsi="Arial" w:cs="Arial"/>
                <w:sz w:val="24"/>
                <w:szCs w:val="24"/>
              </w:rPr>
            </w:pPr>
            <w:r w:rsidRPr="00FA3F9C">
              <w:rPr>
                <w:rFonts w:ascii="Arial" w:hAnsi="Arial" w:cs="Arial"/>
                <w:sz w:val="24"/>
                <w:szCs w:val="24"/>
              </w:rPr>
              <w:t>Note: Quantity Limits: 8 weeks of therapy for a lifetime is currently the maximum.  There are no data for repeat treatment.</w:t>
            </w:r>
          </w:p>
        </w:tc>
      </w:tr>
    </w:tbl>
    <w:p w14:paraId="7870572B" w14:textId="77777777" w:rsidR="001506C1" w:rsidRPr="00FA3F9C" w:rsidRDefault="001506C1" w:rsidP="006F623F">
      <w:pPr>
        <w:spacing w:after="0"/>
        <w:rPr>
          <w:rFonts w:ascii="Arial" w:hAnsi="Arial" w:cs="Arial"/>
          <w:sz w:val="24"/>
          <w:szCs w:val="24"/>
        </w:rPr>
      </w:pPr>
    </w:p>
    <w:p w14:paraId="08CD0389"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References:</w:t>
      </w:r>
    </w:p>
    <w:p w14:paraId="3C0D5C70" w14:textId="77777777" w:rsidR="001506C1" w:rsidRPr="00FA3F9C" w:rsidRDefault="001506C1" w:rsidP="006F623F">
      <w:pPr>
        <w:spacing w:after="0"/>
        <w:rPr>
          <w:rFonts w:ascii="Arial" w:hAnsi="Arial" w:cs="Arial"/>
          <w:sz w:val="24"/>
          <w:szCs w:val="24"/>
          <w:lang w:val="fr-FR"/>
        </w:rPr>
      </w:pPr>
      <w:r w:rsidRPr="00FA3F9C">
        <w:rPr>
          <w:rFonts w:ascii="Arial" w:hAnsi="Arial" w:cs="Arial"/>
          <w:sz w:val="24"/>
          <w:szCs w:val="24"/>
        </w:rPr>
        <w:t xml:space="preserve">1. American Academy of Ophthalmology.  </w:t>
      </w:r>
      <w:proofErr w:type="spellStart"/>
      <w:r w:rsidRPr="00FA3F9C">
        <w:rPr>
          <w:rFonts w:ascii="Arial" w:hAnsi="Arial" w:cs="Arial"/>
          <w:sz w:val="24"/>
          <w:szCs w:val="24"/>
        </w:rPr>
        <w:t>Allessandro</w:t>
      </w:r>
      <w:proofErr w:type="spellEnd"/>
      <w:r w:rsidRPr="00FA3F9C">
        <w:rPr>
          <w:rFonts w:ascii="Arial" w:hAnsi="Arial" w:cs="Arial"/>
          <w:sz w:val="24"/>
          <w:szCs w:val="24"/>
        </w:rPr>
        <w:t xml:space="preserve">. </w:t>
      </w:r>
      <w:proofErr w:type="spellStart"/>
      <w:r w:rsidRPr="00FA3F9C">
        <w:rPr>
          <w:rFonts w:ascii="Arial" w:hAnsi="Arial" w:cs="Arial"/>
          <w:sz w:val="24"/>
          <w:szCs w:val="24"/>
          <w:lang w:val="es-ES"/>
        </w:rPr>
        <w:t>Rabiolo</w:t>
      </w:r>
      <w:proofErr w:type="spellEnd"/>
      <w:r w:rsidRPr="00FA3F9C">
        <w:rPr>
          <w:rFonts w:ascii="Arial" w:hAnsi="Arial" w:cs="Arial"/>
          <w:sz w:val="24"/>
          <w:szCs w:val="24"/>
          <w:lang w:val="es-ES"/>
        </w:rPr>
        <w:t xml:space="preserve">, Paolo Rama, Giulio Ferrari.  </w:t>
      </w:r>
      <w:proofErr w:type="spellStart"/>
      <w:r w:rsidRPr="00FA3F9C">
        <w:rPr>
          <w:rFonts w:ascii="Arial" w:hAnsi="Arial" w:cs="Arial"/>
          <w:sz w:val="24"/>
          <w:szCs w:val="24"/>
          <w:lang w:val="fr-FR"/>
        </w:rPr>
        <w:t>Neurotrophic</w:t>
      </w:r>
      <w:proofErr w:type="spellEnd"/>
      <w:r w:rsidRPr="00FA3F9C">
        <w:rPr>
          <w:rFonts w:ascii="Arial" w:hAnsi="Arial" w:cs="Arial"/>
          <w:sz w:val="24"/>
          <w:szCs w:val="24"/>
          <w:lang w:val="fr-FR"/>
        </w:rPr>
        <w:t xml:space="preserve"> </w:t>
      </w:r>
      <w:proofErr w:type="spellStart"/>
      <w:r w:rsidRPr="00FA3F9C">
        <w:rPr>
          <w:rFonts w:ascii="Arial" w:hAnsi="Arial" w:cs="Arial"/>
          <w:sz w:val="24"/>
          <w:szCs w:val="24"/>
          <w:lang w:val="fr-FR"/>
        </w:rPr>
        <w:t>Keratitis</w:t>
      </w:r>
      <w:proofErr w:type="spellEnd"/>
      <w:r w:rsidRPr="00FA3F9C">
        <w:rPr>
          <w:rFonts w:ascii="Arial" w:hAnsi="Arial" w:cs="Arial"/>
          <w:sz w:val="24"/>
          <w:szCs w:val="24"/>
          <w:lang w:val="fr-FR"/>
        </w:rPr>
        <w:t xml:space="preserve">, 12/10/2020.  </w:t>
      </w:r>
      <w:hyperlink r:id="rId76" w:anchor="General_Management" w:history="1">
        <w:r w:rsidRPr="00FA3F9C">
          <w:rPr>
            <w:rStyle w:val="Hyperlink"/>
            <w:rFonts w:ascii="Arial" w:hAnsi="Arial" w:cs="Arial"/>
            <w:sz w:val="24"/>
            <w:szCs w:val="24"/>
            <w:lang w:val="fr-FR"/>
          </w:rPr>
          <w:t>https://eyewiki.org/Neurotrophic_Keratitis#General_Management</w:t>
        </w:r>
      </w:hyperlink>
    </w:p>
    <w:p w14:paraId="679FFAF8" w14:textId="77777777" w:rsidR="001506C1" w:rsidRPr="00FA3F9C" w:rsidRDefault="001506C1" w:rsidP="00D63254">
      <w:pPr>
        <w:rPr>
          <w:rFonts w:ascii="Arial" w:eastAsia="Times New Roman" w:hAnsi="Arial" w:cs="Arial"/>
          <w:sz w:val="24"/>
          <w:szCs w:val="24"/>
        </w:rPr>
      </w:pPr>
      <w:r w:rsidRPr="00500371">
        <w:rPr>
          <w:rFonts w:ascii="Arial" w:hAnsi="Arial" w:cs="Arial"/>
          <w:sz w:val="24"/>
          <w:szCs w:val="24"/>
        </w:rPr>
        <w:t xml:space="preserve">2. </w:t>
      </w:r>
      <w:proofErr w:type="spellStart"/>
      <w:r w:rsidRPr="00500371">
        <w:rPr>
          <w:rFonts w:ascii="Arial" w:eastAsia="Times New Roman" w:hAnsi="Arial" w:cs="Arial"/>
          <w:color w:val="222222"/>
          <w:sz w:val="24"/>
          <w:szCs w:val="24"/>
          <w:shd w:val="clear" w:color="auto" w:fill="FFFFFF"/>
        </w:rPr>
        <w:t>Bonini</w:t>
      </w:r>
      <w:proofErr w:type="spellEnd"/>
      <w:r w:rsidRPr="00500371">
        <w:rPr>
          <w:rFonts w:ascii="Arial" w:eastAsia="Times New Roman" w:hAnsi="Arial" w:cs="Arial"/>
          <w:color w:val="222222"/>
          <w:sz w:val="24"/>
          <w:szCs w:val="24"/>
          <w:shd w:val="clear" w:color="auto" w:fill="FFFFFF"/>
        </w:rPr>
        <w:t xml:space="preserve">, Stefano, et al. </w:t>
      </w:r>
      <w:r w:rsidRPr="00FA3F9C">
        <w:rPr>
          <w:rFonts w:ascii="Arial" w:eastAsia="Times New Roman" w:hAnsi="Arial" w:cs="Arial"/>
          <w:color w:val="222222"/>
          <w:sz w:val="24"/>
          <w:szCs w:val="24"/>
          <w:shd w:val="clear" w:color="auto" w:fill="FFFFFF"/>
        </w:rPr>
        <w:t>"Phase II randomized, double-masked, vehicle-controlled trial of recombinant human nerve growth factor for neurotrophic keratitis." </w:t>
      </w:r>
      <w:r w:rsidRPr="00FA3F9C">
        <w:rPr>
          <w:rFonts w:ascii="Arial" w:eastAsia="Times New Roman" w:hAnsi="Arial" w:cs="Arial"/>
          <w:i/>
          <w:iCs/>
          <w:color w:val="222222"/>
          <w:sz w:val="24"/>
          <w:szCs w:val="24"/>
          <w:shd w:val="clear" w:color="auto" w:fill="FFFFFF"/>
        </w:rPr>
        <w:t>Ophthalmology</w:t>
      </w:r>
      <w:r w:rsidRPr="00FA3F9C">
        <w:rPr>
          <w:rFonts w:ascii="Arial" w:eastAsia="Times New Roman" w:hAnsi="Arial" w:cs="Arial"/>
          <w:color w:val="222222"/>
          <w:sz w:val="24"/>
          <w:szCs w:val="24"/>
          <w:shd w:val="clear" w:color="auto" w:fill="FFFFFF"/>
        </w:rPr>
        <w:t> 125.9 (2018): 1332-1343. (</w:t>
      </w:r>
      <w:proofErr w:type="gramStart"/>
      <w:r w:rsidRPr="00FA3F9C">
        <w:rPr>
          <w:rFonts w:ascii="Arial" w:eastAsia="Times New Roman" w:hAnsi="Arial" w:cs="Arial"/>
          <w:color w:val="222222"/>
          <w:sz w:val="24"/>
          <w:szCs w:val="24"/>
          <w:shd w:val="clear" w:color="auto" w:fill="FFFFFF"/>
        </w:rPr>
        <w:t>enrolled</w:t>
      </w:r>
      <w:proofErr w:type="gramEnd"/>
      <w:r w:rsidRPr="00FA3F9C">
        <w:rPr>
          <w:rFonts w:ascii="Arial" w:eastAsia="Times New Roman" w:hAnsi="Arial" w:cs="Arial"/>
          <w:color w:val="222222"/>
          <w:sz w:val="24"/>
          <w:szCs w:val="24"/>
          <w:shd w:val="clear" w:color="auto" w:fill="FFFFFF"/>
        </w:rPr>
        <w:t xml:space="preserve"> only stage 2 or 3 patients; no patient-centered endpoints) </w:t>
      </w:r>
    </w:p>
    <w:p w14:paraId="7F6BE477"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017"/>
        <w:gridCol w:w="7470"/>
        <w:gridCol w:w="2538"/>
      </w:tblGrid>
      <w:tr w:rsidR="001506C1" w:rsidRPr="00FA3F9C" w14:paraId="2DB45568" w14:textId="77777777" w:rsidTr="00FE491B">
        <w:tc>
          <w:tcPr>
            <w:tcW w:w="1008" w:type="dxa"/>
          </w:tcPr>
          <w:p w14:paraId="6928AA68" w14:textId="77777777" w:rsidR="001506C1" w:rsidRPr="00FA3F9C" w:rsidRDefault="001506C1" w:rsidP="006F623F">
            <w:pPr>
              <w:rPr>
                <w:rFonts w:ascii="Arial" w:hAnsi="Arial" w:cs="Arial"/>
                <w:sz w:val="24"/>
                <w:szCs w:val="24"/>
              </w:rPr>
            </w:pPr>
            <w:r w:rsidRPr="00FA3F9C">
              <w:rPr>
                <w:rFonts w:ascii="Arial" w:hAnsi="Arial" w:cs="Arial"/>
                <w:sz w:val="24"/>
                <w:szCs w:val="24"/>
              </w:rPr>
              <w:t>Date</w:t>
            </w:r>
          </w:p>
        </w:tc>
        <w:tc>
          <w:tcPr>
            <w:tcW w:w="7470" w:type="dxa"/>
          </w:tcPr>
          <w:p w14:paraId="581E3750" w14:textId="77777777" w:rsidR="001506C1" w:rsidRPr="00FA3F9C" w:rsidRDefault="001506C1" w:rsidP="006F623F">
            <w:pPr>
              <w:rPr>
                <w:rFonts w:ascii="Arial" w:hAnsi="Arial" w:cs="Arial"/>
                <w:sz w:val="24"/>
                <w:szCs w:val="24"/>
              </w:rPr>
            </w:pPr>
            <w:r w:rsidRPr="00FA3F9C">
              <w:rPr>
                <w:rFonts w:ascii="Arial" w:hAnsi="Arial" w:cs="Arial"/>
                <w:sz w:val="24"/>
                <w:szCs w:val="24"/>
              </w:rPr>
              <w:t>What changed</w:t>
            </w:r>
          </w:p>
        </w:tc>
        <w:tc>
          <w:tcPr>
            <w:tcW w:w="2538" w:type="dxa"/>
          </w:tcPr>
          <w:p w14:paraId="1A3CE89C" w14:textId="77777777" w:rsidR="001506C1" w:rsidRPr="00FA3F9C" w:rsidRDefault="001506C1" w:rsidP="006F623F">
            <w:pPr>
              <w:rPr>
                <w:rFonts w:ascii="Arial" w:hAnsi="Arial" w:cs="Arial"/>
                <w:sz w:val="24"/>
                <w:szCs w:val="24"/>
              </w:rPr>
            </w:pPr>
            <w:r w:rsidRPr="00FA3F9C">
              <w:rPr>
                <w:rFonts w:ascii="Arial" w:hAnsi="Arial" w:cs="Arial"/>
                <w:sz w:val="24"/>
                <w:szCs w:val="24"/>
              </w:rPr>
              <w:t>Pharmacist’s initials</w:t>
            </w:r>
          </w:p>
        </w:tc>
      </w:tr>
      <w:tr w:rsidR="001506C1" w:rsidRPr="00FA3F9C" w14:paraId="54DDFC62" w14:textId="77777777" w:rsidTr="00FE491B">
        <w:tc>
          <w:tcPr>
            <w:tcW w:w="1008" w:type="dxa"/>
          </w:tcPr>
          <w:p w14:paraId="7A3D3B1D" w14:textId="77777777" w:rsidR="001506C1" w:rsidRPr="00FA3F9C" w:rsidRDefault="001506C1" w:rsidP="006F623F">
            <w:pPr>
              <w:rPr>
                <w:rFonts w:ascii="Arial" w:hAnsi="Arial" w:cs="Arial"/>
                <w:sz w:val="24"/>
                <w:szCs w:val="24"/>
              </w:rPr>
            </w:pPr>
            <w:r w:rsidRPr="00FA3F9C">
              <w:rPr>
                <w:rFonts w:ascii="Arial" w:hAnsi="Arial" w:cs="Arial"/>
                <w:sz w:val="24"/>
                <w:szCs w:val="24"/>
              </w:rPr>
              <w:t>1/12/21</w:t>
            </w:r>
          </w:p>
        </w:tc>
        <w:tc>
          <w:tcPr>
            <w:tcW w:w="7470" w:type="dxa"/>
          </w:tcPr>
          <w:p w14:paraId="1A11BA8D" w14:textId="77777777" w:rsidR="001506C1" w:rsidRPr="00FA3F9C" w:rsidRDefault="001506C1" w:rsidP="006F623F">
            <w:pPr>
              <w:rPr>
                <w:rFonts w:ascii="Arial" w:hAnsi="Arial" w:cs="Arial"/>
                <w:sz w:val="24"/>
                <w:szCs w:val="24"/>
              </w:rPr>
            </w:pPr>
            <w:r w:rsidRPr="00FA3F9C">
              <w:rPr>
                <w:rFonts w:ascii="Arial" w:hAnsi="Arial" w:cs="Arial"/>
                <w:sz w:val="24"/>
                <w:szCs w:val="24"/>
              </w:rPr>
              <w:t>I wrote the criteria.</w:t>
            </w:r>
          </w:p>
        </w:tc>
        <w:tc>
          <w:tcPr>
            <w:tcW w:w="2538" w:type="dxa"/>
          </w:tcPr>
          <w:p w14:paraId="352E862B" w14:textId="77777777" w:rsidR="001506C1" w:rsidRPr="00FA3F9C" w:rsidRDefault="001506C1" w:rsidP="006F623F">
            <w:pPr>
              <w:rPr>
                <w:rFonts w:ascii="Arial" w:hAnsi="Arial" w:cs="Arial"/>
                <w:sz w:val="24"/>
                <w:szCs w:val="24"/>
              </w:rPr>
            </w:pPr>
            <w:r w:rsidRPr="00FA3F9C">
              <w:rPr>
                <w:rFonts w:ascii="Arial" w:hAnsi="Arial" w:cs="Arial"/>
                <w:sz w:val="24"/>
                <w:szCs w:val="24"/>
              </w:rPr>
              <w:t>JJ</w:t>
            </w:r>
          </w:p>
        </w:tc>
      </w:tr>
      <w:tr w:rsidR="001506C1" w:rsidRPr="00FA3F9C" w14:paraId="352C416D" w14:textId="77777777" w:rsidTr="00FE491B">
        <w:tc>
          <w:tcPr>
            <w:tcW w:w="1008" w:type="dxa"/>
          </w:tcPr>
          <w:p w14:paraId="6328107E" w14:textId="77777777" w:rsidR="001506C1" w:rsidRPr="00FA3F9C" w:rsidRDefault="001506C1" w:rsidP="006F623F">
            <w:pPr>
              <w:rPr>
                <w:rFonts w:ascii="Arial" w:hAnsi="Arial" w:cs="Arial"/>
                <w:sz w:val="24"/>
                <w:szCs w:val="24"/>
              </w:rPr>
            </w:pPr>
          </w:p>
        </w:tc>
        <w:tc>
          <w:tcPr>
            <w:tcW w:w="7470" w:type="dxa"/>
          </w:tcPr>
          <w:p w14:paraId="130DAA43" w14:textId="77777777" w:rsidR="001506C1" w:rsidRPr="00FA3F9C" w:rsidRDefault="001506C1" w:rsidP="006F623F">
            <w:pPr>
              <w:rPr>
                <w:rFonts w:ascii="Arial" w:hAnsi="Arial" w:cs="Arial"/>
                <w:sz w:val="24"/>
                <w:szCs w:val="24"/>
              </w:rPr>
            </w:pPr>
          </w:p>
        </w:tc>
        <w:tc>
          <w:tcPr>
            <w:tcW w:w="2538" w:type="dxa"/>
          </w:tcPr>
          <w:p w14:paraId="0E4982D1" w14:textId="77777777" w:rsidR="001506C1" w:rsidRPr="00FA3F9C" w:rsidRDefault="001506C1" w:rsidP="006F623F">
            <w:pPr>
              <w:rPr>
                <w:rFonts w:ascii="Arial" w:hAnsi="Arial" w:cs="Arial"/>
                <w:sz w:val="24"/>
                <w:szCs w:val="24"/>
              </w:rPr>
            </w:pPr>
          </w:p>
        </w:tc>
      </w:tr>
    </w:tbl>
    <w:p w14:paraId="7DD6C098" w14:textId="77777777" w:rsidR="001506C1" w:rsidRPr="00FA3F9C" w:rsidRDefault="001506C1" w:rsidP="006F623F">
      <w:pPr>
        <w:spacing w:after="0"/>
        <w:rPr>
          <w:rFonts w:ascii="Arial" w:hAnsi="Arial" w:cs="Arial"/>
          <w:sz w:val="24"/>
          <w:szCs w:val="24"/>
        </w:rPr>
      </w:pPr>
    </w:p>
    <w:p w14:paraId="32A78ACB"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vertAlign w:val="superscript"/>
        </w:rPr>
        <w:t>1</w:t>
      </w:r>
      <w:r w:rsidRPr="00FA3F9C">
        <w:rPr>
          <w:rFonts w:ascii="Arial" w:hAnsi="Arial" w:cs="Arial"/>
          <w:sz w:val="24"/>
          <w:szCs w:val="24"/>
        </w:rPr>
        <w:t>Therapy depending on stage:</w:t>
      </w:r>
    </w:p>
    <w:tbl>
      <w:tblPr>
        <w:tblStyle w:val="TableGrid"/>
        <w:tblW w:w="0" w:type="auto"/>
        <w:tblLook w:val="04A0" w:firstRow="1" w:lastRow="0" w:firstColumn="1" w:lastColumn="0" w:noHBand="0" w:noVBand="1"/>
      </w:tblPr>
      <w:tblGrid>
        <w:gridCol w:w="11016"/>
      </w:tblGrid>
      <w:tr w:rsidR="001506C1" w:rsidRPr="00FA3F9C" w14:paraId="683A02F4" w14:textId="77777777" w:rsidTr="00F15014">
        <w:tc>
          <w:tcPr>
            <w:tcW w:w="11016" w:type="dxa"/>
          </w:tcPr>
          <w:p w14:paraId="60846616" w14:textId="77777777" w:rsidR="001506C1" w:rsidRPr="00FA3F9C" w:rsidRDefault="001506C1" w:rsidP="004071CA">
            <w:pPr>
              <w:rPr>
                <w:rFonts w:ascii="Arial" w:hAnsi="Arial" w:cs="Arial"/>
                <w:sz w:val="24"/>
                <w:szCs w:val="24"/>
              </w:rPr>
            </w:pPr>
            <w:r w:rsidRPr="00FA3F9C">
              <w:rPr>
                <w:rFonts w:ascii="Arial" w:hAnsi="Arial" w:cs="Arial"/>
                <w:sz w:val="24"/>
                <w:szCs w:val="24"/>
              </w:rPr>
              <w:t xml:space="preserve">Stage 1: </w:t>
            </w:r>
          </w:p>
          <w:p w14:paraId="524D39C0" w14:textId="77777777" w:rsidR="001506C1" w:rsidRPr="00FA3F9C" w:rsidRDefault="001506C1" w:rsidP="004071CA">
            <w:pPr>
              <w:rPr>
                <w:rFonts w:ascii="Arial" w:hAnsi="Arial" w:cs="Arial"/>
                <w:sz w:val="24"/>
                <w:szCs w:val="24"/>
              </w:rPr>
            </w:pPr>
            <w:r w:rsidRPr="00FA3F9C">
              <w:rPr>
                <w:rFonts w:ascii="Arial" w:hAnsi="Arial" w:cs="Arial"/>
                <w:sz w:val="24"/>
                <w:szCs w:val="24"/>
              </w:rPr>
              <w:t>Goal is to improve the quality and transparency of epithelium and to avoid epithelial breakdown.</w:t>
            </w:r>
          </w:p>
          <w:p w14:paraId="77AD59D5" w14:textId="77777777" w:rsidR="001506C1" w:rsidRPr="00FA3F9C" w:rsidRDefault="001506C1" w:rsidP="004071CA">
            <w:pPr>
              <w:rPr>
                <w:rFonts w:ascii="Arial" w:hAnsi="Arial" w:cs="Arial"/>
                <w:sz w:val="24"/>
                <w:szCs w:val="24"/>
              </w:rPr>
            </w:pPr>
            <w:r w:rsidRPr="00FA3F9C">
              <w:rPr>
                <w:rFonts w:ascii="Arial" w:hAnsi="Arial" w:cs="Arial"/>
                <w:sz w:val="24"/>
                <w:szCs w:val="24"/>
              </w:rPr>
              <w:t>Use frequent application of preservative-free artificial eye drops and lubricant ointments.</w:t>
            </w:r>
          </w:p>
          <w:p w14:paraId="505C2D79" w14:textId="77777777" w:rsidR="001506C1" w:rsidRPr="00FA3F9C" w:rsidRDefault="001506C1" w:rsidP="004071CA">
            <w:pPr>
              <w:rPr>
                <w:rFonts w:ascii="Arial" w:hAnsi="Arial" w:cs="Arial"/>
                <w:sz w:val="24"/>
                <w:szCs w:val="24"/>
              </w:rPr>
            </w:pPr>
            <w:proofErr w:type="spellStart"/>
            <w:r w:rsidRPr="00FA3F9C">
              <w:rPr>
                <w:rFonts w:ascii="Arial" w:hAnsi="Arial" w:cs="Arial"/>
                <w:sz w:val="24"/>
                <w:szCs w:val="24"/>
              </w:rPr>
              <w:t>Punctal</w:t>
            </w:r>
            <w:proofErr w:type="spellEnd"/>
            <w:r w:rsidRPr="00FA3F9C">
              <w:rPr>
                <w:rFonts w:ascii="Arial" w:hAnsi="Arial" w:cs="Arial"/>
                <w:sz w:val="24"/>
                <w:szCs w:val="24"/>
              </w:rPr>
              <w:t xml:space="preserve"> occlusion may be beneficial.</w:t>
            </w:r>
          </w:p>
          <w:p w14:paraId="7B4966C7" w14:textId="77777777" w:rsidR="001506C1" w:rsidRPr="00FA3F9C" w:rsidRDefault="001506C1" w:rsidP="004071CA">
            <w:pPr>
              <w:rPr>
                <w:rFonts w:ascii="Arial" w:hAnsi="Arial" w:cs="Arial"/>
                <w:sz w:val="24"/>
                <w:szCs w:val="24"/>
              </w:rPr>
            </w:pPr>
            <w:r w:rsidRPr="00FA3F9C">
              <w:rPr>
                <w:rFonts w:ascii="Arial" w:hAnsi="Arial" w:cs="Arial"/>
                <w:sz w:val="24"/>
                <w:szCs w:val="24"/>
              </w:rPr>
              <w:t>Autologous serum tears could be used if there is persistent keratopathy.</w:t>
            </w:r>
          </w:p>
          <w:p w14:paraId="49F8C8BE" w14:textId="77777777" w:rsidR="001506C1" w:rsidRPr="00FA3F9C" w:rsidRDefault="001506C1" w:rsidP="004071CA">
            <w:pPr>
              <w:rPr>
                <w:rFonts w:ascii="Arial" w:hAnsi="Arial" w:cs="Arial"/>
                <w:sz w:val="24"/>
                <w:szCs w:val="24"/>
              </w:rPr>
            </w:pPr>
            <w:r w:rsidRPr="00FA3F9C">
              <w:rPr>
                <w:rFonts w:ascii="Arial" w:hAnsi="Arial" w:cs="Arial"/>
                <w:sz w:val="24"/>
                <w:szCs w:val="24"/>
              </w:rPr>
              <w:t>Last, recombinant human nerve growth factor (</w:t>
            </w:r>
            <w:proofErr w:type="spellStart"/>
            <w:r w:rsidRPr="00FA3F9C">
              <w:rPr>
                <w:rFonts w:ascii="Arial" w:hAnsi="Arial" w:cs="Arial"/>
                <w:sz w:val="24"/>
                <w:szCs w:val="24"/>
              </w:rPr>
              <w:t>rhNGF</w:t>
            </w:r>
            <w:proofErr w:type="spellEnd"/>
            <w:r w:rsidRPr="00FA3F9C">
              <w:rPr>
                <w:rFonts w:ascii="Arial" w:hAnsi="Arial" w:cs="Arial"/>
                <w:sz w:val="24"/>
                <w:szCs w:val="24"/>
              </w:rPr>
              <w:t xml:space="preserve">) </w:t>
            </w:r>
            <w:proofErr w:type="gramStart"/>
            <w:r w:rsidRPr="00FA3F9C">
              <w:rPr>
                <w:rFonts w:ascii="Arial" w:hAnsi="Arial" w:cs="Arial"/>
                <w:sz w:val="24"/>
                <w:szCs w:val="24"/>
              </w:rPr>
              <w:t>drops</w:t>
            </w:r>
            <w:proofErr w:type="gramEnd"/>
            <w:r w:rsidRPr="00FA3F9C">
              <w:rPr>
                <w:rFonts w:ascii="Arial" w:hAnsi="Arial" w:cs="Arial"/>
                <w:sz w:val="24"/>
                <w:szCs w:val="24"/>
              </w:rPr>
              <w:t xml:space="preserve"> and self-retaining cryopreserved amniotic membrane (</w:t>
            </w:r>
            <w:proofErr w:type="spellStart"/>
            <w:r w:rsidRPr="00FA3F9C">
              <w:rPr>
                <w:rFonts w:ascii="Arial" w:hAnsi="Arial" w:cs="Arial"/>
                <w:sz w:val="24"/>
                <w:szCs w:val="24"/>
              </w:rPr>
              <w:t>Prokera</w:t>
            </w:r>
            <w:proofErr w:type="spellEnd"/>
            <w:r w:rsidRPr="00FA3F9C">
              <w:rPr>
                <w:rFonts w:ascii="Arial" w:hAnsi="Arial" w:cs="Arial"/>
                <w:sz w:val="24"/>
                <w:szCs w:val="24"/>
              </w:rPr>
              <w:t>) can be considered.</w:t>
            </w:r>
          </w:p>
        </w:tc>
      </w:tr>
      <w:tr w:rsidR="001506C1" w:rsidRPr="00FA3F9C" w14:paraId="1F6C0ACE" w14:textId="77777777" w:rsidTr="00F15014">
        <w:tc>
          <w:tcPr>
            <w:tcW w:w="11016" w:type="dxa"/>
          </w:tcPr>
          <w:p w14:paraId="149033FE" w14:textId="77777777" w:rsidR="001506C1" w:rsidRPr="00FA3F9C" w:rsidRDefault="001506C1" w:rsidP="004071CA">
            <w:pPr>
              <w:rPr>
                <w:rFonts w:ascii="Arial" w:hAnsi="Arial" w:cs="Arial"/>
                <w:sz w:val="24"/>
                <w:szCs w:val="24"/>
              </w:rPr>
            </w:pPr>
            <w:r w:rsidRPr="00FA3F9C">
              <w:rPr>
                <w:rFonts w:ascii="Arial" w:hAnsi="Arial" w:cs="Arial"/>
                <w:sz w:val="24"/>
                <w:szCs w:val="24"/>
              </w:rPr>
              <w:t>Stage 2:</w:t>
            </w:r>
          </w:p>
          <w:p w14:paraId="7B275995" w14:textId="77777777" w:rsidR="001506C1" w:rsidRPr="00FA3F9C" w:rsidRDefault="001506C1" w:rsidP="004071CA">
            <w:pPr>
              <w:rPr>
                <w:rFonts w:ascii="Arial" w:hAnsi="Arial" w:cs="Arial"/>
                <w:sz w:val="24"/>
                <w:szCs w:val="24"/>
              </w:rPr>
            </w:pPr>
            <w:r w:rsidRPr="00FA3F9C">
              <w:rPr>
                <w:rFonts w:ascii="Arial" w:hAnsi="Arial" w:cs="Arial"/>
                <w:sz w:val="24"/>
                <w:szCs w:val="24"/>
              </w:rPr>
              <w:t>Goal is to promote persistent epithelial defects (PED) healing and prevent corneal ulcers.</w:t>
            </w:r>
          </w:p>
          <w:p w14:paraId="2FA49FD1" w14:textId="77777777" w:rsidR="001506C1" w:rsidRPr="00FA3F9C" w:rsidRDefault="001506C1" w:rsidP="004071CA">
            <w:pPr>
              <w:rPr>
                <w:rFonts w:ascii="Arial" w:hAnsi="Arial" w:cs="Arial"/>
                <w:sz w:val="24"/>
                <w:szCs w:val="24"/>
              </w:rPr>
            </w:pPr>
            <w:r w:rsidRPr="00FA3F9C">
              <w:rPr>
                <w:rFonts w:ascii="Arial" w:hAnsi="Arial" w:cs="Arial"/>
                <w:sz w:val="24"/>
                <w:szCs w:val="24"/>
              </w:rPr>
              <w:t>Treatment options:</w:t>
            </w:r>
          </w:p>
          <w:p w14:paraId="5993E3F9" w14:textId="77777777" w:rsidR="001506C1" w:rsidRPr="00FA3F9C" w:rsidRDefault="001506C1" w:rsidP="004071CA">
            <w:pPr>
              <w:rPr>
                <w:rFonts w:ascii="Arial" w:hAnsi="Arial" w:cs="Arial"/>
                <w:sz w:val="24"/>
                <w:szCs w:val="24"/>
              </w:rPr>
            </w:pPr>
            <w:r w:rsidRPr="00FA3F9C">
              <w:rPr>
                <w:rFonts w:ascii="Arial" w:hAnsi="Arial" w:cs="Arial"/>
                <w:sz w:val="24"/>
                <w:szCs w:val="24"/>
              </w:rPr>
              <w:t xml:space="preserve">Unpreserved artificial tears, lubricant ointments, </w:t>
            </w:r>
          </w:p>
          <w:p w14:paraId="199DB980" w14:textId="77777777" w:rsidR="001506C1" w:rsidRPr="00FA3F9C" w:rsidRDefault="001506C1" w:rsidP="004071CA">
            <w:pPr>
              <w:rPr>
                <w:rFonts w:ascii="Arial" w:hAnsi="Arial" w:cs="Arial"/>
                <w:sz w:val="24"/>
                <w:szCs w:val="24"/>
              </w:rPr>
            </w:pPr>
            <w:r w:rsidRPr="00FA3F9C">
              <w:rPr>
                <w:rFonts w:ascii="Arial" w:hAnsi="Arial" w:cs="Arial"/>
                <w:sz w:val="24"/>
                <w:szCs w:val="24"/>
              </w:rPr>
              <w:t xml:space="preserve">therapeutic soft contact lenses or patching, </w:t>
            </w:r>
          </w:p>
          <w:p w14:paraId="52E22882" w14:textId="77777777" w:rsidR="001506C1" w:rsidRPr="00FA3F9C" w:rsidRDefault="001506C1" w:rsidP="004071CA">
            <w:pPr>
              <w:rPr>
                <w:rFonts w:ascii="Arial" w:hAnsi="Arial" w:cs="Arial"/>
                <w:sz w:val="24"/>
                <w:szCs w:val="24"/>
              </w:rPr>
            </w:pPr>
            <w:r w:rsidRPr="00FA3F9C">
              <w:rPr>
                <w:rFonts w:ascii="Arial" w:hAnsi="Arial" w:cs="Arial"/>
                <w:sz w:val="24"/>
                <w:szCs w:val="24"/>
              </w:rPr>
              <w:t xml:space="preserve">topical autologous serum application, </w:t>
            </w:r>
          </w:p>
          <w:p w14:paraId="4938E83B" w14:textId="77777777" w:rsidR="001506C1" w:rsidRPr="00FA3F9C" w:rsidRDefault="001506C1" w:rsidP="004071CA">
            <w:pPr>
              <w:rPr>
                <w:rFonts w:ascii="Arial" w:hAnsi="Arial" w:cs="Arial"/>
                <w:sz w:val="24"/>
                <w:szCs w:val="24"/>
              </w:rPr>
            </w:pPr>
            <w:r w:rsidRPr="00FA3F9C">
              <w:rPr>
                <w:rFonts w:ascii="Arial" w:hAnsi="Arial" w:cs="Arial"/>
                <w:sz w:val="24"/>
                <w:szCs w:val="24"/>
              </w:rPr>
              <w:t>amniotic membrane grafting either in-office or in-operating room using a self-retaining cryopreserved amniotic membrane (</w:t>
            </w:r>
            <w:proofErr w:type="spellStart"/>
            <w:r w:rsidRPr="00FA3F9C">
              <w:rPr>
                <w:rFonts w:ascii="Arial" w:hAnsi="Arial" w:cs="Arial"/>
                <w:sz w:val="24"/>
                <w:szCs w:val="24"/>
              </w:rPr>
              <w:t>Prokera</w:t>
            </w:r>
            <w:proofErr w:type="spellEnd"/>
            <w:r w:rsidRPr="00FA3F9C">
              <w:rPr>
                <w:rFonts w:ascii="Arial" w:hAnsi="Arial" w:cs="Arial"/>
                <w:sz w:val="24"/>
                <w:szCs w:val="24"/>
              </w:rPr>
              <w:t xml:space="preserve">) </w:t>
            </w:r>
          </w:p>
          <w:p w14:paraId="2731F394" w14:textId="77777777" w:rsidR="001506C1" w:rsidRPr="00FA3F9C" w:rsidRDefault="001506C1" w:rsidP="004071CA">
            <w:pPr>
              <w:rPr>
                <w:rFonts w:ascii="Arial" w:hAnsi="Arial" w:cs="Arial"/>
                <w:sz w:val="24"/>
                <w:szCs w:val="24"/>
              </w:rPr>
            </w:pPr>
            <w:r w:rsidRPr="00FA3F9C">
              <w:rPr>
                <w:rFonts w:ascii="Arial" w:hAnsi="Arial" w:cs="Arial"/>
                <w:sz w:val="24"/>
                <w:szCs w:val="24"/>
              </w:rPr>
              <w:lastRenderedPageBreak/>
              <w:t>Tarsorrhaphy or botulinum induced ptosis</w:t>
            </w:r>
          </w:p>
          <w:p w14:paraId="425A4DEE" w14:textId="77777777" w:rsidR="001506C1" w:rsidRPr="00FA3F9C" w:rsidRDefault="001506C1" w:rsidP="004071CA">
            <w:pPr>
              <w:rPr>
                <w:rFonts w:ascii="Arial" w:hAnsi="Arial" w:cs="Arial"/>
                <w:sz w:val="24"/>
                <w:szCs w:val="24"/>
              </w:rPr>
            </w:pPr>
            <w:r w:rsidRPr="00FA3F9C">
              <w:rPr>
                <w:rFonts w:ascii="Arial" w:hAnsi="Arial" w:cs="Arial"/>
                <w:sz w:val="24"/>
                <w:szCs w:val="24"/>
              </w:rPr>
              <w:t xml:space="preserve">Topical </w:t>
            </w:r>
            <w:proofErr w:type="spellStart"/>
            <w:r w:rsidRPr="00FA3F9C">
              <w:rPr>
                <w:rFonts w:ascii="Arial" w:hAnsi="Arial" w:cs="Arial"/>
                <w:sz w:val="24"/>
                <w:szCs w:val="24"/>
              </w:rPr>
              <w:t>rhNGF</w:t>
            </w:r>
            <w:proofErr w:type="spellEnd"/>
            <w:r w:rsidRPr="00FA3F9C">
              <w:rPr>
                <w:rFonts w:ascii="Arial" w:hAnsi="Arial" w:cs="Arial"/>
                <w:sz w:val="24"/>
                <w:szCs w:val="24"/>
              </w:rPr>
              <w:t xml:space="preserve"> drops</w:t>
            </w:r>
          </w:p>
          <w:p w14:paraId="1D6C8326" w14:textId="77777777" w:rsidR="001506C1" w:rsidRPr="00FA3F9C" w:rsidRDefault="001506C1" w:rsidP="004071CA">
            <w:pPr>
              <w:rPr>
                <w:rFonts w:ascii="Arial" w:hAnsi="Arial" w:cs="Arial"/>
                <w:sz w:val="24"/>
                <w:szCs w:val="24"/>
              </w:rPr>
            </w:pPr>
            <w:r w:rsidRPr="00FA3F9C">
              <w:rPr>
                <w:rFonts w:ascii="Arial" w:hAnsi="Arial" w:cs="Arial"/>
                <w:sz w:val="24"/>
                <w:szCs w:val="24"/>
              </w:rPr>
              <w:t>Antibiotic eye drops to prevent bacterial infections</w:t>
            </w:r>
          </w:p>
          <w:p w14:paraId="66EFFA8E" w14:textId="77777777" w:rsidR="001506C1" w:rsidRPr="00FA3F9C" w:rsidRDefault="001506C1" w:rsidP="004071CA">
            <w:pPr>
              <w:rPr>
                <w:rFonts w:ascii="Arial" w:hAnsi="Arial" w:cs="Arial"/>
                <w:sz w:val="24"/>
                <w:szCs w:val="24"/>
              </w:rPr>
            </w:pPr>
            <w:r w:rsidRPr="00FA3F9C">
              <w:rPr>
                <w:rFonts w:ascii="Arial" w:hAnsi="Arial" w:cs="Arial"/>
                <w:sz w:val="24"/>
                <w:szCs w:val="24"/>
              </w:rPr>
              <w:t>Topical corticosteroids to control inflammation; could induce stromal melting</w:t>
            </w:r>
          </w:p>
        </w:tc>
      </w:tr>
      <w:tr w:rsidR="001506C1" w:rsidRPr="00FA3F9C" w14:paraId="48118E15" w14:textId="77777777" w:rsidTr="00F15014">
        <w:tc>
          <w:tcPr>
            <w:tcW w:w="11016" w:type="dxa"/>
          </w:tcPr>
          <w:p w14:paraId="0EE745EC" w14:textId="77777777" w:rsidR="001506C1" w:rsidRPr="00FA3F9C" w:rsidRDefault="001506C1" w:rsidP="004071CA">
            <w:pPr>
              <w:rPr>
                <w:rFonts w:ascii="Arial" w:hAnsi="Arial" w:cs="Arial"/>
                <w:sz w:val="24"/>
                <w:szCs w:val="24"/>
              </w:rPr>
            </w:pPr>
            <w:r w:rsidRPr="00FA3F9C">
              <w:rPr>
                <w:rFonts w:ascii="Arial" w:hAnsi="Arial" w:cs="Arial"/>
                <w:sz w:val="24"/>
                <w:szCs w:val="24"/>
              </w:rPr>
              <w:lastRenderedPageBreak/>
              <w:t>Stage 3:</w:t>
            </w:r>
          </w:p>
          <w:p w14:paraId="59723457" w14:textId="77777777" w:rsidR="001506C1" w:rsidRPr="00FA3F9C" w:rsidRDefault="001506C1" w:rsidP="004071CA">
            <w:pPr>
              <w:rPr>
                <w:rFonts w:ascii="Arial" w:hAnsi="Arial" w:cs="Arial"/>
                <w:sz w:val="24"/>
                <w:szCs w:val="24"/>
              </w:rPr>
            </w:pPr>
            <w:r w:rsidRPr="00FA3F9C">
              <w:rPr>
                <w:rFonts w:ascii="Arial" w:hAnsi="Arial" w:cs="Arial"/>
                <w:sz w:val="24"/>
                <w:szCs w:val="24"/>
              </w:rPr>
              <w:t>Goal: ulcer healing and prevention of corneal perforation</w:t>
            </w:r>
          </w:p>
          <w:p w14:paraId="0D4EE3FF" w14:textId="77777777" w:rsidR="001506C1" w:rsidRPr="00FA3F9C" w:rsidRDefault="001506C1" w:rsidP="004071CA">
            <w:pPr>
              <w:rPr>
                <w:rFonts w:ascii="Arial" w:hAnsi="Arial" w:cs="Arial"/>
                <w:sz w:val="24"/>
                <w:szCs w:val="24"/>
              </w:rPr>
            </w:pPr>
            <w:r w:rsidRPr="00FA3F9C">
              <w:rPr>
                <w:rFonts w:ascii="Arial" w:hAnsi="Arial" w:cs="Arial"/>
                <w:sz w:val="24"/>
                <w:szCs w:val="24"/>
              </w:rPr>
              <w:t>Treatment:</w:t>
            </w:r>
          </w:p>
          <w:p w14:paraId="268D60D1" w14:textId="77777777" w:rsidR="001506C1" w:rsidRPr="00FA3F9C" w:rsidRDefault="001506C1" w:rsidP="004071CA">
            <w:pPr>
              <w:rPr>
                <w:rFonts w:ascii="Arial" w:hAnsi="Arial" w:cs="Arial"/>
                <w:sz w:val="24"/>
                <w:szCs w:val="24"/>
              </w:rPr>
            </w:pPr>
            <w:r w:rsidRPr="00FA3F9C">
              <w:rPr>
                <w:rFonts w:ascii="Arial" w:hAnsi="Arial" w:cs="Arial"/>
                <w:sz w:val="24"/>
                <w:szCs w:val="24"/>
              </w:rPr>
              <w:t>In addition to therapy in stages 1 and 2, N-acetylcysteine, oral tetracycline, and medroxyprogesterone can be used in the case of stromal melting</w:t>
            </w:r>
          </w:p>
          <w:p w14:paraId="18C7E7BA" w14:textId="77777777" w:rsidR="001506C1" w:rsidRPr="00FA3F9C" w:rsidRDefault="001506C1" w:rsidP="004071CA">
            <w:pPr>
              <w:rPr>
                <w:rFonts w:ascii="Arial" w:hAnsi="Arial" w:cs="Arial"/>
                <w:sz w:val="24"/>
                <w:szCs w:val="24"/>
              </w:rPr>
            </w:pPr>
            <w:r w:rsidRPr="00FA3F9C">
              <w:rPr>
                <w:rFonts w:ascii="Arial" w:hAnsi="Arial" w:cs="Arial"/>
                <w:sz w:val="24"/>
                <w:szCs w:val="24"/>
              </w:rPr>
              <w:t>Vitamin C to prevent collagen degradation</w:t>
            </w:r>
          </w:p>
        </w:tc>
      </w:tr>
      <w:tr w:rsidR="001506C1" w:rsidRPr="00FA3F9C" w14:paraId="4B6FE4E6" w14:textId="77777777" w:rsidTr="00F15014">
        <w:tc>
          <w:tcPr>
            <w:tcW w:w="11016" w:type="dxa"/>
          </w:tcPr>
          <w:p w14:paraId="6484885B" w14:textId="77777777" w:rsidR="001506C1" w:rsidRPr="00FA3F9C" w:rsidRDefault="001506C1" w:rsidP="004071CA">
            <w:pPr>
              <w:rPr>
                <w:rFonts w:ascii="Arial" w:hAnsi="Arial" w:cs="Arial"/>
                <w:sz w:val="24"/>
                <w:szCs w:val="24"/>
              </w:rPr>
            </w:pPr>
            <w:r w:rsidRPr="00FA3F9C">
              <w:rPr>
                <w:rFonts w:ascii="Arial" w:hAnsi="Arial" w:cs="Arial"/>
                <w:sz w:val="24"/>
                <w:szCs w:val="24"/>
              </w:rPr>
              <w:t>If corneal perforation occurs, the treatment varies.  Cyanoacrylate glue and soft bandage contact lens or amniotic membrane is performed.  In case of a larger defect, a tectonic penetrating or lamellar keratoplasty can be performed</w:t>
            </w:r>
          </w:p>
        </w:tc>
      </w:tr>
      <w:tr w:rsidR="001506C1" w:rsidRPr="00FA3F9C" w14:paraId="5A5FC5EF" w14:textId="77777777" w:rsidTr="00F15014">
        <w:tc>
          <w:tcPr>
            <w:tcW w:w="11016" w:type="dxa"/>
          </w:tcPr>
          <w:p w14:paraId="1EAD1D3B" w14:textId="77777777" w:rsidR="001506C1" w:rsidRPr="00FA3F9C" w:rsidRDefault="001506C1" w:rsidP="004071CA">
            <w:pPr>
              <w:rPr>
                <w:rFonts w:ascii="Arial" w:hAnsi="Arial" w:cs="Arial"/>
                <w:sz w:val="24"/>
                <w:szCs w:val="24"/>
              </w:rPr>
            </w:pPr>
            <w:r w:rsidRPr="00FA3F9C">
              <w:rPr>
                <w:rFonts w:ascii="Arial" w:hAnsi="Arial" w:cs="Arial"/>
                <w:sz w:val="24"/>
                <w:szCs w:val="24"/>
              </w:rPr>
              <w:t>Surgical Management:</w:t>
            </w:r>
            <w:r w:rsidRPr="00FA3F9C">
              <w:rPr>
                <w:rFonts w:ascii="Arial" w:hAnsi="Arial" w:cs="Arial"/>
                <w:color w:val="2C3E50"/>
                <w:sz w:val="24"/>
                <w:szCs w:val="24"/>
                <w:shd w:val="clear" w:color="auto" w:fill="FFFFFF"/>
              </w:rPr>
              <w:t xml:space="preserve"> Prognosis of patients affected by NK depends on disease stage, degree of anesthesia, and association with other ocular surface diseases.</w:t>
            </w:r>
          </w:p>
          <w:p w14:paraId="72471375" w14:textId="77777777" w:rsidR="001506C1" w:rsidRPr="00FA3F9C" w:rsidRDefault="00500371" w:rsidP="004071CA">
            <w:pPr>
              <w:pStyle w:val="NormalWeb"/>
              <w:shd w:val="clear" w:color="auto" w:fill="FFFFFF"/>
              <w:spacing w:before="0" w:beforeAutospacing="0" w:after="0" w:afterAutospacing="0"/>
              <w:rPr>
                <w:rFonts w:ascii="Arial" w:hAnsi="Arial" w:cs="Arial"/>
                <w:color w:val="2C3E50"/>
                <w:sz w:val="24"/>
                <w:szCs w:val="24"/>
              </w:rPr>
            </w:pPr>
            <w:hyperlink r:id="rId77" w:history="1">
              <w:r w:rsidR="001506C1" w:rsidRPr="00FA3F9C">
                <w:rPr>
                  <w:rStyle w:val="Hyperlink"/>
                  <w:rFonts w:ascii="Arial" w:hAnsi="Arial" w:cs="Arial"/>
                  <w:color w:val="235380"/>
                  <w:sz w:val="24"/>
                  <w:szCs w:val="24"/>
                </w:rPr>
                <w:t>Corneal neurotization</w:t>
              </w:r>
            </w:hyperlink>
            <w:r w:rsidR="001506C1" w:rsidRPr="00FA3F9C">
              <w:rPr>
                <w:rFonts w:ascii="Arial" w:hAnsi="Arial" w:cs="Arial"/>
                <w:color w:val="2C3E50"/>
                <w:sz w:val="24"/>
                <w:szCs w:val="24"/>
              </w:rPr>
              <w:t> has become an increasingly explored topic in the management of neurotrophic keratitis. Neurotization of the cornea typically transfers the supraorbital or supratrochlear nerve to either directly or indirectly with a nerve graft (</w:t>
            </w:r>
            <w:proofErr w:type="gramStart"/>
            <w:r w:rsidR="001506C1" w:rsidRPr="00FA3F9C">
              <w:rPr>
                <w:rFonts w:ascii="Arial" w:hAnsi="Arial" w:cs="Arial"/>
                <w:color w:val="2C3E50"/>
                <w:sz w:val="24"/>
                <w:szCs w:val="24"/>
              </w:rPr>
              <w:t>i.e.</w:t>
            </w:r>
            <w:proofErr w:type="gramEnd"/>
            <w:r w:rsidR="001506C1" w:rsidRPr="00FA3F9C">
              <w:rPr>
                <w:rFonts w:ascii="Arial" w:hAnsi="Arial" w:cs="Arial"/>
                <w:color w:val="2C3E50"/>
                <w:sz w:val="24"/>
                <w:szCs w:val="24"/>
              </w:rPr>
              <w:t xml:space="preserve"> sural nerve) to the neurotrophic cornea. Neurotization and nerve reconstruction are well established for use in the reinnervation of peripheral nerve injuries.</w:t>
            </w:r>
            <w:hyperlink r:id="rId78" w:anchor="cite_note-31" w:history="1">
              <w:r w:rsidR="001506C1" w:rsidRPr="00FA3F9C">
                <w:rPr>
                  <w:rStyle w:val="Hyperlink"/>
                  <w:rFonts w:ascii="Arial" w:hAnsi="Arial" w:cs="Arial"/>
                  <w:color w:val="235380"/>
                  <w:sz w:val="24"/>
                  <w:szCs w:val="24"/>
                  <w:vertAlign w:val="superscript"/>
                </w:rPr>
                <w:t>[31]</w:t>
              </w:r>
            </w:hyperlink>
            <w:r w:rsidR="001506C1" w:rsidRPr="00FA3F9C">
              <w:rPr>
                <w:rFonts w:ascii="Arial" w:hAnsi="Arial" w:cs="Arial"/>
                <w:color w:val="2C3E50"/>
                <w:sz w:val="24"/>
                <w:szCs w:val="24"/>
              </w:rPr>
              <w:t> </w:t>
            </w:r>
          </w:p>
          <w:p w14:paraId="2BC26418" w14:textId="77777777" w:rsidR="001506C1" w:rsidRPr="00FA3F9C" w:rsidRDefault="001506C1" w:rsidP="004071CA">
            <w:pPr>
              <w:pStyle w:val="NormalWeb"/>
              <w:shd w:val="clear" w:color="auto" w:fill="FFFFFF"/>
              <w:spacing w:before="0" w:beforeAutospacing="0" w:after="0" w:afterAutospacing="0"/>
              <w:rPr>
                <w:rFonts w:ascii="Arial" w:hAnsi="Arial" w:cs="Arial"/>
                <w:color w:val="2C3E50"/>
                <w:sz w:val="24"/>
                <w:szCs w:val="24"/>
              </w:rPr>
            </w:pPr>
            <w:r w:rsidRPr="00FA3F9C">
              <w:rPr>
                <w:rFonts w:ascii="Arial" w:hAnsi="Arial" w:cs="Arial"/>
                <w:color w:val="2C3E50"/>
                <w:sz w:val="24"/>
                <w:szCs w:val="24"/>
              </w:rPr>
              <w:t>Results thus far reveal neurotization leads to improvement in corneal sensation, improvement in visual acuity, and reduction of symptoms for months to years after surgery.</w:t>
            </w:r>
            <w:hyperlink r:id="rId79" w:anchor="cite_note-:26-32" w:history="1">
              <w:r w:rsidRPr="00FA3F9C">
                <w:rPr>
                  <w:rStyle w:val="Hyperlink"/>
                  <w:rFonts w:ascii="Arial" w:hAnsi="Arial" w:cs="Arial"/>
                  <w:color w:val="235380"/>
                  <w:sz w:val="24"/>
                  <w:szCs w:val="24"/>
                  <w:vertAlign w:val="superscript"/>
                </w:rPr>
                <w:t>[32]</w:t>
              </w:r>
            </w:hyperlink>
            <w:hyperlink r:id="rId80" w:anchor="cite_note-33" w:history="1">
              <w:r w:rsidRPr="00FA3F9C">
                <w:rPr>
                  <w:rStyle w:val="Hyperlink"/>
                  <w:rFonts w:ascii="Arial" w:hAnsi="Arial" w:cs="Arial"/>
                  <w:color w:val="235380"/>
                  <w:sz w:val="24"/>
                  <w:szCs w:val="24"/>
                  <w:vertAlign w:val="superscript"/>
                </w:rPr>
                <w:t>[33]</w:t>
              </w:r>
            </w:hyperlink>
            <w:hyperlink r:id="rId81" w:anchor="cite_note-34" w:history="1">
              <w:r w:rsidRPr="00FA3F9C">
                <w:rPr>
                  <w:rStyle w:val="Hyperlink"/>
                  <w:rFonts w:ascii="Arial" w:hAnsi="Arial" w:cs="Arial"/>
                  <w:color w:val="235380"/>
                  <w:sz w:val="24"/>
                  <w:szCs w:val="24"/>
                  <w:vertAlign w:val="superscript"/>
                </w:rPr>
                <w:t>[34]</w:t>
              </w:r>
            </w:hyperlink>
            <w:hyperlink r:id="rId82" w:anchor="cite_note-35" w:history="1">
              <w:r w:rsidRPr="00FA3F9C">
                <w:rPr>
                  <w:rStyle w:val="Hyperlink"/>
                  <w:rFonts w:ascii="Arial" w:hAnsi="Arial" w:cs="Arial"/>
                  <w:color w:val="235380"/>
                  <w:sz w:val="24"/>
                  <w:szCs w:val="24"/>
                  <w:vertAlign w:val="superscript"/>
                </w:rPr>
                <w:t>[35]</w:t>
              </w:r>
            </w:hyperlink>
            <w:hyperlink r:id="rId83" w:anchor="cite_note-36" w:history="1">
              <w:r w:rsidRPr="00FA3F9C">
                <w:rPr>
                  <w:rStyle w:val="Hyperlink"/>
                  <w:rFonts w:ascii="Arial" w:hAnsi="Arial" w:cs="Arial"/>
                  <w:color w:val="235380"/>
                  <w:sz w:val="24"/>
                  <w:szCs w:val="24"/>
                  <w:vertAlign w:val="superscript"/>
                </w:rPr>
                <w:t>[36]</w:t>
              </w:r>
            </w:hyperlink>
            <w:hyperlink r:id="rId84" w:anchor="cite_note-37" w:history="1">
              <w:r w:rsidRPr="00FA3F9C">
                <w:rPr>
                  <w:rStyle w:val="Hyperlink"/>
                  <w:rFonts w:ascii="Arial" w:hAnsi="Arial" w:cs="Arial"/>
                  <w:color w:val="235380"/>
                  <w:sz w:val="24"/>
                  <w:szCs w:val="24"/>
                  <w:vertAlign w:val="superscript"/>
                </w:rPr>
                <w:t>[37]</w:t>
              </w:r>
            </w:hyperlink>
            <w:r w:rsidRPr="00FA3F9C">
              <w:rPr>
                <w:rFonts w:ascii="Arial" w:hAnsi="Arial" w:cs="Arial"/>
                <w:color w:val="2C3E50"/>
                <w:sz w:val="24"/>
                <w:szCs w:val="24"/>
              </w:rPr>
              <w:t xml:space="preserve"> It is worth noting that neurotization of the cornea is an extensive surgery that requires a high level of experience shared between Neurosurgery, Cornea, and </w:t>
            </w:r>
            <w:proofErr w:type="spellStart"/>
            <w:r w:rsidRPr="00FA3F9C">
              <w:rPr>
                <w:rFonts w:ascii="Arial" w:hAnsi="Arial" w:cs="Arial"/>
                <w:color w:val="2C3E50"/>
                <w:sz w:val="24"/>
                <w:szCs w:val="24"/>
              </w:rPr>
              <w:t>Oculoplastics</w:t>
            </w:r>
            <w:proofErr w:type="spellEnd"/>
            <w:r w:rsidRPr="00FA3F9C">
              <w:rPr>
                <w:rFonts w:ascii="Arial" w:hAnsi="Arial" w:cs="Arial"/>
                <w:color w:val="2C3E50"/>
                <w:sz w:val="24"/>
                <w:szCs w:val="24"/>
              </w:rPr>
              <w:t>.</w:t>
            </w:r>
          </w:p>
          <w:p w14:paraId="5B86B878" w14:textId="77777777" w:rsidR="001506C1" w:rsidRPr="00FA3F9C" w:rsidRDefault="001506C1" w:rsidP="004071CA">
            <w:pPr>
              <w:rPr>
                <w:rFonts w:ascii="Arial" w:hAnsi="Arial" w:cs="Arial"/>
                <w:sz w:val="24"/>
                <w:szCs w:val="24"/>
              </w:rPr>
            </w:pPr>
            <w:r w:rsidRPr="00FA3F9C">
              <w:rPr>
                <w:rFonts w:ascii="Arial" w:hAnsi="Arial" w:cs="Arial"/>
                <w:color w:val="2C3E50"/>
                <w:sz w:val="24"/>
                <w:szCs w:val="24"/>
                <w:shd w:val="clear" w:color="auto" w:fill="FFFFFF"/>
              </w:rPr>
              <w:t xml:space="preserve">The surgical outcome of keratoplasty in patients affected by NK is generally poor due to impairment in wound healing and risk of PED recurrence.  </w:t>
            </w:r>
          </w:p>
        </w:tc>
      </w:tr>
    </w:tbl>
    <w:p w14:paraId="273942B5" w14:textId="77777777" w:rsidR="001506C1" w:rsidRPr="00FA3F9C" w:rsidRDefault="001506C1" w:rsidP="006F623F">
      <w:pPr>
        <w:spacing w:after="0"/>
        <w:rPr>
          <w:rFonts w:ascii="Arial" w:hAnsi="Arial" w:cs="Arial"/>
          <w:sz w:val="24"/>
          <w:szCs w:val="24"/>
        </w:rPr>
      </w:pPr>
    </w:p>
    <w:p w14:paraId="66916E2A" w14:textId="6ED6BEB0" w:rsidR="001506C1" w:rsidRPr="00652A6E" w:rsidRDefault="001506C1" w:rsidP="006F623F">
      <w:pPr>
        <w:spacing w:after="0"/>
        <w:jc w:val="center"/>
        <w:rPr>
          <w:rStyle w:val="Heading2Char"/>
          <w:rFonts w:eastAsiaTheme="minorHAnsi"/>
          <w:lang w:val="es-ES"/>
        </w:rPr>
      </w:pPr>
      <w:bookmarkStart w:id="56" w:name="_Toc106369752"/>
      <w:proofErr w:type="spellStart"/>
      <w:r w:rsidRPr="00FC1E85">
        <w:rPr>
          <w:rStyle w:val="Heading2Char"/>
          <w:rFonts w:eastAsiaTheme="minorHAnsi"/>
          <w:lang w:val="es-ES"/>
        </w:rPr>
        <w:t>Aimovig</w:t>
      </w:r>
      <w:proofErr w:type="spellEnd"/>
      <w:r w:rsidRPr="00FC1E85">
        <w:rPr>
          <w:rStyle w:val="Heading2Char"/>
          <w:rFonts w:eastAsiaTheme="minorHAnsi"/>
          <w:lang w:val="es-ES"/>
        </w:rPr>
        <w:t xml:space="preserve"> (</w:t>
      </w:r>
      <w:proofErr w:type="spellStart"/>
      <w:r w:rsidRPr="00FC1E85">
        <w:rPr>
          <w:rStyle w:val="Heading2Char"/>
          <w:rFonts w:eastAsiaTheme="minorHAnsi"/>
          <w:lang w:val="es-ES"/>
        </w:rPr>
        <w:t>erenumab</w:t>
      </w:r>
      <w:proofErr w:type="spellEnd"/>
      <w:proofErr w:type="gramStart"/>
      <w:r w:rsidRPr="00FC1E85">
        <w:rPr>
          <w:rStyle w:val="Heading2Char"/>
          <w:rFonts w:eastAsiaTheme="minorHAnsi"/>
          <w:lang w:val="es-ES"/>
        </w:rPr>
        <w:t>)</w:t>
      </w:r>
      <w:bookmarkEnd w:id="56"/>
      <w:r w:rsidRPr="00FA3F9C">
        <w:rPr>
          <w:rFonts w:ascii="Arial" w:hAnsi="Arial" w:cs="Arial"/>
          <w:sz w:val="24"/>
          <w:szCs w:val="24"/>
          <w:lang w:val="es-ES"/>
        </w:rPr>
        <w:t xml:space="preserve"> ;</w:t>
      </w:r>
      <w:proofErr w:type="gramEnd"/>
      <w:r w:rsidRPr="00FA3F9C">
        <w:rPr>
          <w:rFonts w:ascii="Arial" w:hAnsi="Arial" w:cs="Arial"/>
          <w:sz w:val="24"/>
          <w:szCs w:val="24"/>
          <w:lang w:val="es-ES"/>
        </w:rPr>
        <w:t xml:space="preserve"> </w:t>
      </w:r>
      <w:proofErr w:type="spellStart"/>
      <w:r w:rsidRPr="00FC1E85">
        <w:rPr>
          <w:rStyle w:val="Heading2Char"/>
          <w:rFonts w:eastAsiaTheme="minorHAnsi"/>
          <w:lang w:val="es-ES"/>
        </w:rPr>
        <w:t>Emgality</w:t>
      </w:r>
      <w:proofErr w:type="spellEnd"/>
      <w:r w:rsidRPr="00FC1E85">
        <w:rPr>
          <w:rStyle w:val="Heading2Char"/>
          <w:rFonts w:eastAsiaTheme="minorHAnsi"/>
          <w:lang w:val="es-ES"/>
        </w:rPr>
        <w:t xml:space="preserve"> (</w:t>
      </w:r>
      <w:proofErr w:type="spellStart"/>
      <w:r w:rsidRPr="00FC1E85">
        <w:rPr>
          <w:rStyle w:val="Heading2Char"/>
          <w:rFonts w:eastAsiaTheme="minorHAnsi"/>
          <w:lang w:val="es-ES"/>
        </w:rPr>
        <w:t>galcanezumab</w:t>
      </w:r>
      <w:proofErr w:type="spellEnd"/>
      <w:r w:rsidRPr="00FC1E85">
        <w:rPr>
          <w:rStyle w:val="Heading2Char"/>
          <w:rFonts w:eastAsiaTheme="minorHAnsi"/>
          <w:lang w:val="es-ES"/>
        </w:rPr>
        <w:t>)</w:t>
      </w:r>
    </w:p>
    <w:p w14:paraId="2344E79E" w14:textId="77777777" w:rsidR="00FC1E85" w:rsidRPr="00FA3F9C" w:rsidRDefault="00FC1E85" w:rsidP="00FC1E85">
      <w:pPr>
        <w:spacing w:after="0"/>
        <w:jc w:val="center"/>
        <w:rPr>
          <w:rFonts w:ascii="Arial" w:hAnsi="Arial" w:cs="Arial"/>
          <w:sz w:val="24"/>
          <w:szCs w:val="24"/>
          <w:lang w:val="es-ES"/>
        </w:rPr>
      </w:pPr>
      <w:r w:rsidRPr="00FA3F9C">
        <w:rPr>
          <w:rFonts w:ascii="Arial" w:hAnsi="Arial" w:cs="Arial"/>
          <w:sz w:val="24"/>
          <w:szCs w:val="24"/>
          <w:lang w:val="es-ES"/>
        </w:rPr>
        <w:t xml:space="preserve">EBRx PA </w:t>
      </w:r>
      <w:proofErr w:type="spellStart"/>
      <w:r w:rsidRPr="00FA3F9C">
        <w:rPr>
          <w:rFonts w:ascii="Arial" w:hAnsi="Arial" w:cs="Arial"/>
          <w:sz w:val="24"/>
          <w:szCs w:val="24"/>
          <w:lang w:val="es-ES"/>
        </w:rPr>
        <w:t>Criteria</w:t>
      </w:r>
      <w:proofErr w:type="spellEnd"/>
    </w:p>
    <w:p w14:paraId="3F5E6491" w14:textId="77777777" w:rsidR="00FC1E85" w:rsidRPr="00FA3F9C" w:rsidRDefault="00FC1E85" w:rsidP="00FC1E85">
      <w:pPr>
        <w:spacing w:after="0"/>
        <w:rPr>
          <w:rFonts w:ascii="Arial" w:hAnsi="Arial" w:cs="Arial"/>
          <w:sz w:val="24"/>
          <w:szCs w:val="24"/>
          <w:lang w:val="es-ES"/>
        </w:rPr>
      </w:pPr>
    </w:p>
    <w:p w14:paraId="743C2150" w14:textId="77777777" w:rsidR="001506C1" w:rsidRPr="00FA3F9C" w:rsidRDefault="001506C1" w:rsidP="006F623F">
      <w:pPr>
        <w:spacing w:after="0"/>
        <w:rPr>
          <w:rFonts w:ascii="Arial" w:hAnsi="Arial" w:cs="Arial"/>
          <w:b/>
          <w:sz w:val="24"/>
          <w:szCs w:val="24"/>
          <w:u w:val="single"/>
          <w:lang w:val="es-ES"/>
        </w:rPr>
      </w:pPr>
    </w:p>
    <w:p w14:paraId="41D6F505" w14:textId="77777777" w:rsidR="001506C1" w:rsidRPr="00FA3F9C" w:rsidRDefault="001506C1" w:rsidP="006F623F">
      <w:pPr>
        <w:spacing w:after="0"/>
        <w:rPr>
          <w:rFonts w:ascii="Arial" w:hAnsi="Arial" w:cs="Arial"/>
          <w:sz w:val="24"/>
          <w:szCs w:val="24"/>
        </w:rPr>
      </w:pPr>
      <w:r w:rsidRPr="00FA3F9C">
        <w:rPr>
          <w:rFonts w:ascii="Arial" w:hAnsi="Arial" w:cs="Arial"/>
          <w:b/>
          <w:sz w:val="24"/>
          <w:szCs w:val="24"/>
          <w:u w:val="single"/>
        </w:rPr>
        <w:t xml:space="preserve">is FDA-approved </w:t>
      </w:r>
      <w:proofErr w:type="gramStart"/>
      <w:r w:rsidRPr="00FA3F9C">
        <w:rPr>
          <w:rFonts w:ascii="Arial" w:hAnsi="Arial" w:cs="Arial"/>
          <w:b/>
          <w:sz w:val="24"/>
          <w:szCs w:val="24"/>
          <w:u w:val="single"/>
        </w:rPr>
        <w:t>to:</w:t>
      </w:r>
      <w:proofErr w:type="gramEnd"/>
      <w:r w:rsidRPr="00FA3F9C">
        <w:rPr>
          <w:rFonts w:ascii="Arial" w:hAnsi="Arial" w:cs="Arial"/>
          <w:sz w:val="24"/>
          <w:szCs w:val="24"/>
        </w:rPr>
        <w:t xml:space="preserve"> preventive </w:t>
      </w:r>
      <w:proofErr w:type="spellStart"/>
      <w:r w:rsidRPr="00FA3F9C">
        <w:rPr>
          <w:rFonts w:ascii="Arial" w:hAnsi="Arial" w:cs="Arial"/>
          <w:sz w:val="24"/>
          <w:szCs w:val="24"/>
        </w:rPr>
        <w:t>tx</w:t>
      </w:r>
      <w:proofErr w:type="spellEnd"/>
      <w:r w:rsidRPr="00FA3F9C">
        <w:rPr>
          <w:rFonts w:ascii="Arial" w:hAnsi="Arial" w:cs="Arial"/>
          <w:sz w:val="24"/>
          <w:szCs w:val="24"/>
        </w:rPr>
        <w:t xml:space="preserve"> of migraine in adults (both chronic and episodic)</w:t>
      </w:r>
    </w:p>
    <w:tbl>
      <w:tblPr>
        <w:tblStyle w:val="TableGrid"/>
        <w:tblW w:w="11028" w:type="dxa"/>
        <w:tblLook w:val="04A0" w:firstRow="1" w:lastRow="0" w:firstColumn="1" w:lastColumn="0" w:noHBand="0" w:noVBand="1"/>
      </w:tblPr>
      <w:tblGrid>
        <w:gridCol w:w="11028"/>
      </w:tblGrid>
      <w:tr w:rsidR="001506C1" w:rsidRPr="00FA3F9C" w14:paraId="23E12BCA" w14:textId="77777777" w:rsidTr="00D44740">
        <w:trPr>
          <w:trHeight w:val="268"/>
        </w:trPr>
        <w:tc>
          <w:tcPr>
            <w:tcW w:w="11028" w:type="dxa"/>
            <w:shd w:val="clear" w:color="auto" w:fill="000000"/>
          </w:tcPr>
          <w:p w14:paraId="6E829D80" w14:textId="77777777" w:rsidR="001506C1" w:rsidRPr="00FA3F9C" w:rsidRDefault="001506C1" w:rsidP="0086393A">
            <w:pPr>
              <w:rPr>
                <w:rFonts w:ascii="Arial" w:hAnsi="Arial" w:cs="Arial"/>
                <w:b/>
                <w:sz w:val="24"/>
                <w:szCs w:val="24"/>
                <w:u w:val="single"/>
              </w:rPr>
            </w:pPr>
            <w:r w:rsidRPr="00FA3F9C">
              <w:rPr>
                <w:rFonts w:ascii="Arial" w:hAnsi="Arial" w:cs="Arial"/>
                <w:b/>
                <w:sz w:val="24"/>
                <w:szCs w:val="24"/>
                <w:u w:val="single"/>
              </w:rPr>
              <w:t>Criteria :</w:t>
            </w:r>
          </w:p>
        </w:tc>
      </w:tr>
      <w:tr w:rsidR="001506C1" w:rsidRPr="00FA3F9C" w14:paraId="5D596896" w14:textId="77777777" w:rsidTr="00D44740">
        <w:trPr>
          <w:trHeight w:val="253"/>
        </w:trPr>
        <w:tc>
          <w:tcPr>
            <w:tcW w:w="11028" w:type="dxa"/>
          </w:tcPr>
          <w:p w14:paraId="1059BAA1" w14:textId="77777777" w:rsidR="001506C1" w:rsidRPr="00FA3F9C" w:rsidRDefault="001506C1" w:rsidP="001506C1">
            <w:pPr>
              <w:pStyle w:val="ListParagraph"/>
              <w:numPr>
                <w:ilvl w:val="0"/>
                <w:numId w:val="9"/>
              </w:numPr>
              <w:rPr>
                <w:rFonts w:ascii="Arial" w:hAnsi="Arial" w:cs="Arial"/>
                <w:sz w:val="24"/>
                <w:szCs w:val="24"/>
              </w:rPr>
            </w:pPr>
            <w:r w:rsidRPr="00FA3F9C">
              <w:rPr>
                <w:rFonts w:ascii="Arial" w:hAnsi="Arial" w:cs="Arial"/>
                <w:sz w:val="24"/>
                <w:szCs w:val="24"/>
              </w:rPr>
              <w:lastRenderedPageBreak/>
              <w:t>Patient must be 18 or older.</w:t>
            </w:r>
          </w:p>
        </w:tc>
      </w:tr>
      <w:tr w:rsidR="001506C1" w:rsidRPr="00FA3F9C" w14:paraId="1B3670FC" w14:textId="77777777" w:rsidTr="00D44740">
        <w:trPr>
          <w:trHeight w:val="253"/>
        </w:trPr>
        <w:tc>
          <w:tcPr>
            <w:tcW w:w="11028" w:type="dxa"/>
          </w:tcPr>
          <w:p w14:paraId="4A0E21E0" w14:textId="77777777" w:rsidR="001506C1" w:rsidRPr="00FA3F9C" w:rsidRDefault="001506C1" w:rsidP="001506C1">
            <w:pPr>
              <w:pStyle w:val="ListParagraph"/>
              <w:numPr>
                <w:ilvl w:val="0"/>
                <w:numId w:val="9"/>
              </w:numPr>
              <w:rPr>
                <w:rFonts w:ascii="Arial" w:hAnsi="Arial" w:cs="Arial"/>
                <w:sz w:val="24"/>
                <w:szCs w:val="24"/>
              </w:rPr>
            </w:pPr>
            <w:r w:rsidRPr="00FA3F9C">
              <w:rPr>
                <w:rFonts w:ascii="Arial" w:hAnsi="Arial" w:cs="Arial"/>
                <w:sz w:val="24"/>
                <w:szCs w:val="24"/>
              </w:rPr>
              <w:t>Patient must have received diagnosis of chronic or episodic migraine prior to age 50.</w:t>
            </w:r>
          </w:p>
        </w:tc>
      </w:tr>
      <w:tr w:rsidR="001506C1" w:rsidRPr="00FA3F9C" w14:paraId="18B46045" w14:textId="77777777" w:rsidTr="00D44740">
        <w:trPr>
          <w:trHeight w:val="253"/>
        </w:trPr>
        <w:tc>
          <w:tcPr>
            <w:tcW w:w="11028" w:type="dxa"/>
          </w:tcPr>
          <w:p w14:paraId="12992886" w14:textId="77777777" w:rsidR="001506C1" w:rsidRPr="00FA3F9C" w:rsidRDefault="001506C1" w:rsidP="001506C1">
            <w:pPr>
              <w:pStyle w:val="ListParagraph"/>
              <w:numPr>
                <w:ilvl w:val="0"/>
                <w:numId w:val="9"/>
              </w:numPr>
              <w:rPr>
                <w:rFonts w:ascii="Arial" w:hAnsi="Arial" w:cs="Arial"/>
                <w:sz w:val="24"/>
                <w:szCs w:val="24"/>
              </w:rPr>
            </w:pPr>
            <w:r w:rsidRPr="00FA3F9C">
              <w:rPr>
                <w:rFonts w:ascii="Arial" w:hAnsi="Arial" w:cs="Arial"/>
                <w:sz w:val="24"/>
                <w:szCs w:val="24"/>
              </w:rPr>
              <w:t>Patient must have at least 4 headache days per month.</w:t>
            </w:r>
          </w:p>
        </w:tc>
      </w:tr>
      <w:tr w:rsidR="001506C1" w:rsidRPr="00FA3F9C" w14:paraId="46FFEC30" w14:textId="77777777" w:rsidTr="00D44740">
        <w:trPr>
          <w:trHeight w:val="268"/>
        </w:trPr>
        <w:tc>
          <w:tcPr>
            <w:tcW w:w="11028" w:type="dxa"/>
          </w:tcPr>
          <w:p w14:paraId="5ADDE466" w14:textId="77777777" w:rsidR="001506C1" w:rsidRPr="00FA3F9C" w:rsidRDefault="001506C1" w:rsidP="001506C1">
            <w:pPr>
              <w:pStyle w:val="ListParagraph"/>
              <w:numPr>
                <w:ilvl w:val="0"/>
                <w:numId w:val="9"/>
              </w:numPr>
              <w:rPr>
                <w:rFonts w:ascii="Arial" w:hAnsi="Arial" w:cs="Arial"/>
                <w:sz w:val="24"/>
                <w:szCs w:val="24"/>
              </w:rPr>
            </w:pPr>
            <w:r w:rsidRPr="00FA3F9C">
              <w:rPr>
                <w:rFonts w:ascii="Arial" w:hAnsi="Arial" w:cs="Arial"/>
                <w:sz w:val="24"/>
                <w:szCs w:val="24"/>
              </w:rPr>
              <w:t xml:space="preserve">Patient must have tried and had an inadequate response to a trial of </w:t>
            </w:r>
            <w:r w:rsidRPr="00FA3F9C">
              <w:rPr>
                <w:rFonts w:ascii="Arial" w:hAnsi="Arial" w:cs="Arial"/>
                <w:b/>
                <w:sz w:val="24"/>
                <w:szCs w:val="24"/>
              </w:rPr>
              <w:t>ONE</w:t>
            </w:r>
            <w:r w:rsidRPr="00FA3F9C">
              <w:rPr>
                <w:rFonts w:ascii="Arial" w:hAnsi="Arial" w:cs="Arial"/>
                <w:sz w:val="24"/>
                <w:szCs w:val="24"/>
              </w:rPr>
              <w:t xml:space="preserve"> preventive treatment. Examples include:</w:t>
            </w:r>
          </w:p>
          <w:p w14:paraId="0D8FF2C7" w14:textId="77777777" w:rsidR="001506C1" w:rsidRPr="00FA3F9C" w:rsidRDefault="001506C1" w:rsidP="001506C1">
            <w:pPr>
              <w:pStyle w:val="ListParagraph"/>
              <w:numPr>
                <w:ilvl w:val="1"/>
                <w:numId w:val="9"/>
              </w:numPr>
              <w:rPr>
                <w:rFonts w:ascii="Arial" w:hAnsi="Arial" w:cs="Arial"/>
                <w:sz w:val="24"/>
                <w:szCs w:val="24"/>
              </w:rPr>
            </w:pPr>
            <w:r w:rsidRPr="00FA3F9C">
              <w:rPr>
                <w:rFonts w:ascii="Arial" w:hAnsi="Arial" w:cs="Arial"/>
                <w:b/>
                <w:sz w:val="24"/>
                <w:szCs w:val="24"/>
              </w:rPr>
              <w:t>Beta Blocker</w:t>
            </w:r>
            <w:r w:rsidRPr="00FA3F9C">
              <w:rPr>
                <w:rFonts w:ascii="Arial" w:hAnsi="Arial" w:cs="Arial"/>
                <w:sz w:val="24"/>
                <w:szCs w:val="24"/>
              </w:rPr>
              <w:t xml:space="preserve"> - propranolol (80-240 mg/day)</w:t>
            </w:r>
          </w:p>
          <w:p w14:paraId="666167F9" w14:textId="77777777" w:rsidR="001506C1" w:rsidRPr="00FA3F9C" w:rsidRDefault="001506C1" w:rsidP="001506C1">
            <w:pPr>
              <w:pStyle w:val="ListParagraph"/>
              <w:numPr>
                <w:ilvl w:val="1"/>
                <w:numId w:val="9"/>
              </w:numPr>
              <w:rPr>
                <w:rFonts w:ascii="Arial" w:hAnsi="Arial" w:cs="Arial"/>
                <w:sz w:val="24"/>
                <w:szCs w:val="24"/>
              </w:rPr>
            </w:pPr>
            <w:r w:rsidRPr="00FA3F9C">
              <w:rPr>
                <w:rFonts w:ascii="Arial" w:hAnsi="Arial" w:cs="Arial"/>
                <w:b/>
                <w:sz w:val="24"/>
                <w:szCs w:val="24"/>
              </w:rPr>
              <w:t>Antidepressant</w:t>
            </w:r>
            <w:r w:rsidRPr="00FA3F9C">
              <w:rPr>
                <w:rFonts w:ascii="Arial" w:hAnsi="Arial" w:cs="Arial"/>
                <w:sz w:val="24"/>
                <w:szCs w:val="24"/>
              </w:rPr>
              <w:t xml:space="preserve"> - amitriptyline (20-50 mg/day)</w:t>
            </w:r>
          </w:p>
          <w:p w14:paraId="41DEB7B0" w14:textId="77777777" w:rsidR="001506C1" w:rsidRPr="00FA3F9C" w:rsidRDefault="001506C1" w:rsidP="001506C1">
            <w:pPr>
              <w:pStyle w:val="ListParagraph"/>
              <w:numPr>
                <w:ilvl w:val="1"/>
                <w:numId w:val="9"/>
              </w:numPr>
              <w:rPr>
                <w:rFonts w:ascii="Arial" w:hAnsi="Arial" w:cs="Arial"/>
                <w:sz w:val="24"/>
                <w:szCs w:val="24"/>
              </w:rPr>
            </w:pPr>
            <w:r w:rsidRPr="00FA3F9C">
              <w:rPr>
                <w:rFonts w:ascii="Arial" w:hAnsi="Arial" w:cs="Arial"/>
                <w:b/>
                <w:sz w:val="24"/>
                <w:szCs w:val="24"/>
              </w:rPr>
              <w:t>Anticonvulsant</w:t>
            </w:r>
            <w:r w:rsidRPr="00FA3F9C">
              <w:rPr>
                <w:rFonts w:ascii="Arial" w:hAnsi="Arial" w:cs="Arial"/>
                <w:sz w:val="24"/>
                <w:szCs w:val="24"/>
              </w:rPr>
              <w:t xml:space="preserve"> - divalproex (500-1000 mg/ day), topiramate (100-200 mg/day)</w:t>
            </w:r>
          </w:p>
          <w:p w14:paraId="1839BAEC" w14:textId="77777777" w:rsidR="001506C1" w:rsidRPr="00FA3F9C" w:rsidRDefault="001506C1" w:rsidP="001506C1">
            <w:pPr>
              <w:pStyle w:val="ListParagraph"/>
              <w:numPr>
                <w:ilvl w:val="1"/>
                <w:numId w:val="9"/>
              </w:numPr>
              <w:rPr>
                <w:rFonts w:ascii="Arial" w:hAnsi="Arial" w:cs="Arial"/>
                <w:b/>
                <w:sz w:val="24"/>
                <w:szCs w:val="24"/>
              </w:rPr>
            </w:pPr>
            <w:r w:rsidRPr="00FA3F9C">
              <w:rPr>
                <w:rFonts w:ascii="Arial" w:hAnsi="Arial" w:cs="Arial"/>
                <w:b/>
                <w:sz w:val="24"/>
                <w:szCs w:val="24"/>
              </w:rPr>
              <w:t>Botulinum Toxin</w:t>
            </w:r>
          </w:p>
          <w:p w14:paraId="79C4BD5B" w14:textId="77777777" w:rsidR="001506C1" w:rsidRPr="00FA3F9C" w:rsidRDefault="001506C1" w:rsidP="00DE1638">
            <w:pPr>
              <w:ind w:left="360"/>
              <w:rPr>
                <w:rFonts w:ascii="Arial" w:hAnsi="Arial" w:cs="Arial"/>
                <w:sz w:val="24"/>
                <w:szCs w:val="24"/>
              </w:rPr>
            </w:pPr>
          </w:p>
          <w:p w14:paraId="0BA15328" w14:textId="77777777" w:rsidR="001506C1" w:rsidRPr="00FA3F9C" w:rsidRDefault="001506C1" w:rsidP="00DE1638">
            <w:pPr>
              <w:ind w:left="360"/>
              <w:rPr>
                <w:rFonts w:ascii="Arial" w:hAnsi="Arial" w:cs="Arial"/>
                <w:sz w:val="24"/>
                <w:szCs w:val="24"/>
              </w:rPr>
            </w:pPr>
            <w:r w:rsidRPr="00FA3F9C">
              <w:rPr>
                <w:rFonts w:ascii="Arial" w:hAnsi="Arial" w:cs="Arial"/>
                <w:sz w:val="24"/>
                <w:szCs w:val="24"/>
              </w:rPr>
              <w:t>*</w:t>
            </w:r>
            <w:r w:rsidRPr="00FA3F9C">
              <w:rPr>
                <w:rFonts w:ascii="Arial" w:hAnsi="Arial" w:cs="Arial"/>
                <w:i/>
                <w:sz w:val="24"/>
                <w:szCs w:val="24"/>
              </w:rPr>
              <w:t>A trial consists of 2 or more months of claims per medication.</w:t>
            </w:r>
          </w:p>
        </w:tc>
      </w:tr>
      <w:tr w:rsidR="001506C1" w:rsidRPr="00FA3F9C" w14:paraId="30D44D75" w14:textId="77777777" w:rsidTr="00D44740">
        <w:trPr>
          <w:trHeight w:val="268"/>
        </w:trPr>
        <w:tc>
          <w:tcPr>
            <w:tcW w:w="11028" w:type="dxa"/>
          </w:tcPr>
          <w:p w14:paraId="6314D24A" w14:textId="77777777" w:rsidR="001506C1" w:rsidRPr="00FA3F9C" w:rsidRDefault="001506C1" w:rsidP="001506C1">
            <w:pPr>
              <w:pStyle w:val="ListParagraph"/>
              <w:numPr>
                <w:ilvl w:val="0"/>
                <w:numId w:val="9"/>
              </w:numPr>
              <w:rPr>
                <w:rFonts w:ascii="Arial" w:hAnsi="Arial" w:cs="Arial"/>
                <w:sz w:val="24"/>
                <w:szCs w:val="24"/>
              </w:rPr>
            </w:pPr>
            <w:r w:rsidRPr="00FA3F9C">
              <w:rPr>
                <w:rFonts w:ascii="Arial" w:hAnsi="Arial" w:cs="Arial"/>
                <w:sz w:val="24"/>
                <w:szCs w:val="24"/>
              </w:rPr>
              <w:t>Patient fill history must include triptan(s)</w:t>
            </w:r>
          </w:p>
        </w:tc>
      </w:tr>
      <w:tr w:rsidR="001506C1" w:rsidRPr="00FA3F9C" w14:paraId="63343BE7" w14:textId="77777777" w:rsidTr="00906BD9">
        <w:trPr>
          <w:trHeight w:val="665"/>
        </w:trPr>
        <w:tc>
          <w:tcPr>
            <w:tcW w:w="11028" w:type="dxa"/>
          </w:tcPr>
          <w:p w14:paraId="5BAC3C8C" w14:textId="77777777" w:rsidR="001506C1" w:rsidRPr="00FA3F9C" w:rsidRDefault="001506C1" w:rsidP="001506C1">
            <w:pPr>
              <w:pStyle w:val="ListParagraph"/>
              <w:numPr>
                <w:ilvl w:val="0"/>
                <w:numId w:val="9"/>
              </w:numPr>
              <w:rPr>
                <w:rFonts w:ascii="Arial" w:hAnsi="Arial" w:cs="Arial"/>
                <w:sz w:val="24"/>
                <w:szCs w:val="24"/>
              </w:rPr>
            </w:pPr>
            <w:r w:rsidRPr="00FA3F9C">
              <w:rPr>
                <w:rFonts w:ascii="Arial" w:hAnsi="Arial" w:cs="Arial"/>
                <w:sz w:val="24"/>
                <w:szCs w:val="24"/>
              </w:rPr>
              <w:t xml:space="preserve">If criteria are fulfilled. Approve Aimovig 70 mg once monthly or </w:t>
            </w:r>
            <w:proofErr w:type="spellStart"/>
            <w:r w:rsidRPr="00FA3F9C">
              <w:rPr>
                <w:rFonts w:ascii="Arial" w:hAnsi="Arial" w:cs="Arial"/>
                <w:sz w:val="24"/>
                <w:szCs w:val="24"/>
              </w:rPr>
              <w:t>Emgality</w:t>
            </w:r>
            <w:proofErr w:type="spellEnd"/>
            <w:r w:rsidRPr="00FA3F9C">
              <w:rPr>
                <w:rFonts w:ascii="Arial" w:hAnsi="Arial" w:cs="Arial"/>
                <w:sz w:val="24"/>
                <w:szCs w:val="24"/>
              </w:rPr>
              <w:t xml:space="preserve"> 120mg once monthly (240mg loading dose)</w:t>
            </w:r>
          </w:p>
          <w:p w14:paraId="799BA5CA" w14:textId="77777777" w:rsidR="001506C1" w:rsidRPr="00FA3F9C" w:rsidRDefault="001506C1" w:rsidP="001506C1">
            <w:pPr>
              <w:pStyle w:val="ListParagraph"/>
              <w:numPr>
                <w:ilvl w:val="1"/>
                <w:numId w:val="9"/>
              </w:numPr>
              <w:rPr>
                <w:rFonts w:ascii="Arial" w:hAnsi="Arial" w:cs="Arial"/>
                <w:b/>
                <w:sz w:val="24"/>
                <w:szCs w:val="24"/>
              </w:rPr>
            </w:pPr>
            <w:proofErr w:type="gramStart"/>
            <w:r w:rsidRPr="00FA3F9C">
              <w:rPr>
                <w:rFonts w:ascii="Arial" w:hAnsi="Arial" w:cs="Arial"/>
                <w:b/>
                <w:sz w:val="24"/>
                <w:szCs w:val="24"/>
              </w:rPr>
              <w:t>In order for</w:t>
            </w:r>
            <w:proofErr w:type="gramEnd"/>
            <w:r w:rsidRPr="00FA3F9C">
              <w:rPr>
                <w:rFonts w:ascii="Arial" w:hAnsi="Arial" w:cs="Arial"/>
                <w:b/>
                <w:sz w:val="24"/>
                <w:szCs w:val="24"/>
              </w:rPr>
              <w:t xml:space="preserve"> 140 mg/month approval, </w:t>
            </w:r>
            <w:proofErr w:type="spellStart"/>
            <w:r w:rsidRPr="00FA3F9C">
              <w:rPr>
                <w:rFonts w:ascii="Arial" w:hAnsi="Arial" w:cs="Arial"/>
                <w:b/>
                <w:sz w:val="24"/>
                <w:szCs w:val="24"/>
              </w:rPr>
              <w:t>pt</w:t>
            </w:r>
            <w:proofErr w:type="spellEnd"/>
            <w:r w:rsidRPr="00FA3F9C">
              <w:rPr>
                <w:rFonts w:ascii="Arial" w:hAnsi="Arial" w:cs="Arial"/>
                <w:b/>
                <w:sz w:val="24"/>
                <w:szCs w:val="24"/>
              </w:rPr>
              <w:t xml:space="preserve"> must have had inadequate response to 3 months of claims for the 70 mg/</w:t>
            </w:r>
            <w:proofErr w:type="spellStart"/>
            <w:r w:rsidRPr="00FA3F9C">
              <w:rPr>
                <w:rFonts w:ascii="Arial" w:hAnsi="Arial" w:cs="Arial"/>
                <w:b/>
                <w:sz w:val="24"/>
                <w:szCs w:val="24"/>
              </w:rPr>
              <w:t>mo</w:t>
            </w:r>
            <w:proofErr w:type="spellEnd"/>
            <w:r w:rsidRPr="00FA3F9C">
              <w:rPr>
                <w:rFonts w:ascii="Arial" w:hAnsi="Arial" w:cs="Arial"/>
                <w:b/>
                <w:sz w:val="24"/>
                <w:szCs w:val="24"/>
              </w:rPr>
              <w:t xml:space="preserve"> dose.</w:t>
            </w:r>
          </w:p>
        </w:tc>
      </w:tr>
      <w:tr w:rsidR="001506C1" w:rsidRPr="00FA3F9C" w14:paraId="2ADF94C4" w14:textId="77777777" w:rsidTr="00964714">
        <w:trPr>
          <w:trHeight w:val="251"/>
        </w:trPr>
        <w:tc>
          <w:tcPr>
            <w:tcW w:w="11028" w:type="dxa"/>
            <w:shd w:val="clear" w:color="auto" w:fill="D9D9D9" w:themeFill="background1" w:themeFillShade="D9"/>
          </w:tcPr>
          <w:p w14:paraId="65EB0121" w14:textId="77777777" w:rsidR="001506C1" w:rsidRPr="00FA3F9C" w:rsidRDefault="001506C1" w:rsidP="001506C1">
            <w:pPr>
              <w:pStyle w:val="ListParagraph"/>
              <w:numPr>
                <w:ilvl w:val="0"/>
                <w:numId w:val="90"/>
              </w:numPr>
              <w:rPr>
                <w:rFonts w:ascii="Arial" w:hAnsi="Arial" w:cs="Arial"/>
                <w:sz w:val="24"/>
                <w:szCs w:val="24"/>
              </w:rPr>
            </w:pPr>
            <w:r w:rsidRPr="00FA3F9C">
              <w:rPr>
                <w:rFonts w:ascii="Arial" w:hAnsi="Arial" w:cs="Arial"/>
                <w:sz w:val="24"/>
                <w:szCs w:val="24"/>
              </w:rPr>
              <w:t xml:space="preserve">If the above criteria are satisfied, the PA is good for 6 months.  </w:t>
            </w:r>
          </w:p>
          <w:p w14:paraId="039744A1" w14:textId="77777777" w:rsidR="001506C1" w:rsidRPr="00FA3F9C" w:rsidRDefault="001506C1" w:rsidP="001506C1">
            <w:pPr>
              <w:pStyle w:val="ListParagraph"/>
              <w:numPr>
                <w:ilvl w:val="0"/>
                <w:numId w:val="90"/>
              </w:numPr>
              <w:rPr>
                <w:rFonts w:ascii="Arial" w:hAnsi="Arial" w:cs="Arial"/>
                <w:sz w:val="24"/>
                <w:szCs w:val="24"/>
              </w:rPr>
            </w:pPr>
            <w:r w:rsidRPr="00FA3F9C">
              <w:rPr>
                <w:rFonts w:ascii="Arial" w:hAnsi="Arial" w:cs="Arial"/>
                <w:sz w:val="24"/>
                <w:szCs w:val="24"/>
              </w:rPr>
              <w:t>Call center pharmacist should record the number of stated migraine days per month to assess response and subsequent access to the drug.</w:t>
            </w:r>
          </w:p>
          <w:p w14:paraId="5D308EB5" w14:textId="77777777" w:rsidR="001506C1" w:rsidRPr="00FA3F9C" w:rsidRDefault="001506C1" w:rsidP="001506C1">
            <w:pPr>
              <w:pStyle w:val="ListParagraph"/>
              <w:numPr>
                <w:ilvl w:val="0"/>
                <w:numId w:val="90"/>
              </w:numPr>
              <w:rPr>
                <w:rFonts w:ascii="Arial" w:hAnsi="Arial" w:cs="Arial"/>
                <w:sz w:val="24"/>
                <w:szCs w:val="24"/>
              </w:rPr>
            </w:pPr>
            <w:r w:rsidRPr="00FA3F9C">
              <w:rPr>
                <w:rFonts w:ascii="Arial" w:hAnsi="Arial" w:cs="Arial"/>
                <w:sz w:val="24"/>
                <w:szCs w:val="24"/>
              </w:rPr>
              <w:t xml:space="preserve">Patients should not be allowed access to botulinum toxin and a CGRP concurrently. </w:t>
            </w:r>
          </w:p>
        </w:tc>
      </w:tr>
      <w:tr w:rsidR="001506C1" w:rsidRPr="00FA3F9C" w14:paraId="5FC20DAC" w14:textId="77777777" w:rsidTr="00A72E55">
        <w:trPr>
          <w:trHeight w:val="287"/>
        </w:trPr>
        <w:tc>
          <w:tcPr>
            <w:tcW w:w="11028" w:type="dxa"/>
            <w:tcBorders>
              <w:bottom w:val="single" w:sz="4" w:space="0" w:color="auto"/>
            </w:tcBorders>
          </w:tcPr>
          <w:p w14:paraId="5E5AE2F7" w14:textId="77777777" w:rsidR="001506C1" w:rsidRPr="00FA3F9C" w:rsidRDefault="001506C1" w:rsidP="00964714">
            <w:pPr>
              <w:ind w:left="360"/>
              <w:rPr>
                <w:rFonts w:ascii="Arial" w:hAnsi="Arial" w:cs="Arial"/>
                <w:sz w:val="24"/>
                <w:szCs w:val="24"/>
              </w:rPr>
            </w:pPr>
          </w:p>
        </w:tc>
      </w:tr>
      <w:tr w:rsidR="001506C1" w:rsidRPr="00FA3F9C" w14:paraId="5BF8BE40" w14:textId="77777777" w:rsidTr="00A72E55">
        <w:trPr>
          <w:trHeight w:val="287"/>
        </w:trPr>
        <w:tc>
          <w:tcPr>
            <w:tcW w:w="11028" w:type="dxa"/>
            <w:shd w:val="clear" w:color="auto" w:fill="000000" w:themeFill="text1"/>
          </w:tcPr>
          <w:p w14:paraId="32936790" w14:textId="77777777" w:rsidR="001506C1" w:rsidRPr="00FA3F9C" w:rsidRDefault="001506C1" w:rsidP="00964714">
            <w:pPr>
              <w:ind w:left="360"/>
              <w:rPr>
                <w:rFonts w:ascii="Arial" w:hAnsi="Arial" w:cs="Arial"/>
                <w:sz w:val="24"/>
                <w:szCs w:val="24"/>
              </w:rPr>
            </w:pPr>
            <w:r w:rsidRPr="00FA3F9C">
              <w:rPr>
                <w:rFonts w:ascii="Arial" w:hAnsi="Arial" w:cs="Arial"/>
                <w:sz w:val="24"/>
                <w:szCs w:val="24"/>
              </w:rPr>
              <w:t>Continuation criteria:</w:t>
            </w:r>
          </w:p>
        </w:tc>
      </w:tr>
      <w:tr w:rsidR="001506C1" w:rsidRPr="00FA3F9C" w14:paraId="66E358BF" w14:textId="77777777" w:rsidTr="00A72E55">
        <w:trPr>
          <w:trHeight w:val="287"/>
        </w:trPr>
        <w:tc>
          <w:tcPr>
            <w:tcW w:w="11028" w:type="dxa"/>
          </w:tcPr>
          <w:p w14:paraId="70A78D44" w14:textId="77777777" w:rsidR="001506C1" w:rsidRPr="00FA3F9C" w:rsidRDefault="001506C1" w:rsidP="00964714">
            <w:pPr>
              <w:ind w:left="360"/>
              <w:rPr>
                <w:rFonts w:ascii="Arial" w:hAnsi="Arial" w:cs="Arial"/>
                <w:sz w:val="24"/>
                <w:szCs w:val="24"/>
              </w:rPr>
            </w:pPr>
            <w:r w:rsidRPr="00FA3F9C">
              <w:rPr>
                <w:rFonts w:ascii="Arial" w:hAnsi="Arial" w:cs="Arial"/>
                <w:sz w:val="24"/>
                <w:szCs w:val="24"/>
              </w:rPr>
              <w:t>1. To continue access, the patient must have had a response of at least 2 fewer headache days per month in each of the previous 6 months.  If appropriate response is reported, PA may be continued for 1 year.</w:t>
            </w:r>
          </w:p>
        </w:tc>
      </w:tr>
    </w:tbl>
    <w:p w14:paraId="3AD078B8" w14:textId="77777777" w:rsidR="001506C1" w:rsidRPr="00FA3F9C" w:rsidRDefault="001506C1" w:rsidP="00906BD9">
      <w:pPr>
        <w:spacing w:after="0"/>
        <w:rPr>
          <w:rFonts w:ascii="Arial" w:hAnsi="Arial" w:cs="Arial"/>
          <w:sz w:val="24"/>
          <w:szCs w:val="24"/>
        </w:rPr>
      </w:pPr>
    </w:p>
    <w:p w14:paraId="6AB402CF" w14:textId="77777777" w:rsidR="001506C1" w:rsidRPr="00FA3F9C" w:rsidRDefault="001506C1" w:rsidP="00906BD9">
      <w:pPr>
        <w:spacing w:after="0"/>
        <w:rPr>
          <w:rFonts w:ascii="Arial" w:hAnsi="Arial" w:cs="Arial"/>
          <w:sz w:val="24"/>
          <w:szCs w:val="24"/>
        </w:rPr>
      </w:pPr>
      <w:r w:rsidRPr="00FA3F9C">
        <w:rPr>
          <w:rFonts w:ascii="Arial" w:hAnsi="Arial" w:cs="Arial"/>
          <w:sz w:val="24"/>
          <w:szCs w:val="24"/>
        </w:rPr>
        <w:t xml:space="preserve">Dosing: </w:t>
      </w:r>
    </w:p>
    <w:p w14:paraId="16DCA27B" w14:textId="77777777" w:rsidR="001506C1" w:rsidRPr="00FA3F9C" w:rsidRDefault="001506C1" w:rsidP="00906BD9">
      <w:pPr>
        <w:spacing w:after="0"/>
        <w:rPr>
          <w:rFonts w:ascii="Arial" w:hAnsi="Arial" w:cs="Arial"/>
          <w:sz w:val="24"/>
          <w:szCs w:val="24"/>
        </w:rPr>
      </w:pPr>
      <w:r w:rsidRPr="00FA3F9C">
        <w:rPr>
          <w:rFonts w:ascii="Arial" w:hAnsi="Arial" w:cs="Arial"/>
          <w:sz w:val="24"/>
          <w:szCs w:val="24"/>
        </w:rPr>
        <w:t>Aimovig: 70 mg once a month, up to 140 mg once monthly.</w:t>
      </w:r>
    </w:p>
    <w:p w14:paraId="29521603" w14:textId="77777777" w:rsidR="001506C1" w:rsidRPr="00FA3F9C" w:rsidRDefault="001506C1" w:rsidP="00906BD9">
      <w:pPr>
        <w:spacing w:after="0"/>
        <w:rPr>
          <w:rFonts w:ascii="Arial" w:hAnsi="Arial" w:cs="Arial"/>
          <w:sz w:val="24"/>
          <w:szCs w:val="24"/>
        </w:rPr>
      </w:pPr>
      <w:proofErr w:type="spellStart"/>
      <w:r w:rsidRPr="00FA3F9C">
        <w:rPr>
          <w:rFonts w:ascii="Arial" w:hAnsi="Arial" w:cs="Arial"/>
          <w:sz w:val="24"/>
          <w:szCs w:val="24"/>
        </w:rPr>
        <w:t>Emgality</w:t>
      </w:r>
      <w:proofErr w:type="spellEnd"/>
      <w:r w:rsidRPr="00FA3F9C">
        <w:rPr>
          <w:rFonts w:ascii="Arial" w:hAnsi="Arial" w:cs="Arial"/>
          <w:sz w:val="24"/>
          <w:szCs w:val="24"/>
        </w:rPr>
        <w:t>: 120mg once monthly, with a 240mg loading dose.</w:t>
      </w:r>
    </w:p>
    <w:p w14:paraId="4D2335F3" w14:textId="77777777" w:rsidR="001506C1" w:rsidRPr="00FA3F9C" w:rsidRDefault="001506C1" w:rsidP="006F623F">
      <w:pPr>
        <w:spacing w:after="0"/>
        <w:rPr>
          <w:rFonts w:ascii="Arial" w:hAnsi="Arial" w:cs="Arial"/>
          <w:sz w:val="24"/>
          <w:szCs w:val="24"/>
        </w:rPr>
      </w:pPr>
    </w:p>
    <w:p w14:paraId="5AD98258"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Updated: 1/1/2019</w:t>
      </w:r>
    </w:p>
    <w:p w14:paraId="656A465A" w14:textId="77777777" w:rsidR="001506C1" w:rsidRPr="00FA3F9C" w:rsidRDefault="001506C1" w:rsidP="006F623F">
      <w:pPr>
        <w:spacing w:after="0"/>
        <w:rPr>
          <w:rFonts w:ascii="Arial" w:hAnsi="Arial" w:cs="Arial"/>
          <w:sz w:val="24"/>
          <w:szCs w:val="24"/>
        </w:rPr>
      </w:pPr>
    </w:p>
    <w:p w14:paraId="3919E97A" w14:textId="77777777" w:rsidR="001506C1" w:rsidRPr="00FA3F9C" w:rsidRDefault="001506C1" w:rsidP="00964714">
      <w:pPr>
        <w:pStyle w:val="ListParagraph"/>
        <w:spacing w:after="0"/>
        <w:ind w:left="360"/>
        <w:rPr>
          <w:rFonts w:ascii="Arial" w:hAnsi="Arial" w:cs="Arial"/>
          <w:sz w:val="24"/>
          <w:szCs w:val="24"/>
        </w:rPr>
      </w:pPr>
    </w:p>
    <w:p w14:paraId="692AC9F4" w14:textId="77777777" w:rsidR="00FC1E85" w:rsidRDefault="001506C1" w:rsidP="00FC1E85">
      <w:pPr>
        <w:pStyle w:val="Heading2"/>
      </w:pPr>
      <w:bookmarkStart w:id="57" w:name="_Toc106369753"/>
      <w:r w:rsidRPr="00FA3F9C">
        <w:t>Cladribine oral (</w:t>
      </w:r>
      <w:proofErr w:type="spellStart"/>
      <w:r w:rsidRPr="00FA3F9C">
        <w:t>Mavenclad</w:t>
      </w:r>
      <w:proofErr w:type="spellEnd"/>
      <w:r w:rsidR="00FC1E85">
        <w:t>)</w:t>
      </w:r>
      <w:bookmarkEnd w:id="57"/>
    </w:p>
    <w:p w14:paraId="6CEB1C18" w14:textId="29927314" w:rsidR="001506C1" w:rsidRPr="00FA3F9C" w:rsidRDefault="001506C1" w:rsidP="006F623F">
      <w:pPr>
        <w:spacing w:after="0"/>
        <w:jc w:val="center"/>
        <w:rPr>
          <w:rFonts w:ascii="Arial" w:hAnsi="Arial" w:cs="Arial"/>
          <w:sz w:val="24"/>
          <w:szCs w:val="24"/>
        </w:rPr>
      </w:pPr>
      <w:r w:rsidRPr="00FA3F9C">
        <w:rPr>
          <w:rFonts w:ascii="Arial" w:hAnsi="Arial" w:cs="Arial"/>
          <w:sz w:val="24"/>
          <w:szCs w:val="24"/>
        </w:rPr>
        <w:t>10mg tablets</w:t>
      </w:r>
    </w:p>
    <w:p w14:paraId="12A1C8AC" w14:textId="77777777" w:rsidR="001506C1" w:rsidRPr="00FA3F9C" w:rsidRDefault="001506C1" w:rsidP="006F623F">
      <w:pPr>
        <w:spacing w:after="0"/>
        <w:jc w:val="center"/>
        <w:rPr>
          <w:rFonts w:ascii="Arial" w:hAnsi="Arial" w:cs="Arial"/>
          <w:sz w:val="24"/>
          <w:szCs w:val="24"/>
        </w:rPr>
      </w:pPr>
      <w:r w:rsidRPr="00FA3F9C">
        <w:rPr>
          <w:rFonts w:ascii="Arial" w:hAnsi="Arial" w:cs="Arial"/>
          <w:sz w:val="24"/>
          <w:szCs w:val="24"/>
        </w:rPr>
        <w:t>EBRx PA Criteria</w:t>
      </w:r>
    </w:p>
    <w:p w14:paraId="639C1D03" w14:textId="77777777" w:rsidR="001506C1" w:rsidRPr="00FA3F9C" w:rsidRDefault="001506C1" w:rsidP="006F623F">
      <w:pPr>
        <w:spacing w:after="0"/>
        <w:rPr>
          <w:rFonts w:ascii="Arial" w:hAnsi="Arial" w:cs="Arial"/>
          <w:b/>
          <w:sz w:val="24"/>
          <w:szCs w:val="24"/>
          <w:u w:val="single"/>
        </w:rPr>
      </w:pPr>
    </w:p>
    <w:p w14:paraId="7711F492" w14:textId="77777777" w:rsidR="001506C1" w:rsidRPr="00FA3F9C" w:rsidRDefault="001506C1" w:rsidP="00D55236">
      <w:pPr>
        <w:spacing w:after="0" w:line="240" w:lineRule="auto"/>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w:t>
      </w:r>
    </w:p>
    <w:p w14:paraId="06E0883E" w14:textId="77777777" w:rsidR="001506C1" w:rsidRPr="00FA3F9C" w:rsidRDefault="001506C1" w:rsidP="001506C1">
      <w:pPr>
        <w:pStyle w:val="ListParagraph"/>
        <w:numPr>
          <w:ilvl w:val="0"/>
          <w:numId w:val="91"/>
        </w:numPr>
        <w:spacing w:after="0" w:line="240" w:lineRule="auto"/>
        <w:ind w:left="0"/>
        <w:rPr>
          <w:rFonts w:ascii="Arial" w:hAnsi="Arial" w:cs="Arial"/>
          <w:sz w:val="24"/>
          <w:szCs w:val="24"/>
        </w:rPr>
      </w:pPr>
      <w:r w:rsidRPr="00FA3F9C">
        <w:rPr>
          <w:rFonts w:ascii="Arial" w:hAnsi="Arial" w:cs="Arial"/>
          <w:sz w:val="24"/>
          <w:szCs w:val="24"/>
        </w:rPr>
        <w:t>Multiple sclerosis, relapsing (oral tablet only): treatment of relapsing forms of MS, including relapsing remitting (RRMS) and active secondary progressive disease in adults who have had inadequate response or are intolerant to other therapies for MS.  NOT recommended for patients with clinically isolated syndrome.</w:t>
      </w:r>
    </w:p>
    <w:p w14:paraId="6ED76818" w14:textId="77777777" w:rsidR="001506C1" w:rsidRPr="00FA3F9C" w:rsidRDefault="001506C1" w:rsidP="001506C1">
      <w:pPr>
        <w:pStyle w:val="ListParagraph"/>
        <w:numPr>
          <w:ilvl w:val="0"/>
          <w:numId w:val="91"/>
        </w:numPr>
        <w:spacing w:after="0" w:line="240" w:lineRule="auto"/>
        <w:ind w:left="0"/>
        <w:rPr>
          <w:rFonts w:ascii="Arial" w:hAnsi="Arial" w:cs="Arial"/>
          <w:sz w:val="24"/>
          <w:szCs w:val="24"/>
        </w:rPr>
      </w:pPr>
      <w:r w:rsidRPr="00FA3F9C">
        <w:rPr>
          <w:rFonts w:ascii="Arial" w:hAnsi="Arial" w:cs="Arial"/>
          <w:sz w:val="24"/>
          <w:szCs w:val="24"/>
        </w:rPr>
        <w:t>The injection is FDA approved for treatment of hairy cell leukemia.</w:t>
      </w:r>
    </w:p>
    <w:p w14:paraId="58C15C0D" w14:textId="77777777" w:rsidR="001506C1" w:rsidRPr="00FA3F9C" w:rsidRDefault="001506C1" w:rsidP="00D55236">
      <w:pPr>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8745"/>
        <w:gridCol w:w="2045"/>
      </w:tblGrid>
      <w:tr w:rsidR="001506C1" w:rsidRPr="00FA3F9C" w14:paraId="1E5CF6D0" w14:textId="77777777" w:rsidTr="00881329">
        <w:tc>
          <w:tcPr>
            <w:tcW w:w="8745" w:type="dxa"/>
            <w:shd w:val="clear" w:color="auto" w:fill="000000"/>
          </w:tcPr>
          <w:p w14:paraId="0CF537F7" w14:textId="77777777" w:rsidR="001506C1" w:rsidRPr="00FA3F9C" w:rsidRDefault="001506C1" w:rsidP="00D55236">
            <w:pPr>
              <w:rPr>
                <w:rFonts w:ascii="Arial" w:hAnsi="Arial" w:cs="Arial"/>
                <w:b/>
                <w:sz w:val="24"/>
                <w:szCs w:val="24"/>
                <w:u w:val="single"/>
              </w:rPr>
            </w:pPr>
            <w:r w:rsidRPr="00FA3F9C">
              <w:rPr>
                <w:rFonts w:ascii="Arial" w:hAnsi="Arial" w:cs="Arial"/>
                <w:b/>
                <w:sz w:val="24"/>
                <w:szCs w:val="24"/>
                <w:u w:val="single"/>
              </w:rPr>
              <w:t>Criteria for new users</w:t>
            </w:r>
          </w:p>
        </w:tc>
        <w:tc>
          <w:tcPr>
            <w:tcW w:w="2045" w:type="dxa"/>
            <w:shd w:val="clear" w:color="auto" w:fill="000000"/>
          </w:tcPr>
          <w:p w14:paraId="3670BF05" w14:textId="77777777" w:rsidR="001506C1" w:rsidRPr="00FA3F9C" w:rsidRDefault="001506C1" w:rsidP="00D55236">
            <w:pPr>
              <w:jc w:val="center"/>
              <w:rPr>
                <w:rFonts w:ascii="Arial" w:hAnsi="Arial" w:cs="Arial"/>
                <w:b/>
                <w:sz w:val="24"/>
                <w:szCs w:val="24"/>
                <w:u w:val="single"/>
              </w:rPr>
            </w:pPr>
          </w:p>
        </w:tc>
      </w:tr>
      <w:tr w:rsidR="001506C1" w:rsidRPr="00FA3F9C" w14:paraId="0342B150" w14:textId="77777777" w:rsidTr="00881329">
        <w:tc>
          <w:tcPr>
            <w:tcW w:w="10790" w:type="dxa"/>
            <w:gridSpan w:val="2"/>
          </w:tcPr>
          <w:p w14:paraId="6F7554CA" w14:textId="77777777" w:rsidR="001506C1" w:rsidRPr="00FA3F9C" w:rsidRDefault="001506C1" w:rsidP="006F623F">
            <w:pPr>
              <w:rPr>
                <w:rFonts w:ascii="Arial" w:hAnsi="Arial" w:cs="Arial"/>
                <w:sz w:val="24"/>
                <w:szCs w:val="24"/>
              </w:rPr>
            </w:pPr>
            <w:r w:rsidRPr="00FA3F9C">
              <w:rPr>
                <w:rFonts w:ascii="Arial" w:hAnsi="Arial" w:cs="Arial"/>
                <w:sz w:val="24"/>
                <w:szCs w:val="24"/>
              </w:rPr>
              <w:t>1. Diagnosis of relapsing remitting multiple sclerosis or active secondary progressive disease</w:t>
            </w:r>
          </w:p>
        </w:tc>
      </w:tr>
      <w:tr w:rsidR="001506C1" w:rsidRPr="00FA3F9C" w14:paraId="77E76CF1" w14:textId="77777777" w:rsidTr="00881329">
        <w:tc>
          <w:tcPr>
            <w:tcW w:w="10790" w:type="dxa"/>
            <w:gridSpan w:val="2"/>
          </w:tcPr>
          <w:p w14:paraId="3098FB24" w14:textId="77777777" w:rsidR="001506C1" w:rsidRPr="00FA3F9C" w:rsidRDefault="001506C1" w:rsidP="006F623F">
            <w:pPr>
              <w:rPr>
                <w:rFonts w:ascii="Arial" w:hAnsi="Arial" w:cs="Arial"/>
                <w:sz w:val="24"/>
                <w:szCs w:val="24"/>
              </w:rPr>
            </w:pPr>
            <w:r w:rsidRPr="00FA3F9C">
              <w:rPr>
                <w:rFonts w:ascii="Arial" w:hAnsi="Arial" w:cs="Arial"/>
                <w:sz w:val="24"/>
                <w:szCs w:val="24"/>
              </w:rPr>
              <w:t>2. Must have tried at least 1 other therapy for RRMS</w:t>
            </w:r>
          </w:p>
        </w:tc>
      </w:tr>
      <w:tr w:rsidR="001506C1" w:rsidRPr="00FA3F9C" w14:paraId="59E4711A" w14:textId="77777777" w:rsidTr="00881329">
        <w:tc>
          <w:tcPr>
            <w:tcW w:w="10790" w:type="dxa"/>
            <w:gridSpan w:val="2"/>
          </w:tcPr>
          <w:p w14:paraId="044B5ABB" w14:textId="77777777" w:rsidR="001506C1" w:rsidRPr="00FA3F9C" w:rsidRDefault="001506C1" w:rsidP="006F623F">
            <w:pPr>
              <w:rPr>
                <w:rFonts w:ascii="Arial" w:hAnsi="Arial" w:cs="Arial"/>
                <w:sz w:val="24"/>
                <w:szCs w:val="24"/>
              </w:rPr>
            </w:pPr>
            <w:r w:rsidRPr="00FA3F9C">
              <w:rPr>
                <w:rFonts w:ascii="Arial" w:hAnsi="Arial" w:cs="Arial"/>
                <w:sz w:val="24"/>
                <w:szCs w:val="24"/>
              </w:rPr>
              <w:t>3. Must have active disease.</w:t>
            </w:r>
          </w:p>
        </w:tc>
      </w:tr>
      <w:tr w:rsidR="001506C1" w:rsidRPr="00FA3F9C" w14:paraId="7AB7D701" w14:textId="77777777" w:rsidTr="00881329">
        <w:tc>
          <w:tcPr>
            <w:tcW w:w="10790" w:type="dxa"/>
            <w:gridSpan w:val="2"/>
          </w:tcPr>
          <w:p w14:paraId="2BD3E2FD" w14:textId="77777777" w:rsidR="001506C1" w:rsidRPr="00FA3F9C" w:rsidRDefault="001506C1" w:rsidP="006F623F">
            <w:pPr>
              <w:rPr>
                <w:rFonts w:ascii="Arial" w:hAnsi="Arial" w:cs="Arial"/>
                <w:sz w:val="24"/>
                <w:szCs w:val="24"/>
              </w:rPr>
            </w:pPr>
            <w:r w:rsidRPr="00FA3F9C">
              <w:rPr>
                <w:rFonts w:ascii="Arial" w:hAnsi="Arial" w:cs="Arial"/>
                <w:sz w:val="24"/>
                <w:szCs w:val="24"/>
              </w:rPr>
              <w:t>4. Must be 18y or older.</w:t>
            </w:r>
          </w:p>
        </w:tc>
      </w:tr>
      <w:tr w:rsidR="001506C1" w:rsidRPr="00FA3F9C" w14:paraId="5C672E76" w14:textId="77777777" w:rsidTr="00881329">
        <w:tc>
          <w:tcPr>
            <w:tcW w:w="10790" w:type="dxa"/>
            <w:gridSpan w:val="2"/>
          </w:tcPr>
          <w:p w14:paraId="79C02C0F" w14:textId="77777777" w:rsidR="001506C1" w:rsidRPr="00FA3F9C" w:rsidRDefault="001506C1" w:rsidP="006F623F">
            <w:pPr>
              <w:rPr>
                <w:rFonts w:ascii="Arial" w:hAnsi="Arial" w:cs="Arial"/>
                <w:sz w:val="24"/>
                <w:szCs w:val="24"/>
              </w:rPr>
            </w:pPr>
            <w:r w:rsidRPr="00FA3F9C">
              <w:rPr>
                <w:rFonts w:ascii="Arial" w:hAnsi="Arial" w:cs="Arial"/>
                <w:sz w:val="24"/>
                <w:szCs w:val="24"/>
              </w:rPr>
              <w:t>If fulfill the above criteria, may have access for 1 cycle lasting 4-5 consecutive days during the first year.</w:t>
            </w:r>
          </w:p>
        </w:tc>
      </w:tr>
    </w:tbl>
    <w:p w14:paraId="7D6E5E2C" w14:textId="77777777" w:rsidR="001506C1" w:rsidRPr="00FA3F9C" w:rsidRDefault="001506C1" w:rsidP="006F623F">
      <w:pPr>
        <w:spacing w:after="0"/>
        <w:rPr>
          <w:rFonts w:ascii="Arial" w:hAnsi="Arial" w:cs="Arial"/>
          <w:b/>
          <w:sz w:val="24"/>
          <w:szCs w:val="24"/>
          <w:u w:val="single"/>
        </w:rPr>
      </w:pPr>
    </w:p>
    <w:tbl>
      <w:tblPr>
        <w:tblStyle w:val="TableGrid"/>
        <w:tblW w:w="0" w:type="auto"/>
        <w:tblLook w:val="04A0" w:firstRow="1" w:lastRow="0" w:firstColumn="1" w:lastColumn="0" w:noHBand="0" w:noVBand="1"/>
      </w:tblPr>
      <w:tblGrid>
        <w:gridCol w:w="8928"/>
        <w:gridCol w:w="2088"/>
      </w:tblGrid>
      <w:tr w:rsidR="001506C1" w:rsidRPr="00FA3F9C" w14:paraId="7EBA3209" w14:textId="77777777" w:rsidTr="00571CAB">
        <w:tc>
          <w:tcPr>
            <w:tcW w:w="8928" w:type="dxa"/>
            <w:shd w:val="clear" w:color="auto" w:fill="000000"/>
          </w:tcPr>
          <w:p w14:paraId="0E1FC11D" w14:textId="77777777" w:rsidR="001506C1" w:rsidRPr="00FA3F9C" w:rsidRDefault="001506C1" w:rsidP="00571CAB">
            <w:pPr>
              <w:rPr>
                <w:rFonts w:ascii="Arial" w:hAnsi="Arial" w:cs="Arial"/>
                <w:b/>
                <w:sz w:val="24"/>
                <w:szCs w:val="24"/>
                <w:u w:val="single"/>
              </w:rPr>
            </w:pPr>
            <w:r w:rsidRPr="00FA3F9C">
              <w:rPr>
                <w:rFonts w:ascii="Arial" w:hAnsi="Arial" w:cs="Arial"/>
                <w:b/>
                <w:sz w:val="24"/>
                <w:szCs w:val="24"/>
                <w:u w:val="single"/>
              </w:rPr>
              <w:t>Criteria for continuation</w:t>
            </w:r>
          </w:p>
        </w:tc>
        <w:tc>
          <w:tcPr>
            <w:tcW w:w="2088" w:type="dxa"/>
            <w:shd w:val="clear" w:color="auto" w:fill="000000"/>
          </w:tcPr>
          <w:p w14:paraId="73402436" w14:textId="77777777" w:rsidR="001506C1" w:rsidRPr="00FA3F9C" w:rsidRDefault="001506C1" w:rsidP="00571CAB">
            <w:pPr>
              <w:jc w:val="center"/>
              <w:rPr>
                <w:rFonts w:ascii="Arial" w:hAnsi="Arial" w:cs="Arial"/>
                <w:b/>
                <w:sz w:val="24"/>
                <w:szCs w:val="24"/>
                <w:u w:val="single"/>
              </w:rPr>
            </w:pPr>
          </w:p>
        </w:tc>
      </w:tr>
      <w:tr w:rsidR="001506C1" w:rsidRPr="00FA3F9C" w14:paraId="54E3137F" w14:textId="77777777" w:rsidTr="00FE7E94">
        <w:tc>
          <w:tcPr>
            <w:tcW w:w="11016" w:type="dxa"/>
            <w:gridSpan w:val="2"/>
          </w:tcPr>
          <w:p w14:paraId="481E7E60" w14:textId="77777777" w:rsidR="001506C1" w:rsidRPr="00FA3F9C" w:rsidRDefault="001506C1" w:rsidP="00571CAB">
            <w:pPr>
              <w:rPr>
                <w:rFonts w:ascii="Arial" w:hAnsi="Arial" w:cs="Arial"/>
                <w:sz w:val="24"/>
                <w:szCs w:val="24"/>
              </w:rPr>
            </w:pPr>
            <w:r w:rsidRPr="00FA3F9C">
              <w:rPr>
                <w:rFonts w:ascii="Arial" w:hAnsi="Arial" w:cs="Arial"/>
                <w:sz w:val="24"/>
                <w:szCs w:val="24"/>
              </w:rPr>
              <w:t>1. The above criteria must have been satisfied.</w:t>
            </w:r>
          </w:p>
        </w:tc>
      </w:tr>
      <w:tr w:rsidR="001506C1" w:rsidRPr="00FA3F9C" w14:paraId="2C387111" w14:textId="77777777" w:rsidTr="00E85040">
        <w:tc>
          <w:tcPr>
            <w:tcW w:w="11016" w:type="dxa"/>
            <w:gridSpan w:val="2"/>
          </w:tcPr>
          <w:p w14:paraId="266FDB2F" w14:textId="77777777" w:rsidR="001506C1" w:rsidRPr="00FA3F9C" w:rsidRDefault="001506C1" w:rsidP="00571CAB">
            <w:pPr>
              <w:rPr>
                <w:rFonts w:ascii="Arial" w:hAnsi="Arial" w:cs="Arial"/>
                <w:sz w:val="24"/>
                <w:szCs w:val="24"/>
              </w:rPr>
            </w:pPr>
            <w:r w:rsidRPr="00FA3F9C">
              <w:rPr>
                <w:rFonts w:ascii="Arial" w:hAnsi="Arial" w:cs="Arial"/>
                <w:sz w:val="24"/>
                <w:szCs w:val="24"/>
              </w:rPr>
              <w:t>2. The patient must have successfully (defined: physician attestation that the patient demonstrated clinical benefit compared to baseline) received and tolerated the first cycle of cladribine during the previous 1 year.</w:t>
            </w:r>
          </w:p>
        </w:tc>
      </w:tr>
      <w:tr w:rsidR="001506C1" w:rsidRPr="00FA3F9C" w14:paraId="6ADD99C1" w14:textId="77777777" w:rsidTr="00E85040">
        <w:tc>
          <w:tcPr>
            <w:tcW w:w="11016" w:type="dxa"/>
            <w:gridSpan w:val="2"/>
          </w:tcPr>
          <w:p w14:paraId="0C566E99" w14:textId="77777777" w:rsidR="001506C1" w:rsidRPr="00FA3F9C" w:rsidRDefault="001506C1" w:rsidP="00571CAB">
            <w:pPr>
              <w:rPr>
                <w:rFonts w:ascii="Arial" w:hAnsi="Arial" w:cs="Arial"/>
                <w:sz w:val="24"/>
                <w:szCs w:val="24"/>
              </w:rPr>
            </w:pPr>
            <w:r w:rsidRPr="00FA3F9C">
              <w:rPr>
                <w:rFonts w:ascii="Arial" w:hAnsi="Arial" w:cs="Arial"/>
                <w:sz w:val="24"/>
                <w:szCs w:val="24"/>
              </w:rPr>
              <w:t xml:space="preserve">3. This request is for </w:t>
            </w:r>
            <w:r w:rsidRPr="00FA3F9C">
              <w:rPr>
                <w:rFonts w:ascii="Arial" w:hAnsi="Arial" w:cs="Arial"/>
                <w:b/>
                <w:sz w:val="24"/>
                <w:szCs w:val="24"/>
                <w:u w:val="single"/>
              </w:rPr>
              <w:t>only the second</w:t>
            </w:r>
            <w:r w:rsidRPr="00FA3F9C">
              <w:rPr>
                <w:rFonts w:ascii="Arial" w:hAnsi="Arial" w:cs="Arial"/>
                <w:sz w:val="24"/>
                <w:szCs w:val="24"/>
              </w:rPr>
              <w:t xml:space="preserve"> course of cladribine. (No further courses are allowed.)</w:t>
            </w:r>
          </w:p>
        </w:tc>
      </w:tr>
      <w:tr w:rsidR="001506C1" w:rsidRPr="00FA3F9C" w14:paraId="576E1EDD" w14:textId="77777777" w:rsidTr="00AD0E38">
        <w:tc>
          <w:tcPr>
            <w:tcW w:w="11016" w:type="dxa"/>
            <w:gridSpan w:val="2"/>
          </w:tcPr>
          <w:p w14:paraId="52606777" w14:textId="77777777" w:rsidR="001506C1" w:rsidRPr="00FA3F9C" w:rsidRDefault="001506C1" w:rsidP="00571CAB">
            <w:pPr>
              <w:rPr>
                <w:rFonts w:ascii="Arial" w:hAnsi="Arial" w:cs="Arial"/>
                <w:sz w:val="24"/>
                <w:szCs w:val="24"/>
              </w:rPr>
            </w:pPr>
            <w:r w:rsidRPr="00FA3F9C">
              <w:rPr>
                <w:rFonts w:ascii="Arial" w:hAnsi="Arial" w:cs="Arial"/>
                <w:sz w:val="24"/>
                <w:szCs w:val="24"/>
              </w:rPr>
              <w:t>If fulfill the continuation criteria, may receive the second cycle.</w:t>
            </w:r>
          </w:p>
        </w:tc>
      </w:tr>
      <w:tr w:rsidR="001506C1" w:rsidRPr="00FA3F9C" w14:paraId="238EC803" w14:textId="77777777" w:rsidTr="005D1893">
        <w:tc>
          <w:tcPr>
            <w:tcW w:w="11016" w:type="dxa"/>
            <w:gridSpan w:val="2"/>
          </w:tcPr>
          <w:p w14:paraId="36A2EDEF" w14:textId="77777777" w:rsidR="001506C1" w:rsidRPr="00FA3F9C" w:rsidRDefault="001506C1" w:rsidP="00571CAB">
            <w:pPr>
              <w:rPr>
                <w:rFonts w:ascii="Arial" w:hAnsi="Arial" w:cs="Arial"/>
                <w:sz w:val="24"/>
                <w:szCs w:val="24"/>
              </w:rPr>
            </w:pPr>
          </w:p>
        </w:tc>
      </w:tr>
    </w:tbl>
    <w:p w14:paraId="379BDAEE" w14:textId="77777777" w:rsidR="001506C1" w:rsidRPr="00FA3F9C" w:rsidRDefault="001506C1" w:rsidP="006F623F">
      <w:pPr>
        <w:spacing w:after="0"/>
        <w:rPr>
          <w:rFonts w:ascii="Arial" w:hAnsi="Arial" w:cs="Arial"/>
          <w:b/>
          <w:sz w:val="24"/>
          <w:szCs w:val="24"/>
          <w:u w:val="single"/>
        </w:rPr>
      </w:pPr>
    </w:p>
    <w:p w14:paraId="712AAD02" w14:textId="77777777" w:rsidR="001506C1" w:rsidRPr="00FA3F9C" w:rsidRDefault="001506C1" w:rsidP="006F623F">
      <w:pPr>
        <w:spacing w:after="0"/>
        <w:rPr>
          <w:rFonts w:ascii="Arial" w:hAnsi="Arial" w:cs="Arial"/>
          <w:b/>
          <w:sz w:val="24"/>
          <w:szCs w:val="24"/>
          <w:u w:val="single"/>
        </w:rPr>
      </w:pPr>
    </w:p>
    <w:tbl>
      <w:tblPr>
        <w:tblStyle w:val="TableGrid"/>
        <w:tblW w:w="0" w:type="auto"/>
        <w:shd w:val="clear" w:color="auto" w:fill="BFBFBF" w:themeFill="background1" w:themeFillShade="BF"/>
        <w:tblLook w:val="04A0" w:firstRow="1" w:lastRow="0" w:firstColumn="1" w:lastColumn="0" w:noHBand="0" w:noVBand="1"/>
      </w:tblPr>
      <w:tblGrid>
        <w:gridCol w:w="10998"/>
      </w:tblGrid>
      <w:tr w:rsidR="001506C1" w:rsidRPr="00FA3F9C" w14:paraId="6E53015A" w14:textId="77777777" w:rsidTr="00D82B6E">
        <w:tc>
          <w:tcPr>
            <w:tcW w:w="10998" w:type="dxa"/>
            <w:shd w:val="clear" w:color="auto" w:fill="BFBFBF" w:themeFill="background1" w:themeFillShade="BF"/>
          </w:tcPr>
          <w:p w14:paraId="0D3C09AF" w14:textId="77777777" w:rsidR="001506C1" w:rsidRPr="00FA3F9C" w:rsidRDefault="001506C1" w:rsidP="00D55236">
            <w:pPr>
              <w:rPr>
                <w:rFonts w:ascii="Arial" w:hAnsi="Arial" w:cs="Arial"/>
                <w:b/>
                <w:sz w:val="24"/>
                <w:szCs w:val="24"/>
                <w:u w:val="single"/>
              </w:rPr>
            </w:pPr>
            <w:r w:rsidRPr="00FA3F9C">
              <w:rPr>
                <w:rFonts w:ascii="Arial" w:hAnsi="Arial" w:cs="Arial"/>
                <w:sz w:val="24"/>
                <w:szCs w:val="24"/>
              </w:rPr>
              <w:t xml:space="preserve">Note: </w:t>
            </w:r>
            <w:r w:rsidRPr="00FA3F9C">
              <w:rPr>
                <w:rFonts w:ascii="Arial" w:hAnsi="Arial" w:cs="Arial"/>
                <w:b/>
                <w:sz w:val="24"/>
                <w:szCs w:val="24"/>
                <w:u w:val="single"/>
              </w:rPr>
              <w:t>Dosing in RRMS:</w:t>
            </w:r>
          </w:p>
          <w:p w14:paraId="534C3E0A" w14:textId="77777777" w:rsidR="001506C1" w:rsidRPr="00FA3F9C" w:rsidRDefault="001506C1" w:rsidP="00D55236">
            <w:pPr>
              <w:rPr>
                <w:rFonts w:ascii="Arial" w:hAnsi="Arial" w:cs="Arial"/>
                <w:sz w:val="24"/>
                <w:szCs w:val="24"/>
              </w:rPr>
            </w:pPr>
            <w:r w:rsidRPr="00FA3F9C">
              <w:rPr>
                <w:rFonts w:ascii="Arial" w:hAnsi="Arial" w:cs="Arial"/>
                <w:sz w:val="24"/>
                <w:szCs w:val="24"/>
              </w:rPr>
              <w:lastRenderedPageBreak/>
              <w:t xml:space="preserve">3.5mg/kg over 2-year treatment course, administered as 1.75 mg/kg in each year. Divide the 1.75 mg/kg dose over 2 cycles, each cycle lasting 4-5 consecutive days. Do not administer more than 20mg/day.  </w:t>
            </w:r>
          </w:p>
          <w:p w14:paraId="2EF4D9B4" w14:textId="77777777" w:rsidR="001506C1" w:rsidRPr="00FA3F9C" w:rsidRDefault="001506C1" w:rsidP="001506C1">
            <w:pPr>
              <w:pStyle w:val="ListParagraph"/>
              <w:numPr>
                <w:ilvl w:val="0"/>
                <w:numId w:val="92"/>
              </w:numPr>
              <w:rPr>
                <w:rFonts w:ascii="Arial" w:eastAsia="Times New Roman" w:hAnsi="Arial" w:cs="Arial"/>
                <w:color w:val="474747"/>
                <w:sz w:val="24"/>
                <w:szCs w:val="24"/>
                <w:shd w:val="clear" w:color="auto" w:fill="FFFFFF"/>
              </w:rPr>
            </w:pPr>
            <w:r w:rsidRPr="00FA3F9C">
              <w:rPr>
                <w:rFonts w:ascii="Arial" w:eastAsia="Times New Roman" w:hAnsi="Arial" w:cs="Arial"/>
                <w:color w:val="474747"/>
                <w:sz w:val="24"/>
                <w:szCs w:val="24"/>
                <w:shd w:val="clear" w:color="auto" w:fill="FFFFFF"/>
              </w:rPr>
              <w:t>1</w:t>
            </w:r>
            <w:r w:rsidRPr="00FA3F9C">
              <w:rPr>
                <w:rFonts w:ascii="Arial" w:eastAsia="Times New Roman" w:hAnsi="Arial" w:cs="Arial"/>
                <w:color w:val="474747"/>
                <w:sz w:val="24"/>
                <w:szCs w:val="24"/>
                <w:shd w:val="clear" w:color="auto" w:fill="FFFFFF"/>
                <w:vertAlign w:val="superscript"/>
              </w:rPr>
              <w:t>st</w:t>
            </w:r>
            <w:r w:rsidRPr="00FA3F9C">
              <w:rPr>
                <w:rFonts w:ascii="Arial" w:eastAsia="Times New Roman" w:hAnsi="Arial" w:cs="Arial"/>
                <w:color w:val="474747"/>
                <w:sz w:val="24"/>
                <w:szCs w:val="24"/>
                <w:shd w:val="clear" w:color="auto" w:fill="FFFFFF"/>
              </w:rPr>
              <w:t xml:space="preserve"> year:  initiate the first cycle at any time; administer the second cycle 23 to 27 days after the last dose of the first cycle. </w:t>
            </w:r>
          </w:p>
          <w:p w14:paraId="0250A097" w14:textId="77777777" w:rsidR="001506C1" w:rsidRPr="00FA3F9C" w:rsidRDefault="001506C1" w:rsidP="001506C1">
            <w:pPr>
              <w:pStyle w:val="ListParagraph"/>
              <w:numPr>
                <w:ilvl w:val="0"/>
                <w:numId w:val="92"/>
              </w:numPr>
              <w:rPr>
                <w:rFonts w:ascii="Arial" w:eastAsia="Times New Roman" w:hAnsi="Arial" w:cs="Arial"/>
                <w:sz w:val="24"/>
                <w:szCs w:val="24"/>
              </w:rPr>
            </w:pPr>
            <w:r w:rsidRPr="00FA3F9C">
              <w:rPr>
                <w:rFonts w:ascii="Arial" w:eastAsia="Times New Roman" w:hAnsi="Arial" w:cs="Arial"/>
                <w:color w:val="474747"/>
                <w:sz w:val="24"/>
                <w:szCs w:val="24"/>
                <w:shd w:val="clear" w:color="auto" w:fill="FFFFFF"/>
              </w:rPr>
              <w:t>2</w:t>
            </w:r>
            <w:r w:rsidRPr="00FA3F9C">
              <w:rPr>
                <w:rFonts w:ascii="Arial" w:eastAsia="Times New Roman" w:hAnsi="Arial" w:cs="Arial"/>
                <w:color w:val="474747"/>
                <w:sz w:val="24"/>
                <w:szCs w:val="24"/>
                <w:shd w:val="clear" w:color="auto" w:fill="FFFFFF"/>
                <w:vertAlign w:val="superscript"/>
              </w:rPr>
              <w:t>nd</w:t>
            </w:r>
            <w:r w:rsidRPr="00FA3F9C">
              <w:rPr>
                <w:rFonts w:ascii="Arial" w:eastAsia="Times New Roman" w:hAnsi="Arial" w:cs="Arial"/>
                <w:color w:val="474747"/>
                <w:sz w:val="24"/>
                <w:szCs w:val="24"/>
                <w:shd w:val="clear" w:color="auto" w:fill="FFFFFF"/>
              </w:rPr>
              <w:t xml:space="preserve"> year: initiate the first cycle ≥ 43 weeks after the last dose of the first year's second cycle. Administer the second cycle 23 to 27 days after the last dose of the second </w:t>
            </w:r>
            <w:proofErr w:type="gramStart"/>
            <w:r w:rsidRPr="00FA3F9C">
              <w:rPr>
                <w:rFonts w:ascii="Arial" w:eastAsia="Times New Roman" w:hAnsi="Arial" w:cs="Arial"/>
                <w:color w:val="474747"/>
                <w:sz w:val="24"/>
                <w:szCs w:val="24"/>
                <w:shd w:val="clear" w:color="auto" w:fill="FFFFFF"/>
              </w:rPr>
              <w:t>year's</w:t>
            </w:r>
            <w:proofErr w:type="gramEnd"/>
            <w:r w:rsidRPr="00FA3F9C">
              <w:rPr>
                <w:rFonts w:ascii="Arial" w:eastAsia="Times New Roman" w:hAnsi="Arial" w:cs="Arial"/>
                <w:color w:val="474747"/>
                <w:sz w:val="24"/>
                <w:szCs w:val="24"/>
                <w:shd w:val="clear" w:color="auto" w:fill="FFFFFF"/>
              </w:rPr>
              <w:t xml:space="preserve"> first cycle. Following 2 years of treatment, do not administer oral cladribine during the next 2 years. Refer to manufacturer's labeling for additional dosing details, including dosing tables.</w:t>
            </w:r>
          </w:p>
          <w:p w14:paraId="6A2D7E4B" w14:textId="77777777" w:rsidR="001506C1" w:rsidRPr="00FA3F9C" w:rsidRDefault="001506C1" w:rsidP="00D82B6E">
            <w:pPr>
              <w:rPr>
                <w:rFonts w:ascii="Arial" w:hAnsi="Arial" w:cs="Arial"/>
                <w:sz w:val="24"/>
                <w:szCs w:val="24"/>
              </w:rPr>
            </w:pPr>
          </w:p>
        </w:tc>
      </w:tr>
    </w:tbl>
    <w:p w14:paraId="0167BF14" w14:textId="77777777" w:rsidR="001506C1" w:rsidRPr="00FA3F9C" w:rsidRDefault="001506C1" w:rsidP="006F623F">
      <w:pPr>
        <w:spacing w:after="0"/>
        <w:rPr>
          <w:rFonts w:ascii="Arial" w:hAnsi="Arial" w:cs="Arial"/>
          <w:sz w:val="24"/>
          <w:szCs w:val="24"/>
        </w:rPr>
      </w:pPr>
    </w:p>
    <w:p w14:paraId="041A0C9B"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Quantity Limits: 2 cycles (see dosing above for the limits.)</w:t>
      </w:r>
    </w:p>
    <w:p w14:paraId="76623B79" w14:textId="77777777" w:rsidR="001506C1" w:rsidRPr="00FA3F9C" w:rsidRDefault="001506C1" w:rsidP="006F623F">
      <w:pPr>
        <w:spacing w:after="0"/>
        <w:rPr>
          <w:rFonts w:ascii="Arial" w:hAnsi="Arial" w:cs="Arial"/>
          <w:sz w:val="24"/>
          <w:szCs w:val="24"/>
        </w:rPr>
      </w:pPr>
    </w:p>
    <w:p w14:paraId="319079E4"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418"/>
        <w:gridCol w:w="7137"/>
        <w:gridCol w:w="2471"/>
      </w:tblGrid>
      <w:tr w:rsidR="001506C1" w:rsidRPr="00FA3F9C" w14:paraId="253733E8" w14:textId="77777777" w:rsidTr="00881329">
        <w:tc>
          <w:tcPr>
            <w:tcW w:w="1182" w:type="dxa"/>
          </w:tcPr>
          <w:p w14:paraId="0EA0EDD5" w14:textId="77777777" w:rsidR="001506C1" w:rsidRPr="00FA3F9C" w:rsidRDefault="001506C1" w:rsidP="006F623F">
            <w:pPr>
              <w:rPr>
                <w:rFonts w:ascii="Arial" w:hAnsi="Arial" w:cs="Arial"/>
                <w:sz w:val="24"/>
                <w:szCs w:val="24"/>
              </w:rPr>
            </w:pPr>
            <w:r w:rsidRPr="00FA3F9C">
              <w:rPr>
                <w:rFonts w:ascii="Arial" w:hAnsi="Arial" w:cs="Arial"/>
                <w:sz w:val="24"/>
                <w:szCs w:val="24"/>
              </w:rPr>
              <w:t>Date</w:t>
            </w:r>
          </w:p>
        </w:tc>
        <w:tc>
          <w:tcPr>
            <w:tcW w:w="7137" w:type="dxa"/>
          </w:tcPr>
          <w:p w14:paraId="4ED0BB3A" w14:textId="77777777" w:rsidR="001506C1" w:rsidRPr="00FA3F9C" w:rsidRDefault="001506C1" w:rsidP="006F623F">
            <w:pPr>
              <w:rPr>
                <w:rFonts w:ascii="Arial" w:hAnsi="Arial" w:cs="Arial"/>
                <w:sz w:val="24"/>
                <w:szCs w:val="24"/>
              </w:rPr>
            </w:pPr>
            <w:r w:rsidRPr="00FA3F9C">
              <w:rPr>
                <w:rFonts w:ascii="Arial" w:hAnsi="Arial" w:cs="Arial"/>
                <w:sz w:val="24"/>
                <w:szCs w:val="24"/>
              </w:rPr>
              <w:t>What changed</w:t>
            </w:r>
          </w:p>
        </w:tc>
        <w:tc>
          <w:tcPr>
            <w:tcW w:w="2471" w:type="dxa"/>
          </w:tcPr>
          <w:p w14:paraId="38AB7869" w14:textId="77777777" w:rsidR="001506C1" w:rsidRPr="00FA3F9C" w:rsidRDefault="001506C1" w:rsidP="006F623F">
            <w:pPr>
              <w:rPr>
                <w:rFonts w:ascii="Arial" w:hAnsi="Arial" w:cs="Arial"/>
                <w:sz w:val="24"/>
                <w:szCs w:val="24"/>
              </w:rPr>
            </w:pPr>
            <w:r w:rsidRPr="00FA3F9C">
              <w:rPr>
                <w:rFonts w:ascii="Arial" w:hAnsi="Arial" w:cs="Arial"/>
                <w:sz w:val="24"/>
                <w:szCs w:val="24"/>
              </w:rPr>
              <w:t>Pharmacist’s initials</w:t>
            </w:r>
          </w:p>
        </w:tc>
      </w:tr>
      <w:tr w:rsidR="001506C1" w:rsidRPr="00FA3F9C" w14:paraId="1F03B396" w14:textId="77777777" w:rsidTr="00881329">
        <w:tc>
          <w:tcPr>
            <w:tcW w:w="1182" w:type="dxa"/>
          </w:tcPr>
          <w:p w14:paraId="51CF0400" w14:textId="77777777" w:rsidR="001506C1" w:rsidRPr="00FA3F9C" w:rsidRDefault="001506C1" w:rsidP="006F623F">
            <w:pPr>
              <w:rPr>
                <w:rFonts w:ascii="Arial" w:hAnsi="Arial" w:cs="Arial"/>
                <w:sz w:val="24"/>
                <w:szCs w:val="24"/>
              </w:rPr>
            </w:pPr>
            <w:r w:rsidRPr="00FA3F9C">
              <w:rPr>
                <w:rFonts w:ascii="Arial" w:hAnsi="Arial" w:cs="Arial"/>
                <w:sz w:val="24"/>
                <w:szCs w:val="24"/>
              </w:rPr>
              <w:t>6/3/19</w:t>
            </w:r>
          </w:p>
        </w:tc>
        <w:tc>
          <w:tcPr>
            <w:tcW w:w="7137" w:type="dxa"/>
          </w:tcPr>
          <w:p w14:paraId="0DD96119" w14:textId="77777777" w:rsidR="001506C1" w:rsidRPr="00FA3F9C" w:rsidRDefault="001506C1" w:rsidP="006F623F">
            <w:pPr>
              <w:rPr>
                <w:rFonts w:ascii="Arial" w:hAnsi="Arial" w:cs="Arial"/>
                <w:sz w:val="24"/>
                <w:szCs w:val="24"/>
              </w:rPr>
            </w:pPr>
            <w:r w:rsidRPr="00FA3F9C">
              <w:rPr>
                <w:rFonts w:ascii="Arial" w:hAnsi="Arial" w:cs="Arial"/>
                <w:sz w:val="24"/>
                <w:szCs w:val="24"/>
              </w:rPr>
              <w:t>I wrote the criteria.  Will revisit the coverage 5/2020</w:t>
            </w:r>
          </w:p>
        </w:tc>
        <w:tc>
          <w:tcPr>
            <w:tcW w:w="2471" w:type="dxa"/>
          </w:tcPr>
          <w:p w14:paraId="676EC18A" w14:textId="77777777" w:rsidR="001506C1" w:rsidRPr="00FA3F9C" w:rsidRDefault="001506C1" w:rsidP="006F623F">
            <w:pPr>
              <w:rPr>
                <w:rFonts w:ascii="Arial" w:hAnsi="Arial" w:cs="Arial"/>
                <w:sz w:val="24"/>
                <w:szCs w:val="24"/>
              </w:rPr>
            </w:pPr>
            <w:r w:rsidRPr="00FA3F9C">
              <w:rPr>
                <w:rFonts w:ascii="Arial" w:hAnsi="Arial" w:cs="Arial"/>
                <w:sz w:val="24"/>
                <w:szCs w:val="24"/>
              </w:rPr>
              <w:t>JJ</w:t>
            </w:r>
          </w:p>
        </w:tc>
      </w:tr>
      <w:tr w:rsidR="001506C1" w:rsidRPr="00FA3F9C" w14:paraId="69D239EF" w14:textId="77777777" w:rsidTr="00881329">
        <w:tc>
          <w:tcPr>
            <w:tcW w:w="1182" w:type="dxa"/>
          </w:tcPr>
          <w:p w14:paraId="6C0D3CE8" w14:textId="77777777" w:rsidR="001506C1" w:rsidRPr="00FA3F9C" w:rsidRDefault="001506C1" w:rsidP="006F623F">
            <w:pPr>
              <w:rPr>
                <w:rFonts w:ascii="Arial" w:hAnsi="Arial" w:cs="Arial"/>
                <w:sz w:val="24"/>
                <w:szCs w:val="24"/>
              </w:rPr>
            </w:pPr>
            <w:r w:rsidRPr="00FA3F9C">
              <w:rPr>
                <w:rFonts w:ascii="Arial" w:hAnsi="Arial" w:cs="Arial"/>
                <w:sz w:val="24"/>
                <w:szCs w:val="24"/>
              </w:rPr>
              <w:t>6/23/2020</w:t>
            </w:r>
          </w:p>
        </w:tc>
        <w:tc>
          <w:tcPr>
            <w:tcW w:w="7137" w:type="dxa"/>
          </w:tcPr>
          <w:p w14:paraId="52E6920E" w14:textId="77777777" w:rsidR="001506C1" w:rsidRPr="00FA3F9C" w:rsidRDefault="001506C1" w:rsidP="006F623F">
            <w:pPr>
              <w:rPr>
                <w:rFonts w:ascii="Arial" w:hAnsi="Arial" w:cs="Arial"/>
                <w:sz w:val="24"/>
                <w:szCs w:val="24"/>
              </w:rPr>
            </w:pPr>
            <w:r w:rsidRPr="00FA3F9C">
              <w:rPr>
                <w:rFonts w:ascii="Arial" w:hAnsi="Arial" w:cs="Arial"/>
                <w:sz w:val="24"/>
                <w:szCs w:val="24"/>
              </w:rPr>
              <w:t>I reviewed the criteria. No changes</w:t>
            </w:r>
          </w:p>
        </w:tc>
        <w:tc>
          <w:tcPr>
            <w:tcW w:w="2471" w:type="dxa"/>
          </w:tcPr>
          <w:p w14:paraId="727E1400" w14:textId="77777777" w:rsidR="001506C1" w:rsidRPr="00FA3F9C" w:rsidRDefault="001506C1" w:rsidP="006F623F">
            <w:pPr>
              <w:rPr>
                <w:rFonts w:ascii="Arial" w:hAnsi="Arial" w:cs="Arial"/>
                <w:sz w:val="24"/>
                <w:szCs w:val="24"/>
              </w:rPr>
            </w:pPr>
            <w:r w:rsidRPr="00FA3F9C">
              <w:rPr>
                <w:rFonts w:ascii="Arial" w:hAnsi="Arial" w:cs="Arial"/>
                <w:sz w:val="24"/>
                <w:szCs w:val="24"/>
              </w:rPr>
              <w:t>JJ</w:t>
            </w:r>
          </w:p>
        </w:tc>
      </w:tr>
      <w:tr w:rsidR="001506C1" w:rsidRPr="00FA3F9C" w14:paraId="19744802" w14:textId="77777777" w:rsidTr="00881329">
        <w:tc>
          <w:tcPr>
            <w:tcW w:w="1182" w:type="dxa"/>
          </w:tcPr>
          <w:p w14:paraId="4105826E" w14:textId="77777777" w:rsidR="001506C1" w:rsidRPr="00FA3F9C" w:rsidRDefault="001506C1" w:rsidP="006F623F">
            <w:pPr>
              <w:rPr>
                <w:rFonts w:ascii="Arial" w:hAnsi="Arial" w:cs="Arial"/>
                <w:sz w:val="24"/>
                <w:szCs w:val="24"/>
              </w:rPr>
            </w:pPr>
            <w:r w:rsidRPr="00FA3F9C">
              <w:rPr>
                <w:rFonts w:ascii="Arial" w:hAnsi="Arial" w:cs="Arial"/>
                <w:sz w:val="24"/>
                <w:szCs w:val="24"/>
              </w:rPr>
              <w:t>12/10/2020</w:t>
            </w:r>
          </w:p>
        </w:tc>
        <w:tc>
          <w:tcPr>
            <w:tcW w:w="7137" w:type="dxa"/>
          </w:tcPr>
          <w:p w14:paraId="0B69926D" w14:textId="77777777" w:rsidR="001506C1" w:rsidRPr="00FA3F9C" w:rsidRDefault="001506C1" w:rsidP="006F623F">
            <w:pPr>
              <w:rPr>
                <w:rFonts w:ascii="Arial" w:hAnsi="Arial" w:cs="Arial"/>
                <w:sz w:val="24"/>
                <w:szCs w:val="24"/>
              </w:rPr>
            </w:pPr>
            <w:r w:rsidRPr="00FA3F9C">
              <w:rPr>
                <w:rFonts w:ascii="Arial" w:hAnsi="Arial" w:cs="Arial"/>
                <w:sz w:val="24"/>
                <w:szCs w:val="24"/>
              </w:rPr>
              <w:t xml:space="preserve">Changed criteria </w:t>
            </w:r>
            <w:r w:rsidRPr="00FA3F9C">
              <w:rPr>
                <w:rFonts w:ascii="Arial" w:hAnsi="Arial" w:cs="Arial"/>
                <w:b/>
                <w:bCs/>
                <w:sz w:val="24"/>
                <w:szCs w:val="24"/>
              </w:rPr>
              <w:t>from</w:t>
            </w:r>
            <w:r w:rsidRPr="00FA3F9C">
              <w:rPr>
                <w:rFonts w:ascii="Arial" w:hAnsi="Arial" w:cs="Arial"/>
                <w:sz w:val="24"/>
                <w:szCs w:val="24"/>
              </w:rPr>
              <w:t xml:space="preserve"> glatiramer and 3 other therapies </w:t>
            </w:r>
            <w:r w:rsidRPr="00FA3F9C">
              <w:rPr>
                <w:rFonts w:ascii="Arial" w:hAnsi="Arial" w:cs="Arial"/>
                <w:b/>
                <w:bCs/>
                <w:sz w:val="24"/>
                <w:szCs w:val="24"/>
              </w:rPr>
              <w:t>to</w:t>
            </w:r>
            <w:r w:rsidRPr="00FA3F9C">
              <w:rPr>
                <w:rFonts w:ascii="Arial" w:hAnsi="Arial" w:cs="Arial"/>
                <w:sz w:val="24"/>
                <w:szCs w:val="24"/>
              </w:rPr>
              <w:t xml:space="preserve"> 1 other therapy before use.  Could not justify causing someone to fail a less effective therapy first.</w:t>
            </w:r>
          </w:p>
        </w:tc>
        <w:tc>
          <w:tcPr>
            <w:tcW w:w="2471" w:type="dxa"/>
          </w:tcPr>
          <w:p w14:paraId="6C23189E" w14:textId="77777777" w:rsidR="001506C1" w:rsidRPr="00FA3F9C" w:rsidRDefault="001506C1" w:rsidP="006F623F">
            <w:pPr>
              <w:rPr>
                <w:rFonts w:ascii="Arial" w:hAnsi="Arial" w:cs="Arial"/>
                <w:sz w:val="24"/>
                <w:szCs w:val="24"/>
              </w:rPr>
            </w:pPr>
            <w:r w:rsidRPr="00FA3F9C">
              <w:rPr>
                <w:rFonts w:ascii="Arial" w:hAnsi="Arial" w:cs="Arial"/>
                <w:sz w:val="24"/>
                <w:szCs w:val="24"/>
              </w:rPr>
              <w:t>JJ, LE</w:t>
            </w:r>
          </w:p>
        </w:tc>
      </w:tr>
      <w:tr w:rsidR="001506C1" w:rsidRPr="00FA3F9C" w14:paraId="734FE8AB" w14:textId="77777777" w:rsidTr="00881329">
        <w:tc>
          <w:tcPr>
            <w:tcW w:w="1182" w:type="dxa"/>
          </w:tcPr>
          <w:p w14:paraId="1CFB29B4" w14:textId="77777777" w:rsidR="001506C1" w:rsidRPr="00FA3F9C" w:rsidRDefault="001506C1" w:rsidP="006F623F">
            <w:pPr>
              <w:rPr>
                <w:rFonts w:ascii="Arial" w:hAnsi="Arial" w:cs="Arial"/>
                <w:sz w:val="24"/>
                <w:szCs w:val="24"/>
              </w:rPr>
            </w:pPr>
            <w:r w:rsidRPr="00FA3F9C">
              <w:rPr>
                <w:rFonts w:ascii="Arial" w:hAnsi="Arial" w:cs="Arial"/>
                <w:sz w:val="24"/>
                <w:szCs w:val="24"/>
              </w:rPr>
              <w:t>4/1/21</w:t>
            </w:r>
          </w:p>
        </w:tc>
        <w:tc>
          <w:tcPr>
            <w:tcW w:w="7137" w:type="dxa"/>
          </w:tcPr>
          <w:p w14:paraId="6A7BA1F9" w14:textId="77777777" w:rsidR="001506C1" w:rsidRPr="00FA3F9C" w:rsidRDefault="001506C1" w:rsidP="006F623F">
            <w:pPr>
              <w:rPr>
                <w:rFonts w:ascii="Arial" w:hAnsi="Arial" w:cs="Arial"/>
                <w:sz w:val="24"/>
                <w:szCs w:val="24"/>
              </w:rPr>
            </w:pPr>
            <w:r w:rsidRPr="00FA3F9C">
              <w:rPr>
                <w:rFonts w:ascii="Arial" w:hAnsi="Arial" w:cs="Arial"/>
                <w:sz w:val="24"/>
                <w:szCs w:val="24"/>
              </w:rPr>
              <w:t>I added age 18y+ to be consistent with FDA-approved use.  I clarified for continuation that “successful” may mean the prescriber’s attestation that clinical benefit occurred over baseline for the first course.  Also clarified that only 2 courses are allowed.  Applied EBRx criteria to UAS Plan.</w:t>
            </w:r>
          </w:p>
        </w:tc>
        <w:tc>
          <w:tcPr>
            <w:tcW w:w="2471" w:type="dxa"/>
          </w:tcPr>
          <w:p w14:paraId="2401C784" w14:textId="77777777" w:rsidR="001506C1" w:rsidRPr="00FA3F9C" w:rsidRDefault="001506C1" w:rsidP="006F623F">
            <w:pPr>
              <w:rPr>
                <w:rFonts w:ascii="Arial" w:hAnsi="Arial" w:cs="Arial"/>
                <w:sz w:val="24"/>
                <w:szCs w:val="24"/>
              </w:rPr>
            </w:pPr>
            <w:r w:rsidRPr="00FA3F9C">
              <w:rPr>
                <w:rFonts w:ascii="Arial" w:hAnsi="Arial" w:cs="Arial"/>
                <w:sz w:val="24"/>
                <w:szCs w:val="24"/>
              </w:rPr>
              <w:t>JJ</w:t>
            </w:r>
          </w:p>
        </w:tc>
      </w:tr>
    </w:tbl>
    <w:p w14:paraId="5B9DE088" w14:textId="77777777" w:rsidR="001506C1" w:rsidRPr="00FA3F9C" w:rsidRDefault="001506C1" w:rsidP="006F623F">
      <w:pPr>
        <w:spacing w:after="0"/>
        <w:rPr>
          <w:rFonts w:ascii="Arial" w:hAnsi="Arial" w:cs="Arial"/>
          <w:sz w:val="24"/>
          <w:szCs w:val="24"/>
        </w:rPr>
      </w:pPr>
    </w:p>
    <w:p w14:paraId="04DEC953" w14:textId="77777777" w:rsidR="001506C1" w:rsidRPr="00FA3F9C" w:rsidRDefault="001506C1" w:rsidP="00FC1E85">
      <w:pPr>
        <w:pStyle w:val="Heading2"/>
      </w:pPr>
      <w:bookmarkStart w:id="58" w:name="_Toc106369754"/>
      <w:r w:rsidRPr="00FA3F9C">
        <w:t>Clobazam (</w:t>
      </w:r>
      <w:proofErr w:type="spellStart"/>
      <w:r w:rsidRPr="00FA3F9C">
        <w:t>Onfi</w:t>
      </w:r>
      <w:proofErr w:type="spellEnd"/>
      <w:r w:rsidRPr="00FA3F9C">
        <w:t>)</w:t>
      </w:r>
      <w:bookmarkEnd w:id="58"/>
    </w:p>
    <w:p w14:paraId="71DE1DD6" w14:textId="77777777" w:rsidR="001506C1" w:rsidRPr="00FA3F9C" w:rsidRDefault="001506C1" w:rsidP="007A3764">
      <w:pPr>
        <w:jc w:val="center"/>
        <w:rPr>
          <w:rFonts w:ascii="Arial" w:hAnsi="Arial" w:cs="Arial"/>
          <w:b/>
          <w:sz w:val="24"/>
          <w:szCs w:val="24"/>
        </w:rPr>
      </w:pPr>
      <w:r w:rsidRPr="00FA3F9C">
        <w:rPr>
          <w:rFonts w:ascii="Arial" w:hAnsi="Arial" w:cs="Arial"/>
          <w:b/>
          <w:sz w:val="24"/>
          <w:szCs w:val="24"/>
        </w:rPr>
        <w:t>EBRx Prior Authorization Criteria</w:t>
      </w:r>
    </w:p>
    <w:p w14:paraId="712B8CC8" w14:textId="77777777" w:rsidR="001506C1" w:rsidRPr="00FA3F9C" w:rsidRDefault="001506C1" w:rsidP="007A3764">
      <w:pPr>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
        <w:gridCol w:w="10791"/>
        <w:gridCol w:w="47"/>
      </w:tblGrid>
      <w:tr w:rsidR="001506C1" w:rsidRPr="00FA3F9C" w14:paraId="4D0D715D" w14:textId="77777777" w:rsidTr="00F91F01">
        <w:trPr>
          <w:gridAfter w:val="1"/>
          <w:wAfter w:w="47" w:type="dxa"/>
          <w:jc w:val="center"/>
        </w:trPr>
        <w:tc>
          <w:tcPr>
            <w:tcW w:w="10815" w:type="dxa"/>
            <w:gridSpan w:val="2"/>
          </w:tcPr>
          <w:p w14:paraId="2EC4C02E" w14:textId="77777777" w:rsidR="001506C1" w:rsidRPr="00FA3F9C" w:rsidRDefault="001506C1" w:rsidP="001506C1">
            <w:pPr>
              <w:numPr>
                <w:ilvl w:val="0"/>
                <w:numId w:val="95"/>
              </w:numPr>
              <w:spacing w:after="0" w:line="240" w:lineRule="auto"/>
              <w:ind w:left="372" w:hanging="270"/>
              <w:rPr>
                <w:rFonts w:ascii="Arial" w:hAnsi="Arial" w:cs="Arial"/>
                <w:sz w:val="24"/>
                <w:szCs w:val="24"/>
              </w:rPr>
            </w:pPr>
            <w:r w:rsidRPr="00FA3F9C">
              <w:rPr>
                <w:rFonts w:ascii="Arial" w:hAnsi="Arial" w:cs="Arial"/>
                <w:sz w:val="24"/>
                <w:szCs w:val="24"/>
              </w:rPr>
              <w:t>Diagnosis of Lennox-</w:t>
            </w:r>
            <w:proofErr w:type="spellStart"/>
            <w:r w:rsidRPr="00FA3F9C">
              <w:rPr>
                <w:rFonts w:ascii="Arial" w:hAnsi="Arial" w:cs="Arial"/>
                <w:sz w:val="24"/>
                <w:szCs w:val="24"/>
              </w:rPr>
              <w:t>Gastaut</w:t>
            </w:r>
            <w:proofErr w:type="spellEnd"/>
            <w:r w:rsidRPr="00FA3F9C">
              <w:rPr>
                <w:rFonts w:ascii="Arial" w:hAnsi="Arial" w:cs="Arial"/>
                <w:sz w:val="24"/>
                <w:szCs w:val="24"/>
              </w:rPr>
              <w:t xml:space="preserve"> seizure disorder or Dravet Syndrome</w:t>
            </w:r>
          </w:p>
        </w:tc>
      </w:tr>
      <w:tr w:rsidR="001506C1" w:rsidRPr="00FA3F9C" w14:paraId="27A535D3" w14:textId="77777777" w:rsidTr="00F91F01">
        <w:trPr>
          <w:gridAfter w:val="1"/>
          <w:wAfter w:w="47" w:type="dxa"/>
          <w:trHeight w:val="314"/>
          <w:jc w:val="center"/>
        </w:trPr>
        <w:tc>
          <w:tcPr>
            <w:tcW w:w="10815" w:type="dxa"/>
            <w:gridSpan w:val="2"/>
            <w:tcBorders>
              <w:bottom w:val="single" w:sz="4" w:space="0" w:color="auto"/>
            </w:tcBorders>
          </w:tcPr>
          <w:p w14:paraId="17C2CFA9" w14:textId="77777777" w:rsidR="001506C1" w:rsidRPr="00FA3F9C" w:rsidRDefault="001506C1" w:rsidP="001506C1">
            <w:pPr>
              <w:numPr>
                <w:ilvl w:val="0"/>
                <w:numId w:val="95"/>
              </w:numPr>
              <w:spacing w:after="0" w:line="240" w:lineRule="auto"/>
              <w:ind w:left="372" w:hanging="270"/>
              <w:rPr>
                <w:rFonts w:ascii="Arial" w:hAnsi="Arial" w:cs="Arial"/>
                <w:sz w:val="24"/>
                <w:szCs w:val="24"/>
              </w:rPr>
            </w:pPr>
            <w:r w:rsidRPr="00FA3F9C">
              <w:rPr>
                <w:rFonts w:ascii="Arial" w:hAnsi="Arial" w:cs="Arial"/>
                <w:sz w:val="24"/>
                <w:szCs w:val="24"/>
              </w:rPr>
              <w:t>Clobazam must be used in conjunction with at least one other antiseizure medication.</w:t>
            </w:r>
          </w:p>
        </w:tc>
      </w:tr>
      <w:tr w:rsidR="001506C1" w:rsidRPr="00FA3F9C" w14:paraId="41B6D896" w14:textId="77777777" w:rsidTr="00F91F01">
        <w:trPr>
          <w:gridBefore w:val="1"/>
          <w:wBefore w:w="24" w:type="dxa"/>
          <w:jc w:val="center"/>
        </w:trPr>
        <w:tc>
          <w:tcPr>
            <w:tcW w:w="10838" w:type="dxa"/>
            <w:gridSpan w:val="2"/>
          </w:tcPr>
          <w:p w14:paraId="080EB8AC" w14:textId="77777777" w:rsidR="001506C1" w:rsidRPr="00FA3F9C" w:rsidRDefault="001506C1" w:rsidP="007A3764">
            <w:pPr>
              <w:autoSpaceDE w:val="0"/>
              <w:autoSpaceDN w:val="0"/>
              <w:adjustRightInd w:val="0"/>
              <w:rPr>
                <w:rFonts w:ascii="Arial" w:hAnsi="Arial" w:cs="Arial"/>
                <w:sz w:val="24"/>
                <w:szCs w:val="24"/>
              </w:rPr>
            </w:pPr>
            <w:r w:rsidRPr="00FA3F9C">
              <w:rPr>
                <w:rFonts w:ascii="Arial" w:hAnsi="Arial" w:cs="Arial"/>
                <w:sz w:val="24"/>
                <w:szCs w:val="24"/>
              </w:rPr>
              <w:lastRenderedPageBreak/>
              <w:t xml:space="preserve">     Approve for 1 year.</w:t>
            </w:r>
          </w:p>
          <w:p w14:paraId="37CF49DE" w14:textId="77777777" w:rsidR="001506C1" w:rsidRPr="00FA3F9C" w:rsidRDefault="001506C1" w:rsidP="007A3764">
            <w:pPr>
              <w:autoSpaceDE w:val="0"/>
              <w:autoSpaceDN w:val="0"/>
              <w:adjustRightInd w:val="0"/>
              <w:rPr>
                <w:rFonts w:ascii="Arial" w:hAnsi="Arial" w:cs="Arial"/>
                <w:sz w:val="24"/>
                <w:szCs w:val="24"/>
              </w:rPr>
            </w:pPr>
            <w:r w:rsidRPr="00FA3F9C">
              <w:rPr>
                <w:rFonts w:ascii="Arial" w:hAnsi="Arial" w:cs="Arial"/>
                <w:sz w:val="24"/>
                <w:szCs w:val="24"/>
              </w:rPr>
              <w:t xml:space="preserve">Notes:  </w:t>
            </w:r>
          </w:p>
          <w:p w14:paraId="2651AA02" w14:textId="77777777" w:rsidR="001506C1" w:rsidRPr="00FA3F9C" w:rsidRDefault="001506C1" w:rsidP="001506C1">
            <w:pPr>
              <w:numPr>
                <w:ilvl w:val="0"/>
                <w:numId w:val="93"/>
              </w:numPr>
              <w:autoSpaceDE w:val="0"/>
              <w:autoSpaceDN w:val="0"/>
              <w:adjustRightInd w:val="0"/>
              <w:spacing w:after="0" w:line="240" w:lineRule="auto"/>
              <w:rPr>
                <w:rFonts w:ascii="Arial" w:hAnsi="Arial" w:cs="Arial"/>
                <w:sz w:val="24"/>
                <w:szCs w:val="24"/>
              </w:rPr>
            </w:pPr>
            <w:r w:rsidRPr="00FA3F9C">
              <w:rPr>
                <w:rFonts w:ascii="Arial" w:eastAsia="TimesNewRoman" w:hAnsi="Arial" w:cs="Arial"/>
                <w:sz w:val="24"/>
                <w:szCs w:val="24"/>
              </w:rPr>
              <w:t>There is no consensus by any national neurology group as to practice guidelines to date (4/23/2015).</w:t>
            </w:r>
          </w:p>
          <w:p w14:paraId="25F3D8D5" w14:textId="77777777" w:rsidR="001506C1" w:rsidRPr="00FA3F9C" w:rsidRDefault="001506C1" w:rsidP="001506C1">
            <w:pPr>
              <w:numPr>
                <w:ilvl w:val="0"/>
                <w:numId w:val="93"/>
              </w:numPr>
              <w:autoSpaceDE w:val="0"/>
              <w:autoSpaceDN w:val="0"/>
              <w:adjustRightInd w:val="0"/>
              <w:spacing w:after="0" w:line="240" w:lineRule="auto"/>
              <w:rPr>
                <w:rFonts w:ascii="Arial" w:eastAsia="Malgun Gothic" w:hAnsi="Arial" w:cs="Arial"/>
                <w:sz w:val="24"/>
                <w:szCs w:val="24"/>
              </w:rPr>
            </w:pPr>
            <w:r w:rsidRPr="00FA3F9C">
              <w:rPr>
                <w:rFonts w:ascii="Arial" w:eastAsia="TimesNewRoman" w:hAnsi="Arial" w:cs="Arial"/>
                <w:sz w:val="24"/>
                <w:szCs w:val="24"/>
              </w:rPr>
              <w:t>F</w:t>
            </w:r>
            <w:r w:rsidRPr="00FA3F9C">
              <w:rPr>
                <w:rFonts w:ascii="Arial" w:hAnsi="Arial" w:cs="Arial"/>
                <w:sz w:val="24"/>
                <w:szCs w:val="24"/>
              </w:rPr>
              <w:t>DA approved for adjuvant t</w:t>
            </w:r>
            <w:r w:rsidRPr="00FA3F9C">
              <w:rPr>
                <w:rFonts w:ascii="Arial" w:eastAsia="Malgun Gothic" w:hAnsi="Arial" w:cs="Arial"/>
                <w:sz w:val="24"/>
                <w:szCs w:val="24"/>
              </w:rPr>
              <w:t>reatment of seizures associated with Lennox-</w:t>
            </w:r>
            <w:proofErr w:type="spellStart"/>
            <w:r w:rsidRPr="00FA3F9C">
              <w:rPr>
                <w:rFonts w:ascii="Arial" w:eastAsia="Malgun Gothic" w:hAnsi="Arial" w:cs="Arial"/>
                <w:sz w:val="24"/>
                <w:szCs w:val="24"/>
              </w:rPr>
              <w:t>Gastaut</w:t>
            </w:r>
            <w:proofErr w:type="spellEnd"/>
            <w:r w:rsidRPr="00FA3F9C">
              <w:rPr>
                <w:rFonts w:ascii="Arial" w:eastAsia="Malgun Gothic" w:hAnsi="Arial" w:cs="Arial"/>
                <w:sz w:val="24"/>
                <w:szCs w:val="24"/>
              </w:rPr>
              <w:t xml:space="preserve"> syndrome (LGS) in patients</w:t>
            </w:r>
          </w:p>
          <w:p w14:paraId="16D22F82" w14:textId="77777777" w:rsidR="001506C1" w:rsidRPr="00FA3F9C" w:rsidRDefault="001506C1" w:rsidP="007742BB">
            <w:pPr>
              <w:autoSpaceDE w:val="0"/>
              <w:autoSpaceDN w:val="0"/>
              <w:adjustRightInd w:val="0"/>
              <w:ind w:left="720"/>
              <w:rPr>
                <w:rFonts w:ascii="Arial" w:hAnsi="Arial" w:cs="Arial"/>
                <w:sz w:val="24"/>
                <w:szCs w:val="24"/>
              </w:rPr>
            </w:pPr>
            <w:r w:rsidRPr="00FA3F9C">
              <w:rPr>
                <w:rFonts w:ascii="Arial" w:eastAsia="Malgun Gothic" w:hAnsi="Arial" w:cs="Arial"/>
                <w:sz w:val="24"/>
                <w:szCs w:val="24"/>
              </w:rPr>
              <w:t>2 years of age or older</w:t>
            </w:r>
            <w:r w:rsidRPr="00FA3F9C">
              <w:rPr>
                <w:rFonts w:ascii="Arial" w:hAnsi="Arial" w:cs="Arial"/>
                <w:sz w:val="24"/>
                <w:szCs w:val="24"/>
              </w:rPr>
              <w:t>.</w:t>
            </w:r>
          </w:p>
          <w:p w14:paraId="187556AF" w14:textId="77777777" w:rsidR="001506C1" w:rsidRPr="00FA3F9C" w:rsidRDefault="001506C1" w:rsidP="001506C1">
            <w:pPr>
              <w:numPr>
                <w:ilvl w:val="0"/>
                <w:numId w:val="93"/>
              </w:numPr>
              <w:autoSpaceDE w:val="0"/>
              <w:autoSpaceDN w:val="0"/>
              <w:adjustRightInd w:val="0"/>
              <w:spacing w:after="0" w:line="240" w:lineRule="auto"/>
              <w:rPr>
                <w:rFonts w:ascii="Arial" w:hAnsi="Arial" w:cs="Arial"/>
                <w:sz w:val="24"/>
                <w:szCs w:val="24"/>
              </w:rPr>
            </w:pPr>
            <w:proofErr w:type="spellStart"/>
            <w:r w:rsidRPr="00FA3F9C">
              <w:rPr>
                <w:rFonts w:ascii="Arial" w:hAnsi="Arial" w:cs="Arial"/>
                <w:sz w:val="24"/>
                <w:szCs w:val="24"/>
              </w:rPr>
              <w:t>Onfi</w:t>
            </w:r>
            <w:proofErr w:type="spellEnd"/>
            <w:r w:rsidRPr="00FA3F9C">
              <w:rPr>
                <w:rFonts w:ascii="Arial" w:hAnsi="Arial" w:cs="Arial"/>
                <w:sz w:val="24"/>
                <w:szCs w:val="24"/>
              </w:rPr>
              <w:t xml:space="preserve"> is a benzodiazepine, scheduled IV, abusable, and can lead to a withdrawal syndrome upon stopping.</w:t>
            </w:r>
          </w:p>
          <w:p w14:paraId="688B43D9" w14:textId="77777777" w:rsidR="001506C1" w:rsidRPr="00FA3F9C" w:rsidRDefault="001506C1" w:rsidP="007742BB">
            <w:pPr>
              <w:autoSpaceDE w:val="0"/>
              <w:autoSpaceDN w:val="0"/>
              <w:adjustRightInd w:val="0"/>
              <w:rPr>
                <w:rFonts w:ascii="Arial" w:hAnsi="Arial" w:cs="Arial"/>
                <w:sz w:val="24"/>
                <w:szCs w:val="24"/>
              </w:rPr>
            </w:pPr>
          </w:p>
        </w:tc>
      </w:tr>
    </w:tbl>
    <w:p w14:paraId="1E9FDCE5" w14:textId="77777777" w:rsidR="001506C1" w:rsidRPr="00FA3F9C" w:rsidRDefault="001506C1" w:rsidP="00DC7371">
      <w:pPr>
        <w:widowControl w:val="0"/>
        <w:autoSpaceDE w:val="0"/>
        <w:autoSpaceDN w:val="0"/>
        <w:adjustRightInd w:val="0"/>
        <w:rPr>
          <w:rFonts w:ascii="Arial" w:hAnsi="Arial" w:cs="Arial"/>
          <w:b/>
          <w:sz w:val="24"/>
          <w:szCs w:val="24"/>
          <w:u w:val="single"/>
        </w:rPr>
      </w:pPr>
      <w:r w:rsidRPr="00FA3F9C">
        <w:rPr>
          <w:rFonts w:ascii="Arial" w:hAnsi="Arial" w:cs="Arial"/>
          <w:b/>
          <w:sz w:val="24"/>
          <w:szCs w:val="24"/>
          <w:u w:val="single"/>
        </w:rPr>
        <w:t>Re-review, 3/13/15:</w:t>
      </w:r>
    </w:p>
    <w:p w14:paraId="75E9EDF7" w14:textId="77777777" w:rsidR="001506C1" w:rsidRPr="00FA3F9C" w:rsidRDefault="001506C1" w:rsidP="00DC7371">
      <w:pPr>
        <w:widowControl w:val="0"/>
        <w:autoSpaceDE w:val="0"/>
        <w:autoSpaceDN w:val="0"/>
        <w:adjustRightInd w:val="0"/>
        <w:rPr>
          <w:rFonts w:ascii="Arial" w:hAnsi="Arial" w:cs="Arial"/>
          <w:sz w:val="24"/>
          <w:szCs w:val="24"/>
        </w:rPr>
      </w:pPr>
      <w:r w:rsidRPr="00FA3F9C">
        <w:rPr>
          <w:rFonts w:ascii="Arial" w:hAnsi="Arial" w:cs="Arial"/>
          <w:sz w:val="24"/>
          <w:szCs w:val="24"/>
        </w:rPr>
        <w:t>A 2013 Cochrane systematic review concluded:</w:t>
      </w:r>
    </w:p>
    <w:p w14:paraId="2A5B2673" w14:textId="77777777" w:rsidR="001506C1" w:rsidRPr="00FA3F9C" w:rsidRDefault="001506C1" w:rsidP="00DC7371">
      <w:pPr>
        <w:rPr>
          <w:rFonts w:ascii="Arial" w:hAnsi="Arial" w:cs="Arial"/>
          <w:color w:val="061844"/>
          <w:sz w:val="24"/>
          <w:szCs w:val="24"/>
          <w:shd w:val="clear" w:color="auto" w:fill="ECEAF4"/>
        </w:rPr>
      </w:pPr>
      <w:r w:rsidRPr="00FA3F9C">
        <w:rPr>
          <w:rFonts w:ascii="Arial" w:hAnsi="Arial" w:cs="Arial"/>
          <w:sz w:val="24"/>
          <w:szCs w:val="24"/>
        </w:rPr>
        <w:t>“</w:t>
      </w:r>
      <w:r w:rsidRPr="00FA3F9C">
        <w:rPr>
          <w:rFonts w:ascii="Arial" w:hAnsi="Arial" w:cs="Arial"/>
          <w:color w:val="061844"/>
          <w:sz w:val="24"/>
          <w:szCs w:val="24"/>
          <w:shd w:val="clear" w:color="auto" w:fill="ECEAF4"/>
        </w:rPr>
        <w:t xml:space="preserve">The optimum treatment for LGS remains uncertain and no study to date has shown any one drug to be highly efficacious; rufinamide, lamotrigine, topiramate and felbamate may be helpful as add-on therapy, clobazam may be helpful for drop seizures. Until further research has been undertaken, clinicians will need to continue to consider each patient individually, </w:t>
      </w:r>
      <w:proofErr w:type="gramStart"/>
      <w:r w:rsidRPr="00FA3F9C">
        <w:rPr>
          <w:rFonts w:ascii="Arial" w:hAnsi="Arial" w:cs="Arial"/>
          <w:color w:val="061844"/>
          <w:sz w:val="24"/>
          <w:szCs w:val="24"/>
          <w:shd w:val="clear" w:color="auto" w:fill="ECEAF4"/>
        </w:rPr>
        <w:t>taking into account</w:t>
      </w:r>
      <w:proofErr w:type="gramEnd"/>
      <w:r w:rsidRPr="00FA3F9C">
        <w:rPr>
          <w:rFonts w:ascii="Arial" w:hAnsi="Arial" w:cs="Arial"/>
          <w:color w:val="061844"/>
          <w:sz w:val="24"/>
          <w:szCs w:val="24"/>
          <w:shd w:val="clear" w:color="auto" w:fill="ECEAF4"/>
        </w:rPr>
        <w:t xml:space="preserve"> the potential benefit of each therapy weighed against the risk of adverse effects.”</w:t>
      </w:r>
    </w:p>
    <w:p w14:paraId="05DEDE3A" w14:textId="77777777" w:rsidR="001506C1" w:rsidRPr="00FA3F9C" w:rsidRDefault="001506C1" w:rsidP="00DC7371">
      <w:pPr>
        <w:rPr>
          <w:rFonts w:ascii="Arial" w:hAnsi="Arial" w:cs="Arial"/>
          <w:sz w:val="24"/>
          <w:szCs w:val="24"/>
        </w:rPr>
      </w:pPr>
      <w:r w:rsidRPr="00FA3F9C">
        <w:rPr>
          <w:rFonts w:ascii="Arial" w:hAnsi="Arial" w:cs="Arial"/>
          <w:sz w:val="24"/>
          <w:szCs w:val="24"/>
        </w:rPr>
        <w:t xml:space="preserve">Other findings:  </w:t>
      </w:r>
      <w:proofErr w:type="gramStart"/>
      <w:r w:rsidRPr="00FA3F9C">
        <w:rPr>
          <w:rFonts w:ascii="Arial" w:hAnsi="Arial" w:cs="Arial"/>
          <w:sz w:val="24"/>
          <w:szCs w:val="24"/>
        </w:rPr>
        <w:t>High-dose</w:t>
      </w:r>
      <w:proofErr w:type="gramEnd"/>
      <w:r w:rsidRPr="00FA3F9C">
        <w:rPr>
          <w:rFonts w:ascii="Arial" w:hAnsi="Arial" w:cs="Arial"/>
          <w:sz w:val="24"/>
          <w:szCs w:val="24"/>
        </w:rPr>
        <w:t xml:space="preserve"> clobazam works better than low dose in reducing the number of drop attacks. </w:t>
      </w:r>
    </w:p>
    <w:p w14:paraId="51FFFF62" w14:textId="77777777" w:rsidR="001506C1" w:rsidRPr="00FA3F9C" w:rsidRDefault="001506C1" w:rsidP="00DC7371">
      <w:pPr>
        <w:rPr>
          <w:rFonts w:ascii="Arial" w:hAnsi="Arial" w:cs="Arial"/>
          <w:sz w:val="24"/>
          <w:szCs w:val="24"/>
        </w:rPr>
      </w:pPr>
      <w:r w:rsidRPr="00FA3F9C">
        <w:rPr>
          <w:rFonts w:ascii="Arial" w:hAnsi="Arial" w:cs="Arial"/>
          <w:sz w:val="24"/>
          <w:szCs w:val="24"/>
        </w:rPr>
        <w:t>Hancock EC, Cross JH. Treatment of Lennox-</w:t>
      </w:r>
      <w:proofErr w:type="spellStart"/>
      <w:r w:rsidRPr="00FA3F9C">
        <w:rPr>
          <w:rFonts w:ascii="Arial" w:hAnsi="Arial" w:cs="Arial"/>
          <w:sz w:val="24"/>
          <w:szCs w:val="24"/>
        </w:rPr>
        <w:t>Gastaut</w:t>
      </w:r>
      <w:proofErr w:type="spellEnd"/>
      <w:r w:rsidRPr="00FA3F9C">
        <w:rPr>
          <w:rFonts w:ascii="Arial" w:hAnsi="Arial" w:cs="Arial"/>
          <w:sz w:val="24"/>
          <w:szCs w:val="24"/>
        </w:rPr>
        <w:t xml:space="preserve"> syndrome. Cochrane Database of Systematic Reviews 2013, Issue 2. Art. No.: CD003277. DOI: 10.1002/14651858.CD003277.pub3.</w:t>
      </w:r>
    </w:p>
    <w:p w14:paraId="64F521CD" w14:textId="77777777" w:rsidR="001506C1" w:rsidRPr="00FA3F9C" w:rsidRDefault="001506C1" w:rsidP="00DC7371">
      <w:pPr>
        <w:widowControl w:val="0"/>
        <w:autoSpaceDE w:val="0"/>
        <w:autoSpaceDN w:val="0"/>
        <w:adjustRightInd w:val="0"/>
        <w:rPr>
          <w:rFonts w:ascii="Arial" w:hAnsi="Arial" w:cs="Arial"/>
          <w:sz w:val="24"/>
          <w:szCs w:val="24"/>
        </w:rPr>
      </w:pPr>
    </w:p>
    <w:p w14:paraId="2B1E8F17" w14:textId="77777777" w:rsidR="001506C1" w:rsidRPr="00FA3F9C" w:rsidRDefault="001506C1" w:rsidP="00DC7371">
      <w:pPr>
        <w:widowControl w:val="0"/>
        <w:autoSpaceDE w:val="0"/>
        <w:autoSpaceDN w:val="0"/>
        <w:adjustRightInd w:val="0"/>
        <w:rPr>
          <w:rFonts w:ascii="Arial" w:hAnsi="Arial" w:cs="Arial"/>
          <w:sz w:val="24"/>
          <w:szCs w:val="24"/>
        </w:rPr>
      </w:pPr>
      <w:r w:rsidRPr="00FA3F9C">
        <w:rPr>
          <w:rFonts w:ascii="Arial" w:hAnsi="Arial" w:cs="Arial"/>
          <w:sz w:val="24"/>
          <w:szCs w:val="24"/>
        </w:rPr>
        <w:t xml:space="preserve">A second Cochrane systematic review regarding the comparison of antiepileptic drugs in kids with benign epilepsy with </w:t>
      </w:r>
      <w:proofErr w:type="spellStart"/>
      <w:r w:rsidRPr="00FA3F9C">
        <w:rPr>
          <w:rFonts w:ascii="Arial" w:hAnsi="Arial" w:cs="Arial"/>
          <w:sz w:val="24"/>
          <w:szCs w:val="24"/>
        </w:rPr>
        <w:t>centro</w:t>
      </w:r>
      <w:proofErr w:type="spellEnd"/>
      <w:r w:rsidRPr="00FA3F9C">
        <w:rPr>
          <w:rFonts w:ascii="Arial" w:hAnsi="Arial" w:cs="Arial"/>
          <w:sz w:val="24"/>
          <w:szCs w:val="24"/>
        </w:rPr>
        <w:t xml:space="preserve"> temporal spikes concluded clobazam was not different than carbamazepine.</w:t>
      </w:r>
    </w:p>
    <w:p w14:paraId="4E64221F" w14:textId="77777777" w:rsidR="001506C1" w:rsidRPr="00FA3F9C" w:rsidRDefault="001506C1" w:rsidP="00DC7371">
      <w:pPr>
        <w:rPr>
          <w:rFonts w:ascii="Arial" w:hAnsi="Arial" w:cs="Arial"/>
          <w:sz w:val="24"/>
          <w:szCs w:val="24"/>
        </w:rPr>
      </w:pPr>
      <w:r w:rsidRPr="00FA3F9C">
        <w:rPr>
          <w:rFonts w:ascii="Arial" w:hAnsi="Arial" w:cs="Arial"/>
          <w:sz w:val="24"/>
          <w:szCs w:val="24"/>
        </w:rPr>
        <w:t xml:space="preserve">Tan HJ, Singh J, Gupta R, de Goede C. Comparison of antiepileptic drugs, no treatment, or placebo for children with benign epilepsy with </w:t>
      </w:r>
      <w:proofErr w:type="spellStart"/>
      <w:r w:rsidRPr="00FA3F9C">
        <w:rPr>
          <w:rFonts w:ascii="Arial" w:hAnsi="Arial" w:cs="Arial"/>
          <w:sz w:val="24"/>
          <w:szCs w:val="24"/>
        </w:rPr>
        <w:t>centro</w:t>
      </w:r>
      <w:proofErr w:type="spellEnd"/>
      <w:r w:rsidRPr="00FA3F9C">
        <w:rPr>
          <w:rFonts w:ascii="Arial" w:hAnsi="Arial" w:cs="Arial"/>
          <w:sz w:val="24"/>
          <w:szCs w:val="24"/>
        </w:rPr>
        <w:t xml:space="preserve"> temporal spikes. Cochrane Database of Systematic Reviews 2014, Issue 9. Art. No.: CD006779. DOI: 10.1002/14651858.CD006779.pub2.</w:t>
      </w:r>
    </w:p>
    <w:p w14:paraId="727DE503" w14:textId="77777777" w:rsidR="001506C1" w:rsidRPr="00FA3F9C" w:rsidRDefault="001506C1" w:rsidP="00DC7371">
      <w:pPr>
        <w:widowControl w:val="0"/>
        <w:autoSpaceDE w:val="0"/>
        <w:autoSpaceDN w:val="0"/>
        <w:adjustRightInd w:val="0"/>
        <w:rPr>
          <w:rFonts w:ascii="Arial" w:hAnsi="Arial" w:cs="Arial"/>
          <w:sz w:val="24"/>
          <w:szCs w:val="24"/>
        </w:rPr>
      </w:pPr>
    </w:p>
    <w:p w14:paraId="62C7978D" w14:textId="77777777" w:rsidR="001506C1" w:rsidRPr="00FA3F9C" w:rsidRDefault="001506C1" w:rsidP="00DC7371">
      <w:pPr>
        <w:widowControl w:val="0"/>
        <w:autoSpaceDE w:val="0"/>
        <w:autoSpaceDN w:val="0"/>
        <w:adjustRightInd w:val="0"/>
        <w:rPr>
          <w:rFonts w:ascii="Arial" w:hAnsi="Arial" w:cs="Arial"/>
          <w:sz w:val="24"/>
          <w:szCs w:val="24"/>
        </w:rPr>
      </w:pPr>
      <w:r w:rsidRPr="00FA3F9C">
        <w:rPr>
          <w:rFonts w:ascii="Arial" w:hAnsi="Arial" w:cs="Arial"/>
          <w:sz w:val="24"/>
          <w:szCs w:val="24"/>
        </w:rPr>
        <w:t xml:space="preserve">A third study (funded by the manufacturer) was an indirect comparison of antiepileptic drugs (felbamate, lamotrigine, topiramate, rufinamide, and clobazam) in children with LGS.  In individual trials, each had been compared to placebo, but due to a lack of trials in pediatric patients generally, together with the low prevalence of LGS, HTH comparisons are not likely to occur.  The findings showed high dose clobazam had the largest reduction (compared to placebo) in drop seizures (-56%) than the other drugs,(felbamate -36%, lamotrigine -25%, topiramate -20%, rufinamide -44%, low dose clobazam -29%,and medium dose clobazam -37%).   The difference in total seizures rate vs placebo </w:t>
      </w:r>
      <w:proofErr w:type="gramStart"/>
      <w:r w:rsidRPr="00FA3F9C">
        <w:rPr>
          <w:rFonts w:ascii="Arial" w:hAnsi="Arial" w:cs="Arial"/>
          <w:sz w:val="24"/>
          <w:szCs w:val="24"/>
        </w:rPr>
        <w:t>were:</w:t>
      </w:r>
      <w:proofErr w:type="gramEnd"/>
      <w:r w:rsidRPr="00FA3F9C">
        <w:rPr>
          <w:rFonts w:ascii="Arial" w:hAnsi="Arial" w:cs="Arial"/>
          <w:sz w:val="24"/>
          <w:szCs w:val="24"/>
        </w:rPr>
        <w:t xml:space="preserve">  high dose clobazam -56%, med dose clobazam -36%, low dose clobazam -26%, felbamate -31%, lamotrigine -23%, topiramate (not significantly different), rufinamide -21%.</w:t>
      </w:r>
    </w:p>
    <w:p w14:paraId="1E0DF8FB" w14:textId="77777777" w:rsidR="001506C1" w:rsidRPr="00FA3F9C" w:rsidRDefault="001506C1" w:rsidP="001506C1">
      <w:pPr>
        <w:widowControl w:val="0"/>
        <w:numPr>
          <w:ilvl w:val="0"/>
          <w:numId w:val="96"/>
        </w:numPr>
        <w:autoSpaceDE w:val="0"/>
        <w:autoSpaceDN w:val="0"/>
        <w:adjustRightInd w:val="0"/>
        <w:spacing w:after="0" w:line="240" w:lineRule="auto"/>
        <w:contextualSpacing/>
        <w:rPr>
          <w:rFonts w:ascii="Arial" w:hAnsi="Arial" w:cs="Arial"/>
          <w:sz w:val="24"/>
          <w:szCs w:val="24"/>
        </w:rPr>
      </w:pPr>
      <w:r w:rsidRPr="00FA3F9C">
        <w:rPr>
          <w:rFonts w:ascii="Arial" w:hAnsi="Arial" w:cs="Arial"/>
          <w:sz w:val="24"/>
          <w:szCs w:val="24"/>
        </w:rPr>
        <w:t xml:space="preserve">The comparison of high dose clobazam vs lamotrigine was the only one that reached statistical significance for a </w:t>
      </w:r>
      <w:r w:rsidRPr="00FA3F9C">
        <w:rPr>
          <w:rFonts w:ascii="Arial" w:hAnsi="Arial" w:cs="Arial"/>
          <w:sz w:val="24"/>
          <w:szCs w:val="24"/>
          <w:u w:val="single"/>
        </w:rPr>
        <w:t>&gt;</w:t>
      </w:r>
      <w:r w:rsidRPr="00FA3F9C">
        <w:rPr>
          <w:rFonts w:ascii="Arial" w:hAnsi="Arial" w:cs="Arial"/>
          <w:sz w:val="24"/>
          <w:szCs w:val="24"/>
        </w:rPr>
        <w:t>50% decrease in frequency of drop attacks.</w:t>
      </w:r>
    </w:p>
    <w:p w14:paraId="19157939" w14:textId="77777777" w:rsidR="001506C1" w:rsidRPr="00FA3F9C" w:rsidRDefault="001506C1" w:rsidP="00DC7371">
      <w:pPr>
        <w:rPr>
          <w:rFonts w:ascii="Arial" w:hAnsi="Arial" w:cs="Arial"/>
          <w:sz w:val="24"/>
          <w:szCs w:val="24"/>
        </w:rPr>
      </w:pPr>
      <w:r w:rsidRPr="00FA3F9C">
        <w:rPr>
          <w:rFonts w:ascii="Arial" w:hAnsi="Arial" w:cs="Arial"/>
          <w:sz w:val="24"/>
          <w:szCs w:val="24"/>
          <w:lang w:val="fr-FR"/>
        </w:rPr>
        <w:t xml:space="preserve">Cramer JA, Sapin C, </w:t>
      </w:r>
      <w:proofErr w:type="spellStart"/>
      <w:r w:rsidRPr="00FA3F9C">
        <w:rPr>
          <w:rFonts w:ascii="Arial" w:hAnsi="Arial" w:cs="Arial"/>
          <w:sz w:val="24"/>
          <w:szCs w:val="24"/>
          <w:lang w:val="fr-FR"/>
        </w:rPr>
        <w:t>Francois</w:t>
      </w:r>
      <w:proofErr w:type="spellEnd"/>
      <w:r w:rsidRPr="00FA3F9C">
        <w:rPr>
          <w:rFonts w:ascii="Arial" w:hAnsi="Arial" w:cs="Arial"/>
          <w:sz w:val="24"/>
          <w:szCs w:val="24"/>
          <w:lang w:val="fr-FR"/>
        </w:rPr>
        <w:t xml:space="preserve"> C.  </w:t>
      </w:r>
      <w:r w:rsidRPr="00FA3F9C">
        <w:rPr>
          <w:rFonts w:ascii="Arial" w:hAnsi="Arial" w:cs="Arial"/>
          <w:sz w:val="24"/>
          <w:szCs w:val="24"/>
        </w:rPr>
        <w:t>Indirect comparison of clobazam and other therapies for Lennox-</w:t>
      </w:r>
      <w:proofErr w:type="spellStart"/>
      <w:r w:rsidRPr="00FA3F9C">
        <w:rPr>
          <w:rFonts w:ascii="Arial" w:hAnsi="Arial" w:cs="Arial"/>
          <w:sz w:val="24"/>
          <w:szCs w:val="24"/>
        </w:rPr>
        <w:t>Gastaut</w:t>
      </w:r>
      <w:proofErr w:type="spellEnd"/>
      <w:r w:rsidRPr="00FA3F9C">
        <w:rPr>
          <w:rFonts w:ascii="Arial" w:hAnsi="Arial" w:cs="Arial"/>
          <w:sz w:val="24"/>
          <w:szCs w:val="24"/>
        </w:rPr>
        <w:t xml:space="preserve"> syndrome.  </w:t>
      </w:r>
      <w:r w:rsidRPr="00FA3F9C">
        <w:rPr>
          <w:rFonts w:ascii="Arial" w:hAnsi="Arial" w:cs="Arial"/>
          <w:i/>
          <w:sz w:val="24"/>
          <w:szCs w:val="24"/>
        </w:rPr>
        <w:t xml:space="preserve">Acta Neurol </w:t>
      </w:r>
      <w:proofErr w:type="spellStart"/>
      <w:r w:rsidRPr="00FA3F9C">
        <w:rPr>
          <w:rFonts w:ascii="Arial" w:hAnsi="Arial" w:cs="Arial"/>
          <w:i/>
          <w:sz w:val="24"/>
          <w:szCs w:val="24"/>
        </w:rPr>
        <w:t>Scand</w:t>
      </w:r>
      <w:proofErr w:type="spellEnd"/>
      <w:r w:rsidRPr="00FA3F9C">
        <w:rPr>
          <w:rFonts w:ascii="Arial" w:hAnsi="Arial" w:cs="Arial"/>
          <w:sz w:val="24"/>
          <w:szCs w:val="24"/>
        </w:rPr>
        <w:t xml:space="preserve"> 2013: 128: 91–99 DOI: 10.1111/ane.12086</w:t>
      </w:r>
    </w:p>
    <w:p w14:paraId="67D8307C" w14:textId="77777777" w:rsidR="001506C1" w:rsidRPr="00FA3F9C" w:rsidRDefault="001506C1" w:rsidP="007A3764">
      <w:pPr>
        <w:rPr>
          <w:rFonts w:ascii="Arial" w:hAnsi="Arial" w:cs="Arial"/>
          <w:sz w:val="24"/>
          <w:szCs w:val="24"/>
        </w:rPr>
      </w:pPr>
    </w:p>
    <w:p w14:paraId="6BC8E866" w14:textId="77777777" w:rsidR="001506C1" w:rsidRPr="00FA3F9C" w:rsidRDefault="001506C1" w:rsidP="00DC7371">
      <w:pPr>
        <w:rPr>
          <w:rFonts w:ascii="Arial" w:hAnsi="Arial" w:cs="Arial"/>
          <w:sz w:val="24"/>
          <w:szCs w:val="24"/>
        </w:rPr>
      </w:pPr>
      <w:r w:rsidRPr="00FA3F9C">
        <w:rPr>
          <w:rFonts w:ascii="Arial" w:hAnsi="Arial" w:cs="Arial"/>
          <w:sz w:val="24"/>
          <w:szCs w:val="24"/>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7020"/>
        <w:gridCol w:w="1728"/>
      </w:tblGrid>
      <w:tr w:rsidR="001506C1" w:rsidRPr="00FA3F9C" w14:paraId="3EF0DCC7" w14:textId="77777777" w:rsidTr="00DC7371">
        <w:tc>
          <w:tcPr>
            <w:tcW w:w="828" w:type="dxa"/>
            <w:shd w:val="clear" w:color="auto" w:fill="auto"/>
          </w:tcPr>
          <w:p w14:paraId="15888BB7" w14:textId="77777777" w:rsidR="001506C1" w:rsidRPr="00FA3F9C" w:rsidRDefault="001506C1" w:rsidP="00DC7371">
            <w:pPr>
              <w:rPr>
                <w:rFonts w:ascii="Arial" w:hAnsi="Arial" w:cs="Arial"/>
                <w:sz w:val="24"/>
                <w:szCs w:val="24"/>
              </w:rPr>
            </w:pPr>
            <w:r w:rsidRPr="00FA3F9C">
              <w:rPr>
                <w:rFonts w:ascii="Arial" w:hAnsi="Arial" w:cs="Arial"/>
                <w:sz w:val="24"/>
                <w:szCs w:val="24"/>
              </w:rPr>
              <w:t>Date</w:t>
            </w:r>
          </w:p>
        </w:tc>
        <w:tc>
          <w:tcPr>
            <w:tcW w:w="7020" w:type="dxa"/>
            <w:shd w:val="clear" w:color="auto" w:fill="auto"/>
          </w:tcPr>
          <w:p w14:paraId="3264AC4B" w14:textId="77777777" w:rsidR="001506C1" w:rsidRPr="00FA3F9C" w:rsidRDefault="001506C1" w:rsidP="00DC7371">
            <w:pPr>
              <w:rPr>
                <w:rFonts w:ascii="Arial" w:hAnsi="Arial" w:cs="Arial"/>
                <w:sz w:val="24"/>
                <w:szCs w:val="24"/>
              </w:rPr>
            </w:pPr>
            <w:r w:rsidRPr="00FA3F9C">
              <w:rPr>
                <w:rFonts w:ascii="Arial" w:hAnsi="Arial" w:cs="Arial"/>
                <w:sz w:val="24"/>
                <w:szCs w:val="24"/>
              </w:rPr>
              <w:t>What changed?</w:t>
            </w:r>
          </w:p>
        </w:tc>
        <w:tc>
          <w:tcPr>
            <w:tcW w:w="1728" w:type="dxa"/>
            <w:shd w:val="clear" w:color="auto" w:fill="auto"/>
          </w:tcPr>
          <w:p w14:paraId="5B3297A8" w14:textId="77777777" w:rsidR="001506C1" w:rsidRPr="00FA3F9C" w:rsidRDefault="001506C1" w:rsidP="00DC7371">
            <w:pPr>
              <w:rPr>
                <w:rFonts w:ascii="Arial" w:hAnsi="Arial" w:cs="Arial"/>
                <w:sz w:val="24"/>
                <w:szCs w:val="24"/>
              </w:rPr>
            </w:pPr>
            <w:r w:rsidRPr="00FA3F9C">
              <w:rPr>
                <w:rFonts w:ascii="Arial" w:hAnsi="Arial" w:cs="Arial"/>
                <w:sz w:val="24"/>
                <w:szCs w:val="24"/>
              </w:rPr>
              <w:t>Pharmacist’s initials</w:t>
            </w:r>
          </w:p>
        </w:tc>
      </w:tr>
      <w:tr w:rsidR="001506C1" w:rsidRPr="00FA3F9C" w14:paraId="3E8439AA" w14:textId="77777777" w:rsidTr="00DC7371">
        <w:tc>
          <w:tcPr>
            <w:tcW w:w="828" w:type="dxa"/>
            <w:shd w:val="clear" w:color="auto" w:fill="auto"/>
          </w:tcPr>
          <w:p w14:paraId="3952827A" w14:textId="77777777" w:rsidR="001506C1" w:rsidRPr="00FA3F9C" w:rsidRDefault="001506C1" w:rsidP="00DC7371">
            <w:pPr>
              <w:rPr>
                <w:rFonts w:ascii="Arial" w:hAnsi="Arial" w:cs="Arial"/>
                <w:sz w:val="24"/>
                <w:szCs w:val="24"/>
              </w:rPr>
            </w:pPr>
            <w:r w:rsidRPr="00FA3F9C">
              <w:rPr>
                <w:rFonts w:ascii="Arial" w:hAnsi="Arial" w:cs="Arial"/>
                <w:sz w:val="24"/>
                <w:szCs w:val="24"/>
              </w:rPr>
              <w:t>2/2/12</w:t>
            </w:r>
          </w:p>
        </w:tc>
        <w:tc>
          <w:tcPr>
            <w:tcW w:w="7020" w:type="dxa"/>
            <w:shd w:val="clear" w:color="auto" w:fill="auto"/>
          </w:tcPr>
          <w:p w14:paraId="2D646766" w14:textId="00E993AD" w:rsidR="001506C1" w:rsidRPr="00FA3F9C" w:rsidRDefault="001506C1" w:rsidP="00DC7371">
            <w:pPr>
              <w:rPr>
                <w:rFonts w:ascii="Arial" w:hAnsi="Arial" w:cs="Arial"/>
                <w:sz w:val="24"/>
                <w:szCs w:val="24"/>
              </w:rPr>
            </w:pPr>
            <w:r w:rsidRPr="00FA3F9C">
              <w:rPr>
                <w:rFonts w:ascii="Arial" w:hAnsi="Arial" w:cs="Arial"/>
                <w:sz w:val="24"/>
                <w:szCs w:val="24"/>
              </w:rPr>
              <w:t xml:space="preserve">I wrote the criteria.  The drug was discussed at DUEC but was excluded from coverage.  In March 2015 the drug was requested on appeal and it was </w:t>
            </w:r>
            <w:hyperlink r:id="rId85" w:history="1">
              <w:r w:rsidRPr="00FA3F9C">
                <w:rPr>
                  <w:rStyle w:val="Hyperlink"/>
                  <w:rFonts w:ascii="Arial" w:hAnsi="Arial" w:cs="Arial"/>
                  <w:sz w:val="24"/>
                  <w:szCs w:val="24"/>
                </w:rPr>
                <w:t>Clobazam revisit 2015</w:t>
              </w:r>
            </w:hyperlink>
            <w:r w:rsidRPr="00FA3F9C">
              <w:rPr>
                <w:rFonts w:ascii="Arial" w:hAnsi="Arial" w:cs="Arial"/>
                <w:sz w:val="24"/>
                <w:szCs w:val="24"/>
              </w:rPr>
              <w:t>at DUEC where they voted to PA the drug.  I also added references 5-7.</w:t>
            </w:r>
          </w:p>
        </w:tc>
        <w:tc>
          <w:tcPr>
            <w:tcW w:w="1728" w:type="dxa"/>
            <w:shd w:val="clear" w:color="auto" w:fill="auto"/>
          </w:tcPr>
          <w:p w14:paraId="7FDF8F2A" w14:textId="364866ED" w:rsidR="001506C1" w:rsidRPr="00FA3F9C" w:rsidRDefault="005C142D" w:rsidP="00DC7371">
            <w:pPr>
              <w:rPr>
                <w:rFonts w:ascii="Arial" w:hAnsi="Arial" w:cs="Arial"/>
                <w:sz w:val="24"/>
                <w:szCs w:val="24"/>
              </w:rPr>
            </w:pPr>
            <w:r w:rsidRPr="00FA3F9C">
              <w:rPr>
                <w:rFonts w:ascii="Arial" w:hAnsi="Arial" w:cs="Arial"/>
                <w:sz w:val="24"/>
                <w:szCs w:val="24"/>
              </w:rPr>
              <w:t>JJ</w:t>
            </w:r>
          </w:p>
        </w:tc>
      </w:tr>
      <w:tr w:rsidR="001506C1" w:rsidRPr="00FA3F9C" w14:paraId="5448FF5C" w14:textId="77777777" w:rsidTr="00DC7371">
        <w:tc>
          <w:tcPr>
            <w:tcW w:w="828" w:type="dxa"/>
            <w:shd w:val="clear" w:color="auto" w:fill="auto"/>
          </w:tcPr>
          <w:p w14:paraId="71A50EE3" w14:textId="77777777" w:rsidR="001506C1" w:rsidRPr="00FA3F9C" w:rsidRDefault="001506C1" w:rsidP="00DC7371">
            <w:pPr>
              <w:rPr>
                <w:rFonts w:ascii="Arial" w:hAnsi="Arial" w:cs="Arial"/>
                <w:sz w:val="24"/>
                <w:szCs w:val="24"/>
              </w:rPr>
            </w:pPr>
            <w:r w:rsidRPr="00FA3F9C">
              <w:rPr>
                <w:rFonts w:ascii="Arial" w:hAnsi="Arial" w:cs="Arial"/>
                <w:sz w:val="24"/>
                <w:szCs w:val="24"/>
              </w:rPr>
              <w:t>6/3/19</w:t>
            </w:r>
          </w:p>
        </w:tc>
        <w:tc>
          <w:tcPr>
            <w:tcW w:w="7020" w:type="dxa"/>
            <w:shd w:val="clear" w:color="auto" w:fill="auto"/>
          </w:tcPr>
          <w:p w14:paraId="64391C63" w14:textId="77777777" w:rsidR="001506C1" w:rsidRPr="00FA3F9C" w:rsidRDefault="001506C1" w:rsidP="00DC7371">
            <w:pPr>
              <w:rPr>
                <w:rFonts w:ascii="Arial" w:hAnsi="Arial" w:cs="Arial"/>
                <w:sz w:val="24"/>
                <w:szCs w:val="24"/>
              </w:rPr>
            </w:pPr>
            <w:r w:rsidRPr="00FA3F9C">
              <w:rPr>
                <w:rFonts w:ascii="Arial" w:hAnsi="Arial" w:cs="Arial"/>
                <w:sz w:val="24"/>
                <w:szCs w:val="24"/>
              </w:rPr>
              <w:t>I added Dravet Syndrome as a qualifying diagnosis.</w:t>
            </w:r>
          </w:p>
        </w:tc>
        <w:tc>
          <w:tcPr>
            <w:tcW w:w="1728" w:type="dxa"/>
            <w:shd w:val="clear" w:color="auto" w:fill="auto"/>
          </w:tcPr>
          <w:p w14:paraId="7E0300F7" w14:textId="77777777" w:rsidR="001506C1" w:rsidRPr="00FA3F9C" w:rsidRDefault="001506C1" w:rsidP="00DC7371">
            <w:pPr>
              <w:rPr>
                <w:rFonts w:ascii="Arial" w:hAnsi="Arial" w:cs="Arial"/>
                <w:sz w:val="24"/>
                <w:szCs w:val="24"/>
              </w:rPr>
            </w:pPr>
            <w:r w:rsidRPr="00FA3F9C">
              <w:rPr>
                <w:rFonts w:ascii="Arial" w:hAnsi="Arial" w:cs="Arial"/>
                <w:sz w:val="24"/>
                <w:szCs w:val="24"/>
              </w:rPr>
              <w:t>JJ</w:t>
            </w:r>
          </w:p>
        </w:tc>
      </w:tr>
      <w:tr w:rsidR="001506C1" w:rsidRPr="00FA3F9C" w14:paraId="202AFCB8" w14:textId="77777777" w:rsidTr="00DC7371">
        <w:tc>
          <w:tcPr>
            <w:tcW w:w="828" w:type="dxa"/>
            <w:shd w:val="clear" w:color="auto" w:fill="auto"/>
          </w:tcPr>
          <w:p w14:paraId="0F79618A" w14:textId="77777777" w:rsidR="001506C1" w:rsidRPr="00FA3F9C" w:rsidRDefault="001506C1" w:rsidP="00DC7371">
            <w:pPr>
              <w:rPr>
                <w:rFonts w:ascii="Arial" w:hAnsi="Arial" w:cs="Arial"/>
                <w:sz w:val="24"/>
                <w:szCs w:val="24"/>
              </w:rPr>
            </w:pPr>
            <w:r w:rsidRPr="00FA3F9C">
              <w:rPr>
                <w:rFonts w:ascii="Arial" w:hAnsi="Arial" w:cs="Arial"/>
                <w:sz w:val="24"/>
                <w:szCs w:val="24"/>
              </w:rPr>
              <w:t>6/23/2020</w:t>
            </w:r>
          </w:p>
        </w:tc>
        <w:tc>
          <w:tcPr>
            <w:tcW w:w="7020" w:type="dxa"/>
            <w:shd w:val="clear" w:color="auto" w:fill="auto"/>
          </w:tcPr>
          <w:p w14:paraId="3E9F9AF0" w14:textId="77777777" w:rsidR="001506C1" w:rsidRPr="00FA3F9C" w:rsidRDefault="001506C1" w:rsidP="00DC7371">
            <w:pPr>
              <w:rPr>
                <w:rFonts w:ascii="Arial" w:hAnsi="Arial" w:cs="Arial"/>
                <w:sz w:val="24"/>
                <w:szCs w:val="24"/>
              </w:rPr>
            </w:pPr>
            <w:r w:rsidRPr="00FA3F9C">
              <w:rPr>
                <w:rFonts w:ascii="Arial" w:hAnsi="Arial" w:cs="Arial"/>
                <w:sz w:val="24"/>
                <w:szCs w:val="24"/>
              </w:rPr>
              <w:t>I reviewed the criteria. No changes.</w:t>
            </w:r>
          </w:p>
        </w:tc>
        <w:tc>
          <w:tcPr>
            <w:tcW w:w="1728" w:type="dxa"/>
            <w:shd w:val="clear" w:color="auto" w:fill="auto"/>
          </w:tcPr>
          <w:p w14:paraId="0C07BEAF" w14:textId="77777777" w:rsidR="001506C1" w:rsidRPr="00FA3F9C" w:rsidRDefault="001506C1" w:rsidP="00DC7371">
            <w:pPr>
              <w:rPr>
                <w:rFonts w:ascii="Arial" w:hAnsi="Arial" w:cs="Arial"/>
                <w:sz w:val="24"/>
                <w:szCs w:val="24"/>
              </w:rPr>
            </w:pPr>
            <w:r w:rsidRPr="00FA3F9C">
              <w:rPr>
                <w:rFonts w:ascii="Arial" w:hAnsi="Arial" w:cs="Arial"/>
                <w:sz w:val="24"/>
                <w:szCs w:val="24"/>
              </w:rPr>
              <w:t>JJ</w:t>
            </w:r>
          </w:p>
        </w:tc>
      </w:tr>
      <w:tr w:rsidR="001506C1" w:rsidRPr="00FA3F9C" w14:paraId="225B7DFD" w14:textId="77777777" w:rsidTr="00DC7371">
        <w:tc>
          <w:tcPr>
            <w:tcW w:w="828" w:type="dxa"/>
            <w:shd w:val="clear" w:color="auto" w:fill="auto"/>
          </w:tcPr>
          <w:p w14:paraId="2C2DDAB7" w14:textId="77777777" w:rsidR="001506C1" w:rsidRPr="00FA3F9C" w:rsidRDefault="001506C1" w:rsidP="00DC7371">
            <w:pPr>
              <w:rPr>
                <w:rFonts w:ascii="Arial" w:hAnsi="Arial" w:cs="Arial"/>
                <w:sz w:val="24"/>
                <w:szCs w:val="24"/>
              </w:rPr>
            </w:pPr>
            <w:r w:rsidRPr="00FA3F9C">
              <w:rPr>
                <w:rFonts w:ascii="Arial" w:hAnsi="Arial" w:cs="Arial"/>
                <w:sz w:val="24"/>
                <w:szCs w:val="24"/>
              </w:rPr>
              <w:t>3/31/2021</w:t>
            </w:r>
          </w:p>
        </w:tc>
        <w:tc>
          <w:tcPr>
            <w:tcW w:w="7020" w:type="dxa"/>
            <w:shd w:val="clear" w:color="auto" w:fill="auto"/>
          </w:tcPr>
          <w:p w14:paraId="762C56F9" w14:textId="77777777" w:rsidR="001506C1" w:rsidRPr="00FA3F9C" w:rsidRDefault="001506C1" w:rsidP="00DC7371">
            <w:pPr>
              <w:rPr>
                <w:rFonts w:ascii="Arial" w:hAnsi="Arial" w:cs="Arial"/>
                <w:sz w:val="24"/>
                <w:szCs w:val="24"/>
              </w:rPr>
            </w:pPr>
            <w:r w:rsidRPr="00FA3F9C">
              <w:rPr>
                <w:rFonts w:ascii="Arial" w:hAnsi="Arial" w:cs="Arial"/>
                <w:sz w:val="24"/>
                <w:szCs w:val="24"/>
              </w:rPr>
              <w:t>Applied EBRx criteria to UAS Plan—only reformatted; no effective change from previous.</w:t>
            </w:r>
          </w:p>
        </w:tc>
        <w:tc>
          <w:tcPr>
            <w:tcW w:w="1728" w:type="dxa"/>
            <w:shd w:val="clear" w:color="auto" w:fill="auto"/>
          </w:tcPr>
          <w:p w14:paraId="1E118D03" w14:textId="77777777" w:rsidR="001506C1" w:rsidRPr="00FA3F9C" w:rsidRDefault="001506C1" w:rsidP="00DC7371">
            <w:pPr>
              <w:rPr>
                <w:rFonts w:ascii="Arial" w:hAnsi="Arial" w:cs="Arial"/>
                <w:sz w:val="24"/>
                <w:szCs w:val="24"/>
              </w:rPr>
            </w:pPr>
            <w:r w:rsidRPr="00FA3F9C">
              <w:rPr>
                <w:rFonts w:ascii="Arial" w:hAnsi="Arial" w:cs="Arial"/>
                <w:sz w:val="24"/>
                <w:szCs w:val="24"/>
              </w:rPr>
              <w:t>JJ</w:t>
            </w:r>
          </w:p>
        </w:tc>
      </w:tr>
      <w:tr w:rsidR="001506C1" w:rsidRPr="00FA3F9C" w14:paraId="46163AE4" w14:textId="77777777" w:rsidTr="00DC7371">
        <w:tc>
          <w:tcPr>
            <w:tcW w:w="828" w:type="dxa"/>
            <w:shd w:val="clear" w:color="auto" w:fill="auto"/>
          </w:tcPr>
          <w:p w14:paraId="2AFD1AD8" w14:textId="77777777" w:rsidR="001506C1" w:rsidRPr="00FA3F9C" w:rsidRDefault="001506C1" w:rsidP="00DC7371">
            <w:pPr>
              <w:rPr>
                <w:rFonts w:ascii="Arial" w:hAnsi="Arial" w:cs="Arial"/>
                <w:sz w:val="24"/>
                <w:szCs w:val="24"/>
              </w:rPr>
            </w:pPr>
            <w:r w:rsidRPr="00FA3F9C">
              <w:rPr>
                <w:rFonts w:ascii="Arial" w:hAnsi="Arial" w:cs="Arial"/>
                <w:sz w:val="24"/>
                <w:szCs w:val="24"/>
              </w:rPr>
              <w:lastRenderedPageBreak/>
              <w:t>4/22/21</w:t>
            </w:r>
          </w:p>
        </w:tc>
        <w:tc>
          <w:tcPr>
            <w:tcW w:w="7020" w:type="dxa"/>
            <w:shd w:val="clear" w:color="auto" w:fill="auto"/>
          </w:tcPr>
          <w:p w14:paraId="4AFB9255" w14:textId="77777777" w:rsidR="001506C1" w:rsidRPr="00FA3F9C" w:rsidRDefault="001506C1" w:rsidP="00DC7371">
            <w:pPr>
              <w:rPr>
                <w:rFonts w:ascii="Arial" w:hAnsi="Arial" w:cs="Arial"/>
                <w:sz w:val="24"/>
                <w:szCs w:val="24"/>
              </w:rPr>
            </w:pPr>
            <w:r w:rsidRPr="00FA3F9C">
              <w:rPr>
                <w:rFonts w:ascii="Arial" w:hAnsi="Arial" w:cs="Arial"/>
                <w:sz w:val="24"/>
                <w:szCs w:val="24"/>
              </w:rPr>
              <w:t>I sent an email to request to Char for UAS to stop PA-</w:t>
            </w:r>
            <w:proofErr w:type="spellStart"/>
            <w:r w:rsidRPr="00FA3F9C">
              <w:rPr>
                <w:rFonts w:ascii="Arial" w:hAnsi="Arial" w:cs="Arial"/>
                <w:sz w:val="24"/>
                <w:szCs w:val="24"/>
              </w:rPr>
              <w:t>ing</w:t>
            </w:r>
            <w:proofErr w:type="spellEnd"/>
            <w:r w:rsidRPr="00FA3F9C">
              <w:rPr>
                <w:rFonts w:ascii="Arial" w:hAnsi="Arial" w:cs="Arial"/>
                <w:sz w:val="24"/>
                <w:szCs w:val="24"/>
              </w:rPr>
              <w:t xml:space="preserve"> this drug; keep the brand blocked.</w:t>
            </w:r>
          </w:p>
        </w:tc>
        <w:tc>
          <w:tcPr>
            <w:tcW w:w="1728" w:type="dxa"/>
            <w:shd w:val="clear" w:color="auto" w:fill="auto"/>
          </w:tcPr>
          <w:p w14:paraId="302993C2" w14:textId="77777777" w:rsidR="001506C1" w:rsidRPr="00FA3F9C" w:rsidRDefault="001506C1" w:rsidP="00DC7371">
            <w:pPr>
              <w:rPr>
                <w:rFonts w:ascii="Arial" w:hAnsi="Arial" w:cs="Arial"/>
                <w:sz w:val="24"/>
                <w:szCs w:val="24"/>
              </w:rPr>
            </w:pPr>
            <w:r w:rsidRPr="00FA3F9C">
              <w:rPr>
                <w:rFonts w:ascii="Arial" w:hAnsi="Arial" w:cs="Arial"/>
                <w:sz w:val="24"/>
                <w:szCs w:val="24"/>
              </w:rPr>
              <w:t>JJ</w:t>
            </w:r>
          </w:p>
        </w:tc>
      </w:tr>
    </w:tbl>
    <w:p w14:paraId="5DDE0642" w14:textId="77777777" w:rsidR="001506C1" w:rsidRPr="00FA3F9C" w:rsidRDefault="001506C1" w:rsidP="007A3764">
      <w:pPr>
        <w:rPr>
          <w:rFonts w:ascii="Arial" w:hAnsi="Arial" w:cs="Arial"/>
          <w:b/>
          <w:sz w:val="24"/>
          <w:szCs w:val="24"/>
        </w:rPr>
      </w:pPr>
      <w:r w:rsidRPr="00FA3F9C">
        <w:rPr>
          <w:rFonts w:ascii="Arial" w:hAnsi="Arial" w:cs="Arial"/>
          <w:b/>
          <w:sz w:val="24"/>
          <w:szCs w:val="24"/>
        </w:rPr>
        <w:t>References</w:t>
      </w:r>
    </w:p>
    <w:p w14:paraId="29A2EC1E" w14:textId="77777777" w:rsidR="001506C1" w:rsidRPr="00FA3F9C" w:rsidRDefault="001506C1" w:rsidP="001506C1">
      <w:pPr>
        <w:numPr>
          <w:ilvl w:val="0"/>
          <w:numId w:val="94"/>
        </w:numPr>
        <w:autoSpaceDE w:val="0"/>
        <w:autoSpaceDN w:val="0"/>
        <w:adjustRightInd w:val="0"/>
        <w:spacing w:after="0" w:line="240" w:lineRule="auto"/>
        <w:rPr>
          <w:rFonts w:ascii="Arial" w:hAnsi="Arial" w:cs="Arial"/>
          <w:sz w:val="24"/>
          <w:szCs w:val="24"/>
        </w:rPr>
      </w:pPr>
      <w:proofErr w:type="spellStart"/>
      <w:r w:rsidRPr="00FA3F9C">
        <w:rPr>
          <w:rFonts w:ascii="Arial" w:hAnsi="Arial" w:cs="Arial"/>
          <w:sz w:val="24"/>
          <w:szCs w:val="24"/>
        </w:rPr>
        <w:t>Onfi</w:t>
      </w:r>
      <w:proofErr w:type="spellEnd"/>
      <w:r w:rsidRPr="00FA3F9C">
        <w:rPr>
          <w:rFonts w:ascii="Arial" w:hAnsi="Arial" w:cs="Arial"/>
          <w:sz w:val="24"/>
          <w:szCs w:val="24"/>
        </w:rPr>
        <w:t xml:space="preserve"> PI.  </w:t>
      </w:r>
      <w:hyperlink r:id="rId86" w:history="1">
        <w:r w:rsidRPr="00FA3F9C">
          <w:rPr>
            <w:rStyle w:val="Hyperlink"/>
            <w:rFonts w:ascii="Arial" w:hAnsi="Arial" w:cs="Arial"/>
            <w:sz w:val="24"/>
            <w:szCs w:val="24"/>
          </w:rPr>
          <w:t>http://www.lundbeck.com/upload/us/files/pdf/Products/Onfi_PI_US_EN.pdf</w:t>
        </w:r>
      </w:hyperlink>
      <w:r w:rsidRPr="00FA3F9C">
        <w:rPr>
          <w:rFonts w:ascii="Arial" w:hAnsi="Arial" w:cs="Arial"/>
          <w:sz w:val="24"/>
          <w:szCs w:val="24"/>
        </w:rPr>
        <w:t xml:space="preserve">  Accessed 2/2/12.  </w:t>
      </w:r>
    </w:p>
    <w:p w14:paraId="6A490214" w14:textId="77777777" w:rsidR="001506C1" w:rsidRPr="00FA3F9C" w:rsidRDefault="001506C1" w:rsidP="001506C1">
      <w:pPr>
        <w:numPr>
          <w:ilvl w:val="0"/>
          <w:numId w:val="94"/>
        </w:numPr>
        <w:autoSpaceDE w:val="0"/>
        <w:autoSpaceDN w:val="0"/>
        <w:adjustRightInd w:val="0"/>
        <w:spacing w:after="0" w:line="240" w:lineRule="auto"/>
        <w:rPr>
          <w:rFonts w:ascii="Arial" w:hAnsi="Arial" w:cs="Arial"/>
          <w:sz w:val="24"/>
          <w:szCs w:val="24"/>
        </w:rPr>
      </w:pPr>
      <w:proofErr w:type="spellStart"/>
      <w:r w:rsidRPr="00FA3F9C">
        <w:rPr>
          <w:rFonts w:ascii="Arial" w:hAnsi="Arial" w:cs="Arial"/>
          <w:sz w:val="24"/>
          <w:szCs w:val="24"/>
        </w:rPr>
        <w:t>Arzimanoglou</w:t>
      </w:r>
      <w:proofErr w:type="spellEnd"/>
      <w:r w:rsidRPr="00FA3F9C">
        <w:rPr>
          <w:rFonts w:ascii="Arial" w:hAnsi="Arial" w:cs="Arial"/>
          <w:sz w:val="24"/>
          <w:szCs w:val="24"/>
        </w:rPr>
        <w:t xml:space="preserve"> A, et al.  Lennox-</w:t>
      </w:r>
      <w:proofErr w:type="spellStart"/>
      <w:r w:rsidRPr="00FA3F9C">
        <w:rPr>
          <w:rFonts w:ascii="Arial" w:hAnsi="Arial" w:cs="Arial"/>
          <w:sz w:val="24"/>
          <w:szCs w:val="24"/>
        </w:rPr>
        <w:t>Gastaut</w:t>
      </w:r>
      <w:proofErr w:type="spellEnd"/>
      <w:r w:rsidRPr="00FA3F9C">
        <w:rPr>
          <w:rFonts w:ascii="Arial" w:hAnsi="Arial" w:cs="Arial"/>
          <w:sz w:val="24"/>
          <w:szCs w:val="24"/>
        </w:rPr>
        <w:t xml:space="preserve"> syndrome:  a consensus approach on diagnosis, assessment, management, and trial methodology.  Lancet Neurol. 2009;8:82-93.</w:t>
      </w:r>
    </w:p>
    <w:p w14:paraId="0DE1A88A" w14:textId="77777777" w:rsidR="001506C1" w:rsidRPr="00FA3F9C" w:rsidRDefault="001506C1" w:rsidP="001506C1">
      <w:pPr>
        <w:numPr>
          <w:ilvl w:val="0"/>
          <w:numId w:val="94"/>
        </w:numPr>
        <w:autoSpaceDE w:val="0"/>
        <w:autoSpaceDN w:val="0"/>
        <w:adjustRightInd w:val="0"/>
        <w:spacing w:after="0" w:line="240" w:lineRule="auto"/>
        <w:rPr>
          <w:rFonts w:ascii="Arial" w:hAnsi="Arial" w:cs="Arial"/>
          <w:sz w:val="24"/>
          <w:szCs w:val="24"/>
        </w:rPr>
      </w:pPr>
      <w:r w:rsidRPr="00FA3F9C">
        <w:rPr>
          <w:rFonts w:ascii="Arial" w:hAnsi="Arial" w:cs="Arial"/>
          <w:sz w:val="24"/>
          <w:szCs w:val="24"/>
        </w:rPr>
        <w:t>H</w:t>
      </w:r>
      <w:r w:rsidRPr="00FA3F9C">
        <w:rPr>
          <w:rFonts w:ascii="Arial" w:eastAsia="Malgun Gothic" w:hAnsi="Arial" w:cs="Arial"/>
          <w:sz w:val="24"/>
          <w:szCs w:val="24"/>
        </w:rPr>
        <w:t>ancock EC, Cross HJ. Treatment of Lennox-</w:t>
      </w:r>
      <w:proofErr w:type="spellStart"/>
      <w:r w:rsidRPr="00FA3F9C">
        <w:rPr>
          <w:rFonts w:ascii="Arial" w:eastAsia="Malgun Gothic" w:hAnsi="Arial" w:cs="Arial"/>
          <w:sz w:val="24"/>
          <w:szCs w:val="24"/>
        </w:rPr>
        <w:t>Gastaut</w:t>
      </w:r>
      <w:proofErr w:type="spellEnd"/>
      <w:r w:rsidRPr="00FA3F9C">
        <w:rPr>
          <w:rFonts w:ascii="Arial" w:eastAsia="Malgun Gothic" w:hAnsi="Arial" w:cs="Arial"/>
          <w:sz w:val="24"/>
          <w:szCs w:val="24"/>
        </w:rPr>
        <w:t xml:space="preserve"> syndrome. </w:t>
      </w:r>
      <w:r w:rsidRPr="00FA3F9C">
        <w:rPr>
          <w:rFonts w:ascii="Arial" w:eastAsia="Malgun Gothic" w:hAnsi="Arial" w:cs="Arial"/>
          <w:i/>
          <w:iCs/>
          <w:sz w:val="24"/>
          <w:szCs w:val="24"/>
        </w:rPr>
        <w:t xml:space="preserve">Cochrane Database of Systematic Reviews </w:t>
      </w:r>
      <w:r w:rsidRPr="00FA3F9C">
        <w:rPr>
          <w:rFonts w:ascii="Arial" w:eastAsia="Malgun Gothic" w:hAnsi="Arial" w:cs="Arial"/>
          <w:sz w:val="24"/>
          <w:szCs w:val="24"/>
        </w:rPr>
        <w:t>2009, Issue 3. Art. No.: CD003277. DOI: 10.1002/14651858.CD003277.pub2.</w:t>
      </w:r>
    </w:p>
    <w:p w14:paraId="250B5F7F" w14:textId="77777777" w:rsidR="001506C1" w:rsidRPr="00FA3F9C" w:rsidRDefault="001506C1" w:rsidP="001506C1">
      <w:pPr>
        <w:numPr>
          <w:ilvl w:val="0"/>
          <w:numId w:val="95"/>
        </w:numPr>
        <w:autoSpaceDE w:val="0"/>
        <w:autoSpaceDN w:val="0"/>
        <w:adjustRightInd w:val="0"/>
        <w:spacing w:after="0" w:line="240" w:lineRule="auto"/>
        <w:rPr>
          <w:rFonts w:ascii="Arial" w:hAnsi="Arial" w:cs="Arial"/>
          <w:sz w:val="24"/>
          <w:szCs w:val="24"/>
        </w:rPr>
      </w:pPr>
      <w:r w:rsidRPr="00FA3F9C">
        <w:rPr>
          <w:rFonts w:ascii="Arial" w:eastAsia="Malgun Gothic" w:hAnsi="Arial" w:cs="Arial"/>
          <w:sz w:val="24"/>
          <w:szCs w:val="24"/>
        </w:rPr>
        <w:t xml:space="preserve">Van </w:t>
      </w:r>
      <w:proofErr w:type="spellStart"/>
      <w:r w:rsidRPr="00FA3F9C">
        <w:rPr>
          <w:rFonts w:ascii="Arial" w:eastAsia="Malgun Gothic" w:hAnsi="Arial" w:cs="Arial"/>
          <w:sz w:val="24"/>
          <w:szCs w:val="24"/>
        </w:rPr>
        <w:t>Rijckevorsel</w:t>
      </w:r>
      <w:proofErr w:type="spellEnd"/>
      <w:r w:rsidRPr="00FA3F9C">
        <w:rPr>
          <w:rFonts w:ascii="Arial" w:eastAsia="Malgun Gothic" w:hAnsi="Arial" w:cs="Arial"/>
          <w:sz w:val="24"/>
          <w:szCs w:val="24"/>
        </w:rPr>
        <w:t xml:space="preserve"> K.  Treatment of Lennox-</w:t>
      </w:r>
      <w:proofErr w:type="spellStart"/>
      <w:r w:rsidRPr="00FA3F9C">
        <w:rPr>
          <w:rFonts w:ascii="Arial" w:eastAsia="Malgun Gothic" w:hAnsi="Arial" w:cs="Arial"/>
          <w:sz w:val="24"/>
          <w:szCs w:val="24"/>
        </w:rPr>
        <w:t>Gastaut</w:t>
      </w:r>
      <w:proofErr w:type="spellEnd"/>
      <w:r w:rsidRPr="00FA3F9C">
        <w:rPr>
          <w:rFonts w:ascii="Arial" w:eastAsia="Malgun Gothic" w:hAnsi="Arial" w:cs="Arial"/>
          <w:sz w:val="24"/>
          <w:szCs w:val="24"/>
        </w:rPr>
        <w:t xml:space="preserve"> syndrome: overview and recent findings.  Neuropsychiatric Disease and Treatment 2008;4(6):1001–1019.</w:t>
      </w:r>
    </w:p>
    <w:p w14:paraId="405B48CE" w14:textId="77777777" w:rsidR="001506C1" w:rsidRPr="00FA3F9C" w:rsidRDefault="001506C1" w:rsidP="001506C1">
      <w:pPr>
        <w:numPr>
          <w:ilvl w:val="0"/>
          <w:numId w:val="95"/>
        </w:numPr>
        <w:spacing w:after="0" w:line="240" w:lineRule="auto"/>
        <w:rPr>
          <w:rFonts w:ascii="Arial" w:hAnsi="Arial" w:cs="Arial"/>
          <w:sz w:val="24"/>
          <w:szCs w:val="24"/>
        </w:rPr>
      </w:pPr>
      <w:r w:rsidRPr="00FA3F9C">
        <w:rPr>
          <w:rFonts w:ascii="Arial" w:hAnsi="Arial" w:cs="Arial"/>
          <w:sz w:val="24"/>
          <w:szCs w:val="24"/>
        </w:rPr>
        <w:t>Hancock EC, Cross JH. Treatment of Lennox-</w:t>
      </w:r>
      <w:proofErr w:type="spellStart"/>
      <w:r w:rsidRPr="00FA3F9C">
        <w:rPr>
          <w:rFonts w:ascii="Arial" w:hAnsi="Arial" w:cs="Arial"/>
          <w:sz w:val="24"/>
          <w:szCs w:val="24"/>
        </w:rPr>
        <w:t>Gastaut</w:t>
      </w:r>
      <w:proofErr w:type="spellEnd"/>
      <w:r w:rsidRPr="00FA3F9C">
        <w:rPr>
          <w:rFonts w:ascii="Arial" w:hAnsi="Arial" w:cs="Arial"/>
          <w:sz w:val="24"/>
          <w:szCs w:val="24"/>
        </w:rPr>
        <w:t xml:space="preserve"> syndrome. Cochrane Database of Systematic Reviews 2013, Issue 2. Art. No.: CD003277. DOI: 10.1002/14651858.CD003277.pub3.</w:t>
      </w:r>
    </w:p>
    <w:p w14:paraId="0904CD1F" w14:textId="77777777" w:rsidR="001506C1" w:rsidRPr="00FA3F9C" w:rsidRDefault="001506C1" w:rsidP="001506C1">
      <w:pPr>
        <w:numPr>
          <w:ilvl w:val="0"/>
          <w:numId w:val="95"/>
        </w:numPr>
        <w:spacing w:after="0" w:line="240" w:lineRule="auto"/>
        <w:rPr>
          <w:rFonts w:ascii="Arial" w:hAnsi="Arial" w:cs="Arial"/>
          <w:sz w:val="24"/>
          <w:szCs w:val="24"/>
        </w:rPr>
      </w:pPr>
      <w:r w:rsidRPr="00FA3F9C">
        <w:rPr>
          <w:rFonts w:ascii="Arial" w:hAnsi="Arial" w:cs="Arial"/>
          <w:sz w:val="24"/>
          <w:szCs w:val="24"/>
        </w:rPr>
        <w:t xml:space="preserve">Tan HJ, Singh J, Gupta R, de Goede C. Comparison of antiepileptic drugs, no treatment, or placebo for children with benign epilepsy with </w:t>
      </w:r>
      <w:proofErr w:type="spellStart"/>
      <w:r w:rsidRPr="00FA3F9C">
        <w:rPr>
          <w:rFonts w:ascii="Arial" w:hAnsi="Arial" w:cs="Arial"/>
          <w:sz w:val="24"/>
          <w:szCs w:val="24"/>
        </w:rPr>
        <w:t>centro</w:t>
      </w:r>
      <w:proofErr w:type="spellEnd"/>
      <w:r w:rsidRPr="00FA3F9C">
        <w:rPr>
          <w:rFonts w:ascii="Arial" w:hAnsi="Arial" w:cs="Arial"/>
          <w:sz w:val="24"/>
          <w:szCs w:val="24"/>
        </w:rPr>
        <w:t xml:space="preserve"> temporal spikes. Cochrane Database of Systematic Reviews 2014, Issue 9. Art. No.: CD006779. DOI: 10.1002/14651858.CD006779.pub2.</w:t>
      </w:r>
    </w:p>
    <w:p w14:paraId="183DE047" w14:textId="756D8A83" w:rsidR="001506C1" w:rsidRDefault="001506C1" w:rsidP="001506C1">
      <w:pPr>
        <w:numPr>
          <w:ilvl w:val="0"/>
          <w:numId w:val="95"/>
        </w:numPr>
        <w:spacing w:after="0" w:line="240" w:lineRule="auto"/>
        <w:rPr>
          <w:rFonts w:ascii="Arial" w:hAnsi="Arial" w:cs="Arial"/>
          <w:sz w:val="24"/>
          <w:szCs w:val="24"/>
        </w:rPr>
      </w:pPr>
      <w:r w:rsidRPr="00FA3F9C">
        <w:rPr>
          <w:rFonts w:ascii="Arial" w:hAnsi="Arial" w:cs="Arial"/>
          <w:sz w:val="24"/>
          <w:szCs w:val="24"/>
          <w:lang w:val="fr-FR"/>
        </w:rPr>
        <w:t xml:space="preserve">Cramer JA, Sapin C, </w:t>
      </w:r>
      <w:proofErr w:type="spellStart"/>
      <w:r w:rsidRPr="00FA3F9C">
        <w:rPr>
          <w:rFonts w:ascii="Arial" w:hAnsi="Arial" w:cs="Arial"/>
          <w:sz w:val="24"/>
          <w:szCs w:val="24"/>
          <w:lang w:val="fr-FR"/>
        </w:rPr>
        <w:t>Francois</w:t>
      </w:r>
      <w:proofErr w:type="spellEnd"/>
      <w:r w:rsidRPr="00FA3F9C">
        <w:rPr>
          <w:rFonts w:ascii="Arial" w:hAnsi="Arial" w:cs="Arial"/>
          <w:sz w:val="24"/>
          <w:szCs w:val="24"/>
          <w:lang w:val="fr-FR"/>
        </w:rPr>
        <w:t xml:space="preserve"> C.  </w:t>
      </w:r>
      <w:r w:rsidRPr="00FA3F9C">
        <w:rPr>
          <w:rFonts w:ascii="Arial" w:hAnsi="Arial" w:cs="Arial"/>
          <w:sz w:val="24"/>
          <w:szCs w:val="24"/>
        </w:rPr>
        <w:t>Indirect comparison of clobazam and other therapies for Lennox-</w:t>
      </w:r>
      <w:proofErr w:type="spellStart"/>
      <w:r w:rsidRPr="00FA3F9C">
        <w:rPr>
          <w:rFonts w:ascii="Arial" w:hAnsi="Arial" w:cs="Arial"/>
          <w:sz w:val="24"/>
          <w:szCs w:val="24"/>
        </w:rPr>
        <w:t>Gastaut</w:t>
      </w:r>
      <w:proofErr w:type="spellEnd"/>
      <w:r w:rsidRPr="00FA3F9C">
        <w:rPr>
          <w:rFonts w:ascii="Arial" w:hAnsi="Arial" w:cs="Arial"/>
          <w:sz w:val="24"/>
          <w:szCs w:val="24"/>
        </w:rPr>
        <w:t xml:space="preserve"> syndrome.  </w:t>
      </w:r>
      <w:r w:rsidRPr="00FA3F9C">
        <w:rPr>
          <w:rFonts w:ascii="Arial" w:hAnsi="Arial" w:cs="Arial"/>
          <w:i/>
          <w:sz w:val="24"/>
          <w:szCs w:val="24"/>
        </w:rPr>
        <w:t xml:space="preserve">Acta Neurol </w:t>
      </w:r>
      <w:proofErr w:type="spellStart"/>
      <w:r w:rsidRPr="00FA3F9C">
        <w:rPr>
          <w:rFonts w:ascii="Arial" w:hAnsi="Arial" w:cs="Arial"/>
          <w:i/>
          <w:sz w:val="24"/>
          <w:szCs w:val="24"/>
        </w:rPr>
        <w:t>Scand</w:t>
      </w:r>
      <w:proofErr w:type="spellEnd"/>
      <w:r w:rsidRPr="00FA3F9C">
        <w:rPr>
          <w:rFonts w:ascii="Arial" w:hAnsi="Arial" w:cs="Arial"/>
          <w:sz w:val="24"/>
          <w:szCs w:val="24"/>
        </w:rPr>
        <w:t xml:space="preserve"> 2013: 128: 91–99 DOI: 10.1111/ane.12086</w:t>
      </w:r>
    </w:p>
    <w:p w14:paraId="0667C06D" w14:textId="554DBA63" w:rsidR="00FC1E85" w:rsidRDefault="00FC1E85" w:rsidP="00FC1E85">
      <w:pPr>
        <w:spacing w:after="0" w:line="240" w:lineRule="auto"/>
        <w:rPr>
          <w:rFonts w:ascii="Arial" w:hAnsi="Arial" w:cs="Arial"/>
          <w:sz w:val="24"/>
          <w:szCs w:val="24"/>
        </w:rPr>
      </w:pPr>
    </w:p>
    <w:p w14:paraId="21F448ED" w14:textId="77777777" w:rsidR="00FC1E85" w:rsidRPr="00FA3F9C" w:rsidRDefault="00FC1E85" w:rsidP="00FC1E85">
      <w:pPr>
        <w:spacing w:after="0" w:line="240" w:lineRule="auto"/>
        <w:rPr>
          <w:rFonts w:ascii="Arial" w:hAnsi="Arial" w:cs="Arial"/>
          <w:sz w:val="24"/>
          <w:szCs w:val="24"/>
        </w:rPr>
      </w:pPr>
    </w:p>
    <w:p w14:paraId="4096AA45" w14:textId="3C58B7D9" w:rsidR="001506C1" w:rsidRDefault="001506C1" w:rsidP="00FC1E85">
      <w:pPr>
        <w:pStyle w:val="Heading2"/>
      </w:pPr>
      <w:bookmarkStart w:id="59" w:name="_Toc106369755"/>
      <w:r w:rsidRPr="00FA3F9C">
        <w:t>Coagulation Factor X, Human (</w:t>
      </w:r>
      <w:proofErr w:type="spellStart"/>
      <w:r w:rsidRPr="00FA3F9C">
        <w:t>Coagadex</w:t>
      </w:r>
      <w:proofErr w:type="spellEnd"/>
      <w:r w:rsidRPr="00FA3F9C">
        <w:t>)</w:t>
      </w:r>
      <w:bookmarkEnd w:id="59"/>
    </w:p>
    <w:p w14:paraId="2097AA50" w14:textId="77777777" w:rsidR="00FC1E85" w:rsidRPr="00FA3F9C" w:rsidRDefault="00FC1E85" w:rsidP="00FC1E85">
      <w:pPr>
        <w:spacing w:after="0"/>
        <w:jc w:val="center"/>
        <w:rPr>
          <w:rFonts w:ascii="Arial" w:hAnsi="Arial" w:cs="Arial"/>
          <w:sz w:val="24"/>
          <w:szCs w:val="24"/>
        </w:rPr>
      </w:pPr>
      <w:r w:rsidRPr="00FA3F9C">
        <w:rPr>
          <w:rFonts w:ascii="Arial" w:hAnsi="Arial" w:cs="Arial"/>
          <w:sz w:val="24"/>
          <w:szCs w:val="24"/>
        </w:rPr>
        <w:t>EBRx PA Criteria</w:t>
      </w:r>
    </w:p>
    <w:p w14:paraId="3291DB52" w14:textId="77777777" w:rsidR="00FC1E85" w:rsidRPr="00FA3F9C" w:rsidRDefault="00FC1E85" w:rsidP="00FC1E85">
      <w:pPr>
        <w:spacing w:after="0"/>
        <w:rPr>
          <w:rFonts w:ascii="Arial" w:hAnsi="Arial" w:cs="Arial"/>
          <w:sz w:val="24"/>
          <w:szCs w:val="24"/>
        </w:rPr>
      </w:pPr>
    </w:p>
    <w:p w14:paraId="6F0EDF46" w14:textId="77777777" w:rsidR="001506C1" w:rsidRPr="00FA3F9C" w:rsidRDefault="001506C1" w:rsidP="006F623F">
      <w:pPr>
        <w:spacing w:after="0"/>
        <w:jc w:val="center"/>
        <w:rPr>
          <w:rFonts w:ascii="Arial" w:hAnsi="Arial" w:cs="Arial"/>
          <w:sz w:val="24"/>
          <w:szCs w:val="24"/>
        </w:rPr>
      </w:pPr>
    </w:p>
    <w:p w14:paraId="289861D7" w14:textId="77777777" w:rsidR="001506C1" w:rsidRPr="00FA3F9C" w:rsidRDefault="001506C1" w:rsidP="006F623F">
      <w:pPr>
        <w:spacing w:after="0"/>
        <w:rPr>
          <w:rFonts w:ascii="Arial" w:hAnsi="Arial" w:cs="Arial"/>
          <w:b/>
          <w:sz w:val="24"/>
          <w:szCs w:val="24"/>
          <w:u w:val="single"/>
        </w:rPr>
      </w:pPr>
    </w:p>
    <w:p w14:paraId="78EE2DAC" w14:textId="77777777" w:rsidR="001506C1" w:rsidRPr="00FA3F9C" w:rsidRDefault="001506C1"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hereditary Factor X deficiency in age </w:t>
      </w:r>
      <w:r w:rsidRPr="00FA3F9C">
        <w:rPr>
          <w:rFonts w:ascii="Arial" w:hAnsi="Arial" w:cs="Arial"/>
          <w:sz w:val="24"/>
          <w:szCs w:val="24"/>
          <w:u w:val="single"/>
        </w:rPr>
        <w:t>&gt;</w:t>
      </w:r>
      <w:r w:rsidRPr="00FA3F9C">
        <w:rPr>
          <w:rFonts w:ascii="Arial" w:hAnsi="Arial" w:cs="Arial"/>
          <w:sz w:val="24"/>
          <w:szCs w:val="24"/>
        </w:rPr>
        <w:t xml:space="preserve">12 as on-demand treatment and control of bleeding episodes; </w:t>
      </w:r>
      <w:proofErr w:type="gramStart"/>
      <w:r w:rsidRPr="00FA3F9C">
        <w:rPr>
          <w:rFonts w:ascii="Arial" w:hAnsi="Arial" w:cs="Arial"/>
          <w:sz w:val="24"/>
          <w:szCs w:val="24"/>
        </w:rPr>
        <w:t>also</w:t>
      </w:r>
      <w:proofErr w:type="gramEnd"/>
      <w:r w:rsidRPr="00FA3F9C">
        <w:rPr>
          <w:rFonts w:ascii="Arial" w:hAnsi="Arial" w:cs="Arial"/>
          <w:sz w:val="24"/>
          <w:szCs w:val="24"/>
        </w:rPr>
        <w:t xml:space="preserve"> perioperative management of bleeding in patients with mild hereditary Factor X deficiency.</w:t>
      </w:r>
    </w:p>
    <w:tbl>
      <w:tblPr>
        <w:tblStyle w:val="TableGrid"/>
        <w:tblW w:w="0" w:type="auto"/>
        <w:tblLook w:val="04A0" w:firstRow="1" w:lastRow="0" w:firstColumn="1" w:lastColumn="0" w:noHBand="0" w:noVBand="1"/>
      </w:tblPr>
      <w:tblGrid>
        <w:gridCol w:w="8928"/>
        <w:gridCol w:w="2088"/>
      </w:tblGrid>
      <w:tr w:rsidR="001506C1" w:rsidRPr="00FA3F9C" w14:paraId="11A27C0B" w14:textId="77777777" w:rsidTr="00571CAB">
        <w:tc>
          <w:tcPr>
            <w:tcW w:w="8928" w:type="dxa"/>
            <w:shd w:val="clear" w:color="auto" w:fill="000000"/>
          </w:tcPr>
          <w:p w14:paraId="645B2501" w14:textId="77777777" w:rsidR="001506C1" w:rsidRPr="00FA3F9C" w:rsidRDefault="001506C1"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88" w:type="dxa"/>
            <w:shd w:val="clear" w:color="auto" w:fill="000000"/>
          </w:tcPr>
          <w:p w14:paraId="17A78B94" w14:textId="77777777" w:rsidR="001506C1" w:rsidRPr="00FA3F9C" w:rsidRDefault="001506C1" w:rsidP="006F623F">
            <w:pPr>
              <w:jc w:val="center"/>
              <w:rPr>
                <w:rFonts w:ascii="Arial" w:hAnsi="Arial" w:cs="Arial"/>
                <w:b/>
                <w:sz w:val="24"/>
                <w:szCs w:val="24"/>
                <w:u w:val="single"/>
              </w:rPr>
            </w:pPr>
          </w:p>
        </w:tc>
      </w:tr>
      <w:tr w:rsidR="001506C1" w:rsidRPr="00FA3F9C" w14:paraId="63AD58FD" w14:textId="77777777" w:rsidTr="007C6A5E">
        <w:tc>
          <w:tcPr>
            <w:tcW w:w="11016" w:type="dxa"/>
            <w:gridSpan w:val="2"/>
          </w:tcPr>
          <w:p w14:paraId="217D6C38" w14:textId="77777777" w:rsidR="001506C1" w:rsidRPr="00FA3F9C" w:rsidRDefault="001506C1" w:rsidP="00B76CEF">
            <w:pPr>
              <w:rPr>
                <w:rFonts w:ascii="Arial" w:hAnsi="Arial" w:cs="Arial"/>
                <w:sz w:val="24"/>
                <w:szCs w:val="24"/>
              </w:rPr>
            </w:pPr>
            <w:r w:rsidRPr="00FA3F9C">
              <w:rPr>
                <w:rFonts w:ascii="Arial" w:hAnsi="Arial" w:cs="Arial"/>
                <w:sz w:val="24"/>
                <w:szCs w:val="24"/>
              </w:rPr>
              <w:t>1.  Diagnosis of HEREDITARY Factor X deficiency, defined as factor activity level below 20% of normal.</w:t>
            </w:r>
            <w:r w:rsidRPr="00FA3F9C">
              <w:rPr>
                <w:rFonts w:ascii="Arial" w:hAnsi="Arial" w:cs="Arial"/>
                <w:sz w:val="24"/>
                <w:szCs w:val="24"/>
                <w:vertAlign w:val="superscript"/>
              </w:rPr>
              <w:t>1</w:t>
            </w:r>
          </w:p>
        </w:tc>
      </w:tr>
      <w:tr w:rsidR="001506C1" w:rsidRPr="00FA3F9C" w14:paraId="6C75F136" w14:textId="77777777" w:rsidTr="007C6A5E">
        <w:tc>
          <w:tcPr>
            <w:tcW w:w="11016" w:type="dxa"/>
            <w:gridSpan w:val="2"/>
          </w:tcPr>
          <w:p w14:paraId="0C3BC80A" w14:textId="77777777" w:rsidR="001506C1" w:rsidRPr="00FA3F9C" w:rsidRDefault="001506C1" w:rsidP="006F623F">
            <w:pPr>
              <w:rPr>
                <w:rFonts w:ascii="Arial" w:hAnsi="Arial" w:cs="Arial"/>
                <w:sz w:val="24"/>
                <w:szCs w:val="24"/>
              </w:rPr>
            </w:pPr>
            <w:r w:rsidRPr="00FA3F9C">
              <w:rPr>
                <w:rFonts w:ascii="Arial" w:hAnsi="Arial" w:cs="Arial"/>
                <w:sz w:val="24"/>
                <w:szCs w:val="24"/>
              </w:rPr>
              <w:t>2.  Planning to undergo surgery that is perceived by the prescriber to place the patient at risk for excess bleeding.</w:t>
            </w:r>
          </w:p>
        </w:tc>
      </w:tr>
    </w:tbl>
    <w:p w14:paraId="03B38CB2" w14:textId="77777777" w:rsidR="001506C1" w:rsidRPr="00FA3F9C" w:rsidRDefault="001506C1" w:rsidP="006F623F">
      <w:pPr>
        <w:spacing w:after="0"/>
        <w:rPr>
          <w:rFonts w:ascii="Arial" w:hAnsi="Arial" w:cs="Arial"/>
          <w:b/>
          <w:sz w:val="24"/>
          <w:szCs w:val="24"/>
          <w:u w:val="single"/>
        </w:rPr>
      </w:pPr>
    </w:p>
    <w:p w14:paraId="1A2947AE" w14:textId="77777777" w:rsidR="001506C1" w:rsidRPr="00FA3F9C" w:rsidRDefault="001506C1" w:rsidP="006F623F">
      <w:pPr>
        <w:spacing w:after="0"/>
        <w:rPr>
          <w:rFonts w:ascii="Arial" w:hAnsi="Arial" w:cs="Arial"/>
          <w:b/>
          <w:sz w:val="24"/>
          <w:szCs w:val="24"/>
          <w:u w:val="single"/>
        </w:rPr>
      </w:pPr>
    </w:p>
    <w:p w14:paraId="3CAFAED6" w14:textId="77777777" w:rsidR="001506C1" w:rsidRPr="00FA3F9C" w:rsidRDefault="001506C1" w:rsidP="006F623F">
      <w:pPr>
        <w:spacing w:after="0"/>
        <w:rPr>
          <w:rFonts w:ascii="Arial" w:hAnsi="Arial" w:cs="Arial"/>
          <w:b/>
          <w:sz w:val="24"/>
          <w:szCs w:val="24"/>
          <w:u w:val="single"/>
        </w:rPr>
      </w:pPr>
    </w:p>
    <w:tbl>
      <w:tblPr>
        <w:tblStyle w:val="TableGrid"/>
        <w:tblW w:w="0" w:type="auto"/>
        <w:shd w:val="clear" w:color="auto" w:fill="BFBFBF" w:themeFill="background1" w:themeFillShade="BF"/>
        <w:tblLook w:val="04A0" w:firstRow="1" w:lastRow="0" w:firstColumn="1" w:lastColumn="0" w:noHBand="0" w:noVBand="1"/>
      </w:tblPr>
      <w:tblGrid>
        <w:gridCol w:w="10998"/>
      </w:tblGrid>
      <w:tr w:rsidR="001506C1" w:rsidRPr="00FA3F9C" w14:paraId="6FAF51EC" w14:textId="77777777" w:rsidTr="00D82B6E">
        <w:tc>
          <w:tcPr>
            <w:tcW w:w="10998" w:type="dxa"/>
            <w:shd w:val="clear" w:color="auto" w:fill="BFBFBF" w:themeFill="background1" w:themeFillShade="BF"/>
          </w:tcPr>
          <w:p w14:paraId="3AD30C4D" w14:textId="77777777" w:rsidR="001506C1" w:rsidRPr="00FA3F9C" w:rsidRDefault="001506C1" w:rsidP="00D82B6E">
            <w:pPr>
              <w:rPr>
                <w:rFonts w:ascii="Arial" w:hAnsi="Arial" w:cs="Arial"/>
                <w:sz w:val="24"/>
                <w:szCs w:val="24"/>
              </w:rPr>
            </w:pPr>
            <w:r w:rsidRPr="00FA3F9C">
              <w:rPr>
                <w:rFonts w:ascii="Arial" w:hAnsi="Arial" w:cs="Arial"/>
                <w:sz w:val="24"/>
                <w:szCs w:val="24"/>
              </w:rPr>
              <w:t>Note: The drug is not indicated for ACQUIRED factor X deficiency.</w:t>
            </w:r>
          </w:p>
          <w:p w14:paraId="4D8BC787" w14:textId="77777777" w:rsidR="001506C1" w:rsidRPr="00FA3F9C" w:rsidRDefault="001506C1" w:rsidP="00D131D0">
            <w:pPr>
              <w:rPr>
                <w:rFonts w:ascii="Arial" w:eastAsia="Times New Roman" w:hAnsi="Arial" w:cs="Arial"/>
                <w:sz w:val="24"/>
                <w:szCs w:val="24"/>
              </w:rPr>
            </w:pPr>
            <w:r w:rsidRPr="00FA3F9C">
              <w:rPr>
                <w:rStyle w:val="Strong"/>
                <w:rFonts w:ascii="Arial" w:eastAsia="Times New Roman" w:hAnsi="Arial" w:cs="Arial"/>
                <w:color w:val="000000"/>
                <w:sz w:val="24"/>
                <w:szCs w:val="24"/>
                <w:vertAlign w:val="superscript"/>
              </w:rPr>
              <w:t>1</w:t>
            </w:r>
            <w:r w:rsidRPr="00FA3F9C">
              <w:rPr>
                <w:rStyle w:val="Strong"/>
                <w:rFonts w:ascii="Arial" w:eastAsia="Times New Roman" w:hAnsi="Arial" w:cs="Arial"/>
                <w:color w:val="000000"/>
                <w:sz w:val="24"/>
                <w:szCs w:val="24"/>
              </w:rPr>
              <w:t>Factor X deficiency</w:t>
            </w:r>
            <w:r w:rsidRPr="00FA3F9C">
              <w:rPr>
                <w:rStyle w:val="apple-converted-space"/>
                <w:rFonts w:ascii="Arial" w:eastAsia="Times New Roman" w:hAnsi="Arial" w:cs="Arial"/>
                <w:color w:val="000000"/>
                <w:sz w:val="24"/>
                <w:szCs w:val="24"/>
              </w:rPr>
              <w:t> </w:t>
            </w:r>
            <w:r w:rsidRPr="00FA3F9C">
              <w:rPr>
                <w:rFonts w:ascii="Arial" w:eastAsia="Times New Roman" w:hAnsi="Arial" w:cs="Arial"/>
                <w:color w:val="000000"/>
                <w:sz w:val="24"/>
                <w:szCs w:val="24"/>
              </w:rPr>
              <w:t>– Bleeding can be treated with a factor concentrate (if available) or a 4 factor or 3 factor prothrombin complex concentrate (PCC) (</w:t>
            </w:r>
            <w:hyperlink r:id="rId87" w:history="1">
              <w:r w:rsidRPr="00FA3F9C">
                <w:rPr>
                  <w:rStyle w:val="Hyperlink"/>
                  <w:rFonts w:ascii="Arial" w:eastAsia="Times New Roman" w:hAnsi="Arial" w:cs="Arial"/>
                  <w:color w:val="336633"/>
                  <w:sz w:val="24"/>
                  <w:szCs w:val="24"/>
                </w:rPr>
                <w:t>table 5</w:t>
              </w:r>
            </w:hyperlink>
            <w:r w:rsidRPr="00FA3F9C">
              <w:rPr>
                <w:rFonts w:ascii="Arial" w:eastAsia="Times New Roman" w:hAnsi="Arial" w:cs="Arial"/>
                <w:color w:val="000000"/>
                <w:sz w:val="24"/>
                <w:szCs w:val="24"/>
              </w:rPr>
              <w:t xml:space="preserve">). Importantly, PCCs carry a prothrombotic risk, so they are not used for less severe bleeding. If a factor </w:t>
            </w:r>
            <w:proofErr w:type="gramStart"/>
            <w:r w:rsidRPr="00FA3F9C">
              <w:rPr>
                <w:rFonts w:ascii="Arial" w:eastAsia="Times New Roman" w:hAnsi="Arial" w:cs="Arial"/>
                <w:color w:val="000000"/>
                <w:sz w:val="24"/>
                <w:szCs w:val="24"/>
              </w:rPr>
              <w:t>concentrate</w:t>
            </w:r>
            <w:proofErr w:type="gramEnd"/>
            <w:r w:rsidRPr="00FA3F9C">
              <w:rPr>
                <w:rFonts w:ascii="Arial" w:eastAsia="Times New Roman" w:hAnsi="Arial" w:cs="Arial"/>
                <w:color w:val="000000"/>
                <w:sz w:val="24"/>
                <w:szCs w:val="24"/>
              </w:rPr>
              <w:t xml:space="preserve"> or PCC is not available, a plasma product such as FFP may be used. (See</w:t>
            </w:r>
            <w:r w:rsidRPr="00FA3F9C">
              <w:rPr>
                <w:rStyle w:val="apple-converted-space"/>
                <w:rFonts w:ascii="Arial" w:eastAsia="Times New Roman" w:hAnsi="Arial" w:cs="Arial"/>
                <w:color w:val="000000"/>
                <w:sz w:val="24"/>
                <w:szCs w:val="24"/>
              </w:rPr>
              <w:t> </w:t>
            </w:r>
            <w:hyperlink r:id="rId88" w:anchor="H4350607" w:history="1">
              <w:r w:rsidRPr="00FA3F9C">
                <w:rPr>
                  <w:rStyle w:val="Hyperlink"/>
                  <w:rFonts w:ascii="Arial" w:eastAsia="Times New Roman" w:hAnsi="Arial" w:cs="Arial"/>
                  <w:color w:val="336633"/>
                  <w:sz w:val="24"/>
                  <w:szCs w:val="24"/>
                </w:rPr>
                <w:t>'Factor X deficiency (F10D)'</w:t>
              </w:r>
            </w:hyperlink>
            <w:r w:rsidRPr="00FA3F9C">
              <w:rPr>
                <w:rStyle w:val="apple-converted-space"/>
                <w:rFonts w:ascii="Arial" w:eastAsia="Times New Roman" w:hAnsi="Arial" w:cs="Arial"/>
                <w:color w:val="000000"/>
                <w:sz w:val="24"/>
                <w:szCs w:val="24"/>
              </w:rPr>
              <w:t> </w:t>
            </w:r>
            <w:r w:rsidRPr="00FA3F9C">
              <w:rPr>
                <w:rFonts w:ascii="Arial" w:eastAsia="Times New Roman" w:hAnsi="Arial" w:cs="Arial"/>
                <w:color w:val="000000"/>
                <w:sz w:val="24"/>
                <w:szCs w:val="24"/>
              </w:rPr>
              <w:t>below and</w:t>
            </w:r>
            <w:r w:rsidRPr="00FA3F9C">
              <w:rPr>
                <w:rStyle w:val="apple-converted-space"/>
                <w:rFonts w:ascii="Arial" w:eastAsia="Times New Roman" w:hAnsi="Arial" w:cs="Arial"/>
                <w:color w:val="000000"/>
                <w:sz w:val="24"/>
                <w:szCs w:val="24"/>
              </w:rPr>
              <w:t> </w:t>
            </w:r>
            <w:hyperlink r:id="rId89" w:anchor="H9" w:history="1">
              <w:r w:rsidRPr="00FA3F9C">
                <w:rPr>
                  <w:rStyle w:val="Hyperlink"/>
                  <w:rFonts w:ascii="Arial" w:eastAsia="Times New Roman" w:hAnsi="Arial" w:cs="Arial"/>
                  <w:color w:val="336633"/>
                  <w:sz w:val="24"/>
                  <w:szCs w:val="24"/>
                </w:rPr>
                <w:t>'PCCs'</w:t>
              </w:r>
            </w:hyperlink>
            <w:r w:rsidRPr="00FA3F9C">
              <w:rPr>
                <w:rStyle w:val="apple-converted-space"/>
                <w:rFonts w:ascii="Arial" w:eastAsia="Times New Roman" w:hAnsi="Arial" w:cs="Arial"/>
                <w:color w:val="000000"/>
                <w:sz w:val="24"/>
                <w:szCs w:val="24"/>
              </w:rPr>
              <w:t> </w:t>
            </w:r>
            <w:r w:rsidRPr="00FA3F9C">
              <w:rPr>
                <w:rFonts w:ascii="Arial" w:eastAsia="Times New Roman" w:hAnsi="Arial" w:cs="Arial"/>
                <w:color w:val="000000"/>
                <w:sz w:val="24"/>
                <w:szCs w:val="24"/>
              </w:rPr>
              <w:t>below and</w:t>
            </w:r>
            <w:r w:rsidRPr="00FA3F9C">
              <w:rPr>
                <w:rStyle w:val="apple-converted-space"/>
                <w:rFonts w:ascii="Arial" w:eastAsia="Times New Roman" w:hAnsi="Arial" w:cs="Arial"/>
                <w:color w:val="000000"/>
                <w:sz w:val="24"/>
                <w:szCs w:val="24"/>
              </w:rPr>
              <w:t> </w:t>
            </w:r>
            <w:hyperlink r:id="rId90" w:anchor="H12230214" w:history="1">
              <w:r w:rsidRPr="00FA3F9C">
                <w:rPr>
                  <w:rStyle w:val="Hyperlink"/>
                  <w:rFonts w:ascii="Arial" w:eastAsia="Times New Roman" w:hAnsi="Arial" w:cs="Arial"/>
                  <w:color w:val="336633"/>
                  <w:sz w:val="24"/>
                  <w:szCs w:val="24"/>
                </w:rPr>
                <w:t>'Plasma products'</w:t>
              </w:r>
            </w:hyperlink>
            <w:r w:rsidRPr="00FA3F9C">
              <w:rPr>
                <w:rStyle w:val="apple-converted-space"/>
                <w:rFonts w:ascii="Arial" w:eastAsia="Times New Roman" w:hAnsi="Arial" w:cs="Arial"/>
                <w:color w:val="000000"/>
                <w:sz w:val="24"/>
                <w:szCs w:val="24"/>
              </w:rPr>
              <w:t> </w:t>
            </w:r>
            <w:r w:rsidRPr="00FA3F9C">
              <w:rPr>
                <w:rFonts w:ascii="Arial" w:eastAsia="Times New Roman" w:hAnsi="Arial" w:cs="Arial"/>
                <w:color w:val="000000"/>
                <w:sz w:val="24"/>
                <w:szCs w:val="24"/>
              </w:rPr>
              <w:t>below.)</w:t>
            </w:r>
          </w:p>
          <w:p w14:paraId="067272EB" w14:textId="77777777" w:rsidR="001506C1" w:rsidRPr="00FA3F9C" w:rsidRDefault="001506C1" w:rsidP="00D82B6E">
            <w:pPr>
              <w:rPr>
                <w:rFonts w:ascii="Arial" w:hAnsi="Arial" w:cs="Arial"/>
                <w:sz w:val="24"/>
                <w:szCs w:val="24"/>
              </w:rPr>
            </w:pPr>
          </w:p>
        </w:tc>
      </w:tr>
    </w:tbl>
    <w:p w14:paraId="33E6BF8C" w14:textId="77777777" w:rsidR="001506C1" w:rsidRPr="00FA3F9C" w:rsidRDefault="001506C1" w:rsidP="006F623F">
      <w:pPr>
        <w:spacing w:after="0"/>
        <w:rPr>
          <w:rFonts w:ascii="Arial" w:hAnsi="Arial" w:cs="Arial"/>
          <w:sz w:val="24"/>
          <w:szCs w:val="24"/>
        </w:rPr>
      </w:pPr>
    </w:p>
    <w:p w14:paraId="364F3E98" w14:textId="77777777" w:rsidR="001506C1" w:rsidRPr="00FA3F9C" w:rsidRDefault="001506C1" w:rsidP="006F623F">
      <w:pPr>
        <w:spacing w:after="0"/>
        <w:rPr>
          <w:rFonts w:ascii="Arial" w:hAnsi="Arial" w:cs="Arial"/>
          <w:sz w:val="24"/>
          <w:szCs w:val="24"/>
        </w:rPr>
      </w:pPr>
    </w:p>
    <w:p w14:paraId="192113CE"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References:</w:t>
      </w:r>
    </w:p>
    <w:p w14:paraId="25017D5C"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 xml:space="preserve">1.  UpToDate. Rare inherited coagulation disorders.  </w:t>
      </w:r>
      <w:hyperlink r:id="rId91" w:history="1">
        <w:r w:rsidRPr="00FA3F9C">
          <w:rPr>
            <w:rStyle w:val="Hyperlink"/>
            <w:rFonts w:ascii="Arial" w:hAnsi="Arial" w:cs="Arial"/>
            <w:sz w:val="24"/>
            <w:szCs w:val="24"/>
          </w:rPr>
          <w:t>http://www.uptodate.com/contents/rare-inherited-coagulation-disorders?source=see_link</w:t>
        </w:r>
      </w:hyperlink>
      <w:r w:rsidRPr="00FA3F9C">
        <w:rPr>
          <w:rFonts w:ascii="Arial" w:hAnsi="Arial" w:cs="Arial"/>
          <w:sz w:val="24"/>
          <w:szCs w:val="24"/>
        </w:rPr>
        <w:t xml:space="preserve">  Accessed 2/8/16.</w:t>
      </w:r>
    </w:p>
    <w:p w14:paraId="4532FCC0" w14:textId="77777777" w:rsidR="001506C1" w:rsidRPr="00FA3F9C" w:rsidRDefault="001506C1" w:rsidP="006F623F">
      <w:pPr>
        <w:spacing w:after="0"/>
        <w:rPr>
          <w:rFonts w:ascii="Arial" w:hAnsi="Arial" w:cs="Arial"/>
          <w:sz w:val="24"/>
          <w:szCs w:val="24"/>
        </w:rPr>
      </w:pPr>
    </w:p>
    <w:p w14:paraId="501732C8" w14:textId="77777777" w:rsidR="001506C1" w:rsidRPr="00FA3F9C" w:rsidRDefault="001506C1" w:rsidP="006F623F">
      <w:pPr>
        <w:spacing w:after="0"/>
        <w:rPr>
          <w:rFonts w:ascii="Arial" w:hAnsi="Arial" w:cs="Arial"/>
          <w:sz w:val="24"/>
          <w:szCs w:val="24"/>
        </w:rPr>
      </w:pPr>
    </w:p>
    <w:p w14:paraId="2504051D"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008"/>
        <w:gridCol w:w="7470"/>
        <w:gridCol w:w="2538"/>
      </w:tblGrid>
      <w:tr w:rsidR="001506C1" w:rsidRPr="00FA3F9C" w14:paraId="24CD4AD1" w14:textId="77777777" w:rsidTr="00FE491B">
        <w:tc>
          <w:tcPr>
            <w:tcW w:w="1008" w:type="dxa"/>
          </w:tcPr>
          <w:p w14:paraId="2644F6F0" w14:textId="77777777" w:rsidR="001506C1" w:rsidRPr="00FA3F9C" w:rsidRDefault="001506C1" w:rsidP="006F623F">
            <w:pPr>
              <w:rPr>
                <w:rFonts w:ascii="Arial" w:hAnsi="Arial" w:cs="Arial"/>
                <w:sz w:val="24"/>
                <w:szCs w:val="24"/>
              </w:rPr>
            </w:pPr>
            <w:r w:rsidRPr="00FA3F9C">
              <w:rPr>
                <w:rFonts w:ascii="Arial" w:hAnsi="Arial" w:cs="Arial"/>
                <w:sz w:val="24"/>
                <w:szCs w:val="24"/>
              </w:rPr>
              <w:t>Date</w:t>
            </w:r>
          </w:p>
        </w:tc>
        <w:tc>
          <w:tcPr>
            <w:tcW w:w="7470" w:type="dxa"/>
          </w:tcPr>
          <w:p w14:paraId="3EC22104" w14:textId="77777777" w:rsidR="001506C1" w:rsidRPr="00FA3F9C" w:rsidRDefault="001506C1" w:rsidP="006F623F">
            <w:pPr>
              <w:rPr>
                <w:rFonts w:ascii="Arial" w:hAnsi="Arial" w:cs="Arial"/>
                <w:sz w:val="24"/>
                <w:szCs w:val="24"/>
              </w:rPr>
            </w:pPr>
            <w:r w:rsidRPr="00FA3F9C">
              <w:rPr>
                <w:rFonts w:ascii="Arial" w:hAnsi="Arial" w:cs="Arial"/>
                <w:sz w:val="24"/>
                <w:szCs w:val="24"/>
              </w:rPr>
              <w:t>What changed</w:t>
            </w:r>
          </w:p>
        </w:tc>
        <w:tc>
          <w:tcPr>
            <w:tcW w:w="2538" w:type="dxa"/>
          </w:tcPr>
          <w:p w14:paraId="38796966" w14:textId="77777777" w:rsidR="001506C1" w:rsidRPr="00FA3F9C" w:rsidRDefault="001506C1" w:rsidP="006F623F">
            <w:pPr>
              <w:rPr>
                <w:rFonts w:ascii="Arial" w:hAnsi="Arial" w:cs="Arial"/>
                <w:sz w:val="24"/>
                <w:szCs w:val="24"/>
              </w:rPr>
            </w:pPr>
            <w:r w:rsidRPr="00FA3F9C">
              <w:rPr>
                <w:rFonts w:ascii="Arial" w:hAnsi="Arial" w:cs="Arial"/>
                <w:sz w:val="24"/>
                <w:szCs w:val="24"/>
              </w:rPr>
              <w:t>Pharmacist’s initials</w:t>
            </w:r>
          </w:p>
        </w:tc>
      </w:tr>
      <w:tr w:rsidR="001506C1" w:rsidRPr="00FA3F9C" w14:paraId="2D79F30C" w14:textId="77777777" w:rsidTr="00FE491B">
        <w:tc>
          <w:tcPr>
            <w:tcW w:w="1008" w:type="dxa"/>
          </w:tcPr>
          <w:p w14:paraId="72BC08D1" w14:textId="77777777" w:rsidR="001506C1" w:rsidRPr="00FA3F9C" w:rsidRDefault="001506C1" w:rsidP="006F623F">
            <w:pPr>
              <w:rPr>
                <w:rFonts w:ascii="Arial" w:hAnsi="Arial" w:cs="Arial"/>
                <w:sz w:val="24"/>
                <w:szCs w:val="24"/>
              </w:rPr>
            </w:pPr>
            <w:r w:rsidRPr="00FA3F9C">
              <w:rPr>
                <w:rFonts w:ascii="Arial" w:hAnsi="Arial" w:cs="Arial"/>
                <w:sz w:val="24"/>
                <w:szCs w:val="24"/>
              </w:rPr>
              <w:t>2/8/16</w:t>
            </w:r>
          </w:p>
        </w:tc>
        <w:tc>
          <w:tcPr>
            <w:tcW w:w="7470" w:type="dxa"/>
          </w:tcPr>
          <w:p w14:paraId="32AB3269" w14:textId="77777777" w:rsidR="001506C1" w:rsidRPr="00FA3F9C" w:rsidRDefault="001506C1" w:rsidP="006F623F">
            <w:pPr>
              <w:rPr>
                <w:rFonts w:ascii="Arial" w:hAnsi="Arial" w:cs="Arial"/>
                <w:sz w:val="24"/>
                <w:szCs w:val="24"/>
              </w:rPr>
            </w:pPr>
            <w:r w:rsidRPr="00FA3F9C">
              <w:rPr>
                <w:rFonts w:ascii="Arial" w:hAnsi="Arial" w:cs="Arial"/>
                <w:sz w:val="24"/>
                <w:szCs w:val="24"/>
              </w:rPr>
              <w:t>I wrote the criteria.</w:t>
            </w:r>
          </w:p>
        </w:tc>
        <w:tc>
          <w:tcPr>
            <w:tcW w:w="2538" w:type="dxa"/>
          </w:tcPr>
          <w:p w14:paraId="6CB9C2FA" w14:textId="185048C3" w:rsidR="001506C1" w:rsidRPr="00FA3F9C" w:rsidRDefault="005C142D" w:rsidP="006F623F">
            <w:pPr>
              <w:rPr>
                <w:rFonts w:ascii="Arial" w:hAnsi="Arial" w:cs="Arial"/>
                <w:sz w:val="24"/>
                <w:szCs w:val="24"/>
              </w:rPr>
            </w:pPr>
            <w:r w:rsidRPr="00FA3F9C">
              <w:rPr>
                <w:rFonts w:ascii="Arial" w:hAnsi="Arial" w:cs="Arial"/>
                <w:sz w:val="24"/>
                <w:szCs w:val="24"/>
              </w:rPr>
              <w:t>JJ</w:t>
            </w:r>
          </w:p>
        </w:tc>
      </w:tr>
      <w:tr w:rsidR="001506C1" w:rsidRPr="00FA3F9C" w14:paraId="3E2AD5F7" w14:textId="77777777" w:rsidTr="00FE491B">
        <w:tc>
          <w:tcPr>
            <w:tcW w:w="1008" w:type="dxa"/>
          </w:tcPr>
          <w:p w14:paraId="3A6DE183" w14:textId="77777777" w:rsidR="001506C1" w:rsidRPr="00FA3F9C" w:rsidRDefault="001506C1" w:rsidP="006F623F">
            <w:pPr>
              <w:rPr>
                <w:rFonts w:ascii="Arial" w:hAnsi="Arial" w:cs="Arial"/>
                <w:sz w:val="24"/>
                <w:szCs w:val="24"/>
              </w:rPr>
            </w:pPr>
          </w:p>
        </w:tc>
        <w:tc>
          <w:tcPr>
            <w:tcW w:w="7470" w:type="dxa"/>
          </w:tcPr>
          <w:p w14:paraId="24712360" w14:textId="77777777" w:rsidR="001506C1" w:rsidRPr="00FA3F9C" w:rsidRDefault="001506C1" w:rsidP="006F623F">
            <w:pPr>
              <w:rPr>
                <w:rFonts w:ascii="Arial" w:hAnsi="Arial" w:cs="Arial"/>
                <w:sz w:val="24"/>
                <w:szCs w:val="24"/>
              </w:rPr>
            </w:pPr>
          </w:p>
        </w:tc>
        <w:tc>
          <w:tcPr>
            <w:tcW w:w="2538" w:type="dxa"/>
          </w:tcPr>
          <w:p w14:paraId="2366E9FA" w14:textId="77777777" w:rsidR="001506C1" w:rsidRPr="00FA3F9C" w:rsidRDefault="001506C1" w:rsidP="006F623F">
            <w:pPr>
              <w:rPr>
                <w:rFonts w:ascii="Arial" w:hAnsi="Arial" w:cs="Arial"/>
                <w:sz w:val="24"/>
                <w:szCs w:val="24"/>
              </w:rPr>
            </w:pPr>
          </w:p>
        </w:tc>
      </w:tr>
    </w:tbl>
    <w:p w14:paraId="0C5F3CC6" w14:textId="77777777" w:rsidR="001506C1" w:rsidRPr="00FA3F9C" w:rsidRDefault="001506C1" w:rsidP="006F623F">
      <w:pPr>
        <w:spacing w:after="0"/>
        <w:rPr>
          <w:rFonts w:ascii="Arial" w:hAnsi="Arial" w:cs="Arial"/>
          <w:sz w:val="24"/>
          <w:szCs w:val="24"/>
        </w:rPr>
      </w:pPr>
    </w:p>
    <w:p w14:paraId="77A11F1D" w14:textId="77777777" w:rsidR="003B40CD" w:rsidRDefault="001506C1" w:rsidP="003B40CD">
      <w:pPr>
        <w:pStyle w:val="Heading2"/>
      </w:pPr>
      <w:bookmarkStart w:id="60" w:name="_Toc106369756"/>
      <w:proofErr w:type="spellStart"/>
      <w:r w:rsidRPr="00FA3F9C">
        <w:t>Cobimetinib</w:t>
      </w:r>
      <w:proofErr w:type="spellEnd"/>
      <w:r w:rsidRPr="00FA3F9C">
        <w:t xml:space="preserve"> (</w:t>
      </w:r>
      <w:proofErr w:type="spellStart"/>
      <w:r w:rsidRPr="00FA3F9C">
        <w:t>Cotellic</w:t>
      </w:r>
      <w:proofErr w:type="spellEnd"/>
      <w:r w:rsidRPr="00FA3F9C">
        <w:t>)</w:t>
      </w:r>
      <w:bookmarkEnd w:id="60"/>
      <w:r w:rsidRPr="00FA3F9C">
        <w:t xml:space="preserve"> </w:t>
      </w:r>
    </w:p>
    <w:p w14:paraId="73A64264" w14:textId="4CC689CB" w:rsidR="001506C1" w:rsidRPr="00FA3F9C" w:rsidRDefault="001506C1" w:rsidP="00A563E5">
      <w:pPr>
        <w:spacing w:after="0"/>
        <w:jc w:val="center"/>
        <w:rPr>
          <w:rFonts w:ascii="Arial" w:hAnsi="Arial" w:cs="Arial"/>
          <w:sz w:val="24"/>
          <w:szCs w:val="24"/>
        </w:rPr>
      </w:pPr>
      <w:r w:rsidRPr="00FA3F9C">
        <w:rPr>
          <w:rFonts w:ascii="Arial" w:hAnsi="Arial" w:cs="Arial"/>
          <w:sz w:val="24"/>
          <w:szCs w:val="24"/>
        </w:rPr>
        <w:t>20mg tablets</w:t>
      </w:r>
    </w:p>
    <w:p w14:paraId="4C4DF69B" w14:textId="77777777" w:rsidR="001506C1" w:rsidRPr="00FA3F9C" w:rsidRDefault="001506C1" w:rsidP="006F623F">
      <w:pPr>
        <w:spacing w:after="0"/>
        <w:jc w:val="center"/>
        <w:rPr>
          <w:rFonts w:ascii="Arial" w:hAnsi="Arial" w:cs="Arial"/>
          <w:sz w:val="24"/>
          <w:szCs w:val="24"/>
        </w:rPr>
      </w:pPr>
      <w:r w:rsidRPr="00FA3F9C">
        <w:rPr>
          <w:rFonts w:ascii="Arial" w:hAnsi="Arial" w:cs="Arial"/>
          <w:sz w:val="24"/>
          <w:szCs w:val="24"/>
        </w:rPr>
        <w:t>EBRx PA Criteria</w:t>
      </w:r>
    </w:p>
    <w:p w14:paraId="65FA70F2" w14:textId="77777777" w:rsidR="001506C1" w:rsidRPr="00FA3F9C" w:rsidRDefault="001506C1" w:rsidP="006F623F">
      <w:pPr>
        <w:spacing w:after="0"/>
        <w:rPr>
          <w:rFonts w:ascii="Arial" w:hAnsi="Arial" w:cs="Arial"/>
          <w:b/>
          <w:sz w:val="24"/>
          <w:szCs w:val="24"/>
          <w:u w:val="single"/>
        </w:rPr>
      </w:pPr>
    </w:p>
    <w:p w14:paraId="53CBEF8B" w14:textId="77777777" w:rsidR="001506C1" w:rsidRPr="00FA3F9C" w:rsidRDefault="001506C1" w:rsidP="006F623F">
      <w:pPr>
        <w:spacing w:after="0"/>
        <w:rPr>
          <w:rFonts w:ascii="Arial" w:hAnsi="Arial" w:cs="Arial"/>
          <w:sz w:val="24"/>
          <w:szCs w:val="24"/>
        </w:rPr>
      </w:pPr>
      <w:r w:rsidRPr="00FA3F9C">
        <w:rPr>
          <w:rFonts w:ascii="Arial" w:hAnsi="Arial" w:cs="Arial"/>
          <w:b/>
          <w:sz w:val="24"/>
          <w:szCs w:val="24"/>
          <w:u w:val="single"/>
        </w:rPr>
        <w:t>FDA-approved for:</w:t>
      </w:r>
      <w:r w:rsidRPr="00FA3F9C">
        <w:rPr>
          <w:rFonts w:ascii="Arial" w:hAnsi="Arial" w:cs="Arial"/>
          <w:sz w:val="24"/>
          <w:szCs w:val="24"/>
        </w:rPr>
        <w:t xml:space="preserve">  </w:t>
      </w:r>
    </w:p>
    <w:p w14:paraId="51B19C75" w14:textId="77777777" w:rsidR="001506C1" w:rsidRPr="00FA3F9C" w:rsidRDefault="001506C1" w:rsidP="001506C1">
      <w:pPr>
        <w:pStyle w:val="ListParagraph"/>
        <w:numPr>
          <w:ilvl w:val="0"/>
          <w:numId w:val="97"/>
        </w:numPr>
        <w:spacing w:after="0" w:line="276" w:lineRule="auto"/>
        <w:rPr>
          <w:rFonts w:ascii="Arial" w:hAnsi="Arial" w:cs="Arial"/>
          <w:sz w:val="24"/>
          <w:szCs w:val="24"/>
        </w:rPr>
      </w:pPr>
      <w:r w:rsidRPr="00FA3F9C">
        <w:rPr>
          <w:rFonts w:ascii="Arial" w:hAnsi="Arial" w:cs="Arial"/>
          <w:sz w:val="24"/>
          <w:szCs w:val="24"/>
        </w:rPr>
        <w:t>Treatment of patients with unresectable or metastatic melanoma with a BRAF V600E or V600K mutation, in combination with vemurafenib</w:t>
      </w:r>
    </w:p>
    <w:p w14:paraId="25CC231A" w14:textId="77777777" w:rsidR="001506C1" w:rsidRPr="00FA3F9C" w:rsidRDefault="001506C1" w:rsidP="00872A9A">
      <w:pPr>
        <w:pStyle w:val="ListParagraph"/>
        <w:spacing w:after="0"/>
        <w:rPr>
          <w:rFonts w:ascii="Arial" w:hAnsi="Arial" w:cs="Arial"/>
          <w:sz w:val="24"/>
          <w:szCs w:val="24"/>
        </w:rPr>
      </w:pPr>
    </w:p>
    <w:p w14:paraId="236B53D2" w14:textId="77777777" w:rsidR="001506C1" w:rsidRPr="00FA3F9C" w:rsidRDefault="001506C1" w:rsidP="004C28FF">
      <w:pPr>
        <w:spacing w:after="0"/>
        <w:rPr>
          <w:rFonts w:ascii="Arial" w:hAnsi="Arial" w:cs="Arial"/>
          <w:sz w:val="24"/>
          <w:szCs w:val="24"/>
          <w:u w:val="single"/>
        </w:rPr>
      </w:pPr>
      <w:r w:rsidRPr="00FA3F9C">
        <w:rPr>
          <w:rFonts w:ascii="Arial" w:hAnsi="Arial" w:cs="Arial"/>
          <w:sz w:val="24"/>
          <w:szCs w:val="24"/>
          <w:u w:val="single"/>
        </w:rPr>
        <w:lastRenderedPageBreak/>
        <w:t xml:space="preserve">The following indication is not included in the </w:t>
      </w:r>
      <w:proofErr w:type="spellStart"/>
      <w:r w:rsidRPr="00FA3F9C">
        <w:rPr>
          <w:rFonts w:ascii="Arial" w:hAnsi="Arial" w:cs="Arial"/>
          <w:sz w:val="24"/>
          <w:szCs w:val="24"/>
          <w:u w:val="single"/>
        </w:rPr>
        <w:t>cobimetinib</w:t>
      </w:r>
      <w:proofErr w:type="spellEnd"/>
      <w:r w:rsidRPr="00FA3F9C">
        <w:rPr>
          <w:rFonts w:ascii="Arial" w:hAnsi="Arial" w:cs="Arial"/>
          <w:sz w:val="24"/>
          <w:szCs w:val="24"/>
          <w:u w:val="single"/>
        </w:rPr>
        <w:t xml:space="preserve"> package insert but is FDA approved per the atezolizumab (</w:t>
      </w:r>
      <w:proofErr w:type="spellStart"/>
      <w:r w:rsidRPr="00FA3F9C">
        <w:rPr>
          <w:rFonts w:ascii="Arial" w:hAnsi="Arial" w:cs="Arial"/>
          <w:sz w:val="24"/>
          <w:szCs w:val="24"/>
          <w:u w:val="single"/>
        </w:rPr>
        <w:t>Tecentriq</w:t>
      </w:r>
      <w:proofErr w:type="spellEnd"/>
      <w:r w:rsidRPr="00FA3F9C">
        <w:rPr>
          <w:rFonts w:ascii="Arial" w:hAnsi="Arial" w:cs="Arial"/>
          <w:sz w:val="24"/>
          <w:szCs w:val="24"/>
          <w:u w:val="single"/>
        </w:rPr>
        <w:t>) package insert:</w:t>
      </w:r>
    </w:p>
    <w:p w14:paraId="677B5BAE" w14:textId="77777777" w:rsidR="001506C1" w:rsidRPr="00FA3F9C" w:rsidRDefault="001506C1" w:rsidP="001506C1">
      <w:pPr>
        <w:numPr>
          <w:ilvl w:val="0"/>
          <w:numId w:val="27"/>
        </w:numPr>
        <w:spacing w:after="0" w:line="276" w:lineRule="auto"/>
        <w:ind w:left="540"/>
        <w:contextualSpacing/>
        <w:rPr>
          <w:rFonts w:ascii="Arial" w:hAnsi="Arial" w:cs="Arial"/>
          <w:b/>
          <w:sz w:val="24"/>
          <w:szCs w:val="24"/>
          <w:u w:val="single"/>
        </w:rPr>
      </w:pPr>
      <w:r w:rsidRPr="00FA3F9C">
        <w:rPr>
          <w:rFonts w:ascii="Arial" w:hAnsi="Arial" w:cs="Arial"/>
          <w:b/>
          <w:sz w:val="24"/>
          <w:szCs w:val="24"/>
          <w:u w:val="single"/>
        </w:rPr>
        <w:t>Melanoma</w:t>
      </w:r>
      <w:r w:rsidRPr="00FA3F9C">
        <w:rPr>
          <w:rFonts w:ascii="Arial" w:hAnsi="Arial" w:cs="Arial"/>
          <w:sz w:val="24"/>
          <w:szCs w:val="24"/>
        </w:rPr>
        <w:t xml:space="preserve"> </w:t>
      </w:r>
    </w:p>
    <w:p w14:paraId="02790B7D" w14:textId="77777777" w:rsidR="001506C1" w:rsidRPr="00FA3F9C" w:rsidRDefault="001506C1" w:rsidP="001506C1">
      <w:pPr>
        <w:numPr>
          <w:ilvl w:val="1"/>
          <w:numId w:val="27"/>
        </w:numPr>
        <w:spacing w:after="0" w:line="276" w:lineRule="auto"/>
        <w:ind w:left="810"/>
        <w:contextualSpacing/>
        <w:rPr>
          <w:rFonts w:ascii="Arial" w:hAnsi="Arial" w:cs="Arial"/>
          <w:b/>
          <w:sz w:val="24"/>
          <w:szCs w:val="24"/>
          <w:u w:val="single"/>
        </w:rPr>
      </w:pPr>
      <w:r w:rsidRPr="00FA3F9C">
        <w:rPr>
          <w:rFonts w:ascii="Arial" w:hAnsi="Arial" w:cs="Arial"/>
          <w:sz w:val="24"/>
          <w:szCs w:val="24"/>
        </w:rPr>
        <w:t xml:space="preserve">in combination with </w:t>
      </w:r>
      <w:proofErr w:type="spellStart"/>
      <w:r w:rsidRPr="00FA3F9C">
        <w:rPr>
          <w:rFonts w:ascii="Arial" w:hAnsi="Arial" w:cs="Arial"/>
          <w:sz w:val="24"/>
          <w:szCs w:val="24"/>
        </w:rPr>
        <w:t>atezolizumb</w:t>
      </w:r>
      <w:proofErr w:type="spellEnd"/>
      <w:r w:rsidRPr="00FA3F9C">
        <w:rPr>
          <w:rFonts w:ascii="Arial" w:hAnsi="Arial" w:cs="Arial"/>
          <w:sz w:val="24"/>
          <w:szCs w:val="24"/>
        </w:rPr>
        <w:t xml:space="preserve"> and vemurafenib for the treatment of patients with BRAF V600 mutation-positive unresectable or metastatic melanoma </w:t>
      </w:r>
      <w:r w:rsidRPr="00FA3F9C">
        <w:rPr>
          <w:rFonts w:ascii="Arial" w:hAnsi="Arial" w:cs="Arial"/>
          <w:sz w:val="24"/>
          <w:szCs w:val="24"/>
          <w:highlight w:val="yellow"/>
        </w:rPr>
        <w:t>NOT COVERED</w:t>
      </w:r>
    </w:p>
    <w:p w14:paraId="78BA75C0" w14:textId="77777777" w:rsidR="001506C1" w:rsidRPr="00FA3F9C" w:rsidRDefault="001506C1" w:rsidP="001506C1">
      <w:pPr>
        <w:numPr>
          <w:ilvl w:val="2"/>
          <w:numId w:val="27"/>
        </w:numPr>
        <w:spacing w:after="200" w:line="276" w:lineRule="auto"/>
        <w:ind w:left="1350"/>
        <w:contextualSpacing/>
        <w:rPr>
          <w:rFonts w:ascii="Arial" w:hAnsi="Arial" w:cs="Arial"/>
          <w:sz w:val="24"/>
          <w:szCs w:val="24"/>
        </w:rPr>
      </w:pPr>
      <w:r w:rsidRPr="00FA3F9C">
        <w:rPr>
          <w:rFonts w:ascii="Arial" w:hAnsi="Arial" w:cs="Arial"/>
          <w:sz w:val="24"/>
          <w:szCs w:val="24"/>
        </w:rPr>
        <w:t xml:space="preserve">Benefit of this combination is limited to progression free survival. Overall survival nor quality of life have been shown to be improved at this time. </w:t>
      </w:r>
    </w:p>
    <w:p w14:paraId="24444190" w14:textId="77777777" w:rsidR="001506C1" w:rsidRPr="00FA3F9C" w:rsidRDefault="001506C1" w:rsidP="001506C1">
      <w:pPr>
        <w:numPr>
          <w:ilvl w:val="2"/>
          <w:numId w:val="27"/>
        </w:numPr>
        <w:spacing w:after="200" w:line="276" w:lineRule="auto"/>
        <w:ind w:left="1350"/>
        <w:contextualSpacing/>
        <w:rPr>
          <w:rFonts w:ascii="Arial" w:hAnsi="Arial" w:cs="Arial"/>
          <w:sz w:val="24"/>
          <w:szCs w:val="24"/>
        </w:rPr>
      </w:pPr>
      <w:r w:rsidRPr="00FA3F9C">
        <w:rPr>
          <w:rFonts w:ascii="Arial" w:hAnsi="Arial" w:cs="Arial"/>
          <w:sz w:val="24"/>
          <w:szCs w:val="24"/>
        </w:rPr>
        <w:t xml:space="preserve">Reference: </w:t>
      </w:r>
      <w:proofErr w:type="spellStart"/>
      <w:r w:rsidRPr="00FA3F9C">
        <w:rPr>
          <w:rFonts w:ascii="Arial" w:hAnsi="Arial" w:cs="Arial"/>
          <w:sz w:val="24"/>
          <w:szCs w:val="24"/>
        </w:rPr>
        <w:t>Gutzmer</w:t>
      </w:r>
      <w:proofErr w:type="spellEnd"/>
      <w:r w:rsidRPr="00FA3F9C">
        <w:rPr>
          <w:rFonts w:ascii="Arial" w:hAnsi="Arial" w:cs="Arial"/>
          <w:sz w:val="24"/>
          <w:szCs w:val="24"/>
        </w:rPr>
        <w:t xml:space="preserve"> R, </w:t>
      </w:r>
      <w:proofErr w:type="spellStart"/>
      <w:r w:rsidRPr="00FA3F9C">
        <w:rPr>
          <w:rFonts w:ascii="Arial" w:hAnsi="Arial" w:cs="Arial"/>
          <w:sz w:val="24"/>
          <w:szCs w:val="24"/>
        </w:rPr>
        <w:t>Stroyakovskiy</w:t>
      </w:r>
      <w:proofErr w:type="spellEnd"/>
      <w:r w:rsidRPr="00FA3F9C">
        <w:rPr>
          <w:rFonts w:ascii="Arial" w:hAnsi="Arial" w:cs="Arial"/>
          <w:sz w:val="24"/>
          <w:szCs w:val="24"/>
        </w:rPr>
        <w:t xml:space="preserve"> D, </w:t>
      </w:r>
      <w:proofErr w:type="spellStart"/>
      <w:r w:rsidRPr="00FA3F9C">
        <w:rPr>
          <w:rFonts w:ascii="Arial" w:hAnsi="Arial" w:cs="Arial"/>
          <w:sz w:val="24"/>
          <w:szCs w:val="24"/>
        </w:rPr>
        <w:t>Gogas</w:t>
      </w:r>
      <w:proofErr w:type="spellEnd"/>
      <w:r w:rsidRPr="00FA3F9C">
        <w:rPr>
          <w:rFonts w:ascii="Arial" w:hAnsi="Arial" w:cs="Arial"/>
          <w:sz w:val="24"/>
          <w:szCs w:val="24"/>
        </w:rPr>
        <w:t xml:space="preserve"> H, et al. Atezolizumab, vemurafenib, and </w:t>
      </w:r>
      <w:proofErr w:type="spellStart"/>
      <w:r w:rsidRPr="00FA3F9C">
        <w:rPr>
          <w:rFonts w:ascii="Arial" w:hAnsi="Arial" w:cs="Arial"/>
          <w:sz w:val="24"/>
          <w:szCs w:val="24"/>
        </w:rPr>
        <w:t>cobimetinib</w:t>
      </w:r>
      <w:proofErr w:type="spellEnd"/>
      <w:r w:rsidRPr="00FA3F9C">
        <w:rPr>
          <w:rFonts w:ascii="Arial" w:hAnsi="Arial" w:cs="Arial"/>
          <w:sz w:val="24"/>
          <w:szCs w:val="24"/>
        </w:rPr>
        <w:t xml:space="preserve"> as first-line treatment for unresectable advanced BRAFV600 mutation-positive melanoma (IMspire150): primary analysis of the </w:t>
      </w:r>
      <w:proofErr w:type="spellStart"/>
      <w:r w:rsidRPr="00FA3F9C">
        <w:rPr>
          <w:rFonts w:ascii="Arial" w:hAnsi="Arial" w:cs="Arial"/>
          <w:sz w:val="24"/>
          <w:szCs w:val="24"/>
        </w:rPr>
        <w:t>randomised</w:t>
      </w:r>
      <w:proofErr w:type="spellEnd"/>
      <w:r w:rsidRPr="00FA3F9C">
        <w:rPr>
          <w:rFonts w:ascii="Arial" w:hAnsi="Arial" w:cs="Arial"/>
          <w:sz w:val="24"/>
          <w:szCs w:val="24"/>
        </w:rPr>
        <w:t>, double-blind, placebo-controlled, phase 3 trial. Lancet. 2020;395(10240):1835-1844. doi:10.1016/S0140-6736(20)30934-X PMID 32534646</w:t>
      </w:r>
    </w:p>
    <w:p w14:paraId="6993F0A0" w14:textId="77777777" w:rsidR="001506C1" w:rsidRPr="00FA3F9C" w:rsidRDefault="001506C1" w:rsidP="00872A9A">
      <w:pPr>
        <w:pStyle w:val="ListParagraph"/>
        <w:spacing w:after="0"/>
        <w:rPr>
          <w:rFonts w:ascii="Arial" w:hAnsi="Arial" w:cs="Arial"/>
          <w:sz w:val="24"/>
          <w:szCs w:val="24"/>
        </w:rPr>
      </w:pPr>
    </w:p>
    <w:tbl>
      <w:tblPr>
        <w:tblStyle w:val="TableGrid"/>
        <w:tblW w:w="0" w:type="auto"/>
        <w:tblLook w:val="04A0" w:firstRow="1" w:lastRow="0" w:firstColumn="1" w:lastColumn="0" w:noHBand="0" w:noVBand="1"/>
      </w:tblPr>
      <w:tblGrid>
        <w:gridCol w:w="8928"/>
        <w:gridCol w:w="2088"/>
      </w:tblGrid>
      <w:tr w:rsidR="001506C1" w:rsidRPr="00FA3F9C" w14:paraId="046603A9" w14:textId="77777777" w:rsidTr="00571CAB">
        <w:tc>
          <w:tcPr>
            <w:tcW w:w="8928" w:type="dxa"/>
            <w:shd w:val="clear" w:color="auto" w:fill="000000"/>
          </w:tcPr>
          <w:p w14:paraId="6B83169E" w14:textId="77777777" w:rsidR="001506C1" w:rsidRPr="00FA3F9C" w:rsidRDefault="001506C1"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88" w:type="dxa"/>
            <w:shd w:val="clear" w:color="auto" w:fill="000000"/>
          </w:tcPr>
          <w:p w14:paraId="1F07AC34" w14:textId="77777777" w:rsidR="001506C1" w:rsidRPr="00FA3F9C" w:rsidRDefault="001506C1" w:rsidP="006F623F">
            <w:pPr>
              <w:jc w:val="center"/>
              <w:rPr>
                <w:rFonts w:ascii="Arial" w:hAnsi="Arial" w:cs="Arial"/>
                <w:b/>
                <w:sz w:val="24"/>
                <w:szCs w:val="24"/>
                <w:u w:val="single"/>
              </w:rPr>
            </w:pPr>
          </w:p>
        </w:tc>
      </w:tr>
      <w:tr w:rsidR="001506C1" w:rsidRPr="00FA3F9C" w14:paraId="1FFAD11F" w14:textId="77777777" w:rsidTr="00CD3FF4">
        <w:tc>
          <w:tcPr>
            <w:tcW w:w="11016" w:type="dxa"/>
            <w:gridSpan w:val="2"/>
          </w:tcPr>
          <w:p w14:paraId="58A729C8" w14:textId="77777777" w:rsidR="001506C1" w:rsidRPr="00FA3F9C" w:rsidRDefault="001506C1" w:rsidP="002577DB">
            <w:pPr>
              <w:rPr>
                <w:rFonts w:ascii="Arial" w:hAnsi="Arial" w:cs="Arial"/>
                <w:sz w:val="24"/>
                <w:szCs w:val="24"/>
              </w:rPr>
            </w:pPr>
            <w:r w:rsidRPr="00FA3F9C">
              <w:rPr>
                <w:rFonts w:ascii="Arial" w:hAnsi="Arial" w:cs="Arial"/>
                <w:sz w:val="24"/>
                <w:szCs w:val="24"/>
              </w:rPr>
              <w:t>1.  The patient must have the diagnosis of histologically confirmed unresectable or metastatic melanoma.</w:t>
            </w:r>
          </w:p>
        </w:tc>
      </w:tr>
      <w:tr w:rsidR="001506C1" w:rsidRPr="00FA3F9C" w14:paraId="3FF9D932" w14:textId="77777777" w:rsidTr="00CD3FF4">
        <w:tc>
          <w:tcPr>
            <w:tcW w:w="11016" w:type="dxa"/>
            <w:gridSpan w:val="2"/>
          </w:tcPr>
          <w:p w14:paraId="74356894" w14:textId="77777777" w:rsidR="001506C1" w:rsidRPr="00FA3F9C" w:rsidRDefault="001506C1" w:rsidP="00A563E5">
            <w:pPr>
              <w:rPr>
                <w:rFonts w:ascii="Arial" w:hAnsi="Arial" w:cs="Arial"/>
                <w:sz w:val="24"/>
                <w:szCs w:val="24"/>
              </w:rPr>
            </w:pPr>
            <w:r w:rsidRPr="00FA3F9C">
              <w:rPr>
                <w:rFonts w:ascii="Arial" w:hAnsi="Arial" w:cs="Arial"/>
                <w:sz w:val="24"/>
                <w:szCs w:val="24"/>
              </w:rPr>
              <w:t>2.  The tumor must have a BRAF V600 mutation</w:t>
            </w:r>
          </w:p>
        </w:tc>
      </w:tr>
      <w:tr w:rsidR="001506C1" w:rsidRPr="00FA3F9C" w14:paraId="0E1ACE74" w14:textId="77777777" w:rsidTr="00CD3FF4">
        <w:tc>
          <w:tcPr>
            <w:tcW w:w="11016" w:type="dxa"/>
            <w:gridSpan w:val="2"/>
          </w:tcPr>
          <w:p w14:paraId="6F0E2E80" w14:textId="77777777" w:rsidR="001506C1" w:rsidRPr="00FA3F9C" w:rsidRDefault="001506C1" w:rsidP="006F623F">
            <w:pPr>
              <w:rPr>
                <w:rFonts w:ascii="Arial" w:hAnsi="Arial" w:cs="Arial"/>
                <w:sz w:val="24"/>
                <w:szCs w:val="24"/>
              </w:rPr>
            </w:pPr>
            <w:r w:rsidRPr="00FA3F9C">
              <w:rPr>
                <w:rFonts w:ascii="Arial" w:hAnsi="Arial" w:cs="Arial"/>
                <w:sz w:val="24"/>
                <w:szCs w:val="24"/>
              </w:rPr>
              <w:t>3.  The patient must be ECOG 0-1 at first request.</w:t>
            </w:r>
          </w:p>
        </w:tc>
      </w:tr>
      <w:tr w:rsidR="001506C1" w:rsidRPr="00FA3F9C" w14:paraId="7A6BE86A" w14:textId="77777777" w:rsidTr="00CD3FF4">
        <w:tc>
          <w:tcPr>
            <w:tcW w:w="11016" w:type="dxa"/>
            <w:gridSpan w:val="2"/>
          </w:tcPr>
          <w:p w14:paraId="356EE5A0" w14:textId="77777777" w:rsidR="001506C1" w:rsidRPr="00FA3F9C" w:rsidRDefault="001506C1" w:rsidP="00A563E5">
            <w:pPr>
              <w:tabs>
                <w:tab w:val="left" w:pos="8760"/>
              </w:tabs>
              <w:rPr>
                <w:rFonts w:ascii="Arial" w:hAnsi="Arial" w:cs="Arial"/>
                <w:sz w:val="24"/>
                <w:szCs w:val="24"/>
              </w:rPr>
            </w:pPr>
            <w:r w:rsidRPr="00FA3F9C">
              <w:rPr>
                <w:rFonts w:ascii="Arial" w:hAnsi="Arial" w:cs="Arial"/>
                <w:sz w:val="24"/>
                <w:szCs w:val="24"/>
              </w:rPr>
              <w:t xml:space="preserve">4.  The patient must receive vemurafenib concurrently with </w:t>
            </w:r>
            <w:proofErr w:type="spellStart"/>
            <w:r w:rsidRPr="00FA3F9C">
              <w:rPr>
                <w:rFonts w:ascii="Arial" w:hAnsi="Arial" w:cs="Arial"/>
                <w:sz w:val="24"/>
                <w:szCs w:val="24"/>
              </w:rPr>
              <w:t>cobimetinib</w:t>
            </w:r>
            <w:proofErr w:type="spellEnd"/>
            <w:r w:rsidRPr="00FA3F9C">
              <w:rPr>
                <w:rFonts w:ascii="Arial" w:hAnsi="Arial" w:cs="Arial"/>
                <w:sz w:val="24"/>
                <w:szCs w:val="24"/>
              </w:rPr>
              <w:t>.</w:t>
            </w:r>
          </w:p>
        </w:tc>
      </w:tr>
      <w:tr w:rsidR="001506C1" w:rsidRPr="00FA3F9C" w14:paraId="1CCC358B" w14:textId="77777777" w:rsidTr="00CD3FF4">
        <w:tc>
          <w:tcPr>
            <w:tcW w:w="11016" w:type="dxa"/>
            <w:gridSpan w:val="2"/>
          </w:tcPr>
          <w:p w14:paraId="18C01AAE" w14:textId="77777777" w:rsidR="001506C1" w:rsidRPr="00FA3F9C" w:rsidRDefault="001506C1" w:rsidP="00CD3FF4">
            <w:pPr>
              <w:tabs>
                <w:tab w:val="left" w:pos="8760"/>
              </w:tabs>
              <w:rPr>
                <w:rFonts w:ascii="Arial" w:hAnsi="Arial" w:cs="Arial"/>
                <w:sz w:val="24"/>
                <w:szCs w:val="24"/>
              </w:rPr>
            </w:pPr>
            <w:r w:rsidRPr="00FA3F9C">
              <w:rPr>
                <w:rFonts w:ascii="Arial" w:hAnsi="Arial" w:cs="Arial"/>
                <w:sz w:val="24"/>
                <w:szCs w:val="24"/>
              </w:rPr>
              <w:t xml:space="preserve">5.  This combination therapy must be first line. No previous treatment for melanoma is allowed prior to access to </w:t>
            </w:r>
            <w:proofErr w:type="spellStart"/>
            <w:r w:rsidRPr="00FA3F9C">
              <w:rPr>
                <w:rFonts w:ascii="Arial" w:hAnsi="Arial" w:cs="Arial"/>
                <w:sz w:val="24"/>
                <w:szCs w:val="24"/>
              </w:rPr>
              <w:t>cobimetinib</w:t>
            </w:r>
            <w:proofErr w:type="spellEnd"/>
            <w:r w:rsidRPr="00FA3F9C">
              <w:rPr>
                <w:rFonts w:ascii="Arial" w:hAnsi="Arial" w:cs="Arial"/>
                <w:sz w:val="24"/>
                <w:szCs w:val="24"/>
              </w:rPr>
              <w:t>/vemurafenib.</w:t>
            </w:r>
          </w:p>
        </w:tc>
      </w:tr>
      <w:tr w:rsidR="001506C1" w:rsidRPr="00FA3F9C" w14:paraId="5BC99FA7" w14:textId="77777777" w:rsidTr="00CD3FF4">
        <w:tc>
          <w:tcPr>
            <w:tcW w:w="11016" w:type="dxa"/>
            <w:gridSpan w:val="2"/>
          </w:tcPr>
          <w:p w14:paraId="612ECF0A" w14:textId="77777777" w:rsidR="001506C1" w:rsidRPr="00FA3F9C" w:rsidRDefault="001506C1" w:rsidP="00CD3FF4">
            <w:pPr>
              <w:tabs>
                <w:tab w:val="left" w:pos="8760"/>
              </w:tabs>
              <w:rPr>
                <w:rFonts w:ascii="Arial" w:hAnsi="Arial" w:cs="Arial"/>
                <w:b/>
                <w:sz w:val="24"/>
                <w:szCs w:val="24"/>
              </w:rPr>
            </w:pPr>
            <w:r w:rsidRPr="00FA3F9C">
              <w:rPr>
                <w:rFonts w:ascii="Arial" w:hAnsi="Arial" w:cs="Arial"/>
                <w:b/>
                <w:sz w:val="24"/>
                <w:szCs w:val="24"/>
              </w:rPr>
              <w:t>If the patient meets ALL criteria above, PA is good for 12 months.</w:t>
            </w:r>
          </w:p>
        </w:tc>
      </w:tr>
      <w:tr w:rsidR="001506C1" w:rsidRPr="00FA3F9C" w14:paraId="257A10E4" w14:textId="77777777" w:rsidTr="00CD3FF4">
        <w:tc>
          <w:tcPr>
            <w:tcW w:w="11016" w:type="dxa"/>
            <w:gridSpan w:val="2"/>
          </w:tcPr>
          <w:p w14:paraId="60FEAE85" w14:textId="77777777" w:rsidR="001506C1" w:rsidRPr="00FA3F9C" w:rsidRDefault="001506C1" w:rsidP="00012AA6">
            <w:pPr>
              <w:tabs>
                <w:tab w:val="left" w:pos="8760"/>
              </w:tabs>
              <w:rPr>
                <w:rFonts w:ascii="Arial" w:hAnsi="Arial" w:cs="Arial"/>
                <w:sz w:val="24"/>
                <w:szCs w:val="24"/>
              </w:rPr>
            </w:pPr>
            <w:r w:rsidRPr="00FA3F9C">
              <w:rPr>
                <w:rFonts w:ascii="Arial" w:hAnsi="Arial" w:cs="Arial"/>
                <w:b/>
                <w:sz w:val="24"/>
                <w:szCs w:val="24"/>
              </w:rPr>
              <w:t xml:space="preserve">QL: #63/28 days </w:t>
            </w:r>
          </w:p>
        </w:tc>
      </w:tr>
    </w:tbl>
    <w:p w14:paraId="56E6B5DF" w14:textId="77777777" w:rsidR="001506C1" w:rsidRPr="00FA3F9C" w:rsidRDefault="001506C1" w:rsidP="006F623F">
      <w:pPr>
        <w:spacing w:after="0"/>
        <w:rPr>
          <w:rFonts w:ascii="Arial" w:hAnsi="Arial" w:cs="Arial"/>
          <w:b/>
          <w:sz w:val="24"/>
          <w:szCs w:val="24"/>
          <w:u w:val="single"/>
        </w:rPr>
      </w:pPr>
    </w:p>
    <w:p w14:paraId="6BDC0AF2" w14:textId="77777777" w:rsidR="001506C1" w:rsidRPr="00FA3F9C" w:rsidRDefault="001506C1" w:rsidP="006F623F">
      <w:pPr>
        <w:spacing w:after="0"/>
        <w:rPr>
          <w:rFonts w:ascii="Arial" w:hAnsi="Arial" w:cs="Arial"/>
          <w:b/>
          <w:sz w:val="24"/>
          <w:szCs w:val="24"/>
          <w:u w:val="single"/>
        </w:rPr>
      </w:pPr>
    </w:p>
    <w:tbl>
      <w:tblPr>
        <w:tblStyle w:val="TableGrid"/>
        <w:tblW w:w="0" w:type="auto"/>
        <w:shd w:val="clear" w:color="auto" w:fill="BFBFBF" w:themeFill="background1" w:themeFillShade="BF"/>
        <w:tblLook w:val="04A0" w:firstRow="1" w:lastRow="0" w:firstColumn="1" w:lastColumn="0" w:noHBand="0" w:noVBand="1"/>
      </w:tblPr>
      <w:tblGrid>
        <w:gridCol w:w="10998"/>
      </w:tblGrid>
      <w:tr w:rsidR="001506C1" w:rsidRPr="00FA3F9C" w14:paraId="65F11381" w14:textId="77777777" w:rsidTr="00D82B6E">
        <w:tc>
          <w:tcPr>
            <w:tcW w:w="10998" w:type="dxa"/>
            <w:shd w:val="clear" w:color="auto" w:fill="BFBFBF" w:themeFill="background1" w:themeFillShade="BF"/>
          </w:tcPr>
          <w:p w14:paraId="739CC512" w14:textId="77777777" w:rsidR="001506C1" w:rsidRPr="00FA3F9C" w:rsidRDefault="001506C1" w:rsidP="004A537F">
            <w:pPr>
              <w:rPr>
                <w:rFonts w:ascii="Arial" w:hAnsi="Arial" w:cs="Arial"/>
                <w:sz w:val="24"/>
                <w:szCs w:val="24"/>
                <w:u w:val="single"/>
              </w:rPr>
            </w:pPr>
            <w:r w:rsidRPr="00FA3F9C">
              <w:rPr>
                <w:rFonts w:ascii="Arial" w:hAnsi="Arial" w:cs="Arial"/>
                <w:sz w:val="24"/>
                <w:szCs w:val="24"/>
                <w:u w:val="single"/>
              </w:rPr>
              <w:t>Evidence:</w:t>
            </w:r>
          </w:p>
          <w:p w14:paraId="604137C0" w14:textId="77777777" w:rsidR="001506C1" w:rsidRPr="00FA3F9C" w:rsidRDefault="001506C1" w:rsidP="004A537F">
            <w:pPr>
              <w:rPr>
                <w:rFonts w:ascii="Arial" w:hAnsi="Arial" w:cs="Arial"/>
                <w:sz w:val="24"/>
                <w:szCs w:val="24"/>
              </w:rPr>
            </w:pPr>
            <w:proofErr w:type="spellStart"/>
            <w:r w:rsidRPr="00FA3F9C">
              <w:rPr>
                <w:rFonts w:ascii="Arial" w:hAnsi="Arial" w:cs="Arial"/>
                <w:sz w:val="24"/>
                <w:szCs w:val="24"/>
              </w:rPr>
              <w:t>Cobimetinib</w:t>
            </w:r>
            <w:proofErr w:type="spellEnd"/>
            <w:r w:rsidRPr="00FA3F9C">
              <w:rPr>
                <w:rFonts w:ascii="Arial" w:hAnsi="Arial" w:cs="Arial"/>
                <w:sz w:val="24"/>
                <w:szCs w:val="24"/>
              </w:rPr>
              <w:t xml:space="preserve"> + vemurafenib versus placebo + vemurafenib was studied in patients with BRAF V600 mutation-positive unresectable or metastatic melanoma. Overall survival was improved in the </w:t>
            </w:r>
            <w:proofErr w:type="spellStart"/>
            <w:r w:rsidRPr="00FA3F9C">
              <w:rPr>
                <w:rFonts w:ascii="Arial" w:hAnsi="Arial" w:cs="Arial"/>
                <w:sz w:val="24"/>
                <w:szCs w:val="24"/>
              </w:rPr>
              <w:t>cobimetinib+vemurafenib</w:t>
            </w:r>
            <w:proofErr w:type="spellEnd"/>
            <w:r w:rsidRPr="00FA3F9C">
              <w:rPr>
                <w:rFonts w:ascii="Arial" w:hAnsi="Arial" w:cs="Arial"/>
                <w:sz w:val="24"/>
                <w:szCs w:val="24"/>
              </w:rPr>
              <w:t xml:space="preserve"> group with median overall survival improvement of 4.9 months (22.3 </w:t>
            </w:r>
            <w:proofErr w:type="spellStart"/>
            <w:r w:rsidRPr="00FA3F9C">
              <w:rPr>
                <w:rFonts w:ascii="Arial" w:hAnsi="Arial" w:cs="Arial"/>
                <w:sz w:val="24"/>
                <w:szCs w:val="24"/>
              </w:rPr>
              <w:t>mo</w:t>
            </w:r>
            <w:proofErr w:type="spellEnd"/>
            <w:r w:rsidRPr="00FA3F9C">
              <w:rPr>
                <w:rFonts w:ascii="Arial" w:hAnsi="Arial" w:cs="Arial"/>
                <w:sz w:val="24"/>
                <w:szCs w:val="24"/>
              </w:rPr>
              <w:t xml:space="preserve"> versus 17.4 </w:t>
            </w:r>
            <w:proofErr w:type="spellStart"/>
            <w:r w:rsidRPr="00FA3F9C">
              <w:rPr>
                <w:rFonts w:ascii="Arial" w:hAnsi="Arial" w:cs="Arial"/>
                <w:sz w:val="24"/>
                <w:szCs w:val="24"/>
              </w:rPr>
              <w:t>mo</w:t>
            </w:r>
            <w:proofErr w:type="spellEnd"/>
            <w:r w:rsidRPr="00FA3F9C">
              <w:rPr>
                <w:rFonts w:ascii="Arial" w:hAnsi="Arial" w:cs="Arial"/>
                <w:sz w:val="24"/>
                <w:szCs w:val="24"/>
              </w:rPr>
              <w:t>). Response rate and PFS were also improved. Quality of life analysis showed similar scores between groups.</w:t>
            </w:r>
            <w:r w:rsidRPr="00FA3F9C">
              <w:rPr>
                <w:rFonts w:ascii="Arial" w:hAnsi="Arial" w:cs="Arial"/>
                <w:sz w:val="24"/>
                <w:szCs w:val="24"/>
                <w:vertAlign w:val="superscript"/>
              </w:rPr>
              <w:t>1,2</w:t>
            </w:r>
          </w:p>
          <w:p w14:paraId="4104B676" w14:textId="77777777" w:rsidR="001506C1" w:rsidRPr="00FA3F9C" w:rsidRDefault="001506C1" w:rsidP="004A537F">
            <w:pPr>
              <w:rPr>
                <w:rFonts w:ascii="Arial" w:hAnsi="Arial" w:cs="Arial"/>
                <w:sz w:val="24"/>
                <w:szCs w:val="24"/>
              </w:rPr>
            </w:pPr>
          </w:p>
          <w:p w14:paraId="6CD8B46A" w14:textId="77777777" w:rsidR="001506C1" w:rsidRPr="00FA3F9C" w:rsidRDefault="001506C1" w:rsidP="004A537F">
            <w:pPr>
              <w:rPr>
                <w:rFonts w:ascii="Arial" w:hAnsi="Arial" w:cs="Arial"/>
                <w:sz w:val="24"/>
                <w:szCs w:val="24"/>
              </w:rPr>
            </w:pPr>
            <w:r w:rsidRPr="00FA3F9C">
              <w:rPr>
                <w:rFonts w:ascii="Arial" w:hAnsi="Arial" w:cs="Arial"/>
                <w:sz w:val="24"/>
                <w:szCs w:val="24"/>
              </w:rPr>
              <w:t xml:space="preserve">Note: </w:t>
            </w:r>
            <w:proofErr w:type="spellStart"/>
            <w:r w:rsidRPr="00FA3F9C">
              <w:rPr>
                <w:rFonts w:ascii="Arial" w:hAnsi="Arial" w:cs="Arial"/>
                <w:sz w:val="24"/>
                <w:szCs w:val="24"/>
              </w:rPr>
              <w:t>Cobimetinib</w:t>
            </w:r>
            <w:proofErr w:type="spellEnd"/>
            <w:r w:rsidRPr="00FA3F9C">
              <w:rPr>
                <w:rFonts w:ascii="Arial" w:hAnsi="Arial" w:cs="Arial"/>
                <w:sz w:val="24"/>
                <w:szCs w:val="24"/>
              </w:rPr>
              <w:t xml:space="preserve"> dose is 60mg PO daily days 1-21 out of each 28-day cycle until disease progression or unacceptable toxicity, concurrently with vemurafenib which is taken 960mg PO BID.</w:t>
            </w:r>
          </w:p>
          <w:p w14:paraId="508E47C2" w14:textId="77777777" w:rsidR="001506C1" w:rsidRPr="00FA3F9C" w:rsidRDefault="001506C1" w:rsidP="004A537F">
            <w:pPr>
              <w:rPr>
                <w:rFonts w:ascii="Arial" w:hAnsi="Arial" w:cs="Arial"/>
                <w:sz w:val="24"/>
                <w:szCs w:val="24"/>
              </w:rPr>
            </w:pPr>
          </w:p>
          <w:p w14:paraId="7D63C40D" w14:textId="77777777" w:rsidR="001506C1" w:rsidRPr="00FA3F9C" w:rsidRDefault="001506C1" w:rsidP="00B9593A">
            <w:pPr>
              <w:rPr>
                <w:rFonts w:ascii="Arial" w:hAnsi="Arial" w:cs="Arial"/>
                <w:b/>
                <w:sz w:val="24"/>
                <w:szCs w:val="24"/>
                <w:u w:val="single"/>
              </w:rPr>
            </w:pPr>
            <w:r w:rsidRPr="00FA3F9C">
              <w:rPr>
                <w:rFonts w:ascii="Arial" w:hAnsi="Arial" w:cs="Arial"/>
                <w:b/>
                <w:sz w:val="24"/>
                <w:szCs w:val="24"/>
                <w:u w:val="single"/>
              </w:rPr>
              <w:t>References:</w:t>
            </w:r>
          </w:p>
          <w:p w14:paraId="77651A1C" w14:textId="77777777" w:rsidR="001506C1" w:rsidRPr="00FA3F9C" w:rsidRDefault="001506C1" w:rsidP="001506C1">
            <w:pPr>
              <w:pStyle w:val="ListParagraph"/>
              <w:numPr>
                <w:ilvl w:val="0"/>
                <w:numId w:val="98"/>
              </w:numPr>
              <w:ind w:left="270" w:hanging="180"/>
              <w:rPr>
                <w:rFonts w:ascii="Arial" w:hAnsi="Arial" w:cs="Arial"/>
                <w:sz w:val="24"/>
                <w:szCs w:val="24"/>
              </w:rPr>
            </w:pPr>
            <w:r w:rsidRPr="00FA3F9C">
              <w:rPr>
                <w:rFonts w:ascii="Arial" w:hAnsi="Arial" w:cs="Arial"/>
                <w:sz w:val="24"/>
                <w:szCs w:val="24"/>
              </w:rPr>
              <w:t xml:space="preserve">Larkin J, </w:t>
            </w:r>
            <w:proofErr w:type="spellStart"/>
            <w:r w:rsidRPr="00FA3F9C">
              <w:rPr>
                <w:rFonts w:ascii="Arial" w:hAnsi="Arial" w:cs="Arial"/>
                <w:sz w:val="24"/>
                <w:szCs w:val="24"/>
              </w:rPr>
              <w:t>Ascerto</w:t>
            </w:r>
            <w:proofErr w:type="spellEnd"/>
            <w:r w:rsidRPr="00FA3F9C">
              <w:rPr>
                <w:rFonts w:ascii="Arial" w:hAnsi="Arial" w:cs="Arial"/>
                <w:sz w:val="24"/>
                <w:szCs w:val="24"/>
              </w:rPr>
              <w:t xml:space="preserve"> P, et al.  Combined vemurafenib and </w:t>
            </w:r>
            <w:proofErr w:type="spellStart"/>
            <w:r w:rsidRPr="00FA3F9C">
              <w:rPr>
                <w:rFonts w:ascii="Arial" w:hAnsi="Arial" w:cs="Arial"/>
                <w:sz w:val="24"/>
                <w:szCs w:val="24"/>
              </w:rPr>
              <w:t>cobimetinib</w:t>
            </w:r>
            <w:proofErr w:type="spellEnd"/>
            <w:r w:rsidRPr="00FA3F9C">
              <w:rPr>
                <w:rFonts w:ascii="Arial" w:hAnsi="Arial" w:cs="Arial"/>
                <w:sz w:val="24"/>
                <w:szCs w:val="24"/>
              </w:rPr>
              <w:t xml:space="preserve"> in BRAF-mutated melanoma.  N </w:t>
            </w:r>
            <w:proofErr w:type="spellStart"/>
            <w:r w:rsidRPr="00FA3F9C">
              <w:rPr>
                <w:rFonts w:ascii="Arial" w:hAnsi="Arial" w:cs="Arial"/>
                <w:sz w:val="24"/>
                <w:szCs w:val="24"/>
              </w:rPr>
              <w:t>Engl</w:t>
            </w:r>
            <w:proofErr w:type="spellEnd"/>
            <w:r w:rsidRPr="00FA3F9C">
              <w:rPr>
                <w:rFonts w:ascii="Arial" w:hAnsi="Arial" w:cs="Arial"/>
                <w:sz w:val="24"/>
                <w:szCs w:val="24"/>
              </w:rPr>
              <w:t xml:space="preserve"> J Med. 2014;371(20):1867-76. NCT01689519 PMID 25265494</w:t>
            </w:r>
          </w:p>
          <w:p w14:paraId="7CA799E1" w14:textId="77777777" w:rsidR="001506C1" w:rsidRPr="00FA3F9C" w:rsidRDefault="00500371" w:rsidP="001506C1">
            <w:pPr>
              <w:pStyle w:val="ListParagraph"/>
              <w:numPr>
                <w:ilvl w:val="0"/>
                <w:numId w:val="98"/>
              </w:numPr>
              <w:ind w:left="270" w:hanging="180"/>
              <w:rPr>
                <w:rFonts w:ascii="Arial" w:hAnsi="Arial" w:cs="Arial"/>
                <w:sz w:val="24"/>
                <w:szCs w:val="24"/>
              </w:rPr>
            </w:pPr>
            <w:hyperlink r:id="rId92" w:history="1">
              <w:proofErr w:type="spellStart"/>
              <w:r w:rsidR="001506C1" w:rsidRPr="00FA3F9C">
                <w:rPr>
                  <w:rStyle w:val="Hyperlink"/>
                  <w:rFonts w:ascii="Arial" w:hAnsi="Arial" w:cs="Arial"/>
                  <w:sz w:val="24"/>
                  <w:szCs w:val="24"/>
                </w:rPr>
                <w:t>Ascierto</w:t>
              </w:r>
              <w:proofErr w:type="spellEnd"/>
              <w:r w:rsidR="001506C1" w:rsidRPr="00FA3F9C">
                <w:rPr>
                  <w:rStyle w:val="Hyperlink"/>
                  <w:rFonts w:ascii="Arial" w:hAnsi="Arial" w:cs="Arial"/>
                  <w:sz w:val="24"/>
                  <w:szCs w:val="24"/>
                </w:rPr>
                <w:t xml:space="preserve"> PA</w:t>
              </w:r>
            </w:hyperlink>
            <w:r w:rsidR="001506C1" w:rsidRPr="00FA3F9C">
              <w:rPr>
                <w:rFonts w:ascii="Arial" w:hAnsi="Arial" w:cs="Arial"/>
                <w:sz w:val="24"/>
                <w:szCs w:val="24"/>
              </w:rPr>
              <w:t xml:space="preserve"> et al. </w:t>
            </w:r>
            <w:proofErr w:type="spellStart"/>
            <w:r w:rsidR="001506C1" w:rsidRPr="00FA3F9C">
              <w:rPr>
                <w:rStyle w:val="highlight"/>
                <w:rFonts w:ascii="Arial" w:hAnsi="Arial" w:cs="Arial"/>
                <w:sz w:val="24"/>
                <w:szCs w:val="24"/>
              </w:rPr>
              <w:t>Cobimetinib</w:t>
            </w:r>
            <w:proofErr w:type="spellEnd"/>
            <w:r w:rsidR="001506C1" w:rsidRPr="00FA3F9C">
              <w:rPr>
                <w:rFonts w:ascii="Arial" w:hAnsi="Arial" w:cs="Arial"/>
                <w:sz w:val="24"/>
                <w:szCs w:val="24"/>
              </w:rPr>
              <w:t xml:space="preserve"> combined with vemurafenib in advanced BRAF(V600)-mutant melanoma (</w:t>
            </w:r>
            <w:proofErr w:type="spellStart"/>
            <w:r w:rsidR="001506C1" w:rsidRPr="00FA3F9C">
              <w:rPr>
                <w:rFonts w:ascii="Arial" w:hAnsi="Arial" w:cs="Arial"/>
                <w:sz w:val="24"/>
                <w:szCs w:val="24"/>
              </w:rPr>
              <w:t>coBRIM</w:t>
            </w:r>
            <w:proofErr w:type="spellEnd"/>
            <w:r w:rsidR="001506C1" w:rsidRPr="00FA3F9C">
              <w:rPr>
                <w:rFonts w:ascii="Arial" w:hAnsi="Arial" w:cs="Arial"/>
                <w:sz w:val="24"/>
                <w:szCs w:val="24"/>
              </w:rPr>
              <w:t xml:space="preserve">): updated efficacy results from a </w:t>
            </w:r>
            <w:proofErr w:type="spellStart"/>
            <w:r w:rsidR="001506C1" w:rsidRPr="00FA3F9C">
              <w:rPr>
                <w:rFonts w:ascii="Arial" w:hAnsi="Arial" w:cs="Arial"/>
                <w:sz w:val="24"/>
                <w:szCs w:val="24"/>
              </w:rPr>
              <w:t>randomised</w:t>
            </w:r>
            <w:proofErr w:type="spellEnd"/>
            <w:r w:rsidR="001506C1" w:rsidRPr="00FA3F9C">
              <w:rPr>
                <w:rFonts w:ascii="Arial" w:hAnsi="Arial" w:cs="Arial"/>
                <w:sz w:val="24"/>
                <w:szCs w:val="24"/>
              </w:rPr>
              <w:t xml:space="preserve">, double-blind, phase 3 trial. </w:t>
            </w:r>
            <w:hyperlink r:id="rId93" w:tooltip="The Lancet. Oncology." w:history="1">
              <w:r w:rsidR="001506C1" w:rsidRPr="00FA3F9C">
                <w:rPr>
                  <w:rStyle w:val="Hyperlink"/>
                  <w:rFonts w:ascii="Arial" w:hAnsi="Arial" w:cs="Arial"/>
                  <w:sz w:val="24"/>
                  <w:szCs w:val="24"/>
                </w:rPr>
                <w:t>Lancet Oncol.</w:t>
              </w:r>
            </w:hyperlink>
            <w:r w:rsidR="001506C1" w:rsidRPr="00FA3F9C">
              <w:rPr>
                <w:rFonts w:ascii="Arial" w:hAnsi="Arial" w:cs="Arial"/>
                <w:sz w:val="24"/>
                <w:szCs w:val="24"/>
              </w:rPr>
              <w:t xml:space="preserve"> 2016 Sep;17(9):1248-60. NCT01689519 PMID 27480103</w:t>
            </w:r>
          </w:p>
          <w:p w14:paraId="44C75ABA" w14:textId="77777777" w:rsidR="001506C1" w:rsidRPr="00FA3F9C" w:rsidRDefault="001506C1" w:rsidP="00B126B0">
            <w:pPr>
              <w:ind w:left="90"/>
              <w:rPr>
                <w:rFonts w:ascii="Arial" w:hAnsi="Arial" w:cs="Arial"/>
                <w:sz w:val="24"/>
                <w:szCs w:val="24"/>
              </w:rPr>
            </w:pPr>
            <w:r w:rsidRPr="00FA3F9C">
              <w:rPr>
                <w:rFonts w:ascii="Arial" w:hAnsi="Arial" w:cs="Arial"/>
                <w:sz w:val="24"/>
                <w:szCs w:val="24"/>
              </w:rPr>
              <w:t xml:space="preserve">3. </w:t>
            </w:r>
            <w:hyperlink r:id="rId94" w:history="1">
              <w:r w:rsidRPr="00FA3F9C">
                <w:rPr>
                  <w:rStyle w:val="Hyperlink"/>
                  <w:rFonts w:ascii="Arial" w:hAnsi="Arial" w:cs="Arial"/>
                  <w:sz w:val="24"/>
                  <w:szCs w:val="24"/>
                </w:rPr>
                <w:t>http://www.roche.com/media/store/releases/med-cor-2015-11-23.htm</w:t>
              </w:r>
            </w:hyperlink>
            <w:r w:rsidRPr="00FA3F9C">
              <w:rPr>
                <w:rFonts w:ascii="Arial" w:hAnsi="Arial" w:cs="Arial"/>
                <w:sz w:val="24"/>
                <w:szCs w:val="24"/>
              </w:rPr>
              <w:t xml:space="preserve">  Accessed 12/16/15.  Atkinson V. Larkin J, McArthur GA, et al.  Improved OS with </w:t>
            </w:r>
            <w:proofErr w:type="spellStart"/>
            <w:r w:rsidRPr="00FA3F9C">
              <w:rPr>
                <w:rFonts w:ascii="Arial" w:hAnsi="Arial" w:cs="Arial"/>
                <w:sz w:val="24"/>
                <w:szCs w:val="24"/>
              </w:rPr>
              <w:t>cobimetinib</w:t>
            </w:r>
            <w:proofErr w:type="spellEnd"/>
            <w:r w:rsidRPr="00FA3F9C">
              <w:rPr>
                <w:rFonts w:ascii="Arial" w:hAnsi="Arial" w:cs="Arial"/>
                <w:sz w:val="24"/>
                <w:szCs w:val="24"/>
              </w:rPr>
              <w:t xml:space="preserve"> and vemurafenib in advanced BRAFV600-mutated melanoma and biomarker correlates of efficacy.  Abstract presented at the 12</w:t>
            </w:r>
            <w:r w:rsidRPr="00FA3F9C">
              <w:rPr>
                <w:rFonts w:ascii="Arial" w:hAnsi="Arial" w:cs="Arial"/>
                <w:sz w:val="24"/>
                <w:szCs w:val="24"/>
                <w:vertAlign w:val="superscript"/>
              </w:rPr>
              <w:t>th</w:t>
            </w:r>
            <w:r w:rsidRPr="00FA3F9C">
              <w:rPr>
                <w:rFonts w:ascii="Arial" w:hAnsi="Arial" w:cs="Arial"/>
                <w:sz w:val="24"/>
                <w:szCs w:val="24"/>
              </w:rPr>
              <w:t xml:space="preserve"> International Congress of the Society of Melanoma Research in San Francisco, CA, 21 Nov 2015.</w:t>
            </w:r>
          </w:p>
          <w:p w14:paraId="2EF07381" w14:textId="77777777" w:rsidR="001506C1" w:rsidRPr="00FA3F9C" w:rsidRDefault="001506C1" w:rsidP="00B126B0">
            <w:pPr>
              <w:ind w:left="90"/>
              <w:rPr>
                <w:rFonts w:ascii="Arial" w:hAnsi="Arial" w:cs="Arial"/>
                <w:sz w:val="24"/>
                <w:szCs w:val="24"/>
              </w:rPr>
            </w:pPr>
            <w:r w:rsidRPr="00FA3F9C">
              <w:rPr>
                <w:rFonts w:ascii="Arial" w:hAnsi="Arial" w:cs="Arial"/>
                <w:sz w:val="24"/>
                <w:szCs w:val="24"/>
              </w:rPr>
              <w:t xml:space="preserve">4.  </w:t>
            </w:r>
            <w:hyperlink r:id="rId95" w:history="1">
              <w:r w:rsidRPr="00FA3F9C">
                <w:rPr>
                  <w:rStyle w:val="Hyperlink"/>
                  <w:rFonts w:ascii="Arial" w:hAnsi="Arial" w:cs="Arial"/>
                  <w:sz w:val="24"/>
                  <w:szCs w:val="24"/>
                </w:rPr>
                <w:t>http://www.cancernetwork.com/smr-2015/cobimetinib-vemurafenib-improves-survival-braf-mutated-melanoma</w:t>
              </w:r>
            </w:hyperlink>
            <w:r w:rsidRPr="00FA3F9C">
              <w:rPr>
                <w:rFonts w:ascii="Arial" w:hAnsi="Arial" w:cs="Arial"/>
                <w:sz w:val="24"/>
                <w:szCs w:val="24"/>
              </w:rPr>
              <w:t xml:space="preserve">  Accessed 12/16/15.</w:t>
            </w:r>
          </w:p>
          <w:p w14:paraId="598BDED9" w14:textId="77777777" w:rsidR="001506C1" w:rsidRPr="00FA3F9C" w:rsidRDefault="001506C1" w:rsidP="00B126B0">
            <w:pPr>
              <w:rPr>
                <w:rFonts w:ascii="Arial" w:hAnsi="Arial" w:cs="Arial"/>
                <w:sz w:val="24"/>
                <w:szCs w:val="24"/>
              </w:rPr>
            </w:pPr>
          </w:p>
        </w:tc>
      </w:tr>
    </w:tbl>
    <w:p w14:paraId="6C86328C" w14:textId="77777777" w:rsidR="001506C1" w:rsidRPr="00FA3F9C" w:rsidRDefault="001506C1" w:rsidP="006F623F">
      <w:pPr>
        <w:spacing w:after="0"/>
        <w:rPr>
          <w:rFonts w:ascii="Arial" w:hAnsi="Arial" w:cs="Arial"/>
          <w:sz w:val="24"/>
          <w:szCs w:val="24"/>
        </w:rPr>
      </w:pPr>
    </w:p>
    <w:p w14:paraId="734E1A45" w14:textId="77777777" w:rsidR="001506C1" w:rsidRPr="00FA3F9C" w:rsidRDefault="001506C1" w:rsidP="006F623F">
      <w:pPr>
        <w:spacing w:after="0"/>
        <w:rPr>
          <w:rFonts w:ascii="Arial" w:hAnsi="Arial" w:cs="Arial"/>
          <w:sz w:val="24"/>
          <w:szCs w:val="24"/>
        </w:rPr>
      </w:pPr>
    </w:p>
    <w:p w14:paraId="1652BB2F"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418"/>
        <w:gridCol w:w="7470"/>
        <w:gridCol w:w="2538"/>
      </w:tblGrid>
      <w:tr w:rsidR="001506C1" w:rsidRPr="00FA3F9C" w14:paraId="1139499C" w14:textId="77777777" w:rsidTr="004C28FF">
        <w:tc>
          <w:tcPr>
            <w:tcW w:w="1278" w:type="dxa"/>
          </w:tcPr>
          <w:p w14:paraId="7EE3C61F" w14:textId="77777777" w:rsidR="001506C1" w:rsidRPr="00FA3F9C" w:rsidRDefault="001506C1" w:rsidP="006F623F">
            <w:pPr>
              <w:rPr>
                <w:rFonts w:ascii="Arial" w:hAnsi="Arial" w:cs="Arial"/>
                <w:sz w:val="24"/>
                <w:szCs w:val="24"/>
              </w:rPr>
            </w:pPr>
            <w:r w:rsidRPr="00FA3F9C">
              <w:rPr>
                <w:rFonts w:ascii="Arial" w:hAnsi="Arial" w:cs="Arial"/>
                <w:sz w:val="24"/>
                <w:szCs w:val="24"/>
              </w:rPr>
              <w:t>Date</w:t>
            </w:r>
          </w:p>
        </w:tc>
        <w:tc>
          <w:tcPr>
            <w:tcW w:w="7053" w:type="dxa"/>
          </w:tcPr>
          <w:p w14:paraId="0334A17B" w14:textId="77777777" w:rsidR="001506C1" w:rsidRPr="00FA3F9C" w:rsidRDefault="001506C1" w:rsidP="006F623F">
            <w:pPr>
              <w:rPr>
                <w:rFonts w:ascii="Arial" w:hAnsi="Arial" w:cs="Arial"/>
                <w:sz w:val="24"/>
                <w:szCs w:val="24"/>
              </w:rPr>
            </w:pPr>
            <w:r w:rsidRPr="00FA3F9C">
              <w:rPr>
                <w:rFonts w:ascii="Arial" w:hAnsi="Arial" w:cs="Arial"/>
                <w:sz w:val="24"/>
                <w:szCs w:val="24"/>
              </w:rPr>
              <w:t>What changed</w:t>
            </w:r>
          </w:p>
        </w:tc>
        <w:tc>
          <w:tcPr>
            <w:tcW w:w="2459" w:type="dxa"/>
          </w:tcPr>
          <w:p w14:paraId="152395DF" w14:textId="77777777" w:rsidR="001506C1" w:rsidRPr="00FA3F9C" w:rsidRDefault="001506C1" w:rsidP="006F623F">
            <w:pPr>
              <w:rPr>
                <w:rFonts w:ascii="Arial" w:hAnsi="Arial" w:cs="Arial"/>
                <w:sz w:val="24"/>
                <w:szCs w:val="24"/>
              </w:rPr>
            </w:pPr>
            <w:r w:rsidRPr="00FA3F9C">
              <w:rPr>
                <w:rFonts w:ascii="Arial" w:hAnsi="Arial" w:cs="Arial"/>
                <w:sz w:val="24"/>
                <w:szCs w:val="24"/>
              </w:rPr>
              <w:t>Pharmacist’s initials</w:t>
            </w:r>
          </w:p>
        </w:tc>
      </w:tr>
      <w:tr w:rsidR="001506C1" w:rsidRPr="00FA3F9C" w14:paraId="12122FD1" w14:textId="77777777" w:rsidTr="004C28FF">
        <w:tc>
          <w:tcPr>
            <w:tcW w:w="1278" w:type="dxa"/>
          </w:tcPr>
          <w:p w14:paraId="5DC995A0" w14:textId="77777777" w:rsidR="001506C1" w:rsidRPr="00FA3F9C" w:rsidRDefault="001506C1" w:rsidP="006F623F">
            <w:pPr>
              <w:rPr>
                <w:rFonts w:ascii="Arial" w:hAnsi="Arial" w:cs="Arial"/>
                <w:sz w:val="24"/>
                <w:szCs w:val="24"/>
              </w:rPr>
            </w:pPr>
            <w:r w:rsidRPr="00FA3F9C">
              <w:rPr>
                <w:rFonts w:ascii="Arial" w:hAnsi="Arial" w:cs="Arial"/>
                <w:sz w:val="24"/>
                <w:szCs w:val="24"/>
              </w:rPr>
              <w:t>2/2/16</w:t>
            </w:r>
          </w:p>
        </w:tc>
        <w:tc>
          <w:tcPr>
            <w:tcW w:w="7053" w:type="dxa"/>
          </w:tcPr>
          <w:p w14:paraId="197DFE8F" w14:textId="77777777" w:rsidR="001506C1" w:rsidRPr="00FA3F9C" w:rsidRDefault="001506C1" w:rsidP="006F623F">
            <w:pPr>
              <w:rPr>
                <w:rFonts w:ascii="Arial" w:hAnsi="Arial" w:cs="Arial"/>
                <w:sz w:val="24"/>
                <w:szCs w:val="24"/>
              </w:rPr>
            </w:pPr>
            <w:r w:rsidRPr="00FA3F9C">
              <w:rPr>
                <w:rFonts w:ascii="Arial" w:hAnsi="Arial" w:cs="Arial"/>
                <w:sz w:val="24"/>
                <w:szCs w:val="24"/>
              </w:rPr>
              <w:t>I wrote the criteria.</w:t>
            </w:r>
          </w:p>
        </w:tc>
        <w:tc>
          <w:tcPr>
            <w:tcW w:w="2459" w:type="dxa"/>
          </w:tcPr>
          <w:p w14:paraId="119B68DA" w14:textId="77777777" w:rsidR="001506C1" w:rsidRPr="00FA3F9C" w:rsidRDefault="001506C1" w:rsidP="006F623F">
            <w:pPr>
              <w:rPr>
                <w:rFonts w:ascii="Arial" w:hAnsi="Arial" w:cs="Arial"/>
                <w:sz w:val="24"/>
                <w:szCs w:val="24"/>
              </w:rPr>
            </w:pPr>
            <w:r w:rsidRPr="00FA3F9C">
              <w:rPr>
                <w:rFonts w:ascii="Arial" w:hAnsi="Arial" w:cs="Arial"/>
                <w:sz w:val="24"/>
                <w:szCs w:val="24"/>
              </w:rPr>
              <w:t>JJ</w:t>
            </w:r>
          </w:p>
        </w:tc>
      </w:tr>
      <w:tr w:rsidR="001506C1" w:rsidRPr="00FA3F9C" w14:paraId="22DBB824" w14:textId="77777777" w:rsidTr="00FE491B">
        <w:tc>
          <w:tcPr>
            <w:tcW w:w="1008" w:type="dxa"/>
          </w:tcPr>
          <w:p w14:paraId="5EC11660" w14:textId="77777777" w:rsidR="001506C1" w:rsidRPr="00FA3F9C" w:rsidRDefault="001506C1" w:rsidP="006F623F">
            <w:pPr>
              <w:rPr>
                <w:rFonts w:ascii="Arial" w:hAnsi="Arial" w:cs="Arial"/>
                <w:sz w:val="24"/>
                <w:szCs w:val="24"/>
              </w:rPr>
            </w:pPr>
            <w:r w:rsidRPr="00FA3F9C">
              <w:rPr>
                <w:rFonts w:ascii="Arial" w:hAnsi="Arial" w:cs="Arial"/>
                <w:sz w:val="24"/>
                <w:szCs w:val="24"/>
              </w:rPr>
              <w:t>2/13/19</w:t>
            </w:r>
          </w:p>
        </w:tc>
        <w:tc>
          <w:tcPr>
            <w:tcW w:w="7470" w:type="dxa"/>
          </w:tcPr>
          <w:p w14:paraId="30845C95" w14:textId="77777777" w:rsidR="001506C1" w:rsidRPr="00FA3F9C" w:rsidRDefault="001506C1" w:rsidP="006F623F">
            <w:pPr>
              <w:rPr>
                <w:rFonts w:ascii="Arial" w:hAnsi="Arial" w:cs="Arial"/>
                <w:sz w:val="24"/>
                <w:szCs w:val="24"/>
              </w:rPr>
            </w:pPr>
            <w:r w:rsidRPr="00FA3F9C">
              <w:rPr>
                <w:rFonts w:ascii="Arial" w:hAnsi="Arial" w:cs="Arial"/>
                <w:sz w:val="24"/>
                <w:szCs w:val="24"/>
              </w:rPr>
              <w:t>Added “or metastatic” to criteria #1 for clarity</w:t>
            </w:r>
          </w:p>
        </w:tc>
        <w:tc>
          <w:tcPr>
            <w:tcW w:w="2538" w:type="dxa"/>
          </w:tcPr>
          <w:p w14:paraId="60E095B2" w14:textId="77777777" w:rsidR="001506C1" w:rsidRPr="00FA3F9C" w:rsidRDefault="001506C1" w:rsidP="006F623F">
            <w:pPr>
              <w:rPr>
                <w:rFonts w:ascii="Arial" w:hAnsi="Arial" w:cs="Arial"/>
                <w:sz w:val="24"/>
                <w:szCs w:val="24"/>
              </w:rPr>
            </w:pPr>
            <w:proofErr w:type="spellStart"/>
            <w:r w:rsidRPr="00FA3F9C">
              <w:rPr>
                <w:rFonts w:ascii="Arial" w:hAnsi="Arial" w:cs="Arial"/>
                <w:sz w:val="24"/>
                <w:szCs w:val="24"/>
              </w:rPr>
              <w:t>Sk</w:t>
            </w:r>
            <w:proofErr w:type="spellEnd"/>
          </w:p>
        </w:tc>
      </w:tr>
      <w:tr w:rsidR="001506C1" w:rsidRPr="00FA3F9C" w14:paraId="7E27BA14" w14:textId="77777777" w:rsidTr="00FE491B">
        <w:tc>
          <w:tcPr>
            <w:tcW w:w="1008" w:type="dxa"/>
          </w:tcPr>
          <w:p w14:paraId="6233F4D3" w14:textId="77777777" w:rsidR="001506C1" w:rsidRPr="00FA3F9C" w:rsidRDefault="001506C1" w:rsidP="006F623F">
            <w:pPr>
              <w:rPr>
                <w:rFonts w:ascii="Arial" w:hAnsi="Arial" w:cs="Arial"/>
                <w:sz w:val="24"/>
                <w:szCs w:val="24"/>
              </w:rPr>
            </w:pPr>
            <w:r w:rsidRPr="00FA3F9C">
              <w:rPr>
                <w:rFonts w:ascii="Arial" w:hAnsi="Arial" w:cs="Arial"/>
                <w:sz w:val="24"/>
                <w:szCs w:val="24"/>
              </w:rPr>
              <w:t>3/12/19</w:t>
            </w:r>
          </w:p>
        </w:tc>
        <w:tc>
          <w:tcPr>
            <w:tcW w:w="7470" w:type="dxa"/>
          </w:tcPr>
          <w:p w14:paraId="7E4421E2" w14:textId="77777777" w:rsidR="001506C1" w:rsidRPr="00FA3F9C" w:rsidRDefault="001506C1" w:rsidP="002577DB">
            <w:pPr>
              <w:rPr>
                <w:rFonts w:ascii="Arial" w:hAnsi="Arial" w:cs="Arial"/>
                <w:sz w:val="24"/>
                <w:szCs w:val="24"/>
              </w:rPr>
            </w:pPr>
            <w:r w:rsidRPr="00FA3F9C">
              <w:rPr>
                <w:rFonts w:ascii="Arial" w:hAnsi="Arial" w:cs="Arial"/>
                <w:sz w:val="24"/>
                <w:szCs w:val="24"/>
              </w:rPr>
              <w:t xml:space="preserve">Reviewed. Added trial results and updated references. </w:t>
            </w:r>
          </w:p>
        </w:tc>
        <w:tc>
          <w:tcPr>
            <w:tcW w:w="2538" w:type="dxa"/>
          </w:tcPr>
          <w:p w14:paraId="16D4D623" w14:textId="77777777" w:rsidR="001506C1" w:rsidRPr="00FA3F9C" w:rsidRDefault="001506C1" w:rsidP="006F623F">
            <w:pPr>
              <w:rPr>
                <w:rFonts w:ascii="Arial" w:hAnsi="Arial" w:cs="Arial"/>
                <w:sz w:val="24"/>
                <w:szCs w:val="24"/>
              </w:rPr>
            </w:pPr>
            <w:proofErr w:type="spellStart"/>
            <w:r w:rsidRPr="00FA3F9C">
              <w:rPr>
                <w:rFonts w:ascii="Arial" w:hAnsi="Arial" w:cs="Arial"/>
                <w:sz w:val="24"/>
                <w:szCs w:val="24"/>
              </w:rPr>
              <w:t>Sk</w:t>
            </w:r>
            <w:proofErr w:type="spellEnd"/>
            <w:r w:rsidRPr="00FA3F9C">
              <w:rPr>
                <w:rFonts w:ascii="Arial" w:hAnsi="Arial" w:cs="Arial"/>
                <w:sz w:val="24"/>
                <w:szCs w:val="24"/>
              </w:rPr>
              <w:t xml:space="preserve"> </w:t>
            </w:r>
          </w:p>
        </w:tc>
      </w:tr>
      <w:tr w:rsidR="001506C1" w:rsidRPr="00FA3F9C" w14:paraId="14BABE58" w14:textId="77777777" w:rsidTr="00FE491B">
        <w:tc>
          <w:tcPr>
            <w:tcW w:w="1008" w:type="dxa"/>
          </w:tcPr>
          <w:p w14:paraId="551A8867" w14:textId="77777777" w:rsidR="001506C1" w:rsidRPr="00FA3F9C" w:rsidRDefault="001506C1" w:rsidP="006F623F">
            <w:pPr>
              <w:rPr>
                <w:rFonts w:ascii="Arial" w:hAnsi="Arial" w:cs="Arial"/>
                <w:sz w:val="24"/>
                <w:szCs w:val="24"/>
              </w:rPr>
            </w:pPr>
            <w:r w:rsidRPr="00FA3F9C">
              <w:rPr>
                <w:rFonts w:ascii="Arial" w:hAnsi="Arial" w:cs="Arial"/>
                <w:sz w:val="24"/>
                <w:szCs w:val="24"/>
              </w:rPr>
              <w:t>4/23/19</w:t>
            </w:r>
          </w:p>
        </w:tc>
        <w:tc>
          <w:tcPr>
            <w:tcW w:w="7470" w:type="dxa"/>
          </w:tcPr>
          <w:p w14:paraId="75EFAA10" w14:textId="77777777" w:rsidR="001506C1" w:rsidRPr="00FA3F9C" w:rsidRDefault="001506C1" w:rsidP="002577DB">
            <w:pPr>
              <w:rPr>
                <w:rFonts w:ascii="Arial" w:hAnsi="Arial" w:cs="Arial"/>
                <w:sz w:val="24"/>
                <w:szCs w:val="24"/>
              </w:rPr>
            </w:pPr>
            <w:r w:rsidRPr="00FA3F9C">
              <w:rPr>
                <w:rFonts w:ascii="Arial" w:hAnsi="Arial" w:cs="Arial"/>
                <w:sz w:val="24"/>
                <w:szCs w:val="24"/>
              </w:rPr>
              <w:t>I reinserted references 3 &amp; 4 from original criteria since they helped shape it.</w:t>
            </w:r>
          </w:p>
        </w:tc>
        <w:tc>
          <w:tcPr>
            <w:tcW w:w="2538" w:type="dxa"/>
          </w:tcPr>
          <w:p w14:paraId="065C0F11" w14:textId="77777777" w:rsidR="001506C1" w:rsidRPr="00FA3F9C" w:rsidRDefault="001506C1" w:rsidP="006F623F">
            <w:pPr>
              <w:rPr>
                <w:rFonts w:ascii="Arial" w:hAnsi="Arial" w:cs="Arial"/>
                <w:sz w:val="24"/>
                <w:szCs w:val="24"/>
              </w:rPr>
            </w:pPr>
            <w:r w:rsidRPr="00FA3F9C">
              <w:rPr>
                <w:rFonts w:ascii="Arial" w:hAnsi="Arial" w:cs="Arial"/>
                <w:sz w:val="24"/>
                <w:szCs w:val="24"/>
              </w:rPr>
              <w:t>JJ</w:t>
            </w:r>
          </w:p>
        </w:tc>
      </w:tr>
      <w:tr w:rsidR="001506C1" w:rsidRPr="00FA3F9C" w14:paraId="0504979B" w14:textId="77777777" w:rsidTr="00FE491B">
        <w:tc>
          <w:tcPr>
            <w:tcW w:w="1008" w:type="dxa"/>
          </w:tcPr>
          <w:p w14:paraId="5B24EE2A" w14:textId="77777777" w:rsidR="001506C1" w:rsidRPr="00FA3F9C" w:rsidRDefault="001506C1" w:rsidP="006F623F">
            <w:pPr>
              <w:rPr>
                <w:rFonts w:ascii="Arial" w:hAnsi="Arial" w:cs="Arial"/>
                <w:sz w:val="24"/>
                <w:szCs w:val="24"/>
              </w:rPr>
            </w:pPr>
            <w:r w:rsidRPr="00FA3F9C">
              <w:rPr>
                <w:rFonts w:ascii="Arial" w:hAnsi="Arial" w:cs="Arial"/>
                <w:sz w:val="24"/>
                <w:szCs w:val="24"/>
              </w:rPr>
              <w:t>9/30/19</w:t>
            </w:r>
          </w:p>
        </w:tc>
        <w:tc>
          <w:tcPr>
            <w:tcW w:w="7470" w:type="dxa"/>
          </w:tcPr>
          <w:p w14:paraId="32D1A3F1" w14:textId="77777777" w:rsidR="001506C1" w:rsidRPr="00FA3F9C" w:rsidRDefault="001506C1" w:rsidP="002577DB">
            <w:pPr>
              <w:rPr>
                <w:rFonts w:ascii="Arial" w:hAnsi="Arial" w:cs="Arial"/>
                <w:sz w:val="24"/>
                <w:szCs w:val="24"/>
              </w:rPr>
            </w:pPr>
            <w:r w:rsidRPr="00FA3F9C">
              <w:rPr>
                <w:rFonts w:ascii="Arial" w:hAnsi="Arial" w:cs="Arial"/>
                <w:sz w:val="24"/>
                <w:szCs w:val="24"/>
              </w:rPr>
              <w:t>Criteria reviewed. No changes.</w:t>
            </w:r>
          </w:p>
        </w:tc>
        <w:tc>
          <w:tcPr>
            <w:tcW w:w="2538" w:type="dxa"/>
          </w:tcPr>
          <w:p w14:paraId="2F8B107F" w14:textId="77777777" w:rsidR="001506C1" w:rsidRPr="00FA3F9C" w:rsidRDefault="001506C1" w:rsidP="006F623F">
            <w:pPr>
              <w:rPr>
                <w:rFonts w:ascii="Arial" w:hAnsi="Arial" w:cs="Arial"/>
                <w:sz w:val="24"/>
                <w:szCs w:val="24"/>
              </w:rPr>
            </w:pPr>
            <w:r w:rsidRPr="00FA3F9C">
              <w:rPr>
                <w:rFonts w:ascii="Arial" w:hAnsi="Arial" w:cs="Arial"/>
                <w:sz w:val="24"/>
                <w:szCs w:val="24"/>
              </w:rPr>
              <w:t>SK</w:t>
            </w:r>
          </w:p>
        </w:tc>
      </w:tr>
      <w:tr w:rsidR="001506C1" w:rsidRPr="00FA3F9C" w14:paraId="2BDD0FEA" w14:textId="77777777" w:rsidTr="00FE491B">
        <w:tc>
          <w:tcPr>
            <w:tcW w:w="1008" w:type="dxa"/>
          </w:tcPr>
          <w:p w14:paraId="1C38C304" w14:textId="77777777" w:rsidR="001506C1" w:rsidRPr="00FA3F9C" w:rsidRDefault="001506C1" w:rsidP="004C28FF">
            <w:pPr>
              <w:rPr>
                <w:rFonts w:ascii="Arial" w:hAnsi="Arial" w:cs="Arial"/>
                <w:sz w:val="24"/>
                <w:szCs w:val="24"/>
              </w:rPr>
            </w:pPr>
            <w:r w:rsidRPr="00FA3F9C">
              <w:rPr>
                <w:rFonts w:ascii="Arial" w:hAnsi="Arial" w:cs="Arial"/>
                <w:sz w:val="24"/>
                <w:szCs w:val="24"/>
              </w:rPr>
              <w:t>8/7/2020</w:t>
            </w:r>
          </w:p>
        </w:tc>
        <w:tc>
          <w:tcPr>
            <w:tcW w:w="7470" w:type="dxa"/>
          </w:tcPr>
          <w:p w14:paraId="489E42A6" w14:textId="77777777" w:rsidR="001506C1" w:rsidRPr="00FA3F9C" w:rsidRDefault="001506C1" w:rsidP="004C28FF">
            <w:pPr>
              <w:rPr>
                <w:rFonts w:ascii="Arial" w:hAnsi="Arial" w:cs="Arial"/>
                <w:sz w:val="24"/>
                <w:szCs w:val="24"/>
              </w:rPr>
            </w:pPr>
            <w:r w:rsidRPr="00FA3F9C">
              <w:rPr>
                <w:rFonts w:ascii="Arial" w:hAnsi="Arial" w:cs="Arial"/>
                <w:sz w:val="24"/>
                <w:szCs w:val="24"/>
              </w:rPr>
              <w:t>Added new indication for combination use with atezolizumab for melanoma (not covered)</w:t>
            </w:r>
          </w:p>
        </w:tc>
        <w:tc>
          <w:tcPr>
            <w:tcW w:w="2538" w:type="dxa"/>
          </w:tcPr>
          <w:p w14:paraId="7A6FBE1B" w14:textId="77777777" w:rsidR="001506C1" w:rsidRPr="00FA3F9C" w:rsidRDefault="001506C1" w:rsidP="004C28FF">
            <w:pPr>
              <w:rPr>
                <w:rFonts w:ascii="Arial" w:hAnsi="Arial" w:cs="Arial"/>
                <w:sz w:val="24"/>
                <w:szCs w:val="24"/>
              </w:rPr>
            </w:pPr>
            <w:r w:rsidRPr="00FA3F9C">
              <w:rPr>
                <w:rFonts w:ascii="Arial" w:hAnsi="Arial" w:cs="Arial"/>
                <w:sz w:val="24"/>
                <w:szCs w:val="24"/>
              </w:rPr>
              <w:t>SK</w:t>
            </w:r>
          </w:p>
        </w:tc>
      </w:tr>
      <w:tr w:rsidR="001506C1" w:rsidRPr="00FA3F9C" w14:paraId="35A3FA18" w14:textId="77777777" w:rsidTr="004C28FF">
        <w:tc>
          <w:tcPr>
            <w:tcW w:w="1278" w:type="dxa"/>
          </w:tcPr>
          <w:p w14:paraId="5AB85275" w14:textId="77777777" w:rsidR="001506C1" w:rsidRPr="00FA3F9C" w:rsidRDefault="001506C1" w:rsidP="004C28FF">
            <w:pPr>
              <w:rPr>
                <w:rFonts w:ascii="Arial" w:hAnsi="Arial" w:cs="Arial"/>
                <w:sz w:val="24"/>
                <w:szCs w:val="24"/>
              </w:rPr>
            </w:pPr>
            <w:r w:rsidRPr="00FA3F9C">
              <w:rPr>
                <w:rFonts w:ascii="Arial" w:hAnsi="Arial" w:cs="Arial"/>
                <w:sz w:val="24"/>
                <w:szCs w:val="24"/>
              </w:rPr>
              <w:t>12/15/2020</w:t>
            </w:r>
          </w:p>
        </w:tc>
        <w:tc>
          <w:tcPr>
            <w:tcW w:w="7053" w:type="dxa"/>
          </w:tcPr>
          <w:p w14:paraId="6C403329" w14:textId="77777777" w:rsidR="001506C1" w:rsidRPr="00FA3F9C" w:rsidRDefault="001506C1" w:rsidP="004C28FF">
            <w:pPr>
              <w:rPr>
                <w:rFonts w:ascii="Arial" w:hAnsi="Arial" w:cs="Arial"/>
                <w:sz w:val="24"/>
                <w:szCs w:val="24"/>
              </w:rPr>
            </w:pPr>
            <w:r w:rsidRPr="00FA3F9C">
              <w:rPr>
                <w:rFonts w:ascii="Arial" w:hAnsi="Arial" w:cs="Arial"/>
                <w:sz w:val="24"/>
                <w:szCs w:val="24"/>
              </w:rPr>
              <w:t>Criteria reviewed. No change</w:t>
            </w:r>
          </w:p>
        </w:tc>
        <w:tc>
          <w:tcPr>
            <w:tcW w:w="2459" w:type="dxa"/>
          </w:tcPr>
          <w:p w14:paraId="75F791DE" w14:textId="77777777" w:rsidR="001506C1" w:rsidRPr="00FA3F9C" w:rsidRDefault="001506C1" w:rsidP="004C28FF">
            <w:pPr>
              <w:rPr>
                <w:rFonts w:ascii="Arial" w:hAnsi="Arial" w:cs="Arial"/>
                <w:sz w:val="24"/>
                <w:szCs w:val="24"/>
              </w:rPr>
            </w:pPr>
            <w:r w:rsidRPr="00FA3F9C">
              <w:rPr>
                <w:rFonts w:ascii="Arial" w:hAnsi="Arial" w:cs="Arial"/>
                <w:sz w:val="24"/>
                <w:szCs w:val="24"/>
              </w:rPr>
              <w:t>SK</w:t>
            </w:r>
          </w:p>
        </w:tc>
      </w:tr>
      <w:tr w:rsidR="001506C1" w:rsidRPr="00FA3F9C" w14:paraId="56245277" w14:textId="77777777" w:rsidTr="004C28FF">
        <w:tc>
          <w:tcPr>
            <w:tcW w:w="1278" w:type="dxa"/>
          </w:tcPr>
          <w:p w14:paraId="6EBE3BB7" w14:textId="77777777" w:rsidR="001506C1" w:rsidRPr="00FA3F9C" w:rsidRDefault="001506C1" w:rsidP="004C28FF">
            <w:pPr>
              <w:rPr>
                <w:rFonts w:ascii="Arial" w:hAnsi="Arial" w:cs="Arial"/>
                <w:sz w:val="24"/>
                <w:szCs w:val="24"/>
              </w:rPr>
            </w:pPr>
            <w:r w:rsidRPr="00FA3F9C">
              <w:rPr>
                <w:rFonts w:ascii="Arial" w:hAnsi="Arial" w:cs="Arial"/>
                <w:sz w:val="24"/>
                <w:szCs w:val="24"/>
              </w:rPr>
              <w:t>4/25/2022</w:t>
            </w:r>
          </w:p>
        </w:tc>
        <w:tc>
          <w:tcPr>
            <w:tcW w:w="7053" w:type="dxa"/>
          </w:tcPr>
          <w:p w14:paraId="1305C2E2" w14:textId="77777777" w:rsidR="001506C1" w:rsidRPr="00FA3F9C" w:rsidRDefault="001506C1" w:rsidP="004C28FF">
            <w:pPr>
              <w:rPr>
                <w:rFonts w:ascii="Arial" w:hAnsi="Arial" w:cs="Arial"/>
                <w:sz w:val="24"/>
                <w:szCs w:val="24"/>
              </w:rPr>
            </w:pPr>
            <w:r w:rsidRPr="00FA3F9C">
              <w:rPr>
                <w:rFonts w:ascii="Arial" w:hAnsi="Arial" w:cs="Arial"/>
                <w:sz w:val="24"/>
                <w:szCs w:val="24"/>
              </w:rPr>
              <w:t>Criteria reviewed. No change.</w:t>
            </w:r>
          </w:p>
        </w:tc>
        <w:tc>
          <w:tcPr>
            <w:tcW w:w="2459" w:type="dxa"/>
          </w:tcPr>
          <w:p w14:paraId="5F12250D" w14:textId="77777777" w:rsidR="001506C1" w:rsidRPr="00FA3F9C" w:rsidRDefault="001506C1" w:rsidP="004C28FF">
            <w:pPr>
              <w:rPr>
                <w:rFonts w:ascii="Arial" w:hAnsi="Arial" w:cs="Arial"/>
                <w:sz w:val="24"/>
                <w:szCs w:val="24"/>
              </w:rPr>
            </w:pPr>
            <w:r w:rsidRPr="00FA3F9C">
              <w:rPr>
                <w:rFonts w:ascii="Arial" w:hAnsi="Arial" w:cs="Arial"/>
                <w:sz w:val="24"/>
                <w:szCs w:val="24"/>
              </w:rPr>
              <w:t>SK</w:t>
            </w:r>
          </w:p>
        </w:tc>
      </w:tr>
    </w:tbl>
    <w:p w14:paraId="4A7C8AE7" w14:textId="77777777" w:rsidR="001506C1" w:rsidRPr="00FA3F9C" w:rsidRDefault="001506C1" w:rsidP="006F623F">
      <w:pPr>
        <w:spacing w:after="0"/>
        <w:rPr>
          <w:rFonts w:ascii="Arial" w:hAnsi="Arial" w:cs="Arial"/>
          <w:sz w:val="24"/>
          <w:szCs w:val="24"/>
        </w:rPr>
      </w:pPr>
    </w:p>
    <w:p w14:paraId="26E99A6F" w14:textId="77777777" w:rsidR="001506C1" w:rsidRPr="00FA3F9C" w:rsidRDefault="001506C1" w:rsidP="006F623F">
      <w:pPr>
        <w:spacing w:after="0"/>
        <w:rPr>
          <w:rFonts w:ascii="Arial" w:hAnsi="Arial" w:cs="Arial"/>
          <w:sz w:val="24"/>
          <w:szCs w:val="24"/>
        </w:rPr>
      </w:pPr>
    </w:p>
    <w:p w14:paraId="0F2AAA46" w14:textId="37DCEF60" w:rsidR="001506C1" w:rsidRDefault="001506C1" w:rsidP="003B40CD">
      <w:pPr>
        <w:pStyle w:val="Heading2"/>
      </w:pPr>
      <w:bookmarkStart w:id="61" w:name="_Toc106369757"/>
      <w:r w:rsidRPr="00FA3F9C">
        <w:t>Cysteamine (</w:t>
      </w:r>
      <w:proofErr w:type="spellStart"/>
      <w:r w:rsidRPr="00FA3F9C">
        <w:t>Cystadrops</w:t>
      </w:r>
      <w:proofErr w:type="spellEnd"/>
      <w:r w:rsidRPr="00FA3F9C">
        <w:t>)</w:t>
      </w:r>
      <w:bookmarkEnd w:id="61"/>
    </w:p>
    <w:p w14:paraId="31D7FFE8" w14:textId="46812C71" w:rsidR="003B40CD" w:rsidRPr="00FA3F9C" w:rsidRDefault="003B40CD" w:rsidP="006F623F">
      <w:pPr>
        <w:spacing w:after="0"/>
        <w:jc w:val="center"/>
        <w:rPr>
          <w:rFonts w:ascii="Arial" w:hAnsi="Arial" w:cs="Arial"/>
          <w:sz w:val="24"/>
          <w:szCs w:val="24"/>
        </w:rPr>
      </w:pPr>
      <w:r w:rsidRPr="00FA3F9C">
        <w:rPr>
          <w:rFonts w:ascii="Arial" w:hAnsi="Arial" w:cs="Arial"/>
          <w:sz w:val="24"/>
          <w:szCs w:val="24"/>
        </w:rPr>
        <w:t>Ophthalmic Drops 0.37% or 0.44%</w:t>
      </w:r>
    </w:p>
    <w:p w14:paraId="72D2F873" w14:textId="77777777" w:rsidR="001506C1" w:rsidRPr="00FA3F9C" w:rsidRDefault="001506C1" w:rsidP="006F623F">
      <w:pPr>
        <w:spacing w:after="0"/>
        <w:jc w:val="center"/>
        <w:rPr>
          <w:rFonts w:ascii="Arial" w:hAnsi="Arial" w:cs="Arial"/>
          <w:sz w:val="24"/>
          <w:szCs w:val="24"/>
        </w:rPr>
      </w:pPr>
      <w:r w:rsidRPr="00FA3F9C">
        <w:rPr>
          <w:rFonts w:ascii="Arial" w:hAnsi="Arial" w:cs="Arial"/>
          <w:sz w:val="24"/>
          <w:szCs w:val="24"/>
        </w:rPr>
        <w:t>EBRx PA Criteria</w:t>
      </w:r>
    </w:p>
    <w:p w14:paraId="22923663" w14:textId="77777777" w:rsidR="001506C1" w:rsidRPr="00FA3F9C" w:rsidRDefault="001506C1" w:rsidP="006F623F">
      <w:pPr>
        <w:spacing w:after="0"/>
        <w:rPr>
          <w:rFonts w:ascii="Arial" w:hAnsi="Arial" w:cs="Arial"/>
          <w:b/>
          <w:sz w:val="24"/>
          <w:szCs w:val="24"/>
          <w:u w:val="single"/>
        </w:rPr>
      </w:pPr>
    </w:p>
    <w:p w14:paraId="5E3D28F0" w14:textId="77777777" w:rsidR="001506C1" w:rsidRPr="00FA3F9C" w:rsidRDefault="001506C1" w:rsidP="00EE7043">
      <w:pPr>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Ocular cystinosis: treatment of corneal cystine crystal accumulation in patients with cystinosis.</w:t>
      </w:r>
    </w:p>
    <w:tbl>
      <w:tblPr>
        <w:tblStyle w:val="TableGrid"/>
        <w:tblW w:w="0" w:type="auto"/>
        <w:tblLook w:val="04A0" w:firstRow="1" w:lastRow="0" w:firstColumn="1" w:lastColumn="0" w:noHBand="0" w:noVBand="1"/>
      </w:tblPr>
      <w:tblGrid>
        <w:gridCol w:w="8928"/>
        <w:gridCol w:w="2088"/>
      </w:tblGrid>
      <w:tr w:rsidR="001506C1" w:rsidRPr="00FA3F9C" w14:paraId="04488CF1" w14:textId="77777777" w:rsidTr="00571CAB">
        <w:tc>
          <w:tcPr>
            <w:tcW w:w="8928" w:type="dxa"/>
            <w:shd w:val="clear" w:color="auto" w:fill="000000"/>
          </w:tcPr>
          <w:p w14:paraId="6B586922" w14:textId="77777777" w:rsidR="001506C1" w:rsidRPr="00FA3F9C" w:rsidRDefault="001506C1"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88" w:type="dxa"/>
            <w:shd w:val="clear" w:color="auto" w:fill="000000"/>
          </w:tcPr>
          <w:p w14:paraId="39C63769" w14:textId="77777777" w:rsidR="001506C1" w:rsidRPr="00FA3F9C" w:rsidRDefault="001506C1" w:rsidP="006F623F">
            <w:pPr>
              <w:jc w:val="center"/>
              <w:rPr>
                <w:rFonts w:ascii="Arial" w:hAnsi="Arial" w:cs="Arial"/>
                <w:b/>
                <w:sz w:val="24"/>
                <w:szCs w:val="24"/>
                <w:u w:val="single"/>
              </w:rPr>
            </w:pPr>
          </w:p>
        </w:tc>
      </w:tr>
      <w:tr w:rsidR="001506C1" w:rsidRPr="00FA3F9C" w14:paraId="1B0218A4" w14:textId="77777777" w:rsidTr="00F337AE">
        <w:tc>
          <w:tcPr>
            <w:tcW w:w="11016" w:type="dxa"/>
            <w:gridSpan w:val="2"/>
          </w:tcPr>
          <w:p w14:paraId="6E53AC33" w14:textId="77777777" w:rsidR="001506C1" w:rsidRPr="00FA3F9C" w:rsidRDefault="001506C1" w:rsidP="006F623F">
            <w:pPr>
              <w:rPr>
                <w:rFonts w:ascii="Arial" w:hAnsi="Arial" w:cs="Arial"/>
                <w:sz w:val="24"/>
                <w:szCs w:val="24"/>
              </w:rPr>
            </w:pPr>
            <w:r w:rsidRPr="00FA3F9C">
              <w:rPr>
                <w:rFonts w:ascii="Arial" w:hAnsi="Arial" w:cs="Arial"/>
                <w:sz w:val="24"/>
                <w:szCs w:val="24"/>
              </w:rPr>
              <w:t>1. The patient must have the diagnosis of ocular cystinosis with corneal cystine crystal accumulation</w:t>
            </w:r>
          </w:p>
        </w:tc>
      </w:tr>
    </w:tbl>
    <w:p w14:paraId="3A7805A6" w14:textId="77777777" w:rsidR="001506C1" w:rsidRPr="00FA3F9C" w:rsidRDefault="001506C1" w:rsidP="006F623F">
      <w:pPr>
        <w:spacing w:after="0"/>
        <w:rPr>
          <w:rFonts w:ascii="Arial" w:hAnsi="Arial" w:cs="Arial"/>
          <w:b/>
          <w:sz w:val="24"/>
          <w:szCs w:val="24"/>
          <w:u w:val="single"/>
        </w:rPr>
      </w:pPr>
    </w:p>
    <w:tbl>
      <w:tblPr>
        <w:tblStyle w:val="TableGrid"/>
        <w:tblW w:w="0" w:type="auto"/>
        <w:shd w:val="clear" w:color="auto" w:fill="BFBFBF" w:themeFill="background1" w:themeFillShade="BF"/>
        <w:tblLook w:val="04A0" w:firstRow="1" w:lastRow="0" w:firstColumn="1" w:lastColumn="0" w:noHBand="0" w:noVBand="1"/>
      </w:tblPr>
      <w:tblGrid>
        <w:gridCol w:w="10998"/>
      </w:tblGrid>
      <w:tr w:rsidR="001506C1" w:rsidRPr="00FA3F9C" w14:paraId="4EFF8B3E" w14:textId="77777777" w:rsidTr="00D82B6E">
        <w:tc>
          <w:tcPr>
            <w:tcW w:w="10998" w:type="dxa"/>
            <w:shd w:val="clear" w:color="auto" w:fill="BFBFBF" w:themeFill="background1" w:themeFillShade="BF"/>
          </w:tcPr>
          <w:p w14:paraId="297D8261" w14:textId="77777777" w:rsidR="001506C1" w:rsidRPr="00FA3F9C" w:rsidRDefault="001506C1" w:rsidP="00D82B6E">
            <w:pPr>
              <w:rPr>
                <w:rFonts w:ascii="Arial" w:hAnsi="Arial" w:cs="Arial"/>
                <w:sz w:val="24"/>
                <w:szCs w:val="24"/>
              </w:rPr>
            </w:pPr>
            <w:r w:rsidRPr="00FA3F9C">
              <w:rPr>
                <w:rFonts w:ascii="Arial" w:hAnsi="Arial" w:cs="Arial"/>
                <w:sz w:val="24"/>
                <w:szCs w:val="24"/>
              </w:rPr>
              <w:t>Note: The dose is 1 drop in each eye 4 times daily while awake.</w:t>
            </w:r>
          </w:p>
        </w:tc>
      </w:tr>
    </w:tbl>
    <w:p w14:paraId="3C8DB8B8" w14:textId="77777777" w:rsidR="001506C1" w:rsidRPr="00FA3F9C" w:rsidRDefault="001506C1" w:rsidP="006F623F">
      <w:pPr>
        <w:spacing w:after="0"/>
        <w:rPr>
          <w:rFonts w:ascii="Arial" w:hAnsi="Arial" w:cs="Arial"/>
          <w:sz w:val="24"/>
          <w:szCs w:val="24"/>
        </w:rPr>
      </w:pPr>
    </w:p>
    <w:p w14:paraId="23F4339A"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Quantity Limits: 1 bottle per 30 ds.</w:t>
      </w:r>
    </w:p>
    <w:p w14:paraId="6A6C5CBB" w14:textId="77777777" w:rsidR="001506C1" w:rsidRPr="00FA3F9C" w:rsidRDefault="001506C1" w:rsidP="00EE7043">
      <w:pPr>
        <w:spacing w:after="0"/>
        <w:rPr>
          <w:rFonts w:ascii="Arial" w:hAnsi="Arial" w:cs="Arial"/>
          <w:sz w:val="24"/>
          <w:szCs w:val="24"/>
        </w:rPr>
      </w:pPr>
    </w:p>
    <w:p w14:paraId="5A2E5E34" w14:textId="77777777" w:rsidR="001506C1" w:rsidRPr="00FA3F9C" w:rsidRDefault="001506C1" w:rsidP="00EE7043">
      <w:pPr>
        <w:spacing w:after="0"/>
        <w:rPr>
          <w:rFonts w:ascii="Arial" w:hAnsi="Arial" w:cs="Arial"/>
          <w:sz w:val="24"/>
          <w:szCs w:val="24"/>
          <w:lang w:val="fr-FR"/>
        </w:rPr>
      </w:pPr>
      <w:proofErr w:type="spellStart"/>
      <w:proofErr w:type="gramStart"/>
      <w:r w:rsidRPr="00FA3F9C">
        <w:rPr>
          <w:rFonts w:ascii="Arial" w:hAnsi="Arial" w:cs="Arial"/>
          <w:sz w:val="24"/>
          <w:szCs w:val="24"/>
          <w:lang w:val="fr-FR"/>
        </w:rPr>
        <w:t>References</w:t>
      </w:r>
      <w:proofErr w:type="spellEnd"/>
      <w:r w:rsidRPr="00FA3F9C">
        <w:rPr>
          <w:rFonts w:ascii="Arial" w:hAnsi="Arial" w:cs="Arial"/>
          <w:sz w:val="24"/>
          <w:szCs w:val="24"/>
          <w:lang w:val="fr-FR"/>
        </w:rPr>
        <w:t>:</w:t>
      </w:r>
      <w:proofErr w:type="gramEnd"/>
    </w:p>
    <w:p w14:paraId="3FE0DCCA" w14:textId="77777777" w:rsidR="001506C1" w:rsidRPr="00FA3F9C" w:rsidRDefault="001506C1" w:rsidP="00EE7043">
      <w:pPr>
        <w:spacing w:after="0"/>
        <w:rPr>
          <w:rFonts w:ascii="Arial" w:eastAsia="Times New Roman" w:hAnsi="Arial" w:cs="Arial"/>
          <w:sz w:val="24"/>
          <w:szCs w:val="24"/>
        </w:rPr>
      </w:pPr>
      <w:r w:rsidRPr="00FA3F9C">
        <w:rPr>
          <w:rFonts w:ascii="Arial" w:hAnsi="Arial" w:cs="Arial"/>
          <w:sz w:val="24"/>
          <w:szCs w:val="24"/>
          <w:lang w:val="fr-FR"/>
        </w:rPr>
        <w:t xml:space="preserve">1. </w:t>
      </w:r>
      <w:r w:rsidRPr="00FA3F9C">
        <w:rPr>
          <w:rFonts w:ascii="Arial" w:eastAsia="Times New Roman" w:hAnsi="Arial" w:cs="Arial"/>
          <w:color w:val="222222"/>
          <w:sz w:val="24"/>
          <w:szCs w:val="24"/>
          <w:shd w:val="clear" w:color="auto" w:fill="FFFFFF"/>
          <w:lang w:val="fr-FR"/>
        </w:rPr>
        <w:t xml:space="preserve">Liang, Hong, et al. </w:t>
      </w:r>
      <w:r w:rsidRPr="00FA3F9C">
        <w:rPr>
          <w:rFonts w:ascii="Arial" w:eastAsia="Times New Roman" w:hAnsi="Arial" w:cs="Arial"/>
          <w:color w:val="222222"/>
          <w:sz w:val="24"/>
          <w:szCs w:val="24"/>
          <w:shd w:val="clear" w:color="auto" w:fill="FFFFFF"/>
        </w:rPr>
        <w:t>"A new viscous cysteamine eye drops treatment for ophthalmic cystinosis: an open-label randomized comparative phase III pivotal study." </w:t>
      </w:r>
      <w:r w:rsidRPr="00FA3F9C">
        <w:rPr>
          <w:rFonts w:ascii="Arial" w:eastAsia="Times New Roman" w:hAnsi="Arial" w:cs="Arial"/>
          <w:i/>
          <w:iCs/>
          <w:color w:val="222222"/>
          <w:sz w:val="24"/>
          <w:szCs w:val="24"/>
          <w:shd w:val="clear" w:color="auto" w:fill="FFFFFF"/>
        </w:rPr>
        <w:t>Investigative Ophthalmology &amp; Visual Science</w:t>
      </w:r>
      <w:r w:rsidRPr="00FA3F9C">
        <w:rPr>
          <w:rFonts w:ascii="Arial" w:eastAsia="Times New Roman" w:hAnsi="Arial" w:cs="Arial"/>
          <w:color w:val="222222"/>
          <w:sz w:val="24"/>
          <w:szCs w:val="24"/>
          <w:shd w:val="clear" w:color="auto" w:fill="FFFFFF"/>
        </w:rPr>
        <w:t> 58.4 (2017): 2275-2283.</w:t>
      </w:r>
    </w:p>
    <w:p w14:paraId="3082FA70" w14:textId="77777777" w:rsidR="001506C1" w:rsidRPr="00FA3F9C" w:rsidRDefault="001506C1" w:rsidP="00EE7043">
      <w:pPr>
        <w:spacing w:after="0"/>
        <w:rPr>
          <w:rFonts w:ascii="Arial" w:hAnsi="Arial" w:cs="Arial"/>
          <w:sz w:val="24"/>
          <w:szCs w:val="24"/>
        </w:rPr>
      </w:pPr>
      <w:r w:rsidRPr="00FA3F9C">
        <w:rPr>
          <w:rFonts w:ascii="Arial" w:hAnsi="Arial" w:cs="Arial"/>
          <w:sz w:val="24"/>
          <w:szCs w:val="24"/>
        </w:rPr>
        <w:t>2. Lexicomp. Cysteamine ophthalmic. Accessed 10/26/2020.</w:t>
      </w:r>
    </w:p>
    <w:p w14:paraId="2BCE7859" w14:textId="77777777" w:rsidR="001506C1" w:rsidRPr="00FA3F9C" w:rsidRDefault="001506C1" w:rsidP="006F623F">
      <w:pPr>
        <w:spacing w:after="0"/>
        <w:rPr>
          <w:rFonts w:ascii="Arial" w:hAnsi="Arial" w:cs="Arial"/>
          <w:sz w:val="24"/>
          <w:szCs w:val="24"/>
        </w:rPr>
      </w:pPr>
    </w:p>
    <w:p w14:paraId="2AEBCA1F" w14:textId="77777777" w:rsidR="001506C1" w:rsidRPr="00FA3F9C" w:rsidRDefault="001506C1" w:rsidP="006F623F">
      <w:pPr>
        <w:spacing w:after="0"/>
        <w:rPr>
          <w:rFonts w:ascii="Arial" w:hAnsi="Arial" w:cs="Arial"/>
          <w:sz w:val="24"/>
          <w:szCs w:val="24"/>
        </w:rPr>
      </w:pPr>
    </w:p>
    <w:p w14:paraId="32B5CE4B" w14:textId="77777777" w:rsidR="001506C1" w:rsidRPr="00FA3F9C" w:rsidRDefault="001506C1" w:rsidP="006F623F">
      <w:pPr>
        <w:spacing w:after="0"/>
        <w:rPr>
          <w:rFonts w:ascii="Arial" w:hAnsi="Arial" w:cs="Arial"/>
          <w:sz w:val="24"/>
          <w:szCs w:val="24"/>
        </w:rPr>
      </w:pPr>
    </w:p>
    <w:p w14:paraId="03B7F495"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008"/>
        <w:gridCol w:w="7470"/>
        <w:gridCol w:w="2538"/>
      </w:tblGrid>
      <w:tr w:rsidR="001506C1" w:rsidRPr="00FA3F9C" w14:paraId="7E74D88E" w14:textId="77777777" w:rsidTr="00FE491B">
        <w:tc>
          <w:tcPr>
            <w:tcW w:w="1008" w:type="dxa"/>
          </w:tcPr>
          <w:p w14:paraId="432EA9BB" w14:textId="77777777" w:rsidR="001506C1" w:rsidRPr="00FA3F9C" w:rsidRDefault="001506C1" w:rsidP="006F623F">
            <w:pPr>
              <w:rPr>
                <w:rFonts w:ascii="Arial" w:hAnsi="Arial" w:cs="Arial"/>
                <w:sz w:val="24"/>
                <w:szCs w:val="24"/>
              </w:rPr>
            </w:pPr>
            <w:r w:rsidRPr="00FA3F9C">
              <w:rPr>
                <w:rFonts w:ascii="Arial" w:hAnsi="Arial" w:cs="Arial"/>
                <w:sz w:val="24"/>
                <w:szCs w:val="24"/>
              </w:rPr>
              <w:t>Date</w:t>
            </w:r>
          </w:p>
        </w:tc>
        <w:tc>
          <w:tcPr>
            <w:tcW w:w="7470" w:type="dxa"/>
          </w:tcPr>
          <w:p w14:paraId="70324E36" w14:textId="77777777" w:rsidR="001506C1" w:rsidRPr="00FA3F9C" w:rsidRDefault="001506C1" w:rsidP="006F623F">
            <w:pPr>
              <w:rPr>
                <w:rFonts w:ascii="Arial" w:hAnsi="Arial" w:cs="Arial"/>
                <w:sz w:val="24"/>
                <w:szCs w:val="24"/>
              </w:rPr>
            </w:pPr>
            <w:r w:rsidRPr="00FA3F9C">
              <w:rPr>
                <w:rFonts w:ascii="Arial" w:hAnsi="Arial" w:cs="Arial"/>
                <w:sz w:val="24"/>
                <w:szCs w:val="24"/>
              </w:rPr>
              <w:t>What changed</w:t>
            </w:r>
          </w:p>
        </w:tc>
        <w:tc>
          <w:tcPr>
            <w:tcW w:w="2538" w:type="dxa"/>
          </w:tcPr>
          <w:p w14:paraId="54EF614E" w14:textId="77777777" w:rsidR="001506C1" w:rsidRPr="00FA3F9C" w:rsidRDefault="001506C1" w:rsidP="006F623F">
            <w:pPr>
              <w:rPr>
                <w:rFonts w:ascii="Arial" w:hAnsi="Arial" w:cs="Arial"/>
                <w:sz w:val="24"/>
                <w:szCs w:val="24"/>
              </w:rPr>
            </w:pPr>
            <w:r w:rsidRPr="00FA3F9C">
              <w:rPr>
                <w:rFonts w:ascii="Arial" w:hAnsi="Arial" w:cs="Arial"/>
                <w:sz w:val="24"/>
                <w:szCs w:val="24"/>
              </w:rPr>
              <w:t>Pharmacist’s initials</w:t>
            </w:r>
          </w:p>
        </w:tc>
      </w:tr>
      <w:tr w:rsidR="001506C1" w:rsidRPr="00FA3F9C" w14:paraId="6C3E06D2" w14:textId="77777777" w:rsidTr="00FE491B">
        <w:tc>
          <w:tcPr>
            <w:tcW w:w="1008" w:type="dxa"/>
          </w:tcPr>
          <w:p w14:paraId="63A4BD04" w14:textId="77777777" w:rsidR="001506C1" w:rsidRPr="00FA3F9C" w:rsidRDefault="001506C1" w:rsidP="006F623F">
            <w:pPr>
              <w:rPr>
                <w:rFonts w:ascii="Arial" w:hAnsi="Arial" w:cs="Arial"/>
                <w:sz w:val="24"/>
                <w:szCs w:val="24"/>
              </w:rPr>
            </w:pPr>
            <w:r w:rsidRPr="00FA3F9C">
              <w:rPr>
                <w:rFonts w:ascii="Arial" w:hAnsi="Arial" w:cs="Arial"/>
                <w:sz w:val="24"/>
                <w:szCs w:val="24"/>
              </w:rPr>
              <w:t>3/5/21</w:t>
            </w:r>
          </w:p>
        </w:tc>
        <w:tc>
          <w:tcPr>
            <w:tcW w:w="7470" w:type="dxa"/>
          </w:tcPr>
          <w:p w14:paraId="41F41EFD" w14:textId="77777777" w:rsidR="001506C1" w:rsidRPr="00FA3F9C" w:rsidRDefault="001506C1" w:rsidP="006F623F">
            <w:pPr>
              <w:rPr>
                <w:rFonts w:ascii="Arial" w:hAnsi="Arial" w:cs="Arial"/>
                <w:sz w:val="24"/>
                <w:szCs w:val="24"/>
              </w:rPr>
            </w:pPr>
            <w:r w:rsidRPr="00FA3F9C">
              <w:rPr>
                <w:rFonts w:ascii="Arial" w:hAnsi="Arial" w:cs="Arial"/>
                <w:sz w:val="24"/>
                <w:szCs w:val="24"/>
              </w:rPr>
              <w:t>I wrote the criteria.</w:t>
            </w:r>
          </w:p>
        </w:tc>
        <w:tc>
          <w:tcPr>
            <w:tcW w:w="2538" w:type="dxa"/>
          </w:tcPr>
          <w:p w14:paraId="4D55B643" w14:textId="77777777" w:rsidR="001506C1" w:rsidRPr="00FA3F9C" w:rsidRDefault="001506C1" w:rsidP="006F623F">
            <w:pPr>
              <w:rPr>
                <w:rFonts w:ascii="Arial" w:hAnsi="Arial" w:cs="Arial"/>
                <w:sz w:val="24"/>
                <w:szCs w:val="24"/>
              </w:rPr>
            </w:pPr>
            <w:r w:rsidRPr="00FA3F9C">
              <w:rPr>
                <w:rFonts w:ascii="Arial" w:hAnsi="Arial" w:cs="Arial"/>
                <w:sz w:val="24"/>
                <w:szCs w:val="24"/>
              </w:rPr>
              <w:t>JJ</w:t>
            </w:r>
          </w:p>
        </w:tc>
      </w:tr>
      <w:tr w:rsidR="001506C1" w:rsidRPr="00FA3F9C" w14:paraId="3988C122" w14:textId="77777777" w:rsidTr="00FE491B">
        <w:tc>
          <w:tcPr>
            <w:tcW w:w="1008" w:type="dxa"/>
          </w:tcPr>
          <w:p w14:paraId="2298A85E" w14:textId="77777777" w:rsidR="001506C1" w:rsidRPr="00FA3F9C" w:rsidRDefault="001506C1" w:rsidP="006F623F">
            <w:pPr>
              <w:rPr>
                <w:rFonts w:ascii="Arial" w:hAnsi="Arial" w:cs="Arial"/>
                <w:sz w:val="24"/>
                <w:szCs w:val="24"/>
              </w:rPr>
            </w:pPr>
          </w:p>
        </w:tc>
        <w:tc>
          <w:tcPr>
            <w:tcW w:w="7470" w:type="dxa"/>
          </w:tcPr>
          <w:p w14:paraId="557FDE36" w14:textId="77777777" w:rsidR="001506C1" w:rsidRPr="00FA3F9C" w:rsidRDefault="001506C1" w:rsidP="006F623F">
            <w:pPr>
              <w:rPr>
                <w:rFonts w:ascii="Arial" w:hAnsi="Arial" w:cs="Arial"/>
                <w:sz w:val="24"/>
                <w:szCs w:val="24"/>
              </w:rPr>
            </w:pPr>
          </w:p>
        </w:tc>
        <w:tc>
          <w:tcPr>
            <w:tcW w:w="2538" w:type="dxa"/>
          </w:tcPr>
          <w:p w14:paraId="257CA312" w14:textId="77777777" w:rsidR="001506C1" w:rsidRPr="00FA3F9C" w:rsidRDefault="001506C1" w:rsidP="006F623F">
            <w:pPr>
              <w:rPr>
                <w:rFonts w:ascii="Arial" w:hAnsi="Arial" w:cs="Arial"/>
                <w:sz w:val="24"/>
                <w:szCs w:val="24"/>
              </w:rPr>
            </w:pPr>
          </w:p>
        </w:tc>
      </w:tr>
    </w:tbl>
    <w:p w14:paraId="4E65F5CA" w14:textId="77777777" w:rsidR="001506C1" w:rsidRPr="00FA3F9C" w:rsidRDefault="001506C1" w:rsidP="006F623F">
      <w:pPr>
        <w:spacing w:after="0"/>
        <w:rPr>
          <w:rFonts w:ascii="Arial" w:hAnsi="Arial" w:cs="Arial"/>
          <w:sz w:val="24"/>
          <w:szCs w:val="24"/>
        </w:rPr>
      </w:pPr>
    </w:p>
    <w:p w14:paraId="10C27C51" w14:textId="77777777" w:rsidR="001506C1" w:rsidRPr="00FA3F9C" w:rsidRDefault="001506C1" w:rsidP="003B40CD">
      <w:pPr>
        <w:pStyle w:val="Heading2"/>
        <w:rPr>
          <w:noProof/>
        </w:rPr>
      </w:pPr>
      <w:bookmarkStart w:id="62" w:name="_Toc106369758"/>
      <w:r w:rsidRPr="00FA3F9C">
        <w:rPr>
          <w:noProof/>
        </w:rPr>
        <w:t>Dabrafenib (Tafinlar)</w:t>
      </w:r>
      <w:bookmarkEnd w:id="62"/>
    </w:p>
    <w:p w14:paraId="1027D9B0" w14:textId="77777777" w:rsidR="001506C1" w:rsidRPr="00FA3F9C" w:rsidRDefault="001506C1" w:rsidP="00B03448">
      <w:pPr>
        <w:jc w:val="center"/>
        <w:rPr>
          <w:rFonts w:ascii="Arial" w:hAnsi="Arial" w:cs="Arial"/>
          <w:noProof/>
          <w:sz w:val="24"/>
          <w:szCs w:val="24"/>
        </w:rPr>
      </w:pPr>
      <w:r w:rsidRPr="00FA3F9C">
        <w:rPr>
          <w:rFonts w:ascii="Arial" w:hAnsi="Arial" w:cs="Arial"/>
          <w:noProof/>
          <w:sz w:val="24"/>
          <w:szCs w:val="24"/>
        </w:rPr>
        <w:t>50mg, 75mg capsules</w:t>
      </w:r>
    </w:p>
    <w:p w14:paraId="63D6F97F" w14:textId="77777777" w:rsidR="001506C1" w:rsidRPr="00FA3F9C" w:rsidRDefault="001506C1" w:rsidP="003973D0">
      <w:pPr>
        <w:jc w:val="center"/>
        <w:rPr>
          <w:rFonts w:ascii="Arial" w:hAnsi="Arial" w:cs="Arial"/>
          <w:noProof/>
          <w:sz w:val="24"/>
          <w:szCs w:val="24"/>
        </w:rPr>
      </w:pPr>
      <w:r w:rsidRPr="00FA3F9C">
        <w:rPr>
          <w:rFonts w:ascii="Arial" w:hAnsi="Arial" w:cs="Arial"/>
          <w:noProof/>
          <w:sz w:val="24"/>
          <w:szCs w:val="24"/>
        </w:rPr>
        <w:t xml:space="preserve">EBRx PA Criteria </w:t>
      </w:r>
    </w:p>
    <w:p w14:paraId="492E5EB1" w14:textId="77777777" w:rsidR="001506C1" w:rsidRPr="00FA3F9C" w:rsidRDefault="001506C1" w:rsidP="002A23A6">
      <w:pPr>
        <w:jc w:val="center"/>
        <w:rPr>
          <w:rFonts w:ascii="Arial" w:hAnsi="Arial" w:cs="Arial"/>
          <w:b/>
          <w:noProof/>
          <w:sz w:val="24"/>
          <w:szCs w:val="24"/>
        </w:rPr>
      </w:pPr>
    </w:p>
    <w:p w14:paraId="12F3992D" w14:textId="77777777" w:rsidR="001506C1" w:rsidRPr="00FA3F9C" w:rsidRDefault="001506C1" w:rsidP="00677F53">
      <w:pPr>
        <w:ind w:left="90"/>
        <w:rPr>
          <w:rFonts w:ascii="Arial" w:hAnsi="Arial" w:cs="Arial"/>
          <w:b/>
          <w:noProof/>
          <w:sz w:val="24"/>
          <w:szCs w:val="24"/>
          <w:u w:val="single"/>
        </w:rPr>
      </w:pPr>
      <w:r w:rsidRPr="00FA3F9C">
        <w:rPr>
          <w:rFonts w:ascii="Arial" w:hAnsi="Arial" w:cs="Arial"/>
          <w:b/>
          <w:noProof/>
          <w:sz w:val="24"/>
          <w:szCs w:val="24"/>
          <w:u w:val="single"/>
        </w:rPr>
        <w:lastRenderedPageBreak/>
        <w:t>FDA approved for:</w:t>
      </w:r>
    </w:p>
    <w:p w14:paraId="264803E7" w14:textId="77777777" w:rsidR="001506C1" w:rsidRPr="00FA3F9C" w:rsidRDefault="001506C1" w:rsidP="00677F53">
      <w:pPr>
        <w:ind w:left="90"/>
        <w:rPr>
          <w:rFonts w:ascii="Arial" w:hAnsi="Arial" w:cs="Arial"/>
          <w:noProof/>
          <w:sz w:val="24"/>
          <w:szCs w:val="24"/>
        </w:rPr>
      </w:pPr>
    </w:p>
    <w:p w14:paraId="33CA835E" w14:textId="77777777" w:rsidR="001506C1" w:rsidRPr="00FA3F9C" w:rsidRDefault="001506C1" w:rsidP="00677F53">
      <w:pPr>
        <w:ind w:left="90"/>
        <w:rPr>
          <w:rFonts w:ascii="Arial" w:hAnsi="Arial" w:cs="Arial"/>
          <w:noProof/>
          <w:sz w:val="24"/>
          <w:szCs w:val="24"/>
        </w:rPr>
      </w:pPr>
      <w:r w:rsidRPr="00FA3F9C">
        <w:rPr>
          <w:rFonts w:ascii="Arial" w:hAnsi="Arial" w:cs="Arial"/>
          <w:noProof/>
          <w:sz w:val="24"/>
          <w:szCs w:val="24"/>
          <w:u w:val="single"/>
        </w:rPr>
        <w:t>Monotherapy</w:t>
      </w:r>
      <w:r w:rsidRPr="00FA3F9C">
        <w:rPr>
          <w:rFonts w:ascii="Arial" w:hAnsi="Arial" w:cs="Arial"/>
          <w:noProof/>
          <w:sz w:val="24"/>
          <w:szCs w:val="24"/>
        </w:rPr>
        <w:t>:</w:t>
      </w:r>
    </w:p>
    <w:p w14:paraId="7B1E8DCD" w14:textId="77777777" w:rsidR="001506C1" w:rsidRPr="00FA3F9C" w:rsidRDefault="001506C1" w:rsidP="001506C1">
      <w:pPr>
        <w:numPr>
          <w:ilvl w:val="0"/>
          <w:numId w:val="99"/>
        </w:numPr>
        <w:spacing w:after="0" w:line="240" w:lineRule="auto"/>
        <w:ind w:left="270" w:hanging="180"/>
        <w:rPr>
          <w:rFonts w:ascii="Arial" w:hAnsi="Arial" w:cs="Arial"/>
          <w:noProof/>
          <w:sz w:val="24"/>
          <w:szCs w:val="24"/>
        </w:rPr>
      </w:pPr>
      <w:r w:rsidRPr="00FA3F9C">
        <w:rPr>
          <w:rFonts w:ascii="Arial" w:hAnsi="Arial" w:cs="Arial"/>
          <w:noProof/>
          <w:sz w:val="24"/>
          <w:szCs w:val="24"/>
        </w:rPr>
        <w:t xml:space="preserve">treatment of patients with unresectable or metastatic melanoma with BRAF V600E mutation as detected by an FDA-approved test. </w:t>
      </w:r>
      <w:r w:rsidRPr="00FA3F9C">
        <w:rPr>
          <w:rFonts w:ascii="Arial" w:hAnsi="Arial" w:cs="Arial"/>
          <w:noProof/>
          <w:sz w:val="24"/>
          <w:szCs w:val="24"/>
          <w:highlight w:val="yellow"/>
        </w:rPr>
        <w:t>NOT COVERED</w:t>
      </w:r>
      <w:r w:rsidRPr="00FA3F9C">
        <w:rPr>
          <w:rFonts w:ascii="Arial" w:hAnsi="Arial" w:cs="Arial"/>
          <w:noProof/>
          <w:sz w:val="24"/>
          <w:szCs w:val="24"/>
        </w:rPr>
        <w:t xml:space="preserve"> </w:t>
      </w:r>
    </w:p>
    <w:p w14:paraId="5E32FDD0" w14:textId="77777777" w:rsidR="001506C1" w:rsidRPr="00FA3F9C" w:rsidRDefault="001506C1" w:rsidP="001506C1">
      <w:pPr>
        <w:numPr>
          <w:ilvl w:val="1"/>
          <w:numId w:val="99"/>
        </w:numPr>
        <w:spacing w:after="0" w:line="240" w:lineRule="auto"/>
        <w:ind w:left="720" w:hanging="180"/>
        <w:rPr>
          <w:rFonts w:ascii="Arial" w:hAnsi="Arial" w:cs="Arial"/>
          <w:noProof/>
          <w:sz w:val="24"/>
          <w:szCs w:val="24"/>
        </w:rPr>
      </w:pPr>
      <w:r w:rsidRPr="00FA3F9C">
        <w:rPr>
          <w:rFonts w:ascii="Arial" w:hAnsi="Arial" w:cs="Arial"/>
          <w:noProof/>
          <w:sz w:val="24"/>
          <w:szCs w:val="24"/>
        </w:rPr>
        <w:t xml:space="preserve">EBRx prefers combination therapy over monotherapy. First-line dabrafenib </w:t>
      </w:r>
      <w:r w:rsidRPr="00FA3F9C">
        <w:rPr>
          <w:rFonts w:ascii="Arial" w:hAnsi="Arial" w:cs="Arial"/>
          <w:noProof/>
          <w:sz w:val="24"/>
          <w:szCs w:val="24"/>
          <w:u w:val="single"/>
        </w:rPr>
        <w:t>monotherapy</w:t>
      </w:r>
      <w:r w:rsidRPr="00FA3F9C">
        <w:rPr>
          <w:rFonts w:ascii="Arial" w:hAnsi="Arial" w:cs="Arial"/>
          <w:noProof/>
          <w:sz w:val="24"/>
          <w:szCs w:val="24"/>
        </w:rPr>
        <w:t xml:space="preserve"> improved PFS compared to chemotherapy. There was no statistical difference in overall survival, however, this result was likely confounded by crossover. Combination therapy shows superior overall survival compared with dabrafenib or vemurafenib monotherapy. Therefore, EBRx recommends that combination therapy be preferred over monotherapy.</w:t>
      </w:r>
    </w:p>
    <w:p w14:paraId="653FF6A4" w14:textId="77777777" w:rsidR="001506C1" w:rsidRPr="00FA3F9C" w:rsidRDefault="001506C1" w:rsidP="001506C1">
      <w:pPr>
        <w:numPr>
          <w:ilvl w:val="1"/>
          <w:numId w:val="99"/>
        </w:numPr>
        <w:spacing w:after="0" w:line="240" w:lineRule="auto"/>
        <w:ind w:left="720" w:hanging="180"/>
        <w:rPr>
          <w:rFonts w:ascii="Arial" w:hAnsi="Arial" w:cs="Arial"/>
          <w:noProof/>
          <w:sz w:val="24"/>
          <w:szCs w:val="24"/>
        </w:rPr>
      </w:pPr>
      <w:r w:rsidRPr="00FA3F9C">
        <w:rPr>
          <w:rFonts w:ascii="Arial" w:hAnsi="Arial" w:cs="Arial"/>
          <w:noProof/>
          <w:sz w:val="24"/>
          <w:szCs w:val="24"/>
        </w:rPr>
        <w:t xml:space="preserve">References for monotherapy: Long et al. Ann Oncol. 2017;28(7): 1631-1639 (PMID 28475671); </w:t>
      </w:r>
      <w:hyperlink r:id="rId96" w:history="1">
        <w:r w:rsidRPr="00FA3F9C">
          <w:rPr>
            <w:rStyle w:val="Hyperlink"/>
            <w:rFonts w:ascii="Arial" w:hAnsi="Arial" w:cs="Arial"/>
            <w:sz w:val="24"/>
            <w:szCs w:val="24"/>
          </w:rPr>
          <w:t>https://clinicaltrials.gov/ct2/show/NCT01227889</w:t>
        </w:r>
      </w:hyperlink>
      <w:r w:rsidRPr="00FA3F9C">
        <w:rPr>
          <w:rFonts w:ascii="Arial" w:hAnsi="Arial" w:cs="Arial"/>
          <w:sz w:val="24"/>
          <w:szCs w:val="24"/>
        </w:rPr>
        <w:t xml:space="preserve">  </w:t>
      </w:r>
    </w:p>
    <w:p w14:paraId="61E5E8DD" w14:textId="77777777" w:rsidR="001506C1" w:rsidRPr="00FA3F9C" w:rsidRDefault="001506C1" w:rsidP="00677F53">
      <w:pPr>
        <w:ind w:left="90"/>
        <w:rPr>
          <w:rFonts w:ascii="Arial" w:hAnsi="Arial" w:cs="Arial"/>
          <w:noProof/>
          <w:sz w:val="24"/>
          <w:szCs w:val="24"/>
        </w:rPr>
      </w:pPr>
    </w:p>
    <w:p w14:paraId="4C2346B8" w14:textId="77777777" w:rsidR="001506C1" w:rsidRPr="00FA3F9C" w:rsidRDefault="001506C1" w:rsidP="00677F53">
      <w:pPr>
        <w:ind w:left="90"/>
        <w:rPr>
          <w:rFonts w:ascii="Arial" w:hAnsi="Arial" w:cs="Arial"/>
          <w:noProof/>
          <w:sz w:val="24"/>
          <w:szCs w:val="24"/>
          <w:u w:val="single"/>
        </w:rPr>
      </w:pPr>
      <w:r w:rsidRPr="00FA3F9C">
        <w:rPr>
          <w:rFonts w:ascii="Arial" w:hAnsi="Arial" w:cs="Arial"/>
          <w:noProof/>
          <w:sz w:val="24"/>
          <w:szCs w:val="24"/>
          <w:u w:val="single"/>
        </w:rPr>
        <w:t>In combination with trametinib:</w:t>
      </w:r>
    </w:p>
    <w:p w14:paraId="005CD1EC" w14:textId="77777777" w:rsidR="001506C1" w:rsidRPr="00FA3F9C" w:rsidRDefault="001506C1" w:rsidP="001506C1">
      <w:pPr>
        <w:numPr>
          <w:ilvl w:val="0"/>
          <w:numId w:val="99"/>
        </w:numPr>
        <w:spacing w:after="0" w:line="240" w:lineRule="auto"/>
        <w:ind w:left="270" w:hanging="180"/>
        <w:rPr>
          <w:rFonts w:ascii="Arial" w:hAnsi="Arial" w:cs="Arial"/>
          <w:noProof/>
          <w:sz w:val="24"/>
          <w:szCs w:val="24"/>
        </w:rPr>
      </w:pPr>
      <w:r w:rsidRPr="00FA3F9C">
        <w:rPr>
          <w:rFonts w:ascii="Arial" w:hAnsi="Arial" w:cs="Arial"/>
          <w:noProof/>
          <w:sz w:val="24"/>
          <w:szCs w:val="24"/>
        </w:rPr>
        <w:t xml:space="preserve">treatment of patients with unresectable or </w:t>
      </w:r>
      <w:r w:rsidRPr="00FA3F9C">
        <w:rPr>
          <w:rFonts w:ascii="Arial" w:hAnsi="Arial" w:cs="Arial"/>
          <w:b/>
          <w:noProof/>
          <w:sz w:val="24"/>
          <w:szCs w:val="24"/>
          <w:u w:val="single"/>
        </w:rPr>
        <w:t>metastatic melanoma</w:t>
      </w:r>
      <w:r w:rsidRPr="00FA3F9C">
        <w:rPr>
          <w:rFonts w:ascii="Arial" w:hAnsi="Arial" w:cs="Arial"/>
          <w:noProof/>
          <w:sz w:val="24"/>
          <w:szCs w:val="24"/>
        </w:rPr>
        <w:t xml:space="preserve"> with BRAF V600E or V600K mutations as detected by an FDA-approved test. </w:t>
      </w:r>
    </w:p>
    <w:p w14:paraId="03EDEC62" w14:textId="77777777" w:rsidR="001506C1" w:rsidRPr="00FA3F9C" w:rsidRDefault="001506C1" w:rsidP="001506C1">
      <w:pPr>
        <w:numPr>
          <w:ilvl w:val="0"/>
          <w:numId w:val="99"/>
        </w:numPr>
        <w:spacing w:after="0" w:line="240" w:lineRule="auto"/>
        <w:ind w:left="270" w:hanging="180"/>
        <w:rPr>
          <w:rFonts w:ascii="Arial" w:hAnsi="Arial" w:cs="Arial"/>
          <w:noProof/>
          <w:sz w:val="24"/>
          <w:szCs w:val="24"/>
        </w:rPr>
      </w:pPr>
      <w:r w:rsidRPr="00FA3F9C">
        <w:rPr>
          <w:rFonts w:ascii="Arial" w:hAnsi="Arial" w:cs="Arial"/>
          <w:b/>
          <w:noProof/>
          <w:sz w:val="24"/>
          <w:szCs w:val="24"/>
          <w:u w:val="single"/>
        </w:rPr>
        <w:t>adjuvant treatment</w:t>
      </w:r>
      <w:r w:rsidRPr="00FA3F9C">
        <w:rPr>
          <w:rFonts w:ascii="Arial" w:hAnsi="Arial" w:cs="Arial"/>
          <w:noProof/>
          <w:sz w:val="24"/>
          <w:szCs w:val="24"/>
        </w:rPr>
        <w:t xml:space="preserve"> of patients with </w:t>
      </w:r>
      <w:r w:rsidRPr="00FA3F9C">
        <w:rPr>
          <w:rFonts w:ascii="Arial" w:hAnsi="Arial" w:cs="Arial"/>
          <w:b/>
          <w:noProof/>
          <w:sz w:val="24"/>
          <w:szCs w:val="24"/>
        </w:rPr>
        <w:t>melanoma</w:t>
      </w:r>
      <w:r w:rsidRPr="00FA3F9C">
        <w:rPr>
          <w:rFonts w:ascii="Arial" w:hAnsi="Arial" w:cs="Arial"/>
          <w:noProof/>
          <w:sz w:val="24"/>
          <w:szCs w:val="24"/>
        </w:rPr>
        <w:t xml:space="preserve"> with BRAF V600E or V600K mutations, as detected by an FDA-approved test, and involvement of lymph node(s), following complete resection. </w:t>
      </w:r>
    </w:p>
    <w:p w14:paraId="59920E12" w14:textId="77777777" w:rsidR="001506C1" w:rsidRPr="00FA3F9C" w:rsidRDefault="001506C1" w:rsidP="001506C1">
      <w:pPr>
        <w:numPr>
          <w:ilvl w:val="0"/>
          <w:numId w:val="99"/>
        </w:numPr>
        <w:spacing w:after="0" w:line="240" w:lineRule="auto"/>
        <w:ind w:left="270" w:hanging="180"/>
        <w:rPr>
          <w:rFonts w:ascii="Arial" w:hAnsi="Arial" w:cs="Arial"/>
          <w:noProof/>
          <w:sz w:val="24"/>
          <w:szCs w:val="24"/>
        </w:rPr>
      </w:pPr>
      <w:r w:rsidRPr="00FA3F9C">
        <w:rPr>
          <w:rFonts w:ascii="Arial" w:hAnsi="Arial" w:cs="Arial"/>
          <w:noProof/>
          <w:sz w:val="24"/>
          <w:szCs w:val="24"/>
        </w:rPr>
        <w:t xml:space="preserve">treatment of patients with metastatic </w:t>
      </w:r>
      <w:r w:rsidRPr="00FA3F9C">
        <w:rPr>
          <w:rFonts w:ascii="Arial" w:hAnsi="Arial" w:cs="Arial"/>
          <w:b/>
          <w:noProof/>
          <w:sz w:val="24"/>
          <w:szCs w:val="24"/>
        </w:rPr>
        <w:t>non-small cell lung cancer (NSCLC)</w:t>
      </w:r>
      <w:r w:rsidRPr="00FA3F9C">
        <w:rPr>
          <w:rFonts w:ascii="Arial" w:hAnsi="Arial" w:cs="Arial"/>
          <w:noProof/>
          <w:sz w:val="24"/>
          <w:szCs w:val="24"/>
        </w:rPr>
        <w:t xml:space="preserve"> with BRAF V600E mutation as detected by an FDA-approved test. </w:t>
      </w:r>
      <w:r w:rsidRPr="00FA3F9C">
        <w:rPr>
          <w:rFonts w:ascii="Arial" w:hAnsi="Arial" w:cs="Arial"/>
          <w:noProof/>
          <w:sz w:val="24"/>
          <w:szCs w:val="24"/>
          <w:highlight w:val="yellow"/>
        </w:rPr>
        <w:t>NOT COVERED</w:t>
      </w:r>
      <w:r w:rsidRPr="00FA3F9C">
        <w:rPr>
          <w:rFonts w:ascii="Arial" w:hAnsi="Arial" w:cs="Arial"/>
          <w:noProof/>
          <w:sz w:val="24"/>
          <w:szCs w:val="24"/>
        </w:rPr>
        <w:t>: data limited to single arm trial only; no comparative or overall survival data at this time (other option: platinum-based chemotherapy +/- pembrolizumab)</w:t>
      </w:r>
    </w:p>
    <w:p w14:paraId="53329FAA" w14:textId="77777777" w:rsidR="001506C1" w:rsidRPr="00FA3F9C" w:rsidRDefault="001506C1" w:rsidP="00D96916">
      <w:pPr>
        <w:pStyle w:val="ListParagraph"/>
        <w:ind w:left="630"/>
        <w:rPr>
          <w:rFonts w:ascii="Arial" w:hAnsi="Arial" w:cs="Arial"/>
          <w:sz w:val="24"/>
          <w:szCs w:val="24"/>
        </w:rPr>
      </w:pPr>
      <w:r w:rsidRPr="00FA3F9C">
        <w:rPr>
          <w:rFonts w:ascii="Arial" w:hAnsi="Arial" w:cs="Arial"/>
          <w:noProof/>
          <w:sz w:val="24"/>
          <w:szCs w:val="24"/>
        </w:rPr>
        <w:t>References:</w:t>
      </w:r>
    </w:p>
    <w:p w14:paraId="58242F9F" w14:textId="77777777" w:rsidR="001506C1" w:rsidRPr="00FA3F9C" w:rsidRDefault="00500371" w:rsidP="001506C1">
      <w:pPr>
        <w:pStyle w:val="ListParagraph"/>
        <w:numPr>
          <w:ilvl w:val="1"/>
          <w:numId w:val="101"/>
        </w:numPr>
        <w:ind w:left="900" w:hanging="180"/>
        <w:rPr>
          <w:rFonts w:ascii="Arial" w:hAnsi="Arial" w:cs="Arial"/>
          <w:sz w:val="24"/>
          <w:szCs w:val="24"/>
        </w:rPr>
      </w:pPr>
      <w:hyperlink r:id="rId97" w:history="1">
        <w:proofErr w:type="spellStart"/>
        <w:r w:rsidR="001506C1" w:rsidRPr="00FA3F9C">
          <w:rPr>
            <w:rStyle w:val="Hyperlink"/>
            <w:rFonts w:ascii="Arial" w:hAnsi="Arial" w:cs="Arial"/>
            <w:sz w:val="24"/>
            <w:szCs w:val="24"/>
          </w:rPr>
          <w:t>Planchard</w:t>
        </w:r>
        <w:proofErr w:type="spellEnd"/>
        <w:r w:rsidR="001506C1" w:rsidRPr="00FA3F9C">
          <w:rPr>
            <w:rStyle w:val="Hyperlink"/>
            <w:rFonts w:ascii="Arial" w:hAnsi="Arial" w:cs="Arial"/>
            <w:sz w:val="24"/>
            <w:szCs w:val="24"/>
          </w:rPr>
          <w:t xml:space="preserve"> D</w:t>
        </w:r>
      </w:hyperlink>
      <w:r w:rsidR="001506C1" w:rsidRPr="00FA3F9C">
        <w:rPr>
          <w:rFonts w:ascii="Arial" w:hAnsi="Arial" w:cs="Arial"/>
          <w:sz w:val="24"/>
          <w:szCs w:val="24"/>
        </w:rPr>
        <w:t xml:space="preserve"> et al. Dabrafenib plus trametinib in patients with previously </w:t>
      </w:r>
      <w:r w:rsidR="001506C1" w:rsidRPr="00FA3F9C">
        <w:rPr>
          <w:rFonts w:ascii="Arial" w:hAnsi="Arial" w:cs="Arial"/>
          <w:sz w:val="24"/>
          <w:szCs w:val="24"/>
          <w:u w:val="single"/>
        </w:rPr>
        <w:t>treated</w:t>
      </w:r>
      <w:r w:rsidR="001506C1" w:rsidRPr="00FA3F9C">
        <w:rPr>
          <w:rFonts w:ascii="Arial" w:hAnsi="Arial" w:cs="Arial"/>
          <w:sz w:val="24"/>
          <w:szCs w:val="24"/>
        </w:rPr>
        <w:t xml:space="preserve"> BRAF(V600E)-mutant metastatic non-small cell lung cancer: an open-label, </w:t>
      </w:r>
      <w:proofErr w:type="spellStart"/>
      <w:r w:rsidR="001506C1" w:rsidRPr="00FA3F9C">
        <w:rPr>
          <w:rFonts w:ascii="Arial" w:hAnsi="Arial" w:cs="Arial"/>
          <w:sz w:val="24"/>
          <w:szCs w:val="24"/>
        </w:rPr>
        <w:t>multicentre</w:t>
      </w:r>
      <w:proofErr w:type="spellEnd"/>
      <w:r w:rsidR="001506C1" w:rsidRPr="00FA3F9C">
        <w:rPr>
          <w:rFonts w:ascii="Arial" w:hAnsi="Arial" w:cs="Arial"/>
          <w:sz w:val="24"/>
          <w:szCs w:val="24"/>
        </w:rPr>
        <w:t xml:space="preserve"> phase 2 trial.</w:t>
      </w:r>
      <w:r w:rsidR="001506C1" w:rsidRPr="00FA3F9C">
        <w:rPr>
          <w:rFonts w:ascii="Arial" w:hAnsi="Arial" w:cs="Arial"/>
          <w:b/>
          <w:sz w:val="24"/>
          <w:szCs w:val="24"/>
        </w:rPr>
        <w:t xml:space="preserve"> </w:t>
      </w:r>
      <w:hyperlink r:id="rId98" w:tooltip="The Lancet. Oncology." w:history="1">
        <w:r w:rsidR="001506C1" w:rsidRPr="00FA3F9C">
          <w:rPr>
            <w:rStyle w:val="Hyperlink"/>
            <w:rFonts w:ascii="Arial" w:hAnsi="Arial" w:cs="Arial"/>
            <w:sz w:val="24"/>
            <w:szCs w:val="24"/>
          </w:rPr>
          <w:t>Lancet Oncol.</w:t>
        </w:r>
      </w:hyperlink>
      <w:r w:rsidR="001506C1" w:rsidRPr="00FA3F9C">
        <w:rPr>
          <w:rFonts w:ascii="Arial" w:hAnsi="Arial" w:cs="Arial"/>
          <w:sz w:val="24"/>
          <w:szCs w:val="24"/>
        </w:rPr>
        <w:t xml:space="preserve"> 2016 Jul;17(7):984-993. PMID 27283860 NCT01336634</w:t>
      </w:r>
    </w:p>
    <w:p w14:paraId="7F43D20E" w14:textId="77777777" w:rsidR="001506C1" w:rsidRPr="00FA3F9C" w:rsidRDefault="00500371" w:rsidP="001506C1">
      <w:pPr>
        <w:pStyle w:val="ListParagraph"/>
        <w:numPr>
          <w:ilvl w:val="1"/>
          <w:numId w:val="101"/>
        </w:numPr>
        <w:ind w:left="900" w:hanging="180"/>
        <w:rPr>
          <w:rFonts w:ascii="Arial" w:hAnsi="Arial" w:cs="Arial"/>
          <w:sz w:val="24"/>
          <w:szCs w:val="24"/>
        </w:rPr>
      </w:pPr>
      <w:hyperlink r:id="rId99" w:history="1">
        <w:proofErr w:type="spellStart"/>
        <w:r w:rsidR="001506C1" w:rsidRPr="00FA3F9C">
          <w:rPr>
            <w:rStyle w:val="Hyperlink"/>
            <w:rFonts w:ascii="Arial" w:hAnsi="Arial" w:cs="Arial"/>
            <w:sz w:val="24"/>
            <w:szCs w:val="24"/>
          </w:rPr>
          <w:t>Planchard</w:t>
        </w:r>
        <w:proofErr w:type="spellEnd"/>
        <w:r w:rsidR="001506C1" w:rsidRPr="00FA3F9C">
          <w:rPr>
            <w:rStyle w:val="Hyperlink"/>
            <w:rFonts w:ascii="Arial" w:hAnsi="Arial" w:cs="Arial"/>
            <w:sz w:val="24"/>
            <w:szCs w:val="24"/>
          </w:rPr>
          <w:t xml:space="preserve"> D</w:t>
        </w:r>
      </w:hyperlink>
      <w:r w:rsidR="001506C1" w:rsidRPr="00FA3F9C">
        <w:rPr>
          <w:rFonts w:ascii="Arial" w:hAnsi="Arial" w:cs="Arial"/>
          <w:sz w:val="24"/>
          <w:szCs w:val="24"/>
        </w:rPr>
        <w:t xml:space="preserve"> et al. Dabrafenib plus trametinib in patients with previously </w:t>
      </w:r>
      <w:r w:rsidR="001506C1" w:rsidRPr="00FA3F9C">
        <w:rPr>
          <w:rFonts w:ascii="Arial" w:hAnsi="Arial" w:cs="Arial"/>
          <w:sz w:val="24"/>
          <w:szCs w:val="24"/>
          <w:u w:val="single"/>
        </w:rPr>
        <w:t>untreated</w:t>
      </w:r>
      <w:r w:rsidR="001506C1" w:rsidRPr="00FA3F9C">
        <w:rPr>
          <w:rFonts w:ascii="Arial" w:hAnsi="Arial" w:cs="Arial"/>
          <w:sz w:val="24"/>
          <w:szCs w:val="24"/>
        </w:rPr>
        <w:t xml:space="preserve"> BRAF</w:t>
      </w:r>
      <w:r w:rsidR="001506C1" w:rsidRPr="00FA3F9C">
        <w:rPr>
          <w:rFonts w:ascii="Arial" w:hAnsi="Arial" w:cs="Arial"/>
          <w:sz w:val="24"/>
          <w:szCs w:val="24"/>
          <w:vertAlign w:val="superscript"/>
        </w:rPr>
        <w:t>V600E</w:t>
      </w:r>
      <w:r w:rsidR="001506C1" w:rsidRPr="00FA3F9C">
        <w:rPr>
          <w:rFonts w:ascii="Arial" w:hAnsi="Arial" w:cs="Arial"/>
          <w:sz w:val="24"/>
          <w:szCs w:val="24"/>
        </w:rPr>
        <w:t>-mutant metastatic non-small-cell lung cancer: an open-label, phase 2 trial.</w:t>
      </w:r>
      <w:r w:rsidR="001506C1" w:rsidRPr="00FA3F9C">
        <w:rPr>
          <w:rFonts w:ascii="Arial" w:hAnsi="Arial" w:cs="Arial"/>
          <w:b/>
          <w:sz w:val="24"/>
          <w:szCs w:val="24"/>
        </w:rPr>
        <w:t xml:space="preserve"> </w:t>
      </w:r>
      <w:hyperlink r:id="rId100" w:tooltip="The Lancet. Oncology." w:history="1">
        <w:r w:rsidR="001506C1" w:rsidRPr="00FA3F9C">
          <w:rPr>
            <w:rStyle w:val="Hyperlink"/>
            <w:rFonts w:ascii="Arial" w:hAnsi="Arial" w:cs="Arial"/>
            <w:sz w:val="24"/>
            <w:szCs w:val="24"/>
          </w:rPr>
          <w:t>Lancet Oncol.</w:t>
        </w:r>
      </w:hyperlink>
      <w:r w:rsidR="001506C1" w:rsidRPr="00FA3F9C">
        <w:rPr>
          <w:rFonts w:ascii="Arial" w:hAnsi="Arial" w:cs="Arial"/>
          <w:sz w:val="24"/>
          <w:szCs w:val="24"/>
        </w:rPr>
        <w:t xml:space="preserve"> 2017 Oct;18(10):1307-1316.</w:t>
      </w:r>
    </w:p>
    <w:p w14:paraId="67DE677B" w14:textId="77777777" w:rsidR="001506C1" w:rsidRPr="00FA3F9C" w:rsidRDefault="001506C1" w:rsidP="001506C1">
      <w:pPr>
        <w:numPr>
          <w:ilvl w:val="0"/>
          <w:numId w:val="99"/>
        </w:numPr>
        <w:spacing w:after="0" w:line="240" w:lineRule="auto"/>
        <w:ind w:left="270" w:hanging="180"/>
        <w:rPr>
          <w:rFonts w:ascii="Arial" w:hAnsi="Arial" w:cs="Arial"/>
          <w:noProof/>
          <w:sz w:val="24"/>
          <w:szCs w:val="24"/>
        </w:rPr>
      </w:pPr>
      <w:r w:rsidRPr="00FA3F9C">
        <w:rPr>
          <w:rFonts w:ascii="Arial" w:hAnsi="Arial" w:cs="Arial"/>
          <w:noProof/>
          <w:sz w:val="24"/>
          <w:szCs w:val="24"/>
        </w:rPr>
        <w:t xml:space="preserve">treatment of patients with locally advanced or metastatic </w:t>
      </w:r>
      <w:r w:rsidRPr="00FA3F9C">
        <w:rPr>
          <w:rFonts w:ascii="Arial" w:hAnsi="Arial" w:cs="Arial"/>
          <w:b/>
          <w:noProof/>
          <w:sz w:val="24"/>
          <w:szCs w:val="24"/>
        </w:rPr>
        <w:t>anaplastic thyroid cancer (ATC)</w:t>
      </w:r>
      <w:r w:rsidRPr="00FA3F9C">
        <w:rPr>
          <w:rFonts w:ascii="Arial" w:hAnsi="Arial" w:cs="Arial"/>
          <w:noProof/>
          <w:sz w:val="24"/>
          <w:szCs w:val="24"/>
        </w:rPr>
        <w:t xml:space="preserve"> with BRAF V600E mutation and with no satisfactory locoregional treatment options </w:t>
      </w:r>
      <w:r w:rsidRPr="00FA3F9C">
        <w:rPr>
          <w:rFonts w:ascii="Arial" w:hAnsi="Arial" w:cs="Arial"/>
          <w:noProof/>
          <w:sz w:val="24"/>
          <w:szCs w:val="24"/>
          <w:highlight w:val="yellow"/>
        </w:rPr>
        <w:t>NOT COVERED</w:t>
      </w:r>
      <w:r w:rsidRPr="00FA3F9C">
        <w:rPr>
          <w:rFonts w:ascii="Arial" w:hAnsi="Arial" w:cs="Arial"/>
          <w:noProof/>
          <w:sz w:val="24"/>
          <w:szCs w:val="24"/>
        </w:rPr>
        <w:t>: no comparative data at this time (other option: chemotherapy)</w:t>
      </w:r>
    </w:p>
    <w:p w14:paraId="5A34D863" w14:textId="77777777" w:rsidR="001506C1" w:rsidRPr="00FA3F9C" w:rsidRDefault="001506C1" w:rsidP="00D96916">
      <w:pPr>
        <w:ind w:left="720"/>
        <w:rPr>
          <w:rFonts w:ascii="Arial" w:hAnsi="Arial" w:cs="Arial"/>
          <w:sz w:val="24"/>
          <w:szCs w:val="24"/>
        </w:rPr>
      </w:pPr>
      <w:r w:rsidRPr="00FA3F9C">
        <w:rPr>
          <w:rFonts w:ascii="Arial" w:hAnsi="Arial" w:cs="Arial"/>
          <w:noProof/>
          <w:sz w:val="24"/>
          <w:szCs w:val="24"/>
        </w:rPr>
        <w:lastRenderedPageBreak/>
        <w:t xml:space="preserve">Reference: </w:t>
      </w:r>
      <w:hyperlink r:id="rId101" w:history="1">
        <w:r w:rsidRPr="00FA3F9C">
          <w:rPr>
            <w:rStyle w:val="Hyperlink"/>
            <w:rFonts w:ascii="Arial" w:hAnsi="Arial" w:cs="Arial"/>
            <w:sz w:val="24"/>
            <w:szCs w:val="24"/>
          </w:rPr>
          <w:t>Subbiah V</w:t>
        </w:r>
      </w:hyperlink>
      <w:r w:rsidRPr="00FA3F9C">
        <w:rPr>
          <w:rFonts w:ascii="Arial" w:hAnsi="Arial" w:cs="Arial"/>
          <w:sz w:val="24"/>
          <w:szCs w:val="24"/>
        </w:rPr>
        <w:t xml:space="preserve"> et al. </w:t>
      </w:r>
      <w:r w:rsidRPr="00FA3F9C">
        <w:rPr>
          <w:rStyle w:val="highlight"/>
          <w:rFonts w:ascii="Arial" w:hAnsi="Arial" w:cs="Arial"/>
          <w:sz w:val="24"/>
          <w:szCs w:val="24"/>
        </w:rPr>
        <w:t>Dabrafenib</w:t>
      </w:r>
      <w:r w:rsidRPr="00FA3F9C">
        <w:rPr>
          <w:rFonts w:ascii="Arial" w:hAnsi="Arial" w:cs="Arial"/>
          <w:sz w:val="24"/>
          <w:szCs w:val="24"/>
        </w:rPr>
        <w:t xml:space="preserve"> and Trametinib Treatment in Patients With Locally Advanced or Metastatic BRAF V600-Mutant </w:t>
      </w:r>
      <w:r w:rsidRPr="00FA3F9C">
        <w:rPr>
          <w:rStyle w:val="highlight"/>
          <w:rFonts w:ascii="Arial" w:hAnsi="Arial" w:cs="Arial"/>
          <w:sz w:val="24"/>
          <w:szCs w:val="24"/>
        </w:rPr>
        <w:t>Anaplastic</w:t>
      </w:r>
      <w:r w:rsidRPr="00FA3F9C">
        <w:rPr>
          <w:rFonts w:ascii="Arial" w:hAnsi="Arial" w:cs="Arial"/>
          <w:sz w:val="24"/>
          <w:szCs w:val="24"/>
        </w:rPr>
        <w:t xml:space="preserve"> </w:t>
      </w:r>
      <w:r w:rsidRPr="00FA3F9C">
        <w:rPr>
          <w:rStyle w:val="highlight"/>
          <w:rFonts w:ascii="Arial" w:hAnsi="Arial" w:cs="Arial"/>
          <w:sz w:val="24"/>
          <w:szCs w:val="24"/>
        </w:rPr>
        <w:t>Thyroid</w:t>
      </w:r>
      <w:r w:rsidRPr="00FA3F9C">
        <w:rPr>
          <w:rFonts w:ascii="Arial" w:hAnsi="Arial" w:cs="Arial"/>
          <w:sz w:val="24"/>
          <w:szCs w:val="24"/>
        </w:rPr>
        <w:t xml:space="preserve"> Cancer. </w:t>
      </w:r>
      <w:hyperlink r:id="rId102" w:tooltip="Journal of clinical oncology : official journal of the American Society of Clinical Oncology." w:history="1">
        <w:r w:rsidRPr="00FA3F9C">
          <w:rPr>
            <w:rStyle w:val="Hyperlink"/>
            <w:rFonts w:ascii="Arial" w:hAnsi="Arial" w:cs="Arial"/>
            <w:sz w:val="24"/>
            <w:szCs w:val="24"/>
          </w:rPr>
          <w:t>J Clin Oncol.</w:t>
        </w:r>
      </w:hyperlink>
      <w:r w:rsidRPr="00FA3F9C">
        <w:rPr>
          <w:rFonts w:ascii="Arial" w:hAnsi="Arial" w:cs="Arial"/>
          <w:sz w:val="24"/>
          <w:szCs w:val="24"/>
        </w:rPr>
        <w:t xml:space="preserve"> 2018 Jan 1;36(1):7-13. PMID 29072975 NCT02034110</w:t>
      </w:r>
    </w:p>
    <w:p w14:paraId="385E2DB9" w14:textId="77777777" w:rsidR="001506C1" w:rsidRPr="00FA3F9C" w:rsidRDefault="001506C1" w:rsidP="00D96916">
      <w:pPr>
        <w:ind w:left="720"/>
        <w:rPr>
          <w:rFonts w:ascii="Arial" w:hAnsi="Arial" w:cs="Arial"/>
          <w:noProof/>
          <w:sz w:val="24"/>
          <w:szCs w:val="24"/>
        </w:rPr>
      </w:pPr>
    </w:p>
    <w:p w14:paraId="100CF14B" w14:textId="77777777" w:rsidR="001506C1" w:rsidRPr="00FA3F9C" w:rsidRDefault="001506C1" w:rsidP="00677F53">
      <w:pPr>
        <w:ind w:left="90"/>
        <w:rPr>
          <w:rFonts w:ascii="Arial" w:hAnsi="Arial" w:cs="Arial"/>
          <w:noProof/>
          <w:sz w:val="24"/>
          <w:szCs w:val="24"/>
        </w:rPr>
      </w:pPr>
      <w:r w:rsidRPr="00FA3F9C">
        <w:rPr>
          <w:rFonts w:ascii="Arial" w:hAnsi="Arial" w:cs="Arial"/>
          <w:noProof/>
          <w:sz w:val="24"/>
          <w:szCs w:val="24"/>
        </w:rPr>
        <w:t>Limitations of Use: dabrafenib is not indicated for treatment of patients with wild-type BRAF melanoma, wild-type BRAF NSCLC, or wild-type BRAF anaplastic thyroid cancer.</w:t>
      </w:r>
    </w:p>
    <w:p w14:paraId="5B9190FA" w14:textId="77777777" w:rsidR="001506C1" w:rsidRPr="00FA3F9C" w:rsidRDefault="001506C1" w:rsidP="002A23A6">
      <w:pPr>
        <w:jc w:val="center"/>
        <w:rPr>
          <w:rFonts w:ascii="Arial" w:hAnsi="Arial" w:cs="Arial"/>
          <w:b/>
          <w:noProof/>
          <w:sz w:val="24"/>
          <w:szCs w:val="24"/>
        </w:rPr>
      </w:pPr>
    </w:p>
    <w:p w14:paraId="7A73B2A4" w14:textId="77777777" w:rsidR="001506C1" w:rsidRPr="00FA3F9C" w:rsidRDefault="001506C1" w:rsidP="0015446A">
      <w:pPr>
        <w:rPr>
          <w:rFonts w:ascii="Arial" w:hAnsi="Arial" w:cs="Arial"/>
          <w:noProof/>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6"/>
        <w:gridCol w:w="2044"/>
      </w:tblGrid>
      <w:tr w:rsidR="001506C1" w:rsidRPr="00FA3F9C" w14:paraId="7ECF574D" w14:textId="77777777" w:rsidTr="00977A36">
        <w:tc>
          <w:tcPr>
            <w:tcW w:w="8746" w:type="dxa"/>
            <w:shd w:val="clear" w:color="auto" w:fill="000000"/>
          </w:tcPr>
          <w:p w14:paraId="43992607" w14:textId="77777777" w:rsidR="001506C1" w:rsidRPr="00FA3F9C" w:rsidRDefault="001506C1" w:rsidP="00222299">
            <w:pPr>
              <w:rPr>
                <w:rFonts w:ascii="Arial" w:hAnsi="Arial" w:cs="Arial"/>
                <w:b/>
                <w:sz w:val="24"/>
                <w:szCs w:val="24"/>
                <w:u w:val="single"/>
              </w:rPr>
            </w:pPr>
            <w:r w:rsidRPr="00FA3F9C">
              <w:rPr>
                <w:rFonts w:ascii="Arial" w:hAnsi="Arial" w:cs="Arial"/>
                <w:b/>
                <w:sz w:val="24"/>
                <w:szCs w:val="24"/>
                <w:u w:val="single"/>
              </w:rPr>
              <w:t>Metastatic melanoma criteria for new users</w:t>
            </w:r>
          </w:p>
        </w:tc>
        <w:tc>
          <w:tcPr>
            <w:tcW w:w="2044" w:type="dxa"/>
            <w:shd w:val="clear" w:color="auto" w:fill="000000"/>
          </w:tcPr>
          <w:p w14:paraId="6554BC79" w14:textId="77777777" w:rsidR="001506C1" w:rsidRPr="00FA3F9C" w:rsidRDefault="001506C1" w:rsidP="00977A36">
            <w:pPr>
              <w:jc w:val="center"/>
              <w:rPr>
                <w:rFonts w:ascii="Arial" w:hAnsi="Arial" w:cs="Arial"/>
                <w:b/>
                <w:sz w:val="24"/>
                <w:szCs w:val="24"/>
                <w:u w:val="single"/>
              </w:rPr>
            </w:pPr>
          </w:p>
        </w:tc>
      </w:tr>
      <w:tr w:rsidR="001506C1" w:rsidRPr="00FA3F9C" w14:paraId="26B9277D" w14:textId="77777777" w:rsidTr="00977A36">
        <w:tc>
          <w:tcPr>
            <w:tcW w:w="10790" w:type="dxa"/>
            <w:gridSpan w:val="2"/>
            <w:shd w:val="clear" w:color="auto" w:fill="auto"/>
          </w:tcPr>
          <w:p w14:paraId="73553402" w14:textId="77777777" w:rsidR="001506C1" w:rsidRPr="00FA3F9C" w:rsidRDefault="001506C1" w:rsidP="00FE2763">
            <w:pPr>
              <w:rPr>
                <w:rFonts w:ascii="Arial" w:hAnsi="Arial" w:cs="Arial"/>
                <w:sz w:val="24"/>
                <w:szCs w:val="24"/>
              </w:rPr>
            </w:pPr>
            <w:r w:rsidRPr="00FA3F9C">
              <w:rPr>
                <w:rFonts w:ascii="Arial" w:hAnsi="Arial" w:cs="Arial"/>
                <w:sz w:val="24"/>
                <w:szCs w:val="24"/>
              </w:rPr>
              <w:t xml:space="preserve">1. Patient must have histologically confirmed unresectable or metastatic cutaneous melanoma </w:t>
            </w:r>
          </w:p>
        </w:tc>
      </w:tr>
      <w:tr w:rsidR="001506C1" w:rsidRPr="00FA3F9C" w14:paraId="57486F63" w14:textId="77777777" w:rsidTr="00977A36">
        <w:tc>
          <w:tcPr>
            <w:tcW w:w="10790" w:type="dxa"/>
            <w:gridSpan w:val="2"/>
            <w:shd w:val="clear" w:color="auto" w:fill="auto"/>
          </w:tcPr>
          <w:p w14:paraId="282CBC81" w14:textId="77777777" w:rsidR="001506C1" w:rsidRPr="00FA3F9C" w:rsidRDefault="001506C1" w:rsidP="00B03448">
            <w:pPr>
              <w:rPr>
                <w:rFonts w:ascii="Arial" w:hAnsi="Arial" w:cs="Arial"/>
                <w:sz w:val="24"/>
                <w:szCs w:val="24"/>
              </w:rPr>
            </w:pPr>
            <w:r w:rsidRPr="00FA3F9C">
              <w:rPr>
                <w:rFonts w:ascii="Arial" w:hAnsi="Arial" w:cs="Arial"/>
                <w:sz w:val="24"/>
                <w:szCs w:val="24"/>
              </w:rPr>
              <w:t xml:space="preserve">2. Tumor must have BRAF V600E or BRAF V600K mutation </w:t>
            </w:r>
          </w:p>
        </w:tc>
      </w:tr>
      <w:tr w:rsidR="001506C1" w:rsidRPr="00FA3F9C" w14:paraId="651752B6" w14:textId="77777777" w:rsidTr="00977A36">
        <w:tc>
          <w:tcPr>
            <w:tcW w:w="10790" w:type="dxa"/>
            <w:gridSpan w:val="2"/>
            <w:shd w:val="clear" w:color="auto" w:fill="auto"/>
          </w:tcPr>
          <w:p w14:paraId="10E61098" w14:textId="77777777" w:rsidR="001506C1" w:rsidRPr="00FA3F9C" w:rsidRDefault="001506C1" w:rsidP="00977A36">
            <w:pPr>
              <w:rPr>
                <w:rFonts w:ascii="Arial" w:hAnsi="Arial" w:cs="Arial"/>
                <w:sz w:val="24"/>
                <w:szCs w:val="24"/>
              </w:rPr>
            </w:pPr>
            <w:r w:rsidRPr="00FA3F9C">
              <w:rPr>
                <w:rFonts w:ascii="Arial" w:hAnsi="Arial" w:cs="Arial"/>
                <w:sz w:val="24"/>
                <w:szCs w:val="24"/>
              </w:rPr>
              <w:t>3. Patient must be ECOG 0 or 1.</w:t>
            </w:r>
          </w:p>
        </w:tc>
      </w:tr>
      <w:tr w:rsidR="001506C1" w:rsidRPr="00FA3F9C" w14:paraId="337FDEEF" w14:textId="77777777" w:rsidTr="00977A36">
        <w:tc>
          <w:tcPr>
            <w:tcW w:w="10790" w:type="dxa"/>
            <w:gridSpan w:val="2"/>
            <w:shd w:val="clear" w:color="auto" w:fill="auto"/>
          </w:tcPr>
          <w:p w14:paraId="4ACCF27F" w14:textId="77777777" w:rsidR="001506C1" w:rsidRPr="00FA3F9C" w:rsidRDefault="001506C1" w:rsidP="00FE2763">
            <w:pPr>
              <w:rPr>
                <w:rFonts w:ascii="Arial" w:hAnsi="Arial" w:cs="Arial"/>
                <w:sz w:val="24"/>
                <w:szCs w:val="24"/>
              </w:rPr>
            </w:pPr>
            <w:r w:rsidRPr="00FA3F9C">
              <w:rPr>
                <w:rFonts w:ascii="Arial" w:hAnsi="Arial" w:cs="Arial"/>
                <w:sz w:val="24"/>
                <w:szCs w:val="24"/>
              </w:rPr>
              <w:t>4. The patient must not have received previous systemic therapy for advanced/metastatic melanoma.</w:t>
            </w:r>
          </w:p>
        </w:tc>
      </w:tr>
      <w:tr w:rsidR="001506C1" w:rsidRPr="00FA3F9C" w14:paraId="2BDFEC81" w14:textId="77777777" w:rsidTr="00977A36">
        <w:tc>
          <w:tcPr>
            <w:tcW w:w="10790" w:type="dxa"/>
            <w:gridSpan w:val="2"/>
            <w:shd w:val="clear" w:color="auto" w:fill="auto"/>
          </w:tcPr>
          <w:p w14:paraId="4B9846C6" w14:textId="77777777" w:rsidR="001506C1" w:rsidRPr="00FA3F9C" w:rsidRDefault="001506C1" w:rsidP="00B73602">
            <w:pPr>
              <w:rPr>
                <w:rFonts w:ascii="Arial" w:hAnsi="Arial" w:cs="Arial"/>
                <w:sz w:val="24"/>
                <w:szCs w:val="24"/>
              </w:rPr>
            </w:pPr>
            <w:r w:rsidRPr="00FA3F9C">
              <w:rPr>
                <w:rFonts w:ascii="Arial" w:hAnsi="Arial" w:cs="Arial"/>
                <w:sz w:val="24"/>
                <w:szCs w:val="24"/>
              </w:rPr>
              <w:t>5. Dabrafenib must be used in combination with trametinib (</w:t>
            </w:r>
            <w:proofErr w:type="spellStart"/>
            <w:r w:rsidRPr="00FA3F9C">
              <w:rPr>
                <w:rFonts w:ascii="Arial" w:hAnsi="Arial" w:cs="Arial"/>
                <w:sz w:val="24"/>
                <w:szCs w:val="24"/>
              </w:rPr>
              <w:t>Mekinist</w:t>
            </w:r>
            <w:proofErr w:type="spellEnd"/>
            <w:r w:rsidRPr="00FA3F9C">
              <w:rPr>
                <w:rFonts w:ascii="Arial" w:hAnsi="Arial" w:cs="Arial"/>
                <w:sz w:val="24"/>
                <w:szCs w:val="24"/>
              </w:rPr>
              <w:t>)</w:t>
            </w:r>
          </w:p>
        </w:tc>
      </w:tr>
      <w:tr w:rsidR="001506C1" w:rsidRPr="00FA3F9C" w14:paraId="0FF04429" w14:textId="77777777" w:rsidTr="00977A36">
        <w:trPr>
          <w:trHeight w:val="107"/>
        </w:trPr>
        <w:tc>
          <w:tcPr>
            <w:tcW w:w="10790" w:type="dxa"/>
            <w:gridSpan w:val="2"/>
            <w:tcBorders>
              <w:bottom w:val="single" w:sz="4" w:space="0" w:color="auto"/>
            </w:tcBorders>
            <w:shd w:val="clear" w:color="auto" w:fill="auto"/>
          </w:tcPr>
          <w:p w14:paraId="4880CAC8" w14:textId="77777777" w:rsidR="001506C1" w:rsidRPr="00FA3F9C" w:rsidRDefault="001506C1" w:rsidP="008F12BF">
            <w:pPr>
              <w:rPr>
                <w:rFonts w:ascii="Arial" w:hAnsi="Arial" w:cs="Arial"/>
                <w:b/>
                <w:sz w:val="24"/>
                <w:szCs w:val="24"/>
              </w:rPr>
            </w:pPr>
            <w:r w:rsidRPr="00FA3F9C">
              <w:rPr>
                <w:rFonts w:ascii="Arial" w:hAnsi="Arial" w:cs="Arial"/>
                <w:b/>
                <w:sz w:val="24"/>
                <w:szCs w:val="24"/>
              </w:rPr>
              <w:t xml:space="preserve">If above criteria fulfilled, approve for 12 months. </w:t>
            </w:r>
          </w:p>
        </w:tc>
      </w:tr>
      <w:tr w:rsidR="001506C1" w:rsidRPr="00FA3F9C" w14:paraId="5D6CFABC" w14:textId="77777777" w:rsidTr="00977A36">
        <w:trPr>
          <w:trHeight w:val="107"/>
        </w:trPr>
        <w:tc>
          <w:tcPr>
            <w:tcW w:w="10790" w:type="dxa"/>
            <w:gridSpan w:val="2"/>
            <w:tcBorders>
              <w:bottom w:val="single" w:sz="4" w:space="0" w:color="auto"/>
            </w:tcBorders>
            <w:shd w:val="clear" w:color="auto" w:fill="auto"/>
          </w:tcPr>
          <w:p w14:paraId="0F7382C8" w14:textId="77777777" w:rsidR="001506C1" w:rsidRPr="00FA3F9C" w:rsidRDefault="001506C1" w:rsidP="003973D0">
            <w:pPr>
              <w:rPr>
                <w:rFonts w:ascii="Arial" w:hAnsi="Arial" w:cs="Arial"/>
                <w:b/>
                <w:sz w:val="24"/>
                <w:szCs w:val="24"/>
              </w:rPr>
            </w:pPr>
            <w:r w:rsidRPr="00FA3F9C">
              <w:rPr>
                <w:rFonts w:ascii="Arial" w:hAnsi="Arial" w:cs="Arial"/>
                <w:b/>
                <w:sz w:val="24"/>
                <w:szCs w:val="24"/>
              </w:rPr>
              <w:t xml:space="preserve">Quantity limits: </w:t>
            </w:r>
            <w:r w:rsidRPr="00FA3F9C">
              <w:rPr>
                <w:rFonts w:ascii="Arial" w:hAnsi="Arial" w:cs="Arial"/>
                <w:sz w:val="24"/>
                <w:szCs w:val="24"/>
              </w:rPr>
              <w:t>75 mg and 50 mg capsules: #120/30 days</w:t>
            </w:r>
          </w:p>
        </w:tc>
      </w:tr>
      <w:tr w:rsidR="001506C1" w:rsidRPr="00FA3F9C" w14:paraId="693E1780" w14:textId="77777777" w:rsidTr="00977A36">
        <w:trPr>
          <w:trHeight w:val="107"/>
        </w:trPr>
        <w:tc>
          <w:tcPr>
            <w:tcW w:w="10790" w:type="dxa"/>
            <w:gridSpan w:val="2"/>
            <w:tcBorders>
              <w:bottom w:val="single" w:sz="4" w:space="0" w:color="auto"/>
            </w:tcBorders>
            <w:shd w:val="clear" w:color="auto" w:fill="D9D9D9"/>
          </w:tcPr>
          <w:p w14:paraId="38DBF476" w14:textId="77777777" w:rsidR="001506C1" w:rsidRPr="00FA3F9C" w:rsidRDefault="001506C1" w:rsidP="003973D0">
            <w:pPr>
              <w:rPr>
                <w:rFonts w:ascii="Arial" w:hAnsi="Arial" w:cs="Arial"/>
                <w:sz w:val="24"/>
                <w:szCs w:val="24"/>
              </w:rPr>
            </w:pPr>
            <w:r w:rsidRPr="00FA3F9C">
              <w:rPr>
                <w:rFonts w:ascii="Arial" w:hAnsi="Arial" w:cs="Arial"/>
                <w:b/>
                <w:sz w:val="24"/>
                <w:szCs w:val="24"/>
              </w:rPr>
              <w:t>Note: Treatment continues until progression or unacceptable toxicity.</w:t>
            </w:r>
            <w:r w:rsidRPr="00FA3F9C">
              <w:rPr>
                <w:rFonts w:ascii="Arial" w:hAnsi="Arial" w:cs="Arial"/>
                <w:sz w:val="24"/>
                <w:szCs w:val="24"/>
              </w:rPr>
              <w:t xml:space="preserve"> </w:t>
            </w:r>
          </w:p>
        </w:tc>
      </w:tr>
      <w:tr w:rsidR="001506C1" w:rsidRPr="00FA3F9C" w14:paraId="7AE7C3B8" w14:textId="77777777" w:rsidTr="00977A36">
        <w:trPr>
          <w:trHeight w:val="56"/>
        </w:trPr>
        <w:tc>
          <w:tcPr>
            <w:tcW w:w="10790" w:type="dxa"/>
            <w:gridSpan w:val="2"/>
            <w:tcBorders>
              <w:bottom w:val="single" w:sz="4" w:space="0" w:color="auto"/>
            </w:tcBorders>
            <w:shd w:val="clear" w:color="auto" w:fill="BFBFBF"/>
          </w:tcPr>
          <w:p w14:paraId="0E187207" w14:textId="77777777" w:rsidR="001506C1" w:rsidRPr="00FA3F9C" w:rsidRDefault="001506C1" w:rsidP="00977A36">
            <w:pPr>
              <w:rPr>
                <w:rFonts w:ascii="Arial" w:hAnsi="Arial" w:cs="Arial"/>
                <w:sz w:val="24"/>
                <w:szCs w:val="24"/>
                <w:u w:val="single"/>
              </w:rPr>
            </w:pPr>
            <w:r w:rsidRPr="00FA3F9C">
              <w:rPr>
                <w:rFonts w:ascii="Arial" w:hAnsi="Arial" w:cs="Arial"/>
                <w:sz w:val="24"/>
                <w:szCs w:val="24"/>
                <w:u w:val="single"/>
              </w:rPr>
              <w:t>Starting doses:</w:t>
            </w:r>
          </w:p>
          <w:p w14:paraId="5ADB38EE" w14:textId="77777777" w:rsidR="001506C1" w:rsidRPr="00FA3F9C" w:rsidRDefault="001506C1" w:rsidP="00977A36">
            <w:pPr>
              <w:rPr>
                <w:rFonts w:ascii="Arial" w:hAnsi="Arial" w:cs="Arial"/>
                <w:sz w:val="24"/>
                <w:szCs w:val="24"/>
              </w:rPr>
            </w:pPr>
            <w:r w:rsidRPr="00FA3F9C">
              <w:rPr>
                <w:rFonts w:ascii="Arial" w:hAnsi="Arial" w:cs="Arial"/>
                <w:sz w:val="24"/>
                <w:szCs w:val="24"/>
              </w:rPr>
              <w:t xml:space="preserve">Dabrafenib 150 mg PO bid </w:t>
            </w:r>
          </w:p>
          <w:p w14:paraId="2723D9C1" w14:textId="77777777" w:rsidR="001506C1" w:rsidRPr="00FA3F9C" w:rsidRDefault="001506C1" w:rsidP="00977A36">
            <w:pPr>
              <w:rPr>
                <w:rFonts w:ascii="Arial" w:hAnsi="Arial" w:cs="Arial"/>
                <w:sz w:val="24"/>
                <w:szCs w:val="24"/>
              </w:rPr>
            </w:pPr>
            <w:r w:rsidRPr="00FA3F9C">
              <w:rPr>
                <w:rFonts w:ascii="Arial" w:hAnsi="Arial" w:cs="Arial"/>
                <w:sz w:val="24"/>
                <w:szCs w:val="24"/>
              </w:rPr>
              <w:t>Trametinib 2 mg PO daily</w:t>
            </w:r>
          </w:p>
          <w:p w14:paraId="25658C0B" w14:textId="77777777" w:rsidR="001506C1" w:rsidRPr="00FA3F9C" w:rsidRDefault="001506C1" w:rsidP="00977A36">
            <w:pPr>
              <w:rPr>
                <w:rFonts w:ascii="Arial" w:hAnsi="Arial" w:cs="Arial"/>
                <w:sz w:val="24"/>
                <w:szCs w:val="24"/>
              </w:rPr>
            </w:pPr>
          </w:p>
          <w:p w14:paraId="43BA4E0C" w14:textId="77777777" w:rsidR="001506C1" w:rsidRPr="00FA3F9C" w:rsidRDefault="001506C1" w:rsidP="00977A36">
            <w:pPr>
              <w:rPr>
                <w:rFonts w:ascii="Arial" w:hAnsi="Arial" w:cs="Arial"/>
                <w:b/>
                <w:sz w:val="24"/>
                <w:szCs w:val="24"/>
                <w:u w:val="single"/>
              </w:rPr>
            </w:pPr>
            <w:r w:rsidRPr="00FA3F9C">
              <w:rPr>
                <w:rFonts w:ascii="Arial" w:hAnsi="Arial" w:cs="Arial"/>
                <w:b/>
                <w:sz w:val="24"/>
                <w:szCs w:val="24"/>
                <w:u w:val="single"/>
              </w:rPr>
              <w:lastRenderedPageBreak/>
              <w:t>Evidence:</w:t>
            </w:r>
          </w:p>
          <w:p w14:paraId="5D510A35" w14:textId="77777777" w:rsidR="001506C1" w:rsidRPr="00FA3F9C" w:rsidRDefault="001506C1" w:rsidP="00977A36">
            <w:pPr>
              <w:rPr>
                <w:rFonts w:ascii="Arial" w:hAnsi="Arial" w:cs="Arial"/>
                <w:sz w:val="24"/>
                <w:szCs w:val="24"/>
              </w:rPr>
            </w:pPr>
            <w:proofErr w:type="spellStart"/>
            <w:r w:rsidRPr="00FA3F9C">
              <w:rPr>
                <w:rFonts w:ascii="Arial" w:hAnsi="Arial" w:cs="Arial"/>
                <w:sz w:val="24"/>
                <w:szCs w:val="24"/>
              </w:rPr>
              <w:t>Dabrafenib+trametinib</w:t>
            </w:r>
            <w:proofErr w:type="spellEnd"/>
            <w:r w:rsidRPr="00FA3F9C">
              <w:rPr>
                <w:rFonts w:ascii="Arial" w:hAnsi="Arial" w:cs="Arial"/>
                <w:sz w:val="24"/>
                <w:szCs w:val="24"/>
              </w:rPr>
              <w:t xml:space="preserve"> was superior to dabrafenib monotherapy and vemurafenib monotherapy in the Combi-d and Combi-v studies, respectively. Overall survival for combination therapy was 25 </w:t>
            </w:r>
            <w:proofErr w:type="spellStart"/>
            <w:r w:rsidRPr="00FA3F9C">
              <w:rPr>
                <w:rFonts w:ascii="Arial" w:hAnsi="Arial" w:cs="Arial"/>
                <w:sz w:val="24"/>
                <w:szCs w:val="24"/>
              </w:rPr>
              <w:t>mo</w:t>
            </w:r>
            <w:proofErr w:type="spellEnd"/>
            <w:r w:rsidRPr="00FA3F9C">
              <w:rPr>
                <w:rFonts w:ascii="Arial" w:hAnsi="Arial" w:cs="Arial"/>
                <w:sz w:val="24"/>
                <w:szCs w:val="24"/>
              </w:rPr>
              <w:t xml:space="preserve"> versus 17-18 months in the monotherapy arms</w:t>
            </w:r>
            <w:r w:rsidRPr="00FA3F9C">
              <w:rPr>
                <w:rFonts w:ascii="Arial" w:hAnsi="Arial" w:cs="Arial"/>
                <w:sz w:val="24"/>
                <w:szCs w:val="24"/>
                <w:vertAlign w:val="superscript"/>
              </w:rPr>
              <w:t>1,2</w:t>
            </w:r>
            <w:r w:rsidRPr="00FA3F9C">
              <w:rPr>
                <w:rFonts w:ascii="Arial" w:hAnsi="Arial" w:cs="Arial"/>
                <w:sz w:val="24"/>
                <w:szCs w:val="24"/>
              </w:rPr>
              <w:t xml:space="preserve">. </w:t>
            </w:r>
          </w:p>
          <w:p w14:paraId="09018A05" w14:textId="77777777" w:rsidR="001506C1" w:rsidRPr="00FA3F9C" w:rsidRDefault="001506C1" w:rsidP="00A13D4B">
            <w:pPr>
              <w:rPr>
                <w:rFonts w:ascii="Arial" w:hAnsi="Arial" w:cs="Arial"/>
                <w:sz w:val="24"/>
                <w:szCs w:val="24"/>
              </w:rPr>
            </w:pPr>
          </w:p>
          <w:p w14:paraId="1B189179" w14:textId="77777777" w:rsidR="001506C1" w:rsidRPr="00FA3F9C" w:rsidRDefault="001506C1" w:rsidP="00A13D4B">
            <w:pPr>
              <w:rPr>
                <w:rFonts w:ascii="Arial" w:hAnsi="Arial" w:cs="Arial"/>
                <w:sz w:val="24"/>
                <w:szCs w:val="24"/>
              </w:rPr>
            </w:pPr>
            <w:r w:rsidRPr="00FA3F9C">
              <w:rPr>
                <w:rFonts w:ascii="Arial" w:hAnsi="Arial" w:cs="Arial"/>
                <w:sz w:val="24"/>
                <w:szCs w:val="24"/>
              </w:rPr>
              <w:t>References:</w:t>
            </w:r>
          </w:p>
          <w:p w14:paraId="18919684" w14:textId="77777777" w:rsidR="001506C1" w:rsidRPr="00FA3F9C" w:rsidRDefault="00500371" w:rsidP="001506C1">
            <w:pPr>
              <w:numPr>
                <w:ilvl w:val="0"/>
                <w:numId w:val="100"/>
              </w:numPr>
              <w:spacing w:after="0" w:line="240" w:lineRule="auto"/>
              <w:ind w:left="90" w:hanging="180"/>
              <w:rPr>
                <w:rFonts w:ascii="Arial" w:hAnsi="Arial" w:cs="Arial"/>
                <w:sz w:val="24"/>
                <w:szCs w:val="24"/>
              </w:rPr>
            </w:pPr>
            <w:hyperlink r:id="rId103" w:history="1">
              <w:r w:rsidR="001506C1" w:rsidRPr="00FA3F9C">
                <w:rPr>
                  <w:rStyle w:val="Hyperlink"/>
                  <w:rFonts w:ascii="Arial" w:hAnsi="Arial" w:cs="Arial"/>
                  <w:sz w:val="24"/>
                  <w:szCs w:val="24"/>
                </w:rPr>
                <w:t>Long GV</w:t>
              </w:r>
            </w:hyperlink>
            <w:r w:rsidR="001506C1" w:rsidRPr="00FA3F9C">
              <w:rPr>
                <w:rFonts w:ascii="Arial" w:hAnsi="Arial" w:cs="Arial"/>
                <w:sz w:val="24"/>
                <w:szCs w:val="24"/>
              </w:rPr>
              <w:t xml:space="preserve"> et al.</w:t>
            </w:r>
            <w:r w:rsidR="001506C1" w:rsidRPr="00FA3F9C">
              <w:rPr>
                <w:rFonts w:ascii="Arial" w:hAnsi="Arial" w:cs="Arial"/>
                <w:bCs/>
                <w:sz w:val="24"/>
                <w:szCs w:val="24"/>
              </w:rPr>
              <w:t xml:space="preserve"> Dabrafenib plus trametinib versus dabrafenib monotherapy in patients with metastatic BRAF V600E/K-mutant melanoma: long-term survival and safety analysis of a phase 3 study. </w:t>
            </w:r>
            <w:hyperlink r:id="rId104" w:tooltip="Annals of oncology : official journal of the European Society for Medical Oncology." w:history="1">
              <w:r w:rsidR="001506C1" w:rsidRPr="00FA3F9C">
                <w:rPr>
                  <w:rStyle w:val="Hyperlink"/>
                  <w:rFonts w:ascii="Arial" w:hAnsi="Arial" w:cs="Arial"/>
                  <w:sz w:val="24"/>
                  <w:szCs w:val="24"/>
                </w:rPr>
                <w:t>Ann Oncol.</w:t>
              </w:r>
            </w:hyperlink>
            <w:r w:rsidR="001506C1" w:rsidRPr="00FA3F9C">
              <w:rPr>
                <w:rFonts w:ascii="Arial" w:hAnsi="Arial" w:cs="Arial"/>
                <w:sz w:val="24"/>
                <w:szCs w:val="24"/>
              </w:rPr>
              <w:t> 2017 Jul 1;28(7):1631-1639. PMID 28475671 NCT01584648</w:t>
            </w:r>
          </w:p>
          <w:p w14:paraId="24480B57" w14:textId="77777777" w:rsidR="001506C1" w:rsidRPr="00FA3F9C" w:rsidRDefault="001506C1" w:rsidP="001506C1">
            <w:pPr>
              <w:numPr>
                <w:ilvl w:val="0"/>
                <w:numId w:val="100"/>
              </w:numPr>
              <w:spacing w:after="0" w:line="240" w:lineRule="auto"/>
              <w:ind w:left="90" w:hanging="180"/>
              <w:rPr>
                <w:rFonts w:ascii="Arial" w:hAnsi="Arial" w:cs="Arial"/>
                <w:sz w:val="24"/>
                <w:szCs w:val="24"/>
              </w:rPr>
            </w:pPr>
            <w:r w:rsidRPr="00FA3F9C">
              <w:rPr>
                <w:rFonts w:ascii="Arial" w:hAnsi="Arial" w:cs="Arial"/>
                <w:sz w:val="24"/>
                <w:szCs w:val="24"/>
              </w:rPr>
              <w:t xml:space="preserve">Robert C et al. Improved overall survival in melanoma with combined dabrafenib and trametinib. N </w:t>
            </w:r>
            <w:proofErr w:type="spellStart"/>
            <w:r w:rsidRPr="00FA3F9C">
              <w:rPr>
                <w:rFonts w:ascii="Arial" w:hAnsi="Arial" w:cs="Arial"/>
                <w:sz w:val="24"/>
                <w:szCs w:val="24"/>
              </w:rPr>
              <w:t>Engl</w:t>
            </w:r>
            <w:proofErr w:type="spellEnd"/>
            <w:r w:rsidRPr="00FA3F9C">
              <w:rPr>
                <w:rFonts w:ascii="Arial" w:hAnsi="Arial" w:cs="Arial"/>
                <w:sz w:val="24"/>
                <w:szCs w:val="24"/>
              </w:rPr>
              <w:t xml:space="preserve"> J Med. 2015 Jan 1;372(1):30-9. PMID 2539951 NCT01597908</w:t>
            </w:r>
          </w:p>
        </w:tc>
      </w:tr>
    </w:tbl>
    <w:p w14:paraId="284C761C" w14:textId="77777777" w:rsidR="001506C1" w:rsidRPr="00FA3F9C" w:rsidRDefault="001506C1" w:rsidP="0015446A">
      <w:pPr>
        <w:rPr>
          <w:rFonts w:ascii="Arial" w:hAnsi="Arial" w:cs="Arial"/>
          <w:noProof/>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7"/>
        <w:gridCol w:w="1949"/>
      </w:tblGrid>
      <w:tr w:rsidR="001506C1" w:rsidRPr="00FA3F9C" w14:paraId="5D671E7A" w14:textId="77777777" w:rsidTr="00977A36">
        <w:tc>
          <w:tcPr>
            <w:tcW w:w="8347" w:type="dxa"/>
            <w:shd w:val="clear" w:color="auto" w:fill="000000"/>
          </w:tcPr>
          <w:p w14:paraId="185BEB36" w14:textId="77777777" w:rsidR="001506C1" w:rsidRPr="00FA3F9C" w:rsidRDefault="001506C1" w:rsidP="00977A36">
            <w:pPr>
              <w:rPr>
                <w:rFonts w:ascii="Arial" w:hAnsi="Arial" w:cs="Arial"/>
                <w:b/>
                <w:sz w:val="24"/>
                <w:szCs w:val="24"/>
                <w:u w:val="single"/>
              </w:rPr>
            </w:pPr>
            <w:r w:rsidRPr="00FA3F9C">
              <w:rPr>
                <w:rFonts w:ascii="Arial" w:hAnsi="Arial" w:cs="Arial"/>
                <w:b/>
                <w:sz w:val="24"/>
                <w:szCs w:val="24"/>
                <w:u w:val="single"/>
              </w:rPr>
              <w:t>Adjuvant treatment of melanoma criteria for new users</w:t>
            </w:r>
          </w:p>
        </w:tc>
        <w:tc>
          <w:tcPr>
            <w:tcW w:w="1949" w:type="dxa"/>
            <w:shd w:val="clear" w:color="auto" w:fill="000000"/>
          </w:tcPr>
          <w:p w14:paraId="195B44B2" w14:textId="77777777" w:rsidR="001506C1" w:rsidRPr="00FA3F9C" w:rsidRDefault="001506C1" w:rsidP="00977A36">
            <w:pPr>
              <w:jc w:val="center"/>
              <w:rPr>
                <w:rFonts w:ascii="Arial" w:hAnsi="Arial" w:cs="Arial"/>
                <w:b/>
                <w:sz w:val="24"/>
                <w:szCs w:val="24"/>
                <w:u w:val="single"/>
              </w:rPr>
            </w:pPr>
          </w:p>
        </w:tc>
      </w:tr>
      <w:tr w:rsidR="001506C1" w:rsidRPr="00FA3F9C" w14:paraId="7273060C" w14:textId="77777777" w:rsidTr="00977A36">
        <w:tc>
          <w:tcPr>
            <w:tcW w:w="10296" w:type="dxa"/>
            <w:gridSpan w:val="2"/>
            <w:shd w:val="clear" w:color="auto" w:fill="auto"/>
          </w:tcPr>
          <w:p w14:paraId="580928E7" w14:textId="77777777" w:rsidR="001506C1" w:rsidRPr="00FA3F9C" w:rsidRDefault="001506C1" w:rsidP="00FF3971">
            <w:pPr>
              <w:rPr>
                <w:rFonts w:ascii="Arial" w:hAnsi="Arial" w:cs="Arial"/>
                <w:sz w:val="24"/>
                <w:szCs w:val="24"/>
              </w:rPr>
            </w:pPr>
            <w:r w:rsidRPr="00FA3F9C">
              <w:rPr>
                <w:rFonts w:ascii="Arial" w:hAnsi="Arial" w:cs="Arial"/>
                <w:sz w:val="24"/>
                <w:szCs w:val="24"/>
              </w:rPr>
              <w:t xml:space="preserve">1. Patient must have </w:t>
            </w:r>
            <w:proofErr w:type="spellStart"/>
            <w:r w:rsidRPr="00FA3F9C">
              <w:rPr>
                <w:rFonts w:ascii="Arial" w:hAnsi="Arial" w:cs="Arial"/>
                <w:sz w:val="24"/>
                <w:szCs w:val="24"/>
              </w:rPr>
              <w:t>resectable</w:t>
            </w:r>
            <w:proofErr w:type="spellEnd"/>
            <w:r w:rsidRPr="00FA3F9C">
              <w:rPr>
                <w:rFonts w:ascii="Arial" w:hAnsi="Arial" w:cs="Arial"/>
                <w:sz w:val="24"/>
                <w:szCs w:val="24"/>
              </w:rPr>
              <w:t xml:space="preserve"> stage III cutaneous melanoma </w:t>
            </w:r>
          </w:p>
        </w:tc>
      </w:tr>
      <w:tr w:rsidR="001506C1" w:rsidRPr="00FA3F9C" w14:paraId="63CA5528" w14:textId="77777777" w:rsidTr="00977A36">
        <w:tc>
          <w:tcPr>
            <w:tcW w:w="10296" w:type="dxa"/>
            <w:gridSpan w:val="2"/>
            <w:shd w:val="clear" w:color="auto" w:fill="auto"/>
          </w:tcPr>
          <w:p w14:paraId="41BBFC49" w14:textId="77777777" w:rsidR="001506C1" w:rsidRPr="00FA3F9C" w:rsidRDefault="001506C1" w:rsidP="00671542">
            <w:pPr>
              <w:rPr>
                <w:rFonts w:ascii="Arial" w:hAnsi="Arial" w:cs="Arial"/>
                <w:sz w:val="24"/>
                <w:szCs w:val="24"/>
              </w:rPr>
            </w:pPr>
            <w:r w:rsidRPr="00FA3F9C">
              <w:rPr>
                <w:rFonts w:ascii="Arial" w:hAnsi="Arial" w:cs="Arial"/>
                <w:sz w:val="24"/>
                <w:szCs w:val="24"/>
              </w:rPr>
              <w:t>2. Patient must have undergone complete resection of melanoma</w:t>
            </w:r>
          </w:p>
        </w:tc>
      </w:tr>
      <w:tr w:rsidR="001506C1" w:rsidRPr="00FA3F9C" w14:paraId="67B1A8DB" w14:textId="77777777" w:rsidTr="00977A36">
        <w:tc>
          <w:tcPr>
            <w:tcW w:w="10296" w:type="dxa"/>
            <w:gridSpan w:val="2"/>
            <w:shd w:val="clear" w:color="auto" w:fill="auto"/>
          </w:tcPr>
          <w:p w14:paraId="6431DB29" w14:textId="77777777" w:rsidR="001506C1" w:rsidRPr="00FA3F9C" w:rsidRDefault="001506C1" w:rsidP="00B03448">
            <w:pPr>
              <w:rPr>
                <w:rFonts w:ascii="Arial" w:hAnsi="Arial" w:cs="Arial"/>
                <w:sz w:val="24"/>
                <w:szCs w:val="24"/>
              </w:rPr>
            </w:pPr>
            <w:r w:rsidRPr="00FA3F9C">
              <w:rPr>
                <w:rFonts w:ascii="Arial" w:hAnsi="Arial" w:cs="Arial"/>
                <w:sz w:val="24"/>
                <w:szCs w:val="24"/>
              </w:rPr>
              <w:t xml:space="preserve">3. Tumor must have BRAF V600E or BRAF V600K mutation </w:t>
            </w:r>
          </w:p>
        </w:tc>
      </w:tr>
      <w:tr w:rsidR="001506C1" w:rsidRPr="00FA3F9C" w14:paraId="30B65DE8" w14:textId="77777777" w:rsidTr="00977A36">
        <w:tc>
          <w:tcPr>
            <w:tcW w:w="10296" w:type="dxa"/>
            <w:gridSpan w:val="2"/>
            <w:shd w:val="clear" w:color="auto" w:fill="auto"/>
          </w:tcPr>
          <w:p w14:paraId="25A7C828" w14:textId="77777777" w:rsidR="001506C1" w:rsidRPr="00FA3F9C" w:rsidRDefault="001506C1" w:rsidP="00977A36">
            <w:pPr>
              <w:rPr>
                <w:rFonts w:ascii="Arial" w:hAnsi="Arial" w:cs="Arial"/>
                <w:sz w:val="24"/>
                <w:szCs w:val="24"/>
              </w:rPr>
            </w:pPr>
            <w:r w:rsidRPr="00FA3F9C">
              <w:rPr>
                <w:rFonts w:ascii="Arial" w:hAnsi="Arial" w:cs="Arial"/>
                <w:sz w:val="24"/>
                <w:szCs w:val="24"/>
              </w:rPr>
              <w:t>4. Patient must be ECOG 0 or 1.</w:t>
            </w:r>
          </w:p>
        </w:tc>
      </w:tr>
      <w:tr w:rsidR="001506C1" w:rsidRPr="00FA3F9C" w14:paraId="4D4034C2" w14:textId="77777777" w:rsidTr="00977A36">
        <w:tc>
          <w:tcPr>
            <w:tcW w:w="10296" w:type="dxa"/>
            <w:gridSpan w:val="2"/>
            <w:shd w:val="clear" w:color="auto" w:fill="auto"/>
          </w:tcPr>
          <w:p w14:paraId="5F3D49AC" w14:textId="77777777" w:rsidR="001506C1" w:rsidRPr="00FA3F9C" w:rsidRDefault="001506C1" w:rsidP="005D6F6B">
            <w:pPr>
              <w:rPr>
                <w:rFonts w:ascii="Arial" w:hAnsi="Arial" w:cs="Arial"/>
                <w:sz w:val="24"/>
                <w:szCs w:val="24"/>
              </w:rPr>
            </w:pPr>
            <w:r w:rsidRPr="00FA3F9C">
              <w:rPr>
                <w:rFonts w:ascii="Arial" w:hAnsi="Arial" w:cs="Arial"/>
                <w:sz w:val="24"/>
                <w:szCs w:val="24"/>
              </w:rPr>
              <w:t>5. Dabrafenib must be used in combination with trametinib [monotherapy has not been studied]</w:t>
            </w:r>
          </w:p>
        </w:tc>
      </w:tr>
      <w:tr w:rsidR="001506C1" w:rsidRPr="00FA3F9C" w14:paraId="0D565786" w14:textId="77777777" w:rsidTr="00977A36">
        <w:trPr>
          <w:trHeight w:val="107"/>
        </w:trPr>
        <w:tc>
          <w:tcPr>
            <w:tcW w:w="10296" w:type="dxa"/>
            <w:gridSpan w:val="2"/>
            <w:tcBorders>
              <w:bottom w:val="single" w:sz="4" w:space="0" w:color="auto"/>
            </w:tcBorders>
            <w:shd w:val="clear" w:color="auto" w:fill="auto"/>
          </w:tcPr>
          <w:p w14:paraId="3334D82F" w14:textId="77777777" w:rsidR="001506C1" w:rsidRPr="00FA3F9C" w:rsidRDefault="001506C1" w:rsidP="003973D0">
            <w:pPr>
              <w:rPr>
                <w:rFonts w:ascii="Arial" w:hAnsi="Arial" w:cs="Arial"/>
                <w:b/>
                <w:sz w:val="24"/>
                <w:szCs w:val="24"/>
              </w:rPr>
            </w:pPr>
            <w:r w:rsidRPr="00FA3F9C">
              <w:rPr>
                <w:rFonts w:ascii="Arial" w:hAnsi="Arial" w:cs="Arial"/>
                <w:b/>
                <w:sz w:val="24"/>
                <w:szCs w:val="24"/>
              </w:rPr>
              <w:t xml:space="preserve">If above criteria fulfilled, approve for 6 months. </w:t>
            </w:r>
            <w:r w:rsidRPr="00FA3F9C">
              <w:rPr>
                <w:rFonts w:ascii="Arial" w:hAnsi="Arial" w:cs="Arial"/>
                <w:b/>
                <w:sz w:val="24"/>
                <w:szCs w:val="24"/>
                <w:highlight w:val="green"/>
              </w:rPr>
              <w:t>Adjuvant therapy for melanoma should not exceed 12 months</w:t>
            </w:r>
            <w:r w:rsidRPr="00FA3F9C">
              <w:rPr>
                <w:rFonts w:ascii="Arial" w:hAnsi="Arial" w:cs="Arial"/>
                <w:b/>
                <w:sz w:val="24"/>
                <w:szCs w:val="24"/>
              </w:rPr>
              <w:t>.</w:t>
            </w:r>
          </w:p>
        </w:tc>
      </w:tr>
      <w:tr w:rsidR="001506C1" w:rsidRPr="00FA3F9C" w14:paraId="72047A78" w14:textId="77777777" w:rsidTr="00977A36">
        <w:trPr>
          <w:trHeight w:val="107"/>
        </w:trPr>
        <w:tc>
          <w:tcPr>
            <w:tcW w:w="10296" w:type="dxa"/>
            <w:gridSpan w:val="2"/>
            <w:tcBorders>
              <w:bottom w:val="single" w:sz="4" w:space="0" w:color="auto"/>
            </w:tcBorders>
            <w:shd w:val="clear" w:color="auto" w:fill="auto"/>
          </w:tcPr>
          <w:p w14:paraId="446857FE" w14:textId="77777777" w:rsidR="001506C1" w:rsidRPr="00FA3F9C" w:rsidRDefault="001506C1" w:rsidP="003973D0">
            <w:pPr>
              <w:rPr>
                <w:rFonts w:ascii="Arial" w:hAnsi="Arial" w:cs="Arial"/>
                <w:sz w:val="24"/>
                <w:szCs w:val="24"/>
              </w:rPr>
            </w:pPr>
            <w:r w:rsidRPr="00FA3F9C">
              <w:rPr>
                <w:rFonts w:ascii="Arial" w:hAnsi="Arial" w:cs="Arial"/>
                <w:b/>
                <w:sz w:val="24"/>
                <w:szCs w:val="24"/>
              </w:rPr>
              <w:t xml:space="preserve">Quantity limits: </w:t>
            </w:r>
            <w:r w:rsidRPr="00FA3F9C">
              <w:rPr>
                <w:rFonts w:ascii="Arial" w:hAnsi="Arial" w:cs="Arial"/>
                <w:sz w:val="24"/>
                <w:szCs w:val="24"/>
              </w:rPr>
              <w:t>75 mg and 50 mg capsules: #120/30 days</w:t>
            </w:r>
          </w:p>
        </w:tc>
      </w:tr>
      <w:tr w:rsidR="001506C1" w:rsidRPr="00FA3F9C" w14:paraId="395CDC29" w14:textId="77777777" w:rsidTr="00977A36">
        <w:trPr>
          <w:trHeight w:val="1031"/>
        </w:trPr>
        <w:tc>
          <w:tcPr>
            <w:tcW w:w="10296" w:type="dxa"/>
            <w:gridSpan w:val="2"/>
            <w:tcBorders>
              <w:bottom w:val="single" w:sz="4" w:space="0" w:color="auto"/>
            </w:tcBorders>
            <w:shd w:val="clear" w:color="auto" w:fill="BFBFBF"/>
          </w:tcPr>
          <w:p w14:paraId="30DB4D93" w14:textId="77777777" w:rsidR="001506C1" w:rsidRPr="00FA3F9C" w:rsidRDefault="001506C1" w:rsidP="00977A36">
            <w:pPr>
              <w:rPr>
                <w:rFonts w:ascii="Arial" w:hAnsi="Arial" w:cs="Arial"/>
                <w:sz w:val="24"/>
                <w:szCs w:val="24"/>
                <w:u w:val="single"/>
              </w:rPr>
            </w:pPr>
            <w:r w:rsidRPr="00FA3F9C">
              <w:rPr>
                <w:rFonts w:ascii="Arial" w:hAnsi="Arial" w:cs="Arial"/>
                <w:sz w:val="24"/>
                <w:szCs w:val="24"/>
                <w:u w:val="single"/>
              </w:rPr>
              <w:lastRenderedPageBreak/>
              <w:t>Starting doses:</w:t>
            </w:r>
          </w:p>
          <w:p w14:paraId="683BBD2B" w14:textId="77777777" w:rsidR="001506C1" w:rsidRPr="00FA3F9C" w:rsidRDefault="001506C1" w:rsidP="00977A36">
            <w:pPr>
              <w:rPr>
                <w:rFonts w:ascii="Arial" w:hAnsi="Arial" w:cs="Arial"/>
                <w:sz w:val="24"/>
                <w:szCs w:val="24"/>
              </w:rPr>
            </w:pPr>
            <w:r w:rsidRPr="00FA3F9C">
              <w:rPr>
                <w:rFonts w:ascii="Arial" w:hAnsi="Arial" w:cs="Arial"/>
                <w:sz w:val="24"/>
                <w:szCs w:val="24"/>
              </w:rPr>
              <w:t xml:space="preserve">Dabrafenib 150 mg PO bid </w:t>
            </w:r>
          </w:p>
          <w:p w14:paraId="56D5005F" w14:textId="77777777" w:rsidR="001506C1" w:rsidRPr="00FA3F9C" w:rsidRDefault="001506C1" w:rsidP="00977A36">
            <w:pPr>
              <w:rPr>
                <w:rFonts w:ascii="Arial" w:hAnsi="Arial" w:cs="Arial"/>
                <w:sz w:val="24"/>
                <w:szCs w:val="24"/>
              </w:rPr>
            </w:pPr>
            <w:r w:rsidRPr="00FA3F9C">
              <w:rPr>
                <w:rFonts w:ascii="Arial" w:hAnsi="Arial" w:cs="Arial"/>
                <w:sz w:val="24"/>
                <w:szCs w:val="24"/>
              </w:rPr>
              <w:t>Trametinib 2 mg PO daily</w:t>
            </w:r>
          </w:p>
          <w:p w14:paraId="447C2FFA" w14:textId="77777777" w:rsidR="001506C1" w:rsidRPr="00FA3F9C" w:rsidRDefault="001506C1" w:rsidP="00977A36">
            <w:pPr>
              <w:rPr>
                <w:rFonts w:ascii="Arial" w:hAnsi="Arial" w:cs="Arial"/>
                <w:sz w:val="24"/>
                <w:szCs w:val="24"/>
              </w:rPr>
            </w:pPr>
          </w:p>
          <w:p w14:paraId="6B496023" w14:textId="77777777" w:rsidR="001506C1" w:rsidRPr="00FA3F9C" w:rsidRDefault="001506C1" w:rsidP="00977A36">
            <w:pPr>
              <w:rPr>
                <w:rFonts w:ascii="Arial" w:hAnsi="Arial" w:cs="Arial"/>
                <w:b/>
                <w:sz w:val="24"/>
                <w:szCs w:val="24"/>
                <w:u w:val="single"/>
              </w:rPr>
            </w:pPr>
            <w:r w:rsidRPr="00FA3F9C">
              <w:rPr>
                <w:rFonts w:ascii="Arial" w:hAnsi="Arial" w:cs="Arial"/>
                <w:b/>
                <w:sz w:val="24"/>
                <w:szCs w:val="24"/>
                <w:u w:val="single"/>
              </w:rPr>
              <w:t>Evidence:</w:t>
            </w:r>
          </w:p>
          <w:p w14:paraId="78FA0224" w14:textId="77777777" w:rsidR="001506C1" w:rsidRPr="00FA3F9C" w:rsidRDefault="001506C1" w:rsidP="00977A36">
            <w:pPr>
              <w:rPr>
                <w:rFonts w:ascii="Arial" w:hAnsi="Arial" w:cs="Arial"/>
                <w:sz w:val="24"/>
                <w:szCs w:val="24"/>
              </w:rPr>
            </w:pPr>
            <w:r w:rsidRPr="00FA3F9C">
              <w:rPr>
                <w:rFonts w:ascii="Arial" w:hAnsi="Arial" w:cs="Arial"/>
                <w:sz w:val="24"/>
                <w:szCs w:val="24"/>
              </w:rPr>
              <w:t xml:space="preserve">The combination of </w:t>
            </w:r>
            <w:proofErr w:type="spellStart"/>
            <w:r w:rsidRPr="00FA3F9C">
              <w:rPr>
                <w:rFonts w:ascii="Arial" w:hAnsi="Arial" w:cs="Arial"/>
                <w:sz w:val="24"/>
                <w:szCs w:val="24"/>
              </w:rPr>
              <w:t>dabrafenib+trametinib</w:t>
            </w:r>
            <w:proofErr w:type="spellEnd"/>
            <w:r w:rsidRPr="00FA3F9C">
              <w:rPr>
                <w:rFonts w:ascii="Arial" w:hAnsi="Arial" w:cs="Arial"/>
                <w:sz w:val="24"/>
                <w:szCs w:val="24"/>
              </w:rPr>
              <w:t xml:space="preserve"> improved relapse-free survival compared with placebo in patients with resected stage III melanoma. Four-year relapse free survival was 54% (dab/tram) vs 38% (placebo). An interim analysis of overall survival showed an improvement with combination therapy (3-year OS of 86% versus 77% in the placebo group (HR, 0.57; 95% CI, 0.42 to 0.79; </w:t>
            </w:r>
            <w:r w:rsidRPr="00FA3F9C">
              <w:rPr>
                <w:rFonts w:ascii="Arial" w:hAnsi="Arial" w:cs="Arial"/>
                <w:i/>
                <w:iCs/>
                <w:sz w:val="24"/>
                <w:szCs w:val="24"/>
              </w:rPr>
              <w:t>P</w:t>
            </w:r>
            <w:r w:rsidRPr="00FA3F9C">
              <w:rPr>
                <w:rFonts w:ascii="Arial" w:hAnsi="Arial" w:cs="Arial"/>
                <w:sz w:val="24"/>
                <w:szCs w:val="24"/>
              </w:rPr>
              <w:t> = .0006), but this improvement did not cross the prespecified interim analysis significance threshold of </w:t>
            </w:r>
            <w:r w:rsidRPr="00FA3F9C">
              <w:rPr>
                <w:rFonts w:ascii="Arial" w:hAnsi="Arial" w:cs="Arial"/>
                <w:i/>
                <w:iCs/>
                <w:sz w:val="24"/>
                <w:szCs w:val="24"/>
              </w:rPr>
              <w:t>P</w:t>
            </w:r>
            <w:r w:rsidRPr="00FA3F9C">
              <w:rPr>
                <w:rFonts w:ascii="Arial" w:hAnsi="Arial" w:cs="Arial"/>
                <w:sz w:val="24"/>
                <w:szCs w:val="24"/>
              </w:rPr>
              <w:t> = 0.000019. </w:t>
            </w:r>
          </w:p>
          <w:p w14:paraId="2A3120C8" w14:textId="77777777" w:rsidR="001506C1" w:rsidRPr="00FA3F9C" w:rsidRDefault="001506C1" w:rsidP="00FF3971">
            <w:pPr>
              <w:rPr>
                <w:rFonts w:ascii="Arial" w:hAnsi="Arial" w:cs="Arial"/>
                <w:sz w:val="24"/>
                <w:szCs w:val="24"/>
              </w:rPr>
            </w:pPr>
          </w:p>
          <w:p w14:paraId="39C35C51" w14:textId="77777777" w:rsidR="001506C1" w:rsidRPr="00FA3F9C" w:rsidRDefault="001506C1" w:rsidP="00FF3971">
            <w:pPr>
              <w:rPr>
                <w:rFonts w:ascii="Arial" w:hAnsi="Arial" w:cs="Arial"/>
                <w:sz w:val="24"/>
                <w:szCs w:val="24"/>
              </w:rPr>
            </w:pPr>
            <w:r w:rsidRPr="00FA3F9C">
              <w:rPr>
                <w:rFonts w:ascii="Arial" w:hAnsi="Arial" w:cs="Arial"/>
                <w:sz w:val="24"/>
                <w:szCs w:val="24"/>
              </w:rPr>
              <w:t>References:</w:t>
            </w:r>
          </w:p>
          <w:p w14:paraId="16B96A18" w14:textId="77777777" w:rsidR="001506C1" w:rsidRPr="00FA3F9C" w:rsidRDefault="001506C1" w:rsidP="001506C1">
            <w:pPr>
              <w:pStyle w:val="ListParagraph"/>
              <w:numPr>
                <w:ilvl w:val="0"/>
                <w:numId w:val="101"/>
              </w:numPr>
              <w:spacing w:after="0" w:line="240" w:lineRule="auto"/>
              <w:ind w:left="160" w:hanging="180"/>
              <w:rPr>
                <w:rFonts w:ascii="Arial" w:hAnsi="Arial" w:cs="Arial"/>
                <w:sz w:val="24"/>
                <w:szCs w:val="24"/>
              </w:rPr>
            </w:pPr>
            <w:r w:rsidRPr="00FA3F9C">
              <w:rPr>
                <w:rFonts w:ascii="Arial" w:eastAsia="Times New Roman" w:hAnsi="Arial" w:cs="Arial"/>
                <w:sz w:val="24"/>
                <w:szCs w:val="24"/>
              </w:rPr>
              <w:t xml:space="preserve">Long GV et al. Adjuvant Dabrafenib plus Trametinib in Stage III BRAF-Mutated Melanoma. N </w:t>
            </w:r>
            <w:proofErr w:type="spellStart"/>
            <w:r w:rsidRPr="00FA3F9C">
              <w:rPr>
                <w:rFonts w:ascii="Arial" w:eastAsia="Times New Roman" w:hAnsi="Arial" w:cs="Arial"/>
                <w:sz w:val="24"/>
                <w:szCs w:val="24"/>
              </w:rPr>
              <w:t>Engl</w:t>
            </w:r>
            <w:proofErr w:type="spellEnd"/>
            <w:r w:rsidRPr="00FA3F9C">
              <w:rPr>
                <w:rFonts w:ascii="Arial" w:eastAsia="Times New Roman" w:hAnsi="Arial" w:cs="Arial"/>
                <w:sz w:val="24"/>
                <w:szCs w:val="24"/>
              </w:rPr>
              <w:t xml:space="preserve"> J Med. 2017;377(19):1813. PMID 28891408 NCT01682083</w:t>
            </w:r>
          </w:p>
          <w:p w14:paraId="6227C5F3" w14:textId="77777777" w:rsidR="001506C1" w:rsidRPr="00FA3F9C" w:rsidRDefault="001506C1" w:rsidP="001506C1">
            <w:pPr>
              <w:pStyle w:val="ListParagraph"/>
              <w:numPr>
                <w:ilvl w:val="0"/>
                <w:numId w:val="101"/>
              </w:numPr>
              <w:spacing w:after="0" w:line="240" w:lineRule="auto"/>
              <w:ind w:left="160" w:hanging="180"/>
              <w:rPr>
                <w:rFonts w:ascii="Arial" w:hAnsi="Arial" w:cs="Arial"/>
                <w:sz w:val="24"/>
                <w:szCs w:val="24"/>
              </w:rPr>
            </w:pPr>
            <w:proofErr w:type="spellStart"/>
            <w:r w:rsidRPr="00FA3F9C">
              <w:rPr>
                <w:rFonts w:ascii="Arial" w:hAnsi="Arial" w:cs="Arial"/>
                <w:sz w:val="24"/>
                <w:szCs w:val="24"/>
              </w:rPr>
              <w:t>Hauschild</w:t>
            </w:r>
            <w:proofErr w:type="spellEnd"/>
            <w:r w:rsidRPr="00FA3F9C">
              <w:rPr>
                <w:rFonts w:ascii="Arial" w:hAnsi="Arial" w:cs="Arial"/>
                <w:sz w:val="24"/>
                <w:szCs w:val="24"/>
              </w:rPr>
              <w:t xml:space="preserve"> A et al. Longer Follow-Up Confirms Relapse-Free Survival Benefit </w:t>
            </w:r>
            <w:proofErr w:type="gramStart"/>
            <w:r w:rsidRPr="00FA3F9C">
              <w:rPr>
                <w:rFonts w:ascii="Arial" w:hAnsi="Arial" w:cs="Arial"/>
                <w:sz w:val="24"/>
                <w:szCs w:val="24"/>
              </w:rPr>
              <w:t>With</w:t>
            </w:r>
            <w:proofErr w:type="gramEnd"/>
            <w:r w:rsidRPr="00FA3F9C">
              <w:rPr>
                <w:rFonts w:ascii="Arial" w:hAnsi="Arial" w:cs="Arial"/>
                <w:sz w:val="24"/>
                <w:szCs w:val="24"/>
              </w:rPr>
              <w:t xml:space="preserve"> Adjuvant Dabrafenib Plus Trametinib in Patients With Resected BRAF V600-Mutant Stage III Melanoma. J Clin Oncol. 2018 Oct 22:JCO1801219. [</w:t>
            </w:r>
            <w:proofErr w:type="spellStart"/>
            <w:r w:rsidRPr="00FA3F9C">
              <w:rPr>
                <w:rFonts w:ascii="Arial" w:hAnsi="Arial" w:cs="Arial"/>
                <w:sz w:val="24"/>
                <w:szCs w:val="24"/>
              </w:rPr>
              <w:t>Epub</w:t>
            </w:r>
            <w:proofErr w:type="spellEnd"/>
            <w:r w:rsidRPr="00FA3F9C">
              <w:rPr>
                <w:rFonts w:ascii="Arial" w:hAnsi="Arial" w:cs="Arial"/>
                <w:sz w:val="24"/>
                <w:szCs w:val="24"/>
              </w:rPr>
              <w:t xml:space="preserve"> ahead of print] PMID 30343620 </w:t>
            </w:r>
            <w:r w:rsidRPr="00FA3F9C">
              <w:rPr>
                <w:rFonts w:ascii="Arial" w:eastAsia="Times New Roman" w:hAnsi="Arial" w:cs="Arial"/>
                <w:sz w:val="24"/>
                <w:szCs w:val="24"/>
              </w:rPr>
              <w:t>NCT01682083</w:t>
            </w:r>
          </w:p>
          <w:p w14:paraId="2AE1F410" w14:textId="77777777" w:rsidR="001506C1" w:rsidRPr="00FA3F9C" w:rsidRDefault="001506C1" w:rsidP="00FF3971">
            <w:pPr>
              <w:rPr>
                <w:rFonts w:ascii="Arial" w:hAnsi="Arial" w:cs="Arial"/>
                <w:sz w:val="24"/>
                <w:szCs w:val="24"/>
              </w:rPr>
            </w:pPr>
          </w:p>
        </w:tc>
      </w:tr>
    </w:tbl>
    <w:p w14:paraId="3A76DC46" w14:textId="77777777" w:rsidR="001506C1" w:rsidRPr="00FA3F9C" w:rsidRDefault="001506C1" w:rsidP="002A23A6">
      <w:pPr>
        <w:rPr>
          <w:rFonts w:ascii="Arial" w:hAnsi="Arial" w:cs="Arial"/>
          <w:noProof/>
          <w:sz w:val="24"/>
          <w:szCs w:val="24"/>
        </w:rPr>
      </w:pPr>
    </w:p>
    <w:p w14:paraId="7CED38ED" w14:textId="77777777" w:rsidR="001506C1" w:rsidRPr="00FA3F9C" w:rsidRDefault="001506C1" w:rsidP="002A23A6">
      <w:pPr>
        <w:rPr>
          <w:rFonts w:ascii="Arial" w:hAnsi="Arial" w:cs="Arial"/>
          <w:noProof/>
          <w:sz w:val="24"/>
          <w:szCs w:val="24"/>
        </w:rPr>
      </w:pPr>
      <w:r w:rsidRPr="00FA3F9C">
        <w:rPr>
          <w:rFonts w:ascii="Arial" w:hAnsi="Arial" w:cs="Arial"/>
          <w:noProof/>
          <w:sz w:val="24"/>
          <w:szCs w:val="24"/>
        </w:rPr>
        <w:t>Revision history:</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7006"/>
        <w:gridCol w:w="1944"/>
      </w:tblGrid>
      <w:tr w:rsidR="001506C1" w:rsidRPr="00FA3F9C" w14:paraId="0484E41D" w14:textId="77777777" w:rsidTr="00D351CB">
        <w:tc>
          <w:tcPr>
            <w:tcW w:w="828" w:type="dxa"/>
            <w:tcBorders>
              <w:top w:val="single" w:sz="4" w:space="0" w:color="auto"/>
              <w:left w:val="single" w:sz="4" w:space="0" w:color="auto"/>
              <w:bottom w:val="single" w:sz="4" w:space="0" w:color="auto"/>
              <w:right w:val="single" w:sz="4" w:space="0" w:color="auto"/>
            </w:tcBorders>
            <w:hideMark/>
          </w:tcPr>
          <w:p w14:paraId="33ADD196" w14:textId="77777777" w:rsidR="001506C1" w:rsidRPr="00FA3F9C" w:rsidRDefault="001506C1">
            <w:pPr>
              <w:rPr>
                <w:rFonts w:ascii="Arial" w:hAnsi="Arial" w:cs="Arial"/>
                <w:noProof/>
                <w:sz w:val="24"/>
                <w:szCs w:val="24"/>
              </w:rPr>
            </w:pPr>
            <w:r w:rsidRPr="00FA3F9C">
              <w:rPr>
                <w:rFonts w:ascii="Arial" w:hAnsi="Arial" w:cs="Arial"/>
                <w:noProof/>
                <w:sz w:val="24"/>
                <w:szCs w:val="24"/>
              </w:rPr>
              <w:t>Date</w:t>
            </w:r>
          </w:p>
        </w:tc>
        <w:tc>
          <w:tcPr>
            <w:tcW w:w="7560" w:type="dxa"/>
            <w:tcBorders>
              <w:top w:val="single" w:sz="4" w:space="0" w:color="auto"/>
              <w:left w:val="single" w:sz="4" w:space="0" w:color="auto"/>
              <w:bottom w:val="single" w:sz="4" w:space="0" w:color="auto"/>
              <w:right w:val="single" w:sz="4" w:space="0" w:color="auto"/>
            </w:tcBorders>
            <w:hideMark/>
          </w:tcPr>
          <w:p w14:paraId="2E4E3A24" w14:textId="77777777" w:rsidR="001506C1" w:rsidRPr="00FA3F9C" w:rsidRDefault="001506C1">
            <w:pPr>
              <w:rPr>
                <w:rFonts w:ascii="Arial" w:hAnsi="Arial" w:cs="Arial"/>
                <w:noProof/>
                <w:sz w:val="24"/>
                <w:szCs w:val="24"/>
              </w:rPr>
            </w:pPr>
            <w:r w:rsidRPr="00FA3F9C">
              <w:rPr>
                <w:rFonts w:ascii="Arial" w:hAnsi="Arial" w:cs="Arial"/>
                <w:noProof/>
                <w:sz w:val="24"/>
                <w:szCs w:val="24"/>
              </w:rPr>
              <w:t>What changed?</w:t>
            </w:r>
          </w:p>
        </w:tc>
        <w:tc>
          <w:tcPr>
            <w:tcW w:w="1980" w:type="dxa"/>
            <w:tcBorders>
              <w:top w:val="single" w:sz="4" w:space="0" w:color="auto"/>
              <w:left w:val="single" w:sz="4" w:space="0" w:color="auto"/>
              <w:bottom w:val="single" w:sz="4" w:space="0" w:color="auto"/>
              <w:right w:val="single" w:sz="4" w:space="0" w:color="auto"/>
            </w:tcBorders>
            <w:hideMark/>
          </w:tcPr>
          <w:p w14:paraId="0A1937F8" w14:textId="77777777" w:rsidR="001506C1" w:rsidRPr="00FA3F9C" w:rsidRDefault="001506C1">
            <w:pPr>
              <w:rPr>
                <w:rFonts w:ascii="Arial" w:hAnsi="Arial" w:cs="Arial"/>
                <w:noProof/>
                <w:sz w:val="24"/>
                <w:szCs w:val="24"/>
              </w:rPr>
            </w:pPr>
            <w:r w:rsidRPr="00FA3F9C">
              <w:rPr>
                <w:rFonts w:ascii="Arial" w:hAnsi="Arial" w:cs="Arial"/>
                <w:noProof/>
                <w:sz w:val="24"/>
                <w:szCs w:val="24"/>
              </w:rPr>
              <w:t>Pharmacist’s initials</w:t>
            </w:r>
          </w:p>
        </w:tc>
      </w:tr>
      <w:tr w:rsidR="001506C1" w:rsidRPr="00FA3F9C" w14:paraId="4BF04A97" w14:textId="77777777" w:rsidTr="00D351CB">
        <w:tc>
          <w:tcPr>
            <w:tcW w:w="828" w:type="dxa"/>
            <w:tcBorders>
              <w:top w:val="single" w:sz="4" w:space="0" w:color="auto"/>
              <w:left w:val="single" w:sz="4" w:space="0" w:color="auto"/>
              <w:bottom w:val="single" w:sz="4" w:space="0" w:color="auto"/>
              <w:right w:val="single" w:sz="4" w:space="0" w:color="auto"/>
            </w:tcBorders>
          </w:tcPr>
          <w:p w14:paraId="792FD6CB" w14:textId="77777777" w:rsidR="001506C1" w:rsidRPr="00FA3F9C" w:rsidRDefault="001506C1">
            <w:pPr>
              <w:rPr>
                <w:rFonts w:ascii="Arial" w:hAnsi="Arial" w:cs="Arial"/>
                <w:noProof/>
                <w:sz w:val="24"/>
                <w:szCs w:val="24"/>
              </w:rPr>
            </w:pPr>
            <w:r w:rsidRPr="00FA3F9C">
              <w:rPr>
                <w:rFonts w:ascii="Arial" w:hAnsi="Arial" w:cs="Arial"/>
                <w:noProof/>
                <w:sz w:val="24"/>
                <w:szCs w:val="24"/>
              </w:rPr>
              <w:lastRenderedPageBreak/>
              <w:t>9/17/13</w:t>
            </w:r>
          </w:p>
        </w:tc>
        <w:tc>
          <w:tcPr>
            <w:tcW w:w="7560" w:type="dxa"/>
            <w:tcBorders>
              <w:top w:val="single" w:sz="4" w:space="0" w:color="auto"/>
              <w:left w:val="single" w:sz="4" w:space="0" w:color="auto"/>
              <w:bottom w:val="single" w:sz="4" w:space="0" w:color="auto"/>
              <w:right w:val="single" w:sz="4" w:space="0" w:color="auto"/>
            </w:tcBorders>
          </w:tcPr>
          <w:p w14:paraId="3B5014AB" w14:textId="77777777" w:rsidR="001506C1" w:rsidRPr="00FA3F9C" w:rsidRDefault="001506C1">
            <w:pPr>
              <w:rPr>
                <w:rFonts w:ascii="Arial" w:hAnsi="Arial" w:cs="Arial"/>
                <w:noProof/>
                <w:sz w:val="24"/>
                <w:szCs w:val="24"/>
              </w:rPr>
            </w:pPr>
            <w:r w:rsidRPr="00FA3F9C">
              <w:rPr>
                <w:rFonts w:ascii="Arial" w:hAnsi="Arial" w:cs="Arial"/>
                <w:noProof/>
                <w:sz w:val="24"/>
                <w:szCs w:val="24"/>
              </w:rPr>
              <w:t>Criteria written</w:t>
            </w:r>
          </w:p>
        </w:tc>
        <w:tc>
          <w:tcPr>
            <w:tcW w:w="1980" w:type="dxa"/>
            <w:tcBorders>
              <w:top w:val="single" w:sz="4" w:space="0" w:color="auto"/>
              <w:left w:val="single" w:sz="4" w:space="0" w:color="auto"/>
              <w:bottom w:val="single" w:sz="4" w:space="0" w:color="auto"/>
              <w:right w:val="single" w:sz="4" w:space="0" w:color="auto"/>
            </w:tcBorders>
          </w:tcPr>
          <w:p w14:paraId="0A35C5C2" w14:textId="5291CC12" w:rsidR="001506C1" w:rsidRPr="00FA3F9C" w:rsidRDefault="005C142D">
            <w:pPr>
              <w:rPr>
                <w:rFonts w:ascii="Arial" w:hAnsi="Arial" w:cs="Arial"/>
                <w:noProof/>
                <w:sz w:val="24"/>
                <w:szCs w:val="24"/>
              </w:rPr>
            </w:pPr>
            <w:r w:rsidRPr="00FA3F9C">
              <w:rPr>
                <w:rFonts w:ascii="Arial" w:hAnsi="Arial" w:cs="Arial"/>
                <w:noProof/>
                <w:sz w:val="24"/>
                <w:szCs w:val="24"/>
              </w:rPr>
              <w:t>JJ</w:t>
            </w:r>
          </w:p>
        </w:tc>
      </w:tr>
      <w:tr w:rsidR="001506C1" w:rsidRPr="00FA3F9C" w14:paraId="455CA817" w14:textId="77777777" w:rsidTr="00D351CB">
        <w:tc>
          <w:tcPr>
            <w:tcW w:w="828" w:type="dxa"/>
            <w:tcBorders>
              <w:top w:val="single" w:sz="4" w:space="0" w:color="auto"/>
              <w:left w:val="single" w:sz="4" w:space="0" w:color="auto"/>
              <w:bottom w:val="single" w:sz="4" w:space="0" w:color="auto"/>
              <w:right w:val="single" w:sz="4" w:space="0" w:color="auto"/>
            </w:tcBorders>
          </w:tcPr>
          <w:p w14:paraId="5C6A55A6" w14:textId="77777777" w:rsidR="001506C1" w:rsidRPr="00FA3F9C" w:rsidRDefault="001506C1">
            <w:pPr>
              <w:rPr>
                <w:rFonts w:ascii="Arial" w:hAnsi="Arial" w:cs="Arial"/>
                <w:noProof/>
                <w:sz w:val="24"/>
                <w:szCs w:val="24"/>
              </w:rPr>
            </w:pPr>
            <w:r w:rsidRPr="00FA3F9C">
              <w:rPr>
                <w:rFonts w:ascii="Arial" w:hAnsi="Arial" w:cs="Arial"/>
                <w:noProof/>
                <w:sz w:val="24"/>
                <w:szCs w:val="24"/>
              </w:rPr>
              <w:t>1/15/15</w:t>
            </w:r>
          </w:p>
        </w:tc>
        <w:tc>
          <w:tcPr>
            <w:tcW w:w="7560" w:type="dxa"/>
            <w:tcBorders>
              <w:top w:val="single" w:sz="4" w:space="0" w:color="auto"/>
              <w:left w:val="single" w:sz="4" w:space="0" w:color="auto"/>
              <w:bottom w:val="single" w:sz="4" w:space="0" w:color="auto"/>
              <w:right w:val="single" w:sz="4" w:space="0" w:color="auto"/>
            </w:tcBorders>
          </w:tcPr>
          <w:p w14:paraId="7664B67D" w14:textId="77777777" w:rsidR="001506C1" w:rsidRPr="00FA3F9C" w:rsidRDefault="001506C1">
            <w:pPr>
              <w:rPr>
                <w:rFonts w:ascii="Arial" w:hAnsi="Arial" w:cs="Arial"/>
                <w:noProof/>
                <w:sz w:val="24"/>
                <w:szCs w:val="24"/>
              </w:rPr>
            </w:pPr>
            <w:r w:rsidRPr="00FA3F9C">
              <w:rPr>
                <w:rFonts w:ascii="Arial" w:hAnsi="Arial" w:cs="Arial"/>
                <w:noProof/>
                <w:sz w:val="24"/>
                <w:szCs w:val="24"/>
              </w:rPr>
              <w:t xml:space="preserve">I changed the criteria to include combination trametinib + dabrafenib since new OS data are published.  Dabrafenib monotherapy is still not covered.  This was discussed at DCWG </w:t>
            </w:r>
          </w:p>
        </w:tc>
        <w:tc>
          <w:tcPr>
            <w:tcW w:w="1980" w:type="dxa"/>
            <w:tcBorders>
              <w:top w:val="single" w:sz="4" w:space="0" w:color="auto"/>
              <w:left w:val="single" w:sz="4" w:space="0" w:color="auto"/>
              <w:bottom w:val="single" w:sz="4" w:space="0" w:color="auto"/>
              <w:right w:val="single" w:sz="4" w:space="0" w:color="auto"/>
            </w:tcBorders>
          </w:tcPr>
          <w:p w14:paraId="10B9DCEA" w14:textId="77777777" w:rsidR="001506C1" w:rsidRPr="00FA3F9C" w:rsidRDefault="001506C1">
            <w:pPr>
              <w:rPr>
                <w:rFonts w:ascii="Arial" w:hAnsi="Arial" w:cs="Arial"/>
                <w:noProof/>
                <w:sz w:val="24"/>
                <w:szCs w:val="24"/>
              </w:rPr>
            </w:pPr>
            <w:r w:rsidRPr="00FA3F9C">
              <w:rPr>
                <w:rFonts w:ascii="Arial" w:hAnsi="Arial" w:cs="Arial"/>
                <w:noProof/>
                <w:sz w:val="24"/>
                <w:szCs w:val="24"/>
              </w:rPr>
              <w:t>JJ</w:t>
            </w:r>
          </w:p>
        </w:tc>
      </w:tr>
      <w:tr w:rsidR="001506C1" w:rsidRPr="00FA3F9C" w14:paraId="13240E9C" w14:textId="77777777" w:rsidTr="00D351CB">
        <w:tc>
          <w:tcPr>
            <w:tcW w:w="828" w:type="dxa"/>
            <w:tcBorders>
              <w:top w:val="single" w:sz="4" w:space="0" w:color="auto"/>
              <w:left w:val="single" w:sz="4" w:space="0" w:color="auto"/>
              <w:bottom w:val="single" w:sz="4" w:space="0" w:color="auto"/>
              <w:right w:val="single" w:sz="4" w:space="0" w:color="auto"/>
            </w:tcBorders>
          </w:tcPr>
          <w:p w14:paraId="0EA96535" w14:textId="77777777" w:rsidR="001506C1" w:rsidRPr="00FA3F9C" w:rsidRDefault="001506C1">
            <w:pPr>
              <w:rPr>
                <w:rFonts w:ascii="Arial" w:hAnsi="Arial" w:cs="Arial"/>
                <w:noProof/>
                <w:sz w:val="24"/>
                <w:szCs w:val="24"/>
              </w:rPr>
            </w:pPr>
            <w:r w:rsidRPr="00FA3F9C">
              <w:rPr>
                <w:rFonts w:ascii="Arial" w:hAnsi="Arial" w:cs="Arial"/>
                <w:noProof/>
                <w:sz w:val="24"/>
                <w:szCs w:val="24"/>
              </w:rPr>
              <w:t>7/14/15</w:t>
            </w:r>
          </w:p>
        </w:tc>
        <w:tc>
          <w:tcPr>
            <w:tcW w:w="7560" w:type="dxa"/>
            <w:tcBorders>
              <w:top w:val="single" w:sz="4" w:space="0" w:color="auto"/>
              <w:left w:val="single" w:sz="4" w:space="0" w:color="auto"/>
              <w:bottom w:val="single" w:sz="4" w:space="0" w:color="auto"/>
              <w:right w:val="single" w:sz="4" w:space="0" w:color="auto"/>
            </w:tcBorders>
          </w:tcPr>
          <w:p w14:paraId="139C567B" w14:textId="77777777" w:rsidR="001506C1" w:rsidRPr="00FA3F9C" w:rsidRDefault="001506C1">
            <w:pPr>
              <w:rPr>
                <w:rFonts w:ascii="Arial" w:hAnsi="Arial" w:cs="Arial"/>
                <w:noProof/>
                <w:sz w:val="24"/>
                <w:szCs w:val="24"/>
              </w:rPr>
            </w:pPr>
            <w:r w:rsidRPr="00FA3F9C">
              <w:rPr>
                <w:rFonts w:ascii="Arial" w:hAnsi="Arial" w:cs="Arial"/>
                <w:noProof/>
                <w:sz w:val="24"/>
                <w:szCs w:val="24"/>
              </w:rPr>
              <w:t>Re-review.</w:t>
            </w:r>
          </w:p>
        </w:tc>
        <w:tc>
          <w:tcPr>
            <w:tcW w:w="1980" w:type="dxa"/>
            <w:tcBorders>
              <w:top w:val="single" w:sz="4" w:space="0" w:color="auto"/>
              <w:left w:val="single" w:sz="4" w:space="0" w:color="auto"/>
              <w:bottom w:val="single" w:sz="4" w:space="0" w:color="auto"/>
              <w:right w:val="single" w:sz="4" w:space="0" w:color="auto"/>
            </w:tcBorders>
          </w:tcPr>
          <w:p w14:paraId="6FAE774F" w14:textId="77777777" w:rsidR="001506C1" w:rsidRPr="00FA3F9C" w:rsidRDefault="001506C1">
            <w:pPr>
              <w:rPr>
                <w:rFonts w:ascii="Arial" w:hAnsi="Arial" w:cs="Arial"/>
                <w:noProof/>
                <w:sz w:val="24"/>
                <w:szCs w:val="24"/>
              </w:rPr>
            </w:pPr>
            <w:r w:rsidRPr="00FA3F9C">
              <w:rPr>
                <w:rFonts w:ascii="Arial" w:hAnsi="Arial" w:cs="Arial"/>
                <w:noProof/>
                <w:sz w:val="24"/>
                <w:szCs w:val="24"/>
              </w:rPr>
              <w:t>JJ</w:t>
            </w:r>
          </w:p>
        </w:tc>
      </w:tr>
      <w:tr w:rsidR="001506C1" w:rsidRPr="00FA3F9C" w14:paraId="7C022940" w14:textId="77777777" w:rsidTr="00D351CB">
        <w:tc>
          <w:tcPr>
            <w:tcW w:w="828" w:type="dxa"/>
            <w:tcBorders>
              <w:top w:val="single" w:sz="4" w:space="0" w:color="auto"/>
              <w:left w:val="single" w:sz="4" w:space="0" w:color="auto"/>
              <w:bottom w:val="single" w:sz="4" w:space="0" w:color="auto"/>
              <w:right w:val="single" w:sz="4" w:space="0" w:color="auto"/>
            </w:tcBorders>
          </w:tcPr>
          <w:p w14:paraId="6951225A" w14:textId="77777777" w:rsidR="001506C1" w:rsidRPr="00FA3F9C" w:rsidRDefault="001506C1">
            <w:pPr>
              <w:rPr>
                <w:rFonts w:ascii="Arial" w:hAnsi="Arial" w:cs="Arial"/>
                <w:noProof/>
                <w:sz w:val="24"/>
                <w:szCs w:val="24"/>
              </w:rPr>
            </w:pPr>
            <w:r w:rsidRPr="00FA3F9C">
              <w:rPr>
                <w:rFonts w:ascii="Arial" w:hAnsi="Arial" w:cs="Arial"/>
                <w:noProof/>
                <w:sz w:val="24"/>
                <w:szCs w:val="24"/>
              </w:rPr>
              <w:t>4/19/19</w:t>
            </w:r>
          </w:p>
        </w:tc>
        <w:tc>
          <w:tcPr>
            <w:tcW w:w="7560" w:type="dxa"/>
            <w:tcBorders>
              <w:top w:val="single" w:sz="4" w:space="0" w:color="auto"/>
              <w:left w:val="single" w:sz="4" w:space="0" w:color="auto"/>
              <w:bottom w:val="single" w:sz="4" w:space="0" w:color="auto"/>
              <w:right w:val="single" w:sz="4" w:space="0" w:color="auto"/>
            </w:tcBorders>
          </w:tcPr>
          <w:p w14:paraId="689FD2ED" w14:textId="77777777" w:rsidR="001506C1" w:rsidRPr="00FA3F9C" w:rsidRDefault="001506C1" w:rsidP="00BB2111">
            <w:pPr>
              <w:rPr>
                <w:rFonts w:ascii="Arial" w:hAnsi="Arial" w:cs="Arial"/>
                <w:noProof/>
                <w:sz w:val="24"/>
                <w:szCs w:val="24"/>
              </w:rPr>
            </w:pPr>
            <w:r w:rsidRPr="00FA3F9C">
              <w:rPr>
                <w:rFonts w:ascii="Arial" w:hAnsi="Arial" w:cs="Arial"/>
                <w:noProof/>
                <w:sz w:val="24"/>
                <w:szCs w:val="24"/>
              </w:rPr>
              <w:t>Criteria reviewed; added adjuvant treatment of melanoma as a covered indication. New FDA approved indications of NSCLC and anaplastic thyroid cancer not covered.</w:t>
            </w:r>
          </w:p>
        </w:tc>
        <w:tc>
          <w:tcPr>
            <w:tcW w:w="1980" w:type="dxa"/>
            <w:tcBorders>
              <w:top w:val="single" w:sz="4" w:space="0" w:color="auto"/>
              <w:left w:val="single" w:sz="4" w:space="0" w:color="auto"/>
              <w:bottom w:val="single" w:sz="4" w:space="0" w:color="auto"/>
              <w:right w:val="single" w:sz="4" w:space="0" w:color="auto"/>
            </w:tcBorders>
          </w:tcPr>
          <w:p w14:paraId="566BAE14" w14:textId="77777777" w:rsidR="001506C1" w:rsidRPr="00FA3F9C" w:rsidRDefault="001506C1">
            <w:pPr>
              <w:rPr>
                <w:rFonts w:ascii="Arial" w:hAnsi="Arial" w:cs="Arial"/>
                <w:noProof/>
                <w:sz w:val="24"/>
                <w:szCs w:val="24"/>
              </w:rPr>
            </w:pPr>
            <w:r w:rsidRPr="00FA3F9C">
              <w:rPr>
                <w:rFonts w:ascii="Arial" w:hAnsi="Arial" w:cs="Arial"/>
                <w:noProof/>
                <w:sz w:val="24"/>
                <w:szCs w:val="24"/>
              </w:rPr>
              <w:t>SK</w:t>
            </w:r>
          </w:p>
        </w:tc>
      </w:tr>
      <w:tr w:rsidR="001506C1" w:rsidRPr="00FA3F9C" w14:paraId="22856649" w14:textId="77777777" w:rsidTr="00D351CB">
        <w:tc>
          <w:tcPr>
            <w:tcW w:w="828" w:type="dxa"/>
            <w:tcBorders>
              <w:top w:val="single" w:sz="4" w:space="0" w:color="auto"/>
              <w:left w:val="single" w:sz="4" w:space="0" w:color="auto"/>
              <w:bottom w:val="single" w:sz="4" w:space="0" w:color="auto"/>
              <w:right w:val="single" w:sz="4" w:space="0" w:color="auto"/>
            </w:tcBorders>
          </w:tcPr>
          <w:p w14:paraId="79F58358" w14:textId="77777777" w:rsidR="001506C1" w:rsidRPr="00FA3F9C" w:rsidRDefault="001506C1">
            <w:pPr>
              <w:rPr>
                <w:rFonts w:ascii="Arial" w:hAnsi="Arial" w:cs="Arial"/>
                <w:noProof/>
                <w:sz w:val="24"/>
                <w:szCs w:val="24"/>
              </w:rPr>
            </w:pPr>
            <w:r w:rsidRPr="00FA3F9C">
              <w:rPr>
                <w:rFonts w:ascii="Arial" w:hAnsi="Arial" w:cs="Arial"/>
                <w:noProof/>
                <w:sz w:val="24"/>
                <w:szCs w:val="24"/>
              </w:rPr>
              <w:t>4/23/19</w:t>
            </w:r>
          </w:p>
        </w:tc>
        <w:tc>
          <w:tcPr>
            <w:tcW w:w="7560" w:type="dxa"/>
            <w:tcBorders>
              <w:top w:val="single" w:sz="4" w:space="0" w:color="auto"/>
              <w:left w:val="single" w:sz="4" w:space="0" w:color="auto"/>
              <w:bottom w:val="single" w:sz="4" w:space="0" w:color="auto"/>
              <w:right w:val="single" w:sz="4" w:space="0" w:color="auto"/>
            </w:tcBorders>
          </w:tcPr>
          <w:p w14:paraId="5ABCB3FD" w14:textId="77777777" w:rsidR="001506C1" w:rsidRPr="00FA3F9C" w:rsidRDefault="001506C1" w:rsidP="00BB2111">
            <w:pPr>
              <w:rPr>
                <w:rFonts w:ascii="Arial" w:hAnsi="Arial" w:cs="Arial"/>
                <w:noProof/>
                <w:sz w:val="24"/>
                <w:szCs w:val="24"/>
              </w:rPr>
            </w:pPr>
            <w:r w:rsidRPr="00FA3F9C">
              <w:rPr>
                <w:rFonts w:ascii="Arial" w:hAnsi="Arial" w:cs="Arial"/>
                <w:noProof/>
                <w:sz w:val="24"/>
                <w:szCs w:val="24"/>
              </w:rPr>
              <w:t>I included references 3-5 on NSCLC and thyroid cancer to show what we considered in excluding the use.</w:t>
            </w:r>
          </w:p>
        </w:tc>
        <w:tc>
          <w:tcPr>
            <w:tcW w:w="1980" w:type="dxa"/>
            <w:tcBorders>
              <w:top w:val="single" w:sz="4" w:space="0" w:color="auto"/>
              <w:left w:val="single" w:sz="4" w:space="0" w:color="auto"/>
              <w:bottom w:val="single" w:sz="4" w:space="0" w:color="auto"/>
              <w:right w:val="single" w:sz="4" w:space="0" w:color="auto"/>
            </w:tcBorders>
          </w:tcPr>
          <w:p w14:paraId="1451D5D7" w14:textId="77777777" w:rsidR="001506C1" w:rsidRPr="00FA3F9C" w:rsidRDefault="001506C1">
            <w:pPr>
              <w:rPr>
                <w:rFonts w:ascii="Arial" w:hAnsi="Arial" w:cs="Arial"/>
                <w:noProof/>
                <w:sz w:val="24"/>
                <w:szCs w:val="24"/>
              </w:rPr>
            </w:pPr>
            <w:r w:rsidRPr="00FA3F9C">
              <w:rPr>
                <w:rFonts w:ascii="Arial" w:hAnsi="Arial" w:cs="Arial"/>
                <w:noProof/>
                <w:sz w:val="24"/>
                <w:szCs w:val="24"/>
              </w:rPr>
              <w:t>JJ</w:t>
            </w:r>
          </w:p>
        </w:tc>
      </w:tr>
      <w:tr w:rsidR="001506C1" w:rsidRPr="00FA3F9C" w14:paraId="279856E9" w14:textId="77777777" w:rsidTr="00D351CB">
        <w:tc>
          <w:tcPr>
            <w:tcW w:w="828" w:type="dxa"/>
            <w:tcBorders>
              <w:top w:val="single" w:sz="4" w:space="0" w:color="auto"/>
              <w:left w:val="single" w:sz="4" w:space="0" w:color="auto"/>
              <w:bottom w:val="single" w:sz="4" w:space="0" w:color="auto"/>
              <w:right w:val="single" w:sz="4" w:space="0" w:color="auto"/>
            </w:tcBorders>
          </w:tcPr>
          <w:p w14:paraId="72B1B570" w14:textId="77777777" w:rsidR="001506C1" w:rsidRPr="00FA3F9C" w:rsidRDefault="001506C1" w:rsidP="00537DEE">
            <w:pPr>
              <w:rPr>
                <w:rFonts w:ascii="Arial" w:hAnsi="Arial" w:cs="Arial"/>
                <w:noProof/>
                <w:sz w:val="24"/>
                <w:szCs w:val="24"/>
              </w:rPr>
            </w:pPr>
            <w:r w:rsidRPr="00FA3F9C">
              <w:rPr>
                <w:rFonts w:ascii="Arial" w:hAnsi="Arial" w:cs="Arial"/>
                <w:noProof/>
                <w:sz w:val="24"/>
                <w:szCs w:val="24"/>
              </w:rPr>
              <w:t>9/30/19</w:t>
            </w:r>
          </w:p>
        </w:tc>
        <w:tc>
          <w:tcPr>
            <w:tcW w:w="7560" w:type="dxa"/>
            <w:tcBorders>
              <w:top w:val="single" w:sz="4" w:space="0" w:color="auto"/>
              <w:left w:val="single" w:sz="4" w:space="0" w:color="auto"/>
              <w:bottom w:val="single" w:sz="4" w:space="0" w:color="auto"/>
              <w:right w:val="single" w:sz="4" w:space="0" w:color="auto"/>
            </w:tcBorders>
          </w:tcPr>
          <w:p w14:paraId="268A8F5D" w14:textId="77777777" w:rsidR="001506C1" w:rsidRPr="00FA3F9C" w:rsidRDefault="001506C1" w:rsidP="00FC693D">
            <w:pPr>
              <w:rPr>
                <w:rFonts w:ascii="Arial" w:hAnsi="Arial" w:cs="Arial"/>
                <w:noProof/>
                <w:sz w:val="24"/>
                <w:szCs w:val="24"/>
              </w:rPr>
            </w:pPr>
            <w:r w:rsidRPr="00FA3F9C">
              <w:rPr>
                <w:rFonts w:ascii="Arial" w:hAnsi="Arial" w:cs="Arial"/>
                <w:noProof/>
                <w:sz w:val="24"/>
                <w:szCs w:val="24"/>
              </w:rPr>
              <w:t xml:space="preserve">Criteria reviewed. Did some slight rewording and reformatting, but no changes to criteria. </w:t>
            </w:r>
          </w:p>
        </w:tc>
        <w:tc>
          <w:tcPr>
            <w:tcW w:w="1980" w:type="dxa"/>
            <w:tcBorders>
              <w:top w:val="single" w:sz="4" w:space="0" w:color="auto"/>
              <w:left w:val="single" w:sz="4" w:space="0" w:color="auto"/>
              <w:bottom w:val="single" w:sz="4" w:space="0" w:color="auto"/>
              <w:right w:val="single" w:sz="4" w:space="0" w:color="auto"/>
            </w:tcBorders>
          </w:tcPr>
          <w:p w14:paraId="2CAA9810" w14:textId="77777777" w:rsidR="001506C1" w:rsidRPr="00FA3F9C" w:rsidRDefault="001506C1">
            <w:pPr>
              <w:rPr>
                <w:rFonts w:ascii="Arial" w:hAnsi="Arial" w:cs="Arial"/>
                <w:noProof/>
                <w:sz w:val="24"/>
                <w:szCs w:val="24"/>
              </w:rPr>
            </w:pPr>
            <w:r w:rsidRPr="00FA3F9C">
              <w:rPr>
                <w:rFonts w:ascii="Arial" w:hAnsi="Arial" w:cs="Arial"/>
                <w:noProof/>
                <w:sz w:val="24"/>
                <w:szCs w:val="24"/>
              </w:rPr>
              <w:t>SK</w:t>
            </w:r>
          </w:p>
        </w:tc>
      </w:tr>
      <w:tr w:rsidR="001506C1" w:rsidRPr="00FA3F9C" w14:paraId="6BC28AC9" w14:textId="77777777" w:rsidTr="00D351CB">
        <w:tc>
          <w:tcPr>
            <w:tcW w:w="828" w:type="dxa"/>
            <w:tcBorders>
              <w:top w:val="single" w:sz="4" w:space="0" w:color="auto"/>
              <w:left w:val="single" w:sz="4" w:space="0" w:color="auto"/>
              <w:bottom w:val="single" w:sz="4" w:space="0" w:color="auto"/>
              <w:right w:val="single" w:sz="4" w:space="0" w:color="auto"/>
            </w:tcBorders>
          </w:tcPr>
          <w:p w14:paraId="1A4AEBDC" w14:textId="77777777" w:rsidR="001506C1" w:rsidRPr="00FA3F9C" w:rsidRDefault="001506C1" w:rsidP="00537DEE">
            <w:pPr>
              <w:rPr>
                <w:rFonts w:ascii="Arial" w:hAnsi="Arial" w:cs="Arial"/>
                <w:noProof/>
                <w:sz w:val="24"/>
                <w:szCs w:val="24"/>
              </w:rPr>
            </w:pPr>
            <w:r w:rsidRPr="00FA3F9C">
              <w:rPr>
                <w:rFonts w:ascii="Arial" w:hAnsi="Arial" w:cs="Arial"/>
                <w:noProof/>
                <w:sz w:val="24"/>
                <w:szCs w:val="24"/>
              </w:rPr>
              <w:t>6/18/2020</w:t>
            </w:r>
          </w:p>
        </w:tc>
        <w:tc>
          <w:tcPr>
            <w:tcW w:w="7560" w:type="dxa"/>
            <w:tcBorders>
              <w:top w:val="single" w:sz="4" w:space="0" w:color="auto"/>
              <w:left w:val="single" w:sz="4" w:space="0" w:color="auto"/>
              <w:bottom w:val="single" w:sz="4" w:space="0" w:color="auto"/>
              <w:right w:val="single" w:sz="4" w:space="0" w:color="auto"/>
            </w:tcBorders>
          </w:tcPr>
          <w:p w14:paraId="474707C6" w14:textId="77777777" w:rsidR="001506C1" w:rsidRPr="00FA3F9C" w:rsidRDefault="001506C1" w:rsidP="00FC693D">
            <w:pPr>
              <w:rPr>
                <w:rFonts w:ascii="Arial" w:hAnsi="Arial" w:cs="Arial"/>
                <w:noProof/>
                <w:sz w:val="24"/>
                <w:szCs w:val="24"/>
              </w:rPr>
            </w:pPr>
            <w:r w:rsidRPr="00FA3F9C">
              <w:rPr>
                <w:rFonts w:ascii="Arial" w:hAnsi="Arial" w:cs="Arial"/>
                <w:noProof/>
                <w:sz w:val="24"/>
                <w:szCs w:val="24"/>
              </w:rPr>
              <w:t>Extend subsequent approvals for metastatic indication to 12 months</w:t>
            </w:r>
          </w:p>
        </w:tc>
        <w:tc>
          <w:tcPr>
            <w:tcW w:w="1980" w:type="dxa"/>
            <w:tcBorders>
              <w:top w:val="single" w:sz="4" w:space="0" w:color="auto"/>
              <w:left w:val="single" w:sz="4" w:space="0" w:color="auto"/>
              <w:bottom w:val="single" w:sz="4" w:space="0" w:color="auto"/>
              <w:right w:val="single" w:sz="4" w:space="0" w:color="auto"/>
            </w:tcBorders>
          </w:tcPr>
          <w:p w14:paraId="0B022142" w14:textId="77777777" w:rsidR="001506C1" w:rsidRPr="00FA3F9C" w:rsidRDefault="001506C1">
            <w:pPr>
              <w:rPr>
                <w:rFonts w:ascii="Arial" w:hAnsi="Arial" w:cs="Arial"/>
                <w:noProof/>
                <w:sz w:val="24"/>
                <w:szCs w:val="24"/>
              </w:rPr>
            </w:pPr>
            <w:r w:rsidRPr="00FA3F9C">
              <w:rPr>
                <w:rFonts w:ascii="Arial" w:hAnsi="Arial" w:cs="Arial"/>
                <w:noProof/>
                <w:sz w:val="24"/>
                <w:szCs w:val="24"/>
              </w:rPr>
              <w:t>SK</w:t>
            </w:r>
          </w:p>
        </w:tc>
      </w:tr>
      <w:tr w:rsidR="001506C1" w:rsidRPr="00FA3F9C" w14:paraId="23A410B1" w14:textId="77777777" w:rsidTr="00D351CB">
        <w:tc>
          <w:tcPr>
            <w:tcW w:w="828" w:type="dxa"/>
            <w:tcBorders>
              <w:top w:val="single" w:sz="4" w:space="0" w:color="auto"/>
              <w:left w:val="single" w:sz="4" w:space="0" w:color="auto"/>
              <w:bottom w:val="single" w:sz="4" w:space="0" w:color="auto"/>
              <w:right w:val="single" w:sz="4" w:space="0" w:color="auto"/>
            </w:tcBorders>
          </w:tcPr>
          <w:p w14:paraId="2153287F" w14:textId="77777777" w:rsidR="001506C1" w:rsidRPr="00FA3F9C" w:rsidRDefault="001506C1" w:rsidP="00537DEE">
            <w:pPr>
              <w:rPr>
                <w:rFonts w:ascii="Arial" w:hAnsi="Arial" w:cs="Arial"/>
                <w:noProof/>
                <w:sz w:val="24"/>
                <w:szCs w:val="24"/>
              </w:rPr>
            </w:pPr>
            <w:r w:rsidRPr="00FA3F9C">
              <w:rPr>
                <w:rFonts w:ascii="Arial" w:hAnsi="Arial" w:cs="Arial"/>
                <w:noProof/>
                <w:sz w:val="24"/>
                <w:szCs w:val="24"/>
              </w:rPr>
              <w:t>12/29/2020</w:t>
            </w:r>
          </w:p>
        </w:tc>
        <w:tc>
          <w:tcPr>
            <w:tcW w:w="7560" w:type="dxa"/>
            <w:tcBorders>
              <w:top w:val="single" w:sz="4" w:space="0" w:color="auto"/>
              <w:left w:val="single" w:sz="4" w:space="0" w:color="auto"/>
              <w:bottom w:val="single" w:sz="4" w:space="0" w:color="auto"/>
              <w:right w:val="single" w:sz="4" w:space="0" w:color="auto"/>
            </w:tcBorders>
          </w:tcPr>
          <w:p w14:paraId="0E456422" w14:textId="77777777" w:rsidR="001506C1" w:rsidRPr="00FA3F9C" w:rsidRDefault="001506C1" w:rsidP="00FC693D">
            <w:pPr>
              <w:rPr>
                <w:rFonts w:ascii="Arial" w:hAnsi="Arial" w:cs="Arial"/>
                <w:noProof/>
                <w:sz w:val="24"/>
                <w:szCs w:val="24"/>
              </w:rPr>
            </w:pPr>
            <w:r w:rsidRPr="00FA3F9C">
              <w:rPr>
                <w:rFonts w:ascii="Arial" w:hAnsi="Arial" w:cs="Arial"/>
                <w:noProof/>
                <w:sz w:val="24"/>
                <w:szCs w:val="24"/>
              </w:rPr>
              <w:t>Criteria reviewed. No change.</w:t>
            </w:r>
          </w:p>
        </w:tc>
        <w:tc>
          <w:tcPr>
            <w:tcW w:w="1980" w:type="dxa"/>
            <w:tcBorders>
              <w:top w:val="single" w:sz="4" w:space="0" w:color="auto"/>
              <w:left w:val="single" w:sz="4" w:space="0" w:color="auto"/>
              <w:bottom w:val="single" w:sz="4" w:space="0" w:color="auto"/>
              <w:right w:val="single" w:sz="4" w:space="0" w:color="auto"/>
            </w:tcBorders>
          </w:tcPr>
          <w:p w14:paraId="171F3795" w14:textId="77777777" w:rsidR="001506C1" w:rsidRPr="00FA3F9C" w:rsidRDefault="001506C1">
            <w:pPr>
              <w:rPr>
                <w:rFonts w:ascii="Arial" w:hAnsi="Arial" w:cs="Arial"/>
                <w:noProof/>
                <w:sz w:val="24"/>
                <w:szCs w:val="24"/>
              </w:rPr>
            </w:pPr>
            <w:r w:rsidRPr="00FA3F9C">
              <w:rPr>
                <w:rFonts w:ascii="Arial" w:hAnsi="Arial" w:cs="Arial"/>
                <w:noProof/>
                <w:sz w:val="24"/>
                <w:szCs w:val="24"/>
              </w:rPr>
              <w:t>SK</w:t>
            </w:r>
          </w:p>
        </w:tc>
      </w:tr>
      <w:tr w:rsidR="001506C1" w:rsidRPr="00FA3F9C" w14:paraId="3D44F59D" w14:textId="77777777" w:rsidTr="00D351CB">
        <w:tc>
          <w:tcPr>
            <w:tcW w:w="828" w:type="dxa"/>
            <w:tcBorders>
              <w:top w:val="single" w:sz="4" w:space="0" w:color="auto"/>
              <w:left w:val="single" w:sz="4" w:space="0" w:color="auto"/>
              <w:bottom w:val="single" w:sz="4" w:space="0" w:color="auto"/>
              <w:right w:val="single" w:sz="4" w:space="0" w:color="auto"/>
            </w:tcBorders>
          </w:tcPr>
          <w:p w14:paraId="68212DAA" w14:textId="77777777" w:rsidR="001506C1" w:rsidRPr="00FA3F9C" w:rsidRDefault="001506C1" w:rsidP="00537DEE">
            <w:pPr>
              <w:rPr>
                <w:rFonts w:ascii="Arial" w:hAnsi="Arial" w:cs="Arial"/>
                <w:noProof/>
                <w:sz w:val="24"/>
                <w:szCs w:val="24"/>
              </w:rPr>
            </w:pPr>
            <w:r w:rsidRPr="00FA3F9C">
              <w:rPr>
                <w:rFonts w:ascii="Arial" w:hAnsi="Arial" w:cs="Arial"/>
                <w:noProof/>
                <w:sz w:val="24"/>
                <w:szCs w:val="24"/>
              </w:rPr>
              <w:t>4/25/2022</w:t>
            </w:r>
          </w:p>
        </w:tc>
        <w:tc>
          <w:tcPr>
            <w:tcW w:w="7560" w:type="dxa"/>
            <w:tcBorders>
              <w:top w:val="single" w:sz="4" w:space="0" w:color="auto"/>
              <w:left w:val="single" w:sz="4" w:space="0" w:color="auto"/>
              <w:bottom w:val="single" w:sz="4" w:space="0" w:color="auto"/>
              <w:right w:val="single" w:sz="4" w:space="0" w:color="auto"/>
            </w:tcBorders>
          </w:tcPr>
          <w:p w14:paraId="5BE1CB04" w14:textId="77777777" w:rsidR="001506C1" w:rsidRPr="00FA3F9C" w:rsidRDefault="001506C1" w:rsidP="00FC693D">
            <w:pPr>
              <w:rPr>
                <w:rFonts w:ascii="Arial" w:hAnsi="Arial" w:cs="Arial"/>
                <w:noProof/>
                <w:sz w:val="24"/>
                <w:szCs w:val="24"/>
              </w:rPr>
            </w:pPr>
            <w:r w:rsidRPr="00FA3F9C">
              <w:rPr>
                <w:rFonts w:ascii="Arial" w:hAnsi="Arial" w:cs="Arial"/>
                <w:noProof/>
                <w:sz w:val="24"/>
                <w:szCs w:val="24"/>
              </w:rPr>
              <w:t>Criteria reviewed. No change.</w:t>
            </w:r>
          </w:p>
        </w:tc>
        <w:tc>
          <w:tcPr>
            <w:tcW w:w="1980" w:type="dxa"/>
            <w:tcBorders>
              <w:top w:val="single" w:sz="4" w:space="0" w:color="auto"/>
              <w:left w:val="single" w:sz="4" w:space="0" w:color="auto"/>
              <w:bottom w:val="single" w:sz="4" w:space="0" w:color="auto"/>
              <w:right w:val="single" w:sz="4" w:space="0" w:color="auto"/>
            </w:tcBorders>
          </w:tcPr>
          <w:p w14:paraId="003646C0" w14:textId="77777777" w:rsidR="001506C1" w:rsidRPr="00FA3F9C" w:rsidRDefault="001506C1">
            <w:pPr>
              <w:rPr>
                <w:rFonts w:ascii="Arial" w:hAnsi="Arial" w:cs="Arial"/>
                <w:noProof/>
                <w:sz w:val="24"/>
                <w:szCs w:val="24"/>
              </w:rPr>
            </w:pPr>
            <w:r w:rsidRPr="00FA3F9C">
              <w:rPr>
                <w:rFonts w:ascii="Arial" w:hAnsi="Arial" w:cs="Arial"/>
                <w:noProof/>
                <w:sz w:val="24"/>
                <w:szCs w:val="24"/>
              </w:rPr>
              <w:t>SK</w:t>
            </w:r>
          </w:p>
        </w:tc>
      </w:tr>
    </w:tbl>
    <w:p w14:paraId="198F54EA" w14:textId="77777777" w:rsidR="001506C1" w:rsidRPr="00FA3F9C" w:rsidRDefault="001506C1" w:rsidP="002A23A6">
      <w:pPr>
        <w:rPr>
          <w:rFonts w:ascii="Arial" w:hAnsi="Arial" w:cs="Arial"/>
          <w:noProof/>
          <w:sz w:val="24"/>
          <w:szCs w:val="24"/>
        </w:rPr>
      </w:pPr>
    </w:p>
    <w:p w14:paraId="2AB964CF" w14:textId="77777777" w:rsidR="001506C1" w:rsidRPr="00FA3F9C" w:rsidRDefault="001506C1" w:rsidP="002A23A6">
      <w:pPr>
        <w:rPr>
          <w:rFonts w:ascii="Arial" w:hAnsi="Arial" w:cs="Arial"/>
          <w:noProof/>
          <w:sz w:val="24"/>
          <w:szCs w:val="24"/>
        </w:rPr>
      </w:pPr>
    </w:p>
    <w:p w14:paraId="255D1DD6" w14:textId="77777777" w:rsidR="001506C1" w:rsidRPr="00FA3F9C" w:rsidRDefault="001506C1" w:rsidP="00583286">
      <w:pPr>
        <w:ind w:left="720"/>
        <w:rPr>
          <w:rFonts w:ascii="Arial" w:hAnsi="Arial" w:cs="Arial"/>
          <w:noProof/>
          <w:sz w:val="24"/>
          <w:szCs w:val="24"/>
        </w:rPr>
      </w:pPr>
    </w:p>
    <w:p w14:paraId="38F2CC04" w14:textId="77777777" w:rsidR="003B40CD" w:rsidRDefault="001506C1" w:rsidP="003B40CD">
      <w:pPr>
        <w:pStyle w:val="Heading2"/>
      </w:pPr>
      <w:bookmarkStart w:id="63" w:name="_Toc106369759"/>
      <w:r w:rsidRPr="00FA3F9C">
        <w:t>Dacomitinib (</w:t>
      </w:r>
      <w:proofErr w:type="spellStart"/>
      <w:r w:rsidRPr="00FA3F9C">
        <w:t>Vizimpro</w:t>
      </w:r>
      <w:proofErr w:type="spellEnd"/>
      <w:r w:rsidRPr="00FA3F9C">
        <w:rPr>
          <w:vertAlign w:val="superscript"/>
        </w:rPr>
        <w:sym w:font="Symbol" w:char="F0E2"/>
      </w:r>
      <w:r w:rsidRPr="00FA3F9C">
        <w:t>)</w:t>
      </w:r>
      <w:bookmarkEnd w:id="63"/>
      <w:r w:rsidRPr="00FA3F9C">
        <w:t xml:space="preserve"> </w:t>
      </w:r>
    </w:p>
    <w:p w14:paraId="241ADA72" w14:textId="3404D882" w:rsidR="001506C1" w:rsidRPr="00FA3F9C" w:rsidRDefault="001506C1" w:rsidP="006F623F">
      <w:pPr>
        <w:spacing w:after="0"/>
        <w:jc w:val="center"/>
        <w:rPr>
          <w:rFonts w:ascii="Arial" w:hAnsi="Arial" w:cs="Arial"/>
          <w:sz w:val="24"/>
          <w:szCs w:val="24"/>
        </w:rPr>
      </w:pPr>
      <w:r w:rsidRPr="00FA3F9C">
        <w:rPr>
          <w:rFonts w:ascii="Arial" w:hAnsi="Arial" w:cs="Arial"/>
          <w:sz w:val="24"/>
          <w:szCs w:val="24"/>
        </w:rPr>
        <w:t>15, 40, 45 mg tablets</w:t>
      </w:r>
    </w:p>
    <w:p w14:paraId="353B1E08" w14:textId="77777777" w:rsidR="001506C1" w:rsidRPr="00FA3F9C" w:rsidRDefault="001506C1" w:rsidP="006F623F">
      <w:pPr>
        <w:spacing w:after="0"/>
        <w:jc w:val="center"/>
        <w:rPr>
          <w:rFonts w:ascii="Arial" w:hAnsi="Arial" w:cs="Arial"/>
          <w:sz w:val="24"/>
          <w:szCs w:val="24"/>
        </w:rPr>
      </w:pPr>
      <w:r w:rsidRPr="00FA3F9C">
        <w:rPr>
          <w:rFonts w:ascii="Arial" w:hAnsi="Arial" w:cs="Arial"/>
          <w:sz w:val="24"/>
          <w:szCs w:val="24"/>
        </w:rPr>
        <w:t>EBRx PA Criteria</w:t>
      </w:r>
    </w:p>
    <w:p w14:paraId="37FBF1D9" w14:textId="77777777" w:rsidR="001506C1" w:rsidRPr="00FA3F9C" w:rsidRDefault="001506C1" w:rsidP="006F623F">
      <w:pPr>
        <w:spacing w:after="0"/>
        <w:rPr>
          <w:rFonts w:ascii="Arial" w:hAnsi="Arial" w:cs="Arial"/>
          <w:b/>
          <w:sz w:val="24"/>
          <w:szCs w:val="24"/>
          <w:u w:val="single"/>
        </w:rPr>
      </w:pPr>
    </w:p>
    <w:p w14:paraId="5779DC9C" w14:textId="77777777" w:rsidR="001506C1" w:rsidRPr="00FA3F9C" w:rsidRDefault="001506C1" w:rsidP="00B677E6">
      <w:pPr>
        <w:rPr>
          <w:rFonts w:ascii="Arial" w:hAnsi="Arial" w:cs="Arial"/>
          <w:sz w:val="24"/>
          <w:szCs w:val="24"/>
        </w:rPr>
      </w:pPr>
      <w:r w:rsidRPr="00FA3F9C">
        <w:rPr>
          <w:rFonts w:ascii="Arial" w:hAnsi="Arial" w:cs="Arial"/>
          <w:b/>
          <w:sz w:val="24"/>
          <w:szCs w:val="24"/>
          <w:u w:val="single"/>
        </w:rPr>
        <w:lastRenderedPageBreak/>
        <w:t>FDA-approved for:</w:t>
      </w:r>
      <w:r w:rsidRPr="00FA3F9C">
        <w:rPr>
          <w:rFonts w:ascii="Arial" w:hAnsi="Arial" w:cs="Arial"/>
          <w:sz w:val="24"/>
          <w:szCs w:val="24"/>
        </w:rPr>
        <w:t xml:space="preserve">  initial treatment of metastatic non-small cell lung cancer for patients with epidermal growth factor receptor exon 19 deletion or exon 21 L858R substitution mutations (by FDA- app. test) </w:t>
      </w:r>
    </w:p>
    <w:tbl>
      <w:tblPr>
        <w:tblStyle w:val="TableGrid"/>
        <w:tblW w:w="0" w:type="auto"/>
        <w:tblLook w:val="04A0" w:firstRow="1" w:lastRow="0" w:firstColumn="1" w:lastColumn="0" w:noHBand="0" w:noVBand="1"/>
      </w:tblPr>
      <w:tblGrid>
        <w:gridCol w:w="8928"/>
        <w:gridCol w:w="2088"/>
      </w:tblGrid>
      <w:tr w:rsidR="001506C1" w:rsidRPr="00FA3F9C" w14:paraId="03863D35" w14:textId="77777777" w:rsidTr="00571CAB">
        <w:tc>
          <w:tcPr>
            <w:tcW w:w="8928" w:type="dxa"/>
            <w:shd w:val="clear" w:color="auto" w:fill="000000"/>
          </w:tcPr>
          <w:p w14:paraId="79113126" w14:textId="77777777" w:rsidR="001506C1" w:rsidRPr="00FA3F9C" w:rsidRDefault="001506C1"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88" w:type="dxa"/>
            <w:shd w:val="clear" w:color="auto" w:fill="000000"/>
          </w:tcPr>
          <w:p w14:paraId="23976EE6" w14:textId="77777777" w:rsidR="001506C1" w:rsidRPr="00FA3F9C" w:rsidRDefault="001506C1" w:rsidP="006F623F">
            <w:pPr>
              <w:jc w:val="center"/>
              <w:rPr>
                <w:rFonts w:ascii="Arial" w:hAnsi="Arial" w:cs="Arial"/>
                <w:b/>
                <w:sz w:val="24"/>
                <w:szCs w:val="24"/>
                <w:u w:val="single"/>
              </w:rPr>
            </w:pPr>
          </w:p>
        </w:tc>
      </w:tr>
      <w:tr w:rsidR="001506C1" w:rsidRPr="00FA3F9C" w14:paraId="64EAEB0B" w14:textId="77777777" w:rsidTr="00F337AE">
        <w:tc>
          <w:tcPr>
            <w:tcW w:w="11016" w:type="dxa"/>
            <w:gridSpan w:val="2"/>
          </w:tcPr>
          <w:p w14:paraId="4FE6D0F3" w14:textId="77777777" w:rsidR="001506C1" w:rsidRPr="00FA3F9C" w:rsidRDefault="001506C1" w:rsidP="006F623F">
            <w:pPr>
              <w:rPr>
                <w:rFonts w:ascii="Arial" w:hAnsi="Arial" w:cs="Arial"/>
                <w:sz w:val="24"/>
                <w:szCs w:val="24"/>
              </w:rPr>
            </w:pPr>
            <w:r w:rsidRPr="00FA3F9C">
              <w:rPr>
                <w:rFonts w:ascii="Arial" w:hAnsi="Arial" w:cs="Arial"/>
                <w:sz w:val="24"/>
                <w:szCs w:val="24"/>
              </w:rPr>
              <w:t xml:space="preserve">1. Patient must have confirmed, stage </w:t>
            </w:r>
            <w:proofErr w:type="spellStart"/>
            <w:r w:rsidRPr="00FA3F9C">
              <w:rPr>
                <w:rFonts w:ascii="Arial" w:hAnsi="Arial" w:cs="Arial"/>
                <w:sz w:val="24"/>
                <w:szCs w:val="24"/>
              </w:rPr>
              <w:t>IIIb</w:t>
            </w:r>
            <w:proofErr w:type="spellEnd"/>
            <w:r w:rsidRPr="00FA3F9C">
              <w:rPr>
                <w:rFonts w:ascii="Arial" w:hAnsi="Arial" w:cs="Arial"/>
                <w:sz w:val="24"/>
                <w:szCs w:val="24"/>
              </w:rPr>
              <w:t>/IV or recurrent non-small cell lung cancer with tumor tissue that tested positive for at least one EGFR activating mutation (exon 19 deletion or exon 21 L858R EGFR mutation)</w:t>
            </w:r>
          </w:p>
        </w:tc>
      </w:tr>
      <w:tr w:rsidR="001506C1" w:rsidRPr="00FA3F9C" w14:paraId="195BD0F9" w14:textId="77777777" w:rsidTr="00B1617E">
        <w:tc>
          <w:tcPr>
            <w:tcW w:w="11016" w:type="dxa"/>
            <w:gridSpan w:val="2"/>
          </w:tcPr>
          <w:p w14:paraId="2347ED00" w14:textId="77777777" w:rsidR="001506C1" w:rsidRPr="00FA3F9C" w:rsidRDefault="001506C1" w:rsidP="00CC4FFB">
            <w:pPr>
              <w:rPr>
                <w:rFonts w:ascii="Arial" w:hAnsi="Arial" w:cs="Arial"/>
                <w:sz w:val="24"/>
                <w:szCs w:val="24"/>
              </w:rPr>
            </w:pPr>
            <w:r w:rsidRPr="00FA3F9C">
              <w:rPr>
                <w:rFonts w:ascii="Arial" w:hAnsi="Arial" w:cs="Arial"/>
                <w:sz w:val="24"/>
                <w:szCs w:val="24"/>
              </w:rPr>
              <w:t>2.  Patient must have NOT had disease progression on a prior EGFR inhibitor (</w:t>
            </w:r>
            <w:proofErr w:type="gramStart"/>
            <w:r w:rsidRPr="00FA3F9C">
              <w:rPr>
                <w:rFonts w:ascii="Arial" w:hAnsi="Arial" w:cs="Arial"/>
                <w:sz w:val="24"/>
                <w:szCs w:val="24"/>
              </w:rPr>
              <w:t>e.g.</w:t>
            </w:r>
            <w:proofErr w:type="gramEnd"/>
            <w:r w:rsidRPr="00FA3F9C">
              <w:rPr>
                <w:rFonts w:ascii="Arial" w:hAnsi="Arial" w:cs="Arial"/>
                <w:sz w:val="24"/>
                <w:szCs w:val="24"/>
              </w:rPr>
              <w:t xml:space="preserve"> erlotinib, </w:t>
            </w:r>
            <w:proofErr w:type="spellStart"/>
            <w:r w:rsidRPr="00FA3F9C">
              <w:rPr>
                <w:rFonts w:ascii="Arial" w:hAnsi="Arial" w:cs="Arial"/>
                <w:sz w:val="24"/>
                <w:szCs w:val="24"/>
              </w:rPr>
              <w:t>osimertinib</w:t>
            </w:r>
            <w:proofErr w:type="spellEnd"/>
            <w:r w:rsidRPr="00FA3F9C">
              <w:rPr>
                <w:rFonts w:ascii="Arial" w:hAnsi="Arial" w:cs="Arial"/>
                <w:sz w:val="24"/>
                <w:szCs w:val="24"/>
              </w:rPr>
              <w:t xml:space="preserve">, gefitinib, </w:t>
            </w:r>
            <w:proofErr w:type="spellStart"/>
            <w:r w:rsidRPr="00FA3F9C">
              <w:rPr>
                <w:rFonts w:ascii="Arial" w:hAnsi="Arial" w:cs="Arial"/>
                <w:sz w:val="24"/>
                <w:szCs w:val="24"/>
              </w:rPr>
              <w:t>afatinib</w:t>
            </w:r>
            <w:proofErr w:type="spellEnd"/>
            <w:r w:rsidRPr="00FA3F9C">
              <w:rPr>
                <w:rFonts w:ascii="Arial" w:hAnsi="Arial" w:cs="Arial"/>
                <w:sz w:val="24"/>
                <w:szCs w:val="24"/>
              </w:rPr>
              <w:t>)</w:t>
            </w:r>
          </w:p>
        </w:tc>
      </w:tr>
      <w:tr w:rsidR="001506C1" w:rsidRPr="00FA3F9C" w14:paraId="4E64FC1A" w14:textId="77777777" w:rsidTr="0010789D">
        <w:tc>
          <w:tcPr>
            <w:tcW w:w="11016" w:type="dxa"/>
            <w:gridSpan w:val="2"/>
          </w:tcPr>
          <w:p w14:paraId="726CAE3B" w14:textId="77777777" w:rsidR="001506C1" w:rsidRPr="00FA3F9C" w:rsidRDefault="001506C1" w:rsidP="006F623F">
            <w:pPr>
              <w:rPr>
                <w:rFonts w:ascii="Arial" w:hAnsi="Arial" w:cs="Arial"/>
                <w:sz w:val="24"/>
                <w:szCs w:val="24"/>
              </w:rPr>
            </w:pPr>
            <w:r w:rsidRPr="00FA3F9C">
              <w:rPr>
                <w:rFonts w:ascii="Arial" w:hAnsi="Arial" w:cs="Arial"/>
                <w:sz w:val="24"/>
                <w:szCs w:val="24"/>
              </w:rPr>
              <w:t>3. Patient must not have brain metastases.</w:t>
            </w:r>
          </w:p>
        </w:tc>
      </w:tr>
      <w:tr w:rsidR="001506C1" w:rsidRPr="00FA3F9C" w14:paraId="0D80AE50" w14:textId="77777777" w:rsidTr="00DA57E0">
        <w:tc>
          <w:tcPr>
            <w:tcW w:w="11016" w:type="dxa"/>
            <w:gridSpan w:val="2"/>
          </w:tcPr>
          <w:p w14:paraId="1328563A" w14:textId="77777777" w:rsidR="001506C1" w:rsidRPr="00FA3F9C" w:rsidRDefault="001506C1" w:rsidP="006F623F">
            <w:pPr>
              <w:rPr>
                <w:rFonts w:ascii="Arial" w:hAnsi="Arial" w:cs="Arial"/>
                <w:sz w:val="24"/>
                <w:szCs w:val="24"/>
              </w:rPr>
            </w:pPr>
            <w:r w:rsidRPr="00FA3F9C">
              <w:rPr>
                <w:rFonts w:ascii="Arial" w:hAnsi="Arial" w:cs="Arial"/>
                <w:sz w:val="24"/>
                <w:szCs w:val="24"/>
              </w:rPr>
              <w:t xml:space="preserve">4. Patient must be age </w:t>
            </w:r>
            <w:r w:rsidRPr="00FA3F9C">
              <w:rPr>
                <w:rFonts w:ascii="Arial" w:hAnsi="Arial" w:cs="Arial"/>
                <w:sz w:val="24"/>
                <w:szCs w:val="24"/>
                <w:u w:val="single"/>
              </w:rPr>
              <w:t>&gt;</w:t>
            </w:r>
            <w:r w:rsidRPr="00FA3F9C">
              <w:rPr>
                <w:rFonts w:ascii="Arial" w:hAnsi="Arial" w:cs="Arial"/>
                <w:sz w:val="24"/>
                <w:szCs w:val="24"/>
              </w:rPr>
              <w:t>18.</w:t>
            </w:r>
          </w:p>
        </w:tc>
      </w:tr>
      <w:tr w:rsidR="001506C1" w:rsidRPr="00FA3F9C" w14:paraId="0B7879A2" w14:textId="77777777" w:rsidTr="00DA57E0">
        <w:tc>
          <w:tcPr>
            <w:tcW w:w="11016" w:type="dxa"/>
            <w:gridSpan w:val="2"/>
          </w:tcPr>
          <w:p w14:paraId="1CABF23B" w14:textId="77777777" w:rsidR="001506C1" w:rsidRPr="00FA3F9C" w:rsidRDefault="001506C1" w:rsidP="006F623F">
            <w:pPr>
              <w:rPr>
                <w:rFonts w:ascii="Arial" w:hAnsi="Arial" w:cs="Arial"/>
                <w:sz w:val="24"/>
                <w:szCs w:val="24"/>
              </w:rPr>
            </w:pPr>
            <w:r w:rsidRPr="00FA3F9C">
              <w:rPr>
                <w:rFonts w:ascii="Arial" w:hAnsi="Arial" w:cs="Arial"/>
                <w:sz w:val="24"/>
                <w:szCs w:val="24"/>
              </w:rPr>
              <w:t>5. ECOG status 0-1 at initiation of dacomitinib.</w:t>
            </w:r>
          </w:p>
        </w:tc>
      </w:tr>
      <w:tr w:rsidR="001506C1" w:rsidRPr="00FA3F9C" w14:paraId="2FE36BEE" w14:textId="77777777" w:rsidTr="00DA57E0">
        <w:tc>
          <w:tcPr>
            <w:tcW w:w="11016" w:type="dxa"/>
            <w:gridSpan w:val="2"/>
          </w:tcPr>
          <w:p w14:paraId="27DEF82C" w14:textId="77777777" w:rsidR="001506C1" w:rsidRPr="00FA3F9C" w:rsidRDefault="001506C1" w:rsidP="00A9423F">
            <w:pPr>
              <w:rPr>
                <w:rFonts w:ascii="Arial" w:hAnsi="Arial" w:cs="Arial"/>
                <w:sz w:val="24"/>
                <w:szCs w:val="24"/>
              </w:rPr>
            </w:pPr>
            <w:r w:rsidRPr="00FA3F9C">
              <w:rPr>
                <w:rFonts w:ascii="Arial" w:hAnsi="Arial" w:cs="Arial"/>
                <w:sz w:val="24"/>
                <w:szCs w:val="24"/>
              </w:rPr>
              <w:t>6. Dacomitinib will be used as single agent</w:t>
            </w:r>
          </w:p>
        </w:tc>
      </w:tr>
      <w:tr w:rsidR="001506C1" w:rsidRPr="00FA3F9C" w14:paraId="7FEA802A" w14:textId="77777777" w:rsidTr="00A9423F">
        <w:tc>
          <w:tcPr>
            <w:tcW w:w="11016" w:type="dxa"/>
            <w:gridSpan w:val="2"/>
            <w:shd w:val="clear" w:color="auto" w:fill="F2F2F2" w:themeFill="background1" w:themeFillShade="F2"/>
          </w:tcPr>
          <w:p w14:paraId="42B048ED" w14:textId="77777777" w:rsidR="001506C1" w:rsidRPr="00FA3F9C" w:rsidRDefault="001506C1" w:rsidP="006F623F">
            <w:pPr>
              <w:rPr>
                <w:rFonts w:ascii="Arial" w:hAnsi="Arial" w:cs="Arial"/>
                <w:sz w:val="24"/>
                <w:szCs w:val="24"/>
              </w:rPr>
            </w:pPr>
            <w:r w:rsidRPr="00FA3F9C">
              <w:rPr>
                <w:rFonts w:ascii="Arial" w:hAnsi="Arial" w:cs="Arial"/>
                <w:sz w:val="24"/>
                <w:szCs w:val="24"/>
              </w:rPr>
              <w:t>If all criteria are met, approve x 1 year</w:t>
            </w:r>
          </w:p>
        </w:tc>
      </w:tr>
    </w:tbl>
    <w:p w14:paraId="6243C3D1" w14:textId="77777777" w:rsidR="001506C1" w:rsidRPr="00FA3F9C" w:rsidRDefault="001506C1" w:rsidP="006F623F">
      <w:pPr>
        <w:spacing w:after="0"/>
        <w:rPr>
          <w:rFonts w:ascii="Arial" w:hAnsi="Arial" w:cs="Arial"/>
          <w:b/>
          <w:sz w:val="24"/>
          <w:szCs w:val="24"/>
          <w:u w:val="single"/>
        </w:rPr>
      </w:pPr>
    </w:p>
    <w:tbl>
      <w:tblPr>
        <w:tblStyle w:val="TableGrid"/>
        <w:tblW w:w="0" w:type="auto"/>
        <w:shd w:val="clear" w:color="auto" w:fill="BFBFBF" w:themeFill="background1" w:themeFillShade="BF"/>
        <w:tblLook w:val="04A0" w:firstRow="1" w:lastRow="0" w:firstColumn="1" w:lastColumn="0" w:noHBand="0" w:noVBand="1"/>
      </w:tblPr>
      <w:tblGrid>
        <w:gridCol w:w="10790"/>
      </w:tblGrid>
      <w:tr w:rsidR="001506C1" w:rsidRPr="00FA3F9C" w14:paraId="21A1100D" w14:textId="77777777" w:rsidTr="00881690">
        <w:tc>
          <w:tcPr>
            <w:tcW w:w="10790" w:type="dxa"/>
            <w:shd w:val="clear" w:color="auto" w:fill="BFBFBF" w:themeFill="background1" w:themeFillShade="BF"/>
          </w:tcPr>
          <w:p w14:paraId="5CBC0CCE" w14:textId="77777777" w:rsidR="001506C1" w:rsidRPr="00FA3F9C" w:rsidRDefault="001506C1" w:rsidP="00D82B6E">
            <w:pPr>
              <w:rPr>
                <w:rFonts w:ascii="Arial" w:hAnsi="Arial" w:cs="Arial"/>
                <w:sz w:val="24"/>
                <w:szCs w:val="24"/>
              </w:rPr>
            </w:pPr>
            <w:r w:rsidRPr="00FA3F9C">
              <w:rPr>
                <w:rFonts w:ascii="Arial" w:hAnsi="Arial" w:cs="Arial"/>
                <w:sz w:val="24"/>
                <w:szCs w:val="24"/>
              </w:rPr>
              <w:t>Note: The dacomitinib dose is 45mg/day continuously; treat until progression.</w:t>
            </w:r>
          </w:p>
          <w:p w14:paraId="3544198C" w14:textId="77777777" w:rsidR="001506C1" w:rsidRPr="00FA3F9C" w:rsidRDefault="001506C1" w:rsidP="00D82B6E">
            <w:pPr>
              <w:rPr>
                <w:rFonts w:ascii="Arial" w:hAnsi="Arial" w:cs="Arial"/>
                <w:sz w:val="24"/>
                <w:szCs w:val="24"/>
              </w:rPr>
            </w:pPr>
          </w:p>
          <w:p w14:paraId="1094DA1E" w14:textId="77777777" w:rsidR="001506C1" w:rsidRPr="00FA3F9C" w:rsidRDefault="001506C1" w:rsidP="00D82B6E">
            <w:pPr>
              <w:rPr>
                <w:rFonts w:ascii="Arial" w:hAnsi="Arial" w:cs="Arial"/>
                <w:sz w:val="24"/>
                <w:szCs w:val="24"/>
              </w:rPr>
            </w:pPr>
            <w:r w:rsidRPr="00FA3F9C">
              <w:rPr>
                <w:rFonts w:ascii="Arial" w:hAnsi="Arial" w:cs="Arial"/>
                <w:sz w:val="24"/>
                <w:szCs w:val="24"/>
              </w:rPr>
              <w:t xml:space="preserve">Dacomitinib was compared to gefitinib in patients with untreated advanced/metastatic non-small cell lung cancer with the exon 19 deletion or exon 21 L858R EGFR mutation. Patients with brain metastasis were excluded. Dacomitinib improved overall survival compared to gefitinib (median 34 months vs 26.8 months). </w:t>
            </w:r>
            <w:r w:rsidRPr="00FA3F9C">
              <w:rPr>
                <w:rFonts w:ascii="Arial" w:hAnsi="Arial" w:cs="Arial"/>
                <w:sz w:val="24"/>
                <w:szCs w:val="24"/>
                <w:vertAlign w:val="superscript"/>
              </w:rPr>
              <w:t>1,2</w:t>
            </w:r>
          </w:p>
          <w:p w14:paraId="3980649A" w14:textId="77777777" w:rsidR="001506C1" w:rsidRPr="00FA3F9C" w:rsidRDefault="001506C1" w:rsidP="00D82B6E">
            <w:pPr>
              <w:rPr>
                <w:rFonts w:ascii="Arial" w:hAnsi="Arial" w:cs="Arial"/>
                <w:sz w:val="24"/>
                <w:szCs w:val="24"/>
              </w:rPr>
            </w:pPr>
          </w:p>
          <w:p w14:paraId="0DA0282A" w14:textId="77777777" w:rsidR="001506C1" w:rsidRPr="00FA3F9C" w:rsidRDefault="001506C1" w:rsidP="00D82B6E">
            <w:pPr>
              <w:rPr>
                <w:rFonts w:ascii="Arial" w:hAnsi="Arial" w:cs="Arial"/>
                <w:sz w:val="24"/>
                <w:szCs w:val="24"/>
              </w:rPr>
            </w:pPr>
            <w:r w:rsidRPr="00FA3F9C">
              <w:rPr>
                <w:rFonts w:ascii="Arial" w:hAnsi="Arial" w:cs="Arial"/>
                <w:sz w:val="24"/>
                <w:szCs w:val="24"/>
              </w:rPr>
              <w:t>Dacomitinib has not been shown to be effective in patients who have received therapy with a prior EGFR inhibitor therapy. NCCN guidelines recommend that dacomitinib be used in the first line setting only.</w:t>
            </w:r>
            <w:r w:rsidRPr="00FA3F9C">
              <w:rPr>
                <w:rFonts w:ascii="Arial" w:hAnsi="Arial" w:cs="Arial"/>
                <w:sz w:val="24"/>
                <w:szCs w:val="24"/>
                <w:vertAlign w:val="superscript"/>
              </w:rPr>
              <w:t>3</w:t>
            </w:r>
          </w:p>
          <w:p w14:paraId="543179EB" w14:textId="77777777" w:rsidR="001506C1" w:rsidRPr="00FA3F9C" w:rsidRDefault="001506C1" w:rsidP="00D82B6E">
            <w:pPr>
              <w:rPr>
                <w:rFonts w:ascii="Arial" w:hAnsi="Arial" w:cs="Arial"/>
                <w:sz w:val="24"/>
                <w:szCs w:val="24"/>
              </w:rPr>
            </w:pPr>
          </w:p>
          <w:p w14:paraId="091F2216" w14:textId="77777777" w:rsidR="001506C1" w:rsidRPr="00FA3F9C" w:rsidRDefault="001506C1" w:rsidP="00D82B6E">
            <w:pPr>
              <w:rPr>
                <w:rFonts w:ascii="Arial" w:hAnsi="Arial" w:cs="Arial"/>
                <w:sz w:val="24"/>
                <w:szCs w:val="24"/>
              </w:rPr>
            </w:pPr>
            <w:r w:rsidRPr="00FA3F9C">
              <w:rPr>
                <w:rFonts w:ascii="Arial" w:hAnsi="Arial" w:cs="Arial"/>
                <w:sz w:val="24"/>
                <w:szCs w:val="24"/>
              </w:rPr>
              <w:t>References:</w:t>
            </w:r>
          </w:p>
          <w:p w14:paraId="0A6B672F" w14:textId="77777777" w:rsidR="001506C1" w:rsidRPr="00FA3F9C" w:rsidRDefault="001506C1" w:rsidP="001506C1">
            <w:pPr>
              <w:pStyle w:val="ListParagraph"/>
              <w:numPr>
                <w:ilvl w:val="0"/>
                <w:numId w:val="102"/>
              </w:numPr>
              <w:ind w:left="428"/>
              <w:rPr>
                <w:rFonts w:ascii="Arial" w:hAnsi="Arial" w:cs="Arial"/>
                <w:sz w:val="24"/>
                <w:szCs w:val="24"/>
              </w:rPr>
            </w:pPr>
            <w:r w:rsidRPr="00FA3F9C">
              <w:rPr>
                <w:rFonts w:ascii="Arial" w:hAnsi="Arial" w:cs="Arial"/>
                <w:sz w:val="24"/>
                <w:szCs w:val="24"/>
              </w:rPr>
              <w:t xml:space="preserve">Wu YL et al. Dacomitinib versus gefitinib as first-line treatment for patients with EGFR-mutation-positive non-small-cell lung cancer (ARCHER 1050): a </w:t>
            </w:r>
            <w:proofErr w:type="spellStart"/>
            <w:r w:rsidRPr="00FA3F9C">
              <w:rPr>
                <w:rFonts w:ascii="Arial" w:hAnsi="Arial" w:cs="Arial"/>
                <w:sz w:val="24"/>
                <w:szCs w:val="24"/>
              </w:rPr>
              <w:t>randomised</w:t>
            </w:r>
            <w:proofErr w:type="spellEnd"/>
            <w:r w:rsidRPr="00FA3F9C">
              <w:rPr>
                <w:rFonts w:ascii="Arial" w:hAnsi="Arial" w:cs="Arial"/>
                <w:sz w:val="24"/>
                <w:szCs w:val="24"/>
              </w:rPr>
              <w:t>, open-label, phase 3 trial. Lancet Oncol. 2017 Nov;18(11):1454-1466. PMID 28958502 NCT01774721</w:t>
            </w:r>
          </w:p>
          <w:p w14:paraId="55622A99" w14:textId="77777777" w:rsidR="001506C1" w:rsidRPr="00FA3F9C" w:rsidRDefault="001506C1" w:rsidP="001506C1">
            <w:pPr>
              <w:pStyle w:val="ListParagraph"/>
              <w:numPr>
                <w:ilvl w:val="0"/>
                <w:numId w:val="102"/>
              </w:numPr>
              <w:ind w:left="428"/>
              <w:rPr>
                <w:rFonts w:ascii="Arial" w:hAnsi="Arial" w:cs="Arial"/>
                <w:sz w:val="24"/>
                <w:szCs w:val="24"/>
              </w:rPr>
            </w:pPr>
            <w:proofErr w:type="spellStart"/>
            <w:r w:rsidRPr="00FA3F9C">
              <w:rPr>
                <w:rFonts w:ascii="Arial" w:hAnsi="Arial" w:cs="Arial"/>
                <w:sz w:val="24"/>
                <w:szCs w:val="24"/>
              </w:rPr>
              <w:t>Mok</w:t>
            </w:r>
            <w:proofErr w:type="spellEnd"/>
            <w:r w:rsidRPr="00FA3F9C">
              <w:rPr>
                <w:rFonts w:ascii="Arial" w:hAnsi="Arial" w:cs="Arial"/>
                <w:sz w:val="24"/>
                <w:szCs w:val="24"/>
              </w:rPr>
              <w:t xml:space="preserve"> TS et al. Improvement in Overall Survival in a Randomized Study That Compared Dacomitinib </w:t>
            </w:r>
            <w:proofErr w:type="gramStart"/>
            <w:r w:rsidRPr="00FA3F9C">
              <w:rPr>
                <w:rFonts w:ascii="Arial" w:hAnsi="Arial" w:cs="Arial"/>
                <w:sz w:val="24"/>
                <w:szCs w:val="24"/>
              </w:rPr>
              <w:t>With</w:t>
            </w:r>
            <w:proofErr w:type="gramEnd"/>
            <w:r w:rsidRPr="00FA3F9C">
              <w:rPr>
                <w:rFonts w:ascii="Arial" w:hAnsi="Arial" w:cs="Arial"/>
                <w:sz w:val="24"/>
                <w:szCs w:val="24"/>
              </w:rPr>
              <w:t xml:space="preserve"> Gefitinib in Patients With Advanced Non-Small-Cell Lung Cancer and EGFR-</w:t>
            </w:r>
            <w:r w:rsidRPr="00FA3F9C">
              <w:rPr>
                <w:rFonts w:ascii="Arial" w:hAnsi="Arial" w:cs="Arial"/>
                <w:sz w:val="24"/>
                <w:szCs w:val="24"/>
              </w:rPr>
              <w:lastRenderedPageBreak/>
              <w:t>Activating Mutations. J Clin Oncol. 2018 Aug 1;36(22):2244-2250. PMID 29864379 NCT01774721</w:t>
            </w:r>
          </w:p>
          <w:p w14:paraId="32091616" w14:textId="77777777" w:rsidR="001506C1" w:rsidRPr="00FA3F9C" w:rsidRDefault="001506C1" w:rsidP="001506C1">
            <w:pPr>
              <w:pStyle w:val="ListParagraph"/>
              <w:numPr>
                <w:ilvl w:val="0"/>
                <w:numId w:val="102"/>
              </w:numPr>
              <w:ind w:left="428"/>
              <w:rPr>
                <w:rFonts w:ascii="Arial" w:hAnsi="Arial" w:cs="Arial"/>
                <w:sz w:val="24"/>
                <w:szCs w:val="24"/>
              </w:rPr>
            </w:pPr>
            <w:r w:rsidRPr="00FA3F9C">
              <w:rPr>
                <w:rFonts w:ascii="Arial" w:hAnsi="Arial" w:cs="Arial"/>
                <w:sz w:val="24"/>
                <w:szCs w:val="24"/>
              </w:rPr>
              <w:t xml:space="preserve">NCCN guidelines. </w:t>
            </w:r>
            <w:hyperlink r:id="rId105" w:history="1">
              <w:r w:rsidRPr="00FA3F9C">
                <w:rPr>
                  <w:rStyle w:val="Hyperlink"/>
                  <w:rFonts w:ascii="Arial" w:hAnsi="Arial" w:cs="Arial"/>
                  <w:sz w:val="24"/>
                  <w:szCs w:val="24"/>
                </w:rPr>
                <w:t>https://www.nccn.org/professionals/physician_gls/pdf/nscl.pdf</w:t>
              </w:r>
            </w:hyperlink>
            <w:r w:rsidRPr="00FA3F9C">
              <w:rPr>
                <w:rFonts w:ascii="Arial" w:hAnsi="Arial" w:cs="Arial"/>
                <w:sz w:val="24"/>
                <w:szCs w:val="24"/>
              </w:rPr>
              <w:t xml:space="preserve"> </w:t>
            </w:r>
          </w:p>
        </w:tc>
      </w:tr>
    </w:tbl>
    <w:p w14:paraId="3AF19632"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lastRenderedPageBreak/>
        <w:t>Quantity Limits (all strengths): 30 tabs/30 days</w:t>
      </w:r>
    </w:p>
    <w:p w14:paraId="611BBCFA" w14:textId="77777777" w:rsidR="001506C1" w:rsidRPr="00FA3F9C" w:rsidRDefault="001506C1" w:rsidP="006F623F">
      <w:pPr>
        <w:spacing w:after="0"/>
        <w:rPr>
          <w:rFonts w:ascii="Arial" w:hAnsi="Arial" w:cs="Arial"/>
          <w:sz w:val="24"/>
          <w:szCs w:val="24"/>
        </w:rPr>
      </w:pPr>
    </w:p>
    <w:p w14:paraId="002DA13C"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284"/>
        <w:gridCol w:w="7470"/>
        <w:gridCol w:w="2538"/>
      </w:tblGrid>
      <w:tr w:rsidR="001506C1" w:rsidRPr="00FA3F9C" w14:paraId="77B46C58" w14:textId="77777777" w:rsidTr="00FE491B">
        <w:tc>
          <w:tcPr>
            <w:tcW w:w="1008" w:type="dxa"/>
          </w:tcPr>
          <w:p w14:paraId="718F292D" w14:textId="77777777" w:rsidR="001506C1" w:rsidRPr="00FA3F9C" w:rsidRDefault="001506C1" w:rsidP="006F623F">
            <w:pPr>
              <w:rPr>
                <w:rFonts w:ascii="Arial" w:hAnsi="Arial" w:cs="Arial"/>
                <w:sz w:val="24"/>
                <w:szCs w:val="24"/>
              </w:rPr>
            </w:pPr>
            <w:r w:rsidRPr="00FA3F9C">
              <w:rPr>
                <w:rFonts w:ascii="Arial" w:hAnsi="Arial" w:cs="Arial"/>
                <w:sz w:val="24"/>
                <w:szCs w:val="24"/>
              </w:rPr>
              <w:t>Date</w:t>
            </w:r>
          </w:p>
        </w:tc>
        <w:tc>
          <w:tcPr>
            <w:tcW w:w="7470" w:type="dxa"/>
          </w:tcPr>
          <w:p w14:paraId="1C2B8DE6" w14:textId="77777777" w:rsidR="001506C1" w:rsidRPr="00FA3F9C" w:rsidRDefault="001506C1" w:rsidP="006F623F">
            <w:pPr>
              <w:rPr>
                <w:rFonts w:ascii="Arial" w:hAnsi="Arial" w:cs="Arial"/>
                <w:sz w:val="24"/>
                <w:szCs w:val="24"/>
              </w:rPr>
            </w:pPr>
            <w:r w:rsidRPr="00FA3F9C">
              <w:rPr>
                <w:rFonts w:ascii="Arial" w:hAnsi="Arial" w:cs="Arial"/>
                <w:sz w:val="24"/>
                <w:szCs w:val="24"/>
              </w:rPr>
              <w:t>What changed</w:t>
            </w:r>
          </w:p>
        </w:tc>
        <w:tc>
          <w:tcPr>
            <w:tcW w:w="2538" w:type="dxa"/>
          </w:tcPr>
          <w:p w14:paraId="4DEF7DA8" w14:textId="77777777" w:rsidR="001506C1" w:rsidRPr="00FA3F9C" w:rsidRDefault="001506C1" w:rsidP="006F623F">
            <w:pPr>
              <w:rPr>
                <w:rFonts w:ascii="Arial" w:hAnsi="Arial" w:cs="Arial"/>
                <w:sz w:val="24"/>
                <w:szCs w:val="24"/>
              </w:rPr>
            </w:pPr>
            <w:r w:rsidRPr="00FA3F9C">
              <w:rPr>
                <w:rFonts w:ascii="Arial" w:hAnsi="Arial" w:cs="Arial"/>
                <w:sz w:val="24"/>
                <w:szCs w:val="24"/>
              </w:rPr>
              <w:t>Pharmacist’s initials</w:t>
            </w:r>
          </w:p>
        </w:tc>
      </w:tr>
      <w:tr w:rsidR="001506C1" w:rsidRPr="00FA3F9C" w14:paraId="7DC53C4D" w14:textId="77777777" w:rsidTr="00FE491B">
        <w:tc>
          <w:tcPr>
            <w:tcW w:w="1008" w:type="dxa"/>
          </w:tcPr>
          <w:p w14:paraId="5FAD75C3" w14:textId="77777777" w:rsidR="001506C1" w:rsidRPr="00FA3F9C" w:rsidRDefault="001506C1" w:rsidP="006F623F">
            <w:pPr>
              <w:rPr>
                <w:rFonts w:ascii="Arial" w:hAnsi="Arial" w:cs="Arial"/>
                <w:sz w:val="24"/>
                <w:szCs w:val="24"/>
              </w:rPr>
            </w:pPr>
            <w:r w:rsidRPr="00FA3F9C">
              <w:rPr>
                <w:rFonts w:ascii="Arial" w:hAnsi="Arial" w:cs="Arial"/>
                <w:sz w:val="24"/>
                <w:szCs w:val="24"/>
              </w:rPr>
              <w:t>1/9/19</w:t>
            </w:r>
          </w:p>
        </w:tc>
        <w:tc>
          <w:tcPr>
            <w:tcW w:w="7470" w:type="dxa"/>
          </w:tcPr>
          <w:p w14:paraId="1C8B952E" w14:textId="77777777" w:rsidR="001506C1" w:rsidRPr="00FA3F9C" w:rsidRDefault="001506C1" w:rsidP="006F623F">
            <w:pPr>
              <w:rPr>
                <w:rFonts w:ascii="Arial" w:hAnsi="Arial" w:cs="Arial"/>
                <w:sz w:val="24"/>
                <w:szCs w:val="24"/>
              </w:rPr>
            </w:pPr>
            <w:r w:rsidRPr="00FA3F9C">
              <w:rPr>
                <w:rFonts w:ascii="Arial" w:hAnsi="Arial" w:cs="Arial"/>
                <w:sz w:val="24"/>
                <w:szCs w:val="24"/>
              </w:rPr>
              <w:t>I wrote the criteria.</w:t>
            </w:r>
          </w:p>
        </w:tc>
        <w:tc>
          <w:tcPr>
            <w:tcW w:w="2538" w:type="dxa"/>
          </w:tcPr>
          <w:p w14:paraId="31E6C94C" w14:textId="77777777" w:rsidR="001506C1" w:rsidRPr="00FA3F9C" w:rsidRDefault="001506C1" w:rsidP="006F623F">
            <w:pPr>
              <w:rPr>
                <w:rFonts w:ascii="Arial" w:hAnsi="Arial" w:cs="Arial"/>
                <w:sz w:val="24"/>
                <w:szCs w:val="24"/>
              </w:rPr>
            </w:pPr>
            <w:r w:rsidRPr="00FA3F9C">
              <w:rPr>
                <w:rFonts w:ascii="Arial" w:hAnsi="Arial" w:cs="Arial"/>
                <w:sz w:val="24"/>
                <w:szCs w:val="24"/>
              </w:rPr>
              <w:t>JJ</w:t>
            </w:r>
          </w:p>
        </w:tc>
      </w:tr>
      <w:tr w:rsidR="001506C1" w:rsidRPr="00FA3F9C" w14:paraId="5C76D753" w14:textId="77777777" w:rsidTr="00FE491B">
        <w:tc>
          <w:tcPr>
            <w:tcW w:w="1008" w:type="dxa"/>
          </w:tcPr>
          <w:p w14:paraId="12A7520F" w14:textId="77777777" w:rsidR="001506C1" w:rsidRPr="00FA3F9C" w:rsidRDefault="001506C1" w:rsidP="006F623F">
            <w:pPr>
              <w:rPr>
                <w:rFonts w:ascii="Arial" w:hAnsi="Arial" w:cs="Arial"/>
                <w:sz w:val="24"/>
                <w:szCs w:val="24"/>
              </w:rPr>
            </w:pPr>
            <w:r w:rsidRPr="00FA3F9C">
              <w:rPr>
                <w:rFonts w:ascii="Arial" w:hAnsi="Arial" w:cs="Arial"/>
                <w:sz w:val="24"/>
                <w:szCs w:val="24"/>
              </w:rPr>
              <w:t>6/17/19</w:t>
            </w:r>
          </w:p>
        </w:tc>
        <w:tc>
          <w:tcPr>
            <w:tcW w:w="7470" w:type="dxa"/>
          </w:tcPr>
          <w:p w14:paraId="3803B522" w14:textId="77777777" w:rsidR="001506C1" w:rsidRPr="00FA3F9C" w:rsidRDefault="001506C1" w:rsidP="006F623F">
            <w:pPr>
              <w:rPr>
                <w:rFonts w:ascii="Arial" w:hAnsi="Arial" w:cs="Arial"/>
                <w:sz w:val="24"/>
                <w:szCs w:val="24"/>
              </w:rPr>
            </w:pPr>
            <w:r w:rsidRPr="00FA3F9C">
              <w:rPr>
                <w:rFonts w:ascii="Arial" w:hAnsi="Arial" w:cs="Arial"/>
                <w:sz w:val="24"/>
                <w:szCs w:val="24"/>
              </w:rPr>
              <w:t>Criteria reviewed. No significant change.</w:t>
            </w:r>
          </w:p>
        </w:tc>
        <w:tc>
          <w:tcPr>
            <w:tcW w:w="2538" w:type="dxa"/>
          </w:tcPr>
          <w:p w14:paraId="0148AF39" w14:textId="77777777" w:rsidR="001506C1" w:rsidRPr="00FA3F9C" w:rsidRDefault="001506C1" w:rsidP="006F623F">
            <w:pPr>
              <w:rPr>
                <w:rFonts w:ascii="Arial" w:hAnsi="Arial" w:cs="Arial"/>
                <w:sz w:val="24"/>
                <w:szCs w:val="24"/>
              </w:rPr>
            </w:pPr>
            <w:r w:rsidRPr="00FA3F9C">
              <w:rPr>
                <w:rFonts w:ascii="Arial" w:hAnsi="Arial" w:cs="Arial"/>
                <w:sz w:val="24"/>
                <w:szCs w:val="24"/>
              </w:rPr>
              <w:t>SK</w:t>
            </w:r>
          </w:p>
        </w:tc>
      </w:tr>
      <w:tr w:rsidR="001506C1" w:rsidRPr="00FA3F9C" w14:paraId="187944AD" w14:textId="77777777" w:rsidTr="00FE491B">
        <w:tc>
          <w:tcPr>
            <w:tcW w:w="1008" w:type="dxa"/>
          </w:tcPr>
          <w:p w14:paraId="562F7F24" w14:textId="77777777" w:rsidR="001506C1" w:rsidRPr="00FA3F9C" w:rsidRDefault="001506C1" w:rsidP="006F623F">
            <w:pPr>
              <w:rPr>
                <w:rFonts w:ascii="Arial" w:hAnsi="Arial" w:cs="Arial"/>
                <w:sz w:val="24"/>
                <w:szCs w:val="24"/>
              </w:rPr>
            </w:pPr>
            <w:r w:rsidRPr="00FA3F9C">
              <w:rPr>
                <w:rFonts w:ascii="Arial" w:hAnsi="Arial" w:cs="Arial"/>
                <w:sz w:val="24"/>
                <w:szCs w:val="24"/>
              </w:rPr>
              <w:t>3/30/20</w:t>
            </w:r>
          </w:p>
        </w:tc>
        <w:tc>
          <w:tcPr>
            <w:tcW w:w="7470" w:type="dxa"/>
          </w:tcPr>
          <w:p w14:paraId="772D7446" w14:textId="77777777" w:rsidR="001506C1" w:rsidRPr="00FA3F9C" w:rsidRDefault="001506C1" w:rsidP="006F623F">
            <w:pPr>
              <w:rPr>
                <w:rFonts w:ascii="Arial" w:hAnsi="Arial" w:cs="Arial"/>
                <w:sz w:val="24"/>
                <w:szCs w:val="24"/>
              </w:rPr>
            </w:pPr>
            <w:r w:rsidRPr="00FA3F9C">
              <w:rPr>
                <w:rFonts w:ascii="Arial" w:hAnsi="Arial" w:cs="Arial"/>
                <w:sz w:val="24"/>
                <w:szCs w:val="24"/>
              </w:rPr>
              <w:t>Criteria reviewed, no change</w:t>
            </w:r>
          </w:p>
        </w:tc>
        <w:tc>
          <w:tcPr>
            <w:tcW w:w="2538" w:type="dxa"/>
          </w:tcPr>
          <w:p w14:paraId="25D2865C" w14:textId="77777777" w:rsidR="001506C1" w:rsidRPr="00FA3F9C" w:rsidRDefault="001506C1" w:rsidP="006F623F">
            <w:pPr>
              <w:rPr>
                <w:rFonts w:ascii="Arial" w:hAnsi="Arial" w:cs="Arial"/>
                <w:sz w:val="24"/>
                <w:szCs w:val="24"/>
              </w:rPr>
            </w:pPr>
            <w:r w:rsidRPr="00FA3F9C">
              <w:rPr>
                <w:rFonts w:ascii="Arial" w:hAnsi="Arial" w:cs="Arial"/>
                <w:sz w:val="24"/>
                <w:szCs w:val="24"/>
              </w:rPr>
              <w:t>SK</w:t>
            </w:r>
          </w:p>
        </w:tc>
      </w:tr>
      <w:tr w:rsidR="001506C1" w:rsidRPr="00FA3F9C" w14:paraId="23672547" w14:textId="77777777" w:rsidTr="00FE491B">
        <w:tc>
          <w:tcPr>
            <w:tcW w:w="1008" w:type="dxa"/>
          </w:tcPr>
          <w:p w14:paraId="7F4C5EBC" w14:textId="77777777" w:rsidR="001506C1" w:rsidRPr="00FA3F9C" w:rsidRDefault="001506C1" w:rsidP="006F623F">
            <w:pPr>
              <w:rPr>
                <w:rFonts w:ascii="Arial" w:hAnsi="Arial" w:cs="Arial"/>
                <w:sz w:val="24"/>
                <w:szCs w:val="24"/>
              </w:rPr>
            </w:pPr>
            <w:r w:rsidRPr="00FA3F9C">
              <w:rPr>
                <w:rFonts w:ascii="Arial" w:hAnsi="Arial" w:cs="Arial"/>
                <w:sz w:val="24"/>
                <w:szCs w:val="24"/>
              </w:rPr>
              <w:t>4/2/21</w:t>
            </w:r>
          </w:p>
        </w:tc>
        <w:tc>
          <w:tcPr>
            <w:tcW w:w="7470" w:type="dxa"/>
          </w:tcPr>
          <w:p w14:paraId="2FDB53D9" w14:textId="77777777" w:rsidR="001506C1" w:rsidRPr="00FA3F9C" w:rsidRDefault="001506C1" w:rsidP="006F623F">
            <w:pPr>
              <w:rPr>
                <w:rFonts w:ascii="Arial" w:hAnsi="Arial" w:cs="Arial"/>
                <w:sz w:val="24"/>
                <w:szCs w:val="24"/>
              </w:rPr>
            </w:pPr>
            <w:r w:rsidRPr="00FA3F9C">
              <w:rPr>
                <w:rFonts w:ascii="Arial" w:hAnsi="Arial" w:cs="Arial"/>
                <w:sz w:val="24"/>
                <w:szCs w:val="24"/>
              </w:rPr>
              <w:t>Applied EBRx criteria to UAS plan.</w:t>
            </w:r>
          </w:p>
        </w:tc>
        <w:tc>
          <w:tcPr>
            <w:tcW w:w="2538" w:type="dxa"/>
          </w:tcPr>
          <w:p w14:paraId="0C2C87EC" w14:textId="77777777" w:rsidR="001506C1" w:rsidRPr="00FA3F9C" w:rsidRDefault="001506C1" w:rsidP="006F623F">
            <w:pPr>
              <w:rPr>
                <w:rFonts w:ascii="Arial" w:hAnsi="Arial" w:cs="Arial"/>
                <w:sz w:val="24"/>
                <w:szCs w:val="24"/>
              </w:rPr>
            </w:pPr>
            <w:r w:rsidRPr="00FA3F9C">
              <w:rPr>
                <w:rFonts w:ascii="Arial" w:hAnsi="Arial" w:cs="Arial"/>
                <w:sz w:val="24"/>
                <w:szCs w:val="24"/>
              </w:rPr>
              <w:t>JJ</w:t>
            </w:r>
          </w:p>
        </w:tc>
      </w:tr>
      <w:tr w:rsidR="001506C1" w:rsidRPr="00FA3F9C" w14:paraId="57A1DC82" w14:textId="77777777" w:rsidTr="00FE491B">
        <w:tc>
          <w:tcPr>
            <w:tcW w:w="1008" w:type="dxa"/>
          </w:tcPr>
          <w:p w14:paraId="470DE5A4" w14:textId="77777777" w:rsidR="001506C1" w:rsidRPr="00FA3F9C" w:rsidRDefault="001506C1" w:rsidP="006F623F">
            <w:pPr>
              <w:rPr>
                <w:rFonts w:ascii="Arial" w:hAnsi="Arial" w:cs="Arial"/>
                <w:sz w:val="24"/>
                <w:szCs w:val="24"/>
              </w:rPr>
            </w:pPr>
            <w:r w:rsidRPr="00FA3F9C">
              <w:rPr>
                <w:rFonts w:ascii="Arial" w:hAnsi="Arial" w:cs="Arial"/>
                <w:sz w:val="24"/>
                <w:szCs w:val="24"/>
              </w:rPr>
              <w:t>7/26/2021</w:t>
            </w:r>
          </w:p>
        </w:tc>
        <w:tc>
          <w:tcPr>
            <w:tcW w:w="7470" w:type="dxa"/>
          </w:tcPr>
          <w:p w14:paraId="7B2F9E0A" w14:textId="77777777" w:rsidR="001506C1" w:rsidRPr="00FA3F9C" w:rsidRDefault="001506C1" w:rsidP="00CC4FFB">
            <w:pPr>
              <w:rPr>
                <w:rFonts w:ascii="Arial" w:hAnsi="Arial" w:cs="Arial"/>
                <w:sz w:val="24"/>
                <w:szCs w:val="24"/>
              </w:rPr>
            </w:pPr>
            <w:r w:rsidRPr="00FA3F9C">
              <w:rPr>
                <w:rFonts w:ascii="Arial" w:hAnsi="Arial" w:cs="Arial"/>
                <w:sz w:val="24"/>
                <w:szCs w:val="24"/>
              </w:rPr>
              <w:t>Criteria reviewed. No change.</w:t>
            </w:r>
          </w:p>
        </w:tc>
        <w:tc>
          <w:tcPr>
            <w:tcW w:w="2538" w:type="dxa"/>
          </w:tcPr>
          <w:p w14:paraId="6CCEE130" w14:textId="77777777" w:rsidR="001506C1" w:rsidRPr="00FA3F9C" w:rsidRDefault="001506C1" w:rsidP="006F623F">
            <w:pPr>
              <w:rPr>
                <w:rFonts w:ascii="Arial" w:hAnsi="Arial" w:cs="Arial"/>
                <w:sz w:val="24"/>
                <w:szCs w:val="24"/>
              </w:rPr>
            </w:pPr>
            <w:r w:rsidRPr="00FA3F9C">
              <w:rPr>
                <w:rFonts w:ascii="Arial" w:hAnsi="Arial" w:cs="Arial"/>
                <w:sz w:val="24"/>
                <w:szCs w:val="24"/>
              </w:rPr>
              <w:t>SK</w:t>
            </w:r>
          </w:p>
        </w:tc>
      </w:tr>
    </w:tbl>
    <w:p w14:paraId="77953A9E" w14:textId="77777777" w:rsidR="001506C1" w:rsidRPr="00FA3F9C" w:rsidRDefault="001506C1" w:rsidP="006F623F">
      <w:pPr>
        <w:spacing w:after="0"/>
        <w:rPr>
          <w:rFonts w:ascii="Arial" w:hAnsi="Arial" w:cs="Arial"/>
          <w:sz w:val="24"/>
          <w:szCs w:val="24"/>
        </w:rPr>
      </w:pPr>
    </w:p>
    <w:p w14:paraId="32F6C5F9" w14:textId="77777777" w:rsidR="001506C1" w:rsidRPr="00FA3F9C" w:rsidRDefault="001506C1" w:rsidP="006F623F">
      <w:pPr>
        <w:spacing w:after="0"/>
        <w:rPr>
          <w:rFonts w:ascii="Arial" w:hAnsi="Arial" w:cs="Arial"/>
          <w:sz w:val="24"/>
          <w:szCs w:val="24"/>
        </w:rPr>
      </w:pPr>
    </w:p>
    <w:p w14:paraId="40159DA0" w14:textId="77777777" w:rsidR="001506C1" w:rsidRPr="00FA3F9C" w:rsidRDefault="001506C1" w:rsidP="006F623F">
      <w:pPr>
        <w:spacing w:after="0"/>
        <w:rPr>
          <w:rFonts w:ascii="Arial" w:hAnsi="Arial" w:cs="Arial"/>
          <w:sz w:val="24"/>
          <w:szCs w:val="24"/>
        </w:rPr>
      </w:pPr>
    </w:p>
    <w:p w14:paraId="41530588" w14:textId="77777777" w:rsidR="001506C1" w:rsidRPr="00FA3F9C" w:rsidRDefault="001506C1" w:rsidP="003B40CD">
      <w:pPr>
        <w:pStyle w:val="Heading2"/>
      </w:pPr>
      <w:bookmarkStart w:id="64" w:name="_Toc106369760"/>
      <w:r w:rsidRPr="00FA3F9C">
        <w:t>Daratumumab (</w:t>
      </w:r>
      <w:proofErr w:type="spellStart"/>
      <w:r w:rsidRPr="00FA3F9C">
        <w:t>Darzalex</w:t>
      </w:r>
      <w:proofErr w:type="spellEnd"/>
      <w:r w:rsidRPr="00FA3F9C">
        <w:t>)</w:t>
      </w:r>
      <w:bookmarkEnd w:id="64"/>
      <w:r w:rsidRPr="00FA3F9C">
        <w:t xml:space="preserve"> </w:t>
      </w:r>
    </w:p>
    <w:p w14:paraId="33FBA7DF" w14:textId="625F77EB" w:rsidR="001506C1" w:rsidRPr="00076432" w:rsidRDefault="001506C1" w:rsidP="00076432">
      <w:pPr>
        <w:spacing w:after="0"/>
        <w:jc w:val="center"/>
        <w:rPr>
          <w:rFonts w:ascii="Arial" w:hAnsi="Arial" w:cs="Arial"/>
          <w:sz w:val="24"/>
          <w:szCs w:val="24"/>
        </w:rPr>
      </w:pPr>
      <w:r w:rsidRPr="00FA3F9C">
        <w:rPr>
          <w:rFonts w:ascii="Arial" w:hAnsi="Arial" w:cs="Arial"/>
          <w:sz w:val="24"/>
          <w:szCs w:val="24"/>
        </w:rPr>
        <w:t>100mg/5mL and 400mg/20mL vials</w:t>
      </w:r>
    </w:p>
    <w:p w14:paraId="5863E536" w14:textId="77777777" w:rsidR="001506C1" w:rsidRPr="00FA3F9C" w:rsidRDefault="001506C1" w:rsidP="003B40CD">
      <w:pPr>
        <w:pStyle w:val="Heading2"/>
      </w:pPr>
      <w:bookmarkStart w:id="65" w:name="_Toc106369761"/>
      <w:r w:rsidRPr="00FA3F9C">
        <w:t>Daratumumab and hyaluronidase (</w:t>
      </w:r>
      <w:proofErr w:type="spellStart"/>
      <w:r w:rsidRPr="00FA3F9C">
        <w:t>Darzalex</w:t>
      </w:r>
      <w:proofErr w:type="spellEnd"/>
      <w:r w:rsidRPr="00FA3F9C">
        <w:t xml:space="preserve"> </w:t>
      </w:r>
      <w:proofErr w:type="spellStart"/>
      <w:r w:rsidRPr="00FA3F9C">
        <w:t>Faspro</w:t>
      </w:r>
      <w:proofErr w:type="spellEnd"/>
      <w:r w:rsidRPr="00FA3F9C">
        <w:t>)</w:t>
      </w:r>
      <w:bookmarkEnd w:id="65"/>
    </w:p>
    <w:p w14:paraId="0B5D223C" w14:textId="77777777" w:rsidR="001506C1" w:rsidRPr="00FA3F9C" w:rsidRDefault="001506C1" w:rsidP="00C56019">
      <w:pPr>
        <w:spacing w:after="0"/>
        <w:jc w:val="center"/>
        <w:rPr>
          <w:rFonts w:ascii="Arial" w:hAnsi="Arial" w:cs="Arial"/>
          <w:sz w:val="24"/>
          <w:szCs w:val="24"/>
        </w:rPr>
      </w:pPr>
      <w:r w:rsidRPr="00FA3F9C">
        <w:rPr>
          <w:rFonts w:ascii="Arial" w:hAnsi="Arial" w:cs="Arial"/>
          <w:sz w:val="24"/>
          <w:szCs w:val="24"/>
        </w:rPr>
        <w:t>1800 mg daratumumab and 30,000 units hyaluronidase per 15 ml vial</w:t>
      </w:r>
    </w:p>
    <w:p w14:paraId="0EF71491" w14:textId="77777777" w:rsidR="001506C1" w:rsidRPr="00FA3F9C" w:rsidRDefault="001506C1" w:rsidP="006F623F">
      <w:pPr>
        <w:spacing w:after="0"/>
        <w:jc w:val="center"/>
        <w:rPr>
          <w:rFonts w:ascii="Arial" w:hAnsi="Arial" w:cs="Arial"/>
          <w:sz w:val="24"/>
          <w:szCs w:val="24"/>
        </w:rPr>
      </w:pPr>
    </w:p>
    <w:p w14:paraId="37DCBE11" w14:textId="77777777" w:rsidR="001506C1" w:rsidRPr="00FA3F9C" w:rsidRDefault="001506C1" w:rsidP="006F623F">
      <w:pPr>
        <w:spacing w:after="0"/>
        <w:jc w:val="center"/>
        <w:rPr>
          <w:rFonts w:ascii="Arial" w:hAnsi="Arial" w:cs="Arial"/>
          <w:sz w:val="24"/>
          <w:szCs w:val="24"/>
        </w:rPr>
      </w:pPr>
      <w:r w:rsidRPr="00FA3F9C">
        <w:rPr>
          <w:rFonts w:ascii="Arial" w:hAnsi="Arial" w:cs="Arial"/>
          <w:sz w:val="24"/>
          <w:szCs w:val="24"/>
        </w:rPr>
        <w:t>EBRx PA Criteria</w:t>
      </w:r>
    </w:p>
    <w:p w14:paraId="2A745F47" w14:textId="77777777" w:rsidR="001506C1" w:rsidRPr="00FA3F9C" w:rsidRDefault="001506C1" w:rsidP="006F623F">
      <w:pPr>
        <w:spacing w:after="0"/>
        <w:rPr>
          <w:rFonts w:ascii="Arial" w:hAnsi="Arial" w:cs="Arial"/>
          <w:b/>
          <w:sz w:val="24"/>
          <w:szCs w:val="24"/>
          <w:u w:val="single"/>
        </w:rPr>
      </w:pPr>
    </w:p>
    <w:p w14:paraId="4D77FD1C" w14:textId="77777777" w:rsidR="001506C1" w:rsidRPr="00FA3F9C" w:rsidRDefault="001506C1" w:rsidP="006F623F">
      <w:pPr>
        <w:spacing w:after="0"/>
        <w:rPr>
          <w:rFonts w:ascii="Arial" w:hAnsi="Arial" w:cs="Arial"/>
          <w:b/>
          <w:sz w:val="24"/>
          <w:szCs w:val="24"/>
          <w:u w:val="single"/>
        </w:rPr>
      </w:pPr>
      <w:r w:rsidRPr="00FA3F9C">
        <w:rPr>
          <w:rFonts w:ascii="Arial" w:hAnsi="Arial" w:cs="Arial"/>
          <w:b/>
          <w:sz w:val="24"/>
          <w:szCs w:val="24"/>
          <w:u w:val="single"/>
        </w:rPr>
        <w:t xml:space="preserve">Note: </w:t>
      </w:r>
      <w:r w:rsidRPr="00FA3F9C">
        <w:rPr>
          <w:rFonts w:ascii="Arial" w:hAnsi="Arial" w:cs="Arial"/>
          <w:sz w:val="24"/>
          <w:szCs w:val="24"/>
        </w:rPr>
        <w:t xml:space="preserve">For simplicity, EBRx will consider </w:t>
      </w:r>
      <w:proofErr w:type="spellStart"/>
      <w:r w:rsidRPr="00FA3F9C">
        <w:rPr>
          <w:rFonts w:ascii="Arial" w:hAnsi="Arial" w:cs="Arial"/>
          <w:sz w:val="24"/>
          <w:szCs w:val="24"/>
        </w:rPr>
        <w:t>Darzalex</w:t>
      </w:r>
      <w:proofErr w:type="spellEnd"/>
      <w:r w:rsidRPr="00FA3F9C">
        <w:rPr>
          <w:rFonts w:ascii="Arial" w:hAnsi="Arial" w:cs="Arial"/>
          <w:sz w:val="24"/>
          <w:szCs w:val="24"/>
        </w:rPr>
        <w:t xml:space="preserve"> and </w:t>
      </w:r>
      <w:proofErr w:type="spellStart"/>
      <w:r w:rsidRPr="00FA3F9C">
        <w:rPr>
          <w:rFonts w:ascii="Arial" w:hAnsi="Arial" w:cs="Arial"/>
          <w:sz w:val="24"/>
          <w:szCs w:val="24"/>
        </w:rPr>
        <w:t>Darzalex</w:t>
      </w:r>
      <w:proofErr w:type="spellEnd"/>
      <w:r w:rsidRPr="00FA3F9C">
        <w:rPr>
          <w:rFonts w:ascii="Arial" w:hAnsi="Arial" w:cs="Arial"/>
          <w:sz w:val="24"/>
          <w:szCs w:val="24"/>
        </w:rPr>
        <w:t xml:space="preserve"> </w:t>
      </w:r>
      <w:proofErr w:type="spellStart"/>
      <w:r w:rsidRPr="00FA3F9C">
        <w:rPr>
          <w:rFonts w:ascii="Arial" w:hAnsi="Arial" w:cs="Arial"/>
          <w:sz w:val="24"/>
          <w:szCs w:val="24"/>
        </w:rPr>
        <w:t>Faspro</w:t>
      </w:r>
      <w:proofErr w:type="spellEnd"/>
      <w:r w:rsidRPr="00FA3F9C">
        <w:rPr>
          <w:rFonts w:ascii="Arial" w:hAnsi="Arial" w:cs="Arial"/>
          <w:sz w:val="24"/>
          <w:szCs w:val="24"/>
        </w:rPr>
        <w:t xml:space="preserve"> interchangeable despite slight differences in FDA indications.</w:t>
      </w:r>
      <w:r w:rsidRPr="00FA3F9C">
        <w:rPr>
          <w:rFonts w:ascii="Arial" w:hAnsi="Arial" w:cs="Arial"/>
          <w:b/>
          <w:sz w:val="24"/>
          <w:szCs w:val="24"/>
          <w:u w:val="single"/>
        </w:rPr>
        <w:t xml:space="preserve"> </w:t>
      </w:r>
    </w:p>
    <w:p w14:paraId="0F35FE9B" w14:textId="77777777" w:rsidR="001506C1" w:rsidRPr="00FA3F9C" w:rsidRDefault="001506C1" w:rsidP="006F623F">
      <w:pPr>
        <w:spacing w:after="0"/>
        <w:rPr>
          <w:rFonts w:ascii="Arial" w:hAnsi="Arial" w:cs="Arial"/>
          <w:b/>
          <w:sz w:val="24"/>
          <w:szCs w:val="24"/>
          <w:u w:val="single"/>
        </w:rPr>
      </w:pPr>
    </w:p>
    <w:p w14:paraId="25753536" w14:textId="77777777" w:rsidR="001506C1" w:rsidRPr="00FA3F9C" w:rsidRDefault="001506C1" w:rsidP="006F623F">
      <w:pPr>
        <w:spacing w:after="0"/>
        <w:rPr>
          <w:rFonts w:ascii="Arial" w:hAnsi="Arial" w:cs="Arial"/>
          <w:sz w:val="24"/>
          <w:szCs w:val="24"/>
        </w:rPr>
      </w:pPr>
      <w:proofErr w:type="spellStart"/>
      <w:r w:rsidRPr="00FA3F9C">
        <w:rPr>
          <w:rFonts w:ascii="Arial" w:hAnsi="Arial" w:cs="Arial"/>
          <w:b/>
          <w:sz w:val="24"/>
          <w:szCs w:val="24"/>
          <w:u w:val="single"/>
        </w:rPr>
        <w:t>Darzalex</w:t>
      </w:r>
      <w:proofErr w:type="spellEnd"/>
      <w:r w:rsidRPr="00FA3F9C">
        <w:rPr>
          <w:rFonts w:ascii="Arial" w:hAnsi="Arial" w:cs="Arial"/>
          <w:b/>
          <w:sz w:val="24"/>
          <w:szCs w:val="24"/>
          <w:u w:val="single"/>
        </w:rPr>
        <w:t xml:space="preserve"> and </w:t>
      </w:r>
      <w:proofErr w:type="spellStart"/>
      <w:r w:rsidRPr="00FA3F9C">
        <w:rPr>
          <w:rFonts w:ascii="Arial" w:hAnsi="Arial" w:cs="Arial"/>
          <w:b/>
          <w:sz w:val="24"/>
          <w:szCs w:val="24"/>
          <w:u w:val="single"/>
        </w:rPr>
        <w:t>Darzalex</w:t>
      </w:r>
      <w:proofErr w:type="spellEnd"/>
      <w:r w:rsidRPr="00FA3F9C">
        <w:rPr>
          <w:rFonts w:ascii="Arial" w:hAnsi="Arial" w:cs="Arial"/>
          <w:b/>
          <w:sz w:val="24"/>
          <w:szCs w:val="24"/>
          <w:u w:val="single"/>
        </w:rPr>
        <w:t xml:space="preserve"> </w:t>
      </w:r>
      <w:proofErr w:type="spellStart"/>
      <w:r w:rsidRPr="00FA3F9C">
        <w:rPr>
          <w:rFonts w:ascii="Arial" w:hAnsi="Arial" w:cs="Arial"/>
          <w:b/>
          <w:sz w:val="24"/>
          <w:szCs w:val="24"/>
          <w:u w:val="single"/>
        </w:rPr>
        <w:t>Faspro</w:t>
      </w:r>
      <w:proofErr w:type="spellEnd"/>
      <w:r w:rsidRPr="00FA3F9C">
        <w:rPr>
          <w:rFonts w:ascii="Arial" w:hAnsi="Arial" w:cs="Arial"/>
          <w:b/>
          <w:sz w:val="24"/>
          <w:szCs w:val="24"/>
          <w:u w:val="single"/>
        </w:rPr>
        <w:t xml:space="preserve"> are FDA-approved for:</w:t>
      </w:r>
      <w:r w:rsidRPr="00FA3F9C">
        <w:rPr>
          <w:rFonts w:ascii="Arial" w:hAnsi="Arial" w:cs="Arial"/>
          <w:sz w:val="24"/>
          <w:szCs w:val="24"/>
        </w:rPr>
        <w:t xml:space="preserve">  </w:t>
      </w:r>
    </w:p>
    <w:p w14:paraId="1C87153D" w14:textId="77777777" w:rsidR="001506C1" w:rsidRPr="00FA3F9C" w:rsidRDefault="001506C1" w:rsidP="001506C1">
      <w:pPr>
        <w:pStyle w:val="ListParagraph"/>
        <w:numPr>
          <w:ilvl w:val="0"/>
          <w:numId w:val="103"/>
        </w:numPr>
        <w:spacing w:after="0" w:line="276" w:lineRule="auto"/>
        <w:rPr>
          <w:rFonts w:ascii="Arial" w:hAnsi="Arial" w:cs="Arial"/>
          <w:sz w:val="24"/>
          <w:szCs w:val="24"/>
        </w:rPr>
      </w:pPr>
      <w:r w:rsidRPr="00FA3F9C">
        <w:rPr>
          <w:rFonts w:ascii="Arial" w:hAnsi="Arial" w:cs="Arial"/>
          <w:sz w:val="24"/>
          <w:szCs w:val="24"/>
        </w:rPr>
        <w:t xml:space="preserve">In combination with lenalidomide and dexamethasone in newly diagnosed patients who are ineligible for autologous stem cell transplant </w:t>
      </w:r>
      <w:r w:rsidRPr="00FA3F9C">
        <w:rPr>
          <w:rFonts w:ascii="Arial" w:hAnsi="Arial" w:cs="Arial"/>
          <w:sz w:val="24"/>
          <w:szCs w:val="24"/>
          <w:highlight w:val="yellow"/>
        </w:rPr>
        <w:t>(NOT COVERED)</w:t>
      </w:r>
      <w:r w:rsidRPr="00FA3F9C">
        <w:rPr>
          <w:rFonts w:ascii="Arial" w:hAnsi="Arial" w:cs="Arial"/>
          <w:sz w:val="24"/>
          <w:szCs w:val="24"/>
        </w:rPr>
        <w:t xml:space="preserve"> and in patients with relapsed or refractory multiple myeloma who have received at least one prior therapy </w:t>
      </w:r>
      <w:r w:rsidRPr="00FA3F9C">
        <w:rPr>
          <w:rFonts w:ascii="Arial" w:hAnsi="Arial" w:cs="Arial"/>
          <w:sz w:val="24"/>
          <w:szCs w:val="24"/>
          <w:highlight w:val="cyan"/>
        </w:rPr>
        <w:t>(SEE RELAPSED/REFRACTORY CRITERIA)</w:t>
      </w:r>
    </w:p>
    <w:p w14:paraId="0546769E" w14:textId="77777777" w:rsidR="001506C1" w:rsidRPr="00FA3F9C" w:rsidRDefault="001506C1" w:rsidP="001506C1">
      <w:pPr>
        <w:pStyle w:val="ListParagraph"/>
        <w:numPr>
          <w:ilvl w:val="1"/>
          <w:numId w:val="103"/>
        </w:numPr>
        <w:spacing w:after="0" w:line="276" w:lineRule="auto"/>
        <w:ind w:left="1080" w:hanging="270"/>
        <w:rPr>
          <w:rFonts w:ascii="Arial" w:hAnsi="Arial" w:cs="Arial"/>
          <w:sz w:val="24"/>
          <w:szCs w:val="24"/>
        </w:rPr>
      </w:pPr>
      <w:r w:rsidRPr="00FA3F9C">
        <w:rPr>
          <w:rFonts w:ascii="Arial" w:hAnsi="Arial" w:cs="Arial"/>
          <w:sz w:val="24"/>
          <w:szCs w:val="24"/>
        </w:rPr>
        <w:t xml:space="preserve">The benefit of daratumumab/lenalidomide/dexamethasone is limited to progression free survival without evidence of overall survival, quality of life, or toxicity benefit. </w:t>
      </w:r>
    </w:p>
    <w:p w14:paraId="7B413A60" w14:textId="77777777" w:rsidR="001506C1" w:rsidRPr="00FA3F9C" w:rsidRDefault="001506C1" w:rsidP="0048363D">
      <w:pPr>
        <w:spacing w:after="0"/>
        <w:ind w:left="1080"/>
        <w:rPr>
          <w:rFonts w:ascii="Arial" w:hAnsi="Arial" w:cs="Arial"/>
          <w:sz w:val="24"/>
          <w:szCs w:val="24"/>
        </w:rPr>
      </w:pPr>
      <w:proofErr w:type="gramStart"/>
      <w:r w:rsidRPr="00FA3F9C">
        <w:rPr>
          <w:rFonts w:ascii="Arial" w:hAnsi="Arial" w:cs="Arial"/>
          <w:sz w:val="24"/>
          <w:szCs w:val="24"/>
          <w:lang w:val="fr-FR"/>
        </w:rPr>
        <w:lastRenderedPageBreak/>
        <w:t>Reference:</w:t>
      </w:r>
      <w:proofErr w:type="gramEnd"/>
      <w:r w:rsidRPr="00FA3F9C">
        <w:rPr>
          <w:rFonts w:ascii="Arial" w:hAnsi="Arial" w:cs="Arial"/>
          <w:sz w:val="24"/>
          <w:szCs w:val="24"/>
          <w:lang w:val="fr-FR"/>
        </w:rPr>
        <w:t xml:space="preserve"> Facon T et al. </w:t>
      </w:r>
      <w:r w:rsidRPr="00FA3F9C">
        <w:rPr>
          <w:rFonts w:ascii="Arial" w:hAnsi="Arial" w:cs="Arial"/>
          <w:sz w:val="24"/>
          <w:szCs w:val="24"/>
        </w:rPr>
        <w:t xml:space="preserve">Daratumumab plus Lenalidomide and Dexamethasone for Untreated Myeloma. N </w:t>
      </w:r>
      <w:proofErr w:type="spellStart"/>
      <w:r w:rsidRPr="00FA3F9C">
        <w:rPr>
          <w:rFonts w:ascii="Arial" w:hAnsi="Arial" w:cs="Arial"/>
          <w:sz w:val="24"/>
          <w:szCs w:val="24"/>
        </w:rPr>
        <w:t>Engl</w:t>
      </w:r>
      <w:proofErr w:type="spellEnd"/>
      <w:r w:rsidRPr="00FA3F9C">
        <w:rPr>
          <w:rFonts w:ascii="Arial" w:hAnsi="Arial" w:cs="Arial"/>
          <w:sz w:val="24"/>
          <w:szCs w:val="24"/>
        </w:rPr>
        <w:t xml:space="preserve"> J Med. 2019 May 30;380(22):2104-2115. NCT02252172 PMID 31141632</w:t>
      </w:r>
    </w:p>
    <w:p w14:paraId="106970CF" w14:textId="77777777" w:rsidR="001506C1" w:rsidRPr="00FA3F9C" w:rsidRDefault="001506C1" w:rsidP="001506C1">
      <w:pPr>
        <w:pStyle w:val="ListParagraph"/>
        <w:numPr>
          <w:ilvl w:val="0"/>
          <w:numId w:val="103"/>
        </w:numPr>
        <w:spacing w:after="0" w:line="276" w:lineRule="auto"/>
        <w:rPr>
          <w:rFonts w:ascii="Arial" w:hAnsi="Arial" w:cs="Arial"/>
          <w:sz w:val="24"/>
          <w:szCs w:val="24"/>
        </w:rPr>
      </w:pPr>
      <w:r w:rsidRPr="00FA3F9C">
        <w:rPr>
          <w:rFonts w:ascii="Arial" w:hAnsi="Arial" w:cs="Arial"/>
          <w:sz w:val="24"/>
          <w:szCs w:val="24"/>
        </w:rPr>
        <w:t xml:space="preserve">In combination with bortezomib, melphalan and prednisone for the treatment of patients with newly diagnosed multiple myeloma who are ineligible for autologous stem cell transplant </w:t>
      </w:r>
      <w:r w:rsidRPr="00FA3F9C">
        <w:rPr>
          <w:rFonts w:ascii="Arial" w:hAnsi="Arial" w:cs="Arial"/>
          <w:sz w:val="24"/>
          <w:szCs w:val="24"/>
          <w:highlight w:val="cyan"/>
        </w:rPr>
        <w:t>(SEE NEWLY DIAGNOSED CRITERIA)</w:t>
      </w:r>
    </w:p>
    <w:p w14:paraId="38197976" w14:textId="77777777" w:rsidR="001506C1" w:rsidRPr="00FA3F9C" w:rsidRDefault="001506C1" w:rsidP="00524019">
      <w:pPr>
        <w:pStyle w:val="ListParagraph"/>
        <w:spacing w:after="0" w:line="240" w:lineRule="auto"/>
        <w:rPr>
          <w:rFonts w:ascii="Arial" w:hAnsi="Arial" w:cs="Arial"/>
          <w:sz w:val="24"/>
          <w:szCs w:val="24"/>
        </w:rPr>
      </w:pPr>
      <w:r w:rsidRPr="00FA3F9C">
        <w:rPr>
          <w:rFonts w:ascii="Arial" w:hAnsi="Arial" w:cs="Arial"/>
          <w:sz w:val="24"/>
          <w:szCs w:val="24"/>
        </w:rPr>
        <w:t>References:</w:t>
      </w:r>
    </w:p>
    <w:p w14:paraId="4455698D" w14:textId="77777777" w:rsidR="001506C1" w:rsidRPr="00FA3F9C" w:rsidRDefault="001506C1" w:rsidP="001506C1">
      <w:pPr>
        <w:pStyle w:val="ListParagraph"/>
        <w:framePr w:hSpace="180" w:wrap="around" w:vAnchor="text" w:hAnchor="margin" w:xAlign="center" w:y="97"/>
        <w:numPr>
          <w:ilvl w:val="0"/>
          <w:numId w:val="105"/>
        </w:numPr>
        <w:spacing w:after="0" w:line="240" w:lineRule="auto"/>
        <w:ind w:left="990" w:hanging="270"/>
        <w:rPr>
          <w:rFonts w:ascii="Arial" w:hAnsi="Arial" w:cs="Arial"/>
          <w:sz w:val="24"/>
          <w:szCs w:val="24"/>
        </w:rPr>
      </w:pPr>
      <w:proofErr w:type="spellStart"/>
      <w:r w:rsidRPr="00FA3F9C">
        <w:rPr>
          <w:rFonts w:ascii="Arial" w:hAnsi="Arial" w:cs="Arial"/>
          <w:sz w:val="24"/>
          <w:szCs w:val="24"/>
        </w:rPr>
        <w:t>Mateos</w:t>
      </w:r>
      <w:proofErr w:type="spellEnd"/>
      <w:r w:rsidRPr="00FA3F9C">
        <w:rPr>
          <w:rFonts w:ascii="Arial" w:hAnsi="Arial" w:cs="Arial"/>
          <w:sz w:val="24"/>
          <w:szCs w:val="24"/>
        </w:rPr>
        <w:t xml:space="preserve"> MV et al. Daratumumab plus bortezomib, melphalan, and prednisone for untreated myeloma. NEJM. 2018;378(6):518-528. PMID 29231133 NCT02195479</w:t>
      </w:r>
    </w:p>
    <w:p w14:paraId="1BBF1D38" w14:textId="77777777" w:rsidR="001506C1" w:rsidRPr="00FA3F9C" w:rsidRDefault="001506C1" w:rsidP="001506C1">
      <w:pPr>
        <w:pStyle w:val="ListParagraph"/>
        <w:numPr>
          <w:ilvl w:val="1"/>
          <w:numId w:val="105"/>
        </w:numPr>
        <w:spacing w:after="0" w:line="240" w:lineRule="auto"/>
        <w:ind w:left="990" w:hanging="270"/>
        <w:rPr>
          <w:rFonts w:ascii="Arial" w:hAnsi="Arial" w:cs="Arial"/>
          <w:sz w:val="24"/>
          <w:szCs w:val="24"/>
        </w:rPr>
      </w:pPr>
      <w:proofErr w:type="spellStart"/>
      <w:r w:rsidRPr="00FA3F9C">
        <w:rPr>
          <w:rFonts w:ascii="Arial" w:hAnsi="Arial" w:cs="Arial"/>
          <w:sz w:val="24"/>
          <w:szCs w:val="24"/>
        </w:rPr>
        <w:t>Niesvizky</w:t>
      </w:r>
      <w:proofErr w:type="spellEnd"/>
      <w:r w:rsidRPr="00FA3F9C">
        <w:rPr>
          <w:rFonts w:ascii="Arial" w:hAnsi="Arial" w:cs="Arial"/>
          <w:sz w:val="24"/>
          <w:szCs w:val="24"/>
        </w:rPr>
        <w:t xml:space="preserve"> R et al. Efficacy and safety of three bortezomib-based combinations in elderly, newly diagnosed multiple myeloma patients: results from all randomized patients in the community-based, phase 3b UPFRONT STUDY [abstract]. Blood 2011;118:Abstract 478. Available at: </w:t>
      </w:r>
      <w:hyperlink r:id="rId106" w:history="1">
        <w:r w:rsidRPr="00FA3F9C">
          <w:rPr>
            <w:rStyle w:val="Hyperlink"/>
            <w:rFonts w:ascii="Arial" w:hAnsi="Arial" w:cs="Arial"/>
            <w:sz w:val="24"/>
            <w:szCs w:val="24"/>
          </w:rPr>
          <w:t>http://www.bloodjournal.org/content/118/21/478?sso-checked=true</w:t>
        </w:r>
      </w:hyperlink>
      <w:r w:rsidRPr="00FA3F9C">
        <w:rPr>
          <w:rFonts w:ascii="Arial" w:hAnsi="Arial" w:cs="Arial"/>
          <w:sz w:val="24"/>
          <w:szCs w:val="24"/>
        </w:rPr>
        <w:t>. (Accessed 4/17/19)</w:t>
      </w:r>
    </w:p>
    <w:p w14:paraId="0DD09C67" w14:textId="77777777" w:rsidR="001506C1" w:rsidRPr="00FA3F9C" w:rsidRDefault="001506C1" w:rsidP="001506C1">
      <w:pPr>
        <w:pStyle w:val="ListParagraph"/>
        <w:numPr>
          <w:ilvl w:val="0"/>
          <w:numId w:val="103"/>
        </w:numPr>
        <w:spacing w:after="0" w:line="276" w:lineRule="auto"/>
        <w:rPr>
          <w:rFonts w:ascii="Arial" w:hAnsi="Arial" w:cs="Arial"/>
          <w:sz w:val="24"/>
          <w:szCs w:val="24"/>
        </w:rPr>
      </w:pPr>
      <w:r w:rsidRPr="00FA3F9C">
        <w:rPr>
          <w:rFonts w:ascii="Arial" w:hAnsi="Arial" w:cs="Arial"/>
          <w:sz w:val="24"/>
          <w:szCs w:val="24"/>
        </w:rPr>
        <w:t xml:space="preserve">In combination with bortezomib, thalidomide, and dexamethasone in newly diagnosed multiple myeloma patients who are eligible for autologous stem cell transplant </w:t>
      </w:r>
      <w:r w:rsidRPr="00FA3F9C">
        <w:rPr>
          <w:rFonts w:ascii="Arial" w:hAnsi="Arial" w:cs="Arial"/>
          <w:sz w:val="24"/>
          <w:szCs w:val="24"/>
          <w:highlight w:val="cyan"/>
        </w:rPr>
        <w:t>(SEE NEWLY DIAGNOSED CRITERIA)</w:t>
      </w:r>
    </w:p>
    <w:p w14:paraId="170CD198" w14:textId="77777777" w:rsidR="001506C1" w:rsidRPr="00FA3F9C" w:rsidRDefault="001506C1" w:rsidP="001506C1">
      <w:pPr>
        <w:pStyle w:val="ListParagraph"/>
        <w:numPr>
          <w:ilvl w:val="0"/>
          <w:numId w:val="103"/>
        </w:numPr>
        <w:spacing w:after="0" w:line="276" w:lineRule="auto"/>
        <w:rPr>
          <w:rFonts w:ascii="Arial" w:hAnsi="Arial" w:cs="Arial"/>
          <w:sz w:val="24"/>
          <w:szCs w:val="24"/>
        </w:rPr>
      </w:pPr>
      <w:r w:rsidRPr="00FA3F9C">
        <w:rPr>
          <w:rFonts w:ascii="Arial" w:hAnsi="Arial" w:cs="Arial"/>
          <w:sz w:val="24"/>
          <w:szCs w:val="24"/>
        </w:rPr>
        <w:t xml:space="preserve">In combination with bortezomib and dexamethasone for the treatment of patients with multiple myeloma who have received at least one prior therapy </w:t>
      </w:r>
      <w:r w:rsidRPr="00FA3F9C">
        <w:rPr>
          <w:rFonts w:ascii="Arial" w:hAnsi="Arial" w:cs="Arial"/>
          <w:sz w:val="24"/>
          <w:szCs w:val="24"/>
          <w:highlight w:val="cyan"/>
        </w:rPr>
        <w:t>(SEE RELAPSED/REFRACTORY CRITERIA)</w:t>
      </w:r>
    </w:p>
    <w:p w14:paraId="61D17435" w14:textId="77777777" w:rsidR="001506C1" w:rsidRPr="00FA3F9C" w:rsidRDefault="001506C1" w:rsidP="001506C1">
      <w:pPr>
        <w:pStyle w:val="ListParagraph"/>
        <w:numPr>
          <w:ilvl w:val="0"/>
          <w:numId w:val="103"/>
        </w:numPr>
        <w:spacing w:after="0" w:line="276" w:lineRule="auto"/>
        <w:rPr>
          <w:rFonts w:ascii="Arial" w:hAnsi="Arial" w:cs="Arial"/>
          <w:sz w:val="24"/>
          <w:szCs w:val="24"/>
        </w:rPr>
      </w:pPr>
      <w:r w:rsidRPr="00FA3F9C">
        <w:rPr>
          <w:rFonts w:ascii="Arial" w:hAnsi="Arial" w:cs="Arial"/>
          <w:sz w:val="24"/>
          <w:szCs w:val="24"/>
        </w:rPr>
        <w:t xml:space="preserve">As monotherapy, for the treatment of patients with multiple myeloma who have received at least three prior lines of therapy including a proteasome inhibitor (PI, bortezomib, carfilzomib, </w:t>
      </w:r>
      <w:proofErr w:type="spellStart"/>
      <w:r w:rsidRPr="00FA3F9C">
        <w:rPr>
          <w:rFonts w:ascii="Arial" w:hAnsi="Arial" w:cs="Arial"/>
          <w:sz w:val="24"/>
          <w:szCs w:val="24"/>
        </w:rPr>
        <w:t>ixazomib</w:t>
      </w:r>
      <w:proofErr w:type="spellEnd"/>
      <w:r w:rsidRPr="00FA3F9C">
        <w:rPr>
          <w:rFonts w:ascii="Arial" w:hAnsi="Arial" w:cs="Arial"/>
          <w:sz w:val="24"/>
          <w:szCs w:val="24"/>
        </w:rPr>
        <w:t xml:space="preserve">) and an immunomodulatory agent (lenalidomide, thalidomide, pomalidomide) or who are </w:t>
      </w:r>
      <w:proofErr w:type="gramStart"/>
      <w:r w:rsidRPr="00FA3F9C">
        <w:rPr>
          <w:rFonts w:ascii="Arial" w:hAnsi="Arial" w:cs="Arial"/>
          <w:sz w:val="24"/>
          <w:szCs w:val="24"/>
        </w:rPr>
        <w:t>double-refractory</w:t>
      </w:r>
      <w:proofErr w:type="gramEnd"/>
      <w:r w:rsidRPr="00FA3F9C">
        <w:rPr>
          <w:rFonts w:ascii="Arial" w:hAnsi="Arial" w:cs="Arial"/>
          <w:sz w:val="24"/>
          <w:szCs w:val="24"/>
        </w:rPr>
        <w:t xml:space="preserve"> to a PI and an immunomodulatory agent </w:t>
      </w:r>
      <w:r w:rsidRPr="00FA3F9C">
        <w:rPr>
          <w:rFonts w:ascii="Arial" w:hAnsi="Arial" w:cs="Arial"/>
          <w:sz w:val="24"/>
          <w:szCs w:val="24"/>
          <w:highlight w:val="cyan"/>
        </w:rPr>
        <w:t>(SEE RELAPSED/REFRACTORY CRITERIA)</w:t>
      </w:r>
    </w:p>
    <w:p w14:paraId="3B63F3BD" w14:textId="77777777" w:rsidR="001506C1" w:rsidRPr="00FA3F9C" w:rsidRDefault="001506C1" w:rsidP="00FB1796">
      <w:pPr>
        <w:spacing w:after="0"/>
        <w:rPr>
          <w:rFonts w:ascii="Arial" w:hAnsi="Arial" w:cs="Arial"/>
          <w:b/>
          <w:sz w:val="24"/>
          <w:szCs w:val="24"/>
        </w:rPr>
      </w:pPr>
    </w:p>
    <w:p w14:paraId="048A7560" w14:textId="77777777" w:rsidR="001506C1" w:rsidRPr="00FA3F9C" w:rsidRDefault="001506C1" w:rsidP="00FB1796">
      <w:pPr>
        <w:spacing w:after="0"/>
        <w:rPr>
          <w:rFonts w:ascii="Arial" w:hAnsi="Arial" w:cs="Arial"/>
          <w:sz w:val="24"/>
          <w:szCs w:val="24"/>
        </w:rPr>
      </w:pPr>
      <w:proofErr w:type="spellStart"/>
      <w:r w:rsidRPr="00FA3F9C">
        <w:rPr>
          <w:rFonts w:ascii="Arial" w:hAnsi="Arial" w:cs="Arial"/>
          <w:b/>
          <w:sz w:val="24"/>
          <w:szCs w:val="24"/>
          <w:u w:val="single"/>
        </w:rPr>
        <w:t>Darzalex</w:t>
      </w:r>
      <w:proofErr w:type="spellEnd"/>
      <w:r w:rsidRPr="00FA3F9C">
        <w:rPr>
          <w:rFonts w:ascii="Arial" w:hAnsi="Arial" w:cs="Arial"/>
          <w:b/>
          <w:sz w:val="24"/>
          <w:szCs w:val="24"/>
          <w:u w:val="single"/>
        </w:rPr>
        <w:t xml:space="preserve"> is also FDA-approved for:</w:t>
      </w:r>
      <w:r w:rsidRPr="00FA3F9C">
        <w:rPr>
          <w:rFonts w:ascii="Arial" w:hAnsi="Arial" w:cs="Arial"/>
          <w:sz w:val="24"/>
          <w:szCs w:val="24"/>
        </w:rPr>
        <w:t xml:space="preserve">  </w:t>
      </w:r>
    </w:p>
    <w:p w14:paraId="4EC5A3F0" w14:textId="77777777" w:rsidR="001506C1" w:rsidRPr="00FA3F9C" w:rsidRDefault="001506C1" w:rsidP="001506C1">
      <w:pPr>
        <w:pStyle w:val="ListParagraph"/>
        <w:numPr>
          <w:ilvl w:val="0"/>
          <w:numId w:val="103"/>
        </w:numPr>
        <w:spacing w:after="0" w:line="276" w:lineRule="auto"/>
        <w:rPr>
          <w:rFonts w:ascii="Arial" w:hAnsi="Arial" w:cs="Arial"/>
          <w:sz w:val="24"/>
          <w:szCs w:val="24"/>
        </w:rPr>
      </w:pPr>
      <w:r w:rsidRPr="00FA3F9C">
        <w:rPr>
          <w:rFonts w:ascii="Arial" w:hAnsi="Arial" w:cs="Arial"/>
          <w:sz w:val="24"/>
          <w:szCs w:val="24"/>
        </w:rPr>
        <w:t xml:space="preserve">In combination with carfilzomib and dexamethasone in multiple myeloma patients who have received one to three prior lines of therapy </w:t>
      </w:r>
      <w:r w:rsidRPr="00FA3F9C">
        <w:rPr>
          <w:rFonts w:ascii="Arial" w:hAnsi="Arial" w:cs="Arial"/>
          <w:sz w:val="24"/>
          <w:szCs w:val="24"/>
          <w:highlight w:val="yellow"/>
        </w:rPr>
        <w:t>NOT COVERED</w:t>
      </w:r>
      <w:r w:rsidRPr="00FA3F9C">
        <w:rPr>
          <w:rFonts w:ascii="Arial" w:hAnsi="Arial" w:cs="Arial"/>
          <w:sz w:val="24"/>
          <w:szCs w:val="24"/>
        </w:rPr>
        <w:t>. Daratumumab/carfilzomib/dexamethasone was compared to carfilzomib dexamethasone. Progression free survival benefit was demonstrated, but an overall survival or quality of life benefit has not been demonstrated to date</w:t>
      </w:r>
    </w:p>
    <w:p w14:paraId="0F2F13A5" w14:textId="77777777" w:rsidR="001506C1" w:rsidRPr="00FA3F9C" w:rsidRDefault="001506C1" w:rsidP="001506C1">
      <w:pPr>
        <w:pStyle w:val="ListParagraph"/>
        <w:numPr>
          <w:ilvl w:val="1"/>
          <w:numId w:val="103"/>
        </w:numPr>
        <w:spacing w:after="0" w:line="276" w:lineRule="auto"/>
        <w:rPr>
          <w:rFonts w:ascii="Arial" w:hAnsi="Arial" w:cs="Arial"/>
          <w:sz w:val="24"/>
          <w:szCs w:val="24"/>
        </w:rPr>
      </w:pPr>
      <w:r w:rsidRPr="00FA3F9C">
        <w:rPr>
          <w:rFonts w:ascii="Arial" w:hAnsi="Arial" w:cs="Arial"/>
          <w:sz w:val="24"/>
          <w:szCs w:val="24"/>
          <w:lang w:val="es-ES"/>
        </w:rPr>
        <w:t xml:space="preserve">Reference: </w:t>
      </w:r>
      <w:proofErr w:type="spellStart"/>
      <w:r w:rsidRPr="00FA3F9C">
        <w:rPr>
          <w:rFonts w:ascii="Arial" w:hAnsi="Arial" w:cs="Arial"/>
          <w:sz w:val="24"/>
          <w:szCs w:val="24"/>
          <w:lang w:val="es-ES"/>
        </w:rPr>
        <w:t>Dimopoulos</w:t>
      </w:r>
      <w:proofErr w:type="spellEnd"/>
      <w:r w:rsidRPr="00FA3F9C">
        <w:rPr>
          <w:rFonts w:ascii="Arial" w:hAnsi="Arial" w:cs="Arial"/>
          <w:sz w:val="24"/>
          <w:szCs w:val="24"/>
          <w:lang w:val="es-ES"/>
        </w:rPr>
        <w:t xml:space="preserve">, </w:t>
      </w:r>
      <w:proofErr w:type="spellStart"/>
      <w:r w:rsidRPr="00FA3F9C">
        <w:rPr>
          <w:rFonts w:ascii="Arial" w:hAnsi="Arial" w:cs="Arial"/>
          <w:sz w:val="24"/>
          <w:szCs w:val="24"/>
          <w:lang w:val="es-ES"/>
        </w:rPr>
        <w:t>Meletios</w:t>
      </w:r>
      <w:proofErr w:type="spellEnd"/>
      <w:r w:rsidRPr="00FA3F9C">
        <w:rPr>
          <w:rFonts w:ascii="Arial" w:hAnsi="Arial" w:cs="Arial"/>
          <w:sz w:val="24"/>
          <w:szCs w:val="24"/>
          <w:lang w:val="es-ES"/>
        </w:rPr>
        <w:t xml:space="preserve">, et al. </w:t>
      </w:r>
      <w:r w:rsidRPr="00FA3F9C">
        <w:rPr>
          <w:rFonts w:ascii="Arial" w:hAnsi="Arial" w:cs="Arial"/>
          <w:sz w:val="24"/>
          <w:szCs w:val="24"/>
        </w:rPr>
        <w:t xml:space="preserve">"Carfilzomib, dexamethasone, and daratumumab versus carfilzomib and dexamethasone for patients with relapsed or refractory multiple myeloma (CANDOR): results from a </w:t>
      </w:r>
      <w:proofErr w:type="spellStart"/>
      <w:r w:rsidRPr="00FA3F9C">
        <w:rPr>
          <w:rFonts w:ascii="Arial" w:hAnsi="Arial" w:cs="Arial"/>
          <w:sz w:val="24"/>
          <w:szCs w:val="24"/>
        </w:rPr>
        <w:t>randomised</w:t>
      </w:r>
      <w:proofErr w:type="spellEnd"/>
      <w:r w:rsidRPr="00FA3F9C">
        <w:rPr>
          <w:rFonts w:ascii="Arial" w:hAnsi="Arial" w:cs="Arial"/>
          <w:sz w:val="24"/>
          <w:szCs w:val="24"/>
        </w:rPr>
        <w:t xml:space="preserve">, </w:t>
      </w:r>
      <w:proofErr w:type="spellStart"/>
      <w:r w:rsidRPr="00FA3F9C">
        <w:rPr>
          <w:rFonts w:ascii="Arial" w:hAnsi="Arial" w:cs="Arial"/>
          <w:sz w:val="24"/>
          <w:szCs w:val="24"/>
        </w:rPr>
        <w:t>multicentre</w:t>
      </w:r>
      <w:proofErr w:type="spellEnd"/>
      <w:r w:rsidRPr="00FA3F9C">
        <w:rPr>
          <w:rFonts w:ascii="Arial" w:hAnsi="Arial" w:cs="Arial"/>
          <w:sz w:val="24"/>
          <w:szCs w:val="24"/>
        </w:rPr>
        <w:t>, open-label, phase 3 study." The Lancet 396.10245 (2020): 186-197.</w:t>
      </w:r>
    </w:p>
    <w:p w14:paraId="1C11522C" w14:textId="77777777" w:rsidR="001506C1" w:rsidRPr="00FA3F9C" w:rsidRDefault="001506C1" w:rsidP="001506C1">
      <w:pPr>
        <w:pStyle w:val="ListParagraph"/>
        <w:numPr>
          <w:ilvl w:val="0"/>
          <w:numId w:val="103"/>
        </w:numPr>
        <w:spacing w:after="0" w:line="276" w:lineRule="auto"/>
        <w:rPr>
          <w:rFonts w:ascii="Arial" w:hAnsi="Arial" w:cs="Arial"/>
          <w:sz w:val="24"/>
          <w:szCs w:val="24"/>
        </w:rPr>
      </w:pPr>
      <w:r w:rsidRPr="00FA3F9C">
        <w:rPr>
          <w:rFonts w:ascii="Arial" w:hAnsi="Arial" w:cs="Arial"/>
          <w:sz w:val="24"/>
          <w:szCs w:val="24"/>
        </w:rPr>
        <w:t xml:space="preserve">In combination with pomalidomide and dexamethasone for the treatment of patients with multiple myeloma who have received at least two prior therapies including lenalidomide and a proteasome inhibitor </w:t>
      </w:r>
      <w:r w:rsidRPr="00FA3F9C">
        <w:rPr>
          <w:rFonts w:ascii="Arial" w:hAnsi="Arial" w:cs="Arial"/>
          <w:sz w:val="24"/>
          <w:szCs w:val="24"/>
          <w:highlight w:val="yellow"/>
        </w:rPr>
        <w:t>(NOT COVERED</w:t>
      </w:r>
      <w:r w:rsidRPr="00FA3F9C">
        <w:rPr>
          <w:rFonts w:ascii="Arial" w:hAnsi="Arial" w:cs="Arial"/>
          <w:sz w:val="24"/>
          <w:szCs w:val="24"/>
        </w:rPr>
        <w:t xml:space="preserve">) </w:t>
      </w:r>
    </w:p>
    <w:p w14:paraId="5F8A226C" w14:textId="77777777" w:rsidR="001506C1" w:rsidRPr="00FA3F9C" w:rsidRDefault="001506C1" w:rsidP="001506C1">
      <w:pPr>
        <w:pStyle w:val="ListParagraph"/>
        <w:numPr>
          <w:ilvl w:val="2"/>
          <w:numId w:val="103"/>
        </w:numPr>
        <w:spacing w:after="0" w:line="240" w:lineRule="auto"/>
        <w:rPr>
          <w:rFonts w:ascii="Arial" w:hAnsi="Arial" w:cs="Arial"/>
          <w:sz w:val="24"/>
          <w:szCs w:val="24"/>
        </w:rPr>
      </w:pPr>
      <w:r w:rsidRPr="00FA3F9C">
        <w:rPr>
          <w:rFonts w:ascii="Arial" w:hAnsi="Arial" w:cs="Arial"/>
          <w:sz w:val="24"/>
          <w:szCs w:val="24"/>
        </w:rPr>
        <w:lastRenderedPageBreak/>
        <w:t>Benefit is limited to progression free survival</w:t>
      </w:r>
    </w:p>
    <w:p w14:paraId="51576B2A" w14:textId="77777777" w:rsidR="001506C1" w:rsidRPr="00FA3F9C" w:rsidRDefault="001506C1" w:rsidP="00D1135F">
      <w:pPr>
        <w:spacing w:after="0" w:line="240" w:lineRule="auto"/>
        <w:ind w:left="1800"/>
        <w:rPr>
          <w:rFonts w:ascii="Arial" w:hAnsi="Arial" w:cs="Arial"/>
          <w:sz w:val="24"/>
          <w:szCs w:val="24"/>
        </w:rPr>
      </w:pPr>
      <w:r w:rsidRPr="00FA3F9C">
        <w:rPr>
          <w:rFonts w:ascii="Arial" w:hAnsi="Arial" w:cs="Arial"/>
          <w:sz w:val="24"/>
          <w:szCs w:val="24"/>
        </w:rPr>
        <w:t xml:space="preserve">References: </w:t>
      </w:r>
    </w:p>
    <w:p w14:paraId="21B7139C" w14:textId="77777777" w:rsidR="001506C1" w:rsidRPr="00FA3F9C" w:rsidRDefault="001506C1" w:rsidP="001506C1">
      <w:pPr>
        <w:pStyle w:val="ListParagraph"/>
        <w:numPr>
          <w:ilvl w:val="3"/>
          <w:numId w:val="103"/>
        </w:numPr>
        <w:spacing w:after="0" w:line="240" w:lineRule="auto"/>
        <w:ind w:left="2520" w:hanging="270"/>
        <w:rPr>
          <w:rFonts w:ascii="Arial" w:hAnsi="Arial" w:cs="Arial"/>
          <w:sz w:val="24"/>
          <w:szCs w:val="24"/>
        </w:rPr>
      </w:pPr>
      <w:r w:rsidRPr="00FA3F9C">
        <w:rPr>
          <w:rFonts w:ascii="Arial" w:hAnsi="Arial" w:cs="Arial"/>
          <w:sz w:val="24"/>
          <w:szCs w:val="24"/>
        </w:rPr>
        <w:t>Chari A et al. Daratumumab plus pomalidomide and dexamethasone in relapsed and/or refractory multiple myeloma. Blood. 2017 Aug 24;130(8):974-981. PMID 28637662 NCT01998971 (</w:t>
      </w:r>
      <w:r w:rsidRPr="00FA3F9C">
        <w:rPr>
          <w:rFonts w:ascii="Arial" w:hAnsi="Arial" w:cs="Arial"/>
          <w:sz w:val="24"/>
          <w:szCs w:val="24"/>
          <w:u w:val="single"/>
        </w:rPr>
        <w:t>EQUULEUS; MMY1001</w:t>
      </w:r>
      <w:r w:rsidRPr="00FA3F9C">
        <w:rPr>
          <w:rFonts w:ascii="Arial" w:hAnsi="Arial" w:cs="Arial"/>
          <w:sz w:val="24"/>
          <w:szCs w:val="24"/>
        </w:rPr>
        <w:t>)</w:t>
      </w:r>
    </w:p>
    <w:p w14:paraId="077809FD" w14:textId="77777777" w:rsidR="001506C1" w:rsidRPr="00FA3F9C" w:rsidRDefault="001506C1" w:rsidP="001506C1">
      <w:pPr>
        <w:pStyle w:val="ListParagraph"/>
        <w:numPr>
          <w:ilvl w:val="3"/>
          <w:numId w:val="103"/>
        </w:numPr>
        <w:spacing w:after="0" w:line="240" w:lineRule="auto"/>
        <w:ind w:left="2520" w:hanging="270"/>
        <w:rPr>
          <w:rFonts w:ascii="Arial" w:hAnsi="Arial" w:cs="Arial"/>
          <w:sz w:val="24"/>
          <w:szCs w:val="24"/>
        </w:rPr>
      </w:pPr>
      <w:proofErr w:type="spellStart"/>
      <w:r w:rsidRPr="00FA3F9C">
        <w:rPr>
          <w:rFonts w:ascii="Arial" w:hAnsi="Arial" w:cs="Arial"/>
          <w:sz w:val="24"/>
          <w:szCs w:val="24"/>
        </w:rPr>
        <w:t>Dimopoulos</w:t>
      </w:r>
      <w:proofErr w:type="spellEnd"/>
      <w:r w:rsidRPr="00FA3F9C">
        <w:rPr>
          <w:rFonts w:ascii="Arial" w:hAnsi="Arial" w:cs="Arial"/>
          <w:sz w:val="24"/>
          <w:szCs w:val="24"/>
        </w:rPr>
        <w:t xml:space="preserve"> MA et al. Daratumumab plus pomalidomide and dexamethasone versus pomalidomide and dexamethasone alone in previously treated multiple myeloma (APOLLO): an </w:t>
      </w:r>
      <w:proofErr w:type="gramStart"/>
      <w:r w:rsidRPr="00FA3F9C">
        <w:rPr>
          <w:rFonts w:ascii="Arial" w:hAnsi="Arial" w:cs="Arial"/>
          <w:sz w:val="24"/>
          <w:szCs w:val="24"/>
        </w:rPr>
        <w:t>open-label</w:t>
      </w:r>
      <w:proofErr w:type="gramEnd"/>
      <w:r w:rsidRPr="00FA3F9C">
        <w:rPr>
          <w:rFonts w:ascii="Arial" w:hAnsi="Arial" w:cs="Arial"/>
          <w:sz w:val="24"/>
          <w:szCs w:val="24"/>
        </w:rPr>
        <w:t xml:space="preserve">, </w:t>
      </w:r>
      <w:proofErr w:type="spellStart"/>
      <w:r w:rsidRPr="00FA3F9C">
        <w:rPr>
          <w:rFonts w:ascii="Arial" w:hAnsi="Arial" w:cs="Arial"/>
          <w:sz w:val="24"/>
          <w:szCs w:val="24"/>
        </w:rPr>
        <w:t>randomised</w:t>
      </w:r>
      <w:proofErr w:type="spellEnd"/>
      <w:r w:rsidRPr="00FA3F9C">
        <w:rPr>
          <w:rFonts w:ascii="Arial" w:hAnsi="Arial" w:cs="Arial"/>
          <w:sz w:val="24"/>
          <w:szCs w:val="24"/>
        </w:rPr>
        <w:t xml:space="preserve">, phase 3 trial. Lancet Oncol. 2021 Jun;22(6):801-812. </w:t>
      </w:r>
      <w:proofErr w:type="spellStart"/>
      <w:r w:rsidRPr="00FA3F9C">
        <w:rPr>
          <w:rFonts w:ascii="Arial" w:hAnsi="Arial" w:cs="Arial"/>
          <w:sz w:val="24"/>
          <w:szCs w:val="24"/>
        </w:rPr>
        <w:t>doi</w:t>
      </w:r>
      <w:proofErr w:type="spellEnd"/>
      <w:r w:rsidRPr="00FA3F9C">
        <w:rPr>
          <w:rFonts w:ascii="Arial" w:hAnsi="Arial" w:cs="Arial"/>
          <w:sz w:val="24"/>
          <w:szCs w:val="24"/>
        </w:rPr>
        <w:t>: 10.1016/S1470-2045(21)00128-5. PMID: 34087126. NCT03180736 (</w:t>
      </w:r>
      <w:r w:rsidRPr="00FA3F9C">
        <w:rPr>
          <w:rFonts w:ascii="Arial" w:hAnsi="Arial" w:cs="Arial"/>
          <w:sz w:val="24"/>
          <w:szCs w:val="24"/>
          <w:u w:val="single"/>
        </w:rPr>
        <w:t>APOLLO</w:t>
      </w:r>
      <w:r w:rsidRPr="00FA3F9C">
        <w:rPr>
          <w:rFonts w:ascii="Arial" w:hAnsi="Arial" w:cs="Arial"/>
          <w:sz w:val="24"/>
          <w:szCs w:val="24"/>
        </w:rPr>
        <w:t>)</w:t>
      </w:r>
    </w:p>
    <w:p w14:paraId="2323D8DF" w14:textId="77777777" w:rsidR="001506C1" w:rsidRPr="00FA3F9C" w:rsidRDefault="001506C1" w:rsidP="00FB1796">
      <w:pPr>
        <w:spacing w:after="0"/>
        <w:rPr>
          <w:rFonts w:ascii="Arial" w:hAnsi="Arial" w:cs="Arial"/>
          <w:sz w:val="24"/>
          <w:szCs w:val="24"/>
        </w:rPr>
      </w:pPr>
      <w:proofErr w:type="spellStart"/>
      <w:r w:rsidRPr="00FA3F9C">
        <w:rPr>
          <w:rFonts w:ascii="Arial" w:hAnsi="Arial" w:cs="Arial"/>
          <w:b/>
          <w:sz w:val="24"/>
          <w:szCs w:val="24"/>
          <w:u w:val="single"/>
        </w:rPr>
        <w:t>Darzalex</w:t>
      </w:r>
      <w:proofErr w:type="spellEnd"/>
      <w:r w:rsidRPr="00FA3F9C">
        <w:rPr>
          <w:rFonts w:ascii="Arial" w:hAnsi="Arial" w:cs="Arial"/>
          <w:b/>
          <w:sz w:val="24"/>
          <w:szCs w:val="24"/>
          <w:u w:val="single"/>
        </w:rPr>
        <w:t xml:space="preserve"> </w:t>
      </w:r>
      <w:proofErr w:type="spellStart"/>
      <w:r w:rsidRPr="00FA3F9C">
        <w:rPr>
          <w:rFonts w:ascii="Arial" w:hAnsi="Arial" w:cs="Arial"/>
          <w:b/>
          <w:sz w:val="24"/>
          <w:szCs w:val="24"/>
          <w:u w:val="single"/>
        </w:rPr>
        <w:t>Faspro</w:t>
      </w:r>
      <w:proofErr w:type="spellEnd"/>
      <w:r w:rsidRPr="00FA3F9C">
        <w:rPr>
          <w:rFonts w:ascii="Arial" w:hAnsi="Arial" w:cs="Arial"/>
          <w:b/>
          <w:sz w:val="24"/>
          <w:szCs w:val="24"/>
          <w:u w:val="single"/>
        </w:rPr>
        <w:t xml:space="preserve"> is also FDA-approved for:</w:t>
      </w:r>
      <w:r w:rsidRPr="00FA3F9C">
        <w:rPr>
          <w:rFonts w:ascii="Arial" w:hAnsi="Arial" w:cs="Arial"/>
          <w:sz w:val="24"/>
          <w:szCs w:val="24"/>
        </w:rPr>
        <w:t xml:space="preserve">  </w:t>
      </w:r>
    </w:p>
    <w:p w14:paraId="3143B210" w14:textId="77777777" w:rsidR="001506C1" w:rsidRPr="00FA3F9C" w:rsidRDefault="001506C1" w:rsidP="001506C1">
      <w:pPr>
        <w:pStyle w:val="ListParagraph"/>
        <w:numPr>
          <w:ilvl w:val="0"/>
          <w:numId w:val="103"/>
        </w:numPr>
        <w:spacing w:after="0" w:line="276" w:lineRule="auto"/>
        <w:rPr>
          <w:rFonts w:ascii="Arial" w:hAnsi="Arial" w:cs="Arial"/>
          <w:sz w:val="24"/>
          <w:szCs w:val="24"/>
        </w:rPr>
      </w:pPr>
      <w:r w:rsidRPr="00FA3F9C">
        <w:rPr>
          <w:rFonts w:ascii="Arial" w:hAnsi="Arial" w:cs="Arial"/>
          <w:sz w:val="24"/>
          <w:szCs w:val="24"/>
        </w:rPr>
        <w:t>light chain (AL) amyloidosis in combination with bortezomib, cyclophosphamide and dexamethasone in newly diagnosed patients. (</w:t>
      </w:r>
      <w:proofErr w:type="gramStart"/>
      <w:r w:rsidRPr="00FA3F9C">
        <w:rPr>
          <w:rFonts w:ascii="Arial" w:hAnsi="Arial" w:cs="Arial"/>
          <w:sz w:val="24"/>
          <w:szCs w:val="24"/>
        </w:rPr>
        <w:t>accelerated</w:t>
      </w:r>
      <w:proofErr w:type="gramEnd"/>
      <w:r w:rsidRPr="00FA3F9C">
        <w:rPr>
          <w:rFonts w:ascii="Arial" w:hAnsi="Arial" w:cs="Arial"/>
          <w:sz w:val="24"/>
          <w:szCs w:val="24"/>
        </w:rPr>
        <w:t xml:space="preserve"> approval) </w:t>
      </w:r>
      <w:r w:rsidRPr="00FA3F9C">
        <w:rPr>
          <w:rFonts w:ascii="Arial" w:hAnsi="Arial" w:cs="Arial"/>
          <w:sz w:val="24"/>
          <w:szCs w:val="24"/>
          <w:highlight w:val="yellow"/>
        </w:rPr>
        <w:t>NOT COVERED</w:t>
      </w:r>
      <w:r w:rsidRPr="00FA3F9C">
        <w:rPr>
          <w:rFonts w:ascii="Arial" w:hAnsi="Arial" w:cs="Arial"/>
          <w:sz w:val="24"/>
          <w:szCs w:val="24"/>
        </w:rPr>
        <w:t xml:space="preserve"> due to lack of overall survival data (NCT03201965)</w:t>
      </w:r>
    </w:p>
    <w:p w14:paraId="0D12DB7E" w14:textId="77777777" w:rsidR="001506C1" w:rsidRPr="00FA3F9C" w:rsidRDefault="001506C1" w:rsidP="001506C1">
      <w:pPr>
        <w:pStyle w:val="ListParagraph"/>
        <w:numPr>
          <w:ilvl w:val="0"/>
          <w:numId w:val="103"/>
        </w:numPr>
        <w:spacing w:after="0" w:line="276" w:lineRule="auto"/>
        <w:rPr>
          <w:rFonts w:ascii="Arial" w:hAnsi="Arial" w:cs="Arial"/>
          <w:sz w:val="24"/>
          <w:szCs w:val="24"/>
        </w:rPr>
      </w:pPr>
      <w:r w:rsidRPr="00FA3F9C">
        <w:rPr>
          <w:rFonts w:ascii="Arial" w:hAnsi="Arial" w:cs="Arial"/>
          <w:sz w:val="24"/>
          <w:szCs w:val="24"/>
        </w:rPr>
        <w:t xml:space="preserve">multiple myeloma in combination with pomalidomide and dexamethasone in patients who have received at least one prior line of therapy including lenalidomide and a proteasome inhibitor </w:t>
      </w:r>
      <w:r w:rsidRPr="00FA3F9C">
        <w:rPr>
          <w:rFonts w:ascii="Arial" w:hAnsi="Arial" w:cs="Arial"/>
          <w:sz w:val="24"/>
          <w:szCs w:val="24"/>
          <w:highlight w:val="yellow"/>
        </w:rPr>
        <w:t>NOT COVERED</w:t>
      </w:r>
      <w:r w:rsidRPr="00FA3F9C">
        <w:rPr>
          <w:rFonts w:ascii="Arial" w:hAnsi="Arial" w:cs="Arial"/>
          <w:sz w:val="24"/>
          <w:szCs w:val="24"/>
        </w:rPr>
        <w:t xml:space="preserve"> due to lack of overall survival data (NCT03180736)</w:t>
      </w:r>
    </w:p>
    <w:p w14:paraId="277B35C9" w14:textId="77777777" w:rsidR="001506C1" w:rsidRPr="00FA3F9C" w:rsidRDefault="001506C1" w:rsidP="00BA3739">
      <w:pPr>
        <w:spacing w:after="0"/>
        <w:rPr>
          <w:rFonts w:ascii="Arial" w:hAnsi="Arial" w:cs="Arial"/>
          <w:sz w:val="24"/>
          <w:szCs w:val="24"/>
        </w:rPr>
      </w:pPr>
    </w:p>
    <w:tbl>
      <w:tblPr>
        <w:tblStyle w:val="TableGrid"/>
        <w:tblW w:w="0" w:type="auto"/>
        <w:tblLook w:val="04A0" w:firstRow="1" w:lastRow="0" w:firstColumn="1" w:lastColumn="0" w:noHBand="0" w:noVBand="1"/>
      </w:tblPr>
      <w:tblGrid>
        <w:gridCol w:w="8928"/>
        <w:gridCol w:w="2088"/>
      </w:tblGrid>
      <w:tr w:rsidR="001506C1" w:rsidRPr="00FA3F9C" w14:paraId="3468404C" w14:textId="77777777" w:rsidTr="00475180">
        <w:tc>
          <w:tcPr>
            <w:tcW w:w="8928" w:type="dxa"/>
            <w:shd w:val="clear" w:color="auto" w:fill="000000"/>
          </w:tcPr>
          <w:p w14:paraId="3CCB1EA9" w14:textId="77777777" w:rsidR="001506C1" w:rsidRPr="00FA3F9C" w:rsidRDefault="001506C1" w:rsidP="00475180">
            <w:pPr>
              <w:rPr>
                <w:rFonts w:ascii="Arial" w:hAnsi="Arial" w:cs="Arial"/>
                <w:b/>
                <w:sz w:val="24"/>
                <w:szCs w:val="24"/>
                <w:u w:val="single"/>
              </w:rPr>
            </w:pPr>
            <w:r w:rsidRPr="00FA3F9C">
              <w:rPr>
                <w:rFonts w:ascii="Arial" w:hAnsi="Arial" w:cs="Arial"/>
                <w:b/>
                <w:sz w:val="24"/>
                <w:szCs w:val="24"/>
                <w:u w:val="single"/>
              </w:rPr>
              <w:t>Criteria for new users (NEWLY DIAGNOSED)</w:t>
            </w:r>
          </w:p>
        </w:tc>
        <w:tc>
          <w:tcPr>
            <w:tcW w:w="2088" w:type="dxa"/>
            <w:shd w:val="clear" w:color="auto" w:fill="000000"/>
          </w:tcPr>
          <w:p w14:paraId="57640D8A" w14:textId="77777777" w:rsidR="001506C1" w:rsidRPr="00FA3F9C" w:rsidRDefault="001506C1" w:rsidP="00475180">
            <w:pPr>
              <w:jc w:val="center"/>
              <w:rPr>
                <w:rFonts w:ascii="Arial" w:hAnsi="Arial" w:cs="Arial"/>
                <w:b/>
                <w:sz w:val="24"/>
                <w:szCs w:val="24"/>
                <w:u w:val="single"/>
              </w:rPr>
            </w:pPr>
          </w:p>
        </w:tc>
      </w:tr>
      <w:tr w:rsidR="001506C1" w:rsidRPr="00FA3F9C" w14:paraId="69F4AC5C" w14:textId="77777777" w:rsidTr="00475180">
        <w:trPr>
          <w:trHeight w:val="359"/>
        </w:trPr>
        <w:tc>
          <w:tcPr>
            <w:tcW w:w="11016" w:type="dxa"/>
            <w:gridSpan w:val="2"/>
          </w:tcPr>
          <w:p w14:paraId="1E77834C" w14:textId="77777777" w:rsidR="001506C1" w:rsidRPr="00FA3F9C" w:rsidRDefault="001506C1" w:rsidP="00475180">
            <w:pPr>
              <w:rPr>
                <w:rFonts w:ascii="Arial" w:hAnsi="Arial" w:cs="Arial"/>
                <w:sz w:val="24"/>
                <w:szCs w:val="24"/>
              </w:rPr>
            </w:pPr>
            <w:r w:rsidRPr="00FA3F9C">
              <w:rPr>
                <w:rFonts w:ascii="Arial" w:hAnsi="Arial" w:cs="Arial"/>
                <w:sz w:val="24"/>
                <w:szCs w:val="24"/>
              </w:rPr>
              <w:t xml:space="preserve">1. Must have a diagnosis of multiple myeloma with no prior therapy </w:t>
            </w:r>
          </w:p>
        </w:tc>
      </w:tr>
      <w:tr w:rsidR="001506C1" w:rsidRPr="00FA3F9C" w14:paraId="138DF6AA" w14:textId="77777777" w:rsidTr="00475180">
        <w:trPr>
          <w:trHeight w:val="395"/>
        </w:trPr>
        <w:tc>
          <w:tcPr>
            <w:tcW w:w="11016" w:type="dxa"/>
            <w:gridSpan w:val="2"/>
          </w:tcPr>
          <w:p w14:paraId="6A8536A3" w14:textId="77777777" w:rsidR="001506C1" w:rsidRPr="00FA3F9C" w:rsidRDefault="001506C1" w:rsidP="00475180">
            <w:pPr>
              <w:rPr>
                <w:rFonts w:ascii="Arial" w:hAnsi="Arial" w:cs="Arial"/>
                <w:sz w:val="24"/>
                <w:szCs w:val="24"/>
              </w:rPr>
            </w:pPr>
            <w:r w:rsidRPr="00FA3F9C">
              <w:rPr>
                <w:rFonts w:ascii="Arial" w:hAnsi="Arial" w:cs="Arial"/>
                <w:sz w:val="24"/>
                <w:szCs w:val="24"/>
              </w:rPr>
              <w:t>2. Must be ECOG performance status 0, 1, or 2 before initiation of daratumumab.</w:t>
            </w:r>
          </w:p>
        </w:tc>
      </w:tr>
      <w:tr w:rsidR="001506C1" w:rsidRPr="00FA3F9C" w14:paraId="586DEF2C" w14:textId="77777777" w:rsidTr="00475180">
        <w:trPr>
          <w:trHeight w:val="395"/>
        </w:trPr>
        <w:tc>
          <w:tcPr>
            <w:tcW w:w="11016" w:type="dxa"/>
            <w:gridSpan w:val="2"/>
          </w:tcPr>
          <w:p w14:paraId="483C9D5E" w14:textId="77777777" w:rsidR="001506C1" w:rsidRPr="00FA3F9C" w:rsidRDefault="001506C1" w:rsidP="00EE6041">
            <w:pPr>
              <w:rPr>
                <w:rFonts w:ascii="Arial" w:hAnsi="Arial" w:cs="Arial"/>
                <w:sz w:val="24"/>
                <w:szCs w:val="24"/>
              </w:rPr>
            </w:pPr>
            <w:r w:rsidRPr="00FA3F9C">
              <w:rPr>
                <w:rFonts w:ascii="Arial" w:hAnsi="Arial" w:cs="Arial"/>
                <w:sz w:val="24"/>
                <w:szCs w:val="24"/>
              </w:rPr>
              <w:t xml:space="preserve">3. If the patient is </w:t>
            </w:r>
            <w:r w:rsidRPr="00FA3F9C">
              <w:rPr>
                <w:rFonts w:ascii="Arial" w:hAnsi="Arial" w:cs="Arial"/>
                <w:sz w:val="24"/>
                <w:szCs w:val="24"/>
                <w:u w:val="single"/>
              </w:rPr>
              <w:t>eligible</w:t>
            </w:r>
            <w:r w:rsidRPr="00FA3F9C">
              <w:rPr>
                <w:rFonts w:ascii="Arial" w:hAnsi="Arial" w:cs="Arial"/>
                <w:sz w:val="24"/>
                <w:szCs w:val="24"/>
              </w:rPr>
              <w:t xml:space="preserve"> for high-dose therapy with autologous stem-cell transplantation, daratumumab will be used in combination with bortezomib, thalidomide, and dexamethasone (D-VTD).</w:t>
            </w:r>
          </w:p>
        </w:tc>
      </w:tr>
      <w:tr w:rsidR="001506C1" w:rsidRPr="00FA3F9C" w14:paraId="3CBAA4D8" w14:textId="77777777" w:rsidTr="00475180">
        <w:trPr>
          <w:trHeight w:val="395"/>
        </w:trPr>
        <w:tc>
          <w:tcPr>
            <w:tcW w:w="11016" w:type="dxa"/>
            <w:gridSpan w:val="2"/>
          </w:tcPr>
          <w:p w14:paraId="0C7D4487" w14:textId="77777777" w:rsidR="001506C1" w:rsidRPr="00FA3F9C" w:rsidRDefault="001506C1" w:rsidP="00EE6041">
            <w:pPr>
              <w:rPr>
                <w:rFonts w:ascii="Arial" w:hAnsi="Arial" w:cs="Arial"/>
                <w:sz w:val="24"/>
                <w:szCs w:val="24"/>
              </w:rPr>
            </w:pPr>
            <w:r w:rsidRPr="00FA3F9C">
              <w:rPr>
                <w:rFonts w:ascii="Arial" w:hAnsi="Arial" w:cs="Arial"/>
                <w:sz w:val="24"/>
                <w:szCs w:val="24"/>
              </w:rPr>
              <w:t xml:space="preserve">4. If the patient is </w:t>
            </w:r>
            <w:r w:rsidRPr="00FA3F9C">
              <w:rPr>
                <w:rFonts w:ascii="Arial" w:hAnsi="Arial" w:cs="Arial"/>
                <w:sz w:val="24"/>
                <w:szCs w:val="24"/>
                <w:u w:val="single"/>
              </w:rPr>
              <w:t>ineligible</w:t>
            </w:r>
            <w:r w:rsidRPr="00FA3F9C">
              <w:rPr>
                <w:rFonts w:ascii="Arial" w:hAnsi="Arial" w:cs="Arial"/>
                <w:sz w:val="24"/>
                <w:szCs w:val="24"/>
              </w:rPr>
              <w:t xml:space="preserve"> for high-dose therapy with autologous stem-cell transplantation, daratumumab will be used in combination with bortezomib, melphalan, and prednisone (D-VMP).</w:t>
            </w:r>
          </w:p>
        </w:tc>
      </w:tr>
      <w:tr w:rsidR="001506C1" w:rsidRPr="00FA3F9C" w14:paraId="24B094B9" w14:textId="77777777" w:rsidTr="00EE6041">
        <w:trPr>
          <w:trHeight w:val="404"/>
        </w:trPr>
        <w:tc>
          <w:tcPr>
            <w:tcW w:w="11016" w:type="dxa"/>
            <w:gridSpan w:val="2"/>
            <w:shd w:val="clear" w:color="auto" w:fill="F2F2F2" w:themeFill="background1" w:themeFillShade="F2"/>
          </w:tcPr>
          <w:p w14:paraId="5F52B5FA" w14:textId="77777777" w:rsidR="001506C1" w:rsidRPr="00FA3F9C" w:rsidRDefault="001506C1" w:rsidP="00EE6041">
            <w:pPr>
              <w:rPr>
                <w:rFonts w:ascii="Arial" w:hAnsi="Arial" w:cs="Arial"/>
                <w:sz w:val="24"/>
                <w:szCs w:val="24"/>
              </w:rPr>
            </w:pPr>
            <w:r w:rsidRPr="00FA3F9C">
              <w:rPr>
                <w:rFonts w:ascii="Arial" w:hAnsi="Arial" w:cs="Arial"/>
                <w:sz w:val="24"/>
                <w:szCs w:val="24"/>
              </w:rPr>
              <w:t>Approve x 8 months if criteria 1, 2, and 3 are met. This timeframe should allow for completion of entire treatment course barring any major complications. Renewals are not allowed.</w:t>
            </w:r>
          </w:p>
          <w:p w14:paraId="031C2AEA" w14:textId="77777777" w:rsidR="001506C1" w:rsidRPr="00FA3F9C" w:rsidRDefault="001506C1" w:rsidP="00EE6041">
            <w:pPr>
              <w:rPr>
                <w:rFonts w:ascii="Arial" w:hAnsi="Arial" w:cs="Arial"/>
                <w:sz w:val="24"/>
                <w:szCs w:val="24"/>
              </w:rPr>
            </w:pPr>
          </w:p>
          <w:p w14:paraId="6AA7067B" w14:textId="77777777" w:rsidR="001506C1" w:rsidRPr="00FA3F9C" w:rsidRDefault="001506C1" w:rsidP="00F63728">
            <w:pPr>
              <w:rPr>
                <w:rFonts w:ascii="Arial" w:hAnsi="Arial" w:cs="Arial"/>
                <w:sz w:val="24"/>
                <w:szCs w:val="24"/>
              </w:rPr>
            </w:pPr>
            <w:r w:rsidRPr="00FA3F9C">
              <w:rPr>
                <w:rFonts w:ascii="Arial" w:hAnsi="Arial" w:cs="Arial"/>
                <w:sz w:val="24"/>
                <w:szCs w:val="24"/>
              </w:rPr>
              <w:t xml:space="preserve">Approve x 12 months if criteria 1, 2, and 4 are met. Daratumumab is continued until disease progression. Renewals x 12 months may be approved </w:t>
            </w:r>
            <w:proofErr w:type="gramStart"/>
            <w:r w:rsidRPr="00FA3F9C">
              <w:rPr>
                <w:rFonts w:ascii="Arial" w:hAnsi="Arial" w:cs="Arial"/>
                <w:sz w:val="24"/>
                <w:szCs w:val="24"/>
              </w:rPr>
              <w:t>as long as</w:t>
            </w:r>
            <w:proofErr w:type="gramEnd"/>
            <w:r w:rsidRPr="00FA3F9C">
              <w:rPr>
                <w:rFonts w:ascii="Arial" w:hAnsi="Arial" w:cs="Arial"/>
                <w:sz w:val="24"/>
                <w:szCs w:val="24"/>
              </w:rPr>
              <w:t xml:space="preserve"> there is no disease progression.</w:t>
            </w:r>
          </w:p>
        </w:tc>
      </w:tr>
      <w:tr w:rsidR="001506C1" w:rsidRPr="00FA3F9C" w14:paraId="35F89778" w14:textId="77777777" w:rsidTr="00475180">
        <w:trPr>
          <w:trHeight w:val="3500"/>
        </w:trPr>
        <w:tc>
          <w:tcPr>
            <w:tcW w:w="11016" w:type="dxa"/>
            <w:gridSpan w:val="2"/>
            <w:shd w:val="clear" w:color="auto" w:fill="F2F2F2" w:themeFill="background1" w:themeFillShade="F2"/>
          </w:tcPr>
          <w:p w14:paraId="2546473D" w14:textId="77777777" w:rsidR="001506C1" w:rsidRPr="00FA3F9C" w:rsidRDefault="001506C1" w:rsidP="00475180">
            <w:pPr>
              <w:tabs>
                <w:tab w:val="left" w:pos="947"/>
              </w:tabs>
              <w:rPr>
                <w:rFonts w:ascii="Arial" w:hAnsi="Arial" w:cs="Arial"/>
                <w:b/>
                <w:sz w:val="24"/>
                <w:szCs w:val="24"/>
              </w:rPr>
            </w:pPr>
          </w:p>
          <w:p w14:paraId="1427B452" w14:textId="77777777" w:rsidR="001506C1" w:rsidRPr="00FA3F9C" w:rsidRDefault="001506C1" w:rsidP="00475180">
            <w:pPr>
              <w:tabs>
                <w:tab w:val="left" w:pos="947"/>
              </w:tabs>
              <w:rPr>
                <w:rFonts w:ascii="Arial" w:hAnsi="Arial" w:cs="Arial"/>
                <w:b/>
                <w:sz w:val="24"/>
                <w:szCs w:val="24"/>
              </w:rPr>
            </w:pPr>
            <w:r w:rsidRPr="00FA3F9C">
              <w:rPr>
                <w:rFonts w:ascii="Arial" w:hAnsi="Arial" w:cs="Arial"/>
                <w:b/>
                <w:sz w:val="24"/>
                <w:szCs w:val="24"/>
              </w:rPr>
              <w:t>Daratumumab dose: 16 mg/kg IV</w:t>
            </w:r>
          </w:p>
          <w:p w14:paraId="523D7A5D" w14:textId="77777777" w:rsidR="001506C1" w:rsidRPr="00FA3F9C" w:rsidRDefault="001506C1" w:rsidP="00475180">
            <w:pPr>
              <w:tabs>
                <w:tab w:val="left" w:pos="947"/>
              </w:tabs>
              <w:rPr>
                <w:rFonts w:ascii="Arial" w:hAnsi="Arial" w:cs="Arial"/>
                <w:sz w:val="24"/>
                <w:szCs w:val="24"/>
              </w:rPr>
            </w:pPr>
          </w:p>
          <w:tbl>
            <w:tblPr>
              <w:tblStyle w:val="TableGrid"/>
              <w:tblW w:w="0" w:type="auto"/>
              <w:tblLook w:val="04A0" w:firstRow="1" w:lastRow="0" w:firstColumn="1" w:lastColumn="0" w:noHBand="0" w:noVBand="1"/>
            </w:tblPr>
            <w:tblGrid>
              <w:gridCol w:w="2437"/>
              <w:gridCol w:w="2430"/>
              <w:gridCol w:w="3690"/>
            </w:tblGrid>
            <w:tr w:rsidR="001506C1" w:rsidRPr="00FA3F9C" w14:paraId="6CB5B0A2" w14:textId="77777777" w:rsidTr="00C52470">
              <w:tc>
                <w:tcPr>
                  <w:tcW w:w="8557" w:type="dxa"/>
                  <w:gridSpan w:val="3"/>
                  <w:shd w:val="clear" w:color="auto" w:fill="D9D9D9" w:themeFill="background1" w:themeFillShade="D9"/>
                </w:tcPr>
                <w:p w14:paraId="1B8C340E" w14:textId="77777777" w:rsidR="001506C1" w:rsidRPr="00FA3F9C" w:rsidRDefault="001506C1" w:rsidP="00EE6041">
                  <w:pPr>
                    <w:tabs>
                      <w:tab w:val="left" w:pos="947"/>
                    </w:tabs>
                    <w:rPr>
                      <w:rFonts w:ascii="Arial" w:hAnsi="Arial" w:cs="Arial"/>
                      <w:b/>
                      <w:sz w:val="24"/>
                      <w:szCs w:val="24"/>
                    </w:rPr>
                  </w:pPr>
                  <w:r w:rsidRPr="00FA3F9C">
                    <w:rPr>
                      <w:rFonts w:ascii="Arial" w:hAnsi="Arial" w:cs="Arial"/>
                      <w:b/>
                      <w:sz w:val="24"/>
                      <w:szCs w:val="24"/>
                    </w:rPr>
                    <w:t xml:space="preserve">Daratumumab schedule for </w:t>
                  </w:r>
                  <w:r w:rsidRPr="00FA3F9C">
                    <w:rPr>
                      <w:rFonts w:ascii="Arial" w:hAnsi="Arial" w:cs="Arial"/>
                      <w:b/>
                      <w:sz w:val="24"/>
                      <w:szCs w:val="24"/>
                      <w:highlight w:val="yellow"/>
                    </w:rPr>
                    <w:t>D-VTD</w:t>
                  </w:r>
                  <w:r w:rsidRPr="00FA3F9C">
                    <w:rPr>
                      <w:rFonts w:ascii="Arial" w:hAnsi="Arial" w:cs="Arial"/>
                      <w:b/>
                      <w:sz w:val="24"/>
                      <w:szCs w:val="24"/>
                    </w:rPr>
                    <w:t xml:space="preserve"> regimen (transplant eligible)</w:t>
                  </w:r>
                </w:p>
              </w:tc>
            </w:tr>
            <w:tr w:rsidR="001506C1" w:rsidRPr="00FA3F9C" w14:paraId="499AA585" w14:textId="77777777" w:rsidTr="00475180">
              <w:tc>
                <w:tcPr>
                  <w:tcW w:w="2437" w:type="dxa"/>
                  <w:shd w:val="clear" w:color="auto" w:fill="D9D9D9" w:themeFill="background1" w:themeFillShade="D9"/>
                </w:tcPr>
                <w:p w14:paraId="114635DC" w14:textId="77777777" w:rsidR="001506C1" w:rsidRPr="00FA3F9C" w:rsidRDefault="001506C1" w:rsidP="00475180">
                  <w:pPr>
                    <w:tabs>
                      <w:tab w:val="left" w:pos="947"/>
                    </w:tabs>
                    <w:rPr>
                      <w:rFonts w:ascii="Arial" w:hAnsi="Arial" w:cs="Arial"/>
                      <w:b/>
                      <w:sz w:val="24"/>
                      <w:szCs w:val="24"/>
                    </w:rPr>
                  </w:pPr>
                  <w:r w:rsidRPr="00FA3F9C">
                    <w:rPr>
                      <w:rFonts w:ascii="Arial" w:hAnsi="Arial" w:cs="Arial"/>
                      <w:b/>
                      <w:sz w:val="24"/>
                      <w:szCs w:val="24"/>
                    </w:rPr>
                    <w:t>Treatment phase</w:t>
                  </w:r>
                </w:p>
              </w:tc>
              <w:tc>
                <w:tcPr>
                  <w:tcW w:w="2430" w:type="dxa"/>
                  <w:shd w:val="clear" w:color="auto" w:fill="D9D9D9" w:themeFill="background1" w:themeFillShade="D9"/>
                </w:tcPr>
                <w:p w14:paraId="4D8CE7E7" w14:textId="77777777" w:rsidR="001506C1" w:rsidRPr="00FA3F9C" w:rsidRDefault="001506C1" w:rsidP="00475180">
                  <w:pPr>
                    <w:tabs>
                      <w:tab w:val="left" w:pos="947"/>
                    </w:tabs>
                    <w:rPr>
                      <w:rFonts w:ascii="Arial" w:hAnsi="Arial" w:cs="Arial"/>
                      <w:b/>
                      <w:sz w:val="24"/>
                      <w:szCs w:val="24"/>
                    </w:rPr>
                  </w:pPr>
                  <w:r w:rsidRPr="00FA3F9C">
                    <w:rPr>
                      <w:rFonts w:ascii="Arial" w:hAnsi="Arial" w:cs="Arial"/>
                      <w:b/>
                      <w:sz w:val="24"/>
                      <w:szCs w:val="24"/>
                    </w:rPr>
                    <w:t>Weeks</w:t>
                  </w:r>
                </w:p>
              </w:tc>
              <w:tc>
                <w:tcPr>
                  <w:tcW w:w="3690" w:type="dxa"/>
                  <w:shd w:val="clear" w:color="auto" w:fill="D9D9D9" w:themeFill="background1" w:themeFillShade="D9"/>
                </w:tcPr>
                <w:p w14:paraId="31A95E7D" w14:textId="77777777" w:rsidR="001506C1" w:rsidRPr="00FA3F9C" w:rsidRDefault="001506C1" w:rsidP="00475180">
                  <w:pPr>
                    <w:tabs>
                      <w:tab w:val="left" w:pos="947"/>
                    </w:tabs>
                    <w:rPr>
                      <w:rFonts w:ascii="Arial" w:hAnsi="Arial" w:cs="Arial"/>
                      <w:b/>
                      <w:sz w:val="24"/>
                      <w:szCs w:val="24"/>
                    </w:rPr>
                  </w:pPr>
                  <w:r w:rsidRPr="00FA3F9C">
                    <w:rPr>
                      <w:rFonts w:ascii="Arial" w:hAnsi="Arial" w:cs="Arial"/>
                      <w:b/>
                      <w:sz w:val="24"/>
                      <w:szCs w:val="24"/>
                    </w:rPr>
                    <w:t>Schedule</w:t>
                  </w:r>
                </w:p>
              </w:tc>
            </w:tr>
            <w:tr w:rsidR="001506C1" w:rsidRPr="00FA3F9C" w14:paraId="7EC9F4F0" w14:textId="77777777" w:rsidTr="00475180">
              <w:tc>
                <w:tcPr>
                  <w:tcW w:w="2437" w:type="dxa"/>
                </w:tcPr>
                <w:p w14:paraId="4CCCBD6D" w14:textId="77777777" w:rsidR="001506C1" w:rsidRPr="00FA3F9C" w:rsidRDefault="001506C1" w:rsidP="00475180">
                  <w:pPr>
                    <w:tabs>
                      <w:tab w:val="left" w:pos="947"/>
                    </w:tabs>
                    <w:rPr>
                      <w:rFonts w:ascii="Arial" w:hAnsi="Arial" w:cs="Arial"/>
                      <w:b/>
                      <w:sz w:val="24"/>
                      <w:szCs w:val="24"/>
                    </w:rPr>
                  </w:pPr>
                  <w:r w:rsidRPr="00FA3F9C">
                    <w:rPr>
                      <w:rFonts w:ascii="Arial" w:hAnsi="Arial" w:cs="Arial"/>
                      <w:sz w:val="24"/>
                      <w:szCs w:val="24"/>
                    </w:rPr>
                    <w:t>Induction</w:t>
                  </w:r>
                </w:p>
              </w:tc>
              <w:tc>
                <w:tcPr>
                  <w:tcW w:w="2430" w:type="dxa"/>
                </w:tcPr>
                <w:p w14:paraId="658BDDD4" w14:textId="77777777" w:rsidR="001506C1" w:rsidRPr="00FA3F9C" w:rsidRDefault="001506C1" w:rsidP="00475180">
                  <w:pPr>
                    <w:tabs>
                      <w:tab w:val="left" w:pos="947"/>
                    </w:tabs>
                    <w:rPr>
                      <w:rFonts w:ascii="Arial" w:hAnsi="Arial" w:cs="Arial"/>
                      <w:b/>
                      <w:sz w:val="24"/>
                      <w:szCs w:val="24"/>
                    </w:rPr>
                  </w:pPr>
                  <w:r w:rsidRPr="00FA3F9C">
                    <w:rPr>
                      <w:rFonts w:ascii="Arial" w:hAnsi="Arial" w:cs="Arial"/>
                      <w:sz w:val="24"/>
                      <w:szCs w:val="24"/>
                    </w:rPr>
                    <w:t>Weeks 1 to 8</w:t>
                  </w:r>
                </w:p>
              </w:tc>
              <w:tc>
                <w:tcPr>
                  <w:tcW w:w="3690" w:type="dxa"/>
                </w:tcPr>
                <w:p w14:paraId="41CA090C" w14:textId="77777777" w:rsidR="001506C1" w:rsidRPr="00FA3F9C" w:rsidRDefault="001506C1" w:rsidP="00475180">
                  <w:pPr>
                    <w:tabs>
                      <w:tab w:val="left" w:pos="947"/>
                    </w:tabs>
                    <w:rPr>
                      <w:rFonts w:ascii="Arial" w:hAnsi="Arial" w:cs="Arial"/>
                      <w:b/>
                      <w:sz w:val="24"/>
                      <w:szCs w:val="24"/>
                    </w:rPr>
                  </w:pPr>
                  <w:r w:rsidRPr="00FA3F9C">
                    <w:rPr>
                      <w:rFonts w:ascii="Arial" w:hAnsi="Arial" w:cs="Arial"/>
                      <w:sz w:val="24"/>
                      <w:szCs w:val="24"/>
                    </w:rPr>
                    <w:t>Weekly (total of 8 doses)</w:t>
                  </w:r>
                </w:p>
              </w:tc>
            </w:tr>
            <w:tr w:rsidR="001506C1" w:rsidRPr="00FA3F9C" w14:paraId="065C3675" w14:textId="77777777" w:rsidTr="00475180">
              <w:tc>
                <w:tcPr>
                  <w:tcW w:w="2437" w:type="dxa"/>
                </w:tcPr>
                <w:p w14:paraId="24C68464" w14:textId="77777777" w:rsidR="001506C1" w:rsidRPr="00FA3F9C" w:rsidRDefault="001506C1" w:rsidP="00475180">
                  <w:pPr>
                    <w:tabs>
                      <w:tab w:val="left" w:pos="947"/>
                    </w:tabs>
                    <w:rPr>
                      <w:rFonts w:ascii="Arial" w:hAnsi="Arial" w:cs="Arial"/>
                      <w:b/>
                      <w:sz w:val="24"/>
                      <w:szCs w:val="24"/>
                    </w:rPr>
                  </w:pPr>
                </w:p>
              </w:tc>
              <w:tc>
                <w:tcPr>
                  <w:tcW w:w="2430" w:type="dxa"/>
                </w:tcPr>
                <w:p w14:paraId="6ED1A4B3" w14:textId="77777777" w:rsidR="001506C1" w:rsidRPr="00FA3F9C" w:rsidRDefault="001506C1" w:rsidP="00475180">
                  <w:pPr>
                    <w:tabs>
                      <w:tab w:val="left" w:pos="947"/>
                    </w:tabs>
                    <w:rPr>
                      <w:rFonts w:ascii="Arial" w:hAnsi="Arial" w:cs="Arial"/>
                      <w:b/>
                      <w:sz w:val="24"/>
                      <w:szCs w:val="24"/>
                    </w:rPr>
                  </w:pPr>
                  <w:r w:rsidRPr="00FA3F9C">
                    <w:rPr>
                      <w:rFonts w:ascii="Arial" w:hAnsi="Arial" w:cs="Arial"/>
                      <w:sz w:val="24"/>
                      <w:szCs w:val="24"/>
                    </w:rPr>
                    <w:t>Weeks 9 to 16</w:t>
                  </w:r>
                </w:p>
              </w:tc>
              <w:tc>
                <w:tcPr>
                  <w:tcW w:w="3690" w:type="dxa"/>
                </w:tcPr>
                <w:p w14:paraId="7BA865F4" w14:textId="77777777" w:rsidR="001506C1" w:rsidRPr="00FA3F9C" w:rsidRDefault="001506C1" w:rsidP="00475180">
                  <w:pPr>
                    <w:tabs>
                      <w:tab w:val="left" w:pos="947"/>
                    </w:tabs>
                    <w:rPr>
                      <w:rFonts w:ascii="Arial" w:hAnsi="Arial" w:cs="Arial"/>
                      <w:b/>
                      <w:sz w:val="24"/>
                      <w:szCs w:val="24"/>
                    </w:rPr>
                  </w:pPr>
                  <w:r w:rsidRPr="00FA3F9C">
                    <w:rPr>
                      <w:rFonts w:ascii="Arial" w:hAnsi="Arial" w:cs="Arial"/>
                      <w:sz w:val="24"/>
                      <w:szCs w:val="24"/>
                    </w:rPr>
                    <w:t>Every two weeks (total of 4 doses)</w:t>
                  </w:r>
                </w:p>
              </w:tc>
            </w:tr>
            <w:tr w:rsidR="001506C1" w:rsidRPr="00FA3F9C" w14:paraId="4F3CB7F5" w14:textId="77777777" w:rsidTr="00475180">
              <w:trPr>
                <w:trHeight w:val="404"/>
              </w:trPr>
              <w:tc>
                <w:tcPr>
                  <w:tcW w:w="8557" w:type="dxa"/>
                  <w:gridSpan w:val="3"/>
                  <w:vAlign w:val="center"/>
                </w:tcPr>
                <w:p w14:paraId="1AA1E0E0" w14:textId="77777777" w:rsidR="001506C1" w:rsidRPr="00FA3F9C" w:rsidRDefault="001506C1" w:rsidP="00475180">
                  <w:pPr>
                    <w:tabs>
                      <w:tab w:val="left" w:pos="947"/>
                    </w:tabs>
                    <w:jc w:val="center"/>
                    <w:rPr>
                      <w:rFonts w:ascii="Arial" w:hAnsi="Arial" w:cs="Arial"/>
                      <w:b/>
                      <w:sz w:val="24"/>
                      <w:szCs w:val="24"/>
                    </w:rPr>
                  </w:pPr>
                  <w:r w:rsidRPr="00FA3F9C">
                    <w:rPr>
                      <w:rFonts w:ascii="Arial" w:hAnsi="Arial" w:cs="Arial"/>
                      <w:sz w:val="24"/>
                      <w:szCs w:val="24"/>
                    </w:rPr>
                    <w:t>Stop for high dose chemotherapy and autologous stem cell transplant (ASCT)</w:t>
                  </w:r>
                </w:p>
              </w:tc>
            </w:tr>
            <w:tr w:rsidR="001506C1" w:rsidRPr="00FA3F9C" w14:paraId="49A121D8" w14:textId="77777777" w:rsidTr="00475180">
              <w:tc>
                <w:tcPr>
                  <w:tcW w:w="2437" w:type="dxa"/>
                </w:tcPr>
                <w:p w14:paraId="676A0FE3" w14:textId="77777777" w:rsidR="001506C1" w:rsidRPr="00FA3F9C" w:rsidRDefault="001506C1" w:rsidP="00475180">
                  <w:pPr>
                    <w:tabs>
                      <w:tab w:val="left" w:pos="947"/>
                    </w:tabs>
                    <w:rPr>
                      <w:rFonts w:ascii="Arial" w:hAnsi="Arial" w:cs="Arial"/>
                      <w:b/>
                      <w:sz w:val="24"/>
                      <w:szCs w:val="24"/>
                    </w:rPr>
                  </w:pPr>
                  <w:r w:rsidRPr="00FA3F9C">
                    <w:rPr>
                      <w:rFonts w:ascii="Arial" w:hAnsi="Arial" w:cs="Arial"/>
                      <w:sz w:val="24"/>
                      <w:szCs w:val="24"/>
                    </w:rPr>
                    <w:t>Consolidation*</w:t>
                  </w:r>
                </w:p>
              </w:tc>
              <w:tc>
                <w:tcPr>
                  <w:tcW w:w="2430" w:type="dxa"/>
                </w:tcPr>
                <w:p w14:paraId="6AF06828" w14:textId="77777777" w:rsidR="001506C1" w:rsidRPr="00FA3F9C" w:rsidRDefault="001506C1" w:rsidP="00475180">
                  <w:pPr>
                    <w:tabs>
                      <w:tab w:val="left" w:pos="947"/>
                    </w:tabs>
                    <w:rPr>
                      <w:rFonts w:ascii="Arial" w:hAnsi="Arial" w:cs="Arial"/>
                      <w:b/>
                      <w:sz w:val="24"/>
                      <w:szCs w:val="24"/>
                    </w:rPr>
                  </w:pPr>
                  <w:r w:rsidRPr="00FA3F9C">
                    <w:rPr>
                      <w:rFonts w:ascii="Arial" w:hAnsi="Arial" w:cs="Arial"/>
                      <w:sz w:val="24"/>
                      <w:szCs w:val="24"/>
                    </w:rPr>
                    <w:t>Weeks 1 to 8</w:t>
                  </w:r>
                </w:p>
              </w:tc>
              <w:tc>
                <w:tcPr>
                  <w:tcW w:w="3690" w:type="dxa"/>
                </w:tcPr>
                <w:p w14:paraId="23D8A791" w14:textId="77777777" w:rsidR="001506C1" w:rsidRPr="00FA3F9C" w:rsidRDefault="001506C1" w:rsidP="00475180">
                  <w:pPr>
                    <w:tabs>
                      <w:tab w:val="left" w:pos="947"/>
                    </w:tabs>
                    <w:rPr>
                      <w:rFonts w:ascii="Arial" w:hAnsi="Arial" w:cs="Arial"/>
                      <w:sz w:val="24"/>
                      <w:szCs w:val="24"/>
                    </w:rPr>
                  </w:pPr>
                  <w:r w:rsidRPr="00FA3F9C">
                    <w:rPr>
                      <w:rFonts w:ascii="Arial" w:hAnsi="Arial" w:cs="Arial"/>
                      <w:sz w:val="24"/>
                      <w:szCs w:val="24"/>
                    </w:rPr>
                    <w:t>Every two weeks (total of 4 doses)</w:t>
                  </w:r>
                </w:p>
              </w:tc>
            </w:tr>
          </w:tbl>
          <w:p w14:paraId="459C2FD7" w14:textId="77777777" w:rsidR="001506C1" w:rsidRPr="00FA3F9C" w:rsidRDefault="001506C1" w:rsidP="00EE6041">
            <w:pPr>
              <w:tabs>
                <w:tab w:val="left" w:pos="947"/>
              </w:tabs>
              <w:rPr>
                <w:rFonts w:ascii="Arial" w:hAnsi="Arial" w:cs="Arial"/>
                <w:sz w:val="24"/>
                <w:szCs w:val="24"/>
              </w:rPr>
            </w:pPr>
            <w:r w:rsidRPr="00FA3F9C">
              <w:rPr>
                <w:rFonts w:ascii="Arial" w:hAnsi="Arial" w:cs="Arial"/>
                <w:b/>
                <w:sz w:val="24"/>
                <w:szCs w:val="24"/>
              </w:rPr>
              <w:t xml:space="preserve"> *</w:t>
            </w:r>
            <w:r w:rsidRPr="00FA3F9C">
              <w:rPr>
                <w:rFonts w:ascii="Arial" w:hAnsi="Arial" w:cs="Arial"/>
                <w:sz w:val="24"/>
                <w:szCs w:val="24"/>
              </w:rPr>
              <w:t>Consolidation starts upon hematopoietic reconstitution after ASCT but no sooner than 30 days after transplant.</w:t>
            </w:r>
          </w:p>
          <w:p w14:paraId="13E412D1" w14:textId="77777777" w:rsidR="001506C1" w:rsidRPr="00FA3F9C" w:rsidRDefault="001506C1" w:rsidP="00EE6041">
            <w:pPr>
              <w:tabs>
                <w:tab w:val="left" w:pos="947"/>
              </w:tabs>
              <w:rPr>
                <w:rFonts w:ascii="Arial" w:hAnsi="Arial" w:cs="Arial"/>
                <w:sz w:val="24"/>
                <w:szCs w:val="24"/>
              </w:rPr>
            </w:pPr>
          </w:p>
          <w:tbl>
            <w:tblPr>
              <w:tblStyle w:val="TableGrid"/>
              <w:tblW w:w="0" w:type="auto"/>
              <w:tblLook w:val="04A0" w:firstRow="1" w:lastRow="0" w:firstColumn="1" w:lastColumn="0" w:noHBand="0" w:noVBand="1"/>
            </w:tblPr>
            <w:tblGrid>
              <w:gridCol w:w="2437"/>
              <w:gridCol w:w="2430"/>
              <w:gridCol w:w="3690"/>
            </w:tblGrid>
            <w:tr w:rsidR="001506C1" w:rsidRPr="00FA3F9C" w14:paraId="6F3A1F57" w14:textId="77777777" w:rsidTr="007718A4">
              <w:tc>
                <w:tcPr>
                  <w:tcW w:w="8557" w:type="dxa"/>
                  <w:gridSpan w:val="3"/>
                  <w:shd w:val="clear" w:color="auto" w:fill="D9D9D9" w:themeFill="background1" w:themeFillShade="D9"/>
                </w:tcPr>
                <w:p w14:paraId="2FB288E2" w14:textId="77777777" w:rsidR="001506C1" w:rsidRPr="00FA3F9C" w:rsidRDefault="001506C1" w:rsidP="00EE6041">
                  <w:pPr>
                    <w:tabs>
                      <w:tab w:val="left" w:pos="947"/>
                    </w:tabs>
                    <w:rPr>
                      <w:rFonts w:ascii="Arial" w:hAnsi="Arial" w:cs="Arial"/>
                      <w:b/>
                      <w:sz w:val="24"/>
                      <w:szCs w:val="24"/>
                    </w:rPr>
                  </w:pPr>
                  <w:r w:rsidRPr="00FA3F9C">
                    <w:rPr>
                      <w:rFonts w:ascii="Arial" w:hAnsi="Arial" w:cs="Arial"/>
                      <w:b/>
                      <w:sz w:val="24"/>
                      <w:szCs w:val="24"/>
                    </w:rPr>
                    <w:t xml:space="preserve">Daratumumab schedule for </w:t>
                  </w:r>
                  <w:r w:rsidRPr="00FA3F9C">
                    <w:rPr>
                      <w:rFonts w:ascii="Arial" w:hAnsi="Arial" w:cs="Arial"/>
                      <w:b/>
                      <w:sz w:val="24"/>
                      <w:szCs w:val="24"/>
                      <w:highlight w:val="yellow"/>
                    </w:rPr>
                    <w:t>D-VMP</w:t>
                  </w:r>
                  <w:r w:rsidRPr="00FA3F9C">
                    <w:rPr>
                      <w:rFonts w:ascii="Arial" w:hAnsi="Arial" w:cs="Arial"/>
                      <w:b/>
                      <w:sz w:val="24"/>
                      <w:szCs w:val="24"/>
                    </w:rPr>
                    <w:t xml:space="preserve"> regimen (transplant ineligible)</w:t>
                  </w:r>
                </w:p>
              </w:tc>
            </w:tr>
            <w:tr w:rsidR="001506C1" w:rsidRPr="00FA3F9C" w14:paraId="07C87249" w14:textId="77777777" w:rsidTr="007718A4">
              <w:tc>
                <w:tcPr>
                  <w:tcW w:w="2437" w:type="dxa"/>
                  <w:shd w:val="clear" w:color="auto" w:fill="D9D9D9" w:themeFill="background1" w:themeFillShade="D9"/>
                </w:tcPr>
                <w:p w14:paraId="23D13342" w14:textId="77777777" w:rsidR="001506C1" w:rsidRPr="00FA3F9C" w:rsidRDefault="001506C1" w:rsidP="00EE6041">
                  <w:pPr>
                    <w:tabs>
                      <w:tab w:val="left" w:pos="947"/>
                    </w:tabs>
                    <w:rPr>
                      <w:rFonts w:ascii="Arial" w:hAnsi="Arial" w:cs="Arial"/>
                      <w:b/>
                      <w:sz w:val="24"/>
                      <w:szCs w:val="24"/>
                    </w:rPr>
                  </w:pPr>
                  <w:r w:rsidRPr="00FA3F9C">
                    <w:rPr>
                      <w:rFonts w:ascii="Arial" w:hAnsi="Arial" w:cs="Arial"/>
                      <w:b/>
                      <w:sz w:val="24"/>
                      <w:szCs w:val="24"/>
                    </w:rPr>
                    <w:t>Treatment phase</w:t>
                  </w:r>
                </w:p>
              </w:tc>
              <w:tc>
                <w:tcPr>
                  <w:tcW w:w="2430" w:type="dxa"/>
                  <w:shd w:val="clear" w:color="auto" w:fill="D9D9D9" w:themeFill="background1" w:themeFillShade="D9"/>
                </w:tcPr>
                <w:p w14:paraId="2BA83F1F" w14:textId="77777777" w:rsidR="001506C1" w:rsidRPr="00FA3F9C" w:rsidRDefault="001506C1" w:rsidP="00EE6041">
                  <w:pPr>
                    <w:tabs>
                      <w:tab w:val="left" w:pos="947"/>
                    </w:tabs>
                    <w:rPr>
                      <w:rFonts w:ascii="Arial" w:hAnsi="Arial" w:cs="Arial"/>
                      <w:b/>
                      <w:sz w:val="24"/>
                      <w:szCs w:val="24"/>
                    </w:rPr>
                  </w:pPr>
                  <w:r w:rsidRPr="00FA3F9C">
                    <w:rPr>
                      <w:rFonts w:ascii="Arial" w:hAnsi="Arial" w:cs="Arial"/>
                      <w:b/>
                      <w:sz w:val="24"/>
                      <w:szCs w:val="24"/>
                    </w:rPr>
                    <w:t>Weeks</w:t>
                  </w:r>
                </w:p>
              </w:tc>
              <w:tc>
                <w:tcPr>
                  <w:tcW w:w="3690" w:type="dxa"/>
                  <w:shd w:val="clear" w:color="auto" w:fill="D9D9D9" w:themeFill="background1" w:themeFillShade="D9"/>
                </w:tcPr>
                <w:p w14:paraId="708A616C" w14:textId="77777777" w:rsidR="001506C1" w:rsidRPr="00FA3F9C" w:rsidRDefault="001506C1" w:rsidP="00EE6041">
                  <w:pPr>
                    <w:tabs>
                      <w:tab w:val="left" w:pos="947"/>
                    </w:tabs>
                    <w:rPr>
                      <w:rFonts w:ascii="Arial" w:hAnsi="Arial" w:cs="Arial"/>
                      <w:b/>
                      <w:sz w:val="24"/>
                      <w:szCs w:val="24"/>
                    </w:rPr>
                  </w:pPr>
                  <w:r w:rsidRPr="00FA3F9C">
                    <w:rPr>
                      <w:rFonts w:ascii="Arial" w:hAnsi="Arial" w:cs="Arial"/>
                      <w:b/>
                      <w:sz w:val="24"/>
                      <w:szCs w:val="24"/>
                    </w:rPr>
                    <w:t>Schedule</w:t>
                  </w:r>
                </w:p>
              </w:tc>
            </w:tr>
            <w:tr w:rsidR="001506C1" w:rsidRPr="00FA3F9C" w14:paraId="6CE3D51E" w14:textId="77777777" w:rsidTr="007718A4">
              <w:tc>
                <w:tcPr>
                  <w:tcW w:w="2437" w:type="dxa"/>
                </w:tcPr>
                <w:p w14:paraId="2FD50C59" w14:textId="77777777" w:rsidR="001506C1" w:rsidRPr="00FA3F9C" w:rsidRDefault="001506C1" w:rsidP="00EE6041">
                  <w:pPr>
                    <w:tabs>
                      <w:tab w:val="left" w:pos="947"/>
                    </w:tabs>
                    <w:rPr>
                      <w:rFonts w:ascii="Arial" w:hAnsi="Arial" w:cs="Arial"/>
                      <w:b/>
                      <w:sz w:val="24"/>
                      <w:szCs w:val="24"/>
                    </w:rPr>
                  </w:pPr>
                  <w:r w:rsidRPr="00FA3F9C">
                    <w:rPr>
                      <w:rFonts w:ascii="Arial" w:hAnsi="Arial" w:cs="Arial"/>
                      <w:sz w:val="24"/>
                      <w:szCs w:val="24"/>
                    </w:rPr>
                    <w:t>Cycle 1</w:t>
                  </w:r>
                </w:p>
              </w:tc>
              <w:tc>
                <w:tcPr>
                  <w:tcW w:w="2430" w:type="dxa"/>
                </w:tcPr>
                <w:p w14:paraId="1B478428" w14:textId="77777777" w:rsidR="001506C1" w:rsidRPr="00FA3F9C" w:rsidRDefault="001506C1" w:rsidP="00EE6041">
                  <w:pPr>
                    <w:tabs>
                      <w:tab w:val="left" w:pos="947"/>
                    </w:tabs>
                    <w:rPr>
                      <w:rFonts w:ascii="Arial" w:hAnsi="Arial" w:cs="Arial"/>
                      <w:b/>
                      <w:sz w:val="24"/>
                      <w:szCs w:val="24"/>
                    </w:rPr>
                  </w:pPr>
                  <w:r w:rsidRPr="00FA3F9C">
                    <w:rPr>
                      <w:rFonts w:ascii="Arial" w:hAnsi="Arial" w:cs="Arial"/>
                      <w:sz w:val="24"/>
                      <w:szCs w:val="24"/>
                    </w:rPr>
                    <w:t>Weeks 1 to 6</w:t>
                  </w:r>
                </w:p>
              </w:tc>
              <w:tc>
                <w:tcPr>
                  <w:tcW w:w="3690" w:type="dxa"/>
                </w:tcPr>
                <w:p w14:paraId="21A5B37F" w14:textId="77777777" w:rsidR="001506C1" w:rsidRPr="00FA3F9C" w:rsidRDefault="001506C1" w:rsidP="00EE6041">
                  <w:pPr>
                    <w:tabs>
                      <w:tab w:val="left" w:pos="947"/>
                    </w:tabs>
                    <w:rPr>
                      <w:rFonts w:ascii="Arial" w:hAnsi="Arial" w:cs="Arial"/>
                      <w:b/>
                      <w:sz w:val="24"/>
                      <w:szCs w:val="24"/>
                    </w:rPr>
                  </w:pPr>
                  <w:r w:rsidRPr="00FA3F9C">
                    <w:rPr>
                      <w:rFonts w:ascii="Arial" w:hAnsi="Arial" w:cs="Arial"/>
                      <w:sz w:val="24"/>
                      <w:szCs w:val="24"/>
                    </w:rPr>
                    <w:t>Weekly (total of 6 doses)</w:t>
                  </w:r>
                </w:p>
              </w:tc>
            </w:tr>
            <w:tr w:rsidR="001506C1" w:rsidRPr="00FA3F9C" w14:paraId="572C71C7" w14:textId="77777777" w:rsidTr="007718A4">
              <w:tc>
                <w:tcPr>
                  <w:tcW w:w="2437" w:type="dxa"/>
                </w:tcPr>
                <w:p w14:paraId="7B73D2C3" w14:textId="77777777" w:rsidR="001506C1" w:rsidRPr="00FA3F9C" w:rsidRDefault="001506C1" w:rsidP="00EE6041">
                  <w:pPr>
                    <w:tabs>
                      <w:tab w:val="left" w:pos="947"/>
                    </w:tabs>
                    <w:rPr>
                      <w:rFonts w:ascii="Arial" w:hAnsi="Arial" w:cs="Arial"/>
                      <w:sz w:val="24"/>
                      <w:szCs w:val="24"/>
                    </w:rPr>
                  </w:pPr>
                  <w:r w:rsidRPr="00FA3F9C">
                    <w:rPr>
                      <w:rFonts w:ascii="Arial" w:hAnsi="Arial" w:cs="Arial"/>
                      <w:sz w:val="24"/>
                      <w:szCs w:val="24"/>
                    </w:rPr>
                    <w:t>Cycles 2-9</w:t>
                  </w:r>
                </w:p>
              </w:tc>
              <w:tc>
                <w:tcPr>
                  <w:tcW w:w="2430" w:type="dxa"/>
                </w:tcPr>
                <w:p w14:paraId="25696E37" w14:textId="77777777" w:rsidR="001506C1" w:rsidRPr="00FA3F9C" w:rsidRDefault="001506C1" w:rsidP="00EE6041">
                  <w:pPr>
                    <w:tabs>
                      <w:tab w:val="left" w:pos="947"/>
                    </w:tabs>
                    <w:rPr>
                      <w:rFonts w:ascii="Arial" w:hAnsi="Arial" w:cs="Arial"/>
                      <w:b/>
                      <w:sz w:val="24"/>
                      <w:szCs w:val="24"/>
                    </w:rPr>
                  </w:pPr>
                  <w:r w:rsidRPr="00FA3F9C">
                    <w:rPr>
                      <w:rFonts w:ascii="Arial" w:hAnsi="Arial" w:cs="Arial"/>
                      <w:sz w:val="24"/>
                      <w:szCs w:val="24"/>
                    </w:rPr>
                    <w:t>Weeks 7-54</w:t>
                  </w:r>
                </w:p>
              </w:tc>
              <w:tc>
                <w:tcPr>
                  <w:tcW w:w="3690" w:type="dxa"/>
                </w:tcPr>
                <w:p w14:paraId="58B5F2B2" w14:textId="77777777" w:rsidR="001506C1" w:rsidRPr="00FA3F9C" w:rsidRDefault="001506C1" w:rsidP="00EE6041">
                  <w:pPr>
                    <w:tabs>
                      <w:tab w:val="left" w:pos="947"/>
                    </w:tabs>
                    <w:rPr>
                      <w:rFonts w:ascii="Arial" w:hAnsi="Arial" w:cs="Arial"/>
                      <w:b/>
                      <w:sz w:val="24"/>
                      <w:szCs w:val="24"/>
                    </w:rPr>
                  </w:pPr>
                  <w:r w:rsidRPr="00FA3F9C">
                    <w:rPr>
                      <w:rFonts w:ascii="Arial" w:hAnsi="Arial" w:cs="Arial"/>
                      <w:sz w:val="24"/>
                      <w:szCs w:val="24"/>
                    </w:rPr>
                    <w:t>Every 3 weeks (total of 16 doses)</w:t>
                  </w:r>
                </w:p>
              </w:tc>
            </w:tr>
            <w:tr w:rsidR="001506C1" w:rsidRPr="00FA3F9C" w14:paraId="062E5C4A" w14:textId="77777777" w:rsidTr="007718A4">
              <w:tc>
                <w:tcPr>
                  <w:tcW w:w="2437" w:type="dxa"/>
                </w:tcPr>
                <w:p w14:paraId="5F15B456" w14:textId="77777777" w:rsidR="001506C1" w:rsidRPr="00FA3F9C" w:rsidRDefault="001506C1" w:rsidP="00EE6041">
                  <w:pPr>
                    <w:tabs>
                      <w:tab w:val="left" w:pos="947"/>
                    </w:tabs>
                    <w:rPr>
                      <w:rFonts w:ascii="Arial" w:hAnsi="Arial" w:cs="Arial"/>
                      <w:b/>
                      <w:sz w:val="24"/>
                      <w:szCs w:val="24"/>
                    </w:rPr>
                  </w:pPr>
                  <w:r w:rsidRPr="00FA3F9C">
                    <w:rPr>
                      <w:rFonts w:ascii="Arial" w:hAnsi="Arial" w:cs="Arial"/>
                      <w:sz w:val="24"/>
                      <w:szCs w:val="24"/>
                    </w:rPr>
                    <w:t>Cycle 10+</w:t>
                  </w:r>
                </w:p>
              </w:tc>
              <w:tc>
                <w:tcPr>
                  <w:tcW w:w="2430" w:type="dxa"/>
                </w:tcPr>
                <w:p w14:paraId="5EB4274C" w14:textId="77777777" w:rsidR="001506C1" w:rsidRPr="00FA3F9C" w:rsidRDefault="001506C1" w:rsidP="00EE6041">
                  <w:pPr>
                    <w:tabs>
                      <w:tab w:val="left" w:pos="947"/>
                    </w:tabs>
                    <w:rPr>
                      <w:rFonts w:ascii="Arial" w:hAnsi="Arial" w:cs="Arial"/>
                      <w:b/>
                      <w:sz w:val="24"/>
                      <w:szCs w:val="24"/>
                    </w:rPr>
                  </w:pPr>
                  <w:r w:rsidRPr="00FA3F9C">
                    <w:rPr>
                      <w:rFonts w:ascii="Arial" w:hAnsi="Arial" w:cs="Arial"/>
                      <w:sz w:val="24"/>
                      <w:szCs w:val="24"/>
                    </w:rPr>
                    <w:t>Weeks 55 and beyond (Until progression of disease)</w:t>
                  </w:r>
                </w:p>
              </w:tc>
              <w:tc>
                <w:tcPr>
                  <w:tcW w:w="3690" w:type="dxa"/>
                </w:tcPr>
                <w:p w14:paraId="40548991" w14:textId="77777777" w:rsidR="001506C1" w:rsidRPr="00FA3F9C" w:rsidRDefault="001506C1" w:rsidP="00EE6041">
                  <w:pPr>
                    <w:tabs>
                      <w:tab w:val="left" w:pos="947"/>
                    </w:tabs>
                    <w:rPr>
                      <w:rFonts w:ascii="Arial" w:hAnsi="Arial" w:cs="Arial"/>
                      <w:sz w:val="24"/>
                      <w:szCs w:val="24"/>
                    </w:rPr>
                  </w:pPr>
                  <w:r w:rsidRPr="00FA3F9C">
                    <w:rPr>
                      <w:rFonts w:ascii="Arial" w:hAnsi="Arial" w:cs="Arial"/>
                      <w:sz w:val="24"/>
                      <w:szCs w:val="24"/>
                    </w:rPr>
                    <w:t>Every 4 weeks</w:t>
                  </w:r>
                </w:p>
              </w:tc>
            </w:tr>
          </w:tbl>
          <w:p w14:paraId="3B9749D7" w14:textId="77777777" w:rsidR="001506C1" w:rsidRPr="00FA3F9C" w:rsidRDefault="001506C1" w:rsidP="00EE6041">
            <w:pPr>
              <w:tabs>
                <w:tab w:val="left" w:pos="947"/>
              </w:tabs>
              <w:rPr>
                <w:rFonts w:ascii="Arial" w:hAnsi="Arial" w:cs="Arial"/>
                <w:sz w:val="24"/>
                <w:szCs w:val="24"/>
              </w:rPr>
            </w:pPr>
          </w:p>
        </w:tc>
      </w:tr>
      <w:tr w:rsidR="001506C1" w:rsidRPr="00FA3F9C" w14:paraId="16A9F3DC" w14:textId="77777777" w:rsidTr="00475180">
        <w:tc>
          <w:tcPr>
            <w:tcW w:w="11016" w:type="dxa"/>
            <w:gridSpan w:val="2"/>
            <w:shd w:val="clear" w:color="auto" w:fill="D9D9D9" w:themeFill="background1" w:themeFillShade="D9"/>
          </w:tcPr>
          <w:p w14:paraId="1CD7B2AF" w14:textId="77777777" w:rsidR="001506C1" w:rsidRPr="00FA3F9C" w:rsidRDefault="001506C1" w:rsidP="00475180">
            <w:pPr>
              <w:tabs>
                <w:tab w:val="left" w:pos="947"/>
              </w:tabs>
              <w:rPr>
                <w:rFonts w:ascii="Arial" w:hAnsi="Arial" w:cs="Arial"/>
                <w:sz w:val="24"/>
                <w:szCs w:val="24"/>
              </w:rPr>
            </w:pPr>
          </w:p>
          <w:p w14:paraId="19EEA01E" w14:textId="77777777" w:rsidR="001506C1" w:rsidRPr="00FA3F9C" w:rsidRDefault="001506C1" w:rsidP="00475180">
            <w:pPr>
              <w:tabs>
                <w:tab w:val="left" w:pos="947"/>
              </w:tabs>
              <w:rPr>
                <w:rFonts w:ascii="Arial" w:hAnsi="Arial" w:cs="Arial"/>
                <w:sz w:val="24"/>
                <w:szCs w:val="24"/>
              </w:rPr>
            </w:pPr>
            <w:r w:rsidRPr="00FA3F9C">
              <w:rPr>
                <w:rFonts w:ascii="Arial" w:hAnsi="Arial" w:cs="Arial"/>
                <w:sz w:val="24"/>
                <w:szCs w:val="24"/>
              </w:rPr>
              <w:t xml:space="preserve">Note: </w:t>
            </w:r>
          </w:p>
          <w:p w14:paraId="72816FBE" w14:textId="77777777" w:rsidR="001506C1" w:rsidRPr="00FA3F9C" w:rsidRDefault="001506C1" w:rsidP="001506C1">
            <w:pPr>
              <w:pStyle w:val="ListParagraph"/>
              <w:numPr>
                <w:ilvl w:val="0"/>
                <w:numId w:val="104"/>
              </w:numPr>
              <w:tabs>
                <w:tab w:val="left" w:pos="947"/>
              </w:tabs>
              <w:ind w:left="180" w:hanging="180"/>
              <w:rPr>
                <w:rFonts w:ascii="Arial" w:hAnsi="Arial" w:cs="Arial"/>
                <w:sz w:val="24"/>
                <w:szCs w:val="24"/>
              </w:rPr>
            </w:pPr>
            <w:r w:rsidRPr="00FA3F9C">
              <w:rPr>
                <w:rFonts w:ascii="Arial" w:hAnsi="Arial" w:cs="Arial"/>
                <w:sz w:val="24"/>
                <w:szCs w:val="24"/>
              </w:rPr>
              <w:t xml:space="preserve">In </w:t>
            </w:r>
            <w:proofErr w:type="gramStart"/>
            <w:r w:rsidRPr="00FA3F9C">
              <w:rPr>
                <w:rFonts w:ascii="Arial" w:hAnsi="Arial" w:cs="Arial"/>
                <w:sz w:val="24"/>
                <w:szCs w:val="24"/>
              </w:rPr>
              <w:t>newly-diagnosed</w:t>
            </w:r>
            <w:proofErr w:type="gramEnd"/>
            <w:r w:rsidRPr="00FA3F9C">
              <w:rPr>
                <w:rFonts w:ascii="Arial" w:hAnsi="Arial" w:cs="Arial"/>
                <w:sz w:val="24"/>
                <w:szCs w:val="24"/>
              </w:rPr>
              <w:t xml:space="preserve">, transplant </w:t>
            </w:r>
            <w:r w:rsidRPr="00FA3F9C">
              <w:rPr>
                <w:rFonts w:ascii="Arial" w:hAnsi="Arial" w:cs="Arial"/>
                <w:sz w:val="24"/>
                <w:szCs w:val="24"/>
                <w:u w:val="single"/>
              </w:rPr>
              <w:t>eligible</w:t>
            </w:r>
            <w:r w:rsidRPr="00FA3F9C">
              <w:rPr>
                <w:rFonts w:ascii="Arial" w:hAnsi="Arial" w:cs="Arial"/>
                <w:sz w:val="24"/>
                <w:szCs w:val="24"/>
              </w:rPr>
              <w:t xml:space="preserve"> patients, daratumumab/bortezomib/thalidomide/dexamethasone (D-VTD) improved overall survival at day 100 after stem cell transplant compared with bortezomib/thalidomide/dexamethasone alone although data are immature.</w:t>
            </w:r>
            <w:r w:rsidRPr="00FA3F9C">
              <w:rPr>
                <w:rFonts w:ascii="Arial" w:hAnsi="Arial" w:cs="Arial"/>
                <w:sz w:val="24"/>
                <w:szCs w:val="24"/>
                <w:vertAlign w:val="superscript"/>
              </w:rPr>
              <w:t>1</w:t>
            </w:r>
          </w:p>
          <w:p w14:paraId="6AA8CBD9" w14:textId="77777777" w:rsidR="001506C1" w:rsidRPr="00FA3F9C" w:rsidRDefault="001506C1" w:rsidP="001506C1">
            <w:pPr>
              <w:pStyle w:val="ListParagraph"/>
              <w:numPr>
                <w:ilvl w:val="0"/>
                <w:numId w:val="104"/>
              </w:numPr>
              <w:tabs>
                <w:tab w:val="left" w:pos="947"/>
              </w:tabs>
              <w:ind w:left="180" w:hanging="180"/>
              <w:rPr>
                <w:rFonts w:ascii="Arial" w:hAnsi="Arial" w:cs="Arial"/>
                <w:sz w:val="24"/>
                <w:szCs w:val="24"/>
              </w:rPr>
            </w:pPr>
            <w:r w:rsidRPr="00FA3F9C">
              <w:rPr>
                <w:rFonts w:ascii="Arial" w:hAnsi="Arial" w:cs="Arial"/>
                <w:sz w:val="24"/>
                <w:szCs w:val="24"/>
              </w:rPr>
              <w:t xml:space="preserve">In </w:t>
            </w:r>
            <w:proofErr w:type="gramStart"/>
            <w:r w:rsidRPr="00FA3F9C">
              <w:rPr>
                <w:rFonts w:ascii="Arial" w:hAnsi="Arial" w:cs="Arial"/>
                <w:sz w:val="24"/>
                <w:szCs w:val="24"/>
              </w:rPr>
              <w:t>newly-diagnosed</w:t>
            </w:r>
            <w:proofErr w:type="gramEnd"/>
            <w:r w:rsidRPr="00FA3F9C">
              <w:rPr>
                <w:rFonts w:ascii="Arial" w:hAnsi="Arial" w:cs="Arial"/>
                <w:sz w:val="24"/>
                <w:szCs w:val="24"/>
              </w:rPr>
              <w:t xml:space="preserve">, transplant </w:t>
            </w:r>
            <w:r w:rsidRPr="00FA3F9C">
              <w:rPr>
                <w:rFonts w:ascii="Arial" w:hAnsi="Arial" w:cs="Arial"/>
                <w:sz w:val="24"/>
                <w:szCs w:val="24"/>
                <w:u w:val="single"/>
              </w:rPr>
              <w:t>ineligible</w:t>
            </w:r>
            <w:r w:rsidRPr="00FA3F9C">
              <w:rPr>
                <w:rFonts w:ascii="Arial" w:hAnsi="Arial" w:cs="Arial"/>
                <w:sz w:val="24"/>
                <w:szCs w:val="24"/>
              </w:rPr>
              <w:t xml:space="preserve"> patients, daratumumab/bortezomib/melphalan/prednisone (D-VMP) improved overall survival compared to VMP (HR 0.6 95% CI 0.46-0.8; p=0.0003).</w:t>
            </w:r>
            <w:r w:rsidRPr="00FA3F9C">
              <w:rPr>
                <w:rFonts w:ascii="Arial" w:hAnsi="Arial" w:cs="Arial"/>
                <w:sz w:val="24"/>
                <w:szCs w:val="24"/>
                <w:vertAlign w:val="superscript"/>
              </w:rPr>
              <w:t>2,3</w:t>
            </w:r>
            <w:r w:rsidRPr="00FA3F9C">
              <w:rPr>
                <w:rFonts w:ascii="Arial" w:hAnsi="Arial" w:cs="Arial"/>
                <w:sz w:val="24"/>
                <w:szCs w:val="24"/>
              </w:rPr>
              <w:t xml:space="preserve"> At 36 </w:t>
            </w:r>
            <w:r w:rsidRPr="00FA3F9C">
              <w:rPr>
                <w:rFonts w:ascii="Arial" w:hAnsi="Arial" w:cs="Arial"/>
                <w:sz w:val="24"/>
                <w:szCs w:val="24"/>
              </w:rPr>
              <w:lastRenderedPageBreak/>
              <w:t>months, the rate of overall survival was 78% in the daratumumab group and 67.9% in the control group. Median was not reached in either group.</w:t>
            </w:r>
          </w:p>
          <w:p w14:paraId="68A13F89" w14:textId="77777777" w:rsidR="001506C1" w:rsidRPr="00FA3F9C" w:rsidRDefault="001506C1" w:rsidP="00475180">
            <w:pPr>
              <w:tabs>
                <w:tab w:val="left" w:pos="947"/>
              </w:tabs>
              <w:rPr>
                <w:rFonts w:ascii="Arial" w:hAnsi="Arial" w:cs="Arial"/>
                <w:sz w:val="24"/>
                <w:szCs w:val="24"/>
              </w:rPr>
            </w:pPr>
          </w:p>
          <w:p w14:paraId="0D0F66B4" w14:textId="77777777" w:rsidR="001506C1" w:rsidRPr="00FA3F9C" w:rsidRDefault="001506C1" w:rsidP="00475180">
            <w:pPr>
              <w:tabs>
                <w:tab w:val="left" w:pos="947"/>
              </w:tabs>
              <w:rPr>
                <w:rFonts w:ascii="Arial" w:hAnsi="Arial" w:cs="Arial"/>
                <w:sz w:val="24"/>
                <w:szCs w:val="24"/>
              </w:rPr>
            </w:pPr>
            <w:r w:rsidRPr="00FA3F9C">
              <w:rPr>
                <w:rFonts w:ascii="Arial" w:hAnsi="Arial" w:cs="Arial"/>
                <w:sz w:val="24"/>
                <w:szCs w:val="24"/>
              </w:rPr>
              <w:t>References:</w:t>
            </w:r>
          </w:p>
          <w:p w14:paraId="22E3CB81" w14:textId="77777777" w:rsidR="001506C1" w:rsidRPr="00FA3F9C" w:rsidRDefault="001506C1" w:rsidP="001506C1">
            <w:pPr>
              <w:pStyle w:val="ListParagraph"/>
              <w:numPr>
                <w:ilvl w:val="0"/>
                <w:numId w:val="107"/>
              </w:numPr>
              <w:ind w:left="180" w:hanging="180"/>
              <w:rPr>
                <w:rFonts w:ascii="Arial" w:hAnsi="Arial" w:cs="Arial"/>
                <w:sz w:val="24"/>
                <w:szCs w:val="24"/>
              </w:rPr>
            </w:pPr>
            <w:r w:rsidRPr="00FA3F9C">
              <w:rPr>
                <w:rFonts w:ascii="Arial" w:hAnsi="Arial" w:cs="Arial"/>
                <w:sz w:val="24"/>
                <w:szCs w:val="24"/>
              </w:rPr>
              <w:t xml:space="preserve">Moreau P et al. Bortezomib, thalidomide, and dexamethasone with or without daratumumab before and after autologous stem-cell transplantation for newly diagnosed multiple myeloma (CASSIOPEIA): a </w:t>
            </w:r>
            <w:proofErr w:type="spellStart"/>
            <w:r w:rsidRPr="00FA3F9C">
              <w:rPr>
                <w:rFonts w:ascii="Arial" w:hAnsi="Arial" w:cs="Arial"/>
                <w:sz w:val="24"/>
                <w:szCs w:val="24"/>
              </w:rPr>
              <w:t>randomised</w:t>
            </w:r>
            <w:proofErr w:type="spellEnd"/>
            <w:r w:rsidRPr="00FA3F9C">
              <w:rPr>
                <w:rFonts w:ascii="Arial" w:hAnsi="Arial" w:cs="Arial"/>
                <w:sz w:val="24"/>
                <w:szCs w:val="24"/>
              </w:rPr>
              <w:t>, open-label, phase 3 study. Lancet. 2019 Jul 6;394(10192):29-38. PMID 31171419 NCT02541383</w:t>
            </w:r>
          </w:p>
          <w:p w14:paraId="1802CB9D" w14:textId="77777777" w:rsidR="001506C1" w:rsidRPr="00FA3F9C" w:rsidRDefault="001506C1" w:rsidP="001506C1">
            <w:pPr>
              <w:pStyle w:val="ListParagraph"/>
              <w:numPr>
                <w:ilvl w:val="0"/>
                <w:numId w:val="107"/>
              </w:numPr>
              <w:ind w:left="180" w:hanging="180"/>
              <w:rPr>
                <w:rFonts w:ascii="Arial" w:hAnsi="Arial" w:cs="Arial"/>
                <w:sz w:val="24"/>
                <w:szCs w:val="24"/>
              </w:rPr>
            </w:pPr>
            <w:proofErr w:type="spellStart"/>
            <w:r w:rsidRPr="00FA3F9C">
              <w:rPr>
                <w:rFonts w:ascii="Arial" w:hAnsi="Arial" w:cs="Arial"/>
                <w:sz w:val="24"/>
                <w:szCs w:val="24"/>
              </w:rPr>
              <w:t>Mateos</w:t>
            </w:r>
            <w:proofErr w:type="spellEnd"/>
            <w:r w:rsidRPr="00FA3F9C">
              <w:rPr>
                <w:rFonts w:ascii="Arial" w:hAnsi="Arial" w:cs="Arial"/>
                <w:sz w:val="24"/>
                <w:szCs w:val="24"/>
              </w:rPr>
              <w:t xml:space="preserve"> MV et al. Overall survival with daratumumab, bortezomib, melphalan, and prednisone in newly diagnosed multiple myeloma (ALCYONE): a </w:t>
            </w:r>
            <w:proofErr w:type="spellStart"/>
            <w:r w:rsidRPr="00FA3F9C">
              <w:rPr>
                <w:rFonts w:ascii="Arial" w:hAnsi="Arial" w:cs="Arial"/>
                <w:sz w:val="24"/>
                <w:szCs w:val="24"/>
              </w:rPr>
              <w:t>randomised</w:t>
            </w:r>
            <w:proofErr w:type="spellEnd"/>
            <w:r w:rsidRPr="00FA3F9C">
              <w:rPr>
                <w:rFonts w:ascii="Arial" w:hAnsi="Arial" w:cs="Arial"/>
                <w:sz w:val="24"/>
                <w:szCs w:val="24"/>
              </w:rPr>
              <w:t xml:space="preserve">, open-label, phase 3 trial. Lancet. 2020 Jan 11;395(10218):132-141. </w:t>
            </w:r>
            <w:proofErr w:type="spellStart"/>
            <w:r w:rsidRPr="00FA3F9C">
              <w:rPr>
                <w:rFonts w:ascii="Arial" w:hAnsi="Arial" w:cs="Arial"/>
                <w:sz w:val="24"/>
                <w:szCs w:val="24"/>
              </w:rPr>
              <w:t>doi</w:t>
            </w:r>
            <w:proofErr w:type="spellEnd"/>
            <w:r w:rsidRPr="00FA3F9C">
              <w:rPr>
                <w:rFonts w:ascii="Arial" w:hAnsi="Arial" w:cs="Arial"/>
                <w:sz w:val="24"/>
                <w:szCs w:val="24"/>
              </w:rPr>
              <w:t xml:space="preserve">: 10.1016/S0140-6736(19)32956-3. </w:t>
            </w:r>
            <w:proofErr w:type="spellStart"/>
            <w:r w:rsidRPr="00FA3F9C">
              <w:rPr>
                <w:rFonts w:ascii="Arial" w:hAnsi="Arial" w:cs="Arial"/>
                <w:sz w:val="24"/>
                <w:szCs w:val="24"/>
              </w:rPr>
              <w:t>Epub</w:t>
            </w:r>
            <w:proofErr w:type="spellEnd"/>
            <w:r w:rsidRPr="00FA3F9C">
              <w:rPr>
                <w:rFonts w:ascii="Arial" w:hAnsi="Arial" w:cs="Arial"/>
                <w:sz w:val="24"/>
                <w:szCs w:val="24"/>
              </w:rPr>
              <w:t xml:space="preserve"> 2019 Dec 10. PMID 31836199</w:t>
            </w:r>
          </w:p>
          <w:p w14:paraId="3E49FEE8" w14:textId="77777777" w:rsidR="001506C1" w:rsidRPr="00FA3F9C" w:rsidRDefault="001506C1" w:rsidP="001506C1">
            <w:pPr>
              <w:pStyle w:val="ListParagraph"/>
              <w:numPr>
                <w:ilvl w:val="0"/>
                <w:numId w:val="107"/>
              </w:numPr>
              <w:ind w:left="180" w:hanging="180"/>
              <w:rPr>
                <w:rFonts w:ascii="Arial" w:hAnsi="Arial" w:cs="Arial"/>
                <w:sz w:val="24"/>
                <w:szCs w:val="24"/>
              </w:rPr>
            </w:pPr>
            <w:proofErr w:type="spellStart"/>
            <w:r w:rsidRPr="00FA3F9C">
              <w:rPr>
                <w:rFonts w:ascii="Arial" w:hAnsi="Arial" w:cs="Arial"/>
                <w:sz w:val="24"/>
                <w:szCs w:val="24"/>
              </w:rPr>
              <w:t>Mateos</w:t>
            </w:r>
            <w:proofErr w:type="spellEnd"/>
            <w:r w:rsidRPr="00FA3F9C">
              <w:rPr>
                <w:rFonts w:ascii="Arial" w:hAnsi="Arial" w:cs="Arial"/>
                <w:sz w:val="24"/>
                <w:szCs w:val="24"/>
              </w:rPr>
              <w:t xml:space="preserve"> MV et al. Daratumumab plus bortezomib, melphalan, and prednisone for untreated myeloma. NEJM. 2018;378(6):518-528. PMID 29231133 NCT02195479</w:t>
            </w:r>
          </w:p>
          <w:p w14:paraId="37C4DEF3" w14:textId="77777777" w:rsidR="001506C1" w:rsidRPr="00FA3F9C" w:rsidRDefault="001506C1" w:rsidP="00060F07">
            <w:pPr>
              <w:rPr>
                <w:rFonts w:ascii="Arial" w:hAnsi="Arial" w:cs="Arial"/>
                <w:sz w:val="24"/>
                <w:szCs w:val="24"/>
              </w:rPr>
            </w:pPr>
          </w:p>
        </w:tc>
      </w:tr>
    </w:tbl>
    <w:p w14:paraId="10FD01C3" w14:textId="77777777" w:rsidR="001506C1" w:rsidRPr="00FA3F9C" w:rsidRDefault="001506C1" w:rsidP="00BA3739">
      <w:pPr>
        <w:spacing w:after="0"/>
        <w:rPr>
          <w:rFonts w:ascii="Arial" w:hAnsi="Arial" w:cs="Arial"/>
          <w:sz w:val="24"/>
          <w:szCs w:val="24"/>
        </w:rPr>
      </w:pPr>
    </w:p>
    <w:p w14:paraId="55394A37" w14:textId="77777777" w:rsidR="001506C1" w:rsidRPr="00FA3F9C" w:rsidRDefault="001506C1" w:rsidP="00BA3739">
      <w:pPr>
        <w:spacing w:after="0"/>
        <w:rPr>
          <w:rFonts w:ascii="Arial" w:hAnsi="Arial" w:cs="Arial"/>
          <w:sz w:val="24"/>
          <w:szCs w:val="24"/>
        </w:rPr>
      </w:pPr>
    </w:p>
    <w:p w14:paraId="11E0F88D" w14:textId="77777777" w:rsidR="001506C1" w:rsidRPr="00FA3F9C" w:rsidRDefault="001506C1" w:rsidP="00BA3739">
      <w:pPr>
        <w:spacing w:after="0"/>
        <w:rPr>
          <w:rFonts w:ascii="Arial" w:hAnsi="Arial" w:cs="Arial"/>
          <w:sz w:val="24"/>
          <w:szCs w:val="24"/>
        </w:rPr>
      </w:pPr>
    </w:p>
    <w:p w14:paraId="7EABE128" w14:textId="77777777" w:rsidR="001506C1" w:rsidRPr="00FA3F9C" w:rsidRDefault="001506C1" w:rsidP="00BA3739">
      <w:pPr>
        <w:spacing w:after="0"/>
        <w:rPr>
          <w:rFonts w:ascii="Arial" w:hAnsi="Arial" w:cs="Arial"/>
          <w:sz w:val="24"/>
          <w:szCs w:val="24"/>
        </w:rPr>
      </w:pPr>
    </w:p>
    <w:p w14:paraId="22E9B49E" w14:textId="77777777" w:rsidR="001506C1" w:rsidRPr="00FA3F9C" w:rsidRDefault="001506C1" w:rsidP="00BA3739">
      <w:pPr>
        <w:spacing w:after="0"/>
        <w:rPr>
          <w:rFonts w:ascii="Arial" w:hAnsi="Arial" w:cs="Arial"/>
          <w:sz w:val="24"/>
          <w:szCs w:val="24"/>
        </w:rPr>
      </w:pPr>
    </w:p>
    <w:p w14:paraId="7AC2D940" w14:textId="77777777" w:rsidR="001506C1" w:rsidRPr="00FA3F9C" w:rsidRDefault="001506C1" w:rsidP="00BA3739">
      <w:pPr>
        <w:spacing w:after="0"/>
        <w:rPr>
          <w:rFonts w:ascii="Arial" w:hAnsi="Arial" w:cs="Arial"/>
          <w:sz w:val="24"/>
          <w:szCs w:val="24"/>
        </w:rPr>
      </w:pPr>
    </w:p>
    <w:p w14:paraId="201573DF" w14:textId="77777777" w:rsidR="001506C1" w:rsidRPr="00FA3F9C" w:rsidRDefault="001506C1" w:rsidP="00BA3739">
      <w:pPr>
        <w:spacing w:after="0"/>
        <w:rPr>
          <w:rFonts w:ascii="Arial" w:hAnsi="Arial" w:cs="Arial"/>
          <w:sz w:val="24"/>
          <w:szCs w:val="24"/>
        </w:rPr>
      </w:pPr>
    </w:p>
    <w:tbl>
      <w:tblPr>
        <w:tblStyle w:val="TableGrid"/>
        <w:tblW w:w="0" w:type="auto"/>
        <w:tblLook w:val="04A0" w:firstRow="1" w:lastRow="0" w:firstColumn="1" w:lastColumn="0" w:noHBand="0" w:noVBand="1"/>
      </w:tblPr>
      <w:tblGrid>
        <w:gridCol w:w="8928"/>
        <w:gridCol w:w="2088"/>
      </w:tblGrid>
      <w:tr w:rsidR="001506C1" w:rsidRPr="00FA3F9C" w14:paraId="29FED1DF" w14:textId="77777777" w:rsidTr="00866792">
        <w:tc>
          <w:tcPr>
            <w:tcW w:w="8928" w:type="dxa"/>
            <w:shd w:val="clear" w:color="auto" w:fill="000000"/>
          </w:tcPr>
          <w:p w14:paraId="720B0328" w14:textId="77777777" w:rsidR="001506C1" w:rsidRPr="00FA3F9C" w:rsidRDefault="001506C1" w:rsidP="00571CAB">
            <w:pPr>
              <w:rPr>
                <w:rFonts w:ascii="Arial" w:hAnsi="Arial" w:cs="Arial"/>
                <w:b/>
                <w:sz w:val="24"/>
                <w:szCs w:val="24"/>
                <w:u w:val="single"/>
              </w:rPr>
            </w:pPr>
            <w:r w:rsidRPr="00FA3F9C">
              <w:rPr>
                <w:rFonts w:ascii="Arial" w:hAnsi="Arial" w:cs="Arial"/>
                <w:b/>
                <w:sz w:val="24"/>
                <w:szCs w:val="24"/>
                <w:u w:val="single"/>
              </w:rPr>
              <w:t>Criteria for new users (RELAPSED/REFRACTORY)</w:t>
            </w:r>
          </w:p>
        </w:tc>
        <w:tc>
          <w:tcPr>
            <w:tcW w:w="2088" w:type="dxa"/>
            <w:shd w:val="clear" w:color="auto" w:fill="000000"/>
          </w:tcPr>
          <w:p w14:paraId="2B850ADF" w14:textId="77777777" w:rsidR="001506C1" w:rsidRPr="00FA3F9C" w:rsidRDefault="001506C1" w:rsidP="006F623F">
            <w:pPr>
              <w:jc w:val="center"/>
              <w:rPr>
                <w:rFonts w:ascii="Arial" w:hAnsi="Arial" w:cs="Arial"/>
                <w:b/>
                <w:sz w:val="24"/>
                <w:szCs w:val="24"/>
                <w:u w:val="single"/>
              </w:rPr>
            </w:pPr>
          </w:p>
        </w:tc>
      </w:tr>
      <w:tr w:rsidR="001506C1" w:rsidRPr="00FA3F9C" w14:paraId="6108EEA7" w14:textId="77777777" w:rsidTr="0096426E">
        <w:trPr>
          <w:trHeight w:val="359"/>
        </w:trPr>
        <w:tc>
          <w:tcPr>
            <w:tcW w:w="11016" w:type="dxa"/>
            <w:gridSpan w:val="2"/>
          </w:tcPr>
          <w:p w14:paraId="2FC62F14" w14:textId="77777777" w:rsidR="001506C1" w:rsidRPr="00FA3F9C" w:rsidRDefault="001506C1" w:rsidP="006920BB">
            <w:pPr>
              <w:rPr>
                <w:rFonts w:ascii="Arial" w:hAnsi="Arial" w:cs="Arial"/>
                <w:sz w:val="24"/>
                <w:szCs w:val="24"/>
              </w:rPr>
            </w:pPr>
            <w:r w:rsidRPr="00FA3F9C">
              <w:rPr>
                <w:rFonts w:ascii="Arial" w:hAnsi="Arial" w:cs="Arial"/>
                <w:sz w:val="24"/>
                <w:szCs w:val="24"/>
              </w:rPr>
              <w:t>1. Must have a diagnosis of multiple myeloma that is progressing</w:t>
            </w:r>
          </w:p>
        </w:tc>
      </w:tr>
      <w:tr w:rsidR="001506C1" w:rsidRPr="00FA3F9C" w14:paraId="70A4ED5A" w14:textId="77777777" w:rsidTr="0096426E">
        <w:trPr>
          <w:trHeight w:val="440"/>
        </w:trPr>
        <w:tc>
          <w:tcPr>
            <w:tcW w:w="11016" w:type="dxa"/>
            <w:gridSpan w:val="2"/>
          </w:tcPr>
          <w:p w14:paraId="2EB85516" w14:textId="77777777" w:rsidR="001506C1" w:rsidRPr="00FA3F9C" w:rsidRDefault="001506C1" w:rsidP="006920BB">
            <w:pPr>
              <w:rPr>
                <w:rFonts w:ascii="Arial" w:hAnsi="Arial" w:cs="Arial"/>
                <w:sz w:val="24"/>
                <w:szCs w:val="24"/>
              </w:rPr>
            </w:pPr>
            <w:r w:rsidRPr="00FA3F9C">
              <w:rPr>
                <w:rFonts w:ascii="Arial" w:hAnsi="Arial" w:cs="Arial"/>
                <w:sz w:val="24"/>
                <w:szCs w:val="24"/>
              </w:rPr>
              <w:t>2. Must be ECOG performance status 0, 1, or 2 before initiation of daratumumab.</w:t>
            </w:r>
          </w:p>
        </w:tc>
      </w:tr>
      <w:tr w:rsidR="001506C1" w:rsidRPr="00FA3F9C" w14:paraId="69D8886F" w14:textId="77777777" w:rsidTr="0096426E">
        <w:trPr>
          <w:trHeight w:val="692"/>
        </w:trPr>
        <w:tc>
          <w:tcPr>
            <w:tcW w:w="11016" w:type="dxa"/>
            <w:gridSpan w:val="2"/>
          </w:tcPr>
          <w:p w14:paraId="02329707" w14:textId="77777777" w:rsidR="001506C1" w:rsidRPr="00FA3F9C" w:rsidRDefault="001506C1" w:rsidP="006920BB">
            <w:pPr>
              <w:rPr>
                <w:rFonts w:ascii="Arial" w:hAnsi="Arial" w:cs="Arial"/>
                <w:sz w:val="24"/>
                <w:szCs w:val="24"/>
              </w:rPr>
            </w:pPr>
            <w:r w:rsidRPr="00FA3F9C">
              <w:rPr>
                <w:rFonts w:ascii="Arial" w:hAnsi="Arial" w:cs="Arial"/>
                <w:sz w:val="24"/>
                <w:szCs w:val="24"/>
              </w:rPr>
              <w:t xml:space="preserve">3. If daratumumab is to be used in combination with other agents, patient must have received at least 1 prior line of therapy AND be planning to take daratumumab with </w:t>
            </w:r>
            <w:proofErr w:type="spellStart"/>
            <w:r w:rsidRPr="00FA3F9C">
              <w:rPr>
                <w:rFonts w:ascii="Arial" w:hAnsi="Arial" w:cs="Arial"/>
                <w:sz w:val="24"/>
                <w:szCs w:val="24"/>
              </w:rPr>
              <w:t>dexamethasone+lenalidomide</w:t>
            </w:r>
            <w:proofErr w:type="spellEnd"/>
            <w:r w:rsidRPr="00FA3F9C">
              <w:rPr>
                <w:rFonts w:ascii="Arial" w:hAnsi="Arial" w:cs="Arial"/>
                <w:sz w:val="24"/>
                <w:szCs w:val="24"/>
              </w:rPr>
              <w:t xml:space="preserve"> OR </w:t>
            </w:r>
            <w:proofErr w:type="spellStart"/>
            <w:r w:rsidRPr="00FA3F9C">
              <w:rPr>
                <w:rFonts w:ascii="Arial" w:hAnsi="Arial" w:cs="Arial"/>
                <w:sz w:val="24"/>
                <w:szCs w:val="24"/>
              </w:rPr>
              <w:t>dexamethasone+bortezomib</w:t>
            </w:r>
            <w:proofErr w:type="spellEnd"/>
          </w:p>
        </w:tc>
      </w:tr>
      <w:tr w:rsidR="001506C1" w:rsidRPr="00FA3F9C" w14:paraId="48DD76EB" w14:textId="77777777" w:rsidTr="0096426E">
        <w:trPr>
          <w:trHeight w:val="872"/>
        </w:trPr>
        <w:tc>
          <w:tcPr>
            <w:tcW w:w="11016" w:type="dxa"/>
            <w:gridSpan w:val="2"/>
          </w:tcPr>
          <w:p w14:paraId="32F70091" w14:textId="77777777" w:rsidR="001506C1" w:rsidRPr="00FA3F9C" w:rsidRDefault="001506C1" w:rsidP="006920BB">
            <w:pPr>
              <w:rPr>
                <w:rFonts w:ascii="Arial" w:hAnsi="Arial" w:cs="Arial"/>
                <w:sz w:val="24"/>
                <w:szCs w:val="24"/>
              </w:rPr>
            </w:pPr>
            <w:r w:rsidRPr="00FA3F9C">
              <w:rPr>
                <w:rFonts w:ascii="Arial" w:hAnsi="Arial" w:cs="Arial"/>
                <w:sz w:val="24"/>
                <w:szCs w:val="24"/>
              </w:rPr>
              <w:t xml:space="preserve">4. If daratumumab monotherapy is to be used, patient must have been treated with at least 3 prior therapies including a proteasome inhibitor (bortezomib, carfilzomib, </w:t>
            </w:r>
            <w:proofErr w:type="spellStart"/>
            <w:r w:rsidRPr="00FA3F9C">
              <w:rPr>
                <w:rFonts w:ascii="Arial" w:hAnsi="Arial" w:cs="Arial"/>
                <w:sz w:val="24"/>
                <w:szCs w:val="24"/>
              </w:rPr>
              <w:t>ixazomib</w:t>
            </w:r>
            <w:proofErr w:type="spellEnd"/>
            <w:r w:rsidRPr="00FA3F9C">
              <w:rPr>
                <w:rFonts w:ascii="Arial" w:hAnsi="Arial" w:cs="Arial"/>
                <w:sz w:val="24"/>
                <w:szCs w:val="24"/>
              </w:rPr>
              <w:t xml:space="preserve">) AND an immunomodulatory agent (lenalidomide, thalidomide, pomalidomide) OR be </w:t>
            </w:r>
            <w:proofErr w:type="gramStart"/>
            <w:r w:rsidRPr="00FA3F9C">
              <w:rPr>
                <w:rFonts w:ascii="Arial" w:hAnsi="Arial" w:cs="Arial"/>
                <w:sz w:val="24"/>
                <w:szCs w:val="24"/>
              </w:rPr>
              <w:t>double-refractory</w:t>
            </w:r>
            <w:proofErr w:type="gramEnd"/>
            <w:r w:rsidRPr="00FA3F9C">
              <w:rPr>
                <w:rFonts w:ascii="Arial" w:hAnsi="Arial" w:cs="Arial"/>
                <w:sz w:val="24"/>
                <w:szCs w:val="24"/>
              </w:rPr>
              <w:t xml:space="preserve"> to a proteasome inhibitor and an immunomodulatory agent. </w:t>
            </w:r>
          </w:p>
        </w:tc>
      </w:tr>
      <w:tr w:rsidR="001506C1" w:rsidRPr="00FA3F9C" w14:paraId="5E4A39B3" w14:textId="77777777" w:rsidTr="00156E9D">
        <w:trPr>
          <w:trHeight w:val="440"/>
        </w:trPr>
        <w:tc>
          <w:tcPr>
            <w:tcW w:w="11016" w:type="dxa"/>
            <w:gridSpan w:val="2"/>
            <w:shd w:val="clear" w:color="auto" w:fill="F2F2F2" w:themeFill="background1" w:themeFillShade="F2"/>
          </w:tcPr>
          <w:p w14:paraId="7327F0B5" w14:textId="77777777" w:rsidR="001506C1" w:rsidRPr="00FA3F9C" w:rsidRDefault="001506C1" w:rsidP="00156E9D">
            <w:pPr>
              <w:rPr>
                <w:rFonts w:ascii="Arial" w:hAnsi="Arial" w:cs="Arial"/>
                <w:sz w:val="24"/>
                <w:szCs w:val="24"/>
              </w:rPr>
            </w:pPr>
            <w:r w:rsidRPr="00FA3F9C">
              <w:rPr>
                <w:rFonts w:ascii="Arial" w:hAnsi="Arial" w:cs="Arial"/>
                <w:sz w:val="24"/>
                <w:szCs w:val="24"/>
              </w:rPr>
              <w:lastRenderedPageBreak/>
              <w:t>If 1 and 2 plus either 3 or 4 is met, approve for 12 months. May renew approval if no progression of disease.</w:t>
            </w:r>
          </w:p>
        </w:tc>
      </w:tr>
      <w:tr w:rsidR="001506C1" w:rsidRPr="00FA3F9C" w14:paraId="6853CB92" w14:textId="77777777" w:rsidTr="00866792">
        <w:tc>
          <w:tcPr>
            <w:tcW w:w="11016" w:type="dxa"/>
            <w:gridSpan w:val="2"/>
            <w:shd w:val="clear" w:color="auto" w:fill="D9D9D9" w:themeFill="background1" w:themeFillShade="D9"/>
          </w:tcPr>
          <w:p w14:paraId="6094823C" w14:textId="77777777" w:rsidR="001506C1" w:rsidRPr="00FA3F9C" w:rsidRDefault="001506C1" w:rsidP="006D6841">
            <w:pPr>
              <w:tabs>
                <w:tab w:val="left" w:pos="947"/>
              </w:tabs>
              <w:rPr>
                <w:rFonts w:ascii="Arial" w:hAnsi="Arial" w:cs="Arial"/>
                <w:sz w:val="24"/>
                <w:szCs w:val="24"/>
              </w:rPr>
            </w:pPr>
            <w:r w:rsidRPr="00FA3F9C">
              <w:rPr>
                <w:rFonts w:ascii="Arial" w:hAnsi="Arial" w:cs="Arial"/>
                <w:sz w:val="24"/>
                <w:szCs w:val="24"/>
              </w:rPr>
              <w:t xml:space="preserve">Note: </w:t>
            </w:r>
          </w:p>
          <w:p w14:paraId="3C551B74" w14:textId="77777777" w:rsidR="001506C1" w:rsidRPr="00FA3F9C" w:rsidRDefault="001506C1" w:rsidP="001506C1">
            <w:pPr>
              <w:pStyle w:val="ListParagraph"/>
              <w:numPr>
                <w:ilvl w:val="0"/>
                <w:numId w:val="104"/>
              </w:numPr>
              <w:tabs>
                <w:tab w:val="left" w:pos="947"/>
              </w:tabs>
              <w:ind w:left="180" w:hanging="180"/>
              <w:rPr>
                <w:rFonts w:ascii="Arial" w:hAnsi="Arial" w:cs="Arial"/>
                <w:sz w:val="24"/>
                <w:szCs w:val="24"/>
              </w:rPr>
            </w:pPr>
            <w:r w:rsidRPr="00FA3F9C">
              <w:rPr>
                <w:rFonts w:ascii="Arial" w:hAnsi="Arial" w:cs="Arial"/>
                <w:sz w:val="24"/>
                <w:szCs w:val="24"/>
              </w:rPr>
              <w:t>Therapy continues until progression or unacceptable toxicity.</w:t>
            </w:r>
            <w:r w:rsidRPr="00FA3F9C">
              <w:rPr>
                <w:rFonts w:ascii="Arial" w:hAnsi="Arial" w:cs="Arial"/>
                <w:sz w:val="24"/>
                <w:szCs w:val="24"/>
              </w:rPr>
              <w:tab/>
            </w:r>
          </w:p>
          <w:p w14:paraId="280AFAF2" w14:textId="77777777" w:rsidR="001506C1" w:rsidRPr="00FA3F9C" w:rsidRDefault="001506C1" w:rsidP="001506C1">
            <w:pPr>
              <w:pStyle w:val="ListParagraph"/>
              <w:numPr>
                <w:ilvl w:val="0"/>
                <w:numId w:val="104"/>
              </w:numPr>
              <w:tabs>
                <w:tab w:val="left" w:pos="947"/>
              </w:tabs>
              <w:ind w:left="180" w:hanging="180"/>
              <w:rPr>
                <w:rFonts w:ascii="Arial" w:hAnsi="Arial" w:cs="Arial"/>
                <w:sz w:val="24"/>
                <w:szCs w:val="24"/>
              </w:rPr>
            </w:pPr>
            <w:r w:rsidRPr="00FA3F9C">
              <w:rPr>
                <w:rFonts w:ascii="Arial" w:hAnsi="Arial" w:cs="Arial"/>
                <w:sz w:val="24"/>
                <w:szCs w:val="24"/>
              </w:rPr>
              <w:t>Daratumumab/bortezomib/dexamethasone improved progression free survival compared with bortezomib/dexamethasone alone. Overall survival was not significantly better but trended towards an improvement and post-trial use of daratumumab may have confounded overall survival analysis.</w:t>
            </w:r>
            <w:r w:rsidRPr="00FA3F9C">
              <w:rPr>
                <w:rFonts w:ascii="Arial" w:hAnsi="Arial" w:cs="Arial"/>
                <w:sz w:val="24"/>
                <w:szCs w:val="24"/>
                <w:vertAlign w:val="superscript"/>
              </w:rPr>
              <w:t>1</w:t>
            </w:r>
          </w:p>
          <w:p w14:paraId="4849EC88" w14:textId="77777777" w:rsidR="001506C1" w:rsidRPr="00FA3F9C" w:rsidRDefault="001506C1" w:rsidP="001506C1">
            <w:pPr>
              <w:pStyle w:val="ListParagraph"/>
              <w:numPr>
                <w:ilvl w:val="0"/>
                <w:numId w:val="104"/>
              </w:numPr>
              <w:tabs>
                <w:tab w:val="left" w:pos="947"/>
              </w:tabs>
              <w:ind w:left="180" w:hanging="180"/>
              <w:rPr>
                <w:rFonts w:ascii="Arial" w:hAnsi="Arial" w:cs="Arial"/>
                <w:sz w:val="24"/>
                <w:szCs w:val="24"/>
              </w:rPr>
            </w:pPr>
            <w:r w:rsidRPr="00FA3F9C">
              <w:rPr>
                <w:rFonts w:ascii="Arial" w:hAnsi="Arial" w:cs="Arial"/>
                <w:sz w:val="24"/>
                <w:szCs w:val="24"/>
              </w:rPr>
              <w:t>Daratumumab/lenalidomide/dexamethasone improved progression free survival compared with lenalidomide/dexamethasone alone. Overall survival is trending towards improvement but still considered immature at last follow up.</w:t>
            </w:r>
            <w:r w:rsidRPr="00FA3F9C">
              <w:rPr>
                <w:rFonts w:ascii="Arial" w:hAnsi="Arial" w:cs="Arial"/>
                <w:sz w:val="24"/>
                <w:szCs w:val="24"/>
                <w:vertAlign w:val="superscript"/>
              </w:rPr>
              <w:t>2,3</w:t>
            </w:r>
          </w:p>
          <w:p w14:paraId="5703F658" w14:textId="77777777" w:rsidR="001506C1" w:rsidRPr="00FA3F9C" w:rsidRDefault="001506C1" w:rsidP="001506C1">
            <w:pPr>
              <w:pStyle w:val="ListParagraph"/>
              <w:numPr>
                <w:ilvl w:val="0"/>
                <w:numId w:val="104"/>
              </w:numPr>
              <w:tabs>
                <w:tab w:val="left" w:pos="947"/>
              </w:tabs>
              <w:ind w:left="180" w:hanging="180"/>
              <w:rPr>
                <w:rFonts w:ascii="Arial" w:hAnsi="Arial" w:cs="Arial"/>
                <w:sz w:val="24"/>
                <w:szCs w:val="24"/>
              </w:rPr>
            </w:pPr>
            <w:r w:rsidRPr="00FA3F9C">
              <w:rPr>
                <w:rFonts w:ascii="Arial" w:hAnsi="Arial" w:cs="Arial"/>
                <w:sz w:val="24"/>
                <w:szCs w:val="24"/>
              </w:rPr>
              <w:t>Daratumumab monotherapy was found have improved overall survival compared to pomalidomide/dexamethasone in a matched adjusted indirect comparison analysis.</w:t>
            </w:r>
            <w:r w:rsidRPr="00FA3F9C">
              <w:rPr>
                <w:rFonts w:ascii="Arial" w:hAnsi="Arial" w:cs="Arial"/>
                <w:sz w:val="24"/>
                <w:szCs w:val="24"/>
                <w:vertAlign w:val="superscript"/>
              </w:rPr>
              <w:t>4</w:t>
            </w:r>
          </w:p>
          <w:p w14:paraId="4E0E7F1C" w14:textId="77777777" w:rsidR="001506C1" w:rsidRPr="00FA3F9C" w:rsidRDefault="001506C1" w:rsidP="00357E68">
            <w:pPr>
              <w:tabs>
                <w:tab w:val="left" w:pos="947"/>
              </w:tabs>
              <w:rPr>
                <w:rFonts w:ascii="Arial" w:hAnsi="Arial" w:cs="Arial"/>
                <w:sz w:val="24"/>
                <w:szCs w:val="24"/>
              </w:rPr>
            </w:pPr>
          </w:p>
          <w:p w14:paraId="1D2F39A7" w14:textId="77777777" w:rsidR="001506C1" w:rsidRPr="00FA3F9C" w:rsidRDefault="001506C1" w:rsidP="00357E68">
            <w:pPr>
              <w:tabs>
                <w:tab w:val="left" w:pos="947"/>
              </w:tabs>
              <w:rPr>
                <w:rFonts w:ascii="Arial" w:hAnsi="Arial" w:cs="Arial"/>
                <w:sz w:val="24"/>
                <w:szCs w:val="24"/>
              </w:rPr>
            </w:pPr>
            <w:r w:rsidRPr="00FA3F9C">
              <w:rPr>
                <w:rFonts w:ascii="Arial" w:hAnsi="Arial" w:cs="Arial"/>
                <w:sz w:val="24"/>
                <w:szCs w:val="24"/>
              </w:rPr>
              <w:t>References:</w:t>
            </w:r>
          </w:p>
          <w:p w14:paraId="37C38566" w14:textId="77777777" w:rsidR="001506C1" w:rsidRPr="00FA3F9C" w:rsidRDefault="001506C1" w:rsidP="001506C1">
            <w:pPr>
              <w:pStyle w:val="ListParagraph"/>
              <w:numPr>
                <w:ilvl w:val="0"/>
                <w:numId w:val="106"/>
              </w:numPr>
              <w:tabs>
                <w:tab w:val="left" w:pos="947"/>
              </w:tabs>
              <w:ind w:left="180" w:hanging="180"/>
              <w:rPr>
                <w:rFonts w:ascii="Arial" w:hAnsi="Arial" w:cs="Arial"/>
                <w:sz w:val="24"/>
                <w:szCs w:val="24"/>
              </w:rPr>
            </w:pPr>
            <w:r w:rsidRPr="00FA3F9C">
              <w:rPr>
                <w:rFonts w:ascii="Arial" w:hAnsi="Arial" w:cs="Arial"/>
                <w:sz w:val="24"/>
                <w:szCs w:val="24"/>
              </w:rPr>
              <w:t xml:space="preserve">Spencer A et al. Daratumumab plus bortezomib and dexamethasone versus bortezomib and dexamethasone in relapsed or refractory multiple myeloma: updated analysis of CASTOR. </w:t>
            </w:r>
            <w:proofErr w:type="spellStart"/>
            <w:r w:rsidRPr="00FA3F9C">
              <w:rPr>
                <w:rFonts w:ascii="Arial" w:hAnsi="Arial" w:cs="Arial"/>
                <w:sz w:val="24"/>
                <w:szCs w:val="24"/>
              </w:rPr>
              <w:t>Haematologica</w:t>
            </w:r>
            <w:proofErr w:type="spellEnd"/>
            <w:r w:rsidRPr="00FA3F9C">
              <w:rPr>
                <w:rFonts w:ascii="Arial" w:hAnsi="Arial" w:cs="Arial"/>
                <w:sz w:val="24"/>
                <w:szCs w:val="24"/>
              </w:rPr>
              <w:t>. 2018 Dec;103(12):2079-2087. PMID 30237264 NCT02136134</w:t>
            </w:r>
          </w:p>
          <w:p w14:paraId="62E169B4" w14:textId="77777777" w:rsidR="001506C1" w:rsidRPr="00FA3F9C" w:rsidRDefault="001506C1" w:rsidP="001506C1">
            <w:pPr>
              <w:pStyle w:val="ListParagraph"/>
              <w:numPr>
                <w:ilvl w:val="0"/>
                <w:numId w:val="106"/>
              </w:numPr>
              <w:tabs>
                <w:tab w:val="left" w:pos="947"/>
              </w:tabs>
              <w:ind w:left="180" w:hanging="180"/>
              <w:rPr>
                <w:rFonts w:ascii="Arial" w:hAnsi="Arial" w:cs="Arial"/>
                <w:sz w:val="24"/>
                <w:szCs w:val="24"/>
              </w:rPr>
            </w:pPr>
            <w:proofErr w:type="spellStart"/>
            <w:r w:rsidRPr="00FA3F9C">
              <w:rPr>
                <w:rFonts w:ascii="Arial" w:hAnsi="Arial" w:cs="Arial"/>
                <w:sz w:val="24"/>
                <w:szCs w:val="24"/>
              </w:rPr>
              <w:t>Dimopoulos</w:t>
            </w:r>
            <w:proofErr w:type="spellEnd"/>
            <w:r w:rsidRPr="00FA3F9C">
              <w:rPr>
                <w:rFonts w:ascii="Arial" w:hAnsi="Arial" w:cs="Arial"/>
                <w:sz w:val="24"/>
                <w:szCs w:val="24"/>
              </w:rPr>
              <w:t xml:space="preserve"> MA et al. Daratumumab, Lenalidomide, and Dexamethasone for Multiple Myeloma. N </w:t>
            </w:r>
            <w:proofErr w:type="spellStart"/>
            <w:r w:rsidRPr="00FA3F9C">
              <w:rPr>
                <w:rFonts w:ascii="Arial" w:hAnsi="Arial" w:cs="Arial"/>
                <w:sz w:val="24"/>
                <w:szCs w:val="24"/>
              </w:rPr>
              <w:t>Engl</w:t>
            </w:r>
            <w:proofErr w:type="spellEnd"/>
            <w:r w:rsidRPr="00FA3F9C">
              <w:rPr>
                <w:rFonts w:ascii="Arial" w:hAnsi="Arial" w:cs="Arial"/>
                <w:sz w:val="24"/>
                <w:szCs w:val="24"/>
              </w:rPr>
              <w:t xml:space="preserve"> J Med. 2016 Oct 6;375(14):1319-1331. PMID27705267 NCT02076009</w:t>
            </w:r>
          </w:p>
          <w:p w14:paraId="7CA0FB73" w14:textId="77777777" w:rsidR="001506C1" w:rsidRPr="00FA3F9C" w:rsidRDefault="001506C1" w:rsidP="001506C1">
            <w:pPr>
              <w:pStyle w:val="ListParagraph"/>
              <w:numPr>
                <w:ilvl w:val="0"/>
                <w:numId w:val="106"/>
              </w:numPr>
              <w:tabs>
                <w:tab w:val="left" w:pos="947"/>
              </w:tabs>
              <w:ind w:left="180" w:hanging="180"/>
              <w:rPr>
                <w:rFonts w:ascii="Arial" w:hAnsi="Arial" w:cs="Arial"/>
                <w:sz w:val="24"/>
                <w:szCs w:val="24"/>
              </w:rPr>
            </w:pPr>
            <w:proofErr w:type="spellStart"/>
            <w:r w:rsidRPr="00FA3F9C">
              <w:rPr>
                <w:rFonts w:ascii="Arial" w:hAnsi="Arial" w:cs="Arial"/>
                <w:sz w:val="24"/>
                <w:szCs w:val="24"/>
              </w:rPr>
              <w:t>Dimopoulos</w:t>
            </w:r>
            <w:proofErr w:type="spellEnd"/>
            <w:r w:rsidRPr="00FA3F9C">
              <w:rPr>
                <w:rFonts w:ascii="Arial" w:hAnsi="Arial" w:cs="Arial"/>
                <w:sz w:val="24"/>
                <w:szCs w:val="24"/>
              </w:rPr>
              <w:t xml:space="preserve"> MA et al. Daratumumab plus lenalidomide and dexamethasone versus lenalidomide and dexamethasone in relapsed or refractory multiple myeloma: updated analysis of POLLUX. </w:t>
            </w:r>
            <w:proofErr w:type="spellStart"/>
            <w:r w:rsidRPr="00FA3F9C">
              <w:rPr>
                <w:rFonts w:ascii="Arial" w:hAnsi="Arial" w:cs="Arial"/>
                <w:sz w:val="24"/>
                <w:szCs w:val="24"/>
              </w:rPr>
              <w:t>Haematologica</w:t>
            </w:r>
            <w:proofErr w:type="spellEnd"/>
            <w:r w:rsidRPr="00FA3F9C">
              <w:rPr>
                <w:rFonts w:ascii="Arial" w:hAnsi="Arial" w:cs="Arial"/>
                <w:sz w:val="24"/>
                <w:szCs w:val="24"/>
              </w:rPr>
              <w:t>. 2018 Dec;103(12):2088-2096. PMID 30237262 NCT02076009</w:t>
            </w:r>
          </w:p>
          <w:p w14:paraId="46DB5B8B" w14:textId="77777777" w:rsidR="001506C1" w:rsidRPr="00FA3F9C" w:rsidRDefault="001506C1" w:rsidP="001506C1">
            <w:pPr>
              <w:pStyle w:val="ListParagraph"/>
              <w:numPr>
                <w:ilvl w:val="0"/>
                <w:numId w:val="106"/>
              </w:numPr>
              <w:tabs>
                <w:tab w:val="left" w:pos="947"/>
              </w:tabs>
              <w:ind w:left="180" w:hanging="180"/>
              <w:rPr>
                <w:rFonts w:ascii="Arial" w:hAnsi="Arial" w:cs="Arial"/>
                <w:sz w:val="24"/>
                <w:szCs w:val="24"/>
              </w:rPr>
            </w:pPr>
            <w:r w:rsidRPr="00FA3F9C">
              <w:rPr>
                <w:rFonts w:ascii="Arial" w:hAnsi="Arial" w:cs="Arial"/>
                <w:sz w:val="24"/>
                <w:szCs w:val="24"/>
                <w:lang w:val="es-ES"/>
              </w:rPr>
              <w:t xml:space="preserve">Van </w:t>
            </w:r>
            <w:proofErr w:type="spellStart"/>
            <w:r w:rsidRPr="00FA3F9C">
              <w:rPr>
                <w:rFonts w:ascii="Arial" w:hAnsi="Arial" w:cs="Arial"/>
                <w:sz w:val="24"/>
                <w:szCs w:val="24"/>
                <w:lang w:val="es-ES"/>
              </w:rPr>
              <w:t>Sanden</w:t>
            </w:r>
            <w:proofErr w:type="spellEnd"/>
            <w:r w:rsidRPr="00FA3F9C">
              <w:rPr>
                <w:rFonts w:ascii="Arial" w:hAnsi="Arial" w:cs="Arial"/>
                <w:sz w:val="24"/>
                <w:szCs w:val="24"/>
                <w:lang w:val="es-ES"/>
              </w:rPr>
              <w:t xml:space="preserve"> S et al. </w:t>
            </w:r>
            <w:r w:rsidRPr="00FA3F9C">
              <w:rPr>
                <w:rFonts w:ascii="Arial" w:hAnsi="Arial" w:cs="Arial"/>
                <w:sz w:val="24"/>
                <w:szCs w:val="24"/>
              </w:rPr>
              <w:t>Comparative Efficacy of Daratumumab Monotherapy and Pomalidomide Plus Low-Dose Dexamethasone in the Treatment of Multiple Myeloma: A Matching Adjusted Indirect Comparison. Oncologist. 2018 Mar;23(3):279-287. PMID 29192016</w:t>
            </w:r>
          </w:p>
        </w:tc>
      </w:tr>
    </w:tbl>
    <w:p w14:paraId="71B58557" w14:textId="77777777" w:rsidR="001506C1" w:rsidRPr="00FA3F9C" w:rsidRDefault="001506C1" w:rsidP="006F623F">
      <w:pPr>
        <w:spacing w:after="0"/>
        <w:rPr>
          <w:rFonts w:ascii="Arial" w:hAnsi="Arial" w:cs="Arial"/>
          <w:b/>
          <w:sz w:val="24"/>
          <w:szCs w:val="24"/>
          <w:u w:val="single"/>
        </w:rPr>
      </w:pPr>
    </w:p>
    <w:p w14:paraId="5BC94A9F" w14:textId="77777777" w:rsidR="001506C1" w:rsidRPr="00FA3F9C" w:rsidRDefault="001506C1" w:rsidP="006F623F">
      <w:pPr>
        <w:spacing w:after="0"/>
        <w:rPr>
          <w:rFonts w:ascii="Arial" w:hAnsi="Arial" w:cs="Arial"/>
          <w:sz w:val="24"/>
          <w:szCs w:val="24"/>
        </w:rPr>
      </w:pPr>
    </w:p>
    <w:p w14:paraId="5440A4E1" w14:textId="77777777" w:rsidR="001506C1" w:rsidRPr="00FA3F9C" w:rsidRDefault="001506C1" w:rsidP="00BA3739">
      <w:pPr>
        <w:rPr>
          <w:rFonts w:ascii="Arial" w:eastAsia="Times New Roman" w:hAnsi="Arial" w:cs="Arial"/>
          <w:sz w:val="24"/>
          <w:szCs w:val="24"/>
        </w:rPr>
      </w:pPr>
    </w:p>
    <w:p w14:paraId="4F0233E3" w14:textId="77777777" w:rsidR="001506C1" w:rsidRPr="00FA3F9C" w:rsidRDefault="001506C1" w:rsidP="006F623F">
      <w:pPr>
        <w:spacing w:after="0"/>
        <w:rPr>
          <w:rFonts w:ascii="Arial" w:hAnsi="Arial" w:cs="Arial"/>
          <w:sz w:val="24"/>
          <w:szCs w:val="24"/>
        </w:rPr>
      </w:pPr>
    </w:p>
    <w:p w14:paraId="228D77BD"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418"/>
        <w:gridCol w:w="8640"/>
        <w:gridCol w:w="1590"/>
      </w:tblGrid>
      <w:tr w:rsidR="001506C1" w:rsidRPr="00FA3F9C" w14:paraId="38D55A4D" w14:textId="77777777" w:rsidTr="009633B7">
        <w:tc>
          <w:tcPr>
            <w:tcW w:w="1278" w:type="dxa"/>
          </w:tcPr>
          <w:p w14:paraId="28375332" w14:textId="77777777" w:rsidR="001506C1" w:rsidRPr="00FA3F9C" w:rsidRDefault="001506C1" w:rsidP="006F623F">
            <w:pPr>
              <w:rPr>
                <w:rFonts w:ascii="Arial" w:hAnsi="Arial" w:cs="Arial"/>
                <w:sz w:val="24"/>
                <w:szCs w:val="24"/>
              </w:rPr>
            </w:pPr>
            <w:r w:rsidRPr="00FA3F9C">
              <w:rPr>
                <w:rFonts w:ascii="Arial" w:hAnsi="Arial" w:cs="Arial"/>
                <w:sz w:val="24"/>
                <w:szCs w:val="24"/>
              </w:rPr>
              <w:t>Date</w:t>
            </w:r>
          </w:p>
        </w:tc>
        <w:tc>
          <w:tcPr>
            <w:tcW w:w="8371" w:type="dxa"/>
          </w:tcPr>
          <w:p w14:paraId="6D7F6E37" w14:textId="77777777" w:rsidR="001506C1" w:rsidRPr="00FA3F9C" w:rsidRDefault="001506C1" w:rsidP="006F623F">
            <w:pPr>
              <w:rPr>
                <w:rFonts w:ascii="Arial" w:hAnsi="Arial" w:cs="Arial"/>
                <w:sz w:val="24"/>
                <w:szCs w:val="24"/>
              </w:rPr>
            </w:pPr>
            <w:r w:rsidRPr="00FA3F9C">
              <w:rPr>
                <w:rFonts w:ascii="Arial" w:hAnsi="Arial" w:cs="Arial"/>
                <w:sz w:val="24"/>
                <w:szCs w:val="24"/>
              </w:rPr>
              <w:t>What changed</w:t>
            </w:r>
          </w:p>
        </w:tc>
        <w:tc>
          <w:tcPr>
            <w:tcW w:w="1367" w:type="dxa"/>
          </w:tcPr>
          <w:p w14:paraId="4CB43801" w14:textId="77777777" w:rsidR="001506C1" w:rsidRPr="00FA3F9C" w:rsidRDefault="001506C1" w:rsidP="006F623F">
            <w:pPr>
              <w:rPr>
                <w:rFonts w:ascii="Arial" w:hAnsi="Arial" w:cs="Arial"/>
                <w:sz w:val="24"/>
                <w:szCs w:val="24"/>
              </w:rPr>
            </w:pPr>
            <w:r w:rsidRPr="00FA3F9C">
              <w:rPr>
                <w:rFonts w:ascii="Arial" w:hAnsi="Arial" w:cs="Arial"/>
                <w:sz w:val="24"/>
                <w:szCs w:val="24"/>
              </w:rPr>
              <w:t>Pharmacist’s initials</w:t>
            </w:r>
          </w:p>
        </w:tc>
      </w:tr>
      <w:tr w:rsidR="001506C1" w:rsidRPr="00FA3F9C" w14:paraId="1718AB5B" w14:textId="77777777" w:rsidTr="00047321">
        <w:tc>
          <w:tcPr>
            <w:tcW w:w="1008" w:type="dxa"/>
          </w:tcPr>
          <w:p w14:paraId="6BF610F0" w14:textId="77777777" w:rsidR="001506C1" w:rsidRPr="00FA3F9C" w:rsidRDefault="001506C1" w:rsidP="006F623F">
            <w:pPr>
              <w:rPr>
                <w:rFonts w:ascii="Arial" w:hAnsi="Arial" w:cs="Arial"/>
                <w:sz w:val="24"/>
                <w:szCs w:val="24"/>
              </w:rPr>
            </w:pPr>
            <w:r w:rsidRPr="00FA3F9C">
              <w:rPr>
                <w:rFonts w:ascii="Arial" w:hAnsi="Arial" w:cs="Arial"/>
                <w:sz w:val="24"/>
                <w:szCs w:val="24"/>
              </w:rPr>
              <w:lastRenderedPageBreak/>
              <w:t>3/28/17</w:t>
            </w:r>
          </w:p>
        </w:tc>
        <w:tc>
          <w:tcPr>
            <w:tcW w:w="8640" w:type="dxa"/>
          </w:tcPr>
          <w:p w14:paraId="59F4C6A4" w14:textId="77777777" w:rsidR="001506C1" w:rsidRPr="00FA3F9C" w:rsidRDefault="001506C1" w:rsidP="006F623F">
            <w:pPr>
              <w:rPr>
                <w:rFonts w:ascii="Arial" w:hAnsi="Arial" w:cs="Arial"/>
                <w:sz w:val="24"/>
                <w:szCs w:val="24"/>
              </w:rPr>
            </w:pPr>
            <w:r w:rsidRPr="00FA3F9C">
              <w:rPr>
                <w:rFonts w:ascii="Arial" w:hAnsi="Arial" w:cs="Arial"/>
                <w:sz w:val="24"/>
                <w:szCs w:val="24"/>
              </w:rPr>
              <w:t xml:space="preserve">I wrote the criteria.  The SIRIUS trial is the monotherapy trial in heavily pretreated MM patients and was not comparative; </w:t>
            </w:r>
            <w:proofErr w:type="gramStart"/>
            <w:r w:rsidRPr="00FA3F9C">
              <w:rPr>
                <w:rFonts w:ascii="Arial" w:hAnsi="Arial" w:cs="Arial"/>
                <w:sz w:val="24"/>
                <w:szCs w:val="24"/>
              </w:rPr>
              <w:t>additionally</w:t>
            </w:r>
            <w:proofErr w:type="gramEnd"/>
            <w:r w:rsidRPr="00FA3F9C">
              <w:rPr>
                <w:rFonts w:ascii="Arial" w:hAnsi="Arial" w:cs="Arial"/>
                <w:sz w:val="24"/>
                <w:szCs w:val="24"/>
              </w:rPr>
              <w:t xml:space="preserve"> they measured response rates.  Need more evidence to show benefit over the alternative to cover monotherapy.</w:t>
            </w:r>
          </w:p>
        </w:tc>
        <w:tc>
          <w:tcPr>
            <w:tcW w:w="1368" w:type="dxa"/>
          </w:tcPr>
          <w:p w14:paraId="1E755A5F" w14:textId="77777777" w:rsidR="001506C1" w:rsidRPr="00FA3F9C" w:rsidRDefault="001506C1" w:rsidP="006F623F">
            <w:pPr>
              <w:rPr>
                <w:rFonts w:ascii="Arial" w:hAnsi="Arial" w:cs="Arial"/>
                <w:sz w:val="24"/>
                <w:szCs w:val="24"/>
              </w:rPr>
            </w:pPr>
            <w:r w:rsidRPr="00FA3F9C">
              <w:rPr>
                <w:rFonts w:ascii="Arial" w:hAnsi="Arial" w:cs="Arial"/>
                <w:sz w:val="24"/>
                <w:szCs w:val="24"/>
              </w:rPr>
              <w:t>JJ</w:t>
            </w:r>
          </w:p>
        </w:tc>
      </w:tr>
      <w:tr w:rsidR="001506C1" w:rsidRPr="00FA3F9C" w14:paraId="17468260" w14:textId="77777777" w:rsidTr="00047321">
        <w:tc>
          <w:tcPr>
            <w:tcW w:w="1008" w:type="dxa"/>
          </w:tcPr>
          <w:p w14:paraId="2872886B" w14:textId="77777777" w:rsidR="001506C1" w:rsidRPr="00FA3F9C" w:rsidRDefault="001506C1" w:rsidP="006F623F">
            <w:pPr>
              <w:rPr>
                <w:rFonts w:ascii="Arial" w:hAnsi="Arial" w:cs="Arial"/>
                <w:sz w:val="24"/>
                <w:szCs w:val="24"/>
              </w:rPr>
            </w:pPr>
            <w:r w:rsidRPr="00FA3F9C">
              <w:rPr>
                <w:rFonts w:ascii="Arial" w:hAnsi="Arial" w:cs="Arial"/>
                <w:sz w:val="24"/>
                <w:szCs w:val="24"/>
              </w:rPr>
              <w:t>5/20/19</w:t>
            </w:r>
          </w:p>
        </w:tc>
        <w:tc>
          <w:tcPr>
            <w:tcW w:w="8640" w:type="dxa"/>
          </w:tcPr>
          <w:p w14:paraId="4CE839DA" w14:textId="77777777" w:rsidR="001506C1" w:rsidRPr="00FA3F9C" w:rsidRDefault="001506C1" w:rsidP="00C56019">
            <w:pPr>
              <w:rPr>
                <w:rFonts w:ascii="Arial" w:hAnsi="Arial" w:cs="Arial"/>
                <w:sz w:val="24"/>
                <w:szCs w:val="24"/>
              </w:rPr>
            </w:pPr>
            <w:r w:rsidRPr="00FA3F9C">
              <w:rPr>
                <w:rFonts w:ascii="Arial" w:hAnsi="Arial" w:cs="Arial"/>
                <w:sz w:val="24"/>
                <w:szCs w:val="24"/>
              </w:rPr>
              <w:t xml:space="preserve">Criteria reviewed. Expand coverage to allow monotherapy. </w:t>
            </w:r>
          </w:p>
        </w:tc>
        <w:tc>
          <w:tcPr>
            <w:tcW w:w="1368" w:type="dxa"/>
          </w:tcPr>
          <w:p w14:paraId="040036E4" w14:textId="77777777" w:rsidR="001506C1" w:rsidRPr="00FA3F9C" w:rsidRDefault="001506C1" w:rsidP="006F623F">
            <w:pPr>
              <w:rPr>
                <w:rFonts w:ascii="Arial" w:hAnsi="Arial" w:cs="Arial"/>
                <w:sz w:val="24"/>
                <w:szCs w:val="24"/>
              </w:rPr>
            </w:pPr>
            <w:r w:rsidRPr="00FA3F9C">
              <w:rPr>
                <w:rFonts w:ascii="Arial" w:hAnsi="Arial" w:cs="Arial"/>
                <w:sz w:val="24"/>
                <w:szCs w:val="24"/>
              </w:rPr>
              <w:t>SK</w:t>
            </w:r>
          </w:p>
        </w:tc>
      </w:tr>
      <w:tr w:rsidR="001506C1" w:rsidRPr="00FA3F9C" w14:paraId="16875145" w14:textId="77777777" w:rsidTr="00047321">
        <w:tc>
          <w:tcPr>
            <w:tcW w:w="1008" w:type="dxa"/>
          </w:tcPr>
          <w:p w14:paraId="07046389" w14:textId="77777777" w:rsidR="001506C1" w:rsidRPr="00FA3F9C" w:rsidRDefault="001506C1" w:rsidP="006F623F">
            <w:pPr>
              <w:rPr>
                <w:rFonts w:ascii="Arial" w:hAnsi="Arial" w:cs="Arial"/>
                <w:sz w:val="24"/>
                <w:szCs w:val="24"/>
              </w:rPr>
            </w:pPr>
            <w:r w:rsidRPr="00FA3F9C">
              <w:rPr>
                <w:rFonts w:ascii="Arial" w:hAnsi="Arial" w:cs="Arial"/>
                <w:sz w:val="24"/>
                <w:szCs w:val="24"/>
              </w:rPr>
              <w:t>10/28/19</w:t>
            </w:r>
          </w:p>
        </w:tc>
        <w:tc>
          <w:tcPr>
            <w:tcW w:w="8640" w:type="dxa"/>
          </w:tcPr>
          <w:p w14:paraId="4E6B3D42" w14:textId="77777777" w:rsidR="001506C1" w:rsidRPr="00FA3F9C" w:rsidRDefault="001506C1" w:rsidP="00C56019">
            <w:pPr>
              <w:rPr>
                <w:rFonts w:ascii="Arial" w:hAnsi="Arial" w:cs="Arial"/>
                <w:sz w:val="24"/>
                <w:szCs w:val="24"/>
              </w:rPr>
            </w:pPr>
            <w:r w:rsidRPr="00FA3F9C">
              <w:rPr>
                <w:rFonts w:ascii="Arial" w:hAnsi="Arial" w:cs="Arial"/>
                <w:sz w:val="24"/>
                <w:szCs w:val="24"/>
              </w:rPr>
              <w:t xml:space="preserve">Criteria reviewed. Add coverage for daratumumab used with thalidomide, bortezomib, </w:t>
            </w:r>
            <w:proofErr w:type="spellStart"/>
            <w:r w:rsidRPr="00FA3F9C">
              <w:rPr>
                <w:rFonts w:ascii="Arial" w:hAnsi="Arial" w:cs="Arial"/>
                <w:sz w:val="24"/>
                <w:szCs w:val="24"/>
              </w:rPr>
              <w:t>dex</w:t>
            </w:r>
            <w:proofErr w:type="spellEnd"/>
            <w:r w:rsidRPr="00FA3F9C">
              <w:rPr>
                <w:rFonts w:ascii="Arial" w:hAnsi="Arial" w:cs="Arial"/>
                <w:sz w:val="24"/>
                <w:szCs w:val="24"/>
              </w:rPr>
              <w:t xml:space="preserve"> per CASSIOPEIA trial.</w:t>
            </w:r>
          </w:p>
        </w:tc>
        <w:tc>
          <w:tcPr>
            <w:tcW w:w="1368" w:type="dxa"/>
          </w:tcPr>
          <w:p w14:paraId="0319F98D" w14:textId="77777777" w:rsidR="001506C1" w:rsidRPr="00FA3F9C" w:rsidRDefault="001506C1" w:rsidP="006F623F">
            <w:pPr>
              <w:rPr>
                <w:rFonts w:ascii="Arial" w:hAnsi="Arial" w:cs="Arial"/>
                <w:sz w:val="24"/>
                <w:szCs w:val="24"/>
              </w:rPr>
            </w:pPr>
            <w:r w:rsidRPr="00FA3F9C">
              <w:rPr>
                <w:rFonts w:ascii="Arial" w:hAnsi="Arial" w:cs="Arial"/>
                <w:sz w:val="24"/>
                <w:szCs w:val="24"/>
              </w:rPr>
              <w:t>SK</w:t>
            </w:r>
          </w:p>
        </w:tc>
      </w:tr>
      <w:tr w:rsidR="001506C1" w:rsidRPr="00FA3F9C" w14:paraId="2734738A" w14:textId="77777777" w:rsidTr="00047321">
        <w:tc>
          <w:tcPr>
            <w:tcW w:w="1008" w:type="dxa"/>
          </w:tcPr>
          <w:p w14:paraId="60457CA3" w14:textId="77777777" w:rsidR="001506C1" w:rsidRPr="00FA3F9C" w:rsidRDefault="001506C1" w:rsidP="006F623F">
            <w:pPr>
              <w:rPr>
                <w:rFonts w:ascii="Arial" w:hAnsi="Arial" w:cs="Arial"/>
                <w:sz w:val="24"/>
                <w:szCs w:val="24"/>
              </w:rPr>
            </w:pPr>
            <w:r w:rsidRPr="00FA3F9C">
              <w:rPr>
                <w:rFonts w:ascii="Arial" w:hAnsi="Arial" w:cs="Arial"/>
                <w:sz w:val="24"/>
                <w:szCs w:val="24"/>
              </w:rPr>
              <w:t>4/27/2020</w:t>
            </w:r>
          </w:p>
        </w:tc>
        <w:tc>
          <w:tcPr>
            <w:tcW w:w="8640" w:type="dxa"/>
          </w:tcPr>
          <w:p w14:paraId="64CB6F60" w14:textId="77777777" w:rsidR="001506C1" w:rsidRPr="00FA3F9C" w:rsidRDefault="001506C1" w:rsidP="004803EA">
            <w:pPr>
              <w:rPr>
                <w:rFonts w:ascii="Arial" w:hAnsi="Arial" w:cs="Arial"/>
                <w:sz w:val="24"/>
                <w:szCs w:val="24"/>
              </w:rPr>
            </w:pPr>
            <w:r w:rsidRPr="00FA3F9C">
              <w:rPr>
                <w:rFonts w:ascii="Arial" w:hAnsi="Arial" w:cs="Arial"/>
                <w:sz w:val="24"/>
                <w:szCs w:val="24"/>
              </w:rPr>
              <w:t>Criteria reviewed. Added coverage for D-VMP for newly diagnosed, transplant ineligible patients. Correct typo in relapsed/refractory criteria.</w:t>
            </w:r>
          </w:p>
        </w:tc>
        <w:tc>
          <w:tcPr>
            <w:tcW w:w="1368" w:type="dxa"/>
          </w:tcPr>
          <w:p w14:paraId="6B7CA0DF" w14:textId="77777777" w:rsidR="001506C1" w:rsidRPr="00FA3F9C" w:rsidRDefault="001506C1" w:rsidP="006F623F">
            <w:pPr>
              <w:rPr>
                <w:rFonts w:ascii="Arial" w:hAnsi="Arial" w:cs="Arial"/>
                <w:sz w:val="24"/>
                <w:szCs w:val="24"/>
              </w:rPr>
            </w:pPr>
            <w:r w:rsidRPr="00FA3F9C">
              <w:rPr>
                <w:rFonts w:ascii="Arial" w:hAnsi="Arial" w:cs="Arial"/>
                <w:sz w:val="24"/>
                <w:szCs w:val="24"/>
              </w:rPr>
              <w:t>SK</w:t>
            </w:r>
          </w:p>
        </w:tc>
      </w:tr>
      <w:tr w:rsidR="001506C1" w:rsidRPr="00FA3F9C" w14:paraId="455F8F33" w14:textId="77777777" w:rsidTr="00047321">
        <w:tc>
          <w:tcPr>
            <w:tcW w:w="1008" w:type="dxa"/>
          </w:tcPr>
          <w:p w14:paraId="22413799" w14:textId="77777777" w:rsidR="001506C1" w:rsidRPr="00FA3F9C" w:rsidRDefault="001506C1" w:rsidP="006F623F">
            <w:pPr>
              <w:rPr>
                <w:rFonts w:ascii="Arial" w:hAnsi="Arial" w:cs="Arial"/>
                <w:sz w:val="24"/>
                <w:szCs w:val="24"/>
              </w:rPr>
            </w:pPr>
            <w:r w:rsidRPr="00FA3F9C">
              <w:rPr>
                <w:rFonts w:ascii="Arial" w:hAnsi="Arial" w:cs="Arial"/>
                <w:sz w:val="24"/>
                <w:szCs w:val="24"/>
              </w:rPr>
              <w:t>11/19/2020</w:t>
            </w:r>
          </w:p>
        </w:tc>
        <w:tc>
          <w:tcPr>
            <w:tcW w:w="8640" w:type="dxa"/>
          </w:tcPr>
          <w:p w14:paraId="3AFEA07B" w14:textId="77777777" w:rsidR="001506C1" w:rsidRPr="00FA3F9C" w:rsidRDefault="001506C1" w:rsidP="004803EA">
            <w:pPr>
              <w:rPr>
                <w:rFonts w:ascii="Arial" w:hAnsi="Arial" w:cs="Arial"/>
                <w:sz w:val="24"/>
                <w:szCs w:val="24"/>
              </w:rPr>
            </w:pPr>
            <w:r w:rsidRPr="00FA3F9C">
              <w:rPr>
                <w:rFonts w:ascii="Arial" w:hAnsi="Arial" w:cs="Arial"/>
                <w:sz w:val="24"/>
                <w:szCs w:val="24"/>
              </w:rPr>
              <w:t>Document new indication for treatment of relapsed multiple myeloma (</w:t>
            </w:r>
            <w:proofErr w:type="spellStart"/>
            <w:r w:rsidRPr="00FA3F9C">
              <w:rPr>
                <w:rFonts w:ascii="Arial" w:hAnsi="Arial" w:cs="Arial"/>
                <w:sz w:val="24"/>
                <w:szCs w:val="24"/>
              </w:rPr>
              <w:t>daratumumab+carfilzomib+dexamethasone</w:t>
            </w:r>
            <w:proofErr w:type="spellEnd"/>
            <w:r w:rsidRPr="00FA3F9C">
              <w:rPr>
                <w:rFonts w:ascii="Arial" w:hAnsi="Arial" w:cs="Arial"/>
                <w:sz w:val="24"/>
                <w:szCs w:val="24"/>
              </w:rPr>
              <w:t xml:space="preserve">). This combination was compared to </w:t>
            </w:r>
            <w:proofErr w:type="spellStart"/>
            <w:r w:rsidRPr="00FA3F9C">
              <w:rPr>
                <w:rFonts w:ascii="Arial" w:hAnsi="Arial" w:cs="Arial"/>
                <w:sz w:val="24"/>
                <w:szCs w:val="24"/>
              </w:rPr>
              <w:t>carfilzomib+dex</w:t>
            </w:r>
            <w:proofErr w:type="spellEnd"/>
            <w:r w:rsidRPr="00FA3F9C">
              <w:rPr>
                <w:rFonts w:ascii="Arial" w:hAnsi="Arial" w:cs="Arial"/>
                <w:sz w:val="24"/>
                <w:szCs w:val="24"/>
              </w:rPr>
              <w:t xml:space="preserve"> and progression free survival is only benefit demonstrated to date (do not cover).</w:t>
            </w:r>
          </w:p>
        </w:tc>
        <w:tc>
          <w:tcPr>
            <w:tcW w:w="1368" w:type="dxa"/>
          </w:tcPr>
          <w:p w14:paraId="555F557D" w14:textId="77777777" w:rsidR="001506C1" w:rsidRPr="00FA3F9C" w:rsidRDefault="001506C1" w:rsidP="006F623F">
            <w:pPr>
              <w:rPr>
                <w:rFonts w:ascii="Arial" w:hAnsi="Arial" w:cs="Arial"/>
                <w:sz w:val="24"/>
                <w:szCs w:val="24"/>
              </w:rPr>
            </w:pPr>
            <w:r w:rsidRPr="00FA3F9C">
              <w:rPr>
                <w:rFonts w:ascii="Arial" w:hAnsi="Arial" w:cs="Arial"/>
                <w:sz w:val="24"/>
                <w:szCs w:val="24"/>
              </w:rPr>
              <w:t>SK</w:t>
            </w:r>
          </w:p>
        </w:tc>
      </w:tr>
      <w:tr w:rsidR="001506C1" w:rsidRPr="00FA3F9C" w14:paraId="33157E91" w14:textId="77777777" w:rsidTr="00047321">
        <w:tc>
          <w:tcPr>
            <w:tcW w:w="1008" w:type="dxa"/>
          </w:tcPr>
          <w:p w14:paraId="7E057BDA" w14:textId="77777777" w:rsidR="001506C1" w:rsidRPr="00FA3F9C" w:rsidRDefault="001506C1" w:rsidP="009633B7">
            <w:pPr>
              <w:rPr>
                <w:rFonts w:ascii="Arial" w:hAnsi="Arial" w:cs="Arial"/>
                <w:sz w:val="24"/>
                <w:szCs w:val="24"/>
              </w:rPr>
            </w:pPr>
            <w:r w:rsidRPr="00FA3F9C">
              <w:rPr>
                <w:rFonts w:ascii="Arial" w:hAnsi="Arial" w:cs="Arial"/>
                <w:sz w:val="24"/>
                <w:szCs w:val="24"/>
              </w:rPr>
              <w:t>1/19/2021</w:t>
            </w:r>
          </w:p>
        </w:tc>
        <w:tc>
          <w:tcPr>
            <w:tcW w:w="8640" w:type="dxa"/>
          </w:tcPr>
          <w:p w14:paraId="336D62B7" w14:textId="77777777" w:rsidR="001506C1" w:rsidRPr="00FA3F9C" w:rsidRDefault="001506C1" w:rsidP="009633B7">
            <w:pPr>
              <w:rPr>
                <w:rFonts w:ascii="Arial" w:hAnsi="Arial" w:cs="Arial"/>
                <w:sz w:val="24"/>
                <w:szCs w:val="24"/>
              </w:rPr>
            </w:pPr>
            <w:r w:rsidRPr="00FA3F9C">
              <w:rPr>
                <w:rFonts w:ascii="Arial" w:hAnsi="Arial" w:cs="Arial"/>
                <w:sz w:val="24"/>
                <w:szCs w:val="24"/>
              </w:rPr>
              <w:t>Criteria review. No changes. Added several references with updated data.</w:t>
            </w:r>
          </w:p>
        </w:tc>
        <w:tc>
          <w:tcPr>
            <w:tcW w:w="1368" w:type="dxa"/>
          </w:tcPr>
          <w:p w14:paraId="0670DE86" w14:textId="77777777" w:rsidR="001506C1" w:rsidRPr="00FA3F9C" w:rsidRDefault="001506C1" w:rsidP="009633B7">
            <w:pPr>
              <w:rPr>
                <w:rFonts w:ascii="Arial" w:hAnsi="Arial" w:cs="Arial"/>
                <w:sz w:val="24"/>
                <w:szCs w:val="24"/>
              </w:rPr>
            </w:pPr>
            <w:r w:rsidRPr="00FA3F9C">
              <w:rPr>
                <w:rFonts w:ascii="Arial" w:hAnsi="Arial" w:cs="Arial"/>
                <w:sz w:val="24"/>
                <w:szCs w:val="24"/>
              </w:rPr>
              <w:t>SK</w:t>
            </w:r>
          </w:p>
        </w:tc>
      </w:tr>
      <w:tr w:rsidR="001506C1" w:rsidRPr="00FA3F9C" w14:paraId="38BD932A" w14:textId="77777777" w:rsidTr="00047321">
        <w:tc>
          <w:tcPr>
            <w:tcW w:w="1008" w:type="dxa"/>
          </w:tcPr>
          <w:p w14:paraId="5AA549E1" w14:textId="77777777" w:rsidR="001506C1" w:rsidRPr="00FA3F9C" w:rsidRDefault="001506C1" w:rsidP="005D112A">
            <w:pPr>
              <w:rPr>
                <w:rFonts w:ascii="Arial" w:hAnsi="Arial" w:cs="Arial"/>
                <w:sz w:val="24"/>
                <w:szCs w:val="24"/>
              </w:rPr>
            </w:pPr>
            <w:r w:rsidRPr="00FA3F9C">
              <w:rPr>
                <w:rFonts w:ascii="Arial" w:hAnsi="Arial" w:cs="Arial"/>
                <w:sz w:val="24"/>
                <w:szCs w:val="24"/>
              </w:rPr>
              <w:t>3/19/2021</w:t>
            </w:r>
          </w:p>
        </w:tc>
        <w:tc>
          <w:tcPr>
            <w:tcW w:w="8640" w:type="dxa"/>
          </w:tcPr>
          <w:p w14:paraId="12102857" w14:textId="77777777" w:rsidR="001506C1" w:rsidRPr="00FA3F9C" w:rsidRDefault="001506C1" w:rsidP="005D112A">
            <w:pPr>
              <w:rPr>
                <w:rFonts w:ascii="Arial" w:hAnsi="Arial" w:cs="Arial"/>
                <w:sz w:val="24"/>
                <w:szCs w:val="24"/>
              </w:rPr>
            </w:pPr>
            <w:r w:rsidRPr="00FA3F9C">
              <w:rPr>
                <w:rFonts w:ascii="Arial" w:hAnsi="Arial" w:cs="Arial"/>
                <w:sz w:val="24"/>
                <w:szCs w:val="24"/>
              </w:rPr>
              <w:t xml:space="preserve">Updated to include </w:t>
            </w:r>
            <w:proofErr w:type="spellStart"/>
            <w:r w:rsidRPr="00FA3F9C">
              <w:rPr>
                <w:rFonts w:ascii="Arial" w:hAnsi="Arial" w:cs="Arial"/>
                <w:sz w:val="24"/>
                <w:szCs w:val="24"/>
              </w:rPr>
              <w:t>Darzalex</w:t>
            </w:r>
            <w:proofErr w:type="spellEnd"/>
            <w:r w:rsidRPr="00FA3F9C">
              <w:rPr>
                <w:rFonts w:ascii="Arial" w:hAnsi="Arial" w:cs="Arial"/>
                <w:sz w:val="24"/>
                <w:szCs w:val="24"/>
              </w:rPr>
              <w:t xml:space="preserve"> </w:t>
            </w:r>
            <w:proofErr w:type="spellStart"/>
            <w:r w:rsidRPr="00FA3F9C">
              <w:rPr>
                <w:rFonts w:ascii="Arial" w:hAnsi="Arial" w:cs="Arial"/>
                <w:sz w:val="24"/>
                <w:szCs w:val="24"/>
              </w:rPr>
              <w:t>Faspro</w:t>
            </w:r>
            <w:proofErr w:type="spellEnd"/>
            <w:r w:rsidRPr="00FA3F9C">
              <w:rPr>
                <w:rFonts w:ascii="Arial" w:hAnsi="Arial" w:cs="Arial"/>
                <w:sz w:val="24"/>
                <w:szCs w:val="24"/>
              </w:rPr>
              <w:t xml:space="preserve"> per 3/2021 P&amp;T meeting. </w:t>
            </w:r>
          </w:p>
        </w:tc>
        <w:tc>
          <w:tcPr>
            <w:tcW w:w="1368" w:type="dxa"/>
          </w:tcPr>
          <w:p w14:paraId="10E83ECA" w14:textId="77777777" w:rsidR="001506C1" w:rsidRPr="00FA3F9C" w:rsidRDefault="001506C1" w:rsidP="009633B7">
            <w:pPr>
              <w:rPr>
                <w:rFonts w:ascii="Arial" w:hAnsi="Arial" w:cs="Arial"/>
                <w:sz w:val="24"/>
                <w:szCs w:val="24"/>
              </w:rPr>
            </w:pPr>
            <w:r w:rsidRPr="00FA3F9C">
              <w:rPr>
                <w:rFonts w:ascii="Arial" w:hAnsi="Arial" w:cs="Arial"/>
                <w:sz w:val="24"/>
                <w:szCs w:val="24"/>
              </w:rPr>
              <w:t>SK</w:t>
            </w:r>
          </w:p>
        </w:tc>
      </w:tr>
      <w:tr w:rsidR="001506C1" w:rsidRPr="00FA3F9C" w14:paraId="1ED76162" w14:textId="77777777" w:rsidTr="00047321">
        <w:tc>
          <w:tcPr>
            <w:tcW w:w="1008" w:type="dxa"/>
          </w:tcPr>
          <w:p w14:paraId="5BC38C8C" w14:textId="77777777" w:rsidR="001506C1" w:rsidRPr="00FA3F9C" w:rsidRDefault="001506C1" w:rsidP="005D112A">
            <w:pPr>
              <w:rPr>
                <w:rFonts w:ascii="Arial" w:hAnsi="Arial" w:cs="Arial"/>
                <w:sz w:val="24"/>
                <w:szCs w:val="24"/>
              </w:rPr>
            </w:pPr>
            <w:r w:rsidRPr="00FA3F9C">
              <w:rPr>
                <w:rFonts w:ascii="Arial" w:hAnsi="Arial" w:cs="Arial"/>
                <w:sz w:val="24"/>
                <w:szCs w:val="24"/>
              </w:rPr>
              <w:t>7/26/2021</w:t>
            </w:r>
          </w:p>
        </w:tc>
        <w:tc>
          <w:tcPr>
            <w:tcW w:w="8640" w:type="dxa"/>
          </w:tcPr>
          <w:p w14:paraId="77F3ABFA" w14:textId="77777777" w:rsidR="001506C1" w:rsidRPr="00FA3F9C" w:rsidRDefault="001506C1" w:rsidP="005D112A">
            <w:pPr>
              <w:rPr>
                <w:rFonts w:ascii="Arial" w:hAnsi="Arial" w:cs="Arial"/>
                <w:sz w:val="24"/>
                <w:szCs w:val="24"/>
              </w:rPr>
            </w:pPr>
            <w:r w:rsidRPr="00FA3F9C">
              <w:rPr>
                <w:rFonts w:ascii="Arial" w:hAnsi="Arial" w:cs="Arial"/>
                <w:sz w:val="24"/>
                <w:szCs w:val="24"/>
              </w:rPr>
              <w:t xml:space="preserve">Added new indication for </w:t>
            </w:r>
            <w:proofErr w:type="spellStart"/>
            <w:r w:rsidRPr="00FA3F9C">
              <w:rPr>
                <w:rFonts w:ascii="Arial" w:hAnsi="Arial" w:cs="Arial"/>
                <w:sz w:val="24"/>
                <w:szCs w:val="24"/>
              </w:rPr>
              <w:t>Faspro</w:t>
            </w:r>
            <w:proofErr w:type="spellEnd"/>
            <w:r w:rsidRPr="00FA3F9C">
              <w:rPr>
                <w:rFonts w:ascii="Arial" w:hAnsi="Arial" w:cs="Arial"/>
                <w:sz w:val="24"/>
                <w:szCs w:val="24"/>
              </w:rPr>
              <w:t xml:space="preserve"> (relapsed/refractory myeloma in combination with pom/</w:t>
            </w:r>
            <w:proofErr w:type="spellStart"/>
            <w:r w:rsidRPr="00FA3F9C">
              <w:rPr>
                <w:rFonts w:ascii="Arial" w:hAnsi="Arial" w:cs="Arial"/>
                <w:sz w:val="24"/>
                <w:szCs w:val="24"/>
              </w:rPr>
              <w:t>dex</w:t>
            </w:r>
            <w:proofErr w:type="spellEnd"/>
            <w:r w:rsidRPr="00FA3F9C">
              <w:rPr>
                <w:rFonts w:ascii="Arial" w:hAnsi="Arial" w:cs="Arial"/>
                <w:sz w:val="24"/>
                <w:szCs w:val="24"/>
              </w:rPr>
              <w:t>)—PFS data only. Do not cover.</w:t>
            </w:r>
          </w:p>
        </w:tc>
        <w:tc>
          <w:tcPr>
            <w:tcW w:w="1368" w:type="dxa"/>
          </w:tcPr>
          <w:p w14:paraId="5A197CD8" w14:textId="77777777" w:rsidR="001506C1" w:rsidRPr="00FA3F9C" w:rsidRDefault="001506C1" w:rsidP="009633B7">
            <w:pPr>
              <w:rPr>
                <w:rFonts w:ascii="Arial" w:hAnsi="Arial" w:cs="Arial"/>
                <w:sz w:val="24"/>
                <w:szCs w:val="24"/>
              </w:rPr>
            </w:pPr>
            <w:r w:rsidRPr="00FA3F9C">
              <w:rPr>
                <w:rFonts w:ascii="Arial" w:hAnsi="Arial" w:cs="Arial"/>
                <w:sz w:val="24"/>
                <w:szCs w:val="24"/>
              </w:rPr>
              <w:t>SK</w:t>
            </w:r>
          </w:p>
        </w:tc>
      </w:tr>
      <w:tr w:rsidR="001506C1" w:rsidRPr="00FA3F9C" w14:paraId="0FB5475E" w14:textId="77777777" w:rsidTr="00047321">
        <w:tc>
          <w:tcPr>
            <w:tcW w:w="1008" w:type="dxa"/>
          </w:tcPr>
          <w:p w14:paraId="47BFAA31" w14:textId="77777777" w:rsidR="001506C1" w:rsidRPr="00FA3F9C" w:rsidRDefault="001506C1" w:rsidP="005D112A">
            <w:pPr>
              <w:rPr>
                <w:rFonts w:ascii="Arial" w:hAnsi="Arial" w:cs="Arial"/>
                <w:sz w:val="24"/>
                <w:szCs w:val="24"/>
              </w:rPr>
            </w:pPr>
            <w:r w:rsidRPr="00FA3F9C">
              <w:rPr>
                <w:rFonts w:ascii="Arial" w:hAnsi="Arial" w:cs="Arial"/>
                <w:sz w:val="24"/>
                <w:szCs w:val="24"/>
              </w:rPr>
              <w:t>10/12/2021</w:t>
            </w:r>
          </w:p>
        </w:tc>
        <w:tc>
          <w:tcPr>
            <w:tcW w:w="8640" w:type="dxa"/>
          </w:tcPr>
          <w:p w14:paraId="1EF0FF7B" w14:textId="77777777" w:rsidR="001506C1" w:rsidRPr="00FA3F9C" w:rsidRDefault="001506C1" w:rsidP="005D112A">
            <w:pPr>
              <w:rPr>
                <w:rFonts w:ascii="Arial" w:hAnsi="Arial" w:cs="Arial"/>
                <w:sz w:val="24"/>
                <w:szCs w:val="24"/>
              </w:rPr>
            </w:pPr>
            <w:r w:rsidRPr="00FA3F9C">
              <w:rPr>
                <w:rFonts w:ascii="Arial" w:hAnsi="Arial" w:cs="Arial"/>
                <w:sz w:val="24"/>
                <w:szCs w:val="24"/>
              </w:rPr>
              <w:t xml:space="preserve">Added new reference (APOLLO) trial for </w:t>
            </w:r>
            <w:proofErr w:type="spellStart"/>
            <w:r w:rsidRPr="00FA3F9C">
              <w:rPr>
                <w:rFonts w:ascii="Arial" w:hAnsi="Arial" w:cs="Arial"/>
                <w:sz w:val="24"/>
                <w:szCs w:val="24"/>
              </w:rPr>
              <w:t>dara</w:t>
            </w:r>
            <w:proofErr w:type="spellEnd"/>
            <w:r w:rsidRPr="00FA3F9C">
              <w:rPr>
                <w:rFonts w:ascii="Arial" w:hAnsi="Arial" w:cs="Arial"/>
                <w:sz w:val="24"/>
                <w:szCs w:val="24"/>
              </w:rPr>
              <w:t>/pom/</w:t>
            </w:r>
            <w:proofErr w:type="spellStart"/>
            <w:r w:rsidRPr="00FA3F9C">
              <w:rPr>
                <w:rFonts w:ascii="Arial" w:hAnsi="Arial" w:cs="Arial"/>
                <w:sz w:val="24"/>
                <w:szCs w:val="24"/>
              </w:rPr>
              <w:t>dex</w:t>
            </w:r>
            <w:proofErr w:type="spellEnd"/>
            <w:r w:rsidRPr="00FA3F9C">
              <w:rPr>
                <w:rFonts w:ascii="Arial" w:hAnsi="Arial" w:cs="Arial"/>
                <w:sz w:val="24"/>
                <w:szCs w:val="24"/>
              </w:rPr>
              <w:t xml:space="preserve"> indication. No change in criteria. </w:t>
            </w:r>
          </w:p>
        </w:tc>
        <w:tc>
          <w:tcPr>
            <w:tcW w:w="1368" w:type="dxa"/>
          </w:tcPr>
          <w:p w14:paraId="1E85D7D2" w14:textId="77777777" w:rsidR="001506C1" w:rsidRPr="00FA3F9C" w:rsidRDefault="001506C1" w:rsidP="009633B7">
            <w:pPr>
              <w:rPr>
                <w:rFonts w:ascii="Arial" w:hAnsi="Arial" w:cs="Arial"/>
                <w:sz w:val="24"/>
                <w:szCs w:val="24"/>
              </w:rPr>
            </w:pPr>
            <w:r w:rsidRPr="00FA3F9C">
              <w:rPr>
                <w:rFonts w:ascii="Arial" w:hAnsi="Arial" w:cs="Arial"/>
                <w:sz w:val="24"/>
                <w:szCs w:val="24"/>
              </w:rPr>
              <w:t>SK</w:t>
            </w:r>
          </w:p>
        </w:tc>
      </w:tr>
    </w:tbl>
    <w:p w14:paraId="387F9DD7" w14:textId="77777777" w:rsidR="001506C1" w:rsidRPr="00FA3F9C" w:rsidRDefault="001506C1" w:rsidP="006F623F">
      <w:pPr>
        <w:spacing w:after="0"/>
        <w:rPr>
          <w:rFonts w:ascii="Arial" w:hAnsi="Arial" w:cs="Arial"/>
          <w:sz w:val="24"/>
          <w:szCs w:val="24"/>
        </w:rPr>
      </w:pPr>
    </w:p>
    <w:p w14:paraId="47CB4056" w14:textId="77777777" w:rsidR="003B40CD" w:rsidRDefault="001506C1" w:rsidP="003B40CD">
      <w:pPr>
        <w:pStyle w:val="Heading2"/>
      </w:pPr>
      <w:bookmarkStart w:id="66" w:name="_Toc106369762"/>
      <w:proofErr w:type="spellStart"/>
      <w:r w:rsidRPr="00FA3F9C">
        <w:t>Darolutamide</w:t>
      </w:r>
      <w:proofErr w:type="spellEnd"/>
      <w:r w:rsidRPr="00FA3F9C">
        <w:t xml:space="preserve"> (</w:t>
      </w:r>
      <w:proofErr w:type="spellStart"/>
      <w:r w:rsidRPr="00FA3F9C">
        <w:t>Nubeqa</w:t>
      </w:r>
      <w:proofErr w:type="spellEnd"/>
      <w:r w:rsidRPr="00FA3F9C">
        <w:t>)</w:t>
      </w:r>
      <w:bookmarkEnd w:id="66"/>
      <w:r w:rsidRPr="00FA3F9C">
        <w:t xml:space="preserve"> </w:t>
      </w:r>
    </w:p>
    <w:p w14:paraId="202D3622" w14:textId="5FB542A9" w:rsidR="001506C1" w:rsidRPr="00FA3F9C" w:rsidRDefault="001506C1" w:rsidP="006F623F">
      <w:pPr>
        <w:spacing w:after="0"/>
        <w:jc w:val="center"/>
        <w:rPr>
          <w:rFonts w:ascii="Arial" w:hAnsi="Arial" w:cs="Arial"/>
          <w:sz w:val="24"/>
          <w:szCs w:val="24"/>
        </w:rPr>
      </w:pPr>
      <w:r w:rsidRPr="00FA3F9C">
        <w:rPr>
          <w:rFonts w:ascii="Arial" w:hAnsi="Arial" w:cs="Arial"/>
          <w:sz w:val="24"/>
          <w:szCs w:val="24"/>
        </w:rPr>
        <w:t>300 mg tablets</w:t>
      </w:r>
    </w:p>
    <w:p w14:paraId="01827C7D" w14:textId="77777777" w:rsidR="001506C1" w:rsidRPr="00FA3F9C" w:rsidRDefault="001506C1" w:rsidP="006F623F">
      <w:pPr>
        <w:spacing w:after="0"/>
        <w:jc w:val="center"/>
        <w:rPr>
          <w:rFonts w:ascii="Arial" w:hAnsi="Arial" w:cs="Arial"/>
          <w:sz w:val="24"/>
          <w:szCs w:val="24"/>
        </w:rPr>
      </w:pPr>
      <w:r w:rsidRPr="00FA3F9C">
        <w:rPr>
          <w:rFonts w:ascii="Arial" w:hAnsi="Arial" w:cs="Arial"/>
          <w:sz w:val="24"/>
          <w:szCs w:val="24"/>
        </w:rPr>
        <w:t>EBRx PA Criteria</w:t>
      </w:r>
    </w:p>
    <w:p w14:paraId="05EE7B7D" w14:textId="77777777" w:rsidR="001506C1" w:rsidRPr="00FA3F9C" w:rsidRDefault="001506C1" w:rsidP="006F623F">
      <w:pPr>
        <w:spacing w:after="0"/>
        <w:rPr>
          <w:rFonts w:ascii="Arial" w:hAnsi="Arial" w:cs="Arial"/>
          <w:b/>
          <w:sz w:val="24"/>
          <w:szCs w:val="24"/>
          <w:u w:val="single"/>
        </w:rPr>
      </w:pPr>
    </w:p>
    <w:p w14:paraId="2904271B" w14:textId="77777777" w:rsidR="001506C1" w:rsidRPr="00FA3F9C" w:rsidRDefault="001506C1"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w:t>
      </w:r>
    </w:p>
    <w:p w14:paraId="1F5CFABB" w14:textId="77777777" w:rsidR="001506C1" w:rsidRPr="00FA3F9C" w:rsidRDefault="001506C1" w:rsidP="00C97167">
      <w:pPr>
        <w:spacing w:after="0"/>
        <w:rPr>
          <w:rFonts w:ascii="Arial" w:hAnsi="Arial" w:cs="Arial"/>
          <w:sz w:val="24"/>
          <w:szCs w:val="24"/>
        </w:rPr>
      </w:pPr>
      <w:r w:rsidRPr="00FA3F9C">
        <w:rPr>
          <w:rFonts w:ascii="Arial" w:hAnsi="Arial" w:cs="Arial"/>
          <w:sz w:val="24"/>
          <w:szCs w:val="24"/>
        </w:rPr>
        <w:t>Non-metastatic castration-resistant prostate cancer (</w:t>
      </w:r>
      <w:proofErr w:type="spellStart"/>
      <w:r w:rsidRPr="00FA3F9C">
        <w:rPr>
          <w:rFonts w:ascii="Arial" w:hAnsi="Arial" w:cs="Arial"/>
          <w:sz w:val="24"/>
          <w:szCs w:val="24"/>
        </w:rPr>
        <w:t>nmCRPC</w:t>
      </w:r>
      <w:proofErr w:type="spellEnd"/>
      <w:r w:rsidRPr="00FA3F9C">
        <w:rPr>
          <w:rFonts w:ascii="Arial" w:hAnsi="Arial" w:cs="Arial"/>
          <w:sz w:val="24"/>
          <w:szCs w:val="24"/>
        </w:rPr>
        <w:t>)</w:t>
      </w:r>
    </w:p>
    <w:p w14:paraId="4D0B89CC" w14:textId="77777777" w:rsidR="001506C1" w:rsidRPr="00FA3F9C" w:rsidRDefault="001506C1" w:rsidP="00C97167">
      <w:pPr>
        <w:spacing w:after="0"/>
        <w:rPr>
          <w:rFonts w:ascii="Arial" w:hAnsi="Arial" w:cs="Arial"/>
          <w:sz w:val="24"/>
          <w:szCs w:val="24"/>
        </w:rPr>
      </w:pPr>
    </w:p>
    <w:p w14:paraId="4EB23F99" w14:textId="77777777" w:rsidR="001506C1" w:rsidRPr="00FA3F9C" w:rsidRDefault="001506C1" w:rsidP="00C97167">
      <w:pPr>
        <w:spacing w:after="0"/>
        <w:rPr>
          <w:rFonts w:ascii="Arial" w:hAnsi="Arial" w:cs="Arial"/>
          <w:sz w:val="24"/>
          <w:szCs w:val="24"/>
        </w:rPr>
      </w:pPr>
      <w:r w:rsidRPr="00FA3F9C">
        <w:rPr>
          <w:rFonts w:ascii="Arial" w:hAnsi="Arial" w:cs="Arial"/>
          <w:sz w:val="24"/>
          <w:szCs w:val="24"/>
        </w:rPr>
        <w:t xml:space="preserve">Note: CRPC is defined as progression of disease (rising PSA or increase in tumor size on imaging) when testosterone level is &lt;50 ng/dl. </w:t>
      </w:r>
    </w:p>
    <w:p w14:paraId="273EA2B5" w14:textId="77777777" w:rsidR="001506C1" w:rsidRPr="00FA3F9C" w:rsidRDefault="001506C1" w:rsidP="00C97167">
      <w:pPr>
        <w:spacing w:after="0"/>
        <w:rPr>
          <w:rFonts w:ascii="Arial" w:hAnsi="Arial" w:cs="Arial"/>
          <w:sz w:val="24"/>
          <w:szCs w:val="24"/>
        </w:rPr>
      </w:pPr>
    </w:p>
    <w:tbl>
      <w:tblPr>
        <w:tblStyle w:val="TableGrid"/>
        <w:tblW w:w="0" w:type="auto"/>
        <w:tblLook w:val="04A0" w:firstRow="1" w:lastRow="0" w:firstColumn="1" w:lastColumn="0" w:noHBand="0" w:noVBand="1"/>
      </w:tblPr>
      <w:tblGrid>
        <w:gridCol w:w="8928"/>
        <w:gridCol w:w="2088"/>
      </w:tblGrid>
      <w:tr w:rsidR="001506C1" w:rsidRPr="00FA3F9C" w14:paraId="42DAAAD3" w14:textId="77777777" w:rsidTr="00571CAB">
        <w:tc>
          <w:tcPr>
            <w:tcW w:w="8928" w:type="dxa"/>
            <w:shd w:val="clear" w:color="auto" w:fill="000000"/>
          </w:tcPr>
          <w:p w14:paraId="28F4B03A" w14:textId="77777777" w:rsidR="001506C1" w:rsidRPr="00FA3F9C" w:rsidRDefault="001506C1"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88" w:type="dxa"/>
            <w:shd w:val="clear" w:color="auto" w:fill="000000"/>
          </w:tcPr>
          <w:p w14:paraId="4E197CEF" w14:textId="77777777" w:rsidR="001506C1" w:rsidRPr="00FA3F9C" w:rsidRDefault="001506C1" w:rsidP="006F623F">
            <w:pPr>
              <w:jc w:val="center"/>
              <w:rPr>
                <w:rFonts w:ascii="Arial" w:hAnsi="Arial" w:cs="Arial"/>
                <w:b/>
                <w:sz w:val="24"/>
                <w:szCs w:val="24"/>
                <w:u w:val="single"/>
              </w:rPr>
            </w:pPr>
          </w:p>
        </w:tc>
      </w:tr>
      <w:tr w:rsidR="001506C1" w:rsidRPr="00FA3F9C" w14:paraId="57CA1FA0" w14:textId="77777777" w:rsidTr="00F337AE">
        <w:tc>
          <w:tcPr>
            <w:tcW w:w="11016" w:type="dxa"/>
            <w:gridSpan w:val="2"/>
          </w:tcPr>
          <w:p w14:paraId="59D83DDD" w14:textId="77777777" w:rsidR="001506C1" w:rsidRPr="00FA3F9C" w:rsidRDefault="001506C1" w:rsidP="00C97167">
            <w:pPr>
              <w:rPr>
                <w:rFonts w:ascii="Arial" w:hAnsi="Arial" w:cs="Arial"/>
                <w:sz w:val="24"/>
                <w:szCs w:val="24"/>
              </w:rPr>
            </w:pPr>
            <w:r w:rsidRPr="00FA3F9C">
              <w:rPr>
                <w:rFonts w:ascii="Arial" w:hAnsi="Arial" w:cs="Arial"/>
                <w:sz w:val="24"/>
                <w:szCs w:val="24"/>
              </w:rPr>
              <w:t>1. Diagnosis of castration-resistant prostate cancer without evidence of metastatic disease</w:t>
            </w:r>
          </w:p>
        </w:tc>
      </w:tr>
      <w:tr w:rsidR="001506C1" w:rsidRPr="00FA3F9C" w14:paraId="375CE930" w14:textId="77777777" w:rsidTr="00B1617E">
        <w:tc>
          <w:tcPr>
            <w:tcW w:w="11016" w:type="dxa"/>
            <w:gridSpan w:val="2"/>
          </w:tcPr>
          <w:p w14:paraId="002C1CE3" w14:textId="77777777" w:rsidR="001506C1" w:rsidRPr="00FA3F9C" w:rsidRDefault="001506C1" w:rsidP="00C97167">
            <w:pPr>
              <w:rPr>
                <w:rFonts w:ascii="Arial" w:hAnsi="Arial" w:cs="Arial"/>
                <w:sz w:val="24"/>
                <w:szCs w:val="24"/>
              </w:rPr>
            </w:pPr>
            <w:r w:rsidRPr="00FA3F9C">
              <w:rPr>
                <w:rFonts w:ascii="Arial" w:hAnsi="Arial" w:cs="Arial"/>
                <w:sz w:val="24"/>
                <w:szCs w:val="24"/>
              </w:rPr>
              <w:lastRenderedPageBreak/>
              <w:t>2. The patient has castrate level of testosterone (&lt;50 ng/dl)</w:t>
            </w:r>
          </w:p>
        </w:tc>
      </w:tr>
      <w:tr w:rsidR="001506C1" w:rsidRPr="00FA3F9C" w14:paraId="4F1C74D4" w14:textId="77777777" w:rsidTr="0010789D">
        <w:tc>
          <w:tcPr>
            <w:tcW w:w="11016" w:type="dxa"/>
            <w:gridSpan w:val="2"/>
          </w:tcPr>
          <w:p w14:paraId="026A9D2D" w14:textId="77777777" w:rsidR="001506C1" w:rsidRPr="00FA3F9C" w:rsidRDefault="001506C1" w:rsidP="00C97167">
            <w:pPr>
              <w:rPr>
                <w:rFonts w:ascii="Arial" w:hAnsi="Arial" w:cs="Arial"/>
                <w:sz w:val="24"/>
                <w:szCs w:val="24"/>
              </w:rPr>
            </w:pPr>
            <w:r w:rsidRPr="00FA3F9C">
              <w:rPr>
                <w:rFonts w:ascii="Arial" w:hAnsi="Arial" w:cs="Arial"/>
                <w:sz w:val="24"/>
                <w:szCs w:val="24"/>
              </w:rPr>
              <w:t>3. PSA doubling time is &lt;/= 10 months</w:t>
            </w:r>
          </w:p>
        </w:tc>
      </w:tr>
      <w:tr w:rsidR="001506C1" w:rsidRPr="00FA3F9C" w14:paraId="464AC34B" w14:textId="77777777" w:rsidTr="00DA57E0">
        <w:tc>
          <w:tcPr>
            <w:tcW w:w="11016" w:type="dxa"/>
            <w:gridSpan w:val="2"/>
          </w:tcPr>
          <w:p w14:paraId="11BACCAD" w14:textId="77777777" w:rsidR="001506C1" w:rsidRPr="00FA3F9C" w:rsidRDefault="001506C1" w:rsidP="00C97167">
            <w:pPr>
              <w:rPr>
                <w:rFonts w:ascii="Arial" w:hAnsi="Arial" w:cs="Arial"/>
                <w:sz w:val="24"/>
                <w:szCs w:val="24"/>
              </w:rPr>
            </w:pPr>
            <w:r w:rsidRPr="00FA3F9C">
              <w:rPr>
                <w:rFonts w:ascii="Arial" w:hAnsi="Arial" w:cs="Arial"/>
                <w:sz w:val="24"/>
                <w:szCs w:val="24"/>
              </w:rPr>
              <w:t>4. Minimum of three rising PSA values at an interval of at least 1 week apart</w:t>
            </w:r>
          </w:p>
        </w:tc>
      </w:tr>
      <w:tr w:rsidR="001506C1" w:rsidRPr="00FA3F9C" w14:paraId="640D28DF" w14:textId="77777777" w:rsidTr="00DA57E0">
        <w:tc>
          <w:tcPr>
            <w:tcW w:w="11016" w:type="dxa"/>
            <w:gridSpan w:val="2"/>
          </w:tcPr>
          <w:p w14:paraId="3D32E1CC" w14:textId="77777777" w:rsidR="001506C1" w:rsidRPr="00FA3F9C" w:rsidRDefault="001506C1" w:rsidP="00C97167">
            <w:pPr>
              <w:rPr>
                <w:rFonts w:ascii="Arial" w:hAnsi="Arial" w:cs="Arial"/>
                <w:sz w:val="24"/>
                <w:szCs w:val="24"/>
              </w:rPr>
            </w:pPr>
            <w:r w:rsidRPr="00FA3F9C">
              <w:rPr>
                <w:rFonts w:ascii="Arial" w:hAnsi="Arial" w:cs="Arial"/>
                <w:sz w:val="24"/>
                <w:szCs w:val="24"/>
              </w:rPr>
              <w:t>5. At time of first request, PSA is 2 ng/ml or greater</w:t>
            </w:r>
          </w:p>
        </w:tc>
      </w:tr>
      <w:tr w:rsidR="001506C1" w:rsidRPr="00FA3F9C" w14:paraId="796BB0C6" w14:textId="77777777" w:rsidTr="00DA57E0">
        <w:tc>
          <w:tcPr>
            <w:tcW w:w="11016" w:type="dxa"/>
            <w:gridSpan w:val="2"/>
          </w:tcPr>
          <w:p w14:paraId="67E5E414" w14:textId="77777777" w:rsidR="001506C1" w:rsidRPr="00FA3F9C" w:rsidRDefault="001506C1" w:rsidP="00C97167">
            <w:pPr>
              <w:rPr>
                <w:rFonts w:ascii="Arial" w:hAnsi="Arial" w:cs="Arial"/>
                <w:sz w:val="24"/>
                <w:szCs w:val="24"/>
              </w:rPr>
            </w:pPr>
            <w:r w:rsidRPr="00FA3F9C">
              <w:rPr>
                <w:rFonts w:ascii="Arial" w:hAnsi="Arial" w:cs="Arial"/>
                <w:b/>
                <w:sz w:val="24"/>
                <w:szCs w:val="24"/>
              </w:rPr>
              <w:t xml:space="preserve">If </w:t>
            </w:r>
            <w:proofErr w:type="gramStart"/>
            <w:r w:rsidRPr="00FA3F9C">
              <w:rPr>
                <w:rFonts w:ascii="Arial" w:hAnsi="Arial" w:cs="Arial"/>
                <w:b/>
                <w:sz w:val="24"/>
                <w:szCs w:val="24"/>
              </w:rPr>
              <w:t>all of</w:t>
            </w:r>
            <w:proofErr w:type="gramEnd"/>
            <w:r w:rsidRPr="00FA3F9C">
              <w:rPr>
                <w:rFonts w:ascii="Arial" w:hAnsi="Arial" w:cs="Arial"/>
                <w:b/>
                <w:sz w:val="24"/>
                <w:szCs w:val="24"/>
              </w:rPr>
              <w:t xml:space="preserve"> the above criteria are met, approve for 1 year</w:t>
            </w:r>
          </w:p>
        </w:tc>
      </w:tr>
      <w:tr w:rsidR="001506C1" w:rsidRPr="00FA3F9C" w14:paraId="32638FD7" w14:textId="77777777" w:rsidTr="003555E5">
        <w:trPr>
          <w:trHeight w:val="8945"/>
        </w:trPr>
        <w:tc>
          <w:tcPr>
            <w:tcW w:w="11016" w:type="dxa"/>
            <w:gridSpan w:val="2"/>
            <w:shd w:val="clear" w:color="auto" w:fill="BFBFBF" w:themeFill="background1" w:themeFillShade="BF"/>
          </w:tcPr>
          <w:p w14:paraId="33699025" w14:textId="77777777" w:rsidR="001506C1" w:rsidRPr="00FA3F9C" w:rsidRDefault="001506C1" w:rsidP="00C97167">
            <w:pPr>
              <w:rPr>
                <w:rFonts w:ascii="Arial" w:hAnsi="Arial" w:cs="Arial"/>
                <w:b/>
                <w:sz w:val="24"/>
                <w:szCs w:val="24"/>
              </w:rPr>
            </w:pPr>
            <w:r w:rsidRPr="00FA3F9C">
              <w:rPr>
                <w:rFonts w:ascii="Arial" w:hAnsi="Arial" w:cs="Arial"/>
                <w:b/>
                <w:sz w:val="24"/>
                <w:szCs w:val="24"/>
              </w:rPr>
              <w:lastRenderedPageBreak/>
              <w:t>Notes:</w:t>
            </w:r>
          </w:p>
          <w:p w14:paraId="73CBAACA" w14:textId="77777777" w:rsidR="001506C1" w:rsidRPr="00FA3F9C" w:rsidRDefault="001506C1" w:rsidP="00C97167">
            <w:pPr>
              <w:rPr>
                <w:rFonts w:ascii="Arial" w:hAnsi="Arial" w:cs="Arial"/>
                <w:sz w:val="24"/>
                <w:szCs w:val="24"/>
              </w:rPr>
            </w:pPr>
            <w:proofErr w:type="spellStart"/>
            <w:r w:rsidRPr="00FA3F9C">
              <w:rPr>
                <w:rFonts w:ascii="Arial" w:hAnsi="Arial" w:cs="Arial"/>
                <w:sz w:val="24"/>
                <w:szCs w:val="24"/>
              </w:rPr>
              <w:t>Darolutamide</w:t>
            </w:r>
            <w:proofErr w:type="spellEnd"/>
            <w:r w:rsidRPr="00FA3F9C">
              <w:rPr>
                <w:rFonts w:ascii="Arial" w:hAnsi="Arial" w:cs="Arial"/>
                <w:sz w:val="24"/>
                <w:szCs w:val="24"/>
              </w:rPr>
              <w:t xml:space="preserve"> was compared to placebo in men with castration resistant prostate cancer WITHOUT metastasis (n=1509). Time to development of metastasis or death was longer with apalutamide (40.4 </w:t>
            </w:r>
            <w:proofErr w:type="spellStart"/>
            <w:r w:rsidRPr="00FA3F9C">
              <w:rPr>
                <w:rFonts w:ascii="Arial" w:hAnsi="Arial" w:cs="Arial"/>
                <w:sz w:val="24"/>
                <w:szCs w:val="24"/>
              </w:rPr>
              <w:t>mo</w:t>
            </w:r>
            <w:proofErr w:type="spellEnd"/>
            <w:r w:rsidRPr="00FA3F9C">
              <w:rPr>
                <w:rFonts w:ascii="Arial" w:hAnsi="Arial" w:cs="Arial"/>
                <w:sz w:val="24"/>
                <w:szCs w:val="24"/>
              </w:rPr>
              <w:t xml:space="preserve">) compared with placebo (18.4 </w:t>
            </w:r>
            <w:proofErr w:type="spellStart"/>
            <w:r w:rsidRPr="00FA3F9C">
              <w:rPr>
                <w:rFonts w:ascii="Arial" w:hAnsi="Arial" w:cs="Arial"/>
                <w:sz w:val="24"/>
                <w:szCs w:val="24"/>
              </w:rPr>
              <w:t>mo</w:t>
            </w:r>
            <w:proofErr w:type="spellEnd"/>
            <w:r w:rsidRPr="00FA3F9C">
              <w:rPr>
                <w:rFonts w:ascii="Arial" w:hAnsi="Arial" w:cs="Arial"/>
                <w:sz w:val="24"/>
                <w:szCs w:val="24"/>
              </w:rPr>
              <w:t>).  This indication is also approved for enzalutamide and apalutamide. At the first interim overall survival analysis, overall survival appeared to be prolonged compared with placebo (HR 0.71, 95% CI 0.5-0.99) though authors cautioned that results are not mature.</w:t>
            </w:r>
            <w:r w:rsidRPr="00FA3F9C">
              <w:rPr>
                <w:rFonts w:ascii="Arial" w:hAnsi="Arial" w:cs="Arial"/>
                <w:sz w:val="24"/>
                <w:szCs w:val="24"/>
                <w:vertAlign w:val="superscript"/>
              </w:rPr>
              <w:t>1</w:t>
            </w:r>
            <w:r w:rsidRPr="00FA3F9C">
              <w:rPr>
                <w:rFonts w:ascii="Arial" w:hAnsi="Arial" w:cs="Arial"/>
                <w:sz w:val="24"/>
                <w:szCs w:val="24"/>
              </w:rPr>
              <w:t xml:space="preserve"> A subsequent analysis showed improved overall survival in the </w:t>
            </w:r>
            <w:proofErr w:type="spellStart"/>
            <w:r w:rsidRPr="00FA3F9C">
              <w:rPr>
                <w:rFonts w:ascii="Arial" w:hAnsi="Arial" w:cs="Arial"/>
                <w:sz w:val="24"/>
                <w:szCs w:val="24"/>
              </w:rPr>
              <w:t>darolutamide</w:t>
            </w:r>
            <w:proofErr w:type="spellEnd"/>
            <w:r w:rsidRPr="00FA3F9C">
              <w:rPr>
                <w:rFonts w:ascii="Arial" w:hAnsi="Arial" w:cs="Arial"/>
                <w:sz w:val="24"/>
                <w:szCs w:val="24"/>
              </w:rPr>
              <w:t xml:space="preserve"> group (medians not reached; HR 0.69; p=0.003). Improvement seen despite crossover of 170 placebo patients to darolutamide.</w:t>
            </w:r>
            <w:r w:rsidRPr="00FA3F9C">
              <w:rPr>
                <w:rFonts w:ascii="Arial" w:hAnsi="Arial" w:cs="Arial"/>
                <w:sz w:val="24"/>
                <w:szCs w:val="24"/>
                <w:vertAlign w:val="superscript"/>
              </w:rPr>
              <w:t>2</w:t>
            </w:r>
          </w:p>
          <w:p w14:paraId="6763EEEF" w14:textId="77777777" w:rsidR="001506C1" w:rsidRPr="00FA3F9C" w:rsidRDefault="001506C1" w:rsidP="00C97167">
            <w:pPr>
              <w:rPr>
                <w:rFonts w:ascii="Arial" w:hAnsi="Arial" w:cs="Arial"/>
                <w:sz w:val="24"/>
                <w:szCs w:val="24"/>
              </w:rPr>
            </w:pPr>
          </w:p>
          <w:p w14:paraId="7FD221DC" w14:textId="77777777" w:rsidR="001506C1" w:rsidRPr="00FA3F9C" w:rsidRDefault="001506C1" w:rsidP="00C97167">
            <w:pPr>
              <w:rPr>
                <w:rFonts w:ascii="Arial" w:hAnsi="Arial" w:cs="Arial"/>
                <w:sz w:val="24"/>
                <w:szCs w:val="24"/>
              </w:rPr>
            </w:pPr>
            <w:r w:rsidRPr="00FA3F9C">
              <w:rPr>
                <w:rFonts w:ascii="Arial" w:hAnsi="Arial" w:cs="Arial"/>
                <w:sz w:val="24"/>
                <w:szCs w:val="24"/>
              </w:rPr>
              <w:t xml:space="preserve">Two meta-analyses indicate a possible improvement in overall survival compared to placebo when the results of apalutamide, enzalutamide, and </w:t>
            </w:r>
            <w:proofErr w:type="spellStart"/>
            <w:r w:rsidRPr="00FA3F9C">
              <w:rPr>
                <w:rFonts w:ascii="Arial" w:hAnsi="Arial" w:cs="Arial"/>
                <w:sz w:val="24"/>
                <w:szCs w:val="24"/>
              </w:rPr>
              <w:t>darolutamide</w:t>
            </w:r>
            <w:proofErr w:type="spellEnd"/>
            <w:r w:rsidRPr="00FA3F9C">
              <w:rPr>
                <w:rFonts w:ascii="Arial" w:hAnsi="Arial" w:cs="Arial"/>
                <w:sz w:val="24"/>
                <w:szCs w:val="24"/>
              </w:rPr>
              <w:t xml:space="preserve"> studies were pooled.</w:t>
            </w:r>
            <w:r w:rsidRPr="00FA3F9C">
              <w:rPr>
                <w:rFonts w:ascii="Arial" w:hAnsi="Arial" w:cs="Arial"/>
                <w:sz w:val="24"/>
                <w:szCs w:val="24"/>
                <w:vertAlign w:val="superscript"/>
              </w:rPr>
              <w:t>3,4</w:t>
            </w:r>
            <w:r w:rsidRPr="00FA3F9C">
              <w:rPr>
                <w:rFonts w:ascii="Arial" w:hAnsi="Arial" w:cs="Arial"/>
                <w:sz w:val="24"/>
                <w:szCs w:val="24"/>
              </w:rPr>
              <w:t xml:space="preserve"> Another meta-analysis found that the three drugs had similar overall survival to each other. </w:t>
            </w:r>
            <w:proofErr w:type="spellStart"/>
            <w:r w:rsidRPr="00FA3F9C">
              <w:rPr>
                <w:rFonts w:ascii="Arial" w:hAnsi="Arial" w:cs="Arial"/>
                <w:sz w:val="24"/>
                <w:szCs w:val="24"/>
              </w:rPr>
              <w:t>Darolutamide</w:t>
            </w:r>
            <w:proofErr w:type="spellEnd"/>
            <w:r w:rsidRPr="00FA3F9C">
              <w:rPr>
                <w:rFonts w:ascii="Arial" w:hAnsi="Arial" w:cs="Arial"/>
                <w:sz w:val="24"/>
                <w:szCs w:val="24"/>
              </w:rPr>
              <w:t xml:space="preserve"> may have a more favorable toxicity profile.</w:t>
            </w:r>
            <w:r w:rsidRPr="00FA3F9C">
              <w:rPr>
                <w:rFonts w:ascii="Arial" w:hAnsi="Arial" w:cs="Arial"/>
                <w:sz w:val="24"/>
                <w:szCs w:val="24"/>
                <w:vertAlign w:val="superscript"/>
              </w:rPr>
              <w:t>5</w:t>
            </w:r>
            <w:r w:rsidRPr="00FA3F9C">
              <w:rPr>
                <w:rFonts w:ascii="Arial" w:hAnsi="Arial" w:cs="Arial"/>
                <w:sz w:val="24"/>
                <w:szCs w:val="24"/>
              </w:rPr>
              <w:t xml:space="preserve">  </w:t>
            </w:r>
          </w:p>
          <w:p w14:paraId="3B69E95C" w14:textId="77777777" w:rsidR="001506C1" w:rsidRPr="00FA3F9C" w:rsidRDefault="001506C1" w:rsidP="00C97167">
            <w:pPr>
              <w:rPr>
                <w:rFonts w:ascii="Arial" w:hAnsi="Arial" w:cs="Arial"/>
                <w:sz w:val="24"/>
                <w:szCs w:val="24"/>
                <w:vertAlign w:val="superscript"/>
              </w:rPr>
            </w:pPr>
          </w:p>
          <w:p w14:paraId="692A52C0" w14:textId="77777777" w:rsidR="001506C1" w:rsidRPr="00FA3F9C" w:rsidRDefault="001506C1" w:rsidP="00C97167">
            <w:pPr>
              <w:rPr>
                <w:rFonts w:ascii="Arial" w:hAnsi="Arial" w:cs="Arial"/>
                <w:sz w:val="24"/>
                <w:szCs w:val="24"/>
              </w:rPr>
            </w:pPr>
            <w:r w:rsidRPr="00FA3F9C">
              <w:rPr>
                <w:rFonts w:ascii="Arial" w:hAnsi="Arial" w:cs="Arial"/>
                <w:sz w:val="24"/>
                <w:szCs w:val="24"/>
              </w:rPr>
              <w:t xml:space="preserve">The </w:t>
            </w:r>
            <w:proofErr w:type="spellStart"/>
            <w:r w:rsidRPr="00FA3F9C">
              <w:rPr>
                <w:rFonts w:ascii="Arial" w:hAnsi="Arial" w:cs="Arial"/>
                <w:sz w:val="24"/>
                <w:szCs w:val="24"/>
              </w:rPr>
              <w:t>darolutamide</w:t>
            </w:r>
            <w:proofErr w:type="spellEnd"/>
            <w:r w:rsidRPr="00FA3F9C">
              <w:rPr>
                <w:rFonts w:ascii="Arial" w:hAnsi="Arial" w:cs="Arial"/>
                <w:sz w:val="24"/>
                <w:szCs w:val="24"/>
              </w:rPr>
              <w:t xml:space="preserve"> study allowed enrollment of patients with history of or predisposition to seizures. However, these patients were NOT allowed in enzalutamide and apalutamide studies. </w:t>
            </w:r>
          </w:p>
          <w:p w14:paraId="17B571E9" w14:textId="77777777" w:rsidR="001506C1" w:rsidRPr="00FA3F9C" w:rsidRDefault="001506C1" w:rsidP="00C97167">
            <w:pPr>
              <w:rPr>
                <w:rFonts w:ascii="Arial" w:hAnsi="Arial" w:cs="Arial"/>
                <w:sz w:val="24"/>
                <w:szCs w:val="24"/>
              </w:rPr>
            </w:pPr>
          </w:p>
          <w:p w14:paraId="26DFA92D" w14:textId="77777777" w:rsidR="001506C1" w:rsidRPr="00FA3F9C" w:rsidRDefault="001506C1" w:rsidP="00C97167">
            <w:pPr>
              <w:rPr>
                <w:rFonts w:ascii="Arial" w:hAnsi="Arial" w:cs="Arial"/>
                <w:sz w:val="24"/>
                <w:szCs w:val="24"/>
              </w:rPr>
            </w:pPr>
            <w:proofErr w:type="spellStart"/>
            <w:r w:rsidRPr="00FA3F9C">
              <w:rPr>
                <w:rFonts w:ascii="Arial" w:hAnsi="Arial" w:cs="Arial"/>
                <w:sz w:val="24"/>
                <w:szCs w:val="24"/>
              </w:rPr>
              <w:t>Darolutamide</w:t>
            </w:r>
            <w:proofErr w:type="spellEnd"/>
            <w:r w:rsidRPr="00FA3F9C">
              <w:rPr>
                <w:rFonts w:ascii="Arial" w:hAnsi="Arial" w:cs="Arial"/>
                <w:sz w:val="24"/>
                <w:szCs w:val="24"/>
              </w:rPr>
              <w:t xml:space="preserve"> </w:t>
            </w:r>
            <w:r w:rsidRPr="00FA3F9C">
              <w:rPr>
                <w:rFonts w:ascii="Arial" w:hAnsi="Arial" w:cs="Arial"/>
                <w:b/>
                <w:sz w:val="24"/>
                <w:szCs w:val="24"/>
              </w:rPr>
              <w:t>may</w:t>
            </w:r>
            <w:r w:rsidRPr="00FA3F9C">
              <w:rPr>
                <w:rFonts w:ascii="Arial" w:hAnsi="Arial" w:cs="Arial"/>
                <w:sz w:val="24"/>
                <w:szCs w:val="24"/>
              </w:rPr>
              <w:t xml:space="preserve"> be associated </w:t>
            </w:r>
            <w:r w:rsidRPr="00FA3F9C">
              <w:rPr>
                <w:rFonts w:ascii="Arial" w:hAnsi="Arial" w:cs="Arial"/>
                <w:b/>
                <w:sz w:val="24"/>
                <w:szCs w:val="24"/>
              </w:rPr>
              <w:t>less</w:t>
            </w:r>
            <w:r w:rsidRPr="00FA3F9C">
              <w:rPr>
                <w:rFonts w:ascii="Arial" w:hAnsi="Arial" w:cs="Arial"/>
                <w:sz w:val="24"/>
                <w:szCs w:val="24"/>
              </w:rPr>
              <w:t xml:space="preserve"> with seizures, CNS effects, falls, fractures, and hypertension compared with enzalutamide and apalutamide.</w:t>
            </w:r>
          </w:p>
          <w:p w14:paraId="6D69D94B" w14:textId="77777777" w:rsidR="001506C1" w:rsidRPr="00FA3F9C" w:rsidRDefault="001506C1" w:rsidP="00C97167">
            <w:pPr>
              <w:rPr>
                <w:rFonts w:ascii="Arial" w:hAnsi="Arial" w:cs="Arial"/>
                <w:sz w:val="24"/>
                <w:szCs w:val="24"/>
              </w:rPr>
            </w:pPr>
          </w:p>
          <w:p w14:paraId="10C20A0F" w14:textId="77777777" w:rsidR="001506C1" w:rsidRPr="00FA3F9C" w:rsidRDefault="001506C1" w:rsidP="00C97167">
            <w:pPr>
              <w:rPr>
                <w:rFonts w:ascii="Arial" w:hAnsi="Arial" w:cs="Arial"/>
                <w:sz w:val="24"/>
                <w:szCs w:val="24"/>
              </w:rPr>
            </w:pPr>
            <w:r w:rsidRPr="00FA3F9C">
              <w:rPr>
                <w:rFonts w:ascii="Arial" w:hAnsi="Arial" w:cs="Arial"/>
                <w:sz w:val="24"/>
                <w:szCs w:val="24"/>
              </w:rPr>
              <w:t xml:space="preserve">Criteria developed with guidance of study protocol located at </w:t>
            </w:r>
            <w:hyperlink r:id="rId107" w:history="1">
              <w:r w:rsidRPr="00FA3F9C">
                <w:rPr>
                  <w:rStyle w:val="Hyperlink"/>
                  <w:rFonts w:ascii="Arial" w:hAnsi="Arial" w:cs="Arial"/>
                  <w:sz w:val="24"/>
                  <w:szCs w:val="24"/>
                </w:rPr>
                <w:t>https://www.nejm.org/doi/suppl/10.1056/NEJMoa1815671/suppl_file/nejmoa1815671_appendix.pdf</w:t>
              </w:r>
            </w:hyperlink>
            <w:r w:rsidRPr="00FA3F9C">
              <w:rPr>
                <w:rFonts w:ascii="Arial" w:hAnsi="Arial" w:cs="Arial"/>
                <w:sz w:val="24"/>
                <w:szCs w:val="24"/>
              </w:rPr>
              <w:t>.</w:t>
            </w:r>
          </w:p>
          <w:p w14:paraId="7F08A601" w14:textId="77777777" w:rsidR="001506C1" w:rsidRPr="00FA3F9C" w:rsidRDefault="001506C1" w:rsidP="00C97167">
            <w:pPr>
              <w:rPr>
                <w:rFonts w:ascii="Arial" w:hAnsi="Arial" w:cs="Arial"/>
                <w:sz w:val="24"/>
                <w:szCs w:val="24"/>
              </w:rPr>
            </w:pPr>
          </w:p>
          <w:p w14:paraId="09D57C49" w14:textId="77777777" w:rsidR="001506C1" w:rsidRPr="00FA3F9C" w:rsidRDefault="001506C1" w:rsidP="00C97167">
            <w:pPr>
              <w:rPr>
                <w:rFonts w:ascii="Arial" w:hAnsi="Arial" w:cs="Arial"/>
                <w:sz w:val="24"/>
                <w:szCs w:val="24"/>
              </w:rPr>
            </w:pPr>
            <w:r w:rsidRPr="00FA3F9C">
              <w:rPr>
                <w:rFonts w:ascii="Arial" w:hAnsi="Arial" w:cs="Arial"/>
                <w:sz w:val="24"/>
                <w:szCs w:val="24"/>
              </w:rPr>
              <w:t>Dose: 600 mg PO bid until progression of disease or unacceptable toxicity.</w:t>
            </w:r>
          </w:p>
          <w:p w14:paraId="5E0DC32D" w14:textId="77777777" w:rsidR="001506C1" w:rsidRPr="00FA3F9C" w:rsidRDefault="001506C1" w:rsidP="00C97167">
            <w:pPr>
              <w:rPr>
                <w:rFonts w:ascii="Arial" w:hAnsi="Arial" w:cs="Arial"/>
                <w:sz w:val="24"/>
                <w:szCs w:val="24"/>
              </w:rPr>
            </w:pPr>
          </w:p>
          <w:p w14:paraId="51057A33" w14:textId="77777777" w:rsidR="001506C1" w:rsidRPr="00FA3F9C" w:rsidRDefault="001506C1" w:rsidP="00C97167">
            <w:pPr>
              <w:rPr>
                <w:rFonts w:ascii="Arial" w:hAnsi="Arial" w:cs="Arial"/>
                <w:sz w:val="24"/>
                <w:szCs w:val="24"/>
              </w:rPr>
            </w:pPr>
            <w:r w:rsidRPr="00FA3F9C">
              <w:rPr>
                <w:rFonts w:ascii="Arial" w:hAnsi="Arial" w:cs="Arial"/>
                <w:sz w:val="24"/>
                <w:szCs w:val="24"/>
              </w:rPr>
              <w:t>REFERENCE:</w:t>
            </w:r>
          </w:p>
          <w:p w14:paraId="5A2DE319" w14:textId="77777777" w:rsidR="001506C1" w:rsidRPr="00FA3F9C" w:rsidRDefault="001506C1" w:rsidP="001506C1">
            <w:pPr>
              <w:pStyle w:val="ListParagraph"/>
              <w:numPr>
                <w:ilvl w:val="0"/>
                <w:numId w:val="108"/>
              </w:numPr>
              <w:tabs>
                <w:tab w:val="left" w:pos="245"/>
              </w:tabs>
              <w:spacing w:after="160" w:line="259" w:lineRule="auto"/>
              <w:ind w:left="245" w:hanging="245"/>
              <w:rPr>
                <w:rFonts w:ascii="Arial" w:hAnsi="Arial" w:cs="Arial"/>
                <w:color w:val="000000"/>
                <w:sz w:val="24"/>
                <w:szCs w:val="24"/>
              </w:rPr>
            </w:pPr>
            <w:proofErr w:type="spellStart"/>
            <w:r w:rsidRPr="00FA3F9C">
              <w:rPr>
                <w:rFonts w:ascii="Arial" w:hAnsi="Arial" w:cs="Arial"/>
                <w:color w:val="000000"/>
                <w:sz w:val="24"/>
                <w:szCs w:val="24"/>
              </w:rPr>
              <w:t>Fizazi</w:t>
            </w:r>
            <w:proofErr w:type="spellEnd"/>
            <w:r w:rsidRPr="00FA3F9C">
              <w:rPr>
                <w:rFonts w:ascii="Arial" w:hAnsi="Arial" w:cs="Arial"/>
                <w:color w:val="000000"/>
                <w:sz w:val="24"/>
                <w:szCs w:val="24"/>
              </w:rPr>
              <w:t xml:space="preserve"> K et al. </w:t>
            </w:r>
            <w:proofErr w:type="spellStart"/>
            <w:r w:rsidRPr="00FA3F9C">
              <w:rPr>
                <w:rFonts w:ascii="Arial" w:hAnsi="Arial" w:cs="Arial"/>
                <w:color w:val="000000"/>
                <w:sz w:val="24"/>
                <w:szCs w:val="24"/>
              </w:rPr>
              <w:t>Darolutamide</w:t>
            </w:r>
            <w:proofErr w:type="spellEnd"/>
            <w:r w:rsidRPr="00FA3F9C">
              <w:rPr>
                <w:rFonts w:ascii="Arial" w:hAnsi="Arial" w:cs="Arial"/>
                <w:color w:val="000000"/>
                <w:sz w:val="24"/>
                <w:szCs w:val="24"/>
              </w:rPr>
              <w:t xml:space="preserve"> in Nonmetastatic, Castration-Resistant Prostate Cancer. N </w:t>
            </w:r>
            <w:proofErr w:type="spellStart"/>
            <w:r w:rsidRPr="00FA3F9C">
              <w:rPr>
                <w:rFonts w:ascii="Arial" w:hAnsi="Arial" w:cs="Arial"/>
                <w:color w:val="000000"/>
                <w:sz w:val="24"/>
                <w:szCs w:val="24"/>
              </w:rPr>
              <w:t>Engl</w:t>
            </w:r>
            <w:proofErr w:type="spellEnd"/>
            <w:r w:rsidRPr="00FA3F9C">
              <w:rPr>
                <w:rFonts w:ascii="Arial" w:hAnsi="Arial" w:cs="Arial"/>
                <w:color w:val="000000"/>
                <w:sz w:val="24"/>
                <w:szCs w:val="24"/>
              </w:rPr>
              <w:t xml:space="preserve"> J Med. 2019 Mar 28;380(13):1235-1246. PMID 30763142 NCT02200614 </w:t>
            </w:r>
          </w:p>
          <w:p w14:paraId="2D6E177E" w14:textId="77777777" w:rsidR="001506C1" w:rsidRPr="00FA3F9C" w:rsidRDefault="001506C1" w:rsidP="001506C1">
            <w:pPr>
              <w:pStyle w:val="ListParagraph"/>
              <w:numPr>
                <w:ilvl w:val="0"/>
                <w:numId w:val="108"/>
              </w:numPr>
              <w:tabs>
                <w:tab w:val="left" w:pos="245"/>
              </w:tabs>
              <w:spacing w:after="160" w:line="259" w:lineRule="auto"/>
              <w:ind w:left="154" w:hanging="154"/>
              <w:rPr>
                <w:rFonts w:ascii="Arial" w:hAnsi="Arial" w:cs="Arial"/>
                <w:color w:val="000000"/>
                <w:sz w:val="24"/>
                <w:szCs w:val="24"/>
              </w:rPr>
            </w:pPr>
            <w:proofErr w:type="spellStart"/>
            <w:r w:rsidRPr="00FA3F9C">
              <w:rPr>
                <w:rFonts w:ascii="Arial" w:hAnsi="Arial" w:cs="Arial"/>
                <w:color w:val="000000"/>
                <w:sz w:val="24"/>
                <w:szCs w:val="24"/>
              </w:rPr>
              <w:t>Fizazi</w:t>
            </w:r>
            <w:proofErr w:type="spellEnd"/>
            <w:r w:rsidRPr="00FA3F9C">
              <w:rPr>
                <w:rFonts w:ascii="Arial" w:hAnsi="Arial" w:cs="Arial"/>
                <w:color w:val="000000"/>
                <w:sz w:val="24"/>
                <w:szCs w:val="24"/>
              </w:rPr>
              <w:t xml:space="preserve"> K et al. Overall Survival (OS) results of phase III ARAMIS study of </w:t>
            </w:r>
            <w:proofErr w:type="spellStart"/>
            <w:r w:rsidRPr="00FA3F9C">
              <w:rPr>
                <w:rFonts w:ascii="Arial" w:hAnsi="Arial" w:cs="Arial"/>
                <w:color w:val="000000"/>
                <w:sz w:val="24"/>
                <w:szCs w:val="24"/>
              </w:rPr>
              <w:t>darolutamide</w:t>
            </w:r>
            <w:proofErr w:type="spellEnd"/>
            <w:r w:rsidRPr="00FA3F9C">
              <w:rPr>
                <w:rFonts w:ascii="Arial" w:hAnsi="Arial" w:cs="Arial"/>
                <w:color w:val="000000"/>
                <w:sz w:val="24"/>
                <w:szCs w:val="24"/>
              </w:rPr>
              <w:t xml:space="preserve"> (DARO) added to androgen deprivation therapy (ADT) for nonmetastatic castration-resistant prostate cancer (</w:t>
            </w:r>
            <w:proofErr w:type="spellStart"/>
            <w:r w:rsidRPr="00FA3F9C">
              <w:rPr>
                <w:rFonts w:ascii="Arial" w:hAnsi="Arial" w:cs="Arial"/>
                <w:color w:val="000000"/>
                <w:sz w:val="24"/>
                <w:szCs w:val="24"/>
              </w:rPr>
              <w:t>nmCRPC</w:t>
            </w:r>
            <w:proofErr w:type="spellEnd"/>
            <w:r w:rsidRPr="00FA3F9C">
              <w:rPr>
                <w:rFonts w:ascii="Arial" w:hAnsi="Arial" w:cs="Arial"/>
                <w:color w:val="000000"/>
                <w:sz w:val="24"/>
                <w:szCs w:val="24"/>
              </w:rPr>
              <w:t xml:space="preserve">). J Clin Oncol 38: 2020 (suppl; </w:t>
            </w:r>
            <w:proofErr w:type="spellStart"/>
            <w:r w:rsidRPr="00FA3F9C">
              <w:rPr>
                <w:rFonts w:ascii="Arial" w:hAnsi="Arial" w:cs="Arial"/>
                <w:color w:val="000000"/>
                <w:sz w:val="24"/>
                <w:szCs w:val="24"/>
              </w:rPr>
              <w:t>abstr</w:t>
            </w:r>
            <w:proofErr w:type="spellEnd"/>
            <w:r w:rsidRPr="00FA3F9C">
              <w:rPr>
                <w:rFonts w:ascii="Arial" w:hAnsi="Arial" w:cs="Arial"/>
                <w:color w:val="000000"/>
                <w:sz w:val="24"/>
                <w:szCs w:val="24"/>
              </w:rPr>
              <w:t xml:space="preserve"> 5514). </w:t>
            </w:r>
            <w:hyperlink r:id="rId108" w:history="1">
              <w:r w:rsidRPr="00FA3F9C">
                <w:rPr>
                  <w:rStyle w:val="Hyperlink"/>
                  <w:rFonts w:ascii="Arial" w:hAnsi="Arial" w:cs="Arial"/>
                  <w:sz w:val="24"/>
                  <w:szCs w:val="24"/>
                </w:rPr>
                <w:t>https://meetinglibrary.asco.org/record/187482/abstract</w:t>
              </w:r>
            </w:hyperlink>
            <w:r w:rsidRPr="00FA3F9C">
              <w:rPr>
                <w:rFonts w:ascii="Arial" w:hAnsi="Arial" w:cs="Arial"/>
                <w:sz w:val="24"/>
                <w:szCs w:val="24"/>
              </w:rPr>
              <w:t>. Accessed 6/16/2020.</w:t>
            </w:r>
          </w:p>
          <w:p w14:paraId="7387F557" w14:textId="77777777" w:rsidR="001506C1" w:rsidRPr="00FA3F9C" w:rsidRDefault="001506C1" w:rsidP="001506C1">
            <w:pPr>
              <w:pStyle w:val="ListParagraph"/>
              <w:numPr>
                <w:ilvl w:val="0"/>
                <w:numId w:val="108"/>
              </w:numPr>
              <w:ind w:left="245" w:hanging="245"/>
              <w:rPr>
                <w:rFonts w:ascii="Arial" w:hAnsi="Arial" w:cs="Arial"/>
                <w:sz w:val="24"/>
                <w:szCs w:val="24"/>
              </w:rPr>
            </w:pPr>
            <w:r w:rsidRPr="00FA3F9C">
              <w:rPr>
                <w:rFonts w:ascii="Arial" w:hAnsi="Arial" w:cs="Arial"/>
                <w:sz w:val="24"/>
                <w:szCs w:val="24"/>
                <w:lang w:val="fr-FR"/>
              </w:rPr>
              <w:lastRenderedPageBreak/>
              <w:t xml:space="preserve">Di </w:t>
            </w:r>
            <w:proofErr w:type="spellStart"/>
            <w:r w:rsidRPr="00FA3F9C">
              <w:rPr>
                <w:rFonts w:ascii="Arial" w:hAnsi="Arial" w:cs="Arial"/>
                <w:sz w:val="24"/>
                <w:szCs w:val="24"/>
                <w:lang w:val="fr-FR"/>
              </w:rPr>
              <w:t>Nunno</w:t>
            </w:r>
            <w:proofErr w:type="spellEnd"/>
            <w:r w:rsidRPr="00FA3F9C">
              <w:rPr>
                <w:rFonts w:ascii="Arial" w:hAnsi="Arial" w:cs="Arial"/>
                <w:sz w:val="24"/>
                <w:szCs w:val="24"/>
                <w:lang w:val="fr-FR"/>
              </w:rPr>
              <w:t xml:space="preserve"> V et al. </w:t>
            </w:r>
            <w:r w:rsidRPr="00FA3F9C">
              <w:rPr>
                <w:rFonts w:ascii="Arial" w:hAnsi="Arial" w:cs="Arial"/>
                <w:sz w:val="24"/>
                <w:szCs w:val="24"/>
              </w:rPr>
              <w:t xml:space="preserve">New Hormonal Agents in Patients </w:t>
            </w:r>
            <w:proofErr w:type="gramStart"/>
            <w:r w:rsidRPr="00FA3F9C">
              <w:rPr>
                <w:rFonts w:ascii="Arial" w:hAnsi="Arial" w:cs="Arial"/>
                <w:sz w:val="24"/>
                <w:szCs w:val="24"/>
              </w:rPr>
              <w:t>With</w:t>
            </w:r>
            <w:proofErr w:type="gramEnd"/>
            <w:r w:rsidRPr="00FA3F9C">
              <w:rPr>
                <w:rFonts w:ascii="Arial" w:hAnsi="Arial" w:cs="Arial"/>
                <w:sz w:val="24"/>
                <w:szCs w:val="24"/>
              </w:rPr>
              <w:t xml:space="preserve"> Nonmetastatic Castration-Resistant Prostate Cancer: Meta-Analysis of Efficacy and Safety Outcomes. Clin </w:t>
            </w:r>
            <w:proofErr w:type="spellStart"/>
            <w:r w:rsidRPr="00FA3F9C">
              <w:rPr>
                <w:rFonts w:ascii="Arial" w:hAnsi="Arial" w:cs="Arial"/>
                <w:sz w:val="24"/>
                <w:szCs w:val="24"/>
              </w:rPr>
              <w:t>Genitourin</w:t>
            </w:r>
            <w:proofErr w:type="spellEnd"/>
            <w:r w:rsidRPr="00FA3F9C">
              <w:rPr>
                <w:rFonts w:ascii="Arial" w:hAnsi="Arial" w:cs="Arial"/>
                <w:sz w:val="24"/>
                <w:szCs w:val="24"/>
              </w:rPr>
              <w:t xml:space="preserve"> Cancer. 2019 Jul 8. </w:t>
            </w:r>
            <w:proofErr w:type="spellStart"/>
            <w:r w:rsidRPr="00FA3F9C">
              <w:rPr>
                <w:rFonts w:ascii="Arial" w:hAnsi="Arial" w:cs="Arial"/>
                <w:sz w:val="24"/>
                <w:szCs w:val="24"/>
              </w:rPr>
              <w:t>pii</w:t>
            </w:r>
            <w:proofErr w:type="spellEnd"/>
            <w:r w:rsidRPr="00FA3F9C">
              <w:rPr>
                <w:rFonts w:ascii="Arial" w:hAnsi="Arial" w:cs="Arial"/>
                <w:sz w:val="24"/>
                <w:szCs w:val="24"/>
              </w:rPr>
              <w:t xml:space="preserve">: S1558-7673(19)30207-1. </w:t>
            </w:r>
            <w:proofErr w:type="spellStart"/>
            <w:r w:rsidRPr="00FA3F9C">
              <w:rPr>
                <w:rFonts w:ascii="Arial" w:hAnsi="Arial" w:cs="Arial"/>
                <w:sz w:val="24"/>
                <w:szCs w:val="24"/>
              </w:rPr>
              <w:t>doi</w:t>
            </w:r>
            <w:proofErr w:type="spellEnd"/>
            <w:r w:rsidRPr="00FA3F9C">
              <w:rPr>
                <w:rFonts w:ascii="Arial" w:hAnsi="Arial" w:cs="Arial"/>
                <w:sz w:val="24"/>
                <w:szCs w:val="24"/>
              </w:rPr>
              <w:t>: 10.1016/j.clgc.2019.07.001. [</w:t>
            </w:r>
            <w:proofErr w:type="spellStart"/>
            <w:r w:rsidRPr="00FA3F9C">
              <w:rPr>
                <w:rFonts w:ascii="Arial" w:hAnsi="Arial" w:cs="Arial"/>
                <w:sz w:val="24"/>
                <w:szCs w:val="24"/>
              </w:rPr>
              <w:t>Epub</w:t>
            </w:r>
            <w:proofErr w:type="spellEnd"/>
            <w:r w:rsidRPr="00FA3F9C">
              <w:rPr>
                <w:rFonts w:ascii="Arial" w:hAnsi="Arial" w:cs="Arial"/>
                <w:sz w:val="24"/>
                <w:szCs w:val="24"/>
              </w:rPr>
              <w:t xml:space="preserve"> ahead of print] PMID 31378578</w:t>
            </w:r>
          </w:p>
          <w:p w14:paraId="41DC1021" w14:textId="77777777" w:rsidR="001506C1" w:rsidRPr="00FA3F9C" w:rsidRDefault="001506C1" w:rsidP="001506C1">
            <w:pPr>
              <w:pStyle w:val="ListParagraph"/>
              <w:numPr>
                <w:ilvl w:val="0"/>
                <w:numId w:val="108"/>
              </w:numPr>
              <w:ind w:left="245" w:hanging="245"/>
              <w:rPr>
                <w:rFonts w:ascii="Arial" w:hAnsi="Arial" w:cs="Arial"/>
                <w:sz w:val="24"/>
                <w:szCs w:val="24"/>
              </w:rPr>
            </w:pPr>
            <w:proofErr w:type="spellStart"/>
            <w:r w:rsidRPr="00FA3F9C">
              <w:rPr>
                <w:rFonts w:ascii="Arial" w:hAnsi="Arial" w:cs="Arial"/>
                <w:sz w:val="24"/>
                <w:szCs w:val="24"/>
                <w:lang w:val="fr-FR"/>
              </w:rPr>
              <w:t>Hird</w:t>
            </w:r>
            <w:proofErr w:type="spellEnd"/>
            <w:r w:rsidRPr="00FA3F9C">
              <w:rPr>
                <w:rFonts w:ascii="Arial" w:hAnsi="Arial" w:cs="Arial"/>
                <w:sz w:val="24"/>
                <w:szCs w:val="24"/>
                <w:lang w:val="fr-FR"/>
              </w:rPr>
              <w:t xml:space="preserve"> AE, Magee DE, </w:t>
            </w:r>
            <w:proofErr w:type="spellStart"/>
            <w:r w:rsidRPr="00FA3F9C">
              <w:rPr>
                <w:rFonts w:ascii="Arial" w:hAnsi="Arial" w:cs="Arial"/>
                <w:sz w:val="24"/>
                <w:szCs w:val="24"/>
                <w:lang w:val="fr-FR"/>
              </w:rPr>
              <w:t>Bhindi</w:t>
            </w:r>
            <w:proofErr w:type="spellEnd"/>
            <w:r w:rsidRPr="00FA3F9C">
              <w:rPr>
                <w:rFonts w:ascii="Arial" w:hAnsi="Arial" w:cs="Arial"/>
                <w:sz w:val="24"/>
                <w:szCs w:val="24"/>
                <w:lang w:val="fr-FR"/>
              </w:rPr>
              <w:t xml:space="preserve"> B, et al. </w:t>
            </w:r>
            <w:r w:rsidRPr="00FA3F9C">
              <w:rPr>
                <w:rFonts w:ascii="Arial" w:hAnsi="Arial" w:cs="Arial"/>
                <w:sz w:val="24"/>
                <w:szCs w:val="24"/>
              </w:rPr>
              <w:t xml:space="preserve">A Systematic Review and Network Meta-analysis of Novel Androgen Receptor Inhibitors in Non-metastatic Castration-resistant Prostate Cancer [published online ahead of print, 2020 Mar 6]. Clin </w:t>
            </w:r>
            <w:proofErr w:type="spellStart"/>
            <w:r w:rsidRPr="00FA3F9C">
              <w:rPr>
                <w:rFonts w:ascii="Arial" w:hAnsi="Arial" w:cs="Arial"/>
                <w:sz w:val="24"/>
                <w:szCs w:val="24"/>
              </w:rPr>
              <w:t>Genitourin</w:t>
            </w:r>
            <w:proofErr w:type="spellEnd"/>
            <w:r w:rsidRPr="00FA3F9C">
              <w:rPr>
                <w:rFonts w:ascii="Arial" w:hAnsi="Arial" w:cs="Arial"/>
                <w:sz w:val="24"/>
                <w:szCs w:val="24"/>
              </w:rPr>
              <w:t xml:space="preserve"> Cancer. 2020;S1558-7673(20)30039-2. PMID 32278840</w:t>
            </w:r>
          </w:p>
        </w:tc>
      </w:tr>
    </w:tbl>
    <w:p w14:paraId="3091FA62" w14:textId="77777777" w:rsidR="001506C1" w:rsidRPr="00FA3F9C" w:rsidRDefault="001506C1" w:rsidP="006F623F">
      <w:pPr>
        <w:spacing w:after="0"/>
        <w:rPr>
          <w:rFonts w:ascii="Arial" w:hAnsi="Arial" w:cs="Arial"/>
          <w:b/>
          <w:sz w:val="24"/>
          <w:szCs w:val="24"/>
          <w:u w:val="single"/>
        </w:rPr>
      </w:pPr>
    </w:p>
    <w:p w14:paraId="6B3F3BD2" w14:textId="77777777" w:rsidR="001506C1" w:rsidRPr="00FA3F9C" w:rsidRDefault="001506C1" w:rsidP="006F623F">
      <w:pPr>
        <w:spacing w:after="0"/>
        <w:rPr>
          <w:rFonts w:ascii="Arial" w:hAnsi="Arial" w:cs="Arial"/>
          <w:b/>
          <w:sz w:val="24"/>
          <w:szCs w:val="24"/>
          <w:u w:val="single"/>
        </w:rPr>
      </w:pPr>
    </w:p>
    <w:p w14:paraId="73E6C64C" w14:textId="77777777" w:rsidR="001506C1" w:rsidRPr="00FA3F9C" w:rsidRDefault="001506C1" w:rsidP="006F623F">
      <w:pPr>
        <w:spacing w:after="0"/>
        <w:rPr>
          <w:rFonts w:ascii="Arial" w:hAnsi="Arial" w:cs="Arial"/>
          <w:b/>
          <w:sz w:val="24"/>
          <w:szCs w:val="24"/>
          <w:u w:val="single"/>
        </w:rPr>
      </w:pPr>
    </w:p>
    <w:p w14:paraId="775237BC" w14:textId="77777777" w:rsidR="001506C1" w:rsidRPr="00FA3F9C" w:rsidRDefault="001506C1" w:rsidP="006F623F">
      <w:pPr>
        <w:spacing w:after="0"/>
        <w:rPr>
          <w:rFonts w:ascii="Arial" w:hAnsi="Arial" w:cs="Arial"/>
          <w:sz w:val="24"/>
          <w:szCs w:val="24"/>
        </w:rPr>
      </w:pPr>
    </w:p>
    <w:p w14:paraId="28311751" w14:textId="77777777" w:rsidR="001506C1" w:rsidRPr="00FA3F9C" w:rsidRDefault="001506C1" w:rsidP="006F623F">
      <w:pPr>
        <w:spacing w:after="0"/>
        <w:rPr>
          <w:rFonts w:ascii="Arial" w:hAnsi="Arial" w:cs="Arial"/>
          <w:sz w:val="24"/>
          <w:szCs w:val="24"/>
        </w:rPr>
      </w:pPr>
    </w:p>
    <w:p w14:paraId="7E58472D"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284"/>
        <w:gridCol w:w="7470"/>
        <w:gridCol w:w="2538"/>
      </w:tblGrid>
      <w:tr w:rsidR="001506C1" w:rsidRPr="00FA3F9C" w14:paraId="51C4BDDD" w14:textId="77777777" w:rsidTr="00FE491B">
        <w:tc>
          <w:tcPr>
            <w:tcW w:w="1008" w:type="dxa"/>
          </w:tcPr>
          <w:p w14:paraId="1BAF97DD" w14:textId="77777777" w:rsidR="001506C1" w:rsidRPr="00FA3F9C" w:rsidRDefault="001506C1" w:rsidP="006F623F">
            <w:pPr>
              <w:rPr>
                <w:rFonts w:ascii="Arial" w:hAnsi="Arial" w:cs="Arial"/>
                <w:sz w:val="24"/>
                <w:szCs w:val="24"/>
              </w:rPr>
            </w:pPr>
            <w:r w:rsidRPr="00FA3F9C">
              <w:rPr>
                <w:rFonts w:ascii="Arial" w:hAnsi="Arial" w:cs="Arial"/>
                <w:sz w:val="24"/>
                <w:szCs w:val="24"/>
              </w:rPr>
              <w:t>Date</w:t>
            </w:r>
          </w:p>
        </w:tc>
        <w:tc>
          <w:tcPr>
            <w:tcW w:w="7470" w:type="dxa"/>
          </w:tcPr>
          <w:p w14:paraId="3A61BF58" w14:textId="77777777" w:rsidR="001506C1" w:rsidRPr="00FA3F9C" w:rsidRDefault="001506C1" w:rsidP="006F623F">
            <w:pPr>
              <w:rPr>
                <w:rFonts w:ascii="Arial" w:hAnsi="Arial" w:cs="Arial"/>
                <w:sz w:val="24"/>
                <w:szCs w:val="24"/>
              </w:rPr>
            </w:pPr>
            <w:r w:rsidRPr="00FA3F9C">
              <w:rPr>
                <w:rFonts w:ascii="Arial" w:hAnsi="Arial" w:cs="Arial"/>
                <w:sz w:val="24"/>
                <w:szCs w:val="24"/>
              </w:rPr>
              <w:t>What changed</w:t>
            </w:r>
          </w:p>
        </w:tc>
        <w:tc>
          <w:tcPr>
            <w:tcW w:w="2538" w:type="dxa"/>
          </w:tcPr>
          <w:p w14:paraId="52F66670" w14:textId="77777777" w:rsidR="001506C1" w:rsidRPr="00FA3F9C" w:rsidRDefault="001506C1" w:rsidP="006F623F">
            <w:pPr>
              <w:rPr>
                <w:rFonts w:ascii="Arial" w:hAnsi="Arial" w:cs="Arial"/>
                <w:sz w:val="24"/>
                <w:szCs w:val="24"/>
              </w:rPr>
            </w:pPr>
            <w:r w:rsidRPr="00FA3F9C">
              <w:rPr>
                <w:rFonts w:ascii="Arial" w:hAnsi="Arial" w:cs="Arial"/>
                <w:sz w:val="24"/>
                <w:szCs w:val="24"/>
              </w:rPr>
              <w:t>Pharmacist’s initials</w:t>
            </w:r>
          </w:p>
        </w:tc>
      </w:tr>
      <w:tr w:rsidR="001506C1" w:rsidRPr="00FA3F9C" w14:paraId="1D247D99" w14:textId="77777777" w:rsidTr="00FE491B">
        <w:tc>
          <w:tcPr>
            <w:tcW w:w="1008" w:type="dxa"/>
          </w:tcPr>
          <w:p w14:paraId="03B4A5B3" w14:textId="77777777" w:rsidR="001506C1" w:rsidRPr="00FA3F9C" w:rsidRDefault="001506C1" w:rsidP="006F623F">
            <w:pPr>
              <w:rPr>
                <w:rFonts w:ascii="Arial" w:hAnsi="Arial" w:cs="Arial"/>
                <w:sz w:val="24"/>
                <w:szCs w:val="24"/>
              </w:rPr>
            </w:pPr>
            <w:r w:rsidRPr="00FA3F9C">
              <w:rPr>
                <w:rFonts w:ascii="Arial" w:hAnsi="Arial" w:cs="Arial"/>
                <w:sz w:val="24"/>
                <w:szCs w:val="24"/>
              </w:rPr>
              <w:t>9/23/19</w:t>
            </w:r>
          </w:p>
        </w:tc>
        <w:tc>
          <w:tcPr>
            <w:tcW w:w="7470" w:type="dxa"/>
          </w:tcPr>
          <w:p w14:paraId="44457268" w14:textId="77777777" w:rsidR="001506C1" w:rsidRPr="00FA3F9C" w:rsidRDefault="001506C1" w:rsidP="006F623F">
            <w:pPr>
              <w:rPr>
                <w:rFonts w:ascii="Arial" w:hAnsi="Arial" w:cs="Arial"/>
                <w:sz w:val="24"/>
                <w:szCs w:val="24"/>
              </w:rPr>
            </w:pPr>
            <w:r w:rsidRPr="00FA3F9C">
              <w:rPr>
                <w:rFonts w:ascii="Arial" w:hAnsi="Arial" w:cs="Arial"/>
                <w:sz w:val="24"/>
                <w:szCs w:val="24"/>
              </w:rPr>
              <w:t>Criteria written</w:t>
            </w:r>
          </w:p>
        </w:tc>
        <w:tc>
          <w:tcPr>
            <w:tcW w:w="2538" w:type="dxa"/>
          </w:tcPr>
          <w:p w14:paraId="3742EA55" w14:textId="77777777" w:rsidR="001506C1" w:rsidRPr="00FA3F9C" w:rsidRDefault="001506C1" w:rsidP="006F623F">
            <w:pPr>
              <w:rPr>
                <w:rFonts w:ascii="Arial" w:hAnsi="Arial" w:cs="Arial"/>
                <w:sz w:val="24"/>
                <w:szCs w:val="24"/>
              </w:rPr>
            </w:pPr>
            <w:proofErr w:type="spellStart"/>
            <w:r w:rsidRPr="00FA3F9C">
              <w:rPr>
                <w:rFonts w:ascii="Arial" w:hAnsi="Arial" w:cs="Arial"/>
                <w:sz w:val="24"/>
                <w:szCs w:val="24"/>
              </w:rPr>
              <w:t>sk</w:t>
            </w:r>
            <w:proofErr w:type="spellEnd"/>
          </w:p>
        </w:tc>
      </w:tr>
      <w:tr w:rsidR="001506C1" w:rsidRPr="00FA3F9C" w14:paraId="78367956" w14:textId="77777777" w:rsidTr="00FE491B">
        <w:tc>
          <w:tcPr>
            <w:tcW w:w="1008" w:type="dxa"/>
          </w:tcPr>
          <w:p w14:paraId="1BF30B56" w14:textId="77777777" w:rsidR="001506C1" w:rsidRPr="00FA3F9C" w:rsidRDefault="001506C1" w:rsidP="006F623F">
            <w:pPr>
              <w:rPr>
                <w:rFonts w:ascii="Arial" w:hAnsi="Arial" w:cs="Arial"/>
                <w:sz w:val="24"/>
                <w:szCs w:val="24"/>
              </w:rPr>
            </w:pPr>
            <w:r w:rsidRPr="00FA3F9C">
              <w:rPr>
                <w:rFonts w:ascii="Arial" w:hAnsi="Arial" w:cs="Arial"/>
                <w:sz w:val="24"/>
                <w:szCs w:val="24"/>
              </w:rPr>
              <w:t>4/15/2020</w:t>
            </w:r>
          </w:p>
        </w:tc>
        <w:tc>
          <w:tcPr>
            <w:tcW w:w="7470" w:type="dxa"/>
          </w:tcPr>
          <w:p w14:paraId="560690EC" w14:textId="77777777" w:rsidR="001506C1" w:rsidRPr="00FA3F9C" w:rsidRDefault="001506C1" w:rsidP="00D130A8">
            <w:pPr>
              <w:rPr>
                <w:rFonts w:ascii="Arial" w:hAnsi="Arial" w:cs="Arial"/>
                <w:sz w:val="24"/>
                <w:szCs w:val="24"/>
              </w:rPr>
            </w:pPr>
            <w:r w:rsidRPr="00FA3F9C">
              <w:rPr>
                <w:rFonts w:ascii="Arial" w:hAnsi="Arial" w:cs="Arial"/>
                <w:sz w:val="24"/>
                <w:szCs w:val="24"/>
              </w:rPr>
              <w:t xml:space="preserve">Added reference for second </w:t>
            </w:r>
            <w:proofErr w:type="spellStart"/>
            <w:proofErr w:type="gramStart"/>
            <w:r w:rsidRPr="00FA3F9C">
              <w:rPr>
                <w:rFonts w:ascii="Arial" w:hAnsi="Arial" w:cs="Arial"/>
                <w:sz w:val="24"/>
                <w:szCs w:val="24"/>
              </w:rPr>
              <w:t>meta analysis</w:t>
            </w:r>
            <w:proofErr w:type="spellEnd"/>
            <w:proofErr w:type="gramEnd"/>
            <w:r w:rsidRPr="00FA3F9C">
              <w:rPr>
                <w:rFonts w:ascii="Arial" w:hAnsi="Arial" w:cs="Arial"/>
                <w:sz w:val="24"/>
                <w:szCs w:val="24"/>
              </w:rPr>
              <w:t xml:space="preserve"> to show improvement in overall survival of antiandrogens (including </w:t>
            </w:r>
            <w:proofErr w:type="spellStart"/>
            <w:r w:rsidRPr="00FA3F9C">
              <w:rPr>
                <w:rFonts w:ascii="Arial" w:hAnsi="Arial" w:cs="Arial"/>
                <w:sz w:val="24"/>
                <w:szCs w:val="24"/>
              </w:rPr>
              <w:t>darolutamide</w:t>
            </w:r>
            <w:proofErr w:type="spellEnd"/>
            <w:r w:rsidRPr="00FA3F9C">
              <w:rPr>
                <w:rFonts w:ascii="Arial" w:hAnsi="Arial" w:cs="Arial"/>
                <w:sz w:val="24"/>
                <w:szCs w:val="24"/>
              </w:rPr>
              <w:t>) vs placebo.</w:t>
            </w:r>
          </w:p>
        </w:tc>
        <w:tc>
          <w:tcPr>
            <w:tcW w:w="2538" w:type="dxa"/>
          </w:tcPr>
          <w:p w14:paraId="54F28DCB" w14:textId="77777777" w:rsidR="001506C1" w:rsidRPr="00FA3F9C" w:rsidRDefault="001506C1" w:rsidP="006F623F">
            <w:pPr>
              <w:rPr>
                <w:rFonts w:ascii="Arial" w:hAnsi="Arial" w:cs="Arial"/>
                <w:sz w:val="24"/>
                <w:szCs w:val="24"/>
              </w:rPr>
            </w:pPr>
            <w:r w:rsidRPr="00FA3F9C">
              <w:rPr>
                <w:rFonts w:ascii="Arial" w:hAnsi="Arial" w:cs="Arial"/>
                <w:sz w:val="24"/>
                <w:szCs w:val="24"/>
              </w:rPr>
              <w:t>SK</w:t>
            </w:r>
          </w:p>
        </w:tc>
      </w:tr>
      <w:tr w:rsidR="001506C1" w:rsidRPr="00FA3F9C" w14:paraId="0F851D55" w14:textId="77777777" w:rsidTr="00FE491B">
        <w:tc>
          <w:tcPr>
            <w:tcW w:w="1008" w:type="dxa"/>
          </w:tcPr>
          <w:p w14:paraId="5CD9DB37" w14:textId="77777777" w:rsidR="001506C1" w:rsidRPr="00FA3F9C" w:rsidRDefault="001506C1" w:rsidP="006F623F">
            <w:pPr>
              <w:rPr>
                <w:rFonts w:ascii="Arial" w:hAnsi="Arial" w:cs="Arial"/>
                <w:sz w:val="24"/>
                <w:szCs w:val="24"/>
              </w:rPr>
            </w:pPr>
            <w:r w:rsidRPr="00FA3F9C">
              <w:rPr>
                <w:rFonts w:ascii="Arial" w:hAnsi="Arial" w:cs="Arial"/>
                <w:sz w:val="24"/>
                <w:szCs w:val="24"/>
              </w:rPr>
              <w:t>6/16/2020</w:t>
            </w:r>
          </w:p>
        </w:tc>
        <w:tc>
          <w:tcPr>
            <w:tcW w:w="7470" w:type="dxa"/>
          </w:tcPr>
          <w:p w14:paraId="2CBBBA4D" w14:textId="77777777" w:rsidR="001506C1" w:rsidRPr="00FA3F9C" w:rsidRDefault="001506C1" w:rsidP="005D0568">
            <w:pPr>
              <w:rPr>
                <w:rFonts w:ascii="Arial" w:hAnsi="Arial" w:cs="Arial"/>
                <w:sz w:val="24"/>
                <w:szCs w:val="24"/>
              </w:rPr>
            </w:pPr>
            <w:r w:rsidRPr="00FA3F9C">
              <w:rPr>
                <w:rFonts w:ascii="Arial" w:hAnsi="Arial" w:cs="Arial"/>
                <w:sz w:val="24"/>
                <w:szCs w:val="24"/>
              </w:rPr>
              <w:t xml:space="preserve">Added new reference showing improved OS data in </w:t>
            </w:r>
            <w:proofErr w:type="spellStart"/>
            <w:r w:rsidRPr="00FA3F9C">
              <w:rPr>
                <w:rFonts w:ascii="Arial" w:hAnsi="Arial" w:cs="Arial"/>
                <w:sz w:val="24"/>
                <w:szCs w:val="24"/>
              </w:rPr>
              <w:t>darolutamide</w:t>
            </w:r>
            <w:proofErr w:type="spellEnd"/>
            <w:r w:rsidRPr="00FA3F9C">
              <w:rPr>
                <w:rFonts w:ascii="Arial" w:hAnsi="Arial" w:cs="Arial"/>
                <w:sz w:val="24"/>
                <w:szCs w:val="24"/>
              </w:rPr>
              <w:t xml:space="preserve"> trial. No change in criteria.</w:t>
            </w:r>
          </w:p>
        </w:tc>
        <w:tc>
          <w:tcPr>
            <w:tcW w:w="2538" w:type="dxa"/>
          </w:tcPr>
          <w:p w14:paraId="38E6F656" w14:textId="77777777" w:rsidR="001506C1" w:rsidRPr="00FA3F9C" w:rsidRDefault="001506C1" w:rsidP="006F623F">
            <w:pPr>
              <w:rPr>
                <w:rFonts w:ascii="Arial" w:hAnsi="Arial" w:cs="Arial"/>
                <w:sz w:val="24"/>
                <w:szCs w:val="24"/>
              </w:rPr>
            </w:pPr>
            <w:r w:rsidRPr="00FA3F9C">
              <w:rPr>
                <w:rFonts w:ascii="Arial" w:hAnsi="Arial" w:cs="Arial"/>
                <w:sz w:val="24"/>
                <w:szCs w:val="24"/>
              </w:rPr>
              <w:t>SK</w:t>
            </w:r>
          </w:p>
        </w:tc>
      </w:tr>
      <w:tr w:rsidR="001506C1" w:rsidRPr="00FA3F9C" w14:paraId="05DE2661" w14:textId="77777777" w:rsidTr="00FE491B">
        <w:tc>
          <w:tcPr>
            <w:tcW w:w="1008" w:type="dxa"/>
          </w:tcPr>
          <w:p w14:paraId="00C3026D" w14:textId="77777777" w:rsidR="001506C1" w:rsidRPr="00FA3F9C" w:rsidRDefault="001506C1" w:rsidP="006F623F">
            <w:pPr>
              <w:rPr>
                <w:rFonts w:ascii="Arial" w:hAnsi="Arial" w:cs="Arial"/>
                <w:sz w:val="24"/>
                <w:szCs w:val="24"/>
              </w:rPr>
            </w:pPr>
            <w:r w:rsidRPr="00FA3F9C">
              <w:rPr>
                <w:rFonts w:ascii="Arial" w:hAnsi="Arial" w:cs="Arial"/>
                <w:sz w:val="24"/>
                <w:szCs w:val="24"/>
              </w:rPr>
              <w:t>3/31/21</w:t>
            </w:r>
          </w:p>
        </w:tc>
        <w:tc>
          <w:tcPr>
            <w:tcW w:w="7470" w:type="dxa"/>
          </w:tcPr>
          <w:p w14:paraId="5440BA15" w14:textId="77777777" w:rsidR="001506C1" w:rsidRPr="00FA3F9C" w:rsidRDefault="001506C1" w:rsidP="005D0568">
            <w:pPr>
              <w:rPr>
                <w:rFonts w:ascii="Arial" w:hAnsi="Arial" w:cs="Arial"/>
                <w:sz w:val="24"/>
                <w:szCs w:val="24"/>
              </w:rPr>
            </w:pPr>
            <w:r w:rsidRPr="00FA3F9C">
              <w:rPr>
                <w:rFonts w:ascii="Arial" w:hAnsi="Arial" w:cs="Arial"/>
                <w:sz w:val="24"/>
                <w:szCs w:val="24"/>
              </w:rPr>
              <w:t>I clarified this is for castration-resistant prostate cancer (nonmetastatic)</w:t>
            </w:r>
          </w:p>
        </w:tc>
        <w:tc>
          <w:tcPr>
            <w:tcW w:w="2538" w:type="dxa"/>
          </w:tcPr>
          <w:p w14:paraId="522F9118" w14:textId="77777777" w:rsidR="001506C1" w:rsidRPr="00FA3F9C" w:rsidRDefault="001506C1" w:rsidP="006F623F">
            <w:pPr>
              <w:rPr>
                <w:rFonts w:ascii="Arial" w:hAnsi="Arial" w:cs="Arial"/>
                <w:sz w:val="24"/>
                <w:szCs w:val="24"/>
              </w:rPr>
            </w:pPr>
            <w:r w:rsidRPr="00FA3F9C">
              <w:rPr>
                <w:rFonts w:ascii="Arial" w:hAnsi="Arial" w:cs="Arial"/>
                <w:sz w:val="24"/>
                <w:szCs w:val="24"/>
              </w:rPr>
              <w:t>JJ</w:t>
            </w:r>
          </w:p>
        </w:tc>
      </w:tr>
      <w:tr w:rsidR="001506C1" w:rsidRPr="00FA3F9C" w14:paraId="45EB2A19" w14:textId="77777777" w:rsidTr="00FE491B">
        <w:tc>
          <w:tcPr>
            <w:tcW w:w="1008" w:type="dxa"/>
          </w:tcPr>
          <w:p w14:paraId="367316DA" w14:textId="77777777" w:rsidR="001506C1" w:rsidRPr="00FA3F9C" w:rsidRDefault="001506C1" w:rsidP="006F623F">
            <w:pPr>
              <w:rPr>
                <w:rFonts w:ascii="Arial" w:hAnsi="Arial" w:cs="Arial"/>
                <w:sz w:val="24"/>
                <w:szCs w:val="24"/>
              </w:rPr>
            </w:pPr>
            <w:r w:rsidRPr="00FA3F9C">
              <w:rPr>
                <w:rFonts w:ascii="Arial" w:hAnsi="Arial" w:cs="Arial"/>
                <w:sz w:val="24"/>
                <w:szCs w:val="24"/>
              </w:rPr>
              <w:t>5/25/21</w:t>
            </w:r>
          </w:p>
        </w:tc>
        <w:tc>
          <w:tcPr>
            <w:tcW w:w="7470" w:type="dxa"/>
          </w:tcPr>
          <w:p w14:paraId="78408B33" w14:textId="77777777" w:rsidR="001506C1" w:rsidRPr="00FA3F9C" w:rsidRDefault="001506C1" w:rsidP="005D0568">
            <w:pPr>
              <w:rPr>
                <w:rFonts w:ascii="Arial" w:hAnsi="Arial" w:cs="Arial"/>
                <w:sz w:val="24"/>
                <w:szCs w:val="24"/>
              </w:rPr>
            </w:pPr>
            <w:r w:rsidRPr="00FA3F9C">
              <w:rPr>
                <w:rFonts w:ascii="Arial" w:hAnsi="Arial" w:cs="Arial"/>
                <w:sz w:val="24"/>
                <w:szCs w:val="24"/>
              </w:rPr>
              <w:t>Added 4</w:t>
            </w:r>
            <w:r w:rsidRPr="00FA3F9C">
              <w:rPr>
                <w:rFonts w:ascii="Arial" w:hAnsi="Arial" w:cs="Arial"/>
                <w:sz w:val="24"/>
                <w:szCs w:val="24"/>
                <w:vertAlign w:val="superscript"/>
              </w:rPr>
              <w:t>th</w:t>
            </w:r>
            <w:r w:rsidRPr="00FA3F9C">
              <w:rPr>
                <w:rFonts w:ascii="Arial" w:hAnsi="Arial" w:cs="Arial"/>
                <w:sz w:val="24"/>
                <w:szCs w:val="24"/>
              </w:rPr>
              <w:t xml:space="preserve"> reference. Criteria reviewed. No change</w:t>
            </w:r>
          </w:p>
        </w:tc>
        <w:tc>
          <w:tcPr>
            <w:tcW w:w="2538" w:type="dxa"/>
          </w:tcPr>
          <w:p w14:paraId="5F2913D8" w14:textId="77777777" w:rsidR="001506C1" w:rsidRPr="00FA3F9C" w:rsidRDefault="001506C1" w:rsidP="006F623F">
            <w:pPr>
              <w:rPr>
                <w:rFonts w:ascii="Arial" w:hAnsi="Arial" w:cs="Arial"/>
                <w:sz w:val="24"/>
                <w:szCs w:val="24"/>
              </w:rPr>
            </w:pPr>
            <w:r w:rsidRPr="00FA3F9C">
              <w:rPr>
                <w:rFonts w:ascii="Arial" w:hAnsi="Arial" w:cs="Arial"/>
                <w:sz w:val="24"/>
                <w:szCs w:val="24"/>
              </w:rPr>
              <w:t>SK</w:t>
            </w:r>
          </w:p>
        </w:tc>
      </w:tr>
    </w:tbl>
    <w:p w14:paraId="69BAD8BF" w14:textId="77777777" w:rsidR="001506C1" w:rsidRPr="00FA3F9C" w:rsidRDefault="001506C1" w:rsidP="006F623F">
      <w:pPr>
        <w:spacing w:after="0"/>
        <w:rPr>
          <w:rFonts w:ascii="Arial" w:hAnsi="Arial" w:cs="Arial"/>
          <w:sz w:val="24"/>
          <w:szCs w:val="24"/>
        </w:rPr>
      </w:pPr>
    </w:p>
    <w:p w14:paraId="53302C42" w14:textId="77777777" w:rsidR="001506C1" w:rsidRPr="00FA3F9C" w:rsidRDefault="001506C1" w:rsidP="003B40CD">
      <w:pPr>
        <w:pStyle w:val="Heading2"/>
      </w:pPr>
      <w:bookmarkStart w:id="67" w:name="_Toc106369763"/>
      <w:proofErr w:type="spellStart"/>
      <w:r w:rsidRPr="00FA3F9C">
        <w:t>Dasatinib</w:t>
      </w:r>
      <w:proofErr w:type="spellEnd"/>
      <w:r w:rsidRPr="00FA3F9C">
        <w:t xml:space="preserve"> (</w:t>
      </w:r>
      <w:proofErr w:type="spellStart"/>
      <w:r w:rsidRPr="00FA3F9C">
        <w:t>Sprycel</w:t>
      </w:r>
      <w:proofErr w:type="spellEnd"/>
      <w:r w:rsidRPr="00FA3F9C">
        <w:t>)</w:t>
      </w:r>
      <w:bookmarkEnd w:id="67"/>
    </w:p>
    <w:p w14:paraId="7A1EB7DD" w14:textId="77777777" w:rsidR="001506C1" w:rsidRPr="00FA3F9C" w:rsidRDefault="001506C1" w:rsidP="006F623F">
      <w:pPr>
        <w:spacing w:after="0"/>
        <w:jc w:val="center"/>
        <w:rPr>
          <w:rFonts w:ascii="Arial" w:hAnsi="Arial" w:cs="Arial"/>
          <w:sz w:val="24"/>
          <w:szCs w:val="24"/>
        </w:rPr>
      </w:pPr>
      <w:r w:rsidRPr="00FA3F9C">
        <w:rPr>
          <w:rFonts w:ascii="Arial" w:hAnsi="Arial" w:cs="Arial"/>
          <w:sz w:val="24"/>
          <w:szCs w:val="24"/>
        </w:rPr>
        <w:t>EBRx PA Criteria</w:t>
      </w:r>
    </w:p>
    <w:p w14:paraId="07809BF7" w14:textId="77777777" w:rsidR="001506C1" w:rsidRPr="00FA3F9C" w:rsidRDefault="001506C1" w:rsidP="006F623F">
      <w:pPr>
        <w:spacing w:after="0"/>
        <w:rPr>
          <w:rFonts w:ascii="Arial" w:hAnsi="Arial" w:cs="Arial"/>
          <w:b/>
          <w:sz w:val="24"/>
          <w:szCs w:val="24"/>
          <w:u w:val="single"/>
        </w:rPr>
      </w:pPr>
    </w:p>
    <w:p w14:paraId="6BEBFDD0" w14:textId="77777777" w:rsidR="001506C1" w:rsidRPr="00FA3F9C" w:rsidRDefault="001506C1"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w:t>
      </w:r>
    </w:p>
    <w:p w14:paraId="5774FF69" w14:textId="77777777" w:rsidR="001506C1" w:rsidRPr="00FA3F9C" w:rsidRDefault="001506C1" w:rsidP="001506C1">
      <w:pPr>
        <w:pStyle w:val="ListParagraph"/>
        <w:numPr>
          <w:ilvl w:val="0"/>
          <w:numId w:val="109"/>
        </w:numPr>
        <w:spacing w:after="0" w:line="276" w:lineRule="auto"/>
        <w:rPr>
          <w:rFonts w:ascii="Arial" w:hAnsi="Arial" w:cs="Arial"/>
          <w:sz w:val="24"/>
          <w:szCs w:val="24"/>
        </w:rPr>
      </w:pPr>
      <w:r w:rsidRPr="00FA3F9C">
        <w:rPr>
          <w:rFonts w:ascii="Arial" w:hAnsi="Arial" w:cs="Arial"/>
          <w:sz w:val="24"/>
          <w:szCs w:val="24"/>
        </w:rPr>
        <w:t xml:space="preserve">Newly diagnosed adults with Philadelphia chromosome-positive (Ph+) chronic myeloid leukemia (CML) in chronic phase.  EBRx does not cover </w:t>
      </w:r>
      <w:proofErr w:type="spellStart"/>
      <w:r w:rsidRPr="00FA3F9C">
        <w:rPr>
          <w:rFonts w:ascii="Arial" w:hAnsi="Arial" w:cs="Arial"/>
          <w:sz w:val="24"/>
          <w:szCs w:val="24"/>
        </w:rPr>
        <w:t>dasatinib</w:t>
      </w:r>
      <w:proofErr w:type="spellEnd"/>
      <w:r w:rsidRPr="00FA3F9C">
        <w:rPr>
          <w:rFonts w:ascii="Arial" w:hAnsi="Arial" w:cs="Arial"/>
          <w:sz w:val="24"/>
          <w:szCs w:val="24"/>
        </w:rPr>
        <w:t xml:space="preserve"> for first line treatment of CML unless imatinib cannot be used.</w:t>
      </w:r>
    </w:p>
    <w:p w14:paraId="3E7739E2" w14:textId="77777777" w:rsidR="001506C1" w:rsidRPr="00FA3F9C" w:rsidRDefault="001506C1" w:rsidP="001506C1">
      <w:pPr>
        <w:pStyle w:val="ListParagraph"/>
        <w:numPr>
          <w:ilvl w:val="0"/>
          <w:numId w:val="109"/>
        </w:numPr>
        <w:spacing w:after="0" w:line="276" w:lineRule="auto"/>
        <w:rPr>
          <w:rFonts w:ascii="Arial" w:hAnsi="Arial" w:cs="Arial"/>
          <w:sz w:val="24"/>
          <w:szCs w:val="24"/>
        </w:rPr>
      </w:pPr>
      <w:r w:rsidRPr="00FA3F9C">
        <w:rPr>
          <w:rFonts w:ascii="Arial" w:hAnsi="Arial" w:cs="Arial"/>
          <w:sz w:val="24"/>
          <w:szCs w:val="24"/>
        </w:rPr>
        <w:t xml:space="preserve">Adults with chronic, accelerated, or myeloid or lymphoid blast phase Ph+ CML with resistance or intolerance to prior therapy including imatinib. </w:t>
      </w:r>
    </w:p>
    <w:p w14:paraId="7EF46BAA" w14:textId="77777777" w:rsidR="001506C1" w:rsidRPr="00FA3F9C" w:rsidRDefault="001506C1" w:rsidP="001506C1">
      <w:pPr>
        <w:pStyle w:val="ListParagraph"/>
        <w:numPr>
          <w:ilvl w:val="0"/>
          <w:numId w:val="109"/>
        </w:numPr>
        <w:spacing w:after="0" w:line="276" w:lineRule="auto"/>
        <w:rPr>
          <w:rFonts w:ascii="Arial" w:hAnsi="Arial" w:cs="Arial"/>
          <w:sz w:val="24"/>
          <w:szCs w:val="24"/>
        </w:rPr>
      </w:pPr>
      <w:r w:rsidRPr="00FA3F9C">
        <w:rPr>
          <w:rFonts w:ascii="Arial" w:hAnsi="Arial" w:cs="Arial"/>
          <w:sz w:val="24"/>
          <w:szCs w:val="24"/>
        </w:rPr>
        <w:t xml:space="preserve">Adults with Philadelphia chromosome-positive acute lymphoblastic leukemia (Ph+ ALL) with resistance or intolerance to prior therapy. </w:t>
      </w:r>
    </w:p>
    <w:p w14:paraId="01D34D6D" w14:textId="77777777" w:rsidR="001506C1" w:rsidRPr="00FA3F9C" w:rsidRDefault="001506C1" w:rsidP="001506C1">
      <w:pPr>
        <w:pStyle w:val="ListParagraph"/>
        <w:numPr>
          <w:ilvl w:val="0"/>
          <w:numId w:val="109"/>
        </w:numPr>
        <w:spacing w:after="0" w:line="276" w:lineRule="auto"/>
        <w:rPr>
          <w:rFonts w:ascii="Arial" w:hAnsi="Arial" w:cs="Arial"/>
          <w:sz w:val="24"/>
          <w:szCs w:val="24"/>
        </w:rPr>
      </w:pPr>
      <w:r w:rsidRPr="00FA3F9C">
        <w:rPr>
          <w:rFonts w:ascii="Arial" w:hAnsi="Arial" w:cs="Arial"/>
          <w:sz w:val="24"/>
          <w:szCs w:val="24"/>
        </w:rPr>
        <w:t xml:space="preserve">Pediatric patients 1 year of age and older with Ph+ CML in chronic phase. </w:t>
      </w:r>
    </w:p>
    <w:p w14:paraId="224DFB08" w14:textId="77777777" w:rsidR="001506C1" w:rsidRPr="00FA3F9C" w:rsidRDefault="001506C1" w:rsidP="001506C1">
      <w:pPr>
        <w:pStyle w:val="ListParagraph"/>
        <w:numPr>
          <w:ilvl w:val="0"/>
          <w:numId w:val="109"/>
        </w:numPr>
        <w:spacing w:after="0" w:line="276" w:lineRule="auto"/>
        <w:rPr>
          <w:rFonts w:ascii="Arial" w:hAnsi="Arial" w:cs="Arial"/>
          <w:sz w:val="24"/>
          <w:szCs w:val="24"/>
        </w:rPr>
      </w:pPr>
      <w:r w:rsidRPr="00FA3F9C">
        <w:rPr>
          <w:rFonts w:ascii="Arial" w:hAnsi="Arial" w:cs="Arial"/>
          <w:sz w:val="24"/>
          <w:szCs w:val="24"/>
        </w:rPr>
        <w:t>Pediatric patients 1 year of age and older with newly diagnosed Ph+ ALL in combination with chemotherapy.</w:t>
      </w:r>
    </w:p>
    <w:p w14:paraId="24A430BC" w14:textId="77777777" w:rsidR="001506C1" w:rsidRPr="00FA3F9C" w:rsidRDefault="001506C1" w:rsidP="00D43243">
      <w:pPr>
        <w:spacing w:after="0"/>
        <w:rPr>
          <w:rFonts w:ascii="Arial" w:hAnsi="Arial" w:cs="Arial"/>
          <w:sz w:val="24"/>
          <w:szCs w:val="24"/>
        </w:rPr>
      </w:pPr>
    </w:p>
    <w:tbl>
      <w:tblPr>
        <w:tblStyle w:val="TableGrid"/>
        <w:tblW w:w="0" w:type="auto"/>
        <w:tblLook w:val="04A0" w:firstRow="1" w:lastRow="0" w:firstColumn="1" w:lastColumn="0" w:noHBand="0" w:noVBand="1"/>
      </w:tblPr>
      <w:tblGrid>
        <w:gridCol w:w="8928"/>
        <w:gridCol w:w="2088"/>
      </w:tblGrid>
      <w:tr w:rsidR="001506C1" w:rsidRPr="00FA3F9C" w14:paraId="681B8CF5" w14:textId="77777777" w:rsidTr="00E924F1">
        <w:tc>
          <w:tcPr>
            <w:tcW w:w="8928" w:type="dxa"/>
            <w:shd w:val="clear" w:color="auto" w:fill="000000"/>
          </w:tcPr>
          <w:p w14:paraId="49EE6A12" w14:textId="77777777" w:rsidR="001506C1" w:rsidRPr="00FA3F9C" w:rsidRDefault="001506C1" w:rsidP="00E924F1">
            <w:pPr>
              <w:rPr>
                <w:rFonts w:ascii="Arial" w:hAnsi="Arial" w:cs="Arial"/>
                <w:b/>
                <w:sz w:val="24"/>
                <w:szCs w:val="24"/>
                <w:u w:val="single"/>
              </w:rPr>
            </w:pPr>
            <w:r w:rsidRPr="00FA3F9C">
              <w:rPr>
                <w:rFonts w:ascii="Arial" w:hAnsi="Arial" w:cs="Arial"/>
                <w:b/>
                <w:sz w:val="24"/>
                <w:szCs w:val="24"/>
                <w:u w:val="single"/>
              </w:rPr>
              <w:t>Criteria for new users</w:t>
            </w:r>
          </w:p>
        </w:tc>
        <w:tc>
          <w:tcPr>
            <w:tcW w:w="2088" w:type="dxa"/>
            <w:shd w:val="clear" w:color="auto" w:fill="000000"/>
          </w:tcPr>
          <w:p w14:paraId="5A682335" w14:textId="77777777" w:rsidR="001506C1" w:rsidRPr="00FA3F9C" w:rsidRDefault="001506C1" w:rsidP="00E924F1">
            <w:pPr>
              <w:jc w:val="center"/>
              <w:rPr>
                <w:rFonts w:ascii="Arial" w:hAnsi="Arial" w:cs="Arial"/>
                <w:b/>
                <w:sz w:val="24"/>
                <w:szCs w:val="24"/>
                <w:u w:val="single"/>
              </w:rPr>
            </w:pPr>
          </w:p>
        </w:tc>
      </w:tr>
      <w:tr w:rsidR="001506C1" w:rsidRPr="00FA3F9C" w14:paraId="604363DD" w14:textId="77777777" w:rsidTr="00E924F1">
        <w:tc>
          <w:tcPr>
            <w:tcW w:w="11016" w:type="dxa"/>
            <w:gridSpan w:val="2"/>
          </w:tcPr>
          <w:p w14:paraId="03FB71A4" w14:textId="77777777" w:rsidR="001506C1" w:rsidRPr="00FA3F9C" w:rsidRDefault="001506C1" w:rsidP="001506C1">
            <w:pPr>
              <w:pStyle w:val="ListParagraph"/>
              <w:numPr>
                <w:ilvl w:val="0"/>
                <w:numId w:val="54"/>
              </w:numPr>
              <w:rPr>
                <w:rFonts w:ascii="Arial" w:hAnsi="Arial" w:cs="Arial"/>
                <w:sz w:val="24"/>
                <w:szCs w:val="24"/>
              </w:rPr>
            </w:pPr>
            <w:r w:rsidRPr="00FA3F9C">
              <w:rPr>
                <w:rFonts w:ascii="Arial" w:hAnsi="Arial" w:cs="Arial"/>
                <w:sz w:val="24"/>
                <w:szCs w:val="24"/>
              </w:rPr>
              <w:lastRenderedPageBreak/>
              <w:t>Philadelphia chromosome + (Ph+) acute lymphoblastic leukemia (ALL) resistant or intolerant to imatinib (note: Ph+ may also be denoted as t(9;22) or BCR/ABL)</w:t>
            </w:r>
          </w:p>
        </w:tc>
      </w:tr>
      <w:tr w:rsidR="001506C1" w:rsidRPr="00FA3F9C" w14:paraId="003B28CD" w14:textId="77777777" w:rsidTr="00E924F1">
        <w:tc>
          <w:tcPr>
            <w:tcW w:w="11016" w:type="dxa"/>
            <w:gridSpan w:val="2"/>
          </w:tcPr>
          <w:p w14:paraId="145AF379" w14:textId="77777777" w:rsidR="001506C1" w:rsidRPr="00FA3F9C" w:rsidRDefault="001506C1" w:rsidP="001506C1">
            <w:pPr>
              <w:pStyle w:val="ListParagraph"/>
              <w:numPr>
                <w:ilvl w:val="0"/>
                <w:numId w:val="54"/>
              </w:numPr>
              <w:rPr>
                <w:rFonts w:ascii="Arial" w:hAnsi="Arial" w:cs="Arial"/>
                <w:sz w:val="24"/>
                <w:szCs w:val="24"/>
              </w:rPr>
            </w:pPr>
            <w:r w:rsidRPr="00FA3F9C">
              <w:rPr>
                <w:rFonts w:ascii="Arial" w:hAnsi="Arial" w:cs="Arial"/>
                <w:sz w:val="24"/>
                <w:szCs w:val="24"/>
              </w:rPr>
              <w:t>Ph+ chronic myeloid leukemia (CML) in chronic phase, accelerated/advanced phase, or blast crisis with resistance*, intolerance, or contraindication to imatinib  (note: Ph+ may also be denoted as t(9;22) or BCR/ABL)</w:t>
            </w:r>
          </w:p>
        </w:tc>
      </w:tr>
      <w:tr w:rsidR="001506C1" w:rsidRPr="00FA3F9C" w14:paraId="59043EED" w14:textId="77777777" w:rsidTr="00E924F1">
        <w:tc>
          <w:tcPr>
            <w:tcW w:w="11016" w:type="dxa"/>
            <w:gridSpan w:val="2"/>
            <w:shd w:val="clear" w:color="auto" w:fill="F2F2F2" w:themeFill="background1" w:themeFillShade="F2"/>
          </w:tcPr>
          <w:p w14:paraId="7898EAA7" w14:textId="77777777" w:rsidR="001506C1" w:rsidRPr="00FA3F9C" w:rsidRDefault="001506C1" w:rsidP="00E924F1">
            <w:pPr>
              <w:rPr>
                <w:rFonts w:ascii="Arial" w:hAnsi="Arial" w:cs="Arial"/>
                <w:sz w:val="24"/>
                <w:szCs w:val="24"/>
              </w:rPr>
            </w:pPr>
            <w:r w:rsidRPr="00FA3F9C">
              <w:rPr>
                <w:rFonts w:ascii="Arial" w:hAnsi="Arial" w:cs="Arial"/>
                <w:sz w:val="24"/>
                <w:szCs w:val="24"/>
              </w:rPr>
              <w:t>*Resistance to CML therapy is generally defined as any of the following (see notes below):</w:t>
            </w:r>
          </w:p>
          <w:p w14:paraId="1D6F12FD" w14:textId="77777777" w:rsidR="001506C1" w:rsidRPr="00FA3F9C" w:rsidRDefault="001506C1" w:rsidP="001506C1">
            <w:pPr>
              <w:pStyle w:val="ListParagraph"/>
              <w:numPr>
                <w:ilvl w:val="0"/>
                <w:numId w:val="23"/>
              </w:numPr>
              <w:rPr>
                <w:rFonts w:ascii="Arial" w:hAnsi="Arial" w:cs="Arial"/>
                <w:sz w:val="24"/>
                <w:szCs w:val="24"/>
              </w:rPr>
            </w:pPr>
            <w:r w:rsidRPr="00FA3F9C">
              <w:rPr>
                <w:rFonts w:ascii="Arial" w:hAnsi="Arial" w:cs="Arial"/>
                <w:sz w:val="24"/>
                <w:szCs w:val="24"/>
              </w:rPr>
              <w:t xml:space="preserve">Inadequate response (defined as one of the following): </w:t>
            </w:r>
          </w:p>
          <w:p w14:paraId="4938419C" w14:textId="77777777" w:rsidR="001506C1" w:rsidRPr="00FA3F9C" w:rsidRDefault="001506C1" w:rsidP="001506C1">
            <w:pPr>
              <w:pStyle w:val="ListParagraph"/>
              <w:numPr>
                <w:ilvl w:val="2"/>
                <w:numId w:val="23"/>
              </w:numPr>
              <w:ind w:left="1080"/>
              <w:rPr>
                <w:rFonts w:ascii="Arial" w:hAnsi="Arial" w:cs="Arial"/>
                <w:sz w:val="24"/>
                <w:szCs w:val="24"/>
              </w:rPr>
            </w:pPr>
            <w:r w:rsidRPr="00FA3F9C">
              <w:rPr>
                <w:rFonts w:ascii="Arial" w:hAnsi="Arial" w:cs="Arial"/>
                <w:sz w:val="24"/>
                <w:szCs w:val="24"/>
              </w:rPr>
              <w:t>After 3 months of therapy: Lack of complete hematologic response (Platelets &lt;450 x10</w:t>
            </w:r>
            <w:r w:rsidRPr="00FA3F9C">
              <w:rPr>
                <w:rFonts w:ascii="Arial" w:hAnsi="Arial" w:cs="Arial"/>
                <w:sz w:val="24"/>
                <w:szCs w:val="24"/>
                <w:vertAlign w:val="superscript"/>
              </w:rPr>
              <w:t>9</w:t>
            </w:r>
            <w:r w:rsidRPr="00FA3F9C">
              <w:rPr>
                <w:rFonts w:ascii="Arial" w:hAnsi="Arial" w:cs="Arial"/>
                <w:sz w:val="24"/>
                <w:szCs w:val="24"/>
              </w:rPr>
              <w:t>/L; leukocyte count &lt;10 x 10</w:t>
            </w:r>
            <w:r w:rsidRPr="00FA3F9C">
              <w:rPr>
                <w:rFonts w:ascii="Arial" w:hAnsi="Arial" w:cs="Arial"/>
                <w:sz w:val="24"/>
                <w:szCs w:val="24"/>
                <w:vertAlign w:val="superscript"/>
              </w:rPr>
              <w:t>9</w:t>
            </w:r>
            <w:r w:rsidRPr="00FA3F9C">
              <w:rPr>
                <w:rFonts w:ascii="Arial" w:hAnsi="Arial" w:cs="Arial"/>
                <w:sz w:val="24"/>
                <w:szCs w:val="24"/>
              </w:rPr>
              <w:t xml:space="preserve">/L) </w:t>
            </w:r>
          </w:p>
          <w:p w14:paraId="0E39E560" w14:textId="77777777" w:rsidR="001506C1" w:rsidRPr="00FA3F9C" w:rsidRDefault="001506C1" w:rsidP="001506C1">
            <w:pPr>
              <w:pStyle w:val="ListParagraph"/>
              <w:numPr>
                <w:ilvl w:val="2"/>
                <w:numId w:val="23"/>
              </w:numPr>
              <w:ind w:left="1080"/>
              <w:rPr>
                <w:rFonts w:ascii="Arial" w:hAnsi="Arial" w:cs="Arial"/>
                <w:sz w:val="24"/>
                <w:szCs w:val="24"/>
              </w:rPr>
            </w:pPr>
            <w:r w:rsidRPr="00FA3F9C">
              <w:rPr>
                <w:rFonts w:ascii="Arial" w:hAnsi="Arial" w:cs="Arial"/>
                <w:sz w:val="24"/>
                <w:szCs w:val="24"/>
              </w:rPr>
              <w:t xml:space="preserve">After 3 months of therapy: Cytogenetic analysis shows &gt;95% Ph+ metaphases </w:t>
            </w:r>
          </w:p>
          <w:p w14:paraId="5E215656" w14:textId="77777777" w:rsidR="001506C1" w:rsidRPr="00FA3F9C" w:rsidRDefault="001506C1" w:rsidP="001506C1">
            <w:pPr>
              <w:pStyle w:val="ListParagraph"/>
              <w:numPr>
                <w:ilvl w:val="2"/>
                <w:numId w:val="23"/>
              </w:numPr>
              <w:ind w:left="1080"/>
              <w:rPr>
                <w:rFonts w:ascii="Arial" w:hAnsi="Arial" w:cs="Arial"/>
                <w:sz w:val="24"/>
                <w:szCs w:val="24"/>
              </w:rPr>
            </w:pPr>
            <w:r w:rsidRPr="00FA3F9C">
              <w:rPr>
                <w:rFonts w:ascii="Arial" w:hAnsi="Arial" w:cs="Arial"/>
                <w:sz w:val="24"/>
                <w:szCs w:val="24"/>
              </w:rPr>
              <w:t xml:space="preserve">After 6 months of therapy: BCR-ABL1 (IS) &gt;10% by quantitative PCR (qPCR) </w:t>
            </w:r>
          </w:p>
          <w:p w14:paraId="3FF9FF81" w14:textId="77777777" w:rsidR="001506C1" w:rsidRPr="00FA3F9C" w:rsidRDefault="001506C1" w:rsidP="001506C1">
            <w:pPr>
              <w:pStyle w:val="ListParagraph"/>
              <w:numPr>
                <w:ilvl w:val="2"/>
                <w:numId w:val="23"/>
              </w:numPr>
              <w:ind w:left="1080"/>
              <w:rPr>
                <w:rFonts w:ascii="Arial" w:hAnsi="Arial" w:cs="Arial"/>
                <w:sz w:val="24"/>
                <w:szCs w:val="24"/>
              </w:rPr>
            </w:pPr>
            <w:r w:rsidRPr="00FA3F9C">
              <w:rPr>
                <w:rFonts w:ascii="Arial" w:hAnsi="Arial" w:cs="Arial"/>
                <w:sz w:val="24"/>
                <w:szCs w:val="24"/>
              </w:rPr>
              <w:t xml:space="preserve">After 6 months of therapy: Cytogenetic analysis shows &gt;35% Ph+ metaphases </w:t>
            </w:r>
          </w:p>
          <w:p w14:paraId="74CBBEAB" w14:textId="77777777" w:rsidR="001506C1" w:rsidRPr="00FA3F9C" w:rsidRDefault="001506C1" w:rsidP="001506C1">
            <w:pPr>
              <w:pStyle w:val="ListParagraph"/>
              <w:numPr>
                <w:ilvl w:val="2"/>
                <w:numId w:val="23"/>
              </w:numPr>
              <w:ind w:left="1080"/>
              <w:rPr>
                <w:rFonts w:ascii="Arial" w:hAnsi="Arial" w:cs="Arial"/>
                <w:sz w:val="24"/>
                <w:szCs w:val="24"/>
              </w:rPr>
            </w:pPr>
            <w:r w:rsidRPr="00FA3F9C">
              <w:rPr>
                <w:rFonts w:ascii="Arial" w:hAnsi="Arial" w:cs="Arial"/>
                <w:sz w:val="24"/>
                <w:szCs w:val="24"/>
              </w:rPr>
              <w:t xml:space="preserve">After 12 months of therapy: BCR-ABL1 (IS) &gt;1% by quantitative PCR (qPCR) </w:t>
            </w:r>
          </w:p>
          <w:p w14:paraId="475E98E9" w14:textId="77777777" w:rsidR="001506C1" w:rsidRPr="00FA3F9C" w:rsidRDefault="001506C1" w:rsidP="001506C1">
            <w:pPr>
              <w:pStyle w:val="ListParagraph"/>
              <w:numPr>
                <w:ilvl w:val="2"/>
                <w:numId w:val="23"/>
              </w:numPr>
              <w:ind w:left="1080"/>
              <w:rPr>
                <w:rFonts w:ascii="Arial" w:hAnsi="Arial" w:cs="Arial"/>
                <w:sz w:val="24"/>
                <w:szCs w:val="24"/>
              </w:rPr>
            </w:pPr>
            <w:r w:rsidRPr="00FA3F9C">
              <w:rPr>
                <w:rFonts w:ascii="Arial" w:hAnsi="Arial" w:cs="Arial"/>
                <w:sz w:val="24"/>
                <w:szCs w:val="24"/>
              </w:rPr>
              <w:t xml:space="preserve">After 12 months of therapy: Cytogenetic analysis shows &gt;0% Ph+ metaphases </w:t>
            </w:r>
          </w:p>
          <w:p w14:paraId="131D06FA" w14:textId="77777777" w:rsidR="001506C1" w:rsidRPr="00FA3F9C" w:rsidRDefault="001506C1" w:rsidP="001506C1">
            <w:pPr>
              <w:pStyle w:val="ListParagraph"/>
              <w:numPr>
                <w:ilvl w:val="0"/>
                <w:numId w:val="23"/>
              </w:numPr>
              <w:rPr>
                <w:rFonts w:ascii="Arial" w:hAnsi="Arial" w:cs="Arial"/>
                <w:sz w:val="24"/>
                <w:szCs w:val="24"/>
              </w:rPr>
            </w:pPr>
            <w:r w:rsidRPr="00FA3F9C">
              <w:rPr>
                <w:rFonts w:ascii="Arial" w:hAnsi="Arial" w:cs="Arial"/>
                <w:sz w:val="24"/>
                <w:szCs w:val="24"/>
              </w:rPr>
              <w:t xml:space="preserve">Progression of disease after a cytogenetic/hematologic response was achieved </w:t>
            </w:r>
          </w:p>
          <w:p w14:paraId="5BA1609D" w14:textId="77777777" w:rsidR="001506C1" w:rsidRPr="00FA3F9C" w:rsidRDefault="001506C1" w:rsidP="001506C1">
            <w:pPr>
              <w:pStyle w:val="ListParagraph"/>
              <w:numPr>
                <w:ilvl w:val="0"/>
                <w:numId w:val="23"/>
              </w:numPr>
              <w:rPr>
                <w:rFonts w:ascii="Arial" w:hAnsi="Arial" w:cs="Arial"/>
                <w:sz w:val="24"/>
                <w:szCs w:val="24"/>
              </w:rPr>
            </w:pPr>
            <w:r w:rsidRPr="00FA3F9C">
              <w:rPr>
                <w:rFonts w:ascii="Arial" w:hAnsi="Arial" w:cs="Arial"/>
                <w:sz w:val="24"/>
                <w:szCs w:val="24"/>
              </w:rPr>
              <w:t>Documentation of mutation associated with drug resistance (typically checked after failure of first-line therapy—see below)</w:t>
            </w:r>
          </w:p>
        </w:tc>
      </w:tr>
      <w:tr w:rsidR="001506C1" w:rsidRPr="00FA3F9C" w14:paraId="720A1B97" w14:textId="77777777" w:rsidTr="00E924F1">
        <w:tc>
          <w:tcPr>
            <w:tcW w:w="11016" w:type="dxa"/>
            <w:gridSpan w:val="2"/>
            <w:shd w:val="clear" w:color="auto" w:fill="D9D9D9" w:themeFill="background1" w:themeFillShade="D9"/>
          </w:tcPr>
          <w:p w14:paraId="12EEE66A" w14:textId="77777777" w:rsidR="001506C1" w:rsidRPr="00FA3F9C" w:rsidRDefault="001506C1" w:rsidP="00E924F1">
            <w:pPr>
              <w:rPr>
                <w:rFonts w:ascii="Arial" w:hAnsi="Arial" w:cs="Arial"/>
                <w:sz w:val="24"/>
                <w:szCs w:val="24"/>
              </w:rPr>
            </w:pPr>
            <w:r w:rsidRPr="00FA3F9C">
              <w:rPr>
                <w:rFonts w:ascii="Arial" w:hAnsi="Arial" w:cs="Arial"/>
                <w:sz w:val="24"/>
                <w:szCs w:val="24"/>
              </w:rPr>
              <w:t>If criteria 1 or 2 is fulfilled, approve for 6 months</w:t>
            </w:r>
          </w:p>
        </w:tc>
      </w:tr>
      <w:tr w:rsidR="001506C1" w:rsidRPr="00FA3F9C" w14:paraId="03D3788F" w14:textId="77777777" w:rsidTr="00E924F1">
        <w:tc>
          <w:tcPr>
            <w:tcW w:w="8928" w:type="dxa"/>
            <w:shd w:val="clear" w:color="auto" w:fill="000000"/>
          </w:tcPr>
          <w:p w14:paraId="08D15AB5" w14:textId="77777777" w:rsidR="001506C1" w:rsidRPr="00FA3F9C" w:rsidRDefault="001506C1" w:rsidP="00E924F1">
            <w:pPr>
              <w:rPr>
                <w:rFonts w:ascii="Arial" w:hAnsi="Arial" w:cs="Arial"/>
                <w:b/>
                <w:sz w:val="24"/>
                <w:szCs w:val="24"/>
                <w:u w:val="single"/>
              </w:rPr>
            </w:pPr>
            <w:r w:rsidRPr="00FA3F9C">
              <w:rPr>
                <w:rFonts w:ascii="Arial" w:hAnsi="Arial" w:cs="Arial"/>
                <w:b/>
                <w:sz w:val="24"/>
                <w:szCs w:val="24"/>
                <w:u w:val="single"/>
              </w:rPr>
              <w:t>Criteria for continuation</w:t>
            </w:r>
          </w:p>
        </w:tc>
        <w:tc>
          <w:tcPr>
            <w:tcW w:w="2088" w:type="dxa"/>
            <w:shd w:val="clear" w:color="auto" w:fill="000000"/>
          </w:tcPr>
          <w:p w14:paraId="62918621" w14:textId="77777777" w:rsidR="001506C1" w:rsidRPr="00FA3F9C" w:rsidRDefault="001506C1" w:rsidP="00E924F1">
            <w:pPr>
              <w:jc w:val="center"/>
              <w:rPr>
                <w:rFonts w:ascii="Arial" w:hAnsi="Arial" w:cs="Arial"/>
                <w:b/>
                <w:sz w:val="24"/>
                <w:szCs w:val="24"/>
                <w:u w:val="single"/>
              </w:rPr>
            </w:pPr>
          </w:p>
        </w:tc>
      </w:tr>
      <w:tr w:rsidR="001506C1" w:rsidRPr="00FA3F9C" w14:paraId="2E4FB030" w14:textId="77777777" w:rsidTr="00E924F1">
        <w:tc>
          <w:tcPr>
            <w:tcW w:w="11016" w:type="dxa"/>
            <w:gridSpan w:val="2"/>
          </w:tcPr>
          <w:p w14:paraId="62C4ADE2" w14:textId="77777777" w:rsidR="001506C1" w:rsidRPr="00FA3F9C" w:rsidRDefault="001506C1" w:rsidP="00E924F1">
            <w:pPr>
              <w:rPr>
                <w:rFonts w:ascii="Arial" w:hAnsi="Arial" w:cs="Arial"/>
                <w:sz w:val="24"/>
                <w:szCs w:val="24"/>
              </w:rPr>
            </w:pPr>
            <w:r w:rsidRPr="00FA3F9C">
              <w:rPr>
                <w:rFonts w:ascii="Arial" w:hAnsi="Arial" w:cs="Arial"/>
                <w:sz w:val="24"/>
                <w:szCs w:val="24"/>
              </w:rPr>
              <w:t>Review of fill history indicates compliance with therapy</w:t>
            </w:r>
          </w:p>
        </w:tc>
      </w:tr>
      <w:tr w:rsidR="001506C1" w:rsidRPr="00FA3F9C" w14:paraId="69D0C380" w14:textId="77777777" w:rsidTr="00E924F1">
        <w:tc>
          <w:tcPr>
            <w:tcW w:w="11016" w:type="dxa"/>
            <w:gridSpan w:val="2"/>
          </w:tcPr>
          <w:p w14:paraId="4226E94B" w14:textId="77777777" w:rsidR="001506C1" w:rsidRPr="00FA3F9C" w:rsidRDefault="001506C1" w:rsidP="00E924F1">
            <w:pPr>
              <w:rPr>
                <w:rFonts w:ascii="Arial" w:hAnsi="Arial" w:cs="Arial"/>
                <w:sz w:val="24"/>
                <w:szCs w:val="24"/>
              </w:rPr>
            </w:pPr>
            <w:r w:rsidRPr="00FA3F9C">
              <w:rPr>
                <w:rFonts w:ascii="Arial" w:hAnsi="Arial" w:cs="Arial"/>
                <w:sz w:val="24"/>
                <w:szCs w:val="24"/>
              </w:rPr>
              <w:t>No progression of disease</w:t>
            </w:r>
          </w:p>
        </w:tc>
      </w:tr>
      <w:tr w:rsidR="001506C1" w:rsidRPr="00FA3F9C" w14:paraId="6D396B52" w14:textId="77777777" w:rsidTr="00E924F1">
        <w:tc>
          <w:tcPr>
            <w:tcW w:w="11016" w:type="dxa"/>
            <w:gridSpan w:val="2"/>
          </w:tcPr>
          <w:p w14:paraId="08E8FCDD" w14:textId="77777777" w:rsidR="001506C1" w:rsidRPr="00FA3F9C" w:rsidRDefault="001506C1" w:rsidP="00E924F1">
            <w:pPr>
              <w:rPr>
                <w:rFonts w:ascii="Arial" w:hAnsi="Arial" w:cs="Arial"/>
                <w:sz w:val="24"/>
                <w:szCs w:val="24"/>
              </w:rPr>
            </w:pPr>
            <w:r w:rsidRPr="00FA3F9C">
              <w:rPr>
                <w:rFonts w:ascii="Arial" w:hAnsi="Arial" w:cs="Arial"/>
                <w:sz w:val="24"/>
                <w:szCs w:val="24"/>
              </w:rPr>
              <w:t>No unacceptable toxicity</w:t>
            </w:r>
          </w:p>
        </w:tc>
      </w:tr>
      <w:tr w:rsidR="001506C1" w:rsidRPr="00FA3F9C" w14:paraId="0A3CFCFC" w14:textId="77777777" w:rsidTr="00E924F1">
        <w:tc>
          <w:tcPr>
            <w:tcW w:w="11016" w:type="dxa"/>
            <w:gridSpan w:val="2"/>
            <w:shd w:val="clear" w:color="auto" w:fill="D9D9D9" w:themeFill="background1" w:themeFillShade="D9"/>
          </w:tcPr>
          <w:p w14:paraId="4ED71C1A" w14:textId="77777777" w:rsidR="001506C1" w:rsidRPr="00FA3F9C" w:rsidRDefault="001506C1" w:rsidP="00E924F1">
            <w:pPr>
              <w:rPr>
                <w:rFonts w:ascii="Arial" w:hAnsi="Arial" w:cs="Arial"/>
                <w:sz w:val="24"/>
                <w:szCs w:val="24"/>
              </w:rPr>
            </w:pPr>
            <w:r w:rsidRPr="00FA3F9C">
              <w:rPr>
                <w:rFonts w:ascii="Arial" w:hAnsi="Arial" w:cs="Arial"/>
                <w:sz w:val="24"/>
                <w:szCs w:val="24"/>
              </w:rPr>
              <w:t>If continuation criteria fulfilled, approve for 1 year</w:t>
            </w:r>
          </w:p>
          <w:p w14:paraId="2D5E0044" w14:textId="77777777" w:rsidR="001506C1" w:rsidRPr="00FA3F9C" w:rsidRDefault="001506C1" w:rsidP="00E924F1">
            <w:pPr>
              <w:rPr>
                <w:rFonts w:ascii="Arial" w:hAnsi="Arial" w:cs="Arial"/>
                <w:sz w:val="24"/>
                <w:szCs w:val="24"/>
              </w:rPr>
            </w:pPr>
            <w:r w:rsidRPr="00FA3F9C">
              <w:rPr>
                <w:rFonts w:ascii="Arial" w:hAnsi="Arial" w:cs="Arial"/>
                <w:sz w:val="24"/>
                <w:szCs w:val="24"/>
              </w:rPr>
              <w:t xml:space="preserve">Quantity limits: </w:t>
            </w:r>
            <w:proofErr w:type="gramStart"/>
            <w:r w:rsidRPr="00FA3F9C">
              <w:rPr>
                <w:rFonts w:ascii="Arial" w:hAnsi="Arial" w:cs="Arial"/>
                <w:sz w:val="24"/>
                <w:szCs w:val="24"/>
              </w:rPr>
              <w:t>30 day</w:t>
            </w:r>
            <w:proofErr w:type="gramEnd"/>
            <w:r w:rsidRPr="00FA3F9C">
              <w:rPr>
                <w:rFonts w:ascii="Arial" w:hAnsi="Arial" w:cs="Arial"/>
                <w:sz w:val="24"/>
                <w:szCs w:val="24"/>
              </w:rPr>
              <w:t xml:space="preserve"> supply max</w:t>
            </w:r>
          </w:p>
        </w:tc>
      </w:tr>
    </w:tbl>
    <w:p w14:paraId="60C1FF93" w14:textId="77777777" w:rsidR="001506C1" w:rsidRPr="00FA3F9C" w:rsidRDefault="001506C1" w:rsidP="00D43243">
      <w:pPr>
        <w:spacing w:after="0"/>
        <w:rPr>
          <w:rFonts w:ascii="Arial" w:hAnsi="Arial" w:cs="Arial"/>
          <w:sz w:val="24"/>
          <w:szCs w:val="24"/>
        </w:rPr>
      </w:pPr>
    </w:p>
    <w:p w14:paraId="0D7694CE" w14:textId="77777777" w:rsidR="001506C1" w:rsidRPr="00FA3F9C" w:rsidRDefault="001506C1" w:rsidP="00D43243">
      <w:pPr>
        <w:spacing w:after="0"/>
        <w:rPr>
          <w:rFonts w:ascii="Arial" w:hAnsi="Arial" w:cs="Arial"/>
          <w:sz w:val="24"/>
          <w:szCs w:val="24"/>
        </w:rPr>
      </w:pPr>
      <w:r w:rsidRPr="00FA3F9C">
        <w:rPr>
          <w:rFonts w:ascii="Arial" w:hAnsi="Arial" w:cs="Arial"/>
          <w:sz w:val="24"/>
          <w:szCs w:val="24"/>
          <w:highlight w:val="yellow"/>
        </w:rPr>
        <w:t>Note about EBRx coverage:</w:t>
      </w:r>
      <w:r w:rsidRPr="00FA3F9C">
        <w:rPr>
          <w:rFonts w:ascii="Arial" w:hAnsi="Arial" w:cs="Arial"/>
          <w:sz w:val="24"/>
          <w:szCs w:val="24"/>
        </w:rPr>
        <w:t xml:space="preserve"> EBRx prefers imatinib for treatment of all phases of CML and ALL. </w:t>
      </w:r>
      <w:proofErr w:type="spellStart"/>
      <w:r w:rsidRPr="00FA3F9C">
        <w:rPr>
          <w:rFonts w:ascii="Arial" w:hAnsi="Arial" w:cs="Arial"/>
          <w:sz w:val="24"/>
          <w:szCs w:val="24"/>
        </w:rPr>
        <w:t>Dasatinib</w:t>
      </w:r>
      <w:proofErr w:type="spellEnd"/>
      <w:r w:rsidRPr="00FA3F9C">
        <w:rPr>
          <w:rFonts w:ascii="Arial" w:hAnsi="Arial" w:cs="Arial"/>
          <w:sz w:val="24"/>
          <w:szCs w:val="24"/>
        </w:rPr>
        <w:t xml:space="preserve"> may be covered if the patient experiences resistance or intolerance to imatinib. NCCN guidelines suggest using a non-imatinib agent for first line therapy for intermediate/high risk patients (risk determined by </w:t>
      </w:r>
      <w:proofErr w:type="spellStart"/>
      <w:r w:rsidRPr="00FA3F9C">
        <w:rPr>
          <w:rFonts w:ascii="Arial" w:hAnsi="Arial" w:cs="Arial"/>
          <w:sz w:val="24"/>
          <w:szCs w:val="24"/>
        </w:rPr>
        <w:t>Sokal</w:t>
      </w:r>
      <w:proofErr w:type="spellEnd"/>
      <w:r w:rsidRPr="00FA3F9C">
        <w:rPr>
          <w:rFonts w:ascii="Arial" w:hAnsi="Arial" w:cs="Arial"/>
          <w:sz w:val="24"/>
          <w:szCs w:val="24"/>
        </w:rPr>
        <w:t xml:space="preserve"> or </w:t>
      </w:r>
      <w:proofErr w:type="spellStart"/>
      <w:r w:rsidRPr="00FA3F9C">
        <w:rPr>
          <w:rFonts w:ascii="Arial" w:hAnsi="Arial" w:cs="Arial"/>
          <w:sz w:val="24"/>
          <w:szCs w:val="24"/>
        </w:rPr>
        <w:t>Hasford</w:t>
      </w:r>
      <w:proofErr w:type="spellEnd"/>
      <w:r w:rsidRPr="00FA3F9C">
        <w:rPr>
          <w:rFonts w:ascii="Arial" w:hAnsi="Arial" w:cs="Arial"/>
          <w:sz w:val="24"/>
          <w:szCs w:val="24"/>
        </w:rPr>
        <w:t xml:space="preserve"> methods) based on quicker time to response.  Although quicker time to response has been associated with improved outcomes, non-imatinib agents have not been shown to improve overall survival compared to imatinib in the first line setting. Therefore, EBRx recommends that non-imatinib agents be denied access for first line use unless there is documentation of resistance or intolerance to a trial of imatinib.</w:t>
      </w:r>
    </w:p>
    <w:p w14:paraId="1937539E" w14:textId="77777777" w:rsidR="001506C1" w:rsidRPr="00FA3F9C" w:rsidRDefault="001506C1" w:rsidP="006F623F">
      <w:pPr>
        <w:spacing w:after="0"/>
        <w:rPr>
          <w:rFonts w:ascii="Arial" w:hAnsi="Arial" w:cs="Arial"/>
          <w:sz w:val="24"/>
          <w:szCs w:val="24"/>
        </w:rPr>
      </w:pPr>
    </w:p>
    <w:tbl>
      <w:tblPr>
        <w:tblStyle w:val="TableGrid"/>
        <w:tblW w:w="0" w:type="auto"/>
        <w:shd w:val="clear" w:color="auto" w:fill="BFBFBF" w:themeFill="background1" w:themeFillShade="BF"/>
        <w:tblLook w:val="04A0" w:firstRow="1" w:lastRow="0" w:firstColumn="1" w:lastColumn="0" w:noHBand="0" w:noVBand="1"/>
      </w:tblPr>
      <w:tblGrid>
        <w:gridCol w:w="10998"/>
      </w:tblGrid>
      <w:tr w:rsidR="001506C1" w:rsidRPr="00FA3F9C" w14:paraId="53057E6D" w14:textId="77777777" w:rsidTr="00D82B6E">
        <w:tc>
          <w:tcPr>
            <w:tcW w:w="10998" w:type="dxa"/>
            <w:shd w:val="clear" w:color="auto" w:fill="BFBFBF" w:themeFill="background1" w:themeFillShade="BF"/>
          </w:tcPr>
          <w:p w14:paraId="7A8F9163" w14:textId="77777777" w:rsidR="001506C1" w:rsidRPr="00FA3F9C" w:rsidRDefault="001506C1" w:rsidP="00D82B6E">
            <w:pPr>
              <w:rPr>
                <w:rFonts w:ascii="Arial" w:hAnsi="Arial" w:cs="Arial"/>
                <w:sz w:val="24"/>
                <w:szCs w:val="24"/>
              </w:rPr>
            </w:pPr>
            <w:r w:rsidRPr="00FA3F9C">
              <w:rPr>
                <w:rFonts w:ascii="Arial" w:hAnsi="Arial" w:cs="Arial"/>
                <w:sz w:val="24"/>
                <w:szCs w:val="24"/>
              </w:rPr>
              <w:lastRenderedPageBreak/>
              <w:t xml:space="preserve">Notes: </w:t>
            </w:r>
          </w:p>
          <w:p w14:paraId="70C97D9F" w14:textId="77777777" w:rsidR="001506C1" w:rsidRPr="00FA3F9C" w:rsidRDefault="001506C1" w:rsidP="00D82B6E">
            <w:pPr>
              <w:rPr>
                <w:rFonts w:ascii="Arial" w:hAnsi="Arial" w:cs="Arial"/>
                <w:sz w:val="24"/>
                <w:szCs w:val="24"/>
              </w:rPr>
            </w:pPr>
            <w:r w:rsidRPr="00FA3F9C">
              <w:rPr>
                <w:rFonts w:ascii="Arial" w:hAnsi="Arial" w:cs="Arial"/>
                <w:sz w:val="24"/>
                <w:szCs w:val="24"/>
              </w:rPr>
              <w:t>General CML information:</w:t>
            </w:r>
          </w:p>
          <w:p w14:paraId="7CE523EF" w14:textId="77777777" w:rsidR="001506C1" w:rsidRPr="00FA3F9C" w:rsidRDefault="001506C1" w:rsidP="001506C1">
            <w:pPr>
              <w:pStyle w:val="ListParagraph"/>
              <w:numPr>
                <w:ilvl w:val="0"/>
                <w:numId w:val="24"/>
              </w:numPr>
              <w:rPr>
                <w:rFonts w:ascii="Arial" w:hAnsi="Arial" w:cs="Arial"/>
                <w:sz w:val="24"/>
                <w:szCs w:val="24"/>
              </w:rPr>
            </w:pPr>
            <w:r w:rsidRPr="00FA3F9C">
              <w:rPr>
                <w:rFonts w:ascii="Arial" w:hAnsi="Arial" w:cs="Arial"/>
                <w:sz w:val="24"/>
                <w:szCs w:val="24"/>
              </w:rPr>
              <w:t>Cytogenetic monitoring: Chromosomes are examined directly for BCR-ABL chromosomal translocation. Number of cells in metaphase are examined. The number of metaphase cells that contain BCR-ABL are divided by total number of metaphase cells to get a percentage. Test requires bone marrow aspirate.</w:t>
            </w:r>
          </w:p>
          <w:p w14:paraId="7DA08CAB" w14:textId="77777777" w:rsidR="001506C1" w:rsidRPr="00FA3F9C" w:rsidRDefault="001506C1" w:rsidP="001506C1">
            <w:pPr>
              <w:pStyle w:val="ListParagraph"/>
              <w:numPr>
                <w:ilvl w:val="0"/>
                <w:numId w:val="24"/>
              </w:numPr>
              <w:rPr>
                <w:rFonts w:ascii="Arial" w:hAnsi="Arial" w:cs="Arial"/>
                <w:sz w:val="24"/>
                <w:szCs w:val="24"/>
              </w:rPr>
            </w:pPr>
            <w:r w:rsidRPr="00FA3F9C">
              <w:rPr>
                <w:rFonts w:ascii="Arial" w:hAnsi="Arial" w:cs="Arial"/>
                <w:sz w:val="24"/>
                <w:szCs w:val="24"/>
              </w:rPr>
              <w:t>Molecular monitoring: Transcripts for BCR-ABL mRNA are quantified via real time PCR. “IS” denotes that the result is obtained via a standardized method. Test requires peripheral blood sample.</w:t>
            </w:r>
          </w:p>
          <w:p w14:paraId="13417E46" w14:textId="77777777" w:rsidR="001506C1" w:rsidRPr="00FA3F9C" w:rsidRDefault="001506C1" w:rsidP="001506C1">
            <w:pPr>
              <w:pStyle w:val="ListParagraph"/>
              <w:numPr>
                <w:ilvl w:val="0"/>
                <w:numId w:val="24"/>
              </w:numPr>
              <w:rPr>
                <w:rFonts w:ascii="Arial" w:hAnsi="Arial" w:cs="Arial"/>
                <w:sz w:val="24"/>
                <w:szCs w:val="24"/>
              </w:rPr>
            </w:pPr>
            <w:r w:rsidRPr="00FA3F9C">
              <w:rPr>
                <w:rFonts w:ascii="Arial" w:hAnsi="Arial" w:cs="Arial"/>
                <w:sz w:val="24"/>
                <w:szCs w:val="24"/>
              </w:rPr>
              <w:t xml:space="preserve">Cytogenetic and molecular monitoring are both valid. Since cytogenetic monitoring requires bone marrow biopsy, molecular monitoring may be preferred. </w:t>
            </w:r>
          </w:p>
          <w:p w14:paraId="52960A89" w14:textId="77777777" w:rsidR="001506C1" w:rsidRPr="00FA3F9C" w:rsidRDefault="001506C1" w:rsidP="001506C1">
            <w:pPr>
              <w:pStyle w:val="ListParagraph"/>
              <w:numPr>
                <w:ilvl w:val="0"/>
                <w:numId w:val="24"/>
              </w:numPr>
              <w:rPr>
                <w:rFonts w:ascii="Arial" w:hAnsi="Arial" w:cs="Arial"/>
                <w:sz w:val="24"/>
                <w:szCs w:val="24"/>
              </w:rPr>
            </w:pPr>
            <w:r w:rsidRPr="00FA3F9C">
              <w:rPr>
                <w:rFonts w:ascii="Arial" w:hAnsi="Arial" w:cs="Arial"/>
                <w:sz w:val="24"/>
                <w:szCs w:val="24"/>
              </w:rPr>
              <w:t xml:space="preserve">Analysis of BCR-ABL mutations is typically not done until failure of first-line therapy for CML. If a mutation is documented that predicts resistance to imatinib, an alternative agent should be used. NCCN has guide for treatment options according to which mutation is identified. </w:t>
            </w:r>
          </w:p>
          <w:p w14:paraId="611F1211" w14:textId="77777777" w:rsidR="001506C1" w:rsidRPr="00FA3F9C" w:rsidRDefault="001506C1" w:rsidP="00253E8C">
            <w:pPr>
              <w:rPr>
                <w:rFonts w:ascii="Arial" w:hAnsi="Arial" w:cs="Arial"/>
                <w:sz w:val="24"/>
                <w:szCs w:val="24"/>
              </w:rPr>
            </w:pPr>
          </w:p>
          <w:tbl>
            <w:tblPr>
              <w:tblStyle w:val="TableGrid"/>
              <w:tblW w:w="0" w:type="auto"/>
              <w:tblInd w:w="720" w:type="dxa"/>
              <w:tblLook w:val="04A0" w:firstRow="1" w:lastRow="0" w:firstColumn="1" w:lastColumn="0" w:noHBand="0" w:noVBand="1"/>
            </w:tblPr>
            <w:tblGrid>
              <w:gridCol w:w="3427"/>
              <w:gridCol w:w="6625"/>
            </w:tblGrid>
            <w:tr w:rsidR="001506C1" w:rsidRPr="00FA3F9C" w14:paraId="5D526341" w14:textId="77777777" w:rsidTr="00291442">
              <w:tc>
                <w:tcPr>
                  <w:tcW w:w="10052" w:type="dxa"/>
                  <w:gridSpan w:val="2"/>
                </w:tcPr>
                <w:p w14:paraId="00051063" w14:textId="77777777" w:rsidR="001506C1" w:rsidRPr="00FA3F9C" w:rsidRDefault="001506C1" w:rsidP="00253E8C">
                  <w:pPr>
                    <w:pStyle w:val="ListParagraph"/>
                    <w:ind w:left="0"/>
                    <w:rPr>
                      <w:rFonts w:ascii="Arial" w:hAnsi="Arial" w:cs="Arial"/>
                      <w:b/>
                      <w:sz w:val="24"/>
                      <w:szCs w:val="24"/>
                    </w:rPr>
                  </w:pPr>
                  <w:r w:rsidRPr="00FA3F9C">
                    <w:rPr>
                      <w:rFonts w:ascii="Arial" w:hAnsi="Arial" w:cs="Arial"/>
                      <w:b/>
                      <w:sz w:val="24"/>
                      <w:szCs w:val="24"/>
                    </w:rPr>
                    <w:t>Treatment recommendations based on BCR-ABL1 mutation profile (NCCN CML version 2.2022)</w:t>
                  </w:r>
                </w:p>
              </w:tc>
            </w:tr>
            <w:tr w:rsidR="001506C1" w:rsidRPr="00FA3F9C" w14:paraId="34ED1572" w14:textId="77777777" w:rsidTr="00291442">
              <w:tc>
                <w:tcPr>
                  <w:tcW w:w="3427" w:type="dxa"/>
                </w:tcPr>
                <w:p w14:paraId="3CB6A4C8" w14:textId="77777777" w:rsidR="001506C1" w:rsidRPr="00FA3F9C" w:rsidRDefault="001506C1" w:rsidP="00253E8C">
                  <w:pPr>
                    <w:pStyle w:val="ListParagraph"/>
                    <w:ind w:left="0"/>
                    <w:rPr>
                      <w:rFonts w:ascii="Arial" w:hAnsi="Arial" w:cs="Arial"/>
                      <w:sz w:val="24"/>
                      <w:szCs w:val="24"/>
                      <w:u w:val="single"/>
                    </w:rPr>
                  </w:pPr>
                  <w:r w:rsidRPr="00FA3F9C">
                    <w:rPr>
                      <w:rFonts w:ascii="Arial" w:hAnsi="Arial" w:cs="Arial"/>
                      <w:sz w:val="24"/>
                      <w:szCs w:val="24"/>
                      <w:u w:val="single"/>
                    </w:rPr>
                    <w:t>Contraindicated Mutations</w:t>
                  </w:r>
                </w:p>
              </w:tc>
              <w:tc>
                <w:tcPr>
                  <w:tcW w:w="6625" w:type="dxa"/>
                </w:tcPr>
                <w:p w14:paraId="45DC7123" w14:textId="77777777" w:rsidR="001506C1" w:rsidRPr="00FA3F9C" w:rsidRDefault="001506C1" w:rsidP="00253E8C">
                  <w:pPr>
                    <w:pStyle w:val="ListParagraph"/>
                    <w:ind w:left="0"/>
                    <w:rPr>
                      <w:rFonts w:ascii="Arial" w:hAnsi="Arial" w:cs="Arial"/>
                      <w:sz w:val="24"/>
                      <w:szCs w:val="24"/>
                      <w:u w:val="single"/>
                    </w:rPr>
                  </w:pPr>
                  <w:r w:rsidRPr="00FA3F9C">
                    <w:rPr>
                      <w:rFonts w:ascii="Arial" w:hAnsi="Arial" w:cs="Arial"/>
                      <w:sz w:val="24"/>
                      <w:szCs w:val="24"/>
                      <w:u w:val="single"/>
                    </w:rPr>
                    <w:t>Drugs</w:t>
                  </w:r>
                </w:p>
              </w:tc>
            </w:tr>
            <w:tr w:rsidR="001506C1" w:rsidRPr="00FA3F9C" w14:paraId="7B188BC7" w14:textId="77777777" w:rsidTr="00291442">
              <w:tc>
                <w:tcPr>
                  <w:tcW w:w="3427" w:type="dxa"/>
                </w:tcPr>
                <w:p w14:paraId="065C8611" w14:textId="77777777" w:rsidR="001506C1" w:rsidRPr="00FA3F9C" w:rsidRDefault="001506C1" w:rsidP="00253E8C">
                  <w:pPr>
                    <w:pStyle w:val="ListParagraph"/>
                    <w:ind w:left="0"/>
                    <w:rPr>
                      <w:rFonts w:ascii="Arial" w:hAnsi="Arial" w:cs="Arial"/>
                      <w:sz w:val="24"/>
                      <w:szCs w:val="24"/>
                    </w:rPr>
                  </w:pPr>
                  <w:r w:rsidRPr="00FA3F9C">
                    <w:rPr>
                      <w:rFonts w:ascii="Arial" w:hAnsi="Arial" w:cs="Arial"/>
                      <w:sz w:val="24"/>
                      <w:szCs w:val="24"/>
                    </w:rPr>
                    <w:t>T315I/A, F317L/V/I/C, V299L</w:t>
                  </w:r>
                </w:p>
              </w:tc>
              <w:tc>
                <w:tcPr>
                  <w:tcW w:w="6625" w:type="dxa"/>
                </w:tcPr>
                <w:p w14:paraId="268FF0E0" w14:textId="77777777" w:rsidR="001506C1" w:rsidRPr="00FA3F9C" w:rsidRDefault="001506C1" w:rsidP="00253E8C">
                  <w:pPr>
                    <w:pStyle w:val="ListParagraph"/>
                    <w:ind w:left="0"/>
                    <w:rPr>
                      <w:rFonts w:ascii="Arial" w:hAnsi="Arial" w:cs="Arial"/>
                      <w:sz w:val="24"/>
                      <w:szCs w:val="24"/>
                    </w:rPr>
                  </w:pPr>
                  <w:proofErr w:type="spellStart"/>
                  <w:r w:rsidRPr="00FA3F9C">
                    <w:rPr>
                      <w:rFonts w:ascii="Arial" w:hAnsi="Arial" w:cs="Arial"/>
                      <w:sz w:val="24"/>
                      <w:szCs w:val="24"/>
                    </w:rPr>
                    <w:t>Dasatinib</w:t>
                  </w:r>
                  <w:proofErr w:type="spellEnd"/>
                </w:p>
              </w:tc>
            </w:tr>
            <w:tr w:rsidR="001506C1" w:rsidRPr="00FA3F9C" w14:paraId="51D7B1FB" w14:textId="77777777" w:rsidTr="00291442">
              <w:tc>
                <w:tcPr>
                  <w:tcW w:w="3427" w:type="dxa"/>
                </w:tcPr>
                <w:p w14:paraId="77B7394A" w14:textId="77777777" w:rsidR="001506C1" w:rsidRPr="00FA3F9C" w:rsidRDefault="001506C1" w:rsidP="00253E8C">
                  <w:pPr>
                    <w:pStyle w:val="ListParagraph"/>
                    <w:ind w:left="0"/>
                    <w:rPr>
                      <w:rFonts w:ascii="Arial" w:hAnsi="Arial" w:cs="Arial"/>
                      <w:sz w:val="24"/>
                      <w:szCs w:val="24"/>
                    </w:rPr>
                  </w:pPr>
                  <w:r w:rsidRPr="00FA3F9C">
                    <w:rPr>
                      <w:rFonts w:ascii="Arial" w:hAnsi="Arial" w:cs="Arial"/>
                      <w:sz w:val="24"/>
                      <w:szCs w:val="24"/>
                    </w:rPr>
                    <w:t>T315I, Y253H, E255K/V, F359V/C/I</w:t>
                  </w:r>
                </w:p>
              </w:tc>
              <w:tc>
                <w:tcPr>
                  <w:tcW w:w="6625" w:type="dxa"/>
                </w:tcPr>
                <w:p w14:paraId="4B1DD095" w14:textId="77777777" w:rsidR="001506C1" w:rsidRPr="00FA3F9C" w:rsidRDefault="001506C1" w:rsidP="00253E8C">
                  <w:pPr>
                    <w:pStyle w:val="ListParagraph"/>
                    <w:ind w:left="0"/>
                    <w:rPr>
                      <w:rFonts w:ascii="Arial" w:hAnsi="Arial" w:cs="Arial"/>
                      <w:sz w:val="24"/>
                      <w:szCs w:val="24"/>
                    </w:rPr>
                  </w:pPr>
                  <w:r w:rsidRPr="00FA3F9C">
                    <w:rPr>
                      <w:rFonts w:ascii="Arial" w:hAnsi="Arial" w:cs="Arial"/>
                      <w:sz w:val="24"/>
                      <w:szCs w:val="24"/>
                    </w:rPr>
                    <w:t>Nilotinib</w:t>
                  </w:r>
                </w:p>
              </w:tc>
            </w:tr>
            <w:tr w:rsidR="001506C1" w:rsidRPr="00FA3F9C" w14:paraId="1F839101" w14:textId="77777777" w:rsidTr="00291442">
              <w:tc>
                <w:tcPr>
                  <w:tcW w:w="3427" w:type="dxa"/>
                </w:tcPr>
                <w:p w14:paraId="5AD3B975" w14:textId="77777777" w:rsidR="001506C1" w:rsidRPr="00FA3F9C" w:rsidRDefault="001506C1" w:rsidP="00253E8C">
                  <w:pPr>
                    <w:pStyle w:val="ListParagraph"/>
                    <w:ind w:left="0"/>
                    <w:rPr>
                      <w:rFonts w:ascii="Arial" w:hAnsi="Arial" w:cs="Arial"/>
                      <w:sz w:val="24"/>
                      <w:szCs w:val="24"/>
                    </w:rPr>
                  </w:pPr>
                  <w:r w:rsidRPr="00FA3F9C">
                    <w:rPr>
                      <w:rFonts w:ascii="Arial" w:hAnsi="Arial" w:cs="Arial"/>
                      <w:sz w:val="24"/>
                      <w:szCs w:val="24"/>
                    </w:rPr>
                    <w:t>T315I, V299L, G250E, F317L</w:t>
                  </w:r>
                </w:p>
              </w:tc>
              <w:tc>
                <w:tcPr>
                  <w:tcW w:w="6625" w:type="dxa"/>
                </w:tcPr>
                <w:p w14:paraId="077E9E17" w14:textId="77777777" w:rsidR="001506C1" w:rsidRPr="00FA3F9C" w:rsidRDefault="001506C1" w:rsidP="00253E8C">
                  <w:pPr>
                    <w:pStyle w:val="ListParagraph"/>
                    <w:ind w:left="0"/>
                    <w:rPr>
                      <w:rFonts w:ascii="Arial" w:hAnsi="Arial" w:cs="Arial"/>
                      <w:sz w:val="24"/>
                      <w:szCs w:val="24"/>
                    </w:rPr>
                  </w:pPr>
                  <w:r w:rsidRPr="00FA3F9C">
                    <w:rPr>
                      <w:rFonts w:ascii="Arial" w:hAnsi="Arial" w:cs="Arial"/>
                      <w:sz w:val="24"/>
                      <w:szCs w:val="24"/>
                    </w:rPr>
                    <w:t>Bosutinib</w:t>
                  </w:r>
                </w:p>
              </w:tc>
            </w:tr>
            <w:tr w:rsidR="001506C1" w:rsidRPr="00FA3F9C" w14:paraId="591DFCC0" w14:textId="77777777" w:rsidTr="00291442">
              <w:tc>
                <w:tcPr>
                  <w:tcW w:w="3427" w:type="dxa"/>
                </w:tcPr>
                <w:p w14:paraId="155E9321" w14:textId="77777777" w:rsidR="001506C1" w:rsidRPr="00FA3F9C" w:rsidRDefault="001506C1" w:rsidP="00253E8C">
                  <w:pPr>
                    <w:pStyle w:val="ListParagraph"/>
                    <w:ind w:left="0"/>
                    <w:rPr>
                      <w:rFonts w:ascii="Arial" w:hAnsi="Arial" w:cs="Arial"/>
                      <w:sz w:val="24"/>
                      <w:szCs w:val="24"/>
                    </w:rPr>
                  </w:pPr>
                  <w:r w:rsidRPr="00FA3F9C">
                    <w:rPr>
                      <w:rFonts w:ascii="Arial" w:hAnsi="Arial" w:cs="Arial"/>
                      <w:sz w:val="24"/>
                      <w:szCs w:val="24"/>
                    </w:rPr>
                    <w:t>None</w:t>
                  </w:r>
                </w:p>
              </w:tc>
              <w:tc>
                <w:tcPr>
                  <w:tcW w:w="6625" w:type="dxa"/>
                </w:tcPr>
                <w:p w14:paraId="683F2291" w14:textId="77777777" w:rsidR="001506C1" w:rsidRPr="00FA3F9C" w:rsidRDefault="001506C1" w:rsidP="00253E8C">
                  <w:pPr>
                    <w:pStyle w:val="ListParagraph"/>
                    <w:ind w:left="0"/>
                    <w:rPr>
                      <w:rFonts w:ascii="Arial" w:hAnsi="Arial" w:cs="Arial"/>
                      <w:sz w:val="24"/>
                      <w:szCs w:val="24"/>
                    </w:rPr>
                  </w:pPr>
                  <w:proofErr w:type="spellStart"/>
                  <w:r w:rsidRPr="00FA3F9C">
                    <w:rPr>
                      <w:rFonts w:ascii="Arial" w:hAnsi="Arial" w:cs="Arial"/>
                      <w:sz w:val="24"/>
                      <w:szCs w:val="24"/>
                    </w:rPr>
                    <w:t>Asciminib</w:t>
                  </w:r>
                  <w:proofErr w:type="spellEnd"/>
                  <w:r w:rsidRPr="00FA3F9C">
                    <w:rPr>
                      <w:rFonts w:ascii="Arial" w:hAnsi="Arial" w:cs="Arial"/>
                      <w:sz w:val="24"/>
                      <w:szCs w:val="24"/>
                    </w:rPr>
                    <w:t>, Ponatinib, Omacetaxine, stem cell transplant, clinical trial</w:t>
                  </w:r>
                </w:p>
              </w:tc>
            </w:tr>
          </w:tbl>
          <w:p w14:paraId="6E76370D" w14:textId="77777777" w:rsidR="001506C1" w:rsidRPr="00FA3F9C" w:rsidRDefault="001506C1" w:rsidP="00253E8C">
            <w:pPr>
              <w:rPr>
                <w:rFonts w:ascii="Arial" w:hAnsi="Arial" w:cs="Arial"/>
                <w:sz w:val="24"/>
                <w:szCs w:val="24"/>
              </w:rPr>
            </w:pPr>
          </w:p>
          <w:p w14:paraId="482ADDBE" w14:textId="77777777" w:rsidR="001506C1" w:rsidRPr="00FA3F9C" w:rsidRDefault="001506C1" w:rsidP="00253E8C">
            <w:pPr>
              <w:rPr>
                <w:rFonts w:ascii="Arial" w:hAnsi="Arial" w:cs="Arial"/>
                <w:sz w:val="24"/>
                <w:szCs w:val="24"/>
              </w:rPr>
            </w:pPr>
          </w:p>
          <w:p w14:paraId="2F898AC8" w14:textId="77777777" w:rsidR="001506C1" w:rsidRPr="00FA3F9C" w:rsidRDefault="001506C1" w:rsidP="006664AF">
            <w:pPr>
              <w:rPr>
                <w:rFonts w:ascii="Arial" w:hAnsi="Arial" w:cs="Arial"/>
                <w:sz w:val="24"/>
                <w:szCs w:val="24"/>
              </w:rPr>
            </w:pPr>
          </w:p>
          <w:p w14:paraId="4A9DDC71" w14:textId="77777777" w:rsidR="001506C1" w:rsidRPr="00FA3F9C" w:rsidRDefault="001506C1" w:rsidP="006664AF">
            <w:pPr>
              <w:rPr>
                <w:rFonts w:ascii="Arial" w:hAnsi="Arial" w:cs="Arial"/>
                <w:sz w:val="24"/>
                <w:szCs w:val="24"/>
              </w:rPr>
            </w:pPr>
            <w:r w:rsidRPr="00FA3F9C">
              <w:rPr>
                <w:rFonts w:ascii="Arial" w:hAnsi="Arial" w:cs="Arial"/>
                <w:sz w:val="24"/>
                <w:szCs w:val="24"/>
              </w:rPr>
              <w:t>Notes regarding EBRx criteria:</w:t>
            </w:r>
          </w:p>
          <w:p w14:paraId="251EC753" w14:textId="77777777" w:rsidR="001506C1" w:rsidRPr="00FA3F9C" w:rsidRDefault="001506C1" w:rsidP="001506C1">
            <w:pPr>
              <w:pStyle w:val="ListParagraph"/>
              <w:numPr>
                <w:ilvl w:val="0"/>
                <w:numId w:val="25"/>
              </w:numPr>
              <w:rPr>
                <w:rFonts w:ascii="Arial" w:hAnsi="Arial" w:cs="Arial"/>
                <w:sz w:val="24"/>
                <w:szCs w:val="24"/>
              </w:rPr>
            </w:pPr>
            <w:r w:rsidRPr="00FA3F9C">
              <w:rPr>
                <w:rFonts w:ascii="Arial" w:hAnsi="Arial" w:cs="Arial"/>
                <w:sz w:val="24"/>
                <w:szCs w:val="24"/>
              </w:rPr>
              <w:t>Above criteria for resistance/failure of CML treatment were obtained from NCCN guidelines Early Treatment Response Milestones page CML-3 in version 1.2019 and guideline published by European LeukemiaNet.</w:t>
            </w:r>
            <w:r w:rsidRPr="00FA3F9C">
              <w:rPr>
                <w:rFonts w:ascii="Arial" w:hAnsi="Arial" w:cs="Arial"/>
                <w:sz w:val="24"/>
                <w:szCs w:val="24"/>
                <w:vertAlign w:val="superscript"/>
              </w:rPr>
              <w:t>1</w:t>
            </w:r>
            <w:r w:rsidRPr="00FA3F9C">
              <w:rPr>
                <w:rFonts w:ascii="Arial" w:hAnsi="Arial" w:cs="Arial"/>
                <w:sz w:val="24"/>
                <w:szCs w:val="24"/>
              </w:rPr>
              <w:t xml:space="preserve"> ELN proposes more restrictive resistance/failure definitions for second line therapy, however, NCCN has no specific guidelines.  Therefore, will leave resistance/failure definitions as listed above for simplicity.</w:t>
            </w:r>
          </w:p>
          <w:p w14:paraId="28D180B0" w14:textId="77777777" w:rsidR="001506C1" w:rsidRPr="00FA3F9C" w:rsidRDefault="001506C1" w:rsidP="001506C1">
            <w:pPr>
              <w:pStyle w:val="ListParagraph"/>
              <w:numPr>
                <w:ilvl w:val="0"/>
                <w:numId w:val="25"/>
              </w:numPr>
              <w:rPr>
                <w:rFonts w:ascii="Arial" w:hAnsi="Arial" w:cs="Arial"/>
                <w:sz w:val="24"/>
                <w:szCs w:val="24"/>
              </w:rPr>
            </w:pPr>
            <w:r w:rsidRPr="00FA3F9C">
              <w:rPr>
                <w:rFonts w:ascii="Arial" w:hAnsi="Arial" w:cs="Arial"/>
                <w:sz w:val="24"/>
                <w:szCs w:val="24"/>
              </w:rPr>
              <w:lastRenderedPageBreak/>
              <w:t>Criteria for resistance/failure of therapy for ALL is not well defined</w:t>
            </w:r>
          </w:p>
          <w:p w14:paraId="0842A8FF" w14:textId="77777777" w:rsidR="001506C1" w:rsidRPr="00FA3F9C" w:rsidRDefault="001506C1" w:rsidP="001506C1">
            <w:pPr>
              <w:pStyle w:val="ListParagraph"/>
              <w:numPr>
                <w:ilvl w:val="0"/>
                <w:numId w:val="25"/>
              </w:numPr>
              <w:rPr>
                <w:rFonts w:ascii="Arial" w:hAnsi="Arial" w:cs="Arial"/>
                <w:sz w:val="24"/>
                <w:szCs w:val="24"/>
              </w:rPr>
            </w:pPr>
            <w:proofErr w:type="spellStart"/>
            <w:r w:rsidRPr="00FA3F9C">
              <w:rPr>
                <w:rFonts w:ascii="Arial" w:hAnsi="Arial" w:cs="Arial"/>
                <w:sz w:val="24"/>
                <w:szCs w:val="24"/>
              </w:rPr>
              <w:t>Dasatinib</w:t>
            </w:r>
            <w:proofErr w:type="spellEnd"/>
            <w:r w:rsidRPr="00FA3F9C">
              <w:rPr>
                <w:rFonts w:ascii="Arial" w:hAnsi="Arial" w:cs="Arial"/>
                <w:sz w:val="24"/>
                <w:szCs w:val="24"/>
              </w:rPr>
              <w:t xml:space="preserve"> in the first line setting was shown to induce quicker responses as compared to imatinib. Though quicker responses have been associated with improved outcomes, no overall survival benefit has been demonstrated in the primary study.</w:t>
            </w:r>
            <w:r w:rsidRPr="00FA3F9C">
              <w:rPr>
                <w:rFonts w:ascii="Arial" w:hAnsi="Arial" w:cs="Arial"/>
                <w:sz w:val="24"/>
                <w:szCs w:val="24"/>
                <w:vertAlign w:val="superscript"/>
              </w:rPr>
              <w:t>2,3</w:t>
            </w:r>
            <w:r w:rsidRPr="00FA3F9C">
              <w:rPr>
                <w:rFonts w:ascii="Arial" w:hAnsi="Arial" w:cs="Arial"/>
                <w:sz w:val="24"/>
                <w:szCs w:val="24"/>
              </w:rPr>
              <w:t xml:space="preserve"> Imatinib will be preferred until more data is available.</w:t>
            </w:r>
          </w:p>
          <w:p w14:paraId="0059F5F0" w14:textId="77777777" w:rsidR="001506C1" w:rsidRPr="00FA3F9C" w:rsidRDefault="001506C1" w:rsidP="001506C1">
            <w:pPr>
              <w:pStyle w:val="ListParagraph"/>
              <w:numPr>
                <w:ilvl w:val="0"/>
                <w:numId w:val="25"/>
              </w:numPr>
              <w:rPr>
                <w:rFonts w:ascii="Arial" w:hAnsi="Arial" w:cs="Arial"/>
                <w:sz w:val="24"/>
                <w:szCs w:val="24"/>
              </w:rPr>
            </w:pPr>
            <w:r w:rsidRPr="00FA3F9C">
              <w:rPr>
                <w:rFonts w:ascii="Arial" w:hAnsi="Arial" w:cs="Arial"/>
                <w:sz w:val="24"/>
                <w:szCs w:val="24"/>
              </w:rPr>
              <w:t>After failure of first line therapy, there are no randomized trials showing one TKI to be superior to another.</w:t>
            </w:r>
          </w:p>
          <w:p w14:paraId="163CAD9D" w14:textId="77777777" w:rsidR="001506C1" w:rsidRPr="00FA3F9C" w:rsidRDefault="001506C1" w:rsidP="00D82B6E">
            <w:pPr>
              <w:rPr>
                <w:rFonts w:ascii="Arial" w:hAnsi="Arial" w:cs="Arial"/>
                <w:sz w:val="24"/>
                <w:szCs w:val="24"/>
              </w:rPr>
            </w:pPr>
          </w:p>
          <w:p w14:paraId="30DD2712" w14:textId="77777777" w:rsidR="001506C1" w:rsidRPr="00FA3F9C" w:rsidRDefault="001506C1" w:rsidP="00CF0CC2">
            <w:pPr>
              <w:rPr>
                <w:rFonts w:ascii="Arial" w:hAnsi="Arial" w:cs="Arial"/>
                <w:sz w:val="24"/>
                <w:szCs w:val="24"/>
                <w:u w:val="single"/>
              </w:rPr>
            </w:pPr>
            <w:r w:rsidRPr="00FA3F9C">
              <w:rPr>
                <w:rFonts w:ascii="Arial" w:hAnsi="Arial" w:cs="Arial"/>
                <w:sz w:val="24"/>
                <w:szCs w:val="24"/>
                <w:u w:val="single"/>
              </w:rPr>
              <w:t xml:space="preserve">Adult </w:t>
            </w:r>
            <w:proofErr w:type="spellStart"/>
            <w:r w:rsidRPr="00FA3F9C">
              <w:rPr>
                <w:rFonts w:ascii="Arial" w:hAnsi="Arial" w:cs="Arial"/>
                <w:sz w:val="24"/>
                <w:szCs w:val="24"/>
                <w:u w:val="single"/>
              </w:rPr>
              <w:t>dasatinib</w:t>
            </w:r>
            <w:proofErr w:type="spellEnd"/>
            <w:r w:rsidRPr="00FA3F9C">
              <w:rPr>
                <w:rFonts w:ascii="Arial" w:hAnsi="Arial" w:cs="Arial"/>
                <w:sz w:val="24"/>
                <w:szCs w:val="24"/>
                <w:u w:val="single"/>
              </w:rPr>
              <w:t xml:space="preserve"> dosing:</w:t>
            </w:r>
          </w:p>
          <w:p w14:paraId="2F30A6E0" w14:textId="77777777" w:rsidR="001506C1" w:rsidRPr="00FA3F9C" w:rsidRDefault="001506C1" w:rsidP="00CF0CC2">
            <w:pPr>
              <w:rPr>
                <w:rFonts w:ascii="Arial" w:hAnsi="Arial" w:cs="Arial"/>
                <w:sz w:val="24"/>
                <w:szCs w:val="24"/>
              </w:rPr>
            </w:pPr>
            <w:r w:rsidRPr="00FA3F9C">
              <w:rPr>
                <w:rFonts w:ascii="Arial" w:hAnsi="Arial" w:cs="Arial"/>
                <w:sz w:val="24"/>
                <w:szCs w:val="24"/>
              </w:rPr>
              <w:t>CML chronic phase: 100 mg PO daily; may escalate to 140 mg daily if inadequate response</w:t>
            </w:r>
          </w:p>
          <w:p w14:paraId="787EBA69" w14:textId="77777777" w:rsidR="001506C1" w:rsidRPr="00FA3F9C" w:rsidRDefault="001506C1" w:rsidP="00CF0CC2">
            <w:pPr>
              <w:rPr>
                <w:rFonts w:ascii="Arial" w:hAnsi="Arial" w:cs="Arial"/>
                <w:sz w:val="24"/>
                <w:szCs w:val="24"/>
              </w:rPr>
            </w:pPr>
            <w:r w:rsidRPr="00FA3F9C">
              <w:rPr>
                <w:rFonts w:ascii="Arial" w:hAnsi="Arial" w:cs="Arial"/>
                <w:sz w:val="24"/>
                <w:szCs w:val="24"/>
              </w:rPr>
              <w:t>CML accelerated/blast phase: 140 mg daily; may escalate to 180 mg daily if inadequate response</w:t>
            </w:r>
          </w:p>
          <w:p w14:paraId="30C24296" w14:textId="77777777" w:rsidR="001506C1" w:rsidRPr="00FA3F9C" w:rsidRDefault="001506C1" w:rsidP="00CF0CC2">
            <w:pPr>
              <w:rPr>
                <w:rFonts w:ascii="Arial" w:hAnsi="Arial" w:cs="Arial"/>
                <w:sz w:val="24"/>
                <w:szCs w:val="24"/>
              </w:rPr>
            </w:pPr>
            <w:r w:rsidRPr="00FA3F9C">
              <w:rPr>
                <w:rFonts w:ascii="Arial" w:hAnsi="Arial" w:cs="Arial"/>
                <w:sz w:val="24"/>
                <w:szCs w:val="24"/>
              </w:rPr>
              <w:t xml:space="preserve">ALL: 140 mg PO daily; may escalate to 180 mg PO daily if inadequate response </w:t>
            </w:r>
          </w:p>
          <w:p w14:paraId="27813276" w14:textId="77777777" w:rsidR="001506C1" w:rsidRPr="00FA3F9C" w:rsidRDefault="001506C1" w:rsidP="00CF0CC2">
            <w:pPr>
              <w:rPr>
                <w:rFonts w:ascii="Arial" w:hAnsi="Arial" w:cs="Arial"/>
                <w:sz w:val="24"/>
                <w:szCs w:val="24"/>
              </w:rPr>
            </w:pPr>
          </w:p>
          <w:p w14:paraId="227994A9" w14:textId="77777777" w:rsidR="001506C1" w:rsidRPr="00FA3F9C" w:rsidRDefault="001506C1" w:rsidP="00CF0CC2">
            <w:pPr>
              <w:rPr>
                <w:rFonts w:ascii="Arial" w:hAnsi="Arial" w:cs="Arial"/>
                <w:sz w:val="24"/>
                <w:szCs w:val="24"/>
                <w:u w:val="single"/>
              </w:rPr>
            </w:pPr>
            <w:r w:rsidRPr="00FA3F9C">
              <w:rPr>
                <w:rFonts w:ascii="Arial" w:hAnsi="Arial" w:cs="Arial"/>
                <w:sz w:val="24"/>
                <w:szCs w:val="24"/>
                <w:u w:val="single"/>
              </w:rPr>
              <w:t xml:space="preserve">Pediatric </w:t>
            </w:r>
            <w:proofErr w:type="spellStart"/>
            <w:r w:rsidRPr="00FA3F9C">
              <w:rPr>
                <w:rFonts w:ascii="Arial" w:hAnsi="Arial" w:cs="Arial"/>
                <w:sz w:val="24"/>
                <w:szCs w:val="24"/>
                <w:u w:val="single"/>
              </w:rPr>
              <w:t>dasatinib</w:t>
            </w:r>
            <w:proofErr w:type="spellEnd"/>
            <w:r w:rsidRPr="00FA3F9C">
              <w:rPr>
                <w:rFonts w:ascii="Arial" w:hAnsi="Arial" w:cs="Arial"/>
                <w:sz w:val="24"/>
                <w:szCs w:val="24"/>
                <w:u w:val="single"/>
              </w:rPr>
              <w:t xml:space="preserve"> dosing:</w:t>
            </w:r>
          </w:p>
          <w:p w14:paraId="2D48EF49" w14:textId="77777777" w:rsidR="001506C1" w:rsidRPr="00FA3F9C" w:rsidRDefault="001506C1" w:rsidP="00CF0CC2">
            <w:pPr>
              <w:rPr>
                <w:rFonts w:ascii="Arial" w:hAnsi="Arial" w:cs="Arial"/>
                <w:sz w:val="24"/>
                <w:szCs w:val="24"/>
              </w:rPr>
            </w:pPr>
            <w:r w:rsidRPr="00FA3F9C">
              <w:rPr>
                <w:rFonts w:ascii="Arial" w:hAnsi="Arial" w:cs="Arial"/>
                <w:sz w:val="24"/>
                <w:szCs w:val="24"/>
              </w:rPr>
              <w:t>10 to less than 20 kg: 40 mg daily</w:t>
            </w:r>
          </w:p>
          <w:p w14:paraId="62109FD4" w14:textId="77777777" w:rsidR="001506C1" w:rsidRPr="00FA3F9C" w:rsidRDefault="001506C1" w:rsidP="00CF0CC2">
            <w:pPr>
              <w:rPr>
                <w:rFonts w:ascii="Arial" w:hAnsi="Arial" w:cs="Arial"/>
                <w:sz w:val="24"/>
                <w:szCs w:val="24"/>
              </w:rPr>
            </w:pPr>
            <w:r w:rsidRPr="00FA3F9C">
              <w:rPr>
                <w:rFonts w:ascii="Arial" w:hAnsi="Arial" w:cs="Arial"/>
                <w:sz w:val="24"/>
                <w:szCs w:val="24"/>
              </w:rPr>
              <w:t>20 to less than 30 kg: 60 mg daily</w:t>
            </w:r>
          </w:p>
          <w:p w14:paraId="32D07FD4" w14:textId="77777777" w:rsidR="001506C1" w:rsidRPr="00FA3F9C" w:rsidRDefault="001506C1" w:rsidP="00CF0CC2">
            <w:pPr>
              <w:rPr>
                <w:rFonts w:ascii="Arial" w:hAnsi="Arial" w:cs="Arial"/>
                <w:sz w:val="24"/>
                <w:szCs w:val="24"/>
              </w:rPr>
            </w:pPr>
            <w:r w:rsidRPr="00FA3F9C">
              <w:rPr>
                <w:rFonts w:ascii="Arial" w:hAnsi="Arial" w:cs="Arial"/>
                <w:sz w:val="24"/>
                <w:szCs w:val="24"/>
              </w:rPr>
              <w:t>30 to less than 45 kg: 70 mg daily</w:t>
            </w:r>
          </w:p>
          <w:p w14:paraId="03C4AC81" w14:textId="77777777" w:rsidR="001506C1" w:rsidRPr="00FA3F9C" w:rsidRDefault="001506C1" w:rsidP="00CF0CC2">
            <w:pPr>
              <w:rPr>
                <w:rFonts w:ascii="Arial" w:hAnsi="Arial" w:cs="Arial"/>
                <w:sz w:val="24"/>
                <w:szCs w:val="24"/>
              </w:rPr>
            </w:pPr>
            <w:r w:rsidRPr="00FA3F9C">
              <w:rPr>
                <w:rFonts w:ascii="Arial" w:hAnsi="Arial" w:cs="Arial"/>
                <w:sz w:val="24"/>
                <w:szCs w:val="24"/>
                <w:u w:val="single"/>
              </w:rPr>
              <w:t>&gt;</w:t>
            </w:r>
            <w:r w:rsidRPr="00FA3F9C">
              <w:rPr>
                <w:rFonts w:ascii="Arial" w:hAnsi="Arial" w:cs="Arial"/>
                <w:sz w:val="24"/>
                <w:szCs w:val="24"/>
              </w:rPr>
              <w:t>45 kg: 100 mg daily</w:t>
            </w:r>
          </w:p>
          <w:p w14:paraId="2B1A8517" w14:textId="77777777" w:rsidR="001506C1" w:rsidRPr="00FA3F9C" w:rsidRDefault="001506C1" w:rsidP="00CF0CC2">
            <w:pPr>
              <w:rPr>
                <w:rFonts w:ascii="Arial" w:eastAsia="Times New Roman" w:hAnsi="Arial" w:cs="Arial"/>
                <w:sz w:val="24"/>
                <w:szCs w:val="24"/>
              </w:rPr>
            </w:pPr>
          </w:p>
          <w:p w14:paraId="33708DFC" w14:textId="77777777" w:rsidR="001506C1" w:rsidRPr="00FA3F9C" w:rsidRDefault="001506C1" w:rsidP="00CF0CC2">
            <w:pPr>
              <w:rPr>
                <w:rFonts w:ascii="Arial" w:eastAsia="Times New Roman" w:hAnsi="Arial" w:cs="Arial"/>
                <w:sz w:val="24"/>
                <w:szCs w:val="24"/>
              </w:rPr>
            </w:pPr>
            <w:r w:rsidRPr="00FA3F9C">
              <w:rPr>
                <w:rFonts w:ascii="Arial" w:eastAsia="Times New Roman" w:hAnsi="Arial" w:cs="Arial"/>
                <w:sz w:val="24"/>
                <w:szCs w:val="24"/>
              </w:rPr>
              <w:t>REFERENCE:</w:t>
            </w:r>
          </w:p>
          <w:p w14:paraId="0003D318" w14:textId="77777777" w:rsidR="001506C1" w:rsidRPr="00FA3F9C" w:rsidRDefault="001506C1" w:rsidP="001506C1">
            <w:pPr>
              <w:pStyle w:val="ListParagraph"/>
              <w:numPr>
                <w:ilvl w:val="0"/>
                <w:numId w:val="26"/>
              </w:numPr>
              <w:ind w:left="360" w:hanging="180"/>
              <w:rPr>
                <w:rFonts w:ascii="Arial" w:eastAsia="Times New Roman" w:hAnsi="Arial" w:cs="Arial"/>
                <w:sz w:val="24"/>
                <w:szCs w:val="24"/>
              </w:rPr>
            </w:pPr>
            <w:proofErr w:type="spellStart"/>
            <w:r w:rsidRPr="00FA3F9C">
              <w:rPr>
                <w:rFonts w:ascii="Arial" w:eastAsia="Times New Roman" w:hAnsi="Arial" w:cs="Arial"/>
                <w:sz w:val="24"/>
                <w:szCs w:val="24"/>
                <w:lang w:val="fr-FR"/>
              </w:rPr>
              <w:t>Baccarani</w:t>
            </w:r>
            <w:proofErr w:type="spellEnd"/>
            <w:r w:rsidRPr="00FA3F9C">
              <w:rPr>
                <w:rFonts w:ascii="Arial" w:eastAsia="Times New Roman" w:hAnsi="Arial" w:cs="Arial"/>
                <w:sz w:val="24"/>
                <w:szCs w:val="24"/>
                <w:lang w:val="fr-FR"/>
              </w:rPr>
              <w:t xml:space="preserve"> M et al. </w:t>
            </w:r>
            <w:hyperlink r:id="rId109" w:tooltip="Blood." w:history="1">
              <w:r w:rsidRPr="00FA3F9C">
                <w:rPr>
                  <w:rStyle w:val="highlight"/>
                  <w:rFonts w:ascii="Arial" w:hAnsi="Arial" w:cs="Arial"/>
                  <w:sz w:val="24"/>
                  <w:szCs w:val="24"/>
                  <w:lang w:val="fr-FR"/>
                </w:rPr>
                <w:t>Blood</w:t>
              </w:r>
              <w:r w:rsidRPr="00FA3F9C">
                <w:rPr>
                  <w:rStyle w:val="Hyperlink"/>
                  <w:rFonts w:ascii="Arial" w:hAnsi="Arial" w:cs="Arial"/>
                  <w:sz w:val="24"/>
                  <w:szCs w:val="24"/>
                  <w:lang w:val="fr-FR"/>
                </w:rPr>
                <w:t>.</w:t>
              </w:r>
            </w:hyperlink>
            <w:r w:rsidRPr="00FA3F9C">
              <w:rPr>
                <w:rFonts w:ascii="Arial" w:hAnsi="Arial" w:cs="Arial"/>
                <w:sz w:val="24"/>
                <w:szCs w:val="24"/>
                <w:lang w:val="fr-FR"/>
              </w:rPr>
              <w:t xml:space="preserve"> </w:t>
            </w:r>
            <w:r w:rsidRPr="00FA3F9C">
              <w:rPr>
                <w:rFonts w:ascii="Arial" w:hAnsi="Arial" w:cs="Arial"/>
                <w:sz w:val="24"/>
                <w:szCs w:val="24"/>
              </w:rPr>
              <w:t xml:space="preserve">2013 Aug </w:t>
            </w:r>
            <w:proofErr w:type="gramStart"/>
            <w:r w:rsidRPr="00FA3F9C">
              <w:rPr>
                <w:rFonts w:ascii="Arial" w:hAnsi="Arial" w:cs="Arial"/>
                <w:sz w:val="24"/>
                <w:szCs w:val="24"/>
              </w:rPr>
              <w:t>8;</w:t>
            </w:r>
            <w:proofErr w:type="gramEnd"/>
            <w:r w:rsidRPr="00FA3F9C">
              <w:rPr>
                <w:rStyle w:val="highlight"/>
                <w:rFonts w:ascii="Arial" w:hAnsi="Arial" w:cs="Arial"/>
                <w:sz w:val="24"/>
                <w:szCs w:val="24"/>
              </w:rPr>
              <w:t>122</w:t>
            </w:r>
            <w:r w:rsidRPr="00FA3F9C">
              <w:rPr>
                <w:rFonts w:ascii="Arial" w:hAnsi="Arial" w:cs="Arial"/>
                <w:sz w:val="24"/>
                <w:szCs w:val="24"/>
              </w:rPr>
              <w:t>(6):872-84. PMID 23803709</w:t>
            </w:r>
          </w:p>
          <w:p w14:paraId="2DC5EB54" w14:textId="77777777" w:rsidR="001506C1" w:rsidRPr="00FA3F9C" w:rsidRDefault="00500371" w:rsidP="001506C1">
            <w:pPr>
              <w:pStyle w:val="ListParagraph"/>
              <w:numPr>
                <w:ilvl w:val="0"/>
                <w:numId w:val="26"/>
              </w:numPr>
              <w:ind w:left="360" w:hanging="180"/>
              <w:rPr>
                <w:rFonts w:ascii="Arial" w:eastAsia="Times New Roman" w:hAnsi="Arial" w:cs="Arial"/>
                <w:sz w:val="24"/>
                <w:szCs w:val="24"/>
              </w:rPr>
            </w:pPr>
            <w:hyperlink r:id="rId110" w:history="1">
              <w:proofErr w:type="spellStart"/>
              <w:r w:rsidR="001506C1" w:rsidRPr="00FA3F9C">
                <w:rPr>
                  <w:rStyle w:val="Hyperlink"/>
                  <w:rFonts w:ascii="Arial" w:hAnsi="Arial" w:cs="Arial"/>
                  <w:sz w:val="24"/>
                  <w:szCs w:val="24"/>
                </w:rPr>
                <w:t>Kantarjian</w:t>
              </w:r>
              <w:proofErr w:type="spellEnd"/>
              <w:r w:rsidR="001506C1" w:rsidRPr="00FA3F9C">
                <w:rPr>
                  <w:rStyle w:val="Hyperlink"/>
                  <w:rFonts w:ascii="Arial" w:hAnsi="Arial" w:cs="Arial"/>
                  <w:sz w:val="24"/>
                  <w:szCs w:val="24"/>
                </w:rPr>
                <w:t xml:space="preserve"> H</w:t>
              </w:r>
            </w:hyperlink>
            <w:r w:rsidR="001506C1" w:rsidRPr="00FA3F9C">
              <w:rPr>
                <w:rFonts w:ascii="Arial" w:hAnsi="Arial" w:cs="Arial"/>
                <w:sz w:val="24"/>
                <w:szCs w:val="24"/>
              </w:rPr>
              <w:t xml:space="preserve"> et al. </w:t>
            </w:r>
            <w:hyperlink r:id="rId111" w:tooltip="The New England journal of medicine." w:history="1">
              <w:r w:rsidR="001506C1" w:rsidRPr="00FA3F9C">
                <w:rPr>
                  <w:rStyle w:val="Hyperlink"/>
                  <w:rFonts w:ascii="Arial" w:hAnsi="Arial" w:cs="Arial"/>
                  <w:sz w:val="24"/>
                  <w:szCs w:val="24"/>
                </w:rPr>
                <w:t xml:space="preserve">N </w:t>
              </w:r>
              <w:proofErr w:type="spellStart"/>
              <w:r w:rsidR="001506C1" w:rsidRPr="00FA3F9C">
                <w:rPr>
                  <w:rStyle w:val="Hyperlink"/>
                  <w:rFonts w:ascii="Arial" w:hAnsi="Arial" w:cs="Arial"/>
                  <w:sz w:val="24"/>
                  <w:szCs w:val="24"/>
                </w:rPr>
                <w:t>Engl</w:t>
              </w:r>
              <w:proofErr w:type="spellEnd"/>
              <w:r w:rsidR="001506C1" w:rsidRPr="00FA3F9C">
                <w:rPr>
                  <w:rStyle w:val="Hyperlink"/>
                  <w:rFonts w:ascii="Arial" w:hAnsi="Arial" w:cs="Arial"/>
                  <w:sz w:val="24"/>
                  <w:szCs w:val="24"/>
                </w:rPr>
                <w:t xml:space="preserve"> J Med.</w:t>
              </w:r>
            </w:hyperlink>
            <w:r w:rsidR="001506C1" w:rsidRPr="00FA3F9C">
              <w:rPr>
                <w:rFonts w:ascii="Arial" w:hAnsi="Arial" w:cs="Arial"/>
                <w:sz w:val="24"/>
                <w:szCs w:val="24"/>
              </w:rPr>
              <w:t xml:space="preserve"> 2010 Jun 17;362(24):2260-70. (NCT00481247)</w:t>
            </w:r>
          </w:p>
          <w:p w14:paraId="1CE1C46B" w14:textId="77777777" w:rsidR="001506C1" w:rsidRPr="00FA3F9C" w:rsidRDefault="00500371" w:rsidP="001506C1">
            <w:pPr>
              <w:pStyle w:val="ListParagraph"/>
              <w:numPr>
                <w:ilvl w:val="0"/>
                <w:numId w:val="26"/>
              </w:numPr>
              <w:ind w:left="360" w:hanging="180"/>
              <w:rPr>
                <w:rFonts w:ascii="Arial" w:eastAsia="Times New Roman" w:hAnsi="Arial" w:cs="Arial"/>
                <w:sz w:val="24"/>
                <w:szCs w:val="24"/>
              </w:rPr>
            </w:pPr>
            <w:hyperlink r:id="rId112" w:history="1">
              <w:r w:rsidR="001506C1" w:rsidRPr="00FA3F9C">
                <w:rPr>
                  <w:rStyle w:val="Hyperlink"/>
                  <w:rFonts w:ascii="Arial" w:hAnsi="Arial" w:cs="Arial"/>
                  <w:sz w:val="24"/>
                  <w:szCs w:val="24"/>
                  <w:lang w:val="fr-FR"/>
                </w:rPr>
                <w:t>Cortes JE</w:t>
              </w:r>
            </w:hyperlink>
            <w:r w:rsidR="001506C1" w:rsidRPr="00FA3F9C">
              <w:rPr>
                <w:rFonts w:ascii="Arial" w:hAnsi="Arial" w:cs="Arial"/>
                <w:sz w:val="24"/>
                <w:szCs w:val="24"/>
                <w:lang w:val="fr-FR"/>
              </w:rPr>
              <w:t xml:space="preserve"> et al. </w:t>
            </w:r>
            <w:hyperlink r:id="rId113" w:tooltip="Journal of clinical oncology : official journal of the American Society of Clinical Oncology." w:history="1">
              <w:r w:rsidR="001506C1" w:rsidRPr="00FA3F9C">
                <w:rPr>
                  <w:rStyle w:val="Hyperlink"/>
                  <w:rFonts w:ascii="Arial" w:hAnsi="Arial" w:cs="Arial"/>
                  <w:sz w:val="24"/>
                  <w:szCs w:val="24"/>
                  <w:lang w:val="fr-FR"/>
                </w:rPr>
                <w:t xml:space="preserve">J Clin </w:t>
              </w:r>
              <w:proofErr w:type="spellStart"/>
              <w:r w:rsidR="001506C1" w:rsidRPr="00FA3F9C">
                <w:rPr>
                  <w:rStyle w:val="Hyperlink"/>
                  <w:rFonts w:ascii="Arial" w:hAnsi="Arial" w:cs="Arial"/>
                  <w:sz w:val="24"/>
                  <w:szCs w:val="24"/>
                  <w:lang w:val="fr-FR"/>
                </w:rPr>
                <w:t>Oncol</w:t>
              </w:r>
              <w:proofErr w:type="spellEnd"/>
              <w:r w:rsidR="001506C1" w:rsidRPr="00FA3F9C">
                <w:rPr>
                  <w:rStyle w:val="Hyperlink"/>
                  <w:rFonts w:ascii="Arial" w:hAnsi="Arial" w:cs="Arial"/>
                  <w:sz w:val="24"/>
                  <w:szCs w:val="24"/>
                  <w:lang w:val="fr-FR"/>
                </w:rPr>
                <w:t>.</w:t>
              </w:r>
            </w:hyperlink>
            <w:r w:rsidR="001506C1" w:rsidRPr="00FA3F9C">
              <w:rPr>
                <w:rFonts w:ascii="Arial" w:hAnsi="Arial" w:cs="Arial"/>
                <w:sz w:val="24"/>
                <w:szCs w:val="24"/>
                <w:lang w:val="fr-FR"/>
              </w:rPr>
              <w:t xml:space="preserve"> </w:t>
            </w:r>
            <w:r w:rsidR="001506C1" w:rsidRPr="00FA3F9C">
              <w:rPr>
                <w:rFonts w:ascii="Arial" w:hAnsi="Arial" w:cs="Arial"/>
                <w:sz w:val="24"/>
                <w:szCs w:val="24"/>
              </w:rPr>
              <w:t xml:space="preserve">2016 Jul </w:t>
            </w:r>
            <w:proofErr w:type="gramStart"/>
            <w:r w:rsidR="001506C1" w:rsidRPr="00FA3F9C">
              <w:rPr>
                <w:rFonts w:ascii="Arial" w:hAnsi="Arial" w:cs="Arial"/>
                <w:sz w:val="24"/>
                <w:szCs w:val="24"/>
              </w:rPr>
              <w:t>10;</w:t>
            </w:r>
            <w:proofErr w:type="gramEnd"/>
            <w:r w:rsidR="001506C1" w:rsidRPr="00FA3F9C">
              <w:rPr>
                <w:rFonts w:ascii="Arial" w:hAnsi="Arial" w:cs="Arial"/>
                <w:sz w:val="24"/>
                <w:szCs w:val="24"/>
              </w:rPr>
              <w:t>34(20):2333-40. (NCT00481247)</w:t>
            </w:r>
          </w:p>
          <w:p w14:paraId="1C390870" w14:textId="77777777" w:rsidR="001506C1" w:rsidRPr="00FA3F9C" w:rsidRDefault="001506C1" w:rsidP="00CF0CC2">
            <w:pPr>
              <w:rPr>
                <w:rFonts w:ascii="Arial" w:hAnsi="Arial" w:cs="Arial"/>
                <w:sz w:val="24"/>
                <w:szCs w:val="24"/>
              </w:rPr>
            </w:pPr>
          </w:p>
        </w:tc>
      </w:tr>
    </w:tbl>
    <w:p w14:paraId="14CFF39B" w14:textId="77777777" w:rsidR="001506C1" w:rsidRPr="00FA3F9C" w:rsidRDefault="001506C1" w:rsidP="006F623F">
      <w:pPr>
        <w:spacing w:after="0"/>
        <w:rPr>
          <w:rFonts w:ascii="Arial" w:hAnsi="Arial" w:cs="Arial"/>
          <w:sz w:val="24"/>
          <w:szCs w:val="24"/>
        </w:rPr>
      </w:pPr>
    </w:p>
    <w:p w14:paraId="08C12E92"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418"/>
        <w:gridCol w:w="7470"/>
        <w:gridCol w:w="2538"/>
      </w:tblGrid>
      <w:tr w:rsidR="001506C1" w:rsidRPr="00FA3F9C" w14:paraId="31CD31E9" w14:textId="77777777" w:rsidTr="00FE491B">
        <w:tc>
          <w:tcPr>
            <w:tcW w:w="1008" w:type="dxa"/>
          </w:tcPr>
          <w:p w14:paraId="76243F6C" w14:textId="77777777" w:rsidR="001506C1" w:rsidRPr="00FA3F9C" w:rsidRDefault="001506C1" w:rsidP="006F623F">
            <w:pPr>
              <w:rPr>
                <w:rFonts w:ascii="Arial" w:hAnsi="Arial" w:cs="Arial"/>
                <w:sz w:val="24"/>
                <w:szCs w:val="24"/>
              </w:rPr>
            </w:pPr>
            <w:r w:rsidRPr="00FA3F9C">
              <w:rPr>
                <w:rFonts w:ascii="Arial" w:hAnsi="Arial" w:cs="Arial"/>
                <w:sz w:val="24"/>
                <w:szCs w:val="24"/>
              </w:rPr>
              <w:t>Date</w:t>
            </w:r>
          </w:p>
        </w:tc>
        <w:tc>
          <w:tcPr>
            <w:tcW w:w="7470" w:type="dxa"/>
          </w:tcPr>
          <w:p w14:paraId="67A20EC3" w14:textId="77777777" w:rsidR="001506C1" w:rsidRPr="00FA3F9C" w:rsidRDefault="001506C1" w:rsidP="006F623F">
            <w:pPr>
              <w:rPr>
                <w:rFonts w:ascii="Arial" w:hAnsi="Arial" w:cs="Arial"/>
                <w:sz w:val="24"/>
                <w:szCs w:val="24"/>
              </w:rPr>
            </w:pPr>
            <w:r w:rsidRPr="00FA3F9C">
              <w:rPr>
                <w:rFonts w:ascii="Arial" w:hAnsi="Arial" w:cs="Arial"/>
                <w:sz w:val="24"/>
                <w:szCs w:val="24"/>
              </w:rPr>
              <w:t xml:space="preserve">What changed </w:t>
            </w:r>
          </w:p>
        </w:tc>
        <w:tc>
          <w:tcPr>
            <w:tcW w:w="2538" w:type="dxa"/>
          </w:tcPr>
          <w:p w14:paraId="4F1D4AD8" w14:textId="77777777" w:rsidR="001506C1" w:rsidRPr="00FA3F9C" w:rsidRDefault="001506C1" w:rsidP="006F623F">
            <w:pPr>
              <w:rPr>
                <w:rFonts w:ascii="Arial" w:hAnsi="Arial" w:cs="Arial"/>
                <w:sz w:val="24"/>
                <w:szCs w:val="24"/>
              </w:rPr>
            </w:pPr>
            <w:r w:rsidRPr="00FA3F9C">
              <w:rPr>
                <w:rFonts w:ascii="Arial" w:hAnsi="Arial" w:cs="Arial"/>
                <w:sz w:val="24"/>
                <w:szCs w:val="24"/>
              </w:rPr>
              <w:t>Pharmacist’s initials</w:t>
            </w:r>
          </w:p>
        </w:tc>
      </w:tr>
      <w:tr w:rsidR="001506C1" w:rsidRPr="00FA3F9C" w14:paraId="4FA5936D" w14:textId="77777777" w:rsidTr="00FE491B">
        <w:tc>
          <w:tcPr>
            <w:tcW w:w="1008" w:type="dxa"/>
          </w:tcPr>
          <w:p w14:paraId="280091A3" w14:textId="77777777" w:rsidR="001506C1" w:rsidRPr="00FA3F9C" w:rsidRDefault="001506C1" w:rsidP="00586C71">
            <w:pPr>
              <w:rPr>
                <w:rFonts w:ascii="Arial" w:hAnsi="Arial" w:cs="Arial"/>
                <w:sz w:val="24"/>
                <w:szCs w:val="24"/>
              </w:rPr>
            </w:pPr>
            <w:r w:rsidRPr="00FA3F9C">
              <w:rPr>
                <w:rFonts w:ascii="Arial" w:hAnsi="Arial" w:cs="Arial"/>
                <w:sz w:val="24"/>
                <w:szCs w:val="24"/>
              </w:rPr>
              <w:t>8/10/12</w:t>
            </w:r>
          </w:p>
        </w:tc>
        <w:tc>
          <w:tcPr>
            <w:tcW w:w="7470" w:type="dxa"/>
          </w:tcPr>
          <w:p w14:paraId="38DFD376" w14:textId="77777777" w:rsidR="001506C1" w:rsidRPr="00FA3F9C" w:rsidRDefault="001506C1" w:rsidP="00586C71">
            <w:pPr>
              <w:rPr>
                <w:rFonts w:ascii="Arial" w:hAnsi="Arial" w:cs="Arial"/>
                <w:sz w:val="24"/>
                <w:szCs w:val="24"/>
              </w:rPr>
            </w:pPr>
            <w:r w:rsidRPr="00FA3F9C">
              <w:rPr>
                <w:rFonts w:ascii="Arial" w:hAnsi="Arial" w:cs="Arial"/>
                <w:sz w:val="24"/>
                <w:szCs w:val="24"/>
              </w:rPr>
              <w:t xml:space="preserve">I wrote the criteria. </w:t>
            </w:r>
          </w:p>
        </w:tc>
        <w:tc>
          <w:tcPr>
            <w:tcW w:w="2538" w:type="dxa"/>
          </w:tcPr>
          <w:p w14:paraId="7DC02703" w14:textId="6B001E83" w:rsidR="001506C1" w:rsidRPr="00FA3F9C" w:rsidRDefault="005C142D" w:rsidP="00586C71">
            <w:pPr>
              <w:rPr>
                <w:rFonts w:ascii="Arial" w:hAnsi="Arial" w:cs="Arial"/>
                <w:sz w:val="24"/>
                <w:szCs w:val="24"/>
              </w:rPr>
            </w:pPr>
            <w:r w:rsidRPr="00FA3F9C">
              <w:rPr>
                <w:rFonts w:ascii="Arial" w:hAnsi="Arial" w:cs="Arial"/>
                <w:sz w:val="24"/>
                <w:szCs w:val="24"/>
              </w:rPr>
              <w:t>JJ</w:t>
            </w:r>
            <w:r w:rsidR="001506C1" w:rsidRPr="00FA3F9C">
              <w:rPr>
                <w:rFonts w:ascii="Arial" w:hAnsi="Arial" w:cs="Arial"/>
                <w:sz w:val="24"/>
                <w:szCs w:val="24"/>
              </w:rPr>
              <w:t xml:space="preserve"> </w:t>
            </w:r>
          </w:p>
        </w:tc>
      </w:tr>
      <w:tr w:rsidR="001506C1" w:rsidRPr="00FA3F9C" w14:paraId="05995AD5" w14:textId="77777777" w:rsidTr="00FE491B">
        <w:tc>
          <w:tcPr>
            <w:tcW w:w="1008" w:type="dxa"/>
          </w:tcPr>
          <w:p w14:paraId="1E15A7D3" w14:textId="77777777" w:rsidR="001506C1" w:rsidRPr="00FA3F9C" w:rsidRDefault="001506C1" w:rsidP="00586C71">
            <w:pPr>
              <w:rPr>
                <w:rFonts w:ascii="Arial" w:hAnsi="Arial" w:cs="Arial"/>
                <w:sz w:val="24"/>
                <w:szCs w:val="24"/>
              </w:rPr>
            </w:pPr>
            <w:r w:rsidRPr="00FA3F9C">
              <w:rPr>
                <w:rFonts w:ascii="Arial" w:hAnsi="Arial" w:cs="Arial"/>
                <w:sz w:val="24"/>
                <w:szCs w:val="24"/>
              </w:rPr>
              <w:t>3/4/19</w:t>
            </w:r>
          </w:p>
        </w:tc>
        <w:tc>
          <w:tcPr>
            <w:tcW w:w="7470" w:type="dxa"/>
          </w:tcPr>
          <w:p w14:paraId="3FD3FA5B" w14:textId="77777777" w:rsidR="001506C1" w:rsidRPr="00FA3F9C" w:rsidRDefault="001506C1" w:rsidP="00586C71">
            <w:pPr>
              <w:rPr>
                <w:rFonts w:ascii="Arial" w:hAnsi="Arial" w:cs="Arial"/>
                <w:sz w:val="24"/>
                <w:szCs w:val="24"/>
              </w:rPr>
            </w:pPr>
            <w:r w:rsidRPr="00FA3F9C">
              <w:rPr>
                <w:rFonts w:ascii="Arial" w:hAnsi="Arial" w:cs="Arial"/>
                <w:sz w:val="24"/>
                <w:szCs w:val="24"/>
              </w:rPr>
              <w:t xml:space="preserve">Updated criteria to require imatinib before </w:t>
            </w:r>
            <w:proofErr w:type="spellStart"/>
            <w:r w:rsidRPr="00FA3F9C">
              <w:rPr>
                <w:rFonts w:ascii="Arial" w:hAnsi="Arial" w:cs="Arial"/>
                <w:sz w:val="24"/>
                <w:szCs w:val="24"/>
              </w:rPr>
              <w:t>dasatinib</w:t>
            </w:r>
            <w:proofErr w:type="spellEnd"/>
            <w:r w:rsidRPr="00FA3F9C">
              <w:rPr>
                <w:rFonts w:ascii="Arial" w:hAnsi="Arial" w:cs="Arial"/>
                <w:sz w:val="24"/>
                <w:szCs w:val="24"/>
              </w:rPr>
              <w:t xml:space="preserve"> for CML.  Added general information about CML monitoring and rationale for criteria. </w:t>
            </w:r>
          </w:p>
        </w:tc>
        <w:tc>
          <w:tcPr>
            <w:tcW w:w="2538" w:type="dxa"/>
          </w:tcPr>
          <w:p w14:paraId="42385172" w14:textId="77777777" w:rsidR="001506C1" w:rsidRPr="00FA3F9C" w:rsidRDefault="001506C1" w:rsidP="00586C71">
            <w:pPr>
              <w:rPr>
                <w:rFonts w:ascii="Arial" w:hAnsi="Arial" w:cs="Arial"/>
                <w:sz w:val="24"/>
                <w:szCs w:val="24"/>
              </w:rPr>
            </w:pPr>
            <w:r w:rsidRPr="00FA3F9C">
              <w:rPr>
                <w:rFonts w:ascii="Arial" w:hAnsi="Arial" w:cs="Arial"/>
                <w:sz w:val="24"/>
                <w:szCs w:val="24"/>
              </w:rPr>
              <w:t>SK</w:t>
            </w:r>
          </w:p>
        </w:tc>
      </w:tr>
      <w:tr w:rsidR="001506C1" w:rsidRPr="00FA3F9C" w14:paraId="2956CAC1" w14:textId="77777777" w:rsidTr="00FE491B">
        <w:tc>
          <w:tcPr>
            <w:tcW w:w="1008" w:type="dxa"/>
          </w:tcPr>
          <w:p w14:paraId="673E5DBE" w14:textId="77777777" w:rsidR="001506C1" w:rsidRPr="00FA3F9C" w:rsidRDefault="001506C1" w:rsidP="00586C71">
            <w:pPr>
              <w:rPr>
                <w:rFonts w:ascii="Arial" w:hAnsi="Arial" w:cs="Arial"/>
                <w:sz w:val="24"/>
                <w:szCs w:val="24"/>
              </w:rPr>
            </w:pPr>
            <w:r w:rsidRPr="00FA3F9C">
              <w:rPr>
                <w:rFonts w:ascii="Arial" w:hAnsi="Arial" w:cs="Arial"/>
                <w:sz w:val="24"/>
                <w:szCs w:val="24"/>
              </w:rPr>
              <w:t>8/7/19</w:t>
            </w:r>
          </w:p>
        </w:tc>
        <w:tc>
          <w:tcPr>
            <w:tcW w:w="7470" w:type="dxa"/>
          </w:tcPr>
          <w:p w14:paraId="5E9F1CFC" w14:textId="77777777" w:rsidR="001506C1" w:rsidRPr="00FA3F9C" w:rsidRDefault="001506C1" w:rsidP="00586C71">
            <w:pPr>
              <w:rPr>
                <w:rFonts w:ascii="Arial" w:hAnsi="Arial" w:cs="Arial"/>
                <w:sz w:val="24"/>
                <w:szCs w:val="24"/>
              </w:rPr>
            </w:pPr>
            <w:r w:rsidRPr="00FA3F9C">
              <w:rPr>
                <w:rFonts w:ascii="Arial" w:hAnsi="Arial" w:cs="Arial"/>
                <w:sz w:val="24"/>
                <w:szCs w:val="24"/>
              </w:rPr>
              <w:t>Criteria reviewed. No change.</w:t>
            </w:r>
          </w:p>
        </w:tc>
        <w:tc>
          <w:tcPr>
            <w:tcW w:w="2538" w:type="dxa"/>
          </w:tcPr>
          <w:p w14:paraId="1927DD05" w14:textId="77777777" w:rsidR="001506C1" w:rsidRPr="00FA3F9C" w:rsidRDefault="001506C1" w:rsidP="00586C71">
            <w:pPr>
              <w:rPr>
                <w:rFonts w:ascii="Arial" w:hAnsi="Arial" w:cs="Arial"/>
                <w:sz w:val="24"/>
                <w:szCs w:val="24"/>
              </w:rPr>
            </w:pPr>
            <w:r w:rsidRPr="00FA3F9C">
              <w:rPr>
                <w:rFonts w:ascii="Arial" w:hAnsi="Arial" w:cs="Arial"/>
                <w:sz w:val="24"/>
                <w:szCs w:val="24"/>
              </w:rPr>
              <w:t>SK</w:t>
            </w:r>
          </w:p>
        </w:tc>
      </w:tr>
      <w:tr w:rsidR="001506C1" w:rsidRPr="00FA3F9C" w14:paraId="7C08AA25" w14:textId="77777777" w:rsidTr="00FE491B">
        <w:tc>
          <w:tcPr>
            <w:tcW w:w="1008" w:type="dxa"/>
          </w:tcPr>
          <w:p w14:paraId="01AD21F6" w14:textId="77777777" w:rsidR="001506C1" w:rsidRPr="00FA3F9C" w:rsidRDefault="001506C1" w:rsidP="00586C71">
            <w:pPr>
              <w:rPr>
                <w:rFonts w:ascii="Arial" w:hAnsi="Arial" w:cs="Arial"/>
                <w:sz w:val="24"/>
                <w:szCs w:val="24"/>
              </w:rPr>
            </w:pPr>
            <w:r w:rsidRPr="00FA3F9C">
              <w:rPr>
                <w:rFonts w:ascii="Arial" w:hAnsi="Arial" w:cs="Arial"/>
                <w:sz w:val="24"/>
                <w:szCs w:val="24"/>
              </w:rPr>
              <w:t>6/18/2020</w:t>
            </w:r>
          </w:p>
        </w:tc>
        <w:tc>
          <w:tcPr>
            <w:tcW w:w="7470" w:type="dxa"/>
          </w:tcPr>
          <w:p w14:paraId="69FC97A8" w14:textId="77777777" w:rsidR="001506C1" w:rsidRPr="00FA3F9C" w:rsidRDefault="001506C1" w:rsidP="00586C71">
            <w:pPr>
              <w:rPr>
                <w:rFonts w:ascii="Arial" w:hAnsi="Arial" w:cs="Arial"/>
                <w:sz w:val="24"/>
                <w:szCs w:val="24"/>
              </w:rPr>
            </w:pPr>
            <w:r w:rsidRPr="00FA3F9C">
              <w:rPr>
                <w:rFonts w:ascii="Arial" w:hAnsi="Arial" w:cs="Arial"/>
                <w:sz w:val="24"/>
                <w:szCs w:val="24"/>
              </w:rPr>
              <w:t>Added “(note: Ph+ may also be denoted as t(9;22) or BCR/ABL)”</w:t>
            </w:r>
          </w:p>
        </w:tc>
        <w:tc>
          <w:tcPr>
            <w:tcW w:w="2538" w:type="dxa"/>
          </w:tcPr>
          <w:p w14:paraId="1A52F834" w14:textId="77777777" w:rsidR="001506C1" w:rsidRPr="00FA3F9C" w:rsidRDefault="001506C1" w:rsidP="00586C71">
            <w:pPr>
              <w:rPr>
                <w:rFonts w:ascii="Arial" w:hAnsi="Arial" w:cs="Arial"/>
                <w:sz w:val="24"/>
                <w:szCs w:val="24"/>
              </w:rPr>
            </w:pPr>
            <w:r w:rsidRPr="00FA3F9C">
              <w:rPr>
                <w:rFonts w:ascii="Arial" w:hAnsi="Arial" w:cs="Arial"/>
                <w:sz w:val="24"/>
                <w:szCs w:val="24"/>
              </w:rPr>
              <w:t>SK</w:t>
            </w:r>
          </w:p>
        </w:tc>
      </w:tr>
      <w:tr w:rsidR="001506C1" w:rsidRPr="00FA3F9C" w14:paraId="5504B082" w14:textId="77777777" w:rsidTr="00FE491B">
        <w:tc>
          <w:tcPr>
            <w:tcW w:w="1008" w:type="dxa"/>
          </w:tcPr>
          <w:p w14:paraId="737443AD" w14:textId="77777777" w:rsidR="001506C1" w:rsidRPr="00FA3F9C" w:rsidRDefault="001506C1" w:rsidP="00586C71">
            <w:pPr>
              <w:rPr>
                <w:rFonts w:ascii="Arial" w:hAnsi="Arial" w:cs="Arial"/>
                <w:sz w:val="24"/>
                <w:szCs w:val="24"/>
              </w:rPr>
            </w:pPr>
            <w:r w:rsidRPr="00FA3F9C">
              <w:rPr>
                <w:rFonts w:ascii="Arial" w:hAnsi="Arial" w:cs="Arial"/>
                <w:sz w:val="24"/>
                <w:szCs w:val="24"/>
              </w:rPr>
              <w:lastRenderedPageBreak/>
              <w:t>8/20/2020</w:t>
            </w:r>
          </w:p>
        </w:tc>
        <w:tc>
          <w:tcPr>
            <w:tcW w:w="7470" w:type="dxa"/>
          </w:tcPr>
          <w:p w14:paraId="4E5535F7" w14:textId="77777777" w:rsidR="001506C1" w:rsidRPr="00FA3F9C" w:rsidRDefault="001506C1" w:rsidP="00586C71">
            <w:pPr>
              <w:rPr>
                <w:rFonts w:ascii="Arial" w:hAnsi="Arial" w:cs="Arial"/>
                <w:sz w:val="24"/>
                <w:szCs w:val="24"/>
              </w:rPr>
            </w:pPr>
            <w:r w:rsidRPr="00FA3F9C">
              <w:rPr>
                <w:rFonts w:ascii="Arial" w:hAnsi="Arial" w:cs="Arial"/>
                <w:sz w:val="24"/>
                <w:szCs w:val="24"/>
              </w:rPr>
              <w:t>Criteria reviewed. No change</w:t>
            </w:r>
          </w:p>
        </w:tc>
        <w:tc>
          <w:tcPr>
            <w:tcW w:w="2538" w:type="dxa"/>
          </w:tcPr>
          <w:p w14:paraId="360410C9" w14:textId="77777777" w:rsidR="001506C1" w:rsidRPr="00FA3F9C" w:rsidRDefault="001506C1" w:rsidP="00586C71">
            <w:pPr>
              <w:rPr>
                <w:rFonts w:ascii="Arial" w:hAnsi="Arial" w:cs="Arial"/>
                <w:sz w:val="24"/>
                <w:szCs w:val="24"/>
              </w:rPr>
            </w:pPr>
            <w:r w:rsidRPr="00FA3F9C">
              <w:rPr>
                <w:rFonts w:ascii="Arial" w:hAnsi="Arial" w:cs="Arial"/>
                <w:sz w:val="24"/>
                <w:szCs w:val="24"/>
              </w:rPr>
              <w:t>SK</w:t>
            </w:r>
          </w:p>
        </w:tc>
      </w:tr>
      <w:tr w:rsidR="001506C1" w:rsidRPr="00FA3F9C" w14:paraId="355B6362" w14:textId="77777777" w:rsidTr="00FE491B">
        <w:tc>
          <w:tcPr>
            <w:tcW w:w="1008" w:type="dxa"/>
          </w:tcPr>
          <w:p w14:paraId="2FF43BA0" w14:textId="77777777" w:rsidR="001506C1" w:rsidRPr="00FA3F9C" w:rsidRDefault="001506C1" w:rsidP="00586C71">
            <w:pPr>
              <w:rPr>
                <w:rFonts w:ascii="Arial" w:hAnsi="Arial" w:cs="Arial"/>
                <w:sz w:val="24"/>
                <w:szCs w:val="24"/>
              </w:rPr>
            </w:pPr>
            <w:r w:rsidRPr="00FA3F9C">
              <w:rPr>
                <w:rFonts w:ascii="Arial" w:hAnsi="Arial" w:cs="Arial"/>
                <w:sz w:val="24"/>
                <w:szCs w:val="24"/>
              </w:rPr>
              <w:t>10/27/2021</w:t>
            </w:r>
          </w:p>
        </w:tc>
        <w:tc>
          <w:tcPr>
            <w:tcW w:w="7470" w:type="dxa"/>
          </w:tcPr>
          <w:p w14:paraId="47A03F24" w14:textId="77777777" w:rsidR="001506C1" w:rsidRPr="00FA3F9C" w:rsidRDefault="001506C1" w:rsidP="00586C71">
            <w:pPr>
              <w:rPr>
                <w:rFonts w:ascii="Arial" w:hAnsi="Arial" w:cs="Arial"/>
                <w:sz w:val="24"/>
                <w:szCs w:val="24"/>
              </w:rPr>
            </w:pPr>
            <w:r w:rsidRPr="00FA3F9C">
              <w:rPr>
                <w:rFonts w:ascii="Arial" w:hAnsi="Arial" w:cs="Arial"/>
                <w:sz w:val="24"/>
                <w:szCs w:val="24"/>
              </w:rPr>
              <w:t>Criteria reviewed. No changes</w:t>
            </w:r>
          </w:p>
        </w:tc>
        <w:tc>
          <w:tcPr>
            <w:tcW w:w="2538" w:type="dxa"/>
          </w:tcPr>
          <w:p w14:paraId="69A335FF" w14:textId="77777777" w:rsidR="001506C1" w:rsidRPr="00FA3F9C" w:rsidRDefault="001506C1" w:rsidP="00586C71">
            <w:pPr>
              <w:rPr>
                <w:rFonts w:ascii="Arial" w:hAnsi="Arial" w:cs="Arial"/>
                <w:sz w:val="24"/>
                <w:szCs w:val="24"/>
              </w:rPr>
            </w:pPr>
            <w:r w:rsidRPr="00FA3F9C">
              <w:rPr>
                <w:rFonts w:ascii="Arial" w:hAnsi="Arial" w:cs="Arial"/>
                <w:sz w:val="24"/>
                <w:szCs w:val="24"/>
              </w:rPr>
              <w:t>SK</w:t>
            </w:r>
          </w:p>
        </w:tc>
      </w:tr>
      <w:tr w:rsidR="001506C1" w:rsidRPr="00FA3F9C" w14:paraId="7A12FA7C" w14:textId="77777777" w:rsidTr="00FE491B">
        <w:tc>
          <w:tcPr>
            <w:tcW w:w="1008" w:type="dxa"/>
          </w:tcPr>
          <w:p w14:paraId="0E008816" w14:textId="77777777" w:rsidR="001506C1" w:rsidRPr="00FA3F9C" w:rsidRDefault="001506C1" w:rsidP="00586C71">
            <w:pPr>
              <w:rPr>
                <w:rFonts w:ascii="Arial" w:hAnsi="Arial" w:cs="Arial"/>
                <w:sz w:val="24"/>
                <w:szCs w:val="24"/>
              </w:rPr>
            </w:pPr>
            <w:r w:rsidRPr="00FA3F9C">
              <w:rPr>
                <w:rFonts w:ascii="Arial" w:hAnsi="Arial" w:cs="Arial"/>
                <w:sz w:val="24"/>
                <w:szCs w:val="24"/>
              </w:rPr>
              <w:t>12/16/2021</w:t>
            </w:r>
          </w:p>
        </w:tc>
        <w:tc>
          <w:tcPr>
            <w:tcW w:w="7470" w:type="dxa"/>
          </w:tcPr>
          <w:p w14:paraId="45717388" w14:textId="77777777" w:rsidR="001506C1" w:rsidRPr="00FA3F9C" w:rsidRDefault="001506C1" w:rsidP="00586C71">
            <w:pPr>
              <w:rPr>
                <w:rFonts w:ascii="Arial" w:hAnsi="Arial" w:cs="Arial"/>
                <w:sz w:val="24"/>
                <w:szCs w:val="24"/>
              </w:rPr>
            </w:pPr>
            <w:r w:rsidRPr="00FA3F9C">
              <w:rPr>
                <w:rFonts w:ascii="Arial" w:hAnsi="Arial" w:cs="Arial"/>
                <w:sz w:val="24"/>
                <w:szCs w:val="24"/>
              </w:rPr>
              <w:t>Updated Table re: treatments recs based on mutation</w:t>
            </w:r>
          </w:p>
        </w:tc>
        <w:tc>
          <w:tcPr>
            <w:tcW w:w="2538" w:type="dxa"/>
          </w:tcPr>
          <w:p w14:paraId="2C6A0372" w14:textId="77777777" w:rsidR="001506C1" w:rsidRPr="00FA3F9C" w:rsidRDefault="001506C1" w:rsidP="00586C71">
            <w:pPr>
              <w:rPr>
                <w:rFonts w:ascii="Arial" w:hAnsi="Arial" w:cs="Arial"/>
                <w:sz w:val="24"/>
                <w:szCs w:val="24"/>
              </w:rPr>
            </w:pPr>
            <w:r w:rsidRPr="00FA3F9C">
              <w:rPr>
                <w:rFonts w:ascii="Arial" w:hAnsi="Arial" w:cs="Arial"/>
                <w:sz w:val="24"/>
                <w:szCs w:val="24"/>
              </w:rPr>
              <w:t>SK</w:t>
            </w:r>
          </w:p>
        </w:tc>
      </w:tr>
    </w:tbl>
    <w:p w14:paraId="45207197" w14:textId="77777777" w:rsidR="001506C1" w:rsidRPr="00FA3F9C" w:rsidRDefault="001506C1" w:rsidP="006F623F">
      <w:pPr>
        <w:spacing w:after="0"/>
        <w:rPr>
          <w:rFonts w:ascii="Arial" w:hAnsi="Arial" w:cs="Arial"/>
          <w:sz w:val="24"/>
          <w:szCs w:val="24"/>
        </w:rPr>
      </w:pPr>
    </w:p>
    <w:p w14:paraId="641449F2" w14:textId="77777777" w:rsidR="001506C1" w:rsidRPr="00FA3F9C" w:rsidRDefault="001506C1" w:rsidP="003B40CD">
      <w:pPr>
        <w:pStyle w:val="Heading2"/>
      </w:pPr>
      <w:bookmarkStart w:id="68" w:name="_Toc106369764"/>
      <w:proofErr w:type="spellStart"/>
      <w:r w:rsidRPr="00FA3F9C">
        <w:t>Deferasirox</w:t>
      </w:r>
      <w:proofErr w:type="spellEnd"/>
      <w:r w:rsidRPr="00FA3F9C">
        <w:t xml:space="preserve"> (</w:t>
      </w:r>
      <w:proofErr w:type="spellStart"/>
      <w:r w:rsidRPr="00FA3F9C">
        <w:t>Exjade</w:t>
      </w:r>
      <w:proofErr w:type="spellEnd"/>
      <w:r w:rsidRPr="00FA3F9C">
        <w:t>)</w:t>
      </w:r>
      <w:bookmarkEnd w:id="68"/>
      <w:r w:rsidRPr="00FA3F9C">
        <w:t xml:space="preserve"> </w:t>
      </w:r>
    </w:p>
    <w:p w14:paraId="7965B482" w14:textId="77777777" w:rsidR="001506C1" w:rsidRPr="00FA3F9C" w:rsidRDefault="001506C1" w:rsidP="002A23A6">
      <w:pPr>
        <w:jc w:val="center"/>
        <w:rPr>
          <w:rFonts w:ascii="Arial" w:hAnsi="Arial" w:cs="Arial"/>
          <w:sz w:val="24"/>
          <w:szCs w:val="24"/>
        </w:rPr>
      </w:pPr>
      <w:r w:rsidRPr="00FA3F9C">
        <w:rPr>
          <w:rFonts w:ascii="Arial" w:hAnsi="Arial" w:cs="Arial"/>
          <w:sz w:val="24"/>
          <w:szCs w:val="24"/>
        </w:rPr>
        <w:t xml:space="preserve">125, 250, 500 mg tablets for oral suspension </w:t>
      </w:r>
    </w:p>
    <w:p w14:paraId="4DCAD922" w14:textId="77777777" w:rsidR="001506C1" w:rsidRPr="00FA3F9C" w:rsidRDefault="001506C1" w:rsidP="002A23A6">
      <w:pPr>
        <w:jc w:val="center"/>
        <w:rPr>
          <w:rFonts w:ascii="Arial" w:hAnsi="Arial" w:cs="Arial"/>
          <w:sz w:val="24"/>
          <w:szCs w:val="24"/>
        </w:rPr>
      </w:pPr>
      <w:r w:rsidRPr="00FA3F9C">
        <w:rPr>
          <w:rFonts w:ascii="Arial" w:hAnsi="Arial" w:cs="Arial"/>
          <w:sz w:val="24"/>
          <w:szCs w:val="24"/>
        </w:rPr>
        <w:t>EBRx PA Criteria</w:t>
      </w:r>
    </w:p>
    <w:p w14:paraId="79F8DB91" w14:textId="77777777" w:rsidR="001506C1" w:rsidRPr="00FA3F9C" w:rsidRDefault="001506C1" w:rsidP="009451E1">
      <w:pPr>
        <w:rPr>
          <w:rFonts w:ascii="Arial" w:hAnsi="Arial" w:cs="Arial"/>
          <w:sz w:val="24"/>
          <w:szCs w:val="24"/>
        </w:rPr>
      </w:pPr>
    </w:p>
    <w:p w14:paraId="5B0C514B" w14:textId="77777777" w:rsidR="001506C1" w:rsidRPr="00FA3F9C" w:rsidRDefault="001506C1" w:rsidP="009451E1">
      <w:pPr>
        <w:jc w:val="center"/>
        <w:rPr>
          <w:rFonts w:ascii="Arial" w:hAnsi="Arial" w:cs="Arial"/>
          <w:sz w:val="24"/>
          <w:szCs w:val="24"/>
        </w:rPr>
      </w:pPr>
      <w:r w:rsidRPr="00FA3F9C">
        <w:rPr>
          <w:rFonts w:ascii="Arial" w:hAnsi="Arial" w:cs="Arial"/>
          <w:sz w:val="24"/>
          <w:szCs w:val="24"/>
        </w:rPr>
        <w:t xml:space="preserve">Note: </w:t>
      </w:r>
      <w:proofErr w:type="spellStart"/>
      <w:r w:rsidRPr="00FA3F9C">
        <w:rPr>
          <w:rFonts w:ascii="Arial" w:hAnsi="Arial" w:cs="Arial"/>
          <w:sz w:val="24"/>
          <w:szCs w:val="24"/>
        </w:rPr>
        <w:t>Jadenu</w:t>
      </w:r>
      <w:proofErr w:type="spellEnd"/>
      <w:r w:rsidRPr="00FA3F9C">
        <w:rPr>
          <w:rFonts w:ascii="Arial" w:hAnsi="Arial" w:cs="Arial"/>
          <w:sz w:val="24"/>
          <w:szCs w:val="24"/>
        </w:rPr>
        <w:t xml:space="preserve"> and </w:t>
      </w:r>
      <w:proofErr w:type="spellStart"/>
      <w:r w:rsidRPr="00FA3F9C">
        <w:rPr>
          <w:rFonts w:ascii="Arial" w:hAnsi="Arial" w:cs="Arial"/>
          <w:sz w:val="24"/>
          <w:szCs w:val="24"/>
        </w:rPr>
        <w:t>Jadenu</w:t>
      </w:r>
      <w:proofErr w:type="spellEnd"/>
      <w:r w:rsidRPr="00FA3F9C">
        <w:rPr>
          <w:rFonts w:ascii="Arial" w:hAnsi="Arial" w:cs="Arial"/>
          <w:sz w:val="24"/>
          <w:szCs w:val="24"/>
        </w:rPr>
        <w:t xml:space="preserve"> Sprinkle are not covered. </w:t>
      </w:r>
      <w:proofErr w:type="spellStart"/>
      <w:r w:rsidRPr="00FA3F9C">
        <w:rPr>
          <w:rFonts w:ascii="Arial" w:hAnsi="Arial" w:cs="Arial"/>
          <w:sz w:val="24"/>
          <w:szCs w:val="24"/>
        </w:rPr>
        <w:t>Exjade</w:t>
      </w:r>
      <w:proofErr w:type="spellEnd"/>
      <w:r w:rsidRPr="00FA3F9C">
        <w:rPr>
          <w:rFonts w:ascii="Arial" w:hAnsi="Arial" w:cs="Arial"/>
          <w:sz w:val="24"/>
          <w:szCs w:val="24"/>
        </w:rPr>
        <w:t xml:space="preserve"> is now available in a generic formulation.</w:t>
      </w:r>
    </w:p>
    <w:p w14:paraId="0297A1C3" w14:textId="77777777" w:rsidR="001506C1" w:rsidRPr="00FA3F9C" w:rsidRDefault="001506C1" w:rsidP="00AE7B6F">
      <w:pPr>
        <w:rPr>
          <w:rFonts w:ascii="Arial" w:hAnsi="Arial" w:cs="Arial"/>
          <w:b/>
          <w:sz w:val="24"/>
          <w:szCs w:val="24"/>
        </w:rPr>
      </w:pPr>
    </w:p>
    <w:p w14:paraId="0E255E74" w14:textId="77777777" w:rsidR="001506C1" w:rsidRPr="00FA3F9C" w:rsidRDefault="001506C1" w:rsidP="00AE7B6F">
      <w:pPr>
        <w:rPr>
          <w:rFonts w:ascii="Arial" w:hAnsi="Arial" w:cs="Arial"/>
          <w:b/>
          <w:sz w:val="24"/>
          <w:szCs w:val="24"/>
          <w:u w:val="single"/>
        </w:rPr>
      </w:pPr>
      <w:r w:rsidRPr="00FA3F9C">
        <w:rPr>
          <w:rFonts w:ascii="Arial" w:hAnsi="Arial" w:cs="Arial"/>
          <w:b/>
          <w:sz w:val="24"/>
          <w:szCs w:val="24"/>
          <w:u w:val="single"/>
        </w:rPr>
        <w:t>FDA approved for</w:t>
      </w:r>
    </w:p>
    <w:p w14:paraId="4AA54CDA" w14:textId="77777777" w:rsidR="001506C1" w:rsidRPr="00FA3F9C" w:rsidRDefault="001506C1" w:rsidP="001506C1">
      <w:pPr>
        <w:numPr>
          <w:ilvl w:val="0"/>
          <w:numId w:val="110"/>
        </w:numPr>
        <w:spacing w:after="0" w:line="240" w:lineRule="auto"/>
        <w:ind w:left="360" w:hanging="180"/>
        <w:rPr>
          <w:rFonts w:ascii="Arial" w:hAnsi="Arial" w:cs="Arial"/>
          <w:sz w:val="24"/>
          <w:szCs w:val="24"/>
        </w:rPr>
      </w:pPr>
      <w:r w:rsidRPr="00FA3F9C">
        <w:rPr>
          <w:rFonts w:ascii="Arial" w:hAnsi="Arial" w:cs="Arial"/>
          <w:sz w:val="24"/>
          <w:szCs w:val="24"/>
        </w:rPr>
        <w:t>Treatment of chronic iron overload due to blood transfusions in patients 2 y of age and older</w:t>
      </w:r>
    </w:p>
    <w:p w14:paraId="42822754" w14:textId="77777777" w:rsidR="001506C1" w:rsidRPr="00FA3F9C" w:rsidRDefault="001506C1" w:rsidP="001506C1">
      <w:pPr>
        <w:numPr>
          <w:ilvl w:val="0"/>
          <w:numId w:val="110"/>
        </w:numPr>
        <w:spacing w:after="0" w:line="240" w:lineRule="auto"/>
        <w:ind w:left="360" w:hanging="180"/>
        <w:rPr>
          <w:rFonts w:ascii="Arial" w:hAnsi="Arial" w:cs="Arial"/>
          <w:sz w:val="24"/>
          <w:szCs w:val="24"/>
        </w:rPr>
      </w:pPr>
      <w:r w:rsidRPr="00FA3F9C">
        <w:rPr>
          <w:rFonts w:ascii="Arial" w:hAnsi="Arial" w:cs="Arial"/>
          <w:sz w:val="24"/>
          <w:szCs w:val="24"/>
        </w:rPr>
        <w:t xml:space="preserve">Treatment of chronic iron overload in patients 10 y of age and older with non-transfusion-dependent thalassemia (NTDT) syndromes, and with a liver iron (Fe) concentration (LIC) of at least 5 mg Fe per gram of dry weight and a serum ferritin greater than 300 mcg/L. </w:t>
      </w:r>
    </w:p>
    <w:p w14:paraId="162B9D15" w14:textId="77777777" w:rsidR="001506C1" w:rsidRPr="00FA3F9C" w:rsidRDefault="001506C1" w:rsidP="001506C1">
      <w:pPr>
        <w:numPr>
          <w:ilvl w:val="1"/>
          <w:numId w:val="110"/>
        </w:numPr>
        <w:spacing w:after="0" w:line="240" w:lineRule="auto"/>
        <w:ind w:left="630" w:hanging="180"/>
        <w:rPr>
          <w:rFonts w:ascii="Arial" w:hAnsi="Arial" w:cs="Arial"/>
          <w:sz w:val="24"/>
          <w:szCs w:val="24"/>
        </w:rPr>
      </w:pPr>
      <w:r w:rsidRPr="00FA3F9C">
        <w:rPr>
          <w:rFonts w:ascii="Arial" w:hAnsi="Arial" w:cs="Arial"/>
          <w:sz w:val="24"/>
          <w:szCs w:val="24"/>
        </w:rPr>
        <w:t xml:space="preserve">This indication is based on achievement of an LIC less than 5 mg Fe/g </w:t>
      </w:r>
      <w:proofErr w:type="spellStart"/>
      <w:r w:rsidRPr="00FA3F9C">
        <w:rPr>
          <w:rFonts w:ascii="Arial" w:hAnsi="Arial" w:cs="Arial"/>
          <w:sz w:val="24"/>
          <w:szCs w:val="24"/>
        </w:rPr>
        <w:t>dw</w:t>
      </w:r>
      <w:proofErr w:type="spellEnd"/>
      <w:r w:rsidRPr="00FA3F9C">
        <w:rPr>
          <w:rFonts w:ascii="Arial" w:hAnsi="Arial" w:cs="Arial"/>
          <w:sz w:val="24"/>
          <w:szCs w:val="24"/>
        </w:rPr>
        <w:t>. An improvement in survival or disease-related symptoms has not been established.</w:t>
      </w:r>
    </w:p>
    <w:p w14:paraId="2235E0C2" w14:textId="77777777" w:rsidR="001506C1" w:rsidRPr="00FA3F9C" w:rsidRDefault="001506C1" w:rsidP="001506C1">
      <w:pPr>
        <w:numPr>
          <w:ilvl w:val="0"/>
          <w:numId w:val="110"/>
        </w:numPr>
        <w:spacing w:after="0" w:line="240" w:lineRule="auto"/>
        <w:ind w:left="360" w:hanging="180"/>
        <w:rPr>
          <w:rFonts w:ascii="Arial" w:hAnsi="Arial" w:cs="Arial"/>
          <w:sz w:val="24"/>
          <w:szCs w:val="24"/>
          <w:u w:val="single"/>
        </w:rPr>
      </w:pPr>
      <w:r w:rsidRPr="00FA3F9C">
        <w:rPr>
          <w:rFonts w:ascii="Arial" w:hAnsi="Arial" w:cs="Arial"/>
          <w:sz w:val="24"/>
          <w:szCs w:val="24"/>
          <w:u w:val="single"/>
        </w:rPr>
        <w:t>Limitations of use:</w:t>
      </w:r>
    </w:p>
    <w:p w14:paraId="07FC39D0" w14:textId="77777777" w:rsidR="001506C1" w:rsidRPr="00FA3F9C" w:rsidRDefault="001506C1" w:rsidP="001506C1">
      <w:pPr>
        <w:numPr>
          <w:ilvl w:val="0"/>
          <w:numId w:val="111"/>
        </w:numPr>
        <w:spacing w:after="0" w:line="240" w:lineRule="auto"/>
        <w:ind w:left="720"/>
        <w:rPr>
          <w:rFonts w:ascii="Arial" w:hAnsi="Arial" w:cs="Arial"/>
          <w:sz w:val="24"/>
          <w:szCs w:val="24"/>
        </w:rPr>
      </w:pPr>
      <w:r w:rsidRPr="00FA3F9C">
        <w:rPr>
          <w:rFonts w:ascii="Arial" w:hAnsi="Arial" w:cs="Arial"/>
          <w:sz w:val="24"/>
          <w:szCs w:val="24"/>
        </w:rPr>
        <w:t xml:space="preserve">Controlled clinical trials of </w:t>
      </w:r>
      <w:proofErr w:type="spellStart"/>
      <w:r w:rsidRPr="00FA3F9C">
        <w:rPr>
          <w:rFonts w:ascii="Arial" w:hAnsi="Arial" w:cs="Arial"/>
          <w:sz w:val="24"/>
          <w:szCs w:val="24"/>
        </w:rPr>
        <w:t>Exjade</w:t>
      </w:r>
      <w:proofErr w:type="spellEnd"/>
      <w:r w:rsidRPr="00FA3F9C">
        <w:rPr>
          <w:rFonts w:ascii="Arial" w:hAnsi="Arial" w:cs="Arial"/>
          <w:sz w:val="24"/>
          <w:szCs w:val="24"/>
        </w:rPr>
        <w:t xml:space="preserve"> in patients with myelodysplastic syndromes (MDS) and chronic iron overload due to blood transfusion have not been performed. </w:t>
      </w:r>
    </w:p>
    <w:p w14:paraId="7242910A" w14:textId="77777777" w:rsidR="001506C1" w:rsidRPr="00FA3F9C" w:rsidRDefault="001506C1" w:rsidP="001506C1">
      <w:pPr>
        <w:numPr>
          <w:ilvl w:val="0"/>
          <w:numId w:val="111"/>
        </w:numPr>
        <w:spacing w:after="0" w:line="240" w:lineRule="auto"/>
        <w:ind w:left="720"/>
        <w:rPr>
          <w:rFonts w:ascii="Arial" w:hAnsi="Arial" w:cs="Arial"/>
          <w:sz w:val="24"/>
          <w:szCs w:val="24"/>
        </w:rPr>
      </w:pPr>
      <w:r w:rsidRPr="00FA3F9C">
        <w:rPr>
          <w:rFonts w:ascii="Arial" w:hAnsi="Arial" w:cs="Arial"/>
          <w:sz w:val="24"/>
          <w:szCs w:val="24"/>
        </w:rPr>
        <w:t xml:space="preserve">The safety and efficacy of </w:t>
      </w:r>
      <w:proofErr w:type="spellStart"/>
      <w:r w:rsidRPr="00FA3F9C">
        <w:rPr>
          <w:rFonts w:ascii="Arial" w:hAnsi="Arial" w:cs="Arial"/>
          <w:sz w:val="24"/>
          <w:szCs w:val="24"/>
        </w:rPr>
        <w:t>Exjade</w:t>
      </w:r>
      <w:proofErr w:type="spellEnd"/>
      <w:r w:rsidRPr="00FA3F9C">
        <w:rPr>
          <w:rFonts w:ascii="Arial" w:hAnsi="Arial" w:cs="Arial"/>
          <w:sz w:val="24"/>
          <w:szCs w:val="24"/>
        </w:rPr>
        <w:t xml:space="preserve"> when administered with other iron chelation therapy have not been established</w:t>
      </w:r>
    </w:p>
    <w:p w14:paraId="7EC31A79" w14:textId="77777777" w:rsidR="001506C1" w:rsidRPr="00FA3F9C" w:rsidRDefault="001506C1" w:rsidP="009451E1">
      <w:pPr>
        <w:ind w:left="720"/>
        <w:rPr>
          <w:rFonts w:ascii="Arial" w:hAnsi="Arial" w:cs="Arial"/>
          <w:sz w:val="24"/>
          <w:szCs w:val="24"/>
        </w:rPr>
      </w:pPr>
    </w:p>
    <w:tbl>
      <w:tblPr>
        <w:tblW w:w="1017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70"/>
      </w:tblGrid>
      <w:tr w:rsidR="001506C1" w:rsidRPr="00FA3F9C" w14:paraId="0D792781" w14:textId="77777777" w:rsidTr="00105B3F">
        <w:tc>
          <w:tcPr>
            <w:tcW w:w="10170" w:type="dxa"/>
            <w:tcBorders>
              <w:bottom w:val="single" w:sz="4" w:space="0" w:color="auto"/>
            </w:tcBorders>
            <w:shd w:val="clear" w:color="auto" w:fill="000000"/>
          </w:tcPr>
          <w:p w14:paraId="1DDB9F40" w14:textId="77777777" w:rsidR="001506C1" w:rsidRPr="00FA3F9C" w:rsidRDefault="001506C1" w:rsidP="0015446A">
            <w:pPr>
              <w:rPr>
                <w:rFonts w:ascii="Arial" w:hAnsi="Arial" w:cs="Arial"/>
                <w:sz w:val="24"/>
                <w:szCs w:val="24"/>
              </w:rPr>
            </w:pPr>
            <w:r w:rsidRPr="00FA3F9C">
              <w:rPr>
                <w:rFonts w:ascii="Arial" w:hAnsi="Arial" w:cs="Arial"/>
                <w:sz w:val="24"/>
                <w:szCs w:val="24"/>
              </w:rPr>
              <w:t>Chronic iron overload due to blood transfusion</w:t>
            </w:r>
          </w:p>
        </w:tc>
      </w:tr>
      <w:tr w:rsidR="001506C1" w:rsidRPr="00FA3F9C" w14:paraId="5766F04D" w14:textId="77777777" w:rsidTr="00105B3F">
        <w:tc>
          <w:tcPr>
            <w:tcW w:w="10170" w:type="dxa"/>
            <w:tcBorders>
              <w:bottom w:val="single" w:sz="4" w:space="0" w:color="auto"/>
            </w:tcBorders>
          </w:tcPr>
          <w:p w14:paraId="7BED3DC0" w14:textId="77777777" w:rsidR="001506C1" w:rsidRPr="00FA3F9C" w:rsidRDefault="001506C1" w:rsidP="001506C1">
            <w:pPr>
              <w:numPr>
                <w:ilvl w:val="0"/>
                <w:numId w:val="113"/>
              </w:numPr>
              <w:spacing w:after="0" w:line="240" w:lineRule="auto"/>
              <w:ind w:left="256" w:hanging="284"/>
              <w:rPr>
                <w:rFonts w:ascii="Arial" w:hAnsi="Arial" w:cs="Arial"/>
                <w:sz w:val="24"/>
                <w:szCs w:val="24"/>
                <w:u w:val="single"/>
              </w:rPr>
            </w:pPr>
            <w:r w:rsidRPr="00FA3F9C">
              <w:rPr>
                <w:rFonts w:ascii="Arial" w:hAnsi="Arial" w:cs="Arial"/>
                <w:sz w:val="24"/>
                <w:szCs w:val="24"/>
              </w:rPr>
              <w:t xml:space="preserve">Age is 2 years or older </w:t>
            </w:r>
          </w:p>
        </w:tc>
      </w:tr>
      <w:tr w:rsidR="001506C1" w:rsidRPr="00FA3F9C" w14:paraId="4112A05B" w14:textId="77777777" w:rsidTr="00105B3F">
        <w:tc>
          <w:tcPr>
            <w:tcW w:w="10170" w:type="dxa"/>
            <w:tcBorders>
              <w:bottom w:val="single" w:sz="4" w:space="0" w:color="auto"/>
            </w:tcBorders>
          </w:tcPr>
          <w:p w14:paraId="231D9610" w14:textId="77777777" w:rsidR="001506C1" w:rsidRPr="00FA3F9C" w:rsidRDefault="001506C1" w:rsidP="001506C1">
            <w:pPr>
              <w:numPr>
                <w:ilvl w:val="0"/>
                <w:numId w:val="113"/>
              </w:numPr>
              <w:spacing w:after="0" w:line="240" w:lineRule="auto"/>
              <w:ind w:left="256" w:hanging="284"/>
              <w:rPr>
                <w:rFonts w:ascii="Arial" w:hAnsi="Arial" w:cs="Arial"/>
                <w:sz w:val="24"/>
                <w:szCs w:val="24"/>
              </w:rPr>
            </w:pPr>
            <w:r w:rsidRPr="00FA3F9C">
              <w:rPr>
                <w:rFonts w:ascii="Arial" w:hAnsi="Arial" w:cs="Arial"/>
                <w:sz w:val="24"/>
                <w:szCs w:val="24"/>
              </w:rPr>
              <w:t>Diagnosis of chronic iron overload due to blood transfusions (</w:t>
            </w:r>
            <w:proofErr w:type="spellStart"/>
            <w:r w:rsidRPr="00FA3F9C">
              <w:rPr>
                <w:rFonts w:ascii="Arial" w:hAnsi="Arial" w:cs="Arial"/>
                <w:sz w:val="24"/>
                <w:szCs w:val="24"/>
              </w:rPr>
              <w:t>transfusional</w:t>
            </w:r>
            <w:proofErr w:type="spellEnd"/>
            <w:r w:rsidRPr="00FA3F9C">
              <w:rPr>
                <w:rFonts w:ascii="Arial" w:hAnsi="Arial" w:cs="Arial"/>
                <w:sz w:val="24"/>
                <w:szCs w:val="24"/>
              </w:rPr>
              <w:t xml:space="preserve"> hemosiderosis)</w:t>
            </w:r>
          </w:p>
        </w:tc>
      </w:tr>
      <w:tr w:rsidR="001506C1" w:rsidRPr="00FA3F9C" w14:paraId="189D04C0" w14:textId="77777777" w:rsidTr="00105B3F">
        <w:tc>
          <w:tcPr>
            <w:tcW w:w="10170" w:type="dxa"/>
            <w:tcBorders>
              <w:bottom w:val="single" w:sz="4" w:space="0" w:color="auto"/>
            </w:tcBorders>
          </w:tcPr>
          <w:p w14:paraId="029E93E9" w14:textId="77777777" w:rsidR="001506C1" w:rsidRPr="00FA3F9C" w:rsidRDefault="001506C1" w:rsidP="001506C1">
            <w:pPr>
              <w:numPr>
                <w:ilvl w:val="0"/>
                <w:numId w:val="113"/>
              </w:numPr>
              <w:spacing w:after="0" w:line="240" w:lineRule="auto"/>
              <w:ind w:left="256" w:hanging="284"/>
              <w:rPr>
                <w:rFonts w:ascii="Arial" w:hAnsi="Arial" w:cs="Arial"/>
                <w:sz w:val="24"/>
                <w:szCs w:val="24"/>
              </w:rPr>
            </w:pPr>
            <w:r w:rsidRPr="00FA3F9C">
              <w:rPr>
                <w:rFonts w:ascii="Arial" w:hAnsi="Arial" w:cs="Arial"/>
                <w:sz w:val="24"/>
                <w:szCs w:val="24"/>
              </w:rPr>
              <w:t xml:space="preserve">At time of first request, serum ferritin </w:t>
            </w:r>
            <w:r w:rsidRPr="00FA3F9C">
              <w:rPr>
                <w:rFonts w:ascii="Arial" w:hAnsi="Arial" w:cs="Arial"/>
                <w:sz w:val="24"/>
                <w:szCs w:val="24"/>
                <w:u w:val="single"/>
              </w:rPr>
              <w:t>&gt;</w:t>
            </w:r>
            <w:r w:rsidRPr="00FA3F9C">
              <w:rPr>
                <w:rFonts w:ascii="Arial" w:hAnsi="Arial" w:cs="Arial"/>
                <w:sz w:val="24"/>
                <w:szCs w:val="24"/>
              </w:rPr>
              <w:t>1000 mcg/L in the absence of infection or acute inflammation</w:t>
            </w:r>
          </w:p>
        </w:tc>
      </w:tr>
      <w:tr w:rsidR="001506C1" w:rsidRPr="00FA3F9C" w14:paraId="5BA67AC3" w14:textId="77777777" w:rsidTr="00105B3F">
        <w:tc>
          <w:tcPr>
            <w:tcW w:w="10170" w:type="dxa"/>
            <w:tcBorders>
              <w:bottom w:val="single" w:sz="4" w:space="0" w:color="auto"/>
            </w:tcBorders>
          </w:tcPr>
          <w:p w14:paraId="5ACBE895" w14:textId="77777777" w:rsidR="001506C1" w:rsidRPr="00FA3F9C" w:rsidRDefault="001506C1" w:rsidP="001506C1">
            <w:pPr>
              <w:numPr>
                <w:ilvl w:val="0"/>
                <w:numId w:val="113"/>
              </w:numPr>
              <w:spacing w:after="0" w:line="240" w:lineRule="auto"/>
              <w:ind w:left="256" w:hanging="284"/>
              <w:rPr>
                <w:rFonts w:ascii="Arial" w:hAnsi="Arial" w:cs="Arial"/>
                <w:sz w:val="24"/>
                <w:szCs w:val="24"/>
              </w:rPr>
            </w:pPr>
            <w:r w:rsidRPr="00FA3F9C">
              <w:rPr>
                <w:rFonts w:ascii="Arial" w:hAnsi="Arial" w:cs="Arial"/>
                <w:sz w:val="24"/>
                <w:szCs w:val="24"/>
              </w:rPr>
              <w:lastRenderedPageBreak/>
              <w:t>Creatinine clearance is at least 40 ml/min</w:t>
            </w:r>
          </w:p>
        </w:tc>
      </w:tr>
      <w:tr w:rsidR="001506C1" w:rsidRPr="00FA3F9C" w14:paraId="1E41BD99" w14:textId="77777777" w:rsidTr="00105B3F">
        <w:tc>
          <w:tcPr>
            <w:tcW w:w="10170" w:type="dxa"/>
            <w:tcBorders>
              <w:bottom w:val="single" w:sz="4" w:space="0" w:color="auto"/>
            </w:tcBorders>
          </w:tcPr>
          <w:p w14:paraId="1CC0747E" w14:textId="77777777" w:rsidR="001506C1" w:rsidRPr="00FA3F9C" w:rsidRDefault="001506C1" w:rsidP="001506C1">
            <w:pPr>
              <w:numPr>
                <w:ilvl w:val="0"/>
                <w:numId w:val="113"/>
              </w:numPr>
              <w:spacing w:after="0" w:line="240" w:lineRule="auto"/>
              <w:ind w:left="256" w:hanging="284"/>
              <w:rPr>
                <w:rFonts w:ascii="Arial" w:hAnsi="Arial" w:cs="Arial"/>
                <w:sz w:val="24"/>
                <w:szCs w:val="24"/>
              </w:rPr>
            </w:pPr>
            <w:r w:rsidRPr="00FA3F9C">
              <w:rPr>
                <w:rFonts w:ascii="Arial" w:hAnsi="Arial" w:cs="Arial"/>
                <w:sz w:val="24"/>
                <w:szCs w:val="24"/>
              </w:rPr>
              <w:t>Platelet count is at least 50 x 10</w:t>
            </w:r>
            <w:r w:rsidRPr="00FA3F9C">
              <w:rPr>
                <w:rFonts w:ascii="Arial" w:hAnsi="Arial" w:cs="Arial"/>
                <w:sz w:val="24"/>
                <w:szCs w:val="24"/>
                <w:vertAlign w:val="superscript"/>
              </w:rPr>
              <w:t>9</w:t>
            </w:r>
            <w:r w:rsidRPr="00FA3F9C">
              <w:rPr>
                <w:rFonts w:ascii="Arial" w:hAnsi="Arial" w:cs="Arial"/>
                <w:sz w:val="24"/>
                <w:szCs w:val="24"/>
              </w:rPr>
              <w:t>/L</w:t>
            </w:r>
          </w:p>
        </w:tc>
      </w:tr>
      <w:tr w:rsidR="001506C1" w:rsidRPr="00FA3F9C" w14:paraId="0FE73DC9" w14:textId="77777777" w:rsidTr="00105B3F">
        <w:tc>
          <w:tcPr>
            <w:tcW w:w="10170" w:type="dxa"/>
            <w:tcBorders>
              <w:bottom w:val="single" w:sz="4" w:space="0" w:color="auto"/>
            </w:tcBorders>
          </w:tcPr>
          <w:p w14:paraId="5B13566B" w14:textId="77777777" w:rsidR="001506C1" w:rsidRPr="00FA3F9C" w:rsidRDefault="001506C1" w:rsidP="001506C1">
            <w:pPr>
              <w:numPr>
                <w:ilvl w:val="0"/>
                <w:numId w:val="113"/>
              </w:numPr>
              <w:spacing w:after="0" w:line="240" w:lineRule="auto"/>
              <w:ind w:left="256" w:hanging="284"/>
              <w:rPr>
                <w:rFonts w:ascii="Arial" w:hAnsi="Arial" w:cs="Arial"/>
                <w:sz w:val="24"/>
                <w:szCs w:val="24"/>
              </w:rPr>
            </w:pPr>
            <w:r w:rsidRPr="00FA3F9C">
              <w:rPr>
                <w:rFonts w:ascii="Arial" w:hAnsi="Arial" w:cs="Arial"/>
                <w:sz w:val="24"/>
                <w:szCs w:val="24"/>
              </w:rPr>
              <w:t>Patient does NOT have diagnosis of high-risk myelodysplastic syndrome</w:t>
            </w:r>
          </w:p>
        </w:tc>
      </w:tr>
      <w:tr w:rsidR="001506C1" w:rsidRPr="00FA3F9C" w14:paraId="0DF6175A" w14:textId="77777777" w:rsidTr="00105B3F">
        <w:tc>
          <w:tcPr>
            <w:tcW w:w="10170" w:type="dxa"/>
            <w:tcBorders>
              <w:bottom w:val="single" w:sz="4" w:space="0" w:color="auto"/>
            </w:tcBorders>
          </w:tcPr>
          <w:p w14:paraId="353A059D" w14:textId="77777777" w:rsidR="001506C1" w:rsidRPr="00FA3F9C" w:rsidRDefault="001506C1" w:rsidP="001506C1">
            <w:pPr>
              <w:numPr>
                <w:ilvl w:val="0"/>
                <w:numId w:val="113"/>
              </w:numPr>
              <w:spacing w:after="0" w:line="240" w:lineRule="auto"/>
              <w:ind w:left="256" w:hanging="284"/>
              <w:rPr>
                <w:rFonts w:ascii="Arial" w:hAnsi="Arial" w:cs="Arial"/>
                <w:sz w:val="24"/>
                <w:szCs w:val="24"/>
              </w:rPr>
            </w:pPr>
            <w:r w:rsidRPr="00FA3F9C">
              <w:rPr>
                <w:rFonts w:ascii="Arial" w:hAnsi="Arial" w:cs="Arial"/>
                <w:sz w:val="24"/>
                <w:szCs w:val="24"/>
              </w:rPr>
              <w:t>Patient does NOT have advanced malignancy</w:t>
            </w:r>
          </w:p>
        </w:tc>
      </w:tr>
      <w:tr w:rsidR="001506C1" w:rsidRPr="00FA3F9C" w14:paraId="27B5A875" w14:textId="77777777" w:rsidTr="00105B3F">
        <w:tc>
          <w:tcPr>
            <w:tcW w:w="10170" w:type="dxa"/>
            <w:tcBorders>
              <w:bottom w:val="single" w:sz="4" w:space="0" w:color="auto"/>
            </w:tcBorders>
          </w:tcPr>
          <w:p w14:paraId="34EA9DD4" w14:textId="77777777" w:rsidR="001506C1" w:rsidRPr="00FA3F9C" w:rsidRDefault="001506C1" w:rsidP="001506C1">
            <w:pPr>
              <w:numPr>
                <w:ilvl w:val="0"/>
                <w:numId w:val="113"/>
              </w:numPr>
              <w:spacing w:after="0" w:line="240" w:lineRule="auto"/>
              <w:ind w:left="256" w:hanging="284"/>
              <w:rPr>
                <w:rFonts w:ascii="Arial" w:hAnsi="Arial" w:cs="Arial"/>
                <w:sz w:val="24"/>
                <w:szCs w:val="24"/>
              </w:rPr>
            </w:pPr>
            <w:r w:rsidRPr="00FA3F9C">
              <w:rPr>
                <w:rFonts w:ascii="Arial" w:hAnsi="Arial" w:cs="Arial"/>
                <w:sz w:val="24"/>
                <w:szCs w:val="24"/>
              </w:rPr>
              <w:t xml:space="preserve">Patient does NOT have history of known hypersensitivity to </w:t>
            </w:r>
            <w:proofErr w:type="spellStart"/>
            <w:r w:rsidRPr="00FA3F9C">
              <w:rPr>
                <w:rFonts w:ascii="Arial" w:hAnsi="Arial" w:cs="Arial"/>
                <w:sz w:val="24"/>
                <w:szCs w:val="24"/>
              </w:rPr>
              <w:t>deferasirox</w:t>
            </w:r>
            <w:proofErr w:type="spellEnd"/>
            <w:r w:rsidRPr="00FA3F9C">
              <w:rPr>
                <w:rFonts w:ascii="Arial" w:hAnsi="Arial" w:cs="Arial"/>
                <w:sz w:val="24"/>
                <w:szCs w:val="24"/>
              </w:rPr>
              <w:t xml:space="preserve"> or any component of formulation.</w:t>
            </w:r>
          </w:p>
        </w:tc>
      </w:tr>
      <w:tr w:rsidR="001506C1" w:rsidRPr="00FA3F9C" w14:paraId="18604E30" w14:textId="77777777" w:rsidTr="00105B3F">
        <w:trPr>
          <w:trHeight w:val="2078"/>
        </w:trPr>
        <w:tc>
          <w:tcPr>
            <w:tcW w:w="10170" w:type="dxa"/>
          </w:tcPr>
          <w:p w14:paraId="7F0C4D31" w14:textId="77777777" w:rsidR="001506C1" w:rsidRPr="00FA3F9C" w:rsidRDefault="001506C1" w:rsidP="001506C1">
            <w:pPr>
              <w:numPr>
                <w:ilvl w:val="0"/>
                <w:numId w:val="113"/>
              </w:numPr>
              <w:spacing w:after="0" w:line="240" w:lineRule="auto"/>
              <w:ind w:left="256" w:hanging="284"/>
              <w:rPr>
                <w:rFonts w:ascii="Arial" w:hAnsi="Arial" w:cs="Arial"/>
                <w:sz w:val="24"/>
                <w:szCs w:val="24"/>
              </w:rPr>
            </w:pPr>
            <w:r w:rsidRPr="00FA3F9C">
              <w:rPr>
                <w:rFonts w:ascii="Arial" w:hAnsi="Arial" w:cs="Arial"/>
                <w:sz w:val="24"/>
                <w:szCs w:val="24"/>
              </w:rPr>
              <w:t xml:space="preserve">The patient (or caregiver) has been provided the following information for proper timing and administration technique: </w:t>
            </w:r>
          </w:p>
          <w:p w14:paraId="15FA55F4" w14:textId="77777777" w:rsidR="001506C1" w:rsidRPr="00FA3F9C" w:rsidRDefault="001506C1" w:rsidP="00E23B76">
            <w:pPr>
              <w:ind w:left="256" w:hanging="194"/>
              <w:rPr>
                <w:rFonts w:ascii="Arial" w:hAnsi="Arial" w:cs="Arial"/>
                <w:sz w:val="24"/>
                <w:szCs w:val="24"/>
              </w:rPr>
            </w:pPr>
          </w:p>
          <w:p w14:paraId="3FC01C93" w14:textId="77777777" w:rsidR="001506C1" w:rsidRPr="00FA3F9C" w:rsidRDefault="001506C1" w:rsidP="001506C1">
            <w:pPr>
              <w:numPr>
                <w:ilvl w:val="0"/>
                <w:numId w:val="112"/>
              </w:numPr>
              <w:spacing w:after="0" w:line="240" w:lineRule="auto"/>
              <w:ind w:left="526" w:hanging="194"/>
              <w:rPr>
                <w:rFonts w:ascii="Arial" w:hAnsi="Arial" w:cs="Arial"/>
                <w:sz w:val="24"/>
                <w:szCs w:val="24"/>
              </w:rPr>
            </w:pPr>
            <w:r w:rsidRPr="00FA3F9C">
              <w:rPr>
                <w:rFonts w:ascii="Arial" w:hAnsi="Arial" w:cs="Arial"/>
                <w:sz w:val="24"/>
                <w:szCs w:val="24"/>
              </w:rPr>
              <w:t>Take once daily on an empty stomach at least 30 minutes before food</w:t>
            </w:r>
          </w:p>
          <w:p w14:paraId="48151050" w14:textId="77777777" w:rsidR="001506C1" w:rsidRPr="00FA3F9C" w:rsidRDefault="001506C1" w:rsidP="001506C1">
            <w:pPr>
              <w:numPr>
                <w:ilvl w:val="0"/>
                <w:numId w:val="112"/>
              </w:numPr>
              <w:spacing w:after="0" w:line="240" w:lineRule="auto"/>
              <w:ind w:left="526" w:hanging="194"/>
              <w:rPr>
                <w:rFonts w:ascii="Arial" w:hAnsi="Arial" w:cs="Arial"/>
                <w:sz w:val="24"/>
                <w:szCs w:val="24"/>
              </w:rPr>
            </w:pPr>
            <w:r w:rsidRPr="00FA3F9C">
              <w:rPr>
                <w:rFonts w:ascii="Arial" w:hAnsi="Arial" w:cs="Arial"/>
                <w:sz w:val="24"/>
                <w:szCs w:val="24"/>
              </w:rPr>
              <w:t>Dose should be taken at the same time of day each day</w:t>
            </w:r>
          </w:p>
          <w:p w14:paraId="6B1FAFE4" w14:textId="77777777" w:rsidR="001506C1" w:rsidRPr="00FA3F9C" w:rsidRDefault="001506C1" w:rsidP="001506C1">
            <w:pPr>
              <w:numPr>
                <w:ilvl w:val="0"/>
                <w:numId w:val="112"/>
              </w:numPr>
              <w:spacing w:after="0" w:line="240" w:lineRule="auto"/>
              <w:ind w:left="526" w:hanging="194"/>
              <w:rPr>
                <w:rFonts w:ascii="Arial" w:hAnsi="Arial" w:cs="Arial"/>
                <w:sz w:val="24"/>
                <w:szCs w:val="24"/>
              </w:rPr>
            </w:pPr>
            <w:r w:rsidRPr="00FA3F9C">
              <w:rPr>
                <w:rFonts w:ascii="Arial" w:hAnsi="Arial" w:cs="Arial"/>
                <w:sz w:val="24"/>
                <w:szCs w:val="24"/>
              </w:rPr>
              <w:t>Completely dissolve tablet in water, apple juice, or orange juice and drink immediately</w:t>
            </w:r>
          </w:p>
          <w:p w14:paraId="39ABAE12" w14:textId="77777777" w:rsidR="001506C1" w:rsidRPr="00FA3F9C" w:rsidRDefault="001506C1" w:rsidP="001506C1">
            <w:pPr>
              <w:numPr>
                <w:ilvl w:val="0"/>
                <w:numId w:val="112"/>
              </w:numPr>
              <w:spacing w:after="0" w:line="240" w:lineRule="auto"/>
              <w:ind w:left="526" w:hanging="194"/>
              <w:rPr>
                <w:rFonts w:ascii="Arial" w:hAnsi="Arial" w:cs="Arial"/>
                <w:sz w:val="24"/>
                <w:szCs w:val="24"/>
              </w:rPr>
            </w:pPr>
            <w:r w:rsidRPr="00FA3F9C">
              <w:rPr>
                <w:rFonts w:ascii="Arial" w:hAnsi="Arial" w:cs="Arial"/>
                <w:sz w:val="24"/>
                <w:szCs w:val="24"/>
              </w:rPr>
              <w:t>Re-suspend and drink any residual drug with a small amount of additional liquid</w:t>
            </w:r>
          </w:p>
          <w:p w14:paraId="0A41C647" w14:textId="77777777" w:rsidR="001506C1" w:rsidRPr="00FA3F9C" w:rsidRDefault="001506C1" w:rsidP="001506C1">
            <w:pPr>
              <w:numPr>
                <w:ilvl w:val="0"/>
                <w:numId w:val="112"/>
              </w:numPr>
              <w:spacing w:after="0" w:line="240" w:lineRule="auto"/>
              <w:ind w:left="526" w:hanging="194"/>
              <w:rPr>
                <w:rFonts w:ascii="Arial" w:hAnsi="Arial" w:cs="Arial"/>
                <w:sz w:val="24"/>
                <w:szCs w:val="24"/>
              </w:rPr>
            </w:pPr>
            <w:r w:rsidRPr="00FA3F9C">
              <w:rPr>
                <w:rFonts w:ascii="Arial" w:hAnsi="Arial" w:cs="Arial"/>
                <w:sz w:val="24"/>
                <w:szCs w:val="24"/>
              </w:rPr>
              <w:t>Do not take at the same time as aluminum-containing antacid products.</w:t>
            </w:r>
          </w:p>
        </w:tc>
      </w:tr>
      <w:tr w:rsidR="001506C1" w:rsidRPr="00FA3F9C" w14:paraId="6284C613" w14:textId="77777777" w:rsidTr="00105B3F">
        <w:tc>
          <w:tcPr>
            <w:tcW w:w="10170" w:type="dxa"/>
            <w:shd w:val="clear" w:color="auto" w:fill="F2F2F2"/>
          </w:tcPr>
          <w:p w14:paraId="41A44A59" w14:textId="77777777" w:rsidR="001506C1" w:rsidRPr="00FA3F9C" w:rsidRDefault="001506C1" w:rsidP="006666E7">
            <w:pPr>
              <w:rPr>
                <w:rFonts w:ascii="Arial" w:hAnsi="Arial" w:cs="Arial"/>
                <w:sz w:val="24"/>
                <w:szCs w:val="24"/>
              </w:rPr>
            </w:pPr>
            <w:r w:rsidRPr="00FA3F9C">
              <w:rPr>
                <w:rFonts w:ascii="Arial" w:hAnsi="Arial" w:cs="Arial"/>
                <w:sz w:val="24"/>
                <w:szCs w:val="24"/>
              </w:rPr>
              <w:t>If above criteria met, approve x 1 year</w:t>
            </w:r>
          </w:p>
          <w:p w14:paraId="56C51A0A" w14:textId="77777777" w:rsidR="001506C1" w:rsidRPr="00FA3F9C" w:rsidRDefault="001506C1" w:rsidP="006666E7">
            <w:pPr>
              <w:rPr>
                <w:rFonts w:ascii="Arial" w:hAnsi="Arial" w:cs="Arial"/>
                <w:sz w:val="24"/>
                <w:szCs w:val="24"/>
              </w:rPr>
            </w:pPr>
            <w:r w:rsidRPr="00FA3F9C">
              <w:rPr>
                <w:rFonts w:ascii="Arial" w:hAnsi="Arial" w:cs="Arial"/>
                <w:sz w:val="24"/>
                <w:szCs w:val="24"/>
              </w:rPr>
              <w:t xml:space="preserve">QL: </w:t>
            </w:r>
            <w:proofErr w:type="gramStart"/>
            <w:r w:rsidRPr="00FA3F9C">
              <w:rPr>
                <w:rFonts w:ascii="Arial" w:hAnsi="Arial" w:cs="Arial"/>
                <w:sz w:val="24"/>
                <w:szCs w:val="24"/>
              </w:rPr>
              <w:t>30 day</w:t>
            </w:r>
            <w:proofErr w:type="gramEnd"/>
            <w:r w:rsidRPr="00FA3F9C">
              <w:rPr>
                <w:rFonts w:ascii="Arial" w:hAnsi="Arial" w:cs="Arial"/>
                <w:sz w:val="24"/>
                <w:szCs w:val="24"/>
              </w:rPr>
              <w:t xml:space="preserve"> supply.</w:t>
            </w:r>
          </w:p>
        </w:tc>
      </w:tr>
      <w:tr w:rsidR="001506C1" w:rsidRPr="00FA3F9C" w14:paraId="7C798247" w14:textId="77777777" w:rsidTr="00105B3F">
        <w:tc>
          <w:tcPr>
            <w:tcW w:w="10170" w:type="dxa"/>
            <w:tcBorders>
              <w:bottom w:val="single" w:sz="4" w:space="0" w:color="auto"/>
            </w:tcBorders>
            <w:shd w:val="clear" w:color="auto" w:fill="D9D9D9"/>
          </w:tcPr>
          <w:p w14:paraId="1AAFBBF1" w14:textId="77777777" w:rsidR="001506C1" w:rsidRPr="00FA3F9C" w:rsidRDefault="001506C1" w:rsidP="006666E7">
            <w:pPr>
              <w:rPr>
                <w:rFonts w:ascii="Arial" w:hAnsi="Arial" w:cs="Arial"/>
                <w:sz w:val="24"/>
                <w:szCs w:val="24"/>
              </w:rPr>
            </w:pPr>
            <w:r w:rsidRPr="00FA3F9C">
              <w:rPr>
                <w:rFonts w:ascii="Arial" w:hAnsi="Arial" w:cs="Arial"/>
                <w:sz w:val="24"/>
                <w:szCs w:val="24"/>
              </w:rPr>
              <w:t>Notes:</w:t>
            </w:r>
          </w:p>
          <w:p w14:paraId="62C9DBC0" w14:textId="77777777" w:rsidR="001506C1" w:rsidRPr="00FA3F9C" w:rsidRDefault="001506C1" w:rsidP="006666E7">
            <w:pPr>
              <w:rPr>
                <w:rFonts w:ascii="Arial" w:hAnsi="Arial" w:cs="Arial"/>
                <w:sz w:val="24"/>
                <w:szCs w:val="24"/>
              </w:rPr>
            </w:pPr>
            <w:r w:rsidRPr="00FA3F9C">
              <w:rPr>
                <w:rFonts w:ascii="Arial" w:hAnsi="Arial" w:cs="Arial"/>
                <w:sz w:val="24"/>
                <w:szCs w:val="24"/>
              </w:rPr>
              <w:t>Dose: 20 mg/kg once daily. Round dose to the nearest whole tablet.</w:t>
            </w:r>
          </w:p>
          <w:p w14:paraId="75002E5C" w14:textId="77777777" w:rsidR="001506C1" w:rsidRPr="00FA3F9C" w:rsidRDefault="001506C1" w:rsidP="006666E7">
            <w:pPr>
              <w:rPr>
                <w:rFonts w:ascii="Arial" w:hAnsi="Arial" w:cs="Arial"/>
                <w:sz w:val="24"/>
                <w:szCs w:val="24"/>
              </w:rPr>
            </w:pPr>
          </w:p>
          <w:p w14:paraId="22FF88EB" w14:textId="77777777" w:rsidR="001506C1" w:rsidRPr="00FA3F9C" w:rsidRDefault="001506C1" w:rsidP="006666E7">
            <w:pPr>
              <w:rPr>
                <w:rFonts w:ascii="Arial" w:hAnsi="Arial" w:cs="Arial"/>
                <w:sz w:val="24"/>
                <w:szCs w:val="24"/>
              </w:rPr>
            </w:pPr>
            <w:r w:rsidRPr="00FA3F9C">
              <w:rPr>
                <w:rFonts w:ascii="Arial" w:hAnsi="Arial" w:cs="Arial"/>
                <w:sz w:val="24"/>
                <w:szCs w:val="24"/>
              </w:rPr>
              <w:t>Criteria 4-8 relate to contraindications listed in the package insert.</w:t>
            </w:r>
          </w:p>
          <w:p w14:paraId="40345ED6" w14:textId="77777777" w:rsidR="001506C1" w:rsidRPr="00FA3F9C" w:rsidRDefault="001506C1" w:rsidP="006666E7">
            <w:pPr>
              <w:rPr>
                <w:rFonts w:ascii="Arial" w:hAnsi="Arial" w:cs="Arial"/>
                <w:sz w:val="24"/>
                <w:szCs w:val="24"/>
              </w:rPr>
            </w:pPr>
          </w:p>
          <w:p w14:paraId="34270BD0" w14:textId="77777777" w:rsidR="001506C1" w:rsidRPr="00FA3F9C" w:rsidRDefault="001506C1" w:rsidP="006666E7">
            <w:pPr>
              <w:rPr>
                <w:rFonts w:ascii="Arial" w:hAnsi="Arial" w:cs="Arial"/>
                <w:sz w:val="24"/>
                <w:szCs w:val="24"/>
              </w:rPr>
            </w:pPr>
            <w:r w:rsidRPr="00FA3F9C">
              <w:rPr>
                <w:rFonts w:ascii="Arial" w:hAnsi="Arial" w:cs="Arial"/>
                <w:sz w:val="24"/>
                <w:szCs w:val="24"/>
              </w:rPr>
              <w:t xml:space="preserve">Reference:  </w:t>
            </w:r>
          </w:p>
          <w:p w14:paraId="58FCFCC2" w14:textId="77777777" w:rsidR="001506C1" w:rsidRPr="00FA3F9C" w:rsidRDefault="001506C1" w:rsidP="006666E7">
            <w:pPr>
              <w:rPr>
                <w:rFonts w:ascii="Arial" w:hAnsi="Arial" w:cs="Arial"/>
                <w:sz w:val="24"/>
                <w:szCs w:val="24"/>
              </w:rPr>
            </w:pPr>
            <w:r w:rsidRPr="00FA3F9C">
              <w:rPr>
                <w:rFonts w:ascii="Arial" w:hAnsi="Arial" w:cs="Arial"/>
                <w:sz w:val="24"/>
                <w:szCs w:val="24"/>
              </w:rPr>
              <w:t xml:space="preserve">Product Package Insert, </w:t>
            </w:r>
            <w:proofErr w:type="spellStart"/>
            <w:r w:rsidRPr="00FA3F9C">
              <w:rPr>
                <w:rFonts w:ascii="Arial" w:hAnsi="Arial" w:cs="Arial"/>
                <w:sz w:val="24"/>
                <w:szCs w:val="24"/>
              </w:rPr>
              <w:t>Exjade</w:t>
            </w:r>
            <w:proofErr w:type="spellEnd"/>
            <w:r w:rsidRPr="00FA3F9C">
              <w:rPr>
                <w:rFonts w:ascii="Arial" w:hAnsi="Arial" w:cs="Arial"/>
                <w:sz w:val="24"/>
                <w:szCs w:val="24"/>
              </w:rPr>
              <w:t xml:space="preserve"> (</w:t>
            </w:r>
            <w:proofErr w:type="spellStart"/>
            <w:r w:rsidRPr="00FA3F9C">
              <w:rPr>
                <w:rFonts w:ascii="Arial" w:hAnsi="Arial" w:cs="Arial"/>
                <w:sz w:val="24"/>
                <w:szCs w:val="24"/>
              </w:rPr>
              <w:t>deferasirox</w:t>
            </w:r>
            <w:proofErr w:type="spellEnd"/>
            <w:r w:rsidRPr="00FA3F9C">
              <w:rPr>
                <w:rFonts w:ascii="Arial" w:hAnsi="Arial" w:cs="Arial"/>
                <w:sz w:val="24"/>
                <w:szCs w:val="24"/>
              </w:rPr>
              <w:t xml:space="preserve">). Novartis. May 2019. </w:t>
            </w:r>
            <w:hyperlink r:id="rId114" w:history="1">
              <w:r w:rsidRPr="00FA3F9C">
                <w:rPr>
                  <w:rStyle w:val="Hyperlink"/>
                  <w:rFonts w:ascii="Arial" w:hAnsi="Arial" w:cs="Arial"/>
                  <w:sz w:val="24"/>
                  <w:szCs w:val="24"/>
                </w:rPr>
                <w:t>https://www.pharma.us.novartis.com/sites/www.pharma.us.novartis.com/files/exjade.pdf</w:t>
              </w:r>
            </w:hyperlink>
          </w:p>
        </w:tc>
      </w:tr>
    </w:tbl>
    <w:p w14:paraId="5C87DBE5" w14:textId="77777777" w:rsidR="001506C1" w:rsidRPr="00FA3F9C" w:rsidRDefault="001506C1" w:rsidP="00BD761B">
      <w:pPr>
        <w:jc w:val="right"/>
        <w:rPr>
          <w:rFonts w:ascii="Arial" w:hAnsi="Arial" w:cs="Arial"/>
          <w:sz w:val="24"/>
          <w:szCs w:val="24"/>
        </w:rPr>
      </w:pPr>
    </w:p>
    <w:p w14:paraId="630BD501" w14:textId="77777777" w:rsidR="001506C1" w:rsidRPr="00FA3F9C" w:rsidRDefault="001506C1" w:rsidP="00BD761B">
      <w:pPr>
        <w:jc w:val="right"/>
        <w:rPr>
          <w:rFonts w:ascii="Arial" w:hAnsi="Arial" w:cs="Arial"/>
          <w:sz w:val="24"/>
          <w:szCs w:val="24"/>
        </w:rPr>
      </w:pPr>
    </w:p>
    <w:p w14:paraId="57F76805" w14:textId="77777777" w:rsidR="001506C1" w:rsidRPr="00FA3F9C" w:rsidRDefault="001506C1" w:rsidP="002A23A6">
      <w:pPr>
        <w:rPr>
          <w:rFonts w:ascii="Arial" w:hAnsi="Arial" w:cs="Arial"/>
          <w:sz w:val="24"/>
          <w:szCs w:val="24"/>
        </w:rPr>
      </w:pPr>
    </w:p>
    <w:p w14:paraId="495E6DCB" w14:textId="77777777" w:rsidR="001506C1" w:rsidRPr="00FA3F9C" w:rsidRDefault="001506C1" w:rsidP="002A23A6">
      <w:pPr>
        <w:rPr>
          <w:rFonts w:ascii="Arial" w:hAnsi="Arial" w:cs="Arial"/>
          <w:sz w:val="24"/>
          <w:szCs w:val="24"/>
        </w:rPr>
      </w:pPr>
    </w:p>
    <w:p w14:paraId="46A6E6C1" w14:textId="77777777" w:rsidR="001506C1" w:rsidRPr="00FA3F9C" w:rsidRDefault="001506C1" w:rsidP="002A23A6">
      <w:pPr>
        <w:rPr>
          <w:rFonts w:ascii="Arial" w:hAnsi="Arial" w:cs="Arial"/>
          <w:sz w:val="24"/>
          <w:szCs w:val="24"/>
        </w:rPr>
      </w:pPr>
    </w:p>
    <w:tbl>
      <w:tblPr>
        <w:tblW w:w="1017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70"/>
      </w:tblGrid>
      <w:tr w:rsidR="001506C1" w:rsidRPr="00FA3F9C" w14:paraId="751324BA" w14:textId="77777777" w:rsidTr="00105B3F">
        <w:tc>
          <w:tcPr>
            <w:tcW w:w="10170" w:type="dxa"/>
            <w:tcBorders>
              <w:bottom w:val="single" w:sz="4" w:space="0" w:color="auto"/>
            </w:tcBorders>
            <w:shd w:val="clear" w:color="auto" w:fill="000000"/>
          </w:tcPr>
          <w:p w14:paraId="0BEF4412" w14:textId="77777777" w:rsidR="001506C1" w:rsidRPr="00FA3F9C" w:rsidRDefault="001506C1" w:rsidP="00EA39ED">
            <w:pPr>
              <w:rPr>
                <w:rFonts w:ascii="Arial" w:hAnsi="Arial" w:cs="Arial"/>
                <w:sz w:val="24"/>
                <w:szCs w:val="24"/>
              </w:rPr>
            </w:pPr>
            <w:r w:rsidRPr="00FA3F9C">
              <w:rPr>
                <w:rFonts w:ascii="Arial" w:hAnsi="Arial" w:cs="Arial"/>
                <w:sz w:val="24"/>
                <w:szCs w:val="24"/>
              </w:rPr>
              <w:t>Chronic iron overload due to non-transfusion-dependent thalassemia (NTDT) syndromes</w:t>
            </w:r>
          </w:p>
        </w:tc>
      </w:tr>
      <w:tr w:rsidR="001506C1" w:rsidRPr="00FA3F9C" w14:paraId="725A1474" w14:textId="77777777" w:rsidTr="00105B3F">
        <w:tc>
          <w:tcPr>
            <w:tcW w:w="10170" w:type="dxa"/>
            <w:tcBorders>
              <w:bottom w:val="single" w:sz="4" w:space="0" w:color="auto"/>
            </w:tcBorders>
          </w:tcPr>
          <w:p w14:paraId="7A74EAA1" w14:textId="77777777" w:rsidR="001506C1" w:rsidRPr="00FA3F9C" w:rsidRDefault="001506C1" w:rsidP="001506C1">
            <w:pPr>
              <w:numPr>
                <w:ilvl w:val="0"/>
                <w:numId w:val="114"/>
              </w:numPr>
              <w:spacing w:after="0" w:line="240" w:lineRule="auto"/>
              <w:ind w:left="346"/>
              <w:rPr>
                <w:rFonts w:ascii="Arial" w:hAnsi="Arial" w:cs="Arial"/>
                <w:sz w:val="24"/>
                <w:szCs w:val="24"/>
                <w:u w:val="single"/>
              </w:rPr>
            </w:pPr>
            <w:r w:rsidRPr="00FA3F9C">
              <w:rPr>
                <w:rFonts w:ascii="Arial" w:hAnsi="Arial" w:cs="Arial"/>
                <w:sz w:val="24"/>
                <w:szCs w:val="24"/>
              </w:rPr>
              <w:t xml:space="preserve">Age is 10 years or older </w:t>
            </w:r>
          </w:p>
        </w:tc>
      </w:tr>
      <w:tr w:rsidR="001506C1" w:rsidRPr="00FA3F9C" w14:paraId="2905BF91" w14:textId="77777777" w:rsidTr="00105B3F">
        <w:tc>
          <w:tcPr>
            <w:tcW w:w="10170" w:type="dxa"/>
            <w:tcBorders>
              <w:bottom w:val="single" w:sz="4" w:space="0" w:color="auto"/>
            </w:tcBorders>
          </w:tcPr>
          <w:p w14:paraId="04CF8AA0" w14:textId="77777777" w:rsidR="001506C1" w:rsidRPr="00FA3F9C" w:rsidRDefault="001506C1" w:rsidP="001506C1">
            <w:pPr>
              <w:numPr>
                <w:ilvl w:val="0"/>
                <w:numId w:val="114"/>
              </w:numPr>
              <w:spacing w:after="0" w:line="240" w:lineRule="auto"/>
              <w:ind w:left="346"/>
              <w:rPr>
                <w:rFonts w:ascii="Arial" w:hAnsi="Arial" w:cs="Arial"/>
                <w:sz w:val="24"/>
                <w:szCs w:val="24"/>
              </w:rPr>
            </w:pPr>
            <w:r w:rsidRPr="00FA3F9C">
              <w:rPr>
                <w:rFonts w:ascii="Arial" w:hAnsi="Arial" w:cs="Arial"/>
                <w:sz w:val="24"/>
                <w:szCs w:val="24"/>
              </w:rPr>
              <w:t>Diagnosis of chronic iron overload due to a non-transfusion-dependent thalassemia (NTDT) syndrome</w:t>
            </w:r>
          </w:p>
        </w:tc>
      </w:tr>
      <w:tr w:rsidR="001506C1" w:rsidRPr="00FA3F9C" w14:paraId="0CB2BA30" w14:textId="77777777" w:rsidTr="00105B3F">
        <w:tc>
          <w:tcPr>
            <w:tcW w:w="10170" w:type="dxa"/>
            <w:tcBorders>
              <w:bottom w:val="single" w:sz="4" w:space="0" w:color="auto"/>
            </w:tcBorders>
          </w:tcPr>
          <w:p w14:paraId="5C92F44B" w14:textId="77777777" w:rsidR="001506C1" w:rsidRPr="00FA3F9C" w:rsidRDefault="001506C1" w:rsidP="001506C1">
            <w:pPr>
              <w:numPr>
                <w:ilvl w:val="0"/>
                <w:numId w:val="114"/>
              </w:numPr>
              <w:spacing w:after="0" w:line="240" w:lineRule="auto"/>
              <w:ind w:left="346"/>
              <w:rPr>
                <w:rFonts w:ascii="Arial" w:hAnsi="Arial" w:cs="Arial"/>
                <w:sz w:val="24"/>
                <w:szCs w:val="24"/>
              </w:rPr>
            </w:pPr>
            <w:r w:rsidRPr="00FA3F9C">
              <w:rPr>
                <w:rFonts w:ascii="Arial" w:hAnsi="Arial" w:cs="Arial"/>
                <w:sz w:val="24"/>
                <w:szCs w:val="24"/>
              </w:rPr>
              <w:t>Liver iron (Fe) concentration (LIC) is at least 5 mg Fe per gram of dry weight</w:t>
            </w:r>
          </w:p>
        </w:tc>
      </w:tr>
      <w:tr w:rsidR="001506C1" w:rsidRPr="00FA3F9C" w14:paraId="1A65B876" w14:textId="77777777" w:rsidTr="00105B3F">
        <w:tc>
          <w:tcPr>
            <w:tcW w:w="10170" w:type="dxa"/>
            <w:tcBorders>
              <w:bottom w:val="single" w:sz="4" w:space="0" w:color="auto"/>
            </w:tcBorders>
          </w:tcPr>
          <w:p w14:paraId="3F9D8E37" w14:textId="77777777" w:rsidR="001506C1" w:rsidRPr="00FA3F9C" w:rsidRDefault="001506C1" w:rsidP="001506C1">
            <w:pPr>
              <w:numPr>
                <w:ilvl w:val="0"/>
                <w:numId w:val="114"/>
              </w:numPr>
              <w:spacing w:after="0" w:line="240" w:lineRule="auto"/>
              <w:ind w:left="346"/>
              <w:rPr>
                <w:rFonts w:ascii="Arial" w:hAnsi="Arial" w:cs="Arial"/>
                <w:sz w:val="24"/>
                <w:szCs w:val="24"/>
              </w:rPr>
            </w:pPr>
            <w:r w:rsidRPr="00FA3F9C">
              <w:rPr>
                <w:rFonts w:ascii="Arial" w:hAnsi="Arial" w:cs="Arial"/>
                <w:sz w:val="24"/>
                <w:szCs w:val="24"/>
              </w:rPr>
              <w:t>Serum ferritin is greater than 300 mcg/L</w:t>
            </w:r>
          </w:p>
        </w:tc>
      </w:tr>
      <w:tr w:rsidR="001506C1" w:rsidRPr="00FA3F9C" w14:paraId="15BACD3C" w14:textId="77777777" w:rsidTr="00105B3F">
        <w:tc>
          <w:tcPr>
            <w:tcW w:w="10170" w:type="dxa"/>
            <w:tcBorders>
              <w:bottom w:val="single" w:sz="4" w:space="0" w:color="auto"/>
            </w:tcBorders>
          </w:tcPr>
          <w:p w14:paraId="4B625099" w14:textId="77777777" w:rsidR="001506C1" w:rsidRPr="00FA3F9C" w:rsidRDefault="001506C1" w:rsidP="001506C1">
            <w:pPr>
              <w:numPr>
                <w:ilvl w:val="0"/>
                <w:numId w:val="114"/>
              </w:numPr>
              <w:spacing w:after="0" w:line="240" w:lineRule="auto"/>
              <w:ind w:left="346"/>
              <w:rPr>
                <w:rFonts w:ascii="Arial" w:hAnsi="Arial" w:cs="Arial"/>
                <w:sz w:val="24"/>
                <w:szCs w:val="24"/>
              </w:rPr>
            </w:pPr>
            <w:r w:rsidRPr="00FA3F9C">
              <w:rPr>
                <w:rFonts w:ascii="Arial" w:hAnsi="Arial" w:cs="Arial"/>
                <w:sz w:val="24"/>
                <w:szCs w:val="24"/>
              </w:rPr>
              <w:t>Creatinine clearance is at least 40 ml/min</w:t>
            </w:r>
          </w:p>
        </w:tc>
      </w:tr>
      <w:tr w:rsidR="001506C1" w:rsidRPr="00FA3F9C" w14:paraId="16BE2B8B" w14:textId="77777777" w:rsidTr="00105B3F">
        <w:tc>
          <w:tcPr>
            <w:tcW w:w="10170" w:type="dxa"/>
            <w:tcBorders>
              <w:bottom w:val="single" w:sz="4" w:space="0" w:color="auto"/>
            </w:tcBorders>
          </w:tcPr>
          <w:p w14:paraId="3A602D7F" w14:textId="77777777" w:rsidR="001506C1" w:rsidRPr="00FA3F9C" w:rsidRDefault="001506C1" w:rsidP="001506C1">
            <w:pPr>
              <w:numPr>
                <w:ilvl w:val="0"/>
                <w:numId w:val="114"/>
              </w:numPr>
              <w:spacing w:after="0" w:line="240" w:lineRule="auto"/>
              <w:ind w:left="346"/>
              <w:rPr>
                <w:rFonts w:ascii="Arial" w:hAnsi="Arial" w:cs="Arial"/>
                <w:sz w:val="24"/>
                <w:szCs w:val="24"/>
              </w:rPr>
            </w:pPr>
            <w:r w:rsidRPr="00FA3F9C">
              <w:rPr>
                <w:rFonts w:ascii="Arial" w:hAnsi="Arial" w:cs="Arial"/>
                <w:sz w:val="24"/>
                <w:szCs w:val="24"/>
              </w:rPr>
              <w:t>Platelet count is at least 50 x 10</w:t>
            </w:r>
            <w:r w:rsidRPr="00FA3F9C">
              <w:rPr>
                <w:rFonts w:ascii="Arial" w:hAnsi="Arial" w:cs="Arial"/>
                <w:sz w:val="24"/>
                <w:szCs w:val="24"/>
                <w:vertAlign w:val="superscript"/>
              </w:rPr>
              <w:t>9</w:t>
            </w:r>
            <w:r w:rsidRPr="00FA3F9C">
              <w:rPr>
                <w:rFonts w:ascii="Arial" w:hAnsi="Arial" w:cs="Arial"/>
                <w:sz w:val="24"/>
                <w:szCs w:val="24"/>
              </w:rPr>
              <w:t>/L</w:t>
            </w:r>
          </w:p>
        </w:tc>
      </w:tr>
      <w:tr w:rsidR="001506C1" w:rsidRPr="00FA3F9C" w14:paraId="489837B0" w14:textId="77777777" w:rsidTr="00105B3F">
        <w:tc>
          <w:tcPr>
            <w:tcW w:w="10170" w:type="dxa"/>
            <w:tcBorders>
              <w:bottom w:val="single" w:sz="4" w:space="0" w:color="auto"/>
            </w:tcBorders>
          </w:tcPr>
          <w:p w14:paraId="18993523" w14:textId="77777777" w:rsidR="001506C1" w:rsidRPr="00FA3F9C" w:rsidRDefault="001506C1" w:rsidP="001506C1">
            <w:pPr>
              <w:numPr>
                <w:ilvl w:val="0"/>
                <w:numId w:val="114"/>
              </w:numPr>
              <w:spacing w:after="0" w:line="240" w:lineRule="auto"/>
              <w:ind w:left="346"/>
              <w:rPr>
                <w:rFonts w:ascii="Arial" w:hAnsi="Arial" w:cs="Arial"/>
                <w:sz w:val="24"/>
                <w:szCs w:val="24"/>
              </w:rPr>
            </w:pPr>
            <w:r w:rsidRPr="00FA3F9C">
              <w:rPr>
                <w:rFonts w:ascii="Arial" w:hAnsi="Arial" w:cs="Arial"/>
                <w:sz w:val="24"/>
                <w:szCs w:val="24"/>
              </w:rPr>
              <w:t>Patient does NOT have diagnosis of high-risk myelodysplastic syndrome</w:t>
            </w:r>
          </w:p>
        </w:tc>
      </w:tr>
      <w:tr w:rsidR="001506C1" w:rsidRPr="00FA3F9C" w14:paraId="322FBCCA" w14:textId="77777777" w:rsidTr="00105B3F">
        <w:tc>
          <w:tcPr>
            <w:tcW w:w="10170" w:type="dxa"/>
            <w:tcBorders>
              <w:bottom w:val="single" w:sz="4" w:space="0" w:color="auto"/>
            </w:tcBorders>
          </w:tcPr>
          <w:p w14:paraId="129D28B7" w14:textId="77777777" w:rsidR="001506C1" w:rsidRPr="00FA3F9C" w:rsidRDefault="001506C1" w:rsidP="001506C1">
            <w:pPr>
              <w:numPr>
                <w:ilvl w:val="0"/>
                <w:numId w:val="114"/>
              </w:numPr>
              <w:spacing w:after="0" w:line="240" w:lineRule="auto"/>
              <w:ind w:left="346"/>
              <w:rPr>
                <w:rFonts w:ascii="Arial" w:hAnsi="Arial" w:cs="Arial"/>
                <w:sz w:val="24"/>
                <w:szCs w:val="24"/>
              </w:rPr>
            </w:pPr>
            <w:r w:rsidRPr="00FA3F9C">
              <w:rPr>
                <w:rFonts w:ascii="Arial" w:hAnsi="Arial" w:cs="Arial"/>
                <w:sz w:val="24"/>
                <w:szCs w:val="24"/>
              </w:rPr>
              <w:t>Patient does NOT have advanced malignancy</w:t>
            </w:r>
          </w:p>
        </w:tc>
      </w:tr>
      <w:tr w:rsidR="001506C1" w:rsidRPr="00FA3F9C" w14:paraId="45814AD7" w14:textId="77777777" w:rsidTr="00105B3F">
        <w:tc>
          <w:tcPr>
            <w:tcW w:w="10170" w:type="dxa"/>
            <w:tcBorders>
              <w:bottom w:val="single" w:sz="4" w:space="0" w:color="auto"/>
            </w:tcBorders>
          </w:tcPr>
          <w:p w14:paraId="6C6A4FB9" w14:textId="77777777" w:rsidR="001506C1" w:rsidRPr="00FA3F9C" w:rsidRDefault="001506C1" w:rsidP="001506C1">
            <w:pPr>
              <w:numPr>
                <w:ilvl w:val="0"/>
                <w:numId w:val="114"/>
              </w:numPr>
              <w:spacing w:after="0" w:line="240" w:lineRule="auto"/>
              <w:ind w:left="346"/>
              <w:rPr>
                <w:rFonts w:ascii="Arial" w:hAnsi="Arial" w:cs="Arial"/>
                <w:sz w:val="24"/>
                <w:szCs w:val="24"/>
              </w:rPr>
            </w:pPr>
            <w:r w:rsidRPr="00FA3F9C">
              <w:rPr>
                <w:rFonts w:ascii="Arial" w:hAnsi="Arial" w:cs="Arial"/>
                <w:sz w:val="24"/>
                <w:szCs w:val="24"/>
              </w:rPr>
              <w:t xml:space="preserve">Patient does NOT have history of known hypersensitivity to </w:t>
            </w:r>
            <w:proofErr w:type="spellStart"/>
            <w:r w:rsidRPr="00FA3F9C">
              <w:rPr>
                <w:rFonts w:ascii="Arial" w:hAnsi="Arial" w:cs="Arial"/>
                <w:sz w:val="24"/>
                <w:szCs w:val="24"/>
              </w:rPr>
              <w:t>deferasirox</w:t>
            </w:r>
            <w:proofErr w:type="spellEnd"/>
            <w:r w:rsidRPr="00FA3F9C">
              <w:rPr>
                <w:rFonts w:ascii="Arial" w:hAnsi="Arial" w:cs="Arial"/>
                <w:sz w:val="24"/>
                <w:szCs w:val="24"/>
              </w:rPr>
              <w:t xml:space="preserve"> or any component of formulation.</w:t>
            </w:r>
          </w:p>
        </w:tc>
      </w:tr>
      <w:tr w:rsidR="001506C1" w:rsidRPr="00FA3F9C" w14:paraId="56305BB8" w14:textId="77777777" w:rsidTr="00105B3F">
        <w:trPr>
          <w:trHeight w:val="2078"/>
        </w:trPr>
        <w:tc>
          <w:tcPr>
            <w:tcW w:w="10170" w:type="dxa"/>
          </w:tcPr>
          <w:p w14:paraId="0C2103D5" w14:textId="77777777" w:rsidR="001506C1" w:rsidRPr="00FA3F9C" w:rsidRDefault="001506C1" w:rsidP="001506C1">
            <w:pPr>
              <w:numPr>
                <w:ilvl w:val="0"/>
                <w:numId w:val="114"/>
              </w:numPr>
              <w:spacing w:after="0" w:line="240" w:lineRule="auto"/>
              <w:ind w:left="346"/>
              <w:rPr>
                <w:rFonts w:ascii="Arial" w:hAnsi="Arial" w:cs="Arial"/>
                <w:sz w:val="24"/>
                <w:szCs w:val="24"/>
              </w:rPr>
            </w:pPr>
            <w:r w:rsidRPr="00FA3F9C">
              <w:rPr>
                <w:rFonts w:ascii="Arial" w:hAnsi="Arial" w:cs="Arial"/>
                <w:sz w:val="24"/>
                <w:szCs w:val="24"/>
              </w:rPr>
              <w:t xml:space="preserve">The patient (or caregiver) has been provided the following information for proper timing and administration technique: </w:t>
            </w:r>
          </w:p>
          <w:p w14:paraId="699CC12B" w14:textId="77777777" w:rsidR="001506C1" w:rsidRPr="00FA3F9C" w:rsidRDefault="001506C1" w:rsidP="00EA39ED">
            <w:pPr>
              <w:ind w:left="256" w:hanging="270"/>
              <w:rPr>
                <w:rFonts w:ascii="Arial" w:hAnsi="Arial" w:cs="Arial"/>
                <w:sz w:val="24"/>
                <w:szCs w:val="24"/>
              </w:rPr>
            </w:pPr>
          </w:p>
          <w:p w14:paraId="3DAB70B4" w14:textId="77777777" w:rsidR="001506C1" w:rsidRPr="00FA3F9C" w:rsidRDefault="001506C1" w:rsidP="001506C1">
            <w:pPr>
              <w:numPr>
                <w:ilvl w:val="0"/>
                <w:numId w:val="112"/>
              </w:numPr>
              <w:spacing w:after="0" w:line="240" w:lineRule="auto"/>
              <w:ind w:left="526" w:hanging="180"/>
              <w:rPr>
                <w:rFonts w:ascii="Arial" w:hAnsi="Arial" w:cs="Arial"/>
                <w:sz w:val="24"/>
                <w:szCs w:val="24"/>
              </w:rPr>
            </w:pPr>
            <w:r w:rsidRPr="00FA3F9C">
              <w:rPr>
                <w:rFonts w:ascii="Arial" w:hAnsi="Arial" w:cs="Arial"/>
                <w:sz w:val="24"/>
                <w:szCs w:val="24"/>
              </w:rPr>
              <w:t>Take once daily on an empty stomach at least 30 minutes before food</w:t>
            </w:r>
          </w:p>
          <w:p w14:paraId="750F7A4F" w14:textId="77777777" w:rsidR="001506C1" w:rsidRPr="00FA3F9C" w:rsidRDefault="001506C1" w:rsidP="001506C1">
            <w:pPr>
              <w:numPr>
                <w:ilvl w:val="0"/>
                <w:numId w:val="112"/>
              </w:numPr>
              <w:spacing w:after="0" w:line="240" w:lineRule="auto"/>
              <w:ind w:left="526" w:hanging="180"/>
              <w:rPr>
                <w:rFonts w:ascii="Arial" w:hAnsi="Arial" w:cs="Arial"/>
                <w:sz w:val="24"/>
                <w:szCs w:val="24"/>
              </w:rPr>
            </w:pPr>
            <w:r w:rsidRPr="00FA3F9C">
              <w:rPr>
                <w:rFonts w:ascii="Arial" w:hAnsi="Arial" w:cs="Arial"/>
                <w:sz w:val="24"/>
                <w:szCs w:val="24"/>
              </w:rPr>
              <w:t>Dose should be taken at the same time of day each day</w:t>
            </w:r>
          </w:p>
          <w:p w14:paraId="6DD42F7E" w14:textId="77777777" w:rsidR="001506C1" w:rsidRPr="00FA3F9C" w:rsidRDefault="001506C1" w:rsidP="001506C1">
            <w:pPr>
              <w:numPr>
                <w:ilvl w:val="0"/>
                <w:numId w:val="112"/>
              </w:numPr>
              <w:spacing w:after="0" w:line="240" w:lineRule="auto"/>
              <w:ind w:left="526" w:hanging="180"/>
              <w:rPr>
                <w:rFonts w:ascii="Arial" w:hAnsi="Arial" w:cs="Arial"/>
                <w:sz w:val="24"/>
                <w:szCs w:val="24"/>
              </w:rPr>
            </w:pPr>
            <w:r w:rsidRPr="00FA3F9C">
              <w:rPr>
                <w:rFonts w:ascii="Arial" w:hAnsi="Arial" w:cs="Arial"/>
                <w:sz w:val="24"/>
                <w:szCs w:val="24"/>
              </w:rPr>
              <w:t>Completely dissolve tablet in water, apple juice, or orange juice and drink immediately</w:t>
            </w:r>
          </w:p>
          <w:p w14:paraId="002EEC4A" w14:textId="77777777" w:rsidR="001506C1" w:rsidRPr="00FA3F9C" w:rsidRDefault="001506C1" w:rsidP="001506C1">
            <w:pPr>
              <w:numPr>
                <w:ilvl w:val="0"/>
                <w:numId w:val="112"/>
              </w:numPr>
              <w:spacing w:after="0" w:line="240" w:lineRule="auto"/>
              <w:ind w:left="526" w:hanging="180"/>
              <w:rPr>
                <w:rFonts w:ascii="Arial" w:hAnsi="Arial" w:cs="Arial"/>
                <w:sz w:val="24"/>
                <w:szCs w:val="24"/>
              </w:rPr>
            </w:pPr>
            <w:r w:rsidRPr="00FA3F9C">
              <w:rPr>
                <w:rFonts w:ascii="Arial" w:hAnsi="Arial" w:cs="Arial"/>
                <w:sz w:val="24"/>
                <w:szCs w:val="24"/>
              </w:rPr>
              <w:t>Re-suspend and drink any residual drug with a small amount of additional liquid</w:t>
            </w:r>
          </w:p>
          <w:p w14:paraId="232B7B92" w14:textId="77777777" w:rsidR="001506C1" w:rsidRPr="00FA3F9C" w:rsidRDefault="001506C1" w:rsidP="001506C1">
            <w:pPr>
              <w:numPr>
                <w:ilvl w:val="0"/>
                <w:numId w:val="112"/>
              </w:numPr>
              <w:spacing w:after="0" w:line="240" w:lineRule="auto"/>
              <w:ind w:left="526" w:hanging="180"/>
              <w:rPr>
                <w:rFonts w:ascii="Arial" w:hAnsi="Arial" w:cs="Arial"/>
                <w:sz w:val="24"/>
                <w:szCs w:val="24"/>
              </w:rPr>
            </w:pPr>
            <w:r w:rsidRPr="00FA3F9C">
              <w:rPr>
                <w:rFonts w:ascii="Arial" w:hAnsi="Arial" w:cs="Arial"/>
                <w:sz w:val="24"/>
                <w:szCs w:val="24"/>
              </w:rPr>
              <w:t>Do not take at the same time as aluminum-containing antacid products.</w:t>
            </w:r>
          </w:p>
        </w:tc>
      </w:tr>
      <w:tr w:rsidR="001506C1" w:rsidRPr="00FA3F9C" w14:paraId="6DC249AD" w14:textId="77777777" w:rsidTr="00105B3F">
        <w:tc>
          <w:tcPr>
            <w:tcW w:w="10170" w:type="dxa"/>
            <w:shd w:val="clear" w:color="auto" w:fill="F2F2F2"/>
          </w:tcPr>
          <w:p w14:paraId="183B753E" w14:textId="77777777" w:rsidR="001506C1" w:rsidRPr="00FA3F9C" w:rsidRDefault="001506C1" w:rsidP="00EA39ED">
            <w:pPr>
              <w:rPr>
                <w:rFonts w:ascii="Arial" w:hAnsi="Arial" w:cs="Arial"/>
                <w:sz w:val="24"/>
                <w:szCs w:val="24"/>
              </w:rPr>
            </w:pPr>
            <w:r w:rsidRPr="00FA3F9C">
              <w:rPr>
                <w:rFonts w:ascii="Arial" w:hAnsi="Arial" w:cs="Arial"/>
                <w:sz w:val="24"/>
                <w:szCs w:val="24"/>
              </w:rPr>
              <w:t>If above criteria met, approve x 1 year</w:t>
            </w:r>
          </w:p>
          <w:p w14:paraId="3C0D855E" w14:textId="77777777" w:rsidR="001506C1" w:rsidRPr="00FA3F9C" w:rsidRDefault="001506C1" w:rsidP="00EA39ED">
            <w:pPr>
              <w:rPr>
                <w:rFonts w:ascii="Arial" w:hAnsi="Arial" w:cs="Arial"/>
                <w:sz w:val="24"/>
                <w:szCs w:val="24"/>
              </w:rPr>
            </w:pPr>
            <w:r w:rsidRPr="00FA3F9C">
              <w:rPr>
                <w:rFonts w:ascii="Arial" w:hAnsi="Arial" w:cs="Arial"/>
                <w:sz w:val="24"/>
                <w:szCs w:val="24"/>
              </w:rPr>
              <w:t xml:space="preserve">QL: </w:t>
            </w:r>
            <w:proofErr w:type="gramStart"/>
            <w:r w:rsidRPr="00FA3F9C">
              <w:rPr>
                <w:rFonts w:ascii="Arial" w:hAnsi="Arial" w:cs="Arial"/>
                <w:sz w:val="24"/>
                <w:szCs w:val="24"/>
              </w:rPr>
              <w:t>30 day</w:t>
            </w:r>
            <w:proofErr w:type="gramEnd"/>
            <w:r w:rsidRPr="00FA3F9C">
              <w:rPr>
                <w:rFonts w:ascii="Arial" w:hAnsi="Arial" w:cs="Arial"/>
                <w:sz w:val="24"/>
                <w:szCs w:val="24"/>
              </w:rPr>
              <w:t xml:space="preserve"> supply.</w:t>
            </w:r>
          </w:p>
        </w:tc>
      </w:tr>
      <w:tr w:rsidR="001506C1" w:rsidRPr="00FA3F9C" w14:paraId="1741BC66" w14:textId="77777777" w:rsidTr="00105B3F">
        <w:tc>
          <w:tcPr>
            <w:tcW w:w="10170" w:type="dxa"/>
            <w:tcBorders>
              <w:bottom w:val="single" w:sz="4" w:space="0" w:color="auto"/>
            </w:tcBorders>
            <w:shd w:val="clear" w:color="auto" w:fill="D9D9D9"/>
          </w:tcPr>
          <w:p w14:paraId="51916C94" w14:textId="77777777" w:rsidR="001506C1" w:rsidRPr="00FA3F9C" w:rsidRDefault="001506C1" w:rsidP="00EA39ED">
            <w:pPr>
              <w:rPr>
                <w:rFonts w:ascii="Arial" w:hAnsi="Arial" w:cs="Arial"/>
                <w:sz w:val="24"/>
                <w:szCs w:val="24"/>
              </w:rPr>
            </w:pPr>
            <w:r w:rsidRPr="00FA3F9C">
              <w:rPr>
                <w:rFonts w:ascii="Arial" w:hAnsi="Arial" w:cs="Arial"/>
                <w:sz w:val="24"/>
                <w:szCs w:val="24"/>
              </w:rPr>
              <w:t>Notes:</w:t>
            </w:r>
          </w:p>
          <w:p w14:paraId="52FF57FC" w14:textId="77777777" w:rsidR="001506C1" w:rsidRPr="00FA3F9C" w:rsidRDefault="001506C1" w:rsidP="00EA39ED">
            <w:pPr>
              <w:rPr>
                <w:rFonts w:ascii="Arial" w:hAnsi="Arial" w:cs="Arial"/>
                <w:sz w:val="24"/>
                <w:szCs w:val="24"/>
              </w:rPr>
            </w:pPr>
            <w:r w:rsidRPr="00FA3F9C">
              <w:rPr>
                <w:rFonts w:ascii="Arial" w:hAnsi="Arial" w:cs="Arial"/>
                <w:sz w:val="24"/>
                <w:szCs w:val="24"/>
              </w:rPr>
              <w:t>Dose: 10 mg/kg once daily. Round dose to the nearest whole tablet.</w:t>
            </w:r>
          </w:p>
          <w:p w14:paraId="28DF3FCE" w14:textId="77777777" w:rsidR="001506C1" w:rsidRPr="00FA3F9C" w:rsidRDefault="001506C1" w:rsidP="00EA39ED">
            <w:pPr>
              <w:rPr>
                <w:rFonts w:ascii="Arial" w:hAnsi="Arial" w:cs="Arial"/>
                <w:sz w:val="24"/>
                <w:szCs w:val="24"/>
              </w:rPr>
            </w:pPr>
          </w:p>
          <w:p w14:paraId="179F92D6" w14:textId="77777777" w:rsidR="001506C1" w:rsidRPr="00FA3F9C" w:rsidRDefault="001506C1" w:rsidP="00EA39ED">
            <w:pPr>
              <w:rPr>
                <w:rFonts w:ascii="Arial" w:hAnsi="Arial" w:cs="Arial"/>
                <w:sz w:val="24"/>
                <w:szCs w:val="24"/>
              </w:rPr>
            </w:pPr>
            <w:r w:rsidRPr="00FA3F9C">
              <w:rPr>
                <w:rFonts w:ascii="Arial" w:hAnsi="Arial" w:cs="Arial"/>
                <w:sz w:val="24"/>
                <w:szCs w:val="24"/>
              </w:rPr>
              <w:t>Criteria 5-9 relate to contraindications listed in the package insert.</w:t>
            </w:r>
          </w:p>
          <w:p w14:paraId="5FD0DCC7" w14:textId="77777777" w:rsidR="001506C1" w:rsidRPr="00FA3F9C" w:rsidRDefault="001506C1" w:rsidP="00EA39ED">
            <w:pPr>
              <w:rPr>
                <w:rFonts w:ascii="Arial" w:hAnsi="Arial" w:cs="Arial"/>
                <w:sz w:val="24"/>
                <w:szCs w:val="24"/>
              </w:rPr>
            </w:pPr>
          </w:p>
          <w:p w14:paraId="6AB2B19B" w14:textId="77777777" w:rsidR="001506C1" w:rsidRPr="00FA3F9C" w:rsidRDefault="001506C1" w:rsidP="00EA39ED">
            <w:pPr>
              <w:rPr>
                <w:rFonts w:ascii="Arial" w:hAnsi="Arial" w:cs="Arial"/>
                <w:sz w:val="24"/>
                <w:szCs w:val="24"/>
              </w:rPr>
            </w:pPr>
            <w:r w:rsidRPr="00FA3F9C">
              <w:rPr>
                <w:rFonts w:ascii="Arial" w:hAnsi="Arial" w:cs="Arial"/>
                <w:sz w:val="24"/>
                <w:szCs w:val="24"/>
              </w:rPr>
              <w:t xml:space="preserve">Reference:  </w:t>
            </w:r>
          </w:p>
          <w:p w14:paraId="6454760D" w14:textId="77777777" w:rsidR="001506C1" w:rsidRPr="00FA3F9C" w:rsidRDefault="001506C1" w:rsidP="00EA39ED">
            <w:pPr>
              <w:rPr>
                <w:rFonts w:ascii="Arial" w:hAnsi="Arial" w:cs="Arial"/>
                <w:sz w:val="24"/>
                <w:szCs w:val="24"/>
              </w:rPr>
            </w:pPr>
            <w:r w:rsidRPr="00FA3F9C">
              <w:rPr>
                <w:rFonts w:ascii="Arial" w:hAnsi="Arial" w:cs="Arial"/>
                <w:sz w:val="24"/>
                <w:szCs w:val="24"/>
              </w:rPr>
              <w:t xml:space="preserve">Product Package Insert, </w:t>
            </w:r>
            <w:proofErr w:type="spellStart"/>
            <w:r w:rsidRPr="00FA3F9C">
              <w:rPr>
                <w:rFonts w:ascii="Arial" w:hAnsi="Arial" w:cs="Arial"/>
                <w:sz w:val="24"/>
                <w:szCs w:val="24"/>
              </w:rPr>
              <w:t>Exjade</w:t>
            </w:r>
            <w:proofErr w:type="spellEnd"/>
            <w:r w:rsidRPr="00FA3F9C">
              <w:rPr>
                <w:rFonts w:ascii="Arial" w:hAnsi="Arial" w:cs="Arial"/>
                <w:sz w:val="24"/>
                <w:szCs w:val="24"/>
              </w:rPr>
              <w:t xml:space="preserve"> (</w:t>
            </w:r>
            <w:proofErr w:type="spellStart"/>
            <w:r w:rsidRPr="00FA3F9C">
              <w:rPr>
                <w:rFonts w:ascii="Arial" w:hAnsi="Arial" w:cs="Arial"/>
                <w:sz w:val="24"/>
                <w:szCs w:val="24"/>
              </w:rPr>
              <w:t>deferasirox</w:t>
            </w:r>
            <w:proofErr w:type="spellEnd"/>
            <w:r w:rsidRPr="00FA3F9C">
              <w:rPr>
                <w:rFonts w:ascii="Arial" w:hAnsi="Arial" w:cs="Arial"/>
                <w:sz w:val="24"/>
                <w:szCs w:val="24"/>
              </w:rPr>
              <w:t xml:space="preserve">). Novartis. May 2019. </w:t>
            </w:r>
            <w:hyperlink r:id="rId115" w:history="1">
              <w:r w:rsidRPr="00FA3F9C">
                <w:rPr>
                  <w:rStyle w:val="Hyperlink"/>
                  <w:rFonts w:ascii="Arial" w:hAnsi="Arial" w:cs="Arial"/>
                  <w:sz w:val="24"/>
                  <w:szCs w:val="24"/>
                </w:rPr>
                <w:t>https://www.pharma.us.novartis.com/sites/www.pharma.us.novartis.com/files/exjade.pdf</w:t>
              </w:r>
            </w:hyperlink>
          </w:p>
        </w:tc>
      </w:tr>
    </w:tbl>
    <w:p w14:paraId="4FE54934" w14:textId="77777777" w:rsidR="001506C1" w:rsidRPr="00FA3F9C" w:rsidRDefault="001506C1" w:rsidP="002A23A6">
      <w:pPr>
        <w:rPr>
          <w:rFonts w:ascii="Arial" w:hAnsi="Arial" w:cs="Arial"/>
          <w:sz w:val="24"/>
          <w:szCs w:val="24"/>
        </w:rPr>
      </w:pPr>
    </w:p>
    <w:p w14:paraId="2A3639EA" w14:textId="77777777" w:rsidR="001506C1" w:rsidRPr="00FA3F9C" w:rsidRDefault="001506C1" w:rsidP="002A23A6">
      <w:pPr>
        <w:rPr>
          <w:rFonts w:ascii="Arial" w:hAnsi="Arial" w:cs="Arial"/>
          <w:sz w:val="24"/>
          <w:szCs w:val="24"/>
        </w:rPr>
      </w:pPr>
    </w:p>
    <w:p w14:paraId="7D58A0AB" w14:textId="77777777" w:rsidR="001506C1" w:rsidRPr="00FA3F9C" w:rsidRDefault="001506C1" w:rsidP="002A23A6">
      <w:pPr>
        <w:rPr>
          <w:rFonts w:ascii="Arial" w:hAnsi="Arial" w:cs="Arial"/>
          <w:sz w:val="24"/>
          <w:szCs w:val="24"/>
        </w:rPr>
      </w:pPr>
    </w:p>
    <w:p w14:paraId="4C18B815" w14:textId="77777777" w:rsidR="001506C1" w:rsidRPr="00FA3F9C" w:rsidRDefault="001506C1" w:rsidP="002A23A6">
      <w:pPr>
        <w:rPr>
          <w:rFonts w:ascii="Arial" w:hAnsi="Arial" w:cs="Arial"/>
          <w:sz w:val="24"/>
          <w:szCs w:val="24"/>
        </w:rPr>
      </w:pPr>
      <w:r w:rsidRPr="00FA3F9C">
        <w:rPr>
          <w:rFonts w:ascii="Arial" w:hAnsi="Arial" w:cs="Arial"/>
          <w:sz w:val="24"/>
          <w:szCs w:val="24"/>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7110"/>
        <w:gridCol w:w="2088"/>
      </w:tblGrid>
      <w:tr w:rsidR="001506C1" w:rsidRPr="00FA3F9C" w14:paraId="5BFA7D12" w14:textId="77777777" w:rsidTr="0048277D">
        <w:tc>
          <w:tcPr>
            <w:tcW w:w="1098" w:type="dxa"/>
          </w:tcPr>
          <w:p w14:paraId="6B5AD01F" w14:textId="77777777" w:rsidR="001506C1" w:rsidRPr="00FA3F9C" w:rsidRDefault="001506C1" w:rsidP="002A23A6">
            <w:pPr>
              <w:rPr>
                <w:rFonts w:ascii="Arial" w:hAnsi="Arial" w:cs="Arial"/>
                <w:sz w:val="24"/>
                <w:szCs w:val="24"/>
              </w:rPr>
            </w:pPr>
            <w:r w:rsidRPr="00FA3F9C">
              <w:rPr>
                <w:rFonts w:ascii="Arial" w:hAnsi="Arial" w:cs="Arial"/>
                <w:sz w:val="24"/>
                <w:szCs w:val="24"/>
              </w:rPr>
              <w:t>Date</w:t>
            </w:r>
          </w:p>
        </w:tc>
        <w:tc>
          <w:tcPr>
            <w:tcW w:w="7110" w:type="dxa"/>
          </w:tcPr>
          <w:p w14:paraId="15EF34F1" w14:textId="77777777" w:rsidR="001506C1" w:rsidRPr="00FA3F9C" w:rsidRDefault="001506C1" w:rsidP="002A23A6">
            <w:pPr>
              <w:rPr>
                <w:rFonts w:ascii="Arial" w:hAnsi="Arial" w:cs="Arial"/>
                <w:sz w:val="24"/>
                <w:szCs w:val="24"/>
              </w:rPr>
            </w:pPr>
            <w:r w:rsidRPr="00FA3F9C">
              <w:rPr>
                <w:rFonts w:ascii="Arial" w:hAnsi="Arial" w:cs="Arial"/>
                <w:sz w:val="24"/>
                <w:szCs w:val="24"/>
              </w:rPr>
              <w:t>What changed?</w:t>
            </w:r>
          </w:p>
        </w:tc>
        <w:tc>
          <w:tcPr>
            <w:tcW w:w="2088" w:type="dxa"/>
          </w:tcPr>
          <w:p w14:paraId="14CEC8D0" w14:textId="77777777" w:rsidR="001506C1" w:rsidRPr="00FA3F9C" w:rsidRDefault="001506C1" w:rsidP="002A23A6">
            <w:pPr>
              <w:rPr>
                <w:rFonts w:ascii="Arial" w:hAnsi="Arial" w:cs="Arial"/>
                <w:sz w:val="24"/>
                <w:szCs w:val="24"/>
              </w:rPr>
            </w:pPr>
            <w:r w:rsidRPr="00FA3F9C">
              <w:rPr>
                <w:rFonts w:ascii="Arial" w:hAnsi="Arial" w:cs="Arial"/>
                <w:sz w:val="24"/>
                <w:szCs w:val="24"/>
              </w:rPr>
              <w:t>Pharmacist’s initials</w:t>
            </w:r>
          </w:p>
        </w:tc>
      </w:tr>
      <w:tr w:rsidR="001506C1" w:rsidRPr="00FA3F9C" w14:paraId="68E1AFC9" w14:textId="77777777" w:rsidTr="0048277D">
        <w:tc>
          <w:tcPr>
            <w:tcW w:w="1098" w:type="dxa"/>
          </w:tcPr>
          <w:p w14:paraId="339D0D82" w14:textId="77777777" w:rsidR="001506C1" w:rsidRPr="00FA3F9C" w:rsidRDefault="001506C1" w:rsidP="002A23A6">
            <w:pPr>
              <w:rPr>
                <w:rFonts w:ascii="Arial" w:hAnsi="Arial" w:cs="Arial"/>
                <w:sz w:val="24"/>
                <w:szCs w:val="24"/>
              </w:rPr>
            </w:pPr>
            <w:r w:rsidRPr="00FA3F9C">
              <w:rPr>
                <w:rFonts w:ascii="Arial" w:hAnsi="Arial" w:cs="Arial"/>
                <w:sz w:val="24"/>
                <w:szCs w:val="24"/>
              </w:rPr>
              <w:t>3/5/08</w:t>
            </w:r>
          </w:p>
        </w:tc>
        <w:tc>
          <w:tcPr>
            <w:tcW w:w="7110" w:type="dxa"/>
          </w:tcPr>
          <w:p w14:paraId="2B1BF245" w14:textId="77777777" w:rsidR="001506C1" w:rsidRPr="00FA3F9C" w:rsidRDefault="001506C1" w:rsidP="002A23A6">
            <w:pPr>
              <w:rPr>
                <w:rFonts w:ascii="Arial" w:hAnsi="Arial" w:cs="Arial"/>
                <w:sz w:val="24"/>
                <w:szCs w:val="24"/>
              </w:rPr>
            </w:pPr>
            <w:r w:rsidRPr="00FA3F9C">
              <w:rPr>
                <w:rFonts w:ascii="Arial" w:hAnsi="Arial" w:cs="Arial"/>
                <w:sz w:val="24"/>
                <w:szCs w:val="24"/>
              </w:rPr>
              <w:t xml:space="preserve">Criteria created;  S. </w:t>
            </w:r>
            <w:proofErr w:type="spellStart"/>
            <w:r w:rsidRPr="00FA3F9C">
              <w:rPr>
                <w:rFonts w:ascii="Arial" w:hAnsi="Arial" w:cs="Arial"/>
                <w:sz w:val="24"/>
                <w:szCs w:val="24"/>
              </w:rPr>
              <w:t>Saccente</w:t>
            </w:r>
            <w:proofErr w:type="spellEnd"/>
            <w:r w:rsidRPr="00FA3F9C">
              <w:rPr>
                <w:rFonts w:ascii="Arial" w:hAnsi="Arial" w:cs="Arial"/>
                <w:sz w:val="24"/>
                <w:szCs w:val="24"/>
              </w:rPr>
              <w:t xml:space="preserve"> was consulted.</w:t>
            </w:r>
          </w:p>
        </w:tc>
        <w:tc>
          <w:tcPr>
            <w:tcW w:w="2088" w:type="dxa"/>
          </w:tcPr>
          <w:p w14:paraId="6A2A03D3" w14:textId="77777777" w:rsidR="001506C1" w:rsidRPr="00FA3F9C" w:rsidRDefault="001506C1" w:rsidP="002A23A6">
            <w:pPr>
              <w:rPr>
                <w:rFonts w:ascii="Arial" w:hAnsi="Arial" w:cs="Arial"/>
                <w:sz w:val="24"/>
                <w:szCs w:val="24"/>
              </w:rPr>
            </w:pPr>
            <w:r w:rsidRPr="00FA3F9C">
              <w:rPr>
                <w:rFonts w:ascii="Arial" w:hAnsi="Arial" w:cs="Arial"/>
                <w:sz w:val="24"/>
                <w:szCs w:val="24"/>
              </w:rPr>
              <w:t>JJ/SV</w:t>
            </w:r>
          </w:p>
        </w:tc>
      </w:tr>
      <w:tr w:rsidR="001506C1" w:rsidRPr="00FA3F9C" w14:paraId="28C0BE9B" w14:textId="77777777" w:rsidTr="0048277D">
        <w:tc>
          <w:tcPr>
            <w:tcW w:w="1098" w:type="dxa"/>
          </w:tcPr>
          <w:p w14:paraId="35218EB5" w14:textId="77777777" w:rsidR="001506C1" w:rsidRPr="00FA3F9C" w:rsidRDefault="001506C1" w:rsidP="002A23A6">
            <w:pPr>
              <w:rPr>
                <w:rFonts w:ascii="Arial" w:hAnsi="Arial" w:cs="Arial"/>
                <w:sz w:val="24"/>
                <w:szCs w:val="24"/>
              </w:rPr>
            </w:pPr>
            <w:r w:rsidRPr="00FA3F9C">
              <w:rPr>
                <w:rFonts w:ascii="Arial" w:hAnsi="Arial" w:cs="Arial"/>
                <w:sz w:val="24"/>
                <w:szCs w:val="24"/>
              </w:rPr>
              <w:t>5/11/12</w:t>
            </w:r>
          </w:p>
        </w:tc>
        <w:tc>
          <w:tcPr>
            <w:tcW w:w="7110" w:type="dxa"/>
          </w:tcPr>
          <w:p w14:paraId="636C83AD" w14:textId="77777777" w:rsidR="001506C1" w:rsidRPr="00FA3F9C" w:rsidRDefault="001506C1" w:rsidP="002A23A6">
            <w:pPr>
              <w:rPr>
                <w:rFonts w:ascii="Arial" w:hAnsi="Arial" w:cs="Arial"/>
                <w:sz w:val="24"/>
                <w:szCs w:val="24"/>
              </w:rPr>
            </w:pPr>
            <w:r w:rsidRPr="00FA3F9C">
              <w:rPr>
                <w:rFonts w:ascii="Arial" w:hAnsi="Arial" w:cs="Arial"/>
                <w:sz w:val="24"/>
                <w:szCs w:val="24"/>
              </w:rPr>
              <w:t>Revision history table inserted</w:t>
            </w:r>
          </w:p>
        </w:tc>
        <w:tc>
          <w:tcPr>
            <w:tcW w:w="2088" w:type="dxa"/>
          </w:tcPr>
          <w:p w14:paraId="55048074" w14:textId="77777777" w:rsidR="001506C1" w:rsidRPr="00FA3F9C" w:rsidRDefault="001506C1" w:rsidP="002A23A6">
            <w:pPr>
              <w:rPr>
                <w:rFonts w:ascii="Arial" w:hAnsi="Arial" w:cs="Arial"/>
                <w:sz w:val="24"/>
                <w:szCs w:val="24"/>
              </w:rPr>
            </w:pPr>
            <w:r w:rsidRPr="00FA3F9C">
              <w:rPr>
                <w:rFonts w:ascii="Arial" w:hAnsi="Arial" w:cs="Arial"/>
                <w:sz w:val="24"/>
                <w:szCs w:val="24"/>
              </w:rPr>
              <w:t>JJ</w:t>
            </w:r>
          </w:p>
        </w:tc>
      </w:tr>
      <w:tr w:rsidR="001506C1" w:rsidRPr="00FA3F9C" w14:paraId="5E2D3587" w14:textId="77777777" w:rsidTr="0048277D">
        <w:tc>
          <w:tcPr>
            <w:tcW w:w="1098" w:type="dxa"/>
          </w:tcPr>
          <w:p w14:paraId="055CF955" w14:textId="77777777" w:rsidR="001506C1" w:rsidRPr="00FA3F9C" w:rsidRDefault="001506C1" w:rsidP="002A23A6">
            <w:pPr>
              <w:rPr>
                <w:rFonts w:ascii="Arial" w:hAnsi="Arial" w:cs="Arial"/>
                <w:sz w:val="24"/>
                <w:szCs w:val="24"/>
              </w:rPr>
            </w:pPr>
            <w:r w:rsidRPr="00FA3F9C">
              <w:rPr>
                <w:rFonts w:ascii="Arial" w:hAnsi="Arial" w:cs="Arial"/>
                <w:sz w:val="24"/>
                <w:szCs w:val="24"/>
              </w:rPr>
              <w:t>6/25/15</w:t>
            </w:r>
          </w:p>
        </w:tc>
        <w:tc>
          <w:tcPr>
            <w:tcW w:w="7110" w:type="dxa"/>
          </w:tcPr>
          <w:p w14:paraId="5AD5EE1F" w14:textId="77777777" w:rsidR="001506C1" w:rsidRPr="00FA3F9C" w:rsidRDefault="001506C1" w:rsidP="002A23A6">
            <w:pPr>
              <w:rPr>
                <w:rFonts w:ascii="Arial" w:hAnsi="Arial" w:cs="Arial"/>
                <w:sz w:val="24"/>
                <w:szCs w:val="24"/>
              </w:rPr>
            </w:pPr>
            <w:r w:rsidRPr="00FA3F9C">
              <w:rPr>
                <w:rFonts w:ascii="Arial" w:hAnsi="Arial" w:cs="Arial"/>
                <w:sz w:val="24"/>
                <w:szCs w:val="24"/>
              </w:rPr>
              <w:t xml:space="preserve">I added </w:t>
            </w:r>
            <w:proofErr w:type="spellStart"/>
            <w:r w:rsidRPr="00FA3F9C">
              <w:rPr>
                <w:rFonts w:ascii="Arial" w:hAnsi="Arial" w:cs="Arial"/>
                <w:sz w:val="24"/>
                <w:szCs w:val="24"/>
              </w:rPr>
              <w:t>Jadenu</w:t>
            </w:r>
            <w:proofErr w:type="spellEnd"/>
            <w:r w:rsidRPr="00FA3F9C">
              <w:rPr>
                <w:rFonts w:ascii="Arial" w:hAnsi="Arial" w:cs="Arial"/>
                <w:sz w:val="24"/>
                <w:szCs w:val="24"/>
              </w:rPr>
              <w:t xml:space="preserve"> to this pa</w:t>
            </w:r>
          </w:p>
        </w:tc>
        <w:tc>
          <w:tcPr>
            <w:tcW w:w="2088" w:type="dxa"/>
          </w:tcPr>
          <w:p w14:paraId="5C1CF699" w14:textId="77777777" w:rsidR="001506C1" w:rsidRPr="00FA3F9C" w:rsidRDefault="001506C1" w:rsidP="002A23A6">
            <w:pPr>
              <w:rPr>
                <w:rFonts w:ascii="Arial" w:hAnsi="Arial" w:cs="Arial"/>
                <w:sz w:val="24"/>
                <w:szCs w:val="24"/>
              </w:rPr>
            </w:pPr>
            <w:r w:rsidRPr="00FA3F9C">
              <w:rPr>
                <w:rFonts w:ascii="Arial" w:hAnsi="Arial" w:cs="Arial"/>
                <w:sz w:val="24"/>
                <w:szCs w:val="24"/>
              </w:rPr>
              <w:t>JJ</w:t>
            </w:r>
          </w:p>
        </w:tc>
      </w:tr>
      <w:tr w:rsidR="001506C1" w:rsidRPr="00FA3F9C" w14:paraId="41D33034" w14:textId="77777777" w:rsidTr="0048277D">
        <w:tc>
          <w:tcPr>
            <w:tcW w:w="1098" w:type="dxa"/>
          </w:tcPr>
          <w:p w14:paraId="076B761B" w14:textId="77777777" w:rsidR="001506C1" w:rsidRPr="00FA3F9C" w:rsidRDefault="001506C1" w:rsidP="002A23A6">
            <w:pPr>
              <w:rPr>
                <w:rFonts w:ascii="Arial" w:hAnsi="Arial" w:cs="Arial"/>
                <w:sz w:val="24"/>
                <w:szCs w:val="24"/>
              </w:rPr>
            </w:pPr>
            <w:r w:rsidRPr="00FA3F9C">
              <w:rPr>
                <w:rFonts w:ascii="Arial" w:hAnsi="Arial" w:cs="Arial"/>
                <w:sz w:val="24"/>
                <w:szCs w:val="24"/>
              </w:rPr>
              <w:t>6/17/19</w:t>
            </w:r>
          </w:p>
        </w:tc>
        <w:tc>
          <w:tcPr>
            <w:tcW w:w="7110" w:type="dxa"/>
          </w:tcPr>
          <w:p w14:paraId="409E992A" w14:textId="77777777" w:rsidR="001506C1" w:rsidRPr="00FA3F9C" w:rsidRDefault="001506C1" w:rsidP="002A23A6">
            <w:pPr>
              <w:rPr>
                <w:rFonts w:ascii="Arial" w:hAnsi="Arial" w:cs="Arial"/>
                <w:sz w:val="24"/>
                <w:szCs w:val="24"/>
              </w:rPr>
            </w:pPr>
            <w:r w:rsidRPr="00FA3F9C">
              <w:rPr>
                <w:rFonts w:ascii="Arial" w:hAnsi="Arial" w:cs="Arial"/>
                <w:sz w:val="24"/>
                <w:szCs w:val="24"/>
              </w:rPr>
              <w:t xml:space="preserve">Criteria reviewed. Added criteria for NTDT. EBRx will exclude </w:t>
            </w:r>
            <w:proofErr w:type="spellStart"/>
            <w:r w:rsidRPr="00FA3F9C">
              <w:rPr>
                <w:rFonts w:ascii="Arial" w:hAnsi="Arial" w:cs="Arial"/>
                <w:sz w:val="24"/>
                <w:szCs w:val="24"/>
              </w:rPr>
              <w:t>Jadenu</w:t>
            </w:r>
            <w:proofErr w:type="spellEnd"/>
            <w:r w:rsidRPr="00FA3F9C">
              <w:rPr>
                <w:rFonts w:ascii="Arial" w:hAnsi="Arial" w:cs="Arial"/>
                <w:sz w:val="24"/>
                <w:szCs w:val="24"/>
              </w:rPr>
              <w:t xml:space="preserve"> and </w:t>
            </w:r>
            <w:proofErr w:type="spellStart"/>
            <w:r w:rsidRPr="00FA3F9C">
              <w:rPr>
                <w:rFonts w:ascii="Arial" w:hAnsi="Arial" w:cs="Arial"/>
                <w:sz w:val="24"/>
                <w:szCs w:val="24"/>
              </w:rPr>
              <w:t>Jadenu</w:t>
            </w:r>
            <w:proofErr w:type="spellEnd"/>
            <w:r w:rsidRPr="00FA3F9C">
              <w:rPr>
                <w:rFonts w:ascii="Arial" w:hAnsi="Arial" w:cs="Arial"/>
                <w:sz w:val="24"/>
                <w:szCs w:val="24"/>
              </w:rPr>
              <w:t xml:space="preserve"> Sprinkle since </w:t>
            </w:r>
            <w:proofErr w:type="spellStart"/>
            <w:r w:rsidRPr="00FA3F9C">
              <w:rPr>
                <w:rFonts w:ascii="Arial" w:hAnsi="Arial" w:cs="Arial"/>
                <w:sz w:val="24"/>
                <w:szCs w:val="24"/>
              </w:rPr>
              <w:t>Exjade</w:t>
            </w:r>
            <w:proofErr w:type="spellEnd"/>
            <w:r w:rsidRPr="00FA3F9C">
              <w:rPr>
                <w:rFonts w:ascii="Arial" w:hAnsi="Arial" w:cs="Arial"/>
                <w:sz w:val="24"/>
                <w:szCs w:val="24"/>
              </w:rPr>
              <w:t xml:space="preserve"> is now generic and cheaper.</w:t>
            </w:r>
          </w:p>
        </w:tc>
        <w:tc>
          <w:tcPr>
            <w:tcW w:w="2088" w:type="dxa"/>
          </w:tcPr>
          <w:p w14:paraId="1F66B24E" w14:textId="77777777" w:rsidR="001506C1" w:rsidRPr="00FA3F9C" w:rsidRDefault="001506C1" w:rsidP="002A23A6">
            <w:pPr>
              <w:rPr>
                <w:rFonts w:ascii="Arial" w:hAnsi="Arial" w:cs="Arial"/>
                <w:sz w:val="24"/>
                <w:szCs w:val="24"/>
              </w:rPr>
            </w:pPr>
            <w:r w:rsidRPr="00FA3F9C">
              <w:rPr>
                <w:rFonts w:ascii="Arial" w:hAnsi="Arial" w:cs="Arial"/>
                <w:sz w:val="24"/>
                <w:szCs w:val="24"/>
              </w:rPr>
              <w:t>SK</w:t>
            </w:r>
          </w:p>
        </w:tc>
      </w:tr>
      <w:tr w:rsidR="001506C1" w:rsidRPr="00FA3F9C" w14:paraId="4C936BF4" w14:textId="77777777" w:rsidTr="0048277D">
        <w:tc>
          <w:tcPr>
            <w:tcW w:w="1098" w:type="dxa"/>
          </w:tcPr>
          <w:p w14:paraId="5DED1ADF" w14:textId="77777777" w:rsidR="001506C1" w:rsidRPr="00FA3F9C" w:rsidRDefault="001506C1" w:rsidP="002A23A6">
            <w:pPr>
              <w:rPr>
                <w:rFonts w:ascii="Arial" w:hAnsi="Arial" w:cs="Arial"/>
                <w:sz w:val="24"/>
                <w:szCs w:val="24"/>
              </w:rPr>
            </w:pPr>
            <w:r w:rsidRPr="00FA3F9C">
              <w:rPr>
                <w:rFonts w:ascii="Arial" w:hAnsi="Arial" w:cs="Arial"/>
                <w:sz w:val="24"/>
                <w:szCs w:val="24"/>
              </w:rPr>
              <w:t>6/15/2020</w:t>
            </w:r>
          </w:p>
        </w:tc>
        <w:tc>
          <w:tcPr>
            <w:tcW w:w="7110" w:type="dxa"/>
          </w:tcPr>
          <w:p w14:paraId="6C2CD100" w14:textId="77777777" w:rsidR="001506C1" w:rsidRPr="00FA3F9C" w:rsidRDefault="001506C1" w:rsidP="002A23A6">
            <w:pPr>
              <w:rPr>
                <w:rFonts w:ascii="Arial" w:hAnsi="Arial" w:cs="Arial"/>
                <w:sz w:val="24"/>
                <w:szCs w:val="24"/>
              </w:rPr>
            </w:pPr>
            <w:r w:rsidRPr="00FA3F9C">
              <w:rPr>
                <w:rFonts w:ascii="Arial" w:hAnsi="Arial" w:cs="Arial"/>
                <w:sz w:val="24"/>
                <w:szCs w:val="24"/>
              </w:rPr>
              <w:t>Criteria reviewed. No change</w:t>
            </w:r>
          </w:p>
        </w:tc>
        <w:tc>
          <w:tcPr>
            <w:tcW w:w="2088" w:type="dxa"/>
          </w:tcPr>
          <w:p w14:paraId="0E5ACDBC" w14:textId="77777777" w:rsidR="001506C1" w:rsidRPr="00FA3F9C" w:rsidRDefault="001506C1" w:rsidP="002A23A6">
            <w:pPr>
              <w:rPr>
                <w:rFonts w:ascii="Arial" w:hAnsi="Arial" w:cs="Arial"/>
                <w:sz w:val="24"/>
                <w:szCs w:val="24"/>
              </w:rPr>
            </w:pPr>
            <w:r w:rsidRPr="00FA3F9C">
              <w:rPr>
                <w:rFonts w:ascii="Arial" w:hAnsi="Arial" w:cs="Arial"/>
                <w:sz w:val="24"/>
                <w:szCs w:val="24"/>
              </w:rPr>
              <w:t>SK</w:t>
            </w:r>
          </w:p>
        </w:tc>
      </w:tr>
      <w:tr w:rsidR="001506C1" w:rsidRPr="00FA3F9C" w14:paraId="19EED0D0" w14:textId="77777777" w:rsidTr="0048277D">
        <w:tc>
          <w:tcPr>
            <w:tcW w:w="1098" w:type="dxa"/>
          </w:tcPr>
          <w:p w14:paraId="4EA1547E" w14:textId="77777777" w:rsidR="001506C1" w:rsidRPr="00FA3F9C" w:rsidRDefault="001506C1" w:rsidP="002A23A6">
            <w:pPr>
              <w:rPr>
                <w:rFonts w:ascii="Arial" w:hAnsi="Arial" w:cs="Arial"/>
                <w:sz w:val="24"/>
                <w:szCs w:val="24"/>
              </w:rPr>
            </w:pPr>
            <w:r w:rsidRPr="00FA3F9C">
              <w:rPr>
                <w:rFonts w:ascii="Arial" w:hAnsi="Arial" w:cs="Arial"/>
                <w:sz w:val="24"/>
                <w:szCs w:val="24"/>
              </w:rPr>
              <w:t>4/1/2021</w:t>
            </w:r>
          </w:p>
        </w:tc>
        <w:tc>
          <w:tcPr>
            <w:tcW w:w="7110" w:type="dxa"/>
          </w:tcPr>
          <w:p w14:paraId="1E335259" w14:textId="77777777" w:rsidR="001506C1" w:rsidRPr="00FA3F9C" w:rsidRDefault="001506C1" w:rsidP="002A23A6">
            <w:pPr>
              <w:rPr>
                <w:rFonts w:ascii="Arial" w:hAnsi="Arial" w:cs="Arial"/>
                <w:sz w:val="24"/>
                <w:szCs w:val="24"/>
              </w:rPr>
            </w:pPr>
            <w:r w:rsidRPr="00FA3F9C">
              <w:rPr>
                <w:rFonts w:ascii="Arial" w:hAnsi="Arial" w:cs="Arial"/>
                <w:sz w:val="24"/>
                <w:szCs w:val="24"/>
              </w:rPr>
              <w:t>Applied EBRx criteria to UAS Plan.</w:t>
            </w:r>
          </w:p>
        </w:tc>
        <w:tc>
          <w:tcPr>
            <w:tcW w:w="2088" w:type="dxa"/>
          </w:tcPr>
          <w:p w14:paraId="31EADB60" w14:textId="77777777" w:rsidR="001506C1" w:rsidRPr="00FA3F9C" w:rsidRDefault="001506C1" w:rsidP="002A23A6">
            <w:pPr>
              <w:rPr>
                <w:rFonts w:ascii="Arial" w:hAnsi="Arial" w:cs="Arial"/>
                <w:sz w:val="24"/>
                <w:szCs w:val="24"/>
              </w:rPr>
            </w:pPr>
            <w:r w:rsidRPr="00FA3F9C">
              <w:rPr>
                <w:rFonts w:ascii="Arial" w:hAnsi="Arial" w:cs="Arial"/>
                <w:sz w:val="24"/>
                <w:szCs w:val="24"/>
              </w:rPr>
              <w:t>JJ</w:t>
            </w:r>
          </w:p>
        </w:tc>
      </w:tr>
      <w:tr w:rsidR="001506C1" w:rsidRPr="00FA3F9C" w14:paraId="1D5B5511" w14:textId="77777777" w:rsidTr="0048277D">
        <w:tc>
          <w:tcPr>
            <w:tcW w:w="1098" w:type="dxa"/>
          </w:tcPr>
          <w:p w14:paraId="79CD745B" w14:textId="77777777" w:rsidR="001506C1" w:rsidRPr="00FA3F9C" w:rsidRDefault="001506C1" w:rsidP="002A23A6">
            <w:pPr>
              <w:rPr>
                <w:rFonts w:ascii="Arial" w:hAnsi="Arial" w:cs="Arial"/>
                <w:sz w:val="24"/>
                <w:szCs w:val="24"/>
              </w:rPr>
            </w:pPr>
            <w:r w:rsidRPr="00FA3F9C">
              <w:rPr>
                <w:rFonts w:ascii="Arial" w:hAnsi="Arial" w:cs="Arial"/>
                <w:sz w:val="24"/>
                <w:szCs w:val="24"/>
              </w:rPr>
              <w:t>8/31/2021</w:t>
            </w:r>
          </w:p>
        </w:tc>
        <w:tc>
          <w:tcPr>
            <w:tcW w:w="7110" w:type="dxa"/>
          </w:tcPr>
          <w:p w14:paraId="59F5BB1F" w14:textId="77777777" w:rsidR="001506C1" w:rsidRPr="00FA3F9C" w:rsidRDefault="001506C1" w:rsidP="002A23A6">
            <w:pPr>
              <w:rPr>
                <w:rFonts w:ascii="Arial" w:hAnsi="Arial" w:cs="Arial"/>
                <w:sz w:val="24"/>
                <w:szCs w:val="24"/>
              </w:rPr>
            </w:pPr>
            <w:r w:rsidRPr="00FA3F9C">
              <w:rPr>
                <w:rFonts w:ascii="Arial" w:hAnsi="Arial" w:cs="Arial"/>
                <w:sz w:val="24"/>
                <w:szCs w:val="24"/>
              </w:rPr>
              <w:t>Criteria reviewed. No change.</w:t>
            </w:r>
          </w:p>
        </w:tc>
        <w:tc>
          <w:tcPr>
            <w:tcW w:w="2088" w:type="dxa"/>
          </w:tcPr>
          <w:p w14:paraId="43187C0A" w14:textId="77777777" w:rsidR="001506C1" w:rsidRPr="00FA3F9C" w:rsidRDefault="001506C1" w:rsidP="002A23A6">
            <w:pPr>
              <w:rPr>
                <w:rFonts w:ascii="Arial" w:hAnsi="Arial" w:cs="Arial"/>
                <w:sz w:val="24"/>
                <w:szCs w:val="24"/>
              </w:rPr>
            </w:pPr>
            <w:r w:rsidRPr="00FA3F9C">
              <w:rPr>
                <w:rFonts w:ascii="Arial" w:hAnsi="Arial" w:cs="Arial"/>
                <w:sz w:val="24"/>
                <w:szCs w:val="24"/>
              </w:rPr>
              <w:t>SK</w:t>
            </w:r>
          </w:p>
        </w:tc>
      </w:tr>
    </w:tbl>
    <w:p w14:paraId="53DB20F3" w14:textId="77777777" w:rsidR="001506C1" w:rsidRPr="00FA3F9C" w:rsidRDefault="001506C1" w:rsidP="00B3332C">
      <w:pPr>
        <w:rPr>
          <w:rFonts w:ascii="Arial" w:hAnsi="Arial" w:cs="Arial"/>
          <w:sz w:val="24"/>
          <w:szCs w:val="24"/>
        </w:rPr>
      </w:pPr>
    </w:p>
    <w:p w14:paraId="6484045C" w14:textId="77777777" w:rsidR="001506C1" w:rsidRPr="00FA3F9C" w:rsidRDefault="001506C1" w:rsidP="003B40CD">
      <w:pPr>
        <w:pStyle w:val="Heading2"/>
      </w:pPr>
      <w:bookmarkStart w:id="69" w:name="_Toc106369765"/>
      <w:r w:rsidRPr="00FA3F9C">
        <w:t>Deferiprone (</w:t>
      </w:r>
      <w:proofErr w:type="spellStart"/>
      <w:r w:rsidRPr="00FA3F9C">
        <w:t>Ferriprox</w:t>
      </w:r>
      <w:proofErr w:type="spellEnd"/>
      <w:r w:rsidRPr="00FA3F9C">
        <w:t>)</w:t>
      </w:r>
      <w:bookmarkEnd w:id="69"/>
    </w:p>
    <w:p w14:paraId="37A824E6" w14:textId="77777777" w:rsidR="001506C1" w:rsidRPr="00FA3F9C" w:rsidRDefault="001506C1" w:rsidP="006F623F">
      <w:pPr>
        <w:spacing w:after="0"/>
        <w:jc w:val="center"/>
        <w:rPr>
          <w:rFonts w:ascii="Arial" w:hAnsi="Arial" w:cs="Arial"/>
          <w:sz w:val="24"/>
          <w:szCs w:val="24"/>
        </w:rPr>
      </w:pPr>
      <w:r w:rsidRPr="00FA3F9C">
        <w:rPr>
          <w:rFonts w:ascii="Arial" w:hAnsi="Arial" w:cs="Arial"/>
          <w:sz w:val="24"/>
          <w:szCs w:val="24"/>
        </w:rPr>
        <w:t>EBRx PA Criteria</w:t>
      </w:r>
    </w:p>
    <w:p w14:paraId="489C5F79" w14:textId="77777777" w:rsidR="001506C1" w:rsidRPr="00FA3F9C" w:rsidRDefault="001506C1" w:rsidP="006F623F">
      <w:pPr>
        <w:spacing w:after="0"/>
        <w:rPr>
          <w:rFonts w:ascii="Arial" w:hAnsi="Arial" w:cs="Arial"/>
          <w:b/>
          <w:sz w:val="24"/>
          <w:szCs w:val="24"/>
          <w:u w:val="single"/>
        </w:rPr>
      </w:pPr>
    </w:p>
    <w:p w14:paraId="32078F95" w14:textId="77777777" w:rsidR="001506C1" w:rsidRPr="00FA3F9C" w:rsidRDefault="001506C1"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treatment of </w:t>
      </w:r>
      <w:proofErr w:type="spellStart"/>
      <w:r w:rsidRPr="00FA3F9C">
        <w:rPr>
          <w:rFonts w:ascii="Arial" w:hAnsi="Arial" w:cs="Arial"/>
          <w:sz w:val="24"/>
          <w:szCs w:val="24"/>
        </w:rPr>
        <w:t>transfusional</w:t>
      </w:r>
      <w:proofErr w:type="spellEnd"/>
      <w:r w:rsidRPr="00FA3F9C">
        <w:rPr>
          <w:rFonts w:ascii="Arial" w:hAnsi="Arial" w:cs="Arial"/>
          <w:sz w:val="24"/>
          <w:szCs w:val="24"/>
        </w:rPr>
        <w:t xml:space="preserve"> iron overload due to thalassemia syndromes with inadequate response to other chelation therapy.</w:t>
      </w:r>
    </w:p>
    <w:tbl>
      <w:tblPr>
        <w:tblStyle w:val="TableGrid"/>
        <w:tblW w:w="0" w:type="auto"/>
        <w:tblLook w:val="04A0" w:firstRow="1" w:lastRow="0" w:firstColumn="1" w:lastColumn="0" w:noHBand="0" w:noVBand="1"/>
      </w:tblPr>
      <w:tblGrid>
        <w:gridCol w:w="8928"/>
        <w:gridCol w:w="2088"/>
      </w:tblGrid>
      <w:tr w:rsidR="001506C1" w:rsidRPr="00FA3F9C" w14:paraId="204C4302" w14:textId="77777777" w:rsidTr="00571CAB">
        <w:tc>
          <w:tcPr>
            <w:tcW w:w="8928" w:type="dxa"/>
            <w:shd w:val="clear" w:color="auto" w:fill="000000"/>
          </w:tcPr>
          <w:p w14:paraId="671C0CCF" w14:textId="77777777" w:rsidR="001506C1" w:rsidRPr="00FA3F9C" w:rsidRDefault="001506C1"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88" w:type="dxa"/>
            <w:shd w:val="clear" w:color="auto" w:fill="000000"/>
          </w:tcPr>
          <w:p w14:paraId="3A245E8E" w14:textId="77777777" w:rsidR="001506C1" w:rsidRPr="00FA3F9C" w:rsidRDefault="001506C1" w:rsidP="006F623F">
            <w:pPr>
              <w:jc w:val="center"/>
              <w:rPr>
                <w:rFonts w:ascii="Arial" w:hAnsi="Arial" w:cs="Arial"/>
                <w:b/>
                <w:sz w:val="24"/>
                <w:szCs w:val="24"/>
                <w:u w:val="single"/>
              </w:rPr>
            </w:pPr>
          </w:p>
        </w:tc>
      </w:tr>
      <w:tr w:rsidR="001506C1" w:rsidRPr="00FA3F9C" w14:paraId="038CB2E9" w14:textId="77777777" w:rsidTr="00F337AE">
        <w:tc>
          <w:tcPr>
            <w:tcW w:w="11016" w:type="dxa"/>
            <w:gridSpan w:val="2"/>
          </w:tcPr>
          <w:p w14:paraId="28B359E7" w14:textId="77777777" w:rsidR="001506C1" w:rsidRPr="00FA3F9C" w:rsidRDefault="001506C1" w:rsidP="006F623F">
            <w:pPr>
              <w:rPr>
                <w:rFonts w:ascii="Arial" w:hAnsi="Arial" w:cs="Arial"/>
                <w:sz w:val="24"/>
                <w:szCs w:val="24"/>
              </w:rPr>
            </w:pPr>
            <w:r w:rsidRPr="00FA3F9C">
              <w:rPr>
                <w:rFonts w:ascii="Arial" w:hAnsi="Arial" w:cs="Arial"/>
                <w:sz w:val="24"/>
                <w:szCs w:val="24"/>
              </w:rPr>
              <w:t xml:space="preserve">1. The patient must have the diagnosis of </w:t>
            </w:r>
            <w:proofErr w:type="spellStart"/>
            <w:r w:rsidRPr="00FA3F9C">
              <w:rPr>
                <w:rFonts w:ascii="Arial" w:hAnsi="Arial" w:cs="Arial"/>
                <w:sz w:val="24"/>
                <w:szCs w:val="24"/>
              </w:rPr>
              <w:t>transfusional</w:t>
            </w:r>
            <w:proofErr w:type="spellEnd"/>
            <w:r w:rsidRPr="00FA3F9C">
              <w:rPr>
                <w:rFonts w:ascii="Arial" w:hAnsi="Arial" w:cs="Arial"/>
                <w:sz w:val="24"/>
                <w:szCs w:val="24"/>
              </w:rPr>
              <w:t xml:space="preserve"> iron overload due to thalassemia (safety &amp; efficacy have not been established for the treatment of </w:t>
            </w:r>
            <w:proofErr w:type="spellStart"/>
            <w:r w:rsidRPr="00FA3F9C">
              <w:rPr>
                <w:rFonts w:ascii="Arial" w:hAnsi="Arial" w:cs="Arial"/>
                <w:sz w:val="24"/>
                <w:szCs w:val="24"/>
              </w:rPr>
              <w:t>transfusional</w:t>
            </w:r>
            <w:proofErr w:type="spellEnd"/>
            <w:r w:rsidRPr="00FA3F9C">
              <w:rPr>
                <w:rFonts w:ascii="Arial" w:hAnsi="Arial" w:cs="Arial"/>
                <w:sz w:val="24"/>
                <w:szCs w:val="24"/>
              </w:rPr>
              <w:t xml:space="preserve"> iron overload in patients with other chronic anemias).</w:t>
            </w:r>
          </w:p>
        </w:tc>
      </w:tr>
      <w:tr w:rsidR="001506C1" w:rsidRPr="00FA3F9C" w14:paraId="0465D6EB" w14:textId="77777777" w:rsidTr="00B1617E">
        <w:tc>
          <w:tcPr>
            <w:tcW w:w="11016" w:type="dxa"/>
            <w:gridSpan w:val="2"/>
          </w:tcPr>
          <w:p w14:paraId="47B84CC4" w14:textId="77777777" w:rsidR="001506C1" w:rsidRPr="00FA3F9C" w:rsidRDefault="001506C1" w:rsidP="006F623F">
            <w:pPr>
              <w:rPr>
                <w:rFonts w:ascii="Arial" w:hAnsi="Arial" w:cs="Arial"/>
                <w:sz w:val="24"/>
                <w:szCs w:val="24"/>
              </w:rPr>
            </w:pPr>
            <w:r w:rsidRPr="00FA3F9C">
              <w:rPr>
                <w:rFonts w:ascii="Arial" w:hAnsi="Arial" w:cs="Arial"/>
                <w:sz w:val="24"/>
                <w:szCs w:val="24"/>
              </w:rPr>
              <w:t>2. the patient must have failure of monotherapy (must have unsatisfactory reduction in serum ferritin with deferoxamine monotherapy) OR be intolerant to deferoxamine.</w:t>
            </w:r>
          </w:p>
        </w:tc>
      </w:tr>
      <w:tr w:rsidR="001506C1" w:rsidRPr="00FA3F9C" w14:paraId="672748C6" w14:textId="77777777" w:rsidTr="0010789D">
        <w:tc>
          <w:tcPr>
            <w:tcW w:w="11016" w:type="dxa"/>
            <w:gridSpan w:val="2"/>
          </w:tcPr>
          <w:p w14:paraId="51F2B56F" w14:textId="77777777" w:rsidR="001506C1" w:rsidRPr="00FA3F9C" w:rsidRDefault="001506C1" w:rsidP="006F623F">
            <w:pPr>
              <w:rPr>
                <w:rFonts w:ascii="Arial" w:hAnsi="Arial" w:cs="Arial"/>
                <w:sz w:val="24"/>
                <w:szCs w:val="24"/>
              </w:rPr>
            </w:pPr>
            <w:r w:rsidRPr="00FA3F9C">
              <w:rPr>
                <w:rFonts w:ascii="Arial" w:hAnsi="Arial" w:cs="Arial"/>
                <w:sz w:val="24"/>
                <w:szCs w:val="24"/>
              </w:rPr>
              <w:t>3. A baseline serum ferritin should be obtained</w:t>
            </w:r>
          </w:p>
        </w:tc>
      </w:tr>
    </w:tbl>
    <w:p w14:paraId="691FD1E2" w14:textId="77777777" w:rsidR="001506C1" w:rsidRPr="00FA3F9C" w:rsidRDefault="001506C1" w:rsidP="006F623F">
      <w:pPr>
        <w:spacing w:after="0"/>
        <w:rPr>
          <w:rFonts w:ascii="Arial" w:hAnsi="Arial" w:cs="Arial"/>
          <w:b/>
          <w:sz w:val="24"/>
          <w:szCs w:val="24"/>
          <w:u w:val="single"/>
        </w:rPr>
      </w:pPr>
    </w:p>
    <w:tbl>
      <w:tblPr>
        <w:tblStyle w:val="TableGrid"/>
        <w:tblW w:w="0" w:type="auto"/>
        <w:tblLook w:val="04A0" w:firstRow="1" w:lastRow="0" w:firstColumn="1" w:lastColumn="0" w:noHBand="0" w:noVBand="1"/>
      </w:tblPr>
      <w:tblGrid>
        <w:gridCol w:w="8928"/>
        <w:gridCol w:w="2088"/>
      </w:tblGrid>
      <w:tr w:rsidR="001506C1" w:rsidRPr="00FA3F9C" w14:paraId="4E9B8A2E" w14:textId="77777777" w:rsidTr="00571CAB">
        <w:tc>
          <w:tcPr>
            <w:tcW w:w="8928" w:type="dxa"/>
            <w:shd w:val="clear" w:color="auto" w:fill="000000"/>
          </w:tcPr>
          <w:p w14:paraId="04C3B1E8" w14:textId="77777777" w:rsidR="001506C1" w:rsidRPr="00FA3F9C" w:rsidRDefault="001506C1" w:rsidP="00571CAB">
            <w:pPr>
              <w:rPr>
                <w:rFonts w:ascii="Arial" w:hAnsi="Arial" w:cs="Arial"/>
                <w:b/>
                <w:sz w:val="24"/>
                <w:szCs w:val="24"/>
                <w:u w:val="single"/>
              </w:rPr>
            </w:pPr>
            <w:r w:rsidRPr="00FA3F9C">
              <w:rPr>
                <w:rFonts w:ascii="Arial" w:hAnsi="Arial" w:cs="Arial"/>
                <w:b/>
                <w:sz w:val="24"/>
                <w:szCs w:val="24"/>
                <w:u w:val="single"/>
              </w:rPr>
              <w:t>Criteria for continuation</w:t>
            </w:r>
          </w:p>
        </w:tc>
        <w:tc>
          <w:tcPr>
            <w:tcW w:w="2088" w:type="dxa"/>
            <w:shd w:val="clear" w:color="auto" w:fill="000000"/>
          </w:tcPr>
          <w:p w14:paraId="628CCCD9" w14:textId="77777777" w:rsidR="001506C1" w:rsidRPr="00FA3F9C" w:rsidRDefault="001506C1" w:rsidP="00571CAB">
            <w:pPr>
              <w:jc w:val="center"/>
              <w:rPr>
                <w:rFonts w:ascii="Arial" w:hAnsi="Arial" w:cs="Arial"/>
                <w:b/>
                <w:sz w:val="24"/>
                <w:szCs w:val="24"/>
                <w:u w:val="single"/>
              </w:rPr>
            </w:pPr>
          </w:p>
        </w:tc>
      </w:tr>
      <w:tr w:rsidR="001506C1" w:rsidRPr="00FA3F9C" w14:paraId="64BC7949" w14:textId="77777777" w:rsidTr="00FE7E94">
        <w:tc>
          <w:tcPr>
            <w:tcW w:w="11016" w:type="dxa"/>
            <w:gridSpan w:val="2"/>
          </w:tcPr>
          <w:p w14:paraId="4010EF63" w14:textId="77777777" w:rsidR="001506C1" w:rsidRPr="00FA3F9C" w:rsidRDefault="001506C1" w:rsidP="00571CAB">
            <w:pPr>
              <w:rPr>
                <w:rFonts w:ascii="Arial" w:hAnsi="Arial" w:cs="Arial"/>
                <w:sz w:val="24"/>
                <w:szCs w:val="24"/>
              </w:rPr>
            </w:pPr>
            <w:r w:rsidRPr="00FA3F9C">
              <w:rPr>
                <w:rFonts w:ascii="Arial" w:hAnsi="Arial" w:cs="Arial"/>
                <w:sz w:val="24"/>
                <w:szCs w:val="24"/>
              </w:rPr>
              <w:t>1. There must be evidence of regular adherence to deferiprone tablets. (at least 60% medication possession rate</w:t>
            </w:r>
          </w:p>
        </w:tc>
      </w:tr>
      <w:tr w:rsidR="001506C1" w:rsidRPr="00FA3F9C" w14:paraId="032CCE81" w14:textId="77777777" w:rsidTr="00E85040">
        <w:tc>
          <w:tcPr>
            <w:tcW w:w="11016" w:type="dxa"/>
            <w:gridSpan w:val="2"/>
          </w:tcPr>
          <w:p w14:paraId="2D85DAEF" w14:textId="77777777" w:rsidR="001506C1" w:rsidRPr="00FA3F9C" w:rsidRDefault="001506C1" w:rsidP="00571CAB">
            <w:pPr>
              <w:rPr>
                <w:rFonts w:ascii="Arial" w:hAnsi="Arial" w:cs="Arial"/>
                <w:sz w:val="24"/>
                <w:szCs w:val="24"/>
              </w:rPr>
            </w:pPr>
            <w:r w:rsidRPr="00FA3F9C">
              <w:rPr>
                <w:rFonts w:ascii="Arial" w:hAnsi="Arial" w:cs="Arial"/>
                <w:sz w:val="24"/>
                <w:szCs w:val="24"/>
              </w:rPr>
              <w:t>2. There must be evidence of a reduction in serum ferritin after 6 months.</w:t>
            </w:r>
          </w:p>
        </w:tc>
      </w:tr>
    </w:tbl>
    <w:p w14:paraId="68FAEFDF" w14:textId="77777777" w:rsidR="001506C1" w:rsidRPr="00FA3F9C" w:rsidRDefault="001506C1" w:rsidP="006F623F">
      <w:pPr>
        <w:spacing w:after="0"/>
        <w:rPr>
          <w:rFonts w:ascii="Arial" w:hAnsi="Arial" w:cs="Arial"/>
          <w:sz w:val="24"/>
          <w:szCs w:val="24"/>
        </w:rPr>
      </w:pPr>
    </w:p>
    <w:p w14:paraId="7DD12304" w14:textId="77777777" w:rsidR="001506C1" w:rsidRPr="00FA3F9C" w:rsidRDefault="001506C1" w:rsidP="008C06EC">
      <w:pPr>
        <w:spacing w:after="0" w:line="240" w:lineRule="auto"/>
        <w:rPr>
          <w:rFonts w:ascii="Arial" w:hAnsi="Arial" w:cs="Arial"/>
          <w:sz w:val="24"/>
          <w:szCs w:val="24"/>
        </w:rPr>
      </w:pPr>
      <w:r w:rsidRPr="00FA3F9C">
        <w:rPr>
          <w:rFonts w:ascii="Arial" w:hAnsi="Arial" w:cs="Arial"/>
          <w:sz w:val="24"/>
          <w:szCs w:val="24"/>
          <w:vertAlign w:val="superscript"/>
        </w:rPr>
        <w:t>1</w:t>
      </w:r>
      <w:r w:rsidRPr="00FA3F9C">
        <w:rPr>
          <w:rFonts w:ascii="Arial" w:hAnsi="Arial" w:cs="Arial"/>
          <w:sz w:val="24"/>
          <w:szCs w:val="24"/>
        </w:rPr>
        <w:t>A Cochrane systemic review concluded that deferiprone (</w:t>
      </w:r>
      <w:proofErr w:type="spellStart"/>
      <w:r w:rsidRPr="00FA3F9C">
        <w:rPr>
          <w:rFonts w:ascii="Arial" w:hAnsi="Arial" w:cs="Arial"/>
          <w:sz w:val="24"/>
          <w:szCs w:val="24"/>
        </w:rPr>
        <w:t>Ferriprox</w:t>
      </w:r>
      <w:proofErr w:type="spellEnd"/>
      <w:r w:rsidRPr="00FA3F9C">
        <w:rPr>
          <w:rFonts w:ascii="Arial" w:hAnsi="Arial" w:cs="Arial"/>
          <w:sz w:val="24"/>
          <w:szCs w:val="24"/>
        </w:rPr>
        <w:t>) is indicated for the treatment of iron overload due to blood transfusions if deferoxamine (</w:t>
      </w:r>
      <w:proofErr w:type="spellStart"/>
      <w:r w:rsidRPr="00FA3F9C">
        <w:rPr>
          <w:rFonts w:ascii="Arial" w:hAnsi="Arial" w:cs="Arial"/>
          <w:sz w:val="24"/>
          <w:szCs w:val="24"/>
        </w:rPr>
        <w:t>Desferal</w:t>
      </w:r>
      <w:proofErr w:type="spellEnd"/>
      <w:r w:rsidRPr="00FA3F9C">
        <w:rPr>
          <w:rFonts w:ascii="Arial" w:hAnsi="Arial" w:cs="Arial"/>
          <w:sz w:val="24"/>
          <w:szCs w:val="24"/>
        </w:rPr>
        <w:t xml:space="preserve">) is inadequate or contraindicated. </w:t>
      </w:r>
    </w:p>
    <w:p w14:paraId="5B393B99" w14:textId="77777777" w:rsidR="001506C1" w:rsidRPr="00FA3F9C" w:rsidRDefault="001506C1" w:rsidP="008C06EC">
      <w:pPr>
        <w:spacing w:after="0" w:line="240" w:lineRule="auto"/>
        <w:rPr>
          <w:rFonts w:ascii="Arial" w:hAnsi="Arial" w:cs="Arial"/>
          <w:sz w:val="24"/>
          <w:szCs w:val="24"/>
          <w:vertAlign w:val="superscript"/>
        </w:rPr>
      </w:pPr>
      <w:r w:rsidRPr="00FA3F9C">
        <w:rPr>
          <w:rFonts w:ascii="Arial" w:hAnsi="Arial" w:cs="Arial"/>
          <w:sz w:val="24"/>
          <w:szCs w:val="24"/>
          <w:vertAlign w:val="superscript"/>
        </w:rPr>
        <w:t>2</w:t>
      </w:r>
      <w:r w:rsidRPr="00FA3F9C">
        <w:rPr>
          <w:rFonts w:ascii="Arial" w:hAnsi="Arial" w:cs="Arial"/>
          <w:sz w:val="24"/>
          <w:szCs w:val="24"/>
        </w:rPr>
        <w:t xml:space="preserve">“Approval of </w:t>
      </w:r>
      <w:proofErr w:type="spellStart"/>
      <w:r w:rsidRPr="00FA3F9C">
        <w:rPr>
          <w:rFonts w:ascii="Arial" w:hAnsi="Arial" w:cs="Arial"/>
          <w:sz w:val="24"/>
          <w:szCs w:val="24"/>
        </w:rPr>
        <w:t>Ferriprox</w:t>
      </w:r>
      <w:proofErr w:type="spellEnd"/>
      <w:r w:rsidRPr="00FA3F9C">
        <w:rPr>
          <w:rFonts w:ascii="Arial" w:hAnsi="Arial" w:cs="Arial"/>
          <w:sz w:val="24"/>
          <w:szCs w:val="24"/>
        </w:rPr>
        <w:t xml:space="preserve"> was based on an unpublished, prospective, pooled analysis (summarized in the package insert) of 12 trials in a total of 236 pts w/ </w:t>
      </w:r>
      <w:proofErr w:type="spellStart"/>
      <w:r w:rsidRPr="00FA3F9C">
        <w:rPr>
          <w:rFonts w:ascii="Arial" w:hAnsi="Arial" w:cs="Arial"/>
          <w:sz w:val="24"/>
          <w:szCs w:val="24"/>
        </w:rPr>
        <w:t>transfusional</w:t>
      </w:r>
      <w:proofErr w:type="spellEnd"/>
      <w:r w:rsidRPr="00FA3F9C">
        <w:rPr>
          <w:rFonts w:ascii="Arial" w:hAnsi="Arial" w:cs="Arial"/>
          <w:sz w:val="24"/>
          <w:szCs w:val="24"/>
        </w:rPr>
        <w:t xml:space="preserve"> iron overload w/ an inadequate response (serum ferritin concentrations remained above 2500 mcg/L) to, or were unable to tolerate, other iron chelation therapy. “</w:t>
      </w:r>
    </w:p>
    <w:p w14:paraId="3DB05332" w14:textId="77777777" w:rsidR="001506C1" w:rsidRPr="00FA3F9C" w:rsidRDefault="001506C1" w:rsidP="008C06EC">
      <w:pPr>
        <w:spacing w:after="0" w:line="240" w:lineRule="auto"/>
        <w:rPr>
          <w:rFonts w:ascii="Arial" w:hAnsi="Arial" w:cs="Arial"/>
          <w:sz w:val="24"/>
          <w:szCs w:val="24"/>
        </w:rPr>
      </w:pPr>
      <w:r w:rsidRPr="00FA3F9C">
        <w:rPr>
          <w:rFonts w:ascii="Arial" w:hAnsi="Arial" w:cs="Arial"/>
          <w:sz w:val="24"/>
          <w:szCs w:val="24"/>
          <w:vertAlign w:val="superscript"/>
        </w:rPr>
        <w:t>4</w:t>
      </w:r>
      <w:r w:rsidRPr="00FA3F9C">
        <w:rPr>
          <w:rFonts w:ascii="Arial" w:hAnsi="Arial" w:cs="Arial"/>
          <w:sz w:val="24"/>
          <w:szCs w:val="24"/>
        </w:rPr>
        <w:t>A RCT comparing deferiprone (</w:t>
      </w:r>
      <w:proofErr w:type="spellStart"/>
      <w:r w:rsidRPr="00FA3F9C">
        <w:rPr>
          <w:rFonts w:ascii="Arial" w:hAnsi="Arial" w:cs="Arial"/>
          <w:sz w:val="24"/>
          <w:szCs w:val="24"/>
        </w:rPr>
        <w:t>Ferriprox</w:t>
      </w:r>
      <w:proofErr w:type="spellEnd"/>
      <w:r w:rsidRPr="00FA3F9C">
        <w:rPr>
          <w:rFonts w:ascii="Arial" w:hAnsi="Arial" w:cs="Arial"/>
          <w:sz w:val="24"/>
          <w:szCs w:val="24"/>
        </w:rPr>
        <w:t>) to deferoxamine (</w:t>
      </w:r>
      <w:proofErr w:type="spellStart"/>
      <w:r w:rsidRPr="00FA3F9C">
        <w:rPr>
          <w:rFonts w:ascii="Arial" w:hAnsi="Arial" w:cs="Arial"/>
          <w:sz w:val="24"/>
          <w:szCs w:val="24"/>
        </w:rPr>
        <w:t>Desferal</w:t>
      </w:r>
      <w:proofErr w:type="spellEnd"/>
      <w:r w:rsidRPr="00FA3F9C">
        <w:rPr>
          <w:rFonts w:ascii="Arial" w:hAnsi="Arial" w:cs="Arial"/>
          <w:sz w:val="24"/>
          <w:szCs w:val="24"/>
        </w:rPr>
        <w:t>) found a statistically significant difference in the primary outcome of myocardial T2 levels favoring deferiprone (</w:t>
      </w:r>
      <w:proofErr w:type="spellStart"/>
      <w:r w:rsidRPr="00FA3F9C">
        <w:rPr>
          <w:rFonts w:ascii="Arial" w:hAnsi="Arial" w:cs="Arial"/>
          <w:sz w:val="24"/>
          <w:szCs w:val="24"/>
        </w:rPr>
        <w:t>Ferriprox</w:t>
      </w:r>
      <w:proofErr w:type="spellEnd"/>
      <w:r w:rsidRPr="00FA3F9C">
        <w:rPr>
          <w:rFonts w:ascii="Arial" w:hAnsi="Arial" w:cs="Arial"/>
          <w:sz w:val="24"/>
          <w:szCs w:val="24"/>
        </w:rPr>
        <w:t>).  Participants were 18 years or older without HF and previously taking deferoxamine (</w:t>
      </w:r>
      <w:proofErr w:type="spellStart"/>
      <w:r w:rsidRPr="00FA3F9C">
        <w:rPr>
          <w:rFonts w:ascii="Arial" w:hAnsi="Arial" w:cs="Arial"/>
          <w:sz w:val="24"/>
          <w:szCs w:val="24"/>
        </w:rPr>
        <w:t>Desferal</w:t>
      </w:r>
      <w:proofErr w:type="spellEnd"/>
      <w:r w:rsidRPr="00FA3F9C">
        <w:rPr>
          <w:rFonts w:ascii="Arial" w:hAnsi="Arial" w:cs="Arial"/>
          <w:sz w:val="24"/>
          <w:szCs w:val="24"/>
        </w:rPr>
        <w:t xml:space="preserve">).  They were randomized to either a higher dose of </w:t>
      </w:r>
      <w:proofErr w:type="spellStart"/>
      <w:r w:rsidRPr="00FA3F9C">
        <w:rPr>
          <w:rFonts w:ascii="Arial" w:hAnsi="Arial" w:cs="Arial"/>
          <w:sz w:val="24"/>
          <w:szCs w:val="24"/>
        </w:rPr>
        <w:t>Desferal</w:t>
      </w:r>
      <w:proofErr w:type="spellEnd"/>
      <w:r w:rsidRPr="00FA3F9C">
        <w:rPr>
          <w:rFonts w:ascii="Arial" w:hAnsi="Arial" w:cs="Arial"/>
          <w:sz w:val="24"/>
          <w:szCs w:val="24"/>
        </w:rPr>
        <w:t xml:space="preserve"> or switching to </w:t>
      </w:r>
      <w:proofErr w:type="spellStart"/>
      <w:r w:rsidRPr="00FA3F9C">
        <w:rPr>
          <w:rFonts w:ascii="Arial" w:hAnsi="Arial" w:cs="Arial"/>
          <w:sz w:val="24"/>
          <w:szCs w:val="24"/>
        </w:rPr>
        <w:t>Ferriprox</w:t>
      </w:r>
      <w:proofErr w:type="spellEnd"/>
      <w:r w:rsidRPr="00FA3F9C">
        <w:rPr>
          <w:rFonts w:ascii="Arial" w:hAnsi="Arial" w:cs="Arial"/>
          <w:sz w:val="24"/>
          <w:szCs w:val="24"/>
        </w:rPr>
        <w:t>.  While it is stated that cardiac measurements were made in London by 2 reviewers who were blinded to treatment arms, it does not state whether pts and physicians were blinded. There was a statistically significant difference in baseline serum ferritin levels, with the deferiprone (</w:t>
      </w:r>
      <w:proofErr w:type="spellStart"/>
      <w:r w:rsidRPr="00FA3F9C">
        <w:rPr>
          <w:rFonts w:ascii="Arial" w:hAnsi="Arial" w:cs="Arial"/>
          <w:sz w:val="24"/>
          <w:szCs w:val="24"/>
        </w:rPr>
        <w:t>Ferriprox</w:t>
      </w:r>
      <w:proofErr w:type="spellEnd"/>
      <w:r w:rsidRPr="00FA3F9C">
        <w:rPr>
          <w:rFonts w:ascii="Arial" w:hAnsi="Arial" w:cs="Arial"/>
          <w:sz w:val="24"/>
          <w:szCs w:val="24"/>
        </w:rPr>
        <w:t xml:space="preserve">) arm having a lower baseline level.  Several of the authors have financial interest in </w:t>
      </w:r>
      <w:proofErr w:type="spellStart"/>
      <w:r w:rsidRPr="00FA3F9C">
        <w:rPr>
          <w:rFonts w:ascii="Arial" w:hAnsi="Arial" w:cs="Arial"/>
          <w:sz w:val="24"/>
          <w:szCs w:val="24"/>
        </w:rPr>
        <w:t>Apotex</w:t>
      </w:r>
      <w:proofErr w:type="spellEnd"/>
      <w:r w:rsidRPr="00FA3F9C">
        <w:rPr>
          <w:rFonts w:ascii="Arial" w:hAnsi="Arial" w:cs="Arial"/>
          <w:sz w:val="24"/>
          <w:szCs w:val="24"/>
        </w:rPr>
        <w:t>, which produces deferiprone (</w:t>
      </w:r>
      <w:proofErr w:type="spellStart"/>
      <w:r w:rsidRPr="00FA3F9C">
        <w:rPr>
          <w:rFonts w:ascii="Arial" w:hAnsi="Arial" w:cs="Arial"/>
          <w:sz w:val="24"/>
          <w:szCs w:val="24"/>
        </w:rPr>
        <w:t>Ferriprox</w:t>
      </w:r>
      <w:proofErr w:type="spellEnd"/>
      <w:r w:rsidRPr="00FA3F9C">
        <w:rPr>
          <w:rFonts w:ascii="Arial" w:hAnsi="Arial" w:cs="Arial"/>
          <w:sz w:val="24"/>
          <w:szCs w:val="24"/>
        </w:rPr>
        <w:t>).</w:t>
      </w:r>
      <w:r w:rsidRPr="00FA3F9C">
        <w:rPr>
          <w:rFonts w:ascii="Arial" w:hAnsi="Arial" w:cs="Arial"/>
          <w:sz w:val="24"/>
          <w:szCs w:val="24"/>
          <w:vertAlign w:val="superscript"/>
        </w:rPr>
        <w:t>4</w:t>
      </w:r>
    </w:p>
    <w:p w14:paraId="30746D3F" w14:textId="77777777" w:rsidR="001506C1" w:rsidRPr="00FA3F9C" w:rsidRDefault="001506C1" w:rsidP="001506C1">
      <w:pPr>
        <w:pStyle w:val="ListParagraph"/>
        <w:numPr>
          <w:ilvl w:val="0"/>
          <w:numId w:val="116"/>
        </w:numPr>
        <w:spacing w:after="0" w:line="240" w:lineRule="auto"/>
        <w:ind w:left="360"/>
        <w:rPr>
          <w:rFonts w:ascii="Arial" w:hAnsi="Arial" w:cs="Arial"/>
          <w:sz w:val="24"/>
          <w:szCs w:val="24"/>
        </w:rPr>
      </w:pPr>
      <w:r w:rsidRPr="00FA3F9C">
        <w:rPr>
          <w:rFonts w:ascii="Arial" w:hAnsi="Arial" w:cs="Arial"/>
          <w:sz w:val="24"/>
          <w:szCs w:val="24"/>
        </w:rPr>
        <w:t xml:space="preserve">No RCT comparing </w:t>
      </w:r>
      <w:proofErr w:type="spellStart"/>
      <w:r w:rsidRPr="00FA3F9C">
        <w:rPr>
          <w:rFonts w:ascii="Arial" w:hAnsi="Arial" w:cs="Arial"/>
          <w:sz w:val="24"/>
          <w:szCs w:val="24"/>
        </w:rPr>
        <w:t>Exjade</w:t>
      </w:r>
      <w:proofErr w:type="spellEnd"/>
      <w:r w:rsidRPr="00FA3F9C">
        <w:rPr>
          <w:rFonts w:ascii="Arial" w:hAnsi="Arial" w:cs="Arial"/>
          <w:sz w:val="24"/>
          <w:szCs w:val="24"/>
        </w:rPr>
        <w:t xml:space="preserve"> to </w:t>
      </w:r>
      <w:proofErr w:type="spellStart"/>
      <w:r w:rsidRPr="00FA3F9C">
        <w:rPr>
          <w:rFonts w:ascii="Arial" w:hAnsi="Arial" w:cs="Arial"/>
          <w:sz w:val="24"/>
          <w:szCs w:val="24"/>
        </w:rPr>
        <w:t>Ferriprox</w:t>
      </w:r>
      <w:proofErr w:type="spellEnd"/>
      <w:r w:rsidRPr="00FA3F9C">
        <w:rPr>
          <w:rFonts w:ascii="Arial" w:hAnsi="Arial" w:cs="Arial"/>
          <w:sz w:val="24"/>
          <w:szCs w:val="24"/>
        </w:rPr>
        <w:t xml:space="preserve">. </w:t>
      </w:r>
    </w:p>
    <w:p w14:paraId="7D8FD9AF" w14:textId="77777777" w:rsidR="001506C1" w:rsidRPr="00FA3F9C" w:rsidRDefault="001506C1" w:rsidP="008C06EC">
      <w:pPr>
        <w:spacing w:after="0" w:line="240" w:lineRule="auto"/>
        <w:rPr>
          <w:rFonts w:ascii="Arial" w:hAnsi="Arial" w:cs="Arial"/>
          <w:sz w:val="24"/>
          <w:szCs w:val="24"/>
        </w:rPr>
      </w:pPr>
      <w:r w:rsidRPr="00FA3F9C">
        <w:rPr>
          <w:rFonts w:ascii="Arial" w:hAnsi="Arial" w:cs="Arial"/>
          <w:b/>
          <w:sz w:val="24"/>
          <w:szCs w:val="24"/>
          <w:vertAlign w:val="superscript"/>
        </w:rPr>
        <w:lastRenderedPageBreak/>
        <w:t xml:space="preserve">5 </w:t>
      </w:r>
      <w:r w:rsidRPr="00FA3F9C">
        <w:rPr>
          <w:rFonts w:ascii="Arial" w:hAnsi="Arial" w:cs="Arial"/>
          <w:sz w:val="24"/>
          <w:szCs w:val="24"/>
        </w:rPr>
        <w:t xml:space="preserve">Cochrane Syst Rev stated </w:t>
      </w:r>
      <w:proofErr w:type="spellStart"/>
      <w:r w:rsidRPr="00FA3F9C">
        <w:rPr>
          <w:rFonts w:ascii="Arial" w:hAnsi="Arial" w:cs="Arial"/>
          <w:sz w:val="24"/>
          <w:szCs w:val="24"/>
        </w:rPr>
        <w:t>deferasirox</w:t>
      </w:r>
      <w:proofErr w:type="spellEnd"/>
      <w:r w:rsidRPr="00FA3F9C">
        <w:rPr>
          <w:rFonts w:ascii="Arial" w:hAnsi="Arial" w:cs="Arial"/>
          <w:sz w:val="24"/>
          <w:szCs w:val="24"/>
        </w:rPr>
        <w:t xml:space="preserve"> should be offered as an alternative to those not tolerating deferoxamine or with poor compliance to deferoxamine. Pt-important, long-term outcomes and AEs should be conducted prior to routine recommendation of </w:t>
      </w:r>
      <w:proofErr w:type="spellStart"/>
      <w:r w:rsidRPr="00FA3F9C">
        <w:rPr>
          <w:rFonts w:ascii="Arial" w:hAnsi="Arial" w:cs="Arial"/>
          <w:sz w:val="24"/>
          <w:szCs w:val="24"/>
        </w:rPr>
        <w:t>deferasirox</w:t>
      </w:r>
      <w:proofErr w:type="spellEnd"/>
      <w:r w:rsidRPr="00FA3F9C">
        <w:rPr>
          <w:rFonts w:ascii="Arial" w:hAnsi="Arial" w:cs="Arial"/>
          <w:sz w:val="24"/>
          <w:szCs w:val="24"/>
        </w:rPr>
        <w:t xml:space="preserve"> as 1</w:t>
      </w:r>
      <w:r w:rsidRPr="00FA3F9C">
        <w:rPr>
          <w:rFonts w:ascii="Arial" w:hAnsi="Arial" w:cs="Arial"/>
          <w:sz w:val="24"/>
          <w:szCs w:val="24"/>
          <w:vertAlign w:val="superscript"/>
        </w:rPr>
        <w:t>st</w:t>
      </w:r>
      <w:r w:rsidRPr="00FA3F9C">
        <w:rPr>
          <w:rFonts w:ascii="Arial" w:hAnsi="Arial" w:cs="Arial"/>
          <w:sz w:val="24"/>
          <w:szCs w:val="24"/>
        </w:rPr>
        <w:t xml:space="preserve"> line therapy in thalassemia pts w/ iron overload.</w:t>
      </w:r>
    </w:p>
    <w:p w14:paraId="129EF993" w14:textId="77777777" w:rsidR="001506C1" w:rsidRPr="00FA3F9C" w:rsidRDefault="001506C1" w:rsidP="008C06EC">
      <w:pPr>
        <w:spacing w:after="0" w:line="240" w:lineRule="auto"/>
        <w:rPr>
          <w:rFonts w:ascii="Arial" w:hAnsi="Arial" w:cs="Arial"/>
          <w:sz w:val="24"/>
          <w:szCs w:val="24"/>
        </w:rPr>
      </w:pPr>
      <w:r w:rsidRPr="00FA3F9C">
        <w:rPr>
          <w:rFonts w:ascii="Arial" w:hAnsi="Arial" w:cs="Arial"/>
          <w:sz w:val="24"/>
          <w:szCs w:val="24"/>
          <w:vertAlign w:val="superscript"/>
        </w:rPr>
        <w:t xml:space="preserve">6 </w:t>
      </w:r>
      <w:r w:rsidRPr="00FA3F9C">
        <w:rPr>
          <w:rFonts w:ascii="Arial" w:hAnsi="Arial" w:cs="Arial"/>
          <w:sz w:val="24"/>
          <w:szCs w:val="24"/>
        </w:rPr>
        <w:t>No iron chelator has superior efficacy to date.</w:t>
      </w:r>
    </w:p>
    <w:p w14:paraId="77D93E90" w14:textId="77777777" w:rsidR="001506C1" w:rsidRPr="00FA3F9C" w:rsidRDefault="001506C1" w:rsidP="008C06EC">
      <w:pPr>
        <w:spacing w:after="0"/>
        <w:rPr>
          <w:rFonts w:ascii="Arial" w:hAnsi="Arial" w:cs="Arial"/>
          <w:b/>
          <w:sz w:val="24"/>
          <w:szCs w:val="24"/>
        </w:rPr>
      </w:pPr>
      <w:r w:rsidRPr="00FA3F9C">
        <w:rPr>
          <w:rFonts w:ascii="Arial" w:hAnsi="Arial" w:cs="Arial"/>
          <w:b/>
          <w:sz w:val="24"/>
          <w:szCs w:val="24"/>
        </w:rPr>
        <w:t xml:space="preserve">References: </w:t>
      </w:r>
    </w:p>
    <w:p w14:paraId="6442030F" w14:textId="77777777" w:rsidR="001506C1" w:rsidRPr="00FA3F9C" w:rsidRDefault="001506C1" w:rsidP="001506C1">
      <w:pPr>
        <w:pStyle w:val="ListParagraph"/>
        <w:numPr>
          <w:ilvl w:val="0"/>
          <w:numId w:val="115"/>
        </w:numPr>
        <w:autoSpaceDE w:val="0"/>
        <w:autoSpaceDN w:val="0"/>
        <w:adjustRightInd w:val="0"/>
        <w:spacing w:after="0" w:line="240" w:lineRule="auto"/>
        <w:rPr>
          <w:rFonts w:ascii="Arial" w:hAnsi="Arial" w:cs="Arial"/>
          <w:sz w:val="24"/>
          <w:szCs w:val="24"/>
        </w:rPr>
      </w:pPr>
      <w:r w:rsidRPr="00FA3F9C">
        <w:rPr>
          <w:rFonts w:ascii="Arial" w:hAnsi="Arial" w:cs="Arial"/>
          <w:sz w:val="24"/>
          <w:szCs w:val="24"/>
        </w:rPr>
        <w:t xml:space="preserve">Roberts D, </w:t>
      </w:r>
      <w:proofErr w:type="spellStart"/>
      <w:r w:rsidRPr="00FA3F9C">
        <w:rPr>
          <w:rFonts w:ascii="Arial" w:hAnsi="Arial" w:cs="Arial"/>
          <w:sz w:val="24"/>
          <w:szCs w:val="24"/>
        </w:rPr>
        <w:t>Brunskill</w:t>
      </w:r>
      <w:proofErr w:type="spellEnd"/>
      <w:r w:rsidRPr="00FA3F9C">
        <w:rPr>
          <w:rFonts w:ascii="Arial" w:hAnsi="Arial" w:cs="Arial"/>
          <w:sz w:val="24"/>
          <w:szCs w:val="24"/>
        </w:rPr>
        <w:t xml:space="preserve"> S, </w:t>
      </w:r>
      <w:proofErr w:type="spellStart"/>
      <w:r w:rsidRPr="00FA3F9C">
        <w:rPr>
          <w:rFonts w:ascii="Arial" w:hAnsi="Arial" w:cs="Arial"/>
          <w:sz w:val="24"/>
          <w:szCs w:val="24"/>
        </w:rPr>
        <w:t>Doree</w:t>
      </w:r>
      <w:proofErr w:type="spellEnd"/>
      <w:r w:rsidRPr="00FA3F9C">
        <w:rPr>
          <w:rFonts w:ascii="Arial" w:hAnsi="Arial" w:cs="Arial"/>
          <w:sz w:val="24"/>
          <w:szCs w:val="24"/>
        </w:rPr>
        <w:t xml:space="preserve"> C, Williams S, Howard J, Hyde C. Oral deferiprone for iron chelation in people with </w:t>
      </w:r>
      <w:proofErr w:type="spellStart"/>
      <w:r w:rsidRPr="00FA3F9C">
        <w:rPr>
          <w:rFonts w:ascii="Arial" w:hAnsi="Arial" w:cs="Arial"/>
          <w:sz w:val="24"/>
          <w:szCs w:val="24"/>
        </w:rPr>
        <w:t>thalassaemia</w:t>
      </w:r>
      <w:proofErr w:type="spellEnd"/>
      <w:r w:rsidRPr="00FA3F9C">
        <w:rPr>
          <w:rFonts w:ascii="Arial" w:hAnsi="Arial" w:cs="Arial"/>
          <w:sz w:val="24"/>
          <w:szCs w:val="24"/>
        </w:rPr>
        <w:t xml:space="preserve">. </w:t>
      </w:r>
      <w:proofErr w:type="spellStart"/>
      <w:r w:rsidRPr="00FA3F9C">
        <w:rPr>
          <w:rFonts w:ascii="Arial" w:hAnsi="Arial" w:cs="Arial"/>
          <w:i/>
          <w:iCs/>
          <w:sz w:val="24"/>
          <w:szCs w:val="24"/>
        </w:rPr>
        <w:t>CochraneDatabase</w:t>
      </w:r>
      <w:proofErr w:type="spellEnd"/>
      <w:r w:rsidRPr="00FA3F9C">
        <w:rPr>
          <w:rFonts w:ascii="Arial" w:hAnsi="Arial" w:cs="Arial"/>
          <w:i/>
          <w:iCs/>
          <w:sz w:val="24"/>
          <w:szCs w:val="24"/>
        </w:rPr>
        <w:t xml:space="preserve"> of Systematic Reviews </w:t>
      </w:r>
      <w:r w:rsidRPr="00FA3F9C">
        <w:rPr>
          <w:rFonts w:ascii="Arial" w:hAnsi="Arial" w:cs="Arial"/>
          <w:sz w:val="24"/>
          <w:szCs w:val="24"/>
        </w:rPr>
        <w:t xml:space="preserve">2007, Issue 3. </w:t>
      </w:r>
      <w:proofErr w:type="spellStart"/>
      <w:r w:rsidRPr="00FA3F9C">
        <w:rPr>
          <w:rFonts w:ascii="Arial" w:hAnsi="Arial" w:cs="Arial"/>
          <w:sz w:val="24"/>
          <w:szCs w:val="24"/>
        </w:rPr>
        <w:t>Art.No</w:t>
      </w:r>
      <w:proofErr w:type="spellEnd"/>
      <w:r w:rsidRPr="00FA3F9C">
        <w:rPr>
          <w:rFonts w:ascii="Arial" w:hAnsi="Arial" w:cs="Arial"/>
          <w:sz w:val="24"/>
          <w:szCs w:val="24"/>
        </w:rPr>
        <w:t>.: CD004839. DOI: 10.1002/14651858.CD004839.pub2.</w:t>
      </w:r>
    </w:p>
    <w:p w14:paraId="537C5441" w14:textId="77777777" w:rsidR="001506C1" w:rsidRPr="00FA3F9C" w:rsidRDefault="001506C1" w:rsidP="001506C1">
      <w:pPr>
        <w:pStyle w:val="ListParagraph"/>
        <w:numPr>
          <w:ilvl w:val="0"/>
          <w:numId w:val="115"/>
        </w:numPr>
        <w:spacing w:after="0" w:line="276" w:lineRule="auto"/>
        <w:rPr>
          <w:rFonts w:ascii="Arial" w:hAnsi="Arial" w:cs="Arial"/>
          <w:sz w:val="24"/>
          <w:szCs w:val="24"/>
        </w:rPr>
      </w:pPr>
      <w:r w:rsidRPr="00FA3F9C">
        <w:rPr>
          <w:rFonts w:ascii="Arial" w:hAnsi="Arial" w:cs="Arial"/>
          <w:sz w:val="24"/>
          <w:szCs w:val="24"/>
        </w:rPr>
        <w:t>The Medical Letter.  Deferiprone (</w:t>
      </w:r>
      <w:proofErr w:type="spellStart"/>
      <w:r w:rsidRPr="00FA3F9C">
        <w:rPr>
          <w:rFonts w:ascii="Arial" w:hAnsi="Arial" w:cs="Arial"/>
          <w:sz w:val="24"/>
          <w:szCs w:val="24"/>
        </w:rPr>
        <w:t>Ferriprox</w:t>
      </w:r>
      <w:proofErr w:type="spellEnd"/>
      <w:r w:rsidRPr="00FA3F9C">
        <w:rPr>
          <w:rFonts w:ascii="Arial" w:hAnsi="Arial" w:cs="Arial"/>
          <w:sz w:val="24"/>
          <w:szCs w:val="24"/>
        </w:rPr>
        <w:t xml:space="preserve">) for iron overload.  The Medical Letter, 2012, Issue 1384, Volume 54. </w:t>
      </w:r>
    </w:p>
    <w:p w14:paraId="63B91A7A" w14:textId="77777777" w:rsidR="001506C1" w:rsidRPr="00FA3F9C" w:rsidRDefault="001506C1" w:rsidP="001506C1">
      <w:pPr>
        <w:pStyle w:val="ListParagraph"/>
        <w:numPr>
          <w:ilvl w:val="0"/>
          <w:numId w:val="115"/>
        </w:numPr>
        <w:spacing w:after="0" w:line="276" w:lineRule="auto"/>
        <w:rPr>
          <w:rFonts w:ascii="Arial" w:hAnsi="Arial" w:cs="Arial"/>
          <w:sz w:val="24"/>
          <w:szCs w:val="24"/>
        </w:rPr>
      </w:pPr>
      <w:proofErr w:type="spellStart"/>
      <w:r w:rsidRPr="00FA3F9C">
        <w:rPr>
          <w:rFonts w:ascii="Arial" w:hAnsi="Arial" w:cs="Arial"/>
          <w:sz w:val="24"/>
          <w:szCs w:val="24"/>
        </w:rPr>
        <w:t>Ferriprox</w:t>
      </w:r>
      <w:proofErr w:type="spellEnd"/>
      <w:r w:rsidRPr="00FA3F9C">
        <w:rPr>
          <w:rFonts w:ascii="Arial" w:hAnsi="Arial" w:cs="Arial"/>
          <w:sz w:val="24"/>
          <w:szCs w:val="24"/>
        </w:rPr>
        <w:t xml:space="preserve"> prescribing information. </w:t>
      </w:r>
      <w:hyperlink r:id="rId116" w:history="1">
        <w:r w:rsidRPr="00FA3F9C">
          <w:rPr>
            <w:rStyle w:val="Hyperlink"/>
            <w:rFonts w:ascii="Arial" w:hAnsi="Arial" w:cs="Arial"/>
            <w:sz w:val="24"/>
            <w:szCs w:val="24"/>
          </w:rPr>
          <w:t>http://www.ferriprox.com/us/pdf/ferriprox_full_pi.pdf</w:t>
        </w:r>
      </w:hyperlink>
    </w:p>
    <w:p w14:paraId="4F39A47E" w14:textId="77777777" w:rsidR="001506C1" w:rsidRPr="00FA3F9C" w:rsidRDefault="001506C1" w:rsidP="001506C1">
      <w:pPr>
        <w:pStyle w:val="ListParagraph"/>
        <w:numPr>
          <w:ilvl w:val="0"/>
          <w:numId w:val="115"/>
        </w:numPr>
        <w:spacing w:after="0" w:line="276" w:lineRule="auto"/>
        <w:rPr>
          <w:rFonts w:ascii="Arial" w:hAnsi="Arial" w:cs="Arial"/>
          <w:sz w:val="24"/>
          <w:szCs w:val="24"/>
        </w:rPr>
      </w:pPr>
      <w:r w:rsidRPr="00FA3F9C">
        <w:rPr>
          <w:rFonts w:ascii="Arial" w:hAnsi="Arial" w:cs="Arial"/>
          <w:sz w:val="24"/>
          <w:szCs w:val="24"/>
        </w:rPr>
        <w:t xml:space="preserve">Pennell DJ, </w:t>
      </w:r>
      <w:proofErr w:type="spellStart"/>
      <w:r w:rsidRPr="00FA3F9C">
        <w:rPr>
          <w:rFonts w:ascii="Arial" w:hAnsi="Arial" w:cs="Arial"/>
          <w:sz w:val="24"/>
          <w:szCs w:val="24"/>
        </w:rPr>
        <w:t>Berdoukas</w:t>
      </w:r>
      <w:proofErr w:type="spellEnd"/>
      <w:r w:rsidRPr="00FA3F9C">
        <w:rPr>
          <w:rFonts w:ascii="Arial" w:hAnsi="Arial" w:cs="Arial"/>
          <w:sz w:val="24"/>
          <w:szCs w:val="24"/>
        </w:rPr>
        <w:t xml:space="preserve"> V, </w:t>
      </w:r>
      <w:proofErr w:type="spellStart"/>
      <w:r w:rsidRPr="00FA3F9C">
        <w:rPr>
          <w:rFonts w:ascii="Arial" w:hAnsi="Arial" w:cs="Arial"/>
          <w:sz w:val="24"/>
          <w:szCs w:val="24"/>
        </w:rPr>
        <w:t>Karagiorgia</w:t>
      </w:r>
      <w:proofErr w:type="spellEnd"/>
      <w:r w:rsidRPr="00FA3F9C">
        <w:rPr>
          <w:rFonts w:ascii="Arial" w:hAnsi="Arial" w:cs="Arial"/>
          <w:sz w:val="24"/>
          <w:szCs w:val="24"/>
        </w:rPr>
        <w:t xml:space="preserve"> M, et al.  Randomized Controlled trial of deferiprone or deferoxamine in beta-thalassemia major patients with asymptomatic myocardial siderosis.  Blood, 2006;107(9): 3738-3744.  </w:t>
      </w:r>
    </w:p>
    <w:p w14:paraId="71685E5F" w14:textId="77777777" w:rsidR="001506C1" w:rsidRPr="00FA3F9C" w:rsidRDefault="001506C1" w:rsidP="001506C1">
      <w:pPr>
        <w:pStyle w:val="ListParagraph"/>
        <w:widowControl w:val="0"/>
        <w:numPr>
          <w:ilvl w:val="0"/>
          <w:numId w:val="115"/>
        </w:numPr>
        <w:autoSpaceDE w:val="0"/>
        <w:autoSpaceDN w:val="0"/>
        <w:adjustRightInd w:val="0"/>
        <w:spacing w:after="0" w:line="240" w:lineRule="auto"/>
        <w:rPr>
          <w:rFonts w:ascii="Arial" w:hAnsi="Arial" w:cs="Arial"/>
          <w:sz w:val="24"/>
          <w:szCs w:val="24"/>
        </w:rPr>
      </w:pPr>
      <w:proofErr w:type="spellStart"/>
      <w:r w:rsidRPr="00FA3F9C">
        <w:rPr>
          <w:rFonts w:ascii="Arial" w:eastAsiaTheme="minorEastAsia" w:hAnsi="Arial" w:cs="Arial"/>
          <w:sz w:val="24"/>
          <w:szCs w:val="24"/>
        </w:rPr>
        <w:t>Meerpohl</w:t>
      </w:r>
      <w:proofErr w:type="spellEnd"/>
      <w:r w:rsidRPr="00FA3F9C">
        <w:rPr>
          <w:rFonts w:ascii="Arial" w:eastAsiaTheme="minorEastAsia" w:hAnsi="Arial" w:cs="Arial"/>
          <w:sz w:val="24"/>
          <w:szCs w:val="24"/>
        </w:rPr>
        <w:t xml:space="preserve"> JJ, Antes G, </w:t>
      </w:r>
      <w:proofErr w:type="spellStart"/>
      <w:r w:rsidRPr="00FA3F9C">
        <w:rPr>
          <w:rFonts w:ascii="Arial" w:eastAsiaTheme="minorEastAsia" w:hAnsi="Arial" w:cs="Arial"/>
          <w:sz w:val="24"/>
          <w:szCs w:val="24"/>
        </w:rPr>
        <w:t>Rücker</w:t>
      </w:r>
      <w:proofErr w:type="spellEnd"/>
      <w:r w:rsidRPr="00FA3F9C">
        <w:rPr>
          <w:rFonts w:ascii="Arial" w:eastAsiaTheme="minorEastAsia" w:hAnsi="Arial" w:cs="Arial"/>
          <w:sz w:val="24"/>
          <w:szCs w:val="24"/>
        </w:rPr>
        <w:t xml:space="preserve"> G, </w:t>
      </w:r>
      <w:proofErr w:type="spellStart"/>
      <w:r w:rsidRPr="00FA3F9C">
        <w:rPr>
          <w:rFonts w:ascii="Arial" w:eastAsiaTheme="minorEastAsia" w:hAnsi="Arial" w:cs="Arial"/>
          <w:sz w:val="24"/>
          <w:szCs w:val="24"/>
        </w:rPr>
        <w:t>Fleeman</w:t>
      </w:r>
      <w:proofErr w:type="spellEnd"/>
      <w:r w:rsidRPr="00FA3F9C">
        <w:rPr>
          <w:rFonts w:ascii="Arial" w:eastAsiaTheme="minorEastAsia" w:hAnsi="Arial" w:cs="Arial"/>
          <w:sz w:val="24"/>
          <w:szCs w:val="24"/>
        </w:rPr>
        <w:t xml:space="preserve"> N, </w:t>
      </w:r>
      <w:proofErr w:type="spellStart"/>
      <w:r w:rsidRPr="00FA3F9C">
        <w:rPr>
          <w:rFonts w:ascii="Arial" w:eastAsiaTheme="minorEastAsia" w:hAnsi="Arial" w:cs="Arial"/>
          <w:sz w:val="24"/>
          <w:szCs w:val="24"/>
        </w:rPr>
        <w:t>Motschall</w:t>
      </w:r>
      <w:proofErr w:type="spellEnd"/>
      <w:r w:rsidRPr="00FA3F9C">
        <w:rPr>
          <w:rFonts w:ascii="Arial" w:eastAsiaTheme="minorEastAsia" w:hAnsi="Arial" w:cs="Arial"/>
          <w:sz w:val="24"/>
          <w:szCs w:val="24"/>
        </w:rPr>
        <w:t xml:space="preserve"> E, Niemeyer CM, </w:t>
      </w:r>
      <w:proofErr w:type="spellStart"/>
      <w:r w:rsidRPr="00FA3F9C">
        <w:rPr>
          <w:rFonts w:ascii="Arial" w:eastAsiaTheme="minorEastAsia" w:hAnsi="Arial" w:cs="Arial"/>
          <w:sz w:val="24"/>
          <w:szCs w:val="24"/>
        </w:rPr>
        <w:t>Bassler</w:t>
      </w:r>
      <w:proofErr w:type="spellEnd"/>
      <w:r w:rsidRPr="00FA3F9C">
        <w:rPr>
          <w:rFonts w:ascii="Arial" w:eastAsiaTheme="minorEastAsia" w:hAnsi="Arial" w:cs="Arial"/>
          <w:sz w:val="24"/>
          <w:szCs w:val="24"/>
        </w:rPr>
        <w:t xml:space="preserve"> D. </w:t>
      </w:r>
      <w:proofErr w:type="spellStart"/>
      <w:r w:rsidRPr="00FA3F9C">
        <w:rPr>
          <w:rFonts w:ascii="Arial" w:eastAsiaTheme="minorEastAsia" w:hAnsi="Arial" w:cs="Arial"/>
          <w:sz w:val="24"/>
          <w:szCs w:val="24"/>
        </w:rPr>
        <w:t>Deferasirox</w:t>
      </w:r>
      <w:proofErr w:type="spellEnd"/>
      <w:r w:rsidRPr="00FA3F9C">
        <w:rPr>
          <w:rFonts w:ascii="Arial" w:eastAsiaTheme="minorEastAsia" w:hAnsi="Arial" w:cs="Arial"/>
          <w:sz w:val="24"/>
          <w:szCs w:val="24"/>
        </w:rPr>
        <w:t xml:space="preserve"> for managing iron overload in people with </w:t>
      </w:r>
      <w:proofErr w:type="spellStart"/>
      <w:r w:rsidRPr="00FA3F9C">
        <w:rPr>
          <w:rFonts w:ascii="Arial" w:eastAsiaTheme="minorEastAsia" w:hAnsi="Arial" w:cs="Arial"/>
          <w:sz w:val="24"/>
          <w:szCs w:val="24"/>
        </w:rPr>
        <w:t>thalassaemia</w:t>
      </w:r>
      <w:proofErr w:type="spellEnd"/>
      <w:r w:rsidRPr="00FA3F9C">
        <w:rPr>
          <w:rFonts w:ascii="Arial" w:eastAsiaTheme="minorEastAsia" w:hAnsi="Arial" w:cs="Arial"/>
          <w:sz w:val="24"/>
          <w:szCs w:val="24"/>
        </w:rPr>
        <w:t>. Cochrane Database of Systematic Reviews 2012, Issue 2. Art. No.: CD007476. DOI: 10.1002/14651858.CD007476.pub2.</w:t>
      </w:r>
    </w:p>
    <w:p w14:paraId="4BF9523B" w14:textId="77777777" w:rsidR="001506C1" w:rsidRPr="00FA3F9C" w:rsidRDefault="001506C1" w:rsidP="001506C1">
      <w:pPr>
        <w:pStyle w:val="ListParagraph"/>
        <w:widowControl w:val="0"/>
        <w:numPr>
          <w:ilvl w:val="0"/>
          <w:numId w:val="115"/>
        </w:numPr>
        <w:autoSpaceDE w:val="0"/>
        <w:autoSpaceDN w:val="0"/>
        <w:adjustRightInd w:val="0"/>
        <w:spacing w:after="0" w:line="240" w:lineRule="auto"/>
        <w:rPr>
          <w:rFonts w:ascii="Arial" w:hAnsi="Arial" w:cs="Arial"/>
          <w:sz w:val="24"/>
          <w:szCs w:val="24"/>
        </w:rPr>
      </w:pPr>
      <w:r w:rsidRPr="00FA3F9C">
        <w:rPr>
          <w:rFonts w:ascii="Arial" w:eastAsiaTheme="minorEastAsia" w:hAnsi="Arial" w:cs="Arial"/>
          <w:sz w:val="24"/>
          <w:szCs w:val="24"/>
        </w:rPr>
        <w:t xml:space="preserve">Xia S, Zhang W, Huang L, Jiang H (2013) Comparative Efficacy and Safety of Deferoxamine, Deferiprone and </w:t>
      </w:r>
      <w:proofErr w:type="spellStart"/>
      <w:r w:rsidRPr="00FA3F9C">
        <w:rPr>
          <w:rFonts w:ascii="Arial" w:eastAsiaTheme="minorEastAsia" w:hAnsi="Arial" w:cs="Arial"/>
          <w:sz w:val="24"/>
          <w:szCs w:val="24"/>
        </w:rPr>
        <w:t>Deferasirox</w:t>
      </w:r>
      <w:proofErr w:type="spellEnd"/>
      <w:r w:rsidRPr="00FA3F9C">
        <w:rPr>
          <w:rFonts w:ascii="Arial" w:eastAsiaTheme="minorEastAsia" w:hAnsi="Arial" w:cs="Arial"/>
          <w:sz w:val="24"/>
          <w:szCs w:val="24"/>
        </w:rPr>
        <w:t xml:space="preserve"> on Severe Thalassemia: A Meta-Analysis of 16 Randomized Controlled Trials. </w:t>
      </w:r>
      <w:proofErr w:type="spellStart"/>
      <w:r w:rsidRPr="00FA3F9C">
        <w:rPr>
          <w:rFonts w:ascii="Arial" w:eastAsiaTheme="minorEastAsia" w:hAnsi="Arial" w:cs="Arial"/>
          <w:sz w:val="24"/>
          <w:szCs w:val="24"/>
        </w:rPr>
        <w:t>PLoS</w:t>
      </w:r>
      <w:proofErr w:type="spellEnd"/>
      <w:r w:rsidRPr="00FA3F9C">
        <w:rPr>
          <w:rFonts w:ascii="Arial" w:eastAsiaTheme="minorEastAsia" w:hAnsi="Arial" w:cs="Arial"/>
          <w:sz w:val="24"/>
          <w:szCs w:val="24"/>
        </w:rPr>
        <w:t xml:space="preserve"> ONE 8(12): e82662. doi:10.1371/journal.pone.0082662</w:t>
      </w:r>
    </w:p>
    <w:p w14:paraId="36D474AE" w14:textId="77777777" w:rsidR="001506C1" w:rsidRPr="00FA3F9C" w:rsidRDefault="001506C1" w:rsidP="001506C1">
      <w:pPr>
        <w:pStyle w:val="ListParagraph"/>
        <w:numPr>
          <w:ilvl w:val="0"/>
          <w:numId w:val="115"/>
        </w:numPr>
        <w:spacing w:after="0" w:line="240" w:lineRule="auto"/>
        <w:rPr>
          <w:rFonts w:ascii="Arial" w:hAnsi="Arial" w:cs="Arial"/>
          <w:color w:val="222222"/>
          <w:sz w:val="24"/>
          <w:szCs w:val="24"/>
          <w:shd w:val="clear" w:color="auto" w:fill="F8F8F8"/>
        </w:rPr>
      </w:pPr>
      <w:r w:rsidRPr="00FA3F9C">
        <w:rPr>
          <w:rFonts w:ascii="Arial" w:hAnsi="Arial" w:cs="Arial"/>
          <w:color w:val="222222"/>
          <w:sz w:val="24"/>
          <w:szCs w:val="24"/>
          <w:shd w:val="clear" w:color="auto" w:fill="F8F8F8"/>
        </w:rPr>
        <w:t>Bacon, Bruce. “Iron Chelators: Choice of Agent, dosing, and adverse effects” (2018). UptoDate.</w:t>
      </w:r>
      <w:hyperlink r:id="rId117" w:history="1">
        <w:r w:rsidRPr="00FA3F9C">
          <w:rPr>
            <w:rStyle w:val="Hyperlink"/>
            <w:rFonts w:ascii="Arial" w:hAnsi="Arial" w:cs="Arial"/>
            <w:sz w:val="24"/>
            <w:szCs w:val="24"/>
          </w:rPr>
          <w:t>https://www.uptodate.com/contents/iron-chelators-choice-of-agent-dosing-and-adverse effects?search=deferiprone&amp;source=search_result&amp;selectedTitle=2~16&amp;usage_type=default&amp;display_rank=1</w:t>
        </w:r>
      </w:hyperlink>
    </w:p>
    <w:p w14:paraId="0F8D097C" w14:textId="77777777" w:rsidR="001506C1" w:rsidRPr="00FA3F9C" w:rsidRDefault="001506C1" w:rsidP="001506C1">
      <w:pPr>
        <w:pStyle w:val="ListParagraph"/>
        <w:numPr>
          <w:ilvl w:val="0"/>
          <w:numId w:val="115"/>
        </w:numPr>
        <w:spacing w:after="0" w:line="240" w:lineRule="auto"/>
        <w:rPr>
          <w:rFonts w:ascii="Arial" w:hAnsi="Arial" w:cs="Arial"/>
          <w:color w:val="222222"/>
          <w:sz w:val="24"/>
          <w:szCs w:val="24"/>
          <w:shd w:val="clear" w:color="auto" w:fill="F8F8F8"/>
        </w:rPr>
      </w:pPr>
      <w:r w:rsidRPr="00FA3F9C">
        <w:rPr>
          <w:rFonts w:ascii="Arial" w:hAnsi="Arial" w:cs="Arial"/>
          <w:color w:val="222222"/>
          <w:sz w:val="24"/>
          <w:szCs w:val="24"/>
          <w:shd w:val="clear" w:color="auto" w:fill="F8F8F8"/>
        </w:rPr>
        <w:t xml:space="preserve">Benz, Edward Jr, </w:t>
      </w:r>
      <w:proofErr w:type="spellStart"/>
      <w:r w:rsidRPr="00FA3F9C">
        <w:rPr>
          <w:rFonts w:ascii="Arial" w:hAnsi="Arial" w:cs="Arial"/>
          <w:color w:val="222222"/>
          <w:sz w:val="24"/>
          <w:szCs w:val="24"/>
          <w:shd w:val="clear" w:color="auto" w:fill="F8F8F8"/>
        </w:rPr>
        <w:t>Angelucci</w:t>
      </w:r>
      <w:proofErr w:type="spellEnd"/>
      <w:r w:rsidRPr="00FA3F9C">
        <w:rPr>
          <w:rFonts w:ascii="Arial" w:hAnsi="Arial" w:cs="Arial"/>
          <w:color w:val="222222"/>
          <w:sz w:val="24"/>
          <w:szCs w:val="24"/>
          <w:shd w:val="clear" w:color="auto" w:fill="F8F8F8"/>
        </w:rPr>
        <w:t xml:space="preserve">, Emanuele, </w:t>
      </w:r>
      <w:proofErr w:type="spellStart"/>
      <w:r w:rsidRPr="00FA3F9C">
        <w:rPr>
          <w:rFonts w:ascii="Arial" w:hAnsi="Arial" w:cs="Arial"/>
          <w:color w:val="222222"/>
          <w:sz w:val="24"/>
          <w:szCs w:val="24"/>
          <w:shd w:val="clear" w:color="auto" w:fill="F8F8F8"/>
        </w:rPr>
        <w:t>Vichinsky</w:t>
      </w:r>
      <w:proofErr w:type="spellEnd"/>
      <w:r w:rsidRPr="00FA3F9C">
        <w:rPr>
          <w:rFonts w:ascii="Arial" w:hAnsi="Arial" w:cs="Arial"/>
          <w:color w:val="222222"/>
          <w:sz w:val="24"/>
          <w:szCs w:val="24"/>
          <w:shd w:val="clear" w:color="auto" w:fill="F8F8F8"/>
        </w:rPr>
        <w:t xml:space="preserve"> Elliot, </w:t>
      </w:r>
      <w:proofErr w:type="spellStart"/>
      <w:r w:rsidRPr="00FA3F9C">
        <w:rPr>
          <w:rFonts w:ascii="Arial" w:hAnsi="Arial" w:cs="Arial"/>
          <w:color w:val="222222"/>
          <w:sz w:val="24"/>
          <w:szCs w:val="24"/>
          <w:shd w:val="clear" w:color="auto" w:fill="F8F8F8"/>
        </w:rPr>
        <w:t>Tirnauer</w:t>
      </w:r>
      <w:proofErr w:type="spellEnd"/>
      <w:r w:rsidRPr="00FA3F9C">
        <w:rPr>
          <w:rFonts w:ascii="Arial" w:hAnsi="Arial" w:cs="Arial"/>
          <w:color w:val="222222"/>
          <w:sz w:val="24"/>
          <w:szCs w:val="24"/>
          <w:shd w:val="clear" w:color="auto" w:fill="F8F8F8"/>
        </w:rPr>
        <w:t xml:space="preserve"> Jennifer. “Management and Prognosis of the </w:t>
      </w:r>
      <w:proofErr w:type="spellStart"/>
      <w:r w:rsidRPr="00FA3F9C">
        <w:rPr>
          <w:rFonts w:ascii="Arial" w:hAnsi="Arial" w:cs="Arial"/>
          <w:color w:val="222222"/>
          <w:sz w:val="24"/>
          <w:szCs w:val="24"/>
          <w:shd w:val="clear" w:color="auto" w:fill="F8F8F8"/>
        </w:rPr>
        <w:t>Thalassemias</w:t>
      </w:r>
      <w:proofErr w:type="spellEnd"/>
      <w:r w:rsidRPr="00FA3F9C">
        <w:rPr>
          <w:rFonts w:ascii="Arial" w:hAnsi="Arial" w:cs="Arial"/>
          <w:color w:val="222222"/>
          <w:sz w:val="24"/>
          <w:szCs w:val="24"/>
          <w:shd w:val="clear" w:color="auto" w:fill="F8F8F8"/>
        </w:rPr>
        <w:t xml:space="preserve">”. UpToDate. </w:t>
      </w:r>
      <w:hyperlink r:id="rId118" w:history="1">
        <w:r w:rsidRPr="00FA3F9C">
          <w:rPr>
            <w:rStyle w:val="Hyperlink"/>
            <w:rFonts w:ascii="Arial" w:hAnsi="Arial" w:cs="Arial"/>
            <w:sz w:val="24"/>
            <w:szCs w:val="24"/>
          </w:rPr>
          <w:t>https://www.uptodate.com/contents/management-and-prognosis-of-the-thalassemias?search=management%20of%20thalassemia&amp;source=search_result&amp;selectedTitle=1~150&amp;usage_type=default&amp;display_rank=1</w:t>
        </w:r>
      </w:hyperlink>
    </w:p>
    <w:p w14:paraId="30B19E75" w14:textId="77777777" w:rsidR="001506C1" w:rsidRPr="00FA3F9C" w:rsidRDefault="001506C1" w:rsidP="001506C1">
      <w:pPr>
        <w:pStyle w:val="ListParagraph"/>
        <w:numPr>
          <w:ilvl w:val="0"/>
          <w:numId w:val="115"/>
        </w:numPr>
        <w:spacing w:after="0" w:line="240" w:lineRule="auto"/>
        <w:rPr>
          <w:rFonts w:ascii="Arial" w:hAnsi="Arial" w:cs="Arial"/>
          <w:sz w:val="24"/>
          <w:szCs w:val="24"/>
        </w:rPr>
      </w:pPr>
      <w:proofErr w:type="spellStart"/>
      <w:r w:rsidRPr="00FA3F9C">
        <w:rPr>
          <w:rFonts w:ascii="Arial" w:hAnsi="Arial" w:cs="Arial"/>
          <w:color w:val="222222"/>
          <w:sz w:val="24"/>
          <w:szCs w:val="24"/>
          <w:shd w:val="clear" w:color="auto" w:fill="F8F8F8"/>
        </w:rPr>
        <w:t>Ceci</w:t>
      </w:r>
      <w:proofErr w:type="spellEnd"/>
      <w:r w:rsidRPr="00FA3F9C">
        <w:rPr>
          <w:rFonts w:ascii="Arial" w:hAnsi="Arial" w:cs="Arial"/>
          <w:color w:val="222222"/>
          <w:sz w:val="24"/>
          <w:szCs w:val="24"/>
          <w:shd w:val="clear" w:color="auto" w:fill="F8F8F8"/>
        </w:rPr>
        <w:t>, Adriana, et al. "The safety and effectiveness of deferiprone in a large</w:t>
      </w:r>
      <w:r w:rsidRPr="00FA3F9C">
        <w:rPr>
          <w:rFonts w:ascii="Cambria Math" w:hAnsi="Cambria Math" w:cs="Cambria Math"/>
          <w:color w:val="222222"/>
          <w:sz w:val="24"/>
          <w:szCs w:val="24"/>
          <w:shd w:val="clear" w:color="auto" w:fill="F8F8F8"/>
        </w:rPr>
        <w:t>‐</w:t>
      </w:r>
      <w:r w:rsidRPr="00FA3F9C">
        <w:rPr>
          <w:rFonts w:ascii="Arial" w:hAnsi="Arial" w:cs="Arial"/>
          <w:color w:val="222222"/>
          <w:sz w:val="24"/>
          <w:szCs w:val="24"/>
          <w:shd w:val="clear" w:color="auto" w:fill="F8F8F8"/>
        </w:rPr>
        <w:t>scale, 3</w:t>
      </w:r>
      <w:r w:rsidRPr="00FA3F9C">
        <w:rPr>
          <w:rFonts w:ascii="Cambria Math" w:hAnsi="Cambria Math" w:cs="Cambria Math"/>
          <w:color w:val="222222"/>
          <w:sz w:val="24"/>
          <w:szCs w:val="24"/>
          <w:shd w:val="clear" w:color="auto" w:fill="F8F8F8"/>
        </w:rPr>
        <w:t>‐</w:t>
      </w:r>
      <w:r w:rsidRPr="00FA3F9C">
        <w:rPr>
          <w:rFonts w:ascii="Arial" w:hAnsi="Arial" w:cs="Arial"/>
          <w:color w:val="222222"/>
          <w:sz w:val="24"/>
          <w:szCs w:val="24"/>
          <w:shd w:val="clear" w:color="auto" w:fill="F8F8F8"/>
        </w:rPr>
        <w:t xml:space="preserve">year study in Italian patients." British journal of </w:t>
      </w:r>
      <w:proofErr w:type="spellStart"/>
      <w:r w:rsidRPr="00FA3F9C">
        <w:rPr>
          <w:rFonts w:ascii="Arial" w:hAnsi="Arial" w:cs="Arial"/>
          <w:color w:val="222222"/>
          <w:sz w:val="24"/>
          <w:szCs w:val="24"/>
          <w:shd w:val="clear" w:color="auto" w:fill="F8F8F8"/>
        </w:rPr>
        <w:t>haematology</w:t>
      </w:r>
      <w:proofErr w:type="spellEnd"/>
      <w:r w:rsidRPr="00FA3F9C">
        <w:rPr>
          <w:rFonts w:ascii="Arial" w:hAnsi="Arial" w:cs="Arial"/>
          <w:color w:val="222222"/>
          <w:sz w:val="24"/>
          <w:szCs w:val="24"/>
          <w:shd w:val="clear" w:color="auto" w:fill="F8F8F8"/>
        </w:rPr>
        <w:t> 118.1 (2002): 330-336.</w:t>
      </w:r>
    </w:p>
    <w:p w14:paraId="2918C220" w14:textId="77777777" w:rsidR="001506C1" w:rsidRPr="00FA3F9C" w:rsidRDefault="001506C1" w:rsidP="001506C1">
      <w:pPr>
        <w:pStyle w:val="ListParagraph"/>
        <w:numPr>
          <w:ilvl w:val="0"/>
          <w:numId w:val="115"/>
        </w:numPr>
        <w:spacing w:after="0" w:line="240" w:lineRule="auto"/>
        <w:rPr>
          <w:rFonts w:ascii="Arial" w:hAnsi="Arial" w:cs="Arial"/>
          <w:color w:val="222222"/>
          <w:sz w:val="24"/>
          <w:szCs w:val="24"/>
          <w:shd w:val="clear" w:color="auto" w:fill="F8F8F8"/>
        </w:rPr>
      </w:pPr>
      <w:r w:rsidRPr="00FA3F9C">
        <w:rPr>
          <w:rFonts w:ascii="Arial" w:hAnsi="Arial" w:cs="Arial"/>
          <w:color w:val="222222"/>
          <w:sz w:val="24"/>
          <w:szCs w:val="24"/>
          <w:shd w:val="clear" w:color="auto" w:fill="F8F8F8"/>
        </w:rPr>
        <w:t xml:space="preserve">Hammond, John, et al. "Combination Oral Chelation in Adult Patients </w:t>
      </w:r>
      <w:proofErr w:type="gramStart"/>
      <w:r w:rsidRPr="00FA3F9C">
        <w:rPr>
          <w:rFonts w:ascii="Arial" w:hAnsi="Arial" w:cs="Arial"/>
          <w:color w:val="222222"/>
          <w:sz w:val="24"/>
          <w:szCs w:val="24"/>
          <w:shd w:val="clear" w:color="auto" w:fill="F8F8F8"/>
        </w:rPr>
        <w:t>With</w:t>
      </w:r>
      <w:proofErr w:type="gramEnd"/>
      <w:r w:rsidRPr="00FA3F9C">
        <w:rPr>
          <w:rFonts w:ascii="Arial" w:hAnsi="Arial" w:cs="Arial"/>
          <w:color w:val="222222"/>
          <w:sz w:val="24"/>
          <w:szCs w:val="24"/>
          <w:shd w:val="clear" w:color="auto" w:fill="F8F8F8"/>
        </w:rPr>
        <w:t xml:space="preserve"> Transfusion-dependent Thalassemia and High Iron Burden." Journal of pediatric hematology/oncology 41.1 (2019): e47-e50.</w:t>
      </w:r>
    </w:p>
    <w:p w14:paraId="35DC1460" w14:textId="77777777" w:rsidR="001506C1" w:rsidRPr="00FA3F9C" w:rsidRDefault="001506C1" w:rsidP="001506C1">
      <w:pPr>
        <w:pStyle w:val="ListParagraph"/>
        <w:numPr>
          <w:ilvl w:val="0"/>
          <w:numId w:val="115"/>
        </w:numPr>
        <w:spacing w:after="0" w:line="240" w:lineRule="auto"/>
        <w:rPr>
          <w:rFonts w:ascii="Arial" w:hAnsi="Arial" w:cs="Arial"/>
          <w:sz w:val="24"/>
          <w:szCs w:val="24"/>
        </w:rPr>
      </w:pPr>
      <w:r w:rsidRPr="00FA3F9C">
        <w:rPr>
          <w:rFonts w:ascii="Arial" w:hAnsi="Arial" w:cs="Arial"/>
          <w:sz w:val="24"/>
          <w:szCs w:val="24"/>
        </w:rPr>
        <w:t xml:space="preserve"> “Highlights of Prescribing Information: </w:t>
      </w:r>
      <w:proofErr w:type="spellStart"/>
      <w:r w:rsidRPr="00FA3F9C">
        <w:rPr>
          <w:rFonts w:ascii="Arial" w:hAnsi="Arial" w:cs="Arial"/>
          <w:sz w:val="24"/>
          <w:szCs w:val="24"/>
        </w:rPr>
        <w:t>Ferriprox</w:t>
      </w:r>
      <w:proofErr w:type="spellEnd"/>
      <w:r w:rsidRPr="00FA3F9C">
        <w:rPr>
          <w:rFonts w:ascii="Arial" w:hAnsi="Arial" w:cs="Arial"/>
          <w:sz w:val="24"/>
          <w:szCs w:val="24"/>
        </w:rPr>
        <w:t xml:space="preserve">” FDA (2011). </w:t>
      </w:r>
      <w:hyperlink r:id="rId119" w:history="1">
        <w:r w:rsidRPr="00FA3F9C">
          <w:rPr>
            <w:rStyle w:val="Hyperlink"/>
            <w:rFonts w:ascii="Arial" w:hAnsi="Arial" w:cs="Arial"/>
            <w:sz w:val="24"/>
            <w:szCs w:val="24"/>
          </w:rPr>
          <w:t>https://www.accessdata.fda.gov/drugsatfda_docs/label/2011/021825lbl.pdf</w:t>
        </w:r>
      </w:hyperlink>
    </w:p>
    <w:p w14:paraId="57067D0B" w14:textId="77777777" w:rsidR="001506C1" w:rsidRPr="00FA3F9C" w:rsidRDefault="001506C1" w:rsidP="001506C1">
      <w:pPr>
        <w:pStyle w:val="ListParagraph"/>
        <w:numPr>
          <w:ilvl w:val="0"/>
          <w:numId w:val="115"/>
        </w:numPr>
        <w:spacing w:after="0" w:line="240" w:lineRule="auto"/>
        <w:rPr>
          <w:rFonts w:ascii="Arial" w:hAnsi="Arial" w:cs="Arial"/>
          <w:sz w:val="24"/>
          <w:szCs w:val="24"/>
        </w:rPr>
      </w:pPr>
      <w:r w:rsidRPr="00FA3F9C">
        <w:rPr>
          <w:rFonts w:ascii="Arial" w:hAnsi="Arial" w:cs="Arial"/>
          <w:sz w:val="24"/>
          <w:szCs w:val="24"/>
        </w:rPr>
        <w:t xml:space="preserve">“Highlights of Prescribing Information: </w:t>
      </w:r>
      <w:proofErr w:type="spellStart"/>
      <w:r w:rsidRPr="00FA3F9C">
        <w:rPr>
          <w:rFonts w:ascii="Arial" w:hAnsi="Arial" w:cs="Arial"/>
          <w:sz w:val="24"/>
          <w:szCs w:val="24"/>
        </w:rPr>
        <w:t>Exjade</w:t>
      </w:r>
      <w:proofErr w:type="spellEnd"/>
      <w:r w:rsidRPr="00FA3F9C">
        <w:rPr>
          <w:rFonts w:ascii="Arial" w:hAnsi="Arial" w:cs="Arial"/>
          <w:sz w:val="24"/>
          <w:szCs w:val="24"/>
        </w:rPr>
        <w:t xml:space="preserve">” FDA (2005). </w:t>
      </w:r>
      <w:hyperlink r:id="rId120" w:history="1">
        <w:r w:rsidRPr="00FA3F9C">
          <w:rPr>
            <w:rStyle w:val="Hyperlink"/>
            <w:rFonts w:ascii="Arial" w:hAnsi="Arial" w:cs="Arial"/>
            <w:sz w:val="24"/>
            <w:szCs w:val="24"/>
          </w:rPr>
          <w:t>https://www.accessdata.fda.gov/drugsatfda_docs/label/2009/021882s006lbl.pdf</w:t>
        </w:r>
      </w:hyperlink>
    </w:p>
    <w:p w14:paraId="2EF7E47E" w14:textId="77777777" w:rsidR="001506C1" w:rsidRPr="00FA3F9C" w:rsidRDefault="001506C1" w:rsidP="001506C1">
      <w:pPr>
        <w:pStyle w:val="ListParagraph"/>
        <w:numPr>
          <w:ilvl w:val="0"/>
          <w:numId w:val="115"/>
        </w:numPr>
        <w:spacing w:after="0" w:line="240" w:lineRule="auto"/>
        <w:rPr>
          <w:rFonts w:ascii="Arial" w:hAnsi="Arial" w:cs="Arial"/>
          <w:color w:val="222222"/>
          <w:sz w:val="24"/>
          <w:szCs w:val="24"/>
          <w:shd w:val="clear" w:color="auto" w:fill="F8F8F8"/>
        </w:rPr>
      </w:pPr>
      <w:r w:rsidRPr="00FA3F9C">
        <w:rPr>
          <w:rFonts w:ascii="Arial" w:hAnsi="Arial" w:cs="Arial"/>
          <w:color w:val="222222"/>
          <w:sz w:val="24"/>
          <w:szCs w:val="24"/>
          <w:shd w:val="clear" w:color="auto" w:fill="F8F8F8"/>
        </w:rPr>
        <w:lastRenderedPageBreak/>
        <w:t>Maggio, Aurelio, et al. "Deferiprone versus deferoxamine in patients with thalassemia major: a randomized clinical trial." Blood Cells, Molecules, and Diseases 28.2 (2002): 196-208.</w:t>
      </w:r>
    </w:p>
    <w:p w14:paraId="770572E9" w14:textId="77777777" w:rsidR="001506C1" w:rsidRPr="00FA3F9C" w:rsidRDefault="001506C1" w:rsidP="001506C1">
      <w:pPr>
        <w:pStyle w:val="ListParagraph"/>
        <w:numPr>
          <w:ilvl w:val="0"/>
          <w:numId w:val="115"/>
        </w:numPr>
        <w:spacing w:after="0" w:line="240" w:lineRule="auto"/>
        <w:rPr>
          <w:rFonts w:ascii="Arial" w:hAnsi="Arial" w:cs="Arial"/>
          <w:color w:val="222222"/>
          <w:sz w:val="24"/>
          <w:szCs w:val="24"/>
          <w:shd w:val="clear" w:color="auto" w:fill="F8F8F8"/>
        </w:rPr>
      </w:pPr>
      <w:proofErr w:type="spellStart"/>
      <w:r w:rsidRPr="00FA3F9C">
        <w:rPr>
          <w:rFonts w:ascii="Arial" w:hAnsi="Arial" w:cs="Arial"/>
          <w:color w:val="222222"/>
          <w:sz w:val="24"/>
          <w:szCs w:val="24"/>
          <w:shd w:val="clear" w:color="auto" w:fill="F8F8F8"/>
          <w:lang w:val="fr-FR"/>
        </w:rPr>
        <w:t>Pennell</w:t>
      </w:r>
      <w:proofErr w:type="spellEnd"/>
      <w:r w:rsidRPr="00FA3F9C">
        <w:rPr>
          <w:rFonts w:ascii="Arial" w:hAnsi="Arial" w:cs="Arial"/>
          <w:color w:val="222222"/>
          <w:sz w:val="24"/>
          <w:szCs w:val="24"/>
          <w:shd w:val="clear" w:color="auto" w:fill="F8F8F8"/>
          <w:lang w:val="fr-FR"/>
        </w:rPr>
        <w:t xml:space="preserve">, Dudley J., et al. </w:t>
      </w:r>
      <w:r w:rsidRPr="00FA3F9C">
        <w:rPr>
          <w:rFonts w:ascii="Arial" w:hAnsi="Arial" w:cs="Arial"/>
          <w:color w:val="222222"/>
          <w:sz w:val="24"/>
          <w:szCs w:val="24"/>
          <w:shd w:val="clear" w:color="auto" w:fill="F8F8F8"/>
        </w:rPr>
        <w:t xml:space="preserve">"Efficacy of </w:t>
      </w:r>
      <w:proofErr w:type="spellStart"/>
      <w:r w:rsidRPr="00FA3F9C">
        <w:rPr>
          <w:rFonts w:ascii="Arial" w:hAnsi="Arial" w:cs="Arial"/>
          <w:color w:val="222222"/>
          <w:sz w:val="24"/>
          <w:szCs w:val="24"/>
          <w:shd w:val="clear" w:color="auto" w:fill="F8F8F8"/>
        </w:rPr>
        <w:t>deferasirox</w:t>
      </w:r>
      <w:proofErr w:type="spellEnd"/>
      <w:r w:rsidRPr="00FA3F9C">
        <w:rPr>
          <w:rFonts w:ascii="Arial" w:hAnsi="Arial" w:cs="Arial"/>
          <w:color w:val="222222"/>
          <w:sz w:val="24"/>
          <w:szCs w:val="24"/>
          <w:shd w:val="clear" w:color="auto" w:fill="F8F8F8"/>
        </w:rPr>
        <w:t xml:space="preserve"> in reducing and preventing cardiac iron overload in β-thalassemia." Blood 115.12 (2010): 2364-2371.</w:t>
      </w:r>
    </w:p>
    <w:p w14:paraId="27165D3E"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418"/>
        <w:gridCol w:w="7470"/>
        <w:gridCol w:w="2538"/>
      </w:tblGrid>
      <w:tr w:rsidR="001506C1" w:rsidRPr="00FA3F9C" w14:paraId="4EFD6C63" w14:textId="77777777" w:rsidTr="00FE491B">
        <w:tc>
          <w:tcPr>
            <w:tcW w:w="1008" w:type="dxa"/>
          </w:tcPr>
          <w:p w14:paraId="2003CC19" w14:textId="77777777" w:rsidR="001506C1" w:rsidRPr="00FA3F9C" w:rsidRDefault="001506C1" w:rsidP="006F623F">
            <w:pPr>
              <w:rPr>
                <w:rFonts w:ascii="Arial" w:hAnsi="Arial" w:cs="Arial"/>
                <w:sz w:val="24"/>
                <w:szCs w:val="24"/>
              </w:rPr>
            </w:pPr>
            <w:r w:rsidRPr="00FA3F9C">
              <w:rPr>
                <w:rFonts w:ascii="Arial" w:hAnsi="Arial" w:cs="Arial"/>
                <w:sz w:val="24"/>
                <w:szCs w:val="24"/>
              </w:rPr>
              <w:t>Date</w:t>
            </w:r>
          </w:p>
        </w:tc>
        <w:tc>
          <w:tcPr>
            <w:tcW w:w="7470" w:type="dxa"/>
          </w:tcPr>
          <w:p w14:paraId="4CB993E1" w14:textId="77777777" w:rsidR="001506C1" w:rsidRPr="00FA3F9C" w:rsidRDefault="001506C1" w:rsidP="006F623F">
            <w:pPr>
              <w:rPr>
                <w:rFonts w:ascii="Arial" w:hAnsi="Arial" w:cs="Arial"/>
                <w:sz w:val="24"/>
                <w:szCs w:val="24"/>
              </w:rPr>
            </w:pPr>
            <w:r w:rsidRPr="00FA3F9C">
              <w:rPr>
                <w:rFonts w:ascii="Arial" w:hAnsi="Arial" w:cs="Arial"/>
                <w:sz w:val="24"/>
                <w:szCs w:val="24"/>
              </w:rPr>
              <w:t>What changed</w:t>
            </w:r>
          </w:p>
        </w:tc>
        <w:tc>
          <w:tcPr>
            <w:tcW w:w="2538" w:type="dxa"/>
          </w:tcPr>
          <w:p w14:paraId="066AEC71" w14:textId="77777777" w:rsidR="001506C1" w:rsidRPr="00FA3F9C" w:rsidRDefault="001506C1" w:rsidP="006F623F">
            <w:pPr>
              <w:rPr>
                <w:rFonts w:ascii="Arial" w:hAnsi="Arial" w:cs="Arial"/>
                <w:sz w:val="24"/>
                <w:szCs w:val="24"/>
              </w:rPr>
            </w:pPr>
            <w:r w:rsidRPr="00FA3F9C">
              <w:rPr>
                <w:rFonts w:ascii="Arial" w:hAnsi="Arial" w:cs="Arial"/>
                <w:sz w:val="24"/>
                <w:szCs w:val="24"/>
              </w:rPr>
              <w:t>Pharmacist’s initials</w:t>
            </w:r>
          </w:p>
        </w:tc>
      </w:tr>
      <w:tr w:rsidR="001506C1" w:rsidRPr="00FA3F9C" w14:paraId="14D82EEC" w14:textId="77777777" w:rsidTr="00FE491B">
        <w:tc>
          <w:tcPr>
            <w:tcW w:w="1008" w:type="dxa"/>
          </w:tcPr>
          <w:p w14:paraId="6B33FACA" w14:textId="77777777" w:rsidR="001506C1" w:rsidRPr="00FA3F9C" w:rsidRDefault="001506C1" w:rsidP="006F623F">
            <w:pPr>
              <w:rPr>
                <w:rFonts w:ascii="Arial" w:hAnsi="Arial" w:cs="Arial"/>
                <w:sz w:val="24"/>
                <w:szCs w:val="24"/>
              </w:rPr>
            </w:pPr>
            <w:r w:rsidRPr="00FA3F9C">
              <w:rPr>
                <w:rFonts w:ascii="Arial" w:hAnsi="Arial" w:cs="Arial"/>
                <w:sz w:val="24"/>
                <w:szCs w:val="24"/>
              </w:rPr>
              <w:t>10/18/19</w:t>
            </w:r>
          </w:p>
        </w:tc>
        <w:tc>
          <w:tcPr>
            <w:tcW w:w="7470" w:type="dxa"/>
          </w:tcPr>
          <w:p w14:paraId="4428F5A5" w14:textId="77777777" w:rsidR="001506C1" w:rsidRPr="00FA3F9C" w:rsidRDefault="001506C1" w:rsidP="006F623F">
            <w:pPr>
              <w:rPr>
                <w:rFonts w:ascii="Arial" w:hAnsi="Arial" w:cs="Arial"/>
                <w:sz w:val="24"/>
                <w:szCs w:val="24"/>
              </w:rPr>
            </w:pPr>
            <w:r w:rsidRPr="00FA3F9C">
              <w:rPr>
                <w:rFonts w:ascii="Arial" w:hAnsi="Arial" w:cs="Arial"/>
                <w:sz w:val="24"/>
                <w:szCs w:val="24"/>
              </w:rPr>
              <w:t>I wrote the criteria.</w:t>
            </w:r>
          </w:p>
        </w:tc>
        <w:tc>
          <w:tcPr>
            <w:tcW w:w="2538" w:type="dxa"/>
          </w:tcPr>
          <w:p w14:paraId="726481E5" w14:textId="77777777" w:rsidR="001506C1" w:rsidRPr="00FA3F9C" w:rsidRDefault="001506C1" w:rsidP="006F623F">
            <w:pPr>
              <w:rPr>
                <w:rFonts w:ascii="Arial" w:hAnsi="Arial" w:cs="Arial"/>
                <w:sz w:val="24"/>
                <w:szCs w:val="24"/>
              </w:rPr>
            </w:pPr>
            <w:r w:rsidRPr="00FA3F9C">
              <w:rPr>
                <w:rFonts w:ascii="Arial" w:hAnsi="Arial" w:cs="Arial"/>
                <w:sz w:val="24"/>
                <w:szCs w:val="24"/>
              </w:rPr>
              <w:t>JJ</w:t>
            </w:r>
          </w:p>
        </w:tc>
      </w:tr>
      <w:tr w:rsidR="001506C1" w:rsidRPr="00FA3F9C" w14:paraId="4B9B5625" w14:textId="77777777" w:rsidTr="00FE491B">
        <w:tc>
          <w:tcPr>
            <w:tcW w:w="1008" w:type="dxa"/>
          </w:tcPr>
          <w:p w14:paraId="448CC99C" w14:textId="77777777" w:rsidR="001506C1" w:rsidRPr="00FA3F9C" w:rsidRDefault="001506C1" w:rsidP="006F623F">
            <w:pPr>
              <w:rPr>
                <w:rFonts w:ascii="Arial" w:hAnsi="Arial" w:cs="Arial"/>
                <w:sz w:val="24"/>
                <w:szCs w:val="24"/>
              </w:rPr>
            </w:pPr>
            <w:r w:rsidRPr="00FA3F9C">
              <w:rPr>
                <w:rFonts w:ascii="Arial" w:hAnsi="Arial" w:cs="Arial"/>
                <w:sz w:val="24"/>
                <w:szCs w:val="24"/>
              </w:rPr>
              <w:t>06/23/2020</w:t>
            </w:r>
          </w:p>
        </w:tc>
        <w:tc>
          <w:tcPr>
            <w:tcW w:w="7470" w:type="dxa"/>
          </w:tcPr>
          <w:p w14:paraId="681F3026" w14:textId="77777777" w:rsidR="001506C1" w:rsidRPr="00FA3F9C" w:rsidRDefault="001506C1" w:rsidP="006F623F">
            <w:pPr>
              <w:rPr>
                <w:rFonts w:ascii="Arial" w:hAnsi="Arial" w:cs="Arial"/>
                <w:sz w:val="24"/>
                <w:szCs w:val="24"/>
              </w:rPr>
            </w:pPr>
            <w:r w:rsidRPr="00FA3F9C">
              <w:rPr>
                <w:rFonts w:ascii="Arial" w:hAnsi="Arial" w:cs="Arial"/>
                <w:sz w:val="24"/>
                <w:szCs w:val="24"/>
              </w:rPr>
              <w:t>I reviewed the criteria. No changes</w:t>
            </w:r>
          </w:p>
        </w:tc>
        <w:tc>
          <w:tcPr>
            <w:tcW w:w="2538" w:type="dxa"/>
          </w:tcPr>
          <w:p w14:paraId="0F8710C7" w14:textId="77777777" w:rsidR="001506C1" w:rsidRPr="00FA3F9C" w:rsidRDefault="001506C1" w:rsidP="006F623F">
            <w:pPr>
              <w:rPr>
                <w:rFonts w:ascii="Arial" w:hAnsi="Arial" w:cs="Arial"/>
                <w:sz w:val="24"/>
                <w:szCs w:val="24"/>
              </w:rPr>
            </w:pPr>
            <w:r w:rsidRPr="00FA3F9C">
              <w:rPr>
                <w:rFonts w:ascii="Arial" w:hAnsi="Arial" w:cs="Arial"/>
                <w:sz w:val="24"/>
                <w:szCs w:val="24"/>
              </w:rPr>
              <w:t>JJ</w:t>
            </w:r>
          </w:p>
        </w:tc>
      </w:tr>
      <w:tr w:rsidR="001506C1" w:rsidRPr="00FA3F9C" w14:paraId="0DEBCC61" w14:textId="77777777" w:rsidTr="00FE491B">
        <w:tc>
          <w:tcPr>
            <w:tcW w:w="1008" w:type="dxa"/>
          </w:tcPr>
          <w:p w14:paraId="21449798" w14:textId="77777777" w:rsidR="001506C1" w:rsidRPr="00FA3F9C" w:rsidRDefault="001506C1" w:rsidP="006F623F">
            <w:pPr>
              <w:rPr>
                <w:rFonts w:ascii="Arial" w:hAnsi="Arial" w:cs="Arial"/>
                <w:sz w:val="24"/>
                <w:szCs w:val="24"/>
              </w:rPr>
            </w:pPr>
            <w:r w:rsidRPr="00FA3F9C">
              <w:rPr>
                <w:rFonts w:ascii="Arial" w:hAnsi="Arial" w:cs="Arial"/>
                <w:sz w:val="24"/>
                <w:szCs w:val="24"/>
              </w:rPr>
              <w:t>4/1/21</w:t>
            </w:r>
          </w:p>
        </w:tc>
        <w:tc>
          <w:tcPr>
            <w:tcW w:w="7470" w:type="dxa"/>
          </w:tcPr>
          <w:p w14:paraId="5F786700" w14:textId="77777777" w:rsidR="001506C1" w:rsidRPr="00FA3F9C" w:rsidRDefault="001506C1" w:rsidP="006F623F">
            <w:pPr>
              <w:rPr>
                <w:rFonts w:ascii="Arial" w:hAnsi="Arial" w:cs="Arial"/>
                <w:sz w:val="24"/>
                <w:szCs w:val="24"/>
              </w:rPr>
            </w:pPr>
            <w:r w:rsidRPr="00FA3F9C">
              <w:rPr>
                <w:rFonts w:ascii="Arial" w:hAnsi="Arial" w:cs="Arial"/>
                <w:sz w:val="24"/>
                <w:szCs w:val="24"/>
              </w:rPr>
              <w:t>Applied EBRx criteria to UAS Plan.</w:t>
            </w:r>
          </w:p>
        </w:tc>
        <w:tc>
          <w:tcPr>
            <w:tcW w:w="2538" w:type="dxa"/>
          </w:tcPr>
          <w:p w14:paraId="29146177" w14:textId="77777777" w:rsidR="001506C1" w:rsidRPr="00FA3F9C" w:rsidRDefault="001506C1" w:rsidP="006F623F">
            <w:pPr>
              <w:rPr>
                <w:rFonts w:ascii="Arial" w:hAnsi="Arial" w:cs="Arial"/>
                <w:sz w:val="24"/>
                <w:szCs w:val="24"/>
              </w:rPr>
            </w:pPr>
            <w:r w:rsidRPr="00FA3F9C">
              <w:rPr>
                <w:rFonts w:ascii="Arial" w:hAnsi="Arial" w:cs="Arial"/>
                <w:sz w:val="24"/>
                <w:szCs w:val="24"/>
              </w:rPr>
              <w:t>JJ</w:t>
            </w:r>
          </w:p>
        </w:tc>
      </w:tr>
    </w:tbl>
    <w:p w14:paraId="2A0C56EB" w14:textId="77777777" w:rsidR="001506C1" w:rsidRPr="00FA3F9C" w:rsidRDefault="001506C1" w:rsidP="006F623F">
      <w:pPr>
        <w:spacing w:after="0"/>
        <w:rPr>
          <w:rFonts w:ascii="Arial" w:hAnsi="Arial" w:cs="Arial"/>
          <w:sz w:val="24"/>
          <w:szCs w:val="24"/>
        </w:rPr>
      </w:pPr>
    </w:p>
    <w:p w14:paraId="366F3942" w14:textId="77777777" w:rsidR="001506C1" w:rsidRPr="00FA3F9C" w:rsidRDefault="001506C1">
      <w:pPr>
        <w:spacing w:after="0"/>
        <w:rPr>
          <w:rFonts w:ascii="Arial" w:hAnsi="Arial" w:cs="Arial"/>
          <w:sz w:val="24"/>
          <w:szCs w:val="24"/>
        </w:rPr>
      </w:pPr>
    </w:p>
    <w:p w14:paraId="63923114" w14:textId="77777777" w:rsidR="001506C1" w:rsidRPr="00FA3F9C" w:rsidRDefault="001506C1" w:rsidP="003B40CD">
      <w:pPr>
        <w:pStyle w:val="Heading2"/>
      </w:pPr>
      <w:bookmarkStart w:id="70" w:name="_Toc106369766"/>
      <w:r w:rsidRPr="00FA3F9C">
        <w:t>Delafloxacin (</w:t>
      </w:r>
      <w:proofErr w:type="spellStart"/>
      <w:r w:rsidRPr="00FA3F9C">
        <w:t>Baxdela</w:t>
      </w:r>
      <w:proofErr w:type="spellEnd"/>
      <w:r w:rsidRPr="00FA3F9C">
        <w:t>)</w:t>
      </w:r>
      <w:bookmarkEnd w:id="70"/>
    </w:p>
    <w:p w14:paraId="7A71A8A6" w14:textId="77777777" w:rsidR="001506C1" w:rsidRPr="00FA3F9C" w:rsidRDefault="001506C1" w:rsidP="006F623F">
      <w:pPr>
        <w:spacing w:after="0"/>
        <w:jc w:val="center"/>
        <w:rPr>
          <w:rFonts w:ascii="Arial" w:hAnsi="Arial" w:cs="Arial"/>
          <w:sz w:val="24"/>
          <w:szCs w:val="24"/>
        </w:rPr>
      </w:pPr>
      <w:r w:rsidRPr="00FA3F9C">
        <w:rPr>
          <w:rFonts w:ascii="Arial" w:hAnsi="Arial" w:cs="Arial"/>
          <w:sz w:val="24"/>
          <w:szCs w:val="24"/>
        </w:rPr>
        <w:t>EBRx PA Criteria</w:t>
      </w:r>
    </w:p>
    <w:p w14:paraId="755FE715" w14:textId="77777777" w:rsidR="001506C1" w:rsidRPr="00FA3F9C" w:rsidRDefault="001506C1" w:rsidP="006F623F">
      <w:pPr>
        <w:spacing w:after="0"/>
        <w:rPr>
          <w:rFonts w:ascii="Arial" w:hAnsi="Arial" w:cs="Arial"/>
          <w:b/>
          <w:sz w:val="24"/>
          <w:szCs w:val="24"/>
          <w:u w:val="single"/>
        </w:rPr>
      </w:pPr>
    </w:p>
    <w:p w14:paraId="7B30F75A" w14:textId="77777777" w:rsidR="001506C1" w:rsidRPr="00FA3F9C" w:rsidRDefault="001506C1"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w:t>
      </w:r>
    </w:p>
    <w:p w14:paraId="208E3919" w14:textId="77777777" w:rsidR="001506C1" w:rsidRPr="00FA3F9C" w:rsidRDefault="001506C1" w:rsidP="001506C1">
      <w:pPr>
        <w:pStyle w:val="ListParagraph"/>
        <w:numPr>
          <w:ilvl w:val="0"/>
          <w:numId w:val="117"/>
        </w:numPr>
        <w:spacing w:after="0" w:line="276" w:lineRule="auto"/>
        <w:rPr>
          <w:rFonts w:ascii="Arial" w:hAnsi="Arial" w:cs="Arial"/>
          <w:sz w:val="24"/>
          <w:szCs w:val="24"/>
        </w:rPr>
      </w:pPr>
      <w:r w:rsidRPr="00FA3F9C">
        <w:rPr>
          <w:rFonts w:ascii="Arial" w:hAnsi="Arial" w:cs="Arial"/>
          <w:sz w:val="24"/>
          <w:szCs w:val="24"/>
        </w:rPr>
        <w:t xml:space="preserve">Community-acquired pneumonia caused by susceptible organisms (Streptococcus pneumoniae, Staphylococcus aureus, Klebsiella, E Coli, Pseudomonas aeruginosa, H. flu, H </w:t>
      </w:r>
      <w:proofErr w:type="spellStart"/>
      <w:r w:rsidRPr="00FA3F9C">
        <w:rPr>
          <w:rFonts w:ascii="Arial" w:hAnsi="Arial" w:cs="Arial"/>
          <w:sz w:val="24"/>
          <w:szCs w:val="24"/>
        </w:rPr>
        <w:t>parainfluenzae</w:t>
      </w:r>
      <w:proofErr w:type="spellEnd"/>
      <w:r w:rsidRPr="00FA3F9C">
        <w:rPr>
          <w:rFonts w:ascii="Arial" w:hAnsi="Arial" w:cs="Arial"/>
          <w:sz w:val="24"/>
          <w:szCs w:val="24"/>
        </w:rPr>
        <w:t>, Legionella, Mycoplasma, Chlamydophila</w:t>
      </w:r>
    </w:p>
    <w:p w14:paraId="0B31423C" w14:textId="77777777" w:rsidR="001506C1" w:rsidRPr="00FA3F9C" w:rsidRDefault="001506C1" w:rsidP="001506C1">
      <w:pPr>
        <w:pStyle w:val="ListParagraph"/>
        <w:numPr>
          <w:ilvl w:val="0"/>
          <w:numId w:val="117"/>
        </w:numPr>
        <w:spacing w:after="0" w:line="276" w:lineRule="auto"/>
        <w:rPr>
          <w:rFonts w:ascii="Arial" w:hAnsi="Arial" w:cs="Arial"/>
          <w:sz w:val="24"/>
          <w:szCs w:val="24"/>
        </w:rPr>
      </w:pPr>
      <w:r w:rsidRPr="00FA3F9C">
        <w:rPr>
          <w:rFonts w:ascii="Arial" w:hAnsi="Arial" w:cs="Arial"/>
          <w:sz w:val="24"/>
          <w:szCs w:val="24"/>
        </w:rPr>
        <w:t xml:space="preserve">Skin and Skin structure infection caused by MRSA, MSSA, Staph </w:t>
      </w:r>
      <w:proofErr w:type="spellStart"/>
      <w:r w:rsidRPr="00FA3F9C">
        <w:rPr>
          <w:rFonts w:ascii="Arial" w:hAnsi="Arial" w:cs="Arial"/>
          <w:sz w:val="24"/>
          <w:szCs w:val="24"/>
        </w:rPr>
        <w:t>haemolyticus</w:t>
      </w:r>
      <w:proofErr w:type="spellEnd"/>
      <w:r w:rsidRPr="00FA3F9C">
        <w:rPr>
          <w:rFonts w:ascii="Arial" w:hAnsi="Arial" w:cs="Arial"/>
          <w:sz w:val="24"/>
          <w:szCs w:val="24"/>
        </w:rPr>
        <w:t xml:space="preserve">, Staph </w:t>
      </w:r>
      <w:proofErr w:type="spellStart"/>
      <w:r w:rsidRPr="00FA3F9C">
        <w:rPr>
          <w:rFonts w:ascii="Arial" w:hAnsi="Arial" w:cs="Arial"/>
          <w:sz w:val="24"/>
          <w:szCs w:val="24"/>
        </w:rPr>
        <w:t>lugdunensis</w:t>
      </w:r>
      <w:proofErr w:type="spellEnd"/>
      <w:r w:rsidRPr="00FA3F9C">
        <w:rPr>
          <w:rFonts w:ascii="Arial" w:hAnsi="Arial" w:cs="Arial"/>
          <w:sz w:val="24"/>
          <w:szCs w:val="24"/>
        </w:rPr>
        <w:t xml:space="preserve">, Strep agalactiae, Strep </w:t>
      </w:r>
      <w:proofErr w:type="spellStart"/>
      <w:r w:rsidRPr="00FA3F9C">
        <w:rPr>
          <w:rFonts w:ascii="Arial" w:hAnsi="Arial" w:cs="Arial"/>
          <w:sz w:val="24"/>
          <w:szCs w:val="24"/>
        </w:rPr>
        <w:t>anginosis</w:t>
      </w:r>
      <w:proofErr w:type="spellEnd"/>
      <w:r w:rsidRPr="00FA3F9C">
        <w:rPr>
          <w:rFonts w:ascii="Arial" w:hAnsi="Arial" w:cs="Arial"/>
          <w:sz w:val="24"/>
          <w:szCs w:val="24"/>
        </w:rPr>
        <w:t xml:space="preserve">, Strep pyogenes, </w:t>
      </w:r>
      <w:proofErr w:type="spellStart"/>
      <w:r w:rsidRPr="00FA3F9C">
        <w:rPr>
          <w:rFonts w:ascii="Arial" w:hAnsi="Arial" w:cs="Arial"/>
          <w:sz w:val="24"/>
          <w:szCs w:val="24"/>
        </w:rPr>
        <w:t>Enterocuccus</w:t>
      </w:r>
      <w:proofErr w:type="spellEnd"/>
      <w:r w:rsidRPr="00FA3F9C">
        <w:rPr>
          <w:rFonts w:ascii="Arial" w:hAnsi="Arial" w:cs="Arial"/>
          <w:sz w:val="24"/>
          <w:szCs w:val="24"/>
        </w:rPr>
        <w:t xml:space="preserve"> faecalis, E. coli, Enterobacter cloacae, K. pneumonia, and P. aeruginosa</w:t>
      </w:r>
    </w:p>
    <w:tbl>
      <w:tblPr>
        <w:tblStyle w:val="TableGrid"/>
        <w:tblW w:w="0" w:type="auto"/>
        <w:tblLook w:val="04A0" w:firstRow="1" w:lastRow="0" w:firstColumn="1" w:lastColumn="0" w:noHBand="0" w:noVBand="1"/>
      </w:tblPr>
      <w:tblGrid>
        <w:gridCol w:w="8928"/>
        <w:gridCol w:w="2088"/>
      </w:tblGrid>
      <w:tr w:rsidR="001506C1" w:rsidRPr="00FA3F9C" w14:paraId="5A0741A7" w14:textId="77777777" w:rsidTr="00571CAB">
        <w:tc>
          <w:tcPr>
            <w:tcW w:w="8928" w:type="dxa"/>
            <w:shd w:val="clear" w:color="auto" w:fill="000000"/>
          </w:tcPr>
          <w:p w14:paraId="7BC6BC94" w14:textId="77777777" w:rsidR="001506C1" w:rsidRPr="00FA3F9C" w:rsidRDefault="001506C1"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88" w:type="dxa"/>
            <w:shd w:val="clear" w:color="auto" w:fill="000000"/>
          </w:tcPr>
          <w:p w14:paraId="123D703B" w14:textId="77777777" w:rsidR="001506C1" w:rsidRPr="00FA3F9C" w:rsidRDefault="001506C1" w:rsidP="006F623F">
            <w:pPr>
              <w:jc w:val="center"/>
              <w:rPr>
                <w:rFonts w:ascii="Arial" w:hAnsi="Arial" w:cs="Arial"/>
                <w:b/>
                <w:sz w:val="24"/>
                <w:szCs w:val="24"/>
                <w:u w:val="single"/>
              </w:rPr>
            </w:pPr>
          </w:p>
        </w:tc>
      </w:tr>
      <w:tr w:rsidR="001506C1" w:rsidRPr="00FA3F9C" w14:paraId="21980CFA" w14:textId="77777777" w:rsidTr="00F337AE">
        <w:tc>
          <w:tcPr>
            <w:tcW w:w="11016" w:type="dxa"/>
            <w:gridSpan w:val="2"/>
          </w:tcPr>
          <w:p w14:paraId="636E82AD" w14:textId="77777777" w:rsidR="001506C1" w:rsidRPr="00FA3F9C" w:rsidRDefault="001506C1" w:rsidP="001506C1">
            <w:pPr>
              <w:pStyle w:val="ListParagraph"/>
              <w:numPr>
                <w:ilvl w:val="0"/>
                <w:numId w:val="119"/>
              </w:numPr>
              <w:rPr>
                <w:rFonts w:ascii="Arial" w:hAnsi="Arial" w:cs="Arial"/>
                <w:sz w:val="24"/>
                <w:szCs w:val="24"/>
              </w:rPr>
            </w:pPr>
            <w:r w:rsidRPr="00FA3F9C">
              <w:rPr>
                <w:rFonts w:ascii="Arial" w:hAnsi="Arial" w:cs="Arial"/>
                <w:sz w:val="24"/>
                <w:szCs w:val="24"/>
              </w:rPr>
              <w:t xml:space="preserve">The patient must have a diagnosis of bacterial skin and soft tissue infection or community-acquired pneumonia susceptible to delafloxacin AND </w:t>
            </w:r>
          </w:p>
        </w:tc>
      </w:tr>
      <w:tr w:rsidR="001506C1" w:rsidRPr="00FA3F9C" w14:paraId="071ADD22" w14:textId="77777777" w:rsidTr="00B1617E">
        <w:tc>
          <w:tcPr>
            <w:tcW w:w="11016" w:type="dxa"/>
            <w:gridSpan w:val="2"/>
          </w:tcPr>
          <w:p w14:paraId="61369C66" w14:textId="77777777" w:rsidR="001506C1" w:rsidRPr="00FA3F9C" w:rsidRDefault="001506C1" w:rsidP="001506C1">
            <w:pPr>
              <w:pStyle w:val="ListParagraph"/>
              <w:numPr>
                <w:ilvl w:val="0"/>
                <w:numId w:val="119"/>
              </w:numPr>
              <w:rPr>
                <w:rFonts w:ascii="Arial" w:hAnsi="Arial" w:cs="Arial"/>
                <w:sz w:val="24"/>
                <w:szCs w:val="24"/>
              </w:rPr>
            </w:pPr>
            <w:r w:rsidRPr="00FA3F9C">
              <w:rPr>
                <w:rFonts w:ascii="Arial" w:hAnsi="Arial" w:cs="Arial"/>
                <w:sz w:val="24"/>
                <w:szCs w:val="24"/>
              </w:rPr>
              <w:t>The bacteria must be resistant to all other generic alternative antibiotics.</w:t>
            </w:r>
          </w:p>
        </w:tc>
      </w:tr>
      <w:tr w:rsidR="001506C1" w:rsidRPr="00FA3F9C" w14:paraId="62BDA6E6" w14:textId="77777777" w:rsidTr="0010789D">
        <w:tc>
          <w:tcPr>
            <w:tcW w:w="11016" w:type="dxa"/>
            <w:gridSpan w:val="2"/>
          </w:tcPr>
          <w:p w14:paraId="2CA2204B" w14:textId="77777777" w:rsidR="001506C1" w:rsidRPr="00FA3F9C" w:rsidRDefault="001506C1" w:rsidP="001506C1">
            <w:pPr>
              <w:pStyle w:val="ListParagraph"/>
              <w:numPr>
                <w:ilvl w:val="0"/>
                <w:numId w:val="119"/>
              </w:numPr>
              <w:rPr>
                <w:rFonts w:ascii="Arial" w:hAnsi="Arial" w:cs="Arial"/>
                <w:sz w:val="24"/>
                <w:szCs w:val="24"/>
              </w:rPr>
            </w:pPr>
            <w:r w:rsidRPr="00FA3F9C">
              <w:rPr>
                <w:rFonts w:ascii="Arial" w:hAnsi="Arial" w:cs="Arial"/>
                <w:sz w:val="24"/>
                <w:szCs w:val="24"/>
              </w:rPr>
              <w:t>The prescriber must be an infectious disease specialist.</w:t>
            </w:r>
          </w:p>
        </w:tc>
      </w:tr>
      <w:tr w:rsidR="001506C1" w:rsidRPr="00FA3F9C" w14:paraId="68F532C3" w14:textId="77777777" w:rsidTr="00DA57E0">
        <w:tc>
          <w:tcPr>
            <w:tcW w:w="11016" w:type="dxa"/>
            <w:gridSpan w:val="2"/>
          </w:tcPr>
          <w:p w14:paraId="20B8B49A" w14:textId="77777777" w:rsidR="001506C1" w:rsidRPr="00FA3F9C" w:rsidRDefault="001506C1" w:rsidP="006F623F">
            <w:pPr>
              <w:rPr>
                <w:rFonts w:ascii="Arial" w:hAnsi="Arial" w:cs="Arial"/>
                <w:sz w:val="24"/>
                <w:szCs w:val="24"/>
              </w:rPr>
            </w:pPr>
          </w:p>
        </w:tc>
      </w:tr>
    </w:tbl>
    <w:p w14:paraId="21A9533C" w14:textId="77777777" w:rsidR="001506C1" w:rsidRPr="00FA3F9C" w:rsidRDefault="001506C1" w:rsidP="006F623F">
      <w:pPr>
        <w:spacing w:after="0"/>
        <w:rPr>
          <w:rFonts w:ascii="Arial" w:hAnsi="Arial" w:cs="Arial"/>
          <w:b/>
          <w:sz w:val="24"/>
          <w:szCs w:val="24"/>
          <w:u w:val="single"/>
        </w:rPr>
      </w:pPr>
    </w:p>
    <w:tbl>
      <w:tblPr>
        <w:tblStyle w:val="TableGrid"/>
        <w:tblW w:w="0" w:type="auto"/>
        <w:shd w:val="clear" w:color="auto" w:fill="BFBFBF" w:themeFill="background1" w:themeFillShade="BF"/>
        <w:tblLook w:val="04A0" w:firstRow="1" w:lastRow="0" w:firstColumn="1" w:lastColumn="0" w:noHBand="0" w:noVBand="1"/>
      </w:tblPr>
      <w:tblGrid>
        <w:gridCol w:w="10998"/>
      </w:tblGrid>
      <w:tr w:rsidR="001506C1" w:rsidRPr="00FA3F9C" w14:paraId="38A668B6" w14:textId="77777777" w:rsidTr="00D82B6E">
        <w:tc>
          <w:tcPr>
            <w:tcW w:w="10998" w:type="dxa"/>
            <w:shd w:val="clear" w:color="auto" w:fill="BFBFBF" w:themeFill="background1" w:themeFillShade="BF"/>
          </w:tcPr>
          <w:p w14:paraId="77EAE9F4" w14:textId="77777777" w:rsidR="001506C1" w:rsidRPr="00FA3F9C" w:rsidRDefault="001506C1" w:rsidP="007B2C16">
            <w:pPr>
              <w:rPr>
                <w:rFonts w:ascii="Arial" w:hAnsi="Arial" w:cs="Arial"/>
                <w:sz w:val="24"/>
                <w:szCs w:val="24"/>
              </w:rPr>
            </w:pPr>
            <w:r w:rsidRPr="00FA3F9C">
              <w:rPr>
                <w:rFonts w:ascii="Arial" w:hAnsi="Arial" w:cs="Arial"/>
                <w:sz w:val="24"/>
                <w:szCs w:val="24"/>
              </w:rPr>
              <w:t xml:space="preserve">Note: Dosing: </w:t>
            </w:r>
          </w:p>
          <w:p w14:paraId="0A1E2896" w14:textId="77777777" w:rsidR="001506C1" w:rsidRPr="00FA3F9C" w:rsidRDefault="001506C1" w:rsidP="001506C1">
            <w:pPr>
              <w:numPr>
                <w:ilvl w:val="0"/>
                <w:numId w:val="118"/>
              </w:numPr>
              <w:rPr>
                <w:rFonts w:ascii="Arial" w:hAnsi="Arial" w:cs="Arial"/>
                <w:sz w:val="24"/>
                <w:szCs w:val="24"/>
              </w:rPr>
            </w:pPr>
            <w:r w:rsidRPr="00FA3F9C">
              <w:rPr>
                <w:rFonts w:ascii="Arial" w:hAnsi="Arial" w:cs="Arial"/>
                <w:sz w:val="24"/>
                <w:szCs w:val="24"/>
              </w:rPr>
              <w:t xml:space="preserve">300 mg by </w:t>
            </w:r>
            <w:r w:rsidRPr="00FA3F9C">
              <w:rPr>
                <w:rFonts w:ascii="Arial" w:hAnsi="Arial" w:cs="Arial"/>
                <w:b/>
                <w:sz w:val="24"/>
                <w:szCs w:val="24"/>
              </w:rPr>
              <w:t>IV infusion</w:t>
            </w:r>
            <w:r w:rsidRPr="00FA3F9C">
              <w:rPr>
                <w:rFonts w:ascii="Arial" w:hAnsi="Arial" w:cs="Arial"/>
                <w:sz w:val="24"/>
                <w:szCs w:val="24"/>
              </w:rPr>
              <w:t xml:space="preserve"> over 60 minutes q12h OR</w:t>
            </w:r>
          </w:p>
          <w:p w14:paraId="4207A82E" w14:textId="77777777" w:rsidR="001506C1" w:rsidRPr="00FA3F9C" w:rsidRDefault="001506C1" w:rsidP="001506C1">
            <w:pPr>
              <w:numPr>
                <w:ilvl w:val="0"/>
                <w:numId w:val="118"/>
              </w:numPr>
              <w:rPr>
                <w:rFonts w:ascii="Arial" w:hAnsi="Arial" w:cs="Arial"/>
                <w:sz w:val="24"/>
                <w:szCs w:val="24"/>
              </w:rPr>
            </w:pPr>
            <w:r w:rsidRPr="00FA3F9C">
              <w:rPr>
                <w:rFonts w:ascii="Arial" w:hAnsi="Arial" w:cs="Arial"/>
                <w:sz w:val="24"/>
                <w:szCs w:val="24"/>
              </w:rPr>
              <w:t xml:space="preserve">450-mg </w:t>
            </w:r>
            <w:r w:rsidRPr="00FA3F9C">
              <w:rPr>
                <w:rFonts w:ascii="Arial" w:hAnsi="Arial" w:cs="Arial"/>
                <w:b/>
                <w:sz w:val="24"/>
                <w:szCs w:val="24"/>
              </w:rPr>
              <w:t xml:space="preserve">tablet PO </w:t>
            </w:r>
            <w:r w:rsidRPr="00FA3F9C">
              <w:rPr>
                <w:rFonts w:ascii="Arial" w:hAnsi="Arial" w:cs="Arial"/>
                <w:sz w:val="24"/>
                <w:szCs w:val="24"/>
              </w:rPr>
              <w:t>q12h</w:t>
            </w:r>
          </w:p>
          <w:p w14:paraId="3ACBD490" w14:textId="77777777" w:rsidR="001506C1" w:rsidRPr="00FA3F9C" w:rsidRDefault="001506C1" w:rsidP="007B2C16">
            <w:pPr>
              <w:rPr>
                <w:rFonts w:ascii="Arial" w:hAnsi="Arial" w:cs="Arial"/>
                <w:sz w:val="24"/>
                <w:szCs w:val="24"/>
              </w:rPr>
            </w:pPr>
            <w:r w:rsidRPr="00FA3F9C">
              <w:rPr>
                <w:rFonts w:ascii="Arial" w:hAnsi="Arial" w:cs="Arial"/>
                <w:sz w:val="24"/>
                <w:szCs w:val="24"/>
              </w:rPr>
              <w:t>BOTH for 5 to 14 days total</w:t>
            </w:r>
          </w:p>
        </w:tc>
      </w:tr>
    </w:tbl>
    <w:p w14:paraId="630BE422" w14:textId="77777777" w:rsidR="001506C1" w:rsidRPr="00FA3F9C" w:rsidRDefault="001506C1" w:rsidP="006F623F">
      <w:pPr>
        <w:spacing w:after="0"/>
        <w:rPr>
          <w:rFonts w:ascii="Arial" w:hAnsi="Arial" w:cs="Arial"/>
          <w:sz w:val="24"/>
          <w:szCs w:val="24"/>
        </w:rPr>
      </w:pPr>
    </w:p>
    <w:p w14:paraId="5A3BDA45"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lastRenderedPageBreak/>
        <w:t xml:space="preserve">Quantity Limits: #28 tablets for a </w:t>
      </w:r>
      <w:proofErr w:type="gramStart"/>
      <w:r w:rsidRPr="00FA3F9C">
        <w:rPr>
          <w:rFonts w:ascii="Arial" w:hAnsi="Arial" w:cs="Arial"/>
          <w:sz w:val="24"/>
          <w:szCs w:val="24"/>
        </w:rPr>
        <w:t>14 day</w:t>
      </w:r>
      <w:proofErr w:type="gramEnd"/>
      <w:r w:rsidRPr="00FA3F9C">
        <w:rPr>
          <w:rFonts w:ascii="Arial" w:hAnsi="Arial" w:cs="Arial"/>
          <w:sz w:val="24"/>
          <w:szCs w:val="24"/>
        </w:rPr>
        <w:t xml:space="preserve"> supply.</w:t>
      </w:r>
    </w:p>
    <w:p w14:paraId="453174D0" w14:textId="77777777" w:rsidR="001506C1" w:rsidRPr="00FA3F9C" w:rsidRDefault="001506C1" w:rsidP="006F623F">
      <w:pPr>
        <w:spacing w:after="0"/>
        <w:rPr>
          <w:rFonts w:ascii="Arial" w:hAnsi="Arial" w:cs="Arial"/>
          <w:sz w:val="24"/>
          <w:szCs w:val="24"/>
        </w:rPr>
      </w:pPr>
    </w:p>
    <w:p w14:paraId="155B310C" w14:textId="77777777" w:rsidR="001506C1" w:rsidRPr="00FA3F9C" w:rsidRDefault="001506C1" w:rsidP="007B2C16">
      <w:pPr>
        <w:rPr>
          <w:rFonts w:ascii="Arial" w:hAnsi="Arial" w:cs="Arial"/>
          <w:sz w:val="24"/>
          <w:szCs w:val="24"/>
        </w:rPr>
      </w:pPr>
      <w:r w:rsidRPr="00FA3F9C">
        <w:rPr>
          <w:rFonts w:ascii="Arial" w:hAnsi="Arial" w:cs="Arial"/>
          <w:sz w:val="24"/>
          <w:szCs w:val="24"/>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8010"/>
        <w:gridCol w:w="2160"/>
      </w:tblGrid>
      <w:tr w:rsidR="001506C1" w:rsidRPr="00FA3F9C" w14:paraId="69DF5C6C" w14:textId="77777777" w:rsidTr="00F913A6">
        <w:tc>
          <w:tcPr>
            <w:tcW w:w="828" w:type="dxa"/>
          </w:tcPr>
          <w:p w14:paraId="667558E6" w14:textId="77777777" w:rsidR="001506C1" w:rsidRPr="00FA3F9C" w:rsidRDefault="001506C1" w:rsidP="007B2C16">
            <w:pPr>
              <w:spacing w:after="0"/>
              <w:rPr>
                <w:rFonts w:ascii="Arial" w:hAnsi="Arial" w:cs="Arial"/>
                <w:sz w:val="24"/>
                <w:szCs w:val="24"/>
              </w:rPr>
            </w:pPr>
            <w:r w:rsidRPr="00FA3F9C">
              <w:rPr>
                <w:rFonts w:ascii="Arial" w:hAnsi="Arial" w:cs="Arial"/>
                <w:sz w:val="24"/>
                <w:szCs w:val="24"/>
              </w:rPr>
              <w:t>Date</w:t>
            </w:r>
          </w:p>
        </w:tc>
        <w:tc>
          <w:tcPr>
            <w:tcW w:w="8010" w:type="dxa"/>
          </w:tcPr>
          <w:p w14:paraId="3EE04A98" w14:textId="77777777" w:rsidR="001506C1" w:rsidRPr="00FA3F9C" w:rsidRDefault="001506C1" w:rsidP="007B2C16">
            <w:pPr>
              <w:spacing w:after="0"/>
              <w:rPr>
                <w:rFonts w:ascii="Arial" w:hAnsi="Arial" w:cs="Arial"/>
                <w:sz w:val="24"/>
                <w:szCs w:val="24"/>
              </w:rPr>
            </w:pPr>
            <w:r w:rsidRPr="00FA3F9C">
              <w:rPr>
                <w:rFonts w:ascii="Arial" w:hAnsi="Arial" w:cs="Arial"/>
                <w:sz w:val="24"/>
                <w:szCs w:val="24"/>
              </w:rPr>
              <w:t>What changed?</w:t>
            </w:r>
          </w:p>
        </w:tc>
        <w:tc>
          <w:tcPr>
            <w:tcW w:w="2160" w:type="dxa"/>
          </w:tcPr>
          <w:p w14:paraId="3D9A774B" w14:textId="77777777" w:rsidR="001506C1" w:rsidRPr="00FA3F9C" w:rsidRDefault="001506C1" w:rsidP="007B2C16">
            <w:pPr>
              <w:spacing w:after="0"/>
              <w:rPr>
                <w:rFonts w:ascii="Arial" w:hAnsi="Arial" w:cs="Arial"/>
                <w:sz w:val="24"/>
                <w:szCs w:val="24"/>
              </w:rPr>
            </w:pPr>
            <w:r w:rsidRPr="00FA3F9C">
              <w:rPr>
                <w:rFonts w:ascii="Arial" w:hAnsi="Arial" w:cs="Arial"/>
                <w:sz w:val="24"/>
                <w:szCs w:val="24"/>
              </w:rPr>
              <w:t>Pharmacist’s initials</w:t>
            </w:r>
          </w:p>
        </w:tc>
      </w:tr>
      <w:tr w:rsidR="001506C1" w:rsidRPr="00FA3F9C" w14:paraId="5A2145BB" w14:textId="77777777" w:rsidTr="007B2C16">
        <w:trPr>
          <w:trHeight w:val="341"/>
        </w:trPr>
        <w:tc>
          <w:tcPr>
            <w:tcW w:w="828" w:type="dxa"/>
          </w:tcPr>
          <w:p w14:paraId="38E995D1" w14:textId="77777777" w:rsidR="001506C1" w:rsidRPr="00FA3F9C" w:rsidRDefault="001506C1" w:rsidP="007B2C16">
            <w:pPr>
              <w:spacing w:after="0"/>
              <w:rPr>
                <w:rFonts w:ascii="Arial" w:hAnsi="Arial" w:cs="Arial"/>
                <w:sz w:val="24"/>
                <w:szCs w:val="24"/>
              </w:rPr>
            </w:pPr>
            <w:r w:rsidRPr="00FA3F9C">
              <w:rPr>
                <w:rFonts w:ascii="Arial" w:hAnsi="Arial" w:cs="Arial"/>
                <w:sz w:val="24"/>
                <w:szCs w:val="24"/>
              </w:rPr>
              <w:t>12/8/17</w:t>
            </w:r>
          </w:p>
        </w:tc>
        <w:tc>
          <w:tcPr>
            <w:tcW w:w="8010" w:type="dxa"/>
          </w:tcPr>
          <w:p w14:paraId="7425530E" w14:textId="77777777" w:rsidR="001506C1" w:rsidRPr="00FA3F9C" w:rsidRDefault="001506C1" w:rsidP="007B2C16">
            <w:pPr>
              <w:spacing w:after="0"/>
              <w:rPr>
                <w:rFonts w:ascii="Arial" w:hAnsi="Arial" w:cs="Arial"/>
                <w:sz w:val="24"/>
                <w:szCs w:val="24"/>
              </w:rPr>
            </w:pPr>
            <w:r w:rsidRPr="00FA3F9C">
              <w:rPr>
                <w:rFonts w:ascii="Arial" w:hAnsi="Arial" w:cs="Arial"/>
                <w:sz w:val="24"/>
                <w:szCs w:val="24"/>
              </w:rPr>
              <w:t>Criteria were written</w:t>
            </w:r>
          </w:p>
        </w:tc>
        <w:tc>
          <w:tcPr>
            <w:tcW w:w="2160" w:type="dxa"/>
          </w:tcPr>
          <w:p w14:paraId="56F04203" w14:textId="77777777" w:rsidR="001506C1" w:rsidRPr="00FA3F9C" w:rsidRDefault="001506C1" w:rsidP="007B2C16">
            <w:pPr>
              <w:spacing w:after="0"/>
              <w:rPr>
                <w:rFonts w:ascii="Arial" w:hAnsi="Arial" w:cs="Arial"/>
                <w:sz w:val="24"/>
                <w:szCs w:val="24"/>
              </w:rPr>
            </w:pPr>
            <w:r w:rsidRPr="00FA3F9C">
              <w:rPr>
                <w:rFonts w:ascii="Arial" w:hAnsi="Arial" w:cs="Arial"/>
                <w:sz w:val="24"/>
                <w:szCs w:val="24"/>
              </w:rPr>
              <w:t>JK</w:t>
            </w:r>
          </w:p>
        </w:tc>
      </w:tr>
      <w:tr w:rsidR="001506C1" w:rsidRPr="00FA3F9C" w14:paraId="53BB8319" w14:textId="77777777" w:rsidTr="007B2C16">
        <w:trPr>
          <w:trHeight w:val="359"/>
        </w:trPr>
        <w:tc>
          <w:tcPr>
            <w:tcW w:w="828" w:type="dxa"/>
          </w:tcPr>
          <w:p w14:paraId="497CEC34" w14:textId="77777777" w:rsidR="001506C1" w:rsidRPr="00FA3F9C" w:rsidRDefault="001506C1" w:rsidP="007B2C16">
            <w:pPr>
              <w:spacing w:after="0"/>
              <w:rPr>
                <w:rFonts w:ascii="Arial" w:hAnsi="Arial" w:cs="Arial"/>
                <w:sz w:val="24"/>
                <w:szCs w:val="24"/>
              </w:rPr>
            </w:pPr>
            <w:r w:rsidRPr="00FA3F9C">
              <w:rPr>
                <w:rFonts w:ascii="Arial" w:hAnsi="Arial" w:cs="Arial"/>
                <w:sz w:val="24"/>
                <w:szCs w:val="24"/>
              </w:rPr>
              <w:t>2/5/18</w:t>
            </w:r>
          </w:p>
        </w:tc>
        <w:tc>
          <w:tcPr>
            <w:tcW w:w="8010" w:type="dxa"/>
          </w:tcPr>
          <w:p w14:paraId="587E557D" w14:textId="77777777" w:rsidR="001506C1" w:rsidRPr="00FA3F9C" w:rsidRDefault="001506C1" w:rsidP="007B2C16">
            <w:pPr>
              <w:spacing w:after="0"/>
              <w:rPr>
                <w:rFonts w:ascii="Arial" w:hAnsi="Arial" w:cs="Arial"/>
                <w:sz w:val="24"/>
                <w:szCs w:val="24"/>
              </w:rPr>
            </w:pPr>
            <w:r w:rsidRPr="00FA3F9C">
              <w:rPr>
                <w:rFonts w:ascii="Arial" w:hAnsi="Arial" w:cs="Arial"/>
                <w:sz w:val="24"/>
                <w:szCs w:val="24"/>
              </w:rPr>
              <w:t>I reviewed the criteria.</w:t>
            </w:r>
          </w:p>
        </w:tc>
        <w:tc>
          <w:tcPr>
            <w:tcW w:w="2160" w:type="dxa"/>
          </w:tcPr>
          <w:p w14:paraId="01A28B02" w14:textId="77777777" w:rsidR="001506C1" w:rsidRPr="00FA3F9C" w:rsidRDefault="001506C1" w:rsidP="007B2C16">
            <w:pPr>
              <w:spacing w:after="0"/>
              <w:rPr>
                <w:rFonts w:ascii="Arial" w:hAnsi="Arial" w:cs="Arial"/>
                <w:sz w:val="24"/>
                <w:szCs w:val="24"/>
              </w:rPr>
            </w:pPr>
            <w:r w:rsidRPr="00FA3F9C">
              <w:rPr>
                <w:rFonts w:ascii="Arial" w:hAnsi="Arial" w:cs="Arial"/>
                <w:sz w:val="24"/>
                <w:szCs w:val="24"/>
              </w:rPr>
              <w:t>JJ</w:t>
            </w:r>
          </w:p>
        </w:tc>
      </w:tr>
      <w:tr w:rsidR="001506C1" w:rsidRPr="00FA3F9C" w14:paraId="0DD61C9D" w14:textId="77777777" w:rsidTr="007B2C16">
        <w:trPr>
          <w:trHeight w:val="557"/>
        </w:trPr>
        <w:tc>
          <w:tcPr>
            <w:tcW w:w="828" w:type="dxa"/>
          </w:tcPr>
          <w:p w14:paraId="5BA138D6" w14:textId="77777777" w:rsidR="001506C1" w:rsidRPr="00FA3F9C" w:rsidRDefault="001506C1" w:rsidP="007B2C16">
            <w:pPr>
              <w:spacing w:after="0"/>
              <w:rPr>
                <w:rFonts w:ascii="Arial" w:hAnsi="Arial" w:cs="Arial"/>
                <w:sz w:val="24"/>
                <w:szCs w:val="24"/>
              </w:rPr>
            </w:pPr>
            <w:r w:rsidRPr="00FA3F9C">
              <w:rPr>
                <w:rFonts w:ascii="Arial" w:hAnsi="Arial" w:cs="Arial"/>
                <w:sz w:val="24"/>
                <w:szCs w:val="24"/>
              </w:rPr>
              <w:t>6/23/2020</w:t>
            </w:r>
          </w:p>
        </w:tc>
        <w:tc>
          <w:tcPr>
            <w:tcW w:w="8010" w:type="dxa"/>
          </w:tcPr>
          <w:p w14:paraId="530E5E7B" w14:textId="77777777" w:rsidR="001506C1" w:rsidRPr="00FA3F9C" w:rsidRDefault="001506C1" w:rsidP="007B2C16">
            <w:pPr>
              <w:spacing w:after="0"/>
              <w:rPr>
                <w:rFonts w:ascii="Arial" w:hAnsi="Arial" w:cs="Arial"/>
                <w:sz w:val="24"/>
                <w:szCs w:val="24"/>
              </w:rPr>
            </w:pPr>
            <w:r w:rsidRPr="00FA3F9C">
              <w:rPr>
                <w:rFonts w:ascii="Arial" w:hAnsi="Arial" w:cs="Arial"/>
                <w:sz w:val="24"/>
                <w:szCs w:val="24"/>
              </w:rPr>
              <w:t>I reviewed the criteria.  Added ID specialist.  Added new indication (CAP). Added must be resistant to all other generic alternative antibiotics.</w:t>
            </w:r>
          </w:p>
        </w:tc>
        <w:tc>
          <w:tcPr>
            <w:tcW w:w="2160" w:type="dxa"/>
          </w:tcPr>
          <w:p w14:paraId="694B6E5F" w14:textId="77777777" w:rsidR="001506C1" w:rsidRPr="00FA3F9C" w:rsidRDefault="001506C1" w:rsidP="007B2C16">
            <w:pPr>
              <w:spacing w:after="0"/>
              <w:rPr>
                <w:rFonts w:ascii="Arial" w:hAnsi="Arial" w:cs="Arial"/>
                <w:sz w:val="24"/>
                <w:szCs w:val="24"/>
              </w:rPr>
            </w:pPr>
            <w:r w:rsidRPr="00FA3F9C">
              <w:rPr>
                <w:rFonts w:ascii="Arial" w:hAnsi="Arial" w:cs="Arial"/>
                <w:sz w:val="24"/>
                <w:szCs w:val="24"/>
              </w:rPr>
              <w:t>JJ</w:t>
            </w:r>
          </w:p>
        </w:tc>
      </w:tr>
      <w:tr w:rsidR="001506C1" w:rsidRPr="00FA3F9C" w14:paraId="51A3293F" w14:textId="77777777" w:rsidTr="007B2C16">
        <w:trPr>
          <w:trHeight w:val="557"/>
        </w:trPr>
        <w:tc>
          <w:tcPr>
            <w:tcW w:w="828" w:type="dxa"/>
          </w:tcPr>
          <w:p w14:paraId="6A146E4D" w14:textId="77777777" w:rsidR="001506C1" w:rsidRPr="00FA3F9C" w:rsidRDefault="001506C1" w:rsidP="007B2C16">
            <w:pPr>
              <w:spacing w:after="0"/>
              <w:rPr>
                <w:rFonts w:ascii="Arial" w:hAnsi="Arial" w:cs="Arial"/>
                <w:sz w:val="24"/>
                <w:szCs w:val="24"/>
              </w:rPr>
            </w:pPr>
            <w:r w:rsidRPr="00FA3F9C">
              <w:rPr>
                <w:rFonts w:ascii="Arial" w:hAnsi="Arial" w:cs="Arial"/>
                <w:sz w:val="24"/>
                <w:szCs w:val="24"/>
              </w:rPr>
              <w:t>3/10/2021</w:t>
            </w:r>
          </w:p>
        </w:tc>
        <w:tc>
          <w:tcPr>
            <w:tcW w:w="8010" w:type="dxa"/>
          </w:tcPr>
          <w:p w14:paraId="2CD873D0" w14:textId="77777777" w:rsidR="001506C1" w:rsidRPr="00FA3F9C" w:rsidRDefault="001506C1" w:rsidP="00831D5F">
            <w:pPr>
              <w:tabs>
                <w:tab w:val="left" w:pos="1778"/>
              </w:tabs>
              <w:spacing w:after="0"/>
              <w:rPr>
                <w:rFonts w:ascii="Arial" w:hAnsi="Arial" w:cs="Arial"/>
                <w:sz w:val="24"/>
                <w:szCs w:val="24"/>
              </w:rPr>
            </w:pPr>
            <w:r w:rsidRPr="00FA3F9C">
              <w:rPr>
                <w:rFonts w:ascii="Arial" w:hAnsi="Arial" w:cs="Arial"/>
                <w:sz w:val="24"/>
                <w:szCs w:val="24"/>
              </w:rPr>
              <w:t xml:space="preserve">I reviewed the criteria.  Would not cover IV on the pharmacy benefit unless it is for a </w:t>
            </w:r>
            <w:proofErr w:type="gramStart"/>
            <w:r w:rsidRPr="00FA3F9C">
              <w:rPr>
                <w:rFonts w:ascii="Arial" w:hAnsi="Arial" w:cs="Arial"/>
                <w:sz w:val="24"/>
                <w:szCs w:val="24"/>
              </w:rPr>
              <w:t>plan</w:t>
            </w:r>
            <w:proofErr w:type="gramEnd"/>
            <w:r w:rsidRPr="00FA3F9C">
              <w:rPr>
                <w:rFonts w:ascii="Arial" w:hAnsi="Arial" w:cs="Arial"/>
                <w:sz w:val="24"/>
                <w:szCs w:val="24"/>
              </w:rPr>
              <w:t xml:space="preserve"> we are managing medically administered drugs.</w:t>
            </w:r>
          </w:p>
        </w:tc>
        <w:tc>
          <w:tcPr>
            <w:tcW w:w="2160" w:type="dxa"/>
          </w:tcPr>
          <w:p w14:paraId="06DFC55D" w14:textId="77777777" w:rsidR="001506C1" w:rsidRPr="00FA3F9C" w:rsidRDefault="001506C1" w:rsidP="007B2C16">
            <w:pPr>
              <w:spacing w:after="0"/>
              <w:rPr>
                <w:rFonts w:ascii="Arial" w:hAnsi="Arial" w:cs="Arial"/>
                <w:sz w:val="24"/>
                <w:szCs w:val="24"/>
              </w:rPr>
            </w:pPr>
            <w:r w:rsidRPr="00FA3F9C">
              <w:rPr>
                <w:rFonts w:ascii="Arial" w:hAnsi="Arial" w:cs="Arial"/>
                <w:sz w:val="24"/>
                <w:szCs w:val="24"/>
              </w:rPr>
              <w:t>JJ</w:t>
            </w:r>
          </w:p>
        </w:tc>
      </w:tr>
    </w:tbl>
    <w:p w14:paraId="7B723305" w14:textId="77777777" w:rsidR="001506C1" w:rsidRPr="00FA3F9C" w:rsidRDefault="001506C1" w:rsidP="007B2C16">
      <w:pPr>
        <w:rPr>
          <w:rFonts w:ascii="Arial" w:hAnsi="Arial" w:cs="Arial"/>
          <w:sz w:val="24"/>
          <w:szCs w:val="24"/>
        </w:rPr>
      </w:pPr>
    </w:p>
    <w:p w14:paraId="671C3E8D" w14:textId="77777777" w:rsidR="001506C1" w:rsidRPr="00FA3F9C" w:rsidRDefault="001506C1" w:rsidP="007B2C16">
      <w:pPr>
        <w:spacing w:after="0"/>
        <w:rPr>
          <w:rFonts w:ascii="Arial" w:hAnsi="Arial" w:cs="Arial"/>
          <w:sz w:val="24"/>
          <w:szCs w:val="24"/>
        </w:rPr>
      </w:pPr>
    </w:p>
    <w:p w14:paraId="138601AD" w14:textId="77777777" w:rsidR="001506C1" w:rsidRPr="00FA3F9C" w:rsidRDefault="001506C1" w:rsidP="003B40CD">
      <w:pPr>
        <w:pStyle w:val="Heading2"/>
      </w:pPr>
      <w:bookmarkStart w:id="71" w:name="_Toc106369767"/>
      <w:r w:rsidRPr="00FA3F9C">
        <w:t>Denosumab (</w:t>
      </w:r>
      <w:proofErr w:type="spellStart"/>
      <w:r w:rsidRPr="00FA3F9C">
        <w:t>Xgeva</w:t>
      </w:r>
      <w:proofErr w:type="spellEnd"/>
      <w:r w:rsidRPr="00FA3F9C">
        <w:t xml:space="preserve"> or Prolia)</w:t>
      </w:r>
      <w:bookmarkEnd w:id="71"/>
      <w:r w:rsidRPr="00FA3F9C">
        <w:t xml:space="preserve"> </w:t>
      </w:r>
    </w:p>
    <w:p w14:paraId="16FB0485" w14:textId="77777777" w:rsidR="001506C1" w:rsidRPr="00FA3F9C" w:rsidRDefault="001506C1" w:rsidP="00503498">
      <w:pPr>
        <w:spacing w:after="0"/>
        <w:jc w:val="center"/>
        <w:rPr>
          <w:rFonts w:ascii="Arial" w:hAnsi="Arial" w:cs="Arial"/>
          <w:b/>
          <w:sz w:val="24"/>
          <w:szCs w:val="24"/>
        </w:rPr>
      </w:pPr>
      <w:proofErr w:type="spellStart"/>
      <w:r w:rsidRPr="00FA3F9C">
        <w:rPr>
          <w:rFonts w:ascii="Arial" w:hAnsi="Arial" w:cs="Arial"/>
          <w:b/>
          <w:sz w:val="24"/>
          <w:szCs w:val="24"/>
        </w:rPr>
        <w:t>Xgeva</w:t>
      </w:r>
      <w:proofErr w:type="spellEnd"/>
      <w:r w:rsidRPr="00FA3F9C">
        <w:rPr>
          <w:rFonts w:ascii="Arial" w:hAnsi="Arial" w:cs="Arial"/>
          <w:b/>
          <w:sz w:val="24"/>
          <w:szCs w:val="24"/>
        </w:rPr>
        <w:t xml:space="preserve"> 120mg/1.7mL (1.7mL) for SC injection</w:t>
      </w:r>
    </w:p>
    <w:p w14:paraId="36E91E69" w14:textId="77777777" w:rsidR="001506C1" w:rsidRPr="00FA3F9C" w:rsidRDefault="001506C1" w:rsidP="00503498">
      <w:pPr>
        <w:spacing w:after="0"/>
        <w:jc w:val="center"/>
        <w:rPr>
          <w:rFonts w:ascii="Arial" w:hAnsi="Arial" w:cs="Arial"/>
          <w:b/>
          <w:sz w:val="24"/>
          <w:szCs w:val="24"/>
        </w:rPr>
      </w:pPr>
      <w:r w:rsidRPr="00FA3F9C">
        <w:rPr>
          <w:rFonts w:ascii="Arial" w:hAnsi="Arial" w:cs="Arial"/>
          <w:b/>
          <w:sz w:val="24"/>
          <w:szCs w:val="24"/>
        </w:rPr>
        <w:t>Prolia 60mg/mL (1mL) for SC injection [</w:t>
      </w:r>
      <w:hyperlink w:anchor="prolia" w:history="1">
        <w:r w:rsidRPr="00FA3F9C">
          <w:rPr>
            <w:rStyle w:val="Hyperlink"/>
            <w:rFonts w:ascii="Arial" w:hAnsi="Arial" w:cs="Arial"/>
            <w:b/>
            <w:sz w:val="24"/>
            <w:szCs w:val="24"/>
          </w:rPr>
          <w:t>jump to criteria</w:t>
        </w:r>
      </w:hyperlink>
      <w:r w:rsidRPr="00FA3F9C">
        <w:rPr>
          <w:rFonts w:ascii="Arial" w:hAnsi="Arial" w:cs="Arial"/>
          <w:b/>
          <w:sz w:val="24"/>
          <w:szCs w:val="24"/>
        </w:rPr>
        <w:t>]</w:t>
      </w:r>
    </w:p>
    <w:p w14:paraId="28406F8C" w14:textId="77777777" w:rsidR="001506C1" w:rsidRPr="00FA3F9C" w:rsidRDefault="001506C1" w:rsidP="00503498">
      <w:pPr>
        <w:spacing w:after="0"/>
        <w:jc w:val="center"/>
        <w:rPr>
          <w:rFonts w:ascii="Arial" w:hAnsi="Arial" w:cs="Arial"/>
          <w:b/>
          <w:sz w:val="24"/>
          <w:szCs w:val="24"/>
        </w:rPr>
      </w:pPr>
    </w:p>
    <w:p w14:paraId="4B0419B0" w14:textId="77777777" w:rsidR="001506C1" w:rsidRPr="00FA3F9C" w:rsidRDefault="001506C1" w:rsidP="00E37544">
      <w:pPr>
        <w:spacing w:after="0"/>
        <w:rPr>
          <w:rFonts w:ascii="Arial" w:hAnsi="Arial" w:cs="Arial"/>
          <w:b/>
          <w:sz w:val="24"/>
          <w:szCs w:val="24"/>
          <w:u w:val="single"/>
        </w:rPr>
      </w:pPr>
      <w:r w:rsidRPr="00FA3F9C">
        <w:rPr>
          <w:rFonts w:ascii="Arial" w:hAnsi="Arial" w:cs="Arial"/>
          <w:b/>
          <w:sz w:val="24"/>
          <w:szCs w:val="24"/>
          <w:u w:val="single"/>
        </w:rPr>
        <w:t>XGEVA (denosumab 120 mg/1.7ml) is FDA-approved for:</w:t>
      </w:r>
    </w:p>
    <w:p w14:paraId="775A47E1" w14:textId="77777777" w:rsidR="001506C1" w:rsidRPr="00FA3F9C" w:rsidRDefault="001506C1" w:rsidP="001506C1">
      <w:pPr>
        <w:pStyle w:val="ListParagraph"/>
        <w:numPr>
          <w:ilvl w:val="0"/>
          <w:numId w:val="128"/>
        </w:numPr>
        <w:spacing w:after="0" w:line="276" w:lineRule="auto"/>
        <w:ind w:left="180" w:hanging="180"/>
        <w:rPr>
          <w:rFonts w:ascii="Arial" w:hAnsi="Arial" w:cs="Arial"/>
          <w:sz w:val="24"/>
          <w:szCs w:val="24"/>
        </w:rPr>
      </w:pPr>
      <w:r w:rsidRPr="00FA3F9C">
        <w:rPr>
          <w:rFonts w:ascii="Arial" w:hAnsi="Arial" w:cs="Arial"/>
          <w:sz w:val="24"/>
          <w:szCs w:val="24"/>
        </w:rPr>
        <w:t xml:space="preserve">Treatment of hypercalcemia of malignancy refractory to bisphosphonate therapy </w:t>
      </w:r>
    </w:p>
    <w:p w14:paraId="5D8485DC" w14:textId="77777777" w:rsidR="001506C1" w:rsidRPr="00FA3F9C" w:rsidRDefault="001506C1" w:rsidP="001506C1">
      <w:pPr>
        <w:pStyle w:val="ListParagraph"/>
        <w:numPr>
          <w:ilvl w:val="0"/>
          <w:numId w:val="128"/>
        </w:numPr>
        <w:spacing w:after="0" w:line="276" w:lineRule="auto"/>
        <w:ind w:left="180" w:hanging="180"/>
        <w:rPr>
          <w:rFonts w:ascii="Arial" w:hAnsi="Arial" w:cs="Arial"/>
          <w:sz w:val="24"/>
          <w:szCs w:val="24"/>
        </w:rPr>
      </w:pPr>
      <w:r w:rsidRPr="00FA3F9C">
        <w:rPr>
          <w:rFonts w:ascii="Arial" w:hAnsi="Arial" w:cs="Arial"/>
          <w:sz w:val="24"/>
          <w:szCs w:val="24"/>
        </w:rPr>
        <w:t>Prevention of skeletal-related events in patients with multiple myeloma and in patients with bone metastases from solid tumors</w:t>
      </w:r>
    </w:p>
    <w:p w14:paraId="40104454" w14:textId="77777777" w:rsidR="001506C1" w:rsidRPr="00FA3F9C" w:rsidRDefault="001506C1" w:rsidP="001506C1">
      <w:pPr>
        <w:pStyle w:val="ListParagraph"/>
        <w:numPr>
          <w:ilvl w:val="0"/>
          <w:numId w:val="128"/>
        </w:numPr>
        <w:spacing w:after="0" w:line="276" w:lineRule="auto"/>
        <w:ind w:left="180" w:hanging="180"/>
        <w:rPr>
          <w:rFonts w:ascii="Arial" w:hAnsi="Arial" w:cs="Arial"/>
          <w:sz w:val="24"/>
          <w:szCs w:val="24"/>
        </w:rPr>
      </w:pPr>
      <w:r w:rsidRPr="00FA3F9C">
        <w:rPr>
          <w:rFonts w:ascii="Arial" w:hAnsi="Arial" w:cs="Arial"/>
          <w:sz w:val="24"/>
          <w:szCs w:val="24"/>
        </w:rPr>
        <w:t>Treatment of adults and skeletally mature adolescents with giant cell tumor of bone that is unresectable or where surgical resection is likely to result in severe mortality</w:t>
      </w:r>
    </w:p>
    <w:p w14:paraId="4B1A2A93" w14:textId="77777777" w:rsidR="001506C1" w:rsidRPr="00FA3F9C" w:rsidRDefault="001506C1" w:rsidP="00503498">
      <w:pPr>
        <w:spacing w:after="0"/>
        <w:jc w:val="center"/>
        <w:rPr>
          <w:rFonts w:ascii="Arial" w:hAnsi="Arial" w:cs="Arial"/>
          <w:b/>
          <w:sz w:val="24"/>
          <w:szCs w:val="24"/>
        </w:rPr>
      </w:pPr>
    </w:p>
    <w:tbl>
      <w:tblPr>
        <w:tblStyle w:val="TableGrid"/>
        <w:tblW w:w="10705" w:type="dxa"/>
        <w:tblCellMar>
          <w:left w:w="115" w:type="dxa"/>
          <w:right w:w="115" w:type="dxa"/>
        </w:tblCellMar>
        <w:tblLook w:val="04A0" w:firstRow="1" w:lastRow="0" w:firstColumn="1" w:lastColumn="0" w:noHBand="0" w:noVBand="1"/>
      </w:tblPr>
      <w:tblGrid>
        <w:gridCol w:w="10705"/>
      </w:tblGrid>
      <w:tr w:rsidR="001506C1" w:rsidRPr="00FA3F9C" w14:paraId="06D60A36" w14:textId="77777777" w:rsidTr="00D93815">
        <w:trPr>
          <w:trHeight w:val="350"/>
        </w:trPr>
        <w:tc>
          <w:tcPr>
            <w:tcW w:w="10705" w:type="dxa"/>
            <w:shd w:val="clear" w:color="auto" w:fill="000000"/>
          </w:tcPr>
          <w:p w14:paraId="45E01DFF" w14:textId="77777777" w:rsidR="001506C1" w:rsidRPr="00FA3F9C" w:rsidRDefault="001506C1" w:rsidP="00461164">
            <w:pPr>
              <w:rPr>
                <w:rFonts w:ascii="Arial" w:hAnsi="Arial" w:cs="Arial"/>
                <w:sz w:val="24"/>
                <w:szCs w:val="24"/>
              </w:rPr>
            </w:pPr>
            <w:r w:rsidRPr="00FA3F9C">
              <w:rPr>
                <w:rFonts w:ascii="Arial" w:hAnsi="Arial" w:cs="Arial"/>
                <w:sz w:val="24"/>
                <w:szCs w:val="24"/>
              </w:rPr>
              <w:t xml:space="preserve">Criteria for </w:t>
            </w:r>
            <w:proofErr w:type="spellStart"/>
            <w:r w:rsidRPr="00FA3F9C">
              <w:rPr>
                <w:rFonts w:ascii="Arial" w:hAnsi="Arial" w:cs="Arial"/>
                <w:sz w:val="24"/>
                <w:szCs w:val="24"/>
              </w:rPr>
              <w:t>Xgeva</w:t>
            </w:r>
            <w:proofErr w:type="spellEnd"/>
          </w:p>
          <w:p w14:paraId="41EB9C40" w14:textId="77777777" w:rsidR="001506C1" w:rsidRPr="00FA3F9C" w:rsidRDefault="001506C1" w:rsidP="00461164">
            <w:pPr>
              <w:rPr>
                <w:rFonts w:ascii="Arial" w:hAnsi="Arial" w:cs="Arial"/>
                <w:sz w:val="24"/>
                <w:szCs w:val="24"/>
              </w:rPr>
            </w:pPr>
            <w:r w:rsidRPr="00FA3F9C">
              <w:rPr>
                <w:rFonts w:ascii="Arial" w:hAnsi="Arial" w:cs="Arial"/>
                <w:sz w:val="24"/>
                <w:szCs w:val="24"/>
              </w:rPr>
              <w:t>Denosumab 120mg/1.7mL (dose: 120 mg SQ every 4 weeks. Additional dose given on days 8 and 15 of first month for hypercalcemia and giant cell tumor of bone)</w:t>
            </w:r>
          </w:p>
        </w:tc>
      </w:tr>
      <w:tr w:rsidR="001506C1" w:rsidRPr="00FA3F9C" w14:paraId="0DEBD1F5" w14:textId="77777777" w:rsidTr="00D93815">
        <w:trPr>
          <w:trHeight w:val="350"/>
        </w:trPr>
        <w:tc>
          <w:tcPr>
            <w:tcW w:w="10705" w:type="dxa"/>
            <w:tcBorders>
              <w:bottom w:val="single" w:sz="4" w:space="0" w:color="auto"/>
            </w:tcBorders>
          </w:tcPr>
          <w:p w14:paraId="5C526D9E" w14:textId="77777777" w:rsidR="001506C1" w:rsidRPr="00FA3F9C" w:rsidRDefault="001506C1" w:rsidP="00503498">
            <w:pPr>
              <w:rPr>
                <w:rFonts w:ascii="Arial" w:hAnsi="Arial" w:cs="Arial"/>
                <w:sz w:val="24"/>
                <w:szCs w:val="24"/>
              </w:rPr>
            </w:pPr>
            <w:r w:rsidRPr="00FA3F9C">
              <w:rPr>
                <w:rFonts w:ascii="Arial" w:hAnsi="Arial" w:cs="Arial"/>
                <w:sz w:val="24"/>
                <w:szCs w:val="24"/>
              </w:rPr>
              <w:t>1. Diagnosis of hypercalcemia of malignancy refractory to bisphosphonate therapy and least 7 days have lapsed since last bisphosphonate dose to allow maximum effect.</w:t>
            </w:r>
          </w:p>
          <w:p w14:paraId="6144227C" w14:textId="77777777" w:rsidR="001506C1" w:rsidRPr="00FA3F9C" w:rsidRDefault="001506C1" w:rsidP="00503498">
            <w:pPr>
              <w:rPr>
                <w:rFonts w:ascii="Arial" w:hAnsi="Arial" w:cs="Arial"/>
                <w:sz w:val="24"/>
                <w:szCs w:val="24"/>
              </w:rPr>
            </w:pPr>
            <w:r w:rsidRPr="00FA3F9C">
              <w:rPr>
                <w:rFonts w:ascii="Arial" w:hAnsi="Arial" w:cs="Arial"/>
                <w:sz w:val="24"/>
                <w:szCs w:val="24"/>
              </w:rPr>
              <w:t>OR</w:t>
            </w:r>
          </w:p>
        </w:tc>
      </w:tr>
      <w:tr w:rsidR="001506C1" w:rsidRPr="00FA3F9C" w14:paraId="16E46892" w14:textId="77777777" w:rsidTr="00D93815">
        <w:trPr>
          <w:trHeight w:val="341"/>
        </w:trPr>
        <w:tc>
          <w:tcPr>
            <w:tcW w:w="10705" w:type="dxa"/>
            <w:tcBorders>
              <w:bottom w:val="single" w:sz="4" w:space="0" w:color="auto"/>
            </w:tcBorders>
          </w:tcPr>
          <w:p w14:paraId="2AE24E7D" w14:textId="77777777" w:rsidR="001506C1" w:rsidRPr="00FA3F9C" w:rsidRDefault="001506C1" w:rsidP="00503498">
            <w:pPr>
              <w:rPr>
                <w:rFonts w:ascii="Arial" w:hAnsi="Arial" w:cs="Arial"/>
                <w:sz w:val="24"/>
                <w:szCs w:val="24"/>
              </w:rPr>
            </w:pPr>
            <w:r w:rsidRPr="00FA3F9C">
              <w:rPr>
                <w:rFonts w:ascii="Arial" w:hAnsi="Arial" w:cs="Arial"/>
                <w:sz w:val="24"/>
                <w:szCs w:val="24"/>
              </w:rPr>
              <w:lastRenderedPageBreak/>
              <w:t xml:space="preserve">2. Requested indication is prevention of skeletal-related events in patients with bone metastases from </w:t>
            </w:r>
            <w:r w:rsidRPr="00FA3F9C">
              <w:rPr>
                <w:rFonts w:ascii="Arial" w:hAnsi="Arial" w:cs="Arial"/>
                <w:sz w:val="24"/>
                <w:szCs w:val="24"/>
                <w:u w:val="single"/>
              </w:rPr>
              <w:t>solid</w:t>
            </w:r>
            <w:r w:rsidRPr="00FA3F9C">
              <w:rPr>
                <w:rFonts w:ascii="Arial" w:hAnsi="Arial" w:cs="Arial"/>
                <w:sz w:val="24"/>
                <w:szCs w:val="24"/>
              </w:rPr>
              <w:t xml:space="preserve"> tumors </w:t>
            </w:r>
          </w:p>
          <w:p w14:paraId="46E9EAE0" w14:textId="77777777" w:rsidR="001506C1" w:rsidRPr="00FA3F9C" w:rsidRDefault="001506C1" w:rsidP="00503498">
            <w:pPr>
              <w:rPr>
                <w:rFonts w:ascii="Arial" w:hAnsi="Arial" w:cs="Arial"/>
                <w:sz w:val="24"/>
                <w:szCs w:val="24"/>
              </w:rPr>
            </w:pPr>
            <w:r w:rsidRPr="00FA3F9C">
              <w:rPr>
                <w:rFonts w:ascii="Arial" w:hAnsi="Arial" w:cs="Arial"/>
                <w:sz w:val="24"/>
                <w:szCs w:val="24"/>
              </w:rPr>
              <w:t>OR</w:t>
            </w:r>
          </w:p>
        </w:tc>
      </w:tr>
      <w:tr w:rsidR="001506C1" w:rsidRPr="00FA3F9C" w14:paraId="09CFE91B" w14:textId="77777777" w:rsidTr="00D93815">
        <w:trPr>
          <w:trHeight w:val="359"/>
        </w:trPr>
        <w:tc>
          <w:tcPr>
            <w:tcW w:w="10705" w:type="dxa"/>
            <w:tcBorders>
              <w:bottom w:val="single" w:sz="4" w:space="0" w:color="auto"/>
            </w:tcBorders>
          </w:tcPr>
          <w:p w14:paraId="538C70AB" w14:textId="77777777" w:rsidR="001506C1" w:rsidRPr="00FA3F9C" w:rsidRDefault="001506C1" w:rsidP="00503498">
            <w:pPr>
              <w:rPr>
                <w:rFonts w:ascii="Arial" w:hAnsi="Arial" w:cs="Arial"/>
                <w:sz w:val="24"/>
                <w:szCs w:val="24"/>
              </w:rPr>
            </w:pPr>
            <w:r w:rsidRPr="00FA3F9C">
              <w:rPr>
                <w:rFonts w:ascii="Arial" w:hAnsi="Arial" w:cs="Arial"/>
                <w:sz w:val="24"/>
                <w:szCs w:val="24"/>
              </w:rPr>
              <w:t xml:space="preserve">3. Requested indication is prevention of skeletal-related events in patients with multiple myeloma AND patient has a </w:t>
            </w:r>
            <w:proofErr w:type="spellStart"/>
            <w:r w:rsidRPr="00FA3F9C">
              <w:rPr>
                <w:rFonts w:ascii="Arial" w:hAnsi="Arial" w:cs="Arial"/>
                <w:sz w:val="24"/>
                <w:szCs w:val="24"/>
              </w:rPr>
              <w:t>CrCl</w:t>
            </w:r>
            <w:proofErr w:type="spellEnd"/>
            <w:r w:rsidRPr="00FA3F9C">
              <w:rPr>
                <w:rFonts w:ascii="Arial" w:hAnsi="Arial" w:cs="Arial"/>
                <w:sz w:val="24"/>
                <w:szCs w:val="24"/>
              </w:rPr>
              <w:t xml:space="preserve"> &lt; 30 ml/min or previous intolerance of zoledronic acid </w:t>
            </w:r>
          </w:p>
          <w:p w14:paraId="4DCB42D6" w14:textId="77777777" w:rsidR="001506C1" w:rsidRPr="00FA3F9C" w:rsidRDefault="001506C1" w:rsidP="00503498">
            <w:pPr>
              <w:rPr>
                <w:rFonts w:ascii="Arial" w:hAnsi="Arial" w:cs="Arial"/>
                <w:sz w:val="24"/>
                <w:szCs w:val="24"/>
              </w:rPr>
            </w:pPr>
            <w:r w:rsidRPr="00FA3F9C">
              <w:rPr>
                <w:rFonts w:ascii="Arial" w:hAnsi="Arial" w:cs="Arial"/>
                <w:sz w:val="24"/>
                <w:szCs w:val="24"/>
              </w:rPr>
              <w:t>OR</w:t>
            </w:r>
          </w:p>
        </w:tc>
      </w:tr>
      <w:tr w:rsidR="001506C1" w:rsidRPr="00FA3F9C" w14:paraId="78A740B8" w14:textId="77777777" w:rsidTr="00D93815">
        <w:trPr>
          <w:trHeight w:val="620"/>
        </w:trPr>
        <w:tc>
          <w:tcPr>
            <w:tcW w:w="10705" w:type="dxa"/>
            <w:tcBorders>
              <w:bottom w:val="single" w:sz="4" w:space="0" w:color="auto"/>
            </w:tcBorders>
          </w:tcPr>
          <w:p w14:paraId="082E70BA" w14:textId="77777777" w:rsidR="001506C1" w:rsidRPr="00FA3F9C" w:rsidRDefault="001506C1" w:rsidP="00A603A7">
            <w:pPr>
              <w:rPr>
                <w:rFonts w:ascii="Arial" w:hAnsi="Arial" w:cs="Arial"/>
                <w:sz w:val="24"/>
                <w:szCs w:val="24"/>
              </w:rPr>
            </w:pPr>
            <w:r w:rsidRPr="00FA3F9C">
              <w:rPr>
                <w:rFonts w:ascii="Arial" w:hAnsi="Arial" w:cs="Arial"/>
                <w:sz w:val="24"/>
                <w:szCs w:val="24"/>
              </w:rPr>
              <w:t>4. Treatment of giant cell tumor of the bone in adults and skeletally mature adolescents that is unresectable or where surgical resection is likely to result in severe morbidity AND bisphosphonate treatment has been attempted</w:t>
            </w:r>
          </w:p>
        </w:tc>
      </w:tr>
      <w:tr w:rsidR="001506C1" w:rsidRPr="00FA3F9C" w14:paraId="75153AC2" w14:textId="77777777" w:rsidTr="00D93815">
        <w:trPr>
          <w:trHeight w:val="359"/>
        </w:trPr>
        <w:tc>
          <w:tcPr>
            <w:tcW w:w="10705" w:type="dxa"/>
            <w:tcBorders>
              <w:bottom w:val="single" w:sz="4" w:space="0" w:color="auto"/>
            </w:tcBorders>
          </w:tcPr>
          <w:p w14:paraId="436AD90A" w14:textId="77777777" w:rsidR="001506C1" w:rsidRPr="00FA3F9C" w:rsidRDefault="001506C1" w:rsidP="00A603A7">
            <w:pPr>
              <w:rPr>
                <w:rFonts w:ascii="Arial" w:hAnsi="Arial" w:cs="Arial"/>
                <w:b/>
                <w:sz w:val="24"/>
                <w:szCs w:val="24"/>
              </w:rPr>
            </w:pPr>
            <w:r w:rsidRPr="00FA3F9C">
              <w:rPr>
                <w:rFonts w:ascii="Arial" w:hAnsi="Arial" w:cs="Arial"/>
                <w:b/>
                <w:sz w:val="24"/>
                <w:szCs w:val="24"/>
              </w:rPr>
              <w:t>If one of the above is fulfilled, approve for 12 months</w:t>
            </w:r>
          </w:p>
        </w:tc>
      </w:tr>
      <w:tr w:rsidR="001506C1" w:rsidRPr="00FA3F9C" w14:paraId="425BA189" w14:textId="77777777" w:rsidTr="00D93815">
        <w:trPr>
          <w:trHeight w:val="6479"/>
        </w:trPr>
        <w:tc>
          <w:tcPr>
            <w:tcW w:w="10705" w:type="dxa"/>
            <w:shd w:val="clear" w:color="auto" w:fill="D9D9D9"/>
          </w:tcPr>
          <w:p w14:paraId="4A7C146B" w14:textId="77777777" w:rsidR="001506C1" w:rsidRPr="00FA3F9C" w:rsidRDefault="001506C1" w:rsidP="00503498">
            <w:pPr>
              <w:rPr>
                <w:rFonts w:ascii="Arial" w:hAnsi="Arial" w:cs="Arial"/>
                <w:b/>
                <w:sz w:val="24"/>
                <w:szCs w:val="24"/>
                <w:u w:val="single"/>
              </w:rPr>
            </w:pPr>
            <w:r w:rsidRPr="00FA3F9C">
              <w:rPr>
                <w:rFonts w:ascii="Arial" w:hAnsi="Arial" w:cs="Arial"/>
                <w:b/>
                <w:sz w:val="24"/>
                <w:szCs w:val="24"/>
                <w:u w:val="single"/>
              </w:rPr>
              <w:lastRenderedPageBreak/>
              <w:t>Evidence (prevention of skeletal-related events in patients with bone metastases from solid tumors):</w:t>
            </w:r>
          </w:p>
          <w:p w14:paraId="15283519" w14:textId="77777777" w:rsidR="001506C1" w:rsidRPr="00FA3F9C" w:rsidRDefault="001506C1" w:rsidP="001506C1">
            <w:pPr>
              <w:pStyle w:val="ListParagraph"/>
              <w:numPr>
                <w:ilvl w:val="0"/>
                <w:numId w:val="120"/>
              </w:numPr>
              <w:spacing w:line="276" w:lineRule="auto"/>
              <w:rPr>
                <w:rFonts w:ascii="Arial" w:hAnsi="Arial" w:cs="Arial"/>
                <w:sz w:val="24"/>
                <w:szCs w:val="24"/>
              </w:rPr>
            </w:pPr>
            <w:r w:rsidRPr="00FA3F9C">
              <w:rPr>
                <w:rFonts w:ascii="Arial" w:hAnsi="Arial" w:cs="Arial"/>
                <w:sz w:val="24"/>
                <w:szCs w:val="24"/>
              </w:rPr>
              <w:t xml:space="preserve">In patients with bone </w:t>
            </w:r>
            <w:proofErr w:type="spellStart"/>
            <w:r w:rsidRPr="00FA3F9C">
              <w:rPr>
                <w:rFonts w:ascii="Arial" w:hAnsi="Arial" w:cs="Arial"/>
                <w:sz w:val="24"/>
                <w:szCs w:val="24"/>
              </w:rPr>
              <w:t>mets</w:t>
            </w:r>
            <w:proofErr w:type="spellEnd"/>
            <w:r w:rsidRPr="00FA3F9C">
              <w:rPr>
                <w:rFonts w:ascii="Arial" w:hAnsi="Arial" w:cs="Arial"/>
                <w:sz w:val="24"/>
                <w:szCs w:val="24"/>
              </w:rPr>
              <w:t xml:space="preserve"> due to breast CA, Denosumab delayed time to 1</w:t>
            </w:r>
            <w:r w:rsidRPr="00FA3F9C">
              <w:rPr>
                <w:rFonts w:ascii="Arial" w:hAnsi="Arial" w:cs="Arial"/>
                <w:sz w:val="24"/>
                <w:szCs w:val="24"/>
                <w:vertAlign w:val="superscript"/>
              </w:rPr>
              <w:t>st</w:t>
            </w:r>
            <w:r w:rsidRPr="00FA3F9C">
              <w:rPr>
                <w:rFonts w:ascii="Arial" w:hAnsi="Arial" w:cs="Arial"/>
                <w:sz w:val="24"/>
                <w:szCs w:val="24"/>
              </w:rPr>
              <w:t xml:space="preserve"> on-study skeletal related event by 18% compared to ZA (HR, 0.82;95%CI, 0.71 to 0.95; p&lt;0.001 noninferiority; p=0.01 superiority).  Median time to 1</w:t>
            </w:r>
            <w:r w:rsidRPr="00FA3F9C">
              <w:rPr>
                <w:rFonts w:ascii="Arial" w:hAnsi="Arial" w:cs="Arial"/>
                <w:sz w:val="24"/>
                <w:szCs w:val="24"/>
                <w:vertAlign w:val="superscript"/>
              </w:rPr>
              <w:t>st</w:t>
            </w:r>
            <w:r w:rsidRPr="00FA3F9C">
              <w:rPr>
                <w:rFonts w:ascii="Arial" w:hAnsi="Arial" w:cs="Arial"/>
                <w:sz w:val="24"/>
                <w:szCs w:val="24"/>
              </w:rPr>
              <w:t xml:space="preserve"> on study SRE was 26.4m for ZA and not yet reached with denosumab.  Denosumab reduced the risk of developing multiple SREs by 23% compared to ZA (rate ratio, 0.77;95%CI, 0.66 to 0.89; p=0.001).  Overall survival and disease progression were similar between groups.  Overall and SAEs were similar between groups. (</w:t>
            </w:r>
            <w:proofErr w:type="spellStart"/>
            <w:r w:rsidRPr="00FA3F9C">
              <w:rPr>
                <w:rFonts w:ascii="Arial" w:hAnsi="Arial" w:cs="Arial"/>
                <w:sz w:val="24"/>
                <w:szCs w:val="24"/>
              </w:rPr>
              <w:t>Stopeck</w:t>
            </w:r>
            <w:proofErr w:type="spellEnd"/>
            <w:r w:rsidRPr="00FA3F9C">
              <w:rPr>
                <w:rFonts w:ascii="Arial" w:hAnsi="Arial" w:cs="Arial"/>
                <w:sz w:val="24"/>
                <w:szCs w:val="24"/>
              </w:rPr>
              <w:t xml:space="preserve"> AT, Lipton A, Body JJ, Steger GG, et al.  Denosumab compared with ZA for treatment of bones metastases in patients w/ advanced breast cancer:  a R, DB study.  J Clin Oncol. 2010;28:5132-39.)</w:t>
            </w:r>
          </w:p>
          <w:p w14:paraId="4289CCF5" w14:textId="77777777" w:rsidR="001506C1" w:rsidRPr="00FA3F9C" w:rsidRDefault="001506C1" w:rsidP="001506C1">
            <w:pPr>
              <w:pStyle w:val="ListParagraph"/>
              <w:numPr>
                <w:ilvl w:val="0"/>
                <w:numId w:val="120"/>
              </w:numPr>
              <w:spacing w:line="276" w:lineRule="auto"/>
              <w:rPr>
                <w:rFonts w:ascii="Arial" w:hAnsi="Arial" w:cs="Arial"/>
                <w:sz w:val="24"/>
                <w:szCs w:val="24"/>
              </w:rPr>
            </w:pPr>
            <w:proofErr w:type="spellStart"/>
            <w:r w:rsidRPr="00FA3F9C">
              <w:rPr>
                <w:rFonts w:ascii="Arial" w:hAnsi="Arial" w:cs="Arial"/>
                <w:sz w:val="24"/>
                <w:szCs w:val="24"/>
              </w:rPr>
              <w:t>Stopeck</w:t>
            </w:r>
            <w:proofErr w:type="spellEnd"/>
            <w:r w:rsidRPr="00FA3F9C">
              <w:rPr>
                <w:rFonts w:ascii="Arial" w:hAnsi="Arial" w:cs="Arial"/>
                <w:sz w:val="24"/>
                <w:szCs w:val="24"/>
              </w:rPr>
              <w:t xml:space="preserve"> 2010 reported prolonged median time to develop moderate/severe pain for patients w/ no pain at baseline (denosumab vs ZA: HR 0.78;p=0.0024) and had a lower proportion of patients with no pain at </w:t>
            </w:r>
            <w:proofErr w:type="gramStart"/>
            <w:r w:rsidRPr="00FA3F9C">
              <w:rPr>
                <w:rFonts w:ascii="Arial" w:hAnsi="Arial" w:cs="Arial"/>
                <w:sz w:val="24"/>
                <w:szCs w:val="24"/>
              </w:rPr>
              <w:t>baseline, and</w:t>
            </w:r>
            <w:proofErr w:type="gramEnd"/>
            <w:r w:rsidRPr="00FA3F9C">
              <w:rPr>
                <w:rFonts w:ascii="Arial" w:hAnsi="Arial" w:cs="Arial"/>
                <w:sz w:val="24"/>
                <w:szCs w:val="24"/>
              </w:rPr>
              <w:t xml:space="preserve"> had moderate/severe pain at week 73 (denosumab 14.8% vs ZA 26.7%).  Median time to pain improvement was similar b/w treatment arms (denosumab 82 days, vs ZA 85d: HR 1.02; p=0.72) (Wong MHF, </w:t>
            </w:r>
            <w:proofErr w:type="spellStart"/>
            <w:r w:rsidRPr="00FA3F9C">
              <w:rPr>
                <w:rFonts w:ascii="Arial" w:hAnsi="Arial" w:cs="Arial"/>
                <w:sz w:val="24"/>
                <w:szCs w:val="24"/>
              </w:rPr>
              <w:t>Stockelr</w:t>
            </w:r>
            <w:proofErr w:type="spellEnd"/>
            <w:r w:rsidRPr="00FA3F9C">
              <w:rPr>
                <w:rFonts w:ascii="Arial" w:hAnsi="Arial" w:cs="Arial"/>
                <w:sz w:val="24"/>
                <w:szCs w:val="24"/>
              </w:rPr>
              <w:t xml:space="preserve"> MR, </w:t>
            </w:r>
            <w:proofErr w:type="spellStart"/>
            <w:r w:rsidRPr="00FA3F9C">
              <w:rPr>
                <w:rFonts w:ascii="Arial" w:hAnsi="Arial" w:cs="Arial"/>
                <w:sz w:val="24"/>
                <w:szCs w:val="24"/>
              </w:rPr>
              <w:t>Pavlakis</w:t>
            </w:r>
            <w:proofErr w:type="spellEnd"/>
            <w:r w:rsidRPr="00FA3F9C">
              <w:rPr>
                <w:rFonts w:ascii="Arial" w:hAnsi="Arial" w:cs="Arial"/>
                <w:sz w:val="24"/>
                <w:szCs w:val="24"/>
              </w:rPr>
              <w:t xml:space="preserve"> N. Bisphosphonates and other bone agents for breast cancer. Cochrane Database of Systematic Reviews 2012, Issue 2. Art. No.: CD003474. DOI:  10.1002/14651858.CD003474.pub3.)</w:t>
            </w:r>
          </w:p>
          <w:p w14:paraId="3B88BAC8" w14:textId="77777777" w:rsidR="001506C1" w:rsidRPr="00FA3F9C" w:rsidRDefault="001506C1" w:rsidP="001506C1">
            <w:pPr>
              <w:pStyle w:val="ListParagraph"/>
              <w:numPr>
                <w:ilvl w:val="0"/>
                <w:numId w:val="120"/>
              </w:numPr>
              <w:spacing w:line="276" w:lineRule="auto"/>
              <w:rPr>
                <w:rFonts w:ascii="Arial" w:hAnsi="Arial" w:cs="Arial"/>
                <w:sz w:val="24"/>
                <w:szCs w:val="24"/>
              </w:rPr>
            </w:pPr>
            <w:r w:rsidRPr="00FA3F9C">
              <w:rPr>
                <w:rFonts w:ascii="Arial" w:hAnsi="Arial" w:cs="Arial"/>
                <w:sz w:val="24"/>
                <w:szCs w:val="24"/>
              </w:rPr>
              <w:t xml:space="preserve">Breast cancer with bone </w:t>
            </w:r>
            <w:proofErr w:type="spellStart"/>
            <w:r w:rsidRPr="00FA3F9C">
              <w:rPr>
                <w:rFonts w:ascii="Arial" w:hAnsi="Arial" w:cs="Arial"/>
                <w:sz w:val="24"/>
                <w:szCs w:val="24"/>
              </w:rPr>
              <w:t>mets</w:t>
            </w:r>
            <w:proofErr w:type="spellEnd"/>
            <w:r w:rsidRPr="00FA3F9C">
              <w:rPr>
                <w:rFonts w:ascii="Arial" w:hAnsi="Arial" w:cs="Arial"/>
                <w:sz w:val="24"/>
                <w:szCs w:val="24"/>
              </w:rPr>
              <w:t xml:space="preserve"> is not a cost-effectiveness use according to a study comparing denosumab vs ZA showed it is not cost effectiveness in this setting and provides a cost per QALY gained of $697,499.  The incremental cost effectiveness ratio ranged from $192,472 to $1,340,901. (</w:t>
            </w:r>
            <w:proofErr w:type="spellStart"/>
            <w:r w:rsidRPr="00FA3F9C">
              <w:rPr>
                <w:rFonts w:ascii="Arial" w:hAnsi="Arial" w:cs="Arial"/>
                <w:sz w:val="24"/>
                <w:szCs w:val="24"/>
              </w:rPr>
              <w:t>Snedecor</w:t>
            </w:r>
            <w:proofErr w:type="spellEnd"/>
            <w:r w:rsidRPr="00FA3F9C">
              <w:rPr>
                <w:rFonts w:ascii="Arial" w:hAnsi="Arial" w:cs="Arial"/>
                <w:sz w:val="24"/>
                <w:szCs w:val="24"/>
              </w:rPr>
              <w:t xml:space="preserve"> SJ, Carter JA, et al.  Cost-effectiveness of denosumab vs ZA in the management of skeletal metastases secondary to breast cancer. Clinical Therapeutics.2012;34(6):1334-1349.)</w:t>
            </w:r>
          </w:p>
          <w:p w14:paraId="07725417" w14:textId="77777777" w:rsidR="001506C1" w:rsidRPr="00FA3F9C" w:rsidRDefault="001506C1" w:rsidP="00503498">
            <w:pPr>
              <w:rPr>
                <w:rFonts w:ascii="Arial" w:hAnsi="Arial" w:cs="Arial"/>
                <w:sz w:val="24"/>
                <w:szCs w:val="24"/>
              </w:rPr>
            </w:pPr>
          </w:p>
          <w:p w14:paraId="4810AA21" w14:textId="77777777" w:rsidR="001506C1" w:rsidRPr="00FA3F9C" w:rsidRDefault="001506C1" w:rsidP="00503498">
            <w:pPr>
              <w:rPr>
                <w:rFonts w:ascii="Arial" w:hAnsi="Arial" w:cs="Arial"/>
                <w:sz w:val="24"/>
                <w:szCs w:val="24"/>
              </w:rPr>
            </w:pPr>
            <w:r w:rsidRPr="00FA3F9C">
              <w:rPr>
                <w:rFonts w:ascii="Arial" w:hAnsi="Arial" w:cs="Arial"/>
                <w:sz w:val="24"/>
                <w:szCs w:val="24"/>
              </w:rPr>
              <w:t>Denosumab will be approved for this indication due to superiority over zoledronic acid regarding skeletal related events.  Additionally, denosumab showed superiority over ZA or pamidronate for SRE, time to SRE, and time to worsening pain.  (</w:t>
            </w:r>
            <w:proofErr w:type="spellStart"/>
            <w:r w:rsidRPr="00FA3F9C">
              <w:rPr>
                <w:rFonts w:ascii="Arial" w:hAnsi="Arial" w:cs="Arial"/>
                <w:sz w:val="24"/>
                <w:szCs w:val="24"/>
              </w:rPr>
              <w:t>Peddi</w:t>
            </w:r>
            <w:proofErr w:type="spellEnd"/>
            <w:r w:rsidRPr="00FA3F9C">
              <w:rPr>
                <w:rFonts w:ascii="Arial" w:hAnsi="Arial" w:cs="Arial"/>
                <w:sz w:val="24"/>
                <w:szCs w:val="24"/>
              </w:rPr>
              <w:t xml:space="preserve"> P, et al.  Denosumab in patients with cancer and skeletal metastases: a systematic review and meta-analysis.  Cancer Treatment Reviews. 2013;39:97-104.)</w:t>
            </w:r>
          </w:p>
        </w:tc>
      </w:tr>
      <w:tr w:rsidR="001506C1" w:rsidRPr="00FA3F9C" w14:paraId="59B45579" w14:textId="77777777" w:rsidTr="00D93815">
        <w:trPr>
          <w:trHeight w:val="3230"/>
        </w:trPr>
        <w:tc>
          <w:tcPr>
            <w:tcW w:w="10705" w:type="dxa"/>
            <w:shd w:val="clear" w:color="auto" w:fill="D9D9D9"/>
          </w:tcPr>
          <w:p w14:paraId="5050CDAD" w14:textId="77777777" w:rsidR="001506C1" w:rsidRPr="00FA3F9C" w:rsidRDefault="001506C1" w:rsidP="00503498">
            <w:pPr>
              <w:rPr>
                <w:rFonts w:ascii="Arial" w:hAnsi="Arial" w:cs="Arial"/>
                <w:b/>
                <w:sz w:val="24"/>
                <w:szCs w:val="24"/>
                <w:u w:val="single"/>
              </w:rPr>
            </w:pPr>
            <w:r w:rsidRPr="00FA3F9C">
              <w:rPr>
                <w:rFonts w:ascii="Arial" w:hAnsi="Arial" w:cs="Arial"/>
                <w:b/>
                <w:sz w:val="24"/>
                <w:szCs w:val="24"/>
                <w:u w:val="single"/>
              </w:rPr>
              <w:lastRenderedPageBreak/>
              <w:t>Evidence (prevention of skeletal-related events in patients with multiple myeloma)</w:t>
            </w:r>
          </w:p>
          <w:p w14:paraId="46EF3592" w14:textId="77777777" w:rsidR="001506C1" w:rsidRPr="00FA3F9C" w:rsidRDefault="001506C1" w:rsidP="001506C1">
            <w:pPr>
              <w:pStyle w:val="ListParagraph"/>
              <w:numPr>
                <w:ilvl w:val="0"/>
                <w:numId w:val="125"/>
              </w:numPr>
              <w:spacing w:line="276" w:lineRule="auto"/>
              <w:rPr>
                <w:rFonts w:ascii="Arial" w:hAnsi="Arial" w:cs="Arial"/>
                <w:sz w:val="24"/>
                <w:szCs w:val="24"/>
                <w:u w:val="single"/>
              </w:rPr>
            </w:pPr>
            <w:r w:rsidRPr="00FA3F9C">
              <w:rPr>
                <w:rFonts w:ascii="Arial" w:hAnsi="Arial" w:cs="Arial"/>
                <w:sz w:val="24"/>
                <w:szCs w:val="24"/>
              </w:rPr>
              <w:t>Denosumab was compared to zoledronic acid in patients with multiple myeloma with primary endpoint of non-inferiority of denosumab to zoledronic acid for time to first skeletal-related event. Denosumab was shown to be non-inferior to zoledronic acid. Denosumab was associated with similar rates of grade ¾ adverse events.</w:t>
            </w:r>
          </w:p>
          <w:p w14:paraId="61E70611" w14:textId="77777777" w:rsidR="001506C1" w:rsidRPr="00FA3F9C" w:rsidRDefault="001506C1" w:rsidP="001506C1">
            <w:pPr>
              <w:pStyle w:val="ListParagraph"/>
              <w:numPr>
                <w:ilvl w:val="0"/>
                <w:numId w:val="125"/>
              </w:numPr>
              <w:spacing w:line="276" w:lineRule="auto"/>
              <w:rPr>
                <w:rFonts w:ascii="Arial" w:hAnsi="Arial" w:cs="Arial"/>
                <w:sz w:val="24"/>
                <w:szCs w:val="24"/>
                <w:u w:val="single"/>
              </w:rPr>
            </w:pPr>
            <w:r w:rsidRPr="00FA3F9C">
              <w:rPr>
                <w:rFonts w:ascii="Arial" w:hAnsi="Arial" w:cs="Arial"/>
                <w:sz w:val="24"/>
                <w:szCs w:val="24"/>
              </w:rPr>
              <w:t>Because denosumab is not superior to zoledronic acid and zoledronic acid is less expensive, prefer zoledronic acid. The exception is for patients who have severe renal dysfunction (</w:t>
            </w:r>
            <w:proofErr w:type="spellStart"/>
            <w:r w:rsidRPr="00FA3F9C">
              <w:rPr>
                <w:rFonts w:ascii="Arial" w:hAnsi="Arial" w:cs="Arial"/>
                <w:sz w:val="24"/>
                <w:szCs w:val="24"/>
              </w:rPr>
              <w:t>CrCl</w:t>
            </w:r>
            <w:proofErr w:type="spellEnd"/>
            <w:r w:rsidRPr="00FA3F9C">
              <w:rPr>
                <w:rFonts w:ascii="Arial" w:hAnsi="Arial" w:cs="Arial"/>
                <w:sz w:val="24"/>
                <w:szCs w:val="24"/>
              </w:rPr>
              <w:t xml:space="preserve"> &lt;30 ml/min) in whom zoledronic acid would be contraindicated or patients who are intolerant of zoledronic acid (infusion reaction, severe flu-like symptoms, renal failure). Note that osteonecrosis of the jaw and hypocalcemia may occur with both zoledronic acid and denosumab and is not a reason to prefer denosumab.</w:t>
            </w:r>
          </w:p>
          <w:p w14:paraId="76E0A6D2" w14:textId="77777777" w:rsidR="001506C1" w:rsidRPr="00FA3F9C" w:rsidRDefault="001506C1" w:rsidP="001506C1">
            <w:pPr>
              <w:pStyle w:val="ListParagraph"/>
              <w:numPr>
                <w:ilvl w:val="0"/>
                <w:numId w:val="125"/>
              </w:numPr>
              <w:spacing w:line="276" w:lineRule="auto"/>
              <w:rPr>
                <w:rFonts w:ascii="Arial" w:hAnsi="Arial" w:cs="Arial"/>
                <w:sz w:val="24"/>
                <w:szCs w:val="24"/>
                <w:u w:val="single"/>
              </w:rPr>
            </w:pPr>
            <w:r w:rsidRPr="00FA3F9C">
              <w:rPr>
                <w:rFonts w:ascii="Arial" w:hAnsi="Arial" w:cs="Arial"/>
                <w:sz w:val="24"/>
                <w:szCs w:val="24"/>
              </w:rPr>
              <w:t>NCCN gives category 2A recommendation for denosumab in this setting and states to consider it for patients with renal dysfunction. Zoledronic acid holds a category 1 recommendation.</w:t>
            </w:r>
          </w:p>
          <w:p w14:paraId="236CAEAB" w14:textId="77777777" w:rsidR="001506C1" w:rsidRPr="00FA3F9C" w:rsidRDefault="001506C1" w:rsidP="00503498">
            <w:pPr>
              <w:rPr>
                <w:rFonts w:ascii="Arial" w:hAnsi="Arial" w:cs="Arial"/>
                <w:sz w:val="24"/>
                <w:szCs w:val="24"/>
                <w:u w:val="single"/>
              </w:rPr>
            </w:pPr>
            <w:r w:rsidRPr="00FA3F9C">
              <w:rPr>
                <w:rFonts w:ascii="Arial" w:hAnsi="Arial" w:cs="Arial"/>
                <w:sz w:val="24"/>
                <w:szCs w:val="24"/>
                <w:u w:val="single"/>
              </w:rPr>
              <w:t>REFERENCE</w:t>
            </w:r>
          </w:p>
          <w:p w14:paraId="1B758AA6" w14:textId="77777777" w:rsidR="001506C1" w:rsidRPr="00FA3F9C" w:rsidRDefault="00500371" w:rsidP="001506C1">
            <w:pPr>
              <w:pStyle w:val="ListParagraph"/>
              <w:numPr>
                <w:ilvl w:val="0"/>
                <w:numId w:val="126"/>
              </w:numPr>
              <w:ind w:left="228" w:hanging="187"/>
              <w:rPr>
                <w:rFonts w:ascii="Arial" w:hAnsi="Arial" w:cs="Arial"/>
                <w:sz w:val="24"/>
                <w:szCs w:val="24"/>
              </w:rPr>
            </w:pPr>
            <w:hyperlink r:id="rId121" w:history="1">
              <w:proofErr w:type="spellStart"/>
              <w:r w:rsidR="001506C1" w:rsidRPr="00FA3F9C">
                <w:rPr>
                  <w:rStyle w:val="Hyperlink"/>
                  <w:rFonts w:ascii="Arial" w:hAnsi="Arial" w:cs="Arial"/>
                  <w:color w:val="auto"/>
                  <w:sz w:val="24"/>
                  <w:szCs w:val="24"/>
                  <w:u w:val="none"/>
                </w:rPr>
                <w:t>Raje</w:t>
              </w:r>
              <w:proofErr w:type="spellEnd"/>
              <w:r w:rsidR="001506C1" w:rsidRPr="00FA3F9C">
                <w:rPr>
                  <w:rStyle w:val="Hyperlink"/>
                  <w:rFonts w:ascii="Arial" w:hAnsi="Arial" w:cs="Arial"/>
                  <w:color w:val="auto"/>
                  <w:sz w:val="24"/>
                  <w:szCs w:val="24"/>
                  <w:u w:val="none"/>
                </w:rPr>
                <w:t xml:space="preserve"> N</w:t>
              </w:r>
            </w:hyperlink>
            <w:r w:rsidR="001506C1" w:rsidRPr="00FA3F9C">
              <w:rPr>
                <w:rFonts w:ascii="Arial" w:hAnsi="Arial" w:cs="Arial"/>
                <w:sz w:val="24"/>
                <w:szCs w:val="24"/>
              </w:rPr>
              <w:t xml:space="preserve"> et al. </w:t>
            </w:r>
            <w:r w:rsidR="001506C1" w:rsidRPr="00FA3F9C">
              <w:rPr>
                <w:rStyle w:val="highlight"/>
                <w:rFonts w:ascii="Arial" w:hAnsi="Arial" w:cs="Arial"/>
                <w:sz w:val="24"/>
                <w:szCs w:val="24"/>
              </w:rPr>
              <w:t>Denosumab</w:t>
            </w:r>
            <w:r w:rsidR="001506C1" w:rsidRPr="00FA3F9C">
              <w:rPr>
                <w:rFonts w:ascii="Arial" w:hAnsi="Arial" w:cs="Arial"/>
                <w:sz w:val="24"/>
                <w:szCs w:val="24"/>
              </w:rPr>
              <w:t xml:space="preserve"> versus zoledronic acid in bone disease treatment of newly diagnosed </w:t>
            </w:r>
            <w:r w:rsidR="001506C1" w:rsidRPr="00FA3F9C">
              <w:rPr>
                <w:rStyle w:val="highlight"/>
                <w:rFonts w:ascii="Arial" w:hAnsi="Arial" w:cs="Arial"/>
                <w:sz w:val="24"/>
                <w:szCs w:val="24"/>
              </w:rPr>
              <w:t>multiple myeloma</w:t>
            </w:r>
            <w:r w:rsidR="001506C1" w:rsidRPr="00FA3F9C">
              <w:rPr>
                <w:rFonts w:ascii="Arial" w:hAnsi="Arial" w:cs="Arial"/>
                <w:sz w:val="24"/>
                <w:szCs w:val="24"/>
              </w:rPr>
              <w:t xml:space="preserve">: an international, double-blind, </w:t>
            </w:r>
            <w:proofErr w:type="gramStart"/>
            <w:r w:rsidR="001506C1" w:rsidRPr="00FA3F9C">
              <w:rPr>
                <w:rFonts w:ascii="Arial" w:hAnsi="Arial" w:cs="Arial"/>
                <w:sz w:val="24"/>
                <w:szCs w:val="24"/>
              </w:rPr>
              <w:t>double-dummy</w:t>
            </w:r>
            <w:proofErr w:type="gramEnd"/>
            <w:r w:rsidR="001506C1" w:rsidRPr="00FA3F9C">
              <w:rPr>
                <w:rFonts w:ascii="Arial" w:hAnsi="Arial" w:cs="Arial"/>
                <w:sz w:val="24"/>
                <w:szCs w:val="24"/>
              </w:rPr>
              <w:t xml:space="preserve">, </w:t>
            </w:r>
            <w:proofErr w:type="spellStart"/>
            <w:r w:rsidR="001506C1" w:rsidRPr="00FA3F9C">
              <w:rPr>
                <w:rFonts w:ascii="Arial" w:hAnsi="Arial" w:cs="Arial"/>
                <w:sz w:val="24"/>
                <w:szCs w:val="24"/>
              </w:rPr>
              <w:t>randomised</w:t>
            </w:r>
            <w:proofErr w:type="spellEnd"/>
            <w:r w:rsidR="001506C1" w:rsidRPr="00FA3F9C">
              <w:rPr>
                <w:rFonts w:ascii="Arial" w:hAnsi="Arial" w:cs="Arial"/>
                <w:sz w:val="24"/>
                <w:szCs w:val="24"/>
              </w:rPr>
              <w:t xml:space="preserve">, controlled, phase 3 study. </w:t>
            </w:r>
            <w:hyperlink r:id="rId122" w:tooltip="The Lancet. Oncology." w:history="1">
              <w:r w:rsidR="001506C1" w:rsidRPr="00FA3F9C">
                <w:rPr>
                  <w:rStyle w:val="Hyperlink"/>
                  <w:rFonts w:ascii="Arial" w:hAnsi="Arial" w:cs="Arial"/>
                  <w:color w:val="auto"/>
                  <w:sz w:val="24"/>
                  <w:szCs w:val="24"/>
                  <w:u w:val="none"/>
                </w:rPr>
                <w:t>Lancet Oncol.</w:t>
              </w:r>
            </w:hyperlink>
            <w:r w:rsidR="001506C1" w:rsidRPr="00FA3F9C">
              <w:rPr>
                <w:rFonts w:ascii="Arial" w:hAnsi="Arial" w:cs="Arial"/>
                <w:sz w:val="24"/>
                <w:szCs w:val="24"/>
              </w:rPr>
              <w:t xml:space="preserve"> 2018 Mar;19(3):370-381. PMID 29429912</w:t>
            </w:r>
          </w:p>
          <w:p w14:paraId="0754C272" w14:textId="77777777" w:rsidR="001506C1" w:rsidRPr="00FA3F9C" w:rsidRDefault="001506C1" w:rsidP="001506C1">
            <w:pPr>
              <w:pStyle w:val="ListParagraph"/>
              <w:numPr>
                <w:ilvl w:val="0"/>
                <w:numId w:val="126"/>
              </w:numPr>
              <w:ind w:left="228" w:hanging="187"/>
              <w:rPr>
                <w:rFonts w:ascii="Arial" w:hAnsi="Arial" w:cs="Arial"/>
                <w:sz w:val="24"/>
                <w:szCs w:val="24"/>
              </w:rPr>
            </w:pPr>
            <w:r w:rsidRPr="00FA3F9C">
              <w:rPr>
                <w:rFonts w:ascii="Arial" w:hAnsi="Arial" w:cs="Arial"/>
                <w:sz w:val="24"/>
                <w:szCs w:val="24"/>
              </w:rPr>
              <w:t>NCCN guidelines for multiple myeloma: https://www.nccn.org/professionals/physician_gls/pdf/myeloma.pdf</w:t>
            </w:r>
          </w:p>
        </w:tc>
      </w:tr>
      <w:tr w:rsidR="001506C1" w:rsidRPr="00FA3F9C" w14:paraId="0A314248" w14:textId="77777777" w:rsidTr="00D93815">
        <w:tc>
          <w:tcPr>
            <w:tcW w:w="10705" w:type="dxa"/>
            <w:shd w:val="clear" w:color="auto" w:fill="D9D9D9"/>
          </w:tcPr>
          <w:p w14:paraId="763FD66D" w14:textId="77777777" w:rsidR="001506C1" w:rsidRPr="00FA3F9C" w:rsidRDefault="001506C1" w:rsidP="00503498">
            <w:pPr>
              <w:rPr>
                <w:rFonts w:ascii="Arial" w:hAnsi="Arial" w:cs="Arial"/>
                <w:b/>
                <w:sz w:val="24"/>
                <w:szCs w:val="24"/>
                <w:u w:val="single"/>
              </w:rPr>
            </w:pPr>
            <w:r w:rsidRPr="00FA3F9C">
              <w:rPr>
                <w:rFonts w:ascii="Arial" w:hAnsi="Arial" w:cs="Arial"/>
                <w:b/>
                <w:sz w:val="24"/>
                <w:szCs w:val="24"/>
                <w:u w:val="single"/>
              </w:rPr>
              <w:t>Evidence (giant cell tumor of the bone):</w:t>
            </w:r>
          </w:p>
          <w:p w14:paraId="0A11FAC7" w14:textId="77777777" w:rsidR="001506C1" w:rsidRPr="00FA3F9C" w:rsidRDefault="001506C1" w:rsidP="001506C1">
            <w:pPr>
              <w:pStyle w:val="ListParagraph"/>
              <w:numPr>
                <w:ilvl w:val="0"/>
                <w:numId w:val="121"/>
              </w:numPr>
              <w:spacing w:line="276" w:lineRule="auto"/>
              <w:rPr>
                <w:rFonts w:ascii="Arial" w:hAnsi="Arial" w:cs="Arial"/>
                <w:sz w:val="24"/>
                <w:szCs w:val="24"/>
              </w:rPr>
            </w:pPr>
            <w:r w:rsidRPr="00FA3F9C">
              <w:rPr>
                <w:rFonts w:ascii="Arial" w:hAnsi="Arial" w:cs="Arial"/>
                <w:sz w:val="24"/>
                <w:szCs w:val="24"/>
              </w:rPr>
              <w:t>Bisphosphonates (several ZA trials and 1 alendronate trial) showed to control disease progression in giant cell tumor of the bone.  (</w:t>
            </w:r>
            <w:proofErr w:type="spellStart"/>
            <w:r w:rsidRPr="00FA3F9C">
              <w:rPr>
                <w:rFonts w:ascii="Arial" w:hAnsi="Arial" w:cs="Arial"/>
                <w:sz w:val="24"/>
                <w:szCs w:val="24"/>
              </w:rPr>
              <w:t>Balke</w:t>
            </w:r>
            <w:proofErr w:type="spellEnd"/>
            <w:r w:rsidRPr="00FA3F9C">
              <w:rPr>
                <w:rFonts w:ascii="Arial" w:hAnsi="Arial" w:cs="Arial"/>
                <w:sz w:val="24"/>
                <w:szCs w:val="24"/>
              </w:rPr>
              <w:t xml:space="preserve"> M, </w:t>
            </w:r>
            <w:proofErr w:type="spellStart"/>
            <w:r w:rsidRPr="00FA3F9C">
              <w:rPr>
                <w:rFonts w:ascii="Arial" w:hAnsi="Arial" w:cs="Arial"/>
                <w:sz w:val="24"/>
                <w:szCs w:val="24"/>
              </w:rPr>
              <w:t>Campanacci</w:t>
            </w:r>
            <w:proofErr w:type="spellEnd"/>
            <w:r w:rsidRPr="00FA3F9C">
              <w:rPr>
                <w:rFonts w:ascii="Arial" w:hAnsi="Arial" w:cs="Arial"/>
                <w:sz w:val="24"/>
                <w:szCs w:val="24"/>
              </w:rPr>
              <w:t xml:space="preserve"> L, </w:t>
            </w:r>
            <w:proofErr w:type="spellStart"/>
            <w:r w:rsidRPr="00FA3F9C">
              <w:rPr>
                <w:rFonts w:ascii="Arial" w:hAnsi="Arial" w:cs="Arial"/>
                <w:sz w:val="24"/>
                <w:szCs w:val="24"/>
              </w:rPr>
              <w:t>Gebert</w:t>
            </w:r>
            <w:proofErr w:type="spellEnd"/>
            <w:r w:rsidRPr="00FA3F9C">
              <w:rPr>
                <w:rFonts w:ascii="Arial" w:hAnsi="Arial" w:cs="Arial"/>
                <w:sz w:val="24"/>
                <w:szCs w:val="24"/>
              </w:rPr>
              <w:t xml:space="preserve"> C, </w:t>
            </w:r>
            <w:proofErr w:type="spellStart"/>
            <w:r w:rsidRPr="00FA3F9C">
              <w:rPr>
                <w:rFonts w:ascii="Arial" w:hAnsi="Arial" w:cs="Arial"/>
                <w:sz w:val="24"/>
                <w:szCs w:val="24"/>
              </w:rPr>
              <w:t>Picci</w:t>
            </w:r>
            <w:proofErr w:type="spellEnd"/>
            <w:r w:rsidRPr="00FA3F9C">
              <w:rPr>
                <w:rFonts w:ascii="Arial" w:hAnsi="Arial" w:cs="Arial"/>
                <w:sz w:val="24"/>
                <w:szCs w:val="24"/>
              </w:rPr>
              <w:t xml:space="preserve"> P, et al.  Bisphosphonate treatment of aggressive primary, recurrent and metastatic giant cell </w:t>
            </w:r>
            <w:proofErr w:type="spellStart"/>
            <w:r w:rsidRPr="00FA3F9C">
              <w:rPr>
                <w:rFonts w:ascii="Arial" w:hAnsi="Arial" w:cs="Arial"/>
                <w:sz w:val="24"/>
                <w:szCs w:val="24"/>
              </w:rPr>
              <w:t>tumour</w:t>
            </w:r>
            <w:proofErr w:type="spellEnd"/>
            <w:r w:rsidRPr="00FA3F9C">
              <w:rPr>
                <w:rFonts w:ascii="Arial" w:hAnsi="Arial" w:cs="Arial"/>
                <w:sz w:val="24"/>
                <w:szCs w:val="24"/>
              </w:rPr>
              <w:t xml:space="preserve"> of bone.  BMC Cancer. 2010;10:462.)</w:t>
            </w:r>
          </w:p>
          <w:p w14:paraId="6ECE5C69" w14:textId="77777777" w:rsidR="001506C1" w:rsidRPr="00FA3F9C" w:rsidRDefault="001506C1" w:rsidP="001506C1">
            <w:pPr>
              <w:pStyle w:val="ListParagraph"/>
              <w:numPr>
                <w:ilvl w:val="0"/>
                <w:numId w:val="121"/>
              </w:numPr>
              <w:spacing w:line="276" w:lineRule="auto"/>
              <w:rPr>
                <w:rFonts w:ascii="Arial" w:hAnsi="Arial" w:cs="Arial"/>
                <w:sz w:val="24"/>
                <w:szCs w:val="24"/>
              </w:rPr>
            </w:pPr>
            <w:r w:rsidRPr="00FA3F9C">
              <w:rPr>
                <w:rFonts w:ascii="Arial" w:hAnsi="Arial" w:cs="Arial"/>
                <w:sz w:val="24"/>
                <w:szCs w:val="24"/>
              </w:rPr>
              <w:t>Denosumab treatment in patients with GCTB significantly reduced or eliminated RANK Positive tumor giant cells.  Clinical endpoints were not measured.  Denosumab continues to be studied for potential treatment of GCTB.  (</w:t>
            </w:r>
            <w:proofErr w:type="spellStart"/>
            <w:r w:rsidRPr="00FA3F9C">
              <w:rPr>
                <w:rFonts w:ascii="Arial" w:hAnsi="Arial" w:cs="Arial"/>
                <w:sz w:val="24"/>
                <w:szCs w:val="24"/>
              </w:rPr>
              <w:t>Branstetter</w:t>
            </w:r>
            <w:proofErr w:type="spellEnd"/>
            <w:r w:rsidRPr="00FA3F9C">
              <w:rPr>
                <w:rFonts w:ascii="Arial" w:hAnsi="Arial" w:cs="Arial"/>
                <w:sz w:val="24"/>
                <w:szCs w:val="24"/>
              </w:rPr>
              <w:t xml:space="preserve"> DG, Nelson SD, </w:t>
            </w:r>
            <w:proofErr w:type="spellStart"/>
            <w:r w:rsidRPr="00FA3F9C">
              <w:rPr>
                <w:rFonts w:ascii="Arial" w:hAnsi="Arial" w:cs="Arial"/>
                <w:sz w:val="24"/>
                <w:szCs w:val="24"/>
              </w:rPr>
              <w:t>Manivel</w:t>
            </w:r>
            <w:proofErr w:type="spellEnd"/>
            <w:r w:rsidRPr="00FA3F9C">
              <w:rPr>
                <w:rFonts w:ascii="Arial" w:hAnsi="Arial" w:cs="Arial"/>
                <w:sz w:val="24"/>
                <w:szCs w:val="24"/>
              </w:rPr>
              <w:t xml:space="preserve"> JC, et al  Denosumab induces tumor reduction and bone formation in patients with GCTB.  Clin Cancer Res; 18(16):4415-24.)</w:t>
            </w:r>
          </w:p>
          <w:p w14:paraId="7DBC2A37" w14:textId="77777777" w:rsidR="001506C1" w:rsidRPr="00FA3F9C" w:rsidRDefault="001506C1" w:rsidP="001506C1">
            <w:pPr>
              <w:pStyle w:val="ListParagraph"/>
              <w:numPr>
                <w:ilvl w:val="0"/>
                <w:numId w:val="126"/>
              </w:numPr>
              <w:ind w:left="318" w:hanging="277"/>
              <w:rPr>
                <w:rFonts w:ascii="Arial" w:hAnsi="Arial" w:cs="Arial"/>
                <w:sz w:val="24"/>
                <w:szCs w:val="24"/>
              </w:rPr>
            </w:pPr>
            <w:r w:rsidRPr="00FA3F9C">
              <w:rPr>
                <w:rFonts w:ascii="Arial" w:hAnsi="Arial" w:cs="Arial"/>
                <w:sz w:val="24"/>
                <w:szCs w:val="24"/>
              </w:rPr>
              <w:lastRenderedPageBreak/>
              <w:t>Denosumab was compared to zoledronic acid in patients with surgically unsalvageable giant cell tumor of bone (n=250). There was no difference in response rate, clinical benefits, or overall survival. (Li S et al. Denosumab versus zoledronic acid in cases of surgically unsalvageable giant cell tumor of bone: a RCT. J Bone Oncol 2019; 15:100217. PMID 30740297)</w:t>
            </w:r>
          </w:p>
          <w:p w14:paraId="36AC8CC6" w14:textId="77777777" w:rsidR="001506C1" w:rsidRPr="00FA3F9C" w:rsidRDefault="001506C1" w:rsidP="00503498">
            <w:pPr>
              <w:pStyle w:val="ListParagraph"/>
              <w:ind w:left="360"/>
              <w:rPr>
                <w:rFonts w:ascii="Arial" w:hAnsi="Arial" w:cs="Arial"/>
                <w:sz w:val="24"/>
                <w:szCs w:val="24"/>
              </w:rPr>
            </w:pPr>
          </w:p>
          <w:p w14:paraId="14A14719" w14:textId="77777777" w:rsidR="001506C1" w:rsidRPr="00FA3F9C" w:rsidRDefault="001506C1" w:rsidP="00503498">
            <w:pPr>
              <w:rPr>
                <w:rFonts w:ascii="Arial" w:hAnsi="Arial" w:cs="Arial"/>
                <w:sz w:val="24"/>
                <w:szCs w:val="24"/>
              </w:rPr>
            </w:pPr>
            <w:r w:rsidRPr="00FA3F9C">
              <w:rPr>
                <w:rFonts w:ascii="Arial" w:hAnsi="Arial" w:cs="Arial"/>
                <w:sz w:val="24"/>
                <w:szCs w:val="24"/>
              </w:rPr>
              <w:t xml:space="preserve">Denosumab is a covered drug for GCTB </w:t>
            </w:r>
            <w:r w:rsidRPr="00FA3F9C">
              <w:rPr>
                <w:rFonts w:ascii="Arial" w:hAnsi="Arial" w:cs="Arial"/>
                <w:sz w:val="24"/>
                <w:szCs w:val="24"/>
                <w:u w:val="single"/>
              </w:rPr>
              <w:t>ONLY when</w:t>
            </w:r>
            <w:r w:rsidRPr="00FA3F9C">
              <w:rPr>
                <w:rFonts w:ascii="Arial" w:hAnsi="Arial" w:cs="Arial"/>
                <w:sz w:val="24"/>
                <w:szCs w:val="24"/>
              </w:rPr>
              <w:t xml:space="preserve"> bisphosphonates have failed.  Since there is a lack of comparative data in this setting and neither drug has measured clinical endpoints such as overall survival, it is not known whether either is superior in efficacy or safety over the other in this setting.  Cost is more for denosumab.</w:t>
            </w:r>
          </w:p>
        </w:tc>
      </w:tr>
    </w:tbl>
    <w:p w14:paraId="1EC8807A" w14:textId="77777777" w:rsidR="001506C1" w:rsidRPr="00FA3F9C" w:rsidRDefault="001506C1">
      <w:pPr>
        <w:rPr>
          <w:rFonts w:ascii="Arial" w:hAnsi="Arial" w:cs="Arial"/>
          <w:sz w:val="24"/>
          <w:szCs w:val="24"/>
        </w:rPr>
      </w:pPr>
    </w:p>
    <w:p w14:paraId="0CF58444" w14:textId="77777777" w:rsidR="001506C1" w:rsidRPr="00FA3F9C" w:rsidRDefault="001506C1" w:rsidP="00503498">
      <w:pPr>
        <w:spacing w:after="0"/>
        <w:ind w:left="40"/>
        <w:rPr>
          <w:rFonts w:ascii="Arial" w:hAnsi="Arial" w:cs="Arial"/>
          <w:b/>
          <w:sz w:val="24"/>
          <w:szCs w:val="24"/>
          <w:u w:val="single"/>
        </w:rPr>
      </w:pPr>
      <w:r w:rsidRPr="00FA3F9C">
        <w:rPr>
          <w:rFonts w:ascii="Arial" w:hAnsi="Arial" w:cs="Arial"/>
          <w:b/>
          <w:sz w:val="24"/>
          <w:szCs w:val="24"/>
          <w:u w:val="single"/>
        </w:rPr>
        <w:t>Prolia (denosumab 60 mg/1 ml) is FDA-approved for:</w:t>
      </w:r>
      <w:bookmarkStart w:id="72" w:name="prolia"/>
      <w:bookmarkEnd w:id="72"/>
    </w:p>
    <w:p w14:paraId="41DFE42B" w14:textId="77777777" w:rsidR="001506C1" w:rsidRPr="00FA3F9C" w:rsidRDefault="001506C1" w:rsidP="001506C1">
      <w:pPr>
        <w:pStyle w:val="ListParagraph"/>
        <w:numPr>
          <w:ilvl w:val="0"/>
          <w:numId w:val="129"/>
        </w:numPr>
        <w:spacing w:after="0" w:line="276" w:lineRule="auto"/>
        <w:rPr>
          <w:rFonts w:ascii="Arial" w:hAnsi="Arial" w:cs="Arial"/>
          <w:b/>
          <w:sz w:val="24"/>
          <w:szCs w:val="24"/>
          <w:u w:val="single"/>
        </w:rPr>
      </w:pPr>
      <w:r w:rsidRPr="00FA3F9C">
        <w:rPr>
          <w:rFonts w:ascii="Arial" w:hAnsi="Arial" w:cs="Arial"/>
          <w:sz w:val="24"/>
          <w:szCs w:val="24"/>
        </w:rPr>
        <w:t xml:space="preserve">Treatment of postmenopausal women with osteoporosis at high risk for fracture </w:t>
      </w:r>
    </w:p>
    <w:p w14:paraId="454119B1" w14:textId="77777777" w:rsidR="001506C1" w:rsidRPr="00FA3F9C" w:rsidRDefault="001506C1" w:rsidP="001506C1">
      <w:pPr>
        <w:pStyle w:val="ListParagraph"/>
        <w:numPr>
          <w:ilvl w:val="0"/>
          <w:numId w:val="129"/>
        </w:numPr>
        <w:spacing w:after="0" w:line="276" w:lineRule="auto"/>
        <w:rPr>
          <w:rFonts w:ascii="Arial" w:hAnsi="Arial" w:cs="Arial"/>
          <w:b/>
          <w:sz w:val="24"/>
          <w:szCs w:val="24"/>
          <w:u w:val="single"/>
        </w:rPr>
      </w:pPr>
      <w:r w:rsidRPr="00FA3F9C">
        <w:rPr>
          <w:rFonts w:ascii="Arial" w:hAnsi="Arial" w:cs="Arial"/>
          <w:sz w:val="24"/>
          <w:szCs w:val="24"/>
        </w:rPr>
        <w:t xml:space="preserve">Treatment to increase bone mass in men with osteoporosis at high risk for fracture </w:t>
      </w:r>
      <w:r w:rsidRPr="00FA3F9C">
        <w:rPr>
          <w:rFonts w:ascii="Arial" w:hAnsi="Arial" w:cs="Arial"/>
          <w:sz w:val="24"/>
          <w:szCs w:val="24"/>
          <w:highlight w:val="yellow"/>
        </w:rPr>
        <w:t>NOT COVERED</w:t>
      </w:r>
      <w:r w:rsidRPr="00FA3F9C">
        <w:rPr>
          <w:rFonts w:ascii="Arial" w:hAnsi="Arial" w:cs="Arial"/>
          <w:sz w:val="24"/>
          <w:szCs w:val="24"/>
        </w:rPr>
        <w:t xml:space="preserve"> (SEE BELOW)</w:t>
      </w:r>
    </w:p>
    <w:p w14:paraId="6D836D7F" w14:textId="77777777" w:rsidR="001506C1" w:rsidRPr="00FA3F9C" w:rsidRDefault="001506C1" w:rsidP="001506C1">
      <w:pPr>
        <w:pStyle w:val="ListParagraph"/>
        <w:numPr>
          <w:ilvl w:val="0"/>
          <w:numId w:val="129"/>
        </w:numPr>
        <w:spacing w:after="0" w:line="276" w:lineRule="auto"/>
        <w:rPr>
          <w:rFonts w:ascii="Arial" w:hAnsi="Arial" w:cs="Arial"/>
          <w:b/>
          <w:sz w:val="24"/>
          <w:szCs w:val="24"/>
          <w:u w:val="single"/>
        </w:rPr>
      </w:pPr>
      <w:r w:rsidRPr="00FA3F9C">
        <w:rPr>
          <w:rFonts w:ascii="Arial" w:hAnsi="Arial" w:cs="Arial"/>
          <w:sz w:val="24"/>
          <w:szCs w:val="24"/>
        </w:rPr>
        <w:t xml:space="preserve">Treatment of glucocorticoid-induced osteoporosis in men at high risk for fracture </w:t>
      </w:r>
      <w:r w:rsidRPr="00FA3F9C">
        <w:rPr>
          <w:rFonts w:ascii="Arial" w:hAnsi="Arial" w:cs="Arial"/>
          <w:sz w:val="24"/>
          <w:szCs w:val="24"/>
          <w:highlight w:val="yellow"/>
        </w:rPr>
        <w:t>NOT COVERED</w:t>
      </w:r>
      <w:r w:rsidRPr="00FA3F9C">
        <w:rPr>
          <w:rFonts w:ascii="Arial" w:hAnsi="Arial" w:cs="Arial"/>
          <w:sz w:val="24"/>
          <w:szCs w:val="24"/>
        </w:rPr>
        <w:t xml:space="preserve"> (SEE BELOW)</w:t>
      </w:r>
    </w:p>
    <w:p w14:paraId="660C84F0" w14:textId="77777777" w:rsidR="001506C1" w:rsidRPr="00FA3F9C" w:rsidRDefault="001506C1" w:rsidP="001506C1">
      <w:pPr>
        <w:pStyle w:val="ListParagraph"/>
        <w:numPr>
          <w:ilvl w:val="0"/>
          <w:numId w:val="129"/>
        </w:numPr>
        <w:spacing w:after="0" w:line="276" w:lineRule="auto"/>
        <w:rPr>
          <w:rFonts w:ascii="Arial" w:hAnsi="Arial" w:cs="Arial"/>
          <w:b/>
          <w:sz w:val="24"/>
          <w:szCs w:val="24"/>
          <w:u w:val="single"/>
        </w:rPr>
      </w:pPr>
      <w:r w:rsidRPr="00FA3F9C">
        <w:rPr>
          <w:rFonts w:ascii="Arial" w:hAnsi="Arial" w:cs="Arial"/>
          <w:sz w:val="24"/>
          <w:szCs w:val="24"/>
        </w:rPr>
        <w:t>Treatment to increase bone mass in men at high risk for fracture receiving androgen deprivation therapy for nonmetastatic prostate cancer</w:t>
      </w:r>
    </w:p>
    <w:p w14:paraId="0954E94C" w14:textId="77777777" w:rsidR="001506C1" w:rsidRPr="00FA3F9C" w:rsidRDefault="001506C1" w:rsidP="001506C1">
      <w:pPr>
        <w:pStyle w:val="ListParagraph"/>
        <w:numPr>
          <w:ilvl w:val="0"/>
          <w:numId w:val="129"/>
        </w:numPr>
        <w:spacing w:after="0" w:line="276" w:lineRule="auto"/>
        <w:rPr>
          <w:rFonts w:ascii="Arial" w:hAnsi="Arial" w:cs="Arial"/>
          <w:b/>
          <w:sz w:val="24"/>
          <w:szCs w:val="24"/>
          <w:u w:val="single"/>
        </w:rPr>
      </w:pPr>
      <w:r w:rsidRPr="00FA3F9C">
        <w:rPr>
          <w:rFonts w:ascii="Arial" w:hAnsi="Arial" w:cs="Arial"/>
          <w:sz w:val="24"/>
          <w:szCs w:val="24"/>
        </w:rPr>
        <w:t>Treatment to increase bone mass in women at high risk for fracture receiving adjuvant aromatase inhibitor for breast cancer</w:t>
      </w:r>
    </w:p>
    <w:p w14:paraId="1986B0A0" w14:textId="77777777" w:rsidR="001506C1" w:rsidRPr="00FA3F9C" w:rsidRDefault="001506C1" w:rsidP="008268A1">
      <w:pPr>
        <w:spacing w:after="0"/>
        <w:rPr>
          <w:rFonts w:ascii="Arial" w:hAnsi="Arial" w:cs="Arial"/>
          <w:sz w:val="24"/>
          <w:szCs w:val="24"/>
        </w:rPr>
      </w:pPr>
    </w:p>
    <w:p w14:paraId="5F329D73" w14:textId="77777777" w:rsidR="001506C1" w:rsidRPr="00FA3F9C" w:rsidRDefault="001506C1" w:rsidP="008268A1">
      <w:pPr>
        <w:rPr>
          <w:rFonts w:ascii="Arial" w:hAnsi="Arial" w:cs="Arial"/>
          <w:color w:val="232323"/>
          <w:sz w:val="24"/>
          <w:szCs w:val="24"/>
        </w:rPr>
      </w:pPr>
      <w:r w:rsidRPr="00FA3F9C">
        <w:rPr>
          <w:rFonts w:ascii="Arial" w:hAnsi="Arial" w:cs="Arial"/>
          <w:sz w:val="24"/>
          <w:szCs w:val="24"/>
        </w:rPr>
        <w:t xml:space="preserve">Other information of interest (from uptodate.com): </w:t>
      </w:r>
      <w:r w:rsidRPr="00FA3F9C">
        <w:rPr>
          <w:rStyle w:val="h2"/>
          <w:rFonts w:ascii="Arial" w:hAnsi="Arial" w:cs="Arial"/>
          <w:b/>
          <w:bCs/>
          <w:color w:val="232323"/>
          <w:sz w:val="24"/>
          <w:szCs w:val="24"/>
        </w:rPr>
        <w:t>Fracture risk after discontinuation of denosumab</w:t>
      </w:r>
      <w:r w:rsidRPr="00FA3F9C">
        <w:rPr>
          <w:rStyle w:val="headingendmark"/>
          <w:rFonts w:ascii="Arial" w:hAnsi="Arial" w:cs="Arial"/>
          <w:color w:val="232323"/>
          <w:sz w:val="24"/>
          <w:szCs w:val="24"/>
        </w:rPr>
        <w:t> — </w:t>
      </w:r>
      <w:r w:rsidRPr="00FA3F9C">
        <w:rPr>
          <w:rFonts w:ascii="Arial" w:hAnsi="Arial" w:cs="Arial"/>
          <w:color w:val="232323"/>
          <w:sz w:val="24"/>
          <w:szCs w:val="24"/>
        </w:rPr>
        <w:t xml:space="preserve">Emerging data have raised concern about increased fracture risk after discontinuation of </w:t>
      </w:r>
      <w:hyperlink r:id="rId123" w:history="1">
        <w:r w:rsidRPr="00FA3F9C">
          <w:rPr>
            <w:rStyle w:val="Hyperlink"/>
            <w:rFonts w:ascii="Arial" w:hAnsi="Arial" w:cs="Arial"/>
            <w:color w:val="00905A"/>
            <w:sz w:val="24"/>
            <w:szCs w:val="24"/>
          </w:rPr>
          <w:t>denosumab</w:t>
        </w:r>
      </w:hyperlink>
      <w:r w:rsidRPr="00FA3F9C">
        <w:rPr>
          <w:rFonts w:ascii="Arial" w:hAnsi="Arial" w:cs="Arial"/>
          <w:color w:val="232323"/>
          <w:sz w:val="24"/>
          <w:szCs w:val="24"/>
        </w:rPr>
        <w:t>. In a case series, vertebral fractures occurred in postmenopausal women after denosumab withdrawal [</w:t>
      </w:r>
      <w:hyperlink r:id="rId124" w:history="1">
        <w:r w:rsidRPr="00FA3F9C">
          <w:rPr>
            <w:rStyle w:val="Hyperlink"/>
            <w:rFonts w:ascii="Arial" w:hAnsi="Arial" w:cs="Arial"/>
            <w:color w:val="00905A"/>
            <w:sz w:val="24"/>
            <w:szCs w:val="24"/>
          </w:rPr>
          <w:t>21-23</w:t>
        </w:r>
      </w:hyperlink>
      <w:r w:rsidRPr="00FA3F9C">
        <w:rPr>
          <w:rFonts w:ascii="Arial" w:hAnsi="Arial" w:cs="Arial"/>
          <w:color w:val="232323"/>
          <w:sz w:val="24"/>
          <w:szCs w:val="24"/>
        </w:rPr>
        <w:t>]. Fractures were often multiple and occurred 8 to 16 months after the last dose, raising concerns about a rebound in fracture risk when denosumab wears off. In a post hoc analysis of 1471 patients in the FREEDOM trial and its extension (patients who received at least two doses of denosumab or placebo, discontinued treatment, and remained in the study for at least seven months after discontinuation), there was a rapid rise in vertebral fracture rate upon discontinuation of denosumab (from 1.2 to 7.1 per 100 participant-years), similar to those who received and then discontinued placebo [</w:t>
      </w:r>
      <w:hyperlink r:id="rId125" w:history="1">
        <w:r w:rsidRPr="00FA3F9C">
          <w:rPr>
            <w:rStyle w:val="Hyperlink"/>
            <w:rFonts w:ascii="Arial" w:hAnsi="Arial" w:cs="Arial"/>
            <w:color w:val="00905A"/>
            <w:sz w:val="24"/>
            <w:szCs w:val="24"/>
          </w:rPr>
          <w:t>24</w:t>
        </w:r>
      </w:hyperlink>
      <w:r w:rsidRPr="00FA3F9C">
        <w:rPr>
          <w:rFonts w:ascii="Arial" w:hAnsi="Arial" w:cs="Arial"/>
          <w:color w:val="232323"/>
          <w:sz w:val="24"/>
          <w:szCs w:val="24"/>
        </w:rPr>
        <w:t xml:space="preserve">]. However, patients who discontinued denosumab had a higher rate of multiple vertebral fractures than the placebo group (60.7 versus 38.7 percent [4.2 versus 3.2 per 100 patient-years]). Patients with a prior vertebral fracture were at greatest risk for multiple fractures upon discontinuation. </w:t>
      </w:r>
    </w:p>
    <w:p w14:paraId="33CF2EE0" w14:textId="77777777" w:rsidR="001506C1" w:rsidRPr="00FA3F9C" w:rsidRDefault="001506C1" w:rsidP="008268A1">
      <w:pPr>
        <w:spacing w:after="0"/>
        <w:rPr>
          <w:rFonts w:ascii="Arial" w:hAnsi="Arial" w:cs="Arial"/>
          <w:sz w:val="24"/>
          <w:szCs w:val="24"/>
        </w:rPr>
      </w:pPr>
    </w:p>
    <w:p w14:paraId="2E462902" w14:textId="77777777" w:rsidR="001506C1" w:rsidRPr="00FA3F9C" w:rsidRDefault="001506C1" w:rsidP="008268A1">
      <w:pPr>
        <w:pStyle w:val="ListParagraph"/>
        <w:spacing w:after="0"/>
        <w:ind w:left="760"/>
        <w:rPr>
          <w:rFonts w:ascii="Arial" w:hAnsi="Arial" w:cs="Arial"/>
          <w:b/>
          <w:sz w:val="24"/>
          <w:szCs w:val="24"/>
          <w:u w:val="single"/>
        </w:rPr>
      </w:pPr>
    </w:p>
    <w:tbl>
      <w:tblPr>
        <w:tblStyle w:val="TableGrid"/>
        <w:tblW w:w="10687" w:type="dxa"/>
        <w:tblInd w:w="108" w:type="dxa"/>
        <w:tblLook w:val="04A0" w:firstRow="1" w:lastRow="0" w:firstColumn="1" w:lastColumn="0" w:noHBand="0" w:noVBand="1"/>
      </w:tblPr>
      <w:tblGrid>
        <w:gridCol w:w="10687"/>
      </w:tblGrid>
      <w:tr w:rsidR="001506C1" w:rsidRPr="00FA3F9C" w14:paraId="190E40B0" w14:textId="77777777" w:rsidTr="009621EA">
        <w:trPr>
          <w:trHeight w:val="260"/>
        </w:trPr>
        <w:tc>
          <w:tcPr>
            <w:tcW w:w="10687" w:type="dxa"/>
            <w:shd w:val="clear" w:color="auto" w:fill="000000"/>
          </w:tcPr>
          <w:p w14:paraId="549FFF34" w14:textId="77777777" w:rsidR="001506C1" w:rsidRPr="00FA3F9C" w:rsidRDefault="001506C1" w:rsidP="00D0292F">
            <w:pPr>
              <w:rPr>
                <w:rFonts w:ascii="Arial" w:hAnsi="Arial" w:cs="Arial"/>
                <w:sz w:val="24"/>
                <w:szCs w:val="24"/>
              </w:rPr>
            </w:pPr>
            <w:r w:rsidRPr="00FA3F9C">
              <w:rPr>
                <w:rFonts w:ascii="Arial" w:hAnsi="Arial" w:cs="Arial"/>
                <w:sz w:val="24"/>
                <w:szCs w:val="24"/>
              </w:rPr>
              <w:t>CRITERIA for: Prolia 60mg/1mL (dose: 60 mg SQ every 6 months)</w:t>
            </w:r>
          </w:p>
        </w:tc>
      </w:tr>
      <w:tr w:rsidR="001506C1" w:rsidRPr="00FA3F9C" w14:paraId="3AAA0BFA" w14:textId="77777777" w:rsidTr="00D93815">
        <w:trPr>
          <w:trHeight w:val="368"/>
        </w:trPr>
        <w:tc>
          <w:tcPr>
            <w:tcW w:w="10687" w:type="dxa"/>
            <w:tcBorders>
              <w:bottom w:val="single" w:sz="4" w:space="0" w:color="auto"/>
            </w:tcBorders>
          </w:tcPr>
          <w:p w14:paraId="52D46EC3" w14:textId="77777777" w:rsidR="001506C1" w:rsidRPr="00FA3F9C" w:rsidRDefault="001506C1" w:rsidP="001506C1">
            <w:pPr>
              <w:pStyle w:val="ListParagraph"/>
              <w:numPr>
                <w:ilvl w:val="0"/>
                <w:numId w:val="127"/>
              </w:numPr>
              <w:spacing w:line="276" w:lineRule="auto"/>
              <w:ind w:left="228" w:hanging="228"/>
              <w:rPr>
                <w:rFonts w:ascii="Arial" w:hAnsi="Arial" w:cs="Arial"/>
                <w:sz w:val="24"/>
                <w:szCs w:val="24"/>
              </w:rPr>
            </w:pPr>
            <w:r w:rsidRPr="00FA3F9C">
              <w:rPr>
                <w:rFonts w:ascii="Arial" w:hAnsi="Arial" w:cs="Arial"/>
                <w:sz w:val="24"/>
                <w:szCs w:val="24"/>
              </w:rPr>
              <w:t xml:space="preserve">Request is for treatment of postmenopausal woman with osteoporosis at high risk for fracture AND the patient has contraindication, failure, or intolerance of IV </w:t>
            </w:r>
            <w:r w:rsidRPr="00FA3F9C">
              <w:rPr>
                <w:rFonts w:ascii="Arial" w:hAnsi="Arial" w:cs="Arial"/>
                <w:sz w:val="24"/>
                <w:szCs w:val="24"/>
                <w:u w:val="single"/>
              </w:rPr>
              <w:t>and</w:t>
            </w:r>
            <w:r w:rsidRPr="00FA3F9C">
              <w:rPr>
                <w:rFonts w:ascii="Arial" w:hAnsi="Arial" w:cs="Arial"/>
                <w:sz w:val="24"/>
                <w:szCs w:val="24"/>
              </w:rPr>
              <w:t xml:space="preserve"> oral bisphosphonates*. </w:t>
            </w:r>
          </w:p>
        </w:tc>
      </w:tr>
      <w:tr w:rsidR="001506C1" w:rsidRPr="00FA3F9C" w14:paraId="41AA06AE" w14:textId="77777777" w:rsidTr="00D93815">
        <w:trPr>
          <w:trHeight w:val="620"/>
        </w:trPr>
        <w:tc>
          <w:tcPr>
            <w:tcW w:w="10687" w:type="dxa"/>
            <w:tcBorders>
              <w:bottom w:val="single" w:sz="4" w:space="0" w:color="auto"/>
            </w:tcBorders>
          </w:tcPr>
          <w:p w14:paraId="289A4732" w14:textId="77777777" w:rsidR="001506C1" w:rsidRPr="00FA3F9C" w:rsidRDefault="001506C1" w:rsidP="001506C1">
            <w:pPr>
              <w:pStyle w:val="ListParagraph"/>
              <w:numPr>
                <w:ilvl w:val="0"/>
                <w:numId w:val="127"/>
              </w:numPr>
              <w:spacing w:line="276" w:lineRule="auto"/>
              <w:ind w:left="228" w:hanging="228"/>
              <w:rPr>
                <w:rFonts w:ascii="Arial" w:hAnsi="Arial" w:cs="Arial"/>
                <w:sz w:val="24"/>
                <w:szCs w:val="24"/>
              </w:rPr>
            </w:pPr>
            <w:r w:rsidRPr="00FA3F9C">
              <w:rPr>
                <w:rFonts w:ascii="Arial" w:hAnsi="Arial" w:cs="Arial"/>
                <w:sz w:val="24"/>
                <w:szCs w:val="24"/>
              </w:rPr>
              <w:t>Request is for treatment of bone loss in men receiving androgen-deprivation therapy for non-metastatic prostate cancer</w:t>
            </w:r>
          </w:p>
        </w:tc>
      </w:tr>
      <w:tr w:rsidR="001506C1" w:rsidRPr="00FA3F9C" w14:paraId="4F086AFD" w14:textId="77777777" w:rsidTr="00D93815">
        <w:trPr>
          <w:trHeight w:val="620"/>
        </w:trPr>
        <w:tc>
          <w:tcPr>
            <w:tcW w:w="10687" w:type="dxa"/>
            <w:tcBorders>
              <w:bottom w:val="single" w:sz="4" w:space="0" w:color="auto"/>
            </w:tcBorders>
          </w:tcPr>
          <w:p w14:paraId="32CF1FEC" w14:textId="77777777" w:rsidR="001506C1" w:rsidRPr="00FA3F9C" w:rsidRDefault="001506C1" w:rsidP="001506C1">
            <w:pPr>
              <w:pStyle w:val="ListParagraph"/>
              <w:numPr>
                <w:ilvl w:val="0"/>
                <w:numId w:val="127"/>
              </w:numPr>
              <w:spacing w:line="276" w:lineRule="auto"/>
              <w:ind w:left="228" w:hanging="228"/>
              <w:rPr>
                <w:rFonts w:ascii="Arial" w:hAnsi="Arial" w:cs="Arial"/>
                <w:sz w:val="24"/>
                <w:szCs w:val="24"/>
              </w:rPr>
            </w:pPr>
            <w:r w:rsidRPr="00FA3F9C">
              <w:rPr>
                <w:rFonts w:ascii="Arial" w:hAnsi="Arial" w:cs="Arial"/>
                <w:sz w:val="24"/>
                <w:szCs w:val="24"/>
              </w:rPr>
              <w:t>Request is for treatment of bone loss in women receiving an aromatase inhibitor (anastrozole, letrozole, or exemestane) therapy for breast cancer</w:t>
            </w:r>
          </w:p>
        </w:tc>
      </w:tr>
      <w:tr w:rsidR="001506C1" w:rsidRPr="00FA3F9C" w14:paraId="18C1507A" w14:textId="77777777" w:rsidTr="00D93815">
        <w:trPr>
          <w:trHeight w:val="80"/>
        </w:trPr>
        <w:tc>
          <w:tcPr>
            <w:tcW w:w="10687" w:type="dxa"/>
            <w:tcBorders>
              <w:bottom w:val="single" w:sz="4" w:space="0" w:color="auto"/>
            </w:tcBorders>
          </w:tcPr>
          <w:p w14:paraId="10FD45FA" w14:textId="77777777" w:rsidR="001506C1" w:rsidRPr="00FA3F9C" w:rsidRDefault="001506C1" w:rsidP="009621EA">
            <w:pPr>
              <w:ind w:left="140" w:hanging="140"/>
              <w:rPr>
                <w:rFonts w:ascii="Arial" w:hAnsi="Arial" w:cs="Arial"/>
                <w:sz w:val="24"/>
                <w:szCs w:val="24"/>
              </w:rPr>
            </w:pPr>
            <w:r w:rsidRPr="00FA3F9C">
              <w:rPr>
                <w:rFonts w:ascii="Arial" w:hAnsi="Arial" w:cs="Arial"/>
                <w:sz w:val="24"/>
                <w:szCs w:val="24"/>
              </w:rPr>
              <w:t>*</w:t>
            </w:r>
            <w:proofErr w:type="gramStart"/>
            <w:r w:rsidRPr="00FA3F9C">
              <w:rPr>
                <w:rFonts w:ascii="Arial" w:hAnsi="Arial" w:cs="Arial"/>
                <w:sz w:val="24"/>
                <w:szCs w:val="24"/>
              </w:rPr>
              <w:t>failure</w:t>
            </w:r>
            <w:proofErr w:type="gramEnd"/>
            <w:r w:rsidRPr="00FA3F9C">
              <w:rPr>
                <w:rFonts w:ascii="Arial" w:hAnsi="Arial" w:cs="Arial"/>
                <w:sz w:val="24"/>
                <w:szCs w:val="24"/>
              </w:rPr>
              <w:t>: fracture or decrease in bone mineral density (BMD) while compliant on bisphosphonate therapy</w:t>
            </w:r>
          </w:p>
          <w:p w14:paraId="5F724808" w14:textId="77777777" w:rsidR="001506C1" w:rsidRPr="00FA3F9C" w:rsidRDefault="001506C1" w:rsidP="009621EA">
            <w:pPr>
              <w:ind w:left="140" w:hanging="140"/>
              <w:rPr>
                <w:rFonts w:ascii="Arial" w:hAnsi="Arial" w:cs="Arial"/>
                <w:sz w:val="24"/>
                <w:szCs w:val="24"/>
              </w:rPr>
            </w:pPr>
            <w:r w:rsidRPr="00FA3F9C">
              <w:rPr>
                <w:rFonts w:ascii="Arial" w:hAnsi="Arial" w:cs="Arial"/>
                <w:sz w:val="24"/>
                <w:szCs w:val="24"/>
              </w:rPr>
              <w:t>*</w:t>
            </w:r>
            <w:proofErr w:type="gramStart"/>
            <w:r w:rsidRPr="00FA3F9C">
              <w:rPr>
                <w:rFonts w:ascii="Arial" w:hAnsi="Arial" w:cs="Arial"/>
                <w:sz w:val="24"/>
                <w:szCs w:val="24"/>
              </w:rPr>
              <w:t>contraindications</w:t>
            </w:r>
            <w:proofErr w:type="gramEnd"/>
            <w:r w:rsidRPr="00FA3F9C">
              <w:rPr>
                <w:rFonts w:ascii="Arial" w:hAnsi="Arial" w:cs="Arial"/>
                <w:sz w:val="24"/>
                <w:szCs w:val="24"/>
              </w:rPr>
              <w:t xml:space="preserve"> to IV bisphosphonates: </w:t>
            </w:r>
            <w:proofErr w:type="spellStart"/>
            <w:r w:rsidRPr="00FA3F9C">
              <w:rPr>
                <w:rFonts w:ascii="Arial" w:hAnsi="Arial" w:cs="Arial"/>
                <w:sz w:val="24"/>
                <w:szCs w:val="24"/>
              </w:rPr>
              <w:t>CrCl</w:t>
            </w:r>
            <w:proofErr w:type="spellEnd"/>
            <w:r w:rsidRPr="00FA3F9C">
              <w:rPr>
                <w:rFonts w:ascii="Arial" w:hAnsi="Arial" w:cs="Arial"/>
                <w:sz w:val="24"/>
                <w:szCs w:val="24"/>
              </w:rPr>
              <w:t xml:space="preserve"> &lt;35 ml/min (zoledronic acid)</w:t>
            </w:r>
          </w:p>
          <w:p w14:paraId="3E424E4C" w14:textId="77777777" w:rsidR="001506C1" w:rsidRPr="00FA3F9C" w:rsidRDefault="001506C1" w:rsidP="009621EA">
            <w:pPr>
              <w:ind w:left="140" w:hanging="140"/>
              <w:rPr>
                <w:rFonts w:ascii="Arial" w:hAnsi="Arial" w:cs="Arial"/>
                <w:sz w:val="24"/>
                <w:szCs w:val="24"/>
              </w:rPr>
            </w:pPr>
            <w:r w:rsidRPr="00FA3F9C">
              <w:rPr>
                <w:rFonts w:ascii="Arial" w:hAnsi="Arial" w:cs="Arial"/>
                <w:sz w:val="24"/>
                <w:szCs w:val="24"/>
              </w:rPr>
              <w:t>*</w:t>
            </w:r>
            <w:proofErr w:type="gramStart"/>
            <w:r w:rsidRPr="00FA3F9C">
              <w:rPr>
                <w:rFonts w:ascii="Arial" w:hAnsi="Arial" w:cs="Arial"/>
                <w:sz w:val="24"/>
                <w:szCs w:val="24"/>
              </w:rPr>
              <w:t>intolerances</w:t>
            </w:r>
            <w:proofErr w:type="gramEnd"/>
            <w:r w:rsidRPr="00FA3F9C">
              <w:rPr>
                <w:rFonts w:ascii="Arial" w:hAnsi="Arial" w:cs="Arial"/>
                <w:sz w:val="24"/>
                <w:szCs w:val="24"/>
              </w:rPr>
              <w:t xml:space="preserve"> seen with IV bisphosphonates: severe flu-like symptoms, bone/joint/muscle pain, anaphylaxis, urticarial, renal failure. Note: osteonecrosis of the jaw and hypocalcemia may occur with denosumab therapy as well as zoledronic acid.</w:t>
            </w:r>
          </w:p>
          <w:p w14:paraId="10C288F6" w14:textId="77777777" w:rsidR="001506C1" w:rsidRPr="00FA3F9C" w:rsidRDefault="001506C1" w:rsidP="009621EA">
            <w:pPr>
              <w:ind w:left="140" w:hanging="140"/>
              <w:rPr>
                <w:rFonts w:ascii="Arial" w:hAnsi="Arial" w:cs="Arial"/>
                <w:sz w:val="24"/>
                <w:szCs w:val="24"/>
              </w:rPr>
            </w:pPr>
            <w:r w:rsidRPr="00FA3F9C">
              <w:rPr>
                <w:rFonts w:ascii="Arial" w:hAnsi="Arial" w:cs="Arial"/>
                <w:sz w:val="24"/>
                <w:szCs w:val="24"/>
              </w:rPr>
              <w:t>*</w:t>
            </w:r>
            <w:proofErr w:type="gramStart"/>
            <w:r w:rsidRPr="00FA3F9C">
              <w:rPr>
                <w:rFonts w:ascii="Arial" w:hAnsi="Arial" w:cs="Arial"/>
                <w:sz w:val="24"/>
                <w:szCs w:val="24"/>
              </w:rPr>
              <w:t>contraindications</w:t>
            </w:r>
            <w:proofErr w:type="gramEnd"/>
            <w:r w:rsidRPr="00FA3F9C">
              <w:rPr>
                <w:rFonts w:ascii="Arial" w:hAnsi="Arial" w:cs="Arial"/>
                <w:sz w:val="24"/>
                <w:szCs w:val="24"/>
              </w:rPr>
              <w:t xml:space="preserve"> to oral bisphosphonates: achalasia, esophageal stricture, Barrett’s esophagus, esophageal varices, inability to stay upright for at least 30-60 minutes; </w:t>
            </w:r>
            <w:proofErr w:type="spellStart"/>
            <w:r w:rsidRPr="00FA3F9C">
              <w:rPr>
                <w:rFonts w:ascii="Arial" w:hAnsi="Arial" w:cs="Arial"/>
                <w:sz w:val="24"/>
                <w:szCs w:val="24"/>
              </w:rPr>
              <w:t>CrCl</w:t>
            </w:r>
            <w:proofErr w:type="spellEnd"/>
            <w:r w:rsidRPr="00FA3F9C">
              <w:rPr>
                <w:rFonts w:ascii="Arial" w:hAnsi="Arial" w:cs="Arial"/>
                <w:sz w:val="24"/>
                <w:szCs w:val="24"/>
              </w:rPr>
              <w:t xml:space="preserve"> &lt;35 ml/min (alendronate), </w:t>
            </w:r>
            <w:proofErr w:type="spellStart"/>
            <w:r w:rsidRPr="00FA3F9C">
              <w:rPr>
                <w:rFonts w:ascii="Arial" w:hAnsi="Arial" w:cs="Arial"/>
                <w:sz w:val="24"/>
                <w:szCs w:val="24"/>
              </w:rPr>
              <w:t>CrCl</w:t>
            </w:r>
            <w:proofErr w:type="spellEnd"/>
            <w:r w:rsidRPr="00FA3F9C">
              <w:rPr>
                <w:rFonts w:ascii="Arial" w:hAnsi="Arial" w:cs="Arial"/>
                <w:sz w:val="24"/>
                <w:szCs w:val="24"/>
              </w:rPr>
              <w:t xml:space="preserve"> &lt;30 ml/min (risedronate).</w:t>
            </w:r>
          </w:p>
          <w:p w14:paraId="120D068F" w14:textId="77777777" w:rsidR="001506C1" w:rsidRPr="00FA3F9C" w:rsidRDefault="001506C1" w:rsidP="009621EA">
            <w:pPr>
              <w:ind w:left="140" w:hanging="140"/>
              <w:rPr>
                <w:rFonts w:ascii="Arial" w:hAnsi="Arial" w:cs="Arial"/>
                <w:sz w:val="24"/>
                <w:szCs w:val="24"/>
              </w:rPr>
            </w:pPr>
            <w:r w:rsidRPr="00FA3F9C">
              <w:rPr>
                <w:rFonts w:ascii="Arial" w:hAnsi="Arial" w:cs="Arial"/>
                <w:sz w:val="24"/>
                <w:szCs w:val="24"/>
              </w:rPr>
              <w:t>*</w:t>
            </w:r>
            <w:proofErr w:type="gramStart"/>
            <w:r w:rsidRPr="00FA3F9C">
              <w:rPr>
                <w:rFonts w:ascii="Arial" w:hAnsi="Arial" w:cs="Arial"/>
                <w:sz w:val="24"/>
                <w:szCs w:val="24"/>
              </w:rPr>
              <w:t>intolerances</w:t>
            </w:r>
            <w:proofErr w:type="gramEnd"/>
            <w:r w:rsidRPr="00FA3F9C">
              <w:rPr>
                <w:rFonts w:ascii="Arial" w:hAnsi="Arial" w:cs="Arial"/>
                <w:sz w:val="24"/>
                <w:szCs w:val="24"/>
              </w:rPr>
              <w:t xml:space="preserve"> seen with oral bisphosphonates: reflux, esophagitis, esophageal ulcers</w:t>
            </w:r>
          </w:p>
        </w:tc>
      </w:tr>
      <w:tr w:rsidR="001506C1" w:rsidRPr="00FA3F9C" w14:paraId="686C2CEC" w14:textId="77777777" w:rsidTr="00D93815">
        <w:trPr>
          <w:trHeight w:val="80"/>
        </w:trPr>
        <w:tc>
          <w:tcPr>
            <w:tcW w:w="10687" w:type="dxa"/>
            <w:tcBorders>
              <w:bottom w:val="single" w:sz="4" w:space="0" w:color="auto"/>
            </w:tcBorders>
            <w:shd w:val="clear" w:color="auto" w:fill="F2F2F2" w:themeFill="background1" w:themeFillShade="F2"/>
          </w:tcPr>
          <w:p w14:paraId="4B391875" w14:textId="77777777" w:rsidR="001506C1" w:rsidRPr="00FA3F9C" w:rsidRDefault="001506C1" w:rsidP="00461164">
            <w:pPr>
              <w:rPr>
                <w:rFonts w:ascii="Arial" w:hAnsi="Arial" w:cs="Arial"/>
                <w:b/>
                <w:sz w:val="24"/>
                <w:szCs w:val="24"/>
              </w:rPr>
            </w:pPr>
            <w:r w:rsidRPr="00FA3F9C">
              <w:rPr>
                <w:rFonts w:ascii="Arial" w:hAnsi="Arial" w:cs="Arial"/>
                <w:b/>
                <w:sz w:val="24"/>
                <w:szCs w:val="24"/>
              </w:rPr>
              <w:t xml:space="preserve">If 1, 2, or 3 is fulfilled, approve for 1 year </w:t>
            </w:r>
          </w:p>
        </w:tc>
      </w:tr>
      <w:tr w:rsidR="001506C1" w:rsidRPr="00FA3F9C" w14:paraId="5606C8DA" w14:textId="77777777" w:rsidTr="00D93815">
        <w:trPr>
          <w:trHeight w:val="80"/>
        </w:trPr>
        <w:tc>
          <w:tcPr>
            <w:tcW w:w="10687" w:type="dxa"/>
            <w:tcBorders>
              <w:bottom w:val="single" w:sz="4" w:space="0" w:color="auto"/>
            </w:tcBorders>
            <w:shd w:val="clear" w:color="auto" w:fill="F2F2F2" w:themeFill="background1" w:themeFillShade="F2"/>
          </w:tcPr>
          <w:p w14:paraId="19045392" w14:textId="77777777" w:rsidR="001506C1" w:rsidRPr="00FA3F9C" w:rsidRDefault="001506C1" w:rsidP="00461164">
            <w:pPr>
              <w:rPr>
                <w:rFonts w:ascii="Arial" w:hAnsi="Arial" w:cs="Arial"/>
                <w:b/>
                <w:sz w:val="24"/>
                <w:szCs w:val="24"/>
              </w:rPr>
            </w:pPr>
            <w:r w:rsidRPr="00FA3F9C">
              <w:rPr>
                <w:rFonts w:ascii="Arial" w:hAnsi="Arial" w:cs="Arial"/>
                <w:b/>
                <w:sz w:val="24"/>
                <w:szCs w:val="24"/>
              </w:rPr>
              <w:t>If criteria fulfilled, approve for 1 year.</w:t>
            </w:r>
          </w:p>
        </w:tc>
      </w:tr>
      <w:tr w:rsidR="001506C1" w:rsidRPr="00FA3F9C" w14:paraId="51B283FB" w14:textId="77777777" w:rsidTr="00D93815">
        <w:tc>
          <w:tcPr>
            <w:tcW w:w="10687" w:type="dxa"/>
            <w:shd w:val="clear" w:color="auto" w:fill="D9D9D9"/>
          </w:tcPr>
          <w:p w14:paraId="5D54319A" w14:textId="77777777" w:rsidR="001506C1" w:rsidRPr="00FA3F9C" w:rsidRDefault="001506C1" w:rsidP="00461164">
            <w:pPr>
              <w:rPr>
                <w:rFonts w:ascii="Arial" w:hAnsi="Arial" w:cs="Arial"/>
                <w:sz w:val="24"/>
                <w:szCs w:val="24"/>
              </w:rPr>
            </w:pPr>
            <w:r w:rsidRPr="00FA3F9C">
              <w:rPr>
                <w:rFonts w:ascii="Arial" w:hAnsi="Arial" w:cs="Arial"/>
                <w:b/>
                <w:sz w:val="24"/>
                <w:szCs w:val="24"/>
                <w:u w:val="single"/>
              </w:rPr>
              <w:t>POSTMENOPAUSAL WOMEN AT HIGH RISK FOR FRACTURE</w:t>
            </w:r>
            <w:r w:rsidRPr="00FA3F9C">
              <w:rPr>
                <w:rFonts w:ascii="Arial" w:hAnsi="Arial" w:cs="Arial"/>
                <w:sz w:val="24"/>
                <w:szCs w:val="24"/>
              </w:rPr>
              <w:t>:</w:t>
            </w:r>
          </w:p>
          <w:p w14:paraId="01FFDC0E" w14:textId="77777777" w:rsidR="001506C1" w:rsidRPr="00FA3F9C" w:rsidRDefault="001506C1" w:rsidP="001506C1">
            <w:pPr>
              <w:pStyle w:val="ListParagraph"/>
              <w:numPr>
                <w:ilvl w:val="0"/>
                <w:numId w:val="122"/>
              </w:numPr>
              <w:spacing w:line="276" w:lineRule="auto"/>
              <w:rPr>
                <w:rFonts w:ascii="Arial" w:hAnsi="Arial" w:cs="Arial"/>
                <w:sz w:val="24"/>
                <w:szCs w:val="24"/>
              </w:rPr>
            </w:pPr>
            <w:r w:rsidRPr="00FA3F9C">
              <w:rPr>
                <w:rFonts w:ascii="Arial" w:hAnsi="Arial" w:cs="Arial"/>
                <w:sz w:val="24"/>
                <w:szCs w:val="24"/>
              </w:rPr>
              <w:t xml:space="preserve">Over 36 months, denosumab reduced the rate of new radiographic vertebral fracture vs placebo, rates were 2.3% vs 7.2% (HR 0.32, 95%CI 0.26-0.41, p&lt;0.001). Denosumab also reduced hip fracture, cumulative incidence was 0.7% vs 1.2% (HR 0.60;95%CI, 0.37-0.97;p=0.04).  Denosumab reduced </w:t>
            </w:r>
            <w:proofErr w:type="spellStart"/>
            <w:r w:rsidRPr="00FA3F9C">
              <w:rPr>
                <w:rFonts w:ascii="Arial" w:hAnsi="Arial" w:cs="Arial"/>
                <w:sz w:val="24"/>
                <w:szCs w:val="24"/>
              </w:rPr>
              <w:t>nonvertrebral</w:t>
            </w:r>
            <w:proofErr w:type="spellEnd"/>
            <w:r w:rsidRPr="00FA3F9C">
              <w:rPr>
                <w:rFonts w:ascii="Arial" w:hAnsi="Arial" w:cs="Arial"/>
                <w:sz w:val="24"/>
                <w:szCs w:val="24"/>
              </w:rPr>
              <w:t xml:space="preserve"> fracture, cumulative incidence 6.5% with denosumab vs 8% placebo (HR, 0.80;95%CI, 0.67 to 0.95;p=0.01).  Pts were 60-90, </w:t>
            </w:r>
            <w:proofErr w:type="spellStart"/>
            <w:r w:rsidRPr="00FA3F9C">
              <w:rPr>
                <w:rFonts w:ascii="Arial" w:hAnsi="Arial" w:cs="Arial"/>
                <w:sz w:val="24"/>
                <w:szCs w:val="24"/>
              </w:rPr>
              <w:t>Tscore</w:t>
            </w:r>
            <w:proofErr w:type="spellEnd"/>
            <w:r w:rsidRPr="00FA3F9C">
              <w:rPr>
                <w:rFonts w:ascii="Arial" w:hAnsi="Arial" w:cs="Arial"/>
                <w:sz w:val="24"/>
                <w:szCs w:val="24"/>
              </w:rPr>
              <w:t xml:space="preserve"> &lt;-2.5 but not less than -4.0 at lumbar spine or total hip.(Cummings SR, Martin </w:t>
            </w:r>
            <w:proofErr w:type="spellStart"/>
            <w:r w:rsidRPr="00FA3F9C">
              <w:rPr>
                <w:rFonts w:ascii="Arial" w:hAnsi="Arial" w:cs="Arial"/>
                <w:sz w:val="24"/>
                <w:szCs w:val="24"/>
              </w:rPr>
              <w:t>Js</w:t>
            </w:r>
            <w:proofErr w:type="spellEnd"/>
            <w:r w:rsidRPr="00FA3F9C">
              <w:rPr>
                <w:rFonts w:ascii="Arial" w:hAnsi="Arial" w:cs="Arial"/>
                <w:sz w:val="24"/>
                <w:szCs w:val="24"/>
              </w:rPr>
              <w:t xml:space="preserve">, McClung MR, et al.  Denosumab for prevention of fractures in postmenopausal women with osteoporosis. N </w:t>
            </w:r>
            <w:proofErr w:type="spellStart"/>
            <w:r w:rsidRPr="00FA3F9C">
              <w:rPr>
                <w:rFonts w:ascii="Arial" w:hAnsi="Arial" w:cs="Arial"/>
                <w:sz w:val="24"/>
                <w:szCs w:val="24"/>
              </w:rPr>
              <w:t>Engl</w:t>
            </w:r>
            <w:proofErr w:type="spellEnd"/>
            <w:r w:rsidRPr="00FA3F9C">
              <w:rPr>
                <w:rFonts w:ascii="Arial" w:hAnsi="Arial" w:cs="Arial"/>
                <w:sz w:val="24"/>
                <w:szCs w:val="24"/>
              </w:rPr>
              <w:t xml:space="preserve"> J Med. 2009;361:756-65.)</w:t>
            </w:r>
          </w:p>
          <w:p w14:paraId="4FA9C945" w14:textId="77777777" w:rsidR="001506C1" w:rsidRPr="00FA3F9C" w:rsidRDefault="001506C1" w:rsidP="001506C1">
            <w:pPr>
              <w:pStyle w:val="ListParagraph"/>
              <w:numPr>
                <w:ilvl w:val="0"/>
                <w:numId w:val="122"/>
              </w:numPr>
              <w:spacing w:line="276" w:lineRule="auto"/>
              <w:rPr>
                <w:rFonts w:ascii="Arial" w:hAnsi="Arial" w:cs="Arial"/>
                <w:sz w:val="24"/>
                <w:szCs w:val="24"/>
              </w:rPr>
            </w:pPr>
            <w:r w:rsidRPr="00FA3F9C">
              <w:rPr>
                <w:rFonts w:ascii="Arial" w:hAnsi="Arial" w:cs="Arial"/>
                <w:sz w:val="24"/>
                <w:szCs w:val="24"/>
              </w:rPr>
              <w:lastRenderedPageBreak/>
              <w:t xml:space="preserve">Bisphosphonates reduce new vertebral fractures and hip fractures.  (Freemantle N, et al. Results of indirect and mixed treatment comparison of fracture efficacy for osteoporosis treatments: a meta-analysis. </w:t>
            </w:r>
            <w:proofErr w:type="spellStart"/>
            <w:r w:rsidRPr="00FA3F9C">
              <w:rPr>
                <w:rFonts w:ascii="Arial" w:hAnsi="Arial" w:cs="Arial"/>
                <w:sz w:val="24"/>
                <w:szCs w:val="24"/>
              </w:rPr>
              <w:t>Osteoporos</w:t>
            </w:r>
            <w:proofErr w:type="spellEnd"/>
            <w:r w:rsidRPr="00FA3F9C">
              <w:rPr>
                <w:rFonts w:ascii="Arial" w:hAnsi="Arial" w:cs="Arial"/>
                <w:sz w:val="24"/>
                <w:szCs w:val="24"/>
              </w:rPr>
              <w:t xml:space="preserve"> Int. 2013;24:209-217)</w:t>
            </w:r>
          </w:p>
          <w:p w14:paraId="3F9B4126" w14:textId="77777777" w:rsidR="001506C1" w:rsidRPr="00FA3F9C" w:rsidRDefault="001506C1" w:rsidP="001506C1">
            <w:pPr>
              <w:pStyle w:val="ListParagraph"/>
              <w:numPr>
                <w:ilvl w:val="0"/>
                <w:numId w:val="122"/>
              </w:numPr>
              <w:spacing w:line="276" w:lineRule="auto"/>
              <w:rPr>
                <w:rFonts w:ascii="Arial" w:hAnsi="Arial" w:cs="Arial"/>
                <w:sz w:val="24"/>
                <w:szCs w:val="24"/>
              </w:rPr>
            </w:pPr>
            <w:r w:rsidRPr="00FA3F9C">
              <w:rPr>
                <w:rFonts w:ascii="Arial" w:hAnsi="Arial" w:cs="Arial"/>
                <w:sz w:val="24"/>
                <w:szCs w:val="24"/>
              </w:rPr>
              <w:t xml:space="preserve">A </w:t>
            </w:r>
            <w:proofErr w:type="gramStart"/>
            <w:r w:rsidRPr="00FA3F9C">
              <w:rPr>
                <w:rFonts w:ascii="Arial" w:hAnsi="Arial" w:cs="Arial"/>
                <w:sz w:val="24"/>
                <w:szCs w:val="24"/>
              </w:rPr>
              <w:t>large randomized</w:t>
            </w:r>
            <w:proofErr w:type="gramEnd"/>
            <w:r w:rsidRPr="00FA3F9C">
              <w:rPr>
                <w:rFonts w:ascii="Arial" w:hAnsi="Arial" w:cs="Arial"/>
                <w:sz w:val="24"/>
                <w:szCs w:val="24"/>
              </w:rPr>
              <w:t xml:space="preserve"> study found that in patients receiving oral bisphosphonates with BMD t score &lt;-2.5 who were randomized to either denosumab or annual IV zoledronic acid, there was an increase in t score in both groups and a greater increase in the denosumab group. Study was not designed to evaluate fracture risk. Change in BMD is a surrogate endpoint and need fracture data to establish superiority for denosumab over zoledronic acid (Miller et al. </w:t>
            </w:r>
            <w:hyperlink r:id="rId126" w:tooltip="The Journal of clinical endocrinology and metabolism." w:history="1">
              <w:r w:rsidRPr="00FA3F9C">
                <w:rPr>
                  <w:rStyle w:val="Hyperlink"/>
                  <w:rFonts w:ascii="Arial" w:hAnsi="Arial" w:cs="Arial"/>
                  <w:sz w:val="24"/>
                  <w:szCs w:val="24"/>
                </w:rPr>
                <w:t xml:space="preserve">J Clin Endocrinol </w:t>
              </w:r>
              <w:proofErr w:type="spellStart"/>
              <w:r w:rsidRPr="00FA3F9C">
                <w:rPr>
                  <w:rStyle w:val="Hyperlink"/>
                  <w:rFonts w:ascii="Arial" w:hAnsi="Arial" w:cs="Arial"/>
                  <w:sz w:val="24"/>
                  <w:szCs w:val="24"/>
                </w:rPr>
                <w:t>Metab</w:t>
              </w:r>
              <w:proofErr w:type="spellEnd"/>
              <w:r w:rsidRPr="00FA3F9C">
                <w:rPr>
                  <w:rStyle w:val="Hyperlink"/>
                  <w:rFonts w:ascii="Arial" w:hAnsi="Arial" w:cs="Arial"/>
                  <w:sz w:val="24"/>
                  <w:szCs w:val="24"/>
                </w:rPr>
                <w:t>.</w:t>
              </w:r>
            </w:hyperlink>
            <w:r w:rsidRPr="00FA3F9C">
              <w:rPr>
                <w:rFonts w:ascii="Arial" w:hAnsi="Arial" w:cs="Arial"/>
                <w:sz w:val="24"/>
                <w:szCs w:val="24"/>
              </w:rPr>
              <w:t xml:space="preserve"> 2016 Aug;101(8):3163-70). According to AACE/ACE guidelines for </w:t>
            </w:r>
            <w:proofErr w:type="spellStart"/>
            <w:r w:rsidRPr="00FA3F9C">
              <w:rPr>
                <w:rFonts w:ascii="Arial" w:hAnsi="Arial" w:cs="Arial"/>
                <w:sz w:val="24"/>
                <w:szCs w:val="24"/>
              </w:rPr>
              <w:t>tx</w:t>
            </w:r>
            <w:proofErr w:type="spellEnd"/>
            <w:r w:rsidRPr="00FA3F9C">
              <w:rPr>
                <w:rFonts w:ascii="Arial" w:hAnsi="Arial" w:cs="Arial"/>
                <w:sz w:val="24"/>
                <w:szCs w:val="24"/>
              </w:rPr>
              <w:t xml:space="preserve"> of postmenopausal osteoporosis, lack of increase in BMD change is not necessarily correlated with change in fracture risk, and the goal of BMD monitoring is to identify patients who have substantial bone loss. Stable or increasing BMD indicates a satisfactory response to treatment (</w:t>
            </w:r>
            <w:proofErr w:type="spellStart"/>
            <w:r w:rsidRPr="00FA3F9C">
              <w:rPr>
                <w:rFonts w:ascii="Arial" w:hAnsi="Arial" w:cs="Arial"/>
                <w:sz w:val="24"/>
                <w:szCs w:val="24"/>
              </w:rPr>
              <w:t>Comach</w:t>
            </w:r>
            <w:proofErr w:type="spellEnd"/>
            <w:r w:rsidRPr="00FA3F9C">
              <w:rPr>
                <w:rFonts w:ascii="Arial" w:hAnsi="Arial" w:cs="Arial"/>
                <w:sz w:val="24"/>
                <w:szCs w:val="24"/>
              </w:rPr>
              <w:t xml:space="preserve"> et al. </w:t>
            </w:r>
            <w:hyperlink r:id="rId127" w:tooltip="Endocrine practice : official journal of the American College of Endocrinology and the American Association of Clinical Endocrinologists." w:history="1">
              <w:proofErr w:type="spellStart"/>
              <w:r w:rsidRPr="00FA3F9C">
                <w:rPr>
                  <w:rStyle w:val="Hyperlink"/>
                  <w:rFonts w:ascii="Arial" w:hAnsi="Arial" w:cs="Arial"/>
                  <w:sz w:val="24"/>
                  <w:szCs w:val="24"/>
                </w:rPr>
                <w:t>Endocr</w:t>
              </w:r>
              <w:proofErr w:type="spellEnd"/>
              <w:r w:rsidRPr="00FA3F9C">
                <w:rPr>
                  <w:rStyle w:val="Hyperlink"/>
                  <w:rFonts w:ascii="Arial" w:hAnsi="Arial" w:cs="Arial"/>
                  <w:sz w:val="24"/>
                  <w:szCs w:val="24"/>
                </w:rPr>
                <w:t xml:space="preserve"> </w:t>
              </w:r>
              <w:proofErr w:type="spellStart"/>
              <w:r w:rsidRPr="00FA3F9C">
                <w:rPr>
                  <w:rStyle w:val="Hyperlink"/>
                  <w:rFonts w:ascii="Arial" w:hAnsi="Arial" w:cs="Arial"/>
                  <w:sz w:val="24"/>
                  <w:szCs w:val="24"/>
                </w:rPr>
                <w:t>Pract</w:t>
              </w:r>
              <w:proofErr w:type="spellEnd"/>
              <w:r w:rsidRPr="00FA3F9C">
                <w:rPr>
                  <w:rStyle w:val="Hyperlink"/>
                  <w:rFonts w:ascii="Arial" w:hAnsi="Arial" w:cs="Arial"/>
                  <w:sz w:val="24"/>
                  <w:szCs w:val="24"/>
                </w:rPr>
                <w:t>.</w:t>
              </w:r>
            </w:hyperlink>
            <w:r w:rsidRPr="00FA3F9C">
              <w:rPr>
                <w:rFonts w:ascii="Arial" w:hAnsi="Arial" w:cs="Arial"/>
                <w:sz w:val="24"/>
                <w:szCs w:val="24"/>
              </w:rPr>
              <w:t xml:space="preserve"> 2016 Sep 2;22(Suppl 4):1-42. </w:t>
            </w:r>
            <w:r w:rsidRPr="00FA3F9C">
              <w:rPr>
                <w:rFonts w:ascii="Arial" w:hAnsi="Arial" w:cs="Arial"/>
                <w:bCs/>
                <w:sz w:val="24"/>
                <w:szCs w:val="24"/>
              </w:rPr>
              <w:t>PMID 27662240)</w:t>
            </w:r>
            <w:r w:rsidRPr="00FA3F9C">
              <w:rPr>
                <w:rFonts w:ascii="Arial" w:hAnsi="Arial" w:cs="Arial"/>
                <w:sz w:val="24"/>
                <w:szCs w:val="24"/>
              </w:rPr>
              <w:t xml:space="preserve">. </w:t>
            </w:r>
          </w:p>
          <w:p w14:paraId="421F1A8F" w14:textId="77777777" w:rsidR="001506C1" w:rsidRPr="00FA3F9C" w:rsidRDefault="001506C1" w:rsidP="001506C1">
            <w:pPr>
              <w:pStyle w:val="ListParagraph"/>
              <w:numPr>
                <w:ilvl w:val="0"/>
                <w:numId w:val="122"/>
              </w:numPr>
              <w:spacing w:line="276" w:lineRule="auto"/>
              <w:rPr>
                <w:rFonts w:ascii="Arial" w:hAnsi="Arial" w:cs="Arial"/>
                <w:sz w:val="24"/>
                <w:szCs w:val="24"/>
              </w:rPr>
            </w:pPr>
            <w:r w:rsidRPr="00FA3F9C">
              <w:rPr>
                <w:rFonts w:ascii="Arial" w:hAnsi="Arial" w:cs="Arial"/>
                <w:sz w:val="24"/>
                <w:szCs w:val="24"/>
              </w:rPr>
              <w:t>Guideline: ACOG Osteoporosis Practice Bulletin recommends bisphosphonates first line for most women Hauk L et al. Am Fam Physician 2013 Aug 15;88(4):269-75.</w:t>
            </w:r>
            <w:r w:rsidRPr="00FA3F9C">
              <w:rPr>
                <w:rFonts w:ascii="Arial" w:hAnsi="Arial" w:cs="Arial"/>
                <w:b/>
                <w:sz w:val="24"/>
                <w:szCs w:val="24"/>
              </w:rPr>
              <w:t xml:space="preserve"> </w:t>
            </w:r>
            <w:r w:rsidRPr="00FA3F9C">
              <w:rPr>
                <w:rFonts w:ascii="Arial" w:hAnsi="Arial" w:cs="Arial"/>
                <w:sz w:val="24"/>
                <w:szCs w:val="24"/>
              </w:rPr>
              <w:t>PMID 23944732</w:t>
            </w:r>
          </w:p>
          <w:p w14:paraId="3E4AABED" w14:textId="77777777" w:rsidR="001506C1" w:rsidRPr="00FA3F9C" w:rsidRDefault="001506C1" w:rsidP="00461164">
            <w:pPr>
              <w:rPr>
                <w:rFonts w:ascii="Arial" w:hAnsi="Arial" w:cs="Arial"/>
                <w:sz w:val="24"/>
                <w:szCs w:val="24"/>
              </w:rPr>
            </w:pPr>
            <w:r w:rsidRPr="00FA3F9C">
              <w:rPr>
                <w:rFonts w:ascii="Arial" w:hAnsi="Arial" w:cs="Arial"/>
                <w:sz w:val="24"/>
                <w:szCs w:val="24"/>
              </w:rPr>
              <w:t xml:space="preserve">Summary: Since bisphosphonates have fracture data and are cheaper, denosumab will be covered ONLY if the patient has a contraindication or intolerance to oral and IV bisphosphonates. </w:t>
            </w:r>
          </w:p>
        </w:tc>
      </w:tr>
      <w:tr w:rsidR="001506C1" w:rsidRPr="00FA3F9C" w14:paraId="0612CA35" w14:textId="77777777" w:rsidTr="00D93815">
        <w:tc>
          <w:tcPr>
            <w:tcW w:w="10687" w:type="dxa"/>
            <w:shd w:val="clear" w:color="auto" w:fill="D9D9D9"/>
          </w:tcPr>
          <w:p w14:paraId="487E08B4" w14:textId="77777777" w:rsidR="001506C1" w:rsidRPr="00FA3F9C" w:rsidRDefault="001506C1" w:rsidP="00461164">
            <w:pPr>
              <w:rPr>
                <w:rFonts w:ascii="Arial" w:hAnsi="Arial" w:cs="Arial"/>
                <w:sz w:val="24"/>
                <w:szCs w:val="24"/>
              </w:rPr>
            </w:pPr>
            <w:r w:rsidRPr="00FA3F9C">
              <w:rPr>
                <w:rFonts w:ascii="Arial" w:hAnsi="Arial" w:cs="Arial"/>
                <w:b/>
                <w:sz w:val="24"/>
                <w:szCs w:val="24"/>
                <w:u w:val="single"/>
              </w:rPr>
              <w:lastRenderedPageBreak/>
              <w:t>MEN RECEIVING ANDROGEN DEPRIVATION THERAPY FOR NONMETASTATIC PROSTATE CANCER</w:t>
            </w:r>
            <w:r w:rsidRPr="00FA3F9C">
              <w:rPr>
                <w:rFonts w:ascii="Arial" w:hAnsi="Arial" w:cs="Arial"/>
                <w:sz w:val="24"/>
                <w:szCs w:val="24"/>
              </w:rPr>
              <w:t>:</w:t>
            </w:r>
          </w:p>
          <w:p w14:paraId="2620B709" w14:textId="77777777" w:rsidR="001506C1" w:rsidRPr="00FA3F9C" w:rsidRDefault="001506C1" w:rsidP="001506C1">
            <w:pPr>
              <w:pStyle w:val="ListParagraph"/>
              <w:numPr>
                <w:ilvl w:val="0"/>
                <w:numId w:val="123"/>
              </w:numPr>
              <w:rPr>
                <w:rFonts w:ascii="Arial" w:hAnsi="Arial" w:cs="Arial"/>
                <w:sz w:val="24"/>
                <w:szCs w:val="24"/>
              </w:rPr>
            </w:pPr>
            <w:r w:rsidRPr="00FA3F9C">
              <w:rPr>
                <w:rFonts w:ascii="Arial" w:hAnsi="Arial" w:cs="Arial"/>
                <w:sz w:val="24"/>
                <w:szCs w:val="24"/>
              </w:rPr>
              <w:t xml:space="preserve">N=1468 pts with nonmetastatic prostate cancer receiving androgen-deprivation therapy to denosumab 60mg SC q6m or placebo.  1`endpt was change in BMD at lumbar spine at 24m. 2` </w:t>
            </w:r>
            <w:proofErr w:type="spellStart"/>
            <w:r w:rsidRPr="00FA3F9C">
              <w:rPr>
                <w:rFonts w:ascii="Arial" w:hAnsi="Arial" w:cs="Arial"/>
                <w:sz w:val="24"/>
                <w:szCs w:val="24"/>
              </w:rPr>
              <w:t>endpts</w:t>
            </w:r>
            <w:proofErr w:type="spellEnd"/>
            <w:r w:rsidRPr="00FA3F9C">
              <w:rPr>
                <w:rFonts w:ascii="Arial" w:hAnsi="Arial" w:cs="Arial"/>
                <w:sz w:val="24"/>
                <w:szCs w:val="24"/>
              </w:rPr>
              <w:t xml:space="preserve"> were %change in BMD at femoral neck and total hip at 24m and all 3 sites at 36m, and new vertebral fractures. Results:  at 24m, BMD lumbar increased 5.6%D vs -1%plac (p&lt;0.001). D showed significant </w:t>
            </w:r>
            <w:proofErr w:type="spellStart"/>
            <w:r w:rsidRPr="00FA3F9C">
              <w:rPr>
                <w:rFonts w:ascii="Arial" w:hAnsi="Arial" w:cs="Arial"/>
                <w:sz w:val="24"/>
                <w:szCs w:val="24"/>
              </w:rPr>
              <w:t>increased</w:t>
            </w:r>
            <w:proofErr w:type="spellEnd"/>
            <w:r w:rsidRPr="00FA3F9C">
              <w:rPr>
                <w:rFonts w:ascii="Arial" w:hAnsi="Arial" w:cs="Arial"/>
                <w:sz w:val="24"/>
                <w:szCs w:val="24"/>
              </w:rPr>
              <w:t xml:space="preserve"> in BMD at total hip, fem neck, and distal 1/3 of the radius at all time points.  Denosumab decreased new vertebral </w:t>
            </w:r>
            <w:proofErr w:type="spellStart"/>
            <w:r w:rsidRPr="00FA3F9C">
              <w:rPr>
                <w:rFonts w:ascii="Arial" w:hAnsi="Arial" w:cs="Arial"/>
                <w:sz w:val="24"/>
                <w:szCs w:val="24"/>
              </w:rPr>
              <w:t>fxs</w:t>
            </w:r>
            <w:proofErr w:type="spellEnd"/>
            <w:r w:rsidRPr="00FA3F9C">
              <w:rPr>
                <w:rFonts w:ascii="Arial" w:hAnsi="Arial" w:cs="Arial"/>
                <w:sz w:val="24"/>
                <w:szCs w:val="24"/>
              </w:rPr>
              <w:t xml:space="preserve"> at 36m (1.5% vs 3.9%plac)(RR 0.38; 95%CI 0.19 to 0.78; p=0.006). Rates of AEs similar.  Smith MR, </w:t>
            </w:r>
            <w:proofErr w:type="spellStart"/>
            <w:r w:rsidRPr="00FA3F9C">
              <w:rPr>
                <w:rFonts w:ascii="Arial" w:hAnsi="Arial" w:cs="Arial"/>
                <w:sz w:val="24"/>
                <w:szCs w:val="24"/>
              </w:rPr>
              <w:t>Egerdie</w:t>
            </w:r>
            <w:proofErr w:type="spellEnd"/>
            <w:r w:rsidRPr="00FA3F9C">
              <w:rPr>
                <w:rFonts w:ascii="Arial" w:hAnsi="Arial" w:cs="Arial"/>
                <w:sz w:val="24"/>
                <w:szCs w:val="24"/>
              </w:rPr>
              <w:t xml:space="preserve"> B, et al.  Denosumab in men receiving ADT for prostate CA.  N </w:t>
            </w:r>
            <w:proofErr w:type="spellStart"/>
            <w:r w:rsidRPr="00FA3F9C">
              <w:rPr>
                <w:rFonts w:ascii="Arial" w:hAnsi="Arial" w:cs="Arial"/>
                <w:sz w:val="24"/>
                <w:szCs w:val="24"/>
              </w:rPr>
              <w:t>Engl</w:t>
            </w:r>
            <w:proofErr w:type="spellEnd"/>
            <w:r w:rsidRPr="00FA3F9C">
              <w:rPr>
                <w:rFonts w:ascii="Arial" w:hAnsi="Arial" w:cs="Arial"/>
                <w:sz w:val="24"/>
                <w:szCs w:val="24"/>
              </w:rPr>
              <w:t xml:space="preserve"> J Med. 2009;361:745-55.</w:t>
            </w:r>
          </w:p>
          <w:p w14:paraId="501A9F59" w14:textId="77777777" w:rsidR="001506C1" w:rsidRPr="00FA3F9C" w:rsidRDefault="001506C1" w:rsidP="001506C1">
            <w:pPr>
              <w:pStyle w:val="ListParagraph"/>
              <w:numPr>
                <w:ilvl w:val="0"/>
                <w:numId w:val="123"/>
              </w:numPr>
              <w:spacing w:line="276" w:lineRule="auto"/>
              <w:rPr>
                <w:rFonts w:ascii="Arial" w:hAnsi="Arial" w:cs="Arial"/>
                <w:sz w:val="24"/>
                <w:szCs w:val="24"/>
              </w:rPr>
            </w:pPr>
            <w:r w:rsidRPr="00FA3F9C">
              <w:rPr>
                <w:rFonts w:ascii="Arial" w:hAnsi="Arial" w:cs="Arial"/>
                <w:sz w:val="24"/>
                <w:szCs w:val="24"/>
              </w:rPr>
              <w:t xml:space="preserve">The trial with zoledronic acid was underpowered to show a reduction in fracture risk in pts with </w:t>
            </w:r>
            <w:proofErr w:type="gramStart"/>
            <w:r w:rsidRPr="00FA3F9C">
              <w:rPr>
                <w:rFonts w:ascii="Arial" w:hAnsi="Arial" w:cs="Arial"/>
                <w:sz w:val="24"/>
                <w:szCs w:val="24"/>
              </w:rPr>
              <w:t>NON-metastatic</w:t>
            </w:r>
            <w:proofErr w:type="gramEnd"/>
            <w:r w:rsidRPr="00FA3F9C">
              <w:rPr>
                <w:rFonts w:ascii="Arial" w:hAnsi="Arial" w:cs="Arial"/>
                <w:sz w:val="24"/>
                <w:szCs w:val="24"/>
              </w:rPr>
              <w:t xml:space="preserve"> prostate CA.  Denham JW, </w:t>
            </w:r>
            <w:proofErr w:type="spellStart"/>
            <w:r w:rsidRPr="00FA3F9C">
              <w:rPr>
                <w:rFonts w:ascii="Arial" w:hAnsi="Arial" w:cs="Arial"/>
                <w:sz w:val="24"/>
                <w:szCs w:val="24"/>
              </w:rPr>
              <w:t>Nowitz</w:t>
            </w:r>
            <w:proofErr w:type="spellEnd"/>
            <w:r w:rsidRPr="00FA3F9C">
              <w:rPr>
                <w:rFonts w:ascii="Arial" w:hAnsi="Arial" w:cs="Arial"/>
                <w:sz w:val="24"/>
                <w:szCs w:val="24"/>
              </w:rPr>
              <w:t xml:space="preserve"> M, et al.  Impact of androgen suppression and ZA on BMD and fractures in the Trans-Tasman Radiation Oncology Group (TROG) 03.04 </w:t>
            </w:r>
            <w:r w:rsidRPr="00FA3F9C">
              <w:rPr>
                <w:rFonts w:ascii="Arial" w:hAnsi="Arial" w:cs="Arial"/>
                <w:sz w:val="24"/>
                <w:szCs w:val="24"/>
              </w:rPr>
              <w:lastRenderedPageBreak/>
              <w:t>randomized androgen deprivation and radiotherapy (RADAR) RCT for locally advanced prostate cancer. BJU Int. 2014;114(3):344-53.</w:t>
            </w:r>
          </w:p>
          <w:p w14:paraId="285FF353" w14:textId="77777777" w:rsidR="001506C1" w:rsidRPr="00FA3F9C" w:rsidRDefault="001506C1" w:rsidP="00461164">
            <w:pPr>
              <w:rPr>
                <w:rFonts w:ascii="Arial" w:hAnsi="Arial" w:cs="Arial"/>
                <w:sz w:val="24"/>
                <w:szCs w:val="24"/>
              </w:rPr>
            </w:pPr>
            <w:r w:rsidRPr="00FA3F9C">
              <w:rPr>
                <w:rFonts w:ascii="Arial" w:hAnsi="Arial" w:cs="Arial"/>
                <w:sz w:val="24"/>
                <w:szCs w:val="24"/>
              </w:rPr>
              <w:t xml:space="preserve">There are no data comparing ZA to denosumab in this population looking at the endpoint fracture reduction. (2/1/19 </w:t>
            </w:r>
            <w:proofErr w:type="spellStart"/>
            <w:r w:rsidRPr="00FA3F9C">
              <w:rPr>
                <w:rFonts w:ascii="Arial" w:hAnsi="Arial" w:cs="Arial"/>
                <w:sz w:val="24"/>
                <w:szCs w:val="24"/>
              </w:rPr>
              <w:t>sk</w:t>
            </w:r>
            <w:proofErr w:type="spellEnd"/>
            <w:r w:rsidRPr="00FA3F9C">
              <w:rPr>
                <w:rFonts w:ascii="Arial" w:hAnsi="Arial" w:cs="Arial"/>
                <w:sz w:val="24"/>
                <w:szCs w:val="24"/>
              </w:rPr>
              <w:t>)</w:t>
            </w:r>
          </w:p>
          <w:p w14:paraId="04067067" w14:textId="77777777" w:rsidR="001506C1" w:rsidRPr="00FA3F9C" w:rsidRDefault="001506C1" w:rsidP="00461164">
            <w:pPr>
              <w:rPr>
                <w:rFonts w:ascii="Arial" w:hAnsi="Arial" w:cs="Arial"/>
                <w:b/>
                <w:sz w:val="24"/>
                <w:szCs w:val="24"/>
                <w:u w:val="single"/>
              </w:rPr>
            </w:pPr>
            <w:r w:rsidRPr="00FA3F9C">
              <w:rPr>
                <w:rFonts w:ascii="Arial" w:hAnsi="Arial" w:cs="Arial"/>
                <w:sz w:val="24"/>
                <w:szCs w:val="24"/>
              </w:rPr>
              <w:t>Summary: Denosumab has been shown to reduce fractures for this indication, but bisphosphonates have not. Therefore, denosumab will be covered.</w:t>
            </w:r>
          </w:p>
        </w:tc>
      </w:tr>
      <w:tr w:rsidR="001506C1" w:rsidRPr="00FA3F9C" w14:paraId="00E7318D" w14:textId="77777777" w:rsidTr="00D93815">
        <w:tc>
          <w:tcPr>
            <w:tcW w:w="10687" w:type="dxa"/>
            <w:shd w:val="clear" w:color="auto" w:fill="D9D9D9"/>
          </w:tcPr>
          <w:p w14:paraId="19E3FBDE" w14:textId="77777777" w:rsidR="001506C1" w:rsidRPr="00FA3F9C" w:rsidRDefault="001506C1" w:rsidP="00461164">
            <w:pPr>
              <w:rPr>
                <w:rFonts w:ascii="Arial" w:hAnsi="Arial" w:cs="Arial"/>
                <w:sz w:val="24"/>
                <w:szCs w:val="24"/>
              </w:rPr>
            </w:pPr>
            <w:r w:rsidRPr="00FA3F9C">
              <w:rPr>
                <w:rFonts w:ascii="Arial" w:hAnsi="Arial" w:cs="Arial"/>
                <w:b/>
                <w:sz w:val="24"/>
                <w:szCs w:val="24"/>
                <w:u w:val="single"/>
              </w:rPr>
              <w:lastRenderedPageBreak/>
              <w:t>WOMEN RECEIVING AROMATASE INHIBITORS</w:t>
            </w:r>
            <w:r w:rsidRPr="00FA3F9C">
              <w:rPr>
                <w:rFonts w:ascii="Arial" w:hAnsi="Arial" w:cs="Arial"/>
                <w:sz w:val="24"/>
                <w:szCs w:val="24"/>
              </w:rPr>
              <w:t xml:space="preserve">:  </w:t>
            </w:r>
          </w:p>
          <w:p w14:paraId="5A42385B" w14:textId="77777777" w:rsidR="001506C1" w:rsidRPr="00FA3F9C" w:rsidRDefault="001506C1" w:rsidP="001506C1">
            <w:pPr>
              <w:pStyle w:val="ListParagraph"/>
              <w:numPr>
                <w:ilvl w:val="0"/>
                <w:numId w:val="124"/>
              </w:numPr>
              <w:spacing w:line="276" w:lineRule="auto"/>
              <w:rPr>
                <w:rFonts w:ascii="Arial" w:hAnsi="Arial" w:cs="Arial"/>
                <w:sz w:val="24"/>
                <w:szCs w:val="24"/>
              </w:rPr>
            </w:pPr>
            <w:r w:rsidRPr="00FA3F9C">
              <w:rPr>
                <w:rFonts w:ascii="Arial" w:hAnsi="Arial" w:cs="Arial"/>
                <w:sz w:val="24"/>
                <w:szCs w:val="24"/>
              </w:rPr>
              <w:t xml:space="preserve">From the PI:  The efficacy of Prolia in the treatment of bone loss was evaluated in 252 women treated with aromatase inhibitor therapy due to breast CA.  The trial was 2 y, was DB, </w:t>
            </w:r>
            <w:proofErr w:type="gramStart"/>
            <w:r w:rsidRPr="00FA3F9C">
              <w:rPr>
                <w:rFonts w:ascii="Arial" w:hAnsi="Arial" w:cs="Arial"/>
                <w:sz w:val="24"/>
                <w:szCs w:val="24"/>
              </w:rPr>
              <w:t>placebo-controlled</w:t>
            </w:r>
            <w:proofErr w:type="gramEnd"/>
            <w:r w:rsidRPr="00FA3F9C">
              <w:rPr>
                <w:rFonts w:ascii="Arial" w:hAnsi="Arial" w:cs="Arial"/>
                <w:sz w:val="24"/>
                <w:szCs w:val="24"/>
              </w:rPr>
              <w:t xml:space="preserve">.  1` endpoint was % change in </w:t>
            </w:r>
            <w:proofErr w:type="spellStart"/>
            <w:r w:rsidRPr="00FA3F9C">
              <w:rPr>
                <w:rFonts w:ascii="Arial" w:hAnsi="Arial" w:cs="Arial"/>
                <w:sz w:val="24"/>
                <w:szCs w:val="24"/>
              </w:rPr>
              <w:t>lunbar</w:t>
            </w:r>
            <w:proofErr w:type="spellEnd"/>
            <w:r w:rsidRPr="00FA3F9C">
              <w:rPr>
                <w:rFonts w:ascii="Arial" w:hAnsi="Arial" w:cs="Arial"/>
                <w:sz w:val="24"/>
                <w:szCs w:val="24"/>
              </w:rPr>
              <w:t xml:space="preserve"> spine BMD from baseline to month 12.  The treatment difference was 5.5% (it decreased -0.8% in placebo and increased +4.8% with Prolia; 95%CI: 4.8, 6.3;p&lt;0.0001).  Fracture rate was not measured.  There was not a bisphosphonate control arm.</w:t>
            </w:r>
          </w:p>
          <w:p w14:paraId="3978EA8D" w14:textId="77777777" w:rsidR="001506C1" w:rsidRPr="00FA3F9C" w:rsidRDefault="001506C1" w:rsidP="001506C1">
            <w:pPr>
              <w:pStyle w:val="ListParagraph"/>
              <w:numPr>
                <w:ilvl w:val="0"/>
                <w:numId w:val="124"/>
              </w:numPr>
              <w:spacing w:line="276" w:lineRule="auto"/>
              <w:rPr>
                <w:rFonts w:ascii="Arial" w:hAnsi="Arial" w:cs="Arial"/>
                <w:sz w:val="24"/>
                <w:szCs w:val="24"/>
              </w:rPr>
            </w:pPr>
            <w:r w:rsidRPr="00FA3F9C">
              <w:rPr>
                <w:rFonts w:ascii="Arial" w:hAnsi="Arial" w:cs="Arial"/>
                <w:sz w:val="24"/>
                <w:szCs w:val="24"/>
              </w:rPr>
              <w:t xml:space="preserve">Bisphosphonates also increase lumbar spine vs placebo in women with breast CA on AIs.  The % change in weighted mean difference was 5.42% at the lumbar spine and 3.03% (95%Ci, 4.37-6.48) at the total hip. </w:t>
            </w:r>
            <w:r w:rsidRPr="00FA3F9C">
              <w:rPr>
                <w:rFonts w:ascii="Arial" w:hAnsi="Arial" w:cs="Arial"/>
                <w:sz w:val="24"/>
                <w:szCs w:val="24"/>
                <w:lang w:val="es-ES"/>
              </w:rPr>
              <w:t xml:space="preserve">Su G, </w:t>
            </w:r>
            <w:proofErr w:type="spellStart"/>
            <w:r w:rsidRPr="00FA3F9C">
              <w:rPr>
                <w:rFonts w:ascii="Arial" w:hAnsi="Arial" w:cs="Arial"/>
                <w:sz w:val="24"/>
                <w:szCs w:val="24"/>
                <w:lang w:val="es-ES"/>
              </w:rPr>
              <w:t>Xiang</w:t>
            </w:r>
            <w:proofErr w:type="spellEnd"/>
            <w:r w:rsidRPr="00FA3F9C">
              <w:rPr>
                <w:rFonts w:ascii="Arial" w:hAnsi="Arial" w:cs="Arial"/>
                <w:sz w:val="24"/>
                <w:szCs w:val="24"/>
                <w:lang w:val="es-ES"/>
              </w:rPr>
              <w:t xml:space="preserve"> Y, He G, </w:t>
            </w:r>
            <w:proofErr w:type="spellStart"/>
            <w:r w:rsidRPr="00FA3F9C">
              <w:rPr>
                <w:rFonts w:ascii="Arial" w:hAnsi="Arial" w:cs="Arial"/>
                <w:sz w:val="24"/>
                <w:szCs w:val="24"/>
                <w:lang w:val="es-ES"/>
              </w:rPr>
              <w:t>Jiang</w:t>
            </w:r>
            <w:proofErr w:type="spellEnd"/>
            <w:r w:rsidRPr="00FA3F9C">
              <w:rPr>
                <w:rFonts w:ascii="Arial" w:hAnsi="Arial" w:cs="Arial"/>
                <w:sz w:val="24"/>
                <w:szCs w:val="24"/>
                <w:lang w:val="es-ES"/>
              </w:rPr>
              <w:t xml:space="preserve"> C, et al.  </w:t>
            </w:r>
            <w:r w:rsidRPr="00FA3F9C">
              <w:rPr>
                <w:rFonts w:ascii="Arial" w:hAnsi="Arial" w:cs="Arial"/>
                <w:sz w:val="24"/>
                <w:szCs w:val="24"/>
              </w:rPr>
              <w:t>Bisphosphonates may protect against bone loss in postmenopausal women with early breast cancer receiving adjuvant aromatase inhibitor therapy:  results from a meta-analysis.  Arch Med Res. 2014. Oct;45(7):570-9.</w:t>
            </w:r>
          </w:p>
          <w:p w14:paraId="6ECB07D9" w14:textId="77777777" w:rsidR="001506C1" w:rsidRPr="00FA3F9C" w:rsidRDefault="001506C1" w:rsidP="001506C1">
            <w:pPr>
              <w:pStyle w:val="ListParagraph"/>
              <w:numPr>
                <w:ilvl w:val="0"/>
                <w:numId w:val="124"/>
              </w:numPr>
              <w:spacing w:line="276" w:lineRule="auto"/>
              <w:rPr>
                <w:rFonts w:ascii="Arial" w:hAnsi="Arial" w:cs="Arial"/>
                <w:sz w:val="24"/>
                <w:szCs w:val="24"/>
              </w:rPr>
            </w:pPr>
            <w:r w:rsidRPr="00FA3F9C">
              <w:rPr>
                <w:rFonts w:ascii="Arial" w:hAnsi="Arial" w:cs="Arial"/>
                <w:sz w:val="24"/>
                <w:szCs w:val="24"/>
              </w:rPr>
              <w:t>I could not find that bisphosphonates reduce fractures in AI breast cancer patients. (JJ 7/6/15)</w:t>
            </w:r>
          </w:p>
          <w:p w14:paraId="7DF90DDC" w14:textId="77777777" w:rsidR="001506C1" w:rsidRPr="00FA3F9C" w:rsidRDefault="001506C1" w:rsidP="001506C1">
            <w:pPr>
              <w:pStyle w:val="ListParagraph"/>
              <w:numPr>
                <w:ilvl w:val="0"/>
                <w:numId w:val="124"/>
              </w:numPr>
              <w:spacing w:line="276" w:lineRule="auto"/>
              <w:rPr>
                <w:rFonts w:ascii="Arial" w:hAnsi="Arial" w:cs="Arial"/>
                <w:sz w:val="24"/>
                <w:szCs w:val="24"/>
              </w:rPr>
            </w:pPr>
            <w:r w:rsidRPr="00FA3F9C">
              <w:rPr>
                <w:rFonts w:ascii="Arial" w:hAnsi="Arial" w:cs="Arial"/>
                <w:sz w:val="24"/>
                <w:szCs w:val="24"/>
              </w:rPr>
              <w:t>Denosumab reduced the risk of clinical fractures in postmenopausal women with HER2+ breast cancer, nonmetastatic, ER+ or progesterone+, postmenopausal women, receiving AIs.  They were given 60mg 2x/year SC or placebo.  N=3420. HR 0.50 (95%CI 0.39-0.65) for time to 1</w:t>
            </w:r>
            <w:r w:rsidRPr="00FA3F9C">
              <w:rPr>
                <w:rFonts w:ascii="Arial" w:hAnsi="Arial" w:cs="Arial"/>
                <w:sz w:val="24"/>
                <w:szCs w:val="24"/>
                <w:vertAlign w:val="superscript"/>
              </w:rPr>
              <w:t>st</w:t>
            </w:r>
            <w:r w:rsidRPr="00FA3F9C">
              <w:rPr>
                <w:rFonts w:ascii="Arial" w:hAnsi="Arial" w:cs="Arial"/>
                <w:sz w:val="24"/>
                <w:szCs w:val="24"/>
              </w:rPr>
              <w:t xml:space="preserve"> fracture.  Also received 500mg elemental Ca and at least 400IU vit D daily.  Excluded if on SERMs or received bisphosphonates.  99% were white.  At 36m, 5% (95%CI 3.8-6.2) of denosumab and 9.6%(95%CI,8.0-11.2) of placebo had experienced a fracture.  At 84m, 11.1% (95%CI 8.1-14.1) denosumab group and 26.2%(15.6-36.8) in the placebo group. Gnant M, </w:t>
            </w:r>
            <w:proofErr w:type="spellStart"/>
            <w:r w:rsidRPr="00FA3F9C">
              <w:rPr>
                <w:rFonts w:ascii="Arial" w:hAnsi="Arial" w:cs="Arial"/>
                <w:sz w:val="24"/>
                <w:szCs w:val="24"/>
              </w:rPr>
              <w:t>Pfeiler</w:t>
            </w:r>
            <w:proofErr w:type="spellEnd"/>
            <w:r w:rsidRPr="00FA3F9C">
              <w:rPr>
                <w:rFonts w:ascii="Arial" w:hAnsi="Arial" w:cs="Arial"/>
                <w:sz w:val="24"/>
                <w:szCs w:val="24"/>
              </w:rPr>
              <w:t xml:space="preserve"> G, </w:t>
            </w:r>
            <w:proofErr w:type="spellStart"/>
            <w:r w:rsidRPr="00FA3F9C">
              <w:rPr>
                <w:rFonts w:ascii="Arial" w:hAnsi="Arial" w:cs="Arial"/>
                <w:sz w:val="24"/>
                <w:szCs w:val="24"/>
              </w:rPr>
              <w:t>Dubsky</w:t>
            </w:r>
            <w:proofErr w:type="spellEnd"/>
            <w:r w:rsidRPr="00FA3F9C">
              <w:rPr>
                <w:rFonts w:ascii="Arial" w:hAnsi="Arial" w:cs="Arial"/>
                <w:sz w:val="24"/>
                <w:szCs w:val="24"/>
              </w:rPr>
              <w:t xml:space="preserve"> PC, et al.  Adjuvant denosumab in breast cancer (ABCSG-18): a multicenter, R, DB, PC trial.  </w:t>
            </w:r>
          </w:p>
          <w:p w14:paraId="56959ED7" w14:textId="77777777" w:rsidR="001506C1" w:rsidRPr="00FA3F9C" w:rsidRDefault="001506C1" w:rsidP="00461164">
            <w:pPr>
              <w:rPr>
                <w:rFonts w:ascii="Arial" w:hAnsi="Arial" w:cs="Arial"/>
                <w:sz w:val="24"/>
                <w:szCs w:val="24"/>
              </w:rPr>
            </w:pPr>
            <w:r w:rsidRPr="00FA3F9C">
              <w:rPr>
                <w:rFonts w:ascii="Arial" w:hAnsi="Arial" w:cs="Arial"/>
                <w:sz w:val="24"/>
                <w:szCs w:val="24"/>
              </w:rPr>
              <w:lastRenderedPageBreak/>
              <w:t>Guideline: ACOG Osteoporosis Practice Bulletin recommends bisphosphonates first line for most women Hauk L et al. Am Fam Physician 2013 Aug 15;88(4):269-75.</w:t>
            </w:r>
            <w:r w:rsidRPr="00FA3F9C">
              <w:rPr>
                <w:rFonts w:ascii="Arial" w:hAnsi="Arial" w:cs="Arial"/>
                <w:b/>
                <w:sz w:val="24"/>
                <w:szCs w:val="24"/>
              </w:rPr>
              <w:t xml:space="preserve"> </w:t>
            </w:r>
            <w:r w:rsidRPr="00FA3F9C">
              <w:rPr>
                <w:rFonts w:ascii="Arial" w:hAnsi="Arial" w:cs="Arial"/>
                <w:sz w:val="24"/>
                <w:szCs w:val="24"/>
              </w:rPr>
              <w:t>PMID 23944732</w:t>
            </w:r>
          </w:p>
          <w:p w14:paraId="44FB89ED" w14:textId="77777777" w:rsidR="001506C1" w:rsidRPr="00FA3F9C" w:rsidRDefault="001506C1" w:rsidP="00461164">
            <w:pPr>
              <w:rPr>
                <w:rFonts w:ascii="Arial" w:hAnsi="Arial" w:cs="Arial"/>
                <w:b/>
                <w:sz w:val="24"/>
                <w:szCs w:val="24"/>
                <w:u w:val="single"/>
              </w:rPr>
            </w:pPr>
            <w:r w:rsidRPr="00FA3F9C">
              <w:rPr>
                <w:rFonts w:ascii="Arial" w:hAnsi="Arial" w:cs="Arial"/>
                <w:sz w:val="24"/>
                <w:szCs w:val="24"/>
              </w:rPr>
              <w:t>Summary: Denosumab has been shown to reduce fractures for this indication, but bisphosphonates have not. Therefore, denosumab will be covered.</w:t>
            </w:r>
          </w:p>
        </w:tc>
      </w:tr>
      <w:tr w:rsidR="001506C1" w:rsidRPr="00FA3F9C" w14:paraId="2E19CD4C" w14:textId="77777777" w:rsidTr="00D93815">
        <w:tc>
          <w:tcPr>
            <w:tcW w:w="10687" w:type="dxa"/>
            <w:shd w:val="clear" w:color="auto" w:fill="D9D9D9"/>
          </w:tcPr>
          <w:p w14:paraId="4064A9A4" w14:textId="77777777" w:rsidR="001506C1" w:rsidRPr="00FA3F9C" w:rsidRDefault="001506C1" w:rsidP="00461164">
            <w:pPr>
              <w:rPr>
                <w:rFonts w:ascii="Arial" w:hAnsi="Arial" w:cs="Arial"/>
                <w:b/>
                <w:sz w:val="24"/>
                <w:szCs w:val="24"/>
                <w:u w:val="single"/>
              </w:rPr>
            </w:pPr>
            <w:r w:rsidRPr="00FA3F9C">
              <w:rPr>
                <w:rFonts w:ascii="Arial" w:hAnsi="Arial" w:cs="Arial"/>
                <w:b/>
                <w:sz w:val="24"/>
                <w:szCs w:val="24"/>
                <w:u w:val="single"/>
              </w:rPr>
              <w:lastRenderedPageBreak/>
              <w:t>NOT COVERED: MEN AT HIGH RISK FOR FRACTURE</w:t>
            </w:r>
          </w:p>
          <w:p w14:paraId="70CCD3FD" w14:textId="77777777" w:rsidR="001506C1" w:rsidRPr="00FA3F9C" w:rsidRDefault="001506C1" w:rsidP="001506C1">
            <w:pPr>
              <w:pStyle w:val="ListParagraph"/>
              <w:numPr>
                <w:ilvl w:val="0"/>
                <w:numId w:val="123"/>
              </w:numPr>
              <w:spacing w:line="276" w:lineRule="auto"/>
              <w:rPr>
                <w:rFonts w:ascii="Arial" w:hAnsi="Arial" w:cs="Arial"/>
                <w:sz w:val="24"/>
                <w:szCs w:val="24"/>
              </w:rPr>
            </w:pPr>
            <w:r w:rsidRPr="00FA3F9C">
              <w:rPr>
                <w:rFonts w:ascii="Arial" w:hAnsi="Arial" w:cs="Arial"/>
                <w:sz w:val="24"/>
                <w:szCs w:val="24"/>
              </w:rPr>
              <w:t xml:space="preserve">From PI:  Men in 1y, R, DB, PC trial with baseline BMD t-score -2 to -3.5 at lumbar spine or femoral neck OR T-score -1 to -3.5 and a </w:t>
            </w:r>
            <w:proofErr w:type="spellStart"/>
            <w:r w:rsidRPr="00FA3F9C">
              <w:rPr>
                <w:rFonts w:ascii="Arial" w:hAnsi="Arial" w:cs="Arial"/>
                <w:sz w:val="24"/>
                <w:szCs w:val="24"/>
              </w:rPr>
              <w:t>hx</w:t>
            </w:r>
            <w:proofErr w:type="spellEnd"/>
            <w:r w:rsidRPr="00FA3F9C">
              <w:rPr>
                <w:rFonts w:ascii="Arial" w:hAnsi="Arial" w:cs="Arial"/>
                <w:sz w:val="24"/>
                <w:szCs w:val="24"/>
              </w:rPr>
              <w:t xml:space="preserve"> of prior fragility fracture. N=242 age 31-84 (mean 65), received 60mgSC q6m or placebo.  Effect was an increase in BMD from baseline of 4.8% over placebo at LS, 2% at hip, 2.2% at femoral neck. No fracture rates were measured.</w:t>
            </w:r>
          </w:p>
          <w:p w14:paraId="7CED8D4A" w14:textId="77777777" w:rsidR="001506C1" w:rsidRPr="00FA3F9C" w:rsidRDefault="001506C1" w:rsidP="001506C1">
            <w:pPr>
              <w:pStyle w:val="ListParagraph"/>
              <w:numPr>
                <w:ilvl w:val="0"/>
                <w:numId w:val="123"/>
              </w:numPr>
              <w:spacing w:line="276" w:lineRule="auto"/>
              <w:rPr>
                <w:rFonts w:ascii="Arial" w:hAnsi="Arial" w:cs="Arial"/>
                <w:sz w:val="24"/>
                <w:szCs w:val="24"/>
              </w:rPr>
            </w:pPr>
            <w:r w:rsidRPr="00FA3F9C">
              <w:rPr>
                <w:rFonts w:ascii="Arial" w:hAnsi="Arial" w:cs="Arial"/>
                <w:sz w:val="24"/>
                <w:szCs w:val="24"/>
              </w:rPr>
              <w:t>No further comparative or fracture data available as of 2/1/19</w:t>
            </w:r>
          </w:p>
          <w:p w14:paraId="40523DCE" w14:textId="77777777" w:rsidR="001506C1" w:rsidRPr="00FA3F9C" w:rsidRDefault="001506C1" w:rsidP="00461164">
            <w:pPr>
              <w:rPr>
                <w:rFonts w:ascii="Arial" w:hAnsi="Arial" w:cs="Arial"/>
                <w:sz w:val="24"/>
                <w:szCs w:val="24"/>
              </w:rPr>
            </w:pPr>
            <w:r w:rsidRPr="00FA3F9C">
              <w:rPr>
                <w:rFonts w:ascii="Arial" w:hAnsi="Arial" w:cs="Arial"/>
                <w:sz w:val="24"/>
                <w:szCs w:val="24"/>
              </w:rPr>
              <w:t xml:space="preserve">Denosumab does not have fracture data for this indication, and bisphosphonates do have fracture data. Denosumab will NOT be a covered drug for this use at this time due to no data either comparing it with bisphosphonates for any </w:t>
            </w:r>
            <w:proofErr w:type="gramStart"/>
            <w:r w:rsidRPr="00FA3F9C">
              <w:rPr>
                <w:rFonts w:ascii="Arial" w:hAnsi="Arial" w:cs="Arial"/>
                <w:sz w:val="24"/>
                <w:szCs w:val="24"/>
              </w:rPr>
              <w:t>endpoint, or</w:t>
            </w:r>
            <w:proofErr w:type="gramEnd"/>
            <w:r w:rsidRPr="00FA3F9C">
              <w:rPr>
                <w:rFonts w:ascii="Arial" w:hAnsi="Arial" w:cs="Arial"/>
                <w:sz w:val="24"/>
                <w:szCs w:val="24"/>
              </w:rPr>
              <w:t xml:space="preserve"> comparing denosumab with placebo with fractures as an endpoint.</w:t>
            </w:r>
          </w:p>
        </w:tc>
      </w:tr>
      <w:tr w:rsidR="001506C1" w:rsidRPr="00FA3F9C" w14:paraId="698C5896" w14:textId="77777777" w:rsidTr="00D93815">
        <w:tc>
          <w:tcPr>
            <w:tcW w:w="10687" w:type="dxa"/>
            <w:shd w:val="clear" w:color="auto" w:fill="D9D9D9"/>
          </w:tcPr>
          <w:p w14:paraId="2EE59EB3" w14:textId="77777777" w:rsidR="001506C1" w:rsidRPr="00FA3F9C" w:rsidRDefault="001506C1" w:rsidP="00461164">
            <w:pPr>
              <w:rPr>
                <w:rStyle w:val="highlight"/>
                <w:rFonts w:ascii="Arial" w:hAnsi="Arial" w:cs="Arial"/>
                <w:b/>
                <w:color w:val="000000"/>
                <w:sz w:val="24"/>
                <w:szCs w:val="24"/>
                <w:u w:val="single"/>
              </w:rPr>
            </w:pPr>
            <w:r w:rsidRPr="00FA3F9C">
              <w:rPr>
                <w:rStyle w:val="highlight"/>
                <w:rFonts w:ascii="Arial" w:hAnsi="Arial" w:cs="Arial"/>
                <w:b/>
                <w:color w:val="000000"/>
                <w:sz w:val="24"/>
                <w:szCs w:val="24"/>
                <w:u w:val="single"/>
              </w:rPr>
              <w:t>NOT COVERED GLUCOCORTICOID-INDUCED OSTEOPOROSIS</w:t>
            </w:r>
          </w:p>
          <w:p w14:paraId="3A05F472" w14:textId="77777777" w:rsidR="001506C1" w:rsidRPr="00FA3F9C" w:rsidRDefault="001506C1" w:rsidP="00461164">
            <w:pPr>
              <w:rPr>
                <w:rStyle w:val="highlight"/>
                <w:rFonts w:ascii="Arial" w:hAnsi="Arial" w:cs="Arial"/>
                <w:color w:val="000000"/>
                <w:sz w:val="24"/>
                <w:szCs w:val="24"/>
              </w:rPr>
            </w:pPr>
            <w:r w:rsidRPr="00FA3F9C">
              <w:rPr>
                <w:rStyle w:val="highlight"/>
                <w:rFonts w:ascii="Arial" w:hAnsi="Arial" w:cs="Arial"/>
                <w:color w:val="000000"/>
                <w:sz w:val="24"/>
                <w:szCs w:val="24"/>
              </w:rPr>
              <w:t>-Double blind, RCT non-inferiority study of denosumab vs risedronate in patients receiving &gt;7.5 mg prednisone daily. Denosumab was noninferior AND superior to risedronate for improvement in lumbar spine BMD. No fracture data available.</w:t>
            </w:r>
            <w:r w:rsidRPr="00FA3F9C">
              <w:rPr>
                <w:rStyle w:val="highlight"/>
                <w:rFonts w:ascii="Arial" w:hAnsi="Arial" w:cs="Arial"/>
                <w:color w:val="000000"/>
                <w:sz w:val="24"/>
                <w:szCs w:val="24"/>
                <w:vertAlign w:val="superscript"/>
              </w:rPr>
              <w:t>1</w:t>
            </w:r>
          </w:p>
          <w:p w14:paraId="117F94D4" w14:textId="77777777" w:rsidR="001506C1" w:rsidRPr="00FA3F9C" w:rsidRDefault="001506C1" w:rsidP="00461164">
            <w:pPr>
              <w:rPr>
                <w:rStyle w:val="highlight"/>
                <w:rFonts w:ascii="Arial" w:hAnsi="Arial" w:cs="Arial"/>
                <w:color w:val="000000"/>
                <w:sz w:val="24"/>
                <w:szCs w:val="24"/>
              </w:rPr>
            </w:pPr>
            <w:r w:rsidRPr="00FA3F9C">
              <w:rPr>
                <w:rStyle w:val="highlight"/>
                <w:rFonts w:ascii="Arial" w:hAnsi="Arial" w:cs="Arial"/>
                <w:color w:val="000000"/>
                <w:sz w:val="24"/>
                <w:szCs w:val="24"/>
              </w:rPr>
              <w:t xml:space="preserve">-Guideline: For </w:t>
            </w:r>
            <w:proofErr w:type="spellStart"/>
            <w:r w:rsidRPr="00FA3F9C">
              <w:rPr>
                <w:rStyle w:val="highlight"/>
                <w:rFonts w:ascii="Arial" w:hAnsi="Arial" w:cs="Arial"/>
                <w:color w:val="000000"/>
                <w:sz w:val="24"/>
                <w:szCs w:val="24"/>
              </w:rPr>
              <w:t>pt</w:t>
            </w:r>
            <w:proofErr w:type="spellEnd"/>
            <w:r w:rsidRPr="00FA3F9C">
              <w:rPr>
                <w:rStyle w:val="highlight"/>
                <w:rFonts w:ascii="Arial" w:hAnsi="Arial" w:cs="Arial"/>
                <w:color w:val="000000"/>
                <w:sz w:val="24"/>
                <w:szCs w:val="24"/>
              </w:rPr>
              <w:t xml:space="preserve"> &gt;40 y/o at moderate/high risk for fracture, the 2017 American College of Rheumatology Guideline for Prevention and Treatment of Glucocorticoid-Induced Osteoporosis recommends oral bisphosphonates (BP) OVER IV BP, denosumab, teriparatide, or raloxifene. If oral BP not an option, recommend the following in order of preference: IV BP, teriparatide, denosumab, raloxifene.</w:t>
            </w:r>
            <w:r w:rsidRPr="00FA3F9C">
              <w:rPr>
                <w:rStyle w:val="highlight"/>
                <w:rFonts w:ascii="Arial" w:hAnsi="Arial" w:cs="Arial"/>
                <w:color w:val="000000"/>
                <w:sz w:val="24"/>
                <w:szCs w:val="24"/>
                <w:vertAlign w:val="superscript"/>
              </w:rPr>
              <w:t>2</w:t>
            </w:r>
          </w:p>
          <w:p w14:paraId="667D5391" w14:textId="77777777" w:rsidR="001506C1" w:rsidRPr="00FA3F9C" w:rsidRDefault="001506C1" w:rsidP="00461164">
            <w:pPr>
              <w:tabs>
                <w:tab w:val="center" w:pos="5022"/>
              </w:tabs>
              <w:rPr>
                <w:rStyle w:val="highlight"/>
                <w:rFonts w:ascii="Arial" w:hAnsi="Arial" w:cs="Arial"/>
                <w:color w:val="000000"/>
                <w:sz w:val="24"/>
                <w:szCs w:val="24"/>
              </w:rPr>
            </w:pPr>
            <w:r w:rsidRPr="00FA3F9C">
              <w:rPr>
                <w:rStyle w:val="highlight"/>
                <w:rFonts w:ascii="Arial" w:hAnsi="Arial" w:cs="Arial"/>
                <w:color w:val="000000"/>
                <w:sz w:val="24"/>
                <w:szCs w:val="24"/>
              </w:rPr>
              <w:t xml:space="preserve">Summary: Prefer bisphosphonates because they have fracture data for this indication. Denosumab does not have fracture data and will not be covered. </w:t>
            </w:r>
          </w:p>
          <w:p w14:paraId="70FBD79C" w14:textId="77777777" w:rsidR="001506C1" w:rsidRPr="00FA3F9C" w:rsidRDefault="001506C1" w:rsidP="00461164">
            <w:pPr>
              <w:shd w:val="clear" w:color="auto" w:fill="D9D9D9" w:themeFill="background1" w:themeFillShade="D9"/>
              <w:rPr>
                <w:rStyle w:val="highlight"/>
                <w:rFonts w:ascii="Arial" w:hAnsi="Arial" w:cs="Arial"/>
                <w:sz w:val="24"/>
                <w:szCs w:val="24"/>
              </w:rPr>
            </w:pPr>
            <w:r w:rsidRPr="00FA3F9C">
              <w:rPr>
                <w:rFonts w:ascii="Arial" w:eastAsia="Times New Roman" w:hAnsi="Arial" w:cs="Arial"/>
                <w:sz w:val="24"/>
                <w:szCs w:val="24"/>
                <w:lang w:val="en"/>
              </w:rPr>
              <w:t xml:space="preserve">1. </w:t>
            </w:r>
            <w:hyperlink r:id="rId128" w:history="1">
              <w:r w:rsidRPr="00FA3F9C">
                <w:rPr>
                  <w:rFonts w:ascii="Arial" w:eastAsia="Times New Roman" w:hAnsi="Arial" w:cs="Arial"/>
                  <w:sz w:val="24"/>
                  <w:szCs w:val="24"/>
                  <w:lang w:val="en"/>
                </w:rPr>
                <w:t>Saag KG</w:t>
              </w:r>
            </w:hyperlink>
            <w:r w:rsidRPr="00FA3F9C">
              <w:rPr>
                <w:rFonts w:ascii="Arial" w:eastAsia="Times New Roman" w:hAnsi="Arial" w:cs="Arial"/>
                <w:sz w:val="24"/>
                <w:szCs w:val="24"/>
                <w:lang w:val="en"/>
              </w:rPr>
              <w:t xml:space="preserve"> et al. </w:t>
            </w:r>
            <w:r w:rsidRPr="00FA3F9C">
              <w:rPr>
                <w:rFonts w:ascii="Arial" w:eastAsia="Times New Roman" w:hAnsi="Arial" w:cs="Arial"/>
                <w:bCs/>
                <w:kern w:val="36"/>
                <w:sz w:val="24"/>
                <w:szCs w:val="24"/>
                <w:lang w:val="en"/>
              </w:rPr>
              <w:t xml:space="preserve">Denosumab versus risedronate in glucocorticoid-induced osteoporosis: a </w:t>
            </w:r>
            <w:proofErr w:type="spellStart"/>
            <w:r w:rsidRPr="00FA3F9C">
              <w:rPr>
                <w:rFonts w:ascii="Arial" w:eastAsia="Times New Roman" w:hAnsi="Arial" w:cs="Arial"/>
                <w:bCs/>
                <w:kern w:val="36"/>
                <w:sz w:val="24"/>
                <w:szCs w:val="24"/>
                <w:lang w:val="en"/>
              </w:rPr>
              <w:t>multicentre</w:t>
            </w:r>
            <w:proofErr w:type="spellEnd"/>
            <w:r w:rsidRPr="00FA3F9C">
              <w:rPr>
                <w:rFonts w:ascii="Arial" w:eastAsia="Times New Roman" w:hAnsi="Arial" w:cs="Arial"/>
                <w:bCs/>
                <w:kern w:val="36"/>
                <w:sz w:val="24"/>
                <w:szCs w:val="24"/>
                <w:lang w:val="en"/>
              </w:rPr>
              <w:t xml:space="preserve">, </w:t>
            </w:r>
            <w:proofErr w:type="spellStart"/>
            <w:r w:rsidRPr="00FA3F9C">
              <w:rPr>
                <w:rFonts w:ascii="Arial" w:eastAsia="Times New Roman" w:hAnsi="Arial" w:cs="Arial"/>
                <w:bCs/>
                <w:kern w:val="36"/>
                <w:sz w:val="24"/>
                <w:szCs w:val="24"/>
                <w:lang w:val="en"/>
              </w:rPr>
              <w:t>randomised</w:t>
            </w:r>
            <w:proofErr w:type="spellEnd"/>
            <w:r w:rsidRPr="00FA3F9C">
              <w:rPr>
                <w:rFonts w:ascii="Arial" w:eastAsia="Times New Roman" w:hAnsi="Arial" w:cs="Arial"/>
                <w:bCs/>
                <w:kern w:val="36"/>
                <w:sz w:val="24"/>
                <w:szCs w:val="24"/>
                <w:lang w:val="en"/>
              </w:rPr>
              <w:t xml:space="preserve">, double-blind, active-controlled, double-dummy, non-inferiority study. </w:t>
            </w:r>
            <w:hyperlink r:id="rId129" w:tooltip="The lancet. Diabetes &amp; endocrinology." w:history="1">
              <w:r w:rsidRPr="00FA3F9C">
                <w:rPr>
                  <w:rFonts w:ascii="Arial" w:eastAsia="Times New Roman" w:hAnsi="Arial" w:cs="Arial"/>
                  <w:sz w:val="24"/>
                  <w:szCs w:val="24"/>
                  <w:lang w:val="en"/>
                </w:rPr>
                <w:t>Lancet Diabetes Endocrinol.</w:t>
              </w:r>
            </w:hyperlink>
            <w:r w:rsidRPr="00FA3F9C">
              <w:rPr>
                <w:rFonts w:ascii="Arial" w:eastAsia="Times New Roman" w:hAnsi="Arial" w:cs="Arial"/>
                <w:sz w:val="24"/>
                <w:szCs w:val="24"/>
                <w:lang w:val="en"/>
              </w:rPr>
              <w:t xml:space="preserve"> 2018 Jun;6(6):445-454. </w:t>
            </w:r>
            <w:r w:rsidRPr="00FA3F9C">
              <w:rPr>
                <w:rStyle w:val="highlight"/>
                <w:rFonts w:ascii="Arial" w:hAnsi="Arial" w:cs="Arial"/>
                <w:sz w:val="24"/>
                <w:szCs w:val="24"/>
              </w:rPr>
              <w:t>NCT01575873, PMID 29631782</w:t>
            </w:r>
          </w:p>
          <w:p w14:paraId="088B7822" w14:textId="77777777" w:rsidR="001506C1" w:rsidRPr="00FA3F9C" w:rsidRDefault="001506C1" w:rsidP="00461164">
            <w:pPr>
              <w:shd w:val="clear" w:color="auto" w:fill="D9D9D9" w:themeFill="background1" w:themeFillShade="D9"/>
              <w:rPr>
                <w:rFonts w:ascii="Arial" w:hAnsi="Arial" w:cs="Arial"/>
                <w:b/>
                <w:sz w:val="24"/>
                <w:szCs w:val="24"/>
                <w:u w:val="single"/>
              </w:rPr>
            </w:pPr>
            <w:r w:rsidRPr="00FA3F9C">
              <w:rPr>
                <w:rStyle w:val="highlight"/>
                <w:rFonts w:ascii="Arial" w:hAnsi="Arial" w:cs="Arial"/>
                <w:sz w:val="24"/>
                <w:szCs w:val="24"/>
              </w:rPr>
              <w:t xml:space="preserve">2. Buckley et al. 2017 American College of Rheumatology Guideline for Prevention and Treatment of Glucocorticoid-Induced Osteoporosis. Arthritis &amp; Rheumatology. </w:t>
            </w:r>
            <w:r w:rsidRPr="00FA3F9C">
              <w:rPr>
                <w:rFonts w:ascii="Arial" w:hAnsi="Arial" w:cs="Arial"/>
                <w:bCs/>
                <w:sz w:val="24"/>
                <w:szCs w:val="24"/>
              </w:rPr>
              <w:t>2017</w:t>
            </w:r>
            <w:r w:rsidRPr="00FA3F9C">
              <w:rPr>
                <w:rFonts w:ascii="Arial" w:hAnsi="Arial" w:cs="Arial"/>
                <w:sz w:val="24"/>
                <w:szCs w:val="24"/>
              </w:rPr>
              <w:t xml:space="preserve"> Aug;69(8):1521-1537. PMID 28585373</w:t>
            </w:r>
          </w:p>
        </w:tc>
      </w:tr>
    </w:tbl>
    <w:p w14:paraId="482F6116" w14:textId="77777777" w:rsidR="001506C1" w:rsidRPr="00FA3F9C" w:rsidRDefault="001506C1" w:rsidP="007852F3">
      <w:pPr>
        <w:rPr>
          <w:rFonts w:ascii="Arial" w:hAnsi="Arial" w:cs="Arial"/>
          <w:sz w:val="24"/>
          <w:szCs w:val="24"/>
        </w:rPr>
      </w:pPr>
    </w:p>
    <w:p w14:paraId="5CAC66BA" w14:textId="77777777" w:rsidR="001506C1" w:rsidRPr="00FA3F9C" w:rsidRDefault="001506C1" w:rsidP="007852F3">
      <w:pPr>
        <w:spacing w:after="0"/>
        <w:rPr>
          <w:rFonts w:ascii="Arial" w:hAnsi="Arial" w:cs="Arial"/>
          <w:sz w:val="24"/>
          <w:szCs w:val="24"/>
        </w:rPr>
      </w:pPr>
    </w:p>
    <w:p w14:paraId="5CEDD053" w14:textId="77777777" w:rsidR="001506C1" w:rsidRPr="00FA3F9C" w:rsidRDefault="001506C1" w:rsidP="007852F3">
      <w:pPr>
        <w:spacing w:after="0"/>
        <w:rPr>
          <w:rFonts w:ascii="Arial" w:hAnsi="Arial" w:cs="Arial"/>
          <w:sz w:val="24"/>
          <w:szCs w:val="24"/>
        </w:rPr>
      </w:pPr>
    </w:p>
    <w:p w14:paraId="2A5DE96E" w14:textId="77777777" w:rsidR="001506C1" w:rsidRPr="00FA3F9C" w:rsidRDefault="001506C1" w:rsidP="007852F3">
      <w:pPr>
        <w:spacing w:after="0"/>
        <w:rPr>
          <w:rFonts w:ascii="Arial" w:hAnsi="Arial" w:cs="Arial"/>
          <w:sz w:val="24"/>
          <w:szCs w:val="24"/>
        </w:rPr>
      </w:pPr>
      <w:r w:rsidRPr="00FA3F9C">
        <w:rPr>
          <w:rFonts w:ascii="Arial" w:hAnsi="Arial" w:cs="Arial"/>
          <w:sz w:val="24"/>
          <w:szCs w:val="24"/>
        </w:rPr>
        <w:t>Revision History</w:t>
      </w:r>
      <w:r w:rsidRPr="00FA3F9C">
        <w:rPr>
          <w:rFonts w:ascii="Arial" w:hAnsi="Arial" w:cs="Arial"/>
          <w:sz w:val="24"/>
          <w:szCs w:val="24"/>
        </w:rPr>
        <w:tab/>
      </w:r>
    </w:p>
    <w:tbl>
      <w:tblPr>
        <w:tblStyle w:val="TableGrid"/>
        <w:tblW w:w="0" w:type="auto"/>
        <w:tblLook w:val="04A0" w:firstRow="1" w:lastRow="0" w:firstColumn="1" w:lastColumn="0" w:noHBand="0" w:noVBand="1"/>
      </w:tblPr>
      <w:tblGrid>
        <w:gridCol w:w="1360"/>
        <w:gridCol w:w="7995"/>
        <w:gridCol w:w="1590"/>
      </w:tblGrid>
      <w:tr w:rsidR="001506C1" w:rsidRPr="00FA3F9C" w14:paraId="5DD8A6F3" w14:textId="77777777" w:rsidTr="00D93815">
        <w:tc>
          <w:tcPr>
            <w:tcW w:w="1360" w:type="dxa"/>
          </w:tcPr>
          <w:p w14:paraId="6FD0DC4D" w14:textId="77777777" w:rsidR="001506C1" w:rsidRPr="00FA3F9C" w:rsidRDefault="001506C1" w:rsidP="007852F3">
            <w:pPr>
              <w:rPr>
                <w:rFonts w:ascii="Arial" w:hAnsi="Arial" w:cs="Arial"/>
                <w:sz w:val="24"/>
                <w:szCs w:val="24"/>
              </w:rPr>
            </w:pPr>
            <w:r w:rsidRPr="00FA3F9C">
              <w:rPr>
                <w:rFonts w:ascii="Arial" w:hAnsi="Arial" w:cs="Arial"/>
                <w:sz w:val="24"/>
                <w:szCs w:val="24"/>
              </w:rPr>
              <w:t>Date</w:t>
            </w:r>
          </w:p>
        </w:tc>
        <w:tc>
          <w:tcPr>
            <w:tcW w:w="7995" w:type="dxa"/>
          </w:tcPr>
          <w:p w14:paraId="3AA070C8" w14:textId="77777777" w:rsidR="001506C1" w:rsidRPr="00FA3F9C" w:rsidRDefault="001506C1" w:rsidP="007852F3">
            <w:pPr>
              <w:rPr>
                <w:rFonts w:ascii="Arial" w:hAnsi="Arial" w:cs="Arial"/>
                <w:sz w:val="24"/>
                <w:szCs w:val="24"/>
              </w:rPr>
            </w:pPr>
            <w:r w:rsidRPr="00FA3F9C">
              <w:rPr>
                <w:rFonts w:ascii="Arial" w:hAnsi="Arial" w:cs="Arial"/>
                <w:sz w:val="24"/>
                <w:szCs w:val="24"/>
              </w:rPr>
              <w:t>What changed</w:t>
            </w:r>
          </w:p>
        </w:tc>
        <w:tc>
          <w:tcPr>
            <w:tcW w:w="1435" w:type="dxa"/>
          </w:tcPr>
          <w:p w14:paraId="38137768" w14:textId="77777777" w:rsidR="001506C1" w:rsidRPr="00FA3F9C" w:rsidRDefault="001506C1" w:rsidP="007852F3">
            <w:pPr>
              <w:rPr>
                <w:rFonts w:ascii="Arial" w:hAnsi="Arial" w:cs="Arial"/>
                <w:sz w:val="24"/>
                <w:szCs w:val="24"/>
              </w:rPr>
            </w:pPr>
            <w:r w:rsidRPr="00FA3F9C">
              <w:rPr>
                <w:rFonts w:ascii="Arial" w:hAnsi="Arial" w:cs="Arial"/>
                <w:sz w:val="24"/>
                <w:szCs w:val="24"/>
              </w:rPr>
              <w:t>Pharmacist’s initials</w:t>
            </w:r>
          </w:p>
        </w:tc>
      </w:tr>
      <w:tr w:rsidR="001506C1" w:rsidRPr="00FA3F9C" w14:paraId="31745A6D" w14:textId="77777777" w:rsidTr="00D93815">
        <w:tc>
          <w:tcPr>
            <w:tcW w:w="1360" w:type="dxa"/>
          </w:tcPr>
          <w:p w14:paraId="5B898DC5" w14:textId="77777777" w:rsidR="001506C1" w:rsidRPr="00FA3F9C" w:rsidRDefault="001506C1" w:rsidP="007852F3">
            <w:pPr>
              <w:rPr>
                <w:rFonts w:ascii="Arial" w:hAnsi="Arial" w:cs="Arial"/>
                <w:sz w:val="24"/>
                <w:szCs w:val="24"/>
              </w:rPr>
            </w:pPr>
            <w:r w:rsidRPr="00FA3F9C">
              <w:rPr>
                <w:rFonts w:ascii="Arial" w:hAnsi="Arial" w:cs="Arial"/>
                <w:sz w:val="24"/>
                <w:szCs w:val="24"/>
              </w:rPr>
              <w:t>7/7/15</w:t>
            </w:r>
          </w:p>
        </w:tc>
        <w:tc>
          <w:tcPr>
            <w:tcW w:w="7995" w:type="dxa"/>
          </w:tcPr>
          <w:p w14:paraId="4710A212" w14:textId="77777777" w:rsidR="001506C1" w:rsidRPr="00FA3F9C" w:rsidRDefault="001506C1" w:rsidP="007852F3">
            <w:pPr>
              <w:rPr>
                <w:rFonts w:ascii="Arial" w:hAnsi="Arial" w:cs="Arial"/>
                <w:sz w:val="24"/>
                <w:szCs w:val="24"/>
              </w:rPr>
            </w:pPr>
            <w:r w:rsidRPr="00FA3F9C">
              <w:rPr>
                <w:rFonts w:ascii="Arial" w:hAnsi="Arial" w:cs="Arial"/>
                <w:sz w:val="24"/>
                <w:szCs w:val="24"/>
              </w:rPr>
              <w:t>I revised the criteria.</w:t>
            </w:r>
          </w:p>
        </w:tc>
        <w:tc>
          <w:tcPr>
            <w:tcW w:w="1435" w:type="dxa"/>
          </w:tcPr>
          <w:p w14:paraId="64266EC5" w14:textId="4557F477" w:rsidR="001506C1" w:rsidRPr="00FA3F9C" w:rsidRDefault="005C142D" w:rsidP="007852F3">
            <w:pPr>
              <w:rPr>
                <w:rFonts w:ascii="Arial" w:hAnsi="Arial" w:cs="Arial"/>
                <w:sz w:val="24"/>
                <w:szCs w:val="24"/>
              </w:rPr>
            </w:pPr>
            <w:r w:rsidRPr="00FA3F9C">
              <w:rPr>
                <w:rFonts w:ascii="Arial" w:hAnsi="Arial" w:cs="Arial"/>
                <w:sz w:val="24"/>
                <w:szCs w:val="24"/>
              </w:rPr>
              <w:t>JJ</w:t>
            </w:r>
          </w:p>
        </w:tc>
      </w:tr>
      <w:tr w:rsidR="001506C1" w:rsidRPr="00FA3F9C" w14:paraId="7C3AE904" w14:textId="77777777" w:rsidTr="00D93815">
        <w:tc>
          <w:tcPr>
            <w:tcW w:w="1360" w:type="dxa"/>
          </w:tcPr>
          <w:p w14:paraId="57BDDFCA" w14:textId="77777777" w:rsidR="001506C1" w:rsidRPr="00FA3F9C" w:rsidRDefault="001506C1" w:rsidP="007852F3">
            <w:pPr>
              <w:rPr>
                <w:rFonts w:ascii="Arial" w:hAnsi="Arial" w:cs="Arial"/>
                <w:sz w:val="24"/>
                <w:szCs w:val="24"/>
              </w:rPr>
            </w:pPr>
            <w:r w:rsidRPr="00FA3F9C">
              <w:rPr>
                <w:rFonts w:ascii="Arial" w:hAnsi="Arial" w:cs="Arial"/>
                <w:sz w:val="24"/>
                <w:szCs w:val="24"/>
              </w:rPr>
              <w:t>2/25/2016</w:t>
            </w:r>
          </w:p>
        </w:tc>
        <w:tc>
          <w:tcPr>
            <w:tcW w:w="7995" w:type="dxa"/>
          </w:tcPr>
          <w:p w14:paraId="2A3F1A35" w14:textId="77777777" w:rsidR="001506C1" w:rsidRPr="00FA3F9C" w:rsidRDefault="001506C1" w:rsidP="007852F3">
            <w:pPr>
              <w:rPr>
                <w:rFonts w:ascii="Arial" w:hAnsi="Arial" w:cs="Arial"/>
                <w:sz w:val="24"/>
                <w:szCs w:val="24"/>
              </w:rPr>
            </w:pPr>
            <w:r w:rsidRPr="00FA3F9C">
              <w:rPr>
                <w:rFonts w:ascii="Arial" w:hAnsi="Arial" w:cs="Arial"/>
                <w:sz w:val="24"/>
                <w:szCs w:val="24"/>
              </w:rPr>
              <w:t xml:space="preserve">I added information covering males with NON metastatic prostate cancer receiving androgen deprivation therapy.  No comparative trials of denosumab vs ZA have been powered to evaluate fracture risk.  </w:t>
            </w:r>
          </w:p>
          <w:p w14:paraId="51DD2437" w14:textId="77777777" w:rsidR="001506C1" w:rsidRPr="00FA3F9C" w:rsidRDefault="001506C1" w:rsidP="007852F3">
            <w:pPr>
              <w:rPr>
                <w:rFonts w:ascii="Arial" w:hAnsi="Arial" w:cs="Arial"/>
                <w:sz w:val="24"/>
                <w:szCs w:val="24"/>
              </w:rPr>
            </w:pPr>
            <w:r w:rsidRPr="00FA3F9C">
              <w:rPr>
                <w:rFonts w:ascii="Arial" w:hAnsi="Arial" w:cs="Arial"/>
                <w:sz w:val="24"/>
                <w:szCs w:val="24"/>
              </w:rPr>
              <w:t xml:space="preserve">The population with bone </w:t>
            </w:r>
            <w:proofErr w:type="spellStart"/>
            <w:r w:rsidRPr="00FA3F9C">
              <w:rPr>
                <w:rFonts w:ascii="Arial" w:hAnsi="Arial" w:cs="Arial"/>
                <w:sz w:val="24"/>
                <w:szCs w:val="24"/>
              </w:rPr>
              <w:t>mets</w:t>
            </w:r>
            <w:proofErr w:type="spellEnd"/>
            <w:r w:rsidRPr="00FA3F9C">
              <w:rPr>
                <w:rFonts w:ascii="Arial" w:hAnsi="Arial" w:cs="Arial"/>
                <w:sz w:val="24"/>
                <w:szCs w:val="24"/>
              </w:rPr>
              <w:t xml:space="preserve"> is a different population entirely.</w:t>
            </w:r>
          </w:p>
        </w:tc>
        <w:tc>
          <w:tcPr>
            <w:tcW w:w="1435" w:type="dxa"/>
          </w:tcPr>
          <w:p w14:paraId="2BC33E54" w14:textId="48160761" w:rsidR="001506C1" w:rsidRPr="00FA3F9C" w:rsidRDefault="005C142D" w:rsidP="007852F3">
            <w:pPr>
              <w:rPr>
                <w:rFonts w:ascii="Arial" w:hAnsi="Arial" w:cs="Arial"/>
                <w:sz w:val="24"/>
                <w:szCs w:val="24"/>
              </w:rPr>
            </w:pPr>
            <w:r w:rsidRPr="00FA3F9C">
              <w:rPr>
                <w:rFonts w:ascii="Arial" w:hAnsi="Arial" w:cs="Arial"/>
                <w:sz w:val="24"/>
                <w:szCs w:val="24"/>
              </w:rPr>
              <w:t>JJ</w:t>
            </w:r>
          </w:p>
        </w:tc>
      </w:tr>
      <w:tr w:rsidR="001506C1" w:rsidRPr="00FA3F9C" w14:paraId="530712ED" w14:textId="77777777" w:rsidTr="00D93815">
        <w:tc>
          <w:tcPr>
            <w:tcW w:w="1360" w:type="dxa"/>
          </w:tcPr>
          <w:p w14:paraId="7B0A29BF" w14:textId="77777777" w:rsidR="001506C1" w:rsidRPr="00FA3F9C" w:rsidRDefault="001506C1" w:rsidP="007852F3">
            <w:pPr>
              <w:rPr>
                <w:rFonts w:ascii="Arial" w:hAnsi="Arial" w:cs="Arial"/>
                <w:sz w:val="24"/>
                <w:szCs w:val="24"/>
              </w:rPr>
            </w:pPr>
            <w:r w:rsidRPr="00FA3F9C">
              <w:rPr>
                <w:rFonts w:ascii="Arial" w:hAnsi="Arial" w:cs="Arial"/>
                <w:sz w:val="24"/>
                <w:szCs w:val="24"/>
              </w:rPr>
              <w:t>3/7/19</w:t>
            </w:r>
          </w:p>
        </w:tc>
        <w:tc>
          <w:tcPr>
            <w:tcW w:w="7995" w:type="dxa"/>
          </w:tcPr>
          <w:p w14:paraId="4FF088C9" w14:textId="77777777" w:rsidR="001506C1" w:rsidRPr="00FA3F9C" w:rsidRDefault="001506C1" w:rsidP="001506C1">
            <w:pPr>
              <w:pStyle w:val="ListParagraph"/>
              <w:numPr>
                <w:ilvl w:val="0"/>
                <w:numId w:val="130"/>
              </w:numPr>
              <w:spacing w:line="276" w:lineRule="auto"/>
              <w:ind w:left="190" w:hanging="190"/>
              <w:rPr>
                <w:rFonts w:ascii="Arial" w:hAnsi="Arial" w:cs="Arial"/>
                <w:sz w:val="24"/>
                <w:szCs w:val="24"/>
              </w:rPr>
            </w:pPr>
            <w:r w:rsidRPr="00FA3F9C">
              <w:rPr>
                <w:rFonts w:ascii="Arial" w:hAnsi="Arial" w:cs="Arial"/>
                <w:sz w:val="24"/>
                <w:szCs w:val="24"/>
              </w:rPr>
              <w:t>For treatment of bone loss in women receiving aromatase inhibitor (anastrozole or exemestane) therapy for breast cancer: removed requirement for HER2+ breast cancer. Patients in referenced study were allowed to be HER2 negative. Also added that letrozole is another aromatase inhibitor on the market.</w:t>
            </w:r>
          </w:p>
          <w:p w14:paraId="59BC5F5C" w14:textId="77777777" w:rsidR="001506C1" w:rsidRPr="00FA3F9C" w:rsidRDefault="001506C1" w:rsidP="001506C1">
            <w:pPr>
              <w:pStyle w:val="ListParagraph"/>
              <w:numPr>
                <w:ilvl w:val="0"/>
                <w:numId w:val="130"/>
              </w:numPr>
              <w:spacing w:line="276" w:lineRule="auto"/>
              <w:ind w:left="190" w:hanging="190"/>
              <w:rPr>
                <w:rFonts w:ascii="Arial" w:hAnsi="Arial" w:cs="Arial"/>
                <w:sz w:val="24"/>
                <w:szCs w:val="24"/>
              </w:rPr>
            </w:pPr>
            <w:r w:rsidRPr="00FA3F9C">
              <w:rPr>
                <w:rFonts w:ascii="Arial" w:hAnsi="Arial" w:cs="Arial"/>
                <w:sz w:val="24"/>
                <w:szCs w:val="24"/>
              </w:rPr>
              <w:t>New indication: glucocorticoid induced osteoporosis: not covered due to lack of fracture data</w:t>
            </w:r>
          </w:p>
          <w:p w14:paraId="2AA32C2F" w14:textId="77777777" w:rsidR="001506C1" w:rsidRPr="00FA3F9C" w:rsidRDefault="001506C1" w:rsidP="001506C1">
            <w:pPr>
              <w:pStyle w:val="ListParagraph"/>
              <w:numPr>
                <w:ilvl w:val="0"/>
                <w:numId w:val="130"/>
              </w:numPr>
              <w:spacing w:line="276" w:lineRule="auto"/>
              <w:ind w:left="190" w:hanging="190"/>
              <w:rPr>
                <w:rFonts w:ascii="Arial" w:hAnsi="Arial" w:cs="Arial"/>
                <w:sz w:val="24"/>
                <w:szCs w:val="24"/>
              </w:rPr>
            </w:pPr>
            <w:r w:rsidRPr="00FA3F9C">
              <w:rPr>
                <w:rFonts w:ascii="Arial" w:hAnsi="Arial" w:cs="Arial"/>
                <w:sz w:val="24"/>
                <w:szCs w:val="24"/>
              </w:rPr>
              <w:t>Allow use for post-menopausal women at high risk for fracture if intolerant/ contraindication to oral AND IV BP.</w:t>
            </w:r>
          </w:p>
          <w:p w14:paraId="50E2BFCB" w14:textId="77777777" w:rsidR="001506C1" w:rsidRPr="00FA3F9C" w:rsidRDefault="001506C1" w:rsidP="001506C1">
            <w:pPr>
              <w:pStyle w:val="ListParagraph"/>
              <w:numPr>
                <w:ilvl w:val="0"/>
                <w:numId w:val="130"/>
              </w:numPr>
              <w:spacing w:line="276" w:lineRule="auto"/>
              <w:ind w:left="190" w:hanging="190"/>
              <w:rPr>
                <w:rFonts w:ascii="Arial" w:hAnsi="Arial" w:cs="Arial"/>
                <w:sz w:val="24"/>
                <w:szCs w:val="24"/>
              </w:rPr>
            </w:pPr>
            <w:r w:rsidRPr="00FA3F9C">
              <w:rPr>
                <w:rFonts w:ascii="Arial" w:hAnsi="Arial" w:cs="Arial"/>
                <w:sz w:val="24"/>
                <w:szCs w:val="24"/>
              </w:rPr>
              <w:t xml:space="preserve">Added new </w:t>
            </w:r>
            <w:proofErr w:type="spellStart"/>
            <w:r w:rsidRPr="00FA3F9C">
              <w:rPr>
                <w:rFonts w:ascii="Arial" w:hAnsi="Arial" w:cs="Arial"/>
                <w:sz w:val="24"/>
                <w:szCs w:val="24"/>
              </w:rPr>
              <w:t>Xgeva</w:t>
            </w:r>
            <w:proofErr w:type="spellEnd"/>
            <w:r w:rsidRPr="00FA3F9C">
              <w:rPr>
                <w:rFonts w:ascii="Arial" w:hAnsi="Arial" w:cs="Arial"/>
                <w:sz w:val="24"/>
                <w:szCs w:val="24"/>
              </w:rPr>
              <w:t xml:space="preserve"> indication for prevention of skeletal related events in patients with multiple myeloma which will only be covered if patient has contraindication to zoledronic acid.</w:t>
            </w:r>
          </w:p>
        </w:tc>
        <w:tc>
          <w:tcPr>
            <w:tcW w:w="1435" w:type="dxa"/>
          </w:tcPr>
          <w:p w14:paraId="25E4BBD8" w14:textId="77777777" w:rsidR="001506C1" w:rsidRPr="00FA3F9C" w:rsidRDefault="001506C1" w:rsidP="007852F3">
            <w:pPr>
              <w:rPr>
                <w:rFonts w:ascii="Arial" w:hAnsi="Arial" w:cs="Arial"/>
                <w:sz w:val="24"/>
                <w:szCs w:val="24"/>
              </w:rPr>
            </w:pPr>
            <w:proofErr w:type="spellStart"/>
            <w:r w:rsidRPr="00FA3F9C">
              <w:rPr>
                <w:rFonts w:ascii="Arial" w:hAnsi="Arial" w:cs="Arial"/>
                <w:sz w:val="24"/>
                <w:szCs w:val="24"/>
              </w:rPr>
              <w:t>Sk</w:t>
            </w:r>
            <w:proofErr w:type="spellEnd"/>
          </w:p>
        </w:tc>
      </w:tr>
      <w:tr w:rsidR="001506C1" w:rsidRPr="00FA3F9C" w14:paraId="38775AD5" w14:textId="77777777" w:rsidTr="00D93815">
        <w:tc>
          <w:tcPr>
            <w:tcW w:w="1360" w:type="dxa"/>
          </w:tcPr>
          <w:p w14:paraId="516DF68C" w14:textId="77777777" w:rsidR="001506C1" w:rsidRPr="00FA3F9C" w:rsidRDefault="001506C1" w:rsidP="007852F3">
            <w:pPr>
              <w:rPr>
                <w:rFonts w:ascii="Arial" w:hAnsi="Arial" w:cs="Arial"/>
                <w:sz w:val="24"/>
                <w:szCs w:val="24"/>
              </w:rPr>
            </w:pPr>
            <w:r w:rsidRPr="00FA3F9C">
              <w:rPr>
                <w:rFonts w:ascii="Arial" w:hAnsi="Arial" w:cs="Arial"/>
                <w:sz w:val="24"/>
                <w:szCs w:val="24"/>
              </w:rPr>
              <w:t>5/25/2021</w:t>
            </w:r>
          </w:p>
        </w:tc>
        <w:tc>
          <w:tcPr>
            <w:tcW w:w="7995" w:type="dxa"/>
          </w:tcPr>
          <w:p w14:paraId="02983AA5" w14:textId="77777777" w:rsidR="001506C1" w:rsidRPr="00FA3F9C" w:rsidRDefault="001506C1" w:rsidP="00C34B5C">
            <w:pPr>
              <w:rPr>
                <w:rFonts w:ascii="Arial" w:hAnsi="Arial" w:cs="Arial"/>
                <w:sz w:val="24"/>
                <w:szCs w:val="24"/>
              </w:rPr>
            </w:pPr>
            <w:r w:rsidRPr="00FA3F9C">
              <w:rPr>
                <w:rFonts w:ascii="Arial" w:hAnsi="Arial" w:cs="Arial"/>
                <w:sz w:val="24"/>
                <w:szCs w:val="24"/>
              </w:rPr>
              <w:t xml:space="preserve">Criteria reviewed. Change approval period for </w:t>
            </w:r>
            <w:proofErr w:type="spellStart"/>
            <w:r w:rsidRPr="00FA3F9C">
              <w:rPr>
                <w:rFonts w:ascii="Arial" w:hAnsi="Arial" w:cs="Arial"/>
                <w:sz w:val="24"/>
                <w:szCs w:val="24"/>
              </w:rPr>
              <w:t>Xgeva</w:t>
            </w:r>
            <w:proofErr w:type="spellEnd"/>
            <w:r w:rsidRPr="00FA3F9C">
              <w:rPr>
                <w:rFonts w:ascii="Arial" w:hAnsi="Arial" w:cs="Arial"/>
                <w:sz w:val="24"/>
                <w:szCs w:val="24"/>
              </w:rPr>
              <w:t xml:space="preserve"> to 12 months. Updated some evidence statements. No other changes</w:t>
            </w:r>
          </w:p>
        </w:tc>
        <w:tc>
          <w:tcPr>
            <w:tcW w:w="1435" w:type="dxa"/>
          </w:tcPr>
          <w:p w14:paraId="250E80FE" w14:textId="77777777" w:rsidR="001506C1" w:rsidRPr="00FA3F9C" w:rsidRDefault="001506C1" w:rsidP="007852F3">
            <w:pPr>
              <w:rPr>
                <w:rFonts w:ascii="Arial" w:hAnsi="Arial" w:cs="Arial"/>
                <w:sz w:val="24"/>
                <w:szCs w:val="24"/>
              </w:rPr>
            </w:pPr>
            <w:r w:rsidRPr="00FA3F9C">
              <w:rPr>
                <w:rFonts w:ascii="Arial" w:hAnsi="Arial" w:cs="Arial"/>
                <w:sz w:val="24"/>
                <w:szCs w:val="24"/>
              </w:rPr>
              <w:t>SK</w:t>
            </w:r>
          </w:p>
        </w:tc>
      </w:tr>
      <w:tr w:rsidR="001506C1" w:rsidRPr="00FA3F9C" w14:paraId="7BFC2A58" w14:textId="77777777" w:rsidTr="00D93815">
        <w:tc>
          <w:tcPr>
            <w:tcW w:w="1360" w:type="dxa"/>
          </w:tcPr>
          <w:p w14:paraId="55E45D97" w14:textId="77777777" w:rsidR="001506C1" w:rsidRPr="00FA3F9C" w:rsidRDefault="001506C1" w:rsidP="007852F3">
            <w:pPr>
              <w:rPr>
                <w:rFonts w:ascii="Arial" w:hAnsi="Arial" w:cs="Arial"/>
                <w:sz w:val="24"/>
                <w:szCs w:val="24"/>
              </w:rPr>
            </w:pPr>
            <w:r w:rsidRPr="00FA3F9C">
              <w:rPr>
                <w:rFonts w:ascii="Arial" w:hAnsi="Arial" w:cs="Arial"/>
                <w:sz w:val="24"/>
                <w:szCs w:val="24"/>
              </w:rPr>
              <w:t>9/1/21</w:t>
            </w:r>
          </w:p>
        </w:tc>
        <w:tc>
          <w:tcPr>
            <w:tcW w:w="7995" w:type="dxa"/>
          </w:tcPr>
          <w:p w14:paraId="34E75D3F" w14:textId="77777777" w:rsidR="001506C1" w:rsidRPr="00FA3F9C" w:rsidRDefault="001506C1" w:rsidP="00C34B5C">
            <w:pPr>
              <w:rPr>
                <w:rFonts w:ascii="Arial" w:hAnsi="Arial" w:cs="Arial"/>
                <w:sz w:val="24"/>
                <w:szCs w:val="24"/>
              </w:rPr>
            </w:pPr>
            <w:r w:rsidRPr="00FA3F9C">
              <w:rPr>
                <w:rFonts w:ascii="Arial" w:hAnsi="Arial" w:cs="Arial"/>
                <w:sz w:val="24"/>
                <w:szCs w:val="24"/>
              </w:rPr>
              <w:t>Criteria reviewed.  Recommending to UAS to cover denosumab following the above criteria.</w:t>
            </w:r>
          </w:p>
        </w:tc>
        <w:tc>
          <w:tcPr>
            <w:tcW w:w="1435" w:type="dxa"/>
          </w:tcPr>
          <w:p w14:paraId="2AF1093D" w14:textId="77777777" w:rsidR="001506C1" w:rsidRPr="00FA3F9C" w:rsidRDefault="001506C1" w:rsidP="007852F3">
            <w:pPr>
              <w:rPr>
                <w:rFonts w:ascii="Arial" w:hAnsi="Arial" w:cs="Arial"/>
                <w:sz w:val="24"/>
                <w:szCs w:val="24"/>
              </w:rPr>
            </w:pPr>
            <w:r w:rsidRPr="00FA3F9C">
              <w:rPr>
                <w:rFonts w:ascii="Arial" w:hAnsi="Arial" w:cs="Arial"/>
                <w:sz w:val="24"/>
                <w:szCs w:val="24"/>
              </w:rPr>
              <w:t>JJ</w:t>
            </w:r>
          </w:p>
        </w:tc>
      </w:tr>
    </w:tbl>
    <w:p w14:paraId="13F17339" w14:textId="77777777" w:rsidR="001506C1" w:rsidRPr="00FA3F9C" w:rsidRDefault="001506C1" w:rsidP="007852F3">
      <w:pPr>
        <w:spacing w:after="0"/>
        <w:rPr>
          <w:rFonts w:ascii="Arial" w:hAnsi="Arial" w:cs="Arial"/>
          <w:sz w:val="24"/>
          <w:szCs w:val="24"/>
        </w:rPr>
      </w:pPr>
    </w:p>
    <w:p w14:paraId="30DE11EC" w14:textId="77777777" w:rsidR="001506C1" w:rsidRPr="00FA3F9C" w:rsidRDefault="001506C1" w:rsidP="007852F3">
      <w:pPr>
        <w:spacing w:after="0"/>
        <w:rPr>
          <w:rFonts w:ascii="Arial" w:hAnsi="Arial" w:cs="Arial"/>
          <w:sz w:val="24"/>
          <w:szCs w:val="24"/>
        </w:rPr>
      </w:pPr>
    </w:p>
    <w:p w14:paraId="526257C3" w14:textId="77777777" w:rsidR="001506C1" w:rsidRPr="00FA3F9C" w:rsidRDefault="001506C1" w:rsidP="007852F3">
      <w:pPr>
        <w:spacing w:after="0"/>
        <w:rPr>
          <w:rFonts w:ascii="Arial" w:hAnsi="Arial" w:cs="Arial"/>
          <w:sz w:val="24"/>
          <w:szCs w:val="24"/>
        </w:rPr>
      </w:pPr>
    </w:p>
    <w:p w14:paraId="1E4F2E3D" w14:textId="77777777" w:rsidR="001506C1" w:rsidRPr="00FA3F9C" w:rsidRDefault="001506C1">
      <w:pPr>
        <w:rPr>
          <w:rFonts w:ascii="Arial" w:hAnsi="Arial" w:cs="Arial"/>
          <w:sz w:val="24"/>
          <w:szCs w:val="24"/>
        </w:rPr>
      </w:pPr>
      <w:r w:rsidRPr="00FA3F9C">
        <w:rPr>
          <w:rFonts w:ascii="Arial" w:hAnsi="Arial" w:cs="Arial"/>
          <w:noProof/>
          <w:sz w:val="24"/>
          <w:szCs w:val="24"/>
        </w:rPr>
        <w:lastRenderedPageBreak/>
        <w:drawing>
          <wp:inline distT="0" distB="0" distL="0" distR="0" wp14:anchorId="5EADA769" wp14:editId="1244C960">
            <wp:extent cx="5086350" cy="55721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0"/>
                    <a:srcRect r="-251" b="13544"/>
                    <a:stretch/>
                  </pic:blipFill>
                  <pic:spPr bwMode="auto">
                    <a:xfrm>
                      <a:off x="0" y="0"/>
                      <a:ext cx="5096911" cy="5583695"/>
                    </a:xfrm>
                    <a:prstGeom prst="rect">
                      <a:avLst/>
                    </a:prstGeom>
                    <a:ln>
                      <a:noFill/>
                    </a:ln>
                    <a:extLst>
                      <a:ext uri="{53640926-AAD7-44D8-BBD7-CCE9431645EC}">
                        <a14:shadowObscured xmlns:a14="http://schemas.microsoft.com/office/drawing/2010/main"/>
                      </a:ext>
                    </a:extLst>
                  </pic:spPr>
                </pic:pic>
              </a:graphicData>
            </a:graphic>
          </wp:inline>
        </w:drawing>
      </w:r>
    </w:p>
    <w:p w14:paraId="73046E02" w14:textId="77777777" w:rsidR="001506C1" w:rsidRPr="00FA3F9C" w:rsidRDefault="001506C1" w:rsidP="002819F6">
      <w:pPr>
        <w:pStyle w:val="Heading2"/>
        <w:rPr>
          <w:lang w:val="es-ES"/>
        </w:rPr>
      </w:pPr>
      <w:bookmarkStart w:id="73" w:name="_Toc106369768"/>
      <w:proofErr w:type="spellStart"/>
      <w:r w:rsidRPr="00FA3F9C">
        <w:rPr>
          <w:lang w:val="es-ES"/>
        </w:rPr>
        <w:lastRenderedPageBreak/>
        <w:t>Dextromethorphan</w:t>
      </w:r>
      <w:proofErr w:type="spellEnd"/>
      <w:r w:rsidRPr="00FA3F9C">
        <w:rPr>
          <w:lang w:val="es-ES"/>
        </w:rPr>
        <w:t>/</w:t>
      </w:r>
      <w:proofErr w:type="spellStart"/>
      <w:r w:rsidRPr="00FA3F9C">
        <w:rPr>
          <w:lang w:val="es-ES"/>
        </w:rPr>
        <w:t>quinidine</w:t>
      </w:r>
      <w:proofErr w:type="spellEnd"/>
      <w:r w:rsidRPr="00FA3F9C">
        <w:rPr>
          <w:lang w:val="es-ES"/>
        </w:rPr>
        <w:t xml:space="preserve"> (</w:t>
      </w:r>
      <w:proofErr w:type="spellStart"/>
      <w:r w:rsidRPr="00FA3F9C">
        <w:rPr>
          <w:lang w:val="es-ES"/>
        </w:rPr>
        <w:t>Nuedexta</w:t>
      </w:r>
      <w:proofErr w:type="spellEnd"/>
      <w:r w:rsidRPr="00FA3F9C">
        <w:rPr>
          <w:lang w:val="es-ES"/>
        </w:rPr>
        <w:t>)</w:t>
      </w:r>
      <w:bookmarkEnd w:id="73"/>
    </w:p>
    <w:p w14:paraId="0BFD3C0A" w14:textId="77777777" w:rsidR="001506C1" w:rsidRPr="00FA3F9C" w:rsidRDefault="001506C1" w:rsidP="006F623F">
      <w:pPr>
        <w:spacing w:after="0"/>
        <w:jc w:val="center"/>
        <w:rPr>
          <w:rFonts w:ascii="Arial" w:hAnsi="Arial" w:cs="Arial"/>
          <w:sz w:val="24"/>
          <w:szCs w:val="24"/>
          <w:lang w:val="es-ES"/>
        </w:rPr>
      </w:pPr>
      <w:r w:rsidRPr="00FA3F9C">
        <w:rPr>
          <w:rFonts w:ascii="Arial" w:hAnsi="Arial" w:cs="Arial"/>
          <w:sz w:val="24"/>
          <w:szCs w:val="24"/>
          <w:lang w:val="es-ES"/>
        </w:rPr>
        <w:t>20-10mg capsules</w:t>
      </w:r>
    </w:p>
    <w:p w14:paraId="0CF5021C" w14:textId="77777777" w:rsidR="001506C1" w:rsidRPr="00FA3F9C" w:rsidRDefault="001506C1" w:rsidP="006F623F">
      <w:pPr>
        <w:spacing w:after="0"/>
        <w:jc w:val="center"/>
        <w:rPr>
          <w:rFonts w:ascii="Arial" w:hAnsi="Arial" w:cs="Arial"/>
          <w:sz w:val="24"/>
          <w:szCs w:val="24"/>
          <w:lang w:val="es-ES"/>
        </w:rPr>
      </w:pPr>
      <w:r w:rsidRPr="00FA3F9C">
        <w:rPr>
          <w:rFonts w:ascii="Arial" w:hAnsi="Arial" w:cs="Arial"/>
          <w:sz w:val="24"/>
          <w:szCs w:val="24"/>
          <w:lang w:val="es-ES"/>
        </w:rPr>
        <w:t xml:space="preserve">EBRx PA </w:t>
      </w:r>
      <w:proofErr w:type="spellStart"/>
      <w:r w:rsidRPr="00FA3F9C">
        <w:rPr>
          <w:rFonts w:ascii="Arial" w:hAnsi="Arial" w:cs="Arial"/>
          <w:sz w:val="24"/>
          <w:szCs w:val="24"/>
          <w:lang w:val="es-ES"/>
        </w:rPr>
        <w:t>Criteria</w:t>
      </w:r>
      <w:proofErr w:type="spellEnd"/>
    </w:p>
    <w:p w14:paraId="2E5EA1AC" w14:textId="77777777" w:rsidR="001506C1" w:rsidRPr="00FA3F9C" w:rsidRDefault="001506C1" w:rsidP="006F623F">
      <w:pPr>
        <w:spacing w:after="0"/>
        <w:rPr>
          <w:rFonts w:ascii="Arial" w:hAnsi="Arial" w:cs="Arial"/>
          <w:b/>
          <w:sz w:val="24"/>
          <w:szCs w:val="24"/>
          <w:u w:val="single"/>
          <w:lang w:val="es-ES"/>
        </w:rPr>
      </w:pPr>
    </w:p>
    <w:p w14:paraId="7F6D117B" w14:textId="77777777" w:rsidR="001506C1" w:rsidRPr="00FA3F9C" w:rsidRDefault="001506C1"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w:t>
      </w:r>
    </w:p>
    <w:p w14:paraId="16449F43" w14:textId="77777777" w:rsidR="001506C1" w:rsidRPr="00FA3F9C" w:rsidRDefault="001506C1" w:rsidP="001506C1">
      <w:pPr>
        <w:pStyle w:val="ListParagraph"/>
        <w:numPr>
          <w:ilvl w:val="0"/>
          <w:numId w:val="132"/>
        </w:numPr>
        <w:spacing w:after="0" w:line="276" w:lineRule="auto"/>
        <w:rPr>
          <w:rFonts w:ascii="Arial" w:hAnsi="Arial" w:cs="Arial"/>
          <w:sz w:val="24"/>
          <w:szCs w:val="24"/>
        </w:rPr>
      </w:pPr>
      <w:r w:rsidRPr="00FA3F9C">
        <w:rPr>
          <w:rFonts w:ascii="Arial" w:hAnsi="Arial" w:cs="Arial"/>
          <w:sz w:val="24"/>
          <w:szCs w:val="24"/>
        </w:rPr>
        <w:t>treatment of pseudobulbar affect (PBA)</w:t>
      </w:r>
    </w:p>
    <w:tbl>
      <w:tblPr>
        <w:tblStyle w:val="TableGrid"/>
        <w:tblW w:w="0" w:type="auto"/>
        <w:tblLook w:val="04A0" w:firstRow="1" w:lastRow="0" w:firstColumn="1" w:lastColumn="0" w:noHBand="0" w:noVBand="1"/>
      </w:tblPr>
      <w:tblGrid>
        <w:gridCol w:w="8928"/>
        <w:gridCol w:w="2088"/>
      </w:tblGrid>
      <w:tr w:rsidR="001506C1" w:rsidRPr="00FA3F9C" w14:paraId="13D0B829" w14:textId="77777777" w:rsidTr="00571CAB">
        <w:tc>
          <w:tcPr>
            <w:tcW w:w="8928" w:type="dxa"/>
            <w:shd w:val="clear" w:color="auto" w:fill="000000"/>
          </w:tcPr>
          <w:p w14:paraId="619E7F51" w14:textId="77777777" w:rsidR="001506C1" w:rsidRPr="00FA3F9C" w:rsidRDefault="001506C1"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88" w:type="dxa"/>
            <w:shd w:val="clear" w:color="auto" w:fill="000000"/>
          </w:tcPr>
          <w:p w14:paraId="18872630" w14:textId="77777777" w:rsidR="001506C1" w:rsidRPr="00FA3F9C" w:rsidRDefault="001506C1" w:rsidP="006F623F">
            <w:pPr>
              <w:jc w:val="center"/>
              <w:rPr>
                <w:rFonts w:ascii="Arial" w:hAnsi="Arial" w:cs="Arial"/>
                <w:b/>
                <w:sz w:val="24"/>
                <w:szCs w:val="24"/>
                <w:u w:val="single"/>
              </w:rPr>
            </w:pPr>
          </w:p>
        </w:tc>
      </w:tr>
      <w:tr w:rsidR="001506C1" w:rsidRPr="00FA3F9C" w14:paraId="2E9EBCF3" w14:textId="77777777" w:rsidTr="00F337AE">
        <w:tc>
          <w:tcPr>
            <w:tcW w:w="11016" w:type="dxa"/>
            <w:gridSpan w:val="2"/>
          </w:tcPr>
          <w:p w14:paraId="4935C3A0" w14:textId="77777777" w:rsidR="001506C1" w:rsidRPr="00FA3F9C" w:rsidRDefault="001506C1" w:rsidP="001506C1">
            <w:pPr>
              <w:pStyle w:val="ListParagraph"/>
              <w:numPr>
                <w:ilvl w:val="0"/>
                <w:numId w:val="131"/>
              </w:numPr>
              <w:rPr>
                <w:rFonts w:ascii="Arial" w:hAnsi="Arial" w:cs="Arial"/>
                <w:sz w:val="24"/>
                <w:szCs w:val="24"/>
              </w:rPr>
            </w:pPr>
            <w:r w:rsidRPr="00FA3F9C">
              <w:rPr>
                <w:rFonts w:ascii="Arial" w:hAnsi="Arial" w:cs="Arial"/>
                <w:sz w:val="24"/>
                <w:szCs w:val="24"/>
              </w:rPr>
              <w:t>The patient must have a diagnosis of clinically significant pseudobulbar affect (a baseline score of &gt;13 on the Center for Neurologic Studies Lability Scales (CNS-LS).</w:t>
            </w:r>
          </w:p>
        </w:tc>
      </w:tr>
      <w:tr w:rsidR="001506C1" w:rsidRPr="00FA3F9C" w14:paraId="57ED6991" w14:textId="77777777" w:rsidTr="00B1617E">
        <w:tc>
          <w:tcPr>
            <w:tcW w:w="11016" w:type="dxa"/>
            <w:gridSpan w:val="2"/>
          </w:tcPr>
          <w:p w14:paraId="1AC3785E" w14:textId="77777777" w:rsidR="001506C1" w:rsidRPr="00FA3F9C" w:rsidRDefault="001506C1" w:rsidP="006F623F">
            <w:pPr>
              <w:rPr>
                <w:rFonts w:ascii="Arial" w:hAnsi="Arial" w:cs="Arial"/>
                <w:sz w:val="24"/>
                <w:szCs w:val="24"/>
              </w:rPr>
            </w:pPr>
            <w:r w:rsidRPr="00FA3F9C">
              <w:rPr>
                <w:rFonts w:ascii="Arial" w:hAnsi="Arial" w:cs="Arial"/>
                <w:sz w:val="24"/>
                <w:szCs w:val="24"/>
              </w:rPr>
              <w:t>If yes, approve for 1 year.</w:t>
            </w:r>
          </w:p>
        </w:tc>
      </w:tr>
    </w:tbl>
    <w:p w14:paraId="49F7BB17" w14:textId="77777777" w:rsidR="001506C1" w:rsidRPr="00FA3F9C" w:rsidRDefault="001506C1" w:rsidP="006F623F">
      <w:pPr>
        <w:spacing w:after="0"/>
        <w:rPr>
          <w:rFonts w:ascii="Arial" w:hAnsi="Arial" w:cs="Arial"/>
          <w:b/>
          <w:sz w:val="24"/>
          <w:szCs w:val="24"/>
          <w:u w:val="single"/>
        </w:rPr>
      </w:pPr>
    </w:p>
    <w:p w14:paraId="3FD12BE9" w14:textId="77777777" w:rsidR="001506C1" w:rsidRPr="00FA3F9C" w:rsidRDefault="001506C1" w:rsidP="006F623F">
      <w:pPr>
        <w:spacing w:after="0"/>
        <w:rPr>
          <w:rFonts w:ascii="Arial" w:hAnsi="Arial" w:cs="Arial"/>
          <w:b/>
          <w:sz w:val="24"/>
          <w:szCs w:val="24"/>
          <w:u w:val="single"/>
        </w:rPr>
      </w:pPr>
      <w:r w:rsidRPr="00FA3F9C">
        <w:rPr>
          <w:rFonts w:ascii="Arial" w:hAnsi="Arial" w:cs="Arial"/>
          <w:b/>
          <w:noProof/>
          <w:sz w:val="24"/>
          <w:szCs w:val="24"/>
        </w:rPr>
        <w:drawing>
          <wp:inline distT="0" distB="0" distL="0" distR="0" wp14:anchorId="08612D9E" wp14:editId="131FB7B4">
            <wp:extent cx="5241925" cy="240284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31">
                      <a:extLst>
                        <a:ext uri="{28A0092B-C50C-407E-A947-70E740481C1C}">
                          <a14:useLocalDpi xmlns:a14="http://schemas.microsoft.com/office/drawing/2010/main" val="0"/>
                        </a:ext>
                      </a:extLst>
                    </a:blip>
                    <a:srcRect l="7372" t="25214" r="4488" b="20940"/>
                    <a:stretch>
                      <a:fillRect/>
                    </a:stretch>
                  </pic:blipFill>
                  <pic:spPr bwMode="auto">
                    <a:xfrm>
                      <a:off x="0" y="0"/>
                      <a:ext cx="5241925" cy="2402840"/>
                    </a:xfrm>
                    <a:prstGeom prst="rect">
                      <a:avLst/>
                    </a:prstGeom>
                    <a:noFill/>
                    <a:ln>
                      <a:noFill/>
                    </a:ln>
                  </pic:spPr>
                </pic:pic>
              </a:graphicData>
            </a:graphic>
          </wp:inline>
        </w:drawing>
      </w:r>
    </w:p>
    <w:p w14:paraId="568E5938" w14:textId="77777777" w:rsidR="001506C1" w:rsidRPr="00FA3F9C" w:rsidRDefault="001506C1" w:rsidP="006F623F">
      <w:pPr>
        <w:spacing w:after="0"/>
        <w:rPr>
          <w:rFonts w:ascii="Arial" w:hAnsi="Arial" w:cs="Arial"/>
          <w:b/>
          <w:sz w:val="24"/>
          <w:szCs w:val="24"/>
          <w:u w:val="single"/>
        </w:rPr>
      </w:pPr>
    </w:p>
    <w:tbl>
      <w:tblPr>
        <w:tblStyle w:val="TableGrid"/>
        <w:tblW w:w="0" w:type="auto"/>
        <w:shd w:val="clear" w:color="auto" w:fill="BFBFBF" w:themeFill="background1" w:themeFillShade="BF"/>
        <w:tblLook w:val="04A0" w:firstRow="1" w:lastRow="0" w:firstColumn="1" w:lastColumn="0" w:noHBand="0" w:noVBand="1"/>
      </w:tblPr>
      <w:tblGrid>
        <w:gridCol w:w="10998"/>
      </w:tblGrid>
      <w:tr w:rsidR="001506C1" w:rsidRPr="00FA3F9C" w14:paraId="0CE88A37" w14:textId="77777777" w:rsidTr="00D82B6E">
        <w:tc>
          <w:tcPr>
            <w:tcW w:w="10998" w:type="dxa"/>
            <w:shd w:val="clear" w:color="auto" w:fill="BFBFBF" w:themeFill="background1" w:themeFillShade="BF"/>
          </w:tcPr>
          <w:p w14:paraId="2E018F70" w14:textId="77777777" w:rsidR="001506C1" w:rsidRPr="00FA3F9C" w:rsidRDefault="001506C1" w:rsidP="00D82B6E">
            <w:pPr>
              <w:rPr>
                <w:rFonts w:ascii="Arial" w:hAnsi="Arial" w:cs="Arial"/>
                <w:sz w:val="24"/>
                <w:szCs w:val="24"/>
              </w:rPr>
            </w:pPr>
            <w:r w:rsidRPr="00FA3F9C">
              <w:rPr>
                <w:rFonts w:ascii="Arial" w:hAnsi="Arial" w:cs="Arial"/>
                <w:sz w:val="24"/>
                <w:szCs w:val="24"/>
              </w:rPr>
              <w:t>Note: This drug is covered at T3 with PA.  It is not effective for heroin detox.  The quinidine increases dextromethorphan's bioavailability by 20-fold.  The dextromethorphan is what treats the disease.</w:t>
            </w:r>
          </w:p>
        </w:tc>
      </w:tr>
    </w:tbl>
    <w:p w14:paraId="500B213E" w14:textId="77777777" w:rsidR="001506C1" w:rsidRPr="00FA3F9C" w:rsidRDefault="001506C1" w:rsidP="006F623F">
      <w:pPr>
        <w:spacing w:after="0"/>
        <w:rPr>
          <w:rFonts w:ascii="Arial" w:hAnsi="Arial" w:cs="Arial"/>
          <w:sz w:val="24"/>
          <w:szCs w:val="24"/>
        </w:rPr>
      </w:pPr>
    </w:p>
    <w:p w14:paraId="56072961"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 xml:space="preserve">Quantity Limits: </w:t>
      </w:r>
    </w:p>
    <w:p w14:paraId="6BCB509E" w14:textId="77777777" w:rsidR="001506C1" w:rsidRPr="00FA3F9C" w:rsidRDefault="001506C1" w:rsidP="009A07B6">
      <w:pPr>
        <w:spacing w:after="0"/>
        <w:rPr>
          <w:rFonts w:ascii="Arial" w:hAnsi="Arial" w:cs="Arial"/>
          <w:sz w:val="24"/>
          <w:szCs w:val="24"/>
        </w:rPr>
      </w:pPr>
      <w:r w:rsidRPr="00FA3F9C">
        <w:rPr>
          <w:rFonts w:ascii="Arial" w:hAnsi="Arial" w:cs="Arial"/>
          <w:sz w:val="24"/>
          <w:szCs w:val="24"/>
        </w:rPr>
        <w:t>References:</w:t>
      </w:r>
    </w:p>
    <w:p w14:paraId="71E0AA31" w14:textId="77777777" w:rsidR="001506C1" w:rsidRPr="00FA3F9C" w:rsidRDefault="001506C1" w:rsidP="009A07B6">
      <w:pPr>
        <w:spacing w:after="0"/>
        <w:rPr>
          <w:rFonts w:ascii="Arial" w:hAnsi="Arial" w:cs="Arial"/>
          <w:color w:val="231F20"/>
          <w:sz w:val="24"/>
          <w:szCs w:val="24"/>
        </w:rPr>
      </w:pPr>
      <w:r w:rsidRPr="00FA3F9C">
        <w:rPr>
          <w:rFonts w:ascii="Arial" w:hAnsi="Arial" w:cs="Arial"/>
          <w:color w:val="231F20"/>
          <w:sz w:val="24"/>
          <w:szCs w:val="24"/>
        </w:rPr>
        <w:lastRenderedPageBreak/>
        <w:t xml:space="preserve">1.  </w:t>
      </w:r>
      <w:proofErr w:type="spellStart"/>
      <w:r w:rsidRPr="00FA3F9C">
        <w:rPr>
          <w:rFonts w:ascii="Arial" w:hAnsi="Arial" w:cs="Arial"/>
          <w:color w:val="231F20"/>
          <w:sz w:val="24"/>
          <w:szCs w:val="24"/>
        </w:rPr>
        <w:t>Pioro</w:t>
      </w:r>
      <w:proofErr w:type="spellEnd"/>
      <w:r w:rsidRPr="00FA3F9C">
        <w:rPr>
          <w:rFonts w:ascii="Arial" w:hAnsi="Arial" w:cs="Arial"/>
          <w:color w:val="231F20"/>
          <w:sz w:val="24"/>
          <w:szCs w:val="24"/>
        </w:rPr>
        <w:t xml:space="preserve"> EP, Brooks BR, et al.  Dextromethorphan plus </w:t>
      </w:r>
      <w:proofErr w:type="spellStart"/>
      <w:r w:rsidRPr="00FA3F9C">
        <w:rPr>
          <w:rFonts w:ascii="Arial" w:hAnsi="Arial" w:cs="Arial"/>
          <w:color w:val="231F20"/>
          <w:sz w:val="24"/>
          <w:szCs w:val="24"/>
        </w:rPr>
        <w:t>ultra low</w:t>
      </w:r>
      <w:proofErr w:type="spellEnd"/>
      <w:r w:rsidRPr="00FA3F9C">
        <w:rPr>
          <w:rFonts w:ascii="Arial" w:hAnsi="Arial" w:cs="Arial"/>
          <w:color w:val="231F20"/>
          <w:sz w:val="24"/>
          <w:szCs w:val="24"/>
        </w:rPr>
        <w:t>-dose quinidine reduces pseudobulbar affect.  ANN NEUROL 2010;68:693–702.</w:t>
      </w:r>
    </w:p>
    <w:p w14:paraId="52EE101D" w14:textId="77777777" w:rsidR="001506C1" w:rsidRPr="00FA3F9C" w:rsidRDefault="001506C1" w:rsidP="009A07B6">
      <w:pPr>
        <w:spacing w:after="0"/>
        <w:rPr>
          <w:rFonts w:ascii="Arial" w:hAnsi="Arial" w:cs="Arial"/>
          <w:sz w:val="24"/>
          <w:szCs w:val="24"/>
          <w:lang w:val="fr-FR"/>
        </w:rPr>
      </w:pPr>
      <w:r w:rsidRPr="00FA3F9C">
        <w:rPr>
          <w:rFonts w:ascii="Arial" w:hAnsi="Arial" w:cs="Arial"/>
          <w:sz w:val="24"/>
          <w:szCs w:val="24"/>
          <w:lang w:val="fr-FR"/>
        </w:rPr>
        <w:t xml:space="preserve">2.  CNS-LS Questionnaire.   </w:t>
      </w:r>
      <w:hyperlink r:id="rId132" w:history="1">
        <w:r w:rsidRPr="00FA3F9C">
          <w:rPr>
            <w:rStyle w:val="Hyperlink"/>
            <w:rFonts w:ascii="Arial" w:hAnsi="Arial" w:cs="Arial"/>
            <w:sz w:val="24"/>
            <w:szCs w:val="24"/>
            <w:lang w:val="fr-FR"/>
          </w:rPr>
          <w:t>http://hablemosdeem.com/desdemibalcon/wp-content/uploads/2010/03/CNS.pdf</w:t>
        </w:r>
      </w:hyperlink>
      <w:r w:rsidRPr="00FA3F9C">
        <w:rPr>
          <w:rFonts w:ascii="Arial" w:hAnsi="Arial" w:cs="Arial"/>
          <w:sz w:val="24"/>
          <w:szCs w:val="24"/>
          <w:lang w:val="fr-FR"/>
        </w:rPr>
        <w:t xml:space="preserve"> </w:t>
      </w:r>
    </w:p>
    <w:p w14:paraId="11ECFB2F" w14:textId="77777777" w:rsidR="001506C1" w:rsidRPr="00FA3F9C" w:rsidRDefault="001506C1" w:rsidP="006F623F">
      <w:pPr>
        <w:spacing w:after="0"/>
        <w:rPr>
          <w:rFonts w:ascii="Arial" w:hAnsi="Arial" w:cs="Arial"/>
          <w:sz w:val="24"/>
          <w:szCs w:val="24"/>
          <w:lang w:val="fr-FR"/>
        </w:rPr>
      </w:pPr>
    </w:p>
    <w:p w14:paraId="4B6CFAF6" w14:textId="77777777" w:rsidR="001506C1" w:rsidRPr="00FA3F9C" w:rsidRDefault="001506C1" w:rsidP="009A07B6">
      <w:pPr>
        <w:rPr>
          <w:rFonts w:ascii="Arial" w:hAnsi="Arial" w:cs="Arial"/>
          <w:sz w:val="24"/>
          <w:szCs w:val="24"/>
        </w:rPr>
      </w:pPr>
      <w:r w:rsidRPr="00FA3F9C">
        <w:rPr>
          <w:rFonts w:ascii="Arial" w:hAnsi="Arial" w:cs="Arial"/>
          <w:sz w:val="24"/>
          <w:szCs w:val="24"/>
        </w:rPr>
        <w:t>Revision History:</w:t>
      </w:r>
    </w:p>
    <w:tbl>
      <w:tblPr>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7451"/>
        <w:gridCol w:w="2150"/>
      </w:tblGrid>
      <w:tr w:rsidR="001506C1" w:rsidRPr="00FA3F9C" w14:paraId="5A6C90DC" w14:textId="77777777" w:rsidTr="00E8265E">
        <w:tc>
          <w:tcPr>
            <w:tcW w:w="1167" w:type="dxa"/>
          </w:tcPr>
          <w:p w14:paraId="2EE494BF" w14:textId="77777777" w:rsidR="001506C1" w:rsidRPr="00FA3F9C" w:rsidRDefault="001506C1" w:rsidP="009A07B6">
            <w:pPr>
              <w:spacing w:after="0"/>
              <w:rPr>
                <w:rFonts w:ascii="Arial" w:hAnsi="Arial" w:cs="Arial"/>
                <w:sz w:val="24"/>
                <w:szCs w:val="24"/>
              </w:rPr>
            </w:pPr>
            <w:r w:rsidRPr="00FA3F9C">
              <w:rPr>
                <w:rFonts w:ascii="Arial" w:hAnsi="Arial" w:cs="Arial"/>
                <w:sz w:val="24"/>
                <w:szCs w:val="24"/>
              </w:rPr>
              <w:t>Date</w:t>
            </w:r>
          </w:p>
        </w:tc>
        <w:tc>
          <w:tcPr>
            <w:tcW w:w="7558" w:type="dxa"/>
          </w:tcPr>
          <w:p w14:paraId="122B3403" w14:textId="77777777" w:rsidR="001506C1" w:rsidRPr="00FA3F9C" w:rsidRDefault="001506C1" w:rsidP="009A07B6">
            <w:pPr>
              <w:spacing w:after="0"/>
              <w:rPr>
                <w:rFonts w:ascii="Arial" w:hAnsi="Arial" w:cs="Arial"/>
                <w:sz w:val="24"/>
                <w:szCs w:val="24"/>
              </w:rPr>
            </w:pPr>
            <w:r w:rsidRPr="00FA3F9C">
              <w:rPr>
                <w:rFonts w:ascii="Arial" w:hAnsi="Arial" w:cs="Arial"/>
                <w:sz w:val="24"/>
                <w:szCs w:val="24"/>
              </w:rPr>
              <w:t>What changed?</w:t>
            </w:r>
          </w:p>
        </w:tc>
        <w:tc>
          <w:tcPr>
            <w:tcW w:w="2160" w:type="dxa"/>
          </w:tcPr>
          <w:p w14:paraId="1E771BA7" w14:textId="77777777" w:rsidR="001506C1" w:rsidRPr="00FA3F9C" w:rsidRDefault="001506C1" w:rsidP="009A07B6">
            <w:pPr>
              <w:spacing w:after="0"/>
              <w:rPr>
                <w:rFonts w:ascii="Arial" w:hAnsi="Arial" w:cs="Arial"/>
                <w:sz w:val="24"/>
                <w:szCs w:val="24"/>
              </w:rPr>
            </w:pPr>
            <w:r w:rsidRPr="00FA3F9C">
              <w:rPr>
                <w:rFonts w:ascii="Arial" w:hAnsi="Arial" w:cs="Arial"/>
                <w:sz w:val="24"/>
                <w:szCs w:val="24"/>
              </w:rPr>
              <w:t>Pharmacist’s initials</w:t>
            </w:r>
          </w:p>
        </w:tc>
      </w:tr>
      <w:tr w:rsidR="001506C1" w:rsidRPr="00FA3F9C" w14:paraId="77F4CFE9" w14:textId="77777777" w:rsidTr="00E8265E">
        <w:tc>
          <w:tcPr>
            <w:tcW w:w="1167" w:type="dxa"/>
          </w:tcPr>
          <w:p w14:paraId="11FE34CC" w14:textId="77777777" w:rsidR="001506C1" w:rsidRPr="00FA3F9C" w:rsidRDefault="001506C1" w:rsidP="009A07B6">
            <w:pPr>
              <w:spacing w:after="0"/>
              <w:rPr>
                <w:rFonts w:ascii="Arial" w:hAnsi="Arial" w:cs="Arial"/>
                <w:sz w:val="24"/>
                <w:szCs w:val="24"/>
              </w:rPr>
            </w:pPr>
            <w:r w:rsidRPr="00FA3F9C">
              <w:rPr>
                <w:rFonts w:ascii="Arial" w:hAnsi="Arial" w:cs="Arial"/>
                <w:sz w:val="24"/>
                <w:szCs w:val="24"/>
              </w:rPr>
              <w:t>1/11</w:t>
            </w:r>
          </w:p>
        </w:tc>
        <w:tc>
          <w:tcPr>
            <w:tcW w:w="7558" w:type="dxa"/>
          </w:tcPr>
          <w:p w14:paraId="603C26A9" w14:textId="77777777" w:rsidR="001506C1" w:rsidRPr="00FA3F9C" w:rsidRDefault="001506C1" w:rsidP="009A07B6">
            <w:pPr>
              <w:spacing w:after="0"/>
              <w:rPr>
                <w:rFonts w:ascii="Arial" w:hAnsi="Arial" w:cs="Arial"/>
                <w:sz w:val="24"/>
                <w:szCs w:val="24"/>
              </w:rPr>
            </w:pPr>
            <w:r w:rsidRPr="00FA3F9C">
              <w:rPr>
                <w:rFonts w:ascii="Arial" w:hAnsi="Arial" w:cs="Arial"/>
                <w:sz w:val="24"/>
                <w:szCs w:val="24"/>
              </w:rPr>
              <w:t>JJ created criteria</w:t>
            </w:r>
          </w:p>
        </w:tc>
        <w:tc>
          <w:tcPr>
            <w:tcW w:w="2160" w:type="dxa"/>
          </w:tcPr>
          <w:p w14:paraId="7EA41634" w14:textId="77777777" w:rsidR="001506C1" w:rsidRPr="00FA3F9C" w:rsidRDefault="001506C1" w:rsidP="009A07B6">
            <w:pPr>
              <w:spacing w:after="0"/>
              <w:rPr>
                <w:rFonts w:ascii="Arial" w:hAnsi="Arial" w:cs="Arial"/>
                <w:sz w:val="24"/>
                <w:szCs w:val="24"/>
              </w:rPr>
            </w:pPr>
            <w:r w:rsidRPr="00FA3F9C">
              <w:rPr>
                <w:rFonts w:ascii="Arial" w:hAnsi="Arial" w:cs="Arial"/>
                <w:sz w:val="24"/>
                <w:szCs w:val="24"/>
              </w:rPr>
              <w:t>JJ</w:t>
            </w:r>
          </w:p>
        </w:tc>
      </w:tr>
      <w:tr w:rsidR="001506C1" w:rsidRPr="00FA3F9C" w14:paraId="4B20BC51" w14:textId="77777777" w:rsidTr="00E8265E">
        <w:tc>
          <w:tcPr>
            <w:tcW w:w="1167" w:type="dxa"/>
          </w:tcPr>
          <w:p w14:paraId="05D903C7" w14:textId="77777777" w:rsidR="001506C1" w:rsidRPr="00FA3F9C" w:rsidRDefault="001506C1" w:rsidP="009A07B6">
            <w:pPr>
              <w:spacing w:after="0"/>
              <w:rPr>
                <w:rFonts w:ascii="Arial" w:hAnsi="Arial" w:cs="Arial"/>
                <w:sz w:val="24"/>
                <w:szCs w:val="24"/>
              </w:rPr>
            </w:pPr>
            <w:r w:rsidRPr="00FA3F9C">
              <w:rPr>
                <w:rFonts w:ascii="Arial" w:hAnsi="Arial" w:cs="Arial"/>
                <w:sz w:val="24"/>
                <w:szCs w:val="24"/>
              </w:rPr>
              <w:t>5/11/12</w:t>
            </w:r>
          </w:p>
        </w:tc>
        <w:tc>
          <w:tcPr>
            <w:tcW w:w="7558" w:type="dxa"/>
          </w:tcPr>
          <w:p w14:paraId="71728C95" w14:textId="77777777" w:rsidR="001506C1" w:rsidRPr="00FA3F9C" w:rsidRDefault="001506C1" w:rsidP="009A07B6">
            <w:pPr>
              <w:spacing w:after="0"/>
              <w:rPr>
                <w:rFonts w:ascii="Arial" w:hAnsi="Arial" w:cs="Arial"/>
                <w:sz w:val="24"/>
                <w:szCs w:val="24"/>
              </w:rPr>
            </w:pPr>
            <w:r w:rsidRPr="00FA3F9C">
              <w:rPr>
                <w:rFonts w:ascii="Arial" w:hAnsi="Arial" w:cs="Arial"/>
                <w:sz w:val="24"/>
                <w:szCs w:val="24"/>
              </w:rPr>
              <w:t>JJ added references and revision history table.</w:t>
            </w:r>
          </w:p>
        </w:tc>
        <w:tc>
          <w:tcPr>
            <w:tcW w:w="2160" w:type="dxa"/>
          </w:tcPr>
          <w:p w14:paraId="52881F2C" w14:textId="77777777" w:rsidR="001506C1" w:rsidRPr="00FA3F9C" w:rsidRDefault="001506C1" w:rsidP="009A07B6">
            <w:pPr>
              <w:spacing w:after="0"/>
              <w:rPr>
                <w:rFonts w:ascii="Arial" w:hAnsi="Arial" w:cs="Arial"/>
                <w:sz w:val="24"/>
                <w:szCs w:val="24"/>
              </w:rPr>
            </w:pPr>
            <w:r w:rsidRPr="00FA3F9C">
              <w:rPr>
                <w:rFonts w:ascii="Arial" w:hAnsi="Arial" w:cs="Arial"/>
                <w:sz w:val="24"/>
                <w:szCs w:val="24"/>
              </w:rPr>
              <w:t>JJ</w:t>
            </w:r>
          </w:p>
        </w:tc>
      </w:tr>
      <w:tr w:rsidR="001506C1" w:rsidRPr="00FA3F9C" w14:paraId="017CF4DD" w14:textId="77777777" w:rsidTr="00E8265E">
        <w:tc>
          <w:tcPr>
            <w:tcW w:w="1167" w:type="dxa"/>
          </w:tcPr>
          <w:p w14:paraId="41E54764" w14:textId="77777777" w:rsidR="001506C1" w:rsidRPr="00FA3F9C" w:rsidRDefault="001506C1" w:rsidP="009A07B6">
            <w:pPr>
              <w:spacing w:after="0"/>
              <w:rPr>
                <w:rFonts w:ascii="Arial" w:hAnsi="Arial" w:cs="Arial"/>
                <w:sz w:val="24"/>
                <w:szCs w:val="24"/>
              </w:rPr>
            </w:pPr>
            <w:r w:rsidRPr="00FA3F9C">
              <w:rPr>
                <w:rFonts w:ascii="Arial" w:hAnsi="Arial" w:cs="Arial"/>
                <w:sz w:val="24"/>
                <w:szCs w:val="24"/>
              </w:rPr>
              <w:t>6/23/2020</w:t>
            </w:r>
          </w:p>
        </w:tc>
        <w:tc>
          <w:tcPr>
            <w:tcW w:w="7558" w:type="dxa"/>
          </w:tcPr>
          <w:p w14:paraId="13F0AA9C" w14:textId="77777777" w:rsidR="001506C1" w:rsidRPr="00FA3F9C" w:rsidRDefault="001506C1" w:rsidP="009A07B6">
            <w:pPr>
              <w:spacing w:after="0"/>
              <w:rPr>
                <w:rFonts w:ascii="Arial" w:hAnsi="Arial" w:cs="Arial"/>
                <w:sz w:val="24"/>
                <w:szCs w:val="24"/>
              </w:rPr>
            </w:pPr>
            <w:r w:rsidRPr="00FA3F9C">
              <w:rPr>
                <w:rFonts w:ascii="Arial" w:hAnsi="Arial" w:cs="Arial"/>
                <w:sz w:val="24"/>
                <w:szCs w:val="24"/>
              </w:rPr>
              <w:t>I reviewed the criteria.  I removed the diagnoses amyotrophic lateral sclerosis (ALS) and multiple sclerosis.</w:t>
            </w:r>
          </w:p>
        </w:tc>
        <w:tc>
          <w:tcPr>
            <w:tcW w:w="2160" w:type="dxa"/>
          </w:tcPr>
          <w:p w14:paraId="12CDF000" w14:textId="77777777" w:rsidR="001506C1" w:rsidRPr="00FA3F9C" w:rsidRDefault="001506C1" w:rsidP="009A07B6">
            <w:pPr>
              <w:spacing w:after="0"/>
              <w:rPr>
                <w:rFonts w:ascii="Arial" w:hAnsi="Arial" w:cs="Arial"/>
                <w:sz w:val="24"/>
                <w:szCs w:val="24"/>
              </w:rPr>
            </w:pPr>
            <w:r w:rsidRPr="00FA3F9C">
              <w:rPr>
                <w:rFonts w:ascii="Arial" w:hAnsi="Arial" w:cs="Arial"/>
                <w:sz w:val="24"/>
                <w:szCs w:val="24"/>
              </w:rPr>
              <w:t>JJ</w:t>
            </w:r>
          </w:p>
        </w:tc>
      </w:tr>
      <w:tr w:rsidR="001506C1" w:rsidRPr="00FA3F9C" w14:paraId="368C8505" w14:textId="77777777" w:rsidTr="00E8265E">
        <w:tc>
          <w:tcPr>
            <w:tcW w:w="1167" w:type="dxa"/>
          </w:tcPr>
          <w:p w14:paraId="31CA72FD" w14:textId="77777777" w:rsidR="001506C1" w:rsidRPr="00FA3F9C" w:rsidRDefault="001506C1" w:rsidP="009A07B6">
            <w:pPr>
              <w:spacing w:after="0"/>
              <w:rPr>
                <w:rFonts w:ascii="Arial" w:hAnsi="Arial" w:cs="Arial"/>
                <w:sz w:val="24"/>
                <w:szCs w:val="24"/>
              </w:rPr>
            </w:pPr>
            <w:r w:rsidRPr="00FA3F9C">
              <w:rPr>
                <w:rFonts w:ascii="Arial" w:hAnsi="Arial" w:cs="Arial"/>
                <w:sz w:val="24"/>
                <w:szCs w:val="24"/>
              </w:rPr>
              <w:t>4/7/21</w:t>
            </w:r>
          </w:p>
        </w:tc>
        <w:tc>
          <w:tcPr>
            <w:tcW w:w="7558" w:type="dxa"/>
          </w:tcPr>
          <w:p w14:paraId="3EAA304C" w14:textId="77777777" w:rsidR="001506C1" w:rsidRPr="00FA3F9C" w:rsidRDefault="001506C1" w:rsidP="009A07B6">
            <w:pPr>
              <w:spacing w:after="0"/>
              <w:rPr>
                <w:rFonts w:ascii="Arial" w:hAnsi="Arial" w:cs="Arial"/>
                <w:sz w:val="24"/>
                <w:szCs w:val="24"/>
              </w:rPr>
            </w:pPr>
            <w:r w:rsidRPr="00FA3F9C">
              <w:rPr>
                <w:rFonts w:ascii="Arial" w:hAnsi="Arial" w:cs="Arial"/>
                <w:sz w:val="24"/>
                <w:szCs w:val="24"/>
              </w:rPr>
              <w:t>I reviewed the criteria.  No changes were made.  Applied EBRx criteria to UAS plan.  No current users.</w:t>
            </w:r>
          </w:p>
        </w:tc>
        <w:tc>
          <w:tcPr>
            <w:tcW w:w="2160" w:type="dxa"/>
          </w:tcPr>
          <w:p w14:paraId="220BB787" w14:textId="77777777" w:rsidR="001506C1" w:rsidRPr="00FA3F9C" w:rsidRDefault="001506C1" w:rsidP="009A07B6">
            <w:pPr>
              <w:spacing w:after="0"/>
              <w:rPr>
                <w:rFonts w:ascii="Arial" w:hAnsi="Arial" w:cs="Arial"/>
                <w:sz w:val="24"/>
                <w:szCs w:val="24"/>
              </w:rPr>
            </w:pPr>
            <w:r w:rsidRPr="00FA3F9C">
              <w:rPr>
                <w:rFonts w:ascii="Arial" w:hAnsi="Arial" w:cs="Arial"/>
                <w:sz w:val="24"/>
                <w:szCs w:val="24"/>
              </w:rPr>
              <w:t>JJ</w:t>
            </w:r>
          </w:p>
        </w:tc>
      </w:tr>
    </w:tbl>
    <w:p w14:paraId="47D7D587" w14:textId="77777777" w:rsidR="001506C1" w:rsidRPr="00FA3F9C" w:rsidRDefault="001506C1" w:rsidP="009A07B6">
      <w:pPr>
        <w:rPr>
          <w:rFonts w:ascii="Arial" w:hAnsi="Arial" w:cs="Arial"/>
          <w:sz w:val="24"/>
          <w:szCs w:val="24"/>
        </w:rPr>
      </w:pPr>
    </w:p>
    <w:p w14:paraId="3E27652C" w14:textId="77777777" w:rsidR="001506C1" w:rsidRPr="00FA3F9C" w:rsidRDefault="001506C1" w:rsidP="009A07B6">
      <w:pPr>
        <w:spacing w:after="0"/>
        <w:rPr>
          <w:rFonts w:ascii="Arial" w:hAnsi="Arial" w:cs="Arial"/>
          <w:sz w:val="24"/>
          <w:szCs w:val="24"/>
        </w:rPr>
      </w:pPr>
    </w:p>
    <w:p w14:paraId="1454BD87" w14:textId="77777777" w:rsidR="002819F6" w:rsidRDefault="001506C1" w:rsidP="002819F6">
      <w:pPr>
        <w:pStyle w:val="Heading2"/>
      </w:pPr>
      <w:bookmarkStart w:id="74" w:name="_Toc106369769"/>
      <w:r w:rsidRPr="00FA3F9C">
        <w:t>Diazepam (</w:t>
      </w:r>
      <w:proofErr w:type="spellStart"/>
      <w:r w:rsidRPr="00FA3F9C">
        <w:t>Valtoco</w:t>
      </w:r>
      <w:proofErr w:type="spellEnd"/>
      <w:r w:rsidRPr="00FA3F9C">
        <w:t>)</w:t>
      </w:r>
      <w:bookmarkEnd w:id="74"/>
      <w:r w:rsidRPr="00FA3F9C">
        <w:t xml:space="preserve"> </w:t>
      </w:r>
    </w:p>
    <w:p w14:paraId="61EDD626" w14:textId="18B935E1" w:rsidR="001506C1" w:rsidRPr="00FA3F9C" w:rsidRDefault="001506C1" w:rsidP="006F623F">
      <w:pPr>
        <w:spacing w:after="0"/>
        <w:jc w:val="center"/>
        <w:rPr>
          <w:rFonts w:ascii="Arial" w:hAnsi="Arial" w:cs="Arial"/>
          <w:sz w:val="24"/>
          <w:szCs w:val="24"/>
        </w:rPr>
      </w:pPr>
      <w:r w:rsidRPr="00FA3F9C">
        <w:rPr>
          <w:rFonts w:ascii="Arial" w:hAnsi="Arial" w:cs="Arial"/>
          <w:sz w:val="24"/>
          <w:szCs w:val="24"/>
        </w:rPr>
        <w:t>5, 7.5, 10mg nasal spray</w:t>
      </w:r>
    </w:p>
    <w:p w14:paraId="7C3D49A4" w14:textId="77777777" w:rsidR="001506C1" w:rsidRPr="00FA3F9C" w:rsidRDefault="001506C1" w:rsidP="006F623F">
      <w:pPr>
        <w:spacing w:after="0"/>
        <w:jc w:val="center"/>
        <w:rPr>
          <w:rFonts w:ascii="Arial" w:hAnsi="Arial" w:cs="Arial"/>
          <w:sz w:val="24"/>
          <w:szCs w:val="24"/>
        </w:rPr>
      </w:pPr>
      <w:r w:rsidRPr="00FA3F9C">
        <w:rPr>
          <w:rFonts w:ascii="Arial" w:hAnsi="Arial" w:cs="Arial"/>
          <w:sz w:val="24"/>
          <w:szCs w:val="24"/>
        </w:rPr>
        <w:t>EBRx PA Criteria</w:t>
      </w:r>
    </w:p>
    <w:p w14:paraId="563F109D" w14:textId="77777777" w:rsidR="001506C1" w:rsidRPr="00FA3F9C" w:rsidRDefault="001506C1" w:rsidP="006F623F">
      <w:pPr>
        <w:spacing w:after="0"/>
        <w:rPr>
          <w:rFonts w:ascii="Arial" w:hAnsi="Arial" w:cs="Arial"/>
          <w:b/>
          <w:sz w:val="24"/>
          <w:szCs w:val="24"/>
          <w:u w:val="single"/>
        </w:rPr>
      </w:pPr>
    </w:p>
    <w:p w14:paraId="4C6D3093" w14:textId="77777777" w:rsidR="001506C1" w:rsidRPr="00FA3F9C" w:rsidRDefault="001506C1"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acute treatment of intermittent, stereotypic episodes of frequent seizure activity (i.e., seizure clusters, acute repetitive seizures) that are distinct from patient’s usual seizure pattern in patients with epilepsy </w:t>
      </w:r>
      <w:r w:rsidRPr="00FA3F9C">
        <w:rPr>
          <w:rFonts w:ascii="Arial" w:hAnsi="Arial" w:cs="Arial"/>
          <w:sz w:val="24"/>
          <w:szCs w:val="24"/>
          <w:u w:val="single"/>
        </w:rPr>
        <w:t>&gt;</w:t>
      </w:r>
      <w:r w:rsidRPr="00FA3F9C">
        <w:rPr>
          <w:rFonts w:ascii="Arial" w:hAnsi="Arial" w:cs="Arial"/>
          <w:sz w:val="24"/>
          <w:szCs w:val="24"/>
        </w:rPr>
        <w:t xml:space="preserve"> 6 y/o.</w:t>
      </w:r>
    </w:p>
    <w:tbl>
      <w:tblPr>
        <w:tblStyle w:val="TableGrid"/>
        <w:tblW w:w="0" w:type="auto"/>
        <w:tblLook w:val="04A0" w:firstRow="1" w:lastRow="0" w:firstColumn="1" w:lastColumn="0" w:noHBand="0" w:noVBand="1"/>
      </w:tblPr>
      <w:tblGrid>
        <w:gridCol w:w="8928"/>
        <w:gridCol w:w="2088"/>
      </w:tblGrid>
      <w:tr w:rsidR="001506C1" w:rsidRPr="00FA3F9C" w14:paraId="5DECEF2A" w14:textId="77777777" w:rsidTr="00571CAB">
        <w:tc>
          <w:tcPr>
            <w:tcW w:w="8928" w:type="dxa"/>
            <w:shd w:val="clear" w:color="auto" w:fill="000000"/>
          </w:tcPr>
          <w:p w14:paraId="13ED5391" w14:textId="77777777" w:rsidR="001506C1" w:rsidRPr="00FA3F9C" w:rsidRDefault="001506C1"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88" w:type="dxa"/>
            <w:shd w:val="clear" w:color="auto" w:fill="000000"/>
          </w:tcPr>
          <w:p w14:paraId="12ABA530" w14:textId="77777777" w:rsidR="001506C1" w:rsidRPr="00FA3F9C" w:rsidRDefault="001506C1" w:rsidP="006F623F">
            <w:pPr>
              <w:jc w:val="center"/>
              <w:rPr>
                <w:rFonts w:ascii="Arial" w:hAnsi="Arial" w:cs="Arial"/>
                <w:b/>
                <w:sz w:val="24"/>
                <w:szCs w:val="24"/>
                <w:u w:val="single"/>
              </w:rPr>
            </w:pPr>
          </w:p>
        </w:tc>
      </w:tr>
      <w:tr w:rsidR="001506C1" w:rsidRPr="00FA3F9C" w14:paraId="44FDA8C1" w14:textId="77777777" w:rsidTr="00F337AE">
        <w:tc>
          <w:tcPr>
            <w:tcW w:w="11016" w:type="dxa"/>
            <w:gridSpan w:val="2"/>
          </w:tcPr>
          <w:p w14:paraId="659FF818" w14:textId="77777777" w:rsidR="001506C1" w:rsidRPr="00FA3F9C" w:rsidRDefault="001506C1" w:rsidP="006F623F">
            <w:pPr>
              <w:rPr>
                <w:rFonts w:ascii="Arial" w:hAnsi="Arial" w:cs="Arial"/>
                <w:sz w:val="24"/>
                <w:szCs w:val="24"/>
              </w:rPr>
            </w:pPr>
            <w:r w:rsidRPr="00FA3F9C">
              <w:rPr>
                <w:rFonts w:ascii="Arial" w:hAnsi="Arial" w:cs="Arial"/>
                <w:sz w:val="24"/>
                <w:szCs w:val="24"/>
              </w:rPr>
              <w:t>1. The patient must have a diagnosis of epilepsy and have occasional seizures distinct from their usual seizure pattern (</w:t>
            </w:r>
            <w:proofErr w:type="spellStart"/>
            <w:r w:rsidRPr="00FA3F9C">
              <w:rPr>
                <w:rFonts w:ascii="Arial" w:hAnsi="Arial" w:cs="Arial"/>
                <w:sz w:val="24"/>
                <w:szCs w:val="24"/>
              </w:rPr>
              <w:t>ie</w:t>
            </w:r>
            <w:proofErr w:type="spellEnd"/>
            <w:r w:rsidRPr="00FA3F9C">
              <w:rPr>
                <w:rFonts w:ascii="Arial" w:hAnsi="Arial" w:cs="Arial"/>
                <w:sz w:val="24"/>
                <w:szCs w:val="24"/>
              </w:rPr>
              <w:t>, seizure clusters, acute repetitive seizures.</w:t>
            </w:r>
          </w:p>
        </w:tc>
      </w:tr>
      <w:tr w:rsidR="001506C1" w:rsidRPr="00FA3F9C" w14:paraId="74BB9C16" w14:textId="77777777" w:rsidTr="00F337AE">
        <w:tc>
          <w:tcPr>
            <w:tcW w:w="11016" w:type="dxa"/>
            <w:gridSpan w:val="2"/>
          </w:tcPr>
          <w:p w14:paraId="523FCD80" w14:textId="77777777" w:rsidR="001506C1" w:rsidRPr="00FA3F9C" w:rsidRDefault="001506C1" w:rsidP="006F623F">
            <w:pPr>
              <w:rPr>
                <w:rFonts w:ascii="Arial" w:hAnsi="Arial" w:cs="Arial"/>
                <w:sz w:val="24"/>
                <w:szCs w:val="24"/>
              </w:rPr>
            </w:pPr>
            <w:r w:rsidRPr="00FA3F9C">
              <w:rPr>
                <w:rFonts w:ascii="Arial" w:hAnsi="Arial" w:cs="Arial"/>
                <w:sz w:val="24"/>
                <w:szCs w:val="24"/>
              </w:rPr>
              <w:t>2. The patient must be age 6y or older.</w:t>
            </w:r>
          </w:p>
        </w:tc>
      </w:tr>
      <w:tr w:rsidR="001506C1" w:rsidRPr="00FA3F9C" w14:paraId="66A50039" w14:textId="77777777" w:rsidTr="00B1617E">
        <w:tc>
          <w:tcPr>
            <w:tcW w:w="11016" w:type="dxa"/>
            <w:gridSpan w:val="2"/>
          </w:tcPr>
          <w:p w14:paraId="5C5FEA1B" w14:textId="77777777" w:rsidR="001506C1" w:rsidRPr="00FA3F9C" w:rsidRDefault="001506C1" w:rsidP="006F623F">
            <w:pPr>
              <w:rPr>
                <w:rFonts w:ascii="Arial" w:hAnsi="Arial" w:cs="Arial"/>
                <w:sz w:val="24"/>
                <w:szCs w:val="24"/>
              </w:rPr>
            </w:pPr>
            <w:r w:rsidRPr="00FA3F9C">
              <w:rPr>
                <w:rFonts w:ascii="Arial" w:hAnsi="Arial" w:cs="Arial"/>
                <w:sz w:val="24"/>
                <w:szCs w:val="24"/>
              </w:rPr>
              <w:t>3. The prescriber must be a neurologist.</w:t>
            </w:r>
          </w:p>
        </w:tc>
      </w:tr>
      <w:tr w:rsidR="001506C1" w:rsidRPr="00FA3F9C" w14:paraId="0965A85A" w14:textId="77777777" w:rsidTr="0010789D">
        <w:tc>
          <w:tcPr>
            <w:tcW w:w="11016" w:type="dxa"/>
            <w:gridSpan w:val="2"/>
          </w:tcPr>
          <w:p w14:paraId="6306728E" w14:textId="77777777" w:rsidR="001506C1" w:rsidRPr="00FA3F9C" w:rsidRDefault="001506C1" w:rsidP="006F623F">
            <w:pPr>
              <w:rPr>
                <w:rFonts w:ascii="Arial" w:hAnsi="Arial" w:cs="Arial"/>
                <w:sz w:val="24"/>
                <w:szCs w:val="24"/>
              </w:rPr>
            </w:pPr>
            <w:r w:rsidRPr="00FA3F9C">
              <w:rPr>
                <w:rFonts w:ascii="Arial" w:hAnsi="Arial" w:cs="Arial"/>
                <w:sz w:val="24"/>
                <w:szCs w:val="24"/>
              </w:rPr>
              <w:t>4. The patient must have on the profile a concurrent antiseizure medication. (</w:t>
            </w:r>
            <w:proofErr w:type="gramStart"/>
            <w:r w:rsidRPr="00FA3F9C">
              <w:rPr>
                <w:rFonts w:ascii="Arial" w:hAnsi="Arial" w:cs="Arial"/>
                <w:sz w:val="24"/>
                <w:szCs w:val="24"/>
              </w:rPr>
              <w:t>current</w:t>
            </w:r>
            <w:proofErr w:type="gramEnd"/>
            <w:r w:rsidRPr="00FA3F9C">
              <w:rPr>
                <w:rFonts w:ascii="Arial" w:hAnsi="Arial" w:cs="Arial"/>
                <w:sz w:val="24"/>
                <w:szCs w:val="24"/>
              </w:rPr>
              <w:t xml:space="preserve"> with current overlapping </w:t>
            </w:r>
            <w:proofErr w:type="spellStart"/>
            <w:r w:rsidRPr="00FA3F9C">
              <w:rPr>
                <w:rFonts w:ascii="Arial" w:hAnsi="Arial" w:cs="Arial"/>
                <w:sz w:val="24"/>
                <w:szCs w:val="24"/>
              </w:rPr>
              <w:t>days</w:t>
            </w:r>
            <w:proofErr w:type="spellEnd"/>
            <w:r w:rsidRPr="00FA3F9C">
              <w:rPr>
                <w:rFonts w:ascii="Arial" w:hAnsi="Arial" w:cs="Arial"/>
                <w:sz w:val="24"/>
                <w:szCs w:val="24"/>
              </w:rPr>
              <w:t xml:space="preserve"> supply)</w:t>
            </w:r>
          </w:p>
        </w:tc>
      </w:tr>
      <w:tr w:rsidR="001506C1" w:rsidRPr="00FA3F9C" w14:paraId="1BFD2841" w14:textId="77777777" w:rsidTr="0010789D">
        <w:tc>
          <w:tcPr>
            <w:tcW w:w="11016" w:type="dxa"/>
            <w:gridSpan w:val="2"/>
          </w:tcPr>
          <w:p w14:paraId="1BF8345A" w14:textId="77777777" w:rsidR="001506C1" w:rsidRPr="00FA3F9C" w:rsidRDefault="001506C1" w:rsidP="006F623F">
            <w:pPr>
              <w:rPr>
                <w:rFonts w:ascii="Arial" w:hAnsi="Arial" w:cs="Arial"/>
                <w:sz w:val="24"/>
                <w:szCs w:val="24"/>
              </w:rPr>
            </w:pPr>
            <w:r w:rsidRPr="00FA3F9C">
              <w:rPr>
                <w:rFonts w:ascii="Arial" w:hAnsi="Arial" w:cs="Arial"/>
                <w:sz w:val="24"/>
                <w:szCs w:val="24"/>
              </w:rPr>
              <w:t xml:space="preserve">5. The quantity limit will be determined by the patient’s weight and age from the table below.  </w:t>
            </w:r>
          </w:p>
        </w:tc>
      </w:tr>
      <w:tr w:rsidR="001506C1" w:rsidRPr="00FA3F9C" w14:paraId="01F8BA1F" w14:textId="77777777" w:rsidTr="00DA57E0">
        <w:tc>
          <w:tcPr>
            <w:tcW w:w="11016" w:type="dxa"/>
            <w:gridSpan w:val="2"/>
          </w:tcPr>
          <w:p w14:paraId="59FE0AFF" w14:textId="77777777" w:rsidR="001506C1" w:rsidRPr="00FA3F9C" w:rsidRDefault="001506C1" w:rsidP="006F623F">
            <w:pPr>
              <w:rPr>
                <w:rFonts w:ascii="Arial" w:hAnsi="Arial" w:cs="Arial"/>
                <w:sz w:val="24"/>
                <w:szCs w:val="24"/>
              </w:rPr>
            </w:pPr>
            <w:r w:rsidRPr="00FA3F9C">
              <w:rPr>
                <w:rFonts w:ascii="Arial" w:hAnsi="Arial" w:cs="Arial"/>
                <w:sz w:val="24"/>
                <w:szCs w:val="24"/>
              </w:rPr>
              <w:t xml:space="preserve">If </w:t>
            </w:r>
            <w:proofErr w:type="gramStart"/>
            <w:r w:rsidRPr="00FA3F9C">
              <w:rPr>
                <w:rFonts w:ascii="Arial" w:hAnsi="Arial" w:cs="Arial"/>
                <w:sz w:val="24"/>
                <w:szCs w:val="24"/>
              </w:rPr>
              <w:t>all of</w:t>
            </w:r>
            <w:proofErr w:type="gramEnd"/>
            <w:r w:rsidRPr="00FA3F9C">
              <w:rPr>
                <w:rFonts w:ascii="Arial" w:hAnsi="Arial" w:cs="Arial"/>
                <w:sz w:val="24"/>
                <w:szCs w:val="24"/>
              </w:rPr>
              <w:t xml:space="preserve"> the above are true, approve for 6 months. QL applies.</w:t>
            </w:r>
          </w:p>
        </w:tc>
      </w:tr>
    </w:tbl>
    <w:p w14:paraId="3E08F6CD" w14:textId="77777777" w:rsidR="001506C1" w:rsidRPr="00FA3F9C" w:rsidRDefault="001506C1" w:rsidP="006F623F">
      <w:pPr>
        <w:spacing w:after="0"/>
        <w:rPr>
          <w:rFonts w:ascii="Arial" w:hAnsi="Arial" w:cs="Arial"/>
          <w:b/>
          <w:sz w:val="24"/>
          <w:szCs w:val="24"/>
          <w:u w:val="single"/>
        </w:rPr>
      </w:pPr>
    </w:p>
    <w:tbl>
      <w:tblPr>
        <w:tblStyle w:val="TableGrid"/>
        <w:tblW w:w="0" w:type="auto"/>
        <w:tblLook w:val="04A0" w:firstRow="1" w:lastRow="0" w:firstColumn="1" w:lastColumn="0" w:noHBand="0" w:noVBand="1"/>
      </w:tblPr>
      <w:tblGrid>
        <w:gridCol w:w="8747"/>
        <w:gridCol w:w="2043"/>
      </w:tblGrid>
      <w:tr w:rsidR="001506C1" w:rsidRPr="00FA3F9C" w14:paraId="6FF5624E" w14:textId="77777777" w:rsidTr="009827D8">
        <w:tc>
          <w:tcPr>
            <w:tcW w:w="8747" w:type="dxa"/>
            <w:shd w:val="clear" w:color="auto" w:fill="000000"/>
          </w:tcPr>
          <w:p w14:paraId="78F0F182" w14:textId="77777777" w:rsidR="001506C1" w:rsidRPr="00FA3F9C" w:rsidRDefault="001506C1" w:rsidP="00571CAB">
            <w:pPr>
              <w:rPr>
                <w:rFonts w:ascii="Arial" w:hAnsi="Arial" w:cs="Arial"/>
                <w:b/>
                <w:sz w:val="24"/>
                <w:szCs w:val="24"/>
                <w:u w:val="single"/>
              </w:rPr>
            </w:pPr>
            <w:r w:rsidRPr="00FA3F9C">
              <w:rPr>
                <w:rFonts w:ascii="Arial" w:hAnsi="Arial" w:cs="Arial"/>
                <w:b/>
                <w:sz w:val="24"/>
                <w:szCs w:val="24"/>
                <w:u w:val="single"/>
              </w:rPr>
              <w:t>Criteria for continuation</w:t>
            </w:r>
          </w:p>
        </w:tc>
        <w:tc>
          <w:tcPr>
            <w:tcW w:w="2043" w:type="dxa"/>
            <w:shd w:val="clear" w:color="auto" w:fill="000000"/>
          </w:tcPr>
          <w:p w14:paraId="4E6E13AB" w14:textId="77777777" w:rsidR="001506C1" w:rsidRPr="00FA3F9C" w:rsidRDefault="001506C1" w:rsidP="00571CAB">
            <w:pPr>
              <w:jc w:val="center"/>
              <w:rPr>
                <w:rFonts w:ascii="Arial" w:hAnsi="Arial" w:cs="Arial"/>
                <w:b/>
                <w:sz w:val="24"/>
                <w:szCs w:val="24"/>
                <w:u w:val="single"/>
              </w:rPr>
            </w:pPr>
          </w:p>
        </w:tc>
      </w:tr>
      <w:tr w:rsidR="001506C1" w:rsidRPr="00FA3F9C" w14:paraId="4C90BE0E" w14:textId="77777777" w:rsidTr="009827D8">
        <w:tc>
          <w:tcPr>
            <w:tcW w:w="10790" w:type="dxa"/>
            <w:gridSpan w:val="2"/>
          </w:tcPr>
          <w:p w14:paraId="33C94CB6" w14:textId="77777777" w:rsidR="001506C1" w:rsidRPr="00FA3F9C" w:rsidRDefault="001506C1" w:rsidP="00571CAB">
            <w:pPr>
              <w:rPr>
                <w:rFonts w:ascii="Arial" w:hAnsi="Arial" w:cs="Arial"/>
                <w:sz w:val="24"/>
                <w:szCs w:val="24"/>
              </w:rPr>
            </w:pPr>
            <w:r w:rsidRPr="00FA3F9C">
              <w:rPr>
                <w:rFonts w:ascii="Arial" w:hAnsi="Arial" w:cs="Arial"/>
                <w:sz w:val="24"/>
                <w:szCs w:val="24"/>
              </w:rPr>
              <w:t xml:space="preserve">1. For repeat fills, the patient must show adequate adherence to the concurrent antiepileptic medication as shown on the drug profile over the </w:t>
            </w:r>
            <w:proofErr w:type="spellStart"/>
            <w:r w:rsidRPr="00FA3F9C">
              <w:rPr>
                <w:rFonts w:ascii="Arial" w:hAnsi="Arial" w:cs="Arial"/>
                <w:sz w:val="24"/>
                <w:szCs w:val="24"/>
              </w:rPr>
              <w:t>preceeding</w:t>
            </w:r>
            <w:proofErr w:type="spellEnd"/>
            <w:r w:rsidRPr="00FA3F9C">
              <w:rPr>
                <w:rFonts w:ascii="Arial" w:hAnsi="Arial" w:cs="Arial"/>
                <w:sz w:val="24"/>
                <w:szCs w:val="24"/>
              </w:rPr>
              <w:t xml:space="preserve"> months.</w:t>
            </w:r>
          </w:p>
        </w:tc>
      </w:tr>
      <w:tr w:rsidR="001506C1" w:rsidRPr="00FA3F9C" w14:paraId="62BA962D" w14:textId="77777777" w:rsidTr="009827D8">
        <w:tc>
          <w:tcPr>
            <w:tcW w:w="10790" w:type="dxa"/>
            <w:gridSpan w:val="2"/>
          </w:tcPr>
          <w:p w14:paraId="67D7F40D" w14:textId="77777777" w:rsidR="001506C1" w:rsidRPr="00FA3F9C" w:rsidRDefault="001506C1" w:rsidP="00571CAB">
            <w:pPr>
              <w:rPr>
                <w:rFonts w:ascii="Arial" w:hAnsi="Arial" w:cs="Arial"/>
                <w:sz w:val="24"/>
                <w:szCs w:val="24"/>
              </w:rPr>
            </w:pPr>
            <w:r w:rsidRPr="00FA3F9C">
              <w:rPr>
                <w:rFonts w:ascii="Arial" w:hAnsi="Arial" w:cs="Arial"/>
                <w:sz w:val="24"/>
                <w:szCs w:val="24"/>
              </w:rPr>
              <w:t>If the continuation criterium is fulfilled, may approve for 12 months.</w:t>
            </w:r>
          </w:p>
        </w:tc>
      </w:tr>
    </w:tbl>
    <w:p w14:paraId="2B201510" w14:textId="77777777" w:rsidR="001506C1" w:rsidRPr="00FA3F9C" w:rsidRDefault="001506C1" w:rsidP="006F623F">
      <w:pPr>
        <w:spacing w:after="0"/>
        <w:rPr>
          <w:rFonts w:ascii="Arial" w:hAnsi="Arial" w:cs="Arial"/>
          <w:b/>
          <w:sz w:val="24"/>
          <w:szCs w:val="24"/>
          <w:u w:val="single"/>
        </w:rPr>
      </w:pPr>
    </w:p>
    <w:p w14:paraId="08D4E30E" w14:textId="77777777" w:rsidR="001506C1" w:rsidRPr="00FA3F9C" w:rsidRDefault="001506C1" w:rsidP="006F623F">
      <w:pPr>
        <w:spacing w:after="0"/>
        <w:rPr>
          <w:rFonts w:ascii="Arial" w:hAnsi="Arial" w:cs="Arial"/>
          <w:b/>
          <w:sz w:val="24"/>
          <w:szCs w:val="24"/>
          <w:u w:val="single"/>
        </w:rPr>
      </w:pPr>
      <w:r w:rsidRPr="00FA3F9C">
        <w:rPr>
          <w:rFonts w:ascii="Arial" w:hAnsi="Arial" w:cs="Arial"/>
          <w:sz w:val="24"/>
          <w:szCs w:val="24"/>
        </w:rPr>
        <w:t xml:space="preserve">Quantity Limits: </w:t>
      </w:r>
      <w:r w:rsidRPr="00FA3F9C">
        <w:rPr>
          <w:rFonts w:ascii="Arial" w:hAnsi="Arial" w:cs="Arial"/>
          <w:b/>
          <w:sz w:val="24"/>
          <w:szCs w:val="24"/>
          <w:u w:val="single"/>
        </w:rPr>
        <w:t>See below.</w:t>
      </w:r>
    </w:p>
    <w:p w14:paraId="6A173433" w14:textId="77777777" w:rsidR="001506C1" w:rsidRPr="00FA3F9C" w:rsidRDefault="001506C1" w:rsidP="006F623F">
      <w:pPr>
        <w:spacing w:after="0"/>
        <w:rPr>
          <w:rFonts w:ascii="Arial" w:hAnsi="Arial" w:cs="Arial"/>
          <w:b/>
          <w:sz w:val="24"/>
          <w:szCs w:val="24"/>
          <w:u w:val="single"/>
        </w:rPr>
      </w:pPr>
    </w:p>
    <w:tbl>
      <w:tblPr>
        <w:tblStyle w:val="TableGrid"/>
        <w:tblW w:w="0" w:type="auto"/>
        <w:shd w:val="clear" w:color="auto" w:fill="BFBFBF" w:themeFill="background1" w:themeFillShade="BF"/>
        <w:tblLook w:val="04A0" w:firstRow="1" w:lastRow="0" w:firstColumn="1" w:lastColumn="0" w:noHBand="0" w:noVBand="1"/>
      </w:tblPr>
      <w:tblGrid>
        <w:gridCol w:w="10998"/>
      </w:tblGrid>
      <w:tr w:rsidR="001506C1" w:rsidRPr="00FA3F9C" w14:paraId="39071D5A" w14:textId="77777777" w:rsidTr="00D82B6E">
        <w:tc>
          <w:tcPr>
            <w:tcW w:w="10998" w:type="dxa"/>
            <w:shd w:val="clear" w:color="auto" w:fill="BFBFBF" w:themeFill="background1" w:themeFillShade="BF"/>
          </w:tcPr>
          <w:p w14:paraId="173A7780" w14:textId="77777777" w:rsidR="001506C1" w:rsidRPr="00FA3F9C" w:rsidRDefault="001506C1" w:rsidP="00D82B6E">
            <w:pPr>
              <w:rPr>
                <w:rFonts w:ascii="Arial" w:hAnsi="Arial" w:cs="Arial"/>
                <w:sz w:val="24"/>
                <w:szCs w:val="24"/>
              </w:rPr>
            </w:pPr>
            <w:r w:rsidRPr="00FA3F9C">
              <w:rPr>
                <w:rFonts w:ascii="Arial" w:hAnsi="Arial" w:cs="Arial"/>
                <w:sz w:val="24"/>
                <w:szCs w:val="24"/>
              </w:rPr>
              <w:t xml:space="preserve">Note: Initial </w:t>
            </w:r>
            <w:proofErr w:type="spellStart"/>
            <w:r w:rsidRPr="00FA3F9C">
              <w:rPr>
                <w:rFonts w:ascii="Arial" w:hAnsi="Arial" w:cs="Arial"/>
                <w:sz w:val="24"/>
                <w:szCs w:val="24"/>
              </w:rPr>
              <w:t>Valtoco</w:t>
            </w:r>
            <w:proofErr w:type="spellEnd"/>
            <w:r w:rsidRPr="00FA3F9C">
              <w:rPr>
                <w:rFonts w:ascii="Arial" w:hAnsi="Arial" w:cs="Arial"/>
                <w:sz w:val="24"/>
                <w:szCs w:val="24"/>
              </w:rPr>
              <w:t xml:space="preserve"> 5mg and 10mg doses are administered as a single spray into one nostril.  Administration of 15 and 20mg doses requires TWO nasal spray devices, one spray into each nostril.  A second dose, when required, may be administered at least 4 hours after the initial dose.  Max: Do not use more than 2 doses to treat a single episode.  It is recommended that </w:t>
            </w:r>
            <w:proofErr w:type="spellStart"/>
            <w:r w:rsidRPr="00FA3F9C">
              <w:rPr>
                <w:rFonts w:ascii="Arial" w:hAnsi="Arial" w:cs="Arial"/>
                <w:sz w:val="24"/>
                <w:szCs w:val="24"/>
              </w:rPr>
              <w:t>Valtoco</w:t>
            </w:r>
            <w:proofErr w:type="spellEnd"/>
            <w:r w:rsidRPr="00FA3F9C">
              <w:rPr>
                <w:rFonts w:ascii="Arial" w:hAnsi="Arial" w:cs="Arial"/>
                <w:sz w:val="24"/>
                <w:szCs w:val="24"/>
              </w:rPr>
              <w:t xml:space="preserve"> be used to treat no more than one episode every five days and no more than 5 episodes per month.</w:t>
            </w:r>
          </w:p>
        </w:tc>
      </w:tr>
      <w:tr w:rsidR="001506C1" w:rsidRPr="00FA3F9C" w14:paraId="3259BD6F" w14:textId="77777777" w:rsidTr="00D82B6E">
        <w:tc>
          <w:tcPr>
            <w:tcW w:w="10998" w:type="dxa"/>
            <w:shd w:val="clear" w:color="auto" w:fill="BFBFBF" w:themeFill="background1" w:themeFillShade="BF"/>
          </w:tcPr>
          <w:p w14:paraId="60FDD3D8" w14:textId="77777777" w:rsidR="001506C1" w:rsidRPr="00FA3F9C" w:rsidRDefault="001506C1" w:rsidP="00D82B6E">
            <w:pPr>
              <w:rPr>
                <w:rFonts w:ascii="Arial" w:hAnsi="Arial" w:cs="Arial"/>
                <w:sz w:val="24"/>
                <w:szCs w:val="24"/>
              </w:rPr>
            </w:pPr>
            <w:r w:rsidRPr="00FA3F9C">
              <w:rPr>
                <w:rFonts w:ascii="Arial" w:hAnsi="Arial" w:cs="Arial"/>
                <w:sz w:val="24"/>
                <w:szCs w:val="24"/>
              </w:rPr>
              <w:t xml:space="preserve">(3/1/22 How supplied): </w:t>
            </w:r>
          </w:p>
          <w:p w14:paraId="04B4F09F" w14:textId="77777777" w:rsidR="001506C1" w:rsidRPr="00FA3F9C" w:rsidRDefault="001506C1" w:rsidP="001506C1">
            <w:pPr>
              <w:pStyle w:val="ListParagraph"/>
              <w:numPr>
                <w:ilvl w:val="0"/>
                <w:numId w:val="133"/>
              </w:numPr>
              <w:rPr>
                <w:rFonts w:ascii="Arial" w:hAnsi="Arial" w:cs="Arial"/>
                <w:sz w:val="24"/>
                <w:szCs w:val="24"/>
              </w:rPr>
            </w:pPr>
            <w:r w:rsidRPr="00FA3F9C">
              <w:rPr>
                <w:rFonts w:ascii="Arial" w:hAnsi="Arial" w:cs="Arial"/>
                <w:sz w:val="24"/>
                <w:szCs w:val="24"/>
              </w:rPr>
              <w:t>5mg carton: 2 individual blister packs, each containing one 5mg device</w:t>
            </w:r>
          </w:p>
          <w:p w14:paraId="2C7FAD80" w14:textId="77777777" w:rsidR="001506C1" w:rsidRPr="00FA3F9C" w:rsidRDefault="001506C1" w:rsidP="001506C1">
            <w:pPr>
              <w:pStyle w:val="ListParagraph"/>
              <w:numPr>
                <w:ilvl w:val="0"/>
                <w:numId w:val="133"/>
              </w:numPr>
              <w:rPr>
                <w:rFonts w:ascii="Arial" w:hAnsi="Arial" w:cs="Arial"/>
                <w:sz w:val="24"/>
                <w:szCs w:val="24"/>
              </w:rPr>
            </w:pPr>
            <w:r w:rsidRPr="00FA3F9C">
              <w:rPr>
                <w:rFonts w:ascii="Arial" w:hAnsi="Arial" w:cs="Arial"/>
                <w:sz w:val="24"/>
                <w:szCs w:val="24"/>
              </w:rPr>
              <w:t>10mg carton: 2 individual blister packs, each containing one 10mg device</w:t>
            </w:r>
          </w:p>
          <w:p w14:paraId="392FC1A5" w14:textId="77777777" w:rsidR="001506C1" w:rsidRPr="00FA3F9C" w:rsidRDefault="001506C1" w:rsidP="001506C1">
            <w:pPr>
              <w:pStyle w:val="ListParagraph"/>
              <w:numPr>
                <w:ilvl w:val="0"/>
                <w:numId w:val="133"/>
              </w:numPr>
              <w:rPr>
                <w:rFonts w:ascii="Arial" w:hAnsi="Arial" w:cs="Arial"/>
                <w:sz w:val="24"/>
                <w:szCs w:val="24"/>
              </w:rPr>
            </w:pPr>
            <w:r w:rsidRPr="00FA3F9C">
              <w:rPr>
                <w:rFonts w:ascii="Arial" w:hAnsi="Arial" w:cs="Arial"/>
                <w:sz w:val="24"/>
                <w:szCs w:val="24"/>
              </w:rPr>
              <w:t>15mg carton: 2 individual blister packs, each containing TWO 7.5mg devices</w:t>
            </w:r>
          </w:p>
          <w:p w14:paraId="7824AEFB" w14:textId="77777777" w:rsidR="001506C1" w:rsidRPr="00FA3F9C" w:rsidRDefault="001506C1" w:rsidP="001506C1">
            <w:pPr>
              <w:pStyle w:val="ListParagraph"/>
              <w:numPr>
                <w:ilvl w:val="0"/>
                <w:numId w:val="133"/>
              </w:numPr>
              <w:rPr>
                <w:rFonts w:ascii="Arial" w:hAnsi="Arial" w:cs="Arial"/>
                <w:sz w:val="24"/>
                <w:szCs w:val="24"/>
              </w:rPr>
            </w:pPr>
            <w:r w:rsidRPr="00FA3F9C">
              <w:rPr>
                <w:rFonts w:ascii="Arial" w:hAnsi="Arial" w:cs="Arial"/>
                <w:sz w:val="24"/>
                <w:szCs w:val="24"/>
              </w:rPr>
              <w:t>20mg carton: 2 individual blister packs, each containing TWO 10mg devices</w:t>
            </w:r>
          </w:p>
        </w:tc>
      </w:tr>
      <w:tr w:rsidR="001506C1" w:rsidRPr="00FA3F9C" w14:paraId="3F0035E5" w14:textId="77777777" w:rsidTr="00D82B6E">
        <w:tc>
          <w:tcPr>
            <w:tcW w:w="10998" w:type="dxa"/>
            <w:shd w:val="clear" w:color="auto" w:fill="BFBFBF" w:themeFill="background1" w:themeFillShade="BF"/>
          </w:tcPr>
          <w:p w14:paraId="37C514AE" w14:textId="77777777" w:rsidR="001506C1" w:rsidRPr="00FA3F9C" w:rsidRDefault="001506C1" w:rsidP="00D82B6E">
            <w:pPr>
              <w:rPr>
                <w:rFonts w:ascii="Arial" w:hAnsi="Arial" w:cs="Arial"/>
                <w:sz w:val="24"/>
                <w:szCs w:val="24"/>
              </w:rPr>
            </w:pPr>
            <w:r w:rsidRPr="00FA3F9C">
              <w:rPr>
                <w:rFonts w:ascii="Arial" w:hAnsi="Arial" w:cs="Arial"/>
                <w:sz w:val="24"/>
                <w:szCs w:val="24"/>
              </w:rPr>
              <w:t>Dosing:</w:t>
            </w:r>
          </w:p>
          <w:tbl>
            <w:tblPr>
              <w:tblStyle w:val="TableGrid"/>
              <w:tblW w:w="0" w:type="auto"/>
              <w:tblLook w:val="04A0" w:firstRow="1" w:lastRow="0" w:firstColumn="1" w:lastColumn="0" w:noHBand="0" w:noVBand="1"/>
            </w:tblPr>
            <w:tblGrid>
              <w:gridCol w:w="1364"/>
              <w:gridCol w:w="1800"/>
              <w:gridCol w:w="1226"/>
              <w:gridCol w:w="1924"/>
              <w:gridCol w:w="2250"/>
              <w:gridCol w:w="2040"/>
            </w:tblGrid>
            <w:tr w:rsidR="001506C1" w:rsidRPr="00FA3F9C" w14:paraId="724276CE" w14:textId="77777777" w:rsidTr="0067549A">
              <w:tc>
                <w:tcPr>
                  <w:tcW w:w="4350" w:type="dxa"/>
                  <w:gridSpan w:val="3"/>
                </w:tcPr>
                <w:p w14:paraId="1EB72A62" w14:textId="77777777" w:rsidR="001506C1" w:rsidRPr="00FA3F9C" w:rsidRDefault="001506C1" w:rsidP="00C311C7">
                  <w:pPr>
                    <w:jc w:val="center"/>
                    <w:rPr>
                      <w:rFonts w:ascii="Arial" w:hAnsi="Arial" w:cs="Arial"/>
                      <w:sz w:val="24"/>
                      <w:szCs w:val="24"/>
                    </w:rPr>
                  </w:pPr>
                  <w:r w:rsidRPr="00FA3F9C">
                    <w:rPr>
                      <w:rFonts w:ascii="Arial" w:hAnsi="Arial" w:cs="Arial"/>
                      <w:sz w:val="24"/>
                      <w:szCs w:val="24"/>
                    </w:rPr>
                    <w:t>Dose based on age and weight</w:t>
                  </w:r>
                </w:p>
              </w:tc>
              <w:tc>
                <w:tcPr>
                  <w:tcW w:w="4174" w:type="dxa"/>
                  <w:gridSpan w:val="2"/>
                </w:tcPr>
                <w:p w14:paraId="73E1BCE7" w14:textId="77777777" w:rsidR="001506C1" w:rsidRPr="00FA3F9C" w:rsidRDefault="001506C1" w:rsidP="00C311C7">
                  <w:pPr>
                    <w:jc w:val="center"/>
                    <w:rPr>
                      <w:rFonts w:ascii="Arial" w:hAnsi="Arial" w:cs="Arial"/>
                      <w:sz w:val="24"/>
                      <w:szCs w:val="24"/>
                    </w:rPr>
                  </w:pPr>
                  <w:r w:rsidRPr="00FA3F9C">
                    <w:rPr>
                      <w:rFonts w:ascii="Arial" w:hAnsi="Arial" w:cs="Arial"/>
                      <w:sz w:val="24"/>
                      <w:szCs w:val="24"/>
                    </w:rPr>
                    <w:t>Administration</w:t>
                  </w:r>
                </w:p>
              </w:tc>
              <w:tc>
                <w:tcPr>
                  <w:tcW w:w="2040" w:type="dxa"/>
                </w:tcPr>
                <w:p w14:paraId="3618D8D0" w14:textId="77777777" w:rsidR="001506C1" w:rsidRPr="00FA3F9C" w:rsidRDefault="001506C1" w:rsidP="00C311C7">
                  <w:pPr>
                    <w:jc w:val="center"/>
                    <w:rPr>
                      <w:rFonts w:ascii="Arial" w:hAnsi="Arial" w:cs="Arial"/>
                      <w:sz w:val="24"/>
                      <w:szCs w:val="24"/>
                    </w:rPr>
                  </w:pPr>
                  <w:r w:rsidRPr="00FA3F9C">
                    <w:rPr>
                      <w:rFonts w:ascii="Arial" w:hAnsi="Arial" w:cs="Arial"/>
                      <w:sz w:val="24"/>
                      <w:szCs w:val="24"/>
                    </w:rPr>
                    <w:t>Quantity limit per month</w:t>
                  </w:r>
                </w:p>
              </w:tc>
            </w:tr>
            <w:tr w:rsidR="001506C1" w:rsidRPr="00FA3F9C" w14:paraId="3AA12BCE" w14:textId="77777777" w:rsidTr="0067549A">
              <w:tc>
                <w:tcPr>
                  <w:tcW w:w="1324" w:type="dxa"/>
                </w:tcPr>
                <w:p w14:paraId="7AD4B578" w14:textId="77777777" w:rsidR="001506C1" w:rsidRPr="00FA3F9C" w:rsidRDefault="001506C1" w:rsidP="00C311C7">
                  <w:pPr>
                    <w:jc w:val="center"/>
                    <w:rPr>
                      <w:rFonts w:ascii="Arial" w:hAnsi="Arial" w:cs="Arial"/>
                      <w:sz w:val="24"/>
                      <w:szCs w:val="24"/>
                    </w:rPr>
                  </w:pPr>
                  <w:r w:rsidRPr="00FA3F9C">
                    <w:rPr>
                      <w:rFonts w:ascii="Arial" w:hAnsi="Arial" w:cs="Arial"/>
                      <w:sz w:val="24"/>
                      <w:szCs w:val="24"/>
                    </w:rPr>
                    <w:t>6-11 y (0.3mg/kg)</w:t>
                  </w:r>
                </w:p>
              </w:tc>
              <w:tc>
                <w:tcPr>
                  <w:tcW w:w="1800" w:type="dxa"/>
                </w:tcPr>
                <w:p w14:paraId="4D42A784" w14:textId="77777777" w:rsidR="001506C1" w:rsidRPr="00FA3F9C" w:rsidRDefault="001506C1" w:rsidP="00C311C7">
                  <w:pPr>
                    <w:jc w:val="center"/>
                    <w:rPr>
                      <w:rFonts w:ascii="Arial" w:hAnsi="Arial" w:cs="Arial"/>
                      <w:sz w:val="24"/>
                      <w:szCs w:val="24"/>
                    </w:rPr>
                  </w:pPr>
                  <w:r w:rsidRPr="00FA3F9C">
                    <w:rPr>
                      <w:rFonts w:ascii="Arial" w:hAnsi="Arial" w:cs="Arial"/>
                      <w:sz w:val="24"/>
                      <w:szCs w:val="24"/>
                    </w:rPr>
                    <w:t>12 y+ (0.2mg/kg)</w:t>
                  </w:r>
                </w:p>
              </w:tc>
              <w:tc>
                <w:tcPr>
                  <w:tcW w:w="1226" w:type="dxa"/>
                </w:tcPr>
                <w:p w14:paraId="11215496" w14:textId="77777777" w:rsidR="001506C1" w:rsidRPr="00FA3F9C" w:rsidRDefault="001506C1" w:rsidP="00C311C7">
                  <w:pPr>
                    <w:jc w:val="center"/>
                    <w:rPr>
                      <w:rFonts w:ascii="Arial" w:hAnsi="Arial" w:cs="Arial"/>
                      <w:sz w:val="24"/>
                      <w:szCs w:val="24"/>
                    </w:rPr>
                  </w:pPr>
                  <w:r w:rsidRPr="00FA3F9C">
                    <w:rPr>
                      <w:rFonts w:ascii="Arial" w:hAnsi="Arial" w:cs="Arial"/>
                      <w:sz w:val="24"/>
                      <w:szCs w:val="24"/>
                    </w:rPr>
                    <w:t>Dose (mg)</w:t>
                  </w:r>
                </w:p>
              </w:tc>
              <w:tc>
                <w:tcPr>
                  <w:tcW w:w="1924" w:type="dxa"/>
                </w:tcPr>
                <w:p w14:paraId="46B6CBF8" w14:textId="77777777" w:rsidR="001506C1" w:rsidRPr="00FA3F9C" w:rsidRDefault="001506C1" w:rsidP="00C311C7">
                  <w:pPr>
                    <w:jc w:val="center"/>
                    <w:rPr>
                      <w:rFonts w:ascii="Arial" w:hAnsi="Arial" w:cs="Arial"/>
                      <w:sz w:val="24"/>
                      <w:szCs w:val="24"/>
                    </w:rPr>
                  </w:pPr>
                  <w:r w:rsidRPr="00FA3F9C">
                    <w:rPr>
                      <w:rFonts w:ascii="Arial" w:hAnsi="Arial" w:cs="Arial"/>
                      <w:sz w:val="24"/>
                      <w:szCs w:val="24"/>
                    </w:rPr>
                    <w:t>Number of nasal spray devices</w:t>
                  </w:r>
                </w:p>
              </w:tc>
              <w:tc>
                <w:tcPr>
                  <w:tcW w:w="2250" w:type="dxa"/>
                </w:tcPr>
                <w:p w14:paraId="6DBBBBE3" w14:textId="77777777" w:rsidR="001506C1" w:rsidRPr="00FA3F9C" w:rsidRDefault="001506C1" w:rsidP="00C311C7">
                  <w:pPr>
                    <w:jc w:val="center"/>
                    <w:rPr>
                      <w:rFonts w:ascii="Arial" w:hAnsi="Arial" w:cs="Arial"/>
                      <w:sz w:val="24"/>
                      <w:szCs w:val="24"/>
                    </w:rPr>
                  </w:pPr>
                  <w:r w:rsidRPr="00FA3F9C">
                    <w:rPr>
                      <w:rFonts w:ascii="Arial" w:hAnsi="Arial" w:cs="Arial"/>
                      <w:sz w:val="24"/>
                      <w:szCs w:val="24"/>
                    </w:rPr>
                    <w:t>Number of sprays</w:t>
                  </w:r>
                </w:p>
              </w:tc>
              <w:tc>
                <w:tcPr>
                  <w:tcW w:w="2040" w:type="dxa"/>
                </w:tcPr>
                <w:p w14:paraId="5623E8A7" w14:textId="77777777" w:rsidR="001506C1" w:rsidRPr="00FA3F9C" w:rsidRDefault="001506C1" w:rsidP="00C311C7">
                  <w:pPr>
                    <w:jc w:val="center"/>
                    <w:rPr>
                      <w:rFonts w:ascii="Arial" w:hAnsi="Arial" w:cs="Arial"/>
                      <w:sz w:val="24"/>
                      <w:szCs w:val="24"/>
                    </w:rPr>
                  </w:pPr>
                </w:p>
              </w:tc>
            </w:tr>
            <w:tr w:rsidR="001506C1" w:rsidRPr="00FA3F9C" w14:paraId="4CA3A086" w14:textId="77777777" w:rsidTr="0067549A">
              <w:tc>
                <w:tcPr>
                  <w:tcW w:w="1324" w:type="dxa"/>
                </w:tcPr>
                <w:p w14:paraId="541A4F35" w14:textId="77777777" w:rsidR="001506C1" w:rsidRPr="00FA3F9C" w:rsidRDefault="001506C1" w:rsidP="00C311C7">
                  <w:pPr>
                    <w:jc w:val="center"/>
                    <w:rPr>
                      <w:rFonts w:ascii="Arial" w:hAnsi="Arial" w:cs="Arial"/>
                      <w:sz w:val="24"/>
                      <w:szCs w:val="24"/>
                    </w:rPr>
                  </w:pPr>
                  <w:r w:rsidRPr="00FA3F9C">
                    <w:rPr>
                      <w:rFonts w:ascii="Arial" w:hAnsi="Arial" w:cs="Arial"/>
                      <w:sz w:val="24"/>
                      <w:szCs w:val="24"/>
                    </w:rPr>
                    <w:t>Weight (kg)</w:t>
                  </w:r>
                </w:p>
              </w:tc>
              <w:tc>
                <w:tcPr>
                  <w:tcW w:w="1800" w:type="dxa"/>
                </w:tcPr>
                <w:p w14:paraId="105D8823" w14:textId="77777777" w:rsidR="001506C1" w:rsidRPr="00FA3F9C" w:rsidRDefault="001506C1" w:rsidP="00C311C7">
                  <w:pPr>
                    <w:jc w:val="center"/>
                    <w:rPr>
                      <w:rFonts w:ascii="Arial" w:hAnsi="Arial" w:cs="Arial"/>
                      <w:sz w:val="24"/>
                      <w:szCs w:val="24"/>
                    </w:rPr>
                  </w:pPr>
                  <w:r w:rsidRPr="00FA3F9C">
                    <w:rPr>
                      <w:rFonts w:ascii="Arial" w:hAnsi="Arial" w:cs="Arial"/>
                      <w:sz w:val="24"/>
                      <w:szCs w:val="24"/>
                    </w:rPr>
                    <w:t>Weight (kg)</w:t>
                  </w:r>
                </w:p>
              </w:tc>
              <w:tc>
                <w:tcPr>
                  <w:tcW w:w="1226" w:type="dxa"/>
                </w:tcPr>
                <w:p w14:paraId="6F3C5F0F" w14:textId="77777777" w:rsidR="001506C1" w:rsidRPr="00FA3F9C" w:rsidRDefault="001506C1" w:rsidP="00C311C7">
                  <w:pPr>
                    <w:jc w:val="center"/>
                    <w:rPr>
                      <w:rFonts w:ascii="Arial" w:hAnsi="Arial" w:cs="Arial"/>
                      <w:sz w:val="24"/>
                      <w:szCs w:val="24"/>
                    </w:rPr>
                  </w:pPr>
                </w:p>
              </w:tc>
              <w:tc>
                <w:tcPr>
                  <w:tcW w:w="1924" w:type="dxa"/>
                </w:tcPr>
                <w:p w14:paraId="7A17B310" w14:textId="77777777" w:rsidR="001506C1" w:rsidRPr="00FA3F9C" w:rsidRDefault="001506C1" w:rsidP="00C311C7">
                  <w:pPr>
                    <w:jc w:val="center"/>
                    <w:rPr>
                      <w:rFonts w:ascii="Arial" w:hAnsi="Arial" w:cs="Arial"/>
                      <w:sz w:val="24"/>
                      <w:szCs w:val="24"/>
                    </w:rPr>
                  </w:pPr>
                </w:p>
              </w:tc>
              <w:tc>
                <w:tcPr>
                  <w:tcW w:w="2250" w:type="dxa"/>
                </w:tcPr>
                <w:p w14:paraId="7A3D6D50" w14:textId="77777777" w:rsidR="001506C1" w:rsidRPr="00FA3F9C" w:rsidRDefault="001506C1" w:rsidP="00C311C7">
                  <w:pPr>
                    <w:jc w:val="center"/>
                    <w:rPr>
                      <w:rFonts w:ascii="Arial" w:hAnsi="Arial" w:cs="Arial"/>
                      <w:sz w:val="24"/>
                      <w:szCs w:val="24"/>
                    </w:rPr>
                  </w:pPr>
                </w:p>
              </w:tc>
              <w:tc>
                <w:tcPr>
                  <w:tcW w:w="2040" w:type="dxa"/>
                </w:tcPr>
                <w:p w14:paraId="219783AF" w14:textId="77777777" w:rsidR="001506C1" w:rsidRPr="00FA3F9C" w:rsidRDefault="001506C1" w:rsidP="00C311C7">
                  <w:pPr>
                    <w:jc w:val="center"/>
                    <w:rPr>
                      <w:rFonts w:ascii="Arial" w:hAnsi="Arial" w:cs="Arial"/>
                      <w:sz w:val="24"/>
                      <w:szCs w:val="24"/>
                    </w:rPr>
                  </w:pPr>
                </w:p>
              </w:tc>
            </w:tr>
            <w:tr w:rsidR="001506C1" w:rsidRPr="00FA3F9C" w14:paraId="0E251E4C" w14:textId="77777777" w:rsidTr="0067549A">
              <w:tc>
                <w:tcPr>
                  <w:tcW w:w="1324" w:type="dxa"/>
                </w:tcPr>
                <w:p w14:paraId="3C520740" w14:textId="77777777" w:rsidR="001506C1" w:rsidRPr="00FA3F9C" w:rsidRDefault="001506C1" w:rsidP="00C311C7">
                  <w:pPr>
                    <w:jc w:val="center"/>
                    <w:rPr>
                      <w:rFonts w:ascii="Arial" w:hAnsi="Arial" w:cs="Arial"/>
                      <w:sz w:val="24"/>
                      <w:szCs w:val="24"/>
                    </w:rPr>
                  </w:pPr>
                  <w:r w:rsidRPr="00FA3F9C">
                    <w:rPr>
                      <w:rFonts w:ascii="Arial" w:hAnsi="Arial" w:cs="Arial"/>
                      <w:sz w:val="24"/>
                      <w:szCs w:val="24"/>
                    </w:rPr>
                    <w:t>10-18</w:t>
                  </w:r>
                </w:p>
              </w:tc>
              <w:tc>
                <w:tcPr>
                  <w:tcW w:w="1800" w:type="dxa"/>
                </w:tcPr>
                <w:p w14:paraId="31ED0289" w14:textId="77777777" w:rsidR="001506C1" w:rsidRPr="00FA3F9C" w:rsidRDefault="001506C1" w:rsidP="00C311C7">
                  <w:pPr>
                    <w:jc w:val="center"/>
                    <w:rPr>
                      <w:rFonts w:ascii="Arial" w:hAnsi="Arial" w:cs="Arial"/>
                      <w:sz w:val="24"/>
                      <w:szCs w:val="24"/>
                    </w:rPr>
                  </w:pPr>
                  <w:r w:rsidRPr="00FA3F9C">
                    <w:rPr>
                      <w:rFonts w:ascii="Arial" w:hAnsi="Arial" w:cs="Arial"/>
                      <w:sz w:val="24"/>
                      <w:szCs w:val="24"/>
                    </w:rPr>
                    <w:t>14-27</w:t>
                  </w:r>
                </w:p>
              </w:tc>
              <w:tc>
                <w:tcPr>
                  <w:tcW w:w="1226" w:type="dxa"/>
                </w:tcPr>
                <w:p w14:paraId="6C8704E7" w14:textId="77777777" w:rsidR="001506C1" w:rsidRPr="00FA3F9C" w:rsidRDefault="001506C1" w:rsidP="00C311C7">
                  <w:pPr>
                    <w:jc w:val="center"/>
                    <w:rPr>
                      <w:rFonts w:ascii="Arial" w:hAnsi="Arial" w:cs="Arial"/>
                      <w:sz w:val="24"/>
                      <w:szCs w:val="24"/>
                    </w:rPr>
                  </w:pPr>
                  <w:r w:rsidRPr="00FA3F9C">
                    <w:rPr>
                      <w:rFonts w:ascii="Arial" w:hAnsi="Arial" w:cs="Arial"/>
                      <w:sz w:val="24"/>
                      <w:szCs w:val="24"/>
                    </w:rPr>
                    <w:t>5</w:t>
                  </w:r>
                </w:p>
              </w:tc>
              <w:tc>
                <w:tcPr>
                  <w:tcW w:w="1924" w:type="dxa"/>
                </w:tcPr>
                <w:p w14:paraId="12D40888" w14:textId="77777777" w:rsidR="001506C1" w:rsidRPr="00FA3F9C" w:rsidRDefault="001506C1" w:rsidP="00C311C7">
                  <w:pPr>
                    <w:jc w:val="center"/>
                    <w:rPr>
                      <w:rFonts w:ascii="Arial" w:hAnsi="Arial" w:cs="Arial"/>
                      <w:sz w:val="24"/>
                      <w:szCs w:val="24"/>
                    </w:rPr>
                  </w:pPr>
                  <w:r w:rsidRPr="00FA3F9C">
                    <w:rPr>
                      <w:rFonts w:ascii="Arial" w:hAnsi="Arial" w:cs="Arial"/>
                      <w:sz w:val="24"/>
                      <w:szCs w:val="24"/>
                    </w:rPr>
                    <w:t>One 5mg device</w:t>
                  </w:r>
                </w:p>
              </w:tc>
              <w:tc>
                <w:tcPr>
                  <w:tcW w:w="2250" w:type="dxa"/>
                </w:tcPr>
                <w:p w14:paraId="6B58118F" w14:textId="77777777" w:rsidR="001506C1" w:rsidRPr="00FA3F9C" w:rsidRDefault="001506C1" w:rsidP="00C311C7">
                  <w:pPr>
                    <w:jc w:val="center"/>
                    <w:rPr>
                      <w:rFonts w:ascii="Arial" w:hAnsi="Arial" w:cs="Arial"/>
                      <w:sz w:val="24"/>
                      <w:szCs w:val="24"/>
                    </w:rPr>
                  </w:pPr>
                  <w:r w:rsidRPr="00FA3F9C">
                    <w:rPr>
                      <w:rFonts w:ascii="Arial" w:hAnsi="Arial" w:cs="Arial"/>
                      <w:sz w:val="24"/>
                      <w:szCs w:val="24"/>
                    </w:rPr>
                    <w:t>1 spray in 1 nostril</w:t>
                  </w:r>
                </w:p>
              </w:tc>
              <w:tc>
                <w:tcPr>
                  <w:tcW w:w="2040" w:type="dxa"/>
                  <w:vMerge w:val="restart"/>
                  <w:vAlign w:val="center"/>
                </w:tcPr>
                <w:p w14:paraId="2CA69815" w14:textId="77777777" w:rsidR="001506C1" w:rsidRPr="00FA3F9C" w:rsidRDefault="001506C1" w:rsidP="0067549A">
                  <w:pPr>
                    <w:jc w:val="center"/>
                    <w:rPr>
                      <w:rFonts w:ascii="Arial" w:hAnsi="Arial" w:cs="Arial"/>
                      <w:sz w:val="24"/>
                      <w:szCs w:val="24"/>
                    </w:rPr>
                  </w:pPr>
                  <w:r w:rsidRPr="00FA3F9C">
                    <w:rPr>
                      <w:rFonts w:ascii="Arial" w:hAnsi="Arial" w:cs="Arial"/>
                      <w:sz w:val="24"/>
                      <w:szCs w:val="24"/>
                    </w:rPr>
                    <w:t>5 cartons (10 devices)</w:t>
                  </w:r>
                </w:p>
              </w:tc>
            </w:tr>
            <w:tr w:rsidR="001506C1" w:rsidRPr="00FA3F9C" w14:paraId="6E88CC29" w14:textId="77777777" w:rsidTr="0067549A">
              <w:tc>
                <w:tcPr>
                  <w:tcW w:w="1324" w:type="dxa"/>
                </w:tcPr>
                <w:p w14:paraId="4107F3B8" w14:textId="77777777" w:rsidR="001506C1" w:rsidRPr="00FA3F9C" w:rsidRDefault="001506C1" w:rsidP="00C311C7">
                  <w:pPr>
                    <w:jc w:val="center"/>
                    <w:rPr>
                      <w:rFonts w:ascii="Arial" w:hAnsi="Arial" w:cs="Arial"/>
                      <w:sz w:val="24"/>
                      <w:szCs w:val="24"/>
                    </w:rPr>
                  </w:pPr>
                  <w:r w:rsidRPr="00FA3F9C">
                    <w:rPr>
                      <w:rFonts w:ascii="Arial" w:hAnsi="Arial" w:cs="Arial"/>
                      <w:sz w:val="24"/>
                      <w:szCs w:val="24"/>
                    </w:rPr>
                    <w:t>19-37</w:t>
                  </w:r>
                </w:p>
              </w:tc>
              <w:tc>
                <w:tcPr>
                  <w:tcW w:w="1800" w:type="dxa"/>
                </w:tcPr>
                <w:p w14:paraId="691DB6D4" w14:textId="77777777" w:rsidR="001506C1" w:rsidRPr="00FA3F9C" w:rsidRDefault="001506C1" w:rsidP="00C311C7">
                  <w:pPr>
                    <w:jc w:val="center"/>
                    <w:rPr>
                      <w:rFonts w:ascii="Arial" w:hAnsi="Arial" w:cs="Arial"/>
                      <w:sz w:val="24"/>
                      <w:szCs w:val="24"/>
                    </w:rPr>
                  </w:pPr>
                  <w:r w:rsidRPr="00FA3F9C">
                    <w:rPr>
                      <w:rFonts w:ascii="Arial" w:hAnsi="Arial" w:cs="Arial"/>
                      <w:sz w:val="24"/>
                      <w:szCs w:val="24"/>
                    </w:rPr>
                    <w:t>28-50</w:t>
                  </w:r>
                </w:p>
              </w:tc>
              <w:tc>
                <w:tcPr>
                  <w:tcW w:w="1226" w:type="dxa"/>
                </w:tcPr>
                <w:p w14:paraId="33FBCCD1" w14:textId="77777777" w:rsidR="001506C1" w:rsidRPr="00FA3F9C" w:rsidRDefault="001506C1" w:rsidP="00C311C7">
                  <w:pPr>
                    <w:jc w:val="center"/>
                    <w:rPr>
                      <w:rFonts w:ascii="Arial" w:hAnsi="Arial" w:cs="Arial"/>
                      <w:sz w:val="24"/>
                      <w:szCs w:val="24"/>
                    </w:rPr>
                  </w:pPr>
                  <w:r w:rsidRPr="00FA3F9C">
                    <w:rPr>
                      <w:rFonts w:ascii="Arial" w:hAnsi="Arial" w:cs="Arial"/>
                      <w:sz w:val="24"/>
                      <w:szCs w:val="24"/>
                    </w:rPr>
                    <w:t>10</w:t>
                  </w:r>
                </w:p>
              </w:tc>
              <w:tc>
                <w:tcPr>
                  <w:tcW w:w="1924" w:type="dxa"/>
                </w:tcPr>
                <w:p w14:paraId="5DED33AF" w14:textId="77777777" w:rsidR="001506C1" w:rsidRPr="00FA3F9C" w:rsidRDefault="001506C1" w:rsidP="00C311C7">
                  <w:pPr>
                    <w:jc w:val="center"/>
                    <w:rPr>
                      <w:rFonts w:ascii="Arial" w:hAnsi="Arial" w:cs="Arial"/>
                      <w:sz w:val="24"/>
                      <w:szCs w:val="24"/>
                    </w:rPr>
                  </w:pPr>
                  <w:r w:rsidRPr="00FA3F9C">
                    <w:rPr>
                      <w:rFonts w:ascii="Arial" w:hAnsi="Arial" w:cs="Arial"/>
                      <w:sz w:val="24"/>
                      <w:szCs w:val="24"/>
                    </w:rPr>
                    <w:t>One 10mg device</w:t>
                  </w:r>
                </w:p>
              </w:tc>
              <w:tc>
                <w:tcPr>
                  <w:tcW w:w="2250" w:type="dxa"/>
                </w:tcPr>
                <w:p w14:paraId="6FE49E88" w14:textId="77777777" w:rsidR="001506C1" w:rsidRPr="00FA3F9C" w:rsidRDefault="001506C1" w:rsidP="00C311C7">
                  <w:pPr>
                    <w:jc w:val="center"/>
                    <w:rPr>
                      <w:rFonts w:ascii="Arial" w:hAnsi="Arial" w:cs="Arial"/>
                      <w:sz w:val="24"/>
                      <w:szCs w:val="24"/>
                    </w:rPr>
                  </w:pPr>
                  <w:r w:rsidRPr="00FA3F9C">
                    <w:rPr>
                      <w:rFonts w:ascii="Arial" w:hAnsi="Arial" w:cs="Arial"/>
                      <w:sz w:val="24"/>
                      <w:szCs w:val="24"/>
                    </w:rPr>
                    <w:t>1 spray in 1 nostril</w:t>
                  </w:r>
                </w:p>
              </w:tc>
              <w:tc>
                <w:tcPr>
                  <w:tcW w:w="2040" w:type="dxa"/>
                  <w:vMerge/>
                </w:tcPr>
                <w:p w14:paraId="30A2BF11" w14:textId="77777777" w:rsidR="001506C1" w:rsidRPr="00FA3F9C" w:rsidRDefault="001506C1" w:rsidP="00C311C7">
                  <w:pPr>
                    <w:jc w:val="center"/>
                    <w:rPr>
                      <w:rFonts w:ascii="Arial" w:hAnsi="Arial" w:cs="Arial"/>
                      <w:sz w:val="24"/>
                      <w:szCs w:val="24"/>
                    </w:rPr>
                  </w:pPr>
                </w:p>
              </w:tc>
            </w:tr>
            <w:tr w:rsidR="001506C1" w:rsidRPr="00FA3F9C" w14:paraId="17C34582" w14:textId="77777777" w:rsidTr="0067549A">
              <w:tc>
                <w:tcPr>
                  <w:tcW w:w="1324" w:type="dxa"/>
                </w:tcPr>
                <w:p w14:paraId="110D2AB2" w14:textId="77777777" w:rsidR="001506C1" w:rsidRPr="00FA3F9C" w:rsidRDefault="001506C1" w:rsidP="00C311C7">
                  <w:pPr>
                    <w:jc w:val="center"/>
                    <w:rPr>
                      <w:rFonts w:ascii="Arial" w:hAnsi="Arial" w:cs="Arial"/>
                      <w:sz w:val="24"/>
                      <w:szCs w:val="24"/>
                    </w:rPr>
                  </w:pPr>
                  <w:r w:rsidRPr="00FA3F9C">
                    <w:rPr>
                      <w:rFonts w:ascii="Arial" w:hAnsi="Arial" w:cs="Arial"/>
                      <w:sz w:val="24"/>
                      <w:szCs w:val="24"/>
                    </w:rPr>
                    <w:t>38-55</w:t>
                  </w:r>
                </w:p>
              </w:tc>
              <w:tc>
                <w:tcPr>
                  <w:tcW w:w="1800" w:type="dxa"/>
                </w:tcPr>
                <w:p w14:paraId="412BB46C" w14:textId="77777777" w:rsidR="001506C1" w:rsidRPr="00FA3F9C" w:rsidRDefault="001506C1" w:rsidP="00C311C7">
                  <w:pPr>
                    <w:jc w:val="center"/>
                    <w:rPr>
                      <w:rFonts w:ascii="Arial" w:hAnsi="Arial" w:cs="Arial"/>
                      <w:sz w:val="24"/>
                      <w:szCs w:val="24"/>
                    </w:rPr>
                  </w:pPr>
                  <w:r w:rsidRPr="00FA3F9C">
                    <w:rPr>
                      <w:rFonts w:ascii="Arial" w:hAnsi="Arial" w:cs="Arial"/>
                      <w:sz w:val="24"/>
                      <w:szCs w:val="24"/>
                    </w:rPr>
                    <w:t>51-75</w:t>
                  </w:r>
                </w:p>
              </w:tc>
              <w:tc>
                <w:tcPr>
                  <w:tcW w:w="1226" w:type="dxa"/>
                </w:tcPr>
                <w:p w14:paraId="44B57132" w14:textId="77777777" w:rsidR="001506C1" w:rsidRPr="00FA3F9C" w:rsidRDefault="001506C1" w:rsidP="00C311C7">
                  <w:pPr>
                    <w:jc w:val="center"/>
                    <w:rPr>
                      <w:rFonts w:ascii="Arial" w:hAnsi="Arial" w:cs="Arial"/>
                      <w:sz w:val="24"/>
                      <w:szCs w:val="24"/>
                    </w:rPr>
                  </w:pPr>
                  <w:r w:rsidRPr="00FA3F9C">
                    <w:rPr>
                      <w:rFonts w:ascii="Arial" w:hAnsi="Arial" w:cs="Arial"/>
                      <w:sz w:val="24"/>
                      <w:szCs w:val="24"/>
                    </w:rPr>
                    <w:t>15</w:t>
                  </w:r>
                </w:p>
              </w:tc>
              <w:tc>
                <w:tcPr>
                  <w:tcW w:w="1924" w:type="dxa"/>
                </w:tcPr>
                <w:p w14:paraId="7FC45C75" w14:textId="77777777" w:rsidR="001506C1" w:rsidRPr="00FA3F9C" w:rsidRDefault="001506C1" w:rsidP="00C311C7">
                  <w:pPr>
                    <w:jc w:val="center"/>
                    <w:rPr>
                      <w:rFonts w:ascii="Arial" w:hAnsi="Arial" w:cs="Arial"/>
                      <w:sz w:val="24"/>
                      <w:szCs w:val="24"/>
                    </w:rPr>
                  </w:pPr>
                  <w:r w:rsidRPr="00FA3F9C">
                    <w:rPr>
                      <w:rFonts w:ascii="Arial" w:hAnsi="Arial" w:cs="Arial"/>
                      <w:sz w:val="24"/>
                      <w:szCs w:val="24"/>
                    </w:rPr>
                    <w:t>Two 7.5mg devices</w:t>
                  </w:r>
                </w:p>
              </w:tc>
              <w:tc>
                <w:tcPr>
                  <w:tcW w:w="2250" w:type="dxa"/>
                </w:tcPr>
                <w:p w14:paraId="2B1BF7C8" w14:textId="77777777" w:rsidR="001506C1" w:rsidRPr="00FA3F9C" w:rsidRDefault="001506C1" w:rsidP="00C311C7">
                  <w:pPr>
                    <w:jc w:val="center"/>
                    <w:rPr>
                      <w:rFonts w:ascii="Arial" w:hAnsi="Arial" w:cs="Arial"/>
                      <w:sz w:val="24"/>
                      <w:szCs w:val="24"/>
                    </w:rPr>
                  </w:pPr>
                  <w:r w:rsidRPr="00FA3F9C">
                    <w:rPr>
                      <w:rFonts w:ascii="Arial" w:hAnsi="Arial" w:cs="Arial"/>
                      <w:sz w:val="24"/>
                      <w:szCs w:val="24"/>
                    </w:rPr>
                    <w:t>1 spray in EACH nostril</w:t>
                  </w:r>
                </w:p>
              </w:tc>
              <w:tc>
                <w:tcPr>
                  <w:tcW w:w="2040" w:type="dxa"/>
                  <w:vMerge/>
                </w:tcPr>
                <w:p w14:paraId="6AFD701F" w14:textId="77777777" w:rsidR="001506C1" w:rsidRPr="00FA3F9C" w:rsidRDefault="001506C1" w:rsidP="00C311C7">
                  <w:pPr>
                    <w:jc w:val="center"/>
                    <w:rPr>
                      <w:rFonts w:ascii="Arial" w:hAnsi="Arial" w:cs="Arial"/>
                      <w:sz w:val="24"/>
                      <w:szCs w:val="24"/>
                    </w:rPr>
                  </w:pPr>
                </w:p>
              </w:tc>
            </w:tr>
            <w:tr w:rsidR="001506C1" w:rsidRPr="00FA3F9C" w14:paraId="60F48901" w14:textId="77777777" w:rsidTr="0067549A">
              <w:tc>
                <w:tcPr>
                  <w:tcW w:w="1324" w:type="dxa"/>
                </w:tcPr>
                <w:p w14:paraId="394E4399" w14:textId="77777777" w:rsidR="001506C1" w:rsidRPr="00FA3F9C" w:rsidRDefault="001506C1" w:rsidP="00C311C7">
                  <w:pPr>
                    <w:jc w:val="center"/>
                    <w:rPr>
                      <w:rFonts w:ascii="Arial" w:hAnsi="Arial" w:cs="Arial"/>
                      <w:sz w:val="24"/>
                      <w:szCs w:val="24"/>
                    </w:rPr>
                  </w:pPr>
                  <w:r w:rsidRPr="00FA3F9C">
                    <w:rPr>
                      <w:rFonts w:ascii="Arial" w:hAnsi="Arial" w:cs="Arial"/>
                      <w:sz w:val="24"/>
                      <w:szCs w:val="24"/>
                    </w:rPr>
                    <w:lastRenderedPageBreak/>
                    <w:t>56-74</w:t>
                  </w:r>
                </w:p>
              </w:tc>
              <w:tc>
                <w:tcPr>
                  <w:tcW w:w="1800" w:type="dxa"/>
                </w:tcPr>
                <w:p w14:paraId="0A842757" w14:textId="77777777" w:rsidR="001506C1" w:rsidRPr="00FA3F9C" w:rsidRDefault="001506C1" w:rsidP="00C311C7">
                  <w:pPr>
                    <w:jc w:val="center"/>
                    <w:rPr>
                      <w:rFonts w:ascii="Arial" w:hAnsi="Arial" w:cs="Arial"/>
                      <w:sz w:val="24"/>
                      <w:szCs w:val="24"/>
                    </w:rPr>
                  </w:pPr>
                  <w:r w:rsidRPr="00FA3F9C">
                    <w:rPr>
                      <w:rFonts w:ascii="Arial" w:hAnsi="Arial" w:cs="Arial"/>
                      <w:sz w:val="24"/>
                      <w:szCs w:val="24"/>
                    </w:rPr>
                    <w:t>76 and up</w:t>
                  </w:r>
                </w:p>
              </w:tc>
              <w:tc>
                <w:tcPr>
                  <w:tcW w:w="1226" w:type="dxa"/>
                </w:tcPr>
                <w:p w14:paraId="0AE5F785" w14:textId="77777777" w:rsidR="001506C1" w:rsidRPr="00FA3F9C" w:rsidRDefault="001506C1" w:rsidP="00C311C7">
                  <w:pPr>
                    <w:jc w:val="center"/>
                    <w:rPr>
                      <w:rFonts w:ascii="Arial" w:hAnsi="Arial" w:cs="Arial"/>
                      <w:sz w:val="24"/>
                      <w:szCs w:val="24"/>
                    </w:rPr>
                  </w:pPr>
                  <w:r w:rsidRPr="00FA3F9C">
                    <w:rPr>
                      <w:rFonts w:ascii="Arial" w:hAnsi="Arial" w:cs="Arial"/>
                      <w:sz w:val="24"/>
                      <w:szCs w:val="24"/>
                    </w:rPr>
                    <w:t>20</w:t>
                  </w:r>
                </w:p>
              </w:tc>
              <w:tc>
                <w:tcPr>
                  <w:tcW w:w="1924" w:type="dxa"/>
                </w:tcPr>
                <w:p w14:paraId="335564A9" w14:textId="77777777" w:rsidR="001506C1" w:rsidRPr="00FA3F9C" w:rsidRDefault="001506C1" w:rsidP="00C311C7">
                  <w:pPr>
                    <w:jc w:val="center"/>
                    <w:rPr>
                      <w:rFonts w:ascii="Arial" w:hAnsi="Arial" w:cs="Arial"/>
                      <w:sz w:val="24"/>
                      <w:szCs w:val="24"/>
                    </w:rPr>
                  </w:pPr>
                  <w:r w:rsidRPr="00FA3F9C">
                    <w:rPr>
                      <w:rFonts w:ascii="Arial" w:hAnsi="Arial" w:cs="Arial"/>
                      <w:sz w:val="24"/>
                      <w:szCs w:val="24"/>
                    </w:rPr>
                    <w:t>Two 10mg devices</w:t>
                  </w:r>
                </w:p>
              </w:tc>
              <w:tc>
                <w:tcPr>
                  <w:tcW w:w="2250" w:type="dxa"/>
                </w:tcPr>
                <w:p w14:paraId="6E037BD6" w14:textId="77777777" w:rsidR="001506C1" w:rsidRPr="00FA3F9C" w:rsidRDefault="001506C1" w:rsidP="00C311C7">
                  <w:pPr>
                    <w:jc w:val="center"/>
                    <w:rPr>
                      <w:rFonts w:ascii="Arial" w:hAnsi="Arial" w:cs="Arial"/>
                      <w:sz w:val="24"/>
                      <w:szCs w:val="24"/>
                    </w:rPr>
                  </w:pPr>
                  <w:r w:rsidRPr="00FA3F9C">
                    <w:rPr>
                      <w:rFonts w:ascii="Arial" w:hAnsi="Arial" w:cs="Arial"/>
                      <w:sz w:val="24"/>
                      <w:szCs w:val="24"/>
                    </w:rPr>
                    <w:t xml:space="preserve">1 </w:t>
                  </w:r>
                  <w:proofErr w:type="spellStart"/>
                  <w:r w:rsidRPr="00FA3F9C">
                    <w:rPr>
                      <w:rFonts w:ascii="Arial" w:hAnsi="Arial" w:cs="Arial"/>
                      <w:sz w:val="24"/>
                      <w:szCs w:val="24"/>
                    </w:rPr>
                    <w:t>spary</w:t>
                  </w:r>
                  <w:proofErr w:type="spellEnd"/>
                  <w:r w:rsidRPr="00FA3F9C">
                    <w:rPr>
                      <w:rFonts w:ascii="Arial" w:hAnsi="Arial" w:cs="Arial"/>
                      <w:sz w:val="24"/>
                      <w:szCs w:val="24"/>
                    </w:rPr>
                    <w:t xml:space="preserve"> in EACH nostril</w:t>
                  </w:r>
                </w:p>
              </w:tc>
              <w:tc>
                <w:tcPr>
                  <w:tcW w:w="2040" w:type="dxa"/>
                  <w:vMerge/>
                </w:tcPr>
                <w:p w14:paraId="16B2B5C8" w14:textId="77777777" w:rsidR="001506C1" w:rsidRPr="00FA3F9C" w:rsidRDefault="001506C1" w:rsidP="00C311C7">
                  <w:pPr>
                    <w:jc w:val="center"/>
                    <w:rPr>
                      <w:rFonts w:ascii="Arial" w:hAnsi="Arial" w:cs="Arial"/>
                      <w:sz w:val="24"/>
                      <w:szCs w:val="24"/>
                    </w:rPr>
                  </w:pPr>
                </w:p>
              </w:tc>
            </w:tr>
          </w:tbl>
          <w:p w14:paraId="2038D2EB" w14:textId="77777777" w:rsidR="001506C1" w:rsidRPr="00FA3F9C" w:rsidRDefault="001506C1" w:rsidP="00D82B6E">
            <w:pPr>
              <w:rPr>
                <w:rFonts w:ascii="Arial" w:hAnsi="Arial" w:cs="Arial"/>
                <w:sz w:val="24"/>
                <w:szCs w:val="24"/>
              </w:rPr>
            </w:pPr>
          </w:p>
        </w:tc>
      </w:tr>
    </w:tbl>
    <w:p w14:paraId="062078B2"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lastRenderedPageBreak/>
        <w:t>References:</w:t>
      </w:r>
    </w:p>
    <w:p w14:paraId="26C30AB9" w14:textId="076565F1" w:rsidR="001506C1" w:rsidRPr="00FA3F9C" w:rsidRDefault="001506C1" w:rsidP="006F623F">
      <w:pPr>
        <w:spacing w:after="0"/>
        <w:rPr>
          <w:rFonts w:ascii="Arial" w:hAnsi="Arial" w:cs="Arial"/>
          <w:sz w:val="24"/>
          <w:szCs w:val="24"/>
        </w:rPr>
      </w:pPr>
      <w:r w:rsidRPr="00FA3F9C">
        <w:rPr>
          <w:rFonts w:ascii="Arial" w:hAnsi="Arial" w:cs="Arial"/>
          <w:sz w:val="24"/>
          <w:szCs w:val="24"/>
        </w:rPr>
        <w:t xml:space="preserve">1. </w:t>
      </w:r>
      <w:proofErr w:type="spellStart"/>
      <w:r w:rsidRPr="00FA3F9C">
        <w:rPr>
          <w:rFonts w:ascii="Arial" w:hAnsi="Arial" w:cs="Arial"/>
          <w:sz w:val="24"/>
          <w:szCs w:val="24"/>
        </w:rPr>
        <w:t>Dailymed</w:t>
      </w:r>
      <w:proofErr w:type="spellEnd"/>
      <w:r w:rsidRPr="00FA3F9C">
        <w:rPr>
          <w:rFonts w:ascii="Arial" w:hAnsi="Arial" w:cs="Arial"/>
          <w:sz w:val="24"/>
          <w:szCs w:val="24"/>
        </w:rPr>
        <w:t xml:space="preserve">. </w:t>
      </w:r>
      <w:proofErr w:type="spellStart"/>
      <w:r w:rsidRPr="00FA3F9C">
        <w:rPr>
          <w:rFonts w:ascii="Arial" w:hAnsi="Arial" w:cs="Arial"/>
          <w:sz w:val="24"/>
          <w:szCs w:val="24"/>
        </w:rPr>
        <w:t>Valtoco</w:t>
      </w:r>
      <w:proofErr w:type="spellEnd"/>
      <w:r w:rsidRPr="00FA3F9C">
        <w:rPr>
          <w:rFonts w:ascii="Arial" w:hAnsi="Arial" w:cs="Arial"/>
          <w:sz w:val="24"/>
          <w:szCs w:val="24"/>
        </w:rPr>
        <w:t xml:space="preserve">. </w:t>
      </w:r>
      <w:hyperlink r:id="rId133" w:history="1">
        <w:r w:rsidRPr="00FA3F9C">
          <w:rPr>
            <w:rStyle w:val="Hyperlink"/>
            <w:rFonts w:ascii="Arial" w:hAnsi="Arial" w:cs="Arial"/>
            <w:sz w:val="24"/>
            <w:szCs w:val="24"/>
          </w:rPr>
          <w:t>file:///Users/</w:t>
        </w:r>
        <w:r w:rsidR="002F3083">
          <w:rPr>
            <w:rStyle w:val="Hyperlink"/>
            <w:rFonts w:ascii="Arial" w:hAnsi="Arial" w:cs="Arial"/>
            <w:sz w:val="24"/>
            <w:szCs w:val="24"/>
          </w:rPr>
          <w:t>JJ</w:t>
        </w:r>
        <w:r w:rsidRPr="00FA3F9C">
          <w:rPr>
            <w:rStyle w:val="Hyperlink"/>
            <w:rFonts w:ascii="Arial" w:hAnsi="Arial" w:cs="Arial"/>
            <w:sz w:val="24"/>
            <w:szCs w:val="24"/>
          </w:rPr>
          <w:t>jillt/Downloads/20220219_1a8bcc90-68fa-474d-832c-0df01e825f39.pdf</w:t>
        </w:r>
      </w:hyperlink>
      <w:r w:rsidRPr="00FA3F9C">
        <w:rPr>
          <w:rFonts w:ascii="Arial" w:hAnsi="Arial" w:cs="Arial"/>
          <w:sz w:val="24"/>
          <w:szCs w:val="24"/>
        </w:rPr>
        <w:t xml:space="preserve">. </w:t>
      </w:r>
    </w:p>
    <w:p w14:paraId="237F2EAE"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Accessed 3/2/22.</w:t>
      </w:r>
    </w:p>
    <w:p w14:paraId="612E8A06"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 xml:space="preserve">2. Lexicomp. </w:t>
      </w:r>
      <w:proofErr w:type="spellStart"/>
      <w:r w:rsidRPr="00FA3F9C">
        <w:rPr>
          <w:rFonts w:ascii="Arial" w:hAnsi="Arial" w:cs="Arial"/>
          <w:sz w:val="24"/>
          <w:szCs w:val="24"/>
        </w:rPr>
        <w:t>Valtoco</w:t>
      </w:r>
      <w:proofErr w:type="spellEnd"/>
      <w:r w:rsidRPr="00FA3F9C">
        <w:rPr>
          <w:rFonts w:ascii="Arial" w:hAnsi="Arial" w:cs="Arial"/>
          <w:sz w:val="24"/>
          <w:szCs w:val="24"/>
        </w:rPr>
        <w:t>. Accessed 3/1/22.</w:t>
      </w:r>
    </w:p>
    <w:p w14:paraId="5171E697"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278"/>
        <w:gridCol w:w="7052"/>
        <w:gridCol w:w="2460"/>
      </w:tblGrid>
      <w:tr w:rsidR="001506C1" w:rsidRPr="00FA3F9C" w14:paraId="3FB1294A" w14:textId="77777777" w:rsidTr="00577F52">
        <w:tc>
          <w:tcPr>
            <w:tcW w:w="1278" w:type="dxa"/>
          </w:tcPr>
          <w:p w14:paraId="19A8039A" w14:textId="77777777" w:rsidR="001506C1" w:rsidRPr="00FA3F9C" w:rsidRDefault="001506C1" w:rsidP="006F623F">
            <w:pPr>
              <w:rPr>
                <w:rFonts w:ascii="Arial" w:hAnsi="Arial" w:cs="Arial"/>
                <w:sz w:val="24"/>
                <w:szCs w:val="24"/>
              </w:rPr>
            </w:pPr>
            <w:r w:rsidRPr="00FA3F9C">
              <w:rPr>
                <w:rFonts w:ascii="Arial" w:hAnsi="Arial" w:cs="Arial"/>
                <w:sz w:val="24"/>
                <w:szCs w:val="24"/>
              </w:rPr>
              <w:t>Date</w:t>
            </w:r>
          </w:p>
        </w:tc>
        <w:tc>
          <w:tcPr>
            <w:tcW w:w="7052" w:type="dxa"/>
          </w:tcPr>
          <w:p w14:paraId="5D9EEF21" w14:textId="77777777" w:rsidR="001506C1" w:rsidRPr="00FA3F9C" w:rsidRDefault="001506C1" w:rsidP="006F623F">
            <w:pPr>
              <w:rPr>
                <w:rFonts w:ascii="Arial" w:hAnsi="Arial" w:cs="Arial"/>
                <w:sz w:val="24"/>
                <w:szCs w:val="24"/>
              </w:rPr>
            </w:pPr>
            <w:r w:rsidRPr="00FA3F9C">
              <w:rPr>
                <w:rFonts w:ascii="Arial" w:hAnsi="Arial" w:cs="Arial"/>
                <w:sz w:val="24"/>
                <w:szCs w:val="24"/>
              </w:rPr>
              <w:t>What changed</w:t>
            </w:r>
          </w:p>
        </w:tc>
        <w:tc>
          <w:tcPr>
            <w:tcW w:w="2460" w:type="dxa"/>
          </w:tcPr>
          <w:p w14:paraId="3548AA11" w14:textId="77777777" w:rsidR="001506C1" w:rsidRPr="00FA3F9C" w:rsidRDefault="001506C1" w:rsidP="006F623F">
            <w:pPr>
              <w:rPr>
                <w:rFonts w:ascii="Arial" w:hAnsi="Arial" w:cs="Arial"/>
                <w:sz w:val="24"/>
                <w:szCs w:val="24"/>
              </w:rPr>
            </w:pPr>
            <w:r w:rsidRPr="00FA3F9C">
              <w:rPr>
                <w:rFonts w:ascii="Arial" w:hAnsi="Arial" w:cs="Arial"/>
                <w:sz w:val="24"/>
                <w:szCs w:val="24"/>
              </w:rPr>
              <w:t>Pharmacist’s initials</w:t>
            </w:r>
          </w:p>
        </w:tc>
      </w:tr>
      <w:tr w:rsidR="001506C1" w:rsidRPr="00FA3F9C" w14:paraId="3A3DE33D" w14:textId="77777777" w:rsidTr="00577F52">
        <w:tc>
          <w:tcPr>
            <w:tcW w:w="1278" w:type="dxa"/>
          </w:tcPr>
          <w:p w14:paraId="0A89D0EE" w14:textId="77777777" w:rsidR="001506C1" w:rsidRPr="00FA3F9C" w:rsidRDefault="001506C1" w:rsidP="006F623F">
            <w:pPr>
              <w:rPr>
                <w:rFonts w:ascii="Arial" w:hAnsi="Arial" w:cs="Arial"/>
                <w:sz w:val="24"/>
                <w:szCs w:val="24"/>
              </w:rPr>
            </w:pPr>
            <w:r w:rsidRPr="00FA3F9C">
              <w:rPr>
                <w:rFonts w:ascii="Arial" w:hAnsi="Arial" w:cs="Arial"/>
                <w:sz w:val="24"/>
                <w:szCs w:val="24"/>
              </w:rPr>
              <w:t>3/1/22</w:t>
            </w:r>
          </w:p>
        </w:tc>
        <w:tc>
          <w:tcPr>
            <w:tcW w:w="7052" w:type="dxa"/>
          </w:tcPr>
          <w:p w14:paraId="6420F427" w14:textId="77777777" w:rsidR="001506C1" w:rsidRPr="00FA3F9C" w:rsidRDefault="001506C1" w:rsidP="006F623F">
            <w:pPr>
              <w:rPr>
                <w:rFonts w:ascii="Arial" w:hAnsi="Arial" w:cs="Arial"/>
                <w:sz w:val="24"/>
                <w:szCs w:val="24"/>
              </w:rPr>
            </w:pPr>
            <w:r w:rsidRPr="00FA3F9C">
              <w:rPr>
                <w:rFonts w:ascii="Arial" w:hAnsi="Arial" w:cs="Arial"/>
                <w:sz w:val="24"/>
                <w:szCs w:val="24"/>
              </w:rPr>
              <w:t>I wrote the criteria.</w:t>
            </w:r>
          </w:p>
        </w:tc>
        <w:tc>
          <w:tcPr>
            <w:tcW w:w="2460" w:type="dxa"/>
          </w:tcPr>
          <w:p w14:paraId="5F437720" w14:textId="77777777" w:rsidR="001506C1" w:rsidRPr="00FA3F9C" w:rsidRDefault="001506C1" w:rsidP="006F623F">
            <w:pPr>
              <w:rPr>
                <w:rFonts w:ascii="Arial" w:hAnsi="Arial" w:cs="Arial"/>
                <w:sz w:val="24"/>
                <w:szCs w:val="24"/>
              </w:rPr>
            </w:pPr>
            <w:r w:rsidRPr="00FA3F9C">
              <w:rPr>
                <w:rFonts w:ascii="Arial" w:hAnsi="Arial" w:cs="Arial"/>
                <w:sz w:val="24"/>
                <w:szCs w:val="24"/>
              </w:rPr>
              <w:t>JJ</w:t>
            </w:r>
          </w:p>
        </w:tc>
      </w:tr>
    </w:tbl>
    <w:p w14:paraId="7343621D" w14:textId="77777777" w:rsidR="001506C1" w:rsidRPr="00FA3F9C" w:rsidRDefault="001506C1" w:rsidP="006F623F">
      <w:pPr>
        <w:spacing w:after="0"/>
        <w:rPr>
          <w:rFonts w:ascii="Arial" w:hAnsi="Arial" w:cs="Arial"/>
          <w:sz w:val="24"/>
          <w:szCs w:val="24"/>
        </w:rPr>
      </w:pPr>
    </w:p>
    <w:p w14:paraId="7C4D1E06" w14:textId="14279B83" w:rsidR="001506C1" w:rsidRDefault="001506C1" w:rsidP="002819F6">
      <w:pPr>
        <w:pStyle w:val="Heading2"/>
      </w:pPr>
      <w:bookmarkStart w:id="75" w:name="_Toc106369770"/>
      <w:r w:rsidRPr="00FA3F9C">
        <w:t>Dihydroergotamine (</w:t>
      </w:r>
      <w:proofErr w:type="spellStart"/>
      <w:r w:rsidRPr="00FA3F9C">
        <w:t>Migrana</w:t>
      </w:r>
      <w:r w:rsidR="002819F6">
        <w:t>l</w:t>
      </w:r>
      <w:proofErr w:type="spellEnd"/>
      <w:r w:rsidRPr="00FA3F9C">
        <w:t>)</w:t>
      </w:r>
      <w:bookmarkEnd w:id="75"/>
    </w:p>
    <w:p w14:paraId="4E859DC5" w14:textId="77027CB5" w:rsidR="002819F6" w:rsidRPr="00FA3F9C" w:rsidRDefault="002819F6" w:rsidP="006F623F">
      <w:pPr>
        <w:spacing w:after="0"/>
        <w:jc w:val="center"/>
        <w:rPr>
          <w:rFonts w:ascii="Arial" w:hAnsi="Arial" w:cs="Arial"/>
          <w:sz w:val="24"/>
          <w:szCs w:val="24"/>
        </w:rPr>
      </w:pPr>
      <w:r w:rsidRPr="00FA3F9C">
        <w:rPr>
          <w:rFonts w:ascii="Arial" w:hAnsi="Arial" w:cs="Arial"/>
          <w:sz w:val="24"/>
          <w:szCs w:val="24"/>
        </w:rPr>
        <w:t>intranasal</w:t>
      </w:r>
    </w:p>
    <w:p w14:paraId="3585B934" w14:textId="77777777" w:rsidR="001506C1" w:rsidRPr="00FA3F9C" w:rsidRDefault="001506C1" w:rsidP="006F623F">
      <w:pPr>
        <w:spacing w:after="0"/>
        <w:jc w:val="center"/>
        <w:rPr>
          <w:rFonts w:ascii="Arial" w:hAnsi="Arial" w:cs="Arial"/>
          <w:sz w:val="24"/>
          <w:szCs w:val="24"/>
        </w:rPr>
      </w:pPr>
      <w:r w:rsidRPr="00FA3F9C">
        <w:rPr>
          <w:rFonts w:ascii="Arial" w:hAnsi="Arial" w:cs="Arial"/>
          <w:sz w:val="24"/>
          <w:szCs w:val="24"/>
        </w:rPr>
        <w:t>EBRx PA Criteria</w:t>
      </w:r>
    </w:p>
    <w:p w14:paraId="661EBE74" w14:textId="77777777" w:rsidR="001506C1" w:rsidRPr="00FA3F9C" w:rsidRDefault="001506C1" w:rsidP="006F623F">
      <w:pPr>
        <w:spacing w:after="0"/>
        <w:rPr>
          <w:rFonts w:ascii="Arial" w:hAnsi="Arial" w:cs="Arial"/>
          <w:b/>
          <w:sz w:val="24"/>
          <w:szCs w:val="24"/>
          <w:u w:val="single"/>
        </w:rPr>
      </w:pPr>
    </w:p>
    <w:p w14:paraId="447D5BAE" w14:textId="77777777" w:rsidR="001506C1" w:rsidRPr="00FA3F9C" w:rsidRDefault="001506C1" w:rsidP="008038F0">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Acute treatment of moderate to severe migraine w or w/o aura (nasal spray; injection)</w:t>
      </w:r>
    </w:p>
    <w:tbl>
      <w:tblPr>
        <w:tblStyle w:val="TableGrid"/>
        <w:tblW w:w="0" w:type="auto"/>
        <w:tblLook w:val="04A0" w:firstRow="1" w:lastRow="0" w:firstColumn="1" w:lastColumn="0" w:noHBand="0" w:noVBand="1"/>
      </w:tblPr>
      <w:tblGrid>
        <w:gridCol w:w="8928"/>
        <w:gridCol w:w="2088"/>
      </w:tblGrid>
      <w:tr w:rsidR="001506C1" w:rsidRPr="00FA3F9C" w14:paraId="194C130E" w14:textId="77777777" w:rsidTr="00571CAB">
        <w:tc>
          <w:tcPr>
            <w:tcW w:w="8928" w:type="dxa"/>
            <w:shd w:val="clear" w:color="auto" w:fill="000000"/>
          </w:tcPr>
          <w:p w14:paraId="1832FF80" w14:textId="77777777" w:rsidR="001506C1" w:rsidRPr="00FA3F9C" w:rsidRDefault="001506C1"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88" w:type="dxa"/>
            <w:shd w:val="clear" w:color="auto" w:fill="000000"/>
          </w:tcPr>
          <w:p w14:paraId="77808A71" w14:textId="77777777" w:rsidR="001506C1" w:rsidRPr="00FA3F9C" w:rsidRDefault="001506C1" w:rsidP="006F623F">
            <w:pPr>
              <w:jc w:val="center"/>
              <w:rPr>
                <w:rFonts w:ascii="Arial" w:hAnsi="Arial" w:cs="Arial"/>
                <w:b/>
                <w:sz w:val="24"/>
                <w:szCs w:val="24"/>
                <w:u w:val="single"/>
              </w:rPr>
            </w:pPr>
          </w:p>
        </w:tc>
      </w:tr>
      <w:tr w:rsidR="001506C1" w:rsidRPr="00FA3F9C" w14:paraId="5666E328" w14:textId="77777777" w:rsidTr="00F337AE">
        <w:tc>
          <w:tcPr>
            <w:tcW w:w="11016" w:type="dxa"/>
            <w:gridSpan w:val="2"/>
          </w:tcPr>
          <w:p w14:paraId="1683B942" w14:textId="77777777" w:rsidR="001506C1" w:rsidRPr="00FA3F9C" w:rsidRDefault="001506C1" w:rsidP="006F623F">
            <w:pPr>
              <w:rPr>
                <w:rFonts w:ascii="Arial" w:hAnsi="Arial" w:cs="Arial"/>
                <w:sz w:val="24"/>
                <w:szCs w:val="24"/>
              </w:rPr>
            </w:pPr>
            <w:r w:rsidRPr="00FA3F9C">
              <w:rPr>
                <w:rFonts w:ascii="Arial" w:hAnsi="Arial" w:cs="Arial"/>
                <w:sz w:val="24"/>
                <w:szCs w:val="24"/>
              </w:rPr>
              <w:t>1. Patient must have the diagnosis of moderate to severe migraine</w:t>
            </w:r>
          </w:p>
        </w:tc>
      </w:tr>
      <w:tr w:rsidR="001506C1" w:rsidRPr="00FA3F9C" w14:paraId="65600CD2" w14:textId="77777777" w:rsidTr="00B1617E">
        <w:tc>
          <w:tcPr>
            <w:tcW w:w="11016" w:type="dxa"/>
            <w:gridSpan w:val="2"/>
          </w:tcPr>
          <w:p w14:paraId="442548A0" w14:textId="77777777" w:rsidR="001506C1" w:rsidRPr="00FA3F9C" w:rsidRDefault="001506C1" w:rsidP="006F623F">
            <w:pPr>
              <w:rPr>
                <w:rFonts w:ascii="Arial" w:hAnsi="Arial" w:cs="Arial"/>
                <w:sz w:val="24"/>
                <w:szCs w:val="24"/>
              </w:rPr>
            </w:pPr>
            <w:r w:rsidRPr="00FA3F9C">
              <w:rPr>
                <w:rFonts w:ascii="Arial" w:hAnsi="Arial" w:cs="Arial"/>
                <w:sz w:val="24"/>
                <w:szCs w:val="24"/>
              </w:rPr>
              <w:t>2. Patient must have intolerance/nonresponse/contraindication to at least 2 triptans.</w:t>
            </w:r>
          </w:p>
        </w:tc>
      </w:tr>
      <w:tr w:rsidR="001506C1" w:rsidRPr="00FA3F9C" w14:paraId="0762CE36" w14:textId="77777777" w:rsidTr="0010789D">
        <w:tc>
          <w:tcPr>
            <w:tcW w:w="11016" w:type="dxa"/>
            <w:gridSpan w:val="2"/>
          </w:tcPr>
          <w:p w14:paraId="30D8C74E" w14:textId="77777777" w:rsidR="001506C1" w:rsidRPr="00FA3F9C" w:rsidRDefault="001506C1" w:rsidP="006F623F">
            <w:pPr>
              <w:rPr>
                <w:rFonts w:ascii="Arial" w:hAnsi="Arial" w:cs="Arial"/>
                <w:sz w:val="24"/>
                <w:szCs w:val="24"/>
              </w:rPr>
            </w:pPr>
            <w:r w:rsidRPr="00FA3F9C">
              <w:rPr>
                <w:rFonts w:ascii="Arial" w:hAnsi="Arial" w:cs="Arial"/>
                <w:sz w:val="24"/>
                <w:szCs w:val="24"/>
              </w:rPr>
              <w:t>3. Patient must have intolerance/nonresponse/contraindication to Rimegepant (</w:t>
            </w:r>
            <w:proofErr w:type="spellStart"/>
            <w:r w:rsidRPr="00FA3F9C">
              <w:rPr>
                <w:rFonts w:ascii="Arial" w:hAnsi="Arial" w:cs="Arial"/>
                <w:sz w:val="24"/>
                <w:szCs w:val="24"/>
              </w:rPr>
              <w:t>Nurtec</w:t>
            </w:r>
            <w:proofErr w:type="spellEnd"/>
            <w:r w:rsidRPr="00FA3F9C">
              <w:rPr>
                <w:rFonts w:ascii="Arial" w:hAnsi="Arial" w:cs="Arial"/>
                <w:sz w:val="24"/>
                <w:szCs w:val="24"/>
              </w:rPr>
              <w:t xml:space="preserve"> ODT), used for treatment of migraine.</w:t>
            </w:r>
          </w:p>
        </w:tc>
      </w:tr>
    </w:tbl>
    <w:p w14:paraId="748D9D0B" w14:textId="77777777" w:rsidR="001506C1" w:rsidRPr="00FA3F9C" w:rsidRDefault="001506C1" w:rsidP="006F623F">
      <w:pPr>
        <w:spacing w:after="0"/>
        <w:rPr>
          <w:rFonts w:ascii="Arial" w:hAnsi="Arial" w:cs="Arial"/>
          <w:b/>
          <w:sz w:val="24"/>
          <w:szCs w:val="24"/>
          <w:u w:val="single"/>
        </w:rPr>
      </w:pPr>
    </w:p>
    <w:tbl>
      <w:tblPr>
        <w:tblStyle w:val="TableGrid"/>
        <w:tblW w:w="0" w:type="auto"/>
        <w:shd w:val="clear" w:color="auto" w:fill="BFBFBF" w:themeFill="background1" w:themeFillShade="BF"/>
        <w:tblLook w:val="04A0" w:firstRow="1" w:lastRow="0" w:firstColumn="1" w:lastColumn="0" w:noHBand="0" w:noVBand="1"/>
      </w:tblPr>
      <w:tblGrid>
        <w:gridCol w:w="10998"/>
      </w:tblGrid>
      <w:tr w:rsidR="001506C1" w:rsidRPr="00FA3F9C" w14:paraId="4CDAED3C" w14:textId="77777777" w:rsidTr="00D82B6E">
        <w:tc>
          <w:tcPr>
            <w:tcW w:w="10998" w:type="dxa"/>
            <w:shd w:val="clear" w:color="auto" w:fill="BFBFBF" w:themeFill="background1" w:themeFillShade="BF"/>
          </w:tcPr>
          <w:p w14:paraId="77CEAE5F" w14:textId="77777777" w:rsidR="001506C1" w:rsidRPr="00FA3F9C" w:rsidRDefault="001506C1" w:rsidP="00D82B6E">
            <w:pPr>
              <w:rPr>
                <w:rFonts w:ascii="Arial" w:hAnsi="Arial" w:cs="Arial"/>
                <w:sz w:val="24"/>
                <w:szCs w:val="24"/>
              </w:rPr>
            </w:pPr>
            <w:r w:rsidRPr="00FA3F9C">
              <w:rPr>
                <w:rFonts w:ascii="Arial" w:hAnsi="Arial" w:cs="Arial"/>
                <w:sz w:val="24"/>
                <w:szCs w:val="24"/>
              </w:rPr>
              <w:t>Note: The dose is 0.5mg per spray.  One spray in each nostril; repeat after 15 minutes for a total of 4 sprays (2mg).  Safety of &gt;6 sprays (3mg) in 24h or 8 sprays (4mg) in a week have not been established.</w:t>
            </w:r>
          </w:p>
          <w:p w14:paraId="4F046A9F" w14:textId="77777777" w:rsidR="001506C1" w:rsidRPr="00FA3F9C" w:rsidRDefault="001506C1" w:rsidP="00D82B6E">
            <w:pPr>
              <w:rPr>
                <w:rFonts w:ascii="Arial" w:hAnsi="Arial" w:cs="Arial"/>
                <w:sz w:val="24"/>
                <w:szCs w:val="24"/>
              </w:rPr>
            </w:pPr>
            <w:r w:rsidRPr="00FA3F9C">
              <w:rPr>
                <w:rFonts w:ascii="Arial" w:hAnsi="Arial" w:cs="Arial"/>
                <w:sz w:val="24"/>
                <w:szCs w:val="24"/>
              </w:rPr>
              <w:t xml:space="preserve"> </w:t>
            </w:r>
          </w:p>
          <w:p w14:paraId="777B3631" w14:textId="77777777" w:rsidR="001506C1" w:rsidRPr="00FA3F9C" w:rsidRDefault="001506C1" w:rsidP="00D82B6E">
            <w:pPr>
              <w:rPr>
                <w:rFonts w:ascii="Arial" w:hAnsi="Arial" w:cs="Arial"/>
                <w:sz w:val="24"/>
                <w:szCs w:val="24"/>
              </w:rPr>
            </w:pPr>
            <w:r w:rsidRPr="00FA3F9C">
              <w:rPr>
                <w:rFonts w:ascii="Arial" w:hAnsi="Arial" w:cs="Arial"/>
                <w:sz w:val="24"/>
                <w:szCs w:val="24"/>
              </w:rPr>
              <w:t>Also given as an acceptable dose:  0.725mg/spray in each nostril (total of 2 sprays per dose), may repeat as needed after &gt;1h (total of 4 sprays in 2 doses).  Max is 4 sprays (2 doses) /24h; 6 sprays (3 doses) in 7 days.</w:t>
            </w:r>
          </w:p>
        </w:tc>
      </w:tr>
    </w:tbl>
    <w:p w14:paraId="05CC0552" w14:textId="77777777" w:rsidR="001506C1" w:rsidRPr="00FA3F9C" w:rsidRDefault="001506C1" w:rsidP="006F623F">
      <w:pPr>
        <w:spacing w:after="0"/>
        <w:rPr>
          <w:rFonts w:ascii="Arial" w:hAnsi="Arial" w:cs="Arial"/>
          <w:sz w:val="24"/>
          <w:szCs w:val="24"/>
        </w:rPr>
      </w:pPr>
    </w:p>
    <w:p w14:paraId="7EF4CB30"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Quantity Limits: 8 sprays per claim</w:t>
      </w:r>
    </w:p>
    <w:p w14:paraId="1023FDAE" w14:textId="77777777" w:rsidR="001506C1" w:rsidRPr="00FA3F9C" w:rsidRDefault="001506C1" w:rsidP="006F623F">
      <w:pPr>
        <w:spacing w:after="0"/>
        <w:rPr>
          <w:rFonts w:ascii="Arial" w:hAnsi="Arial" w:cs="Arial"/>
          <w:sz w:val="24"/>
          <w:szCs w:val="24"/>
        </w:rPr>
      </w:pPr>
    </w:p>
    <w:p w14:paraId="4FC7BED2"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017"/>
        <w:gridCol w:w="7470"/>
        <w:gridCol w:w="2538"/>
      </w:tblGrid>
      <w:tr w:rsidR="001506C1" w:rsidRPr="00FA3F9C" w14:paraId="22F47E13" w14:textId="77777777" w:rsidTr="00FE491B">
        <w:tc>
          <w:tcPr>
            <w:tcW w:w="1008" w:type="dxa"/>
          </w:tcPr>
          <w:p w14:paraId="3CF06A7C" w14:textId="77777777" w:rsidR="001506C1" w:rsidRPr="00FA3F9C" w:rsidRDefault="001506C1" w:rsidP="006F623F">
            <w:pPr>
              <w:rPr>
                <w:rFonts w:ascii="Arial" w:hAnsi="Arial" w:cs="Arial"/>
                <w:sz w:val="24"/>
                <w:szCs w:val="24"/>
              </w:rPr>
            </w:pPr>
            <w:r w:rsidRPr="00FA3F9C">
              <w:rPr>
                <w:rFonts w:ascii="Arial" w:hAnsi="Arial" w:cs="Arial"/>
                <w:sz w:val="24"/>
                <w:szCs w:val="24"/>
              </w:rPr>
              <w:lastRenderedPageBreak/>
              <w:t>Date</w:t>
            </w:r>
          </w:p>
        </w:tc>
        <w:tc>
          <w:tcPr>
            <w:tcW w:w="7470" w:type="dxa"/>
          </w:tcPr>
          <w:p w14:paraId="6E31FBF9" w14:textId="77777777" w:rsidR="001506C1" w:rsidRPr="00FA3F9C" w:rsidRDefault="001506C1" w:rsidP="006F623F">
            <w:pPr>
              <w:rPr>
                <w:rFonts w:ascii="Arial" w:hAnsi="Arial" w:cs="Arial"/>
                <w:sz w:val="24"/>
                <w:szCs w:val="24"/>
              </w:rPr>
            </w:pPr>
            <w:r w:rsidRPr="00FA3F9C">
              <w:rPr>
                <w:rFonts w:ascii="Arial" w:hAnsi="Arial" w:cs="Arial"/>
                <w:sz w:val="24"/>
                <w:szCs w:val="24"/>
              </w:rPr>
              <w:t>What changed</w:t>
            </w:r>
          </w:p>
        </w:tc>
        <w:tc>
          <w:tcPr>
            <w:tcW w:w="2538" w:type="dxa"/>
          </w:tcPr>
          <w:p w14:paraId="0E9C7300" w14:textId="77777777" w:rsidR="001506C1" w:rsidRPr="00FA3F9C" w:rsidRDefault="001506C1" w:rsidP="006F623F">
            <w:pPr>
              <w:rPr>
                <w:rFonts w:ascii="Arial" w:hAnsi="Arial" w:cs="Arial"/>
                <w:sz w:val="24"/>
                <w:szCs w:val="24"/>
              </w:rPr>
            </w:pPr>
            <w:r w:rsidRPr="00FA3F9C">
              <w:rPr>
                <w:rFonts w:ascii="Arial" w:hAnsi="Arial" w:cs="Arial"/>
                <w:sz w:val="24"/>
                <w:szCs w:val="24"/>
              </w:rPr>
              <w:t>Pharmacist’s initials</w:t>
            </w:r>
          </w:p>
        </w:tc>
      </w:tr>
      <w:tr w:rsidR="001506C1" w:rsidRPr="00FA3F9C" w14:paraId="419BC403" w14:textId="77777777" w:rsidTr="00FE491B">
        <w:tc>
          <w:tcPr>
            <w:tcW w:w="1008" w:type="dxa"/>
          </w:tcPr>
          <w:p w14:paraId="189565CA" w14:textId="77777777" w:rsidR="001506C1" w:rsidRPr="00FA3F9C" w:rsidRDefault="001506C1" w:rsidP="006F623F">
            <w:pPr>
              <w:rPr>
                <w:rFonts w:ascii="Arial" w:hAnsi="Arial" w:cs="Arial"/>
                <w:sz w:val="24"/>
                <w:szCs w:val="24"/>
              </w:rPr>
            </w:pPr>
            <w:r w:rsidRPr="00FA3F9C">
              <w:rPr>
                <w:rFonts w:ascii="Arial" w:hAnsi="Arial" w:cs="Arial"/>
                <w:sz w:val="24"/>
                <w:szCs w:val="24"/>
              </w:rPr>
              <w:t>11/3/21</w:t>
            </w:r>
          </w:p>
        </w:tc>
        <w:tc>
          <w:tcPr>
            <w:tcW w:w="7470" w:type="dxa"/>
          </w:tcPr>
          <w:p w14:paraId="366EA36A" w14:textId="77777777" w:rsidR="001506C1" w:rsidRPr="00FA3F9C" w:rsidRDefault="001506C1" w:rsidP="006F623F">
            <w:pPr>
              <w:rPr>
                <w:rFonts w:ascii="Arial" w:hAnsi="Arial" w:cs="Arial"/>
                <w:sz w:val="24"/>
                <w:szCs w:val="24"/>
              </w:rPr>
            </w:pPr>
            <w:r w:rsidRPr="00FA3F9C">
              <w:rPr>
                <w:rFonts w:ascii="Arial" w:hAnsi="Arial" w:cs="Arial"/>
                <w:sz w:val="24"/>
                <w:szCs w:val="24"/>
              </w:rPr>
              <w:t>I wrote the criteria.</w:t>
            </w:r>
          </w:p>
        </w:tc>
        <w:tc>
          <w:tcPr>
            <w:tcW w:w="2538" w:type="dxa"/>
          </w:tcPr>
          <w:p w14:paraId="4D7FF9B7" w14:textId="77777777" w:rsidR="001506C1" w:rsidRPr="00FA3F9C" w:rsidRDefault="001506C1" w:rsidP="006F623F">
            <w:pPr>
              <w:rPr>
                <w:rFonts w:ascii="Arial" w:hAnsi="Arial" w:cs="Arial"/>
                <w:sz w:val="24"/>
                <w:szCs w:val="24"/>
              </w:rPr>
            </w:pPr>
            <w:r w:rsidRPr="00FA3F9C">
              <w:rPr>
                <w:rFonts w:ascii="Arial" w:hAnsi="Arial" w:cs="Arial"/>
                <w:sz w:val="24"/>
                <w:szCs w:val="24"/>
              </w:rPr>
              <w:t>JJ</w:t>
            </w:r>
          </w:p>
        </w:tc>
      </w:tr>
      <w:tr w:rsidR="001506C1" w:rsidRPr="00FA3F9C" w14:paraId="1CF7D173" w14:textId="77777777" w:rsidTr="00FE491B">
        <w:tc>
          <w:tcPr>
            <w:tcW w:w="1008" w:type="dxa"/>
          </w:tcPr>
          <w:p w14:paraId="0FBB7B76" w14:textId="77777777" w:rsidR="001506C1" w:rsidRPr="00FA3F9C" w:rsidRDefault="001506C1" w:rsidP="006F623F">
            <w:pPr>
              <w:rPr>
                <w:rFonts w:ascii="Arial" w:hAnsi="Arial" w:cs="Arial"/>
                <w:sz w:val="24"/>
                <w:szCs w:val="24"/>
              </w:rPr>
            </w:pPr>
          </w:p>
        </w:tc>
        <w:tc>
          <w:tcPr>
            <w:tcW w:w="7470" w:type="dxa"/>
          </w:tcPr>
          <w:p w14:paraId="267C2593" w14:textId="77777777" w:rsidR="001506C1" w:rsidRPr="00FA3F9C" w:rsidRDefault="001506C1" w:rsidP="006F623F">
            <w:pPr>
              <w:rPr>
                <w:rFonts w:ascii="Arial" w:hAnsi="Arial" w:cs="Arial"/>
                <w:sz w:val="24"/>
                <w:szCs w:val="24"/>
              </w:rPr>
            </w:pPr>
          </w:p>
        </w:tc>
        <w:tc>
          <w:tcPr>
            <w:tcW w:w="2538" w:type="dxa"/>
          </w:tcPr>
          <w:p w14:paraId="03BA4BBA" w14:textId="77777777" w:rsidR="001506C1" w:rsidRPr="00FA3F9C" w:rsidRDefault="001506C1" w:rsidP="006F623F">
            <w:pPr>
              <w:rPr>
                <w:rFonts w:ascii="Arial" w:hAnsi="Arial" w:cs="Arial"/>
                <w:sz w:val="24"/>
                <w:szCs w:val="24"/>
              </w:rPr>
            </w:pPr>
          </w:p>
        </w:tc>
      </w:tr>
    </w:tbl>
    <w:p w14:paraId="6A2AE910" w14:textId="77777777" w:rsidR="001506C1" w:rsidRPr="00FA3F9C" w:rsidRDefault="001506C1" w:rsidP="006F623F">
      <w:pPr>
        <w:spacing w:after="0"/>
        <w:rPr>
          <w:rFonts w:ascii="Arial" w:hAnsi="Arial" w:cs="Arial"/>
          <w:sz w:val="24"/>
          <w:szCs w:val="24"/>
        </w:rPr>
      </w:pPr>
    </w:p>
    <w:p w14:paraId="35AD008E" w14:textId="77777777" w:rsidR="001506C1" w:rsidRPr="00FA3F9C" w:rsidRDefault="001506C1" w:rsidP="002819F6">
      <w:pPr>
        <w:pStyle w:val="Heading2"/>
      </w:pPr>
      <w:bookmarkStart w:id="76" w:name="_Toc106369771"/>
      <w:r w:rsidRPr="00FA3F9C">
        <w:t>Dimethyl fumarate (Tecfidera)</w:t>
      </w:r>
      <w:bookmarkEnd w:id="76"/>
    </w:p>
    <w:p w14:paraId="48FB0D6B" w14:textId="77777777" w:rsidR="001506C1" w:rsidRPr="00FA3F9C" w:rsidRDefault="001506C1" w:rsidP="006F623F">
      <w:pPr>
        <w:spacing w:after="0"/>
        <w:jc w:val="center"/>
        <w:rPr>
          <w:rFonts w:ascii="Arial" w:hAnsi="Arial" w:cs="Arial"/>
          <w:sz w:val="24"/>
          <w:szCs w:val="24"/>
        </w:rPr>
      </w:pPr>
      <w:r w:rsidRPr="00FA3F9C">
        <w:rPr>
          <w:rFonts w:ascii="Arial" w:hAnsi="Arial" w:cs="Arial"/>
          <w:sz w:val="24"/>
          <w:szCs w:val="24"/>
        </w:rPr>
        <w:t>EBRx PA Criteria</w:t>
      </w:r>
    </w:p>
    <w:p w14:paraId="623EA6CC" w14:textId="77777777" w:rsidR="001506C1" w:rsidRPr="00FA3F9C" w:rsidRDefault="001506C1" w:rsidP="006F623F">
      <w:pPr>
        <w:spacing w:after="0"/>
        <w:rPr>
          <w:rFonts w:ascii="Arial" w:hAnsi="Arial" w:cs="Arial"/>
          <w:sz w:val="24"/>
          <w:szCs w:val="24"/>
          <w:u w:val="single"/>
        </w:rPr>
      </w:pPr>
    </w:p>
    <w:p w14:paraId="1891D3A7"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u w:val="single"/>
        </w:rPr>
        <w:t>is FDA-approved for:</w:t>
      </w:r>
      <w:r w:rsidRPr="00FA3F9C">
        <w:rPr>
          <w:rFonts w:ascii="Arial" w:hAnsi="Arial" w:cs="Arial"/>
          <w:sz w:val="24"/>
          <w:szCs w:val="24"/>
        </w:rPr>
        <w:t xml:space="preserve">  relapsing-remitting multiple sclerosis (RRMS)</w:t>
      </w:r>
    </w:p>
    <w:tbl>
      <w:tblPr>
        <w:tblStyle w:val="TableGrid"/>
        <w:tblW w:w="0" w:type="auto"/>
        <w:tblLook w:val="04A0" w:firstRow="1" w:lastRow="0" w:firstColumn="1" w:lastColumn="0" w:noHBand="0" w:noVBand="1"/>
      </w:tblPr>
      <w:tblGrid>
        <w:gridCol w:w="8928"/>
        <w:gridCol w:w="2088"/>
      </w:tblGrid>
      <w:tr w:rsidR="001506C1" w:rsidRPr="00FA3F9C" w14:paraId="3CD42AE5" w14:textId="77777777" w:rsidTr="00571CAB">
        <w:tc>
          <w:tcPr>
            <w:tcW w:w="8928" w:type="dxa"/>
            <w:shd w:val="clear" w:color="auto" w:fill="000000"/>
          </w:tcPr>
          <w:p w14:paraId="2D716498" w14:textId="77777777" w:rsidR="001506C1" w:rsidRPr="00FA3F9C" w:rsidRDefault="001506C1" w:rsidP="00571CAB">
            <w:pPr>
              <w:rPr>
                <w:rFonts w:ascii="Arial" w:hAnsi="Arial" w:cs="Arial"/>
                <w:sz w:val="24"/>
                <w:szCs w:val="24"/>
                <w:u w:val="single"/>
              </w:rPr>
            </w:pPr>
            <w:r w:rsidRPr="00FA3F9C">
              <w:rPr>
                <w:rFonts w:ascii="Arial" w:hAnsi="Arial" w:cs="Arial"/>
                <w:sz w:val="24"/>
                <w:szCs w:val="24"/>
                <w:u w:val="single"/>
              </w:rPr>
              <w:t>Criteria for new users</w:t>
            </w:r>
          </w:p>
        </w:tc>
        <w:tc>
          <w:tcPr>
            <w:tcW w:w="2088" w:type="dxa"/>
            <w:shd w:val="clear" w:color="auto" w:fill="000000"/>
          </w:tcPr>
          <w:p w14:paraId="722CD429" w14:textId="77777777" w:rsidR="001506C1" w:rsidRPr="00FA3F9C" w:rsidRDefault="001506C1" w:rsidP="006F623F">
            <w:pPr>
              <w:jc w:val="center"/>
              <w:rPr>
                <w:rFonts w:ascii="Arial" w:hAnsi="Arial" w:cs="Arial"/>
                <w:sz w:val="24"/>
                <w:szCs w:val="24"/>
                <w:u w:val="single"/>
              </w:rPr>
            </w:pPr>
          </w:p>
        </w:tc>
      </w:tr>
      <w:tr w:rsidR="001506C1" w:rsidRPr="00FA3F9C" w14:paraId="380413C0" w14:textId="77777777" w:rsidTr="00F337AE">
        <w:tc>
          <w:tcPr>
            <w:tcW w:w="11016" w:type="dxa"/>
            <w:gridSpan w:val="2"/>
          </w:tcPr>
          <w:p w14:paraId="327E72BA" w14:textId="77777777" w:rsidR="001506C1" w:rsidRPr="00FA3F9C" w:rsidRDefault="001506C1" w:rsidP="001506C1">
            <w:pPr>
              <w:pStyle w:val="ListParagraph"/>
              <w:numPr>
                <w:ilvl w:val="0"/>
                <w:numId w:val="134"/>
              </w:numPr>
              <w:rPr>
                <w:rFonts w:ascii="Arial" w:hAnsi="Arial" w:cs="Arial"/>
                <w:sz w:val="24"/>
                <w:szCs w:val="24"/>
              </w:rPr>
            </w:pPr>
            <w:r w:rsidRPr="00FA3F9C">
              <w:rPr>
                <w:rFonts w:ascii="Arial" w:hAnsi="Arial" w:cs="Arial"/>
                <w:sz w:val="24"/>
                <w:szCs w:val="24"/>
              </w:rPr>
              <w:t>The patient must have the diagnosis of a relapsing form of multiple sclerosis.</w:t>
            </w:r>
          </w:p>
        </w:tc>
      </w:tr>
      <w:tr w:rsidR="001506C1" w:rsidRPr="00FA3F9C" w14:paraId="50136C2A" w14:textId="77777777" w:rsidTr="00F337AE">
        <w:tc>
          <w:tcPr>
            <w:tcW w:w="11016" w:type="dxa"/>
            <w:gridSpan w:val="2"/>
          </w:tcPr>
          <w:p w14:paraId="0F767FD9" w14:textId="77777777" w:rsidR="001506C1" w:rsidRPr="00FA3F9C" w:rsidRDefault="001506C1" w:rsidP="001506C1">
            <w:pPr>
              <w:pStyle w:val="ListParagraph"/>
              <w:numPr>
                <w:ilvl w:val="0"/>
                <w:numId w:val="134"/>
              </w:numPr>
              <w:rPr>
                <w:rFonts w:ascii="Arial" w:hAnsi="Arial" w:cs="Arial"/>
                <w:sz w:val="24"/>
                <w:szCs w:val="24"/>
              </w:rPr>
            </w:pPr>
            <w:r w:rsidRPr="00FA3F9C">
              <w:rPr>
                <w:rFonts w:ascii="Arial" w:hAnsi="Arial" w:cs="Arial"/>
                <w:sz w:val="24"/>
                <w:szCs w:val="24"/>
              </w:rPr>
              <w:t>The patient must not be receiving concurrent diroximel fumarate or monomethyl fumarate.</w:t>
            </w:r>
          </w:p>
        </w:tc>
      </w:tr>
    </w:tbl>
    <w:p w14:paraId="14297A47" w14:textId="77777777" w:rsidR="001506C1" w:rsidRPr="00FA3F9C" w:rsidRDefault="001506C1" w:rsidP="006F623F">
      <w:pPr>
        <w:spacing w:after="0"/>
        <w:rPr>
          <w:rFonts w:ascii="Arial" w:hAnsi="Arial" w:cs="Arial"/>
          <w:sz w:val="24"/>
          <w:szCs w:val="24"/>
        </w:rPr>
      </w:pPr>
    </w:p>
    <w:p w14:paraId="1644A24E" w14:textId="77777777" w:rsidR="001506C1" w:rsidRPr="00FA3F9C" w:rsidRDefault="001506C1" w:rsidP="003F60DF">
      <w:pPr>
        <w:spacing w:after="0"/>
        <w:ind w:left="360"/>
        <w:contextualSpacing/>
        <w:rPr>
          <w:rFonts w:ascii="Arial" w:hAnsi="Arial" w:cs="Arial"/>
          <w:sz w:val="24"/>
          <w:szCs w:val="24"/>
        </w:rPr>
      </w:pPr>
      <w:r w:rsidRPr="00FA3F9C">
        <w:rPr>
          <w:rFonts w:ascii="Arial" w:hAnsi="Arial" w:cs="Arial"/>
          <w:sz w:val="24"/>
          <w:szCs w:val="24"/>
        </w:rPr>
        <w:t>Quantity Limits: QL of #14 for the 120mg dosage form. Dose is 120mg twice daily for 7 days, then the PI states to increase to 240mg BID after that.</w:t>
      </w:r>
    </w:p>
    <w:p w14:paraId="621339C4" w14:textId="77777777" w:rsidR="001506C1" w:rsidRPr="00FA3F9C" w:rsidRDefault="001506C1" w:rsidP="003F60DF">
      <w:pPr>
        <w:spacing w:after="0"/>
        <w:ind w:left="360"/>
        <w:contextualSpacing/>
        <w:rPr>
          <w:rFonts w:ascii="Arial" w:hAnsi="Arial" w:cs="Arial"/>
          <w:sz w:val="24"/>
          <w:szCs w:val="24"/>
        </w:rPr>
      </w:pPr>
      <w:r w:rsidRPr="00FA3F9C">
        <w:rPr>
          <w:rFonts w:ascii="Arial" w:hAnsi="Arial" w:cs="Arial"/>
          <w:sz w:val="24"/>
          <w:szCs w:val="24"/>
        </w:rPr>
        <w:t xml:space="preserve">QL of #62 for each fill.  NO more than a 31 </w:t>
      </w:r>
      <w:proofErr w:type="spellStart"/>
      <w:proofErr w:type="gramStart"/>
      <w:r w:rsidRPr="00FA3F9C">
        <w:rPr>
          <w:rFonts w:ascii="Arial" w:hAnsi="Arial" w:cs="Arial"/>
          <w:sz w:val="24"/>
          <w:szCs w:val="24"/>
        </w:rPr>
        <w:t>days</w:t>
      </w:r>
      <w:proofErr w:type="spellEnd"/>
      <w:proofErr w:type="gramEnd"/>
      <w:r w:rsidRPr="00FA3F9C">
        <w:rPr>
          <w:rFonts w:ascii="Arial" w:hAnsi="Arial" w:cs="Arial"/>
          <w:sz w:val="24"/>
          <w:szCs w:val="24"/>
        </w:rPr>
        <w:t xml:space="preserve"> supply with each fill.</w:t>
      </w:r>
    </w:p>
    <w:p w14:paraId="169BED39" w14:textId="77777777" w:rsidR="001506C1" w:rsidRPr="00FA3F9C" w:rsidRDefault="001506C1" w:rsidP="006F623F">
      <w:pPr>
        <w:spacing w:after="0"/>
        <w:rPr>
          <w:rFonts w:ascii="Arial" w:hAnsi="Arial" w:cs="Arial"/>
          <w:sz w:val="24"/>
          <w:szCs w:val="24"/>
        </w:rPr>
      </w:pPr>
    </w:p>
    <w:p w14:paraId="76E84F16" w14:textId="77777777" w:rsidR="001506C1" w:rsidRPr="00FA3F9C" w:rsidRDefault="001506C1" w:rsidP="003F60DF">
      <w:pPr>
        <w:spacing w:after="0"/>
        <w:rPr>
          <w:rFonts w:ascii="Arial" w:hAnsi="Arial" w:cs="Arial"/>
          <w:sz w:val="24"/>
          <w:szCs w:val="24"/>
          <w:lang w:val="es-ES"/>
        </w:rPr>
      </w:pPr>
      <w:proofErr w:type="spellStart"/>
      <w:r w:rsidRPr="00FA3F9C">
        <w:rPr>
          <w:rFonts w:ascii="Arial" w:hAnsi="Arial" w:cs="Arial"/>
          <w:sz w:val="24"/>
          <w:szCs w:val="24"/>
          <w:lang w:val="es-ES"/>
        </w:rPr>
        <w:t>References</w:t>
      </w:r>
      <w:proofErr w:type="spellEnd"/>
      <w:r w:rsidRPr="00FA3F9C">
        <w:rPr>
          <w:rFonts w:ascii="Arial" w:hAnsi="Arial" w:cs="Arial"/>
          <w:sz w:val="24"/>
          <w:szCs w:val="24"/>
          <w:lang w:val="es-ES"/>
        </w:rPr>
        <w:t>:</w:t>
      </w:r>
    </w:p>
    <w:p w14:paraId="492F05B7" w14:textId="77777777" w:rsidR="001506C1" w:rsidRPr="00FA3F9C" w:rsidRDefault="001506C1" w:rsidP="003F60DF">
      <w:pPr>
        <w:autoSpaceDE w:val="0"/>
        <w:autoSpaceDN w:val="0"/>
        <w:adjustRightInd w:val="0"/>
        <w:spacing w:after="0" w:line="240" w:lineRule="auto"/>
        <w:rPr>
          <w:rFonts w:ascii="Arial" w:hAnsi="Arial" w:cs="Arial"/>
          <w:sz w:val="24"/>
          <w:szCs w:val="24"/>
        </w:rPr>
      </w:pPr>
      <w:r w:rsidRPr="00FA3F9C">
        <w:rPr>
          <w:rFonts w:ascii="Arial" w:hAnsi="Arial" w:cs="Arial"/>
          <w:sz w:val="24"/>
          <w:szCs w:val="24"/>
          <w:lang w:val="es-ES"/>
        </w:rPr>
        <w:t xml:space="preserve">1. </w:t>
      </w:r>
      <w:proofErr w:type="spellStart"/>
      <w:r w:rsidRPr="00FA3F9C">
        <w:rPr>
          <w:rFonts w:ascii="Arial" w:hAnsi="Arial" w:cs="Arial"/>
          <w:sz w:val="24"/>
          <w:szCs w:val="24"/>
          <w:lang w:val="es-ES"/>
        </w:rPr>
        <w:t>Tecfidera</w:t>
      </w:r>
      <w:proofErr w:type="spellEnd"/>
      <w:r w:rsidRPr="00FA3F9C">
        <w:rPr>
          <w:rFonts w:ascii="Arial" w:hAnsi="Arial" w:cs="Arial"/>
          <w:sz w:val="24"/>
          <w:szCs w:val="24"/>
          <w:lang w:val="es-ES"/>
        </w:rPr>
        <w:t xml:space="preserve"> PI.  </w:t>
      </w:r>
      <w:hyperlink r:id="rId134" w:history="1">
        <w:r w:rsidRPr="00FA3F9C">
          <w:rPr>
            <w:rStyle w:val="Hyperlink"/>
            <w:rFonts w:ascii="Arial" w:hAnsi="Arial" w:cs="Arial"/>
            <w:sz w:val="24"/>
            <w:szCs w:val="24"/>
            <w:lang w:val="es-ES"/>
          </w:rPr>
          <w:t>www.tecfidera.com</w:t>
        </w:r>
      </w:hyperlink>
      <w:r w:rsidRPr="00FA3F9C">
        <w:rPr>
          <w:rFonts w:ascii="Arial" w:hAnsi="Arial" w:cs="Arial"/>
          <w:sz w:val="24"/>
          <w:szCs w:val="24"/>
          <w:lang w:val="es-ES"/>
        </w:rPr>
        <w:t xml:space="preserve">.  </w:t>
      </w:r>
      <w:r w:rsidRPr="00FA3F9C">
        <w:rPr>
          <w:rFonts w:ascii="Arial" w:hAnsi="Arial" w:cs="Arial"/>
          <w:sz w:val="24"/>
          <w:szCs w:val="24"/>
        </w:rPr>
        <w:t>Accessed 5/28/13.</w:t>
      </w:r>
    </w:p>
    <w:p w14:paraId="2BFB07BC" w14:textId="77777777" w:rsidR="001506C1" w:rsidRPr="00FA3F9C" w:rsidRDefault="001506C1" w:rsidP="003F60DF">
      <w:pPr>
        <w:autoSpaceDE w:val="0"/>
        <w:autoSpaceDN w:val="0"/>
        <w:adjustRightInd w:val="0"/>
        <w:spacing w:after="0" w:line="240" w:lineRule="auto"/>
        <w:rPr>
          <w:rFonts w:ascii="Arial" w:hAnsi="Arial" w:cs="Arial"/>
          <w:sz w:val="24"/>
          <w:szCs w:val="24"/>
        </w:rPr>
      </w:pPr>
      <w:r w:rsidRPr="00FA3F9C">
        <w:rPr>
          <w:rFonts w:ascii="Arial" w:hAnsi="Arial" w:cs="Arial"/>
          <w:sz w:val="24"/>
          <w:szCs w:val="24"/>
        </w:rPr>
        <w:t xml:space="preserve">2.  Expanded Disability Status Scale. </w:t>
      </w:r>
      <w:hyperlink r:id="rId135" w:history="1">
        <w:r w:rsidRPr="00FA3F9C">
          <w:rPr>
            <w:rStyle w:val="Hyperlink"/>
            <w:rFonts w:ascii="Arial" w:hAnsi="Arial" w:cs="Arial"/>
            <w:sz w:val="24"/>
            <w:szCs w:val="24"/>
          </w:rPr>
          <w:t>http://www.fda.gov/ohrms/dockets/ac/00/backgrd/3582b1px.pdf</w:t>
        </w:r>
      </w:hyperlink>
    </w:p>
    <w:p w14:paraId="5864915C" w14:textId="77777777" w:rsidR="001506C1" w:rsidRPr="00FA3F9C" w:rsidRDefault="001506C1" w:rsidP="003F60DF">
      <w:pPr>
        <w:widowControl w:val="0"/>
        <w:autoSpaceDE w:val="0"/>
        <w:autoSpaceDN w:val="0"/>
        <w:adjustRightInd w:val="0"/>
        <w:spacing w:after="0" w:line="240" w:lineRule="auto"/>
        <w:rPr>
          <w:rFonts w:ascii="Arial" w:hAnsi="Arial" w:cs="Arial"/>
          <w:sz w:val="24"/>
          <w:szCs w:val="24"/>
        </w:rPr>
      </w:pPr>
      <w:r w:rsidRPr="00FA3F9C">
        <w:rPr>
          <w:rFonts w:ascii="Arial" w:hAnsi="Arial" w:cs="Arial"/>
          <w:sz w:val="24"/>
          <w:szCs w:val="24"/>
        </w:rPr>
        <w:t xml:space="preserve">3.  </w:t>
      </w:r>
      <w:proofErr w:type="spellStart"/>
      <w:r w:rsidRPr="00FA3F9C">
        <w:rPr>
          <w:rFonts w:ascii="Arial" w:hAnsi="Arial" w:cs="Arial"/>
          <w:sz w:val="24"/>
          <w:szCs w:val="24"/>
        </w:rPr>
        <w:t>Filippini</w:t>
      </w:r>
      <w:proofErr w:type="spellEnd"/>
      <w:r w:rsidRPr="00FA3F9C">
        <w:rPr>
          <w:rFonts w:ascii="Arial" w:hAnsi="Arial" w:cs="Arial"/>
          <w:sz w:val="24"/>
          <w:szCs w:val="24"/>
        </w:rPr>
        <w:t xml:space="preserve"> G, Del </w:t>
      </w:r>
      <w:proofErr w:type="spellStart"/>
      <w:r w:rsidRPr="00FA3F9C">
        <w:rPr>
          <w:rFonts w:ascii="Arial" w:hAnsi="Arial" w:cs="Arial"/>
          <w:sz w:val="24"/>
          <w:szCs w:val="24"/>
        </w:rPr>
        <w:t>Giovane</w:t>
      </w:r>
      <w:proofErr w:type="spellEnd"/>
      <w:r w:rsidRPr="00FA3F9C">
        <w:rPr>
          <w:rFonts w:ascii="Arial" w:hAnsi="Arial" w:cs="Arial"/>
          <w:sz w:val="24"/>
          <w:szCs w:val="24"/>
        </w:rPr>
        <w:t xml:space="preserve"> C, </w:t>
      </w:r>
      <w:proofErr w:type="spellStart"/>
      <w:r w:rsidRPr="00FA3F9C">
        <w:rPr>
          <w:rFonts w:ascii="Arial" w:hAnsi="Arial" w:cs="Arial"/>
          <w:sz w:val="24"/>
          <w:szCs w:val="24"/>
        </w:rPr>
        <w:t>Vacchi</w:t>
      </w:r>
      <w:proofErr w:type="spellEnd"/>
      <w:r w:rsidRPr="00FA3F9C">
        <w:rPr>
          <w:rFonts w:ascii="Arial" w:hAnsi="Arial" w:cs="Arial"/>
          <w:sz w:val="24"/>
          <w:szCs w:val="24"/>
        </w:rPr>
        <w:t xml:space="preserve"> L, D’Amico R, Di </w:t>
      </w:r>
      <w:proofErr w:type="spellStart"/>
      <w:r w:rsidRPr="00FA3F9C">
        <w:rPr>
          <w:rFonts w:ascii="Arial" w:hAnsi="Arial" w:cs="Arial"/>
          <w:sz w:val="24"/>
          <w:szCs w:val="24"/>
        </w:rPr>
        <w:t>Pietrantonj</w:t>
      </w:r>
      <w:proofErr w:type="spellEnd"/>
      <w:r w:rsidRPr="00FA3F9C">
        <w:rPr>
          <w:rFonts w:ascii="Arial" w:hAnsi="Arial" w:cs="Arial"/>
          <w:sz w:val="24"/>
          <w:szCs w:val="24"/>
        </w:rPr>
        <w:t xml:space="preserve"> C, Beecher D, </w:t>
      </w:r>
      <w:proofErr w:type="spellStart"/>
      <w:r w:rsidRPr="00FA3F9C">
        <w:rPr>
          <w:rFonts w:ascii="Arial" w:hAnsi="Arial" w:cs="Arial"/>
          <w:sz w:val="24"/>
          <w:szCs w:val="24"/>
        </w:rPr>
        <w:t>Salanti</w:t>
      </w:r>
      <w:proofErr w:type="spellEnd"/>
      <w:r w:rsidRPr="00FA3F9C">
        <w:rPr>
          <w:rFonts w:ascii="Arial" w:hAnsi="Arial" w:cs="Arial"/>
          <w:sz w:val="24"/>
          <w:szCs w:val="24"/>
        </w:rPr>
        <w:t xml:space="preserve"> G. Immunomodulators and</w:t>
      </w:r>
    </w:p>
    <w:p w14:paraId="25295D00" w14:textId="77777777" w:rsidR="001506C1" w:rsidRPr="00FA3F9C" w:rsidRDefault="001506C1" w:rsidP="003F60DF">
      <w:pPr>
        <w:widowControl w:val="0"/>
        <w:autoSpaceDE w:val="0"/>
        <w:autoSpaceDN w:val="0"/>
        <w:adjustRightInd w:val="0"/>
        <w:spacing w:after="0" w:line="240" w:lineRule="auto"/>
        <w:rPr>
          <w:rFonts w:ascii="Arial" w:hAnsi="Arial" w:cs="Arial"/>
          <w:sz w:val="24"/>
          <w:szCs w:val="24"/>
        </w:rPr>
      </w:pPr>
      <w:r w:rsidRPr="00FA3F9C">
        <w:rPr>
          <w:rFonts w:ascii="Arial" w:hAnsi="Arial" w:cs="Arial"/>
          <w:sz w:val="24"/>
          <w:szCs w:val="24"/>
        </w:rPr>
        <w:t>immunosuppressants for multiple sclerosis: a network meta-analysis. Cochrane Database of Systematic Reviews 2013, Issue 6. Art. No.: CD008933. DOI: 10.1002/14651858.CD008933.pub2.</w:t>
      </w:r>
    </w:p>
    <w:p w14:paraId="3EE19607" w14:textId="77777777" w:rsidR="001506C1" w:rsidRPr="00FA3F9C" w:rsidRDefault="001506C1" w:rsidP="001506C1">
      <w:pPr>
        <w:pStyle w:val="ListParagraph"/>
        <w:numPr>
          <w:ilvl w:val="0"/>
          <w:numId w:val="135"/>
        </w:numPr>
        <w:spacing w:after="200" w:line="276" w:lineRule="auto"/>
        <w:ind w:left="180" w:hanging="180"/>
        <w:rPr>
          <w:rFonts w:ascii="Arial" w:eastAsia="Times New Roman" w:hAnsi="Arial" w:cs="Arial"/>
          <w:sz w:val="24"/>
          <w:szCs w:val="24"/>
        </w:rPr>
      </w:pPr>
      <w:r w:rsidRPr="00FA3F9C">
        <w:rPr>
          <w:rFonts w:ascii="Arial" w:hAnsi="Arial" w:cs="Arial"/>
          <w:sz w:val="24"/>
          <w:szCs w:val="24"/>
        </w:rPr>
        <w:t xml:space="preserve">AAN.  Practice Guideline: Disease-modifying Therapies for Adults with multiple sclerosis.  American Academy of Neurology 4/24/2018. </w:t>
      </w:r>
      <w:hyperlink r:id="rId136" w:history="1">
        <w:r w:rsidRPr="00FA3F9C">
          <w:rPr>
            <w:rFonts w:ascii="Arial" w:eastAsia="Times New Roman" w:hAnsi="Arial" w:cs="Arial"/>
            <w:color w:val="0000FF"/>
            <w:sz w:val="24"/>
            <w:szCs w:val="24"/>
            <w:u w:val="single"/>
          </w:rPr>
          <w:t>https://www.aan.com/Guidelines/Home/GetGuidelineContent/900</w:t>
        </w:r>
      </w:hyperlink>
    </w:p>
    <w:p w14:paraId="6F4559E4" w14:textId="77777777" w:rsidR="001506C1" w:rsidRPr="00FA3F9C" w:rsidRDefault="001506C1" w:rsidP="006F623F">
      <w:pPr>
        <w:spacing w:after="0"/>
        <w:rPr>
          <w:rFonts w:ascii="Arial" w:hAnsi="Arial" w:cs="Arial"/>
          <w:sz w:val="24"/>
          <w:szCs w:val="24"/>
        </w:rPr>
      </w:pPr>
    </w:p>
    <w:p w14:paraId="52966761" w14:textId="77777777" w:rsidR="001506C1" w:rsidRPr="00FA3F9C" w:rsidRDefault="001506C1" w:rsidP="003F60DF">
      <w:pPr>
        <w:spacing w:after="0"/>
        <w:rPr>
          <w:rFonts w:ascii="Arial" w:hAnsi="Arial" w:cs="Arial"/>
          <w:sz w:val="24"/>
          <w:szCs w:val="24"/>
        </w:rPr>
      </w:pPr>
      <w:r w:rsidRPr="00FA3F9C">
        <w:rPr>
          <w:rFonts w:ascii="Arial" w:hAnsi="Arial" w:cs="Arial"/>
          <w:sz w:val="24"/>
          <w:szCs w:val="24"/>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8301"/>
        <w:gridCol w:w="1590"/>
      </w:tblGrid>
      <w:tr w:rsidR="001506C1" w:rsidRPr="00FA3F9C" w14:paraId="619FA4FA" w14:textId="77777777" w:rsidTr="003F60DF">
        <w:tc>
          <w:tcPr>
            <w:tcW w:w="1167" w:type="dxa"/>
          </w:tcPr>
          <w:p w14:paraId="6F08CF46" w14:textId="77777777" w:rsidR="001506C1" w:rsidRPr="00FA3F9C" w:rsidRDefault="001506C1" w:rsidP="00457F7B">
            <w:pPr>
              <w:spacing w:after="0" w:line="240" w:lineRule="auto"/>
              <w:rPr>
                <w:rFonts w:ascii="Arial" w:hAnsi="Arial" w:cs="Arial"/>
                <w:sz w:val="24"/>
                <w:szCs w:val="24"/>
              </w:rPr>
            </w:pPr>
            <w:r w:rsidRPr="00FA3F9C">
              <w:rPr>
                <w:rFonts w:ascii="Arial" w:hAnsi="Arial" w:cs="Arial"/>
                <w:sz w:val="24"/>
                <w:szCs w:val="24"/>
              </w:rPr>
              <w:t>Date</w:t>
            </w:r>
          </w:p>
        </w:tc>
        <w:tc>
          <w:tcPr>
            <w:tcW w:w="8301" w:type="dxa"/>
          </w:tcPr>
          <w:p w14:paraId="4004A4DE" w14:textId="77777777" w:rsidR="001506C1" w:rsidRPr="00FA3F9C" w:rsidRDefault="001506C1" w:rsidP="00457F7B">
            <w:pPr>
              <w:spacing w:after="0" w:line="240" w:lineRule="auto"/>
              <w:rPr>
                <w:rFonts w:ascii="Arial" w:hAnsi="Arial" w:cs="Arial"/>
                <w:sz w:val="24"/>
                <w:szCs w:val="24"/>
              </w:rPr>
            </w:pPr>
            <w:r w:rsidRPr="00FA3F9C">
              <w:rPr>
                <w:rFonts w:ascii="Arial" w:hAnsi="Arial" w:cs="Arial"/>
                <w:sz w:val="24"/>
                <w:szCs w:val="24"/>
              </w:rPr>
              <w:t>What changed?</w:t>
            </w:r>
          </w:p>
        </w:tc>
        <w:tc>
          <w:tcPr>
            <w:tcW w:w="1440" w:type="dxa"/>
          </w:tcPr>
          <w:p w14:paraId="0D35BCFB" w14:textId="77777777" w:rsidR="001506C1" w:rsidRPr="00FA3F9C" w:rsidRDefault="001506C1" w:rsidP="00457F7B">
            <w:pPr>
              <w:spacing w:after="0" w:line="240" w:lineRule="auto"/>
              <w:rPr>
                <w:rFonts w:ascii="Arial" w:hAnsi="Arial" w:cs="Arial"/>
                <w:sz w:val="24"/>
                <w:szCs w:val="24"/>
              </w:rPr>
            </w:pPr>
            <w:r w:rsidRPr="00FA3F9C">
              <w:rPr>
                <w:rFonts w:ascii="Arial" w:hAnsi="Arial" w:cs="Arial"/>
                <w:sz w:val="24"/>
                <w:szCs w:val="24"/>
              </w:rPr>
              <w:t>Pharmacist’s initials</w:t>
            </w:r>
          </w:p>
        </w:tc>
      </w:tr>
      <w:tr w:rsidR="001506C1" w:rsidRPr="00FA3F9C" w14:paraId="2D0895A1" w14:textId="77777777" w:rsidTr="003F60DF">
        <w:tc>
          <w:tcPr>
            <w:tcW w:w="1167" w:type="dxa"/>
          </w:tcPr>
          <w:p w14:paraId="4488E2B6" w14:textId="77777777" w:rsidR="001506C1" w:rsidRPr="00FA3F9C" w:rsidRDefault="001506C1" w:rsidP="00457F7B">
            <w:pPr>
              <w:spacing w:after="0" w:line="240" w:lineRule="auto"/>
              <w:rPr>
                <w:rFonts w:ascii="Arial" w:hAnsi="Arial" w:cs="Arial"/>
                <w:sz w:val="24"/>
                <w:szCs w:val="24"/>
              </w:rPr>
            </w:pPr>
            <w:r w:rsidRPr="00FA3F9C">
              <w:rPr>
                <w:rFonts w:ascii="Arial" w:hAnsi="Arial" w:cs="Arial"/>
                <w:sz w:val="24"/>
                <w:szCs w:val="24"/>
              </w:rPr>
              <w:t>5/28/13</w:t>
            </w:r>
          </w:p>
        </w:tc>
        <w:tc>
          <w:tcPr>
            <w:tcW w:w="8301" w:type="dxa"/>
          </w:tcPr>
          <w:p w14:paraId="526E3C6E" w14:textId="77777777" w:rsidR="001506C1" w:rsidRPr="00FA3F9C" w:rsidRDefault="001506C1" w:rsidP="00457F7B">
            <w:pPr>
              <w:spacing w:after="0" w:line="240" w:lineRule="auto"/>
              <w:rPr>
                <w:rFonts w:ascii="Arial" w:hAnsi="Arial" w:cs="Arial"/>
                <w:sz w:val="24"/>
                <w:szCs w:val="24"/>
              </w:rPr>
            </w:pPr>
            <w:r w:rsidRPr="00FA3F9C">
              <w:rPr>
                <w:rFonts w:ascii="Arial" w:hAnsi="Arial" w:cs="Arial"/>
                <w:sz w:val="24"/>
                <w:szCs w:val="24"/>
              </w:rPr>
              <w:t>Jill created the criteria.</w:t>
            </w:r>
          </w:p>
        </w:tc>
        <w:tc>
          <w:tcPr>
            <w:tcW w:w="1440" w:type="dxa"/>
          </w:tcPr>
          <w:p w14:paraId="6A111968" w14:textId="77777777" w:rsidR="001506C1" w:rsidRPr="00FA3F9C" w:rsidRDefault="001506C1" w:rsidP="00457F7B">
            <w:pPr>
              <w:spacing w:after="0" w:line="240" w:lineRule="auto"/>
              <w:rPr>
                <w:rFonts w:ascii="Arial" w:hAnsi="Arial" w:cs="Arial"/>
                <w:sz w:val="24"/>
                <w:szCs w:val="24"/>
              </w:rPr>
            </w:pPr>
            <w:r w:rsidRPr="00FA3F9C">
              <w:rPr>
                <w:rFonts w:ascii="Arial" w:hAnsi="Arial" w:cs="Arial"/>
                <w:sz w:val="24"/>
                <w:szCs w:val="24"/>
              </w:rPr>
              <w:t>JJ</w:t>
            </w:r>
          </w:p>
        </w:tc>
      </w:tr>
      <w:tr w:rsidR="001506C1" w:rsidRPr="00FA3F9C" w14:paraId="7DA38644" w14:textId="77777777" w:rsidTr="003F60DF">
        <w:tc>
          <w:tcPr>
            <w:tcW w:w="1167" w:type="dxa"/>
          </w:tcPr>
          <w:p w14:paraId="3D611C14" w14:textId="77777777" w:rsidR="001506C1" w:rsidRPr="00FA3F9C" w:rsidRDefault="001506C1" w:rsidP="00457F7B">
            <w:pPr>
              <w:spacing w:after="0" w:line="240" w:lineRule="auto"/>
              <w:rPr>
                <w:rFonts w:ascii="Arial" w:hAnsi="Arial" w:cs="Arial"/>
                <w:sz w:val="24"/>
                <w:szCs w:val="24"/>
              </w:rPr>
            </w:pPr>
            <w:r w:rsidRPr="00FA3F9C">
              <w:rPr>
                <w:rFonts w:ascii="Arial" w:hAnsi="Arial" w:cs="Arial"/>
                <w:sz w:val="24"/>
                <w:szCs w:val="24"/>
              </w:rPr>
              <w:t>5/20/2014</w:t>
            </w:r>
          </w:p>
        </w:tc>
        <w:tc>
          <w:tcPr>
            <w:tcW w:w="8301" w:type="dxa"/>
          </w:tcPr>
          <w:p w14:paraId="517EF5E5" w14:textId="77777777" w:rsidR="001506C1" w:rsidRPr="00FA3F9C" w:rsidRDefault="001506C1" w:rsidP="00457F7B">
            <w:pPr>
              <w:spacing w:after="0" w:line="240" w:lineRule="auto"/>
              <w:rPr>
                <w:rFonts w:ascii="Arial" w:hAnsi="Arial" w:cs="Arial"/>
                <w:sz w:val="24"/>
                <w:szCs w:val="24"/>
              </w:rPr>
            </w:pPr>
            <w:r w:rsidRPr="00FA3F9C">
              <w:rPr>
                <w:rFonts w:ascii="Arial" w:hAnsi="Arial" w:cs="Arial"/>
                <w:sz w:val="24"/>
                <w:szCs w:val="24"/>
              </w:rPr>
              <w:t xml:space="preserve">Jill added the requirement of failing interferon (Rebif or </w:t>
            </w:r>
            <w:proofErr w:type="spellStart"/>
            <w:r w:rsidRPr="00FA3F9C">
              <w:rPr>
                <w:rFonts w:ascii="Arial" w:hAnsi="Arial" w:cs="Arial"/>
                <w:sz w:val="24"/>
                <w:szCs w:val="24"/>
              </w:rPr>
              <w:t>Betaseron</w:t>
            </w:r>
            <w:proofErr w:type="spellEnd"/>
            <w:r w:rsidRPr="00FA3F9C">
              <w:rPr>
                <w:rFonts w:ascii="Arial" w:hAnsi="Arial" w:cs="Arial"/>
                <w:sz w:val="24"/>
                <w:szCs w:val="24"/>
              </w:rPr>
              <w:t xml:space="preserve">) per the Cochrane Sys Review that states Avonex is inferior to those.  Rebif showed </w:t>
            </w:r>
            <w:r w:rsidRPr="00FA3F9C">
              <w:rPr>
                <w:rFonts w:ascii="Arial" w:hAnsi="Arial" w:cs="Arial"/>
                <w:sz w:val="24"/>
                <w:szCs w:val="24"/>
              </w:rPr>
              <w:lastRenderedPageBreak/>
              <w:t xml:space="preserve">decreased exacerbations and a delay in progression.  </w:t>
            </w:r>
            <w:proofErr w:type="spellStart"/>
            <w:r w:rsidRPr="00FA3F9C">
              <w:rPr>
                <w:rFonts w:ascii="Arial" w:hAnsi="Arial" w:cs="Arial"/>
                <w:sz w:val="24"/>
                <w:szCs w:val="24"/>
              </w:rPr>
              <w:t>Betaseron</w:t>
            </w:r>
            <w:proofErr w:type="spellEnd"/>
            <w:r w:rsidRPr="00FA3F9C">
              <w:rPr>
                <w:rFonts w:ascii="Arial" w:hAnsi="Arial" w:cs="Arial"/>
                <w:sz w:val="24"/>
                <w:szCs w:val="24"/>
              </w:rPr>
              <w:t xml:space="preserve"> was not statistically different from Rebif.  Avonex was.  Reference #3 was added.</w:t>
            </w:r>
          </w:p>
        </w:tc>
        <w:tc>
          <w:tcPr>
            <w:tcW w:w="1440" w:type="dxa"/>
          </w:tcPr>
          <w:p w14:paraId="0EAC28BD" w14:textId="77777777" w:rsidR="001506C1" w:rsidRPr="00FA3F9C" w:rsidRDefault="001506C1" w:rsidP="00457F7B">
            <w:pPr>
              <w:spacing w:after="0" w:line="240" w:lineRule="auto"/>
              <w:rPr>
                <w:rFonts w:ascii="Arial" w:hAnsi="Arial" w:cs="Arial"/>
                <w:sz w:val="24"/>
                <w:szCs w:val="24"/>
              </w:rPr>
            </w:pPr>
            <w:r w:rsidRPr="00FA3F9C">
              <w:rPr>
                <w:rFonts w:ascii="Arial" w:hAnsi="Arial" w:cs="Arial"/>
                <w:sz w:val="24"/>
                <w:szCs w:val="24"/>
              </w:rPr>
              <w:lastRenderedPageBreak/>
              <w:t>JJ</w:t>
            </w:r>
          </w:p>
        </w:tc>
      </w:tr>
      <w:tr w:rsidR="001506C1" w:rsidRPr="00FA3F9C" w14:paraId="5539826B" w14:textId="77777777" w:rsidTr="003F60DF">
        <w:tc>
          <w:tcPr>
            <w:tcW w:w="1167" w:type="dxa"/>
          </w:tcPr>
          <w:p w14:paraId="0562D3F8" w14:textId="77777777" w:rsidR="001506C1" w:rsidRPr="00FA3F9C" w:rsidRDefault="001506C1" w:rsidP="00457F7B">
            <w:pPr>
              <w:spacing w:after="0" w:line="240" w:lineRule="auto"/>
              <w:rPr>
                <w:rFonts w:ascii="Arial" w:hAnsi="Arial" w:cs="Arial"/>
                <w:sz w:val="24"/>
                <w:szCs w:val="24"/>
              </w:rPr>
            </w:pPr>
            <w:r w:rsidRPr="00FA3F9C">
              <w:rPr>
                <w:rFonts w:ascii="Arial" w:hAnsi="Arial" w:cs="Arial"/>
                <w:sz w:val="24"/>
                <w:szCs w:val="24"/>
              </w:rPr>
              <w:t>9/19/19</w:t>
            </w:r>
          </w:p>
        </w:tc>
        <w:tc>
          <w:tcPr>
            <w:tcW w:w="8301" w:type="dxa"/>
          </w:tcPr>
          <w:p w14:paraId="3B6A8EE9" w14:textId="77777777" w:rsidR="001506C1" w:rsidRPr="00FA3F9C" w:rsidRDefault="001506C1" w:rsidP="00457F7B">
            <w:pPr>
              <w:spacing w:after="0" w:line="240" w:lineRule="auto"/>
              <w:rPr>
                <w:rFonts w:ascii="Arial" w:hAnsi="Arial" w:cs="Arial"/>
                <w:sz w:val="24"/>
                <w:szCs w:val="24"/>
              </w:rPr>
            </w:pPr>
            <w:r w:rsidRPr="00FA3F9C">
              <w:rPr>
                <w:rFonts w:ascii="Arial" w:hAnsi="Arial" w:cs="Arial"/>
                <w:sz w:val="24"/>
                <w:szCs w:val="24"/>
              </w:rPr>
              <w:t>I changed the criteria and removed requirement for failure of interferon first. Added reference 4.</w:t>
            </w:r>
          </w:p>
        </w:tc>
        <w:tc>
          <w:tcPr>
            <w:tcW w:w="1440" w:type="dxa"/>
          </w:tcPr>
          <w:p w14:paraId="01F954DE" w14:textId="1BBAD4F7" w:rsidR="001506C1" w:rsidRPr="00FA3F9C" w:rsidRDefault="005C142D" w:rsidP="00457F7B">
            <w:pPr>
              <w:spacing w:after="0" w:line="240" w:lineRule="auto"/>
              <w:rPr>
                <w:rFonts w:ascii="Arial" w:hAnsi="Arial" w:cs="Arial"/>
                <w:sz w:val="24"/>
                <w:szCs w:val="24"/>
              </w:rPr>
            </w:pPr>
            <w:r w:rsidRPr="00FA3F9C">
              <w:rPr>
                <w:rFonts w:ascii="Arial" w:hAnsi="Arial" w:cs="Arial"/>
                <w:sz w:val="24"/>
                <w:szCs w:val="24"/>
              </w:rPr>
              <w:t>JJ</w:t>
            </w:r>
          </w:p>
        </w:tc>
      </w:tr>
      <w:tr w:rsidR="001506C1" w:rsidRPr="00FA3F9C" w14:paraId="546B2C40" w14:textId="77777777" w:rsidTr="003F60DF">
        <w:tc>
          <w:tcPr>
            <w:tcW w:w="1167" w:type="dxa"/>
          </w:tcPr>
          <w:p w14:paraId="1A4D1E70" w14:textId="77777777" w:rsidR="001506C1" w:rsidRPr="00FA3F9C" w:rsidRDefault="001506C1" w:rsidP="00457F7B">
            <w:pPr>
              <w:spacing w:after="0" w:line="240" w:lineRule="auto"/>
              <w:rPr>
                <w:rFonts w:ascii="Arial" w:hAnsi="Arial" w:cs="Arial"/>
                <w:sz w:val="24"/>
                <w:szCs w:val="24"/>
              </w:rPr>
            </w:pPr>
            <w:r w:rsidRPr="00FA3F9C">
              <w:rPr>
                <w:rFonts w:ascii="Arial" w:hAnsi="Arial" w:cs="Arial"/>
                <w:sz w:val="24"/>
                <w:szCs w:val="24"/>
              </w:rPr>
              <w:t>06/23/2020</w:t>
            </w:r>
          </w:p>
        </w:tc>
        <w:tc>
          <w:tcPr>
            <w:tcW w:w="8301" w:type="dxa"/>
          </w:tcPr>
          <w:p w14:paraId="1B9577D2" w14:textId="77777777" w:rsidR="001506C1" w:rsidRPr="00FA3F9C" w:rsidRDefault="001506C1" w:rsidP="00457F7B">
            <w:pPr>
              <w:spacing w:after="0" w:line="240" w:lineRule="auto"/>
              <w:rPr>
                <w:rFonts w:ascii="Arial" w:hAnsi="Arial" w:cs="Arial"/>
                <w:sz w:val="24"/>
                <w:szCs w:val="24"/>
              </w:rPr>
            </w:pPr>
            <w:r w:rsidRPr="00FA3F9C">
              <w:rPr>
                <w:rFonts w:ascii="Arial" w:hAnsi="Arial" w:cs="Arial"/>
                <w:sz w:val="24"/>
                <w:szCs w:val="24"/>
              </w:rPr>
              <w:t>I reviewed the criteria.  No changes.</w:t>
            </w:r>
          </w:p>
        </w:tc>
        <w:tc>
          <w:tcPr>
            <w:tcW w:w="1440" w:type="dxa"/>
          </w:tcPr>
          <w:p w14:paraId="5022718E" w14:textId="3DD60E2D" w:rsidR="001506C1" w:rsidRPr="00FA3F9C" w:rsidRDefault="005C142D" w:rsidP="00457F7B">
            <w:pPr>
              <w:spacing w:after="0" w:line="240" w:lineRule="auto"/>
              <w:rPr>
                <w:rFonts w:ascii="Arial" w:hAnsi="Arial" w:cs="Arial"/>
                <w:sz w:val="24"/>
                <w:szCs w:val="24"/>
              </w:rPr>
            </w:pPr>
            <w:r w:rsidRPr="00FA3F9C">
              <w:rPr>
                <w:rFonts w:ascii="Arial" w:hAnsi="Arial" w:cs="Arial"/>
                <w:sz w:val="24"/>
                <w:szCs w:val="24"/>
              </w:rPr>
              <w:t>JJ</w:t>
            </w:r>
          </w:p>
        </w:tc>
      </w:tr>
      <w:tr w:rsidR="001506C1" w:rsidRPr="00FA3F9C" w14:paraId="276AAAFD" w14:textId="77777777" w:rsidTr="003F60DF">
        <w:tc>
          <w:tcPr>
            <w:tcW w:w="1167" w:type="dxa"/>
          </w:tcPr>
          <w:p w14:paraId="2E8D8105" w14:textId="77777777" w:rsidR="001506C1" w:rsidRPr="00FA3F9C" w:rsidRDefault="001506C1" w:rsidP="00457F7B">
            <w:pPr>
              <w:spacing w:after="0" w:line="240" w:lineRule="auto"/>
              <w:rPr>
                <w:rFonts w:ascii="Arial" w:hAnsi="Arial" w:cs="Arial"/>
                <w:sz w:val="24"/>
                <w:szCs w:val="24"/>
              </w:rPr>
            </w:pPr>
            <w:r w:rsidRPr="00FA3F9C">
              <w:rPr>
                <w:rFonts w:ascii="Arial" w:hAnsi="Arial" w:cs="Arial"/>
                <w:sz w:val="24"/>
                <w:szCs w:val="24"/>
              </w:rPr>
              <w:t>7/6/2020</w:t>
            </w:r>
          </w:p>
        </w:tc>
        <w:tc>
          <w:tcPr>
            <w:tcW w:w="8301" w:type="dxa"/>
          </w:tcPr>
          <w:p w14:paraId="059B7AA1" w14:textId="77777777" w:rsidR="001506C1" w:rsidRPr="00FA3F9C" w:rsidRDefault="001506C1" w:rsidP="00457F7B">
            <w:pPr>
              <w:spacing w:after="0" w:line="240" w:lineRule="auto"/>
              <w:rPr>
                <w:rFonts w:ascii="Arial" w:hAnsi="Arial" w:cs="Arial"/>
                <w:sz w:val="24"/>
                <w:szCs w:val="24"/>
              </w:rPr>
            </w:pPr>
            <w:r w:rsidRPr="00FA3F9C">
              <w:rPr>
                <w:rFonts w:ascii="Arial" w:hAnsi="Arial" w:cs="Arial"/>
                <w:sz w:val="24"/>
                <w:szCs w:val="24"/>
              </w:rPr>
              <w:t>I added criteria #2 to disallow concurrent use with diroximel fumarate.</w:t>
            </w:r>
          </w:p>
        </w:tc>
        <w:tc>
          <w:tcPr>
            <w:tcW w:w="1440" w:type="dxa"/>
          </w:tcPr>
          <w:p w14:paraId="38BC35D9" w14:textId="606E6184" w:rsidR="001506C1" w:rsidRPr="00FA3F9C" w:rsidRDefault="005C142D" w:rsidP="00457F7B">
            <w:pPr>
              <w:spacing w:after="0" w:line="240" w:lineRule="auto"/>
              <w:rPr>
                <w:rFonts w:ascii="Arial" w:hAnsi="Arial" w:cs="Arial"/>
                <w:sz w:val="24"/>
                <w:szCs w:val="24"/>
              </w:rPr>
            </w:pPr>
            <w:r w:rsidRPr="00FA3F9C">
              <w:rPr>
                <w:rFonts w:ascii="Arial" w:hAnsi="Arial" w:cs="Arial"/>
                <w:sz w:val="24"/>
                <w:szCs w:val="24"/>
              </w:rPr>
              <w:t>JJ</w:t>
            </w:r>
          </w:p>
        </w:tc>
      </w:tr>
      <w:tr w:rsidR="001506C1" w:rsidRPr="00FA3F9C" w14:paraId="08FDE6D7" w14:textId="77777777" w:rsidTr="003F60DF">
        <w:tc>
          <w:tcPr>
            <w:tcW w:w="1167" w:type="dxa"/>
          </w:tcPr>
          <w:p w14:paraId="422E67A1" w14:textId="77777777" w:rsidR="001506C1" w:rsidRPr="00FA3F9C" w:rsidRDefault="001506C1" w:rsidP="00457F7B">
            <w:pPr>
              <w:spacing w:after="0" w:line="240" w:lineRule="auto"/>
              <w:rPr>
                <w:rFonts w:ascii="Arial" w:hAnsi="Arial" w:cs="Arial"/>
                <w:sz w:val="24"/>
                <w:szCs w:val="24"/>
              </w:rPr>
            </w:pPr>
            <w:r w:rsidRPr="00FA3F9C">
              <w:rPr>
                <w:rFonts w:ascii="Arial" w:hAnsi="Arial" w:cs="Arial"/>
                <w:sz w:val="24"/>
                <w:szCs w:val="24"/>
              </w:rPr>
              <w:t>12/8/2020</w:t>
            </w:r>
          </w:p>
        </w:tc>
        <w:tc>
          <w:tcPr>
            <w:tcW w:w="8301" w:type="dxa"/>
          </w:tcPr>
          <w:p w14:paraId="094A5C6A" w14:textId="77777777" w:rsidR="001506C1" w:rsidRPr="00FA3F9C" w:rsidRDefault="001506C1" w:rsidP="00457F7B">
            <w:pPr>
              <w:spacing w:after="0" w:line="240" w:lineRule="auto"/>
              <w:rPr>
                <w:rFonts w:ascii="Arial" w:hAnsi="Arial" w:cs="Arial"/>
                <w:sz w:val="24"/>
                <w:szCs w:val="24"/>
              </w:rPr>
            </w:pPr>
            <w:r w:rsidRPr="00FA3F9C">
              <w:rPr>
                <w:rFonts w:ascii="Arial" w:hAnsi="Arial" w:cs="Arial"/>
                <w:sz w:val="24"/>
                <w:szCs w:val="24"/>
              </w:rPr>
              <w:t>Reviewed.  Added no concurrent monomethyl fumarate either (not covered by the plan, but to be complete)</w:t>
            </w:r>
          </w:p>
        </w:tc>
        <w:tc>
          <w:tcPr>
            <w:tcW w:w="1440" w:type="dxa"/>
          </w:tcPr>
          <w:p w14:paraId="04C80895" w14:textId="6107C55B" w:rsidR="001506C1" w:rsidRPr="00FA3F9C" w:rsidRDefault="005C142D" w:rsidP="00457F7B">
            <w:pPr>
              <w:spacing w:after="0" w:line="240" w:lineRule="auto"/>
              <w:rPr>
                <w:rFonts w:ascii="Arial" w:hAnsi="Arial" w:cs="Arial"/>
                <w:sz w:val="24"/>
                <w:szCs w:val="24"/>
              </w:rPr>
            </w:pPr>
            <w:r w:rsidRPr="00FA3F9C">
              <w:rPr>
                <w:rFonts w:ascii="Arial" w:hAnsi="Arial" w:cs="Arial"/>
                <w:sz w:val="24"/>
                <w:szCs w:val="24"/>
              </w:rPr>
              <w:t>JJ</w:t>
            </w:r>
          </w:p>
        </w:tc>
      </w:tr>
    </w:tbl>
    <w:p w14:paraId="0F8D8E1D" w14:textId="77777777" w:rsidR="001506C1" w:rsidRPr="00FA3F9C" w:rsidRDefault="001506C1" w:rsidP="006F623F">
      <w:pPr>
        <w:spacing w:after="0"/>
        <w:rPr>
          <w:rFonts w:ascii="Arial" w:hAnsi="Arial" w:cs="Arial"/>
          <w:sz w:val="24"/>
          <w:szCs w:val="24"/>
        </w:rPr>
      </w:pPr>
    </w:p>
    <w:p w14:paraId="4491B75E" w14:textId="77777777" w:rsidR="001506C1" w:rsidRPr="00FA3F9C" w:rsidRDefault="001506C1" w:rsidP="003F60DF">
      <w:pPr>
        <w:widowControl w:val="0"/>
        <w:autoSpaceDE w:val="0"/>
        <w:autoSpaceDN w:val="0"/>
        <w:adjustRightInd w:val="0"/>
        <w:spacing w:after="0" w:line="240" w:lineRule="auto"/>
        <w:rPr>
          <w:rFonts w:ascii="Arial" w:hAnsi="Arial" w:cs="Arial"/>
          <w:sz w:val="24"/>
          <w:szCs w:val="24"/>
        </w:rPr>
      </w:pPr>
    </w:p>
    <w:p w14:paraId="253459E8" w14:textId="77777777" w:rsidR="001506C1" w:rsidRPr="00FA3F9C" w:rsidRDefault="001506C1" w:rsidP="006F623F">
      <w:pPr>
        <w:spacing w:after="0"/>
        <w:rPr>
          <w:rFonts w:ascii="Arial" w:hAnsi="Arial" w:cs="Arial"/>
          <w:sz w:val="24"/>
          <w:szCs w:val="24"/>
        </w:rPr>
      </w:pPr>
    </w:p>
    <w:p w14:paraId="1C5DA885" w14:textId="7845AB16" w:rsidR="001506C1" w:rsidRDefault="001506C1" w:rsidP="002819F6">
      <w:pPr>
        <w:pStyle w:val="Heading2"/>
      </w:pPr>
      <w:bookmarkStart w:id="77" w:name="_Toc106369772"/>
      <w:r w:rsidRPr="00FA3F9C">
        <w:t>Dolutegravir/</w:t>
      </w:r>
      <w:proofErr w:type="spellStart"/>
      <w:r w:rsidRPr="00FA3F9C">
        <w:t>rilpivirine</w:t>
      </w:r>
      <w:proofErr w:type="spellEnd"/>
      <w:r w:rsidRPr="00FA3F9C">
        <w:t xml:space="preserve"> (</w:t>
      </w:r>
      <w:proofErr w:type="spellStart"/>
      <w:r w:rsidRPr="00FA3F9C">
        <w:t>Juluca</w:t>
      </w:r>
      <w:proofErr w:type="spellEnd"/>
      <w:r w:rsidRPr="00FA3F9C">
        <w:t>)</w:t>
      </w:r>
      <w:bookmarkEnd w:id="77"/>
    </w:p>
    <w:p w14:paraId="23C15325" w14:textId="4A9F7880" w:rsidR="002819F6" w:rsidRDefault="002819F6" w:rsidP="006F623F">
      <w:pPr>
        <w:spacing w:after="0"/>
        <w:jc w:val="center"/>
        <w:rPr>
          <w:rFonts w:ascii="Arial" w:hAnsi="Arial" w:cs="Arial"/>
          <w:sz w:val="24"/>
          <w:szCs w:val="24"/>
        </w:rPr>
      </w:pPr>
      <w:r w:rsidRPr="00FA3F9C">
        <w:rPr>
          <w:rFonts w:ascii="Arial" w:hAnsi="Arial" w:cs="Arial"/>
          <w:sz w:val="24"/>
          <w:szCs w:val="24"/>
        </w:rPr>
        <w:t>50-25 mg tablet</w:t>
      </w:r>
    </w:p>
    <w:p w14:paraId="723B7625" w14:textId="77777777" w:rsidR="002819F6" w:rsidRPr="00FA3F9C" w:rsidRDefault="002819F6" w:rsidP="002819F6">
      <w:pPr>
        <w:spacing w:after="0"/>
        <w:jc w:val="center"/>
        <w:rPr>
          <w:rFonts w:ascii="Arial" w:hAnsi="Arial" w:cs="Arial"/>
          <w:sz w:val="24"/>
          <w:szCs w:val="24"/>
        </w:rPr>
      </w:pPr>
      <w:r w:rsidRPr="00FA3F9C">
        <w:rPr>
          <w:rFonts w:ascii="Arial" w:hAnsi="Arial" w:cs="Arial"/>
          <w:sz w:val="24"/>
          <w:szCs w:val="24"/>
        </w:rPr>
        <w:t>EBRx PA Criteria</w:t>
      </w:r>
    </w:p>
    <w:p w14:paraId="59A035C4" w14:textId="77777777" w:rsidR="002819F6" w:rsidRPr="00FA3F9C" w:rsidRDefault="002819F6" w:rsidP="006F623F">
      <w:pPr>
        <w:spacing w:after="0"/>
        <w:jc w:val="center"/>
        <w:rPr>
          <w:rFonts w:ascii="Arial" w:hAnsi="Arial" w:cs="Arial"/>
          <w:sz w:val="24"/>
          <w:szCs w:val="24"/>
        </w:rPr>
      </w:pPr>
    </w:p>
    <w:p w14:paraId="5016A8E4" w14:textId="77777777" w:rsidR="001506C1" w:rsidRPr="00FA3F9C" w:rsidRDefault="001506C1" w:rsidP="006F623F">
      <w:pPr>
        <w:spacing w:after="0"/>
        <w:rPr>
          <w:rFonts w:ascii="Arial" w:hAnsi="Arial" w:cs="Arial"/>
          <w:b/>
          <w:sz w:val="24"/>
          <w:szCs w:val="24"/>
          <w:u w:val="single"/>
        </w:rPr>
      </w:pPr>
    </w:p>
    <w:p w14:paraId="105A23F9" w14:textId="77777777" w:rsidR="001506C1" w:rsidRPr="00FA3F9C" w:rsidRDefault="001506C1" w:rsidP="006F623F">
      <w:pPr>
        <w:spacing w:after="0"/>
        <w:rPr>
          <w:rFonts w:ascii="Arial" w:hAnsi="Arial" w:cs="Arial"/>
          <w:sz w:val="24"/>
          <w:szCs w:val="24"/>
        </w:rPr>
      </w:pPr>
      <w:r w:rsidRPr="00FA3F9C">
        <w:rPr>
          <w:rFonts w:ascii="Arial" w:hAnsi="Arial" w:cs="Arial"/>
          <w:b/>
          <w:sz w:val="24"/>
          <w:szCs w:val="24"/>
          <w:u w:val="single"/>
        </w:rPr>
        <w:t>is FDA-approved:</w:t>
      </w:r>
      <w:r w:rsidRPr="00FA3F9C">
        <w:rPr>
          <w:rFonts w:ascii="Arial" w:hAnsi="Arial" w:cs="Arial"/>
          <w:sz w:val="24"/>
          <w:szCs w:val="24"/>
        </w:rPr>
        <w:t xml:space="preserve"> as a complete regimen for the treatment of HIV-1 infection in adults in select patients (described below) </w:t>
      </w:r>
    </w:p>
    <w:tbl>
      <w:tblPr>
        <w:tblStyle w:val="TableGrid"/>
        <w:tblW w:w="11028" w:type="dxa"/>
        <w:tblLook w:val="04A0" w:firstRow="1" w:lastRow="0" w:firstColumn="1" w:lastColumn="0" w:noHBand="0" w:noVBand="1"/>
      </w:tblPr>
      <w:tblGrid>
        <w:gridCol w:w="11028"/>
      </w:tblGrid>
      <w:tr w:rsidR="001506C1" w:rsidRPr="00FA3F9C" w14:paraId="6A026221" w14:textId="77777777" w:rsidTr="00D44740">
        <w:trPr>
          <w:trHeight w:val="268"/>
        </w:trPr>
        <w:tc>
          <w:tcPr>
            <w:tcW w:w="11028" w:type="dxa"/>
            <w:shd w:val="clear" w:color="auto" w:fill="000000"/>
          </w:tcPr>
          <w:p w14:paraId="6D22C592" w14:textId="77777777" w:rsidR="001506C1" w:rsidRPr="00FA3F9C" w:rsidRDefault="001506C1" w:rsidP="00571CAB">
            <w:pPr>
              <w:rPr>
                <w:rFonts w:ascii="Arial" w:hAnsi="Arial" w:cs="Arial"/>
                <w:b/>
                <w:sz w:val="24"/>
                <w:szCs w:val="24"/>
                <w:u w:val="single"/>
              </w:rPr>
            </w:pPr>
            <w:r w:rsidRPr="00FA3F9C">
              <w:rPr>
                <w:rFonts w:ascii="Arial" w:hAnsi="Arial" w:cs="Arial"/>
                <w:b/>
                <w:sz w:val="24"/>
                <w:szCs w:val="24"/>
                <w:u w:val="single"/>
              </w:rPr>
              <w:t>Criteria for new users</w:t>
            </w:r>
          </w:p>
        </w:tc>
      </w:tr>
      <w:tr w:rsidR="001506C1" w:rsidRPr="00FA3F9C" w14:paraId="6D43CF7F" w14:textId="77777777" w:rsidTr="00D44740">
        <w:trPr>
          <w:trHeight w:val="253"/>
        </w:trPr>
        <w:tc>
          <w:tcPr>
            <w:tcW w:w="11028" w:type="dxa"/>
          </w:tcPr>
          <w:p w14:paraId="787B81FF" w14:textId="77777777" w:rsidR="001506C1" w:rsidRPr="00FA3F9C" w:rsidRDefault="001506C1" w:rsidP="001506C1">
            <w:pPr>
              <w:pStyle w:val="ListParagraph"/>
              <w:numPr>
                <w:ilvl w:val="0"/>
                <w:numId w:val="136"/>
              </w:numPr>
              <w:rPr>
                <w:rFonts w:ascii="Arial" w:hAnsi="Arial" w:cs="Arial"/>
                <w:sz w:val="24"/>
                <w:szCs w:val="24"/>
              </w:rPr>
            </w:pPr>
            <w:r w:rsidRPr="00FA3F9C">
              <w:rPr>
                <w:rFonts w:ascii="Arial" w:hAnsi="Arial" w:cs="Arial"/>
                <w:sz w:val="24"/>
                <w:szCs w:val="24"/>
              </w:rPr>
              <w:t xml:space="preserve">The patient </w:t>
            </w:r>
            <w:r w:rsidRPr="00FA3F9C">
              <w:rPr>
                <w:rFonts w:ascii="Arial" w:hAnsi="Arial" w:cs="Arial"/>
                <w:b/>
                <w:sz w:val="24"/>
                <w:szCs w:val="24"/>
              </w:rPr>
              <w:t>must have</w:t>
            </w:r>
            <w:r w:rsidRPr="00FA3F9C">
              <w:rPr>
                <w:rFonts w:ascii="Arial" w:hAnsi="Arial" w:cs="Arial"/>
                <w:sz w:val="24"/>
                <w:szCs w:val="24"/>
              </w:rPr>
              <w:t xml:space="preserve"> a diagnosis of HIV-1 infection and meet </w:t>
            </w:r>
            <w:proofErr w:type="gramStart"/>
            <w:r w:rsidRPr="00FA3F9C">
              <w:rPr>
                <w:rFonts w:ascii="Arial" w:hAnsi="Arial" w:cs="Arial"/>
                <w:sz w:val="24"/>
                <w:szCs w:val="24"/>
              </w:rPr>
              <w:t>all of</w:t>
            </w:r>
            <w:proofErr w:type="gramEnd"/>
            <w:r w:rsidRPr="00FA3F9C">
              <w:rPr>
                <w:rFonts w:ascii="Arial" w:hAnsi="Arial" w:cs="Arial"/>
                <w:sz w:val="24"/>
                <w:szCs w:val="24"/>
              </w:rPr>
              <w:t xml:space="preserve"> the following criteria.</w:t>
            </w:r>
          </w:p>
          <w:p w14:paraId="35371710" w14:textId="77777777" w:rsidR="001506C1" w:rsidRPr="00FA3F9C" w:rsidRDefault="001506C1" w:rsidP="001506C1">
            <w:pPr>
              <w:pStyle w:val="ListParagraph"/>
              <w:numPr>
                <w:ilvl w:val="0"/>
                <w:numId w:val="137"/>
              </w:numPr>
              <w:rPr>
                <w:rFonts w:ascii="Arial" w:hAnsi="Arial" w:cs="Arial"/>
                <w:sz w:val="24"/>
                <w:szCs w:val="24"/>
              </w:rPr>
            </w:pPr>
            <w:r w:rsidRPr="00FA3F9C">
              <w:rPr>
                <w:rFonts w:ascii="Arial" w:hAnsi="Arial" w:cs="Arial"/>
                <w:sz w:val="24"/>
                <w:szCs w:val="24"/>
              </w:rPr>
              <w:t>Virologically suppressed (HIV-1 RNA &lt; 50 copies/mL) AND</w:t>
            </w:r>
          </w:p>
          <w:p w14:paraId="1D7C8B5E" w14:textId="77777777" w:rsidR="001506C1" w:rsidRPr="00FA3F9C" w:rsidRDefault="001506C1" w:rsidP="001506C1">
            <w:pPr>
              <w:pStyle w:val="ListParagraph"/>
              <w:numPr>
                <w:ilvl w:val="0"/>
                <w:numId w:val="137"/>
              </w:numPr>
              <w:rPr>
                <w:rFonts w:ascii="Arial" w:hAnsi="Arial" w:cs="Arial"/>
                <w:sz w:val="24"/>
                <w:szCs w:val="24"/>
              </w:rPr>
            </w:pPr>
            <w:r w:rsidRPr="00FA3F9C">
              <w:rPr>
                <w:rFonts w:ascii="Arial" w:hAnsi="Arial" w:cs="Arial"/>
                <w:sz w:val="24"/>
                <w:szCs w:val="24"/>
              </w:rPr>
              <w:t>On the same, stable antiretroviral regimen for at least 6 months AND</w:t>
            </w:r>
          </w:p>
          <w:p w14:paraId="4DFB64B9" w14:textId="77777777" w:rsidR="001506C1" w:rsidRPr="00FA3F9C" w:rsidRDefault="001506C1" w:rsidP="001506C1">
            <w:pPr>
              <w:pStyle w:val="ListParagraph"/>
              <w:numPr>
                <w:ilvl w:val="0"/>
                <w:numId w:val="137"/>
              </w:numPr>
              <w:rPr>
                <w:rFonts w:ascii="Arial" w:hAnsi="Arial" w:cs="Arial"/>
                <w:sz w:val="24"/>
                <w:szCs w:val="24"/>
              </w:rPr>
            </w:pPr>
            <w:r w:rsidRPr="00FA3F9C">
              <w:rPr>
                <w:rFonts w:ascii="Arial" w:hAnsi="Arial" w:cs="Arial"/>
                <w:sz w:val="24"/>
                <w:szCs w:val="24"/>
              </w:rPr>
              <w:t>No history of treatment failure with other HIV regimens AND</w:t>
            </w:r>
          </w:p>
          <w:p w14:paraId="4053E34D" w14:textId="77777777" w:rsidR="001506C1" w:rsidRPr="00FA3F9C" w:rsidRDefault="001506C1" w:rsidP="001506C1">
            <w:pPr>
              <w:pStyle w:val="ListParagraph"/>
              <w:numPr>
                <w:ilvl w:val="0"/>
                <w:numId w:val="137"/>
              </w:numPr>
              <w:rPr>
                <w:rFonts w:ascii="Arial" w:hAnsi="Arial" w:cs="Arial"/>
                <w:sz w:val="24"/>
                <w:szCs w:val="24"/>
              </w:rPr>
            </w:pPr>
            <w:r w:rsidRPr="00FA3F9C">
              <w:rPr>
                <w:rFonts w:ascii="Arial" w:hAnsi="Arial" w:cs="Arial"/>
                <w:sz w:val="24"/>
                <w:szCs w:val="24"/>
              </w:rPr>
              <w:t xml:space="preserve">No known resistance to dolutegravir OR </w:t>
            </w:r>
            <w:proofErr w:type="spellStart"/>
            <w:r w:rsidRPr="00FA3F9C">
              <w:rPr>
                <w:rFonts w:ascii="Arial" w:hAnsi="Arial" w:cs="Arial"/>
                <w:sz w:val="24"/>
                <w:szCs w:val="24"/>
              </w:rPr>
              <w:t>rilpivirine</w:t>
            </w:r>
            <w:proofErr w:type="spellEnd"/>
            <w:r w:rsidRPr="00FA3F9C">
              <w:rPr>
                <w:rFonts w:ascii="Arial" w:hAnsi="Arial" w:cs="Arial"/>
                <w:sz w:val="24"/>
                <w:szCs w:val="24"/>
              </w:rPr>
              <w:t xml:space="preserve"> (the resistance panel must be done right before or after the initiation of their current HIV regimen).</w:t>
            </w:r>
          </w:p>
        </w:tc>
      </w:tr>
      <w:tr w:rsidR="001506C1" w:rsidRPr="00FA3F9C" w14:paraId="7E4E74C5" w14:textId="77777777" w:rsidTr="00D44740">
        <w:trPr>
          <w:trHeight w:val="253"/>
        </w:trPr>
        <w:tc>
          <w:tcPr>
            <w:tcW w:w="11028" w:type="dxa"/>
          </w:tcPr>
          <w:p w14:paraId="5D7C22C3" w14:textId="77777777" w:rsidR="001506C1" w:rsidRPr="00FA3F9C" w:rsidRDefault="001506C1" w:rsidP="001506C1">
            <w:pPr>
              <w:pStyle w:val="ListParagraph"/>
              <w:numPr>
                <w:ilvl w:val="0"/>
                <w:numId w:val="136"/>
              </w:numPr>
              <w:rPr>
                <w:rFonts w:ascii="Arial" w:hAnsi="Arial" w:cs="Arial"/>
                <w:sz w:val="24"/>
                <w:szCs w:val="24"/>
              </w:rPr>
            </w:pPr>
            <w:r w:rsidRPr="00FA3F9C">
              <w:rPr>
                <w:rFonts w:ascii="Arial" w:hAnsi="Arial" w:cs="Arial"/>
                <w:sz w:val="24"/>
                <w:szCs w:val="24"/>
              </w:rPr>
              <w:t xml:space="preserve">The request for </w:t>
            </w:r>
            <w:proofErr w:type="spellStart"/>
            <w:r w:rsidRPr="00FA3F9C">
              <w:rPr>
                <w:rFonts w:ascii="Arial" w:hAnsi="Arial" w:cs="Arial"/>
                <w:sz w:val="24"/>
                <w:szCs w:val="24"/>
              </w:rPr>
              <w:t>Juluca</w:t>
            </w:r>
            <w:proofErr w:type="spellEnd"/>
            <w:r w:rsidRPr="00FA3F9C">
              <w:rPr>
                <w:rFonts w:ascii="Arial" w:hAnsi="Arial" w:cs="Arial"/>
                <w:sz w:val="24"/>
                <w:szCs w:val="24"/>
              </w:rPr>
              <w:t xml:space="preserve"> must decrease the number of tablets the patient takes daily. (</w:t>
            </w:r>
            <w:proofErr w:type="spellStart"/>
            <w:proofErr w:type="gramStart"/>
            <w:r w:rsidRPr="00FA3F9C">
              <w:rPr>
                <w:rFonts w:ascii="Arial" w:hAnsi="Arial" w:cs="Arial"/>
                <w:sz w:val="24"/>
                <w:szCs w:val="24"/>
              </w:rPr>
              <w:t>ie</w:t>
            </w:r>
            <w:proofErr w:type="spellEnd"/>
            <w:proofErr w:type="gramEnd"/>
            <w:r w:rsidRPr="00FA3F9C">
              <w:rPr>
                <w:rFonts w:ascii="Arial" w:hAnsi="Arial" w:cs="Arial"/>
                <w:sz w:val="24"/>
                <w:szCs w:val="24"/>
              </w:rPr>
              <w:t xml:space="preserve">. </w:t>
            </w:r>
            <w:proofErr w:type="spellStart"/>
            <w:r w:rsidRPr="00FA3F9C">
              <w:rPr>
                <w:rFonts w:ascii="Arial" w:hAnsi="Arial" w:cs="Arial"/>
                <w:sz w:val="24"/>
                <w:szCs w:val="24"/>
              </w:rPr>
              <w:t>Juluca</w:t>
            </w:r>
            <w:proofErr w:type="spellEnd"/>
            <w:r w:rsidRPr="00FA3F9C">
              <w:rPr>
                <w:rFonts w:ascii="Arial" w:hAnsi="Arial" w:cs="Arial"/>
                <w:sz w:val="24"/>
                <w:szCs w:val="24"/>
              </w:rPr>
              <w:t xml:space="preserve"> will not be approved for patients switching from once daily </w:t>
            </w:r>
            <w:proofErr w:type="spellStart"/>
            <w:r w:rsidRPr="00FA3F9C">
              <w:rPr>
                <w:rFonts w:ascii="Arial" w:hAnsi="Arial" w:cs="Arial"/>
                <w:sz w:val="24"/>
                <w:szCs w:val="24"/>
              </w:rPr>
              <w:t>Genvoya</w:t>
            </w:r>
            <w:proofErr w:type="spellEnd"/>
            <w:r w:rsidRPr="00FA3F9C">
              <w:rPr>
                <w:rFonts w:ascii="Arial" w:hAnsi="Arial" w:cs="Arial"/>
                <w:sz w:val="24"/>
                <w:szCs w:val="24"/>
              </w:rPr>
              <w:t xml:space="preserve"> to once daily </w:t>
            </w:r>
            <w:proofErr w:type="spellStart"/>
            <w:r w:rsidRPr="00FA3F9C">
              <w:rPr>
                <w:rFonts w:ascii="Arial" w:hAnsi="Arial" w:cs="Arial"/>
                <w:sz w:val="24"/>
                <w:szCs w:val="24"/>
              </w:rPr>
              <w:t>Juluca</w:t>
            </w:r>
            <w:proofErr w:type="spellEnd"/>
            <w:r w:rsidRPr="00FA3F9C">
              <w:rPr>
                <w:rFonts w:ascii="Arial" w:hAnsi="Arial" w:cs="Arial"/>
                <w:sz w:val="24"/>
                <w:szCs w:val="24"/>
              </w:rPr>
              <w:t>).</w:t>
            </w:r>
          </w:p>
        </w:tc>
      </w:tr>
      <w:tr w:rsidR="001506C1" w:rsidRPr="00FA3F9C" w14:paraId="323EE0A4" w14:textId="77777777" w:rsidTr="00D44740">
        <w:trPr>
          <w:trHeight w:val="253"/>
        </w:trPr>
        <w:tc>
          <w:tcPr>
            <w:tcW w:w="11028" w:type="dxa"/>
          </w:tcPr>
          <w:p w14:paraId="22E292EB" w14:textId="77777777" w:rsidR="001506C1" w:rsidRPr="00FA3F9C" w:rsidRDefault="001506C1" w:rsidP="00D1212C">
            <w:pPr>
              <w:rPr>
                <w:rFonts w:ascii="Arial" w:hAnsi="Arial" w:cs="Arial"/>
                <w:sz w:val="24"/>
                <w:szCs w:val="24"/>
              </w:rPr>
            </w:pPr>
            <w:r w:rsidRPr="00FA3F9C">
              <w:rPr>
                <w:rFonts w:ascii="Arial" w:hAnsi="Arial" w:cs="Arial"/>
                <w:sz w:val="24"/>
                <w:szCs w:val="24"/>
              </w:rPr>
              <w:t xml:space="preserve">If all of criteria 1 and criteria 2 are met, approve </w:t>
            </w:r>
            <w:proofErr w:type="spellStart"/>
            <w:r w:rsidRPr="00FA3F9C">
              <w:rPr>
                <w:rFonts w:ascii="Arial" w:hAnsi="Arial" w:cs="Arial"/>
                <w:sz w:val="24"/>
                <w:szCs w:val="24"/>
              </w:rPr>
              <w:t>Juluca</w:t>
            </w:r>
            <w:proofErr w:type="spellEnd"/>
            <w:r w:rsidRPr="00FA3F9C">
              <w:rPr>
                <w:rFonts w:ascii="Arial" w:hAnsi="Arial" w:cs="Arial"/>
                <w:sz w:val="24"/>
                <w:szCs w:val="24"/>
              </w:rPr>
              <w:t xml:space="preserve"> 50-25 mg once daily for 1 year.</w:t>
            </w:r>
          </w:p>
          <w:p w14:paraId="692B03D5" w14:textId="77777777" w:rsidR="001506C1" w:rsidRPr="00FA3F9C" w:rsidRDefault="001506C1" w:rsidP="001506C1">
            <w:pPr>
              <w:pStyle w:val="ListParagraph"/>
              <w:numPr>
                <w:ilvl w:val="0"/>
                <w:numId w:val="138"/>
              </w:numPr>
              <w:rPr>
                <w:rFonts w:ascii="Arial" w:hAnsi="Arial" w:cs="Arial"/>
                <w:b/>
                <w:sz w:val="24"/>
                <w:szCs w:val="24"/>
              </w:rPr>
            </w:pPr>
            <w:r w:rsidRPr="00FA3F9C">
              <w:rPr>
                <w:rFonts w:ascii="Arial" w:hAnsi="Arial" w:cs="Arial"/>
                <w:b/>
                <w:sz w:val="24"/>
                <w:szCs w:val="24"/>
              </w:rPr>
              <w:t xml:space="preserve">If the patient is on concomitant rifabutin – the patient must take an additional 25 mg tablet of </w:t>
            </w:r>
            <w:proofErr w:type="spellStart"/>
            <w:r w:rsidRPr="00FA3F9C">
              <w:rPr>
                <w:rFonts w:ascii="Arial" w:hAnsi="Arial" w:cs="Arial"/>
                <w:b/>
                <w:sz w:val="24"/>
                <w:szCs w:val="24"/>
              </w:rPr>
              <w:t>rilpivirine</w:t>
            </w:r>
            <w:proofErr w:type="spellEnd"/>
            <w:r w:rsidRPr="00FA3F9C">
              <w:rPr>
                <w:rFonts w:ascii="Arial" w:hAnsi="Arial" w:cs="Arial"/>
                <w:b/>
                <w:sz w:val="24"/>
                <w:szCs w:val="24"/>
              </w:rPr>
              <w:t xml:space="preserve"> with </w:t>
            </w:r>
            <w:proofErr w:type="spellStart"/>
            <w:r w:rsidRPr="00FA3F9C">
              <w:rPr>
                <w:rFonts w:ascii="Arial" w:hAnsi="Arial" w:cs="Arial"/>
                <w:b/>
                <w:sz w:val="24"/>
                <w:szCs w:val="24"/>
              </w:rPr>
              <w:t>Juluca</w:t>
            </w:r>
            <w:proofErr w:type="spellEnd"/>
            <w:r w:rsidRPr="00FA3F9C">
              <w:rPr>
                <w:rFonts w:ascii="Arial" w:hAnsi="Arial" w:cs="Arial"/>
                <w:b/>
                <w:sz w:val="24"/>
                <w:szCs w:val="24"/>
              </w:rPr>
              <w:t xml:space="preserve"> once daily for the duration of the rifabutin coadministration.</w:t>
            </w:r>
          </w:p>
        </w:tc>
      </w:tr>
    </w:tbl>
    <w:p w14:paraId="313CBA63" w14:textId="77777777" w:rsidR="001506C1" w:rsidRPr="00FA3F9C" w:rsidRDefault="001506C1" w:rsidP="006F623F">
      <w:pPr>
        <w:spacing w:after="0"/>
        <w:rPr>
          <w:rFonts w:ascii="Arial" w:hAnsi="Arial" w:cs="Arial"/>
          <w:b/>
          <w:sz w:val="24"/>
          <w:szCs w:val="24"/>
          <w:u w:val="single"/>
        </w:rPr>
      </w:pPr>
    </w:p>
    <w:p w14:paraId="01C73465" w14:textId="77777777" w:rsidR="001506C1" w:rsidRPr="00FA3F9C" w:rsidRDefault="001506C1" w:rsidP="006F623F">
      <w:pPr>
        <w:spacing w:after="0"/>
        <w:rPr>
          <w:rFonts w:ascii="Arial" w:hAnsi="Arial" w:cs="Arial"/>
          <w:b/>
          <w:sz w:val="24"/>
          <w:szCs w:val="24"/>
          <w:u w:val="single"/>
        </w:rPr>
      </w:pPr>
    </w:p>
    <w:p w14:paraId="5231C4A8"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lastRenderedPageBreak/>
        <w:t>Dosing: one tablet PO once daily with a meal.</w:t>
      </w:r>
    </w:p>
    <w:p w14:paraId="5A524330" w14:textId="77777777" w:rsidR="001506C1" w:rsidRPr="00FA3F9C" w:rsidRDefault="001506C1" w:rsidP="006F623F">
      <w:pPr>
        <w:spacing w:after="0"/>
        <w:rPr>
          <w:rFonts w:ascii="Arial" w:hAnsi="Arial" w:cs="Arial"/>
          <w:sz w:val="24"/>
          <w:szCs w:val="24"/>
        </w:rPr>
      </w:pPr>
    </w:p>
    <w:p w14:paraId="20E87755"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055"/>
        <w:gridCol w:w="7663"/>
        <w:gridCol w:w="2072"/>
      </w:tblGrid>
      <w:tr w:rsidR="001506C1" w:rsidRPr="00FA3F9C" w14:paraId="5883826D" w14:textId="77777777" w:rsidTr="001B4B5C">
        <w:tc>
          <w:tcPr>
            <w:tcW w:w="1055" w:type="dxa"/>
          </w:tcPr>
          <w:p w14:paraId="1136CB21" w14:textId="77777777" w:rsidR="001506C1" w:rsidRPr="00FA3F9C" w:rsidRDefault="001506C1" w:rsidP="006F623F">
            <w:pPr>
              <w:rPr>
                <w:rFonts w:ascii="Arial" w:hAnsi="Arial" w:cs="Arial"/>
                <w:sz w:val="24"/>
                <w:szCs w:val="24"/>
              </w:rPr>
            </w:pPr>
            <w:r w:rsidRPr="00FA3F9C">
              <w:rPr>
                <w:rFonts w:ascii="Arial" w:hAnsi="Arial" w:cs="Arial"/>
                <w:sz w:val="24"/>
                <w:szCs w:val="24"/>
              </w:rPr>
              <w:t>Date</w:t>
            </w:r>
          </w:p>
        </w:tc>
        <w:tc>
          <w:tcPr>
            <w:tcW w:w="7663" w:type="dxa"/>
          </w:tcPr>
          <w:p w14:paraId="7E1B5CE5" w14:textId="77777777" w:rsidR="001506C1" w:rsidRPr="00FA3F9C" w:rsidRDefault="001506C1" w:rsidP="006F623F">
            <w:pPr>
              <w:rPr>
                <w:rFonts w:ascii="Arial" w:hAnsi="Arial" w:cs="Arial"/>
                <w:sz w:val="24"/>
                <w:szCs w:val="24"/>
              </w:rPr>
            </w:pPr>
            <w:r w:rsidRPr="00FA3F9C">
              <w:rPr>
                <w:rFonts w:ascii="Arial" w:hAnsi="Arial" w:cs="Arial"/>
                <w:sz w:val="24"/>
                <w:szCs w:val="24"/>
              </w:rPr>
              <w:t>What changed</w:t>
            </w:r>
          </w:p>
        </w:tc>
        <w:tc>
          <w:tcPr>
            <w:tcW w:w="2072" w:type="dxa"/>
          </w:tcPr>
          <w:p w14:paraId="7AC7A7F6" w14:textId="77777777" w:rsidR="001506C1" w:rsidRPr="00FA3F9C" w:rsidRDefault="001506C1" w:rsidP="006F623F">
            <w:pPr>
              <w:rPr>
                <w:rFonts w:ascii="Arial" w:hAnsi="Arial" w:cs="Arial"/>
                <w:sz w:val="24"/>
                <w:szCs w:val="24"/>
              </w:rPr>
            </w:pPr>
            <w:r w:rsidRPr="00FA3F9C">
              <w:rPr>
                <w:rFonts w:ascii="Arial" w:hAnsi="Arial" w:cs="Arial"/>
                <w:sz w:val="24"/>
                <w:szCs w:val="24"/>
              </w:rPr>
              <w:t>Pharmacist’s initials</w:t>
            </w:r>
          </w:p>
        </w:tc>
      </w:tr>
      <w:tr w:rsidR="001506C1" w:rsidRPr="00FA3F9C" w14:paraId="3EB0DFD7" w14:textId="77777777" w:rsidTr="001B4B5C">
        <w:tc>
          <w:tcPr>
            <w:tcW w:w="1055" w:type="dxa"/>
          </w:tcPr>
          <w:p w14:paraId="482F6564" w14:textId="77777777" w:rsidR="001506C1" w:rsidRPr="00FA3F9C" w:rsidRDefault="001506C1" w:rsidP="006F623F">
            <w:pPr>
              <w:rPr>
                <w:rFonts w:ascii="Arial" w:hAnsi="Arial" w:cs="Arial"/>
                <w:sz w:val="24"/>
                <w:szCs w:val="24"/>
              </w:rPr>
            </w:pPr>
            <w:r w:rsidRPr="00FA3F9C">
              <w:rPr>
                <w:rFonts w:ascii="Arial" w:hAnsi="Arial" w:cs="Arial"/>
                <w:sz w:val="24"/>
                <w:szCs w:val="24"/>
              </w:rPr>
              <w:t>1/19/18</w:t>
            </w:r>
          </w:p>
        </w:tc>
        <w:tc>
          <w:tcPr>
            <w:tcW w:w="7663" w:type="dxa"/>
          </w:tcPr>
          <w:p w14:paraId="5D518657" w14:textId="77777777" w:rsidR="001506C1" w:rsidRPr="00FA3F9C" w:rsidRDefault="001506C1" w:rsidP="004D310B">
            <w:pPr>
              <w:rPr>
                <w:rFonts w:ascii="Arial" w:hAnsi="Arial" w:cs="Arial"/>
                <w:sz w:val="24"/>
                <w:szCs w:val="24"/>
              </w:rPr>
            </w:pPr>
            <w:r w:rsidRPr="00FA3F9C">
              <w:rPr>
                <w:rFonts w:ascii="Arial" w:hAnsi="Arial" w:cs="Arial"/>
                <w:sz w:val="24"/>
                <w:szCs w:val="24"/>
              </w:rPr>
              <w:t xml:space="preserve">I wrote the criteria. Current approval is only for pediatric population described above.  </w:t>
            </w:r>
          </w:p>
        </w:tc>
        <w:tc>
          <w:tcPr>
            <w:tcW w:w="2072" w:type="dxa"/>
          </w:tcPr>
          <w:p w14:paraId="1B9BAFB8" w14:textId="77777777" w:rsidR="001506C1" w:rsidRPr="00FA3F9C" w:rsidRDefault="001506C1" w:rsidP="006F623F">
            <w:pPr>
              <w:rPr>
                <w:rFonts w:ascii="Arial" w:hAnsi="Arial" w:cs="Arial"/>
                <w:sz w:val="24"/>
                <w:szCs w:val="24"/>
              </w:rPr>
            </w:pPr>
            <w:r w:rsidRPr="00FA3F9C">
              <w:rPr>
                <w:rFonts w:ascii="Arial" w:hAnsi="Arial" w:cs="Arial"/>
                <w:sz w:val="24"/>
                <w:szCs w:val="24"/>
              </w:rPr>
              <w:t>JK</w:t>
            </w:r>
          </w:p>
        </w:tc>
      </w:tr>
      <w:tr w:rsidR="001506C1" w:rsidRPr="00FA3F9C" w14:paraId="3A0EE9BF" w14:textId="77777777" w:rsidTr="001B4B5C">
        <w:tc>
          <w:tcPr>
            <w:tcW w:w="1055" w:type="dxa"/>
          </w:tcPr>
          <w:p w14:paraId="22880536" w14:textId="77777777" w:rsidR="001506C1" w:rsidRPr="00FA3F9C" w:rsidRDefault="001506C1" w:rsidP="006F623F">
            <w:pPr>
              <w:rPr>
                <w:rFonts w:ascii="Arial" w:hAnsi="Arial" w:cs="Arial"/>
                <w:sz w:val="24"/>
                <w:szCs w:val="24"/>
              </w:rPr>
            </w:pPr>
            <w:r w:rsidRPr="00FA3F9C">
              <w:rPr>
                <w:rFonts w:ascii="Arial" w:hAnsi="Arial" w:cs="Arial"/>
                <w:sz w:val="24"/>
                <w:szCs w:val="24"/>
              </w:rPr>
              <w:t>2/6/18</w:t>
            </w:r>
          </w:p>
        </w:tc>
        <w:tc>
          <w:tcPr>
            <w:tcW w:w="7663" w:type="dxa"/>
          </w:tcPr>
          <w:p w14:paraId="573CB4BE" w14:textId="77777777" w:rsidR="001506C1" w:rsidRPr="00FA3F9C" w:rsidRDefault="001506C1" w:rsidP="006F623F">
            <w:pPr>
              <w:rPr>
                <w:rFonts w:ascii="Arial" w:hAnsi="Arial" w:cs="Arial"/>
                <w:sz w:val="24"/>
                <w:szCs w:val="24"/>
              </w:rPr>
            </w:pPr>
            <w:r w:rsidRPr="00FA3F9C">
              <w:rPr>
                <w:rFonts w:ascii="Arial" w:hAnsi="Arial" w:cs="Arial"/>
                <w:sz w:val="24"/>
                <w:szCs w:val="24"/>
              </w:rPr>
              <w:t xml:space="preserve">I reviewed the criteria.  </w:t>
            </w:r>
          </w:p>
        </w:tc>
        <w:tc>
          <w:tcPr>
            <w:tcW w:w="2072" w:type="dxa"/>
          </w:tcPr>
          <w:p w14:paraId="4EEECBD7" w14:textId="4C337A86" w:rsidR="001506C1" w:rsidRPr="00FA3F9C" w:rsidRDefault="005C142D" w:rsidP="006F623F">
            <w:pPr>
              <w:rPr>
                <w:rFonts w:ascii="Arial" w:hAnsi="Arial" w:cs="Arial"/>
                <w:sz w:val="24"/>
                <w:szCs w:val="24"/>
              </w:rPr>
            </w:pPr>
            <w:r w:rsidRPr="00FA3F9C">
              <w:rPr>
                <w:rFonts w:ascii="Arial" w:hAnsi="Arial" w:cs="Arial"/>
                <w:sz w:val="24"/>
                <w:szCs w:val="24"/>
              </w:rPr>
              <w:t>JJ</w:t>
            </w:r>
          </w:p>
        </w:tc>
      </w:tr>
    </w:tbl>
    <w:p w14:paraId="692A1AC7" w14:textId="77777777" w:rsidR="001506C1" w:rsidRPr="00FA3F9C" w:rsidRDefault="001506C1" w:rsidP="006F623F">
      <w:pPr>
        <w:spacing w:after="0"/>
        <w:rPr>
          <w:rFonts w:ascii="Arial" w:hAnsi="Arial" w:cs="Arial"/>
          <w:sz w:val="24"/>
          <w:szCs w:val="24"/>
        </w:rPr>
      </w:pPr>
    </w:p>
    <w:p w14:paraId="0F522EB2" w14:textId="77777777" w:rsidR="001506C1" w:rsidRPr="00FA3F9C" w:rsidRDefault="001506C1" w:rsidP="006F623F">
      <w:pPr>
        <w:spacing w:after="0"/>
        <w:rPr>
          <w:rFonts w:ascii="Arial" w:hAnsi="Arial" w:cs="Arial"/>
          <w:sz w:val="24"/>
          <w:szCs w:val="24"/>
        </w:rPr>
      </w:pPr>
    </w:p>
    <w:p w14:paraId="5ED61371"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Ref:</w:t>
      </w:r>
    </w:p>
    <w:p w14:paraId="55B4B968" w14:textId="77777777" w:rsidR="001506C1" w:rsidRPr="00FA3F9C" w:rsidRDefault="001506C1" w:rsidP="000554B1">
      <w:pPr>
        <w:spacing w:after="0"/>
        <w:rPr>
          <w:rFonts w:ascii="Arial" w:hAnsi="Arial" w:cs="Arial"/>
          <w:sz w:val="24"/>
          <w:szCs w:val="24"/>
        </w:rPr>
      </w:pPr>
      <w:r w:rsidRPr="00FA3F9C">
        <w:rPr>
          <w:rFonts w:ascii="Arial" w:hAnsi="Arial" w:cs="Arial"/>
          <w:color w:val="222222"/>
          <w:sz w:val="24"/>
          <w:szCs w:val="24"/>
          <w:shd w:val="clear" w:color="auto" w:fill="FFFFFF"/>
        </w:rPr>
        <w:t xml:space="preserve">1.  </w:t>
      </w:r>
      <w:proofErr w:type="spellStart"/>
      <w:r w:rsidRPr="00FA3F9C">
        <w:rPr>
          <w:rFonts w:ascii="Arial" w:hAnsi="Arial" w:cs="Arial"/>
          <w:color w:val="222222"/>
          <w:sz w:val="24"/>
          <w:szCs w:val="24"/>
          <w:shd w:val="clear" w:color="auto" w:fill="FFFFFF"/>
        </w:rPr>
        <w:t>Juluca</w:t>
      </w:r>
      <w:proofErr w:type="spellEnd"/>
      <w:r w:rsidRPr="00FA3F9C">
        <w:rPr>
          <w:rFonts w:ascii="Arial" w:hAnsi="Arial" w:cs="Arial"/>
          <w:color w:val="222222"/>
          <w:sz w:val="24"/>
          <w:szCs w:val="24"/>
          <w:shd w:val="clear" w:color="auto" w:fill="FFFFFF"/>
        </w:rPr>
        <w:t xml:space="preserve"> package insert accessed 1/19/18</w:t>
      </w:r>
    </w:p>
    <w:p w14:paraId="3739AD52" w14:textId="567F6AB2" w:rsidR="001506C1" w:rsidRPr="00FA3F9C" w:rsidRDefault="001506C1" w:rsidP="002819F6">
      <w:pPr>
        <w:pStyle w:val="Heading2"/>
      </w:pPr>
      <w:r w:rsidRPr="00FA3F9C">
        <w:br/>
      </w:r>
      <w:r w:rsidRPr="00FA3F9C">
        <w:br/>
      </w:r>
      <w:bookmarkStart w:id="78" w:name="_Toc106369773"/>
      <w:proofErr w:type="spellStart"/>
      <w:r w:rsidRPr="00FA3F9C">
        <w:t>Dornase</w:t>
      </w:r>
      <w:proofErr w:type="spellEnd"/>
      <w:r w:rsidRPr="00FA3F9C">
        <w:t xml:space="preserve"> alfa (</w:t>
      </w:r>
      <w:proofErr w:type="spellStart"/>
      <w:r w:rsidRPr="00FA3F9C">
        <w:t>Pulmozyme</w:t>
      </w:r>
      <w:proofErr w:type="spellEnd"/>
      <w:r w:rsidRPr="00FA3F9C">
        <w:t>)</w:t>
      </w:r>
      <w:bookmarkEnd w:id="78"/>
    </w:p>
    <w:p w14:paraId="3ABB0505" w14:textId="2C6433B8" w:rsidR="001506C1" w:rsidRDefault="001506C1" w:rsidP="00342795">
      <w:pPr>
        <w:spacing w:after="0" w:line="240" w:lineRule="auto"/>
        <w:jc w:val="center"/>
        <w:rPr>
          <w:rFonts w:ascii="Arial" w:hAnsi="Arial" w:cs="Arial"/>
          <w:sz w:val="24"/>
          <w:szCs w:val="24"/>
        </w:rPr>
      </w:pPr>
      <w:r w:rsidRPr="00FA3F9C">
        <w:rPr>
          <w:rFonts w:ascii="Arial" w:hAnsi="Arial" w:cs="Arial"/>
          <w:sz w:val="24"/>
          <w:szCs w:val="24"/>
        </w:rPr>
        <w:t xml:space="preserve">Solution for nebulization (single-use ampules):  </w:t>
      </w:r>
      <w:proofErr w:type="spellStart"/>
      <w:r w:rsidRPr="00FA3F9C">
        <w:rPr>
          <w:rFonts w:ascii="Arial" w:hAnsi="Arial" w:cs="Arial"/>
          <w:sz w:val="24"/>
          <w:szCs w:val="24"/>
        </w:rPr>
        <w:t>Pulmozyme</w:t>
      </w:r>
      <w:proofErr w:type="spellEnd"/>
      <w:r w:rsidRPr="00FA3F9C">
        <w:rPr>
          <w:rFonts w:ascii="Arial" w:hAnsi="Arial" w:cs="Arial"/>
          <w:sz w:val="24"/>
          <w:szCs w:val="24"/>
        </w:rPr>
        <w:t xml:space="preserve"> 2.5 mg/mL</w:t>
      </w:r>
    </w:p>
    <w:p w14:paraId="1B20E73F" w14:textId="585427B7" w:rsidR="002819F6" w:rsidRPr="00FA3F9C" w:rsidRDefault="002819F6" w:rsidP="00342795">
      <w:pPr>
        <w:spacing w:after="0" w:line="240" w:lineRule="auto"/>
        <w:jc w:val="center"/>
        <w:rPr>
          <w:rFonts w:ascii="Arial" w:hAnsi="Arial" w:cs="Arial"/>
          <w:sz w:val="24"/>
          <w:szCs w:val="24"/>
        </w:rPr>
      </w:pPr>
      <w:r w:rsidRPr="00FA3F9C">
        <w:rPr>
          <w:rFonts w:ascii="Arial" w:hAnsi="Arial" w:cs="Arial"/>
          <w:sz w:val="24"/>
          <w:szCs w:val="24"/>
        </w:rPr>
        <w:t>Prior Authorization Criteria</w:t>
      </w:r>
    </w:p>
    <w:p w14:paraId="33BC6FAD" w14:textId="77777777" w:rsidR="001506C1" w:rsidRPr="00FA3F9C" w:rsidRDefault="001506C1" w:rsidP="00342795">
      <w:pPr>
        <w:spacing w:after="0" w:line="240" w:lineRule="auto"/>
        <w:jc w:val="center"/>
        <w:rPr>
          <w:rFonts w:ascii="Arial" w:hAnsi="Arial" w:cs="Arial"/>
          <w:sz w:val="24"/>
          <w:szCs w:val="24"/>
        </w:rPr>
      </w:pPr>
    </w:p>
    <w:p w14:paraId="5F151809" w14:textId="77777777" w:rsidR="001506C1" w:rsidRPr="00FA3F9C" w:rsidRDefault="001506C1" w:rsidP="00342795">
      <w:pPr>
        <w:spacing w:after="0"/>
        <w:rPr>
          <w:rFonts w:ascii="Arial" w:hAnsi="Arial" w:cs="Arial"/>
          <w:b/>
          <w:sz w:val="24"/>
          <w:szCs w:val="24"/>
        </w:rPr>
      </w:pPr>
      <w:proofErr w:type="spellStart"/>
      <w:r w:rsidRPr="00FA3F9C">
        <w:rPr>
          <w:rFonts w:ascii="Arial" w:hAnsi="Arial" w:cs="Arial"/>
          <w:b/>
          <w:sz w:val="24"/>
          <w:szCs w:val="24"/>
        </w:rPr>
        <w:t>Pulmozyme</w:t>
      </w:r>
      <w:proofErr w:type="spellEnd"/>
      <w:r w:rsidRPr="00FA3F9C">
        <w:rPr>
          <w:rFonts w:ascii="Arial" w:hAnsi="Arial" w:cs="Arial"/>
          <w:b/>
          <w:sz w:val="24"/>
          <w:szCs w:val="24"/>
        </w:rPr>
        <w:t xml:space="preserve"> is a mucolytic agent used in the treatment of cystic fibrosis (labeled) and complicated parapneumonic effusion (unlabeled).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38"/>
        <w:gridCol w:w="2070"/>
      </w:tblGrid>
      <w:tr w:rsidR="001506C1" w:rsidRPr="00FA3F9C" w14:paraId="51295793" w14:textId="77777777" w:rsidTr="00DE4D2D">
        <w:trPr>
          <w:trHeight w:val="512"/>
        </w:trPr>
        <w:tc>
          <w:tcPr>
            <w:tcW w:w="8838" w:type="dxa"/>
          </w:tcPr>
          <w:p w14:paraId="47480974" w14:textId="77777777" w:rsidR="001506C1" w:rsidRPr="00FA3F9C" w:rsidRDefault="001506C1" w:rsidP="00342795">
            <w:pPr>
              <w:spacing w:after="0" w:line="240" w:lineRule="auto"/>
              <w:contextualSpacing/>
              <w:rPr>
                <w:rFonts w:ascii="Arial" w:hAnsi="Arial" w:cs="Arial"/>
                <w:sz w:val="24"/>
                <w:szCs w:val="24"/>
              </w:rPr>
            </w:pPr>
            <w:r w:rsidRPr="00FA3F9C">
              <w:rPr>
                <w:rFonts w:ascii="Arial" w:hAnsi="Arial" w:cs="Arial"/>
                <w:sz w:val="24"/>
                <w:szCs w:val="24"/>
              </w:rPr>
              <w:t>1.  Does the patient have a diagnosis of cystic fibrosis?</w:t>
            </w:r>
          </w:p>
        </w:tc>
        <w:tc>
          <w:tcPr>
            <w:tcW w:w="2070" w:type="dxa"/>
          </w:tcPr>
          <w:p w14:paraId="319F8E78" w14:textId="77777777" w:rsidR="001506C1" w:rsidRPr="00FA3F9C" w:rsidRDefault="001506C1" w:rsidP="00DE4D2D">
            <w:pPr>
              <w:rPr>
                <w:rFonts w:ascii="Arial" w:hAnsi="Arial" w:cs="Arial"/>
                <w:sz w:val="24"/>
                <w:szCs w:val="24"/>
              </w:rPr>
            </w:pPr>
            <w:r w:rsidRPr="00FA3F9C">
              <w:rPr>
                <w:rFonts w:ascii="Segoe UI Symbol" w:eastAsia="MS Gothic" w:hAnsi="Segoe UI Symbol" w:cs="Segoe UI Symbol"/>
                <w:color w:val="000000"/>
                <w:sz w:val="24"/>
                <w:szCs w:val="24"/>
              </w:rPr>
              <w:t>☐</w:t>
            </w:r>
            <w:r w:rsidRPr="00FA3F9C">
              <w:rPr>
                <w:rFonts w:ascii="Arial" w:hAnsi="Arial" w:cs="Arial"/>
                <w:sz w:val="24"/>
                <w:szCs w:val="24"/>
              </w:rPr>
              <w:t xml:space="preserve"> yes              </w:t>
            </w:r>
            <w:r w:rsidRPr="00FA3F9C">
              <w:rPr>
                <w:rFonts w:ascii="Segoe UI Symbol" w:eastAsia="MS Gothic" w:hAnsi="Segoe UI Symbol" w:cs="Segoe UI Symbol"/>
                <w:color w:val="000000"/>
                <w:sz w:val="24"/>
                <w:szCs w:val="24"/>
              </w:rPr>
              <w:t>☐</w:t>
            </w:r>
            <w:r w:rsidRPr="00FA3F9C">
              <w:rPr>
                <w:rFonts w:ascii="Arial" w:hAnsi="Arial" w:cs="Arial"/>
                <w:sz w:val="24"/>
                <w:szCs w:val="24"/>
              </w:rPr>
              <w:t xml:space="preserve"> no</w:t>
            </w:r>
          </w:p>
        </w:tc>
      </w:tr>
      <w:tr w:rsidR="001506C1" w:rsidRPr="00FA3F9C" w14:paraId="1E69070A" w14:textId="77777777" w:rsidTr="00DE4D2D">
        <w:trPr>
          <w:trHeight w:val="512"/>
        </w:trPr>
        <w:tc>
          <w:tcPr>
            <w:tcW w:w="8838" w:type="dxa"/>
          </w:tcPr>
          <w:p w14:paraId="3A119545" w14:textId="77777777" w:rsidR="001506C1" w:rsidRPr="00FA3F9C" w:rsidRDefault="001506C1" w:rsidP="00342795">
            <w:pPr>
              <w:spacing w:after="0" w:line="240" w:lineRule="auto"/>
              <w:contextualSpacing/>
              <w:rPr>
                <w:rFonts w:ascii="Arial" w:hAnsi="Arial" w:cs="Arial"/>
                <w:sz w:val="24"/>
                <w:szCs w:val="24"/>
              </w:rPr>
            </w:pPr>
            <w:r w:rsidRPr="00FA3F9C">
              <w:rPr>
                <w:rFonts w:ascii="Arial" w:hAnsi="Arial" w:cs="Arial"/>
                <w:sz w:val="24"/>
                <w:szCs w:val="24"/>
              </w:rPr>
              <w:t>2.  Does the patient have FVC ≥40%?†</w:t>
            </w:r>
          </w:p>
        </w:tc>
        <w:tc>
          <w:tcPr>
            <w:tcW w:w="2070" w:type="dxa"/>
          </w:tcPr>
          <w:p w14:paraId="4F983D00" w14:textId="77777777" w:rsidR="001506C1" w:rsidRPr="00FA3F9C" w:rsidRDefault="001506C1" w:rsidP="00DE4D2D">
            <w:pPr>
              <w:rPr>
                <w:rFonts w:ascii="Arial" w:hAnsi="Arial" w:cs="Arial"/>
                <w:sz w:val="24"/>
                <w:szCs w:val="24"/>
              </w:rPr>
            </w:pPr>
            <w:r w:rsidRPr="00FA3F9C">
              <w:rPr>
                <w:rFonts w:ascii="Segoe UI Symbol" w:eastAsia="MS Gothic" w:hAnsi="Segoe UI Symbol" w:cs="Segoe UI Symbol"/>
                <w:color w:val="000000"/>
                <w:sz w:val="24"/>
                <w:szCs w:val="24"/>
              </w:rPr>
              <w:t>☐</w:t>
            </w:r>
            <w:r w:rsidRPr="00FA3F9C">
              <w:rPr>
                <w:rFonts w:ascii="Arial" w:hAnsi="Arial" w:cs="Arial"/>
                <w:sz w:val="24"/>
                <w:szCs w:val="24"/>
              </w:rPr>
              <w:t xml:space="preserve"> yes              </w:t>
            </w:r>
            <w:r w:rsidRPr="00FA3F9C">
              <w:rPr>
                <w:rFonts w:ascii="Segoe UI Symbol" w:eastAsia="MS Gothic" w:hAnsi="Segoe UI Symbol" w:cs="Segoe UI Symbol"/>
                <w:color w:val="000000"/>
                <w:sz w:val="24"/>
                <w:szCs w:val="24"/>
              </w:rPr>
              <w:t>☐</w:t>
            </w:r>
            <w:r w:rsidRPr="00FA3F9C">
              <w:rPr>
                <w:rFonts w:ascii="Arial" w:hAnsi="Arial" w:cs="Arial"/>
                <w:sz w:val="24"/>
                <w:szCs w:val="24"/>
              </w:rPr>
              <w:t xml:space="preserve"> no</w:t>
            </w:r>
          </w:p>
        </w:tc>
      </w:tr>
      <w:tr w:rsidR="001506C1" w:rsidRPr="00FA3F9C" w14:paraId="2E30AC90" w14:textId="77777777" w:rsidTr="00DE4D2D">
        <w:trPr>
          <w:trHeight w:val="80"/>
        </w:trPr>
        <w:tc>
          <w:tcPr>
            <w:tcW w:w="10908" w:type="dxa"/>
            <w:gridSpan w:val="2"/>
          </w:tcPr>
          <w:p w14:paraId="3E3FBC89" w14:textId="77777777" w:rsidR="001506C1" w:rsidRPr="00FA3F9C" w:rsidRDefault="001506C1" w:rsidP="00342795">
            <w:pPr>
              <w:spacing w:after="0" w:line="240" w:lineRule="auto"/>
              <w:contextualSpacing/>
              <w:jc w:val="center"/>
              <w:rPr>
                <w:rFonts w:ascii="Arial" w:hAnsi="Arial" w:cs="Arial"/>
                <w:sz w:val="24"/>
                <w:szCs w:val="24"/>
              </w:rPr>
            </w:pPr>
            <w:r w:rsidRPr="00FA3F9C">
              <w:rPr>
                <w:rFonts w:ascii="Arial" w:hAnsi="Arial" w:cs="Arial"/>
                <w:b/>
                <w:sz w:val="24"/>
                <w:szCs w:val="24"/>
              </w:rPr>
              <w:t>IF YES TO BOTH QUESTIONS, APPROVE</w:t>
            </w:r>
          </w:p>
        </w:tc>
      </w:tr>
      <w:tr w:rsidR="001506C1" w:rsidRPr="00FA3F9C" w14:paraId="7E2A1CCE" w14:textId="77777777" w:rsidTr="00DE4D2D">
        <w:trPr>
          <w:trHeight w:val="395"/>
        </w:trPr>
        <w:tc>
          <w:tcPr>
            <w:tcW w:w="8838" w:type="dxa"/>
          </w:tcPr>
          <w:p w14:paraId="1C58CD28" w14:textId="77777777" w:rsidR="001506C1" w:rsidRPr="00FA3F9C" w:rsidRDefault="001506C1" w:rsidP="00342795">
            <w:pPr>
              <w:spacing w:after="0" w:line="240" w:lineRule="auto"/>
              <w:contextualSpacing/>
              <w:rPr>
                <w:rFonts w:ascii="Arial" w:hAnsi="Arial" w:cs="Arial"/>
                <w:sz w:val="24"/>
                <w:szCs w:val="24"/>
              </w:rPr>
            </w:pPr>
            <w:r w:rsidRPr="00FA3F9C">
              <w:rPr>
                <w:rFonts w:ascii="Arial" w:hAnsi="Arial" w:cs="Arial"/>
                <w:sz w:val="24"/>
                <w:szCs w:val="24"/>
              </w:rPr>
              <w:t>3. Does the patient have parapneumonic effusion?</w:t>
            </w:r>
          </w:p>
        </w:tc>
        <w:tc>
          <w:tcPr>
            <w:tcW w:w="2070" w:type="dxa"/>
          </w:tcPr>
          <w:p w14:paraId="15C33DE4" w14:textId="77777777" w:rsidR="001506C1" w:rsidRPr="00FA3F9C" w:rsidRDefault="001506C1" w:rsidP="00DE4D2D">
            <w:pPr>
              <w:rPr>
                <w:rFonts w:ascii="Arial" w:hAnsi="Arial" w:cs="Arial"/>
                <w:sz w:val="24"/>
                <w:szCs w:val="24"/>
              </w:rPr>
            </w:pPr>
            <w:r w:rsidRPr="00FA3F9C">
              <w:rPr>
                <w:rFonts w:ascii="Segoe UI Symbol" w:eastAsia="MS Gothic" w:hAnsi="Segoe UI Symbol" w:cs="Segoe UI Symbol"/>
                <w:color w:val="000000"/>
                <w:sz w:val="24"/>
                <w:szCs w:val="24"/>
              </w:rPr>
              <w:t>☐</w:t>
            </w:r>
            <w:r w:rsidRPr="00FA3F9C">
              <w:rPr>
                <w:rFonts w:ascii="Arial" w:hAnsi="Arial" w:cs="Arial"/>
                <w:sz w:val="24"/>
                <w:szCs w:val="24"/>
              </w:rPr>
              <w:t xml:space="preserve"> yes              </w:t>
            </w:r>
            <w:r w:rsidRPr="00FA3F9C">
              <w:rPr>
                <w:rFonts w:ascii="Segoe UI Symbol" w:eastAsia="MS Gothic" w:hAnsi="Segoe UI Symbol" w:cs="Segoe UI Symbol"/>
                <w:color w:val="000000"/>
                <w:sz w:val="24"/>
                <w:szCs w:val="24"/>
              </w:rPr>
              <w:t>☐</w:t>
            </w:r>
            <w:r w:rsidRPr="00FA3F9C">
              <w:rPr>
                <w:rFonts w:ascii="Arial" w:hAnsi="Arial" w:cs="Arial"/>
                <w:sz w:val="24"/>
                <w:szCs w:val="24"/>
              </w:rPr>
              <w:t xml:space="preserve"> no</w:t>
            </w:r>
          </w:p>
        </w:tc>
      </w:tr>
      <w:tr w:rsidR="001506C1" w:rsidRPr="00FA3F9C" w14:paraId="028F1A31" w14:textId="77777777" w:rsidTr="00DE4D2D">
        <w:trPr>
          <w:trHeight w:val="395"/>
        </w:trPr>
        <w:tc>
          <w:tcPr>
            <w:tcW w:w="8838" w:type="dxa"/>
          </w:tcPr>
          <w:p w14:paraId="30A007E4" w14:textId="77777777" w:rsidR="001506C1" w:rsidRPr="00FA3F9C" w:rsidRDefault="001506C1" w:rsidP="00342795">
            <w:pPr>
              <w:spacing w:after="0" w:line="240" w:lineRule="auto"/>
              <w:contextualSpacing/>
              <w:rPr>
                <w:rFonts w:ascii="Arial" w:hAnsi="Arial" w:cs="Arial"/>
                <w:sz w:val="24"/>
                <w:szCs w:val="24"/>
              </w:rPr>
            </w:pPr>
            <w:r w:rsidRPr="00FA3F9C">
              <w:rPr>
                <w:rFonts w:ascii="Arial" w:hAnsi="Arial" w:cs="Arial"/>
                <w:sz w:val="24"/>
                <w:szCs w:val="24"/>
              </w:rPr>
              <w:lastRenderedPageBreak/>
              <w:t xml:space="preserve">4. Will </w:t>
            </w:r>
            <w:proofErr w:type="spellStart"/>
            <w:r w:rsidRPr="00FA3F9C">
              <w:rPr>
                <w:rFonts w:ascii="Arial" w:hAnsi="Arial" w:cs="Arial"/>
                <w:sz w:val="24"/>
                <w:szCs w:val="24"/>
              </w:rPr>
              <w:t>dornase</w:t>
            </w:r>
            <w:proofErr w:type="spellEnd"/>
            <w:r w:rsidRPr="00FA3F9C">
              <w:rPr>
                <w:rFonts w:ascii="Arial" w:hAnsi="Arial" w:cs="Arial"/>
                <w:sz w:val="24"/>
                <w:szCs w:val="24"/>
              </w:rPr>
              <w:t xml:space="preserve"> alfa be used as an adjunct therapy to alteplase?‡</w:t>
            </w:r>
          </w:p>
        </w:tc>
        <w:tc>
          <w:tcPr>
            <w:tcW w:w="2070" w:type="dxa"/>
          </w:tcPr>
          <w:p w14:paraId="065B95D1" w14:textId="77777777" w:rsidR="001506C1" w:rsidRPr="00FA3F9C" w:rsidRDefault="001506C1" w:rsidP="00DE4D2D">
            <w:pPr>
              <w:rPr>
                <w:rFonts w:ascii="Arial" w:hAnsi="Arial" w:cs="Arial"/>
                <w:sz w:val="24"/>
                <w:szCs w:val="24"/>
              </w:rPr>
            </w:pPr>
            <w:r w:rsidRPr="00FA3F9C">
              <w:rPr>
                <w:rFonts w:ascii="Segoe UI Symbol" w:eastAsia="MS Gothic" w:hAnsi="Segoe UI Symbol" w:cs="Segoe UI Symbol"/>
                <w:color w:val="000000"/>
                <w:sz w:val="24"/>
                <w:szCs w:val="24"/>
              </w:rPr>
              <w:t>☐</w:t>
            </w:r>
            <w:r w:rsidRPr="00FA3F9C">
              <w:rPr>
                <w:rFonts w:ascii="Arial" w:hAnsi="Arial" w:cs="Arial"/>
                <w:sz w:val="24"/>
                <w:szCs w:val="24"/>
              </w:rPr>
              <w:t xml:space="preserve"> yes              </w:t>
            </w:r>
            <w:r w:rsidRPr="00FA3F9C">
              <w:rPr>
                <w:rFonts w:ascii="Segoe UI Symbol" w:eastAsia="MS Gothic" w:hAnsi="Segoe UI Symbol" w:cs="Segoe UI Symbol"/>
                <w:color w:val="000000"/>
                <w:sz w:val="24"/>
                <w:szCs w:val="24"/>
              </w:rPr>
              <w:t>☐</w:t>
            </w:r>
            <w:r w:rsidRPr="00FA3F9C">
              <w:rPr>
                <w:rFonts w:ascii="Arial" w:hAnsi="Arial" w:cs="Arial"/>
                <w:sz w:val="24"/>
                <w:szCs w:val="24"/>
              </w:rPr>
              <w:t xml:space="preserve"> no</w:t>
            </w:r>
          </w:p>
        </w:tc>
      </w:tr>
      <w:tr w:rsidR="001506C1" w:rsidRPr="00FA3F9C" w14:paraId="7A975291" w14:textId="77777777" w:rsidTr="00DE4D2D">
        <w:tc>
          <w:tcPr>
            <w:tcW w:w="10908" w:type="dxa"/>
            <w:gridSpan w:val="2"/>
          </w:tcPr>
          <w:p w14:paraId="46EC842B" w14:textId="77777777" w:rsidR="001506C1" w:rsidRPr="00FA3F9C" w:rsidRDefault="001506C1" w:rsidP="00342795">
            <w:pPr>
              <w:spacing w:after="0" w:line="240" w:lineRule="auto"/>
              <w:contextualSpacing/>
              <w:jc w:val="center"/>
              <w:rPr>
                <w:rFonts w:ascii="Arial" w:hAnsi="Arial" w:cs="Arial"/>
                <w:b/>
                <w:sz w:val="24"/>
                <w:szCs w:val="24"/>
              </w:rPr>
            </w:pPr>
            <w:r w:rsidRPr="00FA3F9C">
              <w:rPr>
                <w:rFonts w:ascii="Arial" w:hAnsi="Arial" w:cs="Arial"/>
                <w:b/>
                <w:sz w:val="24"/>
                <w:szCs w:val="24"/>
              </w:rPr>
              <w:t>IF YES TO BOTH QUESTIONS, APPROVE PA for 1 year.</w:t>
            </w:r>
          </w:p>
        </w:tc>
      </w:tr>
      <w:tr w:rsidR="001506C1" w:rsidRPr="00FA3F9C" w14:paraId="426C890B" w14:textId="77777777" w:rsidTr="00DE4D2D">
        <w:tc>
          <w:tcPr>
            <w:tcW w:w="10908" w:type="dxa"/>
            <w:gridSpan w:val="2"/>
          </w:tcPr>
          <w:p w14:paraId="1A477991" w14:textId="77777777" w:rsidR="001506C1" w:rsidRPr="00FA3F9C" w:rsidRDefault="001506C1" w:rsidP="00342795">
            <w:pPr>
              <w:autoSpaceDE w:val="0"/>
              <w:autoSpaceDN w:val="0"/>
              <w:adjustRightInd w:val="0"/>
              <w:spacing w:after="0" w:line="240" w:lineRule="auto"/>
              <w:rPr>
                <w:rFonts w:ascii="Arial" w:hAnsi="Arial" w:cs="Arial"/>
                <w:sz w:val="24"/>
                <w:szCs w:val="24"/>
              </w:rPr>
            </w:pPr>
            <w:r w:rsidRPr="00FA3F9C">
              <w:rPr>
                <w:rFonts w:ascii="Arial" w:hAnsi="Arial" w:cs="Arial"/>
                <w:b/>
                <w:sz w:val="24"/>
                <w:szCs w:val="24"/>
              </w:rPr>
              <w:t>†Note:</w:t>
            </w:r>
            <w:r w:rsidRPr="00FA3F9C">
              <w:rPr>
                <w:rFonts w:ascii="Arial" w:hAnsi="Arial" w:cs="Arial"/>
                <w:sz w:val="24"/>
                <w:szCs w:val="24"/>
              </w:rPr>
              <w:t xml:space="preserve"> </w:t>
            </w:r>
            <w:proofErr w:type="spellStart"/>
            <w:r w:rsidRPr="00FA3F9C">
              <w:rPr>
                <w:rFonts w:ascii="Arial" w:hAnsi="Arial" w:cs="Arial"/>
                <w:sz w:val="24"/>
                <w:szCs w:val="24"/>
              </w:rPr>
              <w:t>Dornase</w:t>
            </w:r>
            <w:proofErr w:type="spellEnd"/>
            <w:r w:rsidRPr="00FA3F9C">
              <w:rPr>
                <w:rFonts w:ascii="Arial" w:hAnsi="Arial" w:cs="Arial"/>
                <w:sz w:val="24"/>
                <w:szCs w:val="24"/>
              </w:rPr>
              <w:t xml:space="preserve"> alfa has been shown to improve FEV</w:t>
            </w:r>
            <w:r w:rsidRPr="00FA3F9C">
              <w:rPr>
                <w:rFonts w:ascii="Arial" w:hAnsi="Arial" w:cs="Arial"/>
                <w:sz w:val="24"/>
                <w:szCs w:val="24"/>
                <w:vertAlign w:val="subscript"/>
              </w:rPr>
              <w:t>1</w:t>
            </w:r>
            <w:r w:rsidRPr="00FA3F9C">
              <w:rPr>
                <w:rFonts w:ascii="Arial" w:hAnsi="Arial" w:cs="Arial"/>
                <w:sz w:val="24"/>
                <w:szCs w:val="24"/>
              </w:rPr>
              <w:t>, decrease bacterial exacerbations, and decrease antibiotic use in patients ≥3 months old if they had FVC</w:t>
            </w:r>
            <w:r w:rsidRPr="00FA3F9C">
              <w:rPr>
                <w:rFonts w:ascii="Arial" w:hAnsi="Arial" w:cs="Arial"/>
                <w:sz w:val="24"/>
                <w:szCs w:val="24"/>
                <w:u w:val="single"/>
              </w:rPr>
              <w:t>&gt;</w:t>
            </w:r>
            <w:r w:rsidRPr="00FA3F9C">
              <w:rPr>
                <w:rFonts w:ascii="Arial" w:hAnsi="Arial" w:cs="Arial"/>
                <w:sz w:val="24"/>
                <w:szCs w:val="24"/>
              </w:rPr>
              <w:t>40% at baseline.</w:t>
            </w:r>
          </w:p>
          <w:p w14:paraId="430F70F0" w14:textId="77777777" w:rsidR="001506C1" w:rsidRPr="00FA3F9C" w:rsidRDefault="001506C1" w:rsidP="00342795">
            <w:pPr>
              <w:autoSpaceDE w:val="0"/>
              <w:autoSpaceDN w:val="0"/>
              <w:adjustRightInd w:val="0"/>
              <w:spacing w:after="0" w:line="240" w:lineRule="auto"/>
              <w:rPr>
                <w:rFonts w:ascii="Arial" w:hAnsi="Arial" w:cs="Arial"/>
                <w:sz w:val="24"/>
                <w:szCs w:val="24"/>
              </w:rPr>
            </w:pPr>
            <w:r w:rsidRPr="00FA3F9C">
              <w:rPr>
                <w:rFonts w:ascii="Arial" w:hAnsi="Arial" w:cs="Arial"/>
                <w:b/>
                <w:sz w:val="24"/>
                <w:szCs w:val="24"/>
              </w:rPr>
              <w:t xml:space="preserve">‡Note: </w:t>
            </w:r>
            <w:r w:rsidRPr="00FA3F9C">
              <w:rPr>
                <w:rFonts w:ascii="Arial" w:hAnsi="Arial" w:cs="Arial"/>
                <w:sz w:val="24"/>
                <w:szCs w:val="24"/>
              </w:rPr>
              <w:t xml:space="preserve">Alteplase may be given for parapneumonic effusion and should be administered at a dose of 10mg in 30 mL NS BID given </w:t>
            </w:r>
            <w:proofErr w:type="spellStart"/>
            <w:r w:rsidRPr="00FA3F9C">
              <w:rPr>
                <w:rFonts w:ascii="Arial" w:hAnsi="Arial" w:cs="Arial"/>
                <w:sz w:val="24"/>
                <w:szCs w:val="24"/>
              </w:rPr>
              <w:t>intrapleurally</w:t>
            </w:r>
            <w:proofErr w:type="spellEnd"/>
            <w:r w:rsidRPr="00FA3F9C">
              <w:rPr>
                <w:rFonts w:ascii="Arial" w:hAnsi="Arial" w:cs="Arial"/>
                <w:sz w:val="24"/>
                <w:szCs w:val="24"/>
              </w:rPr>
              <w:t xml:space="preserve"> with 1 hour dwell time for a total of 3 days, with each dose of </w:t>
            </w:r>
            <w:proofErr w:type="spellStart"/>
            <w:r w:rsidRPr="00FA3F9C">
              <w:rPr>
                <w:rFonts w:ascii="Arial" w:hAnsi="Arial" w:cs="Arial"/>
                <w:sz w:val="24"/>
                <w:szCs w:val="24"/>
              </w:rPr>
              <w:t>dornase</w:t>
            </w:r>
            <w:proofErr w:type="spellEnd"/>
            <w:r w:rsidRPr="00FA3F9C">
              <w:rPr>
                <w:rFonts w:ascii="Arial" w:hAnsi="Arial" w:cs="Arial"/>
                <w:sz w:val="24"/>
                <w:szCs w:val="24"/>
              </w:rPr>
              <w:t xml:space="preserve"> alfa &gt;2 hours after alteplase administration.  Current medical practice favors a stepwise approach for treating parapneumonic effusion, starting with less invasive measures and stepping up to fibrinolytic therapy only in refractory cases to medical management.  </w:t>
            </w:r>
          </w:p>
        </w:tc>
      </w:tr>
    </w:tbl>
    <w:p w14:paraId="58D24D60" w14:textId="77777777" w:rsidR="001506C1" w:rsidRPr="00FA3F9C" w:rsidRDefault="001506C1" w:rsidP="009B615E">
      <w:pPr>
        <w:spacing w:line="240" w:lineRule="auto"/>
        <w:contextualSpacing/>
        <w:rPr>
          <w:rFonts w:ascii="Arial" w:hAnsi="Arial" w:cs="Arial"/>
          <w:b/>
          <w:sz w:val="24"/>
          <w:szCs w:val="24"/>
        </w:rPr>
      </w:pPr>
    </w:p>
    <w:p w14:paraId="16EF48AC" w14:textId="77777777" w:rsidR="001506C1" w:rsidRPr="00FA3F9C" w:rsidRDefault="001506C1" w:rsidP="00342795">
      <w:pPr>
        <w:spacing w:line="240" w:lineRule="auto"/>
        <w:contextualSpacing/>
        <w:rPr>
          <w:rFonts w:ascii="Arial" w:hAnsi="Arial" w:cs="Arial"/>
          <w:b/>
          <w:sz w:val="24"/>
          <w:szCs w:val="24"/>
        </w:rPr>
      </w:pPr>
      <w:r w:rsidRPr="00FA3F9C">
        <w:rPr>
          <w:rFonts w:ascii="Arial" w:hAnsi="Arial" w:cs="Arial"/>
          <w:b/>
          <w:sz w:val="24"/>
          <w:szCs w:val="24"/>
        </w:rPr>
        <w:t xml:space="preserve">DOSING: </w:t>
      </w:r>
    </w:p>
    <w:p w14:paraId="74C3BE6E" w14:textId="77777777" w:rsidR="001506C1" w:rsidRPr="00FA3F9C" w:rsidRDefault="001506C1" w:rsidP="00342795">
      <w:pPr>
        <w:spacing w:line="240" w:lineRule="auto"/>
        <w:contextualSpacing/>
        <w:rPr>
          <w:rFonts w:ascii="Arial" w:hAnsi="Arial" w:cs="Arial"/>
          <w:sz w:val="24"/>
          <w:szCs w:val="24"/>
        </w:rPr>
      </w:pPr>
      <w:r w:rsidRPr="00FA3F9C">
        <w:rPr>
          <w:rFonts w:ascii="Arial" w:hAnsi="Arial" w:cs="Arial"/>
          <w:sz w:val="24"/>
          <w:szCs w:val="24"/>
        </w:rPr>
        <w:t xml:space="preserve">Adult: </w:t>
      </w:r>
      <w:r w:rsidRPr="00FA3F9C">
        <w:rPr>
          <w:rFonts w:ascii="Arial" w:hAnsi="Arial" w:cs="Arial"/>
          <w:sz w:val="24"/>
          <w:szCs w:val="24"/>
        </w:rPr>
        <w:tab/>
      </w:r>
      <w:r w:rsidRPr="00FA3F9C">
        <w:rPr>
          <w:rFonts w:ascii="Arial" w:hAnsi="Arial" w:cs="Arial"/>
          <w:b/>
          <w:sz w:val="24"/>
          <w:szCs w:val="24"/>
        </w:rPr>
        <w:t>Cystic Fibrosis mucolytic</w:t>
      </w:r>
      <w:r w:rsidRPr="00FA3F9C">
        <w:rPr>
          <w:rFonts w:ascii="Arial" w:hAnsi="Arial" w:cs="Arial"/>
          <w:sz w:val="24"/>
          <w:szCs w:val="24"/>
        </w:rPr>
        <w:t xml:space="preserve"> (labeled) – 2.5 mg once daily through nebulizer</w:t>
      </w:r>
    </w:p>
    <w:p w14:paraId="146D7AE6" w14:textId="77777777" w:rsidR="001506C1" w:rsidRPr="00FA3F9C" w:rsidRDefault="001506C1" w:rsidP="00342795">
      <w:pPr>
        <w:spacing w:line="240" w:lineRule="auto"/>
        <w:ind w:left="720"/>
        <w:contextualSpacing/>
        <w:rPr>
          <w:rFonts w:ascii="Arial" w:hAnsi="Arial" w:cs="Arial"/>
          <w:sz w:val="24"/>
          <w:szCs w:val="24"/>
        </w:rPr>
      </w:pPr>
      <w:r w:rsidRPr="00FA3F9C">
        <w:rPr>
          <w:rFonts w:ascii="Arial" w:hAnsi="Arial" w:cs="Arial"/>
          <w:b/>
          <w:sz w:val="24"/>
          <w:szCs w:val="24"/>
        </w:rPr>
        <w:t>Complicated parapneumonic effusion</w:t>
      </w:r>
      <w:r w:rsidRPr="00FA3F9C">
        <w:rPr>
          <w:rFonts w:ascii="Arial" w:hAnsi="Arial" w:cs="Arial"/>
          <w:sz w:val="24"/>
          <w:szCs w:val="24"/>
        </w:rPr>
        <w:t xml:space="preserve"> (unlabeled) -  5 mg diluted in 30 mL sterile water given </w:t>
      </w:r>
      <w:proofErr w:type="spellStart"/>
      <w:r w:rsidRPr="00FA3F9C">
        <w:rPr>
          <w:rFonts w:ascii="Arial" w:hAnsi="Arial" w:cs="Arial"/>
          <w:sz w:val="24"/>
          <w:szCs w:val="24"/>
        </w:rPr>
        <w:t>intrapleurally</w:t>
      </w:r>
      <w:proofErr w:type="spellEnd"/>
      <w:r w:rsidRPr="00FA3F9C">
        <w:rPr>
          <w:rFonts w:ascii="Arial" w:hAnsi="Arial" w:cs="Arial"/>
          <w:sz w:val="24"/>
          <w:szCs w:val="24"/>
        </w:rPr>
        <w:t xml:space="preserve"> twice daily &gt;2 hours after intrapleural alteplase administration</w:t>
      </w:r>
    </w:p>
    <w:p w14:paraId="471083A0" w14:textId="77777777" w:rsidR="001506C1" w:rsidRPr="00FA3F9C" w:rsidRDefault="001506C1" w:rsidP="00342795">
      <w:pPr>
        <w:spacing w:line="240" w:lineRule="auto"/>
        <w:contextualSpacing/>
        <w:rPr>
          <w:rFonts w:ascii="Arial" w:hAnsi="Arial" w:cs="Arial"/>
          <w:sz w:val="24"/>
          <w:szCs w:val="24"/>
        </w:rPr>
      </w:pPr>
      <w:r w:rsidRPr="00FA3F9C">
        <w:rPr>
          <w:rFonts w:ascii="Arial" w:hAnsi="Arial" w:cs="Arial"/>
          <w:sz w:val="24"/>
          <w:szCs w:val="24"/>
        </w:rPr>
        <w:t xml:space="preserve">Pediatric (≥3 months):  </w:t>
      </w:r>
      <w:r w:rsidRPr="00FA3F9C">
        <w:rPr>
          <w:rFonts w:ascii="Arial" w:hAnsi="Arial" w:cs="Arial"/>
          <w:b/>
          <w:sz w:val="24"/>
          <w:szCs w:val="24"/>
        </w:rPr>
        <w:t>Cystic Fibrosis mucolytic</w:t>
      </w:r>
      <w:r w:rsidRPr="00FA3F9C">
        <w:rPr>
          <w:rFonts w:ascii="Arial" w:hAnsi="Arial" w:cs="Arial"/>
          <w:sz w:val="24"/>
          <w:szCs w:val="24"/>
        </w:rPr>
        <w:t xml:space="preserve"> – 2.5 mg once daily through nebulizer</w:t>
      </w:r>
    </w:p>
    <w:p w14:paraId="5F966232" w14:textId="77777777" w:rsidR="001506C1" w:rsidRPr="00FA3F9C" w:rsidRDefault="001506C1" w:rsidP="00342795">
      <w:pPr>
        <w:spacing w:line="240" w:lineRule="auto"/>
        <w:ind w:left="720"/>
        <w:rPr>
          <w:rFonts w:ascii="Arial" w:hAnsi="Arial" w:cs="Arial"/>
          <w:sz w:val="24"/>
          <w:szCs w:val="24"/>
        </w:rPr>
      </w:pPr>
      <w:r w:rsidRPr="00FA3F9C">
        <w:rPr>
          <w:rFonts w:ascii="Arial" w:hAnsi="Arial" w:cs="Arial"/>
          <w:sz w:val="24"/>
          <w:szCs w:val="24"/>
        </w:rPr>
        <w:t>** Limited experience with administration to patients younger than 5 years of age.  Its use should be considered only for those patients in whom there is a potential for benefit in pulmonary function or in risk of respiratory tract infection.</w:t>
      </w:r>
    </w:p>
    <w:p w14:paraId="27420689" w14:textId="77777777" w:rsidR="001506C1" w:rsidRPr="00FA3F9C" w:rsidRDefault="001506C1" w:rsidP="00342795">
      <w:pPr>
        <w:spacing w:after="0" w:line="240" w:lineRule="auto"/>
        <w:rPr>
          <w:rFonts w:ascii="Arial" w:hAnsi="Arial" w:cs="Arial"/>
          <w:b/>
          <w:sz w:val="24"/>
          <w:szCs w:val="24"/>
        </w:rPr>
      </w:pPr>
      <w:r w:rsidRPr="00FA3F9C">
        <w:rPr>
          <w:rFonts w:ascii="Arial" w:hAnsi="Arial" w:cs="Arial"/>
          <w:b/>
          <w:sz w:val="24"/>
          <w:szCs w:val="24"/>
        </w:rPr>
        <w:t xml:space="preserve">NOTES: </w:t>
      </w:r>
    </w:p>
    <w:p w14:paraId="2B017E9A" w14:textId="77777777" w:rsidR="001506C1" w:rsidRPr="00FA3F9C" w:rsidRDefault="001506C1" w:rsidP="00342795">
      <w:pPr>
        <w:spacing w:line="240" w:lineRule="auto"/>
        <w:rPr>
          <w:rFonts w:ascii="Arial" w:hAnsi="Arial" w:cs="Arial"/>
          <w:sz w:val="24"/>
          <w:szCs w:val="24"/>
        </w:rPr>
      </w:pPr>
      <w:proofErr w:type="spellStart"/>
      <w:r w:rsidRPr="00FA3F9C">
        <w:rPr>
          <w:rFonts w:ascii="Arial" w:hAnsi="Arial" w:cs="Arial"/>
          <w:sz w:val="24"/>
          <w:szCs w:val="24"/>
        </w:rPr>
        <w:t>Pulmozyme</w:t>
      </w:r>
      <w:proofErr w:type="spellEnd"/>
      <w:r w:rsidRPr="00FA3F9C">
        <w:rPr>
          <w:rFonts w:ascii="Arial" w:hAnsi="Arial" w:cs="Arial"/>
          <w:sz w:val="24"/>
          <w:szCs w:val="24"/>
        </w:rPr>
        <w:t xml:space="preserve"> is derived from genetically engineered Chinese hamster ovary cells.  Hypersensitivity to such components is contraindicated to its use.  Safety and efficacy of daily administration have not been demonstrated in patients for longer than twelve months.  Voice alterations and rash appear to be the only side effects reported with consistency in randomized trials.</w:t>
      </w:r>
    </w:p>
    <w:p w14:paraId="7362A2B3" w14:textId="77777777" w:rsidR="001506C1" w:rsidRPr="00FA3F9C" w:rsidRDefault="001506C1" w:rsidP="00342795">
      <w:pPr>
        <w:spacing w:line="240" w:lineRule="auto"/>
        <w:rPr>
          <w:rFonts w:ascii="Arial" w:hAnsi="Arial" w:cs="Arial"/>
          <w:sz w:val="24"/>
          <w:szCs w:val="24"/>
        </w:rPr>
      </w:pPr>
      <w:r w:rsidRPr="00FA3F9C">
        <w:rPr>
          <w:rFonts w:ascii="Arial" w:hAnsi="Arial" w:cs="Arial"/>
          <w:sz w:val="24"/>
          <w:szCs w:val="24"/>
        </w:rPr>
        <w:t xml:space="preserve">While inhaled N-acetylcysteine has been used as a mucolytic drug in cystic fibrosis for decades, it has no proven benefit and carries risk for epithelial damage if administered via aerosol.   </w:t>
      </w:r>
      <w:proofErr w:type="spellStart"/>
      <w:r w:rsidRPr="00FA3F9C">
        <w:rPr>
          <w:rFonts w:ascii="Arial" w:hAnsi="Arial" w:cs="Arial"/>
          <w:sz w:val="24"/>
          <w:szCs w:val="24"/>
        </w:rPr>
        <w:t>Dornase</w:t>
      </w:r>
      <w:proofErr w:type="spellEnd"/>
      <w:r w:rsidRPr="00FA3F9C">
        <w:rPr>
          <w:rFonts w:ascii="Arial" w:hAnsi="Arial" w:cs="Arial"/>
          <w:sz w:val="24"/>
          <w:szCs w:val="24"/>
        </w:rPr>
        <w:t xml:space="preserve"> alfa has been shown to reduce pulmonary exacerbations and improve lung function and is currently the only mucolytic agent with proven efficacy in CF. </w:t>
      </w:r>
    </w:p>
    <w:p w14:paraId="2A08952E" w14:textId="77777777" w:rsidR="001506C1" w:rsidRPr="00FA3F9C" w:rsidRDefault="001506C1" w:rsidP="00342795">
      <w:pPr>
        <w:spacing w:line="240" w:lineRule="auto"/>
        <w:contextualSpacing/>
        <w:rPr>
          <w:rFonts w:ascii="Arial" w:hAnsi="Arial" w:cs="Arial"/>
          <w:sz w:val="24"/>
          <w:szCs w:val="24"/>
        </w:rPr>
      </w:pPr>
      <w:r w:rsidRPr="00FA3F9C">
        <w:rPr>
          <w:rFonts w:ascii="Arial" w:hAnsi="Arial" w:cs="Arial"/>
          <w:sz w:val="24"/>
          <w:szCs w:val="24"/>
        </w:rPr>
        <w:t xml:space="preserve">There is now growing interest in the potential for long-term benefits of </w:t>
      </w:r>
      <w:proofErr w:type="spellStart"/>
      <w:r w:rsidRPr="00FA3F9C">
        <w:rPr>
          <w:rFonts w:ascii="Arial" w:hAnsi="Arial" w:cs="Arial"/>
          <w:sz w:val="24"/>
          <w:szCs w:val="24"/>
        </w:rPr>
        <w:t>dornase</w:t>
      </w:r>
      <w:proofErr w:type="spellEnd"/>
      <w:r w:rsidRPr="00FA3F9C">
        <w:rPr>
          <w:rFonts w:ascii="Arial" w:hAnsi="Arial" w:cs="Arial"/>
          <w:sz w:val="24"/>
          <w:szCs w:val="24"/>
        </w:rPr>
        <w:t xml:space="preserve"> alfa in young patients having mild lung dysfunction.  In the Robinson trial, children 6-10 years of age with FEV1 ≥85% were evaluated in a placebo-controlled trial comparing PFT’s and respiratory tract exacerbations (RTE) associated with use of </w:t>
      </w:r>
      <w:proofErr w:type="spellStart"/>
      <w:r w:rsidRPr="00FA3F9C">
        <w:rPr>
          <w:rFonts w:ascii="Arial" w:hAnsi="Arial" w:cs="Arial"/>
          <w:sz w:val="24"/>
          <w:szCs w:val="24"/>
        </w:rPr>
        <w:t>dornase</w:t>
      </w:r>
      <w:proofErr w:type="spellEnd"/>
      <w:r w:rsidRPr="00FA3F9C">
        <w:rPr>
          <w:rFonts w:ascii="Arial" w:hAnsi="Arial" w:cs="Arial"/>
          <w:sz w:val="24"/>
          <w:szCs w:val="24"/>
        </w:rPr>
        <w:t xml:space="preserve"> alfa and placebo.  Results showed improvement in PFT’s with </w:t>
      </w:r>
      <w:proofErr w:type="spellStart"/>
      <w:r w:rsidRPr="00FA3F9C">
        <w:rPr>
          <w:rFonts w:ascii="Arial" w:hAnsi="Arial" w:cs="Arial"/>
          <w:sz w:val="24"/>
          <w:szCs w:val="24"/>
        </w:rPr>
        <w:t>dornase</w:t>
      </w:r>
      <w:proofErr w:type="spellEnd"/>
      <w:r w:rsidRPr="00FA3F9C">
        <w:rPr>
          <w:rFonts w:ascii="Arial" w:hAnsi="Arial" w:cs="Arial"/>
          <w:sz w:val="24"/>
          <w:szCs w:val="24"/>
        </w:rPr>
        <w:t xml:space="preserve"> alfa starting at week 4, as well as decreased RTE’s in the </w:t>
      </w:r>
      <w:proofErr w:type="spellStart"/>
      <w:r w:rsidRPr="00FA3F9C">
        <w:rPr>
          <w:rFonts w:ascii="Arial" w:hAnsi="Arial" w:cs="Arial"/>
          <w:sz w:val="24"/>
          <w:szCs w:val="24"/>
        </w:rPr>
        <w:t>dornase</w:t>
      </w:r>
      <w:proofErr w:type="spellEnd"/>
      <w:r w:rsidRPr="00FA3F9C">
        <w:rPr>
          <w:rFonts w:ascii="Arial" w:hAnsi="Arial" w:cs="Arial"/>
          <w:sz w:val="24"/>
          <w:szCs w:val="24"/>
        </w:rPr>
        <w:t xml:space="preserve"> alfa group.  In these patients with mild lung disease, greater improvements were seen in peripheral flow (FEF25–75 and MEF) than lung volumes (FVC or FEV1), supporting early and aggressive therapy in cystic fibrosis patients.</w:t>
      </w:r>
    </w:p>
    <w:p w14:paraId="264FCBC5" w14:textId="77777777" w:rsidR="001506C1" w:rsidRPr="00FA3F9C" w:rsidRDefault="001506C1" w:rsidP="00342795">
      <w:pPr>
        <w:autoSpaceDE w:val="0"/>
        <w:autoSpaceDN w:val="0"/>
        <w:adjustRightInd w:val="0"/>
        <w:spacing w:after="0" w:line="240" w:lineRule="auto"/>
        <w:rPr>
          <w:rFonts w:ascii="Arial" w:hAnsi="Arial" w:cs="Arial"/>
          <w:b/>
          <w:sz w:val="24"/>
          <w:szCs w:val="24"/>
        </w:rPr>
      </w:pPr>
    </w:p>
    <w:p w14:paraId="5E491809" w14:textId="77777777" w:rsidR="001506C1" w:rsidRPr="00FA3F9C" w:rsidRDefault="001506C1" w:rsidP="001506C1">
      <w:pPr>
        <w:numPr>
          <w:ilvl w:val="0"/>
          <w:numId w:val="139"/>
        </w:numPr>
        <w:autoSpaceDE w:val="0"/>
        <w:autoSpaceDN w:val="0"/>
        <w:adjustRightInd w:val="0"/>
        <w:spacing w:after="0" w:line="240" w:lineRule="auto"/>
        <w:contextualSpacing/>
        <w:rPr>
          <w:rFonts w:ascii="Arial" w:hAnsi="Arial" w:cs="Arial"/>
          <w:color w:val="231F20"/>
          <w:sz w:val="24"/>
          <w:szCs w:val="24"/>
        </w:rPr>
      </w:pPr>
      <w:r w:rsidRPr="00FA3F9C">
        <w:rPr>
          <w:rFonts w:ascii="Arial" w:hAnsi="Arial" w:cs="Arial"/>
          <w:sz w:val="24"/>
          <w:szCs w:val="24"/>
        </w:rPr>
        <w:t>A trial performed evaluating exacerbation of pulmonary symptoms</w:t>
      </w:r>
      <w:r w:rsidRPr="00FA3F9C">
        <w:rPr>
          <w:rFonts w:ascii="Arial" w:hAnsi="Arial" w:cs="Arial"/>
          <w:color w:val="231F20"/>
          <w:sz w:val="24"/>
          <w:szCs w:val="24"/>
        </w:rPr>
        <w:t xml:space="preserve"> in treated patients versus those untreated revealed an exacerbation frequency of 0.25, with a 95% confidence interval.  This was equivalent to a reduction of 25 exacerbations per 100 treated patients per year. The confidence intervals did not overlap zero.  This difference was found for both males and females. </w:t>
      </w:r>
    </w:p>
    <w:p w14:paraId="352BF872" w14:textId="77777777" w:rsidR="001506C1" w:rsidRPr="00FA3F9C" w:rsidRDefault="001506C1" w:rsidP="001506C1">
      <w:pPr>
        <w:numPr>
          <w:ilvl w:val="0"/>
          <w:numId w:val="139"/>
        </w:numPr>
        <w:autoSpaceDE w:val="0"/>
        <w:autoSpaceDN w:val="0"/>
        <w:adjustRightInd w:val="0"/>
        <w:spacing w:after="0" w:line="240" w:lineRule="auto"/>
        <w:contextualSpacing/>
        <w:rPr>
          <w:rFonts w:ascii="Arial" w:hAnsi="Arial" w:cs="Arial"/>
          <w:color w:val="231F20"/>
          <w:sz w:val="24"/>
          <w:szCs w:val="24"/>
        </w:rPr>
      </w:pPr>
      <w:r w:rsidRPr="00FA3F9C">
        <w:rPr>
          <w:rFonts w:ascii="Arial" w:hAnsi="Arial" w:cs="Arial"/>
          <w:color w:val="231F20"/>
          <w:sz w:val="24"/>
          <w:szCs w:val="24"/>
        </w:rPr>
        <w:t>A separate trial was later performed which compared only patients aged 6-10 years and found similar results regarding pulmonary exacerbations in cystic fibrosis patients.</w:t>
      </w:r>
      <w:r w:rsidRPr="00FA3F9C">
        <w:rPr>
          <w:rFonts w:ascii="Arial" w:hAnsi="Arial" w:cs="Arial"/>
          <w:color w:val="231F20"/>
          <w:sz w:val="24"/>
          <w:szCs w:val="24"/>
          <w:vertAlign w:val="superscript"/>
        </w:rPr>
        <w:t>5,6</w:t>
      </w:r>
    </w:p>
    <w:p w14:paraId="72E70BD2" w14:textId="77777777" w:rsidR="001506C1" w:rsidRPr="00FA3F9C" w:rsidRDefault="001506C1" w:rsidP="00342795">
      <w:pPr>
        <w:autoSpaceDE w:val="0"/>
        <w:autoSpaceDN w:val="0"/>
        <w:adjustRightInd w:val="0"/>
        <w:spacing w:after="0" w:line="240" w:lineRule="auto"/>
        <w:rPr>
          <w:rFonts w:ascii="Arial" w:hAnsi="Arial" w:cs="Arial"/>
          <w:b/>
          <w:sz w:val="24"/>
          <w:szCs w:val="24"/>
        </w:rPr>
      </w:pPr>
    </w:p>
    <w:p w14:paraId="24BD7266" w14:textId="77777777" w:rsidR="001506C1" w:rsidRPr="00FA3F9C" w:rsidRDefault="001506C1" w:rsidP="00342795">
      <w:pPr>
        <w:autoSpaceDE w:val="0"/>
        <w:autoSpaceDN w:val="0"/>
        <w:adjustRightInd w:val="0"/>
        <w:spacing w:after="0" w:line="240" w:lineRule="auto"/>
        <w:rPr>
          <w:rFonts w:ascii="Arial" w:hAnsi="Arial" w:cs="Arial"/>
          <w:b/>
          <w:sz w:val="24"/>
          <w:szCs w:val="24"/>
        </w:rPr>
      </w:pPr>
      <w:r w:rsidRPr="00FA3F9C">
        <w:rPr>
          <w:rFonts w:ascii="Arial" w:hAnsi="Arial" w:cs="Arial"/>
          <w:b/>
          <w:sz w:val="24"/>
          <w:szCs w:val="24"/>
        </w:rPr>
        <w:t xml:space="preserve">Fig. 3. Results from </w:t>
      </w:r>
      <w:proofErr w:type="spellStart"/>
      <w:r w:rsidRPr="00FA3F9C">
        <w:rPr>
          <w:rFonts w:ascii="Arial" w:hAnsi="Arial" w:cs="Arial"/>
          <w:b/>
          <w:sz w:val="24"/>
          <w:szCs w:val="24"/>
        </w:rPr>
        <w:t>dornase</w:t>
      </w:r>
      <w:proofErr w:type="spellEnd"/>
      <w:r w:rsidRPr="00FA3F9C">
        <w:rPr>
          <w:rFonts w:ascii="Arial" w:hAnsi="Arial" w:cs="Arial"/>
          <w:b/>
          <w:sz w:val="24"/>
          <w:szCs w:val="24"/>
        </w:rPr>
        <w:t xml:space="preserve"> alfa v. placebo in relation to predicted values at baseline in </w:t>
      </w:r>
      <w:proofErr w:type="gramStart"/>
      <w:r w:rsidRPr="00FA3F9C">
        <w:rPr>
          <w:rFonts w:ascii="Arial" w:hAnsi="Arial" w:cs="Arial"/>
          <w:b/>
          <w:sz w:val="24"/>
          <w:szCs w:val="24"/>
        </w:rPr>
        <w:t>96 week</w:t>
      </w:r>
      <w:proofErr w:type="gramEnd"/>
      <w:r w:rsidRPr="00FA3F9C">
        <w:rPr>
          <w:rFonts w:ascii="Arial" w:hAnsi="Arial" w:cs="Arial"/>
          <w:b/>
          <w:sz w:val="24"/>
          <w:szCs w:val="24"/>
        </w:rPr>
        <w:t xml:space="preserve"> trial of patients ages 6-10 years</w:t>
      </w:r>
    </w:p>
    <w:p w14:paraId="12DA7751" w14:textId="77777777" w:rsidR="001506C1" w:rsidRPr="00FA3F9C" w:rsidRDefault="001506C1" w:rsidP="00342795">
      <w:pPr>
        <w:autoSpaceDE w:val="0"/>
        <w:autoSpaceDN w:val="0"/>
        <w:adjustRightInd w:val="0"/>
        <w:spacing w:after="0" w:line="240" w:lineRule="auto"/>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756"/>
        <w:gridCol w:w="3960"/>
      </w:tblGrid>
      <w:tr w:rsidR="001506C1" w:rsidRPr="00FA3F9C" w14:paraId="059F2E63" w14:textId="77777777" w:rsidTr="00DE4D2D">
        <w:tc>
          <w:tcPr>
            <w:tcW w:w="3192" w:type="dxa"/>
          </w:tcPr>
          <w:p w14:paraId="6220241B" w14:textId="77777777" w:rsidR="001506C1" w:rsidRPr="00FA3F9C" w:rsidRDefault="001506C1" w:rsidP="00342795">
            <w:pPr>
              <w:autoSpaceDE w:val="0"/>
              <w:autoSpaceDN w:val="0"/>
              <w:adjustRightInd w:val="0"/>
              <w:spacing w:after="0" w:line="240" w:lineRule="auto"/>
              <w:rPr>
                <w:rFonts w:ascii="Arial" w:hAnsi="Arial" w:cs="Arial"/>
                <w:b/>
                <w:sz w:val="24"/>
                <w:szCs w:val="24"/>
              </w:rPr>
            </w:pPr>
            <w:r w:rsidRPr="00FA3F9C">
              <w:rPr>
                <w:rFonts w:ascii="Arial" w:hAnsi="Arial" w:cs="Arial"/>
                <w:b/>
                <w:sz w:val="24"/>
                <w:szCs w:val="24"/>
              </w:rPr>
              <w:t>Characteristic</w:t>
            </w:r>
          </w:p>
        </w:tc>
        <w:tc>
          <w:tcPr>
            <w:tcW w:w="3756" w:type="dxa"/>
          </w:tcPr>
          <w:p w14:paraId="06161D2B" w14:textId="77777777" w:rsidR="001506C1" w:rsidRPr="00FA3F9C" w:rsidRDefault="001506C1" w:rsidP="00342795">
            <w:pPr>
              <w:autoSpaceDE w:val="0"/>
              <w:autoSpaceDN w:val="0"/>
              <w:adjustRightInd w:val="0"/>
              <w:spacing w:after="0" w:line="240" w:lineRule="auto"/>
              <w:rPr>
                <w:rFonts w:ascii="Arial" w:hAnsi="Arial" w:cs="Arial"/>
                <w:b/>
                <w:sz w:val="24"/>
                <w:szCs w:val="24"/>
              </w:rPr>
            </w:pPr>
            <w:proofErr w:type="spellStart"/>
            <w:r w:rsidRPr="00FA3F9C">
              <w:rPr>
                <w:rFonts w:ascii="Arial" w:hAnsi="Arial" w:cs="Arial"/>
                <w:b/>
                <w:sz w:val="24"/>
                <w:szCs w:val="24"/>
              </w:rPr>
              <w:t>Dornase</w:t>
            </w:r>
            <w:proofErr w:type="spellEnd"/>
            <w:r w:rsidRPr="00FA3F9C">
              <w:rPr>
                <w:rFonts w:ascii="Arial" w:hAnsi="Arial" w:cs="Arial"/>
                <w:b/>
                <w:sz w:val="24"/>
                <w:szCs w:val="24"/>
              </w:rPr>
              <w:t xml:space="preserve"> alfa (n = 206)</w:t>
            </w:r>
          </w:p>
        </w:tc>
        <w:tc>
          <w:tcPr>
            <w:tcW w:w="3960" w:type="dxa"/>
          </w:tcPr>
          <w:p w14:paraId="1969A9AE" w14:textId="77777777" w:rsidR="001506C1" w:rsidRPr="00FA3F9C" w:rsidRDefault="001506C1" w:rsidP="00342795">
            <w:pPr>
              <w:autoSpaceDE w:val="0"/>
              <w:autoSpaceDN w:val="0"/>
              <w:adjustRightInd w:val="0"/>
              <w:spacing w:after="0" w:line="240" w:lineRule="auto"/>
              <w:rPr>
                <w:rFonts w:ascii="Arial" w:hAnsi="Arial" w:cs="Arial"/>
                <w:b/>
                <w:sz w:val="24"/>
                <w:szCs w:val="24"/>
              </w:rPr>
            </w:pPr>
            <w:r w:rsidRPr="00FA3F9C">
              <w:rPr>
                <w:rFonts w:ascii="Arial" w:hAnsi="Arial" w:cs="Arial"/>
                <w:b/>
                <w:sz w:val="24"/>
                <w:szCs w:val="24"/>
              </w:rPr>
              <w:t>Placebo (n = 204)</w:t>
            </w:r>
          </w:p>
        </w:tc>
      </w:tr>
      <w:tr w:rsidR="001506C1" w:rsidRPr="00FA3F9C" w14:paraId="7E7912AA" w14:textId="77777777" w:rsidTr="00DE4D2D">
        <w:tc>
          <w:tcPr>
            <w:tcW w:w="3192" w:type="dxa"/>
          </w:tcPr>
          <w:p w14:paraId="46C34BF4" w14:textId="77777777" w:rsidR="001506C1" w:rsidRPr="00FA3F9C" w:rsidRDefault="001506C1" w:rsidP="00342795">
            <w:pPr>
              <w:autoSpaceDE w:val="0"/>
              <w:autoSpaceDN w:val="0"/>
              <w:adjustRightInd w:val="0"/>
              <w:spacing w:after="0" w:line="240" w:lineRule="auto"/>
              <w:rPr>
                <w:rFonts w:ascii="Arial" w:hAnsi="Arial" w:cs="Arial"/>
                <w:b/>
                <w:sz w:val="24"/>
                <w:szCs w:val="24"/>
              </w:rPr>
            </w:pPr>
            <w:r w:rsidRPr="00FA3F9C">
              <w:rPr>
                <w:rFonts w:ascii="Arial" w:hAnsi="Arial" w:cs="Arial"/>
                <w:b/>
                <w:sz w:val="24"/>
                <w:szCs w:val="24"/>
              </w:rPr>
              <w:t>FEV</w:t>
            </w:r>
            <w:r w:rsidRPr="00FA3F9C">
              <w:rPr>
                <w:rFonts w:ascii="Arial" w:hAnsi="Arial" w:cs="Arial"/>
                <w:b/>
                <w:sz w:val="24"/>
                <w:szCs w:val="24"/>
                <w:vertAlign w:val="subscript"/>
              </w:rPr>
              <w:t>1</w:t>
            </w:r>
          </w:p>
        </w:tc>
        <w:tc>
          <w:tcPr>
            <w:tcW w:w="3756" w:type="dxa"/>
          </w:tcPr>
          <w:p w14:paraId="4D45AE20" w14:textId="77777777" w:rsidR="001506C1" w:rsidRPr="00FA3F9C" w:rsidRDefault="001506C1" w:rsidP="00342795">
            <w:pPr>
              <w:autoSpaceDE w:val="0"/>
              <w:autoSpaceDN w:val="0"/>
              <w:adjustRightInd w:val="0"/>
              <w:spacing w:after="0" w:line="240" w:lineRule="auto"/>
              <w:rPr>
                <w:rFonts w:ascii="Arial" w:hAnsi="Arial" w:cs="Arial"/>
                <w:sz w:val="24"/>
                <w:szCs w:val="24"/>
              </w:rPr>
            </w:pPr>
            <w:r w:rsidRPr="00FA3F9C">
              <w:rPr>
                <w:rFonts w:ascii="Arial" w:hAnsi="Arial" w:cs="Arial"/>
                <w:sz w:val="24"/>
                <w:szCs w:val="24"/>
              </w:rPr>
              <w:t>0.04% ± 0.8% predicted</w:t>
            </w:r>
          </w:p>
        </w:tc>
        <w:tc>
          <w:tcPr>
            <w:tcW w:w="3960" w:type="dxa"/>
          </w:tcPr>
          <w:p w14:paraId="0535DD57" w14:textId="77777777" w:rsidR="001506C1" w:rsidRPr="00FA3F9C" w:rsidRDefault="001506C1" w:rsidP="00DE4D2D">
            <w:pPr>
              <w:autoSpaceDE w:val="0"/>
              <w:autoSpaceDN w:val="0"/>
              <w:adjustRightInd w:val="0"/>
              <w:spacing w:after="0" w:line="240" w:lineRule="auto"/>
              <w:rPr>
                <w:rFonts w:ascii="Arial" w:hAnsi="Arial" w:cs="Arial"/>
                <w:sz w:val="24"/>
                <w:szCs w:val="24"/>
              </w:rPr>
            </w:pPr>
            <w:r w:rsidRPr="00FA3F9C">
              <w:rPr>
                <w:rFonts w:ascii="Arial" w:hAnsi="Arial" w:cs="Arial"/>
                <w:sz w:val="24"/>
                <w:szCs w:val="24"/>
              </w:rPr>
              <w:t>-3.2% ± 0.8% predicted</w:t>
            </w:r>
          </w:p>
        </w:tc>
      </w:tr>
      <w:tr w:rsidR="001506C1" w:rsidRPr="00FA3F9C" w14:paraId="0DCEE29E" w14:textId="77777777" w:rsidTr="00DE4D2D">
        <w:tc>
          <w:tcPr>
            <w:tcW w:w="3192" w:type="dxa"/>
          </w:tcPr>
          <w:p w14:paraId="05CE0F94" w14:textId="77777777" w:rsidR="001506C1" w:rsidRPr="00FA3F9C" w:rsidRDefault="001506C1" w:rsidP="00342795">
            <w:pPr>
              <w:autoSpaceDE w:val="0"/>
              <w:autoSpaceDN w:val="0"/>
              <w:adjustRightInd w:val="0"/>
              <w:spacing w:after="0" w:line="240" w:lineRule="auto"/>
              <w:rPr>
                <w:rFonts w:ascii="Arial" w:hAnsi="Arial" w:cs="Arial"/>
                <w:b/>
                <w:i/>
                <w:sz w:val="24"/>
                <w:szCs w:val="24"/>
              </w:rPr>
            </w:pPr>
            <w:r w:rsidRPr="00FA3F9C">
              <w:rPr>
                <w:rFonts w:ascii="Arial" w:hAnsi="Arial" w:cs="Arial"/>
                <w:b/>
                <w:sz w:val="24"/>
                <w:szCs w:val="24"/>
              </w:rPr>
              <w:t xml:space="preserve">      </w:t>
            </w:r>
            <w:r w:rsidRPr="00FA3F9C">
              <w:rPr>
                <w:rFonts w:ascii="Arial" w:hAnsi="Arial" w:cs="Arial"/>
                <w:b/>
                <w:i/>
                <w:sz w:val="24"/>
                <w:szCs w:val="24"/>
              </w:rPr>
              <w:t>Benefit</w:t>
            </w:r>
          </w:p>
        </w:tc>
        <w:tc>
          <w:tcPr>
            <w:tcW w:w="3756" w:type="dxa"/>
          </w:tcPr>
          <w:p w14:paraId="4D385225" w14:textId="77777777" w:rsidR="001506C1" w:rsidRPr="00FA3F9C" w:rsidRDefault="001506C1" w:rsidP="00DE4D2D">
            <w:pPr>
              <w:autoSpaceDE w:val="0"/>
              <w:autoSpaceDN w:val="0"/>
              <w:adjustRightInd w:val="0"/>
              <w:spacing w:after="0" w:line="240" w:lineRule="auto"/>
              <w:rPr>
                <w:rFonts w:ascii="Arial" w:hAnsi="Arial" w:cs="Arial"/>
                <w:sz w:val="24"/>
                <w:szCs w:val="24"/>
              </w:rPr>
            </w:pPr>
            <w:r w:rsidRPr="00FA3F9C">
              <w:rPr>
                <w:rFonts w:ascii="Arial" w:hAnsi="Arial" w:cs="Arial"/>
                <w:sz w:val="24"/>
                <w:szCs w:val="24"/>
              </w:rPr>
              <w:t>3.2% ± 1.2% predicted (</w:t>
            </w:r>
            <w:r w:rsidRPr="00FA3F9C">
              <w:rPr>
                <w:rFonts w:ascii="Arial" w:hAnsi="Arial" w:cs="Arial"/>
                <w:i/>
                <w:iCs/>
                <w:sz w:val="24"/>
                <w:szCs w:val="24"/>
              </w:rPr>
              <w:t xml:space="preserve">P </w:t>
            </w:r>
            <w:r w:rsidRPr="00FA3F9C">
              <w:rPr>
                <w:rFonts w:ascii="Arial" w:hAnsi="Arial" w:cs="Arial"/>
                <w:sz w:val="24"/>
                <w:szCs w:val="24"/>
              </w:rPr>
              <w:t>= .006)</w:t>
            </w:r>
          </w:p>
        </w:tc>
        <w:tc>
          <w:tcPr>
            <w:tcW w:w="3960" w:type="dxa"/>
          </w:tcPr>
          <w:p w14:paraId="04B423D2" w14:textId="77777777" w:rsidR="001506C1" w:rsidRPr="00FA3F9C" w:rsidRDefault="001506C1" w:rsidP="00342795">
            <w:pPr>
              <w:autoSpaceDE w:val="0"/>
              <w:autoSpaceDN w:val="0"/>
              <w:adjustRightInd w:val="0"/>
              <w:spacing w:after="0" w:line="240" w:lineRule="auto"/>
              <w:rPr>
                <w:rFonts w:ascii="Arial" w:hAnsi="Arial" w:cs="Arial"/>
                <w:sz w:val="24"/>
                <w:szCs w:val="24"/>
              </w:rPr>
            </w:pPr>
          </w:p>
        </w:tc>
      </w:tr>
      <w:tr w:rsidR="001506C1" w:rsidRPr="00FA3F9C" w14:paraId="30B69DFA" w14:textId="77777777" w:rsidTr="00DE4D2D">
        <w:tc>
          <w:tcPr>
            <w:tcW w:w="3192" w:type="dxa"/>
          </w:tcPr>
          <w:p w14:paraId="54D88B22" w14:textId="77777777" w:rsidR="001506C1" w:rsidRPr="00FA3F9C" w:rsidRDefault="001506C1" w:rsidP="00342795">
            <w:pPr>
              <w:autoSpaceDE w:val="0"/>
              <w:autoSpaceDN w:val="0"/>
              <w:adjustRightInd w:val="0"/>
              <w:spacing w:after="0" w:line="240" w:lineRule="auto"/>
              <w:rPr>
                <w:rFonts w:ascii="Arial" w:hAnsi="Arial" w:cs="Arial"/>
                <w:b/>
                <w:sz w:val="24"/>
                <w:szCs w:val="24"/>
              </w:rPr>
            </w:pPr>
            <w:r w:rsidRPr="00FA3F9C">
              <w:rPr>
                <w:rFonts w:ascii="Arial" w:hAnsi="Arial" w:cs="Arial"/>
                <w:b/>
                <w:sz w:val="24"/>
                <w:szCs w:val="24"/>
              </w:rPr>
              <w:t>FEF</w:t>
            </w:r>
            <w:r w:rsidRPr="00FA3F9C">
              <w:rPr>
                <w:rFonts w:ascii="Arial" w:hAnsi="Arial" w:cs="Arial"/>
                <w:b/>
                <w:sz w:val="24"/>
                <w:szCs w:val="24"/>
                <w:vertAlign w:val="subscript"/>
              </w:rPr>
              <w:t>25-75</w:t>
            </w:r>
          </w:p>
        </w:tc>
        <w:tc>
          <w:tcPr>
            <w:tcW w:w="3756" w:type="dxa"/>
          </w:tcPr>
          <w:p w14:paraId="125E78FC" w14:textId="77777777" w:rsidR="001506C1" w:rsidRPr="00FA3F9C" w:rsidRDefault="001506C1" w:rsidP="00342795">
            <w:pPr>
              <w:autoSpaceDE w:val="0"/>
              <w:autoSpaceDN w:val="0"/>
              <w:adjustRightInd w:val="0"/>
              <w:spacing w:after="0" w:line="240" w:lineRule="auto"/>
              <w:rPr>
                <w:rFonts w:ascii="Arial" w:hAnsi="Arial" w:cs="Arial"/>
                <w:sz w:val="24"/>
                <w:szCs w:val="24"/>
              </w:rPr>
            </w:pPr>
            <w:r w:rsidRPr="00FA3F9C">
              <w:rPr>
                <w:rFonts w:ascii="Arial" w:hAnsi="Arial" w:cs="Arial"/>
                <w:sz w:val="24"/>
                <w:szCs w:val="24"/>
              </w:rPr>
              <w:t>3.8% ± 1.6%</w:t>
            </w:r>
          </w:p>
        </w:tc>
        <w:tc>
          <w:tcPr>
            <w:tcW w:w="3960" w:type="dxa"/>
          </w:tcPr>
          <w:p w14:paraId="4D542906" w14:textId="77777777" w:rsidR="001506C1" w:rsidRPr="00FA3F9C" w:rsidRDefault="001506C1" w:rsidP="00342795">
            <w:pPr>
              <w:autoSpaceDE w:val="0"/>
              <w:autoSpaceDN w:val="0"/>
              <w:adjustRightInd w:val="0"/>
              <w:spacing w:after="0" w:line="240" w:lineRule="auto"/>
              <w:rPr>
                <w:rFonts w:ascii="Arial" w:hAnsi="Arial" w:cs="Arial"/>
                <w:sz w:val="24"/>
                <w:szCs w:val="24"/>
              </w:rPr>
            </w:pPr>
            <w:r w:rsidRPr="00FA3F9C">
              <w:rPr>
                <w:rFonts w:ascii="Arial" w:hAnsi="Arial" w:cs="Arial"/>
                <w:sz w:val="24"/>
                <w:szCs w:val="24"/>
              </w:rPr>
              <w:t>-4.1% ± 1.7%</w:t>
            </w:r>
          </w:p>
        </w:tc>
      </w:tr>
      <w:tr w:rsidR="001506C1" w:rsidRPr="00FA3F9C" w14:paraId="0DE6F619" w14:textId="77777777" w:rsidTr="00DE4D2D">
        <w:tc>
          <w:tcPr>
            <w:tcW w:w="3192" w:type="dxa"/>
          </w:tcPr>
          <w:p w14:paraId="68D74EA5" w14:textId="77777777" w:rsidR="001506C1" w:rsidRPr="00FA3F9C" w:rsidRDefault="001506C1" w:rsidP="00342795">
            <w:pPr>
              <w:autoSpaceDE w:val="0"/>
              <w:autoSpaceDN w:val="0"/>
              <w:adjustRightInd w:val="0"/>
              <w:spacing w:after="0" w:line="240" w:lineRule="auto"/>
              <w:rPr>
                <w:rFonts w:ascii="Arial" w:hAnsi="Arial" w:cs="Arial"/>
                <w:b/>
                <w:i/>
                <w:sz w:val="24"/>
                <w:szCs w:val="24"/>
              </w:rPr>
            </w:pPr>
            <w:r w:rsidRPr="00FA3F9C">
              <w:rPr>
                <w:rFonts w:ascii="Arial" w:hAnsi="Arial" w:cs="Arial"/>
                <w:b/>
                <w:sz w:val="24"/>
                <w:szCs w:val="24"/>
              </w:rPr>
              <w:t xml:space="preserve">      </w:t>
            </w:r>
            <w:r w:rsidRPr="00FA3F9C">
              <w:rPr>
                <w:rFonts w:ascii="Arial" w:hAnsi="Arial" w:cs="Arial"/>
                <w:b/>
                <w:i/>
                <w:sz w:val="24"/>
                <w:szCs w:val="24"/>
              </w:rPr>
              <w:t>Benefit</w:t>
            </w:r>
          </w:p>
        </w:tc>
        <w:tc>
          <w:tcPr>
            <w:tcW w:w="3756" w:type="dxa"/>
          </w:tcPr>
          <w:p w14:paraId="26F0ED14" w14:textId="77777777" w:rsidR="001506C1" w:rsidRPr="00FA3F9C" w:rsidRDefault="001506C1" w:rsidP="00DE4D2D">
            <w:pPr>
              <w:autoSpaceDE w:val="0"/>
              <w:autoSpaceDN w:val="0"/>
              <w:adjustRightInd w:val="0"/>
              <w:spacing w:after="0" w:line="240" w:lineRule="auto"/>
              <w:rPr>
                <w:rFonts w:ascii="Arial" w:hAnsi="Arial" w:cs="Arial"/>
                <w:sz w:val="24"/>
                <w:szCs w:val="24"/>
              </w:rPr>
            </w:pPr>
            <w:r w:rsidRPr="00FA3F9C">
              <w:rPr>
                <w:rFonts w:ascii="Arial" w:hAnsi="Arial" w:cs="Arial"/>
                <w:sz w:val="24"/>
                <w:szCs w:val="24"/>
              </w:rPr>
              <w:t>7.9% ± 2.3% predicted (</w:t>
            </w:r>
            <w:r w:rsidRPr="00FA3F9C">
              <w:rPr>
                <w:rFonts w:ascii="Arial" w:hAnsi="Arial" w:cs="Arial"/>
                <w:i/>
                <w:iCs/>
                <w:sz w:val="24"/>
                <w:szCs w:val="24"/>
              </w:rPr>
              <w:t xml:space="preserve">P </w:t>
            </w:r>
            <w:r w:rsidRPr="00FA3F9C">
              <w:rPr>
                <w:rFonts w:ascii="Arial" w:hAnsi="Arial" w:cs="Arial"/>
                <w:sz w:val="24"/>
                <w:szCs w:val="24"/>
              </w:rPr>
              <w:t>= .0008)</w:t>
            </w:r>
          </w:p>
        </w:tc>
        <w:tc>
          <w:tcPr>
            <w:tcW w:w="3960" w:type="dxa"/>
          </w:tcPr>
          <w:p w14:paraId="03C3E9A4" w14:textId="77777777" w:rsidR="001506C1" w:rsidRPr="00FA3F9C" w:rsidRDefault="001506C1" w:rsidP="00342795">
            <w:pPr>
              <w:autoSpaceDE w:val="0"/>
              <w:autoSpaceDN w:val="0"/>
              <w:adjustRightInd w:val="0"/>
              <w:spacing w:after="0" w:line="240" w:lineRule="auto"/>
              <w:rPr>
                <w:rFonts w:ascii="Arial" w:hAnsi="Arial" w:cs="Arial"/>
                <w:sz w:val="24"/>
                <w:szCs w:val="24"/>
              </w:rPr>
            </w:pPr>
          </w:p>
        </w:tc>
      </w:tr>
      <w:tr w:rsidR="001506C1" w:rsidRPr="00FA3F9C" w14:paraId="33C84372" w14:textId="77777777" w:rsidTr="00DE4D2D">
        <w:tc>
          <w:tcPr>
            <w:tcW w:w="3192" w:type="dxa"/>
          </w:tcPr>
          <w:p w14:paraId="707BD56D" w14:textId="77777777" w:rsidR="001506C1" w:rsidRPr="00FA3F9C" w:rsidRDefault="001506C1" w:rsidP="00342795">
            <w:pPr>
              <w:autoSpaceDE w:val="0"/>
              <w:autoSpaceDN w:val="0"/>
              <w:adjustRightInd w:val="0"/>
              <w:spacing w:after="0" w:line="240" w:lineRule="auto"/>
              <w:rPr>
                <w:rFonts w:ascii="Arial" w:hAnsi="Arial" w:cs="Arial"/>
                <w:b/>
                <w:sz w:val="24"/>
                <w:szCs w:val="24"/>
              </w:rPr>
            </w:pPr>
            <w:r w:rsidRPr="00FA3F9C">
              <w:rPr>
                <w:rFonts w:ascii="Arial" w:hAnsi="Arial" w:cs="Arial"/>
                <w:b/>
                <w:sz w:val="24"/>
                <w:szCs w:val="24"/>
              </w:rPr>
              <w:t>FVC</w:t>
            </w:r>
          </w:p>
        </w:tc>
        <w:tc>
          <w:tcPr>
            <w:tcW w:w="3756" w:type="dxa"/>
          </w:tcPr>
          <w:p w14:paraId="59B7A737" w14:textId="77777777" w:rsidR="001506C1" w:rsidRPr="00FA3F9C" w:rsidRDefault="001506C1" w:rsidP="00DE4D2D">
            <w:pPr>
              <w:autoSpaceDE w:val="0"/>
              <w:autoSpaceDN w:val="0"/>
              <w:adjustRightInd w:val="0"/>
              <w:spacing w:after="0" w:line="240" w:lineRule="auto"/>
              <w:rPr>
                <w:rFonts w:ascii="Arial" w:hAnsi="Arial" w:cs="Arial"/>
                <w:sz w:val="24"/>
                <w:szCs w:val="24"/>
              </w:rPr>
            </w:pPr>
            <w:r w:rsidRPr="00FA3F9C">
              <w:rPr>
                <w:rFonts w:ascii="Arial" w:hAnsi="Arial" w:cs="Arial"/>
                <w:sz w:val="24"/>
                <w:szCs w:val="24"/>
              </w:rPr>
              <w:t>–2.2% ± 0.7%</w:t>
            </w:r>
          </w:p>
        </w:tc>
        <w:tc>
          <w:tcPr>
            <w:tcW w:w="3960" w:type="dxa"/>
          </w:tcPr>
          <w:p w14:paraId="7596C31E" w14:textId="77777777" w:rsidR="001506C1" w:rsidRPr="00FA3F9C" w:rsidRDefault="001506C1" w:rsidP="00342795">
            <w:pPr>
              <w:autoSpaceDE w:val="0"/>
              <w:autoSpaceDN w:val="0"/>
              <w:adjustRightInd w:val="0"/>
              <w:spacing w:after="0" w:line="240" w:lineRule="auto"/>
              <w:rPr>
                <w:rFonts w:ascii="Arial" w:hAnsi="Arial" w:cs="Arial"/>
                <w:sz w:val="24"/>
                <w:szCs w:val="24"/>
              </w:rPr>
            </w:pPr>
            <w:r w:rsidRPr="00FA3F9C">
              <w:rPr>
                <w:rFonts w:ascii="Arial" w:hAnsi="Arial" w:cs="Arial"/>
                <w:sz w:val="24"/>
                <w:szCs w:val="24"/>
              </w:rPr>
              <w:t>–2.9% ± 0.7% predicted</w:t>
            </w:r>
          </w:p>
        </w:tc>
      </w:tr>
      <w:tr w:rsidR="001506C1" w:rsidRPr="00FA3F9C" w14:paraId="331C0B67" w14:textId="77777777" w:rsidTr="00DE4D2D">
        <w:tc>
          <w:tcPr>
            <w:tcW w:w="3192" w:type="dxa"/>
          </w:tcPr>
          <w:p w14:paraId="24D03579" w14:textId="77777777" w:rsidR="001506C1" w:rsidRPr="00FA3F9C" w:rsidRDefault="001506C1" w:rsidP="00342795">
            <w:pPr>
              <w:autoSpaceDE w:val="0"/>
              <w:autoSpaceDN w:val="0"/>
              <w:adjustRightInd w:val="0"/>
              <w:spacing w:after="0" w:line="240" w:lineRule="auto"/>
              <w:rPr>
                <w:rFonts w:ascii="Arial" w:hAnsi="Arial" w:cs="Arial"/>
                <w:b/>
                <w:i/>
                <w:sz w:val="24"/>
                <w:szCs w:val="24"/>
              </w:rPr>
            </w:pPr>
            <w:r w:rsidRPr="00FA3F9C">
              <w:rPr>
                <w:rFonts w:ascii="Arial" w:hAnsi="Arial" w:cs="Arial"/>
                <w:b/>
                <w:sz w:val="24"/>
                <w:szCs w:val="24"/>
              </w:rPr>
              <w:t xml:space="preserve">      </w:t>
            </w:r>
            <w:r w:rsidRPr="00FA3F9C">
              <w:rPr>
                <w:rFonts w:ascii="Arial" w:hAnsi="Arial" w:cs="Arial"/>
                <w:b/>
                <w:i/>
                <w:sz w:val="24"/>
                <w:szCs w:val="24"/>
              </w:rPr>
              <w:t>Benefit</w:t>
            </w:r>
          </w:p>
        </w:tc>
        <w:tc>
          <w:tcPr>
            <w:tcW w:w="7716" w:type="dxa"/>
            <w:gridSpan w:val="2"/>
          </w:tcPr>
          <w:p w14:paraId="62A01A41" w14:textId="77777777" w:rsidR="001506C1" w:rsidRPr="00FA3F9C" w:rsidRDefault="001506C1" w:rsidP="00342795">
            <w:pPr>
              <w:autoSpaceDE w:val="0"/>
              <w:autoSpaceDN w:val="0"/>
              <w:adjustRightInd w:val="0"/>
              <w:spacing w:after="0" w:line="240" w:lineRule="auto"/>
              <w:jc w:val="center"/>
              <w:rPr>
                <w:rFonts w:ascii="Arial" w:hAnsi="Arial" w:cs="Arial"/>
                <w:sz w:val="24"/>
                <w:szCs w:val="24"/>
              </w:rPr>
            </w:pPr>
            <w:r w:rsidRPr="00FA3F9C">
              <w:rPr>
                <w:rFonts w:ascii="Arial" w:hAnsi="Arial" w:cs="Arial"/>
                <w:sz w:val="24"/>
                <w:szCs w:val="24"/>
              </w:rPr>
              <w:t>Not statistically significant</w:t>
            </w:r>
          </w:p>
        </w:tc>
      </w:tr>
      <w:tr w:rsidR="001506C1" w:rsidRPr="00FA3F9C" w14:paraId="16DB91FF" w14:textId="77777777" w:rsidTr="00DE4D2D">
        <w:tc>
          <w:tcPr>
            <w:tcW w:w="3192" w:type="dxa"/>
          </w:tcPr>
          <w:p w14:paraId="55EE3573" w14:textId="77777777" w:rsidR="001506C1" w:rsidRPr="00FA3F9C" w:rsidRDefault="001506C1" w:rsidP="00342795">
            <w:pPr>
              <w:autoSpaceDE w:val="0"/>
              <w:autoSpaceDN w:val="0"/>
              <w:adjustRightInd w:val="0"/>
              <w:spacing w:after="0" w:line="240" w:lineRule="auto"/>
              <w:rPr>
                <w:rFonts w:ascii="Arial" w:hAnsi="Arial" w:cs="Arial"/>
                <w:b/>
                <w:sz w:val="24"/>
                <w:szCs w:val="24"/>
              </w:rPr>
            </w:pPr>
            <w:r w:rsidRPr="00FA3F9C">
              <w:rPr>
                <w:rFonts w:ascii="Arial" w:hAnsi="Arial" w:cs="Arial"/>
                <w:b/>
                <w:sz w:val="24"/>
                <w:szCs w:val="24"/>
              </w:rPr>
              <w:t>Respiratory Tract Exacerbations</w:t>
            </w:r>
          </w:p>
        </w:tc>
        <w:tc>
          <w:tcPr>
            <w:tcW w:w="7716" w:type="dxa"/>
            <w:gridSpan w:val="2"/>
          </w:tcPr>
          <w:p w14:paraId="2E855E1C" w14:textId="77777777" w:rsidR="001506C1" w:rsidRPr="00FA3F9C" w:rsidRDefault="001506C1" w:rsidP="00342795">
            <w:pPr>
              <w:autoSpaceDE w:val="0"/>
              <w:autoSpaceDN w:val="0"/>
              <w:adjustRightInd w:val="0"/>
              <w:spacing w:after="0" w:line="240" w:lineRule="auto"/>
              <w:rPr>
                <w:rFonts w:ascii="Arial" w:hAnsi="Arial" w:cs="Arial"/>
                <w:b/>
                <w:sz w:val="24"/>
                <w:szCs w:val="24"/>
              </w:rPr>
            </w:pPr>
            <w:r w:rsidRPr="00FA3F9C">
              <w:rPr>
                <w:rFonts w:ascii="Arial" w:hAnsi="Arial" w:cs="Arial"/>
                <w:b/>
                <w:sz w:val="24"/>
                <w:szCs w:val="24"/>
              </w:rPr>
              <w:t xml:space="preserve">N=474, unsure if they used ITT for results.  </w:t>
            </w:r>
          </w:p>
          <w:p w14:paraId="4D783023" w14:textId="77777777" w:rsidR="001506C1" w:rsidRPr="00FA3F9C" w:rsidRDefault="001506C1" w:rsidP="00DE4D2D">
            <w:pPr>
              <w:autoSpaceDE w:val="0"/>
              <w:autoSpaceDN w:val="0"/>
              <w:adjustRightInd w:val="0"/>
              <w:spacing w:after="0" w:line="240" w:lineRule="auto"/>
              <w:rPr>
                <w:rFonts w:ascii="Arial" w:hAnsi="Arial" w:cs="Arial"/>
                <w:b/>
                <w:sz w:val="24"/>
                <w:szCs w:val="24"/>
              </w:rPr>
            </w:pPr>
            <w:r w:rsidRPr="00FA3F9C">
              <w:rPr>
                <w:rFonts w:ascii="Arial" w:hAnsi="Arial" w:cs="Arial"/>
                <w:b/>
                <w:sz w:val="24"/>
                <w:szCs w:val="24"/>
              </w:rPr>
              <w:t xml:space="preserve">-34% (relative risk 0.66, 95% CI 0.44-1.00, </w:t>
            </w:r>
            <w:r w:rsidRPr="00FA3F9C">
              <w:rPr>
                <w:rFonts w:ascii="Arial" w:hAnsi="Arial" w:cs="Arial"/>
                <w:b/>
                <w:i/>
                <w:iCs/>
                <w:sz w:val="24"/>
                <w:szCs w:val="24"/>
              </w:rPr>
              <w:t xml:space="preserve">P </w:t>
            </w:r>
            <w:r w:rsidRPr="00FA3F9C">
              <w:rPr>
                <w:rFonts w:ascii="Arial" w:hAnsi="Arial" w:cs="Arial"/>
                <w:b/>
                <w:sz w:val="24"/>
                <w:szCs w:val="24"/>
              </w:rPr>
              <w:t>= .048)**</w:t>
            </w:r>
          </w:p>
        </w:tc>
      </w:tr>
      <w:tr w:rsidR="001506C1" w:rsidRPr="00FA3F9C" w14:paraId="0969F897" w14:textId="77777777" w:rsidTr="00DE4D2D">
        <w:tc>
          <w:tcPr>
            <w:tcW w:w="3192" w:type="dxa"/>
          </w:tcPr>
          <w:p w14:paraId="007CB0F8" w14:textId="77777777" w:rsidR="001506C1" w:rsidRPr="00FA3F9C" w:rsidRDefault="001506C1" w:rsidP="00342795">
            <w:pPr>
              <w:autoSpaceDE w:val="0"/>
              <w:autoSpaceDN w:val="0"/>
              <w:adjustRightInd w:val="0"/>
              <w:spacing w:after="0" w:line="240" w:lineRule="auto"/>
              <w:rPr>
                <w:rFonts w:ascii="Arial" w:hAnsi="Arial" w:cs="Arial"/>
                <w:b/>
                <w:sz w:val="24"/>
                <w:szCs w:val="24"/>
              </w:rPr>
            </w:pPr>
          </w:p>
        </w:tc>
        <w:tc>
          <w:tcPr>
            <w:tcW w:w="3756" w:type="dxa"/>
          </w:tcPr>
          <w:p w14:paraId="4A9DB897" w14:textId="77777777" w:rsidR="001506C1" w:rsidRPr="00FA3F9C" w:rsidRDefault="001506C1" w:rsidP="00342795">
            <w:pPr>
              <w:autoSpaceDE w:val="0"/>
              <w:autoSpaceDN w:val="0"/>
              <w:adjustRightInd w:val="0"/>
              <w:spacing w:after="0" w:line="240" w:lineRule="auto"/>
              <w:rPr>
                <w:rFonts w:ascii="Arial" w:hAnsi="Arial" w:cs="Arial"/>
                <w:b/>
                <w:sz w:val="24"/>
                <w:szCs w:val="24"/>
              </w:rPr>
            </w:pPr>
            <w:proofErr w:type="spellStart"/>
            <w:r w:rsidRPr="00FA3F9C">
              <w:rPr>
                <w:rFonts w:ascii="Arial" w:hAnsi="Arial" w:cs="Arial"/>
                <w:b/>
                <w:sz w:val="24"/>
                <w:szCs w:val="24"/>
              </w:rPr>
              <w:t>Dornase</w:t>
            </w:r>
            <w:proofErr w:type="spellEnd"/>
            <w:r w:rsidRPr="00FA3F9C">
              <w:rPr>
                <w:rFonts w:ascii="Arial" w:hAnsi="Arial" w:cs="Arial"/>
                <w:b/>
                <w:sz w:val="24"/>
                <w:szCs w:val="24"/>
              </w:rPr>
              <w:t xml:space="preserve"> 40 pts had 62 exacerbations over 96 w (28 early, 34 late); 0.65 </w:t>
            </w:r>
            <w:proofErr w:type="spellStart"/>
            <w:r w:rsidRPr="00FA3F9C">
              <w:rPr>
                <w:rFonts w:ascii="Arial" w:hAnsi="Arial" w:cs="Arial"/>
                <w:b/>
                <w:sz w:val="24"/>
                <w:szCs w:val="24"/>
              </w:rPr>
              <w:t>exac</w:t>
            </w:r>
            <w:proofErr w:type="spellEnd"/>
            <w:r w:rsidRPr="00FA3F9C">
              <w:rPr>
                <w:rFonts w:ascii="Arial" w:hAnsi="Arial" w:cs="Arial"/>
                <w:b/>
                <w:sz w:val="24"/>
                <w:szCs w:val="24"/>
              </w:rPr>
              <w:t>/week</w:t>
            </w:r>
          </w:p>
        </w:tc>
        <w:tc>
          <w:tcPr>
            <w:tcW w:w="3960" w:type="dxa"/>
          </w:tcPr>
          <w:p w14:paraId="1FBF4FED" w14:textId="77777777" w:rsidR="001506C1" w:rsidRPr="00FA3F9C" w:rsidRDefault="001506C1" w:rsidP="00342795">
            <w:pPr>
              <w:autoSpaceDE w:val="0"/>
              <w:autoSpaceDN w:val="0"/>
              <w:adjustRightInd w:val="0"/>
              <w:spacing w:after="0" w:line="240" w:lineRule="auto"/>
              <w:rPr>
                <w:rFonts w:ascii="Arial" w:hAnsi="Arial" w:cs="Arial"/>
                <w:b/>
                <w:sz w:val="24"/>
                <w:szCs w:val="24"/>
              </w:rPr>
            </w:pPr>
            <w:r w:rsidRPr="00FA3F9C">
              <w:rPr>
                <w:rFonts w:ascii="Arial" w:hAnsi="Arial" w:cs="Arial"/>
                <w:b/>
                <w:sz w:val="24"/>
                <w:szCs w:val="24"/>
              </w:rPr>
              <w:t xml:space="preserve">Placebo 56 pts had 92 exacerbations over 96 w (47 early, 45 late); 0.96 </w:t>
            </w:r>
            <w:proofErr w:type="spellStart"/>
            <w:r w:rsidRPr="00FA3F9C">
              <w:rPr>
                <w:rFonts w:ascii="Arial" w:hAnsi="Arial" w:cs="Arial"/>
                <w:b/>
                <w:sz w:val="24"/>
                <w:szCs w:val="24"/>
              </w:rPr>
              <w:t>exac</w:t>
            </w:r>
            <w:proofErr w:type="spellEnd"/>
            <w:r w:rsidRPr="00FA3F9C">
              <w:rPr>
                <w:rFonts w:ascii="Arial" w:hAnsi="Arial" w:cs="Arial"/>
                <w:b/>
                <w:sz w:val="24"/>
                <w:szCs w:val="24"/>
              </w:rPr>
              <w:t>/week</w:t>
            </w:r>
          </w:p>
        </w:tc>
      </w:tr>
      <w:tr w:rsidR="001506C1" w:rsidRPr="00FA3F9C" w14:paraId="288B47B7" w14:textId="77777777" w:rsidTr="00DE4D2D">
        <w:tc>
          <w:tcPr>
            <w:tcW w:w="3192" w:type="dxa"/>
          </w:tcPr>
          <w:p w14:paraId="417262E4" w14:textId="77777777" w:rsidR="001506C1" w:rsidRPr="00FA3F9C" w:rsidRDefault="001506C1" w:rsidP="00342795">
            <w:pPr>
              <w:autoSpaceDE w:val="0"/>
              <w:autoSpaceDN w:val="0"/>
              <w:adjustRightInd w:val="0"/>
              <w:spacing w:after="0" w:line="240" w:lineRule="auto"/>
              <w:rPr>
                <w:rFonts w:ascii="Arial" w:hAnsi="Arial" w:cs="Arial"/>
                <w:b/>
                <w:sz w:val="24"/>
                <w:szCs w:val="24"/>
              </w:rPr>
            </w:pPr>
          </w:p>
        </w:tc>
        <w:tc>
          <w:tcPr>
            <w:tcW w:w="3756" w:type="dxa"/>
          </w:tcPr>
          <w:p w14:paraId="5C489AD8" w14:textId="77777777" w:rsidR="001506C1" w:rsidRPr="00FA3F9C" w:rsidRDefault="001506C1" w:rsidP="00342795">
            <w:pPr>
              <w:autoSpaceDE w:val="0"/>
              <w:autoSpaceDN w:val="0"/>
              <w:adjustRightInd w:val="0"/>
              <w:spacing w:after="0" w:line="240" w:lineRule="auto"/>
              <w:rPr>
                <w:rFonts w:ascii="Arial" w:hAnsi="Arial" w:cs="Arial"/>
                <w:b/>
                <w:sz w:val="24"/>
                <w:szCs w:val="24"/>
              </w:rPr>
            </w:pPr>
            <w:proofErr w:type="spellStart"/>
            <w:r w:rsidRPr="00FA3F9C">
              <w:rPr>
                <w:rFonts w:ascii="Arial" w:hAnsi="Arial" w:cs="Arial"/>
                <w:b/>
                <w:sz w:val="24"/>
                <w:szCs w:val="24"/>
              </w:rPr>
              <w:t>Dornase</w:t>
            </w:r>
            <w:proofErr w:type="spellEnd"/>
            <w:r w:rsidRPr="00FA3F9C">
              <w:rPr>
                <w:rFonts w:ascii="Arial" w:hAnsi="Arial" w:cs="Arial"/>
                <w:b/>
                <w:sz w:val="24"/>
                <w:szCs w:val="24"/>
              </w:rPr>
              <w:t xml:space="preserve"> rash 5.9%</w:t>
            </w:r>
          </w:p>
        </w:tc>
        <w:tc>
          <w:tcPr>
            <w:tcW w:w="3960" w:type="dxa"/>
          </w:tcPr>
          <w:p w14:paraId="68693E63" w14:textId="77777777" w:rsidR="001506C1" w:rsidRPr="00FA3F9C" w:rsidRDefault="001506C1" w:rsidP="00342795">
            <w:pPr>
              <w:autoSpaceDE w:val="0"/>
              <w:autoSpaceDN w:val="0"/>
              <w:adjustRightInd w:val="0"/>
              <w:spacing w:after="0" w:line="240" w:lineRule="auto"/>
              <w:rPr>
                <w:rFonts w:ascii="Arial" w:hAnsi="Arial" w:cs="Arial"/>
                <w:b/>
                <w:sz w:val="24"/>
                <w:szCs w:val="24"/>
              </w:rPr>
            </w:pPr>
            <w:proofErr w:type="spellStart"/>
            <w:r w:rsidRPr="00FA3F9C">
              <w:rPr>
                <w:rFonts w:ascii="Arial" w:hAnsi="Arial" w:cs="Arial"/>
                <w:b/>
                <w:sz w:val="24"/>
                <w:szCs w:val="24"/>
              </w:rPr>
              <w:t>Plac</w:t>
            </w:r>
            <w:proofErr w:type="spellEnd"/>
            <w:r w:rsidRPr="00FA3F9C">
              <w:rPr>
                <w:rFonts w:ascii="Arial" w:hAnsi="Arial" w:cs="Arial"/>
                <w:b/>
                <w:sz w:val="24"/>
                <w:szCs w:val="24"/>
              </w:rPr>
              <w:t xml:space="preserve"> rash 1.3%</w:t>
            </w:r>
          </w:p>
        </w:tc>
      </w:tr>
      <w:tr w:rsidR="001506C1" w:rsidRPr="00FA3F9C" w14:paraId="1049BD7D" w14:textId="77777777" w:rsidTr="00DE4D2D">
        <w:tc>
          <w:tcPr>
            <w:tcW w:w="10908" w:type="dxa"/>
            <w:gridSpan w:val="3"/>
          </w:tcPr>
          <w:p w14:paraId="024AF29A" w14:textId="77777777" w:rsidR="001506C1" w:rsidRPr="00FA3F9C" w:rsidRDefault="001506C1" w:rsidP="00342795">
            <w:pPr>
              <w:autoSpaceDE w:val="0"/>
              <w:autoSpaceDN w:val="0"/>
              <w:adjustRightInd w:val="0"/>
              <w:spacing w:after="0" w:line="240" w:lineRule="auto"/>
              <w:rPr>
                <w:rFonts w:ascii="Arial" w:hAnsi="Arial" w:cs="Arial"/>
                <w:sz w:val="24"/>
                <w:szCs w:val="24"/>
              </w:rPr>
            </w:pPr>
            <w:r w:rsidRPr="00FA3F9C">
              <w:rPr>
                <w:rFonts w:ascii="Arial" w:hAnsi="Arial" w:cs="Arial"/>
                <w:b/>
                <w:sz w:val="24"/>
                <w:szCs w:val="24"/>
              </w:rPr>
              <w:t>**</w:t>
            </w:r>
            <w:r w:rsidRPr="00FA3F9C">
              <w:rPr>
                <w:rFonts w:ascii="Arial" w:hAnsi="Arial" w:cs="Arial"/>
                <w:sz w:val="24"/>
                <w:szCs w:val="24"/>
              </w:rPr>
              <w:t xml:space="preserve">A time-to-first-event analysis demonstrated that patients receiving </w:t>
            </w:r>
            <w:proofErr w:type="spellStart"/>
            <w:r w:rsidRPr="00FA3F9C">
              <w:rPr>
                <w:rFonts w:ascii="Arial" w:hAnsi="Arial" w:cs="Arial"/>
                <w:sz w:val="24"/>
                <w:szCs w:val="24"/>
              </w:rPr>
              <w:t>dornase</w:t>
            </w:r>
            <w:proofErr w:type="spellEnd"/>
            <w:r w:rsidRPr="00FA3F9C">
              <w:rPr>
                <w:rFonts w:ascii="Arial" w:hAnsi="Arial" w:cs="Arial"/>
                <w:sz w:val="24"/>
                <w:szCs w:val="24"/>
              </w:rPr>
              <w:t xml:space="preserve"> alfa had a lower risk of exacerbations versus placebo throughout the study.</w:t>
            </w:r>
          </w:p>
        </w:tc>
      </w:tr>
    </w:tbl>
    <w:p w14:paraId="77F71916" w14:textId="77777777" w:rsidR="001506C1" w:rsidRPr="00FA3F9C" w:rsidRDefault="001506C1" w:rsidP="00645EB6">
      <w:pPr>
        <w:rPr>
          <w:rFonts w:ascii="Arial" w:hAnsi="Arial" w:cs="Arial"/>
          <w:b/>
          <w:sz w:val="24"/>
          <w:szCs w:val="24"/>
        </w:rPr>
      </w:pPr>
      <w:r w:rsidRPr="00FA3F9C">
        <w:rPr>
          <w:rFonts w:ascii="Arial" w:hAnsi="Arial" w:cs="Arial"/>
          <w:b/>
          <w:sz w:val="24"/>
          <w:szCs w:val="24"/>
        </w:rPr>
        <w:t>REFERENCES:</w:t>
      </w:r>
    </w:p>
    <w:p w14:paraId="5D8A4612" w14:textId="77777777" w:rsidR="001506C1" w:rsidRPr="00FA3F9C" w:rsidRDefault="001506C1" w:rsidP="0001002B">
      <w:pPr>
        <w:spacing w:line="240" w:lineRule="auto"/>
        <w:contextualSpacing/>
        <w:rPr>
          <w:rFonts w:ascii="Arial" w:hAnsi="Arial" w:cs="Arial"/>
          <w:sz w:val="24"/>
          <w:szCs w:val="24"/>
        </w:rPr>
      </w:pPr>
      <w:r w:rsidRPr="00FA3F9C">
        <w:rPr>
          <w:rFonts w:ascii="Arial" w:hAnsi="Arial" w:cs="Arial"/>
          <w:sz w:val="24"/>
          <w:szCs w:val="24"/>
        </w:rPr>
        <w:t xml:space="preserve">1.  Henke MO, </w:t>
      </w:r>
      <w:proofErr w:type="spellStart"/>
      <w:r w:rsidRPr="00FA3F9C">
        <w:rPr>
          <w:rFonts w:ascii="Arial" w:hAnsi="Arial" w:cs="Arial"/>
          <w:sz w:val="24"/>
          <w:szCs w:val="24"/>
        </w:rPr>
        <w:t>Ratjen</w:t>
      </w:r>
      <w:proofErr w:type="spellEnd"/>
      <w:r w:rsidRPr="00FA3F9C">
        <w:rPr>
          <w:rFonts w:ascii="Arial" w:hAnsi="Arial" w:cs="Arial"/>
          <w:sz w:val="24"/>
          <w:szCs w:val="24"/>
        </w:rPr>
        <w:t xml:space="preserve"> F. Mucolytics in Cystic Fibrosis.  Pediatric Respiratory Reviews. 8(1):24-9, 2007 Mar. </w:t>
      </w:r>
    </w:p>
    <w:p w14:paraId="1CAEFBBB" w14:textId="5B810B6B" w:rsidR="001506C1" w:rsidRPr="00FA3F9C" w:rsidRDefault="001506C1" w:rsidP="0001002B">
      <w:pPr>
        <w:spacing w:line="240" w:lineRule="auto"/>
        <w:contextualSpacing/>
        <w:rPr>
          <w:rFonts w:ascii="Arial" w:hAnsi="Arial" w:cs="Arial"/>
          <w:bCs/>
          <w:sz w:val="24"/>
          <w:szCs w:val="24"/>
        </w:rPr>
      </w:pPr>
      <w:r w:rsidRPr="00FA3F9C">
        <w:rPr>
          <w:rFonts w:ascii="Arial" w:hAnsi="Arial" w:cs="Arial"/>
          <w:sz w:val="24"/>
          <w:szCs w:val="24"/>
        </w:rPr>
        <w:t xml:space="preserve">2.  </w:t>
      </w:r>
      <w:r w:rsidR="002F3083" w:rsidRPr="00652A6E">
        <w:rPr>
          <w:rFonts w:ascii="Arial" w:hAnsi="Arial" w:cs="Arial"/>
          <w:sz w:val="24"/>
          <w:szCs w:val="24"/>
        </w:rPr>
        <w:t>JJ</w:t>
      </w:r>
      <w:r w:rsidRPr="00652A6E">
        <w:rPr>
          <w:rFonts w:ascii="Arial" w:hAnsi="Arial" w:cs="Arial"/>
          <w:sz w:val="24"/>
          <w:szCs w:val="24"/>
        </w:rPr>
        <w:t xml:space="preserve">, Charles A., Steven M. Butler, Michael W. </w:t>
      </w:r>
      <w:proofErr w:type="spellStart"/>
      <w:r w:rsidRPr="00652A6E">
        <w:rPr>
          <w:rFonts w:ascii="Arial" w:hAnsi="Arial" w:cs="Arial"/>
          <w:sz w:val="24"/>
          <w:szCs w:val="24"/>
        </w:rPr>
        <w:t>Konstan</w:t>
      </w:r>
      <w:proofErr w:type="spellEnd"/>
      <w:r w:rsidRPr="00652A6E">
        <w:rPr>
          <w:rFonts w:ascii="Arial" w:hAnsi="Arial" w:cs="Arial"/>
          <w:sz w:val="24"/>
          <w:szCs w:val="24"/>
        </w:rPr>
        <w:t xml:space="preserve"> et al.  </w:t>
      </w:r>
      <w:r w:rsidRPr="00FA3F9C">
        <w:rPr>
          <w:rFonts w:ascii="Arial" w:hAnsi="Arial" w:cs="Arial"/>
          <w:bCs/>
          <w:sz w:val="24"/>
          <w:szCs w:val="24"/>
        </w:rPr>
        <w:t xml:space="preserve">Estimating effectiveness in an observational study: A case study of </w:t>
      </w:r>
      <w:proofErr w:type="spellStart"/>
      <w:r w:rsidRPr="00FA3F9C">
        <w:rPr>
          <w:rFonts w:ascii="Arial" w:hAnsi="Arial" w:cs="Arial"/>
          <w:bCs/>
          <w:sz w:val="24"/>
          <w:szCs w:val="24"/>
        </w:rPr>
        <w:t>dornase</w:t>
      </w:r>
      <w:proofErr w:type="spellEnd"/>
      <w:r w:rsidRPr="00FA3F9C">
        <w:rPr>
          <w:rFonts w:ascii="Arial" w:hAnsi="Arial" w:cs="Arial"/>
          <w:bCs/>
          <w:sz w:val="24"/>
          <w:szCs w:val="24"/>
        </w:rPr>
        <w:t xml:space="preserve"> alfa in cystic fibrosis. </w:t>
      </w:r>
      <w:hyperlink r:id="rId137" w:tooltip="Go to The Journal of Pediatrics on SciVerse ScienceDirect" w:history="1">
        <w:r w:rsidRPr="00FA3F9C">
          <w:rPr>
            <w:rStyle w:val="Hyperlink"/>
            <w:rFonts w:ascii="Arial" w:hAnsi="Arial" w:cs="Arial"/>
            <w:bCs/>
            <w:sz w:val="24"/>
            <w:szCs w:val="24"/>
          </w:rPr>
          <w:t>The Journal of Pediatrics</w:t>
        </w:r>
      </w:hyperlink>
      <w:r w:rsidRPr="00FA3F9C">
        <w:rPr>
          <w:rFonts w:ascii="Arial" w:hAnsi="Arial" w:cs="Arial"/>
          <w:sz w:val="24"/>
          <w:szCs w:val="24"/>
        </w:rPr>
        <w:t>. 1999;134(6):734-39.</w:t>
      </w:r>
    </w:p>
    <w:p w14:paraId="7FFBEA94" w14:textId="77777777" w:rsidR="001506C1" w:rsidRPr="00FA3F9C" w:rsidRDefault="001506C1" w:rsidP="0001002B">
      <w:pPr>
        <w:spacing w:line="240" w:lineRule="auto"/>
        <w:contextualSpacing/>
        <w:rPr>
          <w:rFonts w:ascii="Arial" w:hAnsi="Arial" w:cs="Arial"/>
          <w:sz w:val="24"/>
          <w:szCs w:val="24"/>
        </w:rPr>
      </w:pPr>
      <w:r w:rsidRPr="00FA3F9C">
        <w:rPr>
          <w:rFonts w:ascii="Arial" w:hAnsi="Arial" w:cs="Arial"/>
          <w:sz w:val="24"/>
          <w:szCs w:val="24"/>
        </w:rPr>
        <w:lastRenderedPageBreak/>
        <w:t>3.  Lexi-Comp Online , Lexi-Drugs Online , Hudson, Ohio: Lexi-Comp, Inc.; Accessed October 8, 2012.</w:t>
      </w:r>
    </w:p>
    <w:p w14:paraId="7E633210" w14:textId="77777777" w:rsidR="001506C1" w:rsidRPr="00FA3F9C" w:rsidRDefault="001506C1" w:rsidP="0001002B">
      <w:pPr>
        <w:spacing w:line="240" w:lineRule="auto"/>
        <w:contextualSpacing/>
        <w:rPr>
          <w:rFonts w:ascii="Arial" w:hAnsi="Arial" w:cs="Arial"/>
          <w:sz w:val="24"/>
          <w:szCs w:val="24"/>
        </w:rPr>
      </w:pPr>
      <w:r w:rsidRPr="00FA3F9C">
        <w:rPr>
          <w:rFonts w:ascii="Arial" w:hAnsi="Arial" w:cs="Arial"/>
          <w:sz w:val="24"/>
          <w:szCs w:val="24"/>
        </w:rPr>
        <w:t xml:space="preserve">4.  </w:t>
      </w:r>
      <w:proofErr w:type="spellStart"/>
      <w:r w:rsidRPr="00FA3F9C">
        <w:rPr>
          <w:rFonts w:ascii="Arial" w:hAnsi="Arial" w:cs="Arial"/>
          <w:sz w:val="24"/>
          <w:szCs w:val="24"/>
        </w:rPr>
        <w:t>Pulmozyme</w:t>
      </w:r>
      <w:proofErr w:type="spellEnd"/>
      <w:r w:rsidRPr="00FA3F9C">
        <w:rPr>
          <w:rFonts w:ascii="Arial" w:hAnsi="Arial" w:cs="Arial"/>
          <w:sz w:val="24"/>
          <w:szCs w:val="24"/>
        </w:rPr>
        <w:t xml:space="preserve"> prescribing information. Genentech. Accessed October 7, 2012.</w:t>
      </w:r>
    </w:p>
    <w:p w14:paraId="3E848B38" w14:textId="77777777" w:rsidR="001506C1" w:rsidRPr="00FA3F9C" w:rsidRDefault="001506C1" w:rsidP="0001002B">
      <w:pPr>
        <w:spacing w:line="240" w:lineRule="auto"/>
        <w:contextualSpacing/>
        <w:rPr>
          <w:rFonts w:ascii="Arial" w:hAnsi="Arial" w:cs="Arial"/>
          <w:sz w:val="24"/>
          <w:szCs w:val="24"/>
        </w:rPr>
      </w:pPr>
      <w:r w:rsidRPr="00FA3F9C">
        <w:rPr>
          <w:rStyle w:val="definition"/>
          <w:rFonts w:ascii="Arial" w:hAnsi="Arial" w:cs="Arial"/>
          <w:sz w:val="24"/>
          <w:szCs w:val="24"/>
        </w:rPr>
        <w:t xml:space="preserve">5.  Robinson, Phillip J. </w:t>
      </w:r>
      <w:proofErr w:type="spellStart"/>
      <w:r w:rsidRPr="00FA3F9C">
        <w:rPr>
          <w:rFonts w:ascii="Arial" w:hAnsi="Arial" w:cs="Arial"/>
          <w:sz w:val="24"/>
          <w:szCs w:val="24"/>
        </w:rPr>
        <w:t>Dornase</w:t>
      </w:r>
      <w:proofErr w:type="spellEnd"/>
      <w:r w:rsidRPr="00FA3F9C">
        <w:rPr>
          <w:rFonts w:ascii="Arial" w:hAnsi="Arial" w:cs="Arial"/>
          <w:sz w:val="24"/>
          <w:szCs w:val="24"/>
        </w:rPr>
        <w:t xml:space="preserve"> Alfa in Early Cystic Fibrosis Lung Disease. Pediatric Pulmonology 34:237–241 (2002).</w:t>
      </w:r>
    </w:p>
    <w:p w14:paraId="7DDDC379" w14:textId="77777777" w:rsidR="001506C1" w:rsidRPr="00FA3F9C" w:rsidRDefault="001506C1" w:rsidP="00880849">
      <w:pPr>
        <w:spacing w:line="240" w:lineRule="auto"/>
        <w:contextualSpacing/>
        <w:rPr>
          <w:rFonts w:ascii="Arial" w:hAnsi="Arial" w:cs="Arial"/>
          <w:iCs/>
          <w:sz w:val="24"/>
          <w:szCs w:val="24"/>
        </w:rPr>
      </w:pPr>
      <w:r w:rsidRPr="00FA3F9C">
        <w:rPr>
          <w:rFonts w:ascii="Arial" w:hAnsi="Arial" w:cs="Arial"/>
          <w:sz w:val="24"/>
          <w:szCs w:val="24"/>
        </w:rPr>
        <w:t xml:space="preserve">6.   </w:t>
      </w:r>
      <w:r w:rsidRPr="00652A6E">
        <w:rPr>
          <w:rFonts w:ascii="Arial" w:hAnsi="Arial" w:cs="Arial"/>
          <w:iCs/>
          <w:sz w:val="24"/>
          <w:szCs w:val="24"/>
        </w:rPr>
        <w:t xml:space="preserve">Joanne M. Quan, MD, Harm A. W. M. </w:t>
      </w:r>
      <w:proofErr w:type="spellStart"/>
      <w:r w:rsidRPr="00652A6E">
        <w:rPr>
          <w:rFonts w:ascii="Arial" w:hAnsi="Arial" w:cs="Arial"/>
          <w:iCs/>
          <w:sz w:val="24"/>
          <w:szCs w:val="24"/>
        </w:rPr>
        <w:t>Tiddens</w:t>
      </w:r>
      <w:proofErr w:type="spellEnd"/>
      <w:r w:rsidRPr="00652A6E">
        <w:rPr>
          <w:rFonts w:ascii="Arial" w:hAnsi="Arial" w:cs="Arial"/>
          <w:iCs/>
          <w:sz w:val="24"/>
          <w:szCs w:val="24"/>
        </w:rPr>
        <w:t xml:space="preserve">, MD, et al. </w:t>
      </w:r>
      <w:r w:rsidRPr="00FA3F9C">
        <w:rPr>
          <w:rFonts w:ascii="Arial" w:hAnsi="Arial" w:cs="Arial"/>
          <w:iCs/>
          <w:sz w:val="24"/>
          <w:szCs w:val="24"/>
        </w:rPr>
        <w:t xml:space="preserve">A two-year randomized, placebo-controlled trial of </w:t>
      </w:r>
      <w:proofErr w:type="spellStart"/>
      <w:r w:rsidRPr="00FA3F9C">
        <w:rPr>
          <w:rFonts w:ascii="Arial" w:hAnsi="Arial" w:cs="Arial"/>
          <w:iCs/>
          <w:sz w:val="24"/>
          <w:szCs w:val="24"/>
        </w:rPr>
        <w:t>dornase</w:t>
      </w:r>
      <w:proofErr w:type="spellEnd"/>
      <w:r w:rsidRPr="00FA3F9C">
        <w:rPr>
          <w:rFonts w:ascii="Arial" w:hAnsi="Arial" w:cs="Arial"/>
          <w:iCs/>
          <w:sz w:val="24"/>
          <w:szCs w:val="24"/>
        </w:rPr>
        <w:t xml:space="preserve"> alfa in young patients with cystic fibrosis with mild lung function abnormalities. Journal of Pediatrics. 139(6):813-20, 2001 Dec.</w:t>
      </w:r>
    </w:p>
    <w:p w14:paraId="3FA0FAE2" w14:textId="77777777" w:rsidR="001506C1" w:rsidRPr="00FA3F9C" w:rsidRDefault="001506C1" w:rsidP="00880849">
      <w:pPr>
        <w:spacing w:line="240" w:lineRule="auto"/>
        <w:contextualSpacing/>
        <w:rPr>
          <w:rFonts w:ascii="Arial" w:hAnsi="Arial" w:cs="Arial"/>
          <w:sz w:val="24"/>
          <w:szCs w:val="24"/>
          <w:lang w:val="es-ES"/>
        </w:rPr>
      </w:pPr>
      <w:r w:rsidRPr="00FA3F9C">
        <w:rPr>
          <w:rFonts w:ascii="Arial" w:hAnsi="Arial" w:cs="Arial"/>
          <w:iCs/>
          <w:sz w:val="24"/>
          <w:szCs w:val="24"/>
        </w:rPr>
        <w:t xml:space="preserve">7.   </w:t>
      </w:r>
      <w:r w:rsidRPr="00FA3F9C">
        <w:rPr>
          <w:rFonts w:ascii="Arial" w:hAnsi="Arial" w:cs="Arial"/>
          <w:sz w:val="24"/>
          <w:szCs w:val="24"/>
        </w:rPr>
        <w:t xml:space="preserve">Naomi B. Bishop, Steven </w:t>
      </w:r>
      <w:proofErr w:type="spellStart"/>
      <w:r w:rsidRPr="00FA3F9C">
        <w:rPr>
          <w:rFonts w:ascii="Arial" w:hAnsi="Arial" w:cs="Arial"/>
          <w:sz w:val="24"/>
          <w:szCs w:val="24"/>
        </w:rPr>
        <w:t>Pon</w:t>
      </w:r>
      <w:proofErr w:type="spellEnd"/>
      <w:r w:rsidRPr="00FA3F9C">
        <w:rPr>
          <w:rFonts w:ascii="Arial" w:hAnsi="Arial" w:cs="Arial"/>
          <w:sz w:val="24"/>
          <w:szCs w:val="24"/>
        </w:rPr>
        <w:t xml:space="preserve">, H. Michael </w:t>
      </w:r>
      <w:proofErr w:type="spellStart"/>
      <w:r w:rsidRPr="00FA3F9C">
        <w:rPr>
          <w:rFonts w:ascii="Arial" w:hAnsi="Arial" w:cs="Arial"/>
          <w:sz w:val="24"/>
          <w:szCs w:val="24"/>
        </w:rPr>
        <w:t>Ushay</w:t>
      </w:r>
      <w:proofErr w:type="spellEnd"/>
      <w:r w:rsidRPr="00FA3F9C">
        <w:rPr>
          <w:rFonts w:ascii="Arial" w:hAnsi="Arial" w:cs="Arial"/>
          <w:sz w:val="24"/>
          <w:szCs w:val="24"/>
        </w:rPr>
        <w:t xml:space="preserve">, et al.  </w:t>
      </w:r>
      <w:r w:rsidRPr="00FA3F9C">
        <w:rPr>
          <w:rFonts w:ascii="Arial" w:hAnsi="Arial" w:cs="Arial"/>
          <w:bCs/>
          <w:sz w:val="24"/>
          <w:szCs w:val="24"/>
        </w:rPr>
        <w:t xml:space="preserve">Alteplase in the Treatment of Complicated Parapneumonic Effusion: A Case Report.  </w:t>
      </w:r>
      <w:proofErr w:type="spellStart"/>
      <w:r w:rsidRPr="00FA3F9C">
        <w:rPr>
          <w:rFonts w:ascii="Arial" w:hAnsi="Arial" w:cs="Arial"/>
          <w:iCs/>
          <w:sz w:val="24"/>
          <w:szCs w:val="24"/>
          <w:lang w:val="es-ES"/>
        </w:rPr>
        <w:t>Pediatrics</w:t>
      </w:r>
      <w:proofErr w:type="spellEnd"/>
      <w:r w:rsidRPr="00FA3F9C">
        <w:rPr>
          <w:rFonts w:ascii="Arial" w:hAnsi="Arial" w:cs="Arial"/>
          <w:iCs/>
          <w:sz w:val="24"/>
          <w:szCs w:val="24"/>
          <w:lang w:val="es-ES"/>
        </w:rPr>
        <w:t xml:space="preserve"> </w:t>
      </w:r>
      <w:r w:rsidRPr="00FA3F9C">
        <w:rPr>
          <w:rFonts w:ascii="Arial" w:hAnsi="Arial" w:cs="Arial"/>
          <w:sz w:val="24"/>
          <w:szCs w:val="24"/>
          <w:lang w:val="es-ES"/>
        </w:rPr>
        <w:t>2003;</w:t>
      </w:r>
      <w:proofErr w:type="gramStart"/>
      <w:r w:rsidRPr="00FA3F9C">
        <w:rPr>
          <w:rFonts w:ascii="Arial" w:hAnsi="Arial" w:cs="Arial"/>
          <w:sz w:val="24"/>
          <w:szCs w:val="24"/>
          <w:lang w:val="es-ES"/>
        </w:rPr>
        <w:t>111;e</w:t>
      </w:r>
      <w:proofErr w:type="gramEnd"/>
      <w:r w:rsidRPr="00FA3F9C">
        <w:rPr>
          <w:rFonts w:ascii="Arial" w:hAnsi="Arial" w:cs="Arial"/>
          <w:sz w:val="24"/>
          <w:szCs w:val="24"/>
          <w:lang w:val="es-ES"/>
        </w:rPr>
        <w:t>188</w:t>
      </w:r>
    </w:p>
    <w:p w14:paraId="1DC588BF" w14:textId="77777777" w:rsidR="001506C1" w:rsidRPr="00FA3F9C" w:rsidRDefault="001506C1" w:rsidP="00880849">
      <w:pPr>
        <w:spacing w:line="240" w:lineRule="auto"/>
        <w:contextualSpacing/>
        <w:rPr>
          <w:rFonts w:ascii="Arial" w:hAnsi="Arial" w:cs="Arial"/>
          <w:sz w:val="24"/>
          <w:szCs w:val="24"/>
        </w:rPr>
      </w:pPr>
      <w:r w:rsidRPr="00FA3F9C">
        <w:rPr>
          <w:rFonts w:ascii="Arial" w:hAnsi="Arial" w:cs="Arial"/>
          <w:sz w:val="24"/>
          <w:szCs w:val="24"/>
          <w:lang w:val="es-ES"/>
        </w:rPr>
        <w:t xml:space="preserve">8.  </w:t>
      </w:r>
      <w:proofErr w:type="spellStart"/>
      <w:r w:rsidRPr="00FA3F9C">
        <w:rPr>
          <w:rFonts w:ascii="Arial" w:hAnsi="Arial" w:cs="Arial"/>
          <w:sz w:val="24"/>
          <w:szCs w:val="24"/>
          <w:lang w:val="es-ES"/>
        </w:rPr>
        <w:t>Konstan</w:t>
      </w:r>
      <w:proofErr w:type="spellEnd"/>
      <w:r w:rsidRPr="00FA3F9C">
        <w:rPr>
          <w:rFonts w:ascii="Arial" w:hAnsi="Arial" w:cs="Arial"/>
          <w:sz w:val="24"/>
          <w:szCs w:val="24"/>
          <w:lang w:val="es-ES"/>
        </w:rPr>
        <w:t xml:space="preserve"> MW, </w:t>
      </w:r>
      <w:proofErr w:type="spellStart"/>
      <w:r w:rsidRPr="00FA3F9C">
        <w:rPr>
          <w:rFonts w:ascii="Arial" w:hAnsi="Arial" w:cs="Arial"/>
          <w:sz w:val="24"/>
          <w:szCs w:val="24"/>
          <w:lang w:val="es-ES"/>
        </w:rPr>
        <w:t>Wagener</w:t>
      </w:r>
      <w:proofErr w:type="spellEnd"/>
      <w:r w:rsidRPr="00FA3F9C">
        <w:rPr>
          <w:rFonts w:ascii="Arial" w:hAnsi="Arial" w:cs="Arial"/>
          <w:sz w:val="24"/>
          <w:szCs w:val="24"/>
          <w:lang w:val="es-ES"/>
        </w:rPr>
        <w:t xml:space="preserve"> JS, Pasta DJ, </w:t>
      </w:r>
      <w:proofErr w:type="spellStart"/>
      <w:r w:rsidRPr="00FA3F9C">
        <w:rPr>
          <w:rFonts w:ascii="Arial" w:hAnsi="Arial" w:cs="Arial"/>
          <w:sz w:val="24"/>
          <w:szCs w:val="24"/>
          <w:lang w:val="es-ES"/>
        </w:rPr>
        <w:t>Mmillar</w:t>
      </w:r>
      <w:proofErr w:type="spellEnd"/>
      <w:r w:rsidRPr="00FA3F9C">
        <w:rPr>
          <w:rFonts w:ascii="Arial" w:hAnsi="Arial" w:cs="Arial"/>
          <w:sz w:val="24"/>
          <w:szCs w:val="24"/>
          <w:lang w:val="es-ES"/>
        </w:rPr>
        <w:t xml:space="preserve"> SJ, et al.  </w:t>
      </w:r>
      <w:r w:rsidRPr="00FA3F9C">
        <w:rPr>
          <w:rFonts w:ascii="Arial" w:hAnsi="Arial" w:cs="Arial"/>
          <w:sz w:val="24"/>
          <w:szCs w:val="24"/>
        </w:rPr>
        <w:t xml:space="preserve">Clinical use of </w:t>
      </w:r>
      <w:proofErr w:type="spellStart"/>
      <w:r w:rsidRPr="00FA3F9C">
        <w:rPr>
          <w:rFonts w:ascii="Arial" w:hAnsi="Arial" w:cs="Arial"/>
          <w:sz w:val="24"/>
          <w:szCs w:val="24"/>
        </w:rPr>
        <w:t>dornase</w:t>
      </w:r>
      <w:proofErr w:type="spellEnd"/>
      <w:r w:rsidRPr="00FA3F9C">
        <w:rPr>
          <w:rFonts w:ascii="Arial" w:hAnsi="Arial" w:cs="Arial"/>
          <w:sz w:val="24"/>
          <w:szCs w:val="24"/>
        </w:rPr>
        <w:t xml:space="preserve"> alfa is associated with a slower rate of FEV1 decline in CF.  </w:t>
      </w:r>
      <w:proofErr w:type="spellStart"/>
      <w:r w:rsidRPr="00FA3F9C">
        <w:rPr>
          <w:rFonts w:ascii="Arial" w:hAnsi="Arial" w:cs="Arial"/>
          <w:sz w:val="24"/>
          <w:szCs w:val="24"/>
        </w:rPr>
        <w:t>Pediatr</w:t>
      </w:r>
      <w:proofErr w:type="spellEnd"/>
      <w:r w:rsidRPr="00FA3F9C">
        <w:rPr>
          <w:rFonts w:ascii="Arial" w:hAnsi="Arial" w:cs="Arial"/>
          <w:sz w:val="24"/>
          <w:szCs w:val="24"/>
        </w:rPr>
        <w:t xml:space="preserve"> </w:t>
      </w:r>
      <w:proofErr w:type="spellStart"/>
      <w:r w:rsidRPr="00FA3F9C">
        <w:rPr>
          <w:rFonts w:ascii="Arial" w:hAnsi="Arial" w:cs="Arial"/>
          <w:sz w:val="24"/>
          <w:szCs w:val="24"/>
        </w:rPr>
        <w:t>Pulmonol</w:t>
      </w:r>
      <w:proofErr w:type="spellEnd"/>
      <w:r w:rsidRPr="00FA3F9C">
        <w:rPr>
          <w:rFonts w:ascii="Arial" w:hAnsi="Arial" w:cs="Arial"/>
          <w:sz w:val="24"/>
          <w:szCs w:val="24"/>
        </w:rPr>
        <w:t>. 2011; 46:545–553.</w:t>
      </w:r>
    </w:p>
    <w:p w14:paraId="3E1BB64B" w14:textId="77777777" w:rsidR="001506C1" w:rsidRPr="00FA3F9C" w:rsidRDefault="001506C1" w:rsidP="00880849">
      <w:pPr>
        <w:spacing w:line="240" w:lineRule="auto"/>
        <w:contextualSpacing/>
        <w:rPr>
          <w:rFonts w:ascii="Arial" w:hAnsi="Arial" w:cs="Arial"/>
          <w:b/>
          <w:sz w:val="24"/>
          <w:szCs w:val="24"/>
        </w:rPr>
      </w:pPr>
      <w:r w:rsidRPr="00FA3F9C">
        <w:rPr>
          <w:rFonts w:ascii="Arial" w:hAnsi="Arial" w:cs="Arial"/>
          <w:b/>
          <w:sz w:val="24"/>
          <w:szCs w:val="24"/>
        </w:rPr>
        <w:t>REVISION HISTORY:</w:t>
      </w:r>
    </w:p>
    <w:p w14:paraId="482D29D8" w14:textId="77777777" w:rsidR="001506C1" w:rsidRPr="00FA3F9C" w:rsidRDefault="001506C1" w:rsidP="00880849">
      <w:pPr>
        <w:spacing w:line="240" w:lineRule="auto"/>
        <w:contextualSpacing/>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7650"/>
        <w:gridCol w:w="1620"/>
      </w:tblGrid>
      <w:tr w:rsidR="001506C1" w:rsidRPr="00FA3F9C" w14:paraId="191A4E50" w14:textId="77777777" w:rsidTr="00342795">
        <w:tc>
          <w:tcPr>
            <w:tcW w:w="1638" w:type="dxa"/>
          </w:tcPr>
          <w:p w14:paraId="07AB3211" w14:textId="77777777" w:rsidR="001506C1" w:rsidRPr="00FA3F9C" w:rsidRDefault="001506C1" w:rsidP="00342795">
            <w:pPr>
              <w:spacing w:after="0" w:line="240" w:lineRule="auto"/>
              <w:jc w:val="center"/>
              <w:rPr>
                <w:rFonts w:ascii="Arial" w:hAnsi="Arial" w:cs="Arial"/>
                <w:b/>
                <w:sz w:val="24"/>
                <w:szCs w:val="24"/>
              </w:rPr>
            </w:pPr>
            <w:r w:rsidRPr="00FA3F9C">
              <w:rPr>
                <w:rFonts w:ascii="Arial" w:hAnsi="Arial" w:cs="Arial"/>
                <w:b/>
                <w:sz w:val="24"/>
                <w:szCs w:val="24"/>
              </w:rPr>
              <w:t>Date</w:t>
            </w:r>
          </w:p>
        </w:tc>
        <w:tc>
          <w:tcPr>
            <w:tcW w:w="7650" w:type="dxa"/>
          </w:tcPr>
          <w:p w14:paraId="4DAC6D8C" w14:textId="77777777" w:rsidR="001506C1" w:rsidRPr="00FA3F9C" w:rsidRDefault="001506C1" w:rsidP="00342795">
            <w:pPr>
              <w:spacing w:after="0" w:line="240" w:lineRule="auto"/>
              <w:jc w:val="center"/>
              <w:rPr>
                <w:rFonts w:ascii="Arial" w:hAnsi="Arial" w:cs="Arial"/>
                <w:b/>
                <w:sz w:val="24"/>
                <w:szCs w:val="24"/>
              </w:rPr>
            </w:pPr>
            <w:r w:rsidRPr="00FA3F9C">
              <w:rPr>
                <w:rFonts w:ascii="Arial" w:hAnsi="Arial" w:cs="Arial"/>
                <w:b/>
                <w:sz w:val="24"/>
                <w:szCs w:val="24"/>
              </w:rPr>
              <w:t>Changes</w:t>
            </w:r>
          </w:p>
        </w:tc>
        <w:tc>
          <w:tcPr>
            <w:tcW w:w="1620" w:type="dxa"/>
          </w:tcPr>
          <w:p w14:paraId="6AF3769D" w14:textId="77777777" w:rsidR="001506C1" w:rsidRPr="00FA3F9C" w:rsidRDefault="001506C1" w:rsidP="00342795">
            <w:pPr>
              <w:spacing w:after="0" w:line="240" w:lineRule="auto"/>
              <w:jc w:val="center"/>
              <w:rPr>
                <w:rFonts w:ascii="Arial" w:hAnsi="Arial" w:cs="Arial"/>
                <w:b/>
                <w:sz w:val="24"/>
                <w:szCs w:val="24"/>
              </w:rPr>
            </w:pPr>
            <w:r w:rsidRPr="00FA3F9C">
              <w:rPr>
                <w:rFonts w:ascii="Arial" w:hAnsi="Arial" w:cs="Arial"/>
                <w:b/>
                <w:sz w:val="24"/>
                <w:szCs w:val="24"/>
              </w:rPr>
              <w:t>Pharmacist</w:t>
            </w:r>
          </w:p>
        </w:tc>
      </w:tr>
      <w:tr w:rsidR="001506C1" w:rsidRPr="00FA3F9C" w14:paraId="52C761DD" w14:textId="77777777" w:rsidTr="00342795">
        <w:tc>
          <w:tcPr>
            <w:tcW w:w="1638" w:type="dxa"/>
          </w:tcPr>
          <w:p w14:paraId="213B0E7C" w14:textId="77777777" w:rsidR="001506C1" w:rsidRPr="00FA3F9C" w:rsidRDefault="001506C1" w:rsidP="00342795">
            <w:pPr>
              <w:spacing w:after="0" w:line="240" w:lineRule="auto"/>
              <w:rPr>
                <w:rFonts w:ascii="Arial" w:hAnsi="Arial" w:cs="Arial"/>
                <w:sz w:val="24"/>
                <w:szCs w:val="24"/>
              </w:rPr>
            </w:pPr>
            <w:r w:rsidRPr="00FA3F9C">
              <w:rPr>
                <w:rFonts w:ascii="Arial" w:hAnsi="Arial" w:cs="Arial"/>
                <w:sz w:val="24"/>
                <w:szCs w:val="24"/>
              </w:rPr>
              <w:t>10/18/2012</w:t>
            </w:r>
          </w:p>
        </w:tc>
        <w:tc>
          <w:tcPr>
            <w:tcW w:w="7650" w:type="dxa"/>
          </w:tcPr>
          <w:p w14:paraId="71A76018" w14:textId="77777777" w:rsidR="001506C1" w:rsidRPr="00FA3F9C" w:rsidRDefault="001506C1" w:rsidP="00342795">
            <w:pPr>
              <w:spacing w:after="0" w:line="240" w:lineRule="auto"/>
              <w:rPr>
                <w:rFonts w:ascii="Arial" w:hAnsi="Arial" w:cs="Arial"/>
                <w:sz w:val="24"/>
                <w:szCs w:val="24"/>
              </w:rPr>
            </w:pPr>
            <w:r w:rsidRPr="00FA3F9C">
              <w:rPr>
                <w:rFonts w:ascii="Arial" w:hAnsi="Arial" w:cs="Arial"/>
                <w:sz w:val="24"/>
                <w:szCs w:val="24"/>
              </w:rPr>
              <w:t>Document Created</w:t>
            </w:r>
          </w:p>
        </w:tc>
        <w:tc>
          <w:tcPr>
            <w:tcW w:w="1620" w:type="dxa"/>
          </w:tcPr>
          <w:p w14:paraId="3D1E69A3" w14:textId="798B3A87" w:rsidR="001506C1" w:rsidRPr="00FA3F9C" w:rsidRDefault="005C142D" w:rsidP="00342795">
            <w:pPr>
              <w:spacing w:after="0" w:line="240" w:lineRule="auto"/>
              <w:jc w:val="center"/>
              <w:rPr>
                <w:rFonts w:ascii="Arial" w:hAnsi="Arial" w:cs="Arial"/>
                <w:sz w:val="24"/>
                <w:szCs w:val="24"/>
              </w:rPr>
            </w:pPr>
            <w:r w:rsidRPr="00FA3F9C">
              <w:rPr>
                <w:rFonts w:ascii="Arial" w:hAnsi="Arial" w:cs="Arial"/>
                <w:sz w:val="24"/>
                <w:szCs w:val="24"/>
              </w:rPr>
              <w:t>JJ</w:t>
            </w:r>
            <w:r w:rsidR="001506C1" w:rsidRPr="00FA3F9C">
              <w:rPr>
                <w:rFonts w:ascii="Arial" w:hAnsi="Arial" w:cs="Arial"/>
                <w:sz w:val="24"/>
                <w:szCs w:val="24"/>
              </w:rPr>
              <w:t xml:space="preserve"> /C</w:t>
            </w:r>
            <w:r w:rsidR="002819F6">
              <w:rPr>
                <w:rFonts w:ascii="Arial" w:hAnsi="Arial" w:cs="Arial"/>
                <w:sz w:val="24"/>
                <w:szCs w:val="24"/>
              </w:rPr>
              <w:t>C</w:t>
            </w:r>
          </w:p>
        </w:tc>
      </w:tr>
      <w:tr w:rsidR="001506C1" w:rsidRPr="00FA3F9C" w14:paraId="44EABDF2" w14:textId="77777777" w:rsidTr="00342795">
        <w:tc>
          <w:tcPr>
            <w:tcW w:w="1638" w:type="dxa"/>
          </w:tcPr>
          <w:p w14:paraId="46023859" w14:textId="77777777" w:rsidR="001506C1" w:rsidRPr="00FA3F9C" w:rsidRDefault="001506C1" w:rsidP="00342795">
            <w:pPr>
              <w:spacing w:after="0" w:line="240" w:lineRule="auto"/>
              <w:rPr>
                <w:rFonts w:ascii="Arial" w:hAnsi="Arial" w:cs="Arial"/>
                <w:sz w:val="24"/>
                <w:szCs w:val="24"/>
              </w:rPr>
            </w:pPr>
          </w:p>
        </w:tc>
        <w:tc>
          <w:tcPr>
            <w:tcW w:w="7650" w:type="dxa"/>
          </w:tcPr>
          <w:p w14:paraId="5E3878BC" w14:textId="77777777" w:rsidR="001506C1" w:rsidRPr="00FA3F9C" w:rsidRDefault="001506C1" w:rsidP="00342795">
            <w:pPr>
              <w:spacing w:after="0" w:line="240" w:lineRule="auto"/>
              <w:rPr>
                <w:rFonts w:ascii="Arial" w:hAnsi="Arial" w:cs="Arial"/>
                <w:sz w:val="24"/>
                <w:szCs w:val="24"/>
              </w:rPr>
            </w:pPr>
          </w:p>
        </w:tc>
        <w:tc>
          <w:tcPr>
            <w:tcW w:w="1620" w:type="dxa"/>
          </w:tcPr>
          <w:p w14:paraId="377CAC4C" w14:textId="77777777" w:rsidR="001506C1" w:rsidRPr="00FA3F9C" w:rsidRDefault="001506C1" w:rsidP="00342795">
            <w:pPr>
              <w:spacing w:after="0" w:line="240" w:lineRule="auto"/>
              <w:rPr>
                <w:rFonts w:ascii="Arial" w:hAnsi="Arial" w:cs="Arial"/>
                <w:sz w:val="24"/>
                <w:szCs w:val="24"/>
              </w:rPr>
            </w:pPr>
          </w:p>
        </w:tc>
      </w:tr>
      <w:tr w:rsidR="001506C1" w:rsidRPr="00FA3F9C" w14:paraId="12285499" w14:textId="77777777" w:rsidTr="00342795">
        <w:tc>
          <w:tcPr>
            <w:tcW w:w="1638" w:type="dxa"/>
          </w:tcPr>
          <w:p w14:paraId="7C85BAB0" w14:textId="77777777" w:rsidR="001506C1" w:rsidRPr="00FA3F9C" w:rsidRDefault="001506C1" w:rsidP="00342795">
            <w:pPr>
              <w:spacing w:after="0" w:line="240" w:lineRule="auto"/>
              <w:rPr>
                <w:rFonts w:ascii="Arial" w:hAnsi="Arial" w:cs="Arial"/>
                <w:sz w:val="24"/>
                <w:szCs w:val="24"/>
              </w:rPr>
            </w:pPr>
          </w:p>
        </w:tc>
        <w:tc>
          <w:tcPr>
            <w:tcW w:w="7650" w:type="dxa"/>
          </w:tcPr>
          <w:p w14:paraId="3157E09C" w14:textId="77777777" w:rsidR="001506C1" w:rsidRPr="00FA3F9C" w:rsidRDefault="001506C1" w:rsidP="00342795">
            <w:pPr>
              <w:spacing w:after="0" w:line="240" w:lineRule="auto"/>
              <w:rPr>
                <w:rFonts w:ascii="Arial" w:hAnsi="Arial" w:cs="Arial"/>
                <w:sz w:val="24"/>
                <w:szCs w:val="24"/>
              </w:rPr>
            </w:pPr>
          </w:p>
        </w:tc>
        <w:tc>
          <w:tcPr>
            <w:tcW w:w="1620" w:type="dxa"/>
          </w:tcPr>
          <w:p w14:paraId="13507F17" w14:textId="77777777" w:rsidR="001506C1" w:rsidRPr="00FA3F9C" w:rsidRDefault="001506C1" w:rsidP="00342795">
            <w:pPr>
              <w:spacing w:after="0" w:line="240" w:lineRule="auto"/>
              <w:rPr>
                <w:rFonts w:ascii="Arial" w:hAnsi="Arial" w:cs="Arial"/>
                <w:sz w:val="24"/>
                <w:szCs w:val="24"/>
              </w:rPr>
            </w:pPr>
          </w:p>
        </w:tc>
      </w:tr>
    </w:tbl>
    <w:p w14:paraId="304230BF" w14:textId="77777777" w:rsidR="001506C1" w:rsidRPr="00FA3F9C" w:rsidRDefault="001506C1" w:rsidP="00C81DD8">
      <w:pPr>
        <w:spacing w:line="240" w:lineRule="auto"/>
        <w:contextualSpacing/>
        <w:rPr>
          <w:rFonts w:ascii="Arial" w:hAnsi="Arial" w:cs="Arial"/>
          <w:b/>
          <w:iCs/>
          <w:sz w:val="24"/>
          <w:szCs w:val="24"/>
        </w:rPr>
      </w:pPr>
    </w:p>
    <w:p w14:paraId="319011C6" w14:textId="77777777" w:rsidR="001506C1" w:rsidRPr="00FA3F9C" w:rsidRDefault="001506C1" w:rsidP="002819F6">
      <w:pPr>
        <w:pStyle w:val="Heading2"/>
      </w:pPr>
      <w:bookmarkStart w:id="79" w:name="_Toc106369774"/>
      <w:r w:rsidRPr="00FA3F9C">
        <w:t>Dulaglutide (Trulicity)</w:t>
      </w:r>
      <w:bookmarkEnd w:id="79"/>
    </w:p>
    <w:p w14:paraId="7F069565" w14:textId="77777777" w:rsidR="001506C1" w:rsidRPr="00FA3F9C" w:rsidRDefault="001506C1" w:rsidP="006F623F">
      <w:pPr>
        <w:spacing w:after="0"/>
        <w:jc w:val="center"/>
        <w:rPr>
          <w:rFonts w:ascii="Arial" w:hAnsi="Arial" w:cs="Arial"/>
          <w:sz w:val="24"/>
          <w:szCs w:val="24"/>
        </w:rPr>
      </w:pPr>
      <w:r w:rsidRPr="00FA3F9C">
        <w:rPr>
          <w:rFonts w:ascii="Arial" w:hAnsi="Arial" w:cs="Arial"/>
          <w:sz w:val="24"/>
          <w:szCs w:val="24"/>
        </w:rPr>
        <w:t>EBRx PA Criteria</w:t>
      </w:r>
    </w:p>
    <w:p w14:paraId="3A9E33EF" w14:textId="77777777" w:rsidR="001506C1" w:rsidRPr="00FA3F9C" w:rsidRDefault="001506C1" w:rsidP="006F623F">
      <w:pPr>
        <w:spacing w:after="0"/>
        <w:rPr>
          <w:rFonts w:ascii="Arial" w:hAnsi="Arial" w:cs="Arial"/>
          <w:b/>
          <w:sz w:val="24"/>
          <w:szCs w:val="24"/>
          <w:u w:val="single"/>
        </w:rPr>
      </w:pPr>
    </w:p>
    <w:p w14:paraId="623B358F" w14:textId="77777777" w:rsidR="001506C1" w:rsidRPr="00FA3F9C" w:rsidRDefault="001506C1"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w:t>
      </w:r>
    </w:p>
    <w:p w14:paraId="148291B5" w14:textId="77777777" w:rsidR="001506C1" w:rsidRPr="00FA3F9C" w:rsidRDefault="001506C1" w:rsidP="001506C1">
      <w:pPr>
        <w:pStyle w:val="ListParagraph"/>
        <w:numPr>
          <w:ilvl w:val="0"/>
          <w:numId w:val="140"/>
        </w:numPr>
        <w:spacing w:after="0" w:line="276" w:lineRule="auto"/>
        <w:rPr>
          <w:rFonts w:ascii="Arial" w:hAnsi="Arial" w:cs="Arial"/>
          <w:sz w:val="24"/>
          <w:szCs w:val="24"/>
        </w:rPr>
      </w:pPr>
      <w:r w:rsidRPr="00FA3F9C">
        <w:rPr>
          <w:rFonts w:ascii="Arial" w:hAnsi="Arial" w:cs="Arial"/>
          <w:sz w:val="24"/>
          <w:szCs w:val="24"/>
        </w:rPr>
        <w:t>treatment of type 2 diabetes mellitus as an adjunct to diet and exercise to improve glycemic control in adults</w:t>
      </w:r>
    </w:p>
    <w:p w14:paraId="701C8FAA" w14:textId="77777777" w:rsidR="001506C1" w:rsidRPr="00FA3F9C" w:rsidRDefault="001506C1" w:rsidP="001506C1">
      <w:pPr>
        <w:pStyle w:val="ListParagraph"/>
        <w:numPr>
          <w:ilvl w:val="0"/>
          <w:numId w:val="140"/>
        </w:numPr>
        <w:spacing w:after="0" w:line="276" w:lineRule="auto"/>
        <w:rPr>
          <w:rFonts w:ascii="Arial" w:hAnsi="Arial" w:cs="Arial"/>
          <w:sz w:val="24"/>
          <w:szCs w:val="24"/>
        </w:rPr>
      </w:pPr>
      <w:r w:rsidRPr="00FA3F9C">
        <w:rPr>
          <w:rFonts w:ascii="Arial" w:hAnsi="Arial" w:cs="Arial"/>
          <w:sz w:val="24"/>
          <w:szCs w:val="24"/>
        </w:rPr>
        <w:t>as risk reduction of major CV events (CV death, NFMI, NF stroke in patients with T2DM with established CV disease or multiple CV risk factors.</w:t>
      </w:r>
    </w:p>
    <w:tbl>
      <w:tblPr>
        <w:tblStyle w:val="TableGrid"/>
        <w:tblW w:w="0" w:type="auto"/>
        <w:tblLook w:val="04A0" w:firstRow="1" w:lastRow="0" w:firstColumn="1" w:lastColumn="0" w:noHBand="0" w:noVBand="1"/>
      </w:tblPr>
      <w:tblGrid>
        <w:gridCol w:w="8747"/>
        <w:gridCol w:w="2045"/>
      </w:tblGrid>
      <w:tr w:rsidR="001506C1" w:rsidRPr="00FA3F9C" w14:paraId="66F35E85" w14:textId="77777777" w:rsidTr="005E6F49">
        <w:tc>
          <w:tcPr>
            <w:tcW w:w="8745" w:type="dxa"/>
            <w:shd w:val="clear" w:color="auto" w:fill="000000"/>
          </w:tcPr>
          <w:p w14:paraId="12C04E78" w14:textId="77777777" w:rsidR="001506C1" w:rsidRPr="00FA3F9C" w:rsidRDefault="001506C1"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45" w:type="dxa"/>
            <w:shd w:val="clear" w:color="auto" w:fill="000000"/>
          </w:tcPr>
          <w:p w14:paraId="768EFFAC" w14:textId="77777777" w:rsidR="001506C1" w:rsidRPr="00FA3F9C" w:rsidRDefault="001506C1" w:rsidP="006F623F">
            <w:pPr>
              <w:jc w:val="center"/>
              <w:rPr>
                <w:rFonts w:ascii="Arial" w:hAnsi="Arial" w:cs="Arial"/>
                <w:b/>
                <w:sz w:val="24"/>
                <w:szCs w:val="24"/>
                <w:u w:val="single"/>
              </w:rPr>
            </w:pPr>
          </w:p>
        </w:tc>
      </w:tr>
      <w:tr w:rsidR="001506C1" w:rsidRPr="00FA3F9C" w14:paraId="7B539617" w14:textId="77777777" w:rsidTr="005E6F49">
        <w:tc>
          <w:tcPr>
            <w:tcW w:w="10790" w:type="dxa"/>
            <w:gridSpan w:val="2"/>
          </w:tcPr>
          <w:p w14:paraId="217E0A08" w14:textId="77777777" w:rsidR="001506C1" w:rsidRPr="00FA3F9C" w:rsidRDefault="001506C1" w:rsidP="006F623F">
            <w:pPr>
              <w:rPr>
                <w:rFonts w:ascii="Arial" w:hAnsi="Arial" w:cs="Arial"/>
                <w:sz w:val="24"/>
                <w:szCs w:val="24"/>
              </w:rPr>
            </w:pPr>
            <w:r w:rsidRPr="00FA3F9C">
              <w:rPr>
                <w:rFonts w:ascii="Arial" w:hAnsi="Arial" w:cs="Arial"/>
                <w:sz w:val="24"/>
                <w:szCs w:val="24"/>
              </w:rPr>
              <w:t>1. The patient must have the diagnosis of type 2 diabetes mellitus.</w:t>
            </w:r>
          </w:p>
        </w:tc>
      </w:tr>
      <w:tr w:rsidR="001506C1" w:rsidRPr="00FA3F9C" w14:paraId="558EADE2" w14:textId="77777777" w:rsidTr="005E6F49">
        <w:tc>
          <w:tcPr>
            <w:tcW w:w="10790" w:type="dxa"/>
            <w:gridSpan w:val="2"/>
          </w:tcPr>
          <w:p w14:paraId="50B1F19B" w14:textId="77777777" w:rsidR="001506C1" w:rsidRPr="00FA3F9C" w:rsidRDefault="001506C1" w:rsidP="006F623F">
            <w:pPr>
              <w:rPr>
                <w:rFonts w:ascii="Arial" w:hAnsi="Arial" w:cs="Arial"/>
                <w:sz w:val="24"/>
                <w:szCs w:val="24"/>
              </w:rPr>
            </w:pPr>
            <w:r w:rsidRPr="00FA3F9C">
              <w:rPr>
                <w:rFonts w:ascii="Arial" w:hAnsi="Arial" w:cs="Arial"/>
                <w:sz w:val="24"/>
                <w:szCs w:val="24"/>
              </w:rPr>
              <w:t>2. The patient have a documented HbA1C in the previous 3 months of 7.0%-9.5%.</w:t>
            </w:r>
          </w:p>
        </w:tc>
      </w:tr>
      <w:tr w:rsidR="001506C1" w:rsidRPr="00FA3F9C" w14:paraId="0B2B2D74" w14:textId="77777777" w:rsidTr="005E6F49">
        <w:tc>
          <w:tcPr>
            <w:tcW w:w="10790" w:type="dxa"/>
            <w:gridSpan w:val="2"/>
          </w:tcPr>
          <w:p w14:paraId="5DB1AA7D" w14:textId="77777777" w:rsidR="001506C1" w:rsidRPr="00FA3F9C" w:rsidRDefault="001506C1" w:rsidP="005E6F49">
            <w:pPr>
              <w:rPr>
                <w:rFonts w:ascii="Arial" w:hAnsi="Arial" w:cs="Arial"/>
                <w:sz w:val="24"/>
                <w:szCs w:val="24"/>
              </w:rPr>
            </w:pPr>
            <w:r w:rsidRPr="00FA3F9C">
              <w:rPr>
                <w:rFonts w:ascii="Arial" w:hAnsi="Arial" w:cs="Arial"/>
                <w:sz w:val="24"/>
                <w:szCs w:val="24"/>
              </w:rPr>
              <w:t>3. Patient must be receiving metformin at 1000mg twice daily for the past 4-5 months. Pharmacist should look back to be sure this occurred.</w:t>
            </w:r>
          </w:p>
          <w:p w14:paraId="03E67320" w14:textId="77777777" w:rsidR="001506C1" w:rsidRPr="00FA3F9C" w:rsidRDefault="001506C1" w:rsidP="005E6F49">
            <w:pPr>
              <w:rPr>
                <w:rFonts w:ascii="Arial" w:hAnsi="Arial" w:cs="Arial"/>
                <w:sz w:val="24"/>
                <w:szCs w:val="24"/>
              </w:rPr>
            </w:pPr>
            <w:r w:rsidRPr="00FA3F9C">
              <w:rPr>
                <w:rFonts w:ascii="Arial" w:hAnsi="Arial" w:cs="Arial"/>
                <w:sz w:val="24"/>
                <w:szCs w:val="24"/>
              </w:rPr>
              <w:t>OR</w:t>
            </w:r>
          </w:p>
          <w:p w14:paraId="3ADB53D0" w14:textId="77777777" w:rsidR="001506C1" w:rsidRPr="00FA3F9C" w:rsidRDefault="001506C1" w:rsidP="005E6F49">
            <w:pPr>
              <w:rPr>
                <w:rFonts w:ascii="Arial" w:hAnsi="Arial" w:cs="Arial"/>
                <w:sz w:val="24"/>
                <w:szCs w:val="24"/>
              </w:rPr>
            </w:pPr>
            <w:r w:rsidRPr="00FA3F9C">
              <w:rPr>
                <w:rFonts w:ascii="Arial" w:hAnsi="Arial" w:cs="Arial"/>
                <w:sz w:val="24"/>
                <w:szCs w:val="24"/>
              </w:rPr>
              <w:t>The patient must have a contraindication to metformin that must be documented by the pharmacist.</w:t>
            </w:r>
          </w:p>
        </w:tc>
      </w:tr>
      <w:tr w:rsidR="001506C1" w:rsidRPr="00FA3F9C" w14:paraId="26353F37" w14:textId="77777777" w:rsidTr="005E6F49">
        <w:tc>
          <w:tcPr>
            <w:tcW w:w="10790" w:type="dxa"/>
            <w:gridSpan w:val="2"/>
          </w:tcPr>
          <w:p w14:paraId="127B7B48" w14:textId="77777777" w:rsidR="001506C1" w:rsidRPr="00FA3F9C" w:rsidRDefault="001506C1" w:rsidP="005E6F49">
            <w:pPr>
              <w:rPr>
                <w:rFonts w:ascii="Arial" w:hAnsi="Arial" w:cs="Arial"/>
                <w:sz w:val="24"/>
                <w:szCs w:val="24"/>
              </w:rPr>
            </w:pPr>
            <w:r w:rsidRPr="00FA3F9C">
              <w:rPr>
                <w:rFonts w:ascii="Arial" w:hAnsi="Arial" w:cs="Arial"/>
                <w:sz w:val="24"/>
                <w:szCs w:val="24"/>
              </w:rPr>
              <w:lastRenderedPageBreak/>
              <w:t xml:space="preserve">4. No duplication of therapy with exenatide or other GLP-1 agonists (liraglutide, exenatide, albiglutide, </w:t>
            </w:r>
            <w:proofErr w:type="spellStart"/>
            <w:r w:rsidRPr="00FA3F9C">
              <w:rPr>
                <w:rFonts w:ascii="Arial" w:hAnsi="Arial" w:cs="Arial"/>
                <w:sz w:val="24"/>
                <w:szCs w:val="24"/>
              </w:rPr>
              <w:t>semaglutide</w:t>
            </w:r>
            <w:proofErr w:type="spellEnd"/>
            <w:r w:rsidRPr="00FA3F9C">
              <w:rPr>
                <w:rFonts w:ascii="Arial" w:hAnsi="Arial" w:cs="Arial"/>
                <w:sz w:val="24"/>
                <w:szCs w:val="24"/>
              </w:rPr>
              <w:t xml:space="preserve">) or SGLT2 inhibitors. </w:t>
            </w:r>
          </w:p>
        </w:tc>
      </w:tr>
      <w:tr w:rsidR="001506C1" w:rsidRPr="00FA3F9C" w14:paraId="629CC6F4" w14:textId="77777777" w:rsidTr="005E6F49">
        <w:tc>
          <w:tcPr>
            <w:tcW w:w="10790" w:type="dxa"/>
            <w:gridSpan w:val="2"/>
          </w:tcPr>
          <w:p w14:paraId="63C6F473" w14:textId="77777777" w:rsidR="001506C1" w:rsidRPr="00FA3F9C" w:rsidRDefault="001506C1" w:rsidP="005E6F49">
            <w:pPr>
              <w:rPr>
                <w:rFonts w:ascii="Arial" w:hAnsi="Arial" w:cs="Arial"/>
                <w:sz w:val="24"/>
                <w:szCs w:val="24"/>
              </w:rPr>
            </w:pPr>
            <w:r w:rsidRPr="00FA3F9C">
              <w:rPr>
                <w:rFonts w:ascii="Arial" w:hAnsi="Arial" w:cs="Arial"/>
                <w:sz w:val="24"/>
                <w:szCs w:val="24"/>
              </w:rPr>
              <w:t xml:space="preserve"> </w:t>
            </w:r>
          </w:p>
        </w:tc>
      </w:tr>
      <w:tr w:rsidR="001506C1" w:rsidRPr="00FA3F9C" w14:paraId="648A0FC7" w14:textId="77777777" w:rsidTr="005E6F49">
        <w:tc>
          <w:tcPr>
            <w:tcW w:w="8747" w:type="dxa"/>
            <w:shd w:val="clear" w:color="auto" w:fill="000000"/>
          </w:tcPr>
          <w:p w14:paraId="33895D0D" w14:textId="77777777" w:rsidR="001506C1" w:rsidRPr="00FA3F9C" w:rsidRDefault="001506C1" w:rsidP="00571CAB">
            <w:pPr>
              <w:rPr>
                <w:rFonts w:ascii="Arial" w:hAnsi="Arial" w:cs="Arial"/>
                <w:b/>
                <w:sz w:val="24"/>
                <w:szCs w:val="24"/>
                <w:u w:val="single"/>
              </w:rPr>
            </w:pPr>
            <w:r w:rsidRPr="00FA3F9C">
              <w:rPr>
                <w:rFonts w:ascii="Arial" w:hAnsi="Arial" w:cs="Arial"/>
                <w:b/>
                <w:sz w:val="24"/>
                <w:szCs w:val="24"/>
                <w:u w:val="single"/>
              </w:rPr>
              <w:t>Criteria for continuation</w:t>
            </w:r>
          </w:p>
        </w:tc>
        <w:tc>
          <w:tcPr>
            <w:tcW w:w="2043" w:type="dxa"/>
            <w:shd w:val="clear" w:color="auto" w:fill="000000"/>
          </w:tcPr>
          <w:p w14:paraId="37C39078" w14:textId="77777777" w:rsidR="001506C1" w:rsidRPr="00FA3F9C" w:rsidRDefault="001506C1" w:rsidP="00571CAB">
            <w:pPr>
              <w:jc w:val="center"/>
              <w:rPr>
                <w:rFonts w:ascii="Arial" w:hAnsi="Arial" w:cs="Arial"/>
                <w:b/>
                <w:sz w:val="24"/>
                <w:szCs w:val="24"/>
                <w:u w:val="single"/>
              </w:rPr>
            </w:pPr>
          </w:p>
        </w:tc>
      </w:tr>
      <w:tr w:rsidR="001506C1" w:rsidRPr="00FA3F9C" w14:paraId="5F42599F" w14:textId="77777777" w:rsidTr="005E6F49">
        <w:tc>
          <w:tcPr>
            <w:tcW w:w="10790" w:type="dxa"/>
            <w:gridSpan w:val="2"/>
          </w:tcPr>
          <w:p w14:paraId="1F8C2A60" w14:textId="77777777" w:rsidR="001506C1" w:rsidRPr="00FA3F9C" w:rsidRDefault="001506C1" w:rsidP="005E6F49">
            <w:pPr>
              <w:rPr>
                <w:rFonts w:ascii="Arial" w:hAnsi="Arial" w:cs="Arial"/>
                <w:sz w:val="24"/>
                <w:szCs w:val="24"/>
              </w:rPr>
            </w:pPr>
            <w:r w:rsidRPr="00FA3F9C">
              <w:rPr>
                <w:rFonts w:ascii="Arial" w:hAnsi="Arial" w:cs="Arial"/>
                <w:sz w:val="24"/>
                <w:szCs w:val="24"/>
              </w:rPr>
              <w:t>1.  The patient should have dulaglutide on the profile as having filled for 10 of the 12 previous months.</w:t>
            </w:r>
          </w:p>
        </w:tc>
      </w:tr>
      <w:tr w:rsidR="001506C1" w:rsidRPr="00FA3F9C" w14:paraId="1BF965AF" w14:textId="77777777" w:rsidTr="005E6F49">
        <w:tc>
          <w:tcPr>
            <w:tcW w:w="10790" w:type="dxa"/>
            <w:gridSpan w:val="2"/>
          </w:tcPr>
          <w:p w14:paraId="0F75242C" w14:textId="77777777" w:rsidR="001506C1" w:rsidRPr="00FA3F9C" w:rsidRDefault="001506C1" w:rsidP="005E6F49">
            <w:pPr>
              <w:rPr>
                <w:rFonts w:ascii="Arial" w:hAnsi="Arial" w:cs="Arial"/>
                <w:sz w:val="24"/>
                <w:szCs w:val="24"/>
              </w:rPr>
            </w:pPr>
            <w:r w:rsidRPr="00FA3F9C">
              <w:rPr>
                <w:rFonts w:ascii="Arial" w:hAnsi="Arial" w:cs="Arial"/>
                <w:sz w:val="24"/>
                <w:szCs w:val="24"/>
              </w:rPr>
              <w:t>2.  The patient should have metformin on the profile as having filled for 10 of the 12 previous months.</w:t>
            </w:r>
          </w:p>
        </w:tc>
      </w:tr>
    </w:tbl>
    <w:p w14:paraId="49BE98CE" w14:textId="77777777" w:rsidR="001506C1" w:rsidRPr="00FA3F9C" w:rsidRDefault="001506C1" w:rsidP="006F623F">
      <w:pPr>
        <w:spacing w:after="0"/>
        <w:rPr>
          <w:rFonts w:ascii="Arial" w:hAnsi="Arial" w:cs="Arial"/>
          <w:b/>
          <w:sz w:val="24"/>
          <w:szCs w:val="24"/>
          <w:u w:val="single"/>
        </w:rPr>
      </w:pPr>
    </w:p>
    <w:tbl>
      <w:tblPr>
        <w:tblStyle w:val="TableGrid"/>
        <w:tblW w:w="0" w:type="auto"/>
        <w:shd w:val="clear" w:color="auto" w:fill="BFBFBF" w:themeFill="background1" w:themeFillShade="BF"/>
        <w:tblLook w:val="04A0" w:firstRow="1" w:lastRow="0" w:firstColumn="1" w:lastColumn="0" w:noHBand="0" w:noVBand="1"/>
      </w:tblPr>
      <w:tblGrid>
        <w:gridCol w:w="10790"/>
      </w:tblGrid>
      <w:tr w:rsidR="001506C1" w:rsidRPr="00FA3F9C" w14:paraId="2C398BA9" w14:textId="77777777" w:rsidTr="005E6F49">
        <w:tc>
          <w:tcPr>
            <w:tcW w:w="10790" w:type="dxa"/>
            <w:shd w:val="clear" w:color="auto" w:fill="BFBFBF" w:themeFill="background1" w:themeFillShade="BF"/>
          </w:tcPr>
          <w:p w14:paraId="2FF8F373" w14:textId="77777777" w:rsidR="001506C1" w:rsidRPr="00FA3F9C" w:rsidRDefault="001506C1" w:rsidP="005E6F49">
            <w:pPr>
              <w:rPr>
                <w:rFonts w:ascii="Arial" w:hAnsi="Arial" w:cs="Arial"/>
                <w:sz w:val="24"/>
                <w:szCs w:val="24"/>
              </w:rPr>
            </w:pPr>
            <w:r w:rsidRPr="00FA3F9C">
              <w:rPr>
                <w:rFonts w:ascii="Arial" w:hAnsi="Arial" w:cs="Arial"/>
                <w:sz w:val="24"/>
                <w:szCs w:val="24"/>
              </w:rPr>
              <w:t xml:space="preserve">Note: </w:t>
            </w:r>
          </w:p>
          <w:p w14:paraId="7CA049BB" w14:textId="77777777" w:rsidR="001506C1" w:rsidRPr="00FA3F9C" w:rsidRDefault="001506C1" w:rsidP="005E6F49">
            <w:pPr>
              <w:rPr>
                <w:rFonts w:ascii="Arial" w:hAnsi="Arial" w:cs="Arial"/>
                <w:sz w:val="24"/>
                <w:szCs w:val="24"/>
              </w:rPr>
            </w:pPr>
            <w:r w:rsidRPr="00FA3F9C">
              <w:rPr>
                <w:rFonts w:ascii="Arial" w:hAnsi="Arial" w:cs="Arial"/>
                <w:sz w:val="24"/>
                <w:szCs w:val="24"/>
              </w:rPr>
              <w:t xml:space="preserve">a.  Metformin must be titrated slowly upward.  Metformin 500mg BID is the initial dose.  </w:t>
            </w:r>
          </w:p>
        </w:tc>
      </w:tr>
    </w:tbl>
    <w:p w14:paraId="36AFAEA2" w14:textId="77777777" w:rsidR="001506C1" w:rsidRPr="00FA3F9C" w:rsidRDefault="001506C1" w:rsidP="006F623F">
      <w:pPr>
        <w:spacing w:after="0"/>
        <w:rPr>
          <w:rFonts w:ascii="Arial" w:hAnsi="Arial" w:cs="Arial"/>
          <w:sz w:val="24"/>
          <w:szCs w:val="24"/>
        </w:rPr>
      </w:pPr>
    </w:p>
    <w:p w14:paraId="0CCB4755" w14:textId="77777777" w:rsidR="001506C1" w:rsidRPr="00FA3F9C" w:rsidRDefault="001506C1" w:rsidP="005E6F49">
      <w:pPr>
        <w:spacing w:after="0" w:line="240" w:lineRule="auto"/>
        <w:rPr>
          <w:rFonts w:ascii="Arial" w:hAnsi="Arial" w:cs="Arial"/>
          <w:sz w:val="24"/>
          <w:szCs w:val="24"/>
        </w:rPr>
      </w:pPr>
      <w:r w:rsidRPr="00FA3F9C">
        <w:rPr>
          <w:rFonts w:ascii="Arial" w:hAnsi="Arial" w:cs="Arial"/>
          <w:sz w:val="24"/>
          <w:szCs w:val="24"/>
        </w:rPr>
        <w:t>References:</w:t>
      </w:r>
    </w:p>
    <w:p w14:paraId="6D7C507B" w14:textId="77777777" w:rsidR="001506C1" w:rsidRPr="00FA3F9C" w:rsidRDefault="001506C1" w:rsidP="005E6F49">
      <w:pPr>
        <w:spacing w:after="0" w:line="240" w:lineRule="auto"/>
        <w:rPr>
          <w:rFonts w:ascii="Arial" w:eastAsia="Times New Roman" w:hAnsi="Arial" w:cs="Arial"/>
          <w:sz w:val="24"/>
          <w:szCs w:val="24"/>
        </w:rPr>
      </w:pPr>
      <w:r w:rsidRPr="00FA3F9C">
        <w:rPr>
          <w:rFonts w:ascii="Arial" w:hAnsi="Arial" w:cs="Arial"/>
          <w:sz w:val="24"/>
          <w:szCs w:val="24"/>
        </w:rPr>
        <w:t xml:space="preserve">1. </w:t>
      </w:r>
      <w:r w:rsidRPr="00FA3F9C">
        <w:rPr>
          <w:rFonts w:ascii="Arial" w:eastAsia="Times New Roman" w:hAnsi="Arial" w:cs="Arial"/>
          <w:color w:val="222222"/>
          <w:sz w:val="24"/>
          <w:szCs w:val="24"/>
          <w:shd w:val="clear" w:color="auto" w:fill="F8F8F8"/>
        </w:rPr>
        <w:t xml:space="preserve">Gerstein, </w:t>
      </w:r>
      <w:proofErr w:type="spellStart"/>
      <w:r w:rsidRPr="00FA3F9C">
        <w:rPr>
          <w:rFonts w:ascii="Arial" w:eastAsia="Times New Roman" w:hAnsi="Arial" w:cs="Arial"/>
          <w:color w:val="222222"/>
          <w:sz w:val="24"/>
          <w:szCs w:val="24"/>
          <w:shd w:val="clear" w:color="auto" w:fill="F8F8F8"/>
        </w:rPr>
        <w:t>Hertzel</w:t>
      </w:r>
      <w:proofErr w:type="spellEnd"/>
      <w:r w:rsidRPr="00FA3F9C">
        <w:rPr>
          <w:rFonts w:ascii="Arial" w:eastAsia="Times New Roman" w:hAnsi="Arial" w:cs="Arial"/>
          <w:color w:val="222222"/>
          <w:sz w:val="24"/>
          <w:szCs w:val="24"/>
          <w:shd w:val="clear" w:color="auto" w:fill="F8F8F8"/>
        </w:rPr>
        <w:t xml:space="preserve"> C., et al. "Dulaglutide and cardiovascular outcomes in type 2 diabetes (REWIND): a double-blind, </w:t>
      </w:r>
      <w:proofErr w:type="spellStart"/>
      <w:r w:rsidRPr="00FA3F9C">
        <w:rPr>
          <w:rFonts w:ascii="Arial" w:eastAsia="Times New Roman" w:hAnsi="Arial" w:cs="Arial"/>
          <w:color w:val="222222"/>
          <w:sz w:val="24"/>
          <w:szCs w:val="24"/>
          <w:shd w:val="clear" w:color="auto" w:fill="F8F8F8"/>
        </w:rPr>
        <w:t>randomised</w:t>
      </w:r>
      <w:proofErr w:type="spellEnd"/>
      <w:r w:rsidRPr="00FA3F9C">
        <w:rPr>
          <w:rFonts w:ascii="Arial" w:eastAsia="Times New Roman" w:hAnsi="Arial" w:cs="Arial"/>
          <w:color w:val="222222"/>
          <w:sz w:val="24"/>
          <w:szCs w:val="24"/>
          <w:shd w:val="clear" w:color="auto" w:fill="F8F8F8"/>
        </w:rPr>
        <w:t xml:space="preserve"> placebo-controlled trial." </w:t>
      </w:r>
      <w:r w:rsidRPr="00FA3F9C">
        <w:rPr>
          <w:rFonts w:ascii="Arial" w:eastAsia="Times New Roman" w:hAnsi="Arial" w:cs="Arial"/>
          <w:i/>
          <w:iCs/>
          <w:color w:val="222222"/>
          <w:sz w:val="24"/>
          <w:szCs w:val="24"/>
          <w:shd w:val="clear" w:color="auto" w:fill="F8F8F8"/>
        </w:rPr>
        <w:t>The Lancet</w:t>
      </w:r>
      <w:r w:rsidRPr="00FA3F9C">
        <w:rPr>
          <w:rFonts w:ascii="Arial" w:eastAsia="Times New Roman" w:hAnsi="Arial" w:cs="Arial"/>
          <w:color w:val="222222"/>
          <w:sz w:val="24"/>
          <w:szCs w:val="24"/>
          <w:shd w:val="clear" w:color="auto" w:fill="F8F8F8"/>
        </w:rPr>
        <w:t> (2019).</w:t>
      </w:r>
    </w:p>
    <w:p w14:paraId="55287F42" w14:textId="77777777" w:rsidR="001506C1" w:rsidRPr="00FA3F9C" w:rsidRDefault="001506C1" w:rsidP="00DD702E">
      <w:pPr>
        <w:spacing w:after="0" w:line="240" w:lineRule="auto"/>
        <w:rPr>
          <w:rFonts w:ascii="Arial" w:eastAsia="Times New Roman" w:hAnsi="Arial" w:cs="Arial"/>
          <w:sz w:val="24"/>
          <w:szCs w:val="24"/>
        </w:rPr>
      </w:pPr>
      <w:r w:rsidRPr="00FA3F9C">
        <w:rPr>
          <w:rFonts w:ascii="Arial" w:eastAsia="Times New Roman" w:hAnsi="Arial" w:cs="Arial"/>
          <w:color w:val="222222"/>
          <w:sz w:val="24"/>
          <w:szCs w:val="24"/>
          <w:shd w:val="clear" w:color="auto" w:fill="FFFFFF"/>
        </w:rPr>
        <w:t xml:space="preserve">2. Palmer, </w:t>
      </w:r>
      <w:proofErr w:type="spellStart"/>
      <w:r w:rsidRPr="00FA3F9C">
        <w:rPr>
          <w:rFonts w:ascii="Arial" w:eastAsia="Times New Roman" w:hAnsi="Arial" w:cs="Arial"/>
          <w:color w:val="222222"/>
          <w:sz w:val="24"/>
          <w:szCs w:val="24"/>
          <w:shd w:val="clear" w:color="auto" w:fill="FFFFFF"/>
        </w:rPr>
        <w:t>Suetonia</w:t>
      </w:r>
      <w:proofErr w:type="spellEnd"/>
      <w:r w:rsidRPr="00FA3F9C">
        <w:rPr>
          <w:rFonts w:ascii="Arial" w:eastAsia="Times New Roman" w:hAnsi="Arial" w:cs="Arial"/>
          <w:color w:val="222222"/>
          <w:sz w:val="24"/>
          <w:szCs w:val="24"/>
          <w:shd w:val="clear" w:color="auto" w:fill="FFFFFF"/>
        </w:rPr>
        <w:t xml:space="preserve"> C., et al. "Sodium-glucose cotransporter protein-2 (SGLT-2) inhibitors and glucagon-like peptide-1 (GLP-1) receptor agonists for type 2 diabetes: systematic review and network meta-analysis of </w:t>
      </w:r>
      <w:proofErr w:type="spellStart"/>
      <w:r w:rsidRPr="00FA3F9C">
        <w:rPr>
          <w:rFonts w:ascii="Arial" w:eastAsia="Times New Roman" w:hAnsi="Arial" w:cs="Arial"/>
          <w:color w:val="222222"/>
          <w:sz w:val="24"/>
          <w:szCs w:val="24"/>
          <w:shd w:val="clear" w:color="auto" w:fill="FFFFFF"/>
        </w:rPr>
        <w:t>randomised</w:t>
      </w:r>
      <w:proofErr w:type="spellEnd"/>
      <w:r w:rsidRPr="00FA3F9C">
        <w:rPr>
          <w:rFonts w:ascii="Arial" w:eastAsia="Times New Roman" w:hAnsi="Arial" w:cs="Arial"/>
          <w:color w:val="222222"/>
          <w:sz w:val="24"/>
          <w:szCs w:val="24"/>
          <w:shd w:val="clear" w:color="auto" w:fill="FFFFFF"/>
        </w:rPr>
        <w:t xml:space="preserve"> controlled trials." </w:t>
      </w:r>
      <w:proofErr w:type="spellStart"/>
      <w:r w:rsidRPr="00FA3F9C">
        <w:rPr>
          <w:rFonts w:ascii="Arial" w:eastAsia="Times New Roman" w:hAnsi="Arial" w:cs="Arial"/>
          <w:i/>
          <w:iCs/>
          <w:color w:val="222222"/>
          <w:sz w:val="24"/>
          <w:szCs w:val="24"/>
          <w:shd w:val="clear" w:color="auto" w:fill="FFFFFF"/>
        </w:rPr>
        <w:t>bmj</w:t>
      </w:r>
      <w:proofErr w:type="spellEnd"/>
      <w:r w:rsidRPr="00FA3F9C">
        <w:rPr>
          <w:rFonts w:ascii="Arial" w:eastAsia="Times New Roman" w:hAnsi="Arial" w:cs="Arial"/>
          <w:color w:val="222222"/>
          <w:sz w:val="24"/>
          <w:szCs w:val="24"/>
          <w:shd w:val="clear" w:color="auto" w:fill="FFFFFF"/>
        </w:rPr>
        <w:t> 372 (2021).</w:t>
      </w:r>
    </w:p>
    <w:p w14:paraId="0DA6FB7E" w14:textId="77777777" w:rsidR="001506C1" w:rsidRPr="00FA3F9C" w:rsidRDefault="001506C1" w:rsidP="005E6F49">
      <w:pPr>
        <w:spacing w:after="0" w:line="240" w:lineRule="auto"/>
        <w:rPr>
          <w:rFonts w:ascii="Arial" w:hAnsi="Arial" w:cs="Arial"/>
          <w:sz w:val="24"/>
          <w:szCs w:val="24"/>
        </w:rPr>
      </w:pPr>
    </w:p>
    <w:p w14:paraId="5A0AD58E" w14:textId="77777777" w:rsidR="001506C1" w:rsidRPr="00FA3F9C" w:rsidRDefault="001506C1" w:rsidP="005E6F49">
      <w:pPr>
        <w:spacing w:after="0" w:line="240" w:lineRule="auto"/>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284"/>
        <w:gridCol w:w="8458"/>
        <w:gridCol w:w="1590"/>
      </w:tblGrid>
      <w:tr w:rsidR="001506C1" w:rsidRPr="00FA3F9C" w14:paraId="1B369D30" w14:textId="77777777" w:rsidTr="00F70499">
        <w:tc>
          <w:tcPr>
            <w:tcW w:w="1167" w:type="dxa"/>
          </w:tcPr>
          <w:p w14:paraId="6CAF9F0C" w14:textId="77777777" w:rsidR="001506C1" w:rsidRPr="00FA3F9C" w:rsidRDefault="001506C1" w:rsidP="005E6F49">
            <w:pPr>
              <w:rPr>
                <w:rFonts w:ascii="Arial" w:hAnsi="Arial" w:cs="Arial"/>
                <w:sz w:val="24"/>
                <w:szCs w:val="24"/>
              </w:rPr>
            </w:pPr>
            <w:r w:rsidRPr="00FA3F9C">
              <w:rPr>
                <w:rFonts w:ascii="Arial" w:hAnsi="Arial" w:cs="Arial"/>
                <w:sz w:val="24"/>
                <w:szCs w:val="24"/>
              </w:rPr>
              <w:t>Date</w:t>
            </w:r>
          </w:p>
        </w:tc>
        <w:tc>
          <w:tcPr>
            <w:tcW w:w="8458" w:type="dxa"/>
          </w:tcPr>
          <w:p w14:paraId="28756FDE" w14:textId="77777777" w:rsidR="001506C1" w:rsidRPr="00FA3F9C" w:rsidRDefault="001506C1" w:rsidP="005E6F49">
            <w:pPr>
              <w:rPr>
                <w:rFonts w:ascii="Arial" w:hAnsi="Arial" w:cs="Arial"/>
                <w:sz w:val="24"/>
                <w:szCs w:val="24"/>
              </w:rPr>
            </w:pPr>
            <w:r w:rsidRPr="00FA3F9C">
              <w:rPr>
                <w:rFonts w:ascii="Arial" w:hAnsi="Arial" w:cs="Arial"/>
                <w:sz w:val="24"/>
                <w:szCs w:val="24"/>
              </w:rPr>
              <w:t>What changed</w:t>
            </w:r>
          </w:p>
        </w:tc>
        <w:tc>
          <w:tcPr>
            <w:tcW w:w="1165" w:type="dxa"/>
          </w:tcPr>
          <w:p w14:paraId="3C516FB1" w14:textId="77777777" w:rsidR="001506C1" w:rsidRPr="00FA3F9C" w:rsidRDefault="001506C1" w:rsidP="005E6F49">
            <w:pPr>
              <w:rPr>
                <w:rFonts w:ascii="Arial" w:hAnsi="Arial" w:cs="Arial"/>
                <w:sz w:val="24"/>
                <w:szCs w:val="24"/>
              </w:rPr>
            </w:pPr>
            <w:r w:rsidRPr="00FA3F9C">
              <w:rPr>
                <w:rFonts w:ascii="Arial" w:hAnsi="Arial" w:cs="Arial"/>
                <w:sz w:val="24"/>
                <w:szCs w:val="24"/>
              </w:rPr>
              <w:t>Pharmacist’s initials</w:t>
            </w:r>
          </w:p>
        </w:tc>
      </w:tr>
      <w:tr w:rsidR="001506C1" w:rsidRPr="00FA3F9C" w14:paraId="1A798BFA" w14:textId="77777777" w:rsidTr="00F70499">
        <w:tc>
          <w:tcPr>
            <w:tcW w:w="1167" w:type="dxa"/>
          </w:tcPr>
          <w:p w14:paraId="193903A5" w14:textId="77777777" w:rsidR="001506C1" w:rsidRPr="00FA3F9C" w:rsidRDefault="001506C1" w:rsidP="005E6F49">
            <w:pPr>
              <w:rPr>
                <w:rFonts w:ascii="Arial" w:hAnsi="Arial" w:cs="Arial"/>
                <w:sz w:val="24"/>
                <w:szCs w:val="24"/>
              </w:rPr>
            </w:pPr>
            <w:r w:rsidRPr="00FA3F9C">
              <w:rPr>
                <w:rFonts w:ascii="Arial" w:hAnsi="Arial" w:cs="Arial"/>
                <w:sz w:val="24"/>
                <w:szCs w:val="24"/>
              </w:rPr>
              <w:t>10/28/19</w:t>
            </w:r>
          </w:p>
        </w:tc>
        <w:tc>
          <w:tcPr>
            <w:tcW w:w="8458" w:type="dxa"/>
          </w:tcPr>
          <w:p w14:paraId="3B4D962D" w14:textId="77777777" w:rsidR="001506C1" w:rsidRPr="00FA3F9C" w:rsidRDefault="001506C1" w:rsidP="005E6F49">
            <w:pPr>
              <w:rPr>
                <w:rFonts w:ascii="Arial" w:hAnsi="Arial" w:cs="Arial"/>
                <w:sz w:val="24"/>
                <w:szCs w:val="24"/>
              </w:rPr>
            </w:pPr>
            <w:r w:rsidRPr="00FA3F9C">
              <w:rPr>
                <w:rFonts w:ascii="Arial" w:hAnsi="Arial" w:cs="Arial"/>
                <w:sz w:val="24"/>
                <w:szCs w:val="24"/>
              </w:rPr>
              <w:t>I wrote the criteria.</w:t>
            </w:r>
          </w:p>
        </w:tc>
        <w:tc>
          <w:tcPr>
            <w:tcW w:w="1165" w:type="dxa"/>
          </w:tcPr>
          <w:p w14:paraId="2A870FE5" w14:textId="77777777" w:rsidR="001506C1" w:rsidRPr="00FA3F9C" w:rsidRDefault="001506C1" w:rsidP="005E6F49">
            <w:pPr>
              <w:rPr>
                <w:rFonts w:ascii="Arial" w:hAnsi="Arial" w:cs="Arial"/>
                <w:sz w:val="24"/>
                <w:szCs w:val="24"/>
              </w:rPr>
            </w:pPr>
            <w:r w:rsidRPr="00FA3F9C">
              <w:rPr>
                <w:rFonts w:ascii="Arial" w:hAnsi="Arial" w:cs="Arial"/>
                <w:sz w:val="24"/>
                <w:szCs w:val="24"/>
              </w:rPr>
              <w:t>JJ</w:t>
            </w:r>
          </w:p>
        </w:tc>
      </w:tr>
      <w:tr w:rsidR="001506C1" w:rsidRPr="00FA3F9C" w14:paraId="73C8CB4C" w14:textId="77777777" w:rsidTr="00F70499">
        <w:tc>
          <w:tcPr>
            <w:tcW w:w="1167" w:type="dxa"/>
          </w:tcPr>
          <w:p w14:paraId="43FBA9BF" w14:textId="77777777" w:rsidR="001506C1" w:rsidRPr="00FA3F9C" w:rsidRDefault="001506C1" w:rsidP="005E6F49">
            <w:pPr>
              <w:rPr>
                <w:rFonts w:ascii="Arial" w:hAnsi="Arial" w:cs="Arial"/>
                <w:sz w:val="24"/>
                <w:szCs w:val="24"/>
              </w:rPr>
            </w:pPr>
            <w:r w:rsidRPr="00FA3F9C">
              <w:rPr>
                <w:rFonts w:ascii="Arial" w:hAnsi="Arial" w:cs="Arial"/>
                <w:sz w:val="24"/>
                <w:szCs w:val="24"/>
              </w:rPr>
              <w:t>3/29/2021</w:t>
            </w:r>
          </w:p>
        </w:tc>
        <w:tc>
          <w:tcPr>
            <w:tcW w:w="8458" w:type="dxa"/>
          </w:tcPr>
          <w:p w14:paraId="28ABD982" w14:textId="77777777" w:rsidR="001506C1" w:rsidRPr="00FA3F9C" w:rsidRDefault="001506C1" w:rsidP="005E6F49">
            <w:pPr>
              <w:rPr>
                <w:rFonts w:ascii="Arial" w:hAnsi="Arial" w:cs="Arial"/>
                <w:sz w:val="24"/>
                <w:szCs w:val="24"/>
              </w:rPr>
            </w:pPr>
            <w:r w:rsidRPr="00FA3F9C">
              <w:rPr>
                <w:rFonts w:ascii="Arial" w:hAnsi="Arial" w:cs="Arial"/>
                <w:sz w:val="24"/>
                <w:szCs w:val="24"/>
              </w:rPr>
              <w:t>I reviewed the criteria. Omitted the statement about exenatide. Added the indication to reduce CV risk.</w:t>
            </w:r>
          </w:p>
        </w:tc>
        <w:tc>
          <w:tcPr>
            <w:tcW w:w="1165" w:type="dxa"/>
          </w:tcPr>
          <w:p w14:paraId="63C410E3" w14:textId="77777777" w:rsidR="001506C1" w:rsidRPr="00FA3F9C" w:rsidRDefault="001506C1" w:rsidP="005E6F49">
            <w:pPr>
              <w:rPr>
                <w:rFonts w:ascii="Arial" w:hAnsi="Arial" w:cs="Arial"/>
                <w:sz w:val="24"/>
                <w:szCs w:val="24"/>
              </w:rPr>
            </w:pPr>
            <w:r w:rsidRPr="00FA3F9C">
              <w:rPr>
                <w:rFonts w:ascii="Arial" w:hAnsi="Arial" w:cs="Arial"/>
                <w:sz w:val="24"/>
                <w:szCs w:val="24"/>
              </w:rPr>
              <w:t>JJ</w:t>
            </w:r>
          </w:p>
        </w:tc>
      </w:tr>
      <w:tr w:rsidR="001506C1" w:rsidRPr="00FA3F9C" w14:paraId="355A9A4D" w14:textId="77777777" w:rsidTr="00F70499">
        <w:tc>
          <w:tcPr>
            <w:tcW w:w="1167" w:type="dxa"/>
          </w:tcPr>
          <w:p w14:paraId="792C25F5" w14:textId="77777777" w:rsidR="001506C1" w:rsidRPr="00FA3F9C" w:rsidRDefault="001506C1" w:rsidP="005E6F49">
            <w:pPr>
              <w:rPr>
                <w:rFonts w:ascii="Arial" w:hAnsi="Arial" w:cs="Arial"/>
                <w:sz w:val="24"/>
                <w:szCs w:val="24"/>
              </w:rPr>
            </w:pPr>
            <w:r w:rsidRPr="00FA3F9C">
              <w:rPr>
                <w:rFonts w:ascii="Arial" w:hAnsi="Arial" w:cs="Arial"/>
                <w:sz w:val="24"/>
                <w:szCs w:val="24"/>
              </w:rPr>
              <w:t>4/22/21</w:t>
            </w:r>
          </w:p>
        </w:tc>
        <w:tc>
          <w:tcPr>
            <w:tcW w:w="8458" w:type="dxa"/>
          </w:tcPr>
          <w:p w14:paraId="2DB911E1" w14:textId="77777777" w:rsidR="001506C1" w:rsidRPr="00FA3F9C" w:rsidRDefault="001506C1" w:rsidP="004E78FC">
            <w:pPr>
              <w:rPr>
                <w:rFonts w:ascii="Arial" w:hAnsi="Arial" w:cs="Arial"/>
                <w:sz w:val="24"/>
                <w:szCs w:val="24"/>
              </w:rPr>
            </w:pPr>
            <w:r w:rsidRPr="00FA3F9C">
              <w:rPr>
                <w:rFonts w:ascii="Arial" w:hAnsi="Arial" w:cs="Arial"/>
                <w:sz w:val="24"/>
                <w:szCs w:val="24"/>
              </w:rPr>
              <w:t>Removed these criteria per the rebate contract:  5a. Patient must be age 50+ with vascular disease (previous MI, ischemic stroke, revascularization, hospital admission for unstable angina, or imaging evidence of myocardial ischemia.</w:t>
            </w:r>
          </w:p>
          <w:p w14:paraId="2FEFB18B" w14:textId="77777777" w:rsidR="001506C1" w:rsidRPr="00FA3F9C" w:rsidRDefault="001506C1" w:rsidP="004E78FC">
            <w:pPr>
              <w:rPr>
                <w:rFonts w:ascii="Arial" w:hAnsi="Arial" w:cs="Arial"/>
                <w:sz w:val="24"/>
                <w:szCs w:val="24"/>
              </w:rPr>
            </w:pPr>
            <w:r w:rsidRPr="00FA3F9C">
              <w:rPr>
                <w:rFonts w:ascii="Arial" w:hAnsi="Arial" w:cs="Arial"/>
                <w:sz w:val="24"/>
                <w:szCs w:val="24"/>
              </w:rPr>
              <w:t>OR</w:t>
            </w:r>
          </w:p>
          <w:p w14:paraId="197ADBF1" w14:textId="77777777" w:rsidR="001506C1" w:rsidRPr="00FA3F9C" w:rsidRDefault="001506C1" w:rsidP="004E78FC">
            <w:pPr>
              <w:rPr>
                <w:rFonts w:ascii="Arial" w:hAnsi="Arial" w:cs="Arial"/>
                <w:sz w:val="24"/>
                <w:szCs w:val="24"/>
              </w:rPr>
            </w:pPr>
            <w:r w:rsidRPr="00FA3F9C">
              <w:rPr>
                <w:rFonts w:ascii="Arial" w:hAnsi="Arial" w:cs="Arial"/>
                <w:sz w:val="24"/>
                <w:szCs w:val="24"/>
              </w:rPr>
              <w:t>5b. Patient must be aged 55y+ and myocardial ischemia, coronary/carotid/or lower extremity artery stenosis exceeding 50%, left ventricular hypertrophy, or albuminuria.</w:t>
            </w:r>
          </w:p>
          <w:p w14:paraId="19547A1B" w14:textId="77777777" w:rsidR="001506C1" w:rsidRPr="00FA3F9C" w:rsidRDefault="001506C1" w:rsidP="004E78FC">
            <w:pPr>
              <w:rPr>
                <w:rFonts w:ascii="Arial" w:hAnsi="Arial" w:cs="Arial"/>
                <w:sz w:val="24"/>
                <w:szCs w:val="24"/>
              </w:rPr>
            </w:pPr>
            <w:r w:rsidRPr="00FA3F9C">
              <w:rPr>
                <w:rFonts w:ascii="Arial" w:hAnsi="Arial" w:cs="Arial"/>
                <w:sz w:val="24"/>
                <w:szCs w:val="24"/>
              </w:rPr>
              <w:lastRenderedPageBreak/>
              <w:t>OR</w:t>
            </w:r>
          </w:p>
          <w:p w14:paraId="58DD1135" w14:textId="77777777" w:rsidR="001506C1" w:rsidRPr="00FA3F9C" w:rsidRDefault="001506C1" w:rsidP="004E78FC">
            <w:pPr>
              <w:rPr>
                <w:rFonts w:ascii="Arial" w:hAnsi="Arial" w:cs="Arial"/>
                <w:sz w:val="24"/>
                <w:szCs w:val="24"/>
              </w:rPr>
            </w:pPr>
            <w:r w:rsidRPr="00FA3F9C">
              <w:rPr>
                <w:rFonts w:ascii="Arial" w:hAnsi="Arial" w:cs="Arial"/>
                <w:sz w:val="24"/>
                <w:szCs w:val="24"/>
              </w:rPr>
              <w:t>5c. Patient must be age 60+ with at least 2 of tobacco use, dyslipidemia, hypertension, or abdominal obesity.</w:t>
            </w:r>
          </w:p>
        </w:tc>
        <w:tc>
          <w:tcPr>
            <w:tcW w:w="1165" w:type="dxa"/>
          </w:tcPr>
          <w:p w14:paraId="33EA0F52" w14:textId="77777777" w:rsidR="001506C1" w:rsidRPr="00FA3F9C" w:rsidRDefault="001506C1" w:rsidP="005E6F49">
            <w:pPr>
              <w:rPr>
                <w:rFonts w:ascii="Arial" w:hAnsi="Arial" w:cs="Arial"/>
                <w:sz w:val="24"/>
                <w:szCs w:val="24"/>
              </w:rPr>
            </w:pPr>
            <w:r w:rsidRPr="00FA3F9C">
              <w:rPr>
                <w:rFonts w:ascii="Arial" w:hAnsi="Arial" w:cs="Arial"/>
                <w:sz w:val="24"/>
                <w:szCs w:val="24"/>
              </w:rPr>
              <w:lastRenderedPageBreak/>
              <w:t>JJ</w:t>
            </w:r>
          </w:p>
        </w:tc>
      </w:tr>
      <w:tr w:rsidR="001506C1" w:rsidRPr="00FA3F9C" w14:paraId="235307F7" w14:textId="77777777" w:rsidTr="00F70499">
        <w:tc>
          <w:tcPr>
            <w:tcW w:w="1167" w:type="dxa"/>
          </w:tcPr>
          <w:p w14:paraId="6FDE49D2" w14:textId="77777777" w:rsidR="001506C1" w:rsidRPr="00FA3F9C" w:rsidRDefault="001506C1" w:rsidP="00DD702E">
            <w:pPr>
              <w:rPr>
                <w:rFonts w:ascii="Arial" w:hAnsi="Arial" w:cs="Arial"/>
                <w:sz w:val="24"/>
                <w:szCs w:val="24"/>
              </w:rPr>
            </w:pPr>
            <w:r w:rsidRPr="00FA3F9C">
              <w:rPr>
                <w:rFonts w:ascii="Arial" w:hAnsi="Arial" w:cs="Arial"/>
                <w:sz w:val="24"/>
                <w:szCs w:val="24"/>
              </w:rPr>
              <w:t>4/26/21</w:t>
            </w:r>
          </w:p>
        </w:tc>
        <w:tc>
          <w:tcPr>
            <w:tcW w:w="8458" w:type="dxa"/>
          </w:tcPr>
          <w:p w14:paraId="3DC2F2ED" w14:textId="77777777" w:rsidR="001506C1" w:rsidRPr="00FA3F9C" w:rsidRDefault="001506C1" w:rsidP="00DD702E">
            <w:pPr>
              <w:rPr>
                <w:rFonts w:ascii="Arial" w:hAnsi="Arial" w:cs="Arial"/>
                <w:sz w:val="24"/>
                <w:szCs w:val="24"/>
              </w:rPr>
            </w:pPr>
            <w:r w:rsidRPr="00FA3F9C">
              <w:rPr>
                <w:rFonts w:ascii="Arial" w:hAnsi="Arial" w:cs="Arial"/>
                <w:sz w:val="24"/>
                <w:szCs w:val="24"/>
              </w:rPr>
              <w:t>Per EBRx P&amp;T meeting 4/22, we removed criteria all together on SGLT2 inhibitors, but left criteria on GLP1a.  We also decided to disallow concurrent SGLT2i and GLP1a therapy due to uncertain benefit with the combination.  I added reference 2.</w:t>
            </w:r>
          </w:p>
        </w:tc>
        <w:tc>
          <w:tcPr>
            <w:tcW w:w="1165" w:type="dxa"/>
          </w:tcPr>
          <w:p w14:paraId="7AEE4ED4" w14:textId="77777777" w:rsidR="001506C1" w:rsidRPr="00FA3F9C" w:rsidRDefault="001506C1" w:rsidP="00DD702E">
            <w:pPr>
              <w:rPr>
                <w:rFonts w:ascii="Arial" w:hAnsi="Arial" w:cs="Arial"/>
                <w:sz w:val="24"/>
                <w:szCs w:val="24"/>
              </w:rPr>
            </w:pPr>
            <w:r w:rsidRPr="00FA3F9C">
              <w:rPr>
                <w:rFonts w:ascii="Arial" w:hAnsi="Arial" w:cs="Arial"/>
                <w:sz w:val="24"/>
                <w:szCs w:val="24"/>
              </w:rPr>
              <w:t>JJ</w:t>
            </w:r>
          </w:p>
        </w:tc>
      </w:tr>
      <w:tr w:rsidR="001506C1" w:rsidRPr="00FA3F9C" w14:paraId="094179FE" w14:textId="77777777" w:rsidTr="00F70499">
        <w:tc>
          <w:tcPr>
            <w:tcW w:w="1167" w:type="dxa"/>
          </w:tcPr>
          <w:p w14:paraId="43654667" w14:textId="77777777" w:rsidR="001506C1" w:rsidRPr="00FA3F9C" w:rsidRDefault="001506C1" w:rsidP="00DD702E">
            <w:pPr>
              <w:rPr>
                <w:rFonts w:ascii="Arial" w:hAnsi="Arial" w:cs="Arial"/>
                <w:sz w:val="24"/>
                <w:szCs w:val="24"/>
              </w:rPr>
            </w:pPr>
            <w:r w:rsidRPr="00FA3F9C">
              <w:rPr>
                <w:rFonts w:ascii="Arial" w:hAnsi="Arial" w:cs="Arial"/>
                <w:sz w:val="24"/>
                <w:szCs w:val="24"/>
              </w:rPr>
              <w:t>4/28/21</w:t>
            </w:r>
          </w:p>
        </w:tc>
        <w:tc>
          <w:tcPr>
            <w:tcW w:w="8458" w:type="dxa"/>
          </w:tcPr>
          <w:p w14:paraId="1F4AB5B0" w14:textId="77777777" w:rsidR="001506C1" w:rsidRPr="00FA3F9C" w:rsidRDefault="001506C1" w:rsidP="00DD702E">
            <w:pPr>
              <w:rPr>
                <w:rFonts w:ascii="Arial" w:hAnsi="Arial" w:cs="Arial"/>
                <w:sz w:val="24"/>
                <w:szCs w:val="24"/>
              </w:rPr>
            </w:pPr>
            <w:r w:rsidRPr="00FA3F9C">
              <w:rPr>
                <w:rFonts w:ascii="Arial" w:hAnsi="Arial" w:cs="Arial"/>
                <w:sz w:val="24"/>
                <w:szCs w:val="24"/>
              </w:rPr>
              <w:t>I added no concurrent therapy with SGLT2i due to uncertainty of combination therapy.</w:t>
            </w:r>
          </w:p>
        </w:tc>
        <w:tc>
          <w:tcPr>
            <w:tcW w:w="1165" w:type="dxa"/>
          </w:tcPr>
          <w:p w14:paraId="1028D35E" w14:textId="77777777" w:rsidR="001506C1" w:rsidRPr="00FA3F9C" w:rsidRDefault="001506C1" w:rsidP="00DD702E">
            <w:pPr>
              <w:rPr>
                <w:rFonts w:ascii="Arial" w:hAnsi="Arial" w:cs="Arial"/>
                <w:sz w:val="24"/>
                <w:szCs w:val="24"/>
              </w:rPr>
            </w:pPr>
            <w:r w:rsidRPr="00FA3F9C">
              <w:rPr>
                <w:rFonts w:ascii="Arial" w:hAnsi="Arial" w:cs="Arial"/>
                <w:sz w:val="24"/>
                <w:szCs w:val="24"/>
              </w:rPr>
              <w:t>JJ</w:t>
            </w:r>
          </w:p>
        </w:tc>
      </w:tr>
    </w:tbl>
    <w:p w14:paraId="2FF1CBA2" w14:textId="77777777" w:rsidR="001506C1" w:rsidRPr="00FA3F9C" w:rsidRDefault="001506C1" w:rsidP="005E6F49">
      <w:pPr>
        <w:spacing w:after="0" w:line="240" w:lineRule="auto"/>
        <w:rPr>
          <w:rFonts w:ascii="Arial" w:hAnsi="Arial" w:cs="Arial"/>
          <w:sz w:val="24"/>
          <w:szCs w:val="24"/>
        </w:rPr>
      </w:pPr>
    </w:p>
    <w:p w14:paraId="29BC2901" w14:textId="77777777" w:rsidR="002819F6" w:rsidRDefault="001506C1" w:rsidP="002819F6">
      <w:pPr>
        <w:pStyle w:val="Heading2"/>
      </w:pPr>
      <w:bookmarkStart w:id="80" w:name="_Toc106369775"/>
      <w:proofErr w:type="spellStart"/>
      <w:r w:rsidRPr="00FA3F9C">
        <w:t>Dupilimab</w:t>
      </w:r>
      <w:proofErr w:type="spellEnd"/>
      <w:r w:rsidRPr="00FA3F9C">
        <w:t xml:space="preserve"> (Dupixent)</w:t>
      </w:r>
      <w:bookmarkEnd w:id="80"/>
      <w:r w:rsidRPr="00FA3F9C">
        <w:t xml:space="preserve"> </w:t>
      </w:r>
    </w:p>
    <w:p w14:paraId="250B4D38" w14:textId="327DE428" w:rsidR="001506C1" w:rsidRDefault="001506C1" w:rsidP="006F623F">
      <w:pPr>
        <w:spacing w:after="0"/>
        <w:jc w:val="center"/>
        <w:rPr>
          <w:rFonts w:ascii="Arial" w:hAnsi="Arial" w:cs="Arial"/>
          <w:sz w:val="24"/>
          <w:szCs w:val="24"/>
        </w:rPr>
      </w:pPr>
      <w:r w:rsidRPr="00FA3F9C">
        <w:rPr>
          <w:rFonts w:ascii="Arial" w:hAnsi="Arial" w:cs="Arial"/>
          <w:sz w:val="24"/>
          <w:szCs w:val="24"/>
        </w:rPr>
        <w:t>SC injection</w:t>
      </w:r>
    </w:p>
    <w:p w14:paraId="6AD71C3B" w14:textId="77777777" w:rsidR="002819F6" w:rsidRPr="00FA3F9C" w:rsidRDefault="002819F6" w:rsidP="002819F6">
      <w:pPr>
        <w:spacing w:after="0"/>
        <w:jc w:val="center"/>
        <w:rPr>
          <w:rFonts w:ascii="Arial" w:hAnsi="Arial" w:cs="Arial"/>
          <w:sz w:val="24"/>
          <w:szCs w:val="24"/>
        </w:rPr>
      </w:pPr>
      <w:r w:rsidRPr="00FA3F9C">
        <w:rPr>
          <w:rFonts w:ascii="Arial" w:hAnsi="Arial" w:cs="Arial"/>
          <w:sz w:val="24"/>
          <w:szCs w:val="24"/>
        </w:rPr>
        <w:t>EBRx PA Criteria</w:t>
      </w:r>
    </w:p>
    <w:p w14:paraId="22A68F60" w14:textId="77777777" w:rsidR="002819F6" w:rsidRPr="00FA3F9C" w:rsidRDefault="002819F6" w:rsidP="006F623F">
      <w:pPr>
        <w:spacing w:after="0"/>
        <w:jc w:val="center"/>
        <w:rPr>
          <w:rFonts w:ascii="Arial" w:hAnsi="Arial" w:cs="Arial"/>
          <w:sz w:val="24"/>
          <w:szCs w:val="24"/>
        </w:rPr>
      </w:pPr>
    </w:p>
    <w:p w14:paraId="3D9E32D6" w14:textId="77777777" w:rsidR="001506C1" w:rsidRPr="00FA3F9C" w:rsidRDefault="001506C1" w:rsidP="006F623F">
      <w:pPr>
        <w:spacing w:after="0"/>
        <w:rPr>
          <w:rFonts w:ascii="Arial" w:hAnsi="Arial" w:cs="Arial"/>
          <w:b/>
          <w:sz w:val="24"/>
          <w:szCs w:val="24"/>
          <w:u w:val="single"/>
        </w:rPr>
      </w:pPr>
    </w:p>
    <w:p w14:paraId="79111F3E" w14:textId="77777777" w:rsidR="001506C1" w:rsidRPr="00FA3F9C" w:rsidRDefault="001506C1"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w:t>
      </w:r>
    </w:p>
    <w:p w14:paraId="20E8961F" w14:textId="77777777" w:rsidR="001506C1" w:rsidRPr="00FA3F9C" w:rsidRDefault="001506C1" w:rsidP="001506C1">
      <w:pPr>
        <w:pStyle w:val="ListParagraph"/>
        <w:numPr>
          <w:ilvl w:val="0"/>
          <w:numId w:val="141"/>
        </w:numPr>
        <w:spacing w:after="0" w:line="276" w:lineRule="auto"/>
        <w:rPr>
          <w:rFonts w:ascii="Arial" w:hAnsi="Arial" w:cs="Arial"/>
          <w:sz w:val="24"/>
          <w:szCs w:val="24"/>
        </w:rPr>
      </w:pPr>
      <w:r w:rsidRPr="00FA3F9C">
        <w:rPr>
          <w:rFonts w:ascii="Arial" w:hAnsi="Arial" w:cs="Arial"/>
          <w:sz w:val="24"/>
          <w:szCs w:val="24"/>
        </w:rPr>
        <w:t>treatment of adult moderate-severe atopic dermatitis</w:t>
      </w:r>
    </w:p>
    <w:p w14:paraId="15D3DBD6" w14:textId="77777777" w:rsidR="001506C1" w:rsidRPr="00FA3F9C" w:rsidRDefault="001506C1" w:rsidP="001506C1">
      <w:pPr>
        <w:pStyle w:val="ListParagraph"/>
        <w:numPr>
          <w:ilvl w:val="0"/>
          <w:numId w:val="141"/>
        </w:numPr>
        <w:spacing w:after="0" w:line="276" w:lineRule="auto"/>
        <w:rPr>
          <w:rFonts w:ascii="Arial" w:hAnsi="Arial" w:cs="Arial"/>
          <w:sz w:val="24"/>
          <w:szCs w:val="24"/>
        </w:rPr>
      </w:pPr>
      <w:r w:rsidRPr="00FA3F9C">
        <w:rPr>
          <w:rFonts w:ascii="Arial" w:hAnsi="Arial" w:cs="Arial"/>
          <w:sz w:val="24"/>
          <w:szCs w:val="24"/>
        </w:rPr>
        <w:t xml:space="preserve">add-on maintenance treatment of moderate to severe asthma in adults and pediatric patients </w:t>
      </w:r>
      <w:r w:rsidRPr="00FA3F9C">
        <w:rPr>
          <w:rFonts w:ascii="Arial" w:hAnsi="Arial" w:cs="Arial"/>
          <w:sz w:val="24"/>
          <w:szCs w:val="24"/>
          <w:u w:val="single"/>
        </w:rPr>
        <w:t>&gt;</w:t>
      </w:r>
      <w:r w:rsidRPr="00FA3F9C">
        <w:rPr>
          <w:rFonts w:ascii="Arial" w:hAnsi="Arial" w:cs="Arial"/>
          <w:sz w:val="24"/>
          <w:szCs w:val="24"/>
        </w:rPr>
        <w:t>12 y of age with an eosinophilic phenotype or with corticosteroid dependent asthma.</w:t>
      </w:r>
    </w:p>
    <w:p w14:paraId="7BA55989" w14:textId="77777777" w:rsidR="001506C1" w:rsidRPr="00FA3F9C" w:rsidRDefault="001506C1" w:rsidP="001506C1">
      <w:pPr>
        <w:pStyle w:val="ListParagraph"/>
        <w:numPr>
          <w:ilvl w:val="0"/>
          <w:numId w:val="141"/>
        </w:numPr>
        <w:spacing w:after="0" w:line="276" w:lineRule="auto"/>
        <w:rPr>
          <w:rFonts w:ascii="Arial" w:hAnsi="Arial" w:cs="Arial"/>
          <w:sz w:val="24"/>
          <w:szCs w:val="24"/>
        </w:rPr>
      </w:pPr>
      <w:r w:rsidRPr="00FA3F9C">
        <w:rPr>
          <w:rFonts w:ascii="Arial" w:hAnsi="Arial" w:cs="Arial"/>
          <w:sz w:val="24"/>
          <w:szCs w:val="24"/>
        </w:rPr>
        <w:t>Rhinosinusitis, chronic, with nasal polyposis, as add-on maintenance treatment in adults with inadequately controlled chronic rhinosinusitis with nasal polyposis</w:t>
      </w:r>
    </w:p>
    <w:tbl>
      <w:tblPr>
        <w:tblStyle w:val="TableGrid"/>
        <w:tblW w:w="0" w:type="auto"/>
        <w:tblLook w:val="04A0" w:firstRow="1" w:lastRow="0" w:firstColumn="1" w:lastColumn="0" w:noHBand="0" w:noVBand="1"/>
      </w:tblPr>
      <w:tblGrid>
        <w:gridCol w:w="8928"/>
        <w:gridCol w:w="2088"/>
      </w:tblGrid>
      <w:tr w:rsidR="001506C1" w:rsidRPr="00FA3F9C" w14:paraId="5E88BEF6" w14:textId="77777777" w:rsidTr="00571CAB">
        <w:tc>
          <w:tcPr>
            <w:tcW w:w="8928" w:type="dxa"/>
            <w:shd w:val="clear" w:color="auto" w:fill="000000"/>
          </w:tcPr>
          <w:p w14:paraId="1168D0D6" w14:textId="77777777" w:rsidR="001506C1" w:rsidRPr="00FA3F9C" w:rsidRDefault="001506C1" w:rsidP="00571CAB">
            <w:pPr>
              <w:rPr>
                <w:rFonts w:ascii="Arial" w:hAnsi="Arial" w:cs="Arial"/>
                <w:b/>
                <w:sz w:val="24"/>
                <w:szCs w:val="24"/>
                <w:u w:val="single"/>
              </w:rPr>
            </w:pPr>
            <w:r w:rsidRPr="00FA3F9C">
              <w:rPr>
                <w:rFonts w:ascii="Arial" w:hAnsi="Arial" w:cs="Arial"/>
                <w:b/>
                <w:sz w:val="24"/>
                <w:szCs w:val="24"/>
                <w:u w:val="single"/>
              </w:rPr>
              <w:t>MODERATE TO SEVERE ATOPIC DERMATITIS</w:t>
            </w:r>
          </w:p>
        </w:tc>
        <w:tc>
          <w:tcPr>
            <w:tcW w:w="2088" w:type="dxa"/>
            <w:shd w:val="clear" w:color="auto" w:fill="000000"/>
          </w:tcPr>
          <w:p w14:paraId="7D206327" w14:textId="77777777" w:rsidR="001506C1" w:rsidRPr="00FA3F9C" w:rsidRDefault="001506C1" w:rsidP="006F623F">
            <w:pPr>
              <w:jc w:val="center"/>
              <w:rPr>
                <w:rFonts w:ascii="Arial" w:hAnsi="Arial" w:cs="Arial"/>
                <w:b/>
                <w:sz w:val="24"/>
                <w:szCs w:val="24"/>
                <w:u w:val="single"/>
              </w:rPr>
            </w:pPr>
          </w:p>
        </w:tc>
      </w:tr>
      <w:tr w:rsidR="001506C1" w:rsidRPr="00FA3F9C" w14:paraId="1DDFE40D" w14:textId="77777777" w:rsidTr="00571CAB">
        <w:tc>
          <w:tcPr>
            <w:tcW w:w="8928" w:type="dxa"/>
            <w:shd w:val="clear" w:color="auto" w:fill="000000"/>
          </w:tcPr>
          <w:p w14:paraId="3F12BD82" w14:textId="77777777" w:rsidR="001506C1" w:rsidRPr="00FA3F9C" w:rsidRDefault="001506C1"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88" w:type="dxa"/>
            <w:shd w:val="clear" w:color="auto" w:fill="000000"/>
          </w:tcPr>
          <w:p w14:paraId="4CFCEB68" w14:textId="77777777" w:rsidR="001506C1" w:rsidRPr="00FA3F9C" w:rsidRDefault="001506C1" w:rsidP="006F623F">
            <w:pPr>
              <w:jc w:val="center"/>
              <w:rPr>
                <w:rFonts w:ascii="Arial" w:hAnsi="Arial" w:cs="Arial"/>
                <w:b/>
                <w:sz w:val="24"/>
                <w:szCs w:val="24"/>
                <w:u w:val="single"/>
              </w:rPr>
            </w:pPr>
          </w:p>
        </w:tc>
      </w:tr>
      <w:tr w:rsidR="001506C1" w:rsidRPr="00FA3F9C" w14:paraId="7C647771" w14:textId="77777777" w:rsidTr="00BA0B69">
        <w:tc>
          <w:tcPr>
            <w:tcW w:w="11016" w:type="dxa"/>
            <w:gridSpan w:val="2"/>
          </w:tcPr>
          <w:p w14:paraId="313C9673" w14:textId="77777777" w:rsidR="001506C1" w:rsidRPr="00FA3F9C" w:rsidRDefault="001506C1" w:rsidP="006F623F">
            <w:pPr>
              <w:rPr>
                <w:rFonts w:ascii="Arial" w:hAnsi="Arial" w:cs="Arial"/>
                <w:sz w:val="24"/>
                <w:szCs w:val="24"/>
              </w:rPr>
            </w:pPr>
            <w:r w:rsidRPr="00FA3F9C">
              <w:rPr>
                <w:rFonts w:ascii="Arial" w:hAnsi="Arial" w:cs="Arial"/>
                <w:sz w:val="24"/>
                <w:szCs w:val="24"/>
              </w:rPr>
              <w:t xml:space="preserve">1.  Patient must be </w:t>
            </w:r>
            <w:r w:rsidRPr="00FA3F9C">
              <w:rPr>
                <w:rFonts w:ascii="Arial" w:hAnsi="Arial" w:cs="Arial"/>
                <w:sz w:val="24"/>
                <w:szCs w:val="24"/>
                <w:u w:val="single"/>
              </w:rPr>
              <w:t>&gt;</w:t>
            </w:r>
            <w:r w:rsidRPr="00FA3F9C">
              <w:rPr>
                <w:rFonts w:ascii="Arial" w:hAnsi="Arial" w:cs="Arial"/>
                <w:sz w:val="24"/>
                <w:szCs w:val="24"/>
              </w:rPr>
              <w:t>6 years old</w:t>
            </w:r>
          </w:p>
        </w:tc>
      </w:tr>
      <w:tr w:rsidR="001506C1" w:rsidRPr="00FA3F9C" w14:paraId="033E9331" w14:textId="77777777" w:rsidTr="00BA0B69">
        <w:tc>
          <w:tcPr>
            <w:tcW w:w="11016" w:type="dxa"/>
            <w:gridSpan w:val="2"/>
          </w:tcPr>
          <w:p w14:paraId="354716B3" w14:textId="77777777" w:rsidR="001506C1" w:rsidRPr="00FA3F9C" w:rsidRDefault="001506C1" w:rsidP="00F36E23">
            <w:pPr>
              <w:rPr>
                <w:rFonts w:ascii="Arial" w:hAnsi="Arial" w:cs="Arial"/>
                <w:sz w:val="24"/>
                <w:szCs w:val="24"/>
              </w:rPr>
            </w:pPr>
            <w:r w:rsidRPr="00FA3F9C">
              <w:rPr>
                <w:rFonts w:ascii="Arial" w:hAnsi="Arial" w:cs="Arial"/>
                <w:sz w:val="24"/>
                <w:szCs w:val="24"/>
              </w:rPr>
              <w:t xml:space="preserve">2.  Patient must have tried 1 month of a high potency topical steroid and 1 month of a topical calcineurin </w:t>
            </w:r>
            <w:proofErr w:type="gramStart"/>
            <w:r w:rsidRPr="00FA3F9C">
              <w:rPr>
                <w:rFonts w:ascii="Arial" w:hAnsi="Arial" w:cs="Arial"/>
                <w:sz w:val="24"/>
                <w:szCs w:val="24"/>
              </w:rPr>
              <w:t>inhibitor, unless</w:t>
            </w:r>
            <w:proofErr w:type="gramEnd"/>
            <w:r w:rsidRPr="00FA3F9C">
              <w:rPr>
                <w:rFonts w:ascii="Arial" w:hAnsi="Arial" w:cs="Arial"/>
                <w:sz w:val="24"/>
                <w:szCs w:val="24"/>
              </w:rPr>
              <w:t xml:space="preserve"> area is on face (in which case only a topical calcineurin inhibitor should be tried for 1 month).</w:t>
            </w:r>
          </w:p>
        </w:tc>
      </w:tr>
      <w:tr w:rsidR="001506C1" w:rsidRPr="00FA3F9C" w14:paraId="58E5E5BB" w14:textId="77777777" w:rsidTr="00BA0B69">
        <w:tc>
          <w:tcPr>
            <w:tcW w:w="11016" w:type="dxa"/>
            <w:gridSpan w:val="2"/>
          </w:tcPr>
          <w:p w14:paraId="12A18131" w14:textId="77777777" w:rsidR="001506C1" w:rsidRPr="00FA3F9C" w:rsidRDefault="001506C1" w:rsidP="00F67A8C">
            <w:pPr>
              <w:rPr>
                <w:rFonts w:ascii="Arial" w:hAnsi="Arial" w:cs="Arial"/>
                <w:sz w:val="24"/>
                <w:szCs w:val="24"/>
              </w:rPr>
            </w:pPr>
            <w:r w:rsidRPr="00FA3F9C">
              <w:rPr>
                <w:rFonts w:ascii="Arial" w:hAnsi="Arial" w:cs="Arial"/>
                <w:sz w:val="24"/>
                <w:szCs w:val="24"/>
              </w:rPr>
              <w:t xml:space="preserve">3.  Patient must have the diagnosis: </w:t>
            </w:r>
            <w:r w:rsidRPr="00FA3F9C">
              <w:rPr>
                <w:rFonts w:ascii="Arial" w:hAnsi="Arial" w:cs="Arial"/>
                <w:b/>
                <w:sz w:val="24"/>
                <w:szCs w:val="24"/>
                <w:u w:val="single"/>
              </w:rPr>
              <w:t>MODERATE TO SEVERE</w:t>
            </w:r>
            <w:r w:rsidRPr="00FA3F9C">
              <w:rPr>
                <w:rFonts w:ascii="Arial" w:hAnsi="Arial" w:cs="Arial"/>
                <w:sz w:val="24"/>
                <w:szCs w:val="24"/>
              </w:rPr>
              <w:t xml:space="preserve"> as measured by dermatologist, allergist, or immunologist. </w:t>
            </w:r>
          </w:p>
        </w:tc>
      </w:tr>
      <w:tr w:rsidR="001506C1" w:rsidRPr="00FA3F9C" w14:paraId="6CE5BFA2" w14:textId="77777777" w:rsidTr="00BA0B69">
        <w:tc>
          <w:tcPr>
            <w:tcW w:w="11016" w:type="dxa"/>
            <w:gridSpan w:val="2"/>
          </w:tcPr>
          <w:p w14:paraId="06AB18DE" w14:textId="77777777" w:rsidR="001506C1" w:rsidRPr="00FA3F9C" w:rsidRDefault="001506C1" w:rsidP="006F623F">
            <w:pPr>
              <w:rPr>
                <w:rFonts w:ascii="Arial" w:hAnsi="Arial" w:cs="Arial"/>
                <w:sz w:val="24"/>
                <w:szCs w:val="24"/>
              </w:rPr>
            </w:pPr>
            <w:r w:rsidRPr="00FA3F9C">
              <w:rPr>
                <w:rFonts w:ascii="Arial" w:hAnsi="Arial" w:cs="Arial"/>
                <w:sz w:val="24"/>
                <w:szCs w:val="24"/>
              </w:rPr>
              <w:t>4.  Prescriber must be a dermatologist, allergist, or immunologist</w:t>
            </w:r>
          </w:p>
        </w:tc>
      </w:tr>
      <w:tr w:rsidR="001506C1" w:rsidRPr="00FA3F9C" w14:paraId="3D5A6612" w14:textId="77777777" w:rsidTr="00BA0B69">
        <w:tc>
          <w:tcPr>
            <w:tcW w:w="11016" w:type="dxa"/>
            <w:gridSpan w:val="2"/>
          </w:tcPr>
          <w:p w14:paraId="44F59287" w14:textId="77777777" w:rsidR="001506C1" w:rsidRPr="00FA3F9C" w:rsidRDefault="001506C1" w:rsidP="006F623F">
            <w:pPr>
              <w:rPr>
                <w:rFonts w:ascii="Arial" w:hAnsi="Arial" w:cs="Arial"/>
                <w:sz w:val="24"/>
                <w:szCs w:val="24"/>
              </w:rPr>
            </w:pPr>
            <w:r w:rsidRPr="00FA3F9C">
              <w:rPr>
                <w:rFonts w:ascii="Arial" w:hAnsi="Arial" w:cs="Arial"/>
                <w:sz w:val="24"/>
                <w:szCs w:val="24"/>
              </w:rPr>
              <w:t xml:space="preserve">Note:  The first dose is 600mg (2-300mg syringes followed by 1-300mg dose every 2 weeks. </w:t>
            </w:r>
          </w:p>
          <w:p w14:paraId="1C031572" w14:textId="77777777" w:rsidR="001506C1" w:rsidRPr="00FA3F9C" w:rsidRDefault="001506C1" w:rsidP="006F623F">
            <w:pPr>
              <w:rPr>
                <w:rFonts w:ascii="Arial" w:hAnsi="Arial" w:cs="Arial"/>
                <w:sz w:val="24"/>
                <w:szCs w:val="24"/>
              </w:rPr>
            </w:pPr>
            <w:r w:rsidRPr="00FA3F9C">
              <w:rPr>
                <w:rFonts w:ascii="Arial" w:hAnsi="Arial" w:cs="Arial"/>
                <w:sz w:val="24"/>
                <w:szCs w:val="24"/>
              </w:rPr>
              <w:lastRenderedPageBreak/>
              <w:t>PA is good for 16 weeks; assessment of efficacy should occur then.</w:t>
            </w:r>
          </w:p>
        </w:tc>
      </w:tr>
      <w:tr w:rsidR="001506C1" w:rsidRPr="00FA3F9C" w14:paraId="7A6372B5" w14:textId="77777777" w:rsidTr="00571CAB">
        <w:tc>
          <w:tcPr>
            <w:tcW w:w="8928" w:type="dxa"/>
            <w:shd w:val="clear" w:color="auto" w:fill="000000"/>
          </w:tcPr>
          <w:p w14:paraId="500A8818" w14:textId="77777777" w:rsidR="001506C1" w:rsidRPr="00FA3F9C" w:rsidRDefault="001506C1" w:rsidP="00571CAB">
            <w:pPr>
              <w:rPr>
                <w:rFonts w:ascii="Arial" w:hAnsi="Arial" w:cs="Arial"/>
                <w:b/>
                <w:sz w:val="24"/>
                <w:szCs w:val="24"/>
                <w:u w:val="single"/>
              </w:rPr>
            </w:pPr>
            <w:r w:rsidRPr="00FA3F9C">
              <w:rPr>
                <w:rFonts w:ascii="Arial" w:hAnsi="Arial" w:cs="Arial"/>
                <w:b/>
                <w:sz w:val="24"/>
                <w:szCs w:val="24"/>
                <w:u w:val="single"/>
              </w:rPr>
              <w:lastRenderedPageBreak/>
              <w:t>Criteria for continuation</w:t>
            </w:r>
          </w:p>
        </w:tc>
        <w:tc>
          <w:tcPr>
            <w:tcW w:w="2088" w:type="dxa"/>
            <w:shd w:val="clear" w:color="auto" w:fill="000000"/>
          </w:tcPr>
          <w:p w14:paraId="3F13EC77" w14:textId="77777777" w:rsidR="001506C1" w:rsidRPr="00FA3F9C" w:rsidRDefault="001506C1" w:rsidP="00571CAB">
            <w:pPr>
              <w:jc w:val="center"/>
              <w:rPr>
                <w:rFonts w:ascii="Arial" w:hAnsi="Arial" w:cs="Arial"/>
                <w:b/>
                <w:sz w:val="24"/>
                <w:szCs w:val="24"/>
                <w:u w:val="single"/>
              </w:rPr>
            </w:pPr>
          </w:p>
        </w:tc>
      </w:tr>
      <w:tr w:rsidR="001506C1" w:rsidRPr="00FA3F9C" w14:paraId="006C18DC" w14:textId="77777777" w:rsidTr="00BA0B69">
        <w:tc>
          <w:tcPr>
            <w:tcW w:w="11016" w:type="dxa"/>
            <w:gridSpan w:val="2"/>
          </w:tcPr>
          <w:p w14:paraId="54349605" w14:textId="77777777" w:rsidR="001506C1" w:rsidRPr="00FA3F9C" w:rsidRDefault="001506C1" w:rsidP="00571CAB">
            <w:pPr>
              <w:rPr>
                <w:rFonts w:ascii="Arial" w:hAnsi="Arial" w:cs="Arial"/>
                <w:sz w:val="24"/>
                <w:szCs w:val="24"/>
              </w:rPr>
            </w:pPr>
            <w:r w:rsidRPr="00FA3F9C">
              <w:rPr>
                <w:rFonts w:ascii="Arial" w:hAnsi="Arial" w:cs="Arial"/>
                <w:sz w:val="24"/>
                <w:szCs w:val="24"/>
              </w:rPr>
              <w:t>1.  Patient must be adherent to the q2w dosing</w:t>
            </w:r>
          </w:p>
        </w:tc>
      </w:tr>
      <w:tr w:rsidR="001506C1" w:rsidRPr="00FA3F9C" w14:paraId="4AE8C608" w14:textId="77777777" w:rsidTr="00BA0B69">
        <w:tc>
          <w:tcPr>
            <w:tcW w:w="11016" w:type="dxa"/>
            <w:gridSpan w:val="2"/>
          </w:tcPr>
          <w:p w14:paraId="4E0257A2" w14:textId="77777777" w:rsidR="001506C1" w:rsidRPr="00FA3F9C" w:rsidRDefault="001506C1" w:rsidP="00571CAB">
            <w:pPr>
              <w:rPr>
                <w:rFonts w:ascii="Arial" w:hAnsi="Arial" w:cs="Arial"/>
                <w:sz w:val="24"/>
                <w:szCs w:val="24"/>
              </w:rPr>
            </w:pPr>
            <w:r w:rsidRPr="00FA3F9C">
              <w:rPr>
                <w:rFonts w:ascii="Arial" w:hAnsi="Arial" w:cs="Arial"/>
                <w:sz w:val="24"/>
                <w:szCs w:val="24"/>
              </w:rPr>
              <w:t>2.  Patient must have experienced an improvement in symptoms.  The physician must have documented this improvement.</w:t>
            </w:r>
          </w:p>
        </w:tc>
      </w:tr>
      <w:tr w:rsidR="001506C1" w:rsidRPr="00FA3F9C" w14:paraId="6ADD78F8" w14:textId="77777777" w:rsidTr="00BA0B69">
        <w:tc>
          <w:tcPr>
            <w:tcW w:w="11016" w:type="dxa"/>
            <w:gridSpan w:val="2"/>
          </w:tcPr>
          <w:p w14:paraId="5F020097" w14:textId="77777777" w:rsidR="001506C1" w:rsidRPr="00FA3F9C" w:rsidRDefault="001506C1" w:rsidP="00571CAB">
            <w:pPr>
              <w:rPr>
                <w:rFonts w:ascii="Arial" w:hAnsi="Arial" w:cs="Arial"/>
                <w:sz w:val="24"/>
                <w:szCs w:val="24"/>
              </w:rPr>
            </w:pPr>
            <w:r w:rsidRPr="00FA3F9C">
              <w:rPr>
                <w:rFonts w:ascii="Arial" w:hAnsi="Arial" w:cs="Arial"/>
                <w:sz w:val="24"/>
                <w:szCs w:val="24"/>
              </w:rPr>
              <w:t>Note:  if both are satisfied, approve PA for 1 year.</w:t>
            </w:r>
          </w:p>
        </w:tc>
      </w:tr>
    </w:tbl>
    <w:p w14:paraId="4D76B34F"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Quantity Limits: 1 SC injection every 2 weeks (except for the 600mg [2-300mg syringes] first dose).</w:t>
      </w:r>
    </w:p>
    <w:p w14:paraId="5DC9C938" w14:textId="77777777" w:rsidR="001506C1" w:rsidRPr="00FA3F9C" w:rsidRDefault="001506C1" w:rsidP="002B4B42">
      <w:pPr>
        <w:spacing w:after="0"/>
        <w:ind w:left="720"/>
        <w:rPr>
          <w:rFonts w:ascii="Arial" w:hAnsi="Arial" w:cs="Arial"/>
          <w:sz w:val="24"/>
          <w:szCs w:val="24"/>
        </w:rPr>
      </w:pPr>
      <w:r w:rsidRPr="00FA3F9C">
        <w:rPr>
          <w:rFonts w:ascii="Arial" w:hAnsi="Arial" w:cs="Arial"/>
          <w:sz w:val="24"/>
          <w:szCs w:val="24"/>
        </w:rPr>
        <w:t>References:</w:t>
      </w:r>
    </w:p>
    <w:p w14:paraId="21395C49" w14:textId="77777777" w:rsidR="001506C1" w:rsidRPr="00FA3F9C" w:rsidRDefault="001506C1" w:rsidP="002B4B42">
      <w:pPr>
        <w:ind w:left="720"/>
        <w:rPr>
          <w:rFonts w:ascii="Arial" w:eastAsia="Times New Roman" w:hAnsi="Arial" w:cs="Arial"/>
          <w:sz w:val="24"/>
          <w:szCs w:val="24"/>
        </w:rPr>
      </w:pPr>
      <w:r w:rsidRPr="00FA3F9C">
        <w:rPr>
          <w:rFonts w:ascii="Arial" w:hAnsi="Arial" w:cs="Arial"/>
          <w:sz w:val="24"/>
          <w:szCs w:val="24"/>
        </w:rPr>
        <w:t xml:space="preserve">1.  </w:t>
      </w:r>
      <w:r w:rsidRPr="00FA3F9C">
        <w:rPr>
          <w:rFonts w:ascii="Arial" w:eastAsia="Times New Roman" w:hAnsi="Arial" w:cs="Arial"/>
          <w:color w:val="222222"/>
          <w:sz w:val="24"/>
          <w:szCs w:val="24"/>
          <w:shd w:val="clear" w:color="auto" w:fill="FFFFFF"/>
        </w:rPr>
        <w:t>Simpson, Eric L., et al. "Two phase 3 trials of Dupilumab versus placebo in atopic dermatitis." </w:t>
      </w:r>
      <w:r w:rsidRPr="00FA3F9C">
        <w:rPr>
          <w:rFonts w:ascii="Arial" w:eastAsia="Times New Roman" w:hAnsi="Arial" w:cs="Arial"/>
          <w:i/>
          <w:iCs/>
          <w:color w:val="222222"/>
          <w:sz w:val="24"/>
          <w:szCs w:val="24"/>
          <w:shd w:val="clear" w:color="auto" w:fill="FFFFFF"/>
        </w:rPr>
        <w:t>NEJM</w:t>
      </w:r>
      <w:r w:rsidRPr="00FA3F9C">
        <w:rPr>
          <w:rFonts w:ascii="Arial" w:eastAsia="Times New Roman" w:hAnsi="Arial" w:cs="Arial"/>
          <w:color w:val="222222"/>
          <w:sz w:val="24"/>
          <w:szCs w:val="24"/>
          <w:shd w:val="clear" w:color="auto" w:fill="FFFFFF"/>
        </w:rPr>
        <w:t> 375.24 (2016): 2335-2348.</w:t>
      </w:r>
    </w:p>
    <w:tbl>
      <w:tblPr>
        <w:tblStyle w:val="TableGrid"/>
        <w:tblW w:w="0" w:type="auto"/>
        <w:tblLook w:val="04A0" w:firstRow="1" w:lastRow="0" w:firstColumn="1" w:lastColumn="0" w:noHBand="0" w:noVBand="1"/>
      </w:tblPr>
      <w:tblGrid>
        <w:gridCol w:w="8748"/>
        <w:gridCol w:w="2042"/>
      </w:tblGrid>
      <w:tr w:rsidR="001506C1" w:rsidRPr="00FA3F9C" w14:paraId="1D623773" w14:textId="77777777" w:rsidTr="002B4B42">
        <w:tc>
          <w:tcPr>
            <w:tcW w:w="8748" w:type="dxa"/>
            <w:shd w:val="clear" w:color="auto" w:fill="000000"/>
          </w:tcPr>
          <w:p w14:paraId="3096286C" w14:textId="77777777" w:rsidR="001506C1" w:rsidRPr="00FA3F9C" w:rsidRDefault="001506C1" w:rsidP="00C71405">
            <w:pPr>
              <w:rPr>
                <w:rFonts w:ascii="Arial" w:hAnsi="Arial" w:cs="Arial"/>
                <w:b/>
                <w:sz w:val="24"/>
                <w:szCs w:val="24"/>
                <w:u w:val="single"/>
              </w:rPr>
            </w:pPr>
            <w:r w:rsidRPr="00FA3F9C">
              <w:rPr>
                <w:rFonts w:ascii="Arial" w:hAnsi="Arial" w:cs="Arial"/>
                <w:b/>
                <w:sz w:val="24"/>
                <w:szCs w:val="24"/>
                <w:u w:val="single"/>
              </w:rPr>
              <w:t>MODERATE TO SEVERE ASTHMA, AS ADD-ON MAINTENANCE TREATMENT</w:t>
            </w:r>
          </w:p>
        </w:tc>
        <w:tc>
          <w:tcPr>
            <w:tcW w:w="2042" w:type="dxa"/>
            <w:shd w:val="clear" w:color="auto" w:fill="000000"/>
          </w:tcPr>
          <w:p w14:paraId="0B999127" w14:textId="77777777" w:rsidR="001506C1" w:rsidRPr="00FA3F9C" w:rsidRDefault="001506C1" w:rsidP="00C71405">
            <w:pPr>
              <w:jc w:val="center"/>
              <w:rPr>
                <w:rFonts w:ascii="Arial" w:hAnsi="Arial" w:cs="Arial"/>
                <w:b/>
                <w:sz w:val="24"/>
                <w:szCs w:val="24"/>
                <w:u w:val="single"/>
              </w:rPr>
            </w:pPr>
          </w:p>
        </w:tc>
      </w:tr>
      <w:tr w:rsidR="001506C1" w:rsidRPr="00FA3F9C" w14:paraId="5C933B94" w14:textId="77777777" w:rsidTr="002B4B42">
        <w:tc>
          <w:tcPr>
            <w:tcW w:w="8748" w:type="dxa"/>
            <w:shd w:val="clear" w:color="auto" w:fill="000000"/>
          </w:tcPr>
          <w:p w14:paraId="5BF5E5AE" w14:textId="77777777" w:rsidR="001506C1" w:rsidRPr="00FA3F9C" w:rsidRDefault="001506C1" w:rsidP="00C71405">
            <w:pPr>
              <w:rPr>
                <w:rFonts w:ascii="Arial" w:hAnsi="Arial" w:cs="Arial"/>
                <w:b/>
                <w:sz w:val="24"/>
                <w:szCs w:val="24"/>
                <w:u w:val="single"/>
              </w:rPr>
            </w:pPr>
            <w:r w:rsidRPr="00FA3F9C">
              <w:rPr>
                <w:rFonts w:ascii="Arial" w:hAnsi="Arial" w:cs="Arial"/>
                <w:b/>
                <w:sz w:val="24"/>
                <w:szCs w:val="24"/>
                <w:u w:val="single"/>
              </w:rPr>
              <w:t>Criteria for new users</w:t>
            </w:r>
          </w:p>
        </w:tc>
        <w:tc>
          <w:tcPr>
            <w:tcW w:w="2042" w:type="dxa"/>
            <w:shd w:val="clear" w:color="auto" w:fill="000000"/>
          </w:tcPr>
          <w:p w14:paraId="0379392E" w14:textId="77777777" w:rsidR="001506C1" w:rsidRPr="00FA3F9C" w:rsidRDefault="001506C1" w:rsidP="00C71405">
            <w:pPr>
              <w:jc w:val="center"/>
              <w:rPr>
                <w:rFonts w:ascii="Arial" w:hAnsi="Arial" w:cs="Arial"/>
                <w:b/>
                <w:sz w:val="24"/>
                <w:szCs w:val="24"/>
                <w:u w:val="single"/>
              </w:rPr>
            </w:pPr>
          </w:p>
        </w:tc>
      </w:tr>
      <w:tr w:rsidR="001506C1" w:rsidRPr="00FA3F9C" w14:paraId="11A56342" w14:textId="77777777" w:rsidTr="002B4B42">
        <w:tc>
          <w:tcPr>
            <w:tcW w:w="10790" w:type="dxa"/>
            <w:gridSpan w:val="2"/>
          </w:tcPr>
          <w:p w14:paraId="17617A81" w14:textId="77777777" w:rsidR="001506C1" w:rsidRPr="00FA3F9C" w:rsidRDefault="001506C1" w:rsidP="00C71405">
            <w:pPr>
              <w:rPr>
                <w:rFonts w:ascii="Arial" w:hAnsi="Arial" w:cs="Arial"/>
                <w:sz w:val="24"/>
                <w:szCs w:val="24"/>
              </w:rPr>
            </w:pPr>
            <w:r w:rsidRPr="00FA3F9C">
              <w:rPr>
                <w:rFonts w:ascii="Arial" w:hAnsi="Arial" w:cs="Arial"/>
                <w:sz w:val="24"/>
                <w:szCs w:val="24"/>
              </w:rPr>
              <w:t xml:space="preserve">1.  Patient must be </w:t>
            </w:r>
            <w:r w:rsidRPr="00FA3F9C">
              <w:rPr>
                <w:rFonts w:ascii="Arial" w:hAnsi="Arial" w:cs="Arial"/>
                <w:sz w:val="24"/>
                <w:szCs w:val="24"/>
                <w:u w:val="single"/>
              </w:rPr>
              <w:t>&gt;</w:t>
            </w:r>
            <w:r w:rsidRPr="00FA3F9C">
              <w:rPr>
                <w:rFonts w:ascii="Arial" w:hAnsi="Arial" w:cs="Arial"/>
                <w:sz w:val="24"/>
                <w:szCs w:val="24"/>
              </w:rPr>
              <w:t>12 years old</w:t>
            </w:r>
          </w:p>
        </w:tc>
      </w:tr>
      <w:tr w:rsidR="001506C1" w:rsidRPr="00FA3F9C" w14:paraId="2EB7A52D" w14:textId="77777777" w:rsidTr="002B4B42">
        <w:tc>
          <w:tcPr>
            <w:tcW w:w="10790" w:type="dxa"/>
            <w:gridSpan w:val="2"/>
          </w:tcPr>
          <w:p w14:paraId="10DD9DE4" w14:textId="77777777" w:rsidR="001506C1" w:rsidRPr="00FA3F9C" w:rsidRDefault="001506C1" w:rsidP="00C71405">
            <w:pPr>
              <w:rPr>
                <w:rFonts w:ascii="Arial" w:hAnsi="Arial" w:cs="Arial"/>
                <w:sz w:val="24"/>
                <w:szCs w:val="24"/>
              </w:rPr>
            </w:pPr>
            <w:r w:rsidRPr="00FA3F9C">
              <w:rPr>
                <w:rFonts w:ascii="Arial" w:hAnsi="Arial" w:cs="Arial"/>
                <w:sz w:val="24"/>
                <w:szCs w:val="24"/>
              </w:rPr>
              <w:t>2.  Patient must currently have on their profile:</w:t>
            </w:r>
          </w:p>
          <w:p w14:paraId="20FEEF2C" w14:textId="77777777" w:rsidR="001506C1" w:rsidRPr="00FA3F9C" w:rsidRDefault="001506C1" w:rsidP="001506C1">
            <w:pPr>
              <w:pStyle w:val="ListParagraph"/>
              <w:numPr>
                <w:ilvl w:val="0"/>
                <w:numId w:val="142"/>
              </w:numPr>
              <w:rPr>
                <w:rFonts w:ascii="Arial" w:hAnsi="Arial" w:cs="Arial"/>
                <w:sz w:val="24"/>
                <w:szCs w:val="24"/>
              </w:rPr>
            </w:pPr>
            <w:r w:rsidRPr="00FA3F9C">
              <w:rPr>
                <w:rFonts w:ascii="Arial" w:hAnsi="Arial" w:cs="Arial"/>
                <w:sz w:val="24"/>
                <w:szCs w:val="24"/>
              </w:rPr>
              <w:t xml:space="preserve">an inhaled corticosteroid (medium-high-dose, fluticasone propionate at a total daily dose of </w:t>
            </w:r>
            <w:r w:rsidRPr="00FA3F9C">
              <w:rPr>
                <w:rFonts w:ascii="Arial" w:hAnsi="Arial" w:cs="Arial"/>
                <w:sz w:val="24"/>
                <w:szCs w:val="24"/>
                <w:u w:val="single"/>
              </w:rPr>
              <w:t>&gt;</w:t>
            </w:r>
            <w:r w:rsidRPr="00FA3F9C">
              <w:rPr>
                <w:rFonts w:ascii="Arial" w:hAnsi="Arial" w:cs="Arial"/>
                <w:sz w:val="24"/>
                <w:szCs w:val="24"/>
              </w:rPr>
              <w:t xml:space="preserve">500ug or equipotent equivalent, for at least 3 months and with a stable dose for at least 1 month prior to first request of dupilumab), </w:t>
            </w:r>
          </w:p>
          <w:p w14:paraId="6F2A3F6D" w14:textId="77777777" w:rsidR="001506C1" w:rsidRPr="00FA3F9C" w:rsidRDefault="001506C1" w:rsidP="001506C1">
            <w:pPr>
              <w:pStyle w:val="ListParagraph"/>
              <w:numPr>
                <w:ilvl w:val="0"/>
                <w:numId w:val="142"/>
              </w:numPr>
              <w:rPr>
                <w:rFonts w:ascii="Arial" w:hAnsi="Arial" w:cs="Arial"/>
                <w:sz w:val="24"/>
                <w:szCs w:val="24"/>
              </w:rPr>
            </w:pPr>
            <w:r w:rsidRPr="00FA3F9C">
              <w:rPr>
                <w:rFonts w:ascii="Arial" w:hAnsi="Arial" w:cs="Arial"/>
                <w:sz w:val="24"/>
                <w:szCs w:val="24"/>
              </w:rPr>
              <w:t xml:space="preserve">a long-acting beta agonist, </w:t>
            </w:r>
          </w:p>
          <w:p w14:paraId="42D02DA3" w14:textId="77777777" w:rsidR="001506C1" w:rsidRPr="00FA3F9C" w:rsidRDefault="001506C1" w:rsidP="001506C1">
            <w:pPr>
              <w:pStyle w:val="ListParagraph"/>
              <w:numPr>
                <w:ilvl w:val="0"/>
                <w:numId w:val="142"/>
              </w:numPr>
              <w:rPr>
                <w:rFonts w:ascii="Arial" w:hAnsi="Arial" w:cs="Arial"/>
                <w:sz w:val="24"/>
                <w:szCs w:val="24"/>
              </w:rPr>
            </w:pPr>
            <w:r w:rsidRPr="00FA3F9C">
              <w:rPr>
                <w:rFonts w:ascii="Arial" w:hAnsi="Arial" w:cs="Arial"/>
                <w:sz w:val="24"/>
                <w:szCs w:val="24"/>
              </w:rPr>
              <w:t xml:space="preserve">and an inhaled </w:t>
            </w:r>
            <w:proofErr w:type="gramStart"/>
            <w:r w:rsidRPr="00FA3F9C">
              <w:rPr>
                <w:rFonts w:ascii="Arial" w:hAnsi="Arial" w:cs="Arial"/>
                <w:sz w:val="24"/>
                <w:szCs w:val="24"/>
              </w:rPr>
              <w:t>long acting</w:t>
            </w:r>
            <w:proofErr w:type="gramEnd"/>
            <w:r w:rsidRPr="00FA3F9C">
              <w:rPr>
                <w:rFonts w:ascii="Arial" w:hAnsi="Arial" w:cs="Arial"/>
                <w:sz w:val="24"/>
                <w:szCs w:val="24"/>
              </w:rPr>
              <w:t xml:space="preserve"> muscarinic agonist (LAMA) for the previous 4 months.  May have montelukast in place of LAMA.  </w:t>
            </w:r>
          </w:p>
          <w:p w14:paraId="47739590" w14:textId="77777777" w:rsidR="001506C1" w:rsidRPr="00FA3F9C" w:rsidRDefault="001506C1" w:rsidP="00C71405">
            <w:pPr>
              <w:rPr>
                <w:rFonts w:ascii="Arial" w:hAnsi="Arial" w:cs="Arial"/>
                <w:sz w:val="24"/>
                <w:szCs w:val="24"/>
              </w:rPr>
            </w:pPr>
            <w:r w:rsidRPr="00FA3F9C">
              <w:rPr>
                <w:rFonts w:ascii="Arial" w:hAnsi="Arial" w:cs="Arial"/>
                <w:sz w:val="24"/>
                <w:szCs w:val="24"/>
              </w:rPr>
              <w:t>OR</w:t>
            </w:r>
          </w:p>
          <w:p w14:paraId="383D9CDD" w14:textId="77777777" w:rsidR="001506C1" w:rsidRPr="00FA3F9C" w:rsidRDefault="001506C1" w:rsidP="00C71405">
            <w:pPr>
              <w:rPr>
                <w:rFonts w:ascii="Arial" w:hAnsi="Arial" w:cs="Arial"/>
                <w:sz w:val="24"/>
                <w:szCs w:val="24"/>
              </w:rPr>
            </w:pPr>
            <w:r w:rsidRPr="00FA3F9C">
              <w:rPr>
                <w:rFonts w:ascii="Arial" w:hAnsi="Arial" w:cs="Arial"/>
                <w:sz w:val="24"/>
                <w:szCs w:val="24"/>
              </w:rPr>
              <w:t xml:space="preserve">The patient must be dependent on chronic oral corticosteroids (defined as being on oral steroids </w:t>
            </w:r>
            <w:r w:rsidRPr="00FA3F9C">
              <w:rPr>
                <w:rFonts w:ascii="Arial" w:hAnsi="Arial" w:cs="Arial"/>
                <w:sz w:val="24"/>
                <w:szCs w:val="24"/>
                <w:u w:val="single"/>
              </w:rPr>
              <w:t>&gt;</w:t>
            </w:r>
            <w:r w:rsidRPr="00FA3F9C">
              <w:rPr>
                <w:rFonts w:ascii="Arial" w:hAnsi="Arial" w:cs="Arial"/>
                <w:sz w:val="24"/>
                <w:szCs w:val="24"/>
              </w:rPr>
              <w:t xml:space="preserve">50% of the year)  </w:t>
            </w:r>
          </w:p>
        </w:tc>
      </w:tr>
      <w:tr w:rsidR="001506C1" w:rsidRPr="00FA3F9C" w14:paraId="33E9D478" w14:textId="77777777" w:rsidTr="002B4B42">
        <w:tc>
          <w:tcPr>
            <w:tcW w:w="10790" w:type="dxa"/>
            <w:gridSpan w:val="2"/>
          </w:tcPr>
          <w:p w14:paraId="56486F7C" w14:textId="77777777" w:rsidR="001506C1" w:rsidRPr="00FA3F9C" w:rsidRDefault="001506C1" w:rsidP="00C71405">
            <w:pPr>
              <w:rPr>
                <w:rFonts w:ascii="Arial" w:hAnsi="Arial" w:cs="Arial"/>
                <w:sz w:val="24"/>
                <w:szCs w:val="24"/>
              </w:rPr>
            </w:pPr>
            <w:r w:rsidRPr="00FA3F9C">
              <w:rPr>
                <w:rFonts w:ascii="Arial" w:hAnsi="Arial" w:cs="Arial"/>
                <w:sz w:val="24"/>
                <w:szCs w:val="24"/>
              </w:rPr>
              <w:t>3. The patient must have a blood eosinophil count of &gt;150 cells/mm3 at baseline.</w:t>
            </w:r>
          </w:p>
        </w:tc>
      </w:tr>
      <w:tr w:rsidR="001506C1" w:rsidRPr="00FA3F9C" w14:paraId="70DE9188" w14:textId="77777777" w:rsidTr="002B4B42">
        <w:tc>
          <w:tcPr>
            <w:tcW w:w="10790" w:type="dxa"/>
            <w:gridSpan w:val="2"/>
          </w:tcPr>
          <w:p w14:paraId="2C88D311" w14:textId="77777777" w:rsidR="001506C1" w:rsidRPr="00FA3F9C" w:rsidRDefault="001506C1" w:rsidP="00C71405">
            <w:pPr>
              <w:rPr>
                <w:rFonts w:ascii="Arial" w:hAnsi="Arial" w:cs="Arial"/>
                <w:sz w:val="24"/>
                <w:szCs w:val="24"/>
              </w:rPr>
            </w:pPr>
            <w:r w:rsidRPr="00FA3F9C">
              <w:rPr>
                <w:rFonts w:ascii="Arial" w:hAnsi="Arial" w:cs="Arial"/>
                <w:sz w:val="24"/>
                <w:szCs w:val="24"/>
              </w:rPr>
              <w:t>4. Prior to the first dupilumab request, the patient MUST have experienced, within 1 year prior to first request, any of the following:</w:t>
            </w:r>
          </w:p>
          <w:p w14:paraId="1815F3FE" w14:textId="77777777" w:rsidR="001506C1" w:rsidRPr="00FA3F9C" w:rsidRDefault="001506C1" w:rsidP="001506C1">
            <w:pPr>
              <w:pStyle w:val="ListParagraph"/>
              <w:numPr>
                <w:ilvl w:val="0"/>
                <w:numId w:val="143"/>
              </w:numPr>
              <w:rPr>
                <w:rFonts w:ascii="Arial" w:hAnsi="Arial" w:cs="Arial"/>
                <w:sz w:val="24"/>
                <w:szCs w:val="24"/>
              </w:rPr>
            </w:pPr>
            <w:r w:rsidRPr="00FA3F9C">
              <w:rPr>
                <w:rFonts w:ascii="Arial" w:hAnsi="Arial" w:cs="Arial"/>
                <w:sz w:val="24"/>
                <w:szCs w:val="24"/>
              </w:rPr>
              <w:t>treatment with a systemic steroid (oral or parenteral) for worsening asthma at least once</w:t>
            </w:r>
          </w:p>
          <w:p w14:paraId="1D3E0F52" w14:textId="77777777" w:rsidR="001506C1" w:rsidRPr="00FA3F9C" w:rsidRDefault="001506C1" w:rsidP="001506C1">
            <w:pPr>
              <w:pStyle w:val="ListParagraph"/>
              <w:numPr>
                <w:ilvl w:val="0"/>
                <w:numId w:val="143"/>
              </w:numPr>
              <w:rPr>
                <w:rFonts w:ascii="Arial" w:hAnsi="Arial" w:cs="Arial"/>
                <w:sz w:val="24"/>
                <w:szCs w:val="24"/>
              </w:rPr>
            </w:pPr>
            <w:r w:rsidRPr="00FA3F9C">
              <w:rPr>
                <w:rFonts w:ascii="Arial" w:hAnsi="Arial" w:cs="Arial"/>
                <w:sz w:val="24"/>
                <w:szCs w:val="24"/>
              </w:rPr>
              <w:t>Hospitalization or emergency medical care visit for worsening asthma</w:t>
            </w:r>
          </w:p>
        </w:tc>
      </w:tr>
      <w:tr w:rsidR="001506C1" w:rsidRPr="00FA3F9C" w14:paraId="06388DDF" w14:textId="77777777" w:rsidTr="002B4B42">
        <w:tc>
          <w:tcPr>
            <w:tcW w:w="10790" w:type="dxa"/>
            <w:gridSpan w:val="2"/>
          </w:tcPr>
          <w:p w14:paraId="2581F8F5" w14:textId="77777777" w:rsidR="001506C1" w:rsidRPr="00FA3F9C" w:rsidRDefault="001506C1" w:rsidP="00C71405">
            <w:pPr>
              <w:rPr>
                <w:rFonts w:ascii="Arial" w:hAnsi="Arial" w:cs="Arial"/>
                <w:sz w:val="24"/>
                <w:szCs w:val="24"/>
              </w:rPr>
            </w:pPr>
            <w:r w:rsidRPr="00FA3F9C">
              <w:rPr>
                <w:rFonts w:ascii="Arial" w:hAnsi="Arial" w:cs="Arial"/>
                <w:sz w:val="24"/>
                <w:szCs w:val="24"/>
              </w:rPr>
              <w:t xml:space="preserve">5.  Patient must have the diagnosis: </w:t>
            </w:r>
            <w:r w:rsidRPr="00FA3F9C">
              <w:rPr>
                <w:rFonts w:ascii="Arial" w:hAnsi="Arial" w:cs="Arial"/>
                <w:b/>
                <w:bCs/>
                <w:sz w:val="24"/>
                <w:szCs w:val="24"/>
              </w:rPr>
              <w:t xml:space="preserve">Moderate to </w:t>
            </w:r>
            <w:r w:rsidRPr="00FA3F9C">
              <w:rPr>
                <w:rFonts w:ascii="Arial" w:hAnsi="Arial" w:cs="Arial"/>
                <w:b/>
                <w:bCs/>
                <w:sz w:val="24"/>
                <w:szCs w:val="24"/>
                <w:u w:val="single"/>
              </w:rPr>
              <w:t>SEVERE</w:t>
            </w:r>
            <w:r w:rsidRPr="00FA3F9C">
              <w:rPr>
                <w:rFonts w:ascii="Arial" w:hAnsi="Arial" w:cs="Arial"/>
                <w:sz w:val="24"/>
                <w:szCs w:val="24"/>
              </w:rPr>
              <w:t xml:space="preserve"> asthma with an eosinophilic phenotype and still be symptomatic.  </w:t>
            </w:r>
          </w:p>
        </w:tc>
      </w:tr>
      <w:tr w:rsidR="001506C1" w:rsidRPr="00FA3F9C" w14:paraId="2B1BADD5" w14:textId="77777777" w:rsidTr="002B4B42">
        <w:tc>
          <w:tcPr>
            <w:tcW w:w="10790" w:type="dxa"/>
            <w:gridSpan w:val="2"/>
          </w:tcPr>
          <w:p w14:paraId="42A766B3" w14:textId="77777777" w:rsidR="001506C1" w:rsidRPr="00FA3F9C" w:rsidRDefault="001506C1" w:rsidP="00C71405">
            <w:pPr>
              <w:rPr>
                <w:rFonts w:ascii="Arial" w:hAnsi="Arial" w:cs="Arial"/>
                <w:sz w:val="24"/>
                <w:szCs w:val="24"/>
              </w:rPr>
            </w:pPr>
            <w:r w:rsidRPr="00FA3F9C">
              <w:rPr>
                <w:rFonts w:ascii="Arial" w:hAnsi="Arial" w:cs="Arial"/>
                <w:sz w:val="24"/>
                <w:szCs w:val="24"/>
              </w:rPr>
              <w:t>6.  Prescriber must be an allergist, immunologist, or pulmonologist.</w:t>
            </w:r>
          </w:p>
        </w:tc>
      </w:tr>
      <w:tr w:rsidR="001506C1" w:rsidRPr="00FA3F9C" w14:paraId="75563233" w14:textId="77777777" w:rsidTr="002B4B42">
        <w:tc>
          <w:tcPr>
            <w:tcW w:w="10790" w:type="dxa"/>
            <w:gridSpan w:val="2"/>
          </w:tcPr>
          <w:p w14:paraId="5FE87ED2" w14:textId="77777777" w:rsidR="001506C1" w:rsidRPr="00FA3F9C" w:rsidRDefault="001506C1" w:rsidP="00C71405">
            <w:pPr>
              <w:rPr>
                <w:rFonts w:ascii="Arial" w:hAnsi="Arial" w:cs="Arial"/>
                <w:sz w:val="24"/>
                <w:szCs w:val="24"/>
              </w:rPr>
            </w:pPr>
            <w:r w:rsidRPr="00FA3F9C">
              <w:rPr>
                <w:rFonts w:ascii="Arial" w:hAnsi="Arial" w:cs="Arial"/>
                <w:sz w:val="24"/>
                <w:szCs w:val="24"/>
              </w:rPr>
              <w:lastRenderedPageBreak/>
              <w:t>7. The patient must be a non-smoker.</w:t>
            </w:r>
          </w:p>
        </w:tc>
      </w:tr>
      <w:tr w:rsidR="001506C1" w:rsidRPr="00FA3F9C" w14:paraId="1394CDE3" w14:textId="77777777" w:rsidTr="002B4B42">
        <w:tc>
          <w:tcPr>
            <w:tcW w:w="10790" w:type="dxa"/>
            <w:gridSpan w:val="2"/>
          </w:tcPr>
          <w:p w14:paraId="06D0CEA9" w14:textId="77777777" w:rsidR="001506C1" w:rsidRPr="00FA3F9C" w:rsidRDefault="001506C1" w:rsidP="00C71405">
            <w:pPr>
              <w:rPr>
                <w:rFonts w:ascii="Arial" w:hAnsi="Arial" w:cs="Arial"/>
                <w:sz w:val="24"/>
                <w:szCs w:val="24"/>
              </w:rPr>
            </w:pPr>
            <w:r w:rsidRPr="00FA3F9C">
              <w:rPr>
                <w:rFonts w:ascii="Arial" w:hAnsi="Arial" w:cs="Arial"/>
                <w:sz w:val="24"/>
                <w:szCs w:val="24"/>
              </w:rPr>
              <w:t>8.  The patient must have an FEV1 &lt;80% of predicted (or &lt;90% of predicted for adolescents).</w:t>
            </w:r>
          </w:p>
        </w:tc>
      </w:tr>
      <w:tr w:rsidR="001506C1" w:rsidRPr="00FA3F9C" w14:paraId="1B24E0D5" w14:textId="77777777" w:rsidTr="002B4B42">
        <w:tc>
          <w:tcPr>
            <w:tcW w:w="10790" w:type="dxa"/>
            <w:gridSpan w:val="2"/>
          </w:tcPr>
          <w:p w14:paraId="4EAB428C" w14:textId="77777777" w:rsidR="001506C1" w:rsidRPr="00FA3F9C" w:rsidRDefault="001506C1" w:rsidP="00C71405">
            <w:pPr>
              <w:rPr>
                <w:rFonts w:ascii="Arial" w:hAnsi="Arial" w:cs="Arial"/>
                <w:sz w:val="24"/>
                <w:szCs w:val="24"/>
              </w:rPr>
            </w:pPr>
            <w:r w:rsidRPr="00FA3F9C">
              <w:rPr>
                <w:rFonts w:ascii="Arial" w:hAnsi="Arial" w:cs="Arial"/>
                <w:sz w:val="24"/>
                <w:szCs w:val="24"/>
              </w:rPr>
              <w:t xml:space="preserve">9. The patient is not currently being treated with omalizumab, mepolizumab, </w:t>
            </w:r>
            <w:proofErr w:type="spellStart"/>
            <w:r w:rsidRPr="00FA3F9C">
              <w:rPr>
                <w:rFonts w:ascii="Arial" w:hAnsi="Arial" w:cs="Arial"/>
                <w:sz w:val="24"/>
                <w:szCs w:val="24"/>
              </w:rPr>
              <w:t>reslizumab</w:t>
            </w:r>
            <w:proofErr w:type="spellEnd"/>
            <w:r w:rsidRPr="00FA3F9C">
              <w:rPr>
                <w:rFonts w:ascii="Arial" w:hAnsi="Arial" w:cs="Arial"/>
                <w:sz w:val="24"/>
                <w:szCs w:val="24"/>
              </w:rPr>
              <w:t xml:space="preserve">, or </w:t>
            </w:r>
            <w:proofErr w:type="spellStart"/>
            <w:r w:rsidRPr="00FA3F9C">
              <w:rPr>
                <w:rFonts w:ascii="Arial" w:hAnsi="Arial" w:cs="Arial"/>
                <w:sz w:val="24"/>
                <w:szCs w:val="24"/>
              </w:rPr>
              <w:t>benralizumab</w:t>
            </w:r>
            <w:proofErr w:type="spellEnd"/>
            <w:r w:rsidRPr="00FA3F9C">
              <w:rPr>
                <w:rFonts w:ascii="Arial" w:hAnsi="Arial" w:cs="Arial"/>
                <w:sz w:val="24"/>
                <w:szCs w:val="24"/>
              </w:rPr>
              <w:t>.</w:t>
            </w:r>
          </w:p>
        </w:tc>
      </w:tr>
      <w:tr w:rsidR="001506C1" w:rsidRPr="00FA3F9C" w14:paraId="7F0DEE3D" w14:textId="77777777" w:rsidTr="002B4B42">
        <w:tc>
          <w:tcPr>
            <w:tcW w:w="10790" w:type="dxa"/>
            <w:gridSpan w:val="2"/>
          </w:tcPr>
          <w:p w14:paraId="70D21B66" w14:textId="77777777" w:rsidR="001506C1" w:rsidRPr="00FA3F9C" w:rsidRDefault="001506C1" w:rsidP="0033517C">
            <w:pPr>
              <w:rPr>
                <w:rFonts w:ascii="Arial" w:hAnsi="Arial" w:cs="Arial"/>
                <w:sz w:val="24"/>
                <w:szCs w:val="24"/>
              </w:rPr>
            </w:pPr>
            <w:r w:rsidRPr="00FA3F9C">
              <w:rPr>
                <w:rFonts w:ascii="Arial" w:hAnsi="Arial" w:cs="Arial"/>
                <w:sz w:val="24"/>
                <w:szCs w:val="24"/>
              </w:rPr>
              <w:t xml:space="preserve">Note:  The first dose is up to 600mg (2-300mg syringes followed by up to 1-300mg dose every other week. </w:t>
            </w:r>
          </w:p>
          <w:p w14:paraId="477217F5" w14:textId="77777777" w:rsidR="001506C1" w:rsidRPr="00FA3F9C" w:rsidRDefault="001506C1" w:rsidP="0033517C">
            <w:pPr>
              <w:rPr>
                <w:rFonts w:ascii="Arial" w:hAnsi="Arial" w:cs="Arial"/>
                <w:sz w:val="24"/>
                <w:szCs w:val="24"/>
              </w:rPr>
            </w:pPr>
            <w:r w:rsidRPr="00FA3F9C">
              <w:rPr>
                <w:rFonts w:ascii="Arial" w:hAnsi="Arial" w:cs="Arial"/>
                <w:sz w:val="24"/>
                <w:szCs w:val="24"/>
              </w:rPr>
              <w:t>PA is good for 16 weeks; assessment of efficacy should occur then.</w:t>
            </w:r>
          </w:p>
        </w:tc>
      </w:tr>
      <w:tr w:rsidR="001506C1" w:rsidRPr="00FA3F9C" w14:paraId="1E4B5D0D" w14:textId="77777777" w:rsidTr="002B4B42">
        <w:tc>
          <w:tcPr>
            <w:tcW w:w="8748" w:type="dxa"/>
            <w:shd w:val="clear" w:color="auto" w:fill="000000"/>
          </w:tcPr>
          <w:p w14:paraId="54798B00" w14:textId="77777777" w:rsidR="001506C1" w:rsidRPr="00FA3F9C" w:rsidRDefault="001506C1" w:rsidP="00C71405">
            <w:pPr>
              <w:rPr>
                <w:rFonts w:ascii="Arial" w:hAnsi="Arial" w:cs="Arial"/>
                <w:b/>
                <w:sz w:val="24"/>
                <w:szCs w:val="24"/>
                <w:u w:val="single"/>
              </w:rPr>
            </w:pPr>
            <w:r w:rsidRPr="00FA3F9C">
              <w:rPr>
                <w:rFonts w:ascii="Arial" w:hAnsi="Arial" w:cs="Arial"/>
                <w:b/>
                <w:sz w:val="24"/>
                <w:szCs w:val="24"/>
                <w:u w:val="single"/>
              </w:rPr>
              <w:t>Criteria for continuation</w:t>
            </w:r>
          </w:p>
        </w:tc>
        <w:tc>
          <w:tcPr>
            <w:tcW w:w="2042" w:type="dxa"/>
            <w:shd w:val="clear" w:color="auto" w:fill="000000"/>
          </w:tcPr>
          <w:p w14:paraId="55D66E1E" w14:textId="77777777" w:rsidR="001506C1" w:rsidRPr="00FA3F9C" w:rsidRDefault="001506C1" w:rsidP="00C71405">
            <w:pPr>
              <w:jc w:val="center"/>
              <w:rPr>
                <w:rFonts w:ascii="Arial" w:hAnsi="Arial" w:cs="Arial"/>
                <w:b/>
                <w:sz w:val="24"/>
                <w:szCs w:val="24"/>
                <w:u w:val="single"/>
              </w:rPr>
            </w:pPr>
          </w:p>
        </w:tc>
      </w:tr>
      <w:tr w:rsidR="001506C1" w:rsidRPr="00FA3F9C" w14:paraId="6EA2E962" w14:textId="77777777" w:rsidTr="002B4B42">
        <w:tc>
          <w:tcPr>
            <w:tcW w:w="10790" w:type="dxa"/>
            <w:gridSpan w:val="2"/>
          </w:tcPr>
          <w:p w14:paraId="4C3D81A1" w14:textId="77777777" w:rsidR="001506C1" w:rsidRPr="00FA3F9C" w:rsidRDefault="001506C1" w:rsidP="00C71405">
            <w:pPr>
              <w:rPr>
                <w:rFonts w:ascii="Arial" w:hAnsi="Arial" w:cs="Arial"/>
                <w:sz w:val="24"/>
                <w:szCs w:val="24"/>
              </w:rPr>
            </w:pPr>
            <w:r w:rsidRPr="00FA3F9C">
              <w:rPr>
                <w:rFonts w:ascii="Arial" w:hAnsi="Arial" w:cs="Arial"/>
                <w:sz w:val="24"/>
                <w:szCs w:val="24"/>
              </w:rPr>
              <w:t>1.  Patient must be adherent to the q2w dosing.</w:t>
            </w:r>
          </w:p>
        </w:tc>
      </w:tr>
      <w:tr w:rsidR="001506C1" w:rsidRPr="00FA3F9C" w14:paraId="089E518E" w14:textId="77777777" w:rsidTr="002B4B42">
        <w:tc>
          <w:tcPr>
            <w:tcW w:w="10790" w:type="dxa"/>
            <w:gridSpan w:val="2"/>
          </w:tcPr>
          <w:p w14:paraId="7AE04404" w14:textId="77777777" w:rsidR="001506C1" w:rsidRPr="00FA3F9C" w:rsidRDefault="001506C1" w:rsidP="00C71405">
            <w:pPr>
              <w:rPr>
                <w:rFonts w:ascii="Arial" w:hAnsi="Arial" w:cs="Arial"/>
                <w:sz w:val="24"/>
                <w:szCs w:val="24"/>
              </w:rPr>
            </w:pPr>
            <w:r w:rsidRPr="00FA3F9C">
              <w:rPr>
                <w:rFonts w:ascii="Arial" w:hAnsi="Arial" w:cs="Arial"/>
                <w:sz w:val="24"/>
                <w:szCs w:val="24"/>
              </w:rPr>
              <w:t>2.  Patient must have experienced an improvement in symptoms.  The physician must have documented this improvement in the medical record.  A reduction in oral corticosteroid dose would be considered an improvement.</w:t>
            </w:r>
          </w:p>
        </w:tc>
      </w:tr>
      <w:tr w:rsidR="001506C1" w:rsidRPr="00FA3F9C" w14:paraId="181CEFF8" w14:textId="77777777" w:rsidTr="002B4B42">
        <w:tc>
          <w:tcPr>
            <w:tcW w:w="10790" w:type="dxa"/>
            <w:gridSpan w:val="2"/>
          </w:tcPr>
          <w:p w14:paraId="3CAB710E" w14:textId="77777777" w:rsidR="001506C1" w:rsidRPr="00FA3F9C" w:rsidRDefault="001506C1" w:rsidP="00C71405">
            <w:pPr>
              <w:rPr>
                <w:rFonts w:ascii="Arial" w:hAnsi="Arial" w:cs="Arial"/>
                <w:sz w:val="24"/>
                <w:szCs w:val="24"/>
              </w:rPr>
            </w:pPr>
            <w:r w:rsidRPr="00FA3F9C">
              <w:rPr>
                <w:rFonts w:ascii="Arial" w:hAnsi="Arial" w:cs="Arial"/>
                <w:sz w:val="24"/>
                <w:szCs w:val="24"/>
              </w:rPr>
              <w:t>Note:  if both are satisfied, approve PA for 1 year.</w:t>
            </w:r>
          </w:p>
        </w:tc>
      </w:tr>
    </w:tbl>
    <w:p w14:paraId="292EB451" w14:textId="77777777" w:rsidR="001506C1" w:rsidRPr="00FA3F9C" w:rsidRDefault="001506C1" w:rsidP="00C32009">
      <w:pPr>
        <w:spacing w:after="0"/>
        <w:rPr>
          <w:rFonts w:ascii="Arial" w:hAnsi="Arial" w:cs="Arial"/>
          <w:sz w:val="24"/>
          <w:szCs w:val="24"/>
        </w:rPr>
      </w:pPr>
      <w:r w:rsidRPr="00FA3F9C">
        <w:rPr>
          <w:rFonts w:ascii="Arial" w:hAnsi="Arial" w:cs="Arial"/>
          <w:sz w:val="24"/>
          <w:szCs w:val="24"/>
        </w:rPr>
        <w:t>Quantity Limits: 1 SC injection every 2 weeks (except for the 600mg [2-300mg syringes] first dose).</w:t>
      </w:r>
    </w:p>
    <w:p w14:paraId="7FC85C3E" w14:textId="77777777" w:rsidR="001506C1" w:rsidRPr="00FA3F9C" w:rsidRDefault="001506C1" w:rsidP="002B4B42">
      <w:pPr>
        <w:spacing w:after="0"/>
        <w:ind w:left="720"/>
        <w:rPr>
          <w:rFonts w:ascii="Arial" w:hAnsi="Arial" w:cs="Arial"/>
          <w:sz w:val="24"/>
          <w:szCs w:val="24"/>
        </w:rPr>
      </w:pPr>
      <w:r w:rsidRPr="00FA3F9C">
        <w:rPr>
          <w:rFonts w:ascii="Arial" w:hAnsi="Arial" w:cs="Arial"/>
          <w:sz w:val="24"/>
          <w:szCs w:val="24"/>
        </w:rPr>
        <w:t>References:</w:t>
      </w:r>
    </w:p>
    <w:p w14:paraId="4487A80A" w14:textId="77777777" w:rsidR="001506C1" w:rsidRPr="00FA3F9C" w:rsidRDefault="001506C1" w:rsidP="002B4B42">
      <w:pPr>
        <w:spacing w:after="0"/>
        <w:ind w:left="720"/>
        <w:rPr>
          <w:rFonts w:ascii="Arial" w:hAnsi="Arial" w:cs="Arial"/>
          <w:sz w:val="24"/>
          <w:szCs w:val="24"/>
        </w:rPr>
      </w:pPr>
      <w:r w:rsidRPr="00FA3F9C">
        <w:rPr>
          <w:rFonts w:ascii="Arial" w:hAnsi="Arial" w:cs="Arial"/>
          <w:sz w:val="24"/>
          <w:szCs w:val="24"/>
        </w:rPr>
        <w:t>1. ICER Asthma. 2018. Final Evidence Report.</w:t>
      </w:r>
    </w:p>
    <w:p w14:paraId="234668AB" w14:textId="77777777" w:rsidR="001506C1" w:rsidRPr="00FA3F9C" w:rsidRDefault="001506C1" w:rsidP="002B4B42">
      <w:pPr>
        <w:spacing w:after="0" w:line="240" w:lineRule="auto"/>
        <w:ind w:left="720"/>
        <w:rPr>
          <w:rFonts w:ascii="Arial" w:eastAsia="Times New Roman" w:hAnsi="Arial" w:cs="Arial"/>
          <w:color w:val="222222"/>
          <w:sz w:val="24"/>
          <w:szCs w:val="24"/>
          <w:shd w:val="clear" w:color="auto" w:fill="F8F8F8"/>
        </w:rPr>
      </w:pPr>
      <w:r w:rsidRPr="00FA3F9C">
        <w:rPr>
          <w:rFonts w:ascii="Arial" w:eastAsia="Times New Roman" w:hAnsi="Arial" w:cs="Arial"/>
          <w:color w:val="222222"/>
          <w:sz w:val="24"/>
          <w:szCs w:val="24"/>
          <w:shd w:val="clear" w:color="auto" w:fill="F8F8F8"/>
        </w:rPr>
        <w:t>2. Rabe, Klaus F., et al. "Efficacy and safety of dupilumab in glucocorticoid-dependent severe asthma." </w:t>
      </w:r>
      <w:r w:rsidRPr="00FA3F9C">
        <w:rPr>
          <w:rFonts w:ascii="Arial" w:eastAsia="Times New Roman" w:hAnsi="Arial" w:cs="Arial"/>
          <w:i/>
          <w:iCs/>
          <w:color w:val="222222"/>
          <w:sz w:val="24"/>
          <w:szCs w:val="24"/>
          <w:shd w:val="clear" w:color="auto" w:fill="F8F8F8"/>
        </w:rPr>
        <w:t>NEJM</w:t>
      </w:r>
      <w:r w:rsidRPr="00FA3F9C">
        <w:rPr>
          <w:rFonts w:ascii="Arial" w:eastAsia="Times New Roman" w:hAnsi="Arial" w:cs="Arial"/>
          <w:color w:val="222222"/>
          <w:sz w:val="24"/>
          <w:szCs w:val="24"/>
          <w:shd w:val="clear" w:color="auto" w:fill="F8F8F8"/>
        </w:rPr>
        <w:t> (2018).</w:t>
      </w:r>
    </w:p>
    <w:p w14:paraId="5F2A2436" w14:textId="77777777" w:rsidR="001506C1" w:rsidRPr="00FA3F9C" w:rsidRDefault="001506C1" w:rsidP="002B4B42">
      <w:pPr>
        <w:spacing w:after="0" w:line="240" w:lineRule="auto"/>
        <w:ind w:left="720"/>
        <w:rPr>
          <w:rFonts w:ascii="Arial" w:eastAsia="Times New Roman" w:hAnsi="Arial" w:cs="Arial"/>
          <w:color w:val="222222"/>
          <w:sz w:val="24"/>
          <w:szCs w:val="24"/>
          <w:shd w:val="clear" w:color="auto" w:fill="F8F8F8"/>
          <w:lang w:val="es-ES"/>
        </w:rPr>
      </w:pPr>
      <w:r w:rsidRPr="00FA3F9C">
        <w:rPr>
          <w:rFonts w:ascii="Arial" w:eastAsia="Times New Roman" w:hAnsi="Arial" w:cs="Arial"/>
          <w:color w:val="222222"/>
          <w:sz w:val="24"/>
          <w:szCs w:val="24"/>
          <w:shd w:val="clear" w:color="auto" w:fill="F8F8F8"/>
        </w:rPr>
        <w:t>3. Castro, Mario, et al. "Dupilumab efficacy and safety in moderate-to-severe uncontrolled asthma." </w:t>
      </w:r>
      <w:r w:rsidRPr="00FA3F9C">
        <w:rPr>
          <w:rFonts w:ascii="Arial" w:eastAsia="Times New Roman" w:hAnsi="Arial" w:cs="Arial"/>
          <w:i/>
          <w:iCs/>
          <w:color w:val="222222"/>
          <w:sz w:val="24"/>
          <w:szCs w:val="24"/>
          <w:shd w:val="clear" w:color="auto" w:fill="F8F8F8"/>
          <w:lang w:val="es-ES"/>
        </w:rPr>
        <w:t>NEJM</w:t>
      </w:r>
      <w:r w:rsidRPr="00FA3F9C">
        <w:rPr>
          <w:rFonts w:ascii="Arial" w:eastAsia="Times New Roman" w:hAnsi="Arial" w:cs="Arial"/>
          <w:color w:val="222222"/>
          <w:sz w:val="24"/>
          <w:szCs w:val="24"/>
          <w:shd w:val="clear" w:color="auto" w:fill="F8F8F8"/>
          <w:lang w:val="es-ES"/>
        </w:rPr>
        <w:t> (2018).</w:t>
      </w:r>
    </w:p>
    <w:p w14:paraId="6EBC1F61" w14:textId="77777777" w:rsidR="001506C1" w:rsidRPr="00FA3F9C" w:rsidRDefault="001506C1" w:rsidP="002B4B42">
      <w:pPr>
        <w:spacing w:after="0" w:line="240" w:lineRule="auto"/>
        <w:ind w:left="720"/>
        <w:rPr>
          <w:rFonts w:ascii="Arial" w:eastAsia="Times New Roman" w:hAnsi="Arial" w:cs="Arial"/>
          <w:sz w:val="24"/>
          <w:szCs w:val="24"/>
          <w:lang w:val="es-ES"/>
        </w:rPr>
      </w:pPr>
      <w:r w:rsidRPr="00FA3F9C">
        <w:rPr>
          <w:rFonts w:ascii="Arial" w:eastAsia="Times New Roman" w:hAnsi="Arial" w:cs="Arial"/>
          <w:sz w:val="24"/>
          <w:szCs w:val="24"/>
          <w:lang w:val="es-ES"/>
        </w:rPr>
        <w:t xml:space="preserve">4. 2021 GINA </w:t>
      </w:r>
      <w:proofErr w:type="spellStart"/>
      <w:r w:rsidRPr="00FA3F9C">
        <w:rPr>
          <w:rFonts w:ascii="Arial" w:eastAsia="Times New Roman" w:hAnsi="Arial" w:cs="Arial"/>
          <w:sz w:val="24"/>
          <w:szCs w:val="24"/>
          <w:lang w:val="es-ES"/>
        </w:rPr>
        <w:t>Asthma</w:t>
      </w:r>
      <w:proofErr w:type="spellEnd"/>
      <w:r w:rsidRPr="00FA3F9C">
        <w:rPr>
          <w:rFonts w:ascii="Arial" w:eastAsia="Times New Roman" w:hAnsi="Arial" w:cs="Arial"/>
          <w:sz w:val="24"/>
          <w:szCs w:val="24"/>
          <w:lang w:val="es-ES"/>
        </w:rPr>
        <w:t xml:space="preserve"> </w:t>
      </w:r>
      <w:proofErr w:type="spellStart"/>
      <w:r w:rsidRPr="00FA3F9C">
        <w:rPr>
          <w:rFonts w:ascii="Arial" w:eastAsia="Times New Roman" w:hAnsi="Arial" w:cs="Arial"/>
          <w:sz w:val="24"/>
          <w:szCs w:val="24"/>
          <w:lang w:val="es-ES"/>
        </w:rPr>
        <w:t>Guidelines</w:t>
      </w:r>
      <w:proofErr w:type="spellEnd"/>
      <w:r w:rsidRPr="00FA3F9C">
        <w:rPr>
          <w:rFonts w:ascii="Arial" w:eastAsia="Times New Roman" w:hAnsi="Arial" w:cs="Arial"/>
          <w:sz w:val="24"/>
          <w:szCs w:val="24"/>
          <w:lang w:val="es-ES"/>
        </w:rPr>
        <w:t xml:space="preserve">.  </w:t>
      </w:r>
      <w:hyperlink r:id="rId138" w:history="1">
        <w:r w:rsidRPr="00FA3F9C">
          <w:rPr>
            <w:rStyle w:val="Hyperlink"/>
            <w:rFonts w:ascii="Arial" w:eastAsia="Times New Roman" w:hAnsi="Arial" w:cs="Arial"/>
            <w:sz w:val="24"/>
            <w:szCs w:val="24"/>
            <w:lang w:val="es-ES"/>
          </w:rPr>
          <w:t>https://ginasthma.org/wp-content/uploads/2021/05/GINA-Main-Report-2021-V2-WMS.pdf</w:t>
        </w:r>
      </w:hyperlink>
    </w:p>
    <w:p w14:paraId="420CBE6E" w14:textId="77777777" w:rsidR="001506C1" w:rsidRPr="00FA3F9C" w:rsidRDefault="001506C1" w:rsidP="002B4B42">
      <w:pPr>
        <w:spacing w:after="0" w:line="240" w:lineRule="auto"/>
        <w:ind w:left="720"/>
        <w:rPr>
          <w:rFonts w:ascii="Arial" w:eastAsia="Times New Roman" w:hAnsi="Arial" w:cs="Arial"/>
          <w:sz w:val="24"/>
          <w:szCs w:val="24"/>
          <w:lang w:val="es-ES"/>
        </w:rPr>
      </w:pPr>
    </w:p>
    <w:p w14:paraId="7DF254E7" w14:textId="77777777" w:rsidR="001506C1" w:rsidRPr="00FA3F9C" w:rsidRDefault="001506C1" w:rsidP="002B4B42">
      <w:pPr>
        <w:spacing w:after="0" w:line="240" w:lineRule="auto"/>
        <w:ind w:left="720"/>
        <w:rPr>
          <w:rFonts w:ascii="Arial" w:eastAsia="Times New Roman" w:hAnsi="Arial" w:cs="Arial"/>
          <w:sz w:val="24"/>
          <w:szCs w:val="24"/>
          <w:lang w:val="es-ES"/>
        </w:rPr>
      </w:pPr>
    </w:p>
    <w:tbl>
      <w:tblPr>
        <w:tblStyle w:val="TableGrid"/>
        <w:tblW w:w="0" w:type="auto"/>
        <w:tblLook w:val="04A0" w:firstRow="1" w:lastRow="0" w:firstColumn="1" w:lastColumn="0" w:noHBand="0" w:noVBand="1"/>
      </w:tblPr>
      <w:tblGrid>
        <w:gridCol w:w="8748"/>
        <w:gridCol w:w="2042"/>
      </w:tblGrid>
      <w:tr w:rsidR="001506C1" w:rsidRPr="00FA3F9C" w14:paraId="3A311BB1" w14:textId="77777777" w:rsidTr="002B4B42">
        <w:tc>
          <w:tcPr>
            <w:tcW w:w="8748" w:type="dxa"/>
            <w:shd w:val="clear" w:color="auto" w:fill="000000"/>
          </w:tcPr>
          <w:p w14:paraId="54B0250B" w14:textId="77777777" w:rsidR="001506C1" w:rsidRPr="00FA3F9C" w:rsidRDefault="001506C1" w:rsidP="00F71959">
            <w:pPr>
              <w:rPr>
                <w:rFonts w:ascii="Arial" w:hAnsi="Arial" w:cs="Arial"/>
                <w:b/>
                <w:sz w:val="24"/>
                <w:szCs w:val="24"/>
                <w:u w:val="single"/>
              </w:rPr>
            </w:pPr>
            <w:r w:rsidRPr="00FA3F9C">
              <w:rPr>
                <w:rFonts w:ascii="Arial" w:hAnsi="Arial" w:cs="Arial"/>
                <w:b/>
                <w:sz w:val="24"/>
                <w:szCs w:val="24"/>
                <w:u w:val="single"/>
              </w:rPr>
              <w:t>CHRONIC RHINOSINUSITIS WITH NASAL POLYPS, AS ADD-ON MAINTENANCE TREATMENT</w:t>
            </w:r>
          </w:p>
        </w:tc>
        <w:tc>
          <w:tcPr>
            <w:tcW w:w="2042" w:type="dxa"/>
            <w:shd w:val="clear" w:color="auto" w:fill="000000"/>
          </w:tcPr>
          <w:p w14:paraId="0489EC0B" w14:textId="77777777" w:rsidR="001506C1" w:rsidRPr="00FA3F9C" w:rsidRDefault="001506C1" w:rsidP="00F71959">
            <w:pPr>
              <w:jc w:val="center"/>
              <w:rPr>
                <w:rFonts w:ascii="Arial" w:hAnsi="Arial" w:cs="Arial"/>
                <w:b/>
                <w:sz w:val="24"/>
                <w:szCs w:val="24"/>
                <w:u w:val="single"/>
              </w:rPr>
            </w:pPr>
          </w:p>
        </w:tc>
      </w:tr>
      <w:tr w:rsidR="001506C1" w:rsidRPr="00FA3F9C" w14:paraId="42622FCB" w14:textId="77777777" w:rsidTr="002B4B42">
        <w:tc>
          <w:tcPr>
            <w:tcW w:w="8748" w:type="dxa"/>
            <w:shd w:val="clear" w:color="auto" w:fill="000000"/>
          </w:tcPr>
          <w:p w14:paraId="090029E6" w14:textId="77777777" w:rsidR="001506C1" w:rsidRPr="00FA3F9C" w:rsidRDefault="001506C1" w:rsidP="00F71959">
            <w:pPr>
              <w:rPr>
                <w:rFonts w:ascii="Arial" w:hAnsi="Arial" w:cs="Arial"/>
                <w:b/>
                <w:sz w:val="24"/>
                <w:szCs w:val="24"/>
                <w:u w:val="single"/>
              </w:rPr>
            </w:pPr>
            <w:r w:rsidRPr="00FA3F9C">
              <w:rPr>
                <w:rFonts w:ascii="Arial" w:hAnsi="Arial" w:cs="Arial"/>
                <w:b/>
                <w:sz w:val="24"/>
                <w:szCs w:val="24"/>
                <w:u w:val="single"/>
              </w:rPr>
              <w:t>Criteria for new users</w:t>
            </w:r>
          </w:p>
        </w:tc>
        <w:tc>
          <w:tcPr>
            <w:tcW w:w="2042" w:type="dxa"/>
            <w:shd w:val="clear" w:color="auto" w:fill="000000"/>
          </w:tcPr>
          <w:p w14:paraId="665412CD" w14:textId="77777777" w:rsidR="001506C1" w:rsidRPr="00FA3F9C" w:rsidRDefault="001506C1" w:rsidP="00F71959">
            <w:pPr>
              <w:jc w:val="center"/>
              <w:rPr>
                <w:rFonts w:ascii="Arial" w:hAnsi="Arial" w:cs="Arial"/>
                <w:b/>
                <w:sz w:val="24"/>
                <w:szCs w:val="24"/>
                <w:u w:val="single"/>
              </w:rPr>
            </w:pPr>
          </w:p>
        </w:tc>
      </w:tr>
      <w:tr w:rsidR="001506C1" w:rsidRPr="00FA3F9C" w14:paraId="12F76343" w14:textId="77777777" w:rsidTr="002B4B42">
        <w:tc>
          <w:tcPr>
            <w:tcW w:w="10790" w:type="dxa"/>
            <w:gridSpan w:val="2"/>
          </w:tcPr>
          <w:p w14:paraId="4BD0591C" w14:textId="77777777" w:rsidR="001506C1" w:rsidRPr="00FA3F9C" w:rsidRDefault="001506C1" w:rsidP="00F71959">
            <w:pPr>
              <w:rPr>
                <w:rFonts w:ascii="Arial" w:hAnsi="Arial" w:cs="Arial"/>
                <w:sz w:val="24"/>
                <w:szCs w:val="24"/>
              </w:rPr>
            </w:pPr>
            <w:r w:rsidRPr="00FA3F9C">
              <w:rPr>
                <w:rFonts w:ascii="Arial" w:hAnsi="Arial" w:cs="Arial"/>
                <w:sz w:val="24"/>
                <w:szCs w:val="24"/>
              </w:rPr>
              <w:t xml:space="preserve">1.  Patient must be </w:t>
            </w:r>
            <w:r w:rsidRPr="00FA3F9C">
              <w:rPr>
                <w:rFonts w:ascii="Arial" w:hAnsi="Arial" w:cs="Arial"/>
                <w:sz w:val="24"/>
                <w:szCs w:val="24"/>
                <w:u w:val="single"/>
              </w:rPr>
              <w:t>&gt;</w:t>
            </w:r>
            <w:r w:rsidRPr="00FA3F9C">
              <w:rPr>
                <w:rFonts w:ascii="Arial" w:hAnsi="Arial" w:cs="Arial"/>
                <w:sz w:val="24"/>
                <w:szCs w:val="24"/>
              </w:rPr>
              <w:t>18 years old</w:t>
            </w:r>
          </w:p>
        </w:tc>
      </w:tr>
      <w:tr w:rsidR="001506C1" w:rsidRPr="00FA3F9C" w14:paraId="392C57F3" w14:textId="77777777" w:rsidTr="002B4B42">
        <w:tc>
          <w:tcPr>
            <w:tcW w:w="10790" w:type="dxa"/>
            <w:gridSpan w:val="2"/>
          </w:tcPr>
          <w:p w14:paraId="37A7BDE2" w14:textId="77777777" w:rsidR="001506C1" w:rsidRPr="00FA3F9C" w:rsidRDefault="001506C1" w:rsidP="0033517C">
            <w:pPr>
              <w:rPr>
                <w:rFonts w:ascii="Arial" w:hAnsi="Arial" w:cs="Arial"/>
                <w:sz w:val="24"/>
                <w:szCs w:val="24"/>
              </w:rPr>
            </w:pPr>
            <w:r w:rsidRPr="00FA3F9C">
              <w:rPr>
                <w:rFonts w:ascii="Arial" w:hAnsi="Arial" w:cs="Arial"/>
                <w:sz w:val="24"/>
                <w:szCs w:val="24"/>
              </w:rPr>
              <w:t xml:space="preserve">2.  Patient must have the diagnosis of bilateral nasal polyposis and chronic symptoms of sinusitis despite intranasal </w:t>
            </w:r>
            <w:proofErr w:type="spellStart"/>
            <w:r w:rsidRPr="00FA3F9C">
              <w:rPr>
                <w:rFonts w:ascii="Arial" w:hAnsi="Arial" w:cs="Arial"/>
                <w:sz w:val="24"/>
                <w:szCs w:val="24"/>
              </w:rPr>
              <w:t>coritosteroid</w:t>
            </w:r>
            <w:proofErr w:type="spellEnd"/>
            <w:r w:rsidRPr="00FA3F9C">
              <w:rPr>
                <w:rFonts w:ascii="Arial" w:hAnsi="Arial" w:cs="Arial"/>
                <w:sz w:val="24"/>
                <w:szCs w:val="24"/>
              </w:rPr>
              <w:t xml:space="preserve"> treatment for at least 2 months. (</w:t>
            </w:r>
            <w:proofErr w:type="gramStart"/>
            <w:r w:rsidRPr="00FA3F9C">
              <w:rPr>
                <w:rFonts w:ascii="Arial" w:hAnsi="Arial" w:cs="Arial"/>
                <w:sz w:val="24"/>
                <w:szCs w:val="24"/>
              </w:rPr>
              <w:t>attestation</w:t>
            </w:r>
            <w:proofErr w:type="gramEnd"/>
            <w:r w:rsidRPr="00FA3F9C">
              <w:rPr>
                <w:rFonts w:ascii="Arial" w:hAnsi="Arial" w:cs="Arial"/>
                <w:sz w:val="24"/>
                <w:szCs w:val="24"/>
              </w:rPr>
              <w:t xml:space="preserve"> of the physician will have to suffice since intranasal steroids are OTC.). </w:t>
            </w:r>
          </w:p>
        </w:tc>
      </w:tr>
      <w:tr w:rsidR="001506C1" w:rsidRPr="00FA3F9C" w14:paraId="550BF437" w14:textId="77777777" w:rsidTr="002B4B42">
        <w:tc>
          <w:tcPr>
            <w:tcW w:w="10790" w:type="dxa"/>
            <w:gridSpan w:val="2"/>
          </w:tcPr>
          <w:p w14:paraId="7536DEBD" w14:textId="77777777" w:rsidR="001506C1" w:rsidRPr="00FA3F9C" w:rsidRDefault="001506C1" w:rsidP="00F71959">
            <w:pPr>
              <w:rPr>
                <w:rFonts w:ascii="Arial" w:hAnsi="Arial" w:cs="Arial"/>
                <w:sz w:val="24"/>
                <w:szCs w:val="24"/>
              </w:rPr>
            </w:pPr>
            <w:r w:rsidRPr="00FA3F9C">
              <w:rPr>
                <w:rFonts w:ascii="Arial" w:hAnsi="Arial" w:cs="Arial"/>
                <w:sz w:val="24"/>
                <w:szCs w:val="24"/>
              </w:rPr>
              <w:t>3.  Prescriber must be an allergist, immunologist, or pulmonologist.</w:t>
            </w:r>
          </w:p>
        </w:tc>
      </w:tr>
      <w:tr w:rsidR="001506C1" w:rsidRPr="00FA3F9C" w14:paraId="3BCE560B" w14:textId="77777777" w:rsidTr="002B4B42">
        <w:tc>
          <w:tcPr>
            <w:tcW w:w="10790" w:type="dxa"/>
            <w:gridSpan w:val="2"/>
          </w:tcPr>
          <w:p w14:paraId="46A4D00D" w14:textId="77777777" w:rsidR="001506C1" w:rsidRPr="00FA3F9C" w:rsidRDefault="001506C1" w:rsidP="00F71959">
            <w:pPr>
              <w:rPr>
                <w:rFonts w:ascii="Arial" w:hAnsi="Arial" w:cs="Arial"/>
                <w:sz w:val="24"/>
                <w:szCs w:val="24"/>
              </w:rPr>
            </w:pPr>
            <w:r w:rsidRPr="00FA3F9C">
              <w:rPr>
                <w:rFonts w:ascii="Arial" w:hAnsi="Arial" w:cs="Arial"/>
                <w:sz w:val="24"/>
                <w:szCs w:val="24"/>
              </w:rPr>
              <w:t xml:space="preserve">4. The patient is not currently being treated with omalizumab, mepolizumab, </w:t>
            </w:r>
            <w:proofErr w:type="spellStart"/>
            <w:r w:rsidRPr="00FA3F9C">
              <w:rPr>
                <w:rFonts w:ascii="Arial" w:hAnsi="Arial" w:cs="Arial"/>
                <w:sz w:val="24"/>
                <w:szCs w:val="24"/>
              </w:rPr>
              <w:t>reslizumab</w:t>
            </w:r>
            <w:proofErr w:type="spellEnd"/>
            <w:r w:rsidRPr="00FA3F9C">
              <w:rPr>
                <w:rFonts w:ascii="Arial" w:hAnsi="Arial" w:cs="Arial"/>
                <w:sz w:val="24"/>
                <w:szCs w:val="24"/>
              </w:rPr>
              <w:t xml:space="preserve">, or </w:t>
            </w:r>
            <w:proofErr w:type="spellStart"/>
            <w:r w:rsidRPr="00FA3F9C">
              <w:rPr>
                <w:rFonts w:ascii="Arial" w:hAnsi="Arial" w:cs="Arial"/>
                <w:sz w:val="24"/>
                <w:szCs w:val="24"/>
              </w:rPr>
              <w:t>benralizumab</w:t>
            </w:r>
            <w:proofErr w:type="spellEnd"/>
            <w:r w:rsidRPr="00FA3F9C">
              <w:rPr>
                <w:rFonts w:ascii="Arial" w:hAnsi="Arial" w:cs="Arial"/>
                <w:sz w:val="24"/>
                <w:szCs w:val="24"/>
              </w:rPr>
              <w:t>.</w:t>
            </w:r>
          </w:p>
        </w:tc>
      </w:tr>
      <w:tr w:rsidR="001506C1" w:rsidRPr="00FA3F9C" w14:paraId="254648EC" w14:textId="77777777" w:rsidTr="002B4B42">
        <w:tc>
          <w:tcPr>
            <w:tcW w:w="10790" w:type="dxa"/>
            <w:gridSpan w:val="2"/>
          </w:tcPr>
          <w:p w14:paraId="75C7BD3C" w14:textId="77777777" w:rsidR="001506C1" w:rsidRPr="00FA3F9C" w:rsidRDefault="001506C1" w:rsidP="00F71959">
            <w:pPr>
              <w:rPr>
                <w:rFonts w:ascii="Arial" w:hAnsi="Arial" w:cs="Arial"/>
                <w:sz w:val="24"/>
                <w:szCs w:val="24"/>
              </w:rPr>
            </w:pPr>
            <w:r w:rsidRPr="00FA3F9C">
              <w:rPr>
                <w:rFonts w:ascii="Arial" w:hAnsi="Arial" w:cs="Arial"/>
                <w:sz w:val="24"/>
                <w:szCs w:val="24"/>
              </w:rPr>
              <w:lastRenderedPageBreak/>
              <w:t xml:space="preserve">Note:  The first dose is up to 600mg (2-300mg syringes followed by up to 1-300mg dose every other week. </w:t>
            </w:r>
          </w:p>
          <w:p w14:paraId="0AB38D74" w14:textId="77777777" w:rsidR="001506C1" w:rsidRPr="00FA3F9C" w:rsidRDefault="001506C1" w:rsidP="00F71959">
            <w:pPr>
              <w:rPr>
                <w:rFonts w:ascii="Arial" w:hAnsi="Arial" w:cs="Arial"/>
                <w:sz w:val="24"/>
                <w:szCs w:val="24"/>
              </w:rPr>
            </w:pPr>
            <w:r w:rsidRPr="00FA3F9C">
              <w:rPr>
                <w:rFonts w:ascii="Arial" w:hAnsi="Arial" w:cs="Arial"/>
                <w:sz w:val="24"/>
                <w:szCs w:val="24"/>
              </w:rPr>
              <w:t>PA is good for 16 weeks; assessment of efficacy should occur then.</w:t>
            </w:r>
          </w:p>
        </w:tc>
      </w:tr>
      <w:tr w:rsidR="001506C1" w:rsidRPr="00FA3F9C" w14:paraId="378A6547" w14:textId="77777777" w:rsidTr="002B4B42">
        <w:tc>
          <w:tcPr>
            <w:tcW w:w="8748" w:type="dxa"/>
            <w:shd w:val="clear" w:color="auto" w:fill="000000"/>
          </w:tcPr>
          <w:p w14:paraId="14685EE7" w14:textId="77777777" w:rsidR="001506C1" w:rsidRPr="00FA3F9C" w:rsidRDefault="001506C1" w:rsidP="00F71959">
            <w:pPr>
              <w:rPr>
                <w:rFonts w:ascii="Arial" w:hAnsi="Arial" w:cs="Arial"/>
                <w:b/>
                <w:sz w:val="24"/>
                <w:szCs w:val="24"/>
                <w:u w:val="single"/>
              </w:rPr>
            </w:pPr>
            <w:r w:rsidRPr="00FA3F9C">
              <w:rPr>
                <w:rFonts w:ascii="Arial" w:hAnsi="Arial" w:cs="Arial"/>
                <w:b/>
                <w:sz w:val="24"/>
                <w:szCs w:val="24"/>
                <w:u w:val="single"/>
              </w:rPr>
              <w:t>Criteria for continuation</w:t>
            </w:r>
          </w:p>
        </w:tc>
        <w:tc>
          <w:tcPr>
            <w:tcW w:w="2042" w:type="dxa"/>
            <w:shd w:val="clear" w:color="auto" w:fill="000000"/>
          </w:tcPr>
          <w:p w14:paraId="030D7D3E" w14:textId="77777777" w:rsidR="001506C1" w:rsidRPr="00FA3F9C" w:rsidRDefault="001506C1" w:rsidP="00F71959">
            <w:pPr>
              <w:jc w:val="center"/>
              <w:rPr>
                <w:rFonts w:ascii="Arial" w:hAnsi="Arial" w:cs="Arial"/>
                <w:b/>
                <w:sz w:val="24"/>
                <w:szCs w:val="24"/>
                <w:u w:val="single"/>
              </w:rPr>
            </w:pPr>
          </w:p>
        </w:tc>
      </w:tr>
      <w:tr w:rsidR="001506C1" w:rsidRPr="00FA3F9C" w14:paraId="1036FF65" w14:textId="77777777" w:rsidTr="002B4B42">
        <w:tc>
          <w:tcPr>
            <w:tcW w:w="10790" w:type="dxa"/>
            <w:gridSpan w:val="2"/>
          </w:tcPr>
          <w:p w14:paraId="535C1FA6" w14:textId="77777777" w:rsidR="001506C1" w:rsidRPr="00FA3F9C" w:rsidRDefault="001506C1" w:rsidP="00F71959">
            <w:pPr>
              <w:rPr>
                <w:rFonts w:ascii="Arial" w:hAnsi="Arial" w:cs="Arial"/>
                <w:sz w:val="24"/>
                <w:szCs w:val="24"/>
              </w:rPr>
            </w:pPr>
            <w:r w:rsidRPr="00FA3F9C">
              <w:rPr>
                <w:rFonts w:ascii="Arial" w:hAnsi="Arial" w:cs="Arial"/>
                <w:sz w:val="24"/>
                <w:szCs w:val="24"/>
              </w:rPr>
              <w:t xml:space="preserve">1.  Patient must be adherent to the </w:t>
            </w:r>
            <w:proofErr w:type="spellStart"/>
            <w:r w:rsidRPr="00FA3F9C">
              <w:rPr>
                <w:rFonts w:ascii="Arial" w:hAnsi="Arial" w:cs="Arial"/>
                <w:sz w:val="24"/>
                <w:szCs w:val="24"/>
              </w:rPr>
              <w:t>qw</w:t>
            </w:r>
            <w:proofErr w:type="spellEnd"/>
            <w:r w:rsidRPr="00FA3F9C">
              <w:rPr>
                <w:rFonts w:ascii="Arial" w:hAnsi="Arial" w:cs="Arial"/>
                <w:sz w:val="24"/>
                <w:szCs w:val="24"/>
              </w:rPr>
              <w:t xml:space="preserve"> dosing.</w:t>
            </w:r>
          </w:p>
        </w:tc>
      </w:tr>
      <w:tr w:rsidR="001506C1" w:rsidRPr="00FA3F9C" w14:paraId="2DC108A5" w14:textId="77777777" w:rsidTr="002B4B42">
        <w:tc>
          <w:tcPr>
            <w:tcW w:w="10790" w:type="dxa"/>
            <w:gridSpan w:val="2"/>
          </w:tcPr>
          <w:p w14:paraId="28F0823C" w14:textId="77777777" w:rsidR="001506C1" w:rsidRPr="00FA3F9C" w:rsidRDefault="001506C1" w:rsidP="00F71959">
            <w:pPr>
              <w:rPr>
                <w:rFonts w:ascii="Arial" w:hAnsi="Arial" w:cs="Arial"/>
                <w:sz w:val="24"/>
                <w:szCs w:val="24"/>
              </w:rPr>
            </w:pPr>
            <w:r w:rsidRPr="00FA3F9C">
              <w:rPr>
                <w:rFonts w:ascii="Arial" w:hAnsi="Arial" w:cs="Arial"/>
                <w:sz w:val="24"/>
                <w:szCs w:val="24"/>
              </w:rPr>
              <w:t xml:space="preserve">2.  Patient must have experienced an improvement in symptoms.  The physician must have documented this improvement in the medical record.  </w:t>
            </w:r>
          </w:p>
        </w:tc>
      </w:tr>
      <w:tr w:rsidR="001506C1" w:rsidRPr="00FA3F9C" w14:paraId="730C19F9" w14:textId="77777777" w:rsidTr="002B4B42">
        <w:tc>
          <w:tcPr>
            <w:tcW w:w="10790" w:type="dxa"/>
            <w:gridSpan w:val="2"/>
          </w:tcPr>
          <w:p w14:paraId="61757B67" w14:textId="77777777" w:rsidR="001506C1" w:rsidRPr="00FA3F9C" w:rsidRDefault="001506C1" w:rsidP="00F71959">
            <w:pPr>
              <w:rPr>
                <w:rFonts w:ascii="Arial" w:hAnsi="Arial" w:cs="Arial"/>
                <w:sz w:val="24"/>
                <w:szCs w:val="24"/>
              </w:rPr>
            </w:pPr>
            <w:r w:rsidRPr="00FA3F9C">
              <w:rPr>
                <w:rFonts w:ascii="Arial" w:hAnsi="Arial" w:cs="Arial"/>
                <w:sz w:val="24"/>
                <w:szCs w:val="24"/>
              </w:rPr>
              <w:t>Note:  if both are satisfied, approve PA for 1 year.</w:t>
            </w:r>
          </w:p>
        </w:tc>
      </w:tr>
      <w:tr w:rsidR="001506C1" w:rsidRPr="00FA3F9C" w14:paraId="5B87557E" w14:textId="77777777" w:rsidTr="002B4B42">
        <w:tc>
          <w:tcPr>
            <w:tcW w:w="10790" w:type="dxa"/>
            <w:gridSpan w:val="2"/>
          </w:tcPr>
          <w:p w14:paraId="324D5374" w14:textId="77777777" w:rsidR="001506C1" w:rsidRPr="00FA3F9C" w:rsidRDefault="001506C1" w:rsidP="00F71959">
            <w:pPr>
              <w:rPr>
                <w:rFonts w:ascii="Arial" w:hAnsi="Arial" w:cs="Arial"/>
                <w:sz w:val="24"/>
                <w:szCs w:val="24"/>
              </w:rPr>
            </w:pPr>
            <w:r w:rsidRPr="00FA3F9C">
              <w:rPr>
                <w:rFonts w:ascii="Arial" w:hAnsi="Arial" w:cs="Arial"/>
                <w:sz w:val="24"/>
                <w:szCs w:val="24"/>
              </w:rPr>
              <w:t>DOSE is 600mg LD followed by 300mg every other week; the patient should be receiving concurrent intranasal steroids.</w:t>
            </w:r>
          </w:p>
        </w:tc>
      </w:tr>
    </w:tbl>
    <w:p w14:paraId="71E7A022" w14:textId="77777777" w:rsidR="001506C1" w:rsidRPr="00FA3F9C" w:rsidRDefault="001506C1" w:rsidP="009A03E5">
      <w:pPr>
        <w:spacing w:after="0"/>
        <w:rPr>
          <w:rFonts w:ascii="Arial" w:hAnsi="Arial" w:cs="Arial"/>
          <w:sz w:val="24"/>
          <w:szCs w:val="24"/>
        </w:rPr>
      </w:pPr>
      <w:r w:rsidRPr="00FA3F9C">
        <w:rPr>
          <w:rFonts w:ascii="Arial" w:hAnsi="Arial" w:cs="Arial"/>
          <w:sz w:val="24"/>
          <w:szCs w:val="24"/>
        </w:rPr>
        <w:t>Reference:</w:t>
      </w:r>
    </w:p>
    <w:p w14:paraId="5DF71EA1" w14:textId="77777777" w:rsidR="001506C1" w:rsidRPr="00FA3F9C" w:rsidRDefault="001506C1" w:rsidP="009A03E5">
      <w:pPr>
        <w:spacing w:after="0"/>
        <w:rPr>
          <w:rFonts w:ascii="Arial" w:eastAsia="Times New Roman" w:hAnsi="Arial" w:cs="Arial"/>
          <w:sz w:val="24"/>
          <w:szCs w:val="24"/>
        </w:rPr>
      </w:pPr>
      <w:r w:rsidRPr="00FA3F9C">
        <w:rPr>
          <w:rFonts w:ascii="Arial" w:hAnsi="Arial" w:cs="Arial"/>
          <w:sz w:val="24"/>
          <w:szCs w:val="24"/>
        </w:rPr>
        <w:t xml:space="preserve">1. </w:t>
      </w:r>
      <w:proofErr w:type="spellStart"/>
      <w:r w:rsidRPr="00FA3F9C">
        <w:rPr>
          <w:rFonts w:ascii="Arial" w:eastAsia="Times New Roman" w:hAnsi="Arial" w:cs="Arial"/>
          <w:color w:val="222222"/>
          <w:sz w:val="24"/>
          <w:szCs w:val="24"/>
          <w:shd w:val="clear" w:color="auto" w:fill="F8F8F8"/>
        </w:rPr>
        <w:t>Bachert</w:t>
      </w:r>
      <w:proofErr w:type="spellEnd"/>
      <w:r w:rsidRPr="00FA3F9C">
        <w:rPr>
          <w:rFonts w:ascii="Arial" w:eastAsia="Times New Roman" w:hAnsi="Arial" w:cs="Arial"/>
          <w:color w:val="222222"/>
          <w:sz w:val="24"/>
          <w:szCs w:val="24"/>
          <w:shd w:val="clear" w:color="auto" w:fill="F8F8F8"/>
        </w:rPr>
        <w:t>, Claus, et al. "Effect of subcutaneous dupilumab on nasal polyp burden in patients with chronic sinusitis and nasal polyposis: a randomized clinical trial. </w:t>
      </w:r>
      <w:r w:rsidRPr="00FA3F9C">
        <w:rPr>
          <w:rFonts w:ascii="Arial" w:eastAsia="Times New Roman" w:hAnsi="Arial" w:cs="Arial"/>
          <w:i/>
          <w:iCs/>
          <w:color w:val="222222"/>
          <w:sz w:val="24"/>
          <w:szCs w:val="24"/>
          <w:shd w:val="clear" w:color="auto" w:fill="F8F8F8"/>
        </w:rPr>
        <w:t>Jama</w:t>
      </w:r>
      <w:r w:rsidRPr="00FA3F9C">
        <w:rPr>
          <w:rFonts w:ascii="Arial" w:eastAsia="Times New Roman" w:hAnsi="Arial" w:cs="Arial"/>
          <w:color w:val="222222"/>
          <w:sz w:val="24"/>
          <w:szCs w:val="24"/>
          <w:shd w:val="clear" w:color="auto" w:fill="F8F8F8"/>
        </w:rPr>
        <w:t> 315.5 (2016): 469-479.</w:t>
      </w:r>
    </w:p>
    <w:p w14:paraId="6C5EDE14"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418"/>
        <w:gridCol w:w="8437"/>
        <w:gridCol w:w="1417"/>
      </w:tblGrid>
      <w:tr w:rsidR="001506C1" w:rsidRPr="00FA3F9C" w14:paraId="13B20236" w14:textId="77777777" w:rsidTr="00943BC6">
        <w:tc>
          <w:tcPr>
            <w:tcW w:w="1278" w:type="dxa"/>
          </w:tcPr>
          <w:p w14:paraId="0E7A8C12" w14:textId="77777777" w:rsidR="001506C1" w:rsidRPr="00FA3F9C" w:rsidRDefault="001506C1" w:rsidP="006F623F">
            <w:pPr>
              <w:rPr>
                <w:rFonts w:ascii="Arial" w:hAnsi="Arial" w:cs="Arial"/>
                <w:sz w:val="24"/>
                <w:szCs w:val="24"/>
              </w:rPr>
            </w:pPr>
            <w:r w:rsidRPr="00FA3F9C">
              <w:rPr>
                <w:rFonts w:ascii="Arial" w:hAnsi="Arial" w:cs="Arial"/>
                <w:sz w:val="24"/>
                <w:szCs w:val="24"/>
              </w:rPr>
              <w:t>Date</w:t>
            </w:r>
          </w:p>
        </w:tc>
        <w:tc>
          <w:tcPr>
            <w:tcW w:w="8437" w:type="dxa"/>
          </w:tcPr>
          <w:p w14:paraId="0E5C4A1C" w14:textId="77777777" w:rsidR="001506C1" w:rsidRPr="00FA3F9C" w:rsidRDefault="001506C1" w:rsidP="006F623F">
            <w:pPr>
              <w:rPr>
                <w:rFonts w:ascii="Arial" w:hAnsi="Arial" w:cs="Arial"/>
                <w:sz w:val="24"/>
                <w:szCs w:val="24"/>
              </w:rPr>
            </w:pPr>
            <w:r w:rsidRPr="00FA3F9C">
              <w:rPr>
                <w:rFonts w:ascii="Arial" w:hAnsi="Arial" w:cs="Arial"/>
                <w:sz w:val="24"/>
                <w:szCs w:val="24"/>
              </w:rPr>
              <w:t>What changed</w:t>
            </w:r>
          </w:p>
        </w:tc>
        <w:tc>
          <w:tcPr>
            <w:tcW w:w="1075" w:type="dxa"/>
          </w:tcPr>
          <w:p w14:paraId="0593D729" w14:textId="77777777" w:rsidR="001506C1" w:rsidRPr="00FA3F9C" w:rsidRDefault="001506C1" w:rsidP="006F623F">
            <w:pPr>
              <w:rPr>
                <w:rFonts w:ascii="Arial" w:hAnsi="Arial" w:cs="Arial"/>
                <w:sz w:val="24"/>
                <w:szCs w:val="24"/>
              </w:rPr>
            </w:pPr>
            <w:r w:rsidRPr="00FA3F9C">
              <w:rPr>
                <w:rFonts w:ascii="Arial" w:hAnsi="Arial" w:cs="Arial"/>
                <w:sz w:val="24"/>
                <w:szCs w:val="24"/>
              </w:rPr>
              <w:t>Pharmacist</w:t>
            </w:r>
          </w:p>
        </w:tc>
      </w:tr>
      <w:tr w:rsidR="001506C1" w:rsidRPr="00FA3F9C" w14:paraId="714DCB51" w14:textId="77777777" w:rsidTr="00943BC6">
        <w:tc>
          <w:tcPr>
            <w:tcW w:w="1278" w:type="dxa"/>
          </w:tcPr>
          <w:p w14:paraId="2F0B7B94" w14:textId="77777777" w:rsidR="001506C1" w:rsidRPr="00FA3F9C" w:rsidRDefault="001506C1" w:rsidP="006F623F">
            <w:pPr>
              <w:rPr>
                <w:rFonts w:ascii="Arial" w:hAnsi="Arial" w:cs="Arial"/>
                <w:sz w:val="24"/>
                <w:szCs w:val="24"/>
              </w:rPr>
            </w:pPr>
            <w:r w:rsidRPr="00FA3F9C">
              <w:rPr>
                <w:rFonts w:ascii="Arial" w:hAnsi="Arial" w:cs="Arial"/>
                <w:sz w:val="24"/>
                <w:szCs w:val="24"/>
              </w:rPr>
              <w:t>5/31/17</w:t>
            </w:r>
          </w:p>
        </w:tc>
        <w:tc>
          <w:tcPr>
            <w:tcW w:w="8437" w:type="dxa"/>
          </w:tcPr>
          <w:p w14:paraId="6690ABD0" w14:textId="77777777" w:rsidR="001506C1" w:rsidRPr="00FA3F9C" w:rsidRDefault="001506C1" w:rsidP="006F623F">
            <w:pPr>
              <w:rPr>
                <w:rFonts w:ascii="Arial" w:hAnsi="Arial" w:cs="Arial"/>
                <w:sz w:val="24"/>
                <w:szCs w:val="24"/>
              </w:rPr>
            </w:pPr>
            <w:r w:rsidRPr="00FA3F9C">
              <w:rPr>
                <w:rFonts w:ascii="Arial" w:hAnsi="Arial" w:cs="Arial"/>
                <w:sz w:val="24"/>
                <w:szCs w:val="24"/>
              </w:rPr>
              <w:t>I wrote the criteria</w:t>
            </w:r>
          </w:p>
        </w:tc>
        <w:tc>
          <w:tcPr>
            <w:tcW w:w="1075" w:type="dxa"/>
          </w:tcPr>
          <w:p w14:paraId="571C3C9A" w14:textId="124961C8" w:rsidR="001506C1" w:rsidRPr="00FA3F9C" w:rsidRDefault="001506C1" w:rsidP="006F623F">
            <w:pPr>
              <w:rPr>
                <w:rFonts w:ascii="Arial" w:hAnsi="Arial" w:cs="Arial"/>
                <w:sz w:val="24"/>
                <w:szCs w:val="24"/>
              </w:rPr>
            </w:pPr>
            <w:r w:rsidRPr="00FA3F9C">
              <w:rPr>
                <w:rFonts w:ascii="Arial" w:hAnsi="Arial" w:cs="Arial"/>
                <w:sz w:val="24"/>
                <w:szCs w:val="24"/>
              </w:rPr>
              <w:t xml:space="preserve">J </w:t>
            </w:r>
            <w:r w:rsidR="002F3083">
              <w:rPr>
                <w:rFonts w:ascii="Arial" w:hAnsi="Arial" w:cs="Arial"/>
                <w:sz w:val="24"/>
                <w:szCs w:val="24"/>
              </w:rPr>
              <w:t>JJ</w:t>
            </w:r>
          </w:p>
        </w:tc>
      </w:tr>
      <w:tr w:rsidR="001506C1" w:rsidRPr="00FA3F9C" w14:paraId="6B2DB723" w14:textId="77777777" w:rsidTr="00943BC6">
        <w:tc>
          <w:tcPr>
            <w:tcW w:w="1278" w:type="dxa"/>
          </w:tcPr>
          <w:p w14:paraId="507DC76E" w14:textId="77777777" w:rsidR="001506C1" w:rsidRPr="00FA3F9C" w:rsidRDefault="001506C1" w:rsidP="006F623F">
            <w:pPr>
              <w:rPr>
                <w:rFonts w:ascii="Arial" w:hAnsi="Arial" w:cs="Arial"/>
                <w:sz w:val="24"/>
                <w:szCs w:val="24"/>
              </w:rPr>
            </w:pPr>
            <w:r w:rsidRPr="00FA3F9C">
              <w:rPr>
                <w:rFonts w:ascii="Arial" w:hAnsi="Arial" w:cs="Arial"/>
                <w:sz w:val="24"/>
                <w:szCs w:val="24"/>
              </w:rPr>
              <w:t>6/15/17</w:t>
            </w:r>
          </w:p>
        </w:tc>
        <w:tc>
          <w:tcPr>
            <w:tcW w:w="8437" w:type="dxa"/>
          </w:tcPr>
          <w:p w14:paraId="04589B1C" w14:textId="1B03153B" w:rsidR="001506C1" w:rsidRPr="00FA3F9C" w:rsidRDefault="001506C1" w:rsidP="006F623F">
            <w:pPr>
              <w:rPr>
                <w:rFonts w:ascii="Arial" w:hAnsi="Arial" w:cs="Arial"/>
                <w:sz w:val="24"/>
                <w:szCs w:val="24"/>
              </w:rPr>
            </w:pPr>
            <w:r w:rsidRPr="00FA3F9C">
              <w:rPr>
                <w:rFonts w:ascii="Arial" w:hAnsi="Arial" w:cs="Arial"/>
                <w:sz w:val="24"/>
                <w:szCs w:val="24"/>
              </w:rPr>
              <w:t xml:space="preserve">I updated the criteria after speaking with </w:t>
            </w:r>
            <w:r w:rsidR="002F3083">
              <w:rPr>
                <w:rFonts w:ascii="Arial" w:hAnsi="Arial" w:cs="Arial"/>
                <w:sz w:val="24"/>
                <w:szCs w:val="24"/>
              </w:rPr>
              <w:t>BF</w:t>
            </w:r>
            <w:r w:rsidRPr="00FA3F9C">
              <w:rPr>
                <w:rFonts w:ascii="Arial" w:hAnsi="Arial" w:cs="Arial"/>
                <w:sz w:val="24"/>
                <w:szCs w:val="24"/>
              </w:rPr>
              <w:t>.</w:t>
            </w:r>
          </w:p>
        </w:tc>
        <w:tc>
          <w:tcPr>
            <w:tcW w:w="1075" w:type="dxa"/>
          </w:tcPr>
          <w:p w14:paraId="564333F9" w14:textId="3776ED77" w:rsidR="001506C1" w:rsidRPr="00FA3F9C" w:rsidRDefault="001506C1" w:rsidP="006F623F">
            <w:pPr>
              <w:rPr>
                <w:rFonts w:ascii="Arial" w:hAnsi="Arial" w:cs="Arial"/>
                <w:sz w:val="24"/>
                <w:szCs w:val="24"/>
              </w:rPr>
            </w:pPr>
            <w:r w:rsidRPr="00FA3F9C">
              <w:rPr>
                <w:rFonts w:ascii="Arial" w:hAnsi="Arial" w:cs="Arial"/>
                <w:sz w:val="24"/>
                <w:szCs w:val="24"/>
              </w:rPr>
              <w:t xml:space="preserve">J </w:t>
            </w:r>
            <w:r w:rsidR="002F3083">
              <w:rPr>
                <w:rFonts w:ascii="Arial" w:hAnsi="Arial" w:cs="Arial"/>
                <w:sz w:val="24"/>
                <w:szCs w:val="24"/>
              </w:rPr>
              <w:t>JJ</w:t>
            </w:r>
          </w:p>
        </w:tc>
      </w:tr>
      <w:tr w:rsidR="001506C1" w:rsidRPr="00FA3F9C" w14:paraId="77794086" w14:textId="77777777" w:rsidTr="00943BC6">
        <w:tc>
          <w:tcPr>
            <w:tcW w:w="1278" w:type="dxa"/>
          </w:tcPr>
          <w:p w14:paraId="53D7B831" w14:textId="77777777" w:rsidR="001506C1" w:rsidRPr="00FA3F9C" w:rsidRDefault="001506C1" w:rsidP="006F623F">
            <w:pPr>
              <w:rPr>
                <w:rFonts w:ascii="Arial" w:hAnsi="Arial" w:cs="Arial"/>
                <w:sz w:val="24"/>
                <w:szCs w:val="24"/>
              </w:rPr>
            </w:pPr>
            <w:r w:rsidRPr="00FA3F9C">
              <w:rPr>
                <w:rFonts w:ascii="Arial" w:hAnsi="Arial" w:cs="Arial"/>
                <w:sz w:val="24"/>
                <w:szCs w:val="24"/>
              </w:rPr>
              <w:t>12/19/18</w:t>
            </w:r>
          </w:p>
        </w:tc>
        <w:tc>
          <w:tcPr>
            <w:tcW w:w="8437" w:type="dxa"/>
          </w:tcPr>
          <w:p w14:paraId="15C22105" w14:textId="77777777" w:rsidR="001506C1" w:rsidRPr="00FA3F9C" w:rsidRDefault="001506C1" w:rsidP="006F623F">
            <w:pPr>
              <w:rPr>
                <w:rFonts w:ascii="Arial" w:hAnsi="Arial" w:cs="Arial"/>
                <w:sz w:val="24"/>
                <w:szCs w:val="24"/>
              </w:rPr>
            </w:pPr>
            <w:r w:rsidRPr="00FA3F9C">
              <w:rPr>
                <w:rFonts w:ascii="Arial" w:hAnsi="Arial" w:cs="Arial"/>
                <w:sz w:val="24"/>
                <w:szCs w:val="24"/>
              </w:rPr>
              <w:t>I updated the criteria to include severe eosinophilic asthma.  Moderate asthma was not included despite the FDA approval due to the evidence not showing as big an advantage.</w:t>
            </w:r>
          </w:p>
        </w:tc>
        <w:tc>
          <w:tcPr>
            <w:tcW w:w="1075" w:type="dxa"/>
          </w:tcPr>
          <w:p w14:paraId="537981E6" w14:textId="2CC67BED" w:rsidR="001506C1" w:rsidRPr="00FA3F9C" w:rsidRDefault="001506C1" w:rsidP="006F623F">
            <w:pPr>
              <w:rPr>
                <w:rFonts w:ascii="Arial" w:hAnsi="Arial" w:cs="Arial"/>
                <w:sz w:val="24"/>
                <w:szCs w:val="24"/>
              </w:rPr>
            </w:pPr>
            <w:r w:rsidRPr="00FA3F9C">
              <w:rPr>
                <w:rFonts w:ascii="Arial" w:hAnsi="Arial" w:cs="Arial"/>
                <w:sz w:val="24"/>
                <w:szCs w:val="24"/>
              </w:rPr>
              <w:t xml:space="preserve">J </w:t>
            </w:r>
            <w:r w:rsidR="002F3083">
              <w:rPr>
                <w:rFonts w:ascii="Arial" w:hAnsi="Arial" w:cs="Arial"/>
                <w:sz w:val="24"/>
                <w:szCs w:val="24"/>
              </w:rPr>
              <w:t>JJ</w:t>
            </w:r>
          </w:p>
        </w:tc>
      </w:tr>
      <w:tr w:rsidR="001506C1" w:rsidRPr="00FA3F9C" w14:paraId="27198088" w14:textId="77777777" w:rsidTr="00943BC6">
        <w:tc>
          <w:tcPr>
            <w:tcW w:w="1278" w:type="dxa"/>
          </w:tcPr>
          <w:p w14:paraId="01AD4B12" w14:textId="77777777" w:rsidR="001506C1" w:rsidRPr="00FA3F9C" w:rsidRDefault="001506C1" w:rsidP="006F623F">
            <w:pPr>
              <w:rPr>
                <w:rFonts w:ascii="Arial" w:hAnsi="Arial" w:cs="Arial"/>
                <w:sz w:val="24"/>
                <w:szCs w:val="24"/>
              </w:rPr>
            </w:pPr>
            <w:r w:rsidRPr="00FA3F9C">
              <w:rPr>
                <w:rFonts w:ascii="Arial" w:hAnsi="Arial" w:cs="Arial"/>
                <w:sz w:val="24"/>
                <w:szCs w:val="24"/>
              </w:rPr>
              <w:t>3/13/19</w:t>
            </w:r>
          </w:p>
        </w:tc>
        <w:tc>
          <w:tcPr>
            <w:tcW w:w="8437" w:type="dxa"/>
          </w:tcPr>
          <w:p w14:paraId="7025A4B6" w14:textId="77777777" w:rsidR="001506C1" w:rsidRPr="00FA3F9C" w:rsidRDefault="001506C1" w:rsidP="006F623F">
            <w:pPr>
              <w:rPr>
                <w:rFonts w:ascii="Arial" w:hAnsi="Arial" w:cs="Arial"/>
                <w:sz w:val="24"/>
                <w:szCs w:val="24"/>
              </w:rPr>
            </w:pPr>
            <w:r w:rsidRPr="00FA3F9C">
              <w:rPr>
                <w:rFonts w:ascii="Arial" w:hAnsi="Arial" w:cs="Arial"/>
                <w:sz w:val="24"/>
                <w:szCs w:val="24"/>
              </w:rPr>
              <w:t>I changed the age down to age 12.  FDA approval reduced the age today.</w:t>
            </w:r>
          </w:p>
        </w:tc>
        <w:tc>
          <w:tcPr>
            <w:tcW w:w="1075" w:type="dxa"/>
          </w:tcPr>
          <w:p w14:paraId="6F2CDCA4" w14:textId="34F67658" w:rsidR="001506C1" w:rsidRPr="00FA3F9C" w:rsidRDefault="005C142D" w:rsidP="006F623F">
            <w:pPr>
              <w:rPr>
                <w:rFonts w:ascii="Arial" w:hAnsi="Arial" w:cs="Arial"/>
                <w:sz w:val="24"/>
                <w:szCs w:val="24"/>
              </w:rPr>
            </w:pPr>
            <w:r w:rsidRPr="00FA3F9C">
              <w:rPr>
                <w:rFonts w:ascii="Arial" w:hAnsi="Arial" w:cs="Arial"/>
                <w:sz w:val="24"/>
                <w:szCs w:val="24"/>
              </w:rPr>
              <w:t>JJ</w:t>
            </w:r>
          </w:p>
        </w:tc>
      </w:tr>
      <w:tr w:rsidR="001506C1" w:rsidRPr="00FA3F9C" w14:paraId="3123D2DF" w14:textId="77777777" w:rsidTr="00943BC6">
        <w:tc>
          <w:tcPr>
            <w:tcW w:w="1278" w:type="dxa"/>
          </w:tcPr>
          <w:p w14:paraId="1864AC1D" w14:textId="77777777" w:rsidR="001506C1" w:rsidRPr="00FA3F9C" w:rsidRDefault="001506C1" w:rsidP="000179D2">
            <w:pPr>
              <w:rPr>
                <w:rFonts w:ascii="Arial" w:hAnsi="Arial" w:cs="Arial"/>
                <w:sz w:val="24"/>
                <w:szCs w:val="24"/>
              </w:rPr>
            </w:pPr>
            <w:r w:rsidRPr="00FA3F9C">
              <w:rPr>
                <w:rFonts w:ascii="Arial" w:hAnsi="Arial" w:cs="Arial"/>
                <w:sz w:val="24"/>
                <w:szCs w:val="24"/>
              </w:rPr>
              <w:t>10/30/19</w:t>
            </w:r>
          </w:p>
        </w:tc>
        <w:tc>
          <w:tcPr>
            <w:tcW w:w="8437" w:type="dxa"/>
          </w:tcPr>
          <w:p w14:paraId="692B8BAE" w14:textId="77777777" w:rsidR="001506C1" w:rsidRPr="00FA3F9C" w:rsidRDefault="001506C1" w:rsidP="006F623F">
            <w:pPr>
              <w:rPr>
                <w:rFonts w:ascii="Arial" w:hAnsi="Arial" w:cs="Arial"/>
                <w:sz w:val="24"/>
                <w:szCs w:val="24"/>
              </w:rPr>
            </w:pPr>
            <w:r w:rsidRPr="00FA3F9C">
              <w:rPr>
                <w:rFonts w:ascii="Arial" w:hAnsi="Arial" w:cs="Arial"/>
                <w:sz w:val="24"/>
                <w:szCs w:val="24"/>
              </w:rPr>
              <w:t>I updated the criteria, added the indication of rhinosinusitis w/ nasal polyps, and reference.</w:t>
            </w:r>
          </w:p>
        </w:tc>
        <w:tc>
          <w:tcPr>
            <w:tcW w:w="1075" w:type="dxa"/>
          </w:tcPr>
          <w:p w14:paraId="469A866D" w14:textId="66D9B362" w:rsidR="001506C1" w:rsidRPr="00FA3F9C" w:rsidRDefault="005C142D" w:rsidP="006F623F">
            <w:pPr>
              <w:rPr>
                <w:rFonts w:ascii="Arial" w:hAnsi="Arial" w:cs="Arial"/>
                <w:sz w:val="24"/>
                <w:szCs w:val="24"/>
              </w:rPr>
            </w:pPr>
            <w:r w:rsidRPr="00FA3F9C">
              <w:rPr>
                <w:rFonts w:ascii="Arial" w:hAnsi="Arial" w:cs="Arial"/>
                <w:sz w:val="24"/>
                <w:szCs w:val="24"/>
              </w:rPr>
              <w:t>JJ</w:t>
            </w:r>
          </w:p>
        </w:tc>
      </w:tr>
      <w:tr w:rsidR="001506C1" w:rsidRPr="00FA3F9C" w14:paraId="6C1D881B" w14:textId="77777777" w:rsidTr="00943BC6">
        <w:tc>
          <w:tcPr>
            <w:tcW w:w="1278" w:type="dxa"/>
          </w:tcPr>
          <w:p w14:paraId="465D9598" w14:textId="77777777" w:rsidR="001506C1" w:rsidRPr="00FA3F9C" w:rsidRDefault="001506C1" w:rsidP="000179D2">
            <w:pPr>
              <w:rPr>
                <w:rFonts w:ascii="Arial" w:hAnsi="Arial" w:cs="Arial"/>
                <w:sz w:val="24"/>
                <w:szCs w:val="24"/>
              </w:rPr>
            </w:pPr>
            <w:r w:rsidRPr="00FA3F9C">
              <w:rPr>
                <w:rFonts w:ascii="Arial" w:hAnsi="Arial" w:cs="Arial"/>
                <w:sz w:val="24"/>
                <w:szCs w:val="24"/>
              </w:rPr>
              <w:t>2/23/2020</w:t>
            </w:r>
          </w:p>
        </w:tc>
        <w:tc>
          <w:tcPr>
            <w:tcW w:w="8437" w:type="dxa"/>
          </w:tcPr>
          <w:p w14:paraId="0F40C73B" w14:textId="77777777" w:rsidR="001506C1" w:rsidRPr="00FA3F9C" w:rsidRDefault="001506C1" w:rsidP="006F623F">
            <w:pPr>
              <w:rPr>
                <w:rFonts w:ascii="Arial" w:hAnsi="Arial" w:cs="Arial"/>
                <w:sz w:val="24"/>
                <w:szCs w:val="24"/>
              </w:rPr>
            </w:pPr>
            <w:r w:rsidRPr="00FA3F9C">
              <w:rPr>
                <w:rFonts w:ascii="Arial" w:hAnsi="Arial" w:cs="Arial"/>
                <w:sz w:val="24"/>
                <w:szCs w:val="24"/>
              </w:rPr>
              <w:t>I reviewed the criteria.  No changes</w:t>
            </w:r>
          </w:p>
        </w:tc>
        <w:tc>
          <w:tcPr>
            <w:tcW w:w="1075" w:type="dxa"/>
          </w:tcPr>
          <w:p w14:paraId="4327E233" w14:textId="170F5119" w:rsidR="001506C1" w:rsidRPr="00FA3F9C" w:rsidRDefault="005C142D" w:rsidP="006F623F">
            <w:pPr>
              <w:rPr>
                <w:rFonts w:ascii="Arial" w:hAnsi="Arial" w:cs="Arial"/>
                <w:sz w:val="24"/>
                <w:szCs w:val="24"/>
              </w:rPr>
            </w:pPr>
            <w:r w:rsidRPr="00FA3F9C">
              <w:rPr>
                <w:rFonts w:ascii="Arial" w:hAnsi="Arial" w:cs="Arial"/>
                <w:sz w:val="24"/>
                <w:szCs w:val="24"/>
              </w:rPr>
              <w:t>JJ</w:t>
            </w:r>
          </w:p>
        </w:tc>
      </w:tr>
      <w:tr w:rsidR="001506C1" w:rsidRPr="00FA3F9C" w14:paraId="277B6043" w14:textId="77777777" w:rsidTr="00943BC6">
        <w:tc>
          <w:tcPr>
            <w:tcW w:w="1278" w:type="dxa"/>
          </w:tcPr>
          <w:p w14:paraId="43FB5BE2" w14:textId="77777777" w:rsidR="001506C1" w:rsidRPr="00FA3F9C" w:rsidRDefault="001506C1" w:rsidP="000179D2">
            <w:pPr>
              <w:rPr>
                <w:rFonts w:ascii="Arial" w:hAnsi="Arial" w:cs="Arial"/>
                <w:sz w:val="24"/>
                <w:szCs w:val="24"/>
              </w:rPr>
            </w:pPr>
            <w:r w:rsidRPr="00FA3F9C">
              <w:rPr>
                <w:rFonts w:ascii="Arial" w:hAnsi="Arial" w:cs="Arial"/>
                <w:sz w:val="24"/>
                <w:szCs w:val="24"/>
              </w:rPr>
              <w:t>6/22/2020</w:t>
            </w:r>
          </w:p>
        </w:tc>
        <w:tc>
          <w:tcPr>
            <w:tcW w:w="8437" w:type="dxa"/>
          </w:tcPr>
          <w:p w14:paraId="1D00D27B" w14:textId="77777777" w:rsidR="001506C1" w:rsidRPr="00FA3F9C" w:rsidRDefault="001506C1" w:rsidP="006F623F">
            <w:pPr>
              <w:rPr>
                <w:rFonts w:ascii="Arial" w:hAnsi="Arial" w:cs="Arial"/>
                <w:sz w:val="24"/>
                <w:szCs w:val="24"/>
              </w:rPr>
            </w:pPr>
            <w:r w:rsidRPr="00FA3F9C">
              <w:rPr>
                <w:rFonts w:ascii="Arial" w:hAnsi="Arial" w:cs="Arial"/>
                <w:sz w:val="24"/>
                <w:szCs w:val="24"/>
              </w:rPr>
              <w:t>Dupixent received FDA approval for ages 6y+ for atopic dermatitis only.  I revised the criteria.</w:t>
            </w:r>
          </w:p>
        </w:tc>
        <w:tc>
          <w:tcPr>
            <w:tcW w:w="1075" w:type="dxa"/>
          </w:tcPr>
          <w:p w14:paraId="4397894E" w14:textId="3AA47992" w:rsidR="001506C1" w:rsidRPr="00FA3F9C" w:rsidRDefault="005C142D" w:rsidP="006F623F">
            <w:pPr>
              <w:rPr>
                <w:rFonts w:ascii="Arial" w:hAnsi="Arial" w:cs="Arial"/>
                <w:sz w:val="24"/>
                <w:szCs w:val="24"/>
              </w:rPr>
            </w:pPr>
            <w:r w:rsidRPr="00FA3F9C">
              <w:rPr>
                <w:rFonts w:ascii="Arial" w:hAnsi="Arial" w:cs="Arial"/>
                <w:sz w:val="24"/>
                <w:szCs w:val="24"/>
              </w:rPr>
              <w:t>JJ</w:t>
            </w:r>
          </w:p>
        </w:tc>
      </w:tr>
      <w:tr w:rsidR="001506C1" w:rsidRPr="00FA3F9C" w14:paraId="143ADD92" w14:textId="77777777" w:rsidTr="00943BC6">
        <w:tc>
          <w:tcPr>
            <w:tcW w:w="1278" w:type="dxa"/>
          </w:tcPr>
          <w:p w14:paraId="4328A589" w14:textId="77777777" w:rsidR="001506C1" w:rsidRPr="00FA3F9C" w:rsidRDefault="001506C1" w:rsidP="000179D2">
            <w:pPr>
              <w:rPr>
                <w:rFonts w:ascii="Arial" w:hAnsi="Arial" w:cs="Arial"/>
                <w:sz w:val="24"/>
                <w:szCs w:val="24"/>
              </w:rPr>
            </w:pPr>
            <w:r w:rsidRPr="00FA3F9C">
              <w:rPr>
                <w:rFonts w:ascii="Arial" w:hAnsi="Arial" w:cs="Arial"/>
                <w:sz w:val="24"/>
                <w:szCs w:val="24"/>
              </w:rPr>
              <w:t>12/8/2020</w:t>
            </w:r>
          </w:p>
        </w:tc>
        <w:tc>
          <w:tcPr>
            <w:tcW w:w="8437" w:type="dxa"/>
          </w:tcPr>
          <w:p w14:paraId="09633F48" w14:textId="77777777" w:rsidR="001506C1" w:rsidRPr="00FA3F9C" w:rsidRDefault="001506C1" w:rsidP="006F623F">
            <w:pPr>
              <w:rPr>
                <w:rFonts w:ascii="Arial" w:hAnsi="Arial" w:cs="Arial"/>
                <w:sz w:val="24"/>
                <w:szCs w:val="24"/>
              </w:rPr>
            </w:pPr>
            <w:r w:rsidRPr="00FA3F9C">
              <w:rPr>
                <w:rFonts w:ascii="Arial" w:hAnsi="Arial" w:cs="Arial"/>
                <w:sz w:val="24"/>
                <w:szCs w:val="24"/>
              </w:rPr>
              <w:t>For asthma: I added requirement for new users to have sputum eosinophil counts of &gt;300 cells/</w:t>
            </w:r>
            <w:proofErr w:type="spellStart"/>
            <w:r w:rsidRPr="00FA3F9C">
              <w:rPr>
                <w:rFonts w:ascii="Arial" w:hAnsi="Arial" w:cs="Arial"/>
                <w:sz w:val="24"/>
                <w:szCs w:val="24"/>
              </w:rPr>
              <w:t>uL</w:t>
            </w:r>
            <w:proofErr w:type="spellEnd"/>
            <w:r w:rsidRPr="00FA3F9C">
              <w:rPr>
                <w:rFonts w:ascii="Arial" w:hAnsi="Arial" w:cs="Arial"/>
                <w:sz w:val="24"/>
                <w:szCs w:val="24"/>
              </w:rPr>
              <w:t xml:space="preserve">, per ICER comparative effectiveness review.  </w:t>
            </w:r>
          </w:p>
        </w:tc>
        <w:tc>
          <w:tcPr>
            <w:tcW w:w="1075" w:type="dxa"/>
          </w:tcPr>
          <w:p w14:paraId="3F7F5DB6" w14:textId="5AD23F96" w:rsidR="001506C1" w:rsidRPr="00FA3F9C" w:rsidRDefault="005C142D" w:rsidP="006F623F">
            <w:pPr>
              <w:rPr>
                <w:rFonts w:ascii="Arial" w:hAnsi="Arial" w:cs="Arial"/>
                <w:sz w:val="24"/>
                <w:szCs w:val="24"/>
              </w:rPr>
            </w:pPr>
            <w:r w:rsidRPr="00FA3F9C">
              <w:rPr>
                <w:rFonts w:ascii="Arial" w:hAnsi="Arial" w:cs="Arial"/>
                <w:sz w:val="24"/>
                <w:szCs w:val="24"/>
              </w:rPr>
              <w:t>JJ</w:t>
            </w:r>
          </w:p>
        </w:tc>
      </w:tr>
      <w:tr w:rsidR="001506C1" w:rsidRPr="00FA3F9C" w14:paraId="56DFF7EF" w14:textId="77777777" w:rsidTr="00943BC6">
        <w:tc>
          <w:tcPr>
            <w:tcW w:w="1278" w:type="dxa"/>
          </w:tcPr>
          <w:p w14:paraId="3152E456" w14:textId="77777777" w:rsidR="001506C1" w:rsidRPr="00FA3F9C" w:rsidRDefault="001506C1" w:rsidP="000179D2">
            <w:pPr>
              <w:rPr>
                <w:rFonts w:ascii="Arial" w:hAnsi="Arial" w:cs="Arial"/>
                <w:sz w:val="24"/>
                <w:szCs w:val="24"/>
              </w:rPr>
            </w:pPr>
            <w:r w:rsidRPr="00FA3F9C">
              <w:rPr>
                <w:rFonts w:ascii="Arial" w:hAnsi="Arial" w:cs="Arial"/>
                <w:sz w:val="24"/>
                <w:szCs w:val="24"/>
              </w:rPr>
              <w:t>12/10/2020</w:t>
            </w:r>
          </w:p>
        </w:tc>
        <w:tc>
          <w:tcPr>
            <w:tcW w:w="8437" w:type="dxa"/>
          </w:tcPr>
          <w:p w14:paraId="540E76DB" w14:textId="77777777" w:rsidR="001506C1" w:rsidRPr="00FA3F9C" w:rsidRDefault="001506C1" w:rsidP="00943BC6">
            <w:pPr>
              <w:rPr>
                <w:rFonts w:ascii="Arial" w:hAnsi="Arial" w:cs="Arial"/>
                <w:sz w:val="24"/>
                <w:szCs w:val="24"/>
              </w:rPr>
            </w:pPr>
            <w:r w:rsidRPr="00FA3F9C">
              <w:rPr>
                <w:rFonts w:ascii="Arial" w:hAnsi="Arial" w:cs="Arial"/>
                <w:sz w:val="24"/>
                <w:szCs w:val="24"/>
              </w:rPr>
              <w:t xml:space="preserve">For asthma: The box/whisker plot on figure 1 for ref 3 (Castro, et al) showed no benefit in exacerbations for eosinophil count &lt;150 for either dose.  ICER used &gt;300 for dupilumab. I added the definition for med-high dose ICS and the length of trial of ICS before access to dupilumab.  </w:t>
            </w:r>
          </w:p>
          <w:p w14:paraId="49F29191" w14:textId="77777777" w:rsidR="001506C1" w:rsidRPr="00FA3F9C" w:rsidRDefault="001506C1" w:rsidP="00943BC6">
            <w:pPr>
              <w:rPr>
                <w:rFonts w:ascii="Arial" w:hAnsi="Arial" w:cs="Arial"/>
                <w:sz w:val="24"/>
                <w:szCs w:val="24"/>
              </w:rPr>
            </w:pPr>
            <w:r w:rsidRPr="00FA3F9C">
              <w:rPr>
                <w:rFonts w:ascii="Arial" w:hAnsi="Arial" w:cs="Arial"/>
                <w:sz w:val="24"/>
                <w:szCs w:val="24"/>
              </w:rPr>
              <w:lastRenderedPageBreak/>
              <w:t xml:space="preserve">   I also added the requirement that prior to the first dupilumab request, the patient MUST have experienced, within 1 year prior to first request, any of the following:</w:t>
            </w:r>
          </w:p>
          <w:p w14:paraId="79C731A0" w14:textId="77777777" w:rsidR="001506C1" w:rsidRPr="00FA3F9C" w:rsidRDefault="001506C1" w:rsidP="001506C1">
            <w:pPr>
              <w:pStyle w:val="ListParagraph"/>
              <w:numPr>
                <w:ilvl w:val="0"/>
                <w:numId w:val="143"/>
              </w:numPr>
              <w:ind w:left="144" w:hanging="180"/>
              <w:rPr>
                <w:rFonts w:ascii="Arial" w:hAnsi="Arial" w:cs="Arial"/>
                <w:sz w:val="24"/>
                <w:szCs w:val="24"/>
              </w:rPr>
            </w:pPr>
            <w:r w:rsidRPr="00FA3F9C">
              <w:rPr>
                <w:rFonts w:ascii="Arial" w:hAnsi="Arial" w:cs="Arial"/>
                <w:sz w:val="24"/>
                <w:szCs w:val="24"/>
              </w:rPr>
              <w:t>treatment with a systemic steroid (oral or parenteral) for worsening asthma at least once</w:t>
            </w:r>
          </w:p>
          <w:p w14:paraId="69C7D20A" w14:textId="77777777" w:rsidR="001506C1" w:rsidRPr="00FA3F9C" w:rsidRDefault="001506C1" w:rsidP="001506C1">
            <w:pPr>
              <w:pStyle w:val="ListParagraph"/>
              <w:numPr>
                <w:ilvl w:val="0"/>
                <w:numId w:val="143"/>
              </w:numPr>
              <w:ind w:left="144" w:hanging="234"/>
              <w:rPr>
                <w:rFonts w:ascii="Arial" w:hAnsi="Arial" w:cs="Arial"/>
                <w:sz w:val="24"/>
                <w:szCs w:val="24"/>
              </w:rPr>
            </w:pPr>
            <w:r w:rsidRPr="00FA3F9C">
              <w:rPr>
                <w:rFonts w:ascii="Arial" w:hAnsi="Arial" w:cs="Arial"/>
                <w:sz w:val="24"/>
                <w:szCs w:val="24"/>
              </w:rPr>
              <w:t>Hospitalization or emergency medical care visit for worsening asthma</w:t>
            </w:r>
          </w:p>
        </w:tc>
        <w:tc>
          <w:tcPr>
            <w:tcW w:w="1075" w:type="dxa"/>
          </w:tcPr>
          <w:p w14:paraId="31D1C0D8" w14:textId="3F2E3BD8" w:rsidR="001506C1" w:rsidRPr="00FA3F9C" w:rsidRDefault="005C142D" w:rsidP="006F623F">
            <w:pPr>
              <w:rPr>
                <w:rFonts w:ascii="Arial" w:hAnsi="Arial" w:cs="Arial"/>
                <w:sz w:val="24"/>
                <w:szCs w:val="24"/>
              </w:rPr>
            </w:pPr>
            <w:r w:rsidRPr="00FA3F9C">
              <w:rPr>
                <w:rFonts w:ascii="Arial" w:hAnsi="Arial" w:cs="Arial"/>
                <w:sz w:val="24"/>
                <w:szCs w:val="24"/>
              </w:rPr>
              <w:lastRenderedPageBreak/>
              <w:t>JJ</w:t>
            </w:r>
          </w:p>
        </w:tc>
      </w:tr>
      <w:tr w:rsidR="001506C1" w:rsidRPr="00FA3F9C" w14:paraId="22519B5A" w14:textId="77777777" w:rsidTr="00943BC6">
        <w:tc>
          <w:tcPr>
            <w:tcW w:w="1278" w:type="dxa"/>
          </w:tcPr>
          <w:p w14:paraId="69376104" w14:textId="77777777" w:rsidR="001506C1" w:rsidRPr="00FA3F9C" w:rsidRDefault="001506C1" w:rsidP="000179D2">
            <w:pPr>
              <w:rPr>
                <w:rFonts w:ascii="Arial" w:hAnsi="Arial" w:cs="Arial"/>
                <w:sz w:val="24"/>
                <w:szCs w:val="24"/>
              </w:rPr>
            </w:pPr>
            <w:r w:rsidRPr="00FA3F9C">
              <w:rPr>
                <w:rFonts w:ascii="Arial" w:hAnsi="Arial" w:cs="Arial"/>
                <w:sz w:val="24"/>
                <w:szCs w:val="24"/>
              </w:rPr>
              <w:t>7/2021</w:t>
            </w:r>
          </w:p>
        </w:tc>
        <w:tc>
          <w:tcPr>
            <w:tcW w:w="8437" w:type="dxa"/>
          </w:tcPr>
          <w:p w14:paraId="0C91C474" w14:textId="77777777" w:rsidR="001506C1" w:rsidRPr="00FA3F9C" w:rsidRDefault="001506C1" w:rsidP="00943BC6">
            <w:pPr>
              <w:rPr>
                <w:rFonts w:ascii="Arial" w:hAnsi="Arial" w:cs="Arial"/>
                <w:sz w:val="24"/>
                <w:szCs w:val="24"/>
              </w:rPr>
            </w:pPr>
            <w:r w:rsidRPr="00FA3F9C">
              <w:rPr>
                <w:rFonts w:ascii="Arial" w:hAnsi="Arial" w:cs="Arial"/>
                <w:sz w:val="24"/>
                <w:szCs w:val="24"/>
              </w:rPr>
              <w:t>I changed the eosinophil count to &gt;150 for Mod-</w:t>
            </w:r>
            <w:proofErr w:type="spellStart"/>
            <w:r w:rsidRPr="00FA3F9C">
              <w:rPr>
                <w:rFonts w:ascii="Arial" w:hAnsi="Arial" w:cs="Arial"/>
                <w:sz w:val="24"/>
                <w:szCs w:val="24"/>
              </w:rPr>
              <w:t>sev</w:t>
            </w:r>
            <w:proofErr w:type="spellEnd"/>
            <w:r w:rsidRPr="00FA3F9C">
              <w:rPr>
                <w:rFonts w:ascii="Arial" w:hAnsi="Arial" w:cs="Arial"/>
                <w:sz w:val="24"/>
                <w:szCs w:val="24"/>
              </w:rPr>
              <w:t xml:space="preserve"> asthma per Castro, et al. Also added the 2021 GINA Asthma update.</w:t>
            </w:r>
          </w:p>
        </w:tc>
        <w:tc>
          <w:tcPr>
            <w:tcW w:w="1075" w:type="dxa"/>
          </w:tcPr>
          <w:p w14:paraId="4F2A3C21" w14:textId="77777777" w:rsidR="001506C1" w:rsidRPr="00FA3F9C" w:rsidRDefault="001506C1" w:rsidP="006F623F">
            <w:pPr>
              <w:rPr>
                <w:rFonts w:ascii="Arial" w:hAnsi="Arial" w:cs="Arial"/>
                <w:sz w:val="24"/>
                <w:szCs w:val="24"/>
              </w:rPr>
            </w:pPr>
            <w:r w:rsidRPr="00FA3F9C">
              <w:rPr>
                <w:rFonts w:ascii="Arial" w:hAnsi="Arial" w:cs="Arial"/>
                <w:sz w:val="24"/>
                <w:szCs w:val="24"/>
              </w:rPr>
              <w:t>JJ</w:t>
            </w:r>
          </w:p>
        </w:tc>
      </w:tr>
    </w:tbl>
    <w:p w14:paraId="2FC18B9C" w14:textId="77777777" w:rsidR="001506C1" w:rsidRPr="00FA3F9C" w:rsidRDefault="001506C1" w:rsidP="009A03E5">
      <w:pPr>
        <w:spacing w:after="0"/>
        <w:rPr>
          <w:rFonts w:ascii="Arial" w:hAnsi="Arial" w:cs="Arial"/>
          <w:sz w:val="24"/>
          <w:szCs w:val="24"/>
        </w:rPr>
      </w:pPr>
    </w:p>
    <w:p w14:paraId="1B8B2766" w14:textId="77777777" w:rsidR="001506C1" w:rsidRPr="00FA3F9C" w:rsidRDefault="001506C1" w:rsidP="002F3083">
      <w:pPr>
        <w:pStyle w:val="Heading2"/>
      </w:pPr>
      <w:bookmarkStart w:id="81" w:name="_Toc106369776"/>
      <w:r w:rsidRPr="00FA3F9C">
        <w:t>Durvalumab (Imfinzi)</w:t>
      </w:r>
      <w:bookmarkEnd w:id="81"/>
    </w:p>
    <w:p w14:paraId="44733FE2" w14:textId="77777777" w:rsidR="001506C1" w:rsidRPr="00FA3F9C" w:rsidRDefault="001506C1" w:rsidP="006F623F">
      <w:pPr>
        <w:spacing w:after="0"/>
        <w:jc w:val="center"/>
        <w:rPr>
          <w:rFonts w:ascii="Arial" w:hAnsi="Arial" w:cs="Arial"/>
          <w:sz w:val="24"/>
          <w:szCs w:val="24"/>
        </w:rPr>
      </w:pPr>
      <w:r w:rsidRPr="00FA3F9C">
        <w:rPr>
          <w:rFonts w:ascii="Arial" w:hAnsi="Arial" w:cs="Arial"/>
          <w:sz w:val="24"/>
          <w:szCs w:val="24"/>
        </w:rPr>
        <w:t>120mg/2.4mL, 500mg/10mL IV solution</w:t>
      </w:r>
    </w:p>
    <w:p w14:paraId="1466940D" w14:textId="77777777" w:rsidR="001506C1" w:rsidRPr="00FA3F9C" w:rsidRDefault="001506C1" w:rsidP="006F623F">
      <w:pPr>
        <w:spacing w:after="0"/>
        <w:jc w:val="center"/>
        <w:rPr>
          <w:rFonts w:ascii="Arial" w:hAnsi="Arial" w:cs="Arial"/>
          <w:sz w:val="24"/>
          <w:szCs w:val="24"/>
        </w:rPr>
      </w:pPr>
      <w:r w:rsidRPr="00FA3F9C">
        <w:rPr>
          <w:rFonts w:ascii="Arial" w:hAnsi="Arial" w:cs="Arial"/>
          <w:sz w:val="24"/>
          <w:szCs w:val="24"/>
        </w:rPr>
        <w:t>EBRx PA Criteria</w:t>
      </w:r>
    </w:p>
    <w:p w14:paraId="3E4A6D1F" w14:textId="77777777" w:rsidR="001506C1" w:rsidRPr="00FA3F9C" w:rsidRDefault="001506C1" w:rsidP="006F623F">
      <w:pPr>
        <w:spacing w:after="0"/>
        <w:rPr>
          <w:rFonts w:ascii="Arial" w:hAnsi="Arial" w:cs="Arial"/>
          <w:b/>
          <w:sz w:val="24"/>
          <w:szCs w:val="24"/>
          <w:u w:val="single"/>
        </w:rPr>
      </w:pPr>
    </w:p>
    <w:p w14:paraId="48491328" w14:textId="77777777" w:rsidR="001506C1" w:rsidRPr="00FA3F9C" w:rsidRDefault="001506C1" w:rsidP="000106D0">
      <w:pPr>
        <w:spacing w:after="0"/>
        <w:rPr>
          <w:rFonts w:ascii="Arial" w:hAnsi="Arial" w:cs="Arial"/>
          <w:sz w:val="24"/>
          <w:szCs w:val="24"/>
        </w:rPr>
      </w:pPr>
      <w:r w:rsidRPr="00FA3F9C">
        <w:rPr>
          <w:rFonts w:ascii="Arial" w:hAnsi="Arial" w:cs="Arial"/>
          <w:b/>
          <w:sz w:val="24"/>
          <w:szCs w:val="24"/>
          <w:u w:val="single"/>
        </w:rPr>
        <w:t>FDA-approved for:</w:t>
      </w:r>
      <w:r w:rsidRPr="00FA3F9C">
        <w:rPr>
          <w:rFonts w:ascii="Arial" w:hAnsi="Arial" w:cs="Arial"/>
          <w:sz w:val="24"/>
          <w:szCs w:val="24"/>
        </w:rPr>
        <w:t xml:space="preserve">  </w:t>
      </w:r>
    </w:p>
    <w:p w14:paraId="3670B7A7" w14:textId="77777777" w:rsidR="001506C1" w:rsidRPr="00FA3F9C" w:rsidRDefault="001506C1" w:rsidP="001506C1">
      <w:pPr>
        <w:pStyle w:val="ListParagraph"/>
        <w:numPr>
          <w:ilvl w:val="0"/>
          <w:numId w:val="144"/>
        </w:numPr>
        <w:spacing w:after="0"/>
        <w:rPr>
          <w:rFonts w:ascii="Arial" w:hAnsi="Arial" w:cs="Arial"/>
          <w:sz w:val="24"/>
          <w:szCs w:val="24"/>
        </w:rPr>
      </w:pPr>
      <w:r w:rsidRPr="00FA3F9C">
        <w:rPr>
          <w:rFonts w:ascii="Arial" w:hAnsi="Arial" w:cs="Arial"/>
          <w:sz w:val="24"/>
          <w:szCs w:val="24"/>
        </w:rPr>
        <w:t>Unresectable, stage III non-small cell lung cancer (NSCLC), whose disease has not progressed following concurrent platinum-based chemotherapy and radiation therapy</w:t>
      </w:r>
    </w:p>
    <w:p w14:paraId="1D425E82" w14:textId="77777777" w:rsidR="001506C1" w:rsidRPr="00FA3F9C" w:rsidRDefault="001506C1" w:rsidP="001506C1">
      <w:pPr>
        <w:pStyle w:val="ListParagraph"/>
        <w:numPr>
          <w:ilvl w:val="0"/>
          <w:numId w:val="144"/>
        </w:numPr>
        <w:spacing w:after="0"/>
        <w:rPr>
          <w:rFonts w:ascii="Arial" w:hAnsi="Arial" w:cs="Arial"/>
          <w:sz w:val="24"/>
          <w:szCs w:val="24"/>
        </w:rPr>
      </w:pPr>
      <w:r w:rsidRPr="00FA3F9C">
        <w:rPr>
          <w:rFonts w:ascii="Arial" w:hAnsi="Arial" w:cs="Arial"/>
          <w:sz w:val="24"/>
          <w:szCs w:val="24"/>
        </w:rPr>
        <w:t>In combination with etoposide and either carboplatin or cisplatin, as first-line treatment of adult patients with extensive-stage small cell lung cancer (ES-SCLC)</w:t>
      </w:r>
    </w:p>
    <w:p w14:paraId="163056BA" w14:textId="77777777" w:rsidR="001506C1" w:rsidRPr="00FA3F9C" w:rsidRDefault="001506C1" w:rsidP="006F623F">
      <w:pPr>
        <w:spacing w:after="0"/>
        <w:rPr>
          <w:rFonts w:ascii="Arial" w:hAnsi="Arial" w:cs="Arial"/>
          <w:sz w:val="24"/>
          <w:szCs w:val="24"/>
        </w:rPr>
      </w:pPr>
    </w:p>
    <w:tbl>
      <w:tblPr>
        <w:tblStyle w:val="TableGrid"/>
        <w:tblW w:w="0" w:type="auto"/>
        <w:tblLook w:val="04A0" w:firstRow="1" w:lastRow="0" w:firstColumn="1" w:lastColumn="0" w:noHBand="0" w:noVBand="1"/>
      </w:tblPr>
      <w:tblGrid>
        <w:gridCol w:w="8928"/>
        <w:gridCol w:w="2088"/>
      </w:tblGrid>
      <w:tr w:rsidR="001506C1" w:rsidRPr="00FA3F9C" w14:paraId="20B3F898" w14:textId="77777777" w:rsidTr="00FD41FA">
        <w:tc>
          <w:tcPr>
            <w:tcW w:w="8928" w:type="dxa"/>
            <w:shd w:val="clear" w:color="auto" w:fill="000000"/>
          </w:tcPr>
          <w:p w14:paraId="577BEB92" w14:textId="77777777" w:rsidR="001506C1" w:rsidRPr="00FA3F9C" w:rsidRDefault="001506C1" w:rsidP="00FD41FA">
            <w:pPr>
              <w:rPr>
                <w:rFonts w:ascii="Arial" w:hAnsi="Arial" w:cs="Arial"/>
                <w:b/>
                <w:sz w:val="24"/>
                <w:szCs w:val="24"/>
                <w:u w:val="single"/>
              </w:rPr>
            </w:pPr>
            <w:r w:rsidRPr="00FA3F9C">
              <w:rPr>
                <w:rFonts w:ascii="Arial" w:hAnsi="Arial" w:cs="Arial"/>
                <w:b/>
                <w:sz w:val="24"/>
                <w:szCs w:val="24"/>
                <w:u w:val="single"/>
              </w:rPr>
              <w:t>Non-Small Cell Lung Cancer</w:t>
            </w:r>
          </w:p>
        </w:tc>
        <w:tc>
          <w:tcPr>
            <w:tcW w:w="2088" w:type="dxa"/>
            <w:shd w:val="clear" w:color="auto" w:fill="000000"/>
          </w:tcPr>
          <w:p w14:paraId="48091D40" w14:textId="77777777" w:rsidR="001506C1" w:rsidRPr="00FA3F9C" w:rsidRDefault="001506C1" w:rsidP="00FD41FA">
            <w:pPr>
              <w:jc w:val="center"/>
              <w:rPr>
                <w:rFonts w:ascii="Arial" w:hAnsi="Arial" w:cs="Arial"/>
                <w:b/>
                <w:sz w:val="24"/>
                <w:szCs w:val="24"/>
                <w:u w:val="single"/>
              </w:rPr>
            </w:pPr>
          </w:p>
        </w:tc>
      </w:tr>
      <w:tr w:rsidR="001506C1" w:rsidRPr="00FA3F9C" w14:paraId="4F6F9E1E" w14:textId="77777777" w:rsidTr="00FD41FA">
        <w:tc>
          <w:tcPr>
            <w:tcW w:w="11016" w:type="dxa"/>
            <w:gridSpan w:val="2"/>
          </w:tcPr>
          <w:p w14:paraId="3354989D" w14:textId="77777777" w:rsidR="001506C1" w:rsidRPr="00FA3F9C" w:rsidRDefault="001506C1" w:rsidP="00FD41FA">
            <w:pPr>
              <w:rPr>
                <w:rFonts w:ascii="Arial" w:hAnsi="Arial" w:cs="Arial"/>
                <w:sz w:val="24"/>
                <w:szCs w:val="24"/>
              </w:rPr>
            </w:pPr>
            <w:r w:rsidRPr="00FA3F9C">
              <w:rPr>
                <w:rFonts w:ascii="Arial" w:hAnsi="Arial" w:cs="Arial"/>
                <w:sz w:val="24"/>
                <w:szCs w:val="24"/>
              </w:rPr>
              <w:t>1. Diagnosis of stage III, unresectable non-small cell lung cancer (NSCLC)</w:t>
            </w:r>
          </w:p>
        </w:tc>
      </w:tr>
      <w:tr w:rsidR="001506C1" w:rsidRPr="00FA3F9C" w14:paraId="2EB1E919" w14:textId="77777777" w:rsidTr="00FD41FA">
        <w:tc>
          <w:tcPr>
            <w:tcW w:w="11016" w:type="dxa"/>
            <w:gridSpan w:val="2"/>
          </w:tcPr>
          <w:p w14:paraId="0811D1FF" w14:textId="77777777" w:rsidR="001506C1" w:rsidRPr="00FA3F9C" w:rsidRDefault="001506C1" w:rsidP="00FD41FA">
            <w:pPr>
              <w:rPr>
                <w:rFonts w:ascii="Arial" w:hAnsi="Arial" w:cs="Arial"/>
                <w:sz w:val="24"/>
                <w:szCs w:val="24"/>
              </w:rPr>
            </w:pPr>
            <w:r w:rsidRPr="00FA3F9C">
              <w:rPr>
                <w:rFonts w:ascii="Arial" w:hAnsi="Arial" w:cs="Arial"/>
                <w:sz w:val="24"/>
                <w:szCs w:val="24"/>
              </w:rPr>
              <w:t>2. Patient must have received at least two cycles of platinum-based chemotherapy (containing either cisplatin or carboplatin along with etoposide, vinblastine, vinorelbine, paclitaxel, docetaxel, or pemetrexed).</w:t>
            </w:r>
          </w:p>
        </w:tc>
      </w:tr>
      <w:tr w:rsidR="001506C1" w:rsidRPr="00FA3F9C" w14:paraId="3CED2167" w14:textId="77777777" w:rsidTr="00FD41FA">
        <w:tc>
          <w:tcPr>
            <w:tcW w:w="11016" w:type="dxa"/>
            <w:gridSpan w:val="2"/>
          </w:tcPr>
          <w:p w14:paraId="7A48262A" w14:textId="77777777" w:rsidR="001506C1" w:rsidRPr="00FA3F9C" w:rsidRDefault="001506C1" w:rsidP="00FD41FA">
            <w:pPr>
              <w:rPr>
                <w:rFonts w:ascii="Arial" w:hAnsi="Arial" w:cs="Arial"/>
                <w:sz w:val="24"/>
                <w:szCs w:val="24"/>
              </w:rPr>
            </w:pPr>
            <w:r w:rsidRPr="00FA3F9C">
              <w:rPr>
                <w:rFonts w:ascii="Arial" w:hAnsi="Arial" w:cs="Arial"/>
                <w:sz w:val="24"/>
                <w:szCs w:val="24"/>
              </w:rPr>
              <w:t>3. Must NOT have had progression after platinum-based, concurrent chemoradiotherapy (verified with imaging such as CT or MRI done after completion of radiation)</w:t>
            </w:r>
          </w:p>
        </w:tc>
      </w:tr>
      <w:tr w:rsidR="001506C1" w:rsidRPr="00FA3F9C" w14:paraId="2DFE60CE" w14:textId="77777777" w:rsidTr="00FD41FA">
        <w:tc>
          <w:tcPr>
            <w:tcW w:w="11016" w:type="dxa"/>
            <w:gridSpan w:val="2"/>
          </w:tcPr>
          <w:p w14:paraId="702747E7" w14:textId="77777777" w:rsidR="001506C1" w:rsidRPr="00FA3F9C" w:rsidRDefault="001506C1" w:rsidP="00FD41FA">
            <w:pPr>
              <w:rPr>
                <w:rFonts w:ascii="Arial" w:hAnsi="Arial" w:cs="Arial"/>
                <w:sz w:val="24"/>
                <w:szCs w:val="24"/>
              </w:rPr>
            </w:pPr>
            <w:r w:rsidRPr="00FA3F9C">
              <w:rPr>
                <w:rFonts w:ascii="Arial" w:hAnsi="Arial" w:cs="Arial"/>
                <w:sz w:val="24"/>
                <w:szCs w:val="24"/>
              </w:rPr>
              <w:t>4. Last chemoradiation session must have been no more than 42 days ago, from first request of durvalumab.</w:t>
            </w:r>
          </w:p>
        </w:tc>
      </w:tr>
      <w:tr w:rsidR="001506C1" w:rsidRPr="00FA3F9C" w14:paraId="7ECA0F59" w14:textId="77777777" w:rsidTr="00494B2C">
        <w:tc>
          <w:tcPr>
            <w:tcW w:w="11016" w:type="dxa"/>
            <w:gridSpan w:val="2"/>
            <w:shd w:val="clear" w:color="auto" w:fill="F2F2F2" w:themeFill="background1" w:themeFillShade="F2"/>
          </w:tcPr>
          <w:p w14:paraId="12D48A4B" w14:textId="77777777" w:rsidR="001506C1" w:rsidRPr="00FA3F9C" w:rsidRDefault="001506C1" w:rsidP="00494B2C">
            <w:pPr>
              <w:rPr>
                <w:rFonts w:ascii="Arial" w:hAnsi="Arial" w:cs="Arial"/>
                <w:sz w:val="24"/>
                <w:szCs w:val="24"/>
              </w:rPr>
            </w:pPr>
            <w:r w:rsidRPr="00FA3F9C">
              <w:rPr>
                <w:rFonts w:ascii="Arial" w:hAnsi="Arial" w:cs="Arial"/>
                <w:sz w:val="24"/>
                <w:szCs w:val="24"/>
              </w:rPr>
              <w:t>If all criteria are met, approve x 1 year. Maximum duration of therapy for this indication is 1 year. No renewals allowed.</w:t>
            </w:r>
          </w:p>
        </w:tc>
      </w:tr>
      <w:tr w:rsidR="001506C1" w:rsidRPr="00FA3F9C" w14:paraId="60DC604D" w14:textId="77777777" w:rsidTr="00494B2C">
        <w:tc>
          <w:tcPr>
            <w:tcW w:w="11016" w:type="dxa"/>
            <w:gridSpan w:val="2"/>
            <w:shd w:val="clear" w:color="auto" w:fill="D9D9D9" w:themeFill="background1" w:themeFillShade="D9"/>
          </w:tcPr>
          <w:p w14:paraId="28BBBAB3" w14:textId="77777777" w:rsidR="001506C1" w:rsidRPr="00FA3F9C" w:rsidRDefault="001506C1" w:rsidP="00FD41FA">
            <w:pPr>
              <w:rPr>
                <w:rFonts w:ascii="Arial" w:hAnsi="Arial" w:cs="Arial"/>
                <w:sz w:val="24"/>
                <w:szCs w:val="24"/>
              </w:rPr>
            </w:pPr>
            <w:r w:rsidRPr="00FA3F9C">
              <w:rPr>
                <w:rFonts w:ascii="Arial" w:hAnsi="Arial" w:cs="Arial"/>
                <w:sz w:val="24"/>
                <w:szCs w:val="24"/>
              </w:rPr>
              <w:t>Notes:</w:t>
            </w:r>
          </w:p>
          <w:p w14:paraId="44F6381F" w14:textId="77777777" w:rsidR="001506C1" w:rsidRPr="00FA3F9C" w:rsidRDefault="001506C1" w:rsidP="00FD41FA">
            <w:pPr>
              <w:rPr>
                <w:rFonts w:ascii="Arial" w:hAnsi="Arial" w:cs="Arial"/>
                <w:sz w:val="24"/>
                <w:szCs w:val="24"/>
              </w:rPr>
            </w:pPr>
          </w:p>
          <w:p w14:paraId="34D3E7F6" w14:textId="77777777" w:rsidR="001506C1" w:rsidRPr="00FA3F9C" w:rsidRDefault="001506C1" w:rsidP="00FD41FA">
            <w:pPr>
              <w:rPr>
                <w:rFonts w:ascii="Arial" w:hAnsi="Arial" w:cs="Arial"/>
                <w:sz w:val="24"/>
                <w:szCs w:val="24"/>
              </w:rPr>
            </w:pPr>
            <w:r w:rsidRPr="00FA3F9C">
              <w:rPr>
                <w:rFonts w:ascii="Arial" w:hAnsi="Arial" w:cs="Arial"/>
                <w:sz w:val="24"/>
                <w:szCs w:val="24"/>
              </w:rPr>
              <w:lastRenderedPageBreak/>
              <w:t>Dose: 10mg/kg q2w for a maximum of 1 year</w:t>
            </w:r>
          </w:p>
          <w:p w14:paraId="40769505" w14:textId="77777777" w:rsidR="001506C1" w:rsidRPr="00FA3F9C" w:rsidRDefault="001506C1" w:rsidP="00FD41FA">
            <w:pPr>
              <w:rPr>
                <w:rFonts w:ascii="Arial" w:hAnsi="Arial" w:cs="Arial"/>
                <w:sz w:val="24"/>
                <w:szCs w:val="24"/>
              </w:rPr>
            </w:pPr>
          </w:p>
          <w:p w14:paraId="203FB3B0" w14:textId="77777777" w:rsidR="001506C1" w:rsidRPr="00FA3F9C" w:rsidRDefault="001506C1" w:rsidP="00494B2C">
            <w:pPr>
              <w:rPr>
                <w:rFonts w:ascii="Arial" w:hAnsi="Arial" w:cs="Arial"/>
                <w:b/>
                <w:sz w:val="24"/>
                <w:szCs w:val="24"/>
              </w:rPr>
            </w:pPr>
            <w:r w:rsidRPr="00FA3F9C">
              <w:rPr>
                <w:rFonts w:ascii="Arial" w:hAnsi="Arial" w:cs="Arial"/>
                <w:b/>
                <w:sz w:val="24"/>
                <w:szCs w:val="24"/>
                <w:vertAlign w:val="superscript"/>
              </w:rPr>
              <w:t>1</w:t>
            </w:r>
            <w:r w:rsidRPr="00FA3F9C">
              <w:rPr>
                <w:rFonts w:ascii="Arial" w:hAnsi="Arial" w:cs="Arial"/>
                <w:b/>
                <w:sz w:val="24"/>
                <w:szCs w:val="24"/>
              </w:rPr>
              <w:t xml:space="preserve">PACIFIC Trial:  Phase III, RCT, durvalumab IV 10mg/kg or placebo q2w for 12 m.  1` </w:t>
            </w:r>
            <w:proofErr w:type="spellStart"/>
            <w:r w:rsidRPr="00FA3F9C">
              <w:rPr>
                <w:rFonts w:ascii="Arial" w:hAnsi="Arial" w:cs="Arial"/>
                <w:b/>
                <w:sz w:val="24"/>
                <w:szCs w:val="24"/>
              </w:rPr>
              <w:t>endpts</w:t>
            </w:r>
            <w:proofErr w:type="spellEnd"/>
            <w:r w:rsidRPr="00FA3F9C">
              <w:rPr>
                <w:rFonts w:ascii="Arial" w:hAnsi="Arial" w:cs="Arial"/>
                <w:b/>
                <w:sz w:val="24"/>
                <w:szCs w:val="24"/>
              </w:rPr>
              <w:t xml:space="preserve"> were PFS and OS; 2` </w:t>
            </w:r>
            <w:proofErr w:type="spellStart"/>
            <w:r w:rsidRPr="00FA3F9C">
              <w:rPr>
                <w:rFonts w:ascii="Arial" w:hAnsi="Arial" w:cs="Arial"/>
                <w:b/>
                <w:sz w:val="24"/>
                <w:szCs w:val="24"/>
              </w:rPr>
              <w:t>endpts</w:t>
            </w:r>
            <w:proofErr w:type="spellEnd"/>
            <w:r w:rsidRPr="00FA3F9C">
              <w:rPr>
                <w:rFonts w:ascii="Arial" w:hAnsi="Arial" w:cs="Arial"/>
                <w:b/>
                <w:sz w:val="24"/>
                <w:szCs w:val="24"/>
              </w:rPr>
              <w:t xml:space="preserve"> time to death or distant </w:t>
            </w:r>
            <w:proofErr w:type="spellStart"/>
            <w:r w:rsidRPr="00FA3F9C">
              <w:rPr>
                <w:rFonts w:ascii="Arial" w:hAnsi="Arial" w:cs="Arial"/>
                <w:b/>
                <w:sz w:val="24"/>
                <w:szCs w:val="24"/>
              </w:rPr>
              <w:t>mets</w:t>
            </w:r>
            <w:proofErr w:type="spellEnd"/>
            <w:r w:rsidRPr="00FA3F9C">
              <w:rPr>
                <w:rFonts w:ascii="Arial" w:hAnsi="Arial" w:cs="Arial"/>
                <w:b/>
                <w:sz w:val="24"/>
                <w:szCs w:val="24"/>
              </w:rPr>
              <w:t>, time to second progression, safety.  N=713 (709 received the assigned interventions: 473 durvalumab, 236 placebo). Median f/u 25.2m. 24m OS was 66.3% (95%CI,61.7 to 70.4m) vs 55.6% (95%CI 48.9 to 61.8m, p=0.0005).  HR for death 0.68; 99.73%CI 0.47 to 0.997; p=0.00025)</w:t>
            </w:r>
          </w:p>
          <w:tbl>
            <w:tblPr>
              <w:tblStyle w:val="TableGrid"/>
              <w:tblW w:w="0" w:type="auto"/>
              <w:tblLook w:val="04A0" w:firstRow="1" w:lastRow="0" w:firstColumn="1" w:lastColumn="0" w:noHBand="0" w:noVBand="1"/>
            </w:tblPr>
            <w:tblGrid>
              <w:gridCol w:w="1604"/>
              <w:gridCol w:w="3103"/>
              <w:gridCol w:w="1544"/>
              <w:gridCol w:w="1313"/>
              <w:gridCol w:w="1140"/>
              <w:gridCol w:w="1043"/>
              <w:gridCol w:w="1043"/>
            </w:tblGrid>
            <w:tr w:rsidR="001506C1" w:rsidRPr="00FA3F9C" w14:paraId="430CFC2C" w14:textId="77777777" w:rsidTr="00FD41FA">
              <w:tc>
                <w:tcPr>
                  <w:tcW w:w="1239" w:type="dxa"/>
                </w:tcPr>
                <w:p w14:paraId="46DD3CBB" w14:textId="77777777" w:rsidR="001506C1" w:rsidRPr="00FA3F9C" w:rsidRDefault="001506C1" w:rsidP="00494B2C">
                  <w:pPr>
                    <w:rPr>
                      <w:rFonts w:ascii="Arial" w:hAnsi="Arial" w:cs="Arial"/>
                      <w:b/>
                      <w:sz w:val="24"/>
                      <w:szCs w:val="24"/>
                    </w:rPr>
                  </w:pPr>
                </w:p>
              </w:tc>
              <w:tc>
                <w:tcPr>
                  <w:tcW w:w="3390" w:type="dxa"/>
                </w:tcPr>
                <w:p w14:paraId="306FAAF3" w14:textId="77777777" w:rsidR="001506C1" w:rsidRPr="00FA3F9C" w:rsidRDefault="001506C1" w:rsidP="00494B2C">
                  <w:pPr>
                    <w:rPr>
                      <w:rFonts w:ascii="Arial" w:hAnsi="Arial" w:cs="Arial"/>
                      <w:b/>
                      <w:sz w:val="24"/>
                      <w:szCs w:val="24"/>
                    </w:rPr>
                  </w:pPr>
                  <w:r w:rsidRPr="00FA3F9C">
                    <w:rPr>
                      <w:rFonts w:ascii="Arial" w:hAnsi="Arial" w:cs="Arial"/>
                      <w:b/>
                      <w:sz w:val="24"/>
                      <w:szCs w:val="24"/>
                    </w:rPr>
                    <w:t>Median OS</w:t>
                  </w:r>
                </w:p>
              </w:tc>
              <w:tc>
                <w:tcPr>
                  <w:tcW w:w="1620" w:type="dxa"/>
                </w:tcPr>
                <w:p w14:paraId="46FDFE06" w14:textId="77777777" w:rsidR="001506C1" w:rsidRPr="00FA3F9C" w:rsidRDefault="001506C1" w:rsidP="00494B2C">
                  <w:pPr>
                    <w:rPr>
                      <w:rFonts w:ascii="Arial" w:hAnsi="Arial" w:cs="Arial"/>
                      <w:b/>
                      <w:sz w:val="24"/>
                      <w:szCs w:val="24"/>
                    </w:rPr>
                  </w:pPr>
                  <w:r w:rsidRPr="00FA3F9C">
                    <w:rPr>
                      <w:rFonts w:ascii="Arial" w:hAnsi="Arial" w:cs="Arial"/>
                      <w:b/>
                      <w:sz w:val="24"/>
                      <w:szCs w:val="24"/>
                    </w:rPr>
                    <w:t>12 m OS rate (95%CI)</w:t>
                  </w:r>
                </w:p>
              </w:tc>
              <w:tc>
                <w:tcPr>
                  <w:tcW w:w="1350" w:type="dxa"/>
                </w:tcPr>
                <w:p w14:paraId="19070C8A" w14:textId="77777777" w:rsidR="001506C1" w:rsidRPr="00FA3F9C" w:rsidRDefault="001506C1" w:rsidP="00494B2C">
                  <w:pPr>
                    <w:rPr>
                      <w:rFonts w:ascii="Arial" w:hAnsi="Arial" w:cs="Arial"/>
                      <w:b/>
                      <w:sz w:val="24"/>
                      <w:szCs w:val="24"/>
                    </w:rPr>
                  </w:pPr>
                  <w:r w:rsidRPr="00FA3F9C">
                    <w:rPr>
                      <w:rFonts w:ascii="Arial" w:hAnsi="Arial" w:cs="Arial"/>
                      <w:b/>
                      <w:sz w:val="24"/>
                      <w:szCs w:val="24"/>
                    </w:rPr>
                    <w:t>24m OS rate (95%CI)</w:t>
                  </w:r>
                </w:p>
              </w:tc>
              <w:tc>
                <w:tcPr>
                  <w:tcW w:w="1170" w:type="dxa"/>
                </w:tcPr>
                <w:p w14:paraId="3E78D43D" w14:textId="77777777" w:rsidR="001506C1" w:rsidRPr="00FA3F9C" w:rsidRDefault="001506C1" w:rsidP="00494B2C">
                  <w:pPr>
                    <w:rPr>
                      <w:rFonts w:ascii="Arial" w:hAnsi="Arial" w:cs="Arial"/>
                      <w:b/>
                      <w:sz w:val="24"/>
                      <w:szCs w:val="24"/>
                    </w:rPr>
                  </w:pPr>
                  <w:r w:rsidRPr="00FA3F9C">
                    <w:rPr>
                      <w:rFonts w:ascii="Arial" w:hAnsi="Arial" w:cs="Arial"/>
                      <w:b/>
                      <w:sz w:val="24"/>
                      <w:szCs w:val="24"/>
                    </w:rPr>
                    <w:t>Harms Grade 3/4 AEs</w:t>
                  </w:r>
                </w:p>
              </w:tc>
              <w:tc>
                <w:tcPr>
                  <w:tcW w:w="881" w:type="dxa"/>
                </w:tcPr>
                <w:p w14:paraId="3C72F44A" w14:textId="77777777" w:rsidR="001506C1" w:rsidRPr="00FA3F9C" w:rsidRDefault="001506C1" w:rsidP="00494B2C">
                  <w:pPr>
                    <w:rPr>
                      <w:rFonts w:ascii="Arial" w:hAnsi="Arial" w:cs="Arial"/>
                      <w:b/>
                      <w:sz w:val="24"/>
                      <w:szCs w:val="24"/>
                    </w:rPr>
                  </w:pPr>
                  <w:r w:rsidRPr="00FA3F9C">
                    <w:rPr>
                      <w:rFonts w:ascii="Arial" w:hAnsi="Arial" w:cs="Arial"/>
                      <w:b/>
                      <w:sz w:val="24"/>
                      <w:szCs w:val="24"/>
                    </w:rPr>
                    <w:t>Harms:</w:t>
                  </w:r>
                </w:p>
                <w:p w14:paraId="21128357" w14:textId="77777777" w:rsidR="001506C1" w:rsidRPr="00FA3F9C" w:rsidRDefault="001506C1" w:rsidP="00494B2C">
                  <w:pPr>
                    <w:rPr>
                      <w:rFonts w:ascii="Arial" w:hAnsi="Arial" w:cs="Arial"/>
                      <w:b/>
                      <w:sz w:val="24"/>
                      <w:szCs w:val="24"/>
                    </w:rPr>
                  </w:pPr>
                  <w:r w:rsidRPr="00FA3F9C">
                    <w:rPr>
                      <w:rFonts w:ascii="Arial" w:hAnsi="Arial" w:cs="Arial"/>
                      <w:b/>
                      <w:sz w:val="24"/>
                      <w:szCs w:val="24"/>
                    </w:rPr>
                    <w:t>DC 2` AEs</w:t>
                  </w:r>
                </w:p>
              </w:tc>
              <w:tc>
                <w:tcPr>
                  <w:tcW w:w="691" w:type="dxa"/>
                </w:tcPr>
                <w:p w14:paraId="5E456CE2" w14:textId="77777777" w:rsidR="001506C1" w:rsidRPr="00FA3F9C" w:rsidRDefault="001506C1" w:rsidP="00494B2C">
                  <w:pPr>
                    <w:rPr>
                      <w:rFonts w:ascii="Arial" w:hAnsi="Arial" w:cs="Arial"/>
                      <w:b/>
                      <w:sz w:val="24"/>
                      <w:szCs w:val="24"/>
                    </w:rPr>
                  </w:pPr>
                  <w:r w:rsidRPr="00FA3F9C">
                    <w:rPr>
                      <w:rFonts w:ascii="Arial" w:hAnsi="Arial" w:cs="Arial"/>
                      <w:b/>
                      <w:sz w:val="24"/>
                      <w:szCs w:val="24"/>
                    </w:rPr>
                    <w:t>Harms:</w:t>
                  </w:r>
                </w:p>
                <w:p w14:paraId="286EF07F" w14:textId="77777777" w:rsidR="001506C1" w:rsidRPr="00FA3F9C" w:rsidRDefault="001506C1" w:rsidP="00494B2C">
                  <w:pPr>
                    <w:rPr>
                      <w:rFonts w:ascii="Arial" w:hAnsi="Arial" w:cs="Arial"/>
                      <w:b/>
                      <w:sz w:val="24"/>
                      <w:szCs w:val="24"/>
                    </w:rPr>
                  </w:pPr>
                  <w:r w:rsidRPr="00FA3F9C">
                    <w:rPr>
                      <w:rFonts w:ascii="Arial" w:hAnsi="Arial" w:cs="Arial"/>
                      <w:b/>
                      <w:sz w:val="24"/>
                      <w:szCs w:val="24"/>
                    </w:rPr>
                    <w:t>SAEs</w:t>
                  </w:r>
                </w:p>
              </w:tc>
            </w:tr>
            <w:tr w:rsidR="001506C1" w:rsidRPr="00FA3F9C" w14:paraId="74C48B4C" w14:textId="77777777" w:rsidTr="00FD41FA">
              <w:tc>
                <w:tcPr>
                  <w:tcW w:w="1239" w:type="dxa"/>
                </w:tcPr>
                <w:p w14:paraId="6432FB20" w14:textId="77777777" w:rsidR="001506C1" w:rsidRPr="00FA3F9C" w:rsidRDefault="001506C1" w:rsidP="00494B2C">
                  <w:pPr>
                    <w:rPr>
                      <w:rFonts w:ascii="Arial" w:hAnsi="Arial" w:cs="Arial"/>
                      <w:b/>
                      <w:sz w:val="24"/>
                      <w:szCs w:val="24"/>
                    </w:rPr>
                  </w:pPr>
                  <w:r w:rsidRPr="00FA3F9C">
                    <w:rPr>
                      <w:rFonts w:ascii="Arial" w:hAnsi="Arial" w:cs="Arial"/>
                      <w:b/>
                      <w:sz w:val="24"/>
                      <w:szCs w:val="24"/>
                    </w:rPr>
                    <w:t>Durvalumab</w:t>
                  </w:r>
                </w:p>
              </w:tc>
              <w:tc>
                <w:tcPr>
                  <w:tcW w:w="3390" w:type="dxa"/>
                </w:tcPr>
                <w:p w14:paraId="12D8DDFC" w14:textId="77777777" w:rsidR="001506C1" w:rsidRPr="00FA3F9C" w:rsidRDefault="001506C1" w:rsidP="00494B2C">
                  <w:pPr>
                    <w:rPr>
                      <w:rFonts w:ascii="Arial" w:hAnsi="Arial" w:cs="Arial"/>
                      <w:b/>
                      <w:sz w:val="24"/>
                      <w:szCs w:val="24"/>
                    </w:rPr>
                  </w:pPr>
                  <w:r w:rsidRPr="00FA3F9C">
                    <w:rPr>
                      <w:rFonts w:ascii="Arial" w:hAnsi="Arial" w:cs="Arial"/>
                      <w:b/>
                      <w:sz w:val="24"/>
                      <w:szCs w:val="24"/>
                    </w:rPr>
                    <w:t>NR (34.7-NR)</w:t>
                  </w:r>
                </w:p>
              </w:tc>
              <w:tc>
                <w:tcPr>
                  <w:tcW w:w="1620" w:type="dxa"/>
                </w:tcPr>
                <w:p w14:paraId="24C8BA7B" w14:textId="77777777" w:rsidR="001506C1" w:rsidRPr="00FA3F9C" w:rsidRDefault="001506C1" w:rsidP="00494B2C">
                  <w:pPr>
                    <w:rPr>
                      <w:rFonts w:ascii="Arial" w:hAnsi="Arial" w:cs="Arial"/>
                      <w:b/>
                      <w:sz w:val="24"/>
                      <w:szCs w:val="24"/>
                    </w:rPr>
                  </w:pPr>
                  <w:r w:rsidRPr="00FA3F9C">
                    <w:rPr>
                      <w:rFonts w:ascii="Arial" w:hAnsi="Arial" w:cs="Arial"/>
                      <w:b/>
                      <w:sz w:val="24"/>
                      <w:szCs w:val="24"/>
                    </w:rPr>
                    <w:t>83.1% (79.4-86.2)</w:t>
                  </w:r>
                </w:p>
              </w:tc>
              <w:tc>
                <w:tcPr>
                  <w:tcW w:w="1350" w:type="dxa"/>
                </w:tcPr>
                <w:p w14:paraId="43A6C16C" w14:textId="77777777" w:rsidR="001506C1" w:rsidRPr="00FA3F9C" w:rsidRDefault="001506C1" w:rsidP="00494B2C">
                  <w:pPr>
                    <w:rPr>
                      <w:rFonts w:ascii="Arial" w:hAnsi="Arial" w:cs="Arial"/>
                      <w:b/>
                      <w:sz w:val="24"/>
                      <w:szCs w:val="24"/>
                    </w:rPr>
                  </w:pPr>
                  <w:r w:rsidRPr="00FA3F9C">
                    <w:rPr>
                      <w:rFonts w:ascii="Arial" w:hAnsi="Arial" w:cs="Arial"/>
                      <w:b/>
                      <w:sz w:val="24"/>
                      <w:szCs w:val="24"/>
                    </w:rPr>
                    <w:t>66.3 (61.7-70.4)</w:t>
                  </w:r>
                </w:p>
              </w:tc>
              <w:tc>
                <w:tcPr>
                  <w:tcW w:w="1170" w:type="dxa"/>
                </w:tcPr>
                <w:p w14:paraId="6F5723AC" w14:textId="77777777" w:rsidR="001506C1" w:rsidRPr="00FA3F9C" w:rsidRDefault="001506C1" w:rsidP="00494B2C">
                  <w:pPr>
                    <w:rPr>
                      <w:rFonts w:ascii="Arial" w:hAnsi="Arial" w:cs="Arial"/>
                      <w:b/>
                      <w:sz w:val="24"/>
                      <w:szCs w:val="24"/>
                    </w:rPr>
                  </w:pPr>
                  <w:r w:rsidRPr="00FA3F9C">
                    <w:rPr>
                      <w:rFonts w:ascii="Arial" w:hAnsi="Arial" w:cs="Arial"/>
                      <w:b/>
                      <w:sz w:val="24"/>
                      <w:szCs w:val="24"/>
                    </w:rPr>
                    <w:t>30.5%</w:t>
                  </w:r>
                </w:p>
              </w:tc>
              <w:tc>
                <w:tcPr>
                  <w:tcW w:w="881" w:type="dxa"/>
                </w:tcPr>
                <w:p w14:paraId="7D007CB6" w14:textId="77777777" w:rsidR="001506C1" w:rsidRPr="00FA3F9C" w:rsidRDefault="001506C1" w:rsidP="00494B2C">
                  <w:pPr>
                    <w:rPr>
                      <w:rFonts w:ascii="Arial" w:hAnsi="Arial" w:cs="Arial"/>
                      <w:b/>
                      <w:sz w:val="24"/>
                      <w:szCs w:val="24"/>
                    </w:rPr>
                  </w:pPr>
                  <w:r w:rsidRPr="00FA3F9C">
                    <w:rPr>
                      <w:rFonts w:ascii="Arial" w:hAnsi="Arial" w:cs="Arial"/>
                      <w:b/>
                      <w:sz w:val="24"/>
                      <w:szCs w:val="24"/>
                    </w:rPr>
                    <w:t>15.4%</w:t>
                  </w:r>
                </w:p>
              </w:tc>
              <w:tc>
                <w:tcPr>
                  <w:tcW w:w="691" w:type="dxa"/>
                </w:tcPr>
                <w:p w14:paraId="16BD3C71" w14:textId="77777777" w:rsidR="001506C1" w:rsidRPr="00FA3F9C" w:rsidRDefault="001506C1" w:rsidP="00494B2C">
                  <w:pPr>
                    <w:rPr>
                      <w:rFonts w:ascii="Arial" w:hAnsi="Arial" w:cs="Arial"/>
                      <w:b/>
                      <w:sz w:val="24"/>
                      <w:szCs w:val="24"/>
                    </w:rPr>
                  </w:pPr>
                  <w:r w:rsidRPr="00FA3F9C">
                    <w:rPr>
                      <w:rFonts w:ascii="Arial" w:hAnsi="Arial" w:cs="Arial"/>
                      <w:b/>
                      <w:sz w:val="24"/>
                      <w:szCs w:val="24"/>
                    </w:rPr>
                    <w:t>29.1%</w:t>
                  </w:r>
                </w:p>
              </w:tc>
            </w:tr>
            <w:tr w:rsidR="001506C1" w:rsidRPr="00FA3F9C" w14:paraId="6593B234" w14:textId="77777777" w:rsidTr="00FD41FA">
              <w:tc>
                <w:tcPr>
                  <w:tcW w:w="1239" w:type="dxa"/>
                </w:tcPr>
                <w:p w14:paraId="3320D10E" w14:textId="77777777" w:rsidR="001506C1" w:rsidRPr="00FA3F9C" w:rsidRDefault="001506C1" w:rsidP="00494B2C">
                  <w:pPr>
                    <w:rPr>
                      <w:rFonts w:ascii="Arial" w:hAnsi="Arial" w:cs="Arial"/>
                      <w:b/>
                      <w:sz w:val="24"/>
                      <w:szCs w:val="24"/>
                    </w:rPr>
                  </w:pPr>
                  <w:r w:rsidRPr="00FA3F9C">
                    <w:rPr>
                      <w:rFonts w:ascii="Arial" w:hAnsi="Arial" w:cs="Arial"/>
                      <w:b/>
                      <w:sz w:val="24"/>
                      <w:szCs w:val="24"/>
                    </w:rPr>
                    <w:t>Placebo</w:t>
                  </w:r>
                </w:p>
              </w:tc>
              <w:tc>
                <w:tcPr>
                  <w:tcW w:w="3390" w:type="dxa"/>
                </w:tcPr>
                <w:p w14:paraId="0D00D60A" w14:textId="77777777" w:rsidR="001506C1" w:rsidRPr="00FA3F9C" w:rsidRDefault="001506C1" w:rsidP="00494B2C">
                  <w:pPr>
                    <w:rPr>
                      <w:rFonts w:ascii="Arial" w:hAnsi="Arial" w:cs="Arial"/>
                      <w:b/>
                      <w:sz w:val="24"/>
                      <w:szCs w:val="24"/>
                    </w:rPr>
                  </w:pPr>
                  <w:r w:rsidRPr="00FA3F9C">
                    <w:rPr>
                      <w:rFonts w:ascii="Arial" w:hAnsi="Arial" w:cs="Arial"/>
                      <w:b/>
                      <w:sz w:val="24"/>
                      <w:szCs w:val="24"/>
                    </w:rPr>
                    <w:t>28.7 (22.9-NR)</w:t>
                  </w:r>
                </w:p>
              </w:tc>
              <w:tc>
                <w:tcPr>
                  <w:tcW w:w="1620" w:type="dxa"/>
                </w:tcPr>
                <w:p w14:paraId="741FE9D6" w14:textId="77777777" w:rsidR="001506C1" w:rsidRPr="00FA3F9C" w:rsidRDefault="001506C1" w:rsidP="00494B2C">
                  <w:pPr>
                    <w:rPr>
                      <w:rFonts w:ascii="Arial" w:hAnsi="Arial" w:cs="Arial"/>
                      <w:b/>
                      <w:sz w:val="24"/>
                      <w:szCs w:val="24"/>
                    </w:rPr>
                  </w:pPr>
                  <w:r w:rsidRPr="00FA3F9C">
                    <w:rPr>
                      <w:rFonts w:ascii="Arial" w:hAnsi="Arial" w:cs="Arial"/>
                      <w:b/>
                      <w:sz w:val="24"/>
                      <w:szCs w:val="24"/>
                    </w:rPr>
                    <w:t>75.3 (69.2-80.4)</w:t>
                  </w:r>
                </w:p>
              </w:tc>
              <w:tc>
                <w:tcPr>
                  <w:tcW w:w="1350" w:type="dxa"/>
                </w:tcPr>
                <w:p w14:paraId="075ABD64" w14:textId="77777777" w:rsidR="001506C1" w:rsidRPr="00FA3F9C" w:rsidRDefault="001506C1" w:rsidP="00494B2C">
                  <w:pPr>
                    <w:rPr>
                      <w:rFonts w:ascii="Arial" w:hAnsi="Arial" w:cs="Arial"/>
                      <w:b/>
                      <w:sz w:val="24"/>
                      <w:szCs w:val="24"/>
                    </w:rPr>
                  </w:pPr>
                  <w:r w:rsidRPr="00FA3F9C">
                    <w:rPr>
                      <w:rFonts w:ascii="Arial" w:hAnsi="Arial" w:cs="Arial"/>
                      <w:b/>
                      <w:sz w:val="24"/>
                      <w:szCs w:val="24"/>
                    </w:rPr>
                    <w:t>55.6 (48.9-61.8)</w:t>
                  </w:r>
                </w:p>
              </w:tc>
              <w:tc>
                <w:tcPr>
                  <w:tcW w:w="1170" w:type="dxa"/>
                </w:tcPr>
                <w:p w14:paraId="3F20688A" w14:textId="77777777" w:rsidR="001506C1" w:rsidRPr="00FA3F9C" w:rsidRDefault="001506C1" w:rsidP="00494B2C">
                  <w:pPr>
                    <w:rPr>
                      <w:rFonts w:ascii="Arial" w:hAnsi="Arial" w:cs="Arial"/>
                      <w:b/>
                      <w:sz w:val="24"/>
                      <w:szCs w:val="24"/>
                    </w:rPr>
                  </w:pPr>
                  <w:r w:rsidRPr="00FA3F9C">
                    <w:rPr>
                      <w:rFonts w:ascii="Arial" w:hAnsi="Arial" w:cs="Arial"/>
                      <w:b/>
                      <w:sz w:val="24"/>
                      <w:szCs w:val="24"/>
                    </w:rPr>
                    <w:t>26.1%</w:t>
                  </w:r>
                </w:p>
              </w:tc>
              <w:tc>
                <w:tcPr>
                  <w:tcW w:w="881" w:type="dxa"/>
                </w:tcPr>
                <w:p w14:paraId="59574D59" w14:textId="77777777" w:rsidR="001506C1" w:rsidRPr="00FA3F9C" w:rsidRDefault="001506C1" w:rsidP="00494B2C">
                  <w:pPr>
                    <w:rPr>
                      <w:rFonts w:ascii="Arial" w:hAnsi="Arial" w:cs="Arial"/>
                      <w:b/>
                      <w:sz w:val="24"/>
                      <w:szCs w:val="24"/>
                    </w:rPr>
                  </w:pPr>
                  <w:r w:rsidRPr="00FA3F9C">
                    <w:rPr>
                      <w:rFonts w:ascii="Arial" w:hAnsi="Arial" w:cs="Arial"/>
                      <w:b/>
                      <w:sz w:val="24"/>
                      <w:szCs w:val="24"/>
                    </w:rPr>
                    <w:t>9.8%</w:t>
                  </w:r>
                </w:p>
              </w:tc>
              <w:tc>
                <w:tcPr>
                  <w:tcW w:w="691" w:type="dxa"/>
                </w:tcPr>
                <w:p w14:paraId="053F39A9" w14:textId="77777777" w:rsidR="001506C1" w:rsidRPr="00FA3F9C" w:rsidRDefault="001506C1" w:rsidP="00494B2C">
                  <w:pPr>
                    <w:rPr>
                      <w:rFonts w:ascii="Arial" w:hAnsi="Arial" w:cs="Arial"/>
                      <w:b/>
                      <w:sz w:val="24"/>
                      <w:szCs w:val="24"/>
                    </w:rPr>
                  </w:pPr>
                  <w:r w:rsidRPr="00FA3F9C">
                    <w:rPr>
                      <w:rFonts w:ascii="Arial" w:hAnsi="Arial" w:cs="Arial"/>
                      <w:b/>
                      <w:sz w:val="24"/>
                      <w:szCs w:val="24"/>
                    </w:rPr>
                    <w:t>23.1%</w:t>
                  </w:r>
                </w:p>
              </w:tc>
            </w:tr>
            <w:tr w:rsidR="001506C1" w:rsidRPr="00FA3F9C" w14:paraId="6F75B1A3" w14:textId="77777777" w:rsidTr="00FD41FA">
              <w:tc>
                <w:tcPr>
                  <w:tcW w:w="1239" w:type="dxa"/>
                </w:tcPr>
                <w:p w14:paraId="6E285C5D" w14:textId="77777777" w:rsidR="001506C1" w:rsidRPr="00FA3F9C" w:rsidRDefault="001506C1" w:rsidP="00494B2C">
                  <w:pPr>
                    <w:rPr>
                      <w:rFonts w:ascii="Arial" w:hAnsi="Arial" w:cs="Arial"/>
                      <w:b/>
                      <w:sz w:val="24"/>
                      <w:szCs w:val="24"/>
                    </w:rPr>
                  </w:pPr>
                </w:p>
              </w:tc>
              <w:tc>
                <w:tcPr>
                  <w:tcW w:w="3390" w:type="dxa"/>
                </w:tcPr>
                <w:p w14:paraId="1D6C5612" w14:textId="77777777" w:rsidR="001506C1" w:rsidRPr="00FA3F9C" w:rsidRDefault="001506C1" w:rsidP="00494B2C">
                  <w:pPr>
                    <w:rPr>
                      <w:rFonts w:ascii="Arial" w:hAnsi="Arial" w:cs="Arial"/>
                      <w:b/>
                      <w:sz w:val="24"/>
                      <w:szCs w:val="24"/>
                    </w:rPr>
                  </w:pPr>
                  <w:r w:rsidRPr="00FA3F9C">
                    <w:rPr>
                      <w:rFonts w:ascii="Arial" w:hAnsi="Arial" w:cs="Arial"/>
                      <w:b/>
                      <w:sz w:val="24"/>
                      <w:szCs w:val="24"/>
                    </w:rPr>
                    <w:t>HR for death 0.68 (99.73%CI, 0.47-0.997; P=0.0025)</w:t>
                  </w:r>
                </w:p>
              </w:tc>
              <w:tc>
                <w:tcPr>
                  <w:tcW w:w="1620" w:type="dxa"/>
                </w:tcPr>
                <w:p w14:paraId="602EB4CC" w14:textId="77777777" w:rsidR="001506C1" w:rsidRPr="00FA3F9C" w:rsidRDefault="001506C1" w:rsidP="00494B2C">
                  <w:pPr>
                    <w:rPr>
                      <w:rFonts w:ascii="Arial" w:hAnsi="Arial" w:cs="Arial"/>
                      <w:b/>
                      <w:sz w:val="24"/>
                      <w:szCs w:val="24"/>
                    </w:rPr>
                  </w:pPr>
                </w:p>
              </w:tc>
              <w:tc>
                <w:tcPr>
                  <w:tcW w:w="1350" w:type="dxa"/>
                </w:tcPr>
                <w:p w14:paraId="7ADAE227" w14:textId="77777777" w:rsidR="001506C1" w:rsidRPr="00FA3F9C" w:rsidRDefault="001506C1" w:rsidP="00494B2C">
                  <w:pPr>
                    <w:rPr>
                      <w:rFonts w:ascii="Arial" w:hAnsi="Arial" w:cs="Arial"/>
                      <w:b/>
                      <w:sz w:val="24"/>
                      <w:szCs w:val="24"/>
                    </w:rPr>
                  </w:pPr>
                </w:p>
              </w:tc>
              <w:tc>
                <w:tcPr>
                  <w:tcW w:w="1170" w:type="dxa"/>
                </w:tcPr>
                <w:p w14:paraId="3A22EF86" w14:textId="77777777" w:rsidR="001506C1" w:rsidRPr="00FA3F9C" w:rsidRDefault="001506C1" w:rsidP="00494B2C">
                  <w:pPr>
                    <w:rPr>
                      <w:rFonts w:ascii="Arial" w:hAnsi="Arial" w:cs="Arial"/>
                      <w:b/>
                      <w:sz w:val="24"/>
                      <w:szCs w:val="24"/>
                    </w:rPr>
                  </w:pPr>
                </w:p>
              </w:tc>
              <w:tc>
                <w:tcPr>
                  <w:tcW w:w="881" w:type="dxa"/>
                </w:tcPr>
                <w:p w14:paraId="694BBD2C" w14:textId="77777777" w:rsidR="001506C1" w:rsidRPr="00FA3F9C" w:rsidRDefault="001506C1" w:rsidP="00494B2C">
                  <w:pPr>
                    <w:rPr>
                      <w:rFonts w:ascii="Arial" w:hAnsi="Arial" w:cs="Arial"/>
                      <w:b/>
                      <w:sz w:val="24"/>
                      <w:szCs w:val="24"/>
                    </w:rPr>
                  </w:pPr>
                </w:p>
              </w:tc>
              <w:tc>
                <w:tcPr>
                  <w:tcW w:w="691" w:type="dxa"/>
                </w:tcPr>
                <w:p w14:paraId="19A5247E" w14:textId="77777777" w:rsidR="001506C1" w:rsidRPr="00FA3F9C" w:rsidRDefault="001506C1" w:rsidP="00494B2C">
                  <w:pPr>
                    <w:rPr>
                      <w:rFonts w:ascii="Arial" w:hAnsi="Arial" w:cs="Arial"/>
                      <w:b/>
                      <w:sz w:val="24"/>
                      <w:szCs w:val="24"/>
                    </w:rPr>
                  </w:pPr>
                </w:p>
              </w:tc>
            </w:tr>
          </w:tbl>
          <w:p w14:paraId="112CBF71" w14:textId="77777777" w:rsidR="001506C1" w:rsidRPr="00FA3F9C" w:rsidRDefault="001506C1" w:rsidP="00494B2C">
            <w:pPr>
              <w:rPr>
                <w:rFonts w:ascii="Arial" w:hAnsi="Arial" w:cs="Arial"/>
                <w:b/>
                <w:sz w:val="24"/>
                <w:szCs w:val="24"/>
              </w:rPr>
            </w:pPr>
            <w:r w:rsidRPr="00FA3F9C">
              <w:rPr>
                <w:rFonts w:ascii="Arial" w:hAnsi="Arial" w:cs="Arial"/>
                <w:b/>
                <w:sz w:val="24"/>
                <w:szCs w:val="24"/>
              </w:rPr>
              <w:t>References:</w:t>
            </w:r>
          </w:p>
          <w:p w14:paraId="7CB90406" w14:textId="77777777" w:rsidR="001506C1" w:rsidRPr="00FA3F9C" w:rsidRDefault="001506C1" w:rsidP="00494B2C">
            <w:pPr>
              <w:rPr>
                <w:rFonts w:ascii="Arial" w:hAnsi="Arial" w:cs="Arial"/>
                <w:sz w:val="24"/>
                <w:szCs w:val="24"/>
              </w:rPr>
            </w:pPr>
            <w:r w:rsidRPr="00FA3F9C">
              <w:rPr>
                <w:rFonts w:ascii="Arial" w:hAnsi="Arial" w:cs="Arial"/>
                <w:b/>
                <w:sz w:val="24"/>
                <w:szCs w:val="24"/>
              </w:rPr>
              <w:t xml:space="preserve">1. </w:t>
            </w:r>
            <w:r w:rsidRPr="00FA3F9C">
              <w:rPr>
                <w:rFonts w:ascii="Arial" w:hAnsi="Arial" w:cs="Arial"/>
                <w:color w:val="222222"/>
                <w:sz w:val="24"/>
                <w:szCs w:val="24"/>
                <w:highlight w:val="lightGray"/>
                <w:shd w:val="clear" w:color="auto" w:fill="F8F8F8"/>
              </w:rPr>
              <w:t>Antonia, Scott J., et al. "Overall survival with Durvalumab after Chemoradiotherapy in stage III NSCLC." </w:t>
            </w:r>
            <w:r w:rsidRPr="00FA3F9C">
              <w:rPr>
                <w:rFonts w:ascii="Arial" w:hAnsi="Arial" w:cs="Arial"/>
                <w:i/>
                <w:iCs/>
                <w:color w:val="222222"/>
                <w:sz w:val="24"/>
                <w:szCs w:val="24"/>
                <w:highlight w:val="lightGray"/>
                <w:shd w:val="clear" w:color="auto" w:fill="F8F8F8"/>
              </w:rPr>
              <w:t>New England Journal of Medicine</w:t>
            </w:r>
            <w:r w:rsidRPr="00FA3F9C">
              <w:rPr>
                <w:rFonts w:ascii="Arial" w:hAnsi="Arial" w:cs="Arial"/>
                <w:color w:val="222222"/>
                <w:sz w:val="24"/>
                <w:szCs w:val="24"/>
                <w:highlight w:val="lightGray"/>
                <w:shd w:val="clear" w:color="auto" w:fill="F8F8F8"/>
              </w:rPr>
              <w:t>(2018).</w:t>
            </w:r>
          </w:p>
        </w:tc>
      </w:tr>
    </w:tbl>
    <w:p w14:paraId="01674936" w14:textId="77777777" w:rsidR="001506C1" w:rsidRPr="00FA3F9C" w:rsidRDefault="001506C1" w:rsidP="006F623F">
      <w:pPr>
        <w:spacing w:after="0"/>
        <w:rPr>
          <w:rFonts w:ascii="Arial" w:hAnsi="Arial" w:cs="Arial"/>
          <w:sz w:val="24"/>
          <w:szCs w:val="24"/>
        </w:rPr>
      </w:pPr>
    </w:p>
    <w:p w14:paraId="72704AEC" w14:textId="77777777" w:rsidR="001506C1" w:rsidRPr="00FA3F9C" w:rsidRDefault="001506C1" w:rsidP="006F623F">
      <w:pPr>
        <w:spacing w:after="0"/>
        <w:rPr>
          <w:rFonts w:ascii="Arial" w:hAnsi="Arial" w:cs="Arial"/>
          <w:sz w:val="24"/>
          <w:szCs w:val="24"/>
        </w:rPr>
      </w:pPr>
    </w:p>
    <w:tbl>
      <w:tblPr>
        <w:tblStyle w:val="TableGrid"/>
        <w:tblW w:w="0" w:type="auto"/>
        <w:tblLook w:val="04A0" w:firstRow="1" w:lastRow="0" w:firstColumn="1" w:lastColumn="0" w:noHBand="0" w:noVBand="1"/>
      </w:tblPr>
      <w:tblGrid>
        <w:gridCol w:w="8569"/>
        <w:gridCol w:w="2221"/>
      </w:tblGrid>
      <w:tr w:rsidR="001506C1" w:rsidRPr="00FA3F9C" w14:paraId="12E57A09" w14:textId="77777777" w:rsidTr="0092105D">
        <w:tc>
          <w:tcPr>
            <w:tcW w:w="8569" w:type="dxa"/>
            <w:shd w:val="clear" w:color="auto" w:fill="000000"/>
          </w:tcPr>
          <w:p w14:paraId="58F72350" w14:textId="77777777" w:rsidR="001506C1" w:rsidRPr="00FA3F9C" w:rsidRDefault="001506C1" w:rsidP="00571CAB">
            <w:pPr>
              <w:rPr>
                <w:rFonts w:ascii="Arial" w:hAnsi="Arial" w:cs="Arial"/>
                <w:b/>
                <w:sz w:val="24"/>
                <w:szCs w:val="24"/>
                <w:u w:val="single"/>
              </w:rPr>
            </w:pPr>
            <w:r w:rsidRPr="00FA3F9C">
              <w:rPr>
                <w:rFonts w:ascii="Arial" w:hAnsi="Arial" w:cs="Arial"/>
                <w:b/>
                <w:sz w:val="24"/>
                <w:szCs w:val="24"/>
                <w:u w:val="single"/>
              </w:rPr>
              <w:t>Small Cell Lung Cancer</w:t>
            </w:r>
          </w:p>
        </w:tc>
        <w:tc>
          <w:tcPr>
            <w:tcW w:w="2221" w:type="dxa"/>
            <w:shd w:val="clear" w:color="auto" w:fill="000000"/>
          </w:tcPr>
          <w:p w14:paraId="1C12A8E1" w14:textId="77777777" w:rsidR="001506C1" w:rsidRPr="00FA3F9C" w:rsidRDefault="001506C1" w:rsidP="006F623F">
            <w:pPr>
              <w:jc w:val="center"/>
              <w:rPr>
                <w:rFonts w:ascii="Arial" w:hAnsi="Arial" w:cs="Arial"/>
                <w:b/>
                <w:sz w:val="24"/>
                <w:szCs w:val="24"/>
                <w:u w:val="single"/>
              </w:rPr>
            </w:pPr>
          </w:p>
        </w:tc>
      </w:tr>
      <w:tr w:rsidR="001506C1" w:rsidRPr="00FA3F9C" w14:paraId="4E1C421B" w14:textId="77777777" w:rsidTr="0092105D">
        <w:tc>
          <w:tcPr>
            <w:tcW w:w="10790" w:type="dxa"/>
            <w:gridSpan w:val="2"/>
          </w:tcPr>
          <w:p w14:paraId="08876AE3" w14:textId="77777777" w:rsidR="001506C1" w:rsidRPr="00FA3F9C" w:rsidRDefault="001506C1" w:rsidP="00494B2C">
            <w:pPr>
              <w:rPr>
                <w:rFonts w:ascii="Arial" w:hAnsi="Arial" w:cs="Arial"/>
                <w:sz w:val="24"/>
                <w:szCs w:val="24"/>
              </w:rPr>
            </w:pPr>
            <w:r w:rsidRPr="00FA3F9C">
              <w:rPr>
                <w:rFonts w:ascii="Arial" w:hAnsi="Arial" w:cs="Arial"/>
                <w:sz w:val="24"/>
                <w:szCs w:val="24"/>
              </w:rPr>
              <w:t xml:space="preserve">1. Diagnosis of </w:t>
            </w:r>
            <w:r w:rsidRPr="00FA3F9C">
              <w:rPr>
                <w:rFonts w:ascii="Arial" w:hAnsi="Arial" w:cs="Arial"/>
                <w:sz w:val="24"/>
                <w:szCs w:val="24"/>
                <w:u w:val="single"/>
              </w:rPr>
              <w:t>extensive stage</w:t>
            </w:r>
            <w:r w:rsidRPr="00FA3F9C">
              <w:rPr>
                <w:rFonts w:ascii="Arial" w:hAnsi="Arial" w:cs="Arial"/>
                <w:sz w:val="24"/>
                <w:szCs w:val="24"/>
              </w:rPr>
              <w:t xml:space="preserve"> small cell lung cancer (SCLC)</w:t>
            </w:r>
          </w:p>
        </w:tc>
      </w:tr>
      <w:tr w:rsidR="001506C1" w:rsidRPr="00FA3F9C" w14:paraId="648F0E2D" w14:textId="77777777" w:rsidTr="0092105D">
        <w:tc>
          <w:tcPr>
            <w:tcW w:w="10790" w:type="dxa"/>
            <w:gridSpan w:val="2"/>
          </w:tcPr>
          <w:p w14:paraId="2D20F621" w14:textId="77777777" w:rsidR="001506C1" w:rsidRPr="00FA3F9C" w:rsidRDefault="001506C1" w:rsidP="0092105D">
            <w:pPr>
              <w:rPr>
                <w:rFonts w:ascii="Arial" w:hAnsi="Arial" w:cs="Arial"/>
                <w:sz w:val="24"/>
                <w:szCs w:val="24"/>
              </w:rPr>
            </w:pPr>
            <w:r w:rsidRPr="00FA3F9C">
              <w:rPr>
                <w:rFonts w:ascii="Arial" w:hAnsi="Arial" w:cs="Arial"/>
                <w:sz w:val="24"/>
                <w:szCs w:val="24"/>
              </w:rPr>
              <w:t>2. The patient has received no prior therapy for small cell lung cancer</w:t>
            </w:r>
          </w:p>
        </w:tc>
      </w:tr>
      <w:tr w:rsidR="001506C1" w:rsidRPr="00FA3F9C" w14:paraId="61CB46AC" w14:textId="77777777" w:rsidTr="0092105D">
        <w:tc>
          <w:tcPr>
            <w:tcW w:w="10790" w:type="dxa"/>
            <w:gridSpan w:val="2"/>
          </w:tcPr>
          <w:p w14:paraId="5F1FCB68" w14:textId="77777777" w:rsidR="001506C1" w:rsidRPr="00FA3F9C" w:rsidRDefault="001506C1" w:rsidP="00FB0AD2">
            <w:pPr>
              <w:rPr>
                <w:rFonts w:ascii="Arial" w:hAnsi="Arial" w:cs="Arial"/>
                <w:sz w:val="24"/>
                <w:szCs w:val="24"/>
              </w:rPr>
            </w:pPr>
            <w:r w:rsidRPr="00FA3F9C">
              <w:rPr>
                <w:rFonts w:ascii="Arial" w:hAnsi="Arial" w:cs="Arial"/>
                <w:sz w:val="24"/>
                <w:szCs w:val="24"/>
              </w:rPr>
              <w:t>3. Durvalumab will be used in combination with cisplatin or carboplatin AND etoposide</w:t>
            </w:r>
          </w:p>
        </w:tc>
      </w:tr>
      <w:tr w:rsidR="001506C1" w:rsidRPr="00FA3F9C" w14:paraId="49B3519E" w14:textId="77777777" w:rsidTr="0092105D">
        <w:tc>
          <w:tcPr>
            <w:tcW w:w="10790" w:type="dxa"/>
            <w:gridSpan w:val="2"/>
            <w:shd w:val="clear" w:color="auto" w:fill="F2F2F2" w:themeFill="background1" w:themeFillShade="F2"/>
          </w:tcPr>
          <w:p w14:paraId="4E6311EB" w14:textId="77777777" w:rsidR="001506C1" w:rsidRPr="00FA3F9C" w:rsidRDefault="001506C1" w:rsidP="006F623F">
            <w:pPr>
              <w:rPr>
                <w:rFonts w:ascii="Arial" w:hAnsi="Arial" w:cs="Arial"/>
                <w:sz w:val="24"/>
                <w:szCs w:val="24"/>
              </w:rPr>
            </w:pPr>
            <w:r w:rsidRPr="00FA3F9C">
              <w:rPr>
                <w:rFonts w:ascii="Arial" w:hAnsi="Arial" w:cs="Arial"/>
                <w:sz w:val="24"/>
                <w:szCs w:val="24"/>
              </w:rPr>
              <w:t>If criteria met, approve for 1 year</w:t>
            </w:r>
          </w:p>
        </w:tc>
      </w:tr>
      <w:tr w:rsidR="001506C1" w:rsidRPr="00FA3F9C" w14:paraId="67A7E58A" w14:textId="77777777" w:rsidTr="0092105D">
        <w:tc>
          <w:tcPr>
            <w:tcW w:w="10790" w:type="dxa"/>
            <w:gridSpan w:val="2"/>
            <w:shd w:val="clear" w:color="auto" w:fill="D9D9D9" w:themeFill="background1" w:themeFillShade="D9"/>
          </w:tcPr>
          <w:p w14:paraId="7F4EEDCA" w14:textId="77777777" w:rsidR="001506C1" w:rsidRPr="00FA3F9C" w:rsidRDefault="001506C1" w:rsidP="006F623F">
            <w:pPr>
              <w:rPr>
                <w:rFonts w:ascii="Arial" w:hAnsi="Arial" w:cs="Arial"/>
                <w:sz w:val="24"/>
                <w:szCs w:val="24"/>
              </w:rPr>
            </w:pPr>
            <w:r w:rsidRPr="00FA3F9C">
              <w:rPr>
                <w:rFonts w:ascii="Arial" w:hAnsi="Arial" w:cs="Arial"/>
                <w:sz w:val="24"/>
                <w:szCs w:val="24"/>
              </w:rPr>
              <w:t>Notes:</w:t>
            </w:r>
          </w:p>
          <w:p w14:paraId="120564F5" w14:textId="77777777" w:rsidR="001506C1" w:rsidRPr="00FA3F9C" w:rsidRDefault="001506C1" w:rsidP="006F623F">
            <w:pPr>
              <w:rPr>
                <w:rFonts w:ascii="Arial" w:hAnsi="Arial" w:cs="Arial"/>
                <w:sz w:val="24"/>
                <w:szCs w:val="24"/>
              </w:rPr>
            </w:pPr>
          </w:p>
          <w:p w14:paraId="73FEC72B" w14:textId="77777777" w:rsidR="001506C1" w:rsidRPr="00FA3F9C" w:rsidRDefault="001506C1" w:rsidP="006F623F">
            <w:pPr>
              <w:rPr>
                <w:rFonts w:ascii="Arial" w:hAnsi="Arial" w:cs="Arial"/>
                <w:sz w:val="24"/>
                <w:szCs w:val="24"/>
              </w:rPr>
            </w:pPr>
            <w:r w:rsidRPr="00FA3F9C">
              <w:rPr>
                <w:rFonts w:ascii="Arial" w:hAnsi="Arial" w:cs="Arial"/>
                <w:sz w:val="24"/>
                <w:szCs w:val="24"/>
              </w:rPr>
              <w:t>Dose: 1500 mg every 4 weeks until disease progression or unacceptable toxicity.</w:t>
            </w:r>
          </w:p>
          <w:p w14:paraId="102BB75B" w14:textId="77777777" w:rsidR="001506C1" w:rsidRPr="00FA3F9C" w:rsidRDefault="001506C1" w:rsidP="006F623F">
            <w:pPr>
              <w:rPr>
                <w:rFonts w:ascii="Arial" w:hAnsi="Arial" w:cs="Arial"/>
                <w:sz w:val="24"/>
                <w:szCs w:val="24"/>
              </w:rPr>
            </w:pPr>
          </w:p>
          <w:p w14:paraId="7825E5E9" w14:textId="77777777" w:rsidR="001506C1" w:rsidRPr="00FA3F9C" w:rsidRDefault="001506C1" w:rsidP="006F623F">
            <w:pPr>
              <w:rPr>
                <w:rFonts w:ascii="Arial" w:hAnsi="Arial" w:cs="Arial"/>
                <w:sz w:val="24"/>
                <w:szCs w:val="24"/>
                <w:u w:val="single"/>
              </w:rPr>
            </w:pPr>
            <w:r w:rsidRPr="00FA3F9C">
              <w:rPr>
                <w:rFonts w:ascii="Arial" w:hAnsi="Arial" w:cs="Arial"/>
                <w:sz w:val="24"/>
                <w:szCs w:val="24"/>
                <w:u w:val="single"/>
              </w:rPr>
              <w:lastRenderedPageBreak/>
              <w:t>Outcomes (</w:t>
            </w:r>
            <w:proofErr w:type="spellStart"/>
            <w:r w:rsidRPr="00FA3F9C">
              <w:rPr>
                <w:rFonts w:ascii="Arial" w:hAnsi="Arial" w:cs="Arial"/>
                <w:sz w:val="24"/>
                <w:szCs w:val="24"/>
                <w:u w:val="single"/>
              </w:rPr>
              <w:t>durvalumab+chemo</w:t>
            </w:r>
            <w:proofErr w:type="spellEnd"/>
            <w:r w:rsidRPr="00FA3F9C">
              <w:rPr>
                <w:rFonts w:ascii="Arial" w:hAnsi="Arial" w:cs="Arial"/>
                <w:sz w:val="24"/>
                <w:szCs w:val="24"/>
                <w:u w:val="single"/>
              </w:rPr>
              <w:t xml:space="preserve"> vs chemo):</w:t>
            </w:r>
          </w:p>
          <w:p w14:paraId="60F22343" w14:textId="77777777" w:rsidR="001506C1" w:rsidRPr="00FA3F9C" w:rsidRDefault="001506C1" w:rsidP="006F623F">
            <w:pPr>
              <w:rPr>
                <w:rFonts w:ascii="Arial" w:hAnsi="Arial" w:cs="Arial"/>
                <w:sz w:val="24"/>
                <w:szCs w:val="24"/>
              </w:rPr>
            </w:pPr>
            <w:r w:rsidRPr="00FA3F9C">
              <w:rPr>
                <w:rFonts w:ascii="Arial" w:hAnsi="Arial" w:cs="Arial"/>
                <w:sz w:val="24"/>
                <w:szCs w:val="24"/>
              </w:rPr>
              <w:t>Median overall survival: 13 months versus 10.3 months (HR 0.73, 95% CI 0.59-0.91; p=0.0047)</w:t>
            </w:r>
          </w:p>
          <w:p w14:paraId="443FB8DA" w14:textId="77777777" w:rsidR="001506C1" w:rsidRPr="00FA3F9C" w:rsidRDefault="001506C1" w:rsidP="006F623F">
            <w:pPr>
              <w:rPr>
                <w:rFonts w:ascii="Arial" w:hAnsi="Arial" w:cs="Arial"/>
                <w:sz w:val="24"/>
                <w:szCs w:val="24"/>
              </w:rPr>
            </w:pPr>
            <w:r w:rsidRPr="00FA3F9C">
              <w:rPr>
                <w:rFonts w:ascii="Arial" w:hAnsi="Arial" w:cs="Arial"/>
                <w:sz w:val="24"/>
                <w:szCs w:val="24"/>
              </w:rPr>
              <w:t xml:space="preserve">-12-month overall survival: 54% versus 40% </w:t>
            </w:r>
          </w:p>
          <w:p w14:paraId="5BA3522B" w14:textId="77777777" w:rsidR="001506C1" w:rsidRPr="00FA3F9C" w:rsidRDefault="001506C1" w:rsidP="006F623F">
            <w:pPr>
              <w:rPr>
                <w:rFonts w:ascii="Arial" w:hAnsi="Arial" w:cs="Arial"/>
                <w:sz w:val="24"/>
                <w:szCs w:val="24"/>
              </w:rPr>
            </w:pPr>
            <w:r w:rsidRPr="00FA3F9C">
              <w:rPr>
                <w:rFonts w:ascii="Arial" w:hAnsi="Arial" w:cs="Arial"/>
                <w:sz w:val="24"/>
                <w:szCs w:val="24"/>
              </w:rPr>
              <w:t>-18-month overall survival: 34% versus 25%</w:t>
            </w:r>
          </w:p>
          <w:p w14:paraId="239426B2" w14:textId="77777777" w:rsidR="001506C1" w:rsidRPr="00FA3F9C" w:rsidRDefault="001506C1" w:rsidP="006F623F">
            <w:pPr>
              <w:rPr>
                <w:rFonts w:ascii="Arial" w:hAnsi="Arial" w:cs="Arial"/>
                <w:sz w:val="24"/>
                <w:szCs w:val="24"/>
              </w:rPr>
            </w:pPr>
          </w:p>
          <w:p w14:paraId="059D43CC" w14:textId="77777777" w:rsidR="001506C1" w:rsidRPr="00FA3F9C" w:rsidRDefault="001506C1" w:rsidP="006F623F">
            <w:pPr>
              <w:rPr>
                <w:rFonts w:ascii="Arial" w:hAnsi="Arial" w:cs="Arial"/>
                <w:sz w:val="24"/>
                <w:szCs w:val="24"/>
                <w:lang w:val="es-ES"/>
              </w:rPr>
            </w:pPr>
            <w:r w:rsidRPr="00FA3F9C">
              <w:rPr>
                <w:rFonts w:ascii="Arial" w:hAnsi="Arial" w:cs="Arial"/>
                <w:sz w:val="24"/>
                <w:szCs w:val="24"/>
                <w:lang w:val="es-ES"/>
              </w:rPr>
              <w:t>Reference:</w:t>
            </w:r>
          </w:p>
          <w:p w14:paraId="7D3EA75F" w14:textId="77777777" w:rsidR="001506C1" w:rsidRPr="00FA3F9C" w:rsidRDefault="001506C1" w:rsidP="00494B2C">
            <w:pPr>
              <w:rPr>
                <w:rFonts w:ascii="Arial" w:hAnsi="Arial" w:cs="Arial"/>
                <w:sz w:val="24"/>
                <w:szCs w:val="24"/>
              </w:rPr>
            </w:pPr>
            <w:r w:rsidRPr="00FA3F9C">
              <w:rPr>
                <w:rFonts w:ascii="Arial" w:hAnsi="Arial" w:cs="Arial"/>
                <w:sz w:val="24"/>
                <w:szCs w:val="24"/>
                <w:lang w:val="es-ES"/>
              </w:rPr>
              <w:t xml:space="preserve">Paz-Ares L et al. </w:t>
            </w:r>
            <w:r w:rsidRPr="00FA3F9C">
              <w:rPr>
                <w:rFonts w:ascii="Arial" w:hAnsi="Arial" w:cs="Arial"/>
                <w:sz w:val="24"/>
                <w:szCs w:val="24"/>
              </w:rPr>
              <w:t xml:space="preserve">Durvalumab plus platinum-etoposide versus platinum-etoposide in first-line treatment of extensive-stage small-cell lung cancer (CASPIAN): a </w:t>
            </w:r>
            <w:proofErr w:type="spellStart"/>
            <w:r w:rsidRPr="00FA3F9C">
              <w:rPr>
                <w:rFonts w:ascii="Arial" w:hAnsi="Arial" w:cs="Arial"/>
                <w:sz w:val="24"/>
                <w:szCs w:val="24"/>
              </w:rPr>
              <w:t>randomised</w:t>
            </w:r>
            <w:proofErr w:type="spellEnd"/>
            <w:r w:rsidRPr="00FA3F9C">
              <w:rPr>
                <w:rFonts w:ascii="Arial" w:hAnsi="Arial" w:cs="Arial"/>
                <w:sz w:val="24"/>
                <w:szCs w:val="24"/>
              </w:rPr>
              <w:t xml:space="preserve">, controlled, open-label, phase 3 trial. Lancet. 2019 Nov 23;394(10212):1929-1939. </w:t>
            </w:r>
            <w:proofErr w:type="spellStart"/>
            <w:r w:rsidRPr="00FA3F9C">
              <w:rPr>
                <w:rFonts w:ascii="Arial" w:hAnsi="Arial" w:cs="Arial"/>
                <w:sz w:val="24"/>
                <w:szCs w:val="24"/>
              </w:rPr>
              <w:t>doi</w:t>
            </w:r>
            <w:proofErr w:type="spellEnd"/>
            <w:r w:rsidRPr="00FA3F9C">
              <w:rPr>
                <w:rFonts w:ascii="Arial" w:hAnsi="Arial" w:cs="Arial"/>
                <w:sz w:val="24"/>
                <w:szCs w:val="24"/>
              </w:rPr>
              <w:t xml:space="preserve">: 10.1016/S0140-6736(19)32222-6. </w:t>
            </w:r>
            <w:proofErr w:type="spellStart"/>
            <w:r w:rsidRPr="00FA3F9C">
              <w:rPr>
                <w:rFonts w:ascii="Arial" w:hAnsi="Arial" w:cs="Arial"/>
                <w:sz w:val="24"/>
                <w:szCs w:val="24"/>
              </w:rPr>
              <w:t>Epub</w:t>
            </w:r>
            <w:proofErr w:type="spellEnd"/>
            <w:r w:rsidRPr="00FA3F9C">
              <w:rPr>
                <w:rFonts w:ascii="Arial" w:hAnsi="Arial" w:cs="Arial"/>
                <w:sz w:val="24"/>
                <w:szCs w:val="24"/>
              </w:rPr>
              <w:t xml:space="preserve"> 2019 Oct 4. PMID 31590988 NCT03043872</w:t>
            </w:r>
          </w:p>
        </w:tc>
      </w:tr>
    </w:tbl>
    <w:p w14:paraId="2F1DCD0E" w14:textId="77777777" w:rsidR="001506C1" w:rsidRPr="00FA3F9C" w:rsidRDefault="001506C1" w:rsidP="006F623F">
      <w:pPr>
        <w:spacing w:after="0"/>
        <w:rPr>
          <w:rFonts w:ascii="Arial" w:hAnsi="Arial" w:cs="Arial"/>
          <w:b/>
          <w:sz w:val="24"/>
          <w:szCs w:val="24"/>
          <w:u w:val="single"/>
        </w:rPr>
      </w:pPr>
    </w:p>
    <w:p w14:paraId="25505779" w14:textId="77777777" w:rsidR="001506C1" w:rsidRPr="00FA3F9C" w:rsidRDefault="001506C1" w:rsidP="006F623F">
      <w:pPr>
        <w:spacing w:after="0"/>
        <w:rPr>
          <w:rFonts w:ascii="Arial" w:hAnsi="Arial" w:cs="Arial"/>
          <w:sz w:val="24"/>
          <w:szCs w:val="24"/>
        </w:rPr>
      </w:pPr>
    </w:p>
    <w:p w14:paraId="16387814" w14:textId="77777777" w:rsidR="001506C1" w:rsidRPr="00FA3F9C" w:rsidRDefault="001506C1" w:rsidP="006F623F">
      <w:pPr>
        <w:spacing w:after="0"/>
        <w:rPr>
          <w:rFonts w:ascii="Arial" w:hAnsi="Arial" w:cs="Arial"/>
          <w:sz w:val="24"/>
          <w:szCs w:val="24"/>
        </w:rPr>
      </w:pPr>
    </w:p>
    <w:p w14:paraId="0F6356CF"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284"/>
        <w:gridCol w:w="7431"/>
        <w:gridCol w:w="2530"/>
      </w:tblGrid>
      <w:tr w:rsidR="001506C1" w:rsidRPr="00FA3F9C" w14:paraId="5563F7F7" w14:textId="77777777" w:rsidTr="00FB0AD2">
        <w:tc>
          <w:tcPr>
            <w:tcW w:w="1055" w:type="dxa"/>
          </w:tcPr>
          <w:p w14:paraId="7105F7DF" w14:textId="77777777" w:rsidR="001506C1" w:rsidRPr="00FA3F9C" w:rsidRDefault="001506C1" w:rsidP="006F623F">
            <w:pPr>
              <w:rPr>
                <w:rFonts w:ascii="Arial" w:hAnsi="Arial" w:cs="Arial"/>
                <w:sz w:val="24"/>
                <w:szCs w:val="24"/>
              </w:rPr>
            </w:pPr>
            <w:r w:rsidRPr="00FA3F9C">
              <w:rPr>
                <w:rFonts w:ascii="Arial" w:hAnsi="Arial" w:cs="Arial"/>
                <w:sz w:val="24"/>
                <w:szCs w:val="24"/>
              </w:rPr>
              <w:t>Date</w:t>
            </w:r>
          </w:p>
        </w:tc>
        <w:tc>
          <w:tcPr>
            <w:tcW w:w="7244" w:type="dxa"/>
          </w:tcPr>
          <w:p w14:paraId="0D031A74" w14:textId="77777777" w:rsidR="001506C1" w:rsidRPr="00FA3F9C" w:rsidRDefault="001506C1" w:rsidP="006F623F">
            <w:pPr>
              <w:rPr>
                <w:rFonts w:ascii="Arial" w:hAnsi="Arial" w:cs="Arial"/>
                <w:sz w:val="24"/>
                <w:szCs w:val="24"/>
              </w:rPr>
            </w:pPr>
            <w:r w:rsidRPr="00FA3F9C">
              <w:rPr>
                <w:rFonts w:ascii="Arial" w:hAnsi="Arial" w:cs="Arial"/>
                <w:sz w:val="24"/>
                <w:szCs w:val="24"/>
              </w:rPr>
              <w:t>What changed</w:t>
            </w:r>
          </w:p>
        </w:tc>
        <w:tc>
          <w:tcPr>
            <w:tcW w:w="2491" w:type="dxa"/>
          </w:tcPr>
          <w:p w14:paraId="4B1A921B" w14:textId="77777777" w:rsidR="001506C1" w:rsidRPr="00FA3F9C" w:rsidRDefault="001506C1" w:rsidP="006F623F">
            <w:pPr>
              <w:rPr>
                <w:rFonts w:ascii="Arial" w:hAnsi="Arial" w:cs="Arial"/>
                <w:sz w:val="24"/>
                <w:szCs w:val="24"/>
              </w:rPr>
            </w:pPr>
            <w:r w:rsidRPr="00FA3F9C">
              <w:rPr>
                <w:rFonts w:ascii="Arial" w:hAnsi="Arial" w:cs="Arial"/>
                <w:sz w:val="24"/>
                <w:szCs w:val="24"/>
              </w:rPr>
              <w:t>Pharmacist’s initials</w:t>
            </w:r>
          </w:p>
        </w:tc>
      </w:tr>
      <w:tr w:rsidR="001506C1" w:rsidRPr="00FA3F9C" w14:paraId="3C09BC4D" w14:textId="77777777" w:rsidTr="00A76E98">
        <w:tc>
          <w:tcPr>
            <w:tcW w:w="1055" w:type="dxa"/>
          </w:tcPr>
          <w:p w14:paraId="772C969E" w14:textId="77777777" w:rsidR="001506C1" w:rsidRPr="00FA3F9C" w:rsidRDefault="001506C1" w:rsidP="006F623F">
            <w:pPr>
              <w:rPr>
                <w:rFonts w:ascii="Arial" w:hAnsi="Arial" w:cs="Arial"/>
                <w:sz w:val="24"/>
                <w:szCs w:val="24"/>
              </w:rPr>
            </w:pPr>
            <w:r w:rsidRPr="00FA3F9C">
              <w:rPr>
                <w:rFonts w:ascii="Arial" w:hAnsi="Arial" w:cs="Arial"/>
                <w:sz w:val="24"/>
                <w:szCs w:val="24"/>
              </w:rPr>
              <w:t>12/13/18</w:t>
            </w:r>
          </w:p>
        </w:tc>
        <w:tc>
          <w:tcPr>
            <w:tcW w:w="7431" w:type="dxa"/>
          </w:tcPr>
          <w:p w14:paraId="049B2E14" w14:textId="77777777" w:rsidR="001506C1" w:rsidRPr="00FA3F9C" w:rsidRDefault="001506C1" w:rsidP="006F623F">
            <w:pPr>
              <w:rPr>
                <w:rFonts w:ascii="Arial" w:hAnsi="Arial" w:cs="Arial"/>
                <w:sz w:val="24"/>
                <w:szCs w:val="24"/>
              </w:rPr>
            </w:pPr>
            <w:r w:rsidRPr="00FA3F9C">
              <w:rPr>
                <w:rFonts w:ascii="Arial" w:hAnsi="Arial" w:cs="Arial"/>
                <w:sz w:val="24"/>
                <w:szCs w:val="24"/>
              </w:rPr>
              <w:t>I wrote the criteria based on the PACIFIC trial inclusion/exclusion criteria.</w:t>
            </w:r>
          </w:p>
          <w:p w14:paraId="50436059" w14:textId="77777777" w:rsidR="001506C1" w:rsidRPr="00FA3F9C" w:rsidRDefault="001506C1" w:rsidP="006F623F">
            <w:pPr>
              <w:rPr>
                <w:rFonts w:ascii="Arial" w:hAnsi="Arial" w:cs="Arial"/>
                <w:sz w:val="24"/>
                <w:szCs w:val="24"/>
              </w:rPr>
            </w:pPr>
            <w:r w:rsidRPr="00FA3F9C">
              <w:rPr>
                <w:rFonts w:ascii="Arial" w:hAnsi="Arial" w:cs="Arial"/>
                <w:sz w:val="24"/>
                <w:szCs w:val="24"/>
              </w:rPr>
              <w:t>Most likely, this would be a medical benefit.</w:t>
            </w:r>
          </w:p>
        </w:tc>
        <w:tc>
          <w:tcPr>
            <w:tcW w:w="2530" w:type="dxa"/>
          </w:tcPr>
          <w:p w14:paraId="43D4212E" w14:textId="7066EDC0" w:rsidR="001506C1" w:rsidRPr="00FA3F9C" w:rsidRDefault="005C142D" w:rsidP="006F623F">
            <w:pPr>
              <w:rPr>
                <w:rFonts w:ascii="Arial" w:hAnsi="Arial" w:cs="Arial"/>
                <w:sz w:val="24"/>
                <w:szCs w:val="24"/>
              </w:rPr>
            </w:pPr>
            <w:r w:rsidRPr="00FA3F9C">
              <w:rPr>
                <w:rFonts w:ascii="Arial" w:hAnsi="Arial" w:cs="Arial"/>
                <w:sz w:val="24"/>
                <w:szCs w:val="24"/>
              </w:rPr>
              <w:t>JJ</w:t>
            </w:r>
          </w:p>
        </w:tc>
      </w:tr>
      <w:tr w:rsidR="001506C1" w:rsidRPr="00FA3F9C" w14:paraId="41249180" w14:textId="77777777" w:rsidTr="00A76E98">
        <w:tc>
          <w:tcPr>
            <w:tcW w:w="1055" w:type="dxa"/>
          </w:tcPr>
          <w:p w14:paraId="5C89A09A" w14:textId="77777777" w:rsidR="001506C1" w:rsidRPr="00FA3F9C" w:rsidRDefault="001506C1" w:rsidP="006F623F">
            <w:pPr>
              <w:rPr>
                <w:rFonts w:ascii="Arial" w:hAnsi="Arial" w:cs="Arial"/>
                <w:sz w:val="24"/>
                <w:szCs w:val="24"/>
              </w:rPr>
            </w:pPr>
            <w:r w:rsidRPr="00FA3F9C">
              <w:rPr>
                <w:rFonts w:ascii="Arial" w:hAnsi="Arial" w:cs="Arial"/>
                <w:sz w:val="24"/>
                <w:szCs w:val="24"/>
              </w:rPr>
              <w:t>7/18/19</w:t>
            </w:r>
          </w:p>
        </w:tc>
        <w:tc>
          <w:tcPr>
            <w:tcW w:w="7431" w:type="dxa"/>
          </w:tcPr>
          <w:p w14:paraId="26E30A7D" w14:textId="77777777" w:rsidR="001506C1" w:rsidRPr="00FA3F9C" w:rsidRDefault="001506C1" w:rsidP="006F623F">
            <w:pPr>
              <w:rPr>
                <w:rFonts w:ascii="Arial" w:hAnsi="Arial" w:cs="Arial"/>
                <w:sz w:val="24"/>
                <w:szCs w:val="24"/>
              </w:rPr>
            </w:pPr>
            <w:r w:rsidRPr="00FA3F9C">
              <w:rPr>
                <w:rFonts w:ascii="Arial" w:hAnsi="Arial" w:cs="Arial"/>
                <w:sz w:val="24"/>
                <w:szCs w:val="24"/>
              </w:rPr>
              <w:t xml:space="preserve">Criteria </w:t>
            </w:r>
            <w:proofErr w:type="gramStart"/>
            <w:r w:rsidRPr="00FA3F9C">
              <w:rPr>
                <w:rFonts w:ascii="Arial" w:hAnsi="Arial" w:cs="Arial"/>
                <w:sz w:val="24"/>
                <w:szCs w:val="24"/>
              </w:rPr>
              <w:t>reviewed,</w:t>
            </w:r>
            <w:proofErr w:type="gramEnd"/>
            <w:r w:rsidRPr="00FA3F9C">
              <w:rPr>
                <w:rFonts w:ascii="Arial" w:hAnsi="Arial" w:cs="Arial"/>
                <w:sz w:val="24"/>
                <w:szCs w:val="24"/>
              </w:rPr>
              <w:t xml:space="preserve"> no significant changes made</w:t>
            </w:r>
          </w:p>
        </w:tc>
        <w:tc>
          <w:tcPr>
            <w:tcW w:w="2530" w:type="dxa"/>
          </w:tcPr>
          <w:p w14:paraId="6F162F61" w14:textId="77777777" w:rsidR="001506C1" w:rsidRPr="00FA3F9C" w:rsidRDefault="001506C1" w:rsidP="006F623F">
            <w:pPr>
              <w:rPr>
                <w:rFonts w:ascii="Arial" w:hAnsi="Arial" w:cs="Arial"/>
                <w:sz w:val="24"/>
                <w:szCs w:val="24"/>
              </w:rPr>
            </w:pPr>
            <w:r w:rsidRPr="00FA3F9C">
              <w:rPr>
                <w:rFonts w:ascii="Arial" w:hAnsi="Arial" w:cs="Arial"/>
                <w:sz w:val="24"/>
                <w:szCs w:val="24"/>
              </w:rPr>
              <w:t>SK</w:t>
            </w:r>
          </w:p>
        </w:tc>
      </w:tr>
      <w:tr w:rsidR="001506C1" w:rsidRPr="00FA3F9C" w14:paraId="245AFA48" w14:textId="77777777" w:rsidTr="00A76E98">
        <w:tc>
          <w:tcPr>
            <w:tcW w:w="1055" w:type="dxa"/>
          </w:tcPr>
          <w:p w14:paraId="32EEBFAE" w14:textId="77777777" w:rsidR="001506C1" w:rsidRPr="00FA3F9C" w:rsidRDefault="001506C1" w:rsidP="006F623F">
            <w:pPr>
              <w:rPr>
                <w:rFonts w:ascii="Arial" w:hAnsi="Arial" w:cs="Arial"/>
                <w:sz w:val="24"/>
                <w:szCs w:val="24"/>
              </w:rPr>
            </w:pPr>
            <w:r w:rsidRPr="00FA3F9C">
              <w:rPr>
                <w:rFonts w:ascii="Arial" w:hAnsi="Arial" w:cs="Arial"/>
                <w:sz w:val="24"/>
                <w:szCs w:val="24"/>
              </w:rPr>
              <w:t>1/29/2020</w:t>
            </w:r>
          </w:p>
        </w:tc>
        <w:tc>
          <w:tcPr>
            <w:tcW w:w="7431" w:type="dxa"/>
          </w:tcPr>
          <w:p w14:paraId="0C3C4A6F" w14:textId="77777777" w:rsidR="001506C1" w:rsidRPr="00FA3F9C" w:rsidRDefault="001506C1" w:rsidP="006F623F">
            <w:pPr>
              <w:rPr>
                <w:rFonts w:ascii="Arial" w:hAnsi="Arial" w:cs="Arial"/>
                <w:sz w:val="24"/>
                <w:szCs w:val="24"/>
              </w:rPr>
            </w:pPr>
            <w:r w:rsidRPr="00FA3F9C">
              <w:rPr>
                <w:rFonts w:ascii="Arial" w:hAnsi="Arial" w:cs="Arial"/>
                <w:sz w:val="24"/>
                <w:szCs w:val="24"/>
              </w:rPr>
              <w:t>Criteria review. Added that CT or MRI must be done to verify no disease progression before proceeding with durvalumab therapy.</w:t>
            </w:r>
          </w:p>
        </w:tc>
        <w:tc>
          <w:tcPr>
            <w:tcW w:w="2530" w:type="dxa"/>
          </w:tcPr>
          <w:p w14:paraId="00003E19" w14:textId="77777777" w:rsidR="001506C1" w:rsidRPr="00FA3F9C" w:rsidRDefault="001506C1" w:rsidP="006F623F">
            <w:pPr>
              <w:rPr>
                <w:rFonts w:ascii="Arial" w:hAnsi="Arial" w:cs="Arial"/>
                <w:sz w:val="24"/>
                <w:szCs w:val="24"/>
              </w:rPr>
            </w:pPr>
            <w:r w:rsidRPr="00FA3F9C">
              <w:rPr>
                <w:rFonts w:ascii="Arial" w:hAnsi="Arial" w:cs="Arial"/>
                <w:sz w:val="24"/>
                <w:szCs w:val="24"/>
              </w:rPr>
              <w:t>SK</w:t>
            </w:r>
          </w:p>
        </w:tc>
      </w:tr>
      <w:tr w:rsidR="001506C1" w:rsidRPr="00FA3F9C" w14:paraId="050A39D1" w14:textId="77777777" w:rsidTr="00A76E98">
        <w:tc>
          <w:tcPr>
            <w:tcW w:w="1055" w:type="dxa"/>
          </w:tcPr>
          <w:p w14:paraId="514074A6" w14:textId="77777777" w:rsidR="001506C1" w:rsidRPr="00FA3F9C" w:rsidRDefault="001506C1" w:rsidP="006F623F">
            <w:pPr>
              <w:rPr>
                <w:rFonts w:ascii="Arial" w:hAnsi="Arial" w:cs="Arial"/>
                <w:sz w:val="24"/>
                <w:szCs w:val="24"/>
              </w:rPr>
            </w:pPr>
            <w:r w:rsidRPr="00FA3F9C">
              <w:rPr>
                <w:rFonts w:ascii="Arial" w:hAnsi="Arial" w:cs="Arial"/>
                <w:sz w:val="24"/>
                <w:szCs w:val="24"/>
              </w:rPr>
              <w:t>4/27/2020</w:t>
            </w:r>
          </w:p>
        </w:tc>
        <w:tc>
          <w:tcPr>
            <w:tcW w:w="7431" w:type="dxa"/>
          </w:tcPr>
          <w:p w14:paraId="30C7D96D" w14:textId="77777777" w:rsidR="001506C1" w:rsidRPr="00FA3F9C" w:rsidRDefault="001506C1" w:rsidP="006F623F">
            <w:pPr>
              <w:rPr>
                <w:rFonts w:ascii="Arial" w:hAnsi="Arial" w:cs="Arial"/>
                <w:sz w:val="24"/>
                <w:szCs w:val="24"/>
              </w:rPr>
            </w:pPr>
            <w:r w:rsidRPr="00FA3F9C">
              <w:rPr>
                <w:rFonts w:ascii="Arial" w:hAnsi="Arial" w:cs="Arial"/>
                <w:sz w:val="24"/>
                <w:szCs w:val="24"/>
              </w:rPr>
              <w:t>Added new indication for treatment of SCLC and criteria for coverage.</w:t>
            </w:r>
          </w:p>
        </w:tc>
        <w:tc>
          <w:tcPr>
            <w:tcW w:w="2530" w:type="dxa"/>
          </w:tcPr>
          <w:p w14:paraId="7DECEB42" w14:textId="77777777" w:rsidR="001506C1" w:rsidRPr="00FA3F9C" w:rsidRDefault="001506C1" w:rsidP="006F623F">
            <w:pPr>
              <w:rPr>
                <w:rFonts w:ascii="Arial" w:hAnsi="Arial" w:cs="Arial"/>
                <w:sz w:val="24"/>
                <w:szCs w:val="24"/>
              </w:rPr>
            </w:pPr>
            <w:r w:rsidRPr="00FA3F9C">
              <w:rPr>
                <w:rFonts w:ascii="Arial" w:hAnsi="Arial" w:cs="Arial"/>
                <w:sz w:val="24"/>
                <w:szCs w:val="24"/>
              </w:rPr>
              <w:t>SK</w:t>
            </w:r>
          </w:p>
        </w:tc>
      </w:tr>
      <w:tr w:rsidR="001506C1" w:rsidRPr="00FA3F9C" w14:paraId="7591E046" w14:textId="77777777" w:rsidTr="00A76E98">
        <w:tc>
          <w:tcPr>
            <w:tcW w:w="1055" w:type="dxa"/>
          </w:tcPr>
          <w:p w14:paraId="7458BDB2" w14:textId="77777777" w:rsidR="001506C1" w:rsidRPr="00FA3F9C" w:rsidRDefault="001506C1" w:rsidP="006F623F">
            <w:pPr>
              <w:rPr>
                <w:rFonts w:ascii="Arial" w:hAnsi="Arial" w:cs="Arial"/>
                <w:sz w:val="24"/>
                <w:szCs w:val="24"/>
              </w:rPr>
            </w:pPr>
            <w:r w:rsidRPr="00FA3F9C">
              <w:rPr>
                <w:rFonts w:ascii="Arial" w:hAnsi="Arial" w:cs="Arial"/>
                <w:sz w:val="24"/>
                <w:szCs w:val="24"/>
              </w:rPr>
              <w:t>2/22/2021</w:t>
            </w:r>
          </w:p>
        </w:tc>
        <w:tc>
          <w:tcPr>
            <w:tcW w:w="7431" w:type="dxa"/>
          </w:tcPr>
          <w:p w14:paraId="0B724D67" w14:textId="77777777" w:rsidR="001506C1" w:rsidRPr="00FA3F9C" w:rsidRDefault="001506C1" w:rsidP="00216009">
            <w:pPr>
              <w:rPr>
                <w:rFonts w:ascii="Arial" w:hAnsi="Arial" w:cs="Arial"/>
                <w:sz w:val="24"/>
                <w:szCs w:val="24"/>
              </w:rPr>
            </w:pPr>
            <w:r w:rsidRPr="00FA3F9C">
              <w:rPr>
                <w:rFonts w:ascii="Arial" w:hAnsi="Arial" w:cs="Arial"/>
                <w:sz w:val="24"/>
                <w:szCs w:val="24"/>
              </w:rPr>
              <w:t>Removed urothelial carcinoma indication from FDA indications. Indication withdrawn. Was not covered by EBRx.</w:t>
            </w:r>
          </w:p>
        </w:tc>
        <w:tc>
          <w:tcPr>
            <w:tcW w:w="2530" w:type="dxa"/>
          </w:tcPr>
          <w:p w14:paraId="3B102616" w14:textId="77777777" w:rsidR="001506C1" w:rsidRPr="00FA3F9C" w:rsidRDefault="001506C1" w:rsidP="006F623F">
            <w:pPr>
              <w:rPr>
                <w:rFonts w:ascii="Arial" w:hAnsi="Arial" w:cs="Arial"/>
                <w:sz w:val="24"/>
                <w:szCs w:val="24"/>
              </w:rPr>
            </w:pPr>
            <w:r w:rsidRPr="00FA3F9C">
              <w:rPr>
                <w:rFonts w:ascii="Arial" w:hAnsi="Arial" w:cs="Arial"/>
                <w:sz w:val="24"/>
                <w:szCs w:val="24"/>
              </w:rPr>
              <w:t>SK</w:t>
            </w:r>
          </w:p>
        </w:tc>
      </w:tr>
      <w:tr w:rsidR="001506C1" w:rsidRPr="00FA3F9C" w14:paraId="5F04C90B" w14:textId="77777777" w:rsidTr="00A76E98">
        <w:tc>
          <w:tcPr>
            <w:tcW w:w="1055" w:type="dxa"/>
          </w:tcPr>
          <w:p w14:paraId="7855C5CD" w14:textId="77777777" w:rsidR="001506C1" w:rsidRPr="00FA3F9C" w:rsidRDefault="001506C1" w:rsidP="006F623F">
            <w:pPr>
              <w:rPr>
                <w:rFonts w:ascii="Arial" w:hAnsi="Arial" w:cs="Arial"/>
                <w:sz w:val="24"/>
                <w:szCs w:val="24"/>
              </w:rPr>
            </w:pPr>
            <w:r w:rsidRPr="00FA3F9C">
              <w:rPr>
                <w:rFonts w:ascii="Arial" w:hAnsi="Arial" w:cs="Arial"/>
                <w:sz w:val="24"/>
                <w:szCs w:val="24"/>
              </w:rPr>
              <w:t>7/26/2021</w:t>
            </w:r>
          </w:p>
        </w:tc>
        <w:tc>
          <w:tcPr>
            <w:tcW w:w="7431" w:type="dxa"/>
          </w:tcPr>
          <w:p w14:paraId="0D924ABA" w14:textId="77777777" w:rsidR="001506C1" w:rsidRPr="00FA3F9C" w:rsidRDefault="001506C1" w:rsidP="00216009">
            <w:pPr>
              <w:rPr>
                <w:rFonts w:ascii="Arial" w:hAnsi="Arial" w:cs="Arial"/>
                <w:sz w:val="24"/>
                <w:szCs w:val="24"/>
              </w:rPr>
            </w:pPr>
            <w:r w:rsidRPr="00FA3F9C">
              <w:rPr>
                <w:rFonts w:ascii="Arial" w:hAnsi="Arial" w:cs="Arial"/>
                <w:sz w:val="24"/>
                <w:szCs w:val="24"/>
              </w:rPr>
              <w:t>Criteria reviewed. No change</w:t>
            </w:r>
          </w:p>
        </w:tc>
        <w:tc>
          <w:tcPr>
            <w:tcW w:w="2530" w:type="dxa"/>
          </w:tcPr>
          <w:p w14:paraId="404981C9" w14:textId="77777777" w:rsidR="001506C1" w:rsidRPr="00FA3F9C" w:rsidRDefault="001506C1" w:rsidP="006F623F">
            <w:pPr>
              <w:rPr>
                <w:rFonts w:ascii="Arial" w:hAnsi="Arial" w:cs="Arial"/>
                <w:sz w:val="24"/>
                <w:szCs w:val="24"/>
              </w:rPr>
            </w:pPr>
            <w:r w:rsidRPr="00FA3F9C">
              <w:rPr>
                <w:rFonts w:ascii="Arial" w:hAnsi="Arial" w:cs="Arial"/>
                <w:sz w:val="24"/>
                <w:szCs w:val="24"/>
              </w:rPr>
              <w:t>SK</w:t>
            </w:r>
          </w:p>
        </w:tc>
      </w:tr>
    </w:tbl>
    <w:p w14:paraId="55A1A0B5" w14:textId="77777777" w:rsidR="001506C1" w:rsidRPr="00FA3F9C" w:rsidRDefault="001506C1">
      <w:pPr>
        <w:rPr>
          <w:rFonts w:ascii="Arial" w:hAnsi="Arial" w:cs="Arial"/>
          <w:sz w:val="24"/>
          <w:szCs w:val="24"/>
        </w:rPr>
      </w:pPr>
    </w:p>
    <w:p w14:paraId="349F274E" w14:textId="77777777" w:rsidR="001506C1" w:rsidRPr="00FA3F9C" w:rsidRDefault="001506C1" w:rsidP="00A76E98">
      <w:pPr>
        <w:spacing w:after="0"/>
        <w:rPr>
          <w:rFonts w:ascii="Arial" w:hAnsi="Arial" w:cs="Arial"/>
          <w:sz w:val="24"/>
          <w:szCs w:val="24"/>
        </w:rPr>
      </w:pPr>
    </w:p>
    <w:p w14:paraId="6DB608C5" w14:textId="37EABF86" w:rsidR="001506C1" w:rsidRDefault="001506C1" w:rsidP="002F3083">
      <w:pPr>
        <w:jc w:val="center"/>
        <w:rPr>
          <w:rStyle w:val="Heading2Char"/>
          <w:rFonts w:eastAsiaTheme="minorHAnsi"/>
        </w:rPr>
      </w:pPr>
      <w:r w:rsidRPr="00FA3F9C">
        <w:rPr>
          <w:rFonts w:ascii="Arial" w:hAnsi="Arial" w:cs="Arial"/>
          <w:b/>
          <w:sz w:val="24"/>
          <w:szCs w:val="24"/>
        </w:rPr>
        <w:t xml:space="preserve">EBRx </w:t>
      </w:r>
      <w:r w:rsidRPr="002F3083">
        <w:rPr>
          <w:rStyle w:val="Heading2Char"/>
          <w:rFonts w:eastAsiaTheme="minorHAnsi"/>
        </w:rPr>
        <w:t>Hepatitis C Coverage Policy</w:t>
      </w:r>
    </w:p>
    <w:p w14:paraId="3DF4089E" w14:textId="77777777" w:rsidR="002F3083" w:rsidRPr="00FA3F9C" w:rsidRDefault="002F3083" w:rsidP="002F3083">
      <w:pPr>
        <w:jc w:val="center"/>
        <w:rPr>
          <w:rFonts w:ascii="Arial" w:hAnsi="Arial" w:cs="Arial"/>
          <w:b/>
          <w:sz w:val="24"/>
          <w:szCs w:val="24"/>
        </w:rPr>
      </w:pPr>
    </w:p>
    <w:p w14:paraId="7B7B5EC8" w14:textId="77777777" w:rsidR="001506C1" w:rsidRPr="00FA3F9C" w:rsidRDefault="001506C1" w:rsidP="00BF12EA">
      <w:pPr>
        <w:rPr>
          <w:rFonts w:ascii="Arial" w:hAnsi="Arial" w:cs="Arial"/>
          <w:b/>
          <w:sz w:val="24"/>
          <w:szCs w:val="24"/>
        </w:rPr>
      </w:pPr>
      <w:r w:rsidRPr="00FA3F9C">
        <w:rPr>
          <w:rFonts w:ascii="Arial" w:hAnsi="Arial" w:cs="Arial"/>
          <w:b/>
          <w:sz w:val="24"/>
          <w:szCs w:val="24"/>
        </w:rPr>
        <w:t xml:space="preserve">AASLD HCV Treatment Guidelines SUMMARY </w:t>
      </w:r>
    </w:p>
    <w:p w14:paraId="46F00A2E" w14:textId="77DC0B64" w:rsidR="001506C1" w:rsidRPr="00FA3F9C" w:rsidRDefault="005C142D" w:rsidP="00BF12EA">
      <w:pPr>
        <w:rPr>
          <w:rFonts w:ascii="Arial" w:hAnsi="Arial" w:cs="Arial"/>
          <w:b/>
          <w:sz w:val="24"/>
          <w:szCs w:val="24"/>
        </w:rPr>
      </w:pPr>
      <w:r w:rsidRPr="00FA3F9C">
        <w:rPr>
          <w:rFonts w:ascii="Arial" w:hAnsi="Arial" w:cs="Arial"/>
          <w:b/>
          <w:sz w:val="24"/>
          <w:szCs w:val="24"/>
        </w:rPr>
        <w:lastRenderedPageBreak/>
        <w:t>JJ</w:t>
      </w:r>
      <w:r w:rsidR="001506C1" w:rsidRPr="00FA3F9C">
        <w:rPr>
          <w:rFonts w:ascii="Arial" w:hAnsi="Arial" w:cs="Arial"/>
          <w:b/>
          <w:sz w:val="24"/>
          <w:szCs w:val="24"/>
        </w:rPr>
        <w:t>, Pharm.D.</w:t>
      </w:r>
    </w:p>
    <w:p w14:paraId="01C3535E" w14:textId="77777777" w:rsidR="001506C1" w:rsidRPr="00FA3F9C" w:rsidRDefault="001506C1" w:rsidP="00BF12EA">
      <w:pPr>
        <w:rPr>
          <w:rFonts w:ascii="Arial" w:hAnsi="Arial" w:cs="Arial"/>
          <w:b/>
          <w:sz w:val="24"/>
          <w:szCs w:val="24"/>
        </w:rPr>
      </w:pPr>
      <w:r w:rsidRPr="00FA3F9C">
        <w:rPr>
          <w:rFonts w:ascii="Arial" w:hAnsi="Arial" w:cs="Arial"/>
          <w:b/>
          <w:sz w:val="24"/>
          <w:szCs w:val="24"/>
        </w:rPr>
        <w:t>10/20/16, 9/22/17TW, 1/30/18JJ, 4/7/2021JJ</w:t>
      </w:r>
    </w:p>
    <w:p w14:paraId="3D61E9A8" w14:textId="77777777" w:rsidR="001506C1" w:rsidRPr="00FA3F9C" w:rsidRDefault="001506C1" w:rsidP="00BB2468">
      <w:pPr>
        <w:jc w:val="center"/>
        <w:rPr>
          <w:rFonts w:ascii="Arial" w:hAnsi="Arial" w:cs="Arial"/>
          <w:b/>
          <w:sz w:val="24"/>
          <w:szCs w:val="24"/>
        </w:rPr>
      </w:pPr>
    </w:p>
    <w:p w14:paraId="704DA7D3" w14:textId="77777777" w:rsidR="001506C1" w:rsidRPr="00FA3F9C" w:rsidRDefault="001506C1" w:rsidP="00FE6866">
      <w:pPr>
        <w:rPr>
          <w:rFonts w:ascii="Arial" w:hAnsi="Arial" w:cs="Arial"/>
          <w:sz w:val="24"/>
          <w:szCs w:val="24"/>
        </w:rPr>
      </w:pPr>
      <w:r w:rsidRPr="00FA3F9C">
        <w:rPr>
          <w:rFonts w:ascii="Arial" w:hAnsi="Arial" w:cs="Arial"/>
          <w:b/>
          <w:sz w:val="24"/>
          <w:szCs w:val="24"/>
        </w:rPr>
        <w:t>A</w:t>
      </w:r>
      <w:r w:rsidRPr="00FA3F9C">
        <w:rPr>
          <w:rFonts w:ascii="Arial" w:hAnsi="Arial" w:cs="Arial"/>
          <w:sz w:val="24"/>
          <w:szCs w:val="24"/>
        </w:rPr>
        <w:t>.  For any treatment to eradicate chronic hepatitis C virus (HCV)infection, the following criteria must be met regardless of which regimen is requested:</w:t>
      </w:r>
    </w:p>
    <w:tbl>
      <w:tblPr>
        <w:tblStyle w:val="TableGrid"/>
        <w:tblW w:w="14508" w:type="dxa"/>
        <w:tblLook w:val="04A0" w:firstRow="1" w:lastRow="0" w:firstColumn="1" w:lastColumn="0" w:noHBand="0" w:noVBand="1"/>
      </w:tblPr>
      <w:tblGrid>
        <w:gridCol w:w="10075"/>
        <w:gridCol w:w="4433"/>
      </w:tblGrid>
      <w:tr w:rsidR="001506C1" w:rsidRPr="00FA3F9C" w14:paraId="4274278C" w14:textId="77777777" w:rsidTr="00C93E92">
        <w:tc>
          <w:tcPr>
            <w:tcW w:w="10075" w:type="dxa"/>
          </w:tcPr>
          <w:p w14:paraId="6E2C39AB" w14:textId="77777777" w:rsidR="001506C1" w:rsidRPr="00FA3F9C" w:rsidRDefault="001506C1" w:rsidP="0092312C">
            <w:pPr>
              <w:rPr>
                <w:rFonts w:ascii="Arial" w:hAnsi="Arial" w:cs="Arial"/>
                <w:sz w:val="24"/>
                <w:szCs w:val="24"/>
              </w:rPr>
            </w:pPr>
            <w:r w:rsidRPr="00FA3F9C">
              <w:rPr>
                <w:rFonts w:ascii="Arial" w:hAnsi="Arial" w:cs="Arial"/>
                <w:sz w:val="24"/>
                <w:szCs w:val="24"/>
              </w:rPr>
              <w:t xml:space="preserve">1.   The patient must test positive for chronic HCV infection.  Two options: </w:t>
            </w:r>
          </w:p>
          <w:p w14:paraId="31AD443E" w14:textId="77777777" w:rsidR="001506C1" w:rsidRPr="00FA3F9C" w:rsidRDefault="001506C1" w:rsidP="001506C1">
            <w:pPr>
              <w:pStyle w:val="ListParagraph"/>
              <w:numPr>
                <w:ilvl w:val="0"/>
                <w:numId w:val="146"/>
              </w:numPr>
              <w:rPr>
                <w:rFonts w:ascii="Arial" w:hAnsi="Arial" w:cs="Arial"/>
                <w:sz w:val="24"/>
                <w:szCs w:val="24"/>
              </w:rPr>
            </w:pPr>
            <w:r w:rsidRPr="00FA3F9C">
              <w:rPr>
                <w:rFonts w:ascii="Arial" w:hAnsi="Arial" w:cs="Arial"/>
                <w:sz w:val="24"/>
                <w:szCs w:val="24"/>
              </w:rPr>
              <w:t xml:space="preserve">HCV antibody </w:t>
            </w:r>
            <w:r w:rsidRPr="00FA3F9C">
              <w:rPr>
                <w:rFonts w:ascii="Arial" w:hAnsi="Arial" w:cs="Arial"/>
                <w:sz w:val="24"/>
                <w:szCs w:val="24"/>
                <w:u w:val="single"/>
              </w:rPr>
              <w:t>&gt;</w:t>
            </w:r>
            <w:r w:rsidRPr="00FA3F9C">
              <w:rPr>
                <w:rFonts w:ascii="Arial" w:hAnsi="Arial" w:cs="Arial"/>
                <w:sz w:val="24"/>
                <w:szCs w:val="24"/>
              </w:rPr>
              <w:t>6m before a positive HCV RNA (viral load), OR</w:t>
            </w:r>
          </w:p>
          <w:p w14:paraId="5F1FC062" w14:textId="77777777" w:rsidR="001506C1" w:rsidRPr="00FA3F9C" w:rsidRDefault="001506C1" w:rsidP="001506C1">
            <w:pPr>
              <w:pStyle w:val="ListParagraph"/>
              <w:numPr>
                <w:ilvl w:val="0"/>
                <w:numId w:val="146"/>
              </w:numPr>
              <w:rPr>
                <w:rFonts w:ascii="Arial" w:hAnsi="Arial" w:cs="Arial"/>
                <w:sz w:val="24"/>
                <w:szCs w:val="24"/>
              </w:rPr>
            </w:pPr>
            <w:r w:rsidRPr="00FA3F9C">
              <w:rPr>
                <w:rFonts w:ascii="Arial" w:hAnsi="Arial" w:cs="Arial"/>
                <w:sz w:val="24"/>
                <w:szCs w:val="24"/>
              </w:rPr>
              <w:t>2 HCV RNA levels 6 months apart</w:t>
            </w:r>
          </w:p>
          <w:p w14:paraId="602462D7" w14:textId="77777777" w:rsidR="001506C1" w:rsidRPr="00FA3F9C" w:rsidRDefault="001506C1" w:rsidP="0092312C">
            <w:pPr>
              <w:rPr>
                <w:rFonts w:ascii="Arial" w:hAnsi="Arial" w:cs="Arial"/>
                <w:sz w:val="24"/>
                <w:szCs w:val="24"/>
              </w:rPr>
            </w:pPr>
            <w:r w:rsidRPr="00FA3F9C">
              <w:rPr>
                <w:rFonts w:ascii="Segoe UI Symbol" w:eastAsia="MS Gothic" w:hAnsi="Segoe UI Symbol" w:cs="Segoe UI Symbol"/>
                <w:color w:val="000000"/>
                <w:sz w:val="24"/>
                <w:szCs w:val="24"/>
              </w:rPr>
              <w:t>☐</w:t>
            </w:r>
            <w:r w:rsidRPr="00FA3F9C">
              <w:rPr>
                <w:rFonts w:ascii="Arial" w:hAnsi="Arial" w:cs="Arial"/>
                <w:sz w:val="24"/>
                <w:szCs w:val="24"/>
              </w:rPr>
              <w:t>The viral load must be documented.___________</w:t>
            </w:r>
          </w:p>
          <w:p w14:paraId="6EF0B9E1" w14:textId="77777777" w:rsidR="001506C1" w:rsidRPr="00FA3F9C" w:rsidRDefault="001506C1" w:rsidP="0092312C">
            <w:pPr>
              <w:rPr>
                <w:rFonts w:ascii="Arial" w:hAnsi="Arial" w:cs="Arial"/>
                <w:sz w:val="24"/>
                <w:szCs w:val="24"/>
              </w:rPr>
            </w:pPr>
            <w:r w:rsidRPr="00FA3F9C">
              <w:rPr>
                <w:rFonts w:ascii="Segoe UI Symbol" w:eastAsia="MS Gothic" w:hAnsi="Segoe UI Symbol" w:cs="Segoe UI Symbol"/>
                <w:color w:val="000000"/>
                <w:sz w:val="24"/>
                <w:szCs w:val="24"/>
              </w:rPr>
              <w:t>☐</w:t>
            </w:r>
            <w:r w:rsidRPr="00FA3F9C">
              <w:rPr>
                <w:rFonts w:ascii="Arial" w:hAnsi="Arial" w:cs="Arial"/>
                <w:sz w:val="24"/>
                <w:szCs w:val="24"/>
              </w:rPr>
              <w:t>The genotype and subtype must be documented.___________</w:t>
            </w:r>
          </w:p>
        </w:tc>
        <w:tc>
          <w:tcPr>
            <w:tcW w:w="4433" w:type="dxa"/>
          </w:tcPr>
          <w:p w14:paraId="2417DC89" w14:textId="77777777" w:rsidR="001506C1" w:rsidRPr="00FA3F9C" w:rsidRDefault="001506C1" w:rsidP="0092312C">
            <w:pPr>
              <w:rPr>
                <w:rFonts w:ascii="Arial" w:hAnsi="Arial" w:cs="Arial"/>
                <w:sz w:val="24"/>
                <w:szCs w:val="24"/>
              </w:rPr>
            </w:pPr>
            <w:r w:rsidRPr="00FA3F9C">
              <w:rPr>
                <w:rFonts w:ascii="Arial" w:hAnsi="Arial" w:cs="Arial"/>
                <w:sz w:val="24"/>
                <w:szCs w:val="24"/>
              </w:rPr>
              <w:t>The diagnosis of CHRONIC HCV must be made.  15-25% seroconvert on their own and the patient clears the infection.  We only treat chronic HCV infection.</w:t>
            </w:r>
          </w:p>
        </w:tc>
      </w:tr>
      <w:tr w:rsidR="001506C1" w:rsidRPr="00FA3F9C" w14:paraId="26D8EF7B" w14:textId="77777777" w:rsidTr="00C93E92">
        <w:tc>
          <w:tcPr>
            <w:tcW w:w="10075" w:type="dxa"/>
          </w:tcPr>
          <w:p w14:paraId="7D1DED0A" w14:textId="77777777" w:rsidR="001506C1" w:rsidRPr="00FA3F9C" w:rsidRDefault="001506C1" w:rsidP="0092312C">
            <w:pPr>
              <w:rPr>
                <w:rFonts w:ascii="Arial" w:hAnsi="Arial" w:cs="Arial"/>
                <w:sz w:val="24"/>
                <w:szCs w:val="24"/>
              </w:rPr>
            </w:pPr>
            <w:r w:rsidRPr="00FA3F9C">
              <w:rPr>
                <w:rFonts w:ascii="Arial" w:hAnsi="Arial" w:cs="Arial"/>
                <w:sz w:val="24"/>
                <w:szCs w:val="24"/>
              </w:rPr>
              <w:t>2.  The patient must be free of using illicit drugs for the past 6 months.</w:t>
            </w:r>
          </w:p>
          <w:p w14:paraId="001B87E8" w14:textId="77777777" w:rsidR="001506C1" w:rsidRPr="00FA3F9C" w:rsidRDefault="001506C1" w:rsidP="0092312C">
            <w:pPr>
              <w:rPr>
                <w:rFonts w:ascii="Arial" w:hAnsi="Arial" w:cs="Arial"/>
                <w:sz w:val="24"/>
                <w:szCs w:val="24"/>
              </w:rPr>
            </w:pPr>
            <w:r w:rsidRPr="00FA3F9C">
              <w:rPr>
                <w:rFonts w:ascii="Segoe UI Symbol" w:eastAsia="MS Gothic" w:hAnsi="Segoe UI Symbol" w:cs="Segoe UI Symbol"/>
                <w:color w:val="000000"/>
                <w:sz w:val="24"/>
                <w:szCs w:val="24"/>
              </w:rPr>
              <w:t>☐</w:t>
            </w:r>
            <w:r w:rsidRPr="00FA3F9C">
              <w:rPr>
                <w:rFonts w:ascii="Arial" w:hAnsi="Arial" w:cs="Arial"/>
                <w:sz w:val="24"/>
                <w:szCs w:val="24"/>
              </w:rPr>
              <w:t>A patient-signed statement attesting to this is acceptable.</w:t>
            </w:r>
          </w:p>
        </w:tc>
        <w:tc>
          <w:tcPr>
            <w:tcW w:w="4433" w:type="dxa"/>
          </w:tcPr>
          <w:p w14:paraId="3B3978B8" w14:textId="77777777" w:rsidR="001506C1" w:rsidRPr="00FA3F9C" w:rsidRDefault="001506C1" w:rsidP="0092312C">
            <w:pPr>
              <w:rPr>
                <w:rFonts w:ascii="Arial" w:hAnsi="Arial" w:cs="Arial"/>
                <w:sz w:val="24"/>
                <w:szCs w:val="24"/>
              </w:rPr>
            </w:pPr>
            <w:r w:rsidRPr="00FA3F9C">
              <w:rPr>
                <w:rFonts w:ascii="Arial" w:hAnsi="Arial" w:cs="Arial"/>
                <w:sz w:val="24"/>
                <w:szCs w:val="24"/>
              </w:rPr>
              <w:t>Any positive drug screen for injectable drug use during treatment stops access to the HCV drugs.  Reinfection is a risk for IV drug users.</w:t>
            </w:r>
          </w:p>
        </w:tc>
      </w:tr>
      <w:tr w:rsidR="001506C1" w:rsidRPr="00FA3F9C" w14:paraId="23375BD1" w14:textId="77777777" w:rsidTr="00C93E92">
        <w:tc>
          <w:tcPr>
            <w:tcW w:w="10075" w:type="dxa"/>
          </w:tcPr>
          <w:p w14:paraId="6B68123B" w14:textId="77777777" w:rsidR="001506C1" w:rsidRPr="00FA3F9C" w:rsidRDefault="001506C1" w:rsidP="0092312C">
            <w:pPr>
              <w:widowControl w:val="0"/>
              <w:autoSpaceDE w:val="0"/>
              <w:autoSpaceDN w:val="0"/>
              <w:adjustRightInd w:val="0"/>
              <w:rPr>
                <w:rFonts w:ascii="Arial" w:hAnsi="Arial" w:cs="Arial"/>
                <w:sz w:val="24"/>
                <w:szCs w:val="24"/>
              </w:rPr>
            </w:pPr>
            <w:r w:rsidRPr="00FA3F9C">
              <w:rPr>
                <w:rFonts w:ascii="Arial" w:hAnsi="Arial" w:cs="Arial"/>
                <w:sz w:val="24"/>
                <w:szCs w:val="24"/>
              </w:rPr>
              <w:t>3.  The patient must be free of abusing ethanol for the past 6 months. (</w:t>
            </w:r>
            <w:proofErr w:type="gramStart"/>
            <w:r w:rsidRPr="00FA3F9C">
              <w:rPr>
                <w:rFonts w:ascii="Arial" w:hAnsi="Arial" w:cs="Arial"/>
                <w:sz w:val="24"/>
                <w:szCs w:val="24"/>
              </w:rPr>
              <w:t>defined</w:t>
            </w:r>
            <w:proofErr w:type="gramEnd"/>
            <w:r w:rsidRPr="00FA3F9C">
              <w:rPr>
                <w:rFonts w:ascii="Arial" w:hAnsi="Arial" w:cs="Arial"/>
                <w:sz w:val="24"/>
                <w:szCs w:val="24"/>
              </w:rPr>
              <w:t xml:space="preserve"> as &gt;3 glasses/d (1 glass is equivalent to beer 284 mL, wine 125 mL, or distilled spirits 25 mL for females and &gt;4 glasses/d for males).</w:t>
            </w:r>
          </w:p>
          <w:p w14:paraId="12904564" w14:textId="77777777" w:rsidR="001506C1" w:rsidRPr="00FA3F9C" w:rsidRDefault="001506C1" w:rsidP="0092312C">
            <w:pPr>
              <w:widowControl w:val="0"/>
              <w:autoSpaceDE w:val="0"/>
              <w:autoSpaceDN w:val="0"/>
              <w:adjustRightInd w:val="0"/>
              <w:rPr>
                <w:rFonts w:ascii="Arial" w:hAnsi="Arial" w:cs="Arial"/>
                <w:sz w:val="24"/>
                <w:szCs w:val="24"/>
              </w:rPr>
            </w:pPr>
            <w:r w:rsidRPr="00FA3F9C">
              <w:rPr>
                <w:rFonts w:ascii="Segoe UI Symbol" w:eastAsia="MS Gothic" w:hAnsi="Segoe UI Symbol" w:cs="Segoe UI Symbol"/>
                <w:color w:val="000000"/>
                <w:sz w:val="24"/>
                <w:szCs w:val="24"/>
              </w:rPr>
              <w:t>☐</w:t>
            </w:r>
            <w:r w:rsidRPr="00FA3F9C">
              <w:rPr>
                <w:rFonts w:ascii="Arial" w:hAnsi="Arial" w:cs="Arial"/>
                <w:sz w:val="24"/>
                <w:szCs w:val="24"/>
              </w:rPr>
              <w:t>A patient-signed statement attesting to this is acceptable.</w:t>
            </w:r>
          </w:p>
        </w:tc>
        <w:tc>
          <w:tcPr>
            <w:tcW w:w="4433" w:type="dxa"/>
          </w:tcPr>
          <w:p w14:paraId="43C2CCCB" w14:textId="77777777" w:rsidR="001506C1" w:rsidRPr="00FA3F9C" w:rsidRDefault="001506C1" w:rsidP="0092312C">
            <w:pPr>
              <w:rPr>
                <w:rFonts w:ascii="Arial" w:hAnsi="Arial" w:cs="Arial"/>
                <w:sz w:val="24"/>
                <w:szCs w:val="24"/>
              </w:rPr>
            </w:pPr>
          </w:p>
        </w:tc>
      </w:tr>
      <w:tr w:rsidR="001506C1" w:rsidRPr="00FA3F9C" w14:paraId="382D8CD2" w14:textId="77777777" w:rsidTr="00C93E92">
        <w:tc>
          <w:tcPr>
            <w:tcW w:w="10075" w:type="dxa"/>
          </w:tcPr>
          <w:p w14:paraId="1DCA3320" w14:textId="77777777" w:rsidR="001506C1" w:rsidRPr="00FA3F9C" w:rsidRDefault="001506C1" w:rsidP="0092312C">
            <w:pPr>
              <w:rPr>
                <w:rFonts w:ascii="Arial" w:hAnsi="Arial" w:cs="Arial"/>
                <w:sz w:val="24"/>
                <w:szCs w:val="24"/>
              </w:rPr>
            </w:pPr>
            <w:r w:rsidRPr="00FA3F9C">
              <w:rPr>
                <w:rFonts w:ascii="Arial" w:hAnsi="Arial" w:cs="Arial"/>
                <w:sz w:val="24"/>
                <w:szCs w:val="24"/>
              </w:rPr>
              <w:t>4.  If the patient has cirrhosis, there must be NO signs of decompensation (ascites, episodes of spontaneous bacterial peritonitis, hepatic encephalopathy,), unless the patient is currently listed for liver transplant.</w:t>
            </w:r>
          </w:p>
          <w:p w14:paraId="71181010" w14:textId="77777777" w:rsidR="001506C1" w:rsidRPr="00FA3F9C" w:rsidRDefault="001506C1" w:rsidP="0092312C">
            <w:pPr>
              <w:rPr>
                <w:rFonts w:ascii="Arial" w:hAnsi="Arial" w:cs="Arial"/>
                <w:sz w:val="24"/>
                <w:szCs w:val="24"/>
              </w:rPr>
            </w:pPr>
            <w:r w:rsidRPr="00FA3F9C">
              <w:rPr>
                <w:rFonts w:ascii="Segoe UI Symbol" w:eastAsia="MS Gothic" w:hAnsi="Segoe UI Symbol" w:cs="Segoe UI Symbol"/>
                <w:color w:val="000000"/>
                <w:sz w:val="24"/>
                <w:szCs w:val="24"/>
              </w:rPr>
              <w:t>☐</w:t>
            </w:r>
            <w:r w:rsidRPr="00FA3F9C">
              <w:rPr>
                <w:rFonts w:ascii="Arial" w:hAnsi="Arial" w:cs="Arial"/>
                <w:sz w:val="24"/>
                <w:szCs w:val="24"/>
              </w:rPr>
              <w:t>The drug profile for the past 1 year must be submitted.</w:t>
            </w:r>
          </w:p>
        </w:tc>
        <w:tc>
          <w:tcPr>
            <w:tcW w:w="4433" w:type="dxa"/>
          </w:tcPr>
          <w:p w14:paraId="432D33EB" w14:textId="77777777" w:rsidR="001506C1" w:rsidRPr="00FA3F9C" w:rsidRDefault="001506C1" w:rsidP="0092312C">
            <w:pPr>
              <w:rPr>
                <w:rFonts w:ascii="Arial" w:hAnsi="Arial" w:cs="Arial"/>
                <w:sz w:val="24"/>
                <w:szCs w:val="24"/>
              </w:rPr>
            </w:pPr>
            <w:r w:rsidRPr="00FA3F9C">
              <w:rPr>
                <w:rFonts w:ascii="Arial" w:hAnsi="Arial" w:cs="Arial"/>
                <w:sz w:val="24"/>
                <w:szCs w:val="24"/>
              </w:rPr>
              <w:t>Unless currently LISTED on the liver transplant list.  Patients with decompensation will not be treated unless currently listed on a verifiable list from a liver transplant center.</w:t>
            </w:r>
          </w:p>
        </w:tc>
      </w:tr>
      <w:tr w:rsidR="001506C1" w:rsidRPr="00FA3F9C" w14:paraId="152DC5D6" w14:textId="77777777" w:rsidTr="00C93E92">
        <w:tc>
          <w:tcPr>
            <w:tcW w:w="10075" w:type="dxa"/>
          </w:tcPr>
          <w:p w14:paraId="468034F2" w14:textId="77777777" w:rsidR="001506C1" w:rsidRPr="00FA3F9C" w:rsidRDefault="001506C1" w:rsidP="0092312C">
            <w:pPr>
              <w:rPr>
                <w:rFonts w:ascii="Arial" w:hAnsi="Arial" w:cs="Arial"/>
                <w:sz w:val="24"/>
                <w:szCs w:val="24"/>
              </w:rPr>
            </w:pPr>
            <w:r w:rsidRPr="00FA3F9C">
              <w:rPr>
                <w:rFonts w:ascii="Arial" w:hAnsi="Arial" w:cs="Arial"/>
                <w:sz w:val="24"/>
                <w:szCs w:val="24"/>
              </w:rPr>
              <w:t xml:space="preserve">5.  The patient with liver disease due to any cause other than HCV infection (chronic hepatitis B infection, autoimmune hepatitis, alcoholic hepatitis, hemochromatosis, Wilson’s disease, alpha 1 antitrypsin deficiency,) should be referred to a gastroenterologist. </w:t>
            </w:r>
          </w:p>
        </w:tc>
        <w:tc>
          <w:tcPr>
            <w:tcW w:w="4433" w:type="dxa"/>
          </w:tcPr>
          <w:p w14:paraId="3F7C0DE4" w14:textId="77777777" w:rsidR="001506C1" w:rsidRPr="00FA3F9C" w:rsidRDefault="001506C1" w:rsidP="0092312C">
            <w:pPr>
              <w:rPr>
                <w:rFonts w:ascii="Arial" w:hAnsi="Arial" w:cs="Arial"/>
                <w:sz w:val="24"/>
                <w:szCs w:val="24"/>
              </w:rPr>
            </w:pPr>
          </w:p>
        </w:tc>
      </w:tr>
      <w:tr w:rsidR="001506C1" w:rsidRPr="00FA3F9C" w14:paraId="3BAEAE0B" w14:textId="77777777" w:rsidTr="00C93E92">
        <w:tc>
          <w:tcPr>
            <w:tcW w:w="10075" w:type="dxa"/>
          </w:tcPr>
          <w:p w14:paraId="180B6CB3" w14:textId="77777777" w:rsidR="001506C1" w:rsidRPr="00FA3F9C" w:rsidRDefault="001506C1" w:rsidP="0092312C">
            <w:pPr>
              <w:rPr>
                <w:rFonts w:ascii="Arial" w:hAnsi="Arial" w:cs="Arial"/>
                <w:sz w:val="24"/>
                <w:szCs w:val="24"/>
              </w:rPr>
            </w:pPr>
            <w:r w:rsidRPr="00FA3F9C">
              <w:rPr>
                <w:rFonts w:ascii="Arial" w:hAnsi="Arial" w:cs="Arial"/>
                <w:sz w:val="24"/>
                <w:szCs w:val="24"/>
              </w:rPr>
              <w:t xml:space="preserve">6.  The extent of fibrosis may be shown by liver biopsy, FIB-4, APRI, </w:t>
            </w:r>
            <w:proofErr w:type="spellStart"/>
            <w:r w:rsidRPr="00FA3F9C">
              <w:rPr>
                <w:rFonts w:ascii="Arial" w:hAnsi="Arial" w:cs="Arial"/>
                <w:sz w:val="24"/>
                <w:szCs w:val="24"/>
              </w:rPr>
              <w:t>Fibroscan</w:t>
            </w:r>
            <w:proofErr w:type="spellEnd"/>
            <w:r w:rsidRPr="00FA3F9C">
              <w:rPr>
                <w:rFonts w:ascii="Arial" w:hAnsi="Arial" w:cs="Arial"/>
                <w:sz w:val="24"/>
                <w:szCs w:val="24"/>
              </w:rPr>
              <w:t xml:space="preserve"> (transient elastography), or </w:t>
            </w:r>
            <w:proofErr w:type="spellStart"/>
            <w:r w:rsidRPr="00FA3F9C">
              <w:rPr>
                <w:rFonts w:ascii="Arial" w:hAnsi="Arial" w:cs="Arial"/>
                <w:sz w:val="24"/>
                <w:szCs w:val="24"/>
              </w:rPr>
              <w:t>Fibrotest</w:t>
            </w:r>
            <w:proofErr w:type="spellEnd"/>
            <w:r w:rsidRPr="00FA3F9C">
              <w:rPr>
                <w:rFonts w:ascii="Arial" w:hAnsi="Arial" w:cs="Arial"/>
                <w:sz w:val="24"/>
                <w:szCs w:val="24"/>
              </w:rPr>
              <w:t xml:space="preserve"> to demonstrate the patient has a </w:t>
            </w:r>
            <w:proofErr w:type="spellStart"/>
            <w:r w:rsidRPr="00FA3F9C">
              <w:rPr>
                <w:rFonts w:ascii="Arial" w:hAnsi="Arial" w:cs="Arial"/>
                <w:sz w:val="24"/>
                <w:szCs w:val="24"/>
              </w:rPr>
              <w:t>Metavir</w:t>
            </w:r>
            <w:proofErr w:type="spellEnd"/>
            <w:r w:rsidRPr="00FA3F9C">
              <w:rPr>
                <w:rFonts w:ascii="Arial" w:hAnsi="Arial" w:cs="Arial"/>
                <w:sz w:val="24"/>
                <w:szCs w:val="24"/>
              </w:rPr>
              <w:t xml:space="preserve"> score of F3 or F4.  </w:t>
            </w:r>
          </w:p>
        </w:tc>
        <w:tc>
          <w:tcPr>
            <w:tcW w:w="4433" w:type="dxa"/>
          </w:tcPr>
          <w:p w14:paraId="0955CD39" w14:textId="77777777" w:rsidR="001506C1" w:rsidRPr="00FA3F9C" w:rsidRDefault="001506C1" w:rsidP="0092312C">
            <w:pPr>
              <w:rPr>
                <w:rFonts w:ascii="Arial" w:hAnsi="Arial" w:cs="Arial"/>
                <w:sz w:val="24"/>
                <w:szCs w:val="24"/>
              </w:rPr>
            </w:pPr>
          </w:p>
        </w:tc>
      </w:tr>
      <w:tr w:rsidR="001506C1" w:rsidRPr="00FA3F9C" w14:paraId="1D124EC8" w14:textId="77777777" w:rsidTr="00C93E92">
        <w:tc>
          <w:tcPr>
            <w:tcW w:w="10075" w:type="dxa"/>
          </w:tcPr>
          <w:p w14:paraId="3757A786" w14:textId="77777777" w:rsidR="001506C1" w:rsidRPr="00FA3F9C" w:rsidRDefault="001506C1" w:rsidP="0092312C">
            <w:pPr>
              <w:rPr>
                <w:rFonts w:ascii="Arial" w:hAnsi="Arial" w:cs="Arial"/>
                <w:sz w:val="24"/>
                <w:szCs w:val="24"/>
              </w:rPr>
            </w:pPr>
            <w:r w:rsidRPr="00FA3F9C">
              <w:rPr>
                <w:rFonts w:ascii="Arial" w:hAnsi="Arial" w:cs="Arial"/>
                <w:sz w:val="24"/>
                <w:szCs w:val="24"/>
              </w:rPr>
              <w:lastRenderedPageBreak/>
              <w:t xml:space="preserve">7.  Patients with extrahepatic manifestations of chronic HCV infection are candidates for therapy regardless of corresponding </w:t>
            </w:r>
            <w:proofErr w:type="spellStart"/>
            <w:r w:rsidRPr="00FA3F9C">
              <w:rPr>
                <w:rFonts w:ascii="Arial" w:hAnsi="Arial" w:cs="Arial"/>
                <w:sz w:val="24"/>
                <w:szCs w:val="24"/>
              </w:rPr>
              <w:t>Metavir</w:t>
            </w:r>
            <w:proofErr w:type="spellEnd"/>
            <w:r w:rsidRPr="00FA3F9C">
              <w:rPr>
                <w:rFonts w:ascii="Arial" w:hAnsi="Arial" w:cs="Arial"/>
                <w:sz w:val="24"/>
                <w:szCs w:val="24"/>
              </w:rPr>
              <w:t xml:space="preserve"> score </w:t>
            </w:r>
            <w:proofErr w:type="gramStart"/>
            <w:r w:rsidRPr="00FA3F9C">
              <w:rPr>
                <w:rFonts w:ascii="Arial" w:hAnsi="Arial" w:cs="Arial"/>
                <w:sz w:val="24"/>
                <w:szCs w:val="24"/>
              </w:rPr>
              <w:t>as long as</w:t>
            </w:r>
            <w:proofErr w:type="gramEnd"/>
            <w:r w:rsidRPr="00FA3F9C">
              <w:rPr>
                <w:rFonts w:ascii="Arial" w:hAnsi="Arial" w:cs="Arial"/>
                <w:sz w:val="24"/>
                <w:szCs w:val="24"/>
              </w:rPr>
              <w:t xml:space="preserve"> they meet the other requirements above.</w:t>
            </w:r>
          </w:p>
        </w:tc>
        <w:tc>
          <w:tcPr>
            <w:tcW w:w="4433" w:type="dxa"/>
          </w:tcPr>
          <w:p w14:paraId="38C29D1E" w14:textId="77777777" w:rsidR="001506C1" w:rsidRPr="00FA3F9C" w:rsidRDefault="001506C1" w:rsidP="0092312C">
            <w:pPr>
              <w:rPr>
                <w:rFonts w:ascii="Arial" w:hAnsi="Arial" w:cs="Arial"/>
                <w:sz w:val="24"/>
                <w:szCs w:val="24"/>
              </w:rPr>
            </w:pPr>
          </w:p>
        </w:tc>
      </w:tr>
      <w:tr w:rsidR="001506C1" w:rsidRPr="00FA3F9C" w14:paraId="02D44CA6" w14:textId="77777777" w:rsidTr="00C93E92">
        <w:tc>
          <w:tcPr>
            <w:tcW w:w="10075" w:type="dxa"/>
          </w:tcPr>
          <w:p w14:paraId="6265220D" w14:textId="77777777" w:rsidR="001506C1" w:rsidRPr="00FA3F9C" w:rsidRDefault="001506C1" w:rsidP="0092312C">
            <w:pPr>
              <w:rPr>
                <w:rFonts w:ascii="Arial" w:hAnsi="Arial" w:cs="Arial"/>
                <w:sz w:val="24"/>
                <w:szCs w:val="24"/>
              </w:rPr>
            </w:pPr>
            <w:r w:rsidRPr="00FA3F9C">
              <w:rPr>
                <w:rFonts w:ascii="Arial" w:hAnsi="Arial" w:cs="Arial"/>
                <w:sz w:val="24"/>
                <w:szCs w:val="24"/>
              </w:rPr>
              <w:t>8.  If the patient was provided HCV eradication therapy and abandoned therapy, they are not eligible for a 2nd course of treatment.  If the patient completed but relapsed or had intolerance to the 1st course of therapy, then they would be eligible for subsequent treatment depending on what is requested and the clinical evidence.</w:t>
            </w:r>
          </w:p>
          <w:p w14:paraId="5CD82CEE" w14:textId="77777777" w:rsidR="001506C1" w:rsidRPr="00FA3F9C" w:rsidRDefault="001506C1" w:rsidP="0092312C">
            <w:pPr>
              <w:rPr>
                <w:rFonts w:ascii="Arial" w:hAnsi="Arial" w:cs="Arial"/>
                <w:sz w:val="24"/>
                <w:szCs w:val="24"/>
              </w:rPr>
            </w:pPr>
            <w:r w:rsidRPr="00FA3F9C">
              <w:rPr>
                <w:rFonts w:ascii="Segoe UI Symbol" w:eastAsia="MS Gothic" w:hAnsi="Segoe UI Symbol" w:cs="Segoe UI Symbol"/>
                <w:color w:val="000000"/>
                <w:sz w:val="24"/>
                <w:szCs w:val="24"/>
              </w:rPr>
              <w:t>☐</w:t>
            </w:r>
            <w:r w:rsidRPr="00FA3F9C">
              <w:rPr>
                <w:rFonts w:ascii="Arial" w:eastAsia="MS Gothic" w:hAnsi="Arial" w:cs="Arial"/>
                <w:color w:val="000000"/>
                <w:sz w:val="24"/>
                <w:szCs w:val="24"/>
              </w:rPr>
              <w:t>A review of the drug profile for fills provided in the past for HCV eradication drug therapy.  Further explanation by the patient/physician may be required.</w:t>
            </w:r>
          </w:p>
        </w:tc>
        <w:tc>
          <w:tcPr>
            <w:tcW w:w="4433" w:type="dxa"/>
          </w:tcPr>
          <w:p w14:paraId="6C4088FD" w14:textId="77777777" w:rsidR="001506C1" w:rsidRPr="00FA3F9C" w:rsidRDefault="001506C1" w:rsidP="0092312C">
            <w:pPr>
              <w:rPr>
                <w:rFonts w:ascii="Arial" w:hAnsi="Arial" w:cs="Arial"/>
                <w:sz w:val="24"/>
                <w:szCs w:val="24"/>
              </w:rPr>
            </w:pPr>
          </w:p>
        </w:tc>
      </w:tr>
    </w:tbl>
    <w:p w14:paraId="258D1DCD" w14:textId="77777777" w:rsidR="001506C1" w:rsidRPr="00FA3F9C" w:rsidRDefault="001506C1" w:rsidP="00FE6866">
      <w:pPr>
        <w:rPr>
          <w:rFonts w:ascii="Arial" w:hAnsi="Arial" w:cs="Arial"/>
          <w:sz w:val="24"/>
          <w:szCs w:val="24"/>
        </w:rPr>
      </w:pPr>
      <w:r w:rsidRPr="00FA3F9C">
        <w:rPr>
          <w:rFonts w:ascii="Arial" w:hAnsi="Arial" w:cs="Arial"/>
          <w:b/>
          <w:sz w:val="24"/>
          <w:szCs w:val="24"/>
        </w:rPr>
        <w:t>B</w:t>
      </w:r>
      <w:r w:rsidRPr="00FA3F9C">
        <w:rPr>
          <w:rFonts w:ascii="Arial" w:hAnsi="Arial" w:cs="Arial"/>
          <w:sz w:val="24"/>
          <w:szCs w:val="24"/>
        </w:rPr>
        <w:t>.  Other questions which must be collected on EVERY patient seeking drug therapy for HCV infection:</w:t>
      </w:r>
    </w:p>
    <w:tbl>
      <w:tblPr>
        <w:tblStyle w:val="TableGrid"/>
        <w:tblW w:w="14508" w:type="dxa"/>
        <w:tblLook w:val="04A0" w:firstRow="1" w:lastRow="0" w:firstColumn="1" w:lastColumn="0" w:noHBand="0" w:noVBand="1"/>
      </w:tblPr>
      <w:tblGrid>
        <w:gridCol w:w="10098"/>
        <w:gridCol w:w="4410"/>
      </w:tblGrid>
      <w:tr w:rsidR="001506C1" w:rsidRPr="00FA3F9C" w14:paraId="0D02B225" w14:textId="77777777" w:rsidTr="0092312C">
        <w:tc>
          <w:tcPr>
            <w:tcW w:w="10098" w:type="dxa"/>
          </w:tcPr>
          <w:p w14:paraId="31BCFC5F" w14:textId="77777777" w:rsidR="001506C1" w:rsidRPr="00FA3F9C" w:rsidRDefault="001506C1" w:rsidP="0092312C">
            <w:pPr>
              <w:rPr>
                <w:rFonts w:ascii="Arial" w:hAnsi="Arial" w:cs="Arial"/>
                <w:sz w:val="24"/>
                <w:szCs w:val="24"/>
              </w:rPr>
            </w:pPr>
            <w:r w:rsidRPr="00FA3F9C">
              <w:rPr>
                <w:rFonts w:ascii="Arial" w:hAnsi="Arial" w:cs="Arial"/>
                <w:sz w:val="24"/>
                <w:szCs w:val="24"/>
              </w:rPr>
              <w:t xml:space="preserve">1.  Is the patient currently on the liver transplant list? (Decompensated, </w:t>
            </w:r>
            <w:proofErr w:type="spellStart"/>
            <w:r w:rsidRPr="00FA3F9C">
              <w:rPr>
                <w:rFonts w:ascii="Arial" w:hAnsi="Arial" w:cs="Arial"/>
                <w:sz w:val="24"/>
                <w:szCs w:val="24"/>
              </w:rPr>
              <w:t>metavir</w:t>
            </w:r>
            <w:proofErr w:type="spellEnd"/>
            <w:r w:rsidRPr="00FA3F9C">
              <w:rPr>
                <w:rFonts w:ascii="Arial" w:hAnsi="Arial" w:cs="Arial"/>
                <w:sz w:val="24"/>
                <w:szCs w:val="24"/>
              </w:rPr>
              <w:t xml:space="preserve"> F4 patients are eligible for treatment, absent contraindications listed in #5 above.)</w:t>
            </w:r>
          </w:p>
        </w:tc>
        <w:tc>
          <w:tcPr>
            <w:tcW w:w="4410" w:type="dxa"/>
          </w:tcPr>
          <w:p w14:paraId="3A2A8A26" w14:textId="77777777" w:rsidR="001506C1" w:rsidRPr="00FA3F9C" w:rsidRDefault="001506C1" w:rsidP="0092312C">
            <w:pPr>
              <w:rPr>
                <w:rFonts w:ascii="Arial" w:hAnsi="Arial" w:cs="Arial"/>
                <w:sz w:val="24"/>
                <w:szCs w:val="24"/>
              </w:rPr>
            </w:pPr>
          </w:p>
        </w:tc>
      </w:tr>
      <w:tr w:rsidR="001506C1" w:rsidRPr="00FA3F9C" w14:paraId="6033EF8B" w14:textId="77777777" w:rsidTr="0092312C">
        <w:tc>
          <w:tcPr>
            <w:tcW w:w="10098" w:type="dxa"/>
          </w:tcPr>
          <w:p w14:paraId="3B78DCDB" w14:textId="77777777" w:rsidR="001506C1" w:rsidRPr="00FA3F9C" w:rsidRDefault="001506C1" w:rsidP="0092312C">
            <w:pPr>
              <w:rPr>
                <w:rFonts w:ascii="Arial" w:hAnsi="Arial" w:cs="Arial"/>
                <w:sz w:val="24"/>
                <w:szCs w:val="24"/>
              </w:rPr>
            </w:pPr>
            <w:r w:rsidRPr="00FA3F9C">
              <w:rPr>
                <w:rFonts w:ascii="Arial" w:hAnsi="Arial" w:cs="Arial"/>
                <w:sz w:val="24"/>
                <w:szCs w:val="24"/>
              </w:rPr>
              <w:t xml:space="preserve">2.  Has the patient previously received any treatment for HCV infection?  If so, what regimen and duration?  </w:t>
            </w:r>
          </w:p>
          <w:p w14:paraId="26BD85DE" w14:textId="77777777" w:rsidR="001506C1" w:rsidRPr="00FA3F9C" w:rsidRDefault="001506C1" w:rsidP="0092312C">
            <w:pPr>
              <w:rPr>
                <w:rFonts w:ascii="Arial" w:hAnsi="Arial" w:cs="Arial"/>
                <w:sz w:val="24"/>
                <w:szCs w:val="24"/>
              </w:rPr>
            </w:pPr>
            <w:r w:rsidRPr="00FA3F9C">
              <w:rPr>
                <w:rFonts w:ascii="Segoe UI Symbol" w:eastAsia="MS Gothic" w:hAnsi="Segoe UI Symbol" w:cs="Segoe UI Symbol"/>
                <w:color w:val="000000"/>
                <w:sz w:val="24"/>
                <w:szCs w:val="24"/>
              </w:rPr>
              <w:t>☐</w:t>
            </w:r>
            <w:r w:rsidRPr="00FA3F9C">
              <w:rPr>
                <w:rFonts w:ascii="Arial" w:eastAsia="MS Gothic" w:hAnsi="Arial" w:cs="Arial"/>
                <w:color w:val="000000"/>
                <w:sz w:val="24"/>
                <w:szCs w:val="24"/>
              </w:rPr>
              <w:t>This info must be captured even if drug was supplied by the manufacturer.</w:t>
            </w:r>
          </w:p>
        </w:tc>
        <w:tc>
          <w:tcPr>
            <w:tcW w:w="4410" w:type="dxa"/>
          </w:tcPr>
          <w:p w14:paraId="4FC553FD" w14:textId="77777777" w:rsidR="001506C1" w:rsidRPr="00FA3F9C" w:rsidRDefault="001506C1" w:rsidP="0092312C">
            <w:pPr>
              <w:rPr>
                <w:rFonts w:ascii="Arial" w:hAnsi="Arial" w:cs="Arial"/>
                <w:sz w:val="24"/>
                <w:szCs w:val="24"/>
              </w:rPr>
            </w:pPr>
            <w:r w:rsidRPr="00FA3F9C">
              <w:rPr>
                <w:rFonts w:ascii="Arial" w:hAnsi="Arial" w:cs="Arial"/>
                <w:sz w:val="24"/>
                <w:szCs w:val="24"/>
              </w:rPr>
              <w:t>This answer is needed to determine treatment eligibility.</w:t>
            </w:r>
          </w:p>
        </w:tc>
      </w:tr>
      <w:tr w:rsidR="001506C1" w:rsidRPr="00FA3F9C" w14:paraId="6E600D10" w14:textId="77777777" w:rsidTr="0092312C">
        <w:tc>
          <w:tcPr>
            <w:tcW w:w="10098" w:type="dxa"/>
          </w:tcPr>
          <w:p w14:paraId="43799125" w14:textId="77777777" w:rsidR="001506C1" w:rsidRPr="00FA3F9C" w:rsidRDefault="001506C1" w:rsidP="0092312C">
            <w:pPr>
              <w:rPr>
                <w:rFonts w:ascii="Arial" w:hAnsi="Arial" w:cs="Arial"/>
                <w:sz w:val="24"/>
                <w:szCs w:val="24"/>
              </w:rPr>
            </w:pPr>
            <w:r w:rsidRPr="00FA3F9C">
              <w:rPr>
                <w:rFonts w:ascii="Arial" w:hAnsi="Arial" w:cs="Arial"/>
                <w:sz w:val="24"/>
                <w:szCs w:val="24"/>
              </w:rPr>
              <w:t xml:space="preserve">3.  HIV positive patients must have absolute CD4 counts above 500 and not require HAART therapy or currently receive HAART therapy if the absolute CD4 count is below 200, to be eligible for HCV eradication treatment. </w:t>
            </w:r>
          </w:p>
          <w:p w14:paraId="29C216A1" w14:textId="77777777" w:rsidR="001506C1" w:rsidRPr="00FA3F9C" w:rsidRDefault="001506C1" w:rsidP="0092312C">
            <w:pPr>
              <w:rPr>
                <w:rFonts w:ascii="Arial" w:hAnsi="Arial" w:cs="Arial"/>
                <w:sz w:val="24"/>
                <w:szCs w:val="24"/>
              </w:rPr>
            </w:pPr>
            <w:r w:rsidRPr="00FA3F9C">
              <w:rPr>
                <w:rFonts w:ascii="Segoe UI Symbol" w:eastAsia="MS Gothic" w:hAnsi="Segoe UI Symbol" w:cs="Segoe UI Symbol"/>
                <w:color w:val="000000"/>
                <w:sz w:val="24"/>
                <w:szCs w:val="24"/>
              </w:rPr>
              <w:t>☐</w:t>
            </w:r>
            <w:r w:rsidRPr="00FA3F9C">
              <w:rPr>
                <w:rFonts w:ascii="Arial" w:eastAsia="MS Gothic" w:hAnsi="Arial" w:cs="Arial"/>
                <w:color w:val="000000"/>
                <w:sz w:val="24"/>
                <w:szCs w:val="24"/>
              </w:rPr>
              <w:t>If HIV positive, the absolute CD4 count must be submitted from the past 6 months.</w:t>
            </w:r>
          </w:p>
        </w:tc>
        <w:tc>
          <w:tcPr>
            <w:tcW w:w="4410" w:type="dxa"/>
          </w:tcPr>
          <w:p w14:paraId="15EADE55" w14:textId="77777777" w:rsidR="001506C1" w:rsidRPr="00FA3F9C" w:rsidRDefault="001506C1" w:rsidP="0092312C">
            <w:pPr>
              <w:rPr>
                <w:rFonts w:ascii="Arial" w:hAnsi="Arial" w:cs="Arial"/>
                <w:sz w:val="24"/>
                <w:szCs w:val="24"/>
              </w:rPr>
            </w:pPr>
          </w:p>
        </w:tc>
      </w:tr>
    </w:tbl>
    <w:p w14:paraId="75E202C4" w14:textId="77777777" w:rsidR="001506C1" w:rsidRPr="00FA3F9C" w:rsidRDefault="001506C1" w:rsidP="00FE6866">
      <w:pPr>
        <w:spacing w:line="276" w:lineRule="auto"/>
        <w:rPr>
          <w:rFonts w:ascii="Arial" w:hAnsi="Arial" w:cs="Arial"/>
          <w:b/>
          <w:sz w:val="24"/>
          <w:szCs w:val="24"/>
        </w:rPr>
      </w:pPr>
      <w:r w:rsidRPr="00FA3F9C">
        <w:rPr>
          <w:rFonts w:ascii="Arial" w:hAnsi="Arial" w:cs="Arial"/>
          <w:b/>
          <w:sz w:val="24"/>
          <w:szCs w:val="24"/>
        </w:rPr>
        <w:t>C.</w:t>
      </w:r>
      <w:r w:rsidRPr="00FA3F9C">
        <w:rPr>
          <w:rFonts w:ascii="Arial" w:hAnsi="Arial" w:cs="Arial"/>
          <w:sz w:val="24"/>
          <w:szCs w:val="24"/>
        </w:rPr>
        <w:t xml:space="preserve">  </w:t>
      </w:r>
      <w:r w:rsidRPr="00FA3F9C">
        <w:rPr>
          <w:rFonts w:ascii="Arial" w:hAnsi="Arial" w:cs="Arial"/>
          <w:b/>
          <w:sz w:val="24"/>
          <w:szCs w:val="24"/>
        </w:rPr>
        <w:t>Likelihood of progressing without treatment</w:t>
      </w:r>
    </w:p>
    <w:p w14:paraId="7A90FF07" w14:textId="77777777" w:rsidR="001506C1" w:rsidRPr="00FA3F9C" w:rsidRDefault="001506C1" w:rsidP="00FE6866">
      <w:pPr>
        <w:widowControl w:val="0"/>
        <w:autoSpaceDE w:val="0"/>
        <w:autoSpaceDN w:val="0"/>
        <w:adjustRightInd w:val="0"/>
        <w:spacing w:before="5" w:line="276" w:lineRule="auto"/>
        <w:rPr>
          <w:rFonts w:ascii="Arial" w:hAnsi="Arial" w:cs="Arial"/>
          <w:b/>
          <w:sz w:val="24"/>
          <w:szCs w:val="24"/>
        </w:rPr>
      </w:pPr>
      <w:r w:rsidRPr="00FA3F9C">
        <w:rPr>
          <w:rFonts w:ascii="Arial" w:hAnsi="Arial" w:cs="Arial"/>
          <w:b/>
          <w:sz w:val="24"/>
          <w:szCs w:val="24"/>
        </w:rPr>
        <w:t xml:space="preserve">The premise for the policies below is multifactorial.  </w:t>
      </w:r>
    </w:p>
    <w:p w14:paraId="2794AA0D" w14:textId="77777777" w:rsidR="001506C1" w:rsidRPr="00FA3F9C" w:rsidRDefault="001506C1" w:rsidP="00FE6866">
      <w:pPr>
        <w:widowControl w:val="0"/>
        <w:autoSpaceDE w:val="0"/>
        <w:autoSpaceDN w:val="0"/>
        <w:adjustRightInd w:val="0"/>
        <w:spacing w:before="5" w:line="276" w:lineRule="auto"/>
        <w:ind w:right="-720"/>
        <w:rPr>
          <w:rFonts w:ascii="Arial" w:hAnsi="Arial" w:cs="Arial"/>
          <w:sz w:val="24"/>
          <w:szCs w:val="24"/>
        </w:rPr>
      </w:pPr>
      <w:r w:rsidRPr="00FA3F9C">
        <w:rPr>
          <w:rFonts w:ascii="Arial" w:hAnsi="Arial" w:cs="Arial"/>
          <w:b/>
          <w:sz w:val="24"/>
          <w:szCs w:val="24"/>
        </w:rPr>
        <w:t xml:space="preserve">First, chronic HCV is a progressive disease that takes decades to develop cirrhosis or hepatocellular carcinoma and only 20% develop cirrhosis over 20-30 years and 5% die from cirrhosis or liver cancer.  Second, achieving a sustained viral response 12 or 24 weeks after the end of drug therapy (SVR12 or SVR24) is not a cure.  SVR is a surrogate marker for the actual outcome of liver morbidity or mortality (including decompensated liver cirrhosis, hepatocellular carcinoma, liver transplantation, or death from liver related causes).  </w:t>
      </w:r>
      <w:proofErr w:type="gramStart"/>
      <w:r w:rsidRPr="00FA3F9C">
        <w:rPr>
          <w:rFonts w:ascii="Arial" w:hAnsi="Arial" w:cs="Arial"/>
          <w:b/>
          <w:sz w:val="24"/>
          <w:szCs w:val="24"/>
        </w:rPr>
        <w:t>Thus</w:t>
      </w:r>
      <w:proofErr w:type="gramEnd"/>
      <w:r w:rsidRPr="00FA3F9C">
        <w:rPr>
          <w:rFonts w:ascii="Arial" w:hAnsi="Arial" w:cs="Arial"/>
          <w:b/>
          <w:sz w:val="24"/>
          <w:szCs w:val="24"/>
        </w:rPr>
        <w:t xml:space="preserve"> the objective is not how many patients develop SVRs but how many are spared from ESLD.  None of the drug trials evaluated these outcomes.  All the studies linking SVR to clinical outcomes are observational studies and are subject to confounding.  Additionally, patients who achieve SVR remain at risk for developing HCC, although the risk is lower than if SVR had not been achieved.  To date (2/10/15), all data showing a decrease in liver morbidity or </w:t>
      </w:r>
      <w:r w:rsidRPr="00FA3F9C">
        <w:rPr>
          <w:rFonts w:ascii="Arial" w:hAnsi="Arial" w:cs="Arial"/>
          <w:b/>
          <w:sz w:val="24"/>
          <w:szCs w:val="24"/>
        </w:rPr>
        <w:lastRenderedPageBreak/>
        <w:t>mortality included interferon + ribavirin in the HCV eradication therapy.  There are no data to show a non-interferon containing regimen for HCV eradication reduces liver-related morbidity or mortality.  However, the available observational studies with interferon show achieving an SVR24 correlates to improved quality of life and reduction in fatigue, and approximately an 80% decrease in decompensated liver disease, HCC, liver transplant, and all-cause mortality.  It appears that some risk for HCC remains, even in those achieving SVR.</w:t>
      </w:r>
    </w:p>
    <w:p w14:paraId="0D4C8DF7" w14:textId="77777777" w:rsidR="001506C1" w:rsidRPr="00FA3F9C" w:rsidRDefault="001506C1" w:rsidP="00FE6866">
      <w:pPr>
        <w:widowControl w:val="0"/>
        <w:autoSpaceDE w:val="0"/>
        <w:autoSpaceDN w:val="0"/>
        <w:adjustRightInd w:val="0"/>
        <w:spacing w:line="276" w:lineRule="auto"/>
        <w:ind w:left="140" w:right="-20"/>
        <w:rPr>
          <w:rFonts w:ascii="Arial" w:hAnsi="Arial" w:cs="Arial"/>
          <w:sz w:val="24"/>
          <w:szCs w:val="24"/>
        </w:rPr>
      </w:pPr>
      <w:r w:rsidRPr="00FA3F9C">
        <w:rPr>
          <w:rFonts w:ascii="Arial" w:hAnsi="Arial" w:cs="Arial"/>
          <w:b/>
          <w:bCs/>
          <w:spacing w:val="-1"/>
          <w:sz w:val="24"/>
          <w:szCs w:val="24"/>
        </w:rPr>
        <w:t>C</w:t>
      </w:r>
      <w:r w:rsidRPr="00FA3F9C">
        <w:rPr>
          <w:rFonts w:ascii="Arial" w:hAnsi="Arial" w:cs="Arial"/>
          <w:b/>
          <w:bCs/>
          <w:spacing w:val="2"/>
          <w:sz w:val="24"/>
          <w:szCs w:val="24"/>
        </w:rPr>
        <w:t>o</w:t>
      </w:r>
      <w:r w:rsidRPr="00FA3F9C">
        <w:rPr>
          <w:rFonts w:ascii="Arial" w:hAnsi="Arial" w:cs="Arial"/>
          <w:b/>
          <w:bCs/>
          <w:spacing w:val="-2"/>
          <w:sz w:val="24"/>
          <w:szCs w:val="24"/>
        </w:rPr>
        <w:t>n</w:t>
      </w:r>
      <w:r w:rsidRPr="00FA3F9C">
        <w:rPr>
          <w:rFonts w:ascii="Arial" w:hAnsi="Arial" w:cs="Arial"/>
          <w:b/>
          <w:bCs/>
          <w:spacing w:val="2"/>
          <w:sz w:val="24"/>
          <w:szCs w:val="24"/>
        </w:rPr>
        <w:t>d</w:t>
      </w:r>
      <w:r w:rsidRPr="00FA3F9C">
        <w:rPr>
          <w:rFonts w:ascii="Arial" w:hAnsi="Arial" w:cs="Arial"/>
          <w:b/>
          <w:bCs/>
          <w:spacing w:val="-2"/>
          <w:sz w:val="24"/>
          <w:szCs w:val="24"/>
        </w:rPr>
        <w:t>i</w:t>
      </w:r>
      <w:r w:rsidRPr="00FA3F9C">
        <w:rPr>
          <w:rFonts w:ascii="Arial" w:hAnsi="Arial" w:cs="Arial"/>
          <w:b/>
          <w:bCs/>
          <w:spacing w:val="2"/>
          <w:sz w:val="24"/>
          <w:szCs w:val="24"/>
        </w:rPr>
        <w:t>t</w:t>
      </w:r>
      <w:r w:rsidRPr="00FA3F9C">
        <w:rPr>
          <w:rFonts w:ascii="Arial" w:hAnsi="Arial" w:cs="Arial"/>
          <w:b/>
          <w:bCs/>
          <w:spacing w:val="-6"/>
          <w:sz w:val="24"/>
          <w:szCs w:val="24"/>
        </w:rPr>
        <w:t>i</w:t>
      </w:r>
      <w:r w:rsidRPr="00FA3F9C">
        <w:rPr>
          <w:rFonts w:ascii="Arial" w:hAnsi="Arial" w:cs="Arial"/>
          <w:b/>
          <w:bCs/>
          <w:spacing w:val="2"/>
          <w:sz w:val="24"/>
          <w:szCs w:val="24"/>
        </w:rPr>
        <w:t>o</w:t>
      </w:r>
      <w:r w:rsidRPr="00FA3F9C">
        <w:rPr>
          <w:rFonts w:ascii="Arial" w:hAnsi="Arial" w:cs="Arial"/>
          <w:b/>
          <w:bCs/>
          <w:sz w:val="24"/>
          <w:szCs w:val="24"/>
        </w:rPr>
        <w:t xml:space="preserve">n                                               </w:t>
      </w:r>
      <w:r w:rsidRPr="00FA3F9C">
        <w:rPr>
          <w:rFonts w:ascii="Arial" w:hAnsi="Arial" w:cs="Arial"/>
          <w:b/>
          <w:bCs/>
          <w:spacing w:val="38"/>
          <w:sz w:val="24"/>
          <w:szCs w:val="24"/>
        </w:rPr>
        <w:t xml:space="preserve"> </w:t>
      </w:r>
      <w:r w:rsidRPr="00FA3F9C">
        <w:rPr>
          <w:rFonts w:ascii="Arial" w:hAnsi="Arial" w:cs="Arial"/>
          <w:b/>
          <w:bCs/>
          <w:spacing w:val="2"/>
          <w:sz w:val="24"/>
          <w:szCs w:val="24"/>
        </w:rPr>
        <w:t>Nu</w:t>
      </w:r>
      <w:r w:rsidRPr="00FA3F9C">
        <w:rPr>
          <w:rFonts w:ascii="Arial" w:hAnsi="Arial" w:cs="Arial"/>
          <w:b/>
          <w:bCs/>
          <w:spacing w:val="-6"/>
          <w:sz w:val="24"/>
          <w:szCs w:val="24"/>
        </w:rPr>
        <w:t>m</w:t>
      </w:r>
      <w:r w:rsidRPr="00FA3F9C">
        <w:rPr>
          <w:rFonts w:ascii="Arial" w:hAnsi="Arial" w:cs="Arial"/>
          <w:b/>
          <w:bCs/>
          <w:spacing w:val="2"/>
          <w:sz w:val="24"/>
          <w:szCs w:val="24"/>
        </w:rPr>
        <w:t>b</w:t>
      </w:r>
      <w:r w:rsidRPr="00FA3F9C">
        <w:rPr>
          <w:rFonts w:ascii="Arial" w:hAnsi="Arial" w:cs="Arial"/>
          <w:b/>
          <w:bCs/>
          <w:spacing w:val="-1"/>
          <w:sz w:val="24"/>
          <w:szCs w:val="24"/>
        </w:rPr>
        <w:t>e</w:t>
      </w:r>
      <w:r w:rsidRPr="00FA3F9C">
        <w:rPr>
          <w:rFonts w:ascii="Arial" w:hAnsi="Arial" w:cs="Arial"/>
          <w:b/>
          <w:bCs/>
          <w:sz w:val="24"/>
          <w:szCs w:val="24"/>
        </w:rPr>
        <w:t>r</w:t>
      </w:r>
      <w:r w:rsidRPr="00FA3F9C">
        <w:rPr>
          <w:rFonts w:ascii="Arial" w:hAnsi="Arial" w:cs="Arial"/>
          <w:b/>
          <w:bCs/>
          <w:spacing w:val="-2"/>
          <w:sz w:val="24"/>
          <w:szCs w:val="24"/>
        </w:rPr>
        <w:t xml:space="preserve"> </w:t>
      </w:r>
      <w:r w:rsidRPr="00FA3F9C">
        <w:rPr>
          <w:rFonts w:ascii="Arial" w:hAnsi="Arial" w:cs="Arial"/>
          <w:b/>
          <w:bCs/>
          <w:spacing w:val="2"/>
          <w:sz w:val="24"/>
          <w:szCs w:val="24"/>
        </w:rPr>
        <w:t>o</w:t>
      </w:r>
      <w:r w:rsidRPr="00FA3F9C">
        <w:rPr>
          <w:rFonts w:ascii="Arial" w:hAnsi="Arial" w:cs="Arial"/>
          <w:b/>
          <w:bCs/>
          <w:sz w:val="24"/>
          <w:szCs w:val="24"/>
        </w:rPr>
        <w:t>f</w:t>
      </w:r>
      <w:r w:rsidRPr="00FA3F9C">
        <w:rPr>
          <w:rFonts w:ascii="Arial" w:hAnsi="Arial" w:cs="Arial"/>
          <w:b/>
          <w:bCs/>
          <w:spacing w:val="-3"/>
          <w:sz w:val="24"/>
          <w:szCs w:val="24"/>
        </w:rPr>
        <w:t xml:space="preserve"> </w:t>
      </w:r>
      <w:r w:rsidRPr="00FA3F9C">
        <w:rPr>
          <w:rFonts w:ascii="Arial" w:hAnsi="Arial" w:cs="Arial"/>
          <w:b/>
          <w:bCs/>
          <w:spacing w:val="-2"/>
          <w:w w:val="101"/>
          <w:sz w:val="24"/>
          <w:szCs w:val="24"/>
        </w:rPr>
        <w:t>i</w:t>
      </w:r>
      <w:r w:rsidRPr="00FA3F9C">
        <w:rPr>
          <w:rFonts w:ascii="Arial" w:hAnsi="Arial" w:cs="Arial"/>
          <w:b/>
          <w:bCs/>
          <w:spacing w:val="-3"/>
          <w:sz w:val="24"/>
          <w:szCs w:val="24"/>
        </w:rPr>
        <w:t>n</w:t>
      </w:r>
      <w:r w:rsidRPr="00FA3F9C">
        <w:rPr>
          <w:rFonts w:ascii="Arial" w:hAnsi="Arial" w:cs="Arial"/>
          <w:b/>
          <w:bCs/>
          <w:spacing w:val="2"/>
          <w:sz w:val="24"/>
          <w:szCs w:val="24"/>
        </w:rPr>
        <w:t>d</w:t>
      </w:r>
      <w:r w:rsidRPr="00FA3F9C">
        <w:rPr>
          <w:rFonts w:ascii="Arial" w:hAnsi="Arial" w:cs="Arial"/>
          <w:b/>
          <w:bCs/>
          <w:spacing w:val="-1"/>
          <w:sz w:val="24"/>
          <w:szCs w:val="24"/>
        </w:rPr>
        <w:t>i</w:t>
      </w:r>
      <w:r w:rsidRPr="00FA3F9C">
        <w:rPr>
          <w:rFonts w:ascii="Arial" w:hAnsi="Arial" w:cs="Arial"/>
          <w:b/>
          <w:bCs/>
          <w:spacing w:val="1"/>
          <w:sz w:val="24"/>
          <w:szCs w:val="24"/>
        </w:rPr>
        <w:t>v</w:t>
      </w:r>
      <w:r w:rsidRPr="00FA3F9C">
        <w:rPr>
          <w:rFonts w:ascii="Arial" w:hAnsi="Arial" w:cs="Arial"/>
          <w:b/>
          <w:bCs/>
          <w:spacing w:val="-2"/>
          <w:w w:val="101"/>
          <w:sz w:val="24"/>
          <w:szCs w:val="24"/>
        </w:rPr>
        <w:t>i</w:t>
      </w:r>
      <w:r w:rsidRPr="00FA3F9C">
        <w:rPr>
          <w:rFonts w:ascii="Arial" w:hAnsi="Arial" w:cs="Arial"/>
          <w:b/>
          <w:bCs/>
          <w:spacing w:val="-3"/>
          <w:sz w:val="24"/>
          <w:szCs w:val="24"/>
        </w:rPr>
        <w:t>d</w:t>
      </w:r>
      <w:r w:rsidRPr="00FA3F9C">
        <w:rPr>
          <w:rFonts w:ascii="Arial" w:hAnsi="Arial" w:cs="Arial"/>
          <w:b/>
          <w:bCs/>
          <w:spacing w:val="2"/>
          <w:sz w:val="24"/>
          <w:szCs w:val="24"/>
        </w:rPr>
        <w:t>u</w:t>
      </w:r>
      <w:r w:rsidRPr="00FA3F9C">
        <w:rPr>
          <w:rFonts w:ascii="Arial" w:hAnsi="Arial" w:cs="Arial"/>
          <w:b/>
          <w:bCs/>
          <w:spacing w:val="1"/>
          <w:sz w:val="24"/>
          <w:szCs w:val="24"/>
        </w:rPr>
        <w:t>a</w:t>
      </w:r>
      <w:r w:rsidRPr="00FA3F9C">
        <w:rPr>
          <w:rFonts w:ascii="Arial" w:hAnsi="Arial" w:cs="Arial"/>
          <w:b/>
          <w:bCs/>
          <w:spacing w:val="-6"/>
          <w:w w:val="101"/>
          <w:sz w:val="24"/>
          <w:szCs w:val="24"/>
        </w:rPr>
        <w:t>l</w:t>
      </w:r>
      <w:r w:rsidRPr="00FA3F9C">
        <w:rPr>
          <w:rFonts w:ascii="Arial" w:hAnsi="Arial" w:cs="Arial"/>
          <w:b/>
          <w:bCs/>
          <w:w w:val="101"/>
          <w:sz w:val="24"/>
          <w:szCs w:val="24"/>
        </w:rPr>
        <w:t>s</w:t>
      </w:r>
    </w:p>
    <w:p w14:paraId="4CEEFD05" w14:textId="77777777" w:rsidR="001506C1" w:rsidRPr="00FA3F9C" w:rsidRDefault="001506C1" w:rsidP="00FE6866">
      <w:pPr>
        <w:widowControl w:val="0"/>
        <w:autoSpaceDE w:val="0"/>
        <w:autoSpaceDN w:val="0"/>
        <w:adjustRightInd w:val="0"/>
        <w:spacing w:before="44" w:line="276" w:lineRule="auto"/>
        <w:ind w:left="140" w:right="-20"/>
        <w:rPr>
          <w:rFonts w:ascii="Arial" w:hAnsi="Arial" w:cs="Arial"/>
          <w:sz w:val="24"/>
          <w:szCs w:val="24"/>
        </w:rPr>
      </w:pPr>
      <w:r w:rsidRPr="00FA3F9C">
        <w:rPr>
          <w:rFonts w:ascii="Arial" w:hAnsi="Arial" w:cs="Arial"/>
          <w:spacing w:val="2"/>
          <w:sz w:val="24"/>
          <w:szCs w:val="24"/>
        </w:rPr>
        <w:t>I</w:t>
      </w:r>
      <w:r w:rsidRPr="00FA3F9C">
        <w:rPr>
          <w:rFonts w:ascii="Arial" w:hAnsi="Arial" w:cs="Arial"/>
          <w:sz w:val="24"/>
          <w:szCs w:val="24"/>
        </w:rPr>
        <w:t>n</w:t>
      </w:r>
      <w:r w:rsidRPr="00FA3F9C">
        <w:rPr>
          <w:rFonts w:ascii="Arial" w:hAnsi="Arial" w:cs="Arial"/>
          <w:spacing w:val="1"/>
          <w:sz w:val="24"/>
          <w:szCs w:val="24"/>
        </w:rPr>
        <w:t>f</w:t>
      </w:r>
      <w:r w:rsidRPr="00FA3F9C">
        <w:rPr>
          <w:rFonts w:ascii="Arial" w:hAnsi="Arial" w:cs="Arial"/>
          <w:spacing w:val="-4"/>
          <w:sz w:val="24"/>
          <w:szCs w:val="24"/>
        </w:rPr>
        <w:t>e</w:t>
      </w:r>
      <w:r w:rsidRPr="00FA3F9C">
        <w:rPr>
          <w:rFonts w:ascii="Arial" w:hAnsi="Arial" w:cs="Arial"/>
          <w:spacing w:val="1"/>
          <w:sz w:val="24"/>
          <w:szCs w:val="24"/>
        </w:rPr>
        <w:t>c</w:t>
      </w:r>
      <w:r w:rsidRPr="00FA3F9C">
        <w:rPr>
          <w:rFonts w:ascii="Arial" w:hAnsi="Arial" w:cs="Arial"/>
          <w:sz w:val="24"/>
          <w:szCs w:val="24"/>
        </w:rPr>
        <w:t>t</w:t>
      </w:r>
      <w:r w:rsidRPr="00FA3F9C">
        <w:rPr>
          <w:rFonts w:ascii="Arial" w:hAnsi="Arial" w:cs="Arial"/>
          <w:spacing w:val="2"/>
          <w:sz w:val="24"/>
          <w:szCs w:val="24"/>
        </w:rPr>
        <w:t>i</w:t>
      </w:r>
      <w:r w:rsidRPr="00FA3F9C">
        <w:rPr>
          <w:rFonts w:ascii="Arial" w:hAnsi="Arial" w:cs="Arial"/>
          <w:spacing w:val="-1"/>
          <w:sz w:val="24"/>
          <w:szCs w:val="24"/>
        </w:rPr>
        <w:t>o</w:t>
      </w:r>
      <w:r w:rsidRPr="00FA3F9C">
        <w:rPr>
          <w:rFonts w:ascii="Arial" w:hAnsi="Arial" w:cs="Arial"/>
          <w:sz w:val="24"/>
          <w:szCs w:val="24"/>
        </w:rPr>
        <w:t>n w</w:t>
      </w:r>
      <w:r w:rsidRPr="00FA3F9C">
        <w:rPr>
          <w:rFonts w:ascii="Arial" w:hAnsi="Arial" w:cs="Arial"/>
          <w:spacing w:val="2"/>
          <w:sz w:val="24"/>
          <w:szCs w:val="24"/>
        </w:rPr>
        <w:t>i</w:t>
      </w:r>
      <w:r w:rsidRPr="00FA3F9C">
        <w:rPr>
          <w:rFonts w:ascii="Arial" w:hAnsi="Arial" w:cs="Arial"/>
          <w:spacing w:val="-5"/>
          <w:sz w:val="24"/>
          <w:szCs w:val="24"/>
        </w:rPr>
        <w:t>t</w:t>
      </w:r>
      <w:r w:rsidRPr="00FA3F9C">
        <w:rPr>
          <w:rFonts w:ascii="Arial" w:hAnsi="Arial" w:cs="Arial"/>
          <w:sz w:val="24"/>
          <w:szCs w:val="24"/>
        </w:rPr>
        <w:t>h</w:t>
      </w:r>
      <w:r w:rsidRPr="00FA3F9C">
        <w:rPr>
          <w:rFonts w:ascii="Arial" w:hAnsi="Arial" w:cs="Arial"/>
          <w:spacing w:val="3"/>
          <w:sz w:val="24"/>
          <w:szCs w:val="24"/>
        </w:rPr>
        <w:t xml:space="preserve"> </w:t>
      </w:r>
      <w:r w:rsidRPr="00FA3F9C">
        <w:rPr>
          <w:rFonts w:ascii="Arial" w:hAnsi="Arial" w:cs="Arial"/>
          <w:spacing w:val="-5"/>
          <w:sz w:val="24"/>
          <w:szCs w:val="24"/>
        </w:rPr>
        <w:t>h</w:t>
      </w:r>
      <w:r w:rsidRPr="00FA3F9C">
        <w:rPr>
          <w:rFonts w:ascii="Arial" w:hAnsi="Arial" w:cs="Arial"/>
          <w:sz w:val="24"/>
          <w:szCs w:val="24"/>
        </w:rPr>
        <w:t>ep</w:t>
      </w:r>
      <w:r w:rsidRPr="00FA3F9C">
        <w:rPr>
          <w:rFonts w:ascii="Arial" w:hAnsi="Arial" w:cs="Arial"/>
          <w:spacing w:val="-1"/>
          <w:sz w:val="24"/>
          <w:szCs w:val="24"/>
        </w:rPr>
        <w:t>a</w:t>
      </w:r>
      <w:r w:rsidRPr="00FA3F9C">
        <w:rPr>
          <w:rFonts w:ascii="Arial" w:hAnsi="Arial" w:cs="Arial"/>
          <w:sz w:val="24"/>
          <w:szCs w:val="24"/>
        </w:rPr>
        <w:t>t</w:t>
      </w:r>
      <w:r w:rsidRPr="00FA3F9C">
        <w:rPr>
          <w:rFonts w:ascii="Arial" w:hAnsi="Arial" w:cs="Arial"/>
          <w:spacing w:val="2"/>
          <w:sz w:val="24"/>
          <w:szCs w:val="24"/>
        </w:rPr>
        <w:t>i</w:t>
      </w:r>
      <w:r w:rsidRPr="00FA3F9C">
        <w:rPr>
          <w:rFonts w:ascii="Arial" w:hAnsi="Arial" w:cs="Arial"/>
          <w:spacing w:val="-5"/>
          <w:sz w:val="24"/>
          <w:szCs w:val="24"/>
        </w:rPr>
        <w:t>t</w:t>
      </w:r>
      <w:r w:rsidRPr="00FA3F9C">
        <w:rPr>
          <w:rFonts w:ascii="Arial" w:hAnsi="Arial" w:cs="Arial"/>
          <w:spacing w:val="2"/>
          <w:sz w:val="24"/>
          <w:szCs w:val="24"/>
        </w:rPr>
        <w:t>i</w:t>
      </w:r>
      <w:r w:rsidRPr="00FA3F9C">
        <w:rPr>
          <w:rFonts w:ascii="Arial" w:hAnsi="Arial" w:cs="Arial"/>
          <w:sz w:val="24"/>
          <w:szCs w:val="24"/>
        </w:rPr>
        <w:t>s</w:t>
      </w:r>
      <w:r w:rsidRPr="00FA3F9C">
        <w:rPr>
          <w:rFonts w:ascii="Arial" w:hAnsi="Arial" w:cs="Arial"/>
          <w:spacing w:val="3"/>
          <w:sz w:val="24"/>
          <w:szCs w:val="24"/>
        </w:rPr>
        <w:t xml:space="preserve"> </w:t>
      </w:r>
      <w:r w:rsidRPr="00FA3F9C">
        <w:rPr>
          <w:rFonts w:ascii="Arial" w:hAnsi="Arial" w:cs="Arial"/>
          <w:sz w:val="24"/>
          <w:szCs w:val="24"/>
        </w:rPr>
        <w:t xml:space="preserve">C                                     </w:t>
      </w:r>
      <w:r w:rsidRPr="00FA3F9C">
        <w:rPr>
          <w:rFonts w:ascii="Arial" w:hAnsi="Arial" w:cs="Arial"/>
          <w:spacing w:val="28"/>
          <w:sz w:val="24"/>
          <w:szCs w:val="24"/>
        </w:rPr>
        <w:t xml:space="preserve"> </w:t>
      </w:r>
      <w:r w:rsidRPr="00FA3F9C">
        <w:rPr>
          <w:rFonts w:ascii="Arial" w:hAnsi="Arial" w:cs="Arial"/>
          <w:spacing w:val="-1"/>
          <w:sz w:val="24"/>
          <w:szCs w:val="24"/>
        </w:rPr>
        <w:t>100</w:t>
      </w:r>
    </w:p>
    <w:p w14:paraId="076D7CD1" w14:textId="77777777" w:rsidR="001506C1" w:rsidRPr="00FA3F9C" w:rsidRDefault="001506C1" w:rsidP="00FE6866">
      <w:pPr>
        <w:widowControl w:val="0"/>
        <w:autoSpaceDE w:val="0"/>
        <w:autoSpaceDN w:val="0"/>
        <w:adjustRightInd w:val="0"/>
        <w:spacing w:before="48" w:line="276" w:lineRule="auto"/>
        <w:ind w:left="140" w:right="-20"/>
        <w:rPr>
          <w:rFonts w:ascii="Arial" w:hAnsi="Arial" w:cs="Arial"/>
          <w:sz w:val="24"/>
          <w:szCs w:val="24"/>
        </w:rPr>
      </w:pPr>
      <w:r w:rsidRPr="00FA3F9C">
        <w:rPr>
          <w:rFonts w:ascii="Arial" w:hAnsi="Arial" w:cs="Arial"/>
          <w:spacing w:val="1"/>
          <w:sz w:val="24"/>
          <w:szCs w:val="24"/>
        </w:rPr>
        <w:t>D</w:t>
      </w:r>
      <w:r w:rsidRPr="00FA3F9C">
        <w:rPr>
          <w:rFonts w:ascii="Arial" w:hAnsi="Arial" w:cs="Arial"/>
          <w:sz w:val="24"/>
          <w:szCs w:val="24"/>
        </w:rPr>
        <w:t>ev</w:t>
      </w:r>
      <w:r w:rsidRPr="00FA3F9C">
        <w:rPr>
          <w:rFonts w:ascii="Arial" w:hAnsi="Arial" w:cs="Arial"/>
          <w:spacing w:val="-4"/>
          <w:sz w:val="24"/>
          <w:szCs w:val="24"/>
        </w:rPr>
        <w:t>e</w:t>
      </w:r>
      <w:r w:rsidRPr="00FA3F9C">
        <w:rPr>
          <w:rFonts w:ascii="Arial" w:hAnsi="Arial" w:cs="Arial"/>
          <w:spacing w:val="2"/>
          <w:sz w:val="24"/>
          <w:szCs w:val="24"/>
        </w:rPr>
        <w:t>l</w:t>
      </w:r>
      <w:r w:rsidRPr="00FA3F9C">
        <w:rPr>
          <w:rFonts w:ascii="Arial" w:hAnsi="Arial" w:cs="Arial"/>
          <w:spacing w:val="-1"/>
          <w:sz w:val="24"/>
          <w:szCs w:val="24"/>
        </w:rPr>
        <w:t>o</w:t>
      </w:r>
      <w:r w:rsidRPr="00FA3F9C">
        <w:rPr>
          <w:rFonts w:ascii="Arial" w:hAnsi="Arial" w:cs="Arial"/>
          <w:sz w:val="24"/>
          <w:szCs w:val="24"/>
        </w:rPr>
        <w:t>p</w:t>
      </w:r>
      <w:r w:rsidRPr="00FA3F9C">
        <w:rPr>
          <w:rFonts w:ascii="Arial" w:hAnsi="Arial" w:cs="Arial"/>
          <w:spacing w:val="2"/>
          <w:sz w:val="24"/>
          <w:szCs w:val="24"/>
        </w:rPr>
        <w:t xml:space="preserve"> </w:t>
      </w:r>
      <w:r w:rsidRPr="00FA3F9C">
        <w:rPr>
          <w:rFonts w:ascii="Arial" w:hAnsi="Arial" w:cs="Arial"/>
          <w:spacing w:val="-2"/>
          <w:sz w:val="24"/>
          <w:szCs w:val="24"/>
        </w:rPr>
        <w:t>s</w:t>
      </w:r>
      <w:r w:rsidRPr="00FA3F9C">
        <w:rPr>
          <w:rFonts w:ascii="Arial" w:hAnsi="Arial" w:cs="Arial"/>
          <w:spacing w:val="-5"/>
          <w:sz w:val="24"/>
          <w:szCs w:val="24"/>
        </w:rPr>
        <w:t>y</w:t>
      </w:r>
      <w:r w:rsidRPr="00FA3F9C">
        <w:rPr>
          <w:rFonts w:ascii="Arial" w:hAnsi="Arial" w:cs="Arial"/>
          <w:spacing w:val="2"/>
          <w:sz w:val="24"/>
          <w:szCs w:val="24"/>
        </w:rPr>
        <w:t>m</w:t>
      </w:r>
      <w:r w:rsidRPr="00FA3F9C">
        <w:rPr>
          <w:rFonts w:ascii="Arial" w:hAnsi="Arial" w:cs="Arial"/>
          <w:sz w:val="24"/>
          <w:szCs w:val="24"/>
        </w:rPr>
        <w:t>pt</w:t>
      </w:r>
      <w:r w:rsidRPr="00FA3F9C">
        <w:rPr>
          <w:rFonts w:ascii="Arial" w:hAnsi="Arial" w:cs="Arial"/>
          <w:spacing w:val="-6"/>
          <w:sz w:val="24"/>
          <w:szCs w:val="24"/>
        </w:rPr>
        <w:t>o</w:t>
      </w:r>
      <w:r w:rsidRPr="00FA3F9C">
        <w:rPr>
          <w:rFonts w:ascii="Arial" w:hAnsi="Arial" w:cs="Arial"/>
          <w:spacing w:val="2"/>
          <w:sz w:val="24"/>
          <w:szCs w:val="24"/>
        </w:rPr>
        <w:t>m</w:t>
      </w:r>
      <w:r w:rsidRPr="00FA3F9C">
        <w:rPr>
          <w:rFonts w:ascii="Arial" w:hAnsi="Arial" w:cs="Arial"/>
          <w:sz w:val="24"/>
          <w:szCs w:val="24"/>
        </w:rPr>
        <w:t xml:space="preserve">s                                              </w:t>
      </w:r>
      <w:r w:rsidRPr="00FA3F9C">
        <w:rPr>
          <w:rFonts w:ascii="Arial" w:hAnsi="Arial" w:cs="Arial"/>
          <w:spacing w:val="19"/>
          <w:sz w:val="24"/>
          <w:szCs w:val="24"/>
        </w:rPr>
        <w:t xml:space="preserve"> </w:t>
      </w:r>
      <w:r w:rsidRPr="00FA3F9C">
        <w:rPr>
          <w:rFonts w:ascii="Arial" w:hAnsi="Arial" w:cs="Arial"/>
          <w:spacing w:val="-1"/>
          <w:sz w:val="24"/>
          <w:szCs w:val="24"/>
        </w:rPr>
        <w:t>20</w:t>
      </w:r>
      <w:r w:rsidRPr="00FA3F9C">
        <w:rPr>
          <w:rFonts w:ascii="Arial" w:hAnsi="Arial" w:cs="Arial"/>
          <w:spacing w:val="1"/>
          <w:sz w:val="24"/>
          <w:szCs w:val="24"/>
        </w:rPr>
        <w:t>-</w:t>
      </w:r>
      <w:r w:rsidRPr="00FA3F9C">
        <w:rPr>
          <w:rFonts w:ascii="Arial" w:hAnsi="Arial" w:cs="Arial"/>
          <w:spacing w:val="-1"/>
          <w:sz w:val="24"/>
          <w:szCs w:val="24"/>
        </w:rPr>
        <w:t>30</w:t>
      </w:r>
    </w:p>
    <w:p w14:paraId="0E5A02CB" w14:textId="77777777" w:rsidR="001506C1" w:rsidRPr="00FA3F9C" w:rsidRDefault="001506C1" w:rsidP="00FE6866">
      <w:pPr>
        <w:widowControl w:val="0"/>
        <w:autoSpaceDE w:val="0"/>
        <w:autoSpaceDN w:val="0"/>
        <w:adjustRightInd w:val="0"/>
        <w:spacing w:before="48"/>
        <w:ind w:left="140" w:right="-20"/>
        <w:rPr>
          <w:rFonts w:ascii="Arial" w:hAnsi="Arial" w:cs="Arial"/>
          <w:sz w:val="24"/>
          <w:szCs w:val="24"/>
        </w:rPr>
      </w:pPr>
      <w:r w:rsidRPr="00FA3F9C">
        <w:rPr>
          <w:rFonts w:ascii="Arial" w:hAnsi="Arial" w:cs="Arial"/>
          <w:spacing w:val="1"/>
          <w:sz w:val="24"/>
          <w:szCs w:val="24"/>
        </w:rPr>
        <w:t>R</w:t>
      </w:r>
      <w:r w:rsidRPr="00FA3F9C">
        <w:rPr>
          <w:rFonts w:ascii="Arial" w:hAnsi="Arial" w:cs="Arial"/>
          <w:sz w:val="24"/>
          <w:szCs w:val="24"/>
        </w:rPr>
        <w:t>e</w:t>
      </w:r>
      <w:r w:rsidRPr="00FA3F9C">
        <w:rPr>
          <w:rFonts w:ascii="Arial" w:hAnsi="Arial" w:cs="Arial"/>
          <w:spacing w:val="2"/>
          <w:sz w:val="24"/>
          <w:szCs w:val="24"/>
        </w:rPr>
        <w:t>m</w:t>
      </w:r>
      <w:r w:rsidRPr="00FA3F9C">
        <w:rPr>
          <w:rFonts w:ascii="Arial" w:hAnsi="Arial" w:cs="Arial"/>
          <w:spacing w:val="-5"/>
          <w:sz w:val="24"/>
          <w:szCs w:val="24"/>
        </w:rPr>
        <w:t>a</w:t>
      </w:r>
      <w:r w:rsidRPr="00FA3F9C">
        <w:rPr>
          <w:rFonts w:ascii="Arial" w:hAnsi="Arial" w:cs="Arial"/>
          <w:spacing w:val="2"/>
          <w:sz w:val="24"/>
          <w:szCs w:val="24"/>
        </w:rPr>
        <w:t>i</w:t>
      </w:r>
      <w:r w:rsidRPr="00FA3F9C">
        <w:rPr>
          <w:rFonts w:ascii="Arial" w:hAnsi="Arial" w:cs="Arial"/>
          <w:sz w:val="24"/>
          <w:szCs w:val="24"/>
        </w:rPr>
        <w:t>n</w:t>
      </w:r>
      <w:r w:rsidRPr="00FA3F9C">
        <w:rPr>
          <w:rFonts w:ascii="Arial" w:hAnsi="Arial" w:cs="Arial"/>
          <w:spacing w:val="-2"/>
          <w:sz w:val="24"/>
          <w:szCs w:val="24"/>
        </w:rPr>
        <w:t xml:space="preserve"> </w:t>
      </w:r>
      <w:r w:rsidRPr="00FA3F9C">
        <w:rPr>
          <w:rFonts w:ascii="Arial" w:hAnsi="Arial" w:cs="Arial"/>
          <w:spacing w:val="-1"/>
          <w:sz w:val="24"/>
          <w:szCs w:val="24"/>
        </w:rPr>
        <w:t>a</w:t>
      </w:r>
      <w:r w:rsidRPr="00FA3F9C">
        <w:rPr>
          <w:rFonts w:ascii="Arial" w:hAnsi="Arial" w:cs="Arial"/>
          <w:spacing w:val="-2"/>
          <w:sz w:val="24"/>
          <w:szCs w:val="24"/>
        </w:rPr>
        <w:t>s</w:t>
      </w:r>
      <w:r w:rsidRPr="00FA3F9C">
        <w:rPr>
          <w:rFonts w:ascii="Arial" w:hAnsi="Arial" w:cs="Arial"/>
          <w:sz w:val="24"/>
          <w:szCs w:val="24"/>
        </w:rPr>
        <w:t>y</w:t>
      </w:r>
      <w:r w:rsidRPr="00FA3F9C">
        <w:rPr>
          <w:rFonts w:ascii="Arial" w:hAnsi="Arial" w:cs="Arial"/>
          <w:spacing w:val="2"/>
          <w:sz w:val="24"/>
          <w:szCs w:val="24"/>
        </w:rPr>
        <w:t>m</w:t>
      </w:r>
      <w:r w:rsidRPr="00FA3F9C">
        <w:rPr>
          <w:rFonts w:ascii="Arial" w:hAnsi="Arial" w:cs="Arial"/>
          <w:sz w:val="24"/>
          <w:szCs w:val="24"/>
        </w:rPr>
        <w:t>pt</w:t>
      </w:r>
      <w:r w:rsidRPr="00FA3F9C">
        <w:rPr>
          <w:rFonts w:ascii="Arial" w:hAnsi="Arial" w:cs="Arial"/>
          <w:spacing w:val="-6"/>
          <w:sz w:val="24"/>
          <w:szCs w:val="24"/>
        </w:rPr>
        <w:t>o</w:t>
      </w:r>
      <w:r w:rsidRPr="00FA3F9C">
        <w:rPr>
          <w:rFonts w:ascii="Arial" w:hAnsi="Arial" w:cs="Arial"/>
          <w:spacing w:val="2"/>
          <w:sz w:val="24"/>
          <w:szCs w:val="24"/>
        </w:rPr>
        <w:t>m</w:t>
      </w:r>
      <w:r w:rsidRPr="00FA3F9C">
        <w:rPr>
          <w:rFonts w:ascii="Arial" w:hAnsi="Arial" w:cs="Arial"/>
          <w:spacing w:val="-1"/>
          <w:sz w:val="24"/>
          <w:szCs w:val="24"/>
        </w:rPr>
        <w:t>a</w:t>
      </w:r>
      <w:r w:rsidRPr="00FA3F9C">
        <w:rPr>
          <w:rFonts w:ascii="Arial" w:hAnsi="Arial" w:cs="Arial"/>
          <w:spacing w:val="-5"/>
          <w:sz w:val="24"/>
          <w:szCs w:val="24"/>
        </w:rPr>
        <w:t>t</w:t>
      </w:r>
      <w:r w:rsidRPr="00FA3F9C">
        <w:rPr>
          <w:rFonts w:ascii="Arial" w:hAnsi="Arial" w:cs="Arial"/>
          <w:spacing w:val="2"/>
          <w:sz w:val="24"/>
          <w:szCs w:val="24"/>
        </w:rPr>
        <w:t>i</w:t>
      </w:r>
      <w:r w:rsidRPr="00FA3F9C">
        <w:rPr>
          <w:rFonts w:ascii="Arial" w:hAnsi="Arial" w:cs="Arial"/>
          <w:sz w:val="24"/>
          <w:szCs w:val="24"/>
        </w:rPr>
        <w:t xml:space="preserve">c                                        </w:t>
      </w:r>
      <w:r w:rsidRPr="00FA3F9C">
        <w:rPr>
          <w:rFonts w:ascii="Arial" w:hAnsi="Arial" w:cs="Arial"/>
          <w:spacing w:val="37"/>
          <w:sz w:val="24"/>
          <w:szCs w:val="24"/>
        </w:rPr>
        <w:t xml:space="preserve"> </w:t>
      </w:r>
      <w:r w:rsidRPr="00FA3F9C">
        <w:rPr>
          <w:rFonts w:ascii="Arial" w:hAnsi="Arial" w:cs="Arial"/>
          <w:spacing w:val="-1"/>
          <w:sz w:val="24"/>
          <w:szCs w:val="24"/>
        </w:rPr>
        <w:t>70</w:t>
      </w:r>
      <w:r w:rsidRPr="00FA3F9C">
        <w:rPr>
          <w:rFonts w:ascii="Arial" w:hAnsi="Arial" w:cs="Arial"/>
          <w:spacing w:val="1"/>
          <w:sz w:val="24"/>
          <w:szCs w:val="24"/>
        </w:rPr>
        <w:t>-</w:t>
      </w:r>
      <w:r w:rsidRPr="00FA3F9C">
        <w:rPr>
          <w:rFonts w:ascii="Arial" w:hAnsi="Arial" w:cs="Arial"/>
          <w:spacing w:val="-1"/>
          <w:sz w:val="24"/>
          <w:szCs w:val="24"/>
        </w:rPr>
        <w:t>80</w:t>
      </w:r>
    </w:p>
    <w:p w14:paraId="2E29E74F" w14:textId="77777777" w:rsidR="001506C1" w:rsidRPr="00FA3F9C" w:rsidRDefault="001506C1" w:rsidP="00FE6866">
      <w:pPr>
        <w:widowControl w:val="0"/>
        <w:autoSpaceDE w:val="0"/>
        <w:autoSpaceDN w:val="0"/>
        <w:adjustRightInd w:val="0"/>
        <w:spacing w:before="44"/>
        <w:ind w:left="140" w:right="-20"/>
        <w:rPr>
          <w:rFonts w:ascii="Arial" w:hAnsi="Arial" w:cs="Arial"/>
          <w:sz w:val="24"/>
          <w:szCs w:val="24"/>
        </w:rPr>
      </w:pPr>
      <w:r w:rsidRPr="00FA3F9C">
        <w:rPr>
          <w:rFonts w:ascii="Arial" w:hAnsi="Arial" w:cs="Arial"/>
          <w:spacing w:val="1"/>
          <w:sz w:val="24"/>
          <w:szCs w:val="24"/>
        </w:rPr>
        <w:t>D</w:t>
      </w:r>
      <w:r w:rsidRPr="00FA3F9C">
        <w:rPr>
          <w:rFonts w:ascii="Arial" w:hAnsi="Arial" w:cs="Arial"/>
          <w:sz w:val="24"/>
          <w:szCs w:val="24"/>
        </w:rPr>
        <w:t>ev</w:t>
      </w:r>
      <w:r w:rsidRPr="00FA3F9C">
        <w:rPr>
          <w:rFonts w:ascii="Arial" w:hAnsi="Arial" w:cs="Arial"/>
          <w:spacing w:val="-4"/>
          <w:sz w:val="24"/>
          <w:szCs w:val="24"/>
        </w:rPr>
        <w:t>e</w:t>
      </w:r>
      <w:r w:rsidRPr="00FA3F9C">
        <w:rPr>
          <w:rFonts w:ascii="Arial" w:hAnsi="Arial" w:cs="Arial"/>
          <w:spacing w:val="2"/>
          <w:sz w:val="24"/>
          <w:szCs w:val="24"/>
        </w:rPr>
        <w:t>l</w:t>
      </w:r>
      <w:r w:rsidRPr="00FA3F9C">
        <w:rPr>
          <w:rFonts w:ascii="Arial" w:hAnsi="Arial" w:cs="Arial"/>
          <w:spacing w:val="-1"/>
          <w:sz w:val="24"/>
          <w:szCs w:val="24"/>
        </w:rPr>
        <w:t>o</w:t>
      </w:r>
      <w:r w:rsidRPr="00FA3F9C">
        <w:rPr>
          <w:rFonts w:ascii="Arial" w:hAnsi="Arial" w:cs="Arial"/>
          <w:sz w:val="24"/>
          <w:szCs w:val="24"/>
        </w:rPr>
        <w:t>p</w:t>
      </w:r>
      <w:r w:rsidRPr="00FA3F9C">
        <w:rPr>
          <w:rFonts w:ascii="Arial" w:hAnsi="Arial" w:cs="Arial"/>
          <w:spacing w:val="-2"/>
          <w:sz w:val="24"/>
          <w:szCs w:val="24"/>
        </w:rPr>
        <w:t xml:space="preserve"> </w:t>
      </w:r>
      <w:r w:rsidRPr="00FA3F9C">
        <w:rPr>
          <w:rFonts w:ascii="Arial" w:hAnsi="Arial" w:cs="Arial"/>
          <w:spacing w:val="1"/>
          <w:sz w:val="24"/>
          <w:szCs w:val="24"/>
        </w:rPr>
        <w:t>c</w:t>
      </w:r>
      <w:r w:rsidRPr="00FA3F9C">
        <w:rPr>
          <w:rFonts w:ascii="Arial" w:hAnsi="Arial" w:cs="Arial"/>
          <w:sz w:val="24"/>
          <w:szCs w:val="24"/>
        </w:rPr>
        <w:t>h</w:t>
      </w:r>
      <w:r w:rsidRPr="00FA3F9C">
        <w:rPr>
          <w:rFonts w:ascii="Arial" w:hAnsi="Arial" w:cs="Arial"/>
          <w:spacing w:val="2"/>
          <w:sz w:val="24"/>
          <w:szCs w:val="24"/>
        </w:rPr>
        <w:t>r</w:t>
      </w:r>
      <w:r w:rsidRPr="00FA3F9C">
        <w:rPr>
          <w:rFonts w:ascii="Arial" w:hAnsi="Arial" w:cs="Arial"/>
          <w:spacing w:val="-1"/>
          <w:sz w:val="24"/>
          <w:szCs w:val="24"/>
        </w:rPr>
        <w:t>o</w:t>
      </w:r>
      <w:r w:rsidRPr="00FA3F9C">
        <w:rPr>
          <w:rFonts w:ascii="Arial" w:hAnsi="Arial" w:cs="Arial"/>
          <w:spacing w:val="-5"/>
          <w:sz w:val="24"/>
          <w:szCs w:val="24"/>
        </w:rPr>
        <w:t>n</w:t>
      </w:r>
      <w:r w:rsidRPr="00FA3F9C">
        <w:rPr>
          <w:rFonts w:ascii="Arial" w:hAnsi="Arial" w:cs="Arial"/>
          <w:spacing w:val="2"/>
          <w:sz w:val="24"/>
          <w:szCs w:val="24"/>
        </w:rPr>
        <w:t>i</w:t>
      </w:r>
      <w:r w:rsidRPr="00FA3F9C">
        <w:rPr>
          <w:rFonts w:ascii="Arial" w:hAnsi="Arial" w:cs="Arial"/>
          <w:sz w:val="24"/>
          <w:szCs w:val="24"/>
        </w:rPr>
        <w:t>c</w:t>
      </w:r>
      <w:r w:rsidRPr="00FA3F9C">
        <w:rPr>
          <w:rFonts w:ascii="Arial" w:hAnsi="Arial" w:cs="Arial"/>
          <w:spacing w:val="1"/>
          <w:sz w:val="24"/>
          <w:szCs w:val="24"/>
        </w:rPr>
        <w:t xml:space="preserve"> </w:t>
      </w:r>
      <w:r w:rsidRPr="00FA3F9C">
        <w:rPr>
          <w:rFonts w:ascii="Arial" w:hAnsi="Arial" w:cs="Arial"/>
          <w:spacing w:val="2"/>
          <w:sz w:val="24"/>
          <w:szCs w:val="24"/>
        </w:rPr>
        <w:t>i</w:t>
      </w:r>
      <w:r w:rsidRPr="00FA3F9C">
        <w:rPr>
          <w:rFonts w:ascii="Arial" w:hAnsi="Arial" w:cs="Arial"/>
          <w:spacing w:val="-5"/>
          <w:sz w:val="24"/>
          <w:szCs w:val="24"/>
        </w:rPr>
        <w:t>n</w:t>
      </w:r>
      <w:r w:rsidRPr="00FA3F9C">
        <w:rPr>
          <w:rFonts w:ascii="Arial" w:hAnsi="Arial" w:cs="Arial"/>
          <w:spacing w:val="1"/>
          <w:sz w:val="24"/>
          <w:szCs w:val="24"/>
        </w:rPr>
        <w:t>f</w:t>
      </w:r>
      <w:r w:rsidRPr="00FA3F9C">
        <w:rPr>
          <w:rFonts w:ascii="Arial" w:hAnsi="Arial" w:cs="Arial"/>
          <w:sz w:val="24"/>
          <w:szCs w:val="24"/>
        </w:rPr>
        <w:t>e</w:t>
      </w:r>
      <w:r w:rsidRPr="00FA3F9C">
        <w:rPr>
          <w:rFonts w:ascii="Arial" w:hAnsi="Arial" w:cs="Arial"/>
          <w:spacing w:val="1"/>
          <w:sz w:val="24"/>
          <w:szCs w:val="24"/>
        </w:rPr>
        <w:t>c</w:t>
      </w:r>
      <w:r w:rsidRPr="00FA3F9C">
        <w:rPr>
          <w:rFonts w:ascii="Arial" w:hAnsi="Arial" w:cs="Arial"/>
          <w:spacing w:val="-5"/>
          <w:sz w:val="24"/>
          <w:szCs w:val="24"/>
        </w:rPr>
        <w:t>t</w:t>
      </w:r>
      <w:r w:rsidRPr="00FA3F9C">
        <w:rPr>
          <w:rFonts w:ascii="Arial" w:hAnsi="Arial" w:cs="Arial"/>
          <w:spacing w:val="2"/>
          <w:sz w:val="24"/>
          <w:szCs w:val="24"/>
        </w:rPr>
        <w:t>i</w:t>
      </w:r>
      <w:r w:rsidRPr="00FA3F9C">
        <w:rPr>
          <w:rFonts w:ascii="Arial" w:hAnsi="Arial" w:cs="Arial"/>
          <w:spacing w:val="-1"/>
          <w:sz w:val="24"/>
          <w:szCs w:val="24"/>
        </w:rPr>
        <w:t>o</w:t>
      </w:r>
      <w:r w:rsidRPr="00FA3F9C">
        <w:rPr>
          <w:rFonts w:ascii="Arial" w:hAnsi="Arial" w:cs="Arial"/>
          <w:sz w:val="24"/>
          <w:szCs w:val="24"/>
        </w:rPr>
        <w:t xml:space="preserve">n                                  </w:t>
      </w:r>
      <w:r w:rsidRPr="00FA3F9C">
        <w:rPr>
          <w:rFonts w:ascii="Arial" w:hAnsi="Arial" w:cs="Arial"/>
          <w:spacing w:val="43"/>
          <w:sz w:val="24"/>
          <w:szCs w:val="24"/>
        </w:rPr>
        <w:t xml:space="preserve"> </w:t>
      </w:r>
      <w:r w:rsidRPr="00FA3F9C">
        <w:rPr>
          <w:rFonts w:ascii="Arial" w:hAnsi="Arial" w:cs="Arial"/>
          <w:spacing w:val="-1"/>
          <w:sz w:val="24"/>
          <w:szCs w:val="24"/>
        </w:rPr>
        <w:t>75</w:t>
      </w:r>
      <w:r w:rsidRPr="00FA3F9C">
        <w:rPr>
          <w:rFonts w:ascii="Arial" w:hAnsi="Arial" w:cs="Arial"/>
          <w:spacing w:val="1"/>
          <w:sz w:val="24"/>
          <w:szCs w:val="24"/>
        </w:rPr>
        <w:t>-</w:t>
      </w:r>
      <w:r w:rsidRPr="00FA3F9C">
        <w:rPr>
          <w:rFonts w:ascii="Arial" w:hAnsi="Arial" w:cs="Arial"/>
          <w:spacing w:val="-1"/>
          <w:sz w:val="24"/>
          <w:szCs w:val="24"/>
        </w:rPr>
        <w:t>85</w:t>
      </w:r>
    </w:p>
    <w:p w14:paraId="189B9911" w14:textId="77777777" w:rsidR="001506C1" w:rsidRPr="00FA3F9C" w:rsidRDefault="001506C1" w:rsidP="00FE6866">
      <w:pPr>
        <w:widowControl w:val="0"/>
        <w:autoSpaceDE w:val="0"/>
        <w:autoSpaceDN w:val="0"/>
        <w:adjustRightInd w:val="0"/>
        <w:spacing w:before="48"/>
        <w:ind w:left="140" w:right="-20"/>
        <w:rPr>
          <w:rFonts w:ascii="Arial" w:hAnsi="Arial" w:cs="Arial"/>
          <w:sz w:val="24"/>
          <w:szCs w:val="24"/>
        </w:rPr>
      </w:pPr>
      <w:r w:rsidRPr="00FA3F9C">
        <w:rPr>
          <w:rFonts w:ascii="Arial" w:hAnsi="Arial" w:cs="Arial"/>
          <w:spacing w:val="1"/>
          <w:sz w:val="24"/>
          <w:szCs w:val="24"/>
        </w:rPr>
        <w:t>D</w:t>
      </w:r>
      <w:r w:rsidRPr="00FA3F9C">
        <w:rPr>
          <w:rFonts w:ascii="Arial" w:hAnsi="Arial" w:cs="Arial"/>
          <w:sz w:val="24"/>
          <w:szCs w:val="24"/>
        </w:rPr>
        <w:t>ev</w:t>
      </w:r>
      <w:r w:rsidRPr="00FA3F9C">
        <w:rPr>
          <w:rFonts w:ascii="Arial" w:hAnsi="Arial" w:cs="Arial"/>
          <w:spacing w:val="-4"/>
          <w:sz w:val="24"/>
          <w:szCs w:val="24"/>
        </w:rPr>
        <w:t>e</w:t>
      </w:r>
      <w:r w:rsidRPr="00FA3F9C">
        <w:rPr>
          <w:rFonts w:ascii="Arial" w:hAnsi="Arial" w:cs="Arial"/>
          <w:spacing w:val="2"/>
          <w:sz w:val="24"/>
          <w:szCs w:val="24"/>
        </w:rPr>
        <w:t>l</w:t>
      </w:r>
      <w:r w:rsidRPr="00FA3F9C">
        <w:rPr>
          <w:rFonts w:ascii="Arial" w:hAnsi="Arial" w:cs="Arial"/>
          <w:spacing w:val="-1"/>
          <w:sz w:val="24"/>
          <w:szCs w:val="24"/>
        </w:rPr>
        <w:t>o</w:t>
      </w:r>
      <w:r w:rsidRPr="00FA3F9C">
        <w:rPr>
          <w:rFonts w:ascii="Arial" w:hAnsi="Arial" w:cs="Arial"/>
          <w:sz w:val="24"/>
          <w:szCs w:val="24"/>
        </w:rPr>
        <w:t>p</w:t>
      </w:r>
      <w:r w:rsidRPr="00FA3F9C">
        <w:rPr>
          <w:rFonts w:ascii="Arial" w:hAnsi="Arial" w:cs="Arial"/>
          <w:spacing w:val="-2"/>
          <w:sz w:val="24"/>
          <w:szCs w:val="24"/>
        </w:rPr>
        <w:t xml:space="preserve"> </w:t>
      </w:r>
      <w:r w:rsidRPr="00FA3F9C">
        <w:rPr>
          <w:rFonts w:ascii="Arial" w:hAnsi="Arial" w:cs="Arial"/>
          <w:spacing w:val="1"/>
          <w:sz w:val="24"/>
          <w:szCs w:val="24"/>
        </w:rPr>
        <w:t>c</w:t>
      </w:r>
      <w:r w:rsidRPr="00FA3F9C">
        <w:rPr>
          <w:rFonts w:ascii="Arial" w:hAnsi="Arial" w:cs="Arial"/>
          <w:sz w:val="24"/>
          <w:szCs w:val="24"/>
        </w:rPr>
        <w:t>h</w:t>
      </w:r>
      <w:r w:rsidRPr="00FA3F9C">
        <w:rPr>
          <w:rFonts w:ascii="Arial" w:hAnsi="Arial" w:cs="Arial"/>
          <w:spacing w:val="2"/>
          <w:sz w:val="24"/>
          <w:szCs w:val="24"/>
        </w:rPr>
        <w:t>r</w:t>
      </w:r>
      <w:r w:rsidRPr="00FA3F9C">
        <w:rPr>
          <w:rFonts w:ascii="Arial" w:hAnsi="Arial" w:cs="Arial"/>
          <w:spacing w:val="-1"/>
          <w:sz w:val="24"/>
          <w:szCs w:val="24"/>
        </w:rPr>
        <w:t>o</w:t>
      </w:r>
      <w:r w:rsidRPr="00FA3F9C">
        <w:rPr>
          <w:rFonts w:ascii="Arial" w:hAnsi="Arial" w:cs="Arial"/>
          <w:spacing w:val="-5"/>
          <w:sz w:val="24"/>
          <w:szCs w:val="24"/>
        </w:rPr>
        <w:t>n</w:t>
      </w:r>
      <w:r w:rsidRPr="00FA3F9C">
        <w:rPr>
          <w:rFonts w:ascii="Arial" w:hAnsi="Arial" w:cs="Arial"/>
          <w:spacing w:val="2"/>
          <w:sz w:val="24"/>
          <w:szCs w:val="24"/>
        </w:rPr>
        <w:t>i</w:t>
      </w:r>
      <w:r w:rsidRPr="00FA3F9C">
        <w:rPr>
          <w:rFonts w:ascii="Arial" w:hAnsi="Arial" w:cs="Arial"/>
          <w:sz w:val="24"/>
          <w:szCs w:val="24"/>
        </w:rPr>
        <w:t>c</w:t>
      </w:r>
      <w:r w:rsidRPr="00FA3F9C">
        <w:rPr>
          <w:rFonts w:ascii="Arial" w:hAnsi="Arial" w:cs="Arial"/>
          <w:spacing w:val="1"/>
          <w:sz w:val="24"/>
          <w:szCs w:val="24"/>
        </w:rPr>
        <w:t xml:space="preserve"> </w:t>
      </w:r>
      <w:r w:rsidRPr="00FA3F9C">
        <w:rPr>
          <w:rFonts w:ascii="Arial" w:hAnsi="Arial" w:cs="Arial"/>
          <w:spacing w:val="-3"/>
          <w:sz w:val="24"/>
          <w:szCs w:val="24"/>
        </w:rPr>
        <w:t>l</w:t>
      </w:r>
      <w:r w:rsidRPr="00FA3F9C">
        <w:rPr>
          <w:rFonts w:ascii="Arial" w:hAnsi="Arial" w:cs="Arial"/>
          <w:spacing w:val="2"/>
          <w:sz w:val="24"/>
          <w:szCs w:val="24"/>
        </w:rPr>
        <w:t>i</w:t>
      </w:r>
      <w:r w:rsidRPr="00FA3F9C">
        <w:rPr>
          <w:rFonts w:ascii="Arial" w:hAnsi="Arial" w:cs="Arial"/>
          <w:sz w:val="24"/>
          <w:szCs w:val="24"/>
        </w:rPr>
        <w:t>v</w:t>
      </w:r>
      <w:r w:rsidRPr="00FA3F9C">
        <w:rPr>
          <w:rFonts w:ascii="Arial" w:hAnsi="Arial" w:cs="Arial"/>
          <w:spacing w:val="-4"/>
          <w:sz w:val="24"/>
          <w:szCs w:val="24"/>
        </w:rPr>
        <w:t>e</w:t>
      </w:r>
      <w:r w:rsidRPr="00FA3F9C">
        <w:rPr>
          <w:rFonts w:ascii="Arial" w:hAnsi="Arial" w:cs="Arial"/>
          <w:sz w:val="24"/>
          <w:szCs w:val="24"/>
        </w:rPr>
        <w:t>r</w:t>
      </w:r>
      <w:r w:rsidRPr="00FA3F9C">
        <w:rPr>
          <w:rFonts w:ascii="Arial" w:hAnsi="Arial" w:cs="Arial"/>
          <w:spacing w:val="4"/>
          <w:sz w:val="24"/>
          <w:szCs w:val="24"/>
        </w:rPr>
        <w:t xml:space="preserve"> </w:t>
      </w:r>
      <w:r w:rsidRPr="00FA3F9C">
        <w:rPr>
          <w:rFonts w:ascii="Arial" w:hAnsi="Arial" w:cs="Arial"/>
          <w:spacing w:val="-5"/>
          <w:sz w:val="24"/>
          <w:szCs w:val="24"/>
        </w:rPr>
        <w:t>d</w:t>
      </w:r>
      <w:r w:rsidRPr="00FA3F9C">
        <w:rPr>
          <w:rFonts w:ascii="Arial" w:hAnsi="Arial" w:cs="Arial"/>
          <w:spacing w:val="2"/>
          <w:sz w:val="24"/>
          <w:szCs w:val="24"/>
        </w:rPr>
        <w:t>i</w:t>
      </w:r>
      <w:r w:rsidRPr="00FA3F9C">
        <w:rPr>
          <w:rFonts w:ascii="Arial" w:hAnsi="Arial" w:cs="Arial"/>
          <w:spacing w:val="-2"/>
          <w:sz w:val="24"/>
          <w:szCs w:val="24"/>
        </w:rPr>
        <w:t>s</w:t>
      </w:r>
      <w:r w:rsidRPr="00FA3F9C">
        <w:rPr>
          <w:rFonts w:ascii="Arial" w:hAnsi="Arial" w:cs="Arial"/>
          <w:spacing w:val="1"/>
          <w:sz w:val="24"/>
          <w:szCs w:val="24"/>
        </w:rPr>
        <w:t>e</w:t>
      </w:r>
      <w:r w:rsidRPr="00FA3F9C">
        <w:rPr>
          <w:rFonts w:ascii="Arial" w:hAnsi="Arial" w:cs="Arial"/>
          <w:spacing w:val="-1"/>
          <w:sz w:val="24"/>
          <w:szCs w:val="24"/>
        </w:rPr>
        <w:t>a</w:t>
      </w:r>
      <w:r w:rsidRPr="00FA3F9C">
        <w:rPr>
          <w:rFonts w:ascii="Arial" w:hAnsi="Arial" w:cs="Arial"/>
          <w:spacing w:val="-2"/>
          <w:sz w:val="24"/>
          <w:szCs w:val="24"/>
        </w:rPr>
        <w:t>s</w:t>
      </w:r>
      <w:r w:rsidRPr="00FA3F9C">
        <w:rPr>
          <w:rFonts w:ascii="Arial" w:hAnsi="Arial" w:cs="Arial"/>
          <w:sz w:val="24"/>
          <w:szCs w:val="24"/>
        </w:rPr>
        <w:t xml:space="preserve">e                            </w:t>
      </w:r>
      <w:r w:rsidRPr="00FA3F9C">
        <w:rPr>
          <w:rFonts w:ascii="Arial" w:hAnsi="Arial" w:cs="Arial"/>
          <w:spacing w:val="34"/>
          <w:sz w:val="24"/>
          <w:szCs w:val="24"/>
        </w:rPr>
        <w:t xml:space="preserve"> </w:t>
      </w:r>
      <w:r w:rsidRPr="00FA3F9C">
        <w:rPr>
          <w:rFonts w:ascii="Arial" w:hAnsi="Arial" w:cs="Arial"/>
          <w:spacing w:val="-1"/>
          <w:sz w:val="24"/>
          <w:szCs w:val="24"/>
        </w:rPr>
        <w:t>60</w:t>
      </w:r>
      <w:r w:rsidRPr="00FA3F9C">
        <w:rPr>
          <w:rFonts w:ascii="Arial" w:hAnsi="Arial" w:cs="Arial"/>
          <w:spacing w:val="1"/>
          <w:sz w:val="24"/>
          <w:szCs w:val="24"/>
        </w:rPr>
        <w:t>-</w:t>
      </w:r>
      <w:r w:rsidRPr="00FA3F9C">
        <w:rPr>
          <w:rFonts w:ascii="Arial" w:hAnsi="Arial" w:cs="Arial"/>
          <w:spacing w:val="-1"/>
          <w:sz w:val="24"/>
          <w:szCs w:val="24"/>
        </w:rPr>
        <w:t>70</w:t>
      </w:r>
    </w:p>
    <w:p w14:paraId="244BF313" w14:textId="77777777" w:rsidR="001506C1" w:rsidRPr="00FA3F9C" w:rsidRDefault="001506C1" w:rsidP="00FE6866">
      <w:pPr>
        <w:widowControl w:val="0"/>
        <w:autoSpaceDE w:val="0"/>
        <w:autoSpaceDN w:val="0"/>
        <w:adjustRightInd w:val="0"/>
        <w:spacing w:before="44"/>
        <w:ind w:left="140" w:right="-20"/>
        <w:rPr>
          <w:rFonts w:ascii="Arial" w:hAnsi="Arial" w:cs="Arial"/>
          <w:sz w:val="24"/>
          <w:szCs w:val="24"/>
        </w:rPr>
      </w:pPr>
      <w:r w:rsidRPr="00FA3F9C">
        <w:rPr>
          <w:rFonts w:ascii="Arial" w:hAnsi="Arial" w:cs="Arial"/>
          <w:spacing w:val="1"/>
          <w:sz w:val="24"/>
          <w:szCs w:val="24"/>
        </w:rPr>
        <w:t>D</w:t>
      </w:r>
      <w:r w:rsidRPr="00FA3F9C">
        <w:rPr>
          <w:rFonts w:ascii="Arial" w:hAnsi="Arial" w:cs="Arial"/>
          <w:sz w:val="24"/>
          <w:szCs w:val="24"/>
        </w:rPr>
        <w:t>ev</w:t>
      </w:r>
      <w:r w:rsidRPr="00FA3F9C">
        <w:rPr>
          <w:rFonts w:ascii="Arial" w:hAnsi="Arial" w:cs="Arial"/>
          <w:spacing w:val="-4"/>
          <w:sz w:val="24"/>
          <w:szCs w:val="24"/>
        </w:rPr>
        <w:t>e</w:t>
      </w:r>
      <w:r w:rsidRPr="00FA3F9C">
        <w:rPr>
          <w:rFonts w:ascii="Arial" w:hAnsi="Arial" w:cs="Arial"/>
          <w:spacing w:val="2"/>
          <w:sz w:val="24"/>
          <w:szCs w:val="24"/>
        </w:rPr>
        <w:t>l</w:t>
      </w:r>
      <w:r w:rsidRPr="00FA3F9C">
        <w:rPr>
          <w:rFonts w:ascii="Arial" w:hAnsi="Arial" w:cs="Arial"/>
          <w:spacing w:val="-1"/>
          <w:sz w:val="24"/>
          <w:szCs w:val="24"/>
        </w:rPr>
        <w:t>o</w:t>
      </w:r>
      <w:r w:rsidRPr="00FA3F9C">
        <w:rPr>
          <w:rFonts w:ascii="Arial" w:hAnsi="Arial" w:cs="Arial"/>
          <w:sz w:val="24"/>
          <w:szCs w:val="24"/>
        </w:rPr>
        <w:t>p</w:t>
      </w:r>
      <w:r w:rsidRPr="00FA3F9C">
        <w:rPr>
          <w:rFonts w:ascii="Arial" w:hAnsi="Arial" w:cs="Arial"/>
          <w:spacing w:val="-2"/>
          <w:sz w:val="24"/>
          <w:szCs w:val="24"/>
        </w:rPr>
        <w:t xml:space="preserve"> </w:t>
      </w:r>
      <w:r w:rsidRPr="00FA3F9C">
        <w:rPr>
          <w:rFonts w:ascii="Arial" w:hAnsi="Arial" w:cs="Arial"/>
          <w:spacing w:val="1"/>
          <w:sz w:val="24"/>
          <w:szCs w:val="24"/>
        </w:rPr>
        <w:t>c</w:t>
      </w:r>
      <w:r w:rsidRPr="00FA3F9C">
        <w:rPr>
          <w:rFonts w:ascii="Arial" w:hAnsi="Arial" w:cs="Arial"/>
          <w:spacing w:val="-3"/>
          <w:sz w:val="24"/>
          <w:szCs w:val="24"/>
        </w:rPr>
        <w:t>i</w:t>
      </w:r>
      <w:r w:rsidRPr="00FA3F9C">
        <w:rPr>
          <w:rFonts w:ascii="Arial" w:hAnsi="Arial" w:cs="Arial"/>
          <w:spacing w:val="2"/>
          <w:sz w:val="24"/>
          <w:szCs w:val="24"/>
        </w:rPr>
        <w:t>rr</w:t>
      </w:r>
      <w:r w:rsidRPr="00FA3F9C">
        <w:rPr>
          <w:rFonts w:ascii="Arial" w:hAnsi="Arial" w:cs="Arial"/>
          <w:sz w:val="24"/>
          <w:szCs w:val="24"/>
        </w:rPr>
        <w:t>h</w:t>
      </w:r>
      <w:r w:rsidRPr="00FA3F9C">
        <w:rPr>
          <w:rFonts w:ascii="Arial" w:hAnsi="Arial" w:cs="Arial"/>
          <w:spacing w:val="-1"/>
          <w:sz w:val="24"/>
          <w:szCs w:val="24"/>
        </w:rPr>
        <w:t>o</w:t>
      </w:r>
      <w:r w:rsidRPr="00FA3F9C">
        <w:rPr>
          <w:rFonts w:ascii="Arial" w:hAnsi="Arial" w:cs="Arial"/>
          <w:spacing w:val="-2"/>
          <w:sz w:val="24"/>
          <w:szCs w:val="24"/>
        </w:rPr>
        <w:t>s</w:t>
      </w:r>
      <w:r w:rsidRPr="00FA3F9C">
        <w:rPr>
          <w:rFonts w:ascii="Arial" w:hAnsi="Arial" w:cs="Arial"/>
          <w:spacing w:val="2"/>
          <w:sz w:val="24"/>
          <w:szCs w:val="24"/>
        </w:rPr>
        <w:t>i</w:t>
      </w:r>
      <w:r w:rsidRPr="00FA3F9C">
        <w:rPr>
          <w:rFonts w:ascii="Arial" w:hAnsi="Arial" w:cs="Arial"/>
          <w:sz w:val="24"/>
          <w:szCs w:val="24"/>
        </w:rPr>
        <w:t>s</w:t>
      </w:r>
      <w:r w:rsidRPr="00FA3F9C">
        <w:rPr>
          <w:rFonts w:ascii="Arial" w:hAnsi="Arial" w:cs="Arial"/>
          <w:spacing w:val="-3"/>
          <w:sz w:val="24"/>
          <w:szCs w:val="24"/>
        </w:rPr>
        <w:t xml:space="preserve"> </w:t>
      </w:r>
      <w:r w:rsidRPr="00FA3F9C">
        <w:rPr>
          <w:rFonts w:ascii="Arial" w:hAnsi="Arial" w:cs="Arial"/>
          <w:spacing w:val="-1"/>
          <w:sz w:val="24"/>
          <w:szCs w:val="24"/>
        </w:rPr>
        <w:t>o</w:t>
      </w:r>
      <w:r w:rsidRPr="00FA3F9C">
        <w:rPr>
          <w:rFonts w:ascii="Arial" w:hAnsi="Arial" w:cs="Arial"/>
          <w:sz w:val="24"/>
          <w:szCs w:val="24"/>
        </w:rPr>
        <w:t>v</w:t>
      </w:r>
      <w:r w:rsidRPr="00FA3F9C">
        <w:rPr>
          <w:rFonts w:ascii="Arial" w:hAnsi="Arial" w:cs="Arial"/>
          <w:spacing w:val="-4"/>
          <w:sz w:val="24"/>
          <w:szCs w:val="24"/>
        </w:rPr>
        <w:t>e</w:t>
      </w:r>
      <w:r w:rsidRPr="00FA3F9C">
        <w:rPr>
          <w:rFonts w:ascii="Arial" w:hAnsi="Arial" w:cs="Arial"/>
          <w:sz w:val="24"/>
          <w:szCs w:val="24"/>
        </w:rPr>
        <w:t>r</w:t>
      </w:r>
      <w:r w:rsidRPr="00FA3F9C">
        <w:rPr>
          <w:rFonts w:ascii="Arial" w:hAnsi="Arial" w:cs="Arial"/>
          <w:spacing w:val="4"/>
          <w:sz w:val="24"/>
          <w:szCs w:val="24"/>
        </w:rPr>
        <w:t xml:space="preserve"> </w:t>
      </w:r>
      <w:r w:rsidRPr="00FA3F9C">
        <w:rPr>
          <w:rFonts w:ascii="Arial" w:hAnsi="Arial" w:cs="Arial"/>
          <w:spacing w:val="-1"/>
          <w:sz w:val="24"/>
          <w:szCs w:val="24"/>
        </w:rPr>
        <w:t>20</w:t>
      </w:r>
      <w:r w:rsidRPr="00FA3F9C">
        <w:rPr>
          <w:rFonts w:ascii="Arial" w:hAnsi="Arial" w:cs="Arial"/>
          <w:spacing w:val="1"/>
          <w:sz w:val="24"/>
          <w:szCs w:val="24"/>
        </w:rPr>
        <w:t>-</w:t>
      </w:r>
      <w:r w:rsidRPr="00FA3F9C">
        <w:rPr>
          <w:rFonts w:ascii="Arial" w:hAnsi="Arial" w:cs="Arial"/>
          <w:spacing w:val="-1"/>
          <w:sz w:val="24"/>
          <w:szCs w:val="24"/>
        </w:rPr>
        <w:t>3</w:t>
      </w:r>
      <w:r w:rsidRPr="00FA3F9C">
        <w:rPr>
          <w:rFonts w:ascii="Arial" w:hAnsi="Arial" w:cs="Arial"/>
          <w:sz w:val="24"/>
          <w:szCs w:val="24"/>
        </w:rPr>
        <w:t>0</w:t>
      </w:r>
      <w:r w:rsidRPr="00FA3F9C">
        <w:rPr>
          <w:rFonts w:ascii="Arial" w:hAnsi="Arial" w:cs="Arial"/>
          <w:spacing w:val="-3"/>
          <w:sz w:val="24"/>
          <w:szCs w:val="24"/>
        </w:rPr>
        <w:t xml:space="preserve"> </w:t>
      </w:r>
      <w:r w:rsidRPr="00FA3F9C">
        <w:rPr>
          <w:rFonts w:ascii="Arial" w:hAnsi="Arial" w:cs="Arial"/>
          <w:sz w:val="24"/>
          <w:szCs w:val="24"/>
        </w:rPr>
        <w:t>ye</w:t>
      </w:r>
      <w:r w:rsidRPr="00FA3F9C">
        <w:rPr>
          <w:rFonts w:ascii="Arial" w:hAnsi="Arial" w:cs="Arial"/>
          <w:spacing w:val="-1"/>
          <w:sz w:val="24"/>
          <w:szCs w:val="24"/>
        </w:rPr>
        <w:t>a</w:t>
      </w:r>
      <w:r w:rsidRPr="00FA3F9C">
        <w:rPr>
          <w:rFonts w:ascii="Arial" w:hAnsi="Arial" w:cs="Arial"/>
          <w:spacing w:val="2"/>
          <w:sz w:val="24"/>
          <w:szCs w:val="24"/>
        </w:rPr>
        <w:t>r</w:t>
      </w:r>
      <w:r w:rsidRPr="00FA3F9C">
        <w:rPr>
          <w:rFonts w:ascii="Arial" w:hAnsi="Arial" w:cs="Arial"/>
          <w:sz w:val="24"/>
          <w:szCs w:val="24"/>
        </w:rPr>
        <w:t xml:space="preserve">s                    </w:t>
      </w:r>
      <w:r w:rsidRPr="00FA3F9C">
        <w:rPr>
          <w:rFonts w:ascii="Arial" w:hAnsi="Arial" w:cs="Arial"/>
          <w:spacing w:val="4"/>
          <w:sz w:val="24"/>
          <w:szCs w:val="24"/>
        </w:rPr>
        <w:t xml:space="preserve"> </w:t>
      </w:r>
      <w:r w:rsidRPr="00FA3F9C">
        <w:rPr>
          <w:rFonts w:ascii="Arial" w:hAnsi="Arial" w:cs="Arial"/>
          <w:spacing w:val="-1"/>
          <w:sz w:val="24"/>
          <w:szCs w:val="24"/>
        </w:rPr>
        <w:t>5</w:t>
      </w:r>
      <w:r w:rsidRPr="00FA3F9C">
        <w:rPr>
          <w:rFonts w:ascii="Arial" w:hAnsi="Arial" w:cs="Arial"/>
          <w:spacing w:val="1"/>
          <w:sz w:val="24"/>
          <w:szCs w:val="24"/>
        </w:rPr>
        <w:t>-</w:t>
      </w:r>
      <w:r w:rsidRPr="00FA3F9C">
        <w:rPr>
          <w:rFonts w:ascii="Arial" w:hAnsi="Arial" w:cs="Arial"/>
          <w:spacing w:val="-1"/>
          <w:sz w:val="24"/>
          <w:szCs w:val="24"/>
        </w:rPr>
        <w:t>20</w:t>
      </w:r>
    </w:p>
    <w:p w14:paraId="10B8E7D6" w14:textId="77777777" w:rsidR="001506C1" w:rsidRPr="00FA3F9C" w:rsidRDefault="001506C1" w:rsidP="00FE6866">
      <w:pPr>
        <w:widowControl w:val="0"/>
        <w:autoSpaceDE w:val="0"/>
        <w:autoSpaceDN w:val="0"/>
        <w:adjustRightInd w:val="0"/>
        <w:spacing w:before="48"/>
        <w:ind w:left="140" w:right="-20"/>
        <w:rPr>
          <w:rFonts w:ascii="Arial" w:hAnsi="Arial" w:cs="Arial"/>
          <w:sz w:val="24"/>
          <w:szCs w:val="24"/>
        </w:rPr>
      </w:pPr>
      <w:r w:rsidRPr="00FA3F9C">
        <w:rPr>
          <w:rFonts w:ascii="Arial" w:hAnsi="Arial" w:cs="Arial"/>
          <w:spacing w:val="1"/>
          <w:sz w:val="24"/>
          <w:szCs w:val="24"/>
        </w:rPr>
        <w:t>D</w:t>
      </w:r>
      <w:r w:rsidRPr="00FA3F9C">
        <w:rPr>
          <w:rFonts w:ascii="Arial" w:hAnsi="Arial" w:cs="Arial"/>
          <w:spacing w:val="2"/>
          <w:sz w:val="24"/>
          <w:szCs w:val="24"/>
        </w:rPr>
        <w:t>i</w:t>
      </w:r>
      <w:r w:rsidRPr="00FA3F9C">
        <w:rPr>
          <w:rFonts w:ascii="Arial" w:hAnsi="Arial" w:cs="Arial"/>
          <w:sz w:val="24"/>
          <w:szCs w:val="24"/>
        </w:rPr>
        <w:t>e</w:t>
      </w:r>
      <w:r w:rsidRPr="00FA3F9C">
        <w:rPr>
          <w:rFonts w:ascii="Arial" w:hAnsi="Arial" w:cs="Arial"/>
          <w:spacing w:val="-2"/>
          <w:sz w:val="24"/>
          <w:szCs w:val="24"/>
        </w:rPr>
        <w:t xml:space="preserve"> </w:t>
      </w:r>
      <w:r w:rsidRPr="00FA3F9C">
        <w:rPr>
          <w:rFonts w:ascii="Arial" w:hAnsi="Arial" w:cs="Arial"/>
          <w:spacing w:val="1"/>
          <w:sz w:val="24"/>
          <w:szCs w:val="24"/>
        </w:rPr>
        <w:t>f</w:t>
      </w:r>
      <w:r w:rsidRPr="00FA3F9C">
        <w:rPr>
          <w:rFonts w:ascii="Arial" w:hAnsi="Arial" w:cs="Arial"/>
          <w:spacing w:val="2"/>
          <w:sz w:val="24"/>
          <w:szCs w:val="24"/>
        </w:rPr>
        <w:t>r</w:t>
      </w:r>
      <w:r w:rsidRPr="00FA3F9C">
        <w:rPr>
          <w:rFonts w:ascii="Arial" w:hAnsi="Arial" w:cs="Arial"/>
          <w:spacing w:val="-6"/>
          <w:sz w:val="24"/>
          <w:szCs w:val="24"/>
        </w:rPr>
        <w:t>o</w:t>
      </w:r>
      <w:r w:rsidRPr="00FA3F9C">
        <w:rPr>
          <w:rFonts w:ascii="Arial" w:hAnsi="Arial" w:cs="Arial"/>
          <w:sz w:val="24"/>
          <w:szCs w:val="24"/>
        </w:rPr>
        <w:t xml:space="preserve">m </w:t>
      </w:r>
      <w:r w:rsidRPr="00FA3F9C">
        <w:rPr>
          <w:rFonts w:ascii="Arial" w:hAnsi="Arial" w:cs="Arial"/>
          <w:spacing w:val="-4"/>
          <w:sz w:val="24"/>
          <w:szCs w:val="24"/>
        </w:rPr>
        <w:t>c</w:t>
      </w:r>
      <w:r w:rsidRPr="00FA3F9C">
        <w:rPr>
          <w:rFonts w:ascii="Arial" w:hAnsi="Arial" w:cs="Arial"/>
          <w:spacing w:val="2"/>
          <w:sz w:val="24"/>
          <w:szCs w:val="24"/>
        </w:rPr>
        <w:t>i</w:t>
      </w:r>
      <w:r w:rsidRPr="00FA3F9C">
        <w:rPr>
          <w:rFonts w:ascii="Arial" w:hAnsi="Arial" w:cs="Arial"/>
          <w:spacing w:val="-3"/>
          <w:sz w:val="24"/>
          <w:szCs w:val="24"/>
        </w:rPr>
        <w:t>r</w:t>
      </w:r>
      <w:r w:rsidRPr="00FA3F9C">
        <w:rPr>
          <w:rFonts w:ascii="Arial" w:hAnsi="Arial" w:cs="Arial"/>
          <w:spacing w:val="2"/>
          <w:sz w:val="24"/>
          <w:szCs w:val="24"/>
        </w:rPr>
        <w:t>r</w:t>
      </w:r>
      <w:r w:rsidRPr="00FA3F9C">
        <w:rPr>
          <w:rFonts w:ascii="Arial" w:hAnsi="Arial" w:cs="Arial"/>
          <w:sz w:val="24"/>
          <w:szCs w:val="24"/>
        </w:rPr>
        <w:t>h</w:t>
      </w:r>
      <w:r w:rsidRPr="00FA3F9C">
        <w:rPr>
          <w:rFonts w:ascii="Arial" w:hAnsi="Arial" w:cs="Arial"/>
          <w:spacing w:val="-1"/>
          <w:sz w:val="24"/>
          <w:szCs w:val="24"/>
        </w:rPr>
        <w:t>o</w:t>
      </w:r>
      <w:r w:rsidRPr="00FA3F9C">
        <w:rPr>
          <w:rFonts w:ascii="Arial" w:hAnsi="Arial" w:cs="Arial"/>
          <w:spacing w:val="-2"/>
          <w:sz w:val="24"/>
          <w:szCs w:val="24"/>
        </w:rPr>
        <w:t>s</w:t>
      </w:r>
      <w:r w:rsidRPr="00FA3F9C">
        <w:rPr>
          <w:rFonts w:ascii="Arial" w:hAnsi="Arial" w:cs="Arial"/>
          <w:spacing w:val="2"/>
          <w:sz w:val="24"/>
          <w:szCs w:val="24"/>
        </w:rPr>
        <w:t>i</w:t>
      </w:r>
      <w:r w:rsidRPr="00FA3F9C">
        <w:rPr>
          <w:rFonts w:ascii="Arial" w:hAnsi="Arial" w:cs="Arial"/>
          <w:sz w:val="24"/>
          <w:szCs w:val="24"/>
        </w:rPr>
        <w:t>s</w:t>
      </w:r>
      <w:r w:rsidRPr="00FA3F9C">
        <w:rPr>
          <w:rFonts w:ascii="Arial" w:hAnsi="Arial" w:cs="Arial"/>
          <w:spacing w:val="2"/>
          <w:sz w:val="24"/>
          <w:szCs w:val="24"/>
        </w:rPr>
        <w:t xml:space="preserve"> </w:t>
      </w:r>
      <w:r w:rsidRPr="00FA3F9C">
        <w:rPr>
          <w:rFonts w:ascii="Arial" w:hAnsi="Arial" w:cs="Arial"/>
          <w:spacing w:val="-6"/>
          <w:sz w:val="24"/>
          <w:szCs w:val="24"/>
        </w:rPr>
        <w:t>o</w:t>
      </w:r>
      <w:r w:rsidRPr="00FA3F9C">
        <w:rPr>
          <w:rFonts w:ascii="Arial" w:hAnsi="Arial" w:cs="Arial"/>
          <w:sz w:val="24"/>
          <w:szCs w:val="24"/>
        </w:rPr>
        <w:t xml:space="preserve">r </w:t>
      </w:r>
      <w:r w:rsidRPr="00FA3F9C">
        <w:rPr>
          <w:rFonts w:ascii="Arial" w:hAnsi="Arial" w:cs="Arial"/>
          <w:spacing w:val="2"/>
          <w:sz w:val="24"/>
          <w:szCs w:val="24"/>
        </w:rPr>
        <w:t>li</w:t>
      </w:r>
      <w:r w:rsidRPr="00FA3F9C">
        <w:rPr>
          <w:rFonts w:ascii="Arial" w:hAnsi="Arial" w:cs="Arial"/>
          <w:spacing w:val="-5"/>
          <w:sz w:val="24"/>
          <w:szCs w:val="24"/>
        </w:rPr>
        <w:t>v</w:t>
      </w:r>
      <w:r w:rsidRPr="00FA3F9C">
        <w:rPr>
          <w:rFonts w:ascii="Arial" w:hAnsi="Arial" w:cs="Arial"/>
          <w:spacing w:val="1"/>
          <w:sz w:val="24"/>
          <w:szCs w:val="24"/>
        </w:rPr>
        <w:t>e</w:t>
      </w:r>
      <w:r w:rsidRPr="00FA3F9C">
        <w:rPr>
          <w:rFonts w:ascii="Arial" w:hAnsi="Arial" w:cs="Arial"/>
          <w:sz w:val="24"/>
          <w:szCs w:val="24"/>
        </w:rPr>
        <w:t xml:space="preserve">r </w:t>
      </w:r>
      <w:r w:rsidRPr="00FA3F9C">
        <w:rPr>
          <w:rFonts w:ascii="Arial" w:hAnsi="Arial" w:cs="Arial"/>
          <w:spacing w:val="1"/>
          <w:sz w:val="24"/>
          <w:szCs w:val="24"/>
        </w:rPr>
        <w:t>c</w:t>
      </w:r>
      <w:r w:rsidRPr="00FA3F9C">
        <w:rPr>
          <w:rFonts w:ascii="Arial" w:hAnsi="Arial" w:cs="Arial"/>
          <w:spacing w:val="-1"/>
          <w:sz w:val="24"/>
          <w:szCs w:val="24"/>
        </w:rPr>
        <w:t>a</w:t>
      </w:r>
      <w:r w:rsidRPr="00FA3F9C">
        <w:rPr>
          <w:rFonts w:ascii="Arial" w:hAnsi="Arial" w:cs="Arial"/>
          <w:spacing w:val="-5"/>
          <w:sz w:val="24"/>
          <w:szCs w:val="24"/>
        </w:rPr>
        <w:t>n</w:t>
      </w:r>
      <w:r w:rsidRPr="00FA3F9C">
        <w:rPr>
          <w:rFonts w:ascii="Arial" w:hAnsi="Arial" w:cs="Arial"/>
          <w:spacing w:val="1"/>
          <w:sz w:val="24"/>
          <w:szCs w:val="24"/>
        </w:rPr>
        <w:t>c</w:t>
      </w:r>
      <w:r w:rsidRPr="00FA3F9C">
        <w:rPr>
          <w:rFonts w:ascii="Arial" w:hAnsi="Arial" w:cs="Arial"/>
          <w:sz w:val="24"/>
          <w:szCs w:val="24"/>
        </w:rPr>
        <w:t xml:space="preserve">er                        </w:t>
      </w:r>
      <w:r w:rsidRPr="00FA3F9C">
        <w:rPr>
          <w:rFonts w:ascii="Arial" w:hAnsi="Arial" w:cs="Arial"/>
          <w:spacing w:val="35"/>
          <w:sz w:val="24"/>
          <w:szCs w:val="24"/>
        </w:rPr>
        <w:t xml:space="preserve"> </w:t>
      </w:r>
      <w:r w:rsidRPr="00FA3F9C">
        <w:rPr>
          <w:rFonts w:ascii="Arial" w:hAnsi="Arial" w:cs="Arial"/>
          <w:spacing w:val="-1"/>
          <w:sz w:val="24"/>
          <w:szCs w:val="24"/>
        </w:rPr>
        <w:t>1</w:t>
      </w:r>
      <w:r w:rsidRPr="00FA3F9C">
        <w:rPr>
          <w:rFonts w:ascii="Arial" w:hAnsi="Arial" w:cs="Arial"/>
          <w:spacing w:val="1"/>
          <w:sz w:val="24"/>
          <w:szCs w:val="24"/>
        </w:rPr>
        <w:t>-</w:t>
      </w:r>
      <w:r w:rsidRPr="00FA3F9C">
        <w:rPr>
          <w:rFonts w:ascii="Arial" w:hAnsi="Arial" w:cs="Arial"/>
          <w:sz w:val="24"/>
          <w:szCs w:val="24"/>
        </w:rPr>
        <w:t>5</w:t>
      </w:r>
    </w:p>
    <w:p w14:paraId="20A2BE9B" w14:textId="77777777" w:rsidR="001506C1" w:rsidRPr="00FA3F9C" w:rsidRDefault="001506C1" w:rsidP="00BF12EA">
      <w:pPr>
        <w:widowControl w:val="0"/>
        <w:autoSpaceDE w:val="0"/>
        <w:autoSpaceDN w:val="0"/>
        <w:adjustRightInd w:val="0"/>
        <w:spacing w:line="276" w:lineRule="auto"/>
        <w:ind w:left="140" w:right="-20"/>
        <w:rPr>
          <w:rFonts w:ascii="Arial" w:hAnsi="Arial" w:cs="Arial"/>
          <w:b/>
          <w:bCs/>
          <w:spacing w:val="-1"/>
          <w:sz w:val="24"/>
          <w:szCs w:val="24"/>
        </w:rPr>
      </w:pPr>
    </w:p>
    <w:tbl>
      <w:tblPr>
        <w:tblpPr w:leftFromText="180" w:rightFromText="180" w:vertAnchor="text" w:horzAnchor="page" w:tblpX="6482" w:tblpY="-23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7"/>
      </w:tblGrid>
      <w:tr w:rsidR="001506C1" w:rsidRPr="00FA3F9C" w14:paraId="0DE21E7E" w14:textId="77777777" w:rsidTr="00C40F56">
        <w:trPr>
          <w:trHeight w:val="2828"/>
        </w:trPr>
        <w:tc>
          <w:tcPr>
            <w:tcW w:w="6277" w:type="dxa"/>
            <w:tcBorders>
              <w:top w:val="single" w:sz="18" w:space="0" w:color="auto"/>
              <w:left w:val="single" w:sz="18" w:space="0" w:color="auto"/>
              <w:bottom w:val="single" w:sz="18" w:space="0" w:color="auto"/>
              <w:right w:val="single" w:sz="18" w:space="0" w:color="auto"/>
            </w:tcBorders>
          </w:tcPr>
          <w:p w14:paraId="1E770D30" w14:textId="77777777" w:rsidR="001506C1" w:rsidRPr="00FA3F9C" w:rsidRDefault="001506C1" w:rsidP="00BF12EA">
            <w:pPr>
              <w:rPr>
                <w:rFonts w:ascii="Arial" w:hAnsi="Arial" w:cs="Arial"/>
                <w:sz w:val="24"/>
                <w:szCs w:val="24"/>
              </w:rPr>
            </w:pPr>
            <w:r w:rsidRPr="00FA3F9C">
              <w:rPr>
                <w:rFonts w:ascii="Arial" w:hAnsi="Arial" w:cs="Arial"/>
                <w:sz w:val="24"/>
                <w:szCs w:val="24"/>
              </w:rPr>
              <w:lastRenderedPageBreak/>
              <w:t>Scoring for Liver Disease Severity: Child-Pugh Classification of the severity of Cirrhosis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8"/>
              <w:gridCol w:w="1316"/>
              <w:gridCol w:w="1316"/>
              <w:gridCol w:w="1317"/>
            </w:tblGrid>
            <w:tr w:rsidR="001506C1" w:rsidRPr="00FA3F9C" w14:paraId="078BDB60" w14:textId="77777777" w:rsidTr="000A6221">
              <w:trPr>
                <w:trHeight w:val="272"/>
              </w:trPr>
              <w:tc>
                <w:tcPr>
                  <w:tcW w:w="1868" w:type="dxa"/>
                </w:tcPr>
                <w:p w14:paraId="5841ABD9" w14:textId="77777777" w:rsidR="001506C1" w:rsidRPr="00FA3F9C" w:rsidRDefault="001506C1" w:rsidP="00500371">
                  <w:pPr>
                    <w:framePr w:hSpace="180" w:wrap="around" w:vAnchor="text" w:hAnchor="page" w:x="6482" w:y="-2381"/>
                    <w:rPr>
                      <w:rFonts w:ascii="Arial" w:hAnsi="Arial" w:cs="Arial"/>
                      <w:sz w:val="24"/>
                      <w:szCs w:val="24"/>
                    </w:rPr>
                  </w:pPr>
                  <w:r w:rsidRPr="00FA3F9C">
                    <w:rPr>
                      <w:rFonts w:ascii="Arial" w:hAnsi="Arial" w:cs="Arial"/>
                      <w:sz w:val="24"/>
                      <w:szCs w:val="24"/>
                    </w:rPr>
                    <w:t>Variable</w:t>
                  </w:r>
                </w:p>
              </w:tc>
              <w:tc>
                <w:tcPr>
                  <w:tcW w:w="1316" w:type="dxa"/>
                </w:tcPr>
                <w:p w14:paraId="6A6A939F" w14:textId="77777777" w:rsidR="001506C1" w:rsidRPr="00FA3F9C" w:rsidRDefault="001506C1" w:rsidP="00500371">
                  <w:pPr>
                    <w:framePr w:hSpace="180" w:wrap="around" w:vAnchor="text" w:hAnchor="page" w:x="6482" w:y="-2381"/>
                    <w:rPr>
                      <w:rFonts w:ascii="Arial" w:hAnsi="Arial" w:cs="Arial"/>
                      <w:sz w:val="24"/>
                      <w:szCs w:val="24"/>
                    </w:rPr>
                  </w:pPr>
                </w:p>
              </w:tc>
              <w:tc>
                <w:tcPr>
                  <w:tcW w:w="1316" w:type="dxa"/>
                </w:tcPr>
                <w:p w14:paraId="15AE3B44" w14:textId="77777777" w:rsidR="001506C1" w:rsidRPr="00FA3F9C" w:rsidRDefault="001506C1" w:rsidP="00500371">
                  <w:pPr>
                    <w:framePr w:hSpace="180" w:wrap="around" w:vAnchor="text" w:hAnchor="page" w:x="6482" w:y="-2381"/>
                    <w:rPr>
                      <w:rFonts w:ascii="Arial" w:hAnsi="Arial" w:cs="Arial"/>
                      <w:sz w:val="24"/>
                      <w:szCs w:val="24"/>
                    </w:rPr>
                  </w:pPr>
                  <w:r w:rsidRPr="00FA3F9C">
                    <w:rPr>
                      <w:rFonts w:ascii="Arial" w:hAnsi="Arial" w:cs="Arial"/>
                      <w:sz w:val="24"/>
                      <w:szCs w:val="24"/>
                    </w:rPr>
                    <w:t>Score</w:t>
                  </w:r>
                </w:p>
              </w:tc>
              <w:tc>
                <w:tcPr>
                  <w:tcW w:w="1317" w:type="dxa"/>
                </w:tcPr>
                <w:p w14:paraId="582466E2" w14:textId="77777777" w:rsidR="001506C1" w:rsidRPr="00FA3F9C" w:rsidRDefault="001506C1" w:rsidP="00500371">
                  <w:pPr>
                    <w:framePr w:hSpace="180" w:wrap="around" w:vAnchor="text" w:hAnchor="page" w:x="6482" w:y="-2381"/>
                    <w:rPr>
                      <w:rFonts w:ascii="Arial" w:hAnsi="Arial" w:cs="Arial"/>
                      <w:sz w:val="24"/>
                      <w:szCs w:val="24"/>
                    </w:rPr>
                  </w:pPr>
                </w:p>
              </w:tc>
            </w:tr>
            <w:tr w:rsidR="001506C1" w:rsidRPr="00FA3F9C" w14:paraId="1C2BF05D" w14:textId="77777777" w:rsidTr="000A6221">
              <w:trPr>
                <w:trHeight w:val="272"/>
              </w:trPr>
              <w:tc>
                <w:tcPr>
                  <w:tcW w:w="1868" w:type="dxa"/>
                </w:tcPr>
                <w:p w14:paraId="1B6B9B3D" w14:textId="77777777" w:rsidR="001506C1" w:rsidRPr="00FA3F9C" w:rsidRDefault="001506C1" w:rsidP="00500371">
                  <w:pPr>
                    <w:framePr w:hSpace="180" w:wrap="around" w:vAnchor="text" w:hAnchor="page" w:x="6482" w:y="-2381"/>
                    <w:rPr>
                      <w:rFonts w:ascii="Arial" w:hAnsi="Arial" w:cs="Arial"/>
                      <w:sz w:val="24"/>
                      <w:szCs w:val="24"/>
                    </w:rPr>
                  </w:pPr>
                </w:p>
              </w:tc>
              <w:tc>
                <w:tcPr>
                  <w:tcW w:w="1316" w:type="dxa"/>
                </w:tcPr>
                <w:p w14:paraId="0A2F30D4" w14:textId="77777777" w:rsidR="001506C1" w:rsidRPr="00FA3F9C" w:rsidRDefault="001506C1" w:rsidP="00500371">
                  <w:pPr>
                    <w:framePr w:hSpace="180" w:wrap="around" w:vAnchor="text" w:hAnchor="page" w:x="6482" w:y="-2381"/>
                    <w:rPr>
                      <w:rFonts w:ascii="Arial" w:hAnsi="Arial" w:cs="Arial"/>
                      <w:sz w:val="24"/>
                      <w:szCs w:val="24"/>
                    </w:rPr>
                  </w:pPr>
                  <w:r w:rsidRPr="00FA3F9C">
                    <w:rPr>
                      <w:rFonts w:ascii="Arial" w:hAnsi="Arial" w:cs="Arial"/>
                      <w:sz w:val="24"/>
                      <w:szCs w:val="24"/>
                    </w:rPr>
                    <w:t>1pt</w:t>
                  </w:r>
                </w:p>
              </w:tc>
              <w:tc>
                <w:tcPr>
                  <w:tcW w:w="1316" w:type="dxa"/>
                </w:tcPr>
                <w:p w14:paraId="4F70FB4C" w14:textId="77777777" w:rsidR="001506C1" w:rsidRPr="00FA3F9C" w:rsidRDefault="001506C1" w:rsidP="00500371">
                  <w:pPr>
                    <w:framePr w:hSpace="180" w:wrap="around" w:vAnchor="text" w:hAnchor="page" w:x="6482" w:y="-2381"/>
                    <w:rPr>
                      <w:rFonts w:ascii="Arial" w:hAnsi="Arial" w:cs="Arial"/>
                      <w:sz w:val="24"/>
                      <w:szCs w:val="24"/>
                    </w:rPr>
                  </w:pPr>
                  <w:r w:rsidRPr="00FA3F9C">
                    <w:rPr>
                      <w:rFonts w:ascii="Arial" w:hAnsi="Arial" w:cs="Arial"/>
                      <w:sz w:val="24"/>
                      <w:szCs w:val="24"/>
                    </w:rPr>
                    <w:t>2 pts</w:t>
                  </w:r>
                </w:p>
              </w:tc>
              <w:tc>
                <w:tcPr>
                  <w:tcW w:w="1317" w:type="dxa"/>
                </w:tcPr>
                <w:p w14:paraId="3C657AFC" w14:textId="77777777" w:rsidR="001506C1" w:rsidRPr="00FA3F9C" w:rsidRDefault="001506C1" w:rsidP="00500371">
                  <w:pPr>
                    <w:framePr w:hSpace="180" w:wrap="around" w:vAnchor="text" w:hAnchor="page" w:x="6482" w:y="-2381"/>
                    <w:rPr>
                      <w:rFonts w:ascii="Arial" w:hAnsi="Arial" w:cs="Arial"/>
                      <w:sz w:val="24"/>
                      <w:szCs w:val="24"/>
                    </w:rPr>
                  </w:pPr>
                  <w:r w:rsidRPr="00FA3F9C">
                    <w:rPr>
                      <w:rFonts w:ascii="Arial" w:hAnsi="Arial" w:cs="Arial"/>
                      <w:sz w:val="24"/>
                      <w:szCs w:val="24"/>
                    </w:rPr>
                    <w:t>3 pts</w:t>
                  </w:r>
                </w:p>
              </w:tc>
            </w:tr>
            <w:tr w:rsidR="001506C1" w:rsidRPr="00FA3F9C" w14:paraId="3B50AD71" w14:textId="77777777" w:rsidTr="000A6221">
              <w:trPr>
                <w:trHeight w:val="272"/>
              </w:trPr>
              <w:tc>
                <w:tcPr>
                  <w:tcW w:w="1868" w:type="dxa"/>
                </w:tcPr>
                <w:p w14:paraId="5CB0D8F4" w14:textId="77777777" w:rsidR="001506C1" w:rsidRPr="00FA3F9C" w:rsidRDefault="001506C1" w:rsidP="00500371">
                  <w:pPr>
                    <w:framePr w:hSpace="180" w:wrap="around" w:vAnchor="text" w:hAnchor="page" w:x="6482" w:y="-2381"/>
                    <w:rPr>
                      <w:rFonts w:ascii="Arial" w:hAnsi="Arial" w:cs="Arial"/>
                      <w:sz w:val="24"/>
                      <w:szCs w:val="24"/>
                    </w:rPr>
                  </w:pPr>
                  <w:r w:rsidRPr="00FA3F9C">
                    <w:rPr>
                      <w:rFonts w:ascii="Arial" w:hAnsi="Arial" w:cs="Arial"/>
                      <w:sz w:val="24"/>
                      <w:szCs w:val="24"/>
                    </w:rPr>
                    <w:t>Encephalopathy</w:t>
                  </w:r>
                </w:p>
              </w:tc>
              <w:tc>
                <w:tcPr>
                  <w:tcW w:w="1316" w:type="dxa"/>
                </w:tcPr>
                <w:p w14:paraId="077FF930" w14:textId="77777777" w:rsidR="001506C1" w:rsidRPr="00FA3F9C" w:rsidRDefault="001506C1" w:rsidP="00500371">
                  <w:pPr>
                    <w:framePr w:hSpace="180" w:wrap="around" w:vAnchor="text" w:hAnchor="page" w:x="6482" w:y="-2381"/>
                    <w:rPr>
                      <w:rFonts w:ascii="Arial" w:hAnsi="Arial" w:cs="Arial"/>
                      <w:sz w:val="24"/>
                      <w:szCs w:val="24"/>
                    </w:rPr>
                  </w:pPr>
                  <w:r w:rsidRPr="00FA3F9C">
                    <w:rPr>
                      <w:rFonts w:ascii="Arial" w:hAnsi="Arial" w:cs="Arial"/>
                      <w:sz w:val="24"/>
                      <w:szCs w:val="24"/>
                    </w:rPr>
                    <w:t>None</w:t>
                  </w:r>
                </w:p>
              </w:tc>
              <w:tc>
                <w:tcPr>
                  <w:tcW w:w="1316" w:type="dxa"/>
                </w:tcPr>
                <w:p w14:paraId="5387532B" w14:textId="77777777" w:rsidR="001506C1" w:rsidRPr="00FA3F9C" w:rsidRDefault="001506C1" w:rsidP="00500371">
                  <w:pPr>
                    <w:framePr w:hSpace="180" w:wrap="around" w:vAnchor="text" w:hAnchor="page" w:x="6482" w:y="-2381"/>
                    <w:rPr>
                      <w:rFonts w:ascii="Arial" w:hAnsi="Arial" w:cs="Arial"/>
                      <w:sz w:val="24"/>
                      <w:szCs w:val="24"/>
                    </w:rPr>
                  </w:pPr>
                  <w:proofErr w:type="gramStart"/>
                  <w:r w:rsidRPr="00FA3F9C">
                    <w:rPr>
                      <w:rFonts w:ascii="Arial" w:hAnsi="Arial" w:cs="Arial"/>
                      <w:sz w:val="24"/>
                      <w:szCs w:val="24"/>
                    </w:rPr>
                    <w:t>Mild-mod</w:t>
                  </w:r>
                  <w:proofErr w:type="gramEnd"/>
                </w:p>
              </w:tc>
              <w:tc>
                <w:tcPr>
                  <w:tcW w:w="1317" w:type="dxa"/>
                </w:tcPr>
                <w:p w14:paraId="098E8353" w14:textId="77777777" w:rsidR="001506C1" w:rsidRPr="00FA3F9C" w:rsidRDefault="001506C1" w:rsidP="00500371">
                  <w:pPr>
                    <w:framePr w:hSpace="180" w:wrap="around" w:vAnchor="text" w:hAnchor="page" w:x="6482" w:y="-2381"/>
                    <w:rPr>
                      <w:rFonts w:ascii="Arial" w:hAnsi="Arial" w:cs="Arial"/>
                      <w:sz w:val="24"/>
                      <w:szCs w:val="24"/>
                    </w:rPr>
                  </w:pPr>
                  <w:proofErr w:type="spellStart"/>
                  <w:r w:rsidRPr="00FA3F9C">
                    <w:rPr>
                      <w:rFonts w:ascii="Arial" w:hAnsi="Arial" w:cs="Arial"/>
                      <w:sz w:val="24"/>
                      <w:szCs w:val="24"/>
                    </w:rPr>
                    <w:t>Sev</w:t>
                  </w:r>
                  <w:proofErr w:type="spellEnd"/>
                  <w:r w:rsidRPr="00FA3F9C">
                    <w:rPr>
                      <w:rFonts w:ascii="Arial" w:hAnsi="Arial" w:cs="Arial"/>
                      <w:sz w:val="24"/>
                      <w:szCs w:val="24"/>
                    </w:rPr>
                    <w:t>-coma</w:t>
                  </w:r>
                </w:p>
              </w:tc>
            </w:tr>
            <w:tr w:rsidR="001506C1" w:rsidRPr="00FA3F9C" w14:paraId="0446F887" w14:textId="77777777" w:rsidTr="000A6221">
              <w:trPr>
                <w:trHeight w:val="259"/>
              </w:trPr>
              <w:tc>
                <w:tcPr>
                  <w:tcW w:w="1868" w:type="dxa"/>
                </w:tcPr>
                <w:p w14:paraId="211A9AEC" w14:textId="77777777" w:rsidR="001506C1" w:rsidRPr="00FA3F9C" w:rsidRDefault="001506C1" w:rsidP="00500371">
                  <w:pPr>
                    <w:framePr w:hSpace="180" w:wrap="around" w:vAnchor="text" w:hAnchor="page" w:x="6482" w:y="-2381"/>
                    <w:rPr>
                      <w:rFonts w:ascii="Arial" w:hAnsi="Arial" w:cs="Arial"/>
                      <w:sz w:val="24"/>
                      <w:szCs w:val="24"/>
                    </w:rPr>
                  </w:pPr>
                  <w:r w:rsidRPr="00FA3F9C">
                    <w:rPr>
                      <w:rFonts w:ascii="Arial" w:hAnsi="Arial" w:cs="Arial"/>
                      <w:sz w:val="24"/>
                      <w:szCs w:val="24"/>
                    </w:rPr>
                    <w:t>Ascites</w:t>
                  </w:r>
                </w:p>
              </w:tc>
              <w:tc>
                <w:tcPr>
                  <w:tcW w:w="1316" w:type="dxa"/>
                </w:tcPr>
                <w:p w14:paraId="14B62588" w14:textId="77777777" w:rsidR="001506C1" w:rsidRPr="00FA3F9C" w:rsidRDefault="001506C1" w:rsidP="00500371">
                  <w:pPr>
                    <w:framePr w:hSpace="180" w:wrap="around" w:vAnchor="text" w:hAnchor="page" w:x="6482" w:y="-2381"/>
                    <w:rPr>
                      <w:rFonts w:ascii="Arial" w:hAnsi="Arial" w:cs="Arial"/>
                      <w:sz w:val="24"/>
                      <w:szCs w:val="24"/>
                    </w:rPr>
                  </w:pPr>
                  <w:r w:rsidRPr="00FA3F9C">
                    <w:rPr>
                      <w:rFonts w:ascii="Arial" w:hAnsi="Arial" w:cs="Arial"/>
                      <w:sz w:val="24"/>
                      <w:szCs w:val="24"/>
                    </w:rPr>
                    <w:t>None</w:t>
                  </w:r>
                </w:p>
              </w:tc>
              <w:tc>
                <w:tcPr>
                  <w:tcW w:w="1316" w:type="dxa"/>
                </w:tcPr>
                <w:p w14:paraId="2ACA850F" w14:textId="77777777" w:rsidR="001506C1" w:rsidRPr="00FA3F9C" w:rsidRDefault="001506C1" w:rsidP="00500371">
                  <w:pPr>
                    <w:framePr w:hSpace="180" w:wrap="around" w:vAnchor="text" w:hAnchor="page" w:x="6482" w:y="-2381"/>
                    <w:rPr>
                      <w:rFonts w:ascii="Arial" w:hAnsi="Arial" w:cs="Arial"/>
                      <w:sz w:val="24"/>
                      <w:szCs w:val="24"/>
                    </w:rPr>
                  </w:pPr>
                  <w:r w:rsidRPr="00FA3F9C">
                    <w:rPr>
                      <w:rFonts w:ascii="Arial" w:hAnsi="Arial" w:cs="Arial"/>
                      <w:sz w:val="24"/>
                      <w:szCs w:val="24"/>
                    </w:rPr>
                    <w:t>Slight</w:t>
                  </w:r>
                </w:p>
              </w:tc>
              <w:tc>
                <w:tcPr>
                  <w:tcW w:w="1317" w:type="dxa"/>
                </w:tcPr>
                <w:p w14:paraId="365F6232" w14:textId="77777777" w:rsidR="001506C1" w:rsidRPr="00FA3F9C" w:rsidRDefault="001506C1" w:rsidP="00500371">
                  <w:pPr>
                    <w:framePr w:hSpace="180" w:wrap="around" w:vAnchor="text" w:hAnchor="page" w:x="6482" w:y="-2381"/>
                    <w:rPr>
                      <w:rFonts w:ascii="Arial" w:hAnsi="Arial" w:cs="Arial"/>
                      <w:sz w:val="24"/>
                      <w:szCs w:val="24"/>
                    </w:rPr>
                  </w:pPr>
                  <w:r w:rsidRPr="00FA3F9C">
                    <w:rPr>
                      <w:rFonts w:ascii="Arial" w:hAnsi="Arial" w:cs="Arial"/>
                      <w:sz w:val="24"/>
                      <w:szCs w:val="24"/>
                    </w:rPr>
                    <w:t>Mod</w:t>
                  </w:r>
                </w:p>
              </w:tc>
            </w:tr>
            <w:tr w:rsidR="001506C1" w:rsidRPr="00FA3F9C" w14:paraId="453178F1" w14:textId="77777777" w:rsidTr="000A6221">
              <w:trPr>
                <w:trHeight w:val="272"/>
              </w:trPr>
              <w:tc>
                <w:tcPr>
                  <w:tcW w:w="1868" w:type="dxa"/>
                </w:tcPr>
                <w:p w14:paraId="31B8F6C9" w14:textId="77777777" w:rsidR="001506C1" w:rsidRPr="00FA3F9C" w:rsidRDefault="001506C1" w:rsidP="00500371">
                  <w:pPr>
                    <w:framePr w:hSpace="180" w:wrap="around" w:vAnchor="text" w:hAnchor="page" w:x="6482" w:y="-2381"/>
                    <w:rPr>
                      <w:rFonts w:ascii="Arial" w:hAnsi="Arial" w:cs="Arial"/>
                      <w:sz w:val="24"/>
                      <w:szCs w:val="24"/>
                    </w:rPr>
                  </w:pPr>
                  <w:proofErr w:type="spellStart"/>
                  <w:r w:rsidRPr="00FA3F9C">
                    <w:rPr>
                      <w:rFonts w:ascii="Arial" w:hAnsi="Arial" w:cs="Arial"/>
                      <w:sz w:val="24"/>
                      <w:szCs w:val="24"/>
                    </w:rPr>
                    <w:t>TBili</w:t>
                  </w:r>
                  <w:proofErr w:type="spellEnd"/>
                  <w:r w:rsidRPr="00FA3F9C">
                    <w:rPr>
                      <w:rFonts w:ascii="Arial" w:hAnsi="Arial" w:cs="Arial"/>
                      <w:sz w:val="24"/>
                      <w:szCs w:val="24"/>
                    </w:rPr>
                    <w:t xml:space="preserve"> mg/dL</w:t>
                  </w:r>
                </w:p>
              </w:tc>
              <w:tc>
                <w:tcPr>
                  <w:tcW w:w="1316" w:type="dxa"/>
                </w:tcPr>
                <w:p w14:paraId="1FE04926" w14:textId="77777777" w:rsidR="001506C1" w:rsidRPr="00FA3F9C" w:rsidRDefault="001506C1" w:rsidP="00500371">
                  <w:pPr>
                    <w:framePr w:hSpace="180" w:wrap="around" w:vAnchor="text" w:hAnchor="page" w:x="6482" w:y="-2381"/>
                    <w:rPr>
                      <w:rFonts w:ascii="Arial" w:hAnsi="Arial" w:cs="Arial"/>
                      <w:sz w:val="24"/>
                      <w:szCs w:val="24"/>
                    </w:rPr>
                  </w:pPr>
                  <w:r w:rsidRPr="00FA3F9C">
                    <w:rPr>
                      <w:rFonts w:ascii="Arial" w:hAnsi="Arial" w:cs="Arial"/>
                      <w:sz w:val="24"/>
                      <w:szCs w:val="24"/>
                    </w:rPr>
                    <w:t>&lt;2</w:t>
                  </w:r>
                </w:p>
              </w:tc>
              <w:tc>
                <w:tcPr>
                  <w:tcW w:w="1316" w:type="dxa"/>
                </w:tcPr>
                <w:p w14:paraId="7A62FF42" w14:textId="77777777" w:rsidR="001506C1" w:rsidRPr="00FA3F9C" w:rsidRDefault="001506C1" w:rsidP="00500371">
                  <w:pPr>
                    <w:framePr w:hSpace="180" w:wrap="around" w:vAnchor="text" w:hAnchor="page" w:x="6482" w:y="-2381"/>
                    <w:rPr>
                      <w:rFonts w:ascii="Arial" w:hAnsi="Arial" w:cs="Arial"/>
                      <w:sz w:val="24"/>
                      <w:szCs w:val="24"/>
                    </w:rPr>
                  </w:pPr>
                  <w:r w:rsidRPr="00FA3F9C">
                    <w:rPr>
                      <w:rFonts w:ascii="Arial" w:hAnsi="Arial" w:cs="Arial"/>
                      <w:sz w:val="24"/>
                      <w:szCs w:val="24"/>
                    </w:rPr>
                    <w:t>2-3</w:t>
                  </w:r>
                </w:p>
              </w:tc>
              <w:tc>
                <w:tcPr>
                  <w:tcW w:w="1317" w:type="dxa"/>
                </w:tcPr>
                <w:p w14:paraId="42E7799E" w14:textId="77777777" w:rsidR="001506C1" w:rsidRPr="00FA3F9C" w:rsidRDefault="001506C1" w:rsidP="00500371">
                  <w:pPr>
                    <w:framePr w:hSpace="180" w:wrap="around" w:vAnchor="text" w:hAnchor="page" w:x="6482" w:y="-2381"/>
                    <w:rPr>
                      <w:rFonts w:ascii="Arial" w:hAnsi="Arial" w:cs="Arial"/>
                      <w:sz w:val="24"/>
                      <w:szCs w:val="24"/>
                    </w:rPr>
                  </w:pPr>
                  <w:r w:rsidRPr="00FA3F9C">
                    <w:rPr>
                      <w:rFonts w:ascii="Arial" w:hAnsi="Arial" w:cs="Arial"/>
                      <w:sz w:val="24"/>
                      <w:szCs w:val="24"/>
                    </w:rPr>
                    <w:t>&gt;3</w:t>
                  </w:r>
                </w:p>
              </w:tc>
            </w:tr>
            <w:tr w:rsidR="001506C1" w:rsidRPr="00FA3F9C" w14:paraId="404B4598" w14:textId="77777777" w:rsidTr="000A6221">
              <w:trPr>
                <w:trHeight w:val="272"/>
              </w:trPr>
              <w:tc>
                <w:tcPr>
                  <w:tcW w:w="1868" w:type="dxa"/>
                </w:tcPr>
                <w:p w14:paraId="15F98786" w14:textId="77777777" w:rsidR="001506C1" w:rsidRPr="00FA3F9C" w:rsidRDefault="001506C1" w:rsidP="00500371">
                  <w:pPr>
                    <w:framePr w:hSpace="180" w:wrap="around" w:vAnchor="text" w:hAnchor="page" w:x="6482" w:y="-2381"/>
                    <w:rPr>
                      <w:rFonts w:ascii="Arial" w:hAnsi="Arial" w:cs="Arial"/>
                      <w:sz w:val="24"/>
                      <w:szCs w:val="24"/>
                    </w:rPr>
                  </w:pPr>
                  <w:r w:rsidRPr="00FA3F9C">
                    <w:rPr>
                      <w:rFonts w:ascii="Arial" w:hAnsi="Arial" w:cs="Arial"/>
                      <w:sz w:val="24"/>
                      <w:szCs w:val="24"/>
                    </w:rPr>
                    <w:t>Alb g/L</w:t>
                  </w:r>
                </w:p>
              </w:tc>
              <w:tc>
                <w:tcPr>
                  <w:tcW w:w="1316" w:type="dxa"/>
                </w:tcPr>
                <w:p w14:paraId="20D0EE95" w14:textId="77777777" w:rsidR="001506C1" w:rsidRPr="00FA3F9C" w:rsidRDefault="001506C1" w:rsidP="00500371">
                  <w:pPr>
                    <w:framePr w:hSpace="180" w:wrap="around" w:vAnchor="text" w:hAnchor="page" w:x="6482" w:y="-2381"/>
                    <w:rPr>
                      <w:rFonts w:ascii="Arial" w:hAnsi="Arial" w:cs="Arial"/>
                      <w:sz w:val="24"/>
                      <w:szCs w:val="24"/>
                    </w:rPr>
                  </w:pPr>
                  <w:r w:rsidRPr="00FA3F9C">
                    <w:rPr>
                      <w:rFonts w:ascii="Arial" w:hAnsi="Arial" w:cs="Arial"/>
                      <w:sz w:val="24"/>
                      <w:szCs w:val="24"/>
                    </w:rPr>
                    <w:t>&gt;3.5</w:t>
                  </w:r>
                </w:p>
              </w:tc>
              <w:tc>
                <w:tcPr>
                  <w:tcW w:w="1316" w:type="dxa"/>
                </w:tcPr>
                <w:p w14:paraId="0A5D87E0" w14:textId="77777777" w:rsidR="001506C1" w:rsidRPr="00FA3F9C" w:rsidRDefault="001506C1" w:rsidP="00500371">
                  <w:pPr>
                    <w:framePr w:hSpace="180" w:wrap="around" w:vAnchor="text" w:hAnchor="page" w:x="6482" w:y="-2381"/>
                    <w:rPr>
                      <w:rFonts w:ascii="Arial" w:hAnsi="Arial" w:cs="Arial"/>
                      <w:sz w:val="24"/>
                      <w:szCs w:val="24"/>
                    </w:rPr>
                  </w:pPr>
                  <w:r w:rsidRPr="00FA3F9C">
                    <w:rPr>
                      <w:rFonts w:ascii="Arial" w:hAnsi="Arial" w:cs="Arial"/>
                      <w:sz w:val="24"/>
                      <w:szCs w:val="24"/>
                    </w:rPr>
                    <w:t>2.8-3.5</w:t>
                  </w:r>
                </w:p>
              </w:tc>
              <w:tc>
                <w:tcPr>
                  <w:tcW w:w="1317" w:type="dxa"/>
                </w:tcPr>
                <w:p w14:paraId="41324343" w14:textId="77777777" w:rsidR="001506C1" w:rsidRPr="00FA3F9C" w:rsidRDefault="001506C1" w:rsidP="00500371">
                  <w:pPr>
                    <w:framePr w:hSpace="180" w:wrap="around" w:vAnchor="text" w:hAnchor="page" w:x="6482" w:y="-2381"/>
                    <w:rPr>
                      <w:rFonts w:ascii="Arial" w:hAnsi="Arial" w:cs="Arial"/>
                      <w:sz w:val="24"/>
                      <w:szCs w:val="24"/>
                    </w:rPr>
                  </w:pPr>
                  <w:r w:rsidRPr="00FA3F9C">
                    <w:rPr>
                      <w:rFonts w:ascii="Arial" w:hAnsi="Arial" w:cs="Arial"/>
                      <w:sz w:val="24"/>
                      <w:szCs w:val="24"/>
                    </w:rPr>
                    <w:t>&lt;2.8</w:t>
                  </w:r>
                </w:p>
              </w:tc>
            </w:tr>
            <w:tr w:rsidR="001506C1" w:rsidRPr="00FA3F9C" w14:paraId="5941DA96" w14:textId="77777777" w:rsidTr="000A6221">
              <w:trPr>
                <w:trHeight w:val="272"/>
              </w:trPr>
              <w:tc>
                <w:tcPr>
                  <w:tcW w:w="1868" w:type="dxa"/>
                </w:tcPr>
                <w:p w14:paraId="22B9B369" w14:textId="77777777" w:rsidR="001506C1" w:rsidRPr="00FA3F9C" w:rsidRDefault="001506C1" w:rsidP="00500371">
                  <w:pPr>
                    <w:framePr w:hSpace="180" w:wrap="around" w:vAnchor="text" w:hAnchor="page" w:x="6482" w:y="-2381"/>
                    <w:rPr>
                      <w:rFonts w:ascii="Arial" w:hAnsi="Arial" w:cs="Arial"/>
                      <w:sz w:val="24"/>
                      <w:szCs w:val="24"/>
                    </w:rPr>
                  </w:pPr>
                  <w:r w:rsidRPr="00FA3F9C">
                    <w:rPr>
                      <w:rFonts w:ascii="Arial" w:hAnsi="Arial" w:cs="Arial"/>
                      <w:sz w:val="24"/>
                      <w:szCs w:val="24"/>
                    </w:rPr>
                    <w:t xml:space="preserve">PT, sec above </w:t>
                  </w:r>
                  <w:proofErr w:type="spellStart"/>
                  <w:r w:rsidRPr="00FA3F9C">
                    <w:rPr>
                      <w:rFonts w:ascii="Arial" w:hAnsi="Arial" w:cs="Arial"/>
                      <w:sz w:val="24"/>
                      <w:szCs w:val="24"/>
                    </w:rPr>
                    <w:t>nl</w:t>
                  </w:r>
                  <w:proofErr w:type="spellEnd"/>
                </w:p>
              </w:tc>
              <w:tc>
                <w:tcPr>
                  <w:tcW w:w="1316" w:type="dxa"/>
                </w:tcPr>
                <w:p w14:paraId="492478CB" w14:textId="77777777" w:rsidR="001506C1" w:rsidRPr="00FA3F9C" w:rsidRDefault="001506C1" w:rsidP="00500371">
                  <w:pPr>
                    <w:framePr w:hSpace="180" w:wrap="around" w:vAnchor="text" w:hAnchor="page" w:x="6482" w:y="-2381"/>
                    <w:rPr>
                      <w:rFonts w:ascii="Arial" w:hAnsi="Arial" w:cs="Arial"/>
                      <w:sz w:val="24"/>
                      <w:szCs w:val="24"/>
                    </w:rPr>
                  </w:pPr>
                  <w:r w:rsidRPr="00FA3F9C">
                    <w:rPr>
                      <w:rFonts w:ascii="Arial" w:hAnsi="Arial" w:cs="Arial"/>
                      <w:sz w:val="24"/>
                      <w:szCs w:val="24"/>
                    </w:rPr>
                    <w:t>1-4</w:t>
                  </w:r>
                </w:p>
              </w:tc>
              <w:tc>
                <w:tcPr>
                  <w:tcW w:w="1316" w:type="dxa"/>
                </w:tcPr>
                <w:p w14:paraId="173ADFB0" w14:textId="77777777" w:rsidR="001506C1" w:rsidRPr="00FA3F9C" w:rsidRDefault="001506C1" w:rsidP="00500371">
                  <w:pPr>
                    <w:framePr w:hSpace="180" w:wrap="around" w:vAnchor="text" w:hAnchor="page" w:x="6482" w:y="-2381"/>
                    <w:rPr>
                      <w:rFonts w:ascii="Arial" w:hAnsi="Arial" w:cs="Arial"/>
                      <w:sz w:val="24"/>
                      <w:szCs w:val="24"/>
                    </w:rPr>
                  </w:pPr>
                  <w:r w:rsidRPr="00FA3F9C">
                    <w:rPr>
                      <w:rFonts w:ascii="Arial" w:hAnsi="Arial" w:cs="Arial"/>
                      <w:sz w:val="24"/>
                      <w:szCs w:val="24"/>
                    </w:rPr>
                    <w:t>4-6</w:t>
                  </w:r>
                </w:p>
              </w:tc>
              <w:tc>
                <w:tcPr>
                  <w:tcW w:w="1317" w:type="dxa"/>
                </w:tcPr>
                <w:p w14:paraId="48A4118B" w14:textId="77777777" w:rsidR="001506C1" w:rsidRPr="00FA3F9C" w:rsidRDefault="001506C1" w:rsidP="00500371">
                  <w:pPr>
                    <w:framePr w:hSpace="180" w:wrap="around" w:vAnchor="text" w:hAnchor="page" w:x="6482" w:y="-2381"/>
                    <w:rPr>
                      <w:rFonts w:ascii="Arial" w:hAnsi="Arial" w:cs="Arial"/>
                      <w:sz w:val="24"/>
                      <w:szCs w:val="24"/>
                    </w:rPr>
                  </w:pPr>
                  <w:r w:rsidRPr="00FA3F9C">
                    <w:rPr>
                      <w:rFonts w:ascii="Arial" w:hAnsi="Arial" w:cs="Arial"/>
                      <w:sz w:val="24"/>
                      <w:szCs w:val="24"/>
                    </w:rPr>
                    <w:t>&gt;6</w:t>
                  </w:r>
                </w:p>
              </w:tc>
            </w:tr>
          </w:tbl>
          <w:p w14:paraId="4E6B8535" w14:textId="77777777" w:rsidR="001506C1" w:rsidRPr="00FA3F9C" w:rsidRDefault="001506C1" w:rsidP="00BF12EA">
            <w:pPr>
              <w:rPr>
                <w:rFonts w:ascii="Arial" w:hAnsi="Arial" w:cs="Arial"/>
                <w:sz w:val="24"/>
                <w:szCs w:val="24"/>
              </w:rPr>
            </w:pPr>
            <w:r w:rsidRPr="00FA3F9C">
              <w:rPr>
                <w:rFonts w:ascii="Arial" w:hAnsi="Arial" w:cs="Arial"/>
                <w:sz w:val="24"/>
                <w:szCs w:val="24"/>
              </w:rPr>
              <w:t>A=5-6, B=7-9, C&gt;10</w:t>
            </w:r>
          </w:p>
        </w:tc>
      </w:tr>
    </w:tbl>
    <w:p w14:paraId="36B89241" w14:textId="77777777" w:rsidR="001506C1" w:rsidRPr="00FA3F9C" w:rsidRDefault="001506C1" w:rsidP="00BF12EA">
      <w:pPr>
        <w:widowControl w:val="0"/>
        <w:autoSpaceDE w:val="0"/>
        <w:autoSpaceDN w:val="0"/>
        <w:adjustRightInd w:val="0"/>
        <w:spacing w:before="48"/>
        <w:ind w:left="140" w:right="-20"/>
        <w:rPr>
          <w:rFonts w:ascii="Arial" w:hAnsi="Arial" w:cs="Arial"/>
          <w:sz w:val="24"/>
          <w:szCs w:val="24"/>
        </w:rPr>
      </w:pPr>
    </w:p>
    <w:p w14:paraId="61CF9038" w14:textId="77777777" w:rsidR="001506C1" w:rsidRPr="00FA3F9C" w:rsidRDefault="001506C1" w:rsidP="00BF12EA">
      <w:pPr>
        <w:widowControl w:val="0"/>
        <w:autoSpaceDE w:val="0"/>
        <w:autoSpaceDN w:val="0"/>
        <w:adjustRightInd w:val="0"/>
        <w:spacing w:before="48"/>
        <w:ind w:left="140" w:right="-20"/>
        <w:rPr>
          <w:rFonts w:ascii="Arial" w:hAnsi="Arial" w:cs="Arial"/>
          <w:sz w:val="24"/>
          <w:szCs w:val="24"/>
        </w:rPr>
      </w:pPr>
    </w:p>
    <w:p w14:paraId="72DC8E8E" w14:textId="77777777" w:rsidR="001506C1" w:rsidRPr="00FA3F9C" w:rsidRDefault="001506C1">
      <w:pPr>
        <w:rPr>
          <w:rFonts w:ascii="Arial" w:hAnsi="Arial" w:cs="Arial"/>
          <w:b/>
          <w:sz w:val="24"/>
          <w:szCs w:val="24"/>
        </w:rPr>
      </w:pPr>
      <w:r w:rsidRPr="00FA3F9C">
        <w:rPr>
          <w:rFonts w:ascii="Arial" w:hAnsi="Arial" w:cs="Arial"/>
          <w:b/>
          <w:sz w:val="24"/>
          <w:szCs w:val="24"/>
        </w:rPr>
        <w:br w:type="page"/>
      </w:r>
    </w:p>
    <w:p w14:paraId="1255D21A" w14:textId="77777777" w:rsidR="001506C1" w:rsidRPr="00FA3F9C" w:rsidRDefault="001506C1" w:rsidP="00BB2468">
      <w:pPr>
        <w:jc w:val="center"/>
        <w:rPr>
          <w:rFonts w:ascii="Arial" w:hAnsi="Arial" w:cs="Arial"/>
          <w:b/>
          <w:sz w:val="24"/>
          <w:szCs w:val="24"/>
        </w:rPr>
      </w:pPr>
    </w:p>
    <w:p w14:paraId="0169F44F" w14:textId="77777777" w:rsidR="001506C1" w:rsidRPr="00FA3F9C" w:rsidRDefault="001506C1" w:rsidP="001B65A7">
      <w:pPr>
        <w:rPr>
          <w:rFonts w:ascii="Arial" w:hAnsi="Arial" w:cs="Arial"/>
          <w:b/>
          <w:sz w:val="24"/>
          <w:szCs w:val="24"/>
        </w:rPr>
      </w:pPr>
      <w:r w:rsidRPr="00FA3F9C">
        <w:rPr>
          <w:rFonts w:ascii="Arial" w:hAnsi="Arial" w:cs="Arial"/>
          <w:b/>
          <w:sz w:val="24"/>
          <w:szCs w:val="24"/>
        </w:rPr>
        <w:t xml:space="preserve">Drugs for HCV </w:t>
      </w:r>
    </w:p>
    <w:tbl>
      <w:tblPr>
        <w:tblStyle w:val="TableGrid"/>
        <w:tblW w:w="14395" w:type="dxa"/>
        <w:tblLook w:val="04A0" w:firstRow="1" w:lastRow="0" w:firstColumn="1" w:lastColumn="0" w:noHBand="0" w:noVBand="1"/>
      </w:tblPr>
      <w:tblGrid>
        <w:gridCol w:w="1444"/>
        <w:gridCol w:w="3106"/>
        <w:gridCol w:w="1601"/>
        <w:gridCol w:w="8244"/>
      </w:tblGrid>
      <w:tr w:rsidR="001506C1" w:rsidRPr="00FA3F9C" w14:paraId="1C3524EE" w14:textId="77777777" w:rsidTr="00055A23">
        <w:tc>
          <w:tcPr>
            <w:tcW w:w="1075" w:type="dxa"/>
          </w:tcPr>
          <w:p w14:paraId="58CE2B67" w14:textId="77777777" w:rsidR="001506C1" w:rsidRPr="00FA3F9C" w:rsidRDefault="001506C1" w:rsidP="00B620ED">
            <w:pPr>
              <w:rPr>
                <w:rFonts w:ascii="Arial" w:hAnsi="Arial" w:cs="Arial"/>
                <w:sz w:val="24"/>
                <w:szCs w:val="24"/>
              </w:rPr>
            </w:pPr>
            <w:r w:rsidRPr="00FA3F9C">
              <w:rPr>
                <w:rFonts w:ascii="Arial" w:hAnsi="Arial" w:cs="Arial"/>
                <w:sz w:val="24"/>
                <w:szCs w:val="24"/>
              </w:rPr>
              <w:t>Brand</w:t>
            </w:r>
          </w:p>
        </w:tc>
        <w:tc>
          <w:tcPr>
            <w:tcW w:w="3150" w:type="dxa"/>
          </w:tcPr>
          <w:p w14:paraId="7863EACD" w14:textId="77777777" w:rsidR="001506C1" w:rsidRPr="00FA3F9C" w:rsidRDefault="001506C1" w:rsidP="00B620ED">
            <w:pPr>
              <w:rPr>
                <w:rFonts w:ascii="Arial" w:hAnsi="Arial" w:cs="Arial"/>
                <w:sz w:val="24"/>
                <w:szCs w:val="24"/>
              </w:rPr>
            </w:pPr>
            <w:r w:rsidRPr="00FA3F9C">
              <w:rPr>
                <w:rFonts w:ascii="Arial" w:hAnsi="Arial" w:cs="Arial"/>
                <w:sz w:val="24"/>
                <w:szCs w:val="24"/>
              </w:rPr>
              <w:t>Components</w:t>
            </w:r>
          </w:p>
        </w:tc>
        <w:tc>
          <w:tcPr>
            <w:tcW w:w="1620" w:type="dxa"/>
          </w:tcPr>
          <w:p w14:paraId="2C33C4B8" w14:textId="77777777" w:rsidR="001506C1" w:rsidRPr="00FA3F9C" w:rsidRDefault="001506C1" w:rsidP="00B620ED">
            <w:pPr>
              <w:rPr>
                <w:rFonts w:ascii="Arial" w:hAnsi="Arial" w:cs="Arial"/>
                <w:sz w:val="24"/>
                <w:szCs w:val="24"/>
              </w:rPr>
            </w:pPr>
            <w:r w:rsidRPr="00FA3F9C">
              <w:rPr>
                <w:rFonts w:ascii="Arial" w:hAnsi="Arial" w:cs="Arial"/>
                <w:sz w:val="24"/>
                <w:szCs w:val="24"/>
              </w:rPr>
              <w:t>Common dose</w:t>
            </w:r>
          </w:p>
        </w:tc>
        <w:tc>
          <w:tcPr>
            <w:tcW w:w="8550" w:type="dxa"/>
          </w:tcPr>
          <w:p w14:paraId="590E7F43" w14:textId="77777777" w:rsidR="001506C1" w:rsidRPr="00FA3F9C" w:rsidRDefault="001506C1" w:rsidP="00B620ED">
            <w:pPr>
              <w:rPr>
                <w:rFonts w:ascii="Arial" w:hAnsi="Arial" w:cs="Arial"/>
                <w:b/>
                <w:sz w:val="24"/>
                <w:szCs w:val="24"/>
              </w:rPr>
            </w:pPr>
            <w:r w:rsidRPr="00FA3F9C">
              <w:rPr>
                <w:rFonts w:ascii="Arial" w:hAnsi="Arial" w:cs="Arial"/>
                <w:b/>
                <w:sz w:val="24"/>
                <w:szCs w:val="24"/>
              </w:rPr>
              <w:t>FDA Approval</w:t>
            </w:r>
          </w:p>
        </w:tc>
      </w:tr>
      <w:tr w:rsidR="001506C1" w:rsidRPr="00FA3F9C" w14:paraId="65895CC3" w14:textId="77777777" w:rsidTr="00055A23">
        <w:tc>
          <w:tcPr>
            <w:tcW w:w="1075" w:type="dxa"/>
          </w:tcPr>
          <w:p w14:paraId="3DD66E0A" w14:textId="77777777" w:rsidR="001506C1" w:rsidRPr="00FA3F9C" w:rsidRDefault="001506C1" w:rsidP="00B620ED">
            <w:pPr>
              <w:rPr>
                <w:rFonts w:ascii="Arial" w:hAnsi="Arial" w:cs="Arial"/>
                <w:b/>
                <w:sz w:val="24"/>
                <w:szCs w:val="24"/>
              </w:rPr>
            </w:pPr>
            <w:proofErr w:type="spellStart"/>
            <w:r w:rsidRPr="00FA3F9C">
              <w:rPr>
                <w:rFonts w:ascii="Arial" w:hAnsi="Arial" w:cs="Arial"/>
                <w:sz w:val="24"/>
                <w:szCs w:val="24"/>
              </w:rPr>
              <w:t>Zepatier</w:t>
            </w:r>
            <w:proofErr w:type="spellEnd"/>
          </w:p>
        </w:tc>
        <w:tc>
          <w:tcPr>
            <w:tcW w:w="3150" w:type="dxa"/>
          </w:tcPr>
          <w:p w14:paraId="66485C95" w14:textId="77777777" w:rsidR="001506C1" w:rsidRPr="00FA3F9C" w:rsidRDefault="001506C1" w:rsidP="00B620ED">
            <w:pPr>
              <w:rPr>
                <w:rFonts w:ascii="Arial" w:hAnsi="Arial" w:cs="Arial"/>
                <w:sz w:val="24"/>
                <w:szCs w:val="24"/>
              </w:rPr>
            </w:pPr>
            <w:r w:rsidRPr="00FA3F9C">
              <w:rPr>
                <w:rFonts w:ascii="Arial" w:hAnsi="Arial" w:cs="Arial"/>
                <w:sz w:val="24"/>
                <w:szCs w:val="24"/>
              </w:rPr>
              <w:t>Elbasvir 50mg/grazoprevir 100mg</w:t>
            </w:r>
          </w:p>
          <w:p w14:paraId="0114B000" w14:textId="77777777" w:rsidR="001506C1" w:rsidRPr="00FA3F9C" w:rsidRDefault="001506C1" w:rsidP="00B620ED">
            <w:pPr>
              <w:rPr>
                <w:rFonts w:ascii="Arial" w:hAnsi="Arial" w:cs="Arial"/>
                <w:sz w:val="24"/>
                <w:szCs w:val="24"/>
              </w:rPr>
            </w:pPr>
          </w:p>
        </w:tc>
        <w:tc>
          <w:tcPr>
            <w:tcW w:w="1620" w:type="dxa"/>
          </w:tcPr>
          <w:p w14:paraId="11B0AABF" w14:textId="77777777" w:rsidR="001506C1" w:rsidRPr="00FA3F9C" w:rsidRDefault="001506C1" w:rsidP="00B620ED">
            <w:pPr>
              <w:rPr>
                <w:rFonts w:ascii="Arial" w:hAnsi="Arial" w:cs="Arial"/>
                <w:b/>
                <w:sz w:val="24"/>
                <w:szCs w:val="24"/>
              </w:rPr>
            </w:pPr>
            <w:r w:rsidRPr="00FA3F9C">
              <w:rPr>
                <w:rFonts w:ascii="Arial" w:hAnsi="Arial" w:cs="Arial"/>
                <w:sz w:val="24"/>
                <w:szCs w:val="24"/>
              </w:rPr>
              <w:t>1 tablet QD</w:t>
            </w:r>
          </w:p>
        </w:tc>
        <w:tc>
          <w:tcPr>
            <w:tcW w:w="8550" w:type="dxa"/>
          </w:tcPr>
          <w:p w14:paraId="41932473" w14:textId="77777777" w:rsidR="001506C1" w:rsidRPr="00FA3F9C" w:rsidRDefault="001506C1" w:rsidP="00B620ED">
            <w:pPr>
              <w:rPr>
                <w:rFonts w:ascii="Arial" w:hAnsi="Arial" w:cs="Arial"/>
                <w:b/>
                <w:sz w:val="24"/>
                <w:szCs w:val="24"/>
              </w:rPr>
            </w:pPr>
            <w:r w:rsidRPr="00FA3F9C">
              <w:rPr>
                <w:rFonts w:ascii="Arial" w:hAnsi="Arial" w:cs="Arial"/>
                <w:b/>
                <w:sz w:val="24"/>
                <w:szCs w:val="24"/>
                <w:highlight w:val="yellow"/>
              </w:rPr>
              <w:t>CONTRAINDICATED CHILD-PUGH B OR C</w:t>
            </w:r>
          </w:p>
          <w:p w14:paraId="44EA248F" w14:textId="77777777" w:rsidR="001506C1" w:rsidRPr="00FA3F9C" w:rsidRDefault="001506C1" w:rsidP="00B620ED">
            <w:pPr>
              <w:rPr>
                <w:rFonts w:ascii="Arial" w:hAnsi="Arial" w:cs="Arial"/>
                <w:b/>
                <w:sz w:val="24"/>
                <w:szCs w:val="24"/>
              </w:rPr>
            </w:pPr>
            <w:r w:rsidRPr="00FA3F9C">
              <w:rPr>
                <w:rFonts w:ascii="Arial" w:hAnsi="Arial" w:cs="Arial"/>
                <w:b/>
                <w:sz w:val="24"/>
                <w:szCs w:val="24"/>
              </w:rPr>
              <w:t xml:space="preserve">Treatment with or w/o </w:t>
            </w:r>
            <w:proofErr w:type="spellStart"/>
            <w:r w:rsidRPr="00FA3F9C">
              <w:rPr>
                <w:rFonts w:ascii="Arial" w:hAnsi="Arial" w:cs="Arial"/>
                <w:b/>
                <w:sz w:val="24"/>
                <w:szCs w:val="24"/>
              </w:rPr>
              <w:t>Riba</w:t>
            </w:r>
            <w:proofErr w:type="spellEnd"/>
            <w:r w:rsidRPr="00FA3F9C">
              <w:rPr>
                <w:rFonts w:ascii="Arial" w:hAnsi="Arial" w:cs="Arial"/>
                <w:b/>
                <w:sz w:val="24"/>
                <w:szCs w:val="24"/>
              </w:rPr>
              <w:t xml:space="preserve"> for GT 1 or 4 in adults</w:t>
            </w:r>
          </w:p>
        </w:tc>
      </w:tr>
      <w:tr w:rsidR="001506C1" w:rsidRPr="00FA3F9C" w14:paraId="071A2AD2" w14:textId="77777777" w:rsidTr="00055A23">
        <w:tc>
          <w:tcPr>
            <w:tcW w:w="1075" w:type="dxa"/>
          </w:tcPr>
          <w:p w14:paraId="61B8845F" w14:textId="77777777" w:rsidR="001506C1" w:rsidRPr="00FA3F9C" w:rsidRDefault="001506C1" w:rsidP="00B620ED">
            <w:pPr>
              <w:rPr>
                <w:rFonts w:ascii="Arial" w:hAnsi="Arial" w:cs="Arial"/>
                <w:b/>
                <w:sz w:val="24"/>
                <w:szCs w:val="24"/>
              </w:rPr>
            </w:pPr>
            <w:r w:rsidRPr="00FA3F9C">
              <w:rPr>
                <w:rFonts w:ascii="Arial" w:hAnsi="Arial" w:cs="Arial"/>
                <w:sz w:val="24"/>
                <w:szCs w:val="24"/>
              </w:rPr>
              <w:t>Harvoni</w:t>
            </w:r>
          </w:p>
        </w:tc>
        <w:tc>
          <w:tcPr>
            <w:tcW w:w="3150" w:type="dxa"/>
          </w:tcPr>
          <w:p w14:paraId="7EBB210D" w14:textId="77777777" w:rsidR="001506C1" w:rsidRPr="00FA3F9C" w:rsidRDefault="001506C1" w:rsidP="00B620ED">
            <w:pPr>
              <w:rPr>
                <w:rFonts w:ascii="Arial" w:hAnsi="Arial" w:cs="Arial"/>
                <w:sz w:val="24"/>
                <w:szCs w:val="24"/>
              </w:rPr>
            </w:pPr>
            <w:r w:rsidRPr="00FA3F9C">
              <w:rPr>
                <w:rFonts w:ascii="Arial" w:hAnsi="Arial" w:cs="Arial"/>
                <w:sz w:val="24"/>
                <w:szCs w:val="24"/>
              </w:rPr>
              <w:t>Ledipasvir 90mg/ sofosbuvir 400mg</w:t>
            </w:r>
          </w:p>
        </w:tc>
        <w:tc>
          <w:tcPr>
            <w:tcW w:w="1620" w:type="dxa"/>
          </w:tcPr>
          <w:p w14:paraId="6BEFE92E" w14:textId="77777777" w:rsidR="001506C1" w:rsidRPr="00FA3F9C" w:rsidRDefault="001506C1" w:rsidP="00B620ED">
            <w:pPr>
              <w:rPr>
                <w:rFonts w:ascii="Arial" w:hAnsi="Arial" w:cs="Arial"/>
                <w:sz w:val="24"/>
                <w:szCs w:val="24"/>
              </w:rPr>
            </w:pPr>
            <w:r w:rsidRPr="00FA3F9C">
              <w:rPr>
                <w:rFonts w:ascii="Arial" w:hAnsi="Arial" w:cs="Arial"/>
                <w:sz w:val="24"/>
                <w:szCs w:val="24"/>
              </w:rPr>
              <w:t>1 tablet QD</w:t>
            </w:r>
          </w:p>
        </w:tc>
        <w:tc>
          <w:tcPr>
            <w:tcW w:w="8550" w:type="dxa"/>
          </w:tcPr>
          <w:p w14:paraId="6DD1747B" w14:textId="77777777" w:rsidR="001506C1" w:rsidRPr="00FA3F9C" w:rsidRDefault="001506C1" w:rsidP="00B620ED">
            <w:pPr>
              <w:rPr>
                <w:rFonts w:ascii="Arial" w:hAnsi="Arial" w:cs="Arial"/>
                <w:b/>
                <w:sz w:val="24"/>
                <w:szCs w:val="24"/>
              </w:rPr>
            </w:pPr>
            <w:r w:rsidRPr="00FA3F9C">
              <w:rPr>
                <w:rFonts w:ascii="Arial" w:hAnsi="Arial" w:cs="Arial"/>
                <w:b/>
                <w:sz w:val="24"/>
                <w:szCs w:val="24"/>
                <w:highlight w:val="green"/>
              </w:rPr>
              <w:t>NO DOSE ADJ FOR ANY CHILD-PUGH ABC</w:t>
            </w:r>
          </w:p>
          <w:p w14:paraId="176E8CBF" w14:textId="77777777" w:rsidR="001506C1" w:rsidRPr="00FA3F9C" w:rsidRDefault="001506C1" w:rsidP="00B620ED">
            <w:pPr>
              <w:rPr>
                <w:rFonts w:ascii="Arial" w:hAnsi="Arial" w:cs="Arial"/>
                <w:b/>
                <w:sz w:val="24"/>
                <w:szCs w:val="24"/>
              </w:rPr>
            </w:pPr>
            <w:r w:rsidRPr="00FA3F9C">
              <w:rPr>
                <w:rFonts w:ascii="Arial" w:hAnsi="Arial" w:cs="Arial"/>
                <w:b/>
                <w:sz w:val="24"/>
                <w:szCs w:val="24"/>
              </w:rPr>
              <w:t xml:space="preserve">Treatment with or w/o </w:t>
            </w:r>
            <w:proofErr w:type="spellStart"/>
            <w:r w:rsidRPr="00FA3F9C">
              <w:rPr>
                <w:rFonts w:ascii="Arial" w:hAnsi="Arial" w:cs="Arial"/>
                <w:b/>
                <w:sz w:val="24"/>
                <w:szCs w:val="24"/>
              </w:rPr>
              <w:t>Riba</w:t>
            </w:r>
            <w:proofErr w:type="spellEnd"/>
            <w:r w:rsidRPr="00FA3F9C">
              <w:rPr>
                <w:rFonts w:ascii="Arial" w:hAnsi="Arial" w:cs="Arial"/>
                <w:b/>
                <w:sz w:val="24"/>
                <w:szCs w:val="24"/>
              </w:rPr>
              <w:t xml:space="preserve"> for chronic HCV GT 1, 4, 5, or 6 </w:t>
            </w:r>
            <w:proofErr w:type="gramStart"/>
            <w:r w:rsidRPr="00FA3F9C">
              <w:rPr>
                <w:rFonts w:ascii="Arial" w:hAnsi="Arial" w:cs="Arial"/>
                <w:b/>
                <w:sz w:val="24"/>
                <w:szCs w:val="24"/>
              </w:rPr>
              <w:t>infection</w:t>
            </w:r>
            <w:proofErr w:type="gramEnd"/>
          </w:p>
        </w:tc>
      </w:tr>
      <w:tr w:rsidR="001506C1" w:rsidRPr="00FA3F9C" w14:paraId="7DBA7A5C" w14:textId="77777777" w:rsidTr="00055A23">
        <w:tc>
          <w:tcPr>
            <w:tcW w:w="1075" w:type="dxa"/>
          </w:tcPr>
          <w:p w14:paraId="11E96CF2" w14:textId="77777777" w:rsidR="001506C1" w:rsidRPr="00FA3F9C" w:rsidRDefault="001506C1" w:rsidP="00B620ED">
            <w:pPr>
              <w:rPr>
                <w:rFonts w:ascii="Arial" w:hAnsi="Arial" w:cs="Arial"/>
                <w:sz w:val="24"/>
                <w:szCs w:val="24"/>
              </w:rPr>
            </w:pPr>
            <w:proofErr w:type="spellStart"/>
            <w:r w:rsidRPr="00FA3F9C">
              <w:rPr>
                <w:rFonts w:ascii="Arial" w:hAnsi="Arial" w:cs="Arial"/>
                <w:sz w:val="24"/>
                <w:szCs w:val="24"/>
              </w:rPr>
              <w:t>Viekira</w:t>
            </w:r>
            <w:proofErr w:type="spellEnd"/>
            <w:r w:rsidRPr="00FA3F9C">
              <w:rPr>
                <w:rFonts w:ascii="Arial" w:hAnsi="Arial" w:cs="Arial"/>
                <w:sz w:val="24"/>
                <w:szCs w:val="24"/>
              </w:rPr>
              <w:t xml:space="preserve"> Pak</w:t>
            </w:r>
          </w:p>
          <w:p w14:paraId="43052B4C" w14:textId="77777777" w:rsidR="001506C1" w:rsidRPr="00FA3F9C" w:rsidRDefault="001506C1" w:rsidP="00B620ED">
            <w:pPr>
              <w:rPr>
                <w:rFonts w:ascii="Arial" w:hAnsi="Arial" w:cs="Arial"/>
                <w:b/>
                <w:sz w:val="24"/>
                <w:szCs w:val="24"/>
              </w:rPr>
            </w:pPr>
            <w:r w:rsidRPr="00FA3F9C">
              <w:rPr>
                <w:rFonts w:ascii="Arial" w:hAnsi="Arial" w:cs="Arial"/>
                <w:sz w:val="24"/>
                <w:szCs w:val="24"/>
              </w:rPr>
              <w:t>(company’s website has only XR info)</w:t>
            </w:r>
          </w:p>
        </w:tc>
        <w:tc>
          <w:tcPr>
            <w:tcW w:w="3150" w:type="dxa"/>
          </w:tcPr>
          <w:p w14:paraId="385AE2F8" w14:textId="77777777" w:rsidR="001506C1" w:rsidRPr="00FA3F9C" w:rsidRDefault="001506C1" w:rsidP="00B620ED">
            <w:pPr>
              <w:rPr>
                <w:rFonts w:ascii="Arial" w:hAnsi="Arial" w:cs="Arial"/>
                <w:sz w:val="24"/>
                <w:szCs w:val="24"/>
              </w:rPr>
            </w:pPr>
            <w:proofErr w:type="spellStart"/>
            <w:r w:rsidRPr="00FA3F9C">
              <w:rPr>
                <w:rFonts w:ascii="Arial" w:hAnsi="Arial" w:cs="Arial"/>
                <w:sz w:val="24"/>
                <w:szCs w:val="24"/>
              </w:rPr>
              <w:t>Paritaprevir</w:t>
            </w:r>
            <w:proofErr w:type="spellEnd"/>
            <w:r w:rsidRPr="00FA3F9C">
              <w:rPr>
                <w:rFonts w:ascii="Arial" w:hAnsi="Arial" w:cs="Arial"/>
                <w:sz w:val="24"/>
                <w:szCs w:val="24"/>
              </w:rPr>
              <w:t xml:space="preserve"> 150/ritonavir 100mg/</w:t>
            </w:r>
            <w:proofErr w:type="spellStart"/>
            <w:r w:rsidRPr="00FA3F9C">
              <w:rPr>
                <w:rFonts w:ascii="Arial" w:hAnsi="Arial" w:cs="Arial"/>
                <w:sz w:val="24"/>
                <w:szCs w:val="24"/>
              </w:rPr>
              <w:t>ombitasvir</w:t>
            </w:r>
            <w:proofErr w:type="spellEnd"/>
            <w:r w:rsidRPr="00FA3F9C">
              <w:rPr>
                <w:rFonts w:ascii="Arial" w:hAnsi="Arial" w:cs="Arial"/>
                <w:sz w:val="24"/>
                <w:szCs w:val="24"/>
              </w:rPr>
              <w:t xml:space="preserve"> 25mg, + BID dasabuvir 250mg and </w:t>
            </w:r>
            <w:proofErr w:type="spellStart"/>
            <w:r w:rsidRPr="00FA3F9C">
              <w:rPr>
                <w:rFonts w:ascii="Arial" w:hAnsi="Arial" w:cs="Arial"/>
                <w:sz w:val="24"/>
                <w:szCs w:val="24"/>
              </w:rPr>
              <w:t>wt</w:t>
            </w:r>
            <w:proofErr w:type="spellEnd"/>
            <w:r w:rsidRPr="00FA3F9C">
              <w:rPr>
                <w:rFonts w:ascii="Arial" w:hAnsi="Arial" w:cs="Arial"/>
                <w:sz w:val="24"/>
                <w:szCs w:val="24"/>
              </w:rPr>
              <w:t xml:space="preserve">-based </w:t>
            </w:r>
            <w:proofErr w:type="spellStart"/>
            <w:r w:rsidRPr="00FA3F9C">
              <w:rPr>
                <w:rFonts w:ascii="Arial" w:hAnsi="Arial" w:cs="Arial"/>
                <w:sz w:val="24"/>
                <w:szCs w:val="24"/>
              </w:rPr>
              <w:t>Riba</w:t>
            </w:r>
            <w:proofErr w:type="spellEnd"/>
          </w:p>
        </w:tc>
        <w:tc>
          <w:tcPr>
            <w:tcW w:w="1620" w:type="dxa"/>
          </w:tcPr>
          <w:p w14:paraId="11C20E33" w14:textId="77777777" w:rsidR="001506C1" w:rsidRPr="00FA3F9C" w:rsidRDefault="001506C1" w:rsidP="00B620ED">
            <w:pPr>
              <w:rPr>
                <w:rFonts w:ascii="Arial" w:hAnsi="Arial" w:cs="Arial"/>
                <w:sz w:val="24"/>
                <w:szCs w:val="24"/>
              </w:rPr>
            </w:pPr>
            <w:r w:rsidRPr="00FA3F9C">
              <w:rPr>
                <w:rFonts w:ascii="Arial" w:hAnsi="Arial" w:cs="Arial"/>
                <w:sz w:val="24"/>
                <w:szCs w:val="24"/>
              </w:rPr>
              <w:t xml:space="preserve">2 tabs QD </w:t>
            </w:r>
          </w:p>
          <w:p w14:paraId="5CA786A7" w14:textId="77777777" w:rsidR="001506C1" w:rsidRPr="00FA3F9C" w:rsidRDefault="001506C1" w:rsidP="00B620ED">
            <w:pPr>
              <w:rPr>
                <w:rFonts w:ascii="Arial" w:hAnsi="Arial" w:cs="Arial"/>
                <w:sz w:val="24"/>
                <w:szCs w:val="24"/>
              </w:rPr>
            </w:pPr>
            <w:r w:rsidRPr="00FA3F9C">
              <w:rPr>
                <w:rFonts w:ascii="Arial" w:hAnsi="Arial" w:cs="Arial"/>
                <w:sz w:val="24"/>
                <w:szCs w:val="24"/>
              </w:rPr>
              <w:t xml:space="preserve">plus </w:t>
            </w:r>
          </w:p>
          <w:p w14:paraId="21E5A37D" w14:textId="77777777" w:rsidR="001506C1" w:rsidRPr="00FA3F9C" w:rsidRDefault="001506C1" w:rsidP="00B620ED">
            <w:pPr>
              <w:rPr>
                <w:rFonts w:ascii="Arial" w:hAnsi="Arial" w:cs="Arial"/>
                <w:sz w:val="24"/>
                <w:szCs w:val="24"/>
              </w:rPr>
            </w:pPr>
            <w:r w:rsidRPr="00FA3F9C">
              <w:rPr>
                <w:rFonts w:ascii="Arial" w:hAnsi="Arial" w:cs="Arial"/>
                <w:sz w:val="24"/>
                <w:szCs w:val="24"/>
              </w:rPr>
              <w:t>dasabuvir 1 BID</w:t>
            </w:r>
          </w:p>
          <w:p w14:paraId="01BDBEB1" w14:textId="77777777" w:rsidR="001506C1" w:rsidRPr="00FA3F9C" w:rsidRDefault="001506C1" w:rsidP="00B620ED">
            <w:pPr>
              <w:rPr>
                <w:rFonts w:ascii="Arial" w:hAnsi="Arial" w:cs="Arial"/>
                <w:sz w:val="24"/>
                <w:szCs w:val="24"/>
              </w:rPr>
            </w:pPr>
            <w:r w:rsidRPr="00FA3F9C">
              <w:rPr>
                <w:rFonts w:ascii="Arial" w:hAnsi="Arial" w:cs="Arial"/>
                <w:sz w:val="24"/>
                <w:szCs w:val="24"/>
              </w:rPr>
              <w:t>(</w:t>
            </w:r>
            <w:proofErr w:type="gramStart"/>
            <w:r w:rsidRPr="00FA3F9C">
              <w:rPr>
                <w:rFonts w:ascii="Arial" w:hAnsi="Arial" w:cs="Arial"/>
                <w:sz w:val="24"/>
                <w:szCs w:val="24"/>
              </w:rPr>
              <w:t>comes</w:t>
            </w:r>
            <w:proofErr w:type="gramEnd"/>
            <w:r w:rsidRPr="00FA3F9C">
              <w:rPr>
                <w:rFonts w:ascii="Arial" w:hAnsi="Arial" w:cs="Arial"/>
                <w:sz w:val="24"/>
                <w:szCs w:val="24"/>
              </w:rPr>
              <w:t xml:space="preserve"> in a pack)</w:t>
            </w:r>
          </w:p>
        </w:tc>
        <w:tc>
          <w:tcPr>
            <w:tcW w:w="8550" w:type="dxa"/>
          </w:tcPr>
          <w:p w14:paraId="67493C54" w14:textId="77777777" w:rsidR="001506C1" w:rsidRPr="00FA3F9C" w:rsidRDefault="001506C1" w:rsidP="00B620ED">
            <w:pPr>
              <w:rPr>
                <w:rFonts w:ascii="Arial" w:hAnsi="Arial" w:cs="Arial"/>
                <w:b/>
                <w:sz w:val="24"/>
                <w:szCs w:val="24"/>
              </w:rPr>
            </w:pPr>
            <w:r w:rsidRPr="00FA3F9C">
              <w:rPr>
                <w:rFonts w:ascii="Arial" w:hAnsi="Arial" w:cs="Arial"/>
                <w:b/>
                <w:sz w:val="24"/>
                <w:szCs w:val="24"/>
                <w:highlight w:val="yellow"/>
              </w:rPr>
              <w:t>CONTRAINDICATED CHILD PUGH B OR C</w:t>
            </w:r>
          </w:p>
          <w:p w14:paraId="7F9C4CEA" w14:textId="77777777" w:rsidR="001506C1" w:rsidRPr="00FA3F9C" w:rsidRDefault="001506C1" w:rsidP="00B620ED">
            <w:pPr>
              <w:rPr>
                <w:rFonts w:ascii="Arial" w:hAnsi="Arial" w:cs="Arial"/>
                <w:b/>
                <w:sz w:val="24"/>
                <w:szCs w:val="24"/>
              </w:rPr>
            </w:pPr>
            <w:r w:rsidRPr="00FA3F9C">
              <w:rPr>
                <w:rFonts w:ascii="Arial" w:hAnsi="Arial" w:cs="Arial"/>
                <w:b/>
                <w:sz w:val="24"/>
                <w:szCs w:val="24"/>
              </w:rPr>
              <w:t xml:space="preserve">Treatment of chronic HCV in adults, </w:t>
            </w:r>
          </w:p>
          <w:p w14:paraId="2A3F9B27" w14:textId="77777777" w:rsidR="001506C1" w:rsidRPr="00FA3F9C" w:rsidRDefault="001506C1" w:rsidP="001506C1">
            <w:pPr>
              <w:pStyle w:val="ListParagraph"/>
              <w:numPr>
                <w:ilvl w:val="0"/>
                <w:numId w:val="145"/>
              </w:numPr>
              <w:ind w:left="221" w:hanging="221"/>
              <w:rPr>
                <w:rFonts w:ascii="Arial" w:hAnsi="Arial" w:cs="Arial"/>
                <w:b/>
                <w:sz w:val="24"/>
                <w:szCs w:val="24"/>
              </w:rPr>
            </w:pPr>
            <w:r w:rsidRPr="00FA3F9C">
              <w:rPr>
                <w:rFonts w:ascii="Arial" w:hAnsi="Arial" w:cs="Arial"/>
                <w:b/>
                <w:sz w:val="24"/>
                <w:szCs w:val="24"/>
              </w:rPr>
              <w:t xml:space="preserve">GT 1b w/o cirrhosis or w/ compensated cirrhosis, or </w:t>
            </w:r>
          </w:p>
          <w:p w14:paraId="6530019B" w14:textId="77777777" w:rsidR="001506C1" w:rsidRPr="00FA3F9C" w:rsidRDefault="001506C1" w:rsidP="001506C1">
            <w:pPr>
              <w:pStyle w:val="ListParagraph"/>
              <w:numPr>
                <w:ilvl w:val="0"/>
                <w:numId w:val="145"/>
              </w:numPr>
              <w:ind w:left="221" w:hanging="221"/>
              <w:rPr>
                <w:rFonts w:ascii="Arial" w:hAnsi="Arial" w:cs="Arial"/>
                <w:b/>
                <w:sz w:val="24"/>
                <w:szCs w:val="24"/>
              </w:rPr>
            </w:pPr>
            <w:r w:rsidRPr="00FA3F9C">
              <w:rPr>
                <w:rFonts w:ascii="Arial" w:hAnsi="Arial" w:cs="Arial"/>
                <w:b/>
                <w:sz w:val="24"/>
                <w:szCs w:val="24"/>
              </w:rPr>
              <w:t>GT 1a w/o cirrhosis or w/ compensated cirrhosis for use in combo w/</w:t>
            </w:r>
            <w:proofErr w:type="spellStart"/>
            <w:r w:rsidRPr="00FA3F9C">
              <w:rPr>
                <w:rFonts w:ascii="Arial" w:hAnsi="Arial" w:cs="Arial"/>
                <w:b/>
                <w:sz w:val="24"/>
                <w:szCs w:val="24"/>
              </w:rPr>
              <w:t>Riba</w:t>
            </w:r>
            <w:proofErr w:type="spellEnd"/>
          </w:p>
        </w:tc>
      </w:tr>
      <w:tr w:rsidR="001506C1" w:rsidRPr="00FA3F9C" w14:paraId="76977CC4" w14:textId="77777777" w:rsidTr="00055A23">
        <w:trPr>
          <w:trHeight w:val="368"/>
        </w:trPr>
        <w:tc>
          <w:tcPr>
            <w:tcW w:w="1075" w:type="dxa"/>
          </w:tcPr>
          <w:p w14:paraId="75F52091" w14:textId="77777777" w:rsidR="001506C1" w:rsidRPr="00FA3F9C" w:rsidRDefault="001506C1" w:rsidP="00B620ED">
            <w:pPr>
              <w:rPr>
                <w:rFonts w:ascii="Arial" w:hAnsi="Arial" w:cs="Arial"/>
                <w:sz w:val="24"/>
                <w:szCs w:val="24"/>
              </w:rPr>
            </w:pPr>
            <w:proofErr w:type="spellStart"/>
            <w:r w:rsidRPr="00FA3F9C">
              <w:rPr>
                <w:rFonts w:ascii="Arial" w:hAnsi="Arial" w:cs="Arial"/>
                <w:sz w:val="24"/>
                <w:szCs w:val="24"/>
              </w:rPr>
              <w:t>Viekira</w:t>
            </w:r>
            <w:proofErr w:type="spellEnd"/>
            <w:r w:rsidRPr="00FA3F9C">
              <w:rPr>
                <w:rFonts w:ascii="Arial" w:hAnsi="Arial" w:cs="Arial"/>
                <w:sz w:val="24"/>
                <w:szCs w:val="24"/>
              </w:rPr>
              <w:t xml:space="preserve"> XR 24hour</w:t>
            </w:r>
          </w:p>
        </w:tc>
        <w:tc>
          <w:tcPr>
            <w:tcW w:w="3150" w:type="dxa"/>
          </w:tcPr>
          <w:p w14:paraId="57EF5256" w14:textId="77777777" w:rsidR="001506C1" w:rsidRPr="00FA3F9C" w:rsidRDefault="001506C1" w:rsidP="00B620ED">
            <w:pPr>
              <w:rPr>
                <w:rFonts w:ascii="Arial" w:hAnsi="Arial" w:cs="Arial"/>
                <w:sz w:val="24"/>
                <w:szCs w:val="24"/>
                <w:lang w:val="es-ES"/>
              </w:rPr>
            </w:pPr>
            <w:proofErr w:type="spellStart"/>
            <w:r w:rsidRPr="00FA3F9C">
              <w:rPr>
                <w:rFonts w:ascii="Arial" w:hAnsi="Arial" w:cs="Arial"/>
                <w:sz w:val="24"/>
                <w:szCs w:val="24"/>
                <w:lang w:val="es-ES"/>
              </w:rPr>
              <w:t>Ombitasvir</w:t>
            </w:r>
            <w:proofErr w:type="spellEnd"/>
            <w:r w:rsidRPr="00FA3F9C">
              <w:rPr>
                <w:rFonts w:ascii="Arial" w:hAnsi="Arial" w:cs="Arial"/>
                <w:sz w:val="24"/>
                <w:szCs w:val="24"/>
                <w:lang w:val="es-ES"/>
              </w:rPr>
              <w:t xml:space="preserve"> 8.33mg/</w:t>
            </w:r>
            <w:proofErr w:type="spellStart"/>
            <w:r w:rsidRPr="00FA3F9C">
              <w:rPr>
                <w:rFonts w:ascii="Arial" w:hAnsi="Arial" w:cs="Arial"/>
                <w:sz w:val="24"/>
                <w:szCs w:val="24"/>
                <w:lang w:val="es-ES"/>
              </w:rPr>
              <w:t>paritaprevir</w:t>
            </w:r>
            <w:proofErr w:type="spellEnd"/>
            <w:r w:rsidRPr="00FA3F9C">
              <w:rPr>
                <w:rFonts w:ascii="Arial" w:hAnsi="Arial" w:cs="Arial"/>
                <w:sz w:val="24"/>
                <w:szCs w:val="24"/>
                <w:lang w:val="es-ES"/>
              </w:rPr>
              <w:t xml:space="preserve"> 50mg/ ritonavir 33.33 mg/ </w:t>
            </w:r>
            <w:proofErr w:type="spellStart"/>
            <w:r w:rsidRPr="00FA3F9C">
              <w:rPr>
                <w:rFonts w:ascii="Arial" w:hAnsi="Arial" w:cs="Arial"/>
                <w:sz w:val="24"/>
                <w:szCs w:val="24"/>
                <w:lang w:val="es-ES"/>
              </w:rPr>
              <w:t>dasabuvir</w:t>
            </w:r>
            <w:proofErr w:type="spellEnd"/>
            <w:r w:rsidRPr="00FA3F9C">
              <w:rPr>
                <w:rFonts w:ascii="Arial" w:hAnsi="Arial" w:cs="Arial"/>
                <w:sz w:val="24"/>
                <w:szCs w:val="24"/>
                <w:lang w:val="es-ES"/>
              </w:rPr>
              <w:t xml:space="preserve"> 200mg</w:t>
            </w:r>
          </w:p>
        </w:tc>
        <w:tc>
          <w:tcPr>
            <w:tcW w:w="1620" w:type="dxa"/>
          </w:tcPr>
          <w:p w14:paraId="13368A3B" w14:textId="77777777" w:rsidR="001506C1" w:rsidRPr="00FA3F9C" w:rsidRDefault="001506C1" w:rsidP="00B620ED">
            <w:pPr>
              <w:rPr>
                <w:rFonts w:ascii="Arial" w:hAnsi="Arial" w:cs="Arial"/>
                <w:sz w:val="24"/>
                <w:szCs w:val="24"/>
              </w:rPr>
            </w:pPr>
            <w:r w:rsidRPr="00FA3F9C">
              <w:rPr>
                <w:rFonts w:ascii="Arial" w:hAnsi="Arial" w:cs="Arial"/>
                <w:sz w:val="24"/>
                <w:szCs w:val="24"/>
              </w:rPr>
              <w:t>3 tabs QD X 12w</w:t>
            </w:r>
          </w:p>
        </w:tc>
        <w:tc>
          <w:tcPr>
            <w:tcW w:w="8550" w:type="dxa"/>
          </w:tcPr>
          <w:p w14:paraId="2E61BCDF" w14:textId="77777777" w:rsidR="001506C1" w:rsidRPr="00FA3F9C" w:rsidRDefault="001506C1" w:rsidP="00B620ED">
            <w:pPr>
              <w:rPr>
                <w:rFonts w:ascii="Arial" w:hAnsi="Arial" w:cs="Arial"/>
                <w:b/>
                <w:sz w:val="24"/>
                <w:szCs w:val="24"/>
              </w:rPr>
            </w:pPr>
            <w:r w:rsidRPr="00FA3F9C">
              <w:rPr>
                <w:rFonts w:ascii="Arial" w:hAnsi="Arial" w:cs="Arial"/>
                <w:b/>
                <w:sz w:val="24"/>
                <w:szCs w:val="24"/>
                <w:highlight w:val="yellow"/>
              </w:rPr>
              <w:t>CONTRAINDICATED CHILD PUGH B OR C</w:t>
            </w:r>
          </w:p>
        </w:tc>
      </w:tr>
      <w:tr w:rsidR="001506C1" w:rsidRPr="00FA3F9C" w14:paraId="2D75D3C9" w14:textId="77777777" w:rsidTr="00055A23">
        <w:tc>
          <w:tcPr>
            <w:tcW w:w="1075" w:type="dxa"/>
          </w:tcPr>
          <w:p w14:paraId="2C9A6F87" w14:textId="77777777" w:rsidR="001506C1" w:rsidRPr="00FA3F9C" w:rsidRDefault="001506C1" w:rsidP="00B620ED">
            <w:pPr>
              <w:rPr>
                <w:rFonts w:ascii="Arial" w:hAnsi="Arial" w:cs="Arial"/>
                <w:b/>
                <w:sz w:val="24"/>
                <w:szCs w:val="24"/>
              </w:rPr>
            </w:pPr>
            <w:r w:rsidRPr="00FA3F9C">
              <w:rPr>
                <w:rFonts w:ascii="Arial" w:hAnsi="Arial" w:cs="Arial"/>
                <w:sz w:val="24"/>
                <w:szCs w:val="24"/>
              </w:rPr>
              <w:t>Epclusa</w:t>
            </w:r>
          </w:p>
        </w:tc>
        <w:tc>
          <w:tcPr>
            <w:tcW w:w="3150" w:type="dxa"/>
          </w:tcPr>
          <w:p w14:paraId="3BB55F7E" w14:textId="77777777" w:rsidR="001506C1" w:rsidRPr="00FA3F9C" w:rsidRDefault="001506C1" w:rsidP="00B620ED">
            <w:pPr>
              <w:rPr>
                <w:rFonts w:ascii="Arial" w:hAnsi="Arial" w:cs="Arial"/>
                <w:sz w:val="24"/>
                <w:szCs w:val="24"/>
              </w:rPr>
            </w:pPr>
            <w:r w:rsidRPr="00FA3F9C">
              <w:rPr>
                <w:rFonts w:ascii="Arial" w:hAnsi="Arial" w:cs="Arial"/>
                <w:sz w:val="24"/>
                <w:szCs w:val="24"/>
              </w:rPr>
              <w:t>Sofosbuvir 400mg/</w:t>
            </w:r>
            <w:proofErr w:type="spellStart"/>
            <w:r w:rsidRPr="00FA3F9C">
              <w:rPr>
                <w:rFonts w:ascii="Arial" w:hAnsi="Arial" w:cs="Arial"/>
                <w:sz w:val="24"/>
                <w:szCs w:val="24"/>
              </w:rPr>
              <w:t>velpatasvir</w:t>
            </w:r>
            <w:proofErr w:type="spellEnd"/>
            <w:r w:rsidRPr="00FA3F9C">
              <w:rPr>
                <w:rFonts w:ascii="Arial" w:hAnsi="Arial" w:cs="Arial"/>
                <w:sz w:val="24"/>
                <w:szCs w:val="24"/>
              </w:rPr>
              <w:t xml:space="preserve"> 100mg</w:t>
            </w:r>
          </w:p>
          <w:p w14:paraId="381D2942" w14:textId="77777777" w:rsidR="001506C1" w:rsidRPr="00FA3F9C" w:rsidRDefault="001506C1" w:rsidP="00B620ED">
            <w:pPr>
              <w:rPr>
                <w:rFonts w:ascii="Arial" w:hAnsi="Arial" w:cs="Arial"/>
                <w:sz w:val="24"/>
                <w:szCs w:val="24"/>
              </w:rPr>
            </w:pPr>
          </w:p>
        </w:tc>
        <w:tc>
          <w:tcPr>
            <w:tcW w:w="1620" w:type="dxa"/>
          </w:tcPr>
          <w:p w14:paraId="51C4A390" w14:textId="77777777" w:rsidR="001506C1" w:rsidRPr="00FA3F9C" w:rsidRDefault="001506C1" w:rsidP="00B620ED">
            <w:pPr>
              <w:rPr>
                <w:rFonts w:ascii="Arial" w:hAnsi="Arial" w:cs="Arial"/>
                <w:sz w:val="24"/>
                <w:szCs w:val="24"/>
              </w:rPr>
            </w:pPr>
            <w:r w:rsidRPr="00FA3F9C">
              <w:rPr>
                <w:rFonts w:ascii="Arial" w:hAnsi="Arial" w:cs="Arial"/>
                <w:sz w:val="24"/>
                <w:szCs w:val="24"/>
              </w:rPr>
              <w:t>1 tablet QD</w:t>
            </w:r>
          </w:p>
        </w:tc>
        <w:tc>
          <w:tcPr>
            <w:tcW w:w="8550" w:type="dxa"/>
          </w:tcPr>
          <w:p w14:paraId="7FC3BC4D" w14:textId="77777777" w:rsidR="001506C1" w:rsidRPr="00FA3F9C" w:rsidRDefault="001506C1" w:rsidP="00B620ED">
            <w:pPr>
              <w:rPr>
                <w:rFonts w:ascii="Arial" w:hAnsi="Arial" w:cs="Arial"/>
                <w:b/>
                <w:sz w:val="24"/>
                <w:szCs w:val="24"/>
              </w:rPr>
            </w:pPr>
            <w:r w:rsidRPr="00FA3F9C">
              <w:rPr>
                <w:rFonts w:ascii="Arial" w:hAnsi="Arial" w:cs="Arial"/>
                <w:b/>
                <w:sz w:val="24"/>
                <w:szCs w:val="24"/>
                <w:highlight w:val="green"/>
              </w:rPr>
              <w:t>NO DOSE ADJ FOR ANY CHILD-PUGH ABC</w:t>
            </w:r>
          </w:p>
          <w:p w14:paraId="131BD2E2" w14:textId="77777777" w:rsidR="001506C1" w:rsidRPr="00FA3F9C" w:rsidRDefault="001506C1" w:rsidP="00B620ED">
            <w:pPr>
              <w:rPr>
                <w:rFonts w:ascii="Arial" w:hAnsi="Arial" w:cs="Arial"/>
                <w:b/>
                <w:sz w:val="24"/>
                <w:szCs w:val="24"/>
              </w:rPr>
            </w:pPr>
            <w:r w:rsidRPr="00FA3F9C">
              <w:rPr>
                <w:rFonts w:ascii="Arial" w:hAnsi="Arial" w:cs="Arial"/>
                <w:b/>
                <w:sz w:val="24"/>
                <w:szCs w:val="24"/>
              </w:rPr>
              <w:t>Treatment of chronic HCV in adults, GT 1,2,3,4,5, or 6 w/o cirrhosis or w/ compensated cirrhosis or in combo w/ RBV in patients w/ decompensated cirrhosis</w:t>
            </w:r>
          </w:p>
        </w:tc>
      </w:tr>
      <w:tr w:rsidR="001506C1" w:rsidRPr="00FA3F9C" w14:paraId="6233A9A2" w14:textId="77777777" w:rsidTr="00055A23">
        <w:tc>
          <w:tcPr>
            <w:tcW w:w="1075" w:type="dxa"/>
          </w:tcPr>
          <w:p w14:paraId="1C4A9BE4" w14:textId="77777777" w:rsidR="001506C1" w:rsidRPr="00FA3F9C" w:rsidRDefault="001506C1" w:rsidP="00B620ED">
            <w:pPr>
              <w:rPr>
                <w:rFonts w:ascii="Arial" w:hAnsi="Arial" w:cs="Arial"/>
                <w:b/>
                <w:sz w:val="24"/>
                <w:szCs w:val="24"/>
              </w:rPr>
            </w:pPr>
            <w:proofErr w:type="spellStart"/>
            <w:r w:rsidRPr="00FA3F9C">
              <w:rPr>
                <w:rFonts w:ascii="Arial" w:hAnsi="Arial" w:cs="Arial"/>
                <w:sz w:val="24"/>
                <w:szCs w:val="24"/>
              </w:rPr>
              <w:t>Technivie</w:t>
            </w:r>
            <w:proofErr w:type="spellEnd"/>
          </w:p>
        </w:tc>
        <w:tc>
          <w:tcPr>
            <w:tcW w:w="3150" w:type="dxa"/>
          </w:tcPr>
          <w:p w14:paraId="754B3372" w14:textId="77777777" w:rsidR="001506C1" w:rsidRPr="00FA3F9C" w:rsidRDefault="001506C1" w:rsidP="00B620ED">
            <w:pPr>
              <w:rPr>
                <w:rFonts w:ascii="Arial" w:hAnsi="Arial" w:cs="Arial"/>
                <w:sz w:val="24"/>
                <w:szCs w:val="24"/>
                <w:lang w:val="es-ES"/>
              </w:rPr>
            </w:pPr>
            <w:proofErr w:type="spellStart"/>
            <w:r w:rsidRPr="00FA3F9C">
              <w:rPr>
                <w:rFonts w:ascii="Arial" w:hAnsi="Arial" w:cs="Arial"/>
                <w:sz w:val="24"/>
                <w:szCs w:val="24"/>
                <w:lang w:val="es-ES"/>
              </w:rPr>
              <w:t>Paritaprevir</w:t>
            </w:r>
            <w:proofErr w:type="spellEnd"/>
            <w:r w:rsidRPr="00FA3F9C">
              <w:rPr>
                <w:rFonts w:ascii="Arial" w:hAnsi="Arial" w:cs="Arial"/>
                <w:sz w:val="24"/>
                <w:szCs w:val="24"/>
                <w:lang w:val="es-ES"/>
              </w:rPr>
              <w:t xml:space="preserve"> 150/ritonavir 100mg/</w:t>
            </w:r>
            <w:proofErr w:type="spellStart"/>
            <w:r w:rsidRPr="00FA3F9C">
              <w:rPr>
                <w:rFonts w:ascii="Arial" w:hAnsi="Arial" w:cs="Arial"/>
                <w:sz w:val="24"/>
                <w:szCs w:val="24"/>
                <w:lang w:val="es-ES"/>
              </w:rPr>
              <w:t>ombitasvir</w:t>
            </w:r>
            <w:proofErr w:type="spellEnd"/>
            <w:r w:rsidRPr="00FA3F9C">
              <w:rPr>
                <w:rFonts w:ascii="Arial" w:hAnsi="Arial" w:cs="Arial"/>
                <w:sz w:val="24"/>
                <w:szCs w:val="24"/>
                <w:lang w:val="es-ES"/>
              </w:rPr>
              <w:t xml:space="preserve"> 25mg + </w:t>
            </w:r>
            <w:proofErr w:type="spellStart"/>
            <w:r w:rsidRPr="00FA3F9C">
              <w:rPr>
                <w:rFonts w:ascii="Arial" w:hAnsi="Arial" w:cs="Arial"/>
                <w:sz w:val="24"/>
                <w:szCs w:val="24"/>
                <w:lang w:val="es-ES"/>
              </w:rPr>
              <w:t>wt-based</w:t>
            </w:r>
            <w:proofErr w:type="spellEnd"/>
            <w:r w:rsidRPr="00FA3F9C">
              <w:rPr>
                <w:rFonts w:ascii="Arial" w:hAnsi="Arial" w:cs="Arial"/>
                <w:sz w:val="24"/>
                <w:szCs w:val="24"/>
                <w:lang w:val="es-ES"/>
              </w:rPr>
              <w:t xml:space="preserve"> Riba</w:t>
            </w:r>
          </w:p>
        </w:tc>
        <w:tc>
          <w:tcPr>
            <w:tcW w:w="1620" w:type="dxa"/>
          </w:tcPr>
          <w:p w14:paraId="61019067" w14:textId="77777777" w:rsidR="001506C1" w:rsidRPr="00FA3F9C" w:rsidRDefault="001506C1" w:rsidP="00B620ED">
            <w:pPr>
              <w:rPr>
                <w:rFonts w:ascii="Arial" w:hAnsi="Arial" w:cs="Arial"/>
                <w:sz w:val="24"/>
                <w:szCs w:val="24"/>
              </w:rPr>
            </w:pPr>
            <w:r w:rsidRPr="00FA3F9C">
              <w:rPr>
                <w:rFonts w:ascii="Arial" w:hAnsi="Arial" w:cs="Arial"/>
                <w:sz w:val="24"/>
                <w:szCs w:val="24"/>
              </w:rPr>
              <w:t>2 tablets QD</w:t>
            </w:r>
          </w:p>
        </w:tc>
        <w:tc>
          <w:tcPr>
            <w:tcW w:w="8550" w:type="dxa"/>
          </w:tcPr>
          <w:p w14:paraId="140DA027" w14:textId="77777777" w:rsidR="001506C1" w:rsidRPr="00FA3F9C" w:rsidRDefault="001506C1" w:rsidP="00B620ED">
            <w:pPr>
              <w:rPr>
                <w:rFonts w:ascii="Arial" w:hAnsi="Arial" w:cs="Arial"/>
                <w:b/>
                <w:sz w:val="24"/>
                <w:szCs w:val="24"/>
              </w:rPr>
            </w:pPr>
            <w:r w:rsidRPr="00FA3F9C">
              <w:rPr>
                <w:rFonts w:ascii="Arial" w:hAnsi="Arial" w:cs="Arial"/>
                <w:b/>
                <w:sz w:val="24"/>
                <w:szCs w:val="24"/>
                <w:highlight w:val="yellow"/>
              </w:rPr>
              <w:t>CONTRAINDICATED CHILD PUGH B OR C</w:t>
            </w:r>
          </w:p>
          <w:p w14:paraId="69C5BEC0" w14:textId="77777777" w:rsidR="001506C1" w:rsidRPr="00FA3F9C" w:rsidRDefault="001506C1" w:rsidP="00B620ED">
            <w:pPr>
              <w:rPr>
                <w:rFonts w:ascii="Arial" w:hAnsi="Arial" w:cs="Arial"/>
                <w:b/>
                <w:sz w:val="24"/>
                <w:szCs w:val="24"/>
                <w:highlight w:val="yellow"/>
              </w:rPr>
            </w:pPr>
            <w:r w:rsidRPr="00FA3F9C">
              <w:rPr>
                <w:rFonts w:ascii="Arial" w:hAnsi="Arial" w:cs="Arial"/>
                <w:b/>
                <w:sz w:val="24"/>
                <w:szCs w:val="24"/>
              </w:rPr>
              <w:t>Treatment of chronic HCV, GT4 without cirrhosis</w:t>
            </w:r>
          </w:p>
        </w:tc>
      </w:tr>
      <w:tr w:rsidR="001506C1" w:rsidRPr="00FA3F9C" w14:paraId="0E88BC8A" w14:textId="77777777" w:rsidTr="00055A23">
        <w:tc>
          <w:tcPr>
            <w:tcW w:w="1075" w:type="dxa"/>
          </w:tcPr>
          <w:p w14:paraId="72FF9C8A" w14:textId="77777777" w:rsidR="001506C1" w:rsidRPr="00FA3F9C" w:rsidRDefault="001506C1" w:rsidP="00B620ED">
            <w:pPr>
              <w:rPr>
                <w:rFonts w:ascii="Arial" w:hAnsi="Arial" w:cs="Arial"/>
                <w:sz w:val="24"/>
                <w:szCs w:val="24"/>
              </w:rPr>
            </w:pPr>
            <w:proofErr w:type="spellStart"/>
            <w:r w:rsidRPr="00FA3F9C">
              <w:rPr>
                <w:rFonts w:ascii="Arial" w:hAnsi="Arial" w:cs="Arial"/>
                <w:sz w:val="24"/>
                <w:szCs w:val="24"/>
              </w:rPr>
              <w:t>Mavyret</w:t>
            </w:r>
            <w:proofErr w:type="spellEnd"/>
          </w:p>
        </w:tc>
        <w:tc>
          <w:tcPr>
            <w:tcW w:w="3150" w:type="dxa"/>
          </w:tcPr>
          <w:p w14:paraId="53256187" w14:textId="77777777" w:rsidR="001506C1" w:rsidRPr="00FA3F9C" w:rsidRDefault="001506C1" w:rsidP="00B620ED">
            <w:pPr>
              <w:rPr>
                <w:rFonts w:ascii="Arial" w:hAnsi="Arial" w:cs="Arial"/>
                <w:sz w:val="24"/>
                <w:szCs w:val="24"/>
              </w:rPr>
            </w:pPr>
            <w:proofErr w:type="spellStart"/>
            <w:r w:rsidRPr="00FA3F9C">
              <w:rPr>
                <w:rFonts w:ascii="Arial" w:hAnsi="Arial" w:cs="Arial"/>
                <w:sz w:val="24"/>
                <w:szCs w:val="24"/>
              </w:rPr>
              <w:t>Glecaprevir</w:t>
            </w:r>
            <w:proofErr w:type="spellEnd"/>
            <w:r w:rsidRPr="00FA3F9C">
              <w:rPr>
                <w:rFonts w:ascii="Arial" w:hAnsi="Arial" w:cs="Arial"/>
                <w:sz w:val="24"/>
                <w:szCs w:val="24"/>
              </w:rPr>
              <w:t xml:space="preserve"> 100 mg/</w:t>
            </w:r>
            <w:proofErr w:type="spellStart"/>
            <w:r w:rsidRPr="00FA3F9C">
              <w:rPr>
                <w:rFonts w:ascii="Arial" w:hAnsi="Arial" w:cs="Arial"/>
                <w:sz w:val="24"/>
                <w:szCs w:val="24"/>
              </w:rPr>
              <w:t>pibrentasvir</w:t>
            </w:r>
            <w:proofErr w:type="spellEnd"/>
            <w:r w:rsidRPr="00FA3F9C">
              <w:rPr>
                <w:rFonts w:ascii="Arial" w:hAnsi="Arial" w:cs="Arial"/>
                <w:sz w:val="24"/>
                <w:szCs w:val="24"/>
              </w:rPr>
              <w:t xml:space="preserve"> 40 mg</w:t>
            </w:r>
          </w:p>
        </w:tc>
        <w:tc>
          <w:tcPr>
            <w:tcW w:w="1620" w:type="dxa"/>
          </w:tcPr>
          <w:p w14:paraId="5C1B5A93" w14:textId="77777777" w:rsidR="001506C1" w:rsidRPr="00FA3F9C" w:rsidRDefault="001506C1" w:rsidP="00B620ED">
            <w:pPr>
              <w:rPr>
                <w:rFonts w:ascii="Arial" w:hAnsi="Arial" w:cs="Arial"/>
                <w:sz w:val="24"/>
                <w:szCs w:val="24"/>
              </w:rPr>
            </w:pPr>
            <w:r w:rsidRPr="00FA3F9C">
              <w:rPr>
                <w:rFonts w:ascii="Arial" w:hAnsi="Arial" w:cs="Arial"/>
                <w:sz w:val="24"/>
                <w:szCs w:val="24"/>
              </w:rPr>
              <w:t>3 tablets QD</w:t>
            </w:r>
          </w:p>
        </w:tc>
        <w:tc>
          <w:tcPr>
            <w:tcW w:w="8550" w:type="dxa"/>
          </w:tcPr>
          <w:p w14:paraId="206E8DC6" w14:textId="77777777" w:rsidR="001506C1" w:rsidRPr="00FA3F9C" w:rsidRDefault="001506C1" w:rsidP="00B620ED">
            <w:pPr>
              <w:rPr>
                <w:rFonts w:ascii="Arial" w:hAnsi="Arial" w:cs="Arial"/>
                <w:b/>
                <w:sz w:val="24"/>
                <w:szCs w:val="24"/>
              </w:rPr>
            </w:pPr>
            <w:r w:rsidRPr="00FA3F9C">
              <w:rPr>
                <w:rFonts w:ascii="Arial" w:hAnsi="Arial" w:cs="Arial"/>
                <w:b/>
                <w:sz w:val="24"/>
                <w:szCs w:val="24"/>
                <w:highlight w:val="yellow"/>
              </w:rPr>
              <w:t>CONTRAINDICATED IN CHILD-PUGH B OR C</w:t>
            </w:r>
          </w:p>
          <w:p w14:paraId="4C41ACA3" w14:textId="77777777" w:rsidR="001506C1" w:rsidRPr="00FA3F9C" w:rsidRDefault="001506C1" w:rsidP="00B620ED">
            <w:pPr>
              <w:rPr>
                <w:rFonts w:ascii="Arial" w:hAnsi="Arial" w:cs="Arial"/>
                <w:b/>
                <w:sz w:val="24"/>
                <w:szCs w:val="24"/>
              </w:rPr>
            </w:pPr>
            <w:r w:rsidRPr="00FA3F9C">
              <w:rPr>
                <w:rFonts w:ascii="Arial" w:hAnsi="Arial" w:cs="Arial"/>
                <w:b/>
                <w:sz w:val="24"/>
                <w:szCs w:val="24"/>
              </w:rPr>
              <w:t xml:space="preserve">Tx of chronic HCV in </w:t>
            </w:r>
            <w:proofErr w:type="gramStart"/>
            <w:r w:rsidRPr="00FA3F9C">
              <w:rPr>
                <w:rFonts w:ascii="Arial" w:hAnsi="Arial" w:cs="Arial"/>
                <w:b/>
                <w:sz w:val="24"/>
                <w:szCs w:val="24"/>
              </w:rPr>
              <w:t>adults</w:t>
            </w:r>
            <w:proofErr w:type="gramEnd"/>
            <w:r w:rsidRPr="00FA3F9C">
              <w:rPr>
                <w:rFonts w:ascii="Arial" w:hAnsi="Arial" w:cs="Arial"/>
                <w:b/>
                <w:sz w:val="24"/>
                <w:szCs w:val="24"/>
              </w:rPr>
              <w:t xml:space="preserve"> w/ GT 1,2,3,4,5, or 6 w/ no cirrhosis or compensated cirrhosis Child-Pugh A. </w:t>
            </w:r>
            <w:proofErr w:type="gramStart"/>
            <w:r w:rsidRPr="00FA3F9C">
              <w:rPr>
                <w:rFonts w:ascii="Arial" w:hAnsi="Arial" w:cs="Arial"/>
                <w:b/>
                <w:sz w:val="24"/>
                <w:szCs w:val="24"/>
              </w:rPr>
              <w:t>Also</w:t>
            </w:r>
            <w:proofErr w:type="gramEnd"/>
            <w:r w:rsidRPr="00FA3F9C">
              <w:rPr>
                <w:rFonts w:ascii="Arial" w:hAnsi="Arial" w:cs="Arial"/>
                <w:b/>
                <w:sz w:val="24"/>
                <w:szCs w:val="24"/>
              </w:rPr>
              <w:t xml:space="preserve"> pts w/ GT1 previously </w:t>
            </w:r>
            <w:proofErr w:type="spellStart"/>
            <w:r w:rsidRPr="00FA3F9C">
              <w:rPr>
                <w:rFonts w:ascii="Arial" w:hAnsi="Arial" w:cs="Arial"/>
                <w:b/>
                <w:sz w:val="24"/>
                <w:szCs w:val="24"/>
              </w:rPr>
              <w:t>tx</w:t>
            </w:r>
            <w:proofErr w:type="spellEnd"/>
            <w:r w:rsidRPr="00FA3F9C">
              <w:rPr>
                <w:rFonts w:ascii="Arial" w:hAnsi="Arial" w:cs="Arial"/>
                <w:b/>
                <w:sz w:val="24"/>
                <w:szCs w:val="24"/>
              </w:rPr>
              <w:t xml:space="preserve"> w/ NS5A inhibitor or an NS3/4A protease inhibitor, but not both.</w:t>
            </w:r>
          </w:p>
        </w:tc>
      </w:tr>
      <w:tr w:rsidR="001506C1" w:rsidRPr="00FA3F9C" w14:paraId="5FE22740" w14:textId="77777777" w:rsidTr="00055A23">
        <w:tc>
          <w:tcPr>
            <w:tcW w:w="1075" w:type="dxa"/>
          </w:tcPr>
          <w:p w14:paraId="2EB5AD03" w14:textId="77777777" w:rsidR="001506C1" w:rsidRPr="00FA3F9C" w:rsidRDefault="001506C1" w:rsidP="00B620ED">
            <w:pPr>
              <w:rPr>
                <w:rFonts w:ascii="Arial" w:hAnsi="Arial" w:cs="Arial"/>
                <w:sz w:val="24"/>
                <w:szCs w:val="24"/>
              </w:rPr>
            </w:pPr>
            <w:proofErr w:type="spellStart"/>
            <w:r w:rsidRPr="00FA3F9C">
              <w:rPr>
                <w:rFonts w:ascii="Arial" w:hAnsi="Arial" w:cs="Arial"/>
                <w:sz w:val="24"/>
                <w:szCs w:val="24"/>
              </w:rPr>
              <w:lastRenderedPageBreak/>
              <w:t>Vosevi</w:t>
            </w:r>
            <w:proofErr w:type="spellEnd"/>
          </w:p>
        </w:tc>
        <w:tc>
          <w:tcPr>
            <w:tcW w:w="3150" w:type="dxa"/>
          </w:tcPr>
          <w:p w14:paraId="0ABB0C62" w14:textId="77777777" w:rsidR="001506C1" w:rsidRPr="00FA3F9C" w:rsidRDefault="001506C1" w:rsidP="00B620ED">
            <w:pPr>
              <w:rPr>
                <w:rFonts w:ascii="Arial" w:hAnsi="Arial" w:cs="Arial"/>
                <w:sz w:val="24"/>
                <w:szCs w:val="24"/>
                <w:lang w:val="es-ES"/>
              </w:rPr>
            </w:pPr>
            <w:proofErr w:type="spellStart"/>
            <w:r w:rsidRPr="00FA3F9C">
              <w:rPr>
                <w:rFonts w:ascii="Arial" w:hAnsi="Arial" w:cs="Arial"/>
                <w:sz w:val="24"/>
                <w:szCs w:val="24"/>
                <w:lang w:val="es-ES"/>
              </w:rPr>
              <w:t>Sofosbuvir</w:t>
            </w:r>
            <w:proofErr w:type="spellEnd"/>
            <w:r w:rsidRPr="00FA3F9C">
              <w:rPr>
                <w:rFonts w:ascii="Arial" w:hAnsi="Arial" w:cs="Arial"/>
                <w:sz w:val="24"/>
                <w:szCs w:val="24"/>
                <w:lang w:val="es-ES"/>
              </w:rPr>
              <w:t xml:space="preserve"> 400 mg, </w:t>
            </w:r>
            <w:proofErr w:type="spellStart"/>
            <w:r w:rsidRPr="00FA3F9C">
              <w:rPr>
                <w:rFonts w:ascii="Arial" w:hAnsi="Arial" w:cs="Arial"/>
                <w:sz w:val="24"/>
                <w:szCs w:val="24"/>
                <w:lang w:val="es-ES"/>
              </w:rPr>
              <w:t>velpatasvir</w:t>
            </w:r>
            <w:proofErr w:type="spellEnd"/>
            <w:r w:rsidRPr="00FA3F9C">
              <w:rPr>
                <w:rFonts w:ascii="Arial" w:hAnsi="Arial" w:cs="Arial"/>
                <w:sz w:val="24"/>
                <w:szCs w:val="24"/>
                <w:lang w:val="es-ES"/>
              </w:rPr>
              <w:t xml:space="preserve"> 100 mg, </w:t>
            </w:r>
            <w:proofErr w:type="spellStart"/>
            <w:r w:rsidRPr="00FA3F9C">
              <w:rPr>
                <w:rFonts w:ascii="Arial" w:hAnsi="Arial" w:cs="Arial"/>
                <w:sz w:val="24"/>
                <w:szCs w:val="24"/>
                <w:lang w:val="es-ES"/>
              </w:rPr>
              <w:t>voxilaprevir</w:t>
            </w:r>
            <w:proofErr w:type="spellEnd"/>
            <w:r w:rsidRPr="00FA3F9C">
              <w:rPr>
                <w:rFonts w:ascii="Arial" w:hAnsi="Arial" w:cs="Arial"/>
                <w:sz w:val="24"/>
                <w:szCs w:val="24"/>
                <w:lang w:val="es-ES"/>
              </w:rPr>
              <w:t xml:space="preserve"> 100 mg</w:t>
            </w:r>
          </w:p>
        </w:tc>
        <w:tc>
          <w:tcPr>
            <w:tcW w:w="1620" w:type="dxa"/>
          </w:tcPr>
          <w:p w14:paraId="44D6B93C" w14:textId="77777777" w:rsidR="001506C1" w:rsidRPr="00FA3F9C" w:rsidRDefault="001506C1" w:rsidP="00B620ED">
            <w:pPr>
              <w:rPr>
                <w:rFonts w:ascii="Arial" w:hAnsi="Arial" w:cs="Arial"/>
                <w:sz w:val="24"/>
                <w:szCs w:val="24"/>
              </w:rPr>
            </w:pPr>
            <w:r w:rsidRPr="00FA3F9C">
              <w:rPr>
                <w:rFonts w:ascii="Arial" w:hAnsi="Arial" w:cs="Arial"/>
                <w:sz w:val="24"/>
                <w:szCs w:val="24"/>
              </w:rPr>
              <w:t>1 tablet QD</w:t>
            </w:r>
          </w:p>
        </w:tc>
        <w:tc>
          <w:tcPr>
            <w:tcW w:w="8550" w:type="dxa"/>
          </w:tcPr>
          <w:p w14:paraId="7C8CFE06" w14:textId="77777777" w:rsidR="001506C1" w:rsidRPr="00FA3F9C" w:rsidRDefault="001506C1" w:rsidP="00B620ED">
            <w:pPr>
              <w:rPr>
                <w:rFonts w:ascii="Arial" w:hAnsi="Arial" w:cs="Arial"/>
                <w:b/>
                <w:sz w:val="24"/>
                <w:szCs w:val="24"/>
              </w:rPr>
            </w:pPr>
            <w:r w:rsidRPr="00FA3F9C">
              <w:rPr>
                <w:rFonts w:ascii="Arial" w:hAnsi="Arial" w:cs="Arial"/>
                <w:b/>
                <w:sz w:val="24"/>
                <w:szCs w:val="24"/>
                <w:highlight w:val="yellow"/>
              </w:rPr>
              <w:t xml:space="preserve">USE </w:t>
            </w:r>
            <w:r w:rsidRPr="00FA3F9C">
              <w:rPr>
                <w:rFonts w:ascii="Arial" w:hAnsi="Arial" w:cs="Arial"/>
                <w:b/>
                <w:sz w:val="24"/>
                <w:szCs w:val="24"/>
                <w:highlight w:val="cyan"/>
              </w:rPr>
              <w:t xml:space="preserve">NOT REC </w:t>
            </w:r>
            <w:r w:rsidRPr="00FA3F9C">
              <w:rPr>
                <w:rFonts w:ascii="Arial" w:hAnsi="Arial" w:cs="Arial"/>
                <w:b/>
                <w:sz w:val="24"/>
                <w:szCs w:val="24"/>
                <w:highlight w:val="yellow"/>
              </w:rPr>
              <w:t>IN CHILD PUGH B OR C</w:t>
            </w:r>
          </w:p>
          <w:p w14:paraId="47FA141B" w14:textId="77777777" w:rsidR="001506C1" w:rsidRPr="00FA3F9C" w:rsidRDefault="001506C1" w:rsidP="00B620ED">
            <w:pPr>
              <w:rPr>
                <w:rFonts w:ascii="Arial" w:hAnsi="Arial" w:cs="Arial"/>
                <w:b/>
                <w:sz w:val="24"/>
                <w:szCs w:val="24"/>
              </w:rPr>
            </w:pPr>
            <w:r w:rsidRPr="00FA3F9C">
              <w:rPr>
                <w:rFonts w:ascii="Arial" w:hAnsi="Arial" w:cs="Arial"/>
                <w:b/>
                <w:sz w:val="24"/>
                <w:szCs w:val="24"/>
              </w:rPr>
              <w:t xml:space="preserve">Adult </w:t>
            </w:r>
            <w:proofErr w:type="spellStart"/>
            <w:r w:rsidRPr="00FA3F9C">
              <w:rPr>
                <w:rFonts w:ascii="Arial" w:hAnsi="Arial" w:cs="Arial"/>
                <w:b/>
                <w:sz w:val="24"/>
                <w:szCs w:val="24"/>
              </w:rPr>
              <w:t>pt</w:t>
            </w:r>
            <w:proofErr w:type="spellEnd"/>
            <w:r w:rsidRPr="00FA3F9C">
              <w:rPr>
                <w:rFonts w:ascii="Arial" w:hAnsi="Arial" w:cs="Arial"/>
                <w:b/>
                <w:sz w:val="24"/>
                <w:szCs w:val="24"/>
              </w:rPr>
              <w:t xml:space="preserve"> w/ Chronic HCV w/o cirrhosis or w/ compensated cirrhosis GT 1-6. Only approved for GT1-6 AND HCV </w:t>
            </w:r>
            <w:proofErr w:type="spellStart"/>
            <w:r w:rsidRPr="00FA3F9C">
              <w:rPr>
                <w:rFonts w:ascii="Arial" w:hAnsi="Arial" w:cs="Arial"/>
                <w:b/>
                <w:sz w:val="24"/>
                <w:szCs w:val="24"/>
              </w:rPr>
              <w:t>tx</w:t>
            </w:r>
            <w:proofErr w:type="spellEnd"/>
            <w:r w:rsidRPr="00FA3F9C">
              <w:rPr>
                <w:rFonts w:ascii="Arial" w:hAnsi="Arial" w:cs="Arial"/>
                <w:b/>
                <w:sz w:val="24"/>
                <w:szCs w:val="24"/>
              </w:rPr>
              <w:t xml:space="preserve"> exp w/ NS5A inhibitor or GT1a or 3 </w:t>
            </w:r>
            <w:proofErr w:type="spellStart"/>
            <w:r w:rsidRPr="00FA3F9C">
              <w:rPr>
                <w:rFonts w:ascii="Arial" w:hAnsi="Arial" w:cs="Arial"/>
                <w:b/>
                <w:sz w:val="24"/>
                <w:szCs w:val="24"/>
              </w:rPr>
              <w:t>tx</w:t>
            </w:r>
            <w:proofErr w:type="spellEnd"/>
            <w:r w:rsidRPr="00FA3F9C">
              <w:rPr>
                <w:rFonts w:ascii="Arial" w:hAnsi="Arial" w:cs="Arial"/>
                <w:b/>
                <w:sz w:val="24"/>
                <w:szCs w:val="24"/>
              </w:rPr>
              <w:t xml:space="preserve"> exp w/ SOF w/o an NS5A inhibitor.</w:t>
            </w:r>
          </w:p>
        </w:tc>
      </w:tr>
    </w:tbl>
    <w:p w14:paraId="02089B1E" w14:textId="77777777" w:rsidR="001506C1" w:rsidRPr="00FA3F9C" w:rsidRDefault="001506C1" w:rsidP="00B620ED">
      <w:pPr>
        <w:jc w:val="both"/>
        <w:rPr>
          <w:rFonts w:ascii="Arial" w:hAnsi="Arial" w:cs="Arial"/>
          <w:sz w:val="24"/>
          <w:szCs w:val="24"/>
          <w:highlight w:val="yellow"/>
        </w:rPr>
      </w:pPr>
      <w:r w:rsidRPr="00FA3F9C">
        <w:rPr>
          <w:rFonts w:ascii="Arial" w:hAnsi="Arial" w:cs="Arial"/>
          <w:sz w:val="24"/>
          <w:szCs w:val="24"/>
        </w:rPr>
        <w:t xml:space="preserve">Combinations Available for </w:t>
      </w:r>
      <w:proofErr w:type="spellStart"/>
      <w:r w:rsidRPr="00FA3F9C">
        <w:rPr>
          <w:rFonts w:ascii="Arial" w:hAnsi="Arial" w:cs="Arial"/>
          <w:sz w:val="24"/>
          <w:szCs w:val="24"/>
        </w:rPr>
        <w:t>tx</w:t>
      </w:r>
      <w:proofErr w:type="spellEnd"/>
      <w:r w:rsidRPr="00FA3F9C">
        <w:rPr>
          <w:rFonts w:ascii="Arial" w:hAnsi="Arial" w:cs="Arial"/>
          <w:sz w:val="24"/>
          <w:szCs w:val="24"/>
        </w:rPr>
        <w:t xml:space="preserve"> of moderate or greater levels of cirrhosis: Harvoni, </w:t>
      </w:r>
      <w:proofErr w:type="spellStart"/>
      <w:r w:rsidRPr="00FA3F9C">
        <w:rPr>
          <w:rFonts w:ascii="Arial" w:hAnsi="Arial" w:cs="Arial"/>
          <w:sz w:val="24"/>
          <w:szCs w:val="24"/>
        </w:rPr>
        <w:t>Sovaldi</w:t>
      </w:r>
      <w:proofErr w:type="spellEnd"/>
      <w:r w:rsidRPr="00FA3F9C">
        <w:rPr>
          <w:rFonts w:ascii="Arial" w:hAnsi="Arial" w:cs="Arial"/>
          <w:sz w:val="24"/>
          <w:szCs w:val="24"/>
        </w:rPr>
        <w:t>, Epclusa</w:t>
      </w:r>
    </w:p>
    <w:p w14:paraId="1F3391B6" w14:textId="77777777" w:rsidR="001506C1" w:rsidRPr="00FA3F9C" w:rsidRDefault="001506C1" w:rsidP="00B620ED">
      <w:pPr>
        <w:jc w:val="both"/>
        <w:rPr>
          <w:rFonts w:ascii="Arial" w:hAnsi="Arial" w:cs="Arial"/>
          <w:sz w:val="24"/>
          <w:szCs w:val="24"/>
        </w:rPr>
      </w:pPr>
      <w:r w:rsidRPr="00FA3F9C">
        <w:rPr>
          <w:rFonts w:ascii="Arial" w:hAnsi="Arial" w:cs="Arial"/>
          <w:sz w:val="24"/>
          <w:szCs w:val="24"/>
        </w:rPr>
        <w:t xml:space="preserve">Combinations available for pts </w:t>
      </w:r>
      <w:proofErr w:type="spellStart"/>
      <w:r w:rsidRPr="00FA3F9C">
        <w:rPr>
          <w:rFonts w:ascii="Arial" w:hAnsi="Arial" w:cs="Arial"/>
          <w:sz w:val="24"/>
          <w:szCs w:val="24"/>
        </w:rPr>
        <w:t>tx</w:t>
      </w:r>
      <w:proofErr w:type="spellEnd"/>
      <w:r w:rsidRPr="00FA3F9C">
        <w:rPr>
          <w:rFonts w:ascii="Arial" w:hAnsi="Arial" w:cs="Arial"/>
          <w:sz w:val="24"/>
          <w:szCs w:val="24"/>
        </w:rPr>
        <w:t xml:space="preserve"> experienced with NS5A inhibitors: </w:t>
      </w:r>
      <w:proofErr w:type="spellStart"/>
      <w:r w:rsidRPr="00FA3F9C">
        <w:rPr>
          <w:rFonts w:ascii="Arial" w:hAnsi="Arial" w:cs="Arial"/>
          <w:sz w:val="24"/>
          <w:szCs w:val="24"/>
        </w:rPr>
        <w:t>Vosevi</w:t>
      </w:r>
      <w:proofErr w:type="spellEnd"/>
      <w:r w:rsidRPr="00FA3F9C">
        <w:rPr>
          <w:rFonts w:ascii="Arial" w:hAnsi="Arial" w:cs="Arial"/>
          <w:sz w:val="24"/>
          <w:szCs w:val="24"/>
        </w:rPr>
        <w:t xml:space="preserve">, </w:t>
      </w:r>
      <w:proofErr w:type="spellStart"/>
      <w:r w:rsidRPr="00FA3F9C">
        <w:rPr>
          <w:rFonts w:ascii="Arial" w:hAnsi="Arial" w:cs="Arial"/>
          <w:sz w:val="24"/>
          <w:szCs w:val="24"/>
        </w:rPr>
        <w:t>Mavyret</w:t>
      </w:r>
      <w:proofErr w:type="spellEnd"/>
    </w:p>
    <w:p w14:paraId="1869B55C" w14:textId="77777777" w:rsidR="001506C1" w:rsidRPr="00FA3F9C" w:rsidRDefault="001506C1" w:rsidP="00B620ED">
      <w:pPr>
        <w:jc w:val="both"/>
        <w:rPr>
          <w:rFonts w:ascii="Arial" w:hAnsi="Arial" w:cs="Arial"/>
          <w:sz w:val="24"/>
          <w:szCs w:val="24"/>
        </w:rPr>
      </w:pPr>
      <w:r w:rsidRPr="00FA3F9C">
        <w:rPr>
          <w:rFonts w:ascii="Arial" w:hAnsi="Arial" w:cs="Arial"/>
          <w:sz w:val="24"/>
          <w:szCs w:val="24"/>
        </w:rPr>
        <w:t xml:space="preserve">Tx for pts </w:t>
      </w:r>
      <w:proofErr w:type="spellStart"/>
      <w:r w:rsidRPr="00FA3F9C">
        <w:rPr>
          <w:rFonts w:ascii="Arial" w:hAnsi="Arial" w:cs="Arial"/>
          <w:sz w:val="24"/>
          <w:szCs w:val="24"/>
        </w:rPr>
        <w:t>tx</w:t>
      </w:r>
      <w:proofErr w:type="spellEnd"/>
      <w:r w:rsidRPr="00FA3F9C">
        <w:rPr>
          <w:rFonts w:ascii="Arial" w:hAnsi="Arial" w:cs="Arial"/>
          <w:sz w:val="24"/>
          <w:szCs w:val="24"/>
        </w:rPr>
        <w:t xml:space="preserve"> experienced with NS3/4A PI: Epclusa, </w:t>
      </w:r>
      <w:proofErr w:type="spellStart"/>
      <w:r w:rsidRPr="00FA3F9C">
        <w:rPr>
          <w:rFonts w:ascii="Arial" w:hAnsi="Arial" w:cs="Arial"/>
          <w:sz w:val="24"/>
          <w:szCs w:val="24"/>
        </w:rPr>
        <w:t>Vosevi</w:t>
      </w:r>
      <w:proofErr w:type="spellEnd"/>
      <w:r w:rsidRPr="00FA3F9C">
        <w:rPr>
          <w:rFonts w:ascii="Arial" w:hAnsi="Arial" w:cs="Arial"/>
          <w:sz w:val="24"/>
          <w:szCs w:val="24"/>
        </w:rPr>
        <w:t xml:space="preserve">, </w:t>
      </w:r>
      <w:proofErr w:type="spellStart"/>
      <w:r w:rsidRPr="00FA3F9C">
        <w:rPr>
          <w:rFonts w:ascii="Arial" w:hAnsi="Arial" w:cs="Arial"/>
          <w:sz w:val="24"/>
          <w:szCs w:val="24"/>
        </w:rPr>
        <w:t>Mavyret</w:t>
      </w:r>
      <w:proofErr w:type="spellEnd"/>
      <w:r w:rsidRPr="00FA3F9C">
        <w:rPr>
          <w:rFonts w:ascii="Arial" w:hAnsi="Arial" w:cs="Arial"/>
          <w:sz w:val="24"/>
          <w:szCs w:val="24"/>
        </w:rPr>
        <w:t xml:space="preserve"> (select patients)</w:t>
      </w:r>
    </w:p>
    <w:p w14:paraId="2A5F446B" w14:textId="77777777" w:rsidR="001506C1" w:rsidRPr="00FA3F9C" w:rsidRDefault="001506C1" w:rsidP="00200A0F">
      <w:pPr>
        <w:jc w:val="both"/>
        <w:rPr>
          <w:rFonts w:ascii="Arial" w:hAnsi="Arial" w:cs="Arial"/>
          <w:sz w:val="24"/>
          <w:szCs w:val="24"/>
        </w:rPr>
      </w:pPr>
    </w:p>
    <w:p w14:paraId="23D086FA" w14:textId="77777777" w:rsidR="001506C1" w:rsidRPr="00FA3F9C" w:rsidRDefault="001506C1" w:rsidP="00013F32">
      <w:pPr>
        <w:rPr>
          <w:rFonts w:ascii="Arial" w:hAnsi="Arial" w:cs="Arial"/>
          <w:sz w:val="24"/>
          <w:szCs w:val="24"/>
        </w:rPr>
      </w:pPr>
      <w:r w:rsidRPr="00FA3F9C">
        <w:rPr>
          <w:rFonts w:ascii="Arial" w:hAnsi="Arial" w:cs="Arial"/>
          <w:sz w:val="24"/>
          <w:szCs w:val="24"/>
          <w:highlight w:val="yellow"/>
        </w:rPr>
        <w:t>INITIAL THERAPY</w:t>
      </w:r>
    </w:p>
    <w:p w14:paraId="11D6F0F3" w14:textId="77777777" w:rsidR="001506C1" w:rsidRPr="00FA3F9C" w:rsidRDefault="001506C1" w:rsidP="00013F32">
      <w:pPr>
        <w:rPr>
          <w:rFonts w:ascii="Arial" w:hAnsi="Arial" w:cs="Arial"/>
          <w:sz w:val="24"/>
          <w:szCs w:val="24"/>
        </w:rPr>
      </w:pPr>
      <w:r w:rsidRPr="00FA3F9C">
        <w:rPr>
          <w:rFonts w:ascii="Arial" w:hAnsi="Arial" w:cs="Arial"/>
          <w:sz w:val="24"/>
          <w:szCs w:val="24"/>
        </w:rPr>
        <w:t>PM=polymorphism, TN=treatment naïve, SVR=sustained viral response, RAV=resistant-associated variant</w:t>
      </w:r>
    </w:p>
    <w:tbl>
      <w:tblPr>
        <w:tblStyle w:val="TableGrid"/>
        <w:tblW w:w="14215" w:type="dxa"/>
        <w:tblLayout w:type="fixed"/>
        <w:tblLook w:val="04A0" w:firstRow="1" w:lastRow="0" w:firstColumn="1" w:lastColumn="0" w:noHBand="0" w:noVBand="1"/>
      </w:tblPr>
      <w:tblGrid>
        <w:gridCol w:w="1525"/>
        <w:gridCol w:w="9270"/>
        <w:gridCol w:w="1710"/>
        <w:gridCol w:w="1710"/>
      </w:tblGrid>
      <w:tr w:rsidR="001506C1" w:rsidRPr="00FA3F9C" w14:paraId="5FBAD35D" w14:textId="77777777" w:rsidTr="00A1198B">
        <w:tc>
          <w:tcPr>
            <w:tcW w:w="1525" w:type="dxa"/>
            <w:tcBorders>
              <w:bottom w:val="single" w:sz="4" w:space="0" w:color="auto"/>
            </w:tcBorders>
          </w:tcPr>
          <w:p w14:paraId="7DE662BB" w14:textId="77777777" w:rsidR="001506C1" w:rsidRPr="00FA3F9C" w:rsidRDefault="001506C1" w:rsidP="003E53DA">
            <w:pPr>
              <w:jc w:val="center"/>
              <w:rPr>
                <w:rFonts w:ascii="Arial" w:hAnsi="Arial" w:cs="Arial"/>
                <w:sz w:val="24"/>
                <w:szCs w:val="24"/>
              </w:rPr>
            </w:pPr>
          </w:p>
        </w:tc>
        <w:tc>
          <w:tcPr>
            <w:tcW w:w="9270" w:type="dxa"/>
            <w:tcBorders>
              <w:bottom w:val="single" w:sz="4" w:space="0" w:color="auto"/>
            </w:tcBorders>
          </w:tcPr>
          <w:p w14:paraId="0A669294" w14:textId="77777777" w:rsidR="001506C1" w:rsidRPr="00FA3F9C" w:rsidRDefault="001506C1" w:rsidP="003E53DA">
            <w:pPr>
              <w:jc w:val="center"/>
              <w:rPr>
                <w:rFonts w:ascii="Arial" w:hAnsi="Arial" w:cs="Arial"/>
                <w:sz w:val="24"/>
                <w:szCs w:val="24"/>
              </w:rPr>
            </w:pPr>
            <w:r w:rsidRPr="00FA3F9C">
              <w:rPr>
                <w:rFonts w:ascii="Arial" w:hAnsi="Arial" w:cs="Arial"/>
                <w:sz w:val="24"/>
                <w:szCs w:val="24"/>
              </w:rPr>
              <w:t>Daily Drug Combination</w:t>
            </w:r>
          </w:p>
        </w:tc>
        <w:tc>
          <w:tcPr>
            <w:tcW w:w="1710" w:type="dxa"/>
            <w:tcBorders>
              <w:bottom w:val="single" w:sz="4" w:space="0" w:color="auto"/>
            </w:tcBorders>
          </w:tcPr>
          <w:p w14:paraId="1C11E7F2" w14:textId="77777777" w:rsidR="001506C1" w:rsidRPr="00FA3F9C" w:rsidRDefault="001506C1" w:rsidP="003E53DA">
            <w:pPr>
              <w:rPr>
                <w:rFonts w:ascii="Arial" w:hAnsi="Arial" w:cs="Arial"/>
                <w:sz w:val="24"/>
                <w:szCs w:val="24"/>
              </w:rPr>
            </w:pPr>
            <w:r w:rsidRPr="00FA3F9C">
              <w:rPr>
                <w:rFonts w:ascii="Arial" w:hAnsi="Arial" w:cs="Arial"/>
                <w:sz w:val="24"/>
                <w:szCs w:val="24"/>
              </w:rPr>
              <w:t>Duration (w)</w:t>
            </w:r>
          </w:p>
        </w:tc>
        <w:tc>
          <w:tcPr>
            <w:tcW w:w="1710" w:type="dxa"/>
            <w:tcBorders>
              <w:bottom w:val="single" w:sz="4" w:space="0" w:color="auto"/>
            </w:tcBorders>
          </w:tcPr>
          <w:p w14:paraId="75FC00E2" w14:textId="77777777" w:rsidR="001506C1" w:rsidRPr="00FA3F9C" w:rsidRDefault="001506C1" w:rsidP="003E53DA">
            <w:pPr>
              <w:rPr>
                <w:rFonts w:ascii="Arial" w:hAnsi="Arial" w:cs="Arial"/>
                <w:sz w:val="24"/>
                <w:szCs w:val="24"/>
              </w:rPr>
            </w:pPr>
            <w:r w:rsidRPr="00FA3F9C">
              <w:rPr>
                <w:rFonts w:ascii="Arial" w:hAnsi="Arial" w:cs="Arial"/>
                <w:sz w:val="24"/>
                <w:szCs w:val="24"/>
              </w:rPr>
              <w:t>Notes</w:t>
            </w:r>
          </w:p>
        </w:tc>
      </w:tr>
      <w:tr w:rsidR="001506C1" w:rsidRPr="00FA3F9C" w14:paraId="5BF29A1D" w14:textId="77777777" w:rsidTr="00A1198B">
        <w:tc>
          <w:tcPr>
            <w:tcW w:w="1525" w:type="dxa"/>
            <w:shd w:val="clear" w:color="auto" w:fill="000000" w:themeFill="text1"/>
          </w:tcPr>
          <w:p w14:paraId="1D4B7AF7" w14:textId="77777777" w:rsidR="001506C1" w:rsidRPr="00FA3F9C" w:rsidRDefault="001506C1" w:rsidP="003E53DA">
            <w:pPr>
              <w:rPr>
                <w:rFonts w:ascii="Arial" w:hAnsi="Arial" w:cs="Arial"/>
                <w:sz w:val="24"/>
                <w:szCs w:val="24"/>
              </w:rPr>
            </w:pPr>
          </w:p>
        </w:tc>
        <w:tc>
          <w:tcPr>
            <w:tcW w:w="9270" w:type="dxa"/>
            <w:shd w:val="clear" w:color="auto" w:fill="000000" w:themeFill="text1"/>
          </w:tcPr>
          <w:p w14:paraId="73B929F2" w14:textId="77777777" w:rsidR="001506C1" w:rsidRPr="00FA3F9C" w:rsidRDefault="001506C1" w:rsidP="003E53DA">
            <w:pPr>
              <w:rPr>
                <w:rFonts w:ascii="Arial" w:hAnsi="Arial" w:cs="Arial"/>
                <w:sz w:val="24"/>
                <w:szCs w:val="24"/>
              </w:rPr>
            </w:pPr>
            <w:r w:rsidRPr="00FA3F9C">
              <w:rPr>
                <w:rFonts w:ascii="Arial" w:hAnsi="Arial" w:cs="Arial"/>
                <w:sz w:val="24"/>
                <w:szCs w:val="24"/>
              </w:rPr>
              <w:t>GT1a, TN, NO Cirrhosis</w:t>
            </w:r>
          </w:p>
        </w:tc>
        <w:tc>
          <w:tcPr>
            <w:tcW w:w="1710" w:type="dxa"/>
            <w:shd w:val="clear" w:color="auto" w:fill="000000" w:themeFill="text1"/>
          </w:tcPr>
          <w:p w14:paraId="218B2F6A" w14:textId="77777777" w:rsidR="001506C1" w:rsidRPr="00FA3F9C" w:rsidRDefault="001506C1" w:rsidP="003E53DA">
            <w:pPr>
              <w:rPr>
                <w:rFonts w:ascii="Arial" w:hAnsi="Arial" w:cs="Arial"/>
                <w:sz w:val="24"/>
                <w:szCs w:val="24"/>
              </w:rPr>
            </w:pPr>
          </w:p>
        </w:tc>
        <w:tc>
          <w:tcPr>
            <w:tcW w:w="1710" w:type="dxa"/>
            <w:shd w:val="clear" w:color="auto" w:fill="000000" w:themeFill="text1"/>
          </w:tcPr>
          <w:p w14:paraId="73A6AAC7" w14:textId="77777777" w:rsidR="001506C1" w:rsidRPr="00FA3F9C" w:rsidRDefault="001506C1" w:rsidP="003E53DA">
            <w:pPr>
              <w:rPr>
                <w:rFonts w:ascii="Arial" w:eastAsia="Times New Roman" w:hAnsi="Arial" w:cs="Arial"/>
                <w:color w:val="000000"/>
                <w:sz w:val="24"/>
                <w:szCs w:val="24"/>
                <w:shd w:val="clear" w:color="auto" w:fill="FFFAF6"/>
              </w:rPr>
            </w:pPr>
          </w:p>
        </w:tc>
      </w:tr>
      <w:tr w:rsidR="001506C1" w:rsidRPr="00FA3F9C" w14:paraId="1285FB4E" w14:textId="77777777" w:rsidTr="00A1198B">
        <w:tc>
          <w:tcPr>
            <w:tcW w:w="1525" w:type="dxa"/>
            <w:shd w:val="clear" w:color="auto" w:fill="auto"/>
          </w:tcPr>
          <w:p w14:paraId="050F3443" w14:textId="77777777" w:rsidR="001506C1" w:rsidRPr="00FA3F9C" w:rsidRDefault="001506C1" w:rsidP="003E53DA">
            <w:pPr>
              <w:rPr>
                <w:rFonts w:ascii="Arial" w:hAnsi="Arial" w:cs="Arial"/>
                <w:sz w:val="24"/>
                <w:szCs w:val="24"/>
              </w:rPr>
            </w:pPr>
            <w:proofErr w:type="spellStart"/>
            <w:r w:rsidRPr="00FA3F9C">
              <w:rPr>
                <w:rFonts w:ascii="Arial" w:hAnsi="Arial" w:cs="Arial"/>
                <w:sz w:val="24"/>
                <w:szCs w:val="24"/>
              </w:rPr>
              <w:t>Zepatier</w:t>
            </w:r>
            <w:proofErr w:type="spellEnd"/>
          </w:p>
        </w:tc>
        <w:tc>
          <w:tcPr>
            <w:tcW w:w="9270" w:type="dxa"/>
            <w:shd w:val="clear" w:color="auto" w:fill="auto"/>
          </w:tcPr>
          <w:p w14:paraId="3354AD21" w14:textId="77777777" w:rsidR="001506C1" w:rsidRPr="00FA3F9C" w:rsidRDefault="001506C1" w:rsidP="003E53DA">
            <w:pPr>
              <w:rPr>
                <w:rFonts w:ascii="Arial" w:hAnsi="Arial" w:cs="Arial"/>
                <w:sz w:val="24"/>
                <w:szCs w:val="24"/>
              </w:rPr>
            </w:pPr>
            <w:r w:rsidRPr="00FA3F9C">
              <w:rPr>
                <w:rFonts w:ascii="Arial" w:hAnsi="Arial" w:cs="Arial"/>
                <w:sz w:val="24"/>
                <w:szCs w:val="24"/>
              </w:rPr>
              <w:t>Elbasvir 50mg/grazoprevir 100mg</w:t>
            </w:r>
          </w:p>
        </w:tc>
        <w:tc>
          <w:tcPr>
            <w:tcW w:w="1710" w:type="dxa"/>
            <w:shd w:val="clear" w:color="auto" w:fill="auto"/>
          </w:tcPr>
          <w:p w14:paraId="5282AD12" w14:textId="77777777" w:rsidR="001506C1" w:rsidRPr="00FA3F9C" w:rsidRDefault="001506C1" w:rsidP="003E53DA">
            <w:pPr>
              <w:rPr>
                <w:rFonts w:ascii="Arial" w:hAnsi="Arial" w:cs="Arial"/>
                <w:sz w:val="24"/>
                <w:szCs w:val="24"/>
              </w:rPr>
            </w:pPr>
            <w:r w:rsidRPr="00FA3F9C">
              <w:rPr>
                <w:rFonts w:ascii="Arial" w:hAnsi="Arial" w:cs="Arial"/>
                <w:sz w:val="24"/>
                <w:szCs w:val="24"/>
              </w:rPr>
              <w:t>12</w:t>
            </w:r>
          </w:p>
        </w:tc>
        <w:tc>
          <w:tcPr>
            <w:tcW w:w="1710" w:type="dxa"/>
            <w:shd w:val="clear" w:color="auto" w:fill="auto"/>
          </w:tcPr>
          <w:p w14:paraId="7A365C75" w14:textId="77777777" w:rsidR="001506C1" w:rsidRPr="00FA3F9C" w:rsidRDefault="001506C1" w:rsidP="003E53DA">
            <w:pPr>
              <w:rPr>
                <w:rFonts w:ascii="Arial" w:eastAsia="Times New Roman" w:hAnsi="Arial" w:cs="Arial"/>
                <w:sz w:val="24"/>
                <w:szCs w:val="24"/>
              </w:rPr>
            </w:pPr>
            <w:r w:rsidRPr="00FA3F9C">
              <w:rPr>
                <w:rFonts w:ascii="Arial" w:eastAsia="Times New Roman" w:hAnsi="Arial" w:cs="Arial"/>
                <w:color w:val="000000"/>
                <w:sz w:val="24"/>
                <w:szCs w:val="24"/>
                <w:shd w:val="clear" w:color="auto" w:fill="FFFAF6"/>
              </w:rPr>
              <w:t>Class I, A</w:t>
            </w:r>
          </w:p>
        </w:tc>
      </w:tr>
      <w:tr w:rsidR="001506C1" w:rsidRPr="00FA3F9C" w14:paraId="14E243B6" w14:textId="77777777" w:rsidTr="00A1198B">
        <w:trPr>
          <w:trHeight w:val="134"/>
        </w:trPr>
        <w:tc>
          <w:tcPr>
            <w:tcW w:w="1525" w:type="dxa"/>
            <w:shd w:val="clear" w:color="auto" w:fill="auto"/>
          </w:tcPr>
          <w:p w14:paraId="39068A1F" w14:textId="77777777" w:rsidR="001506C1" w:rsidRPr="00FA3F9C" w:rsidRDefault="001506C1" w:rsidP="00013F32">
            <w:pPr>
              <w:rPr>
                <w:rFonts w:ascii="Arial" w:hAnsi="Arial" w:cs="Arial"/>
                <w:sz w:val="24"/>
                <w:szCs w:val="24"/>
              </w:rPr>
            </w:pPr>
            <w:proofErr w:type="spellStart"/>
            <w:r w:rsidRPr="00FA3F9C">
              <w:rPr>
                <w:rFonts w:ascii="Arial" w:hAnsi="Arial" w:cs="Arial"/>
                <w:sz w:val="24"/>
                <w:szCs w:val="24"/>
              </w:rPr>
              <w:t>Mavyret</w:t>
            </w:r>
            <w:proofErr w:type="spellEnd"/>
          </w:p>
        </w:tc>
        <w:tc>
          <w:tcPr>
            <w:tcW w:w="9270" w:type="dxa"/>
            <w:shd w:val="clear" w:color="auto" w:fill="auto"/>
          </w:tcPr>
          <w:p w14:paraId="4AED963C" w14:textId="77777777" w:rsidR="001506C1" w:rsidRPr="00FA3F9C" w:rsidRDefault="001506C1" w:rsidP="00013F32">
            <w:pPr>
              <w:rPr>
                <w:rFonts w:ascii="Arial" w:hAnsi="Arial" w:cs="Arial"/>
                <w:sz w:val="24"/>
                <w:szCs w:val="24"/>
              </w:rPr>
            </w:pPr>
            <w:proofErr w:type="spellStart"/>
            <w:r w:rsidRPr="00FA3F9C">
              <w:rPr>
                <w:rFonts w:ascii="Arial" w:hAnsi="Arial" w:cs="Arial"/>
                <w:sz w:val="24"/>
                <w:szCs w:val="24"/>
              </w:rPr>
              <w:t>Glecaprevir</w:t>
            </w:r>
            <w:proofErr w:type="spellEnd"/>
            <w:r w:rsidRPr="00FA3F9C">
              <w:rPr>
                <w:rFonts w:ascii="Arial" w:hAnsi="Arial" w:cs="Arial"/>
                <w:sz w:val="24"/>
                <w:szCs w:val="24"/>
              </w:rPr>
              <w:t xml:space="preserve"> 300mg/</w:t>
            </w:r>
            <w:proofErr w:type="spellStart"/>
            <w:r w:rsidRPr="00FA3F9C">
              <w:rPr>
                <w:rFonts w:ascii="Arial" w:hAnsi="Arial" w:cs="Arial"/>
                <w:sz w:val="24"/>
                <w:szCs w:val="24"/>
              </w:rPr>
              <w:t>pibrentasvir</w:t>
            </w:r>
            <w:proofErr w:type="spellEnd"/>
            <w:r w:rsidRPr="00FA3F9C">
              <w:rPr>
                <w:rFonts w:ascii="Arial" w:hAnsi="Arial" w:cs="Arial"/>
                <w:sz w:val="24"/>
                <w:szCs w:val="24"/>
              </w:rPr>
              <w:t xml:space="preserve"> 120 mg</w:t>
            </w:r>
          </w:p>
        </w:tc>
        <w:tc>
          <w:tcPr>
            <w:tcW w:w="1710" w:type="dxa"/>
            <w:shd w:val="clear" w:color="auto" w:fill="auto"/>
          </w:tcPr>
          <w:p w14:paraId="17A966DF" w14:textId="77777777" w:rsidR="001506C1" w:rsidRPr="00FA3F9C" w:rsidRDefault="001506C1" w:rsidP="00013F32">
            <w:pPr>
              <w:rPr>
                <w:rFonts w:ascii="Arial" w:hAnsi="Arial" w:cs="Arial"/>
                <w:sz w:val="24"/>
                <w:szCs w:val="24"/>
              </w:rPr>
            </w:pPr>
            <w:r w:rsidRPr="00FA3F9C">
              <w:rPr>
                <w:rFonts w:ascii="Arial" w:hAnsi="Arial" w:cs="Arial"/>
                <w:sz w:val="24"/>
                <w:szCs w:val="24"/>
              </w:rPr>
              <w:t>8</w:t>
            </w:r>
          </w:p>
        </w:tc>
        <w:tc>
          <w:tcPr>
            <w:tcW w:w="1710" w:type="dxa"/>
            <w:shd w:val="clear" w:color="auto" w:fill="auto"/>
          </w:tcPr>
          <w:p w14:paraId="58DC4224" w14:textId="77777777" w:rsidR="001506C1" w:rsidRPr="00FA3F9C" w:rsidRDefault="001506C1" w:rsidP="00013F32">
            <w:pPr>
              <w:rPr>
                <w:rFonts w:ascii="Arial" w:eastAsia="Times New Roman" w:hAnsi="Arial" w:cs="Arial"/>
                <w:color w:val="000000"/>
                <w:sz w:val="24"/>
                <w:szCs w:val="24"/>
                <w:shd w:val="clear" w:color="auto" w:fill="FFFAF6"/>
              </w:rPr>
            </w:pPr>
            <w:r w:rsidRPr="00FA3F9C">
              <w:rPr>
                <w:rFonts w:ascii="Arial" w:eastAsia="Times New Roman" w:hAnsi="Arial" w:cs="Arial"/>
                <w:color w:val="000000"/>
                <w:sz w:val="24"/>
                <w:szCs w:val="24"/>
                <w:shd w:val="clear" w:color="auto" w:fill="FFFAF6"/>
              </w:rPr>
              <w:t>Class I, A</w:t>
            </w:r>
          </w:p>
        </w:tc>
      </w:tr>
      <w:tr w:rsidR="001506C1" w:rsidRPr="00FA3F9C" w14:paraId="68D6DD17" w14:textId="77777777" w:rsidTr="00A1198B">
        <w:trPr>
          <w:trHeight w:val="134"/>
        </w:trPr>
        <w:tc>
          <w:tcPr>
            <w:tcW w:w="1525" w:type="dxa"/>
            <w:shd w:val="clear" w:color="auto" w:fill="auto"/>
          </w:tcPr>
          <w:p w14:paraId="474C4E6B" w14:textId="77777777" w:rsidR="001506C1" w:rsidRPr="00FA3F9C" w:rsidRDefault="001506C1" w:rsidP="00013F32">
            <w:pPr>
              <w:rPr>
                <w:rFonts w:ascii="Arial" w:hAnsi="Arial" w:cs="Arial"/>
                <w:sz w:val="24"/>
                <w:szCs w:val="24"/>
              </w:rPr>
            </w:pPr>
            <w:r w:rsidRPr="00FA3F9C">
              <w:rPr>
                <w:rFonts w:ascii="Arial" w:hAnsi="Arial" w:cs="Arial"/>
                <w:sz w:val="24"/>
                <w:szCs w:val="24"/>
              </w:rPr>
              <w:t>Harvoni</w:t>
            </w:r>
          </w:p>
        </w:tc>
        <w:tc>
          <w:tcPr>
            <w:tcW w:w="9270" w:type="dxa"/>
            <w:shd w:val="clear" w:color="auto" w:fill="auto"/>
          </w:tcPr>
          <w:p w14:paraId="55694CA4" w14:textId="77777777" w:rsidR="001506C1" w:rsidRPr="00FA3F9C" w:rsidRDefault="001506C1" w:rsidP="00013F32">
            <w:pPr>
              <w:rPr>
                <w:rFonts w:ascii="Arial" w:hAnsi="Arial" w:cs="Arial"/>
                <w:sz w:val="24"/>
                <w:szCs w:val="24"/>
              </w:rPr>
            </w:pPr>
            <w:r w:rsidRPr="00FA3F9C">
              <w:rPr>
                <w:rFonts w:ascii="Arial" w:hAnsi="Arial" w:cs="Arial"/>
                <w:sz w:val="24"/>
                <w:szCs w:val="24"/>
              </w:rPr>
              <w:t>Ledipasvir 90mg/ sofosbuvir 400mg</w:t>
            </w:r>
          </w:p>
        </w:tc>
        <w:tc>
          <w:tcPr>
            <w:tcW w:w="1710" w:type="dxa"/>
            <w:shd w:val="clear" w:color="auto" w:fill="auto"/>
          </w:tcPr>
          <w:p w14:paraId="43AE0D63" w14:textId="77777777" w:rsidR="001506C1" w:rsidRPr="00FA3F9C" w:rsidRDefault="001506C1" w:rsidP="00013F32">
            <w:pPr>
              <w:rPr>
                <w:rFonts w:ascii="Arial" w:hAnsi="Arial" w:cs="Arial"/>
                <w:sz w:val="24"/>
                <w:szCs w:val="24"/>
              </w:rPr>
            </w:pPr>
            <w:r w:rsidRPr="00FA3F9C">
              <w:rPr>
                <w:rFonts w:ascii="Arial" w:hAnsi="Arial" w:cs="Arial"/>
                <w:sz w:val="24"/>
                <w:szCs w:val="24"/>
              </w:rPr>
              <w:t>12</w:t>
            </w:r>
          </w:p>
        </w:tc>
        <w:tc>
          <w:tcPr>
            <w:tcW w:w="1710" w:type="dxa"/>
            <w:shd w:val="clear" w:color="auto" w:fill="auto"/>
          </w:tcPr>
          <w:p w14:paraId="074478B1" w14:textId="77777777" w:rsidR="001506C1" w:rsidRPr="00FA3F9C" w:rsidRDefault="001506C1" w:rsidP="00013F32">
            <w:pPr>
              <w:rPr>
                <w:rFonts w:ascii="Arial" w:eastAsia="Times New Roman" w:hAnsi="Arial" w:cs="Arial"/>
                <w:sz w:val="24"/>
                <w:szCs w:val="24"/>
              </w:rPr>
            </w:pPr>
            <w:r w:rsidRPr="00FA3F9C">
              <w:rPr>
                <w:rFonts w:ascii="Arial" w:eastAsia="Times New Roman" w:hAnsi="Arial" w:cs="Arial"/>
                <w:color w:val="000000"/>
                <w:sz w:val="24"/>
                <w:szCs w:val="24"/>
                <w:shd w:val="clear" w:color="auto" w:fill="FFFAF6"/>
              </w:rPr>
              <w:t>Class I, A</w:t>
            </w:r>
          </w:p>
        </w:tc>
      </w:tr>
      <w:tr w:rsidR="001506C1" w:rsidRPr="00FA3F9C" w14:paraId="7EDDC51B" w14:textId="77777777" w:rsidTr="00A1198B">
        <w:tc>
          <w:tcPr>
            <w:tcW w:w="1525" w:type="dxa"/>
            <w:shd w:val="clear" w:color="auto" w:fill="auto"/>
          </w:tcPr>
          <w:p w14:paraId="15EC9D71" w14:textId="77777777" w:rsidR="001506C1" w:rsidRPr="00FA3F9C" w:rsidRDefault="001506C1" w:rsidP="00013F32">
            <w:pPr>
              <w:rPr>
                <w:rFonts w:ascii="Arial" w:hAnsi="Arial" w:cs="Arial"/>
                <w:sz w:val="24"/>
                <w:szCs w:val="24"/>
              </w:rPr>
            </w:pPr>
            <w:r w:rsidRPr="00FA3F9C">
              <w:rPr>
                <w:rFonts w:ascii="Arial" w:hAnsi="Arial" w:cs="Arial"/>
                <w:sz w:val="24"/>
                <w:szCs w:val="24"/>
              </w:rPr>
              <w:t>Harvoni</w:t>
            </w:r>
          </w:p>
        </w:tc>
        <w:tc>
          <w:tcPr>
            <w:tcW w:w="9270" w:type="dxa"/>
            <w:shd w:val="clear" w:color="auto" w:fill="auto"/>
          </w:tcPr>
          <w:p w14:paraId="3160A29C" w14:textId="77777777" w:rsidR="001506C1" w:rsidRPr="00FA3F9C" w:rsidRDefault="001506C1" w:rsidP="00013F32">
            <w:pPr>
              <w:rPr>
                <w:rFonts w:ascii="Arial" w:hAnsi="Arial" w:cs="Arial"/>
                <w:sz w:val="24"/>
                <w:szCs w:val="24"/>
              </w:rPr>
            </w:pPr>
            <w:r w:rsidRPr="00FA3F9C">
              <w:rPr>
                <w:rFonts w:ascii="Arial" w:hAnsi="Arial" w:cs="Arial"/>
                <w:sz w:val="24"/>
                <w:szCs w:val="24"/>
              </w:rPr>
              <w:t>Ledipasvir 90mg/ sofosbuvir 400mg (HIV-uninfected, whose HCV RNA is &lt;6mil IU/mL</w:t>
            </w:r>
          </w:p>
        </w:tc>
        <w:tc>
          <w:tcPr>
            <w:tcW w:w="1710" w:type="dxa"/>
            <w:shd w:val="clear" w:color="auto" w:fill="auto"/>
          </w:tcPr>
          <w:p w14:paraId="634B1B1A" w14:textId="77777777" w:rsidR="001506C1" w:rsidRPr="00FA3F9C" w:rsidRDefault="001506C1" w:rsidP="00013F32">
            <w:pPr>
              <w:rPr>
                <w:rFonts w:ascii="Arial" w:hAnsi="Arial" w:cs="Arial"/>
                <w:sz w:val="24"/>
                <w:szCs w:val="24"/>
              </w:rPr>
            </w:pPr>
            <w:r w:rsidRPr="00FA3F9C">
              <w:rPr>
                <w:rFonts w:ascii="Arial" w:hAnsi="Arial" w:cs="Arial"/>
                <w:sz w:val="24"/>
                <w:szCs w:val="24"/>
              </w:rPr>
              <w:t>8</w:t>
            </w:r>
          </w:p>
        </w:tc>
        <w:tc>
          <w:tcPr>
            <w:tcW w:w="1710" w:type="dxa"/>
            <w:shd w:val="clear" w:color="auto" w:fill="auto"/>
          </w:tcPr>
          <w:p w14:paraId="535BABE1" w14:textId="77777777" w:rsidR="001506C1" w:rsidRPr="00FA3F9C" w:rsidRDefault="001506C1" w:rsidP="00013F32">
            <w:pPr>
              <w:rPr>
                <w:rFonts w:ascii="Arial" w:eastAsia="Times New Roman" w:hAnsi="Arial" w:cs="Arial"/>
                <w:color w:val="000000"/>
                <w:sz w:val="24"/>
                <w:szCs w:val="24"/>
                <w:shd w:val="clear" w:color="auto" w:fill="FFFAF6"/>
              </w:rPr>
            </w:pPr>
            <w:r w:rsidRPr="00FA3F9C">
              <w:rPr>
                <w:rFonts w:ascii="Arial" w:eastAsia="Times New Roman" w:hAnsi="Arial" w:cs="Arial"/>
                <w:color w:val="000000"/>
                <w:sz w:val="24"/>
                <w:szCs w:val="24"/>
                <w:shd w:val="clear" w:color="auto" w:fill="FFFAF6"/>
              </w:rPr>
              <w:t>Class I, B</w:t>
            </w:r>
          </w:p>
        </w:tc>
      </w:tr>
      <w:tr w:rsidR="001506C1" w:rsidRPr="00FA3F9C" w14:paraId="3450BA63" w14:textId="77777777" w:rsidTr="00A1198B">
        <w:tc>
          <w:tcPr>
            <w:tcW w:w="1525" w:type="dxa"/>
            <w:shd w:val="clear" w:color="auto" w:fill="auto"/>
          </w:tcPr>
          <w:p w14:paraId="1CDF8C01" w14:textId="77777777" w:rsidR="001506C1" w:rsidRPr="00FA3F9C" w:rsidRDefault="001506C1" w:rsidP="00013F32">
            <w:pPr>
              <w:rPr>
                <w:rFonts w:ascii="Arial" w:hAnsi="Arial" w:cs="Arial"/>
                <w:sz w:val="24"/>
                <w:szCs w:val="24"/>
              </w:rPr>
            </w:pPr>
            <w:r w:rsidRPr="00FA3F9C">
              <w:rPr>
                <w:rFonts w:ascii="Arial" w:hAnsi="Arial" w:cs="Arial"/>
                <w:sz w:val="24"/>
                <w:szCs w:val="24"/>
              </w:rPr>
              <w:t>Epclusa</w:t>
            </w:r>
          </w:p>
        </w:tc>
        <w:tc>
          <w:tcPr>
            <w:tcW w:w="9270" w:type="dxa"/>
            <w:shd w:val="clear" w:color="auto" w:fill="auto"/>
          </w:tcPr>
          <w:p w14:paraId="470ACB1E" w14:textId="77777777" w:rsidR="001506C1" w:rsidRPr="00FA3F9C" w:rsidRDefault="001506C1" w:rsidP="00013F32">
            <w:pPr>
              <w:rPr>
                <w:rFonts w:ascii="Arial" w:hAnsi="Arial" w:cs="Arial"/>
                <w:sz w:val="24"/>
                <w:szCs w:val="24"/>
              </w:rPr>
            </w:pPr>
            <w:r w:rsidRPr="00FA3F9C">
              <w:rPr>
                <w:rFonts w:ascii="Arial" w:hAnsi="Arial" w:cs="Arial"/>
                <w:sz w:val="24"/>
                <w:szCs w:val="24"/>
              </w:rPr>
              <w:t>Sofosbuvir 400mg/</w:t>
            </w:r>
            <w:proofErr w:type="spellStart"/>
            <w:r w:rsidRPr="00FA3F9C">
              <w:rPr>
                <w:rFonts w:ascii="Arial" w:hAnsi="Arial" w:cs="Arial"/>
                <w:sz w:val="24"/>
                <w:szCs w:val="24"/>
              </w:rPr>
              <w:t>velpatasvir</w:t>
            </w:r>
            <w:proofErr w:type="spellEnd"/>
            <w:r w:rsidRPr="00FA3F9C">
              <w:rPr>
                <w:rFonts w:ascii="Arial" w:hAnsi="Arial" w:cs="Arial"/>
                <w:sz w:val="24"/>
                <w:szCs w:val="24"/>
              </w:rPr>
              <w:t xml:space="preserve"> 100mg</w:t>
            </w:r>
          </w:p>
        </w:tc>
        <w:tc>
          <w:tcPr>
            <w:tcW w:w="1710" w:type="dxa"/>
            <w:shd w:val="clear" w:color="auto" w:fill="auto"/>
          </w:tcPr>
          <w:p w14:paraId="041F260E" w14:textId="77777777" w:rsidR="001506C1" w:rsidRPr="00FA3F9C" w:rsidRDefault="001506C1" w:rsidP="00013F32">
            <w:pPr>
              <w:rPr>
                <w:rFonts w:ascii="Arial" w:hAnsi="Arial" w:cs="Arial"/>
                <w:sz w:val="24"/>
                <w:szCs w:val="24"/>
              </w:rPr>
            </w:pPr>
            <w:r w:rsidRPr="00FA3F9C">
              <w:rPr>
                <w:rFonts w:ascii="Arial" w:hAnsi="Arial" w:cs="Arial"/>
                <w:sz w:val="24"/>
                <w:szCs w:val="24"/>
              </w:rPr>
              <w:t>12</w:t>
            </w:r>
          </w:p>
        </w:tc>
        <w:tc>
          <w:tcPr>
            <w:tcW w:w="1710" w:type="dxa"/>
            <w:shd w:val="clear" w:color="auto" w:fill="auto"/>
          </w:tcPr>
          <w:p w14:paraId="3A0386A2" w14:textId="77777777" w:rsidR="001506C1" w:rsidRPr="00FA3F9C" w:rsidRDefault="001506C1" w:rsidP="00013F32">
            <w:pPr>
              <w:rPr>
                <w:rFonts w:ascii="Arial" w:eastAsia="Times New Roman" w:hAnsi="Arial" w:cs="Arial"/>
                <w:color w:val="000000"/>
                <w:sz w:val="24"/>
                <w:szCs w:val="24"/>
                <w:shd w:val="clear" w:color="auto" w:fill="FFFAF6"/>
              </w:rPr>
            </w:pPr>
            <w:r w:rsidRPr="00FA3F9C">
              <w:rPr>
                <w:rFonts w:ascii="Arial" w:eastAsia="Times New Roman" w:hAnsi="Arial" w:cs="Arial"/>
                <w:color w:val="000000"/>
                <w:sz w:val="24"/>
                <w:szCs w:val="24"/>
                <w:shd w:val="clear" w:color="auto" w:fill="FFFAF6"/>
              </w:rPr>
              <w:t>Class I, A</w:t>
            </w:r>
          </w:p>
        </w:tc>
      </w:tr>
      <w:tr w:rsidR="001506C1" w:rsidRPr="00FA3F9C" w14:paraId="6D02859B" w14:textId="77777777" w:rsidTr="00A1198B">
        <w:tc>
          <w:tcPr>
            <w:tcW w:w="1525" w:type="dxa"/>
            <w:tcBorders>
              <w:bottom w:val="single" w:sz="4" w:space="0" w:color="auto"/>
            </w:tcBorders>
          </w:tcPr>
          <w:p w14:paraId="180B3106" w14:textId="77777777" w:rsidR="001506C1" w:rsidRPr="00FA3F9C" w:rsidRDefault="001506C1" w:rsidP="00013F32">
            <w:pPr>
              <w:rPr>
                <w:rFonts w:ascii="Arial" w:hAnsi="Arial" w:cs="Arial"/>
                <w:sz w:val="24"/>
                <w:szCs w:val="24"/>
              </w:rPr>
            </w:pPr>
          </w:p>
        </w:tc>
        <w:tc>
          <w:tcPr>
            <w:tcW w:w="9270" w:type="dxa"/>
            <w:tcBorders>
              <w:bottom w:val="single" w:sz="4" w:space="0" w:color="auto"/>
            </w:tcBorders>
            <w:shd w:val="clear" w:color="auto" w:fill="auto"/>
          </w:tcPr>
          <w:p w14:paraId="00646A7B" w14:textId="77777777" w:rsidR="001506C1" w:rsidRPr="00FA3F9C" w:rsidRDefault="001506C1" w:rsidP="00013F32">
            <w:pPr>
              <w:rPr>
                <w:rFonts w:ascii="Arial" w:hAnsi="Arial" w:cs="Arial"/>
                <w:sz w:val="24"/>
                <w:szCs w:val="24"/>
              </w:rPr>
            </w:pPr>
          </w:p>
        </w:tc>
        <w:tc>
          <w:tcPr>
            <w:tcW w:w="1710" w:type="dxa"/>
            <w:tcBorders>
              <w:bottom w:val="single" w:sz="4" w:space="0" w:color="auto"/>
            </w:tcBorders>
            <w:shd w:val="clear" w:color="auto" w:fill="auto"/>
          </w:tcPr>
          <w:p w14:paraId="2755A61C" w14:textId="77777777" w:rsidR="001506C1" w:rsidRPr="00FA3F9C" w:rsidRDefault="001506C1" w:rsidP="00013F32">
            <w:pPr>
              <w:rPr>
                <w:rFonts w:ascii="Arial" w:hAnsi="Arial" w:cs="Arial"/>
                <w:sz w:val="24"/>
                <w:szCs w:val="24"/>
              </w:rPr>
            </w:pPr>
          </w:p>
        </w:tc>
        <w:tc>
          <w:tcPr>
            <w:tcW w:w="1710" w:type="dxa"/>
            <w:tcBorders>
              <w:bottom w:val="single" w:sz="4" w:space="0" w:color="auto"/>
            </w:tcBorders>
            <w:shd w:val="clear" w:color="auto" w:fill="auto"/>
          </w:tcPr>
          <w:p w14:paraId="1BD24735" w14:textId="77777777" w:rsidR="001506C1" w:rsidRPr="00FA3F9C" w:rsidRDefault="001506C1" w:rsidP="00013F32">
            <w:pPr>
              <w:rPr>
                <w:rFonts w:ascii="Arial" w:eastAsia="Times New Roman" w:hAnsi="Arial" w:cs="Arial"/>
                <w:color w:val="000000"/>
                <w:sz w:val="24"/>
                <w:szCs w:val="24"/>
                <w:shd w:val="clear" w:color="auto" w:fill="FFFAF6"/>
              </w:rPr>
            </w:pPr>
          </w:p>
        </w:tc>
      </w:tr>
      <w:tr w:rsidR="001506C1" w:rsidRPr="00FA3F9C" w14:paraId="1A01AA4A" w14:textId="77777777" w:rsidTr="00A1198B">
        <w:tc>
          <w:tcPr>
            <w:tcW w:w="1525" w:type="dxa"/>
            <w:shd w:val="clear" w:color="auto" w:fill="000000" w:themeFill="text1"/>
          </w:tcPr>
          <w:p w14:paraId="14CC84D8" w14:textId="77777777" w:rsidR="001506C1" w:rsidRPr="00FA3F9C" w:rsidRDefault="001506C1" w:rsidP="00013F32">
            <w:pPr>
              <w:rPr>
                <w:rFonts w:ascii="Arial" w:hAnsi="Arial" w:cs="Arial"/>
                <w:sz w:val="24"/>
                <w:szCs w:val="24"/>
              </w:rPr>
            </w:pPr>
          </w:p>
        </w:tc>
        <w:tc>
          <w:tcPr>
            <w:tcW w:w="9270" w:type="dxa"/>
            <w:shd w:val="clear" w:color="auto" w:fill="000000" w:themeFill="text1"/>
          </w:tcPr>
          <w:p w14:paraId="05111DED" w14:textId="77777777" w:rsidR="001506C1" w:rsidRPr="00FA3F9C" w:rsidRDefault="001506C1" w:rsidP="00013F32">
            <w:pPr>
              <w:rPr>
                <w:rFonts w:ascii="Arial" w:hAnsi="Arial" w:cs="Arial"/>
                <w:sz w:val="24"/>
                <w:szCs w:val="24"/>
              </w:rPr>
            </w:pPr>
            <w:r w:rsidRPr="00FA3F9C">
              <w:rPr>
                <w:rFonts w:ascii="Arial" w:hAnsi="Arial" w:cs="Arial"/>
                <w:sz w:val="24"/>
                <w:szCs w:val="24"/>
              </w:rPr>
              <w:t>GT1a, TN, COMPENSATED Cirrhosis</w:t>
            </w:r>
          </w:p>
        </w:tc>
        <w:tc>
          <w:tcPr>
            <w:tcW w:w="1710" w:type="dxa"/>
            <w:shd w:val="clear" w:color="auto" w:fill="000000" w:themeFill="text1"/>
          </w:tcPr>
          <w:p w14:paraId="7CB5BD33" w14:textId="77777777" w:rsidR="001506C1" w:rsidRPr="00FA3F9C" w:rsidRDefault="001506C1" w:rsidP="00013F32">
            <w:pPr>
              <w:rPr>
                <w:rFonts w:ascii="Arial" w:hAnsi="Arial" w:cs="Arial"/>
                <w:sz w:val="24"/>
                <w:szCs w:val="24"/>
              </w:rPr>
            </w:pPr>
          </w:p>
        </w:tc>
        <w:tc>
          <w:tcPr>
            <w:tcW w:w="1710" w:type="dxa"/>
            <w:shd w:val="clear" w:color="auto" w:fill="000000" w:themeFill="text1"/>
          </w:tcPr>
          <w:p w14:paraId="63283EE4" w14:textId="77777777" w:rsidR="001506C1" w:rsidRPr="00FA3F9C" w:rsidRDefault="001506C1" w:rsidP="00013F32">
            <w:pPr>
              <w:rPr>
                <w:rFonts w:ascii="Arial" w:eastAsia="Times New Roman" w:hAnsi="Arial" w:cs="Arial"/>
                <w:color w:val="000000"/>
                <w:sz w:val="24"/>
                <w:szCs w:val="24"/>
                <w:shd w:val="clear" w:color="auto" w:fill="FFFAF6"/>
              </w:rPr>
            </w:pPr>
          </w:p>
        </w:tc>
      </w:tr>
      <w:tr w:rsidR="001506C1" w:rsidRPr="00FA3F9C" w14:paraId="1670F393" w14:textId="77777777" w:rsidTr="00A1198B">
        <w:tc>
          <w:tcPr>
            <w:tcW w:w="1525" w:type="dxa"/>
            <w:shd w:val="clear" w:color="auto" w:fill="auto"/>
          </w:tcPr>
          <w:p w14:paraId="4CEE9D38" w14:textId="77777777" w:rsidR="001506C1" w:rsidRPr="00FA3F9C" w:rsidRDefault="001506C1" w:rsidP="00013F32">
            <w:pPr>
              <w:rPr>
                <w:rFonts w:ascii="Arial" w:hAnsi="Arial" w:cs="Arial"/>
                <w:sz w:val="24"/>
                <w:szCs w:val="24"/>
              </w:rPr>
            </w:pPr>
            <w:proofErr w:type="spellStart"/>
            <w:r w:rsidRPr="00FA3F9C">
              <w:rPr>
                <w:rFonts w:ascii="Arial" w:hAnsi="Arial" w:cs="Arial"/>
                <w:sz w:val="24"/>
                <w:szCs w:val="24"/>
              </w:rPr>
              <w:t>Zepatier</w:t>
            </w:r>
            <w:proofErr w:type="spellEnd"/>
          </w:p>
        </w:tc>
        <w:tc>
          <w:tcPr>
            <w:tcW w:w="9270" w:type="dxa"/>
            <w:shd w:val="clear" w:color="auto" w:fill="auto"/>
          </w:tcPr>
          <w:p w14:paraId="791239FE" w14:textId="77777777" w:rsidR="001506C1" w:rsidRPr="00FA3F9C" w:rsidRDefault="001506C1" w:rsidP="00013F32">
            <w:pPr>
              <w:rPr>
                <w:rFonts w:ascii="Arial" w:hAnsi="Arial" w:cs="Arial"/>
                <w:sz w:val="24"/>
                <w:szCs w:val="24"/>
              </w:rPr>
            </w:pPr>
            <w:r w:rsidRPr="00FA3F9C">
              <w:rPr>
                <w:rFonts w:ascii="Arial" w:hAnsi="Arial" w:cs="Arial"/>
                <w:sz w:val="24"/>
                <w:szCs w:val="24"/>
              </w:rPr>
              <w:t xml:space="preserve">Elbasvir 50mg/grazoprevir 100mg, for </w:t>
            </w:r>
            <w:proofErr w:type="gramStart"/>
            <w:r w:rsidRPr="00FA3F9C">
              <w:rPr>
                <w:rFonts w:ascii="Arial" w:hAnsi="Arial" w:cs="Arial"/>
                <w:sz w:val="24"/>
                <w:szCs w:val="24"/>
              </w:rPr>
              <w:t>patients</w:t>
            </w:r>
            <w:proofErr w:type="gramEnd"/>
            <w:r w:rsidRPr="00FA3F9C">
              <w:rPr>
                <w:rFonts w:ascii="Arial" w:hAnsi="Arial" w:cs="Arial"/>
                <w:sz w:val="24"/>
                <w:szCs w:val="24"/>
              </w:rPr>
              <w:t xml:space="preserve"> w/o baseline NS5A RASs for elbasvir</w:t>
            </w:r>
          </w:p>
        </w:tc>
        <w:tc>
          <w:tcPr>
            <w:tcW w:w="1710" w:type="dxa"/>
            <w:shd w:val="clear" w:color="auto" w:fill="auto"/>
          </w:tcPr>
          <w:p w14:paraId="4B47BE82" w14:textId="77777777" w:rsidR="001506C1" w:rsidRPr="00FA3F9C" w:rsidRDefault="001506C1" w:rsidP="00013F32">
            <w:pPr>
              <w:rPr>
                <w:rFonts w:ascii="Arial" w:hAnsi="Arial" w:cs="Arial"/>
                <w:sz w:val="24"/>
                <w:szCs w:val="24"/>
              </w:rPr>
            </w:pPr>
            <w:r w:rsidRPr="00FA3F9C">
              <w:rPr>
                <w:rFonts w:ascii="Arial" w:hAnsi="Arial" w:cs="Arial"/>
                <w:sz w:val="24"/>
                <w:szCs w:val="24"/>
              </w:rPr>
              <w:t>12</w:t>
            </w:r>
          </w:p>
        </w:tc>
        <w:tc>
          <w:tcPr>
            <w:tcW w:w="1710" w:type="dxa"/>
            <w:shd w:val="clear" w:color="auto" w:fill="auto"/>
          </w:tcPr>
          <w:p w14:paraId="1A64572C" w14:textId="77777777" w:rsidR="001506C1" w:rsidRPr="00FA3F9C" w:rsidRDefault="001506C1" w:rsidP="00013F32">
            <w:pPr>
              <w:rPr>
                <w:rFonts w:ascii="Arial" w:eastAsia="Times New Roman" w:hAnsi="Arial" w:cs="Arial"/>
                <w:sz w:val="24"/>
                <w:szCs w:val="24"/>
              </w:rPr>
            </w:pPr>
            <w:r w:rsidRPr="00FA3F9C">
              <w:rPr>
                <w:rFonts w:ascii="Arial" w:eastAsia="Times New Roman" w:hAnsi="Arial" w:cs="Arial"/>
                <w:color w:val="000000"/>
                <w:sz w:val="24"/>
                <w:szCs w:val="24"/>
                <w:shd w:val="clear" w:color="auto" w:fill="FFFAF6"/>
              </w:rPr>
              <w:t>Class I, A</w:t>
            </w:r>
          </w:p>
        </w:tc>
      </w:tr>
      <w:tr w:rsidR="001506C1" w:rsidRPr="00FA3F9C" w14:paraId="253E94BF" w14:textId="77777777" w:rsidTr="00A1198B">
        <w:tc>
          <w:tcPr>
            <w:tcW w:w="1525" w:type="dxa"/>
            <w:shd w:val="clear" w:color="auto" w:fill="auto"/>
          </w:tcPr>
          <w:p w14:paraId="063D17E9" w14:textId="77777777" w:rsidR="001506C1" w:rsidRPr="00FA3F9C" w:rsidRDefault="001506C1" w:rsidP="00055A23">
            <w:pPr>
              <w:rPr>
                <w:rFonts w:ascii="Arial" w:hAnsi="Arial" w:cs="Arial"/>
                <w:sz w:val="24"/>
                <w:szCs w:val="24"/>
              </w:rPr>
            </w:pPr>
            <w:r w:rsidRPr="00FA3F9C">
              <w:rPr>
                <w:rFonts w:ascii="Arial" w:hAnsi="Arial" w:cs="Arial"/>
                <w:sz w:val="24"/>
                <w:szCs w:val="24"/>
              </w:rPr>
              <w:t>Harvoni</w:t>
            </w:r>
          </w:p>
        </w:tc>
        <w:tc>
          <w:tcPr>
            <w:tcW w:w="9270" w:type="dxa"/>
            <w:shd w:val="clear" w:color="auto" w:fill="auto"/>
          </w:tcPr>
          <w:p w14:paraId="70CB0063" w14:textId="77777777" w:rsidR="001506C1" w:rsidRPr="00FA3F9C" w:rsidRDefault="001506C1" w:rsidP="00055A23">
            <w:pPr>
              <w:rPr>
                <w:rFonts w:ascii="Arial" w:hAnsi="Arial" w:cs="Arial"/>
                <w:sz w:val="24"/>
                <w:szCs w:val="24"/>
              </w:rPr>
            </w:pPr>
            <w:r w:rsidRPr="00FA3F9C">
              <w:rPr>
                <w:rFonts w:ascii="Arial" w:hAnsi="Arial" w:cs="Arial"/>
                <w:sz w:val="24"/>
                <w:szCs w:val="24"/>
              </w:rPr>
              <w:t>Ledipasvir 90mg/ sofosbuvir 400mg</w:t>
            </w:r>
          </w:p>
        </w:tc>
        <w:tc>
          <w:tcPr>
            <w:tcW w:w="1710" w:type="dxa"/>
            <w:shd w:val="clear" w:color="auto" w:fill="auto"/>
          </w:tcPr>
          <w:p w14:paraId="36DABF64" w14:textId="77777777" w:rsidR="001506C1" w:rsidRPr="00FA3F9C" w:rsidRDefault="001506C1" w:rsidP="00055A23">
            <w:pPr>
              <w:rPr>
                <w:rFonts w:ascii="Arial" w:hAnsi="Arial" w:cs="Arial"/>
                <w:sz w:val="24"/>
                <w:szCs w:val="24"/>
              </w:rPr>
            </w:pPr>
            <w:r w:rsidRPr="00FA3F9C">
              <w:rPr>
                <w:rFonts w:ascii="Arial" w:hAnsi="Arial" w:cs="Arial"/>
                <w:sz w:val="24"/>
                <w:szCs w:val="24"/>
              </w:rPr>
              <w:t>12</w:t>
            </w:r>
          </w:p>
        </w:tc>
        <w:tc>
          <w:tcPr>
            <w:tcW w:w="1710" w:type="dxa"/>
            <w:shd w:val="clear" w:color="auto" w:fill="auto"/>
          </w:tcPr>
          <w:p w14:paraId="00ED28B0" w14:textId="77777777" w:rsidR="001506C1" w:rsidRPr="00FA3F9C" w:rsidRDefault="001506C1" w:rsidP="00055A23">
            <w:pPr>
              <w:rPr>
                <w:rFonts w:ascii="Arial" w:eastAsia="Times New Roman" w:hAnsi="Arial" w:cs="Arial"/>
                <w:color w:val="000000"/>
                <w:sz w:val="24"/>
                <w:szCs w:val="24"/>
                <w:shd w:val="clear" w:color="auto" w:fill="FFFAF6"/>
              </w:rPr>
            </w:pPr>
            <w:r w:rsidRPr="00FA3F9C">
              <w:rPr>
                <w:rFonts w:ascii="Arial" w:eastAsia="Times New Roman" w:hAnsi="Arial" w:cs="Arial"/>
                <w:color w:val="000000"/>
                <w:sz w:val="24"/>
                <w:szCs w:val="24"/>
                <w:shd w:val="clear" w:color="auto" w:fill="FFFAF6"/>
              </w:rPr>
              <w:t>Class I, A</w:t>
            </w:r>
          </w:p>
        </w:tc>
      </w:tr>
      <w:tr w:rsidR="001506C1" w:rsidRPr="00FA3F9C" w14:paraId="245A9768" w14:textId="77777777" w:rsidTr="00A1198B">
        <w:tc>
          <w:tcPr>
            <w:tcW w:w="1525" w:type="dxa"/>
            <w:shd w:val="clear" w:color="auto" w:fill="auto"/>
          </w:tcPr>
          <w:p w14:paraId="6CDD2EB0" w14:textId="77777777" w:rsidR="001506C1" w:rsidRPr="00FA3F9C" w:rsidRDefault="001506C1" w:rsidP="00055A23">
            <w:pPr>
              <w:rPr>
                <w:rFonts w:ascii="Arial" w:hAnsi="Arial" w:cs="Arial"/>
                <w:sz w:val="24"/>
                <w:szCs w:val="24"/>
              </w:rPr>
            </w:pPr>
            <w:r w:rsidRPr="00FA3F9C">
              <w:rPr>
                <w:rFonts w:ascii="Arial" w:hAnsi="Arial" w:cs="Arial"/>
                <w:sz w:val="24"/>
                <w:szCs w:val="24"/>
              </w:rPr>
              <w:t>Epclusa</w:t>
            </w:r>
          </w:p>
        </w:tc>
        <w:tc>
          <w:tcPr>
            <w:tcW w:w="9270" w:type="dxa"/>
            <w:shd w:val="clear" w:color="auto" w:fill="auto"/>
          </w:tcPr>
          <w:p w14:paraId="7C551054" w14:textId="77777777" w:rsidR="001506C1" w:rsidRPr="00FA3F9C" w:rsidRDefault="001506C1" w:rsidP="00055A23">
            <w:pPr>
              <w:rPr>
                <w:rFonts w:ascii="Arial" w:hAnsi="Arial" w:cs="Arial"/>
                <w:sz w:val="24"/>
                <w:szCs w:val="24"/>
              </w:rPr>
            </w:pPr>
            <w:r w:rsidRPr="00FA3F9C">
              <w:rPr>
                <w:rFonts w:ascii="Arial" w:hAnsi="Arial" w:cs="Arial"/>
                <w:sz w:val="24"/>
                <w:szCs w:val="24"/>
              </w:rPr>
              <w:t>Sofosbuvir 400mg/</w:t>
            </w:r>
            <w:proofErr w:type="spellStart"/>
            <w:r w:rsidRPr="00FA3F9C">
              <w:rPr>
                <w:rFonts w:ascii="Arial" w:hAnsi="Arial" w:cs="Arial"/>
                <w:sz w:val="24"/>
                <w:szCs w:val="24"/>
              </w:rPr>
              <w:t>velpatasvir</w:t>
            </w:r>
            <w:proofErr w:type="spellEnd"/>
            <w:r w:rsidRPr="00FA3F9C">
              <w:rPr>
                <w:rFonts w:ascii="Arial" w:hAnsi="Arial" w:cs="Arial"/>
                <w:sz w:val="24"/>
                <w:szCs w:val="24"/>
              </w:rPr>
              <w:t xml:space="preserve"> 100mg</w:t>
            </w:r>
          </w:p>
        </w:tc>
        <w:tc>
          <w:tcPr>
            <w:tcW w:w="1710" w:type="dxa"/>
            <w:shd w:val="clear" w:color="auto" w:fill="auto"/>
          </w:tcPr>
          <w:p w14:paraId="66606ECF" w14:textId="77777777" w:rsidR="001506C1" w:rsidRPr="00FA3F9C" w:rsidRDefault="001506C1" w:rsidP="00055A23">
            <w:pPr>
              <w:rPr>
                <w:rFonts w:ascii="Arial" w:hAnsi="Arial" w:cs="Arial"/>
                <w:sz w:val="24"/>
                <w:szCs w:val="24"/>
              </w:rPr>
            </w:pPr>
            <w:r w:rsidRPr="00FA3F9C">
              <w:rPr>
                <w:rFonts w:ascii="Arial" w:hAnsi="Arial" w:cs="Arial"/>
                <w:sz w:val="24"/>
                <w:szCs w:val="24"/>
              </w:rPr>
              <w:t>12</w:t>
            </w:r>
          </w:p>
        </w:tc>
        <w:tc>
          <w:tcPr>
            <w:tcW w:w="1710" w:type="dxa"/>
            <w:shd w:val="clear" w:color="auto" w:fill="auto"/>
          </w:tcPr>
          <w:p w14:paraId="1C87E4A0" w14:textId="77777777" w:rsidR="001506C1" w:rsidRPr="00FA3F9C" w:rsidRDefault="001506C1" w:rsidP="00055A23">
            <w:pPr>
              <w:rPr>
                <w:rFonts w:ascii="Arial" w:eastAsia="Times New Roman" w:hAnsi="Arial" w:cs="Arial"/>
                <w:color w:val="000000"/>
                <w:sz w:val="24"/>
                <w:szCs w:val="24"/>
                <w:shd w:val="clear" w:color="auto" w:fill="FFFAF6"/>
              </w:rPr>
            </w:pPr>
            <w:r w:rsidRPr="00FA3F9C">
              <w:rPr>
                <w:rFonts w:ascii="Arial" w:eastAsia="Times New Roman" w:hAnsi="Arial" w:cs="Arial"/>
                <w:color w:val="000000"/>
                <w:sz w:val="24"/>
                <w:szCs w:val="24"/>
                <w:shd w:val="clear" w:color="auto" w:fill="FFFAF6"/>
              </w:rPr>
              <w:t>Class I, A</w:t>
            </w:r>
          </w:p>
        </w:tc>
      </w:tr>
      <w:tr w:rsidR="001506C1" w:rsidRPr="00FA3F9C" w14:paraId="793D1659" w14:textId="77777777" w:rsidTr="00A1198B">
        <w:tc>
          <w:tcPr>
            <w:tcW w:w="1525" w:type="dxa"/>
            <w:shd w:val="clear" w:color="auto" w:fill="auto"/>
          </w:tcPr>
          <w:p w14:paraId="426F3CFC" w14:textId="77777777" w:rsidR="001506C1" w:rsidRPr="00FA3F9C" w:rsidRDefault="001506C1" w:rsidP="00013F32">
            <w:pPr>
              <w:rPr>
                <w:rFonts w:ascii="Arial" w:hAnsi="Arial" w:cs="Arial"/>
                <w:sz w:val="24"/>
                <w:szCs w:val="24"/>
              </w:rPr>
            </w:pPr>
            <w:proofErr w:type="spellStart"/>
            <w:r w:rsidRPr="00FA3F9C">
              <w:rPr>
                <w:rFonts w:ascii="Arial" w:hAnsi="Arial" w:cs="Arial"/>
                <w:sz w:val="24"/>
                <w:szCs w:val="24"/>
              </w:rPr>
              <w:t>Mavyret</w:t>
            </w:r>
            <w:proofErr w:type="spellEnd"/>
          </w:p>
        </w:tc>
        <w:tc>
          <w:tcPr>
            <w:tcW w:w="9270" w:type="dxa"/>
            <w:shd w:val="clear" w:color="auto" w:fill="auto"/>
          </w:tcPr>
          <w:p w14:paraId="40835EF9" w14:textId="77777777" w:rsidR="001506C1" w:rsidRPr="00FA3F9C" w:rsidRDefault="001506C1" w:rsidP="00013F32">
            <w:pPr>
              <w:rPr>
                <w:rFonts w:ascii="Arial" w:hAnsi="Arial" w:cs="Arial"/>
                <w:sz w:val="24"/>
                <w:szCs w:val="24"/>
              </w:rPr>
            </w:pPr>
            <w:proofErr w:type="spellStart"/>
            <w:r w:rsidRPr="00FA3F9C">
              <w:rPr>
                <w:rFonts w:ascii="Arial" w:hAnsi="Arial" w:cs="Arial"/>
                <w:sz w:val="24"/>
                <w:szCs w:val="24"/>
              </w:rPr>
              <w:t>Glecaprevir</w:t>
            </w:r>
            <w:proofErr w:type="spellEnd"/>
            <w:r w:rsidRPr="00FA3F9C">
              <w:rPr>
                <w:rFonts w:ascii="Arial" w:hAnsi="Arial" w:cs="Arial"/>
                <w:sz w:val="24"/>
                <w:szCs w:val="24"/>
              </w:rPr>
              <w:t xml:space="preserve"> 300 mg/</w:t>
            </w:r>
            <w:proofErr w:type="spellStart"/>
            <w:r w:rsidRPr="00FA3F9C">
              <w:rPr>
                <w:rFonts w:ascii="Arial" w:hAnsi="Arial" w:cs="Arial"/>
                <w:sz w:val="24"/>
                <w:szCs w:val="24"/>
              </w:rPr>
              <w:t>pibrentasvir</w:t>
            </w:r>
            <w:proofErr w:type="spellEnd"/>
            <w:r w:rsidRPr="00FA3F9C">
              <w:rPr>
                <w:rFonts w:ascii="Arial" w:hAnsi="Arial" w:cs="Arial"/>
                <w:sz w:val="24"/>
                <w:szCs w:val="24"/>
              </w:rPr>
              <w:t xml:space="preserve"> 120 mg (Child-Pugh A)</w:t>
            </w:r>
          </w:p>
        </w:tc>
        <w:tc>
          <w:tcPr>
            <w:tcW w:w="1710" w:type="dxa"/>
            <w:shd w:val="clear" w:color="auto" w:fill="auto"/>
          </w:tcPr>
          <w:p w14:paraId="0ADF3E9E" w14:textId="77777777" w:rsidR="001506C1" w:rsidRPr="00FA3F9C" w:rsidRDefault="001506C1" w:rsidP="00013F32">
            <w:pPr>
              <w:rPr>
                <w:rFonts w:ascii="Arial" w:hAnsi="Arial" w:cs="Arial"/>
                <w:sz w:val="24"/>
                <w:szCs w:val="24"/>
              </w:rPr>
            </w:pPr>
            <w:r w:rsidRPr="00FA3F9C">
              <w:rPr>
                <w:rFonts w:ascii="Arial" w:hAnsi="Arial" w:cs="Arial"/>
                <w:sz w:val="24"/>
                <w:szCs w:val="24"/>
              </w:rPr>
              <w:t>8</w:t>
            </w:r>
          </w:p>
        </w:tc>
        <w:tc>
          <w:tcPr>
            <w:tcW w:w="1710" w:type="dxa"/>
            <w:shd w:val="clear" w:color="auto" w:fill="auto"/>
          </w:tcPr>
          <w:p w14:paraId="3171E3CE" w14:textId="77777777" w:rsidR="001506C1" w:rsidRPr="00FA3F9C" w:rsidRDefault="001506C1" w:rsidP="00013F32">
            <w:pPr>
              <w:rPr>
                <w:rFonts w:ascii="Arial" w:eastAsia="Times New Roman" w:hAnsi="Arial" w:cs="Arial"/>
                <w:color w:val="000000"/>
                <w:sz w:val="24"/>
                <w:szCs w:val="24"/>
                <w:shd w:val="clear" w:color="auto" w:fill="FFFAF6"/>
              </w:rPr>
            </w:pPr>
            <w:r w:rsidRPr="00FA3F9C">
              <w:rPr>
                <w:rFonts w:ascii="Arial" w:eastAsia="Times New Roman" w:hAnsi="Arial" w:cs="Arial"/>
                <w:color w:val="000000"/>
                <w:sz w:val="24"/>
                <w:szCs w:val="24"/>
                <w:shd w:val="clear" w:color="auto" w:fill="FFFAF6"/>
              </w:rPr>
              <w:t>Class I,B</w:t>
            </w:r>
          </w:p>
        </w:tc>
      </w:tr>
      <w:tr w:rsidR="001506C1" w:rsidRPr="00FA3F9C" w14:paraId="4795CDCA" w14:textId="77777777" w:rsidTr="00A1198B">
        <w:tc>
          <w:tcPr>
            <w:tcW w:w="1525" w:type="dxa"/>
            <w:shd w:val="clear" w:color="auto" w:fill="auto"/>
          </w:tcPr>
          <w:p w14:paraId="378F3D3C" w14:textId="77777777" w:rsidR="001506C1" w:rsidRPr="00FA3F9C" w:rsidRDefault="001506C1" w:rsidP="00013F32">
            <w:pPr>
              <w:rPr>
                <w:rFonts w:ascii="Arial" w:hAnsi="Arial" w:cs="Arial"/>
                <w:sz w:val="24"/>
                <w:szCs w:val="24"/>
              </w:rPr>
            </w:pPr>
          </w:p>
        </w:tc>
        <w:tc>
          <w:tcPr>
            <w:tcW w:w="9270" w:type="dxa"/>
            <w:shd w:val="clear" w:color="auto" w:fill="auto"/>
          </w:tcPr>
          <w:p w14:paraId="0D2CE5AA" w14:textId="77777777" w:rsidR="001506C1" w:rsidRPr="00FA3F9C" w:rsidRDefault="001506C1" w:rsidP="00013F32">
            <w:pPr>
              <w:rPr>
                <w:rFonts w:ascii="Arial" w:hAnsi="Arial" w:cs="Arial"/>
                <w:sz w:val="24"/>
                <w:szCs w:val="24"/>
              </w:rPr>
            </w:pPr>
          </w:p>
        </w:tc>
        <w:tc>
          <w:tcPr>
            <w:tcW w:w="1710" w:type="dxa"/>
            <w:shd w:val="clear" w:color="auto" w:fill="auto"/>
          </w:tcPr>
          <w:p w14:paraId="0E736D73" w14:textId="77777777" w:rsidR="001506C1" w:rsidRPr="00FA3F9C" w:rsidRDefault="001506C1" w:rsidP="00013F32">
            <w:pPr>
              <w:rPr>
                <w:rFonts w:ascii="Arial" w:hAnsi="Arial" w:cs="Arial"/>
                <w:sz w:val="24"/>
                <w:szCs w:val="24"/>
              </w:rPr>
            </w:pPr>
          </w:p>
        </w:tc>
        <w:tc>
          <w:tcPr>
            <w:tcW w:w="1710" w:type="dxa"/>
            <w:shd w:val="clear" w:color="auto" w:fill="auto"/>
          </w:tcPr>
          <w:p w14:paraId="7D3A7B36" w14:textId="77777777" w:rsidR="001506C1" w:rsidRPr="00FA3F9C" w:rsidRDefault="001506C1" w:rsidP="00013F32">
            <w:pPr>
              <w:rPr>
                <w:rFonts w:ascii="Arial" w:eastAsia="Times New Roman" w:hAnsi="Arial" w:cs="Arial"/>
                <w:sz w:val="24"/>
                <w:szCs w:val="24"/>
              </w:rPr>
            </w:pPr>
          </w:p>
        </w:tc>
      </w:tr>
      <w:tr w:rsidR="001506C1" w:rsidRPr="00FA3F9C" w14:paraId="62E98BB7" w14:textId="77777777" w:rsidTr="00A1198B">
        <w:tc>
          <w:tcPr>
            <w:tcW w:w="1525" w:type="dxa"/>
            <w:shd w:val="clear" w:color="auto" w:fill="000000" w:themeFill="text1"/>
          </w:tcPr>
          <w:p w14:paraId="59048BEF" w14:textId="77777777" w:rsidR="001506C1" w:rsidRPr="00FA3F9C" w:rsidRDefault="001506C1" w:rsidP="00013F32">
            <w:pPr>
              <w:rPr>
                <w:rFonts w:ascii="Arial" w:hAnsi="Arial" w:cs="Arial"/>
                <w:sz w:val="24"/>
                <w:szCs w:val="24"/>
              </w:rPr>
            </w:pPr>
          </w:p>
        </w:tc>
        <w:tc>
          <w:tcPr>
            <w:tcW w:w="9270" w:type="dxa"/>
            <w:shd w:val="clear" w:color="auto" w:fill="000000" w:themeFill="text1"/>
          </w:tcPr>
          <w:p w14:paraId="1E792997" w14:textId="77777777" w:rsidR="001506C1" w:rsidRPr="00FA3F9C" w:rsidRDefault="001506C1" w:rsidP="00013F32">
            <w:pPr>
              <w:rPr>
                <w:rFonts w:ascii="Arial" w:hAnsi="Arial" w:cs="Arial"/>
                <w:sz w:val="24"/>
                <w:szCs w:val="24"/>
              </w:rPr>
            </w:pPr>
            <w:r w:rsidRPr="00FA3F9C">
              <w:rPr>
                <w:rFonts w:ascii="Arial" w:hAnsi="Arial" w:cs="Arial"/>
                <w:sz w:val="24"/>
                <w:szCs w:val="24"/>
              </w:rPr>
              <w:t>GT1b, TN, NO Cirrhosis</w:t>
            </w:r>
          </w:p>
        </w:tc>
        <w:tc>
          <w:tcPr>
            <w:tcW w:w="1710" w:type="dxa"/>
            <w:shd w:val="clear" w:color="auto" w:fill="000000" w:themeFill="text1"/>
          </w:tcPr>
          <w:p w14:paraId="293D5090" w14:textId="77777777" w:rsidR="001506C1" w:rsidRPr="00FA3F9C" w:rsidRDefault="001506C1" w:rsidP="00013F32">
            <w:pPr>
              <w:rPr>
                <w:rFonts w:ascii="Arial" w:hAnsi="Arial" w:cs="Arial"/>
                <w:sz w:val="24"/>
                <w:szCs w:val="24"/>
              </w:rPr>
            </w:pPr>
          </w:p>
        </w:tc>
        <w:tc>
          <w:tcPr>
            <w:tcW w:w="1710" w:type="dxa"/>
            <w:shd w:val="clear" w:color="auto" w:fill="000000" w:themeFill="text1"/>
          </w:tcPr>
          <w:p w14:paraId="30485B76" w14:textId="77777777" w:rsidR="001506C1" w:rsidRPr="00FA3F9C" w:rsidRDefault="001506C1" w:rsidP="00013F32">
            <w:pPr>
              <w:rPr>
                <w:rFonts w:ascii="Arial" w:eastAsia="Times New Roman" w:hAnsi="Arial" w:cs="Arial"/>
                <w:color w:val="000000"/>
                <w:sz w:val="24"/>
                <w:szCs w:val="24"/>
                <w:shd w:val="clear" w:color="auto" w:fill="FFFAF6"/>
              </w:rPr>
            </w:pPr>
          </w:p>
        </w:tc>
      </w:tr>
      <w:tr w:rsidR="001506C1" w:rsidRPr="00FA3F9C" w14:paraId="4D22828A" w14:textId="77777777" w:rsidTr="00A1198B">
        <w:tc>
          <w:tcPr>
            <w:tcW w:w="1525" w:type="dxa"/>
            <w:shd w:val="clear" w:color="auto" w:fill="auto"/>
          </w:tcPr>
          <w:p w14:paraId="34A1E11E" w14:textId="77777777" w:rsidR="001506C1" w:rsidRPr="00FA3F9C" w:rsidRDefault="001506C1" w:rsidP="00013F32">
            <w:pPr>
              <w:rPr>
                <w:rFonts w:ascii="Arial" w:hAnsi="Arial" w:cs="Arial"/>
                <w:sz w:val="24"/>
                <w:szCs w:val="24"/>
              </w:rPr>
            </w:pPr>
            <w:proofErr w:type="spellStart"/>
            <w:r w:rsidRPr="00FA3F9C">
              <w:rPr>
                <w:rFonts w:ascii="Arial" w:hAnsi="Arial" w:cs="Arial"/>
                <w:sz w:val="24"/>
                <w:szCs w:val="24"/>
              </w:rPr>
              <w:t>Zepatier</w:t>
            </w:r>
            <w:proofErr w:type="spellEnd"/>
          </w:p>
        </w:tc>
        <w:tc>
          <w:tcPr>
            <w:tcW w:w="9270" w:type="dxa"/>
            <w:shd w:val="clear" w:color="auto" w:fill="auto"/>
          </w:tcPr>
          <w:p w14:paraId="41461C7B" w14:textId="77777777" w:rsidR="001506C1" w:rsidRPr="00FA3F9C" w:rsidRDefault="001506C1" w:rsidP="00013F32">
            <w:pPr>
              <w:rPr>
                <w:rFonts w:ascii="Arial" w:hAnsi="Arial" w:cs="Arial"/>
                <w:sz w:val="24"/>
                <w:szCs w:val="24"/>
              </w:rPr>
            </w:pPr>
            <w:r w:rsidRPr="00FA3F9C">
              <w:rPr>
                <w:rFonts w:ascii="Arial" w:hAnsi="Arial" w:cs="Arial"/>
                <w:sz w:val="24"/>
                <w:szCs w:val="24"/>
              </w:rPr>
              <w:t>Elbasvir 50mg/grazoprevir 100mg</w:t>
            </w:r>
          </w:p>
        </w:tc>
        <w:tc>
          <w:tcPr>
            <w:tcW w:w="1710" w:type="dxa"/>
            <w:shd w:val="clear" w:color="auto" w:fill="auto"/>
          </w:tcPr>
          <w:p w14:paraId="39BF79B2" w14:textId="77777777" w:rsidR="001506C1" w:rsidRPr="00FA3F9C" w:rsidRDefault="001506C1" w:rsidP="00013F32">
            <w:pPr>
              <w:rPr>
                <w:rFonts w:ascii="Arial" w:hAnsi="Arial" w:cs="Arial"/>
                <w:sz w:val="24"/>
                <w:szCs w:val="24"/>
              </w:rPr>
            </w:pPr>
            <w:r w:rsidRPr="00FA3F9C">
              <w:rPr>
                <w:rFonts w:ascii="Arial" w:hAnsi="Arial" w:cs="Arial"/>
                <w:sz w:val="24"/>
                <w:szCs w:val="24"/>
              </w:rPr>
              <w:t>12</w:t>
            </w:r>
          </w:p>
        </w:tc>
        <w:tc>
          <w:tcPr>
            <w:tcW w:w="1710" w:type="dxa"/>
            <w:shd w:val="clear" w:color="auto" w:fill="auto"/>
          </w:tcPr>
          <w:p w14:paraId="01AC616F" w14:textId="77777777" w:rsidR="001506C1" w:rsidRPr="00FA3F9C" w:rsidRDefault="001506C1" w:rsidP="00013F32">
            <w:pPr>
              <w:rPr>
                <w:rFonts w:ascii="Arial" w:eastAsia="Times New Roman" w:hAnsi="Arial" w:cs="Arial"/>
                <w:sz w:val="24"/>
                <w:szCs w:val="24"/>
              </w:rPr>
            </w:pPr>
            <w:r w:rsidRPr="00FA3F9C">
              <w:rPr>
                <w:rFonts w:ascii="Arial" w:eastAsia="Times New Roman" w:hAnsi="Arial" w:cs="Arial"/>
                <w:color w:val="000000"/>
                <w:sz w:val="24"/>
                <w:szCs w:val="24"/>
                <w:shd w:val="clear" w:color="auto" w:fill="FFFAF6"/>
              </w:rPr>
              <w:t xml:space="preserve">Class I, A; </w:t>
            </w:r>
          </w:p>
        </w:tc>
      </w:tr>
      <w:tr w:rsidR="001506C1" w:rsidRPr="00FA3F9C" w14:paraId="145DA016" w14:textId="77777777" w:rsidTr="00A1198B">
        <w:tc>
          <w:tcPr>
            <w:tcW w:w="1525" w:type="dxa"/>
            <w:shd w:val="clear" w:color="auto" w:fill="auto"/>
          </w:tcPr>
          <w:p w14:paraId="3FF6D036" w14:textId="77777777" w:rsidR="001506C1" w:rsidRPr="00FA3F9C" w:rsidRDefault="001506C1" w:rsidP="003E53DA">
            <w:pPr>
              <w:rPr>
                <w:rFonts w:ascii="Arial" w:hAnsi="Arial" w:cs="Arial"/>
                <w:sz w:val="24"/>
                <w:szCs w:val="24"/>
              </w:rPr>
            </w:pPr>
            <w:proofErr w:type="spellStart"/>
            <w:r w:rsidRPr="00FA3F9C">
              <w:rPr>
                <w:rFonts w:ascii="Arial" w:hAnsi="Arial" w:cs="Arial"/>
                <w:sz w:val="24"/>
                <w:szCs w:val="24"/>
              </w:rPr>
              <w:t>Mavyret</w:t>
            </w:r>
            <w:proofErr w:type="spellEnd"/>
          </w:p>
        </w:tc>
        <w:tc>
          <w:tcPr>
            <w:tcW w:w="9270" w:type="dxa"/>
            <w:shd w:val="clear" w:color="auto" w:fill="auto"/>
          </w:tcPr>
          <w:p w14:paraId="7A9E7D8F" w14:textId="77777777" w:rsidR="001506C1" w:rsidRPr="00FA3F9C" w:rsidRDefault="001506C1" w:rsidP="003E53DA">
            <w:pPr>
              <w:rPr>
                <w:rFonts w:ascii="Arial" w:hAnsi="Arial" w:cs="Arial"/>
                <w:sz w:val="24"/>
                <w:szCs w:val="24"/>
              </w:rPr>
            </w:pPr>
            <w:proofErr w:type="spellStart"/>
            <w:r w:rsidRPr="00FA3F9C">
              <w:rPr>
                <w:rFonts w:ascii="Arial" w:hAnsi="Arial" w:cs="Arial"/>
                <w:sz w:val="24"/>
                <w:szCs w:val="24"/>
              </w:rPr>
              <w:t>Glecaprevir</w:t>
            </w:r>
            <w:proofErr w:type="spellEnd"/>
            <w:r w:rsidRPr="00FA3F9C">
              <w:rPr>
                <w:rFonts w:ascii="Arial" w:hAnsi="Arial" w:cs="Arial"/>
                <w:sz w:val="24"/>
                <w:szCs w:val="24"/>
              </w:rPr>
              <w:t xml:space="preserve"> 300mg/</w:t>
            </w:r>
            <w:proofErr w:type="spellStart"/>
            <w:r w:rsidRPr="00FA3F9C">
              <w:rPr>
                <w:rFonts w:ascii="Arial" w:hAnsi="Arial" w:cs="Arial"/>
                <w:sz w:val="24"/>
                <w:szCs w:val="24"/>
              </w:rPr>
              <w:t>pibrentasvir</w:t>
            </w:r>
            <w:proofErr w:type="spellEnd"/>
            <w:r w:rsidRPr="00FA3F9C">
              <w:rPr>
                <w:rFonts w:ascii="Arial" w:hAnsi="Arial" w:cs="Arial"/>
                <w:sz w:val="24"/>
                <w:szCs w:val="24"/>
              </w:rPr>
              <w:t xml:space="preserve"> 120 mg</w:t>
            </w:r>
          </w:p>
        </w:tc>
        <w:tc>
          <w:tcPr>
            <w:tcW w:w="1710" w:type="dxa"/>
            <w:shd w:val="clear" w:color="auto" w:fill="auto"/>
          </w:tcPr>
          <w:p w14:paraId="2D43BDE7" w14:textId="77777777" w:rsidR="001506C1" w:rsidRPr="00FA3F9C" w:rsidRDefault="001506C1" w:rsidP="003E53DA">
            <w:pPr>
              <w:rPr>
                <w:rFonts w:ascii="Arial" w:hAnsi="Arial" w:cs="Arial"/>
                <w:sz w:val="24"/>
                <w:szCs w:val="24"/>
              </w:rPr>
            </w:pPr>
            <w:r w:rsidRPr="00FA3F9C">
              <w:rPr>
                <w:rFonts w:ascii="Arial" w:hAnsi="Arial" w:cs="Arial"/>
                <w:sz w:val="24"/>
                <w:szCs w:val="24"/>
              </w:rPr>
              <w:t>8</w:t>
            </w:r>
          </w:p>
        </w:tc>
        <w:tc>
          <w:tcPr>
            <w:tcW w:w="1710" w:type="dxa"/>
            <w:shd w:val="clear" w:color="auto" w:fill="auto"/>
          </w:tcPr>
          <w:p w14:paraId="1AD91093" w14:textId="77777777" w:rsidR="001506C1" w:rsidRPr="00FA3F9C" w:rsidRDefault="001506C1" w:rsidP="003E53DA">
            <w:pPr>
              <w:rPr>
                <w:rFonts w:ascii="Arial" w:eastAsia="Times New Roman" w:hAnsi="Arial" w:cs="Arial"/>
                <w:color w:val="000000"/>
                <w:sz w:val="24"/>
                <w:szCs w:val="24"/>
                <w:shd w:val="clear" w:color="auto" w:fill="FFFAF6"/>
              </w:rPr>
            </w:pPr>
            <w:r w:rsidRPr="00FA3F9C">
              <w:rPr>
                <w:rFonts w:ascii="Arial" w:eastAsia="Times New Roman" w:hAnsi="Arial" w:cs="Arial"/>
                <w:color w:val="000000"/>
                <w:sz w:val="24"/>
                <w:szCs w:val="24"/>
                <w:shd w:val="clear" w:color="auto" w:fill="FFFAF6"/>
              </w:rPr>
              <w:t>Class I, A</w:t>
            </w:r>
          </w:p>
        </w:tc>
      </w:tr>
      <w:tr w:rsidR="001506C1" w:rsidRPr="00FA3F9C" w14:paraId="78ECB9FA" w14:textId="77777777" w:rsidTr="00A1198B">
        <w:tc>
          <w:tcPr>
            <w:tcW w:w="1525" w:type="dxa"/>
            <w:tcBorders>
              <w:bottom w:val="single" w:sz="4" w:space="0" w:color="auto"/>
            </w:tcBorders>
          </w:tcPr>
          <w:p w14:paraId="66D326CF" w14:textId="77777777" w:rsidR="001506C1" w:rsidRPr="00FA3F9C" w:rsidRDefault="001506C1" w:rsidP="00013F32">
            <w:pPr>
              <w:rPr>
                <w:rFonts w:ascii="Arial" w:hAnsi="Arial" w:cs="Arial"/>
                <w:sz w:val="24"/>
                <w:szCs w:val="24"/>
              </w:rPr>
            </w:pPr>
            <w:r w:rsidRPr="00FA3F9C">
              <w:rPr>
                <w:rFonts w:ascii="Arial" w:hAnsi="Arial" w:cs="Arial"/>
                <w:sz w:val="24"/>
                <w:szCs w:val="24"/>
              </w:rPr>
              <w:t>Harvoni</w:t>
            </w:r>
          </w:p>
        </w:tc>
        <w:tc>
          <w:tcPr>
            <w:tcW w:w="9270" w:type="dxa"/>
            <w:tcBorders>
              <w:bottom w:val="single" w:sz="4" w:space="0" w:color="auto"/>
            </w:tcBorders>
          </w:tcPr>
          <w:p w14:paraId="4D84C397" w14:textId="77777777" w:rsidR="001506C1" w:rsidRPr="00FA3F9C" w:rsidRDefault="001506C1" w:rsidP="00013F32">
            <w:pPr>
              <w:rPr>
                <w:rFonts w:ascii="Arial" w:hAnsi="Arial" w:cs="Arial"/>
                <w:sz w:val="24"/>
                <w:szCs w:val="24"/>
              </w:rPr>
            </w:pPr>
            <w:r w:rsidRPr="00FA3F9C">
              <w:rPr>
                <w:rFonts w:ascii="Arial" w:hAnsi="Arial" w:cs="Arial"/>
                <w:sz w:val="24"/>
                <w:szCs w:val="24"/>
              </w:rPr>
              <w:t>Ledipasvir 90mg/ sofosbuvir 400mg</w:t>
            </w:r>
          </w:p>
        </w:tc>
        <w:tc>
          <w:tcPr>
            <w:tcW w:w="1710" w:type="dxa"/>
            <w:tcBorders>
              <w:bottom w:val="single" w:sz="4" w:space="0" w:color="auto"/>
            </w:tcBorders>
          </w:tcPr>
          <w:p w14:paraId="79506360" w14:textId="77777777" w:rsidR="001506C1" w:rsidRPr="00FA3F9C" w:rsidRDefault="001506C1" w:rsidP="00013F32">
            <w:pPr>
              <w:rPr>
                <w:rFonts w:ascii="Arial" w:hAnsi="Arial" w:cs="Arial"/>
                <w:sz w:val="24"/>
                <w:szCs w:val="24"/>
              </w:rPr>
            </w:pPr>
            <w:r w:rsidRPr="00FA3F9C">
              <w:rPr>
                <w:rFonts w:ascii="Arial" w:hAnsi="Arial" w:cs="Arial"/>
                <w:sz w:val="24"/>
                <w:szCs w:val="24"/>
              </w:rPr>
              <w:t>12</w:t>
            </w:r>
          </w:p>
        </w:tc>
        <w:tc>
          <w:tcPr>
            <w:tcW w:w="1710" w:type="dxa"/>
            <w:tcBorders>
              <w:bottom w:val="single" w:sz="4" w:space="0" w:color="auto"/>
            </w:tcBorders>
          </w:tcPr>
          <w:p w14:paraId="1C014CD1" w14:textId="77777777" w:rsidR="001506C1" w:rsidRPr="00FA3F9C" w:rsidRDefault="001506C1" w:rsidP="00013F32">
            <w:pPr>
              <w:rPr>
                <w:rFonts w:ascii="Arial" w:eastAsia="Times New Roman" w:hAnsi="Arial" w:cs="Arial"/>
                <w:sz w:val="24"/>
                <w:szCs w:val="24"/>
              </w:rPr>
            </w:pPr>
            <w:r w:rsidRPr="00FA3F9C">
              <w:rPr>
                <w:rFonts w:ascii="Arial" w:eastAsia="Times New Roman" w:hAnsi="Arial" w:cs="Arial"/>
                <w:color w:val="000000"/>
                <w:sz w:val="24"/>
                <w:szCs w:val="24"/>
                <w:shd w:val="clear" w:color="auto" w:fill="FFFAF6"/>
              </w:rPr>
              <w:t>Class I, A</w:t>
            </w:r>
          </w:p>
        </w:tc>
      </w:tr>
      <w:tr w:rsidR="001506C1" w:rsidRPr="00FA3F9C" w14:paraId="3B955F14" w14:textId="77777777" w:rsidTr="00A1198B">
        <w:tc>
          <w:tcPr>
            <w:tcW w:w="1525" w:type="dxa"/>
            <w:tcBorders>
              <w:bottom w:val="single" w:sz="4" w:space="0" w:color="auto"/>
            </w:tcBorders>
          </w:tcPr>
          <w:p w14:paraId="2CA793AC" w14:textId="77777777" w:rsidR="001506C1" w:rsidRPr="00FA3F9C" w:rsidRDefault="001506C1" w:rsidP="00013F32">
            <w:pPr>
              <w:rPr>
                <w:rFonts w:ascii="Arial" w:hAnsi="Arial" w:cs="Arial"/>
                <w:sz w:val="24"/>
                <w:szCs w:val="24"/>
              </w:rPr>
            </w:pPr>
            <w:r w:rsidRPr="00FA3F9C">
              <w:rPr>
                <w:rFonts w:ascii="Arial" w:hAnsi="Arial" w:cs="Arial"/>
                <w:sz w:val="24"/>
                <w:szCs w:val="24"/>
              </w:rPr>
              <w:lastRenderedPageBreak/>
              <w:t>Harvoni</w:t>
            </w:r>
          </w:p>
        </w:tc>
        <w:tc>
          <w:tcPr>
            <w:tcW w:w="9270" w:type="dxa"/>
            <w:tcBorders>
              <w:bottom w:val="single" w:sz="4" w:space="0" w:color="auto"/>
            </w:tcBorders>
          </w:tcPr>
          <w:p w14:paraId="33D8FE09" w14:textId="77777777" w:rsidR="001506C1" w:rsidRPr="00FA3F9C" w:rsidRDefault="001506C1" w:rsidP="00013F32">
            <w:pPr>
              <w:rPr>
                <w:rFonts w:ascii="Arial" w:hAnsi="Arial" w:cs="Arial"/>
                <w:sz w:val="24"/>
                <w:szCs w:val="24"/>
              </w:rPr>
            </w:pPr>
            <w:r w:rsidRPr="00FA3F9C">
              <w:rPr>
                <w:rFonts w:ascii="Arial" w:hAnsi="Arial" w:cs="Arial"/>
                <w:sz w:val="24"/>
                <w:szCs w:val="24"/>
              </w:rPr>
              <w:t>Ledipasvir 90mg/ sofosbuvir 400mg for patients who are HIV-uninfected, and whose HCV RNA level is &lt;6 million IU/mL</w:t>
            </w:r>
          </w:p>
        </w:tc>
        <w:tc>
          <w:tcPr>
            <w:tcW w:w="1710" w:type="dxa"/>
            <w:tcBorders>
              <w:bottom w:val="single" w:sz="4" w:space="0" w:color="auto"/>
            </w:tcBorders>
          </w:tcPr>
          <w:p w14:paraId="26965CDD" w14:textId="77777777" w:rsidR="001506C1" w:rsidRPr="00FA3F9C" w:rsidRDefault="001506C1" w:rsidP="00013F32">
            <w:pPr>
              <w:rPr>
                <w:rFonts w:ascii="Arial" w:hAnsi="Arial" w:cs="Arial"/>
                <w:sz w:val="24"/>
                <w:szCs w:val="24"/>
              </w:rPr>
            </w:pPr>
            <w:r w:rsidRPr="00FA3F9C">
              <w:rPr>
                <w:rFonts w:ascii="Arial" w:hAnsi="Arial" w:cs="Arial"/>
                <w:sz w:val="24"/>
                <w:szCs w:val="24"/>
              </w:rPr>
              <w:t>8</w:t>
            </w:r>
          </w:p>
        </w:tc>
        <w:tc>
          <w:tcPr>
            <w:tcW w:w="1710" w:type="dxa"/>
            <w:tcBorders>
              <w:bottom w:val="single" w:sz="4" w:space="0" w:color="auto"/>
            </w:tcBorders>
          </w:tcPr>
          <w:p w14:paraId="71754999" w14:textId="77777777" w:rsidR="001506C1" w:rsidRPr="00FA3F9C" w:rsidRDefault="001506C1" w:rsidP="00013F32">
            <w:pPr>
              <w:rPr>
                <w:rFonts w:ascii="Arial" w:eastAsia="Times New Roman" w:hAnsi="Arial" w:cs="Arial"/>
                <w:color w:val="000000"/>
                <w:sz w:val="24"/>
                <w:szCs w:val="24"/>
                <w:shd w:val="clear" w:color="auto" w:fill="FFFAF6"/>
              </w:rPr>
            </w:pPr>
            <w:r w:rsidRPr="00FA3F9C">
              <w:rPr>
                <w:rFonts w:ascii="Arial" w:eastAsia="Times New Roman" w:hAnsi="Arial" w:cs="Arial"/>
                <w:color w:val="000000"/>
                <w:sz w:val="24"/>
                <w:szCs w:val="24"/>
                <w:shd w:val="clear" w:color="auto" w:fill="FFFAF6"/>
              </w:rPr>
              <w:t>Class 1, B</w:t>
            </w:r>
          </w:p>
        </w:tc>
      </w:tr>
      <w:tr w:rsidR="001506C1" w:rsidRPr="00FA3F9C" w14:paraId="501EEC79" w14:textId="77777777" w:rsidTr="00A1198B">
        <w:tc>
          <w:tcPr>
            <w:tcW w:w="1525" w:type="dxa"/>
            <w:shd w:val="clear" w:color="auto" w:fill="auto"/>
          </w:tcPr>
          <w:p w14:paraId="6C6D5CB4" w14:textId="77777777" w:rsidR="001506C1" w:rsidRPr="00FA3F9C" w:rsidRDefault="001506C1" w:rsidP="003E53DA">
            <w:pPr>
              <w:rPr>
                <w:rFonts w:ascii="Arial" w:hAnsi="Arial" w:cs="Arial"/>
                <w:sz w:val="24"/>
                <w:szCs w:val="24"/>
              </w:rPr>
            </w:pPr>
            <w:r w:rsidRPr="00FA3F9C">
              <w:rPr>
                <w:rFonts w:ascii="Arial" w:hAnsi="Arial" w:cs="Arial"/>
                <w:sz w:val="24"/>
                <w:szCs w:val="24"/>
              </w:rPr>
              <w:t>Epclusa</w:t>
            </w:r>
          </w:p>
        </w:tc>
        <w:tc>
          <w:tcPr>
            <w:tcW w:w="9270" w:type="dxa"/>
            <w:shd w:val="clear" w:color="auto" w:fill="auto"/>
          </w:tcPr>
          <w:p w14:paraId="3A8A4872" w14:textId="77777777" w:rsidR="001506C1" w:rsidRPr="00FA3F9C" w:rsidRDefault="001506C1" w:rsidP="003E53DA">
            <w:pPr>
              <w:rPr>
                <w:rFonts w:ascii="Arial" w:hAnsi="Arial" w:cs="Arial"/>
                <w:sz w:val="24"/>
                <w:szCs w:val="24"/>
              </w:rPr>
            </w:pPr>
            <w:r w:rsidRPr="00FA3F9C">
              <w:rPr>
                <w:rFonts w:ascii="Arial" w:hAnsi="Arial" w:cs="Arial"/>
                <w:sz w:val="24"/>
                <w:szCs w:val="24"/>
              </w:rPr>
              <w:t>Sofosbuvir 400mg/</w:t>
            </w:r>
            <w:proofErr w:type="spellStart"/>
            <w:r w:rsidRPr="00FA3F9C">
              <w:rPr>
                <w:rFonts w:ascii="Arial" w:hAnsi="Arial" w:cs="Arial"/>
                <w:sz w:val="24"/>
                <w:szCs w:val="24"/>
              </w:rPr>
              <w:t>velpatasvir</w:t>
            </w:r>
            <w:proofErr w:type="spellEnd"/>
            <w:r w:rsidRPr="00FA3F9C">
              <w:rPr>
                <w:rFonts w:ascii="Arial" w:hAnsi="Arial" w:cs="Arial"/>
                <w:sz w:val="24"/>
                <w:szCs w:val="24"/>
              </w:rPr>
              <w:t xml:space="preserve"> 100mg</w:t>
            </w:r>
          </w:p>
        </w:tc>
        <w:tc>
          <w:tcPr>
            <w:tcW w:w="1710" w:type="dxa"/>
            <w:shd w:val="clear" w:color="auto" w:fill="auto"/>
          </w:tcPr>
          <w:p w14:paraId="660A1C59" w14:textId="77777777" w:rsidR="001506C1" w:rsidRPr="00FA3F9C" w:rsidRDefault="001506C1" w:rsidP="003E53DA">
            <w:pPr>
              <w:rPr>
                <w:rFonts w:ascii="Arial" w:hAnsi="Arial" w:cs="Arial"/>
                <w:sz w:val="24"/>
                <w:szCs w:val="24"/>
              </w:rPr>
            </w:pPr>
            <w:r w:rsidRPr="00FA3F9C">
              <w:rPr>
                <w:rFonts w:ascii="Arial" w:hAnsi="Arial" w:cs="Arial"/>
                <w:sz w:val="24"/>
                <w:szCs w:val="24"/>
              </w:rPr>
              <w:t>12</w:t>
            </w:r>
          </w:p>
        </w:tc>
        <w:tc>
          <w:tcPr>
            <w:tcW w:w="1710" w:type="dxa"/>
            <w:shd w:val="clear" w:color="auto" w:fill="auto"/>
          </w:tcPr>
          <w:p w14:paraId="2CEE617E" w14:textId="77777777" w:rsidR="001506C1" w:rsidRPr="00FA3F9C" w:rsidRDefault="001506C1" w:rsidP="003E53DA">
            <w:pPr>
              <w:rPr>
                <w:rFonts w:ascii="Arial" w:eastAsia="Times New Roman" w:hAnsi="Arial" w:cs="Arial"/>
                <w:color w:val="000000"/>
                <w:sz w:val="24"/>
                <w:szCs w:val="24"/>
                <w:shd w:val="clear" w:color="auto" w:fill="FFFAF6"/>
              </w:rPr>
            </w:pPr>
            <w:r w:rsidRPr="00FA3F9C">
              <w:rPr>
                <w:rFonts w:ascii="Arial" w:eastAsia="Times New Roman" w:hAnsi="Arial" w:cs="Arial"/>
                <w:color w:val="000000"/>
                <w:sz w:val="24"/>
                <w:szCs w:val="24"/>
                <w:shd w:val="clear" w:color="auto" w:fill="FFFAF6"/>
              </w:rPr>
              <w:t>Class I, A</w:t>
            </w:r>
          </w:p>
        </w:tc>
      </w:tr>
      <w:tr w:rsidR="001506C1" w:rsidRPr="00FA3F9C" w14:paraId="4F9B1382" w14:textId="77777777" w:rsidTr="00A1198B">
        <w:tc>
          <w:tcPr>
            <w:tcW w:w="1525" w:type="dxa"/>
            <w:tcBorders>
              <w:bottom w:val="single" w:sz="4" w:space="0" w:color="auto"/>
            </w:tcBorders>
          </w:tcPr>
          <w:p w14:paraId="4D62C5A8" w14:textId="77777777" w:rsidR="001506C1" w:rsidRPr="00FA3F9C" w:rsidRDefault="001506C1" w:rsidP="003E53DA">
            <w:pPr>
              <w:rPr>
                <w:rFonts w:ascii="Arial" w:hAnsi="Arial" w:cs="Arial"/>
                <w:sz w:val="24"/>
                <w:szCs w:val="24"/>
              </w:rPr>
            </w:pPr>
          </w:p>
        </w:tc>
        <w:tc>
          <w:tcPr>
            <w:tcW w:w="9270" w:type="dxa"/>
            <w:tcBorders>
              <w:bottom w:val="single" w:sz="4" w:space="0" w:color="auto"/>
            </w:tcBorders>
            <w:shd w:val="clear" w:color="auto" w:fill="auto"/>
          </w:tcPr>
          <w:p w14:paraId="6145A6DB" w14:textId="77777777" w:rsidR="001506C1" w:rsidRPr="00FA3F9C" w:rsidRDefault="001506C1" w:rsidP="003E53DA">
            <w:pPr>
              <w:rPr>
                <w:rFonts w:ascii="Arial" w:hAnsi="Arial" w:cs="Arial"/>
                <w:sz w:val="24"/>
                <w:szCs w:val="24"/>
              </w:rPr>
            </w:pPr>
          </w:p>
        </w:tc>
        <w:tc>
          <w:tcPr>
            <w:tcW w:w="1710" w:type="dxa"/>
            <w:tcBorders>
              <w:bottom w:val="single" w:sz="4" w:space="0" w:color="auto"/>
            </w:tcBorders>
            <w:shd w:val="clear" w:color="auto" w:fill="auto"/>
          </w:tcPr>
          <w:p w14:paraId="481EFDD1" w14:textId="77777777" w:rsidR="001506C1" w:rsidRPr="00FA3F9C" w:rsidRDefault="001506C1" w:rsidP="003E53DA">
            <w:pPr>
              <w:rPr>
                <w:rFonts w:ascii="Arial" w:hAnsi="Arial" w:cs="Arial"/>
                <w:sz w:val="24"/>
                <w:szCs w:val="24"/>
              </w:rPr>
            </w:pPr>
          </w:p>
        </w:tc>
        <w:tc>
          <w:tcPr>
            <w:tcW w:w="1710" w:type="dxa"/>
            <w:tcBorders>
              <w:bottom w:val="single" w:sz="4" w:space="0" w:color="auto"/>
            </w:tcBorders>
            <w:shd w:val="clear" w:color="auto" w:fill="auto"/>
          </w:tcPr>
          <w:p w14:paraId="67FC2818" w14:textId="77777777" w:rsidR="001506C1" w:rsidRPr="00FA3F9C" w:rsidRDefault="001506C1" w:rsidP="003E53DA">
            <w:pPr>
              <w:rPr>
                <w:rFonts w:ascii="Arial" w:eastAsia="Times New Roman" w:hAnsi="Arial" w:cs="Arial"/>
                <w:color w:val="000000"/>
                <w:sz w:val="24"/>
                <w:szCs w:val="24"/>
                <w:shd w:val="clear" w:color="auto" w:fill="FFFAF6"/>
              </w:rPr>
            </w:pPr>
          </w:p>
        </w:tc>
      </w:tr>
      <w:tr w:rsidR="001506C1" w:rsidRPr="00FA3F9C" w14:paraId="2910D72F" w14:textId="77777777" w:rsidTr="00A1198B">
        <w:tc>
          <w:tcPr>
            <w:tcW w:w="1525" w:type="dxa"/>
            <w:shd w:val="clear" w:color="auto" w:fill="000000" w:themeFill="text1"/>
          </w:tcPr>
          <w:p w14:paraId="0B48468F" w14:textId="77777777" w:rsidR="001506C1" w:rsidRPr="00FA3F9C" w:rsidRDefault="001506C1" w:rsidP="003E53DA">
            <w:pPr>
              <w:rPr>
                <w:rFonts w:ascii="Arial" w:hAnsi="Arial" w:cs="Arial"/>
                <w:sz w:val="24"/>
                <w:szCs w:val="24"/>
              </w:rPr>
            </w:pPr>
          </w:p>
        </w:tc>
        <w:tc>
          <w:tcPr>
            <w:tcW w:w="9270" w:type="dxa"/>
            <w:shd w:val="clear" w:color="auto" w:fill="000000" w:themeFill="text1"/>
          </w:tcPr>
          <w:p w14:paraId="6EC797BD" w14:textId="77777777" w:rsidR="001506C1" w:rsidRPr="00FA3F9C" w:rsidRDefault="001506C1" w:rsidP="003E53DA">
            <w:pPr>
              <w:rPr>
                <w:rFonts w:ascii="Arial" w:hAnsi="Arial" w:cs="Arial"/>
                <w:sz w:val="24"/>
                <w:szCs w:val="24"/>
              </w:rPr>
            </w:pPr>
            <w:r w:rsidRPr="00FA3F9C">
              <w:rPr>
                <w:rFonts w:ascii="Arial" w:hAnsi="Arial" w:cs="Arial"/>
                <w:sz w:val="24"/>
                <w:szCs w:val="24"/>
              </w:rPr>
              <w:t>GT1b, TN, COMPENSATED Cirrhosis</w:t>
            </w:r>
          </w:p>
        </w:tc>
        <w:tc>
          <w:tcPr>
            <w:tcW w:w="1710" w:type="dxa"/>
            <w:shd w:val="clear" w:color="auto" w:fill="000000" w:themeFill="text1"/>
          </w:tcPr>
          <w:p w14:paraId="7A152BE9" w14:textId="77777777" w:rsidR="001506C1" w:rsidRPr="00FA3F9C" w:rsidRDefault="001506C1" w:rsidP="003E53DA">
            <w:pPr>
              <w:rPr>
                <w:rFonts w:ascii="Arial" w:hAnsi="Arial" w:cs="Arial"/>
                <w:sz w:val="24"/>
                <w:szCs w:val="24"/>
              </w:rPr>
            </w:pPr>
          </w:p>
        </w:tc>
        <w:tc>
          <w:tcPr>
            <w:tcW w:w="1710" w:type="dxa"/>
            <w:shd w:val="clear" w:color="auto" w:fill="000000" w:themeFill="text1"/>
          </w:tcPr>
          <w:p w14:paraId="19428C66" w14:textId="77777777" w:rsidR="001506C1" w:rsidRPr="00FA3F9C" w:rsidRDefault="001506C1" w:rsidP="003E53DA">
            <w:pPr>
              <w:rPr>
                <w:rFonts w:ascii="Arial" w:eastAsia="Times New Roman" w:hAnsi="Arial" w:cs="Arial"/>
                <w:color w:val="000000"/>
                <w:sz w:val="24"/>
                <w:szCs w:val="24"/>
                <w:shd w:val="clear" w:color="auto" w:fill="FFFAF6"/>
              </w:rPr>
            </w:pPr>
          </w:p>
        </w:tc>
      </w:tr>
      <w:tr w:rsidR="001506C1" w:rsidRPr="00FA3F9C" w14:paraId="5E3D5656" w14:textId="77777777" w:rsidTr="00A1198B">
        <w:tc>
          <w:tcPr>
            <w:tcW w:w="1525" w:type="dxa"/>
            <w:shd w:val="clear" w:color="auto" w:fill="auto"/>
          </w:tcPr>
          <w:p w14:paraId="061BED69" w14:textId="77777777" w:rsidR="001506C1" w:rsidRPr="00FA3F9C" w:rsidRDefault="001506C1" w:rsidP="003E53DA">
            <w:pPr>
              <w:rPr>
                <w:rFonts w:ascii="Arial" w:hAnsi="Arial" w:cs="Arial"/>
                <w:sz w:val="24"/>
                <w:szCs w:val="24"/>
              </w:rPr>
            </w:pPr>
            <w:proofErr w:type="spellStart"/>
            <w:r w:rsidRPr="00FA3F9C">
              <w:rPr>
                <w:rFonts w:ascii="Arial" w:hAnsi="Arial" w:cs="Arial"/>
                <w:sz w:val="24"/>
                <w:szCs w:val="24"/>
              </w:rPr>
              <w:t>Zepatier</w:t>
            </w:r>
            <w:proofErr w:type="spellEnd"/>
          </w:p>
        </w:tc>
        <w:tc>
          <w:tcPr>
            <w:tcW w:w="9270" w:type="dxa"/>
            <w:shd w:val="clear" w:color="auto" w:fill="auto"/>
          </w:tcPr>
          <w:p w14:paraId="786F859F" w14:textId="77777777" w:rsidR="001506C1" w:rsidRPr="00FA3F9C" w:rsidRDefault="001506C1" w:rsidP="003E53DA">
            <w:pPr>
              <w:rPr>
                <w:rFonts w:ascii="Arial" w:hAnsi="Arial" w:cs="Arial"/>
                <w:sz w:val="24"/>
                <w:szCs w:val="24"/>
              </w:rPr>
            </w:pPr>
            <w:r w:rsidRPr="00FA3F9C">
              <w:rPr>
                <w:rFonts w:ascii="Arial" w:hAnsi="Arial" w:cs="Arial"/>
                <w:sz w:val="24"/>
                <w:szCs w:val="24"/>
              </w:rPr>
              <w:t>Elbasvir 50mg/grazoprevir 100mg</w:t>
            </w:r>
          </w:p>
        </w:tc>
        <w:tc>
          <w:tcPr>
            <w:tcW w:w="1710" w:type="dxa"/>
            <w:shd w:val="clear" w:color="auto" w:fill="auto"/>
          </w:tcPr>
          <w:p w14:paraId="6966129B" w14:textId="77777777" w:rsidR="001506C1" w:rsidRPr="00FA3F9C" w:rsidRDefault="001506C1" w:rsidP="003E53DA">
            <w:pPr>
              <w:rPr>
                <w:rFonts w:ascii="Arial" w:hAnsi="Arial" w:cs="Arial"/>
                <w:sz w:val="24"/>
                <w:szCs w:val="24"/>
              </w:rPr>
            </w:pPr>
            <w:r w:rsidRPr="00FA3F9C">
              <w:rPr>
                <w:rFonts w:ascii="Arial" w:hAnsi="Arial" w:cs="Arial"/>
                <w:sz w:val="24"/>
                <w:szCs w:val="24"/>
              </w:rPr>
              <w:t>12</w:t>
            </w:r>
          </w:p>
        </w:tc>
        <w:tc>
          <w:tcPr>
            <w:tcW w:w="1710" w:type="dxa"/>
            <w:shd w:val="clear" w:color="auto" w:fill="auto"/>
          </w:tcPr>
          <w:p w14:paraId="0BE4A93E" w14:textId="77777777" w:rsidR="001506C1" w:rsidRPr="00FA3F9C" w:rsidRDefault="001506C1" w:rsidP="003E53DA">
            <w:pPr>
              <w:rPr>
                <w:rFonts w:ascii="Arial" w:eastAsia="Times New Roman" w:hAnsi="Arial" w:cs="Arial"/>
                <w:sz w:val="24"/>
                <w:szCs w:val="24"/>
              </w:rPr>
            </w:pPr>
            <w:r w:rsidRPr="00FA3F9C">
              <w:rPr>
                <w:rFonts w:ascii="Arial" w:eastAsia="Times New Roman" w:hAnsi="Arial" w:cs="Arial"/>
                <w:color w:val="000000"/>
                <w:sz w:val="24"/>
                <w:szCs w:val="24"/>
                <w:shd w:val="clear" w:color="auto" w:fill="FFFAF6"/>
              </w:rPr>
              <w:t>Class I, A</w:t>
            </w:r>
          </w:p>
        </w:tc>
      </w:tr>
      <w:tr w:rsidR="001506C1" w:rsidRPr="00FA3F9C" w14:paraId="2F6270D1" w14:textId="77777777" w:rsidTr="00A1198B">
        <w:tc>
          <w:tcPr>
            <w:tcW w:w="1525" w:type="dxa"/>
            <w:shd w:val="clear" w:color="auto" w:fill="auto"/>
          </w:tcPr>
          <w:p w14:paraId="7225FE86" w14:textId="77777777" w:rsidR="001506C1" w:rsidRPr="00FA3F9C" w:rsidRDefault="001506C1" w:rsidP="00055A23">
            <w:pPr>
              <w:rPr>
                <w:rFonts w:ascii="Arial" w:hAnsi="Arial" w:cs="Arial"/>
                <w:sz w:val="24"/>
                <w:szCs w:val="24"/>
              </w:rPr>
            </w:pPr>
            <w:r w:rsidRPr="00FA3F9C">
              <w:rPr>
                <w:rFonts w:ascii="Arial" w:hAnsi="Arial" w:cs="Arial"/>
                <w:sz w:val="24"/>
                <w:szCs w:val="24"/>
              </w:rPr>
              <w:t>Harvoni</w:t>
            </w:r>
          </w:p>
        </w:tc>
        <w:tc>
          <w:tcPr>
            <w:tcW w:w="9270" w:type="dxa"/>
            <w:shd w:val="clear" w:color="auto" w:fill="auto"/>
          </w:tcPr>
          <w:p w14:paraId="36A2605A" w14:textId="77777777" w:rsidR="001506C1" w:rsidRPr="00FA3F9C" w:rsidRDefault="001506C1" w:rsidP="00055A23">
            <w:pPr>
              <w:rPr>
                <w:rFonts w:ascii="Arial" w:hAnsi="Arial" w:cs="Arial"/>
                <w:sz w:val="24"/>
                <w:szCs w:val="24"/>
              </w:rPr>
            </w:pPr>
            <w:r w:rsidRPr="00FA3F9C">
              <w:rPr>
                <w:rFonts w:ascii="Arial" w:hAnsi="Arial" w:cs="Arial"/>
                <w:sz w:val="24"/>
                <w:szCs w:val="24"/>
              </w:rPr>
              <w:t>Ledipasvir 90mg/ sofosbuvir 400mg</w:t>
            </w:r>
          </w:p>
        </w:tc>
        <w:tc>
          <w:tcPr>
            <w:tcW w:w="1710" w:type="dxa"/>
            <w:shd w:val="clear" w:color="auto" w:fill="auto"/>
          </w:tcPr>
          <w:p w14:paraId="0E573856" w14:textId="77777777" w:rsidR="001506C1" w:rsidRPr="00FA3F9C" w:rsidRDefault="001506C1" w:rsidP="00055A23">
            <w:pPr>
              <w:rPr>
                <w:rFonts w:ascii="Arial" w:hAnsi="Arial" w:cs="Arial"/>
                <w:sz w:val="24"/>
                <w:szCs w:val="24"/>
              </w:rPr>
            </w:pPr>
            <w:r w:rsidRPr="00FA3F9C">
              <w:rPr>
                <w:rFonts w:ascii="Arial" w:hAnsi="Arial" w:cs="Arial"/>
                <w:sz w:val="24"/>
                <w:szCs w:val="24"/>
              </w:rPr>
              <w:t>12</w:t>
            </w:r>
          </w:p>
        </w:tc>
        <w:tc>
          <w:tcPr>
            <w:tcW w:w="1710" w:type="dxa"/>
            <w:shd w:val="clear" w:color="auto" w:fill="auto"/>
          </w:tcPr>
          <w:p w14:paraId="4318F456" w14:textId="77777777" w:rsidR="001506C1" w:rsidRPr="00FA3F9C" w:rsidRDefault="001506C1" w:rsidP="00055A23">
            <w:pPr>
              <w:rPr>
                <w:rFonts w:ascii="Arial" w:eastAsia="Times New Roman" w:hAnsi="Arial" w:cs="Arial"/>
                <w:color w:val="000000"/>
                <w:sz w:val="24"/>
                <w:szCs w:val="24"/>
                <w:shd w:val="clear" w:color="auto" w:fill="FFFAF6"/>
              </w:rPr>
            </w:pPr>
            <w:r w:rsidRPr="00FA3F9C">
              <w:rPr>
                <w:rFonts w:ascii="Arial" w:eastAsia="Times New Roman" w:hAnsi="Arial" w:cs="Arial"/>
                <w:color w:val="000000"/>
                <w:sz w:val="24"/>
                <w:szCs w:val="24"/>
                <w:shd w:val="clear" w:color="auto" w:fill="FFFAF6"/>
              </w:rPr>
              <w:t>Class I, A</w:t>
            </w:r>
          </w:p>
        </w:tc>
      </w:tr>
      <w:tr w:rsidR="001506C1" w:rsidRPr="00FA3F9C" w14:paraId="1E2D6D90" w14:textId="77777777" w:rsidTr="00A1198B">
        <w:tc>
          <w:tcPr>
            <w:tcW w:w="1525" w:type="dxa"/>
            <w:shd w:val="clear" w:color="auto" w:fill="auto"/>
          </w:tcPr>
          <w:p w14:paraId="6E8ED924" w14:textId="77777777" w:rsidR="001506C1" w:rsidRPr="00FA3F9C" w:rsidRDefault="001506C1" w:rsidP="00055A23">
            <w:pPr>
              <w:rPr>
                <w:rFonts w:ascii="Arial" w:hAnsi="Arial" w:cs="Arial"/>
                <w:sz w:val="24"/>
                <w:szCs w:val="24"/>
              </w:rPr>
            </w:pPr>
            <w:r w:rsidRPr="00FA3F9C">
              <w:rPr>
                <w:rFonts w:ascii="Arial" w:hAnsi="Arial" w:cs="Arial"/>
                <w:sz w:val="24"/>
                <w:szCs w:val="24"/>
              </w:rPr>
              <w:t>Epclusa</w:t>
            </w:r>
          </w:p>
        </w:tc>
        <w:tc>
          <w:tcPr>
            <w:tcW w:w="9270" w:type="dxa"/>
            <w:shd w:val="clear" w:color="auto" w:fill="auto"/>
          </w:tcPr>
          <w:p w14:paraId="792D2466" w14:textId="77777777" w:rsidR="001506C1" w:rsidRPr="00FA3F9C" w:rsidRDefault="001506C1" w:rsidP="00055A23">
            <w:pPr>
              <w:rPr>
                <w:rFonts w:ascii="Arial" w:hAnsi="Arial" w:cs="Arial"/>
                <w:sz w:val="24"/>
                <w:szCs w:val="24"/>
              </w:rPr>
            </w:pPr>
            <w:r w:rsidRPr="00FA3F9C">
              <w:rPr>
                <w:rFonts w:ascii="Arial" w:hAnsi="Arial" w:cs="Arial"/>
                <w:sz w:val="24"/>
                <w:szCs w:val="24"/>
              </w:rPr>
              <w:t>Sofosbuvir 400mg/</w:t>
            </w:r>
            <w:proofErr w:type="spellStart"/>
            <w:r w:rsidRPr="00FA3F9C">
              <w:rPr>
                <w:rFonts w:ascii="Arial" w:hAnsi="Arial" w:cs="Arial"/>
                <w:sz w:val="24"/>
                <w:szCs w:val="24"/>
              </w:rPr>
              <w:t>velpatasvir</w:t>
            </w:r>
            <w:proofErr w:type="spellEnd"/>
            <w:r w:rsidRPr="00FA3F9C">
              <w:rPr>
                <w:rFonts w:ascii="Arial" w:hAnsi="Arial" w:cs="Arial"/>
                <w:sz w:val="24"/>
                <w:szCs w:val="24"/>
              </w:rPr>
              <w:t xml:space="preserve"> 100mg</w:t>
            </w:r>
          </w:p>
        </w:tc>
        <w:tc>
          <w:tcPr>
            <w:tcW w:w="1710" w:type="dxa"/>
            <w:shd w:val="clear" w:color="auto" w:fill="auto"/>
          </w:tcPr>
          <w:p w14:paraId="53DA53AA" w14:textId="77777777" w:rsidR="001506C1" w:rsidRPr="00FA3F9C" w:rsidRDefault="001506C1" w:rsidP="00055A23">
            <w:pPr>
              <w:rPr>
                <w:rFonts w:ascii="Arial" w:hAnsi="Arial" w:cs="Arial"/>
                <w:sz w:val="24"/>
                <w:szCs w:val="24"/>
              </w:rPr>
            </w:pPr>
            <w:r w:rsidRPr="00FA3F9C">
              <w:rPr>
                <w:rFonts w:ascii="Arial" w:hAnsi="Arial" w:cs="Arial"/>
                <w:sz w:val="24"/>
                <w:szCs w:val="24"/>
              </w:rPr>
              <w:t>12</w:t>
            </w:r>
          </w:p>
        </w:tc>
        <w:tc>
          <w:tcPr>
            <w:tcW w:w="1710" w:type="dxa"/>
            <w:shd w:val="clear" w:color="auto" w:fill="auto"/>
          </w:tcPr>
          <w:p w14:paraId="79C88F46" w14:textId="77777777" w:rsidR="001506C1" w:rsidRPr="00FA3F9C" w:rsidRDefault="001506C1" w:rsidP="00055A23">
            <w:pPr>
              <w:rPr>
                <w:rFonts w:ascii="Arial" w:eastAsia="Times New Roman" w:hAnsi="Arial" w:cs="Arial"/>
                <w:color w:val="000000"/>
                <w:sz w:val="24"/>
                <w:szCs w:val="24"/>
                <w:shd w:val="clear" w:color="auto" w:fill="FFFAF6"/>
              </w:rPr>
            </w:pPr>
            <w:r w:rsidRPr="00FA3F9C">
              <w:rPr>
                <w:rFonts w:ascii="Arial" w:eastAsia="Times New Roman" w:hAnsi="Arial" w:cs="Arial"/>
                <w:color w:val="000000"/>
                <w:sz w:val="24"/>
                <w:szCs w:val="24"/>
                <w:shd w:val="clear" w:color="auto" w:fill="FFFAF6"/>
              </w:rPr>
              <w:t>Class I, A</w:t>
            </w:r>
          </w:p>
        </w:tc>
      </w:tr>
      <w:tr w:rsidR="001506C1" w:rsidRPr="00FA3F9C" w14:paraId="51212A8E" w14:textId="77777777" w:rsidTr="00A1198B">
        <w:tc>
          <w:tcPr>
            <w:tcW w:w="1525" w:type="dxa"/>
            <w:shd w:val="clear" w:color="auto" w:fill="auto"/>
          </w:tcPr>
          <w:p w14:paraId="4FD0EDFA" w14:textId="77777777" w:rsidR="001506C1" w:rsidRPr="00FA3F9C" w:rsidRDefault="001506C1" w:rsidP="00361FC4">
            <w:pPr>
              <w:rPr>
                <w:rFonts w:ascii="Arial" w:hAnsi="Arial" w:cs="Arial"/>
                <w:sz w:val="24"/>
                <w:szCs w:val="24"/>
              </w:rPr>
            </w:pPr>
            <w:proofErr w:type="spellStart"/>
            <w:r w:rsidRPr="00FA3F9C">
              <w:rPr>
                <w:rFonts w:ascii="Arial" w:hAnsi="Arial" w:cs="Arial"/>
                <w:sz w:val="24"/>
                <w:szCs w:val="24"/>
              </w:rPr>
              <w:t>Mavyret</w:t>
            </w:r>
            <w:proofErr w:type="spellEnd"/>
          </w:p>
        </w:tc>
        <w:tc>
          <w:tcPr>
            <w:tcW w:w="9270" w:type="dxa"/>
            <w:shd w:val="clear" w:color="auto" w:fill="auto"/>
          </w:tcPr>
          <w:p w14:paraId="1D46604C" w14:textId="77777777" w:rsidR="001506C1" w:rsidRPr="00FA3F9C" w:rsidRDefault="001506C1" w:rsidP="00361FC4">
            <w:pPr>
              <w:rPr>
                <w:rFonts w:ascii="Arial" w:hAnsi="Arial" w:cs="Arial"/>
                <w:sz w:val="24"/>
                <w:szCs w:val="24"/>
              </w:rPr>
            </w:pPr>
            <w:proofErr w:type="spellStart"/>
            <w:r w:rsidRPr="00FA3F9C">
              <w:rPr>
                <w:rFonts w:ascii="Arial" w:hAnsi="Arial" w:cs="Arial"/>
                <w:sz w:val="24"/>
                <w:szCs w:val="24"/>
              </w:rPr>
              <w:t>Glecaprevir</w:t>
            </w:r>
            <w:proofErr w:type="spellEnd"/>
            <w:r w:rsidRPr="00FA3F9C">
              <w:rPr>
                <w:rFonts w:ascii="Arial" w:hAnsi="Arial" w:cs="Arial"/>
                <w:sz w:val="24"/>
                <w:szCs w:val="24"/>
              </w:rPr>
              <w:t xml:space="preserve"> 300 mg/</w:t>
            </w:r>
            <w:proofErr w:type="spellStart"/>
            <w:r w:rsidRPr="00FA3F9C">
              <w:rPr>
                <w:rFonts w:ascii="Arial" w:hAnsi="Arial" w:cs="Arial"/>
                <w:sz w:val="24"/>
                <w:szCs w:val="24"/>
              </w:rPr>
              <w:t>pibrentasvir</w:t>
            </w:r>
            <w:proofErr w:type="spellEnd"/>
            <w:r w:rsidRPr="00FA3F9C">
              <w:rPr>
                <w:rFonts w:ascii="Arial" w:hAnsi="Arial" w:cs="Arial"/>
                <w:sz w:val="24"/>
                <w:szCs w:val="24"/>
              </w:rPr>
              <w:t xml:space="preserve"> 120 mg (Child-Pugh A)</w:t>
            </w:r>
          </w:p>
        </w:tc>
        <w:tc>
          <w:tcPr>
            <w:tcW w:w="1710" w:type="dxa"/>
            <w:shd w:val="clear" w:color="auto" w:fill="auto"/>
          </w:tcPr>
          <w:p w14:paraId="2FE8FA3C" w14:textId="77777777" w:rsidR="001506C1" w:rsidRPr="00FA3F9C" w:rsidRDefault="001506C1" w:rsidP="00361FC4">
            <w:pPr>
              <w:rPr>
                <w:rFonts w:ascii="Arial" w:hAnsi="Arial" w:cs="Arial"/>
                <w:sz w:val="24"/>
                <w:szCs w:val="24"/>
              </w:rPr>
            </w:pPr>
            <w:r w:rsidRPr="00FA3F9C">
              <w:rPr>
                <w:rFonts w:ascii="Arial" w:hAnsi="Arial" w:cs="Arial"/>
                <w:sz w:val="24"/>
                <w:szCs w:val="24"/>
              </w:rPr>
              <w:t>8</w:t>
            </w:r>
          </w:p>
        </w:tc>
        <w:tc>
          <w:tcPr>
            <w:tcW w:w="1710" w:type="dxa"/>
            <w:shd w:val="clear" w:color="auto" w:fill="auto"/>
          </w:tcPr>
          <w:p w14:paraId="17D4933C" w14:textId="77777777" w:rsidR="001506C1" w:rsidRPr="00FA3F9C" w:rsidRDefault="001506C1" w:rsidP="00361FC4">
            <w:pPr>
              <w:rPr>
                <w:rFonts w:ascii="Arial" w:eastAsia="Times New Roman" w:hAnsi="Arial" w:cs="Arial"/>
                <w:color w:val="000000"/>
                <w:sz w:val="24"/>
                <w:szCs w:val="24"/>
                <w:shd w:val="clear" w:color="auto" w:fill="FFFAF6"/>
              </w:rPr>
            </w:pPr>
            <w:r w:rsidRPr="00FA3F9C">
              <w:rPr>
                <w:rFonts w:ascii="Arial" w:eastAsia="Times New Roman" w:hAnsi="Arial" w:cs="Arial"/>
                <w:color w:val="000000"/>
                <w:sz w:val="24"/>
                <w:szCs w:val="24"/>
                <w:shd w:val="clear" w:color="auto" w:fill="FFFAF6"/>
              </w:rPr>
              <w:t>Class I, B</w:t>
            </w:r>
          </w:p>
        </w:tc>
      </w:tr>
      <w:tr w:rsidR="001506C1" w:rsidRPr="00FA3F9C" w14:paraId="0F97D722" w14:textId="77777777" w:rsidTr="00A1198B">
        <w:tc>
          <w:tcPr>
            <w:tcW w:w="1525" w:type="dxa"/>
            <w:tcBorders>
              <w:bottom w:val="single" w:sz="4" w:space="0" w:color="auto"/>
            </w:tcBorders>
            <w:shd w:val="clear" w:color="auto" w:fill="auto"/>
          </w:tcPr>
          <w:p w14:paraId="006A678D" w14:textId="77777777" w:rsidR="001506C1" w:rsidRPr="00FA3F9C" w:rsidRDefault="001506C1" w:rsidP="00361FC4">
            <w:pPr>
              <w:rPr>
                <w:rFonts w:ascii="Arial" w:hAnsi="Arial" w:cs="Arial"/>
                <w:sz w:val="24"/>
                <w:szCs w:val="24"/>
              </w:rPr>
            </w:pPr>
          </w:p>
        </w:tc>
        <w:tc>
          <w:tcPr>
            <w:tcW w:w="9270" w:type="dxa"/>
            <w:tcBorders>
              <w:bottom w:val="single" w:sz="4" w:space="0" w:color="auto"/>
            </w:tcBorders>
            <w:shd w:val="clear" w:color="auto" w:fill="auto"/>
          </w:tcPr>
          <w:p w14:paraId="0D133729" w14:textId="77777777" w:rsidR="001506C1" w:rsidRPr="00FA3F9C" w:rsidRDefault="001506C1" w:rsidP="00361FC4">
            <w:pPr>
              <w:rPr>
                <w:rFonts w:ascii="Arial" w:hAnsi="Arial" w:cs="Arial"/>
                <w:sz w:val="24"/>
                <w:szCs w:val="24"/>
              </w:rPr>
            </w:pPr>
          </w:p>
        </w:tc>
        <w:tc>
          <w:tcPr>
            <w:tcW w:w="1710" w:type="dxa"/>
            <w:tcBorders>
              <w:bottom w:val="single" w:sz="4" w:space="0" w:color="auto"/>
            </w:tcBorders>
            <w:shd w:val="clear" w:color="auto" w:fill="auto"/>
          </w:tcPr>
          <w:p w14:paraId="3537D672" w14:textId="77777777" w:rsidR="001506C1" w:rsidRPr="00FA3F9C" w:rsidRDefault="001506C1" w:rsidP="00361FC4">
            <w:pPr>
              <w:rPr>
                <w:rFonts w:ascii="Arial" w:hAnsi="Arial" w:cs="Arial"/>
                <w:sz w:val="24"/>
                <w:szCs w:val="24"/>
              </w:rPr>
            </w:pPr>
          </w:p>
        </w:tc>
        <w:tc>
          <w:tcPr>
            <w:tcW w:w="1710" w:type="dxa"/>
            <w:tcBorders>
              <w:bottom w:val="single" w:sz="4" w:space="0" w:color="auto"/>
            </w:tcBorders>
            <w:shd w:val="clear" w:color="auto" w:fill="auto"/>
          </w:tcPr>
          <w:p w14:paraId="3A2A9B62" w14:textId="77777777" w:rsidR="001506C1" w:rsidRPr="00FA3F9C" w:rsidRDefault="001506C1" w:rsidP="00361FC4">
            <w:pPr>
              <w:rPr>
                <w:rFonts w:ascii="Arial" w:eastAsia="Times New Roman" w:hAnsi="Arial" w:cs="Arial"/>
                <w:sz w:val="24"/>
                <w:szCs w:val="24"/>
              </w:rPr>
            </w:pPr>
          </w:p>
        </w:tc>
      </w:tr>
      <w:tr w:rsidR="001506C1" w:rsidRPr="00FA3F9C" w14:paraId="27625313" w14:textId="77777777" w:rsidTr="00A1198B">
        <w:tc>
          <w:tcPr>
            <w:tcW w:w="1525" w:type="dxa"/>
            <w:tcBorders>
              <w:bottom w:val="single" w:sz="4" w:space="0" w:color="auto"/>
            </w:tcBorders>
            <w:shd w:val="clear" w:color="auto" w:fill="000000" w:themeFill="text1"/>
          </w:tcPr>
          <w:p w14:paraId="4F24EAF3" w14:textId="77777777" w:rsidR="001506C1" w:rsidRPr="00FA3F9C" w:rsidRDefault="001506C1" w:rsidP="003E53DA">
            <w:pPr>
              <w:rPr>
                <w:rFonts w:ascii="Arial" w:hAnsi="Arial" w:cs="Arial"/>
                <w:sz w:val="24"/>
                <w:szCs w:val="24"/>
              </w:rPr>
            </w:pPr>
          </w:p>
        </w:tc>
        <w:tc>
          <w:tcPr>
            <w:tcW w:w="9270" w:type="dxa"/>
            <w:tcBorders>
              <w:bottom w:val="single" w:sz="4" w:space="0" w:color="auto"/>
            </w:tcBorders>
            <w:shd w:val="clear" w:color="auto" w:fill="000000" w:themeFill="text1"/>
          </w:tcPr>
          <w:p w14:paraId="56563D93" w14:textId="77777777" w:rsidR="001506C1" w:rsidRPr="00FA3F9C" w:rsidRDefault="001506C1" w:rsidP="003E53DA">
            <w:pPr>
              <w:rPr>
                <w:rFonts w:ascii="Arial" w:hAnsi="Arial" w:cs="Arial"/>
                <w:sz w:val="24"/>
                <w:szCs w:val="24"/>
              </w:rPr>
            </w:pPr>
            <w:r w:rsidRPr="00FA3F9C">
              <w:rPr>
                <w:rFonts w:ascii="Arial" w:hAnsi="Arial" w:cs="Arial"/>
                <w:sz w:val="24"/>
                <w:szCs w:val="24"/>
              </w:rPr>
              <w:t>GT2, TN, NO Cirrhosis</w:t>
            </w:r>
          </w:p>
        </w:tc>
        <w:tc>
          <w:tcPr>
            <w:tcW w:w="1710" w:type="dxa"/>
            <w:tcBorders>
              <w:bottom w:val="single" w:sz="4" w:space="0" w:color="auto"/>
            </w:tcBorders>
            <w:shd w:val="clear" w:color="auto" w:fill="000000" w:themeFill="text1"/>
          </w:tcPr>
          <w:p w14:paraId="45850D50" w14:textId="77777777" w:rsidR="001506C1" w:rsidRPr="00FA3F9C" w:rsidRDefault="001506C1" w:rsidP="003E53DA">
            <w:pPr>
              <w:rPr>
                <w:rFonts w:ascii="Arial" w:hAnsi="Arial" w:cs="Arial"/>
                <w:sz w:val="24"/>
                <w:szCs w:val="24"/>
              </w:rPr>
            </w:pPr>
          </w:p>
        </w:tc>
        <w:tc>
          <w:tcPr>
            <w:tcW w:w="1710" w:type="dxa"/>
            <w:tcBorders>
              <w:bottom w:val="single" w:sz="4" w:space="0" w:color="auto"/>
            </w:tcBorders>
            <w:shd w:val="clear" w:color="auto" w:fill="000000" w:themeFill="text1"/>
          </w:tcPr>
          <w:p w14:paraId="1C5C98E5" w14:textId="77777777" w:rsidR="001506C1" w:rsidRPr="00FA3F9C" w:rsidRDefault="001506C1" w:rsidP="003E53DA">
            <w:pPr>
              <w:rPr>
                <w:rFonts w:ascii="Arial" w:eastAsia="Times New Roman" w:hAnsi="Arial" w:cs="Arial"/>
                <w:color w:val="000000"/>
                <w:sz w:val="24"/>
                <w:szCs w:val="24"/>
                <w:shd w:val="clear" w:color="auto" w:fill="FFFAF6"/>
              </w:rPr>
            </w:pPr>
          </w:p>
        </w:tc>
      </w:tr>
      <w:tr w:rsidR="001506C1" w:rsidRPr="00FA3F9C" w14:paraId="31F850A3" w14:textId="77777777" w:rsidTr="00A1198B">
        <w:tc>
          <w:tcPr>
            <w:tcW w:w="1525" w:type="dxa"/>
            <w:tcBorders>
              <w:bottom w:val="single" w:sz="4" w:space="0" w:color="auto"/>
            </w:tcBorders>
            <w:shd w:val="clear" w:color="auto" w:fill="auto"/>
          </w:tcPr>
          <w:p w14:paraId="0219B721" w14:textId="77777777" w:rsidR="001506C1" w:rsidRPr="00FA3F9C" w:rsidRDefault="001506C1" w:rsidP="003E53DA">
            <w:pPr>
              <w:rPr>
                <w:rFonts w:ascii="Arial" w:hAnsi="Arial" w:cs="Arial"/>
                <w:sz w:val="24"/>
                <w:szCs w:val="24"/>
              </w:rPr>
            </w:pPr>
            <w:r w:rsidRPr="00FA3F9C">
              <w:rPr>
                <w:rFonts w:ascii="Arial" w:hAnsi="Arial" w:cs="Arial"/>
                <w:sz w:val="24"/>
                <w:szCs w:val="24"/>
              </w:rPr>
              <w:t>Epclusa</w:t>
            </w:r>
          </w:p>
        </w:tc>
        <w:tc>
          <w:tcPr>
            <w:tcW w:w="9270" w:type="dxa"/>
            <w:tcBorders>
              <w:bottom w:val="single" w:sz="4" w:space="0" w:color="auto"/>
            </w:tcBorders>
            <w:shd w:val="clear" w:color="auto" w:fill="auto"/>
          </w:tcPr>
          <w:p w14:paraId="2F931B72" w14:textId="77777777" w:rsidR="001506C1" w:rsidRPr="00FA3F9C" w:rsidRDefault="001506C1" w:rsidP="003E53DA">
            <w:pPr>
              <w:rPr>
                <w:rFonts w:ascii="Arial" w:hAnsi="Arial" w:cs="Arial"/>
                <w:sz w:val="24"/>
                <w:szCs w:val="24"/>
              </w:rPr>
            </w:pPr>
            <w:r w:rsidRPr="00FA3F9C">
              <w:rPr>
                <w:rFonts w:ascii="Arial" w:hAnsi="Arial" w:cs="Arial"/>
                <w:sz w:val="24"/>
                <w:szCs w:val="24"/>
              </w:rPr>
              <w:t>Sofosbuvir 400mg/</w:t>
            </w:r>
            <w:proofErr w:type="spellStart"/>
            <w:r w:rsidRPr="00FA3F9C">
              <w:rPr>
                <w:rFonts w:ascii="Arial" w:hAnsi="Arial" w:cs="Arial"/>
                <w:sz w:val="24"/>
                <w:szCs w:val="24"/>
              </w:rPr>
              <w:t>velpatasvir</w:t>
            </w:r>
            <w:proofErr w:type="spellEnd"/>
            <w:r w:rsidRPr="00FA3F9C">
              <w:rPr>
                <w:rFonts w:ascii="Arial" w:hAnsi="Arial" w:cs="Arial"/>
                <w:sz w:val="24"/>
                <w:szCs w:val="24"/>
              </w:rPr>
              <w:t xml:space="preserve"> 100mg</w:t>
            </w:r>
          </w:p>
        </w:tc>
        <w:tc>
          <w:tcPr>
            <w:tcW w:w="1710" w:type="dxa"/>
            <w:tcBorders>
              <w:bottom w:val="single" w:sz="4" w:space="0" w:color="auto"/>
            </w:tcBorders>
            <w:shd w:val="clear" w:color="auto" w:fill="auto"/>
          </w:tcPr>
          <w:p w14:paraId="3990AF92" w14:textId="77777777" w:rsidR="001506C1" w:rsidRPr="00FA3F9C" w:rsidRDefault="001506C1" w:rsidP="003E53DA">
            <w:pPr>
              <w:rPr>
                <w:rFonts w:ascii="Arial" w:hAnsi="Arial" w:cs="Arial"/>
                <w:sz w:val="24"/>
                <w:szCs w:val="24"/>
              </w:rPr>
            </w:pPr>
            <w:r w:rsidRPr="00FA3F9C">
              <w:rPr>
                <w:rFonts w:ascii="Arial" w:hAnsi="Arial" w:cs="Arial"/>
                <w:sz w:val="24"/>
                <w:szCs w:val="24"/>
              </w:rPr>
              <w:t>12</w:t>
            </w:r>
          </w:p>
        </w:tc>
        <w:tc>
          <w:tcPr>
            <w:tcW w:w="1710" w:type="dxa"/>
            <w:tcBorders>
              <w:bottom w:val="single" w:sz="4" w:space="0" w:color="auto"/>
            </w:tcBorders>
            <w:shd w:val="clear" w:color="auto" w:fill="auto"/>
          </w:tcPr>
          <w:p w14:paraId="7EAC45A2" w14:textId="77777777" w:rsidR="001506C1" w:rsidRPr="00FA3F9C" w:rsidRDefault="001506C1" w:rsidP="003E53DA">
            <w:pPr>
              <w:rPr>
                <w:rFonts w:ascii="Arial" w:eastAsia="Times New Roman" w:hAnsi="Arial" w:cs="Arial"/>
                <w:sz w:val="24"/>
                <w:szCs w:val="24"/>
              </w:rPr>
            </w:pPr>
            <w:r w:rsidRPr="00FA3F9C">
              <w:rPr>
                <w:rFonts w:ascii="Arial" w:eastAsia="Times New Roman" w:hAnsi="Arial" w:cs="Arial"/>
                <w:color w:val="000000"/>
                <w:sz w:val="24"/>
                <w:szCs w:val="24"/>
                <w:shd w:val="clear" w:color="auto" w:fill="FFFAF6"/>
              </w:rPr>
              <w:t>Class I, A</w:t>
            </w:r>
          </w:p>
        </w:tc>
      </w:tr>
      <w:tr w:rsidR="001506C1" w:rsidRPr="00FA3F9C" w14:paraId="68E7E23A" w14:textId="77777777" w:rsidTr="00A1198B">
        <w:tc>
          <w:tcPr>
            <w:tcW w:w="1525" w:type="dxa"/>
            <w:tcBorders>
              <w:bottom w:val="single" w:sz="4" w:space="0" w:color="auto"/>
            </w:tcBorders>
            <w:shd w:val="clear" w:color="auto" w:fill="auto"/>
          </w:tcPr>
          <w:p w14:paraId="1E3A4F90" w14:textId="77777777" w:rsidR="001506C1" w:rsidRPr="00FA3F9C" w:rsidRDefault="001506C1" w:rsidP="003E53DA">
            <w:pPr>
              <w:rPr>
                <w:rFonts w:ascii="Arial" w:hAnsi="Arial" w:cs="Arial"/>
                <w:sz w:val="24"/>
                <w:szCs w:val="24"/>
              </w:rPr>
            </w:pPr>
            <w:proofErr w:type="spellStart"/>
            <w:r w:rsidRPr="00FA3F9C">
              <w:rPr>
                <w:rFonts w:ascii="Arial" w:hAnsi="Arial" w:cs="Arial"/>
                <w:sz w:val="24"/>
                <w:szCs w:val="24"/>
              </w:rPr>
              <w:t>Mavyret</w:t>
            </w:r>
            <w:proofErr w:type="spellEnd"/>
          </w:p>
        </w:tc>
        <w:tc>
          <w:tcPr>
            <w:tcW w:w="9270" w:type="dxa"/>
            <w:tcBorders>
              <w:bottom w:val="single" w:sz="4" w:space="0" w:color="auto"/>
            </w:tcBorders>
            <w:shd w:val="clear" w:color="auto" w:fill="auto"/>
          </w:tcPr>
          <w:p w14:paraId="3E0B12B1" w14:textId="77777777" w:rsidR="001506C1" w:rsidRPr="00FA3F9C" w:rsidRDefault="001506C1" w:rsidP="003E53DA">
            <w:pPr>
              <w:rPr>
                <w:rFonts w:ascii="Arial" w:hAnsi="Arial" w:cs="Arial"/>
                <w:sz w:val="24"/>
                <w:szCs w:val="24"/>
              </w:rPr>
            </w:pPr>
            <w:proofErr w:type="spellStart"/>
            <w:r w:rsidRPr="00FA3F9C">
              <w:rPr>
                <w:rFonts w:ascii="Arial" w:hAnsi="Arial" w:cs="Arial"/>
                <w:sz w:val="24"/>
                <w:szCs w:val="24"/>
              </w:rPr>
              <w:t>Glecaprevir</w:t>
            </w:r>
            <w:proofErr w:type="spellEnd"/>
            <w:r w:rsidRPr="00FA3F9C">
              <w:rPr>
                <w:rFonts w:ascii="Arial" w:hAnsi="Arial" w:cs="Arial"/>
                <w:sz w:val="24"/>
                <w:szCs w:val="24"/>
              </w:rPr>
              <w:t xml:space="preserve"> 300 mg/</w:t>
            </w:r>
            <w:proofErr w:type="spellStart"/>
            <w:r w:rsidRPr="00FA3F9C">
              <w:rPr>
                <w:rFonts w:ascii="Arial" w:hAnsi="Arial" w:cs="Arial"/>
                <w:sz w:val="24"/>
                <w:szCs w:val="24"/>
              </w:rPr>
              <w:t>pibrentasvir</w:t>
            </w:r>
            <w:proofErr w:type="spellEnd"/>
            <w:r w:rsidRPr="00FA3F9C">
              <w:rPr>
                <w:rFonts w:ascii="Arial" w:hAnsi="Arial" w:cs="Arial"/>
                <w:sz w:val="24"/>
                <w:szCs w:val="24"/>
              </w:rPr>
              <w:t xml:space="preserve"> 120 mg</w:t>
            </w:r>
          </w:p>
        </w:tc>
        <w:tc>
          <w:tcPr>
            <w:tcW w:w="1710" w:type="dxa"/>
            <w:tcBorders>
              <w:bottom w:val="single" w:sz="4" w:space="0" w:color="auto"/>
            </w:tcBorders>
            <w:shd w:val="clear" w:color="auto" w:fill="auto"/>
          </w:tcPr>
          <w:p w14:paraId="49D8DFCD" w14:textId="77777777" w:rsidR="001506C1" w:rsidRPr="00FA3F9C" w:rsidRDefault="001506C1" w:rsidP="003E53DA">
            <w:pPr>
              <w:rPr>
                <w:rFonts w:ascii="Arial" w:hAnsi="Arial" w:cs="Arial"/>
                <w:sz w:val="24"/>
                <w:szCs w:val="24"/>
              </w:rPr>
            </w:pPr>
            <w:r w:rsidRPr="00FA3F9C">
              <w:rPr>
                <w:rFonts w:ascii="Arial" w:hAnsi="Arial" w:cs="Arial"/>
                <w:sz w:val="24"/>
                <w:szCs w:val="24"/>
              </w:rPr>
              <w:t>8</w:t>
            </w:r>
          </w:p>
        </w:tc>
        <w:tc>
          <w:tcPr>
            <w:tcW w:w="1710" w:type="dxa"/>
            <w:tcBorders>
              <w:bottom w:val="single" w:sz="4" w:space="0" w:color="auto"/>
            </w:tcBorders>
            <w:shd w:val="clear" w:color="auto" w:fill="auto"/>
          </w:tcPr>
          <w:p w14:paraId="200E8A99" w14:textId="77777777" w:rsidR="001506C1" w:rsidRPr="00FA3F9C" w:rsidRDefault="001506C1" w:rsidP="003E53DA">
            <w:pPr>
              <w:rPr>
                <w:rFonts w:ascii="Arial" w:eastAsia="Times New Roman" w:hAnsi="Arial" w:cs="Arial"/>
                <w:color w:val="000000"/>
                <w:sz w:val="24"/>
                <w:szCs w:val="24"/>
                <w:shd w:val="clear" w:color="auto" w:fill="FFFAF6"/>
              </w:rPr>
            </w:pPr>
            <w:r w:rsidRPr="00FA3F9C">
              <w:rPr>
                <w:rFonts w:ascii="Arial" w:eastAsia="Times New Roman" w:hAnsi="Arial" w:cs="Arial"/>
                <w:color w:val="000000"/>
                <w:sz w:val="24"/>
                <w:szCs w:val="24"/>
                <w:shd w:val="clear" w:color="auto" w:fill="FFFAF6"/>
              </w:rPr>
              <w:t>Class I, A</w:t>
            </w:r>
          </w:p>
        </w:tc>
      </w:tr>
      <w:tr w:rsidR="001506C1" w:rsidRPr="00FA3F9C" w14:paraId="388946F9" w14:textId="77777777" w:rsidTr="00A1198B">
        <w:tc>
          <w:tcPr>
            <w:tcW w:w="1525" w:type="dxa"/>
            <w:tcBorders>
              <w:bottom w:val="single" w:sz="4" w:space="0" w:color="auto"/>
            </w:tcBorders>
          </w:tcPr>
          <w:p w14:paraId="22DEB253" w14:textId="77777777" w:rsidR="001506C1" w:rsidRPr="00FA3F9C" w:rsidRDefault="001506C1" w:rsidP="003E53DA">
            <w:pPr>
              <w:rPr>
                <w:rFonts w:ascii="Arial" w:hAnsi="Arial" w:cs="Arial"/>
                <w:sz w:val="24"/>
                <w:szCs w:val="24"/>
              </w:rPr>
            </w:pPr>
          </w:p>
        </w:tc>
        <w:tc>
          <w:tcPr>
            <w:tcW w:w="9270" w:type="dxa"/>
            <w:tcBorders>
              <w:bottom w:val="single" w:sz="4" w:space="0" w:color="auto"/>
            </w:tcBorders>
          </w:tcPr>
          <w:p w14:paraId="546BD92B" w14:textId="77777777" w:rsidR="001506C1" w:rsidRPr="00FA3F9C" w:rsidRDefault="001506C1" w:rsidP="003E53DA">
            <w:pPr>
              <w:rPr>
                <w:rFonts w:ascii="Arial" w:hAnsi="Arial" w:cs="Arial"/>
                <w:sz w:val="24"/>
                <w:szCs w:val="24"/>
              </w:rPr>
            </w:pPr>
          </w:p>
        </w:tc>
        <w:tc>
          <w:tcPr>
            <w:tcW w:w="1710" w:type="dxa"/>
            <w:tcBorders>
              <w:bottom w:val="single" w:sz="4" w:space="0" w:color="auto"/>
            </w:tcBorders>
          </w:tcPr>
          <w:p w14:paraId="4877173E" w14:textId="77777777" w:rsidR="001506C1" w:rsidRPr="00FA3F9C" w:rsidRDefault="001506C1" w:rsidP="003E53DA">
            <w:pPr>
              <w:rPr>
                <w:rFonts w:ascii="Arial" w:hAnsi="Arial" w:cs="Arial"/>
                <w:sz w:val="24"/>
                <w:szCs w:val="24"/>
              </w:rPr>
            </w:pPr>
          </w:p>
        </w:tc>
        <w:tc>
          <w:tcPr>
            <w:tcW w:w="1710" w:type="dxa"/>
            <w:tcBorders>
              <w:bottom w:val="single" w:sz="4" w:space="0" w:color="auto"/>
            </w:tcBorders>
          </w:tcPr>
          <w:p w14:paraId="1BC39073" w14:textId="77777777" w:rsidR="001506C1" w:rsidRPr="00FA3F9C" w:rsidRDefault="001506C1" w:rsidP="003E53DA">
            <w:pPr>
              <w:rPr>
                <w:rFonts w:ascii="Arial" w:eastAsia="Times New Roman" w:hAnsi="Arial" w:cs="Arial"/>
                <w:color w:val="000000"/>
                <w:sz w:val="24"/>
                <w:szCs w:val="24"/>
                <w:shd w:val="clear" w:color="auto" w:fill="FFFAF6"/>
              </w:rPr>
            </w:pPr>
          </w:p>
        </w:tc>
      </w:tr>
      <w:tr w:rsidR="001506C1" w:rsidRPr="00FA3F9C" w14:paraId="1F322B8C" w14:textId="77777777" w:rsidTr="00A1198B">
        <w:tc>
          <w:tcPr>
            <w:tcW w:w="1525" w:type="dxa"/>
            <w:tcBorders>
              <w:bottom w:val="single" w:sz="4" w:space="0" w:color="auto"/>
            </w:tcBorders>
            <w:shd w:val="clear" w:color="auto" w:fill="000000" w:themeFill="text1"/>
          </w:tcPr>
          <w:p w14:paraId="057484F8" w14:textId="77777777" w:rsidR="001506C1" w:rsidRPr="00FA3F9C" w:rsidRDefault="001506C1" w:rsidP="003E53DA">
            <w:pPr>
              <w:rPr>
                <w:rFonts w:ascii="Arial" w:hAnsi="Arial" w:cs="Arial"/>
                <w:sz w:val="24"/>
                <w:szCs w:val="24"/>
              </w:rPr>
            </w:pPr>
          </w:p>
        </w:tc>
        <w:tc>
          <w:tcPr>
            <w:tcW w:w="9270" w:type="dxa"/>
            <w:tcBorders>
              <w:bottom w:val="single" w:sz="4" w:space="0" w:color="auto"/>
            </w:tcBorders>
            <w:shd w:val="clear" w:color="auto" w:fill="000000" w:themeFill="text1"/>
          </w:tcPr>
          <w:p w14:paraId="621DCEA5" w14:textId="77777777" w:rsidR="001506C1" w:rsidRPr="00FA3F9C" w:rsidRDefault="001506C1" w:rsidP="003E53DA">
            <w:pPr>
              <w:rPr>
                <w:rFonts w:ascii="Arial" w:hAnsi="Arial" w:cs="Arial"/>
                <w:sz w:val="24"/>
                <w:szCs w:val="24"/>
              </w:rPr>
            </w:pPr>
            <w:r w:rsidRPr="00FA3F9C">
              <w:rPr>
                <w:rFonts w:ascii="Arial" w:hAnsi="Arial" w:cs="Arial"/>
                <w:sz w:val="24"/>
                <w:szCs w:val="24"/>
              </w:rPr>
              <w:t>GT2, TN, COMPENSATED Cirrhosis</w:t>
            </w:r>
          </w:p>
        </w:tc>
        <w:tc>
          <w:tcPr>
            <w:tcW w:w="1710" w:type="dxa"/>
            <w:tcBorders>
              <w:bottom w:val="single" w:sz="4" w:space="0" w:color="auto"/>
            </w:tcBorders>
            <w:shd w:val="clear" w:color="auto" w:fill="000000" w:themeFill="text1"/>
          </w:tcPr>
          <w:p w14:paraId="2C8D84C2" w14:textId="77777777" w:rsidR="001506C1" w:rsidRPr="00FA3F9C" w:rsidRDefault="001506C1" w:rsidP="003E53DA">
            <w:pPr>
              <w:rPr>
                <w:rFonts w:ascii="Arial" w:hAnsi="Arial" w:cs="Arial"/>
                <w:sz w:val="24"/>
                <w:szCs w:val="24"/>
              </w:rPr>
            </w:pPr>
          </w:p>
        </w:tc>
        <w:tc>
          <w:tcPr>
            <w:tcW w:w="1710" w:type="dxa"/>
            <w:tcBorders>
              <w:bottom w:val="single" w:sz="4" w:space="0" w:color="auto"/>
            </w:tcBorders>
            <w:shd w:val="clear" w:color="auto" w:fill="000000" w:themeFill="text1"/>
          </w:tcPr>
          <w:p w14:paraId="4C2AC0C5" w14:textId="77777777" w:rsidR="001506C1" w:rsidRPr="00FA3F9C" w:rsidRDefault="001506C1" w:rsidP="003E53DA">
            <w:pPr>
              <w:rPr>
                <w:rFonts w:ascii="Arial" w:eastAsia="Times New Roman" w:hAnsi="Arial" w:cs="Arial"/>
                <w:color w:val="000000"/>
                <w:sz w:val="24"/>
                <w:szCs w:val="24"/>
                <w:shd w:val="clear" w:color="auto" w:fill="FFFAF6"/>
              </w:rPr>
            </w:pPr>
          </w:p>
        </w:tc>
      </w:tr>
      <w:tr w:rsidR="001506C1" w:rsidRPr="00FA3F9C" w14:paraId="1F39BF35" w14:textId="77777777" w:rsidTr="00A1198B">
        <w:tc>
          <w:tcPr>
            <w:tcW w:w="1525" w:type="dxa"/>
            <w:tcBorders>
              <w:bottom w:val="single" w:sz="4" w:space="0" w:color="auto"/>
            </w:tcBorders>
            <w:shd w:val="clear" w:color="auto" w:fill="auto"/>
          </w:tcPr>
          <w:p w14:paraId="62BD5580" w14:textId="77777777" w:rsidR="001506C1" w:rsidRPr="00FA3F9C" w:rsidRDefault="001506C1" w:rsidP="003E53DA">
            <w:pPr>
              <w:rPr>
                <w:rFonts w:ascii="Arial" w:hAnsi="Arial" w:cs="Arial"/>
                <w:sz w:val="24"/>
                <w:szCs w:val="24"/>
              </w:rPr>
            </w:pPr>
            <w:r w:rsidRPr="00FA3F9C">
              <w:rPr>
                <w:rFonts w:ascii="Arial" w:hAnsi="Arial" w:cs="Arial"/>
                <w:sz w:val="24"/>
                <w:szCs w:val="24"/>
              </w:rPr>
              <w:t>Epclusa</w:t>
            </w:r>
          </w:p>
        </w:tc>
        <w:tc>
          <w:tcPr>
            <w:tcW w:w="9270" w:type="dxa"/>
            <w:tcBorders>
              <w:bottom w:val="single" w:sz="4" w:space="0" w:color="auto"/>
            </w:tcBorders>
            <w:shd w:val="clear" w:color="auto" w:fill="auto"/>
          </w:tcPr>
          <w:p w14:paraId="1485FFD2" w14:textId="77777777" w:rsidR="001506C1" w:rsidRPr="00FA3F9C" w:rsidRDefault="001506C1" w:rsidP="003E53DA">
            <w:pPr>
              <w:rPr>
                <w:rFonts w:ascii="Arial" w:hAnsi="Arial" w:cs="Arial"/>
                <w:sz w:val="24"/>
                <w:szCs w:val="24"/>
              </w:rPr>
            </w:pPr>
            <w:r w:rsidRPr="00FA3F9C">
              <w:rPr>
                <w:rFonts w:ascii="Arial" w:hAnsi="Arial" w:cs="Arial"/>
                <w:sz w:val="24"/>
                <w:szCs w:val="24"/>
              </w:rPr>
              <w:t>Sofosbuvir 400mg/</w:t>
            </w:r>
            <w:proofErr w:type="spellStart"/>
            <w:r w:rsidRPr="00FA3F9C">
              <w:rPr>
                <w:rFonts w:ascii="Arial" w:hAnsi="Arial" w:cs="Arial"/>
                <w:sz w:val="24"/>
                <w:szCs w:val="24"/>
              </w:rPr>
              <w:t>velpatasvir</w:t>
            </w:r>
            <w:proofErr w:type="spellEnd"/>
            <w:r w:rsidRPr="00FA3F9C">
              <w:rPr>
                <w:rFonts w:ascii="Arial" w:hAnsi="Arial" w:cs="Arial"/>
                <w:sz w:val="24"/>
                <w:szCs w:val="24"/>
              </w:rPr>
              <w:t xml:space="preserve"> 100mg</w:t>
            </w:r>
          </w:p>
        </w:tc>
        <w:tc>
          <w:tcPr>
            <w:tcW w:w="1710" w:type="dxa"/>
            <w:tcBorders>
              <w:bottom w:val="single" w:sz="4" w:space="0" w:color="auto"/>
            </w:tcBorders>
            <w:shd w:val="clear" w:color="auto" w:fill="auto"/>
          </w:tcPr>
          <w:p w14:paraId="73B3D97A" w14:textId="77777777" w:rsidR="001506C1" w:rsidRPr="00FA3F9C" w:rsidRDefault="001506C1" w:rsidP="003E53DA">
            <w:pPr>
              <w:rPr>
                <w:rFonts w:ascii="Arial" w:hAnsi="Arial" w:cs="Arial"/>
                <w:sz w:val="24"/>
                <w:szCs w:val="24"/>
              </w:rPr>
            </w:pPr>
            <w:r w:rsidRPr="00FA3F9C">
              <w:rPr>
                <w:rFonts w:ascii="Arial" w:hAnsi="Arial" w:cs="Arial"/>
                <w:sz w:val="24"/>
                <w:szCs w:val="24"/>
              </w:rPr>
              <w:t>12</w:t>
            </w:r>
          </w:p>
        </w:tc>
        <w:tc>
          <w:tcPr>
            <w:tcW w:w="1710" w:type="dxa"/>
            <w:tcBorders>
              <w:bottom w:val="single" w:sz="4" w:space="0" w:color="auto"/>
            </w:tcBorders>
            <w:shd w:val="clear" w:color="auto" w:fill="auto"/>
          </w:tcPr>
          <w:p w14:paraId="55AB1461" w14:textId="77777777" w:rsidR="001506C1" w:rsidRPr="00FA3F9C" w:rsidRDefault="001506C1" w:rsidP="003E53DA">
            <w:pPr>
              <w:rPr>
                <w:rFonts w:ascii="Arial" w:eastAsia="Times New Roman" w:hAnsi="Arial" w:cs="Arial"/>
                <w:sz w:val="24"/>
                <w:szCs w:val="24"/>
              </w:rPr>
            </w:pPr>
            <w:r w:rsidRPr="00FA3F9C">
              <w:rPr>
                <w:rFonts w:ascii="Arial" w:eastAsia="Times New Roman" w:hAnsi="Arial" w:cs="Arial"/>
                <w:color w:val="000000"/>
                <w:sz w:val="24"/>
                <w:szCs w:val="24"/>
                <w:shd w:val="clear" w:color="auto" w:fill="FFFAF6"/>
              </w:rPr>
              <w:t>Class I, A</w:t>
            </w:r>
          </w:p>
        </w:tc>
      </w:tr>
      <w:tr w:rsidR="001506C1" w:rsidRPr="00FA3F9C" w14:paraId="50A67A65" w14:textId="77777777" w:rsidTr="00A1198B">
        <w:tc>
          <w:tcPr>
            <w:tcW w:w="1525" w:type="dxa"/>
            <w:tcBorders>
              <w:bottom w:val="single" w:sz="4" w:space="0" w:color="auto"/>
            </w:tcBorders>
            <w:shd w:val="clear" w:color="auto" w:fill="auto"/>
          </w:tcPr>
          <w:p w14:paraId="0569124C" w14:textId="77777777" w:rsidR="001506C1" w:rsidRPr="00FA3F9C" w:rsidRDefault="001506C1" w:rsidP="003E53DA">
            <w:pPr>
              <w:rPr>
                <w:rFonts w:ascii="Arial" w:hAnsi="Arial" w:cs="Arial"/>
                <w:sz w:val="24"/>
                <w:szCs w:val="24"/>
              </w:rPr>
            </w:pPr>
            <w:proofErr w:type="spellStart"/>
            <w:r w:rsidRPr="00FA3F9C">
              <w:rPr>
                <w:rFonts w:ascii="Arial" w:hAnsi="Arial" w:cs="Arial"/>
                <w:sz w:val="24"/>
                <w:szCs w:val="24"/>
              </w:rPr>
              <w:t>Mavyret</w:t>
            </w:r>
            <w:proofErr w:type="spellEnd"/>
          </w:p>
        </w:tc>
        <w:tc>
          <w:tcPr>
            <w:tcW w:w="9270" w:type="dxa"/>
            <w:tcBorders>
              <w:bottom w:val="single" w:sz="4" w:space="0" w:color="auto"/>
            </w:tcBorders>
            <w:shd w:val="clear" w:color="auto" w:fill="auto"/>
          </w:tcPr>
          <w:p w14:paraId="2AEFB05F" w14:textId="77777777" w:rsidR="001506C1" w:rsidRPr="00FA3F9C" w:rsidRDefault="001506C1" w:rsidP="003E53DA">
            <w:pPr>
              <w:rPr>
                <w:rFonts w:ascii="Arial" w:hAnsi="Arial" w:cs="Arial"/>
                <w:sz w:val="24"/>
                <w:szCs w:val="24"/>
              </w:rPr>
            </w:pPr>
            <w:proofErr w:type="spellStart"/>
            <w:r w:rsidRPr="00FA3F9C">
              <w:rPr>
                <w:rFonts w:ascii="Arial" w:hAnsi="Arial" w:cs="Arial"/>
                <w:sz w:val="24"/>
                <w:szCs w:val="24"/>
              </w:rPr>
              <w:t>Glecaprevir</w:t>
            </w:r>
            <w:proofErr w:type="spellEnd"/>
            <w:r w:rsidRPr="00FA3F9C">
              <w:rPr>
                <w:rFonts w:ascii="Arial" w:hAnsi="Arial" w:cs="Arial"/>
                <w:sz w:val="24"/>
                <w:szCs w:val="24"/>
              </w:rPr>
              <w:t xml:space="preserve"> 300 mg/</w:t>
            </w:r>
            <w:proofErr w:type="spellStart"/>
            <w:r w:rsidRPr="00FA3F9C">
              <w:rPr>
                <w:rFonts w:ascii="Arial" w:hAnsi="Arial" w:cs="Arial"/>
                <w:sz w:val="24"/>
                <w:szCs w:val="24"/>
              </w:rPr>
              <w:t>pibrentasvir</w:t>
            </w:r>
            <w:proofErr w:type="spellEnd"/>
            <w:r w:rsidRPr="00FA3F9C">
              <w:rPr>
                <w:rFonts w:ascii="Arial" w:hAnsi="Arial" w:cs="Arial"/>
                <w:sz w:val="24"/>
                <w:szCs w:val="24"/>
              </w:rPr>
              <w:t xml:space="preserve"> 120 mg (Child-Pugh A)</w:t>
            </w:r>
          </w:p>
        </w:tc>
        <w:tc>
          <w:tcPr>
            <w:tcW w:w="1710" w:type="dxa"/>
            <w:tcBorders>
              <w:bottom w:val="single" w:sz="4" w:space="0" w:color="auto"/>
            </w:tcBorders>
            <w:shd w:val="clear" w:color="auto" w:fill="auto"/>
          </w:tcPr>
          <w:p w14:paraId="484E0048" w14:textId="77777777" w:rsidR="001506C1" w:rsidRPr="00FA3F9C" w:rsidRDefault="001506C1" w:rsidP="003E53DA">
            <w:pPr>
              <w:rPr>
                <w:rFonts w:ascii="Arial" w:hAnsi="Arial" w:cs="Arial"/>
                <w:sz w:val="24"/>
                <w:szCs w:val="24"/>
              </w:rPr>
            </w:pPr>
            <w:r w:rsidRPr="00FA3F9C">
              <w:rPr>
                <w:rFonts w:ascii="Arial" w:hAnsi="Arial" w:cs="Arial"/>
                <w:sz w:val="24"/>
                <w:szCs w:val="24"/>
              </w:rPr>
              <w:t>8</w:t>
            </w:r>
          </w:p>
        </w:tc>
        <w:tc>
          <w:tcPr>
            <w:tcW w:w="1710" w:type="dxa"/>
            <w:tcBorders>
              <w:bottom w:val="single" w:sz="4" w:space="0" w:color="auto"/>
            </w:tcBorders>
            <w:shd w:val="clear" w:color="auto" w:fill="auto"/>
          </w:tcPr>
          <w:p w14:paraId="736DA6D7" w14:textId="77777777" w:rsidR="001506C1" w:rsidRPr="00FA3F9C" w:rsidRDefault="001506C1" w:rsidP="003E53DA">
            <w:pPr>
              <w:rPr>
                <w:rFonts w:ascii="Arial" w:eastAsia="Times New Roman" w:hAnsi="Arial" w:cs="Arial"/>
                <w:color w:val="000000"/>
                <w:sz w:val="24"/>
                <w:szCs w:val="24"/>
                <w:shd w:val="clear" w:color="auto" w:fill="FFFAF6"/>
              </w:rPr>
            </w:pPr>
            <w:r w:rsidRPr="00FA3F9C">
              <w:rPr>
                <w:rFonts w:ascii="Arial" w:eastAsia="Times New Roman" w:hAnsi="Arial" w:cs="Arial"/>
                <w:color w:val="000000"/>
                <w:sz w:val="24"/>
                <w:szCs w:val="24"/>
                <w:shd w:val="clear" w:color="auto" w:fill="FFFAF6"/>
              </w:rPr>
              <w:t>Class I, B</w:t>
            </w:r>
          </w:p>
        </w:tc>
      </w:tr>
    </w:tbl>
    <w:p w14:paraId="1DB24AF0" w14:textId="77777777" w:rsidR="001506C1" w:rsidRPr="00FA3F9C" w:rsidRDefault="001506C1" w:rsidP="00013F32">
      <w:pPr>
        <w:rPr>
          <w:rFonts w:ascii="Arial" w:hAnsi="Arial" w:cs="Arial"/>
          <w:sz w:val="24"/>
          <w:szCs w:val="24"/>
        </w:rPr>
      </w:pPr>
    </w:p>
    <w:tbl>
      <w:tblPr>
        <w:tblStyle w:val="TableGrid"/>
        <w:tblW w:w="14305" w:type="dxa"/>
        <w:tblLayout w:type="fixed"/>
        <w:tblLook w:val="04A0" w:firstRow="1" w:lastRow="0" w:firstColumn="1" w:lastColumn="0" w:noHBand="0" w:noVBand="1"/>
      </w:tblPr>
      <w:tblGrid>
        <w:gridCol w:w="1458"/>
        <w:gridCol w:w="9337"/>
        <w:gridCol w:w="1710"/>
        <w:gridCol w:w="1800"/>
      </w:tblGrid>
      <w:tr w:rsidR="001506C1" w:rsidRPr="00FA3F9C" w14:paraId="225DFD67" w14:textId="77777777" w:rsidTr="00C93E92">
        <w:tc>
          <w:tcPr>
            <w:tcW w:w="1458" w:type="dxa"/>
            <w:tcBorders>
              <w:bottom w:val="single" w:sz="4" w:space="0" w:color="auto"/>
            </w:tcBorders>
            <w:shd w:val="clear" w:color="auto" w:fill="auto"/>
          </w:tcPr>
          <w:p w14:paraId="5BF18F49" w14:textId="77777777" w:rsidR="001506C1" w:rsidRPr="00FA3F9C" w:rsidRDefault="001506C1" w:rsidP="00EC1004">
            <w:pPr>
              <w:rPr>
                <w:rFonts w:ascii="Arial" w:hAnsi="Arial" w:cs="Arial"/>
                <w:sz w:val="24"/>
                <w:szCs w:val="24"/>
              </w:rPr>
            </w:pPr>
            <w:r w:rsidRPr="00FA3F9C">
              <w:rPr>
                <w:rFonts w:ascii="Arial" w:hAnsi="Arial" w:cs="Arial"/>
                <w:sz w:val="24"/>
                <w:szCs w:val="24"/>
              </w:rPr>
              <w:t>Brand drug</w:t>
            </w:r>
          </w:p>
        </w:tc>
        <w:tc>
          <w:tcPr>
            <w:tcW w:w="9337" w:type="dxa"/>
            <w:tcBorders>
              <w:bottom w:val="single" w:sz="4" w:space="0" w:color="auto"/>
            </w:tcBorders>
            <w:shd w:val="clear" w:color="auto" w:fill="auto"/>
          </w:tcPr>
          <w:p w14:paraId="5D12C2E7" w14:textId="77777777" w:rsidR="001506C1" w:rsidRPr="00FA3F9C" w:rsidRDefault="001506C1" w:rsidP="00EC1004">
            <w:pPr>
              <w:rPr>
                <w:rFonts w:ascii="Arial" w:hAnsi="Arial" w:cs="Arial"/>
                <w:sz w:val="24"/>
                <w:szCs w:val="24"/>
              </w:rPr>
            </w:pPr>
            <w:r w:rsidRPr="00FA3F9C">
              <w:rPr>
                <w:rFonts w:ascii="Arial" w:hAnsi="Arial" w:cs="Arial"/>
                <w:sz w:val="24"/>
                <w:szCs w:val="24"/>
              </w:rPr>
              <w:t>Daily Drug Combination</w:t>
            </w:r>
          </w:p>
        </w:tc>
        <w:tc>
          <w:tcPr>
            <w:tcW w:w="1710" w:type="dxa"/>
            <w:tcBorders>
              <w:bottom w:val="single" w:sz="4" w:space="0" w:color="auto"/>
            </w:tcBorders>
            <w:shd w:val="clear" w:color="auto" w:fill="auto"/>
          </w:tcPr>
          <w:p w14:paraId="33CBFA86" w14:textId="77777777" w:rsidR="001506C1" w:rsidRPr="00FA3F9C" w:rsidRDefault="001506C1" w:rsidP="00EC1004">
            <w:pPr>
              <w:rPr>
                <w:rFonts w:ascii="Arial" w:hAnsi="Arial" w:cs="Arial"/>
                <w:sz w:val="24"/>
                <w:szCs w:val="24"/>
              </w:rPr>
            </w:pPr>
            <w:r w:rsidRPr="00FA3F9C">
              <w:rPr>
                <w:rFonts w:ascii="Arial" w:hAnsi="Arial" w:cs="Arial"/>
                <w:sz w:val="24"/>
                <w:szCs w:val="24"/>
              </w:rPr>
              <w:t>Duration (w)</w:t>
            </w:r>
          </w:p>
        </w:tc>
        <w:tc>
          <w:tcPr>
            <w:tcW w:w="1800" w:type="dxa"/>
            <w:tcBorders>
              <w:bottom w:val="single" w:sz="4" w:space="0" w:color="auto"/>
            </w:tcBorders>
            <w:shd w:val="clear" w:color="auto" w:fill="auto"/>
          </w:tcPr>
          <w:p w14:paraId="3356C205" w14:textId="77777777" w:rsidR="001506C1" w:rsidRPr="00FA3F9C" w:rsidRDefault="001506C1" w:rsidP="00EC1004">
            <w:pPr>
              <w:rPr>
                <w:rFonts w:ascii="Arial" w:hAnsi="Arial" w:cs="Arial"/>
                <w:sz w:val="24"/>
                <w:szCs w:val="24"/>
              </w:rPr>
            </w:pPr>
            <w:r w:rsidRPr="00FA3F9C">
              <w:rPr>
                <w:rFonts w:ascii="Arial" w:hAnsi="Arial" w:cs="Arial"/>
                <w:sz w:val="24"/>
                <w:szCs w:val="24"/>
              </w:rPr>
              <w:t>Notes</w:t>
            </w:r>
          </w:p>
        </w:tc>
      </w:tr>
      <w:tr w:rsidR="001506C1" w:rsidRPr="00FA3F9C" w14:paraId="4A6FE853" w14:textId="77777777" w:rsidTr="00C93E92">
        <w:tc>
          <w:tcPr>
            <w:tcW w:w="1458" w:type="dxa"/>
            <w:tcBorders>
              <w:bottom w:val="single" w:sz="4" w:space="0" w:color="auto"/>
            </w:tcBorders>
            <w:shd w:val="clear" w:color="auto" w:fill="000000" w:themeFill="text1"/>
          </w:tcPr>
          <w:p w14:paraId="0ACF2C1E" w14:textId="77777777" w:rsidR="001506C1" w:rsidRPr="00FA3F9C" w:rsidRDefault="001506C1" w:rsidP="00361FC4">
            <w:pPr>
              <w:rPr>
                <w:rFonts w:ascii="Arial" w:hAnsi="Arial" w:cs="Arial"/>
                <w:sz w:val="24"/>
                <w:szCs w:val="24"/>
              </w:rPr>
            </w:pPr>
          </w:p>
        </w:tc>
        <w:tc>
          <w:tcPr>
            <w:tcW w:w="9337" w:type="dxa"/>
            <w:tcBorders>
              <w:bottom w:val="single" w:sz="4" w:space="0" w:color="auto"/>
            </w:tcBorders>
            <w:shd w:val="clear" w:color="auto" w:fill="000000" w:themeFill="text1"/>
          </w:tcPr>
          <w:p w14:paraId="48DC2A41" w14:textId="77777777" w:rsidR="001506C1" w:rsidRPr="00FA3F9C" w:rsidRDefault="001506C1" w:rsidP="00361FC4">
            <w:pPr>
              <w:rPr>
                <w:rFonts w:ascii="Arial" w:hAnsi="Arial" w:cs="Arial"/>
                <w:sz w:val="24"/>
                <w:szCs w:val="24"/>
              </w:rPr>
            </w:pPr>
            <w:r w:rsidRPr="00FA3F9C">
              <w:rPr>
                <w:rFonts w:ascii="Arial" w:hAnsi="Arial" w:cs="Arial"/>
                <w:sz w:val="24"/>
                <w:szCs w:val="24"/>
              </w:rPr>
              <w:t>GT3, TN, NO Cirrhosis</w:t>
            </w:r>
          </w:p>
        </w:tc>
        <w:tc>
          <w:tcPr>
            <w:tcW w:w="1710" w:type="dxa"/>
            <w:tcBorders>
              <w:bottom w:val="single" w:sz="4" w:space="0" w:color="auto"/>
            </w:tcBorders>
            <w:shd w:val="clear" w:color="auto" w:fill="000000" w:themeFill="text1"/>
          </w:tcPr>
          <w:p w14:paraId="414DD1A9" w14:textId="77777777" w:rsidR="001506C1" w:rsidRPr="00FA3F9C" w:rsidRDefault="001506C1" w:rsidP="00361FC4">
            <w:pPr>
              <w:rPr>
                <w:rFonts w:ascii="Arial" w:hAnsi="Arial" w:cs="Arial"/>
                <w:sz w:val="24"/>
                <w:szCs w:val="24"/>
              </w:rPr>
            </w:pPr>
          </w:p>
        </w:tc>
        <w:tc>
          <w:tcPr>
            <w:tcW w:w="1800" w:type="dxa"/>
            <w:tcBorders>
              <w:bottom w:val="single" w:sz="4" w:space="0" w:color="auto"/>
            </w:tcBorders>
            <w:shd w:val="clear" w:color="auto" w:fill="000000" w:themeFill="text1"/>
          </w:tcPr>
          <w:p w14:paraId="61711643" w14:textId="77777777" w:rsidR="001506C1" w:rsidRPr="00FA3F9C" w:rsidRDefault="001506C1" w:rsidP="00361FC4">
            <w:pPr>
              <w:rPr>
                <w:rFonts w:ascii="Arial" w:eastAsia="Times New Roman" w:hAnsi="Arial" w:cs="Arial"/>
                <w:color w:val="000000"/>
                <w:sz w:val="24"/>
                <w:szCs w:val="24"/>
                <w:shd w:val="clear" w:color="auto" w:fill="FFFAF6"/>
              </w:rPr>
            </w:pPr>
          </w:p>
        </w:tc>
      </w:tr>
      <w:tr w:rsidR="001506C1" w:rsidRPr="00FA3F9C" w14:paraId="0B0F8FEC" w14:textId="77777777" w:rsidTr="00C93E92">
        <w:tc>
          <w:tcPr>
            <w:tcW w:w="1458" w:type="dxa"/>
            <w:tcBorders>
              <w:bottom w:val="single" w:sz="4" w:space="0" w:color="auto"/>
            </w:tcBorders>
            <w:shd w:val="clear" w:color="auto" w:fill="auto"/>
          </w:tcPr>
          <w:p w14:paraId="423085C7" w14:textId="77777777" w:rsidR="001506C1" w:rsidRPr="00FA3F9C" w:rsidRDefault="001506C1" w:rsidP="00361FC4">
            <w:pPr>
              <w:rPr>
                <w:rFonts w:ascii="Arial" w:hAnsi="Arial" w:cs="Arial"/>
                <w:sz w:val="24"/>
                <w:szCs w:val="24"/>
              </w:rPr>
            </w:pPr>
            <w:proofErr w:type="spellStart"/>
            <w:r w:rsidRPr="00FA3F9C">
              <w:rPr>
                <w:rFonts w:ascii="Arial" w:hAnsi="Arial" w:cs="Arial"/>
                <w:sz w:val="24"/>
                <w:szCs w:val="24"/>
              </w:rPr>
              <w:t>Mavyret</w:t>
            </w:r>
            <w:proofErr w:type="spellEnd"/>
          </w:p>
        </w:tc>
        <w:tc>
          <w:tcPr>
            <w:tcW w:w="9337" w:type="dxa"/>
            <w:tcBorders>
              <w:bottom w:val="single" w:sz="4" w:space="0" w:color="auto"/>
            </w:tcBorders>
            <w:shd w:val="clear" w:color="auto" w:fill="auto"/>
          </w:tcPr>
          <w:p w14:paraId="5A890406" w14:textId="77777777" w:rsidR="001506C1" w:rsidRPr="00FA3F9C" w:rsidRDefault="001506C1" w:rsidP="00361FC4">
            <w:pPr>
              <w:rPr>
                <w:rFonts w:ascii="Arial" w:hAnsi="Arial" w:cs="Arial"/>
                <w:sz w:val="24"/>
                <w:szCs w:val="24"/>
              </w:rPr>
            </w:pPr>
            <w:proofErr w:type="spellStart"/>
            <w:r w:rsidRPr="00FA3F9C">
              <w:rPr>
                <w:rFonts w:ascii="Arial" w:hAnsi="Arial" w:cs="Arial"/>
                <w:sz w:val="24"/>
                <w:szCs w:val="24"/>
              </w:rPr>
              <w:t>Glecaprevir</w:t>
            </w:r>
            <w:proofErr w:type="spellEnd"/>
            <w:r w:rsidRPr="00FA3F9C">
              <w:rPr>
                <w:rFonts w:ascii="Arial" w:hAnsi="Arial" w:cs="Arial"/>
                <w:sz w:val="24"/>
                <w:szCs w:val="24"/>
              </w:rPr>
              <w:t xml:space="preserve"> 300 mg/</w:t>
            </w:r>
            <w:proofErr w:type="spellStart"/>
            <w:r w:rsidRPr="00FA3F9C">
              <w:rPr>
                <w:rFonts w:ascii="Arial" w:hAnsi="Arial" w:cs="Arial"/>
                <w:sz w:val="24"/>
                <w:szCs w:val="24"/>
              </w:rPr>
              <w:t>pibrentasvir</w:t>
            </w:r>
            <w:proofErr w:type="spellEnd"/>
            <w:r w:rsidRPr="00FA3F9C">
              <w:rPr>
                <w:rFonts w:ascii="Arial" w:hAnsi="Arial" w:cs="Arial"/>
                <w:sz w:val="24"/>
                <w:szCs w:val="24"/>
              </w:rPr>
              <w:t xml:space="preserve"> 120 mg</w:t>
            </w:r>
          </w:p>
        </w:tc>
        <w:tc>
          <w:tcPr>
            <w:tcW w:w="1710" w:type="dxa"/>
            <w:tcBorders>
              <w:bottom w:val="single" w:sz="4" w:space="0" w:color="auto"/>
            </w:tcBorders>
            <w:shd w:val="clear" w:color="auto" w:fill="auto"/>
          </w:tcPr>
          <w:p w14:paraId="556C4720" w14:textId="77777777" w:rsidR="001506C1" w:rsidRPr="00FA3F9C" w:rsidRDefault="001506C1" w:rsidP="00361FC4">
            <w:pPr>
              <w:rPr>
                <w:rFonts w:ascii="Arial" w:hAnsi="Arial" w:cs="Arial"/>
                <w:sz w:val="24"/>
                <w:szCs w:val="24"/>
              </w:rPr>
            </w:pPr>
            <w:r w:rsidRPr="00FA3F9C">
              <w:rPr>
                <w:rFonts w:ascii="Arial" w:hAnsi="Arial" w:cs="Arial"/>
                <w:sz w:val="24"/>
                <w:szCs w:val="24"/>
              </w:rPr>
              <w:t>8</w:t>
            </w:r>
          </w:p>
        </w:tc>
        <w:tc>
          <w:tcPr>
            <w:tcW w:w="1800" w:type="dxa"/>
            <w:tcBorders>
              <w:bottom w:val="single" w:sz="4" w:space="0" w:color="auto"/>
            </w:tcBorders>
            <w:shd w:val="clear" w:color="auto" w:fill="auto"/>
          </w:tcPr>
          <w:p w14:paraId="35F17483" w14:textId="77777777" w:rsidR="001506C1" w:rsidRPr="00FA3F9C" w:rsidRDefault="001506C1" w:rsidP="00361FC4">
            <w:pPr>
              <w:rPr>
                <w:rFonts w:ascii="Arial" w:eastAsia="Times New Roman" w:hAnsi="Arial" w:cs="Arial"/>
                <w:color w:val="000000"/>
                <w:sz w:val="24"/>
                <w:szCs w:val="24"/>
                <w:shd w:val="clear" w:color="auto" w:fill="FFFAF6"/>
              </w:rPr>
            </w:pPr>
            <w:r w:rsidRPr="00FA3F9C">
              <w:rPr>
                <w:rFonts w:ascii="Arial" w:eastAsia="Times New Roman" w:hAnsi="Arial" w:cs="Arial"/>
                <w:color w:val="000000"/>
                <w:sz w:val="24"/>
                <w:szCs w:val="24"/>
                <w:shd w:val="clear" w:color="auto" w:fill="FFFAF6"/>
              </w:rPr>
              <w:t>Class I, A</w:t>
            </w:r>
          </w:p>
        </w:tc>
      </w:tr>
      <w:tr w:rsidR="001506C1" w:rsidRPr="00FA3F9C" w14:paraId="308AEFDC" w14:textId="77777777" w:rsidTr="00C93E92">
        <w:tc>
          <w:tcPr>
            <w:tcW w:w="1458" w:type="dxa"/>
            <w:tcBorders>
              <w:bottom w:val="single" w:sz="4" w:space="0" w:color="auto"/>
            </w:tcBorders>
            <w:shd w:val="clear" w:color="auto" w:fill="auto"/>
          </w:tcPr>
          <w:p w14:paraId="6F110B67" w14:textId="77777777" w:rsidR="001506C1" w:rsidRPr="00FA3F9C" w:rsidRDefault="001506C1" w:rsidP="00361FC4">
            <w:pPr>
              <w:rPr>
                <w:rFonts w:ascii="Arial" w:hAnsi="Arial" w:cs="Arial"/>
                <w:sz w:val="24"/>
                <w:szCs w:val="24"/>
              </w:rPr>
            </w:pPr>
            <w:r w:rsidRPr="00FA3F9C">
              <w:rPr>
                <w:rFonts w:ascii="Arial" w:hAnsi="Arial" w:cs="Arial"/>
                <w:sz w:val="24"/>
                <w:szCs w:val="24"/>
              </w:rPr>
              <w:t>Epclusa</w:t>
            </w:r>
          </w:p>
        </w:tc>
        <w:tc>
          <w:tcPr>
            <w:tcW w:w="9337" w:type="dxa"/>
            <w:tcBorders>
              <w:bottom w:val="single" w:sz="4" w:space="0" w:color="auto"/>
            </w:tcBorders>
            <w:shd w:val="clear" w:color="auto" w:fill="auto"/>
          </w:tcPr>
          <w:p w14:paraId="7BEF50DF" w14:textId="77777777" w:rsidR="001506C1" w:rsidRPr="00FA3F9C" w:rsidRDefault="001506C1" w:rsidP="00361FC4">
            <w:pPr>
              <w:rPr>
                <w:rFonts w:ascii="Arial" w:hAnsi="Arial" w:cs="Arial"/>
                <w:sz w:val="24"/>
                <w:szCs w:val="24"/>
              </w:rPr>
            </w:pPr>
            <w:r w:rsidRPr="00FA3F9C">
              <w:rPr>
                <w:rFonts w:ascii="Arial" w:hAnsi="Arial" w:cs="Arial"/>
                <w:sz w:val="24"/>
                <w:szCs w:val="24"/>
              </w:rPr>
              <w:t>Sofosbuvir 400mg/</w:t>
            </w:r>
            <w:proofErr w:type="spellStart"/>
            <w:r w:rsidRPr="00FA3F9C">
              <w:rPr>
                <w:rFonts w:ascii="Arial" w:hAnsi="Arial" w:cs="Arial"/>
                <w:sz w:val="24"/>
                <w:szCs w:val="24"/>
              </w:rPr>
              <w:t>velpatasvir</w:t>
            </w:r>
            <w:proofErr w:type="spellEnd"/>
            <w:r w:rsidRPr="00FA3F9C">
              <w:rPr>
                <w:rFonts w:ascii="Arial" w:hAnsi="Arial" w:cs="Arial"/>
                <w:sz w:val="24"/>
                <w:szCs w:val="24"/>
              </w:rPr>
              <w:t xml:space="preserve"> 100mg</w:t>
            </w:r>
          </w:p>
        </w:tc>
        <w:tc>
          <w:tcPr>
            <w:tcW w:w="1710" w:type="dxa"/>
            <w:tcBorders>
              <w:bottom w:val="single" w:sz="4" w:space="0" w:color="auto"/>
            </w:tcBorders>
            <w:shd w:val="clear" w:color="auto" w:fill="auto"/>
          </w:tcPr>
          <w:p w14:paraId="26FE6EED" w14:textId="77777777" w:rsidR="001506C1" w:rsidRPr="00FA3F9C" w:rsidRDefault="001506C1" w:rsidP="00361FC4">
            <w:pPr>
              <w:rPr>
                <w:rFonts w:ascii="Arial" w:hAnsi="Arial" w:cs="Arial"/>
                <w:sz w:val="24"/>
                <w:szCs w:val="24"/>
              </w:rPr>
            </w:pPr>
            <w:r w:rsidRPr="00FA3F9C">
              <w:rPr>
                <w:rFonts w:ascii="Arial" w:hAnsi="Arial" w:cs="Arial"/>
                <w:sz w:val="24"/>
                <w:szCs w:val="24"/>
              </w:rPr>
              <w:t>12</w:t>
            </w:r>
          </w:p>
        </w:tc>
        <w:tc>
          <w:tcPr>
            <w:tcW w:w="1800" w:type="dxa"/>
            <w:tcBorders>
              <w:bottom w:val="single" w:sz="4" w:space="0" w:color="auto"/>
            </w:tcBorders>
            <w:shd w:val="clear" w:color="auto" w:fill="auto"/>
          </w:tcPr>
          <w:p w14:paraId="09F253F1" w14:textId="77777777" w:rsidR="001506C1" w:rsidRPr="00FA3F9C" w:rsidRDefault="001506C1" w:rsidP="00361FC4">
            <w:pPr>
              <w:rPr>
                <w:rFonts w:ascii="Arial" w:eastAsia="Times New Roman" w:hAnsi="Arial" w:cs="Arial"/>
                <w:color w:val="000000"/>
                <w:sz w:val="24"/>
                <w:szCs w:val="24"/>
                <w:shd w:val="clear" w:color="auto" w:fill="FFFAF6"/>
              </w:rPr>
            </w:pPr>
            <w:r w:rsidRPr="00FA3F9C">
              <w:rPr>
                <w:rFonts w:ascii="Arial" w:eastAsia="Times New Roman" w:hAnsi="Arial" w:cs="Arial"/>
                <w:color w:val="000000"/>
                <w:sz w:val="24"/>
                <w:szCs w:val="24"/>
                <w:shd w:val="clear" w:color="auto" w:fill="FFFAF6"/>
              </w:rPr>
              <w:t>Class I, A</w:t>
            </w:r>
          </w:p>
        </w:tc>
      </w:tr>
      <w:tr w:rsidR="001506C1" w:rsidRPr="00FA3F9C" w14:paraId="64603AAE" w14:textId="77777777" w:rsidTr="00C93E92">
        <w:tc>
          <w:tcPr>
            <w:tcW w:w="1458" w:type="dxa"/>
            <w:tcBorders>
              <w:bottom w:val="single" w:sz="4" w:space="0" w:color="auto"/>
            </w:tcBorders>
            <w:shd w:val="clear" w:color="auto" w:fill="auto"/>
          </w:tcPr>
          <w:p w14:paraId="5D20A44F" w14:textId="77777777" w:rsidR="001506C1" w:rsidRPr="00FA3F9C" w:rsidRDefault="001506C1" w:rsidP="00361FC4">
            <w:pPr>
              <w:rPr>
                <w:rFonts w:ascii="Arial" w:hAnsi="Arial" w:cs="Arial"/>
                <w:sz w:val="24"/>
                <w:szCs w:val="24"/>
              </w:rPr>
            </w:pPr>
          </w:p>
        </w:tc>
        <w:tc>
          <w:tcPr>
            <w:tcW w:w="9337" w:type="dxa"/>
            <w:tcBorders>
              <w:bottom w:val="single" w:sz="4" w:space="0" w:color="auto"/>
            </w:tcBorders>
            <w:shd w:val="clear" w:color="auto" w:fill="auto"/>
          </w:tcPr>
          <w:p w14:paraId="484C5F4A" w14:textId="77777777" w:rsidR="001506C1" w:rsidRPr="00FA3F9C" w:rsidRDefault="001506C1" w:rsidP="00361FC4">
            <w:pPr>
              <w:rPr>
                <w:rFonts w:ascii="Arial" w:hAnsi="Arial" w:cs="Arial"/>
                <w:sz w:val="24"/>
                <w:szCs w:val="24"/>
              </w:rPr>
            </w:pPr>
          </w:p>
        </w:tc>
        <w:tc>
          <w:tcPr>
            <w:tcW w:w="1710" w:type="dxa"/>
            <w:tcBorders>
              <w:bottom w:val="single" w:sz="4" w:space="0" w:color="auto"/>
            </w:tcBorders>
            <w:shd w:val="clear" w:color="auto" w:fill="auto"/>
          </w:tcPr>
          <w:p w14:paraId="34F065A3" w14:textId="77777777" w:rsidR="001506C1" w:rsidRPr="00FA3F9C" w:rsidRDefault="001506C1" w:rsidP="00361FC4">
            <w:pPr>
              <w:rPr>
                <w:rFonts w:ascii="Arial" w:hAnsi="Arial" w:cs="Arial"/>
                <w:sz w:val="24"/>
                <w:szCs w:val="24"/>
              </w:rPr>
            </w:pPr>
          </w:p>
        </w:tc>
        <w:tc>
          <w:tcPr>
            <w:tcW w:w="1800" w:type="dxa"/>
            <w:tcBorders>
              <w:bottom w:val="single" w:sz="4" w:space="0" w:color="auto"/>
            </w:tcBorders>
            <w:shd w:val="clear" w:color="auto" w:fill="auto"/>
          </w:tcPr>
          <w:p w14:paraId="0577EA32" w14:textId="77777777" w:rsidR="001506C1" w:rsidRPr="00FA3F9C" w:rsidRDefault="001506C1" w:rsidP="00361FC4">
            <w:pPr>
              <w:rPr>
                <w:rFonts w:ascii="Arial" w:eastAsia="Times New Roman" w:hAnsi="Arial" w:cs="Arial"/>
                <w:color w:val="000000"/>
                <w:sz w:val="24"/>
                <w:szCs w:val="24"/>
                <w:shd w:val="clear" w:color="auto" w:fill="FFFAF6"/>
              </w:rPr>
            </w:pPr>
          </w:p>
        </w:tc>
      </w:tr>
      <w:tr w:rsidR="001506C1" w:rsidRPr="00FA3F9C" w14:paraId="435CC50A" w14:textId="77777777" w:rsidTr="00C93E92">
        <w:tc>
          <w:tcPr>
            <w:tcW w:w="1458" w:type="dxa"/>
            <w:shd w:val="clear" w:color="auto" w:fill="000000" w:themeFill="text1"/>
          </w:tcPr>
          <w:p w14:paraId="5AB82018" w14:textId="77777777" w:rsidR="001506C1" w:rsidRPr="00FA3F9C" w:rsidRDefault="001506C1" w:rsidP="00361FC4">
            <w:pPr>
              <w:rPr>
                <w:rFonts w:ascii="Arial" w:hAnsi="Arial" w:cs="Arial"/>
                <w:sz w:val="24"/>
                <w:szCs w:val="24"/>
              </w:rPr>
            </w:pPr>
          </w:p>
        </w:tc>
        <w:tc>
          <w:tcPr>
            <w:tcW w:w="9337" w:type="dxa"/>
            <w:shd w:val="clear" w:color="auto" w:fill="000000" w:themeFill="text1"/>
          </w:tcPr>
          <w:p w14:paraId="64B40E5C" w14:textId="77777777" w:rsidR="001506C1" w:rsidRPr="00FA3F9C" w:rsidRDefault="001506C1" w:rsidP="00361FC4">
            <w:pPr>
              <w:rPr>
                <w:rFonts w:ascii="Arial" w:hAnsi="Arial" w:cs="Arial"/>
                <w:sz w:val="24"/>
                <w:szCs w:val="24"/>
              </w:rPr>
            </w:pPr>
            <w:r w:rsidRPr="00FA3F9C">
              <w:rPr>
                <w:rFonts w:ascii="Arial" w:hAnsi="Arial" w:cs="Arial"/>
                <w:sz w:val="24"/>
                <w:szCs w:val="24"/>
              </w:rPr>
              <w:t>GT3, TN, COMPENSATED Cirrhosis</w:t>
            </w:r>
          </w:p>
        </w:tc>
        <w:tc>
          <w:tcPr>
            <w:tcW w:w="1710" w:type="dxa"/>
            <w:shd w:val="clear" w:color="auto" w:fill="000000" w:themeFill="text1"/>
          </w:tcPr>
          <w:p w14:paraId="6A97D0DC" w14:textId="77777777" w:rsidR="001506C1" w:rsidRPr="00FA3F9C" w:rsidRDefault="001506C1" w:rsidP="00361FC4">
            <w:pPr>
              <w:rPr>
                <w:rFonts w:ascii="Arial" w:hAnsi="Arial" w:cs="Arial"/>
                <w:sz w:val="24"/>
                <w:szCs w:val="24"/>
              </w:rPr>
            </w:pPr>
          </w:p>
        </w:tc>
        <w:tc>
          <w:tcPr>
            <w:tcW w:w="1800" w:type="dxa"/>
            <w:shd w:val="clear" w:color="auto" w:fill="000000" w:themeFill="text1"/>
          </w:tcPr>
          <w:p w14:paraId="5D348846" w14:textId="77777777" w:rsidR="001506C1" w:rsidRPr="00FA3F9C" w:rsidRDefault="001506C1" w:rsidP="00361FC4">
            <w:pPr>
              <w:rPr>
                <w:rFonts w:ascii="Arial" w:eastAsia="Times New Roman" w:hAnsi="Arial" w:cs="Arial"/>
                <w:color w:val="000000"/>
                <w:sz w:val="24"/>
                <w:szCs w:val="24"/>
                <w:shd w:val="clear" w:color="auto" w:fill="FFFAF6"/>
              </w:rPr>
            </w:pPr>
          </w:p>
        </w:tc>
      </w:tr>
      <w:tr w:rsidR="001506C1" w:rsidRPr="00FA3F9C" w14:paraId="235AB3A1" w14:textId="77777777" w:rsidTr="00C93E92">
        <w:tc>
          <w:tcPr>
            <w:tcW w:w="1458" w:type="dxa"/>
            <w:shd w:val="clear" w:color="auto" w:fill="auto"/>
          </w:tcPr>
          <w:p w14:paraId="58FFE1C7" w14:textId="77777777" w:rsidR="001506C1" w:rsidRPr="00FA3F9C" w:rsidRDefault="001506C1" w:rsidP="00361FC4">
            <w:pPr>
              <w:rPr>
                <w:rFonts w:ascii="Arial" w:hAnsi="Arial" w:cs="Arial"/>
                <w:sz w:val="24"/>
                <w:szCs w:val="24"/>
              </w:rPr>
            </w:pPr>
            <w:proofErr w:type="spellStart"/>
            <w:r w:rsidRPr="00FA3F9C">
              <w:rPr>
                <w:rFonts w:ascii="Arial" w:hAnsi="Arial" w:cs="Arial"/>
                <w:sz w:val="24"/>
                <w:szCs w:val="24"/>
              </w:rPr>
              <w:t>Mavyret</w:t>
            </w:r>
            <w:proofErr w:type="spellEnd"/>
          </w:p>
        </w:tc>
        <w:tc>
          <w:tcPr>
            <w:tcW w:w="9337" w:type="dxa"/>
            <w:shd w:val="clear" w:color="auto" w:fill="auto"/>
          </w:tcPr>
          <w:p w14:paraId="6B8584A1" w14:textId="77777777" w:rsidR="001506C1" w:rsidRPr="00FA3F9C" w:rsidRDefault="001506C1" w:rsidP="00361FC4">
            <w:pPr>
              <w:rPr>
                <w:rFonts w:ascii="Arial" w:hAnsi="Arial" w:cs="Arial"/>
                <w:sz w:val="24"/>
                <w:szCs w:val="24"/>
              </w:rPr>
            </w:pPr>
            <w:proofErr w:type="spellStart"/>
            <w:r w:rsidRPr="00FA3F9C">
              <w:rPr>
                <w:rFonts w:ascii="Arial" w:hAnsi="Arial" w:cs="Arial"/>
                <w:sz w:val="24"/>
                <w:szCs w:val="24"/>
              </w:rPr>
              <w:t>Glecaprevir</w:t>
            </w:r>
            <w:proofErr w:type="spellEnd"/>
            <w:r w:rsidRPr="00FA3F9C">
              <w:rPr>
                <w:rFonts w:ascii="Arial" w:hAnsi="Arial" w:cs="Arial"/>
                <w:sz w:val="24"/>
                <w:szCs w:val="24"/>
              </w:rPr>
              <w:t xml:space="preserve"> 300 mg/</w:t>
            </w:r>
            <w:proofErr w:type="spellStart"/>
            <w:r w:rsidRPr="00FA3F9C">
              <w:rPr>
                <w:rFonts w:ascii="Arial" w:hAnsi="Arial" w:cs="Arial"/>
                <w:sz w:val="24"/>
                <w:szCs w:val="24"/>
              </w:rPr>
              <w:t>pibrentasvir</w:t>
            </w:r>
            <w:proofErr w:type="spellEnd"/>
            <w:r w:rsidRPr="00FA3F9C">
              <w:rPr>
                <w:rFonts w:ascii="Arial" w:hAnsi="Arial" w:cs="Arial"/>
                <w:sz w:val="24"/>
                <w:szCs w:val="24"/>
              </w:rPr>
              <w:t xml:space="preserve"> 120 mg (Child-Pugh A)</w:t>
            </w:r>
          </w:p>
        </w:tc>
        <w:tc>
          <w:tcPr>
            <w:tcW w:w="1710" w:type="dxa"/>
            <w:shd w:val="clear" w:color="auto" w:fill="auto"/>
          </w:tcPr>
          <w:p w14:paraId="7C3DFF8F" w14:textId="77777777" w:rsidR="001506C1" w:rsidRPr="00FA3F9C" w:rsidRDefault="001506C1" w:rsidP="00361FC4">
            <w:pPr>
              <w:rPr>
                <w:rFonts w:ascii="Arial" w:hAnsi="Arial" w:cs="Arial"/>
                <w:sz w:val="24"/>
                <w:szCs w:val="24"/>
              </w:rPr>
            </w:pPr>
            <w:r w:rsidRPr="00FA3F9C">
              <w:rPr>
                <w:rFonts w:ascii="Arial" w:hAnsi="Arial" w:cs="Arial"/>
                <w:sz w:val="24"/>
                <w:szCs w:val="24"/>
              </w:rPr>
              <w:t>8</w:t>
            </w:r>
          </w:p>
        </w:tc>
        <w:tc>
          <w:tcPr>
            <w:tcW w:w="1800" w:type="dxa"/>
            <w:shd w:val="clear" w:color="auto" w:fill="auto"/>
          </w:tcPr>
          <w:p w14:paraId="71820084" w14:textId="77777777" w:rsidR="001506C1" w:rsidRPr="00FA3F9C" w:rsidRDefault="001506C1" w:rsidP="00361FC4">
            <w:pPr>
              <w:rPr>
                <w:rFonts w:ascii="Arial" w:eastAsia="Times New Roman" w:hAnsi="Arial" w:cs="Arial"/>
                <w:color w:val="000000"/>
                <w:sz w:val="24"/>
                <w:szCs w:val="24"/>
                <w:shd w:val="clear" w:color="auto" w:fill="FFFAF6"/>
              </w:rPr>
            </w:pPr>
            <w:r w:rsidRPr="00FA3F9C">
              <w:rPr>
                <w:rFonts w:ascii="Arial" w:eastAsia="Times New Roman" w:hAnsi="Arial" w:cs="Arial"/>
                <w:color w:val="000000"/>
                <w:sz w:val="24"/>
                <w:szCs w:val="24"/>
                <w:shd w:val="clear" w:color="auto" w:fill="FFFAF6"/>
              </w:rPr>
              <w:t>Class I, B</w:t>
            </w:r>
          </w:p>
        </w:tc>
      </w:tr>
      <w:tr w:rsidR="001506C1" w:rsidRPr="00FA3F9C" w14:paraId="7FC1DD09" w14:textId="77777777" w:rsidTr="00C93E92">
        <w:tc>
          <w:tcPr>
            <w:tcW w:w="1458" w:type="dxa"/>
            <w:tcBorders>
              <w:bottom w:val="single" w:sz="4" w:space="0" w:color="auto"/>
            </w:tcBorders>
            <w:shd w:val="clear" w:color="auto" w:fill="auto"/>
          </w:tcPr>
          <w:p w14:paraId="69A9DBB6" w14:textId="77777777" w:rsidR="001506C1" w:rsidRPr="00FA3F9C" w:rsidRDefault="001506C1" w:rsidP="00361FC4">
            <w:pPr>
              <w:rPr>
                <w:rFonts w:ascii="Arial" w:hAnsi="Arial" w:cs="Arial"/>
                <w:sz w:val="24"/>
                <w:szCs w:val="24"/>
              </w:rPr>
            </w:pPr>
            <w:r w:rsidRPr="00FA3F9C">
              <w:rPr>
                <w:rFonts w:ascii="Arial" w:hAnsi="Arial" w:cs="Arial"/>
                <w:sz w:val="24"/>
                <w:szCs w:val="24"/>
              </w:rPr>
              <w:t>Epclusa</w:t>
            </w:r>
          </w:p>
        </w:tc>
        <w:tc>
          <w:tcPr>
            <w:tcW w:w="9337" w:type="dxa"/>
            <w:tcBorders>
              <w:bottom w:val="single" w:sz="4" w:space="0" w:color="auto"/>
            </w:tcBorders>
            <w:shd w:val="clear" w:color="auto" w:fill="auto"/>
          </w:tcPr>
          <w:p w14:paraId="345EC61C" w14:textId="77777777" w:rsidR="001506C1" w:rsidRPr="00FA3F9C" w:rsidRDefault="001506C1" w:rsidP="00361FC4">
            <w:pPr>
              <w:rPr>
                <w:rFonts w:ascii="Arial" w:hAnsi="Arial" w:cs="Arial"/>
                <w:sz w:val="24"/>
                <w:szCs w:val="24"/>
                <w:lang w:val="es-ES"/>
              </w:rPr>
            </w:pPr>
            <w:proofErr w:type="spellStart"/>
            <w:r w:rsidRPr="00FA3F9C">
              <w:rPr>
                <w:rFonts w:ascii="Arial" w:hAnsi="Arial" w:cs="Arial"/>
                <w:sz w:val="24"/>
                <w:szCs w:val="24"/>
                <w:lang w:val="es-ES"/>
              </w:rPr>
              <w:t>Sofosbuvir</w:t>
            </w:r>
            <w:proofErr w:type="spellEnd"/>
            <w:r w:rsidRPr="00FA3F9C">
              <w:rPr>
                <w:rFonts w:ascii="Arial" w:hAnsi="Arial" w:cs="Arial"/>
                <w:sz w:val="24"/>
                <w:szCs w:val="24"/>
                <w:lang w:val="es-ES"/>
              </w:rPr>
              <w:t xml:space="preserve"> 400mg/</w:t>
            </w:r>
            <w:proofErr w:type="spellStart"/>
            <w:r w:rsidRPr="00FA3F9C">
              <w:rPr>
                <w:rFonts w:ascii="Arial" w:hAnsi="Arial" w:cs="Arial"/>
                <w:sz w:val="24"/>
                <w:szCs w:val="24"/>
                <w:lang w:val="es-ES"/>
              </w:rPr>
              <w:t>velpatasvir</w:t>
            </w:r>
            <w:proofErr w:type="spellEnd"/>
            <w:r w:rsidRPr="00FA3F9C">
              <w:rPr>
                <w:rFonts w:ascii="Arial" w:hAnsi="Arial" w:cs="Arial"/>
                <w:sz w:val="24"/>
                <w:szCs w:val="24"/>
                <w:lang w:val="es-ES"/>
              </w:rPr>
              <w:t xml:space="preserve"> 100mg, </w:t>
            </w:r>
            <w:proofErr w:type="spellStart"/>
            <w:r w:rsidRPr="00FA3F9C">
              <w:rPr>
                <w:rFonts w:ascii="Arial" w:hAnsi="Arial" w:cs="Arial"/>
                <w:sz w:val="24"/>
                <w:szCs w:val="24"/>
                <w:lang w:val="es-ES"/>
              </w:rPr>
              <w:t>for</w:t>
            </w:r>
            <w:proofErr w:type="spellEnd"/>
            <w:r w:rsidRPr="00FA3F9C">
              <w:rPr>
                <w:rFonts w:ascii="Arial" w:hAnsi="Arial" w:cs="Arial"/>
                <w:sz w:val="24"/>
                <w:szCs w:val="24"/>
                <w:lang w:val="es-ES"/>
              </w:rPr>
              <w:t xml:space="preserve"> </w:t>
            </w:r>
            <w:proofErr w:type="spellStart"/>
            <w:r w:rsidRPr="00FA3F9C">
              <w:rPr>
                <w:rFonts w:ascii="Arial" w:hAnsi="Arial" w:cs="Arial"/>
                <w:sz w:val="24"/>
                <w:szCs w:val="24"/>
                <w:lang w:val="es-ES"/>
              </w:rPr>
              <w:t>patients</w:t>
            </w:r>
            <w:proofErr w:type="spellEnd"/>
            <w:r w:rsidRPr="00FA3F9C">
              <w:rPr>
                <w:rFonts w:ascii="Arial" w:hAnsi="Arial" w:cs="Arial"/>
                <w:sz w:val="24"/>
                <w:szCs w:val="24"/>
                <w:lang w:val="es-ES"/>
              </w:rPr>
              <w:t xml:space="preserve"> w/o </w:t>
            </w:r>
            <w:proofErr w:type="spellStart"/>
            <w:r w:rsidRPr="00FA3F9C">
              <w:rPr>
                <w:rFonts w:ascii="Arial" w:hAnsi="Arial" w:cs="Arial"/>
                <w:sz w:val="24"/>
                <w:szCs w:val="24"/>
                <w:lang w:val="es-ES"/>
              </w:rPr>
              <w:t>baseline</w:t>
            </w:r>
            <w:proofErr w:type="spellEnd"/>
            <w:r w:rsidRPr="00FA3F9C">
              <w:rPr>
                <w:rFonts w:ascii="Arial" w:hAnsi="Arial" w:cs="Arial"/>
                <w:sz w:val="24"/>
                <w:szCs w:val="24"/>
                <w:lang w:val="es-ES"/>
              </w:rPr>
              <w:t xml:space="preserve"> NS5A RAS Y93H </w:t>
            </w:r>
            <w:proofErr w:type="spellStart"/>
            <w:r w:rsidRPr="00FA3F9C">
              <w:rPr>
                <w:rFonts w:ascii="Arial" w:hAnsi="Arial" w:cs="Arial"/>
                <w:sz w:val="24"/>
                <w:szCs w:val="24"/>
                <w:lang w:val="es-ES"/>
              </w:rPr>
              <w:t>for</w:t>
            </w:r>
            <w:proofErr w:type="spellEnd"/>
            <w:r w:rsidRPr="00FA3F9C">
              <w:rPr>
                <w:rFonts w:ascii="Arial" w:hAnsi="Arial" w:cs="Arial"/>
                <w:sz w:val="24"/>
                <w:szCs w:val="24"/>
                <w:lang w:val="es-ES"/>
              </w:rPr>
              <w:t xml:space="preserve"> </w:t>
            </w:r>
            <w:proofErr w:type="spellStart"/>
            <w:r w:rsidRPr="00FA3F9C">
              <w:rPr>
                <w:rFonts w:ascii="Arial" w:hAnsi="Arial" w:cs="Arial"/>
                <w:sz w:val="24"/>
                <w:szCs w:val="24"/>
                <w:lang w:val="es-ES"/>
              </w:rPr>
              <w:t>velpatasvir</w:t>
            </w:r>
            <w:proofErr w:type="spellEnd"/>
          </w:p>
        </w:tc>
        <w:tc>
          <w:tcPr>
            <w:tcW w:w="1710" w:type="dxa"/>
            <w:tcBorders>
              <w:bottom w:val="single" w:sz="4" w:space="0" w:color="auto"/>
            </w:tcBorders>
            <w:shd w:val="clear" w:color="auto" w:fill="auto"/>
          </w:tcPr>
          <w:p w14:paraId="32E2F6B7" w14:textId="77777777" w:rsidR="001506C1" w:rsidRPr="00FA3F9C" w:rsidRDefault="001506C1" w:rsidP="00361FC4">
            <w:pPr>
              <w:rPr>
                <w:rFonts w:ascii="Arial" w:hAnsi="Arial" w:cs="Arial"/>
                <w:sz w:val="24"/>
                <w:szCs w:val="24"/>
              </w:rPr>
            </w:pPr>
            <w:r w:rsidRPr="00FA3F9C">
              <w:rPr>
                <w:rFonts w:ascii="Arial" w:hAnsi="Arial" w:cs="Arial"/>
                <w:sz w:val="24"/>
                <w:szCs w:val="24"/>
              </w:rPr>
              <w:t>12</w:t>
            </w:r>
          </w:p>
        </w:tc>
        <w:tc>
          <w:tcPr>
            <w:tcW w:w="1800" w:type="dxa"/>
            <w:tcBorders>
              <w:bottom w:val="single" w:sz="4" w:space="0" w:color="auto"/>
            </w:tcBorders>
            <w:shd w:val="clear" w:color="auto" w:fill="auto"/>
          </w:tcPr>
          <w:p w14:paraId="481F9C74" w14:textId="77777777" w:rsidR="001506C1" w:rsidRPr="00FA3F9C" w:rsidRDefault="001506C1" w:rsidP="00361FC4">
            <w:pPr>
              <w:rPr>
                <w:rFonts w:ascii="Arial" w:eastAsia="Times New Roman" w:hAnsi="Arial" w:cs="Arial"/>
                <w:color w:val="000000"/>
                <w:sz w:val="24"/>
                <w:szCs w:val="24"/>
                <w:shd w:val="clear" w:color="auto" w:fill="FFFAF6"/>
              </w:rPr>
            </w:pPr>
            <w:r w:rsidRPr="00FA3F9C">
              <w:rPr>
                <w:rFonts w:ascii="Arial" w:eastAsia="Times New Roman" w:hAnsi="Arial" w:cs="Arial"/>
                <w:color w:val="000000"/>
                <w:sz w:val="24"/>
                <w:szCs w:val="24"/>
                <w:shd w:val="clear" w:color="auto" w:fill="FFFAF6"/>
              </w:rPr>
              <w:t>Class I, A</w:t>
            </w:r>
          </w:p>
        </w:tc>
      </w:tr>
      <w:tr w:rsidR="001506C1" w:rsidRPr="00FA3F9C" w14:paraId="2783E40A" w14:textId="77777777" w:rsidTr="00C93E92">
        <w:tc>
          <w:tcPr>
            <w:tcW w:w="1458" w:type="dxa"/>
            <w:shd w:val="clear" w:color="auto" w:fill="BFBFBF" w:themeFill="background1" w:themeFillShade="BF"/>
          </w:tcPr>
          <w:p w14:paraId="4B49ACBD" w14:textId="77777777" w:rsidR="001506C1" w:rsidRPr="00FA3F9C" w:rsidRDefault="001506C1" w:rsidP="00361FC4">
            <w:pPr>
              <w:rPr>
                <w:rFonts w:ascii="Arial" w:hAnsi="Arial" w:cs="Arial"/>
                <w:sz w:val="24"/>
                <w:szCs w:val="24"/>
              </w:rPr>
            </w:pPr>
          </w:p>
        </w:tc>
        <w:tc>
          <w:tcPr>
            <w:tcW w:w="9337" w:type="dxa"/>
            <w:shd w:val="clear" w:color="auto" w:fill="BFBFBF" w:themeFill="background1" w:themeFillShade="BF"/>
          </w:tcPr>
          <w:p w14:paraId="64749BE9" w14:textId="77777777" w:rsidR="001506C1" w:rsidRPr="00FA3F9C" w:rsidRDefault="001506C1" w:rsidP="00361FC4">
            <w:pPr>
              <w:rPr>
                <w:rFonts w:ascii="Arial" w:hAnsi="Arial" w:cs="Arial"/>
                <w:sz w:val="24"/>
                <w:szCs w:val="24"/>
              </w:rPr>
            </w:pPr>
            <w:r w:rsidRPr="00FA3F9C">
              <w:rPr>
                <w:rFonts w:ascii="Arial" w:hAnsi="Arial" w:cs="Arial"/>
                <w:sz w:val="24"/>
                <w:szCs w:val="24"/>
              </w:rPr>
              <w:t>ALTERNATIVES</w:t>
            </w:r>
          </w:p>
        </w:tc>
        <w:tc>
          <w:tcPr>
            <w:tcW w:w="1710" w:type="dxa"/>
            <w:shd w:val="clear" w:color="auto" w:fill="BFBFBF" w:themeFill="background1" w:themeFillShade="BF"/>
          </w:tcPr>
          <w:p w14:paraId="688E1DE5" w14:textId="77777777" w:rsidR="001506C1" w:rsidRPr="00FA3F9C" w:rsidRDefault="001506C1" w:rsidP="00361FC4">
            <w:pPr>
              <w:rPr>
                <w:rFonts w:ascii="Arial" w:hAnsi="Arial" w:cs="Arial"/>
                <w:sz w:val="24"/>
                <w:szCs w:val="24"/>
              </w:rPr>
            </w:pPr>
          </w:p>
        </w:tc>
        <w:tc>
          <w:tcPr>
            <w:tcW w:w="1800" w:type="dxa"/>
            <w:shd w:val="clear" w:color="auto" w:fill="BFBFBF" w:themeFill="background1" w:themeFillShade="BF"/>
          </w:tcPr>
          <w:p w14:paraId="2F1DDBBE" w14:textId="77777777" w:rsidR="001506C1" w:rsidRPr="00FA3F9C" w:rsidRDefault="001506C1" w:rsidP="00361FC4">
            <w:pPr>
              <w:rPr>
                <w:rFonts w:ascii="Arial" w:eastAsia="Times New Roman" w:hAnsi="Arial" w:cs="Arial"/>
                <w:color w:val="000000"/>
                <w:sz w:val="24"/>
                <w:szCs w:val="24"/>
                <w:shd w:val="clear" w:color="auto" w:fill="FFFAF6"/>
              </w:rPr>
            </w:pPr>
          </w:p>
        </w:tc>
      </w:tr>
      <w:tr w:rsidR="001506C1" w:rsidRPr="00FA3F9C" w14:paraId="211DEEE4" w14:textId="77777777" w:rsidTr="00C93E92">
        <w:tc>
          <w:tcPr>
            <w:tcW w:w="1458" w:type="dxa"/>
            <w:shd w:val="clear" w:color="auto" w:fill="auto"/>
          </w:tcPr>
          <w:p w14:paraId="09D00936" w14:textId="77777777" w:rsidR="001506C1" w:rsidRPr="00FA3F9C" w:rsidRDefault="001506C1" w:rsidP="00361FC4">
            <w:pPr>
              <w:rPr>
                <w:rFonts w:ascii="Arial" w:hAnsi="Arial" w:cs="Arial"/>
                <w:sz w:val="24"/>
                <w:szCs w:val="24"/>
              </w:rPr>
            </w:pPr>
            <w:proofErr w:type="spellStart"/>
            <w:r w:rsidRPr="00FA3F9C">
              <w:rPr>
                <w:rFonts w:ascii="Arial" w:hAnsi="Arial" w:cs="Arial"/>
                <w:sz w:val="24"/>
                <w:szCs w:val="24"/>
              </w:rPr>
              <w:t>Epclusa+ribavirin</w:t>
            </w:r>
            <w:proofErr w:type="spellEnd"/>
          </w:p>
        </w:tc>
        <w:tc>
          <w:tcPr>
            <w:tcW w:w="9337" w:type="dxa"/>
            <w:shd w:val="clear" w:color="auto" w:fill="auto"/>
          </w:tcPr>
          <w:p w14:paraId="0CFE0B3A" w14:textId="77777777" w:rsidR="001506C1" w:rsidRPr="00FA3F9C" w:rsidRDefault="001506C1" w:rsidP="00361FC4">
            <w:pPr>
              <w:rPr>
                <w:rFonts w:ascii="Arial" w:hAnsi="Arial" w:cs="Arial"/>
                <w:sz w:val="24"/>
                <w:szCs w:val="24"/>
              </w:rPr>
            </w:pPr>
            <w:r w:rsidRPr="00FA3F9C">
              <w:rPr>
                <w:rFonts w:ascii="Arial" w:hAnsi="Arial" w:cs="Arial"/>
                <w:sz w:val="24"/>
                <w:szCs w:val="24"/>
              </w:rPr>
              <w:t>Sofosbuvir 400mg/</w:t>
            </w:r>
            <w:proofErr w:type="spellStart"/>
            <w:r w:rsidRPr="00FA3F9C">
              <w:rPr>
                <w:rFonts w:ascii="Arial" w:hAnsi="Arial" w:cs="Arial"/>
                <w:sz w:val="24"/>
                <w:szCs w:val="24"/>
              </w:rPr>
              <w:t>velpatasvir</w:t>
            </w:r>
            <w:proofErr w:type="spellEnd"/>
            <w:r w:rsidRPr="00FA3F9C">
              <w:rPr>
                <w:rFonts w:ascii="Arial" w:hAnsi="Arial" w:cs="Arial"/>
                <w:sz w:val="24"/>
                <w:szCs w:val="24"/>
              </w:rPr>
              <w:t xml:space="preserve"> 100mg + weight-based ribavirin for </w:t>
            </w:r>
            <w:proofErr w:type="gramStart"/>
            <w:r w:rsidRPr="00FA3F9C">
              <w:rPr>
                <w:rFonts w:ascii="Arial" w:hAnsi="Arial" w:cs="Arial"/>
                <w:sz w:val="24"/>
                <w:szCs w:val="24"/>
              </w:rPr>
              <w:t>patients</w:t>
            </w:r>
            <w:proofErr w:type="gramEnd"/>
            <w:r w:rsidRPr="00FA3F9C">
              <w:rPr>
                <w:rFonts w:ascii="Arial" w:hAnsi="Arial" w:cs="Arial"/>
                <w:sz w:val="24"/>
                <w:szCs w:val="24"/>
              </w:rPr>
              <w:t xml:space="preserve"> w/ baseline NS5A RAS Y93H for </w:t>
            </w:r>
            <w:proofErr w:type="spellStart"/>
            <w:r w:rsidRPr="00FA3F9C">
              <w:rPr>
                <w:rFonts w:ascii="Arial" w:hAnsi="Arial" w:cs="Arial"/>
                <w:sz w:val="24"/>
                <w:szCs w:val="24"/>
              </w:rPr>
              <w:t>velpatasvir</w:t>
            </w:r>
            <w:proofErr w:type="spellEnd"/>
          </w:p>
        </w:tc>
        <w:tc>
          <w:tcPr>
            <w:tcW w:w="1710" w:type="dxa"/>
            <w:shd w:val="clear" w:color="auto" w:fill="auto"/>
          </w:tcPr>
          <w:p w14:paraId="090162CD" w14:textId="77777777" w:rsidR="001506C1" w:rsidRPr="00FA3F9C" w:rsidRDefault="001506C1" w:rsidP="00361FC4">
            <w:pPr>
              <w:rPr>
                <w:rFonts w:ascii="Arial" w:hAnsi="Arial" w:cs="Arial"/>
                <w:sz w:val="24"/>
                <w:szCs w:val="24"/>
              </w:rPr>
            </w:pPr>
            <w:r w:rsidRPr="00FA3F9C">
              <w:rPr>
                <w:rFonts w:ascii="Arial" w:hAnsi="Arial" w:cs="Arial"/>
                <w:sz w:val="24"/>
                <w:szCs w:val="24"/>
              </w:rPr>
              <w:t>12</w:t>
            </w:r>
          </w:p>
        </w:tc>
        <w:tc>
          <w:tcPr>
            <w:tcW w:w="1800" w:type="dxa"/>
            <w:shd w:val="clear" w:color="auto" w:fill="auto"/>
          </w:tcPr>
          <w:p w14:paraId="153804D4" w14:textId="77777777" w:rsidR="001506C1" w:rsidRPr="00FA3F9C" w:rsidRDefault="001506C1" w:rsidP="00361FC4">
            <w:pPr>
              <w:rPr>
                <w:rFonts w:ascii="Arial" w:eastAsia="Times New Roman" w:hAnsi="Arial" w:cs="Arial"/>
                <w:color w:val="000000"/>
                <w:sz w:val="24"/>
                <w:szCs w:val="24"/>
                <w:shd w:val="clear" w:color="auto" w:fill="FFFAF6"/>
              </w:rPr>
            </w:pPr>
            <w:proofErr w:type="spellStart"/>
            <w:r w:rsidRPr="00FA3F9C">
              <w:rPr>
                <w:rFonts w:ascii="Arial" w:eastAsia="Times New Roman" w:hAnsi="Arial" w:cs="Arial"/>
                <w:color w:val="000000"/>
                <w:sz w:val="24"/>
                <w:szCs w:val="24"/>
                <w:shd w:val="clear" w:color="auto" w:fill="FFFAF6"/>
              </w:rPr>
              <w:t>IIa,A</w:t>
            </w:r>
            <w:proofErr w:type="spellEnd"/>
          </w:p>
        </w:tc>
      </w:tr>
      <w:tr w:rsidR="001506C1" w:rsidRPr="00FA3F9C" w14:paraId="4828CAA9" w14:textId="77777777" w:rsidTr="00C93E92">
        <w:tc>
          <w:tcPr>
            <w:tcW w:w="1458" w:type="dxa"/>
            <w:shd w:val="clear" w:color="auto" w:fill="auto"/>
          </w:tcPr>
          <w:p w14:paraId="14626B4F" w14:textId="77777777" w:rsidR="001506C1" w:rsidRPr="00FA3F9C" w:rsidRDefault="001506C1" w:rsidP="00361FC4">
            <w:pPr>
              <w:rPr>
                <w:rFonts w:ascii="Arial" w:hAnsi="Arial" w:cs="Arial"/>
                <w:sz w:val="24"/>
                <w:szCs w:val="24"/>
              </w:rPr>
            </w:pPr>
            <w:proofErr w:type="spellStart"/>
            <w:r w:rsidRPr="00FA3F9C">
              <w:rPr>
                <w:rFonts w:ascii="Arial" w:hAnsi="Arial" w:cs="Arial"/>
                <w:sz w:val="24"/>
                <w:szCs w:val="24"/>
              </w:rPr>
              <w:t>Vosevi</w:t>
            </w:r>
            <w:proofErr w:type="spellEnd"/>
          </w:p>
        </w:tc>
        <w:tc>
          <w:tcPr>
            <w:tcW w:w="9337" w:type="dxa"/>
            <w:shd w:val="clear" w:color="auto" w:fill="auto"/>
          </w:tcPr>
          <w:p w14:paraId="1EBB7E4F" w14:textId="77777777" w:rsidR="001506C1" w:rsidRPr="00FA3F9C" w:rsidRDefault="001506C1" w:rsidP="00361FC4">
            <w:pPr>
              <w:rPr>
                <w:rFonts w:ascii="Arial" w:hAnsi="Arial" w:cs="Arial"/>
                <w:sz w:val="24"/>
                <w:szCs w:val="24"/>
              </w:rPr>
            </w:pPr>
            <w:r w:rsidRPr="00FA3F9C">
              <w:rPr>
                <w:rFonts w:ascii="Arial" w:hAnsi="Arial" w:cs="Arial"/>
                <w:sz w:val="24"/>
                <w:szCs w:val="24"/>
              </w:rPr>
              <w:t>Sofosbuvir 400mg/</w:t>
            </w:r>
            <w:proofErr w:type="spellStart"/>
            <w:r w:rsidRPr="00FA3F9C">
              <w:rPr>
                <w:rFonts w:ascii="Arial" w:hAnsi="Arial" w:cs="Arial"/>
                <w:sz w:val="24"/>
                <w:szCs w:val="24"/>
              </w:rPr>
              <w:t>velpatasvir</w:t>
            </w:r>
            <w:proofErr w:type="spellEnd"/>
            <w:r w:rsidRPr="00FA3F9C">
              <w:rPr>
                <w:rFonts w:ascii="Arial" w:hAnsi="Arial" w:cs="Arial"/>
                <w:sz w:val="24"/>
                <w:szCs w:val="24"/>
              </w:rPr>
              <w:t xml:space="preserve"> 100mg/</w:t>
            </w:r>
            <w:proofErr w:type="spellStart"/>
            <w:r w:rsidRPr="00FA3F9C">
              <w:rPr>
                <w:rFonts w:ascii="Arial" w:hAnsi="Arial" w:cs="Arial"/>
                <w:sz w:val="24"/>
                <w:szCs w:val="24"/>
              </w:rPr>
              <w:t>voxilaprevir</w:t>
            </w:r>
            <w:proofErr w:type="spellEnd"/>
            <w:r w:rsidRPr="00FA3F9C">
              <w:rPr>
                <w:rFonts w:ascii="Arial" w:hAnsi="Arial" w:cs="Arial"/>
                <w:sz w:val="24"/>
                <w:szCs w:val="24"/>
              </w:rPr>
              <w:t xml:space="preserve"> 100mg when Y93H is present</w:t>
            </w:r>
          </w:p>
        </w:tc>
        <w:tc>
          <w:tcPr>
            <w:tcW w:w="1710" w:type="dxa"/>
            <w:shd w:val="clear" w:color="auto" w:fill="auto"/>
          </w:tcPr>
          <w:p w14:paraId="19E9508D" w14:textId="77777777" w:rsidR="001506C1" w:rsidRPr="00FA3F9C" w:rsidRDefault="001506C1" w:rsidP="00361FC4">
            <w:pPr>
              <w:rPr>
                <w:rFonts w:ascii="Arial" w:hAnsi="Arial" w:cs="Arial"/>
                <w:sz w:val="24"/>
                <w:szCs w:val="24"/>
              </w:rPr>
            </w:pPr>
            <w:r w:rsidRPr="00FA3F9C">
              <w:rPr>
                <w:rFonts w:ascii="Arial" w:hAnsi="Arial" w:cs="Arial"/>
                <w:sz w:val="24"/>
                <w:szCs w:val="24"/>
              </w:rPr>
              <w:t xml:space="preserve">12 </w:t>
            </w:r>
          </w:p>
        </w:tc>
        <w:tc>
          <w:tcPr>
            <w:tcW w:w="1800" w:type="dxa"/>
            <w:shd w:val="clear" w:color="auto" w:fill="auto"/>
          </w:tcPr>
          <w:p w14:paraId="26C3FF60" w14:textId="77777777" w:rsidR="001506C1" w:rsidRPr="00FA3F9C" w:rsidRDefault="001506C1" w:rsidP="00361FC4">
            <w:pPr>
              <w:rPr>
                <w:rFonts w:ascii="Arial" w:eastAsia="Times New Roman" w:hAnsi="Arial" w:cs="Arial"/>
                <w:color w:val="000000"/>
                <w:sz w:val="24"/>
                <w:szCs w:val="24"/>
                <w:shd w:val="clear" w:color="auto" w:fill="FFFAF6"/>
              </w:rPr>
            </w:pPr>
            <w:r w:rsidRPr="00FA3F9C">
              <w:rPr>
                <w:rFonts w:ascii="Arial" w:eastAsia="Times New Roman" w:hAnsi="Arial" w:cs="Arial"/>
                <w:color w:val="000000"/>
                <w:sz w:val="24"/>
                <w:szCs w:val="24"/>
                <w:shd w:val="clear" w:color="auto" w:fill="FFFAF6"/>
              </w:rPr>
              <w:t xml:space="preserve">Class </w:t>
            </w:r>
            <w:proofErr w:type="spellStart"/>
            <w:r w:rsidRPr="00FA3F9C">
              <w:rPr>
                <w:rFonts w:ascii="Arial" w:eastAsia="Times New Roman" w:hAnsi="Arial" w:cs="Arial"/>
                <w:color w:val="000000"/>
                <w:sz w:val="24"/>
                <w:szCs w:val="24"/>
                <w:shd w:val="clear" w:color="auto" w:fill="FFFAF6"/>
              </w:rPr>
              <w:t>IIa</w:t>
            </w:r>
            <w:proofErr w:type="spellEnd"/>
            <w:r w:rsidRPr="00FA3F9C">
              <w:rPr>
                <w:rFonts w:ascii="Arial" w:eastAsia="Times New Roman" w:hAnsi="Arial" w:cs="Arial"/>
                <w:color w:val="000000"/>
                <w:sz w:val="24"/>
                <w:szCs w:val="24"/>
                <w:shd w:val="clear" w:color="auto" w:fill="FFFAF6"/>
              </w:rPr>
              <w:t>, B</w:t>
            </w:r>
          </w:p>
        </w:tc>
      </w:tr>
      <w:tr w:rsidR="001506C1" w:rsidRPr="00FA3F9C" w14:paraId="3CA004B7" w14:textId="77777777" w:rsidTr="00C93E92">
        <w:tc>
          <w:tcPr>
            <w:tcW w:w="1458" w:type="dxa"/>
            <w:tcBorders>
              <w:bottom w:val="single" w:sz="4" w:space="0" w:color="auto"/>
            </w:tcBorders>
            <w:shd w:val="clear" w:color="auto" w:fill="auto"/>
          </w:tcPr>
          <w:p w14:paraId="5FF3857E" w14:textId="77777777" w:rsidR="001506C1" w:rsidRPr="00FA3F9C" w:rsidRDefault="001506C1" w:rsidP="00361FC4">
            <w:pPr>
              <w:rPr>
                <w:rFonts w:ascii="Arial" w:hAnsi="Arial" w:cs="Arial"/>
                <w:sz w:val="24"/>
                <w:szCs w:val="24"/>
              </w:rPr>
            </w:pPr>
          </w:p>
        </w:tc>
        <w:tc>
          <w:tcPr>
            <w:tcW w:w="9337" w:type="dxa"/>
            <w:tcBorders>
              <w:bottom w:val="single" w:sz="4" w:space="0" w:color="auto"/>
            </w:tcBorders>
            <w:shd w:val="clear" w:color="auto" w:fill="auto"/>
          </w:tcPr>
          <w:p w14:paraId="1C551349" w14:textId="77777777" w:rsidR="001506C1" w:rsidRPr="00FA3F9C" w:rsidRDefault="001506C1" w:rsidP="00361FC4">
            <w:pPr>
              <w:rPr>
                <w:rFonts w:ascii="Arial" w:hAnsi="Arial" w:cs="Arial"/>
                <w:sz w:val="24"/>
                <w:szCs w:val="24"/>
              </w:rPr>
            </w:pPr>
          </w:p>
        </w:tc>
        <w:tc>
          <w:tcPr>
            <w:tcW w:w="1710" w:type="dxa"/>
            <w:tcBorders>
              <w:bottom w:val="single" w:sz="4" w:space="0" w:color="auto"/>
            </w:tcBorders>
            <w:shd w:val="clear" w:color="auto" w:fill="auto"/>
          </w:tcPr>
          <w:p w14:paraId="06D18933" w14:textId="77777777" w:rsidR="001506C1" w:rsidRPr="00FA3F9C" w:rsidRDefault="001506C1" w:rsidP="00361FC4">
            <w:pPr>
              <w:rPr>
                <w:rFonts w:ascii="Arial" w:hAnsi="Arial" w:cs="Arial"/>
                <w:sz w:val="24"/>
                <w:szCs w:val="24"/>
              </w:rPr>
            </w:pPr>
          </w:p>
        </w:tc>
        <w:tc>
          <w:tcPr>
            <w:tcW w:w="1800" w:type="dxa"/>
            <w:tcBorders>
              <w:bottom w:val="single" w:sz="4" w:space="0" w:color="auto"/>
            </w:tcBorders>
            <w:shd w:val="clear" w:color="auto" w:fill="auto"/>
          </w:tcPr>
          <w:p w14:paraId="2F892D6A" w14:textId="77777777" w:rsidR="001506C1" w:rsidRPr="00FA3F9C" w:rsidRDefault="001506C1" w:rsidP="00361FC4">
            <w:pPr>
              <w:rPr>
                <w:rFonts w:ascii="Arial" w:eastAsia="Times New Roman" w:hAnsi="Arial" w:cs="Arial"/>
                <w:color w:val="000000"/>
                <w:sz w:val="24"/>
                <w:szCs w:val="24"/>
                <w:shd w:val="clear" w:color="auto" w:fill="FFFAF6"/>
              </w:rPr>
            </w:pPr>
          </w:p>
        </w:tc>
      </w:tr>
      <w:tr w:rsidR="001506C1" w:rsidRPr="00FA3F9C" w14:paraId="600D0F3E" w14:textId="77777777" w:rsidTr="00C93E92">
        <w:tc>
          <w:tcPr>
            <w:tcW w:w="1458" w:type="dxa"/>
            <w:shd w:val="clear" w:color="auto" w:fill="000000" w:themeFill="text1"/>
          </w:tcPr>
          <w:p w14:paraId="61E1A5B6" w14:textId="77777777" w:rsidR="001506C1" w:rsidRPr="00FA3F9C" w:rsidRDefault="001506C1" w:rsidP="00361FC4">
            <w:pPr>
              <w:rPr>
                <w:rFonts w:ascii="Arial" w:hAnsi="Arial" w:cs="Arial"/>
                <w:sz w:val="24"/>
                <w:szCs w:val="24"/>
              </w:rPr>
            </w:pPr>
          </w:p>
        </w:tc>
        <w:tc>
          <w:tcPr>
            <w:tcW w:w="9337" w:type="dxa"/>
            <w:shd w:val="clear" w:color="auto" w:fill="000000" w:themeFill="text1"/>
          </w:tcPr>
          <w:p w14:paraId="289F3107" w14:textId="77777777" w:rsidR="001506C1" w:rsidRPr="00FA3F9C" w:rsidRDefault="001506C1" w:rsidP="00361FC4">
            <w:pPr>
              <w:rPr>
                <w:rFonts w:ascii="Arial" w:hAnsi="Arial" w:cs="Arial"/>
                <w:sz w:val="24"/>
                <w:szCs w:val="24"/>
              </w:rPr>
            </w:pPr>
            <w:r w:rsidRPr="00FA3F9C">
              <w:rPr>
                <w:rFonts w:ascii="Arial" w:hAnsi="Arial" w:cs="Arial"/>
                <w:sz w:val="24"/>
                <w:szCs w:val="24"/>
              </w:rPr>
              <w:t>GT4 TN, NO Cirrhosis</w:t>
            </w:r>
          </w:p>
        </w:tc>
        <w:tc>
          <w:tcPr>
            <w:tcW w:w="1710" w:type="dxa"/>
            <w:shd w:val="clear" w:color="auto" w:fill="000000" w:themeFill="text1"/>
          </w:tcPr>
          <w:p w14:paraId="7E28A152" w14:textId="77777777" w:rsidR="001506C1" w:rsidRPr="00FA3F9C" w:rsidRDefault="001506C1" w:rsidP="00361FC4">
            <w:pPr>
              <w:rPr>
                <w:rFonts w:ascii="Arial" w:hAnsi="Arial" w:cs="Arial"/>
                <w:sz w:val="24"/>
                <w:szCs w:val="24"/>
              </w:rPr>
            </w:pPr>
          </w:p>
        </w:tc>
        <w:tc>
          <w:tcPr>
            <w:tcW w:w="1800" w:type="dxa"/>
            <w:shd w:val="clear" w:color="auto" w:fill="000000" w:themeFill="text1"/>
          </w:tcPr>
          <w:p w14:paraId="77C1C770" w14:textId="77777777" w:rsidR="001506C1" w:rsidRPr="00FA3F9C" w:rsidRDefault="001506C1" w:rsidP="00361FC4">
            <w:pPr>
              <w:rPr>
                <w:rFonts w:ascii="Arial" w:eastAsia="Times New Roman" w:hAnsi="Arial" w:cs="Arial"/>
                <w:color w:val="000000"/>
                <w:sz w:val="24"/>
                <w:szCs w:val="24"/>
                <w:shd w:val="clear" w:color="auto" w:fill="FFFAF6"/>
              </w:rPr>
            </w:pPr>
          </w:p>
        </w:tc>
      </w:tr>
      <w:tr w:rsidR="001506C1" w:rsidRPr="00FA3F9C" w14:paraId="4AEA521F" w14:textId="77777777" w:rsidTr="00C93E92">
        <w:tc>
          <w:tcPr>
            <w:tcW w:w="1458" w:type="dxa"/>
            <w:shd w:val="clear" w:color="auto" w:fill="auto"/>
          </w:tcPr>
          <w:p w14:paraId="700EAB97" w14:textId="77777777" w:rsidR="001506C1" w:rsidRPr="00FA3F9C" w:rsidRDefault="001506C1" w:rsidP="00055A23">
            <w:pPr>
              <w:rPr>
                <w:rFonts w:ascii="Arial" w:hAnsi="Arial" w:cs="Arial"/>
                <w:sz w:val="24"/>
                <w:szCs w:val="24"/>
              </w:rPr>
            </w:pPr>
            <w:proofErr w:type="spellStart"/>
            <w:r w:rsidRPr="00FA3F9C">
              <w:rPr>
                <w:rFonts w:ascii="Arial" w:hAnsi="Arial" w:cs="Arial"/>
                <w:sz w:val="24"/>
                <w:szCs w:val="24"/>
              </w:rPr>
              <w:t>Zepatier</w:t>
            </w:r>
            <w:proofErr w:type="spellEnd"/>
          </w:p>
        </w:tc>
        <w:tc>
          <w:tcPr>
            <w:tcW w:w="9337" w:type="dxa"/>
            <w:shd w:val="clear" w:color="auto" w:fill="auto"/>
          </w:tcPr>
          <w:p w14:paraId="7DD9B989" w14:textId="77777777" w:rsidR="001506C1" w:rsidRPr="00FA3F9C" w:rsidRDefault="001506C1" w:rsidP="00055A23">
            <w:pPr>
              <w:rPr>
                <w:rFonts w:ascii="Arial" w:hAnsi="Arial" w:cs="Arial"/>
                <w:sz w:val="24"/>
                <w:szCs w:val="24"/>
              </w:rPr>
            </w:pPr>
            <w:r w:rsidRPr="00FA3F9C">
              <w:rPr>
                <w:rFonts w:ascii="Arial" w:hAnsi="Arial" w:cs="Arial"/>
                <w:sz w:val="24"/>
                <w:szCs w:val="24"/>
              </w:rPr>
              <w:t>Elbasvir 50mg/grazoprevir 100mg</w:t>
            </w:r>
          </w:p>
        </w:tc>
        <w:tc>
          <w:tcPr>
            <w:tcW w:w="1710" w:type="dxa"/>
            <w:shd w:val="clear" w:color="auto" w:fill="auto"/>
          </w:tcPr>
          <w:p w14:paraId="24AFBC60" w14:textId="77777777" w:rsidR="001506C1" w:rsidRPr="00FA3F9C" w:rsidRDefault="001506C1" w:rsidP="00055A23">
            <w:pPr>
              <w:rPr>
                <w:rFonts w:ascii="Arial" w:hAnsi="Arial" w:cs="Arial"/>
                <w:sz w:val="24"/>
                <w:szCs w:val="24"/>
              </w:rPr>
            </w:pPr>
            <w:r w:rsidRPr="00FA3F9C">
              <w:rPr>
                <w:rFonts w:ascii="Arial" w:hAnsi="Arial" w:cs="Arial"/>
                <w:sz w:val="24"/>
                <w:szCs w:val="24"/>
              </w:rPr>
              <w:t>12</w:t>
            </w:r>
          </w:p>
        </w:tc>
        <w:tc>
          <w:tcPr>
            <w:tcW w:w="1800" w:type="dxa"/>
            <w:shd w:val="clear" w:color="auto" w:fill="auto"/>
          </w:tcPr>
          <w:p w14:paraId="04DA6F3E" w14:textId="77777777" w:rsidR="001506C1" w:rsidRPr="00FA3F9C" w:rsidRDefault="001506C1" w:rsidP="00055A23">
            <w:pPr>
              <w:rPr>
                <w:rFonts w:ascii="Arial" w:eastAsia="Times New Roman" w:hAnsi="Arial" w:cs="Arial"/>
                <w:color w:val="000000"/>
                <w:sz w:val="24"/>
                <w:szCs w:val="24"/>
                <w:shd w:val="clear" w:color="auto" w:fill="FFFAF6"/>
              </w:rPr>
            </w:pPr>
            <w:r w:rsidRPr="00FA3F9C">
              <w:rPr>
                <w:rFonts w:ascii="Arial" w:eastAsia="Times New Roman" w:hAnsi="Arial" w:cs="Arial"/>
                <w:color w:val="000000"/>
                <w:sz w:val="24"/>
                <w:szCs w:val="24"/>
                <w:shd w:val="clear" w:color="auto" w:fill="FFFAF6"/>
              </w:rPr>
              <w:t>Class I, A</w:t>
            </w:r>
          </w:p>
        </w:tc>
      </w:tr>
      <w:tr w:rsidR="001506C1" w:rsidRPr="00FA3F9C" w14:paraId="17C2DD9B" w14:textId="77777777" w:rsidTr="00C93E92">
        <w:tc>
          <w:tcPr>
            <w:tcW w:w="1458" w:type="dxa"/>
            <w:shd w:val="clear" w:color="auto" w:fill="auto"/>
          </w:tcPr>
          <w:p w14:paraId="1A5D5CBC" w14:textId="77777777" w:rsidR="001506C1" w:rsidRPr="00FA3F9C" w:rsidRDefault="001506C1" w:rsidP="00361FC4">
            <w:pPr>
              <w:rPr>
                <w:rFonts w:ascii="Arial" w:hAnsi="Arial" w:cs="Arial"/>
                <w:sz w:val="24"/>
                <w:szCs w:val="24"/>
              </w:rPr>
            </w:pPr>
            <w:proofErr w:type="spellStart"/>
            <w:r w:rsidRPr="00FA3F9C">
              <w:rPr>
                <w:rFonts w:ascii="Arial" w:hAnsi="Arial" w:cs="Arial"/>
                <w:sz w:val="24"/>
                <w:szCs w:val="24"/>
              </w:rPr>
              <w:t>Mavyret</w:t>
            </w:r>
            <w:proofErr w:type="spellEnd"/>
          </w:p>
        </w:tc>
        <w:tc>
          <w:tcPr>
            <w:tcW w:w="9337" w:type="dxa"/>
            <w:shd w:val="clear" w:color="auto" w:fill="auto"/>
          </w:tcPr>
          <w:p w14:paraId="0ABB5A3D" w14:textId="77777777" w:rsidR="001506C1" w:rsidRPr="00FA3F9C" w:rsidRDefault="001506C1" w:rsidP="00361FC4">
            <w:pPr>
              <w:rPr>
                <w:rFonts w:ascii="Arial" w:hAnsi="Arial" w:cs="Arial"/>
                <w:sz w:val="24"/>
                <w:szCs w:val="24"/>
              </w:rPr>
            </w:pPr>
            <w:proofErr w:type="spellStart"/>
            <w:r w:rsidRPr="00FA3F9C">
              <w:rPr>
                <w:rFonts w:ascii="Arial" w:hAnsi="Arial" w:cs="Arial"/>
                <w:sz w:val="24"/>
                <w:szCs w:val="24"/>
              </w:rPr>
              <w:t>Glecaprevir</w:t>
            </w:r>
            <w:proofErr w:type="spellEnd"/>
            <w:r w:rsidRPr="00FA3F9C">
              <w:rPr>
                <w:rFonts w:ascii="Arial" w:hAnsi="Arial" w:cs="Arial"/>
                <w:sz w:val="24"/>
                <w:szCs w:val="24"/>
              </w:rPr>
              <w:t xml:space="preserve"> 300 mg/</w:t>
            </w:r>
            <w:proofErr w:type="spellStart"/>
            <w:r w:rsidRPr="00FA3F9C">
              <w:rPr>
                <w:rFonts w:ascii="Arial" w:hAnsi="Arial" w:cs="Arial"/>
                <w:sz w:val="24"/>
                <w:szCs w:val="24"/>
              </w:rPr>
              <w:t>pibrentasvir</w:t>
            </w:r>
            <w:proofErr w:type="spellEnd"/>
            <w:r w:rsidRPr="00FA3F9C">
              <w:rPr>
                <w:rFonts w:ascii="Arial" w:hAnsi="Arial" w:cs="Arial"/>
                <w:sz w:val="24"/>
                <w:szCs w:val="24"/>
              </w:rPr>
              <w:t xml:space="preserve"> 120 mg</w:t>
            </w:r>
          </w:p>
        </w:tc>
        <w:tc>
          <w:tcPr>
            <w:tcW w:w="1710" w:type="dxa"/>
            <w:shd w:val="clear" w:color="auto" w:fill="auto"/>
          </w:tcPr>
          <w:p w14:paraId="508183A4" w14:textId="77777777" w:rsidR="001506C1" w:rsidRPr="00FA3F9C" w:rsidRDefault="001506C1" w:rsidP="00361FC4">
            <w:pPr>
              <w:rPr>
                <w:rFonts w:ascii="Arial" w:hAnsi="Arial" w:cs="Arial"/>
                <w:sz w:val="24"/>
                <w:szCs w:val="24"/>
              </w:rPr>
            </w:pPr>
            <w:r w:rsidRPr="00FA3F9C">
              <w:rPr>
                <w:rFonts w:ascii="Arial" w:hAnsi="Arial" w:cs="Arial"/>
                <w:sz w:val="24"/>
                <w:szCs w:val="24"/>
              </w:rPr>
              <w:t>8</w:t>
            </w:r>
          </w:p>
        </w:tc>
        <w:tc>
          <w:tcPr>
            <w:tcW w:w="1800" w:type="dxa"/>
            <w:shd w:val="clear" w:color="auto" w:fill="auto"/>
          </w:tcPr>
          <w:p w14:paraId="13A40E3C" w14:textId="77777777" w:rsidR="001506C1" w:rsidRPr="00FA3F9C" w:rsidRDefault="001506C1" w:rsidP="00361FC4">
            <w:pPr>
              <w:rPr>
                <w:rFonts w:ascii="Arial" w:eastAsia="Times New Roman" w:hAnsi="Arial" w:cs="Arial"/>
                <w:color w:val="000000"/>
                <w:sz w:val="24"/>
                <w:szCs w:val="24"/>
                <w:shd w:val="clear" w:color="auto" w:fill="FFFAF6"/>
              </w:rPr>
            </w:pPr>
            <w:r w:rsidRPr="00FA3F9C">
              <w:rPr>
                <w:rFonts w:ascii="Arial" w:eastAsia="Times New Roman" w:hAnsi="Arial" w:cs="Arial"/>
                <w:color w:val="000000"/>
                <w:sz w:val="24"/>
                <w:szCs w:val="24"/>
                <w:shd w:val="clear" w:color="auto" w:fill="FFFAF6"/>
              </w:rPr>
              <w:t>Class I, A</w:t>
            </w:r>
          </w:p>
        </w:tc>
      </w:tr>
      <w:tr w:rsidR="001506C1" w:rsidRPr="00FA3F9C" w14:paraId="65A3BAED" w14:textId="77777777" w:rsidTr="00C93E92">
        <w:tc>
          <w:tcPr>
            <w:tcW w:w="1458" w:type="dxa"/>
            <w:shd w:val="clear" w:color="auto" w:fill="auto"/>
          </w:tcPr>
          <w:p w14:paraId="29BC3390" w14:textId="77777777" w:rsidR="001506C1" w:rsidRPr="00FA3F9C" w:rsidRDefault="001506C1" w:rsidP="00B46DAF">
            <w:pPr>
              <w:rPr>
                <w:rFonts w:ascii="Arial" w:hAnsi="Arial" w:cs="Arial"/>
                <w:sz w:val="24"/>
                <w:szCs w:val="24"/>
              </w:rPr>
            </w:pPr>
            <w:r w:rsidRPr="00FA3F9C">
              <w:rPr>
                <w:rFonts w:ascii="Arial" w:hAnsi="Arial" w:cs="Arial"/>
                <w:sz w:val="24"/>
                <w:szCs w:val="24"/>
              </w:rPr>
              <w:t>Harvoni</w:t>
            </w:r>
          </w:p>
        </w:tc>
        <w:tc>
          <w:tcPr>
            <w:tcW w:w="9337" w:type="dxa"/>
            <w:shd w:val="clear" w:color="auto" w:fill="auto"/>
          </w:tcPr>
          <w:p w14:paraId="3412F441" w14:textId="77777777" w:rsidR="001506C1" w:rsidRPr="00FA3F9C" w:rsidRDefault="001506C1" w:rsidP="00B46DAF">
            <w:pPr>
              <w:rPr>
                <w:rFonts w:ascii="Arial" w:hAnsi="Arial" w:cs="Arial"/>
                <w:sz w:val="24"/>
                <w:szCs w:val="24"/>
              </w:rPr>
            </w:pPr>
            <w:r w:rsidRPr="00FA3F9C">
              <w:rPr>
                <w:rFonts w:ascii="Arial" w:hAnsi="Arial" w:cs="Arial"/>
                <w:sz w:val="24"/>
                <w:szCs w:val="24"/>
              </w:rPr>
              <w:t>Ledipasvir 90mg/ sofosbuvir 400mg</w:t>
            </w:r>
          </w:p>
        </w:tc>
        <w:tc>
          <w:tcPr>
            <w:tcW w:w="1710" w:type="dxa"/>
            <w:shd w:val="clear" w:color="auto" w:fill="auto"/>
          </w:tcPr>
          <w:p w14:paraId="56312C64" w14:textId="77777777" w:rsidR="001506C1" w:rsidRPr="00FA3F9C" w:rsidRDefault="001506C1" w:rsidP="00B46DAF">
            <w:pPr>
              <w:rPr>
                <w:rFonts w:ascii="Arial" w:hAnsi="Arial" w:cs="Arial"/>
                <w:sz w:val="24"/>
                <w:szCs w:val="24"/>
              </w:rPr>
            </w:pPr>
            <w:r w:rsidRPr="00FA3F9C">
              <w:rPr>
                <w:rFonts w:ascii="Arial" w:hAnsi="Arial" w:cs="Arial"/>
                <w:sz w:val="24"/>
                <w:szCs w:val="24"/>
              </w:rPr>
              <w:t>12</w:t>
            </w:r>
          </w:p>
        </w:tc>
        <w:tc>
          <w:tcPr>
            <w:tcW w:w="1800" w:type="dxa"/>
            <w:shd w:val="clear" w:color="auto" w:fill="auto"/>
          </w:tcPr>
          <w:p w14:paraId="3780DCCF" w14:textId="77777777" w:rsidR="001506C1" w:rsidRPr="00FA3F9C" w:rsidRDefault="001506C1" w:rsidP="00B46DAF">
            <w:pPr>
              <w:rPr>
                <w:rFonts w:ascii="Arial" w:eastAsia="Times New Roman" w:hAnsi="Arial" w:cs="Arial"/>
                <w:color w:val="000000"/>
                <w:sz w:val="24"/>
                <w:szCs w:val="24"/>
                <w:shd w:val="clear" w:color="auto" w:fill="FFFAF6"/>
              </w:rPr>
            </w:pPr>
            <w:r w:rsidRPr="00FA3F9C">
              <w:rPr>
                <w:rFonts w:ascii="Arial" w:eastAsia="Times New Roman" w:hAnsi="Arial" w:cs="Arial"/>
                <w:color w:val="000000"/>
                <w:sz w:val="24"/>
                <w:szCs w:val="24"/>
                <w:shd w:val="clear" w:color="auto" w:fill="FFFAF6"/>
              </w:rPr>
              <w:t>Class I, A</w:t>
            </w:r>
          </w:p>
        </w:tc>
      </w:tr>
      <w:tr w:rsidR="001506C1" w:rsidRPr="00FA3F9C" w14:paraId="7C041460" w14:textId="77777777" w:rsidTr="00C93E92">
        <w:tc>
          <w:tcPr>
            <w:tcW w:w="1458" w:type="dxa"/>
            <w:shd w:val="clear" w:color="auto" w:fill="auto"/>
          </w:tcPr>
          <w:p w14:paraId="55470C1C" w14:textId="77777777" w:rsidR="001506C1" w:rsidRPr="00FA3F9C" w:rsidRDefault="001506C1" w:rsidP="00361FC4">
            <w:pPr>
              <w:rPr>
                <w:rFonts w:ascii="Arial" w:hAnsi="Arial" w:cs="Arial"/>
                <w:sz w:val="24"/>
                <w:szCs w:val="24"/>
              </w:rPr>
            </w:pPr>
            <w:r w:rsidRPr="00FA3F9C">
              <w:rPr>
                <w:rFonts w:ascii="Arial" w:hAnsi="Arial" w:cs="Arial"/>
                <w:sz w:val="24"/>
                <w:szCs w:val="24"/>
              </w:rPr>
              <w:t>Epclusa</w:t>
            </w:r>
          </w:p>
        </w:tc>
        <w:tc>
          <w:tcPr>
            <w:tcW w:w="9337" w:type="dxa"/>
            <w:shd w:val="clear" w:color="auto" w:fill="auto"/>
          </w:tcPr>
          <w:p w14:paraId="21A86B3C" w14:textId="77777777" w:rsidR="001506C1" w:rsidRPr="00FA3F9C" w:rsidRDefault="001506C1" w:rsidP="00361FC4">
            <w:pPr>
              <w:rPr>
                <w:rFonts w:ascii="Arial" w:hAnsi="Arial" w:cs="Arial"/>
                <w:sz w:val="24"/>
                <w:szCs w:val="24"/>
              </w:rPr>
            </w:pPr>
            <w:r w:rsidRPr="00FA3F9C">
              <w:rPr>
                <w:rFonts w:ascii="Arial" w:hAnsi="Arial" w:cs="Arial"/>
                <w:sz w:val="24"/>
                <w:szCs w:val="24"/>
              </w:rPr>
              <w:t>Sofosbuvir 400mg/</w:t>
            </w:r>
            <w:proofErr w:type="spellStart"/>
            <w:r w:rsidRPr="00FA3F9C">
              <w:rPr>
                <w:rFonts w:ascii="Arial" w:hAnsi="Arial" w:cs="Arial"/>
                <w:sz w:val="24"/>
                <w:szCs w:val="24"/>
              </w:rPr>
              <w:t>velpatasvir</w:t>
            </w:r>
            <w:proofErr w:type="spellEnd"/>
            <w:r w:rsidRPr="00FA3F9C">
              <w:rPr>
                <w:rFonts w:ascii="Arial" w:hAnsi="Arial" w:cs="Arial"/>
                <w:sz w:val="24"/>
                <w:szCs w:val="24"/>
              </w:rPr>
              <w:t xml:space="preserve"> 100mg</w:t>
            </w:r>
          </w:p>
        </w:tc>
        <w:tc>
          <w:tcPr>
            <w:tcW w:w="1710" w:type="dxa"/>
            <w:shd w:val="clear" w:color="auto" w:fill="auto"/>
          </w:tcPr>
          <w:p w14:paraId="5526A733" w14:textId="77777777" w:rsidR="001506C1" w:rsidRPr="00FA3F9C" w:rsidRDefault="001506C1" w:rsidP="00361FC4">
            <w:pPr>
              <w:rPr>
                <w:rFonts w:ascii="Arial" w:hAnsi="Arial" w:cs="Arial"/>
                <w:sz w:val="24"/>
                <w:szCs w:val="24"/>
              </w:rPr>
            </w:pPr>
            <w:r w:rsidRPr="00FA3F9C">
              <w:rPr>
                <w:rFonts w:ascii="Arial" w:hAnsi="Arial" w:cs="Arial"/>
                <w:sz w:val="24"/>
                <w:szCs w:val="24"/>
              </w:rPr>
              <w:t>12</w:t>
            </w:r>
          </w:p>
        </w:tc>
        <w:tc>
          <w:tcPr>
            <w:tcW w:w="1800" w:type="dxa"/>
            <w:shd w:val="clear" w:color="auto" w:fill="auto"/>
          </w:tcPr>
          <w:p w14:paraId="46E93787" w14:textId="77777777" w:rsidR="001506C1" w:rsidRPr="00FA3F9C" w:rsidRDefault="001506C1" w:rsidP="00361FC4">
            <w:pPr>
              <w:rPr>
                <w:rFonts w:ascii="Arial" w:eastAsia="Times New Roman" w:hAnsi="Arial" w:cs="Arial"/>
                <w:color w:val="000000"/>
                <w:sz w:val="24"/>
                <w:szCs w:val="24"/>
                <w:shd w:val="clear" w:color="auto" w:fill="FFFAF6"/>
              </w:rPr>
            </w:pPr>
            <w:r w:rsidRPr="00FA3F9C">
              <w:rPr>
                <w:rFonts w:ascii="Arial" w:eastAsia="Times New Roman" w:hAnsi="Arial" w:cs="Arial"/>
                <w:color w:val="000000"/>
                <w:sz w:val="24"/>
                <w:szCs w:val="24"/>
                <w:shd w:val="clear" w:color="auto" w:fill="FFFAF6"/>
              </w:rPr>
              <w:t>Class I, A</w:t>
            </w:r>
          </w:p>
        </w:tc>
      </w:tr>
      <w:tr w:rsidR="001506C1" w:rsidRPr="00FA3F9C" w14:paraId="54F4F006" w14:textId="77777777" w:rsidTr="00C93E92">
        <w:tc>
          <w:tcPr>
            <w:tcW w:w="1458" w:type="dxa"/>
            <w:tcBorders>
              <w:bottom w:val="single" w:sz="4" w:space="0" w:color="auto"/>
            </w:tcBorders>
            <w:shd w:val="clear" w:color="auto" w:fill="auto"/>
          </w:tcPr>
          <w:p w14:paraId="438E9B04" w14:textId="77777777" w:rsidR="001506C1" w:rsidRPr="00FA3F9C" w:rsidRDefault="001506C1" w:rsidP="00EC1004">
            <w:pPr>
              <w:rPr>
                <w:rFonts w:ascii="Arial" w:hAnsi="Arial" w:cs="Arial"/>
                <w:sz w:val="24"/>
                <w:szCs w:val="24"/>
              </w:rPr>
            </w:pPr>
          </w:p>
        </w:tc>
        <w:tc>
          <w:tcPr>
            <w:tcW w:w="9337" w:type="dxa"/>
            <w:tcBorders>
              <w:bottom w:val="single" w:sz="4" w:space="0" w:color="auto"/>
            </w:tcBorders>
            <w:shd w:val="clear" w:color="auto" w:fill="auto"/>
          </w:tcPr>
          <w:p w14:paraId="50DDB0E8" w14:textId="77777777" w:rsidR="001506C1" w:rsidRPr="00FA3F9C" w:rsidRDefault="001506C1" w:rsidP="00EC1004">
            <w:pPr>
              <w:rPr>
                <w:rFonts w:ascii="Arial" w:hAnsi="Arial" w:cs="Arial"/>
                <w:sz w:val="24"/>
                <w:szCs w:val="24"/>
              </w:rPr>
            </w:pPr>
          </w:p>
        </w:tc>
        <w:tc>
          <w:tcPr>
            <w:tcW w:w="1710" w:type="dxa"/>
            <w:tcBorders>
              <w:bottom w:val="single" w:sz="4" w:space="0" w:color="auto"/>
            </w:tcBorders>
            <w:shd w:val="clear" w:color="auto" w:fill="auto"/>
          </w:tcPr>
          <w:p w14:paraId="63D8A6EB" w14:textId="77777777" w:rsidR="001506C1" w:rsidRPr="00FA3F9C" w:rsidRDefault="001506C1" w:rsidP="00EC1004">
            <w:pPr>
              <w:rPr>
                <w:rFonts w:ascii="Arial" w:hAnsi="Arial" w:cs="Arial"/>
                <w:sz w:val="24"/>
                <w:szCs w:val="24"/>
              </w:rPr>
            </w:pPr>
          </w:p>
        </w:tc>
        <w:tc>
          <w:tcPr>
            <w:tcW w:w="1800" w:type="dxa"/>
            <w:tcBorders>
              <w:bottom w:val="single" w:sz="4" w:space="0" w:color="auto"/>
            </w:tcBorders>
            <w:shd w:val="clear" w:color="auto" w:fill="auto"/>
          </w:tcPr>
          <w:p w14:paraId="09888221" w14:textId="77777777" w:rsidR="001506C1" w:rsidRPr="00FA3F9C" w:rsidRDefault="001506C1" w:rsidP="00EC1004">
            <w:pPr>
              <w:rPr>
                <w:rFonts w:ascii="Arial" w:eastAsia="Times New Roman" w:hAnsi="Arial" w:cs="Arial"/>
                <w:color w:val="000000"/>
                <w:sz w:val="24"/>
                <w:szCs w:val="24"/>
                <w:shd w:val="clear" w:color="auto" w:fill="FFFAF6"/>
              </w:rPr>
            </w:pPr>
          </w:p>
        </w:tc>
      </w:tr>
      <w:tr w:rsidR="001506C1" w:rsidRPr="00FA3F9C" w14:paraId="7253FC7E" w14:textId="77777777" w:rsidTr="00C93E92">
        <w:tc>
          <w:tcPr>
            <w:tcW w:w="1458" w:type="dxa"/>
            <w:tcBorders>
              <w:bottom w:val="single" w:sz="4" w:space="0" w:color="auto"/>
            </w:tcBorders>
            <w:shd w:val="clear" w:color="auto" w:fill="auto"/>
          </w:tcPr>
          <w:p w14:paraId="53A8ED52" w14:textId="77777777" w:rsidR="001506C1" w:rsidRPr="00FA3F9C" w:rsidRDefault="001506C1" w:rsidP="00EC1004">
            <w:pPr>
              <w:rPr>
                <w:rFonts w:ascii="Arial" w:hAnsi="Arial" w:cs="Arial"/>
                <w:sz w:val="24"/>
                <w:szCs w:val="24"/>
              </w:rPr>
            </w:pPr>
          </w:p>
        </w:tc>
        <w:tc>
          <w:tcPr>
            <w:tcW w:w="9337" w:type="dxa"/>
            <w:tcBorders>
              <w:bottom w:val="single" w:sz="4" w:space="0" w:color="auto"/>
            </w:tcBorders>
            <w:shd w:val="clear" w:color="auto" w:fill="auto"/>
          </w:tcPr>
          <w:p w14:paraId="12A54626" w14:textId="77777777" w:rsidR="001506C1" w:rsidRPr="00FA3F9C" w:rsidRDefault="001506C1" w:rsidP="00EC1004">
            <w:pPr>
              <w:rPr>
                <w:rFonts w:ascii="Arial" w:hAnsi="Arial" w:cs="Arial"/>
                <w:sz w:val="24"/>
                <w:szCs w:val="24"/>
              </w:rPr>
            </w:pPr>
          </w:p>
        </w:tc>
        <w:tc>
          <w:tcPr>
            <w:tcW w:w="1710" w:type="dxa"/>
            <w:tcBorders>
              <w:bottom w:val="single" w:sz="4" w:space="0" w:color="auto"/>
            </w:tcBorders>
            <w:shd w:val="clear" w:color="auto" w:fill="auto"/>
          </w:tcPr>
          <w:p w14:paraId="6980CDBC" w14:textId="77777777" w:rsidR="001506C1" w:rsidRPr="00FA3F9C" w:rsidRDefault="001506C1" w:rsidP="00EC1004">
            <w:pPr>
              <w:rPr>
                <w:rFonts w:ascii="Arial" w:hAnsi="Arial" w:cs="Arial"/>
                <w:sz w:val="24"/>
                <w:szCs w:val="24"/>
              </w:rPr>
            </w:pPr>
          </w:p>
        </w:tc>
        <w:tc>
          <w:tcPr>
            <w:tcW w:w="1800" w:type="dxa"/>
            <w:tcBorders>
              <w:bottom w:val="single" w:sz="4" w:space="0" w:color="auto"/>
            </w:tcBorders>
            <w:shd w:val="clear" w:color="auto" w:fill="auto"/>
          </w:tcPr>
          <w:p w14:paraId="0D618C67" w14:textId="77777777" w:rsidR="001506C1" w:rsidRPr="00FA3F9C" w:rsidRDefault="001506C1" w:rsidP="00EC1004">
            <w:pPr>
              <w:rPr>
                <w:rFonts w:ascii="Arial" w:eastAsia="Times New Roman" w:hAnsi="Arial" w:cs="Arial"/>
                <w:color w:val="000000"/>
                <w:sz w:val="24"/>
                <w:szCs w:val="24"/>
                <w:shd w:val="clear" w:color="auto" w:fill="FFFAF6"/>
              </w:rPr>
            </w:pPr>
          </w:p>
        </w:tc>
      </w:tr>
      <w:tr w:rsidR="001506C1" w:rsidRPr="00FA3F9C" w14:paraId="42CB1E26" w14:textId="77777777" w:rsidTr="00C93E92">
        <w:tc>
          <w:tcPr>
            <w:tcW w:w="1458" w:type="dxa"/>
            <w:shd w:val="clear" w:color="auto" w:fill="000000" w:themeFill="text1"/>
          </w:tcPr>
          <w:p w14:paraId="1B0A6D01" w14:textId="77777777" w:rsidR="001506C1" w:rsidRPr="00FA3F9C" w:rsidRDefault="001506C1" w:rsidP="00EC1004">
            <w:pPr>
              <w:rPr>
                <w:rFonts w:ascii="Arial" w:hAnsi="Arial" w:cs="Arial"/>
                <w:sz w:val="24"/>
                <w:szCs w:val="24"/>
              </w:rPr>
            </w:pPr>
          </w:p>
        </w:tc>
        <w:tc>
          <w:tcPr>
            <w:tcW w:w="9337" w:type="dxa"/>
            <w:shd w:val="clear" w:color="auto" w:fill="000000" w:themeFill="text1"/>
          </w:tcPr>
          <w:p w14:paraId="7A048352" w14:textId="77777777" w:rsidR="001506C1" w:rsidRPr="00FA3F9C" w:rsidRDefault="001506C1" w:rsidP="00EC1004">
            <w:pPr>
              <w:rPr>
                <w:rFonts w:ascii="Arial" w:hAnsi="Arial" w:cs="Arial"/>
                <w:sz w:val="24"/>
                <w:szCs w:val="24"/>
              </w:rPr>
            </w:pPr>
            <w:r w:rsidRPr="00FA3F9C">
              <w:rPr>
                <w:rFonts w:ascii="Arial" w:hAnsi="Arial" w:cs="Arial"/>
                <w:sz w:val="24"/>
                <w:szCs w:val="24"/>
              </w:rPr>
              <w:t>GT4, TN, COMPENSATED Cirrhosis</w:t>
            </w:r>
          </w:p>
        </w:tc>
        <w:tc>
          <w:tcPr>
            <w:tcW w:w="1710" w:type="dxa"/>
            <w:shd w:val="clear" w:color="auto" w:fill="000000" w:themeFill="text1"/>
          </w:tcPr>
          <w:p w14:paraId="1A2ED754" w14:textId="77777777" w:rsidR="001506C1" w:rsidRPr="00FA3F9C" w:rsidRDefault="001506C1" w:rsidP="00EC1004">
            <w:pPr>
              <w:rPr>
                <w:rFonts w:ascii="Arial" w:hAnsi="Arial" w:cs="Arial"/>
                <w:sz w:val="24"/>
                <w:szCs w:val="24"/>
              </w:rPr>
            </w:pPr>
          </w:p>
        </w:tc>
        <w:tc>
          <w:tcPr>
            <w:tcW w:w="1800" w:type="dxa"/>
            <w:shd w:val="clear" w:color="auto" w:fill="000000" w:themeFill="text1"/>
          </w:tcPr>
          <w:p w14:paraId="120772C8" w14:textId="77777777" w:rsidR="001506C1" w:rsidRPr="00FA3F9C" w:rsidRDefault="001506C1" w:rsidP="00EC1004">
            <w:pPr>
              <w:rPr>
                <w:rFonts w:ascii="Arial" w:eastAsia="Times New Roman" w:hAnsi="Arial" w:cs="Arial"/>
                <w:color w:val="000000"/>
                <w:sz w:val="24"/>
                <w:szCs w:val="24"/>
                <w:shd w:val="clear" w:color="auto" w:fill="FFFAF6"/>
              </w:rPr>
            </w:pPr>
          </w:p>
        </w:tc>
      </w:tr>
      <w:tr w:rsidR="001506C1" w:rsidRPr="00FA3F9C" w14:paraId="477D4157" w14:textId="77777777" w:rsidTr="00C93E92">
        <w:tc>
          <w:tcPr>
            <w:tcW w:w="1458" w:type="dxa"/>
            <w:shd w:val="clear" w:color="auto" w:fill="auto"/>
          </w:tcPr>
          <w:p w14:paraId="05507A30" w14:textId="77777777" w:rsidR="001506C1" w:rsidRPr="00FA3F9C" w:rsidRDefault="001506C1" w:rsidP="00EC1004">
            <w:pPr>
              <w:rPr>
                <w:rFonts w:ascii="Arial" w:hAnsi="Arial" w:cs="Arial"/>
                <w:sz w:val="24"/>
                <w:szCs w:val="24"/>
              </w:rPr>
            </w:pPr>
            <w:r w:rsidRPr="00FA3F9C">
              <w:rPr>
                <w:rFonts w:ascii="Arial" w:hAnsi="Arial" w:cs="Arial"/>
                <w:sz w:val="24"/>
                <w:szCs w:val="24"/>
              </w:rPr>
              <w:t>Epclusa</w:t>
            </w:r>
          </w:p>
        </w:tc>
        <w:tc>
          <w:tcPr>
            <w:tcW w:w="9337" w:type="dxa"/>
            <w:shd w:val="clear" w:color="auto" w:fill="auto"/>
          </w:tcPr>
          <w:p w14:paraId="7B6C49DE" w14:textId="77777777" w:rsidR="001506C1" w:rsidRPr="00FA3F9C" w:rsidRDefault="001506C1" w:rsidP="00EC1004">
            <w:pPr>
              <w:rPr>
                <w:rFonts w:ascii="Arial" w:hAnsi="Arial" w:cs="Arial"/>
                <w:sz w:val="24"/>
                <w:szCs w:val="24"/>
              </w:rPr>
            </w:pPr>
            <w:r w:rsidRPr="00FA3F9C">
              <w:rPr>
                <w:rFonts w:ascii="Arial" w:hAnsi="Arial" w:cs="Arial"/>
                <w:sz w:val="24"/>
                <w:szCs w:val="24"/>
              </w:rPr>
              <w:t>Sofosbuvir 400mg/</w:t>
            </w:r>
            <w:proofErr w:type="spellStart"/>
            <w:r w:rsidRPr="00FA3F9C">
              <w:rPr>
                <w:rFonts w:ascii="Arial" w:hAnsi="Arial" w:cs="Arial"/>
                <w:sz w:val="24"/>
                <w:szCs w:val="24"/>
              </w:rPr>
              <w:t>velpatasvir</w:t>
            </w:r>
            <w:proofErr w:type="spellEnd"/>
            <w:r w:rsidRPr="00FA3F9C">
              <w:rPr>
                <w:rFonts w:ascii="Arial" w:hAnsi="Arial" w:cs="Arial"/>
                <w:sz w:val="24"/>
                <w:szCs w:val="24"/>
              </w:rPr>
              <w:t xml:space="preserve"> 100mg</w:t>
            </w:r>
          </w:p>
        </w:tc>
        <w:tc>
          <w:tcPr>
            <w:tcW w:w="1710" w:type="dxa"/>
            <w:shd w:val="clear" w:color="auto" w:fill="auto"/>
          </w:tcPr>
          <w:p w14:paraId="045ABFF7" w14:textId="77777777" w:rsidR="001506C1" w:rsidRPr="00FA3F9C" w:rsidRDefault="001506C1" w:rsidP="00EC1004">
            <w:pPr>
              <w:rPr>
                <w:rFonts w:ascii="Arial" w:hAnsi="Arial" w:cs="Arial"/>
                <w:sz w:val="24"/>
                <w:szCs w:val="24"/>
              </w:rPr>
            </w:pPr>
            <w:r w:rsidRPr="00FA3F9C">
              <w:rPr>
                <w:rFonts w:ascii="Arial" w:hAnsi="Arial" w:cs="Arial"/>
                <w:sz w:val="24"/>
                <w:szCs w:val="24"/>
              </w:rPr>
              <w:t>12</w:t>
            </w:r>
          </w:p>
        </w:tc>
        <w:tc>
          <w:tcPr>
            <w:tcW w:w="1800" w:type="dxa"/>
            <w:shd w:val="clear" w:color="auto" w:fill="auto"/>
          </w:tcPr>
          <w:p w14:paraId="28831304" w14:textId="77777777" w:rsidR="001506C1" w:rsidRPr="00FA3F9C" w:rsidRDefault="001506C1" w:rsidP="00EC1004">
            <w:pPr>
              <w:rPr>
                <w:rFonts w:ascii="Arial" w:eastAsia="Times New Roman" w:hAnsi="Arial" w:cs="Arial"/>
                <w:color w:val="000000"/>
                <w:sz w:val="24"/>
                <w:szCs w:val="24"/>
                <w:shd w:val="clear" w:color="auto" w:fill="FFFAF6"/>
              </w:rPr>
            </w:pPr>
            <w:r w:rsidRPr="00FA3F9C">
              <w:rPr>
                <w:rFonts w:ascii="Arial" w:eastAsia="Times New Roman" w:hAnsi="Arial" w:cs="Arial"/>
                <w:color w:val="000000"/>
                <w:sz w:val="24"/>
                <w:szCs w:val="24"/>
                <w:shd w:val="clear" w:color="auto" w:fill="FFFAF6"/>
              </w:rPr>
              <w:t>Class I, A</w:t>
            </w:r>
          </w:p>
        </w:tc>
      </w:tr>
      <w:tr w:rsidR="001506C1" w:rsidRPr="00FA3F9C" w14:paraId="57AC9898" w14:textId="77777777" w:rsidTr="00C93E92">
        <w:tc>
          <w:tcPr>
            <w:tcW w:w="1458" w:type="dxa"/>
            <w:shd w:val="clear" w:color="auto" w:fill="auto"/>
          </w:tcPr>
          <w:p w14:paraId="2B408BFC" w14:textId="77777777" w:rsidR="001506C1" w:rsidRPr="00FA3F9C" w:rsidRDefault="001506C1" w:rsidP="00EC1004">
            <w:pPr>
              <w:rPr>
                <w:rFonts w:ascii="Arial" w:hAnsi="Arial" w:cs="Arial"/>
                <w:sz w:val="24"/>
                <w:szCs w:val="24"/>
              </w:rPr>
            </w:pPr>
            <w:proofErr w:type="spellStart"/>
            <w:r w:rsidRPr="00FA3F9C">
              <w:rPr>
                <w:rFonts w:ascii="Arial" w:hAnsi="Arial" w:cs="Arial"/>
                <w:sz w:val="24"/>
                <w:szCs w:val="24"/>
              </w:rPr>
              <w:t>Mavyret</w:t>
            </w:r>
            <w:proofErr w:type="spellEnd"/>
          </w:p>
        </w:tc>
        <w:tc>
          <w:tcPr>
            <w:tcW w:w="9337" w:type="dxa"/>
            <w:shd w:val="clear" w:color="auto" w:fill="auto"/>
          </w:tcPr>
          <w:p w14:paraId="6647132B" w14:textId="77777777" w:rsidR="001506C1" w:rsidRPr="00FA3F9C" w:rsidRDefault="001506C1" w:rsidP="00EC1004">
            <w:pPr>
              <w:rPr>
                <w:rFonts w:ascii="Arial" w:hAnsi="Arial" w:cs="Arial"/>
                <w:sz w:val="24"/>
                <w:szCs w:val="24"/>
              </w:rPr>
            </w:pPr>
            <w:proofErr w:type="spellStart"/>
            <w:r w:rsidRPr="00FA3F9C">
              <w:rPr>
                <w:rFonts w:ascii="Arial" w:hAnsi="Arial" w:cs="Arial"/>
                <w:sz w:val="24"/>
                <w:szCs w:val="24"/>
              </w:rPr>
              <w:t>Glecaprevir</w:t>
            </w:r>
            <w:proofErr w:type="spellEnd"/>
            <w:r w:rsidRPr="00FA3F9C">
              <w:rPr>
                <w:rFonts w:ascii="Arial" w:hAnsi="Arial" w:cs="Arial"/>
                <w:sz w:val="24"/>
                <w:szCs w:val="24"/>
              </w:rPr>
              <w:t xml:space="preserve"> 300 mg/</w:t>
            </w:r>
            <w:proofErr w:type="spellStart"/>
            <w:r w:rsidRPr="00FA3F9C">
              <w:rPr>
                <w:rFonts w:ascii="Arial" w:hAnsi="Arial" w:cs="Arial"/>
                <w:sz w:val="24"/>
                <w:szCs w:val="24"/>
              </w:rPr>
              <w:t>pibrentasvir</w:t>
            </w:r>
            <w:proofErr w:type="spellEnd"/>
            <w:r w:rsidRPr="00FA3F9C">
              <w:rPr>
                <w:rFonts w:ascii="Arial" w:hAnsi="Arial" w:cs="Arial"/>
                <w:sz w:val="24"/>
                <w:szCs w:val="24"/>
              </w:rPr>
              <w:t xml:space="preserve"> 120 mg (Child-Pugh A)</w:t>
            </w:r>
          </w:p>
        </w:tc>
        <w:tc>
          <w:tcPr>
            <w:tcW w:w="1710" w:type="dxa"/>
            <w:shd w:val="clear" w:color="auto" w:fill="auto"/>
          </w:tcPr>
          <w:p w14:paraId="4FB7438B" w14:textId="77777777" w:rsidR="001506C1" w:rsidRPr="00FA3F9C" w:rsidRDefault="001506C1" w:rsidP="00EC1004">
            <w:pPr>
              <w:rPr>
                <w:rFonts w:ascii="Arial" w:hAnsi="Arial" w:cs="Arial"/>
                <w:sz w:val="24"/>
                <w:szCs w:val="24"/>
              </w:rPr>
            </w:pPr>
            <w:r w:rsidRPr="00FA3F9C">
              <w:rPr>
                <w:rFonts w:ascii="Arial" w:hAnsi="Arial" w:cs="Arial"/>
                <w:sz w:val="24"/>
                <w:szCs w:val="24"/>
              </w:rPr>
              <w:t>8</w:t>
            </w:r>
          </w:p>
        </w:tc>
        <w:tc>
          <w:tcPr>
            <w:tcW w:w="1800" w:type="dxa"/>
            <w:shd w:val="clear" w:color="auto" w:fill="auto"/>
          </w:tcPr>
          <w:p w14:paraId="44A70D0E" w14:textId="77777777" w:rsidR="001506C1" w:rsidRPr="00FA3F9C" w:rsidRDefault="001506C1" w:rsidP="00EC1004">
            <w:pPr>
              <w:rPr>
                <w:rFonts w:ascii="Arial" w:eastAsia="Times New Roman" w:hAnsi="Arial" w:cs="Arial"/>
                <w:color w:val="000000"/>
                <w:sz w:val="24"/>
                <w:szCs w:val="24"/>
                <w:shd w:val="clear" w:color="auto" w:fill="FFFAF6"/>
              </w:rPr>
            </w:pPr>
            <w:r w:rsidRPr="00FA3F9C">
              <w:rPr>
                <w:rFonts w:ascii="Arial" w:eastAsia="Times New Roman" w:hAnsi="Arial" w:cs="Arial"/>
                <w:color w:val="000000"/>
                <w:sz w:val="24"/>
                <w:szCs w:val="24"/>
                <w:shd w:val="clear" w:color="auto" w:fill="FFFAF6"/>
              </w:rPr>
              <w:t>Class I, B</w:t>
            </w:r>
          </w:p>
        </w:tc>
      </w:tr>
      <w:tr w:rsidR="001506C1" w:rsidRPr="00FA3F9C" w14:paraId="67857D5E" w14:textId="77777777" w:rsidTr="00C93E92">
        <w:tc>
          <w:tcPr>
            <w:tcW w:w="1458" w:type="dxa"/>
            <w:shd w:val="clear" w:color="auto" w:fill="auto"/>
          </w:tcPr>
          <w:p w14:paraId="1366D623" w14:textId="77777777" w:rsidR="001506C1" w:rsidRPr="00FA3F9C" w:rsidRDefault="001506C1" w:rsidP="00EC1004">
            <w:pPr>
              <w:rPr>
                <w:rFonts w:ascii="Arial" w:hAnsi="Arial" w:cs="Arial"/>
                <w:sz w:val="24"/>
                <w:szCs w:val="24"/>
              </w:rPr>
            </w:pPr>
            <w:proofErr w:type="spellStart"/>
            <w:r w:rsidRPr="00FA3F9C">
              <w:rPr>
                <w:rFonts w:ascii="Arial" w:hAnsi="Arial" w:cs="Arial"/>
                <w:sz w:val="24"/>
                <w:szCs w:val="24"/>
              </w:rPr>
              <w:t>Zepatier</w:t>
            </w:r>
            <w:proofErr w:type="spellEnd"/>
          </w:p>
        </w:tc>
        <w:tc>
          <w:tcPr>
            <w:tcW w:w="9337" w:type="dxa"/>
            <w:shd w:val="clear" w:color="auto" w:fill="auto"/>
          </w:tcPr>
          <w:p w14:paraId="6B31CB2A" w14:textId="77777777" w:rsidR="001506C1" w:rsidRPr="00FA3F9C" w:rsidRDefault="001506C1" w:rsidP="00EC1004">
            <w:pPr>
              <w:rPr>
                <w:rFonts w:ascii="Arial" w:hAnsi="Arial" w:cs="Arial"/>
                <w:sz w:val="24"/>
                <w:szCs w:val="24"/>
              </w:rPr>
            </w:pPr>
            <w:r w:rsidRPr="00FA3F9C">
              <w:rPr>
                <w:rFonts w:ascii="Arial" w:hAnsi="Arial" w:cs="Arial"/>
                <w:sz w:val="24"/>
                <w:szCs w:val="24"/>
              </w:rPr>
              <w:t>Elbasvir 50mg/grazoprevir 100mg</w:t>
            </w:r>
          </w:p>
        </w:tc>
        <w:tc>
          <w:tcPr>
            <w:tcW w:w="1710" w:type="dxa"/>
            <w:shd w:val="clear" w:color="auto" w:fill="auto"/>
          </w:tcPr>
          <w:p w14:paraId="704BEAEA" w14:textId="77777777" w:rsidR="001506C1" w:rsidRPr="00FA3F9C" w:rsidRDefault="001506C1" w:rsidP="00EC1004">
            <w:pPr>
              <w:rPr>
                <w:rFonts w:ascii="Arial" w:hAnsi="Arial" w:cs="Arial"/>
                <w:sz w:val="24"/>
                <w:szCs w:val="24"/>
              </w:rPr>
            </w:pPr>
            <w:r w:rsidRPr="00FA3F9C">
              <w:rPr>
                <w:rFonts w:ascii="Arial" w:hAnsi="Arial" w:cs="Arial"/>
                <w:sz w:val="24"/>
                <w:szCs w:val="24"/>
              </w:rPr>
              <w:t>12</w:t>
            </w:r>
          </w:p>
        </w:tc>
        <w:tc>
          <w:tcPr>
            <w:tcW w:w="1800" w:type="dxa"/>
            <w:shd w:val="clear" w:color="auto" w:fill="auto"/>
          </w:tcPr>
          <w:p w14:paraId="2B7FF923" w14:textId="77777777" w:rsidR="001506C1" w:rsidRPr="00FA3F9C" w:rsidRDefault="001506C1" w:rsidP="00EC1004">
            <w:pPr>
              <w:rPr>
                <w:rFonts w:ascii="Arial" w:eastAsia="Times New Roman" w:hAnsi="Arial" w:cs="Arial"/>
                <w:color w:val="000000"/>
                <w:sz w:val="24"/>
                <w:szCs w:val="24"/>
                <w:shd w:val="clear" w:color="auto" w:fill="FFFAF6"/>
              </w:rPr>
            </w:pPr>
            <w:r w:rsidRPr="00FA3F9C">
              <w:rPr>
                <w:rFonts w:ascii="Arial" w:eastAsia="Times New Roman" w:hAnsi="Arial" w:cs="Arial"/>
                <w:color w:val="000000"/>
                <w:sz w:val="24"/>
                <w:szCs w:val="24"/>
                <w:shd w:val="clear" w:color="auto" w:fill="FFFAF6"/>
              </w:rPr>
              <w:t xml:space="preserve">Class </w:t>
            </w:r>
            <w:proofErr w:type="spellStart"/>
            <w:r w:rsidRPr="00FA3F9C">
              <w:rPr>
                <w:rFonts w:ascii="Arial" w:eastAsia="Times New Roman" w:hAnsi="Arial" w:cs="Arial"/>
                <w:color w:val="000000"/>
                <w:sz w:val="24"/>
                <w:szCs w:val="24"/>
                <w:shd w:val="clear" w:color="auto" w:fill="FFFAF6"/>
              </w:rPr>
              <w:t>IIa</w:t>
            </w:r>
            <w:proofErr w:type="spellEnd"/>
            <w:r w:rsidRPr="00FA3F9C">
              <w:rPr>
                <w:rFonts w:ascii="Arial" w:eastAsia="Times New Roman" w:hAnsi="Arial" w:cs="Arial"/>
                <w:color w:val="000000"/>
                <w:sz w:val="24"/>
                <w:szCs w:val="24"/>
                <w:shd w:val="clear" w:color="auto" w:fill="FFFAF6"/>
              </w:rPr>
              <w:t>, B</w:t>
            </w:r>
          </w:p>
        </w:tc>
      </w:tr>
      <w:tr w:rsidR="001506C1" w:rsidRPr="00FA3F9C" w14:paraId="762FD5AC" w14:textId="77777777" w:rsidTr="00C93E92">
        <w:tc>
          <w:tcPr>
            <w:tcW w:w="1458" w:type="dxa"/>
            <w:tcBorders>
              <w:bottom w:val="single" w:sz="4" w:space="0" w:color="auto"/>
            </w:tcBorders>
            <w:shd w:val="clear" w:color="auto" w:fill="auto"/>
          </w:tcPr>
          <w:p w14:paraId="07276E32" w14:textId="77777777" w:rsidR="001506C1" w:rsidRPr="00FA3F9C" w:rsidRDefault="001506C1" w:rsidP="00EC1004">
            <w:pPr>
              <w:rPr>
                <w:rFonts w:ascii="Arial" w:hAnsi="Arial" w:cs="Arial"/>
                <w:sz w:val="24"/>
                <w:szCs w:val="24"/>
              </w:rPr>
            </w:pPr>
            <w:r w:rsidRPr="00FA3F9C">
              <w:rPr>
                <w:rFonts w:ascii="Arial" w:hAnsi="Arial" w:cs="Arial"/>
                <w:sz w:val="24"/>
                <w:szCs w:val="24"/>
              </w:rPr>
              <w:t>Harvoni</w:t>
            </w:r>
          </w:p>
        </w:tc>
        <w:tc>
          <w:tcPr>
            <w:tcW w:w="9337" w:type="dxa"/>
            <w:tcBorders>
              <w:bottom w:val="single" w:sz="4" w:space="0" w:color="auto"/>
            </w:tcBorders>
            <w:shd w:val="clear" w:color="auto" w:fill="auto"/>
          </w:tcPr>
          <w:p w14:paraId="0EBB2EFC" w14:textId="77777777" w:rsidR="001506C1" w:rsidRPr="00FA3F9C" w:rsidRDefault="001506C1" w:rsidP="00EC1004">
            <w:pPr>
              <w:rPr>
                <w:rFonts w:ascii="Arial" w:hAnsi="Arial" w:cs="Arial"/>
                <w:sz w:val="24"/>
                <w:szCs w:val="24"/>
              </w:rPr>
            </w:pPr>
            <w:r w:rsidRPr="00FA3F9C">
              <w:rPr>
                <w:rFonts w:ascii="Arial" w:hAnsi="Arial" w:cs="Arial"/>
                <w:sz w:val="24"/>
                <w:szCs w:val="24"/>
              </w:rPr>
              <w:t>Ledipasvir 90mg/ sofosbuvir 400mg</w:t>
            </w:r>
          </w:p>
        </w:tc>
        <w:tc>
          <w:tcPr>
            <w:tcW w:w="1710" w:type="dxa"/>
            <w:tcBorders>
              <w:bottom w:val="single" w:sz="4" w:space="0" w:color="auto"/>
            </w:tcBorders>
            <w:shd w:val="clear" w:color="auto" w:fill="auto"/>
          </w:tcPr>
          <w:p w14:paraId="3E064394" w14:textId="77777777" w:rsidR="001506C1" w:rsidRPr="00FA3F9C" w:rsidRDefault="001506C1" w:rsidP="00EC1004">
            <w:pPr>
              <w:rPr>
                <w:rFonts w:ascii="Arial" w:hAnsi="Arial" w:cs="Arial"/>
                <w:sz w:val="24"/>
                <w:szCs w:val="24"/>
              </w:rPr>
            </w:pPr>
            <w:r w:rsidRPr="00FA3F9C">
              <w:rPr>
                <w:rFonts w:ascii="Arial" w:hAnsi="Arial" w:cs="Arial"/>
                <w:sz w:val="24"/>
                <w:szCs w:val="24"/>
              </w:rPr>
              <w:t>12</w:t>
            </w:r>
          </w:p>
        </w:tc>
        <w:tc>
          <w:tcPr>
            <w:tcW w:w="1800" w:type="dxa"/>
            <w:tcBorders>
              <w:bottom w:val="single" w:sz="4" w:space="0" w:color="auto"/>
            </w:tcBorders>
            <w:shd w:val="clear" w:color="auto" w:fill="auto"/>
          </w:tcPr>
          <w:p w14:paraId="115B49ED" w14:textId="77777777" w:rsidR="001506C1" w:rsidRPr="00FA3F9C" w:rsidRDefault="001506C1" w:rsidP="00EC1004">
            <w:pPr>
              <w:rPr>
                <w:rFonts w:ascii="Arial" w:eastAsia="Times New Roman" w:hAnsi="Arial" w:cs="Arial"/>
                <w:color w:val="000000"/>
                <w:sz w:val="24"/>
                <w:szCs w:val="24"/>
                <w:shd w:val="clear" w:color="auto" w:fill="FFFAF6"/>
              </w:rPr>
            </w:pPr>
            <w:r w:rsidRPr="00FA3F9C">
              <w:rPr>
                <w:rFonts w:ascii="Arial" w:eastAsia="Times New Roman" w:hAnsi="Arial" w:cs="Arial"/>
                <w:color w:val="000000"/>
                <w:sz w:val="24"/>
                <w:szCs w:val="24"/>
                <w:shd w:val="clear" w:color="auto" w:fill="FFFAF6"/>
              </w:rPr>
              <w:t>Class II, B</w:t>
            </w:r>
          </w:p>
        </w:tc>
      </w:tr>
      <w:tr w:rsidR="001506C1" w:rsidRPr="00FA3F9C" w14:paraId="16115AF5" w14:textId="77777777" w:rsidTr="00C93E92">
        <w:tc>
          <w:tcPr>
            <w:tcW w:w="1458" w:type="dxa"/>
            <w:tcBorders>
              <w:bottom w:val="single" w:sz="4" w:space="0" w:color="auto"/>
            </w:tcBorders>
            <w:shd w:val="clear" w:color="auto" w:fill="auto"/>
          </w:tcPr>
          <w:p w14:paraId="242519C1" w14:textId="77777777" w:rsidR="001506C1" w:rsidRPr="00FA3F9C" w:rsidRDefault="001506C1" w:rsidP="00EC1004">
            <w:pPr>
              <w:rPr>
                <w:rFonts w:ascii="Arial" w:hAnsi="Arial" w:cs="Arial"/>
                <w:sz w:val="24"/>
                <w:szCs w:val="24"/>
              </w:rPr>
            </w:pPr>
          </w:p>
        </w:tc>
        <w:tc>
          <w:tcPr>
            <w:tcW w:w="9337" w:type="dxa"/>
            <w:tcBorders>
              <w:bottom w:val="single" w:sz="4" w:space="0" w:color="auto"/>
            </w:tcBorders>
            <w:shd w:val="clear" w:color="auto" w:fill="auto"/>
          </w:tcPr>
          <w:p w14:paraId="3E59B4BD" w14:textId="77777777" w:rsidR="001506C1" w:rsidRPr="00FA3F9C" w:rsidRDefault="001506C1" w:rsidP="00EC1004">
            <w:pPr>
              <w:rPr>
                <w:rFonts w:ascii="Arial" w:hAnsi="Arial" w:cs="Arial"/>
                <w:sz w:val="24"/>
                <w:szCs w:val="24"/>
              </w:rPr>
            </w:pPr>
          </w:p>
        </w:tc>
        <w:tc>
          <w:tcPr>
            <w:tcW w:w="1710" w:type="dxa"/>
            <w:tcBorders>
              <w:bottom w:val="single" w:sz="4" w:space="0" w:color="auto"/>
            </w:tcBorders>
            <w:shd w:val="clear" w:color="auto" w:fill="auto"/>
          </w:tcPr>
          <w:p w14:paraId="12779646" w14:textId="77777777" w:rsidR="001506C1" w:rsidRPr="00FA3F9C" w:rsidRDefault="001506C1" w:rsidP="00EC1004">
            <w:pPr>
              <w:rPr>
                <w:rFonts w:ascii="Arial" w:hAnsi="Arial" w:cs="Arial"/>
                <w:sz w:val="24"/>
                <w:szCs w:val="24"/>
              </w:rPr>
            </w:pPr>
          </w:p>
        </w:tc>
        <w:tc>
          <w:tcPr>
            <w:tcW w:w="1800" w:type="dxa"/>
            <w:tcBorders>
              <w:bottom w:val="single" w:sz="4" w:space="0" w:color="auto"/>
            </w:tcBorders>
            <w:shd w:val="clear" w:color="auto" w:fill="auto"/>
          </w:tcPr>
          <w:p w14:paraId="10CCA638" w14:textId="77777777" w:rsidR="001506C1" w:rsidRPr="00FA3F9C" w:rsidRDefault="001506C1" w:rsidP="00EC1004">
            <w:pPr>
              <w:rPr>
                <w:rFonts w:ascii="Arial" w:eastAsia="Times New Roman" w:hAnsi="Arial" w:cs="Arial"/>
                <w:sz w:val="24"/>
                <w:szCs w:val="24"/>
              </w:rPr>
            </w:pPr>
          </w:p>
        </w:tc>
      </w:tr>
      <w:tr w:rsidR="001506C1" w:rsidRPr="00FA3F9C" w14:paraId="170D8AFD" w14:textId="77777777" w:rsidTr="00C93E92">
        <w:tc>
          <w:tcPr>
            <w:tcW w:w="1458" w:type="dxa"/>
            <w:shd w:val="clear" w:color="auto" w:fill="000000" w:themeFill="text1"/>
          </w:tcPr>
          <w:p w14:paraId="32DB2DB7" w14:textId="77777777" w:rsidR="001506C1" w:rsidRPr="00FA3F9C" w:rsidRDefault="001506C1" w:rsidP="00EC1004">
            <w:pPr>
              <w:rPr>
                <w:rFonts w:ascii="Arial" w:hAnsi="Arial" w:cs="Arial"/>
                <w:sz w:val="24"/>
                <w:szCs w:val="24"/>
              </w:rPr>
            </w:pPr>
          </w:p>
        </w:tc>
        <w:tc>
          <w:tcPr>
            <w:tcW w:w="9337" w:type="dxa"/>
            <w:shd w:val="clear" w:color="auto" w:fill="000000" w:themeFill="text1"/>
          </w:tcPr>
          <w:p w14:paraId="1D758E9D" w14:textId="77777777" w:rsidR="001506C1" w:rsidRPr="00FA3F9C" w:rsidRDefault="001506C1" w:rsidP="00EC1004">
            <w:pPr>
              <w:rPr>
                <w:rFonts w:ascii="Arial" w:hAnsi="Arial" w:cs="Arial"/>
                <w:sz w:val="24"/>
                <w:szCs w:val="24"/>
              </w:rPr>
            </w:pPr>
            <w:r w:rsidRPr="00FA3F9C">
              <w:rPr>
                <w:rFonts w:ascii="Arial" w:hAnsi="Arial" w:cs="Arial"/>
                <w:sz w:val="24"/>
                <w:szCs w:val="24"/>
              </w:rPr>
              <w:t>GT 5 or 6 with and without Cirrhosis</w:t>
            </w:r>
          </w:p>
        </w:tc>
        <w:tc>
          <w:tcPr>
            <w:tcW w:w="1710" w:type="dxa"/>
            <w:shd w:val="clear" w:color="auto" w:fill="000000" w:themeFill="text1"/>
          </w:tcPr>
          <w:p w14:paraId="41ECDB4D" w14:textId="77777777" w:rsidR="001506C1" w:rsidRPr="00FA3F9C" w:rsidRDefault="001506C1" w:rsidP="00EC1004">
            <w:pPr>
              <w:rPr>
                <w:rFonts w:ascii="Arial" w:hAnsi="Arial" w:cs="Arial"/>
                <w:sz w:val="24"/>
                <w:szCs w:val="24"/>
              </w:rPr>
            </w:pPr>
          </w:p>
        </w:tc>
        <w:tc>
          <w:tcPr>
            <w:tcW w:w="1800" w:type="dxa"/>
            <w:shd w:val="clear" w:color="auto" w:fill="000000" w:themeFill="text1"/>
          </w:tcPr>
          <w:p w14:paraId="36A5F0A4" w14:textId="77777777" w:rsidR="001506C1" w:rsidRPr="00FA3F9C" w:rsidRDefault="001506C1" w:rsidP="00EC1004">
            <w:pPr>
              <w:rPr>
                <w:rFonts w:ascii="Arial" w:eastAsia="Times New Roman" w:hAnsi="Arial" w:cs="Arial"/>
                <w:color w:val="000000"/>
                <w:sz w:val="24"/>
                <w:szCs w:val="24"/>
                <w:shd w:val="clear" w:color="auto" w:fill="FFFAF6"/>
              </w:rPr>
            </w:pPr>
          </w:p>
        </w:tc>
      </w:tr>
      <w:tr w:rsidR="001506C1" w:rsidRPr="00FA3F9C" w14:paraId="3A4D63F8" w14:textId="77777777" w:rsidTr="00B46DAF">
        <w:trPr>
          <w:trHeight w:val="62"/>
        </w:trPr>
        <w:tc>
          <w:tcPr>
            <w:tcW w:w="1458" w:type="dxa"/>
            <w:shd w:val="clear" w:color="auto" w:fill="auto"/>
          </w:tcPr>
          <w:p w14:paraId="7D99C35B" w14:textId="77777777" w:rsidR="001506C1" w:rsidRPr="00FA3F9C" w:rsidRDefault="001506C1" w:rsidP="00EC1004">
            <w:pPr>
              <w:rPr>
                <w:rFonts w:ascii="Arial" w:hAnsi="Arial" w:cs="Arial"/>
                <w:sz w:val="24"/>
                <w:szCs w:val="24"/>
              </w:rPr>
            </w:pPr>
            <w:proofErr w:type="spellStart"/>
            <w:r w:rsidRPr="00FA3F9C">
              <w:rPr>
                <w:rFonts w:ascii="Arial" w:hAnsi="Arial" w:cs="Arial"/>
                <w:sz w:val="24"/>
                <w:szCs w:val="24"/>
              </w:rPr>
              <w:t>Mavyret</w:t>
            </w:r>
            <w:proofErr w:type="spellEnd"/>
          </w:p>
        </w:tc>
        <w:tc>
          <w:tcPr>
            <w:tcW w:w="9337" w:type="dxa"/>
            <w:shd w:val="clear" w:color="auto" w:fill="auto"/>
          </w:tcPr>
          <w:p w14:paraId="0EE863C9" w14:textId="77777777" w:rsidR="001506C1" w:rsidRPr="00FA3F9C" w:rsidRDefault="001506C1" w:rsidP="00EC1004">
            <w:pPr>
              <w:rPr>
                <w:rFonts w:ascii="Arial" w:hAnsi="Arial" w:cs="Arial"/>
                <w:sz w:val="24"/>
                <w:szCs w:val="24"/>
              </w:rPr>
            </w:pPr>
            <w:proofErr w:type="spellStart"/>
            <w:r w:rsidRPr="00FA3F9C">
              <w:rPr>
                <w:rFonts w:ascii="Arial" w:hAnsi="Arial" w:cs="Arial"/>
                <w:sz w:val="24"/>
                <w:szCs w:val="24"/>
              </w:rPr>
              <w:t>Glecaprevir</w:t>
            </w:r>
            <w:proofErr w:type="spellEnd"/>
            <w:r w:rsidRPr="00FA3F9C">
              <w:rPr>
                <w:rFonts w:ascii="Arial" w:hAnsi="Arial" w:cs="Arial"/>
                <w:sz w:val="24"/>
                <w:szCs w:val="24"/>
              </w:rPr>
              <w:t xml:space="preserve"> 300 mg/</w:t>
            </w:r>
            <w:proofErr w:type="spellStart"/>
            <w:r w:rsidRPr="00FA3F9C">
              <w:rPr>
                <w:rFonts w:ascii="Arial" w:hAnsi="Arial" w:cs="Arial"/>
                <w:sz w:val="24"/>
                <w:szCs w:val="24"/>
              </w:rPr>
              <w:t>pibrentasvir</w:t>
            </w:r>
            <w:proofErr w:type="spellEnd"/>
            <w:r w:rsidRPr="00FA3F9C">
              <w:rPr>
                <w:rFonts w:ascii="Arial" w:hAnsi="Arial" w:cs="Arial"/>
                <w:sz w:val="24"/>
                <w:szCs w:val="24"/>
              </w:rPr>
              <w:t xml:space="preserve"> 120 mg</w:t>
            </w:r>
          </w:p>
        </w:tc>
        <w:tc>
          <w:tcPr>
            <w:tcW w:w="1710" w:type="dxa"/>
            <w:shd w:val="clear" w:color="auto" w:fill="auto"/>
          </w:tcPr>
          <w:p w14:paraId="0448D4E3" w14:textId="77777777" w:rsidR="001506C1" w:rsidRPr="00FA3F9C" w:rsidRDefault="001506C1" w:rsidP="00EC1004">
            <w:pPr>
              <w:rPr>
                <w:rFonts w:ascii="Arial" w:hAnsi="Arial" w:cs="Arial"/>
                <w:sz w:val="24"/>
                <w:szCs w:val="24"/>
              </w:rPr>
            </w:pPr>
            <w:r w:rsidRPr="00FA3F9C">
              <w:rPr>
                <w:rFonts w:ascii="Arial" w:hAnsi="Arial" w:cs="Arial"/>
                <w:sz w:val="24"/>
                <w:szCs w:val="24"/>
              </w:rPr>
              <w:t>8</w:t>
            </w:r>
          </w:p>
        </w:tc>
        <w:tc>
          <w:tcPr>
            <w:tcW w:w="1800" w:type="dxa"/>
            <w:shd w:val="clear" w:color="auto" w:fill="auto"/>
          </w:tcPr>
          <w:p w14:paraId="791BCB26" w14:textId="77777777" w:rsidR="001506C1" w:rsidRPr="00FA3F9C" w:rsidRDefault="001506C1" w:rsidP="00EC1004">
            <w:pPr>
              <w:rPr>
                <w:rFonts w:ascii="Arial" w:eastAsia="Times New Roman" w:hAnsi="Arial" w:cs="Arial"/>
                <w:color w:val="000000"/>
                <w:sz w:val="24"/>
                <w:szCs w:val="24"/>
                <w:shd w:val="clear" w:color="auto" w:fill="FFFAF6"/>
              </w:rPr>
            </w:pPr>
            <w:r w:rsidRPr="00FA3F9C">
              <w:rPr>
                <w:rFonts w:ascii="Arial" w:eastAsia="Times New Roman" w:hAnsi="Arial" w:cs="Arial"/>
                <w:color w:val="000000"/>
                <w:sz w:val="24"/>
                <w:szCs w:val="24"/>
                <w:shd w:val="clear" w:color="auto" w:fill="FFFAF6"/>
              </w:rPr>
              <w:t>Class I, A</w:t>
            </w:r>
          </w:p>
        </w:tc>
      </w:tr>
      <w:tr w:rsidR="001506C1" w:rsidRPr="00FA3F9C" w14:paraId="58866981" w14:textId="77777777" w:rsidTr="00C93E92">
        <w:tc>
          <w:tcPr>
            <w:tcW w:w="1458" w:type="dxa"/>
            <w:shd w:val="clear" w:color="auto" w:fill="auto"/>
          </w:tcPr>
          <w:p w14:paraId="460101FA" w14:textId="77777777" w:rsidR="001506C1" w:rsidRPr="00FA3F9C" w:rsidRDefault="001506C1" w:rsidP="00EC1004">
            <w:pPr>
              <w:rPr>
                <w:rFonts w:ascii="Arial" w:hAnsi="Arial" w:cs="Arial"/>
                <w:sz w:val="24"/>
                <w:szCs w:val="24"/>
              </w:rPr>
            </w:pPr>
            <w:r w:rsidRPr="00FA3F9C">
              <w:rPr>
                <w:rFonts w:ascii="Arial" w:hAnsi="Arial" w:cs="Arial"/>
                <w:sz w:val="24"/>
                <w:szCs w:val="24"/>
              </w:rPr>
              <w:t>Epclusa</w:t>
            </w:r>
          </w:p>
        </w:tc>
        <w:tc>
          <w:tcPr>
            <w:tcW w:w="9337" w:type="dxa"/>
            <w:shd w:val="clear" w:color="auto" w:fill="auto"/>
          </w:tcPr>
          <w:p w14:paraId="2FB5A857" w14:textId="77777777" w:rsidR="001506C1" w:rsidRPr="00FA3F9C" w:rsidRDefault="001506C1" w:rsidP="00EC1004">
            <w:pPr>
              <w:rPr>
                <w:rFonts w:ascii="Arial" w:hAnsi="Arial" w:cs="Arial"/>
                <w:sz w:val="24"/>
                <w:szCs w:val="24"/>
              </w:rPr>
            </w:pPr>
            <w:r w:rsidRPr="00FA3F9C">
              <w:rPr>
                <w:rFonts w:ascii="Arial" w:hAnsi="Arial" w:cs="Arial"/>
                <w:sz w:val="24"/>
                <w:szCs w:val="24"/>
              </w:rPr>
              <w:t>Sofosbuvir 400mg/</w:t>
            </w:r>
            <w:proofErr w:type="spellStart"/>
            <w:r w:rsidRPr="00FA3F9C">
              <w:rPr>
                <w:rFonts w:ascii="Arial" w:hAnsi="Arial" w:cs="Arial"/>
                <w:sz w:val="24"/>
                <w:szCs w:val="24"/>
              </w:rPr>
              <w:t>velpatasvir</w:t>
            </w:r>
            <w:proofErr w:type="spellEnd"/>
            <w:r w:rsidRPr="00FA3F9C">
              <w:rPr>
                <w:rFonts w:ascii="Arial" w:hAnsi="Arial" w:cs="Arial"/>
                <w:sz w:val="24"/>
                <w:szCs w:val="24"/>
              </w:rPr>
              <w:t xml:space="preserve"> 100mg</w:t>
            </w:r>
          </w:p>
        </w:tc>
        <w:tc>
          <w:tcPr>
            <w:tcW w:w="1710" w:type="dxa"/>
            <w:shd w:val="clear" w:color="auto" w:fill="auto"/>
          </w:tcPr>
          <w:p w14:paraId="6707E73F" w14:textId="77777777" w:rsidR="001506C1" w:rsidRPr="00FA3F9C" w:rsidRDefault="001506C1" w:rsidP="00EC1004">
            <w:pPr>
              <w:rPr>
                <w:rFonts w:ascii="Arial" w:hAnsi="Arial" w:cs="Arial"/>
                <w:sz w:val="24"/>
                <w:szCs w:val="24"/>
              </w:rPr>
            </w:pPr>
            <w:r w:rsidRPr="00FA3F9C">
              <w:rPr>
                <w:rFonts w:ascii="Arial" w:hAnsi="Arial" w:cs="Arial"/>
                <w:sz w:val="24"/>
                <w:szCs w:val="24"/>
              </w:rPr>
              <w:t>12</w:t>
            </w:r>
          </w:p>
        </w:tc>
        <w:tc>
          <w:tcPr>
            <w:tcW w:w="1800" w:type="dxa"/>
            <w:shd w:val="clear" w:color="auto" w:fill="auto"/>
          </w:tcPr>
          <w:p w14:paraId="353F4D54" w14:textId="77777777" w:rsidR="001506C1" w:rsidRPr="00FA3F9C" w:rsidRDefault="001506C1" w:rsidP="00EC1004">
            <w:pPr>
              <w:rPr>
                <w:rFonts w:ascii="Arial" w:eastAsia="Times New Roman" w:hAnsi="Arial" w:cs="Arial"/>
                <w:color w:val="000000"/>
                <w:sz w:val="24"/>
                <w:szCs w:val="24"/>
                <w:shd w:val="clear" w:color="auto" w:fill="FFFAF6"/>
              </w:rPr>
            </w:pPr>
            <w:r w:rsidRPr="00FA3F9C">
              <w:rPr>
                <w:rFonts w:ascii="Arial" w:eastAsia="Times New Roman" w:hAnsi="Arial" w:cs="Arial"/>
                <w:color w:val="000000"/>
                <w:sz w:val="24"/>
                <w:szCs w:val="24"/>
                <w:shd w:val="clear" w:color="auto" w:fill="FFFAF6"/>
              </w:rPr>
              <w:t>Class I, A</w:t>
            </w:r>
          </w:p>
        </w:tc>
      </w:tr>
      <w:tr w:rsidR="001506C1" w:rsidRPr="00FA3F9C" w14:paraId="4ED0D810" w14:textId="77777777" w:rsidTr="00C93E92">
        <w:tc>
          <w:tcPr>
            <w:tcW w:w="1458" w:type="dxa"/>
            <w:shd w:val="clear" w:color="auto" w:fill="auto"/>
          </w:tcPr>
          <w:p w14:paraId="378A5979" w14:textId="77777777" w:rsidR="001506C1" w:rsidRPr="00FA3F9C" w:rsidRDefault="001506C1" w:rsidP="00EC1004">
            <w:pPr>
              <w:rPr>
                <w:rFonts w:ascii="Arial" w:hAnsi="Arial" w:cs="Arial"/>
                <w:sz w:val="24"/>
                <w:szCs w:val="24"/>
              </w:rPr>
            </w:pPr>
            <w:r w:rsidRPr="00FA3F9C">
              <w:rPr>
                <w:rFonts w:ascii="Arial" w:hAnsi="Arial" w:cs="Arial"/>
                <w:sz w:val="24"/>
                <w:szCs w:val="24"/>
              </w:rPr>
              <w:t>Harvoni</w:t>
            </w:r>
          </w:p>
        </w:tc>
        <w:tc>
          <w:tcPr>
            <w:tcW w:w="9337" w:type="dxa"/>
            <w:shd w:val="clear" w:color="auto" w:fill="auto"/>
          </w:tcPr>
          <w:p w14:paraId="5197481B" w14:textId="77777777" w:rsidR="001506C1" w:rsidRPr="00FA3F9C" w:rsidRDefault="001506C1" w:rsidP="00EC1004">
            <w:pPr>
              <w:rPr>
                <w:rFonts w:ascii="Arial" w:hAnsi="Arial" w:cs="Arial"/>
                <w:sz w:val="24"/>
                <w:szCs w:val="24"/>
              </w:rPr>
            </w:pPr>
            <w:r w:rsidRPr="00FA3F9C">
              <w:rPr>
                <w:rFonts w:ascii="Arial" w:hAnsi="Arial" w:cs="Arial"/>
                <w:sz w:val="24"/>
                <w:szCs w:val="24"/>
              </w:rPr>
              <w:t>Ledipasvir 90mg/ sofosbuvir 400mg</w:t>
            </w:r>
          </w:p>
        </w:tc>
        <w:tc>
          <w:tcPr>
            <w:tcW w:w="1710" w:type="dxa"/>
            <w:shd w:val="clear" w:color="auto" w:fill="auto"/>
          </w:tcPr>
          <w:p w14:paraId="33B602C9" w14:textId="77777777" w:rsidR="001506C1" w:rsidRPr="00FA3F9C" w:rsidRDefault="001506C1" w:rsidP="00EC1004">
            <w:pPr>
              <w:rPr>
                <w:rFonts w:ascii="Arial" w:hAnsi="Arial" w:cs="Arial"/>
                <w:sz w:val="24"/>
                <w:szCs w:val="24"/>
              </w:rPr>
            </w:pPr>
            <w:r w:rsidRPr="00FA3F9C">
              <w:rPr>
                <w:rFonts w:ascii="Arial" w:hAnsi="Arial" w:cs="Arial"/>
                <w:sz w:val="24"/>
                <w:szCs w:val="24"/>
              </w:rPr>
              <w:t>12</w:t>
            </w:r>
          </w:p>
        </w:tc>
        <w:tc>
          <w:tcPr>
            <w:tcW w:w="1800" w:type="dxa"/>
            <w:shd w:val="clear" w:color="auto" w:fill="auto"/>
          </w:tcPr>
          <w:p w14:paraId="68959DBA" w14:textId="77777777" w:rsidR="001506C1" w:rsidRPr="00FA3F9C" w:rsidRDefault="001506C1" w:rsidP="00EC1004">
            <w:pPr>
              <w:rPr>
                <w:rFonts w:ascii="Arial" w:eastAsia="Times New Roman" w:hAnsi="Arial" w:cs="Arial"/>
                <w:color w:val="000000"/>
                <w:sz w:val="24"/>
                <w:szCs w:val="24"/>
                <w:shd w:val="clear" w:color="auto" w:fill="FFFAF6"/>
              </w:rPr>
            </w:pPr>
            <w:r w:rsidRPr="00FA3F9C">
              <w:rPr>
                <w:rFonts w:ascii="Arial" w:eastAsia="Times New Roman" w:hAnsi="Arial" w:cs="Arial"/>
                <w:color w:val="000000"/>
                <w:sz w:val="24"/>
                <w:szCs w:val="24"/>
                <w:shd w:val="clear" w:color="auto" w:fill="FFFAF6"/>
              </w:rPr>
              <w:t xml:space="preserve">Class </w:t>
            </w:r>
            <w:proofErr w:type="spellStart"/>
            <w:r w:rsidRPr="00FA3F9C">
              <w:rPr>
                <w:rFonts w:ascii="Arial" w:eastAsia="Times New Roman" w:hAnsi="Arial" w:cs="Arial"/>
                <w:color w:val="000000"/>
                <w:sz w:val="24"/>
                <w:szCs w:val="24"/>
                <w:shd w:val="clear" w:color="auto" w:fill="FFFAF6"/>
              </w:rPr>
              <w:t>IIa</w:t>
            </w:r>
            <w:proofErr w:type="spellEnd"/>
            <w:r w:rsidRPr="00FA3F9C">
              <w:rPr>
                <w:rFonts w:ascii="Arial" w:eastAsia="Times New Roman" w:hAnsi="Arial" w:cs="Arial"/>
                <w:color w:val="000000"/>
                <w:sz w:val="24"/>
                <w:szCs w:val="24"/>
                <w:shd w:val="clear" w:color="auto" w:fill="FFFAF6"/>
              </w:rPr>
              <w:t>, B</w:t>
            </w:r>
          </w:p>
        </w:tc>
      </w:tr>
    </w:tbl>
    <w:p w14:paraId="3CFDC271" w14:textId="77777777" w:rsidR="001506C1" w:rsidRPr="00FA3F9C" w:rsidRDefault="001506C1" w:rsidP="00013F32">
      <w:pPr>
        <w:rPr>
          <w:rFonts w:ascii="Arial" w:hAnsi="Arial" w:cs="Arial"/>
          <w:sz w:val="24"/>
          <w:szCs w:val="24"/>
        </w:rPr>
      </w:pPr>
    </w:p>
    <w:p w14:paraId="6E1940B7" w14:textId="77777777" w:rsidR="001506C1" w:rsidRPr="00FA3F9C" w:rsidRDefault="001506C1" w:rsidP="00013F32">
      <w:pPr>
        <w:rPr>
          <w:rFonts w:ascii="Arial" w:hAnsi="Arial" w:cs="Arial"/>
          <w:sz w:val="24"/>
          <w:szCs w:val="24"/>
        </w:rPr>
      </w:pPr>
    </w:p>
    <w:p w14:paraId="59D49A40" w14:textId="77777777" w:rsidR="001506C1" w:rsidRPr="00FA3F9C" w:rsidRDefault="001506C1" w:rsidP="00013F32">
      <w:pPr>
        <w:rPr>
          <w:rFonts w:ascii="Arial" w:hAnsi="Arial" w:cs="Arial"/>
          <w:b/>
          <w:sz w:val="24"/>
          <w:szCs w:val="24"/>
        </w:rPr>
      </w:pPr>
      <w:r w:rsidRPr="00FA3F9C">
        <w:rPr>
          <w:rFonts w:ascii="Arial" w:hAnsi="Arial" w:cs="Arial"/>
          <w:sz w:val="24"/>
          <w:szCs w:val="24"/>
        </w:rPr>
        <w:br w:type="page"/>
      </w:r>
      <w:r w:rsidRPr="00FA3F9C">
        <w:rPr>
          <w:rFonts w:ascii="Arial" w:hAnsi="Arial" w:cs="Arial"/>
          <w:b/>
          <w:sz w:val="24"/>
          <w:szCs w:val="24"/>
          <w:highlight w:val="green"/>
        </w:rPr>
        <w:lastRenderedPageBreak/>
        <w:t>TREATMENT-EXPERIENCED</w:t>
      </w:r>
    </w:p>
    <w:p w14:paraId="4C2E6722" w14:textId="77777777" w:rsidR="001506C1" w:rsidRPr="00FA3F9C" w:rsidRDefault="001506C1" w:rsidP="00013F32">
      <w:pPr>
        <w:rPr>
          <w:rFonts w:ascii="Arial" w:hAnsi="Arial" w:cs="Arial"/>
          <w:sz w:val="24"/>
          <w:szCs w:val="24"/>
        </w:rPr>
      </w:pPr>
    </w:p>
    <w:p w14:paraId="2B37740C" w14:textId="77777777" w:rsidR="001506C1" w:rsidRPr="00FA3F9C" w:rsidRDefault="001506C1" w:rsidP="00013F32">
      <w:pPr>
        <w:rPr>
          <w:rFonts w:ascii="Arial" w:hAnsi="Arial" w:cs="Arial"/>
          <w:sz w:val="24"/>
          <w:szCs w:val="24"/>
        </w:rPr>
      </w:pPr>
    </w:p>
    <w:tbl>
      <w:tblPr>
        <w:tblStyle w:val="TableGrid"/>
        <w:tblW w:w="14395" w:type="dxa"/>
        <w:tblLayout w:type="fixed"/>
        <w:tblLook w:val="04A0" w:firstRow="1" w:lastRow="0" w:firstColumn="1" w:lastColumn="0" w:noHBand="0" w:noVBand="1"/>
      </w:tblPr>
      <w:tblGrid>
        <w:gridCol w:w="1525"/>
        <w:gridCol w:w="8730"/>
        <w:gridCol w:w="1440"/>
        <w:gridCol w:w="2700"/>
      </w:tblGrid>
      <w:tr w:rsidR="001506C1" w:rsidRPr="00FA3F9C" w14:paraId="123104EA" w14:textId="77777777" w:rsidTr="00B46DAF">
        <w:tc>
          <w:tcPr>
            <w:tcW w:w="1525" w:type="dxa"/>
            <w:tcBorders>
              <w:bottom w:val="single" w:sz="4" w:space="0" w:color="auto"/>
            </w:tcBorders>
          </w:tcPr>
          <w:p w14:paraId="096BAB08" w14:textId="77777777" w:rsidR="001506C1" w:rsidRPr="00FA3F9C" w:rsidRDefault="001506C1" w:rsidP="003E53DA">
            <w:pPr>
              <w:jc w:val="center"/>
              <w:rPr>
                <w:rFonts w:ascii="Arial" w:hAnsi="Arial" w:cs="Arial"/>
                <w:sz w:val="24"/>
                <w:szCs w:val="24"/>
              </w:rPr>
            </w:pPr>
          </w:p>
        </w:tc>
        <w:tc>
          <w:tcPr>
            <w:tcW w:w="8730" w:type="dxa"/>
            <w:tcBorders>
              <w:bottom w:val="single" w:sz="4" w:space="0" w:color="auto"/>
            </w:tcBorders>
          </w:tcPr>
          <w:p w14:paraId="028D0E01" w14:textId="77777777" w:rsidR="001506C1" w:rsidRPr="00FA3F9C" w:rsidRDefault="001506C1" w:rsidP="00F343D6">
            <w:pPr>
              <w:tabs>
                <w:tab w:val="left" w:pos="1511"/>
                <w:tab w:val="center" w:pos="4257"/>
              </w:tabs>
              <w:rPr>
                <w:rFonts w:ascii="Arial" w:hAnsi="Arial" w:cs="Arial"/>
                <w:sz w:val="24"/>
                <w:szCs w:val="24"/>
              </w:rPr>
            </w:pPr>
            <w:r w:rsidRPr="00FA3F9C">
              <w:rPr>
                <w:rFonts w:ascii="Arial" w:hAnsi="Arial" w:cs="Arial"/>
                <w:sz w:val="24"/>
                <w:szCs w:val="24"/>
              </w:rPr>
              <w:tab/>
            </w:r>
            <w:r w:rsidRPr="00FA3F9C">
              <w:rPr>
                <w:rFonts w:ascii="Arial" w:hAnsi="Arial" w:cs="Arial"/>
                <w:sz w:val="24"/>
                <w:szCs w:val="24"/>
              </w:rPr>
              <w:tab/>
              <w:t>Daily Drug Combination</w:t>
            </w:r>
          </w:p>
        </w:tc>
        <w:tc>
          <w:tcPr>
            <w:tcW w:w="1440" w:type="dxa"/>
            <w:tcBorders>
              <w:bottom w:val="single" w:sz="4" w:space="0" w:color="auto"/>
            </w:tcBorders>
          </w:tcPr>
          <w:p w14:paraId="785EE366" w14:textId="77777777" w:rsidR="001506C1" w:rsidRPr="00FA3F9C" w:rsidRDefault="001506C1" w:rsidP="003E53DA">
            <w:pPr>
              <w:rPr>
                <w:rFonts w:ascii="Arial" w:hAnsi="Arial" w:cs="Arial"/>
                <w:sz w:val="24"/>
                <w:szCs w:val="24"/>
              </w:rPr>
            </w:pPr>
            <w:r w:rsidRPr="00FA3F9C">
              <w:rPr>
                <w:rFonts w:ascii="Arial" w:hAnsi="Arial" w:cs="Arial"/>
                <w:sz w:val="24"/>
                <w:szCs w:val="24"/>
              </w:rPr>
              <w:t>Duration (w)</w:t>
            </w:r>
          </w:p>
        </w:tc>
        <w:tc>
          <w:tcPr>
            <w:tcW w:w="2700" w:type="dxa"/>
            <w:tcBorders>
              <w:bottom w:val="single" w:sz="4" w:space="0" w:color="auto"/>
            </w:tcBorders>
          </w:tcPr>
          <w:p w14:paraId="6B46B23F" w14:textId="77777777" w:rsidR="001506C1" w:rsidRPr="00FA3F9C" w:rsidRDefault="001506C1" w:rsidP="003E53DA">
            <w:pPr>
              <w:rPr>
                <w:rFonts w:ascii="Arial" w:hAnsi="Arial" w:cs="Arial"/>
                <w:sz w:val="24"/>
                <w:szCs w:val="24"/>
              </w:rPr>
            </w:pPr>
            <w:r w:rsidRPr="00FA3F9C">
              <w:rPr>
                <w:rFonts w:ascii="Arial" w:hAnsi="Arial" w:cs="Arial"/>
                <w:sz w:val="24"/>
                <w:szCs w:val="24"/>
              </w:rPr>
              <w:t>Notes</w:t>
            </w:r>
          </w:p>
        </w:tc>
      </w:tr>
      <w:tr w:rsidR="001506C1" w:rsidRPr="00FA3F9C" w14:paraId="32493C25" w14:textId="77777777" w:rsidTr="00B46DAF">
        <w:tc>
          <w:tcPr>
            <w:tcW w:w="1525" w:type="dxa"/>
            <w:shd w:val="clear" w:color="auto" w:fill="000000" w:themeFill="text1"/>
          </w:tcPr>
          <w:p w14:paraId="7D963961" w14:textId="77777777" w:rsidR="001506C1" w:rsidRPr="00FA3F9C" w:rsidRDefault="001506C1" w:rsidP="003E53DA">
            <w:pPr>
              <w:rPr>
                <w:rFonts w:ascii="Arial" w:hAnsi="Arial" w:cs="Arial"/>
                <w:sz w:val="24"/>
                <w:szCs w:val="24"/>
              </w:rPr>
            </w:pPr>
          </w:p>
        </w:tc>
        <w:tc>
          <w:tcPr>
            <w:tcW w:w="8730" w:type="dxa"/>
            <w:shd w:val="clear" w:color="auto" w:fill="000000" w:themeFill="text1"/>
          </w:tcPr>
          <w:p w14:paraId="07243D2C" w14:textId="77777777" w:rsidR="001506C1" w:rsidRPr="00FA3F9C" w:rsidRDefault="001506C1" w:rsidP="003E53DA">
            <w:pPr>
              <w:rPr>
                <w:rFonts w:ascii="Arial" w:hAnsi="Arial" w:cs="Arial"/>
                <w:sz w:val="24"/>
                <w:szCs w:val="24"/>
              </w:rPr>
            </w:pPr>
            <w:r w:rsidRPr="00FA3F9C">
              <w:rPr>
                <w:rFonts w:ascii="Arial" w:hAnsi="Arial" w:cs="Arial"/>
                <w:sz w:val="24"/>
                <w:szCs w:val="24"/>
              </w:rPr>
              <w:t>Sofosbuvir-based treatment failures, with or w/o compensated cirrhosis</w:t>
            </w:r>
          </w:p>
        </w:tc>
        <w:tc>
          <w:tcPr>
            <w:tcW w:w="1440" w:type="dxa"/>
            <w:shd w:val="clear" w:color="auto" w:fill="000000" w:themeFill="text1"/>
          </w:tcPr>
          <w:p w14:paraId="144B6913" w14:textId="77777777" w:rsidR="001506C1" w:rsidRPr="00FA3F9C" w:rsidRDefault="001506C1" w:rsidP="003E53DA">
            <w:pPr>
              <w:rPr>
                <w:rFonts w:ascii="Arial" w:hAnsi="Arial" w:cs="Arial"/>
                <w:sz w:val="24"/>
                <w:szCs w:val="24"/>
              </w:rPr>
            </w:pPr>
          </w:p>
        </w:tc>
        <w:tc>
          <w:tcPr>
            <w:tcW w:w="2700" w:type="dxa"/>
            <w:shd w:val="clear" w:color="auto" w:fill="000000" w:themeFill="text1"/>
          </w:tcPr>
          <w:p w14:paraId="2C0AB833" w14:textId="77777777" w:rsidR="001506C1" w:rsidRPr="00FA3F9C" w:rsidRDefault="001506C1" w:rsidP="003E53DA">
            <w:pPr>
              <w:rPr>
                <w:rFonts w:ascii="Arial" w:eastAsia="Times New Roman" w:hAnsi="Arial" w:cs="Arial"/>
                <w:color w:val="000000"/>
                <w:sz w:val="24"/>
                <w:szCs w:val="24"/>
                <w:shd w:val="clear" w:color="auto" w:fill="FFFAF6"/>
              </w:rPr>
            </w:pPr>
          </w:p>
        </w:tc>
      </w:tr>
      <w:tr w:rsidR="001506C1" w:rsidRPr="00FA3F9C" w14:paraId="5CC83884" w14:textId="77777777" w:rsidTr="00B46DAF">
        <w:tc>
          <w:tcPr>
            <w:tcW w:w="1525" w:type="dxa"/>
            <w:shd w:val="clear" w:color="auto" w:fill="auto"/>
          </w:tcPr>
          <w:p w14:paraId="3E951316" w14:textId="77777777" w:rsidR="001506C1" w:rsidRPr="00FA3F9C" w:rsidRDefault="001506C1" w:rsidP="003E53DA">
            <w:pPr>
              <w:rPr>
                <w:rFonts w:ascii="Arial" w:hAnsi="Arial" w:cs="Arial"/>
                <w:sz w:val="24"/>
                <w:szCs w:val="24"/>
              </w:rPr>
            </w:pPr>
            <w:proofErr w:type="spellStart"/>
            <w:r w:rsidRPr="00FA3F9C">
              <w:rPr>
                <w:rFonts w:ascii="Arial" w:hAnsi="Arial" w:cs="Arial"/>
                <w:sz w:val="24"/>
                <w:szCs w:val="24"/>
              </w:rPr>
              <w:t>Vosevi</w:t>
            </w:r>
            <w:proofErr w:type="spellEnd"/>
          </w:p>
        </w:tc>
        <w:tc>
          <w:tcPr>
            <w:tcW w:w="8730" w:type="dxa"/>
            <w:shd w:val="clear" w:color="auto" w:fill="auto"/>
          </w:tcPr>
          <w:p w14:paraId="7809FCF1" w14:textId="77777777" w:rsidR="001506C1" w:rsidRPr="00FA3F9C" w:rsidRDefault="001506C1" w:rsidP="003E53DA">
            <w:pPr>
              <w:rPr>
                <w:rFonts w:ascii="Arial" w:hAnsi="Arial" w:cs="Arial"/>
                <w:sz w:val="24"/>
                <w:szCs w:val="24"/>
              </w:rPr>
            </w:pPr>
            <w:r w:rsidRPr="00FA3F9C">
              <w:rPr>
                <w:rFonts w:ascii="Arial" w:hAnsi="Arial" w:cs="Arial"/>
                <w:sz w:val="24"/>
                <w:szCs w:val="24"/>
              </w:rPr>
              <w:t>Sofosbuvir 400mg/</w:t>
            </w:r>
            <w:proofErr w:type="spellStart"/>
            <w:r w:rsidRPr="00FA3F9C">
              <w:rPr>
                <w:rFonts w:ascii="Arial" w:hAnsi="Arial" w:cs="Arial"/>
                <w:sz w:val="24"/>
                <w:szCs w:val="24"/>
              </w:rPr>
              <w:t>velpatasvir</w:t>
            </w:r>
            <w:proofErr w:type="spellEnd"/>
            <w:r w:rsidRPr="00FA3F9C">
              <w:rPr>
                <w:rFonts w:ascii="Arial" w:hAnsi="Arial" w:cs="Arial"/>
                <w:sz w:val="24"/>
                <w:szCs w:val="24"/>
              </w:rPr>
              <w:t xml:space="preserve"> 100mg/</w:t>
            </w:r>
            <w:proofErr w:type="spellStart"/>
            <w:r w:rsidRPr="00FA3F9C">
              <w:rPr>
                <w:rFonts w:ascii="Arial" w:hAnsi="Arial" w:cs="Arial"/>
                <w:sz w:val="24"/>
                <w:szCs w:val="24"/>
              </w:rPr>
              <w:t>voxilaprevir</w:t>
            </w:r>
            <w:proofErr w:type="spellEnd"/>
            <w:r w:rsidRPr="00FA3F9C">
              <w:rPr>
                <w:rFonts w:ascii="Arial" w:hAnsi="Arial" w:cs="Arial"/>
                <w:sz w:val="24"/>
                <w:szCs w:val="24"/>
              </w:rPr>
              <w:t xml:space="preserve"> 100mg (for GT3 add </w:t>
            </w:r>
            <w:proofErr w:type="spellStart"/>
            <w:r w:rsidRPr="00FA3F9C">
              <w:rPr>
                <w:rFonts w:ascii="Arial" w:hAnsi="Arial" w:cs="Arial"/>
                <w:sz w:val="24"/>
                <w:szCs w:val="24"/>
              </w:rPr>
              <w:t>wt</w:t>
            </w:r>
            <w:proofErr w:type="spellEnd"/>
            <w:r w:rsidRPr="00FA3F9C">
              <w:rPr>
                <w:rFonts w:ascii="Arial" w:hAnsi="Arial" w:cs="Arial"/>
                <w:sz w:val="24"/>
                <w:szCs w:val="24"/>
              </w:rPr>
              <w:t>-based ribavirin if cirrhosis is present)</w:t>
            </w:r>
          </w:p>
        </w:tc>
        <w:tc>
          <w:tcPr>
            <w:tcW w:w="1440" w:type="dxa"/>
            <w:shd w:val="clear" w:color="auto" w:fill="auto"/>
          </w:tcPr>
          <w:p w14:paraId="3239B478" w14:textId="77777777" w:rsidR="001506C1" w:rsidRPr="00FA3F9C" w:rsidRDefault="001506C1" w:rsidP="003E53DA">
            <w:pPr>
              <w:rPr>
                <w:rFonts w:ascii="Arial" w:hAnsi="Arial" w:cs="Arial"/>
                <w:sz w:val="24"/>
                <w:szCs w:val="24"/>
              </w:rPr>
            </w:pPr>
            <w:r w:rsidRPr="00FA3F9C">
              <w:rPr>
                <w:rFonts w:ascii="Arial" w:hAnsi="Arial" w:cs="Arial"/>
                <w:sz w:val="24"/>
                <w:szCs w:val="24"/>
              </w:rPr>
              <w:t>12</w:t>
            </w:r>
          </w:p>
        </w:tc>
        <w:tc>
          <w:tcPr>
            <w:tcW w:w="2700" w:type="dxa"/>
            <w:shd w:val="clear" w:color="auto" w:fill="auto"/>
          </w:tcPr>
          <w:p w14:paraId="6ACD3070" w14:textId="77777777" w:rsidR="001506C1" w:rsidRPr="00FA3F9C" w:rsidRDefault="001506C1" w:rsidP="003E53DA">
            <w:pPr>
              <w:rPr>
                <w:rFonts w:ascii="Arial" w:eastAsia="Times New Roman" w:hAnsi="Arial" w:cs="Arial"/>
                <w:sz w:val="24"/>
                <w:szCs w:val="24"/>
              </w:rPr>
            </w:pPr>
            <w:r w:rsidRPr="00FA3F9C">
              <w:rPr>
                <w:rFonts w:ascii="Arial" w:eastAsia="Times New Roman" w:hAnsi="Arial" w:cs="Arial"/>
                <w:color w:val="000000"/>
                <w:sz w:val="24"/>
                <w:szCs w:val="24"/>
                <w:shd w:val="clear" w:color="auto" w:fill="FFFAF6"/>
              </w:rPr>
              <w:t>Class I, A</w:t>
            </w:r>
          </w:p>
        </w:tc>
      </w:tr>
      <w:tr w:rsidR="001506C1" w:rsidRPr="00FA3F9C" w14:paraId="7EBA7049" w14:textId="77777777" w:rsidTr="00B46DAF">
        <w:tc>
          <w:tcPr>
            <w:tcW w:w="1525" w:type="dxa"/>
            <w:shd w:val="clear" w:color="auto" w:fill="BFBFBF" w:themeFill="background1" w:themeFillShade="BF"/>
          </w:tcPr>
          <w:p w14:paraId="082CF54D" w14:textId="77777777" w:rsidR="001506C1" w:rsidRPr="00FA3F9C" w:rsidRDefault="001506C1" w:rsidP="0025135C">
            <w:pPr>
              <w:rPr>
                <w:rFonts w:ascii="Arial" w:hAnsi="Arial" w:cs="Arial"/>
                <w:sz w:val="24"/>
                <w:szCs w:val="24"/>
              </w:rPr>
            </w:pPr>
          </w:p>
        </w:tc>
        <w:tc>
          <w:tcPr>
            <w:tcW w:w="8730" w:type="dxa"/>
            <w:shd w:val="clear" w:color="auto" w:fill="BFBFBF" w:themeFill="background1" w:themeFillShade="BF"/>
          </w:tcPr>
          <w:p w14:paraId="3FCB3A2E" w14:textId="77777777" w:rsidR="001506C1" w:rsidRPr="00FA3F9C" w:rsidRDefault="001506C1" w:rsidP="0025135C">
            <w:pPr>
              <w:rPr>
                <w:rFonts w:ascii="Arial" w:hAnsi="Arial" w:cs="Arial"/>
                <w:sz w:val="24"/>
                <w:szCs w:val="24"/>
              </w:rPr>
            </w:pPr>
            <w:r w:rsidRPr="00FA3F9C">
              <w:rPr>
                <w:rFonts w:ascii="Arial" w:hAnsi="Arial" w:cs="Arial"/>
                <w:sz w:val="24"/>
                <w:szCs w:val="24"/>
              </w:rPr>
              <w:t>ALTERNATIVES</w:t>
            </w:r>
          </w:p>
        </w:tc>
        <w:tc>
          <w:tcPr>
            <w:tcW w:w="1440" w:type="dxa"/>
            <w:shd w:val="clear" w:color="auto" w:fill="BFBFBF" w:themeFill="background1" w:themeFillShade="BF"/>
          </w:tcPr>
          <w:p w14:paraId="7283BAD1" w14:textId="77777777" w:rsidR="001506C1" w:rsidRPr="00FA3F9C" w:rsidRDefault="001506C1" w:rsidP="0025135C">
            <w:pPr>
              <w:rPr>
                <w:rFonts w:ascii="Arial" w:hAnsi="Arial" w:cs="Arial"/>
                <w:sz w:val="24"/>
                <w:szCs w:val="24"/>
              </w:rPr>
            </w:pPr>
          </w:p>
        </w:tc>
        <w:tc>
          <w:tcPr>
            <w:tcW w:w="2700" w:type="dxa"/>
            <w:shd w:val="clear" w:color="auto" w:fill="BFBFBF" w:themeFill="background1" w:themeFillShade="BF"/>
          </w:tcPr>
          <w:p w14:paraId="42A2E866" w14:textId="77777777" w:rsidR="001506C1" w:rsidRPr="00FA3F9C" w:rsidRDefault="001506C1" w:rsidP="0025135C">
            <w:pPr>
              <w:rPr>
                <w:rFonts w:ascii="Arial" w:eastAsia="Times New Roman" w:hAnsi="Arial" w:cs="Arial"/>
                <w:color w:val="000000"/>
                <w:sz w:val="24"/>
                <w:szCs w:val="24"/>
                <w:shd w:val="clear" w:color="auto" w:fill="FFFAF6"/>
              </w:rPr>
            </w:pPr>
          </w:p>
        </w:tc>
      </w:tr>
      <w:tr w:rsidR="001506C1" w:rsidRPr="00FA3F9C" w14:paraId="32F24278" w14:textId="77777777" w:rsidTr="00B46DAF">
        <w:tc>
          <w:tcPr>
            <w:tcW w:w="1525" w:type="dxa"/>
            <w:shd w:val="clear" w:color="auto" w:fill="auto"/>
          </w:tcPr>
          <w:p w14:paraId="51729B8D" w14:textId="77777777" w:rsidR="001506C1" w:rsidRPr="00FA3F9C" w:rsidRDefault="001506C1" w:rsidP="0025135C">
            <w:pPr>
              <w:rPr>
                <w:rFonts w:ascii="Arial" w:hAnsi="Arial" w:cs="Arial"/>
                <w:sz w:val="24"/>
                <w:szCs w:val="24"/>
              </w:rPr>
            </w:pPr>
            <w:proofErr w:type="spellStart"/>
            <w:r w:rsidRPr="00FA3F9C">
              <w:rPr>
                <w:rFonts w:ascii="Arial" w:hAnsi="Arial" w:cs="Arial"/>
                <w:sz w:val="24"/>
                <w:szCs w:val="24"/>
              </w:rPr>
              <w:t>Mavyret</w:t>
            </w:r>
            <w:proofErr w:type="spellEnd"/>
          </w:p>
        </w:tc>
        <w:tc>
          <w:tcPr>
            <w:tcW w:w="8730" w:type="dxa"/>
            <w:shd w:val="clear" w:color="auto" w:fill="auto"/>
          </w:tcPr>
          <w:p w14:paraId="34C653F4" w14:textId="77777777" w:rsidR="001506C1" w:rsidRPr="00FA3F9C" w:rsidRDefault="001506C1" w:rsidP="0025135C">
            <w:pPr>
              <w:rPr>
                <w:rFonts w:ascii="Arial" w:hAnsi="Arial" w:cs="Arial"/>
                <w:sz w:val="24"/>
                <w:szCs w:val="24"/>
              </w:rPr>
            </w:pPr>
            <w:proofErr w:type="spellStart"/>
            <w:r w:rsidRPr="00FA3F9C">
              <w:rPr>
                <w:rFonts w:ascii="Arial" w:hAnsi="Arial" w:cs="Arial"/>
                <w:sz w:val="24"/>
                <w:szCs w:val="24"/>
              </w:rPr>
              <w:t>Glecaprevir</w:t>
            </w:r>
            <w:proofErr w:type="spellEnd"/>
            <w:r w:rsidRPr="00FA3F9C">
              <w:rPr>
                <w:rFonts w:ascii="Arial" w:hAnsi="Arial" w:cs="Arial"/>
                <w:sz w:val="24"/>
                <w:szCs w:val="24"/>
              </w:rPr>
              <w:t xml:space="preserve"> 300 mg/</w:t>
            </w:r>
            <w:proofErr w:type="spellStart"/>
            <w:r w:rsidRPr="00FA3F9C">
              <w:rPr>
                <w:rFonts w:ascii="Arial" w:hAnsi="Arial" w:cs="Arial"/>
                <w:sz w:val="24"/>
                <w:szCs w:val="24"/>
              </w:rPr>
              <w:t>pibrentasvir</w:t>
            </w:r>
            <w:proofErr w:type="spellEnd"/>
            <w:r w:rsidRPr="00FA3F9C">
              <w:rPr>
                <w:rFonts w:ascii="Arial" w:hAnsi="Arial" w:cs="Arial"/>
                <w:sz w:val="24"/>
                <w:szCs w:val="24"/>
              </w:rPr>
              <w:t xml:space="preserve"> 120 mg , except for NS3/4 protease inhibitor inclusive combination DAA regimen failures</w:t>
            </w:r>
          </w:p>
          <w:p w14:paraId="378F886A" w14:textId="77777777" w:rsidR="001506C1" w:rsidRPr="00FA3F9C" w:rsidRDefault="001506C1" w:rsidP="0025135C">
            <w:pPr>
              <w:rPr>
                <w:rFonts w:ascii="Arial" w:hAnsi="Arial" w:cs="Arial"/>
                <w:sz w:val="24"/>
                <w:szCs w:val="24"/>
              </w:rPr>
            </w:pPr>
            <w:r w:rsidRPr="00FA3F9C">
              <w:rPr>
                <w:rFonts w:ascii="Arial" w:hAnsi="Arial" w:cs="Arial"/>
                <w:sz w:val="24"/>
                <w:szCs w:val="24"/>
              </w:rPr>
              <w:t>NOT recommended for GT3 infection w/ sofosbuvir/NS5A inhibitor experience</w:t>
            </w:r>
          </w:p>
        </w:tc>
        <w:tc>
          <w:tcPr>
            <w:tcW w:w="1440" w:type="dxa"/>
            <w:shd w:val="clear" w:color="auto" w:fill="auto"/>
          </w:tcPr>
          <w:p w14:paraId="18711D02" w14:textId="77777777" w:rsidR="001506C1" w:rsidRPr="00FA3F9C" w:rsidRDefault="001506C1" w:rsidP="0025135C">
            <w:pPr>
              <w:rPr>
                <w:rFonts w:ascii="Arial" w:hAnsi="Arial" w:cs="Arial"/>
                <w:sz w:val="24"/>
                <w:szCs w:val="24"/>
              </w:rPr>
            </w:pPr>
            <w:r w:rsidRPr="00FA3F9C">
              <w:rPr>
                <w:rFonts w:ascii="Arial" w:hAnsi="Arial" w:cs="Arial"/>
                <w:sz w:val="24"/>
                <w:szCs w:val="24"/>
              </w:rPr>
              <w:t>16</w:t>
            </w:r>
          </w:p>
        </w:tc>
        <w:tc>
          <w:tcPr>
            <w:tcW w:w="2700" w:type="dxa"/>
            <w:shd w:val="clear" w:color="auto" w:fill="auto"/>
          </w:tcPr>
          <w:p w14:paraId="467288AE" w14:textId="77777777" w:rsidR="001506C1" w:rsidRPr="00FA3F9C" w:rsidRDefault="001506C1" w:rsidP="0025135C">
            <w:pPr>
              <w:rPr>
                <w:rFonts w:ascii="Arial" w:eastAsia="Times New Roman" w:hAnsi="Arial" w:cs="Arial"/>
                <w:color w:val="000000"/>
                <w:sz w:val="24"/>
                <w:szCs w:val="24"/>
                <w:shd w:val="clear" w:color="auto" w:fill="FFFAF6"/>
              </w:rPr>
            </w:pPr>
            <w:r w:rsidRPr="00FA3F9C">
              <w:rPr>
                <w:rFonts w:ascii="Arial" w:eastAsia="Times New Roman" w:hAnsi="Arial" w:cs="Arial"/>
                <w:color w:val="000000"/>
                <w:sz w:val="24"/>
                <w:szCs w:val="24"/>
                <w:shd w:val="clear" w:color="auto" w:fill="FFFAF6"/>
              </w:rPr>
              <w:t>Class I, A</w:t>
            </w:r>
          </w:p>
        </w:tc>
      </w:tr>
      <w:tr w:rsidR="001506C1" w:rsidRPr="00FA3F9C" w14:paraId="76EF6D3D" w14:textId="77777777" w:rsidTr="00B46DAF">
        <w:tc>
          <w:tcPr>
            <w:tcW w:w="1525" w:type="dxa"/>
            <w:tcBorders>
              <w:bottom w:val="single" w:sz="4" w:space="0" w:color="auto"/>
            </w:tcBorders>
          </w:tcPr>
          <w:p w14:paraId="12ECC578" w14:textId="77777777" w:rsidR="001506C1" w:rsidRPr="00FA3F9C" w:rsidRDefault="001506C1" w:rsidP="0025135C">
            <w:pPr>
              <w:rPr>
                <w:rFonts w:ascii="Arial" w:hAnsi="Arial" w:cs="Arial"/>
                <w:sz w:val="24"/>
                <w:szCs w:val="24"/>
              </w:rPr>
            </w:pPr>
          </w:p>
        </w:tc>
        <w:tc>
          <w:tcPr>
            <w:tcW w:w="8730" w:type="dxa"/>
            <w:tcBorders>
              <w:bottom w:val="single" w:sz="4" w:space="0" w:color="auto"/>
            </w:tcBorders>
          </w:tcPr>
          <w:p w14:paraId="20605833" w14:textId="77777777" w:rsidR="001506C1" w:rsidRPr="00FA3F9C" w:rsidRDefault="001506C1" w:rsidP="0025135C">
            <w:pPr>
              <w:rPr>
                <w:rFonts w:ascii="Arial" w:hAnsi="Arial" w:cs="Arial"/>
                <w:sz w:val="24"/>
                <w:szCs w:val="24"/>
              </w:rPr>
            </w:pPr>
          </w:p>
        </w:tc>
        <w:tc>
          <w:tcPr>
            <w:tcW w:w="1440" w:type="dxa"/>
            <w:tcBorders>
              <w:bottom w:val="single" w:sz="4" w:space="0" w:color="auto"/>
            </w:tcBorders>
          </w:tcPr>
          <w:p w14:paraId="2B245A92" w14:textId="77777777" w:rsidR="001506C1" w:rsidRPr="00FA3F9C" w:rsidRDefault="001506C1" w:rsidP="0025135C">
            <w:pPr>
              <w:rPr>
                <w:rFonts w:ascii="Arial" w:hAnsi="Arial" w:cs="Arial"/>
                <w:sz w:val="24"/>
                <w:szCs w:val="24"/>
              </w:rPr>
            </w:pPr>
          </w:p>
        </w:tc>
        <w:tc>
          <w:tcPr>
            <w:tcW w:w="2700" w:type="dxa"/>
            <w:tcBorders>
              <w:bottom w:val="single" w:sz="4" w:space="0" w:color="auto"/>
            </w:tcBorders>
          </w:tcPr>
          <w:p w14:paraId="2CB355CD" w14:textId="77777777" w:rsidR="001506C1" w:rsidRPr="00FA3F9C" w:rsidRDefault="001506C1" w:rsidP="0025135C">
            <w:pPr>
              <w:rPr>
                <w:rFonts w:ascii="Arial" w:eastAsia="Times New Roman" w:hAnsi="Arial" w:cs="Arial"/>
                <w:color w:val="000000"/>
                <w:sz w:val="24"/>
                <w:szCs w:val="24"/>
                <w:shd w:val="clear" w:color="auto" w:fill="FFFAF6"/>
              </w:rPr>
            </w:pPr>
          </w:p>
        </w:tc>
      </w:tr>
      <w:tr w:rsidR="001506C1" w:rsidRPr="00FA3F9C" w14:paraId="1D099AED" w14:textId="77777777" w:rsidTr="00B46DAF">
        <w:tc>
          <w:tcPr>
            <w:tcW w:w="1525" w:type="dxa"/>
            <w:shd w:val="clear" w:color="auto" w:fill="000000" w:themeFill="text1"/>
          </w:tcPr>
          <w:p w14:paraId="5A3EC035" w14:textId="77777777" w:rsidR="001506C1" w:rsidRPr="00FA3F9C" w:rsidRDefault="001506C1" w:rsidP="0025135C">
            <w:pPr>
              <w:rPr>
                <w:rFonts w:ascii="Arial" w:hAnsi="Arial" w:cs="Arial"/>
                <w:sz w:val="24"/>
                <w:szCs w:val="24"/>
              </w:rPr>
            </w:pPr>
          </w:p>
        </w:tc>
        <w:tc>
          <w:tcPr>
            <w:tcW w:w="8730" w:type="dxa"/>
            <w:shd w:val="clear" w:color="auto" w:fill="000000" w:themeFill="text1"/>
          </w:tcPr>
          <w:p w14:paraId="3460A59E" w14:textId="77777777" w:rsidR="001506C1" w:rsidRPr="00FA3F9C" w:rsidRDefault="001506C1" w:rsidP="0025135C">
            <w:pPr>
              <w:rPr>
                <w:rFonts w:ascii="Arial" w:hAnsi="Arial" w:cs="Arial"/>
                <w:sz w:val="24"/>
                <w:szCs w:val="24"/>
              </w:rPr>
            </w:pPr>
            <w:proofErr w:type="spellStart"/>
            <w:r w:rsidRPr="00FA3F9C">
              <w:rPr>
                <w:rFonts w:ascii="Arial" w:hAnsi="Arial" w:cs="Arial"/>
                <w:sz w:val="24"/>
                <w:szCs w:val="24"/>
              </w:rPr>
              <w:t>Glecaprevir</w:t>
            </w:r>
            <w:proofErr w:type="spellEnd"/>
            <w:r w:rsidRPr="00FA3F9C">
              <w:rPr>
                <w:rFonts w:ascii="Arial" w:hAnsi="Arial" w:cs="Arial"/>
                <w:sz w:val="24"/>
                <w:szCs w:val="24"/>
              </w:rPr>
              <w:t>/</w:t>
            </w:r>
            <w:proofErr w:type="spellStart"/>
            <w:r w:rsidRPr="00FA3F9C">
              <w:rPr>
                <w:rFonts w:ascii="Arial" w:hAnsi="Arial" w:cs="Arial"/>
                <w:sz w:val="24"/>
                <w:szCs w:val="24"/>
              </w:rPr>
              <w:t>Pibrentasvir</w:t>
            </w:r>
            <w:proofErr w:type="spellEnd"/>
            <w:r w:rsidRPr="00FA3F9C">
              <w:rPr>
                <w:rFonts w:ascii="Arial" w:hAnsi="Arial" w:cs="Arial"/>
                <w:sz w:val="24"/>
                <w:szCs w:val="24"/>
              </w:rPr>
              <w:t xml:space="preserve"> Treatment Failures (All Genotypes), with or w/o compensated cirrhosis</w:t>
            </w:r>
          </w:p>
        </w:tc>
        <w:tc>
          <w:tcPr>
            <w:tcW w:w="1440" w:type="dxa"/>
            <w:shd w:val="clear" w:color="auto" w:fill="000000" w:themeFill="text1"/>
          </w:tcPr>
          <w:p w14:paraId="7ABE7B9B" w14:textId="77777777" w:rsidR="001506C1" w:rsidRPr="00FA3F9C" w:rsidRDefault="001506C1" w:rsidP="0025135C">
            <w:pPr>
              <w:rPr>
                <w:rFonts w:ascii="Arial" w:hAnsi="Arial" w:cs="Arial"/>
                <w:sz w:val="24"/>
                <w:szCs w:val="24"/>
              </w:rPr>
            </w:pPr>
          </w:p>
        </w:tc>
        <w:tc>
          <w:tcPr>
            <w:tcW w:w="2700" w:type="dxa"/>
            <w:shd w:val="clear" w:color="auto" w:fill="000000" w:themeFill="text1"/>
          </w:tcPr>
          <w:p w14:paraId="7898E802" w14:textId="77777777" w:rsidR="001506C1" w:rsidRPr="00FA3F9C" w:rsidRDefault="001506C1" w:rsidP="0025135C">
            <w:pPr>
              <w:rPr>
                <w:rFonts w:ascii="Arial" w:eastAsia="Times New Roman" w:hAnsi="Arial" w:cs="Arial"/>
                <w:color w:val="000000"/>
                <w:sz w:val="24"/>
                <w:szCs w:val="24"/>
                <w:shd w:val="clear" w:color="auto" w:fill="FFFAF6"/>
              </w:rPr>
            </w:pPr>
          </w:p>
        </w:tc>
      </w:tr>
      <w:tr w:rsidR="001506C1" w:rsidRPr="00FA3F9C" w14:paraId="16F63D19" w14:textId="77777777" w:rsidTr="00B46DAF">
        <w:tc>
          <w:tcPr>
            <w:tcW w:w="1525" w:type="dxa"/>
            <w:shd w:val="clear" w:color="auto" w:fill="auto"/>
          </w:tcPr>
          <w:p w14:paraId="148935DD" w14:textId="77777777" w:rsidR="001506C1" w:rsidRPr="00FA3F9C" w:rsidRDefault="001506C1" w:rsidP="00B46DAF">
            <w:pPr>
              <w:rPr>
                <w:rFonts w:ascii="Arial" w:hAnsi="Arial" w:cs="Arial"/>
                <w:sz w:val="24"/>
                <w:szCs w:val="24"/>
              </w:rPr>
            </w:pPr>
            <w:proofErr w:type="spellStart"/>
            <w:r w:rsidRPr="00FA3F9C">
              <w:rPr>
                <w:rFonts w:ascii="Arial" w:hAnsi="Arial" w:cs="Arial"/>
                <w:sz w:val="24"/>
                <w:szCs w:val="24"/>
              </w:rPr>
              <w:t>Mavyret</w:t>
            </w:r>
            <w:proofErr w:type="spellEnd"/>
          </w:p>
        </w:tc>
        <w:tc>
          <w:tcPr>
            <w:tcW w:w="8730" w:type="dxa"/>
            <w:shd w:val="clear" w:color="auto" w:fill="auto"/>
          </w:tcPr>
          <w:p w14:paraId="6EE428DD" w14:textId="77777777" w:rsidR="001506C1" w:rsidRPr="00FA3F9C" w:rsidRDefault="001506C1" w:rsidP="00B46DAF">
            <w:pPr>
              <w:rPr>
                <w:rFonts w:ascii="Arial" w:hAnsi="Arial" w:cs="Arial"/>
                <w:sz w:val="24"/>
                <w:szCs w:val="24"/>
              </w:rPr>
            </w:pPr>
            <w:proofErr w:type="spellStart"/>
            <w:r w:rsidRPr="00FA3F9C">
              <w:rPr>
                <w:rFonts w:ascii="Arial" w:hAnsi="Arial" w:cs="Arial"/>
                <w:sz w:val="24"/>
                <w:szCs w:val="24"/>
              </w:rPr>
              <w:t>Glecaprevir</w:t>
            </w:r>
            <w:proofErr w:type="spellEnd"/>
            <w:r w:rsidRPr="00FA3F9C">
              <w:rPr>
                <w:rFonts w:ascii="Arial" w:hAnsi="Arial" w:cs="Arial"/>
                <w:sz w:val="24"/>
                <w:szCs w:val="24"/>
              </w:rPr>
              <w:t xml:space="preserve"> 300 mg/</w:t>
            </w:r>
            <w:proofErr w:type="spellStart"/>
            <w:r w:rsidRPr="00FA3F9C">
              <w:rPr>
                <w:rFonts w:ascii="Arial" w:hAnsi="Arial" w:cs="Arial"/>
                <w:sz w:val="24"/>
                <w:szCs w:val="24"/>
              </w:rPr>
              <w:t>pibrentasvir</w:t>
            </w:r>
            <w:proofErr w:type="spellEnd"/>
            <w:r w:rsidRPr="00FA3F9C">
              <w:rPr>
                <w:rFonts w:ascii="Arial" w:hAnsi="Arial" w:cs="Arial"/>
                <w:sz w:val="24"/>
                <w:szCs w:val="24"/>
              </w:rPr>
              <w:t xml:space="preserve"> 120 mg + sofosbuvir 400mg + </w:t>
            </w:r>
            <w:proofErr w:type="spellStart"/>
            <w:r w:rsidRPr="00FA3F9C">
              <w:rPr>
                <w:rFonts w:ascii="Arial" w:hAnsi="Arial" w:cs="Arial"/>
                <w:sz w:val="24"/>
                <w:szCs w:val="24"/>
              </w:rPr>
              <w:t>wt</w:t>
            </w:r>
            <w:proofErr w:type="spellEnd"/>
            <w:r w:rsidRPr="00FA3F9C">
              <w:rPr>
                <w:rFonts w:ascii="Arial" w:hAnsi="Arial" w:cs="Arial"/>
                <w:sz w:val="24"/>
                <w:szCs w:val="24"/>
              </w:rPr>
              <w:t>-based ribavirin</w:t>
            </w:r>
          </w:p>
        </w:tc>
        <w:tc>
          <w:tcPr>
            <w:tcW w:w="1440" w:type="dxa"/>
            <w:shd w:val="clear" w:color="auto" w:fill="auto"/>
          </w:tcPr>
          <w:p w14:paraId="42008E5C" w14:textId="77777777" w:rsidR="001506C1" w:rsidRPr="00FA3F9C" w:rsidRDefault="001506C1" w:rsidP="00B46DAF">
            <w:pPr>
              <w:rPr>
                <w:rFonts w:ascii="Arial" w:hAnsi="Arial" w:cs="Arial"/>
                <w:sz w:val="24"/>
                <w:szCs w:val="24"/>
              </w:rPr>
            </w:pPr>
            <w:r w:rsidRPr="00FA3F9C">
              <w:rPr>
                <w:rFonts w:ascii="Arial" w:hAnsi="Arial" w:cs="Arial"/>
                <w:sz w:val="24"/>
                <w:szCs w:val="24"/>
              </w:rPr>
              <w:t>16</w:t>
            </w:r>
          </w:p>
        </w:tc>
        <w:tc>
          <w:tcPr>
            <w:tcW w:w="2700" w:type="dxa"/>
            <w:shd w:val="clear" w:color="auto" w:fill="auto"/>
          </w:tcPr>
          <w:p w14:paraId="2A6244CD" w14:textId="77777777" w:rsidR="001506C1" w:rsidRPr="00FA3F9C" w:rsidRDefault="001506C1" w:rsidP="00B46DAF">
            <w:pPr>
              <w:rPr>
                <w:rFonts w:ascii="Arial" w:eastAsia="Times New Roman" w:hAnsi="Arial" w:cs="Arial"/>
                <w:color w:val="000000"/>
                <w:sz w:val="24"/>
                <w:szCs w:val="24"/>
                <w:shd w:val="clear" w:color="auto" w:fill="FFFAF6"/>
              </w:rPr>
            </w:pPr>
            <w:r w:rsidRPr="00FA3F9C">
              <w:rPr>
                <w:rFonts w:ascii="Arial" w:eastAsia="Times New Roman" w:hAnsi="Arial" w:cs="Arial"/>
                <w:color w:val="000000"/>
                <w:sz w:val="24"/>
                <w:szCs w:val="24"/>
                <w:shd w:val="clear" w:color="auto" w:fill="FFFAF6"/>
              </w:rPr>
              <w:t xml:space="preserve">Class </w:t>
            </w:r>
            <w:proofErr w:type="spellStart"/>
            <w:r w:rsidRPr="00FA3F9C">
              <w:rPr>
                <w:rFonts w:ascii="Arial" w:eastAsia="Times New Roman" w:hAnsi="Arial" w:cs="Arial"/>
                <w:color w:val="000000"/>
                <w:sz w:val="24"/>
                <w:szCs w:val="24"/>
                <w:shd w:val="clear" w:color="auto" w:fill="FFFAF6"/>
              </w:rPr>
              <w:t>IIa</w:t>
            </w:r>
            <w:proofErr w:type="spellEnd"/>
            <w:r w:rsidRPr="00FA3F9C">
              <w:rPr>
                <w:rFonts w:ascii="Arial" w:eastAsia="Times New Roman" w:hAnsi="Arial" w:cs="Arial"/>
                <w:color w:val="000000"/>
                <w:sz w:val="24"/>
                <w:szCs w:val="24"/>
                <w:shd w:val="clear" w:color="auto" w:fill="FFFAF6"/>
              </w:rPr>
              <w:t>, B</w:t>
            </w:r>
          </w:p>
        </w:tc>
      </w:tr>
      <w:tr w:rsidR="001506C1" w:rsidRPr="00FA3F9C" w14:paraId="28C87B5C" w14:textId="77777777" w:rsidTr="00B46DAF">
        <w:tc>
          <w:tcPr>
            <w:tcW w:w="1525" w:type="dxa"/>
            <w:shd w:val="clear" w:color="auto" w:fill="auto"/>
          </w:tcPr>
          <w:p w14:paraId="7F92ACA3" w14:textId="77777777" w:rsidR="001506C1" w:rsidRPr="00FA3F9C" w:rsidRDefault="001506C1" w:rsidP="00EE1C0C">
            <w:pPr>
              <w:rPr>
                <w:rFonts w:ascii="Arial" w:hAnsi="Arial" w:cs="Arial"/>
                <w:sz w:val="24"/>
                <w:szCs w:val="24"/>
              </w:rPr>
            </w:pPr>
            <w:proofErr w:type="spellStart"/>
            <w:r w:rsidRPr="00FA3F9C">
              <w:rPr>
                <w:rFonts w:ascii="Arial" w:hAnsi="Arial" w:cs="Arial"/>
                <w:sz w:val="24"/>
                <w:szCs w:val="24"/>
              </w:rPr>
              <w:t>Vosevi</w:t>
            </w:r>
            <w:proofErr w:type="spellEnd"/>
          </w:p>
        </w:tc>
        <w:tc>
          <w:tcPr>
            <w:tcW w:w="8730" w:type="dxa"/>
            <w:shd w:val="clear" w:color="auto" w:fill="auto"/>
          </w:tcPr>
          <w:p w14:paraId="38F5F123" w14:textId="77777777" w:rsidR="001506C1" w:rsidRPr="00FA3F9C" w:rsidRDefault="001506C1" w:rsidP="00EE1C0C">
            <w:pPr>
              <w:rPr>
                <w:rFonts w:ascii="Arial" w:hAnsi="Arial" w:cs="Arial"/>
                <w:sz w:val="24"/>
                <w:szCs w:val="24"/>
                <w:lang w:val="es-ES"/>
              </w:rPr>
            </w:pPr>
            <w:proofErr w:type="spellStart"/>
            <w:r w:rsidRPr="00FA3F9C">
              <w:rPr>
                <w:rFonts w:ascii="Arial" w:hAnsi="Arial" w:cs="Arial"/>
                <w:sz w:val="24"/>
                <w:szCs w:val="24"/>
                <w:lang w:val="es-ES"/>
              </w:rPr>
              <w:t>Sofosbuvir</w:t>
            </w:r>
            <w:proofErr w:type="spellEnd"/>
            <w:r w:rsidRPr="00FA3F9C">
              <w:rPr>
                <w:rFonts w:ascii="Arial" w:hAnsi="Arial" w:cs="Arial"/>
                <w:sz w:val="24"/>
                <w:szCs w:val="24"/>
                <w:lang w:val="es-ES"/>
              </w:rPr>
              <w:t xml:space="preserve"> 400mg/</w:t>
            </w:r>
            <w:proofErr w:type="spellStart"/>
            <w:r w:rsidRPr="00FA3F9C">
              <w:rPr>
                <w:rFonts w:ascii="Arial" w:hAnsi="Arial" w:cs="Arial"/>
                <w:sz w:val="24"/>
                <w:szCs w:val="24"/>
                <w:lang w:val="es-ES"/>
              </w:rPr>
              <w:t>velpatasvir</w:t>
            </w:r>
            <w:proofErr w:type="spellEnd"/>
            <w:r w:rsidRPr="00FA3F9C">
              <w:rPr>
                <w:rFonts w:ascii="Arial" w:hAnsi="Arial" w:cs="Arial"/>
                <w:sz w:val="24"/>
                <w:szCs w:val="24"/>
                <w:lang w:val="es-ES"/>
              </w:rPr>
              <w:t xml:space="preserve"> 100mg/</w:t>
            </w:r>
            <w:proofErr w:type="spellStart"/>
            <w:r w:rsidRPr="00FA3F9C">
              <w:rPr>
                <w:rFonts w:ascii="Arial" w:hAnsi="Arial" w:cs="Arial"/>
                <w:sz w:val="24"/>
                <w:szCs w:val="24"/>
                <w:lang w:val="es-ES"/>
              </w:rPr>
              <w:t>voxilaprevir</w:t>
            </w:r>
            <w:proofErr w:type="spellEnd"/>
            <w:r w:rsidRPr="00FA3F9C">
              <w:rPr>
                <w:rFonts w:ascii="Arial" w:hAnsi="Arial" w:cs="Arial"/>
                <w:sz w:val="24"/>
                <w:szCs w:val="24"/>
                <w:lang w:val="es-ES"/>
              </w:rPr>
              <w:t xml:space="preserve"> 100mg </w:t>
            </w:r>
          </w:p>
        </w:tc>
        <w:tc>
          <w:tcPr>
            <w:tcW w:w="1440" w:type="dxa"/>
            <w:shd w:val="clear" w:color="auto" w:fill="auto"/>
          </w:tcPr>
          <w:p w14:paraId="4E30925F" w14:textId="77777777" w:rsidR="001506C1" w:rsidRPr="00FA3F9C" w:rsidRDefault="001506C1" w:rsidP="00EE1C0C">
            <w:pPr>
              <w:rPr>
                <w:rFonts w:ascii="Arial" w:hAnsi="Arial" w:cs="Arial"/>
                <w:sz w:val="24"/>
                <w:szCs w:val="24"/>
              </w:rPr>
            </w:pPr>
            <w:r w:rsidRPr="00FA3F9C">
              <w:rPr>
                <w:rFonts w:ascii="Arial" w:hAnsi="Arial" w:cs="Arial"/>
                <w:sz w:val="24"/>
                <w:szCs w:val="24"/>
              </w:rPr>
              <w:t>12</w:t>
            </w:r>
          </w:p>
        </w:tc>
        <w:tc>
          <w:tcPr>
            <w:tcW w:w="2700" w:type="dxa"/>
            <w:shd w:val="clear" w:color="auto" w:fill="auto"/>
          </w:tcPr>
          <w:p w14:paraId="386C2B5E" w14:textId="77777777" w:rsidR="001506C1" w:rsidRPr="00FA3F9C" w:rsidRDefault="001506C1" w:rsidP="00EE1C0C">
            <w:pPr>
              <w:rPr>
                <w:rFonts w:ascii="Arial" w:eastAsia="Times New Roman" w:hAnsi="Arial" w:cs="Arial"/>
                <w:color w:val="000000"/>
                <w:sz w:val="24"/>
                <w:szCs w:val="24"/>
                <w:shd w:val="clear" w:color="auto" w:fill="FFFAF6"/>
              </w:rPr>
            </w:pPr>
            <w:r w:rsidRPr="00FA3F9C">
              <w:rPr>
                <w:rFonts w:ascii="Arial" w:eastAsia="Times New Roman" w:hAnsi="Arial" w:cs="Arial"/>
                <w:color w:val="000000"/>
                <w:sz w:val="24"/>
                <w:szCs w:val="24"/>
                <w:shd w:val="clear" w:color="auto" w:fill="FFFAF6"/>
              </w:rPr>
              <w:t xml:space="preserve">Class </w:t>
            </w:r>
            <w:proofErr w:type="spellStart"/>
            <w:r w:rsidRPr="00FA3F9C">
              <w:rPr>
                <w:rFonts w:ascii="Arial" w:eastAsia="Times New Roman" w:hAnsi="Arial" w:cs="Arial"/>
                <w:color w:val="000000"/>
                <w:sz w:val="24"/>
                <w:szCs w:val="24"/>
                <w:shd w:val="clear" w:color="auto" w:fill="FFFAF6"/>
              </w:rPr>
              <w:t>IIa</w:t>
            </w:r>
            <w:proofErr w:type="spellEnd"/>
            <w:r w:rsidRPr="00FA3F9C">
              <w:rPr>
                <w:rFonts w:ascii="Arial" w:eastAsia="Times New Roman" w:hAnsi="Arial" w:cs="Arial"/>
                <w:color w:val="000000"/>
                <w:sz w:val="24"/>
                <w:szCs w:val="24"/>
                <w:shd w:val="clear" w:color="auto" w:fill="FFFAF6"/>
              </w:rPr>
              <w:t>, B</w:t>
            </w:r>
          </w:p>
        </w:tc>
      </w:tr>
      <w:tr w:rsidR="001506C1" w:rsidRPr="00FA3F9C" w14:paraId="3C57A7BE" w14:textId="77777777" w:rsidTr="00B46DAF">
        <w:tc>
          <w:tcPr>
            <w:tcW w:w="1525" w:type="dxa"/>
            <w:tcBorders>
              <w:bottom w:val="single" w:sz="4" w:space="0" w:color="auto"/>
            </w:tcBorders>
            <w:shd w:val="clear" w:color="auto" w:fill="auto"/>
          </w:tcPr>
          <w:p w14:paraId="2E313377" w14:textId="77777777" w:rsidR="001506C1" w:rsidRPr="00FA3F9C" w:rsidRDefault="001506C1" w:rsidP="0025135C">
            <w:pPr>
              <w:rPr>
                <w:rFonts w:ascii="Arial" w:hAnsi="Arial" w:cs="Arial"/>
                <w:sz w:val="24"/>
                <w:szCs w:val="24"/>
              </w:rPr>
            </w:pPr>
          </w:p>
        </w:tc>
        <w:tc>
          <w:tcPr>
            <w:tcW w:w="8730" w:type="dxa"/>
            <w:tcBorders>
              <w:bottom w:val="single" w:sz="4" w:space="0" w:color="auto"/>
            </w:tcBorders>
            <w:shd w:val="clear" w:color="auto" w:fill="auto"/>
          </w:tcPr>
          <w:p w14:paraId="30903B2A" w14:textId="77777777" w:rsidR="001506C1" w:rsidRPr="00FA3F9C" w:rsidRDefault="001506C1" w:rsidP="0025135C">
            <w:pPr>
              <w:rPr>
                <w:rFonts w:ascii="Arial" w:hAnsi="Arial" w:cs="Arial"/>
                <w:sz w:val="24"/>
                <w:szCs w:val="24"/>
              </w:rPr>
            </w:pPr>
            <w:r w:rsidRPr="00FA3F9C">
              <w:rPr>
                <w:rFonts w:ascii="Arial" w:hAnsi="Arial" w:cs="Arial"/>
                <w:sz w:val="24"/>
                <w:szCs w:val="24"/>
              </w:rPr>
              <w:t xml:space="preserve">For patients with compensated cirrhosis, addition of </w:t>
            </w:r>
            <w:proofErr w:type="spellStart"/>
            <w:r w:rsidRPr="00FA3F9C">
              <w:rPr>
                <w:rFonts w:ascii="Arial" w:hAnsi="Arial" w:cs="Arial"/>
                <w:sz w:val="24"/>
                <w:szCs w:val="24"/>
              </w:rPr>
              <w:t>wt</w:t>
            </w:r>
            <w:proofErr w:type="spellEnd"/>
            <w:r w:rsidRPr="00FA3F9C">
              <w:rPr>
                <w:rFonts w:ascii="Arial" w:hAnsi="Arial" w:cs="Arial"/>
                <w:sz w:val="24"/>
                <w:szCs w:val="24"/>
              </w:rPr>
              <w:t>-based ribavirin is recommended</w:t>
            </w:r>
          </w:p>
        </w:tc>
        <w:tc>
          <w:tcPr>
            <w:tcW w:w="1440" w:type="dxa"/>
            <w:tcBorders>
              <w:bottom w:val="single" w:sz="4" w:space="0" w:color="auto"/>
            </w:tcBorders>
            <w:shd w:val="clear" w:color="auto" w:fill="auto"/>
          </w:tcPr>
          <w:p w14:paraId="283A996B" w14:textId="77777777" w:rsidR="001506C1" w:rsidRPr="00FA3F9C" w:rsidRDefault="001506C1" w:rsidP="0025135C">
            <w:pPr>
              <w:rPr>
                <w:rFonts w:ascii="Arial" w:hAnsi="Arial" w:cs="Arial"/>
                <w:sz w:val="24"/>
                <w:szCs w:val="24"/>
              </w:rPr>
            </w:pPr>
            <w:r w:rsidRPr="00FA3F9C">
              <w:rPr>
                <w:rFonts w:ascii="Arial" w:hAnsi="Arial" w:cs="Arial"/>
                <w:sz w:val="24"/>
                <w:szCs w:val="24"/>
              </w:rPr>
              <w:t>12</w:t>
            </w:r>
          </w:p>
        </w:tc>
        <w:tc>
          <w:tcPr>
            <w:tcW w:w="2700" w:type="dxa"/>
            <w:tcBorders>
              <w:bottom w:val="single" w:sz="4" w:space="0" w:color="auto"/>
            </w:tcBorders>
            <w:shd w:val="clear" w:color="auto" w:fill="auto"/>
          </w:tcPr>
          <w:p w14:paraId="6B1C6B92" w14:textId="77777777" w:rsidR="001506C1" w:rsidRPr="00FA3F9C" w:rsidRDefault="001506C1" w:rsidP="0025135C">
            <w:pPr>
              <w:rPr>
                <w:rFonts w:ascii="Arial" w:eastAsia="Times New Roman" w:hAnsi="Arial" w:cs="Arial"/>
                <w:color w:val="000000"/>
                <w:sz w:val="24"/>
                <w:szCs w:val="24"/>
                <w:shd w:val="clear" w:color="auto" w:fill="FFFAF6"/>
              </w:rPr>
            </w:pPr>
            <w:r w:rsidRPr="00FA3F9C">
              <w:rPr>
                <w:rFonts w:ascii="Arial" w:eastAsia="Times New Roman" w:hAnsi="Arial" w:cs="Arial"/>
                <w:color w:val="000000"/>
                <w:sz w:val="24"/>
                <w:szCs w:val="24"/>
                <w:shd w:val="clear" w:color="auto" w:fill="FFFAF6"/>
              </w:rPr>
              <w:t xml:space="preserve">Class </w:t>
            </w:r>
            <w:proofErr w:type="spellStart"/>
            <w:r w:rsidRPr="00FA3F9C">
              <w:rPr>
                <w:rFonts w:ascii="Arial" w:eastAsia="Times New Roman" w:hAnsi="Arial" w:cs="Arial"/>
                <w:color w:val="000000"/>
                <w:sz w:val="24"/>
                <w:szCs w:val="24"/>
                <w:shd w:val="clear" w:color="auto" w:fill="FFFAF6"/>
              </w:rPr>
              <w:t>IIa</w:t>
            </w:r>
            <w:proofErr w:type="spellEnd"/>
            <w:r w:rsidRPr="00FA3F9C">
              <w:rPr>
                <w:rFonts w:ascii="Arial" w:eastAsia="Times New Roman" w:hAnsi="Arial" w:cs="Arial"/>
                <w:color w:val="000000"/>
                <w:sz w:val="24"/>
                <w:szCs w:val="24"/>
                <w:shd w:val="clear" w:color="auto" w:fill="FFFAF6"/>
              </w:rPr>
              <w:t>, C</w:t>
            </w:r>
          </w:p>
        </w:tc>
      </w:tr>
      <w:tr w:rsidR="001506C1" w:rsidRPr="00FA3F9C" w14:paraId="194B0000" w14:textId="77777777" w:rsidTr="00B46DAF">
        <w:tc>
          <w:tcPr>
            <w:tcW w:w="1525" w:type="dxa"/>
            <w:tcBorders>
              <w:bottom w:val="single" w:sz="4" w:space="0" w:color="auto"/>
            </w:tcBorders>
            <w:shd w:val="clear" w:color="auto" w:fill="auto"/>
          </w:tcPr>
          <w:p w14:paraId="09CAE67D" w14:textId="77777777" w:rsidR="001506C1" w:rsidRPr="00FA3F9C" w:rsidRDefault="001506C1" w:rsidP="0025135C">
            <w:pPr>
              <w:rPr>
                <w:rFonts w:ascii="Arial" w:hAnsi="Arial" w:cs="Arial"/>
                <w:sz w:val="24"/>
                <w:szCs w:val="24"/>
              </w:rPr>
            </w:pPr>
          </w:p>
        </w:tc>
        <w:tc>
          <w:tcPr>
            <w:tcW w:w="8730" w:type="dxa"/>
            <w:tcBorders>
              <w:bottom w:val="single" w:sz="4" w:space="0" w:color="auto"/>
            </w:tcBorders>
            <w:shd w:val="clear" w:color="auto" w:fill="auto"/>
          </w:tcPr>
          <w:p w14:paraId="47F9014E" w14:textId="77777777" w:rsidR="001506C1" w:rsidRPr="00FA3F9C" w:rsidRDefault="001506C1" w:rsidP="0025135C">
            <w:pPr>
              <w:rPr>
                <w:rFonts w:ascii="Arial" w:hAnsi="Arial" w:cs="Arial"/>
                <w:sz w:val="24"/>
                <w:szCs w:val="24"/>
              </w:rPr>
            </w:pPr>
          </w:p>
        </w:tc>
        <w:tc>
          <w:tcPr>
            <w:tcW w:w="1440" w:type="dxa"/>
            <w:tcBorders>
              <w:bottom w:val="single" w:sz="4" w:space="0" w:color="auto"/>
            </w:tcBorders>
            <w:shd w:val="clear" w:color="auto" w:fill="auto"/>
          </w:tcPr>
          <w:p w14:paraId="36B3FA82" w14:textId="77777777" w:rsidR="001506C1" w:rsidRPr="00FA3F9C" w:rsidRDefault="001506C1" w:rsidP="0025135C">
            <w:pPr>
              <w:rPr>
                <w:rFonts w:ascii="Arial" w:hAnsi="Arial" w:cs="Arial"/>
                <w:sz w:val="24"/>
                <w:szCs w:val="24"/>
              </w:rPr>
            </w:pPr>
          </w:p>
        </w:tc>
        <w:tc>
          <w:tcPr>
            <w:tcW w:w="2700" w:type="dxa"/>
            <w:tcBorders>
              <w:bottom w:val="single" w:sz="4" w:space="0" w:color="auto"/>
            </w:tcBorders>
            <w:shd w:val="clear" w:color="auto" w:fill="auto"/>
          </w:tcPr>
          <w:p w14:paraId="319E19A8" w14:textId="77777777" w:rsidR="001506C1" w:rsidRPr="00FA3F9C" w:rsidRDefault="001506C1" w:rsidP="0025135C">
            <w:pPr>
              <w:rPr>
                <w:rFonts w:ascii="Arial" w:eastAsia="Times New Roman" w:hAnsi="Arial" w:cs="Arial"/>
                <w:color w:val="000000"/>
                <w:sz w:val="24"/>
                <w:szCs w:val="24"/>
                <w:shd w:val="clear" w:color="auto" w:fill="FFFAF6"/>
              </w:rPr>
            </w:pPr>
          </w:p>
        </w:tc>
      </w:tr>
      <w:tr w:rsidR="001506C1" w:rsidRPr="00500371" w14:paraId="02CE07C6" w14:textId="77777777" w:rsidTr="00B46DAF">
        <w:tc>
          <w:tcPr>
            <w:tcW w:w="1525" w:type="dxa"/>
            <w:shd w:val="clear" w:color="auto" w:fill="000000" w:themeFill="text1"/>
          </w:tcPr>
          <w:p w14:paraId="6D4BBBCA" w14:textId="77777777" w:rsidR="001506C1" w:rsidRPr="00FA3F9C" w:rsidRDefault="001506C1" w:rsidP="00C93E92">
            <w:pPr>
              <w:rPr>
                <w:rFonts w:ascii="Arial" w:hAnsi="Arial" w:cs="Arial"/>
                <w:sz w:val="24"/>
                <w:szCs w:val="24"/>
              </w:rPr>
            </w:pPr>
          </w:p>
        </w:tc>
        <w:tc>
          <w:tcPr>
            <w:tcW w:w="8730" w:type="dxa"/>
            <w:shd w:val="clear" w:color="auto" w:fill="000000" w:themeFill="text1"/>
          </w:tcPr>
          <w:p w14:paraId="0D7032A4" w14:textId="77777777" w:rsidR="001506C1" w:rsidRPr="00FA3F9C" w:rsidRDefault="001506C1" w:rsidP="00C93E92">
            <w:pPr>
              <w:rPr>
                <w:rFonts w:ascii="Arial" w:hAnsi="Arial" w:cs="Arial"/>
                <w:sz w:val="24"/>
                <w:szCs w:val="24"/>
              </w:rPr>
            </w:pPr>
            <w:r w:rsidRPr="00FA3F9C">
              <w:rPr>
                <w:rFonts w:ascii="Arial" w:hAnsi="Arial" w:cs="Arial"/>
                <w:sz w:val="24"/>
                <w:szCs w:val="24"/>
              </w:rPr>
              <w:t>Multiple DAA treatment failures (All Genotypes),</w:t>
            </w:r>
          </w:p>
          <w:p w14:paraId="2453739A" w14:textId="77777777" w:rsidR="001506C1" w:rsidRPr="00FA3F9C" w:rsidRDefault="001506C1" w:rsidP="00C93E92">
            <w:pPr>
              <w:rPr>
                <w:rFonts w:ascii="Arial" w:hAnsi="Arial" w:cs="Arial"/>
                <w:sz w:val="24"/>
                <w:szCs w:val="24"/>
                <w:lang w:val="es-ES"/>
              </w:rPr>
            </w:pPr>
            <w:proofErr w:type="spellStart"/>
            <w:r w:rsidRPr="00FA3F9C">
              <w:rPr>
                <w:rFonts w:ascii="Arial" w:hAnsi="Arial" w:cs="Arial"/>
                <w:sz w:val="24"/>
                <w:szCs w:val="24"/>
                <w:lang w:val="es-ES"/>
              </w:rPr>
              <w:t>including</w:t>
            </w:r>
            <w:proofErr w:type="spellEnd"/>
            <w:r w:rsidRPr="00FA3F9C">
              <w:rPr>
                <w:rFonts w:ascii="Arial" w:hAnsi="Arial" w:cs="Arial"/>
                <w:sz w:val="24"/>
                <w:szCs w:val="24"/>
                <w:lang w:val="es-ES"/>
              </w:rPr>
              <w:t xml:space="preserve"> </w:t>
            </w:r>
            <w:proofErr w:type="spellStart"/>
            <w:r w:rsidRPr="00FA3F9C">
              <w:rPr>
                <w:rFonts w:ascii="Arial" w:hAnsi="Arial" w:cs="Arial"/>
                <w:sz w:val="24"/>
                <w:szCs w:val="24"/>
                <w:lang w:val="es-ES"/>
              </w:rPr>
              <w:t>Sofosbuvir</w:t>
            </w:r>
            <w:proofErr w:type="spellEnd"/>
            <w:r w:rsidRPr="00FA3F9C">
              <w:rPr>
                <w:rFonts w:ascii="Arial" w:hAnsi="Arial" w:cs="Arial"/>
                <w:sz w:val="24"/>
                <w:szCs w:val="24"/>
                <w:lang w:val="es-ES"/>
              </w:rPr>
              <w:t>/</w:t>
            </w:r>
            <w:proofErr w:type="spellStart"/>
            <w:r w:rsidRPr="00FA3F9C">
              <w:rPr>
                <w:rFonts w:ascii="Arial" w:hAnsi="Arial" w:cs="Arial"/>
                <w:sz w:val="24"/>
                <w:szCs w:val="24"/>
                <w:lang w:val="es-ES"/>
              </w:rPr>
              <w:t>Velpatasvir</w:t>
            </w:r>
            <w:proofErr w:type="spellEnd"/>
            <w:r w:rsidRPr="00FA3F9C">
              <w:rPr>
                <w:rFonts w:ascii="Arial" w:hAnsi="Arial" w:cs="Arial"/>
                <w:sz w:val="24"/>
                <w:szCs w:val="24"/>
                <w:lang w:val="es-ES"/>
              </w:rPr>
              <w:t>/</w:t>
            </w:r>
            <w:proofErr w:type="spellStart"/>
            <w:r w:rsidRPr="00FA3F9C">
              <w:rPr>
                <w:rFonts w:ascii="Arial" w:hAnsi="Arial" w:cs="Arial"/>
                <w:sz w:val="24"/>
                <w:szCs w:val="24"/>
                <w:lang w:val="es-ES"/>
              </w:rPr>
              <w:t>Voxilaprevir</w:t>
            </w:r>
            <w:proofErr w:type="spellEnd"/>
            <w:r w:rsidRPr="00FA3F9C">
              <w:rPr>
                <w:rFonts w:ascii="Arial" w:hAnsi="Arial" w:cs="Arial"/>
                <w:sz w:val="24"/>
                <w:szCs w:val="24"/>
                <w:lang w:val="es-ES"/>
              </w:rPr>
              <w:t xml:space="preserve"> OR </w:t>
            </w:r>
            <w:proofErr w:type="spellStart"/>
            <w:r w:rsidRPr="00FA3F9C">
              <w:rPr>
                <w:rFonts w:ascii="Arial" w:hAnsi="Arial" w:cs="Arial"/>
                <w:sz w:val="24"/>
                <w:szCs w:val="24"/>
                <w:lang w:val="es-ES"/>
              </w:rPr>
              <w:t>Sofosbuvir</w:t>
            </w:r>
            <w:proofErr w:type="spellEnd"/>
            <w:r w:rsidRPr="00FA3F9C">
              <w:rPr>
                <w:rFonts w:ascii="Arial" w:hAnsi="Arial" w:cs="Arial"/>
                <w:sz w:val="24"/>
                <w:szCs w:val="24"/>
                <w:lang w:val="es-ES"/>
              </w:rPr>
              <w:t xml:space="preserve"> + </w:t>
            </w:r>
            <w:proofErr w:type="spellStart"/>
            <w:r w:rsidRPr="00FA3F9C">
              <w:rPr>
                <w:rFonts w:ascii="Arial" w:hAnsi="Arial" w:cs="Arial"/>
                <w:sz w:val="24"/>
                <w:szCs w:val="24"/>
                <w:lang w:val="es-ES"/>
              </w:rPr>
              <w:t>Gelcaprevir</w:t>
            </w:r>
            <w:proofErr w:type="spellEnd"/>
            <w:r w:rsidRPr="00FA3F9C">
              <w:rPr>
                <w:rFonts w:ascii="Arial" w:hAnsi="Arial" w:cs="Arial"/>
                <w:sz w:val="24"/>
                <w:szCs w:val="24"/>
                <w:lang w:val="es-ES"/>
              </w:rPr>
              <w:t>/</w:t>
            </w:r>
            <w:proofErr w:type="spellStart"/>
            <w:r w:rsidRPr="00FA3F9C">
              <w:rPr>
                <w:rFonts w:ascii="Arial" w:hAnsi="Arial" w:cs="Arial"/>
                <w:sz w:val="24"/>
                <w:szCs w:val="24"/>
                <w:lang w:val="es-ES"/>
              </w:rPr>
              <w:t>Pibrentasvir</w:t>
            </w:r>
            <w:proofErr w:type="spellEnd"/>
          </w:p>
        </w:tc>
        <w:tc>
          <w:tcPr>
            <w:tcW w:w="1440" w:type="dxa"/>
            <w:shd w:val="clear" w:color="auto" w:fill="000000" w:themeFill="text1"/>
          </w:tcPr>
          <w:p w14:paraId="3086B35D" w14:textId="77777777" w:rsidR="001506C1" w:rsidRPr="00FA3F9C" w:rsidRDefault="001506C1" w:rsidP="00C93E92">
            <w:pPr>
              <w:rPr>
                <w:rFonts w:ascii="Arial" w:hAnsi="Arial" w:cs="Arial"/>
                <w:sz w:val="24"/>
                <w:szCs w:val="24"/>
                <w:lang w:val="es-ES"/>
              </w:rPr>
            </w:pPr>
          </w:p>
        </w:tc>
        <w:tc>
          <w:tcPr>
            <w:tcW w:w="2700" w:type="dxa"/>
            <w:shd w:val="clear" w:color="auto" w:fill="000000" w:themeFill="text1"/>
          </w:tcPr>
          <w:p w14:paraId="3A9BB726" w14:textId="77777777" w:rsidR="001506C1" w:rsidRPr="00FA3F9C" w:rsidRDefault="001506C1" w:rsidP="00C93E92">
            <w:pPr>
              <w:rPr>
                <w:rFonts w:ascii="Arial" w:eastAsia="Times New Roman" w:hAnsi="Arial" w:cs="Arial"/>
                <w:color w:val="000000"/>
                <w:sz w:val="24"/>
                <w:szCs w:val="24"/>
                <w:shd w:val="clear" w:color="auto" w:fill="FFFAF6"/>
                <w:lang w:val="es-ES"/>
              </w:rPr>
            </w:pPr>
          </w:p>
        </w:tc>
      </w:tr>
      <w:tr w:rsidR="001506C1" w:rsidRPr="00FA3F9C" w14:paraId="288E2FCA" w14:textId="77777777" w:rsidTr="00B46DAF">
        <w:tc>
          <w:tcPr>
            <w:tcW w:w="1525" w:type="dxa"/>
            <w:shd w:val="clear" w:color="auto" w:fill="auto"/>
          </w:tcPr>
          <w:p w14:paraId="350CD7AD" w14:textId="77777777" w:rsidR="001506C1" w:rsidRPr="00FA3F9C" w:rsidRDefault="001506C1" w:rsidP="00C93E92">
            <w:pPr>
              <w:rPr>
                <w:rFonts w:ascii="Arial" w:hAnsi="Arial" w:cs="Arial"/>
                <w:sz w:val="24"/>
                <w:szCs w:val="24"/>
              </w:rPr>
            </w:pPr>
            <w:proofErr w:type="spellStart"/>
            <w:r w:rsidRPr="00FA3F9C">
              <w:rPr>
                <w:rFonts w:ascii="Arial" w:hAnsi="Arial" w:cs="Arial"/>
                <w:sz w:val="24"/>
                <w:szCs w:val="24"/>
              </w:rPr>
              <w:t>Mavyret</w:t>
            </w:r>
            <w:proofErr w:type="spellEnd"/>
          </w:p>
        </w:tc>
        <w:tc>
          <w:tcPr>
            <w:tcW w:w="8730" w:type="dxa"/>
            <w:shd w:val="clear" w:color="auto" w:fill="auto"/>
          </w:tcPr>
          <w:p w14:paraId="48BAC9C9" w14:textId="77777777" w:rsidR="001506C1" w:rsidRPr="00FA3F9C" w:rsidRDefault="001506C1" w:rsidP="00C93E92">
            <w:pPr>
              <w:rPr>
                <w:rFonts w:ascii="Arial" w:hAnsi="Arial" w:cs="Arial"/>
                <w:sz w:val="24"/>
                <w:szCs w:val="24"/>
              </w:rPr>
            </w:pPr>
            <w:proofErr w:type="spellStart"/>
            <w:r w:rsidRPr="00FA3F9C">
              <w:rPr>
                <w:rFonts w:ascii="Arial" w:hAnsi="Arial" w:cs="Arial"/>
                <w:sz w:val="24"/>
                <w:szCs w:val="24"/>
              </w:rPr>
              <w:t>Glecaprevir</w:t>
            </w:r>
            <w:proofErr w:type="spellEnd"/>
            <w:r w:rsidRPr="00FA3F9C">
              <w:rPr>
                <w:rFonts w:ascii="Arial" w:hAnsi="Arial" w:cs="Arial"/>
                <w:sz w:val="24"/>
                <w:szCs w:val="24"/>
              </w:rPr>
              <w:t xml:space="preserve"> 300 mg/</w:t>
            </w:r>
            <w:proofErr w:type="spellStart"/>
            <w:r w:rsidRPr="00FA3F9C">
              <w:rPr>
                <w:rFonts w:ascii="Arial" w:hAnsi="Arial" w:cs="Arial"/>
                <w:sz w:val="24"/>
                <w:szCs w:val="24"/>
              </w:rPr>
              <w:t>pibrentasvir</w:t>
            </w:r>
            <w:proofErr w:type="spellEnd"/>
            <w:r w:rsidRPr="00FA3F9C">
              <w:rPr>
                <w:rFonts w:ascii="Arial" w:hAnsi="Arial" w:cs="Arial"/>
                <w:sz w:val="24"/>
                <w:szCs w:val="24"/>
              </w:rPr>
              <w:t xml:space="preserve"> 120 mg + Sofosbuvir 400mg + </w:t>
            </w:r>
            <w:proofErr w:type="spellStart"/>
            <w:r w:rsidRPr="00FA3F9C">
              <w:rPr>
                <w:rFonts w:ascii="Arial" w:hAnsi="Arial" w:cs="Arial"/>
                <w:sz w:val="24"/>
                <w:szCs w:val="24"/>
              </w:rPr>
              <w:t>wt</w:t>
            </w:r>
            <w:proofErr w:type="spellEnd"/>
            <w:r w:rsidRPr="00FA3F9C">
              <w:rPr>
                <w:rFonts w:ascii="Arial" w:hAnsi="Arial" w:cs="Arial"/>
                <w:sz w:val="24"/>
                <w:szCs w:val="24"/>
              </w:rPr>
              <w:t>-based ribavirin</w:t>
            </w:r>
          </w:p>
        </w:tc>
        <w:tc>
          <w:tcPr>
            <w:tcW w:w="1440" w:type="dxa"/>
            <w:shd w:val="clear" w:color="auto" w:fill="auto"/>
          </w:tcPr>
          <w:p w14:paraId="40DC0EDE" w14:textId="77777777" w:rsidR="001506C1" w:rsidRPr="00FA3F9C" w:rsidRDefault="001506C1" w:rsidP="00C93E92">
            <w:pPr>
              <w:rPr>
                <w:rFonts w:ascii="Arial" w:hAnsi="Arial" w:cs="Arial"/>
                <w:sz w:val="24"/>
                <w:szCs w:val="24"/>
              </w:rPr>
            </w:pPr>
            <w:r w:rsidRPr="00FA3F9C">
              <w:rPr>
                <w:rFonts w:ascii="Arial" w:hAnsi="Arial" w:cs="Arial"/>
                <w:sz w:val="24"/>
                <w:szCs w:val="24"/>
              </w:rPr>
              <w:t>16</w:t>
            </w:r>
          </w:p>
        </w:tc>
        <w:tc>
          <w:tcPr>
            <w:tcW w:w="2700" w:type="dxa"/>
            <w:shd w:val="clear" w:color="auto" w:fill="auto"/>
          </w:tcPr>
          <w:p w14:paraId="5533353C" w14:textId="77777777" w:rsidR="001506C1" w:rsidRPr="00FA3F9C" w:rsidRDefault="001506C1" w:rsidP="00C93E92">
            <w:pPr>
              <w:rPr>
                <w:rFonts w:ascii="Arial" w:eastAsia="Times New Roman" w:hAnsi="Arial" w:cs="Arial"/>
                <w:color w:val="000000"/>
                <w:sz w:val="24"/>
                <w:szCs w:val="24"/>
                <w:shd w:val="clear" w:color="auto" w:fill="FFFAF6"/>
              </w:rPr>
            </w:pPr>
            <w:r w:rsidRPr="00FA3F9C">
              <w:rPr>
                <w:rFonts w:ascii="Arial" w:eastAsia="Times New Roman" w:hAnsi="Arial" w:cs="Arial"/>
                <w:color w:val="000000"/>
                <w:sz w:val="24"/>
                <w:szCs w:val="24"/>
                <w:shd w:val="clear" w:color="auto" w:fill="FFFAF6"/>
              </w:rPr>
              <w:t xml:space="preserve">Class </w:t>
            </w:r>
            <w:proofErr w:type="spellStart"/>
            <w:r w:rsidRPr="00FA3F9C">
              <w:rPr>
                <w:rFonts w:ascii="Arial" w:eastAsia="Times New Roman" w:hAnsi="Arial" w:cs="Arial"/>
                <w:color w:val="000000"/>
                <w:sz w:val="24"/>
                <w:szCs w:val="24"/>
                <w:shd w:val="clear" w:color="auto" w:fill="FFFAF6"/>
              </w:rPr>
              <w:t>IIa</w:t>
            </w:r>
            <w:proofErr w:type="spellEnd"/>
            <w:r w:rsidRPr="00FA3F9C">
              <w:rPr>
                <w:rFonts w:ascii="Arial" w:eastAsia="Times New Roman" w:hAnsi="Arial" w:cs="Arial"/>
                <w:color w:val="000000"/>
                <w:sz w:val="24"/>
                <w:szCs w:val="24"/>
                <w:shd w:val="clear" w:color="auto" w:fill="FFFAF6"/>
              </w:rPr>
              <w:t>, B</w:t>
            </w:r>
          </w:p>
        </w:tc>
      </w:tr>
      <w:tr w:rsidR="001506C1" w:rsidRPr="00FA3F9C" w14:paraId="24C60DC8" w14:textId="77777777" w:rsidTr="00B46DAF">
        <w:tc>
          <w:tcPr>
            <w:tcW w:w="1525" w:type="dxa"/>
            <w:shd w:val="clear" w:color="auto" w:fill="auto"/>
          </w:tcPr>
          <w:p w14:paraId="71CC2EEC" w14:textId="77777777" w:rsidR="001506C1" w:rsidRPr="00FA3F9C" w:rsidRDefault="001506C1" w:rsidP="00EE1C0C">
            <w:pPr>
              <w:rPr>
                <w:rFonts w:ascii="Arial" w:hAnsi="Arial" w:cs="Arial"/>
                <w:sz w:val="24"/>
                <w:szCs w:val="24"/>
              </w:rPr>
            </w:pPr>
            <w:proofErr w:type="spellStart"/>
            <w:r w:rsidRPr="00FA3F9C">
              <w:rPr>
                <w:rFonts w:ascii="Arial" w:hAnsi="Arial" w:cs="Arial"/>
                <w:sz w:val="24"/>
                <w:szCs w:val="24"/>
              </w:rPr>
              <w:t>Vosevi</w:t>
            </w:r>
            <w:proofErr w:type="spellEnd"/>
          </w:p>
        </w:tc>
        <w:tc>
          <w:tcPr>
            <w:tcW w:w="8730" w:type="dxa"/>
            <w:shd w:val="clear" w:color="auto" w:fill="auto"/>
          </w:tcPr>
          <w:p w14:paraId="41310C12" w14:textId="77777777" w:rsidR="001506C1" w:rsidRPr="00FA3F9C" w:rsidRDefault="001506C1" w:rsidP="00EE1C0C">
            <w:pPr>
              <w:rPr>
                <w:rFonts w:ascii="Arial" w:hAnsi="Arial" w:cs="Arial"/>
                <w:sz w:val="24"/>
                <w:szCs w:val="24"/>
              </w:rPr>
            </w:pPr>
            <w:r w:rsidRPr="00FA3F9C">
              <w:rPr>
                <w:rFonts w:ascii="Arial" w:hAnsi="Arial" w:cs="Arial"/>
                <w:sz w:val="24"/>
                <w:szCs w:val="24"/>
              </w:rPr>
              <w:t>Sofosbuvir 400mg/</w:t>
            </w:r>
            <w:proofErr w:type="spellStart"/>
            <w:r w:rsidRPr="00FA3F9C">
              <w:rPr>
                <w:rFonts w:ascii="Arial" w:hAnsi="Arial" w:cs="Arial"/>
                <w:sz w:val="24"/>
                <w:szCs w:val="24"/>
              </w:rPr>
              <w:t>velpatasvir</w:t>
            </w:r>
            <w:proofErr w:type="spellEnd"/>
            <w:r w:rsidRPr="00FA3F9C">
              <w:rPr>
                <w:rFonts w:ascii="Arial" w:hAnsi="Arial" w:cs="Arial"/>
                <w:sz w:val="24"/>
                <w:szCs w:val="24"/>
              </w:rPr>
              <w:t xml:space="preserve"> 100mg/</w:t>
            </w:r>
            <w:proofErr w:type="spellStart"/>
            <w:r w:rsidRPr="00FA3F9C">
              <w:rPr>
                <w:rFonts w:ascii="Arial" w:hAnsi="Arial" w:cs="Arial"/>
                <w:sz w:val="24"/>
                <w:szCs w:val="24"/>
              </w:rPr>
              <w:t>voxilaprevir</w:t>
            </w:r>
            <w:proofErr w:type="spellEnd"/>
            <w:r w:rsidRPr="00FA3F9C">
              <w:rPr>
                <w:rFonts w:ascii="Arial" w:hAnsi="Arial" w:cs="Arial"/>
                <w:sz w:val="24"/>
                <w:szCs w:val="24"/>
              </w:rPr>
              <w:t xml:space="preserve"> 100mg  + </w:t>
            </w:r>
            <w:proofErr w:type="spellStart"/>
            <w:r w:rsidRPr="00FA3F9C">
              <w:rPr>
                <w:rFonts w:ascii="Arial" w:hAnsi="Arial" w:cs="Arial"/>
                <w:sz w:val="24"/>
                <w:szCs w:val="24"/>
              </w:rPr>
              <w:t>wt</w:t>
            </w:r>
            <w:proofErr w:type="spellEnd"/>
            <w:r w:rsidRPr="00FA3F9C">
              <w:rPr>
                <w:rFonts w:ascii="Arial" w:hAnsi="Arial" w:cs="Arial"/>
                <w:sz w:val="24"/>
                <w:szCs w:val="24"/>
              </w:rPr>
              <w:t>-based ribavirin</w:t>
            </w:r>
          </w:p>
        </w:tc>
        <w:tc>
          <w:tcPr>
            <w:tcW w:w="1440" w:type="dxa"/>
            <w:shd w:val="clear" w:color="auto" w:fill="auto"/>
          </w:tcPr>
          <w:p w14:paraId="11A8DD97" w14:textId="77777777" w:rsidR="001506C1" w:rsidRPr="00FA3F9C" w:rsidRDefault="001506C1" w:rsidP="00EE1C0C">
            <w:pPr>
              <w:rPr>
                <w:rFonts w:ascii="Arial" w:hAnsi="Arial" w:cs="Arial"/>
                <w:sz w:val="24"/>
                <w:szCs w:val="24"/>
              </w:rPr>
            </w:pPr>
            <w:r w:rsidRPr="00FA3F9C">
              <w:rPr>
                <w:rFonts w:ascii="Arial" w:hAnsi="Arial" w:cs="Arial"/>
                <w:sz w:val="24"/>
                <w:szCs w:val="24"/>
              </w:rPr>
              <w:t>24</w:t>
            </w:r>
          </w:p>
        </w:tc>
        <w:tc>
          <w:tcPr>
            <w:tcW w:w="2700" w:type="dxa"/>
            <w:shd w:val="clear" w:color="auto" w:fill="auto"/>
          </w:tcPr>
          <w:p w14:paraId="1649B589" w14:textId="77777777" w:rsidR="001506C1" w:rsidRPr="00FA3F9C" w:rsidRDefault="001506C1" w:rsidP="00EE1C0C">
            <w:pPr>
              <w:rPr>
                <w:rFonts w:ascii="Arial" w:eastAsia="Times New Roman" w:hAnsi="Arial" w:cs="Arial"/>
                <w:color w:val="000000"/>
                <w:sz w:val="24"/>
                <w:szCs w:val="24"/>
                <w:shd w:val="clear" w:color="auto" w:fill="FFFAF6"/>
              </w:rPr>
            </w:pPr>
            <w:r w:rsidRPr="00FA3F9C">
              <w:rPr>
                <w:rFonts w:ascii="Arial" w:eastAsia="Times New Roman" w:hAnsi="Arial" w:cs="Arial"/>
                <w:color w:val="000000"/>
                <w:sz w:val="24"/>
                <w:szCs w:val="24"/>
                <w:shd w:val="clear" w:color="auto" w:fill="FFFAF6"/>
              </w:rPr>
              <w:t xml:space="preserve">Class </w:t>
            </w:r>
            <w:proofErr w:type="spellStart"/>
            <w:r w:rsidRPr="00FA3F9C">
              <w:rPr>
                <w:rFonts w:ascii="Arial" w:eastAsia="Times New Roman" w:hAnsi="Arial" w:cs="Arial"/>
                <w:color w:val="000000"/>
                <w:sz w:val="24"/>
                <w:szCs w:val="24"/>
                <w:shd w:val="clear" w:color="auto" w:fill="FFFAF6"/>
              </w:rPr>
              <w:t>IIa</w:t>
            </w:r>
            <w:proofErr w:type="spellEnd"/>
            <w:r w:rsidRPr="00FA3F9C">
              <w:rPr>
                <w:rFonts w:ascii="Arial" w:eastAsia="Times New Roman" w:hAnsi="Arial" w:cs="Arial"/>
                <w:color w:val="000000"/>
                <w:sz w:val="24"/>
                <w:szCs w:val="24"/>
                <w:shd w:val="clear" w:color="auto" w:fill="FFFAF6"/>
              </w:rPr>
              <w:t>, B</w:t>
            </w:r>
          </w:p>
        </w:tc>
      </w:tr>
      <w:tr w:rsidR="001506C1" w:rsidRPr="00FA3F9C" w14:paraId="6D2FE76F" w14:textId="77777777" w:rsidTr="00B46DAF">
        <w:tc>
          <w:tcPr>
            <w:tcW w:w="1525" w:type="dxa"/>
            <w:tcBorders>
              <w:bottom w:val="single" w:sz="4" w:space="0" w:color="auto"/>
            </w:tcBorders>
          </w:tcPr>
          <w:p w14:paraId="5D0B704B" w14:textId="77777777" w:rsidR="001506C1" w:rsidRPr="00FA3F9C" w:rsidRDefault="001506C1" w:rsidP="00C93E92">
            <w:pPr>
              <w:rPr>
                <w:rFonts w:ascii="Arial" w:hAnsi="Arial" w:cs="Arial"/>
                <w:sz w:val="24"/>
                <w:szCs w:val="24"/>
              </w:rPr>
            </w:pPr>
          </w:p>
        </w:tc>
        <w:tc>
          <w:tcPr>
            <w:tcW w:w="8730" w:type="dxa"/>
            <w:tcBorders>
              <w:bottom w:val="single" w:sz="4" w:space="0" w:color="auto"/>
            </w:tcBorders>
          </w:tcPr>
          <w:p w14:paraId="1ADFE7C2" w14:textId="77777777" w:rsidR="001506C1" w:rsidRPr="00FA3F9C" w:rsidRDefault="001506C1" w:rsidP="00C93E92">
            <w:pPr>
              <w:rPr>
                <w:rFonts w:ascii="Arial" w:hAnsi="Arial" w:cs="Arial"/>
                <w:sz w:val="24"/>
                <w:szCs w:val="24"/>
              </w:rPr>
            </w:pPr>
          </w:p>
        </w:tc>
        <w:tc>
          <w:tcPr>
            <w:tcW w:w="1440" w:type="dxa"/>
            <w:tcBorders>
              <w:bottom w:val="single" w:sz="4" w:space="0" w:color="auto"/>
            </w:tcBorders>
          </w:tcPr>
          <w:p w14:paraId="1ACAB048" w14:textId="77777777" w:rsidR="001506C1" w:rsidRPr="00FA3F9C" w:rsidRDefault="001506C1" w:rsidP="00C93E92">
            <w:pPr>
              <w:rPr>
                <w:rFonts w:ascii="Arial" w:hAnsi="Arial" w:cs="Arial"/>
                <w:sz w:val="24"/>
                <w:szCs w:val="24"/>
              </w:rPr>
            </w:pPr>
          </w:p>
        </w:tc>
        <w:tc>
          <w:tcPr>
            <w:tcW w:w="2700" w:type="dxa"/>
            <w:tcBorders>
              <w:bottom w:val="single" w:sz="4" w:space="0" w:color="auto"/>
            </w:tcBorders>
          </w:tcPr>
          <w:p w14:paraId="6CD97379" w14:textId="77777777" w:rsidR="001506C1" w:rsidRPr="00FA3F9C" w:rsidRDefault="001506C1" w:rsidP="00C93E92">
            <w:pPr>
              <w:rPr>
                <w:rFonts w:ascii="Arial" w:eastAsia="Times New Roman" w:hAnsi="Arial" w:cs="Arial"/>
                <w:color w:val="000000"/>
                <w:sz w:val="24"/>
                <w:szCs w:val="24"/>
                <w:shd w:val="clear" w:color="auto" w:fill="FFFAF6"/>
              </w:rPr>
            </w:pPr>
          </w:p>
        </w:tc>
      </w:tr>
    </w:tbl>
    <w:p w14:paraId="61CE7E8A" w14:textId="77777777" w:rsidR="001506C1" w:rsidRPr="00FA3F9C" w:rsidRDefault="001506C1" w:rsidP="00EC257C">
      <w:pPr>
        <w:rPr>
          <w:rFonts w:ascii="Arial" w:hAnsi="Arial" w:cs="Arial"/>
          <w:sz w:val="24"/>
          <w:szCs w:val="24"/>
        </w:rPr>
      </w:pPr>
    </w:p>
    <w:p w14:paraId="49D95FA8" w14:textId="77777777" w:rsidR="001506C1" w:rsidRPr="00FA3F9C" w:rsidRDefault="001506C1">
      <w:pPr>
        <w:rPr>
          <w:rFonts w:ascii="Arial" w:hAnsi="Arial" w:cs="Arial"/>
          <w:b/>
          <w:sz w:val="24"/>
          <w:szCs w:val="24"/>
          <w:u w:val="single"/>
        </w:rPr>
      </w:pPr>
      <w:r w:rsidRPr="00FA3F9C">
        <w:rPr>
          <w:rFonts w:ascii="Arial" w:hAnsi="Arial" w:cs="Arial"/>
          <w:b/>
          <w:sz w:val="24"/>
          <w:szCs w:val="24"/>
          <w:u w:val="single"/>
        </w:rPr>
        <w:lastRenderedPageBreak/>
        <w:t xml:space="preserve">DECOMPENSATED CIRRHOSIS:  (Patients who have decompensated cirrhosis </w:t>
      </w:r>
      <w:r w:rsidRPr="00FA3F9C">
        <w:rPr>
          <w:rFonts w:ascii="Arial" w:hAnsi="Arial" w:cs="Arial"/>
          <w:b/>
          <w:sz w:val="24"/>
          <w:szCs w:val="24"/>
          <w:highlight w:val="yellow"/>
          <w:u w:val="single"/>
        </w:rPr>
        <w:t>are NOT COVERED UNLESS ON THE LIVER TRANSPLANT LIST due to unclear, clinically meaningful improvements in health.</w:t>
      </w:r>
      <w:r w:rsidRPr="00FA3F9C">
        <w:rPr>
          <w:rFonts w:ascii="Arial" w:hAnsi="Arial" w:cs="Arial"/>
          <w:b/>
          <w:sz w:val="24"/>
          <w:szCs w:val="24"/>
          <w:u w:val="single"/>
        </w:rPr>
        <w:t>) [See AASLD guidelines accessed 4/7/2021.]</w:t>
      </w:r>
    </w:p>
    <w:p w14:paraId="33377C9C" w14:textId="77777777" w:rsidR="001506C1" w:rsidRPr="00FA3F9C" w:rsidRDefault="001506C1" w:rsidP="00EE1C0C">
      <w:pPr>
        <w:shd w:val="clear" w:color="auto" w:fill="FFFFFF"/>
        <w:textAlignment w:val="baseline"/>
        <w:rPr>
          <w:rFonts w:ascii="Arial" w:eastAsia="Times New Roman" w:hAnsi="Arial" w:cs="Arial"/>
          <w:color w:val="000000"/>
          <w:sz w:val="24"/>
          <w:szCs w:val="24"/>
        </w:rPr>
      </w:pPr>
      <w:r w:rsidRPr="00FA3F9C">
        <w:rPr>
          <w:rFonts w:ascii="Arial" w:eastAsia="Times New Roman" w:hAnsi="Arial" w:cs="Arial"/>
          <w:color w:val="000000"/>
          <w:sz w:val="24"/>
          <w:szCs w:val="24"/>
        </w:rPr>
        <w:t>Clinical trial data demonstrate that in the population of persons with decompensated cirrhosis, most patients receiving direct-acting antiviral (DAA) therapy experience improvement in clinical and biochemical indicators of liver disease between baseline and post-treatment week 12, including patients with CTP class C cirrhosis (</w:t>
      </w:r>
      <w:proofErr w:type="spellStart"/>
      <w:r w:rsidR="005005CA">
        <w:fldChar w:fldCharType="begin"/>
      </w:r>
      <w:r w:rsidR="005005CA">
        <w:instrText xml:space="preserve"> HYPERLINK "https://www.hcvguidelines.org/references/manns-2016" </w:instrText>
      </w:r>
      <w:r w:rsidR="005005CA">
        <w:fldChar w:fldCharType="separate"/>
      </w:r>
      <w:r w:rsidRPr="00FA3F9C">
        <w:rPr>
          <w:rFonts w:ascii="Arial" w:eastAsia="Times New Roman" w:hAnsi="Arial" w:cs="Arial"/>
          <w:color w:val="1596D9"/>
          <w:sz w:val="24"/>
          <w:szCs w:val="24"/>
          <w:u w:val="single"/>
          <w:bdr w:val="none" w:sz="0" w:space="0" w:color="auto" w:frame="1"/>
        </w:rPr>
        <w:t>Manns</w:t>
      </w:r>
      <w:proofErr w:type="spellEnd"/>
      <w:r w:rsidRPr="00FA3F9C">
        <w:rPr>
          <w:rFonts w:ascii="Arial" w:eastAsia="Times New Roman" w:hAnsi="Arial" w:cs="Arial"/>
          <w:color w:val="1596D9"/>
          <w:sz w:val="24"/>
          <w:szCs w:val="24"/>
          <w:u w:val="single"/>
          <w:bdr w:val="none" w:sz="0" w:space="0" w:color="auto" w:frame="1"/>
        </w:rPr>
        <w:t>, 2016</w:t>
      </w:r>
      <w:r w:rsidR="005005CA">
        <w:rPr>
          <w:rFonts w:ascii="Arial" w:eastAsia="Times New Roman" w:hAnsi="Arial" w:cs="Arial"/>
          <w:color w:val="1596D9"/>
          <w:sz w:val="24"/>
          <w:szCs w:val="24"/>
          <w:u w:val="single"/>
          <w:bdr w:val="none" w:sz="0" w:space="0" w:color="auto" w:frame="1"/>
        </w:rPr>
        <w:fldChar w:fldCharType="end"/>
      </w:r>
      <w:r w:rsidRPr="00FA3F9C">
        <w:rPr>
          <w:rFonts w:ascii="Arial" w:eastAsia="Times New Roman" w:hAnsi="Arial" w:cs="Arial"/>
          <w:color w:val="000000"/>
          <w:sz w:val="24"/>
          <w:szCs w:val="24"/>
        </w:rPr>
        <w:t>); (</w:t>
      </w:r>
      <w:proofErr w:type="spellStart"/>
      <w:r w:rsidR="005005CA">
        <w:fldChar w:fldCharType="begin"/>
      </w:r>
      <w:r w:rsidR="005005CA">
        <w:instrText xml:space="preserve"> HYPERLINK "https://www.hcvguidelines.org/references/welzel-2016" </w:instrText>
      </w:r>
      <w:r w:rsidR="005005CA">
        <w:fldChar w:fldCharType="separate"/>
      </w:r>
      <w:r w:rsidRPr="00FA3F9C">
        <w:rPr>
          <w:rFonts w:ascii="Arial" w:eastAsia="Times New Roman" w:hAnsi="Arial" w:cs="Arial"/>
          <w:color w:val="1596D9"/>
          <w:sz w:val="24"/>
          <w:szCs w:val="24"/>
          <w:u w:val="single"/>
          <w:bdr w:val="none" w:sz="0" w:space="0" w:color="auto" w:frame="1"/>
        </w:rPr>
        <w:t>Welzel</w:t>
      </w:r>
      <w:proofErr w:type="spellEnd"/>
      <w:r w:rsidRPr="00FA3F9C">
        <w:rPr>
          <w:rFonts w:ascii="Arial" w:eastAsia="Times New Roman" w:hAnsi="Arial" w:cs="Arial"/>
          <w:color w:val="1596D9"/>
          <w:sz w:val="24"/>
          <w:szCs w:val="24"/>
          <w:u w:val="single"/>
          <w:bdr w:val="none" w:sz="0" w:space="0" w:color="auto" w:frame="1"/>
        </w:rPr>
        <w:t>, 2016</w:t>
      </w:r>
      <w:r w:rsidR="005005CA">
        <w:rPr>
          <w:rFonts w:ascii="Arial" w:eastAsia="Times New Roman" w:hAnsi="Arial" w:cs="Arial"/>
          <w:color w:val="1596D9"/>
          <w:sz w:val="24"/>
          <w:szCs w:val="24"/>
          <w:u w:val="single"/>
          <w:bdr w:val="none" w:sz="0" w:space="0" w:color="auto" w:frame="1"/>
        </w:rPr>
        <w:fldChar w:fldCharType="end"/>
      </w:r>
      <w:r w:rsidRPr="00FA3F9C">
        <w:rPr>
          <w:rFonts w:ascii="Arial" w:eastAsia="Times New Roman" w:hAnsi="Arial" w:cs="Arial"/>
          <w:color w:val="000000"/>
          <w:sz w:val="24"/>
          <w:szCs w:val="24"/>
        </w:rPr>
        <w:t>); (</w:t>
      </w:r>
      <w:hyperlink r:id="rId139" w:history="1">
        <w:r w:rsidRPr="00FA3F9C">
          <w:rPr>
            <w:rFonts w:ascii="Arial" w:eastAsia="Times New Roman" w:hAnsi="Arial" w:cs="Arial"/>
            <w:color w:val="1596D9"/>
            <w:sz w:val="24"/>
            <w:szCs w:val="24"/>
            <w:u w:val="single"/>
            <w:bdr w:val="none" w:sz="0" w:space="0" w:color="auto" w:frame="1"/>
          </w:rPr>
          <w:t>Charlton, 2015</w:t>
        </w:r>
      </w:hyperlink>
      <w:r w:rsidRPr="00FA3F9C">
        <w:rPr>
          <w:rFonts w:ascii="Arial" w:eastAsia="Times New Roman" w:hAnsi="Arial" w:cs="Arial"/>
          <w:color w:val="000000"/>
          <w:sz w:val="24"/>
          <w:szCs w:val="24"/>
        </w:rPr>
        <w:t>); (</w:t>
      </w:r>
      <w:hyperlink r:id="rId140" w:history="1">
        <w:r w:rsidRPr="00FA3F9C">
          <w:rPr>
            <w:rFonts w:ascii="Arial" w:eastAsia="Times New Roman" w:hAnsi="Arial" w:cs="Arial"/>
            <w:color w:val="1596D9"/>
            <w:sz w:val="24"/>
            <w:szCs w:val="24"/>
            <w:u w:val="single"/>
            <w:bdr w:val="none" w:sz="0" w:space="0" w:color="auto" w:frame="1"/>
          </w:rPr>
          <w:t>Curry, 2015</w:t>
        </w:r>
      </w:hyperlink>
      <w:r w:rsidRPr="00FA3F9C">
        <w:rPr>
          <w:rFonts w:ascii="Arial" w:eastAsia="Times New Roman" w:hAnsi="Arial" w:cs="Arial"/>
          <w:color w:val="000000"/>
          <w:sz w:val="24"/>
          <w:szCs w:val="24"/>
        </w:rPr>
        <w:t>). Improvements, however, may be insufficient to avoid liver-related death or the need for liver transplantation (</w:t>
      </w:r>
      <w:hyperlink r:id="rId141" w:history="1">
        <w:r w:rsidRPr="00FA3F9C">
          <w:rPr>
            <w:rFonts w:ascii="Arial" w:eastAsia="Times New Roman" w:hAnsi="Arial" w:cs="Arial"/>
            <w:color w:val="1596D9"/>
            <w:sz w:val="24"/>
            <w:szCs w:val="24"/>
            <w:u w:val="single"/>
            <w:bdr w:val="none" w:sz="0" w:space="0" w:color="auto" w:frame="1"/>
          </w:rPr>
          <w:t>Belli, 2016</w:t>
        </w:r>
      </w:hyperlink>
      <w:r w:rsidRPr="00FA3F9C">
        <w:rPr>
          <w:rFonts w:ascii="Arial" w:eastAsia="Times New Roman" w:hAnsi="Arial" w:cs="Arial"/>
          <w:color w:val="000000"/>
          <w:sz w:val="24"/>
          <w:szCs w:val="24"/>
        </w:rPr>
        <w:t>), highlighting that not everyone benefits from DAA therapy (</w:t>
      </w:r>
      <w:hyperlink r:id="rId142" w:history="1">
        <w:r w:rsidRPr="00FA3F9C">
          <w:rPr>
            <w:rFonts w:ascii="Arial" w:eastAsia="Times New Roman" w:hAnsi="Arial" w:cs="Arial"/>
            <w:color w:val="1596D9"/>
            <w:sz w:val="24"/>
            <w:szCs w:val="24"/>
            <w:u w:val="single"/>
            <w:bdr w:val="none" w:sz="0" w:space="0" w:color="auto" w:frame="1"/>
          </w:rPr>
          <w:t>Fernandez-Carrillo, 2016</w:t>
        </w:r>
      </w:hyperlink>
      <w:r w:rsidRPr="00FA3F9C">
        <w:rPr>
          <w:rFonts w:ascii="Arial" w:eastAsia="Times New Roman" w:hAnsi="Arial" w:cs="Arial"/>
          <w:color w:val="000000"/>
          <w:sz w:val="24"/>
          <w:szCs w:val="24"/>
        </w:rPr>
        <w:t>). Most deaths among those receiving DAA therapy relate to the severity of underlying liver disease. Predictors of improvement or decline have not been clearly identified, although patients with a Model for End-Stage Liver Disease (MELD) score &gt;20 or severe portal hypertension complications may be less likely to improve and might be better served by transplantation than antiviral treatment (</w:t>
      </w:r>
      <w:hyperlink r:id="rId143" w:history="1">
        <w:r w:rsidRPr="00FA3F9C">
          <w:rPr>
            <w:rFonts w:ascii="Arial" w:eastAsia="Times New Roman" w:hAnsi="Arial" w:cs="Arial"/>
            <w:color w:val="1596D9"/>
            <w:sz w:val="24"/>
            <w:szCs w:val="24"/>
            <w:u w:val="single"/>
            <w:bdr w:val="none" w:sz="0" w:space="0" w:color="auto" w:frame="1"/>
          </w:rPr>
          <w:t>El-</w:t>
        </w:r>
        <w:proofErr w:type="spellStart"/>
        <w:r w:rsidRPr="00FA3F9C">
          <w:rPr>
            <w:rFonts w:ascii="Arial" w:eastAsia="Times New Roman" w:hAnsi="Arial" w:cs="Arial"/>
            <w:color w:val="1596D9"/>
            <w:sz w:val="24"/>
            <w:szCs w:val="24"/>
            <w:u w:val="single"/>
            <w:bdr w:val="none" w:sz="0" w:space="0" w:color="auto" w:frame="1"/>
          </w:rPr>
          <w:t>Sherif</w:t>
        </w:r>
        <w:proofErr w:type="spellEnd"/>
        <w:r w:rsidRPr="00FA3F9C">
          <w:rPr>
            <w:rFonts w:ascii="Arial" w:eastAsia="Times New Roman" w:hAnsi="Arial" w:cs="Arial"/>
            <w:color w:val="1596D9"/>
            <w:sz w:val="24"/>
            <w:szCs w:val="24"/>
            <w:u w:val="single"/>
            <w:bdr w:val="none" w:sz="0" w:space="0" w:color="auto" w:frame="1"/>
          </w:rPr>
          <w:t>, 2018</w:t>
        </w:r>
      </w:hyperlink>
      <w:r w:rsidRPr="00FA3F9C">
        <w:rPr>
          <w:rFonts w:ascii="Arial" w:eastAsia="Times New Roman" w:hAnsi="Arial" w:cs="Arial"/>
          <w:color w:val="000000"/>
          <w:sz w:val="24"/>
          <w:szCs w:val="24"/>
        </w:rPr>
        <w:t>); (</w:t>
      </w:r>
      <w:proofErr w:type="spellStart"/>
      <w:r w:rsidR="005005CA">
        <w:fldChar w:fldCharType="begin"/>
      </w:r>
      <w:r w:rsidR="005005CA">
        <w:instrText xml:space="preserve"> HYPERLINK "https://www.hcvguidelines.org/references/terrault-2017" </w:instrText>
      </w:r>
      <w:r w:rsidR="005005CA">
        <w:fldChar w:fldCharType="separate"/>
      </w:r>
      <w:r w:rsidRPr="00FA3F9C">
        <w:rPr>
          <w:rFonts w:ascii="Arial" w:eastAsia="Times New Roman" w:hAnsi="Arial" w:cs="Arial"/>
          <w:color w:val="1596D9"/>
          <w:sz w:val="24"/>
          <w:szCs w:val="24"/>
          <w:u w:val="single"/>
          <w:bdr w:val="none" w:sz="0" w:space="0" w:color="auto" w:frame="1"/>
        </w:rPr>
        <w:t>Terrault</w:t>
      </w:r>
      <w:proofErr w:type="spellEnd"/>
      <w:r w:rsidRPr="00FA3F9C">
        <w:rPr>
          <w:rFonts w:ascii="Arial" w:eastAsia="Times New Roman" w:hAnsi="Arial" w:cs="Arial"/>
          <w:color w:val="1596D9"/>
          <w:sz w:val="24"/>
          <w:szCs w:val="24"/>
          <w:u w:val="single"/>
          <w:bdr w:val="none" w:sz="0" w:space="0" w:color="auto" w:frame="1"/>
        </w:rPr>
        <w:t>, 2017</w:t>
      </w:r>
      <w:r w:rsidR="005005CA">
        <w:rPr>
          <w:rFonts w:ascii="Arial" w:eastAsia="Times New Roman" w:hAnsi="Arial" w:cs="Arial"/>
          <w:color w:val="1596D9"/>
          <w:sz w:val="24"/>
          <w:szCs w:val="24"/>
          <w:u w:val="single"/>
          <w:bdr w:val="none" w:sz="0" w:space="0" w:color="auto" w:frame="1"/>
        </w:rPr>
        <w:fldChar w:fldCharType="end"/>
      </w:r>
      <w:r w:rsidRPr="00FA3F9C">
        <w:rPr>
          <w:rFonts w:ascii="Arial" w:eastAsia="Times New Roman" w:hAnsi="Arial" w:cs="Arial"/>
          <w:color w:val="000000"/>
          <w:sz w:val="24"/>
          <w:szCs w:val="24"/>
        </w:rPr>
        <w:t>); (</w:t>
      </w:r>
      <w:hyperlink r:id="rId144" w:history="1">
        <w:r w:rsidRPr="00FA3F9C">
          <w:rPr>
            <w:rFonts w:ascii="Arial" w:eastAsia="Times New Roman" w:hAnsi="Arial" w:cs="Arial"/>
            <w:color w:val="1596D9"/>
            <w:sz w:val="24"/>
            <w:szCs w:val="24"/>
            <w:u w:val="single"/>
            <w:bdr w:val="none" w:sz="0" w:space="0" w:color="auto" w:frame="1"/>
          </w:rPr>
          <w:t>Belli, 2016</w:t>
        </w:r>
      </w:hyperlink>
      <w:r w:rsidRPr="00FA3F9C">
        <w:rPr>
          <w:rFonts w:ascii="Arial" w:eastAsia="Times New Roman" w:hAnsi="Arial" w:cs="Arial"/>
          <w:color w:val="000000"/>
          <w:sz w:val="24"/>
          <w:szCs w:val="24"/>
        </w:rPr>
        <w:t>).</w:t>
      </w:r>
    </w:p>
    <w:p w14:paraId="72B43892" w14:textId="77777777" w:rsidR="001506C1" w:rsidRPr="00FA3F9C" w:rsidRDefault="001506C1" w:rsidP="00EE1C0C">
      <w:pPr>
        <w:shd w:val="clear" w:color="auto" w:fill="FFFFFF"/>
        <w:textAlignment w:val="baseline"/>
        <w:rPr>
          <w:rFonts w:ascii="Arial" w:eastAsia="Times New Roman" w:hAnsi="Arial" w:cs="Arial"/>
          <w:color w:val="000000"/>
          <w:sz w:val="24"/>
          <w:szCs w:val="24"/>
        </w:rPr>
      </w:pPr>
      <w:r w:rsidRPr="00FA3F9C">
        <w:rPr>
          <w:rFonts w:ascii="Arial" w:eastAsia="Times New Roman" w:hAnsi="Arial" w:cs="Arial"/>
          <w:color w:val="000000"/>
          <w:sz w:val="24"/>
          <w:szCs w:val="24"/>
        </w:rPr>
        <w:t xml:space="preserve">Real-world data comparing DAA response rates demonstrate that patients with cirrhosis and hepatocellular carcinoma (HCC) have lower SVR rates than </w:t>
      </w:r>
      <w:proofErr w:type="spellStart"/>
      <w:r w:rsidRPr="00FA3F9C">
        <w:rPr>
          <w:rFonts w:ascii="Arial" w:eastAsia="Times New Roman" w:hAnsi="Arial" w:cs="Arial"/>
          <w:color w:val="000000"/>
          <w:sz w:val="24"/>
          <w:szCs w:val="24"/>
        </w:rPr>
        <w:t>cirrhotics</w:t>
      </w:r>
      <w:proofErr w:type="spellEnd"/>
      <w:r w:rsidRPr="00FA3F9C">
        <w:rPr>
          <w:rFonts w:ascii="Arial" w:eastAsia="Times New Roman" w:hAnsi="Arial" w:cs="Arial"/>
          <w:color w:val="000000"/>
          <w:sz w:val="24"/>
          <w:szCs w:val="24"/>
        </w:rPr>
        <w:t xml:space="preserve"> without HCC (</w:t>
      </w:r>
      <w:proofErr w:type="spellStart"/>
      <w:r w:rsidR="005005CA">
        <w:fldChar w:fldCharType="begin"/>
      </w:r>
      <w:r w:rsidR="005005CA">
        <w:instrText xml:space="preserve"> HYPERLINK "https://www.hcvguidelines.org/references/beste-2017" </w:instrText>
      </w:r>
      <w:r w:rsidR="005005CA">
        <w:fldChar w:fldCharType="separate"/>
      </w:r>
      <w:r w:rsidRPr="00FA3F9C">
        <w:rPr>
          <w:rFonts w:ascii="Arial" w:eastAsia="Times New Roman" w:hAnsi="Arial" w:cs="Arial"/>
          <w:color w:val="1596D9"/>
          <w:sz w:val="24"/>
          <w:szCs w:val="24"/>
          <w:u w:val="single"/>
          <w:bdr w:val="none" w:sz="0" w:space="0" w:color="auto" w:frame="1"/>
        </w:rPr>
        <w:t>Beste</w:t>
      </w:r>
      <w:proofErr w:type="spellEnd"/>
      <w:r w:rsidRPr="00FA3F9C">
        <w:rPr>
          <w:rFonts w:ascii="Arial" w:eastAsia="Times New Roman" w:hAnsi="Arial" w:cs="Arial"/>
          <w:color w:val="1596D9"/>
          <w:sz w:val="24"/>
          <w:szCs w:val="24"/>
          <w:u w:val="single"/>
          <w:bdr w:val="none" w:sz="0" w:space="0" w:color="auto" w:frame="1"/>
        </w:rPr>
        <w:t>, 2017</w:t>
      </w:r>
      <w:r w:rsidR="005005CA">
        <w:rPr>
          <w:rFonts w:ascii="Arial" w:eastAsia="Times New Roman" w:hAnsi="Arial" w:cs="Arial"/>
          <w:color w:val="1596D9"/>
          <w:sz w:val="24"/>
          <w:szCs w:val="24"/>
          <w:u w:val="single"/>
          <w:bdr w:val="none" w:sz="0" w:space="0" w:color="auto" w:frame="1"/>
        </w:rPr>
        <w:fldChar w:fldCharType="end"/>
      </w:r>
      <w:r w:rsidRPr="00FA3F9C">
        <w:rPr>
          <w:rFonts w:ascii="Arial" w:eastAsia="Times New Roman" w:hAnsi="Arial" w:cs="Arial"/>
          <w:color w:val="000000"/>
          <w:sz w:val="24"/>
          <w:szCs w:val="24"/>
        </w:rPr>
        <w:t>); (</w:t>
      </w:r>
      <w:proofErr w:type="spellStart"/>
      <w:r w:rsidR="005005CA">
        <w:fldChar w:fldCharType="begin"/>
      </w:r>
      <w:r w:rsidR="005005CA">
        <w:instrText xml:space="preserve"> HYPERLINK "https://www.hcvguidelines.org/references/prenner-2017" </w:instrText>
      </w:r>
      <w:r w:rsidR="005005CA">
        <w:fldChar w:fldCharType="separate"/>
      </w:r>
      <w:r w:rsidRPr="00FA3F9C">
        <w:rPr>
          <w:rFonts w:ascii="Arial" w:eastAsia="Times New Roman" w:hAnsi="Arial" w:cs="Arial"/>
          <w:color w:val="1596D9"/>
          <w:sz w:val="24"/>
          <w:szCs w:val="24"/>
          <w:u w:val="single"/>
          <w:bdr w:val="none" w:sz="0" w:space="0" w:color="auto" w:frame="1"/>
        </w:rPr>
        <w:t>Prenner</w:t>
      </w:r>
      <w:proofErr w:type="spellEnd"/>
      <w:r w:rsidRPr="00FA3F9C">
        <w:rPr>
          <w:rFonts w:ascii="Arial" w:eastAsia="Times New Roman" w:hAnsi="Arial" w:cs="Arial"/>
          <w:color w:val="1596D9"/>
          <w:sz w:val="24"/>
          <w:szCs w:val="24"/>
          <w:u w:val="single"/>
          <w:bdr w:val="none" w:sz="0" w:space="0" w:color="auto" w:frame="1"/>
        </w:rPr>
        <w:t>, 2017</w:t>
      </w:r>
      <w:r w:rsidR="005005CA">
        <w:rPr>
          <w:rFonts w:ascii="Arial" w:eastAsia="Times New Roman" w:hAnsi="Arial" w:cs="Arial"/>
          <w:color w:val="1596D9"/>
          <w:sz w:val="24"/>
          <w:szCs w:val="24"/>
          <w:u w:val="single"/>
          <w:bdr w:val="none" w:sz="0" w:space="0" w:color="auto" w:frame="1"/>
        </w:rPr>
        <w:fldChar w:fldCharType="end"/>
      </w:r>
      <w:r w:rsidRPr="00FA3F9C">
        <w:rPr>
          <w:rFonts w:ascii="Arial" w:eastAsia="Times New Roman" w:hAnsi="Arial" w:cs="Arial"/>
          <w:color w:val="000000"/>
          <w:sz w:val="24"/>
          <w:szCs w:val="24"/>
        </w:rPr>
        <w:t xml:space="preserve">). In a large VA study including sofosbuvir, ledipasvir/sofosbuvir, and </w:t>
      </w:r>
      <w:proofErr w:type="spellStart"/>
      <w:r w:rsidRPr="00FA3F9C">
        <w:rPr>
          <w:rFonts w:ascii="Arial" w:eastAsia="Times New Roman" w:hAnsi="Arial" w:cs="Arial"/>
          <w:color w:val="000000"/>
          <w:sz w:val="24"/>
          <w:szCs w:val="24"/>
        </w:rPr>
        <w:t>paritaprevir</w:t>
      </w:r>
      <w:proofErr w:type="spellEnd"/>
      <w:r w:rsidRPr="00FA3F9C">
        <w:rPr>
          <w:rFonts w:ascii="Arial" w:eastAsia="Times New Roman" w:hAnsi="Arial" w:cs="Arial"/>
          <w:color w:val="000000"/>
          <w:sz w:val="24"/>
          <w:szCs w:val="24"/>
        </w:rPr>
        <w:t>/ritonavir/</w:t>
      </w:r>
      <w:proofErr w:type="spellStart"/>
      <w:r w:rsidRPr="00FA3F9C">
        <w:rPr>
          <w:rFonts w:ascii="Arial" w:eastAsia="Times New Roman" w:hAnsi="Arial" w:cs="Arial"/>
          <w:color w:val="000000"/>
          <w:sz w:val="24"/>
          <w:szCs w:val="24"/>
        </w:rPr>
        <w:t>ombitasvir</w:t>
      </w:r>
      <w:proofErr w:type="spellEnd"/>
      <w:r w:rsidRPr="00FA3F9C">
        <w:rPr>
          <w:rFonts w:ascii="Arial" w:eastAsia="Times New Roman" w:hAnsi="Arial" w:cs="Arial"/>
          <w:color w:val="000000"/>
          <w:sz w:val="24"/>
          <w:szCs w:val="24"/>
        </w:rPr>
        <w:t xml:space="preserve"> plus dasabuvir regimens (± ribavirin), overall SVR rates were 91% in patients without HCC versus 74% in those with HCC (</w:t>
      </w:r>
      <w:proofErr w:type="spellStart"/>
      <w:r w:rsidR="005005CA">
        <w:fldChar w:fldCharType="begin"/>
      </w:r>
      <w:r w:rsidR="005005CA">
        <w:instrText xml:space="preserve"> HYPERLINK "https://www.hcvguidelines.org/references/beste-2017" </w:instrText>
      </w:r>
      <w:r w:rsidR="005005CA">
        <w:fldChar w:fldCharType="separate"/>
      </w:r>
      <w:r w:rsidRPr="00FA3F9C">
        <w:rPr>
          <w:rFonts w:ascii="Arial" w:eastAsia="Times New Roman" w:hAnsi="Arial" w:cs="Arial"/>
          <w:color w:val="1596D9"/>
          <w:sz w:val="24"/>
          <w:szCs w:val="24"/>
          <w:u w:val="single"/>
          <w:bdr w:val="none" w:sz="0" w:space="0" w:color="auto" w:frame="1"/>
        </w:rPr>
        <w:t>Beste</w:t>
      </w:r>
      <w:proofErr w:type="spellEnd"/>
      <w:r w:rsidRPr="00FA3F9C">
        <w:rPr>
          <w:rFonts w:ascii="Arial" w:eastAsia="Times New Roman" w:hAnsi="Arial" w:cs="Arial"/>
          <w:color w:val="1596D9"/>
          <w:sz w:val="24"/>
          <w:szCs w:val="24"/>
          <w:u w:val="single"/>
          <w:bdr w:val="none" w:sz="0" w:space="0" w:color="auto" w:frame="1"/>
        </w:rPr>
        <w:t>, 2017</w:t>
      </w:r>
      <w:r w:rsidR="005005CA">
        <w:rPr>
          <w:rFonts w:ascii="Arial" w:eastAsia="Times New Roman" w:hAnsi="Arial" w:cs="Arial"/>
          <w:color w:val="1596D9"/>
          <w:sz w:val="24"/>
          <w:szCs w:val="24"/>
          <w:u w:val="single"/>
          <w:bdr w:val="none" w:sz="0" w:space="0" w:color="auto" w:frame="1"/>
        </w:rPr>
        <w:fldChar w:fldCharType="end"/>
      </w:r>
      <w:r w:rsidRPr="00FA3F9C">
        <w:rPr>
          <w:rFonts w:ascii="Arial" w:eastAsia="Times New Roman" w:hAnsi="Arial" w:cs="Arial"/>
          <w:color w:val="000000"/>
          <w:sz w:val="24"/>
          <w:szCs w:val="24"/>
        </w:rPr>
        <w:t>). After adjusting for confounders, the presence of HCC was associated with a lower likelihood of SVR (AOR=0.38). Whether this lower SVR can be overcome with an extended duration of therapy is unknown.</w:t>
      </w:r>
    </w:p>
    <w:p w14:paraId="06EB3952" w14:textId="77777777" w:rsidR="001506C1" w:rsidRPr="00FA3F9C" w:rsidRDefault="001506C1" w:rsidP="00F343D6">
      <w:pPr>
        <w:shd w:val="clear" w:color="auto" w:fill="FFFFFF"/>
        <w:textAlignment w:val="baseline"/>
        <w:rPr>
          <w:rFonts w:ascii="Arial" w:eastAsia="Times New Roman" w:hAnsi="Arial" w:cs="Arial"/>
          <w:color w:val="000000"/>
          <w:sz w:val="24"/>
          <w:szCs w:val="24"/>
        </w:rPr>
      </w:pPr>
      <w:r w:rsidRPr="00FA3F9C">
        <w:rPr>
          <w:rFonts w:ascii="Arial" w:eastAsia="Times New Roman" w:hAnsi="Arial" w:cs="Arial"/>
          <w:color w:val="000000"/>
          <w:sz w:val="24"/>
          <w:szCs w:val="24"/>
        </w:rPr>
        <w:t xml:space="preserve">In a more recent large, multicenter, real-world cohort of 642 patients with advanced cirrhosis (defined as cirrhosis and MELD score ≥10) treated with a variety of DAA regimens, the overall SVR12 rate was 90.5%. Age &lt;60, male sex, ascites, albumin level &lt;3.5 mg/dl, hepatocellular carcinoma, proton-pump inhibitor use, MELD score &lt;16 and CTP class B/C were significantly associated with decreased odds of SVR12. In long-term follow up, at a median of 4 years after the end of treatment, </w:t>
      </w:r>
      <w:r w:rsidRPr="00FA3F9C">
        <w:rPr>
          <w:rFonts w:ascii="Arial" w:eastAsia="Times New Roman" w:hAnsi="Arial" w:cs="Arial"/>
          <w:color w:val="000000"/>
          <w:sz w:val="24"/>
          <w:szCs w:val="24"/>
          <w:highlight w:val="yellow"/>
        </w:rPr>
        <w:t>a clinically meaningful decrease in MELD score of ≥3 occurred in 29% and a final MELD score of &lt;10 was achieved in 25%.</w:t>
      </w:r>
      <w:r w:rsidRPr="00FA3F9C">
        <w:rPr>
          <w:rFonts w:ascii="Arial" w:eastAsia="Times New Roman" w:hAnsi="Arial" w:cs="Arial"/>
          <w:color w:val="000000"/>
          <w:sz w:val="24"/>
          <w:szCs w:val="24"/>
        </w:rPr>
        <w:t xml:space="preserve"> These data highlight that a proportion of patients with advanced cirrhosis who receive DAA therapy may not achieve significant long-term improvement in liver function (</w:t>
      </w:r>
      <w:hyperlink r:id="rId145" w:history="1">
        <w:r w:rsidRPr="00FA3F9C">
          <w:rPr>
            <w:rFonts w:ascii="Arial" w:eastAsia="Times New Roman" w:hAnsi="Arial" w:cs="Arial"/>
            <w:color w:val="1596D9"/>
            <w:sz w:val="24"/>
            <w:szCs w:val="24"/>
            <w:u w:val="single"/>
            <w:bdr w:val="none" w:sz="0" w:space="0" w:color="auto" w:frame="1"/>
          </w:rPr>
          <w:t>Verna, 2020</w:t>
        </w:r>
      </w:hyperlink>
      <w:r w:rsidRPr="00FA3F9C">
        <w:rPr>
          <w:rFonts w:ascii="Arial" w:eastAsia="Times New Roman" w:hAnsi="Arial" w:cs="Arial"/>
          <w:color w:val="000000"/>
          <w:sz w:val="24"/>
          <w:szCs w:val="24"/>
        </w:rPr>
        <w:t>).</w:t>
      </w:r>
    </w:p>
    <w:p w14:paraId="785AA3B7" w14:textId="77777777" w:rsidR="001506C1" w:rsidRPr="00FA3F9C" w:rsidRDefault="001506C1" w:rsidP="0015446A">
      <w:pPr>
        <w:jc w:val="right"/>
        <w:rPr>
          <w:rFonts w:ascii="Arial" w:hAnsi="Arial" w:cs="Arial"/>
          <w:sz w:val="24"/>
          <w:szCs w:val="24"/>
        </w:rPr>
      </w:pPr>
    </w:p>
    <w:p w14:paraId="0E120BC5" w14:textId="77777777" w:rsidR="002F3083" w:rsidRDefault="001506C1" w:rsidP="002F3083">
      <w:pPr>
        <w:pStyle w:val="Heading2"/>
      </w:pPr>
      <w:bookmarkStart w:id="82" w:name="_Toc106369777"/>
      <w:r w:rsidRPr="00FA3F9C">
        <w:t>Eculizumab (Soliris)</w:t>
      </w:r>
      <w:bookmarkEnd w:id="82"/>
    </w:p>
    <w:p w14:paraId="48478A35" w14:textId="43C23FB0" w:rsidR="001506C1" w:rsidRPr="00FA3F9C" w:rsidRDefault="001506C1" w:rsidP="002A23A6">
      <w:pPr>
        <w:jc w:val="center"/>
        <w:rPr>
          <w:rFonts w:ascii="Arial" w:hAnsi="Arial" w:cs="Arial"/>
          <w:b/>
          <w:sz w:val="24"/>
          <w:szCs w:val="24"/>
        </w:rPr>
      </w:pPr>
      <w:r w:rsidRPr="00FA3F9C">
        <w:rPr>
          <w:rFonts w:ascii="Arial" w:hAnsi="Arial" w:cs="Arial"/>
          <w:b/>
          <w:sz w:val="24"/>
          <w:szCs w:val="24"/>
        </w:rPr>
        <w:t xml:space="preserve"> injection [MEDICAL BENEFIT ONLY]</w:t>
      </w:r>
    </w:p>
    <w:p w14:paraId="7B8DEE4A" w14:textId="77777777" w:rsidR="001506C1" w:rsidRPr="00FA3F9C" w:rsidRDefault="001506C1" w:rsidP="002A23A6">
      <w:pPr>
        <w:jc w:val="center"/>
        <w:rPr>
          <w:rFonts w:ascii="Arial" w:hAnsi="Arial" w:cs="Arial"/>
          <w:b/>
          <w:sz w:val="24"/>
          <w:szCs w:val="24"/>
        </w:rPr>
      </w:pPr>
      <w:r w:rsidRPr="00FA3F9C">
        <w:rPr>
          <w:rFonts w:ascii="Arial" w:hAnsi="Arial" w:cs="Arial"/>
          <w:b/>
          <w:sz w:val="24"/>
          <w:szCs w:val="24"/>
        </w:rPr>
        <w:lastRenderedPageBreak/>
        <w:t>300mg/30mL for intravenous use</w:t>
      </w:r>
    </w:p>
    <w:p w14:paraId="0EFB8153" w14:textId="77777777" w:rsidR="001506C1" w:rsidRPr="00FA3F9C" w:rsidRDefault="001506C1" w:rsidP="002A23A6">
      <w:pPr>
        <w:jc w:val="center"/>
        <w:rPr>
          <w:rFonts w:ascii="Arial" w:hAnsi="Arial" w:cs="Arial"/>
          <w:b/>
          <w:sz w:val="24"/>
          <w:szCs w:val="24"/>
        </w:rPr>
      </w:pPr>
      <w:r w:rsidRPr="00FA3F9C">
        <w:rPr>
          <w:rFonts w:ascii="Arial" w:hAnsi="Arial" w:cs="Arial"/>
          <w:b/>
          <w:sz w:val="24"/>
          <w:szCs w:val="24"/>
        </w:rPr>
        <w:t>EBRx PA Criteria</w:t>
      </w:r>
    </w:p>
    <w:p w14:paraId="619D0B1E" w14:textId="77777777" w:rsidR="001506C1" w:rsidRPr="00FA3F9C" w:rsidRDefault="001506C1" w:rsidP="0015446A">
      <w:pPr>
        <w:rPr>
          <w:rFonts w:ascii="Arial" w:hAnsi="Arial" w:cs="Arial"/>
          <w:sz w:val="24"/>
          <w:szCs w:val="24"/>
        </w:rPr>
      </w:pPr>
    </w:p>
    <w:p w14:paraId="60C0600E" w14:textId="77777777" w:rsidR="001506C1" w:rsidRPr="00FA3F9C" w:rsidRDefault="001506C1" w:rsidP="0015446A">
      <w:pPr>
        <w:rPr>
          <w:rFonts w:ascii="Arial" w:hAnsi="Arial" w:cs="Arial"/>
          <w:sz w:val="24"/>
          <w:szCs w:val="24"/>
        </w:rPr>
      </w:pPr>
      <w:r w:rsidRPr="00FA3F9C">
        <w:rPr>
          <w:rFonts w:ascii="Arial" w:hAnsi="Arial" w:cs="Arial"/>
          <w:sz w:val="24"/>
          <w:szCs w:val="24"/>
        </w:rPr>
        <w:t>Please go to the table with the black headline that is relevant to your patient’s diagnosis.</w:t>
      </w:r>
    </w:p>
    <w:p w14:paraId="4F31D0FA" w14:textId="77777777" w:rsidR="001506C1" w:rsidRPr="00FA3F9C" w:rsidRDefault="001506C1" w:rsidP="007B62B9">
      <w:pPr>
        <w:pStyle w:val="ListParagraph"/>
        <w:ind w:left="0"/>
        <w:rPr>
          <w:rFonts w:ascii="Arial" w:eastAsia="Times New Roman" w:hAnsi="Arial" w:cs="Arial"/>
          <w:sz w:val="24"/>
          <w:szCs w:val="24"/>
        </w:rPr>
      </w:pPr>
      <w:r w:rsidRPr="00FA3F9C">
        <w:rPr>
          <w:rFonts w:ascii="Arial" w:hAnsi="Arial" w:cs="Arial"/>
          <w:sz w:val="24"/>
          <w:szCs w:val="24"/>
          <w:highlight w:val="yellow"/>
        </w:rPr>
        <w:t>NMOSD not a covered use.</w:t>
      </w:r>
      <w:r w:rsidRPr="00FA3F9C">
        <w:rPr>
          <w:rFonts w:ascii="Arial" w:hAnsi="Arial" w:cs="Arial"/>
          <w:sz w:val="24"/>
          <w:szCs w:val="24"/>
        </w:rPr>
        <w:t xml:space="preserve">  NOTE:  Because a network meta-analysis showed neither rituximab nor </w:t>
      </w:r>
      <w:proofErr w:type="spellStart"/>
      <w:r w:rsidRPr="00FA3F9C">
        <w:rPr>
          <w:rFonts w:ascii="Arial" w:hAnsi="Arial" w:cs="Arial"/>
          <w:sz w:val="24"/>
          <w:szCs w:val="24"/>
        </w:rPr>
        <w:t>satralizumab</w:t>
      </w:r>
      <w:proofErr w:type="spellEnd"/>
      <w:r w:rsidRPr="00FA3F9C">
        <w:rPr>
          <w:rFonts w:ascii="Arial" w:hAnsi="Arial" w:cs="Arial"/>
          <w:sz w:val="24"/>
          <w:szCs w:val="24"/>
        </w:rPr>
        <w:t xml:space="preserve"> was different from eculizumab and is much less costly, eculizumab is no longer covered by </w:t>
      </w:r>
      <w:proofErr w:type="spellStart"/>
      <w:r w:rsidRPr="00FA3F9C">
        <w:rPr>
          <w:rFonts w:ascii="Arial" w:hAnsi="Arial" w:cs="Arial"/>
          <w:sz w:val="24"/>
          <w:szCs w:val="24"/>
        </w:rPr>
        <w:t>EBRx’s</w:t>
      </w:r>
      <w:proofErr w:type="spellEnd"/>
      <w:r w:rsidRPr="00FA3F9C">
        <w:rPr>
          <w:rFonts w:ascii="Arial" w:hAnsi="Arial" w:cs="Arial"/>
          <w:sz w:val="24"/>
          <w:szCs w:val="24"/>
        </w:rPr>
        <w:t xml:space="preserve"> plans for neuromyelitis </w:t>
      </w:r>
      <w:proofErr w:type="spellStart"/>
      <w:r w:rsidRPr="00FA3F9C">
        <w:rPr>
          <w:rFonts w:ascii="Arial" w:hAnsi="Arial" w:cs="Arial"/>
          <w:sz w:val="24"/>
          <w:szCs w:val="24"/>
        </w:rPr>
        <w:t>optica</w:t>
      </w:r>
      <w:proofErr w:type="spellEnd"/>
      <w:r w:rsidRPr="00FA3F9C">
        <w:rPr>
          <w:rFonts w:ascii="Arial" w:hAnsi="Arial" w:cs="Arial"/>
          <w:sz w:val="24"/>
          <w:szCs w:val="24"/>
        </w:rPr>
        <w:t xml:space="preserve"> spectrum disorder (NMOSD).</w:t>
      </w:r>
      <w:r w:rsidRPr="00FA3F9C">
        <w:rPr>
          <w:rFonts w:ascii="Arial" w:hAnsi="Arial" w:cs="Arial"/>
          <w:color w:val="222222"/>
          <w:sz w:val="24"/>
          <w:szCs w:val="24"/>
          <w:shd w:val="clear" w:color="auto" w:fill="F8F8F8"/>
        </w:rPr>
        <w:t xml:space="preserve"> </w:t>
      </w:r>
      <w:proofErr w:type="spellStart"/>
      <w:r w:rsidRPr="00FA3F9C">
        <w:rPr>
          <w:rFonts w:ascii="Arial" w:eastAsia="Times New Roman" w:hAnsi="Arial" w:cs="Arial"/>
          <w:color w:val="222222"/>
          <w:sz w:val="24"/>
          <w:szCs w:val="24"/>
          <w:shd w:val="clear" w:color="auto" w:fill="F8F8F8"/>
        </w:rPr>
        <w:t>Xue</w:t>
      </w:r>
      <w:proofErr w:type="spellEnd"/>
      <w:r w:rsidRPr="00FA3F9C">
        <w:rPr>
          <w:rFonts w:ascii="Arial" w:eastAsia="Times New Roman" w:hAnsi="Arial" w:cs="Arial"/>
          <w:color w:val="222222"/>
          <w:sz w:val="24"/>
          <w:szCs w:val="24"/>
          <w:shd w:val="clear" w:color="auto" w:fill="F8F8F8"/>
        </w:rPr>
        <w:t>, Tao, et al. "Efficacy and Safety of Monoclonal Antibody Therapy in Neuromyelitis Optica Spectrum Disorders: Evidence from Randomized Controlled Trials." </w:t>
      </w:r>
      <w:r w:rsidRPr="00FA3F9C">
        <w:rPr>
          <w:rFonts w:ascii="Arial" w:eastAsia="Times New Roman" w:hAnsi="Arial" w:cs="Arial"/>
          <w:i/>
          <w:iCs/>
          <w:color w:val="222222"/>
          <w:sz w:val="24"/>
          <w:szCs w:val="24"/>
          <w:shd w:val="clear" w:color="auto" w:fill="F8F8F8"/>
        </w:rPr>
        <w:t>Multiple Sclerosis and Related Disorders</w:t>
      </w:r>
      <w:r w:rsidRPr="00FA3F9C">
        <w:rPr>
          <w:rFonts w:ascii="Arial" w:eastAsia="Times New Roman" w:hAnsi="Arial" w:cs="Arial"/>
          <w:color w:val="222222"/>
          <w:sz w:val="24"/>
          <w:szCs w:val="24"/>
          <w:shd w:val="clear" w:color="auto" w:fill="F8F8F8"/>
        </w:rPr>
        <w:t> (August 2020): 102166.</w:t>
      </w:r>
    </w:p>
    <w:p w14:paraId="452AE322" w14:textId="77777777" w:rsidR="001506C1" w:rsidRPr="00FA3F9C" w:rsidRDefault="001506C1" w:rsidP="0015446A">
      <w:pPr>
        <w:rPr>
          <w:rFonts w:ascii="Arial" w:hAnsi="Arial" w:cs="Arial"/>
          <w:sz w:val="24"/>
          <w:szCs w:val="24"/>
        </w:rPr>
      </w:pPr>
    </w:p>
    <w:p w14:paraId="195860CD" w14:textId="77777777" w:rsidR="001506C1" w:rsidRPr="00FA3F9C" w:rsidRDefault="001506C1" w:rsidP="0015446A">
      <w:pPr>
        <w:rPr>
          <w:rFonts w:ascii="Arial" w:hAnsi="Arial" w:cs="Arial"/>
          <w:sz w:val="24"/>
          <w:szCs w:val="24"/>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1506C1" w:rsidRPr="00FA3F9C" w14:paraId="33A8FD98" w14:textId="77777777" w:rsidTr="002D096B">
        <w:tc>
          <w:tcPr>
            <w:tcW w:w="10368" w:type="dxa"/>
            <w:tcBorders>
              <w:bottom w:val="single" w:sz="4" w:space="0" w:color="auto"/>
            </w:tcBorders>
            <w:shd w:val="clear" w:color="auto" w:fill="000000"/>
          </w:tcPr>
          <w:p w14:paraId="6E865CF4" w14:textId="77777777" w:rsidR="001506C1" w:rsidRPr="00FA3F9C" w:rsidRDefault="001506C1" w:rsidP="0015446A">
            <w:pPr>
              <w:rPr>
                <w:rFonts w:ascii="Arial" w:hAnsi="Arial" w:cs="Arial"/>
                <w:sz w:val="24"/>
                <w:szCs w:val="24"/>
              </w:rPr>
            </w:pPr>
            <w:r w:rsidRPr="00FA3F9C">
              <w:rPr>
                <w:rFonts w:ascii="Arial" w:hAnsi="Arial" w:cs="Arial"/>
                <w:sz w:val="24"/>
                <w:szCs w:val="24"/>
              </w:rPr>
              <w:t>Paroxysmal Nocturnal Hemoglobinuria (PNH)</w:t>
            </w:r>
          </w:p>
        </w:tc>
      </w:tr>
      <w:tr w:rsidR="001506C1" w:rsidRPr="00FA3F9C" w14:paraId="54198D3E" w14:textId="77777777" w:rsidTr="00214D79">
        <w:tc>
          <w:tcPr>
            <w:tcW w:w="10368" w:type="dxa"/>
            <w:tcBorders>
              <w:bottom w:val="single" w:sz="4" w:space="0" w:color="auto"/>
            </w:tcBorders>
            <w:shd w:val="clear" w:color="auto" w:fill="D9D9D9"/>
          </w:tcPr>
          <w:p w14:paraId="75157AEB" w14:textId="77777777" w:rsidR="001506C1" w:rsidRPr="00FA3F9C" w:rsidRDefault="001506C1" w:rsidP="0015446A">
            <w:pPr>
              <w:rPr>
                <w:rFonts w:ascii="Arial" w:hAnsi="Arial" w:cs="Arial"/>
                <w:sz w:val="24"/>
                <w:szCs w:val="24"/>
                <w:u w:val="single"/>
              </w:rPr>
            </w:pPr>
            <w:r w:rsidRPr="00FA3F9C">
              <w:rPr>
                <w:rFonts w:ascii="Arial" w:hAnsi="Arial" w:cs="Arial"/>
                <w:sz w:val="24"/>
                <w:szCs w:val="24"/>
              </w:rPr>
              <w:t xml:space="preserve">Although FDA-approved for this indication, </w:t>
            </w:r>
            <w:proofErr w:type="spellStart"/>
            <w:r w:rsidRPr="00FA3F9C">
              <w:rPr>
                <w:rFonts w:ascii="Arial" w:hAnsi="Arial" w:cs="Arial"/>
                <w:sz w:val="24"/>
                <w:szCs w:val="24"/>
              </w:rPr>
              <w:t>ravulizumab</w:t>
            </w:r>
            <w:proofErr w:type="spellEnd"/>
            <w:r w:rsidRPr="00FA3F9C">
              <w:rPr>
                <w:rFonts w:ascii="Arial" w:hAnsi="Arial" w:cs="Arial"/>
                <w:sz w:val="24"/>
                <w:szCs w:val="24"/>
              </w:rPr>
              <w:t xml:space="preserve"> is </w:t>
            </w:r>
            <w:proofErr w:type="spellStart"/>
            <w:r w:rsidRPr="00FA3F9C">
              <w:rPr>
                <w:rFonts w:ascii="Arial" w:hAnsi="Arial" w:cs="Arial"/>
                <w:sz w:val="24"/>
                <w:szCs w:val="24"/>
              </w:rPr>
              <w:t>EBRx’s</w:t>
            </w:r>
            <w:proofErr w:type="spellEnd"/>
            <w:r w:rsidRPr="00FA3F9C">
              <w:rPr>
                <w:rFonts w:ascii="Arial" w:hAnsi="Arial" w:cs="Arial"/>
                <w:sz w:val="24"/>
                <w:szCs w:val="24"/>
              </w:rPr>
              <w:t xml:space="preserve"> preferred drug.  Please see the PA for </w:t>
            </w:r>
            <w:proofErr w:type="spellStart"/>
            <w:r w:rsidRPr="00FA3F9C">
              <w:rPr>
                <w:rFonts w:ascii="Arial" w:hAnsi="Arial" w:cs="Arial"/>
                <w:sz w:val="24"/>
                <w:szCs w:val="24"/>
              </w:rPr>
              <w:t>Ultomiris</w:t>
            </w:r>
            <w:proofErr w:type="spellEnd"/>
            <w:r w:rsidRPr="00FA3F9C">
              <w:rPr>
                <w:rFonts w:ascii="Arial" w:hAnsi="Arial" w:cs="Arial"/>
                <w:sz w:val="24"/>
                <w:szCs w:val="24"/>
              </w:rPr>
              <w:t>.</w:t>
            </w:r>
          </w:p>
        </w:tc>
      </w:tr>
    </w:tbl>
    <w:p w14:paraId="734C77BC" w14:textId="77777777" w:rsidR="001506C1" w:rsidRPr="00FA3F9C" w:rsidRDefault="001506C1" w:rsidP="002A23A6">
      <w:pPr>
        <w:rPr>
          <w:rFonts w:ascii="Arial" w:hAnsi="Arial" w:cs="Arial"/>
          <w:sz w:val="24"/>
          <w:szCs w:val="24"/>
        </w:rPr>
      </w:pPr>
      <w:r w:rsidRPr="00FA3F9C">
        <w:rPr>
          <w:rFonts w:ascii="Arial" w:hAnsi="Arial" w:cs="Arial"/>
          <w:sz w:val="24"/>
          <w:szCs w:val="24"/>
        </w:rPr>
        <w:t xml:space="preserve">Note: Both eculizumab and </w:t>
      </w:r>
      <w:proofErr w:type="spellStart"/>
      <w:r w:rsidRPr="00FA3F9C">
        <w:rPr>
          <w:rFonts w:ascii="Arial" w:hAnsi="Arial" w:cs="Arial"/>
          <w:sz w:val="24"/>
          <w:szCs w:val="24"/>
        </w:rPr>
        <w:t>ravulizumab</w:t>
      </w:r>
      <w:proofErr w:type="spellEnd"/>
      <w:r w:rsidRPr="00FA3F9C">
        <w:rPr>
          <w:rFonts w:ascii="Arial" w:hAnsi="Arial" w:cs="Arial"/>
          <w:sz w:val="24"/>
          <w:szCs w:val="24"/>
        </w:rPr>
        <w:t xml:space="preserve"> increase the risk for Neisseria meningitidis meningitis.  Vaccines are recommended before either of these drugs.</w:t>
      </w:r>
    </w:p>
    <w:p w14:paraId="579A5CEF" w14:textId="77777777" w:rsidR="001506C1" w:rsidRPr="00FA3F9C" w:rsidRDefault="001506C1" w:rsidP="002A23A6">
      <w:pPr>
        <w:rPr>
          <w:rFonts w:ascii="Arial" w:hAnsi="Arial" w:cs="Arial"/>
          <w:sz w:val="24"/>
          <w:szCs w:val="24"/>
        </w:rPr>
      </w:pPr>
      <w:r w:rsidRPr="00FA3F9C">
        <w:rPr>
          <w:rFonts w:ascii="Arial" w:hAnsi="Arial" w:cs="Arial"/>
          <w:sz w:val="24"/>
          <w:szCs w:val="24"/>
        </w:rPr>
        <w:t>References:</w:t>
      </w:r>
    </w:p>
    <w:p w14:paraId="57EC1D8E" w14:textId="77777777" w:rsidR="001506C1" w:rsidRPr="00FA3F9C" w:rsidRDefault="001506C1" w:rsidP="002A23A6">
      <w:pPr>
        <w:rPr>
          <w:rFonts w:ascii="Arial" w:hAnsi="Arial" w:cs="Arial"/>
          <w:sz w:val="24"/>
          <w:szCs w:val="24"/>
        </w:rPr>
      </w:pPr>
      <w:r w:rsidRPr="00FA3F9C">
        <w:rPr>
          <w:rFonts w:ascii="Arial" w:hAnsi="Arial" w:cs="Arial"/>
          <w:sz w:val="24"/>
          <w:szCs w:val="24"/>
        </w:rPr>
        <w:t>1.  Greenbaum, Larry A., et al. "Eculizumab is a safe and effective treatment in pediatric patients with atypical hemolytic uremic syndrome." Kidney international 89.3 (2016): 701-711.</w:t>
      </w:r>
    </w:p>
    <w:p w14:paraId="1836BD89" w14:textId="77777777" w:rsidR="001506C1" w:rsidRPr="00FA3F9C" w:rsidRDefault="001506C1" w:rsidP="002D096B">
      <w:pPr>
        <w:rPr>
          <w:rFonts w:ascii="Arial" w:hAnsi="Arial" w:cs="Arial"/>
          <w:sz w:val="24"/>
          <w:szCs w:val="24"/>
        </w:rPr>
      </w:pPr>
      <w:r w:rsidRPr="00FA3F9C">
        <w:rPr>
          <w:rFonts w:ascii="Arial" w:hAnsi="Arial" w:cs="Arial"/>
          <w:sz w:val="24"/>
          <w:szCs w:val="24"/>
        </w:rPr>
        <w:t xml:space="preserve">2.  </w:t>
      </w:r>
      <w:r w:rsidRPr="00FA3F9C">
        <w:rPr>
          <w:rFonts w:ascii="Arial" w:hAnsi="Arial" w:cs="Arial"/>
          <w:color w:val="222222"/>
          <w:sz w:val="24"/>
          <w:szCs w:val="24"/>
          <w:shd w:val="clear" w:color="auto" w:fill="F8F8F8"/>
        </w:rPr>
        <w:t xml:space="preserve">Lee, Jong </w:t>
      </w:r>
      <w:proofErr w:type="spellStart"/>
      <w:r w:rsidRPr="00FA3F9C">
        <w:rPr>
          <w:rFonts w:ascii="Arial" w:hAnsi="Arial" w:cs="Arial"/>
          <w:color w:val="222222"/>
          <w:sz w:val="24"/>
          <w:szCs w:val="24"/>
          <w:shd w:val="clear" w:color="auto" w:fill="F8F8F8"/>
        </w:rPr>
        <w:t>Wook</w:t>
      </w:r>
      <w:proofErr w:type="spellEnd"/>
      <w:r w:rsidRPr="00FA3F9C">
        <w:rPr>
          <w:rFonts w:ascii="Arial" w:hAnsi="Arial" w:cs="Arial"/>
          <w:color w:val="222222"/>
          <w:sz w:val="24"/>
          <w:szCs w:val="24"/>
          <w:shd w:val="clear" w:color="auto" w:fill="F8F8F8"/>
        </w:rPr>
        <w:t>, et al. "</w:t>
      </w:r>
      <w:proofErr w:type="spellStart"/>
      <w:r w:rsidRPr="00FA3F9C">
        <w:rPr>
          <w:rFonts w:ascii="Arial" w:hAnsi="Arial" w:cs="Arial"/>
          <w:color w:val="222222"/>
          <w:sz w:val="24"/>
          <w:szCs w:val="24"/>
          <w:shd w:val="clear" w:color="auto" w:fill="F8F8F8"/>
        </w:rPr>
        <w:t>Ravulizumab</w:t>
      </w:r>
      <w:proofErr w:type="spellEnd"/>
      <w:r w:rsidRPr="00FA3F9C">
        <w:rPr>
          <w:rFonts w:ascii="Arial" w:hAnsi="Arial" w:cs="Arial"/>
          <w:color w:val="222222"/>
          <w:sz w:val="24"/>
          <w:szCs w:val="24"/>
          <w:shd w:val="clear" w:color="auto" w:fill="F8F8F8"/>
        </w:rPr>
        <w:t xml:space="preserve"> (ALXN1210) vs eculizumab in adult patients with PNH naive to complement inhibitors: the 301 study." </w:t>
      </w:r>
      <w:r w:rsidRPr="00FA3F9C">
        <w:rPr>
          <w:rFonts w:ascii="Arial" w:hAnsi="Arial" w:cs="Arial"/>
          <w:i/>
          <w:iCs/>
          <w:color w:val="222222"/>
          <w:sz w:val="24"/>
          <w:szCs w:val="24"/>
          <w:shd w:val="clear" w:color="auto" w:fill="F8F8F8"/>
        </w:rPr>
        <w:t>Blood</w:t>
      </w:r>
      <w:r w:rsidRPr="00FA3F9C">
        <w:rPr>
          <w:rFonts w:ascii="Arial" w:hAnsi="Arial" w:cs="Arial"/>
          <w:color w:val="222222"/>
          <w:sz w:val="24"/>
          <w:szCs w:val="24"/>
          <w:shd w:val="clear" w:color="auto" w:fill="F8F8F8"/>
        </w:rPr>
        <w:t> 133.6 (2019): 530-539.</w:t>
      </w:r>
    </w:p>
    <w:p w14:paraId="0711E84C" w14:textId="77777777" w:rsidR="001506C1" w:rsidRPr="00FA3F9C" w:rsidRDefault="001506C1" w:rsidP="002D096B">
      <w:pPr>
        <w:rPr>
          <w:rFonts w:ascii="Arial" w:hAnsi="Arial" w:cs="Arial"/>
          <w:sz w:val="24"/>
          <w:szCs w:val="24"/>
        </w:rPr>
      </w:pPr>
      <w:r w:rsidRPr="00FA3F9C">
        <w:rPr>
          <w:rFonts w:ascii="Arial" w:hAnsi="Arial" w:cs="Arial"/>
          <w:sz w:val="24"/>
          <w:szCs w:val="24"/>
        </w:rPr>
        <w:t xml:space="preserve">3. </w:t>
      </w:r>
      <w:proofErr w:type="spellStart"/>
      <w:r w:rsidRPr="00FA3F9C">
        <w:rPr>
          <w:rFonts w:ascii="Arial" w:hAnsi="Arial" w:cs="Arial"/>
          <w:color w:val="222222"/>
          <w:sz w:val="24"/>
          <w:szCs w:val="24"/>
          <w:shd w:val="clear" w:color="auto" w:fill="F8F8F8"/>
        </w:rPr>
        <w:t>Kulasekararaj</w:t>
      </w:r>
      <w:proofErr w:type="spellEnd"/>
      <w:r w:rsidRPr="00FA3F9C">
        <w:rPr>
          <w:rFonts w:ascii="Arial" w:hAnsi="Arial" w:cs="Arial"/>
          <w:color w:val="222222"/>
          <w:sz w:val="24"/>
          <w:szCs w:val="24"/>
          <w:shd w:val="clear" w:color="auto" w:fill="F8F8F8"/>
        </w:rPr>
        <w:t>, Austin G., et al. "</w:t>
      </w:r>
      <w:proofErr w:type="spellStart"/>
      <w:r w:rsidRPr="00FA3F9C">
        <w:rPr>
          <w:rFonts w:ascii="Arial" w:hAnsi="Arial" w:cs="Arial"/>
          <w:color w:val="222222"/>
          <w:sz w:val="24"/>
          <w:szCs w:val="24"/>
          <w:shd w:val="clear" w:color="auto" w:fill="F8F8F8"/>
        </w:rPr>
        <w:t>Ravulizumab</w:t>
      </w:r>
      <w:proofErr w:type="spellEnd"/>
      <w:r w:rsidRPr="00FA3F9C">
        <w:rPr>
          <w:rFonts w:ascii="Arial" w:hAnsi="Arial" w:cs="Arial"/>
          <w:color w:val="222222"/>
          <w:sz w:val="24"/>
          <w:szCs w:val="24"/>
          <w:shd w:val="clear" w:color="auto" w:fill="F8F8F8"/>
        </w:rPr>
        <w:t xml:space="preserve"> (ALXN1210) vs eculizumab in C5-inhibitor–experienced adult patients with PNH: the 302 study." </w:t>
      </w:r>
      <w:r w:rsidRPr="00FA3F9C">
        <w:rPr>
          <w:rFonts w:ascii="Arial" w:hAnsi="Arial" w:cs="Arial"/>
          <w:i/>
          <w:iCs/>
          <w:color w:val="222222"/>
          <w:sz w:val="24"/>
          <w:szCs w:val="24"/>
          <w:shd w:val="clear" w:color="auto" w:fill="F8F8F8"/>
        </w:rPr>
        <w:t>Blood</w:t>
      </w:r>
      <w:r w:rsidRPr="00FA3F9C">
        <w:rPr>
          <w:rFonts w:ascii="Arial" w:hAnsi="Arial" w:cs="Arial"/>
          <w:color w:val="222222"/>
          <w:sz w:val="24"/>
          <w:szCs w:val="24"/>
          <w:shd w:val="clear" w:color="auto" w:fill="F8F8F8"/>
        </w:rPr>
        <w:t> 133.6 (2019): 540-549.</w:t>
      </w:r>
    </w:p>
    <w:p w14:paraId="55094F93" w14:textId="77777777" w:rsidR="001506C1" w:rsidRPr="00FA3F9C" w:rsidRDefault="001506C1" w:rsidP="002A23A6">
      <w:pPr>
        <w:rPr>
          <w:rFonts w:ascii="Arial" w:hAnsi="Arial" w:cs="Arial"/>
          <w:sz w:val="24"/>
          <w:szCs w:val="24"/>
        </w:rPr>
      </w:pPr>
    </w:p>
    <w:p w14:paraId="613E9B6F" w14:textId="77777777" w:rsidR="001506C1" w:rsidRPr="00FA3F9C" w:rsidRDefault="001506C1" w:rsidP="002A23A6">
      <w:pPr>
        <w:rPr>
          <w:rFonts w:ascii="Arial" w:hAnsi="Arial" w:cs="Arial"/>
          <w:sz w:val="24"/>
          <w:szCs w:val="24"/>
        </w:rPr>
      </w:pPr>
    </w:p>
    <w:p w14:paraId="39DDD3C8" w14:textId="77777777" w:rsidR="001506C1" w:rsidRPr="00FA3F9C" w:rsidRDefault="001506C1" w:rsidP="002A23A6">
      <w:pPr>
        <w:rPr>
          <w:rFonts w:ascii="Arial" w:hAnsi="Arial" w:cs="Arial"/>
          <w:sz w:val="24"/>
          <w:szCs w:val="24"/>
        </w:rPr>
      </w:pPr>
    </w:p>
    <w:p w14:paraId="0E126D10" w14:textId="77777777" w:rsidR="001506C1" w:rsidRPr="00FA3F9C" w:rsidRDefault="001506C1" w:rsidP="002A23A6">
      <w:pPr>
        <w:rPr>
          <w:rFonts w:ascii="Arial" w:hAnsi="Arial" w:cs="Arial"/>
          <w:sz w:val="24"/>
          <w:szCs w:val="24"/>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1506C1" w:rsidRPr="00FA3F9C" w14:paraId="1762D100" w14:textId="77777777" w:rsidTr="005F72CB">
        <w:tc>
          <w:tcPr>
            <w:tcW w:w="10368" w:type="dxa"/>
            <w:tcBorders>
              <w:bottom w:val="single" w:sz="4" w:space="0" w:color="auto"/>
            </w:tcBorders>
            <w:shd w:val="clear" w:color="auto" w:fill="000000"/>
          </w:tcPr>
          <w:p w14:paraId="73EEA446" w14:textId="77777777" w:rsidR="001506C1" w:rsidRPr="00FA3F9C" w:rsidRDefault="001506C1" w:rsidP="006B2584">
            <w:pPr>
              <w:rPr>
                <w:rFonts w:ascii="Arial" w:hAnsi="Arial" w:cs="Arial"/>
                <w:sz w:val="24"/>
                <w:szCs w:val="24"/>
              </w:rPr>
            </w:pPr>
            <w:r w:rsidRPr="00FA3F9C">
              <w:rPr>
                <w:rFonts w:ascii="Arial" w:hAnsi="Arial" w:cs="Arial"/>
                <w:sz w:val="24"/>
                <w:szCs w:val="24"/>
              </w:rPr>
              <w:t>Atypical hemolytic uremic syndrome (</w:t>
            </w:r>
            <w:proofErr w:type="spellStart"/>
            <w:r w:rsidRPr="00FA3F9C">
              <w:rPr>
                <w:rFonts w:ascii="Arial" w:hAnsi="Arial" w:cs="Arial"/>
                <w:sz w:val="24"/>
                <w:szCs w:val="24"/>
              </w:rPr>
              <w:t>aHUS</w:t>
            </w:r>
            <w:proofErr w:type="spellEnd"/>
            <w:r w:rsidRPr="00FA3F9C">
              <w:rPr>
                <w:rFonts w:ascii="Arial" w:hAnsi="Arial" w:cs="Arial"/>
                <w:sz w:val="24"/>
                <w:szCs w:val="24"/>
              </w:rPr>
              <w:t>)</w:t>
            </w:r>
          </w:p>
          <w:p w14:paraId="25210ABE" w14:textId="77777777" w:rsidR="001506C1" w:rsidRPr="00FA3F9C" w:rsidRDefault="001506C1" w:rsidP="001506C1">
            <w:pPr>
              <w:numPr>
                <w:ilvl w:val="0"/>
                <w:numId w:val="147"/>
              </w:numPr>
              <w:spacing w:after="0" w:line="240" w:lineRule="auto"/>
              <w:rPr>
                <w:rFonts w:ascii="Arial" w:hAnsi="Arial" w:cs="Arial"/>
                <w:sz w:val="24"/>
                <w:szCs w:val="24"/>
              </w:rPr>
            </w:pPr>
            <w:r w:rsidRPr="00FA3F9C">
              <w:rPr>
                <w:rFonts w:ascii="Arial" w:hAnsi="Arial" w:cs="Arial"/>
                <w:sz w:val="24"/>
                <w:szCs w:val="24"/>
              </w:rPr>
              <w:t>Atypical HUS cases are cases due to complement dysregulation (complement gene mutations or with antibodies to complement factor H (CFH)</w:t>
            </w:r>
          </w:p>
          <w:p w14:paraId="7FA5D17E" w14:textId="77777777" w:rsidR="001506C1" w:rsidRPr="00FA3F9C" w:rsidRDefault="001506C1" w:rsidP="001506C1">
            <w:pPr>
              <w:numPr>
                <w:ilvl w:val="0"/>
                <w:numId w:val="147"/>
              </w:numPr>
              <w:spacing w:after="0" w:line="240" w:lineRule="auto"/>
              <w:rPr>
                <w:rFonts w:ascii="Arial" w:hAnsi="Arial" w:cs="Arial"/>
                <w:sz w:val="24"/>
                <w:szCs w:val="24"/>
              </w:rPr>
            </w:pPr>
            <w:proofErr w:type="spellStart"/>
            <w:r w:rsidRPr="00FA3F9C">
              <w:rPr>
                <w:rFonts w:ascii="Arial" w:hAnsi="Arial" w:cs="Arial"/>
                <w:sz w:val="24"/>
                <w:szCs w:val="24"/>
              </w:rPr>
              <w:t>aHUS</w:t>
            </w:r>
            <w:proofErr w:type="spellEnd"/>
            <w:r w:rsidRPr="00FA3F9C">
              <w:rPr>
                <w:rFonts w:ascii="Arial" w:hAnsi="Arial" w:cs="Arial"/>
                <w:sz w:val="24"/>
                <w:szCs w:val="24"/>
              </w:rPr>
              <w:t xml:space="preserve"> </w:t>
            </w:r>
            <w:proofErr w:type="gramStart"/>
            <w:r w:rsidRPr="00FA3F9C">
              <w:rPr>
                <w:rFonts w:ascii="Arial" w:hAnsi="Arial" w:cs="Arial"/>
                <w:sz w:val="24"/>
                <w:szCs w:val="24"/>
              </w:rPr>
              <w:t>is</w:t>
            </w:r>
            <w:proofErr w:type="gramEnd"/>
            <w:r w:rsidRPr="00FA3F9C">
              <w:rPr>
                <w:rFonts w:ascii="Arial" w:hAnsi="Arial" w:cs="Arial"/>
                <w:sz w:val="24"/>
                <w:szCs w:val="24"/>
              </w:rPr>
              <w:t xml:space="preserve"> NOT due to infection, drug toxicity, or related to pregnancy or SLE.</w:t>
            </w:r>
          </w:p>
        </w:tc>
      </w:tr>
      <w:tr w:rsidR="001506C1" w:rsidRPr="00FA3F9C" w14:paraId="15308BF5" w14:textId="77777777" w:rsidTr="005F72CB">
        <w:tc>
          <w:tcPr>
            <w:tcW w:w="10368" w:type="dxa"/>
            <w:tcBorders>
              <w:bottom w:val="single" w:sz="4" w:space="0" w:color="auto"/>
            </w:tcBorders>
          </w:tcPr>
          <w:p w14:paraId="44F8BB26" w14:textId="77777777" w:rsidR="001506C1" w:rsidRPr="00FA3F9C" w:rsidRDefault="001506C1" w:rsidP="00A44F0B">
            <w:pPr>
              <w:rPr>
                <w:rFonts w:ascii="Arial" w:hAnsi="Arial" w:cs="Arial"/>
                <w:sz w:val="24"/>
                <w:szCs w:val="24"/>
                <w:u w:val="single"/>
              </w:rPr>
            </w:pPr>
            <w:r w:rsidRPr="00FA3F9C">
              <w:rPr>
                <w:rFonts w:ascii="Arial" w:hAnsi="Arial" w:cs="Arial"/>
                <w:sz w:val="24"/>
                <w:szCs w:val="24"/>
              </w:rPr>
              <w:t>1.  Has the patient been diagnosed with atypical hemolytic uremic syndrome?</w:t>
            </w:r>
          </w:p>
        </w:tc>
      </w:tr>
      <w:tr w:rsidR="001506C1" w:rsidRPr="00FA3F9C" w14:paraId="7F15362A" w14:textId="77777777" w:rsidTr="005F72CB">
        <w:tc>
          <w:tcPr>
            <w:tcW w:w="10368" w:type="dxa"/>
            <w:tcBorders>
              <w:bottom w:val="single" w:sz="4" w:space="0" w:color="auto"/>
            </w:tcBorders>
          </w:tcPr>
          <w:p w14:paraId="0275DFBE" w14:textId="77777777" w:rsidR="001506C1" w:rsidRPr="00FA3F9C" w:rsidRDefault="001506C1" w:rsidP="005F72CB">
            <w:pPr>
              <w:rPr>
                <w:rFonts w:ascii="Arial" w:hAnsi="Arial" w:cs="Arial"/>
                <w:sz w:val="24"/>
                <w:szCs w:val="24"/>
              </w:rPr>
            </w:pPr>
            <w:r w:rsidRPr="00FA3F9C">
              <w:rPr>
                <w:rFonts w:ascii="Arial" w:hAnsi="Arial" w:cs="Arial"/>
                <w:sz w:val="24"/>
                <w:szCs w:val="24"/>
              </w:rPr>
              <w:t>2.  Is the patient 2 years old or older?</w:t>
            </w:r>
          </w:p>
        </w:tc>
      </w:tr>
      <w:tr w:rsidR="001506C1" w:rsidRPr="00FA3F9C" w14:paraId="08833FA6" w14:textId="77777777" w:rsidTr="005F72CB">
        <w:tc>
          <w:tcPr>
            <w:tcW w:w="10368" w:type="dxa"/>
            <w:tcBorders>
              <w:bottom w:val="single" w:sz="4" w:space="0" w:color="auto"/>
            </w:tcBorders>
          </w:tcPr>
          <w:p w14:paraId="6BCBE7A9" w14:textId="77777777" w:rsidR="001506C1" w:rsidRPr="00FA3F9C" w:rsidRDefault="001506C1" w:rsidP="001C1235">
            <w:pPr>
              <w:rPr>
                <w:rFonts w:ascii="Arial" w:hAnsi="Arial" w:cs="Arial"/>
                <w:sz w:val="24"/>
                <w:szCs w:val="24"/>
              </w:rPr>
            </w:pPr>
            <w:r w:rsidRPr="00FA3F9C">
              <w:rPr>
                <w:rFonts w:ascii="Arial" w:hAnsi="Arial" w:cs="Arial"/>
                <w:sz w:val="24"/>
                <w:szCs w:val="24"/>
              </w:rPr>
              <w:t xml:space="preserve">3.  Is the adult patient immunized against </w:t>
            </w:r>
            <w:r w:rsidRPr="00FA3F9C">
              <w:rPr>
                <w:rFonts w:ascii="Arial" w:hAnsi="Arial" w:cs="Arial"/>
                <w:i/>
                <w:sz w:val="24"/>
                <w:szCs w:val="24"/>
              </w:rPr>
              <w:t>Neisseria meningitidis</w:t>
            </w:r>
            <w:r w:rsidRPr="00FA3F9C">
              <w:rPr>
                <w:rFonts w:ascii="Arial" w:hAnsi="Arial" w:cs="Arial"/>
                <w:sz w:val="24"/>
                <w:szCs w:val="24"/>
              </w:rPr>
              <w:t xml:space="preserve"> serotypes A, C, Y and W135 and subtype B, 2 weeks before eculizumab will be initiated?  OR will the adult patient receive prophylactic antibiotics upon eculizumab initiation until at least 2 weeks after </w:t>
            </w:r>
            <w:r w:rsidRPr="00FA3F9C">
              <w:rPr>
                <w:rFonts w:ascii="Arial" w:hAnsi="Arial" w:cs="Arial"/>
                <w:i/>
                <w:sz w:val="24"/>
                <w:szCs w:val="24"/>
              </w:rPr>
              <w:t>Neisseria meningitidis</w:t>
            </w:r>
            <w:r w:rsidRPr="00FA3F9C">
              <w:rPr>
                <w:rFonts w:ascii="Arial" w:hAnsi="Arial" w:cs="Arial"/>
                <w:sz w:val="24"/>
                <w:szCs w:val="24"/>
              </w:rPr>
              <w:t xml:space="preserve"> vaccination?</w:t>
            </w:r>
          </w:p>
        </w:tc>
      </w:tr>
      <w:tr w:rsidR="001506C1" w:rsidRPr="00FA3F9C" w14:paraId="231B5258" w14:textId="77777777" w:rsidTr="005F72CB">
        <w:tc>
          <w:tcPr>
            <w:tcW w:w="10368" w:type="dxa"/>
            <w:tcBorders>
              <w:left w:val="nil"/>
              <w:right w:val="nil"/>
            </w:tcBorders>
          </w:tcPr>
          <w:p w14:paraId="2E2D8385" w14:textId="77777777" w:rsidR="001506C1" w:rsidRPr="00FA3F9C" w:rsidRDefault="001506C1" w:rsidP="001C1235">
            <w:pPr>
              <w:jc w:val="center"/>
              <w:rPr>
                <w:rFonts w:ascii="Arial" w:hAnsi="Arial" w:cs="Arial"/>
                <w:b/>
                <w:sz w:val="24"/>
                <w:szCs w:val="24"/>
              </w:rPr>
            </w:pPr>
            <w:r w:rsidRPr="00FA3F9C">
              <w:rPr>
                <w:rFonts w:ascii="Arial" w:hAnsi="Arial" w:cs="Arial"/>
                <w:b/>
                <w:sz w:val="24"/>
                <w:szCs w:val="24"/>
              </w:rPr>
              <w:t xml:space="preserve">For approval, </w:t>
            </w:r>
            <w:proofErr w:type="gramStart"/>
            <w:r w:rsidRPr="00FA3F9C">
              <w:rPr>
                <w:rFonts w:ascii="Arial" w:hAnsi="Arial" w:cs="Arial"/>
                <w:b/>
                <w:sz w:val="24"/>
                <w:szCs w:val="24"/>
              </w:rPr>
              <w:t>all of</w:t>
            </w:r>
            <w:proofErr w:type="gramEnd"/>
            <w:r w:rsidRPr="00FA3F9C">
              <w:rPr>
                <w:rFonts w:ascii="Arial" w:hAnsi="Arial" w:cs="Arial"/>
                <w:b/>
                <w:sz w:val="24"/>
                <w:szCs w:val="24"/>
              </w:rPr>
              <w:t xml:space="preserve"> the 3 criteria above must be ‘yes’. </w:t>
            </w:r>
          </w:p>
        </w:tc>
      </w:tr>
    </w:tbl>
    <w:p w14:paraId="6A32C951" w14:textId="77777777" w:rsidR="001506C1" w:rsidRPr="00FA3F9C" w:rsidRDefault="001506C1" w:rsidP="005F72CB">
      <w:pPr>
        <w:rPr>
          <w:rFonts w:ascii="Arial" w:hAnsi="Arial" w:cs="Arial"/>
          <w:sz w:val="24"/>
          <w:szCs w:val="24"/>
        </w:rPr>
      </w:pPr>
      <w:r w:rsidRPr="00FA3F9C">
        <w:rPr>
          <w:rFonts w:ascii="Arial" w:hAnsi="Arial" w:cs="Arial"/>
          <w:sz w:val="24"/>
          <w:szCs w:val="24"/>
        </w:rPr>
        <w:t>References:</w:t>
      </w:r>
    </w:p>
    <w:p w14:paraId="39620FFA" w14:textId="77777777" w:rsidR="001506C1" w:rsidRPr="00FA3F9C" w:rsidRDefault="001506C1" w:rsidP="006B2584">
      <w:pPr>
        <w:rPr>
          <w:rFonts w:ascii="Arial" w:hAnsi="Arial" w:cs="Arial"/>
          <w:sz w:val="24"/>
          <w:szCs w:val="24"/>
        </w:rPr>
      </w:pPr>
      <w:r w:rsidRPr="00FA3F9C">
        <w:rPr>
          <w:rFonts w:ascii="Arial" w:hAnsi="Arial" w:cs="Arial"/>
          <w:sz w:val="24"/>
          <w:szCs w:val="24"/>
        </w:rPr>
        <w:t xml:space="preserve">1. Hillmen P, et al.  the complement inhibitor eculizumab in paroxysmal nocturnal hemoglobinuria.  N </w:t>
      </w:r>
      <w:proofErr w:type="spellStart"/>
      <w:r w:rsidRPr="00FA3F9C">
        <w:rPr>
          <w:rFonts w:ascii="Arial" w:hAnsi="Arial" w:cs="Arial"/>
          <w:sz w:val="24"/>
          <w:szCs w:val="24"/>
        </w:rPr>
        <w:t>Engl</w:t>
      </w:r>
      <w:proofErr w:type="spellEnd"/>
      <w:r w:rsidRPr="00FA3F9C">
        <w:rPr>
          <w:rFonts w:ascii="Arial" w:hAnsi="Arial" w:cs="Arial"/>
          <w:sz w:val="24"/>
          <w:szCs w:val="24"/>
        </w:rPr>
        <w:t xml:space="preserve"> J Med. 2006;355:1233-43.</w:t>
      </w:r>
    </w:p>
    <w:p w14:paraId="020BC4B6" w14:textId="77777777" w:rsidR="001506C1" w:rsidRPr="00FA3F9C" w:rsidRDefault="001506C1" w:rsidP="006B2584">
      <w:pPr>
        <w:rPr>
          <w:rFonts w:ascii="Arial" w:hAnsi="Arial" w:cs="Arial"/>
          <w:sz w:val="24"/>
          <w:szCs w:val="24"/>
        </w:rPr>
      </w:pPr>
      <w:r w:rsidRPr="00FA3F9C">
        <w:rPr>
          <w:rFonts w:ascii="Arial" w:hAnsi="Arial" w:cs="Arial"/>
          <w:sz w:val="24"/>
          <w:szCs w:val="24"/>
        </w:rPr>
        <w:t>2.  Eculizumab in Lexicomp.  Accessed 5/15/17.</w:t>
      </w:r>
    </w:p>
    <w:p w14:paraId="18863A42" w14:textId="77777777" w:rsidR="001506C1" w:rsidRPr="00FA3F9C" w:rsidRDefault="001506C1" w:rsidP="006B2584">
      <w:pPr>
        <w:rPr>
          <w:rFonts w:ascii="Arial" w:hAnsi="Arial" w:cs="Arial"/>
          <w:sz w:val="24"/>
          <w:szCs w:val="24"/>
        </w:rPr>
      </w:pPr>
      <w:r w:rsidRPr="00FA3F9C">
        <w:rPr>
          <w:rFonts w:ascii="Arial" w:hAnsi="Arial" w:cs="Arial"/>
          <w:sz w:val="24"/>
          <w:szCs w:val="24"/>
        </w:rPr>
        <w:t xml:space="preserve">3.  </w:t>
      </w:r>
      <w:proofErr w:type="spellStart"/>
      <w:r w:rsidRPr="00FA3F9C">
        <w:rPr>
          <w:rFonts w:ascii="Arial" w:hAnsi="Arial" w:cs="Arial"/>
          <w:sz w:val="24"/>
          <w:szCs w:val="24"/>
        </w:rPr>
        <w:t>Azoulay</w:t>
      </w:r>
      <w:proofErr w:type="spellEnd"/>
      <w:r w:rsidRPr="00FA3F9C">
        <w:rPr>
          <w:rFonts w:ascii="Arial" w:hAnsi="Arial" w:cs="Arial"/>
          <w:sz w:val="24"/>
          <w:szCs w:val="24"/>
        </w:rPr>
        <w:t xml:space="preserve">, Elie, et al. "Expert statements on the standard of care in critically ill adult patients with atypical </w:t>
      </w:r>
      <w:proofErr w:type="spellStart"/>
      <w:r w:rsidRPr="00FA3F9C">
        <w:rPr>
          <w:rFonts w:ascii="Arial" w:hAnsi="Arial" w:cs="Arial"/>
          <w:sz w:val="24"/>
          <w:szCs w:val="24"/>
        </w:rPr>
        <w:t>haemolytic</w:t>
      </w:r>
      <w:proofErr w:type="spellEnd"/>
      <w:r w:rsidRPr="00FA3F9C">
        <w:rPr>
          <w:rFonts w:ascii="Arial" w:hAnsi="Arial" w:cs="Arial"/>
          <w:sz w:val="24"/>
          <w:szCs w:val="24"/>
        </w:rPr>
        <w:t xml:space="preserve"> </w:t>
      </w:r>
      <w:proofErr w:type="spellStart"/>
      <w:r w:rsidRPr="00FA3F9C">
        <w:rPr>
          <w:rFonts w:ascii="Arial" w:hAnsi="Arial" w:cs="Arial"/>
          <w:sz w:val="24"/>
          <w:szCs w:val="24"/>
        </w:rPr>
        <w:t>uraemic</w:t>
      </w:r>
      <w:proofErr w:type="spellEnd"/>
      <w:r w:rsidRPr="00FA3F9C">
        <w:rPr>
          <w:rFonts w:ascii="Arial" w:hAnsi="Arial" w:cs="Arial"/>
          <w:sz w:val="24"/>
          <w:szCs w:val="24"/>
        </w:rPr>
        <w:t xml:space="preserve"> syndrome." Chest (2017).</w:t>
      </w:r>
    </w:p>
    <w:p w14:paraId="7075BC09" w14:textId="77777777" w:rsidR="001506C1" w:rsidRPr="00FA3F9C" w:rsidRDefault="001506C1" w:rsidP="00BD761B">
      <w:pPr>
        <w:jc w:val="right"/>
        <w:rPr>
          <w:rFonts w:ascii="Arial" w:hAnsi="Arial" w:cs="Arial"/>
          <w:sz w:val="24"/>
          <w:szCs w:val="24"/>
        </w:rPr>
      </w:pPr>
    </w:p>
    <w:p w14:paraId="6FBB8FBD" w14:textId="77777777" w:rsidR="001506C1" w:rsidRPr="00FA3F9C" w:rsidRDefault="001506C1" w:rsidP="005F72CB">
      <w:pPr>
        <w:rPr>
          <w:rFonts w:ascii="Arial" w:hAnsi="Arial" w:cs="Arial"/>
          <w:sz w:val="24"/>
          <w:szCs w:val="24"/>
        </w:rPr>
      </w:pPr>
    </w:p>
    <w:p w14:paraId="09864A36" w14:textId="77777777" w:rsidR="001506C1" w:rsidRPr="00FA3F9C" w:rsidRDefault="001506C1" w:rsidP="005F72CB">
      <w:pPr>
        <w:rPr>
          <w:rFonts w:ascii="Arial" w:hAnsi="Arial" w:cs="Arial"/>
          <w:sz w:val="24"/>
          <w:szCs w:val="24"/>
        </w:rPr>
      </w:pPr>
    </w:p>
    <w:p w14:paraId="7FD9B987" w14:textId="77777777" w:rsidR="001506C1" w:rsidRPr="00FA3F9C" w:rsidRDefault="001506C1" w:rsidP="005F72CB">
      <w:pPr>
        <w:rPr>
          <w:rFonts w:ascii="Arial" w:hAnsi="Arial" w:cs="Arial"/>
          <w:sz w:val="24"/>
          <w:szCs w:val="24"/>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1506C1" w:rsidRPr="00FA3F9C" w14:paraId="0B18D692" w14:textId="77777777" w:rsidTr="00926F04">
        <w:tc>
          <w:tcPr>
            <w:tcW w:w="10368" w:type="dxa"/>
            <w:tcBorders>
              <w:bottom w:val="single" w:sz="4" w:space="0" w:color="auto"/>
            </w:tcBorders>
            <w:shd w:val="clear" w:color="auto" w:fill="000000"/>
          </w:tcPr>
          <w:p w14:paraId="5EAF6DEC" w14:textId="77777777" w:rsidR="001506C1" w:rsidRPr="00FA3F9C" w:rsidRDefault="001506C1" w:rsidP="00926F04">
            <w:pPr>
              <w:rPr>
                <w:rFonts w:ascii="Arial" w:hAnsi="Arial" w:cs="Arial"/>
                <w:sz w:val="24"/>
                <w:szCs w:val="24"/>
              </w:rPr>
            </w:pPr>
            <w:r w:rsidRPr="00FA3F9C">
              <w:rPr>
                <w:rFonts w:ascii="Arial" w:hAnsi="Arial" w:cs="Arial"/>
                <w:sz w:val="24"/>
                <w:szCs w:val="24"/>
              </w:rPr>
              <w:t>Refractory generalized myasthenia gravis</w:t>
            </w:r>
          </w:p>
        </w:tc>
      </w:tr>
      <w:tr w:rsidR="001506C1" w:rsidRPr="00FA3F9C" w14:paraId="50FAEE8B" w14:textId="77777777" w:rsidTr="00926F04">
        <w:tc>
          <w:tcPr>
            <w:tcW w:w="10368" w:type="dxa"/>
            <w:tcBorders>
              <w:bottom w:val="single" w:sz="4" w:space="0" w:color="auto"/>
            </w:tcBorders>
          </w:tcPr>
          <w:p w14:paraId="52EC5EBA" w14:textId="77777777" w:rsidR="001506C1" w:rsidRPr="00FA3F9C" w:rsidRDefault="001506C1" w:rsidP="00926F04">
            <w:pPr>
              <w:rPr>
                <w:rFonts w:ascii="Arial" w:hAnsi="Arial" w:cs="Arial"/>
                <w:sz w:val="24"/>
                <w:szCs w:val="24"/>
                <w:u w:val="single"/>
              </w:rPr>
            </w:pPr>
            <w:r w:rsidRPr="00FA3F9C">
              <w:rPr>
                <w:rFonts w:ascii="Arial" w:hAnsi="Arial" w:cs="Arial"/>
                <w:sz w:val="24"/>
                <w:szCs w:val="24"/>
              </w:rPr>
              <w:t>1.  The patient must have a confirmed diagnosis of refractory, generalized myasthenia gravis.</w:t>
            </w:r>
          </w:p>
        </w:tc>
      </w:tr>
      <w:tr w:rsidR="001506C1" w:rsidRPr="00FA3F9C" w14:paraId="61A5093A" w14:textId="77777777" w:rsidTr="00926F04">
        <w:tc>
          <w:tcPr>
            <w:tcW w:w="10368" w:type="dxa"/>
            <w:tcBorders>
              <w:bottom w:val="single" w:sz="4" w:space="0" w:color="auto"/>
            </w:tcBorders>
          </w:tcPr>
          <w:p w14:paraId="459E36B1" w14:textId="77777777" w:rsidR="001506C1" w:rsidRPr="00FA3F9C" w:rsidRDefault="001506C1" w:rsidP="00926F04">
            <w:pPr>
              <w:rPr>
                <w:rFonts w:ascii="Arial" w:hAnsi="Arial" w:cs="Arial"/>
                <w:sz w:val="24"/>
                <w:szCs w:val="24"/>
              </w:rPr>
            </w:pPr>
            <w:r w:rsidRPr="00FA3F9C">
              <w:rPr>
                <w:rFonts w:ascii="Arial" w:hAnsi="Arial" w:cs="Arial"/>
                <w:sz w:val="24"/>
                <w:szCs w:val="24"/>
              </w:rPr>
              <w:t>2. The patient must have a serological test for anti-acetylcholine receptor antibodies and be the test must be positive for the antibodies.</w:t>
            </w:r>
          </w:p>
        </w:tc>
      </w:tr>
      <w:tr w:rsidR="001506C1" w:rsidRPr="00FA3F9C" w14:paraId="6191E2F5" w14:textId="77777777" w:rsidTr="00926F04">
        <w:tc>
          <w:tcPr>
            <w:tcW w:w="10368" w:type="dxa"/>
            <w:tcBorders>
              <w:bottom w:val="single" w:sz="4" w:space="0" w:color="auto"/>
            </w:tcBorders>
          </w:tcPr>
          <w:p w14:paraId="135FE99D" w14:textId="77777777" w:rsidR="001506C1" w:rsidRPr="00FA3F9C" w:rsidRDefault="001506C1" w:rsidP="00732DB4">
            <w:pPr>
              <w:rPr>
                <w:rFonts w:ascii="Arial" w:hAnsi="Arial" w:cs="Arial"/>
                <w:sz w:val="24"/>
                <w:szCs w:val="24"/>
              </w:rPr>
            </w:pPr>
            <w:r w:rsidRPr="00FA3F9C">
              <w:rPr>
                <w:rFonts w:ascii="Arial" w:hAnsi="Arial" w:cs="Arial"/>
                <w:sz w:val="24"/>
                <w:szCs w:val="24"/>
              </w:rPr>
              <w:t>3.  The patient must have either failed therapy with rituximab or else not be a candidate for it.</w:t>
            </w:r>
          </w:p>
        </w:tc>
      </w:tr>
      <w:tr w:rsidR="001506C1" w:rsidRPr="00FA3F9C" w14:paraId="45C4C8B3" w14:textId="77777777" w:rsidTr="00926F04">
        <w:tc>
          <w:tcPr>
            <w:tcW w:w="10368" w:type="dxa"/>
            <w:tcBorders>
              <w:bottom w:val="single" w:sz="4" w:space="0" w:color="auto"/>
            </w:tcBorders>
          </w:tcPr>
          <w:p w14:paraId="34BCB050" w14:textId="77777777" w:rsidR="001506C1" w:rsidRPr="00FA3F9C" w:rsidRDefault="001506C1" w:rsidP="00926F04">
            <w:pPr>
              <w:rPr>
                <w:rFonts w:ascii="Arial" w:hAnsi="Arial" w:cs="Arial"/>
                <w:sz w:val="24"/>
                <w:szCs w:val="24"/>
              </w:rPr>
            </w:pPr>
            <w:r w:rsidRPr="00FA3F9C">
              <w:rPr>
                <w:rFonts w:ascii="Arial" w:hAnsi="Arial" w:cs="Arial"/>
                <w:sz w:val="24"/>
                <w:szCs w:val="24"/>
              </w:rPr>
              <w:t>4.  The patient must have impaired activities of daily living.</w:t>
            </w:r>
          </w:p>
        </w:tc>
      </w:tr>
      <w:tr w:rsidR="001506C1" w:rsidRPr="00FA3F9C" w14:paraId="2420309F" w14:textId="77777777" w:rsidTr="00926F04">
        <w:tc>
          <w:tcPr>
            <w:tcW w:w="10368" w:type="dxa"/>
            <w:tcBorders>
              <w:bottom w:val="single" w:sz="4" w:space="0" w:color="auto"/>
            </w:tcBorders>
          </w:tcPr>
          <w:p w14:paraId="29545A7D" w14:textId="77777777" w:rsidR="001506C1" w:rsidRPr="00FA3F9C" w:rsidRDefault="001506C1" w:rsidP="00926F04">
            <w:pPr>
              <w:rPr>
                <w:rFonts w:ascii="Arial" w:hAnsi="Arial" w:cs="Arial"/>
                <w:sz w:val="24"/>
                <w:szCs w:val="24"/>
              </w:rPr>
            </w:pPr>
            <w:r w:rsidRPr="00FA3F9C">
              <w:rPr>
                <w:rFonts w:ascii="Arial" w:hAnsi="Arial" w:cs="Arial"/>
                <w:sz w:val="24"/>
                <w:szCs w:val="24"/>
              </w:rPr>
              <w:t>5. The patient must have received treatment with at least 2 immunosuppressive therapies OR at least one immunosuppressive therapy with IVIG or plasma exchange at least four times per year for 12 months without symptom control.</w:t>
            </w:r>
          </w:p>
        </w:tc>
      </w:tr>
      <w:tr w:rsidR="001506C1" w:rsidRPr="00FA3F9C" w14:paraId="5975D324" w14:textId="77777777" w:rsidTr="00926F04">
        <w:tc>
          <w:tcPr>
            <w:tcW w:w="10368" w:type="dxa"/>
            <w:tcBorders>
              <w:bottom w:val="single" w:sz="4" w:space="0" w:color="auto"/>
            </w:tcBorders>
          </w:tcPr>
          <w:p w14:paraId="01F61AFB" w14:textId="77777777" w:rsidR="001506C1" w:rsidRPr="00FA3F9C" w:rsidRDefault="001506C1" w:rsidP="00926F04">
            <w:pPr>
              <w:rPr>
                <w:rFonts w:ascii="Arial" w:hAnsi="Arial" w:cs="Arial"/>
                <w:sz w:val="24"/>
                <w:szCs w:val="24"/>
              </w:rPr>
            </w:pPr>
            <w:r w:rsidRPr="00FA3F9C">
              <w:rPr>
                <w:rFonts w:ascii="Arial" w:hAnsi="Arial" w:cs="Arial"/>
                <w:sz w:val="24"/>
                <w:szCs w:val="24"/>
              </w:rPr>
              <w:t>6.  The prescriber must be a neurologist.</w:t>
            </w:r>
          </w:p>
        </w:tc>
      </w:tr>
      <w:tr w:rsidR="001506C1" w:rsidRPr="00FA3F9C" w14:paraId="519B3F83" w14:textId="77777777" w:rsidTr="00926F04">
        <w:tc>
          <w:tcPr>
            <w:tcW w:w="10368" w:type="dxa"/>
            <w:tcBorders>
              <w:left w:val="nil"/>
              <w:right w:val="nil"/>
            </w:tcBorders>
          </w:tcPr>
          <w:p w14:paraId="1832029F" w14:textId="77777777" w:rsidR="001506C1" w:rsidRPr="00FA3F9C" w:rsidRDefault="001506C1" w:rsidP="00926F04">
            <w:pPr>
              <w:jc w:val="center"/>
              <w:rPr>
                <w:rFonts w:ascii="Arial" w:hAnsi="Arial" w:cs="Arial"/>
                <w:b/>
                <w:sz w:val="24"/>
                <w:szCs w:val="24"/>
              </w:rPr>
            </w:pPr>
            <w:r w:rsidRPr="00FA3F9C">
              <w:rPr>
                <w:rFonts w:ascii="Arial" w:hAnsi="Arial" w:cs="Arial"/>
                <w:b/>
                <w:sz w:val="24"/>
                <w:szCs w:val="24"/>
              </w:rPr>
              <w:t xml:space="preserve">For approval, </w:t>
            </w:r>
            <w:proofErr w:type="gramStart"/>
            <w:r w:rsidRPr="00FA3F9C">
              <w:rPr>
                <w:rFonts w:ascii="Arial" w:hAnsi="Arial" w:cs="Arial"/>
                <w:b/>
                <w:sz w:val="24"/>
                <w:szCs w:val="24"/>
              </w:rPr>
              <w:t>all of</w:t>
            </w:r>
            <w:proofErr w:type="gramEnd"/>
            <w:r w:rsidRPr="00FA3F9C">
              <w:rPr>
                <w:rFonts w:ascii="Arial" w:hAnsi="Arial" w:cs="Arial"/>
                <w:b/>
                <w:sz w:val="24"/>
                <w:szCs w:val="24"/>
              </w:rPr>
              <w:t xml:space="preserve"> the 3 criteria above must be ‘yes’. </w:t>
            </w:r>
          </w:p>
        </w:tc>
      </w:tr>
    </w:tbl>
    <w:p w14:paraId="4BE075CE" w14:textId="77777777" w:rsidR="001506C1" w:rsidRPr="00FA3F9C" w:rsidRDefault="001506C1" w:rsidP="005F72CB">
      <w:pPr>
        <w:rPr>
          <w:rFonts w:ascii="Arial" w:hAnsi="Arial" w:cs="Arial"/>
          <w:sz w:val="24"/>
          <w:szCs w:val="24"/>
        </w:rPr>
      </w:pPr>
      <w:r w:rsidRPr="00FA3F9C">
        <w:rPr>
          <w:rFonts w:ascii="Arial" w:hAnsi="Arial" w:cs="Arial"/>
          <w:sz w:val="24"/>
          <w:szCs w:val="24"/>
        </w:rPr>
        <w:t>References:</w:t>
      </w:r>
    </w:p>
    <w:p w14:paraId="7D144B48" w14:textId="77777777" w:rsidR="001506C1" w:rsidRPr="00FA3F9C" w:rsidRDefault="001506C1" w:rsidP="00864A91">
      <w:pPr>
        <w:rPr>
          <w:rFonts w:ascii="Arial" w:hAnsi="Arial" w:cs="Arial"/>
          <w:sz w:val="24"/>
          <w:szCs w:val="24"/>
        </w:rPr>
      </w:pPr>
      <w:r w:rsidRPr="00FA3F9C">
        <w:rPr>
          <w:rFonts w:ascii="Arial" w:hAnsi="Arial" w:cs="Arial"/>
          <w:sz w:val="24"/>
          <w:szCs w:val="24"/>
        </w:rPr>
        <w:t xml:space="preserve">1. </w:t>
      </w:r>
      <w:r w:rsidRPr="00FA3F9C">
        <w:rPr>
          <w:rFonts w:ascii="Arial" w:hAnsi="Arial" w:cs="Arial"/>
          <w:color w:val="222222"/>
          <w:sz w:val="24"/>
          <w:szCs w:val="24"/>
          <w:shd w:val="clear" w:color="auto" w:fill="F8F8F8"/>
        </w:rPr>
        <w:t xml:space="preserve">Howard Jr, James F., et al. "Safety and efficacy of eculizumab in anti-acetylcholine receptor antibody-positive refractory </w:t>
      </w:r>
      <w:proofErr w:type="spellStart"/>
      <w:r w:rsidRPr="00FA3F9C">
        <w:rPr>
          <w:rFonts w:ascii="Arial" w:hAnsi="Arial" w:cs="Arial"/>
          <w:color w:val="222222"/>
          <w:sz w:val="24"/>
          <w:szCs w:val="24"/>
          <w:shd w:val="clear" w:color="auto" w:fill="F8F8F8"/>
        </w:rPr>
        <w:t>generalised</w:t>
      </w:r>
      <w:proofErr w:type="spellEnd"/>
      <w:r w:rsidRPr="00FA3F9C">
        <w:rPr>
          <w:rFonts w:ascii="Arial" w:hAnsi="Arial" w:cs="Arial"/>
          <w:color w:val="222222"/>
          <w:sz w:val="24"/>
          <w:szCs w:val="24"/>
          <w:shd w:val="clear" w:color="auto" w:fill="F8F8F8"/>
        </w:rPr>
        <w:t xml:space="preserve"> myasthenia gravis (REGAIN): a phase 3, </w:t>
      </w:r>
      <w:proofErr w:type="spellStart"/>
      <w:r w:rsidRPr="00FA3F9C">
        <w:rPr>
          <w:rFonts w:ascii="Arial" w:hAnsi="Arial" w:cs="Arial"/>
          <w:color w:val="222222"/>
          <w:sz w:val="24"/>
          <w:szCs w:val="24"/>
          <w:shd w:val="clear" w:color="auto" w:fill="F8F8F8"/>
        </w:rPr>
        <w:t>randomised</w:t>
      </w:r>
      <w:proofErr w:type="spellEnd"/>
      <w:r w:rsidRPr="00FA3F9C">
        <w:rPr>
          <w:rFonts w:ascii="Arial" w:hAnsi="Arial" w:cs="Arial"/>
          <w:color w:val="222222"/>
          <w:sz w:val="24"/>
          <w:szCs w:val="24"/>
          <w:shd w:val="clear" w:color="auto" w:fill="F8F8F8"/>
        </w:rPr>
        <w:t xml:space="preserve">, double-blind, placebo-controlled, </w:t>
      </w:r>
      <w:proofErr w:type="spellStart"/>
      <w:r w:rsidRPr="00FA3F9C">
        <w:rPr>
          <w:rFonts w:ascii="Arial" w:hAnsi="Arial" w:cs="Arial"/>
          <w:color w:val="222222"/>
          <w:sz w:val="24"/>
          <w:szCs w:val="24"/>
          <w:shd w:val="clear" w:color="auto" w:fill="F8F8F8"/>
        </w:rPr>
        <w:t>multicentre</w:t>
      </w:r>
      <w:proofErr w:type="spellEnd"/>
      <w:r w:rsidRPr="00FA3F9C">
        <w:rPr>
          <w:rFonts w:ascii="Arial" w:hAnsi="Arial" w:cs="Arial"/>
          <w:color w:val="222222"/>
          <w:sz w:val="24"/>
          <w:szCs w:val="24"/>
          <w:shd w:val="clear" w:color="auto" w:fill="F8F8F8"/>
        </w:rPr>
        <w:t xml:space="preserve"> study." </w:t>
      </w:r>
      <w:r w:rsidRPr="00FA3F9C">
        <w:rPr>
          <w:rFonts w:ascii="Arial" w:hAnsi="Arial" w:cs="Arial"/>
          <w:i/>
          <w:iCs/>
          <w:color w:val="222222"/>
          <w:sz w:val="24"/>
          <w:szCs w:val="24"/>
          <w:shd w:val="clear" w:color="auto" w:fill="F8F8F8"/>
        </w:rPr>
        <w:t>The Lancet Neurology</w:t>
      </w:r>
      <w:r w:rsidRPr="00FA3F9C">
        <w:rPr>
          <w:rFonts w:ascii="Arial" w:hAnsi="Arial" w:cs="Arial"/>
          <w:color w:val="222222"/>
          <w:sz w:val="24"/>
          <w:szCs w:val="24"/>
          <w:shd w:val="clear" w:color="auto" w:fill="F8F8F8"/>
        </w:rPr>
        <w:t> 16.12 (2017): 976-986.</w:t>
      </w:r>
    </w:p>
    <w:p w14:paraId="0E98F522" w14:textId="77777777" w:rsidR="001506C1" w:rsidRPr="00FA3F9C" w:rsidRDefault="001506C1" w:rsidP="00864A91">
      <w:pPr>
        <w:rPr>
          <w:rFonts w:ascii="Arial" w:hAnsi="Arial" w:cs="Arial"/>
          <w:color w:val="222222"/>
          <w:sz w:val="24"/>
          <w:szCs w:val="24"/>
          <w:shd w:val="clear" w:color="auto" w:fill="F8F8F8"/>
        </w:rPr>
      </w:pPr>
      <w:r w:rsidRPr="00FA3F9C">
        <w:rPr>
          <w:rFonts w:ascii="Arial" w:hAnsi="Arial" w:cs="Arial"/>
          <w:sz w:val="24"/>
          <w:szCs w:val="24"/>
        </w:rPr>
        <w:t xml:space="preserve">2. </w:t>
      </w:r>
      <w:r w:rsidRPr="00FA3F9C">
        <w:rPr>
          <w:rFonts w:ascii="Arial" w:hAnsi="Arial" w:cs="Arial"/>
          <w:color w:val="222222"/>
          <w:sz w:val="24"/>
          <w:szCs w:val="24"/>
          <w:shd w:val="clear" w:color="auto" w:fill="F8F8F8"/>
        </w:rPr>
        <w:t>Andersen, Henning, et al. "Eculizumab improves fatigue in refractory generalized myasthenia gravis." </w:t>
      </w:r>
      <w:r w:rsidRPr="00FA3F9C">
        <w:rPr>
          <w:rFonts w:ascii="Arial" w:hAnsi="Arial" w:cs="Arial"/>
          <w:i/>
          <w:iCs/>
          <w:color w:val="222222"/>
          <w:sz w:val="24"/>
          <w:szCs w:val="24"/>
          <w:shd w:val="clear" w:color="auto" w:fill="F8F8F8"/>
        </w:rPr>
        <w:t>Quality of Life Research</w:t>
      </w:r>
      <w:r w:rsidRPr="00FA3F9C">
        <w:rPr>
          <w:rFonts w:ascii="Arial" w:hAnsi="Arial" w:cs="Arial"/>
          <w:color w:val="222222"/>
          <w:sz w:val="24"/>
          <w:szCs w:val="24"/>
          <w:shd w:val="clear" w:color="auto" w:fill="F8F8F8"/>
        </w:rPr>
        <w:t> (2019): 1-8.</w:t>
      </w:r>
    </w:p>
    <w:p w14:paraId="1D00C317" w14:textId="77777777" w:rsidR="001506C1" w:rsidRPr="00FA3F9C" w:rsidRDefault="001506C1" w:rsidP="00864A91">
      <w:pPr>
        <w:rPr>
          <w:rFonts w:ascii="Arial" w:hAnsi="Arial" w:cs="Arial"/>
          <w:sz w:val="24"/>
          <w:szCs w:val="24"/>
        </w:rPr>
      </w:pPr>
      <w:r w:rsidRPr="00FA3F9C">
        <w:rPr>
          <w:rFonts w:ascii="Arial" w:hAnsi="Arial" w:cs="Arial"/>
          <w:sz w:val="24"/>
          <w:szCs w:val="24"/>
        </w:rPr>
        <w:t>3. UpToDate. Chronic immunosuppressive therapy for myasthenia gravis. Accessed 8/10/2020.</w:t>
      </w:r>
    </w:p>
    <w:p w14:paraId="41490380" w14:textId="77777777" w:rsidR="001506C1" w:rsidRPr="00FA3F9C" w:rsidRDefault="001506C1" w:rsidP="005F72CB">
      <w:pPr>
        <w:rPr>
          <w:rFonts w:ascii="Arial" w:hAnsi="Arial" w:cs="Arial"/>
          <w:sz w:val="24"/>
          <w:szCs w:val="24"/>
        </w:rPr>
      </w:pPr>
    </w:p>
    <w:p w14:paraId="29181D8B" w14:textId="77777777" w:rsidR="001506C1" w:rsidRPr="00FA3F9C" w:rsidRDefault="001506C1" w:rsidP="00BD761B">
      <w:pPr>
        <w:jc w:val="right"/>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7920"/>
        <w:gridCol w:w="1590"/>
      </w:tblGrid>
      <w:tr w:rsidR="001506C1" w:rsidRPr="00FA3F9C" w14:paraId="00EDB4E0" w14:textId="77777777" w:rsidTr="006B2584">
        <w:tc>
          <w:tcPr>
            <w:tcW w:w="828" w:type="dxa"/>
          </w:tcPr>
          <w:p w14:paraId="1D322162" w14:textId="77777777" w:rsidR="001506C1" w:rsidRPr="00FA3F9C" w:rsidRDefault="001506C1" w:rsidP="005F6CEE">
            <w:pPr>
              <w:rPr>
                <w:rFonts w:ascii="Arial" w:hAnsi="Arial" w:cs="Arial"/>
                <w:sz w:val="24"/>
                <w:szCs w:val="24"/>
              </w:rPr>
            </w:pPr>
            <w:r w:rsidRPr="00FA3F9C">
              <w:rPr>
                <w:rFonts w:ascii="Arial" w:hAnsi="Arial" w:cs="Arial"/>
                <w:sz w:val="24"/>
                <w:szCs w:val="24"/>
              </w:rPr>
              <w:lastRenderedPageBreak/>
              <w:t>Date</w:t>
            </w:r>
          </w:p>
        </w:tc>
        <w:tc>
          <w:tcPr>
            <w:tcW w:w="7920" w:type="dxa"/>
          </w:tcPr>
          <w:p w14:paraId="273775CF" w14:textId="77777777" w:rsidR="001506C1" w:rsidRPr="00FA3F9C" w:rsidRDefault="001506C1" w:rsidP="005F6CEE">
            <w:pPr>
              <w:rPr>
                <w:rFonts w:ascii="Arial" w:hAnsi="Arial" w:cs="Arial"/>
                <w:sz w:val="24"/>
                <w:szCs w:val="24"/>
              </w:rPr>
            </w:pPr>
            <w:r w:rsidRPr="00FA3F9C">
              <w:rPr>
                <w:rFonts w:ascii="Arial" w:hAnsi="Arial" w:cs="Arial"/>
                <w:sz w:val="24"/>
                <w:szCs w:val="24"/>
              </w:rPr>
              <w:t>What changed?</w:t>
            </w:r>
          </w:p>
        </w:tc>
        <w:tc>
          <w:tcPr>
            <w:tcW w:w="1548" w:type="dxa"/>
          </w:tcPr>
          <w:p w14:paraId="15AF4B70" w14:textId="77777777" w:rsidR="001506C1" w:rsidRPr="00FA3F9C" w:rsidRDefault="001506C1" w:rsidP="005F6CEE">
            <w:pPr>
              <w:rPr>
                <w:rFonts w:ascii="Arial" w:hAnsi="Arial" w:cs="Arial"/>
                <w:sz w:val="24"/>
                <w:szCs w:val="24"/>
              </w:rPr>
            </w:pPr>
            <w:r w:rsidRPr="00FA3F9C">
              <w:rPr>
                <w:rFonts w:ascii="Arial" w:hAnsi="Arial" w:cs="Arial"/>
                <w:sz w:val="24"/>
                <w:szCs w:val="24"/>
              </w:rPr>
              <w:t>Pharmacist’s initials</w:t>
            </w:r>
          </w:p>
        </w:tc>
      </w:tr>
      <w:tr w:rsidR="001506C1" w:rsidRPr="00FA3F9C" w14:paraId="47E92334" w14:textId="77777777" w:rsidTr="006B2584">
        <w:tc>
          <w:tcPr>
            <w:tcW w:w="828" w:type="dxa"/>
          </w:tcPr>
          <w:p w14:paraId="3A4096CB" w14:textId="77777777" w:rsidR="001506C1" w:rsidRPr="00FA3F9C" w:rsidRDefault="001506C1" w:rsidP="005F6CEE">
            <w:pPr>
              <w:rPr>
                <w:rFonts w:ascii="Arial" w:hAnsi="Arial" w:cs="Arial"/>
                <w:sz w:val="24"/>
                <w:szCs w:val="24"/>
              </w:rPr>
            </w:pPr>
            <w:r w:rsidRPr="00FA3F9C">
              <w:rPr>
                <w:rFonts w:ascii="Arial" w:hAnsi="Arial" w:cs="Arial"/>
                <w:sz w:val="24"/>
                <w:szCs w:val="24"/>
              </w:rPr>
              <w:t>7/31/07</w:t>
            </w:r>
          </w:p>
        </w:tc>
        <w:tc>
          <w:tcPr>
            <w:tcW w:w="7920" w:type="dxa"/>
          </w:tcPr>
          <w:p w14:paraId="5AE5C409" w14:textId="77777777" w:rsidR="001506C1" w:rsidRPr="00FA3F9C" w:rsidRDefault="001506C1" w:rsidP="005F6CEE">
            <w:pPr>
              <w:rPr>
                <w:rFonts w:ascii="Arial" w:hAnsi="Arial" w:cs="Arial"/>
                <w:sz w:val="24"/>
                <w:szCs w:val="24"/>
              </w:rPr>
            </w:pPr>
            <w:r w:rsidRPr="00FA3F9C">
              <w:rPr>
                <w:rFonts w:ascii="Arial" w:hAnsi="Arial" w:cs="Arial"/>
                <w:sz w:val="24"/>
                <w:szCs w:val="24"/>
              </w:rPr>
              <w:t>Criteria written</w:t>
            </w:r>
          </w:p>
        </w:tc>
        <w:tc>
          <w:tcPr>
            <w:tcW w:w="1548" w:type="dxa"/>
          </w:tcPr>
          <w:p w14:paraId="3B9E6DDA" w14:textId="615DB927" w:rsidR="001506C1" w:rsidRPr="00FA3F9C" w:rsidRDefault="005C142D" w:rsidP="005F6CEE">
            <w:pPr>
              <w:rPr>
                <w:rFonts w:ascii="Arial" w:hAnsi="Arial" w:cs="Arial"/>
                <w:sz w:val="24"/>
                <w:szCs w:val="24"/>
              </w:rPr>
            </w:pPr>
            <w:r w:rsidRPr="00FA3F9C">
              <w:rPr>
                <w:rFonts w:ascii="Arial" w:hAnsi="Arial" w:cs="Arial"/>
                <w:sz w:val="24"/>
                <w:szCs w:val="24"/>
              </w:rPr>
              <w:t>JJ</w:t>
            </w:r>
          </w:p>
        </w:tc>
      </w:tr>
      <w:tr w:rsidR="001506C1" w:rsidRPr="00FA3F9C" w14:paraId="07B57F83" w14:textId="77777777" w:rsidTr="006B2584">
        <w:tc>
          <w:tcPr>
            <w:tcW w:w="828" w:type="dxa"/>
          </w:tcPr>
          <w:p w14:paraId="55F86804" w14:textId="77777777" w:rsidR="001506C1" w:rsidRPr="00FA3F9C" w:rsidRDefault="001506C1" w:rsidP="005F6CEE">
            <w:pPr>
              <w:rPr>
                <w:rFonts w:ascii="Arial" w:hAnsi="Arial" w:cs="Arial"/>
                <w:sz w:val="24"/>
                <w:szCs w:val="24"/>
              </w:rPr>
            </w:pPr>
            <w:r w:rsidRPr="00FA3F9C">
              <w:rPr>
                <w:rFonts w:ascii="Arial" w:hAnsi="Arial" w:cs="Arial"/>
                <w:sz w:val="24"/>
                <w:szCs w:val="24"/>
              </w:rPr>
              <w:t>10/16/07</w:t>
            </w:r>
          </w:p>
        </w:tc>
        <w:tc>
          <w:tcPr>
            <w:tcW w:w="7920" w:type="dxa"/>
          </w:tcPr>
          <w:p w14:paraId="35BB5166" w14:textId="77777777" w:rsidR="001506C1" w:rsidRPr="00FA3F9C" w:rsidRDefault="001506C1" w:rsidP="005F6CEE">
            <w:pPr>
              <w:rPr>
                <w:rFonts w:ascii="Arial" w:hAnsi="Arial" w:cs="Arial"/>
                <w:sz w:val="24"/>
                <w:szCs w:val="24"/>
              </w:rPr>
            </w:pPr>
            <w:r w:rsidRPr="00FA3F9C">
              <w:rPr>
                <w:rFonts w:ascii="Arial" w:hAnsi="Arial" w:cs="Arial"/>
                <w:sz w:val="24"/>
                <w:szCs w:val="24"/>
              </w:rPr>
              <w:t>IB approval</w:t>
            </w:r>
          </w:p>
        </w:tc>
        <w:tc>
          <w:tcPr>
            <w:tcW w:w="1548" w:type="dxa"/>
          </w:tcPr>
          <w:p w14:paraId="6E2E77C4" w14:textId="77777777" w:rsidR="001506C1" w:rsidRPr="00FA3F9C" w:rsidRDefault="001506C1" w:rsidP="005F6CEE">
            <w:pPr>
              <w:rPr>
                <w:rFonts w:ascii="Arial" w:hAnsi="Arial" w:cs="Arial"/>
                <w:sz w:val="24"/>
                <w:szCs w:val="24"/>
              </w:rPr>
            </w:pPr>
            <w:r w:rsidRPr="00FA3F9C">
              <w:rPr>
                <w:rFonts w:ascii="Arial" w:hAnsi="Arial" w:cs="Arial"/>
                <w:sz w:val="24"/>
                <w:szCs w:val="24"/>
              </w:rPr>
              <w:t>JJ</w:t>
            </w:r>
          </w:p>
        </w:tc>
      </w:tr>
      <w:tr w:rsidR="001506C1" w:rsidRPr="00FA3F9C" w14:paraId="72293022" w14:textId="77777777" w:rsidTr="006B2584">
        <w:tc>
          <w:tcPr>
            <w:tcW w:w="828" w:type="dxa"/>
          </w:tcPr>
          <w:p w14:paraId="58E967E1" w14:textId="77777777" w:rsidR="001506C1" w:rsidRPr="00FA3F9C" w:rsidRDefault="001506C1" w:rsidP="005F6CEE">
            <w:pPr>
              <w:rPr>
                <w:rFonts w:ascii="Arial" w:hAnsi="Arial" w:cs="Arial"/>
                <w:sz w:val="24"/>
                <w:szCs w:val="24"/>
              </w:rPr>
            </w:pPr>
            <w:r w:rsidRPr="00FA3F9C">
              <w:rPr>
                <w:rFonts w:ascii="Arial" w:hAnsi="Arial" w:cs="Arial"/>
                <w:sz w:val="24"/>
                <w:szCs w:val="24"/>
              </w:rPr>
              <w:t>5/15/17</w:t>
            </w:r>
          </w:p>
        </w:tc>
        <w:tc>
          <w:tcPr>
            <w:tcW w:w="7920" w:type="dxa"/>
          </w:tcPr>
          <w:p w14:paraId="0D4311C9" w14:textId="77777777" w:rsidR="001506C1" w:rsidRPr="00FA3F9C" w:rsidRDefault="001506C1" w:rsidP="005F6CEE">
            <w:pPr>
              <w:rPr>
                <w:rFonts w:ascii="Arial" w:hAnsi="Arial" w:cs="Arial"/>
                <w:sz w:val="24"/>
                <w:szCs w:val="24"/>
              </w:rPr>
            </w:pPr>
            <w:r w:rsidRPr="00FA3F9C">
              <w:rPr>
                <w:rFonts w:ascii="Arial" w:hAnsi="Arial" w:cs="Arial"/>
                <w:sz w:val="24"/>
                <w:szCs w:val="24"/>
              </w:rPr>
              <w:t xml:space="preserve">I changed age to 2 or older per dosing guidelines in Lexicomp. Added references 2-3.  In the setting of </w:t>
            </w:r>
            <w:proofErr w:type="spellStart"/>
            <w:r w:rsidRPr="00FA3F9C">
              <w:rPr>
                <w:rFonts w:ascii="Arial" w:hAnsi="Arial" w:cs="Arial"/>
                <w:sz w:val="24"/>
                <w:szCs w:val="24"/>
              </w:rPr>
              <w:t>aHUS</w:t>
            </w:r>
            <w:proofErr w:type="spellEnd"/>
            <w:r w:rsidRPr="00FA3F9C">
              <w:rPr>
                <w:rFonts w:ascii="Arial" w:hAnsi="Arial" w:cs="Arial"/>
                <w:sz w:val="24"/>
                <w:szCs w:val="24"/>
              </w:rPr>
              <w:t>, early treatment with eculizumab appears to reduce and reverse the number of patients receiving hemodialysis.</w:t>
            </w:r>
          </w:p>
        </w:tc>
        <w:tc>
          <w:tcPr>
            <w:tcW w:w="1548" w:type="dxa"/>
          </w:tcPr>
          <w:p w14:paraId="610E06D6" w14:textId="77777777" w:rsidR="001506C1" w:rsidRPr="00FA3F9C" w:rsidRDefault="001506C1" w:rsidP="005F6CEE">
            <w:pPr>
              <w:rPr>
                <w:rFonts w:ascii="Arial" w:hAnsi="Arial" w:cs="Arial"/>
                <w:sz w:val="24"/>
                <w:szCs w:val="24"/>
              </w:rPr>
            </w:pPr>
            <w:r w:rsidRPr="00FA3F9C">
              <w:rPr>
                <w:rFonts w:ascii="Arial" w:hAnsi="Arial" w:cs="Arial"/>
                <w:sz w:val="24"/>
                <w:szCs w:val="24"/>
              </w:rPr>
              <w:t>JJ</w:t>
            </w:r>
          </w:p>
        </w:tc>
      </w:tr>
      <w:tr w:rsidR="001506C1" w:rsidRPr="00FA3F9C" w14:paraId="0BB0C874" w14:textId="77777777" w:rsidTr="006B2584">
        <w:tc>
          <w:tcPr>
            <w:tcW w:w="828" w:type="dxa"/>
          </w:tcPr>
          <w:p w14:paraId="312873E0" w14:textId="77777777" w:rsidR="001506C1" w:rsidRPr="00FA3F9C" w:rsidRDefault="001506C1" w:rsidP="005F6CEE">
            <w:pPr>
              <w:rPr>
                <w:rFonts w:ascii="Arial" w:hAnsi="Arial" w:cs="Arial"/>
                <w:sz w:val="24"/>
                <w:szCs w:val="24"/>
              </w:rPr>
            </w:pPr>
            <w:r w:rsidRPr="00FA3F9C">
              <w:rPr>
                <w:rFonts w:ascii="Arial" w:hAnsi="Arial" w:cs="Arial"/>
                <w:sz w:val="24"/>
                <w:szCs w:val="24"/>
              </w:rPr>
              <w:t>2/25/19</w:t>
            </w:r>
          </w:p>
        </w:tc>
        <w:tc>
          <w:tcPr>
            <w:tcW w:w="7920" w:type="dxa"/>
          </w:tcPr>
          <w:p w14:paraId="77F22506" w14:textId="77777777" w:rsidR="001506C1" w:rsidRPr="00FA3F9C" w:rsidRDefault="001506C1" w:rsidP="005F6CEE">
            <w:pPr>
              <w:rPr>
                <w:rFonts w:ascii="Arial" w:hAnsi="Arial" w:cs="Arial"/>
                <w:sz w:val="24"/>
                <w:szCs w:val="24"/>
              </w:rPr>
            </w:pPr>
            <w:r w:rsidRPr="00FA3F9C">
              <w:rPr>
                <w:rFonts w:ascii="Arial" w:hAnsi="Arial" w:cs="Arial"/>
                <w:sz w:val="24"/>
                <w:szCs w:val="24"/>
              </w:rPr>
              <w:t xml:space="preserve">I removed the FDA indication for PNH from eculizumab.  </w:t>
            </w:r>
            <w:proofErr w:type="spellStart"/>
            <w:r w:rsidRPr="00FA3F9C">
              <w:rPr>
                <w:rFonts w:ascii="Arial" w:hAnsi="Arial" w:cs="Arial"/>
                <w:sz w:val="24"/>
                <w:szCs w:val="24"/>
              </w:rPr>
              <w:t>Ravulizumab</w:t>
            </w:r>
            <w:proofErr w:type="spellEnd"/>
            <w:r w:rsidRPr="00FA3F9C">
              <w:rPr>
                <w:rFonts w:ascii="Arial" w:hAnsi="Arial" w:cs="Arial"/>
                <w:sz w:val="24"/>
                <w:szCs w:val="24"/>
              </w:rPr>
              <w:t xml:space="preserve"> is noninferior and less costly. I added references 2 &amp; 3 under PNH above.</w:t>
            </w:r>
          </w:p>
        </w:tc>
        <w:tc>
          <w:tcPr>
            <w:tcW w:w="1548" w:type="dxa"/>
          </w:tcPr>
          <w:p w14:paraId="1F83506A" w14:textId="77777777" w:rsidR="001506C1" w:rsidRPr="00FA3F9C" w:rsidRDefault="001506C1" w:rsidP="005F6CEE">
            <w:pPr>
              <w:rPr>
                <w:rFonts w:ascii="Arial" w:hAnsi="Arial" w:cs="Arial"/>
                <w:sz w:val="24"/>
                <w:szCs w:val="24"/>
              </w:rPr>
            </w:pPr>
            <w:r w:rsidRPr="00FA3F9C">
              <w:rPr>
                <w:rFonts w:ascii="Arial" w:hAnsi="Arial" w:cs="Arial"/>
                <w:sz w:val="24"/>
                <w:szCs w:val="24"/>
              </w:rPr>
              <w:t>JJ</w:t>
            </w:r>
          </w:p>
        </w:tc>
      </w:tr>
      <w:tr w:rsidR="001506C1" w:rsidRPr="00FA3F9C" w14:paraId="4ED2E843" w14:textId="77777777" w:rsidTr="006B2584">
        <w:tc>
          <w:tcPr>
            <w:tcW w:w="828" w:type="dxa"/>
          </w:tcPr>
          <w:p w14:paraId="1806CABB" w14:textId="77777777" w:rsidR="001506C1" w:rsidRPr="00FA3F9C" w:rsidRDefault="001506C1" w:rsidP="005F6CEE">
            <w:pPr>
              <w:rPr>
                <w:rFonts w:ascii="Arial" w:hAnsi="Arial" w:cs="Arial"/>
                <w:sz w:val="24"/>
                <w:szCs w:val="24"/>
              </w:rPr>
            </w:pPr>
            <w:r w:rsidRPr="00FA3F9C">
              <w:rPr>
                <w:rFonts w:ascii="Arial" w:hAnsi="Arial" w:cs="Arial"/>
                <w:sz w:val="24"/>
                <w:szCs w:val="24"/>
              </w:rPr>
              <w:t>10/24/19</w:t>
            </w:r>
          </w:p>
        </w:tc>
        <w:tc>
          <w:tcPr>
            <w:tcW w:w="7920" w:type="dxa"/>
          </w:tcPr>
          <w:p w14:paraId="579C3170" w14:textId="77777777" w:rsidR="001506C1" w:rsidRPr="00FA3F9C" w:rsidRDefault="001506C1" w:rsidP="005F6CEE">
            <w:pPr>
              <w:rPr>
                <w:rFonts w:ascii="Arial" w:hAnsi="Arial" w:cs="Arial"/>
                <w:sz w:val="24"/>
                <w:szCs w:val="24"/>
              </w:rPr>
            </w:pPr>
            <w:r w:rsidRPr="00FA3F9C">
              <w:rPr>
                <w:rFonts w:ascii="Arial" w:hAnsi="Arial" w:cs="Arial"/>
                <w:sz w:val="24"/>
                <w:szCs w:val="24"/>
              </w:rPr>
              <w:t xml:space="preserve">I updated the PA to include the diagnosis neuromyelitis </w:t>
            </w:r>
            <w:proofErr w:type="spellStart"/>
            <w:r w:rsidRPr="00FA3F9C">
              <w:rPr>
                <w:rFonts w:ascii="Arial" w:hAnsi="Arial" w:cs="Arial"/>
                <w:sz w:val="24"/>
                <w:szCs w:val="24"/>
              </w:rPr>
              <w:t>optica</w:t>
            </w:r>
            <w:proofErr w:type="spellEnd"/>
            <w:r w:rsidRPr="00FA3F9C">
              <w:rPr>
                <w:rFonts w:ascii="Arial" w:hAnsi="Arial" w:cs="Arial"/>
                <w:sz w:val="24"/>
                <w:szCs w:val="24"/>
              </w:rPr>
              <w:t>; also added the reference.</w:t>
            </w:r>
          </w:p>
          <w:p w14:paraId="1E2176CC" w14:textId="77777777" w:rsidR="001506C1" w:rsidRPr="00FA3F9C" w:rsidRDefault="001506C1" w:rsidP="005F6CEE">
            <w:pPr>
              <w:rPr>
                <w:rFonts w:ascii="Arial" w:hAnsi="Arial" w:cs="Arial"/>
                <w:sz w:val="24"/>
                <w:szCs w:val="24"/>
              </w:rPr>
            </w:pPr>
            <w:r w:rsidRPr="00FA3F9C">
              <w:rPr>
                <w:rFonts w:ascii="Arial" w:hAnsi="Arial" w:cs="Arial"/>
                <w:sz w:val="24"/>
                <w:szCs w:val="24"/>
              </w:rPr>
              <w:t>I also added myasthenia gravis and relevant references.  The Lancet Neurology missed its primary endpoint, but the reference 2 showed reduced perceived fatigue (greater improvement in Neuro-QOL Fatigue vs placebo).</w:t>
            </w:r>
          </w:p>
        </w:tc>
        <w:tc>
          <w:tcPr>
            <w:tcW w:w="1548" w:type="dxa"/>
          </w:tcPr>
          <w:p w14:paraId="04D7332D" w14:textId="77777777" w:rsidR="001506C1" w:rsidRPr="00FA3F9C" w:rsidRDefault="001506C1" w:rsidP="005F6CEE">
            <w:pPr>
              <w:rPr>
                <w:rFonts w:ascii="Arial" w:hAnsi="Arial" w:cs="Arial"/>
                <w:sz w:val="24"/>
                <w:szCs w:val="24"/>
              </w:rPr>
            </w:pPr>
            <w:r w:rsidRPr="00FA3F9C">
              <w:rPr>
                <w:rFonts w:ascii="Arial" w:hAnsi="Arial" w:cs="Arial"/>
                <w:sz w:val="24"/>
                <w:szCs w:val="24"/>
              </w:rPr>
              <w:t>JJ</w:t>
            </w:r>
          </w:p>
        </w:tc>
      </w:tr>
      <w:tr w:rsidR="001506C1" w:rsidRPr="00FA3F9C" w14:paraId="6FB46B69" w14:textId="77777777" w:rsidTr="006B2584">
        <w:tc>
          <w:tcPr>
            <w:tcW w:w="828" w:type="dxa"/>
          </w:tcPr>
          <w:p w14:paraId="0C2544E9" w14:textId="77777777" w:rsidR="001506C1" w:rsidRPr="00FA3F9C" w:rsidRDefault="001506C1" w:rsidP="005F6CEE">
            <w:pPr>
              <w:rPr>
                <w:rFonts w:ascii="Arial" w:hAnsi="Arial" w:cs="Arial"/>
                <w:sz w:val="24"/>
                <w:szCs w:val="24"/>
              </w:rPr>
            </w:pPr>
            <w:r w:rsidRPr="00FA3F9C">
              <w:rPr>
                <w:rFonts w:ascii="Arial" w:hAnsi="Arial" w:cs="Arial"/>
                <w:sz w:val="24"/>
                <w:szCs w:val="24"/>
              </w:rPr>
              <w:t>8/10/2020</w:t>
            </w:r>
          </w:p>
        </w:tc>
        <w:tc>
          <w:tcPr>
            <w:tcW w:w="7920" w:type="dxa"/>
          </w:tcPr>
          <w:p w14:paraId="0CD147B5" w14:textId="77777777" w:rsidR="001506C1" w:rsidRPr="00FA3F9C" w:rsidRDefault="001506C1" w:rsidP="005F6CEE">
            <w:pPr>
              <w:rPr>
                <w:rFonts w:ascii="Arial" w:hAnsi="Arial" w:cs="Arial"/>
                <w:sz w:val="24"/>
                <w:szCs w:val="24"/>
              </w:rPr>
            </w:pPr>
            <w:r w:rsidRPr="00FA3F9C">
              <w:rPr>
                <w:rFonts w:ascii="Arial" w:hAnsi="Arial" w:cs="Arial"/>
                <w:sz w:val="24"/>
                <w:szCs w:val="24"/>
              </w:rPr>
              <w:t xml:space="preserve">I reviewed the criteria.  I added the need to fail or not be a candidate for rituximab in patients with refractory generalized myasthenia gravis.  I concur that </w:t>
            </w:r>
            <w:proofErr w:type="spellStart"/>
            <w:r w:rsidRPr="00FA3F9C">
              <w:rPr>
                <w:rFonts w:ascii="Arial" w:hAnsi="Arial" w:cs="Arial"/>
                <w:sz w:val="24"/>
                <w:szCs w:val="24"/>
              </w:rPr>
              <w:t>ravizulimab</w:t>
            </w:r>
            <w:proofErr w:type="spellEnd"/>
            <w:r w:rsidRPr="00FA3F9C">
              <w:rPr>
                <w:rFonts w:ascii="Arial" w:hAnsi="Arial" w:cs="Arial"/>
                <w:sz w:val="24"/>
                <w:szCs w:val="24"/>
              </w:rPr>
              <w:t xml:space="preserve"> is still the EBRx-preferred therapy for PNH, and I provided in black in bulleted format the added information for neuromyelitis </w:t>
            </w:r>
            <w:proofErr w:type="spellStart"/>
            <w:r w:rsidRPr="00FA3F9C">
              <w:rPr>
                <w:rFonts w:ascii="Arial" w:hAnsi="Arial" w:cs="Arial"/>
                <w:sz w:val="24"/>
                <w:szCs w:val="24"/>
              </w:rPr>
              <w:t>optica</w:t>
            </w:r>
            <w:proofErr w:type="spellEnd"/>
            <w:r w:rsidRPr="00FA3F9C">
              <w:rPr>
                <w:rFonts w:ascii="Arial" w:hAnsi="Arial" w:cs="Arial"/>
                <w:sz w:val="24"/>
                <w:szCs w:val="24"/>
              </w:rPr>
              <w:t xml:space="preserve"> spectrum disorder treatment sequence.</w:t>
            </w:r>
          </w:p>
        </w:tc>
        <w:tc>
          <w:tcPr>
            <w:tcW w:w="1548" w:type="dxa"/>
          </w:tcPr>
          <w:p w14:paraId="53B8B2E9" w14:textId="77777777" w:rsidR="001506C1" w:rsidRPr="00FA3F9C" w:rsidRDefault="001506C1" w:rsidP="005F6CEE">
            <w:pPr>
              <w:rPr>
                <w:rFonts w:ascii="Arial" w:hAnsi="Arial" w:cs="Arial"/>
                <w:sz w:val="24"/>
                <w:szCs w:val="24"/>
              </w:rPr>
            </w:pPr>
            <w:r w:rsidRPr="00FA3F9C">
              <w:rPr>
                <w:rFonts w:ascii="Arial" w:hAnsi="Arial" w:cs="Arial"/>
                <w:sz w:val="24"/>
                <w:szCs w:val="24"/>
              </w:rPr>
              <w:t>JJ</w:t>
            </w:r>
          </w:p>
        </w:tc>
      </w:tr>
      <w:tr w:rsidR="001506C1" w:rsidRPr="00FA3F9C" w14:paraId="771D31A3" w14:textId="77777777" w:rsidTr="006B2584">
        <w:tc>
          <w:tcPr>
            <w:tcW w:w="828" w:type="dxa"/>
          </w:tcPr>
          <w:p w14:paraId="77898205" w14:textId="77777777" w:rsidR="001506C1" w:rsidRPr="00FA3F9C" w:rsidRDefault="001506C1" w:rsidP="005F6CEE">
            <w:pPr>
              <w:rPr>
                <w:rFonts w:ascii="Arial" w:hAnsi="Arial" w:cs="Arial"/>
                <w:sz w:val="24"/>
                <w:szCs w:val="24"/>
              </w:rPr>
            </w:pPr>
            <w:r w:rsidRPr="00FA3F9C">
              <w:rPr>
                <w:rFonts w:ascii="Arial" w:hAnsi="Arial" w:cs="Arial"/>
                <w:sz w:val="24"/>
                <w:szCs w:val="24"/>
              </w:rPr>
              <w:t>10/28/2020</w:t>
            </w:r>
          </w:p>
        </w:tc>
        <w:tc>
          <w:tcPr>
            <w:tcW w:w="7920" w:type="dxa"/>
          </w:tcPr>
          <w:p w14:paraId="714DE2CA" w14:textId="77777777" w:rsidR="001506C1" w:rsidRPr="00FA3F9C" w:rsidRDefault="001506C1" w:rsidP="005F6CEE">
            <w:pPr>
              <w:rPr>
                <w:rFonts w:ascii="Arial" w:hAnsi="Arial" w:cs="Arial"/>
                <w:sz w:val="24"/>
                <w:szCs w:val="24"/>
              </w:rPr>
            </w:pPr>
            <w:r w:rsidRPr="00FA3F9C">
              <w:rPr>
                <w:rFonts w:ascii="Arial" w:hAnsi="Arial" w:cs="Arial"/>
                <w:sz w:val="24"/>
                <w:szCs w:val="24"/>
              </w:rPr>
              <w:t xml:space="preserve">I updated the PA to show EBRX would not cover eculizumab for NMOSD since it is very costly while </w:t>
            </w:r>
            <w:proofErr w:type="spellStart"/>
            <w:r w:rsidRPr="00FA3F9C">
              <w:rPr>
                <w:rFonts w:ascii="Arial" w:hAnsi="Arial" w:cs="Arial"/>
                <w:sz w:val="24"/>
                <w:szCs w:val="24"/>
              </w:rPr>
              <w:t>satralizumab</w:t>
            </w:r>
            <w:proofErr w:type="spellEnd"/>
            <w:r w:rsidRPr="00FA3F9C">
              <w:rPr>
                <w:rFonts w:ascii="Arial" w:hAnsi="Arial" w:cs="Arial"/>
                <w:sz w:val="24"/>
                <w:szCs w:val="24"/>
              </w:rPr>
              <w:t xml:space="preserve"> (and possibly rituximab) are less costly alternatives and with similar annual relapse rates.</w:t>
            </w:r>
          </w:p>
        </w:tc>
        <w:tc>
          <w:tcPr>
            <w:tcW w:w="1548" w:type="dxa"/>
          </w:tcPr>
          <w:p w14:paraId="54024BA7" w14:textId="77777777" w:rsidR="001506C1" w:rsidRPr="00FA3F9C" w:rsidRDefault="001506C1" w:rsidP="005F6CEE">
            <w:pPr>
              <w:rPr>
                <w:rFonts w:ascii="Arial" w:hAnsi="Arial" w:cs="Arial"/>
                <w:sz w:val="24"/>
                <w:szCs w:val="24"/>
              </w:rPr>
            </w:pPr>
            <w:r w:rsidRPr="00FA3F9C">
              <w:rPr>
                <w:rFonts w:ascii="Arial" w:hAnsi="Arial" w:cs="Arial"/>
                <w:sz w:val="24"/>
                <w:szCs w:val="24"/>
              </w:rPr>
              <w:t>JJ</w:t>
            </w:r>
          </w:p>
        </w:tc>
      </w:tr>
      <w:tr w:rsidR="001506C1" w:rsidRPr="00FA3F9C" w14:paraId="3C13ED21" w14:textId="77777777" w:rsidTr="006B2584">
        <w:tc>
          <w:tcPr>
            <w:tcW w:w="828" w:type="dxa"/>
          </w:tcPr>
          <w:p w14:paraId="3606309A" w14:textId="77777777" w:rsidR="001506C1" w:rsidRPr="00FA3F9C" w:rsidRDefault="001506C1" w:rsidP="005F6CEE">
            <w:pPr>
              <w:rPr>
                <w:rFonts w:ascii="Arial" w:hAnsi="Arial" w:cs="Arial"/>
                <w:sz w:val="24"/>
                <w:szCs w:val="24"/>
              </w:rPr>
            </w:pPr>
            <w:r w:rsidRPr="00FA3F9C">
              <w:rPr>
                <w:rFonts w:ascii="Arial" w:hAnsi="Arial" w:cs="Arial"/>
                <w:sz w:val="24"/>
                <w:szCs w:val="24"/>
              </w:rPr>
              <w:lastRenderedPageBreak/>
              <w:t>12/8/2020</w:t>
            </w:r>
          </w:p>
        </w:tc>
        <w:tc>
          <w:tcPr>
            <w:tcW w:w="7920" w:type="dxa"/>
          </w:tcPr>
          <w:p w14:paraId="26835D7D" w14:textId="77777777" w:rsidR="001506C1" w:rsidRPr="00FA3F9C" w:rsidRDefault="001506C1" w:rsidP="005F6CEE">
            <w:pPr>
              <w:rPr>
                <w:rFonts w:ascii="Arial" w:hAnsi="Arial" w:cs="Arial"/>
                <w:sz w:val="24"/>
                <w:szCs w:val="24"/>
              </w:rPr>
            </w:pPr>
            <w:r w:rsidRPr="00FA3F9C">
              <w:rPr>
                <w:rFonts w:ascii="Arial" w:hAnsi="Arial" w:cs="Arial"/>
                <w:sz w:val="24"/>
                <w:szCs w:val="24"/>
              </w:rPr>
              <w:t>Reviewed.  No effective changes.</w:t>
            </w:r>
          </w:p>
        </w:tc>
        <w:tc>
          <w:tcPr>
            <w:tcW w:w="1548" w:type="dxa"/>
          </w:tcPr>
          <w:p w14:paraId="18A63A36" w14:textId="77777777" w:rsidR="001506C1" w:rsidRPr="00FA3F9C" w:rsidRDefault="001506C1" w:rsidP="005F6CEE">
            <w:pPr>
              <w:rPr>
                <w:rFonts w:ascii="Arial" w:hAnsi="Arial" w:cs="Arial"/>
                <w:sz w:val="24"/>
                <w:szCs w:val="24"/>
              </w:rPr>
            </w:pPr>
            <w:r w:rsidRPr="00FA3F9C">
              <w:rPr>
                <w:rFonts w:ascii="Arial" w:hAnsi="Arial" w:cs="Arial"/>
                <w:sz w:val="24"/>
                <w:szCs w:val="24"/>
              </w:rPr>
              <w:t>JJ</w:t>
            </w:r>
          </w:p>
        </w:tc>
      </w:tr>
      <w:tr w:rsidR="001506C1" w:rsidRPr="00FA3F9C" w14:paraId="23F48042" w14:textId="77777777" w:rsidTr="006B2584">
        <w:tc>
          <w:tcPr>
            <w:tcW w:w="828" w:type="dxa"/>
          </w:tcPr>
          <w:p w14:paraId="637CD7B7" w14:textId="77777777" w:rsidR="001506C1" w:rsidRPr="00FA3F9C" w:rsidRDefault="001506C1" w:rsidP="005F6CEE">
            <w:pPr>
              <w:rPr>
                <w:rFonts w:ascii="Arial" w:hAnsi="Arial" w:cs="Arial"/>
                <w:sz w:val="24"/>
                <w:szCs w:val="24"/>
              </w:rPr>
            </w:pPr>
            <w:r w:rsidRPr="00FA3F9C">
              <w:rPr>
                <w:rFonts w:ascii="Arial" w:hAnsi="Arial" w:cs="Arial"/>
                <w:sz w:val="24"/>
                <w:szCs w:val="24"/>
              </w:rPr>
              <w:t>3/10/2021</w:t>
            </w:r>
          </w:p>
        </w:tc>
        <w:tc>
          <w:tcPr>
            <w:tcW w:w="7920" w:type="dxa"/>
          </w:tcPr>
          <w:p w14:paraId="476C6152" w14:textId="77777777" w:rsidR="001506C1" w:rsidRPr="00FA3F9C" w:rsidRDefault="001506C1" w:rsidP="005F6CEE">
            <w:pPr>
              <w:rPr>
                <w:rFonts w:ascii="Arial" w:hAnsi="Arial" w:cs="Arial"/>
                <w:sz w:val="24"/>
                <w:szCs w:val="24"/>
              </w:rPr>
            </w:pPr>
            <w:r w:rsidRPr="00FA3F9C">
              <w:rPr>
                <w:rFonts w:ascii="Arial" w:hAnsi="Arial" w:cs="Arial"/>
                <w:sz w:val="24"/>
                <w:szCs w:val="24"/>
              </w:rPr>
              <w:t>Reviewed.  No changes.</w:t>
            </w:r>
          </w:p>
        </w:tc>
        <w:tc>
          <w:tcPr>
            <w:tcW w:w="1548" w:type="dxa"/>
          </w:tcPr>
          <w:p w14:paraId="23DE5877" w14:textId="77777777" w:rsidR="001506C1" w:rsidRPr="00FA3F9C" w:rsidRDefault="001506C1" w:rsidP="005F6CEE">
            <w:pPr>
              <w:rPr>
                <w:rFonts w:ascii="Arial" w:hAnsi="Arial" w:cs="Arial"/>
                <w:sz w:val="24"/>
                <w:szCs w:val="24"/>
              </w:rPr>
            </w:pPr>
            <w:r w:rsidRPr="00FA3F9C">
              <w:rPr>
                <w:rFonts w:ascii="Arial" w:hAnsi="Arial" w:cs="Arial"/>
                <w:sz w:val="24"/>
                <w:szCs w:val="24"/>
              </w:rPr>
              <w:t>JJ</w:t>
            </w:r>
          </w:p>
        </w:tc>
      </w:tr>
    </w:tbl>
    <w:p w14:paraId="37BCF807" w14:textId="77777777" w:rsidR="002F3083" w:rsidRPr="00FA3F9C" w:rsidRDefault="002F3083" w:rsidP="002F3083">
      <w:pPr>
        <w:rPr>
          <w:rFonts w:ascii="Arial" w:hAnsi="Arial" w:cs="Arial"/>
          <w:sz w:val="24"/>
          <w:szCs w:val="24"/>
        </w:rPr>
      </w:pPr>
    </w:p>
    <w:p w14:paraId="7F3D14BD" w14:textId="77777777" w:rsidR="001506C1" w:rsidRPr="00FA3F9C" w:rsidRDefault="001506C1" w:rsidP="00BD761B">
      <w:pPr>
        <w:jc w:val="right"/>
        <w:rPr>
          <w:rFonts w:ascii="Arial" w:hAnsi="Arial" w:cs="Arial"/>
          <w:sz w:val="24"/>
          <w:szCs w:val="24"/>
        </w:rPr>
      </w:pPr>
    </w:p>
    <w:p w14:paraId="6551906B" w14:textId="77777777" w:rsidR="001506C1" w:rsidRPr="00FA3F9C" w:rsidRDefault="001506C1" w:rsidP="00BD761B">
      <w:pPr>
        <w:jc w:val="right"/>
        <w:rPr>
          <w:rFonts w:ascii="Arial" w:hAnsi="Arial" w:cs="Arial"/>
          <w:sz w:val="24"/>
          <w:szCs w:val="24"/>
        </w:rPr>
      </w:pPr>
    </w:p>
    <w:p w14:paraId="67868A5F" w14:textId="77777777" w:rsidR="001506C1" w:rsidRPr="00FA3F9C" w:rsidRDefault="001506C1" w:rsidP="002F3083">
      <w:pPr>
        <w:pStyle w:val="Heading2"/>
      </w:pPr>
      <w:bookmarkStart w:id="83" w:name="_Toc106369778"/>
      <w:proofErr w:type="spellStart"/>
      <w:r w:rsidRPr="00FA3F9C">
        <w:t>Edaravone</w:t>
      </w:r>
      <w:proofErr w:type="spellEnd"/>
      <w:r w:rsidRPr="00FA3F9C">
        <w:t xml:space="preserve"> (</w:t>
      </w:r>
      <w:proofErr w:type="spellStart"/>
      <w:r w:rsidRPr="00FA3F9C">
        <w:t>Radicava</w:t>
      </w:r>
      <w:proofErr w:type="spellEnd"/>
      <w:r w:rsidRPr="00FA3F9C">
        <w:t>)</w:t>
      </w:r>
      <w:bookmarkEnd w:id="83"/>
    </w:p>
    <w:p w14:paraId="2F773C53" w14:textId="77777777" w:rsidR="001506C1" w:rsidRPr="00FA3F9C" w:rsidRDefault="001506C1" w:rsidP="006F623F">
      <w:pPr>
        <w:spacing w:after="0"/>
        <w:jc w:val="center"/>
        <w:rPr>
          <w:rFonts w:ascii="Arial" w:hAnsi="Arial" w:cs="Arial"/>
          <w:sz w:val="24"/>
          <w:szCs w:val="24"/>
        </w:rPr>
      </w:pPr>
      <w:r w:rsidRPr="00FA3F9C">
        <w:rPr>
          <w:rFonts w:ascii="Arial" w:hAnsi="Arial" w:cs="Arial"/>
          <w:sz w:val="24"/>
          <w:szCs w:val="24"/>
        </w:rPr>
        <w:t>30mg/100mL IV infusion</w:t>
      </w:r>
    </w:p>
    <w:p w14:paraId="0C51FF84" w14:textId="77777777" w:rsidR="001506C1" w:rsidRPr="00FA3F9C" w:rsidRDefault="001506C1" w:rsidP="006F623F">
      <w:pPr>
        <w:spacing w:after="0"/>
        <w:jc w:val="center"/>
        <w:rPr>
          <w:rFonts w:ascii="Arial" w:hAnsi="Arial" w:cs="Arial"/>
          <w:sz w:val="24"/>
          <w:szCs w:val="24"/>
        </w:rPr>
      </w:pPr>
      <w:r w:rsidRPr="00FA3F9C">
        <w:rPr>
          <w:rFonts w:ascii="Arial" w:hAnsi="Arial" w:cs="Arial"/>
          <w:sz w:val="24"/>
          <w:szCs w:val="24"/>
        </w:rPr>
        <w:t>EBRx PA Criteria</w:t>
      </w:r>
    </w:p>
    <w:p w14:paraId="40C429BE" w14:textId="77777777" w:rsidR="001506C1" w:rsidRPr="00FA3F9C" w:rsidRDefault="001506C1" w:rsidP="006F623F">
      <w:pPr>
        <w:spacing w:after="0"/>
        <w:rPr>
          <w:rFonts w:ascii="Arial" w:hAnsi="Arial" w:cs="Arial"/>
          <w:b/>
          <w:sz w:val="24"/>
          <w:szCs w:val="24"/>
          <w:u w:val="single"/>
        </w:rPr>
      </w:pPr>
    </w:p>
    <w:p w14:paraId="4082401B" w14:textId="77777777" w:rsidR="001506C1" w:rsidRPr="00FA3F9C" w:rsidRDefault="001506C1"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treatment of amyotrophic lateral sclerosis (ALS)</w:t>
      </w:r>
    </w:p>
    <w:tbl>
      <w:tblPr>
        <w:tblStyle w:val="TableGrid"/>
        <w:tblW w:w="0" w:type="auto"/>
        <w:tblLook w:val="04A0" w:firstRow="1" w:lastRow="0" w:firstColumn="1" w:lastColumn="0" w:noHBand="0" w:noVBand="1"/>
      </w:tblPr>
      <w:tblGrid>
        <w:gridCol w:w="8928"/>
        <w:gridCol w:w="2088"/>
      </w:tblGrid>
      <w:tr w:rsidR="001506C1" w:rsidRPr="00FA3F9C" w14:paraId="264E7139" w14:textId="77777777" w:rsidTr="00571CAB">
        <w:tc>
          <w:tcPr>
            <w:tcW w:w="8928" w:type="dxa"/>
            <w:shd w:val="clear" w:color="auto" w:fill="000000"/>
          </w:tcPr>
          <w:p w14:paraId="5FE21CBB" w14:textId="77777777" w:rsidR="001506C1" w:rsidRPr="00FA3F9C" w:rsidRDefault="001506C1"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88" w:type="dxa"/>
            <w:shd w:val="clear" w:color="auto" w:fill="000000"/>
          </w:tcPr>
          <w:p w14:paraId="0075125F" w14:textId="77777777" w:rsidR="001506C1" w:rsidRPr="00FA3F9C" w:rsidRDefault="001506C1" w:rsidP="006F623F">
            <w:pPr>
              <w:jc w:val="center"/>
              <w:rPr>
                <w:rFonts w:ascii="Arial" w:hAnsi="Arial" w:cs="Arial"/>
                <w:b/>
                <w:sz w:val="24"/>
                <w:szCs w:val="24"/>
                <w:u w:val="single"/>
              </w:rPr>
            </w:pPr>
          </w:p>
        </w:tc>
      </w:tr>
      <w:tr w:rsidR="001506C1" w:rsidRPr="00FA3F9C" w14:paraId="6816C3CF" w14:textId="77777777" w:rsidTr="00F337AE">
        <w:tc>
          <w:tcPr>
            <w:tcW w:w="11016" w:type="dxa"/>
            <w:gridSpan w:val="2"/>
          </w:tcPr>
          <w:p w14:paraId="2A5A5FB7" w14:textId="77777777" w:rsidR="001506C1" w:rsidRPr="00FA3F9C" w:rsidRDefault="001506C1" w:rsidP="001506C1">
            <w:pPr>
              <w:pStyle w:val="ListParagraph"/>
              <w:numPr>
                <w:ilvl w:val="0"/>
                <w:numId w:val="148"/>
              </w:numPr>
              <w:rPr>
                <w:rFonts w:ascii="Arial" w:hAnsi="Arial" w:cs="Arial"/>
                <w:sz w:val="24"/>
                <w:szCs w:val="24"/>
              </w:rPr>
            </w:pPr>
            <w:r w:rsidRPr="00FA3F9C">
              <w:rPr>
                <w:rFonts w:ascii="Arial" w:hAnsi="Arial" w:cs="Arial"/>
                <w:sz w:val="24"/>
                <w:szCs w:val="24"/>
              </w:rPr>
              <w:t xml:space="preserve"> Patient must have diagnosis of ALS</w:t>
            </w:r>
          </w:p>
        </w:tc>
      </w:tr>
      <w:tr w:rsidR="001506C1" w:rsidRPr="00FA3F9C" w14:paraId="0750C156" w14:textId="77777777" w:rsidTr="00B1617E">
        <w:tc>
          <w:tcPr>
            <w:tcW w:w="11016" w:type="dxa"/>
            <w:gridSpan w:val="2"/>
          </w:tcPr>
          <w:p w14:paraId="4C62D9F7" w14:textId="77777777" w:rsidR="001506C1" w:rsidRPr="00FA3F9C" w:rsidRDefault="001506C1" w:rsidP="001506C1">
            <w:pPr>
              <w:pStyle w:val="ListParagraph"/>
              <w:numPr>
                <w:ilvl w:val="0"/>
                <w:numId w:val="148"/>
              </w:numPr>
              <w:rPr>
                <w:rFonts w:ascii="Arial" w:hAnsi="Arial" w:cs="Arial"/>
                <w:sz w:val="24"/>
                <w:szCs w:val="24"/>
              </w:rPr>
            </w:pPr>
            <w:r w:rsidRPr="00FA3F9C">
              <w:rPr>
                <w:rFonts w:ascii="Arial" w:hAnsi="Arial" w:cs="Arial"/>
                <w:sz w:val="24"/>
                <w:szCs w:val="24"/>
              </w:rPr>
              <w:t xml:space="preserve"> The patient must have recent (from the previous 3 months) pulmonary function tests showing an FVC of at least 80% predicted</w:t>
            </w:r>
          </w:p>
        </w:tc>
      </w:tr>
      <w:tr w:rsidR="001506C1" w:rsidRPr="00FA3F9C" w14:paraId="192407F8" w14:textId="77777777" w:rsidTr="0010789D">
        <w:tc>
          <w:tcPr>
            <w:tcW w:w="11016" w:type="dxa"/>
            <w:gridSpan w:val="2"/>
          </w:tcPr>
          <w:p w14:paraId="4015A33C" w14:textId="77777777" w:rsidR="001506C1" w:rsidRPr="00FA3F9C" w:rsidRDefault="001506C1" w:rsidP="001506C1">
            <w:pPr>
              <w:pStyle w:val="ListParagraph"/>
              <w:numPr>
                <w:ilvl w:val="0"/>
                <w:numId w:val="148"/>
              </w:numPr>
              <w:rPr>
                <w:rFonts w:ascii="Arial" w:hAnsi="Arial" w:cs="Arial"/>
                <w:sz w:val="24"/>
                <w:szCs w:val="24"/>
              </w:rPr>
            </w:pPr>
            <w:r w:rsidRPr="00FA3F9C">
              <w:rPr>
                <w:rFonts w:ascii="Arial" w:hAnsi="Arial" w:cs="Arial"/>
                <w:sz w:val="24"/>
                <w:szCs w:val="24"/>
              </w:rPr>
              <w:t xml:space="preserve"> The patient must NOT have any history of spinal symptoms</w:t>
            </w:r>
          </w:p>
        </w:tc>
      </w:tr>
      <w:tr w:rsidR="001506C1" w:rsidRPr="00FA3F9C" w14:paraId="76149195" w14:textId="77777777" w:rsidTr="00DA57E0">
        <w:tc>
          <w:tcPr>
            <w:tcW w:w="11016" w:type="dxa"/>
            <w:gridSpan w:val="2"/>
          </w:tcPr>
          <w:p w14:paraId="16528066" w14:textId="77777777" w:rsidR="001506C1" w:rsidRPr="00FA3F9C" w:rsidRDefault="001506C1" w:rsidP="006F623F">
            <w:pPr>
              <w:rPr>
                <w:rFonts w:ascii="Arial" w:hAnsi="Arial" w:cs="Arial"/>
                <w:b/>
                <w:sz w:val="24"/>
                <w:szCs w:val="24"/>
              </w:rPr>
            </w:pPr>
            <w:r w:rsidRPr="00FA3F9C">
              <w:rPr>
                <w:rFonts w:ascii="Arial" w:hAnsi="Arial" w:cs="Arial"/>
                <w:b/>
                <w:sz w:val="24"/>
                <w:szCs w:val="24"/>
              </w:rPr>
              <w:t>If all 3 criteria above are fulfilled, approve the PA for 6 months.</w:t>
            </w:r>
          </w:p>
        </w:tc>
      </w:tr>
    </w:tbl>
    <w:p w14:paraId="0E21FABE" w14:textId="77777777" w:rsidR="001506C1" w:rsidRPr="00FA3F9C" w:rsidRDefault="001506C1" w:rsidP="006F623F">
      <w:pPr>
        <w:spacing w:after="0"/>
        <w:rPr>
          <w:rFonts w:ascii="Arial" w:hAnsi="Arial" w:cs="Arial"/>
          <w:b/>
          <w:sz w:val="24"/>
          <w:szCs w:val="24"/>
          <w:u w:val="single"/>
        </w:rPr>
      </w:pPr>
    </w:p>
    <w:tbl>
      <w:tblPr>
        <w:tblStyle w:val="TableGrid"/>
        <w:tblW w:w="0" w:type="auto"/>
        <w:tblLook w:val="04A0" w:firstRow="1" w:lastRow="0" w:firstColumn="1" w:lastColumn="0" w:noHBand="0" w:noVBand="1"/>
      </w:tblPr>
      <w:tblGrid>
        <w:gridCol w:w="8928"/>
        <w:gridCol w:w="2088"/>
      </w:tblGrid>
      <w:tr w:rsidR="001506C1" w:rsidRPr="00FA3F9C" w14:paraId="0EFB8250" w14:textId="77777777" w:rsidTr="00571CAB">
        <w:tc>
          <w:tcPr>
            <w:tcW w:w="8928" w:type="dxa"/>
            <w:shd w:val="clear" w:color="auto" w:fill="000000"/>
          </w:tcPr>
          <w:p w14:paraId="489CF702" w14:textId="77777777" w:rsidR="001506C1" w:rsidRPr="00FA3F9C" w:rsidRDefault="001506C1" w:rsidP="00571CAB">
            <w:pPr>
              <w:rPr>
                <w:rFonts w:ascii="Arial" w:hAnsi="Arial" w:cs="Arial"/>
                <w:b/>
                <w:sz w:val="24"/>
                <w:szCs w:val="24"/>
                <w:u w:val="single"/>
              </w:rPr>
            </w:pPr>
            <w:r w:rsidRPr="00FA3F9C">
              <w:rPr>
                <w:rFonts w:ascii="Arial" w:hAnsi="Arial" w:cs="Arial"/>
                <w:b/>
                <w:sz w:val="24"/>
                <w:szCs w:val="24"/>
                <w:u w:val="single"/>
              </w:rPr>
              <w:t>Criteria for continuation</w:t>
            </w:r>
          </w:p>
        </w:tc>
        <w:tc>
          <w:tcPr>
            <w:tcW w:w="2088" w:type="dxa"/>
            <w:shd w:val="clear" w:color="auto" w:fill="000000"/>
          </w:tcPr>
          <w:p w14:paraId="48BCD31B" w14:textId="77777777" w:rsidR="001506C1" w:rsidRPr="00FA3F9C" w:rsidRDefault="001506C1" w:rsidP="00571CAB">
            <w:pPr>
              <w:jc w:val="center"/>
              <w:rPr>
                <w:rFonts w:ascii="Arial" w:hAnsi="Arial" w:cs="Arial"/>
                <w:b/>
                <w:sz w:val="24"/>
                <w:szCs w:val="24"/>
                <w:u w:val="single"/>
              </w:rPr>
            </w:pPr>
          </w:p>
        </w:tc>
      </w:tr>
      <w:tr w:rsidR="001506C1" w:rsidRPr="00FA3F9C" w14:paraId="0C11744D" w14:textId="77777777" w:rsidTr="00FE7E94">
        <w:tc>
          <w:tcPr>
            <w:tcW w:w="11016" w:type="dxa"/>
            <w:gridSpan w:val="2"/>
          </w:tcPr>
          <w:p w14:paraId="61C2DFD2" w14:textId="77777777" w:rsidR="001506C1" w:rsidRPr="00FA3F9C" w:rsidRDefault="001506C1" w:rsidP="001506C1">
            <w:pPr>
              <w:pStyle w:val="ListParagraph"/>
              <w:numPr>
                <w:ilvl w:val="0"/>
                <w:numId w:val="149"/>
              </w:numPr>
              <w:rPr>
                <w:rFonts w:ascii="Arial" w:hAnsi="Arial" w:cs="Arial"/>
                <w:sz w:val="24"/>
                <w:szCs w:val="24"/>
              </w:rPr>
            </w:pPr>
            <w:r w:rsidRPr="00FA3F9C">
              <w:rPr>
                <w:rFonts w:ascii="Arial" w:hAnsi="Arial" w:cs="Arial"/>
                <w:sz w:val="24"/>
                <w:szCs w:val="24"/>
              </w:rPr>
              <w:t>The patient must have recent (from the previous 3 months) pulmonary function tests showing an FVC of at least 80% predicted</w:t>
            </w:r>
          </w:p>
        </w:tc>
      </w:tr>
      <w:tr w:rsidR="001506C1" w:rsidRPr="00FA3F9C" w14:paraId="7654D34C" w14:textId="77777777" w:rsidTr="00E85040">
        <w:tc>
          <w:tcPr>
            <w:tcW w:w="11016" w:type="dxa"/>
            <w:gridSpan w:val="2"/>
          </w:tcPr>
          <w:p w14:paraId="14A76EDD" w14:textId="77777777" w:rsidR="001506C1" w:rsidRPr="00FA3F9C" w:rsidRDefault="001506C1" w:rsidP="001506C1">
            <w:pPr>
              <w:pStyle w:val="ListParagraph"/>
              <w:numPr>
                <w:ilvl w:val="0"/>
                <w:numId w:val="149"/>
              </w:numPr>
              <w:rPr>
                <w:rFonts w:ascii="Arial" w:hAnsi="Arial" w:cs="Arial"/>
                <w:sz w:val="24"/>
                <w:szCs w:val="24"/>
              </w:rPr>
            </w:pPr>
            <w:r w:rsidRPr="00FA3F9C">
              <w:rPr>
                <w:rFonts w:ascii="Arial" w:hAnsi="Arial" w:cs="Arial"/>
                <w:sz w:val="24"/>
                <w:szCs w:val="24"/>
              </w:rPr>
              <w:t xml:space="preserve">The patient must maintain adherence to the 10 days out of 14 days IV infusions.  </w:t>
            </w:r>
          </w:p>
        </w:tc>
      </w:tr>
      <w:tr w:rsidR="001506C1" w:rsidRPr="00FA3F9C" w14:paraId="05B90F25" w14:textId="77777777" w:rsidTr="00AD0E38">
        <w:tc>
          <w:tcPr>
            <w:tcW w:w="11016" w:type="dxa"/>
            <w:gridSpan w:val="2"/>
          </w:tcPr>
          <w:p w14:paraId="2F3B0199" w14:textId="77777777" w:rsidR="001506C1" w:rsidRPr="00FA3F9C" w:rsidRDefault="001506C1" w:rsidP="00571CAB">
            <w:pPr>
              <w:rPr>
                <w:rFonts w:ascii="Arial" w:hAnsi="Arial" w:cs="Arial"/>
                <w:sz w:val="24"/>
                <w:szCs w:val="24"/>
              </w:rPr>
            </w:pPr>
          </w:p>
        </w:tc>
      </w:tr>
      <w:tr w:rsidR="001506C1" w:rsidRPr="00FA3F9C" w14:paraId="768C68B8" w14:textId="77777777" w:rsidTr="005D1893">
        <w:tc>
          <w:tcPr>
            <w:tcW w:w="11016" w:type="dxa"/>
            <w:gridSpan w:val="2"/>
          </w:tcPr>
          <w:p w14:paraId="2786B9A3" w14:textId="77777777" w:rsidR="001506C1" w:rsidRPr="00FA3F9C" w:rsidRDefault="001506C1" w:rsidP="00571CAB">
            <w:pPr>
              <w:rPr>
                <w:rFonts w:ascii="Arial" w:hAnsi="Arial" w:cs="Arial"/>
                <w:b/>
                <w:sz w:val="24"/>
                <w:szCs w:val="24"/>
              </w:rPr>
            </w:pPr>
            <w:r w:rsidRPr="00FA3F9C">
              <w:rPr>
                <w:rFonts w:ascii="Arial" w:hAnsi="Arial" w:cs="Arial"/>
                <w:b/>
                <w:sz w:val="24"/>
                <w:szCs w:val="24"/>
              </w:rPr>
              <w:t xml:space="preserve">If </w:t>
            </w:r>
            <w:proofErr w:type="gramStart"/>
            <w:r w:rsidRPr="00FA3F9C">
              <w:rPr>
                <w:rFonts w:ascii="Arial" w:hAnsi="Arial" w:cs="Arial"/>
                <w:b/>
                <w:sz w:val="24"/>
                <w:szCs w:val="24"/>
              </w:rPr>
              <w:t>both of the continuation</w:t>
            </w:r>
            <w:proofErr w:type="gramEnd"/>
            <w:r w:rsidRPr="00FA3F9C">
              <w:rPr>
                <w:rFonts w:ascii="Arial" w:hAnsi="Arial" w:cs="Arial"/>
                <w:b/>
                <w:sz w:val="24"/>
                <w:szCs w:val="24"/>
              </w:rPr>
              <w:t xml:space="preserve"> criteria are fulfilled, approve this PA for 3 months.</w:t>
            </w:r>
          </w:p>
        </w:tc>
      </w:tr>
    </w:tbl>
    <w:p w14:paraId="039A5821" w14:textId="77777777" w:rsidR="001506C1" w:rsidRPr="00FA3F9C" w:rsidRDefault="001506C1" w:rsidP="006F623F">
      <w:pPr>
        <w:spacing w:after="0"/>
        <w:rPr>
          <w:rFonts w:ascii="Arial" w:hAnsi="Arial" w:cs="Arial"/>
          <w:b/>
          <w:sz w:val="24"/>
          <w:szCs w:val="24"/>
          <w:u w:val="single"/>
        </w:rPr>
      </w:pPr>
    </w:p>
    <w:p w14:paraId="53339213" w14:textId="77777777" w:rsidR="001506C1" w:rsidRPr="00FA3F9C" w:rsidRDefault="001506C1" w:rsidP="006F623F">
      <w:pPr>
        <w:spacing w:after="0"/>
        <w:rPr>
          <w:rFonts w:ascii="Arial" w:hAnsi="Arial" w:cs="Arial"/>
          <w:b/>
          <w:sz w:val="24"/>
          <w:szCs w:val="24"/>
          <w:u w:val="single"/>
        </w:rPr>
      </w:pPr>
    </w:p>
    <w:tbl>
      <w:tblPr>
        <w:tblStyle w:val="TableGrid"/>
        <w:tblW w:w="0" w:type="auto"/>
        <w:shd w:val="clear" w:color="auto" w:fill="BFBFBF" w:themeFill="background1" w:themeFillShade="BF"/>
        <w:tblLook w:val="04A0" w:firstRow="1" w:lastRow="0" w:firstColumn="1" w:lastColumn="0" w:noHBand="0" w:noVBand="1"/>
      </w:tblPr>
      <w:tblGrid>
        <w:gridCol w:w="10998"/>
      </w:tblGrid>
      <w:tr w:rsidR="001506C1" w:rsidRPr="00FA3F9C" w14:paraId="19962AEE" w14:textId="77777777" w:rsidTr="00D82B6E">
        <w:tc>
          <w:tcPr>
            <w:tcW w:w="10998" w:type="dxa"/>
            <w:shd w:val="clear" w:color="auto" w:fill="BFBFBF" w:themeFill="background1" w:themeFillShade="BF"/>
          </w:tcPr>
          <w:p w14:paraId="7C77C38E" w14:textId="77777777" w:rsidR="001506C1" w:rsidRPr="00FA3F9C" w:rsidRDefault="001506C1" w:rsidP="00D82B6E">
            <w:pPr>
              <w:rPr>
                <w:rFonts w:ascii="Arial" w:hAnsi="Arial" w:cs="Arial"/>
                <w:sz w:val="24"/>
                <w:szCs w:val="24"/>
              </w:rPr>
            </w:pPr>
            <w:r w:rsidRPr="00FA3F9C">
              <w:rPr>
                <w:rFonts w:ascii="Arial" w:hAnsi="Arial" w:cs="Arial"/>
                <w:sz w:val="24"/>
                <w:szCs w:val="24"/>
              </w:rPr>
              <w:t xml:space="preserve">Note: The dose is 60mg QD IV infusion X14days, followed by a </w:t>
            </w:r>
            <w:proofErr w:type="gramStart"/>
            <w:r w:rsidRPr="00FA3F9C">
              <w:rPr>
                <w:rFonts w:ascii="Arial" w:hAnsi="Arial" w:cs="Arial"/>
                <w:sz w:val="24"/>
                <w:szCs w:val="24"/>
              </w:rPr>
              <w:t>14 day</w:t>
            </w:r>
            <w:proofErr w:type="gramEnd"/>
            <w:r w:rsidRPr="00FA3F9C">
              <w:rPr>
                <w:rFonts w:ascii="Arial" w:hAnsi="Arial" w:cs="Arial"/>
                <w:sz w:val="24"/>
                <w:szCs w:val="24"/>
              </w:rPr>
              <w:t xml:space="preserve"> drug-free period.  Subsequent cycles are 60mg IV infusion daily X10 days out of every 14 days, followed by a </w:t>
            </w:r>
            <w:proofErr w:type="gramStart"/>
            <w:r w:rsidRPr="00FA3F9C">
              <w:rPr>
                <w:rFonts w:ascii="Arial" w:hAnsi="Arial" w:cs="Arial"/>
                <w:sz w:val="24"/>
                <w:szCs w:val="24"/>
              </w:rPr>
              <w:t>14 day</w:t>
            </w:r>
            <w:proofErr w:type="gramEnd"/>
            <w:r w:rsidRPr="00FA3F9C">
              <w:rPr>
                <w:rFonts w:ascii="Arial" w:hAnsi="Arial" w:cs="Arial"/>
                <w:sz w:val="24"/>
                <w:szCs w:val="24"/>
              </w:rPr>
              <w:t xml:space="preserve"> drug-free period.</w:t>
            </w:r>
          </w:p>
        </w:tc>
      </w:tr>
    </w:tbl>
    <w:p w14:paraId="30F9A82E" w14:textId="77777777" w:rsidR="001506C1" w:rsidRPr="00FA3F9C" w:rsidRDefault="001506C1" w:rsidP="006F623F">
      <w:pPr>
        <w:spacing w:after="0"/>
        <w:rPr>
          <w:rFonts w:ascii="Arial" w:hAnsi="Arial" w:cs="Arial"/>
          <w:sz w:val="24"/>
          <w:szCs w:val="24"/>
        </w:rPr>
      </w:pPr>
    </w:p>
    <w:p w14:paraId="74B5BDA1"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lastRenderedPageBreak/>
        <w:t xml:space="preserve">Quantity Limits: </w:t>
      </w:r>
      <w:proofErr w:type="spellStart"/>
      <w:r w:rsidRPr="00FA3F9C">
        <w:rPr>
          <w:rFonts w:ascii="Arial" w:hAnsi="Arial" w:cs="Arial"/>
          <w:sz w:val="24"/>
          <w:szCs w:val="24"/>
        </w:rPr>
        <w:t>Edaravone</w:t>
      </w:r>
      <w:proofErr w:type="spellEnd"/>
      <w:r w:rsidRPr="00FA3F9C">
        <w:rPr>
          <w:rFonts w:ascii="Arial" w:hAnsi="Arial" w:cs="Arial"/>
          <w:sz w:val="24"/>
          <w:szCs w:val="24"/>
        </w:rPr>
        <w:t xml:space="preserve"> is supplied in 2-30mg IV infusion bags.  </w:t>
      </w:r>
    </w:p>
    <w:p w14:paraId="7B38D048"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 xml:space="preserve">The QL is 2 bags </w:t>
      </w:r>
      <w:proofErr w:type="gramStart"/>
      <w:r w:rsidRPr="00FA3F9C">
        <w:rPr>
          <w:rFonts w:ascii="Arial" w:hAnsi="Arial" w:cs="Arial"/>
          <w:sz w:val="24"/>
          <w:szCs w:val="24"/>
        </w:rPr>
        <w:t>QD;</w:t>
      </w:r>
      <w:proofErr w:type="gramEnd"/>
      <w:r w:rsidRPr="00FA3F9C">
        <w:rPr>
          <w:rFonts w:ascii="Arial" w:hAnsi="Arial" w:cs="Arial"/>
          <w:sz w:val="24"/>
          <w:szCs w:val="24"/>
        </w:rPr>
        <w:t xml:space="preserve"> 28 bags/28 days initially.</w:t>
      </w:r>
    </w:p>
    <w:p w14:paraId="4D9B51AB"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The QL is 20 bags/28 days after the initial 28 days.</w:t>
      </w:r>
    </w:p>
    <w:p w14:paraId="5A98DC2B" w14:textId="77777777" w:rsidR="001506C1" w:rsidRPr="00FA3F9C" w:rsidRDefault="001506C1" w:rsidP="006F623F">
      <w:pPr>
        <w:spacing w:after="0"/>
        <w:rPr>
          <w:rFonts w:ascii="Arial" w:hAnsi="Arial" w:cs="Arial"/>
          <w:sz w:val="24"/>
          <w:szCs w:val="24"/>
        </w:rPr>
      </w:pPr>
    </w:p>
    <w:p w14:paraId="35434FAA"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017"/>
        <w:gridCol w:w="7470"/>
        <w:gridCol w:w="2538"/>
      </w:tblGrid>
      <w:tr w:rsidR="001506C1" w:rsidRPr="00FA3F9C" w14:paraId="3E34CC38" w14:textId="77777777" w:rsidTr="00FE491B">
        <w:tc>
          <w:tcPr>
            <w:tcW w:w="1008" w:type="dxa"/>
          </w:tcPr>
          <w:p w14:paraId="7253F1C4" w14:textId="77777777" w:rsidR="001506C1" w:rsidRPr="00FA3F9C" w:rsidRDefault="001506C1" w:rsidP="006F623F">
            <w:pPr>
              <w:rPr>
                <w:rFonts w:ascii="Arial" w:hAnsi="Arial" w:cs="Arial"/>
                <w:sz w:val="24"/>
                <w:szCs w:val="24"/>
              </w:rPr>
            </w:pPr>
            <w:r w:rsidRPr="00FA3F9C">
              <w:rPr>
                <w:rFonts w:ascii="Arial" w:hAnsi="Arial" w:cs="Arial"/>
                <w:sz w:val="24"/>
                <w:szCs w:val="24"/>
              </w:rPr>
              <w:t>Date</w:t>
            </w:r>
          </w:p>
        </w:tc>
        <w:tc>
          <w:tcPr>
            <w:tcW w:w="7470" w:type="dxa"/>
          </w:tcPr>
          <w:p w14:paraId="196ED136" w14:textId="77777777" w:rsidR="001506C1" w:rsidRPr="00FA3F9C" w:rsidRDefault="001506C1" w:rsidP="006F623F">
            <w:pPr>
              <w:rPr>
                <w:rFonts w:ascii="Arial" w:hAnsi="Arial" w:cs="Arial"/>
                <w:sz w:val="24"/>
                <w:szCs w:val="24"/>
              </w:rPr>
            </w:pPr>
            <w:r w:rsidRPr="00FA3F9C">
              <w:rPr>
                <w:rFonts w:ascii="Arial" w:hAnsi="Arial" w:cs="Arial"/>
                <w:sz w:val="24"/>
                <w:szCs w:val="24"/>
              </w:rPr>
              <w:t>What changed</w:t>
            </w:r>
          </w:p>
        </w:tc>
        <w:tc>
          <w:tcPr>
            <w:tcW w:w="2538" w:type="dxa"/>
          </w:tcPr>
          <w:p w14:paraId="4B5CB266" w14:textId="77777777" w:rsidR="001506C1" w:rsidRPr="00FA3F9C" w:rsidRDefault="001506C1" w:rsidP="006F623F">
            <w:pPr>
              <w:rPr>
                <w:rFonts w:ascii="Arial" w:hAnsi="Arial" w:cs="Arial"/>
                <w:sz w:val="24"/>
                <w:szCs w:val="24"/>
              </w:rPr>
            </w:pPr>
            <w:r w:rsidRPr="00FA3F9C">
              <w:rPr>
                <w:rFonts w:ascii="Arial" w:hAnsi="Arial" w:cs="Arial"/>
                <w:sz w:val="24"/>
                <w:szCs w:val="24"/>
              </w:rPr>
              <w:t>Pharmacist’s initials</w:t>
            </w:r>
          </w:p>
        </w:tc>
      </w:tr>
      <w:tr w:rsidR="001506C1" w:rsidRPr="00FA3F9C" w14:paraId="73582655" w14:textId="77777777" w:rsidTr="00FE491B">
        <w:tc>
          <w:tcPr>
            <w:tcW w:w="1008" w:type="dxa"/>
          </w:tcPr>
          <w:p w14:paraId="0A8B6008" w14:textId="77777777" w:rsidR="001506C1" w:rsidRPr="00FA3F9C" w:rsidRDefault="001506C1" w:rsidP="006F623F">
            <w:pPr>
              <w:rPr>
                <w:rFonts w:ascii="Arial" w:hAnsi="Arial" w:cs="Arial"/>
                <w:sz w:val="24"/>
                <w:szCs w:val="24"/>
              </w:rPr>
            </w:pPr>
            <w:r w:rsidRPr="00FA3F9C">
              <w:rPr>
                <w:rFonts w:ascii="Arial" w:hAnsi="Arial" w:cs="Arial"/>
                <w:sz w:val="24"/>
                <w:szCs w:val="24"/>
              </w:rPr>
              <w:t>8/24/17</w:t>
            </w:r>
          </w:p>
        </w:tc>
        <w:tc>
          <w:tcPr>
            <w:tcW w:w="7470" w:type="dxa"/>
          </w:tcPr>
          <w:p w14:paraId="1FEFC4A9" w14:textId="77777777" w:rsidR="001506C1" w:rsidRPr="00FA3F9C" w:rsidRDefault="001506C1" w:rsidP="006F623F">
            <w:pPr>
              <w:rPr>
                <w:rFonts w:ascii="Arial" w:hAnsi="Arial" w:cs="Arial"/>
                <w:sz w:val="24"/>
                <w:szCs w:val="24"/>
              </w:rPr>
            </w:pPr>
            <w:r w:rsidRPr="00FA3F9C">
              <w:rPr>
                <w:rFonts w:ascii="Arial" w:hAnsi="Arial" w:cs="Arial"/>
                <w:sz w:val="24"/>
                <w:szCs w:val="24"/>
              </w:rPr>
              <w:t>I wrote the criteria.</w:t>
            </w:r>
          </w:p>
        </w:tc>
        <w:tc>
          <w:tcPr>
            <w:tcW w:w="2538" w:type="dxa"/>
          </w:tcPr>
          <w:p w14:paraId="4C58523F" w14:textId="77777777" w:rsidR="001506C1" w:rsidRPr="00FA3F9C" w:rsidRDefault="001506C1" w:rsidP="006F623F">
            <w:pPr>
              <w:rPr>
                <w:rFonts w:ascii="Arial" w:hAnsi="Arial" w:cs="Arial"/>
                <w:sz w:val="24"/>
                <w:szCs w:val="24"/>
              </w:rPr>
            </w:pPr>
            <w:r w:rsidRPr="00FA3F9C">
              <w:rPr>
                <w:rFonts w:ascii="Arial" w:hAnsi="Arial" w:cs="Arial"/>
                <w:sz w:val="24"/>
                <w:szCs w:val="24"/>
              </w:rPr>
              <w:t>JJ</w:t>
            </w:r>
          </w:p>
        </w:tc>
      </w:tr>
      <w:tr w:rsidR="001506C1" w:rsidRPr="00FA3F9C" w14:paraId="23C02E28" w14:textId="77777777" w:rsidTr="00FE491B">
        <w:tc>
          <w:tcPr>
            <w:tcW w:w="1008" w:type="dxa"/>
          </w:tcPr>
          <w:p w14:paraId="17C376DA" w14:textId="77777777" w:rsidR="001506C1" w:rsidRPr="00FA3F9C" w:rsidRDefault="001506C1" w:rsidP="006F623F">
            <w:pPr>
              <w:rPr>
                <w:rFonts w:ascii="Arial" w:hAnsi="Arial" w:cs="Arial"/>
                <w:sz w:val="24"/>
                <w:szCs w:val="24"/>
              </w:rPr>
            </w:pPr>
          </w:p>
        </w:tc>
        <w:tc>
          <w:tcPr>
            <w:tcW w:w="7470" w:type="dxa"/>
          </w:tcPr>
          <w:p w14:paraId="40B3594B" w14:textId="77777777" w:rsidR="001506C1" w:rsidRPr="00FA3F9C" w:rsidRDefault="001506C1" w:rsidP="006F623F">
            <w:pPr>
              <w:rPr>
                <w:rFonts w:ascii="Arial" w:hAnsi="Arial" w:cs="Arial"/>
                <w:sz w:val="24"/>
                <w:szCs w:val="24"/>
              </w:rPr>
            </w:pPr>
          </w:p>
        </w:tc>
        <w:tc>
          <w:tcPr>
            <w:tcW w:w="2538" w:type="dxa"/>
          </w:tcPr>
          <w:p w14:paraId="3B7572C1" w14:textId="77777777" w:rsidR="001506C1" w:rsidRPr="00FA3F9C" w:rsidRDefault="001506C1" w:rsidP="006F623F">
            <w:pPr>
              <w:rPr>
                <w:rFonts w:ascii="Arial" w:hAnsi="Arial" w:cs="Arial"/>
                <w:sz w:val="24"/>
                <w:szCs w:val="24"/>
              </w:rPr>
            </w:pPr>
          </w:p>
        </w:tc>
      </w:tr>
    </w:tbl>
    <w:p w14:paraId="1EB7786B"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References:</w:t>
      </w:r>
    </w:p>
    <w:p w14:paraId="7F936A13" w14:textId="77777777" w:rsidR="001506C1" w:rsidRPr="00FA3F9C" w:rsidRDefault="001506C1" w:rsidP="00DC5033">
      <w:pPr>
        <w:rPr>
          <w:rFonts w:ascii="Arial" w:hAnsi="Arial" w:cs="Arial"/>
          <w:sz w:val="24"/>
          <w:szCs w:val="24"/>
        </w:rPr>
      </w:pPr>
      <w:r w:rsidRPr="00FA3F9C">
        <w:rPr>
          <w:rFonts w:ascii="Arial" w:hAnsi="Arial" w:cs="Arial"/>
          <w:sz w:val="24"/>
          <w:szCs w:val="24"/>
          <w:lang w:val="es-ES"/>
        </w:rPr>
        <w:t xml:space="preserve">1. Abe K, </w:t>
      </w:r>
      <w:proofErr w:type="spellStart"/>
      <w:r w:rsidRPr="00FA3F9C">
        <w:rPr>
          <w:rFonts w:ascii="Arial" w:hAnsi="Arial" w:cs="Arial"/>
          <w:sz w:val="24"/>
          <w:szCs w:val="24"/>
          <w:lang w:val="es-ES"/>
        </w:rPr>
        <w:t>Itoyama</w:t>
      </w:r>
      <w:proofErr w:type="spellEnd"/>
      <w:r w:rsidRPr="00FA3F9C">
        <w:rPr>
          <w:rFonts w:ascii="Arial" w:hAnsi="Arial" w:cs="Arial"/>
          <w:sz w:val="24"/>
          <w:szCs w:val="24"/>
          <w:lang w:val="es-ES"/>
        </w:rPr>
        <w:t xml:space="preserve"> Y, </w:t>
      </w:r>
      <w:proofErr w:type="spellStart"/>
      <w:r w:rsidRPr="00FA3F9C">
        <w:rPr>
          <w:rFonts w:ascii="Arial" w:hAnsi="Arial" w:cs="Arial"/>
          <w:sz w:val="24"/>
          <w:szCs w:val="24"/>
          <w:lang w:val="es-ES"/>
        </w:rPr>
        <w:t>Sobue</w:t>
      </w:r>
      <w:proofErr w:type="spellEnd"/>
      <w:r w:rsidRPr="00FA3F9C">
        <w:rPr>
          <w:rFonts w:ascii="Arial" w:hAnsi="Arial" w:cs="Arial"/>
          <w:sz w:val="24"/>
          <w:szCs w:val="24"/>
          <w:lang w:val="es-ES"/>
        </w:rPr>
        <w:t xml:space="preserve"> G, et al. </w:t>
      </w:r>
      <w:r w:rsidRPr="00FA3F9C">
        <w:rPr>
          <w:rFonts w:ascii="Arial" w:hAnsi="Arial" w:cs="Arial"/>
          <w:sz w:val="24"/>
          <w:szCs w:val="24"/>
        </w:rPr>
        <w:t xml:space="preserve">Confirmatory double-blind, parallel-group, placebo-controlled study of efficacy and safety of </w:t>
      </w:r>
      <w:proofErr w:type="spellStart"/>
      <w:r w:rsidRPr="00FA3F9C">
        <w:rPr>
          <w:rFonts w:ascii="Arial" w:hAnsi="Arial" w:cs="Arial"/>
          <w:sz w:val="24"/>
          <w:szCs w:val="24"/>
        </w:rPr>
        <w:t>edaravone</w:t>
      </w:r>
      <w:proofErr w:type="spellEnd"/>
      <w:r w:rsidRPr="00FA3F9C">
        <w:rPr>
          <w:rFonts w:ascii="Arial" w:hAnsi="Arial" w:cs="Arial"/>
          <w:sz w:val="24"/>
          <w:szCs w:val="24"/>
        </w:rPr>
        <w:t xml:space="preserve"> (MCI-186) in amyotrophic lateral sclerosis patients. Amyotrophic Lateral Sclerosis and Frontotemporal Degeneration, 2014;15:610-617.</w:t>
      </w:r>
    </w:p>
    <w:p w14:paraId="55594680" w14:textId="77777777" w:rsidR="001506C1" w:rsidRPr="00FA3F9C" w:rsidRDefault="001506C1" w:rsidP="00DC5033">
      <w:pPr>
        <w:rPr>
          <w:rFonts w:ascii="Arial" w:hAnsi="Arial" w:cs="Arial"/>
          <w:sz w:val="24"/>
          <w:szCs w:val="24"/>
          <w:lang w:val="fr-FR"/>
        </w:rPr>
      </w:pPr>
      <w:r w:rsidRPr="00FA3F9C">
        <w:rPr>
          <w:rFonts w:ascii="Arial" w:hAnsi="Arial" w:cs="Arial"/>
          <w:sz w:val="24"/>
          <w:szCs w:val="24"/>
        </w:rPr>
        <w:t xml:space="preserve">2. The Writing Group on behalf of the </w:t>
      </w:r>
      <w:proofErr w:type="spellStart"/>
      <w:r w:rsidRPr="00FA3F9C">
        <w:rPr>
          <w:rFonts w:ascii="Arial" w:hAnsi="Arial" w:cs="Arial"/>
          <w:sz w:val="24"/>
          <w:szCs w:val="24"/>
        </w:rPr>
        <w:t>Edaravone</w:t>
      </w:r>
      <w:proofErr w:type="spellEnd"/>
      <w:r w:rsidRPr="00FA3F9C">
        <w:rPr>
          <w:rFonts w:ascii="Arial" w:hAnsi="Arial" w:cs="Arial"/>
          <w:sz w:val="24"/>
          <w:szCs w:val="24"/>
        </w:rPr>
        <w:t xml:space="preserve"> (MCI-186) ALS 19 Study Group. Safety and efficacy of </w:t>
      </w:r>
      <w:proofErr w:type="spellStart"/>
      <w:r w:rsidRPr="00FA3F9C">
        <w:rPr>
          <w:rFonts w:ascii="Arial" w:hAnsi="Arial" w:cs="Arial"/>
          <w:sz w:val="24"/>
          <w:szCs w:val="24"/>
        </w:rPr>
        <w:t>edaravone</w:t>
      </w:r>
      <w:proofErr w:type="spellEnd"/>
      <w:r w:rsidRPr="00FA3F9C">
        <w:rPr>
          <w:rFonts w:ascii="Arial" w:hAnsi="Arial" w:cs="Arial"/>
          <w:sz w:val="24"/>
          <w:szCs w:val="24"/>
        </w:rPr>
        <w:t xml:space="preserve"> in well-defined patients with amyotrophic lateral sclerosis: a randomized, double-blind, placebo-controlled trial. </w:t>
      </w:r>
      <w:r w:rsidRPr="00FA3F9C">
        <w:rPr>
          <w:rFonts w:ascii="Arial" w:hAnsi="Arial" w:cs="Arial"/>
          <w:sz w:val="24"/>
          <w:szCs w:val="24"/>
          <w:lang w:val="fr-FR"/>
        </w:rPr>
        <w:t xml:space="preserve">Lancet </w:t>
      </w:r>
      <w:proofErr w:type="spellStart"/>
      <w:r w:rsidRPr="00FA3F9C">
        <w:rPr>
          <w:rFonts w:ascii="Arial" w:hAnsi="Arial" w:cs="Arial"/>
          <w:sz w:val="24"/>
          <w:szCs w:val="24"/>
          <w:lang w:val="fr-FR"/>
        </w:rPr>
        <w:t>Neurol</w:t>
      </w:r>
      <w:proofErr w:type="spellEnd"/>
      <w:r w:rsidRPr="00FA3F9C">
        <w:rPr>
          <w:rFonts w:ascii="Arial" w:hAnsi="Arial" w:cs="Arial"/>
          <w:sz w:val="24"/>
          <w:szCs w:val="24"/>
          <w:lang w:val="fr-FR"/>
        </w:rPr>
        <w:t xml:space="preserve"> </w:t>
      </w:r>
      <w:proofErr w:type="gramStart"/>
      <w:r w:rsidRPr="00FA3F9C">
        <w:rPr>
          <w:rFonts w:ascii="Arial" w:hAnsi="Arial" w:cs="Arial"/>
          <w:sz w:val="24"/>
          <w:szCs w:val="24"/>
          <w:lang w:val="fr-FR"/>
        </w:rPr>
        <w:t>2017;</w:t>
      </w:r>
      <w:proofErr w:type="gramEnd"/>
      <w:r w:rsidRPr="00FA3F9C">
        <w:rPr>
          <w:rFonts w:ascii="Arial" w:hAnsi="Arial" w:cs="Arial"/>
          <w:sz w:val="24"/>
          <w:szCs w:val="24"/>
          <w:lang w:val="fr-FR"/>
        </w:rPr>
        <w:t>16:505-12.</w:t>
      </w:r>
    </w:p>
    <w:p w14:paraId="5CF2700B" w14:textId="77777777" w:rsidR="001506C1" w:rsidRPr="00FA3F9C" w:rsidRDefault="001506C1" w:rsidP="006F623F">
      <w:pPr>
        <w:spacing w:after="0"/>
        <w:rPr>
          <w:rFonts w:ascii="Arial" w:hAnsi="Arial" w:cs="Arial"/>
          <w:sz w:val="24"/>
          <w:szCs w:val="24"/>
          <w:lang w:val="fr-FR"/>
        </w:rPr>
      </w:pPr>
    </w:p>
    <w:p w14:paraId="7D49AF27" w14:textId="77777777" w:rsidR="00BE7C2A" w:rsidRDefault="001506C1" w:rsidP="00BE7C2A">
      <w:pPr>
        <w:pStyle w:val="Heading2"/>
        <w:rPr>
          <w:lang w:val="fr-FR"/>
        </w:rPr>
      </w:pPr>
      <w:bookmarkStart w:id="84" w:name="_Toc106369779"/>
      <w:proofErr w:type="spellStart"/>
      <w:r w:rsidRPr="00FA3F9C">
        <w:rPr>
          <w:lang w:val="fr-FR"/>
        </w:rPr>
        <w:t>Efgartigimod</w:t>
      </w:r>
      <w:proofErr w:type="spellEnd"/>
      <w:r w:rsidRPr="00FA3F9C">
        <w:rPr>
          <w:lang w:val="fr-FR"/>
        </w:rPr>
        <w:t xml:space="preserve"> alfa-</w:t>
      </w:r>
      <w:proofErr w:type="spellStart"/>
      <w:r w:rsidRPr="00FA3F9C">
        <w:rPr>
          <w:lang w:val="fr-FR"/>
        </w:rPr>
        <w:t>fcab</w:t>
      </w:r>
      <w:proofErr w:type="spellEnd"/>
      <w:r w:rsidRPr="00FA3F9C">
        <w:rPr>
          <w:lang w:val="fr-FR"/>
        </w:rPr>
        <w:t xml:space="preserve"> (</w:t>
      </w:r>
      <w:proofErr w:type="spellStart"/>
      <w:r w:rsidRPr="00FA3F9C">
        <w:rPr>
          <w:lang w:val="fr-FR"/>
        </w:rPr>
        <w:t>Vyvgart</w:t>
      </w:r>
      <w:proofErr w:type="spellEnd"/>
      <w:r w:rsidRPr="00FA3F9C">
        <w:rPr>
          <w:lang w:val="fr-FR"/>
        </w:rPr>
        <w:t>)</w:t>
      </w:r>
      <w:bookmarkEnd w:id="84"/>
      <w:r w:rsidRPr="00FA3F9C">
        <w:rPr>
          <w:lang w:val="fr-FR"/>
        </w:rPr>
        <w:t xml:space="preserve"> </w:t>
      </w:r>
    </w:p>
    <w:p w14:paraId="3B1048D7" w14:textId="30C7D52B" w:rsidR="001506C1" w:rsidRPr="00FA3F9C" w:rsidRDefault="001506C1" w:rsidP="006F623F">
      <w:pPr>
        <w:spacing w:after="0"/>
        <w:jc w:val="center"/>
        <w:rPr>
          <w:rFonts w:ascii="Arial" w:hAnsi="Arial" w:cs="Arial"/>
          <w:sz w:val="24"/>
          <w:szCs w:val="24"/>
          <w:lang w:val="fr-FR"/>
        </w:rPr>
      </w:pPr>
      <w:r w:rsidRPr="00FA3F9C">
        <w:rPr>
          <w:rFonts w:ascii="Arial" w:hAnsi="Arial" w:cs="Arial"/>
          <w:sz w:val="24"/>
          <w:szCs w:val="24"/>
          <w:lang w:val="fr-FR"/>
        </w:rPr>
        <w:t>IV infusion</w:t>
      </w:r>
    </w:p>
    <w:p w14:paraId="7AC739CB" w14:textId="77777777" w:rsidR="001506C1" w:rsidRPr="00FA3F9C" w:rsidRDefault="001506C1" w:rsidP="006F623F">
      <w:pPr>
        <w:spacing w:after="0"/>
        <w:jc w:val="center"/>
        <w:rPr>
          <w:rFonts w:ascii="Arial" w:hAnsi="Arial" w:cs="Arial"/>
          <w:sz w:val="24"/>
          <w:szCs w:val="24"/>
          <w:lang w:val="fr-FR"/>
        </w:rPr>
      </w:pPr>
      <w:r w:rsidRPr="00FA3F9C">
        <w:rPr>
          <w:rFonts w:ascii="Arial" w:hAnsi="Arial" w:cs="Arial"/>
          <w:sz w:val="24"/>
          <w:szCs w:val="24"/>
          <w:lang w:val="fr-FR"/>
        </w:rPr>
        <w:t xml:space="preserve">EBRx PA </w:t>
      </w:r>
      <w:proofErr w:type="spellStart"/>
      <w:r w:rsidRPr="00FA3F9C">
        <w:rPr>
          <w:rFonts w:ascii="Arial" w:hAnsi="Arial" w:cs="Arial"/>
          <w:sz w:val="24"/>
          <w:szCs w:val="24"/>
          <w:lang w:val="fr-FR"/>
        </w:rPr>
        <w:t>Criteria</w:t>
      </w:r>
      <w:proofErr w:type="spellEnd"/>
    </w:p>
    <w:p w14:paraId="48010AD8" w14:textId="77777777" w:rsidR="001506C1" w:rsidRPr="00FA3F9C" w:rsidRDefault="001506C1" w:rsidP="006F623F">
      <w:pPr>
        <w:spacing w:after="0"/>
        <w:rPr>
          <w:rFonts w:ascii="Arial" w:hAnsi="Arial" w:cs="Arial"/>
          <w:b/>
          <w:sz w:val="24"/>
          <w:szCs w:val="24"/>
          <w:u w:val="single"/>
          <w:lang w:val="fr-FR"/>
        </w:rPr>
      </w:pPr>
    </w:p>
    <w:p w14:paraId="6B09E219" w14:textId="77777777" w:rsidR="001506C1" w:rsidRPr="00FA3F9C" w:rsidRDefault="001506C1"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treatment of generalized myasthenia gravis (</w:t>
      </w:r>
      <w:proofErr w:type="spellStart"/>
      <w:r w:rsidRPr="00FA3F9C">
        <w:rPr>
          <w:rFonts w:ascii="Arial" w:hAnsi="Arial" w:cs="Arial"/>
          <w:sz w:val="24"/>
          <w:szCs w:val="24"/>
        </w:rPr>
        <w:t>gMG</w:t>
      </w:r>
      <w:proofErr w:type="spellEnd"/>
      <w:r w:rsidRPr="00FA3F9C">
        <w:rPr>
          <w:rFonts w:ascii="Arial" w:hAnsi="Arial" w:cs="Arial"/>
          <w:sz w:val="24"/>
          <w:szCs w:val="24"/>
        </w:rPr>
        <w:t>) in adult patients who are anti-acetylcholine receptor (</w:t>
      </w:r>
      <w:proofErr w:type="spellStart"/>
      <w:r w:rsidRPr="00FA3F9C">
        <w:rPr>
          <w:rFonts w:ascii="Arial" w:hAnsi="Arial" w:cs="Arial"/>
          <w:sz w:val="24"/>
          <w:szCs w:val="24"/>
        </w:rPr>
        <w:t>AChR</w:t>
      </w:r>
      <w:proofErr w:type="spellEnd"/>
      <w:r w:rsidRPr="00FA3F9C">
        <w:rPr>
          <w:rFonts w:ascii="Arial" w:hAnsi="Arial" w:cs="Arial"/>
          <w:sz w:val="24"/>
          <w:szCs w:val="24"/>
        </w:rPr>
        <w:t>) Ab+</w:t>
      </w:r>
    </w:p>
    <w:tbl>
      <w:tblPr>
        <w:tblStyle w:val="TableGrid"/>
        <w:tblW w:w="0" w:type="auto"/>
        <w:tblLook w:val="04A0" w:firstRow="1" w:lastRow="0" w:firstColumn="1" w:lastColumn="0" w:noHBand="0" w:noVBand="1"/>
      </w:tblPr>
      <w:tblGrid>
        <w:gridCol w:w="8928"/>
        <w:gridCol w:w="2088"/>
      </w:tblGrid>
      <w:tr w:rsidR="001506C1" w:rsidRPr="00FA3F9C" w14:paraId="1A0F8C0D" w14:textId="77777777" w:rsidTr="00571CAB">
        <w:tc>
          <w:tcPr>
            <w:tcW w:w="8928" w:type="dxa"/>
            <w:shd w:val="clear" w:color="auto" w:fill="000000"/>
          </w:tcPr>
          <w:p w14:paraId="7533CCEB" w14:textId="77777777" w:rsidR="001506C1" w:rsidRPr="00FA3F9C" w:rsidRDefault="001506C1"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88" w:type="dxa"/>
            <w:shd w:val="clear" w:color="auto" w:fill="000000"/>
          </w:tcPr>
          <w:p w14:paraId="5F494CAE" w14:textId="77777777" w:rsidR="001506C1" w:rsidRPr="00FA3F9C" w:rsidRDefault="001506C1" w:rsidP="006F623F">
            <w:pPr>
              <w:jc w:val="center"/>
              <w:rPr>
                <w:rFonts w:ascii="Arial" w:hAnsi="Arial" w:cs="Arial"/>
                <w:b/>
                <w:sz w:val="24"/>
                <w:szCs w:val="24"/>
                <w:u w:val="single"/>
              </w:rPr>
            </w:pPr>
          </w:p>
        </w:tc>
      </w:tr>
      <w:tr w:rsidR="001506C1" w:rsidRPr="00FA3F9C" w14:paraId="00E94CB6" w14:textId="77777777" w:rsidTr="00F337AE">
        <w:tc>
          <w:tcPr>
            <w:tcW w:w="11016" w:type="dxa"/>
            <w:gridSpan w:val="2"/>
          </w:tcPr>
          <w:p w14:paraId="617C8438" w14:textId="77777777" w:rsidR="001506C1" w:rsidRPr="00FA3F9C" w:rsidRDefault="001506C1" w:rsidP="006F623F">
            <w:pPr>
              <w:rPr>
                <w:rFonts w:ascii="Arial" w:hAnsi="Arial" w:cs="Arial"/>
                <w:sz w:val="24"/>
                <w:szCs w:val="24"/>
              </w:rPr>
            </w:pPr>
            <w:r w:rsidRPr="00FA3F9C">
              <w:rPr>
                <w:rFonts w:ascii="Arial" w:hAnsi="Arial" w:cs="Arial"/>
                <w:sz w:val="24"/>
                <w:szCs w:val="24"/>
              </w:rPr>
              <w:t>1. Dx of generalized myasthenia gravis with anti-acetylcholine receptor Ab positivity.</w:t>
            </w:r>
          </w:p>
        </w:tc>
      </w:tr>
      <w:tr w:rsidR="001506C1" w:rsidRPr="00FA3F9C" w14:paraId="10691413" w14:textId="77777777" w:rsidTr="00B1617E">
        <w:tc>
          <w:tcPr>
            <w:tcW w:w="11016" w:type="dxa"/>
            <w:gridSpan w:val="2"/>
          </w:tcPr>
          <w:p w14:paraId="113098F8" w14:textId="77777777" w:rsidR="001506C1" w:rsidRPr="00FA3F9C" w:rsidRDefault="001506C1" w:rsidP="006F623F">
            <w:pPr>
              <w:rPr>
                <w:rFonts w:ascii="Arial" w:hAnsi="Arial" w:cs="Arial"/>
                <w:sz w:val="24"/>
                <w:szCs w:val="24"/>
              </w:rPr>
            </w:pPr>
            <w:r w:rsidRPr="00FA3F9C">
              <w:rPr>
                <w:rFonts w:ascii="Arial" w:hAnsi="Arial" w:cs="Arial"/>
                <w:sz w:val="24"/>
                <w:szCs w:val="24"/>
              </w:rPr>
              <w:t>2. Must be in clinical classification class II-IV</w:t>
            </w:r>
          </w:p>
        </w:tc>
      </w:tr>
      <w:tr w:rsidR="001506C1" w:rsidRPr="00FA3F9C" w14:paraId="236A3CD8" w14:textId="77777777" w:rsidTr="0010789D">
        <w:tc>
          <w:tcPr>
            <w:tcW w:w="11016" w:type="dxa"/>
            <w:gridSpan w:val="2"/>
          </w:tcPr>
          <w:p w14:paraId="2A33E1CD" w14:textId="77777777" w:rsidR="001506C1" w:rsidRPr="00FA3F9C" w:rsidRDefault="001506C1" w:rsidP="006F623F">
            <w:pPr>
              <w:rPr>
                <w:rFonts w:ascii="Arial" w:hAnsi="Arial" w:cs="Arial"/>
                <w:sz w:val="24"/>
                <w:szCs w:val="24"/>
              </w:rPr>
            </w:pPr>
            <w:r w:rsidRPr="00FA3F9C">
              <w:rPr>
                <w:rFonts w:ascii="Arial" w:hAnsi="Arial" w:cs="Arial"/>
                <w:sz w:val="24"/>
                <w:szCs w:val="24"/>
              </w:rPr>
              <w:t>3. Must be on stable treatment of at least 1 therapy for generalized myasthenia gravis (corticosteroids, acetylcholinesterase inhibitors, nonsteroidal immunosuppressive therapies (NSIST)</w:t>
            </w:r>
          </w:p>
        </w:tc>
      </w:tr>
      <w:tr w:rsidR="001506C1" w:rsidRPr="00FA3F9C" w14:paraId="2EBDECA4" w14:textId="77777777" w:rsidTr="00DA57E0">
        <w:tc>
          <w:tcPr>
            <w:tcW w:w="11016" w:type="dxa"/>
            <w:gridSpan w:val="2"/>
          </w:tcPr>
          <w:p w14:paraId="3DACF19D" w14:textId="77777777" w:rsidR="001506C1" w:rsidRPr="00FA3F9C" w:rsidRDefault="001506C1" w:rsidP="006F623F">
            <w:pPr>
              <w:rPr>
                <w:rFonts w:ascii="Arial" w:hAnsi="Arial" w:cs="Arial"/>
                <w:sz w:val="24"/>
                <w:szCs w:val="24"/>
              </w:rPr>
            </w:pPr>
            <w:r w:rsidRPr="00FA3F9C">
              <w:rPr>
                <w:rFonts w:ascii="Arial" w:hAnsi="Arial" w:cs="Arial"/>
                <w:sz w:val="24"/>
                <w:szCs w:val="24"/>
              </w:rPr>
              <w:t>If yes to all 3 above, approve for 4 weeks.</w:t>
            </w:r>
          </w:p>
        </w:tc>
      </w:tr>
    </w:tbl>
    <w:p w14:paraId="472C0E38" w14:textId="77777777" w:rsidR="001506C1" w:rsidRPr="00FA3F9C" w:rsidRDefault="001506C1" w:rsidP="006F623F">
      <w:pPr>
        <w:spacing w:after="0"/>
        <w:rPr>
          <w:rFonts w:ascii="Arial" w:hAnsi="Arial" w:cs="Arial"/>
          <w:b/>
          <w:sz w:val="24"/>
          <w:szCs w:val="24"/>
          <w:u w:val="single"/>
        </w:rPr>
      </w:pPr>
    </w:p>
    <w:tbl>
      <w:tblPr>
        <w:tblStyle w:val="TableGrid"/>
        <w:tblW w:w="0" w:type="auto"/>
        <w:tblLook w:val="04A0" w:firstRow="1" w:lastRow="0" w:firstColumn="1" w:lastColumn="0" w:noHBand="0" w:noVBand="1"/>
      </w:tblPr>
      <w:tblGrid>
        <w:gridCol w:w="8928"/>
        <w:gridCol w:w="2088"/>
      </w:tblGrid>
      <w:tr w:rsidR="001506C1" w:rsidRPr="00FA3F9C" w14:paraId="3460E917" w14:textId="77777777" w:rsidTr="00571CAB">
        <w:tc>
          <w:tcPr>
            <w:tcW w:w="8928" w:type="dxa"/>
            <w:shd w:val="clear" w:color="auto" w:fill="000000"/>
          </w:tcPr>
          <w:p w14:paraId="002A4E7E" w14:textId="77777777" w:rsidR="001506C1" w:rsidRPr="00FA3F9C" w:rsidRDefault="001506C1" w:rsidP="00571CAB">
            <w:pPr>
              <w:rPr>
                <w:rFonts w:ascii="Arial" w:hAnsi="Arial" w:cs="Arial"/>
                <w:b/>
                <w:sz w:val="24"/>
                <w:szCs w:val="24"/>
                <w:u w:val="single"/>
              </w:rPr>
            </w:pPr>
            <w:r w:rsidRPr="00FA3F9C">
              <w:rPr>
                <w:rFonts w:ascii="Arial" w:hAnsi="Arial" w:cs="Arial"/>
                <w:b/>
                <w:sz w:val="24"/>
                <w:szCs w:val="24"/>
                <w:u w:val="single"/>
              </w:rPr>
              <w:t>Criteria for continuation</w:t>
            </w:r>
          </w:p>
        </w:tc>
        <w:tc>
          <w:tcPr>
            <w:tcW w:w="2088" w:type="dxa"/>
            <w:shd w:val="clear" w:color="auto" w:fill="000000"/>
          </w:tcPr>
          <w:p w14:paraId="7211EA92" w14:textId="77777777" w:rsidR="001506C1" w:rsidRPr="00FA3F9C" w:rsidRDefault="001506C1" w:rsidP="00571CAB">
            <w:pPr>
              <w:jc w:val="center"/>
              <w:rPr>
                <w:rFonts w:ascii="Arial" w:hAnsi="Arial" w:cs="Arial"/>
                <w:b/>
                <w:sz w:val="24"/>
                <w:szCs w:val="24"/>
                <w:u w:val="single"/>
              </w:rPr>
            </w:pPr>
          </w:p>
        </w:tc>
      </w:tr>
      <w:tr w:rsidR="001506C1" w:rsidRPr="00FA3F9C" w14:paraId="5A8CC910" w14:textId="77777777" w:rsidTr="00FE7E94">
        <w:tc>
          <w:tcPr>
            <w:tcW w:w="11016" w:type="dxa"/>
            <w:gridSpan w:val="2"/>
          </w:tcPr>
          <w:p w14:paraId="04DAD793" w14:textId="77777777" w:rsidR="001506C1" w:rsidRPr="00FA3F9C" w:rsidRDefault="001506C1" w:rsidP="00571CAB">
            <w:pPr>
              <w:rPr>
                <w:rFonts w:ascii="Arial" w:hAnsi="Arial" w:cs="Arial"/>
                <w:sz w:val="24"/>
                <w:szCs w:val="24"/>
              </w:rPr>
            </w:pPr>
            <w:r w:rsidRPr="00FA3F9C">
              <w:rPr>
                <w:rFonts w:ascii="Arial" w:hAnsi="Arial" w:cs="Arial"/>
                <w:sz w:val="24"/>
                <w:szCs w:val="24"/>
              </w:rPr>
              <w:lastRenderedPageBreak/>
              <w:t>1. The patient must have improved on efgartigimod therapy regarding activities of daily living.</w:t>
            </w:r>
          </w:p>
        </w:tc>
      </w:tr>
      <w:tr w:rsidR="001506C1" w:rsidRPr="00FA3F9C" w14:paraId="3725DC3B" w14:textId="77777777" w:rsidTr="00FE7E94">
        <w:tc>
          <w:tcPr>
            <w:tcW w:w="11016" w:type="dxa"/>
            <w:gridSpan w:val="2"/>
          </w:tcPr>
          <w:p w14:paraId="660A6086" w14:textId="77777777" w:rsidR="001506C1" w:rsidRPr="00FA3F9C" w:rsidRDefault="001506C1" w:rsidP="00571CAB">
            <w:pPr>
              <w:rPr>
                <w:rFonts w:ascii="Arial" w:hAnsi="Arial" w:cs="Arial"/>
                <w:sz w:val="24"/>
                <w:szCs w:val="24"/>
              </w:rPr>
            </w:pPr>
            <w:r w:rsidRPr="00FA3F9C">
              <w:rPr>
                <w:rFonts w:ascii="Arial" w:hAnsi="Arial" w:cs="Arial"/>
                <w:sz w:val="24"/>
                <w:szCs w:val="24"/>
              </w:rPr>
              <w:t xml:space="preserve">2. The last </w:t>
            </w:r>
            <w:proofErr w:type="gramStart"/>
            <w:r w:rsidRPr="00FA3F9C">
              <w:rPr>
                <w:rFonts w:ascii="Arial" w:hAnsi="Arial" w:cs="Arial"/>
                <w:sz w:val="24"/>
                <w:szCs w:val="24"/>
              </w:rPr>
              <w:t>4 week</w:t>
            </w:r>
            <w:proofErr w:type="gramEnd"/>
            <w:r w:rsidRPr="00FA3F9C">
              <w:rPr>
                <w:rFonts w:ascii="Arial" w:hAnsi="Arial" w:cs="Arial"/>
                <w:sz w:val="24"/>
                <w:szCs w:val="24"/>
              </w:rPr>
              <w:t xml:space="preserve"> cycle start date must have been more than 50 days ago.</w:t>
            </w:r>
          </w:p>
        </w:tc>
      </w:tr>
    </w:tbl>
    <w:p w14:paraId="427E9E52" w14:textId="77777777" w:rsidR="001506C1" w:rsidRPr="00FA3F9C" w:rsidRDefault="001506C1" w:rsidP="006F623F">
      <w:pPr>
        <w:spacing w:after="0"/>
        <w:rPr>
          <w:rFonts w:ascii="Arial" w:hAnsi="Arial" w:cs="Arial"/>
          <w:b/>
          <w:sz w:val="24"/>
          <w:szCs w:val="24"/>
          <w:u w:val="single"/>
        </w:rPr>
      </w:pPr>
    </w:p>
    <w:p w14:paraId="0E8C964B" w14:textId="77777777" w:rsidR="001506C1" w:rsidRPr="00FA3F9C" w:rsidRDefault="001506C1" w:rsidP="006F623F">
      <w:pPr>
        <w:spacing w:after="0"/>
        <w:rPr>
          <w:rFonts w:ascii="Arial" w:hAnsi="Arial" w:cs="Arial"/>
          <w:b/>
          <w:sz w:val="24"/>
          <w:szCs w:val="24"/>
          <w:u w:val="single"/>
        </w:rPr>
      </w:pPr>
    </w:p>
    <w:tbl>
      <w:tblPr>
        <w:tblStyle w:val="TableGrid"/>
        <w:tblW w:w="0" w:type="auto"/>
        <w:shd w:val="clear" w:color="auto" w:fill="BFBFBF" w:themeFill="background1" w:themeFillShade="BF"/>
        <w:tblLook w:val="04A0" w:firstRow="1" w:lastRow="0" w:firstColumn="1" w:lastColumn="0" w:noHBand="0" w:noVBand="1"/>
      </w:tblPr>
      <w:tblGrid>
        <w:gridCol w:w="10998"/>
      </w:tblGrid>
      <w:tr w:rsidR="001506C1" w:rsidRPr="00FA3F9C" w14:paraId="246360CF" w14:textId="77777777" w:rsidTr="00D82B6E">
        <w:tc>
          <w:tcPr>
            <w:tcW w:w="10998" w:type="dxa"/>
            <w:shd w:val="clear" w:color="auto" w:fill="BFBFBF" w:themeFill="background1" w:themeFillShade="BF"/>
          </w:tcPr>
          <w:p w14:paraId="426E814E" w14:textId="77777777" w:rsidR="001506C1" w:rsidRPr="00FA3F9C" w:rsidRDefault="001506C1" w:rsidP="00D82B6E">
            <w:pPr>
              <w:rPr>
                <w:rFonts w:ascii="Arial" w:hAnsi="Arial" w:cs="Arial"/>
                <w:sz w:val="24"/>
                <w:szCs w:val="24"/>
              </w:rPr>
            </w:pPr>
            <w:r w:rsidRPr="00FA3F9C">
              <w:rPr>
                <w:rFonts w:ascii="Arial" w:hAnsi="Arial" w:cs="Arial"/>
                <w:sz w:val="24"/>
                <w:szCs w:val="24"/>
              </w:rPr>
              <w:t>Note: The dose is 10mg/kg weekly for 4 weeks.  Sub</w:t>
            </w:r>
          </w:p>
        </w:tc>
      </w:tr>
    </w:tbl>
    <w:p w14:paraId="1385A604" w14:textId="77777777" w:rsidR="001506C1" w:rsidRPr="00FA3F9C" w:rsidRDefault="001506C1" w:rsidP="006F623F">
      <w:pPr>
        <w:spacing w:after="0"/>
        <w:rPr>
          <w:rFonts w:ascii="Arial" w:hAnsi="Arial" w:cs="Arial"/>
          <w:sz w:val="24"/>
          <w:szCs w:val="24"/>
        </w:rPr>
      </w:pPr>
    </w:p>
    <w:p w14:paraId="093E9F81"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 xml:space="preserve">Quantity Limits: </w:t>
      </w:r>
    </w:p>
    <w:p w14:paraId="4279C63E" w14:textId="77777777" w:rsidR="001506C1" w:rsidRPr="00FA3F9C" w:rsidRDefault="001506C1" w:rsidP="006F623F">
      <w:pPr>
        <w:spacing w:after="0"/>
        <w:rPr>
          <w:rFonts w:ascii="Arial" w:hAnsi="Arial" w:cs="Arial"/>
          <w:sz w:val="24"/>
          <w:szCs w:val="24"/>
        </w:rPr>
      </w:pPr>
    </w:p>
    <w:p w14:paraId="54B72312"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017"/>
        <w:gridCol w:w="7470"/>
        <w:gridCol w:w="2538"/>
      </w:tblGrid>
      <w:tr w:rsidR="001506C1" w:rsidRPr="00FA3F9C" w14:paraId="6A6952E8" w14:textId="77777777" w:rsidTr="00FE491B">
        <w:tc>
          <w:tcPr>
            <w:tcW w:w="1008" w:type="dxa"/>
          </w:tcPr>
          <w:p w14:paraId="10C94E9F" w14:textId="77777777" w:rsidR="001506C1" w:rsidRPr="00FA3F9C" w:rsidRDefault="001506C1" w:rsidP="006F623F">
            <w:pPr>
              <w:rPr>
                <w:rFonts w:ascii="Arial" w:hAnsi="Arial" w:cs="Arial"/>
                <w:sz w:val="24"/>
                <w:szCs w:val="24"/>
              </w:rPr>
            </w:pPr>
            <w:r w:rsidRPr="00FA3F9C">
              <w:rPr>
                <w:rFonts w:ascii="Arial" w:hAnsi="Arial" w:cs="Arial"/>
                <w:sz w:val="24"/>
                <w:szCs w:val="24"/>
              </w:rPr>
              <w:t>Date</w:t>
            </w:r>
          </w:p>
        </w:tc>
        <w:tc>
          <w:tcPr>
            <w:tcW w:w="7470" w:type="dxa"/>
          </w:tcPr>
          <w:p w14:paraId="15D9DE84" w14:textId="77777777" w:rsidR="001506C1" w:rsidRPr="00FA3F9C" w:rsidRDefault="001506C1" w:rsidP="006F623F">
            <w:pPr>
              <w:rPr>
                <w:rFonts w:ascii="Arial" w:hAnsi="Arial" w:cs="Arial"/>
                <w:sz w:val="24"/>
                <w:szCs w:val="24"/>
              </w:rPr>
            </w:pPr>
            <w:r w:rsidRPr="00FA3F9C">
              <w:rPr>
                <w:rFonts w:ascii="Arial" w:hAnsi="Arial" w:cs="Arial"/>
                <w:sz w:val="24"/>
                <w:szCs w:val="24"/>
              </w:rPr>
              <w:t>What changed</w:t>
            </w:r>
          </w:p>
        </w:tc>
        <w:tc>
          <w:tcPr>
            <w:tcW w:w="2538" w:type="dxa"/>
          </w:tcPr>
          <w:p w14:paraId="623A1CA2" w14:textId="77777777" w:rsidR="001506C1" w:rsidRPr="00FA3F9C" w:rsidRDefault="001506C1" w:rsidP="006F623F">
            <w:pPr>
              <w:rPr>
                <w:rFonts w:ascii="Arial" w:hAnsi="Arial" w:cs="Arial"/>
                <w:sz w:val="24"/>
                <w:szCs w:val="24"/>
              </w:rPr>
            </w:pPr>
            <w:r w:rsidRPr="00FA3F9C">
              <w:rPr>
                <w:rFonts w:ascii="Arial" w:hAnsi="Arial" w:cs="Arial"/>
                <w:sz w:val="24"/>
                <w:szCs w:val="24"/>
              </w:rPr>
              <w:t>Pharmacist’s initials</w:t>
            </w:r>
          </w:p>
        </w:tc>
      </w:tr>
      <w:tr w:rsidR="001506C1" w:rsidRPr="00FA3F9C" w14:paraId="0AECF5D5" w14:textId="77777777" w:rsidTr="00FE491B">
        <w:tc>
          <w:tcPr>
            <w:tcW w:w="1008" w:type="dxa"/>
          </w:tcPr>
          <w:p w14:paraId="659E893D" w14:textId="77777777" w:rsidR="001506C1" w:rsidRPr="00FA3F9C" w:rsidRDefault="001506C1" w:rsidP="006F623F">
            <w:pPr>
              <w:rPr>
                <w:rFonts w:ascii="Arial" w:hAnsi="Arial" w:cs="Arial"/>
                <w:sz w:val="24"/>
                <w:szCs w:val="24"/>
              </w:rPr>
            </w:pPr>
            <w:r w:rsidRPr="00FA3F9C">
              <w:rPr>
                <w:rFonts w:ascii="Arial" w:hAnsi="Arial" w:cs="Arial"/>
                <w:sz w:val="24"/>
                <w:szCs w:val="24"/>
              </w:rPr>
              <w:t>2/22/22</w:t>
            </w:r>
          </w:p>
        </w:tc>
        <w:tc>
          <w:tcPr>
            <w:tcW w:w="7470" w:type="dxa"/>
          </w:tcPr>
          <w:p w14:paraId="0E03C5C6" w14:textId="77777777" w:rsidR="001506C1" w:rsidRPr="00FA3F9C" w:rsidRDefault="001506C1" w:rsidP="006F623F">
            <w:pPr>
              <w:rPr>
                <w:rFonts w:ascii="Arial" w:hAnsi="Arial" w:cs="Arial"/>
                <w:sz w:val="24"/>
                <w:szCs w:val="24"/>
              </w:rPr>
            </w:pPr>
            <w:r w:rsidRPr="00FA3F9C">
              <w:rPr>
                <w:rFonts w:ascii="Arial" w:hAnsi="Arial" w:cs="Arial"/>
                <w:sz w:val="24"/>
                <w:szCs w:val="24"/>
              </w:rPr>
              <w:t>I wrote the criteria.</w:t>
            </w:r>
          </w:p>
        </w:tc>
        <w:tc>
          <w:tcPr>
            <w:tcW w:w="2538" w:type="dxa"/>
          </w:tcPr>
          <w:p w14:paraId="41C703E3" w14:textId="77777777" w:rsidR="001506C1" w:rsidRPr="00FA3F9C" w:rsidRDefault="001506C1" w:rsidP="006F623F">
            <w:pPr>
              <w:rPr>
                <w:rFonts w:ascii="Arial" w:hAnsi="Arial" w:cs="Arial"/>
                <w:sz w:val="24"/>
                <w:szCs w:val="24"/>
              </w:rPr>
            </w:pPr>
            <w:r w:rsidRPr="00FA3F9C">
              <w:rPr>
                <w:rFonts w:ascii="Arial" w:hAnsi="Arial" w:cs="Arial"/>
                <w:sz w:val="24"/>
                <w:szCs w:val="24"/>
              </w:rPr>
              <w:t>JJ</w:t>
            </w:r>
          </w:p>
        </w:tc>
      </w:tr>
      <w:tr w:rsidR="001506C1" w:rsidRPr="00FA3F9C" w14:paraId="31A0D8F6" w14:textId="77777777" w:rsidTr="00FE491B">
        <w:tc>
          <w:tcPr>
            <w:tcW w:w="1008" w:type="dxa"/>
          </w:tcPr>
          <w:p w14:paraId="3F9FA21A" w14:textId="77777777" w:rsidR="001506C1" w:rsidRPr="00FA3F9C" w:rsidRDefault="001506C1" w:rsidP="006F623F">
            <w:pPr>
              <w:rPr>
                <w:rFonts w:ascii="Arial" w:hAnsi="Arial" w:cs="Arial"/>
                <w:sz w:val="24"/>
                <w:szCs w:val="24"/>
              </w:rPr>
            </w:pPr>
          </w:p>
        </w:tc>
        <w:tc>
          <w:tcPr>
            <w:tcW w:w="7470" w:type="dxa"/>
          </w:tcPr>
          <w:p w14:paraId="6A1AA259" w14:textId="77777777" w:rsidR="001506C1" w:rsidRPr="00FA3F9C" w:rsidRDefault="001506C1" w:rsidP="006F623F">
            <w:pPr>
              <w:rPr>
                <w:rFonts w:ascii="Arial" w:hAnsi="Arial" w:cs="Arial"/>
                <w:sz w:val="24"/>
                <w:szCs w:val="24"/>
              </w:rPr>
            </w:pPr>
          </w:p>
        </w:tc>
        <w:tc>
          <w:tcPr>
            <w:tcW w:w="2538" w:type="dxa"/>
          </w:tcPr>
          <w:p w14:paraId="1AD3278C" w14:textId="77777777" w:rsidR="001506C1" w:rsidRPr="00FA3F9C" w:rsidRDefault="001506C1" w:rsidP="006F623F">
            <w:pPr>
              <w:rPr>
                <w:rFonts w:ascii="Arial" w:hAnsi="Arial" w:cs="Arial"/>
                <w:sz w:val="24"/>
                <w:szCs w:val="24"/>
              </w:rPr>
            </w:pPr>
          </w:p>
        </w:tc>
      </w:tr>
    </w:tbl>
    <w:p w14:paraId="02B02A91" w14:textId="77777777" w:rsidR="001506C1" w:rsidRPr="00FA3F9C" w:rsidRDefault="001506C1" w:rsidP="006F623F">
      <w:pPr>
        <w:spacing w:after="0"/>
        <w:rPr>
          <w:rFonts w:ascii="Arial" w:hAnsi="Arial" w:cs="Arial"/>
          <w:sz w:val="24"/>
          <w:szCs w:val="24"/>
        </w:rPr>
      </w:pPr>
    </w:p>
    <w:p w14:paraId="25A12221" w14:textId="77777777" w:rsidR="00BE7C2A" w:rsidRDefault="001506C1" w:rsidP="00BE7C2A">
      <w:pPr>
        <w:pStyle w:val="Heading2"/>
      </w:pPr>
      <w:bookmarkStart w:id="85" w:name="_Toc106369780"/>
      <w:proofErr w:type="spellStart"/>
      <w:r w:rsidRPr="00FA3F9C">
        <w:t>Elagolix</w:t>
      </w:r>
      <w:proofErr w:type="spellEnd"/>
      <w:r w:rsidRPr="00FA3F9C">
        <w:t>/estradiol/norethindrone (</w:t>
      </w:r>
      <w:proofErr w:type="spellStart"/>
      <w:r w:rsidRPr="00FA3F9C">
        <w:t>Oriahnn</w:t>
      </w:r>
      <w:proofErr w:type="spellEnd"/>
      <w:r w:rsidRPr="00FA3F9C">
        <w:t>)</w:t>
      </w:r>
      <w:bookmarkEnd w:id="85"/>
      <w:r w:rsidRPr="00FA3F9C">
        <w:t xml:space="preserve"> </w:t>
      </w:r>
    </w:p>
    <w:p w14:paraId="35483E6A" w14:textId="3BCC3F32" w:rsidR="001506C1" w:rsidRPr="00FA3F9C" w:rsidRDefault="001506C1" w:rsidP="006F623F">
      <w:pPr>
        <w:spacing w:after="0"/>
        <w:jc w:val="center"/>
        <w:rPr>
          <w:rFonts w:ascii="Arial" w:hAnsi="Arial" w:cs="Arial"/>
          <w:sz w:val="24"/>
          <w:szCs w:val="24"/>
        </w:rPr>
      </w:pPr>
      <w:r w:rsidRPr="00FA3F9C">
        <w:rPr>
          <w:rFonts w:ascii="Arial" w:hAnsi="Arial" w:cs="Arial"/>
          <w:sz w:val="24"/>
          <w:szCs w:val="24"/>
        </w:rPr>
        <w:t>300-1-0.5mg capsules</w:t>
      </w:r>
    </w:p>
    <w:p w14:paraId="2F8F2D25" w14:textId="77777777" w:rsidR="001506C1" w:rsidRPr="00FA3F9C" w:rsidRDefault="001506C1" w:rsidP="006F623F">
      <w:pPr>
        <w:spacing w:after="0"/>
        <w:jc w:val="center"/>
        <w:rPr>
          <w:rFonts w:ascii="Arial" w:hAnsi="Arial" w:cs="Arial"/>
          <w:sz w:val="24"/>
          <w:szCs w:val="24"/>
        </w:rPr>
      </w:pPr>
      <w:r w:rsidRPr="00FA3F9C">
        <w:rPr>
          <w:rFonts w:ascii="Arial" w:hAnsi="Arial" w:cs="Arial"/>
          <w:sz w:val="24"/>
          <w:szCs w:val="24"/>
        </w:rPr>
        <w:t>EBRx PA Criteria</w:t>
      </w:r>
    </w:p>
    <w:p w14:paraId="22C3A69B" w14:textId="77777777" w:rsidR="001506C1" w:rsidRPr="00FA3F9C" w:rsidRDefault="001506C1" w:rsidP="006F623F">
      <w:pPr>
        <w:spacing w:after="0"/>
        <w:rPr>
          <w:rFonts w:ascii="Arial" w:hAnsi="Arial" w:cs="Arial"/>
          <w:b/>
          <w:sz w:val="24"/>
          <w:szCs w:val="24"/>
          <w:u w:val="single"/>
        </w:rPr>
      </w:pPr>
    </w:p>
    <w:p w14:paraId="46DB4AB2" w14:textId="77777777" w:rsidR="001506C1" w:rsidRPr="00FA3F9C" w:rsidRDefault="001506C1" w:rsidP="005B376F">
      <w:pPr>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Management of heavy menstrual bleeding associated with uterine leiomyomas (fibroids) in premenopausal women.</w:t>
      </w:r>
    </w:p>
    <w:p w14:paraId="65CD65F4" w14:textId="77777777" w:rsidR="001506C1" w:rsidRPr="00FA3F9C" w:rsidRDefault="001506C1" w:rsidP="005B376F">
      <w:pPr>
        <w:spacing w:after="0"/>
        <w:rPr>
          <w:rFonts w:ascii="Arial" w:hAnsi="Arial" w:cs="Arial"/>
          <w:sz w:val="24"/>
          <w:szCs w:val="24"/>
        </w:rPr>
      </w:pPr>
      <w:r w:rsidRPr="00FA3F9C">
        <w:rPr>
          <w:rFonts w:ascii="Arial" w:hAnsi="Arial" w:cs="Arial"/>
          <w:sz w:val="24"/>
          <w:szCs w:val="24"/>
        </w:rPr>
        <w:t>Limitation: Use should be limited to 24 months due to risk of continued bone loss, which may not be reversible.</w:t>
      </w:r>
    </w:p>
    <w:tbl>
      <w:tblPr>
        <w:tblStyle w:val="TableGrid"/>
        <w:tblW w:w="0" w:type="auto"/>
        <w:tblLook w:val="04A0" w:firstRow="1" w:lastRow="0" w:firstColumn="1" w:lastColumn="0" w:noHBand="0" w:noVBand="1"/>
      </w:tblPr>
      <w:tblGrid>
        <w:gridCol w:w="8928"/>
        <w:gridCol w:w="2088"/>
      </w:tblGrid>
      <w:tr w:rsidR="001506C1" w:rsidRPr="00FA3F9C" w14:paraId="0B05673B" w14:textId="77777777" w:rsidTr="00571CAB">
        <w:tc>
          <w:tcPr>
            <w:tcW w:w="8928" w:type="dxa"/>
            <w:shd w:val="clear" w:color="auto" w:fill="000000"/>
          </w:tcPr>
          <w:p w14:paraId="13CD32EF" w14:textId="77777777" w:rsidR="001506C1" w:rsidRPr="00FA3F9C" w:rsidRDefault="001506C1"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88" w:type="dxa"/>
            <w:shd w:val="clear" w:color="auto" w:fill="000000"/>
          </w:tcPr>
          <w:p w14:paraId="4227C6E0" w14:textId="77777777" w:rsidR="001506C1" w:rsidRPr="00FA3F9C" w:rsidRDefault="001506C1" w:rsidP="006F623F">
            <w:pPr>
              <w:jc w:val="center"/>
              <w:rPr>
                <w:rFonts w:ascii="Arial" w:hAnsi="Arial" w:cs="Arial"/>
                <w:b/>
                <w:sz w:val="24"/>
                <w:szCs w:val="24"/>
                <w:u w:val="single"/>
              </w:rPr>
            </w:pPr>
          </w:p>
        </w:tc>
      </w:tr>
      <w:tr w:rsidR="001506C1" w:rsidRPr="00FA3F9C" w14:paraId="205D8D9D" w14:textId="77777777" w:rsidTr="00F337AE">
        <w:tc>
          <w:tcPr>
            <w:tcW w:w="11016" w:type="dxa"/>
            <w:gridSpan w:val="2"/>
          </w:tcPr>
          <w:p w14:paraId="6955EC77" w14:textId="77777777" w:rsidR="001506C1" w:rsidRPr="00FA3F9C" w:rsidRDefault="001506C1" w:rsidP="005B376F">
            <w:pPr>
              <w:rPr>
                <w:rFonts w:ascii="Arial" w:hAnsi="Arial" w:cs="Arial"/>
                <w:sz w:val="24"/>
                <w:szCs w:val="24"/>
              </w:rPr>
            </w:pPr>
            <w:r w:rsidRPr="00FA3F9C">
              <w:rPr>
                <w:rFonts w:ascii="Arial" w:hAnsi="Arial" w:cs="Arial"/>
                <w:sz w:val="24"/>
                <w:szCs w:val="24"/>
              </w:rPr>
              <w:t xml:space="preserve">1. Diagnosis of heavy menstrual bleeding (HMB) due to fibroids, </w:t>
            </w:r>
          </w:p>
        </w:tc>
      </w:tr>
      <w:tr w:rsidR="001506C1" w:rsidRPr="00FA3F9C" w14:paraId="0874979B" w14:textId="77777777" w:rsidTr="00B1617E">
        <w:tc>
          <w:tcPr>
            <w:tcW w:w="11016" w:type="dxa"/>
            <w:gridSpan w:val="2"/>
          </w:tcPr>
          <w:p w14:paraId="400E8798" w14:textId="77777777" w:rsidR="001506C1" w:rsidRPr="00FA3F9C" w:rsidRDefault="001506C1" w:rsidP="005B376F">
            <w:pPr>
              <w:rPr>
                <w:rFonts w:ascii="Arial" w:hAnsi="Arial" w:cs="Arial"/>
                <w:sz w:val="24"/>
                <w:szCs w:val="24"/>
              </w:rPr>
            </w:pPr>
            <w:r w:rsidRPr="00FA3F9C">
              <w:rPr>
                <w:rFonts w:ascii="Arial" w:hAnsi="Arial" w:cs="Arial"/>
                <w:sz w:val="24"/>
                <w:szCs w:val="24"/>
              </w:rPr>
              <w:t xml:space="preserve">2. Premenopausal woman, </w:t>
            </w:r>
          </w:p>
        </w:tc>
      </w:tr>
      <w:tr w:rsidR="001506C1" w:rsidRPr="00FA3F9C" w14:paraId="2D90CB80" w14:textId="77777777" w:rsidTr="0010789D">
        <w:tc>
          <w:tcPr>
            <w:tcW w:w="11016" w:type="dxa"/>
            <w:gridSpan w:val="2"/>
          </w:tcPr>
          <w:p w14:paraId="7BE8D06C" w14:textId="77777777" w:rsidR="001506C1" w:rsidRPr="00FA3F9C" w:rsidRDefault="001506C1" w:rsidP="005B376F">
            <w:pPr>
              <w:rPr>
                <w:rFonts w:ascii="Arial" w:hAnsi="Arial" w:cs="Arial"/>
                <w:sz w:val="24"/>
                <w:szCs w:val="24"/>
              </w:rPr>
            </w:pPr>
            <w:r w:rsidRPr="00FA3F9C">
              <w:rPr>
                <w:rFonts w:ascii="Arial" w:hAnsi="Arial" w:cs="Arial"/>
                <w:sz w:val="24"/>
                <w:szCs w:val="24"/>
              </w:rPr>
              <w:t xml:space="preserve">3. Hb </w:t>
            </w:r>
            <w:r w:rsidRPr="00FA3F9C">
              <w:rPr>
                <w:rFonts w:ascii="Arial" w:hAnsi="Arial" w:cs="Arial"/>
                <w:sz w:val="24"/>
                <w:szCs w:val="24"/>
                <w:u w:val="single"/>
              </w:rPr>
              <w:t>&lt;</w:t>
            </w:r>
            <w:r w:rsidRPr="00FA3F9C">
              <w:rPr>
                <w:rFonts w:ascii="Arial" w:hAnsi="Arial" w:cs="Arial"/>
                <w:sz w:val="24"/>
                <w:szCs w:val="24"/>
              </w:rPr>
              <w:t xml:space="preserve">10.5g/dL at baseline, </w:t>
            </w:r>
          </w:p>
        </w:tc>
      </w:tr>
      <w:tr w:rsidR="001506C1" w:rsidRPr="00FA3F9C" w14:paraId="58A92435" w14:textId="77777777" w:rsidTr="00DA57E0">
        <w:tc>
          <w:tcPr>
            <w:tcW w:w="11016" w:type="dxa"/>
            <w:gridSpan w:val="2"/>
          </w:tcPr>
          <w:p w14:paraId="26DBC88A" w14:textId="77777777" w:rsidR="001506C1" w:rsidRPr="00FA3F9C" w:rsidRDefault="001506C1" w:rsidP="005B376F">
            <w:pPr>
              <w:rPr>
                <w:rFonts w:ascii="Arial" w:hAnsi="Arial" w:cs="Arial"/>
                <w:sz w:val="24"/>
                <w:szCs w:val="24"/>
              </w:rPr>
            </w:pPr>
            <w:r w:rsidRPr="00FA3F9C">
              <w:rPr>
                <w:rFonts w:ascii="Arial" w:hAnsi="Arial" w:cs="Arial"/>
                <w:sz w:val="24"/>
                <w:szCs w:val="24"/>
              </w:rPr>
              <w:t xml:space="preserve">4. Failed trial of 3 months (arbitrary) of estrogen-progestin oral contraceptives or hormone-releasing IUD. </w:t>
            </w:r>
          </w:p>
        </w:tc>
      </w:tr>
      <w:tr w:rsidR="001506C1" w:rsidRPr="00FA3F9C" w14:paraId="61AE1B8B" w14:textId="77777777" w:rsidTr="00DA57E0">
        <w:tc>
          <w:tcPr>
            <w:tcW w:w="11016" w:type="dxa"/>
            <w:gridSpan w:val="2"/>
          </w:tcPr>
          <w:p w14:paraId="6BDEE96E" w14:textId="77777777" w:rsidR="001506C1" w:rsidRPr="00FA3F9C" w:rsidRDefault="001506C1" w:rsidP="005B376F">
            <w:pPr>
              <w:rPr>
                <w:rFonts w:ascii="Arial" w:hAnsi="Arial" w:cs="Arial"/>
                <w:sz w:val="24"/>
                <w:szCs w:val="24"/>
              </w:rPr>
            </w:pPr>
            <w:r w:rsidRPr="00FA3F9C">
              <w:rPr>
                <w:rFonts w:ascii="Arial" w:hAnsi="Arial" w:cs="Arial"/>
                <w:sz w:val="24"/>
                <w:szCs w:val="24"/>
              </w:rPr>
              <w:t xml:space="preserve">5. No history of thrombosis (this drug contains estradiol). </w:t>
            </w:r>
          </w:p>
        </w:tc>
      </w:tr>
      <w:tr w:rsidR="001506C1" w:rsidRPr="00FA3F9C" w14:paraId="57BD930D" w14:textId="77777777" w:rsidTr="00DA57E0">
        <w:tc>
          <w:tcPr>
            <w:tcW w:w="11016" w:type="dxa"/>
            <w:gridSpan w:val="2"/>
          </w:tcPr>
          <w:p w14:paraId="6F6383A0" w14:textId="77777777" w:rsidR="001506C1" w:rsidRPr="00FA3F9C" w:rsidRDefault="001506C1" w:rsidP="006F623F">
            <w:pPr>
              <w:rPr>
                <w:rFonts w:ascii="Arial" w:hAnsi="Arial" w:cs="Arial"/>
                <w:sz w:val="24"/>
                <w:szCs w:val="24"/>
              </w:rPr>
            </w:pPr>
            <w:r w:rsidRPr="00FA3F9C">
              <w:rPr>
                <w:rFonts w:ascii="Arial" w:hAnsi="Arial" w:cs="Arial"/>
                <w:sz w:val="24"/>
                <w:szCs w:val="24"/>
              </w:rPr>
              <w:t>6. Not a candidate for fibroid resection (1</w:t>
            </w:r>
            <w:r w:rsidRPr="00FA3F9C">
              <w:rPr>
                <w:rFonts w:ascii="Arial" w:hAnsi="Arial" w:cs="Arial"/>
                <w:sz w:val="24"/>
                <w:szCs w:val="24"/>
                <w:vertAlign w:val="superscript"/>
              </w:rPr>
              <w:t>st</w:t>
            </w:r>
            <w:r w:rsidRPr="00FA3F9C">
              <w:rPr>
                <w:rFonts w:ascii="Arial" w:hAnsi="Arial" w:cs="Arial"/>
                <w:sz w:val="24"/>
                <w:szCs w:val="24"/>
              </w:rPr>
              <w:t xml:space="preserve"> line therapy).</w:t>
            </w:r>
          </w:p>
        </w:tc>
      </w:tr>
      <w:tr w:rsidR="001506C1" w:rsidRPr="00FA3F9C" w14:paraId="27FBEF0E" w14:textId="77777777" w:rsidTr="00DA57E0">
        <w:tc>
          <w:tcPr>
            <w:tcW w:w="11016" w:type="dxa"/>
            <w:gridSpan w:val="2"/>
          </w:tcPr>
          <w:p w14:paraId="1EBF325D" w14:textId="77777777" w:rsidR="001506C1" w:rsidRPr="00FA3F9C" w:rsidRDefault="001506C1" w:rsidP="006F623F">
            <w:pPr>
              <w:rPr>
                <w:rFonts w:ascii="Arial" w:hAnsi="Arial" w:cs="Arial"/>
                <w:sz w:val="24"/>
                <w:szCs w:val="24"/>
              </w:rPr>
            </w:pPr>
            <w:r w:rsidRPr="00FA3F9C">
              <w:rPr>
                <w:rFonts w:ascii="Arial" w:hAnsi="Arial" w:cs="Arial"/>
                <w:sz w:val="24"/>
                <w:szCs w:val="24"/>
              </w:rPr>
              <w:t xml:space="preserve">If the above are </w:t>
            </w:r>
            <w:proofErr w:type="spellStart"/>
            <w:r w:rsidRPr="00FA3F9C">
              <w:rPr>
                <w:rFonts w:ascii="Arial" w:hAnsi="Arial" w:cs="Arial"/>
                <w:sz w:val="24"/>
                <w:szCs w:val="24"/>
              </w:rPr>
              <w:t>satisified</w:t>
            </w:r>
            <w:proofErr w:type="spellEnd"/>
            <w:r w:rsidRPr="00FA3F9C">
              <w:rPr>
                <w:rFonts w:ascii="Arial" w:hAnsi="Arial" w:cs="Arial"/>
                <w:sz w:val="24"/>
                <w:szCs w:val="24"/>
              </w:rPr>
              <w:t>, PA is good for 3 months.</w:t>
            </w:r>
          </w:p>
        </w:tc>
      </w:tr>
    </w:tbl>
    <w:p w14:paraId="070EBAB1" w14:textId="77777777" w:rsidR="001506C1" w:rsidRPr="00FA3F9C" w:rsidRDefault="001506C1" w:rsidP="006F623F">
      <w:pPr>
        <w:spacing w:after="0"/>
        <w:rPr>
          <w:rFonts w:ascii="Arial" w:hAnsi="Arial" w:cs="Arial"/>
          <w:b/>
          <w:sz w:val="24"/>
          <w:szCs w:val="24"/>
          <w:u w:val="single"/>
        </w:rPr>
      </w:pPr>
    </w:p>
    <w:tbl>
      <w:tblPr>
        <w:tblStyle w:val="TableGrid"/>
        <w:tblW w:w="0" w:type="auto"/>
        <w:tblLook w:val="04A0" w:firstRow="1" w:lastRow="0" w:firstColumn="1" w:lastColumn="0" w:noHBand="0" w:noVBand="1"/>
      </w:tblPr>
      <w:tblGrid>
        <w:gridCol w:w="8928"/>
        <w:gridCol w:w="2088"/>
      </w:tblGrid>
      <w:tr w:rsidR="001506C1" w:rsidRPr="00FA3F9C" w14:paraId="53B842D0" w14:textId="77777777" w:rsidTr="00571CAB">
        <w:tc>
          <w:tcPr>
            <w:tcW w:w="8928" w:type="dxa"/>
            <w:shd w:val="clear" w:color="auto" w:fill="000000"/>
          </w:tcPr>
          <w:p w14:paraId="5B1CBA2B" w14:textId="77777777" w:rsidR="001506C1" w:rsidRPr="00FA3F9C" w:rsidRDefault="001506C1" w:rsidP="00571CAB">
            <w:pPr>
              <w:rPr>
                <w:rFonts w:ascii="Arial" w:hAnsi="Arial" w:cs="Arial"/>
                <w:b/>
                <w:sz w:val="24"/>
                <w:szCs w:val="24"/>
                <w:u w:val="single"/>
              </w:rPr>
            </w:pPr>
            <w:r w:rsidRPr="00FA3F9C">
              <w:rPr>
                <w:rFonts w:ascii="Arial" w:hAnsi="Arial" w:cs="Arial"/>
                <w:b/>
                <w:sz w:val="24"/>
                <w:szCs w:val="24"/>
                <w:u w:val="single"/>
              </w:rPr>
              <w:t>Criteria for continuation</w:t>
            </w:r>
          </w:p>
        </w:tc>
        <w:tc>
          <w:tcPr>
            <w:tcW w:w="2088" w:type="dxa"/>
            <w:shd w:val="clear" w:color="auto" w:fill="000000"/>
          </w:tcPr>
          <w:p w14:paraId="781EE15A" w14:textId="77777777" w:rsidR="001506C1" w:rsidRPr="00FA3F9C" w:rsidRDefault="001506C1" w:rsidP="00571CAB">
            <w:pPr>
              <w:jc w:val="center"/>
              <w:rPr>
                <w:rFonts w:ascii="Arial" w:hAnsi="Arial" w:cs="Arial"/>
                <w:b/>
                <w:sz w:val="24"/>
                <w:szCs w:val="24"/>
                <w:u w:val="single"/>
              </w:rPr>
            </w:pPr>
          </w:p>
        </w:tc>
      </w:tr>
      <w:tr w:rsidR="001506C1" w:rsidRPr="00FA3F9C" w14:paraId="0793C932" w14:textId="77777777" w:rsidTr="00FE7E94">
        <w:tc>
          <w:tcPr>
            <w:tcW w:w="11016" w:type="dxa"/>
            <w:gridSpan w:val="2"/>
          </w:tcPr>
          <w:p w14:paraId="5EE80EFC" w14:textId="77777777" w:rsidR="001506C1" w:rsidRPr="00FA3F9C" w:rsidRDefault="001506C1" w:rsidP="001506C1">
            <w:pPr>
              <w:pStyle w:val="ListParagraph"/>
              <w:numPr>
                <w:ilvl w:val="0"/>
                <w:numId w:val="150"/>
              </w:numPr>
              <w:rPr>
                <w:rFonts w:ascii="Arial" w:hAnsi="Arial" w:cs="Arial"/>
                <w:sz w:val="24"/>
                <w:szCs w:val="24"/>
              </w:rPr>
            </w:pPr>
            <w:r w:rsidRPr="00FA3F9C">
              <w:rPr>
                <w:rFonts w:ascii="Arial" w:hAnsi="Arial" w:cs="Arial"/>
                <w:sz w:val="24"/>
                <w:szCs w:val="24"/>
              </w:rPr>
              <w:lastRenderedPageBreak/>
              <w:t>Hb improved by at least 2g/dL since baseline. (arbitrary)</w:t>
            </w:r>
          </w:p>
        </w:tc>
      </w:tr>
    </w:tbl>
    <w:p w14:paraId="4B9A2901" w14:textId="77777777" w:rsidR="001506C1" w:rsidRPr="00FA3F9C" w:rsidRDefault="001506C1" w:rsidP="006F623F">
      <w:pPr>
        <w:spacing w:after="0"/>
        <w:rPr>
          <w:rFonts w:ascii="Arial" w:hAnsi="Arial" w:cs="Arial"/>
          <w:b/>
          <w:sz w:val="24"/>
          <w:szCs w:val="24"/>
          <w:u w:val="single"/>
        </w:rPr>
      </w:pPr>
    </w:p>
    <w:p w14:paraId="7423DAC9" w14:textId="77777777" w:rsidR="001506C1" w:rsidRPr="00FA3F9C" w:rsidRDefault="001506C1" w:rsidP="006F623F">
      <w:pPr>
        <w:spacing w:after="0"/>
        <w:rPr>
          <w:rFonts w:ascii="Arial" w:hAnsi="Arial" w:cs="Arial"/>
          <w:b/>
          <w:sz w:val="24"/>
          <w:szCs w:val="24"/>
          <w:u w:val="single"/>
        </w:rPr>
      </w:pPr>
    </w:p>
    <w:tbl>
      <w:tblPr>
        <w:tblStyle w:val="TableGrid"/>
        <w:tblW w:w="0" w:type="auto"/>
        <w:shd w:val="clear" w:color="auto" w:fill="BFBFBF" w:themeFill="background1" w:themeFillShade="BF"/>
        <w:tblLook w:val="04A0" w:firstRow="1" w:lastRow="0" w:firstColumn="1" w:lastColumn="0" w:noHBand="0" w:noVBand="1"/>
      </w:tblPr>
      <w:tblGrid>
        <w:gridCol w:w="10998"/>
      </w:tblGrid>
      <w:tr w:rsidR="001506C1" w:rsidRPr="00FA3F9C" w14:paraId="2BCB67FA" w14:textId="77777777" w:rsidTr="00D82B6E">
        <w:tc>
          <w:tcPr>
            <w:tcW w:w="10998" w:type="dxa"/>
            <w:shd w:val="clear" w:color="auto" w:fill="BFBFBF" w:themeFill="background1" w:themeFillShade="BF"/>
          </w:tcPr>
          <w:p w14:paraId="1E8D3F8B" w14:textId="77777777" w:rsidR="001506C1" w:rsidRPr="00FA3F9C" w:rsidRDefault="001506C1" w:rsidP="00D82B6E">
            <w:pPr>
              <w:rPr>
                <w:rFonts w:ascii="Arial" w:hAnsi="Arial" w:cs="Arial"/>
                <w:sz w:val="24"/>
                <w:szCs w:val="24"/>
              </w:rPr>
            </w:pPr>
            <w:r w:rsidRPr="00FA3F9C">
              <w:rPr>
                <w:rFonts w:ascii="Arial" w:hAnsi="Arial" w:cs="Arial"/>
                <w:sz w:val="24"/>
                <w:szCs w:val="24"/>
              </w:rPr>
              <w:t>Note: Limitation: Use should be limited to 24 months due to risk of continued bone loss, which may not be reversible.</w:t>
            </w:r>
          </w:p>
        </w:tc>
      </w:tr>
    </w:tbl>
    <w:p w14:paraId="3560A94E" w14:textId="77777777" w:rsidR="001506C1" w:rsidRPr="00FA3F9C" w:rsidRDefault="001506C1" w:rsidP="006F623F">
      <w:pPr>
        <w:spacing w:after="0"/>
        <w:rPr>
          <w:rFonts w:ascii="Arial" w:hAnsi="Arial" w:cs="Arial"/>
          <w:sz w:val="24"/>
          <w:szCs w:val="24"/>
        </w:rPr>
      </w:pPr>
    </w:p>
    <w:p w14:paraId="584BD3C0"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Quantity Limits: 60/30</w:t>
      </w:r>
    </w:p>
    <w:p w14:paraId="7007525A" w14:textId="77777777" w:rsidR="001506C1" w:rsidRPr="00FA3F9C" w:rsidRDefault="001506C1" w:rsidP="006F623F">
      <w:pPr>
        <w:spacing w:after="0"/>
        <w:rPr>
          <w:rFonts w:ascii="Arial" w:hAnsi="Arial" w:cs="Arial"/>
          <w:sz w:val="24"/>
          <w:szCs w:val="24"/>
        </w:rPr>
      </w:pPr>
    </w:p>
    <w:p w14:paraId="63EF2C39"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284"/>
        <w:gridCol w:w="7470"/>
        <w:gridCol w:w="2538"/>
      </w:tblGrid>
      <w:tr w:rsidR="001506C1" w:rsidRPr="00FA3F9C" w14:paraId="27948B63" w14:textId="77777777" w:rsidTr="00FE491B">
        <w:tc>
          <w:tcPr>
            <w:tcW w:w="1008" w:type="dxa"/>
          </w:tcPr>
          <w:p w14:paraId="69806557" w14:textId="77777777" w:rsidR="001506C1" w:rsidRPr="00FA3F9C" w:rsidRDefault="001506C1" w:rsidP="006F623F">
            <w:pPr>
              <w:rPr>
                <w:rFonts w:ascii="Arial" w:hAnsi="Arial" w:cs="Arial"/>
                <w:sz w:val="24"/>
                <w:szCs w:val="24"/>
              </w:rPr>
            </w:pPr>
            <w:r w:rsidRPr="00FA3F9C">
              <w:rPr>
                <w:rFonts w:ascii="Arial" w:hAnsi="Arial" w:cs="Arial"/>
                <w:sz w:val="24"/>
                <w:szCs w:val="24"/>
              </w:rPr>
              <w:t>Date</w:t>
            </w:r>
          </w:p>
        </w:tc>
        <w:tc>
          <w:tcPr>
            <w:tcW w:w="7470" w:type="dxa"/>
          </w:tcPr>
          <w:p w14:paraId="7DBCA440" w14:textId="77777777" w:rsidR="001506C1" w:rsidRPr="00FA3F9C" w:rsidRDefault="001506C1" w:rsidP="006F623F">
            <w:pPr>
              <w:rPr>
                <w:rFonts w:ascii="Arial" w:hAnsi="Arial" w:cs="Arial"/>
                <w:sz w:val="24"/>
                <w:szCs w:val="24"/>
              </w:rPr>
            </w:pPr>
            <w:r w:rsidRPr="00FA3F9C">
              <w:rPr>
                <w:rFonts w:ascii="Arial" w:hAnsi="Arial" w:cs="Arial"/>
                <w:sz w:val="24"/>
                <w:szCs w:val="24"/>
              </w:rPr>
              <w:t>What changed</w:t>
            </w:r>
          </w:p>
        </w:tc>
        <w:tc>
          <w:tcPr>
            <w:tcW w:w="2538" w:type="dxa"/>
          </w:tcPr>
          <w:p w14:paraId="48F62FCC" w14:textId="77777777" w:rsidR="001506C1" w:rsidRPr="00FA3F9C" w:rsidRDefault="001506C1" w:rsidP="006F623F">
            <w:pPr>
              <w:rPr>
                <w:rFonts w:ascii="Arial" w:hAnsi="Arial" w:cs="Arial"/>
                <w:sz w:val="24"/>
                <w:szCs w:val="24"/>
              </w:rPr>
            </w:pPr>
            <w:r w:rsidRPr="00FA3F9C">
              <w:rPr>
                <w:rFonts w:ascii="Arial" w:hAnsi="Arial" w:cs="Arial"/>
                <w:sz w:val="24"/>
                <w:szCs w:val="24"/>
              </w:rPr>
              <w:t>Pharmacist’s initials</w:t>
            </w:r>
          </w:p>
        </w:tc>
      </w:tr>
      <w:tr w:rsidR="001506C1" w:rsidRPr="00FA3F9C" w14:paraId="1BCF5F58" w14:textId="77777777" w:rsidTr="00FE491B">
        <w:tc>
          <w:tcPr>
            <w:tcW w:w="1008" w:type="dxa"/>
          </w:tcPr>
          <w:p w14:paraId="08B42C7C" w14:textId="77777777" w:rsidR="001506C1" w:rsidRPr="00FA3F9C" w:rsidRDefault="001506C1" w:rsidP="006F623F">
            <w:pPr>
              <w:rPr>
                <w:rFonts w:ascii="Arial" w:hAnsi="Arial" w:cs="Arial"/>
                <w:sz w:val="24"/>
                <w:szCs w:val="24"/>
              </w:rPr>
            </w:pPr>
            <w:r w:rsidRPr="00FA3F9C">
              <w:rPr>
                <w:rFonts w:ascii="Arial" w:hAnsi="Arial" w:cs="Arial"/>
                <w:sz w:val="24"/>
                <w:szCs w:val="24"/>
              </w:rPr>
              <w:t>7/27/2020</w:t>
            </w:r>
          </w:p>
        </w:tc>
        <w:tc>
          <w:tcPr>
            <w:tcW w:w="7470" w:type="dxa"/>
          </w:tcPr>
          <w:p w14:paraId="031B4A85" w14:textId="77777777" w:rsidR="001506C1" w:rsidRPr="00FA3F9C" w:rsidRDefault="001506C1" w:rsidP="006F623F">
            <w:pPr>
              <w:rPr>
                <w:rFonts w:ascii="Arial" w:hAnsi="Arial" w:cs="Arial"/>
                <w:sz w:val="24"/>
                <w:szCs w:val="24"/>
              </w:rPr>
            </w:pPr>
            <w:r w:rsidRPr="00FA3F9C">
              <w:rPr>
                <w:rFonts w:ascii="Arial" w:hAnsi="Arial" w:cs="Arial"/>
                <w:sz w:val="24"/>
                <w:szCs w:val="24"/>
              </w:rPr>
              <w:t>I wrote the criteria.</w:t>
            </w:r>
          </w:p>
        </w:tc>
        <w:tc>
          <w:tcPr>
            <w:tcW w:w="2538" w:type="dxa"/>
          </w:tcPr>
          <w:p w14:paraId="49069001" w14:textId="3CDB0E98" w:rsidR="001506C1" w:rsidRPr="00FA3F9C" w:rsidRDefault="005C142D" w:rsidP="006F623F">
            <w:pPr>
              <w:rPr>
                <w:rFonts w:ascii="Arial" w:hAnsi="Arial" w:cs="Arial"/>
                <w:sz w:val="24"/>
                <w:szCs w:val="24"/>
              </w:rPr>
            </w:pPr>
            <w:r w:rsidRPr="00FA3F9C">
              <w:rPr>
                <w:rFonts w:ascii="Arial" w:hAnsi="Arial" w:cs="Arial"/>
                <w:sz w:val="24"/>
                <w:szCs w:val="24"/>
              </w:rPr>
              <w:t>JJ</w:t>
            </w:r>
          </w:p>
        </w:tc>
      </w:tr>
      <w:tr w:rsidR="001506C1" w:rsidRPr="00FA3F9C" w14:paraId="6DCD93AD" w14:textId="77777777" w:rsidTr="00FE491B">
        <w:tc>
          <w:tcPr>
            <w:tcW w:w="1008" w:type="dxa"/>
          </w:tcPr>
          <w:p w14:paraId="7D896970" w14:textId="77777777" w:rsidR="001506C1" w:rsidRPr="00FA3F9C" w:rsidRDefault="001506C1" w:rsidP="006F623F">
            <w:pPr>
              <w:rPr>
                <w:rFonts w:ascii="Arial" w:hAnsi="Arial" w:cs="Arial"/>
                <w:sz w:val="24"/>
                <w:szCs w:val="24"/>
              </w:rPr>
            </w:pPr>
          </w:p>
        </w:tc>
        <w:tc>
          <w:tcPr>
            <w:tcW w:w="7470" w:type="dxa"/>
          </w:tcPr>
          <w:p w14:paraId="1B9EEFEA" w14:textId="77777777" w:rsidR="001506C1" w:rsidRPr="00FA3F9C" w:rsidRDefault="001506C1" w:rsidP="006F623F">
            <w:pPr>
              <w:rPr>
                <w:rFonts w:ascii="Arial" w:hAnsi="Arial" w:cs="Arial"/>
                <w:sz w:val="24"/>
                <w:szCs w:val="24"/>
              </w:rPr>
            </w:pPr>
          </w:p>
        </w:tc>
        <w:tc>
          <w:tcPr>
            <w:tcW w:w="2538" w:type="dxa"/>
          </w:tcPr>
          <w:p w14:paraId="3B66B229" w14:textId="77777777" w:rsidR="001506C1" w:rsidRPr="00FA3F9C" w:rsidRDefault="001506C1" w:rsidP="006F623F">
            <w:pPr>
              <w:rPr>
                <w:rFonts w:ascii="Arial" w:hAnsi="Arial" w:cs="Arial"/>
                <w:sz w:val="24"/>
                <w:szCs w:val="24"/>
              </w:rPr>
            </w:pPr>
          </w:p>
        </w:tc>
      </w:tr>
    </w:tbl>
    <w:p w14:paraId="02A74A50" w14:textId="77777777" w:rsidR="001506C1" w:rsidRPr="00FA3F9C" w:rsidRDefault="001506C1" w:rsidP="006F623F">
      <w:pPr>
        <w:spacing w:after="0"/>
        <w:rPr>
          <w:rFonts w:ascii="Arial" w:hAnsi="Arial" w:cs="Arial"/>
          <w:sz w:val="24"/>
          <w:szCs w:val="24"/>
        </w:rPr>
      </w:pPr>
    </w:p>
    <w:p w14:paraId="490284E8" w14:textId="77777777" w:rsidR="00BE7C2A" w:rsidRDefault="001506C1" w:rsidP="00BE7C2A">
      <w:pPr>
        <w:pStyle w:val="Heading2"/>
      </w:pPr>
      <w:bookmarkStart w:id="86" w:name="_Toc106369781"/>
      <w:proofErr w:type="spellStart"/>
      <w:r w:rsidRPr="00FA3F9C">
        <w:t>Elapegademase-lvlr</w:t>
      </w:r>
      <w:proofErr w:type="spellEnd"/>
      <w:r w:rsidRPr="00FA3F9C">
        <w:t xml:space="preserve"> (</w:t>
      </w:r>
      <w:proofErr w:type="spellStart"/>
      <w:r w:rsidRPr="00FA3F9C">
        <w:t>Revcovi</w:t>
      </w:r>
      <w:proofErr w:type="spellEnd"/>
      <w:r w:rsidRPr="00FA3F9C">
        <w:t>)</w:t>
      </w:r>
      <w:bookmarkEnd w:id="86"/>
    </w:p>
    <w:p w14:paraId="1FA94120" w14:textId="109F440E" w:rsidR="001506C1" w:rsidRPr="00FA3F9C" w:rsidRDefault="001506C1" w:rsidP="006F623F">
      <w:pPr>
        <w:spacing w:after="0"/>
        <w:jc w:val="center"/>
        <w:rPr>
          <w:rFonts w:ascii="Arial" w:hAnsi="Arial" w:cs="Arial"/>
          <w:sz w:val="24"/>
          <w:szCs w:val="24"/>
        </w:rPr>
      </w:pPr>
      <w:r w:rsidRPr="00FA3F9C">
        <w:rPr>
          <w:rFonts w:ascii="Arial" w:hAnsi="Arial" w:cs="Arial"/>
          <w:sz w:val="24"/>
          <w:szCs w:val="24"/>
        </w:rPr>
        <w:t xml:space="preserve"> IM for self-injection</w:t>
      </w:r>
    </w:p>
    <w:p w14:paraId="3B3424F1" w14:textId="77777777" w:rsidR="001506C1" w:rsidRPr="00FA3F9C" w:rsidRDefault="001506C1" w:rsidP="006F623F">
      <w:pPr>
        <w:spacing w:after="0"/>
        <w:jc w:val="center"/>
        <w:rPr>
          <w:rFonts w:ascii="Arial" w:hAnsi="Arial" w:cs="Arial"/>
          <w:sz w:val="24"/>
          <w:szCs w:val="24"/>
        </w:rPr>
      </w:pPr>
      <w:r w:rsidRPr="00FA3F9C">
        <w:rPr>
          <w:rFonts w:ascii="Arial" w:hAnsi="Arial" w:cs="Arial"/>
          <w:sz w:val="24"/>
          <w:szCs w:val="24"/>
        </w:rPr>
        <w:t>EBRx PA Criteria</w:t>
      </w:r>
    </w:p>
    <w:p w14:paraId="5A7A13DB" w14:textId="77777777" w:rsidR="001506C1" w:rsidRPr="00FA3F9C" w:rsidRDefault="001506C1" w:rsidP="006F623F">
      <w:pPr>
        <w:spacing w:after="0"/>
        <w:rPr>
          <w:rFonts w:ascii="Arial" w:hAnsi="Arial" w:cs="Arial"/>
          <w:b/>
          <w:sz w:val="24"/>
          <w:szCs w:val="24"/>
          <w:u w:val="single"/>
        </w:rPr>
      </w:pPr>
    </w:p>
    <w:p w14:paraId="18589E64" w14:textId="77777777" w:rsidR="001506C1" w:rsidRPr="00FA3F9C" w:rsidRDefault="001506C1"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Adenosine deaminase severe combined immune deficiency (ADA-SCID) in pediatrics and adults</w:t>
      </w:r>
    </w:p>
    <w:tbl>
      <w:tblPr>
        <w:tblStyle w:val="TableGrid"/>
        <w:tblW w:w="0" w:type="auto"/>
        <w:tblLook w:val="04A0" w:firstRow="1" w:lastRow="0" w:firstColumn="1" w:lastColumn="0" w:noHBand="0" w:noVBand="1"/>
      </w:tblPr>
      <w:tblGrid>
        <w:gridCol w:w="8928"/>
        <w:gridCol w:w="2088"/>
      </w:tblGrid>
      <w:tr w:rsidR="001506C1" w:rsidRPr="00FA3F9C" w14:paraId="040BE80A" w14:textId="77777777" w:rsidTr="00571CAB">
        <w:tc>
          <w:tcPr>
            <w:tcW w:w="8928" w:type="dxa"/>
            <w:shd w:val="clear" w:color="auto" w:fill="000000"/>
          </w:tcPr>
          <w:p w14:paraId="1AC11009" w14:textId="77777777" w:rsidR="001506C1" w:rsidRPr="00FA3F9C" w:rsidRDefault="001506C1"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88" w:type="dxa"/>
            <w:shd w:val="clear" w:color="auto" w:fill="000000"/>
          </w:tcPr>
          <w:p w14:paraId="7B90FB76" w14:textId="77777777" w:rsidR="001506C1" w:rsidRPr="00FA3F9C" w:rsidRDefault="001506C1" w:rsidP="006F623F">
            <w:pPr>
              <w:jc w:val="center"/>
              <w:rPr>
                <w:rFonts w:ascii="Arial" w:hAnsi="Arial" w:cs="Arial"/>
                <w:b/>
                <w:sz w:val="24"/>
                <w:szCs w:val="24"/>
                <w:u w:val="single"/>
              </w:rPr>
            </w:pPr>
          </w:p>
        </w:tc>
      </w:tr>
      <w:tr w:rsidR="001506C1" w:rsidRPr="00FA3F9C" w14:paraId="1A1C3678" w14:textId="77777777" w:rsidTr="00F337AE">
        <w:tc>
          <w:tcPr>
            <w:tcW w:w="11016" w:type="dxa"/>
            <w:gridSpan w:val="2"/>
          </w:tcPr>
          <w:p w14:paraId="57D17902" w14:textId="77777777" w:rsidR="001506C1" w:rsidRPr="00FA3F9C" w:rsidRDefault="001506C1" w:rsidP="006F623F">
            <w:pPr>
              <w:rPr>
                <w:rFonts w:ascii="Arial" w:hAnsi="Arial" w:cs="Arial"/>
                <w:sz w:val="24"/>
                <w:szCs w:val="24"/>
              </w:rPr>
            </w:pPr>
            <w:r w:rsidRPr="00FA3F9C">
              <w:rPr>
                <w:rFonts w:ascii="Arial" w:hAnsi="Arial" w:cs="Arial"/>
                <w:sz w:val="24"/>
                <w:szCs w:val="24"/>
              </w:rPr>
              <w:t>1. The patient must have the diagnosis of ADA-SCID.</w:t>
            </w:r>
          </w:p>
        </w:tc>
      </w:tr>
      <w:tr w:rsidR="001506C1" w:rsidRPr="00FA3F9C" w14:paraId="212DBD79" w14:textId="77777777" w:rsidTr="00B1617E">
        <w:tc>
          <w:tcPr>
            <w:tcW w:w="11016" w:type="dxa"/>
            <w:gridSpan w:val="2"/>
          </w:tcPr>
          <w:p w14:paraId="47624CEB" w14:textId="77777777" w:rsidR="001506C1" w:rsidRPr="00FA3F9C" w:rsidRDefault="001506C1" w:rsidP="006F623F">
            <w:pPr>
              <w:rPr>
                <w:rFonts w:ascii="Arial" w:hAnsi="Arial" w:cs="Arial"/>
                <w:sz w:val="24"/>
                <w:szCs w:val="24"/>
              </w:rPr>
            </w:pPr>
            <w:r w:rsidRPr="00FA3F9C">
              <w:rPr>
                <w:rFonts w:ascii="Arial" w:hAnsi="Arial" w:cs="Arial"/>
                <w:sz w:val="24"/>
                <w:szCs w:val="24"/>
              </w:rPr>
              <w:t>2. The patient must be awaiting HSCT or else not be able to undergo HSCT.</w:t>
            </w:r>
          </w:p>
        </w:tc>
      </w:tr>
    </w:tbl>
    <w:p w14:paraId="72CA8639" w14:textId="77777777" w:rsidR="001506C1" w:rsidRPr="00FA3F9C" w:rsidRDefault="001506C1" w:rsidP="006F623F">
      <w:pPr>
        <w:spacing w:after="0"/>
        <w:rPr>
          <w:rFonts w:ascii="Arial" w:hAnsi="Arial" w:cs="Arial"/>
          <w:b/>
          <w:sz w:val="24"/>
          <w:szCs w:val="24"/>
          <w:u w:val="single"/>
        </w:rPr>
      </w:pPr>
    </w:p>
    <w:tbl>
      <w:tblPr>
        <w:tblStyle w:val="TableGrid"/>
        <w:tblW w:w="0" w:type="auto"/>
        <w:shd w:val="clear" w:color="auto" w:fill="BFBFBF" w:themeFill="background1" w:themeFillShade="BF"/>
        <w:tblLook w:val="04A0" w:firstRow="1" w:lastRow="0" w:firstColumn="1" w:lastColumn="0" w:noHBand="0" w:noVBand="1"/>
      </w:tblPr>
      <w:tblGrid>
        <w:gridCol w:w="10998"/>
      </w:tblGrid>
      <w:tr w:rsidR="001506C1" w:rsidRPr="00FA3F9C" w14:paraId="4BC8827A" w14:textId="77777777" w:rsidTr="00D82B6E">
        <w:tc>
          <w:tcPr>
            <w:tcW w:w="10998" w:type="dxa"/>
            <w:shd w:val="clear" w:color="auto" w:fill="BFBFBF" w:themeFill="background1" w:themeFillShade="BF"/>
          </w:tcPr>
          <w:p w14:paraId="5E8C2C8B" w14:textId="77777777" w:rsidR="001506C1" w:rsidRPr="00FA3F9C" w:rsidRDefault="001506C1" w:rsidP="00D82B6E">
            <w:pPr>
              <w:rPr>
                <w:rFonts w:ascii="Arial" w:hAnsi="Arial" w:cs="Arial"/>
                <w:sz w:val="24"/>
                <w:szCs w:val="24"/>
              </w:rPr>
            </w:pPr>
            <w:r w:rsidRPr="00FA3F9C">
              <w:rPr>
                <w:rFonts w:ascii="Arial" w:hAnsi="Arial" w:cs="Arial"/>
                <w:sz w:val="24"/>
                <w:szCs w:val="24"/>
              </w:rPr>
              <w:t>Note: HSCT is curative.</w:t>
            </w:r>
          </w:p>
          <w:p w14:paraId="4295C9CE" w14:textId="77777777" w:rsidR="001506C1" w:rsidRPr="00FA3F9C" w:rsidRDefault="001506C1" w:rsidP="00286364">
            <w:pPr>
              <w:rPr>
                <w:rFonts w:ascii="Arial" w:hAnsi="Arial" w:cs="Arial"/>
                <w:sz w:val="24"/>
                <w:szCs w:val="24"/>
              </w:rPr>
            </w:pPr>
            <w:r w:rsidRPr="00FA3F9C">
              <w:rPr>
                <w:rFonts w:ascii="Arial" w:hAnsi="Arial" w:cs="Arial"/>
                <w:sz w:val="24"/>
                <w:szCs w:val="24"/>
              </w:rPr>
              <w:t>Dose:  *normal maintenance=20units/kg/</w:t>
            </w:r>
            <w:proofErr w:type="spellStart"/>
            <w:r w:rsidRPr="00FA3F9C">
              <w:rPr>
                <w:rFonts w:ascii="Arial" w:hAnsi="Arial" w:cs="Arial"/>
                <w:sz w:val="24"/>
                <w:szCs w:val="24"/>
              </w:rPr>
              <w:t>wk</w:t>
            </w:r>
            <w:proofErr w:type="spellEnd"/>
            <w:r w:rsidRPr="00FA3F9C">
              <w:rPr>
                <w:rFonts w:ascii="Arial" w:hAnsi="Arial" w:cs="Arial"/>
                <w:sz w:val="24"/>
                <w:szCs w:val="24"/>
              </w:rPr>
              <w:t xml:space="preserve">  ¥based on initial dosing since maintenance is based on levels (unsure what an estimate would be)</w:t>
            </w:r>
          </w:p>
          <w:p w14:paraId="076BC09A" w14:textId="77777777" w:rsidR="001506C1" w:rsidRPr="00FA3F9C" w:rsidRDefault="001506C1" w:rsidP="00D82B6E">
            <w:pPr>
              <w:rPr>
                <w:rFonts w:ascii="Arial" w:hAnsi="Arial" w:cs="Arial"/>
                <w:sz w:val="24"/>
                <w:szCs w:val="24"/>
              </w:rPr>
            </w:pPr>
            <w:proofErr w:type="spellStart"/>
            <w:r w:rsidRPr="00FA3F9C">
              <w:rPr>
                <w:rFonts w:ascii="Arial" w:hAnsi="Arial" w:cs="Arial"/>
                <w:sz w:val="24"/>
                <w:szCs w:val="24"/>
              </w:rPr>
              <w:t>Elapegademase</w:t>
            </w:r>
            <w:proofErr w:type="spellEnd"/>
            <w:r w:rsidRPr="00FA3F9C">
              <w:rPr>
                <w:rFonts w:ascii="Arial" w:hAnsi="Arial" w:cs="Arial"/>
                <w:sz w:val="24"/>
                <w:szCs w:val="24"/>
              </w:rPr>
              <w:t xml:space="preserve"> dose is 0.2mg/kg (ideal body weight) twice weekly for a minimum of 12-24 weeks; may increase dose by 0.033mg/kg once weekly based on ADA trough levels.</w:t>
            </w:r>
          </w:p>
        </w:tc>
      </w:tr>
    </w:tbl>
    <w:p w14:paraId="66425471" w14:textId="77777777" w:rsidR="001506C1" w:rsidRPr="00FA3F9C" w:rsidRDefault="001506C1" w:rsidP="006F623F">
      <w:pPr>
        <w:spacing w:after="0"/>
        <w:rPr>
          <w:rFonts w:ascii="Arial" w:hAnsi="Arial" w:cs="Arial"/>
          <w:sz w:val="24"/>
          <w:szCs w:val="24"/>
        </w:rPr>
      </w:pPr>
    </w:p>
    <w:p w14:paraId="19AE4FE4" w14:textId="77777777" w:rsidR="001506C1" w:rsidRPr="00FA3F9C" w:rsidRDefault="001506C1" w:rsidP="00286364">
      <w:pPr>
        <w:spacing w:after="0"/>
        <w:rPr>
          <w:rFonts w:ascii="Arial" w:hAnsi="Arial" w:cs="Arial"/>
          <w:sz w:val="24"/>
          <w:szCs w:val="24"/>
        </w:rPr>
      </w:pPr>
      <w:r w:rsidRPr="00FA3F9C">
        <w:rPr>
          <w:rFonts w:ascii="Arial" w:hAnsi="Arial" w:cs="Arial"/>
          <w:b/>
          <w:sz w:val="24"/>
          <w:szCs w:val="24"/>
          <w:u w:val="single"/>
        </w:rPr>
        <w:t>References</w:t>
      </w:r>
      <w:r w:rsidRPr="00FA3F9C">
        <w:rPr>
          <w:rFonts w:ascii="Arial" w:hAnsi="Arial" w:cs="Arial"/>
          <w:sz w:val="24"/>
          <w:szCs w:val="24"/>
        </w:rPr>
        <w:t>:</w:t>
      </w:r>
    </w:p>
    <w:p w14:paraId="4F3B9354" w14:textId="77777777" w:rsidR="001506C1" w:rsidRPr="00FA3F9C" w:rsidRDefault="001506C1" w:rsidP="001506C1">
      <w:pPr>
        <w:pStyle w:val="ListParagraph"/>
        <w:numPr>
          <w:ilvl w:val="0"/>
          <w:numId w:val="151"/>
        </w:numPr>
        <w:rPr>
          <w:rFonts w:ascii="Arial" w:hAnsi="Arial" w:cs="Arial"/>
          <w:sz w:val="24"/>
          <w:szCs w:val="24"/>
        </w:rPr>
      </w:pPr>
      <w:r w:rsidRPr="00FA3F9C">
        <w:rPr>
          <w:rFonts w:ascii="Arial" w:hAnsi="Arial" w:cs="Arial"/>
          <w:color w:val="222222"/>
          <w:sz w:val="24"/>
          <w:szCs w:val="24"/>
        </w:rPr>
        <w:t>Hershfield, Michael S. "PEG-ADA replacement therapy for adenosine deaminase deficiency: an update after 8.5 years." </w:t>
      </w:r>
      <w:r w:rsidRPr="00FA3F9C">
        <w:rPr>
          <w:rFonts w:ascii="Arial" w:hAnsi="Arial" w:cs="Arial"/>
          <w:i/>
          <w:iCs/>
          <w:color w:val="222222"/>
          <w:sz w:val="24"/>
          <w:szCs w:val="24"/>
        </w:rPr>
        <w:t>Clinical</w:t>
      </w:r>
      <w:r w:rsidRPr="00FA3F9C">
        <w:rPr>
          <w:rFonts w:ascii="Arial" w:hAnsi="Arial" w:cs="Arial"/>
          <w:i/>
          <w:iCs/>
          <w:color w:val="222222"/>
          <w:sz w:val="24"/>
          <w:szCs w:val="24"/>
          <w:shd w:val="clear" w:color="auto" w:fill="F8F8F8"/>
        </w:rPr>
        <w:t xml:space="preserve"> </w:t>
      </w:r>
      <w:r w:rsidRPr="00FA3F9C">
        <w:rPr>
          <w:rFonts w:ascii="Arial" w:hAnsi="Arial" w:cs="Arial"/>
          <w:i/>
          <w:iCs/>
          <w:color w:val="222222"/>
          <w:sz w:val="24"/>
          <w:szCs w:val="24"/>
        </w:rPr>
        <w:t>immunology and immunopathology</w:t>
      </w:r>
      <w:r w:rsidRPr="00FA3F9C">
        <w:rPr>
          <w:rFonts w:ascii="Arial" w:hAnsi="Arial" w:cs="Arial"/>
          <w:color w:val="222222"/>
          <w:sz w:val="24"/>
          <w:szCs w:val="24"/>
        </w:rPr>
        <w:t> 76.3 (1995): S228-S232.</w:t>
      </w:r>
    </w:p>
    <w:p w14:paraId="3B8FCB84" w14:textId="77777777" w:rsidR="001506C1" w:rsidRPr="00FA3F9C" w:rsidRDefault="001506C1" w:rsidP="001506C1">
      <w:pPr>
        <w:pStyle w:val="ListParagraph"/>
        <w:numPr>
          <w:ilvl w:val="0"/>
          <w:numId w:val="151"/>
        </w:numPr>
        <w:rPr>
          <w:rFonts w:ascii="Arial" w:hAnsi="Arial" w:cs="Arial"/>
          <w:sz w:val="24"/>
          <w:szCs w:val="24"/>
        </w:rPr>
      </w:pPr>
      <w:proofErr w:type="spellStart"/>
      <w:r w:rsidRPr="00FA3F9C">
        <w:rPr>
          <w:rFonts w:ascii="Arial" w:hAnsi="Arial" w:cs="Arial"/>
          <w:color w:val="222222"/>
          <w:sz w:val="24"/>
          <w:szCs w:val="24"/>
        </w:rPr>
        <w:lastRenderedPageBreak/>
        <w:t>LexiComp</w:t>
      </w:r>
      <w:proofErr w:type="spellEnd"/>
      <w:r w:rsidRPr="00FA3F9C">
        <w:rPr>
          <w:rFonts w:ascii="Arial" w:hAnsi="Arial" w:cs="Arial"/>
          <w:color w:val="222222"/>
          <w:sz w:val="24"/>
          <w:szCs w:val="24"/>
        </w:rPr>
        <w:t xml:space="preserve">: </w:t>
      </w:r>
      <w:proofErr w:type="spellStart"/>
      <w:r w:rsidRPr="00FA3F9C">
        <w:rPr>
          <w:rFonts w:ascii="Arial" w:hAnsi="Arial" w:cs="Arial"/>
          <w:color w:val="222222"/>
          <w:sz w:val="24"/>
          <w:szCs w:val="24"/>
        </w:rPr>
        <w:t>elapegademase</w:t>
      </w:r>
      <w:proofErr w:type="spellEnd"/>
      <w:r w:rsidRPr="00FA3F9C">
        <w:rPr>
          <w:rFonts w:ascii="Arial" w:hAnsi="Arial" w:cs="Arial"/>
          <w:color w:val="222222"/>
          <w:sz w:val="24"/>
          <w:szCs w:val="24"/>
        </w:rPr>
        <w:t>. Accessed 12/10/2018.</w:t>
      </w:r>
    </w:p>
    <w:p w14:paraId="167F642B" w14:textId="77777777" w:rsidR="001506C1" w:rsidRPr="00FA3F9C" w:rsidRDefault="001506C1" w:rsidP="001506C1">
      <w:pPr>
        <w:pStyle w:val="ListParagraph"/>
        <w:numPr>
          <w:ilvl w:val="0"/>
          <w:numId w:val="151"/>
        </w:numPr>
        <w:rPr>
          <w:rFonts w:ascii="Arial" w:hAnsi="Arial" w:cs="Arial"/>
          <w:sz w:val="24"/>
          <w:szCs w:val="24"/>
        </w:rPr>
      </w:pPr>
      <w:proofErr w:type="spellStart"/>
      <w:r w:rsidRPr="00FA3F9C">
        <w:rPr>
          <w:rFonts w:ascii="Arial" w:hAnsi="Arial" w:cs="Arial"/>
          <w:color w:val="222222"/>
          <w:sz w:val="24"/>
          <w:szCs w:val="24"/>
        </w:rPr>
        <w:t>LexiComp</w:t>
      </w:r>
      <w:proofErr w:type="spellEnd"/>
      <w:r w:rsidRPr="00FA3F9C">
        <w:rPr>
          <w:rFonts w:ascii="Arial" w:hAnsi="Arial" w:cs="Arial"/>
          <w:color w:val="222222"/>
          <w:sz w:val="24"/>
          <w:szCs w:val="24"/>
        </w:rPr>
        <w:t xml:space="preserve">: </w:t>
      </w:r>
      <w:proofErr w:type="spellStart"/>
      <w:r w:rsidRPr="00FA3F9C">
        <w:rPr>
          <w:rFonts w:ascii="Arial" w:hAnsi="Arial" w:cs="Arial"/>
          <w:color w:val="222222"/>
          <w:sz w:val="24"/>
          <w:szCs w:val="24"/>
        </w:rPr>
        <w:t>pegademase</w:t>
      </w:r>
      <w:proofErr w:type="spellEnd"/>
      <w:r w:rsidRPr="00FA3F9C">
        <w:rPr>
          <w:rFonts w:ascii="Arial" w:hAnsi="Arial" w:cs="Arial"/>
          <w:color w:val="222222"/>
          <w:sz w:val="24"/>
          <w:szCs w:val="24"/>
        </w:rPr>
        <w:t xml:space="preserve"> bovine. Accessed 12/10/2018.</w:t>
      </w:r>
    </w:p>
    <w:p w14:paraId="30327799" w14:textId="77777777" w:rsidR="001506C1" w:rsidRPr="00FA3F9C" w:rsidRDefault="001506C1" w:rsidP="001506C1">
      <w:pPr>
        <w:pStyle w:val="ListParagraph"/>
        <w:numPr>
          <w:ilvl w:val="0"/>
          <w:numId w:val="151"/>
        </w:numPr>
        <w:rPr>
          <w:rFonts w:ascii="Arial" w:hAnsi="Arial" w:cs="Arial"/>
          <w:sz w:val="24"/>
          <w:szCs w:val="24"/>
        </w:rPr>
      </w:pPr>
      <w:r w:rsidRPr="00FA3F9C">
        <w:rPr>
          <w:rFonts w:ascii="Arial" w:hAnsi="Arial" w:cs="Arial"/>
          <w:color w:val="222222"/>
          <w:sz w:val="24"/>
          <w:szCs w:val="24"/>
        </w:rPr>
        <w:t>UpToDate: adenosine deaminase deficiency. Accessed 12/10/2018.</w:t>
      </w:r>
    </w:p>
    <w:p w14:paraId="1B230858"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017"/>
        <w:gridCol w:w="7470"/>
        <w:gridCol w:w="2538"/>
      </w:tblGrid>
      <w:tr w:rsidR="001506C1" w:rsidRPr="00FA3F9C" w14:paraId="0D053319" w14:textId="77777777" w:rsidTr="00FE491B">
        <w:tc>
          <w:tcPr>
            <w:tcW w:w="1008" w:type="dxa"/>
          </w:tcPr>
          <w:p w14:paraId="2A03D0B1" w14:textId="77777777" w:rsidR="001506C1" w:rsidRPr="00FA3F9C" w:rsidRDefault="001506C1" w:rsidP="006F623F">
            <w:pPr>
              <w:rPr>
                <w:rFonts w:ascii="Arial" w:hAnsi="Arial" w:cs="Arial"/>
                <w:sz w:val="24"/>
                <w:szCs w:val="24"/>
              </w:rPr>
            </w:pPr>
            <w:r w:rsidRPr="00FA3F9C">
              <w:rPr>
                <w:rFonts w:ascii="Arial" w:hAnsi="Arial" w:cs="Arial"/>
                <w:sz w:val="24"/>
                <w:szCs w:val="24"/>
              </w:rPr>
              <w:t>Date</w:t>
            </w:r>
          </w:p>
        </w:tc>
        <w:tc>
          <w:tcPr>
            <w:tcW w:w="7470" w:type="dxa"/>
          </w:tcPr>
          <w:p w14:paraId="6F69DD08" w14:textId="77777777" w:rsidR="001506C1" w:rsidRPr="00FA3F9C" w:rsidRDefault="001506C1" w:rsidP="006F623F">
            <w:pPr>
              <w:rPr>
                <w:rFonts w:ascii="Arial" w:hAnsi="Arial" w:cs="Arial"/>
                <w:sz w:val="24"/>
                <w:szCs w:val="24"/>
              </w:rPr>
            </w:pPr>
            <w:r w:rsidRPr="00FA3F9C">
              <w:rPr>
                <w:rFonts w:ascii="Arial" w:hAnsi="Arial" w:cs="Arial"/>
                <w:sz w:val="24"/>
                <w:szCs w:val="24"/>
              </w:rPr>
              <w:t>What changed</w:t>
            </w:r>
          </w:p>
        </w:tc>
        <w:tc>
          <w:tcPr>
            <w:tcW w:w="2538" w:type="dxa"/>
          </w:tcPr>
          <w:p w14:paraId="4B5167BA" w14:textId="77777777" w:rsidR="001506C1" w:rsidRPr="00FA3F9C" w:rsidRDefault="001506C1" w:rsidP="006F623F">
            <w:pPr>
              <w:rPr>
                <w:rFonts w:ascii="Arial" w:hAnsi="Arial" w:cs="Arial"/>
                <w:sz w:val="24"/>
                <w:szCs w:val="24"/>
              </w:rPr>
            </w:pPr>
            <w:r w:rsidRPr="00FA3F9C">
              <w:rPr>
                <w:rFonts w:ascii="Arial" w:hAnsi="Arial" w:cs="Arial"/>
                <w:sz w:val="24"/>
                <w:szCs w:val="24"/>
              </w:rPr>
              <w:t>Pharmacist’s initials</w:t>
            </w:r>
          </w:p>
        </w:tc>
      </w:tr>
      <w:tr w:rsidR="001506C1" w:rsidRPr="00FA3F9C" w14:paraId="7FF22BBD" w14:textId="77777777" w:rsidTr="00FE491B">
        <w:tc>
          <w:tcPr>
            <w:tcW w:w="1008" w:type="dxa"/>
          </w:tcPr>
          <w:p w14:paraId="1B860879" w14:textId="77777777" w:rsidR="001506C1" w:rsidRPr="00FA3F9C" w:rsidRDefault="001506C1" w:rsidP="006F623F">
            <w:pPr>
              <w:rPr>
                <w:rFonts w:ascii="Arial" w:hAnsi="Arial" w:cs="Arial"/>
                <w:sz w:val="24"/>
                <w:szCs w:val="24"/>
              </w:rPr>
            </w:pPr>
            <w:r w:rsidRPr="00FA3F9C">
              <w:rPr>
                <w:rFonts w:ascii="Arial" w:hAnsi="Arial" w:cs="Arial"/>
                <w:sz w:val="24"/>
                <w:szCs w:val="24"/>
              </w:rPr>
              <w:t>7/29/21</w:t>
            </w:r>
          </w:p>
        </w:tc>
        <w:tc>
          <w:tcPr>
            <w:tcW w:w="7470" w:type="dxa"/>
          </w:tcPr>
          <w:p w14:paraId="7FFFBAE2" w14:textId="77777777" w:rsidR="001506C1" w:rsidRPr="00FA3F9C" w:rsidRDefault="001506C1" w:rsidP="006F623F">
            <w:pPr>
              <w:rPr>
                <w:rFonts w:ascii="Arial" w:hAnsi="Arial" w:cs="Arial"/>
                <w:sz w:val="24"/>
                <w:szCs w:val="24"/>
              </w:rPr>
            </w:pPr>
            <w:r w:rsidRPr="00FA3F9C">
              <w:rPr>
                <w:rFonts w:ascii="Arial" w:hAnsi="Arial" w:cs="Arial"/>
                <w:sz w:val="24"/>
                <w:szCs w:val="24"/>
              </w:rPr>
              <w:t>I wrote the criteria.</w:t>
            </w:r>
          </w:p>
        </w:tc>
        <w:tc>
          <w:tcPr>
            <w:tcW w:w="2538" w:type="dxa"/>
          </w:tcPr>
          <w:p w14:paraId="10B16165" w14:textId="77777777" w:rsidR="001506C1" w:rsidRPr="00FA3F9C" w:rsidRDefault="001506C1" w:rsidP="006F623F">
            <w:pPr>
              <w:rPr>
                <w:rFonts w:ascii="Arial" w:hAnsi="Arial" w:cs="Arial"/>
                <w:sz w:val="24"/>
                <w:szCs w:val="24"/>
              </w:rPr>
            </w:pPr>
            <w:r w:rsidRPr="00FA3F9C">
              <w:rPr>
                <w:rFonts w:ascii="Arial" w:hAnsi="Arial" w:cs="Arial"/>
                <w:sz w:val="24"/>
                <w:szCs w:val="24"/>
              </w:rPr>
              <w:t>JJ</w:t>
            </w:r>
          </w:p>
        </w:tc>
      </w:tr>
      <w:tr w:rsidR="001506C1" w:rsidRPr="00FA3F9C" w14:paraId="582D06C4" w14:textId="77777777" w:rsidTr="00FE491B">
        <w:tc>
          <w:tcPr>
            <w:tcW w:w="1008" w:type="dxa"/>
          </w:tcPr>
          <w:p w14:paraId="0884FFE1" w14:textId="77777777" w:rsidR="001506C1" w:rsidRPr="00FA3F9C" w:rsidRDefault="001506C1" w:rsidP="006F623F">
            <w:pPr>
              <w:rPr>
                <w:rFonts w:ascii="Arial" w:hAnsi="Arial" w:cs="Arial"/>
                <w:sz w:val="24"/>
                <w:szCs w:val="24"/>
              </w:rPr>
            </w:pPr>
          </w:p>
        </w:tc>
        <w:tc>
          <w:tcPr>
            <w:tcW w:w="7470" w:type="dxa"/>
          </w:tcPr>
          <w:p w14:paraId="715904EC" w14:textId="77777777" w:rsidR="001506C1" w:rsidRPr="00FA3F9C" w:rsidRDefault="001506C1" w:rsidP="006F623F">
            <w:pPr>
              <w:rPr>
                <w:rFonts w:ascii="Arial" w:hAnsi="Arial" w:cs="Arial"/>
                <w:sz w:val="24"/>
                <w:szCs w:val="24"/>
              </w:rPr>
            </w:pPr>
          </w:p>
        </w:tc>
        <w:tc>
          <w:tcPr>
            <w:tcW w:w="2538" w:type="dxa"/>
          </w:tcPr>
          <w:p w14:paraId="7F1EB5AF" w14:textId="77777777" w:rsidR="001506C1" w:rsidRPr="00FA3F9C" w:rsidRDefault="001506C1" w:rsidP="006F623F">
            <w:pPr>
              <w:rPr>
                <w:rFonts w:ascii="Arial" w:hAnsi="Arial" w:cs="Arial"/>
                <w:sz w:val="24"/>
                <w:szCs w:val="24"/>
              </w:rPr>
            </w:pPr>
          </w:p>
        </w:tc>
      </w:tr>
    </w:tbl>
    <w:p w14:paraId="52696159" w14:textId="77777777" w:rsidR="001506C1" w:rsidRPr="00FA3F9C" w:rsidRDefault="001506C1" w:rsidP="006F623F">
      <w:pPr>
        <w:spacing w:after="0"/>
        <w:rPr>
          <w:rFonts w:ascii="Arial" w:hAnsi="Arial" w:cs="Arial"/>
          <w:sz w:val="24"/>
          <w:szCs w:val="24"/>
        </w:rPr>
      </w:pPr>
    </w:p>
    <w:p w14:paraId="36CAA5AB" w14:textId="77777777" w:rsidR="001506C1" w:rsidRPr="00FA3F9C" w:rsidRDefault="001506C1" w:rsidP="00BE7C2A">
      <w:pPr>
        <w:pStyle w:val="Heading2"/>
      </w:pPr>
      <w:bookmarkStart w:id="87" w:name="_Toc106369782"/>
      <w:proofErr w:type="spellStart"/>
      <w:r w:rsidRPr="00FA3F9C">
        <w:t>Elexacaftor</w:t>
      </w:r>
      <w:proofErr w:type="spellEnd"/>
      <w:r w:rsidRPr="00FA3F9C">
        <w:t xml:space="preserve"> </w:t>
      </w:r>
      <w:proofErr w:type="spellStart"/>
      <w:r w:rsidRPr="00FA3F9C">
        <w:t>Tezacaftor</w:t>
      </w:r>
      <w:proofErr w:type="spellEnd"/>
      <w:r w:rsidRPr="00FA3F9C">
        <w:t>-ivacaftor (</w:t>
      </w:r>
      <w:proofErr w:type="spellStart"/>
      <w:r w:rsidRPr="00FA3F9C">
        <w:t>Trikafta</w:t>
      </w:r>
      <w:proofErr w:type="spellEnd"/>
      <w:r w:rsidRPr="00FA3F9C">
        <w:t>)</w:t>
      </w:r>
      <w:bookmarkEnd w:id="87"/>
      <w:r w:rsidRPr="00FA3F9C">
        <w:t xml:space="preserve"> </w:t>
      </w:r>
    </w:p>
    <w:p w14:paraId="17426A10" w14:textId="719A0DC8" w:rsidR="001506C1" w:rsidRDefault="001506C1" w:rsidP="00E4013F">
      <w:pPr>
        <w:jc w:val="center"/>
        <w:rPr>
          <w:rFonts w:ascii="Arial" w:hAnsi="Arial" w:cs="Arial"/>
          <w:b/>
          <w:sz w:val="24"/>
          <w:szCs w:val="24"/>
        </w:rPr>
      </w:pPr>
      <w:r w:rsidRPr="00FA3F9C">
        <w:rPr>
          <w:rFonts w:ascii="Arial" w:hAnsi="Arial" w:cs="Arial"/>
          <w:b/>
          <w:sz w:val="24"/>
          <w:szCs w:val="24"/>
        </w:rPr>
        <w:t>ELEX100mg/IVA75mg/TEZ50mg) tablets plus an additional IVA 150mg</w:t>
      </w:r>
    </w:p>
    <w:p w14:paraId="7B9451C0" w14:textId="77777777" w:rsidR="00BE7C2A" w:rsidRPr="00FA3F9C" w:rsidRDefault="00BE7C2A" w:rsidP="00BE7C2A">
      <w:pPr>
        <w:jc w:val="center"/>
        <w:rPr>
          <w:rFonts w:ascii="Arial" w:hAnsi="Arial" w:cs="Arial"/>
          <w:b/>
          <w:sz w:val="24"/>
          <w:szCs w:val="24"/>
        </w:rPr>
      </w:pPr>
      <w:r w:rsidRPr="00FA3F9C">
        <w:rPr>
          <w:rFonts w:ascii="Arial" w:hAnsi="Arial" w:cs="Arial"/>
          <w:b/>
          <w:sz w:val="24"/>
          <w:szCs w:val="24"/>
        </w:rPr>
        <w:t>EBRx Prior Authorization Criteria</w:t>
      </w:r>
    </w:p>
    <w:p w14:paraId="3E0FB4B5" w14:textId="77777777" w:rsidR="00BE7C2A" w:rsidRPr="00FA3F9C" w:rsidRDefault="00BE7C2A" w:rsidP="00BE7C2A">
      <w:pPr>
        <w:rPr>
          <w:rFonts w:ascii="Arial" w:hAnsi="Arial" w:cs="Arial"/>
          <w:b/>
          <w:sz w:val="24"/>
          <w:szCs w:val="24"/>
        </w:rPr>
      </w:pPr>
    </w:p>
    <w:p w14:paraId="69EBB297" w14:textId="77777777" w:rsidR="001506C1" w:rsidRPr="00FA3F9C" w:rsidRDefault="001506C1" w:rsidP="00E4013F">
      <w:pPr>
        <w:jc w:val="center"/>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98"/>
      </w:tblGrid>
      <w:tr w:rsidR="001506C1" w:rsidRPr="00FA3F9C" w14:paraId="3737BFF9" w14:textId="77777777" w:rsidTr="00D040FF">
        <w:trPr>
          <w:trHeight w:val="728"/>
        </w:trPr>
        <w:tc>
          <w:tcPr>
            <w:tcW w:w="10998" w:type="dxa"/>
            <w:shd w:val="clear" w:color="auto" w:fill="000000"/>
            <w:vAlign w:val="center"/>
          </w:tcPr>
          <w:p w14:paraId="122F2F56" w14:textId="77777777" w:rsidR="001506C1" w:rsidRPr="00FA3F9C" w:rsidRDefault="001506C1" w:rsidP="00094F67">
            <w:pPr>
              <w:rPr>
                <w:rFonts w:ascii="Arial" w:hAnsi="Arial" w:cs="Arial"/>
                <w:b/>
                <w:sz w:val="24"/>
                <w:szCs w:val="24"/>
              </w:rPr>
            </w:pPr>
            <w:r w:rsidRPr="00FA3F9C">
              <w:rPr>
                <w:rFonts w:ascii="Arial" w:hAnsi="Arial" w:cs="Arial"/>
                <w:b/>
                <w:sz w:val="24"/>
                <w:szCs w:val="24"/>
              </w:rPr>
              <w:t>Initial approval criteria:</w:t>
            </w:r>
          </w:p>
        </w:tc>
      </w:tr>
      <w:tr w:rsidR="001506C1" w:rsidRPr="00FA3F9C" w14:paraId="70CE7FDE" w14:textId="77777777" w:rsidTr="005662E7">
        <w:trPr>
          <w:trHeight w:val="728"/>
        </w:trPr>
        <w:tc>
          <w:tcPr>
            <w:tcW w:w="10998" w:type="dxa"/>
            <w:vAlign w:val="center"/>
          </w:tcPr>
          <w:p w14:paraId="70CC831A" w14:textId="77777777" w:rsidR="001506C1" w:rsidRPr="00FA3F9C" w:rsidRDefault="001506C1" w:rsidP="001506C1">
            <w:pPr>
              <w:numPr>
                <w:ilvl w:val="0"/>
                <w:numId w:val="152"/>
              </w:numPr>
              <w:spacing w:after="0" w:line="240" w:lineRule="auto"/>
              <w:rPr>
                <w:rFonts w:ascii="Arial" w:hAnsi="Arial" w:cs="Arial"/>
                <w:b/>
                <w:sz w:val="24"/>
                <w:szCs w:val="24"/>
              </w:rPr>
            </w:pPr>
            <w:r w:rsidRPr="00FA3F9C">
              <w:rPr>
                <w:rFonts w:ascii="Arial" w:hAnsi="Arial" w:cs="Arial"/>
                <w:b/>
                <w:sz w:val="24"/>
                <w:szCs w:val="24"/>
              </w:rPr>
              <w:t xml:space="preserve">The patient must be age </w:t>
            </w:r>
            <w:r w:rsidRPr="00FA3F9C">
              <w:rPr>
                <w:rFonts w:ascii="Arial" w:hAnsi="Arial" w:cs="Arial"/>
                <w:b/>
                <w:sz w:val="24"/>
                <w:szCs w:val="24"/>
                <w:u w:val="single"/>
              </w:rPr>
              <w:t>&gt;</w:t>
            </w:r>
            <w:r w:rsidRPr="00FA3F9C">
              <w:rPr>
                <w:rFonts w:ascii="Arial" w:hAnsi="Arial" w:cs="Arial"/>
                <w:b/>
                <w:sz w:val="24"/>
                <w:szCs w:val="24"/>
              </w:rPr>
              <w:t>6 years old.</w:t>
            </w:r>
          </w:p>
        </w:tc>
      </w:tr>
      <w:tr w:rsidR="001506C1" w:rsidRPr="00FA3F9C" w14:paraId="089E7E9B" w14:textId="77777777" w:rsidTr="005662E7">
        <w:trPr>
          <w:trHeight w:val="728"/>
        </w:trPr>
        <w:tc>
          <w:tcPr>
            <w:tcW w:w="10998" w:type="dxa"/>
            <w:vAlign w:val="center"/>
          </w:tcPr>
          <w:p w14:paraId="3D0C5891" w14:textId="77777777" w:rsidR="001506C1" w:rsidRPr="00FA3F9C" w:rsidRDefault="001506C1" w:rsidP="001506C1">
            <w:pPr>
              <w:numPr>
                <w:ilvl w:val="0"/>
                <w:numId w:val="152"/>
              </w:numPr>
              <w:spacing w:after="0" w:line="240" w:lineRule="auto"/>
              <w:rPr>
                <w:rFonts w:ascii="Arial" w:hAnsi="Arial" w:cs="Arial"/>
                <w:b/>
                <w:sz w:val="24"/>
                <w:szCs w:val="24"/>
              </w:rPr>
            </w:pPr>
            <w:r w:rsidRPr="00FA3F9C">
              <w:rPr>
                <w:rFonts w:ascii="Arial" w:hAnsi="Arial" w:cs="Arial"/>
                <w:b/>
                <w:sz w:val="24"/>
                <w:szCs w:val="24"/>
              </w:rPr>
              <w:t xml:space="preserve">The patient must have the diagnosis of cystic fibrosis and have at least one F508del mutation, </w:t>
            </w:r>
          </w:p>
          <w:p w14:paraId="1DAE8254" w14:textId="77777777" w:rsidR="001506C1" w:rsidRPr="00FA3F9C" w:rsidRDefault="001506C1" w:rsidP="00A57FC9">
            <w:pPr>
              <w:ind w:left="360"/>
              <w:rPr>
                <w:rFonts w:ascii="Arial" w:hAnsi="Arial" w:cs="Arial"/>
                <w:b/>
                <w:sz w:val="24"/>
                <w:szCs w:val="24"/>
              </w:rPr>
            </w:pPr>
            <w:r w:rsidRPr="00FA3F9C">
              <w:rPr>
                <w:rFonts w:ascii="Arial" w:hAnsi="Arial" w:cs="Arial"/>
                <w:b/>
                <w:sz w:val="24"/>
                <w:szCs w:val="24"/>
              </w:rPr>
              <w:t xml:space="preserve">OR </w:t>
            </w:r>
          </w:p>
          <w:p w14:paraId="4ACA8737" w14:textId="77777777" w:rsidR="001506C1" w:rsidRPr="00FA3F9C" w:rsidRDefault="001506C1" w:rsidP="00A57FC9">
            <w:pPr>
              <w:ind w:left="360"/>
              <w:rPr>
                <w:rFonts w:ascii="Arial" w:hAnsi="Arial" w:cs="Arial"/>
                <w:b/>
                <w:sz w:val="24"/>
                <w:szCs w:val="24"/>
              </w:rPr>
            </w:pPr>
            <w:r w:rsidRPr="00FA3F9C">
              <w:rPr>
                <w:rFonts w:ascii="Arial" w:hAnsi="Arial" w:cs="Arial"/>
                <w:b/>
                <w:sz w:val="24"/>
                <w:szCs w:val="24"/>
              </w:rPr>
              <w:t>The patient must have no F508 deletions (must have at least one mutation in the CFTR gene that is responsive based on in vitro data.  If the genotype is unknown, an FDA-cleared CF mutation test should be used to confirm the presence of at least 1 F508del mutation or a mutation that is responsive based on in vitro data. Here are the current (as of 4/7/21) “responsive” CFTR mutations:</w:t>
            </w:r>
          </w:p>
          <w:p w14:paraId="56B21362" w14:textId="77777777" w:rsidR="001506C1" w:rsidRPr="00FA3F9C" w:rsidRDefault="00500371" w:rsidP="00A57FC9">
            <w:pPr>
              <w:ind w:left="360"/>
              <w:rPr>
                <w:rFonts w:ascii="Arial" w:hAnsi="Arial" w:cs="Arial"/>
                <w:b/>
                <w:sz w:val="24"/>
                <w:szCs w:val="24"/>
              </w:rPr>
            </w:pPr>
            <w:r>
              <w:rPr>
                <w:rFonts w:ascii="Arial" w:hAnsi="Arial" w:cs="Arial"/>
                <w:b/>
                <w:noProof/>
                <w:sz w:val="24"/>
                <w:szCs w:val="24"/>
              </w:rPr>
              <w:lastRenderedPageBreak/>
              <w:pict w14:anchorId="3127E9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384.75pt;height:313.5pt;visibility:visible">
                  <v:imagedata r:id="rId146" o:title=""/>
                </v:shape>
              </w:pict>
            </w:r>
          </w:p>
        </w:tc>
      </w:tr>
      <w:tr w:rsidR="001506C1" w:rsidRPr="00FA3F9C" w14:paraId="16896FEF" w14:textId="77777777" w:rsidTr="005662E7">
        <w:trPr>
          <w:trHeight w:val="728"/>
        </w:trPr>
        <w:tc>
          <w:tcPr>
            <w:tcW w:w="10998" w:type="dxa"/>
            <w:vAlign w:val="center"/>
          </w:tcPr>
          <w:p w14:paraId="436BB848" w14:textId="77777777" w:rsidR="001506C1" w:rsidRPr="00FA3F9C" w:rsidRDefault="001506C1" w:rsidP="001506C1">
            <w:pPr>
              <w:numPr>
                <w:ilvl w:val="0"/>
                <w:numId w:val="152"/>
              </w:numPr>
              <w:spacing w:after="0" w:line="240" w:lineRule="auto"/>
              <w:rPr>
                <w:rFonts w:ascii="Arial" w:hAnsi="Arial" w:cs="Arial"/>
                <w:b/>
                <w:sz w:val="24"/>
                <w:szCs w:val="24"/>
              </w:rPr>
            </w:pPr>
            <w:r w:rsidRPr="00FA3F9C">
              <w:rPr>
                <w:rFonts w:ascii="Arial" w:hAnsi="Arial" w:cs="Arial"/>
                <w:b/>
                <w:sz w:val="24"/>
                <w:szCs w:val="24"/>
              </w:rPr>
              <w:lastRenderedPageBreak/>
              <w:t>The patient must be currently demonstrating adherence with the evidence-based standard of care for inhaled therapies for cystic fibrosis.</w:t>
            </w:r>
            <w:r w:rsidRPr="00FA3F9C">
              <w:rPr>
                <w:rFonts w:ascii="Arial" w:hAnsi="Arial" w:cs="Arial"/>
                <w:b/>
                <w:sz w:val="24"/>
                <w:szCs w:val="24"/>
                <w:vertAlign w:val="superscript"/>
              </w:rPr>
              <w:t>1</w:t>
            </w:r>
            <w:r w:rsidRPr="00FA3F9C">
              <w:rPr>
                <w:rFonts w:ascii="Arial" w:hAnsi="Arial" w:cs="Arial"/>
                <w:b/>
                <w:sz w:val="24"/>
                <w:szCs w:val="24"/>
              </w:rPr>
              <w:t xml:space="preserve">  (Or else the patient must have documented experience of  intolerance to </w:t>
            </w:r>
            <w:proofErr w:type="spellStart"/>
            <w:r w:rsidRPr="00FA3F9C">
              <w:rPr>
                <w:rFonts w:ascii="Arial" w:hAnsi="Arial" w:cs="Arial"/>
                <w:b/>
                <w:sz w:val="24"/>
                <w:szCs w:val="24"/>
              </w:rPr>
              <w:t>dornase</w:t>
            </w:r>
            <w:proofErr w:type="spellEnd"/>
            <w:r w:rsidRPr="00FA3F9C">
              <w:rPr>
                <w:rFonts w:ascii="Arial" w:hAnsi="Arial" w:cs="Arial"/>
                <w:b/>
                <w:sz w:val="24"/>
                <w:szCs w:val="24"/>
              </w:rPr>
              <w:t xml:space="preserve"> alfa &amp;/OR bronchospasm or irritability with inhaled hypertonic saline and therefore cannot use it.—This must be documented in the medical record and represented to the call pharmacists.)</w:t>
            </w:r>
          </w:p>
        </w:tc>
      </w:tr>
      <w:tr w:rsidR="001506C1" w:rsidRPr="00FA3F9C" w14:paraId="2C4A92B2" w14:textId="77777777" w:rsidTr="005662E7">
        <w:trPr>
          <w:trHeight w:val="728"/>
        </w:trPr>
        <w:tc>
          <w:tcPr>
            <w:tcW w:w="10998" w:type="dxa"/>
            <w:vAlign w:val="center"/>
          </w:tcPr>
          <w:p w14:paraId="3197EC22" w14:textId="77777777" w:rsidR="001506C1" w:rsidRPr="00FA3F9C" w:rsidRDefault="001506C1" w:rsidP="001506C1">
            <w:pPr>
              <w:numPr>
                <w:ilvl w:val="0"/>
                <w:numId w:val="152"/>
              </w:numPr>
              <w:spacing w:after="0" w:line="240" w:lineRule="auto"/>
              <w:rPr>
                <w:rFonts w:ascii="Arial" w:hAnsi="Arial" w:cs="Arial"/>
                <w:b/>
                <w:sz w:val="24"/>
                <w:szCs w:val="24"/>
              </w:rPr>
            </w:pPr>
            <w:r w:rsidRPr="00FA3F9C">
              <w:rPr>
                <w:rFonts w:ascii="Arial" w:hAnsi="Arial" w:cs="Arial"/>
                <w:b/>
                <w:sz w:val="24"/>
                <w:szCs w:val="24"/>
              </w:rPr>
              <w:t>The patient must be a nonsmoker.</w:t>
            </w:r>
          </w:p>
        </w:tc>
      </w:tr>
    </w:tbl>
    <w:p w14:paraId="43EA6EEF" w14:textId="77777777" w:rsidR="001506C1" w:rsidRPr="00FA3F9C" w:rsidRDefault="001506C1" w:rsidP="00EA6D94">
      <w:pPr>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98"/>
      </w:tblGrid>
      <w:tr w:rsidR="001506C1" w:rsidRPr="00FA3F9C" w14:paraId="2FB4F025" w14:textId="77777777" w:rsidTr="00D040FF">
        <w:trPr>
          <w:trHeight w:val="728"/>
        </w:trPr>
        <w:tc>
          <w:tcPr>
            <w:tcW w:w="10998" w:type="dxa"/>
            <w:shd w:val="clear" w:color="auto" w:fill="000000"/>
            <w:vAlign w:val="center"/>
          </w:tcPr>
          <w:p w14:paraId="13AEB07A" w14:textId="77777777" w:rsidR="001506C1" w:rsidRPr="00FA3F9C" w:rsidRDefault="001506C1" w:rsidP="00094F67">
            <w:pPr>
              <w:rPr>
                <w:rFonts w:ascii="Arial" w:hAnsi="Arial" w:cs="Arial"/>
                <w:b/>
                <w:sz w:val="24"/>
                <w:szCs w:val="24"/>
              </w:rPr>
            </w:pPr>
            <w:r w:rsidRPr="00FA3F9C">
              <w:rPr>
                <w:rFonts w:ascii="Arial" w:hAnsi="Arial" w:cs="Arial"/>
                <w:b/>
                <w:sz w:val="24"/>
                <w:szCs w:val="24"/>
              </w:rPr>
              <w:lastRenderedPageBreak/>
              <w:t>Continuation criteria:</w:t>
            </w:r>
          </w:p>
        </w:tc>
      </w:tr>
      <w:tr w:rsidR="001506C1" w:rsidRPr="00FA3F9C" w14:paraId="421F49B4" w14:textId="77777777" w:rsidTr="005662E7">
        <w:trPr>
          <w:trHeight w:val="728"/>
        </w:trPr>
        <w:tc>
          <w:tcPr>
            <w:tcW w:w="10998" w:type="dxa"/>
            <w:vAlign w:val="center"/>
          </w:tcPr>
          <w:p w14:paraId="4B6D7B48" w14:textId="77777777" w:rsidR="001506C1" w:rsidRPr="00FA3F9C" w:rsidRDefault="001506C1" w:rsidP="001506C1">
            <w:pPr>
              <w:numPr>
                <w:ilvl w:val="0"/>
                <w:numId w:val="153"/>
              </w:numPr>
              <w:spacing w:after="0" w:line="240" w:lineRule="auto"/>
              <w:rPr>
                <w:rFonts w:ascii="Arial" w:hAnsi="Arial" w:cs="Arial"/>
                <w:b/>
                <w:sz w:val="24"/>
                <w:szCs w:val="24"/>
              </w:rPr>
            </w:pPr>
            <w:r w:rsidRPr="00FA3F9C">
              <w:rPr>
                <w:rFonts w:ascii="Arial" w:hAnsi="Arial" w:cs="Arial"/>
                <w:b/>
                <w:sz w:val="24"/>
                <w:szCs w:val="24"/>
              </w:rPr>
              <w:t>The patient must be currently demonstrating adherence with the evidence-based standard of care for inhaled therapies for cystic fibrosis.</w:t>
            </w:r>
            <w:r w:rsidRPr="00FA3F9C">
              <w:rPr>
                <w:rFonts w:ascii="Arial" w:hAnsi="Arial" w:cs="Arial"/>
                <w:b/>
                <w:sz w:val="24"/>
                <w:szCs w:val="24"/>
                <w:vertAlign w:val="superscript"/>
              </w:rPr>
              <w:t>1</w:t>
            </w:r>
            <w:r w:rsidRPr="00FA3F9C">
              <w:rPr>
                <w:rFonts w:ascii="Arial" w:hAnsi="Arial" w:cs="Arial"/>
                <w:b/>
                <w:sz w:val="24"/>
                <w:szCs w:val="24"/>
              </w:rPr>
              <w:t xml:space="preserve">  (or the patient must have experienced intolerance to </w:t>
            </w:r>
            <w:proofErr w:type="spellStart"/>
            <w:r w:rsidRPr="00FA3F9C">
              <w:rPr>
                <w:rFonts w:ascii="Arial" w:hAnsi="Arial" w:cs="Arial"/>
                <w:b/>
                <w:sz w:val="24"/>
                <w:szCs w:val="24"/>
              </w:rPr>
              <w:t>dornase</w:t>
            </w:r>
            <w:proofErr w:type="spellEnd"/>
            <w:r w:rsidRPr="00FA3F9C">
              <w:rPr>
                <w:rFonts w:ascii="Arial" w:hAnsi="Arial" w:cs="Arial"/>
                <w:b/>
                <w:sz w:val="24"/>
                <w:szCs w:val="24"/>
              </w:rPr>
              <w:t xml:space="preserve"> alfa &amp;/OR bronchospasm or irritability with inhaled hypertonic saline and therefore cannot use it).</w:t>
            </w:r>
          </w:p>
        </w:tc>
      </w:tr>
      <w:tr w:rsidR="001506C1" w:rsidRPr="00FA3F9C" w14:paraId="5DD8AFA5" w14:textId="77777777" w:rsidTr="00A57FC9">
        <w:trPr>
          <w:trHeight w:val="656"/>
        </w:trPr>
        <w:tc>
          <w:tcPr>
            <w:tcW w:w="10998" w:type="dxa"/>
            <w:vAlign w:val="center"/>
          </w:tcPr>
          <w:p w14:paraId="455B6258" w14:textId="77777777" w:rsidR="001506C1" w:rsidRPr="00FA3F9C" w:rsidRDefault="001506C1" w:rsidP="001506C1">
            <w:pPr>
              <w:numPr>
                <w:ilvl w:val="0"/>
                <w:numId w:val="153"/>
              </w:numPr>
              <w:spacing w:after="0" w:line="240" w:lineRule="auto"/>
              <w:rPr>
                <w:rFonts w:ascii="Arial" w:hAnsi="Arial" w:cs="Arial"/>
                <w:b/>
                <w:sz w:val="24"/>
                <w:szCs w:val="24"/>
              </w:rPr>
            </w:pPr>
            <w:r w:rsidRPr="00FA3F9C">
              <w:rPr>
                <w:rFonts w:ascii="Arial" w:hAnsi="Arial" w:cs="Arial"/>
                <w:b/>
                <w:sz w:val="24"/>
                <w:szCs w:val="24"/>
              </w:rPr>
              <w:t>The patient must have had transaminases (ALT and AST) drawn in the past 6 months and they were lower than 5 times the ULN</w:t>
            </w:r>
          </w:p>
        </w:tc>
      </w:tr>
      <w:tr w:rsidR="001506C1" w:rsidRPr="00FA3F9C" w14:paraId="47C35820" w14:textId="77777777" w:rsidTr="00A57FC9">
        <w:trPr>
          <w:trHeight w:val="287"/>
        </w:trPr>
        <w:tc>
          <w:tcPr>
            <w:tcW w:w="10998" w:type="dxa"/>
            <w:vAlign w:val="center"/>
          </w:tcPr>
          <w:p w14:paraId="5CD73970" w14:textId="77777777" w:rsidR="001506C1" w:rsidRPr="00FA3F9C" w:rsidRDefault="001506C1" w:rsidP="001506C1">
            <w:pPr>
              <w:numPr>
                <w:ilvl w:val="0"/>
                <w:numId w:val="153"/>
              </w:numPr>
              <w:spacing w:after="0" w:line="240" w:lineRule="auto"/>
              <w:rPr>
                <w:rFonts w:ascii="Arial" w:hAnsi="Arial" w:cs="Arial"/>
                <w:b/>
                <w:sz w:val="24"/>
                <w:szCs w:val="24"/>
              </w:rPr>
            </w:pPr>
            <w:r w:rsidRPr="00FA3F9C">
              <w:rPr>
                <w:rFonts w:ascii="Arial" w:hAnsi="Arial" w:cs="Arial"/>
                <w:b/>
                <w:sz w:val="24"/>
                <w:szCs w:val="24"/>
              </w:rPr>
              <w:t>The patient must be a nonsmoker.</w:t>
            </w:r>
          </w:p>
        </w:tc>
      </w:tr>
      <w:tr w:rsidR="001506C1" w:rsidRPr="00FA3F9C" w14:paraId="48BF3FFF" w14:textId="77777777" w:rsidTr="00A57FC9">
        <w:trPr>
          <w:trHeight w:val="593"/>
        </w:trPr>
        <w:tc>
          <w:tcPr>
            <w:tcW w:w="10998" w:type="dxa"/>
            <w:vAlign w:val="center"/>
          </w:tcPr>
          <w:p w14:paraId="2C18A6AF" w14:textId="77777777" w:rsidR="001506C1" w:rsidRPr="00FA3F9C" w:rsidRDefault="001506C1" w:rsidP="001506C1">
            <w:pPr>
              <w:numPr>
                <w:ilvl w:val="0"/>
                <w:numId w:val="153"/>
              </w:numPr>
              <w:spacing w:after="0" w:line="240" w:lineRule="auto"/>
              <w:rPr>
                <w:rFonts w:ascii="Arial" w:hAnsi="Arial" w:cs="Arial"/>
                <w:b/>
                <w:sz w:val="24"/>
                <w:szCs w:val="24"/>
              </w:rPr>
            </w:pPr>
            <w:r w:rsidRPr="00FA3F9C">
              <w:rPr>
                <w:rFonts w:ascii="Arial" w:hAnsi="Arial" w:cs="Arial"/>
                <w:b/>
                <w:sz w:val="24"/>
                <w:szCs w:val="24"/>
              </w:rPr>
              <w:t xml:space="preserve">The patient must demonstrate a clinical benefit with </w:t>
            </w:r>
            <w:proofErr w:type="spellStart"/>
            <w:r w:rsidRPr="00FA3F9C">
              <w:rPr>
                <w:rFonts w:ascii="Arial" w:hAnsi="Arial" w:cs="Arial"/>
                <w:b/>
                <w:sz w:val="24"/>
                <w:szCs w:val="24"/>
              </w:rPr>
              <w:t>Trikafta</w:t>
            </w:r>
            <w:proofErr w:type="spellEnd"/>
            <w:r w:rsidRPr="00FA3F9C">
              <w:rPr>
                <w:rFonts w:ascii="Arial" w:hAnsi="Arial" w:cs="Arial"/>
                <w:b/>
                <w:sz w:val="24"/>
                <w:szCs w:val="24"/>
              </w:rPr>
              <w:t xml:space="preserve"> as shown by lung function (FEV1), weight gain, or reduction in CF exacerbations or CF hospitalizations.</w:t>
            </w:r>
          </w:p>
        </w:tc>
      </w:tr>
      <w:tr w:rsidR="001506C1" w:rsidRPr="00FA3F9C" w14:paraId="606CCFDD" w14:textId="77777777" w:rsidTr="00A57FC9">
        <w:trPr>
          <w:trHeight w:val="530"/>
        </w:trPr>
        <w:tc>
          <w:tcPr>
            <w:tcW w:w="10998" w:type="dxa"/>
            <w:vAlign w:val="center"/>
          </w:tcPr>
          <w:p w14:paraId="6C06EADB" w14:textId="77777777" w:rsidR="001506C1" w:rsidRPr="00FA3F9C" w:rsidRDefault="001506C1" w:rsidP="001506C1">
            <w:pPr>
              <w:numPr>
                <w:ilvl w:val="0"/>
                <w:numId w:val="153"/>
              </w:numPr>
              <w:spacing w:after="0" w:line="240" w:lineRule="auto"/>
              <w:rPr>
                <w:rFonts w:ascii="Arial" w:hAnsi="Arial" w:cs="Arial"/>
                <w:b/>
                <w:sz w:val="24"/>
                <w:szCs w:val="24"/>
              </w:rPr>
            </w:pPr>
            <w:r w:rsidRPr="00FA3F9C">
              <w:rPr>
                <w:rFonts w:ascii="Arial" w:hAnsi="Arial" w:cs="Arial"/>
                <w:b/>
                <w:sz w:val="24"/>
                <w:szCs w:val="24"/>
              </w:rPr>
              <w:t>The patient must be adherent (1 fill/1 month) with therapy as determined by refill history or reported by physician.</w:t>
            </w:r>
          </w:p>
        </w:tc>
      </w:tr>
    </w:tbl>
    <w:p w14:paraId="496F3850" w14:textId="77777777" w:rsidR="001506C1" w:rsidRPr="00FA3F9C" w:rsidRDefault="001506C1" w:rsidP="00606700">
      <w:pPr>
        <w:rPr>
          <w:rFonts w:ascii="Arial" w:hAnsi="Arial" w:cs="Arial"/>
          <w:sz w:val="24"/>
          <w:szCs w:val="24"/>
        </w:rPr>
      </w:pPr>
      <w:r w:rsidRPr="00FA3F9C">
        <w:rPr>
          <w:rFonts w:ascii="Arial" w:hAnsi="Arial" w:cs="Arial"/>
          <w:b/>
          <w:sz w:val="24"/>
          <w:szCs w:val="24"/>
          <w:u w:val="single"/>
        </w:rPr>
        <w:t>References</w:t>
      </w:r>
      <w:r w:rsidRPr="00FA3F9C">
        <w:rPr>
          <w:rFonts w:ascii="Arial" w:hAnsi="Arial" w:cs="Arial"/>
          <w:sz w:val="24"/>
          <w:szCs w:val="24"/>
        </w:rPr>
        <w:t>:</w:t>
      </w:r>
    </w:p>
    <w:p w14:paraId="4AD02589" w14:textId="77777777" w:rsidR="001506C1" w:rsidRPr="00FA3F9C" w:rsidRDefault="001506C1" w:rsidP="001506C1">
      <w:pPr>
        <w:pStyle w:val="ListParagraph"/>
        <w:numPr>
          <w:ilvl w:val="0"/>
          <w:numId w:val="154"/>
        </w:numPr>
        <w:spacing w:after="0" w:line="240" w:lineRule="auto"/>
        <w:rPr>
          <w:rFonts w:ascii="Arial" w:eastAsia="Times New Roman" w:hAnsi="Arial" w:cs="Arial"/>
          <w:color w:val="000000"/>
          <w:sz w:val="24"/>
          <w:szCs w:val="24"/>
        </w:rPr>
      </w:pPr>
      <w:r w:rsidRPr="00FA3F9C">
        <w:rPr>
          <w:rFonts w:ascii="Arial" w:eastAsia="Times New Roman" w:hAnsi="Arial" w:cs="Arial"/>
          <w:i/>
          <w:iCs/>
          <w:color w:val="000000"/>
          <w:sz w:val="24"/>
          <w:szCs w:val="24"/>
        </w:rPr>
        <w:t>HIGHLIGHTS OF PRESCRIBING INFORMATION</w:t>
      </w:r>
      <w:r w:rsidRPr="00FA3F9C">
        <w:rPr>
          <w:rFonts w:ascii="Arial" w:eastAsia="Times New Roman" w:hAnsi="Arial" w:cs="Arial"/>
          <w:color w:val="000000"/>
          <w:sz w:val="24"/>
          <w:szCs w:val="24"/>
        </w:rPr>
        <w:t xml:space="preserve">. </w:t>
      </w:r>
      <w:proofErr w:type="spellStart"/>
      <w:r w:rsidRPr="00FA3F9C">
        <w:rPr>
          <w:rFonts w:ascii="Arial" w:eastAsia="Times New Roman" w:hAnsi="Arial" w:cs="Arial"/>
          <w:color w:val="000000"/>
          <w:sz w:val="24"/>
          <w:szCs w:val="24"/>
        </w:rPr>
        <w:t>Trikafta</w:t>
      </w:r>
      <w:proofErr w:type="spellEnd"/>
      <w:r w:rsidRPr="00FA3F9C">
        <w:rPr>
          <w:rFonts w:ascii="Arial" w:eastAsia="Times New Roman" w:hAnsi="Arial" w:cs="Arial"/>
          <w:color w:val="000000"/>
          <w:sz w:val="24"/>
          <w:szCs w:val="24"/>
        </w:rPr>
        <w:t xml:space="preserve">. (n.d.). Retrieved from </w:t>
      </w:r>
      <w:hyperlink r:id="rId147" w:history="1">
        <w:r w:rsidRPr="00FA3F9C">
          <w:rPr>
            <w:rStyle w:val="Hyperlink"/>
            <w:rFonts w:ascii="Arial" w:eastAsia="Times New Roman" w:hAnsi="Arial" w:cs="Arial"/>
            <w:sz w:val="24"/>
            <w:szCs w:val="24"/>
          </w:rPr>
          <w:t>https://www.accessdata.fda.gov/drugsatfda_docs/label/2019/212273s000lbl.pdf</w:t>
        </w:r>
      </w:hyperlink>
    </w:p>
    <w:p w14:paraId="2E3CD5C2" w14:textId="77777777" w:rsidR="001506C1" w:rsidRPr="00FA3F9C" w:rsidRDefault="001506C1" w:rsidP="001506C1">
      <w:pPr>
        <w:pStyle w:val="ListParagraph"/>
        <w:numPr>
          <w:ilvl w:val="0"/>
          <w:numId w:val="154"/>
        </w:numPr>
        <w:spacing w:after="0"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 xml:space="preserve">Wainwright CE, </w:t>
      </w:r>
      <w:proofErr w:type="spellStart"/>
      <w:r w:rsidRPr="00FA3F9C">
        <w:rPr>
          <w:rFonts w:ascii="Arial" w:eastAsia="Times New Roman" w:hAnsi="Arial" w:cs="Arial"/>
          <w:color w:val="000000"/>
          <w:sz w:val="24"/>
          <w:szCs w:val="24"/>
        </w:rPr>
        <w:t>Elborn</w:t>
      </w:r>
      <w:proofErr w:type="spellEnd"/>
      <w:r w:rsidRPr="00FA3F9C">
        <w:rPr>
          <w:rFonts w:ascii="Arial" w:eastAsia="Times New Roman" w:hAnsi="Arial" w:cs="Arial"/>
          <w:color w:val="000000"/>
          <w:sz w:val="24"/>
          <w:szCs w:val="24"/>
        </w:rPr>
        <w:t xml:space="preserve"> JS, Ramsey BW, et al. Lumacaftor–Ivacaftor in Patients with Cystic Fibrosis Homozygous for Phe508del CFTR. </w:t>
      </w:r>
      <w:r w:rsidRPr="00FA3F9C">
        <w:rPr>
          <w:rFonts w:ascii="Arial" w:eastAsia="Times New Roman" w:hAnsi="Arial" w:cs="Arial"/>
          <w:i/>
          <w:iCs/>
          <w:color w:val="000000"/>
          <w:sz w:val="24"/>
          <w:szCs w:val="24"/>
        </w:rPr>
        <w:t>New England Journal of Medicine</w:t>
      </w:r>
      <w:r w:rsidRPr="00FA3F9C">
        <w:rPr>
          <w:rFonts w:ascii="Arial" w:eastAsia="Times New Roman" w:hAnsi="Arial" w:cs="Arial"/>
          <w:color w:val="000000"/>
          <w:sz w:val="24"/>
          <w:szCs w:val="24"/>
        </w:rPr>
        <w:t>. 2015;373(3):220-231. doi:10.1056/nejmoa1409547</w:t>
      </w:r>
    </w:p>
    <w:p w14:paraId="6EE136E9" w14:textId="77777777" w:rsidR="001506C1" w:rsidRPr="00FA3F9C" w:rsidRDefault="001506C1" w:rsidP="001506C1">
      <w:pPr>
        <w:pStyle w:val="ListParagraph"/>
        <w:numPr>
          <w:ilvl w:val="0"/>
          <w:numId w:val="154"/>
        </w:numPr>
        <w:spacing w:after="0"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ORKAMBI® (lumacaftor/ivacaftor) | Clinical Studies and Results. Orkambi.com. https://www.orkambi.com/results-with-orkambi. Published 2018. Accessed November 16, 2019.</w:t>
      </w:r>
    </w:p>
    <w:p w14:paraId="510474C4" w14:textId="77777777" w:rsidR="001506C1" w:rsidRPr="00FA3F9C" w:rsidRDefault="001506C1" w:rsidP="001506C1">
      <w:pPr>
        <w:pStyle w:val="ListParagraph"/>
        <w:numPr>
          <w:ilvl w:val="0"/>
          <w:numId w:val="154"/>
        </w:numPr>
        <w:spacing w:after="0"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 xml:space="preserve">Walker S, Flume P, McNamara J, et al. A phase 3 study of </w:t>
      </w:r>
      <w:proofErr w:type="spellStart"/>
      <w:r w:rsidRPr="00FA3F9C">
        <w:rPr>
          <w:rFonts w:ascii="Arial" w:eastAsia="Times New Roman" w:hAnsi="Arial" w:cs="Arial"/>
          <w:color w:val="000000"/>
          <w:sz w:val="24"/>
          <w:szCs w:val="24"/>
        </w:rPr>
        <w:t>tezacaftor</w:t>
      </w:r>
      <w:proofErr w:type="spellEnd"/>
      <w:r w:rsidRPr="00FA3F9C">
        <w:rPr>
          <w:rFonts w:ascii="Arial" w:eastAsia="Times New Roman" w:hAnsi="Arial" w:cs="Arial"/>
          <w:color w:val="000000"/>
          <w:sz w:val="24"/>
          <w:szCs w:val="24"/>
        </w:rPr>
        <w:t xml:space="preserve"> in combination with ivacaftor in children aged 6 through 11 years with cystic fibrosis. </w:t>
      </w:r>
      <w:r w:rsidRPr="00FA3F9C">
        <w:rPr>
          <w:rFonts w:ascii="Arial" w:eastAsia="Times New Roman" w:hAnsi="Arial" w:cs="Arial"/>
          <w:i/>
          <w:iCs/>
          <w:color w:val="000000"/>
          <w:sz w:val="24"/>
          <w:szCs w:val="24"/>
        </w:rPr>
        <w:t>Journal of Cystic Fibrosis</w:t>
      </w:r>
      <w:r w:rsidRPr="00FA3F9C">
        <w:rPr>
          <w:rFonts w:ascii="Arial" w:eastAsia="Times New Roman" w:hAnsi="Arial" w:cs="Arial"/>
          <w:color w:val="000000"/>
          <w:sz w:val="24"/>
          <w:szCs w:val="24"/>
        </w:rPr>
        <w:t>. 2019;18(5):708-713. doi:10.1016/j.jcf.2019.06.009</w:t>
      </w:r>
    </w:p>
    <w:p w14:paraId="3300613D" w14:textId="77777777" w:rsidR="001506C1" w:rsidRPr="00FA3F9C" w:rsidRDefault="001506C1" w:rsidP="001506C1">
      <w:pPr>
        <w:pStyle w:val="ListParagraph"/>
        <w:numPr>
          <w:ilvl w:val="0"/>
          <w:numId w:val="154"/>
        </w:numPr>
        <w:spacing w:after="0"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Clinical Studies | SYMDEKO® (</w:t>
      </w:r>
      <w:proofErr w:type="spellStart"/>
      <w:r w:rsidRPr="00FA3F9C">
        <w:rPr>
          <w:rFonts w:ascii="Arial" w:eastAsia="Times New Roman" w:hAnsi="Arial" w:cs="Arial"/>
          <w:color w:val="000000"/>
          <w:sz w:val="24"/>
          <w:szCs w:val="24"/>
        </w:rPr>
        <w:t>tezacaftor</w:t>
      </w:r>
      <w:proofErr w:type="spellEnd"/>
      <w:r w:rsidRPr="00FA3F9C">
        <w:rPr>
          <w:rFonts w:ascii="Arial" w:eastAsia="Times New Roman" w:hAnsi="Arial" w:cs="Arial"/>
          <w:color w:val="000000"/>
          <w:sz w:val="24"/>
          <w:szCs w:val="24"/>
        </w:rPr>
        <w:t>/ivacaftor and ivacaftor). Symdeko.com. https://www.symdeko.com/clinical-studies?gclid=Cj0KCQiAiNnuBRD3ARIsAM8KmlvxR-Mjlz0a-7Zv1F6Bj1kruejlbRimlOeB4DKk8v-6Ib3tVMq1WLUaAkg6EALw_wcB&amp;gclsrc=aw.ds. Published 2019. Accessed November 16, 2019.</w:t>
      </w:r>
    </w:p>
    <w:p w14:paraId="309F396D" w14:textId="77777777" w:rsidR="001506C1" w:rsidRPr="00FA3F9C" w:rsidRDefault="001506C1" w:rsidP="001506C1">
      <w:pPr>
        <w:pStyle w:val="ListParagraph"/>
        <w:numPr>
          <w:ilvl w:val="0"/>
          <w:numId w:val="154"/>
        </w:numPr>
        <w:spacing w:after="0" w:line="240" w:lineRule="auto"/>
        <w:rPr>
          <w:rFonts w:ascii="Arial" w:eastAsia="Times New Roman" w:hAnsi="Arial" w:cs="Arial"/>
          <w:color w:val="000000"/>
          <w:sz w:val="24"/>
          <w:szCs w:val="24"/>
        </w:rPr>
      </w:pPr>
      <w:r w:rsidRPr="00FA3F9C">
        <w:rPr>
          <w:rFonts w:ascii="Arial" w:eastAsia="Times New Roman" w:hAnsi="Arial" w:cs="Arial"/>
          <w:i/>
          <w:iCs/>
          <w:color w:val="000000"/>
          <w:sz w:val="24"/>
          <w:szCs w:val="24"/>
        </w:rPr>
        <w:t>HIGHLIGHTS OF PRESCRIBING INFORMATION</w:t>
      </w:r>
      <w:r w:rsidRPr="00FA3F9C">
        <w:rPr>
          <w:rFonts w:ascii="Arial" w:eastAsia="Times New Roman" w:hAnsi="Arial" w:cs="Arial"/>
          <w:color w:val="000000"/>
          <w:sz w:val="24"/>
          <w:szCs w:val="24"/>
        </w:rPr>
        <w:t>. https://pi.vrtx.com/files/uspi_ivacaftor.pdf. Accessed November 19, 2019.</w:t>
      </w:r>
    </w:p>
    <w:p w14:paraId="676AE363" w14:textId="77777777" w:rsidR="001506C1" w:rsidRPr="00FA3F9C" w:rsidRDefault="001506C1" w:rsidP="001506C1">
      <w:pPr>
        <w:pStyle w:val="ListParagraph"/>
        <w:numPr>
          <w:ilvl w:val="0"/>
          <w:numId w:val="154"/>
        </w:numPr>
        <w:spacing w:after="0"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CFTR Modulator Types. Cff.org. https://www.cff.org/Research/Developing-New-Treatments/CFTR-Modulator-Types/. Published 2019. Accessed November 19, 2019.</w:t>
      </w:r>
    </w:p>
    <w:p w14:paraId="0AA2302C" w14:textId="77777777" w:rsidR="001506C1" w:rsidRPr="00FA3F9C" w:rsidRDefault="001506C1" w:rsidP="001506C1">
      <w:pPr>
        <w:pStyle w:val="ListParagraph"/>
        <w:numPr>
          <w:ilvl w:val="0"/>
          <w:numId w:val="154"/>
        </w:numPr>
        <w:spacing w:after="0"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Studies: ARRIVAL &amp; KIWI | KALYDECO® (ivacaftor) | Healthcare Professionals. Kalydecohcp.com. https://www.kalydecohcp.com/trials-8-6. Published 2019. Accessed November 18, 2019.</w:t>
      </w:r>
    </w:p>
    <w:p w14:paraId="0B1ECE58" w14:textId="77777777" w:rsidR="001506C1" w:rsidRPr="00FA3F9C" w:rsidRDefault="001506C1" w:rsidP="001506C1">
      <w:pPr>
        <w:pStyle w:val="ListParagraph"/>
        <w:numPr>
          <w:ilvl w:val="0"/>
          <w:numId w:val="154"/>
        </w:numPr>
        <w:spacing w:after="0"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lastRenderedPageBreak/>
        <w:t xml:space="preserve">Middleton PG, Mall MA, </w:t>
      </w:r>
      <w:proofErr w:type="spellStart"/>
      <w:r w:rsidRPr="00FA3F9C">
        <w:rPr>
          <w:rFonts w:ascii="Arial" w:eastAsia="Times New Roman" w:hAnsi="Arial" w:cs="Arial"/>
          <w:color w:val="000000"/>
          <w:sz w:val="24"/>
          <w:szCs w:val="24"/>
        </w:rPr>
        <w:t>Dřevínek</w:t>
      </w:r>
      <w:proofErr w:type="spellEnd"/>
      <w:r w:rsidRPr="00FA3F9C">
        <w:rPr>
          <w:rFonts w:ascii="Arial" w:eastAsia="Times New Roman" w:hAnsi="Arial" w:cs="Arial"/>
          <w:color w:val="000000"/>
          <w:sz w:val="24"/>
          <w:szCs w:val="24"/>
        </w:rPr>
        <w:t xml:space="preserve"> P, et al. </w:t>
      </w:r>
      <w:proofErr w:type="spellStart"/>
      <w:r w:rsidRPr="00FA3F9C">
        <w:rPr>
          <w:rFonts w:ascii="Arial" w:eastAsia="Times New Roman" w:hAnsi="Arial" w:cs="Arial"/>
          <w:color w:val="000000"/>
          <w:sz w:val="24"/>
          <w:szCs w:val="24"/>
        </w:rPr>
        <w:t>Elexacaftor</w:t>
      </w:r>
      <w:proofErr w:type="spellEnd"/>
      <w:r w:rsidRPr="00FA3F9C">
        <w:rPr>
          <w:rFonts w:ascii="Arial" w:eastAsia="Times New Roman" w:hAnsi="Arial" w:cs="Arial"/>
          <w:color w:val="000000"/>
          <w:sz w:val="24"/>
          <w:szCs w:val="24"/>
        </w:rPr>
        <w:t>–</w:t>
      </w:r>
      <w:proofErr w:type="spellStart"/>
      <w:r w:rsidRPr="00FA3F9C">
        <w:rPr>
          <w:rFonts w:ascii="Arial" w:eastAsia="Times New Roman" w:hAnsi="Arial" w:cs="Arial"/>
          <w:color w:val="000000"/>
          <w:sz w:val="24"/>
          <w:szCs w:val="24"/>
        </w:rPr>
        <w:t>Tezacaftor</w:t>
      </w:r>
      <w:proofErr w:type="spellEnd"/>
      <w:r w:rsidRPr="00FA3F9C">
        <w:rPr>
          <w:rFonts w:ascii="Arial" w:eastAsia="Times New Roman" w:hAnsi="Arial" w:cs="Arial"/>
          <w:color w:val="000000"/>
          <w:sz w:val="24"/>
          <w:szCs w:val="24"/>
        </w:rPr>
        <w:t>–Ivacaftor for Cystic Fibrosis with a Single Phe508del Allele. </w:t>
      </w:r>
      <w:r w:rsidRPr="00FA3F9C">
        <w:rPr>
          <w:rFonts w:ascii="Arial" w:eastAsia="Times New Roman" w:hAnsi="Arial" w:cs="Arial"/>
          <w:i/>
          <w:iCs/>
          <w:color w:val="000000"/>
          <w:sz w:val="24"/>
          <w:szCs w:val="24"/>
        </w:rPr>
        <w:t>New England Journal of Medicine</w:t>
      </w:r>
      <w:r w:rsidRPr="00FA3F9C">
        <w:rPr>
          <w:rFonts w:ascii="Arial" w:eastAsia="Times New Roman" w:hAnsi="Arial" w:cs="Arial"/>
          <w:color w:val="000000"/>
          <w:sz w:val="24"/>
          <w:szCs w:val="24"/>
        </w:rPr>
        <w:t>. 2019;381(19):1809-1819. doi:10.1056/nejmoa1908639</w:t>
      </w:r>
    </w:p>
    <w:p w14:paraId="37DECEF3" w14:textId="77777777" w:rsidR="001506C1" w:rsidRPr="00FA3F9C" w:rsidRDefault="001506C1" w:rsidP="001506C1">
      <w:pPr>
        <w:pStyle w:val="ListParagraph"/>
        <w:numPr>
          <w:ilvl w:val="0"/>
          <w:numId w:val="154"/>
        </w:numPr>
        <w:spacing w:after="0" w:line="240" w:lineRule="auto"/>
        <w:rPr>
          <w:rFonts w:ascii="Arial" w:eastAsia="Times New Roman" w:hAnsi="Arial" w:cs="Arial"/>
          <w:color w:val="000000"/>
          <w:sz w:val="24"/>
          <w:szCs w:val="24"/>
        </w:rPr>
      </w:pPr>
      <w:proofErr w:type="spellStart"/>
      <w:r w:rsidRPr="00FA3F9C">
        <w:rPr>
          <w:rFonts w:ascii="Arial" w:eastAsia="Times New Roman" w:hAnsi="Arial" w:cs="Arial"/>
          <w:color w:val="000000"/>
          <w:sz w:val="24"/>
          <w:szCs w:val="24"/>
        </w:rPr>
        <w:t>Heijerman</w:t>
      </w:r>
      <w:proofErr w:type="spellEnd"/>
      <w:r w:rsidRPr="00FA3F9C">
        <w:rPr>
          <w:rFonts w:ascii="Arial" w:eastAsia="Times New Roman" w:hAnsi="Arial" w:cs="Arial"/>
          <w:color w:val="000000"/>
          <w:sz w:val="24"/>
          <w:szCs w:val="24"/>
        </w:rPr>
        <w:t xml:space="preserve"> HGM, </w:t>
      </w:r>
      <w:proofErr w:type="spellStart"/>
      <w:r w:rsidRPr="00FA3F9C">
        <w:rPr>
          <w:rFonts w:ascii="Arial" w:eastAsia="Times New Roman" w:hAnsi="Arial" w:cs="Arial"/>
          <w:color w:val="000000"/>
          <w:sz w:val="24"/>
          <w:szCs w:val="24"/>
        </w:rPr>
        <w:t>McKone</w:t>
      </w:r>
      <w:proofErr w:type="spellEnd"/>
      <w:r w:rsidRPr="00FA3F9C">
        <w:rPr>
          <w:rFonts w:ascii="Arial" w:eastAsia="Times New Roman" w:hAnsi="Arial" w:cs="Arial"/>
          <w:color w:val="000000"/>
          <w:sz w:val="24"/>
          <w:szCs w:val="24"/>
        </w:rPr>
        <w:t xml:space="preserve"> EF, Downey DG, et al. Efficacy and safety of the </w:t>
      </w:r>
      <w:proofErr w:type="spellStart"/>
      <w:r w:rsidRPr="00FA3F9C">
        <w:rPr>
          <w:rFonts w:ascii="Arial" w:eastAsia="Times New Roman" w:hAnsi="Arial" w:cs="Arial"/>
          <w:color w:val="000000"/>
          <w:sz w:val="24"/>
          <w:szCs w:val="24"/>
        </w:rPr>
        <w:t>elexacaftor</w:t>
      </w:r>
      <w:proofErr w:type="spellEnd"/>
      <w:r w:rsidRPr="00FA3F9C">
        <w:rPr>
          <w:rFonts w:ascii="Arial" w:eastAsia="Times New Roman" w:hAnsi="Arial" w:cs="Arial"/>
          <w:color w:val="000000"/>
          <w:sz w:val="24"/>
          <w:szCs w:val="24"/>
        </w:rPr>
        <w:t xml:space="preserve"> plus </w:t>
      </w:r>
      <w:proofErr w:type="spellStart"/>
      <w:r w:rsidRPr="00FA3F9C">
        <w:rPr>
          <w:rFonts w:ascii="Arial" w:eastAsia="Times New Roman" w:hAnsi="Arial" w:cs="Arial"/>
          <w:color w:val="000000"/>
          <w:sz w:val="24"/>
          <w:szCs w:val="24"/>
        </w:rPr>
        <w:t>tezacaftor</w:t>
      </w:r>
      <w:proofErr w:type="spellEnd"/>
      <w:r w:rsidRPr="00FA3F9C">
        <w:rPr>
          <w:rFonts w:ascii="Arial" w:eastAsia="Times New Roman" w:hAnsi="Arial" w:cs="Arial"/>
          <w:color w:val="000000"/>
          <w:sz w:val="24"/>
          <w:szCs w:val="24"/>
        </w:rPr>
        <w:t xml:space="preserve"> plus ivacaftor combination regimen in people with cystic fibrosis homozygous for the F508del mutation: a double-blind, </w:t>
      </w:r>
      <w:proofErr w:type="spellStart"/>
      <w:r w:rsidRPr="00FA3F9C">
        <w:rPr>
          <w:rFonts w:ascii="Arial" w:eastAsia="Times New Roman" w:hAnsi="Arial" w:cs="Arial"/>
          <w:color w:val="000000"/>
          <w:sz w:val="24"/>
          <w:szCs w:val="24"/>
        </w:rPr>
        <w:t>randomised</w:t>
      </w:r>
      <w:proofErr w:type="spellEnd"/>
      <w:r w:rsidRPr="00FA3F9C">
        <w:rPr>
          <w:rFonts w:ascii="Arial" w:eastAsia="Times New Roman" w:hAnsi="Arial" w:cs="Arial"/>
          <w:color w:val="000000"/>
          <w:sz w:val="24"/>
          <w:szCs w:val="24"/>
        </w:rPr>
        <w:t>, phase 3 trial. </w:t>
      </w:r>
      <w:r w:rsidRPr="00FA3F9C">
        <w:rPr>
          <w:rFonts w:ascii="Arial" w:eastAsia="Times New Roman" w:hAnsi="Arial" w:cs="Arial"/>
          <w:i/>
          <w:iCs/>
          <w:color w:val="000000"/>
          <w:sz w:val="24"/>
          <w:szCs w:val="24"/>
        </w:rPr>
        <w:t>The Lancet</w:t>
      </w:r>
      <w:r w:rsidRPr="00FA3F9C">
        <w:rPr>
          <w:rFonts w:ascii="Arial" w:eastAsia="Times New Roman" w:hAnsi="Arial" w:cs="Arial"/>
          <w:color w:val="000000"/>
          <w:sz w:val="24"/>
          <w:szCs w:val="24"/>
        </w:rPr>
        <w:t>. October 2019. doi:10.1016/s0140-6736(19)32597-8</w:t>
      </w:r>
    </w:p>
    <w:p w14:paraId="79B616F7" w14:textId="77777777" w:rsidR="001506C1" w:rsidRPr="00FA3F9C" w:rsidRDefault="001506C1" w:rsidP="001506C1">
      <w:pPr>
        <w:pStyle w:val="ListParagraph"/>
        <w:numPr>
          <w:ilvl w:val="0"/>
          <w:numId w:val="154"/>
        </w:numPr>
        <w:spacing w:after="0"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 xml:space="preserve">Wainwright CE, </w:t>
      </w:r>
      <w:proofErr w:type="spellStart"/>
      <w:r w:rsidRPr="00FA3F9C">
        <w:rPr>
          <w:rFonts w:ascii="Arial" w:eastAsia="Times New Roman" w:hAnsi="Arial" w:cs="Arial"/>
          <w:color w:val="000000"/>
          <w:sz w:val="24"/>
          <w:szCs w:val="24"/>
        </w:rPr>
        <w:t>Elborn</w:t>
      </w:r>
      <w:proofErr w:type="spellEnd"/>
      <w:r w:rsidRPr="00FA3F9C">
        <w:rPr>
          <w:rFonts w:ascii="Arial" w:eastAsia="Times New Roman" w:hAnsi="Arial" w:cs="Arial"/>
          <w:color w:val="000000"/>
          <w:sz w:val="24"/>
          <w:szCs w:val="24"/>
        </w:rPr>
        <w:t xml:space="preserve"> JS, Ramsey BW, et al. Lumacaftor–Ivacaftor in Patients with Cystic Fibrosis Homozygous for Phe508del CFTR. </w:t>
      </w:r>
      <w:r w:rsidRPr="00FA3F9C">
        <w:rPr>
          <w:rFonts w:ascii="Arial" w:eastAsia="Times New Roman" w:hAnsi="Arial" w:cs="Arial"/>
          <w:i/>
          <w:iCs/>
          <w:color w:val="000000"/>
          <w:sz w:val="24"/>
          <w:szCs w:val="24"/>
        </w:rPr>
        <w:t>New England Journal of Medicine</w:t>
      </w:r>
      <w:r w:rsidRPr="00FA3F9C">
        <w:rPr>
          <w:rFonts w:ascii="Arial" w:eastAsia="Times New Roman" w:hAnsi="Arial" w:cs="Arial"/>
          <w:color w:val="000000"/>
          <w:sz w:val="24"/>
          <w:szCs w:val="24"/>
        </w:rPr>
        <w:t>. 2015;373(3):220-231. doi:10.1056/nejmoa1409547</w:t>
      </w:r>
    </w:p>
    <w:p w14:paraId="599C0800" w14:textId="77777777" w:rsidR="001506C1" w:rsidRPr="00FA3F9C" w:rsidRDefault="001506C1" w:rsidP="001506C1">
      <w:pPr>
        <w:pStyle w:val="ListParagraph"/>
        <w:numPr>
          <w:ilvl w:val="0"/>
          <w:numId w:val="154"/>
        </w:numPr>
        <w:spacing w:after="0"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Taylor-</w:t>
      </w:r>
      <w:proofErr w:type="spellStart"/>
      <w:r w:rsidRPr="00FA3F9C">
        <w:rPr>
          <w:rFonts w:ascii="Arial" w:eastAsia="Times New Roman" w:hAnsi="Arial" w:cs="Arial"/>
          <w:color w:val="000000"/>
          <w:sz w:val="24"/>
          <w:szCs w:val="24"/>
        </w:rPr>
        <w:t>Cousar</w:t>
      </w:r>
      <w:proofErr w:type="spellEnd"/>
      <w:r w:rsidRPr="00FA3F9C">
        <w:rPr>
          <w:rFonts w:ascii="Arial" w:eastAsia="Times New Roman" w:hAnsi="Arial" w:cs="Arial"/>
          <w:color w:val="000000"/>
          <w:sz w:val="24"/>
          <w:szCs w:val="24"/>
        </w:rPr>
        <w:t xml:space="preserve"> JL, </w:t>
      </w:r>
      <w:proofErr w:type="spellStart"/>
      <w:r w:rsidRPr="00FA3F9C">
        <w:rPr>
          <w:rFonts w:ascii="Arial" w:eastAsia="Times New Roman" w:hAnsi="Arial" w:cs="Arial"/>
          <w:color w:val="000000"/>
          <w:sz w:val="24"/>
          <w:szCs w:val="24"/>
        </w:rPr>
        <w:t>Munck</w:t>
      </w:r>
      <w:proofErr w:type="spellEnd"/>
      <w:r w:rsidRPr="00FA3F9C">
        <w:rPr>
          <w:rFonts w:ascii="Arial" w:eastAsia="Times New Roman" w:hAnsi="Arial" w:cs="Arial"/>
          <w:color w:val="000000"/>
          <w:sz w:val="24"/>
          <w:szCs w:val="24"/>
        </w:rPr>
        <w:t xml:space="preserve"> A, </w:t>
      </w:r>
      <w:proofErr w:type="spellStart"/>
      <w:r w:rsidRPr="00FA3F9C">
        <w:rPr>
          <w:rFonts w:ascii="Arial" w:eastAsia="Times New Roman" w:hAnsi="Arial" w:cs="Arial"/>
          <w:color w:val="000000"/>
          <w:sz w:val="24"/>
          <w:szCs w:val="24"/>
        </w:rPr>
        <w:t>McKone</w:t>
      </w:r>
      <w:proofErr w:type="spellEnd"/>
      <w:r w:rsidRPr="00FA3F9C">
        <w:rPr>
          <w:rFonts w:ascii="Arial" w:eastAsia="Times New Roman" w:hAnsi="Arial" w:cs="Arial"/>
          <w:color w:val="000000"/>
          <w:sz w:val="24"/>
          <w:szCs w:val="24"/>
        </w:rPr>
        <w:t xml:space="preserve"> EF, et al. </w:t>
      </w:r>
      <w:proofErr w:type="spellStart"/>
      <w:r w:rsidRPr="00FA3F9C">
        <w:rPr>
          <w:rFonts w:ascii="Arial" w:eastAsia="Times New Roman" w:hAnsi="Arial" w:cs="Arial"/>
          <w:color w:val="000000"/>
          <w:sz w:val="24"/>
          <w:szCs w:val="24"/>
        </w:rPr>
        <w:t>Tezacaftor</w:t>
      </w:r>
      <w:proofErr w:type="spellEnd"/>
      <w:r w:rsidRPr="00FA3F9C">
        <w:rPr>
          <w:rFonts w:ascii="Arial" w:eastAsia="Times New Roman" w:hAnsi="Arial" w:cs="Arial"/>
          <w:color w:val="000000"/>
          <w:sz w:val="24"/>
          <w:szCs w:val="24"/>
        </w:rPr>
        <w:t>–Ivacaftor in Patients with Cystic Fibrosis Homozygous for Phe508del. </w:t>
      </w:r>
      <w:r w:rsidRPr="00FA3F9C">
        <w:rPr>
          <w:rFonts w:ascii="Arial" w:eastAsia="Times New Roman" w:hAnsi="Arial" w:cs="Arial"/>
          <w:i/>
          <w:iCs/>
          <w:color w:val="000000"/>
          <w:sz w:val="24"/>
          <w:szCs w:val="24"/>
        </w:rPr>
        <w:t>New England Journal of Medicine</w:t>
      </w:r>
      <w:r w:rsidRPr="00FA3F9C">
        <w:rPr>
          <w:rFonts w:ascii="Arial" w:eastAsia="Times New Roman" w:hAnsi="Arial" w:cs="Arial"/>
          <w:color w:val="000000"/>
          <w:sz w:val="24"/>
          <w:szCs w:val="24"/>
        </w:rPr>
        <w:t>. 2017;377(21):2013-2023. doi:10.1056/nejmoa1709846</w:t>
      </w:r>
    </w:p>
    <w:p w14:paraId="51EBD505" w14:textId="77777777" w:rsidR="001506C1" w:rsidRPr="00FA3F9C" w:rsidRDefault="001506C1" w:rsidP="001506C1">
      <w:pPr>
        <w:pStyle w:val="ListParagraph"/>
        <w:numPr>
          <w:ilvl w:val="0"/>
          <w:numId w:val="154"/>
        </w:numPr>
        <w:spacing w:after="0"/>
        <w:rPr>
          <w:rFonts w:ascii="Arial" w:hAnsi="Arial" w:cs="Arial"/>
          <w:sz w:val="24"/>
          <w:szCs w:val="24"/>
        </w:rPr>
      </w:pPr>
      <w:proofErr w:type="spellStart"/>
      <w:r w:rsidRPr="00FA3F9C">
        <w:rPr>
          <w:rFonts w:ascii="Arial" w:hAnsi="Arial" w:cs="Arial"/>
          <w:color w:val="222222"/>
          <w:sz w:val="24"/>
          <w:szCs w:val="24"/>
          <w:shd w:val="clear" w:color="auto" w:fill="F8F8F8"/>
        </w:rPr>
        <w:t>LexiComp</w:t>
      </w:r>
      <w:proofErr w:type="spellEnd"/>
      <w:r w:rsidRPr="00FA3F9C">
        <w:rPr>
          <w:rFonts w:ascii="Arial" w:hAnsi="Arial" w:cs="Arial"/>
          <w:color w:val="222222"/>
          <w:sz w:val="24"/>
          <w:szCs w:val="24"/>
          <w:shd w:val="clear" w:color="auto" w:fill="F8F8F8"/>
        </w:rPr>
        <w:t xml:space="preserve">: </w:t>
      </w:r>
      <w:proofErr w:type="spellStart"/>
      <w:r w:rsidRPr="00FA3F9C">
        <w:rPr>
          <w:rFonts w:ascii="Arial" w:hAnsi="Arial" w:cs="Arial"/>
          <w:color w:val="222222"/>
          <w:sz w:val="24"/>
          <w:szCs w:val="24"/>
          <w:shd w:val="clear" w:color="auto" w:fill="F8F8F8"/>
        </w:rPr>
        <w:t>Orkambi</w:t>
      </w:r>
      <w:proofErr w:type="spellEnd"/>
      <w:r w:rsidRPr="00FA3F9C">
        <w:rPr>
          <w:rFonts w:ascii="Arial" w:hAnsi="Arial" w:cs="Arial"/>
          <w:color w:val="222222"/>
          <w:sz w:val="24"/>
          <w:szCs w:val="24"/>
          <w:shd w:val="clear" w:color="auto" w:fill="F8F8F8"/>
        </w:rPr>
        <w:t>. Accessed 11/15/2019.</w:t>
      </w:r>
    </w:p>
    <w:p w14:paraId="5F5805AB" w14:textId="77777777" w:rsidR="001506C1" w:rsidRPr="00FA3F9C" w:rsidRDefault="001506C1" w:rsidP="001506C1">
      <w:pPr>
        <w:pStyle w:val="ListParagraph"/>
        <w:numPr>
          <w:ilvl w:val="0"/>
          <w:numId w:val="154"/>
        </w:numPr>
        <w:spacing w:after="0"/>
        <w:rPr>
          <w:rFonts w:ascii="Arial" w:hAnsi="Arial" w:cs="Arial"/>
          <w:sz w:val="24"/>
          <w:szCs w:val="24"/>
        </w:rPr>
      </w:pPr>
      <w:proofErr w:type="spellStart"/>
      <w:r w:rsidRPr="00FA3F9C">
        <w:rPr>
          <w:rFonts w:ascii="Arial" w:hAnsi="Arial" w:cs="Arial"/>
          <w:color w:val="222222"/>
          <w:sz w:val="24"/>
          <w:szCs w:val="24"/>
          <w:shd w:val="clear" w:color="auto" w:fill="F8F8F8"/>
        </w:rPr>
        <w:t>LexiComp</w:t>
      </w:r>
      <w:proofErr w:type="spellEnd"/>
      <w:r w:rsidRPr="00FA3F9C">
        <w:rPr>
          <w:rFonts w:ascii="Arial" w:hAnsi="Arial" w:cs="Arial"/>
          <w:color w:val="222222"/>
          <w:sz w:val="24"/>
          <w:szCs w:val="24"/>
          <w:shd w:val="clear" w:color="auto" w:fill="F8F8F8"/>
        </w:rPr>
        <w:t xml:space="preserve">: </w:t>
      </w:r>
      <w:proofErr w:type="spellStart"/>
      <w:r w:rsidRPr="00FA3F9C">
        <w:rPr>
          <w:rFonts w:ascii="Arial" w:hAnsi="Arial" w:cs="Arial"/>
          <w:color w:val="222222"/>
          <w:sz w:val="24"/>
          <w:szCs w:val="24"/>
          <w:shd w:val="clear" w:color="auto" w:fill="F8F8F8"/>
        </w:rPr>
        <w:t>Symdeko</w:t>
      </w:r>
      <w:proofErr w:type="spellEnd"/>
      <w:r w:rsidRPr="00FA3F9C">
        <w:rPr>
          <w:rFonts w:ascii="Arial" w:hAnsi="Arial" w:cs="Arial"/>
          <w:color w:val="222222"/>
          <w:sz w:val="24"/>
          <w:szCs w:val="24"/>
          <w:shd w:val="clear" w:color="auto" w:fill="F8F8F8"/>
        </w:rPr>
        <w:t>. Accessed 10/15/2019.</w:t>
      </w:r>
    </w:p>
    <w:p w14:paraId="4EDE5DB1" w14:textId="77777777" w:rsidR="001506C1" w:rsidRPr="00FA3F9C" w:rsidRDefault="001506C1" w:rsidP="001506C1">
      <w:pPr>
        <w:pStyle w:val="ListParagraph"/>
        <w:numPr>
          <w:ilvl w:val="0"/>
          <w:numId w:val="154"/>
        </w:numPr>
        <w:spacing w:after="0"/>
        <w:rPr>
          <w:rFonts w:ascii="Arial" w:hAnsi="Arial" w:cs="Arial"/>
          <w:sz w:val="24"/>
          <w:szCs w:val="24"/>
        </w:rPr>
      </w:pPr>
      <w:proofErr w:type="spellStart"/>
      <w:r w:rsidRPr="00FA3F9C">
        <w:rPr>
          <w:rFonts w:ascii="Arial" w:hAnsi="Arial" w:cs="Arial"/>
          <w:color w:val="222222"/>
          <w:sz w:val="24"/>
          <w:szCs w:val="24"/>
          <w:shd w:val="clear" w:color="auto" w:fill="F8F8F8"/>
        </w:rPr>
        <w:t>LexiComp</w:t>
      </w:r>
      <w:proofErr w:type="spellEnd"/>
      <w:r w:rsidRPr="00FA3F9C">
        <w:rPr>
          <w:rFonts w:ascii="Arial" w:hAnsi="Arial" w:cs="Arial"/>
          <w:color w:val="222222"/>
          <w:sz w:val="24"/>
          <w:szCs w:val="24"/>
          <w:shd w:val="clear" w:color="auto" w:fill="F8F8F8"/>
        </w:rPr>
        <w:t>: Kalydeco. Accessed 10/18/2019.</w:t>
      </w:r>
    </w:p>
    <w:p w14:paraId="43BD30B5" w14:textId="77777777" w:rsidR="001506C1" w:rsidRPr="00FA3F9C" w:rsidRDefault="001506C1" w:rsidP="001506C1">
      <w:pPr>
        <w:pStyle w:val="ListParagraph"/>
        <w:numPr>
          <w:ilvl w:val="0"/>
          <w:numId w:val="154"/>
        </w:numPr>
        <w:spacing w:after="0"/>
        <w:rPr>
          <w:rFonts w:ascii="Arial" w:hAnsi="Arial" w:cs="Arial"/>
          <w:sz w:val="24"/>
          <w:szCs w:val="24"/>
        </w:rPr>
      </w:pPr>
      <w:r w:rsidRPr="00FA3F9C">
        <w:rPr>
          <w:rFonts w:ascii="Arial" w:hAnsi="Arial" w:cs="Arial"/>
          <w:color w:val="222222"/>
          <w:sz w:val="24"/>
          <w:szCs w:val="24"/>
          <w:shd w:val="clear" w:color="auto" w:fill="F8F8F8"/>
        </w:rPr>
        <w:t>UpToDate</w:t>
      </w:r>
      <w:r w:rsidRPr="00FA3F9C">
        <w:rPr>
          <w:rFonts w:ascii="Arial" w:hAnsi="Arial" w:cs="Arial"/>
          <w:sz w:val="24"/>
          <w:szCs w:val="24"/>
        </w:rPr>
        <w:t>: Cystic Fibrosis: Treatment with CFTR Modulators.  Accessed 11/22/19.</w:t>
      </w:r>
    </w:p>
    <w:p w14:paraId="4C026EB0" w14:textId="77777777" w:rsidR="001506C1" w:rsidRPr="00FA3F9C" w:rsidRDefault="001506C1" w:rsidP="001506C1">
      <w:pPr>
        <w:pStyle w:val="ListParagraph"/>
        <w:numPr>
          <w:ilvl w:val="0"/>
          <w:numId w:val="154"/>
        </w:numPr>
        <w:spacing w:after="0"/>
        <w:rPr>
          <w:rFonts w:ascii="Arial" w:hAnsi="Arial" w:cs="Arial"/>
          <w:sz w:val="24"/>
          <w:szCs w:val="24"/>
        </w:rPr>
      </w:pPr>
      <w:proofErr w:type="spellStart"/>
      <w:r w:rsidRPr="00FA3F9C">
        <w:rPr>
          <w:rFonts w:ascii="Arial" w:hAnsi="Arial" w:cs="Arial"/>
          <w:color w:val="222222"/>
          <w:sz w:val="24"/>
          <w:szCs w:val="24"/>
          <w:shd w:val="clear" w:color="auto" w:fill="F8F8F8"/>
        </w:rPr>
        <w:t>Trikafta</w:t>
      </w:r>
      <w:proofErr w:type="spellEnd"/>
      <w:r w:rsidRPr="00FA3F9C">
        <w:rPr>
          <w:rFonts w:ascii="Arial" w:hAnsi="Arial" w:cs="Arial"/>
          <w:color w:val="222222"/>
          <w:sz w:val="24"/>
          <w:szCs w:val="24"/>
          <w:shd w:val="clear" w:color="auto" w:fill="F8F8F8"/>
        </w:rPr>
        <w:t xml:space="preserve"> PI</w:t>
      </w:r>
      <w:r w:rsidRPr="00FA3F9C">
        <w:rPr>
          <w:rFonts w:ascii="Arial" w:hAnsi="Arial" w:cs="Arial"/>
          <w:sz w:val="24"/>
          <w:szCs w:val="24"/>
        </w:rPr>
        <w:t>.  Accessed 2/1/21. And 4/7/2021.</w:t>
      </w:r>
    </w:p>
    <w:p w14:paraId="145D3519" w14:textId="77777777" w:rsidR="001506C1" w:rsidRPr="00FA3F9C" w:rsidRDefault="001506C1" w:rsidP="00A57FC9">
      <w:pPr>
        <w:pStyle w:val="ListParagraph"/>
        <w:ind w:left="360"/>
        <w:rPr>
          <w:rFonts w:ascii="Arial" w:hAnsi="Arial" w:cs="Arial"/>
          <w:color w:val="222222"/>
          <w:sz w:val="24"/>
          <w:szCs w:val="24"/>
          <w:shd w:val="clear" w:color="auto" w:fill="F8F8F8"/>
        </w:rPr>
      </w:pPr>
    </w:p>
    <w:p w14:paraId="56CACDC8" w14:textId="77777777" w:rsidR="001506C1" w:rsidRPr="00FA3F9C" w:rsidRDefault="001506C1" w:rsidP="00A57FC9">
      <w:pPr>
        <w:pStyle w:val="ListParagraph"/>
        <w:ind w:left="360"/>
        <w:rPr>
          <w:rFonts w:ascii="Arial" w:hAnsi="Arial" w:cs="Arial"/>
          <w:sz w:val="24"/>
          <w:szCs w:val="24"/>
        </w:rPr>
      </w:pPr>
      <w:r w:rsidRPr="00FA3F9C">
        <w:rPr>
          <w:rFonts w:ascii="Arial" w:hAnsi="Arial" w:cs="Arial"/>
          <w:sz w:val="24"/>
          <w:szCs w:val="24"/>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8428"/>
        <w:gridCol w:w="1417"/>
      </w:tblGrid>
      <w:tr w:rsidR="001506C1" w:rsidRPr="00FA3F9C" w14:paraId="3B55E298" w14:textId="77777777" w:rsidTr="00094F67">
        <w:tc>
          <w:tcPr>
            <w:tcW w:w="1310" w:type="dxa"/>
          </w:tcPr>
          <w:p w14:paraId="3D45595C" w14:textId="77777777" w:rsidR="001506C1" w:rsidRPr="00FA3F9C" w:rsidRDefault="001506C1" w:rsidP="00E4013F">
            <w:pPr>
              <w:rPr>
                <w:rFonts w:ascii="Arial" w:hAnsi="Arial" w:cs="Arial"/>
                <w:sz w:val="24"/>
                <w:szCs w:val="24"/>
              </w:rPr>
            </w:pPr>
            <w:r w:rsidRPr="00FA3F9C">
              <w:rPr>
                <w:rFonts w:ascii="Arial" w:hAnsi="Arial" w:cs="Arial"/>
                <w:sz w:val="24"/>
                <w:szCs w:val="24"/>
              </w:rPr>
              <w:t>Date</w:t>
            </w:r>
          </w:p>
        </w:tc>
        <w:tc>
          <w:tcPr>
            <w:tcW w:w="8428" w:type="dxa"/>
          </w:tcPr>
          <w:p w14:paraId="2881E0E3" w14:textId="77777777" w:rsidR="001506C1" w:rsidRPr="00FA3F9C" w:rsidRDefault="001506C1" w:rsidP="00E4013F">
            <w:pPr>
              <w:rPr>
                <w:rFonts w:ascii="Arial" w:hAnsi="Arial" w:cs="Arial"/>
                <w:sz w:val="24"/>
                <w:szCs w:val="24"/>
              </w:rPr>
            </w:pPr>
            <w:r w:rsidRPr="00FA3F9C">
              <w:rPr>
                <w:rFonts w:ascii="Arial" w:hAnsi="Arial" w:cs="Arial"/>
                <w:sz w:val="24"/>
                <w:szCs w:val="24"/>
              </w:rPr>
              <w:t>What changed?</w:t>
            </w:r>
          </w:p>
        </w:tc>
        <w:tc>
          <w:tcPr>
            <w:tcW w:w="1278" w:type="dxa"/>
          </w:tcPr>
          <w:p w14:paraId="199D1C5D" w14:textId="77777777" w:rsidR="001506C1" w:rsidRPr="00FA3F9C" w:rsidRDefault="001506C1" w:rsidP="00E4013F">
            <w:pPr>
              <w:rPr>
                <w:rFonts w:ascii="Arial" w:hAnsi="Arial" w:cs="Arial"/>
                <w:sz w:val="24"/>
                <w:szCs w:val="24"/>
              </w:rPr>
            </w:pPr>
            <w:r w:rsidRPr="00FA3F9C">
              <w:rPr>
                <w:rFonts w:ascii="Arial" w:hAnsi="Arial" w:cs="Arial"/>
                <w:sz w:val="24"/>
                <w:szCs w:val="24"/>
              </w:rPr>
              <w:t>Pharmacist</w:t>
            </w:r>
          </w:p>
        </w:tc>
      </w:tr>
      <w:tr w:rsidR="001506C1" w:rsidRPr="00FA3F9C" w14:paraId="17BF869A" w14:textId="77777777" w:rsidTr="00094F67">
        <w:tc>
          <w:tcPr>
            <w:tcW w:w="1310" w:type="dxa"/>
          </w:tcPr>
          <w:p w14:paraId="68E2ADA5" w14:textId="77777777" w:rsidR="001506C1" w:rsidRPr="00FA3F9C" w:rsidRDefault="001506C1" w:rsidP="00B136B1">
            <w:pPr>
              <w:rPr>
                <w:rFonts w:ascii="Arial" w:hAnsi="Arial" w:cs="Arial"/>
                <w:sz w:val="24"/>
                <w:szCs w:val="24"/>
              </w:rPr>
            </w:pPr>
            <w:r w:rsidRPr="00FA3F9C">
              <w:rPr>
                <w:rFonts w:ascii="Arial" w:hAnsi="Arial" w:cs="Arial"/>
                <w:sz w:val="24"/>
                <w:szCs w:val="24"/>
              </w:rPr>
              <w:t>12/17/19</w:t>
            </w:r>
          </w:p>
        </w:tc>
        <w:tc>
          <w:tcPr>
            <w:tcW w:w="8428" w:type="dxa"/>
          </w:tcPr>
          <w:p w14:paraId="5B2C7745" w14:textId="77777777" w:rsidR="001506C1" w:rsidRPr="00FA3F9C" w:rsidRDefault="001506C1" w:rsidP="00E4013F">
            <w:pPr>
              <w:rPr>
                <w:rFonts w:ascii="Arial" w:hAnsi="Arial" w:cs="Arial"/>
                <w:sz w:val="24"/>
                <w:szCs w:val="24"/>
              </w:rPr>
            </w:pPr>
            <w:r w:rsidRPr="00FA3F9C">
              <w:rPr>
                <w:rFonts w:ascii="Arial" w:hAnsi="Arial" w:cs="Arial"/>
                <w:sz w:val="24"/>
                <w:szCs w:val="24"/>
              </w:rPr>
              <w:t xml:space="preserve">I updated the format and limited </w:t>
            </w:r>
            <w:proofErr w:type="spellStart"/>
            <w:r w:rsidRPr="00FA3F9C">
              <w:rPr>
                <w:rFonts w:ascii="Arial" w:hAnsi="Arial" w:cs="Arial"/>
                <w:sz w:val="24"/>
                <w:szCs w:val="24"/>
              </w:rPr>
              <w:t>Symdeko</w:t>
            </w:r>
            <w:proofErr w:type="spellEnd"/>
            <w:r w:rsidRPr="00FA3F9C">
              <w:rPr>
                <w:rFonts w:ascii="Arial" w:hAnsi="Arial" w:cs="Arial"/>
                <w:sz w:val="24"/>
                <w:szCs w:val="24"/>
              </w:rPr>
              <w:t xml:space="preserve"> coverage to only ages 6-12y because </w:t>
            </w:r>
            <w:proofErr w:type="spellStart"/>
            <w:r w:rsidRPr="00FA3F9C">
              <w:rPr>
                <w:rFonts w:ascii="Arial" w:hAnsi="Arial" w:cs="Arial"/>
                <w:sz w:val="24"/>
                <w:szCs w:val="24"/>
              </w:rPr>
              <w:t>Trikafta</w:t>
            </w:r>
            <w:proofErr w:type="spellEnd"/>
            <w:r w:rsidRPr="00FA3F9C">
              <w:rPr>
                <w:rFonts w:ascii="Arial" w:hAnsi="Arial" w:cs="Arial"/>
                <w:sz w:val="24"/>
                <w:szCs w:val="24"/>
              </w:rPr>
              <w:t xml:space="preserve"> is recommended and superior in homozygotes older than 12.</w:t>
            </w:r>
          </w:p>
        </w:tc>
        <w:tc>
          <w:tcPr>
            <w:tcW w:w="1278" w:type="dxa"/>
          </w:tcPr>
          <w:p w14:paraId="53E87439" w14:textId="77777777" w:rsidR="001506C1" w:rsidRPr="00FA3F9C" w:rsidRDefault="001506C1" w:rsidP="00E4013F">
            <w:pPr>
              <w:rPr>
                <w:rFonts w:ascii="Arial" w:hAnsi="Arial" w:cs="Arial"/>
                <w:sz w:val="24"/>
                <w:szCs w:val="24"/>
              </w:rPr>
            </w:pPr>
            <w:r w:rsidRPr="00FA3F9C">
              <w:rPr>
                <w:rFonts w:ascii="Arial" w:hAnsi="Arial" w:cs="Arial"/>
                <w:sz w:val="24"/>
                <w:szCs w:val="24"/>
              </w:rPr>
              <w:t>JJ</w:t>
            </w:r>
          </w:p>
        </w:tc>
      </w:tr>
      <w:tr w:rsidR="001506C1" w:rsidRPr="00FA3F9C" w14:paraId="5ECD3D66" w14:textId="77777777" w:rsidTr="00094F67">
        <w:tc>
          <w:tcPr>
            <w:tcW w:w="1310" w:type="dxa"/>
          </w:tcPr>
          <w:p w14:paraId="299B77E5" w14:textId="77777777" w:rsidR="001506C1" w:rsidRPr="00FA3F9C" w:rsidRDefault="001506C1" w:rsidP="00B136B1">
            <w:pPr>
              <w:rPr>
                <w:rFonts w:ascii="Arial" w:hAnsi="Arial" w:cs="Arial"/>
                <w:sz w:val="24"/>
                <w:szCs w:val="24"/>
              </w:rPr>
            </w:pPr>
            <w:r w:rsidRPr="00FA3F9C">
              <w:rPr>
                <w:rFonts w:ascii="Arial" w:hAnsi="Arial" w:cs="Arial"/>
                <w:sz w:val="24"/>
                <w:szCs w:val="24"/>
              </w:rPr>
              <w:t>1/6/2020</w:t>
            </w:r>
          </w:p>
        </w:tc>
        <w:tc>
          <w:tcPr>
            <w:tcW w:w="8428" w:type="dxa"/>
          </w:tcPr>
          <w:p w14:paraId="4C535DA3" w14:textId="77777777" w:rsidR="001506C1" w:rsidRPr="00FA3F9C" w:rsidRDefault="001506C1" w:rsidP="00E4013F">
            <w:pPr>
              <w:rPr>
                <w:rFonts w:ascii="Arial" w:hAnsi="Arial" w:cs="Arial"/>
                <w:sz w:val="24"/>
                <w:szCs w:val="24"/>
              </w:rPr>
            </w:pPr>
            <w:r w:rsidRPr="00FA3F9C">
              <w:rPr>
                <w:rFonts w:ascii="Arial" w:hAnsi="Arial" w:cs="Arial"/>
                <w:sz w:val="24"/>
                <w:szCs w:val="24"/>
              </w:rPr>
              <w:t>I changed the criteria to allow for CF with at least one F508deletion to have access to the drug per the data.</w:t>
            </w:r>
          </w:p>
        </w:tc>
        <w:tc>
          <w:tcPr>
            <w:tcW w:w="1278" w:type="dxa"/>
          </w:tcPr>
          <w:p w14:paraId="353C2110" w14:textId="77777777" w:rsidR="001506C1" w:rsidRPr="00FA3F9C" w:rsidRDefault="001506C1" w:rsidP="00E4013F">
            <w:pPr>
              <w:rPr>
                <w:rFonts w:ascii="Arial" w:hAnsi="Arial" w:cs="Arial"/>
                <w:sz w:val="24"/>
                <w:szCs w:val="24"/>
              </w:rPr>
            </w:pPr>
            <w:r w:rsidRPr="00FA3F9C">
              <w:rPr>
                <w:rFonts w:ascii="Arial" w:hAnsi="Arial" w:cs="Arial"/>
                <w:sz w:val="24"/>
                <w:szCs w:val="24"/>
              </w:rPr>
              <w:t>JJ</w:t>
            </w:r>
          </w:p>
        </w:tc>
      </w:tr>
      <w:tr w:rsidR="001506C1" w:rsidRPr="00FA3F9C" w14:paraId="6BF284BA" w14:textId="77777777" w:rsidTr="00094F67">
        <w:tc>
          <w:tcPr>
            <w:tcW w:w="1310" w:type="dxa"/>
          </w:tcPr>
          <w:p w14:paraId="02B9630D" w14:textId="77777777" w:rsidR="001506C1" w:rsidRPr="00FA3F9C" w:rsidRDefault="001506C1" w:rsidP="00B136B1">
            <w:pPr>
              <w:rPr>
                <w:rFonts w:ascii="Arial" w:hAnsi="Arial" w:cs="Arial"/>
                <w:sz w:val="24"/>
                <w:szCs w:val="24"/>
              </w:rPr>
            </w:pPr>
            <w:r w:rsidRPr="00FA3F9C">
              <w:rPr>
                <w:rFonts w:ascii="Arial" w:hAnsi="Arial" w:cs="Arial"/>
                <w:sz w:val="24"/>
                <w:szCs w:val="24"/>
              </w:rPr>
              <w:t>8/10/2020</w:t>
            </w:r>
          </w:p>
        </w:tc>
        <w:tc>
          <w:tcPr>
            <w:tcW w:w="8428" w:type="dxa"/>
          </w:tcPr>
          <w:p w14:paraId="1D1999E7" w14:textId="77777777" w:rsidR="001506C1" w:rsidRPr="00FA3F9C" w:rsidRDefault="001506C1" w:rsidP="00E4013F">
            <w:pPr>
              <w:rPr>
                <w:rFonts w:ascii="Arial" w:hAnsi="Arial" w:cs="Arial"/>
                <w:sz w:val="24"/>
                <w:szCs w:val="24"/>
              </w:rPr>
            </w:pPr>
            <w:r w:rsidRPr="00FA3F9C">
              <w:rPr>
                <w:rFonts w:ascii="Arial" w:hAnsi="Arial" w:cs="Arial"/>
                <w:sz w:val="24"/>
                <w:szCs w:val="24"/>
              </w:rPr>
              <w:t>Reviewed. No changes</w:t>
            </w:r>
          </w:p>
        </w:tc>
        <w:tc>
          <w:tcPr>
            <w:tcW w:w="1278" w:type="dxa"/>
          </w:tcPr>
          <w:p w14:paraId="7A3204E3" w14:textId="77777777" w:rsidR="001506C1" w:rsidRPr="00FA3F9C" w:rsidRDefault="001506C1" w:rsidP="00E4013F">
            <w:pPr>
              <w:rPr>
                <w:rFonts w:ascii="Arial" w:hAnsi="Arial" w:cs="Arial"/>
                <w:sz w:val="24"/>
                <w:szCs w:val="24"/>
              </w:rPr>
            </w:pPr>
            <w:r w:rsidRPr="00FA3F9C">
              <w:rPr>
                <w:rFonts w:ascii="Arial" w:hAnsi="Arial" w:cs="Arial"/>
                <w:sz w:val="24"/>
                <w:szCs w:val="24"/>
              </w:rPr>
              <w:t>JJ</w:t>
            </w:r>
          </w:p>
        </w:tc>
      </w:tr>
      <w:tr w:rsidR="001506C1" w:rsidRPr="00FA3F9C" w14:paraId="5C237B9A" w14:textId="77777777" w:rsidTr="00094F67">
        <w:tc>
          <w:tcPr>
            <w:tcW w:w="1310" w:type="dxa"/>
          </w:tcPr>
          <w:p w14:paraId="51DAD4F9" w14:textId="77777777" w:rsidR="001506C1" w:rsidRPr="00FA3F9C" w:rsidRDefault="001506C1" w:rsidP="00B136B1">
            <w:pPr>
              <w:rPr>
                <w:rFonts w:ascii="Arial" w:hAnsi="Arial" w:cs="Arial"/>
                <w:sz w:val="24"/>
                <w:szCs w:val="24"/>
              </w:rPr>
            </w:pPr>
            <w:r w:rsidRPr="00FA3F9C">
              <w:rPr>
                <w:rFonts w:ascii="Arial" w:hAnsi="Arial" w:cs="Arial"/>
                <w:sz w:val="24"/>
                <w:szCs w:val="24"/>
              </w:rPr>
              <w:t>1/8/2021</w:t>
            </w:r>
          </w:p>
        </w:tc>
        <w:tc>
          <w:tcPr>
            <w:tcW w:w="8428" w:type="dxa"/>
          </w:tcPr>
          <w:p w14:paraId="5329229B" w14:textId="77777777" w:rsidR="001506C1" w:rsidRPr="00FA3F9C" w:rsidRDefault="001506C1" w:rsidP="00BE7A9D">
            <w:pPr>
              <w:autoSpaceDE w:val="0"/>
              <w:autoSpaceDN w:val="0"/>
              <w:adjustRightInd w:val="0"/>
              <w:rPr>
                <w:rFonts w:ascii="Arial" w:hAnsi="Arial" w:cs="Arial"/>
                <w:sz w:val="24"/>
                <w:szCs w:val="24"/>
              </w:rPr>
            </w:pPr>
            <w:r w:rsidRPr="00FA3F9C">
              <w:rPr>
                <w:rFonts w:ascii="Arial" w:hAnsi="Arial" w:cs="Arial"/>
                <w:sz w:val="24"/>
                <w:szCs w:val="24"/>
              </w:rPr>
              <w:t xml:space="preserve">I reviewed the new FDA approval for </w:t>
            </w:r>
            <w:proofErr w:type="spellStart"/>
            <w:r w:rsidRPr="00FA3F9C">
              <w:rPr>
                <w:rFonts w:ascii="Arial" w:hAnsi="Arial" w:cs="Arial"/>
                <w:sz w:val="24"/>
                <w:szCs w:val="24"/>
              </w:rPr>
              <w:t>Trikafta</w:t>
            </w:r>
            <w:proofErr w:type="spellEnd"/>
            <w:r w:rsidRPr="00FA3F9C">
              <w:rPr>
                <w:rFonts w:ascii="Arial" w:hAnsi="Arial" w:cs="Arial"/>
                <w:sz w:val="24"/>
                <w:szCs w:val="24"/>
              </w:rPr>
              <w:t xml:space="preserve">.  Their 12/2020 package insert states “The in vitro CFTR chloride transport response threshold was designated as a net increase of at least 10% of normal over baseline because it is predictive or </w:t>
            </w:r>
            <w:r w:rsidRPr="00FA3F9C">
              <w:rPr>
                <w:rFonts w:ascii="Arial" w:hAnsi="Arial" w:cs="Arial"/>
                <w:b/>
                <w:i/>
                <w:sz w:val="24"/>
                <w:szCs w:val="24"/>
              </w:rPr>
              <w:t>reasonably expected to predict clinical benefit</w:t>
            </w:r>
            <w:r w:rsidRPr="00FA3F9C">
              <w:rPr>
                <w:rFonts w:ascii="Arial" w:hAnsi="Arial" w:cs="Arial"/>
                <w:sz w:val="24"/>
                <w:szCs w:val="24"/>
              </w:rPr>
              <w:t xml:space="preserve">. </w:t>
            </w:r>
            <w:r w:rsidRPr="00FA3F9C">
              <w:rPr>
                <w:rFonts w:ascii="Arial" w:hAnsi="Arial" w:cs="Arial"/>
                <w:b/>
                <w:sz w:val="24"/>
                <w:szCs w:val="24"/>
                <w:u w:val="single"/>
              </w:rPr>
              <w:t xml:space="preserve">For individual mutations, the magnitude of the net change over baseline in CFTR-mediated chloride transport in vitro is not correlated </w:t>
            </w:r>
            <w:r w:rsidRPr="00FA3F9C">
              <w:rPr>
                <w:rFonts w:ascii="Arial" w:hAnsi="Arial" w:cs="Arial"/>
                <w:b/>
                <w:sz w:val="24"/>
                <w:szCs w:val="24"/>
                <w:u w:val="single"/>
              </w:rPr>
              <w:lastRenderedPageBreak/>
              <w:t xml:space="preserve">with the magnitude of clinical response.”  </w:t>
            </w:r>
            <w:r w:rsidRPr="00FA3F9C">
              <w:rPr>
                <w:rFonts w:ascii="Arial" w:hAnsi="Arial" w:cs="Arial"/>
                <w:sz w:val="24"/>
                <w:szCs w:val="24"/>
              </w:rPr>
              <w:t>Without known clinical benefit for the non-F508 mutations, we will continue to require at least one F508 deletion.</w:t>
            </w:r>
          </w:p>
        </w:tc>
        <w:tc>
          <w:tcPr>
            <w:tcW w:w="1278" w:type="dxa"/>
          </w:tcPr>
          <w:p w14:paraId="6C217F74" w14:textId="77777777" w:rsidR="001506C1" w:rsidRPr="00FA3F9C" w:rsidRDefault="001506C1" w:rsidP="00E4013F">
            <w:pPr>
              <w:rPr>
                <w:rFonts w:ascii="Arial" w:hAnsi="Arial" w:cs="Arial"/>
                <w:sz w:val="24"/>
                <w:szCs w:val="24"/>
              </w:rPr>
            </w:pPr>
            <w:r w:rsidRPr="00FA3F9C">
              <w:rPr>
                <w:rFonts w:ascii="Arial" w:hAnsi="Arial" w:cs="Arial"/>
                <w:sz w:val="24"/>
                <w:szCs w:val="24"/>
              </w:rPr>
              <w:lastRenderedPageBreak/>
              <w:t>JJ</w:t>
            </w:r>
          </w:p>
        </w:tc>
      </w:tr>
      <w:tr w:rsidR="001506C1" w:rsidRPr="00FA3F9C" w14:paraId="609985C6" w14:textId="77777777" w:rsidTr="00094F67">
        <w:tc>
          <w:tcPr>
            <w:tcW w:w="1310" w:type="dxa"/>
          </w:tcPr>
          <w:p w14:paraId="5849A387" w14:textId="77777777" w:rsidR="001506C1" w:rsidRPr="00FA3F9C" w:rsidRDefault="001506C1" w:rsidP="00B136B1">
            <w:pPr>
              <w:rPr>
                <w:rFonts w:ascii="Arial" w:hAnsi="Arial" w:cs="Arial"/>
                <w:sz w:val="24"/>
                <w:szCs w:val="24"/>
              </w:rPr>
            </w:pPr>
            <w:r w:rsidRPr="00FA3F9C">
              <w:rPr>
                <w:rFonts w:ascii="Arial" w:hAnsi="Arial" w:cs="Arial"/>
                <w:sz w:val="24"/>
                <w:szCs w:val="24"/>
              </w:rPr>
              <w:t>2/1/21</w:t>
            </w:r>
          </w:p>
        </w:tc>
        <w:tc>
          <w:tcPr>
            <w:tcW w:w="8428" w:type="dxa"/>
          </w:tcPr>
          <w:p w14:paraId="1C13510E" w14:textId="77777777" w:rsidR="001506C1" w:rsidRPr="00FA3F9C" w:rsidRDefault="001506C1" w:rsidP="00BE7A9D">
            <w:pPr>
              <w:autoSpaceDE w:val="0"/>
              <w:autoSpaceDN w:val="0"/>
              <w:adjustRightInd w:val="0"/>
              <w:rPr>
                <w:rFonts w:ascii="Arial" w:hAnsi="Arial" w:cs="Arial"/>
                <w:sz w:val="24"/>
                <w:szCs w:val="24"/>
              </w:rPr>
            </w:pPr>
            <w:r w:rsidRPr="00FA3F9C">
              <w:rPr>
                <w:rFonts w:ascii="Arial" w:hAnsi="Arial" w:cs="Arial"/>
                <w:sz w:val="24"/>
                <w:szCs w:val="24"/>
              </w:rPr>
              <w:t>After P&amp;T discussion, we voted to include coverage for patients with a mutation in the CFTR gene that is responsive based on in vitro data. (</w:t>
            </w:r>
            <w:proofErr w:type="gramStart"/>
            <w:r w:rsidRPr="00FA3F9C">
              <w:rPr>
                <w:rFonts w:ascii="Arial" w:hAnsi="Arial" w:cs="Arial"/>
                <w:sz w:val="24"/>
                <w:szCs w:val="24"/>
              </w:rPr>
              <w:t>without</w:t>
            </w:r>
            <w:proofErr w:type="gramEnd"/>
            <w:r w:rsidRPr="00FA3F9C">
              <w:rPr>
                <w:rFonts w:ascii="Arial" w:hAnsi="Arial" w:cs="Arial"/>
                <w:sz w:val="24"/>
                <w:szCs w:val="24"/>
              </w:rPr>
              <w:t xml:space="preserve"> any F508del mutation) It was determined the change would be cost-neutral.</w:t>
            </w:r>
          </w:p>
        </w:tc>
        <w:tc>
          <w:tcPr>
            <w:tcW w:w="1278" w:type="dxa"/>
          </w:tcPr>
          <w:p w14:paraId="2C1945DA" w14:textId="77777777" w:rsidR="001506C1" w:rsidRPr="00FA3F9C" w:rsidRDefault="001506C1" w:rsidP="00E4013F">
            <w:pPr>
              <w:rPr>
                <w:rFonts w:ascii="Arial" w:hAnsi="Arial" w:cs="Arial"/>
                <w:sz w:val="24"/>
                <w:szCs w:val="24"/>
              </w:rPr>
            </w:pPr>
            <w:r w:rsidRPr="00FA3F9C">
              <w:rPr>
                <w:rFonts w:ascii="Arial" w:hAnsi="Arial" w:cs="Arial"/>
                <w:sz w:val="24"/>
                <w:szCs w:val="24"/>
              </w:rPr>
              <w:t>JJ</w:t>
            </w:r>
          </w:p>
        </w:tc>
      </w:tr>
      <w:tr w:rsidR="001506C1" w:rsidRPr="00FA3F9C" w14:paraId="485EDBF9" w14:textId="77777777" w:rsidTr="00094F67">
        <w:tc>
          <w:tcPr>
            <w:tcW w:w="1310" w:type="dxa"/>
          </w:tcPr>
          <w:p w14:paraId="7CADE500" w14:textId="77777777" w:rsidR="001506C1" w:rsidRPr="00FA3F9C" w:rsidRDefault="001506C1" w:rsidP="00B136B1">
            <w:pPr>
              <w:rPr>
                <w:rFonts w:ascii="Arial" w:hAnsi="Arial" w:cs="Arial"/>
                <w:sz w:val="24"/>
                <w:szCs w:val="24"/>
              </w:rPr>
            </w:pPr>
            <w:r w:rsidRPr="00FA3F9C">
              <w:rPr>
                <w:rFonts w:ascii="Arial" w:hAnsi="Arial" w:cs="Arial"/>
                <w:sz w:val="24"/>
                <w:szCs w:val="24"/>
              </w:rPr>
              <w:t>4/7/21</w:t>
            </w:r>
          </w:p>
        </w:tc>
        <w:tc>
          <w:tcPr>
            <w:tcW w:w="8428" w:type="dxa"/>
          </w:tcPr>
          <w:p w14:paraId="36373CAB" w14:textId="77777777" w:rsidR="001506C1" w:rsidRPr="00FA3F9C" w:rsidRDefault="001506C1" w:rsidP="00BE7A9D">
            <w:pPr>
              <w:autoSpaceDE w:val="0"/>
              <w:autoSpaceDN w:val="0"/>
              <w:adjustRightInd w:val="0"/>
              <w:rPr>
                <w:rFonts w:ascii="Arial" w:hAnsi="Arial" w:cs="Arial"/>
                <w:sz w:val="24"/>
                <w:szCs w:val="24"/>
              </w:rPr>
            </w:pPr>
            <w:r w:rsidRPr="00FA3F9C">
              <w:rPr>
                <w:rFonts w:ascii="Arial" w:hAnsi="Arial" w:cs="Arial"/>
                <w:sz w:val="24"/>
                <w:szCs w:val="24"/>
              </w:rPr>
              <w:t>I clarified responsive mutations and inserted the table from the PI.  Applied EBRx criteria to UAS Plan.</w:t>
            </w:r>
          </w:p>
        </w:tc>
        <w:tc>
          <w:tcPr>
            <w:tcW w:w="1278" w:type="dxa"/>
          </w:tcPr>
          <w:p w14:paraId="001F35C8" w14:textId="77777777" w:rsidR="001506C1" w:rsidRPr="00FA3F9C" w:rsidRDefault="001506C1" w:rsidP="00E4013F">
            <w:pPr>
              <w:rPr>
                <w:rFonts w:ascii="Arial" w:hAnsi="Arial" w:cs="Arial"/>
                <w:sz w:val="24"/>
                <w:szCs w:val="24"/>
              </w:rPr>
            </w:pPr>
            <w:r w:rsidRPr="00FA3F9C">
              <w:rPr>
                <w:rFonts w:ascii="Arial" w:hAnsi="Arial" w:cs="Arial"/>
                <w:sz w:val="24"/>
                <w:szCs w:val="24"/>
              </w:rPr>
              <w:t>JJ</w:t>
            </w:r>
          </w:p>
        </w:tc>
      </w:tr>
      <w:tr w:rsidR="001506C1" w:rsidRPr="00FA3F9C" w14:paraId="136B58F7" w14:textId="77777777" w:rsidTr="00094F67">
        <w:tc>
          <w:tcPr>
            <w:tcW w:w="1310" w:type="dxa"/>
          </w:tcPr>
          <w:p w14:paraId="7A29C0A3" w14:textId="77777777" w:rsidR="001506C1" w:rsidRPr="00FA3F9C" w:rsidRDefault="001506C1" w:rsidP="00B136B1">
            <w:pPr>
              <w:rPr>
                <w:rFonts w:ascii="Arial" w:hAnsi="Arial" w:cs="Arial"/>
                <w:sz w:val="24"/>
                <w:szCs w:val="24"/>
              </w:rPr>
            </w:pPr>
            <w:r w:rsidRPr="00FA3F9C">
              <w:rPr>
                <w:rFonts w:ascii="Arial" w:hAnsi="Arial" w:cs="Arial"/>
                <w:sz w:val="24"/>
                <w:szCs w:val="24"/>
              </w:rPr>
              <w:t>9/21/21</w:t>
            </w:r>
          </w:p>
        </w:tc>
        <w:tc>
          <w:tcPr>
            <w:tcW w:w="8428" w:type="dxa"/>
          </w:tcPr>
          <w:p w14:paraId="2ED02BFF" w14:textId="77777777" w:rsidR="001506C1" w:rsidRPr="00FA3F9C" w:rsidRDefault="001506C1" w:rsidP="00BE7A9D">
            <w:pPr>
              <w:autoSpaceDE w:val="0"/>
              <w:autoSpaceDN w:val="0"/>
              <w:adjustRightInd w:val="0"/>
              <w:rPr>
                <w:rFonts w:ascii="Arial" w:hAnsi="Arial" w:cs="Arial"/>
                <w:sz w:val="24"/>
                <w:szCs w:val="24"/>
              </w:rPr>
            </w:pPr>
            <w:r w:rsidRPr="00FA3F9C">
              <w:rPr>
                <w:rFonts w:ascii="Arial" w:hAnsi="Arial" w:cs="Arial"/>
                <w:sz w:val="24"/>
                <w:szCs w:val="24"/>
              </w:rPr>
              <w:t>I changed the age requirement from age 12y to age 6y now that it has received FDA approval down to that age.  ICER projected the age would need to be lowered once the label was expanded to this younger population.</w:t>
            </w:r>
          </w:p>
        </w:tc>
        <w:tc>
          <w:tcPr>
            <w:tcW w:w="1278" w:type="dxa"/>
          </w:tcPr>
          <w:p w14:paraId="03349601" w14:textId="77777777" w:rsidR="001506C1" w:rsidRPr="00FA3F9C" w:rsidRDefault="001506C1" w:rsidP="00E4013F">
            <w:pPr>
              <w:rPr>
                <w:rFonts w:ascii="Arial" w:hAnsi="Arial" w:cs="Arial"/>
                <w:sz w:val="24"/>
                <w:szCs w:val="24"/>
              </w:rPr>
            </w:pPr>
            <w:r w:rsidRPr="00FA3F9C">
              <w:rPr>
                <w:rFonts w:ascii="Arial" w:hAnsi="Arial" w:cs="Arial"/>
                <w:sz w:val="24"/>
                <w:szCs w:val="24"/>
              </w:rPr>
              <w:t>JJ</w:t>
            </w:r>
          </w:p>
        </w:tc>
      </w:tr>
    </w:tbl>
    <w:p w14:paraId="1840C2D8" w14:textId="77777777" w:rsidR="001506C1" w:rsidRPr="00FA3F9C" w:rsidRDefault="001506C1">
      <w:pPr>
        <w:rPr>
          <w:rFonts w:ascii="Arial" w:hAnsi="Arial" w:cs="Arial"/>
          <w:sz w:val="24"/>
          <w:szCs w:val="24"/>
        </w:rPr>
      </w:pPr>
    </w:p>
    <w:p w14:paraId="407925C4" w14:textId="77777777" w:rsidR="00BE7C2A" w:rsidRDefault="001506C1" w:rsidP="00BE7C2A">
      <w:pPr>
        <w:pStyle w:val="Heading2"/>
      </w:pPr>
      <w:bookmarkStart w:id="88" w:name="_Toc106369783"/>
      <w:r w:rsidRPr="00FA3F9C">
        <w:t>Eliglustat (</w:t>
      </w:r>
      <w:proofErr w:type="spellStart"/>
      <w:r w:rsidRPr="00FA3F9C">
        <w:t>Cerdelga</w:t>
      </w:r>
      <w:proofErr w:type="spellEnd"/>
      <w:r w:rsidRPr="00FA3F9C">
        <w:t>)</w:t>
      </w:r>
      <w:bookmarkEnd w:id="88"/>
      <w:r w:rsidRPr="00FA3F9C">
        <w:t xml:space="preserve"> </w:t>
      </w:r>
    </w:p>
    <w:p w14:paraId="4B8B9969" w14:textId="1066528A" w:rsidR="001506C1" w:rsidRDefault="001506C1" w:rsidP="006F623F">
      <w:pPr>
        <w:spacing w:after="0"/>
        <w:jc w:val="center"/>
        <w:rPr>
          <w:rFonts w:ascii="Arial" w:hAnsi="Arial" w:cs="Arial"/>
          <w:sz w:val="24"/>
          <w:szCs w:val="24"/>
        </w:rPr>
      </w:pPr>
      <w:r w:rsidRPr="00FA3F9C">
        <w:rPr>
          <w:rFonts w:ascii="Arial" w:hAnsi="Arial" w:cs="Arial"/>
          <w:sz w:val="24"/>
          <w:szCs w:val="24"/>
        </w:rPr>
        <w:t>84 mg capsules</w:t>
      </w:r>
    </w:p>
    <w:p w14:paraId="1858594B" w14:textId="77777777" w:rsidR="00BE7C2A" w:rsidRPr="00FA3F9C" w:rsidRDefault="00BE7C2A" w:rsidP="00BE7C2A">
      <w:pPr>
        <w:spacing w:after="0"/>
        <w:jc w:val="center"/>
        <w:rPr>
          <w:rFonts w:ascii="Arial" w:hAnsi="Arial" w:cs="Arial"/>
          <w:sz w:val="24"/>
          <w:szCs w:val="24"/>
        </w:rPr>
      </w:pPr>
      <w:r w:rsidRPr="00FA3F9C">
        <w:rPr>
          <w:rFonts w:ascii="Arial" w:hAnsi="Arial" w:cs="Arial"/>
          <w:sz w:val="24"/>
          <w:szCs w:val="24"/>
        </w:rPr>
        <w:t>EBRx PA Criteria</w:t>
      </w:r>
    </w:p>
    <w:p w14:paraId="5939C571" w14:textId="77777777" w:rsidR="00BE7C2A" w:rsidRPr="00FA3F9C" w:rsidRDefault="00BE7C2A" w:rsidP="006F623F">
      <w:pPr>
        <w:spacing w:after="0"/>
        <w:jc w:val="center"/>
        <w:rPr>
          <w:rFonts w:ascii="Arial" w:hAnsi="Arial" w:cs="Arial"/>
          <w:sz w:val="24"/>
          <w:szCs w:val="24"/>
        </w:rPr>
      </w:pPr>
    </w:p>
    <w:p w14:paraId="45892969" w14:textId="77777777" w:rsidR="001506C1" w:rsidRPr="00FA3F9C" w:rsidRDefault="001506C1" w:rsidP="006F623F">
      <w:pPr>
        <w:spacing w:after="0"/>
        <w:rPr>
          <w:rFonts w:ascii="Arial" w:hAnsi="Arial" w:cs="Arial"/>
          <w:b/>
          <w:sz w:val="24"/>
          <w:szCs w:val="24"/>
          <w:u w:val="single"/>
        </w:rPr>
      </w:pPr>
    </w:p>
    <w:p w14:paraId="3A0679EF" w14:textId="77777777" w:rsidR="001506C1" w:rsidRPr="00FA3F9C" w:rsidRDefault="001506C1" w:rsidP="006F623F">
      <w:pPr>
        <w:spacing w:after="0"/>
        <w:rPr>
          <w:rFonts w:ascii="Arial" w:hAnsi="Arial" w:cs="Arial"/>
          <w:sz w:val="24"/>
          <w:szCs w:val="24"/>
        </w:rPr>
      </w:pPr>
      <w:r w:rsidRPr="00FA3F9C">
        <w:rPr>
          <w:rFonts w:ascii="Arial" w:hAnsi="Arial" w:cs="Arial"/>
          <w:b/>
          <w:sz w:val="24"/>
          <w:szCs w:val="24"/>
          <w:u w:val="single"/>
        </w:rPr>
        <w:t xml:space="preserve">is FDA-approved as: </w:t>
      </w:r>
      <w:r w:rsidRPr="00FA3F9C">
        <w:rPr>
          <w:rFonts w:ascii="Arial" w:hAnsi="Arial" w:cs="Arial"/>
          <w:sz w:val="24"/>
          <w:szCs w:val="24"/>
        </w:rPr>
        <w:t xml:space="preserve"> long-term treatment of adult patients with Gaucher disease type 1.</w:t>
      </w:r>
    </w:p>
    <w:tbl>
      <w:tblPr>
        <w:tblStyle w:val="TableGrid"/>
        <w:tblW w:w="11028" w:type="dxa"/>
        <w:tblLook w:val="04A0" w:firstRow="1" w:lastRow="0" w:firstColumn="1" w:lastColumn="0" w:noHBand="0" w:noVBand="1"/>
      </w:tblPr>
      <w:tblGrid>
        <w:gridCol w:w="11028"/>
      </w:tblGrid>
      <w:tr w:rsidR="001506C1" w:rsidRPr="00FA3F9C" w14:paraId="53E15E43" w14:textId="77777777" w:rsidTr="00D44740">
        <w:trPr>
          <w:trHeight w:val="268"/>
        </w:trPr>
        <w:tc>
          <w:tcPr>
            <w:tcW w:w="11028" w:type="dxa"/>
            <w:shd w:val="clear" w:color="auto" w:fill="000000"/>
          </w:tcPr>
          <w:p w14:paraId="2580A908" w14:textId="77777777" w:rsidR="001506C1" w:rsidRPr="00FA3F9C" w:rsidRDefault="001506C1" w:rsidP="00571CAB">
            <w:pPr>
              <w:rPr>
                <w:rFonts w:ascii="Arial" w:hAnsi="Arial" w:cs="Arial"/>
                <w:b/>
                <w:sz w:val="24"/>
                <w:szCs w:val="24"/>
                <w:u w:val="single"/>
              </w:rPr>
            </w:pPr>
            <w:r w:rsidRPr="00FA3F9C">
              <w:rPr>
                <w:rFonts w:ascii="Arial" w:hAnsi="Arial" w:cs="Arial"/>
                <w:b/>
                <w:sz w:val="24"/>
                <w:szCs w:val="24"/>
                <w:u w:val="single"/>
              </w:rPr>
              <w:t>Criteria for new users</w:t>
            </w:r>
          </w:p>
        </w:tc>
      </w:tr>
      <w:tr w:rsidR="001506C1" w:rsidRPr="00FA3F9C" w14:paraId="3BCE5344" w14:textId="77777777" w:rsidTr="00D44740">
        <w:trPr>
          <w:trHeight w:val="253"/>
        </w:trPr>
        <w:tc>
          <w:tcPr>
            <w:tcW w:w="11028" w:type="dxa"/>
          </w:tcPr>
          <w:p w14:paraId="07EA1FB0" w14:textId="77777777" w:rsidR="001506C1" w:rsidRPr="00FA3F9C" w:rsidRDefault="001506C1" w:rsidP="001506C1">
            <w:pPr>
              <w:pStyle w:val="ListParagraph"/>
              <w:numPr>
                <w:ilvl w:val="0"/>
                <w:numId w:val="9"/>
              </w:numPr>
              <w:rPr>
                <w:rFonts w:ascii="Arial" w:hAnsi="Arial" w:cs="Arial"/>
                <w:sz w:val="24"/>
                <w:szCs w:val="24"/>
              </w:rPr>
            </w:pPr>
            <w:r w:rsidRPr="00FA3F9C">
              <w:rPr>
                <w:rFonts w:ascii="Arial" w:hAnsi="Arial" w:cs="Arial"/>
                <w:sz w:val="24"/>
                <w:szCs w:val="24"/>
              </w:rPr>
              <w:t>Patient must have a diagnosis of Gaucher’s disease Type 1. (NOT INDICATED FOR TYPES 2-4).</w:t>
            </w:r>
          </w:p>
        </w:tc>
      </w:tr>
      <w:tr w:rsidR="001506C1" w:rsidRPr="00FA3F9C" w14:paraId="142B48B2" w14:textId="77777777" w:rsidTr="00D44740">
        <w:trPr>
          <w:trHeight w:val="268"/>
        </w:trPr>
        <w:tc>
          <w:tcPr>
            <w:tcW w:w="11028" w:type="dxa"/>
          </w:tcPr>
          <w:p w14:paraId="755D379C" w14:textId="77777777" w:rsidR="001506C1" w:rsidRPr="00FA3F9C" w:rsidRDefault="001506C1" w:rsidP="001506C1">
            <w:pPr>
              <w:pStyle w:val="ListParagraph"/>
              <w:numPr>
                <w:ilvl w:val="0"/>
                <w:numId w:val="9"/>
              </w:numPr>
              <w:rPr>
                <w:rFonts w:ascii="Arial" w:hAnsi="Arial" w:cs="Arial"/>
                <w:sz w:val="24"/>
                <w:szCs w:val="24"/>
              </w:rPr>
            </w:pPr>
            <w:r w:rsidRPr="00FA3F9C">
              <w:rPr>
                <w:rFonts w:ascii="Arial" w:hAnsi="Arial" w:cs="Arial"/>
                <w:sz w:val="24"/>
                <w:szCs w:val="24"/>
              </w:rPr>
              <w:t>The patient must be age 18+</w:t>
            </w:r>
          </w:p>
        </w:tc>
      </w:tr>
      <w:tr w:rsidR="001506C1" w:rsidRPr="00FA3F9C" w14:paraId="546D0B9C" w14:textId="77777777" w:rsidTr="00906BD9">
        <w:trPr>
          <w:trHeight w:val="665"/>
        </w:trPr>
        <w:tc>
          <w:tcPr>
            <w:tcW w:w="11028" w:type="dxa"/>
          </w:tcPr>
          <w:p w14:paraId="5B90933A" w14:textId="77777777" w:rsidR="001506C1" w:rsidRPr="00FA3F9C" w:rsidRDefault="001506C1" w:rsidP="001506C1">
            <w:pPr>
              <w:pStyle w:val="ListParagraph"/>
              <w:numPr>
                <w:ilvl w:val="0"/>
                <w:numId w:val="9"/>
              </w:numPr>
              <w:rPr>
                <w:rFonts w:ascii="Arial" w:hAnsi="Arial" w:cs="Arial"/>
                <w:sz w:val="24"/>
                <w:szCs w:val="24"/>
              </w:rPr>
            </w:pPr>
            <w:r w:rsidRPr="00FA3F9C">
              <w:rPr>
                <w:rFonts w:ascii="Arial" w:hAnsi="Arial" w:cs="Arial"/>
                <w:sz w:val="24"/>
                <w:szCs w:val="24"/>
              </w:rPr>
              <w:t>The patient must have an FDA-cleared test determining their CYP2D6 metabolism status. Dosing for extensive (EM), intermediate (IM), and poor metabolizers (PM) below. CERDELGA NOT INDICATED FOR ULTRA RAPID METABOLIZERS.</w:t>
            </w:r>
          </w:p>
        </w:tc>
      </w:tr>
      <w:tr w:rsidR="001506C1" w:rsidRPr="00FA3F9C" w14:paraId="58266250" w14:textId="77777777" w:rsidTr="00AA79EB">
        <w:trPr>
          <w:trHeight w:val="341"/>
        </w:trPr>
        <w:tc>
          <w:tcPr>
            <w:tcW w:w="11028" w:type="dxa"/>
          </w:tcPr>
          <w:p w14:paraId="76633CF4" w14:textId="77777777" w:rsidR="001506C1" w:rsidRPr="00FA3F9C" w:rsidRDefault="001506C1" w:rsidP="001506C1">
            <w:pPr>
              <w:pStyle w:val="ListParagraph"/>
              <w:numPr>
                <w:ilvl w:val="0"/>
                <w:numId w:val="9"/>
              </w:numPr>
              <w:rPr>
                <w:rFonts w:ascii="Arial" w:hAnsi="Arial" w:cs="Arial"/>
                <w:sz w:val="24"/>
                <w:szCs w:val="24"/>
              </w:rPr>
            </w:pPr>
            <w:r w:rsidRPr="00FA3F9C">
              <w:rPr>
                <w:rFonts w:ascii="Arial" w:hAnsi="Arial" w:cs="Arial"/>
                <w:sz w:val="24"/>
                <w:szCs w:val="24"/>
              </w:rPr>
              <w:t>The patient must NOT be receiving concurrent enzyme replacement therapy (no data for combination use).</w:t>
            </w:r>
          </w:p>
        </w:tc>
      </w:tr>
      <w:tr w:rsidR="001506C1" w:rsidRPr="00FA3F9C" w14:paraId="4DBB1C7C" w14:textId="77777777" w:rsidTr="00057590">
        <w:trPr>
          <w:trHeight w:val="440"/>
        </w:trPr>
        <w:tc>
          <w:tcPr>
            <w:tcW w:w="11028" w:type="dxa"/>
          </w:tcPr>
          <w:p w14:paraId="539672B3" w14:textId="77777777" w:rsidR="001506C1" w:rsidRPr="00FA3F9C" w:rsidRDefault="001506C1" w:rsidP="00057590">
            <w:pPr>
              <w:rPr>
                <w:rFonts w:ascii="Arial" w:hAnsi="Arial" w:cs="Arial"/>
                <w:sz w:val="24"/>
                <w:szCs w:val="24"/>
              </w:rPr>
            </w:pPr>
            <w:r w:rsidRPr="00FA3F9C">
              <w:rPr>
                <w:rFonts w:ascii="Arial" w:hAnsi="Arial" w:cs="Arial"/>
                <w:sz w:val="24"/>
                <w:szCs w:val="24"/>
              </w:rPr>
              <w:t>If criteria 1-4 fulfilled, approve eliglustat (depending on CYP2D6 metabolism status) for 1 year.</w:t>
            </w:r>
          </w:p>
        </w:tc>
      </w:tr>
    </w:tbl>
    <w:p w14:paraId="1E40AAA0" w14:textId="77777777" w:rsidR="001506C1" w:rsidRPr="00FA3F9C" w:rsidRDefault="001506C1" w:rsidP="006F623F">
      <w:pPr>
        <w:spacing w:after="0"/>
        <w:rPr>
          <w:rFonts w:ascii="Arial" w:hAnsi="Arial" w:cs="Arial"/>
          <w:b/>
          <w:sz w:val="24"/>
          <w:szCs w:val="24"/>
          <w:u w:val="single"/>
        </w:rPr>
      </w:pPr>
    </w:p>
    <w:p w14:paraId="31DE6CFB" w14:textId="77777777" w:rsidR="001506C1" w:rsidRPr="00FA3F9C" w:rsidRDefault="001506C1" w:rsidP="00906BD9">
      <w:pPr>
        <w:spacing w:after="0"/>
        <w:rPr>
          <w:rFonts w:ascii="Arial" w:hAnsi="Arial" w:cs="Arial"/>
          <w:sz w:val="24"/>
          <w:szCs w:val="24"/>
        </w:rPr>
      </w:pPr>
      <w:r w:rsidRPr="00FA3F9C">
        <w:rPr>
          <w:rFonts w:ascii="Arial" w:hAnsi="Arial" w:cs="Arial"/>
          <w:sz w:val="24"/>
          <w:szCs w:val="24"/>
        </w:rPr>
        <w:t xml:space="preserve">Dosing: </w:t>
      </w:r>
      <w:r w:rsidRPr="00FA3F9C">
        <w:rPr>
          <w:rFonts w:ascii="Arial" w:hAnsi="Arial" w:cs="Arial"/>
          <w:b/>
          <w:sz w:val="24"/>
          <w:szCs w:val="24"/>
        </w:rPr>
        <w:t>Based off CYP2D6 metabolism. Must have metabolism determined from FDA-cleared test for approval.</w:t>
      </w:r>
    </w:p>
    <w:p w14:paraId="3D079D25" w14:textId="77777777" w:rsidR="001506C1" w:rsidRPr="00FA3F9C" w:rsidRDefault="001506C1" w:rsidP="001506C1">
      <w:pPr>
        <w:pStyle w:val="ListParagraph"/>
        <w:numPr>
          <w:ilvl w:val="0"/>
          <w:numId w:val="155"/>
        </w:numPr>
        <w:spacing w:after="0" w:line="276" w:lineRule="auto"/>
        <w:rPr>
          <w:rFonts w:ascii="Arial" w:hAnsi="Arial" w:cs="Arial"/>
          <w:sz w:val="24"/>
          <w:szCs w:val="24"/>
        </w:rPr>
      </w:pPr>
      <w:r w:rsidRPr="00FA3F9C">
        <w:rPr>
          <w:rFonts w:ascii="Arial" w:hAnsi="Arial" w:cs="Arial"/>
          <w:sz w:val="24"/>
          <w:szCs w:val="24"/>
        </w:rPr>
        <w:t>CYP2D6 IM or EM – 84 mg BID</w:t>
      </w:r>
    </w:p>
    <w:p w14:paraId="6824649D" w14:textId="77777777" w:rsidR="001506C1" w:rsidRPr="00FA3F9C" w:rsidRDefault="001506C1" w:rsidP="001506C1">
      <w:pPr>
        <w:pStyle w:val="ListParagraph"/>
        <w:numPr>
          <w:ilvl w:val="0"/>
          <w:numId w:val="155"/>
        </w:numPr>
        <w:spacing w:after="0" w:line="276" w:lineRule="auto"/>
        <w:rPr>
          <w:rFonts w:ascii="Arial" w:hAnsi="Arial" w:cs="Arial"/>
          <w:sz w:val="24"/>
          <w:szCs w:val="24"/>
        </w:rPr>
      </w:pPr>
      <w:r w:rsidRPr="00FA3F9C">
        <w:rPr>
          <w:rFonts w:ascii="Arial" w:hAnsi="Arial" w:cs="Arial"/>
          <w:sz w:val="24"/>
          <w:szCs w:val="24"/>
        </w:rPr>
        <w:t>CYP2D6 PM – 84 mg daily</w:t>
      </w:r>
    </w:p>
    <w:p w14:paraId="5734C283" w14:textId="77777777" w:rsidR="001506C1" w:rsidRPr="00FA3F9C" w:rsidRDefault="001506C1" w:rsidP="001506C1">
      <w:pPr>
        <w:pStyle w:val="ListParagraph"/>
        <w:numPr>
          <w:ilvl w:val="0"/>
          <w:numId w:val="155"/>
        </w:numPr>
        <w:spacing w:after="0" w:line="276" w:lineRule="auto"/>
        <w:rPr>
          <w:rFonts w:ascii="Arial" w:hAnsi="Arial" w:cs="Arial"/>
          <w:sz w:val="24"/>
          <w:szCs w:val="24"/>
        </w:rPr>
      </w:pPr>
      <w:r w:rsidRPr="00FA3F9C">
        <w:rPr>
          <w:rFonts w:ascii="Arial" w:hAnsi="Arial" w:cs="Arial"/>
          <w:sz w:val="24"/>
          <w:szCs w:val="24"/>
        </w:rPr>
        <w:t>CYP2D6 ULTRA RAPID METABOLIZERS – not indicated (</w:t>
      </w:r>
      <w:proofErr w:type="gramStart"/>
      <w:r w:rsidRPr="00FA3F9C">
        <w:rPr>
          <w:rFonts w:ascii="Arial" w:hAnsi="Arial" w:cs="Arial"/>
          <w:sz w:val="24"/>
          <w:szCs w:val="24"/>
        </w:rPr>
        <w:t>won’t</w:t>
      </w:r>
      <w:proofErr w:type="gramEnd"/>
      <w:r w:rsidRPr="00FA3F9C">
        <w:rPr>
          <w:rFonts w:ascii="Arial" w:hAnsi="Arial" w:cs="Arial"/>
          <w:sz w:val="24"/>
          <w:szCs w:val="24"/>
        </w:rPr>
        <w:t xml:space="preserve"> achieve adequate concentrations)</w:t>
      </w:r>
    </w:p>
    <w:p w14:paraId="1E16EF83" w14:textId="77777777" w:rsidR="001506C1" w:rsidRPr="00FA3F9C" w:rsidRDefault="001506C1" w:rsidP="006F623F">
      <w:pPr>
        <w:spacing w:after="0"/>
        <w:rPr>
          <w:rFonts w:ascii="Arial" w:hAnsi="Arial" w:cs="Arial"/>
          <w:sz w:val="24"/>
          <w:szCs w:val="24"/>
        </w:rPr>
      </w:pPr>
    </w:p>
    <w:p w14:paraId="70EF38D9"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284"/>
        <w:gridCol w:w="7558"/>
        <w:gridCol w:w="2065"/>
      </w:tblGrid>
      <w:tr w:rsidR="001506C1" w:rsidRPr="00FA3F9C" w14:paraId="589C2203" w14:textId="77777777" w:rsidTr="00721899">
        <w:tc>
          <w:tcPr>
            <w:tcW w:w="1167" w:type="dxa"/>
          </w:tcPr>
          <w:p w14:paraId="2464C8E1" w14:textId="77777777" w:rsidR="001506C1" w:rsidRPr="00FA3F9C" w:rsidRDefault="001506C1" w:rsidP="006F623F">
            <w:pPr>
              <w:rPr>
                <w:rFonts w:ascii="Arial" w:hAnsi="Arial" w:cs="Arial"/>
                <w:sz w:val="24"/>
                <w:szCs w:val="24"/>
              </w:rPr>
            </w:pPr>
            <w:r w:rsidRPr="00FA3F9C">
              <w:rPr>
                <w:rFonts w:ascii="Arial" w:hAnsi="Arial" w:cs="Arial"/>
                <w:sz w:val="24"/>
                <w:szCs w:val="24"/>
              </w:rPr>
              <w:t>Date</w:t>
            </w:r>
          </w:p>
        </w:tc>
        <w:tc>
          <w:tcPr>
            <w:tcW w:w="7558" w:type="dxa"/>
          </w:tcPr>
          <w:p w14:paraId="497B36E1" w14:textId="77777777" w:rsidR="001506C1" w:rsidRPr="00FA3F9C" w:rsidRDefault="001506C1" w:rsidP="006F623F">
            <w:pPr>
              <w:rPr>
                <w:rFonts w:ascii="Arial" w:hAnsi="Arial" w:cs="Arial"/>
                <w:sz w:val="24"/>
                <w:szCs w:val="24"/>
              </w:rPr>
            </w:pPr>
            <w:r w:rsidRPr="00FA3F9C">
              <w:rPr>
                <w:rFonts w:ascii="Arial" w:hAnsi="Arial" w:cs="Arial"/>
                <w:sz w:val="24"/>
                <w:szCs w:val="24"/>
              </w:rPr>
              <w:t>What changed</w:t>
            </w:r>
          </w:p>
        </w:tc>
        <w:tc>
          <w:tcPr>
            <w:tcW w:w="2065" w:type="dxa"/>
          </w:tcPr>
          <w:p w14:paraId="16F53919" w14:textId="77777777" w:rsidR="001506C1" w:rsidRPr="00FA3F9C" w:rsidRDefault="001506C1" w:rsidP="006F623F">
            <w:pPr>
              <w:rPr>
                <w:rFonts w:ascii="Arial" w:hAnsi="Arial" w:cs="Arial"/>
                <w:sz w:val="24"/>
                <w:szCs w:val="24"/>
              </w:rPr>
            </w:pPr>
            <w:r w:rsidRPr="00FA3F9C">
              <w:rPr>
                <w:rFonts w:ascii="Arial" w:hAnsi="Arial" w:cs="Arial"/>
                <w:sz w:val="24"/>
                <w:szCs w:val="24"/>
              </w:rPr>
              <w:t>Pharmacist’s initials</w:t>
            </w:r>
          </w:p>
        </w:tc>
      </w:tr>
      <w:tr w:rsidR="001506C1" w:rsidRPr="00FA3F9C" w14:paraId="029FC203" w14:textId="77777777" w:rsidTr="00721899">
        <w:tc>
          <w:tcPr>
            <w:tcW w:w="1167" w:type="dxa"/>
          </w:tcPr>
          <w:p w14:paraId="78D1B430" w14:textId="77777777" w:rsidR="001506C1" w:rsidRPr="00FA3F9C" w:rsidRDefault="001506C1" w:rsidP="006F623F">
            <w:pPr>
              <w:rPr>
                <w:rFonts w:ascii="Arial" w:hAnsi="Arial" w:cs="Arial"/>
                <w:sz w:val="24"/>
                <w:szCs w:val="24"/>
              </w:rPr>
            </w:pPr>
            <w:r w:rsidRPr="00FA3F9C">
              <w:rPr>
                <w:rFonts w:ascii="Arial" w:hAnsi="Arial" w:cs="Arial"/>
                <w:sz w:val="24"/>
                <w:szCs w:val="24"/>
              </w:rPr>
              <w:t>1/19/18</w:t>
            </w:r>
          </w:p>
        </w:tc>
        <w:tc>
          <w:tcPr>
            <w:tcW w:w="7558" w:type="dxa"/>
          </w:tcPr>
          <w:p w14:paraId="1FFA933F" w14:textId="77777777" w:rsidR="001506C1" w:rsidRPr="00FA3F9C" w:rsidRDefault="001506C1" w:rsidP="006F623F">
            <w:pPr>
              <w:rPr>
                <w:rFonts w:ascii="Arial" w:hAnsi="Arial" w:cs="Arial"/>
                <w:sz w:val="24"/>
                <w:szCs w:val="24"/>
              </w:rPr>
            </w:pPr>
            <w:r w:rsidRPr="00FA3F9C">
              <w:rPr>
                <w:rFonts w:ascii="Arial" w:hAnsi="Arial" w:cs="Arial"/>
                <w:sz w:val="24"/>
                <w:szCs w:val="24"/>
              </w:rPr>
              <w:t>I wrote the criteria</w:t>
            </w:r>
          </w:p>
        </w:tc>
        <w:tc>
          <w:tcPr>
            <w:tcW w:w="2065" w:type="dxa"/>
          </w:tcPr>
          <w:p w14:paraId="6AEF8A76" w14:textId="77777777" w:rsidR="001506C1" w:rsidRPr="00FA3F9C" w:rsidRDefault="001506C1" w:rsidP="006F623F">
            <w:pPr>
              <w:rPr>
                <w:rFonts w:ascii="Arial" w:hAnsi="Arial" w:cs="Arial"/>
                <w:sz w:val="24"/>
                <w:szCs w:val="24"/>
              </w:rPr>
            </w:pPr>
            <w:r w:rsidRPr="00FA3F9C">
              <w:rPr>
                <w:rFonts w:ascii="Arial" w:hAnsi="Arial" w:cs="Arial"/>
                <w:sz w:val="24"/>
                <w:szCs w:val="24"/>
              </w:rPr>
              <w:t>JK</w:t>
            </w:r>
          </w:p>
        </w:tc>
      </w:tr>
      <w:tr w:rsidR="001506C1" w:rsidRPr="00FA3F9C" w14:paraId="42EE3BED" w14:textId="77777777" w:rsidTr="00721899">
        <w:tc>
          <w:tcPr>
            <w:tcW w:w="1167" w:type="dxa"/>
          </w:tcPr>
          <w:p w14:paraId="45E2AB5B" w14:textId="77777777" w:rsidR="001506C1" w:rsidRPr="00FA3F9C" w:rsidRDefault="001506C1" w:rsidP="00721899">
            <w:pPr>
              <w:rPr>
                <w:rFonts w:ascii="Arial" w:hAnsi="Arial" w:cs="Arial"/>
                <w:sz w:val="24"/>
                <w:szCs w:val="24"/>
              </w:rPr>
            </w:pPr>
            <w:r w:rsidRPr="00FA3F9C">
              <w:rPr>
                <w:rFonts w:ascii="Arial" w:hAnsi="Arial" w:cs="Arial"/>
                <w:sz w:val="24"/>
                <w:szCs w:val="24"/>
              </w:rPr>
              <w:t>2/6/18</w:t>
            </w:r>
          </w:p>
        </w:tc>
        <w:tc>
          <w:tcPr>
            <w:tcW w:w="7558" w:type="dxa"/>
          </w:tcPr>
          <w:p w14:paraId="23D499BB" w14:textId="579CD056" w:rsidR="001506C1" w:rsidRPr="00FA3F9C" w:rsidRDefault="001506C1" w:rsidP="00721899">
            <w:pPr>
              <w:rPr>
                <w:rFonts w:ascii="Arial" w:hAnsi="Arial" w:cs="Arial"/>
                <w:sz w:val="24"/>
                <w:szCs w:val="24"/>
              </w:rPr>
            </w:pPr>
            <w:r w:rsidRPr="00FA3F9C">
              <w:rPr>
                <w:rFonts w:ascii="Arial" w:hAnsi="Arial" w:cs="Arial"/>
                <w:sz w:val="24"/>
                <w:szCs w:val="24"/>
              </w:rPr>
              <w:t xml:space="preserve">I reviewed the criteria written by </w:t>
            </w:r>
            <w:r w:rsidR="005C142D" w:rsidRPr="00FA3F9C">
              <w:rPr>
                <w:rFonts w:ascii="Arial" w:hAnsi="Arial" w:cs="Arial"/>
                <w:sz w:val="24"/>
                <w:szCs w:val="24"/>
              </w:rPr>
              <w:t>JK</w:t>
            </w:r>
            <w:r w:rsidRPr="00FA3F9C">
              <w:rPr>
                <w:rFonts w:ascii="Arial" w:hAnsi="Arial" w:cs="Arial"/>
                <w:sz w:val="24"/>
                <w:szCs w:val="24"/>
              </w:rPr>
              <w:t>.</w:t>
            </w:r>
          </w:p>
        </w:tc>
        <w:tc>
          <w:tcPr>
            <w:tcW w:w="2065" w:type="dxa"/>
          </w:tcPr>
          <w:p w14:paraId="2E1A52FB" w14:textId="77777777" w:rsidR="001506C1" w:rsidRPr="00FA3F9C" w:rsidRDefault="001506C1" w:rsidP="00721899">
            <w:pPr>
              <w:rPr>
                <w:rFonts w:ascii="Arial" w:hAnsi="Arial" w:cs="Arial"/>
                <w:sz w:val="24"/>
                <w:szCs w:val="24"/>
              </w:rPr>
            </w:pPr>
            <w:r w:rsidRPr="00FA3F9C">
              <w:rPr>
                <w:rFonts w:ascii="Arial" w:hAnsi="Arial" w:cs="Arial"/>
                <w:sz w:val="24"/>
                <w:szCs w:val="24"/>
              </w:rPr>
              <w:t>JJ</w:t>
            </w:r>
          </w:p>
        </w:tc>
      </w:tr>
      <w:tr w:rsidR="001506C1" w:rsidRPr="00FA3F9C" w14:paraId="12079982" w14:textId="77777777" w:rsidTr="00721899">
        <w:tc>
          <w:tcPr>
            <w:tcW w:w="1167" w:type="dxa"/>
          </w:tcPr>
          <w:p w14:paraId="487DDDA5" w14:textId="77777777" w:rsidR="001506C1" w:rsidRPr="00FA3F9C" w:rsidRDefault="001506C1" w:rsidP="00721899">
            <w:pPr>
              <w:rPr>
                <w:rFonts w:ascii="Arial" w:hAnsi="Arial" w:cs="Arial"/>
                <w:sz w:val="24"/>
                <w:szCs w:val="24"/>
              </w:rPr>
            </w:pPr>
            <w:r w:rsidRPr="00FA3F9C">
              <w:rPr>
                <w:rFonts w:ascii="Arial" w:hAnsi="Arial" w:cs="Arial"/>
                <w:sz w:val="24"/>
                <w:szCs w:val="24"/>
              </w:rPr>
              <w:t>6/20/18</w:t>
            </w:r>
          </w:p>
        </w:tc>
        <w:tc>
          <w:tcPr>
            <w:tcW w:w="7558" w:type="dxa"/>
          </w:tcPr>
          <w:p w14:paraId="1FACE806" w14:textId="77777777" w:rsidR="001506C1" w:rsidRPr="00FA3F9C" w:rsidRDefault="001506C1" w:rsidP="00721899">
            <w:pPr>
              <w:rPr>
                <w:rFonts w:ascii="Arial" w:hAnsi="Arial" w:cs="Arial"/>
                <w:sz w:val="24"/>
                <w:szCs w:val="24"/>
              </w:rPr>
            </w:pPr>
            <w:r w:rsidRPr="00FA3F9C">
              <w:rPr>
                <w:rFonts w:ascii="Arial" w:hAnsi="Arial" w:cs="Arial"/>
                <w:sz w:val="24"/>
                <w:szCs w:val="24"/>
              </w:rPr>
              <w:t>I added the criterium to not allow combination enzyme replacement therapy (ERT)[</w:t>
            </w:r>
            <w:proofErr w:type="spellStart"/>
            <w:r w:rsidRPr="00FA3F9C">
              <w:rPr>
                <w:rFonts w:ascii="Arial" w:hAnsi="Arial" w:cs="Arial"/>
                <w:sz w:val="24"/>
                <w:szCs w:val="24"/>
              </w:rPr>
              <w:t>taliglucerase</w:t>
            </w:r>
            <w:proofErr w:type="spellEnd"/>
            <w:r w:rsidRPr="00FA3F9C">
              <w:rPr>
                <w:rFonts w:ascii="Arial" w:hAnsi="Arial" w:cs="Arial"/>
                <w:sz w:val="24"/>
                <w:szCs w:val="24"/>
              </w:rPr>
              <w:t xml:space="preserve">, </w:t>
            </w:r>
            <w:proofErr w:type="spellStart"/>
            <w:r w:rsidRPr="00FA3F9C">
              <w:rPr>
                <w:rFonts w:ascii="Arial" w:hAnsi="Arial" w:cs="Arial"/>
                <w:sz w:val="24"/>
                <w:szCs w:val="24"/>
              </w:rPr>
              <w:t>velaglucerase</w:t>
            </w:r>
            <w:proofErr w:type="spellEnd"/>
            <w:r w:rsidRPr="00FA3F9C">
              <w:rPr>
                <w:rFonts w:ascii="Arial" w:hAnsi="Arial" w:cs="Arial"/>
                <w:sz w:val="24"/>
                <w:szCs w:val="24"/>
              </w:rPr>
              <w:t xml:space="preserve">, </w:t>
            </w:r>
            <w:proofErr w:type="spellStart"/>
            <w:r w:rsidRPr="00FA3F9C">
              <w:rPr>
                <w:rFonts w:ascii="Arial" w:hAnsi="Arial" w:cs="Arial"/>
                <w:sz w:val="24"/>
                <w:szCs w:val="24"/>
              </w:rPr>
              <w:t>imiglucerase</w:t>
            </w:r>
            <w:proofErr w:type="spellEnd"/>
            <w:r w:rsidRPr="00FA3F9C">
              <w:rPr>
                <w:rFonts w:ascii="Arial" w:hAnsi="Arial" w:cs="Arial"/>
                <w:sz w:val="24"/>
                <w:szCs w:val="24"/>
              </w:rPr>
              <w:t xml:space="preserve">] WITH enzyme substrate reduction therapy [eliglustat or </w:t>
            </w:r>
            <w:proofErr w:type="spellStart"/>
            <w:r w:rsidRPr="00FA3F9C">
              <w:rPr>
                <w:rFonts w:ascii="Arial" w:hAnsi="Arial" w:cs="Arial"/>
                <w:sz w:val="24"/>
                <w:szCs w:val="24"/>
              </w:rPr>
              <w:t>miglustat</w:t>
            </w:r>
            <w:proofErr w:type="spellEnd"/>
            <w:r w:rsidRPr="00FA3F9C">
              <w:rPr>
                <w:rFonts w:ascii="Arial" w:hAnsi="Arial" w:cs="Arial"/>
                <w:sz w:val="24"/>
                <w:szCs w:val="24"/>
              </w:rPr>
              <w:t>].</w:t>
            </w:r>
          </w:p>
        </w:tc>
        <w:tc>
          <w:tcPr>
            <w:tcW w:w="2065" w:type="dxa"/>
          </w:tcPr>
          <w:p w14:paraId="474DE2EE" w14:textId="77777777" w:rsidR="001506C1" w:rsidRPr="00FA3F9C" w:rsidRDefault="001506C1" w:rsidP="00721899">
            <w:pPr>
              <w:rPr>
                <w:rFonts w:ascii="Arial" w:hAnsi="Arial" w:cs="Arial"/>
                <w:sz w:val="24"/>
                <w:szCs w:val="24"/>
              </w:rPr>
            </w:pPr>
            <w:r w:rsidRPr="00FA3F9C">
              <w:rPr>
                <w:rFonts w:ascii="Arial" w:hAnsi="Arial" w:cs="Arial"/>
                <w:sz w:val="24"/>
                <w:szCs w:val="24"/>
              </w:rPr>
              <w:t>JJ</w:t>
            </w:r>
          </w:p>
        </w:tc>
      </w:tr>
      <w:tr w:rsidR="001506C1" w:rsidRPr="00FA3F9C" w14:paraId="6927AEF1" w14:textId="77777777" w:rsidTr="00721899">
        <w:tc>
          <w:tcPr>
            <w:tcW w:w="1167" w:type="dxa"/>
          </w:tcPr>
          <w:p w14:paraId="4898C9EC" w14:textId="77777777" w:rsidR="001506C1" w:rsidRPr="00FA3F9C" w:rsidRDefault="001506C1" w:rsidP="00721899">
            <w:pPr>
              <w:rPr>
                <w:rFonts w:ascii="Arial" w:hAnsi="Arial" w:cs="Arial"/>
                <w:sz w:val="24"/>
                <w:szCs w:val="24"/>
              </w:rPr>
            </w:pPr>
            <w:r w:rsidRPr="00FA3F9C">
              <w:rPr>
                <w:rFonts w:ascii="Arial" w:hAnsi="Arial" w:cs="Arial"/>
                <w:sz w:val="24"/>
                <w:szCs w:val="24"/>
              </w:rPr>
              <w:t>7/16/2020</w:t>
            </w:r>
          </w:p>
        </w:tc>
        <w:tc>
          <w:tcPr>
            <w:tcW w:w="7558" w:type="dxa"/>
          </w:tcPr>
          <w:p w14:paraId="28873755" w14:textId="77777777" w:rsidR="001506C1" w:rsidRPr="00FA3F9C" w:rsidRDefault="001506C1" w:rsidP="00721899">
            <w:pPr>
              <w:rPr>
                <w:rFonts w:ascii="Arial" w:hAnsi="Arial" w:cs="Arial"/>
                <w:sz w:val="24"/>
                <w:szCs w:val="24"/>
              </w:rPr>
            </w:pPr>
            <w:r w:rsidRPr="00FA3F9C">
              <w:rPr>
                <w:rFonts w:ascii="Arial" w:hAnsi="Arial" w:cs="Arial"/>
                <w:sz w:val="24"/>
                <w:szCs w:val="24"/>
              </w:rPr>
              <w:t>Reviewed. No changes.</w:t>
            </w:r>
          </w:p>
        </w:tc>
        <w:tc>
          <w:tcPr>
            <w:tcW w:w="2065" w:type="dxa"/>
          </w:tcPr>
          <w:p w14:paraId="66626E20" w14:textId="77777777" w:rsidR="001506C1" w:rsidRPr="00FA3F9C" w:rsidRDefault="001506C1" w:rsidP="00721899">
            <w:pPr>
              <w:rPr>
                <w:rFonts w:ascii="Arial" w:hAnsi="Arial" w:cs="Arial"/>
                <w:sz w:val="24"/>
                <w:szCs w:val="24"/>
              </w:rPr>
            </w:pPr>
            <w:r w:rsidRPr="00FA3F9C">
              <w:rPr>
                <w:rFonts w:ascii="Arial" w:hAnsi="Arial" w:cs="Arial"/>
                <w:sz w:val="24"/>
                <w:szCs w:val="24"/>
              </w:rPr>
              <w:t>JJ</w:t>
            </w:r>
          </w:p>
        </w:tc>
      </w:tr>
      <w:tr w:rsidR="001506C1" w:rsidRPr="00FA3F9C" w14:paraId="76F1D7C9" w14:textId="77777777" w:rsidTr="00721899">
        <w:tc>
          <w:tcPr>
            <w:tcW w:w="1167" w:type="dxa"/>
          </w:tcPr>
          <w:p w14:paraId="326F5447" w14:textId="77777777" w:rsidR="001506C1" w:rsidRPr="00FA3F9C" w:rsidRDefault="001506C1" w:rsidP="006F623F">
            <w:pPr>
              <w:rPr>
                <w:rFonts w:ascii="Arial" w:hAnsi="Arial" w:cs="Arial"/>
                <w:sz w:val="24"/>
                <w:szCs w:val="24"/>
              </w:rPr>
            </w:pPr>
            <w:r w:rsidRPr="00FA3F9C">
              <w:rPr>
                <w:rFonts w:ascii="Arial" w:hAnsi="Arial" w:cs="Arial"/>
                <w:sz w:val="24"/>
                <w:szCs w:val="24"/>
              </w:rPr>
              <w:t>4/12/21</w:t>
            </w:r>
          </w:p>
        </w:tc>
        <w:tc>
          <w:tcPr>
            <w:tcW w:w="7558" w:type="dxa"/>
          </w:tcPr>
          <w:p w14:paraId="740103E1" w14:textId="77777777" w:rsidR="001506C1" w:rsidRPr="00FA3F9C" w:rsidRDefault="001506C1" w:rsidP="006F623F">
            <w:pPr>
              <w:rPr>
                <w:rFonts w:ascii="Arial" w:hAnsi="Arial" w:cs="Arial"/>
                <w:sz w:val="24"/>
                <w:szCs w:val="24"/>
              </w:rPr>
            </w:pPr>
            <w:r w:rsidRPr="00FA3F9C">
              <w:rPr>
                <w:rFonts w:ascii="Arial" w:hAnsi="Arial" w:cs="Arial"/>
                <w:sz w:val="24"/>
                <w:szCs w:val="24"/>
              </w:rPr>
              <w:t>Applied EBRx criteria to UAS Plan.</w:t>
            </w:r>
          </w:p>
        </w:tc>
        <w:tc>
          <w:tcPr>
            <w:tcW w:w="2065" w:type="dxa"/>
          </w:tcPr>
          <w:p w14:paraId="65FEB1A4" w14:textId="77777777" w:rsidR="001506C1" w:rsidRPr="00FA3F9C" w:rsidRDefault="001506C1" w:rsidP="006F623F">
            <w:pPr>
              <w:rPr>
                <w:rFonts w:ascii="Arial" w:hAnsi="Arial" w:cs="Arial"/>
                <w:sz w:val="24"/>
                <w:szCs w:val="24"/>
              </w:rPr>
            </w:pPr>
            <w:r w:rsidRPr="00FA3F9C">
              <w:rPr>
                <w:rFonts w:ascii="Arial" w:hAnsi="Arial" w:cs="Arial"/>
                <w:sz w:val="24"/>
                <w:szCs w:val="24"/>
              </w:rPr>
              <w:t>JJ</w:t>
            </w:r>
          </w:p>
        </w:tc>
      </w:tr>
    </w:tbl>
    <w:p w14:paraId="36F039D9" w14:textId="77777777" w:rsidR="001506C1" w:rsidRPr="00FA3F9C" w:rsidRDefault="001506C1" w:rsidP="006F623F">
      <w:pPr>
        <w:spacing w:after="0"/>
        <w:rPr>
          <w:rFonts w:ascii="Arial" w:hAnsi="Arial" w:cs="Arial"/>
          <w:sz w:val="24"/>
          <w:szCs w:val="24"/>
        </w:rPr>
      </w:pPr>
    </w:p>
    <w:p w14:paraId="38E80F2D" w14:textId="77777777" w:rsidR="001506C1" w:rsidRPr="00FA3F9C" w:rsidRDefault="001506C1" w:rsidP="006F623F">
      <w:pPr>
        <w:spacing w:after="0"/>
        <w:rPr>
          <w:rFonts w:ascii="Arial" w:hAnsi="Arial" w:cs="Arial"/>
          <w:sz w:val="24"/>
          <w:szCs w:val="24"/>
        </w:rPr>
      </w:pPr>
    </w:p>
    <w:p w14:paraId="399B06EB"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Ref:</w:t>
      </w:r>
    </w:p>
    <w:p w14:paraId="0B65297C" w14:textId="77777777" w:rsidR="001506C1" w:rsidRPr="00FA3F9C" w:rsidRDefault="001506C1" w:rsidP="001506C1">
      <w:pPr>
        <w:pStyle w:val="ListParagraph"/>
        <w:numPr>
          <w:ilvl w:val="0"/>
          <w:numId w:val="156"/>
        </w:numPr>
        <w:spacing w:after="0" w:line="276" w:lineRule="auto"/>
        <w:rPr>
          <w:rFonts w:ascii="Arial" w:hAnsi="Arial" w:cs="Arial"/>
          <w:sz w:val="24"/>
          <w:szCs w:val="24"/>
        </w:rPr>
      </w:pPr>
      <w:proofErr w:type="spellStart"/>
      <w:r w:rsidRPr="00FA3F9C">
        <w:rPr>
          <w:rFonts w:ascii="Arial" w:hAnsi="Arial" w:cs="Arial"/>
          <w:color w:val="222222"/>
          <w:sz w:val="24"/>
          <w:szCs w:val="24"/>
          <w:shd w:val="clear" w:color="auto" w:fill="FFFFFF"/>
        </w:rPr>
        <w:t>Cerdelga</w:t>
      </w:r>
      <w:proofErr w:type="spellEnd"/>
      <w:r w:rsidRPr="00FA3F9C">
        <w:rPr>
          <w:rFonts w:ascii="Arial" w:hAnsi="Arial" w:cs="Arial"/>
          <w:color w:val="222222"/>
          <w:sz w:val="24"/>
          <w:szCs w:val="24"/>
          <w:shd w:val="clear" w:color="auto" w:fill="FFFFFF"/>
        </w:rPr>
        <w:t xml:space="preserve"> package insert accessed 1/19/18</w:t>
      </w:r>
    </w:p>
    <w:p w14:paraId="42F531CB" w14:textId="77777777" w:rsidR="001506C1" w:rsidRPr="00FA3F9C" w:rsidRDefault="001506C1" w:rsidP="001506C1">
      <w:pPr>
        <w:pStyle w:val="ListParagraph"/>
        <w:numPr>
          <w:ilvl w:val="0"/>
          <w:numId w:val="156"/>
        </w:numPr>
        <w:spacing w:after="0"/>
        <w:rPr>
          <w:rFonts w:ascii="Arial" w:hAnsi="Arial" w:cs="Arial"/>
          <w:b/>
          <w:sz w:val="24"/>
          <w:szCs w:val="24"/>
        </w:rPr>
      </w:pPr>
      <w:r w:rsidRPr="00FA3F9C">
        <w:rPr>
          <w:rFonts w:ascii="Arial" w:hAnsi="Arial" w:cs="Arial"/>
          <w:b/>
          <w:sz w:val="24"/>
          <w:szCs w:val="24"/>
        </w:rPr>
        <w:t>Improvement in hematological, visceral, and skeletal manifestations of Gaucher disease type 1 with oral eliglustat tartrate (Genz-112638) treatment: 2-year results of a phase 2 study</w:t>
      </w:r>
      <w:r w:rsidRPr="00FA3F9C">
        <w:rPr>
          <w:rFonts w:ascii="Arial" w:hAnsi="Arial" w:cs="Arial"/>
          <w:sz w:val="24"/>
          <w:szCs w:val="24"/>
        </w:rPr>
        <w:t xml:space="preserve"> Blood. 2011 May 19;117(20):5551. PMID: 20713962.</w:t>
      </w:r>
    </w:p>
    <w:p w14:paraId="538417FB" w14:textId="77777777" w:rsidR="001506C1" w:rsidRPr="00FA3F9C" w:rsidRDefault="001506C1" w:rsidP="001506C1">
      <w:pPr>
        <w:pStyle w:val="ListParagraph"/>
        <w:numPr>
          <w:ilvl w:val="0"/>
          <w:numId w:val="156"/>
        </w:numPr>
        <w:spacing w:after="0" w:line="276" w:lineRule="auto"/>
        <w:rPr>
          <w:rFonts w:ascii="Arial" w:hAnsi="Arial" w:cs="Arial"/>
          <w:sz w:val="24"/>
          <w:szCs w:val="24"/>
        </w:rPr>
      </w:pPr>
      <w:r w:rsidRPr="00FA3F9C">
        <w:rPr>
          <w:rFonts w:ascii="Arial" w:hAnsi="Arial" w:cs="Arial"/>
          <w:sz w:val="24"/>
          <w:szCs w:val="24"/>
          <w:shd w:val="clear" w:color="auto" w:fill="FFFFFF"/>
        </w:rPr>
        <w:t>The 52-week EDGE trial (</w:t>
      </w:r>
      <w:hyperlink r:id="rId148" w:history="1">
        <w:r w:rsidRPr="00FA3F9C">
          <w:rPr>
            <w:rStyle w:val="Hyperlink"/>
            <w:rFonts w:ascii="Arial" w:hAnsi="Arial" w:cs="Arial"/>
            <w:sz w:val="24"/>
            <w:szCs w:val="24"/>
            <w:bdr w:val="none" w:sz="0" w:space="0" w:color="auto" w:frame="1"/>
            <w:shd w:val="clear" w:color="auto" w:fill="FFFFFF"/>
          </w:rPr>
          <w:t>NCT01074944</w:t>
        </w:r>
      </w:hyperlink>
      <w:r w:rsidRPr="00FA3F9C">
        <w:rPr>
          <w:rFonts w:ascii="Arial" w:hAnsi="Arial" w:cs="Arial"/>
          <w:sz w:val="24"/>
          <w:szCs w:val="24"/>
          <w:shd w:val="clear" w:color="auto" w:fill="FFFFFF"/>
        </w:rPr>
        <w:t>)</w:t>
      </w:r>
    </w:p>
    <w:p w14:paraId="0D98CCDB" w14:textId="77777777" w:rsidR="001506C1" w:rsidRPr="00FA3F9C" w:rsidRDefault="001506C1" w:rsidP="001506C1">
      <w:pPr>
        <w:pStyle w:val="ListParagraph"/>
        <w:numPr>
          <w:ilvl w:val="0"/>
          <w:numId w:val="156"/>
        </w:numPr>
        <w:spacing w:after="0" w:line="276" w:lineRule="auto"/>
        <w:rPr>
          <w:rFonts w:ascii="Arial" w:hAnsi="Arial" w:cs="Arial"/>
          <w:b/>
          <w:sz w:val="24"/>
          <w:szCs w:val="24"/>
          <w:shd w:val="clear" w:color="auto" w:fill="FFFFFF"/>
        </w:rPr>
      </w:pPr>
      <w:r w:rsidRPr="00FA3F9C">
        <w:rPr>
          <w:rFonts w:ascii="Arial" w:hAnsi="Arial" w:cs="Arial"/>
          <w:b/>
          <w:sz w:val="24"/>
          <w:szCs w:val="24"/>
          <w:shd w:val="clear" w:color="auto" w:fill="FFFFFF"/>
        </w:rPr>
        <w:t>Long-term skeletal response- Trial 4 EXOSKEL</w:t>
      </w:r>
    </w:p>
    <w:p w14:paraId="39F7AAC7" w14:textId="77777777" w:rsidR="001506C1" w:rsidRPr="00FA3F9C" w:rsidRDefault="001506C1" w:rsidP="00AA79EB">
      <w:pPr>
        <w:pStyle w:val="ListParagraph"/>
        <w:spacing w:after="0"/>
        <w:ind w:left="360"/>
        <w:rPr>
          <w:rFonts w:ascii="Arial" w:hAnsi="Arial" w:cs="Arial"/>
          <w:sz w:val="24"/>
          <w:szCs w:val="24"/>
        </w:rPr>
      </w:pPr>
    </w:p>
    <w:p w14:paraId="62667CC0" w14:textId="77777777" w:rsidR="001506C1" w:rsidRPr="00FA3F9C" w:rsidRDefault="001506C1" w:rsidP="00BE7C2A">
      <w:pPr>
        <w:pStyle w:val="Heading2"/>
      </w:pPr>
      <w:bookmarkStart w:id="89" w:name="_Toc106369784"/>
      <w:proofErr w:type="spellStart"/>
      <w:r w:rsidRPr="00FA3F9C">
        <w:t>Elotuzumab</w:t>
      </w:r>
      <w:proofErr w:type="spellEnd"/>
      <w:r w:rsidRPr="00FA3F9C">
        <w:t xml:space="preserve"> (</w:t>
      </w:r>
      <w:proofErr w:type="spellStart"/>
      <w:r w:rsidRPr="00FA3F9C">
        <w:t>Empliciti</w:t>
      </w:r>
      <w:proofErr w:type="spellEnd"/>
      <w:r w:rsidRPr="00FA3F9C">
        <w:t>)</w:t>
      </w:r>
      <w:bookmarkEnd w:id="89"/>
      <w:r w:rsidRPr="00FA3F9C">
        <w:t xml:space="preserve"> </w:t>
      </w:r>
    </w:p>
    <w:p w14:paraId="10CCAFDD" w14:textId="77777777" w:rsidR="001506C1" w:rsidRPr="00FA3F9C" w:rsidRDefault="001506C1" w:rsidP="00491E3D">
      <w:pPr>
        <w:spacing w:after="0"/>
        <w:jc w:val="center"/>
        <w:rPr>
          <w:rFonts w:ascii="Arial" w:hAnsi="Arial" w:cs="Arial"/>
          <w:sz w:val="24"/>
          <w:szCs w:val="24"/>
        </w:rPr>
      </w:pPr>
      <w:r w:rsidRPr="00FA3F9C">
        <w:rPr>
          <w:rFonts w:ascii="Arial" w:hAnsi="Arial" w:cs="Arial"/>
          <w:sz w:val="24"/>
          <w:szCs w:val="24"/>
        </w:rPr>
        <w:t>300 and 400 mg vials</w:t>
      </w:r>
    </w:p>
    <w:p w14:paraId="17836A29" w14:textId="77777777" w:rsidR="001506C1" w:rsidRPr="00FA3F9C" w:rsidRDefault="001506C1" w:rsidP="00491E3D">
      <w:pPr>
        <w:spacing w:after="0"/>
        <w:jc w:val="center"/>
        <w:rPr>
          <w:rFonts w:ascii="Arial" w:hAnsi="Arial" w:cs="Arial"/>
          <w:sz w:val="24"/>
          <w:szCs w:val="24"/>
        </w:rPr>
      </w:pPr>
      <w:r w:rsidRPr="00FA3F9C">
        <w:rPr>
          <w:rFonts w:ascii="Arial" w:hAnsi="Arial" w:cs="Arial"/>
          <w:sz w:val="24"/>
          <w:szCs w:val="24"/>
        </w:rPr>
        <w:t>EBRx PA Criteria</w:t>
      </w:r>
    </w:p>
    <w:p w14:paraId="278C5534" w14:textId="77777777" w:rsidR="001506C1" w:rsidRPr="00FA3F9C" w:rsidRDefault="001506C1" w:rsidP="006F623F">
      <w:pPr>
        <w:spacing w:after="0"/>
        <w:jc w:val="center"/>
        <w:rPr>
          <w:rFonts w:ascii="Arial" w:hAnsi="Arial" w:cs="Arial"/>
          <w:sz w:val="24"/>
          <w:szCs w:val="24"/>
        </w:rPr>
      </w:pPr>
    </w:p>
    <w:p w14:paraId="4DAD691B" w14:textId="77777777" w:rsidR="001506C1" w:rsidRPr="00FA3F9C" w:rsidRDefault="001506C1" w:rsidP="006F623F">
      <w:pPr>
        <w:spacing w:after="0"/>
        <w:rPr>
          <w:rFonts w:ascii="Arial" w:hAnsi="Arial" w:cs="Arial"/>
          <w:b/>
          <w:sz w:val="24"/>
          <w:szCs w:val="24"/>
          <w:u w:val="single"/>
        </w:rPr>
      </w:pPr>
    </w:p>
    <w:p w14:paraId="10A61A03" w14:textId="77777777" w:rsidR="001506C1" w:rsidRPr="00FA3F9C" w:rsidRDefault="001506C1"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w:t>
      </w:r>
    </w:p>
    <w:p w14:paraId="4F409977" w14:textId="77777777" w:rsidR="001506C1" w:rsidRPr="00FA3F9C" w:rsidRDefault="001506C1" w:rsidP="001506C1">
      <w:pPr>
        <w:pStyle w:val="ListParagraph"/>
        <w:numPr>
          <w:ilvl w:val="0"/>
          <w:numId w:val="157"/>
        </w:numPr>
        <w:spacing w:after="0" w:line="276" w:lineRule="auto"/>
        <w:rPr>
          <w:rFonts w:ascii="Arial" w:hAnsi="Arial" w:cs="Arial"/>
          <w:sz w:val="24"/>
          <w:szCs w:val="24"/>
        </w:rPr>
      </w:pPr>
      <w:r w:rsidRPr="00FA3F9C">
        <w:rPr>
          <w:rFonts w:ascii="Arial" w:hAnsi="Arial" w:cs="Arial"/>
          <w:sz w:val="24"/>
          <w:szCs w:val="24"/>
        </w:rPr>
        <w:lastRenderedPageBreak/>
        <w:t>treatment of adult patients with multiple myeloma in combination with lenalidomide and dexamethasone in patients who have received 1-3 prior therapies.</w:t>
      </w:r>
    </w:p>
    <w:p w14:paraId="7C4C42CB" w14:textId="77777777" w:rsidR="001506C1" w:rsidRPr="00FA3F9C" w:rsidRDefault="001506C1" w:rsidP="001506C1">
      <w:pPr>
        <w:pStyle w:val="ListParagraph"/>
        <w:numPr>
          <w:ilvl w:val="0"/>
          <w:numId w:val="157"/>
        </w:numPr>
        <w:spacing w:after="0" w:line="276" w:lineRule="auto"/>
        <w:rPr>
          <w:rFonts w:ascii="Arial" w:hAnsi="Arial" w:cs="Arial"/>
          <w:sz w:val="24"/>
          <w:szCs w:val="24"/>
        </w:rPr>
      </w:pPr>
      <w:r w:rsidRPr="00FA3F9C">
        <w:rPr>
          <w:rFonts w:ascii="Arial" w:hAnsi="Arial" w:cs="Arial"/>
          <w:sz w:val="24"/>
          <w:szCs w:val="24"/>
        </w:rPr>
        <w:t>treatment of adult patients with multiple myeloma in combination with pomalidomide and dexamethasone after at least two prior therapies including lenalidomide and a proteasome inhibitor (</w:t>
      </w:r>
      <w:r w:rsidRPr="00FA3F9C">
        <w:rPr>
          <w:rFonts w:ascii="Arial" w:hAnsi="Arial" w:cs="Arial"/>
          <w:sz w:val="24"/>
          <w:szCs w:val="24"/>
          <w:highlight w:val="yellow"/>
        </w:rPr>
        <w:t>NOT COVERED</w:t>
      </w:r>
      <w:r w:rsidRPr="00FA3F9C">
        <w:rPr>
          <w:rFonts w:ascii="Arial" w:hAnsi="Arial" w:cs="Arial"/>
          <w:sz w:val="24"/>
          <w:szCs w:val="24"/>
        </w:rPr>
        <w:t xml:space="preserve">) This combination improved progression free survival compared to pomalidomide/dexamethasone (10.3 </w:t>
      </w:r>
      <w:proofErr w:type="spellStart"/>
      <w:r w:rsidRPr="00FA3F9C">
        <w:rPr>
          <w:rFonts w:ascii="Arial" w:hAnsi="Arial" w:cs="Arial"/>
          <w:sz w:val="24"/>
          <w:szCs w:val="24"/>
        </w:rPr>
        <w:t>mo</w:t>
      </w:r>
      <w:proofErr w:type="spellEnd"/>
      <w:r w:rsidRPr="00FA3F9C">
        <w:rPr>
          <w:rFonts w:ascii="Arial" w:hAnsi="Arial" w:cs="Arial"/>
          <w:sz w:val="24"/>
          <w:szCs w:val="24"/>
        </w:rPr>
        <w:t xml:space="preserve"> vs 4.7 </w:t>
      </w:r>
      <w:proofErr w:type="spellStart"/>
      <w:r w:rsidRPr="00FA3F9C">
        <w:rPr>
          <w:rFonts w:ascii="Arial" w:hAnsi="Arial" w:cs="Arial"/>
          <w:sz w:val="24"/>
          <w:szCs w:val="24"/>
        </w:rPr>
        <w:t>mo</w:t>
      </w:r>
      <w:proofErr w:type="spellEnd"/>
      <w:r w:rsidRPr="00FA3F9C">
        <w:rPr>
          <w:rFonts w:ascii="Arial" w:hAnsi="Arial" w:cs="Arial"/>
          <w:sz w:val="24"/>
          <w:szCs w:val="24"/>
        </w:rPr>
        <w:t xml:space="preserve">). Overall survival </w:t>
      </w:r>
      <w:proofErr w:type="gramStart"/>
      <w:r w:rsidRPr="00FA3F9C">
        <w:rPr>
          <w:rFonts w:ascii="Arial" w:hAnsi="Arial" w:cs="Arial"/>
          <w:sz w:val="24"/>
          <w:szCs w:val="24"/>
        </w:rPr>
        <w:t>not mature</w:t>
      </w:r>
      <w:proofErr w:type="gramEnd"/>
      <w:r w:rsidRPr="00FA3F9C">
        <w:rPr>
          <w:rFonts w:ascii="Arial" w:hAnsi="Arial" w:cs="Arial"/>
          <w:sz w:val="24"/>
          <w:szCs w:val="24"/>
        </w:rPr>
        <w:t xml:space="preserve"> at first analysis and no significant QOL improvement. Estimated study completion date: 4/22/19 so will follow data.</w:t>
      </w:r>
    </w:p>
    <w:p w14:paraId="14AB5A6A" w14:textId="77777777" w:rsidR="001506C1" w:rsidRPr="00FA3F9C" w:rsidRDefault="001506C1" w:rsidP="00652A6E">
      <w:pPr>
        <w:rPr>
          <w:rFonts w:eastAsia="Times New Roman"/>
          <w:bCs/>
          <w:kern w:val="36"/>
        </w:rPr>
      </w:pPr>
      <w:r w:rsidRPr="00FA3F9C">
        <w:t xml:space="preserve">References: </w:t>
      </w:r>
      <w:hyperlink r:id="rId149" w:history="1">
        <w:r w:rsidRPr="00FA3F9C">
          <w:rPr>
            <w:rFonts w:eastAsia="Times New Roman"/>
          </w:rPr>
          <w:t>Dimopoulos MA</w:t>
        </w:r>
      </w:hyperlink>
      <w:r w:rsidRPr="00FA3F9C">
        <w:rPr>
          <w:rFonts w:eastAsia="Times New Roman"/>
        </w:rPr>
        <w:t xml:space="preserve"> et al.</w:t>
      </w:r>
      <w:r w:rsidRPr="00FA3F9C">
        <w:rPr>
          <w:rFonts w:eastAsia="Times New Roman"/>
          <w:bCs/>
          <w:kern w:val="36"/>
        </w:rPr>
        <w:t xml:space="preserve"> </w:t>
      </w:r>
      <w:proofErr w:type="spellStart"/>
      <w:r w:rsidRPr="00FA3F9C">
        <w:rPr>
          <w:rFonts w:eastAsia="Times New Roman"/>
          <w:bCs/>
          <w:kern w:val="36"/>
        </w:rPr>
        <w:t>Elotuzumab</w:t>
      </w:r>
      <w:proofErr w:type="spellEnd"/>
      <w:r w:rsidRPr="00FA3F9C">
        <w:rPr>
          <w:rFonts w:eastAsia="Times New Roman"/>
          <w:bCs/>
          <w:kern w:val="36"/>
        </w:rPr>
        <w:t xml:space="preserve"> plus Pomalidomide and Dexamethasone for Multiple Myeloma. </w:t>
      </w:r>
      <w:hyperlink r:id="rId150" w:tooltip="The New England journal of medicine." w:history="1">
        <w:r w:rsidRPr="00FA3F9C">
          <w:rPr>
            <w:rFonts w:eastAsia="Times New Roman"/>
          </w:rPr>
          <w:t>N Engl J Med.</w:t>
        </w:r>
      </w:hyperlink>
      <w:r w:rsidRPr="00FA3F9C">
        <w:rPr>
          <w:rFonts w:eastAsia="Times New Roman"/>
        </w:rPr>
        <w:t xml:space="preserve"> 2018 Nov 8;379(19):1811-1822. PMID 30403938 NCT02654132; </w:t>
      </w:r>
      <w:proofErr w:type="spellStart"/>
      <w:r w:rsidRPr="00FA3F9C">
        <w:rPr>
          <w:rFonts w:eastAsia="Times New Roman"/>
        </w:rPr>
        <w:t>Weisel</w:t>
      </w:r>
      <w:proofErr w:type="spellEnd"/>
      <w:r w:rsidRPr="00FA3F9C">
        <w:rPr>
          <w:rFonts w:eastAsia="Times New Roman"/>
        </w:rPr>
        <w:t xml:space="preserve"> et al. Quality-of-Life Outcomes in Patients with Relapsed/Refractory Multiple Myeloma Treated with </w:t>
      </w:r>
      <w:proofErr w:type="spellStart"/>
      <w:r w:rsidRPr="00FA3F9C">
        <w:rPr>
          <w:rFonts w:eastAsia="Times New Roman"/>
        </w:rPr>
        <w:t>Elotuzumab</w:t>
      </w:r>
      <w:proofErr w:type="spellEnd"/>
      <w:r w:rsidRPr="00FA3F9C">
        <w:rPr>
          <w:rFonts w:eastAsia="Times New Roman"/>
        </w:rPr>
        <w:t xml:space="preserve"> Plus Pomalidomide and Dexamethasone: Results from the Phase 2 Randomized Eloquent-3 Study. Blood (2018) 132 (Supplement 1): 2288. </w:t>
      </w:r>
      <w:hyperlink r:id="rId151" w:history="1">
        <w:r w:rsidRPr="00FA3F9C">
          <w:rPr>
            <w:rStyle w:val="Hyperlink"/>
            <w:rFonts w:ascii="Arial" w:eastAsia="Times New Roman" w:hAnsi="Arial" w:cs="Arial"/>
            <w:sz w:val="24"/>
            <w:szCs w:val="24"/>
          </w:rPr>
          <w:t>https://doi.org/10.1182/blood-2018-99-112080</w:t>
        </w:r>
      </w:hyperlink>
      <w:r w:rsidRPr="00FA3F9C">
        <w:rPr>
          <w:rFonts w:eastAsia="Times New Roman"/>
        </w:rPr>
        <w:t xml:space="preserve"> </w:t>
      </w:r>
    </w:p>
    <w:p w14:paraId="0CB840F2" w14:textId="77777777" w:rsidR="001506C1" w:rsidRPr="00FA3F9C" w:rsidRDefault="001506C1" w:rsidP="00E16D0E">
      <w:pPr>
        <w:pStyle w:val="ListParagraph"/>
        <w:spacing w:after="0"/>
        <w:rPr>
          <w:rFonts w:ascii="Arial" w:hAnsi="Arial" w:cs="Arial"/>
          <w:sz w:val="24"/>
          <w:szCs w:val="24"/>
        </w:rPr>
      </w:pPr>
    </w:p>
    <w:tbl>
      <w:tblPr>
        <w:tblStyle w:val="TableGrid"/>
        <w:tblW w:w="0" w:type="auto"/>
        <w:tblLook w:val="04A0" w:firstRow="1" w:lastRow="0" w:firstColumn="1" w:lastColumn="0" w:noHBand="0" w:noVBand="1"/>
      </w:tblPr>
      <w:tblGrid>
        <w:gridCol w:w="10998"/>
      </w:tblGrid>
      <w:tr w:rsidR="001506C1" w:rsidRPr="00FA3F9C" w14:paraId="02D33C04" w14:textId="77777777" w:rsidTr="005802CB">
        <w:tc>
          <w:tcPr>
            <w:tcW w:w="10998" w:type="dxa"/>
            <w:shd w:val="clear" w:color="auto" w:fill="000000"/>
          </w:tcPr>
          <w:p w14:paraId="13A02C61" w14:textId="77777777" w:rsidR="001506C1" w:rsidRPr="00FA3F9C" w:rsidRDefault="001506C1" w:rsidP="00571CAB">
            <w:pPr>
              <w:rPr>
                <w:rFonts w:ascii="Arial" w:hAnsi="Arial" w:cs="Arial"/>
                <w:b/>
                <w:sz w:val="24"/>
                <w:szCs w:val="24"/>
                <w:u w:val="single"/>
              </w:rPr>
            </w:pPr>
            <w:r w:rsidRPr="00FA3F9C">
              <w:rPr>
                <w:rFonts w:ascii="Arial" w:hAnsi="Arial" w:cs="Arial"/>
                <w:b/>
                <w:sz w:val="24"/>
                <w:szCs w:val="24"/>
                <w:u w:val="single"/>
              </w:rPr>
              <w:t>Criteria for new users</w:t>
            </w:r>
          </w:p>
        </w:tc>
      </w:tr>
      <w:tr w:rsidR="001506C1" w:rsidRPr="00FA3F9C" w14:paraId="562E62BF" w14:textId="77777777" w:rsidTr="005802CB">
        <w:tc>
          <w:tcPr>
            <w:tcW w:w="10998" w:type="dxa"/>
          </w:tcPr>
          <w:p w14:paraId="7CB21075" w14:textId="77777777" w:rsidR="001506C1" w:rsidRPr="00FA3F9C" w:rsidRDefault="001506C1" w:rsidP="00491E3D">
            <w:pPr>
              <w:rPr>
                <w:rFonts w:ascii="Arial" w:hAnsi="Arial" w:cs="Arial"/>
                <w:sz w:val="24"/>
                <w:szCs w:val="24"/>
              </w:rPr>
            </w:pPr>
            <w:r w:rsidRPr="00FA3F9C">
              <w:rPr>
                <w:rFonts w:ascii="Arial" w:hAnsi="Arial" w:cs="Arial"/>
                <w:sz w:val="24"/>
                <w:szCs w:val="24"/>
              </w:rPr>
              <w:t>1.  Diagnosis of multiple myeloma</w:t>
            </w:r>
          </w:p>
        </w:tc>
      </w:tr>
      <w:tr w:rsidR="001506C1" w:rsidRPr="00FA3F9C" w14:paraId="2C0EB9A2" w14:textId="77777777" w:rsidTr="005802CB">
        <w:tc>
          <w:tcPr>
            <w:tcW w:w="10998" w:type="dxa"/>
          </w:tcPr>
          <w:p w14:paraId="4C8F2F19" w14:textId="77777777" w:rsidR="001506C1" w:rsidRPr="00FA3F9C" w:rsidRDefault="001506C1" w:rsidP="006F623F">
            <w:pPr>
              <w:rPr>
                <w:rFonts w:ascii="Arial" w:hAnsi="Arial" w:cs="Arial"/>
                <w:sz w:val="24"/>
                <w:szCs w:val="24"/>
              </w:rPr>
            </w:pPr>
            <w:r w:rsidRPr="00FA3F9C">
              <w:rPr>
                <w:rFonts w:ascii="Arial" w:hAnsi="Arial" w:cs="Arial"/>
                <w:sz w:val="24"/>
                <w:szCs w:val="24"/>
              </w:rPr>
              <w:t>2.  Must have been treated with at least 1 prior therapy (prior lenalidomide therapy may count as a prior therapy)</w:t>
            </w:r>
          </w:p>
        </w:tc>
      </w:tr>
      <w:tr w:rsidR="001506C1" w:rsidRPr="00FA3F9C" w14:paraId="77B07729" w14:textId="77777777" w:rsidTr="005802CB">
        <w:tc>
          <w:tcPr>
            <w:tcW w:w="10998" w:type="dxa"/>
          </w:tcPr>
          <w:p w14:paraId="4BF456BD" w14:textId="77777777" w:rsidR="001506C1" w:rsidRPr="00FA3F9C" w:rsidRDefault="001506C1" w:rsidP="006F623F">
            <w:pPr>
              <w:rPr>
                <w:rFonts w:ascii="Arial" w:hAnsi="Arial" w:cs="Arial"/>
                <w:sz w:val="24"/>
                <w:szCs w:val="24"/>
              </w:rPr>
            </w:pPr>
            <w:r w:rsidRPr="00FA3F9C">
              <w:rPr>
                <w:rFonts w:ascii="Arial" w:hAnsi="Arial" w:cs="Arial"/>
                <w:sz w:val="24"/>
                <w:szCs w:val="24"/>
              </w:rPr>
              <w:t>3.  Must have documented progression after most recent therapy</w:t>
            </w:r>
          </w:p>
        </w:tc>
      </w:tr>
      <w:tr w:rsidR="001506C1" w:rsidRPr="00FA3F9C" w14:paraId="4FF492F8" w14:textId="77777777" w:rsidTr="005802CB">
        <w:tc>
          <w:tcPr>
            <w:tcW w:w="10998" w:type="dxa"/>
          </w:tcPr>
          <w:p w14:paraId="47D84C51" w14:textId="77777777" w:rsidR="001506C1" w:rsidRPr="00FA3F9C" w:rsidRDefault="001506C1" w:rsidP="006F623F">
            <w:pPr>
              <w:rPr>
                <w:rFonts w:ascii="Arial" w:hAnsi="Arial" w:cs="Arial"/>
                <w:sz w:val="24"/>
                <w:szCs w:val="24"/>
              </w:rPr>
            </w:pPr>
            <w:r w:rsidRPr="00FA3F9C">
              <w:rPr>
                <w:rFonts w:ascii="Arial" w:hAnsi="Arial" w:cs="Arial"/>
                <w:sz w:val="24"/>
                <w:szCs w:val="24"/>
              </w:rPr>
              <w:t>4.  Must be ECOG performance status 0-2 upon first request</w:t>
            </w:r>
          </w:p>
        </w:tc>
      </w:tr>
      <w:tr w:rsidR="001506C1" w:rsidRPr="00FA3F9C" w14:paraId="30A95873" w14:textId="77777777" w:rsidTr="00E16D0E">
        <w:tc>
          <w:tcPr>
            <w:tcW w:w="10998" w:type="dxa"/>
            <w:shd w:val="clear" w:color="auto" w:fill="F2F2F2" w:themeFill="background1" w:themeFillShade="F2"/>
          </w:tcPr>
          <w:p w14:paraId="74B7223C" w14:textId="77777777" w:rsidR="001506C1" w:rsidRPr="00FA3F9C" w:rsidRDefault="001506C1" w:rsidP="00491E3D">
            <w:pPr>
              <w:rPr>
                <w:rFonts w:ascii="Arial" w:hAnsi="Arial" w:cs="Arial"/>
                <w:sz w:val="24"/>
                <w:szCs w:val="24"/>
              </w:rPr>
            </w:pPr>
            <w:r w:rsidRPr="00FA3F9C">
              <w:rPr>
                <w:rFonts w:ascii="Arial" w:hAnsi="Arial" w:cs="Arial"/>
                <w:sz w:val="24"/>
                <w:szCs w:val="24"/>
              </w:rPr>
              <w:t>If above criteria met, approved for 6 months</w:t>
            </w:r>
          </w:p>
        </w:tc>
      </w:tr>
      <w:tr w:rsidR="001506C1" w:rsidRPr="00FA3F9C" w14:paraId="3491FD54" w14:textId="77777777" w:rsidTr="00E16D0E">
        <w:tc>
          <w:tcPr>
            <w:tcW w:w="10998" w:type="dxa"/>
            <w:shd w:val="clear" w:color="auto" w:fill="D9D9D9" w:themeFill="background1" w:themeFillShade="D9"/>
          </w:tcPr>
          <w:p w14:paraId="6BB308F8" w14:textId="77777777" w:rsidR="001506C1" w:rsidRPr="00FA3F9C" w:rsidRDefault="001506C1" w:rsidP="00491E3D">
            <w:pPr>
              <w:rPr>
                <w:rFonts w:ascii="Arial" w:hAnsi="Arial" w:cs="Arial"/>
                <w:sz w:val="24"/>
                <w:szCs w:val="24"/>
              </w:rPr>
            </w:pPr>
            <w:r w:rsidRPr="00FA3F9C">
              <w:rPr>
                <w:rFonts w:ascii="Arial" w:hAnsi="Arial" w:cs="Arial"/>
                <w:sz w:val="24"/>
                <w:szCs w:val="24"/>
              </w:rPr>
              <w:t>Evidence:</w:t>
            </w:r>
          </w:p>
          <w:p w14:paraId="4E6C0017" w14:textId="77777777" w:rsidR="001506C1" w:rsidRPr="00FA3F9C" w:rsidRDefault="001506C1" w:rsidP="001506C1">
            <w:pPr>
              <w:pStyle w:val="ListParagraph"/>
              <w:numPr>
                <w:ilvl w:val="0"/>
                <w:numId w:val="158"/>
              </w:numPr>
              <w:ind w:left="180" w:hanging="180"/>
              <w:rPr>
                <w:rFonts w:ascii="Arial" w:hAnsi="Arial" w:cs="Arial"/>
                <w:sz w:val="24"/>
                <w:szCs w:val="24"/>
              </w:rPr>
            </w:pPr>
            <w:proofErr w:type="spellStart"/>
            <w:r w:rsidRPr="00FA3F9C">
              <w:rPr>
                <w:rFonts w:ascii="Arial" w:hAnsi="Arial" w:cs="Arial"/>
                <w:sz w:val="24"/>
                <w:szCs w:val="24"/>
              </w:rPr>
              <w:t>Elotuzumab</w:t>
            </w:r>
            <w:proofErr w:type="spellEnd"/>
            <w:r w:rsidRPr="00FA3F9C">
              <w:rPr>
                <w:rFonts w:ascii="Arial" w:hAnsi="Arial" w:cs="Arial"/>
                <w:sz w:val="24"/>
                <w:szCs w:val="24"/>
              </w:rPr>
              <w:t>/lenalidomide/dexamethasone improved progression free survival and overall survival compared with lenalidomide/dexamethasone in previously treated multiple myeloma. Of all patients, 5% had received prior lenalidomide before enrolling in study.</w:t>
            </w:r>
            <w:r w:rsidRPr="00FA3F9C">
              <w:rPr>
                <w:rFonts w:ascii="Arial" w:hAnsi="Arial" w:cs="Arial"/>
                <w:sz w:val="24"/>
                <w:szCs w:val="24"/>
                <w:vertAlign w:val="superscript"/>
              </w:rPr>
              <w:t>1,2,3</w:t>
            </w:r>
            <w:r w:rsidRPr="00FA3F9C">
              <w:rPr>
                <w:rFonts w:ascii="Arial" w:hAnsi="Arial" w:cs="Arial"/>
                <w:sz w:val="24"/>
                <w:szCs w:val="24"/>
              </w:rPr>
              <w:t xml:space="preserve"> No </w:t>
            </w:r>
            <w:proofErr w:type="gramStart"/>
            <w:r w:rsidRPr="00FA3F9C">
              <w:rPr>
                <w:rFonts w:ascii="Arial" w:hAnsi="Arial" w:cs="Arial"/>
                <w:sz w:val="24"/>
                <w:szCs w:val="24"/>
              </w:rPr>
              <w:t>quality of life</w:t>
            </w:r>
            <w:proofErr w:type="gramEnd"/>
            <w:r w:rsidRPr="00FA3F9C">
              <w:rPr>
                <w:rFonts w:ascii="Arial" w:hAnsi="Arial" w:cs="Arial"/>
                <w:sz w:val="24"/>
                <w:szCs w:val="24"/>
              </w:rPr>
              <w:t xml:space="preserve"> benefit was reported.</w:t>
            </w:r>
            <w:r w:rsidRPr="00FA3F9C">
              <w:rPr>
                <w:rFonts w:ascii="Arial" w:hAnsi="Arial" w:cs="Arial"/>
                <w:sz w:val="24"/>
                <w:szCs w:val="24"/>
                <w:vertAlign w:val="superscript"/>
              </w:rPr>
              <w:t>4</w:t>
            </w:r>
          </w:p>
          <w:p w14:paraId="204C3EB6" w14:textId="77777777" w:rsidR="001506C1" w:rsidRPr="00FA3F9C" w:rsidRDefault="001506C1" w:rsidP="00E16D0E">
            <w:pPr>
              <w:rPr>
                <w:rFonts w:ascii="Arial" w:hAnsi="Arial" w:cs="Arial"/>
                <w:sz w:val="24"/>
                <w:szCs w:val="24"/>
              </w:rPr>
            </w:pPr>
          </w:p>
          <w:p w14:paraId="280E831E" w14:textId="77777777" w:rsidR="001506C1" w:rsidRPr="00FA3F9C" w:rsidRDefault="001506C1" w:rsidP="00E16D0E">
            <w:pPr>
              <w:rPr>
                <w:rFonts w:ascii="Arial" w:hAnsi="Arial" w:cs="Arial"/>
                <w:sz w:val="24"/>
                <w:szCs w:val="24"/>
              </w:rPr>
            </w:pPr>
            <w:r w:rsidRPr="00FA3F9C">
              <w:rPr>
                <w:rFonts w:ascii="Arial" w:hAnsi="Arial" w:cs="Arial"/>
                <w:sz w:val="24"/>
                <w:szCs w:val="24"/>
              </w:rPr>
              <w:t>References:</w:t>
            </w:r>
          </w:p>
          <w:p w14:paraId="4FC8D5D0" w14:textId="77777777" w:rsidR="001506C1" w:rsidRPr="00FA3F9C" w:rsidRDefault="001506C1" w:rsidP="001506C1">
            <w:pPr>
              <w:pStyle w:val="ListParagraph"/>
              <w:numPr>
                <w:ilvl w:val="0"/>
                <w:numId w:val="159"/>
              </w:numPr>
              <w:ind w:left="180" w:hanging="180"/>
              <w:rPr>
                <w:rFonts w:ascii="Arial" w:hAnsi="Arial" w:cs="Arial"/>
                <w:sz w:val="24"/>
                <w:szCs w:val="24"/>
              </w:rPr>
            </w:pPr>
            <w:proofErr w:type="spellStart"/>
            <w:r w:rsidRPr="00FA3F9C">
              <w:rPr>
                <w:rFonts w:ascii="Arial" w:hAnsi="Arial" w:cs="Arial"/>
                <w:sz w:val="24"/>
                <w:szCs w:val="24"/>
              </w:rPr>
              <w:t>Dimopoulos</w:t>
            </w:r>
            <w:proofErr w:type="spellEnd"/>
            <w:r w:rsidRPr="00FA3F9C">
              <w:rPr>
                <w:rFonts w:ascii="Arial" w:hAnsi="Arial" w:cs="Arial"/>
                <w:sz w:val="24"/>
                <w:szCs w:val="24"/>
              </w:rPr>
              <w:t xml:space="preserve"> MA et al. </w:t>
            </w:r>
            <w:proofErr w:type="spellStart"/>
            <w:r w:rsidRPr="00FA3F9C">
              <w:rPr>
                <w:rFonts w:ascii="Arial" w:hAnsi="Arial" w:cs="Arial"/>
                <w:sz w:val="24"/>
                <w:szCs w:val="24"/>
              </w:rPr>
              <w:t>Elotuzumab</w:t>
            </w:r>
            <w:proofErr w:type="spellEnd"/>
            <w:r w:rsidRPr="00FA3F9C">
              <w:rPr>
                <w:rFonts w:ascii="Arial" w:hAnsi="Arial" w:cs="Arial"/>
                <w:sz w:val="24"/>
                <w:szCs w:val="24"/>
              </w:rPr>
              <w:t xml:space="preserve"> plus lenalidomide and dexamethasone in relapsed/refractory multiple myeloma: Extended 4-year follow-up and analysis of relative progression-free survival from the randomized ELOQUENT-2 trial. Cancer. 2018 Oct 15;124(20):4032-4043. PMID 30204239 NCT01239797 </w:t>
            </w:r>
          </w:p>
          <w:p w14:paraId="66BF6414" w14:textId="77777777" w:rsidR="001506C1" w:rsidRPr="00FA3F9C" w:rsidRDefault="001506C1" w:rsidP="001506C1">
            <w:pPr>
              <w:pStyle w:val="ListParagraph"/>
              <w:numPr>
                <w:ilvl w:val="0"/>
                <w:numId w:val="159"/>
              </w:numPr>
              <w:ind w:left="180" w:hanging="180"/>
              <w:rPr>
                <w:rFonts w:ascii="Arial" w:hAnsi="Arial" w:cs="Arial"/>
                <w:sz w:val="24"/>
                <w:szCs w:val="24"/>
              </w:rPr>
            </w:pPr>
            <w:proofErr w:type="spellStart"/>
            <w:r w:rsidRPr="00FA3F9C">
              <w:rPr>
                <w:rFonts w:ascii="Arial" w:hAnsi="Arial" w:cs="Arial"/>
                <w:sz w:val="24"/>
                <w:szCs w:val="24"/>
              </w:rPr>
              <w:t>Lonial</w:t>
            </w:r>
            <w:proofErr w:type="spellEnd"/>
            <w:r w:rsidRPr="00FA3F9C">
              <w:rPr>
                <w:rFonts w:ascii="Arial" w:hAnsi="Arial" w:cs="Arial"/>
                <w:sz w:val="24"/>
                <w:szCs w:val="24"/>
              </w:rPr>
              <w:t xml:space="preserve"> S et al. </w:t>
            </w:r>
            <w:proofErr w:type="spellStart"/>
            <w:r w:rsidRPr="00FA3F9C">
              <w:rPr>
                <w:rFonts w:ascii="Arial" w:hAnsi="Arial" w:cs="Arial"/>
                <w:sz w:val="24"/>
                <w:szCs w:val="24"/>
              </w:rPr>
              <w:t>Elotuzumab</w:t>
            </w:r>
            <w:proofErr w:type="spellEnd"/>
            <w:r w:rsidRPr="00FA3F9C">
              <w:rPr>
                <w:rFonts w:ascii="Arial" w:hAnsi="Arial" w:cs="Arial"/>
                <w:sz w:val="24"/>
                <w:szCs w:val="24"/>
              </w:rPr>
              <w:t xml:space="preserve"> Therapy for Relapsed or Refractory Multiple Myeloma. N </w:t>
            </w:r>
            <w:proofErr w:type="spellStart"/>
            <w:r w:rsidRPr="00FA3F9C">
              <w:rPr>
                <w:rFonts w:ascii="Arial" w:hAnsi="Arial" w:cs="Arial"/>
                <w:sz w:val="24"/>
                <w:szCs w:val="24"/>
              </w:rPr>
              <w:t>Engl</w:t>
            </w:r>
            <w:proofErr w:type="spellEnd"/>
            <w:r w:rsidRPr="00FA3F9C">
              <w:rPr>
                <w:rFonts w:ascii="Arial" w:hAnsi="Arial" w:cs="Arial"/>
                <w:sz w:val="24"/>
                <w:szCs w:val="24"/>
              </w:rPr>
              <w:t xml:space="preserve"> J Med. 2015 Aug 13;373(7):621-31. PMID 26035255 NCT01239797</w:t>
            </w:r>
          </w:p>
          <w:p w14:paraId="576F3319" w14:textId="77777777" w:rsidR="001506C1" w:rsidRPr="00FA3F9C" w:rsidRDefault="001506C1" w:rsidP="001506C1">
            <w:pPr>
              <w:pStyle w:val="ListParagraph"/>
              <w:numPr>
                <w:ilvl w:val="0"/>
                <w:numId w:val="159"/>
              </w:numPr>
              <w:ind w:left="180" w:hanging="180"/>
              <w:rPr>
                <w:rFonts w:ascii="Arial" w:hAnsi="Arial" w:cs="Arial"/>
                <w:sz w:val="24"/>
                <w:szCs w:val="24"/>
              </w:rPr>
            </w:pPr>
            <w:proofErr w:type="spellStart"/>
            <w:r w:rsidRPr="00FA3F9C">
              <w:rPr>
                <w:rFonts w:ascii="Arial" w:hAnsi="Arial" w:cs="Arial"/>
                <w:sz w:val="24"/>
                <w:szCs w:val="24"/>
                <w:lang w:val="fr-FR"/>
              </w:rPr>
              <w:lastRenderedPageBreak/>
              <w:t>Dimopoulos</w:t>
            </w:r>
            <w:proofErr w:type="spellEnd"/>
            <w:r w:rsidRPr="00FA3F9C">
              <w:rPr>
                <w:rFonts w:ascii="Arial" w:hAnsi="Arial" w:cs="Arial"/>
                <w:sz w:val="24"/>
                <w:szCs w:val="24"/>
                <w:lang w:val="fr-FR"/>
              </w:rPr>
              <w:t xml:space="preserve"> MA, </w:t>
            </w:r>
            <w:proofErr w:type="spellStart"/>
            <w:r w:rsidRPr="00FA3F9C">
              <w:rPr>
                <w:rFonts w:ascii="Arial" w:hAnsi="Arial" w:cs="Arial"/>
                <w:sz w:val="24"/>
                <w:szCs w:val="24"/>
                <w:lang w:val="fr-FR"/>
              </w:rPr>
              <w:t>Lonial</w:t>
            </w:r>
            <w:proofErr w:type="spellEnd"/>
            <w:r w:rsidRPr="00FA3F9C">
              <w:rPr>
                <w:rFonts w:ascii="Arial" w:hAnsi="Arial" w:cs="Arial"/>
                <w:sz w:val="24"/>
                <w:szCs w:val="24"/>
                <w:lang w:val="fr-FR"/>
              </w:rPr>
              <w:t xml:space="preserve"> S, White D, et al. </w:t>
            </w:r>
            <w:proofErr w:type="spellStart"/>
            <w:r w:rsidRPr="00FA3F9C">
              <w:rPr>
                <w:rFonts w:ascii="Arial" w:hAnsi="Arial" w:cs="Arial"/>
                <w:sz w:val="24"/>
                <w:szCs w:val="24"/>
              </w:rPr>
              <w:t>Elotuzumab</w:t>
            </w:r>
            <w:proofErr w:type="spellEnd"/>
            <w:r w:rsidRPr="00FA3F9C">
              <w:rPr>
                <w:rFonts w:ascii="Arial" w:hAnsi="Arial" w:cs="Arial"/>
                <w:sz w:val="24"/>
                <w:szCs w:val="24"/>
              </w:rPr>
              <w:t>, lenalidomide, and dexamethasone in RRMM: final overall survival results from the phase 3 randomized ELOQUENT-2 study. Blood Cancer J. 2020;10(9):91. Published 2020 Sep 4. doi:10.1038/s41408-020-00357-4 PMID 32887873</w:t>
            </w:r>
          </w:p>
          <w:p w14:paraId="60082C22" w14:textId="77777777" w:rsidR="001506C1" w:rsidRPr="00FA3F9C" w:rsidRDefault="001506C1" w:rsidP="001506C1">
            <w:pPr>
              <w:pStyle w:val="ListParagraph"/>
              <w:numPr>
                <w:ilvl w:val="0"/>
                <w:numId w:val="159"/>
              </w:numPr>
              <w:ind w:left="180" w:hanging="180"/>
              <w:rPr>
                <w:rFonts w:ascii="Arial" w:hAnsi="Arial" w:cs="Arial"/>
                <w:sz w:val="24"/>
                <w:szCs w:val="24"/>
              </w:rPr>
            </w:pPr>
            <w:proofErr w:type="spellStart"/>
            <w:r w:rsidRPr="00FA3F9C">
              <w:rPr>
                <w:rFonts w:ascii="Arial" w:hAnsi="Arial" w:cs="Arial"/>
                <w:sz w:val="24"/>
                <w:szCs w:val="24"/>
              </w:rPr>
              <w:t>Cella</w:t>
            </w:r>
            <w:proofErr w:type="spellEnd"/>
            <w:r w:rsidRPr="00FA3F9C">
              <w:rPr>
                <w:rFonts w:ascii="Arial" w:hAnsi="Arial" w:cs="Arial"/>
                <w:sz w:val="24"/>
                <w:szCs w:val="24"/>
              </w:rPr>
              <w:t xml:space="preserve"> D et al. Impact of </w:t>
            </w:r>
            <w:proofErr w:type="spellStart"/>
            <w:r w:rsidRPr="00FA3F9C">
              <w:rPr>
                <w:rFonts w:ascii="Arial" w:hAnsi="Arial" w:cs="Arial"/>
                <w:sz w:val="24"/>
                <w:szCs w:val="24"/>
              </w:rPr>
              <w:t>elotuzumab</w:t>
            </w:r>
            <w:proofErr w:type="spellEnd"/>
            <w:r w:rsidRPr="00FA3F9C">
              <w:rPr>
                <w:rFonts w:ascii="Arial" w:hAnsi="Arial" w:cs="Arial"/>
                <w:sz w:val="24"/>
                <w:szCs w:val="24"/>
              </w:rPr>
              <w:t xml:space="preserve"> treatment on pain and health-related quality of life in patients with relapsed or refractory multiple myeloma: results from the ELOQUENT-2 study. Ann </w:t>
            </w:r>
            <w:proofErr w:type="spellStart"/>
            <w:r w:rsidRPr="00FA3F9C">
              <w:rPr>
                <w:rFonts w:ascii="Arial" w:hAnsi="Arial" w:cs="Arial"/>
                <w:sz w:val="24"/>
                <w:szCs w:val="24"/>
              </w:rPr>
              <w:t>Hematol</w:t>
            </w:r>
            <w:proofErr w:type="spellEnd"/>
            <w:r w:rsidRPr="00FA3F9C">
              <w:rPr>
                <w:rFonts w:ascii="Arial" w:hAnsi="Arial" w:cs="Arial"/>
                <w:sz w:val="24"/>
                <w:szCs w:val="24"/>
              </w:rPr>
              <w:t xml:space="preserve">. 2018 Dec;97(12):2455-2463. PMID 30178193 </w:t>
            </w:r>
          </w:p>
        </w:tc>
      </w:tr>
    </w:tbl>
    <w:p w14:paraId="5FB04559" w14:textId="77777777" w:rsidR="001506C1" w:rsidRPr="00FA3F9C" w:rsidRDefault="001506C1" w:rsidP="006F623F">
      <w:pPr>
        <w:spacing w:after="0"/>
        <w:rPr>
          <w:rFonts w:ascii="Arial" w:hAnsi="Arial" w:cs="Arial"/>
          <w:b/>
          <w:sz w:val="24"/>
          <w:szCs w:val="24"/>
          <w:u w:val="single"/>
        </w:rPr>
      </w:pPr>
    </w:p>
    <w:p w14:paraId="08614C44" w14:textId="77777777" w:rsidR="001506C1" w:rsidRPr="00FA3F9C" w:rsidRDefault="001506C1" w:rsidP="006F623F">
      <w:pPr>
        <w:spacing w:after="0"/>
        <w:rPr>
          <w:rFonts w:ascii="Arial" w:hAnsi="Arial" w:cs="Arial"/>
          <w:sz w:val="24"/>
          <w:szCs w:val="24"/>
        </w:rPr>
      </w:pPr>
    </w:p>
    <w:p w14:paraId="17B77385"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418"/>
        <w:gridCol w:w="7470"/>
        <w:gridCol w:w="2538"/>
      </w:tblGrid>
      <w:tr w:rsidR="001506C1" w:rsidRPr="00FA3F9C" w14:paraId="5E4848E4" w14:textId="77777777" w:rsidTr="00FE491B">
        <w:tc>
          <w:tcPr>
            <w:tcW w:w="1008" w:type="dxa"/>
          </w:tcPr>
          <w:p w14:paraId="73D76C3C" w14:textId="77777777" w:rsidR="001506C1" w:rsidRPr="00FA3F9C" w:rsidRDefault="001506C1" w:rsidP="006F623F">
            <w:pPr>
              <w:rPr>
                <w:rFonts w:ascii="Arial" w:hAnsi="Arial" w:cs="Arial"/>
                <w:sz w:val="24"/>
                <w:szCs w:val="24"/>
              </w:rPr>
            </w:pPr>
            <w:r w:rsidRPr="00FA3F9C">
              <w:rPr>
                <w:rFonts w:ascii="Arial" w:hAnsi="Arial" w:cs="Arial"/>
                <w:sz w:val="24"/>
                <w:szCs w:val="24"/>
              </w:rPr>
              <w:t>Date</w:t>
            </w:r>
          </w:p>
        </w:tc>
        <w:tc>
          <w:tcPr>
            <w:tcW w:w="7470" w:type="dxa"/>
          </w:tcPr>
          <w:p w14:paraId="2A603F78" w14:textId="77777777" w:rsidR="001506C1" w:rsidRPr="00FA3F9C" w:rsidRDefault="001506C1" w:rsidP="006F623F">
            <w:pPr>
              <w:rPr>
                <w:rFonts w:ascii="Arial" w:hAnsi="Arial" w:cs="Arial"/>
                <w:sz w:val="24"/>
                <w:szCs w:val="24"/>
              </w:rPr>
            </w:pPr>
            <w:r w:rsidRPr="00FA3F9C">
              <w:rPr>
                <w:rFonts w:ascii="Arial" w:hAnsi="Arial" w:cs="Arial"/>
                <w:sz w:val="24"/>
                <w:szCs w:val="24"/>
              </w:rPr>
              <w:t>What changed</w:t>
            </w:r>
          </w:p>
        </w:tc>
        <w:tc>
          <w:tcPr>
            <w:tcW w:w="2538" w:type="dxa"/>
          </w:tcPr>
          <w:p w14:paraId="496FBA3B" w14:textId="77777777" w:rsidR="001506C1" w:rsidRPr="00FA3F9C" w:rsidRDefault="001506C1" w:rsidP="006F623F">
            <w:pPr>
              <w:rPr>
                <w:rFonts w:ascii="Arial" w:hAnsi="Arial" w:cs="Arial"/>
                <w:sz w:val="24"/>
                <w:szCs w:val="24"/>
              </w:rPr>
            </w:pPr>
            <w:r w:rsidRPr="00FA3F9C">
              <w:rPr>
                <w:rFonts w:ascii="Arial" w:hAnsi="Arial" w:cs="Arial"/>
                <w:sz w:val="24"/>
                <w:szCs w:val="24"/>
              </w:rPr>
              <w:t>Pharmacist’s initials</w:t>
            </w:r>
          </w:p>
        </w:tc>
      </w:tr>
      <w:tr w:rsidR="001506C1" w:rsidRPr="00FA3F9C" w14:paraId="39437D86" w14:textId="77777777" w:rsidTr="00FE491B">
        <w:tc>
          <w:tcPr>
            <w:tcW w:w="1008" w:type="dxa"/>
          </w:tcPr>
          <w:p w14:paraId="16213C68" w14:textId="77777777" w:rsidR="001506C1" w:rsidRPr="00FA3F9C" w:rsidRDefault="001506C1" w:rsidP="006F623F">
            <w:pPr>
              <w:rPr>
                <w:rFonts w:ascii="Arial" w:hAnsi="Arial" w:cs="Arial"/>
                <w:sz w:val="24"/>
                <w:szCs w:val="24"/>
              </w:rPr>
            </w:pPr>
            <w:r w:rsidRPr="00FA3F9C">
              <w:rPr>
                <w:rFonts w:ascii="Arial" w:hAnsi="Arial" w:cs="Arial"/>
                <w:sz w:val="24"/>
                <w:szCs w:val="24"/>
              </w:rPr>
              <w:t>1/29/2016</w:t>
            </w:r>
          </w:p>
        </w:tc>
        <w:tc>
          <w:tcPr>
            <w:tcW w:w="7470" w:type="dxa"/>
          </w:tcPr>
          <w:p w14:paraId="141712A3" w14:textId="77777777" w:rsidR="001506C1" w:rsidRPr="00FA3F9C" w:rsidRDefault="001506C1" w:rsidP="006F623F">
            <w:pPr>
              <w:rPr>
                <w:rFonts w:ascii="Arial" w:hAnsi="Arial" w:cs="Arial"/>
                <w:sz w:val="24"/>
                <w:szCs w:val="24"/>
              </w:rPr>
            </w:pPr>
            <w:r w:rsidRPr="00FA3F9C">
              <w:rPr>
                <w:rFonts w:ascii="Arial" w:hAnsi="Arial" w:cs="Arial"/>
                <w:sz w:val="24"/>
                <w:szCs w:val="24"/>
              </w:rPr>
              <w:t>I wrote the criteria.</w:t>
            </w:r>
          </w:p>
        </w:tc>
        <w:tc>
          <w:tcPr>
            <w:tcW w:w="2538" w:type="dxa"/>
          </w:tcPr>
          <w:p w14:paraId="5432BB2D" w14:textId="77777777" w:rsidR="001506C1" w:rsidRPr="00FA3F9C" w:rsidRDefault="001506C1" w:rsidP="006F623F">
            <w:pPr>
              <w:rPr>
                <w:rFonts w:ascii="Arial" w:hAnsi="Arial" w:cs="Arial"/>
                <w:sz w:val="24"/>
                <w:szCs w:val="24"/>
              </w:rPr>
            </w:pPr>
            <w:r w:rsidRPr="00FA3F9C">
              <w:rPr>
                <w:rFonts w:ascii="Arial" w:hAnsi="Arial" w:cs="Arial"/>
                <w:sz w:val="24"/>
                <w:szCs w:val="24"/>
              </w:rPr>
              <w:t>JJ</w:t>
            </w:r>
          </w:p>
        </w:tc>
      </w:tr>
      <w:tr w:rsidR="001506C1" w:rsidRPr="00FA3F9C" w14:paraId="32CD7649" w14:textId="77777777" w:rsidTr="00FE491B">
        <w:tc>
          <w:tcPr>
            <w:tcW w:w="1008" w:type="dxa"/>
          </w:tcPr>
          <w:p w14:paraId="6D333ECA" w14:textId="77777777" w:rsidR="001506C1" w:rsidRPr="00FA3F9C" w:rsidRDefault="001506C1" w:rsidP="006F623F">
            <w:pPr>
              <w:rPr>
                <w:rFonts w:ascii="Arial" w:hAnsi="Arial" w:cs="Arial"/>
                <w:sz w:val="24"/>
                <w:szCs w:val="24"/>
              </w:rPr>
            </w:pPr>
            <w:r w:rsidRPr="00FA3F9C">
              <w:rPr>
                <w:rFonts w:ascii="Arial" w:hAnsi="Arial" w:cs="Arial"/>
                <w:sz w:val="24"/>
                <w:szCs w:val="24"/>
              </w:rPr>
              <w:t>5/20/19</w:t>
            </w:r>
          </w:p>
        </w:tc>
        <w:tc>
          <w:tcPr>
            <w:tcW w:w="7470" w:type="dxa"/>
          </w:tcPr>
          <w:p w14:paraId="61FCC5AA" w14:textId="77777777" w:rsidR="001506C1" w:rsidRPr="00FA3F9C" w:rsidRDefault="001506C1" w:rsidP="006F623F">
            <w:pPr>
              <w:rPr>
                <w:rFonts w:ascii="Arial" w:hAnsi="Arial" w:cs="Arial"/>
                <w:sz w:val="24"/>
                <w:szCs w:val="24"/>
              </w:rPr>
            </w:pPr>
            <w:r w:rsidRPr="00FA3F9C">
              <w:rPr>
                <w:rFonts w:ascii="Arial" w:hAnsi="Arial" w:cs="Arial"/>
                <w:sz w:val="24"/>
                <w:szCs w:val="24"/>
              </w:rPr>
              <w:t xml:space="preserve">Criteria reviewed. Added new indication for </w:t>
            </w:r>
            <w:proofErr w:type="spellStart"/>
            <w:r w:rsidRPr="00FA3F9C">
              <w:rPr>
                <w:rFonts w:ascii="Arial" w:hAnsi="Arial" w:cs="Arial"/>
                <w:sz w:val="24"/>
                <w:szCs w:val="24"/>
              </w:rPr>
              <w:t>Elotuzumab</w:t>
            </w:r>
            <w:proofErr w:type="spellEnd"/>
            <w:r w:rsidRPr="00FA3F9C">
              <w:rPr>
                <w:rFonts w:ascii="Arial" w:hAnsi="Arial" w:cs="Arial"/>
                <w:sz w:val="24"/>
                <w:szCs w:val="24"/>
              </w:rPr>
              <w:t>/pomalidomide/dexamethasone which is not covered.</w:t>
            </w:r>
          </w:p>
        </w:tc>
        <w:tc>
          <w:tcPr>
            <w:tcW w:w="2538" w:type="dxa"/>
          </w:tcPr>
          <w:p w14:paraId="3937F562" w14:textId="77777777" w:rsidR="001506C1" w:rsidRPr="00FA3F9C" w:rsidRDefault="001506C1" w:rsidP="006F623F">
            <w:pPr>
              <w:rPr>
                <w:rFonts w:ascii="Arial" w:hAnsi="Arial" w:cs="Arial"/>
                <w:sz w:val="24"/>
                <w:szCs w:val="24"/>
              </w:rPr>
            </w:pPr>
            <w:proofErr w:type="spellStart"/>
            <w:r w:rsidRPr="00FA3F9C">
              <w:rPr>
                <w:rFonts w:ascii="Arial" w:hAnsi="Arial" w:cs="Arial"/>
                <w:sz w:val="24"/>
                <w:szCs w:val="24"/>
              </w:rPr>
              <w:t>Sk</w:t>
            </w:r>
            <w:proofErr w:type="spellEnd"/>
          </w:p>
        </w:tc>
      </w:tr>
      <w:tr w:rsidR="001506C1" w:rsidRPr="00FA3F9C" w14:paraId="74737DB0" w14:textId="77777777" w:rsidTr="00FE491B">
        <w:tc>
          <w:tcPr>
            <w:tcW w:w="1008" w:type="dxa"/>
          </w:tcPr>
          <w:p w14:paraId="0F3FA584" w14:textId="77777777" w:rsidR="001506C1" w:rsidRPr="00FA3F9C" w:rsidRDefault="001506C1" w:rsidP="006F623F">
            <w:pPr>
              <w:rPr>
                <w:rFonts w:ascii="Arial" w:hAnsi="Arial" w:cs="Arial"/>
                <w:sz w:val="24"/>
                <w:szCs w:val="24"/>
              </w:rPr>
            </w:pPr>
            <w:r w:rsidRPr="00FA3F9C">
              <w:rPr>
                <w:rFonts w:ascii="Arial" w:hAnsi="Arial" w:cs="Arial"/>
                <w:sz w:val="24"/>
                <w:szCs w:val="24"/>
              </w:rPr>
              <w:t>10/31/19</w:t>
            </w:r>
          </w:p>
        </w:tc>
        <w:tc>
          <w:tcPr>
            <w:tcW w:w="7470" w:type="dxa"/>
          </w:tcPr>
          <w:p w14:paraId="17BD6803" w14:textId="77777777" w:rsidR="001506C1" w:rsidRPr="00FA3F9C" w:rsidRDefault="001506C1" w:rsidP="006F623F">
            <w:pPr>
              <w:rPr>
                <w:rFonts w:ascii="Arial" w:hAnsi="Arial" w:cs="Arial"/>
                <w:sz w:val="24"/>
                <w:szCs w:val="24"/>
              </w:rPr>
            </w:pPr>
            <w:r w:rsidRPr="00FA3F9C">
              <w:rPr>
                <w:rFonts w:ascii="Arial" w:hAnsi="Arial" w:cs="Arial"/>
                <w:sz w:val="24"/>
                <w:szCs w:val="24"/>
              </w:rPr>
              <w:t xml:space="preserve">Criteria reviewed. No changes </w:t>
            </w:r>
          </w:p>
        </w:tc>
        <w:tc>
          <w:tcPr>
            <w:tcW w:w="2538" w:type="dxa"/>
          </w:tcPr>
          <w:p w14:paraId="584BF143" w14:textId="77777777" w:rsidR="001506C1" w:rsidRPr="00FA3F9C" w:rsidRDefault="001506C1" w:rsidP="006F623F">
            <w:pPr>
              <w:rPr>
                <w:rFonts w:ascii="Arial" w:hAnsi="Arial" w:cs="Arial"/>
                <w:sz w:val="24"/>
                <w:szCs w:val="24"/>
              </w:rPr>
            </w:pPr>
            <w:proofErr w:type="spellStart"/>
            <w:r w:rsidRPr="00FA3F9C">
              <w:rPr>
                <w:rFonts w:ascii="Arial" w:hAnsi="Arial" w:cs="Arial"/>
                <w:sz w:val="24"/>
                <w:szCs w:val="24"/>
              </w:rPr>
              <w:t>Sk</w:t>
            </w:r>
            <w:proofErr w:type="spellEnd"/>
          </w:p>
        </w:tc>
      </w:tr>
      <w:tr w:rsidR="001506C1" w:rsidRPr="00FA3F9C" w14:paraId="73101FC3" w14:textId="77777777" w:rsidTr="00FE491B">
        <w:tc>
          <w:tcPr>
            <w:tcW w:w="1008" w:type="dxa"/>
          </w:tcPr>
          <w:p w14:paraId="0DA9CDCA" w14:textId="77777777" w:rsidR="001506C1" w:rsidRPr="00FA3F9C" w:rsidRDefault="001506C1" w:rsidP="006F623F">
            <w:pPr>
              <w:rPr>
                <w:rFonts w:ascii="Arial" w:hAnsi="Arial" w:cs="Arial"/>
                <w:sz w:val="24"/>
                <w:szCs w:val="24"/>
              </w:rPr>
            </w:pPr>
            <w:r w:rsidRPr="00FA3F9C">
              <w:rPr>
                <w:rFonts w:ascii="Arial" w:hAnsi="Arial" w:cs="Arial"/>
                <w:sz w:val="24"/>
                <w:szCs w:val="24"/>
              </w:rPr>
              <w:t>12/29/2020</w:t>
            </w:r>
          </w:p>
        </w:tc>
        <w:tc>
          <w:tcPr>
            <w:tcW w:w="7470" w:type="dxa"/>
          </w:tcPr>
          <w:p w14:paraId="464873CE" w14:textId="77777777" w:rsidR="001506C1" w:rsidRPr="00FA3F9C" w:rsidRDefault="001506C1" w:rsidP="006F623F">
            <w:pPr>
              <w:rPr>
                <w:rFonts w:ascii="Arial" w:hAnsi="Arial" w:cs="Arial"/>
                <w:sz w:val="24"/>
                <w:szCs w:val="24"/>
              </w:rPr>
            </w:pPr>
            <w:r w:rsidRPr="00FA3F9C">
              <w:rPr>
                <w:rFonts w:ascii="Arial" w:hAnsi="Arial" w:cs="Arial"/>
                <w:sz w:val="24"/>
                <w:szCs w:val="24"/>
              </w:rPr>
              <w:t xml:space="preserve">Criteria reviewed. Added reference for OS benefit for </w:t>
            </w:r>
            <w:proofErr w:type="spellStart"/>
            <w:r w:rsidRPr="00FA3F9C">
              <w:rPr>
                <w:rFonts w:ascii="Arial" w:hAnsi="Arial" w:cs="Arial"/>
                <w:sz w:val="24"/>
                <w:szCs w:val="24"/>
              </w:rPr>
              <w:t>elo</w:t>
            </w:r>
            <w:proofErr w:type="spellEnd"/>
            <w:r w:rsidRPr="00FA3F9C">
              <w:rPr>
                <w:rFonts w:ascii="Arial" w:hAnsi="Arial" w:cs="Arial"/>
                <w:sz w:val="24"/>
                <w:szCs w:val="24"/>
              </w:rPr>
              <w:t>/</w:t>
            </w:r>
            <w:proofErr w:type="spellStart"/>
            <w:r w:rsidRPr="00FA3F9C">
              <w:rPr>
                <w:rFonts w:ascii="Arial" w:hAnsi="Arial" w:cs="Arial"/>
                <w:sz w:val="24"/>
                <w:szCs w:val="24"/>
              </w:rPr>
              <w:t>len</w:t>
            </w:r>
            <w:proofErr w:type="spellEnd"/>
            <w:r w:rsidRPr="00FA3F9C">
              <w:rPr>
                <w:rFonts w:ascii="Arial" w:hAnsi="Arial" w:cs="Arial"/>
                <w:sz w:val="24"/>
                <w:szCs w:val="24"/>
              </w:rPr>
              <w:t>/</w:t>
            </w:r>
            <w:proofErr w:type="spellStart"/>
            <w:r w:rsidRPr="00FA3F9C">
              <w:rPr>
                <w:rFonts w:ascii="Arial" w:hAnsi="Arial" w:cs="Arial"/>
                <w:sz w:val="24"/>
                <w:szCs w:val="24"/>
              </w:rPr>
              <w:t>dex</w:t>
            </w:r>
            <w:proofErr w:type="spellEnd"/>
            <w:r w:rsidRPr="00FA3F9C">
              <w:rPr>
                <w:rFonts w:ascii="Arial" w:hAnsi="Arial" w:cs="Arial"/>
                <w:sz w:val="24"/>
                <w:szCs w:val="24"/>
              </w:rPr>
              <w:t xml:space="preserve">. Added reference showing lack of QOL benefit for </w:t>
            </w:r>
            <w:proofErr w:type="spellStart"/>
            <w:r w:rsidRPr="00FA3F9C">
              <w:rPr>
                <w:rFonts w:ascii="Arial" w:hAnsi="Arial" w:cs="Arial"/>
                <w:sz w:val="24"/>
                <w:szCs w:val="24"/>
              </w:rPr>
              <w:t>elo</w:t>
            </w:r>
            <w:proofErr w:type="spellEnd"/>
            <w:r w:rsidRPr="00FA3F9C">
              <w:rPr>
                <w:rFonts w:ascii="Arial" w:hAnsi="Arial" w:cs="Arial"/>
                <w:sz w:val="24"/>
                <w:szCs w:val="24"/>
              </w:rPr>
              <w:t>/pom/</w:t>
            </w:r>
            <w:proofErr w:type="spellStart"/>
            <w:r w:rsidRPr="00FA3F9C">
              <w:rPr>
                <w:rFonts w:ascii="Arial" w:hAnsi="Arial" w:cs="Arial"/>
                <w:sz w:val="24"/>
                <w:szCs w:val="24"/>
              </w:rPr>
              <w:t>dex</w:t>
            </w:r>
            <w:proofErr w:type="spellEnd"/>
            <w:r w:rsidRPr="00FA3F9C">
              <w:rPr>
                <w:rFonts w:ascii="Arial" w:hAnsi="Arial" w:cs="Arial"/>
                <w:sz w:val="24"/>
                <w:szCs w:val="24"/>
              </w:rPr>
              <w:t>.</w:t>
            </w:r>
          </w:p>
        </w:tc>
        <w:tc>
          <w:tcPr>
            <w:tcW w:w="2538" w:type="dxa"/>
          </w:tcPr>
          <w:p w14:paraId="648F933B" w14:textId="77777777" w:rsidR="001506C1" w:rsidRPr="00FA3F9C" w:rsidRDefault="001506C1" w:rsidP="006F623F">
            <w:pPr>
              <w:rPr>
                <w:rFonts w:ascii="Arial" w:hAnsi="Arial" w:cs="Arial"/>
                <w:sz w:val="24"/>
                <w:szCs w:val="24"/>
              </w:rPr>
            </w:pPr>
            <w:r w:rsidRPr="00FA3F9C">
              <w:rPr>
                <w:rFonts w:ascii="Arial" w:hAnsi="Arial" w:cs="Arial"/>
                <w:sz w:val="24"/>
                <w:szCs w:val="24"/>
              </w:rPr>
              <w:t>SK</w:t>
            </w:r>
          </w:p>
        </w:tc>
      </w:tr>
    </w:tbl>
    <w:p w14:paraId="4C9F7A2B" w14:textId="77777777" w:rsidR="001506C1" w:rsidRPr="00FA3F9C" w:rsidRDefault="001506C1" w:rsidP="00E16D0E">
      <w:pPr>
        <w:spacing w:after="0"/>
        <w:rPr>
          <w:rFonts w:ascii="Arial" w:hAnsi="Arial" w:cs="Arial"/>
          <w:sz w:val="24"/>
          <w:szCs w:val="24"/>
        </w:rPr>
      </w:pPr>
    </w:p>
    <w:p w14:paraId="7BD1B30B" w14:textId="77777777" w:rsidR="001506C1" w:rsidRPr="00FA3F9C" w:rsidRDefault="001506C1" w:rsidP="00BE7C2A">
      <w:pPr>
        <w:pStyle w:val="Heading2"/>
      </w:pPr>
      <w:bookmarkStart w:id="90" w:name="_Toc106369785"/>
      <w:proofErr w:type="spellStart"/>
      <w:r w:rsidRPr="00FA3F9C">
        <w:t>Eltrombopag</w:t>
      </w:r>
      <w:proofErr w:type="spellEnd"/>
      <w:r w:rsidRPr="00FA3F9C">
        <w:t xml:space="preserve"> (</w:t>
      </w:r>
      <w:proofErr w:type="spellStart"/>
      <w:r w:rsidRPr="00FA3F9C">
        <w:t>Promacta</w:t>
      </w:r>
      <w:proofErr w:type="spellEnd"/>
      <w:r w:rsidRPr="00FA3F9C">
        <w:t>)</w:t>
      </w:r>
      <w:bookmarkEnd w:id="90"/>
      <w:r w:rsidRPr="00FA3F9C">
        <w:t xml:space="preserve"> </w:t>
      </w:r>
    </w:p>
    <w:p w14:paraId="36CEA39C" w14:textId="77777777" w:rsidR="001506C1" w:rsidRPr="00FA3F9C" w:rsidRDefault="001506C1" w:rsidP="008966F7">
      <w:pPr>
        <w:spacing w:after="0" w:line="276" w:lineRule="auto"/>
        <w:jc w:val="center"/>
        <w:rPr>
          <w:rFonts w:ascii="Arial" w:hAnsi="Arial" w:cs="Arial"/>
          <w:sz w:val="24"/>
          <w:szCs w:val="24"/>
        </w:rPr>
      </w:pPr>
      <w:r w:rsidRPr="00FA3F9C">
        <w:rPr>
          <w:rFonts w:ascii="Arial" w:hAnsi="Arial" w:cs="Arial"/>
          <w:sz w:val="24"/>
          <w:szCs w:val="24"/>
        </w:rPr>
        <w:t>12.5mg, 25mg, 50mg, 75mg tablets</w:t>
      </w:r>
    </w:p>
    <w:p w14:paraId="30675FD4" w14:textId="77777777" w:rsidR="001506C1" w:rsidRPr="00FA3F9C" w:rsidRDefault="001506C1" w:rsidP="008966F7">
      <w:pPr>
        <w:spacing w:after="0" w:line="276" w:lineRule="auto"/>
        <w:jc w:val="center"/>
        <w:rPr>
          <w:rFonts w:ascii="Arial" w:hAnsi="Arial" w:cs="Arial"/>
          <w:sz w:val="24"/>
          <w:szCs w:val="24"/>
        </w:rPr>
      </w:pPr>
      <w:r w:rsidRPr="00FA3F9C">
        <w:rPr>
          <w:rFonts w:ascii="Arial" w:hAnsi="Arial" w:cs="Arial"/>
          <w:sz w:val="24"/>
          <w:szCs w:val="24"/>
        </w:rPr>
        <w:t>12.5mg, 25mg packets for oral suspension</w:t>
      </w:r>
    </w:p>
    <w:p w14:paraId="08D41EC9" w14:textId="77777777" w:rsidR="001506C1" w:rsidRPr="00FA3F9C" w:rsidRDefault="001506C1" w:rsidP="008966F7">
      <w:pPr>
        <w:spacing w:after="0" w:line="276" w:lineRule="auto"/>
        <w:jc w:val="center"/>
        <w:rPr>
          <w:rFonts w:ascii="Arial" w:hAnsi="Arial" w:cs="Arial"/>
          <w:sz w:val="24"/>
          <w:szCs w:val="24"/>
        </w:rPr>
      </w:pPr>
      <w:r w:rsidRPr="00FA3F9C">
        <w:rPr>
          <w:rFonts w:ascii="Arial" w:hAnsi="Arial" w:cs="Arial"/>
          <w:sz w:val="24"/>
          <w:szCs w:val="24"/>
        </w:rPr>
        <w:t>EBRx PA criteria</w:t>
      </w:r>
    </w:p>
    <w:p w14:paraId="4CADC588" w14:textId="77777777" w:rsidR="001506C1" w:rsidRPr="00FA3F9C" w:rsidRDefault="001506C1" w:rsidP="008966F7">
      <w:pPr>
        <w:spacing w:after="0" w:line="276" w:lineRule="auto"/>
        <w:rPr>
          <w:rFonts w:ascii="Arial" w:hAnsi="Arial" w:cs="Arial"/>
          <w:sz w:val="24"/>
          <w:szCs w:val="24"/>
        </w:rPr>
      </w:pPr>
      <w:r w:rsidRPr="00FA3F9C">
        <w:rPr>
          <w:rFonts w:ascii="Arial" w:hAnsi="Arial" w:cs="Arial"/>
          <w:b/>
          <w:sz w:val="24"/>
          <w:szCs w:val="24"/>
          <w:u w:val="single"/>
        </w:rPr>
        <w:t>FDA approved indications:</w:t>
      </w:r>
      <w:r w:rsidRPr="00FA3F9C">
        <w:rPr>
          <w:rFonts w:ascii="Arial" w:hAnsi="Arial" w:cs="Arial"/>
          <w:sz w:val="24"/>
          <w:szCs w:val="24"/>
        </w:rPr>
        <w:t xml:space="preserve"> </w:t>
      </w:r>
    </w:p>
    <w:p w14:paraId="417FDB4E" w14:textId="77777777" w:rsidR="001506C1" w:rsidRPr="00FA3F9C" w:rsidRDefault="001506C1" w:rsidP="001506C1">
      <w:pPr>
        <w:pStyle w:val="ListParagraph"/>
        <w:numPr>
          <w:ilvl w:val="0"/>
          <w:numId w:val="166"/>
        </w:numPr>
        <w:spacing w:after="0" w:line="276" w:lineRule="auto"/>
        <w:rPr>
          <w:rFonts w:ascii="Arial" w:hAnsi="Arial" w:cs="Arial"/>
          <w:sz w:val="24"/>
          <w:szCs w:val="24"/>
        </w:rPr>
      </w:pPr>
      <w:r w:rsidRPr="00FA3F9C">
        <w:rPr>
          <w:rFonts w:ascii="Arial" w:hAnsi="Arial" w:cs="Arial"/>
          <w:sz w:val="24"/>
          <w:szCs w:val="24"/>
        </w:rPr>
        <w:t xml:space="preserve">Chronic immune (idiopathic) thrombocytopenia (ITP): treatment of thrombocytopenia in adult and pediatric patients ≥ 1y of age with chronic ITP who have had insufficient response to corticosteroids, immune globulin, or splenectomy. </w:t>
      </w:r>
    </w:p>
    <w:p w14:paraId="610D2490" w14:textId="77777777" w:rsidR="001506C1" w:rsidRPr="00FA3F9C" w:rsidRDefault="001506C1" w:rsidP="001506C1">
      <w:pPr>
        <w:pStyle w:val="ListParagraph"/>
        <w:numPr>
          <w:ilvl w:val="0"/>
          <w:numId w:val="166"/>
        </w:numPr>
        <w:spacing w:after="0" w:line="276" w:lineRule="auto"/>
        <w:rPr>
          <w:rFonts w:ascii="Arial" w:hAnsi="Arial" w:cs="Arial"/>
          <w:sz w:val="24"/>
          <w:szCs w:val="24"/>
        </w:rPr>
      </w:pPr>
      <w:r w:rsidRPr="00FA3F9C">
        <w:rPr>
          <w:rFonts w:ascii="Arial" w:hAnsi="Arial" w:cs="Arial"/>
          <w:sz w:val="24"/>
          <w:szCs w:val="24"/>
        </w:rPr>
        <w:t>Aplastic anemia, severe: treatment of severe aplastic anemia in patients who have had an insufficient response to immunosuppressive therapy.</w:t>
      </w:r>
    </w:p>
    <w:p w14:paraId="5040915C" w14:textId="77777777" w:rsidR="001506C1" w:rsidRPr="00FA3F9C" w:rsidRDefault="001506C1" w:rsidP="001506C1">
      <w:pPr>
        <w:pStyle w:val="ListParagraph"/>
        <w:numPr>
          <w:ilvl w:val="0"/>
          <w:numId w:val="166"/>
        </w:numPr>
        <w:spacing w:after="0" w:line="276" w:lineRule="auto"/>
        <w:rPr>
          <w:rFonts w:ascii="Arial" w:hAnsi="Arial" w:cs="Arial"/>
          <w:sz w:val="24"/>
          <w:szCs w:val="24"/>
        </w:rPr>
      </w:pPr>
      <w:r w:rsidRPr="00FA3F9C">
        <w:rPr>
          <w:rFonts w:ascii="Arial" w:hAnsi="Arial" w:cs="Arial"/>
          <w:sz w:val="24"/>
          <w:szCs w:val="24"/>
        </w:rPr>
        <w:t>Aplastic anemia, severe: in combination with immunosuppressive therapy for the first line treatment of adult and pediatric patients 2 years and older with severe aplastic anemia</w:t>
      </w:r>
    </w:p>
    <w:p w14:paraId="58156996" w14:textId="77777777" w:rsidR="001506C1" w:rsidRPr="00FA3F9C" w:rsidRDefault="001506C1" w:rsidP="001506C1">
      <w:pPr>
        <w:pStyle w:val="ListParagraph"/>
        <w:numPr>
          <w:ilvl w:val="0"/>
          <w:numId w:val="166"/>
        </w:numPr>
        <w:spacing w:after="0" w:line="276" w:lineRule="auto"/>
        <w:rPr>
          <w:rFonts w:ascii="Arial" w:hAnsi="Arial" w:cs="Arial"/>
          <w:sz w:val="24"/>
          <w:szCs w:val="24"/>
        </w:rPr>
      </w:pPr>
      <w:r w:rsidRPr="00FA3F9C">
        <w:rPr>
          <w:rFonts w:ascii="Arial" w:hAnsi="Arial" w:cs="Arial"/>
          <w:sz w:val="24"/>
          <w:szCs w:val="24"/>
        </w:rPr>
        <w:t>Chronic hepatitis C infection-associated thrombocytopenia: treatment of thrombocytopenia in patients with chronic hepatitis C to allow the initiation and maintenance of interferon-based therapy.</w:t>
      </w:r>
    </w:p>
    <w:p w14:paraId="4880804D" w14:textId="77777777" w:rsidR="001506C1" w:rsidRPr="00FA3F9C" w:rsidRDefault="001506C1" w:rsidP="00F11AA2">
      <w:pPr>
        <w:spacing w:after="0" w:line="276" w:lineRule="auto"/>
        <w:rPr>
          <w:rFonts w:ascii="Arial" w:hAnsi="Arial" w:cs="Arial"/>
          <w:sz w:val="24"/>
          <w:szCs w:val="24"/>
        </w:rPr>
      </w:pPr>
    </w:p>
    <w:p w14:paraId="04C6D787" w14:textId="77777777" w:rsidR="001506C1" w:rsidRPr="00FA3F9C" w:rsidRDefault="001506C1" w:rsidP="00F11AA2">
      <w:pPr>
        <w:spacing w:after="0" w:line="276" w:lineRule="auto"/>
        <w:rPr>
          <w:rFonts w:ascii="Arial" w:hAnsi="Arial" w:cs="Arial"/>
          <w:b/>
          <w:sz w:val="24"/>
          <w:szCs w:val="24"/>
          <w:u w:val="single"/>
        </w:rPr>
      </w:pPr>
      <w:r w:rsidRPr="00FA3F9C">
        <w:rPr>
          <w:rFonts w:ascii="Arial" w:hAnsi="Arial" w:cs="Arial"/>
          <w:b/>
          <w:sz w:val="24"/>
          <w:szCs w:val="24"/>
          <w:u w:val="single"/>
        </w:rPr>
        <w:lastRenderedPageBreak/>
        <w:t>Other indication:</w:t>
      </w:r>
    </w:p>
    <w:p w14:paraId="5B470971" w14:textId="77777777" w:rsidR="001506C1" w:rsidRPr="00FA3F9C" w:rsidRDefault="001506C1" w:rsidP="00F11AA2">
      <w:pPr>
        <w:spacing w:after="0" w:line="276" w:lineRule="auto"/>
        <w:rPr>
          <w:rFonts w:ascii="Arial" w:hAnsi="Arial" w:cs="Arial"/>
          <w:sz w:val="24"/>
          <w:szCs w:val="24"/>
        </w:rPr>
      </w:pPr>
      <w:r w:rsidRPr="00FA3F9C">
        <w:rPr>
          <w:rFonts w:ascii="Arial" w:hAnsi="Arial" w:cs="Arial"/>
          <w:sz w:val="24"/>
          <w:szCs w:val="24"/>
        </w:rPr>
        <w:t xml:space="preserve">Pre-procedure use in chronic liver disease is an FDA-approved use for </w:t>
      </w:r>
      <w:proofErr w:type="spellStart"/>
      <w:r w:rsidRPr="00FA3F9C">
        <w:rPr>
          <w:rFonts w:ascii="Arial" w:hAnsi="Arial" w:cs="Arial"/>
          <w:sz w:val="24"/>
          <w:szCs w:val="24"/>
        </w:rPr>
        <w:t>avatrombopag</w:t>
      </w:r>
      <w:proofErr w:type="spellEnd"/>
      <w:r w:rsidRPr="00FA3F9C">
        <w:rPr>
          <w:rFonts w:ascii="Arial" w:hAnsi="Arial" w:cs="Arial"/>
          <w:sz w:val="24"/>
          <w:szCs w:val="24"/>
        </w:rPr>
        <w:t xml:space="preserve">; there are data to support </w:t>
      </w:r>
      <w:proofErr w:type="spellStart"/>
      <w:r w:rsidRPr="00FA3F9C">
        <w:rPr>
          <w:rFonts w:ascii="Arial" w:hAnsi="Arial" w:cs="Arial"/>
          <w:sz w:val="24"/>
          <w:szCs w:val="24"/>
        </w:rPr>
        <w:t>eltrombopag’s</w:t>
      </w:r>
      <w:proofErr w:type="spellEnd"/>
      <w:r w:rsidRPr="00FA3F9C">
        <w:rPr>
          <w:rFonts w:ascii="Arial" w:hAnsi="Arial" w:cs="Arial"/>
          <w:sz w:val="24"/>
          <w:szCs w:val="24"/>
        </w:rPr>
        <w:t xml:space="preserve"> use.  There are alternatives to these drugs which have not been compared; thus, platelet transfusion is the alternative covered by the plans on the medical benefit</w:t>
      </w:r>
    </w:p>
    <w:p w14:paraId="4F42251E" w14:textId="77777777" w:rsidR="001506C1" w:rsidRPr="00FA3F9C" w:rsidRDefault="001506C1" w:rsidP="008966F7">
      <w:pPr>
        <w:spacing w:after="0" w:line="276" w:lineRule="auto"/>
        <w:rPr>
          <w:rFonts w:ascii="Arial" w:hAnsi="Arial" w:cs="Arial"/>
          <w:sz w:val="24"/>
          <w:szCs w:val="24"/>
        </w:rPr>
      </w:pPr>
    </w:p>
    <w:p w14:paraId="3796CD69" w14:textId="77777777" w:rsidR="001506C1" w:rsidRPr="00FA3F9C" w:rsidRDefault="001506C1" w:rsidP="008966F7">
      <w:pPr>
        <w:spacing w:after="0" w:line="276" w:lineRule="auto"/>
        <w:rPr>
          <w:rFonts w:ascii="Arial" w:hAnsi="Arial" w:cs="Arial"/>
          <w:sz w:val="24"/>
          <w:szCs w:val="24"/>
        </w:rPr>
      </w:pPr>
      <w:r w:rsidRPr="00FA3F9C">
        <w:rPr>
          <w:rFonts w:ascii="Arial" w:hAnsi="Arial" w:cs="Arial"/>
          <w:sz w:val="24"/>
          <w:szCs w:val="24"/>
        </w:rPr>
        <w:t>*Not indicated for treatment of myelodysplastic syndromes.</w:t>
      </w:r>
    </w:p>
    <w:p w14:paraId="2F5302FF" w14:textId="77777777" w:rsidR="001506C1" w:rsidRPr="00FA3F9C" w:rsidRDefault="001506C1" w:rsidP="008966F7">
      <w:pPr>
        <w:spacing w:after="0" w:line="276" w:lineRule="auto"/>
        <w:rPr>
          <w:rFonts w:ascii="Arial" w:hAnsi="Arial" w:cs="Arial"/>
          <w:sz w:val="24"/>
          <w:szCs w:val="24"/>
        </w:rPr>
      </w:pPr>
      <w:r w:rsidRPr="00FA3F9C">
        <w:rPr>
          <w:rFonts w:ascii="Arial" w:hAnsi="Arial" w:cs="Arial"/>
          <w:sz w:val="24"/>
          <w:szCs w:val="24"/>
        </w:rPr>
        <w:t xml:space="preserve">*Do not use solely to normalize platelet counts </w:t>
      </w:r>
    </w:p>
    <w:p w14:paraId="1EA6BFEA" w14:textId="77777777" w:rsidR="001506C1" w:rsidRPr="00FA3F9C" w:rsidRDefault="001506C1" w:rsidP="008966F7">
      <w:pPr>
        <w:spacing w:after="0" w:line="276" w:lineRule="auto"/>
        <w:rPr>
          <w:rFonts w:ascii="Arial" w:hAnsi="Arial" w:cs="Arial"/>
          <w:sz w:val="24"/>
          <w:szCs w:val="24"/>
        </w:rPr>
      </w:pPr>
    </w:p>
    <w:tbl>
      <w:tblPr>
        <w:tblStyle w:val="TableGrid"/>
        <w:tblW w:w="11065" w:type="dxa"/>
        <w:tblLook w:val="04A0" w:firstRow="1" w:lastRow="0" w:firstColumn="1" w:lastColumn="0" w:noHBand="0" w:noVBand="1"/>
      </w:tblPr>
      <w:tblGrid>
        <w:gridCol w:w="7375"/>
        <w:gridCol w:w="3690"/>
      </w:tblGrid>
      <w:tr w:rsidR="001506C1" w:rsidRPr="00FA3F9C" w14:paraId="40834614" w14:textId="77777777" w:rsidTr="00A45161">
        <w:tc>
          <w:tcPr>
            <w:tcW w:w="11065" w:type="dxa"/>
            <w:gridSpan w:val="2"/>
            <w:shd w:val="clear" w:color="auto" w:fill="000000" w:themeFill="text1"/>
          </w:tcPr>
          <w:p w14:paraId="7E1D2E39" w14:textId="77777777" w:rsidR="001506C1" w:rsidRPr="00FA3F9C" w:rsidRDefault="001506C1" w:rsidP="00A45161">
            <w:pPr>
              <w:rPr>
                <w:rFonts w:ascii="Arial" w:hAnsi="Arial" w:cs="Arial"/>
                <w:sz w:val="24"/>
                <w:szCs w:val="24"/>
              </w:rPr>
            </w:pPr>
            <w:r w:rsidRPr="00FA3F9C">
              <w:rPr>
                <w:rFonts w:ascii="Arial" w:hAnsi="Arial" w:cs="Arial"/>
                <w:sz w:val="24"/>
                <w:szCs w:val="24"/>
              </w:rPr>
              <w:t>A. Chronic immune(idiopathic) thrombocytopenia (ITP)</w:t>
            </w:r>
          </w:p>
        </w:tc>
      </w:tr>
      <w:tr w:rsidR="001506C1" w:rsidRPr="00FA3F9C" w14:paraId="17A01346" w14:textId="77777777" w:rsidTr="00A45161">
        <w:tc>
          <w:tcPr>
            <w:tcW w:w="11065" w:type="dxa"/>
            <w:gridSpan w:val="2"/>
          </w:tcPr>
          <w:p w14:paraId="07245366" w14:textId="77777777" w:rsidR="001506C1" w:rsidRPr="00FA3F9C" w:rsidRDefault="001506C1" w:rsidP="00A45161">
            <w:pPr>
              <w:rPr>
                <w:rFonts w:ascii="Arial" w:hAnsi="Arial" w:cs="Arial"/>
                <w:sz w:val="24"/>
                <w:szCs w:val="24"/>
              </w:rPr>
            </w:pPr>
            <w:r w:rsidRPr="00FA3F9C">
              <w:rPr>
                <w:rFonts w:ascii="Arial" w:hAnsi="Arial" w:cs="Arial"/>
                <w:sz w:val="24"/>
                <w:szCs w:val="24"/>
              </w:rPr>
              <w:t>1. The patient must have a diagnosis of chronic ITP</w:t>
            </w:r>
          </w:p>
        </w:tc>
      </w:tr>
      <w:tr w:rsidR="001506C1" w:rsidRPr="00FA3F9C" w14:paraId="4D941861" w14:textId="77777777" w:rsidTr="00A45161">
        <w:tc>
          <w:tcPr>
            <w:tcW w:w="11065" w:type="dxa"/>
            <w:gridSpan w:val="2"/>
          </w:tcPr>
          <w:p w14:paraId="73102624" w14:textId="77777777" w:rsidR="001506C1" w:rsidRPr="00FA3F9C" w:rsidRDefault="001506C1" w:rsidP="00A45161">
            <w:pPr>
              <w:rPr>
                <w:rFonts w:ascii="Arial" w:hAnsi="Arial" w:cs="Arial"/>
                <w:sz w:val="24"/>
                <w:szCs w:val="24"/>
              </w:rPr>
            </w:pPr>
            <w:r w:rsidRPr="00FA3F9C">
              <w:rPr>
                <w:rFonts w:ascii="Arial" w:hAnsi="Arial" w:cs="Arial"/>
                <w:sz w:val="24"/>
                <w:szCs w:val="24"/>
              </w:rPr>
              <w:t>2. The patient must  ≥ 1y of age</w:t>
            </w:r>
          </w:p>
        </w:tc>
      </w:tr>
      <w:tr w:rsidR="001506C1" w:rsidRPr="00FA3F9C" w14:paraId="2F0679A9" w14:textId="77777777" w:rsidTr="00A45161">
        <w:tc>
          <w:tcPr>
            <w:tcW w:w="11065" w:type="dxa"/>
            <w:gridSpan w:val="2"/>
          </w:tcPr>
          <w:p w14:paraId="45783142" w14:textId="77777777" w:rsidR="001506C1" w:rsidRPr="00FA3F9C" w:rsidRDefault="001506C1" w:rsidP="001506C1">
            <w:pPr>
              <w:pStyle w:val="ListParagraph"/>
              <w:numPr>
                <w:ilvl w:val="0"/>
                <w:numId w:val="160"/>
              </w:numPr>
              <w:ind w:left="0"/>
              <w:rPr>
                <w:rFonts w:ascii="Arial" w:hAnsi="Arial" w:cs="Arial"/>
                <w:sz w:val="24"/>
                <w:szCs w:val="24"/>
              </w:rPr>
            </w:pPr>
            <w:r w:rsidRPr="00FA3F9C">
              <w:rPr>
                <w:rFonts w:ascii="Arial" w:hAnsi="Arial" w:cs="Arial"/>
                <w:sz w:val="24"/>
                <w:szCs w:val="24"/>
              </w:rPr>
              <w:t>3. The patient must have a degree of thrombocytopenia and clinical condition severe enough to increase risk of bleeding (</w:t>
            </w:r>
            <w:proofErr w:type="spellStart"/>
            <w:r w:rsidRPr="00FA3F9C">
              <w:rPr>
                <w:rFonts w:ascii="Arial" w:hAnsi="Arial" w:cs="Arial"/>
                <w:sz w:val="24"/>
                <w:szCs w:val="24"/>
              </w:rPr>
              <w:t>Plts</w:t>
            </w:r>
            <w:proofErr w:type="spellEnd"/>
            <w:r w:rsidRPr="00FA3F9C">
              <w:rPr>
                <w:rFonts w:ascii="Arial" w:hAnsi="Arial" w:cs="Arial"/>
                <w:sz w:val="24"/>
                <w:szCs w:val="24"/>
              </w:rPr>
              <w:t xml:space="preserve"> &lt; 30,000/mm</w:t>
            </w:r>
            <w:r w:rsidRPr="00FA3F9C">
              <w:rPr>
                <w:rFonts w:ascii="Arial" w:hAnsi="Arial" w:cs="Arial"/>
                <w:sz w:val="24"/>
                <w:szCs w:val="24"/>
                <w:vertAlign w:val="superscript"/>
              </w:rPr>
              <w:t>3</w:t>
            </w:r>
            <w:r w:rsidRPr="00FA3F9C">
              <w:rPr>
                <w:rFonts w:ascii="Arial" w:hAnsi="Arial" w:cs="Arial"/>
                <w:sz w:val="24"/>
                <w:szCs w:val="24"/>
              </w:rPr>
              <w:t>) or had a clinically important bleeding event recently (Call Center PharmD use judgement)</w:t>
            </w:r>
          </w:p>
        </w:tc>
      </w:tr>
      <w:tr w:rsidR="001506C1" w:rsidRPr="00FA3F9C" w14:paraId="4CD7DA2A" w14:textId="77777777" w:rsidTr="00A45161">
        <w:tc>
          <w:tcPr>
            <w:tcW w:w="11065" w:type="dxa"/>
            <w:gridSpan w:val="2"/>
          </w:tcPr>
          <w:p w14:paraId="26760337" w14:textId="77777777" w:rsidR="001506C1" w:rsidRPr="00FA3F9C" w:rsidRDefault="001506C1" w:rsidP="001506C1">
            <w:pPr>
              <w:pStyle w:val="ListParagraph"/>
              <w:numPr>
                <w:ilvl w:val="0"/>
                <w:numId w:val="160"/>
              </w:numPr>
              <w:ind w:left="0"/>
              <w:rPr>
                <w:rFonts w:ascii="Arial" w:hAnsi="Arial" w:cs="Arial"/>
                <w:sz w:val="24"/>
                <w:szCs w:val="24"/>
              </w:rPr>
            </w:pPr>
            <w:r w:rsidRPr="00FA3F9C">
              <w:rPr>
                <w:rFonts w:ascii="Arial" w:hAnsi="Arial" w:cs="Arial"/>
                <w:sz w:val="24"/>
                <w:szCs w:val="24"/>
              </w:rPr>
              <w:t>4. The patient must have tried and had an insufficient response to one of the following:</w:t>
            </w:r>
          </w:p>
          <w:p w14:paraId="18661F03" w14:textId="77777777" w:rsidR="001506C1" w:rsidRPr="00FA3F9C" w:rsidRDefault="001506C1" w:rsidP="001506C1">
            <w:pPr>
              <w:pStyle w:val="ListParagraph"/>
              <w:numPr>
                <w:ilvl w:val="2"/>
                <w:numId w:val="6"/>
              </w:numPr>
              <w:rPr>
                <w:rFonts w:ascii="Arial" w:hAnsi="Arial" w:cs="Arial"/>
                <w:sz w:val="24"/>
                <w:szCs w:val="24"/>
              </w:rPr>
            </w:pPr>
            <w:r w:rsidRPr="00FA3F9C">
              <w:rPr>
                <w:rFonts w:ascii="Arial" w:hAnsi="Arial" w:cs="Arial"/>
                <w:sz w:val="24"/>
                <w:szCs w:val="24"/>
              </w:rPr>
              <w:t xml:space="preserve">Dexamethasone 40mg x 4 days </w:t>
            </w:r>
          </w:p>
          <w:p w14:paraId="20C07B40" w14:textId="77777777" w:rsidR="001506C1" w:rsidRPr="00FA3F9C" w:rsidRDefault="001506C1" w:rsidP="001506C1">
            <w:pPr>
              <w:pStyle w:val="ListParagraph"/>
              <w:numPr>
                <w:ilvl w:val="2"/>
                <w:numId w:val="6"/>
              </w:numPr>
              <w:rPr>
                <w:rFonts w:ascii="Arial" w:hAnsi="Arial" w:cs="Arial"/>
                <w:sz w:val="24"/>
                <w:szCs w:val="24"/>
              </w:rPr>
            </w:pPr>
            <w:r w:rsidRPr="00FA3F9C">
              <w:rPr>
                <w:rFonts w:ascii="Arial" w:hAnsi="Arial" w:cs="Arial"/>
                <w:sz w:val="24"/>
                <w:szCs w:val="24"/>
              </w:rPr>
              <w:t>Prednisone 1mg/kg for 21d plus taper</w:t>
            </w:r>
          </w:p>
          <w:p w14:paraId="134512D4" w14:textId="77777777" w:rsidR="001506C1" w:rsidRPr="00FA3F9C" w:rsidRDefault="001506C1" w:rsidP="001506C1">
            <w:pPr>
              <w:pStyle w:val="ListParagraph"/>
              <w:numPr>
                <w:ilvl w:val="2"/>
                <w:numId w:val="6"/>
              </w:numPr>
              <w:rPr>
                <w:rFonts w:ascii="Arial" w:hAnsi="Arial" w:cs="Arial"/>
                <w:sz w:val="24"/>
                <w:szCs w:val="24"/>
              </w:rPr>
            </w:pPr>
            <w:r w:rsidRPr="00FA3F9C">
              <w:rPr>
                <w:rFonts w:ascii="Arial" w:hAnsi="Arial" w:cs="Arial"/>
                <w:sz w:val="24"/>
                <w:szCs w:val="24"/>
              </w:rPr>
              <w:t xml:space="preserve">IVIg </w:t>
            </w:r>
          </w:p>
          <w:p w14:paraId="5BF01AEB" w14:textId="77777777" w:rsidR="001506C1" w:rsidRPr="00FA3F9C" w:rsidRDefault="001506C1" w:rsidP="001506C1">
            <w:pPr>
              <w:pStyle w:val="ListParagraph"/>
              <w:numPr>
                <w:ilvl w:val="2"/>
                <w:numId w:val="6"/>
              </w:numPr>
              <w:rPr>
                <w:rFonts w:ascii="Arial" w:hAnsi="Arial" w:cs="Arial"/>
                <w:sz w:val="24"/>
                <w:szCs w:val="24"/>
                <w:lang w:val="fr-FR"/>
              </w:rPr>
            </w:pPr>
            <w:r w:rsidRPr="00FA3F9C">
              <w:rPr>
                <w:rFonts w:ascii="Arial" w:hAnsi="Arial" w:cs="Arial"/>
                <w:sz w:val="24"/>
                <w:szCs w:val="24"/>
                <w:lang w:val="fr-FR"/>
              </w:rPr>
              <w:t>Anti-D (rho D immune globulin)</w:t>
            </w:r>
          </w:p>
          <w:p w14:paraId="25458349" w14:textId="77777777" w:rsidR="001506C1" w:rsidRPr="00FA3F9C" w:rsidRDefault="001506C1" w:rsidP="001506C1">
            <w:pPr>
              <w:pStyle w:val="ListParagraph"/>
              <w:numPr>
                <w:ilvl w:val="2"/>
                <w:numId w:val="6"/>
              </w:numPr>
              <w:rPr>
                <w:rFonts w:ascii="Arial" w:hAnsi="Arial" w:cs="Arial"/>
                <w:sz w:val="24"/>
                <w:szCs w:val="24"/>
              </w:rPr>
            </w:pPr>
            <w:r w:rsidRPr="00FA3F9C">
              <w:rPr>
                <w:rFonts w:ascii="Arial" w:hAnsi="Arial" w:cs="Arial"/>
                <w:sz w:val="24"/>
                <w:szCs w:val="24"/>
              </w:rPr>
              <w:t>Splenectomy</w:t>
            </w:r>
          </w:p>
          <w:p w14:paraId="76CA6028" w14:textId="77777777" w:rsidR="001506C1" w:rsidRPr="00FA3F9C" w:rsidRDefault="001506C1" w:rsidP="00723343">
            <w:pPr>
              <w:rPr>
                <w:rFonts w:ascii="Arial" w:hAnsi="Arial" w:cs="Arial"/>
                <w:sz w:val="24"/>
                <w:szCs w:val="24"/>
              </w:rPr>
            </w:pPr>
            <w:r w:rsidRPr="00FA3F9C">
              <w:rPr>
                <w:rFonts w:ascii="Arial" w:hAnsi="Arial" w:cs="Arial"/>
                <w:sz w:val="24"/>
                <w:szCs w:val="24"/>
              </w:rPr>
              <w:t>*</w:t>
            </w:r>
            <w:proofErr w:type="gramStart"/>
            <w:r w:rsidRPr="00FA3F9C">
              <w:rPr>
                <w:rFonts w:ascii="Arial" w:hAnsi="Arial" w:cs="Arial"/>
                <w:sz w:val="24"/>
                <w:szCs w:val="24"/>
              </w:rPr>
              <w:t>insufficient</w:t>
            </w:r>
            <w:proofErr w:type="gramEnd"/>
            <w:r w:rsidRPr="00FA3F9C">
              <w:rPr>
                <w:rFonts w:ascii="Arial" w:hAnsi="Arial" w:cs="Arial"/>
                <w:sz w:val="24"/>
                <w:szCs w:val="24"/>
              </w:rPr>
              <w:t xml:space="preserve"> response= platelet count fails to increase to a level that avoids clinically important bleeding after 4 weeks</w:t>
            </w:r>
          </w:p>
        </w:tc>
      </w:tr>
      <w:tr w:rsidR="001506C1" w:rsidRPr="00FA3F9C" w14:paraId="1E45BEE5" w14:textId="77777777" w:rsidTr="00A45161">
        <w:tc>
          <w:tcPr>
            <w:tcW w:w="11065" w:type="dxa"/>
            <w:gridSpan w:val="2"/>
          </w:tcPr>
          <w:p w14:paraId="0FD94C03" w14:textId="77777777" w:rsidR="001506C1" w:rsidRPr="00FA3F9C" w:rsidRDefault="001506C1" w:rsidP="001506C1">
            <w:pPr>
              <w:pStyle w:val="ListParagraph"/>
              <w:numPr>
                <w:ilvl w:val="0"/>
                <w:numId w:val="160"/>
              </w:numPr>
              <w:ind w:left="0"/>
              <w:rPr>
                <w:rFonts w:ascii="Arial" w:hAnsi="Arial" w:cs="Arial"/>
                <w:sz w:val="24"/>
                <w:szCs w:val="24"/>
              </w:rPr>
            </w:pPr>
            <w:r w:rsidRPr="00FA3F9C">
              <w:rPr>
                <w:rFonts w:ascii="Arial" w:hAnsi="Arial" w:cs="Arial"/>
                <w:sz w:val="24"/>
                <w:szCs w:val="24"/>
              </w:rPr>
              <w:t xml:space="preserve">5. If </w:t>
            </w:r>
            <w:proofErr w:type="spellStart"/>
            <w:r w:rsidRPr="00FA3F9C">
              <w:rPr>
                <w:rFonts w:ascii="Arial" w:hAnsi="Arial" w:cs="Arial"/>
                <w:sz w:val="24"/>
                <w:szCs w:val="24"/>
              </w:rPr>
              <w:t>eltrombopag</w:t>
            </w:r>
            <w:proofErr w:type="spellEnd"/>
            <w:r w:rsidRPr="00FA3F9C">
              <w:rPr>
                <w:rFonts w:ascii="Arial" w:hAnsi="Arial" w:cs="Arial"/>
                <w:sz w:val="24"/>
                <w:szCs w:val="24"/>
              </w:rPr>
              <w:t xml:space="preserve"> PACKETS for oral suspension are to be used AND dose is greater than 25 mg daily, patient must be unable to swallow tablets (see pricing info below).</w:t>
            </w:r>
          </w:p>
        </w:tc>
      </w:tr>
      <w:tr w:rsidR="001506C1" w:rsidRPr="00FA3F9C" w14:paraId="67A2A517" w14:textId="77777777" w:rsidTr="00A45161">
        <w:tc>
          <w:tcPr>
            <w:tcW w:w="11065" w:type="dxa"/>
            <w:gridSpan w:val="2"/>
          </w:tcPr>
          <w:p w14:paraId="74B92CAF" w14:textId="77777777" w:rsidR="001506C1" w:rsidRPr="00FA3F9C" w:rsidRDefault="001506C1" w:rsidP="00A45161">
            <w:pPr>
              <w:pStyle w:val="ListParagraph"/>
              <w:ind w:left="0"/>
              <w:rPr>
                <w:rFonts w:ascii="Arial" w:hAnsi="Arial" w:cs="Arial"/>
                <w:sz w:val="24"/>
                <w:szCs w:val="24"/>
              </w:rPr>
            </w:pPr>
            <w:r w:rsidRPr="00FA3F9C">
              <w:rPr>
                <w:rFonts w:ascii="Arial" w:hAnsi="Arial" w:cs="Arial"/>
                <w:sz w:val="24"/>
                <w:szCs w:val="24"/>
              </w:rPr>
              <w:t xml:space="preserve">PROPER DOSAGE *use lowest dosage needed to achieve and maintain </w:t>
            </w:r>
            <w:proofErr w:type="spellStart"/>
            <w:r w:rsidRPr="00FA3F9C">
              <w:rPr>
                <w:rFonts w:ascii="Arial" w:hAnsi="Arial" w:cs="Arial"/>
                <w:sz w:val="24"/>
                <w:szCs w:val="24"/>
              </w:rPr>
              <w:t>plts</w:t>
            </w:r>
            <w:proofErr w:type="spellEnd"/>
            <w:r w:rsidRPr="00FA3F9C">
              <w:rPr>
                <w:rFonts w:ascii="Arial" w:hAnsi="Arial" w:cs="Arial"/>
                <w:sz w:val="24"/>
                <w:szCs w:val="24"/>
              </w:rPr>
              <w:t xml:space="preserve"> ≥ 50,000/mm</w:t>
            </w:r>
            <w:r w:rsidRPr="00FA3F9C">
              <w:rPr>
                <w:rFonts w:ascii="Arial" w:hAnsi="Arial" w:cs="Arial"/>
                <w:sz w:val="24"/>
                <w:szCs w:val="24"/>
                <w:vertAlign w:val="superscript"/>
              </w:rPr>
              <w:t>3</w:t>
            </w:r>
            <w:r w:rsidRPr="00FA3F9C">
              <w:rPr>
                <w:rFonts w:ascii="Arial" w:hAnsi="Arial" w:cs="Arial"/>
                <w:sz w:val="24"/>
                <w:szCs w:val="24"/>
              </w:rPr>
              <w:t xml:space="preserve"> to reduce risk of bleeding</w:t>
            </w:r>
          </w:p>
          <w:p w14:paraId="7EF41913" w14:textId="77777777" w:rsidR="001506C1" w:rsidRPr="00FA3F9C" w:rsidRDefault="001506C1" w:rsidP="00A45161">
            <w:pPr>
              <w:rPr>
                <w:rFonts w:ascii="Arial" w:hAnsi="Arial" w:cs="Arial"/>
                <w:sz w:val="24"/>
                <w:szCs w:val="24"/>
              </w:rPr>
            </w:pPr>
            <w:r w:rsidRPr="00FA3F9C">
              <w:rPr>
                <w:rFonts w:ascii="Arial" w:hAnsi="Arial" w:cs="Arial"/>
                <w:sz w:val="24"/>
                <w:szCs w:val="24"/>
              </w:rPr>
              <w:t xml:space="preserve">Initial: 50 mg once daily (25mg if East-Asian ethnicity such as Chinese, Japanese, Korean, Taiwanese) dose should be titrated based on </w:t>
            </w:r>
            <w:proofErr w:type="spellStart"/>
            <w:r w:rsidRPr="00FA3F9C">
              <w:rPr>
                <w:rFonts w:ascii="Arial" w:hAnsi="Arial" w:cs="Arial"/>
                <w:sz w:val="24"/>
                <w:szCs w:val="24"/>
              </w:rPr>
              <w:t>plt</w:t>
            </w:r>
            <w:proofErr w:type="spellEnd"/>
            <w:r w:rsidRPr="00FA3F9C">
              <w:rPr>
                <w:rFonts w:ascii="Arial" w:hAnsi="Arial" w:cs="Arial"/>
                <w:sz w:val="24"/>
                <w:szCs w:val="24"/>
              </w:rPr>
              <w:t xml:space="preserve"> response [MAX=75mg/d]</w:t>
            </w:r>
          </w:p>
          <w:p w14:paraId="7572F67E" w14:textId="77777777" w:rsidR="001506C1" w:rsidRPr="00FA3F9C" w:rsidRDefault="001506C1" w:rsidP="00A45161">
            <w:pPr>
              <w:rPr>
                <w:rFonts w:ascii="Arial" w:hAnsi="Arial" w:cs="Arial"/>
                <w:sz w:val="24"/>
                <w:szCs w:val="24"/>
              </w:rPr>
            </w:pPr>
            <w:r w:rsidRPr="00FA3F9C">
              <w:rPr>
                <w:rFonts w:ascii="Arial" w:hAnsi="Arial" w:cs="Arial"/>
                <w:sz w:val="24"/>
                <w:szCs w:val="24"/>
              </w:rPr>
              <w:t xml:space="preserve">Based on </w:t>
            </w:r>
            <w:proofErr w:type="spellStart"/>
            <w:r w:rsidRPr="00FA3F9C">
              <w:rPr>
                <w:rFonts w:ascii="Arial" w:hAnsi="Arial" w:cs="Arial"/>
                <w:sz w:val="24"/>
                <w:szCs w:val="24"/>
              </w:rPr>
              <w:t>plt</w:t>
            </w:r>
            <w:proofErr w:type="spellEnd"/>
            <w:r w:rsidRPr="00FA3F9C">
              <w:rPr>
                <w:rFonts w:ascii="Arial" w:hAnsi="Arial" w:cs="Arial"/>
                <w:sz w:val="24"/>
                <w:szCs w:val="24"/>
              </w:rPr>
              <w:t xml:space="preserve"> response:</w:t>
            </w:r>
          </w:p>
          <w:p w14:paraId="56674512" w14:textId="77777777" w:rsidR="001506C1" w:rsidRPr="00FA3F9C" w:rsidRDefault="001506C1" w:rsidP="008966F7">
            <w:pPr>
              <w:pStyle w:val="ListParagraph"/>
              <w:ind w:left="242" w:hanging="242"/>
              <w:rPr>
                <w:rFonts w:ascii="Arial" w:hAnsi="Arial" w:cs="Arial"/>
                <w:sz w:val="24"/>
                <w:szCs w:val="24"/>
              </w:rPr>
            </w:pPr>
            <w:r w:rsidRPr="00FA3F9C">
              <w:rPr>
                <w:rFonts w:ascii="Arial" w:hAnsi="Arial" w:cs="Arial"/>
                <w:sz w:val="24"/>
                <w:szCs w:val="24"/>
              </w:rPr>
              <w:t xml:space="preserve">  •</w:t>
            </w:r>
            <w:proofErr w:type="spellStart"/>
            <w:r w:rsidRPr="00FA3F9C">
              <w:rPr>
                <w:rFonts w:ascii="Arial" w:hAnsi="Arial" w:cs="Arial"/>
                <w:sz w:val="24"/>
                <w:szCs w:val="24"/>
              </w:rPr>
              <w:t>Plt</w:t>
            </w:r>
            <w:proofErr w:type="spellEnd"/>
            <w:r w:rsidRPr="00FA3F9C">
              <w:rPr>
                <w:rFonts w:ascii="Arial" w:hAnsi="Arial" w:cs="Arial"/>
                <w:sz w:val="24"/>
                <w:szCs w:val="24"/>
              </w:rPr>
              <w:t xml:space="preserve"> &lt;50,000/mm</w:t>
            </w:r>
            <w:r w:rsidRPr="00FA3F9C">
              <w:rPr>
                <w:rFonts w:ascii="Arial" w:hAnsi="Arial" w:cs="Arial"/>
                <w:sz w:val="24"/>
                <w:szCs w:val="24"/>
                <w:vertAlign w:val="superscript"/>
              </w:rPr>
              <w:t>3</w:t>
            </w:r>
            <w:r w:rsidRPr="00FA3F9C">
              <w:rPr>
                <w:rFonts w:ascii="Arial" w:hAnsi="Arial" w:cs="Arial"/>
                <w:sz w:val="24"/>
                <w:szCs w:val="24"/>
              </w:rPr>
              <w:t xml:space="preserve"> (≥ 2 </w:t>
            </w:r>
            <w:proofErr w:type="spellStart"/>
            <w:r w:rsidRPr="00FA3F9C">
              <w:rPr>
                <w:rFonts w:ascii="Arial" w:hAnsi="Arial" w:cs="Arial"/>
                <w:sz w:val="24"/>
                <w:szCs w:val="24"/>
              </w:rPr>
              <w:t>wks</w:t>
            </w:r>
            <w:proofErr w:type="spellEnd"/>
            <w:r w:rsidRPr="00FA3F9C">
              <w:rPr>
                <w:rFonts w:ascii="Arial" w:hAnsi="Arial" w:cs="Arial"/>
                <w:sz w:val="24"/>
                <w:szCs w:val="24"/>
              </w:rPr>
              <w:t xml:space="preserve"> after initiation or increase): increase dose by 25m (unless taking 12.5mg then only increase to 25mg/ d)  [MAX=75mg/d]</w:t>
            </w:r>
          </w:p>
          <w:p w14:paraId="52D1A2C6" w14:textId="77777777" w:rsidR="001506C1" w:rsidRPr="00FA3F9C" w:rsidRDefault="001506C1" w:rsidP="008966F7">
            <w:pPr>
              <w:pStyle w:val="ListParagraph"/>
              <w:ind w:left="242" w:hanging="242"/>
              <w:rPr>
                <w:rFonts w:ascii="Arial" w:hAnsi="Arial" w:cs="Arial"/>
                <w:sz w:val="24"/>
                <w:szCs w:val="24"/>
              </w:rPr>
            </w:pPr>
            <w:r w:rsidRPr="00FA3F9C">
              <w:rPr>
                <w:rFonts w:ascii="Arial" w:hAnsi="Arial" w:cs="Arial"/>
                <w:sz w:val="24"/>
                <w:szCs w:val="24"/>
              </w:rPr>
              <w:lastRenderedPageBreak/>
              <w:t xml:space="preserve">  •</w:t>
            </w:r>
            <w:proofErr w:type="spellStart"/>
            <w:r w:rsidRPr="00FA3F9C">
              <w:rPr>
                <w:rFonts w:ascii="Arial" w:hAnsi="Arial" w:cs="Arial"/>
                <w:sz w:val="24"/>
                <w:szCs w:val="24"/>
              </w:rPr>
              <w:t>Plt</w:t>
            </w:r>
            <w:proofErr w:type="spellEnd"/>
            <w:r w:rsidRPr="00FA3F9C">
              <w:rPr>
                <w:rFonts w:ascii="Arial" w:hAnsi="Arial" w:cs="Arial"/>
                <w:sz w:val="24"/>
                <w:szCs w:val="24"/>
              </w:rPr>
              <w:t xml:space="preserve"> ≥200,000/mm</w:t>
            </w:r>
            <w:r w:rsidRPr="00FA3F9C">
              <w:rPr>
                <w:rFonts w:ascii="Arial" w:hAnsi="Arial" w:cs="Arial"/>
                <w:sz w:val="24"/>
                <w:szCs w:val="24"/>
                <w:vertAlign w:val="superscript"/>
              </w:rPr>
              <w:t>3</w:t>
            </w:r>
            <w:r w:rsidRPr="00FA3F9C">
              <w:rPr>
                <w:rFonts w:ascii="Arial" w:hAnsi="Arial" w:cs="Arial"/>
                <w:sz w:val="24"/>
                <w:szCs w:val="24"/>
              </w:rPr>
              <w:t xml:space="preserve"> to ≤ 400,000/mm</w:t>
            </w:r>
            <w:r w:rsidRPr="00FA3F9C">
              <w:rPr>
                <w:rFonts w:ascii="Arial" w:hAnsi="Arial" w:cs="Arial"/>
                <w:sz w:val="24"/>
                <w:szCs w:val="24"/>
                <w:vertAlign w:val="superscript"/>
              </w:rPr>
              <w:t>3</w:t>
            </w:r>
            <w:r w:rsidRPr="00FA3F9C">
              <w:rPr>
                <w:rFonts w:ascii="Arial" w:hAnsi="Arial" w:cs="Arial"/>
                <w:sz w:val="24"/>
                <w:szCs w:val="24"/>
              </w:rPr>
              <w:t xml:space="preserve"> (at any time): Reduce daily dose by 25mg and if taking 25mg/d decrease to 12.5mg/d</w:t>
            </w:r>
          </w:p>
          <w:p w14:paraId="4F5E5A99" w14:textId="77777777" w:rsidR="001506C1" w:rsidRPr="00FA3F9C" w:rsidRDefault="001506C1" w:rsidP="008966F7">
            <w:pPr>
              <w:pStyle w:val="ListParagraph"/>
              <w:ind w:left="242" w:hanging="242"/>
              <w:rPr>
                <w:rFonts w:ascii="Arial" w:hAnsi="Arial" w:cs="Arial"/>
                <w:sz w:val="24"/>
                <w:szCs w:val="24"/>
              </w:rPr>
            </w:pPr>
            <w:r w:rsidRPr="00FA3F9C">
              <w:rPr>
                <w:rFonts w:ascii="Arial" w:hAnsi="Arial" w:cs="Arial"/>
                <w:sz w:val="24"/>
                <w:szCs w:val="24"/>
              </w:rPr>
              <w:t xml:space="preserve">  •</w:t>
            </w:r>
            <w:proofErr w:type="spellStart"/>
            <w:r w:rsidRPr="00FA3F9C">
              <w:rPr>
                <w:rFonts w:ascii="Arial" w:hAnsi="Arial" w:cs="Arial"/>
                <w:sz w:val="24"/>
                <w:szCs w:val="24"/>
              </w:rPr>
              <w:t>Plt</w:t>
            </w:r>
            <w:proofErr w:type="spellEnd"/>
            <w:r w:rsidRPr="00FA3F9C">
              <w:rPr>
                <w:rFonts w:ascii="Arial" w:hAnsi="Arial" w:cs="Arial"/>
                <w:sz w:val="24"/>
                <w:szCs w:val="24"/>
              </w:rPr>
              <w:t xml:space="preserve"> &gt; 400,000/mm</w:t>
            </w:r>
            <w:r w:rsidRPr="00FA3F9C">
              <w:rPr>
                <w:rFonts w:ascii="Arial" w:hAnsi="Arial" w:cs="Arial"/>
                <w:sz w:val="24"/>
                <w:szCs w:val="24"/>
                <w:vertAlign w:val="superscript"/>
              </w:rPr>
              <w:t>3</w:t>
            </w:r>
            <w:r w:rsidRPr="00FA3F9C">
              <w:rPr>
                <w:rFonts w:ascii="Arial" w:hAnsi="Arial" w:cs="Arial"/>
                <w:sz w:val="24"/>
                <w:szCs w:val="24"/>
              </w:rPr>
              <w:t xml:space="preserve">: withhold dose and assess </w:t>
            </w:r>
            <w:proofErr w:type="spellStart"/>
            <w:r w:rsidRPr="00FA3F9C">
              <w:rPr>
                <w:rFonts w:ascii="Arial" w:hAnsi="Arial" w:cs="Arial"/>
                <w:sz w:val="24"/>
                <w:szCs w:val="24"/>
              </w:rPr>
              <w:t>plt</w:t>
            </w:r>
            <w:proofErr w:type="spellEnd"/>
            <w:r w:rsidRPr="00FA3F9C">
              <w:rPr>
                <w:rFonts w:ascii="Arial" w:hAnsi="Arial" w:cs="Arial"/>
                <w:sz w:val="24"/>
                <w:szCs w:val="24"/>
              </w:rPr>
              <w:t xml:space="preserve"> count twice weekly and can resume the daily dose reduced by 25mg</w:t>
            </w:r>
          </w:p>
          <w:p w14:paraId="71C68329" w14:textId="77777777" w:rsidR="001506C1" w:rsidRPr="00FA3F9C" w:rsidRDefault="001506C1" w:rsidP="008966F7">
            <w:pPr>
              <w:ind w:left="242" w:hanging="242"/>
              <w:rPr>
                <w:rFonts w:ascii="Arial" w:eastAsia="MS Gothic" w:hAnsi="Arial" w:cs="Arial"/>
                <w:color w:val="000000"/>
                <w:sz w:val="24"/>
                <w:szCs w:val="24"/>
              </w:rPr>
            </w:pPr>
            <w:r w:rsidRPr="00FA3F9C">
              <w:rPr>
                <w:rFonts w:ascii="Arial" w:hAnsi="Arial" w:cs="Arial"/>
                <w:sz w:val="24"/>
                <w:szCs w:val="24"/>
              </w:rPr>
              <w:t xml:space="preserve">  •</w:t>
            </w:r>
            <w:proofErr w:type="spellStart"/>
            <w:r w:rsidRPr="00FA3F9C">
              <w:rPr>
                <w:rFonts w:ascii="Arial" w:hAnsi="Arial" w:cs="Arial"/>
                <w:sz w:val="24"/>
                <w:szCs w:val="24"/>
              </w:rPr>
              <w:t>Plt</w:t>
            </w:r>
            <w:proofErr w:type="spellEnd"/>
            <w:r w:rsidRPr="00FA3F9C">
              <w:rPr>
                <w:rFonts w:ascii="Arial" w:hAnsi="Arial" w:cs="Arial"/>
                <w:sz w:val="24"/>
                <w:szCs w:val="24"/>
              </w:rPr>
              <w:t xml:space="preserve"> &gt;400,000/mm</w:t>
            </w:r>
            <w:r w:rsidRPr="00FA3F9C">
              <w:rPr>
                <w:rFonts w:ascii="Arial" w:hAnsi="Arial" w:cs="Arial"/>
                <w:sz w:val="24"/>
                <w:szCs w:val="24"/>
                <w:vertAlign w:val="superscript"/>
              </w:rPr>
              <w:t>3</w:t>
            </w:r>
            <w:r w:rsidRPr="00FA3F9C">
              <w:rPr>
                <w:rFonts w:ascii="Arial" w:hAnsi="Arial" w:cs="Arial"/>
                <w:sz w:val="24"/>
                <w:szCs w:val="24"/>
              </w:rPr>
              <w:t xml:space="preserve"> after 2 weeks at lowest dose: discontinue treatment</w:t>
            </w:r>
          </w:p>
        </w:tc>
      </w:tr>
      <w:tr w:rsidR="001506C1" w:rsidRPr="00FA3F9C" w14:paraId="6EAEB511" w14:textId="77777777" w:rsidTr="00A45161">
        <w:tc>
          <w:tcPr>
            <w:tcW w:w="11065" w:type="dxa"/>
            <w:gridSpan w:val="2"/>
          </w:tcPr>
          <w:p w14:paraId="65A46474" w14:textId="77777777" w:rsidR="001506C1" w:rsidRPr="00FA3F9C" w:rsidRDefault="001506C1" w:rsidP="00723343">
            <w:pPr>
              <w:rPr>
                <w:rFonts w:ascii="Arial" w:eastAsia="MS Gothic" w:hAnsi="Arial" w:cs="Arial"/>
                <w:color w:val="000000"/>
                <w:sz w:val="24"/>
                <w:szCs w:val="24"/>
              </w:rPr>
            </w:pPr>
            <w:r w:rsidRPr="00FA3F9C">
              <w:rPr>
                <w:rFonts w:ascii="Arial" w:hAnsi="Arial" w:cs="Arial"/>
                <w:sz w:val="24"/>
                <w:szCs w:val="24"/>
              </w:rPr>
              <w:lastRenderedPageBreak/>
              <w:t>If above criteria met, approve for 3 months; exceptions to 3mo can be granted by the medical director</w:t>
            </w:r>
          </w:p>
        </w:tc>
      </w:tr>
      <w:tr w:rsidR="001506C1" w:rsidRPr="00FA3F9C" w14:paraId="2A9BA7E7" w14:textId="77777777" w:rsidTr="00A45161">
        <w:tc>
          <w:tcPr>
            <w:tcW w:w="11065" w:type="dxa"/>
            <w:gridSpan w:val="2"/>
            <w:shd w:val="clear" w:color="auto" w:fill="D0CECE" w:themeFill="background2" w:themeFillShade="E6"/>
          </w:tcPr>
          <w:p w14:paraId="3F6541D7" w14:textId="77777777" w:rsidR="001506C1" w:rsidRPr="00FA3F9C" w:rsidRDefault="001506C1" w:rsidP="00A45161">
            <w:pPr>
              <w:rPr>
                <w:rFonts w:ascii="Arial" w:eastAsia="MS Gothic" w:hAnsi="Arial" w:cs="Arial"/>
                <w:color w:val="000000"/>
                <w:sz w:val="24"/>
                <w:szCs w:val="24"/>
              </w:rPr>
            </w:pPr>
            <w:r w:rsidRPr="00FA3F9C">
              <w:rPr>
                <w:rFonts w:ascii="Arial" w:hAnsi="Arial" w:cs="Arial"/>
                <w:sz w:val="24"/>
                <w:szCs w:val="24"/>
              </w:rPr>
              <w:t>Continuation criteria</w:t>
            </w:r>
          </w:p>
        </w:tc>
      </w:tr>
      <w:tr w:rsidR="001506C1" w:rsidRPr="00FA3F9C" w14:paraId="7CECB128" w14:textId="77777777" w:rsidTr="00A45161">
        <w:tc>
          <w:tcPr>
            <w:tcW w:w="11065" w:type="dxa"/>
            <w:gridSpan w:val="2"/>
          </w:tcPr>
          <w:p w14:paraId="308517BE" w14:textId="77777777" w:rsidR="001506C1" w:rsidRPr="00FA3F9C" w:rsidRDefault="001506C1" w:rsidP="00723343">
            <w:pPr>
              <w:rPr>
                <w:rFonts w:ascii="Arial" w:eastAsia="MS Gothic" w:hAnsi="Arial" w:cs="Arial"/>
                <w:color w:val="000000"/>
                <w:sz w:val="24"/>
                <w:szCs w:val="24"/>
              </w:rPr>
            </w:pPr>
            <w:r w:rsidRPr="00FA3F9C">
              <w:rPr>
                <w:rFonts w:ascii="Arial" w:hAnsi="Arial" w:cs="Arial"/>
                <w:sz w:val="24"/>
                <w:szCs w:val="24"/>
              </w:rPr>
              <w:t>1.  Platelet count has increased to a level that avoids clinically important bleeding, at least to 50,000/</w:t>
            </w:r>
            <w:proofErr w:type="spellStart"/>
            <w:r w:rsidRPr="00FA3F9C">
              <w:rPr>
                <w:rFonts w:ascii="Arial" w:hAnsi="Arial" w:cs="Arial"/>
                <w:sz w:val="24"/>
                <w:szCs w:val="24"/>
              </w:rPr>
              <w:t>uL</w:t>
            </w:r>
            <w:proofErr w:type="spellEnd"/>
            <w:r w:rsidRPr="00FA3F9C">
              <w:rPr>
                <w:rFonts w:ascii="Arial" w:hAnsi="Arial" w:cs="Arial"/>
                <w:sz w:val="24"/>
                <w:szCs w:val="24"/>
              </w:rPr>
              <w:t>.</w:t>
            </w:r>
          </w:p>
        </w:tc>
      </w:tr>
      <w:tr w:rsidR="001506C1" w:rsidRPr="00FA3F9C" w14:paraId="25026BBC" w14:textId="77777777" w:rsidTr="00A45161">
        <w:tc>
          <w:tcPr>
            <w:tcW w:w="11065" w:type="dxa"/>
            <w:gridSpan w:val="2"/>
          </w:tcPr>
          <w:p w14:paraId="1F554345" w14:textId="77777777" w:rsidR="001506C1" w:rsidRPr="00FA3F9C" w:rsidRDefault="001506C1" w:rsidP="00F11AA2">
            <w:pPr>
              <w:rPr>
                <w:rFonts w:ascii="Arial" w:eastAsia="MS Gothic" w:hAnsi="Arial" w:cs="Arial"/>
                <w:color w:val="000000"/>
                <w:sz w:val="24"/>
                <w:szCs w:val="24"/>
              </w:rPr>
            </w:pPr>
            <w:r w:rsidRPr="00FA3F9C">
              <w:rPr>
                <w:rFonts w:ascii="Arial" w:hAnsi="Arial" w:cs="Arial"/>
                <w:sz w:val="24"/>
                <w:szCs w:val="24"/>
              </w:rPr>
              <w:t>2. The patient should gain access only to the dose aligned with the platelet count.</w:t>
            </w:r>
          </w:p>
        </w:tc>
      </w:tr>
      <w:tr w:rsidR="001506C1" w:rsidRPr="00FA3F9C" w14:paraId="39D40324" w14:textId="77777777" w:rsidTr="00A45161">
        <w:tc>
          <w:tcPr>
            <w:tcW w:w="11065" w:type="dxa"/>
            <w:gridSpan w:val="2"/>
          </w:tcPr>
          <w:p w14:paraId="68EBD194" w14:textId="77777777" w:rsidR="001506C1" w:rsidRPr="00FA3F9C" w:rsidRDefault="001506C1" w:rsidP="008966F7">
            <w:pPr>
              <w:rPr>
                <w:rFonts w:ascii="Arial" w:eastAsia="MS Gothic" w:hAnsi="Arial" w:cs="Arial"/>
                <w:color w:val="000000"/>
                <w:sz w:val="24"/>
                <w:szCs w:val="24"/>
              </w:rPr>
            </w:pPr>
            <w:r w:rsidRPr="00FA3F9C">
              <w:rPr>
                <w:rFonts w:ascii="Arial" w:hAnsi="Arial" w:cs="Arial"/>
                <w:sz w:val="24"/>
                <w:szCs w:val="24"/>
              </w:rPr>
              <w:t>If yes to both, approve for 12 months</w:t>
            </w:r>
          </w:p>
        </w:tc>
      </w:tr>
      <w:tr w:rsidR="001506C1" w:rsidRPr="00FA3F9C" w14:paraId="50D7485C" w14:textId="77777777" w:rsidTr="00A45161">
        <w:tc>
          <w:tcPr>
            <w:tcW w:w="11065" w:type="dxa"/>
            <w:gridSpan w:val="2"/>
          </w:tcPr>
          <w:p w14:paraId="158956E5" w14:textId="77777777" w:rsidR="001506C1" w:rsidRPr="00FA3F9C" w:rsidRDefault="001506C1" w:rsidP="008966F7">
            <w:pPr>
              <w:rPr>
                <w:rFonts w:ascii="Arial" w:hAnsi="Arial" w:cs="Arial"/>
                <w:sz w:val="24"/>
                <w:szCs w:val="24"/>
              </w:rPr>
            </w:pPr>
          </w:p>
        </w:tc>
      </w:tr>
      <w:tr w:rsidR="001506C1" w:rsidRPr="00FA3F9C" w14:paraId="080FF06E" w14:textId="77777777" w:rsidTr="00A45161">
        <w:tc>
          <w:tcPr>
            <w:tcW w:w="7375" w:type="dxa"/>
            <w:shd w:val="clear" w:color="auto" w:fill="000000" w:themeFill="text1"/>
          </w:tcPr>
          <w:p w14:paraId="6DFFE1F6" w14:textId="77777777" w:rsidR="001506C1" w:rsidRPr="00FA3F9C" w:rsidRDefault="001506C1" w:rsidP="00A45161">
            <w:pPr>
              <w:rPr>
                <w:rFonts w:ascii="Arial" w:hAnsi="Arial" w:cs="Arial"/>
                <w:sz w:val="24"/>
                <w:szCs w:val="24"/>
              </w:rPr>
            </w:pPr>
            <w:r w:rsidRPr="00FA3F9C">
              <w:rPr>
                <w:rFonts w:ascii="Arial" w:hAnsi="Arial" w:cs="Arial"/>
                <w:sz w:val="24"/>
                <w:szCs w:val="24"/>
              </w:rPr>
              <w:t>B. Aplastic Anemia after prior therapy with immunosuppression</w:t>
            </w:r>
          </w:p>
        </w:tc>
        <w:tc>
          <w:tcPr>
            <w:tcW w:w="3690" w:type="dxa"/>
            <w:shd w:val="clear" w:color="auto" w:fill="000000" w:themeFill="text1"/>
          </w:tcPr>
          <w:p w14:paraId="0C8C93D4" w14:textId="77777777" w:rsidR="001506C1" w:rsidRPr="00FA3F9C" w:rsidRDefault="001506C1" w:rsidP="00A45161">
            <w:pPr>
              <w:rPr>
                <w:rFonts w:ascii="Arial" w:eastAsia="MS Gothic" w:hAnsi="Arial" w:cs="Arial"/>
                <w:color w:val="000000"/>
                <w:sz w:val="24"/>
                <w:szCs w:val="24"/>
              </w:rPr>
            </w:pPr>
          </w:p>
        </w:tc>
      </w:tr>
      <w:tr w:rsidR="001506C1" w:rsidRPr="00FA3F9C" w14:paraId="644D922F" w14:textId="77777777" w:rsidTr="00A45161">
        <w:tc>
          <w:tcPr>
            <w:tcW w:w="11065" w:type="dxa"/>
            <w:gridSpan w:val="2"/>
          </w:tcPr>
          <w:p w14:paraId="66875937" w14:textId="77777777" w:rsidR="001506C1" w:rsidRPr="00FA3F9C" w:rsidRDefault="001506C1" w:rsidP="001506C1">
            <w:pPr>
              <w:pStyle w:val="ListParagraph"/>
              <w:numPr>
                <w:ilvl w:val="0"/>
                <w:numId w:val="161"/>
              </w:numPr>
              <w:ind w:left="0"/>
              <w:rPr>
                <w:rFonts w:ascii="Arial" w:hAnsi="Arial" w:cs="Arial"/>
                <w:sz w:val="24"/>
                <w:szCs w:val="24"/>
              </w:rPr>
            </w:pPr>
            <w:r w:rsidRPr="00FA3F9C">
              <w:rPr>
                <w:rFonts w:ascii="Arial" w:hAnsi="Arial" w:cs="Arial"/>
                <w:sz w:val="24"/>
                <w:szCs w:val="24"/>
              </w:rPr>
              <w:t xml:space="preserve">1. The patient must have a diagnosis of SEVERE aplastic anemia </w:t>
            </w:r>
            <w:r w:rsidRPr="00FA3F9C">
              <w:rPr>
                <w:rFonts w:ascii="Arial" w:hAnsi="Arial" w:cs="Arial"/>
                <w:sz w:val="24"/>
                <w:szCs w:val="24"/>
                <w:vertAlign w:val="superscript"/>
              </w:rPr>
              <w:t xml:space="preserve">1 </w:t>
            </w:r>
            <w:r w:rsidRPr="00FA3F9C">
              <w:rPr>
                <w:rFonts w:ascii="Arial" w:hAnsi="Arial" w:cs="Arial"/>
                <w:sz w:val="24"/>
                <w:szCs w:val="24"/>
              </w:rPr>
              <w:t>(defined as follows)</w:t>
            </w:r>
          </w:p>
          <w:p w14:paraId="71768817" w14:textId="77777777" w:rsidR="001506C1" w:rsidRPr="00FA3F9C" w:rsidRDefault="001506C1" w:rsidP="001506C1">
            <w:pPr>
              <w:pStyle w:val="ListParagraph"/>
              <w:numPr>
                <w:ilvl w:val="1"/>
                <w:numId w:val="161"/>
              </w:numPr>
              <w:rPr>
                <w:rFonts w:ascii="Arial" w:hAnsi="Arial" w:cs="Arial"/>
                <w:sz w:val="24"/>
                <w:szCs w:val="24"/>
              </w:rPr>
            </w:pPr>
            <w:r w:rsidRPr="00FA3F9C">
              <w:rPr>
                <w:rFonts w:ascii="Arial" w:hAnsi="Arial" w:cs="Arial"/>
                <w:sz w:val="24"/>
                <w:szCs w:val="24"/>
              </w:rPr>
              <w:t>Marrow cellularity &lt;25% (or 25-50% with &lt;30% residual hematopoietic cells) + at least TWO of the following:</w:t>
            </w:r>
          </w:p>
          <w:p w14:paraId="6B4FD6E2" w14:textId="77777777" w:rsidR="001506C1" w:rsidRPr="00FA3F9C" w:rsidRDefault="001506C1" w:rsidP="001506C1">
            <w:pPr>
              <w:pStyle w:val="ListParagraph"/>
              <w:numPr>
                <w:ilvl w:val="2"/>
                <w:numId w:val="161"/>
              </w:numPr>
              <w:ind w:left="1440"/>
              <w:rPr>
                <w:rFonts w:ascii="Arial" w:hAnsi="Arial" w:cs="Arial"/>
                <w:sz w:val="24"/>
                <w:szCs w:val="24"/>
              </w:rPr>
            </w:pPr>
            <w:r w:rsidRPr="00FA3F9C">
              <w:rPr>
                <w:rFonts w:ascii="Arial" w:hAnsi="Arial" w:cs="Arial"/>
                <w:sz w:val="24"/>
                <w:szCs w:val="24"/>
              </w:rPr>
              <w:t>Neutrophils &lt;500/mm</w:t>
            </w:r>
            <w:r w:rsidRPr="00FA3F9C">
              <w:rPr>
                <w:rFonts w:ascii="Arial" w:hAnsi="Arial" w:cs="Arial"/>
                <w:sz w:val="24"/>
                <w:szCs w:val="24"/>
                <w:vertAlign w:val="superscript"/>
              </w:rPr>
              <w:t>3</w:t>
            </w:r>
          </w:p>
          <w:p w14:paraId="70F3981B" w14:textId="77777777" w:rsidR="001506C1" w:rsidRPr="00FA3F9C" w:rsidRDefault="001506C1" w:rsidP="001506C1">
            <w:pPr>
              <w:pStyle w:val="ListParagraph"/>
              <w:numPr>
                <w:ilvl w:val="2"/>
                <w:numId w:val="161"/>
              </w:numPr>
              <w:ind w:left="1440"/>
              <w:rPr>
                <w:rFonts w:ascii="Arial" w:hAnsi="Arial" w:cs="Arial"/>
                <w:sz w:val="24"/>
                <w:szCs w:val="24"/>
              </w:rPr>
            </w:pPr>
            <w:proofErr w:type="spellStart"/>
            <w:r w:rsidRPr="00FA3F9C">
              <w:rPr>
                <w:rFonts w:ascii="Arial" w:hAnsi="Arial" w:cs="Arial"/>
                <w:sz w:val="24"/>
                <w:szCs w:val="24"/>
              </w:rPr>
              <w:t>Plts</w:t>
            </w:r>
            <w:proofErr w:type="spellEnd"/>
            <w:r w:rsidRPr="00FA3F9C">
              <w:rPr>
                <w:rFonts w:ascii="Arial" w:hAnsi="Arial" w:cs="Arial"/>
                <w:sz w:val="24"/>
                <w:szCs w:val="24"/>
              </w:rPr>
              <w:t xml:space="preserve"> &lt; 20/mm</w:t>
            </w:r>
            <w:r w:rsidRPr="00FA3F9C">
              <w:rPr>
                <w:rFonts w:ascii="Arial" w:hAnsi="Arial" w:cs="Arial"/>
                <w:sz w:val="24"/>
                <w:szCs w:val="24"/>
                <w:vertAlign w:val="superscript"/>
              </w:rPr>
              <w:t>3</w:t>
            </w:r>
          </w:p>
          <w:p w14:paraId="4C1F3553" w14:textId="77777777" w:rsidR="001506C1" w:rsidRPr="00FA3F9C" w:rsidRDefault="001506C1" w:rsidP="001506C1">
            <w:pPr>
              <w:pStyle w:val="ListParagraph"/>
              <w:numPr>
                <w:ilvl w:val="2"/>
                <w:numId w:val="161"/>
              </w:numPr>
              <w:ind w:left="1440"/>
              <w:rPr>
                <w:rFonts w:ascii="Arial" w:eastAsia="MS Gothic" w:hAnsi="Arial" w:cs="Arial"/>
                <w:color w:val="000000"/>
                <w:sz w:val="24"/>
                <w:szCs w:val="24"/>
              </w:rPr>
            </w:pPr>
            <w:r w:rsidRPr="00FA3F9C">
              <w:rPr>
                <w:rFonts w:ascii="Arial" w:hAnsi="Arial" w:cs="Arial"/>
                <w:sz w:val="24"/>
                <w:szCs w:val="24"/>
              </w:rPr>
              <w:t>Reticulocyte count &lt;20/mm</w:t>
            </w:r>
            <w:r w:rsidRPr="00FA3F9C">
              <w:rPr>
                <w:rFonts w:ascii="Arial" w:hAnsi="Arial" w:cs="Arial"/>
                <w:sz w:val="24"/>
                <w:szCs w:val="24"/>
                <w:vertAlign w:val="superscript"/>
              </w:rPr>
              <w:t>3</w:t>
            </w:r>
          </w:p>
        </w:tc>
      </w:tr>
      <w:tr w:rsidR="001506C1" w:rsidRPr="00FA3F9C" w14:paraId="5A3DE9CE" w14:textId="77777777" w:rsidTr="00A45161">
        <w:tc>
          <w:tcPr>
            <w:tcW w:w="11065" w:type="dxa"/>
            <w:gridSpan w:val="2"/>
          </w:tcPr>
          <w:p w14:paraId="0EEDF789" w14:textId="77777777" w:rsidR="001506C1" w:rsidRPr="00FA3F9C" w:rsidRDefault="001506C1" w:rsidP="001506C1">
            <w:pPr>
              <w:pStyle w:val="ListParagraph"/>
              <w:numPr>
                <w:ilvl w:val="0"/>
                <w:numId w:val="161"/>
              </w:numPr>
              <w:ind w:left="0"/>
              <w:rPr>
                <w:rFonts w:ascii="Arial" w:eastAsia="MS Gothic" w:hAnsi="Arial" w:cs="Arial"/>
                <w:color w:val="000000"/>
                <w:sz w:val="24"/>
                <w:szCs w:val="24"/>
              </w:rPr>
            </w:pPr>
            <w:r w:rsidRPr="00FA3F9C">
              <w:rPr>
                <w:rFonts w:ascii="Arial" w:hAnsi="Arial" w:cs="Arial"/>
                <w:sz w:val="24"/>
                <w:szCs w:val="24"/>
              </w:rPr>
              <w:t xml:space="preserve">2. The patient must have had an inadequate response to the immunosuppressant regimen: cyclosporine + </w:t>
            </w:r>
            <w:proofErr w:type="spellStart"/>
            <w:r w:rsidRPr="00FA3F9C">
              <w:rPr>
                <w:rFonts w:ascii="Arial" w:hAnsi="Arial" w:cs="Arial"/>
                <w:sz w:val="24"/>
                <w:szCs w:val="24"/>
              </w:rPr>
              <w:t>antithymocyte</w:t>
            </w:r>
            <w:proofErr w:type="spellEnd"/>
            <w:r w:rsidRPr="00FA3F9C">
              <w:rPr>
                <w:rFonts w:ascii="Arial" w:hAnsi="Arial" w:cs="Arial"/>
                <w:sz w:val="24"/>
                <w:szCs w:val="24"/>
              </w:rPr>
              <w:t xml:space="preserve"> globulin (Equine) (most current guideline recommended therapy-2016</w:t>
            </w:r>
            <w:r w:rsidRPr="00FA3F9C">
              <w:rPr>
                <w:rFonts w:ascii="Arial" w:hAnsi="Arial" w:cs="Arial"/>
                <w:sz w:val="24"/>
                <w:szCs w:val="24"/>
                <w:vertAlign w:val="superscript"/>
              </w:rPr>
              <w:t>1</w:t>
            </w:r>
            <w:r w:rsidRPr="00FA3F9C">
              <w:rPr>
                <w:rFonts w:ascii="Arial" w:hAnsi="Arial" w:cs="Arial"/>
                <w:sz w:val="24"/>
                <w:szCs w:val="24"/>
              </w:rPr>
              <w:t>)</w:t>
            </w:r>
          </w:p>
        </w:tc>
      </w:tr>
      <w:tr w:rsidR="001506C1" w:rsidRPr="00FA3F9C" w14:paraId="619FBD7D" w14:textId="77777777" w:rsidTr="00A45161">
        <w:tc>
          <w:tcPr>
            <w:tcW w:w="11065" w:type="dxa"/>
            <w:gridSpan w:val="2"/>
          </w:tcPr>
          <w:p w14:paraId="143F7608" w14:textId="77777777" w:rsidR="001506C1" w:rsidRPr="00FA3F9C" w:rsidRDefault="001506C1" w:rsidP="001506C1">
            <w:pPr>
              <w:pStyle w:val="ListParagraph"/>
              <w:numPr>
                <w:ilvl w:val="0"/>
                <w:numId w:val="161"/>
              </w:numPr>
              <w:ind w:left="0"/>
              <w:rPr>
                <w:rFonts w:ascii="Arial" w:hAnsi="Arial" w:cs="Arial"/>
                <w:sz w:val="24"/>
                <w:szCs w:val="24"/>
              </w:rPr>
            </w:pPr>
            <w:r w:rsidRPr="00FA3F9C">
              <w:rPr>
                <w:rFonts w:ascii="Arial" w:hAnsi="Arial" w:cs="Arial"/>
                <w:sz w:val="24"/>
                <w:szCs w:val="24"/>
              </w:rPr>
              <w:t xml:space="preserve">3. If </w:t>
            </w:r>
            <w:proofErr w:type="spellStart"/>
            <w:r w:rsidRPr="00FA3F9C">
              <w:rPr>
                <w:rFonts w:ascii="Arial" w:hAnsi="Arial" w:cs="Arial"/>
                <w:sz w:val="24"/>
                <w:szCs w:val="24"/>
              </w:rPr>
              <w:t>eltrombopag</w:t>
            </w:r>
            <w:proofErr w:type="spellEnd"/>
            <w:r w:rsidRPr="00FA3F9C">
              <w:rPr>
                <w:rFonts w:ascii="Arial" w:hAnsi="Arial" w:cs="Arial"/>
                <w:sz w:val="24"/>
                <w:szCs w:val="24"/>
              </w:rPr>
              <w:t xml:space="preserve"> PACKETS for oral suspension are to be used AND dose is greater than 25 mg daily, patient is unable to swallow tablets. (</w:t>
            </w:r>
            <w:proofErr w:type="gramStart"/>
            <w:r w:rsidRPr="00FA3F9C">
              <w:rPr>
                <w:rFonts w:ascii="Arial" w:hAnsi="Arial" w:cs="Arial"/>
                <w:sz w:val="24"/>
                <w:szCs w:val="24"/>
              </w:rPr>
              <w:t>see</w:t>
            </w:r>
            <w:proofErr w:type="gramEnd"/>
            <w:r w:rsidRPr="00FA3F9C">
              <w:rPr>
                <w:rFonts w:ascii="Arial" w:hAnsi="Arial" w:cs="Arial"/>
                <w:sz w:val="24"/>
                <w:szCs w:val="24"/>
              </w:rPr>
              <w:t xml:space="preserve"> pricing info below)</w:t>
            </w:r>
          </w:p>
        </w:tc>
      </w:tr>
      <w:tr w:rsidR="001506C1" w:rsidRPr="00FA3F9C" w14:paraId="3E1209E1" w14:textId="77777777" w:rsidTr="00F11AA2">
        <w:tc>
          <w:tcPr>
            <w:tcW w:w="11065" w:type="dxa"/>
            <w:gridSpan w:val="2"/>
            <w:shd w:val="clear" w:color="auto" w:fill="F2F2F2" w:themeFill="background1" w:themeFillShade="F2"/>
          </w:tcPr>
          <w:p w14:paraId="4835412C" w14:textId="77777777" w:rsidR="001506C1" w:rsidRPr="00FA3F9C" w:rsidRDefault="001506C1" w:rsidP="001506C1">
            <w:pPr>
              <w:pStyle w:val="ListParagraph"/>
              <w:numPr>
                <w:ilvl w:val="0"/>
                <w:numId w:val="161"/>
              </w:numPr>
              <w:ind w:left="0"/>
              <w:rPr>
                <w:rFonts w:ascii="Arial" w:eastAsia="MS Gothic" w:hAnsi="Arial" w:cs="Arial"/>
                <w:color w:val="000000"/>
                <w:sz w:val="24"/>
                <w:szCs w:val="24"/>
              </w:rPr>
            </w:pPr>
            <w:r w:rsidRPr="00FA3F9C">
              <w:rPr>
                <w:rFonts w:ascii="Arial" w:hAnsi="Arial" w:cs="Arial"/>
                <w:sz w:val="24"/>
                <w:szCs w:val="24"/>
              </w:rPr>
              <w:t>Note:  The initial dose must be 50mg once daily. If the patient is of East-Asian ethnicity, the initial dose must be 25mg daily.</w:t>
            </w:r>
          </w:p>
        </w:tc>
      </w:tr>
      <w:tr w:rsidR="001506C1" w:rsidRPr="00FA3F9C" w14:paraId="2739AAC3" w14:textId="77777777" w:rsidTr="00F11AA2">
        <w:tc>
          <w:tcPr>
            <w:tcW w:w="11065" w:type="dxa"/>
            <w:gridSpan w:val="2"/>
            <w:shd w:val="clear" w:color="auto" w:fill="F2F2F2" w:themeFill="background1" w:themeFillShade="F2"/>
          </w:tcPr>
          <w:p w14:paraId="5511CEDC" w14:textId="77777777" w:rsidR="001506C1" w:rsidRPr="00FA3F9C" w:rsidRDefault="001506C1" w:rsidP="00F11AA2">
            <w:pPr>
              <w:rPr>
                <w:rFonts w:ascii="Arial" w:eastAsia="MS Gothic" w:hAnsi="Arial" w:cs="Arial"/>
                <w:color w:val="000000"/>
                <w:sz w:val="24"/>
                <w:szCs w:val="24"/>
              </w:rPr>
            </w:pPr>
            <w:r w:rsidRPr="00FA3F9C">
              <w:rPr>
                <w:rFonts w:ascii="Arial" w:hAnsi="Arial" w:cs="Arial"/>
                <w:sz w:val="24"/>
                <w:szCs w:val="24"/>
              </w:rPr>
              <w:t xml:space="preserve">If all criteria met, approve for 3 months </w:t>
            </w:r>
          </w:p>
        </w:tc>
      </w:tr>
      <w:tr w:rsidR="001506C1" w:rsidRPr="00FA3F9C" w14:paraId="6771C79B" w14:textId="77777777" w:rsidTr="00A45161">
        <w:tc>
          <w:tcPr>
            <w:tcW w:w="11065" w:type="dxa"/>
            <w:gridSpan w:val="2"/>
            <w:shd w:val="clear" w:color="auto" w:fill="D0CECE" w:themeFill="background2" w:themeFillShade="E6"/>
          </w:tcPr>
          <w:p w14:paraId="6A58B056" w14:textId="77777777" w:rsidR="001506C1" w:rsidRPr="00FA3F9C" w:rsidRDefault="001506C1" w:rsidP="00A45161">
            <w:pPr>
              <w:rPr>
                <w:rFonts w:ascii="Arial" w:eastAsia="MS Gothic" w:hAnsi="Arial" w:cs="Arial"/>
                <w:color w:val="000000"/>
                <w:sz w:val="24"/>
                <w:szCs w:val="24"/>
              </w:rPr>
            </w:pPr>
            <w:r w:rsidRPr="00FA3F9C">
              <w:rPr>
                <w:rFonts w:ascii="Arial" w:hAnsi="Arial" w:cs="Arial"/>
                <w:sz w:val="24"/>
                <w:szCs w:val="24"/>
              </w:rPr>
              <w:t>Continuation criteria</w:t>
            </w:r>
          </w:p>
        </w:tc>
      </w:tr>
      <w:tr w:rsidR="001506C1" w:rsidRPr="00FA3F9C" w14:paraId="03E760A9" w14:textId="77777777" w:rsidTr="00A45161">
        <w:tc>
          <w:tcPr>
            <w:tcW w:w="11065" w:type="dxa"/>
            <w:gridSpan w:val="2"/>
          </w:tcPr>
          <w:p w14:paraId="13036286" w14:textId="77777777" w:rsidR="001506C1" w:rsidRPr="00FA3F9C" w:rsidRDefault="001506C1" w:rsidP="00A45161">
            <w:pPr>
              <w:rPr>
                <w:rFonts w:ascii="Arial" w:eastAsia="MS Gothic" w:hAnsi="Arial" w:cs="Arial"/>
                <w:color w:val="000000"/>
                <w:sz w:val="24"/>
                <w:szCs w:val="24"/>
              </w:rPr>
            </w:pPr>
            <w:r w:rsidRPr="00FA3F9C">
              <w:rPr>
                <w:rFonts w:ascii="Arial" w:hAnsi="Arial" w:cs="Arial"/>
                <w:sz w:val="24"/>
                <w:szCs w:val="24"/>
              </w:rPr>
              <w:t>If the patient has had a platelet count &gt;400 x 10</w:t>
            </w:r>
            <w:r w:rsidRPr="00FA3F9C">
              <w:rPr>
                <w:rFonts w:ascii="Arial" w:hAnsi="Arial" w:cs="Arial"/>
                <w:sz w:val="24"/>
                <w:szCs w:val="24"/>
                <w:vertAlign w:val="superscript"/>
              </w:rPr>
              <w:t>9</w:t>
            </w:r>
            <w:r w:rsidRPr="00FA3F9C">
              <w:rPr>
                <w:rFonts w:ascii="Arial" w:hAnsi="Arial" w:cs="Arial"/>
                <w:sz w:val="24"/>
                <w:szCs w:val="24"/>
              </w:rPr>
              <w:t>/L =400,000/m</w:t>
            </w:r>
            <w:r w:rsidRPr="00FA3F9C">
              <w:rPr>
                <w:rFonts w:ascii="Arial" w:hAnsi="Arial" w:cs="Arial"/>
                <w:sz w:val="24"/>
                <w:szCs w:val="24"/>
                <w:vertAlign w:val="superscript"/>
              </w:rPr>
              <w:t xml:space="preserve">3 </w:t>
            </w:r>
            <w:r w:rsidRPr="00FA3F9C">
              <w:rPr>
                <w:rFonts w:ascii="Arial" w:hAnsi="Arial" w:cs="Arial"/>
                <w:sz w:val="24"/>
                <w:szCs w:val="24"/>
              </w:rPr>
              <w:t>for ≥ 2 weeks; deny.  Otherwise, approve for 3 months.</w:t>
            </w:r>
          </w:p>
        </w:tc>
      </w:tr>
      <w:tr w:rsidR="001506C1" w:rsidRPr="00FA3F9C" w14:paraId="204FE078" w14:textId="77777777" w:rsidTr="00A45161">
        <w:tc>
          <w:tcPr>
            <w:tcW w:w="11065" w:type="dxa"/>
            <w:gridSpan w:val="2"/>
          </w:tcPr>
          <w:p w14:paraId="5E73ECCA" w14:textId="77777777" w:rsidR="001506C1" w:rsidRPr="00FA3F9C" w:rsidRDefault="001506C1" w:rsidP="00A45161">
            <w:pPr>
              <w:rPr>
                <w:rFonts w:ascii="Arial" w:eastAsia="MS Gothic" w:hAnsi="Arial" w:cs="Arial"/>
                <w:color w:val="000000"/>
                <w:sz w:val="24"/>
                <w:szCs w:val="24"/>
              </w:rPr>
            </w:pPr>
          </w:p>
        </w:tc>
      </w:tr>
      <w:tr w:rsidR="001506C1" w:rsidRPr="00500371" w14:paraId="7D28B5F9" w14:textId="77777777" w:rsidTr="008966F7">
        <w:tc>
          <w:tcPr>
            <w:tcW w:w="11065" w:type="dxa"/>
            <w:gridSpan w:val="2"/>
            <w:shd w:val="clear" w:color="auto" w:fill="000000" w:themeFill="text1"/>
          </w:tcPr>
          <w:p w14:paraId="33632254" w14:textId="77777777" w:rsidR="001506C1" w:rsidRPr="00FA3F9C" w:rsidRDefault="001506C1" w:rsidP="00A45161">
            <w:pPr>
              <w:rPr>
                <w:rFonts w:ascii="Arial" w:eastAsia="MS Gothic" w:hAnsi="Arial" w:cs="Arial"/>
                <w:color w:val="FFFFFF" w:themeColor="background1"/>
                <w:sz w:val="24"/>
                <w:szCs w:val="24"/>
                <w:lang w:val="es-ES"/>
              </w:rPr>
            </w:pPr>
            <w:r w:rsidRPr="00FA3F9C">
              <w:rPr>
                <w:rFonts w:ascii="Arial" w:eastAsia="MS Gothic" w:hAnsi="Arial" w:cs="Arial"/>
                <w:color w:val="FFFFFF" w:themeColor="background1"/>
                <w:sz w:val="24"/>
                <w:szCs w:val="24"/>
                <w:lang w:val="es-ES"/>
              </w:rPr>
              <w:t xml:space="preserve">C. </w:t>
            </w:r>
            <w:proofErr w:type="spellStart"/>
            <w:r w:rsidRPr="00FA3F9C">
              <w:rPr>
                <w:rFonts w:ascii="Arial" w:eastAsia="MS Gothic" w:hAnsi="Arial" w:cs="Arial"/>
                <w:color w:val="FFFFFF" w:themeColor="background1"/>
                <w:sz w:val="24"/>
                <w:szCs w:val="24"/>
                <w:lang w:val="es-ES"/>
              </w:rPr>
              <w:t>Aplastic</w:t>
            </w:r>
            <w:proofErr w:type="spellEnd"/>
            <w:r w:rsidRPr="00FA3F9C">
              <w:rPr>
                <w:rFonts w:ascii="Arial" w:eastAsia="MS Gothic" w:hAnsi="Arial" w:cs="Arial"/>
                <w:color w:val="FFFFFF" w:themeColor="background1"/>
                <w:sz w:val="24"/>
                <w:szCs w:val="24"/>
                <w:lang w:val="es-ES"/>
              </w:rPr>
              <w:t xml:space="preserve"> Anemia (no prior </w:t>
            </w:r>
            <w:proofErr w:type="spellStart"/>
            <w:r w:rsidRPr="00FA3F9C">
              <w:rPr>
                <w:rFonts w:ascii="Arial" w:eastAsia="MS Gothic" w:hAnsi="Arial" w:cs="Arial"/>
                <w:color w:val="FFFFFF" w:themeColor="background1"/>
                <w:sz w:val="24"/>
                <w:szCs w:val="24"/>
                <w:lang w:val="es-ES"/>
              </w:rPr>
              <w:t>therapy</w:t>
            </w:r>
            <w:proofErr w:type="spellEnd"/>
            <w:r w:rsidRPr="00FA3F9C">
              <w:rPr>
                <w:rFonts w:ascii="Arial" w:eastAsia="MS Gothic" w:hAnsi="Arial" w:cs="Arial"/>
                <w:color w:val="FFFFFF" w:themeColor="background1"/>
                <w:sz w:val="24"/>
                <w:szCs w:val="24"/>
                <w:lang w:val="es-ES"/>
              </w:rPr>
              <w:t>)</w:t>
            </w:r>
          </w:p>
        </w:tc>
      </w:tr>
      <w:tr w:rsidR="001506C1" w:rsidRPr="00FA3F9C" w14:paraId="75B53FDB" w14:textId="77777777" w:rsidTr="00F11AA2">
        <w:trPr>
          <w:trHeight w:val="1439"/>
        </w:trPr>
        <w:tc>
          <w:tcPr>
            <w:tcW w:w="11065" w:type="dxa"/>
            <w:gridSpan w:val="2"/>
          </w:tcPr>
          <w:p w14:paraId="1DD9F9E9" w14:textId="77777777" w:rsidR="001506C1" w:rsidRPr="00FA3F9C" w:rsidRDefault="001506C1" w:rsidP="001506C1">
            <w:pPr>
              <w:pStyle w:val="ListParagraph"/>
              <w:numPr>
                <w:ilvl w:val="0"/>
                <w:numId w:val="161"/>
              </w:numPr>
              <w:spacing w:after="160" w:line="259" w:lineRule="auto"/>
              <w:ind w:left="0"/>
              <w:rPr>
                <w:rFonts w:ascii="Arial" w:hAnsi="Arial" w:cs="Arial"/>
                <w:sz w:val="24"/>
                <w:szCs w:val="24"/>
              </w:rPr>
            </w:pPr>
            <w:r w:rsidRPr="00FA3F9C">
              <w:rPr>
                <w:rFonts w:ascii="Arial" w:eastAsia="MS Gothic" w:hAnsi="Arial" w:cs="Arial"/>
                <w:color w:val="000000"/>
                <w:sz w:val="24"/>
                <w:szCs w:val="24"/>
              </w:rPr>
              <w:lastRenderedPageBreak/>
              <w:t>1. The patient has a diagnosis of severe aplastic anemia</w:t>
            </w:r>
            <w:r w:rsidRPr="00FA3F9C">
              <w:rPr>
                <w:rFonts w:ascii="Arial" w:eastAsia="MS Gothic" w:hAnsi="Arial" w:cs="Arial"/>
                <w:color w:val="000000"/>
                <w:sz w:val="24"/>
                <w:szCs w:val="24"/>
                <w:vertAlign w:val="superscript"/>
              </w:rPr>
              <w:t>1</w:t>
            </w:r>
            <w:r w:rsidRPr="00FA3F9C">
              <w:rPr>
                <w:rFonts w:ascii="Arial" w:eastAsia="MS Gothic" w:hAnsi="Arial" w:cs="Arial"/>
                <w:color w:val="000000"/>
                <w:sz w:val="24"/>
                <w:szCs w:val="24"/>
              </w:rPr>
              <w:t xml:space="preserve"> </w:t>
            </w:r>
            <w:r w:rsidRPr="00FA3F9C">
              <w:rPr>
                <w:rFonts w:ascii="Arial" w:hAnsi="Arial" w:cs="Arial"/>
                <w:sz w:val="24"/>
                <w:szCs w:val="24"/>
              </w:rPr>
              <w:t>(defined as follows)</w:t>
            </w:r>
          </w:p>
          <w:p w14:paraId="4E551B36" w14:textId="77777777" w:rsidR="001506C1" w:rsidRPr="00FA3F9C" w:rsidRDefault="001506C1" w:rsidP="001506C1">
            <w:pPr>
              <w:pStyle w:val="ListParagraph"/>
              <w:numPr>
                <w:ilvl w:val="1"/>
                <w:numId w:val="161"/>
              </w:numPr>
              <w:spacing w:after="160" w:line="259" w:lineRule="auto"/>
              <w:rPr>
                <w:rFonts w:ascii="Arial" w:hAnsi="Arial" w:cs="Arial"/>
                <w:sz w:val="24"/>
                <w:szCs w:val="24"/>
              </w:rPr>
            </w:pPr>
            <w:r w:rsidRPr="00FA3F9C">
              <w:rPr>
                <w:rFonts w:ascii="Arial" w:hAnsi="Arial" w:cs="Arial"/>
                <w:sz w:val="24"/>
                <w:szCs w:val="24"/>
              </w:rPr>
              <w:t>Marrow cellularity &lt;25% (or 25-50% with &lt;30% residual hematopoietic cells) + at least TWO of the following:</w:t>
            </w:r>
          </w:p>
          <w:p w14:paraId="3201CFF8" w14:textId="77777777" w:rsidR="001506C1" w:rsidRPr="00FA3F9C" w:rsidRDefault="001506C1" w:rsidP="001506C1">
            <w:pPr>
              <w:pStyle w:val="ListParagraph"/>
              <w:numPr>
                <w:ilvl w:val="2"/>
                <w:numId w:val="161"/>
              </w:numPr>
              <w:spacing w:after="160" w:line="259" w:lineRule="auto"/>
              <w:ind w:left="1440"/>
              <w:rPr>
                <w:rFonts w:ascii="Arial" w:hAnsi="Arial" w:cs="Arial"/>
                <w:sz w:val="24"/>
                <w:szCs w:val="24"/>
              </w:rPr>
            </w:pPr>
            <w:r w:rsidRPr="00FA3F9C">
              <w:rPr>
                <w:rFonts w:ascii="Arial" w:hAnsi="Arial" w:cs="Arial"/>
                <w:sz w:val="24"/>
                <w:szCs w:val="24"/>
              </w:rPr>
              <w:t>Neutrophils &lt;500/mm</w:t>
            </w:r>
            <w:r w:rsidRPr="00FA3F9C">
              <w:rPr>
                <w:rFonts w:ascii="Arial" w:hAnsi="Arial" w:cs="Arial"/>
                <w:sz w:val="24"/>
                <w:szCs w:val="24"/>
                <w:vertAlign w:val="superscript"/>
              </w:rPr>
              <w:t>3</w:t>
            </w:r>
          </w:p>
          <w:p w14:paraId="0A941F69" w14:textId="77777777" w:rsidR="001506C1" w:rsidRPr="00FA3F9C" w:rsidRDefault="001506C1" w:rsidP="001506C1">
            <w:pPr>
              <w:pStyle w:val="ListParagraph"/>
              <w:numPr>
                <w:ilvl w:val="2"/>
                <w:numId w:val="161"/>
              </w:numPr>
              <w:spacing w:after="160" w:line="259" w:lineRule="auto"/>
              <w:ind w:left="1440"/>
              <w:rPr>
                <w:rFonts w:ascii="Arial" w:hAnsi="Arial" w:cs="Arial"/>
                <w:sz w:val="24"/>
                <w:szCs w:val="24"/>
              </w:rPr>
            </w:pPr>
            <w:proofErr w:type="spellStart"/>
            <w:r w:rsidRPr="00FA3F9C">
              <w:rPr>
                <w:rFonts w:ascii="Arial" w:hAnsi="Arial" w:cs="Arial"/>
                <w:sz w:val="24"/>
                <w:szCs w:val="24"/>
              </w:rPr>
              <w:t>Plts</w:t>
            </w:r>
            <w:proofErr w:type="spellEnd"/>
            <w:r w:rsidRPr="00FA3F9C">
              <w:rPr>
                <w:rFonts w:ascii="Arial" w:hAnsi="Arial" w:cs="Arial"/>
                <w:sz w:val="24"/>
                <w:szCs w:val="24"/>
              </w:rPr>
              <w:t xml:space="preserve"> &lt; 20/mm</w:t>
            </w:r>
            <w:r w:rsidRPr="00FA3F9C">
              <w:rPr>
                <w:rFonts w:ascii="Arial" w:hAnsi="Arial" w:cs="Arial"/>
                <w:sz w:val="24"/>
                <w:szCs w:val="24"/>
                <w:vertAlign w:val="superscript"/>
              </w:rPr>
              <w:t>3</w:t>
            </w:r>
          </w:p>
          <w:p w14:paraId="6F85A91A" w14:textId="77777777" w:rsidR="001506C1" w:rsidRPr="00FA3F9C" w:rsidRDefault="001506C1" w:rsidP="001506C1">
            <w:pPr>
              <w:pStyle w:val="ListParagraph"/>
              <w:numPr>
                <w:ilvl w:val="2"/>
                <w:numId w:val="161"/>
              </w:numPr>
              <w:spacing w:after="160" w:line="259" w:lineRule="auto"/>
              <w:ind w:left="1440"/>
              <w:rPr>
                <w:rFonts w:ascii="Arial" w:hAnsi="Arial" w:cs="Arial"/>
                <w:sz w:val="24"/>
                <w:szCs w:val="24"/>
              </w:rPr>
            </w:pPr>
            <w:r w:rsidRPr="00FA3F9C">
              <w:rPr>
                <w:rFonts w:ascii="Arial" w:hAnsi="Arial" w:cs="Arial"/>
                <w:sz w:val="24"/>
                <w:szCs w:val="24"/>
              </w:rPr>
              <w:t>Reticulocyte count &lt;20/mm</w:t>
            </w:r>
            <w:r w:rsidRPr="00FA3F9C">
              <w:rPr>
                <w:rFonts w:ascii="Arial" w:hAnsi="Arial" w:cs="Arial"/>
                <w:sz w:val="24"/>
                <w:szCs w:val="24"/>
                <w:vertAlign w:val="superscript"/>
              </w:rPr>
              <w:t>3</w:t>
            </w:r>
          </w:p>
        </w:tc>
      </w:tr>
      <w:tr w:rsidR="001506C1" w:rsidRPr="00FA3F9C" w14:paraId="018A06E7" w14:textId="77777777" w:rsidTr="00A45161">
        <w:tc>
          <w:tcPr>
            <w:tcW w:w="11065" w:type="dxa"/>
            <w:gridSpan w:val="2"/>
          </w:tcPr>
          <w:p w14:paraId="455FA6AD" w14:textId="77777777" w:rsidR="001506C1" w:rsidRPr="00FA3F9C" w:rsidRDefault="001506C1" w:rsidP="00CE5774">
            <w:pPr>
              <w:rPr>
                <w:rFonts w:ascii="Arial" w:eastAsia="MS Gothic" w:hAnsi="Arial" w:cs="Arial"/>
                <w:color w:val="000000"/>
                <w:sz w:val="24"/>
                <w:szCs w:val="24"/>
              </w:rPr>
            </w:pPr>
            <w:r w:rsidRPr="00FA3F9C">
              <w:rPr>
                <w:rFonts w:ascii="Arial" w:eastAsia="MS Gothic" w:hAnsi="Arial" w:cs="Arial"/>
                <w:color w:val="000000"/>
                <w:sz w:val="24"/>
                <w:szCs w:val="24"/>
              </w:rPr>
              <w:t>2. The patient has not received prior therapy for severe aplastic anemia</w:t>
            </w:r>
          </w:p>
        </w:tc>
      </w:tr>
      <w:tr w:rsidR="001506C1" w:rsidRPr="00FA3F9C" w14:paraId="19389F2F" w14:textId="77777777" w:rsidTr="00A45161">
        <w:tc>
          <w:tcPr>
            <w:tcW w:w="11065" w:type="dxa"/>
            <w:gridSpan w:val="2"/>
          </w:tcPr>
          <w:p w14:paraId="27378D68" w14:textId="77777777" w:rsidR="001506C1" w:rsidRPr="00FA3F9C" w:rsidRDefault="001506C1" w:rsidP="00A45161">
            <w:pPr>
              <w:rPr>
                <w:rFonts w:ascii="Arial" w:eastAsia="MS Gothic" w:hAnsi="Arial" w:cs="Arial"/>
                <w:color w:val="000000"/>
                <w:sz w:val="24"/>
                <w:szCs w:val="24"/>
              </w:rPr>
            </w:pPr>
            <w:r w:rsidRPr="00FA3F9C">
              <w:rPr>
                <w:rFonts w:ascii="Arial" w:eastAsia="MS Gothic" w:hAnsi="Arial" w:cs="Arial"/>
                <w:color w:val="000000"/>
                <w:sz w:val="24"/>
                <w:szCs w:val="24"/>
              </w:rPr>
              <w:t xml:space="preserve">3. </w:t>
            </w:r>
            <w:proofErr w:type="spellStart"/>
            <w:r w:rsidRPr="00FA3F9C">
              <w:rPr>
                <w:rFonts w:ascii="Arial" w:eastAsia="MS Gothic" w:hAnsi="Arial" w:cs="Arial"/>
                <w:color w:val="000000"/>
                <w:sz w:val="24"/>
                <w:szCs w:val="24"/>
              </w:rPr>
              <w:t>Eltrombopag</w:t>
            </w:r>
            <w:proofErr w:type="spellEnd"/>
            <w:r w:rsidRPr="00FA3F9C">
              <w:rPr>
                <w:rFonts w:ascii="Arial" w:eastAsia="MS Gothic" w:hAnsi="Arial" w:cs="Arial"/>
                <w:color w:val="000000"/>
                <w:sz w:val="24"/>
                <w:szCs w:val="24"/>
              </w:rPr>
              <w:t xml:space="preserve"> will be given with </w:t>
            </w:r>
            <w:proofErr w:type="spellStart"/>
            <w:r w:rsidRPr="00FA3F9C">
              <w:rPr>
                <w:rFonts w:ascii="Arial" w:eastAsia="MS Gothic" w:hAnsi="Arial" w:cs="Arial"/>
                <w:color w:val="000000"/>
                <w:sz w:val="24"/>
                <w:szCs w:val="24"/>
              </w:rPr>
              <w:t>antithymocyte</w:t>
            </w:r>
            <w:proofErr w:type="spellEnd"/>
            <w:r w:rsidRPr="00FA3F9C">
              <w:rPr>
                <w:rFonts w:ascii="Arial" w:eastAsia="MS Gothic" w:hAnsi="Arial" w:cs="Arial"/>
                <w:color w:val="000000"/>
                <w:sz w:val="24"/>
                <w:szCs w:val="24"/>
              </w:rPr>
              <w:t xml:space="preserve"> globulin and cyclosporine</w:t>
            </w:r>
          </w:p>
        </w:tc>
      </w:tr>
      <w:tr w:rsidR="001506C1" w:rsidRPr="00FA3F9C" w14:paraId="1C8072A4" w14:textId="77777777" w:rsidTr="00A45161">
        <w:tc>
          <w:tcPr>
            <w:tcW w:w="11065" w:type="dxa"/>
            <w:gridSpan w:val="2"/>
          </w:tcPr>
          <w:p w14:paraId="2C3F893B" w14:textId="77777777" w:rsidR="001506C1" w:rsidRPr="00FA3F9C" w:rsidRDefault="001506C1" w:rsidP="00A45161">
            <w:pPr>
              <w:rPr>
                <w:rFonts w:ascii="Arial" w:eastAsia="MS Gothic" w:hAnsi="Arial" w:cs="Arial"/>
                <w:color w:val="000000"/>
                <w:sz w:val="24"/>
                <w:szCs w:val="24"/>
              </w:rPr>
            </w:pPr>
            <w:r w:rsidRPr="00FA3F9C">
              <w:rPr>
                <w:rFonts w:ascii="Arial" w:eastAsia="MS Gothic" w:hAnsi="Arial" w:cs="Arial"/>
                <w:color w:val="000000"/>
                <w:sz w:val="24"/>
                <w:szCs w:val="24"/>
              </w:rPr>
              <w:t xml:space="preserve">4. </w:t>
            </w:r>
            <w:proofErr w:type="spellStart"/>
            <w:r w:rsidRPr="00FA3F9C">
              <w:rPr>
                <w:rFonts w:ascii="Arial" w:eastAsia="MS Gothic" w:hAnsi="Arial" w:cs="Arial"/>
                <w:color w:val="000000"/>
                <w:sz w:val="24"/>
                <w:szCs w:val="24"/>
              </w:rPr>
              <w:t>Eltrombopag</w:t>
            </w:r>
            <w:proofErr w:type="spellEnd"/>
            <w:r w:rsidRPr="00FA3F9C">
              <w:rPr>
                <w:rFonts w:ascii="Arial" w:eastAsia="MS Gothic" w:hAnsi="Arial" w:cs="Arial"/>
                <w:color w:val="000000"/>
                <w:sz w:val="24"/>
                <w:szCs w:val="24"/>
              </w:rPr>
              <w:t xml:space="preserve"> will be started on the same day at </w:t>
            </w:r>
            <w:proofErr w:type="spellStart"/>
            <w:r w:rsidRPr="00FA3F9C">
              <w:rPr>
                <w:rFonts w:ascii="Arial" w:eastAsia="MS Gothic" w:hAnsi="Arial" w:cs="Arial"/>
                <w:color w:val="000000"/>
                <w:sz w:val="24"/>
                <w:szCs w:val="24"/>
              </w:rPr>
              <w:t>antithymocyte</w:t>
            </w:r>
            <w:proofErr w:type="spellEnd"/>
            <w:r w:rsidRPr="00FA3F9C">
              <w:rPr>
                <w:rFonts w:ascii="Arial" w:eastAsia="MS Gothic" w:hAnsi="Arial" w:cs="Arial"/>
                <w:color w:val="000000"/>
                <w:sz w:val="24"/>
                <w:szCs w:val="24"/>
              </w:rPr>
              <w:t xml:space="preserve"> globulin and cyclosporine</w:t>
            </w:r>
          </w:p>
        </w:tc>
      </w:tr>
      <w:tr w:rsidR="001506C1" w:rsidRPr="00FA3F9C" w14:paraId="45E60823" w14:textId="77777777" w:rsidTr="00A45161">
        <w:tc>
          <w:tcPr>
            <w:tcW w:w="11065" w:type="dxa"/>
            <w:gridSpan w:val="2"/>
          </w:tcPr>
          <w:p w14:paraId="06BAC361" w14:textId="77777777" w:rsidR="001506C1" w:rsidRPr="00FA3F9C" w:rsidRDefault="001506C1" w:rsidP="00A45161">
            <w:pPr>
              <w:rPr>
                <w:rFonts w:ascii="Arial" w:eastAsia="MS Gothic" w:hAnsi="Arial" w:cs="Arial"/>
                <w:color w:val="000000"/>
                <w:sz w:val="24"/>
                <w:szCs w:val="24"/>
              </w:rPr>
            </w:pPr>
            <w:r w:rsidRPr="00FA3F9C">
              <w:rPr>
                <w:rFonts w:ascii="Arial" w:eastAsia="MS Gothic" w:hAnsi="Arial" w:cs="Arial"/>
                <w:color w:val="000000"/>
                <w:sz w:val="24"/>
                <w:szCs w:val="24"/>
              </w:rPr>
              <w:t xml:space="preserve">5. </w:t>
            </w:r>
            <w:r w:rsidRPr="00FA3F9C">
              <w:rPr>
                <w:rFonts w:ascii="Arial" w:hAnsi="Arial" w:cs="Arial"/>
                <w:sz w:val="24"/>
                <w:szCs w:val="24"/>
              </w:rPr>
              <w:t xml:space="preserve">If </w:t>
            </w:r>
            <w:proofErr w:type="spellStart"/>
            <w:r w:rsidRPr="00FA3F9C">
              <w:rPr>
                <w:rFonts w:ascii="Arial" w:hAnsi="Arial" w:cs="Arial"/>
                <w:sz w:val="24"/>
                <w:szCs w:val="24"/>
              </w:rPr>
              <w:t>eltrombopag</w:t>
            </w:r>
            <w:proofErr w:type="spellEnd"/>
            <w:r w:rsidRPr="00FA3F9C">
              <w:rPr>
                <w:rFonts w:ascii="Arial" w:hAnsi="Arial" w:cs="Arial"/>
                <w:sz w:val="24"/>
                <w:szCs w:val="24"/>
              </w:rPr>
              <w:t xml:space="preserve"> PACKETS for oral suspension are to be used AND dose is greater than 25 mg daily, patient is unable to swallow tablets. (</w:t>
            </w:r>
            <w:proofErr w:type="gramStart"/>
            <w:r w:rsidRPr="00FA3F9C">
              <w:rPr>
                <w:rFonts w:ascii="Arial" w:hAnsi="Arial" w:cs="Arial"/>
                <w:sz w:val="24"/>
                <w:szCs w:val="24"/>
              </w:rPr>
              <w:t>see</w:t>
            </w:r>
            <w:proofErr w:type="gramEnd"/>
            <w:r w:rsidRPr="00FA3F9C">
              <w:rPr>
                <w:rFonts w:ascii="Arial" w:hAnsi="Arial" w:cs="Arial"/>
                <w:sz w:val="24"/>
                <w:szCs w:val="24"/>
              </w:rPr>
              <w:t xml:space="preserve"> pricing info below)</w:t>
            </w:r>
          </w:p>
        </w:tc>
      </w:tr>
      <w:tr w:rsidR="001506C1" w:rsidRPr="00FA3F9C" w14:paraId="4F123A69" w14:textId="77777777" w:rsidTr="00F11AA2">
        <w:tc>
          <w:tcPr>
            <w:tcW w:w="11065" w:type="dxa"/>
            <w:gridSpan w:val="2"/>
            <w:shd w:val="clear" w:color="auto" w:fill="F2F2F2" w:themeFill="background1" w:themeFillShade="F2"/>
          </w:tcPr>
          <w:p w14:paraId="24D30923" w14:textId="77777777" w:rsidR="001506C1" w:rsidRPr="00FA3F9C" w:rsidRDefault="001506C1" w:rsidP="00A45161">
            <w:pPr>
              <w:rPr>
                <w:rFonts w:ascii="Arial" w:eastAsia="MS Gothic" w:hAnsi="Arial" w:cs="Arial"/>
                <w:color w:val="000000"/>
                <w:sz w:val="24"/>
                <w:szCs w:val="24"/>
              </w:rPr>
            </w:pPr>
            <w:r w:rsidRPr="00FA3F9C">
              <w:rPr>
                <w:rFonts w:ascii="Arial" w:eastAsia="MS Gothic" w:hAnsi="Arial" w:cs="Arial"/>
                <w:color w:val="000000"/>
                <w:sz w:val="24"/>
                <w:szCs w:val="24"/>
              </w:rPr>
              <w:t>If all criteria are met, approve for 3 months</w:t>
            </w:r>
          </w:p>
        </w:tc>
      </w:tr>
      <w:tr w:rsidR="001506C1" w:rsidRPr="00FA3F9C" w14:paraId="0643D8A6" w14:textId="77777777" w:rsidTr="00CE5774">
        <w:tc>
          <w:tcPr>
            <w:tcW w:w="11065" w:type="dxa"/>
            <w:gridSpan w:val="2"/>
            <w:shd w:val="clear" w:color="auto" w:fill="D9D9D9" w:themeFill="background1" w:themeFillShade="D9"/>
          </w:tcPr>
          <w:p w14:paraId="0957BEEA" w14:textId="77777777" w:rsidR="001506C1" w:rsidRPr="00FA3F9C" w:rsidRDefault="001506C1" w:rsidP="00CE5774">
            <w:pPr>
              <w:rPr>
                <w:rFonts w:ascii="Arial" w:eastAsia="MS Gothic" w:hAnsi="Arial" w:cs="Arial"/>
                <w:color w:val="000000"/>
                <w:sz w:val="24"/>
                <w:szCs w:val="24"/>
              </w:rPr>
            </w:pPr>
            <w:r w:rsidRPr="00FA3F9C">
              <w:rPr>
                <w:rFonts w:ascii="Arial" w:hAnsi="Arial" w:cs="Arial"/>
                <w:sz w:val="24"/>
                <w:szCs w:val="24"/>
              </w:rPr>
              <w:t>Continuation criteria</w:t>
            </w:r>
          </w:p>
        </w:tc>
      </w:tr>
      <w:tr w:rsidR="001506C1" w:rsidRPr="00FA3F9C" w14:paraId="360C4192" w14:textId="77777777" w:rsidTr="00A45161">
        <w:tc>
          <w:tcPr>
            <w:tcW w:w="11065" w:type="dxa"/>
            <w:gridSpan w:val="2"/>
          </w:tcPr>
          <w:p w14:paraId="73DB1046" w14:textId="77777777" w:rsidR="001506C1" w:rsidRPr="00FA3F9C" w:rsidRDefault="001506C1" w:rsidP="00CE5774">
            <w:pPr>
              <w:rPr>
                <w:rFonts w:ascii="Arial" w:eastAsia="MS Gothic" w:hAnsi="Arial" w:cs="Arial"/>
                <w:color w:val="000000"/>
                <w:sz w:val="24"/>
                <w:szCs w:val="24"/>
              </w:rPr>
            </w:pPr>
            <w:r w:rsidRPr="00FA3F9C">
              <w:rPr>
                <w:rFonts w:ascii="Arial" w:hAnsi="Arial" w:cs="Arial"/>
                <w:sz w:val="24"/>
                <w:szCs w:val="24"/>
              </w:rPr>
              <w:t>1. Platelets have improved to a level that avoids clinically important bleeding</w:t>
            </w:r>
          </w:p>
        </w:tc>
      </w:tr>
      <w:tr w:rsidR="001506C1" w:rsidRPr="00FA3F9C" w14:paraId="1669426B" w14:textId="77777777" w:rsidTr="00A45161">
        <w:tc>
          <w:tcPr>
            <w:tcW w:w="11065" w:type="dxa"/>
            <w:gridSpan w:val="2"/>
          </w:tcPr>
          <w:p w14:paraId="0F3C467F" w14:textId="77777777" w:rsidR="001506C1" w:rsidRPr="00FA3F9C" w:rsidRDefault="001506C1" w:rsidP="00CE5774">
            <w:pPr>
              <w:rPr>
                <w:rFonts w:ascii="Arial" w:eastAsia="MS Gothic" w:hAnsi="Arial" w:cs="Arial"/>
                <w:color w:val="000000"/>
                <w:sz w:val="24"/>
                <w:szCs w:val="24"/>
              </w:rPr>
            </w:pPr>
            <w:r w:rsidRPr="00FA3F9C">
              <w:rPr>
                <w:rFonts w:ascii="Arial" w:eastAsia="MS Gothic" w:hAnsi="Arial" w:cs="Arial"/>
                <w:color w:val="000000"/>
                <w:sz w:val="24"/>
                <w:szCs w:val="24"/>
              </w:rPr>
              <w:t xml:space="preserve">If continuation criteria met, approve for 3 more months. </w:t>
            </w:r>
            <w:r w:rsidRPr="00FA3F9C">
              <w:rPr>
                <w:rFonts w:ascii="Arial" w:eastAsia="MS Gothic" w:hAnsi="Arial" w:cs="Arial"/>
                <w:color w:val="000000"/>
                <w:sz w:val="24"/>
                <w:szCs w:val="24"/>
                <w:highlight w:val="cyan"/>
              </w:rPr>
              <w:t>Please note that maximum duration of treatment for this indication is 6 months</w:t>
            </w:r>
            <w:r w:rsidRPr="00FA3F9C">
              <w:rPr>
                <w:rFonts w:ascii="Arial" w:eastAsia="MS Gothic" w:hAnsi="Arial" w:cs="Arial"/>
                <w:color w:val="000000"/>
                <w:sz w:val="24"/>
                <w:szCs w:val="24"/>
              </w:rPr>
              <w:t>.</w:t>
            </w:r>
          </w:p>
        </w:tc>
      </w:tr>
      <w:tr w:rsidR="001506C1" w:rsidRPr="00FA3F9C" w14:paraId="444D0BF4" w14:textId="77777777" w:rsidTr="00A45161">
        <w:tc>
          <w:tcPr>
            <w:tcW w:w="11065" w:type="dxa"/>
            <w:gridSpan w:val="2"/>
          </w:tcPr>
          <w:p w14:paraId="5F25B2E6" w14:textId="77777777" w:rsidR="001506C1" w:rsidRPr="00FA3F9C" w:rsidRDefault="001506C1" w:rsidP="00DF623A">
            <w:pPr>
              <w:rPr>
                <w:rFonts w:ascii="Arial" w:eastAsia="MS Gothic" w:hAnsi="Arial" w:cs="Arial"/>
                <w:color w:val="000000"/>
                <w:sz w:val="24"/>
                <w:szCs w:val="24"/>
              </w:rPr>
            </w:pPr>
            <w:r w:rsidRPr="00FA3F9C">
              <w:rPr>
                <w:rFonts w:ascii="Arial" w:eastAsia="MS Gothic" w:hAnsi="Arial" w:cs="Arial"/>
                <w:color w:val="000000"/>
                <w:sz w:val="24"/>
                <w:szCs w:val="24"/>
                <w:u w:val="single"/>
              </w:rPr>
              <w:t>Note:</w:t>
            </w:r>
            <w:r w:rsidRPr="00FA3F9C">
              <w:rPr>
                <w:rFonts w:ascii="Arial" w:eastAsia="MS Gothic" w:hAnsi="Arial" w:cs="Arial"/>
                <w:color w:val="000000"/>
                <w:sz w:val="24"/>
                <w:szCs w:val="24"/>
              </w:rPr>
              <w:t xml:space="preserve"> Response rates with this regimen were higher compared with historical cohort (94% versus 66%). Achievement of a response has been correlated with improved overall survival. NCT02099747 is being conducted to confirm benefit (no results available as of 5/20/2020. </w:t>
            </w:r>
          </w:p>
        </w:tc>
      </w:tr>
      <w:tr w:rsidR="001506C1" w:rsidRPr="00FA3F9C" w14:paraId="0803EA04" w14:textId="77777777" w:rsidTr="00A45161">
        <w:tc>
          <w:tcPr>
            <w:tcW w:w="11065" w:type="dxa"/>
            <w:gridSpan w:val="2"/>
          </w:tcPr>
          <w:p w14:paraId="5AD066C8" w14:textId="77777777" w:rsidR="001506C1" w:rsidRPr="00FA3F9C" w:rsidRDefault="001506C1" w:rsidP="00DF623A">
            <w:pPr>
              <w:rPr>
                <w:rFonts w:ascii="Arial" w:eastAsia="MS Gothic" w:hAnsi="Arial" w:cs="Arial"/>
                <w:color w:val="000000"/>
                <w:sz w:val="24"/>
                <w:szCs w:val="24"/>
              </w:rPr>
            </w:pPr>
          </w:p>
        </w:tc>
      </w:tr>
      <w:tr w:rsidR="001506C1" w:rsidRPr="00FA3F9C" w14:paraId="252C9FD5" w14:textId="77777777" w:rsidTr="00A45161">
        <w:tc>
          <w:tcPr>
            <w:tcW w:w="7375" w:type="dxa"/>
            <w:shd w:val="clear" w:color="auto" w:fill="000000" w:themeFill="text1"/>
          </w:tcPr>
          <w:p w14:paraId="19354963" w14:textId="77777777" w:rsidR="001506C1" w:rsidRPr="00FA3F9C" w:rsidRDefault="001506C1" w:rsidP="00CE5774">
            <w:pPr>
              <w:rPr>
                <w:rFonts w:ascii="Arial" w:hAnsi="Arial" w:cs="Arial"/>
                <w:sz w:val="24"/>
                <w:szCs w:val="24"/>
              </w:rPr>
            </w:pPr>
            <w:r w:rsidRPr="00FA3F9C">
              <w:rPr>
                <w:rFonts w:ascii="Arial" w:hAnsi="Arial" w:cs="Arial"/>
                <w:sz w:val="24"/>
                <w:szCs w:val="24"/>
              </w:rPr>
              <w:t>D. Chronic hepatitis C-associated thrombocytopenia</w:t>
            </w:r>
          </w:p>
        </w:tc>
        <w:tc>
          <w:tcPr>
            <w:tcW w:w="3690" w:type="dxa"/>
            <w:shd w:val="clear" w:color="auto" w:fill="000000" w:themeFill="text1"/>
          </w:tcPr>
          <w:p w14:paraId="2C4D1BB4" w14:textId="77777777" w:rsidR="001506C1" w:rsidRPr="00FA3F9C" w:rsidRDefault="001506C1" w:rsidP="00CE5774">
            <w:pPr>
              <w:rPr>
                <w:rFonts w:ascii="Arial" w:eastAsia="MS Gothic" w:hAnsi="Arial" w:cs="Arial"/>
                <w:color w:val="000000"/>
                <w:sz w:val="24"/>
                <w:szCs w:val="24"/>
              </w:rPr>
            </w:pPr>
          </w:p>
        </w:tc>
      </w:tr>
      <w:tr w:rsidR="001506C1" w:rsidRPr="00FA3F9C" w14:paraId="61DD3FB2" w14:textId="77777777" w:rsidTr="00A45161">
        <w:tc>
          <w:tcPr>
            <w:tcW w:w="11065" w:type="dxa"/>
            <w:gridSpan w:val="2"/>
          </w:tcPr>
          <w:p w14:paraId="3BFC873F" w14:textId="77777777" w:rsidR="001506C1" w:rsidRPr="00FA3F9C" w:rsidRDefault="001506C1" w:rsidP="001506C1">
            <w:pPr>
              <w:pStyle w:val="ListParagraph"/>
              <w:numPr>
                <w:ilvl w:val="0"/>
                <w:numId w:val="164"/>
              </w:numPr>
              <w:ind w:left="0"/>
              <w:rPr>
                <w:rFonts w:ascii="Arial" w:eastAsia="MS Gothic" w:hAnsi="Arial" w:cs="Arial"/>
                <w:color w:val="000000"/>
                <w:sz w:val="24"/>
                <w:szCs w:val="24"/>
              </w:rPr>
            </w:pPr>
            <w:r w:rsidRPr="00FA3F9C">
              <w:rPr>
                <w:rFonts w:ascii="Arial" w:hAnsi="Arial" w:cs="Arial"/>
                <w:sz w:val="24"/>
                <w:szCs w:val="24"/>
              </w:rPr>
              <w:t>1. The patient must have a diagnosis of chronic hepatitis C</w:t>
            </w:r>
          </w:p>
        </w:tc>
      </w:tr>
      <w:tr w:rsidR="001506C1" w:rsidRPr="00FA3F9C" w14:paraId="07CF9210" w14:textId="77777777" w:rsidTr="00A45161">
        <w:tc>
          <w:tcPr>
            <w:tcW w:w="11065" w:type="dxa"/>
            <w:gridSpan w:val="2"/>
          </w:tcPr>
          <w:p w14:paraId="7FE17843" w14:textId="77777777" w:rsidR="001506C1" w:rsidRPr="00FA3F9C" w:rsidRDefault="001506C1" w:rsidP="001506C1">
            <w:pPr>
              <w:pStyle w:val="ListParagraph"/>
              <w:numPr>
                <w:ilvl w:val="0"/>
                <w:numId w:val="164"/>
              </w:numPr>
              <w:ind w:left="0"/>
              <w:rPr>
                <w:rFonts w:ascii="Arial" w:eastAsia="MS Gothic" w:hAnsi="Arial" w:cs="Arial"/>
                <w:color w:val="000000"/>
                <w:sz w:val="24"/>
                <w:szCs w:val="24"/>
              </w:rPr>
            </w:pPr>
            <w:r w:rsidRPr="00FA3F9C">
              <w:rPr>
                <w:rFonts w:ascii="Arial" w:hAnsi="Arial" w:cs="Arial"/>
                <w:sz w:val="24"/>
                <w:szCs w:val="24"/>
              </w:rPr>
              <w:t>2. The patient must be in the process of being initiated on or is currently receiving interferon-based therapy.</w:t>
            </w:r>
          </w:p>
        </w:tc>
      </w:tr>
      <w:tr w:rsidR="001506C1" w:rsidRPr="00FA3F9C" w14:paraId="497A7D99" w14:textId="77777777" w:rsidTr="00A45161">
        <w:tc>
          <w:tcPr>
            <w:tcW w:w="11065" w:type="dxa"/>
            <w:gridSpan w:val="2"/>
          </w:tcPr>
          <w:p w14:paraId="41231CB2" w14:textId="77777777" w:rsidR="001506C1" w:rsidRPr="00FA3F9C" w:rsidRDefault="001506C1" w:rsidP="001506C1">
            <w:pPr>
              <w:pStyle w:val="ListParagraph"/>
              <w:numPr>
                <w:ilvl w:val="0"/>
                <w:numId w:val="164"/>
              </w:numPr>
              <w:ind w:left="0"/>
              <w:rPr>
                <w:rFonts w:ascii="Arial" w:hAnsi="Arial" w:cs="Arial"/>
                <w:sz w:val="24"/>
                <w:szCs w:val="24"/>
              </w:rPr>
            </w:pPr>
            <w:r w:rsidRPr="00FA3F9C">
              <w:rPr>
                <w:rFonts w:ascii="Arial" w:hAnsi="Arial" w:cs="Arial"/>
                <w:sz w:val="24"/>
                <w:szCs w:val="24"/>
              </w:rPr>
              <w:t xml:space="preserve">3. The degree of thrombocytopenia prevents the initiation of or continuation of the interferon-based therapy </w:t>
            </w:r>
          </w:p>
          <w:p w14:paraId="7B10AAEF" w14:textId="77777777" w:rsidR="001506C1" w:rsidRPr="00FA3F9C" w:rsidRDefault="001506C1" w:rsidP="00CE5774">
            <w:pPr>
              <w:rPr>
                <w:rFonts w:ascii="Arial" w:eastAsia="MS Gothic" w:hAnsi="Arial" w:cs="Arial"/>
                <w:color w:val="000000"/>
                <w:sz w:val="24"/>
                <w:szCs w:val="24"/>
              </w:rPr>
            </w:pPr>
            <w:r w:rsidRPr="00FA3F9C">
              <w:rPr>
                <w:rFonts w:ascii="Arial" w:hAnsi="Arial" w:cs="Arial"/>
                <w:sz w:val="24"/>
                <w:szCs w:val="24"/>
              </w:rPr>
              <w:t>*</w:t>
            </w:r>
            <w:proofErr w:type="gramStart"/>
            <w:r w:rsidRPr="00FA3F9C">
              <w:rPr>
                <w:rFonts w:ascii="Arial" w:hAnsi="Arial" w:cs="Arial"/>
                <w:sz w:val="24"/>
                <w:szCs w:val="24"/>
              </w:rPr>
              <w:t>defined</w:t>
            </w:r>
            <w:proofErr w:type="gramEnd"/>
            <w:r w:rsidRPr="00FA3F9C">
              <w:rPr>
                <w:rFonts w:ascii="Arial" w:hAnsi="Arial" w:cs="Arial"/>
                <w:sz w:val="24"/>
                <w:szCs w:val="24"/>
              </w:rPr>
              <w:t xml:space="preserve"> as platelet count &lt; 30,000/mm</w:t>
            </w:r>
            <w:r w:rsidRPr="00FA3F9C">
              <w:rPr>
                <w:rFonts w:ascii="Arial" w:hAnsi="Arial" w:cs="Arial"/>
                <w:sz w:val="24"/>
                <w:szCs w:val="24"/>
                <w:vertAlign w:val="superscript"/>
              </w:rPr>
              <w:t>3</w:t>
            </w:r>
          </w:p>
        </w:tc>
      </w:tr>
      <w:tr w:rsidR="001506C1" w:rsidRPr="00FA3F9C" w14:paraId="282FBB83" w14:textId="77777777" w:rsidTr="00A45161">
        <w:tc>
          <w:tcPr>
            <w:tcW w:w="11065" w:type="dxa"/>
            <w:gridSpan w:val="2"/>
          </w:tcPr>
          <w:p w14:paraId="7B312A46" w14:textId="77777777" w:rsidR="001506C1" w:rsidRPr="00FA3F9C" w:rsidRDefault="001506C1" w:rsidP="001506C1">
            <w:pPr>
              <w:pStyle w:val="ListParagraph"/>
              <w:numPr>
                <w:ilvl w:val="0"/>
                <w:numId w:val="164"/>
              </w:numPr>
              <w:ind w:left="0"/>
              <w:rPr>
                <w:rFonts w:ascii="Arial" w:hAnsi="Arial" w:cs="Arial"/>
                <w:sz w:val="24"/>
                <w:szCs w:val="24"/>
              </w:rPr>
            </w:pPr>
            <w:r w:rsidRPr="00FA3F9C">
              <w:rPr>
                <w:rFonts w:ascii="Arial" w:hAnsi="Arial" w:cs="Arial"/>
                <w:sz w:val="24"/>
                <w:szCs w:val="24"/>
              </w:rPr>
              <w:t xml:space="preserve">4. If </w:t>
            </w:r>
            <w:proofErr w:type="spellStart"/>
            <w:r w:rsidRPr="00FA3F9C">
              <w:rPr>
                <w:rFonts w:ascii="Arial" w:hAnsi="Arial" w:cs="Arial"/>
                <w:sz w:val="24"/>
                <w:szCs w:val="24"/>
              </w:rPr>
              <w:t>eltrombopag</w:t>
            </w:r>
            <w:proofErr w:type="spellEnd"/>
            <w:r w:rsidRPr="00FA3F9C">
              <w:rPr>
                <w:rFonts w:ascii="Arial" w:hAnsi="Arial" w:cs="Arial"/>
                <w:sz w:val="24"/>
                <w:szCs w:val="24"/>
              </w:rPr>
              <w:t xml:space="preserve"> PACKETS for oral suspension are to be used AND dose is greater than 25 mg daily, patient is unable to swallow tablets. (</w:t>
            </w:r>
            <w:proofErr w:type="gramStart"/>
            <w:r w:rsidRPr="00FA3F9C">
              <w:rPr>
                <w:rFonts w:ascii="Arial" w:hAnsi="Arial" w:cs="Arial"/>
                <w:sz w:val="24"/>
                <w:szCs w:val="24"/>
              </w:rPr>
              <w:t>see</w:t>
            </w:r>
            <w:proofErr w:type="gramEnd"/>
            <w:r w:rsidRPr="00FA3F9C">
              <w:rPr>
                <w:rFonts w:ascii="Arial" w:hAnsi="Arial" w:cs="Arial"/>
                <w:sz w:val="24"/>
                <w:szCs w:val="24"/>
              </w:rPr>
              <w:t xml:space="preserve"> pricing info below)</w:t>
            </w:r>
          </w:p>
        </w:tc>
      </w:tr>
      <w:tr w:rsidR="001506C1" w:rsidRPr="00FA3F9C" w14:paraId="1689DD16" w14:textId="77777777" w:rsidTr="00A45161">
        <w:tc>
          <w:tcPr>
            <w:tcW w:w="11065" w:type="dxa"/>
            <w:gridSpan w:val="2"/>
          </w:tcPr>
          <w:p w14:paraId="4A3962A3" w14:textId="77777777" w:rsidR="001506C1" w:rsidRPr="00FA3F9C" w:rsidRDefault="001506C1" w:rsidP="00CE5774">
            <w:pPr>
              <w:rPr>
                <w:rFonts w:ascii="Arial" w:eastAsia="MS Gothic" w:hAnsi="Arial" w:cs="Arial"/>
                <w:color w:val="000000"/>
                <w:sz w:val="24"/>
                <w:szCs w:val="24"/>
              </w:rPr>
            </w:pPr>
            <w:r w:rsidRPr="00FA3F9C">
              <w:rPr>
                <w:rFonts w:ascii="Arial" w:eastAsia="MS Gothic" w:hAnsi="Arial" w:cs="Arial"/>
                <w:color w:val="000000"/>
                <w:sz w:val="24"/>
                <w:szCs w:val="24"/>
              </w:rPr>
              <w:t>If all criteria are met, approve for 3 months</w:t>
            </w:r>
          </w:p>
        </w:tc>
      </w:tr>
      <w:tr w:rsidR="001506C1" w:rsidRPr="00FA3F9C" w14:paraId="2E1BAAAA" w14:textId="77777777" w:rsidTr="00A45161">
        <w:tc>
          <w:tcPr>
            <w:tcW w:w="11065" w:type="dxa"/>
            <w:gridSpan w:val="2"/>
            <w:shd w:val="clear" w:color="auto" w:fill="D0CECE" w:themeFill="background2" w:themeFillShade="E6"/>
          </w:tcPr>
          <w:p w14:paraId="41F34E9D" w14:textId="77777777" w:rsidR="001506C1" w:rsidRPr="00FA3F9C" w:rsidRDefault="001506C1" w:rsidP="00CE5774">
            <w:pPr>
              <w:rPr>
                <w:rFonts w:ascii="Arial" w:eastAsia="MS Gothic" w:hAnsi="Arial" w:cs="Arial"/>
                <w:color w:val="000000"/>
                <w:sz w:val="24"/>
                <w:szCs w:val="24"/>
              </w:rPr>
            </w:pPr>
            <w:r w:rsidRPr="00FA3F9C">
              <w:rPr>
                <w:rFonts w:ascii="Arial" w:hAnsi="Arial" w:cs="Arial"/>
                <w:sz w:val="24"/>
                <w:szCs w:val="24"/>
              </w:rPr>
              <w:t>Continuation criteria</w:t>
            </w:r>
          </w:p>
        </w:tc>
      </w:tr>
      <w:tr w:rsidR="001506C1" w:rsidRPr="00FA3F9C" w14:paraId="19E51693" w14:textId="77777777" w:rsidTr="00A45161">
        <w:tc>
          <w:tcPr>
            <w:tcW w:w="11065" w:type="dxa"/>
            <w:gridSpan w:val="2"/>
          </w:tcPr>
          <w:p w14:paraId="766EF620" w14:textId="77777777" w:rsidR="001506C1" w:rsidRPr="00FA3F9C" w:rsidRDefault="001506C1" w:rsidP="00CE5774">
            <w:pPr>
              <w:rPr>
                <w:rFonts w:ascii="Arial" w:eastAsia="MS Gothic" w:hAnsi="Arial" w:cs="Arial"/>
                <w:color w:val="000000"/>
                <w:sz w:val="24"/>
                <w:szCs w:val="24"/>
              </w:rPr>
            </w:pPr>
            <w:r w:rsidRPr="00FA3F9C">
              <w:rPr>
                <w:rFonts w:ascii="Arial" w:hAnsi="Arial" w:cs="Arial"/>
                <w:sz w:val="24"/>
                <w:szCs w:val="24"/>
              </w:rPr>
              <w:t>1. The patient must have platelets that are &lt;25,000/mm</w:t>
            </w:r>
            <w:r w:rsidRPr="00FA3F9C">
              <w:rPr>
                <w:rFonts w:ascii="Arial" w:hAnsi="Arial" w:cs="Arial"/>
                <w:sz w:val="24"/>
                <w:szCs w:val="24"/>
                <w:vertAlign w:val="superscript"/>
              </w:rPr>
              <w:t>3</w:t>
            </w:r>
            <w:r w:rsidRPr="00FA3F9C">
              <w:rPr>
                <w:rFonts w:ascii="Arial" w:hAnsi="Arial" w:cs="Arial"/>
                <w:sz w:val="24"/>
                <w:szCs w:val="24"/>
              </w:rPr>
              <w:t xml:space="preserve"> or be at risk for platelets to drop to this level.</w:t>
            </w:r>
          </w:p>
        </w:tc>
      </w:tr>
      <w:tr w:rsidR="001506C1" w:rsidRPr="00FA3F9C" w14:paraId="7F255A2A" w14:textId="77777777" w:rsidTr="00A45161">
        <w:tc>
          <w:tcPr>
            <w:tcW w:w="11065" w:type="dxa"/>
            <w:gridSpan w:val="2"/>
          </w:tcPr>
          <w:p w14:paraId="049FBD14" w14:textId="77777777" w:rsidR="001506C1" w:rsidRPr="00FA3F9C" w:rsidRDefault="001506C1" w:rsidP="00141BFA">
            <w:pPr>
              <w:rPr>
                <w:rFonts w:ascii="Arial" w:hAnsi="Arial" w:cs="Arial"/>
                <w:sz w:val="24"/>
                <w:szCs w:val="24"/>
              </w:rPr>
            </w:pPr>
            <w:r w:rsidRPr="00FA3F9C">
              <w:rPr>
                <w:rFonts w:ascii="Arial" w:hAnsi="Arial" w:cs="Arial"/>
                <w:sz w:val="24"/>
                <w:szCs w:val="24"/>
              </w:rPr>
              <w:lastRenderedPageBreak/>
              <w:t>2. The patient must still be prescribed an interferon therapy.</w:t>
            </w:r>
          </w:p>
        </w:tc>
      </w:tr>
      <w:tr w:rsidR="001506C1" w:rsidRPr="00FA3F9C" w14:paraId="5BE02B6C" w14:textId="77777777" w:rsidTr="00A45161">
        <w:tc>
          <w:tcPr>
            <w:tcW w:w="11065" w:type="dxa"/>
            <w:gridSpan w:val="2"/>
          </w:tcPr>
          <w:p w14:paraId="5700FC69" w14:textId="77777777" w:rsidR="001506C1" w:rsidRPr="00FA3F9C" w:rsidRDefault="001506C1" w:rsidP="00CE5774">
            <w:pPr>
              <w:rPr>
                <w:rFonts w:ascii="Arial" w:eastAsia="MS Gothic" w:hAnsi="Arial" w:cs="Arial"/>
                <w:color w:val="000000"/>
                <w:sz w:val="24"/>
                <w:szCs w:val="24"/>
              </w:rPr>
            </w:pPr>
            <w:r w:rsidRPr="00FA3F9C">
              <w:rPr>
                <w:rFonts w:ascii="Arial" w:eastAsia="MS Gothic" w:hAnsi="Arial" w:cs="Arial"/>
                <w:color w:val="000000"/>
                <w:sz w:val="24"/>
                <w:szCs w:val="24"/>
              </w:rPr>
              <w:t>If both criteria are met, approve for 3 months</w:t>
            </w:r>
          </w:p>
        </w:tc>
      </w:tr>
      <w:tr w:rsidR="001506C1" w:rsidRPr="00FA3F9C" w14:paraId="7F9265F4" w14:textId="77777777" w:rsidTr="00A45161">
        <w:tc>
          <w:tcPr>
            <w:tcW w:w="11065" w:type="dxa"/>
            <w:gridSpan w:val="2"/>
          </w:tcPr>
          <w:p w14:paraId="41EEC1ED" w14:textId="77777777" w:rsidR="001506C1" w:rsidRPr="00FA3F9C" w:rsidRDefault="001506C1" w:rsidP="00CE5774">
            <w:pPr>
              <w:rPr>
                <w:rFonts w:ascii="Arial" w:hAnsi="Arial" w:cs="Arial"/>
                <w:sz w:val="24"/>
                <w:szCs w:val="24"/>
              </w:rPr>
            </w:pPr>
          </w:p>
        </w:tc>
      </w:tr>
      <w:tr w:rsidR="001506C1" w:rsidRPr="00FA3F9C" w14:paraId="70A67213" w14:textId="77777777" w:rsidTr="00A45161">
        <w:tc>
          <w:tcPr>
            <w:tcW w:w="11065" w:type="dxa"/>
            <w:gridSpan w:val="2"/>
            <w:shd w:val="clear" w:color="auto" w:fill="000000" w:themeFill="text1"/>
          </w:tcPr>
          <w:p w14:paraId="2E5E3F12" w14:textId="77777777" w:rsidR="001506C1" w:rsidRPr="00FA3F9C" w:rsidRDefault="001506C1" w:rsidP="00CE5774">
            <w:pPr>
              <w:rPr>
                <w:rFonts w:ascii="Arial" w:hAnsi="Arial" w:cs="Arial"/>
                <w:sz w:val="24"/>
                <w:szCs w:val="24"/>
              </w:rPr>
            </w:pPr>
            <w:r w:rsidRPr="00FA3F9C">
              <w:rPr>
                <w:rFonts w:ascii="Arial" w:hAnsi="Arial" w:cs="Arial"/>
                <w:sz w:val="24"/>
                <w:szCs w:val="24"/>
              </w:rPr>
              <w:t>E. Pre-procedure use in patients with chronic liver disease</w:t>
            </w:r>
          </w:p>
        </w:tc>
      </w:tr>
      <w:tr w:rsidR="001506C1" w:rsidRPr="00FA3F9C" w14:paraId="29028140" w14:textId="77777777" w:rsidTr="00A45161">
        <w:tc>
          <w:tcPr>
            <w:tcW w:w="11065" w:type="dxa"/>
            <w:gridSpan w:val="2"/>
          </w:tcPr>
          <w:p w14:paraId="3C732941" w14:textId="77777777" w:rsidR="001506C1" w:rsidRPr="00FA3F9C" w:rsidRDefault="001506C1" w:rsidP="001506C1">
            <w:pPr>
              <w:pStyle w:val="ListParagraph"/>
              <w:numPr>
                <w:ilvl w:val="0"/>
                <w:numId w:val="165"/>
              </w:numPr>
              <w:ind w:left="0"/>
              <w:rPr>
                <w:rFonts w:ascii="Arial" w:eastAsia="MS Gothic" w:hAnsi="Arial" w:cs="Arial"/>
                <w:color w:val="000000"/>
                <w:sz w:val="24"/>
                <w:szCs w:val="24"/>
              </w:rPr>
            </w:pPr>
            <w:r w:rsidRPr="00FA3F9C">
              <w:rPr>
                <w:rFonts w:ascii="Arial" w:eastAsia="MS Gothic" w:hAnsi="Arial" w:cs="Arial"/>
                <w:color w:val="000000"/>
                <w:sz w:val="24"/>
                <w:szCs w:val="24"/>
              </w:rPr>
              <w:t xml:space="preserve">1. The patient must be scheduled to undergo a procedure within the next 14 days </w:t>
            </w:r>
          </w:p>
        </w:tc>
      </w:tr>
      <w:tr w:rsidR="001506C1" w:rsidRPr="00FA3F9C" w14:paraId="0ED060F5" w14:textId="77777777" w:rsidTr="00A45161">
        <w:tc>
          <w:tcPr>
            <w:tcW w:w="11065" w:type="dxa"/>
            <w:gridSpan w:val="2"/>
          </w:tcPr>
          <w:p w14:paraId="60253789" w14:textId="77777777" w:rsidR="001506C1" w:rsidRPr="00FA3F9C" w:rsidRDefault="001506C1" w:rsidP="001506C1">
            <w:pPr>
              <w:pStyle w:val="ListParagraph"/>
              <w:numPr>
                <w:ilvl w:val="0"/>
                <w:numId w:val="165"/>
              </w:numPr>
              <w:ind w:left="0"/>
              <w:rPr>
                <w:rFonts w:ascii="Arial" w:eastAsia="MS Gothic" w:hAnsi="Arial" w:cs="Arial"/>
                <w:color w:val="000000"/>
                <w:sz w:val="24"/>
                <w:szCs w:val="24"/>
              </w:rPr>
            </w:pPr>
            <w:r w:rsidRPr="00FA3F9C">
              <w:rPr>
                <w:rFonts w:ascii="Arial" w:eastAsia="MS Gothic" w:hAnsi="Arial" w:cs="Arial"/>
                <w:color w:val="000000"/>
                <w:sz w:val="24"/>
                <w:szCs w:val="24"/>
              </w:rPr>
              <w:t>2. The patient must be at significant risk for bleeding during the procedure (platelet count &lt;50K)</w:t>
            </w:r>
          </w:p>
        </w:tc>
      </w:tr>
      <w:tr w:rsidR="001506C1" w:rsidRPr="00FA3F9C" w14:paraId="6C246D04" w14:textId="77777777" w:rsidTr="00A45161">
        <w:tc>
          <w:tcPr>
            <w:tcW w:w="11065" w:type="dxa"/>
            <w:gridSpan w:val="2"/>
          </w:tcPr>
          <w:p w14:paraId="6B2456D7" w14:textId="77777777" w:rsidR="001506C1" w:rsidRPr="00FA3F9C" w:rsidRDefault="001506C1" w:rsidP="001506C1">
            <w:pPr>
              <w:pStyle w:val="ListParagraph"/>
              <w:numPr>
                <w:ilvl w:val="0"/>
                <w:numId w:val="165"/>
              </w:numPr>
              <w:ind w:left="0"/>
              <w:rPr>
                <w:rFonts w:ascii="Arial" w:eastAsia="MS Gothic" w:hAnsi="Arial" w:cs="Arial"/>
                <w:color w:val="000000"/>
                <w:sz w:val="24"/>
                <w:szCs w:val="24"/>
              </w:rPr>
            </w:pPr>
            <w:r w:rsidRPr="00FA3F9C">
              <w:rPr>
                <w:rFonts w:ascii="Arial" w:eastAsia="MS Gothic" w:hAnsi="Arial" w:cs="Arial"/>
                <w:color w:val="000000"/>
                <w:sz w:val="24"/>
                <w:szCs w:val="24"/>
              </w:rPr>
              <w:t>3. The patient must have diagnosis of chronic liver disease</w:t>
            </w:r>
          </w:p>
        </w:tc>
      </w:tr>
      <w:tr w:rsidR="001506C1" w:rsidRPr="00FA3F9C" w14:paraId="0FA65968" w14:textId="77777777" w:rsidTr="00A45161">
        <w:tc>
          <w:tcPr>
            <w:tcW w:w="11065" w:type="dxa"/>
            <w:gridSpan w:val="2"/>
          </w:tcPr>
          <w:p w14:paraId="4C77167B" w14:textId="77777777" w:rsidR="001506C1" w:rsidRPr="00FA3F9C" w:rsidRDefault="001506C1" w:rsidP="001506C1">
            <w:pPr>
              <w:pStyle w:val="ListParagraph"/>
              <w:numPr>
                <w:ilvl w:val="0"/>
                <w:numId w:val="165"/>
              </w:numPr>
              <w:ind w:left="0"/>
              <w:rPr>
                <w:rFonts w:ascii="Arial" w:eastAsia="MS Gothic" w:hAnsi="Arial" w:cs="Arial"/>
                <w:color w:val="000000"/>
                <w:sz w:val="24"/>
                <w:szCs w:val="24"/>
              </w:rPr>
            </w:pPr>
            <w:r w:rsidRPr="00FA3F9C">
              <w:rPr>
                <w:rFonts w:ascii="Arial" w:eastAsia="MS Gothic" w:hAnsi="Arial" w:cs="Arial"/>
                <w:color w:val="000000"/>
                <w:sz w:val="24"/>
                <w:szCs w:val="24"/>
              </w:rPr>
              <w:t xml:space="preserve">4. </w:t>
            </w:r>
            <w:r w:rsidRPr="00FA3F9C">
              <w:rPr>
                <w:rFonts w:ascii="Arial" w:hAnsi="Arial" w:cs="Arial"/>
                <w:sz w:val="24"/>
                <w:szCs w:val="24"/>
              </w:rPr>
              <w:t xml:space="preserve">If </w:t>
            </w:r>
            <w:proofErr w:type="spellStart"/>
            <w:r w:rsidRPr="00FA3F9C">
              <w:rPr>
                <w:rFonts w:ascii="Arial" w:hAnsi="Arial" w:cs="Arial"/>
                <w:sz w:val="24"/>
                <w:szCs w:val="24"/>
              </w:rPr>
              <w:t>eltrombopag</w:t>
            </w:r>
            <w:proofErr w:type="spellEnd"/>
            <w:r w:rsidRPr="00FA3F9C">
              <w:rPr>
                <w:rFonts w:ascii="Arial" w:hAnsi="Arial" w:cs="Arial"/>
                <w:sz w:val="24"/>
                <w:szCs w:val="24"/>
              </w:rPr>
              <w:t xml:space="preserve"> PACKETS for oral suspension are to be used AND dose is greater than 25 mg daily, patient is unable to swallow tablets. (</w:t>
            </w:r>
            <w:proofErr w:type="gramStart"/>
            <w:r w:rsidRPr="00FA3F9C">
              <w:rPr>
                <w:rFonts w:ascii="Arial" w:hAnsi="Arial" w:cs="Arial"/>
                <w:sz w:val="24"/>
                <w:szCs w:val="24"/>
              </w:rPr>
              <w:t>see</w:t>
            </w:r>
            <w:proofErr w:type="gramEnd"/>
            <w:r w:rsidRPr="00FA3F9C">
              <w:rPr>
                <w:rFonts w:ascii="Arial" w:hAnsi="Arial" w:cs="Arial"/>
                <w:sz w:val="24"/>
                <w:szCs w:val="24"/>
              </w:rPr>
              <w:t xml:space="preserve"> pricing info below)</w:t>
            </w:r>
          </w:p>
        </w:tc>
      </w:tr>
      <w:tr w:rsidR="001506C1" w:rsidRPr="00FA3F9C" w14:paraId="2ABD1689" w14:textId="77777777" w:rsidTr="00A45161">
        <w:tc>
          <w:tcPr>
            <w:tcW w:w="11065" w:type="dxa"/>
            <w:gridSpan w:val="2"/>
          </w:tcPr>
          <w:p w14:paraId="7BC0B3C2" w14:textId="77777777" w:rsidR="001506C1" w:rsidRPr="00FA3F9C" w:rsidRDefault="001506C1" w:rsidP="00CE5774">
            <w:pPr>
              <w:rPr>
                <w:rFonts w:ascii="Arial" w:eastAsia="MS Gothic" w:hAnsi="Arial" w:cs="Arial"/>
                <w:color w:val="000000"/>
                <w:sz w:val="24"/>
                <w:szCs w:val="24"/>
              </w:rPr>
            </w:pPr>
            <w:r w:rsidRPr="00FA3F9C">
              <w:rPr>
                <w:rFonts w:ascii="Arial" w:eastAsia="MS Gothic" w:hAnsi="Arial" w:cs="Arial"/>
                <w:color w:val="000000"/>
                <w:sz w:val="24"/>
                <w:szCs w:val="24"/>
              </w:rPr>
              <w:t>Dosing:  75mg QD starting 14 days before the procedure; must have procedure no more than 5 days after the final dose.</w:t>
            </w:r>
          </w:p>
        </w:tc>
      </w:tr>
      <w:tr w:rsidR="001506C1" w:rsidRPr="00FA3F9C" w14:paraId="778AACF3" w14:textId="77777777" w:rsidTr="00A45161">
        <w:tc>
          <w:tcPr>
            <w:tcW w:w="11065" w:type="dxa"/>
            <w:gridSpan w:val="2"/>
          </w:tcPr>
          <w:p w14:paraId="33163F64" w14:textId="77777777" w:rsidR="001506C1" w:rsidRPr="00FA3F9C" w:rsidRDefault="001506C1" w:rsidP="00CE5774">
            <w:pPr>
              <w:rPr>
                <w:rFonts w:ascii="Arial" w:eastAsia="MS Gothic" w:hAnsi="Arial" w:cs="Arial"/>
                <w:color w:val="000000"/>
                <w:sz w:val="24"/>
                <w:szCs w:val="24"/>
              </w:rPr>
            </w:pPr>
            <w:r w:rsidRPr="00FA3F9C">
              <w:rPr>
                <w:rFonts w:ascii="Arial" w:hAnsi="Arial" w:cs="Arial"/>
                <w:sz w:val="24"/>
                <w:szCs w:val="24"/>
              </w:rPr>
              <w:t xml:space="preserve">Approve for one </w:t>
            </w:r>
            <w:proofErr w:type="gramStart"/>
            <w:r w:rsidRPr="00FA3F9C">
              <w:rPr>
                <w:rFonts w:ascii="Arial" w:hAnsi="Arial" w:cs="Arial"/>
                <w:sz w:val="24"/>
                <w:szCs w:val="24"/>
              </w:rPr>
              <w:t>14 day</w:t>
            </w:r>
            <w:proofErr w:type="gramEnd"/>
            <w:r w:rsidRPr="00FA3F9C">
              <w:rPr>
                <w:rFonts w:ascii="Arial" w:hAnsi="Arial" w:cs="Arial"/>
                <w:sz w:val="24"/>
                <w:szCs w:val="24"/>
              </w:rPr>
              <w:t xml:space="preserve"> supply</w:t>
            </w:r>
          </w:p>
        </w:tc>
      </w:tr>
      <w:tr w:rsidR="001506C1" w:rsidRPr="00FA3F9C" w14:paraId="6D60E260" w14:textId="77777777" w:rsidTr="00A45161">
        <w:tc>
          <w:tcPr>
            <w:tcW w:w="11065" w:type="dxa"/>
            <w:gridSpan w:val="2"/>
          </w:tcPr>
          <w:p w14:paraId="1E19ED60" w14:textId="77777777" w:rsidR="001506C1" w:rsidRPr="00FA3F9C" w:rsidRDefault="001506C1" w:rsidP="00CE5774">
            <w:pPr>
              <w:rPr>
                <w:rFonts w:ascii="Arial" w:hAnsi="Arial" w:cs="Arial"/>
                <w:sz w:val="24"/>
                <w:szCs w:val="24"/>
              </w:rPr>
            </w:pPr>
            <w:r w:rsidRPr="00FA3F9C">
              <w:rPr>
                <w:rFonts w:ascii="Arial" w:hAnsi="Arial" w:cs="Arial"/>
                <w:sz w:val="24"/>
                <w:szCs w:val="24"/>
              </w:rPr>
              <w:t xml:space="preserve">Notes for pre-procedural use of </w:t>
            </w:r>
            <w:proofErr w:type="spellStart"/>
            <w:r w:rsidRPr="00FA3F9C">
              <w:rPr>
                <w:rFonts w:ascii="Arial" w:hAnsi="Arial" w:cs="Arial"/>
                <w:sz w:val="24"/>
                <w:szCs w:val="24"/>
              </w:rPr>
              <w:t>eltrombopag</w:t>
            </w:r>
            <w:proofErr w:type="spellEnd"/>
          </w:p>
          <w:p w14:paraId="63B44288" w14:textId="77777777" w:rsidR="001506C1" w:rsidRPr="00FA3F9C" w:rsidRDefault="001506C1" w:rsidP="001506C1">
            <w:pPr>
              <w:pStyle w:val="ListParagraph"/>
              <w:numPr>
                <w:ilvl w:val="0"/>
                <w:numId w:val="163"/>
              </w:numPr>
              <w:ind w:left="450"/>
              <w:rPr>
                <w:rFonts w:ascii="Arial" w:hAnsi="Arial" w:cs="Arial"/>
                <w:sz w:val="24"/>
                <w:szCs w:val="24"/>
              </w:rPr>
            </w:pPr>
            <w:r w:rsidRPr="00FA3F9C">
              <w:rPr>
                <w:rFonts w:ascii="Arial" w:hAnsi="Arial" w:cs="Arial"/>
                <w:sz w:val="24"/>
                <w:szCs w:val="24"/>
                <w:vertAlign w:val="superscript"/>
              </w:rPr>
              <w:t xml:space="preserve">2,5 </w:t>
            </w:r>
            <w:proofErr w:type="spellStart"/>
            <w:r w:rsidRPr="00FA3F9C">
              <w:rPr>
                <w:rFonts w:ascii="Arial" w:hAnsi="Arial" w:cs="Arial"/>
                <w:sz w:val="24"/>
                <w:szCs w:val="24"/>
              </w:rPr>
              <w:t>Eltrombopag</w:t>
            </w:r>
            <w:proofErr w:type="spellEnd"/>
            <w:r w:rsidRPr="00FA3F9C">
              <w:rPr>
                <w:rFonts w:ascii="Arial" w:hAnsi="Arial" w:cs="Arial"/>
                <w:sz w:val="24"/>
                <w:szCs w:val="24"/>
              </w:rPr>
              <w:t xml:space="preserve"> is not FDA approved in chronic liver disease, but evidence supports its use.</w:t>
            </w:r>
          </w:p>
          <w:p w14:paraId="15694043" w14:textId="77777777" w:rsidR="001506C1" w:rsidRPr="00FA3F9C" w:rsidRDefault="001506C1" w:rsidP="001506C1">
            <w:pPr>
              <w:pStyle w:val="ListParagraph"/>
              <w:numPr>
                <w:ilvl w:val="0"/>
                <w:numId w:val="163"/>
              </w:numPr>
              <w:ind w:left="450"/>
              <w:rPr>
                <w:rFonts w:ascii="Arial" w:hAnsi="Arial" w:cs="Arial"/>
                <w:sz w:val="24"/>
                <w:szCs w:val="24"/>
              </w:rPr>
            </w:pPr>
            <w:r w:rsidRPr="00FA3F9C">
              <w:rPr>
                <w:rFonts w:ascii="Arial" w:hAnsi="Arial" w:cs="Arial"/>
                <w:sz w:val="24"/>
                <w:szCs w:val="24"/>
                <w:vertAlign w:val="superscript"/>
              </w:rPr>
              <w:t>2</w:t>
            </w:r>
            <w:r w:rsidRPr="00FA3F9C">
              <w:rPr>
                <w:rFonts w:ascii="Arial" w:hAnsi="Arial" w:cs="Arial"/>
                <w:sz w:val="24"/>
                <w:szCs w:val="24"/>
              </w:rPr>
              <w:t xml:space="preserve">Although there is not an FDA approval, there is literature citing the use of </w:t>
            </w:r>
            <w:proofErr w:type="spellStart"/>
            <w:r w:rsidRPr="00FA3F9C">
              <w:rPr>
                <w:rFonts w:ascii="Arial" w:hAnsi="Arial" w:cs="Arial"/>
                <w:sz w:val="24"/>
                <w:szCs w:val="24"/>
              </w:rPr>
              <w:t>eltrombopag</w:t>
            </w:r>
            <w:proofErr w:type="spellEnd"/>
            <w:r w:rsidRPr="00FA3F9C">
              <w:rPr>
                <w:rFonts w:ascii="Arial" w:hAnsi="Arial" w:cs="Arial"/>
                <w:sz w:val="24"/>
                <w:szCs w:val="24"/>
              </w:rPr>
              <w:t xml:space="preserve"> pre-procedure in patients with chronic liver disease (which </w:t>
            </w:r>
            <w:proofErr w:type="spellStart"/>
            <w:r w:rsidRPr="00FA3F9C">
              <w:rPr>
                <w:rFonts w:ascii="Arial" w:hAnsi="Arial" w:cs="Arial"/>
                <w:sz w:val="24"/>
                <w:szCs w:val="24"/>
              </w:rPr>
              <w:t>avotrombopag</w:t>
            </w:r>
            <w:proofErr w:type="spellEnd"/>
            <w:r w:rsidRPr="00FA3F9C">
              <w:rPr>
                <w:rFonts w:ascii="Arial" w:hAnsi="Arial" w:cs="Arial"/>
                <w:sz w:val="24"/>
                <w:szCs w:val="24"/>
              </w:rPr>
              <w:t xml:space="preserve"> just came out with an indication for)</w:t>
            </w:r>
          </w:p>
          <w:p w14:paraId="01D3108D" w14:textId="77777777" w:rsidR="001506C1" w:rsidRPr="00FA3F9C" w:rsidRDefault="001506C1" w:rsidP="001506C1">
            <w:pPr>
              <w:pStyle w:val="ListParagraph"/>
              <w:numPr>
                <w:ilvl w:val="1"/>
                <w:numId w:val="163"/>
              </w:numPr>
              <w:ind w:left="810"/>
              <w:rPr>
                <w:rFonts w:ascii="Arial" w:hAnsi="Arial" w:cs="Arial"/>
                <w:sz w:val="24"/>
                <w:szCs w:val="24"/>
              </w:rPr>
            </w:pPr>
            <w:r w:rsidRPr="00FA3F9C">
              <w:rPr>
                <w:rFonts w:ascii="Arial" w:hAnsi="Arial" w:cs="Arial"/>
                <w:sz w:val="24"/>
                <w:szCs w:val="24"/>
              </w:rPr>
              <w:t xml:space="preserve">Patients received either </w:t>
            </w:r>
            <w:proofErr w:type="spellStart"/>
            <w:r w:rsidRPr="00FA3F9C">
              <w:rPr>
                <w:rFonts w:ascii="Arial" w:hAnsi="Arial" w:cs="Arial"/>
                <w:sz w:val="24"/>
                <w:szCs w:val="24"/>
              </w:rPr>
              <w:t>eltrombopag</w:t>
            </w:r>
            <w:proofErr w:type="spellEnd"/>
            <w:r w:rsidRPr="00FA3F9C">
              <w:rPr>
                <w:rFonts w:ascii="Arial" w:hAnsi="Arial" w:cs="Arial"/>
                <w:sz w:val="24"/>
                <w:szCs w:val="24"/>
              </w:rPr>
              <w:t xml:space="preserve"> at a dose of 75 mg once daily for 14 days</w:t>
            </w:r>
          </w:p>
          <w:p w14:paraId="192EAC45" w14:textId="77777777" w:rsidR="001506C1" w:rsidRPr="00FA3F9C" w:rsidRDefault="001506C1" w:rsidP="001506C1">
            <w:pPr>
              <w:pStyle w:val="ListParagraph"/>
              <w:numPr>
                <w:ilvl w:val="1"/>
                <w:numId w:val="163"/>
              </w:numPr>
              <w:ind w:left="810"/>
              <w:rPr>
                <w:rFonts w:ascii="Arial" w:hAnsi="Arial" w:cs="Arial"/>
                <w:sz w:val="24"/>
                <w:szCs w:val="24"/>
              </w:rPr>
            </w:pPr>
            <w:r w:rsidRPr="00FA3F9C">
              <w:rPr>
                <w:rFonts w:ascii="Arial" w:hAnsi="Arial" w:cs="Arial"/>
                <w:sz w:val="24"/>
                <w:szCs w:val="24"/>
              </w:rPr>
              <w:t xml:space="preserve">N=292, </w:t>
            </w:r>
            <w:proofErr w:type="spellStart"/>
            <w:r w:rsidRPr="00FA3F9C">
              <w:rPr>
                <w:rFonts w:ascii="Arial" w:hAnsi="Arial" w:cs="Arial"/>
                <w:sz w:val="24"/>
                <w:szCs w:val="24"/>
              </w:rPr>
              <w:t>Plts</w:t>
            </w:r>
            <w:proofErr w:type="spellEnd"/>
            <w:r w:rsidRPr="00FA3F9C">
              <w:rPr>
                <w:rFonts w:ascii="Arial" w:hAnsi="Arial" w:cs="Arial"/>
                <w:sz w:val="24"/>
                <w:szCs w:val="24"/>
              </w:rPr>
              <w:t xml:space="preserve"> &lt;50,000/mm</w:t>
            </w:r>
            <w:r w:rsidRPr="00FA3F9C">
              <w:rPr>
                <w:rFonts w:ascii="Arial" w:hAnsi="Arial" w:cs="Arial"/>
                <w:sz w:val="24"/>
                <w:szCs w:val="24"/>
                <w:vertAlign w:val="superscript"/>
              </w:rPr>
              <w:t>3</w:t>
            </w:r>
            <w:r w:rsidRPr="00FA3F9C">
              <w:rPr>
                <w:rFonts w:ascii="Arial" w:hAnsi="Arial" w:cs="Arial"/>
                <w:sz w:val="24"/>
                <w:szCs w:val="24"/>
              </w:rPr>
              <w:t>, Patients needed fewer platelet transfusions when they used this drug before procedures</w:t>
            </w:r>
          </w:p>
          <w:p w14:paraId="2E938BA4" w14:textId="77777777" w:rsidR="001506C1" w:rsidRPr="00FA3F9C" w:rsidRDefault="001506C1" w:rsidP="00CE5774">
            <w:pPr>
              <w:rPr>
                <w:rFonts w:ascii="Arial" w:hAnsi="Arial" w:cs="Arial"/>
                <w:sz w:val="24"/>
                <w:szCs w:val="24"/>
              </w:rPr>
            </w:pPr>
          </w:p>
        </w:tc>
      </w:tr>
    </w:tbl>
    <w:p w14:paraId="38D967E0" w14:textId="77777777" w:rsidR="001506C1" w:rsidRPr="00FA3F9C" w:rsidRDefault="001506C1" w:rsidP="00A45161">
      <w:pPr>
        <w:spacing w:after="0" w:line="240" w:lineRule="auto"/>
        <w:rPr>
          <w:rFonts w:ascii="Arial" w:hAnsi="Arial" w:cs="Arial"/>
          <w:sz w:val="24"/>
          <w:szCs w:val="24"/>
        </w:rPr>
      </w:pPr>
    </w:p>
    <w:p w14:paraId="0772BE8A" w14:textId="77777777" w:rsidR="001506C1" w:rsidRPr="00FA3F9C" w:rsidRDefault="001506C1" w:rsidP="00A45161">
      <w:pPr>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2158"/>
        <w:gridCol w:w="2247"/>
        <w:gridCol w:w="2250"/>
        <w:gridCol w:w="1977"/>
      </w:tblGrid>
      <w:tr w:rsidR="001506C1" w:rsidRPr="00FA3F9C" w14:paraId="3E43A39C" w14:textId="77777777" w:rsidTr="00F15261">
        <w:tc>
          <w:tcPr>
            <w:tcW w:w="8632" w:type="dxa"/>
            <w:gridSpan w:val="4"/>
            <w:shd w:val="clear" w:color="auto" w:fill="F2F2F2" w:themeFill="background1" w:themeFillShade="F2"/>
          </w:tcPr>
          <w:p w14:paraId="58047685" w14:textId="77777777" w:rsidR="001506C1" w:rsidRPr="00FA3F9C" w:rsidRDefault="001506C1" w:rsidP="00A45161">
            <w:pPr>
              <w:rPr>
                <w:rFonts w:ascii="Arial" w:hAnsi="Arial" w:cs="Arial"/>
                <w:b/>
                <w:sz w:val="24"/>
                <w:szCs w:val="24"/>
              </w:rPr>
            </w:pPr>
            <w:r w:rsidRPr="00FA3F9C">
              <w:rPr>
                <w:rFonts w:ascii="Arial" w:hAnsi="Arial" w:cs="Arial"/>
                <w:b/>
                <w:sz w:val="24"/>
                <w:szCs w:val="24"/>
              </w:rPr>
              <w:t xml:space="preserve">Differences in AWP based on formulation (as of 5/20/2020, </w:t>
            </w:r>
            <w:proofErr w:type="spellStart"/>
            <w:r w:rsidRPr="00FA3F9C">
              <w:rPr>
                <w:rFonts w:ascii="Arial" w:hAnsi="Arial" w:cs="Arial"/>
                <w:b/>
                <w:sz w:val="24"/>
                <w:szCs w:val="24"/>
              </w:rPr>
              <w:t>LexiComp</w:t>
            </w:r>
            <w:proofErr w:type="spellEnd"/>
            <w:r w:rsidRPr="00FA3F9C">
              <w:rPr>
                <w:rFonts w:ascii="Arial" w:hAnsi="Arial" w:cs="Arial"/>
                <w:b/>
                <w:sz w:val="24"/>
                <w:szCs w:val="24"/>
              </w:rPr>
              <w:t>)</w:t>
            </w:r>
          </w:p>
        </w:tc>
      </w:tr>
      <w:tr w:rsidR="001506C1" w:rsidRPr="00FA3F9C" w14:paraId="299D4538" w14:textId="77777777" w:rsidTr="002E6904">
        <w:tc>
          <w:tcPr>
            <w:tcW w:w="2158" w:type="dxa"/>
            <w:shd w:val="clear" w:color="auto" w:fill="F2F2F2" w:themeFill="background1" w:themeFillShade="F2"/>
          </w:tcPr>
          <w:p w14:paraId="43E8629A" w14:textId="77777777" w:rsidR="001506C1" w:rsidRPr="00FA3F9C" w:rsidRDefault="001506C1" w:rsidP="00A45161">
            <w:pPr>
              <w:rPr>
                <w:rFonts w:ascii="Arial" w:hAnsi="Arial" w:cs="Arial"/>
                <w:b/>
                <w:sz w:val="24"/>
                <w:szCs w:val="24"/>
              </w:rPr>
            </w:pPr>
            <w:r w:rsidRPr="00FA3F9C">
              <w:rPr>
                <w:rFonts w:ascii="Arial" w:hAnsi="Arial" w:cs="Arial"/>
                <w:b/>
                <w:sz w:val="24"/>
                <w:szCs w:val="24"/>
              </w:rPr>
              <w:t>Dose</w:t>
            </w:r>
          </w:p>
        </w:tc>
        <w:tc>
          <w:tcPr>
            <w:tcW w:w="2247" w:type="dxa"/>
            <w:shd w:val="clear" w:color="auto" w:fill="F2F2F2" w:themeFill="background1" w:themeFillShade="F2"/>
          </w:tcPr>
          <w:p w14:paraId="451B79FF" w14:textId="77777777" w:rsidR="001506C1" w:rsidRPr="00FA3F9C" w:rsidRDefault="001506C1" w:rsidP="00A45161">
            <w:pPr>
              <w:rPr>
                <w:rFonts w:ascii="Arial" w:hAnsi="Arial" w:cs="Arial"/>
                <w:sz w:val="24"/>
                <w:szCs w:val="24"/>
              </w:rPr>
            </w:pPr>
            <w:r w:rsidRPr="00FA3F9C">
              <w:rPr>
                <w:rFonts w:ascii="Arial" w:hAnsi="Arial" w:cs="Arial"/>
                <w:b/>
                <w:sz w:val="24"/>
                <w:szCs w:val="24"/>
              </w:rPr>
              <w:t>Packets</w:t>
            </w:r>
            <w:r w:rsidRPr="00FA3F9C">
              <w:rPr>
                <w:rFonts w:ascii="Arial" w:hAnsi="Arial" w:cs="Arial"/>
                <w:sz w:val="24"/>
                <w:szCs w:val="24"/>
              </w:rPr>
              <w:t xml:space="preserve"> (cost per 30d)</w:t>
            </w:r>
          </w:p>
        </w:tc>
        <w:tc>
          <w:tcPr>
            <w:tcW w:w="2250" w:type="dxa"/>
            <w:shd w:val="clear" w:color="auto" w:fill="F2F2F2" w:themeFill="background1" w:themeFillShade="F2"/>
          </w:tcPr>
          <w:p w14:paraId="4A24137D" w14:textId="77777777" w:rsidR="001506C1" w:rsidRPr="00FA3F9C" w:rsidRDefault="001506C1" w:rsidP="00A45161">
            <w:pPr>
              <w:rPr>
                <w:rFonts w:ascii="Arial" w:hAnsi="Arial" w:cs="Arial"/>
                <w:sz w:val="24"/>
                <w:szCs w:val="24"/>
              </w:rPr>
            </w:pPr>
            <w:r w:rsidRPr="00FA3F9C">
              <w:rPr>
                <w:rFonts w:ascii="Arial" w:hAnsi="Arial" w:cs="Arial"/>
                <w:b/>
                <w:sz w:val="24"/>
                <w:szCs w:val="24"/>
              </w:rPr>
              <w:t>Tablets</w:t>
            </w:r>
            <w:r w:rsidRPr="00FA3F9C">
              <w:rPr>
                <w:rFonts w:ascii="Arial" w:hAnsi="Arial" w:cs="Arial"/>
                <w:sz w:val="24"/>
                <w:szCs w:val="24"/>
              </w:rPr>
              <w:t xml:space="preserve"> (cost per 30d)</w:t>
            </w:r>
          </w:p>
        </w:tc>
        <w:tc>
          <w:tcPr>
            <w:tcW w:w="1977" w:type="dxa"/>
            <w:shd w:val="clear" w:color="auto" w:fill="F2F2F2" w:themeFill="background1" w:themeFillShade="F2"/>
          </w:tcPr>
          <w:p w14:paraId="650C72CE" w14:textId="77777777" w:rsidR="001506C1" w:rsidRPr="00FA3F9C" w:rsidRDefault="001506C1" w:rsidP="00A45161">
            <w:pPr>
              <w:rPr>
                <w:rFonts w:ascii="Arial" w:hAnsi="Arial" w:cs="Arial"/>
                <w:b/>
                <w:sz w:val="24"/>
                <w:szCs w:val="24"/>
              </w:rPr>
            </w:pPr>
            <w:r w:rsidRPr="00FA3F9C">
              <w:rPr>
                <w:rFonts w:ascii="Arial" w:hAnsi="Arial" w:cs="Arial"/>
                <w:b/>
                <w:sz w:val="24"/>
                <w:szCs w:val="24"/>
              </w:rPr>
              <w:t>Difference</w:t>
            </w:r>
          </w:p>
        </w:tc>
      </w:tr>
      <w:tr w:rsidR="001506C1" w:rsidRPr="00FA3F9C" w14:paraId="28089709" w14:textId="77777777" w:rsidTr="002E6904">
        <w:tc>
          <w:tcPr>
            <w:tcW w:w="2158" w:type="dxa"/>
          </w:tcPr>
          <w:p w14:paraId="11753CE7" w14:textId="77777777" w:rsidR="001506C1" w:rsidRPr="00FA3F9C" w:rsidRDefault="001506C1" w:rsidP="00A45161">
            <w:pPr>
              <w:rPr>
                <w:rFonts w:ascii="Arial" w:hAnsi="Arial" w:cs="Arial"/>
                <w:sz w:val="24"/>
                <w:szCs w:val="24"/>
              </w:rPr>
            </w:pPr>
            <w:r w:rsidRPr="00FA3F9C">
              <w:rPr>
                <w:rFonts w:ascii="Arial" w:hAnsi="Arial" w:cs="Arial"/>
                <w:sz w:val="24"/>
                <w:szCs w:val="24"/>
              </w:rPr>
              <w:t>12.5 mg daily</w:t>
            </w:r>
          </w:p>
        </w:tc>
        <w:tc>
          <w:tcPr>
            <w:tcW w:w="2247" w:type="dxa"/>
          </w:tcPr>
          <w:p w14:paraId="59AE2F4D" w14:textId="77777777" w:rsidR="001506C1" w:rsidRPr="00FA3F9C" w:rsidRDefault="001506C1" w:rsidP="00A45161">
            <w:pPr>
              <w:rPr>
                <w:rFonts w:ascii="Arial" w:hAnsi="Arial" w:cs="Arial"/>
                <w:sz w:val="24"/>
                <w:szCs w:val="24"/>
              </w:rPr>
            </w:pPr>
            <w:r w:rsidRPr="00FA3F9C">
              <w:rPr>
                <w:rFonts w:ascii="Arial" w:hAnsi="Arial" w:cs="Arial"/>
                <w:sz w:val="24"/>
                <w:szCs w:val="24"/>
                <w:shd w:val="clear" w:color="auto" w:fill="FFFFFF"/>
              </w:rPr>
              <w:t>$6,325.50</w:t>
            </w:r>
          </w:p>
        </w:tc>
        <w:tc>
          <w:tcPr>
            <w:tcW w:w="2250" w:type="dxa"/>
          </w:tcPr>
          <w:p w14:paraId="0A597E75" w14:textId="77777777" w:rsidR="001506C1" w:rsidRPr="00FA3F9C" w:rsidRDefault="001506C1" w:rsidP="00A45161">
            <w:pPr>
              <w:rPr>
                <w:rFonts w:ascii="Arial" w:hAnsi="Arial" w:cs="Arial"/>
                <w:sz w:val="24"/>
                <w:szCs w:val="24"/>
              </w:rPr>
            </w:pPr>
            <w:r w:rsidRPr="00FA3F9C">
              <w:rPr>
                <w:rFonts w:ascii="Arial" w:hAnsi="Arial" w:cs="Arial"/>
                <w:sz w:val="24"/>
                <w:szCs w:val="24"/>
                <w:shd w:val="clear" w:color="auto" w:fill="FFFFFF"/>
              </w:rPr>
              <w:t>$6,325.50</w:t>
            </w:r>
          </w:p>
        </w:tc>
        <w:tc>
          <w:tcPr>
            <w:tcW w:w="1977" w:type="dxa"/>
          </w:tcPr>
          <w:p w14:paraId="26550E0C" w14:textId="77777777" w:rsidR="001506C1" w:rsidRPr="00FA3F9C" w:rsidRDefault="001506C1" w:rsidP="00A45161">
            <w:pPr>
              <w:rPr>
                <w:rFonts w:ascii="Arial" w:hAnsi="Arial" w:cs="Arial"/>
                <w:sz w:val="24"/>
                <w:szCs w:val="24"/>
                <w:shd w:val="clear" w:color="auto" w:fill="FFFFFF"/>
              </w:rPr>
            </w:pPr>
            <w:r w:rsidRPr="00FA3F9C">
              <w:rPr>
                <w:rFonts w:ascii="Arial" w:hAnsi="Arial" w:cs="Arial"/>
                <w:sz w:val="24"/>
                <w:szCs w:val="24"/>
                <w:shd w:val="clear" w:color="auto" w:fill="FFFFFF"/>
              </w:rPr>
              <w:t>0</w:t>
            </w:r>
          </w:p>
        </w:tc>
      </w:tr>
      <w:tr w:rsidR="001506C1" w:rsidRPr="00FA3F9C" w14:paraId="5D794C62" w14:textId="77777777" w:rsidTr="002E6904">
        <w:tc>
          <w:tcPr>
            <w:tcW w:w="2158" w:type="dxa"/>
          </w:tcPr>
          <w:p w14:paraId="6C970258" w14:textId="77777777" w:rsidR="001506C1" w:rsidRPr="00FA3F9C" w:rsidRDefault="001506C1" w:rsidP="00A45161">
            <w:pPr>
              <w:rPr>
                <w:rFonts w:ascii="Arial" w:hAnsi="Arial" w:cs="Arial"/>
                <w:sz w:val="24"/>
                <w:szCs w:val="24"/>
              </w:rPr>
            </w:pPr>
            <w:r w:rsidRPr="00FA3F9C">
              <w:rPr>
                <w:rFonts w:ascii="Arial" w:hAnsi="Arial" w:cs="Arial"/>
                <w:sz w:val="24"/>
                <w:szCs w:val="24"/>
              </w:rPr>
              <w:t>25 mg daily</w:t>
            </w:r>
          </w:p>
        </w:tc>
        <w:tc>
          <w:tcPr>
            <w:tcW w:w="2247" w:type="dxa"/>
          </w:tcPr>
          <w:p w14:paraId="7841CE25" w14:textId="77777777" w:rsidR="001506C1" w:rsidRPr="00FA3F9C" w:rsidRDefault="001506C1" w:rsidP="00A45161">
            <w:pPr>
              <w:rPr>
                <w:rFonts w:ascii="Arial" w:hAnsi="Arial" w:cs="Arial"/>
                <w:sz w:val="24"/>
                <w:szCs w:val="24"/>
              </w:rPr>
            </w:pPr>
            <w:r w:rsidRPr="00FA3F9C">
              <w:rPr>
                <w:rFonts w:ascii="Arial" w:hAnsi="Arial" w:cs="Arial"/>
                <w:sz w:val="24"/>
                <w:szCs w:val="24"/>
                <w:shd w:val="clear" w:color="auto" w:fill="FFFFFF"/>
              </w:rPr>
              <w:t>$6,325.50</w:t>
            </w:r>
          </w:p>
        </w:tc>
        <w:tc>
          <w:tcPr>
            <w:tcW w:w="2250" w:type="dxa"/>
          </w:tcPr>
          <w:p w14:paraId="0F8E5C1A" w14:textId="77777777" w:rsidR="001506C1" w:rsidRPr="00FA3F9C" w:rsidRDefault="001506C1" w:rsidP="00A45161">
            <w:pPr>
              <w:rPr>
                <w:rFonts w:ascii="Arial" w:hAnsi="Arial" w:cs="Arial"/>
                <w:sz w:val="24"/>
                <w:szCs w:val="24"/>
              </w:rPr>
            </w:pPr>
            <w:r w:rsidRPr="00FA3F9C">
              <w:rPr>
                <w:rFonts w:ascii="Arial" w:hAnsi="Arial" w:cs="Arial"/>
                <w:sz w:val="24"/>
                <w:szCs w:val="24"/>
                <w:shd w:val="clear" w:color="auto" w:fill="FFFFFF"/>
              </w:rPr>
              <w:t>$6,325.50</w:t>
            </w:r>
          </w:p>
        </w:tc>
        <w:tc>
          <w:tcPr>
            <w:tcW w:w="1977" w:type="dxa"/>
          </w:tcPr>
          <w:p w14:paraId="63701242" w14:textId="77777777" w:rsidR="001506C1" w:rsidRPr="00FA3F9C" w:rsidRDefault="001506C1" w:rsidP="00A45161">
            <w:pPr>
              <w:rPr>
                <w:rFonts w:ascii="Arial" w:hAnsi="Arial" w:cs="Arial"/>
                <w:sz w:val="24"/>
                <w:szCs w:val="24"/>
                <w:shd w:val="clear" w:color="auto" w:fill="FFFFFF"/>
              </w:rPr>
            </w:pPr>
            <w:r w:rsidRPr="00FA3F9C">
              <w:rPr>
                <w:rFonts w:ascii="Arial" w:hAnsi="Arial" w:cs="Arial"/>
                <w:sz w:val="24"/>
                <w:szCs w:val="24"/>
                <w:shd w:val="clear" w:color="auto" w:fill="FFFFFF"/>
              </w:rPr>
              <w:t>0</w:t>
            </w:r>
          </w:p>
        </w:tc>
      </w:tr>
      <w:tr w:rsidR="001506C1" w:rsidRPr="00FA3F9C" w14:paraId="18CCDECA" w14:textId="77777777" w:rsidTr="002E6904">
        <w:tc>
          <w:tcPr>
            <w:tcW w:w="2158" w:type="dxa"/>
          </w:tcPr>
          <w:p w14:paraId="117446B6" w14:textId="77777777" w:rsidR="001506C1" w:rsidRPr="00FA3F9C" w:rsidRDefault="001506C1" w:rsidP="00A45161">
            <w:pPr>
              <w:rPr>
                <w:rFonts w:ascii="Arial" w:hAnsi="Arial" w:cs="Arial"/>
                <w:sz w:val="24"/>
                <w:szCs w:val="24"/>
              </w:rPr>
            </w:pPr>
            <w:r w:rsidRPr="00FA3F9C">
              <w:rPr>
                <w:rFonts w:ascii="Arial" w:hAnsi="Arial" w:cs="Arial"/>
                <w:sz w:val="24"/>
                <w:szCs w:val="24"/>
              </w:rPr>
              <w:t>50 mg daily</w:t>
            </w:r>
          </w:p>
        </w:tc>
        <w:tc>
          <w:tcPr>
            <w:tcW w:w="2247" w:type="dxa"/>
          </w:tcPr>
          <w:p w14:paraId="34C9784E" w14:textId="77777777" w:rsidR="001506C1" w:rsidRPr="00FA3F9C" w:rsidRDefault="001506C1" w:rsidP="00A45161">
            <w:pPr>
              <w:rPr>
                <w:rFonts w:ascii="Arial" w:hAnsi="Arial" w:cs="Arial"/>
                <w:sz w:val="24"/>
                <w:szCs w:val="24"/>
              </w:rPr>
            </w:pPr>
            <w:r w:rsidRPr="00FA3F9C">
              <w:rPr>
                <w:rFonts w:ascii="Arial" w:hAnsi="Arial" w:cs="Arial"/>
                <w:sz w:val="24"/>
                <w:szCs w:val="24"/>
              </w:rPr>
              <w:t>$12,651</w:t>
            </w:r>
          </w:p>
        </w:tc>
        <w:tc>
          <w:tcPr>
            <w:tcW w:w="2250" w:type="dxa"/>
          </w:tcPr>
          <w:p w14:paraId="3019070D" w14:textId="77777777" w:rsidR="001506C1" w:rsidRPr="00FA3F9C" w:rsidRDefault="001506C1" w:rsidP="00A45161">
            <w:pPr>
              <w:rPr>
                <w:rFonts w:ascii="Arial" w:hAnsi="Arial" w:cs="Arial"/>
                <w:sz w:val="24"/>
                <w:szCs w:val="24"/>
              </w:rPr>
            </w:pPr>
            <w:r w:rsidRPr="00FA3F9C">
              <w:rPr>
                <w:rFonts w:ascii="Arial" w:hAnsi="Arial" w:cs="Arial"/>
                <w:sz w:val="24"/>
                <w:szCs w:val="24"/>
                <w:shd w:val="clear" w:color="auto" w:fill="FFFFFF"/>
              </w:rPr>
              <w:t>$11,447.4</w:t>
            </w:r>
          </w:p>
        </w:tc>
        <w:tc>
          <w:tcPr>
            <w:tcW w:w="1977" w:type="dxa"/>
          </w:tcPr>
          <w:p w14:paraId="4B3058D6" w14:textId="77777777" w:rsidR="001506C1" w:rsidRPr="00FA3F9C" w:rsidRDefault="001506C1" w:rsidP="00A45161">
            <w:pPr>
              <w:rPr>
                <w:rFonts w:ascii="Arial" w:hAnsi="Arial" w:cs="Arial"/>
                <w:sz w:val="24"/>
                <w:szCs w:val="24"/>
                <w:shd w:val="clear" w:color="auto" w:fill="FFFFFF"/>
              </w:rPr>
            </w:pPr>
            <w:r w:rsidRPr="00FA3F9C">
              <w:rPr>
                <w:rFonts w:ascii="Arial" w:hAnsi="Arial" w:cs="Arial"/>
                <w:sz w:val="24"/>
                <w:szCs w:val="24"/>
                <w:shd w:val="clear" w:color="auto" w:fill="FFFFFF"/>
              </w:rPr>
              <w:t>$1,203.60</w:t>
            </w:r>
          </w:p>
        </w:tc>
      </w:tr>
      <w:tr w:rsidR="001506C1" w:rsidRPr="00FA3F9C" w14:paraId="34E157EF" w14:textId="77777777" w:rsidTr="002E6904">
        <w:tc>
          <w:tcPr>
            <w:tcW w:w="2158" w:type="dxa"/>
          </w:tcPr>
          <w:p w14:paraId="068BA515" w14:textId="77777777" w:rsidR="001506C1" w:rsidRPr="00FA3F9C" w:rsidRDefault="001506C1" w:rsidP="00A45161">
            <w:pPr>
              <w:rPr>
                <w:rFonts w:ascii="Arial" w:hAnsi="Arial" w:cs="Arial"/>
                <w:sz w:val="24"/>
                <w:szCs w:val="24"/>
              </w:rPr>
            </w:pPr>
            <w:r w:rsidRPr="00FA3F9C">
              <w:rPr>
                <w:rFonts w:ascii="Arial" w:hAnsi="Arial" w:cs="Arial"/>
                <w:sz w:val="24"/>
                <w:szCs w:val="24"/>
              </w:rPr>
              <w:t>75 mg daily</w:t>
            </w:r>
          </w:p>
        </w:tc>
        <w:tc>
          <w:tcPr>
            <w:tcW w:w="2247" w:type="dxa"/>
          </w:tcPr>
          <w:p w14:paraId="3648C4DC" w14:textId="77777777" w:rsidR="001506C1" w:rsidRPr="00FA3F9C" w:rsidRDefault="001506C1" w:rsidP="00A45161">
            <w:pPr>
              <w:rPr>
                <w:rFonts w:ascii="Arial" w:hAnsi="Arial" w:cs="Arial"/>
                <w:sz w:val="24"/>
                <w:szCs w:val="24"/>
              </w:rPr>
            </w:pPr>
            <w:r w:rsidRPr="00FA3F9C">
              <w:rPr>
                <w:rFonts w:ascii="Arial" w:hAnsi="Arial" w:cs="Arial"/>
                <w:sz w:val="24"/>
                <w:szCs w:val="24"/>
              </w:rPr>
              <w:t>$18,976.50</w:t>
            </w:r>
          </w:p>
        </w:tc>
        <w:tc>
          <w:tcPr>
            <w:tcW w:w="2250" w:type="dxa"/>
          </w:tcPr>
          <w:p w14:paraId="20B50889" w14:textId="77777777" w:rsidR="001506C1" w:rsidRPr="00FA3F9C" w:rsidRDefault="001506C1" w:rsidP="00A45161">
            <w:pPr>
              <w:rPr>
                <w:rFonts w:ascii="Arial" w:hAnsi="Arial" w:cs="Arial"/>
                <w:sz w:val="24"/>
                <w:szCs w:val="24"/>
              </w:rPr>
            </w:pPr>
            <w:r w:rsidRPr="00FA3F9C">
              <w:rPr>
                <w:rFonts w:ascii="Arial" w:hAnsi="Arial" w:cs="Arial"/>
                <w:sz w:val="24"/>
                <w:szCs w:val="24"/>
                <w:shd w:val="clear" w:color="auto" w:fill="FFFFFF"/>
              </w:rPr>
              <w:t>$17,170.8</w:t>
            </w:r>
          </w:p>
        </w:tc>
        <w:tc>
          <w:tcPr>
            <w:tcW w:w="1977" w:type="dxa"/>
          </w:tcPr>
          <w:p w14:paraId="5C1536BA" w14:textId="77777777" w:rsidR="001506C1" w:rsidRPr="00FA3F9C" w:rsidRDefault="001506C1" w:rsidP="00A45161">
            <w:pPr>
              <w:rPr>
                <w:rFonts w:ascii="Arial" w:hAnsi="Arial" w:cs="Arial"/>
                <w:sz w:val="24"/>
                <w:szCs w:val="24"/>
                <w:shd w:val="clear" w:color="auto" w:fill="FFFFFF"/>
              </w:rPr>
            </w:pPr>
            <w:r w:rsidRPr="00FA3F9C">
              <w:rPr>
                <w:rFonts w:ascii="Arial" w:hAnsi="Arial" w:cs="Arial"/>
                <w:sz w:val="24"/>
                <w:szCs w:val="24"/>
                <w:shd w:val="clear" w:color="auto" w:fill="FFFFFF"/>
              </w:rPr>
              <w:t>$1,805.70</w:t>
            </w:r>
          </w:p>
        </w:tc>
      </w:tr>
    </w:tbl>
    <w:p w14:paraId="43F747E9" w14:textId="77777777" w:rsidR="001506C1" w:rsidRPr="00FA3F9C" w:rsidRDefault="001506C1" w:rsidP="00A45161">
      <w:pPr>
        <w:spacing w:after="0" w:line="240" w:lineRule="auto"/>
        <w:rPr>
          <w:rFonts w:ascii="Arial" w:hAnsi="Arial" w:cs="Arial"/>
          <w:sz w:val="24"/>
          <w:szCs w:val="24"/>
        </w:rPr>
      </w:pPr>
    </w:p>
    <w:p w14:paraId="008E988E" w14:textId="77777777" w:rsidR="001506C1" w:rsidRPr="00FA3F9C" w:rsidRDefault="001506C1" w:rsidP="00A45161">
      <w:pPr>
        <w:spacing w:after="0" w:line="240" w:lineRule="auto"/>
        <w:rPr>
          <w:rFonts w:ascii="Arial" w:hAnsi="Arial" w:cs="Arial"/>
          <w:sz w:val="24"/>
          <w:szCs w:val="24"/>
        </w:rPr>
      </w:pPr>
    </w:p>
    <w:p w14:paraId="797F2A11" w14:textId="77777777" w:rsidR="001506C1" w:rsidRPr="00FA3F9C" w:rsidRDefault="001506C1" w:rsidP="00A45161">
      <w:pPr>
        <w:spacing w:after="0" w:line="240" w:lineRule="auto"/>
        <w:rPr>
          <w:rFonts w:ascii="Arial" w:hAnsi="Arial" w:cs="Arial"/>
          <w:sz w:val="24"/>
          <w:szCs w:val="24"/>
        </w:rPr>
      </w:pPr>
    </w:p>
    <w:p w14:paraId="1E7DCE02" w14:textId="77777777" w:rsidR="001506C1" w:rsidRPr="00FA3F9C" w:rsidRDefault="001506C1" w:rsidP="00A45161">
      <w:pPr>
        <w:spacing w:after="0" w:line="240" w:lineRule="auto"/>
        <w:rPr>
          <w:rFonts w:ascii="Arial" w:hAnsi="Arial" w:cs="Arial"/>
          <w:b/>
          <w:sz w:val="24"/>
          <w:szCs w:val="24"/>
          <w:u w:val="single"/>
        </w:rPr>
      </w:pPr>
    </w:p>
    <w:p w14:paraId="5B54DD18" w14:textId="77777777" w:rsidR="001506C1" w:rsidRPr="00FA3F9C" w:rsidRDefault="001506C1" w:rsidP="00A45161">
      <w:pPr>
        <w:spacing w:after="0" w:line="240" w:lineRule="auto"/>
        <w:rPr>
          <w:rFonts w:ascii="Arial" w:hAnsi="Arial" w:cs="Arial"/>
          <w:b/>
          <w:sz w:val="24"/>
          <w:szCs w:val="24"/>
          <w:u w:val="single"/>
        </w:rPr>
      </w:pPr>
      <w:r w:rsidRPr="00FA3F9C">
        <w:rPr>
          <w:rFonts w:ascii="Arial" w:hAnsi="Arial" w:cs="Arial"/>
          <w:b/>
          <w:sz w:val="24"/>
          <w:szCs w:val="24"/>
          <w:u w:val="single"/>
        </w:rPr>
        <w:t xml:space="preserve">References </w:t>
      </w:r>
    </w:p>
    <w:p w14:paraId="61B2CEAA" w14:textId="77777777" w:rsidR="001506C1" w:rsidRPr="00FA3F9C" w:rsidRDefault="001506C1" w:rsidP="001506C1">
      <w:pPr>
        <w:pStyle w:val="ListParagraph"/>
        <w:numPr>
          <w:ilvl w:val="0"/>
          <w:numId w:val="162"/>
        </w:numPr>
        <w:spacing w:after="0" w:line="240" w:lineRule="auto"/>
        <w:ind w:left="0"/>
        <w:rPr>
          <w:rFonts w:ascii="Arial" w:hAnsi="Arial" w:cs="Arial"/>
          <w:sz w:val="24"/>
          <w:szCs w:val="24"/>
        </w:rPr>
      </w:pPr>
      <w:r w:rsidRPr="00FA3F9C">
        <w:rPr>
          <w:rFonts w:ascii="Arial" w:hAnsi="Arial" w:cs="Arial"/>
          <w:color w:val="222222"/>
          <w:sz w:val="24"/>
          <w:szCs w:val="24"/>
          <w:shd w:val="clear" w:color="auto" w:fill="FFFFFF" w:themeFill="background1"/>
        </w:rPr>
        <w:t xml:space="preserve">Killick, Sally B., et al. "Guidelines for the diagnosis and management of adult aplastic </w:t>
      </w:r>
      <w:proofErr w:type="spellStart"/>
      <w:r w:rsidRPr="00FA3F9C">
        <w:rPr>
          <w:rFonts w:ascii="Arial" w:hAnsi="Arial" w:cs="Arial"/>
          <w:color w:val="222222"/>
          <w:sz w:val="24"/>
          <w:szCs w:val="24"/>
          <w:shd w:val="clear" w:color="auto" w:fill="FFFFFF" w:themeFill="background1"/>
        </w:rPr>
        <w:t>anaemia</w:t>
      </w:r>
      <w:proofErr w:type="spellEnd"/>
      <w:r w:rsidRPr="00FA3F9C">
        <w:rPr>
          <w:rFonts w:ascii="Arial" w:hAnsi="Arial" w:cs="Arial"/>
          <w:color w:val="222222"/>
          <w:sz w:val="24"/>
          <w:szCs w:val="24"/>
          <w:shd w:val="clear" w:color="auto" w:fill="FFFFFF" w:themeFill="background1"/>
        </w:rPr>
        <w:t>." </w:t>
      </w:r>
      <w:r w:rsidRPr="00FA3F9C">
        <w:rPr>
          <w:rFonts w:ascii="Arial" w:hAnsi="Arial" w:cs="Arial"/>
          <w:i/>
          <w:iCs/>
          <w:color w:val="222222"/>
          <w:sz w:val="24"/>
          <w:szCs w:val="24"/>
          <w:shd w:val="clear" w:color="auto" w:fill="FFFFFF" w:themeFill="background1"/>
        </w:rPr>
        <w:t xml:space="preserve">British journal of </w:t>
      </w:r>
      <w:proofErr w:type="spellStart"/>
      <w:r w:rsidRPr="00FA3F9C">
        <w:rPr>
          <w:rFonts w:ascii="Arial" w:hAnsi="Arial" w:cs="Arial"/>
          <w:i/>
          <w:iCs/>
          <w:color w:val="222222"/>
          <w:sz w:val="24"/>
          <w:szCs w:val="24"/>
          <w:shd w:val="clear" w:color="auto" w:fill="FFFFFF" w:themeFill="background1"/>
        </w:rPr>
        <w:t>haematology</w:t>
      </w:r>
      <w:proofErr w:type="spellEnd"/>
      <w:r w:rsidRPr="00FA3F9C">
        <w:rPr>
          <w:rFonts w:ascii="Arial" w:hAnsi="Arial" w:cs="Arial"/>
          <w:color w:val="222222"/>
          <w:sz w:val="24"/>
          <w:szCs w:val="24"/>
          <w:shd w:val="clear" w:color="auto" w:fill="FFFFFF" w:themeFill="background1"/>
        </w:rPr>
        <w:t> 172.2 (2016): 187-207</w:t>
      </w:r>
      <w:r w:rsidRPr="00FA3F9C">
        <w:rPr>
          <w:rFonts w:ascii="Arial" w:hAnsi="Arial" w:cs="Arial"/>
          <w:color w:val="222222"/>
          <w:sz w:val="24"/>
          <w:szCs w:val="24"/>
          <w:shd w:val="clear" w:color="auto" w:fill="F8F8F8"/>
        </w:rPr>
        <w:t>.</w:t>
      </w:r>
    </w:p>
    <w:p w14:paraId="23AF2DA5" w14:textId="77777777" w:rsidR="001506C1" w:rsidRPr="00FA3F9C" w:rsidRDefault="001506C1" w:rsidP="001506C1">
      <w:pPr>
        <w:pStyle w:val="ListParagraph"/>
        <w:numPr>
          <w:ilvl w:val="0"/>
          <w:numId w:val="162"/>
        </w:numPr>
        <w:spacing w:after="0" w:line="240" w:lineRule="auto"/>
        <w:ind w:left="0"/>
        <w:rPr>
          <w:rFonts w:ascii="Arial" w:hAnsi="Arial" w:cs="Arial"/>
          <w:sz w:val="24"/>
          <w:szCs w:val="24"/>
        </w:rPr>
      </w:pPr>
      <w:proofErr w:type="spellStart"/>
      <w:r w:rsidRPr="00FA3F9C">
        <w:rPr>
          <w:rFonts w:ascii="Arial" w:hAnsi="Arial" w:cs="Arial"/>
          <w:color w:val="222222"/>
          <w:sz w:val="24"/>
          <w:szCs w:val="24"/>
          <w:shd w:val="clear" w:color="auto" w:fill="FFFFFF"/>
          <w:lang w:val="fr-FR"/>
        </w:rPr>
        <w:t>Afdhal</w:t>
      </w:r>
      <w:proofErr w:type="spellEnd"/>
      <w:r w:rsidRPr="00FA3F9C">
        <w:rPr>
          <w:rFonts w:ascii="Arial" w:hAnsi="Arial" w:cs="Arial"/>
          <w:color w:val="222222"/>
          <w:sz w:val="24"/>
          <w:szCs w:val="24"/>
          <w:shd w:val="clear" w:color="auto" w:fill="FFFFFF"/>
          <w:lang w:val="fr-FR"/>
        </w:rPr>
        <w:t xml:space="preserve">, </w:t>
      </w:r>
      <w:proofErr w:type="spellStart"/>
      <w:r w:rsidRPr="00FA3F9C">
        <w:rPr>
          <w:rFonts w:ascii="Arial" w:hAnsi="Arial" w:cs="Arial"/>
          <w:color w:val="222222"/>
          <w:sz w:val="24"/>
          <w:szCs w:val="24"/>
          <w:shd w:val="clear" w:color="auto" w:fill="FFFFFF"/>
          <w:lang w:val="fr-FR"/>
        </w:rPr>
        <w:t>Nezam</w:t>
      </w:r>
      <w:proofErr w:type="spellEnd"/>
      <w:r w:rsidRPr="00FA3F9C">
        <w:rPr>
          <w:rFonts w:ascii="Arial" w:hAnsi="Arial" w:cs="Arial"/>
          <w:color w:val="222222"/>
          <w:sz w:val="24"/>
          <w:szCs w:val="24"/>
          <w:shd w:val="clear" w:color="auto" w:fill="FFFFFF"/>
          <w:lang w:val="fr-FR"/>
        </w:rPr>
        <w:t xml:space="preserve"> H., et al. </w:t>
      </w:r>
      <w:r w:rsidRPr="00FA3F9C">
        <w:rPr>
          <w:rFonts w:ascii="Arial" w:hAnsi="Arial" w:cs="Arial"/>
          <w:color w:val="222222"/>
          <w:sz w:val="24"/>
          <w:szCs w:val="24"/>
          <w:shd w:val="clear" w:color="auto" w:fill="FFFFFF"/>
        </w:rPr>
        <w:t>"</w:t>
      </w:r>
      <w:proofErr w:type="spellStart"/>
      <w:r w:rsidRPr="00FA3F9C">
        <w:rPr>
          <w:rFonts w:ascii="Arial" w:hAnsi="Arial" w:cs="Arial"/>
          <w:color w:val="222222"/>
          <w:sz w:val="24"/>
          <w:szCs w:val="24"/>
          <w:shd w:val="clear" w:color="auto" w:fill="FFFFFF"/>
        </w:rPr>
        <w:t>Eltrombopag</w:t>
      </w:r>
      <w:proofErr w:type="spellEnd"/>
      <w:r w:rsidRPr="00FA3F9C">
        <w:rPr>
          <w:rFonts w:ascii="Arial" w:hAnsi="Arial" w:cs="Arial"/>
          <w:color w:val="222222"/>
          <w:sz w:val="24"/>
          <w:szCs w:val="24"/>
          <w:shd w:val="clear" w:color="auto" w:fill="FFFFFF"/>
        </w:rPr>
        <w:t xml:space="preserve"> before procedures in patients with cirrhosis and thrombocytopenia." </w:t>
      </w:r>
      <w:r w:rsidRPr="00FA3F9C">
        <w:rPr>
          <w:rFonts w:ascii="Arial" w:hAnsi="Arial" w:cs="Arial"/>
          <w:i/>
          <w:iCs/>
          <w:color w:val="222222"/>
          <w:sz w:val="24"/>
          <w:szCs w:val="24"/>
          <w:shd w:val="clear" w:color="auto" w:fill="FFFFFF"/>
        </w:rPr>
        <w:t>New England Journal of Medicine</w:t>
      </w:r>
      <w:r w:rsidRPr="00FA3F9C">
        <w:rPr>
          <w:rFonts w:ascii="Arial" w:hAnsi="Arial" w:cs="Arial"/>
          <w:color w:val="222222"/>
          <w:sz w:val="24"/>
          <w:szCs w:val="24"/>
          <w:shd w:val="clear" w:color="auto" w:fill="FFFFFF"/>
        </w:rPr>
        <w:t> 367.8 (2012): 716-724.</w:t>
      </w:r>
    </w:p>
    <w:p w14:paraId="1276DD46" w14:textId="77777777" w:rsidR="001506C1" w:rsidRPr="00FA3F9C" w:rsidRDefault="001506C1" w:rsidP="001506C1">
      <w:pPr>
        <w:pStyle w:val="ListParagraph"/>
        <w:numPr>
          <w:ilvl w:val="0"/>
          <w:numId w:val="162"/>
        </w:numPr>
        <w:spacing w:after="0" w:line="240" w:lineRule="auto"/>
        <w:ind w:left="0"/>
        <w:rPr>
          <w:rFonts w:ascii="Arial" w:hAnsi="Arial" w:cs="Arial"/>
          <w:sz w:val="24"/>
          <w:szCs w:val="24"/>
        </w:rPr>
      </w:pPr>
      <w:r w:rsidRPr="00FA3F9C">
        <w:rPr>
          <w:rFonts w:ascii="Arial" w:hAnsi="Arial" w:cs="Arial"/>
          <w:color w:val="222222"/>
          <w:sz w:val="24"/>
          <w:szCs w:val="24"/>
          <w:shd w:val="clear" w:color="auto" w:fill="FFFFFF" w:themeFill="background1"/>
        </w:rPr>
        <w:t>Lexicomp accessed 7/26/18</w:t>
      </w:r>
      <w:r w:rsidRPr="00FA3F9C">
        <w:rPr>
          <w:rFonts w:ascii="Arial" w:hAnsi="Arial" w:cs="Arial"/>
          <w:color w:val="222222"/>
          <w:sz w:val="24"/>
          <w:szCs w:val="24"/>
          <w:shd w:val="clear" w:color="auto" w:fill="F8F8F8"/>
        </w:rPr>
        <w:t>.</w:t>
      </w:r>
    </w:p>
    <w:p w14:paraId="75138118" w14:textId="77777777" w:rsidR="001506C1" w:rsidRPr="00FA3F9C" w:rsidRDefault="001506C1" w:rsidP="001506C1">
      <w:pPr>
        <w:pStyle w:val="ListParagraph"/>
        <w:numPr>
          <w:ilvl w:val="0"/>
          <w:numId w:val="162"/>
        </w:numPr>
        <w:spacing w:after="0" w:line="240" w:lineRule="auto"/>
        <w:ind w:left="0"/>
        <w:rPr>
          <w:rFonts w:ascii="Arial" w:hAnsi="Arial" w:cs="Arial"/>
          <w:sz w:val="24"/>
          <w:szCs w:val="24"/>
        </w:rPr>
      </w:pPr>
      <w:r w:rsidRPr="00FA3F9C">
        <w:rPr>
          <w:rFonts w:ascii="Arial" w:hAnsi="Arial" w:cs="Arial"/>
          <w:color w:val="222222"/>
          <w:sz w:val="24"/>
          <w:szCs w:val="24"/>
          <w:shd w:val="clear" w:color="auto" w:fill="FFFFFF" w:themeFill="background1"/>
        </w:rPr>
        <w:t>Package insert accessed 7/26/18</w:t>
      </w:r>
      <w:r w:rsidRPr="00FA3F9C">
        <w:rPr>
          <w:rFonts w:ascii="Arial" w:hAnsi="Arial" w:cs="Arial"/>
          <w:color w:val="222222"/>
          <w:sz w:val="24"/>
          <w:szCs w:val="24"/>
          <w:shd w:val="clear" w:color="auto" w:fill="F8F8F8"/>
        </w:rPr>
        <w:t>.</w:t>
      </w:r>
    </w:p>
    <w:p w14:paraId="084C7E8B" w14:textId="77777777" w:rsidR="001506C1" w:rsidRPr="00FA3F9C" w:rsidRDefault="001506C1" w:rsidP="001506C1">
      <w:pPr>
        <w:pStyle w:val="ListParagraph"/>
        <w:numPr>
          <w:ilvl w:val="0"/>
          <w:numId w:val="162"/>
        </w:numPr>
        <w:spacing w:after="0" w:line="240" w:lineRule="auto"/>
        <w:ind w:left="0"/>
        <w:rPr>
          <w:rFonts w:ascii="Arial" w:hAnsi="Arial" w:cs="Arial"/>
          <w:sz w:val="24"/>
          <w:szCs w:val="24"/>
        </w:rPr>
      </w:pPr>
      <w:r w:rsidRPr="00FA3F9C">
        <w:rPr>
          <w:rFonts w:ascii="Arial" w:hAnsi="Arial" w:cs="Arial"/>
          <w:color w:val="222222"/>
          <w:sz w:val="24"/>
          <w:szCs w:val="24"/>
          <w:shd w:val="clear" w:color="auto" w:fill="FFFFFF" w:themeFill="background1"/>
        </w:rPr>
        <w:t>Taylor, Alice, et al. "</w:t>
      </w:r>
      <w:proofErr w:type="spellStart"/>
      <w:r w:rsidRPr="00FA3F9C">
        <w:rPr>
          <w:rFonts w:ascii="Arial" w:hAnsi="Arial" w:cs="Arial"/>
          <w:color w:val="222222"/>
          <w:sz w:val="24"/>
          <w:szCs w:val="24"/>
          <w:shd w:val="clear" w:color="auto" w:fill="FFFFFF" w:themeFill="background1"/>
        </w:rPr>
        <w:t>Thrombopoetin</w:t>
      </w:r>
      <w:proofErr w:type="spellEnd"/>
      <w:r w:rsidRPr="00FA3F9C">
        <w:rPr>
          <w:rFonts w:ascii="Arial" w:hAnsi="Arial" w:cs="Arial"/>
          <w:color w:val="222222"/>
          <w:sz w:val="24"/>
          <w:szCs w:val="24"/>
          <w:shd w:val="clear" w:color="auto" w:fill="FFFFFF" w:themeFill="background1"/>
        </w:rPr>
        <w:t xml:space="preserve"> receptor agonist therapy in thrombocytopenia: ITP and beyond." </w:t>
      </w:r>
      <w:r w:rsidRPr="00FA3F9C">
        <w:rPr>
          <w:rFonts w:ascii="Arial" w:hAnsi="Arial" w:cs="Arial"/>
          <w:i/>
          <w:iCs/>
          <w:color w:val="222222"/>
          <w:sz w:val="24"/>
          <w:szCs w:val="24"/>
          <w:shd w:val="clear" w:color="auto" w:fill="FFFFFF" w:themeFill="background1"/>
        </w:rPr>
        <w:t xml:space="preserve">British journal of </w:t>
      </w:r>
      <w:proofErr w:type="spellStart"/>
      <w:r w:rsidRPr="00FA3F9C">
        <w:rPr>
          <w:rFonts w:ascii="Arial" w:hAnsi="Arial" w:cs="Arial"/>
          <w:i/>
          <w:iCs/>
          <w:color w:val="222222"/>
          <w:sz w:val="24"/>
          <w:szCs w:val="24"/>
          <w:shd w:val="clear" w:color="auto" w:fill="FFFFFF" w:themeFill="background1"/>
        </w:rPr>
        <w:t>haematology</w:t>
      </w:r>
      <w:proofErr w:type="spellEnd"/>
      <w:r w:rsidRPr="00FA3F9C">
        <w:rPr>
          <w:rFonts w:ascii="Arial" w:hAnsi="Arial" w:cs="Arial"/>
          <w:color w:val="222222"/>
          <w:sz w:val="24"/>
          <w:szCs w:val="24"/>
          <w:shd w:val="clear" w:color="auto" w:fill="FFFFFF" w:themeFill="background1"/>
        </w:rPr>
        <w:t> 177.3 (2017): 475-480</w:t>
      </w:r>
      <w:r w:rsidRPr="00FA3F9C">
        <w:rPr>
          <w:rFonts w:ascii="Arial" w:hAnsi="Arial" w:cs="Arial"/>
          <w:color w:val="222222"/>
          <w:sz w:val="24"/>
          <w:szCs w:val="24"/>
          <w:shd w:val="clear" w:color="auto" w:fill="F8F8F8"/>
        </w:rPr>
        <w:t>.</w:t>
      </w:r>
    </w:p>
    <w:p w14:paraId="799F41AE" w14:textId="77777777" w:rsidR="001506C1" w:rsidRPr="00FA3F9C" w:rsidRDefault="001506C1" w:rsidP="001506C1">
      <w:pPr>
        <w:pStyle w:val="ListParagraph"/>
        <w:numPr>
          <w:ilvl w:val="0"/>
          <w:numId w:val="162"/>
        </w:numPr>
        <w:spacing w:after="0" w:line="240" w:lineRule="auto"/>
        <w:ind w:left="0"/>
        <w:rPr>
          <w:rFonts w:ascii="Arial" w:hAnsi="Arial" w:cs="Arial"/>
          <w:sz w:val="24"/>
          <w:szCs w:val="24"/>
        </w:rPr>
      </w:pPr>
      <w:proofErr w:type="spellStart"/>
      <w:r w:rsidRPr="00FA3F9C">
        <w:rPr>
          <w:rFonts w:ascii="Arial" w:hAnsi="Arial" w:cs="Arial"/>
          <w:color w:val="222222"/>
          <w:sz w:val="24"/>
          <w:szCs w:val="24"/>
          <w:shd w:val="clear" w:color="auto" w:fill="FFFFFF"/>
        </w:rPr>
        <w:t>Neunert</w:t>
      </w:r>
      <w:proofErr w:type="spellEnd"/>
      <w:r w:rsidRPr="00FA3F9C">
        <w:rPr>
          <w:rFonts w:ascii="Arial" w:hAnsi="Arial" w:cs="Arial"/>
          <w:color w:val="222222"/>
          <w:sz w:val="24"/>
          <w:szCs w:val="24"/>
          <w:shd w:val="clear" w:color="auto" w:fill="FFFFFF"/>
        </w:rPr>
        <w:t>, Cindy, et al. "The American Society of Hematology 2011 evidence-based practice guideline for immune thrombocytopenia." </w:t>
      </w:r>
      <w:r w:rsidRPr="00FA3F9C">
        <w:rPr>
          <w:rFonts w:ascii="Arial" w:hAnsi="Arial" w:cs="Arial"/>
          <w:i/>
          <w:iCs/>
          <w:color w:val="222222"/>
          <w:sz w:val="24"/>
          <w:szCs w:val="24"/>
          <w:shd w:val="clear" w:color="auto" w:fill="FFFFFF"/>
        </w:rPr>
        <w:t>Blood</w:t>
      </w:r>
      <w:r w:rsidRPr="00FA3F9C">
        <w:rPr>
          <w:rFonts w:ascii="Arial" w:hAnsi="Arial" w:cs="Arial"/>
          <w:color w:val="222222"/>
          <w:sz w:val="24"/>
          <w:szCs w:val="24"/>
          <w:shd w:val="clear" w:color="auto" w:fill="FFFFFF"/>
        </w:rPr>
        <w:t>(2011): blood-2010.</w:t>
      </w:r>
    </w:p>
    <w:p w14:paraId="6DA7B056" w14:textId="77777777" w:rsidR="001506C1" w:rsidRPr="00FA3F9C" w:rsidRDefault="001506C1" w:rsidP="001506C1">
      <w:pPr>
        <w:pStyle w:val="ListParagraph"/>
        <w:numPr>
          <w:ilvl w:val="0"/>
          <w:numId w:val="162"/>
        </w:numPr>
        <w:spacing w:after="0" w:line="240" w:lineRule="auto"/>
        <w:ind w:left="0"/>
        <w:rPr>
          <w:rFonts w:ascii="Arial" w:hAnsi="Arial" w:cs="Arial"/>
          <w:sz w:val="24"/>
          <w:szCs w:val="24"/>
        </w:rPr>
      </w:pPr>
      <w:proofErr w:type="spellStart"/>
      <w:r w:rsidRPr="00FA3F9C">
        <w:rPr>
          <w:rFonts w:ascii="Arial" w:hAnsi="Arial" w:cs="Arial"/>
          <w:sz w:val="24"/>
          <w:szCs w:val="24"/>
        </w:rPr>
        <w:t>Townsley</w:t>
      </w:r>
      <w:proofErr w:type="spellEnd"/>
      <w:r w:rsidRPr="00FA3F9C">
        <w:rPr>
          <w:rFonts w:ascii="Arial" w:hAnsi="Arial" w:cs="Arial"/>
          <w:sz w:val="24"/>
          <w:szCs w:val="24"/>
        </w:rPr>
        <w:t xml:space="preserve"> DM et al. </w:t>
      </w:r>
      <w:proofErr w:type="spellStart"/>
      <w:r w:rsidRPr="00FA3F9C">
        <w:rPr>
          <w:rFonts w:ascii="Arial" w:hAnsi="Arial" w:cs="Arial"/>
          <w:sz w:val="24"/>
          <w:szCs w:val="24"/>
        </w:rPr>
        <w:t>Eltrombopag</w:t>
      </w:r>
      <w:proofErr w:type="spellEnd"/>
      <w:r w:rsidRPr="00FA3F9C">
        <w:rPr>
          <w:rFonts w:ascii="Arial" w:hAnsi="Arial" w:cs="Arial"/>
          <w:sz w:val="24"/>
          <w:szCs w:val="24"/>
        </w:rPr>
        <w:t xml:space="preserve"> Added to Standard Immunosuppression for Aplastic Anemia. N </w:t>
      </w:r>
      <w:proofErr w:type="spellStart"/>
      <w:r w:rsidRPr="00FA3F9C">
        <w:rPr>
          <w:rFonts w:ascii="Arial" w:hAnsi="Arial" w:cs="Arial"/>
          <w:sz w:val="24"/>
          <w:szCs w:val="24"/>
        </w:rPr>
        <w:t>Engl</w:t>
      </w:r>
      <w:proofErr w:type="spellEnd"/>
      <w:r w:rsidRPr="00FA3F9C">
        <w:rPr>
          <w:rFonts w:ascii="Arial" w:hAnsi="Arial" w:cs="Arial"/>
          <w:sz w:val="24"/>
          <w:szCs w:val="24"/>
        </w:rPr>
        <w:t xml:space="preserve"> J Med. 2017 Apr 20;376(16):1540-1550. PMID 28423296 NCT01623167</w:t>
      </w:r>
    </w:p>
    <w:p w14:paraId="5524C475" w14:textId="77777777" w:rsidR="001506C1" w:rsidRPr="00FA3F9C" w:rsidRDefault="001506C1" w:rsidP="001506C1">
      <w:pPr>
        <w:pStyle w:val="ListParagraph"/>
        <w:numPr>
          <w:ilvl w:val="0"/>
          <w:numId w:val="162"/>
        </w:numPr>
        <w:spacing w:after="0" w:line="240" w:lineRule="auto"/>
        <w:ind w:left="0"/>
        <w:rPr>
          <w:rFonts w:ascii="Arial" w:hAnsi="Arial" w:cs="Arial"/>
          <w:sz w:val="24"/>
          <w:szCs w:val="24"/>
        </w:rPr>
      </w:pPr>
      <w:proofErr w:type="spellStart"/>
      <w:r w:rsidRPr="00FA3F9C">
        <w:rPr>
          <w:rFonts w:ascii="Arial" w:hAnsi="Arial" w:cs="Arial"/>
          <w:sz w:val="24"/>
          <w:szCs w:val="24"/>
        </w:rPr>
        <w:t>Assi</w:t>
      </w:r>
      <w:proofErr w:type="spellEnd"/>
      <w:r w:rsidRPr="00FA3F9C">
        <w:rPr>
          <w:rFonts w:ascii="Arial" w:hAnsi="Arial" w:cs="Arial"/>
          <w:sz w:val="24"/>
          <w:szCs w:val="24"/>
        </w:rPr>
        <w:t xml:space="preserve"> R et al. Addition of </w:t>
      </w:r>
      <w:proofErr w:type="spellStart"/>
      <w:r w:rsidRPr="00FA3F9C">
        <w:rPr>
          <w:rFonts w:ascii="Arial" w:hAnsi="Arial" w:cs="Arial"/>
          <w:sz w:val="24"/>
          <w:szCs w:val="24"/>
        </w:rPr>
        <w:t>eltrombopag</w:t>
      </w:r>
      <w:proofErr w:type="spellEnd"/>
      <w:r w:rsidRPr="00FA3F9C">
        <w:rPr>
          <w:rFonts w:ascii="Arial" w:hAnsi="Arial" w:cs="Arial"/>
          <w:sz w:val="24"/>
          <w:szCs w:val="24"/>
        </w:rPr>
        <w:t xml:space="preserve"> to immunosuppressive therapy in patients with newly diagnosed aplastic anemia. Cancer. 2018 Nov 1;124(21):4192-4201. </w:t>
      </w:r>
      <w:proofErr w:type="spellStart"/>
      <w:r w:rsidRPr="00FA3F9C">
        <w:rPr>
          <w:rFonts w:ascii="Arial" w:hAnsi="Arial" w:cs="Arial"/>
          <w:sz w:val="24"/>
          <w:szCs w:val="24"/>
        </w:rPr>
        <w:t>doi</w:t>
      </w:r>
      <w:proofErr w:type="spellEnd"/>
      <w:r w:rsidRPr="00FA3F9C">
        <w:rPr>
          <w:rFonts w:ascii="Arial" w:hAnsi="Arial" w:cs="Arial"/>
          <w:sz w:val="24"/>
          <w:szCs w:val="24"/>
        </w:rPr>
        <w:t>: 10.1002/cncr.31658. PMID 30307606.</w:t>
      </w:r>
    </w:p>
    <w:p w14:paraId="7E91A806" w14:textId="77777777" w:rsidR="001506C1" w:rsidRPr="00FA3F9C" w:rsidRDefault="001506C1" w:rsidP="00DF623A">
      <w:pPr>
        <w:pStyle w:val="ListParagraph"/>
        <w:spacing w:after="0" w:line="240" w:lineRule="auto"/>
        <w:ind w:left="0"/>
        <w:rPr>
          <w:rFonts w:ascii="Arial" w:hAnsi="Arial" w:cs="Arial"/>
          <w:sz w:val="24"/>
          <w:szCs w:val="24"/>
        </w:rPr>
      </w:pPr>
    </w:p>
    <w:p w14:paraId="34E7E11F" w14:textId="77777777" w:rsidR="001506C1" w:rsidRPr="00FA3F9C" w:rsidRDefault="001506C1" w:rsidP="00A45161">
      <w:pPr>
        <w:spacing w:after="0" w:line="240" w:lineRule="auto"/>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017"/>
        <w:gridCol w:w="8010"/>
        <w:gridCol w:w="1885"/>
      </w:tblGrid>
      <w:tr w:rsidR="001506C1" w:rsidRPr="00FA3F9C" w14:paraId="413B12CD" w14:textId="77777777" w:rsidTr="009107A4">
        <w:tc>
          <w:tcPr>
            <w:tcW w:w="895" w:type="dxa"/>
          </w:tcPr>
          <w:p w14:paraId="3EB42E50" w14:textId="77777777" w:rsidR="001506C1" w:rsidRPr="00FA3F9C" w:rsidRDefault="001506C1" w:rsidP="00A45161">
            <w:pPr>
              <w:rPr>
                <w:rFonts w:ascii="Arial" w:hAnsi="Arial" w:cs="Arial"/>
                <w:sz w:val="24"/>
                <w:szCs w:val="24"/>
              </w:rPr>
            </w:pPr>
            <w:r w:rsidRPr="00FA3F9C">
              <w:rPr>
                <w:rFonts w:ascii="Arial" w:hAnsi="Arial" w:cs="Arial"/>
                <w:sz w:val="24"/>
                <w:szCs w:val="24"/>
              </w:rPr>
              <w:t>Date</w:t>
            </w:r>
          </w:p>
        </w:tc>
        <w:tc>
          <w:tcPr>
            <w:tcW w:w="8010" w:type="dxa"/>
          </w:tcPr>
          <w:p w14:paraId="21619AEA" w14:textId="77777777" w:rsidR="001506C1" w:rsidRPr="00FA3F9C" w:rsidRDefault="001506C1" w:rsidP="00A45161">
            <w:pPr>
              <w:rPr>
                <w:rFonts w:ascii="Arial" w:hAnsi="Arial" w:cs="Arial"/>
                <w:sz w:val="24"/>
                <w:szCs w:val="24"/>
              </w:rPr>
            </w:pPr>
            <w:r w:rsidRPr="00FA3F9C">
              <w:rPr>
                <w:rFonts w:ascii="Arial" w:hAnsi="Arial" w:cs="Arial"/>
                <w:sz w:val="24"/>
                <w:szCs w:val="24"/>
              </w:rPr>
              <w:t>What changed</w:t>
            </w:r>
          </w:p>
        </w:tc>
        <w:tc>
          <w:tcPr>
            <w:tcW w:w="1885" w:type="dxa"/>
          </w:tcPr>
          <w:p w14:paraId="3880D368" w14:textId="77777777" w:rsidR="001506C1" w:rsidRPr="00FA3F9C" w:rsidRDefault="001506C1" w:rsidP="00A45161">
            <w:pPr>
              <w:rPr>
                <w:rFonts w:ascii="Arial" w:hAnsi="Arial" w:cs="Arial"/>
                <w:sz w:val="24"/>
                <w:szCs w:val="24"/>
              </w:rPr>
            </w:pPr>
            <w:r w:rsidRPr="00FA3F9C">
              <w:rPr>
                <w:rFonts w:ascii="Arial" w:hAnsi="Arial" w:cs="Arial"/>
                <w:sz w:val="24"/>
                <w:szCs w:val="24"/>
              </w:rPr>
              <w:t>Pharmacist’s initials</w:t>
            </w:r>
          </w:p>
        </w:tc>
      </w:tr>
      <w:tr w:rsidR="001506C1" w:rsidRPr="00FA3F9C" w14:paraId="6100D7B0" w14:textId="77777777" w:rsidTr="009107A4">
        <w:tc>
          <w:tcPr>
            <w:tcW w:w="895" w:type="dxa"/>
          </w:tcPr>
          <w:p w14:paraId="124D0A08" w14:textId="77777777" w:rsidR="001506C1" w:rsidRPr="00FA3F9C" w:rsidRDefault="001506C1" w:rsidP="00A45161">
            <w:pPr>
              <w:rPr>
                <w:rFonts w:ascii="Arial" w:hAnsi="Arial" w:cs="Arial"/>
                <w:sz w:val="24"/>
                <w:szCs w:val="24"/>
              </w:rPr>
            </w:pPr>
            <w:r w:rsidRPr="00FA3F9C">
              <w:rPr>
                <w:rFonts w:ascii="Arial" w:hAnsi="Arial" w:cs="Arial"/>
                <w:sz w:val="24"/>
                <w:szCs w:val="24"/>
              </w:rPr>
              <w:t>7/26/18</w:t>
            </w:r>
          </w:p>
        </w:tc>
        <w:tc>
          <w:tcPr>
            <w:tcW w:w="8010" w:type="dxa"/>
          </w:tcPr>
          <w:p w14:paraId="30869A4B" w14:textId="77777777" w:rsidR="001506C1" w:rsidRPr="00FA3F9C" w:rsidRDefault="001506C1" w:rsidP="00A45161">
            <w:pPr>
              <w:rPr>
                <w:rFonts w:ascii="Arial" w:hAnsi="Arial" w:cs="Arial"/>
                <w:sz w:val="24"/>
                <w:szCs w:val="24"/>
              </w:rPr>
            </w:pPr>
            <w:r w:rsidRPr="00FA3F9C">
              <w:rPr>
                <w:rFonts w:ascii="Arial" w:hAnsi="Arial" w:cs="Arial"/>
                <w:sz w:val="24"/>
                <w:szCs w:val="24"/>
              </w:rPr>
              <w:t>I wrote the criteria.</w:t>
            </w:r>
          </w:p>
        </w:tc>
        <w:tc>
          <w:tcPr>
            <w:tcW w:w="1885" w:type="dxa"/>
          </w:tcPr>
          <w:p w14:paraId="36D9EA5E" w14:textId="77777777" w:rsidR="001506C1" w:rsidRPr="00FA3F9C" w:rsidRDefault="001506C1" w:rsidP="00A45161">
            <w:pPr>
              <w:rPr>
                <w:rFonts w:ascii="Arial" w:hAnsi="Arial" w:cs="Arial"/>
                <w:sz w:val="24"/>
                <w:szCs w:val="24"/>
              </w:rPr>
            </w:pPr>
            <w:r w:rsidRPr="00FA3F9C">
              <w:rPr>
                <w:rFonts w:ascii="Arial" w:hAnsi="Arial" w:cs="Arial"/>
                <w:sz w:val="24"/>
                <w:szCs w:val="24"/>
              </w:rPr>
              <w:t>ALM</w:t>
            </w:r>
          </w:p>
        </w:tc>
      </w:tr>
      <w:tr w:rsidR="001506C1" w:rsidRPr="00FA3F9C" w14:paraId="43410117" w14:textId="77777777" w:rsidTr="009107A4">
        <w:tc>
          <w:tcPr>
            <w:tcW w:w="895" w:type="dxa"/>
          </w:tcPr>
          <w:p w14:paraId="785F55F9" w14:textId="77777777" w:rsidR="001506C1" w:rsidRPr="00FA3F9C" w:rsidRDefault="001506C1" w:rsidP="00A45161">
            <w:pPr>
              <w:rPr>
                <w:rFonts w:ascii="Arial" w:hAnsi="Arial" w:cs="Arial"/>
                <w:sz w:val="24"/>
                <w:szCs w:val="24"/>
              </w:rPr>
            </w:pPr>
            <w:r w:rsidRPr="00FA3F9C">
              <w:rPr>
                <w:rFonts w:ascii="Arial" w:hAnsi="Arial" w:cs="Arial"/>
                <w:sz w:val="24"/>
                <w:szCs w:val="24"/>
              </w:rPr>
              <w:t>7/18/19</w:t>
            </w:r>
          </w:p>
        </w:tc>
        <w:tc>
          <w:tcPr>
            <w:tcW w:w="8010" w:type="dxa"/>
          </w:tcPr>
          <w:p w14:paraId="7C7225E4" w14:textId="77777777" w:rsidR="001506C1" w:rsidRPr="00FA3F9C" w:rsidRDefault="001506C1" w:rsidP="00A45161">
            <w:pPr>
              <w:rPr>
                <w:rFonts w:ascii="Arial" w:hAnsi="Arial" w:cs="Arial"/>
                <w:sz w:val="24"/>
                <w:szCs w:val="24"/>
              </w:rPr>
            </w:pPr>
            <w:r w:rsidRPr="00FA3F9C">
              <w:rPr>
                <w:rFonts w:ascii="Arial" w:hAnsi="Arial" w:cs="Arial"/>
                <w:sz w:val="24"/>
                <w:szCs w:val="24"/>
              </w:rPr>
              <w:t xml:space="preserve">Criteria reviewed: </w:t>
            </w:r>
          </w:p>
          <w:p w14:paraId="4224A685" w14:textId="77777777" w:rsidR="001506C1" w:rsidRPr="00FA3F9C" w:rsidRDefault="001506C1" w:rsidP="00A45161">
            <w:pPr>
              <w:rPr>
                <w:rFonts w:ascii="Arial" w:hAnsi="Arial" w:cs="Arial"/>
                <w:sz w:val="24"/>
                <w:szCs w:val="24"/>
              </w:rPr>
            </w:pPr>
            <w:r w:rsidRPr="00FA3F9C">
              <w:rPr>
                <w:rFonts w:ascii="Arial" w:hAnsi="Arial" w:cs="Arial"/>
                <w:sz w:val="24"/>
                <w:szCs w:val="24"/>
              </w:rPr>
              <w:t>-added criteria for first-line treatment of severe aplastic anemia</w:t>
            </w:r>
          </w:p>
          <w:p w14:paraId="13151E8D" w14:textId="77777777" w:rsidR="001506C1" w:rsidRPr="00FA3F9C" w:rsidRDefault="001506C1" w:rsidP="00DF623A">
            <w:pPr>
              <w:rPr>
                <w:rFonts w:ascii="Arial" w:hAnsi="Arial" w:cs="Arial"/>
                <w:sz w:val="24"/>
                <w:szCs w:val="24"/>
              </w:rPr>
            </w:pPr>
            <w:r w:rsidRPr="00FA3F9C">
              <w:rPr>
                <w:rFonts w:ascii="Arial" w:hAnsi="Arial" w:cs="Arial"/>
                <w:sz w:val="24"/>
                <w:szCs w:val="24"/>
              </w:rPr>
              <w:t>-added requirement for diagnosis of chronic liver disease to indication “D.” –</w:t>
            </w:r>
          </w:p>
          <w:p w14:paraId="2C41BFB8" w14:textId="77777777" w:rsidR="001506C1" w:rsidRPr="00FA3F9C" w:rsidRDefault="001506C1" w:rsidP="00DF623A">
            <w:pPr>
              <w:rPr>
                <w:rFonts w:ascii="Arial" w:hAnsi="Arial" w:cs="Arial"/>
                <w:sz w:val="24"/>
                <w:szCs w:val="24"/>
              </w:rPr>
            </w:pPr>
            <w:r w:rsidRPr="00FA3F9C">
              <w:rPr>
                <w:rFonts w:ascii="Arial" w:hAnsi="Arial" w:cs="Arial"/>
                <w:sz w:val="24"/>
                <w:szCs w:val="24"/>
              </w:rPr>
              <w:t>-</w:t>
            </w:r>
            <w:r w:rsidRPr="00FA3F9C">
              <w:rPr>
                <w:rFonts w:ascii="Arial" w:hAnsi="Arial" w:cs="Arial"/>
                <w:noProof/>
                <w:sz w:val="24"/>
                <w:szCs w:val="24"/>
              </w:rPr>
              <w:t xml:space="preserve"> Adjusted continuation criteria slightly (originally said pt still had to have low platelet count, but for continuation, there should be evidence of response to therapy)</w:t>
            </w:r>
          </w:p>
        </w:tc>
        <w:tc>
          <w:tcPr>
            <w:tcW w:w="1885" w:type="dxa"/>
          </w:tcPr>
          <w:p w14:paraId="7164CE08" w14:textId="77777777" w:rsidR="001506C1" w:rsidRPr="00FA3F9C" w:rsidRDefault="001506C1" w:rsidP="00A45161">
            <w:pPr>
              <w:rPr>
                <w:rFonts w:ascii="Arial" w:hAnsi="Arial" w:cs="Arial"/>
                <w:sz w:val="24"/>
                <w:szCs w:val="24"/>
              </w:rPr>
            </w:pPr>
            <w:r w:rsidRPr="00FA3F9C">
              <w:rPr>
                <w:rFonts w:ascii="Arial" w:hAnsi="Arial" w:cs="Arial"/>
                <w:sz w:val="24"/>
                <w:szCs w:val="24"/>
              </w:rPr>
              <w:t>SK</w:t>
            </w:r>
          </w:p>
        </w:tc>
      </w:tr>
      <w:tr w:rsidR="001506C1" w:rsidRPr="00FA3F9C" w14:paraId="3F5CFE13" w14:textId="77777777" w:rsidTr="009107A4">
        <w:tc>
          <w:tcPr>
            <w:tcW w:w="895" w:type="dxa"/>
          </w:tcPr>
          <w:p w14:paraId="2FD3B6AF" w14:textId="77777777" w:rsidR="001506C1" w:rsidRPr="00FA3F9C" w:rsidRDefault="001506C1" w:rsidP="00A45161">
            <w:pPr>
              <w:rPr>
                <w:rFonts w:ascii="Arial" w:hAnsi="Arial" w:cs="Arial"/>
                <w:sz w:val="24"/>
                <w:szCs w:val="24"/>
              </w:rPr>
            </w:pPr>
            <w:r w:rsidRPr="00FA3F9C">
              <w:rPr>
                <w:rFonts w:ascii="Arial" w:hAnsi="Arial" w:cs="Arial"/>
                <w:sz w:val="24"/>
                <w:szCs w:val="24"/>
              </w:rPr>
              <w:t>5/27/20</w:t>
            </w:r>
          </w:p>
        </w:tc>
        <w:tc>
          <w:tcPr>
            <w:tcW w:w="8010" w:type="dxa"/>
          </w:tcPr>
          <w:p w14:paraId="68141D8E" w14:textId="77777777" w:rsidR="001506C1" w:rsidRPr="00FA3F9C" w:rsidRDefault="001506C1" w:rsidP="001F20AB">
            <w:pPr>
              <w:rPr>
                <w:rFonts w:ascii="Arial" w:hAnsi="Arial" w:cs="Arial"/>
                <w:sz w:val="24"/>
                <w:szCs w:val="24"/>
              </w:rPr>
            </w:pPr>
            <w:r w:rsidRPr="00FA3F9C">
              <w:rPr>
                <w:rFonts w:ascii="Arial" w:hAnsi="Arial" w:cs="Arial"/>
                <w:sz w:val="24"/>
                <w:szCs w:val="24"/>
              </w:rPr>
              <w:t xml:space="preserve">Criteria reviewed. Added new dosage form information and costs. Packets are 10% more expensive if dose is &gt;25 mg daily—use only if </w:t>
            </w:r>
            <w:proofErr w:type="spellStart"/>
            <w:r w:rsidRPr="00FA3F9C">
              <w:rPr>
                <w:rFonts w:ascii="Arial" w:hAnsi="Arial" w:cs="Arial"/>
                <w:sz w:val="24"/>
                <w:szCs w:val="24"/>
              </w:rPr>
              <w:t>pt</w:t>
            </w:r>
            <w:proofErr w:type="spellEnd"/>
            <w:r w:rsidRPr="00FA3F9C">
              <w:rPr>
                <w:rFonts w:ascii="Arial" w:hAnsi="Arial" w:cs="Arial"/>
                <w:sz w:val="24"/>
                <w:szCs w:val="24"/>
              </w:rPr>
              <w:t xml:space="preserve"> unable to swallow when dose is &gt;25 mg daily.</w:t>
            </w:r>
          </w:p>
        </w:tc>
        <w:tc>
          <w:tcPr>
            <w:tcW w:w="1885" w:type="dxa"/>
          </w:tcPr>
          <w:p w14:paraId="66BEC373" w14:textId="77777777" w:rsidR="001506C1" w:rsidRPr="00FA3F9C" w:rsidRDefault="001506C1" w:rsidP="00A45161">
            <w:pPr>
              <w:rPr>
                <w:rFonts w:ascii="Arial" w:hAnsi="Arial" w:cs="Arial"/>
                <w:sz w:val="24"/>
                <w:szCs w:val="24"/>
              </w:rPr>
            </w:pPr>
            <w:r w:rsidRPr="00FA3F9C">
              <w:rPr>
                <w:rFonts w:ascii="Arial" w:hAnsi="Arial" w:cs="Arial"/>
                <w:sz w:val="24"/>
                <w:szCs w:val="24"/>
              </w:rPr>
              <w:t>SK</w:t>
            </w:r>
          </w:p>
        </w:tc>
      </w:tr>
      <w:tr w:rsidR="001506C1" w:rsidRPr="00FA3F9C" w14:paraId="798ED267" w14:textId="77777777" w:rsidTr="009107A4">
        <w:tc>
          <w:tcPr>
            <w:tcW w:w="895" w:type="dxa"/>
          </w:tcPr>
          <w:p w14:paraId="6D8BFCEF" w14:textId="77777777" w:rsidR="001506C1" w:rsidRPr="00FA3F9C" w:rsidRDefault="001506C1" w:rsidP="00A45161">
            <w:pPr>
              <w:rPr>
                <w:rFonts w:ascii="Arial" w:hAnsi="Arial" w:cs="Arial"/>
                <w:sz w:val="24"/>
                <w:szCs w:val="24"/>
              </w:rPr>
            </w:pPr>
            <w:r w:rsidRPr="00FA3F9C">
              <w:rPr>
                <w:rFonts w:ascii="Arial" w:hAnsi="Arial" w:cs="Arial"/>
                <w:sz w:val="24"/>
                <w:szCs w:val="24"/>
              </w:rPr>
              <w:lastRenderedPageBreak/>
              <w:t>3/19/21</w:t>
            </w:r>
          </w:p>
        </w:tc>
        <w:tc>
          <w:tcPr>
            <w:tcW w:w="8010" w:type="dxa"/>
          </w:tcPr>
          <w:p w14:paraId="2E735B74" w14:textId="77777777" w:rsidR="001506C1" w:rsidRPr="00FA3F9C" w:rsidRDefault="001506C1" w:rsidP="001F20AB">
            <w:pPr>
              <w:rPr>
                <w:rFonts w:ascii="Arial" w:hAnsi="Arial" w:cs="Arial"/>
                <w:sz w:val="24"/>
                <w:szCs w:val="24"/>
              </w:rPr>
            </w:pPr>
            <w:r w:rsidRPr="00FA3F9C">
              <w:rPr>
                <w:rFonts w:ascii="Arial" w:hAnsi="Arial" w:cs="Arial"/>
                <w:sz w:val="24"/>
                <w:szCs w:val="24"/>
              </w:rPr>
              <w:t>These criteria will be applied to UAS’s plan.  No effective difference other than these criteria also allow for use in liver patients about to undergo a procedure within 14 days, per evidence.</w:t>
            </w:r>
          </w:p>
        </w:tc>
        <w:tc>
          <w:tcPr>
            <w:tcW w:w="1885" w:type="dxa"/>
          </w:tcPr>
          <w:p w14:paraId="1A884A15" w14:textId="77777777" w:rsidR="001506C1" w:rsidRPr="00FA3F9C" w:rsidRDefault="001506C1" w:rsidP="00A45161">
            <w:pPr>
              <w:rPr>
                <w:rFonts w:ascii="Arial" w:hAnsi="Arial" w:cs="Arial"/>
                <w:sz w:val="24"/>
                <w:szCs w:val="24"/>
              </w:rPr>
            </w:pPr>
            <w:r w:rsidRPr="00FA3F9C">
              <w:rPr>
                <w:rFonts w:ascii="Arial" w:hAnsi="Arial" w:cs="Arial"/>
                <w:sz w:val="24"/>
                <w:szCs w:val="24"/>
              </w:rPr>
              <w:t>JJ</w:t>
            </w:r>
          </w:p>
        </w:tc>
      </w:tr>
    </w:tbl>
    <w:p w14:paraId="772AC442" w14:textId="77777777" w:rsidR="001506C1" w:rsidRPr="00FA3F9C" w:rsidRDefault="001506C1" w:rsidP="00A45161">
      <w:pPr>
        <w:spacing w:after="0" w:line="240" w:lineRule="auto"/>
        <w:rPr>
          <w:rFonts w:ascii="Arial" w:hAnsi="Arial" w:cs="Arial"/>
          <w:sz w:val="24"/>
          <w:szCs w:val="24"/>
        </w:rPr>
      </w:pPr>
    </w:p>
    <w:p w14:paraId="3EB80825" w14:textId="77777777" w:rsidR="001506C1" w:rsidRPr="00FA3F9C" w:rsidRDefault="001506C1" w:rsidP="00A45161">
      <w:pPr>
        <w:spacing w:after="0" w:line="240" w:lineRule="auto"/>
        <w:rPr>
          <w:rFonts w:ascii="Arial" w:hAnsi="Arial" w:cs="Arial"/>
          <w:sz w:val="24"/>
          <w:szCs w:val="24"/>
        </w:rPr>
      </w:pPr>
    </w:p>
    <w:p w14:paraId="75B9F1E1" w14:textId="77777777" w:rsidR="001506C1" w:rsidRPr="00FA3F9C" w:rsidRDefault="001506C1" w:rsidP="00BE7C2A">
      <w:pPr>
        <w:pStyle w:val="Heading2"/>
      </w:pPr>
      <w:bookmarkStart w:id="91" w:name="_Toc106369786"/>
      <w:proofErr w:type="spellStart"/>
      <w:r w:rsidRPr="00FA3F9C">
        <w:t>Emicizumab-kxwh</w:t>
      </w:r>
      <w:proofErr w:type="spellEnd"/>
      <w:r w:rsidRPr="00FA3F9C">
        <w:t xml:space="preserve"> (</w:t>
      </w:r>
      <w:proofErr w:type="spellStart"/>
      <w:r w:rsidRPr="00FA3F9C">
        <w:t>Hemlibra</w:t>
      </w:r>
      <w:proofErr w:type="spellEnd"/>
      <w:r w:rsidRPr="00FA3F9C">
        <w:t>)</w:t>
      </w:r>
      <w:bookmarkEnd w:id="91"/>
    </w:p>
    <w:p w14:paraId="7981474C" w14:textId="77777777" w:rsidR="001506C1" w:rsidRPr="00FA3F9C" w:rsidRDefault="001506C1" w:rsidP="006F623F">
      <w:pPr>
        <w:spacing w:after="0"/>
        <w:jc w:val="center"/>
        <w:rPr>
          <w:rFonts w:ascii="Arial" w:hAnsi="Arial" w:cs="Arial"/>
          <w:sz w:val="24"/>
          <w:szCs w:val="24"/>
        </w:rPr>
      </w:pPr>
      <w:r w:rsidRPr="00FA3F9C">
        <w:rPr>
          <w:rFonts w:ascii="Arial" w:hAnsi="Arial" w:cs="Arial"/>
          <w:sz w:val="24"/>
          <w:szCs w:val="24"/>
        </w:rPr>
        <w:t>30 mg/mL, 60 mg/0.4 mL, 105 mg/0.7 mL, 150 mg/mL</w:t>
      </w:r>
    </w:p>
    <w:p w14:paraId="6F992F42" w14:textId="77777777" w:rsidR="001506C1" w:rsidRPr="00FA3F9C" w:rsidRDefault="001506C1" w:rsidP="006F623F">
      <w:pPr>
        <w:spacing w:after="0"/>
        <w:jc w:val="center"/>
        <w:rPr>
          <w:rFonts w:ascii="Arial" w:hAnsi="Arial" w:cs="Arial"/>
          <w:sz w:val="24"/>
          <w:szCs w:val="24"/>
        </w:rPr>
      </w:pPr>
      <w:r w:rsidRPr="00FA3F9C">
        <w:rPr>
          <w:rFonts w:ascii="Arial" w:hAnsi="Arial" w:cs="Arial"/>
          <w:sz w:val="24"/>
          <w:szCs w:val="24"/>
        </w:rPr>
        <w:t>EBRx PA Criteria</w:t>
      </w:r>
    </w:p>
    <w:p w14:paraId="62B6F288" w14:textId="77777777" w:rsidR="001506C1" w:rsidRPr="00FA3F9C" w:rsidRDefault="001506C1" w:rsidP="006F623F">
      <w:pPr>
        <w:spacing w:after="0"/>
        <w:rPr>
          <w:rFonts w:ascii="Arial" w:hAnsi="Arial" w:cs="Arial"/>
          <w:b/>
          <w:sz w:val="24"/>
          <w:szCs w:val="24"/>
          <w:u w:val="single"/>
        </w:rPr>
      </w:pPr>
    </w:p>
    <w:p w14:paraId="1F83397A" w14:textId="77777777" w:rsidR="001506C1" w:rsidRPr="00FA3F9C" w:rsidRDefault="001506C1"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Routine prophylaxis to prevent or reduce the frequency of bleeding episodes in adult and pediatric patients ages newborn and older with hemophilia A (congenital factor VIII deficiency) with or </w:t>
      </w:r>
      <w:r w:rsidRPr="00FA3F9C">
        <w:rPr>
          <w:rFonts w:ascii="Arial" w:hAnsi="Arial" w:cs="Arial"/>
          <w:sz w:val="24"/>
          <w:szCs w:val="24"/>
          <w:highlight w:val="yellow"/>
        </w:rPr>
        <w:t>without factor VIII inhibitors [[NOT A COVERED INDICATION]]</w:t>
      </w:r>
      <w:r w:rsidRPr="00FA3F9C">
        <w:rPr>
          <w:rFonts w:ascii="Arial" w:hAnsi="Arial" w:cs="Arial"/>
          <w:sz w:val="24"/>
          <w:szCs w:val="24"/>
        </w:rPr>
        <w:t>.</w:t>
      </w:r>
    </w:p>
    <w:tbl>
      <w:tblPr>
        <w:tblStyle w:val="TableGrid"/>
        <w:tblW w:w="0" w:type="auto"/>
        <w:tblLook w:val="04A0" w:firstRow="1" w:lastRow="0" w:firstColumn="1" w:lastColumn="0" w:noHBand="0" w:noVBand="1"/>
      </w:tblPr>
      <w:tblGrid>
        <w:gridCol w:w="8928"/>
        <w:gridCol w:w="2088"/>
      </w:tblGrid>
      <w:tr w:rsidR="001506C1" w:rsidRPr="00FA3F9C" w14:paraId="0A3FC495" w14:textId="77777777" w:rsidTr="00571CAB">
        <w:tc>
          <w:tcPr>
            <w:tcW w:w="8928" w:type="dxa"/>
            <w:shd w:val="clear" w:color="auto" w:fill="000000"/>
          </w:tcPr>
          <w:p w14:paraId="0840D0A5" w14:textId="77777777" w:rsidR="001506C1" w:rsidRPr="00FA3F9C" w:rsidRDefault="001506C1" w:rsidP="00571CAB">
            <w:pPr>
              <w:rPr>
                <w:rFonts w:ascii="Arial" w:hAnsi="Arial" w:cs="Arial"/>
                <w:b/>
                <w:sz w:val="24"/>
                <w:szCs w:val="24"/>
                <w:u w:val="single"/>
              </w:rPr>
            </w:pPr>
            <w:r w:rsidRPr="00FA3F9C">
              <w:rPr>
                <w:rFonts w:ascii="Arial" w:hAnsi="Arial" w:cs="Arial"/>
                <w:b/>
                <w:sz w:val="24"/>
                <w:szCs w:val="24"/>
                <w:u w:val="single"/>
              </w:rPr>
              <w:t>Criteria for new users WITH INHIBITORS</w:t>
            </w:r>
          </w:p>
        </w:tc>
        <w:tc>
          <w:tcPr>
            <w:tcW w:w="2088" w:type="dxa"/>
            <w:shd w:val="clear" w:color="auto" w:fill="000000"/>
          </w:tcPr>
          <w:p w14:paraId="3990FCD2" w14:textId="77777777" w:rsidR="001506C1" w:rsidRPr="00FA3F9C" w:rsidRDefault="001506C1" w:rsidP="006F623F">
            <w:pPr>
              <w:jc w:val="center"/>
              <w:rPr>
                <w:rFonts w:ascii="Arial" w:hAnsi="Arial" w:cs="Arial"/>
                <w:b/>
                <w:sz w:val="24"/>
                <w:szCs w:val="24"/>
                <w:u w:val="single"/>
              </w:rPr>
            </w:pPr>
          </w:p>
        </w:tc>
      </w:tr>
      <w:tr w:rsidR="001506C1" w:rsidRPr="00FA3F9C" w14:paraId="04CC4512" w14:textId="77777777" w:rsidTr="009B5F97">
        <w:trPr>
          <w:trHeight w:val="296"/>
        </w:trPr>
        <w:tc>
          <w:tcPr>
            <w:tcW w:w="11016" w:type="dxa"/>
            <w:gridSpan w:val="2"/>
          </w:tcPr>
          <w:p w14:paraId="4B6535C3" w14:textId="77777777" w:rsidR="001506C1" w:rsidRPr="00FA3F9C" w:rsidRDefault="001506C1" w:rsidP="001260D9">
            <w:pPr>
              <w:rPr>
                <w:rFonts w:ascii="Arial" w:hAnsi="Arial" w:cs="Arial"/>
                <w:sz w:val="24"/>
                <w:szCs w:val="24"/>
              </w:rPr>
            </w:pPr>
            <w:r w:rsidRPr="00FA3F9C">
              <w:rPr>
                <w:rFonts w:ascii="Arial" w:hAnsi="Arial" w:cs="Arial"/>
                <w:sz w:val="24"/>
                <w:szCs w:val="24"/>
              </w:rPr>
              <w:t>1.  The patient must have diagnosis of hemophilia A.</w:t>
            </w:r>
          </w:p>
        </w:tc>
      </w:tr>
      <w:tr w:rsidR="001506C1" w:rsidRPr="00FA3F9C" w14:paraId="49390DD0" w14:textId="77777777" w:rsidTr="00B1617E">
        <w:tc>
          <w:tcPr>
            <w:tcW w:w="11016" w:type="dxa"/>
            <w:gridSpan w:val="2"/>
          </w:tcPr>
          <w:p w14:paraId="2B82851A" w14:textId="77777777" w:rsidR="001506C1" w:rsidRPr="00FA3F9C" w:rsidRDefault="001506C1" w:rsidP="009B5F97">
            <w:pPr>
              <w:rPr>
                <w:rFonts w:ascii="Arial" w:hAnsi="Arial" w:cs="Arial"/>
                <w:sz w:val="24"/>
                <w:szCs w:val="24"/>
              </w:rPr>
            </w:pPr>
            <w:r w:rsidRPr="00FA3F9C">
              <w:rPr>
                <w:rFonts w:ascii="Arial" w:hAnsi="Arial" w:cs="Arial"/>
                <w:sz w:val="24"/>
                <w:szCs w:val="24"/>
              </w:rPr>
              <w:t>2.  The patient must have a history of high factor VIII inhibitor titer ( ≥ 5 Bethesda units/mL).</w:t>
            </w:r>
          </w:p>
        </w:tc>
      </w:tr>
      <w:tr w:rsidR="001506C1" w:rsidRPr="00FA3F9C" w14:paraId="085C361F" w14:textId="77777777" w:rsidTr="0010789D">
        <w:tc>
          <w:tcPr>
            <w:tcW w:w="11016" w:type="dxa"/>
            <w:gridSpan w:val="2"/>
          </w:tcPr>
          <w:p w14:paraId="2CD3B676" w14:textId="77777777" w:rsidR="001506C1" w:rsidRPr="00FA3F9C" w:rsidRDefault="001506C1" w:rsidP="009B5F97">
            <w:pPr>
              <w:rPr>
                <w:rFonts w:ascii="Arial" w:hAnsi="Arial" w:cs="Arial"/>
                <w:sz w:val="24"/>
                <w:szCs w:val="24"/>
              </w:rPr>
            </w:pPr>
            <w:r w:rsidRPr="00FA3F9C">
              <w:rPr>
                <w:rFonts w:ascii="Arial" w:hAnsi="Arial" w:cs="Arial"/>
                <w:sz w:val="24"/>
                <w:szCs w:val="24"/>
              </w:rPr>
              <w:t xml:space="preserve">3.  The patient must have a history of ≥ 6 bleeds if on </w:t>
            </w:r>
            <w:r w:rsidRPr="00FA3F9C">
              <w:rPr>
                <w:rFonts w:ascii="Arial" w:hAnsi="Arial" w:cs="Arial"/>
                <w:b/>
                <w:sz w:val="24"/>
                <w:szCs w:val="24"/>
              </w:rPr>
              <w:t>episodic treatment with bypassing agents</w:t>
            </w:r>
            <w:r w:rsidRPr="00FA3F9C">
              <w:rPr>
                <w:rFonts w:ascii="Arial" w:hAnsi="Arial" w:cs="Arial"/>
                <w:sz w:val="24"/>
                <w:szCs w:val="24"/>
              </w:rPr>
              <w:t xml:space="preserve"> (</w:t>
            </w:r>
            <w:proofErr w:type="spellStart"/>
            <w:r w:rsidRPr="00FA3F9C">
              <w:rPr>
                <w:rFonts w:ascii="Arial" w:hAnsi="Arial" w:cs="Arial"/>
                <w:sz w:val="24"/>
                <w:szCs w:val="24"/>
              </w:rPr>
              <w:t>Feiba</w:t>
            </w:r>
            <w:proofErr w:type="spellEnd"/>
            <w:r w:rsidRPr="00FA3F9C">
              <w:rPr>
                <w:rFonts w:ascii="Arial" w:hAnsi="Arial" w:cs="Arial"/>
                <w:sz w:val="24"/>
                <w:szCs w:val="24"/>
              </w:rPr>
              <w:t xml:space="preserve"> - activated prothrombin complex concentrate (</w:t>
            </w:r>
            <w:proofErr w:type="spellStart"/>
            <w:r w:rsidRPr="00FA3F9C">
              <w:rPr>
                <w:rFonts w:ascii="Arial" w:hAnsi="Arial" w:cs="Arial"/>
                <w:sz w:val="24"/>
                <w:szCs w:val="24"/>
              </w:rPr>
              <w:t>aPCC</w:t>
            </w:r>
            <w:proofErr w:type="spellEnd"/>
            <w:r w:rsidRPr="00FA3F9C">
              <w:rPr>
                <w:rFonts w:ascii="Arial" w:hAnsi="Arial" w:cs="Arial"/>
                <w:sz w:val="24"/>
                <w:szCs w:val="24"/>
              </w:rPr>
              <w:t xml:space="preserve">), or </w:t>
            </w:r>
            <w:proofErr w:type="spellStart"/>
            <w:r w:rsidRPr="00FA3F9C">
              <w:rPr>
                <w:rFonts w:ascii="Arial" w:hAnsi="Arial" w:cs="Arial"/>
                <w:sz w:val="24"/>
                <w:szCs w:val="24"/>
              </w:rPr>
              <w:t>NovoSeven</w:t>
            </w:r>
            <w:proofErr w:type="spellEnd"/>
            <w:r w:rsidRPr="00FA3F9C">
              <w:rPr>
                <w:rFonts w:ascii="Arial" w:hAnsi="Arial" w:cs="Arial"/>
                <w:sz w:val="24"/>
                <w:szCs w:val="24"/>
              </w:rPr>
              <w:t xml:space="preserve"> - recombinant activated factor VII (factor </w:t>
            </w:r>
            <w:proofErr w:type="spellStart"/>
            <w:r w:rsidRPr="00FA3F9C">
              <w:rPr>
                <w:rFonts w:ascii="Arial" w:hAnsi="Arial" w:cs="Arial"/>
                <w:sz w:val="24"/>
                <w:szCs w:val="24"/>
              </w:rPr>
              <w:t>VIIa</w:t>
            </w:r>
            <w:proofErr w:type="spellEnd"/>
            <w:r w:rsidRPr="00FA3F9C">
              <w:rPr>
                <w:rFonts w:ascii="Arial" w:hAnsi="Arial" w:cs="Arial"/>
                <w:sz w:val="24"/>
                <w:szCs w:val="24"/>
              </w:rPr>
              <w:t xml:space="preserve">)) within the last 24 weeks </w:t>
            </w:r>
          </w:p>
          <w:p w14:paraId="510B94CC" w14:textId="77777777" w:rsidR="001506C1" w:rsidRPr="00FA3F9C" w:rsidRDefault="001506C1" w:rsidP="009B5F97">
            <w:pPr>
              <w:pStyle w:val="ListParagraph"/>
              <w:rPr>
                <w:rFonts w:ascii="Arial" w:hAnsi="Arial" w:cs="Arial"/>
                <w:sz w:val="24"/>
                <w:szCs w:val="24"/>
              </w:rPr>
            </w:pPr>
            <w:r w:rsidRPr="00FA3F9C">
              <w:rPr>
                <w:rFonts w:ascii="Arial" w:hAnsi="Arial" w:cs="Arial"/>
                <w:sz w:val="24"/>
                <w:szCs w:val="24"/>
              </w:rPr>
              <w:t xml:space="preserve">OR </w:t>
            </w:r>
          </w:p>
          <w:p w14:paraId="44583E56" w14:textId="77777777" w:rsidR="001506C1" w:rsidRPr="00FA3F9C" w:rsidRDefault="001506C1" w:rsidP="009B5F97">
            <w:pPr>
              <w:rPr>
                <w:rFonts w:ascii="Arial" w:hAnsi="Arial" w:cs="Arial"/>
                <w:sz w:val="24"/>
                <w:szCs w:val="24"/>
              </w:rPr>
            </w:pPr>
            <w:r w:rsidRPr="00FA3F9C">
              <w:rPr>
                <w:rFonts w:ascii="Arial" w:hAnsi="Arial" w:cs="Arial"/>
                <w:sz w:val="24"/>
                <w:szCs w:val="24"/>
              </w:rPr>
              <w:t xml:space="preserve">≥ 2 bleeds if on </w:t>
            </w:r>
            <w:r w:rsidRPr="00FA3F9C">
              <w:rPr>
                <w:rFonts w:ascii="Arial" w:hAnsi="Arial" w:cs="Arial"/>
                <w:b/>
                <w:sz w:val="24"/>
                <w:szCs w:val="24"/>
              </w:rPr>
              <w:t>prophylactic treatment with bypassing agents</w:t>
            </w:r>
            <w:r w:rsidRPr="00FA3F9C">
              <w:rPr>
                <w:rFonts w:ascii="Arial" w:hAnsi="Arial" w:cs="Arial"/>
                <w:sz w:val="24"/>
                <w:szCs w:val="24"/>
              </w:rPr>
              <w:t xml:space="preserve"> (</w:t>
            </w:r>
            <w:proofErr w:type="spellStart"/>
            <w:r w:rsidRPr="00FA3F9C">
              <w:rPr>
                <w:rFonts w:ascii="Arial" w:hAnsi="Arial" w:cs="Arial"/>
                <w:sz w:val="24"/>
                <w:szCs w:val="24"/>
              </w:rPr>
              <w:t>Feiba</w:t>
            </w:r>
            <w:proofErr w:type="spellEnd"/>
            <w:r w:rsidRPr="00FA3F9C">
              <w:rPr>
                <w:rFonts w:ascii="Arial" w:hAnsi="Arial" w:cs="Arial"/>
                <w:sz w:val="24"/>
                <w:szCs w:val="24"/>
              </w:rPr>
              <w:t xml:space="preserve">, </w:t>
            </w:r>
            <w:proofErr w:type="spellStart"/>
            <w:r w:rsidRPr="00FA3F9C">
              <w:rPr>
                <w:rFonts w:ascii="Arial" w:hAnsi="Arial" w:cs="Arial"/>
                <w:sz w:val="24"/>
                <w:szCs w:val="24"/>
              </w:rPr>
              <w:t>NovoSeven</w:t>
            </w:r>
            <w:proofErr w:type="spellEnd"/>
            <w:r w:rsidRPr="00FA3F9C">
              <w:rPr>
                <w:rFonts w:ascii="Arial" w:hAnsi="Arial" w:cs="Arial"/>
                <w:sz w:val="24"/>
                <w:szCs w:val="24"/>
              </w:rPr>
              <w:t>) within the last 24 weeks.</w:t>
            </w:r>
          </w:p>
        </w:tc>
      </w:tr>
      <w:tr w:rsidR="001506C1" w:rsidRPr="00FA3F9C" w14:paraId="73E12A46" w14:textId="77777777" w:rsidTr="0010789D">
        <w:tc>
          <w:tcPr>
            <w:tcW w:w="11016" w:type="dxa"/>
            <w:gridSpan w:val="2"/>
          </w:tcPr>
          <w:p w14:paraId="549504AC" w14:textId="77777777" w:rsidR="001506C1" w:rsidRPr="00FA3F9C" w:rsidRDefault="001506C1" w:rsidP="009B5F97">
            <w:pPr>
              <w:rPr>
                <w:rFonts w:ascii="Arial" w:hAnsi="Arial" w:cs="Arial"/>
                <w:sz w:val="24"/>
                <w:szCs w:val="24"/>
              </w:rPr>
            </w:pPr>
            <w:r w:rsidRPr="00FA3F9C">
              <w:rPr>
                <w:rFonts w:ascii="Arial" w:hAnsi="Arial" w:cs="Arial"/>
                <w:sz w:val="24"/>
                <w:szCs w:val="24"/>
              </w:rPr>
              <w:t>4.  The patient must NOT be receiving concurrent prophylactic treatment with bypassing agents (</w:t>
            </w:r>
            <w:proofErr w:type="spellStart"/>
            <w:r w:rsidRPr="00FA3F9C">
              <w:rPr>
                <w:rFonts w:ascii="Arial" w:hAnsi="Arial" w:cs="Arial"/>
                <w:sz w:val="24"/>
                <w:szCs w:val="24"/>
              </w:rPr>
              <w:t>Feiba</w:t>
            </w:r>
            <w:proofErr w:type="spellEnd"/>
            <w:r w:rsidRPr="00FA3F9C">
              <w:rPr>
                <w:rFonts w:ascii="Arial" w:hAnsi="Arial" w:cs="Arial"/>
                <w:sz w:val="24"/>
                <w:szCs w:val="24"/>
              </w:rPr>
              <w:t xml:space="preserve">, </w:t>
            </w:r>
            <w:proofErr w:type="spellStart"/>
            <w:r w:rsidRPr="00FA3F9C">
              <w:rPr>
                <w:rFonts w:ascii="Arial" w:hAnsi="Arial" w:cs="Arial"/>
                <w:sz w:val="24"/>
                <w:szCs w:val="24"/>
              </w:rPr>
              <w:t>NovoSeven</w:t>
            </w:r>
            <w:proofErr w:type="spellEnd"/>
            <w:r w:rsidRPr="00FA3F9C">
              <w:rPr>
                <w:rFonts w:ascii="Arial" w:hAnsi="Arial" w:cs="Arial"/>
                <w:sz w:val="24"/>
                <w:szCs w:val="24"/>
              </w:rPr>
              <w:t xml:space="preserve">) or have ongoing/plan to receive immune tolerance induction therapy while concurrently taking </w:t>
            </w:r>
            <w:proofErr w:type="spellStart"/>
            <w:r w:rsidRPr="00FA3F9C">
              <w:rPr>
                <w:rFonts w:ascii="Arial" w:hAnsi="Arial" w:cs="Arial"/>
                <w:sz w:val="24"/>
                <w:szCs w:val="24"/>
              </w:rPr>
              <w:t>emicizumab</w:t>
            </w:r>
            <w:proofErr w:type="spellEnd"/>
            <w:r w:rsidRPr="00FA3F9C">
              <w:rPr>
                <w:rFonts w:ascii="Arial" w:hAnsi="Arial" w:cs="Arial"/>
                <w:sz w:val="24"/>
                <w:szCs w:val="24"/>
              </w:rPr>
              <w:t>.</w:t>
            </w:r>
          </w:p>
        </w:tc>
      </w:tr>
      <w:tr w:rsidR="001506C1" w:rsidRPr="00FA3F9C" w14:paraId="5C372480" w14:textId="77777777" w:rsidTr="00DA57E0">
        <w:tc>
          <w:tcPr>
            <w:tcW w:w="11016" w:type="dxa"/>
            <w:gridSpan w:val="2"/>
          </w:tcPr>
          <w:p w14:paraId="201FBFEF" w14:textId="77777777" w:rsidR="001506C1" w:rsidRPr="00FA3F9C" w:rsidRDefault="001506C1" w:rsidP="001506C1">
            <w:pPr>
              <w:pStyle w:val="ListParagraph"/>
              <w:numPr>
                <w:ilvl w:val="0"/>
                <w:numId w:val="167"/>
              </w:numPr>
              <w:rPr>
                <w:rFonts w:ascii="Arial" w:hAnsi="Arial" w:cs="Arial"/>
                <w:b/>
                <w:sz w:val="24"/>
                <w:szCs w:val="24"/>
              </w:rPr>
            </w:pPr>
            <w:r w:rsidRPr="00FA3F9C">
              <w:rPr>
                <w:rFonts w:ascii="Arial" w:hAnsi="Arial" w:cs="Arial"/>
                <w:sz w:val="24"/>
                <w:szCs w:val="24"/>
              </w:rPr>
              <w:t>If criteria 1-4 are fulfilled, approve PA for 1 year.</w:t>
            </w:r>
            <w:r w:rsidRPr="00FA3F9C">
              <w:rPr>
                <w:rFonts w:ascii="Arial" w:hAnsi="Arial" w:cs="Arial"/>
                <w:b/>
                <w:sz w:val="24"/>
                <w:szCs w:val="24"/>
              </w:rPr>
              <w:t xml:space="preserve"> </w:t>
            </w:r>
          </w:p>
          <w:p w14:paraId="7D12FB14" w14:textId="77777777" w:rsidR="001506C1" w:rsidRPr="00FA3F9C" w:rsidRDefault="001506C1" w:rsidP="001506C1">
            <w:pPr>
              <w:pStyle w:val="ListParagraph"/>
              <w:numPr>
                <w:ilvl w:val="0"/>
                <w:numId w:val="167"/>
              </w:numPr>
              <w:rPr>
                <w:rFonts w:ascii="Arial" w:hAnsi="Arial" w:cs="Arial"/>
                <w:sz w:val="24"/>
                <w:szCs w:val="24"/>
              </w:rPr>
            </w:pPr>
            <w:r w:rsidRPr="00FA3F9C">
              <w:rPr>
                <w:rFonts w:ascii="Arial" w:hAnsi="Arial" w:cs="Arial"/>
                <w:sz w:val="24"/>
                <w:szCs w:val="24"/>
              </w:rPr>
              <w:t xml:space="preserve">The patient </w:t>
            </w:r>
            <w:r w:rsidRPr="00FA3F9C">
              <w:rPr>
                <w:rFonts w:ascii="Arial" w:hAnsi="Arial" w:cs="Arial"/>
                <w:b/>
                <w:sz w:val="24"/>
                <w:szCs w:val="24"/>
              </w:rPr>
              <w:t>CAN</w:t>
            </w:r>
            <w:r w:rsidRPr="00FA3F9C">
              <w:rPr>
                <w:rFonts w:ascii="Arial" w:hAnsi="Arial" w:cs="Arial"/>
                <w:sz w:val="24"/>
                <w:szCs w:val="24"/>
              </w:rPr>
              <w:t xml:space="preserve"> receive episodic treatment with bypassing agents (</w:t>
            </w:r>
            <w:proofErr w:type="spellStart"/>
            <w:r w:rsidRPr="00FA3F9C">
              <w:rPr>
                <w:rFonts w:ascii="Arial" w:hAnsi="Arial" w:cs="Arial"/>
                <w:sz w:val="24"/>
                <w:szCs w:val="24"/>
              </w:rPr>
              <w:t>Feiba</w:t>
            </w:r>
            <w:proofErr w:type="spellEnd"/>
            <w:r w:rsidRPr="00FA3F9C">
              <w:rPr>
                <w:rFonts w:ascii="Arial" w:hAnsi="Arial" w:cs="Arial"/>
                <w:sz w:val="24"/>
                <w:szCs w:val="24"/>
              </w:rPr>
              <w:t xml:space="preserve">, </w:t>
            </w:r>
            <w:proofErr w:type="spellStart"/>
            <w:r w:rsidRPr="00FA3F9C">
              <w:rPr>
                <w:rFonts w:ascii="Arial" w:hAnsi="Arial" w:cs="Arial"/>
                <w:sz w:val="24"/>
                <w:szCs w:val="24"/>
              </w:rPr>
              <w:t>NovoSeven</w:t>
            </w:r>
            <w:proofErr w:type="spellEnd"/>
            <w:r w:rsidRPr="00FA3F9C">
              <w:rPr>
                <w:rFonts w:ascii="Arial" w:hAnsi="Arial" w:cs="Arial"/>
                <w:sz w:val="24"/>
                <w:szCs w:val="24"/>
              </w:rPr>
              <w:t xml:space="preserve">) prn for breakthrough bleeding episodes. </w:t>
            </w:r>
          </w:p>
        </w:tc>
      </w:tr>
    </w:tbl>
    <w:p w14:paraId="4A80349E" w14:textId="77777777" w:rsidR="001506C1" w:rsidRPr="00FA3F9C" w:rsidRDefault="001506C1" w:rsidP="00053190">
      <w:pPr>
        <w:spacing w:after="0"/>
        <w:rPr>
          <w:rFonts w:ascii="Arial" w:hAnsi="Arial" w:cs="Arial"/>
          <w:sz w:val="24"/>
          <w:szCs w:val="24"/>
        </w:rPr>
      </w:pPr>
      <w:r w:rsidRPr="00FA3F9C">
        <w:rPr>
          <w:rFonts w:ascii="Arial" w:hAnsi="Arial" w:cs="Arial"/>
          <w:sz w:val="24"/>
          <w:szCs w:val="24"/>
        </w:rPr>
        <w:t xml:space="preserve">Dosing: </w:t>
      </w:r>
    </w:p>
    <w:p w14:paraId="336F5D60" w14:textId="77777777" w:rsidR="001506C1" w:rsidRPr="00FA3F9C" w:rsidRDefault="001506C1" w:rsidP="00053190">
      <w:pPr>
        <w:spacing w:after="0"/>
        <w:rPr>
          <w:rFonts w:ascii="Arial" w:hAnsi="Arial" w:cs="Arial"/>
          <w:sz w:val="24"/>
          <w:szCs w:val="24"/>
        </w:rPr>
      </w:pPr>
      <w:r w:rsidRPr="00FA3F9C">
        <w:rPr>
          <w:rFonts w:ascii="Arial" w:hAnsi="Arial" w:cs="Arial"/>
          <w:sz w:val="24"/>
          <w:szCs w:val="24"/>
        </w:rPr>
        <w:t>-</w:t>
      </w:r>
      <w:proofErr w:type="spellStart"/>
      <w:r w:rsidRPr="00FA3F9C">
        <w:rPr>
          <w:rFonts w:ascii="Arial" w:hAnsi="Arial" w:cs="Arial"/>
          <w:sz w:val="24"/>
          <w:szCs w:val="24"/>
        </w:rPr>
        <w:t>SubQ</w:t>
      </w:r>
      <w:proofErr w:type="spellEnd"/>
      <w:r w:rsidRPr="00FA3F9C">
        <w:rPr>
          <w:rFonts w:ascii="Arial" w:hAnsi="Arial" w:cs="Arial"/>
          <w:sz w:val="24"/>
          <w:szCs w:val="24"/>
        </w:rPr>
        <w:t xml:space="preserve">: Initial: 3 mg/kg once weekly for 4 weeks, then 1.5 mg/kg once weekly </w:t>
      </w:r>
      <w:r w:rsidRPr="00FA3F9C">
        <w:rPr>
          <w:rFonts w:ascii="Arial" w:hAnsi="Arial" w:cs="Arial"/>
          <w:b/>
          <w:sz w:val="24"/>
          <w:szCs w:val="24"/>
        </w:rPr>
        <w:t>OR</w:t>
      </w:r>
      <w:r w:rsidRPr="00FA3F9C">
        <w:rPr>
          <w:rFonts w:ascii="Arial" w:hAnsi="Arial" w:cs="Arial"/>
          <w:sz w:val="24"/>
          <w:szCs w:val="24"/>
        </w:rPr>
        <w:t xml:space="preserve"> 3 mg/kg every 2 weeks </w:t>
      </w:r>
      <w:r w:rsidRPr="00FA3F9C">
        <w:rPr>
          <w:rFonts w:ascii="Arial" w:hAnsi="Arial" w:cs="Arial"/>
          <w:b/>
          <w:sz w:val="24"/>
          <w:szCs w:val="24"/>
        </w:rPr>
        <w:t>OR</w:t>
      </w:r>
      <w:r w:rsidRPr="00FA3F9C">
        <w:rPr>
          <w:rFonts w:ascii="Arial" w:hAnsi="Arial" w:cs="Arial"/>
          <w:sz w:val="24"/>
          <w:szCs w:val="24"/>
        </w:rPr>
        <w:t xml:space="preserve"> 6 mg/kg every 4 weeks thereafter. Round dose to nearest vial size. </w:t>
      </w:r>
    </w:p>
    <w:p w14:paraId="525E0CC2" w14:textId="77777777" w:rsidR="001506C1" w:rsidRPr="00FA3F9C" w:rsidRDefault="001506C1" w:rsidP="00053190">
      <w:pPr>
        <w:spacing w:after="0"/>
        <w:rPr>
          <w:rFonts w:ascii="Arial" w:hAnsi="Arial" w:cs="Arial"/>
          <w:sz w:val="24"/>
          <w:szCs w:val="24"/>
        </w:rPr>
      </w:pPr>
      <w:r w:rsidRPr="00FA3F9C">
        <w:rPr>
          <w:rFonts w:ascii="Arial" w:hAnsi="Arial" w:cs="Arial"/>
          <w:sz w:val="24"/>
          <w:szCs w:val="24"/>
        </w:rPr>
        <w:t>-FDA approved for self-injection</w:t>
      </w:r>
    </w:p>
    <w:p w14:paraId="7D1C42FE"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418"/>
        <w:gridCol w:w="7723"/>
        <w:gridCol w:w="1885"/>
      </w:tblGrid>
      <w:tr w:rsidR="001506C1" w:rsidRPr="00FA3F9C" w14:paraId="07CE9E86" w14:textId="77777777" w:rsidTr="00786B5C">
        <w:tc>
          <w:tcPr>
            <w:tcW w:w="1182" w:type="dxa"/>
          </w:tcPr>
          <w:p w14:paraId="40430648" w14:textId="77777777" w:rsidR="001506C1" w:rsidRPr="00FA3F9C" w:rsidRDefault="001506C1" w:rsidP="006F623F">
            <w:pPr>
              <w:rPr>
                <w:rFonts w:ascii="Arial" w:hAnsi="Arial" w:cs="Arial"/>
                <w:sz w:val="24"/>
                <w:szCs w:val="24"/>
              </w:rPr>
            </w:pPr>
            <w:r w:rsidRPr="00FA3F9C">
              <w:rPr>
                <w:rFonts w:ascii="Arial" w:hAnsi="Arial" w:cs="Arial"/>
                <w:sz w:val="24"/>
                <w:szCs w:val="24"/>
              </w:rPr>
              <w:lastRenderedPageBreak/>
              <w:t>Date</w:t>
            </w:r>
          </w:p>
        </w:tc>
        <w:tc>
          <w:tcPr>
            <w:tcW w:w="7723" w:type="dxa"/>
          </w:tcPr>
          <w:p w14:paraId="6654C34F" w14:textId="77777777" w:rsidR="001506C1" w:rsidRPr="00FA3F9C" w:rsidRDefault="001506C1" w:rsidP="006F623F">
            <w:pPr>
              <w:rPr>
                <w:rFonts w:ascii="Arial" w:hAnsi="Arial" w:cs="Arial"/>
                <w:sz w:val="24"/>
                <w:szCs w:val="24"/>
              </w:rPr>
            </w:pPr>
            <w:r w:rsidRPr="00FA3F9C">
              <w:rPr>
                <w:rFonts w:ascii="Arial" w:hAnsi="Arial" w:cs="Arial"/>
                <w:sz w:val="24"/>
                <w:szCs w:val="24"/>
              </w:rPr>
              <w:t>What changed</w:t>
            </w:r>
          </w:p>
        </w:tc>
        <w:tc>
          <w:tcPr>
            <w:tcW w:w="1885" w:type="dxa"/>
          </w:tcPr>
          <w:p w14:paraId="5CD58EA8" w14:textId="77777777" w:rsidR="001506C1" w:rsidRPr="00FA3F9C" w:rsidRDefault="001506C1" w:rsidP="006F623F">
            <w:pPr>
              <w:rPr>
                <w:rFonts w:ascii="Arial" w:hAnsi="Arial" w:cs="Arial"/>
                <w:sz w:val="24"/>
                <w:szCs w:val="24"/>
              </w:rPr>
            </w:pPr>
            <w:r w:rsidRPr="00FA3F9C">
              <w:rPr>
                <w:rFonts w:ascii="Arial" w:hAnsi="Arial" w:cs="Arial"/>
                <w:sz w:val="24"/>
                <w:szCs w:val="24"/>
              </w:rPr>
              <w:t>Pharmacist’s initials</w:t>
            </w:r>
          </w:p>
        </w:tc>
      </w:tr>
      <w:tr w:rsidR="001506C1" w:rsidRPr="00FA3F9C" w14:paraId="26529BE0" w14:textId="77777777" w:rsidTr="00786B5C">
        <w:tc>
          <w:tcPr>
            <w:tcW w:w="1182" w:type="dxa"/>
          </w:tcPr>
          <w:p w14:paraId="1CA425D7" w14:textId="77777777" w:rsidR="001506C1" w:rsidRPr="00FA3F9C" w:rsidRDefault="001506C1" w:rsidP="006F623F">
            <w:pPr>
              <w:rPr>
                <w:rFonts w:ascii="Arial" w:hAnsi="Arial" w:cs="Arial"/>
                <w:sz w:val="24"/>
                <w:szCs w:val="24"/>
              </w:rPr>
            </w:pPr>
            <w:r w:rsidRPr="00FA3F9C">
              <w:rPr>
                <w:rFonts w:ascii="Arial" w:hAnsi="Arial" w:cs="Arial"/>
                <w:sz w:val="24"/>
                <w:szCs w:val="24"/>
              </w:rPr>
              <w:t>2/6/18</w:t>
            </w:r>
          </w:p>
        </w:tc>
        <w:tc>
          <w:tcPr>
            <w:tcW w:w="7723" w:type="dxa"/>
          </w:tcPr>
          <w:p w14:paraId="604C748E" w14:textId="05326FCA" w:rsidR="001506C1" w:rsidRPr="00FA3F9C" w:rsidRDefault="005C142D" w:rsidP="006F623F">
            <w:pPr>
              <w:rPr>
                <w:rFonts w:ascii="Arial" w:hAnsi="Arial" w:cs="Arial"/>
                <w:sz w:val="24"/>
                <w:szCs w:val="24"/>
              </w:rPr>
            </w:pPr>
            <w:r w:rsidRPr="00FA3F9C">
              <w:rPr>
                <w:rFonts w:ascii="Arial" w:hAnsi="Arial" w:cs="Arial"/>
                <w:sz w:val="24"/>
                <w:szCs w:val="24"/>
              </w:rPr>
              <w:t>JK</w:t>
            </w:r>
            <w:r w:rsidR="001506C1" w:rsidRPr="00FA3F9C">
              <w:rPr>
                <w:rFonts w:ascii="Arial" w:hAnsi="Arial" w:cs="Arial"/>
                <w:sz w:val="24"/>
                <w:szCs w:val="24"/>
              </w:rPr>
              <w:t xml:space="preserve"> and I wrote the criteria.</w:t>
            </w:r>
          </w:p>
        </w:tc>
        <w:tc>
          <w:tcPr>
            <w:tcW w:w="1885" w:type="dxa"/>
          </w:tcPr>
          <w:p w14:paraId="7020686A" w14:textId="361A9686" w:rsidR="001506C1" w:rsidRPr="00FA3F9C" w:rsidRDefault="005C142D" w:rsidP="006F623F">
            <w:pPr>
              <w:rPr>
                <w:rFonts w:ascii="Arial" w:hAnsi="Arial" w:cs="Arial"/>
                <w:sz w:val="24"/>
                <w:szCs w:val="24"/>
              </w:rPr>
            </w:pPr>
            <w:r w:rsidRPr="00FA3F9C">
              <w:rPr>
                <w:rFonts w:ascii="Arial" w:hAnsi="Arial" w:cs="Arial"/>
                <w:sz w:val="24"/>
                <w:szCs w:val="24"/>
              </w:rPr>
              <w:t>JJ</w:t>
            </w:r>
          </w:p>
        </w:tc>
      </w:tr>
      <w:tr w:rsidR="001506C1" w:rsidRPr="00FA3F9C" w14:paraId="5126A46D" w14:textId="77777777" w:rsidTr="00786B5C">
        <w:tc>
          <w:tcPr>
            <w:tcW w:w="1182" w:type="dxa"/>
          </w:tcPr>
          <w:p w14:paraId="4A32B378" w14:textId="77777777" w:rsidR="001506C1" w:rsidRPr="00FA3F9C" w:rsidRDefault="001506C1" w:rsidP="006F623F">
            <w:pPr>
              <w:rPr>
                <w:rFonts w:ascii="Arial" w:hAnsi="Arial" w:cs="Arial"/>
                <w:sz w:val="24"/>
                <w:szCs w:val="24"/>
              </w:rPr>
            </w:pPr>
            <w:r w:rsidRPr="00FA3F9C">
              <w:rPr>
                <w:rFonts w:ascii="Arial" w:hAnsi="Arial" w:cs="Arial"/>
                <w:sz w:val="24"/>
                <w:szCs w:val="24"/>
              </w:rPr>
              <w:t>8/26/19</w:t>
            </w:r>
          </w:p>
        </w:tc>
        <w:tc>
          <w:tcPr>
            <w:tcW w:w="7723" w:type="dxa"/>
          </w:tcPr>
          <w:p w14:paraId="161BED4B" w14:textId="77777777" w:rsidR="001506C1" w:rsidRPr="00FA3F9C" w:rsidRDefault="001506C1" w:rsidP="006F623F">
            <w:pPr>
              <w:rPr>
                <w:rFonts w:ascii="Arial" w:hAnsi="Arial" w:cs="Arial"/>
                <w:sz w:val="24"/>
                <w:szCs w:val="24"/>
              </w:rPr>
            </w:pPr>
            <w:r w:rsidRPr="00FA3F9C">
              <w:rPr>
                <w:rFonts w:ascii="Arial" w:hAnsi="Arial" w:cs="Arial"/>
                <w:sz w:val="24"/>
                <w:szCs w:val="24"/>
              </w:rPr>
              <w:t xml:space="preserve">Criteria reviewed. Added indication for patients WITH inhibitors per newer FDA approval. </w:t>
            </w:r>
          </w:p>
        </w:tc>
        <w:tc>
          <w:tcPr>
            <w:tcW w:w="1885" w:type="dxa"/>
          </w:tcPr>
          <w:p w14:paraId="486B22E6" w14:textId="77777777" w:rsidR="001506C1" w:rsidRPr="00FA3F9C" w:rsidRDefault="001506C1" w:rsidP="006F623F">
            <w:pPr>
              <w:rPr>
                <w:rFonts w:ascii="Arial" w:hAnsi="Arial" w:cs="Arial"/>
                <w:sz w:val="24"/>
                <w:szCs w:val="24"/>
              </w:rPr>
            </w:pPr>
            <w:r w:rsidRPr="00FA3F9C">
              <w:rPr>
                <w:rFonts w:ascii="Arial" w:hAnsi="Arial" w:cs="Arial"/>
                <w:sz w:val="24"/>
                <w:szCs w:val="24"/>
              </w:rPr>
              <w:t>SK</w:t>
            </w:r>
          </w:p>
        </w:tc>
      </w:tr>
      <w:tr w:rsidR="001506C1" w:rsidRPr="00FA3F9C" w14:paraId="1E8DA1D7" w14:textId="77777777" w:rsidTr="00786B5C">
        <w:tc>
          <w:tcPr>
            <w:tcW w:w="1182" w:type="dxa"/>
          </w:tcPr>
          <w:p w14:paraId="527EBF64" w14:textId="77777777" w:rsidR="001506C1" w:rsidRPr="00FA3F9C" w:rsidRDefault="001506C1" w:rsidP="006F623F">
            <w:pPr>
              <w:rPr>
                <w:rFonts w:ascii="Arial" w:hAnsi="Arial" w:cs="Arial"/>
                <w:sz w:val="24"/>
                <w:szCs w:val="24"/>
              </w:rPr>
            </w:pPr>
            <w:r w:rsidRPr="00FA3F9C">
              <w:rPr>
                <w:rFonts w:ascii="Arial" w:hAnsi="Arial" w:cs="Arial"/>
                <w:sz w:val="24"/>
                <w:szCs w:val="24"/>
              </w:rPr>
              <w:t>10/28/19</w:t>
            </w:r>
          </w:p>
        </w:tc>
        <w:tc>
          <w:tcPr>
            <w:tcW w:w="7723" w:type="dxa"/>
          </w:tcPr>
          <w:p w14:paraId="63813857" w14:textId="77777777" w:rsidR="001506C1" w:rsidRPr="00FA3F9C" w:rsidRDefault="001506C1" w:rsidP="006F623F">
            <w:pPr>
              <w:rPr>
                <w:rFonts w:ascii="Arial" w:hAnsi="Arial" w:cs="Arial"/>
                <w:sz w:val="24"/>
                <w:szCs w:val="24"/>
              </w:rPr>
            </w:pPr>
            <w:r w:rsidRPr="00FA3F9C">
              <w:rPr>
                <w:rFonts w:ascii="Arial" w:hAnsi="Arial" w:cs="Arial"/>
                <w:sz w:val="24"/>
                <w:szCs w:val="24"/>
              </w:rPr>
              <w:t xml:space="preserve">EBRx P&amp;T reconsidered </w:t>
            </w:r>
            <w:proofErr w:type="spellStart"/>
            <w:r w:rsidRPr="00FA3F9C">
              <w:rPr>
                <w:rFonts w:ascii="Arial" w:hAnsi="Arial" w:cs="Arial"/>
                <w:sz w:val="24"/>
                <w:szCs w:val="24"/>
              </w:rPr>
              <w:t>Hemlibra</w:t>
            </w:r>
            <w:proofErr w:type="spellEnd"/>
            <w:r w:rsidRPr="00FA3F9C">
              <w:rPr>
                <w:rFonts w:ascii="Arial" w:hAnsi="Arial" w:cs="Arial"/>
                <w:sz w:val="24"/>
                <w:szCs w:val="24"/>
              </w:rPr>
              <w:t xml:space="preserve"> and determined for hemophilia A patients without inhibitors, it is reasonable to expect patients to use Factor VIII as prophylaxis and for episodic bleeding and to allow use of </w:t>
            </w:r>
            <w:proofErr w:type="spellStart"/>
            <w:r w:rsidRPr="00FA3F9C">
              <w:rPr>
                <w:rFonts w:ascii="Arial" w:hAnsi="Arial" w:cs="Arial"/>
                <w:sz w:val="24"/>
                <w:szCs w:val="24"/>
              </w:rPr>
              <w:t>Hemlibra</w:t>
            </w:r>
            <w:proofErr w:type="spellEnd"/>
            <w:r w:rsidRPr="00FA3F9C">
              <w:rPr>
                <w:rFonts w:ascii="Arial" w:hAnsi="Arial" w:cs="Arial"/>
                <w:sz w:val="24"/>
                <w:szCs w:val="24"/>
              </w:rPr>
              <w:t xml:space="preserve"> for patients with inhibitors.</w:t>
            </w:r>
          </w:p>
        </w:tc>
        <w:tc>
          <w:tcPr>
            <w:tcW w:w="1885" w:type="dxa"/>
          </w:tcPr>
          <w:p w14:paraId="6F5B59B7" w14:textId="77777777" w:rsidR="001506C1" w:rsidRPr="00FA3F9C" w:rsidRDefault="001506C1" w:rsidP="006F623F">
            <w:pPr>
              <w:rPr>
                <w:rFonts w:ascii="Arial" w:hAnsi="Arial" w:cs="Arial"/>
                <w:sz w:val="24"/>
                <w:szCs w:val="24"/>
              </w:rPr>
            </w:pPr>
            <w:r w:rsidRPr="00FA3F9C">
              <w:rPr>
                <w:rFonts w:ascii="Arial" w:hAnsi="Arial" w:cs="Arial"/>
                <w:sz w:val="24"/>
                <w:szCs w:val="24"/>
              </w:rPr>
              <w:t>JJ</w:t>
            </w:r>
          </w:p>
        </w:tc>
      </w:tr>
      <w:tr w:rsidR="001506C1" w:rsidRPr="00FA3F9C" w14:paraId="15EFEC27" w14:textId="77777777" w:rsidTr="00786B5C">
        <w:tc>
          <w:tcPr>
            <w:tcW w:w="1182" w:type="dxa"/>
          </w:tcPr>
          <w:p w14:paraId="3A867F5C" w14:textId="77777777" w:rsidR="001506C1" w:rsidRPr="00FA3F9C" w:rsidRDefault="001506C1" w:rsidP="006F623F">
            <w:pPr>
              <w:rPr>
                <w:rFonts w:ascii="Arial" w:hAnsi="Arial" w:cs="Arial"/>
                <w:sz w:val="24"/>
                <w:szCs w:val="24"/>
              </w:rPr>
            </w:pPr>
            <w:r w:rsidRPr="00FA3F9C">
              <w:rPr>
                <w:rFonts w:ascii="Arial" w:hAnsi="Arial" w:cs="Arial"/>
                <w:sz w:val="24"/>
                <w:szCs w:val="24"/>
              </w:rPr>
              <w:t>07/16/2020</w:t>
            </w:r>
          </w:p>
        </w:tc>
        <w:tc>
          <w:tcPr>
            <w:tcW w:w="7723" w:type="dxa"/>
          </w:tcPr>
          <w:p w14:paraId="54D0C67C" w14:textId="77777777" w:rsidR="001506C1" w:rsidRPr="00FA3F9C" w:rsidRDefault="001506C1" w:rsidP="006F623F">
            <w:pPr>
              <w:rPr>
                <w:rFonts w:ascii="Arial" w:hAnsi="Arial" w:cs="Arial"/>
                <w:sz w:val="24"/>
                <w:szCs w:val="24"/>
              </w:rPr>
            </w:pPr>
            <w:r w:rsidRPr="00FA3F9C">
              <w:rPr>
                <w:rFonts w:ascii="Arial" w:hAnsi="Arial" w:cs="Arial"/>
                <w:sz w:val="24"/>
                <w:szCs w:val="24"/>
              </w:rPr>
              <w:t>Reviewed. No changes</w:t>
            </w:r>
          </w:p>
        </w:tc>
        <w:tc>
          <w:tcPr>
            <w:tcW w:w="1885" w:type="dxa"/>
          </w:tcPr>
          <w:p w14:paraId="685B699F" w14:textId="77777777" w:rsidR="001506C1" w:rsidRPr="00FA3F9C" w:rsidRDefault="001506C1" w:rsidP="006F623F">
            <w:pPr>
              <w:rPr>
                <w:rFonts w:ascii="Arial" w:hAnsi="Arial" w:cs="Arial"/>
                <w:sz w:val="24"/>
                <w:szCs w:val="24"/>
              </w:rPr>
            </w:pPr>
            <w:r w:rsidRPr="00FA3F9C">
              <w:rPr>
                <w:rFonts w:ascii="Arial" w:hAnsi="Arial" w:cs="Arial"/>
                <w:sz w:val="24"/>
                <w:szCs w:val="24"/>
              </w:rPr>
              <w:t>JJ</w:t>
            </w:r>
          </w:p>
        </w:tc>
      </w:tr>
      <w:tr w:rsidR="001506C1" w:rsidRPr="00FA3F9C" w14:paraId="6B5A1540" w14:textId="77777777" w:rsidTr="00786B5C">
        <w:tc>
          <w:tcPr>
            <w:tcW w:w="1182" w:type="dxa"/>
          </w:tcPr>
          <w:p w14:paraId="30436385" w14:textId="77777777" w:rsidR="001506C1" w:rsidRPr="00FA3F9C" w:rsidRDefault="001506C1" w:rsidP="006F623F">
            <w:pPr>
              <w:rPr>
                <w:rFonts w:ascii="Arial" w:hAnsi="Arial" w:cs="Arial"/>
                <w:sz w:val="24"/>
                <w:szCs w:val="24"/>
              </w:rPr>
            </w:pPr>
            <w:r w:rsidRPr="00FA3F9C">
              <w:rPr>
                <w:rFonts w:ascii="Arial" w:hAnsi="Arial" w:cs="Arial"/>
                <w:sz w:val="24"/>
                <w:szCs w:val="24"/>
              </w:rPr>
              <w:t>3/9/21</w:t>
            </w:r>
          </w:p>
        </w:tc>
        <w:tc>
          <w:tcPr>
            <w:tcW w:w="7723" w:type="dxa"/>
          </w:tcPr>
          <w:p w14:paraId="244DA682" w14:textId="77777777" w:rsidR="001506C1" w:rsidRPr="00FA3F9C" w:rsidRDefault="001506C1" w:rsidP="006F623F">
            <w:pPr>
              <w:rPr>
                <w:rFonts w:ascii="Arial" w:hAnsi="Arial" w:cs="Arial"/>
                <w:sz w:val="24"/>
                <w:szCs w:val="24"/>
              </w:rPr>
            </w:pPr>
            <w:r w:rsidRPr="00FA3F9C">
              <w:rPr>
                <w:rFonts w:ascii="Arial" w:hAnsi="Arial" w:cs="Arial"/>
                <w:sz w:val="24"/>
                <w:szCs w:val="24"/>
              </w:rPr>
              <w:t xml:space="preserve">RE-reviewed.  ICER Hemophilia A 11/2020 shows </w:t>
            </w:r>
            <w:proofErr w:type="spellStart"/>
            <w:r w:rsidRPr="00FA3F9C">
              <w:rPr>
                <w:rFonts w:ascii="Arial" w:hAnsi="Arial" w:cs="Arial"/>
                <w:sz w:val="24"/>
                <w:szCs w:val="24"/>
              </w:rPr>
              <w:t>Hemlibra</w:t>
            </w:r>
            <w:proofErr w:type="spellEnd"/>
            <w:r w:rsidRPr="00FA3F9C">
              <w:rPr>
                <w:rFonts w:ascii="Arial" w:hAnsi="Arial" w:cs="Arial"/>
                <w:sz w:val="24"/>
                <w:szCs w:val="24"/>
              </w:rPr>
              <w:t xml:space="preserve"> to range from “highly cost saving to not at all </w:t>
            </w:r>
            <w:proofErr w:type="gramStart"/>
            <w:r w:rsidRPr="00FA3F9C">
              <w:rPr>
                <w:rFonts w:ascii="Arial" w:hAnsi="Arial" w:cs="Arial"/>
                <w:sz w:val="24"/>
                <w:szCs w:val="24"/>
              </w:rPr>
              <w:t>cost</w:t>
            </w:r>
            <w:proofErr w:type="gramEnd"/>
            <w:r w:rsidRPr="00FA3F9C">
              <w:rPr>
                <w:rFonts w:ascii="Arial" w:hAnsi="Arial" w:cs="Arial"/>
                <w:sz w:val="24"/>
                <w:szCs w:val="24"/>
              </w:rPr>
              <w:t xml:space="preserve"> effective ($10,393,000/QALY), depending on factor VIII use.  Uncertainties exist. Need real world factor VIII use and the cost associated with it. Added ref 14. ICER.</w:t>
            </w:r>
          </w:p>
        </w:tc>
        <w:tc>
          <w:tcPr>
            <w:tcW w:w="1885" w:type="dxa"/>
          </w:tcPr>
          <w:p w14:paraId="51F97DC0" w14:textId="77777777" w:rsidR="001506C1" w:rsidRPr="00FA3F9C" w:rsidRDefault="001506C1" w:rsidP="006F623F">
            <w:pPr>
              <w:rPr>
                <w:rFonts w:ascii="Arial" w:hAnsi="Arial" w:cs="Arial"/>
                <w:sz w:val="24"/>
                <w:szCs w:val="24"/>
              </w:rPr>
            </w:pPr>
            <w:r w:rsidRPr="00FA3F9C">
              <w:rPr>
                <w:rFonts w:ascii="Arial" w:hAnsi="Arial" w:cs="Arial"/>
                <w:sz w:val="24"/>
                <w:szCs w:val="24"/>
              </w:rPr>
              <w:t>JJ</w:t>
            </w:r>
          </w:p>
        </w:tc>
      </w:tr>
    </w:tbl>
    <w:p w14:paraId="79EE24AB" w14:textId="77777777" w:rsidR="001506C1" w:rsidRPr="00FA3F9C" w:rsidRDefault="001506C1" w:rsidP="009B5F97">
      <w:pPr>
        <w:spacing w:after="0"/>
        <w:rPr>
          <w:rFonts w:ascii="Arial" w:hAnsi="Arial" w:cs="Arial"/>
          <w:sz w:val="24"/>
          <w:szCs w:val="24"/>
        </w:rPr>
      </w:pPr>
      <w:r w:rsidRPr="00FA3F9C">
        <w:rPr>
          <w:rFonts w:ascii="Arial" w:hAnsi="Arial" w:cs="Arial"/>
          <w:sz w:val="24"/>
          <w:szCs w:val="24"/>
        </w:rPr>
        <w:t>Ref:</w:t>
      </w:r>
    </w:p>
    <w:p w14:paraId="4001AE08" w14:textId="77777777" w:rsidR="001506C1" w:rsidRPr="00FA3F9C" w:rsidRDefault="001506C1" w:rsidP="001506C1">
      <w:pPr>
        <w:pStyle w:val="ListParagraph"/>
        <w:numPr>
          <w:ilvl w:val="0"/>
          <w:numId w:val="168"/>
        </w:numPr>
        <w:spacing w:after="0" w:line="276" w:lineRule="auto"/>
        <w:rPr>
          <w:rFonts w:ascii="Arial" w:hAnsi="Arial" w:cs="Arial"/>
          <w:sz w:val="24"/>
          <w:szCs w:val="24"/>
        </w:rPr>
      </w:pPr>
      <w:r w:rsidRPr="00FA3F9C">
        <w:rPr>
          <w:rFonts w:ascii="Arial" w:hAnsi="Arial" w:cs="Arial"/>
          <w:color w:val="222222"/>
          <w:sz w:val="24"/>
          <w:szCs w:val="24"/>
          <w:shd w:val="clear" w:color="auto" w:fill="FFFFFF"/>
        </w:rPr>
        <w:t>Oldenburg, Johannes, et al. "</w:t>
      </w:r>
      <w:proofErr w:type="spellStart"/>
      <w:r w:rsidRPr="00FA3F9C">
        <w:rPr>
          <w:rFonts w:ascii="Arial" w:hAnsi="Arial" w:cs="Arial"/>
          <w:color w:val="222222"/>
          <w:sz w:val="24"/>
          <w:szCs w:val="24"/>
          <w:shd w:val="clear" w:color="auto" w:fill="FFFFFF"/>
        </w:rPr>
        <w:t>Emicizumab</w:t>
      </w:r>
      <w:proofErr w:type="spellEnd"/>
      <w:r w:rsidRPr="00FA3F9C">
        <w:rPr>
          <w:rFonts w:ascii="Arial" w:hAnsi="Arial" w:cs="Arial"/>
          <w:color w:val="222222"/>
          <w:sz w:val="24"/>
          <w:szCs w:val="24"/>
          <w:shd w:val="clear" w:color="auto" w:fill="FFFFFF"/>
        </w:rPr>
        <w:t xml:space="preserve"> prophylaxis in hemophilia A with inhibitors." </w:t>
      </w:r>
      <w:r w:rsidRPr="00FA3F9C">
        <w:rPr>
          <w:rFonts w:ascii="Arial" w:hAnsi="Arial" w:cs="Arial"/>
          <w:i/>
          <w:iCs/>
          <w:color w:val="222222"/>
          <w:sz w:val="24"/>
          <w:szCs w:val="24"/>
          <w:shd w:val="clear" w:color="auto" w:fill="FFFFFF"/>
        </w:rPr>
        <w:t>New England Journal of Medicine</w:t>
      </w:r>
      <w:r w:rsidRPr="00FA3F9C">
        <w:rPr>
          <w:rFonts w:ascii="Arial" w:hAnsi="Arial" w:cs="Arial"/>
          <w:color w:val="222222"/>
          <w:sz w:val="24"/>
          <w:szCs w:val="24"/>
          <w:shd w:val="clear" w:color="auto" w:fill="FFFFFF"/>
        </w:rPr>
        <w:t> 377.9 (2017): 809-818. PMID 28691557 NCT02622321</w:t>
      </w:r>
    </w:p>
    <w:p w14:paraId="1B7E30C4" w14:textId="77777777" w:rsidR="001506C1" w:rsidRPr="00FA3F9C" w:rsidRDefault="001506C1" w:rsidP="001506C1">
      <w:pPr>
        <w:pStyle w:val="ListParagraph"/>
        <w:numPr>
          <w:ilvl w:val="0"/>
          <w:numId w:val="168"/>
        </w:numPr>
        <w:spacing w:after="0" w:line="276" w:lineRule="auto"/>
        <w:rPr>
          <w:rFonts w:ascii="Arial" w:hAnsi="Arial" w:cs="Arial"/>
          <w:sz w:val="24"/>
          <w:szCs w:val="24"/>
        </w:rPr>
      </w:pPr>
      <w:r w:rsidRPr="00FA3F9C">
        <w:rPr>
          <w:rFonts w:ascii="Arial" w:hAnsi="Arial" w:cs="Arial"/>
          <w:sz w:val="24"/>
          <w:szCs w:val="24"/>
        </w:rPr>
        <w:t xml:space="preserve">Oldenburg et al 2017 Supplement </w:t>
      </w:r>
      <w:hyperlink r:id="rId152" w:history="1">
        <w:r w:rsidRPr="00FA3F9C">
          <w:rPr>
            <w:rStyle w:val="Hyperlink"/>
            <w:rFonts w:ascii="Arial" w:hAnsi="Arial" w:cs="Arial"/>
            <w:sz w:val="24"/>
            <w:szCs w:val="24"/>
          </w:rPr>
          <w:t>https://www.nejm.org/doi/suppl/10.1056/NEJMoa1703068/suppl_file/nejmoa1703068_appendix.pdf</w:t>
        </w:r>
      </w:hyperlink>
      <w:r w:rsidRPr="00FA3F9C">
        <w:rPr>
          <w:rFonts w:ascii="Arial" w:hAnsi="Arial" w:cs="Arial"/>
          <w:sz w:val="24"/>
          <w:szCs w:val="24"/>
        </w:rPr>
        <w:t xml:space="preserve"> Accessed 7/24/19.</w:t>
      </w:r>
    </w:p>
    <w:p w14:paraId="53218A19" w14:textId="77777777" w:rsidR="001506C1" w:rsidRPr="00FA3F9C" w:rsidRDefault="001506C1" w:rsidP="001506C1">
      <w:pPr>
        <w:pStyle w:val="ListParagraph"/>
        <w:numPr>
          <w:ilvl w:val="0"/>
          <w:numId w:val="168"/>
        </w:numPr>
        <w:spacing w:after="0" w:line="276" w:lineRule="auto"/>
        <w:rPr>
          <w:rFonts w:ascii="Arial" w:hAnsi="Arial" w:cs="Arial"/>
          <w:sz w:val="24"/>
          <w:szCs w:val="24"/>
        </w:rPr>
      </w:pPr>
      <w:r w:rsidRPr="00FA3F9C">
        <w:rPr>
          <w:rFonts w:ascii="Arial" w:hAnsi="Arial" w:cs="Arial"/>
          <w:sz w:val="24"/>
          <w:szCs w:val="24"/>
        </w:rPr>
        <w:t xml:space="preserve">ICER Draft Report, </w:t>
      </w:r>
      <w:proofErr w:type="spellStart"/>
      <w:r w:rsidRPr="00FA3F9C">
        <w:rPr>
          <w:rFonts w:ascii="Arial" w:hAnsi="Arial" w:cs="Arial"/>
          <w:sz w:val="24"/>
          <w:szCs w:val="24"/>
        </w:rPr>
        <w:t>Emicizumab</w:t>
      </w:r>
      <w:proofErr w:type="spellEnd"/>
      <w:r w:rsidRPr="00FA3F9C">
        <w:rPr>
          <w:rFonts w:ascii="Arial" w:hAnsi="Arial" w:cs="Arial"/>
          <w:sz w:val="24"/>
          <w:szCs w:val="24"/>
        </w:rPr>
        <w:t xml:space="preserve"> for Hemophilia A. 1/26/18.  </w:t>
      </w:r>
      <w:hyperlink r:id="rId153" w:history="1">
        <w:r w:rsidRPr="00FA3F9C">
          <w:rPr>
            <w:rStyle w:val="Hyperlink"/>
            <w:rFonts w:ascii="Arial" w:hAnsi="Arial" w:cs="Arial"/>
            <w:sz w:val="24"/>
            <w:szCs w:val="24"/>
          </w:rPr>
          <w:t>https://icer-review.org/wp-content/uploads/2017/08/ICER_Hemophilia_A_Draft_Report_012618.pdf</w:t>
        </w:r>
      </w:hyperlink>
      <w:r w:rsidRPr="00FA3F9C">
        <w:rPr>
          <w:rFonts w:ascii="Arial" w:hAnsi="Arial" w:cs="Arial"/>
          <w:sz w:val="24"/>
          <w:szCs w:val="24"/>
        </w:rPr>
        <w:t xml:space="preserve"> </w:t>
      </w:r>
    </w:p>
    <w:p w14:paraId="48BBB214" w14:textId="77777777" w:rsidR="001506C1" w:rsidRPr="00FA3F9C" w:rsidRDefault="001506C1" w:rsidP="001506C1">
      <w:pPr>
        <w:pStyle w:val="ListParagraph"/>
        <w:numPr>
          <w:ilvl w:val="0"/>
          <w:numId w:val="168"/>
        </w:numPr>
        <w:spacing w:after="0" w:line="276" w:lineRule="auto"/>
        <w:rPr>
          <w:rFonts w:ascii="Arial" w:hAnsi="Arial" w:cs="Arial"/>
          <w:sz w:val="24"/>
          <w:szCs w:val="24"/>
        </w:rPr>
      </w:pPr>
      <w:r w:rsidRPr="00FA3F9C">
        <w:rPr>
          <w:rFonts w:ascii="Arial" w:hAnsi="Arial" w:cs="Arial"/>
          <w:sz w:val="24"/>
          <w:szCs w:val="24"/>
        </w:rPr>
        <w:t xml:space="preserve">Mahlangu J et al. </w:t>
      </w:r>
      <w:proofErr w:type="spellStart"/>
      <w:r w:rsidRPr="00FA3F9C">
        <w:rPr>
          <w:rFonts w:ascii="Arial" w:hAnsi="Arial" w:cs="Arial"/>
          <w:sz w:val="24"/>
          <w:szCs w:val="24"/>
        </w:rPr>
        <w:t>Emicizumab</w:t>
      </w:r>
      <w:proofErr w:type="spellEnd"/>
      <w:r w:rsidRPr="00FA3F9C">
        <w:rPr>
          <w:rFonts w:ascii="Arial" w:hAnsi="Arial" w:cs="Arial"/>
          <w:sz w:val="24"/>
          <w:szCs w:val="24"/>
        </w:rPr>
        <w:t xml:space="preserve"> Prophylaxis in Patients Who Have Hemophilia A without Inhibitors. N </w:t>
      </w:r>
      <w:proofErr w:type="spellStart"/>
      <w:r w:rsidRPr="00FA3F9C">
        <w:rPr>
          <w:rFonts w:ascii="Arial" w:hAnsi="Arial" w:cs="Arial"/>
          <w:sz w:val="24"/>
          <w:szCs w:val="24"/>
        </w:rPr>
        <w:t>Engl</w:t>
      </w:r>
      <w:proofErr w:type="spellEnd"/>
      <w:r w:rsidRPr="00FA3F9C">
        <w:rPr>
          <w:rFonts w:ascii="Arial" w:hAnsi="Arial" w:cs="Arial"/>
          <w:sz w:val="24"/>
          <w:szCs w:val="24"/>
        </w:rPr>
        <w:t xml:space="preserve"> J Med. 2018 Aug 30;379(9):811-822. </w:t>
      </w:r>
      <w:proofErr w:type="spellStart"/>
      <w:r w:rsidRPr="00FA3F9C">
        <w:rPr>
          <w:rFonts w:ascii="Arial" w:hAnsi="Arial" w:cs="Arial"/>
          <w:sz w:val="24"/>
          <w:szCs w:val="24"/>
        </w:rPr>
        <w:t>doi</w:t>
      </w:r>
      <w:proofErr w:type="spellEnd"/>
      <w:r w:rsidRPr="00FA3F9C">
        <w:rPr>
          <w:rFonts w:ascii="Arial" w:hAnsi="Arial" w:cs="Arial"/>
          <w:sz w:val="24"/>
          <w:szCs w:val="24"/>
        </w:rPr>
        <w:t>: 10.1056/NEJMoa1803550. PMID 30157389 NCT02847637</w:t>
      </w:r>
    </w:p>
    <w:p w14:paraId="63AB90AA" w14:textId="77777777" w:rsidR="001506C1" w:rsidRPr="00FA3F9C" w:rsidRDefault="001506C1" w:rsidP="001506C1">
      <w:pPr>
        <w:pStyle w:val="ListParagraph"/>
        <w:numPr>
          <w:ilvl w:val="0"/>
          <w:numId w:val="168"/>
        </w:numPr>
        <w:spacing w:after="0"/>
        <w:rPr>
          <w:rFonts w:ascii="Arial" w:hAnsi="Arial" w:cs="Arial"/>
          <w:sz w:val="24"/>
          <w:szCs w:val="24"/>
        </w:rPr>
      </w:pPr>
      <w:r w:rsidRPr="00FA3F9C">
        <w:rPr>
          <w:rFonts w:ascii="Arial" w:hAnsi="Arial" w:cs="Arial"/>
          <w:color w:val="222222"/>
          <w:sz w:val="24"/>
          <w:szCs w:val="24"/>
          <w:shd w:val="clear" w:color="auto" w:fill="FFFFFF"/>
        </w:rPr>
        <w:t>Oldenburg, Johannes, et al. "</w:t>
      </w:r>
      <w:proofErr w:type="spellStart"/>
      <w:r w:rsidRPr="00FA3F9C">
        <w:rPr>
          <w:rFonts w:ascii="Arial" w:hAnsi="Arial" w:cs="Arial"/>
          <w:color w:val="222222"/>
          <w:sz w:val="24"/>
          <w:szCs w:val="24"/>
          <w:shd w:val="clear" w:color="auto" w:fill="FFFFFF"/>
        </w:rPr>
        <w:t>Emicizumab</w:t>
      </w:r>
      <w:proofErr w:type="spellEnd"/>
      <w:r w:rsidRPr="00FA3F9C">
        <w:rPr>
          <w:rFonts w:ascii="Arial" w:hAnsi="Arial" w:cs="Arial"/>
          <w:color w:val="222222"/>
          <w:sz w:val="24"/>
          <w:szCs w:val="24"/>
          <w:shd w:val="clear" w:color="auto" w:fill="FFFFFF"/>
        </w:rPr>
        <w:t xml:space="preserve"> prophylaxis in hemophilia A with inhibitors." </w:t>
      </w:r>
      <w:r w:rsidRPr="00FA3F9C">
        <w:rPr>
          <w:rFonts w:ascii="Arial" w:hAnsi="Arial" w:cs="Arial"/>
          <w:i/>
          <w:iCs/>
          <w:color w:val="222222"/>
          <w:sz w:val="24"/>
          <w:szCs w:val="24"/>
          <w:shd w:val="clear" w:color="auto" w:fill="FFFFFF"/>
        </w:rPr>
        <w:t>New England Journal of Medicine</w:t>
      </w:r>
      <w:r w:rsidRPr="00FA3F9C">
        <w:rPr>
          <w:rFonts w:ascii="Arial" w:hAnsi="Arial" w:cs="Arial"/>
          <w:color w:val="222222"/>
          <w:sz w:val="24"/>
          <w:szCs w:val="24"/>
          <w:shd w:val="clear" w:color="auto" w:fill="FFFFFF"/>
        </w:rPr>
        <w:t> 377.9 (2017): 809-818.</w:t>
      </w:r>
    </w:p>
    <w:p w14:paraId="47D9BD13" w14:textId="77777777" w:rsidR="001506C1" w:rsidRPr="00FA3F9C" w:rsidRDefault="001506C1" w:rsidP="001506C1">
      <w:pPr>
        <w:pStyle w:val="ListParagraph"/>
        <w:numPr>
          <w:ilvl w:val="0"/>
          <w:numId w:val="168"/>
        </w:numPr>
        <w:spacing w:after="0"/>
        <w:rPr>
          <w:rFonts w:ascii="Arial" w:hAnsi="Arial" w:cs="Arial"/>
          <w:sz w:val="24"/>
          <w:szCs w:val="24"/>
        </w:rPr>
      </w:pPr>
      <w:proofErr w:type="spellStart"/>
      <w:r w:rsidRPr="00FA3F9C">
        <w:rPr>
          <w:rFonts w:ascii="Arial" w:hAnsi="Arial" w:cs="Arial"/>
          <w:sz w:val="24"/>
          <w:szCs w:val="24"/>
        </w:rPr>
        <w:t>Emicizumab</w:t>
      </w:r>
      <w:proofErr w:type="spellEnd"/>
      <w:r w:rsidRPr="00FA3F9C">
        <w:rPr>
          <w:rFonts w:ascii="Arial" w:hAnsi="Arial" w:cs="Arial"/>
          <w:sz w:val="24"/>
          <w:szCs w:val="24"/>
        </w:rPr>
        <w:t xml:space="preserve"> package insert and Lexicomp accessed 12/12/17.</w:t>
      </w:r>
    </w:p>
    <w:p w14:paraId="07374A49" w14:textId="77777777" w:rsidR="001506C1" w:rsidRPr="00FA3F9C" w:rsidRDefault="001506C1" w:rsidP="001506C1">
      <w:pPr>
        <w:pStyle w:val="ListParagraph"/>
        <w:numPr>
          <w:ilvl w:val="0"/>
          <w:numId w:val="168"/>
        </w:numPr>
        <w:spacing w:after="0"/>
        <w:rPr>
          <w:rFonts w:ascii="Arial" w:hAnsi="Arial" w:cs="Arial"/>
          <w:sz w:val="24"/>
          <w:szCs w:val="24"/>
        </w:rPr>
      </w:pPr>
      <w:proofErr w:type="spellStart"/>
      <w:r w:rsidRPr="00FA3F9C">
        <w:rPr>
          <w:rFonts w:ascii="Arial" w:hAnsi="Arial" w:cs="Arial"/>
          <w:sz w:val="24"/>
          <w:szCs w:val="24"/>
        </w:rPr>
        <w:t>Wyrwich</w:t>
      </w:r>
      <w:proofErr w:type="spellEnd"/>
      <w:r w:rsidRPr="00FA3F9C">
        <w:rPr>
          <w:rFonts w:ascii="Arial" w:hAnsi="Arial" w:cs="Arial"/>
          <w:sz w:val="24"/>
          <w:szCs w:val="24"/>
        </w:rPr>
        <w:t xml:space="preserve"> KW, Krishnan S, Poon JL, et al. Interpreting important health-related quality of life change using the </w:t>
      </w:r>
      <w:proofErr w:type="spellStart"/>
      <w:r w:rsidRPr="00FA3F9C">
        <w:rPr>
          <w:rFonts w:ascii="Arial" w:hAnsi="Arial" w:cs="Arial"/>
          <w:sz w:val="24"/>
          <w:szCs w:val="24"/>
        </w:rPr>
        <w:t>Haem-AQoL</w:t>
      </w:r>
      <w:proofErr w:type="spellEnd"/>
      <w:r w:rsidRPr="00FA3F9C">
        <w:rPr>
          <w:rFonts w:ascii="Arial" w:hAnsi="Arial" w:cs="Arial"/>
          <w:sz w:val="24"/>
          <w:szCs w:val="24"/>
        </w:rPr>
        <w:t xml:space="preserve">. </w:t>
      </w:r>
      <w:proofErr w:type="spellStart"/>
      <w:r w:rsidRPr="00FA3F9C">
        <w:rPr>
          <w:rFonts w:ascii="Arial" w:hAnsi="Arial" w:cs="Arial"/>
          <w:sz w:val="24"/>
          <w:szCs w:val="24"/>
        </w:rPr>
        <w:t>Haemophilia</w:t>
      </w:r>
      <w:proofErr w:type="spellEnd"/>
      <w:r w:rsidRPr="00FA3F9C">
        <w:rPr>
          <w:rFonts w:ascii="Arial" w:hAnsi="Arial" w:cs="Arial"/>
          <w:sz w:val="24"/>
          <w:szCs w:val="24"/>
        </w:rPr>
        <w:t xml:space="preserve"> 2015;21:578-84</w:t>
      </w:r>
    </w:p>
    <w:p w14:paraId="6F2997D3" w14:textId="77777777" w:rsidR="001506C1" w:rsidRPr="00FA3F9C" w:rsidRDefault="001506C1" w:rsidP="001506C1">
      <w:pPr>
        <w:pStyle w:val="ListParagraph"/>
        <w:numPr>
          <w:ilvl w:val="0"/>
          <w:numId w:val="168"/>
        </w:numPr>
        <w:spacing w:after="0"/>
        <w:rPr>
          <w:rFonts w:ascii="Arial" w:hAnsi="Arial" w:cs="Arial"/>
          <w:sz w:val="24"/>
          <w:szCs w:val="24"/>
        </w:rPr>
      </w:pPr>
      <w:r w:rsidRPr="00FA3F9C">
        <w:rPr>
          <w:rFonts w:ascii="Arial" w:hAnsi="Arial" w:cs="Arial"/>
          <w:sz w:val="24"/>
          <w:szCs w:val="24"/>
        </w:rPr>
        <w:t>Walters SJ, Brazier JE. Comparison of the minimally important difference for two health state utility measures: EQ-5D and SF-6D. Qual Life Res 2005;14:1523-32.</w:t>
      </w:r>
    </w:p>
    <w:p w14:paraId="29B27A88" w14:textId="77777777" w:rsidR="001506C1" w:rsidRPr="00FA3F9C" w:rsidRDefault="001506C1" w:rsidP="001506C1">
      <w:pPr>
        <w:pStyle w:val="ListParagraph"/>
        <w:numPr>
          <w:ilvl w:val="0"/>
          <w:numId w:val="168"/>
        </w:numPr>
        <w:spacing w:after="0"/>
        <w:rPr>
          <w:rFonts w:ascii="Arial" w:hAnsi="Arial" w:cs="Arial"/>
          <w:sz w:val="24"/>
          <w:szCs w:val="24"/>
        </w:rPr>
      </w:pPr>
      <w:r w:rsidRPr="00FA3F9C">
        <w:rPr>
          <w:rFonts w:ascii="Arial" w:hAnsi="Arial" w:cs="Arial"/>
          <w:sz w:val="24"/>
          <w:szCs w:val="24"/>
        </w:rPr>
        <w:lastRenderedPageBreak/>
        <w:t xml:space="preserve">Pickard AS, Neary MP, </w:t>
      </w:r>
      <w:proofErr w:type="spellStart"/>
      <w:r w:rsidRPr="00FA3F9C">
        <w:rPr>
          <w:rFonts w:ascii="Arial" w:hAnsi="Arial" w:cs="Arial"/>
          <w:sz w:val="24"/>
          <w:szCs w:val="24"/>
        </w:rPr>
        <w:t>Cella</w:t>
      </w:r>
      <w:proofErr w:type="spellEnd"/>
      <w:r w:rsidRPr="00FA3F9C">
        <w:rPr>
          <w:rFonts w:ascii="Arial" w:hAnsi="Arial" w:cs="Arial"/>
          <w:sz w:val="24"/>
          <w:szCs w:val="24"/>
        </w:rPr>
        <w:t xml:space="preserve"> D. Estimation of minimally important differences in EQ-5D utility and VAS scores in cancer. Health Qual Life Outcomes 2007;5:70</w:t>
      </w:r>
    </w:p>
    <w:p w14:paraId="3F137711" w14:textId="77777777" w:rsidR="001506C1" w:rsidRPr="00FA3F9C" w:rsidRDefault="001506C1" w:rsidP="001506C1">
      <w:pPr>
        <w:pStyle w:val="ListParagraph"/>
        <w:numPr>
          <w:ilvl w:val="0"/>
          <w:numId w:val="168"/>
        </w:numPr>
        <w:spacing w:after="0"/>
        <w:rPr>
          <w:rFonts w:ascii="Arial" w:hAnsi="Arial" w:cs="Arial"/>
          <w:sz w:val="24"/>
          <w:szCs w:val="24"/>
        </w:rPr>
      </w:pPr>
      <w:r w:rsidRPr="00FA3F9C">
        <w:rPr>
          <w:rFonts w:ascii="Arial" w:hAnsi="Arial" w:cs="Arial"/>
          <w:color w:val="222222"/>
          <w:sz w:val="24"/>
          <w:szCs w:val="24"/>
          <w:shd w:val="clear" w:color="auto" w:fill="FFFFFF"/>
        </w:rPr>
        <w:t xml:space="preserve">Hay, J. W., and Z. Y. Zhou. "Economical comparison of APCC vs. </w:t>
      </w:r>
      <w:proofErr w:type="spellStart"/>
      <w:r w:rsidRPr="00FA3F9C">
        <w:rPr>
          <w:rFonts w:ascii="Arial" w:hAnsi="Arial" w:cs="Arial"/>
          <w:color w:val="222222"/>
          <w:sz w:val="24"/>
          <w:szCs w:val="24"/>
          <w:shd w:val="clear" w:color="auto" w:fill="FFFFFF"/>
        </w:rPr>
        <w:t>rFVIIa</w:t>
      </w:r>
      <w:proofErr w:type="spellEnd"/>
      <w:r w:rsidRPr="00FA3F9C">
        <w:rPr>
          <w:rFonts w:ascii="Arial" w:hAnsi="Arial" w:cs="Arial"/>
          <w:color w:val="222222"/>
          <w:sz w:val="24"/>
          <w:szCs w:val="24"/>
          <w:shd w:val="clear" w:color="auto" w:fill="FFFFFF"/>
        </w:rPr>
        <w:t xml:space="preserve"> for mild</w:t>
      </w:r>
      <w:r w:rsidRPr="00FA3F9C">
        <w:rPr>
          <w:rFonts w:ascii="Cambria Math" w:hAnsi="Cambria Math" w:cs="Cambria Math"/>
          <w:color w:val="222222"/>
          <w:sz w:val="24"/>
          <w:szCs w:val="24"/>
          <w:shd w:val="clear" w:color="auto" w:fill="FFFFFF"/>
        </w:rPr>
        <w:t>‐</w:t>
      </w:r>
      <w:r w:rsidRPr="00FA3F9C">
        <w:rPr>
          <w:rFonts w:ascii="Arial" w:hAnsi="Arial" w:cs="Arial"/>
          <w:color w:val="222222"/>
          <w:sz w:val="24"/>
          <w:szCs w:val="24"/>
          <w:shd w:val="clear" w:color="auto" w:fill="FFFFFF"/>
        </w:rPr>
        <w:t>to</w:t>
      </w:r>
      <w:r w:rsidRPr="00FA3F9C">
        <w:rPr>
          <w:rFonts w:ascii="Cambria Math" w:hAnsi="Cambria Math" w:cs="Cambria Math"/>
          <w:color w:val="222222"/>
          <w:sz w:val="24"/>
          <w:szCs w:val="24"/>
          <w:shd w:val="clear" w:color="auto" w:fill="FFFFFF"/>
        </w:rPr>
        <w:t>‐</w:t>
      </w:r>
      <w:r w:rsidRPr="00FA3F9C">
        <w:rPr>
          <w:rFonts w:ascii="Arial" w:hAnsi="Arial" w:cs="Arial"/>
          <w:color w:val="222222"/>
          <w:sz w:val="24"/>
          <w:szCs w:val="24"/>
          <w:shd w:val="clear" w:color="auto" w:fill="FFFFFF"/>
        </w:rPr>
        <w:t xml:space="preserve">moderate bleeding episodes in </w:t>
      </w:r>
      <w:proofErr w:type="spellStart"/>
      <w:r w:rsidRPr="00FA3F9C">
        <w:rPr>
          <w:rFonts w:ascii="Arial" w:hAnsi="Arial" w:cs="Arial"/>
          <w:color w:val="222222"/>
          <w:sz w:val="24"/>
          <w:szCs w:val="24"/>
          <w:shd w:val="clear" w:color="auto" w:fill="FFFFFF"/>
        </w:rPr>
        <w:t>haemophilia</w:t>
      </w:r>
      <w:proofErr w:type="spellEnd"/>
      <w:r w:rsidRPr="00FA3F9C">
        <w:rPr>
          <w:rFonts w:ascii="Arial" w:hAnsi="Arial" w:cs="Arial"/>
          <w:color w:val="222222"/>
          <w:sz w:val="24"/>
          <w:szCs w:val="24"/>
          <w:shd w:val="clear" w:color="auto" w:fill="FFFFFF"/>
        </w:rPr>
        <w:t xml:space="preserve"> patients with inhibitors." </w:t>
      </w:r>
      <w:proofErr w:type="spellStart"/>
      <w:r w:rsidRPr="00FA3F9C">
        <w:rPr>
          <w:rFonts w:ascii="Arial" w:hAnsi="Arial" w:cs="Arial"/>
          <w:i/>
          <w:iCs/>
          <w:color w:val="222222"/>
          <w:sz w:val="24"/>
          <w:szCs w:val="24"/>
          <w:shd w:val="clear" w:color="auto" w:fill="FFFFFF"/>
        </w:rPr>
        <w:t>Haemophilia</w:t>
      </w:r>
      <w:proofErr w:type="spellEnd"/>
      <w:r w:rsidRPr="00FA3F9C">
        <w:rPr>
          <w:rFonts w:ascii="Arial" w:hAnsi="Arial" w:cs="Arial"/>
          <w:color w:val="222222"/>
          <w:sz w:val="24"/>
          <w:szCs w:val="24"/>
          <w:shd w:val="clear" w:color="auto" w:fill="FFFFFF"/>
        </w:rPr>
        <w:t> 17.5 (2011).</w:t>
      </w:r>
    </w:p>
    <w:p w14:paraId="68CBA1D6" w14:textId="77777777" w:rsidR="001506C1" w:rsidRPr="00FA3F9C" w:rsidRDefault="001506C1" w:rsidP="001506C1">
      <w:pPr>
        <w:pStyle w:val="ListParagraph"/>
        <w:numPr>
          <w:ilvl w:val="0"/>
          <w:numId w:val="168"/>
        </w:numPr>
        <w:spacing w:after="0"/>
        <w:rPr>
          <w:rFonts w:ascii="Arial" w:hAnsi="Arial" w:cs="Arial"/>
          <w:sz w:val="24"/>
          <w:szCs w:val="24"/>
        </w:rPr>
      </w:pPr>
      <w:r w:rsidRPr="00FA3F9C">
        <w:rPr>
          <w:rFonts w:ascii="Arial" w:hAnsi="Arial" w:cs="Arial"/>
          <w:color w:val="222222"/>
          <w:sz w:val="24"/>
          <w:szCs w:val="24"/>
          <w:shd w:val="clear" w:color="auto" w:fill="FFFFFF"/>
          <w:lang w:val="fr-FR"/>
        </w:rPr>
        <w:t xml:space="preserve">MINNO, MND DI, et al. </w:t>
      </w:r>
      <w:r w:rsidRPr="00FA3F9C">
        <w:rPr>
          <w:rFonts w:ascii="Arial" w:hAnsi="Arial" w:cs="Arial"/>
          <w:color w:val="222222"/>
          <w:sz w:val="24"/>
          <w:szCs w:val="24"/>
          <w:shd w:val="clear" w:color="auto" w:fill="FFFFFF"/>
        </w:rPr>
        <w:t xml:space="preserve">"Cost of care of </w:t>
      </w:r>
      <w:proofErr w:type="spellStart"/>
      <w:r w:rsidRPr="00FA3F9C">
        <w:rPr>
          <w:rFonts w:ascii="Arial" w:hAnsi="Arial" w:cs="Arial"/>
          <w:color w:val="222222"/>
          <w:sz w:val="24"/>
          <w:szCs w:val="24"/>
          <w:shd w:val="clear" w:color="auto" w:fill="FFFFFF"/>
        </w:rPr>
        <w:t>haemophilia</w:t>
      </w:r>
      <w:proofErr w:type="spellEnd"/>
      <w:r w:rsidRPr="00FA3F9C">
        <w:rPr>
          <w:rFonts w:ascii="Arial" w:hAnsi="Arial" w:cs="Arial"/>
          <w:color w:val="222222"/>
          <w:sz w:val="24"/>
          <w:szCs w:val="24"/>
          <w:shd w:val="clear" w:color="auto" w:fill="FFFFFF"/>
        </w:rPr>
        <w:t xml:space="preserve"> with inhibitors." </w:t>
      </w:r>
      <w:proofErr w:type="spellStart"/>
      <w:r w:rsidRPr="00FA3F9C">
        <w:rPr>
          <w:rFonts w:ascii="Arial" w:hAnsi="Arial" w:cs="Arial"/>
          <w:i/>
          <w:iCs/>
          <w:color w:val="222222"/>
          <w:sz w:val="24"/>
          <w:szCs w:val="24"/>
          <w:shd w:val="clear" w:color="auto" w:fill="FFFFFF"/>
        </w:rPr>
        <w:t>Haemophilia</w:t>
      </w:r>
      <w:proofErr w:type="spellEnd"/>
      <w:r w:rsidRPr="00FA3F9C">
        <w:rPr>
          <w:rFonts w:ascii="Arial" w:hAnsi="Arial" w:cs="Arial"/>
          <w:color w:val="222222"/>
          <w:sz w:val="24"/>
          <w:szCs w:val="24"/>
          <w:shd w:val="clear" w:color="auto" w:fill="FFFFFF"/>
        </w:rPr>
        <w:t> 16.1 (2010).</w:t>
      </w:r>
    </w:p>
    <w:p w14:paraId="670C86B3" w14:textId="77777777" w:rsidR="001506C1" w:rsidRPr="00FA3F9C" w:rsidRDefault="001506C1" w:rsidP="001506C1">
      <w:pPr>
        <w:pStyle w:val="ListParagraph"/>
        <w:numPr>
          <w:ilvl w:val="0"/>
          <w:numId w:val="168"/>
        </w:numPr>
        <w:spacing w:after="0"/>
        <w:rPr>
          <w:rFonts w:ascii="Arial" w:hAnsi="Arial" w:cs="Arial"/>
          <w:sz w:val="24"/>
          <w:szCs w:val="24"/>
        </w:rPr>
      </w:pPr>
      <w:r w:rsidRPr="00FA3F9C">
        <w:rPr>
          <w:rFonts w:ascii="Arial" w:hAnsi="Arial" w:cs="Arial"/>
          <w:color w:val="222222"/>
          <w:sz w:val="24"/>
          <w:szCs w:val="24"/>
          <w:shd w:val="clear" w:color="auto" w:fill="FFFFFF"/>
        </w:rPr>
        <w:t xml:space="preserve">Chen, </w:t>
      </w:r>
      <w:proofErr w:type="spellStart"/>
      <w:r w:rsidRPr="00FA3F9C">
        <w:rPr>
          <w:rFonts w:ascii="Arial" w:hAnsi="Arial" w:cs="Arial"/>
          <w:color w:val="222222"/>
          <w:sz w:val="24"/>
          <w:szCs w:val="24"/>
          <w:shd w:val="clear" w:color="auto" w:fill="FFFFFF"/>
        </w:rPr>
        <w:t>Sheh</w:t>
      </w:r>
      <w:proofErr w:type="spellEnd"/>
      <w:r w:rsidRPr="00FA3F9C">
        <w:rPr>
          <w:rFonts w:ascii="Arial" w:hAnsi="Arial" w:cs="Arial"/>
          <w:color w:val="222222"/>
          <w:sz w:val="24"/>
          <w:szCs w:val="24"/>
          <w:shd w:val="clear" w:color="auto" w:fill="FFFFFF"/>
        </w:rPr>
        <w:t>-Li. "Economic Costs of Hemophilia and the Impact of Prophylactic Treatment on Patient Management." </w:t>
      </w:r>
      <w:r w:rsidRPr="00FA3F9C">
        <w:rPr>
          <w:rFonts w:ascii="Arial" w:hAnsi="Arial" w:cs="Arial"/>
          <w:i/>
          <w:iCs/>
          <w:color w:val="222222"/>
          <w:sz w:val="24"/>
          <w:szCs w:val="24"/>
          <w:shd w:val="clear" w:color="auto" w:fill="FFFFFF"/>
        </w:rPr>
        <w:t>The American journal of managed care</w:t>
      </w:r>
      <w:r w:rsidRPr="00FA3F9C">
        <w:rPr>
          <w:rFonts w:ascii="Arial" w:hAnsi="Arial" w:cs="Arial"/>
          <w:color w:val="222222"/>
          <w:sz w:val="24"/>
          <w:szCs w:val="24"/>
          <w:shd w:val="clear" w:color="auto" w:fill="FFFFFF"/>
        </w:rPr>
        <w:t> 22.5 Suppl (2016): s126-33.</w:t>
      </w:r>
    </w:p>
    <w:p w14:paraId="669879CF" w14:textId="77777777" w:rsidR="001506C1" w:rsidRPr="00FA3F9C" w:rsidRDefault="001506C1" w:rsidP="001506C1">
      <w:pPr>
        <w:pStyle w:val="ListParagraph"/>
        <w:numPr>
          <w:ilvl w:val="0"/>
          <w:numId w:val="168"/>
        </w:numPr>
        <w:spacing w:after="0"/>
        <w:rPr>
          <w:rFonts w:ascii="Arial" w:hAnsi="Arial" w:cs="Arial"/>
          <w:sz w:val="24"/>
          <w:szCs w:val="24"/>
        </w:rPr>
      </w:pPr>
      <w:proofErr w:type="spellStart"/>
      <w:r w:rsidRPr="00FA3F9C">
        <w:rPr>
          <w:rFonts w:ascii="Arial" w:hAnsi="Arial" w:cs="Arial"/>
          <w:color w:val="222222"/>
          <w:sz w:val="24"/>
          <w:szCs w:val="24"/>
          <w:shd w:val="clear" w:color="auto" w:fill="FFFFFF"/>
        </w:rPr>
        <w:t>Guh</w:t>
      </w:r>
      <w:proofErr w:type="spellEnd"/>
      <w:r w:rsidRPr="00FA3F9C">
        <w:rPr>
          <w:rFonts w:ascii="Arial" w:hAnsi="Arial" w:cs="Arial"/>
          <w:color w:val="222222"/>
          <w:sz w:val="24"/>
          <w:szCs w:val="24"/>
          <w:shd w:val="clear" w:color="auto" w:fill="FFFFFF"/>
        </w:rPr>
        <w:t xml:space="preserve">, S., et al. "Healthcare expenditures for males with </w:t>
      </w:r>
      <w:proofErr w:type="spellStart"/>
      <w:r w:rsidRPr="00FA3F9C">
        <w:rPr>
          <w:rFonts w:ascii="Arial" w:hAnsi="Arial" w:cs="Arial"/>
          <w:color w:val="222222"/>
          <w:sz w:val="24"/>
          <w:szCs w:val="24"/>
          <w:shd w:val="clear" w:color="auto" w:fill="FFFFFF"/>
        </w:rPr>
        <w:t>haemophilia</w:t>
      </w:r>
      <w:proofErr w:type="spellEnd"/>
      <w:r w:rsidRPr="00FA3F9C">
        <w:rPr>
          <w:rFonts w:ascii="Arial" w:hAnsi="Arial" w:cs="Arial"/>
          <w:color w:val="222222"/>
          <w:sz w:val="24"/>
          <w:szCs w:val="24"/>
          <w:shd w:val="clear" w:color="auto" w:fill="FFFFFF"/>
        </w:rPr>
        <w:t xml:space="preserve"> and employer</w:t>
      </w:r>
      <w:r w:rsidRPr="00FA3F9C">
        <w:rPr>
          <w:rFonts w:ascii="Cambria Math" w:hAnsi="Cambria Math" w:cs="Cambria Math"/>
          <w:color w:val="222222"/>
          <w:sz w:val="24"/>
          <w:szCs w:val="24"/>
          <w:shd w:val="clear" w:color="auto" w:fill="FFFFFF"/>
        </w:rPr>
        <w:t>‐</w:t>
      </w:r>
      <w:r w:rsidRPr="00FA3F9C">
        <w:rPr>
          <w:rFonts w:ascii="Arial" w:hAnsi="Arial" w:cs="Arial"/>
          <w:color w:val="222222"/>
          <w:sz w:val="24"/>
          <w:szCs w:val="24"/>
          <w:shd w:val="clear" w:color="auto" w:fill="FFFFFF"/>
        </w:rPr>
        <w:t>sponsored insurance in the United States, 2008." </w:t>
      </w:r>
      <w:proofErr w:type="spellStart"/>
      <w:r w:rsidRPr="00FA3F9C">
        <w:rPr>
          <w:rFonts w:ascii="Arial" w:hAnsi="Arial" w:cs="Arial"/>
          <w:i/>
          <w:iCs/>
          <w:color w:val="222222"/>
          <w:sz w:val="24"/>
          <w:szCs w:val="24"/>
          <w:shd w:val="clear" w:color="auto" w:fill="FFFFFF"/>
        </w:rPr>
        <w:t>Haemophilia</w:t>
      </w:r>
      <w:proofErr w:type="spellEnd"/>
      <w:r w:rsidRPr="00FA3F9C">
        <w:rPr>
          <w:rFonts w:ascii="Arial" w:hAnsi="Arial" w:cs="Arial"/>
          <w:color w:val="222222"/>
          <w:sz w:val="24"/>
          <w:szCs w:val="24"/>
          <w:shd w:val="clear" w:color="auto" w:fill="FFFFFF"/>
        </w:rPr>
        <w:t> 18.2 (2012): 268-275.</w:t>
      </w:r>
    </w:p>
    <w:p w14:paraId="0285F2EA" w14:textId="77777777" w:rsidR="001506C1" w:rsidRPr="00FA3F9C" w:rsidRDefault="001506C1" w:rsidP="001506C1">
      <w:pPr>
        <w:pStyle w:val="ListParagraph"/>
        <w:numPr>
          <w:ilvl w:val="0"/>
          <w:numId w:val="168"/>
        </w:numPr>
        <w:spacing w:after="0"/>
        <w:rPr>
          <w:rFonts w:ascii="Arial" w:hAnsi="Arial" w:cs="Arial"/>
          <w:sz w:val="24"/>
          <w:szCs w:val="24"/>
        </w:rPr>
      </w:pPr>
      <w:r w:rsidRPr="00FA3F9C">
        <w:rPr>
          <w:rFonts w:ascii="Arial" w:hAnsi="Arial" w:cs="Arial"/>
          <w:sz w:val="24"/>
          <w:szCs w:val="24"/>
        </w:rPr>
        <w:t xml:space="preserve">ICER. Hemophilia A 11/2020.  </w:t>
      </w:r>
      <w:hyperlink r:id="rId154" w:history="1">
        <w:r w:rsidRPr="00FA3F9C">
          <w:rPr>
            <w:rStyle w:val="Hyperlink"/>
            <w:rFonts w:ascii="Arial" w:hAnsi="Arial" w:cs="Arial"/>
            <w:sz w:val="24"/>
            <w:szCs w:val="24"/>
          </w:rPr>
          <w:t>https://icer.org/wp-content/uploads/2020/10/ICER_Hemophilia-A_Final-Report_112020.pdf</w:t>
        </w:r>
      </w:hyperlink>
    </w:p>
    <w:p w14:paraId="67C4A005" w14:textId="77777777" w:rsidR="001506C1" w:rsidRPr="00FA3F9C" w:rsidRDefault="001506C1" w:rsidP="00786B5C">
      <w:pPr>
        <w:spacing w:after="0"/>
        <w:rPr>
          <w:rFonts w:ascii="Arial" w:hAnsi="Arial" w:cs="Arial"/>
          <w:sz w:val="24"/>
          <w:szCs w:val="24"/>
        </w:rPr>
      </w:pPr>
    </w:p>
    <w:p w14:paraId="1823BB23" w14:textId="77777777" w:rsidR="00BE7C2A" w:rsidRDefault="001506C1" w:rsidP="00BE7C2A">
      <w:pPr>
        <w:pStyle w:val="Heading2"/>
      </w:pPr>
      <w:bookmarkStart w:id="92" w:name="_Toc106369787"/>
      <w:proofErr w:type="spellStart"/>
      <w:r w:rsidRPr="00FA3F9C">
        <w:t>Encorafenib</w:t>
      </w:r>
      <w:proofErr w:type="spellEnd"/>
      <w:r w:rsidRPr="00FA3F9C">
        <w:t xml:space="preserve"> (</w:t>
      </w:r>
      <w:proofErr w:type="spellStart"/>
      <w:r w:rsidRPr="00FA3F9C">
        <w:t>Braftovi</w:t>
      </w:r>
      <w:proofErr w:type="spellEnd"/>
      <w:r w:rsidRPr="00FA3F9C">
        <w:t>)</w:t>
      </w:r>
      <w:bookmarkEnd w:id="92"/>
      <w:r w:rsidRPr="00FA3F9C">
        <w:t xml:space="preserve"> </w:t>
      </w:r>
    </w:p>
    <w:p w14:paraId="3C40C1D3" w14:textId="31A1681C" w:rsidR="001506C1" w:rsidRPr="00FA3F9C" w:rsidRDefault="001506C1" w:rsidP="00CC493D">
      <w:pPr>
        <w:spacing w:after="0"/>
        <w:jc w:val="center"/>
        <w:rPr>
          <w:rFonts w:ascii="Arial" w:hAnsi="Arial" w:cs="Arial"/>
          <w:sz w:val="24"/>
          <w:szCs w:val="24"/>
        </w:rPr>
      </w:pPr>
      <w:r w:rsidRPr="00FA3F9C">
        <w:rPr>
          <w:rFonts w:ascii="Arial" w:hAnsi="Arial" w:cs="Arial"/>
          <w:sz w:val="24"/>
          <w:szCs w:val="24"/>
        </w:rPr>
        <w:t xml:space="preserve">75 mg capsules </w:t>
      </w:r>
    </w:p>
    <w:p w14:paraId="1B58956B" w14:textId="77777777" w:rsidR="001506C1" w:rsidRPr="00FA3F9C" w:rsidRDefault="001506C1" w:rsidP="006F623F">
      <w:pPr>
        <w:spacing w:after="0"/>
        <w:jc w:val="center"/>
        <w:rPr>
          <w:rFonts w:ascii="Arial" w:hAnsi="Arial" w:cs="Arial"/>
          <w:sz w:val="24"/>
          <w:szCs w:val="24"/>
        </w:rPr>
      </w:pPr>
      <w:r w:rsidRPr="00FA3F9C">
        <w:rPr>
          <w:rFonts w:ascii="Arial" w:hAnsi="Arial" w:cs="Arial"/>
          <w:sz w:val="24"/>
          <w:szCs w:val="24"/>
        </w:rPr>
        <w:t>EBRx PA Criteria</w:t>
      </w:r>
    </w:p>
    <w:p w14:paraId="3068F493" w14:textId="77777777" w:rsidR="001506C1" w:rsidRPr="00FA3F9C" w:rsidRDefault="001506C1" w:rsidP="006F623F">
      <w:pPr>
        <w:spacing w:after="0"/>
        <w:rPr>
          <w:rFonts w:ascii="Arial" w:hAnsi="Arial" w:cs="Arial"/>
          <w:b/>
          <w:sz w:val="24"/>
          <w:szCs w:val="24"/>
          <w:u w:val="single"/>
        </w:rPr>
      </w:pPr>
    </w:p>
    <w:p w14:paraId="457B88EA" w14:textId="77777777" w:rsidR="001506C1" w:rsidRPr="00FA3F9C" w:rsidRDefault="001506C1" w:rsidP="006F623F">
      <w:pPr>
        <w:spacing w:after="0"/>
        <w:rPr>
          <w:rFonts w:ascii="Arial" w:hAnsi="Arial" w:cs="Arial"/>
          <w:sz w:val="24"/>
          <w:szCs w:val="24"/>
        </w:rPr>
      </w:pPr>
      <w:r w:rsidRPr="00FA3F9C">
        <w:rPr>
          <w:rFonts w:ascii="Arial" w:hAnsi="Arial" w:cs="Arial"/>
          <w:b/>
          <w:sz w:val="24"/>
          <w:szCs w:val="24"/>
          <w:u w:val="single"/>
        </w:rPr>
        <w:t>FDA-approved for:</w:t>
      </w:r>
      <w:r w:rsidRPr="00FA3F9C">
        <w:rPr>
          <w:rFonts w:ascii="Arial" w:hAnsi="Arial" w:cs="Arial"/>
          <w:sz w:val="24"/>
          <w:szCs w:val="24"/>
        </w:rPr>
        <w:t xml:space="preserve">  </w:t>
      </w:r>
    </w:p>
    <w:p w14:paraId="2F4046DC" w14:textId="77777777" w:rsidR="001506C1" w:rsidRPr="00FA3F9C" w:rsidRDefault="001506C1" w:rsidP="001506C1">
      <w:pPr>
        <w:pStyle w:val="ListParagraph"/>
        <w:numPr>
          <w:ilvl w:val="0"/>
          <w:numId w:val="169"/>
        </w:numPr>
        <w:spacing w:after="0" w:line="276" w:lineRule="auto"/>
        <w:rPr>
          <w:rFonts w:ascii="Arial" w:hAnsi="Arial" w:cs="Arial"/>
          <w:sz w:val="24"/>
          <w:szCs w:val="24"/>
        </w:rPr>
      </w:pPr>
      <w:r w:rsidRPr="00FA3F9C">
        <w:rPr>
          <w:rFonts w:ascii="Arial" w:hAnsi="Arial" w:cs="Arial"/>
          <w:sz w:val="24"/>
          <w:szCs w:val="24"/>
        </w:rPr>
        <w:t xml:space="preserve">Treatment of unresectable or metastatic melanoma with a BRAF V600E or V600K mutation (in combination with </w:t>
      </w:r>
      <w:proofErr w:type="spellStart"/>
      <w:r w:rsidRPr="00FA3F9C">
        <w:rPr>
          <w:rFonts w:ascii="Arial" w:hAnsi="Arial" w:cs="Arial"/>
          <w:sz w:val="24"/>
          <w:szCs w:val="24"/>
        </w:rPr>
        <w:t>binimetinib</w:t>
      </w:r>
      <w:proofErr w:type="spellEnd"/>
      <w:r w:rsidRPr="00FA3F9C">
        <w:rPr>
          <w:rFonts w:ascii="Arial" w:hAnsi="Arial" w:cs="Arial"/>
          <w:sz w:val="24"/>
          <w:szCs w:val="24"/>
        </w:rPr>
        <w:t>)</w:t>
      </w:r>
    </w:p>
    <w:p w14:paraId="4FEB3532" w14:textId="77777777" w:rsidR="001506C1" w:rsidRPr="00FA3F9C" w:rsidRDefault="001506C1" w:rsidP="001506C1">
      <w:pPr>
        <w:pStyle w:val="ListParagraph"/>
        <w:numPr>
          <w:ilvl w:val="0"/>
          <w:numId w:val="169"/>
        </w:numPr>
        <w:spacing w:after="0" w:line="276" w:lineRule="auto"/>
        <w:rPr>
          <w:rFonts w:ascii="Arial" w:hAnsi="Arial" w:cs="Arial"/>
          <w:sz w:val="24"/>
          <w:szCs w:val="24"/>
        </w:rPr>
      </w:pPr>
      <w:r w:rsidRPr="00FA3F9C">
        <w:rPr>
          <w:rFonts w:ascii="Arial" w:hAnsi="Arial" w:cs="Arial"/>
          <w:sz w:val="24"/>
          <w:szCs w:val="24"/>
        </w:rPr>
        <w:t>Treatment of adult patients with metastatic colorectal cancer (CRC) with a BRAF V600E mutation, as detected by an FDA-approved test, after prior therapy in combination with cetuximab</w:t>
      </w:r>
    </w:p>
    <w:p w14:paraId="0D649FC0" w14:textId="77777777" w:rsidR="001506C1" w:rsidRPr="00FA3F9C" w:rsidRDefault="001506C1" w:rsidP="006F623F">
      <w:pPr>
        <w:spacing w:after="0"/>
        <w:rPr>
          <w:rFonts w:ascii="Arial" w:hAnsi="Arial" w:cs="Arial"/>
          <w:sz w:val="24"/>
          <w:szCs w:val="24"/>
        </w:rPr>
      </w:pPr>
    </w:p>
    <w:tbl>
      <w:tblPr>
        <w:tblStyle w:val="TableGrid"/>
        <w:tblW w:w="0" w:type="auto"/>
        <w:tblLook w:val="04A0" w:firstRow="1" w:lastRow="0" w:firstColumn="1" w:lastColumn="0" w:noHBand="0" w:noVBand="1"/>
      </w:tblPr>
      <w:tblGrid>
        <w:gridCol w:w="8746"/>
        <w:gridCol w:w="2044"/>
      </w:tblGrid>
      <w:tr w:rsidR="001506C1" w:rsidRPr="00FA3F9C" w14:paraId="015432DF" w14:textId="77777777" w:rsidTr="006F1176">
        <w:tc>
          <w:tcPr>
            <w:tcW w:w="8746" w:type="dxa"/>
            <w:shd w:val="clear" w:color="auto" w:fill="000000"/>
          </w:tcPr>
          <w:p w14:paraId="68514165" w14:textId="77777777" w:rsidR="001506C1" w:rsidRPr="00FA3F9C" w:rsidRDefault="001506C1" w:rsidP="008D273F">
            <w:pPr>
              <w:rPr>
                <w:rFonts w:ascii="Arial" w:hAnsi="Arial" w:cs="Arial"/>
                <w:b/>
                <w:sz w:val="24"/>
                <w:szCs w:val="24"/>
                <w:u w:val="single"/>
              </w:rPr>
            </w:pPr>
            <w:r w:rsidRPr="00FA3F9C">
              <w:rPr>
                <w:rFonts w:ascii="Arial" w:hAnsi="Arial" w:cs="Arial"/>
                <w:b/>
                <w:sz w:val="24"/>
                <w:szCs w:val="24"/>
                <w:u w:val="single"/>
              </w:rPr>
              <w:t>Criteria for melanoma</w:t>
            </w:r>
          </w:p>
        </w:tc>
        <w:tc>
          <w:tcPr>
            <w:tcW w:w="2044" w:type="dxa"/>
            <w:shd w:val="clear" w:color="auto" w:fill="000000"/>
          </w:tcPr>
          <w:p w14:paraId="1046A5D2" w14:textId="77777777" w:rsidR="001506C1" w:rsidRPr="00FA3F9C" w:rsidRDefault="001506C1" w:rsidP="006F623F">
            <w:pPr>
              <w:jc w:val="center"/>
              <w:rPr>
                <w:rFonts w:ascii="Arial" w:hAnsi="Arial" w:cs="Arial"/>
                <w:b/>
                <w:sz w:val="24"/>
                <w:szCs w:val="24"/>
                <w:u w:val="single"/>
              </w:rPr>
            </w:pPr>
          </w:p>
        </w:tc>
      </w:tr>
      <w:tr w:rsidR="001506C1" w:rsidRPr="00FA3F9C" w14:paraId="45C762BF" w14:textId="77777777" w:rsidTr="006F1176">
        <w:tc>
          <w:tcPr>
            <w:tcW w:w="10790" w:type="dxa"/>
            <w:gridSpan w:val="2"/>
          </w:tcPr>
          <w:p w14:paraId="577BDC83" w14:textId="77777777" w:rsidR="001506C1" w:rsidRPr="00FA3F9C" w:rsidRDefault="001506C1" w:rsidP="006F1176">
            <w:pPr>
              <w:rPr>
                <w:rFonts w:ascii="Arial" w:hAnsi="Arial" w:cs="Arial"/>
                <w:sz w:val="24"/>
                <w:szCs w:val="24"/>
              </w:rPr>
            </w:pPr>
            <w:r w:rsidRPr="00FA3F9C">
              <w:rPr>
                <w:rFonts w:ascii="Arial" w:hAnsi="Arial" w:cs="Arial"/>
                <w:sz w:val="24"/>
                <w:szCs w:val="24"/>
              </w:rPr>
              <w:t>1. Patient must have histologically confirmed, unresectable or metastatic cutaneous melanoma or unknown primary melanoma.</w:t>
            </w:r>
          </w:p>
        </w:tc>
      </w:tr>
      <w:tr w:rsidR="001506C1" w:rsidRPr="00FA3F9C" w14:paraId="3BA38E03" w14:textId="77777777" w:rsidTr="006F1176">
        <w:tc>
          <w:tcPr>
            <w:tcW w:w="10790" w:type="dxa"/>
            <w:gridSpan w:val="2"/>
          </w:tcPr>
          <w:p w14:paraId="0D2410C2" w14:textId="77777777" w:rsidR="001506C1" w:rsidRPr="00FA3F9C" w:rsidRDefault="001506C1" w:rsidP="00CC493D">
            <w:pPr>
              <w:rPr>
                <w:rFonts w:ascii="Arial" w:hAnsi="Arial" w:cs="Arial"/>
                <w:sz w:val="24"/>
                <w:szCs w:val="24"/>
              </w:rPr>
            </w:pPr>
            <w:r w:rsidRPr="00FA3F9C">
              <w:rPr>
                <w:rFonts w:ascii="Arial" w:hAnsi="Arial" w:cs="Arial"/>
                <w:sz w:val="24"/>
                <w:szCs w:val="24"/>
              </w:rPr>
              <w:t>2. Tumor must be BRAF V600E or BRAF V600k mutation positive</w:t>
            </w:r>
          </w:p>
        </w:tc>
      </w:tr>
      <w:tr w:rsidR="001506C1" w:rsidRPr="00FA3F9C" w14:paraId="6ADE950A" w14:textId="77777777" w:rsidTr="006F1176">
        <w:tc>
          <w:tcPr>
            <w:tcW w:w="10790" w:type="dxa"/>
            <w:gridSpan w:val="2"/>
          </w:tcPr>
          <w:p w14:paraId="0C8BD106" w14:textId="77777777" w:rsidR="001506C1" w:rsidRPr="00FA3F9C" w:rsidRDefault="001506C1" w:rsidP="006F623F">
            <w:pPr>
              <w:rPr>
                <w:rFonts w:ascii="Arial" w:hAnsi="Arial" w:cs="Arial"/>
                <w:sz w:val="24"/>
                <w:szCs w:val="24"/>
              </w:rPr>
            </w:pPr>
            <w:r w:rsidRPr="00FA3F9C">
              <w:rPr>
                <w:rFonts w:ascii="Arial" w:hAnsi="Arial" w:cs="Arial"/>
                <w:sz w:val="24"/>
                <w:szCs w:val="24"/>
              </w:rPr>
              <w:t>3. Patient must be ECOG 0 or 1.</w:t>
            </w:r>
          </w:p>
        </w:tc>
      </w:tr>
      <w:tr w:rsidR="001506C1" w:rsidRPr="00FA3F9C" w14:paraId="7C1DB9EF" w14:textId="77777777" w:rsidTr="006F1176">
        <w:tc>
          <w:tcPr>
            <w:tcW w:w="10790" w:type="dxa"/>
            <w:gridSpan w:val="2"/>
          </w:tcPr>
          <w:p w14:paraId="780893DF" w14:textId="77777777" w:rsidR="001506C1" w:rsidRPr="00FA3F9C" w:rsidRDefault="001506C1" w:rsidP="006F623F">
            <w:pPr>
              <w:rPr>
                <w:rFonts w:ascii="Arial" w:hAnsi="Arial" w:cs="Arial"/>
                <w:sz w:val="24"/>
                <w:szCs w:val="24"/>
              </w:rPr>
            </w:pPr>
            <w:r w:rsidRPr="00FA3F9C">
              <w:rPr>
                <w:rFonts w:ascii="Arial" w:hAnsi="Arial" w:cs="Arial"/>
                <w:sz w:val="24"/>
                <w:szCs w:val="24"/>
              </w:rPr>
              <w:t xml:space="preserve">4. </w:t>
            </w:r>
            <w:proofErr w:type="spellStart"/>
            <w:r w:rsidRPr="00FA3F9C">
              <w:rPr>
                <w:rFonts w:ascii="Arial" w:hAnsi="Arial" w:cs="Arial"/>
                <w:sz w:val="24"/>
                <w:szCs w:val="24"/>
              </w:rPr>
              <w:t>Encorafenib</w:t>
            </w:r>
            <w:proofErr w:type="spellEnd"/>
            <w:r w:rsidRPr="00FA3F9C">
              <w:rPr>
                <w:rFonts w:ascii="Arial" w:hAnsi="Arial" w:cs="Arial"/>
                <w:sz w:val="24"/>
                <w:szCs w:val="24"/>
              </w:rPr>
              <w:t xml:space="preserve"> will be used in combination with </w:t>
            </w:r>
            <w:proofErr w:type="spellStart"/>
            <w:r w:rsidRPr="00FA3F9C">
              <w:rPr>
                <w:rFonts w:ascii="Arial" w:hAnsi="Arial" w:cs="Arial"/>
                <w:sz w:val="24"/>
                <w:szCs w:val="24"/>
              </w:rPr>
              <w:t>binimetinib</w:t>
            </w:r>
            <w:proofErr w:type="spellEnd"/>
            <w:r w:rsidRPr="00FA3F9C">
              <w:rPr>
                <w:rFonts w:ascii="Arial" w:hAnsi="Arial" w:cs="Arial"/>
                <w:sz w:val="24"/>
                <w:szCs w:val="24"/>
              </w:rPr>
              <w:t>.</w:t>
            </w:r>
          </w:p>
        </w:tc>
      </w:tr>
      <w:tr w:rsidR="001506C1" w:rsidRPr="00FA3F9C" w14:paraId="265F106E" w14:textId="77777777" w:rsidTr="006F1176">
        <w:tc>
          <w:tcPr>
            <w:tcW w:w="10790" w:type="dxa"/>
            <w:gridSpan w:val="2"/>
          </w:tcPr>
          <w:p w14:paraId="1B7303A2" w14:textId="77777777" w:rsidR="001506C1" w:rsidRPr="00FA3F9C" w:rsidRDefault="001506C1" w:rsidP="00F50A9C">
            <w:pPr>
              <w:rPr>
                <w:rFonts w:ascii="Arial" w:hAnsi="Arial" w:cs="Arial"/>
                <w:sz w:val="24"/>
                <w:szCs w:val="24"/>
              </w:rPr>
            </w:pPr>
            <w:r w:rsidRPr="00FA3F9C">
              <w:rPr>
                <w:rFonts w:ascii="Arial" w:hAnsi="Arial" w:cs="Arial"/>
                <w:sz w:val="24"/>
                <w:szCs w:val="24"/>
              </w:rPr>
              <w:t>5. No prior BRAF or MEK inhibitor</w:t>
            </w:r>
          </w:p>
        </w:tc>
      </w:tr>
      <w:tr w:rsidR="001506C1" w:rsidRPr="00FA3F9C" w14:paraId="6C3A6FCE" w14:textId="77777777" w:rsidTr="00CC493D">
        <w:trPr>
          <w:trHeight w:val="107"/>
        </w:trPr>
        <w:tc>
          <w:tcPr>
            <w:tcW w:w="10790" w:type="dxa"/>
            <w:gridSpan w:val="2"/>
            <w:tcBorders>
              <w:bottom w:val="single" w:sz="4" w:space="0" w:color="auto"/>
            </w:tcBorders>
            <w:shd w:val="clear" w:color="auto" w:fill="F2F2F2" w:themeFill="background1" w:themeFillShade="F2"/>
          </w:tcPr>
          <w:p w14:paraId="280616BE" w14:textId="77777777" w:rsidR="001506C1" w:rsidRPr="00FA3F9C" w:rsidRDefault="001506C1" w:rsidP="00CC493D">
            <w:pPr>
              <w:rPr>
                <w:rFonts w:ascii="Arial" w:hAnsi="Arial" w:cs="Arial"/>
                <w:sz w:val="24"/>
                <w:szCs w:val="24"/>
              </w:rPr>
            </w:pPr>
            <w:r w:rsidRPr="00FA3F9C">
              <w:rPr>
                <w:rFonts w:ascii="Arial" w:hAnsi="Arial" w:cs="Arial"/>
                <w:sz w:val="24"/>
                <w:szCs w:val="24"/>
              </w:rPr>
              <w:t>If all criteria met, approve for 12 months</w:t>
            </w:r>
          </w:p>
          <w:p w14:paraId="0CA33524" w14:textId="77777777" w:rsidR="001506C1" w:rsidRPr="00FA3F9C" w:rsidRDefault="001506C1" w:rsidP="008D273F">
            <w:pPr>
              <w:rPr>
                <w:rFonts w:ascii="Arial" w:hAnsi="Arial" w:cs="Arial"/>
                <w:sz w:val="24"/>
                <w:szCs w:val="24"/>
              </w:rPr>
            </w:pPr>
            <w:r w:rsidRPr="00FA3F9C">
              <w:rPr>
                <w:rFonts w:ascii="Arial" w:hAnsi="Arial" w:cs="Arial"/>
                <w:sz w:val="24"/>
                <w:szCs w:val="24"/>
              </w:rPr>
              <w:t>QL: 6 caps/day</w:t>
            </w:r>
          </w:p>
        </w:tc>
      </w:tr>
      <w:tr w:rsidR="001506C1" w:rsidRPr="00FA3F9C" w14:paraId="6A658CF7" w14:textId="77777777" w:rsidTr="00BC6678">
        <w:trPr>
          <w:trHeight w:val="107"/>
        </w:trPr>
        <w:tc>
          <w:tcPr>
            <w:tcW w:w="10790" w:type="dxa"/>
            <w:gridSpan w:val="2"/>
            <w:tcBorders>
              <w:bottom w:val="single" w:sz="4" w:space="0" w:color="auto"/>
            </w:tcBorders>
            <w:shd w:val="clear" w:color="auto" w:fill="D9D9D9" w:themeFill="background1" w:themeFillShade="D9"/>
          </w:tcPr>
          <w:p w14:paraId="18E027DA" w14:textId="77777777" w:rsidR="001506C1" w:rsidRPr="00FA3F9C" w:rsidRDefault="001506C1" w:rsidP="00CC493D">
            <w:pPr>
              <w:rPr>
                <w:rFonts w:ascii="Arial" w:hAnsi="Arial" w:cs="Arial"/>
                <w:b/>
                <w:sz w:val="24"/>
                <w:szCs w:val="24"/>
                <w:u w:val="single"/>
              </w:rPr>
            </w:pPr>
            <w:r w:rsidRPr="00FA3F9C">
              <w:rPr>
                <w:rFonts w:ascii="Arial" w:hAnsi="Arial" w:cs="Arial"/>
                <w:b/>
                <w:sz w:val="24"/>
                <w:szCs w:val="24"/>
                <w:u w:val="single"/>
              </w:rPr>
              <w:t>Note: Treatment is until progression or unacceptable toxicity.</w:t>
            </w:r>
          </w:p>
        </w:tc>
      </w:tr>
      <w:tr w:rsidR="001506C1" w:rsidRPr="00FA3F9C" w14:paraId="50EA52A7" w14:textId="77777777" w:rsidTr="00BC6678">
        <w:trPr>
          <w:trHeight w:val="1031"/>
        </w:trPr>
        <w:tc>
          <w:tcPr>
            <w:tcW w:w="10790" w:type="dxa"/>
            <w:gridSpan w:val="2"/>
            <w:tcBorders>
              <w:bottom w:val="single" w:sz="4" w:space="0" w:color="auto"/>
            </w:tcBorders>
            <w:shd w:val="clear" w:color="auto" w:fill="BFBFBF" w:themeFill="background1" w:themeFillShade="BF"/>
          </w:tcPr>
          <w:p w14:paraId="54DDD777" w14:textId="77777777" w:rsidR="001506C1" w:rsidRPr="00FA3F9C" w:rsidRDefault="001506C1" w:rsidP="006F1176">
            <w:pPr>
              <w:rPr>
                <w:rFonts w:ascii="Arial" w:hAnsi="Arial" w:cs="Arial"/>
                <w:sz w:val="24"/>
                <w:szCs w:val="24"/>
                <w:u w:val="single"/>
              </w:rPr>
            </w:pPr>
            <w:r w:rsidRPr="00FA3F9C">
              <w:rPr>
                <w:rFonts w:ascii="Arial" w:hAnsi="Arial" w:cs="Arial"/>
                <w:sz w:val="24"/>
                <w:szCs w:val="24"/>
                <w:u w:val="single"/>
              </w:rPr>
              <w:lastRenderedPageBreak/>
              <w:t xml:space="preserve">Dose </w:t>
            </w:r>
          </w:p>
          <w:p w14:paraId="5D9FD41C" w14:textId="77777777" w:rsidR="001506C1" w:rsidRPr="00FA3F9C" w:rsidRDefault="001506C1" w:rsidP="006F1176">
            <w:pPr>
              <w:rPr>
                <w:rFonts w:ascii="Arial" w:hAnsi="Arial" w:cs="Arial"/>
                <w:sz w:val="24"/>
                <w:szCs w:val="24"/>
              </w:rPr>
            </w:pPr>
            <w:r w:rsidRPr="00FA3F9C">
              <w:rPr>
                <w:rFonts w:ascii="Arial" w:hAnsi="Arial" w:cs="Arial"/>
                <w:sz w:val="24"/>
                <w:szCs w:val="24"/>
              </w:rPr>
              <w:t>-</w:t>
            </w:r>
            <w:proofErr w:type="spellStart"/>
            <w:r w:rsidRPr="00FA3F9C">
              <w:rPr>
                <w:rFonts w:ascii="Arial" w:hAnsi="Arial" w:cs="Arial"/>
                <w:sz w:val="24"/>
                <w:szCs w:val="24"/>
              </w:rPr>
              <w:t>encorafenib</w:t>
            </w:r>
            <w:proofErr w:type="spellEnd"/>
            <w:r w:rsidRPr="00FA3F9C">
              <w:rPr>
                <w:rFonts w:ascii="Arial" w:hAnsi="Arial" w:cs="Arial"/>
                <w:sz w:val="24"/>
                <w:szCs w:val="24"/>
              </w:rPr>
              <w:t xml:space="preserve"> 450mg po once daily (in combination with </w:t>
            </w:r>
            <w:proofErr w:type="spellStart"/>
            <w:r w:rsidRPr="00FA3F9C">
              <w:rPr>
                <w:rFonts w:ascii="Arial" w:hAnsi="Arial" w:cs="Arial"/>
                <w:sz w:val="24"/>
                <w:szCs w:val="24"/>
              </w:rPr>
              <w:t>binimetinib</w:t>
            </w:r>
            <w:proofErr w:type="spellEnd"/>
            <w:r w:rsidRPr="00FA3F9C">
              <w:rPr>
                <w:rFonts w:ascii="Arial" w:hAnsi="Arial" w:cs="Arial"/>
                <w:sz w:val="24"/>
                <w:szCs w:val="24"/>
              </w:rPr>
              <w:t>)</w:t>
            </w:r>
          </w:p>
          <w:p w14:paraId="579914E1" w14:textId="77777777" w:rsidR="001506C1" w:rsidRPr="00FA3F9C" w:rsidRDefault="001506C1" w:rsidP="006F1176">
            <w:pPr>
              <w:rPr>
                <w:rFonts w:ascii="Arial" w:hAnsi="Arial" w:cs="Arial"/>
                <w:sz w:val="24"/>
                <w:szCs w:val="24"/>
              </w:rPr>
            </w:pPr>
          </w:p>
          <w:p w14:paraId="26C2EC5B" w14:textId="77777777" w:rsidR="001506C1" w:rsidRPr="00FA3F9C" w:rsidRDefault="001506C1" w:rsidP="006F1176">
            <w:pPr>
              <w:rPr>
                <w:rFonts w:ascii="Arial" w:hAnsi="Arial" w:cs="Arial"/>
                <w:b/>
                <w:sz w:val="24"/>
                <w:szCs w:val="24"/>
                <w:u w:val="single"/>
              </w:rPr>
            </w:pPr>
            <w:r w:rsidRPr="00FA3F9C">
              <w:rPr>
                <w:rFonts w:ascii="Arial" w:hAnsi="Arial" w:cs="Arial"/>
                <w:b/>
                <w:sz w:val="24"/>
                <w:szCs w:val="24"/>
                <w:u w:val="single"/>
              </w:rPr>
              <w:t>Evidence:</w:t>
            </w:r>
          </w:p>
          <w:p w14:paraId="1EF23920" w14:textId="77777777" w:rsidR="001506C1" w:rsidRPr="00FA3F9C" w:rsidRDefault="001506C1" w:rsidP="006F1176">
            <w:pPr>
              <w:rPr>
                <w:rFonts w:ascii="Arial" w:hAnsi="Arial" w:cs="Arial"/>
                <w:sz w:val="24"/>
                <w:szCs w:val="24"/>
              </w:rPr>
            </w:pPr>
            <w:proofErr w:type="spellStart"/>
            <w:r w:rsidRPr="00FA3F9C">
              <w:rPr>
                <w:rFonts w:ascii="Arial" w:hAnsi="Arial" w:cs="Arial"/>
                <w:sz w:val="24"/>
                <w:szCs w:val="24"/>
              </w:rPr>
              <w:t>Encorafenib</w:t>
            </w:r>
            <w:proofErr w:type="spellEnd"/>
            <w:r w:rsidRPr="00FA3F9C">
              <w:rPr>
                <w:rFonts w:ascii="Arial" w:hAnsi="Arial" w:cs="Arial"/>
                <w:sz w:val="24"/>
                <w:szCs w:val="24"/>
              </w:rPr>
              <w:t xml:space="preserve"> + </w:t>
            </w:r>
            <w:proofErr w:type="spellStart"/>
            <w:r w:rsidRPr="00FA3F9C">
              <w:rPr>
                <w:rFonts w:ascii="Arial" w:hAnsi="Arial" w:cs="Arial"/>
                <w:sz w:val="24"/>
                <w:szCs w:val="24"/>
              </w:rPr>
              <w:t>Binimetinib</w:t>
            </w:r>
            <w:proofErr w:type="spellEnd"/>
            <w:r w:rsidRPr="00FA3F9C">
              <w:rPr>
                <w:rFonts w:ascii="Arial" w:hAnsi="Arial" w:cs="Arial"/>
                <w:sz w:val="24"/>
                <w:szCs w:val="24"/>
              </w:rPr>
              <w:t xml:space="preserve"> improved overall survival compared to vemurafenib (34 </w:t>
            </w:r>
            <w:proofErr w:type="spellStart"/>
            <w:r w:rsidRPr="00FA3F9C">
              <w:rPr>
                <w:rFonts w:ascii="Arial" w:hAnsi="Arial" w:cs="Arial"/>
                <w:sz w:val="24"/>
                <w:szCs w:val="24"/>
              </w:rPr>
              <w:t>mo</w:t>
            </w:r>
            <w:proofErr w:type="spellEnd"/>
            <w:r w:rsidRPr="00FA3F9C">
              <w:rPr>
                <w:rFonts w:ascii="Arial" w:hAnsi="Arial" w:cs="Arial"/>
                <w:sz w:val="24"/>
                <w:szCs w:val="24"/>
              </w:rPr>
              <w:t xml:space="preserve"> versus 17 </w:t>
            </w:r>
            <w:proofErr w:type="spellStart"/>
            <w:r w:rsidRPr="00FA3F9C">
              <w:rPr>
                <w:rFonts w:ascii="Arial" w:hAnsi="Arial" w:cs="Arial"/>
                <w:sz w:val="24"/>
                <w:szCs w:val="24"/>
              </w:rPr>
              <w:t>mo</w:t>
            </w:r>
            <w:proofErr w:type="spellEnd"/>
            <w:r w:rsidRPr="00FA3F9C">
              <w:rPr>
                <w:rFonts w:ascii="Arial" w:hAnsi="Arial" w:cs="Arial"/>
                <w:sz w:val="24"/>
                <w:szCs w:val="24"/>
              </w:rPr>
              <w:t xml:space="preserve">, HR 0.61 95% CI 0.47-0.79) in patients with advanced/metastatic melanoma </w:t>
            </w:r>
            <w:r w:rsidRPr="00FA3F9C">
              <w:rPr>
                <w:rFonts w:ascii="Arial" w:hAnsi="Arial" w:cs="Arial"/>
                <w:sz w:val="24"/>
                <w:szCs w:val="24"/>
                <w:u w:val="single"/>
              </w:rPr>
              <w:t>who were either treatment naïve or had progressed on or after immunotherapy</w:t>
            </w:r>
            <w:r w:rsidRPr="00FA3F9C">
              <w:rPr>
                <w:rFonts w:ascii="Arial" w:hAnsi="Arial" w:cs="Arial"/>
                <w:sz w:val="24"/>
                <w:szCs w:val="24"/>
              </w:rPr>
              <w:t>.</w:t>
            </w:r>
          </w:p>
          <w:p w14:paraId="4D8640D7" w14:textId="77777777" w:rsidR="001506C1" w:rsidRPr="00FA3F9C" w:rsidRDefault="001506C1" w:rsidP="006F1176">
            <w:pPr>
              <w:rPr>
                <w:rFonts w:ascii="Arial" w:hAnsi="Arial" w:cs="Arial"/>
                <w:sz w:val="24"/>
                <w:szCs w:val="24"/>
              </w:rPr>
            </w:pPr>
          </w:p>
          <w:p w14:paraId="32724522" w14:textId="77777777" w:rsidR="001506C1" w:rsidRPr="00FA3F9C" w:rsidRDefault="001506C1" w:rsidP="00BC6678">
            <w:pPr>
              <w:rPr>
                <w:rFonts w:ascii="Arial" w:hAnsi="Arial" w:cs="Arial"/>
                <w:sz w:val="24"/>
                <w:szCs w:val="24"/>
              </w:rPr>
            </w:pPr>
            <w:r w:rsidRPr="00FA3F9C">
              <w:rPr>
                <w:rFonts w:ascii="Arial" w:hAnsi="Arial" w:cs="Arial"/>
                <w:sz w:val="24"/>
                <w:szCs w:val="24"/>
              </w:rPr>
              <w:t>References:</w:t>
            </w:r>
          </w:p>
          <w:p w14:paraId="64D2F8B3" w14:textId="77777777" w:rsidR="001506C1" w:rsidRPr="00FA3F9C" w:rsidRDefault="00500371" w:rsidP="001506C1">
            <w:pPr>
              <w:pStyle w:val="ListParagraph"/>
              <w:framePr w:hSpace="180" w:wrap="around" w:vAnchor="text" w:hAnchor="margin" w:xAlign="center" w:y="97"/>
              <w:numPr>
                <w:ilvl w:val="0"/>
                <w:numId w:val="49"/>
              </w:numPr>
              <w:spacing w:after="160" w:line="259" w:lineRule="auto"/>
              <w:ind w:left="250" w:hanging="180"/>
              <w:rPr>
                <w:rFonts w:ascii="Arial" w:eastAsia="Times New Roman" w:hAnsi="Arial" w:cs="Arial"/>
                <w:color w:val="000000"/>
                <w:sz w:val="24"/>
                <w:szCs w:val="24"/>
              </w:rPr>
            </w:pPr>
            <w:hyperlink r:id="rId155" w:history="1">
              <w:proofErr w:type="spellStart"/>
              <w:r w:rsidR="001506C1" w:rsidRPr="00FA3F9C">
                <w:rPr>
                  <w:rFonts w:ascii="Arial" w:eastAsia="Times New Roman" w:hAnsi="Arial" w:cs="Arial"/>
                  <w:sz w:val="24"/>
                  <w:szCs w:val="24"/>
                </w:rPr>
                <w:t>Dummer</w:t>
              </w:r>
              <w:proofErr w:type="spellEnd"/>
              <w:r w:rsidR="001506C1" w:rsidRPr="00FA3F9C">
                <w:rPr>
                  <w:rFonts w:ascii="Arial" w:eastAsia="Times New Roman" w:hAnsi="Arial" w:cs="Arial"/>
                  <w:sz w:val="24"/>
                  <w:szCs w:val="24"/>
                </w:rPr>
                <w:t xml:space="preserve"> R</w:t>
              </w:r>
            </w:hyperlink>
            <w:r w:rsidR="001506C1" w:rsidRPr="00FA3F9C">
              <w:rPr>
                <w:rFonts w:ascii="Arial" w:eastAsia="Times New Roman" w:hAnsi="Arial" w:cs="Arial"/>
                <w:sz w:val="24"/>
                <w:szCs w:val="24"/>
              </w:rPr>
              <w:t xml:space="preserve"> et al. </w:t>
            </w:r>
            <w:proofErr w:type="spellStart"/>
            <w:r w:rsidR="001506C1" w:rsidRPr="00FA3F9C">
              <w:rPr>
                <w:rFonts w:ascii="Arial" w:eastAsia="Times New Roman" w:hAnsi="Arial" w:cs="Arial"/>
                <w:bCs/>
                <w:kern w:val="36"/>
                <w:sz w:val="24"/>
                <w:szCs w:val="24"/>
              </w:rPr>
              <w:t>Encorafenib</w:t>
            </w:r>
            <w:proofErr w:type="spellEnd"/>
            <w:r w:rsidR="001506C1" w:rsidRPr="00FA3F9C">
              <w:rPr>
                <w:rFonts w:ascii="Arial" w:eastAsia="Times New Roman" w:hAnsi="Arial" w:cs="Arial"/>
                <w:bCs/>
                <w:kern w:val="36"/>
                <w:sz w:val="24"/>
                <w:szCs w:val="24"/>
              </w:rPr>
              <w:t xml:space="preserve"> plus </w:t>
            </w:r>
            <w:proofErr w:type="spellStart"/>
            <w:r w:rsidR="001506C1" w:rsidRPr="00FA3F9C">
              <w:rPr>
                <w:rFonts w:ascii="Arial" w:eastAsia="Times New Roman" w:hAnsi="Arial" w:cs="Arial"/>
                <w:bCs/>
                <w:kern w:val="36"/>
                <w:sz w:val="24"/>
                <w:szCs w:val="24"/>
              </w:rPr>
              <w:t>binimetinib</w:t>
            </w:r>
            <w:proofErr w:type="spellEnd"/>
            <w:r w:rsidR="001506C1" w:rsidRPr="00FA3F9C">
              <w:rPr>
                <w:rFonts w:ascii="Arial" w:eastAsia="Times New Roman" w:hAnsi="Arial" w:cs="Arial"/>
                <w:bCs/>
                <w:kern w:val="36"/>
                <w:sz w:val="24"/>
                <w:szCs w:val="24"/>
              </w:rPr>
              <w:t xml:space="preserve"> versus vemurafenib or </w:t>
            </w:r>
            <w:proofErr w:type="spellStart"/>
            <w:r w:rsidR="001506C1" w:rsidRPr="00FA3F9C">
              <w:rPr>
                <w:rFonts w:ascii="Arial" w:eastAsia="Times New Roman" w:hAnsi="Arial" w:cs="Arial"/>
                <w:bCs/>
                <w:kern w:val="36"/>
                <w:sz w:val="24"/>
                <w:szCs w:val="24"/>
              </w:rPr>
              <w:t>encorafenib</w:t>
            </w:r>
            <w:proofErr w:type="spellEnd"/>
            <w:r w:rsidR="001506C1" w:rsidRPr="00FA3F9C">
              <w:rPr>
                <w:rFonts w:ascii="Arial" w:eastAsia="Times New Roman" w:hAnsi="Arial" w:cs="Arial"/>
                <w:bCs/>
                <w:kern w:val="36"/>
                <w:sz w:val="24"/>
                <w:szCs w:val="24"/>
              </w:rPr>
              <w:t xml:space="preserve"> in patients with BRAF-mutant melanoma (COLUMBUS): a </w:t>
            </w:r>
            <w:proofErr w:type="spellStart"/>
            <w:r w:rsidR="001506C1" w:rsidRPr="00FA3F9C">
              <w:rPr>
                <w:rFonts w:ascii="Arial" w:eastAsia="Times New Roman" w:hAnsi="Arial" w:cs="Arial"/>
                <w:bCs/>
                <w:kern w:val="36"/>
                <w:sz w:val="24"/>
                <w:szCs w:val="24"/>
              </w:rPr>
              <w:t>multicentre</w:t>
            </w:r>
            <w:proofErr w:type="spellEnd"/>
            <w:r w:rsidR="001506C1" w:rsidRPr="00FA3F9C">
              <w:rPr>
                <w:rFonts w:ascii="Arial" w:eastAsia="Times New Roman" w:hAnsi="Arial" w:cs="Arial"/>
                <w:bCs/>
                <w:kern w:val="36"/>
                <w:sz w:val="24"/>
                <w:szCs w:val="24"/>
              </w:rPr>
              <w:t xml:space="preserve">, open-label, </w:t>
            </w:r>
            <w:proofErr w:type="spellStart"/>
            <w:r w:rsidR="001506C1" w:rsidRPr="00FA3F9C">
              <w:rPr>
                <w:rFonts w:ascii="Arial" w:eastAsia="Times New Roman" w:hAnsi="Arial" w:cs="Arial"/>
                <w:bCs/>
                <w:kern w:val="36"/>
                <w:sz w:val="24"/>
                <w:szCs w:val="24"/>
              </w:rPr>
              <w:t>randomised</w:t>
            </w:r>
            <w:proofErr w:type="spellEnd"/>
            <w:r w:rsidR="001506C1" w:rsidRPr="00FA3F9C">
              <w:rPr>
                <w:rFonts w:ascii="Arial" w:eastAsia="Times New Roman" w:hAnsi="Arial" w:cs="Arial"/>
                <w:bCs/>
                <w:kern w:val="36"/>
                <w:sz w:val="24"/>
                <w:szCs w:val="24"/>
              </w:rPr>
              <w:t xml:space="preserve"> phase 3 trial.</w:t>
            </w:r>
            <w:r w:rsidR="001506C1" w:rsidRPr="00FA3F9C">
              <w:rPr>
                <w:rFonts w:ascii="Arial" w:eastAsia="Times New Roman" w:hAnsi="Arial" w:cs="Arial"/>
                <w:sz w:val="24"/>
                <w:szCs w:val="24"/>
              </w:rPr>
              <w:t xml:space="preserve"> </w:t>
            </w:r>
            <w:hyperlink r:id="rId156" w:tooltip="The Lancet. Oncology." w:history="1">
              <w:r w:rsidR="001506C1" w:rsidRPr="00FA3F9C">
                <w:rPr>
                  <w:rFonts w:ascii="Arial" w:eastAsia="Times New Roman" w:hAnsi="Arial" w:cs="Arial"/>
                  <w:sz w:val="24"/>
                  <w:szCs w:val="24"/>
                </w:rPr>
                <w:t>Lancet Oncol.</w:t>
              </w:r>
            </w:hyperlink>
            <w:r w:rsidR="001506C1" w:rsidRPr="00FA3F9C">
              <w:rPr>
                <w:rFonts w:ascii="Arial" w:eastAsia="Times New Roman" w:hAnsi="Arial" w:cs="Arial"/>
                <w:sz w:val="24"/>
                <w:szCs w:val="24"/>
              </w:rPr>
              <w:t xml:space="preserve"> 2018 May;19(5):603-615. NCT01909453 PMID 29573941</w:t>
            </w:r>
          </w:p>
          <w:p w14:paraId="0C9BD295" w14:textId="77777777" w:rsidR="001506C1" w:rsidRPr="00FA3F9C" w:rsidRDefault="00500371" w:rsidP="001506C1">
            <w:pPr>
              <w:pStyle w:val="ListParagraph"/>
              <w:numPr>
                <w:ilvl w:val="0"/>
                <w:numId w:val="49"/>
              </w:numPr>
              <w:ind w:left="250" w:hanging="180"/>
              <w:rPr>
                <w:rFonts w:ascii="Arial" w:hAnsi="Arial" w:cs="Arial"/>
                <w:sz w:val="24"/>
                <w:szCs w:val="24"/>
              </w:rPr>
            </w:pPr>
            <w:hyperlink r:id="rId157" w:history="1">
              <w:proofErr w:type="spellStart"/>
              <w:r w:rsidR="001506C1" w:rsidRPr="00FA3F9C">
                <w:rPr>
                  <w:rFonts w:ascii="Arial" w:eastAsia="Times New Roman" w:hAnsi="Arial" w:cs="Arial"/>
                  <w:sz w:val="24"/>
                  <w:szCs w:val="24"/>
                </w:rPr>
                <w:t>Dummer</w:t>
              </w:r>
              <w:proofErr w:type="spellEnd"/>
              <w:r w:rsidR="001506C1" w:rsidRPr="00FA3F9C">
                <w:rPr>
                  <w:rFonts w:ascii="Arial" w:eastAsia="Times New Roman" w:hAnsi="Arial" w:cs="Arial"/>
                  <w:sz w:val="24"/>
                  <w:szCs w:val="24"/>
                </w:rPr>
                <w:t xml:space="preserve"> R</w:t>
              </w:r>
            </w:hyperlink>
            <w:r w:rsidR="001506C1" w:rsidRPr="00FA3F9C">
              <w:rPr>
                <w:rFonts w:ascii="Arial" w:eastAsia="Times New Roman" w:hAnsi="Arial" w:cs="Arial"/>
                <w:sz w:val="24"/>
                <w:szCs w:val="24"/>
              </w:rPr>
              <w:t xml:space="preserve"> et al. </w:t>
            </w:r>
            <w:r w:rsidR="001506C1" w:rsidRPr="00FA3F9C">
              <w:rPr>
                <w:rFonts w:ascii="Arial" w:eastAsia="Times New Roman" w:hAnsi="Arial" w:cs="Arial"/>
                <w:bCs/>
                <w:kern w:val="36"/>
                <w:sz w:val="24"/>
                <w:szCs w:val="24"/>
              </w:rPr>
              <w:t xml:space="preserve">Overall survival in patients with BRAF-mutant melanoma receiving </w:t>
            </w:r>
            <w:proofErr w:type="spellStart"/>
            <w:r w:rsidR="001506C1" w:rsidRPr="00FA3F9C">
              <w:rPr>
                <w:rFonts w:ascii="Arial" w:eastAsia="Times New Roman" w:hAnsi="Arial" w:cs="Arial"/>
                <w:bCs/>
                <w:kern w:val="36"/>
                <w:sz w:val="24"/>
                <w:szCs w:val="24"/>
              </w:rPr>
              <w:t>encorafenib</w:t>
            </w:r>
            <w:proofErr w:type="spellEnd"/>
            <w:r w:rsidR="001506C1" w:rsidRPr="00FA3F9C">
              <w:rPr>
                <w:rFonts w:ascii="Arial" w:eastAsia="Times New Roman" w:hAnsi="Arial" w:cs="Arial"/>
                <w:bCs/>
                <w:kern w:val="36"/>
                <w:sz w:val="24"/>
                <w:szCs w:val="24"/>
              </w:rPr>
              <w:t xml:space="preserve"> plus </w:t>
            </w:r>
            <w:proofErr w:type="spellStart"/>
            <w:r w:rsidR="001506C1" w:rsidRPr="00FA3F9C">
              <w:rPr>
                <w:rFonts w:ascii="Arial" w:eastAsia="Times New Roman" w:hAnsi="Arial" w:cs="Arial"/>
                <w:bCs/>
                <w:kern w:val="36"/>
                <w:sz w:val="24"/>
                <w:szCs w:val="24"/>
              </w:rPr>
              <w:t>binimetinib</w:t>
            </w:r>
            <w:proofErr w:type="spellEnd"/>
            <w:r w:rsidR="001506C1" w:rsidRPr="00FA3F9C">
              <w:rPr>
                <w:rFonts w:ascii="Arial" w:eastAsia="Times New Roman" w:hAnsi="Arial" w:cs="Arial"/>
                <w:bCs/>
                <w:kern w:val="36"/>
                <w:sz w:val="24"/>
                <w:szCs w:val="24"/>
              </w:rPr>
              <w:t xml:space="preserve"> versus vemurafenib or </w:t>
            </w:r>
            <w:proofErr w:type="spellStart"/>
            <w:r w:rsidR="001506C1" w:rsidRPr="00FA3F9C">
              <w:rPr>
                <w:rFonts w:ascii="Arial" w:eastAsia="Times New Roman" w:hAnsi="Arial" w:cs="Arial"/>
                <w:bCs/>
                <w:kern w:val="36"/>
                <w:sz w:val="24"/>
                <w:szCs w:val="24"/>
              </w:rPr>
              <w:t>encorafenib</w:t>
            </w:r>
            <w:proofErr w:type="spellEnd"/>
            <w:r w:rsidR="001506C1" w:rsidRPr="00FA3F9C">
              <w:rPr>
                <w:rFonts w:ascii="Arial" w:eastAsia="Times New Roman" w:hAnsi="Arial" w:cs="Arial"/>
                <w:bCs/>
                <w:kern w:val="36"/>
                <w:sz w:val="24"/>
                <w:szCs w:val="24"/>
              </w:rPr>
              <w:t xml:space="preserve"> (COLUMBUS): a </w:t>
            </w:r>
            <w:proofErr w:type="spellStart"/>
            <w:r w:rsidR="001506C1" w:rsidRPr="00FA3F9C">
              <w:rPr>
                <w:rFonts w:ascii="Arial" w:eastAsia="Times New Roman" w:hAnsi="Arial" w:cs="Arial"/>
                <w:bCs/>
                <w:kern w:val="36"/>
                <w:sz w:val="24"/>
                <w:szCs w:val="24"/>
              </w:rPr>
              <w:t>multicentre</w:t>
            </w:r>
            <w:proofErr w:type="spellEnd"/>
            <w:r w:rsidR="001506C1" w:rsidRPr="00FA3F9C">
              <w:rPr>
                <w:rFonts w:ascii="Arial" w:eastAsia="Times New Roman" w:hAnsi="Arial" w:cs="Arial"/>
                <w:bCs/>
                <w:kern w:val="36"/>
                <w:sz w:val="24"/>
                <w:szCs w:val="24"/>
              </w:rPr>
              <w:t xml:space="preserve">, open-label, </w:t>
            </w:r>
            <w:proofErr w:type="spellStart"/>
            <w:r w:rsidR="001506C1" w:rsidRPr="00FA3F9C">
              <w:rPr>
                <w:rFonts w:ascii="Arial" w:eastAsia="Times New Roman" w:hAnsi="Arial" w:cs="Arial"/>
                <w:bCs/>
                <w:kern w:val="36"/>
                <w:sz w:val="24"/>
                <w:szCs w:val="24"/>
              </w:rPr>
              <w:t>randomised</w:t>
            </w:r>
            <w:proofErr w:type="spellEnd"/>
            <w:r w:rsidR="001506C1" w:rsidRPr="00FA3F9C">
              <w:rPr>
                <w:rFonts w:ascii="Arial" w:eastAsia="Times New Roman" w:hAnsi="Arial" w:cs="Arial"/>
                <w:bCs/>
                <w:kern w:val="36"/>
                <w:sz w:val="24"/>
                <w:szCs w:val="24"/>
              </w:rPr>
              <w:t>, phase 3 trial.</w:t>
            </w:r>
            <w:r w:rsidR="001506C1" w:rsidRPr="00FA3F9C">
              <w:rPr>
                <w:rFonts w:ascii="Arial" w:eastAsia="Times New Roman" w:hAnsi="Arial" w:cs="Arial"/>
                <w:sz w:val="24"/>
                <w:szCs w:val="24"/>
              </w:rPr>
              <w:t xml:space="preserve"> </w:t>
            </w:r>
            <w:hyperlink r:id="rId158" w:tooltip="The Lancet. Oncology." w:history="1">
              <w:r w:rsidR="001506C1" w:rsidRPr="00FA3F9C">
                <w:rPr>
                  <w:rFonts w:ascii="Arial" w:eastAsia="Times New Roman" w:hAnsi="Arial" w:cs="Arial"/>
                  <w:sz w:val="24"/>
                  <w:szCs w:val="24"/>
                </w:rPr>
                <w:t>Lancet Oncol.</w:t>
              </w:r>
            </w:hyperlink>
            <w:r w:rsidR="001506C1" w:rsidRPr="00FA3F9C">
              <w:rPr>
                <w:rFonts w:ascii="Arial" w:eastAsia="Times New Roman" w:hAnsi="Arial" w:cs="Arial"/>
                <w:sz w:val="24"/>
                <w:szCs w:val="24"/>
              </w:rPr>
              <w:t xml:space="preserve"> 2018 Oct;19(10):1315-1327. NCT01909453 PMID 30219628</w:t>
            </w:r>
          </w:p>
        </w:tc>
      </w:tr>
    </w:tbl>
    <w:p w14:paraId="4871B72B" w14:textId="77777777" w:rsidR="001506C1" w:rsidRPr="00FA3F9C" w:rsidRDefault="001506C1" w:rsidP="006F623F">
      <w:pPr>
        <w:spacing w:after="0"/>
        <w:rPr>
          <w:rFonts w:ascii="Arial" w:hAnsi="Arial" w:cs="Arial"/>
          <w:b/>
          <w:sz w:val="24"/>
          <w:szCs w:val="24"/>
          <w:u w:val="single"/>
        </w:rPr>
      </w:pPr>
    </w:p>
    <w:tbl>
      <w:tblPr>
        <w:tblStyle w:val="TableGrid"/>
        <w:tblW w:w="0" w:type="auto"/>
        <w:tblLook w:val="04A0" w:firstRow="1" w:lastRow="0" w:firstColumn="1" w:lastColumn="0" w:noHBand="0" w:noVBand="1"/>
      </w:tblPr>
      <w:tblGrid>
        <w:gridCol w:w="8746"/>
        <w:gridCol w:w="2044"/>
      </w:tblGrid>
      <w:tr w:rsidR="001506C1" w:rsidRPr="00FA3F9C" w14:paraId="5C221268" w14:textId="77777777" w:rsidTr="001A3B15">
        <w:tc>
          <w:tcPr>
            <w:tcW w:w="8746" w:type="dxa"/>
            <w:shd w:val="clear" w:color="auto" w:fill="000000"/>
          </w:tcPr>
          <w:p w14:paraId="4D8CD90B" w14:textId="77777777" w:rsidR="001506C1" w:rsidRPr="00FA3F9C" w:rsidRDefault="001506C1" w:rsidP="008D273F">
            <w:pPr>
              <w:rPr>
                <w:rFonts w:ascii="Arial" w:hAnsi="Arial" w:cs="Arial"/>
                <w:b/>
                <w:sz w:val="24"/>
                <w:szCs w:val="24"/>
                <w:u w:val="single"/>
              </w:rPr>
            </w:pPr>
            <w:r w:rsidRPr="00FA3F9C">
              <w:rPr>
                <w:rFonts w:ascii="Arial" w:hAnsi="Arial" w:cs="Arial"/>
                <w:b/>
                <w:sz w:val="24"/>
                <w:szCs w:val="24"/>
                <w:u w:val="single"/>
              </w:rPr>
              <w:t>Criteria for colorectal cancer</w:t>
            </w:r>
          </w:p>
        </w:tc>
        <w:tc>
          <w:tcPr>
            <w:tcW w:w="2044" w:type="dxa"/>
            <w:shd w:val="clear" w:color="auto" w:fill="000000"/>
          </w:tcPr>
          <w:p w14:paraId="2F6F4E78" w14:textId="77777777" w:rsidR="001506C1" w:rsidRPr="00FA3F9C" w:rsidRDefault="001506C1" w:rsidP="001A3B15">
            <w:pPr>
              <w:jc w:val="center"/>
              <w:rPr>
                <w:rFonts w:ascii="Arial" w:hAnsi="Arial" w:cs="Arial"/>
                <w:b/>
                <w:sz w:val="24"/>
                <w:szCs w:val="24"/>
                <w:u w:val="single"/>
              </w:rPr>
            </w:pPr>
          </w:p>
        </w:tc>
      </w:tr>
      <w:tr w:rsidR="001506C1" w:rsidRPr="00FA3F9C" w14:paraId="19AC728C" w14:textId="77777777" w:rsidTr="001A3B15">
        <w:tc>
          <w:tcPr>
            <w:tcW w:w="10790" w:type="dxa"/>
            <w:gridSpan w:val="2"/>
          </w:tcPr>
          <w:p w14:paraId="2228FE31" w14:textId="77777777" w:rsidR="001506C1" w:rsidRPr="00FA3F9C" w:rsidRDefault="001506C1" w:rsidP="008D273F">
            <w:pPr>
              <w:rPr>
                <w:rFonts w:ascii="Arial" w:hAnsi="Arial" w:cs="Arial"/>
                <w:sz w:val="24"/>
                <w:szCs w:val="24"/>
              </w:rPr>
            </w:pPr>
            <w:r w:rsidRPr="00FA3F9C">
              <w:rPr>
                <w:rFonts w:ascii="Arial" w:hAnsi="Arial" w:cs="Arial"/>
                <w:sz w:val="24"/>
                <w:szCs w:val="24"/>
              </w:rPr>
              <w:t>1. Patient must have histologically confirmed, unresectable or metastatic colon or rectal adenocarcinoma.</w:t>
            </w:r>
          </w:p>
        </w:tc>
      </w:tr>
      <w:tr w:rsidR="001506C1" w:rsidRPr="00FA3F9C" w14:paraId="7F3A7012" w14:textId="77777777" w:rsidTr="001A3B15">
        <w:tc>
          <w:tcPr>
            <w:tcW w:w="10790" w:type="dxa"/>
            <w:gridSpan w:val="2"/>
          </w:tcPr>
          <w:p w14:paraId="07B3290C" w14:textId="77777777" w:rsidR="001506C1" w:rsidRPr="00FA3F9C" w:rsidRDefault="001506C1" w:rsidP="00E850F1">
            <w:pPr>
              <w:rPr>
                <w:rFonts w:ascii="Arial" w:hAnsi="Arial" w:cs="Arial"/>
                <w:sz w:val="24"/>
                <w:szCs w:val="24"/>
              </w:rPr>
            </w:pPr>
            <w:r w:rsidRPr="00FA3F9C">
              <w:rPr>
                <w:rFonts w:ascii="Arial" w:hAnsi="Arial" w:cs="Arial"/>
                <w:sz w:val="24"/>
                <w:szCs w:val="24"/>
              </w:rPr>
              <w:t>2. Progression of disease on or after at least one regimen given for unresectable or metastatic disease OR relapse of disease within 6 months following adjuvant chemotherapy for localized disease</w:t>
            </w:r>
          </w:p>
        </w:tc>
      </w:tr>
      <w:tr w:rsidR="001506C1" w:rsidRPr="00FA3F9C" w14:paraId="5E0BC27F" w14:textId="77777777" w:rsidTr="001A3B15">
        <w:tc>
          <w:tcPr>
            <w:tcW w:w="10790" w:type="dxa"/>
            <w:gridSpan w:val="2"/>
          </w:tcPr>
          <w:p w14:paraId="7FEA6403" w14:textId="77777777" w:rsidR="001506C1" w:rsidRPr="00FA3F9C" w:rsidRDefault="001506C1" w:rsidP="00E850F1">
            <w:pPr>
              <w:rPr>
                <w:rFonts w:ascii="Arial" w:hAnsi="Arial" w:cs="Arial"/>
                <w:sz w:val="24"/>
                <w:szCs w:val="24"/>
              </w:rPr>
            </w:pPr>
            <w:r w:rsidRPr="00FA3F9C">
              <w:rPr>
                <w:rFonts w:ascii="Arial" w:hAnsi="Arial" w:cs="Arial"/>
                <w:sz w:val="24"/>
                <w:szCs w:val="24"/>
              </w:rPr>
              <w:t>3. No prior treatment with a BRAF inhibitor, MEK inhibitor, cetuximab, panitumumab, or other EGFR inhibitors</w:t>
            </w:r>
          </w:p>
        </w:tc>
      </w:tr>
      <w:tr w:rsidR="001506C1" w:rsidRPr="00FA3F9C" w14:paraId="7593CCA0" w14:textId="77777777" w:rsidTr="001A3B15">
        <w:tc>
          <w:tcPr>
            <w:tcW w:w="10790" w:type="dxa"/>
            <w:gridSpan w:val="2"/>
          </w:tcPr>
          <w:p w14:paraId="04316246" w14:textId="77777777" w:rsidR="001506C1" w:rsidRPr="00FA3F9C" w:rsidRDefault="001506C1" w:rsidP="00E850F1">
            <w:pPr>
              <w:rPr>
                <w:rFonts w:ascii="Arial" w:hAnsi="Arial" w:cs="Arial"/>
                <w:sz w:val="24"/>
                <w:szCs w:val="24"/>
              </w:rPr>
            </w:pPr>
            <w:r w:rsidRPr="00FA3F9C">
              <w:rPr>
                <w:rFonts w:ascii="Arial" w:hAnsi="Arial" w:cs="Arial"/>
                <w:sz w:val="24"/>
                <w:szCs w:val="24"/>
              </w:rPr>
              <w:t>4. Tumor must be BRAF V600E mutation positive</w:t>
            </w:r>
          </w:p>
        </w:tc>
      </w:tr>
      <w:tr w:rsidR="001506C1" w:rsidRPr="00FA3F9C" w14:paraId="1717A898" w14:textId="77777777" w:rsidTr="001A3B15">
        <w:tc>
          <w:tcPr>
            <w:tcW w:w="10790" w:type="dxa"/>
            <w:gridSpan w:val="2"/>
          </w:tcPr>
          <w:p w14:paraId="421E14FB" w14:textId="77777777" w:rsidR="001506C1" w:rsidRPr="00FA3F9C" w:rsidRDefault="001506C1" w:rsidP="00E850F1">
            <w:pPr>
              <w:rPr>
                <w:rFonts w:ascii="Arial" w:hAnsi="Arial" w:cs="Arial"/>
                <w:sz w:val="24"/>
                <w:szCs w:val="24"/>
              </w:rPr>
            </w:pPr>
            <w:r w:rsidRPr="00FA3F9C">
              <w:rPr>
                <w:rFonts w:ascii="Arial" w:hAnsi="Arial" w:cs="Arial"/>
                <w:sz w:val="24"/>
                <w:szCs w:val="24"/>
              </w:rPr>
              <w:t>5. Patient must have ECOG performance status of 0 or 1.</w:t>
            </w:r>
          </w:p>
        </w:tc>
      </w:tr>
      <w:tr w:rsidR="001506C1" w:rsidRPr="00FA3F9C" w14:paraId="2C5A117C" w14:textId="77777777" w:rsidTr="001A3B15">
        <w:tc>
          <w:tcPr>
            <w:tcW w:w="10790" w:type="dxa"/>
            <w:gridSpan w:val="2"/>
          </w:tcPr>
          <w:p w14:paraId="01AB86AB" w14:textId="77777777" w:rsidR="001506C1" w:rsidRPr="00FA3F9C" w:rsidRDefault="001506C1" w:rsidP="008D273F">
            <w:pPr>
              <w:rPr>
                <w:rFonts w:ascii="Arial" w:hAnsi="Arial" w:cs="Arial"/>
                <w:sz w:val="24"/>
                <w:szCs w:val="24"/>
              </w:rPr>
            </w:pPr>
            <w:r w:rsidRPr="00FA3F9C">
              <w:rPr>
                <w:rFonts w:ascii="Arial" w:hAnsi="Arial" w:cs="Arial"/>
                <w:sz w:val="24"/>
                <w:szCs w:val="24"/>
              </w:rPr>
              <w:t xml:space="preserve">6. </w:t>
            </w:r>
            <w:proofErr w:type="spellStart"/>
            <w:r w:rsidRPr="00FA3F9C">
              <w:rPr>
                <w:rFonts w:ascii="Arial" w:hAnsi="Arial" w:cs="Arial"/>
                <w:sz w:val="24"/>
                <w:szCs w:val="24"/>
              </w:rPr>
              <w:t>Encorafenib</w:t>
            </w:r>
            <w:proofErr w:type="spellEnd"/>
            <w:r w:rsidRPr="00FA3F9C">
              <w:rPr>
                <w:rFonts w:ascii="Arial" w:hAnsi="Arial" w:cs="Arial"/>
                <w:sz w:val="24"/>
                <w:szCs w:val="24"/>
              </w:rPr>
              <w:t xml:space="preserve"> will be used in combination with cetuximab (Erbitux).</w:t>
            </w:r>
          </w:p>
        </w:tc>
      </w:tr>
      <w:tr w:rsidR="001506C1" w:rsidRPr="00FA3F9C" w14:paraId="40EEAEDF" w14:textId="77777777" w:rsidTr="001A3B15">
        <w:trPr>
          <w:trHeight w:val="107"/>
        </w:trPr>
        <w:tc>
          <w:tcPr>
            <w:tcW w:w="10790" w:type="dxa"/>
            <w:gridSpan w:val="2"/>
            <w:tcBorders>
              <w:bottom w:val="single" w:sz="4" w:space="0" w:color="auto"/>
            </w:tcBorders>
            <w:shd w:val="clear" w:color="auto" w:fill="F2F2F2" w:themeFill="background1" w:themeFillShade="F2"/>
          </w:tcPr>
          <w:p w14:paraId="165D80D8" w14:textId="77777777" w:rsidR="001506C1" w:rsidRPr="00FA3F9C" w:rsidRDefault="001506C1" w:rsidP="001A3B15">
            <w:pPr>
              <w:rPr>
                <w:rFonts w:ascii="Arial" w:hAnsi="Arial" w:cs="Arial"/>
                <w:sz w:val="24"/>
                <w:szCs w:val="24"/>
              </w:rPr>
            </w:pPr>
            <w:r w:rsidRPr="00FA3F9C">
              <w:rPr>
                <w:rFonts w:ascii="Arial" w:hAnsi="Arial" w:cs="Arial"/>
                <w:sz w:val="24"/>
                <w:szCs w:val="24"/>
              </w:rPr>
              <w:t>If all criteria met, approve for 12 months</w:t>
            </w:r>
          </w:p>
          <w:p w14:paraId="1C248AD4" w14:textId="77777777" w:rsidR="001506C1" w:rsidRPr="00FA3F9C" w:rsidRDefault="001506C1" w:rsidP="001A3B15">
            <w:pPr>
              <w:rPr>
                <w:rFonts w:ascii="Arial" w:hAnsi="Arial" w:cs="Arial"/>
                <w:sz w:val="24"/>
                <w:szCs w:val="24"/>
              </w:rPr>
            </w:pPr>
            <w:r w:rsidRPr="00FA3F9C">
              <w:rPr>
                <w:rFonts w:ascii="Arial" w:hAnsi="Arial" w:cs="Arial"/>
                <w:sz w:val="24"/>
                <w:szCs w:val="24"/>
              </w:rPr>
              <w:t>QL: 4 caps/day</w:t>
            </w:r>
          </w:p>
        </w:tc>
      </w:tr>
      <w:tr w:rsidR="001506C1" w:rsidRPr="00FA3F9C" w14:paraId="5E0D6210" w14:textId="77777777" w:rsidTr="001A3B15">
        <w:trPr>
          <w:trHeight w:val="107"/>
        </w:trPr>
        <w:tc>
          <w:tcPr>
            <w:tcW w:w="10790" w:type="dxa"/>
            <w:gridSpan w:val="2"/>
            <w:tcBorders>
              <w:bottom w:val="single" w:sz="4" w:space="0" w:color="auto"/>
            </w:tcBorders>
            <w:shd w:val="clear" w:color="auto" w:fill="D9D9D9" w:themeFill="background1" w:themeFillShade="D9"/>
          </w:tcPr>
          <w:p w14:paraId="1FB78245" w14:textId="77777777" w:rsidR="001506C1" w:rsidRPr="00FA3F9C" w:rsidRDefault="001506C1" w:rsidP="001A3B15">
            <w:pPr>
              <w:rPr>
                <w:rFonts w:ascii="Arial" w:hAnsi="Arial" w:cs="Arial"/>
                <w:b/>
                <w:sz w:val="24"/>
                <w:szCs w:val="24"/>
                <w:u w:val="single"/>
              </w:rPr>
            </w:pPr>
            <w:r w:rsidRPr="00FA3F9C">
              <w:rPr>
                <w:rFonts w:ascii="Arial" w:hAnsi="Arial" w:cs="Arial"/>
                <w:b/>
                <w:sz w:val="24"/>
                <w:szCs w:val="24"/>
                <w:u w:val="single"/>
              </w:rPr>
              <w:t>Note: Treatment is until progression or unacceptable toxicity.</w:t>
            </w:r>
          </w:p>
        </w:tc>
      </w:tr>
      <w:tr w:rsidR="001506C1" w:rsidRPr="00FA3F9C" w14:paraId="36B3E9F8" w14:textId="77777777" w:rsidTr="001A3B15">
        <w:trPr>
          <w:trHeight w:val="1031"/>
        </w:trPr>
        <w:tc>
          <w:tcPr>
            <w:tcW w:w="10790" w:type="dxa"/>
            <w:gridSpan w:val="2"/>
            <w:tcBorders>
              <w:bottom w:val="single" w:sz="4" w:space="0" w:color="auto"/>
            </w:tcBorders>
            <w:shd w:val="clear" w:color="auto" w:fill="BFBFBF" w:themeFill="background1" w:themeFillShade="BF"/>
          </w:tcPr>
          <w:p w14:paraId="4277E737" w14:textId="77777777" w:rsidR="001506C1" w:rsidRPr="00FA3F9C" w:rsidRDefault="001506C1" w:rsidP="001A3B15">
            <w:pPr>
              <w:rPr>
                <w:rFonts w:ascii="Arial" w:hAnsi="Arial" w:cs="Arial"/>
                <w:sz w:val="24"/>
                <w:szCs w:val="24"/>
                <w:u w:val="single"/>
              </w:rPr>
            </w:pPr>
            <w:r w:rsidRPr="00FA3F9C">
              <w:rPr>
                <w:rFonts w:ascii="Arial" w:hAnsi="Arial" w:cs="Arial"/>
                <w:sz w:val="24"/>
                <w:szCs w:val="24"/>
                <w:u w:val="single"/>
              </w:rPr>
              <w:lastRenderedPageBreak/>
              <w:t xml:space="preserve">Dose </w:t>
            </w:r>
          </w:p>
          <w:p w14:paraId="0CEDF5EF" w14:textId="77777777" w:rsidR="001506C1" w:rsidRPr="00FA3F9C" w:rsidRDefault="001506C1" w:rsidP="001A3B15">
            <w:pPr>
              <w:rPr>
                <w:rFonts w:ascii="Arial" w:hAnsi="Arial" w:cs="Arial"/>
                <w:sz w:val="24"/>
                <w:szCs w:val="24"/>
              </w:rPr>
            </w:pPr>
            <w:r w:rsidRPr="00FA3F9C">
              <w:rPr>
                <w:rFonts w:ascii="Arial" w:hAnsi="Arial" w:cs="Arial"/>
                <w:sz w:val="24"/>
                <w:szCs w:val="24"/>
              </w:rPr>
              <w:t>-</w:t>
            </w:r>
            <w:proofErr w:type="spellStart"/>
            <w:r w:rsidRPr="00FA3F9C">
              <w:rPr>
                <w:rFonts w:ascii="Arial" w:hAnsi="Arial" w:cs="Arial"/>
                <w:sz w:val="24"/>
                <w:szCs w:val="24"/>
              </w:rPr>
              <w:t>encorafenib</w:t>
            </w:r>
            <w:proofErr w:type="spellEnd"/>
            <w:r w:rsidRPr="00FA3F9C">
              <w:rPr>
                <w:rFonts w:ascii="Arial" w:hAnsi="Arial" w:cs="Arial"/>
                <w:sz w:val="24"/>
                <w:szCs w:val="24"/>
              </w:rPr>
              <w:t xml:space="preserve"> 300 mg QD (in combination with cetuximab)</w:t>
            </w:r>
          </w:p>
          <w:p w14:paraId="20009A35" w14:textId="77777777" w:rsidR="001506C1" w:rsidRPr="00FA3F9C" w:rsidRDefault="001506C1" w:rsidP="001A3B15">
            <w:pPr>
              <w:rPr>
                <w:rFonts w:ascii="Arial" w:hAnsi="Arial" w:cs="Arial"/>
                <w:sz w:val="24"/>
                <w:szCs w:val="24"/>
              </w:rPr>
            </w:pPr>
          </w:p>
          <w:p w14:paraId="5228A890" w14:textId="77777777" w:rsidR="001506C1" w:rsidRPr="00FA3F9C" w:rsidRDefault="001506C1" w:rsidP="001A3B15">
            <w:pPr>
              <w:rPr>
                <w:rFonts w:ascii="Arial" w:hAnsi="Arial" w:cs="Arial"/>
                <w:b/>
                <w:sz w:val="24"/>
                <w:szCs w:val="24"/>
                <w:u w:val="single"/>
              </w:rPr>
            </w:pPr>
            <w:r w:rsidRPr="00FA3F9C">
              <w:rPr>
                <w:rFonts w:ascii="Arial" w:hAnsi="Arial" w:cs="Arial"/>
                <w:b/>
                <w:sz w:val="24"/>
                <w:szCs w:val="24"/>
                <w:u w:val="single"/>
              </w:rPr>
              <w:t>Evidence:</w:t>
            </w:r>
          </w:p>
          <w:p w14:paraId="7CD776D3" w14:textId="77777777" w:rsidR="001506C1" w:rsidRPr="00FA3F9C" w:rsidRDefault="001506C1" w:rsidP="00186737">
            <w:pPr>
              <w:rPr>
                <w:rFonts w:ascii="Arial" w:hAnsi="Arial" w:cs="Arial"/>
                <w:sz w:val="24"/>
                <w:szCs w:val="24"/>
              </w:rPr>
            </w:pPr>
            <w:r w:rsidRPr="00FA3F9C">
              <w:rPr>
                <w:rFonts w:ascii="Arial" w:hAnsi="Arial" w:cs="Arial"/>
                <w:sz w:val="24"/>
                <w:szCs w:val="24"/>
              </w:rPr>
              <w:t xml:space="preserve">Patients (n=665) meeting the above criteria were randomized to either </w:t>
            </w:r>
            <w:proofErr w:type="spellStart"/>
            <w:r w:rsidRPr="00FA3F9C">
              <w:rPr>
                <w:rFonts w:ascii="Arial" w:hAnsi="Arial" w:cs="Arial"/>
                <w:sz w:val="24"/>
                <w:szCs w:val="24"/>
              </w:rPr>
              <w:t>encorafenib</w:t>
            </w:r>
            <w:proofErr w:type="spellEnd"/>
            <w:r w:rsidRPr="00FA3F9C">
              <w:rPr>
                <w:rFonts w:ascii="Arial" w:hAnsi="Arial" w:cs="Arial"/>
                <w:sz w:val="24"/>
                <w:szCs w:val="24"/>
              </w:rPr>
              <w:t>/</w:t>
            </w:r>
            <w:proofErr w:type="spellStart"/>
            <w:r w:rsidRPr="00FA3F9C">
              <w:rPr>
                <w:rFonts w:ascii="Arial" w:hAnsi="Arial" w:cs="Arial"/>
                <w:sz w:val="24"/>
                <w:szCs w:val="24"/>
              </w:rPr>
              <w:t>binimetinib</w:t>
            </w:r>
            <w:proofErr w:type="spellEnd"/>
            <w:r w:rsidRPr="00FA3F9C">
              <w:rPr>
                <w:rFonts w:ascii="Arial" w:hAnsi="Arial" w:cs="Arial"/>
                <w:sz w:val="24"/>
                <w:szCs w:val="24"/>
              </w:rPr>
              <w:t xml:space="preserve">/cetuximab (triplet), </w:t>
            </w:r>
            <w:proofErr w:type="spellStart"/>
            <w:r w:rsidRPr="00FA3F9C">
              <w:rPr>
                <w:rFonts w:ascii="Arial" w:hAnsi="Arial" w:cs="Arial"/>
                <w:sz w:val="24"/>
                <w:szCs w:val="24"/>
              </w:rPr>
              <w:t>encorafenib</w:t>
            </w:r>
            <w:proofErr w:type="spellEnd"/>
            <w:r w:rsidRPr="00FA3F9C">
              <w:rPr>
                <w:rFonts w:ascii="Arial" w:hAnsi="Arial" w:cs="Arial"/>
                <w:sz w:val="24"/>
                <w:szCs w:val="24"/>
              </w:rPr>
              <w:t xml:space="preserve">/cetuximab (doublet), or standard chemotherapy. Both the triplet and doublet regimens improved overall survival compared to standard chemo with median overall survivals of 9 </w:t>
            </w:r>
            <w:proofErr w:type="spellStart"/>
            <w:r w:rsidRPr="00FA3F9C">
              <w:rPr>
                <w:rFonts w:ascii="Arial" w:hAnsi="Arial" w:cs="Arial"/>
                <w:sz w:val="24"/>
                <w:szCs w:val="24"/>
              </w:rPr>
              <w:t>mo</w:t>
            </w:r>
            <w:proofErr w:type="spellEnd"/>
            <w:r w:rsidRPr="00FA3F9C">
              <w:rPr>
                <w:rFonts w:ascii="Arial" w:hAnsi="Arial" w:cs="Arial"/>
                <w:sz w:val="24"/>
                <w:szCs w:val="24"/>
              </w:rPr>
              <w:t xml:space="preserve">, 8.4, </w:t>
            </w:r>
            <w:proofErr w:type="spellStart"/>
            <w:r w:rsidRPr="00FA3F9C">
              <w:rPr>
                <w:rFonts w:ascii="Arial" w:hAnsi="Arial" w:cs="Arial"/>
                <w:sz w:val="24"/>
                <w:szCs w:val="24"/>
              </w:rPr>
              <w:t>mo</w:t>
            </w:r>
            <w:proofErr w:type="spellEnd"/>
            <w:r w:rsidRPr="00FA3F9C">
              <w:rPr>
                <w:rFonts w:ascii="Arial" w:hAnsi="Arial" w:cs="Arial"/>
                <w:sz w:val="24"/>
                <w:szCs w:val="24"/>
              </w:rPr>
              <w:t xml:space="preserve"> and 5.4 mo. Incidence of grade ¾ toxicity was also less in the doublet group compared to control (50% vs 61%). There was no significant difference in overall survival between the doublet and triplet groups. </w:t>
            </w:r>
            <w:r w:rsidRPr="00FA3F9C">
              <w:rPr>
                <w:rFonts w:ascii="Arial" w:hAnsi="Arial" w:cs="Arial"/>
                <w:sz w:val="24"/>
                <w:szCs w:val="24"/>
                <w:vertAlign w:val="superscript"/>
              </w:rPr>
              <w:t>1</w:t>
            </w:r>
          </w:p>
          <w:p w14:paraId="70F666AC" w14:textId="77777777" w:rsidR="001506C1" w:rsidRPr="00FA3F9C" w:rsidRDefault="001506C1" w:rsidP="00186737">
            <w:pPr>
              <w:rPr>
                <w:rFonts w:ascii="Arial" w:hAnsi="Arial" w:cs="Arial"/>
                <w:sz w:val="24"/>
                <w:szCs w:val="24"/>
              </w:rPr>
            </w:pPr>
          </w:p>
          <w:p w14:paraId="37CDD596" w14:textId="77777777" w:rsidR="001506C1" w:rsidRPr="00FA3F9C" w:rsidRDefault="001506C1" w:rsidP="00186737">
            <w:pPr>
              <w:rPr>
                <w:rFonts w:ascii="Arial" w:hAnsi="Arial" w:cs="Arial"/>
                <w:sz w:val="24"/>
                <w:szCs w:val="24"/>
              </w:rPr>
            </w:pPr>
            <w:r w:rsidRPr="00FA3F9C">
              <w:rPr>
                <w:rFonts w:ascii="Arial" w:hAnsi="Arial" w:cs="Arial"/>
                <w:sz w:val="24"/>
                <w:szCs w:val="24"/>
              </w:rPr>
              <w:t>The doublet and triplet regimens also led to a statistically significant reduction of risk for deterioration of quality of life (measured by EORTC QLQ C30 and FACT C assessments) compared to chemotherapy per ASCO meeting abstract.</w:t>
            </w:r>
            <w:r w:rsidRPr="00FA3F9C">
              <w:rPr>
                <w:rFonts w:ascii="Arial" w:hAnsi="Arial" w:cs="Arial"/>
                <w:sz w:val="24"/>
                <w:szCs w:val="24"/>
                <w:vertAlign w:val="superscript"/>
              </w:rPr>
              <w:t>2</w:t>
            </w:r>
          </w:p>
          <w:p w14:paraId="6E87B421" w14:textId="77777777" w:rsidR="001506C1" w:rsidRPr="00FA3F9C" w:rsidRDefault="001506C1" w:rsidP="001A3B15">
            <w:pPr>
              <w:rPr>
                <w:rFonts w:ascii="Arial" w:hAnsi="Arial" w:cs="Arial"/>
                <w:sz w:val="24"/>
                <w:szCs w:val="24"/>
              </w:rPr>
            </w:pPr>
          </w:p>
          <w:p w14:paraId="6716519E" w14:textId="77777777" w:rsidR="001506C1" w:rsidRPr="00FA3F9C" w:rsidRDefault="001506C1" w:rsidP="008D273F">
            <w:pPr>
              <w:rPr>
                <w:rFonts w:ascii="Arial" w:hAnsi="Arial" w:cs="Arial"/>
                <w:sz w:val="24"/>
                <w:szCs w:val="24"/>
              </w:rPr>
            </w:pPr>
            <w:r w:rsidRPr="00FA3F9C">
              <w:rPr>
                <w:rFonts w:ascii="Arial" w:hAnsi="Arial" w:cs="Arial"/>
                <w:sz w:val="24"/>
                <w:szCs w:val="24"/>
              </w:rPr>
              <w:t>Reference:</w:t>
            </w:r>
          </w:p>
          <w:p w14:paraId="5E460F83" w14:textId="77777777" w:rsidR="001506C1" w:rsidRPr="00FA3F9C" w:rsidRDefault="001506C1" w:rsidP="008D273F">
            <w:pPr>
              <w:rPr>
                <w:rFonts w:ascii="Arial" w:hAnsi="Arial" w:cs="Arial"/>
                <w:sz w:val="24"/>
                <w:szCs w:val="24"/>
              </w:rPr>
            </w:pPr>
            <w:r w:rsidRPr="00FA3F9C">
              <w:rPr>
                <w:rFonts w:ascii="Arial" w:hAnsi="Arial" w:cs="Arial"/>
                <w:sz w:val="24"/>
                <w:szCs w:val="24"/>
              </w:rPr>
              <w:t xml:space="preserve">1. </w:t>
            </w:r>
            <w:proofErr w:type="spellStart"/>
            <w:r w:rsidRPr="00FA3F9C">
              <w:rPr>
                <w:rFonts w:ascii="Arial" w:hAnsi="Arial" w:cs="Arial"/>
                <w:sz w:val="24"/>
                <w:szCs w:val="24"/>
              </w:rPr>
              <w:t>Kopetz</w:t>
            </w:r>
            <w:proofErr w:type="spellEnd"/>
            <w:r w:rsidRPr="00FA3F9C">
              <w:rPr>
                <w:rFonts w:ascii="Arial" w:hAnsi="Arial" w:cs="Arial"/>
                <w:sz w:val="24"/>
                <w:szCs w:val="24"/>
              </w:rPr>
              <w:t>, Scott et al. “</w:t>
            </w:r>
            <w:proofErr w:type="spellStart"/>
            <w:r w:rsidRPr="00FA3F9C">
              <w:rPr>
                <w:rFonts w:ascii="Arial" w:hAnsi="Arial" w:cs="Arial"/>
                <w:sz w:val="24"/>
                <w:szCs w:val="24"/>
              </w:rPr>
              <w:t>Encorafenib</w:t>
            </w:r>
            <w:proofErr w:type="spellEnd"/>
            <w:r w:rsidRPr="00FA3F9C">
              <w:rPr>
                <w:rFonts w:ascii="Arial" w:hAnsi="Arial" w:cs="Arial"/>
                <w:sz w:val="24"/>
                <w:szCs w:val="24"/>
              </w:rPr>
              <w:t xml:space="preserve">, </w:t>
            </w:r>
            <w:proofErr w:type="spellStart"/>
            <w:r w:rsidRPr="00FA3F9C">
              <w:rPr>
                <w:rFonts w:ascii="Arial" w:hAnsi="Arial" w:cs="Arial"/>
                <w:sz w:val="24"/>
                <w:szCs w:val="24"/>
              </w:rPr>
              <w:t>Binimetinib</w:t>
            </w:r>
            <w:proofErr w:type="spellEnd"/>
            <w:r w:rsidRPr="00FA3F9C">
              <w:rPr>
                <w:rFonts w:ascii="Arial" w:hAnsi="Arial" w:cs="Arial"/>
                <w:sz w:val="24"/>
                <w:szCs w:val="24"/>
              </w:rPr>
              <w:t>, and Cetuximab in BRAF V600E-Mutated Colorectal Cancer.” The New England journal of medicine vol. 381,17 (2019): 1632-1643. doi:10.1056/NEJMoa1908075 ]PMID 31566309, NCT02928224]</w:t>
            </w:r>
          </w:p>
          <w:p w14:paraId="40CDEAC2" w14:textId="77777777" w:rsidR="001506C1" w:rsidRPr="00FA3F9C" w:rsidRDefault="001506C1" w:rsidP="008D273F">
            <w:pPr>
              <w:rPr>
                <w:rFonts w:ascii="Arial" w:hAnsi="Arial" w:cs="Arial"/>
                <w:sz w:val="24"/>
                <w:szCs w:val="24"/>
              </w:rPr>
            </w:pPr>
            <w:r w:rsidRPr="00FA3F9C">
              <w:rPr>
                <w:rFonts w:ascii="Arial" w:hAnsi="Arial" w:cs="Arial"/>
                <w:sz w:val="24"/>
                <w:szCs w:val="24"/>
              </w:rPr>
              <w:t xml:space="preserve">2. </w:t>
            </w:r>
            <w:proofErr w:type="spellStart"/>
            <w:r w:rsidRPr="00FA3F9C">
              <w:rPr>
                <w:rFonts w:ascii="Arial" w:hAnsi="Arial" w:cs="Arial"/>
                <w:sz w:val="24"/>
                <w:szCs w:val="24"/>
              </w:rPr>
              <w:t>Kopetz</w:t>
            </w:r>
            <w:proofErr w:type="spellEnd"/>
            <w:r w:rsidRPr="00FA3F9C">
              <w:rPr>
                <w:rFonts w:ascii="Arial" w:hAnsi="Arial" w:cs="Arial"/>
                <w:sz w:val="24"/>
                <w:szCs w:val="24"/>
              </w:rPr>
              <w:t xml:space="preserve"> S et al. </w:t>
            </w:r>
            <w:proofErr w:type="spellStart"/>
            <w:r w:rsidRPr="00FA3F9C">
              <w:rPr>
                <w:rFonts w:ascii="Arial" w:hAnsi="Arial" w:cs="Arial"/>
                <w:sz w:val="24"/>
                <w:szCs w:val="24"/>
              </w:rPr>
              <w:t>Encorafenib</w:t>
            </w:r>
            <w:proofErr w:type="spellEnd"/>
            <w:r w:rsidRPr="00FA3F9C">
              <w:rPr>
                <w:rFonts w:ascii="Arial" w:hAnsi="Arial" w:cs="Arial"/>
                <w:sz w:val="24"/>
                <w:szCs w:val="24"/>
              </w:rPr>
              <w:t xml:space="preserve"> plus cetuximab with or without </w:t>
            </w:r>
            <w:proofErr w:type="spellStart"/>
            <w:r w:rsidRPr="00FA3F9C">
              <w:rPr>
                <w:rFonts w:ascii="Arial" w:hAnsi="Arial" w:cs="Arial"/>
                <w:sz w:val="24"/>
                <w:szCs w:val="24"/>
              </w:rPr>
              <w:t>binimetinib</w:t>
            </w:r>
            <w:proofErr w:type="spellEnd"/>
            <w:r w:rsidRPr="00FA3F9C">
              <w:rPr>
                <w:rFonts w:ascii="Arial" w:hAnsi="Arial" w:cs="Arial"/>
                <w:sz w:val="24"/>
                <w:szCs w:val="24"/>
              </w:rPr>
              <w:t xml:space="preserve"> for BRAF V600E-mutant metastatic colorectal cancer: Quality-of-life results from a randomized, three-arm, phase III study versus the choice of either irinotecan or FOLFIRI plus cetuximab (BEACON CRC). J Clin Oncol 38, 2020 (suppl 4; </w:t>
            </w:r>
            <w:proofErr w:type="spellStart"/>
            <w:r w:rsidRPr="00FA3F9C">
              <w:rPr>
                <w:rFonts w:ascii="Arial" w:hAnsi="Arial" w:cs="Arial"/>
                <w:sz w:val="24"/>
                <w:szCs w:val="24"/>
              </w:rPr>
              <w:t>abstr</w:t>
            </w:r>
            <w:proofErr w:type="spellEnd"/>
            <w:r w:rsidRPr="00FA3F9C">
              <w:rPr>
                <w:rFonts w:ascii="Arial" w:hAnsi="Arial" w:cs="Arial"/>
                <w:sz w:val="24"/>
                <w:szCs w:val="24"/>
              </w:rPr>
              <w:t xml:space="preserve"> 8). </w:t>
            </w:r>
            <w:hyperlink r:id="rId159" w:history="1">
              <w:r w:rsidRPr="00FA3F9C">
                <w:rPr>
                  <w:rStyle w:val="Hyperlink"/>
                  <w:rFonts w:ascii="Arial" w:hAnsi="Arial" w:cs="Arial"/>
                  <w:sz w:val="24"/>
                  <w:szCs w:val="24"/>
                </w:rPr>
                <w:t>https://meetinglibrary.asco.org/record/181898/abstract</w:t>
              </w:r>
            </w:hyperlink>
            <w:r w:rsidRPr="00FA3F9C">
              <w:rPr>
                <w:rFonts w:ascii="Arial" w:hAnsi="Arial" w:cs="Arial"/>
                <w:sz w:val="24"/>
                <w:szCs w:val="24"/>
              </w:rPr>
              <w:t>.  NCT02928224 Accessed 4/20/2020</w:t>
            </w:r>
          </w:p>
        </w:tc>
      </w:tr>
    </w:tbl>
    <w:p w14:paraId="2F23B29A" w14:textId="77777777" w:rsidR="001506C1" w:rsidRPr="00FA3F9C" w:rsidRDefault="001506C1" w:rsidP="006F623F">
      <w:pPr>
        <w:spacing w:after="0"/>
        <w:rPr>
          <w:rFonts w:ascii="Arial" w:hAnsi="Arial" w:cs="Arial"/>
          <w:sz w:val="24"/>
          <w:szCs w:val="24"/>
        </w:rPr>
      </w:pPr>
    </w:p>
    <w:p w14:paraId="078779D1"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284"/>
        <w:gridCol w:w="7470"/>
        <w:gridCol w:w="2538"/>
      </w:tblGrid>
      <w:tr w:rsidR="001506C1" w:rsidRPr="00FA3F9C" w14:paraId="2E6B7512" w14:textId="77777777" w:rsidTr="00FE491B">
        <w:tc>
          <w:tcPr>
            <w:tcW w:w="1008" w:type="dxa"/>
          </w:tcPr>
          <w:p w14:paraId="7358FF6B" w14:textId="77777777" w:rsidR="001506C1" w:rsidRPr="00FA3F9C" w:rsidRDefault="001506C1" w:rsidP="006F623F">
            <w:pPr>
              <w:rPr>
                <w:rFonts w:ascii="Arial" w:hAnsi="Arial" w:cs="Arial"/>
                <w:sz w:val="24"/>
                <w:szCs w:val="24"/>
              </w:rPr>
            </w:pPr>
            <w:r w:rsidRPr="00FA3F9C">
              <w:rPr>
                <w:rFonts w:ascii="Arial" w:hAnsi="Arial" w:cs="Arial"/>
                <w:sz w:val="24"/>
                <w:szCs w:val="24"/>
              </w:rPr>
              <w:t>Date</w:t>
            </w:r>
          </w:p>
        </w:tc>
        <w:tc>
          <w:tcPr>
            <w:tcW w:w="7470" w:type="dxa"/>
          </w:tcPr>
          <w:p w14:paraId="384BAA6D" w14:textId="77777777" w:rsidR="001506C1" w:rsidRPr="00FA3F9C" w:rsidRDefault="001506C1" w:rsidP="006F623F">
            <w:pPr>
              <w:rPr>
                <w:rFonts w:ascii="Arial" w:hAnsi="Arial" w:cs="Arial"/>
                <w:sz w:val="24"/>
                <w:szCs w:val="24"/>
              </w:rPr>
            </w:pPr>
            <w:r w:rsidRPr="00FA3F9C">
              <w:rPr>
                <w:rFonts w:ascii="Arial" w:hAnsi="Arial" w:cs="Arial"/>
                <w:sz w:val="24"/>
                <w:szCs w:val="24"/>
              </w:rPr>
              <w:t>What changed</w:t>
            </w:r>
          </w:p>
        </w:tc>
        <w:tc>
          <w:tcPr>
            <w:tcW w:w="2538" w:type="dxa"/>
          </w:tcPr>
          <w:p w14:paraId="49D5E97E" w14:textId="77777777" w:rsidR="001506C1" w:rsidRPr="00FA3F9C" w:rsidRDefault="001506C1" w:rsidP="006F623F">
            <w:pPr>
              <w:rPr>
                <w:rFonts w:ascii="Arial" w:hAnsi="Arial" w:cs="Arial"/>
                <w:sz w:val="24"/>
                <w:szCs w:val="24"/>
              </w:rPr>
            </w:pPr>
            <w:r w:rsidRPr="00FA3F9C">
              <w:rPr>
                <w:rFonts w:ascii="Arial" w:hAnsi="Arial" w:cs="Arial"/>
                <w:sz w:val="24"/>
                <w:szCs w:val="24"/>
              </w:rPr>
              <w:t>Pharmacist’s initials</w:t>
            </w:r>
          </w:p>
        </w:tc>
      </w:tr>
      <w:tr w:rsidR="001506C1" w:rsidRPr="00FA3F9C" w14:paraId="6588C559" w14:textId="77777777" w:rsidTr="00FE491B">
        <w:tc>
          <w:tcPr>
            <w:tcW w:w="1008" w:type="dxa"/>
          </w:tcPr>
          <w:p w14:paraId="6B76F566" w14:textId="77777777" w:rsidR="001506C1" w:rsidRPr="00FA3F9C" w:rsidRDefault="001506C1" w:rsidP="006F623F">
            <w:pPr>
              <w:rPr>
                <w:rFonts w:ascii="Arial" w:hAnsi="Arial" w:cs="Arial"/>
                <w:sz w:val="24"/>
                <w:szCs w:val="24"/>
              </w:rPr>
            </w:pPr>
            <w:r w:rsidRPr="00FA3F9C">
              <w:rPr>
                <w:rFonts w:ascii="Arial" w:hAnsi="Arial" w:cs="Arial"/>
                <w:sz w:val="24"/>
                <w:szCs w:val="24"/>
              </w:rPr>
              <w:t>9/25/18</w:t>
            </w:r>
          </w:p>
        </w:tc>
        <w:tc>
          <w:tcPr>
            <w:tcW w:w="7470" w:type="dxa"/>
          </w:tcPr>
          <w:p w14:paraId="4DB13D4B" w14:textId="77777777" w:rsidR="001506C1" w:rsidRPr="00FA3F9C" w:rsidRDefault="001506C1" w:rsidP="009500AF">
            <w:pPr>
              <w:rPr>
                <w:rFonts w:ascii="Arial" w:hAnsi="Arial" w:cs="Arial"/>
                <w:sz w:val="24"/>
                <w:szCs w:val="24"/>
              </w:rPr>
            </w:pPr>
            <w:r w:rsidRPr="00FA3F9C">
              <w:rPr>
                <w:rFonts w:ascii="Arial" w:hAnsi="Arial" w:cs="Arial"/>
                <w:sz w:val="24"/>
                <w:szCs w:val="24"/>
              </w:rPr>
              <w:t>I wrote criteria.</w:t>
            </w:r>
          </w:p>
        </w:tc>
        <w:tc>
          <w:tcPr>
            <w:tcW w:w="2538" w:type="dxa"/>
          </w:tcPr>
          <w:p w14:paraId="23894E2C" w14:textId="5F50D8C1" w:rsidR="001506C1" w:rsidRPr="00FA3F9C" w:rsidRDefault="005C142D" w:rsidP="006F623F">
            <w:pPr>
              <w:rPr>
                <w:rFonts w:ascii="Arial" w:hAnsi="Arial" w:cs="Arial"/>
                <w:sz w:val="24"/>
                <w:szCs w:val="24"/>
              </w:rPr>
            </w:pPr>
            <w:r w:rsidRPr="00FA3F9C">
              <w:rPr>
                <w:rFonts w:ascii="Arial" w:hAnsi="Arial" w:cs="Arial"/>
                <w:sz w:val="24"/>
                <w:szCs w:val="24"/>
              </w:rPr>
              <w:t>JJ</w:t>
            </w:r>
          </w:p>
        </w:tc>
      </w:tr>
      <w:tr w:rsidR="001506C1" w:rsidRPr="00FA3F9C" w14:paraId="5E8993C8" w14:textId="77777777" w:rsidTr="00FE491B">
        <w:tc>
          <w:tcPr>
            <w:tcW w:w="1008" w:type="dxa"/>
          </w:tcPr>
          <w:p w14:paraId="4B07DF97" w14:textId="77777777" w:rsidR="001506C1" w:rsidRPr="00FA3F9C" w:rsidRDefault="001506C1" w:rsidP="006F623F">
            <w:pPr>
              <w:rPr>
                <w:rFonts w:ascii="Arial" w:hAnsi="Arial" w:cs="Arial"/>
                <w:sz w:val="24"/>
                <w:szCs w:val="24"/>
              </w:rPr>
            </w:pPr>
            <w:r w:rsidRPr="00FA3F9C">
              <w:rPr>
                <w:rFonts w:ascii="Arial" w:hAnsi="Arial" w:cs="Arial"/>
                <w:sz w:val="24"/>
                <w:szCs w:val="24"/>
              </w:rPr>
              <w:t>4/18/19</w:t>
            </w:r>
          </w:p>
        </w:tc>
        <w:tc>
          <w:tcPr>
            <w:tcW w:w="7470" w:type="dxa"/>
          </w:tcPr>
          <w:p w14:paraId="08199227" w14:textId="77777777" w:rsidR="001506C1" w:rsidRPr="00FA3F9C" w:rsidRDefault="001506C1" w:rsidP="006F1176">
            <w:pPr>
              <w:rPr>
                <w:rFonts w:ascii="Arial" w:hAnsi="Arial" w:cs="Arial"/>
                <w:sz w:val="24"/>
                <w:szCs w:val="24"/>
              </w:rPr>
            </w:pPr>
            <w:r w:rsidRPr="00FA3F9C">
              <w:rPr>
                <w:rFonts w:ascii="Arial" w:hAnsi="Arial" w:cs="Arial"/>
                <w:sz w:val="24"/>
                <w:szCs w:val="24"/>
              </w:rPr>
              <w:t>Reviewed criteria (no major change) and added references and evidence summary</w:t>
            </w:r>
          </w:p>
        </w:tc>
        <w:tc>
          <w:tcPr>
            <w:tcW w:w="2538" w:type="dxa"/>
          </w:tcPr>
          <w:p w14:paraId="5808A407" w14:textId="77777777" w:rsidR="001506C1" w:rsidRPr="00FA3F9C" w:rsidRDefault="001506C1" w:rsidP="006F623F">
            <w:pPr>
              <w:rPr>
                <w:rFonts w:ascii="Arial" w:hAnsi="Arial" w:cs="Arial"/>
                <w:sz w:val="24"/>
                <w:szCs w:val="24"/>
              </w:rPr>
            </w:pPr>
            <w:r w:rsidRPr="00FA3F9C">
              <w:rPr>
                <w:rFonts w:ascii="Arial" w:hAnsi="Arial" w:cs="Arial"/>
                <w:sz w:val="24"/>
                <w:szCs w:val="24"/>
              </w:rPr>
              <w:t>SK</w:t>
            </w:r>
          </w:p>
        </w:tc>
      </w:tr>
      <w:tr w:rsidR="001506C1" w:rsidRPr="00FA3F9C" w14:paraId="130BD8CC" w14:textId="77777777" w:rsidTr="00FE491B">
        <w:tc>
          <w:tcPr>
            <w:tcW w:w="1008" w:type="dxa"/>
          </w:tcPr>
          <w:p w14:paraId="5EF7476E" w14:textId="77777777" w:rsidR="001506C1" w:rsidRPr="00FA3F9C" w:rsidRDefault="001506C1" w:rsidP="006F623F">
            <w:pPr>
              <w:rPr>
                <w:rFonts w:ascii="Arial" w:hAnsi="Arial" w:cs="Arial"/>
                <w:sz w:val="24"/>
                <w:szCs w:val="24"/>
              </w:rPr>
            </w:pPr>
            <w:r w:rsidRPr="00FA3F9C">
              <w:rPr>
                <w:rFonts w:ascii="Arial" w:hAnsi="Arial" w:cs="Arial"/>
                <w:sz w:val="24"/>
                <w:szCs w:val="24"/>
              </w:rPr>
              <w:t>9/30/19</w:t>
            </w:r>
          </w:p>
        </w:tc>
        <w:tc>
          <w:tcPr>
            <w:tcW w:w="7470" w:type="dxa"/>
          </w:tcPr>
          <w:p w14:paraId="4F7C36C1" w14:textId="77777777" w:rsidR="001506C1" w:rsidRPr="00FA3F9C" w:rsidRDefault="001506C1" w:rsidP="005221FB">
            <w:pPr>
              <w:rPr>
                <w:rFonts w:ascii="Arial" w:hAnsi="Arial" w:cs="Arial"/>
                <w:sz w:val="24"/>
                <w:szCs w:val="24"/>
              </w:rPr>
            </w:pPr>
            <w:r w:rsidRPr="00FA3F9C">
              <w:rPr>
                <w:rFonts w:ascii="Arial" w:hAnsi="Arial" w:cs="Arial"/>
                <w:sz w:val="24"/>
                <w:szCs w:val="24"/>
              </w:rPr>
              <w:t xml:space="preserve">Reviewed criteria. No change in criteria. Added quantity limits. Omitted 50 mg cap from </w:t>
            </w:r>
            <w:proofErr w:type="spellStart"/>
            <w:r w:rsidRPr="00FA3F9C">
              <w:rPr>
                <w:rFonts w:ascii="Arial" w:hAnsi="Arial" w:cs="Arial"/>
                <w:sz w:val="24"/>
                <w:szCs w:val="24"/>
              </w:rPr>
              <w:t>Braftovi</w:t>
            </w:r>
            <w:proofErr w:type="spellEnd"/>
            <w:r w:rsidRPr="00FA3F9C">
              <w:rPr>
                <w:rFonts w:ascii="Arial" w:hAnsi="Arial" w:cs="Arial"/>
                <w:sz w:val="24"/>
                <w:szCs w:val="24"/>
              </w:rPr>
              <w:t xml:space="preserve"> strengths as it is no longer available as of 3/2019 per First Databank Drug and current PI.</w:t>
            </w:r>
          </w:p>
        </w:tc>
        <w:tc>
          <w:tcPr>
            <w:tcW w:w="2538" w:type="dxa"/>
          </w:tcPr>
          <w:p w14:paraId="6B4D6440" w14:textId="77777777" w:rsidR="001506C1" w:rsidRPr="00FA3F9C" w:rsidRDefault="001506C1" w:rsidP="006F623F">
            <w:pPr>
              <w:rPr>
                <w:rFonts w:ascii="Arial" w:hAnsi="Arial" w:cs="Arial"/>
                <w:sz w:val="24"/>
                <w:szCs w:val="24"/>
              </w:rPr>
            </w:pPr>
            <w:r w:rsidRPr="00FA3F9C">
              <w:rPr>
                <w:rFonts w:ascii="Arial" w:hAnsi="Arial" w:cs="Arial"/>
                <w:sz w:val="24"/>
                <w:szCs w:val="24"/>
              </w:rPr>
              <w:t>SK</w:t>
            </w:r>
          </w:p>
        </w:tc>
      </w:tr>
      <w:tr w:rsidR="001506C1" w:rsidRPr="00FA3F9C" w14:paraId="157259EE" w14:textId="77777777" w:rsidTr="00FE491B">
        <w:tc>
          <w:tcPr>
            <w:tcW w:w="1008" w:type="dxa"/>
          </w:tcPr>
          <w:p w14:paraId="4888D32A" w14:textId="77777777" w:rsidR="001506C1" w:rsidRPr="00FA3F9C" w:rsidRDefault="001506C1" w:rsidP="006F623F">
            <w:pPr>
              <w:rPr>
                <w:rFonts w:ascii="Arial" w:hAnsi="Arial" w:cs="Arial"/>
                <w:sz w:val="24"/>
                <w:szCs w:val="24"/>
              </w:rPr>
            </w:pPr>
            <w:r w:rsidRPr="00FA3F9C">
              <w:rPr>
                <w:rFonts w:ascii="Arial" w:hAnsi="Arial" w:cs="Arial"/>
                <w:sz w:val="24"/>
                <w:szCs w:val="24"/>
              </w:rPr>
              <w:lastRenderedPageBreak/>
              <w:t>4/27/2020</w:t>
            </w:r>
          </w:p>
        </w:tc>
        <w:tc>
          <w:tcPr>
            <w:tcW w:w="7470" w:type="dxa"/>
          </w:tcPr>
          <w:p w14:paraId="4419CFEB" w14:textId="77777777" w:rsidR="001506C1" w:rsidRPr="00FA3F9C" w:rsidRDefault="001506C1" w:rsidP="005221FB">
            <w:pPr>
              <w:rPr>
                <w:rFonts w:ascii="Arial" w:hAnsi="Arial" w:cs="Arial"/>
                <w:sz w:val="24"/>
                <w:szCs w:val="24"/>
              </w:rPr>
            </w:pPr>
            <w:r w:rsidRPr="00FA3F9C">
              <w:rPr>
                <w:rFonts w:ascii="Arial" w:hAnsi="Arial" w:cs="Arial"/>
                <w:sz w:val="24"/>
                <w:szCs w:val="24"/>
              </w:rPr>
              <w:t xml:space="preserve">Split </w:t>
            </w:r>
            <w:proofErr w:type="spellStart"/>
            <w:r w:rsidRPr="00FA3F9C">
              <w:rPr>
                <w:rFonts w:ascii="Arial" w:hAnsi="Arial" w:cs="Arial"/>
                <w:sz w:val="24"/>
                <w:szCs w:val="24"/>
              </w:rPr>
              <w:t>encorafenib</w:t>
            </w:r>
            <w:proofErr w:type="spellEnd"/>
            <w:r w:rsidRPr="00FA3F9C">
              <w:rPr>
                <w:rFonts w:ascii="Arial" w:hAnsi="Arial" w:cs="Arial"/>
                <w:sz w:val="24"/>
                <w:szCs w:val="24"/>
              </w:rPr>
              <w:t xml:space="preserve"> and </w:t>
            </w:r>
            <w:proofErr w:type="spellStart"/>
            <w:r w:rsidRPr="00FA3F9C">
              <w:rPr>
                <w:rFonts w:ascii="Arial" w:hAnsi="Arial" w:cs="Arial"/>
                <w:sz w:val="24"/>
                <w:szCs w:val="24"/>
              </w:rPr>
              <w:t>binimetinib</w:t>
            </w:r>
            <w:proofErr w:type="spellEnd"/>
            <w:r w:rsidRPr="00FA3F9C">
              <w:rPr>
                <w:rFonts w:ascii="Arial" w:hAnsi="Arial" w:cs="Arial"/>
                <w:sz w:val="24"/>
                <w:szCs w:val="24"/>
              </w:rPr>
              <w:t xml:space="preserve"> into two separate documents due to new indication for </w:t>
            </w:r>
            <w:proofErr w:type="spellStart"/>
            <w:r w:rsidRPr="00FA3F9C">
              <w:rPr>
                <w:rFonts w:ascii="Arial" w:hAnsi="Arial" w:cs="Arial"/>
                <w:sz w:val="24"/>
                <w:szCs w:val="24"/>
              </w:rPr>
              <w:t>encorafenib</w:t>
            </w:r>
            <w:proofErr w:type="spellEnd"/>
            <w:r w:rsidRPr="00FA3F9C">
              <w:rPr>
                <w:rFonts w:ascii="Arial" w:hAnsi="Arial" w:cs="Arial"/>
                <w:sz w:val="24"/>
                <w:szCs w:val="24"/>
              </w:rPr>
              <w:t xml:space="preserve">. Added criteria for new indication for </w:t>
            </w:r>
            <w:proofErr w:type="spellStart"/>
            <w:r w:rsidRPr="00FA3F9C">
              <w:rPr>
                <w:rFonts w:ascii="Arial" w:hAnsi="Arial" w:cs="Arial"/>
                <w:sz w:val="24"/>
                <w:szCs w:val="24"/>
              </w:rPr>
              <w:t>encorafenib</w:t>
            </w:r>
            <w:proofErr w:type="spellEnd"/>
            <w:r w:rsidRPr="00FA3F9C">
              <w:rPr>
                <w:rFonts w:ascii="Arial" w:hAnsi="Arial" w:cs="Arial"/>
                <w:sz w:val="24"/>
                <w:szCs w:val="24"/>
              </w:rPr>
              <w:t xml:space="preserve"> for treatment of BRAF-mutated colorectal cancer. </w:t>
            </w:r>
          </w:p>
        </w:tc>
        <w:tc>
          <w:tcPr>
            <w:tcW w:w="2538" w:type="dxa"/>
          </w:tcPr>
          <w:p w14:paraId="2D4A4629" w14:textId="77777777" w:rsidR="001506C1" w:rsidRPr="00FA3F9C" w:rsidRDefault="001506C1" w:rsidP="006F623F">
            <w:pPr>
              <w:rPr>
                <w:rFonts w:ascii="Arial" w:hAnsi="Arial" w:cs="Arial"/>
                <w:sz w:val="24"/>
                <w:szCs w:val="24"/>
              </w:rPr>
            </w:pPr>
            <w:r w:rsidRPr="00FA3F9C">
              <w:rPr>
                <w:rFonts w:ascii="Arial" w:hAnsi="Arial" w:cs="Arial"/>
                <w:sz w:val="24"/>
                <w:szCs w:val="24"/>
              </w:rPr>
              <w:t>SK</w:t>
            </w:r>
          </w:p>
        </w:tc>
      </w:tr>
      <w:tr w:rsidR="001506C1" w:rsidRPr="00FA3F9C" w14:paraId="424B8E91" w14:textId="77777777" w:rsidTr="00FE491B">
        <w:tc>
          <w:tcPr>
            <w:tcW w:w="1008" w:type="dxa"/>
          </w:tcPr>
          <w:p w14:paraId="5EF0BA6E" w14:textId="77777777" w:rsidR="001506C1" w:rsidRPr="00FA3F9C" w:rsidRDefault="001506C1" w:rsidP="006F623F">
            <w:pPr>
              <w:rPr>
                <w:rFonts w:ascii="Arial" w:hAnsi="Arial" w:cs="Arial"/>
                <w:sz w:val="24"/>
                <w:szCs w:val="24"/>
              </w:rPr>
            </w:pPr>
            <w:r w:rsidRPr="00FA3F9C">
              <w:rPr>
                <w:rFonts w:ascii="Arial" w:hAnsi="Arial" w:cs="Arial"/>
                <w:sz w:val="24"/>
                <w:szCs w:val="24"/>
              </w:rPr>
              <w:t>7/26/2021</w:t>
            </w:r>
          </w:p>
        </w:tc>
        <w:tc>
          <w:tcPr>
            <w:tcW w:w="7470" w:type="dxa"/>
          </w:tcPr>
          <w:p w14:paraId="542CE5ED" w14:textId="77777777" w:rsidR="001506C1" w:rsidRPr="00FA3F9C" w:rsidRDefault="001506C1" w:rsidP="005221FB">
            <w:pPr>
              <w:rPr>
                <w:rFonts w:ascii="Arial" w:hAnsi="Arial" w:cs="Arial"/>
                <w:sz w:val="24"/>
                <w:szCs w:val="24"/>
              </w:rPr>
            </w:pPr>
            <w:r w:rsidRPr="00FA3F9C">
              <w:rPr>
                <w:rFonts w:ascii="Arial" w:hAnsi="Arial" w:cs="Arial"/>
                <w:sz w:val="24"/>
                <w:szCs w:val="24"/>
              </w:rPr>
              <w:t xml:space="preserve">Criteria reviewed. Clarified wording of criterion #5 for melanoma. No changes to </w:t>
            </w:r>
            <w:proofErr w:type="spellStart"/>
            <w:r w:rsidRPr="00FA3F9C">
              <w:rPr>
                <w:rFonts w:ascii="Arial" w:hAnsi="Arial" w:cs="Arial"/>
                <w:sz w:val="24"/>
                <w:szCs w:val="24"/>
              </w:rPr>
              <w:t>critera</w:t>
            </w:r>
            <w:proofErr w:type="spellEnd"/>
            <w:r w:rsidRPr="00FA3F9C">
              <w:rPr>
                <w:rFonts w:ascii="Arial" w:hAnsi="Arial" w:cs="Arial"/>
                <w:sz w:val="24"/>
                <w:szCs w:val="24"/>
              </w:rPr>
              <w:t>.</w:t>
            </w:r>
          </w:p>
        </w:tc>
        <w:tc>
          <w:tcPr>
            <w:tcW w:w="2538" w:type="dxa"/>
          </w:tcPr>
          <w:p w14:paraId="597D9860" w14:textId="77777777" w:rsidR="001506C1" w:rsidRPr="00FA3F9C" w:rsidRDefault="001506C1" w:rsidP="006F623F">
            <w:pPr>
              <w:rPr>
                <w:rFonts w:ascii="Arial" w:hAnsi="Arial" w:cs="Arial"/>
                <w:sz w:val="24"/>
                <w:szCs w:val="24"/>
              </w:rPr>
            </w:pPr>
            <w:r w:rsidRPr="00FA3F9C">
              <w:rPr>
                <w:rFonts w:ascii="Arial" w:hAnsi="Arial" w:cs="Arial"/>
                <w:sz w:val="24"/>
                <w:szCs w:val="24"/>
              </w:rPr>
              <w:t>SK</w:t>
            </w:r>
          </w:p>
        </w:tc>
      </w:tr>
      <w:tr w:rsidR="001506C1" w:rsidRPr="00FA3F9C" w14:paraId="25067768" w14:textId="77777777" w:rsidTr="00FE491B">
        <w:tc>
          <w:tcPr>
            <w:tcW w:w="1008" w:type="dxa"/>
          </w:tcPr>
          <w:p w14:paraId="67A91588" w14:textId="77777777" w:rsidR="001506C1" w:rsidRPr="00FA3F9C" w:rsidRDefault="001506C1" w:rsidP="006F623F">
            <w:pPr>
              <w:rPr>
                <w:rFonts w:ascii="Arial" w:hAnsi="Arial" w:cs="Arial"/>
                <w:sz w:val="24"/>
                <w:szCs w:val="24"/>
              </w:rPr>
            </w:pPr>
            <w:r w:rsidRPr="00FA3F9C">
              <w:rPr>
                <w:rFonts w:ascii="Arial" w:hAnsi="Arial" w:cs="Arial"/>
                <w:sz w:val="24"/>
                <w:szCs w:val="24"/>
              </w:rPr>
              <w:t>7/28/21</w:t>
            </w:r>
          </w:p>
        </w:tc>
        <w:tc>
          <w:tcPr>
            <w:tcW w:w="7470" w:type="dxa"/>
          </w:tcPr>
          <w:p w14:paraId="5CABFFD6" w14:textId="77777777" w:rsidR="001506C1" w:rsidRPr="00FA3F9C" w:rsidRDefault="001506C1" w:rsidP="005221FB">
            <w:pPr>
              <w:rPr>
                <w:rFonts w:ascii="Arial" w:hAnsi="Arial" w:cs="Arial"/>
                <w:sz w:val="24"/>
                <w:szCs w:val="24"/>
              </w:rPr>
            </w:pPr>
            <w:r w:rsidRPr="00FA3F9C">
              <w:rPr>
                <w:rFonts w:ascii="Arial" w:hAnsi="Arial" w:cs="Arial"/>
                <w:sz w:val="24"/>
                <w:szCs w:val="24"/>
              </w:rPr>
              <w:t>UAS to use EBRx Criteria.</w:t>
            </w:r>
          </w:p>
        </w:tc>
        <w:tc>
          <w:tcPr>
            <w:tcW w:w="2538" w:type="dxa"/>
          </w:tcPr>
          <w:p w14:paraId="4D829121" w14:textId="77777777" w:rsidR="001506C1" w:rsidRPr="00FA3F9C" w:rsidRDefault="001506C1" w:rsidP="006F623F">
            <w:pPr>
              <w:rPr>
                <w:rFonts w:ascii="Arial" w:hAnsi="Arial" w:cs="Arial"/>
                <w:sz w:val="24"/>
                <w:szCs w:val="24"/>
              </w:rPr>
            </w:pPr>
            <w:r w:rsidRPr="00FA3F9C">
              <w:rPr>
                <w:rFonts w:ascii="Arial" w:hAnsi="Arial" w:cs="Arial"/>
                <w:sz w:val="24"/>
                <w:szCs w:val="24"/>
              </w:rPr>
              <w:t>JJ</w:t>
            </w:r>
          </w:p>
        </w:tc>
      </w:tr>
    </w:tbl>
    <w:p w14:paraId="041F9126" w14:textId="77777777" w:rsidR="001506C1" w:rsidRPr="00FA3F9C" w:rsidRDefault="001506C1" w:rsidP="006F623F">
      <w:pPr>
        <w:spacing w:after="0"/>
        <w:rPr>
          <w:rFonts w:ascii="Arial" w:hAnsi="Arial" w:cs="Arial"/>
          <w:sz w:val="24"/>
          <w:szCs w:val="24"/>
        </w:rPr>
      </w:pPr>
    </w:p>
    <w:p w14:paraId="720751E4" w14:textId="77777777" w:rsidR="00BE7C2A" w:rsidRDefault="001506C1" w:rsidP="00BE7C2A">
      <w:pPr>
        <w:pStyle w:val="Heading2"/>
      </w:pPr>
      <w:bookmarkStart w:id="93" w:name="_Toc106369788"/>
      <w:r w:rsidRPr="00FA3F9C">
        <w:t>Enzalutamide (Xtandi)</w:t>
      </w:r>
      <w:bookmarkEnd w:id="93"/>
      <w:r w:rsidRPr="00FA3F9C">
        <w:t xml:space="preserve"> </w:t>
      </w:r>
    </w:p>
    <w:p w14:paraId="0D717A3A" w14:textId="19732962" w:rsidR="001506C1" w:rsidRPr="00FA3F9C" w:rsidRDefault="001506C1" w:rsidP="006F623F">
      <w:pPr>
        <w:spacing w:after="0"/>
        <w:jc w:val="center"/>
        <w:rPr>
          <w:rFonts w:ascii="Arial" w:hAnsi="Arial" w:cs="Arial"/>
          <w:sz w:val="24"/>
          <w:szCs w:val="24"/>
        </w:rPr>
      </w:pPr>
      <w:r w:rsidRPr="00FA3F9C">
        <w:rPr>
          <w:rFonts w:ascii="Arial" w:hAnsi="Arial" w:cs="Arial"/>
          <w:sz w:val="24"/>
          <w:szCs w:val="24"/>
        </w:rPr>
        <w:t>40mg capsules</w:t>
      </w:r>
    </w:p>
    <w:p w14:paraId="556ACB00" w14:textId="77777777" w:rsidR="001506C1" w:rsidRPr="00FA3F9C" w:rsidRDefault="001506C1" w:rsidP="006F623F">
      <w:pPr>
        <w:spacing w:after="0"/>
        <w:jc w:val="center"/>
        <w:rPr>
          <w:rFonts w:ascii="Arial" w:hAnsi="Arial" w:cs="Arial"/>
          <w:sz w:val="24"/>
          <w:szCs w:val="24"/>
        </w:rPr>
      </w:pPr>
      <w:r w:rsidRPr="00FA3F9C">
        <w:rPr>
          <w:rFonts w:ascii="Arial" w:hAnsi="Arial" w:cs="Arial"/>
          <w:sz w:val="24"/>
          <w:szCs w:val="24"/>
        </w:rPr>
        <w:t>EBRx PA Criteria</w:t>
      </w:r>
    </w:p>
    <w:p w14:paraId="7CFAA739" w14:textId="77777777" w:rsidR="001506C1" w:rsidRPr="00FA3F9C" w:rsidRDefault="001506C1" w:rsidP="006F623F">
      <w:pPr>
        <w:spacing w:after="0"/>
        <w:rPr>
          <w:rFonts w:ascii="Arial" w:hAnsi="Arial" w:cs="Arial"/>
          <w:b/>
          <w:sz w:val="24"/>
          <w:szCs w:val="24"/>
          <w:u w:val="single"/>
        </w:rPr>
      </w:pPr>
    </w:p>
    <w:p w14:paraId="36EE28F3" w14:textId="77777777" w:rsidR="001506C1" w:rsidRPr="00FA3F9C" w:rsidRDefault="001506C1"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w:t>
      </w:r>
    </w:p>
    <w:p w14:paraId="69A5B3D6" w14:textId="77777777" w:rsidR="001506C1" w:rsidRPr="00FA3F9C" w:rsidRDefault="001506C1" w:rsidP="001506C1">
      <w:pPr>
        <w:pStyle w:val="ListParagraph"/>
        <w:numPr>
          <w:ilvl w:val="0"/>
          <w:numId w:val="173"/>
        </w:numPr>
        <w:spacing w:after="0" w:line="276" w:lineRule="auto"/>
        <w:rPr>
          <w:rFonts w:ascii="Arial" w:hAnsi="Arial" w:cs="Arial"/>
          <w:sz w:val="24"/>
          <w:szCs w:val="24"/>
        </w:rPr>
      </w:pPr>
      <w:r w:rsidRPr="00FA3F9C">
        <w:rPr>
          <w:rFonts w:ascii="Arial" w:hAnsi="Arial" w:cs="Arial"/>
          <w:sz w:val="24"/>
          <w:szCs w:val="24"/>
        </w:rPr>
        <w:t xml:space="preserve">Treatment of castration-resistant prostate cancer (CRPC) </w:t>
      </w:r>
      <w:r w:rsidRPr="00FA3F9C">
        <w:rPr>
          <w:rFonts w:ascii="Arial" w:hAnsi="Arial" w:cs="Arial"/>
          <w:sz w:val="24"/>
          <w:szCs w:val="24"/>
          <w:highlight w:val="cyan"/>
        </w:rPr>
        <w:t>[COVERED, BUT MUST HAVE BEEN TREATED PREVIOUSLY WITH ABIRATERONE]</w:t>
      </w:r>
    </w:p>
    <w:p w14:paraId="14F1167A" w14:textId="77777777" w:rsidR="001506C1" w:rsidRPr="00FA3F9C" w:rsidRDefault="001506C1" w:rsidP="001506C1">
      <w:pPr>
        <w:pStyle w:val="ListParagraph"/>
        <w:numPr>
          <w:ilvl w:val="0"/>
          <w:numId w:val="173"/>
        </w:numPr>
        <w:spacing w:after="0" w:line="276" w:lineRule="auto"/>
        <w:rPr>
          <w:rFonts w:ascii="Arial" w:hAnsi="Arial" w:cs="Arial"/>
          <w:sz w:val="24"/>
          <w:szCs w:val="24"/>
        </w:rPr>
      </w:pPr>
      <w:r w:rsidRPr="00FA3F9C">
        <w:rPr>
          <w:rFonts w:ascii="Arial" w:hAnsi="Arial" w:cs="Arial"/>
          <w:sz w:val="24"/>
          <w:szCs w:val="24"/>
        </w:rPr>
        <w:t>Treatment of metastatic castration-sensitive prostate cancer [</w:t>
      </w:r>
      <w:r w:rsidRPr="00FA3F9C">
        <w:rPr>
          <w:rFonts w:ascii="Arial" w:hAnsi="Arial" w:cs="Arial"/>
          <w:sz w:val="24"/>
          <w:szCs w:val="24"/>
          <w:highlight w:val="yellow"/>
        </w:rPr>
        <w:t>NOT COVERED, PREFER ABIRATERONE</w:t>
      </w:r>
      <w:r w:rsidRPr="00FA3F9C">
        <w:rPr>
          <w:rFonts w:ascii="Arial" w:hAnsi="Arial" w:cs="Arial"/>
          <w:sz w:val="24"/>
          <w:szCs w:val="24"/>
        </w:rPr>
        <w:t>]</w:t>
      </w:r>
    </w:p>
    <w:p w14:paraId="7FF7F1DA" w14:textId="77777777" w:rsidR="001506C1" w:rsidRPr="00FA3F9C" w:rsidRDefault="001506C1" w:rsidP="00A37915">
      <w:pPr>
        <w:pStyle w:val="ListParagraph"/>
        <w:spacing w:after="0"/>
        <w:rPr>
          <w:rFonts w:ascii="Arial" w:hAnsi="Arial" w:cs="Arial"/>
          <w:sz w:val="24"/>
          <w:szCs w:val="24"/>
        </w:rPr>
      </w:pPr>
      <w:r w:rsidRPr="00FA3F9C">
        <w:rPr>
          <w:rFonts w:ascii="Arial" w:hAnsi="Arial" w:cs="Arial"/>
          <w:sz w:val="24"/>
          <w:szCs w:val="24"/>
        </w:rPr>
        <w:t>-Enzalutamide improves overall survival compared to a 1</w:t>
      </w:r>
      <w:r w:rsidRPr="00FA3F9C">
        <w:rPr>
          <w:rFonts w:ascii="Arial" w:hAnsi="Arial" w:cs="Arial"/>
          <w:sz w:val="24"/>
          <w:szCs w:val="24"/>
          <w:vertAlign w:val="superscript"/>
        </w:rPr>
        <w:t>st</w:t>
      </w:r>
      <w:r w:rsidRPr="00FA3F9C">
        <w:rPr>
          <w:rFonts w:ascii="Arial" w:hAnsi="Arial" w:cs="Arial"/>
          <w:sz w:val="24"/>
          <w:szCs w:val="24"/>
        </w:rPr>
        <w:t xml:space="preserve"> generation antiandrogen in patients with metastatic castration-SENSITIVE prostate cancer. EBRx prefers abiraterone in this setting due to cost and additional data showing improvement in symptoms. (Davis ID et al. Enzalutamide with Standard First-Line Therapy in Metastatic Prostate Cancer. N </w:t>
      </w:r>
      <w:proofErr w:type="spellStart"/>
      <w:r w:rsidRPr="00FA3F9C">
        <w:rPr>
          <w:rFonts w:ascii="Arial" w:hAnsi="Arial" w:cs="Arial"/>
          <w:sz w:val="24"/>
          <w:szCs w:val="24"/>
        </w:rPr>
        <w:t>Engl</w:t>
      </w:r>
      <w:proofErr w:type="spellEnd"/>
      <w:r w:rsidRPr="00FA3F9C">
        <w:rPr>
          <w:rFonts w:ascii="Arial" w:hAnsi="Arial" w:cs="Arial"/>
          <w:sz w:val="24"/>
          <w:szCs w:val="24"/>
        </w:rPr>
        <w:t xml:space="preserve"> J Med. 2019 Jul 11;381(2):121-131. PMID 31157964 NCT02446405)</w:t>
      </w:r>
    </w:p>
    <w:p w14:paraId="6606267D" w14:textId="77777777" w:rsidR="001506C1" w:rsidRPr="00FA3F9C" w:rsidRDefault="001506C1" w:rsidP="006F623F">
      <w:pPr>
        <w:spacing w:after="0"/>
        <w:rPr>
          <w:rFonts w:ascii="Arial" w:hAnsi="Arial" w:cs="Arial"/>
          <w:sz w:val="24"/>
          <w:szCs w:val="24"/>
        </w:rPr>
      </w:pPr>
    </w:p>
    <w:p w14:paraId="14FF71A3"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 xml:space="preserve">Notes: </w:t>
      </w:r>
    </w:p>
    <w:p w14:paraId="26B74718" w14:textId="77777777" w:rsidR="001506C1" w:rsidRPr="00FA3F9C" w:rsidRDefault="001506C1" w:rsidP="001506C1">
      <w:pPr>
        <w:pStyle w:val="ListParagraph"/>
        <w:numPr>
          <w:ilvl w:val="0"/>
          <w:numId w:val="172"/>
        </w:numPr>
        <w:spacing w:after="0" w:line="276" w:lineRule="auto"/>
        <w:ind w:left="270" w:hanging="270"/>
        <w:rPr>
          <w:rFonts w:ascii="Arial" w:hAnsi="Arial" w:cs="Arial"/>
          <w:sz w:val="24"/>
          <w:szCs w:val="24"/>
        </w:rPr>
      </w:pPr>
      <w:r w:rsidRPr="00FA3F9C">
        <w:rPr>
          <w:rFonts w:ascii="Arial" w:hAnsi="Arial" w:cs="Arial"/>
          <w:sz w:val="24"/>
          <w:szCs w:val="24"/>
        </w:rPr>
        <w:t xml:space="preserve">CRPC is defined as progression of disease (rising PSA or increase in tumor size on imaging) when testosterone level is &lt;50 ng/dl (due to LHRH antagonist/agonist or orchiectomy). </w:t>
      </w:r>
    </w:p>
    <w:p w14:paraId="602F2521" w14:textId="77777777" w:rsidR="001506C1" w:rsidRPr="00FA3F9C" w:rsidRDefault="001506C1" w:rsidP="001506C1">
      <w:pPr>
        <w:pStyle w:val="ListParagraph"/>
        <w:numPr>
          <w:ilvl w:val="0"/>
          <w:numId w:val="172"/>
        </w:numPr>
        <w:spacing w:after="0" w:line="276" w:lineRule="auto"/>
        <w:ind w:left="270" w:hanging="270"/>
        <w:rPr>
          <w:rFonts w:ascii="Arial" w:hAnsi="Arial" w:cs="Arial"/>
          <w:sz w:val="24"/>
          <w:szCs w:val="24"/>
        </w:rPr>
      </w:pPr>
      <w:r w:rsidRPr="00FA3F9C">
        <w:rPr>
          <w:rFonts w:ascii="Arial" w:hAnsi="Arial" w:cs="Arial"/>
          <w:sz w:val="24"/>
          <w:szCs w:val="24"/>
        </w:rPr>
        <w:t>The two major populations within the CRPC FDA approved indication are patients with non-metastatic disease and patients with metastatic disease.</w:t>
      </w:r>
    </w:p>
    <w:p w14:paraId="0BB052C9" w14:textId="77777777" w:rsidR="001506C1" w:rsidRPr="00FA3F9C" w:rsidRDefault="001506C1" w:rsidP="006F623F">
      <w:pPr>
        <w:spacing w:after="0"/>
        <w:rPr>
          <w:rFonts w:ascii="Arial" w:hAnsi="Arial" w:cs="Arial"/>
          <w:sz w:val="24"/>
          <w:szCs w:val="24"/>
        </w:rPr>
      </w:pPr>
    </w:p>
    <w:tbl>
      <w:tblPr>
        <w:tblStyle w:val="TableGrid"/>
        <w:tblW w:w="0" w:type="auto"/>
        <w:tblLook w:val="04A0" w:firstRow="1" w:lastRow="0" w:firstColumn="1" w:lastColumn="0" w:noHBand="0" w:noVBand="1"/>
      </w:tblPr>
      <w:tblGrid>
        <w:gridCol w:w="8928"/>
        <w:gridCol w:w="2088"/>
      </w:tblGrid>
      <w:tr w:rsidR="001506C1" w:rsidRPr="00FA3F9C" w14:paraId="1937D727" w14:textId="77777777" w:rsidTr="00571CAB">
        <w:tc>
          <w:tcPr>
            <w:tcW w:w="8928" w:type="dxa"/>
            <w:shd w:val="clear" w:color="auto" w:fill="000000"/>
          </w:tcPr>
          <w:p w14:paraId="06649CCC" w14:textId="77777777" w:rsidR="001506C1" w:rsidRPr="00FA3F9C" w:rsidRDefault="001506C1" w:rsidP="00571CAB">
            <w:pPr>
              <w:rPr>
                <w:rFonts w:ascii="Arial" w:hAnsi="Arial" w:cs="Arial"/>
                <w:sz w:val="24"/>
                <w:szCs w:val="24"/>
              </w:rPr>
            </w:pPr>
            <w:r w:rsidRPr="00FA3F9C">
              <w:rPr>
                <w:rFonts w:ascii="Arial" w:hAnsi="Arial" w:cs="Arial"/>
                <w:sz w:val="24"/>
                <w:szCs w:val="24"/>
              </w:rPr>
              <w:t>NON-METASTATIC CRPC</w:t>
            </w:r>
          </w:p>
        </w:tc>
        <w:tc>
          <w:tcPr>
            <w:tcW w:w="2088" w:type="dxa"/>
            <w:shd w:val="clear" w:color="auto" w:fill="000000"/>
          </w:tcPr>
          <w:p w14:paraId="5CE0054A" w14:textId="77777777" w:rsidR="001506C1" w:rsidRPr="00FA3F9C" w:rsidRDefault="001506C1" w:rsidP="006F623F">
            <w:pPr>
              <w:jc w:val="center"/>
              <w:rPr>
                <w:rFonts w:ascii="Arial" w:hAnsi="Arial" w:cs="Arial"/>
                <w:b/>
                <w:sz w:val="24"/>
                <w:szCs w:val="24"/>
                <w:u w:val="single"/>
              </w:rPr>
            </w:pPr>
          </w:p>
        </w:tc>
      </w:tr>
      <w:tr w:rsidR="001506C1" w:rsidRPr="00FA3F9C" w14:paraId="255288DC" w14:textId="77777777" w:rsidTr="00F337AE">
        <w:tc>
          <w:tcPr>
            <w:tcW w:w="11016" w:type="dxa"/>
            <w:gridSpan w:val="2"/>
          </w:tcPr>
          <w:p w14:paraId="0E45C2E5" w14:textId="77777777" w:rsidR="001506C1" w:rsidRPr="00FA3F9C" w:rsidRDefault="001506C1" w:rsidP="00062BD4">
            <w:pPr>
              <w:rPr>
                <w:rFonts w:ascii="Arial" w:hAnsi="Arial" w:cs="Arial"/>
                <w:sz w:val="24"/>
                <w:szCs w:val="24"/>
              </w:rPr>
            </w:pPr>
            <w:r w:rsidRPr="00FA3F9C">
              <w:rPr>
                <w:rFonts w:ascii="Arial" w:hAnsi="Arial" w:cs="Arial"/>
                <w:sz w:val="24"/>
                <w:szCs w:val="24"/>
              </w:rPr>
              <w:t>Diagnosis of prostate cancer without evidence of metastatic disease</w:t>
            </w:r>
          </w:p>
        </w:tc>
      </w:tr>
      <w:tr w:rsidR="001506C1" w:rsidRPr="00FA3F9C" w14:paraId="791B8143" w14:textId="77777777" w:rsidTr="00B1617E">
        <w:tc>
          <w:tcPr>
            <w:tcW w:w="11016" w:type="dxa"/>
            <w:gridSpan w:val="2"/>
          </w:tcPr>
          <w:p w14:paraId="6A592634" w14:textId="77777777" w:rsidR="001506C1" w:rsidRPr="00FA3F9C" w:rsidRDefault="001506C1" w:rsidP="000C3539">
            <w:pPr>
              <w:rPr>
                <w:rFonts w:ascii="Arial" w:hAnsi="Arial" w:cs="Arial"/>
                <w:sz w:val="24"/>
                <w:szCs w:val="24"/>
              </w:rPr>
            </w:pPr>
            <w:r w:rsidRPr="00FA3F9C">
              <w:rPr>
                <w:rFonts w:ascii="Arial" w:hAnsi="Arial" w:cs="Arial"/>
                <w:sz w:val="24"/>
                <w:szCs w:val="24"/>
              </w:rPr>
              <w:t>The patient has castrate level of testosterone (&lt;50 ng/dl)</w:t>
            </w:r>
          </w:p>
        </w:tc>
      </w:tr>
      <w:tr w:rsidR="001506C1" w:rsidRPr="00FA3F9C" w14:paraId="01F6EF7E" w14:textId="77777777" w:rsidTr="00B1617E">
        <w:tc>
          <w:tcPr>
            <w:tcW w:w="11016" w:type="dxa"/>
            <w:gridSpan w:val="2"/>
          </w:tcPr>
          <w:p w14:paraId="2F3AE884" w14:textId="77777777" w:rsidR="001506C1" w:rsidRPr="00FA3F9C" w:rsidRDefault="001506C1" w:rsidP="000C3539">
            <w:pPr>
              <w:rPr>
                <w:rFonts w:ascii="Arial" w:hAnsi="Arial" w:cs="Arial"/>
                <w:sz w:val="24"/>
                <w:szCs w:val="24"/>
              </w:rPr>
            </w:pPr>
            <w:r w:rsidRPr="00FA3F9C">
              <w:rPr>
                <w:rFonts w:ascii="Arial" w:hAnsi="Arial" w:cs="Arial"/>
                <w:sz w:val="24"/>
                <w:szCs w:val="24"/>
              </w:rPr>
              <w:t>PSA doubling time is &lt;/= 10 months</w:t>
            </w:r>
          </w:p>
        </w:tc>
      </w:tr>
      <w:tr w:rsidR="001506C1" w:rsidRPr="00FA3F9C" w14:paraId="4DA96BF4" w14:textId="77777777" w:rsidTr="0010789D">
        <w:tc>
          <w:tcPr>
            <w:tcW w:w="11016" w:type="dxa"/>
            <w:gridSpan w:val="2"/>
          </w:tcPr>
          <w:p w14:paraId="794E5896" w14:textId="77777777" w:rsidR="001506C1" w:rsidRPr="00FA3F9C" w:rsidRDefault="001506C1" w:rsidP="006F623F">
            <w:pPr>
              <w:rPr>
                <w:rFonts w:ascii="Arial" w:hAnsi="Arial" w:cs="Arial"/>
                <w:sz w:val="24"/>
                <w:szCs w:val="24"/>
              </w:rPr>
            </w:pPr>
            <w:r w:rsidRPr="00FA3F9C">
              <w:rPr>
                <w:rFonts w:ascii="Arial" w:hAnsi="Arial" w:cs="Arial"/>
                <w:sz w:val="24"/>
                <w:szCs w:val="24"/>
              </w:rPr>
              <w:t>Minimum of three rising PSA values at an interval of at least 1 week apart</w:t>
            </w:r>
          </w:p>
        </w:tc>
      </w:tr>
      <w:tr w:rsidR="001506C1" w:rsidRPr="00FA3F9C" w14:paraId="350C42C5" w14:textId="77777777" w:rsidTr="00DA57E0">
        <w:tc>
          <w:tcPr>
            <w:tcW w:w="11016" w:type="dxa"/>
            <w:gridSpan w:val="2"/>
          </w:tcPr>
          <w:p w14:paraId="779F4AFA" w14:textId="77777777" w:rsidR="001506C1" w:rsidRPr="00FA3F9C" w:rsidRDefault="001506C1" w:rsidP="006F623F">
            <w:pPr>
              <w:rPr>
                <w:rFonts w:ascii="Arial" w:hAnsi="Arial" w:cs="Arial"/>
                <w:sz w:val="24"/>
                <w:szCs w:val="24"/>
              </w:rPr>
            </w:pPr>
            <w:r w:rsidRPr="00FA3F9C">
              <w:rPr>
                <w:rFonts w:ascii="Arial" w:hAnsi="Arial" w:cs="Arial"/>
                <w:sz w:val="24"/>
                <w:szCs w:val="24"/>
              </w:rPr>
              <w:lastRenderedPageBreak/>
              <w:t>At time of first request, PSA is 2 ng/ml or greater</w:t>
            </w:r>
          </w:p>
        </w:tc>
      </w:tr>
      <w:tr w:rsidR="001506C1" w:rsidRPr="00FA3F9C" w14:paraId="340EC6CD" w14:textId="77777777" w:rsidTr="00DA57E0">
        <w:tc>
          <w:tcPr>
            <w:tcW w:w="11016" w:type="dxa"/>
            <w:gridSpan w:val="2"/>
          </w:tcPr>
          <w:p w14:paraId="326A536A" w14:textId="77777777" w:rsidR="001506C1" w:rsidRPr="00FA3F9C" w:rsidRDefault="001506C1" w:rsidP="006F623F">
            <w:pPr>
              <w:rPr>
                <w:rFonts w:ascii="Arial" w:hAnsi="Arial" w:cs="Arial"/>
                <w:b/>
                <w:sz w:val="24"/>
                <w:szCs w:val="24"/>
              </w:rPr>
            </w:pPr>
            <w:r w:rsidRPr="00FA3F9C">
              <w:rPr>
                <w:rFonts w:ascii="Arial" w:hAnsi="Arial" w:cs="Arial"/>
                <w:b/>
                <w:sz w:val="24"/>
                <w:szCs w:val="24"/>
              </w:rPr>
              <w:t xml:space="preserve">If </w:t>
            </w:r>
            <w:proofErr w:type="gramStart"/>
            <w:r w:rsidRPr="00FA3F9C">
              <w:rPr>
                <w:rFonts w:ascii="Arial" w:hAnsi="Arial" w:cs="Arial"/>
                <w:b/>
                <w:sz w:val="24"/>
                <w:szCs w:val="24"/>
              </w:rPr>
              <w:t>all of</w:t>
            </w:r>
            <w:proofErr w:type="gramEnd"/>
            <w:r w:rsidRPr="00FA3F9C">
              <w:rPr>
                <w:rFonts w:ascii="Arial" w:hAnsi="Arial" w:cs="Arial"/>
                <w:b/>
                <w:sz w:val="24"/>
                <w:szCs w:val="24"/>
              </w:rPr>
              <w:t xml:space="preserve"> the above criteria are met, approve for 1 year</w:t>
            </w:r>
          </w:p>
        </w:tc>
      </w:tr>
      <w:tr w:rsidR="001506C1" w:rsidRPr="00FA3F9C" w14:paraId="01219894" w14:textId="77777777" w:rsidTr="00BC00FE">
        <w:trPr>
          <w:trHeight w:val="2330"/>
        </w:trPr>
        <w:tc>
          <w:tcPr>
            <w:tcW w:w="11016" w:type="dxa"/>
            <w:gridSpan w:val="2"/>
            <w:shd w:val="clear" w:color="auto" w:fill="BFBFBF" w:themeFill="background1" w:themeFillShade="BF"/>
          </w:tcPr>
          <w:p w14:paraId="35ED7047" w14:textId="77777777" w:rsidR="001506C1" w:rsidRPr="00FA3F9C" w:rsidRDefault="001506C1" w:rsidP="000C3539">
            <w:pPr>
              <w:rPr>
                <w:rFonts w:ascii="Arial" w:hAnsi="Arial" w:cs="Arial"/>
                <w:sz w:val="24"/>
                <w:szCs w:val="24"/>
              </w:rPr>
            </w:pPr>
            <w:r w:rsidRPr="00FA3F9C">
              <w:rPr>
                <w:rFonts w:ascii="Arial" w:hAnsi="Arial" w:cs="Arial"/>
                <w:sz w:val="24"/>
                <w:szCs w:val="24"/>
              </w:rPr>
              <w:t xml:space="preserve">Note: </w:t>
            </w:r>
          </w:p>
          <w:p w14:paraId="70F92A68" w14:textId="77777777" w:rsidR="001506C1" w:rsidRPr="00FA3F9C" w:rsidRDefault="001506C1" w:rsidP="000C3539">
            <w:pPr>
              <w:rPr>
                <w:rFonts w:ascii="Arial" w:hAnsi="Arial" w:cs="Arial"/>
                <w:sz w:val="24"/>
                <w:szCs w:val="24"/>
              </w:rPr>
            </w:pPr>
            <w:r w:rsidRPr="00FA3F9C">
              <w:rPr>
                <w:rFonts w:ascii="Arial" w:hAnsi="Arial" w:cs="Arial"/>
                <w:sz w:val="24"/>
                <w:szCs w:val="24"/>
              </w:rPr>
              <w:t xml:space="preserve">Enzalutamide was compared to placebo in men with castration resistant prostate cancer WITHOUT metastasis. Time to development of metastasis or death was longer with enzalutamide (37 </w:t>
            </w:r>
            <w:proofErr w:type="spellStart"/>
            <w:r w:rsidRPr="00FA3F9C">
              <w:rPr>
                <w:rFonts w:ascii="Arial" w:hAnsi="Arial" w:cs="Arial"/>
                <w:sz w:val="24"/>
                <w:szCs w:val="24"/>
              </w:rPr>
              <w:t>mo</w:t>
            </w:r>
            <w:proofErr w:type="spellEnd"/>
            <w:r w:rsidRPr="00FA3F9C">
              <w:rPr>
                <w:rFonts w:ascii="Arial" w:hAnsi="Arial" w:cs="Arial"/>
                <w:sz w:val="24"/>
                <w:szCs w:val="24"/>
              </w:rPr>
              <w:t xml:space="preserve">) compared with placebo (15 </w:t>
            </w:r>
            <w:proofErr w:type="spellStart"/>
            <w:r w:rsidRPr="00FA3F9C">
              <w:rPr>
                <w:rFonts w:ascii="Arial" w:hAnsi="Arial" w:cs="Arial"/>
                <w:sz w:val="24"/>
                <w:szCs w:val="24"/>
              </w:rPr>
              <w:t>mo</w:t>
            </w:r>
            <w:proofErr w:type="spellEnd"/>
            <w:r w:rsidRPr="00FA3F9C">
              <w:rPr>
                <w:rFonts w:ascii="Arial" w:hAnsi="Arial" w:cs="Arial"/>
                <w:sz w:val="24"/>
                <w:szCs w:val="24"/>
              </w:rPr>
              <w:t xml:space="preserve">).  Apalutamide and </w:t>
            </w:r>
            <w:proofErr w:type="spellStart"/>
            <w:r w:rsidRPr="00FA3F9C">
              <w:rPr>
                <w:rFonts w:ascii="Arial" w:hAnsi="Arial" w:cs="Arial"/>
                <w:sz w:val="24"/>
                <w:szCs w:val="24"/>
              </w:rPr>
              <w:t>darolutamide</w:t>
            </w:r>
            <w:proofErr w:type="spellEnd"/>
            <w:r w:rsidRPr="00FA3F9C">
              <w:rPr>
                <w:rFonts w:ascii="Arial" w:hAnsi="Arial" w:cs="Arial"/>
                <w:sz w:val="24"/>
                <w:szCs w:val="24"/>
              </w:rPr>
              <w:t xml:space="preserve"> are also approved for this indication.</w:t>
            </w:r>
            <w:r w:rsidRPr="00FA3F9C">
              <w:rPr>
                <w:rFonts w:ascii="Arial" w:hAnsi="Arial" w:cs="Arial"/>
                <w:sz w:val="24"/>
                <w:szCs w:val="24"/>
                <w:vertAlign w:val="superscript"/>
              </w:rPr>
              <w:t>1</w:t>
            </w:r>
          </w:p>
          <w:p w14:paraId="21DCD716" w14:textId="77777777" w:rsidR="001506C1" w:rsidRPr="00FA3F9C" w:rsidRDefault="001506C1" w:rsidP="000C3539">
            <w:pPr>
              <w:rPr>
                <w:rFonts w:ascii="Arial" w:hAnsi="Arial" w:cs="Arial"/>
                <w:sz w:val="24"/>
                <w:szCs w:val="24"/>
              </w:rPr>
            </w:pPr>
          </w:p>
          <w:p w14:paraId="303431D9" w14:textId="77777777" w:rsidR="001506C1" w:rsidRPr="00FA3F9C" w:rsidRDefault="001506C1" w:rsidP="000C3539">
            <w:pPr>
              <w:rPr>
                <w:rFonts w:ascii="Arial" w:hAnsi="Arial" w:cs="Arial"/>
                <w:sz w:val="24"/>
                <w:szCs w:val="24"/>
              </w:rPr>
            </w:pPr>
            <w:r w:rsidRPr="00FA3F9C">
              <w:rPr>
                <w:rFonts w:ascii="Arial" w:hAnsi="Arial" w:cs="Arial"/>
                <w:sz w:val="24"/>
                <w:szCs w:val="24"/>
              </w:rPr>
              <w:t xml:space="preserve">Two meta-analyses indicate a possible improvement in overall survival compared to placebo when the results of apalutamide, enzalutamide, and </w:t>
            </w:r>
            <w:proofErr w:type="spellStart"/>
            <w:r w:rsidRPr="00FA3F9C">
              <w:rPr>
                <w:rFonts w:ascii="Arial" w:hAnsi="Arial" w:cs="Arial"/>
                <w:sz w:val="24"/>
                <w:szCs w:val="24"/>
              </w:rPr>
              <w:t>darolutamide</w:t>
            </w:r>
            <w:proofErr w:type="spellEnd"/>
            <w:r w:rsidRPr="00FA3F9C">
              <w:rPr>
                <w:rFonts w:ascii="Arial" w:hAnsi="Arial" w:cs="Arial"/>
                <w:sz w:val="24"/>
                <w:szCs w:val="24"/>
              </w:rPr>
              <w:t xml:space="preserve"> studies were pooled.</w:t>
            </w:r>
            <w:r w:rsidRPr="00FA3F9C">
              <w:rPr>
                <w:rFonts w:ascii="Arial" w:hAnsi="Arial" w:cs="Arial"/>
                <w:sz w:val="24"/>
                <w:szCs w:val="24"/>
                <w:vertAlign w:val="superscript"/>
              </w:rPr>
              <w:t>2,3</w:t>
            </w:r>
            <w:r w:rsidRPr="00FA3F9C">
              <w:rPr>
                <w:rFonts w:ascii="Arial" w:hAnsi="Arial" w:cs="Arial"/>
                <w:sz w:val="24"/>
                <w:szCs w:val="24"/>
              </w:rPr>
              <w:t xml:space="preserve"> Another meta-analysis found that the three drugs had similar overall survival to each other. </w:t>
            </w:r>
            <w:proofErr w:type="spellStart"/>
            <w:r w:rsidRPr="00FA3F9C">
              <w:rPr>
                <w:rFonts w:ascii="Arial" w:hAnsi="Arial" w:cs="Arial"/>
                <w:sz w:val="24"/>
                <w:szCs w:val="24"/>
              </w:rPr>
              <w:t>Darolutamide</w:t>
            </w:r>
            <w:proofErr w:type="spellEnd"/>
            <w:r w:rsidRPr="00FA3F9C">
              <w:rPr>
                <w:rFonts w:ascii="Arial" w:hAnsi="Arial" w:cs="Arial"/>
                <w:sz w:val="24"/>
                <w:szCs w:val="24"/>
              </w:rPr>
              <w:t xml:space="preserve"> may have a more favorable toxicity profile.</w:t>
            </w:r>
            <w:r w:rsidRPr="00FA3F9C">
              <w:rPr>
                <w:rFonts w:ascii="Arial" w:hAnsi="Arial" w:cs="Arial"/>
                <w:sz w:val="24"/>
                <w:szCs w:val="24"/>
                <w:vertAlign w:val="superscript"/>
              </w:rPr>
              <w:t>4</w:t>
            </w:r>
            <w:r w:rsidRPr="00FA3F9C">
              <w:rPr>
                <w:rFonts w:ascii="Arial" w:hAnsi="Arial" w:cs="Arial"/>
                <w:sz w:val="24"/>
                <w:szCs w:val="24"/>
              </w:rPr>
              <w:t xml:space="preserve">  </w:t>
            </w:r>
          </w:p>
          <w:p w14:paraId="5D6916EA" w14:textId="77777777" w:rsidR="001506C1" w:rsidRPr="00FA3F9C" w:rsidRDefault="001506C1" w:rsidP="000C3539">
            <w:pPr>
              <w:rPr>
                <w:rFonts w:ascii="Arial" w:hAnsi="Arial" w:cs="Arial"/>
                <w:sz w:val="24"/>
                <w:szCs w:val="24"/>
              </w:rPr>
            </w:pPr>
          </w:p>
          <w:p w14:paraId="23A0FAFB" w14:textId="77777777" w:rsidR="001506C1" w:rsidRPr="00FA3F9C" w:rsidRDefault="001506C1" w:rsidP="000C3539">
            <w:pPr>
              <w:rPr>
                <w:rFonts w:ascii="Arial" w:hAnsi="Arial" w:cs="Arial"/>
                <w:sz w:val="24"/>
                <w:szCs w:val="24"/>
              </w:rPr>
            </w:pPr>
            <w:r w:rsidRPr="00FA3F9C">
              <w:rPr>
                <w:rFonts w:ascii="Arial" w:hAnsi="Arial" w:cs="Arial"/>
                <w:sz w:val="24"/>
                <w:szCs w:val="24"/>
              </w:rPr>
              <w:t xml:space="preserve">Although it is not an absolute contraindication, patients with history of or predisposition to seizures were NOT allowed in study. These patients WERE allowed in the </w:t>
            </w:r>
            <w:proofErr w:type="spellStart"/>
            <w:r w:rsidRPr="00FA3F9C">
              <w:rPr>
                <w:rFonts w:ascii="Arial" w:hAnsi="Arial" w:cs="Arial"/>
                <w:sz w:val="24"/>
                <w:szCs w:val="24"/>
              </w:rPr>
              <w:t>darolutamide</w:t>
            </w:r>
            <w:proofErr w:type="spellEnd"/>
            <w:r w:rsidRPr="00FA3F9C">
              <w:rPr>
                <w:rFonts w:ascii="Arial" w:hAnsi="Arial" w:cs="Arial"/>
                <w:sz w:val="24"/>
                <w:szCs w:val="24"/>
              </w:rPr>
              <w:t xml:space="preserve"> study.</w:t>
            </w:r>
          </w:p>
          <w:p w14:paraId="71C93F34" w14:textId="77777777" w:rsidR="001506C1" w:rsidRPr="00FA3F9C" w:rsidRDefault="001506C1" w:rsidP="000C3539">
            <w:pPr>
              <w:rPr>
                <w:rFonts w:ascii="Arial" w:hAnsi="Arial" w:cs="Arial"/>
                <w:sz w:val="24"/>
                <w:szCs w:val="24"/>
              </w:rPr>
            </w:pPr>
          </w:p>
          <w:p w14:paraId="508AADCB" w14:textId="77777777" w:rsidR="001506C1" w:rsidRPr="00FA3F9C" w:rsidRDefault="001506C1" w:rsidP="000C3539">
            <w:pPr>
              <w:rPr>
                <w:rFonts w:ascii="Arial" w:hAnsi="Arial" w:cs="Arial"/>
                <w:sz w:val="24"/>
                <w:szCs w:val="24"/>
              </w:rPr>
            </w:pPr>
            <w:r w:rsidRPr="00FA3F9C">
              <w:rPr>
                <w:rFonts w:ascii="Arial" w:hAnsi="Arial" w:cs="Arial"/>
                <w:sz w:val="24"/>
                <w:szCs w:val="24"/>
              </w:rPr>
              <w:t>Dose: 160 mg PO once daily until progression of disease or unacceptable toxicity.</w:t>
            </w:r>
          </w:p>
          <w:p w14:paraId="733A20FB" w14:textId="77777777" w:rsidR="001506C1" w:rsidRPr="00FA3F9C" w:rsidRDefault="001506C1" w:rsidP="000C3539">
            <w:pPr>
              <w:rPr>
                <w:rFonts w:ascii="Arial" w:hAnsi="Arial" w:cs="Arial"/>
                <w:sz w:val="24"/>
                <w:szCs w:val="24"/>
              </w:rPr>
            </w:pPr>
          </w:p>
          <w:p w14:paraId="18102E07" w14:textId="77777777" w:rsidR="001506C1" w:rsidRPr="00FA3F9C" w:rsidRDefault="001506C1" w:rsidP="000C3539">
            <w:pPr>
              <w:rPr>
                <w:rFonts w:ascii="Arial" w:hAnsi="Arial" w:cs="Arial"/>
                <w:sz w:val="24"/>
                <w:szCs w:val="24"/>
              </w:rPr>
            </w:pPr>
            <w:r w:rsidRPr="00FA3F9C">
              <w:rPr>
                <w:rFonts w:ascii="Arial" w:hAnsi="Arial" w:cs="Arial"/>
                <w:sz w:val="24"/>
                <w:szCs w:val="24"/>
              </w:rPr>
              <w:t>REFERENCE:</w:t>
            </w:r>
          </w:p>
          <w:p w14:paraId="3FC28B4C" w14:textId="77777777" w:rsidR="001506C1" w:rsidRPr="00FA3F9C" w:rsidRDefault="001506C1" w:rsidP="00D164B7">
            <w:pPr>
              <w:spacing w:after="160" w:line="259" w:lineRule="auto"/>
              <w:rPr>
                <w:rFonts w:ascii="Arial" w:hAnsi="Arial" w:cs="Arial"/>
                <w:sz w:val="24"/>
                <w:szCs w:val="24"/>
              </w:rPr>
            </w:pPr>
            <w:r w:rsidRPr="00FA3F9C">
              <w:rPr>
                <w:rFonts w:ascii="Arial" w:hAnsi="Arial" w:cs="Arial"/>
                <w:sz w:val="24"/>
                <w:szCs w:val="24"/>
              </w:rPr>
              <w:t xml:space="preserve">1. Hussain M et al. </w:t>
            </w:r>
            <w:r w:rsidRPr="00FA3F9C">
              <w:rPr>
                <w:rStyle w:val="titledefault"/>
                <w:rFonts w:ascii="Arial" w:hAnsi="Arial" w:cs="Arial"/>
                <w:color w:val="1A1A1A"/>
                <w:sz w:val="24"/>
                <w:szCs w:val="24"/>
                <w:lang w:val="en"/>
              </w:rPr>
              <w:t xml:space="preserve">Enzalutamide in Men with Nonmetastatic, Castration-Resistant Prostate Cancer. </w:t>
            </w:r>
            <w:r w:rsidRPr="00FA3F9C">
              <w:rPr>
                <w:rFonts w:ascii="Arial" w:hAnsi="Arial" w:cs="Arial"/>
                <w:sz w:val="24"/>
                <w:szCs w:val="24"/>
              </w:rPr>
              <w:t>NEJM 2018 June 28;378(26):2465-2474. [NCT02003924, PMID 29949494]</w:t>
            </w:r>
          </w:p>
          <w:p w14:paraId="2566CAC3" w14:textId="77777777" w:rsidR="001506C1" w:rsidRPr="00FA3F9C" w:rsidRDefault="001506C1" w:rsidP="00D164B7">
            <w:pPr>
              <w:spacing w:after="160" w:line="259" w:lineRule="auto"/>
              <w:rPr>
                <w:rFonts w:ascii="Arial" w:hAnsi="Arial" w:cs="Arial"/>
                <w:sz w:val="24"/>
                <w:szCs w:val="24"/>
              </w:rPr>
            </w:pPr>
            <w:r w:rsidRPr="00500371">
              <w:rPr>
                <w:rFonts w:ascii="Arial" w:hAnsi="Arial" w:cs="Arial"/>
                <w:sz w:val="24"/>
                <w:szCs w:val="24"/>
                <w:lang w:val="fr-FR"/>
              </w:rPr>
              <w:t xml:space="preserve">2. Di </w:t>
            </w:r>
            <w:proofErr w:type="spellStart"/>
            <w:r w:rsidRPr="00500371">
              <w:rPr>
                <w:rFonts w:ascii="Arial" w:hAnsi="Arial" w:cs="Arial"/>
                <w:sz w:val="24"/>
                <w:szCs w:val="24"/>
                <w:lang w:val="fr-FR"/>
              </w:rPr>
              <w:t>Nunno</w:t>
            </w:r>
            <w:proofErr w:type="spellEnd"/>
            <w:r w:rsidRPr="00500371">
              <w:rPr>
                <w:rFonts w:ascii="Arial" w:hAnsi="Arial" w:cs="Arial"/>
                <w:sz w:val="24"/>
                <w:szCs w:val="24"/>
                <w:lang w:val="fr-FR"/>
              </w:rPr>
              <w:t xml:space="preserve"> V et al. </w:t>
            </w:r>
            <w:r w:rsidRPr="00FA3F9C">
              <w:rPr>
                <w:rFonts w:ascii="Arial" w:hAnsi="Arial" w:cs="Arial"/>
                <w:sz w:val="24"/>
                <w:szCs w:val="24"/>
              </w:rPr>
              <w:t xml:space="preserve">New Hormonal Agents in Patients </w:t>
            </w:r>
            <w:proofErr w:type="gramStart"/>
            <w:r w:rsidRPr="00FA3F9C">
              <w:rPr>
                <w:rFonts w:ascii="Arial" w:hAnsi="Arial" w:cs="Arial"/>
                <w:sz w:val="24"/>
                <w:szCs w:val="24"/>
              </w:rPr>
              <w:t>With</w:t>
            </w:r>
            <w:proofErr w:type="gramEnd"/>
            <w:r w:rsidRPr="00FA3F9C">
              <w:rPr>
                <w:rFonts w:ascii="Arial" w:hAnsi="Arial" w:cs="Arial"/>
                <w:sz w:val="24"/>
                <w:szCs w:val="24"/>
              </w:rPr>
              <w:t xml:space="preserve"> Nonmetastatic Castration-Resistant Prostate Cancer: Meta-Analysis of Efficacy and Safety Outcomes. Clin </w:t>
            </w:r>
            <w:proofErr w:type="spellStart"/>
            <w:r w:rsidRPr="00FA3F9C">
              <w:rPr>
                <w:rFonts w:ascii="Arial" w:hAnsi="Arial" w:cs="Arial"/>
                <w:sz w:val="24"/>
                <w:szCs w:val="24"/>
              </w:rPr>
              <w:t>Genitourin</w:t>
            </w:r>
            <w:proofErr w:type="spellEnd"/>
            <w:r w:rsidRPr="00FA3F9C">
              <w:rPr>
                <w:rFonts w:ascii="Arial" w:hAnsi="Arial" w:cs="Arial"/>
                <w:sz w:val="24"/>
                <w:szCs w:val="24"/>
              </w:rPr>
              <w:t xml:space="preserve"> Cancer. 2019 Jul 8. </w:t>
            </w:r>
            <w:proofErr w:type="spellStart"/>
            <w:r w:rsidRPr="00FA3F9C">
              <w:rPr>
                <w:rFonts w:ascii="Arial" w:hAnsi="Arial" w:cs="Arial"/>
                <w:sz w:val="24"/>
                <w:szCs w:val="24"/>
              </w:rPr>
              <w:t>pii</w:t>
            </w:r>
            <w:proofErr w:type="spellEnd"/>
            <w:r w:rsidRPr="00FA3F9C">
              <w:rPr>
                <w:rFonts w:ascii="Arial" w:hAnsi="Arial" w:cs="Arial"/>
                <w:sz w:val="24"/>
                <w:szCs w:val="24"/>
              </w:rPr>
              <w:t xml:space="preserve">: S1558-7673(19)30207-1. </w:t>
            </w:r>
            <w:proofErr w:type="spellStart"/>
            <w:r w:rsidRPr="00FA3F9C">
              <w:rPr>
                <w:rFonts w:ascii="Arial" w:hAnsi="Arial" w:cs="Arial"/>
                <w:sz w:val="24"/>
                <w:szCs w:val="24"/>
              </w:rPr>
              <w:t>doi</w:t>
            </w:r>
            <w:proofErr w:type="spellEnd"/>
            <w:r w:rsidRPr="00FA3F9C">
              <w:rPr>
                <w:rFonts w:ascii="Arial" w:hAnsi="Arial" w:cs="Arial"/>
                <w:sz w:val="24"/>
                <w:szCs w:val="24"/>
              </w:rPr>
              <w:t>: 10.1016/j.clgc.2019.07.001. [</w:t>
            </w:r>
            <w:proofErr w:type="spellStart"/>
            <w:r w:rsidRPr="00FA3F9C">
              <w:rPr>
                <w:rFonts w:ascii="Arial" w:hAnsi="Arial" w:cs="Arial"/>
                <w:sz w:val="24"/>
                <w:szCs w:val="24"/>
              </w:rPr>
              <w:t>Epub</w:t>
            </w:r>
            <w:proofErr w:type="spellEnd"/>
            <w:r w:rsidRPr="00FA3F9C">
              <w:rPr>
                <w:rFonts w:ascii="Arial" w:hAnsi="Arial" w:cs="Arial"/>
                <w:sz w:val="24"/>
                <w:szCs w:val="24"/>
              </w:rPr>
              <w:t xml:space="preserve"> ahead of print] PMID 31378578</w:t>
            </w:r>
          </w:p>
          <w:p w14:paraId="737D60BF" w14:textId="77777777" w:rsidR="001506C1" w:rsidRPr="00FA3F9C" w:rsidRDefault="001506C1" w:rsidP="003A5865">
            <w:pPr>
              <w:spacing w:after="160" w:line="259" w:lineRule="auto"/>
              <w:rPr>
                <w:rFonts w:ascii="Arial" w:hAnsi="Arial" w:cs="Arial"/>
                <w:sz w:val="24"/>
                <w:szCs w:val="24"/>
              </w:rPr>
            </w:pPr>
            <w:r w:rsidRPr="00FA3F9C">
              <w:rPr>
                <w:rFonts w:ascii="Arial" w:hAnsi="Arial" w:cs="Arial"/>
                <w:sz w:val="24"/>
                <w:szCs w:val="24"/>
                <w:lang w:val="fr-FR"/>
              </w:rPr>
              <w:t xml:space="preserve">3. </w:t>
            </w:r>
            <w:proofErr w:type="spellStart"/>
            <w:r w:rsidRPr="00FA3F9C">
              <w:rPr>
                <w:rFonts w:ascii="Arial" w:hAnsi="Arial" w:cs="Arial"/>
                <w:sz w:val="24"/>
                <w:szCs w:val="24"/>
                <w:lang w:val="fr-FR"/>
              </w:rPr>
              <w:t>Hird</w:t>
            </w:r>
            <w:proofErr w:type="spellEnd"/>
            <w:r w:rsidRPr="00FA3F9C">
              <w:rPr>
                <w:rFonts w:ascii="Arial" w:hAnsi="Arial" w:cs="Arial"/>
                <w:sz w:val="24"/>
                <w:szCs w:val="24"/>
                <w:lang w:val="fr-FR"/>
              </w:rPr>
              <w:t xml:space="preserve"> AE, Magee DE, </w:t>
            </w:r>
            <w:proofErr w:type="spellStart"/>
            <w:r w:rsidRPr="00FA3F9C">
              <w:rPr>
                <w:rFonts w:ascii="Arial" w:hAnsi="Arial" w:cs="Arial"/>
                <w:sz w:val="24"/>
                <w:szCs w:val="24"/>
                <w:lang w:val="fr-FR"/>
              </w:rPr>
              <w:t>Bhindi</w:t>
            </w:r>
            <w:proofErr w:type="spellEnd"/>
            <w:r w:rsidRPr="00FA3F9C">
              <w:rPr>
                <w:rFonts w:ascii="Arial" w:hAnsi="Arial" w:cs="Arial"/>
                <w:sz w:val="24"/>
                <w:szCs w:val="24"/>
                <w:lang w:val="fr-FR"/>
              </w:rPr>
              <w:t xml:space="preserve"> B, et al. </w:t>
            </w:r>
            <w:r w:rsidRPr="00FA3F9C">
              <w:rPr>
                <w:rFonts w:ascii="Arial" w:hAnsi="Arial" w:cs="Arial"/>
                <w:sz w:val="24"/>
                <w:szCs w:val="24"/>
              </w:rPr>
              <w:t xml:space="preserve">A Systematic Review and Network Meta-analysis of Novel Androgen Receptor Inhibitors in Non-metastatic Castration-resistant Prostate Cancer [published online ahead of print, 2020 Mar 6]. Clin </w:t>
            </w:r>
            <w:proofErr w:type="spellStart"/>
            <w:r w:rsidRPr="00FA3F9C">
              <w:rPr>
                <w:rFonts w:ascii="Arial" w:hAnsi="Arial" w:cs="Arial"/>
                <w:sz w:val="24"/>
                <w:szCs w:val="24"/>
              </w:rPr>
              <w:t>Genitourin</w:t>
            </w:r>
            <w:proofErr w:type="spellEnd"/>
            <w:r w:rsidRPr="00FA3F9C">
              <w:rPr>
                <w:rFonts w:ascii="Arial" w:hAnsi="Arial" w:cs="Arial"/>
                <w:sz w:val="24"/>
                <w:szCs w:val="24"/>
              </w:rPr>
              <w:t xml:space="preserve"> Cancer. 2020;S1558-7673(20)30039-2. PMID 32278840</w:t>
            </w:r>
          </w:p>
          <w:p w14:paraId="2BF56B49" w14:textId="77777777" w:rsidR="001506C1" w:rsidRPr="00FA3F9C" w:rsidRDefault="001506C1" w:rsidP="003A5865">
            <w:pPr>
              <w:spacing w:after="160" w:line="259" w:lineRule="auto"/>
              <w:rPr>
                <w:rFonts w:ascii="Arial" w:hAnsi="Arial" w:cs="Arial"/>
                <w:sz w:val="24"/>
                <w:szCs w:val="24"/>
              </w:rPr>
            </w:pPr>
            <w:r w:rsidRPr="00FA3F9C">
              <w:rPr>
                <w:rFonts w:ascii="Arial" w:hAnsi="Arial" w:cs="Arial"/>
                <w:sz w:val="24"/>
                <w:szCs w:val="24"/>
              </w:rPr>
              <w:lastRenderedPageBreak/>
              <w:t xml:space="preserve">4. Mori, Keiichiro, et al. "Apalutamide, enzalutamide, and </w:t>
            </w:r>
            <w:proofErr w:type="spellStart"/>
            <w:r w:rsidRPr="00FA3F9C">
              <w:rPr>
                <w:rFonts w:ascii="Arial" w:hAnsi="Arial" w:cs="Arial"/>
                <w:sz w:val="24"/>
                <w:szCs w:val="24"/>
              </w:rPr>
              <w:t>darolutamide</w:t>
            </w:r>
            <w:proofErr w:type="spellEnd"/>
            <w:r w:rsidRPr="00FA3F9C">
              <w:rPr>
                <w:rFonts w:ascii="Arial" w:hAnsi="Arial" w:cs="Arial"/>
                <w:sz w:val="24"/>
                <w:szCs w:val="24"/>
              </w:rPr>
              <w:t xml:space="preserve"> for non-metastatic castration-resistant prostate cancer: a systematic review and network meta-analysis." International journal of clinical oncology (2020): 1-9.</w:t>
            </w:r>
          </w:p>
        </w:tc>
      </w:tr>
    </w:tbl>
    <w:p w14:paraId="00E71D11" w14:textId="77777777" w:rsidR="001506C1" w:rsidRPr="00FA3F9C" w:rsidRDefault="001506C1" w:rsidP="006F623F">
      <w:pPr>
        <w:spacing w:after="0"/>
        <w:rPr>
          <w:rFonts w:ascii="Arial" w:hAnsi="Arial" w:cs="Arial"/>
          <w:b/>
          <w:sz w:val="24"/>
          <w:szCs w:val="24"/>
          <w:u w:val="single"/>
        </w:rPr>
      </w:pPr>
    </w:p>
    <w:tbl>
      <w:tblPr>
        <w:tblStyle w:val="TableGrid"/>
        <w:tblW w:w="0" w:type="auto"/>
        <w:tblLook w:val="04A0" w:firstRow="1" w:lastRow="0" w:firstColumn="1" w:lastColumn="0" w:noHBand="0" w:noVBand="1"/>
      </w:tblPr>
      <w:tblGrid>
        <w:gridCol w:w="8928"/>
        <w:gridCol w:w="2088"/>
      </w:tblGrid>
      <w:tr w:rsidR="001506C1" w:rsidRPr="00FA3F9C" w14:paraId="46704956" w14:textId="77777777" w:rsidTr="00225CAE">
        <w:tc>
          <w:tcPr>
            <w:tcW w:w="8928" w:type="dxa"/>
            <w:shd w:val="clear" w:color="auto" w:fill="000000"/>
          </w:tcPr>
          <w:p w14:paraId="3D52CA9A" w14:textId="77777777" w:rsidR="001506C1" w:rsidRPr="00FA3F9C" w:rsidRDefault="001506C1" w:rsidP="00225CAE">
            <w:pPr>
              <w:rPr>
                <w:rFonts w:ascii="Arial" w:hAnsi="Arial" w:cs="Arial"/>
                <w:sz w:val="24"/>
                <w:szCs w:val="24"/>
              </w:rPr>
            </w:pPr>
            <w:r w:rsidRPr="00FA3F9C">
              <w:rPr>
                <w:rFonts w:ascii="Arial" w:hAnsi="Arial" w:cs="Arial"/>
                <w:sz w:val="24"/>
                <w:szCs w:val="24"/>
              </w:rPr>
              <w:t>METASTATIC CRPC</w:t>
            </w:r>
          </w:p>
        </w:tc>
        <w:tc>
          <w:tcPr>
            <w:tcW w:w="2088" w:type="dxa"/>
            <w:shd w:val="clear" w:color="auto" w:fill="000000"/>
          </w:tcPr>
          <w:p w14:paraId="2C33487A" w14:textId="77777777" w:rsidR="001506C1" w:rsidRPr="00FA3F9C" w:rsidRDefault="001506C1" w:rsidP="00225CAE">
            <w:pPr>
              <w:jc w:val="center"/>
              <w:rPr>
                <w:rFonts w:ascii="Arial" w:hAnsi="Arial" w:cs="Arial"/>
                <w:b/>
                <w:sz w:val="24"/>
                <w:szCs w:val="24"/>
                <w:u w:val="single"/>
              </w:rPr>
            </w:pPr>
          </w:p>
        </w:tc>
      </w:tr>
      <w:tr w:rsidR="001506C1" w:rsidRPr="00FA3F9C" w14:paraId="6F4F7F44" w14:textId="77777777" w:rsidTr="00225CAE">
        <w:tc>
          <w:tcPr>
            <w:tcW w:w="11016" w:type="dxa"/>
            <w:gridSpan w:val="2"/>
          </w:tcPr>
          <w:p w14:paraId="5CBA39FD" w14:textId="77777777" w:rsidR="001506C1" w:rsidRPr="00FA3F9C" w:rsidRDefault="001506C1" w:rsidP="00062BD4">
            <w:pPr>
              <w:rPr>
                <w:rFonts w:ascii="Arial" w:hAnsi="Arial" w:cs="Arial"/>
                <w:sz w:val="24"/>
                <w:szCs w:val="24"/>
              </w:rPr>
            </w:pPr>
            <w:r w:rsidRPr="00FA3F9C">
              <w:rPr>
                <w:rFonts w:ascii="Arial" w:hAnsi="Arial" w:cs="Arial"/>
                <w:sz w:val="24"/>
                <w:szCs w:val="24"/>
              </w:rPr>
              <w:t xml:space="preserve">Diagnosis of metastatic prostate cancer </w:t>
            </w:r>
          </w:p>
        </w:tc>
      </w:tr>
      <w:tr w:rsidR="001506C1" w:rsidRPr="00FA3F9C" w14:paraId="388E1830" w14:textId="77777777" w:rsidTr="00225CAE">
        <w:tc>
          <w:tcPr>
            <w:tcW w:w="11016" w:type="dxa"/>
            <w:gridSpan w:val="2"/>
          </w:tcPr>
          <w:p w14:paraId="57D2442B" w14:textId="77777777" w:rsidR="001506C1" w:rsidRPr="00FA3F9C" w:rsidRDefault="001506C1" w:rsidP="00507F35">
            <w:pPr>
              <w:rPr>
                <w:rFonts w:ascii="Arial" w:hAnsi="Arial" w:cs="Arial"/>
                <w:sz w:val="24"/>
                <w:szCs w:val="24"/>
              </w:rPr>
            </w:pPr>
            <w:r w:rsidRPr="00FA3F9C">
              <w:rPr>
                <w:rFonts w:ascii="Arial" w:hAnsi="Arial" w:cs="Arial"/>
                <w:sz w:val="24"/>
                <w:szCs w:val="24"/>
              </w:rPr>
              <w:t>The patient has castrate level of testosterone (&lt;50 ng/dl)</w:t>
            </w:r>
          </w:p>
        </w:tc>
      </w:tr>
      <w:tr w:rsidR="001506C1" w:rsidRPr="00FA3F9C" w14:paraId="20BABE71" w14:textId="77777777" w:rsidTr="00225CAE">
        <w:tc>
          <w:tcPr>
            <w:tcW w:w="11016" w:type="dxa"/>
            <w:gridSpan w:val="2"/>
          </w:tcPr>
          <w:p w14:paraId="3E42B8DD" w14:textId="77777777" w:rsidR="001506C1" w:rsidRPr="00FA3F9C" w:rsidRDefault="001506C1" w:rsidP="00507F35">
            <w:pPr>
              <w:rPr>
                <w:rFonts w:ascii="Arial" w:hAnsi="Arial" w:cs="Arial"/>
                <w:sz w:val="24"/>
                <w:szCs w:val="24"/>
              </w:rPr>
            </w:pPr>
            <w:r w:rsidRPr="00FA3F9C">
              <w:rPr>
                <w:rFonts w:ascii="Arial" w:hAnsi="Arial" w:cs="Arial"/>
                <w:sz w:val="24"/>
                <w:szCs w:val="24"/>
              </w:rPr>
              <w:t>At the start of therapy with this drug, the patient’s ECOG performance level is 0-2</w:t>
            </w:r>
          </w:p>
        </w:tc>
      </w:tr>
      <w:tr w:rsidR="001506C1" w:rsidRPr="00FA3F9C" w14:paraId="331FF7CE" w14:textId="77777777" w:rsidTr="00225CAE">
        <w:tc>
          <w:tcPr>
            <w:tcW w:w="11016" w:type="dxa"/>
            <w:gridSpan w:val="2"/>
          </w:tcPr>
          <w:p w14:paraId="3728CBD2" w14:textId="77777777" w:rsidR="001506C1" w:rsidRPr="00FA3F9C" w:rsidRDefault="001506C1" w:rsidP="00945C4F">
            <w:pPr>
              <w:rPr>
                <w:rFonts w:ascii="Arial" w:hAnsi="Arial" w:cs="Arial"/>
                <w:sz w:val="24"/>
                <w:szCs w:val="24"/>
              </w:rPr>
            </w:pPr>
            <w:r w:rsidRPr="00FA3F9C">
              <w:rPr>
                <w:rFonts w:ascii="Arial" w:hAnsi="Arial" w:cs="Arial"/>
                <w:sz w:val="24"/>
                <w:szCs w:val="24"/>
              </w:rPr>
              <w:t xml:space="preserve">The patient does NOT have history of progression of disease (rising PSA or radiographic progression) on apalutamide, </w:t>
            </w:r>
            <w:proofErr w:type="spellStart"/>
            <w:r w:rsidRPr="00FA3F9C">
              <w:rPr>
                <w:rFonts w:ascii="Arial" w:hAnsi="Arial" w:cs="Arial"/>
                <w:sz w:val="24"/>
                <w:szCs w:val="24"/>
              </w:rPr>
              <w:t>darolutamide</w:t>
            </w:r>
            <w:proofErr w:type="spellEnd"/>
            <w:r w:rsidRPr="00FA3F9C">
              <w:rPr>
                <w:rFonts w:ascii="Arial" w:hAnsi="Arial" w:cs="Arial"/>
                <w:sz w:val="24"/>
                <w:szCs w:val="24"/>
              </w:rPr>
              <w:t>, or enzalutamide.</w:t>
            </w:r>
          </w:p>
        </w:tc>
      </w:tr>
      <w:tr w:rsidR="001506C1" w:rsidRPr="00FA3F9C" w14:paraId="7A4E8DBD" w14:textId="77777777" w:rsidTr="00225CAE">
        <w:tc>
          <w:tcPr>
            <w:tcW w:w="11016" w:type="dxa"/>
            <w:gridSpan w:val="2"/>
          </w:tcPr>
          <w:p w14:paraId="6C725C5F" w14:textId="77777777" w:rsidR="001506C1" w:rsidRPr="00FA3F9C" w:rsidRDefault="001506C1" w:rsidP="00945C4F">
            <w:pPr>
              <w:rPr>
                <w:rFonts w:ascii="Arial" w:hAnsi="Arial" w:cs="Arial"/>
                <w:sz w:val="24"/>
                <w:szCs w:val="24"/>
              </w:rPr>
            </w:pPr>
            <w:r w:rsidRPr="00FA3F9C">
              <w:rPr>
                <w:rFonts w:ascii="Arial" w:hAnsi="Arial" w:cs="Arial"/>
                <w:sz w:val="24"/>
                <w:szCs w:val="24"/>
              </w:rPr>
              <w:t>The patient has had progression of disease on abiraterone (Zytiga/generic).</w:t>
            </w:r>
          </w:p>
        </w:tc>
      </w:tr>
      <w:tr w:rsidR="001506C1" w:rsidRPr="00FA3F9C" w14:paraId="50AD16DD" w14:textId="77777777" w:rsidTr="00225CAE">
        <w:tc>
          <w:tcPr>
            <w:tcW w:w="11016" w:type="dxa"/>
            <w:gridSpan w:val="2"/>
          </w:tcPr>
          <w:p w14:paraId="32A074C9" w14:textId="77777777" w:rsidR="001506C1" w:rsidRPr="00FA3F9C" w:rsidRDefault="001506C1" w:rsidP="00225CAE">
            <w:pPr>
              <w:rPr>
                <w:rFonts w:ascii="Arial" w:hAnsi="Arial" w:cs="Arial"/>
                <w:b/>
                <w:sz w:val="24"/>
                <w:szCs w:val="24"/>
              </w:rPr>
            </w:pPr>
            <w:r w:rsidRPr="00FA3F9C">
              <w:rPr>
                <w:rFonts w:ascii="Arial" w:hAnsi="Arial" w:cs="Arial"/>
                <w:b/>
                <w:sz w:val="24"/>
                <w:szCs w:val="24"/>
              </w:rPr>
              <w:t xml:space="preserve">If </w:t>
            </w:r>
            <w:proofErr w:type="gramStart"/>
            <w:r w:rsidRPr="00FA3F9C">
              <w:rPr>
                <w:rFonts w:ascii="Arial" w:hAnsi="Arial" w:cs="Arial"/>
                <w:b/>
                <w:sz w:val="24"/>
                <w:szCs w:val="24"/>
              </w:rPr>
              <w:t>all of</w:t>
            </w:r>
            <w:proofErr w:type="gramEnd"/>
            <w:r w:rsidRPr="00FA3F9C">
              <w:rPr>
                <w:rFonts w:ascii="Arial" w:hAnsi="Arial" w:cs="Arial"/>
                <w:b/>
                <w:sz w:val="24"/>
                <w:szCs w:val="24"/>
              </w:rPr>
              <w:t xml:space="preserve"> the above criteria are met, approve for 1 year</w:t>
            </w:r>
          </w:p>
        </w:tc>
      </w:tr>
      <w:tr w:rsidR="001506C1" w:rsidRPr="00FA3F9C" w14:paraId="2DC5D5E9" w14:textId="77777777" w:rsidTr="00696A19">
        <w:trPr>
          <w:trHeight w:val="80"/>
        </w:trPr>
        <w:tc>
          <w:tcPr>
            <w:tcW w:w="11016" w:type="dxa"/>
            <w:gridSpan w:val="2"/>
            <w:shd w:val="clear" w:color="auto" w:fill="BFBFBF" w:themeFill="background1" w:themeFillShade="BF"/>
          </w:tcPr>
          <w:p w14:paraId="1B52FFF1" w14:textId="77777777" w:rsidR="001506C1" w:rsidRPr="00FA3F9C" w:rsidRDefault="001506C1" w:rsidP="00225CAE">
            <w:pPr>
              <w:rPr>
                <w:rFonts w:ascii="Arial" w:hAnsi="Arial" w:cs="Arial"/>
                <w:sz w:val="24"/>
                <w:szCs w:val="24"/>
              </w:rPr>
            </w:pPr>
            <w:r w:rsidRPr="00FA3F9C">
              <w:rPr>
                <w:rFonts w:ascii="Arial" w:hAnsi="Arial" w:cs="Arial"/>
                <w:sz w:val="24"/>
                <w:szCs w:val="24"/>
              </w:rPr>
              <w:t xml:space="preserve">Note: </w:t>
            </w:r>
          </w:p>
          <w:p w14:paraId="5A318A5B" w14:textId="77777777" w:rsidR="001506C1" w:rsidRPr="00FA3F9C" w:rsidRDefault="001506C1" w:rsidP="001506C1">
            <w:pPr>
              <w:pStyle w:val="ListParagraph"/>
              <w:numPr>
                <w:ilvl w:val="0"/>
                <w:numId w:val="170"/>
              </w:numPr>
              <w:ind w:left="270" w:hanging="180"/>
              <w:rPr>
                <w:rFonts w:ascii="Arial" w:hAnsi="Arial" w:cs="Arial"/>
                <w:sz w:val="24"/>
                <w:szCs w:val="24"/>
              </w:rPr>
            </w:pPr>
            <w:r w:rsidRPr="00FA3F9C">
              <w:rPr>
                <w:rFonts w:ascii="Arial" w:hAnsi="Arial" w:cs="Arial"/>
                <w:sz w:val="24"/>
                <w:szCs w:val="24"/>
              </w:rPr>
              <w:t>Enzalutamide AFTER chemo: Enzalutamide was compared to placebo in men with metastatic castration resistant prostate cancer (</w:t>
            </w:r>
            <w:proofErr w:type="spellStart"/>
            <w:r w:rsidRPr="00FA3F9C">
              <w:rPr>
                <w:rFonts w:ascii="Arial" w:hAnsi="Arial" w:cs="Arial"/>
                <w:sz w:val="24"/>
                <w:szCs w:val="24"/>
              </w:rPr>
              <w:t>mCRPC</w:t>
            </w:r>
            <w:proofErr w:type="spellEnd"/>
            <w:r w:rsidRPr="00FA3F9C">
              <w:rPr>
                <w:rFonts w:ascii="Arial" w:hAnsi="Arial" w:cs="Arial"/>
                <w:sz w:val="24"/>
                <w:szCs w:val="24"/>
              </w:rPr>
              <w:t xml:space="preserve">) who received prior chemotherapy. Overall survival was improved with enzalutamide (18.4 </w:t>
            </w:r>
            <w:proofErr w:type="spellStart"/>
            <w:r w:rsidRPr="00FA3F9C">
              <w:rPr>
                <w:rFonts w:ascii="Arial" w:hAnsi="Arial" w:cs="Arial"/>
                <w:sz w:val="24"/>
                <w:szCs w:val="24"/>
              </w:rPr>
              <w:t>mo</w:t>
            </w:r>
            <w:proofErr w:type="spellEnd"/>
            <w:r w:rsidRPr="00FA3F9C">
              <w:rPr>
                <w:rFonts w:ascii="Arial" w:hAnsi="Arial" w:cs="Arial"/>
                <w:sz w:val="24"/>
                <w:szCs w:val="24"/>
              </w:rPr>
              <w:t xml:space="preserve">) versus placebo (13.6 </w:t>
            </w:r>
            <w:proofErr w:type="spellStart"/>
            <w:r w:rsidRPr="00FA3F9C">
              <w:rPr>
                <w:rFonts w:ascii="Arial" w:hAnsi="Arial" w:cs="Arial"/>
                <w:sz w:val="24"/>
                <w:szCs w:val="24"/>
              </w:rPr>
              <w:t>mo</w:t>
            </w:r>
            <w:proofErr w:type="spellEnd"/>
            <w:r w:rsidRPr="00FA3F9C">
              <w:rPr>
                <w:rFonts w:ascii="Arial" w:hAnsi="Arial" w:cs="Arial"/>
                <w:sz w:val="24"/>
                <w:szCs w:val="24"/>
              </w:rPr>
              <w:t>).</w:t>
            </w:r>
            <w:r w:rsidRPr="00FA3F9C">
              <w:rPr>
                <w:rFonts w:ascii="Arial" w:hAnsi="Arial" w:cs="Arial"/>
                <w:sz w:val="24"/>
                <w:szCs w:val="24"/>
                <w:vertAlign w:val="superscript"/>
              </w:rPr>
              <w:t>1</w:t>
            </w:r>
          </w:p>
          <w:p w14:paraId="39959BAD" w14:textId="77777777" w:rsidR="001506C1" w:rsidRPr="00FA3F9C" w:rsidRDefault="001506C1" w:rsidP="001506C1">
            <w:pPr>
              <w:pStyle w:val="ListParagraph"/>
              <w:numPr>
                <w:ilvl w:val="0"/>
                <w:numId w:val="170"/>
              </w:numPr>
              <w:ind w:left="270" w:hanging="180"/>
              <w:rPr>
                <w:rFonts w:ascii="Arial" w:hAnsi="Arial" w:cs="Arial"/>
                <w:sz w:val="24"/>
                <w:szCs w:val="24"/>
              </w:rPr>
            </w:pPr>
            <w:r w:rsidRPr="00FA3F9C">
              <w:rPr>
                <w:rFonts w:ascii="Arial" w:hAnsi="Arial" w:cs="Arial"/>
                <w:sz w:val="24"/>
                <w:szCs w:val="24"/>
              </w:rPr>
              <w:t xml:space="preserve">Enzalutamide BEFORE chemo: Enzalutamide was compared to placebo in men with </w:t>
            </w:r>
            <w:proofErr w:type="spellStart"/>
            <w:r w:rsidRPr="00FA3F9C">
              <w:rPr>
                <w:rFonts w:ascii="Arial" w:hAnsi="Arial" w:cs="Arial"/>
                <w:sz w:val="24"/>
                <w:szCs w:val="24"/>
              </w:rPr>
              <w:t>mCRPC</w:t>
            </w:r>
            <w:proofErr w:type="spellEnd"/>
            <w:r w:rsidRPr="00FA3F9C">
              <w:rPr>
                <w:rFonts w:ascii="Arial" w:hAnsi="Arial" w:cs="Arial"/>
                <w:sz w:val="24"/>
                <w:szCs w:val="24"/>
              </w:rPr>
              <w:t xml:space="preserve"> who had not received prior chemotherapy. Progression free survival was improved with enzalutamide (20 </w:t>
            </w:r>
            <w:proofErr w:type="spellStart"/>
            <w:r w:rsidRPr="00FA3F9C">
              <w:rPr>
                <w:rFonts w:ascii="Arial" w:hAnsi="Arial" w:cs="Arial"/>
                <w:sz w:val="24"/>
                <w:szCs w:val="24"/>
              </w:rPr>
              <w:t>mo</w:t>
            </w:r>
            <w:proofErr w:type="spellEnd"/>
            <w:r w:rsidRPr="00FA3F9C">
              <w:rPr>
                <w:rFonts w:ascii="Arial" w:hAnsi="Arial" w:cs="Arial"/>
                <w:sz w:val="24"/>
                <w:szCs w:val="24"/>
              </w:rPr>
              <w:t xml:space="preserve">) versus placebo (5.4 </w:t>
            </w:r>
            <w:proofErr w:type="spellStart"/>
            <w:r w:rsidRPr="00FA3F9C">
              <w:rPr>
                <w:rFonts w:ascii="Arial" w:hAnsi="Arial" w:cs="Arial"/>
                <w:sz w:val="24"/>
                <w:szCs w:val="24"/>
              </w:rPr>
              <w:t>mo</w:t>
            </w:r>
            <w:proofErr w:type="spellEnd"/>
            <w:r w:rsidRPr="00FA3F9C">
              <w:rPr>
                <w:rFonts w:ascii="Arial" w:hAnsi="Arial" w:cs="Arial"/>
                <w:sz w:val="24"/>
                <w:szCs w:val="24"/>
              </w:rPr>
              <w:t xml:space="preserve">). Median overall survival was statistically improved with enzalutamide (35.3 </w:t>
            </w:r>
            <w:proofErr w:type="spellStart"/>
            <w:r w:rsidRPr="00FA3F9C">
              <w:rPr>
                <w:rFonts w:ascii="Arial" w:hAnsi="Arial" w:cs="Arial"/>
                <w:sz w:val="24"/>
                <w:szCs w:val="24"/>
              </w:rPr>
              <w:t>mo</w:t>
            </w:r>
            <w:proofErr w:type="spellEnd"/>
            <w:r w:rsidRPr="00FA3F9C">
              <w:rPr>
                <w:rFonts w:ascii="Arial" w:hAnsi="Arial" w:cs="Arial"/>
                <w:sz w:val="24"/>
                <w:szCs w:val="24"/>
              </w:rPr>
              <w:t xml:space="preserve">) versus placebo (31.3 </w:t>
            </w:r>
            <w:proofErr w:type="spellStart"/>
            <w:r w:rsidRPr="00FA3F9C">
              <w:rPr>
                <w:rFonts w:ascii="Arial" w:hAnsi="Arial" w:cs="Arial"/>
                <w:sz w:val="24"/>
                <w:szCs w:val="24"/>
              </w:rPr>
              <w:t>mo</w:t>
            </w:r>
            <w:proofErr w:type="spellEnd"/>
            <w:r w:rsidRPr="00FA3F9C">
              <w:rPr>
                <w:rFonts w:ascii="Arial" w:hAnsi="Arial" w:cs="Arial"/>
                <w:sz w:val="24"/>
                <w:szCs w:val="24"/>
              </w:rPr>
              <w:t xml:space="preserve">). This is a small </w:t>
            </w:r>
            <w:proofErr w:type="gramStart"/>
            <w:r w:rsidRPr="00FA3F9C">
              <w:rPr>
                <w:rFonts w:ascii="Arial" w:hAnsi="Arial" w:cs="Arial"/>
                <w:sz w:val="24"/>
                <w:szCs w:val="24"/>
              </w:rPr>
              <w:t>change</w:t>
            </w:r>
            <w:proofErr w:type="gramEnd"/>
            <w:r w:rsidRPr="00FA3F9C">
              <w:rPr>
                <w:rFonts w:ascii="Arial" w:hAnsi="Arial" w:cs="Arial"/>
                <w:sz w:val="24"/>
                <w:szCs w:val="24"/>
              </w:rPr>
              <w:t xml:space="preserve"> but placebo patients were allowed to crossover to enzalutamide which may confound OS results.</w:t>
            </w:r>
            <w:r w:rsidRPr="00FA3F9C">
              <w:rPr>
                <w:rFonts w:ascii="Arial" w:hAnsi="Arial" w:cs="Arial"/>
                <w:sz w:val="24"/>
                <w:szCs w:val="24"/>
                <w:vertAlign w:val="superscript"/>
              </w:rPr>
              <w:t>2,3</w:t>
            </w:r>
          </w:p>
          <w:p w14:paraId="3B8214CA" w14:textId="77777777" w:rsidR="001506C1" w:rsidRPr="00FA3F9C" w:rsidRDefault="001506C1" w:rsidP="001506C1">
            <w:pPr>
              <w:pStyle w:val="ListParagraph"/>
              <w:numPr>
                <w:ilvl w:val="0"/>
                <w:numId w:val="170"/>
              </w:numPr>
              <w:ind w:left="270" w:hanging="180"/>
              <w:rPr>
                <w:rFonts w:ascii="Arial" w:hAnsi="Arial" w:cs="Arial"/>
                <w:sz w:val="24"/>
                <w:szCs w:val="24"/>
              </w:rPr>
            </w:pPr>
            <w:r w:rsidRPr="00FA3F9C">
              <w:rPr>
                <w:rFonts w:ascii="Arial" w:hAnsi="Arial" w:cs="Arial"/>
                <w:sz w:val="24"/>
                <w:szCs w:val="24"/>
              </w:rPr>
              <w:t xml:space="preserve">Enzalutamide has not been studied in patients whose tumor progressed ON second-generation anti-androgens (apalutamide, </w:t>
            </w:r>
            <w:proofErr w:type="spellStart"/>
            <w:r w:rsidRPr="00FA3F9C">
              <w:rPr>
                <w:rFonts w:ascii="Arial" w:hAnsi="Arial" w:cs="Arial"/>
                <w:sz w:val="24"/>
                <w:szCs w:val="24"/>
              </w:rPr>
              <w:t>darolutamide</w:t>
            </w:r>
            <w:proofErr w:type="spellEnd"/>
            <w:r w:rsidRPr="00FA3F9C">
              <w:rPr>
                <w:rFonts w:ascii="Arial" w:hAnsi="Arial" w:cs="Arial"/>
                <w:sz w:val="24"/>
                <w:szCs w:val="24"/>
              </w:rPr>
              <w:t>, or enzalutamide).</w:t>
            </w:r>
          </w:p>
          <w:p w14:paraId="0864542A" w14:textId="77777777" w:rsidR="001506C1" w:rsidRPr="00FA3F9C" w:rsidRDefault="001506C1" w:rsidP="001506C1">
            <w:pPr>
              <w:pStyle w:val="ListParagraph"/>
              <w:numPr>
                <w:ilvl w:val="0"/>
                <w:numId w:val="170"/>
              </w:numPr>
              <w:ind w:left="270" w:hanging="180"/>
              <w:rPr>
                <w:rFonts w:ascii="Arial" w:hAnsi="Arial" w:cs="Arial"/>
                <w:sz w:val="24"/>
                <w:szCs w:val="24"/>
                <w:highlight w:val="yellow"/>
              </w:rPr>
            </w:pPr>
            <w:r w:rsidRPr="00FA3F9C">
              <w:rPr>
                <w:rFonts w:ascii="Arial" w:hAnsi="Arial" w:cs="Arial"/>
                <w:sz w:val="24"/>
                <w:szCs w:val="24"/>
              </w:rPr>
              <w:t xml:space="preserve"> </w:t>
            </w:r>
            <w:r w:rsidRPr="00FA3F9C">
              <w:rPr>
                <w:rFonts w:ascii="Arial" w:hAnsi="Arial" w:cs="Arial"/>
                <w:sz w:val="24"/>
                <w:szCs w:val="24"/>
                <w:highlight w:val="yellow"/>
              </w:rPr>
              <w:t>Abiraterone is generic and much cheaper (~$700/</w:t>
            </w:r>
            <w:proofErr w:type="spellStart"/>
            <w:r w:rsidRPr="00FA3F9C">
              <w:rPr>
                <w:rFonts w:ascii="Arial" w:hAnsi="Arial" w:cs="Arial"/>
                <w:sz w:val="24"/>
                <w:szCs w:val="24"/>
                <w:highlight w:val="yellow"/>
              </w:rPr>
              <w:t>mo</w:t>
            </w:r>
            <w:proofErr w:type="spellEnd"/>
            <w:r w:rsidRPr="00FA3F9C">
              <w:rPr>
                <w:rFonts w:ascii="Arial" w:hAnsi="Arial" w:cs="Arial"/>
                <w:sz w:val="24"/>
                <w:szCs w:val="24"/>
                <w:highlight w:val="yellow"/>
              </w:rPr>
              <w:t xml:space="preserve"> for abiraterone; ~$11,000/</w:t>
            </w:r>
            <w:proofErr w:type="spellStart"/>
            <w:r w:rsidRPr="00FA3F9C">
              <w:rPr>
                <w:rFonts w:ascii="Arial" w:hAnsi="Arial" w:cs="Arial"/>
                <w:sz w:val="24"/>
                <w:szCs w:val="24"/>
                <w:highlight w:val="yellow"/>
              </w:rPr>
              <w:t>mo</w:t>
            </w:r>
            <w:proofErr w:type="spellEnd"/>
            <w:r w:rsidRPr="00FA3F9C">
              <w:rPr>
                <w:rFonts w:ascii="Arial" w:hAnsi="Arial" w:cs="Arial"/>
                <w:sz w:val="24"/>
                <w:szCs w:val="24"/>
                <w:highlight w:val="yellow"/>
              </w:rPr>
              <w:t xml:space="preserve"> for enzalutamide as of 5/25/2021)</w:t>
            </w:r>
          </w:p>
          <w:p w14:paraId="0BFD8D60" w14:textId="77777777" w:rsidR="001506C1" w:rsidRPr="00FA3F9C" w:rsidRDefault="001506C1" w:rsidP="00225CAE">
            <w:pPr>
              <w:rPr>
                <w:rFonts w:ascii="Arial" w:hAnsi="Arial" w:cs="Arial"/>
                <w:sz w:val="24"/>
                <w:szCs w:val="24"/>
              </w:rPr>
            </w:pPr>
          </w:p>
          <w:p w14:paraId="1925659B" w14:textId="77777777" w:rsidR="001506C1" w:rsidRPr="00FA3F9C" w:rsidRDefault="001506C1" w:rsidP="00225CAE">
            <w:pPr>
              <w:rPr>
                <w:rFonts w:ascii="Arial" w:hAnsi="Arial" w:cs="Arial"/>
                <w:sz w:val="24"/>
                <w:szCs w:val="24"/>
              </w:rPr>
            </w:pPr>
            <w:r w:rsidRPr="00FA3F9C">
              <w:rPr>
                <w:rFonts w:ascii="Arial" w:hAnsi="Arial" w:cs="Arial"/>
                <w:sz w:val="24"/>
                <w:szCs w:val="24"/>
              </w:rPr>
              <w:t>Dose: 160 mg PO once daily until progression of disease or unacceptable toxicity.</w:t>
            </w:r>
          </w:p>
          <w:p w14:paraId="4AB7BAF5" w14:textId="77777777" w:rsidR="001506C1" w:rsidRPr="00FA3F9C" w:rsidRDefault="001506C1" w:rsidP="00225CAE">
            <w:pPr>
              <w:rPr>
                <w:rFonts w:ascii="Arial" w:hAnsi="Arial" w:cs="Arial"/>
                <w:sz w:val="24"/>
                <w:szCs w:val="24"/>
              </w:rPr>
            </w:pPr>
          </w:p>
          <w:p w14:paraId="058C2612" w14:textId="77777777" w:rsidR="001506C1" w:rsidRPr="00FA3F9C" w:rsidRDefault="001506C1" w:rsidP="00225CAE">
            <w:pPr>
              <w:rPr>
                <w:rFonts w:ascii="Arial" w:hAnsi="Arial" w:cs="Arial"/>
                <w:sz w:val="24"/>
                <w:szCs w:val="24"/>
              </w:rPr>
            </w:pPr>
            <w:r w:rsidRPr="00FA3F9C">
              <w:rPr>
                <w:rFonts w:ascii="Arial" w:hAnsi="Arial" w:cs="Arial"/>
                <w:sz w:val="24"/>
                <w:szCs w:val="24"/>
              </w:rPr>
              <w:t>REFERENCE:</w:t>
            </w:r>
          </w:p>
          <w:p w14:paraId="6C9D2494" w14:textId="77777777" w:rsidR="001506C1" w:rsidRPr="00FA3F9C" w:rsidRDefault="001506C1" w:rsidP="001506C1">
            <w:pPr>
              <w:pStyle w:val="ListParagraph"/>
              <w:numPr>
                <w:ilvl w:val="0"/>
                <w:numId w:val="171"/>
              </w:numPr>
              <w:autoSpaceDE w:val="0"/>
              <w:autoSpaceDN w:val="0"/>
              <w:adjustRightInd w:val="0"/>
              <w:ind w:left="270" w:hanging="180"/>
              <w:rPr>
                <w:rFonts w:ascii="Arial" w:hAnsi="Arial" w:cs="Arial"/>
                <w:sz w:val="24"/>
                <w:szCs w:val="24"/>
              </w:rPr>
            </w:pPr>
            <w:proofErr w:type="spellStart"/>
            <w:r w:rsidRPr="00FA3F9C">
              <w:rPr>
                <w:rFonts w:ascii="Arial" w:eastAsia="Times New Roman" w:hAnsi="Arial" w:cs="Arial"/>
                <w:sz w:val="24"/>
                <w:szCs w:val="24"/>
              </w:rPr>
              <w:t>Scher</w:t>
            </w:r>
            <w:proofErr w:type="spellEnd"/>
            <w:r w:rsidRPr="00FA3F9C">
              <w:rPr>
                <w:rFonts w:ascii="Arial" w:eastAsia="Times New Roman" w:hAnsi="Arial" w:cs="Arial"/>
                <w:sz w:val="24"/>
                <w:szCs w:val="24"/>
              </w:rPr>
              <w:t xml:space="preserve"> HI et al.  Increased survival with enzalutamide in prostate cancer after chemotherapy.  </w:t>
            </w:r>
            <w:r w:rsidRPr="00FA3F9C">
              <w:rPr>
                <w:rFonts w:ascii="Arial" w:hAnsi="Arial" w:cs="Arial"/>
                <w:bCs/>
                <w:sz w:val="24"/>
                <w:szCs w:val="24"/>
              </w:rPr>
              <w:t xml:space="preserve">N </w:t>
            </w:r>
            <w:proofErr w:type="spellStart"/>
            <w:r w:rsidRPr="00FA3F9C">
              <w:rPr>
                <w:rFonts w:ascii="Arial" w:hAnsi="Arial" w:cs="Arial"/>
                <w:bCs/>
                <w:sz w:val="24"/>
                <w:szCs w:val="24"/>
              </w:rPr>
              <w:t>Engl</w:t>
            </w:r>
            <w:proofErr w:type="spellEnd"/>
            <w:r w:rsidRPr="00FA3F9C">
              <w:rPr>
                <w:rFonts w:ascii="Arial" w:hAnsi="Arial" w:cs="Arial"/>
                <w:bCs/>
                <w:sz w:val="24"/>
                <w:szCs w:val="24"/>
              </w:rPr>
              <w:t xml:space="preserve"> J Med 2012. </w:t>
            </w:r>
          </w:p>
          <w:p w14:paraId="639129C4" w14:textId="77777777" w:rsidR="001506C1" w:rsidRPr="00FA3F9C" w:rsidRDefault="001506C1" w:rsidP="001506C1">
            <w:pPr>
              <w:pStyle w:val="ListParagraph"/>
              <w:numPr>
                <w:ilvl w:val="0"/>
                <w:numId w:val="171"/>
              </w:numPr>
              <w:autoSpaceDE w:val="0"/>
              <w:autoSpaceDN w:val="0"/>
              <w:adjustRightInd w:val="0"/>
              <w:ind w:left="270" w:hanging="180"/>
              <w:rPr>
                <w:rFonts w:ascii="Arial" w:hAnsi="Arial" w:cs="Arial"/>
                <w:sz w:val="24"/>
                <w:szCs w:val="24"/>
              </w:rPr>
            </w:pPr>
            <w:r w:rsidRPr="00FA3F9C">
              <w:rPr>
                <w:rFonts w:ascii="Arial" w:hAnsi="Arial" w:cs="Arial"/>
                <w:sz w:val="24"/>
                <w:szCs w:val="24"/>
              </w:rPr>
              <w:t>Beer JM et al. Enzalutamide in metastatic prostate cancer before chemotherapy.  NEJM. 2014:371:424-33.</w:t>
            </w:r>
          </w:p>
          <w:p w14:paraId="52FC2289" w14:textId="77777777" w:rsidR="001506C1" w:rsidRPr="00FA3F9C" w:rsidRDefault="00500371" w:rsidP="001506C1">
            <w:pPr>
              <w:pStyle w:val="ListParagraph"/>
              <w:numPr>
                <w:ilvl w:val="0"/>
                <w:numId w:val="171"/>
              </w:numPr>
              <w:autoSpaceDE w:val="0"/>
              <w:autoSpaceDN w:val="0"/>
              <w:adjustRightInd w:val="0"/>
              <w:ind w:left="270" w:hanging="180"/>
              <w:rPr>
                <w:rFonts w:ascii="Arial" w:hAnsi="Arial" w:cs="Arial"/>
                <w:sz w:val="24"/>
                <w:szCs w:val="24"/>
              </w:rPr>
            </w:pPr>
            <w:hyperlink r:id="rId160" w:history="1">
              <w:r w:rsidR="001506C1" w:rsidRPr="00FA3F9C">
                <w:rPr>
                  <w:rFonts w:ascii="Arial" w:eastAsia="Times New Roman" w:hAnsi="Arial" w:cs="Arial"/>
                  <w:sz w:val="24"/>
                  <w:szCs w:val="24"/>
                  <w:lang w:val="fr-FR"/>
                </w:rPr>
                <w:t>Beer T</w:t>
              </w:r>
            </w:hyperlink>
            <w:r w:rsidR="001506C1" w:rsidRPr="00FA3F9C">
              <w:rPr>
                <w:rFonts w:ascii="Arial" w:eastAsia="Times New Roman" w:hAnsi="Arial" w:cs="Arial"/>
                <w:sz w:val="24"/>
                <w:szCs w:val="24"/>
                <w:lang w:val="fr-FR"/>
              </w:rPr>
              <w:t xml:space="preserve"> et al. </w:t>
            </w:r>
            <w:hyperlink r:id="rId161" w:tooltip="European urology." w:history="1">
              <w:proofErr w:type="spellStart"/>
              <w:r w:rsidR="001506C1" w:rsidRPr="00FA3F9C">
                <w:rPr>
                  <w:rFonts w:ascii="Arial" w:eastAsia="Times New Roman" w:hAnsi="Arial" w:cs="Arial"/>
                  <w:sz w:val="24"/>
                  <w:szCs w:val="24"/>
                  <w:lang w:val="fr-FR"/>
                </w:rPr>
                <w:t>Eur</w:t>
              </w:r>
              <w:proofErr w:type="spellEnd"/>
              <w:r w:rsidR="001506C1" w:rsidRPr="00FA3F9C">
                <w:rPr>
                  <w:rFonts w:ascii="Arial" w:eastAsia="Times New Roman" w:hAnsi="Arial" w:cs="Arial"/>
                  <w:sz w:val="24"/>
                  <w:szCs w:val="24"/>
                  <w:lang w:val="fr-FR"/>
                </w:rPr>
                <w:t xml:space="preserve"> </w:t>
              </w:r>
              <w:proofErr w:type="spellStart"/>
              <w:r w:rsidR="001506C1" w:rsidRPr="00FA3F9C">
                <w:rPr>
                  <w:rFonts w:ascii="Arial" w:eastAsia="Times New Roman" w:hAnsi="Arial" w:cs="Arial"/>
                  <w:sz w:val="24"/>
                  <w:szCs w:val="24"/>
                  <w:lang w:val="fr-FR"/>
                </w:rPr>
                <w:t>Urol</w:t>
              </w:r>
              <w:proofErr w:type="spellEnd"/>
              <w:r w:rsidR="001506C1" w:rsidRPr="00FA3F9C">
                <w:rPr>
                  <w:rFonts w:ascii="Arial" w:eastAsia="Times New Roman" w:hAnsi="Arial" w:cs="Arial"/>
                  <w:sz w:val="24"/>
                  <w:szCs w:val="24"/>
                  <w:lang w:val="fr-FR"/>
                </w:rPr>
                <w:t>.</w:t>
              </w:r>
            </w:hyperlink>
            <w:r w:rsidR="001506C1" w:rsidRPr="00FA3F9C">
              <w:rPr>
                <w:rFonts w:ascii="Arial" w:eastAsia="Times New Roman" w:hAnsi="Arial" w:cs="Arial"/>
                <w:sz w:val="24"/>
                <w:szCs w:val="24"/>
                <w:lang w:val="fr-FR"/>
              </w:rPr>
              <w:t xml:space="preserve"> </w:t>
            </w:r>
            <w:r w:rsidR="001506C1" w:rsidRPr="00FA3F9C">
              <w:rPr>
                <w:rFonts w:ascii="Arial" w:eastAsia="Times New Roman" w:hAnsi="Arial" w:cs="Arial"/>
                <w:bCs/>
                <w:kern w:val="36"/>
                <w:sz w:val="24"/>
                <w:szCs w:val="24"/>
              </w:rPr>
              <w:t xml:space="preserve">Enzalutamide in Men with Chemotherapy-naïve Metastatic Castration-resistant Prostate </w:t>
            </w:r>
            <w:proofErr w:type="gramStart"/>
            <w:r w:rsidR="001506C1" w:rsidRPr="00FA3F9C">
              <w:rPr>
                <w:rFonts w:ascii="Arial" w:eastAsia="Times New Roman" w:hAnsi="Arial" w:cs="Arial"/>
                <w:bCs/>
                <w:kern w:val="36"/>
                <w:sz w:val="24"/>
                <w:szCs w:val="24"/>
              </w:rPr>
              <w:t>Cancer:</w:t>
            </w:r>
            <w:proofErr w:type="gramEnd"/>
            <w:r w:rsidR="001506C1" w:rsidRPr="00FA3F9C">
              <w:rPr>
                <w:rFonts w:ascii="Arial" w:eastAsia="Times New Roman" w:hAnsi="Arial" w:cs="Arial"/>
                <w:bCs/>
                <w:kern w:val="36"/>
                <w:sz w:val="24"/>
                <w:szCs w:val="24"/>
              </w:rPr>
              <w:t xml:space="preserve"> Extended Analysis of the Phase 3 PREVAIL Study. </w:t>
            </w:r>
            <w:r w:rsidR="001506C1" w:rsidRPr="00FA3F9C">
              <w:rPr>
                <w:rFonts w:ascii="Arial" w:eastAsia="Times New Roman" w:hAnsi="Arial" w:cs="Arial"/>
                <w:sz w:val="24"/>
                <w:szCs w:val="24"/>
              </w:rPr>
              <w:t>2017 Feb;71(2):151-154. PMID 27477525</w:t>
            </w:r>
          </w:p>
        </w:tc>
      </w:tr>
    </w:tbl>
    <w:p w14:paraId="19AC13F4" w14:textId="77777777" w:rsidR="001506C1" w:rsidRPr="00FA3F9C" w:rsidRDefault="001506C1" w:rsidP="006F623F">
      <w:pPr>
        <w:spacing w:after="0"/>
        <w:rPr>
          <w:rFonts w:ascii="Arial" w:hAnsi="Arial" w:cs="Arial"/>
          <w:b/>
          <w:sz w:val="24"/>
          <w:szCs w:val="24"/>
          <w:u w:val="single"/>
        </w:rPr>
      </w:pPr>
    </w:p>
    <w:p w14:paraId="798635FA" w14:textId="77777777" w:rsidR="001506C1" w:rsidRPr="00FA3F9C" w:rsidRDefault="001506C1" w:rsidP="006F623F">
      <w:pPr>
        <w:spacing w:after="0"/>
        <w:rPr>
          <w:rFonts w:ascii="Arial" w:hAnsi="Arial" w:cs="Arial"/>
          <w:sz w:val="24"/>
          <w:szCs w:val="24"/>
        </w:rPr>
      </w:pPr>
    </w:p>
    <w:p w14:paraId="2CD1BCD2" w14:textId="77777777" w:rsidR="001506C1" w:rsidRPr="00FA3F9C" w:rsidRDefault="001506C1" w:rsidP="006F623F">
      <w:pPr>
        <w:spacing w:after="0"/>
        <w:rPr>
          <w:rFonts w:ascii="Arial" w:hAnsi="Arial" w:cs="Arial"/>
          <w:sz w:val="24"/>
          <w:szCs w:val="24"/>
        </w:rPr>
      </w:pPr>
    </w:p>
    <w:p w14:paraId="054587A7"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284"/>
        <w:gridCol w:w="7470"/>
        <w:gridCol w:w="2538"/>
      </w:tblGrid>
      <w:tr w:rsidR="001506C1" w:rsidRPr="00FA3F9C" w14:paraId="18ED4BF1" w14:textId="77777777" w:rsidTr="003A5865">
        <w:tc>
          <w:tcPr>
            <w:tcW w:w="1167" w:type="dxa"/>
          </w:tcPr>
          <w:p w14:paraId="5771D075" w14:textId="77777777" w:rsidR="001506C1" w:rsidRPr="00FA3F9C" w:rsidRDefault="001506C1" w:rsidP="00225CAE">
            <w:pPr>
              <w:rPr>
                <w:rFonts w:ascii="Arial" w:hAnsi="Arial" w:cs="Arial"/>
                <w:sz w:val="24"/>
                <w:szCs w:val="24"/>
              </w:rPr>
            </w:pPr>
            <w:r w:rsidRPr="00FA3F9C">
              <w:rPr>
                <w:rFonts w:ascii="Arial" w:hAnsi="Arial" w:cs="Arial"/>
                <w:sz w:val="24"/>
                <w:szCs w:val="24"/>
              </w:rPr>
              <w:t>Date</w:t>
            </w:r>
          </w:p>
        </w:tc>
        <w:tc>
          <w:tcPr>
            <w:tcW w:w="7161" w:type="dxa"/>
          </w:tcPr>
          <w:p w14:paraId="4456FA96" w14:textId="77777777" w:rsidR="001506C1" w:rsidRPr="00FA3F9C" w:rsidRDefault="001506C1" w:rsidP="00225CAE">
            <w:pPr>
              <w:rPr>
                <w:rFonts w:ascii="Arial" w:hAnsi="Arial" w:cs="Arial"/>
                <w:sz w:val="24"/>
                <w:szCs w:val="24"/>
              </w:rPr>
            </w:pPr>
          </w:p>
        </w:tc>
        <w:tc>
          <w:tcPr>
            <w:tcW w:w="2462" w:type="dxa"/>
          </w:tcPr>
          <w:p w14:paraId="57D81D6A" w14:textId="77777777" w:rsidR="001506C1" w:rsidRPr="00FA3F9C" w:rsidRDefault="001506C1" w:rsidP="00225CAE">
            <w:pPr>
              <w:rPr>
                <w:rFonts w:ascii="Arial" w:hAnsi="Arial" w:cs="Arial"/>
                <w:sz w:val="24"/>
                <w:szCs w:val="24"/>
              </w:rPr>
            </w:pPr>
            <w:r w:rsidRPr="00FA3F9C">
              <w:rPr>
                <w:rFonts w:ascii="Arial" w:hAnsi="Arial" w:cs="Arial"/>
                <w:sz w:val="24"/>
                <w:szCs w:val="24"/>
              </w:rPr>
              <w:t>Pharmacist’s initials</w:t>
            </w:r>
          </w:p>
        </w:tc>
      </w:tr>
      <w:tr w:rsidR="001506C1" w:rsidRPr="00FA3F9C" w14:paraId="67DAC3D4" w14:textId="77777777" w:rsidTr="00BD236B">
        <w:tc>
          <w:tcPr>
            <w:tcW w:w="1008" w:type="dxa"/>
          </w:tcPr>
          <w:p w14:paraId="62872D9F" w14:textId="77777777" w:rsidR="001506C1" w:rsidRPr="00FA3F9C" w:rsidRDefault="001506C1" w:rsidP="00225CAE">
            <w:pPr>
              <w:rPr>
                <w:rFonts w:ascii="Arial" w:hAnsi="Arial" w:cs="Arial"/>
                <w:sz w:val="24"/>
                <w:szCs w:val="24"/>
              </w:rPr>
            </w:pPr>
            <w:r w:rsidRPr="00FA3F9C">
              <w:rPr>
                <w:rFonts w:ascii="Arial" w:hAnsi="Arial" w:cs="Arial"/>
                <w:sz w:val="24"/>
                <w:szCs w:val="24"/>
              </w:rPr>
              <w:t>12/11/12</w:t>
            </w:r>
          </w:p>
        </w:tc>
        <w:tc>
          <w:tcPr>
            <w:tcW w:w="7470" w:type="dxa"/>
          </w:tcPr>
          <w:p w14:paraId="76EE1B21" w14:textId="77777777" w:rsidR="001506C1" w:rsidRPr="00FA3F9C" w:rsidRDefault="001506C1" w:rsidP="00225CAE">
            <w:pPr>
              <w:rPr>
                <w:rFonts w:ascii="Arial" w:hAnsi="Arial" w:cs="Arial"/>
                <w:sz w:val="24"/>
                <w:szCs w:val="24"/>
              </w:rPr>
            </w:pPr>
            <w:r w:rsidRPr="00FA3F9C">
              <w:rPr>
                <w:rFonts w:ascii="Arial" w:hAnsi="Arial" w:cs="Arial"/>
                <w:sz w:val="24"/>
                <w:szCs w:val="24"/>
              </w:rPr>
              <w:t>JJ wrote the PA criteria</w:t>
            </w:r>
          </w:p>
        </w:tc>
        <w:tc>
          <w:tcPr>
            <w:tcW w:w="2538" w:type="dxa"/>
          </w:tcPr>
          <w:p w14:paraId="2793B02F" w14:textId="65BF033F" w:rsidR="001506C1" w:rsidRPr="00FA3F9C" w:rsidRDefault="005C142D" w:rsidP="00225CAE">
            <w:pPr>
              <w:rPr>
                <w:rFonts w:ascii="Arial" w:hAnsi="Arial" w:cs="Arial"/>
                <w:sz w:val="24"/>
                <w:szCs w:val="24"/>
              </w:rPr>
            </w:pPr>
            <w:r w:rsidRPr="00FA3F9C">
              <w:rPr>
                <w:rFonts w:ascii="Arial" w:hAnsi="Arial" w:cs="Arial"/>
                <w:sz w:val="24"/>
                <w:szCs w:val="24"/>
              </w:rPr>
              <w:t>JJ</w:t>
            </w:r>
          </w:p>
        </w:tc>
      </w:tr>
      <w:tr w:rsidR="001506C1" w:rsidRPr="00FA3F9C" w14:paraId="10A6779C" w14:textId="77777777" w:rsidTr="00BD236B">
        <w:tc>
          <w:tcPr>
            <w:tcW w:w="1008" w:type="dxa"/>
          </w:tcPr>
          <w:p w14:paraId="4E97842A" w14:textId="77777777" w:rsidR="001506C1" w:rsidRPr="00FA3F9C" w:rsidRDefault="001506C1" w:rsidP="00225CAE">
            <w:pPr>
              <w:rPr>
                <w:rFonts w:ascii="Arial" w:hAnsi="Arial" w:cs="Arial"/>
                <w:sz w:val="24"/>
                <w:szCs w:val="24"/>
              </w:rPr>
            </w:pPr>
            <w:r w:rsidRPr="00FA3F9C">
              <w:rPr>
                <w:rFonts w:ascii="Arial" w:hAnsi="Arial" w:cs="Arial"/>
                <w:sz w:val="24"/>
                <w:szCs w:val="24"/>
              </w:rPr>
              <w:t>5/14/14</w:t>
            </w:r>
          </w:p>
        </w:tc>
        <w:tc>
          <w:tcPr>
            <w:tcW w:w="7470" w:type="dxa"/>
          </w:tcPr>
          <w:p w14:paraId="25B62B88" w14:textId="77777777" w:rsidR="001506C1" w:rsidRPr="00FA3F9C" w:rsidRDefault="001506C1" w:rsidP="00225CAE">
            <w:pPr>
              <w:rPr>
                <w:rFonts w:ascii="Arial" w:hAnsi="Arial" w:cs="Arial"/>
                <w:sz w:val="24"/>
                <w:szCs w:val="24"/>
              </w:rPr>
            </w:pPr>
            <w:r w:rsidRPr="00FA3F9C">
              <w:rPr>
                <w:rFonts w:ascii="Arial" w:hAnsi="Arial" w:cs="Arial"/>
                <w:sz w:val="24"/>
                <w:szCs w:val="24"/>
              </w:rPr>
              <w:t>JJ added “castration-resistant” in the needed diagnosis</w:t>
            </w:r>
          </w:p>
        </w:tc>
        <w:tc>
          <w:tcPr>
            <w:tcW w:w="2538" w:type="dxa"/>
          </w:tcPr>
          <w:p w14:paraId="58B0C5F0" w14:textId="77777777" w:rsidR="001506C1" w:rsidRPr="00FA3F9C" w:rsidRDefault="001506C1" w:rsidP="00225CAE">
            <w:pPr>
              <w:rPr>
                <w:rFonts w:ascii="Arial" w:hAnsi="Arial" w:cs="Arial"/>
                <w:sz w:val="24"/>
                <w:szCs w:val="24"/>
              </w:rPr>
            </w:pPr>
            <w:r w:rsidRPr="00FA3F9C">
              <w:rPr>
                <w:rFonts w:ascii="Arial" w:hAnsi="Arial" w:cs="Arial"/>
                <w:sz w:val="24"/>
                <w:szCs w:val="24"/>
              </w:rPr>
              <w:t>JJ</w:t>
            </w:r>
          </w:p>
        </w:tc>
      </w:tr>
      <w:tr w:rsidR="001506C1" w:rsidRPr="00FA3F9C" w14:paraId="0AED71B0" w14:textId="77777777" w:rsidTr="00BD236B">
        <w:tc>
          <w:tcPr>
            <w:tcW w:w="1008" w:type="dxa"/>
          </w:tcPr>
          <w:p w14:paraId="5D4752F8" w14:textId="77777777" w:rsidR="001506C1" w:rsidRPr="00FA3F9C" w:rsidRDefault="001506C1" w:rsidP="00225CAE">
            <w:pPr>
              <w:rPr>
                <w:rFonts w:ascii="Arial" w:hAnsi="Arial" w:cs="Arial"/>
                <w:sz w:val="24"/>
                <w:szCs w:val="24"/>
              </w:rPr>
            </w:pPr>
            <w:r w:rsidRPr="00FA3F9C">
              <w:rPr>
                <w:rFonts w:ascii="Arial" w:hAnsi="Arial" w:cs="Arial"/>
                <w:sz w:val="24"/>
                <w:szCs w:val="24"/>
              </w:rPr>
              <w:t>11/5/15</w:t>
            </w:r>
          </w:p>
        </w:tc>
        <w:tc>
          <w:tcPr>
            <w:tcW w:w="7470" w:type="dxa"/>
          </w:tcPr>
          <w:p w14:paraId="1446CFE2" w14:textId="77777777" w:rsidR="001506C1" w:rsidRPr="00FA3F9C" w:rsidRDefault="001506C1" w:rsidP="00225CAE">
            <w:pPr>
              <w:rPr>
                <w:rFonts w:ascii="Arial" w:hAnsi="Arial" w:cs="Arial"/>
                <w:sz w:val="24"/>
                <w:szCs w:val="24"/>
              </w:rPr>
            </w:pPr>
            <w:r w:rsidRPr="00FA3F9C">
              <w:rPr>
                <w:rFonts w:ascii="Arial" w:hAnsi="Arial" w:cs="Arial"/>
                <w:sz w:val="24"/>
                <w:szCs w:val="24"/>
              </w:rPr>
              <w:t xml:space="preserve">I deleted the criterium requiring prior therapy with docetaxel.  A NEJM article using  enzalutamide before requiring traditional chemotherapy.  The OS was 32.4m vs 30.2m placebo (p&lt;0.001), only a 2.2m difference, however, together with the difference in time patients sought traditional chemotherapy of  a median 28m </w:t>
            </w:r>
            <w:proofErr w:type="spellStart"/>
            <w:r w:rsidRPr="00FA3F9C">
              <w:rPr>
                <w:rFonts w:ascii="Arial" w:hAnsi="Arial" w:cs="Arial"/>
                <w:sz w:val="24"/>
                <w:szCs w:val="24"/>
              </w:rPr>
              <w:t>Enzal</w:t>
            </w:r>
            <w:proofErr w:type="spellEnd"/>
            <w:r w:rsidRPr="00FA3F9C">
              <w:rPr>
                <w:rFonts w:ascii="Arial" w:hAnsi="Arial" w:cs="Arial"/>
                <w:sz w:val="24"/>
                <w:szCs w:val="24"/>
              </w:rPr>
              <w:t xml:space="preserve"> vs 10.8m in placebo, first line enzalutamide warrants this change.  Prior abiraterone users are not yet known to receive benefit.  </w:t>
            </w:r>
            <w:r w:rsidRPr="00FA3F9C">
              <w:rPr>
                <w:rFonts w:ascii="Arial" w:eastAsia="Times New Roman" w:hAnsi="Arial" w:cs="Arial"/>
                <w:color w:val="000000"/>
                <w:sz w:val="24"/>
                <w:szCs w:val="24"/>
                <w:shd w:val="clear" w:color="auto" w:fill="FFFFFF"/>
              </w:rPr>
              <w:t>NCT02125357 in clinicaltrials.org is recruiting now.</w:t>
            </w:r>
          </w:p>
        </w:tc>
        <w:tc>
          <w:tcPr>
            <w:tcW w:w="2538" w:type="dxa"/>
          </w:tcPr>
          <w:p w14:paraId="7BA1D821" w14:textId="77777777" w:rsidR="001506C1" w:rsidRPr="00FA3F9C" w:rsidRDefault="001506C1" w:rsidP="00225CAE">
            <w:pPr>
              <w:rPr>
                <w:rFonts w:ascii="Arial" w:hAnsi="Arial" w:cs="Arial"/>
                <w:sz w:val="24"/>
                <w:szCs w:val="24"/>
              </w:rPr>
            </w:pPr>
            <w:r w:rsidRPr="00FA3F9C">
              <w:rPr>
                <w:rFonts w:ascii="Arial" w:hAnsi="Arial" w:cs="Arial"/>
                <w:sz w:val="24"/>
                <w:szCs w:val="24"/>
              </w:rPr>
              <w:t>JJ</w:t>
            </w:r>
          </w:p>
        </w:tc>
      </w:tr>
      <w:tr w:rsidR="001506C1" w:rsidRPr="00FA3F9C" w14:paraId="22A228E2" w14:textId="77777777" w:rsidTr="00FE491B">
        <w:tc>
          <w:tcPr>
            <w:tcW w:w="1008" w:type="dxa"/>
          </w:tcPr>
          <w:p w14:paraId="522F1E9D" w14:textId="77777777" w:rsidR="001506C1" w:rsidRPr="00FA3F9C" w:rsidRDefault="001506C1" w:rsidP="006F623F">
            <w:pPr>
              <w:rPr>
                <w:rFonts w:ascii="Arial" w:hAnsi="Arial" w:cs="Arial"/>
                <w:sz w:val="24"/>
                <w:szCs w:val="24"/>
              </w:rPr>
            </w:pPr>
            <w:r w:rsidRPr="00FA3F9C">
              <w:rPr>
                <w:rFonts w:ascii="Arial" w:hAnsi="Arial" w:cs="Arial"/>
                <w:sz w:val="24"/>
                <w:szCs w:val="24"/>
              </w:rPr>
              <w:t>3/18/19</w:t>
            </w:r>
          </w:p>
        </w:tc>
        <w:tc>
          <w:tcPr>
            <w:tcW w:w="7470" w:type="dxa"/>
          </w:tcPr>
          <w:p w14:paraId="74B65748" w14:textId="77777777" w:rsidR="001506C1" w:rsidRPr="00FA3F9C" w:rsidRDefault="001506C1" w:rsidP="00BD236B">
            <w:pPr>
              <w:rPr>
                <w:rFonts w:ascii="Arial" w:hAnsi="Arial" w:cs="Arial"/>
                <w:sz w:val="24"/>
                <w:szCs w:val="24"/>
              </w:rPr>
            </w:pPr>
            <w:r w:rsidRPr="00FA3F9C">
              <w:rPr>
                <w:rFonts w:ascii="Arial" w:hAnsi="Arial" w:cs="Arial"/>
                <w:sz w:val="24"/>
                <w:szCs w:val="24"/>
              </w:rPr>
              <w:t xml:space="preserve">Added non metastatic indication per 3-2019 P&amp;T. Updated references and rationale. </w:t>
            </w:r>
            <w:proofErr w:type="spellStart"/>
            <w:r w:rsidRPr="00FA3F9C">
              <w:rPr>
                <w:rFonts w:ascii="Arial" w:hAnsi="Arial" w:cs="Arial"/>
                <w:sz w:val="24"/>
                <w:szCs w:val="24"/>
              </w:rPr>
              <w:t>Enza</w:t>
            </w:r>
            <w:proofErr w:type="spellEnd"/>
            <w:r w:rsidRPr="00FA3F9C">
              <w:rPr>
                <w:rFonts w:ascii="Arial" w:hAnsi="Arial" w:cs="Arial"/>
                <w:sz w:val="24"/>
                <w:szCs w:val="24"/>
              </w:rPr>
              <w:t xml:space="preserve"> will now be covered regardless of prior abiraterone use.</w:t>
            </w:r>
          </w:p>
        </w:tc>
        <w:tc>
          <w:tcPr>
            <w:tcW w:w="2538" w:type="dxa"/>
          </w:tcPr>
          <w:p w14:paraId="123F54BA" w14:textId="77777777" w:rsidR="001506C1" w:rsidRPr="00FA3F9C" w:rsidRDefault="001506C1" w:rsidP="006F623F">
            <w:pPr>
              <w:rPr>
                <w:rFonts w:ascii="Arial" w:hAnsi="Arial" w:cs="Arial"/>
                <w:sz w:val="24"/>
                <w:szCs w:val="24"/>
              </w:rPr>
            </w:pPr>
            <w:proofErr w:type="spellStart"/>
            <w:r w:rsidRPr="00FA3F9C">
              <w:rPr>
                <w:rFonts w:ascii="Arial" w:hAnsi="Arial" w:cs="Arial"/>
                <w:sz w:val="24"/>
                <w:szCs w:val="24"/>
              </w:rPr>
              <w:t>sk</w:t>
            </w:r>
            <w:proofErr w:type="spellEnd"/>
          </w:p>
        </w:tc>
      </w:tr>
      <w:tr w:rsidR="001506C1" w:rsidRPr="00FA3F9C" w14:paraId="4EF72D51" w14:textId="77777777" w:rsidTr="00FE491B">
        <w:tc>
          <w:tcPr>
            <w:tcW w:w="1008" w:type="dxa"/>
          </w:tcPr>
          <w:p w14:paraId="42071A40" w14:textId="77777777" w:rsidR="001506C1" w:rsidRPr="00FA3F9C" w:rsidRDefault="001506C1" w:rsidP="006F623F">
            <w:pPr>
              <w:rPr>
                <w:rFonts w:ascii="Arial" w:hAnsi="Arial" w:cs="Arial"/>
                <w:sz w:val="24"/>
                <w:szCs w:val="24"/>
              </w:rPr>
            </w:pPr>
            <w:r w:rsidRPr="00FA3F9C">
              <w:rPr>
                <w:rFonts w:ascii="Arial" w:hAnsi="Arial" w:cs="Arial"/>
                <w:sz w:val="24"/>
                <w:szCs w:val="24"/>
              </w:rPr>
              <w:t>9/23/19</w:t>
            </w:r>
          </w:p>
        </w:tc>
        <w:tc>
          <w:tcPr>
            <w:tcW w:w="7470" w:type="dxa"/>
          </w:tcPr>
          <w:p w14:paraId="2586F347" w14:textId="77777777" w:rsidR="001506C1" w:rsidRPr="00FA3F9C" w:rsidRDefault="001506C1" w:rsidP="006F623F">
            <w:pPr>
              <w:rPr>
                <w:rFonts w:ascii="Arial" w:hAnsi="Arial" w:cs="Arial"/>
                <w:sz w:val="24"/>
                <w:szCs w:val="24"/>
              </w:rPr>
            </w:pPr>
            <w:r w:rsidRPr="00FA3F9C">
              <w:rPr>
                <w:rFonts w:ascii="Arial" w:hAnsi="Arial" w:cs="Arial"/>
                <w:sz w:val="24"/>
                <w:szCs w:val="24"/>
              </w:rPr>
              <w:t>Criteria/indications reviewed. Added that patient should not have progressed on prior apalutamide/</w:t>
            </w:r>
            <w:proofErr w:type="spellStart"/>
            <w:r w:rsidRPr="00FA3F9C">
              <w:rPr>
                <w:rFonts w:ascii="Arial" w:hAnsi="Arial" w:cs="Arial"/>
                <w:sz w:val="24"/>
                <w:szCs w:val="24"/>
              </w:rPr>
              <w:t>darolutamide</w:t>
            </w:r>
            <w:proofErr w:type="spellEnd"/>
            <w:r w:rsidRPr="00FA3F9C">
              <w:rPr>
                <w:rFonts w:ascii="Arial" w:hAnsi="Arial" w:cs="Arial"/>
                <w:sz w:val="24"/>
                <w:szCs w:val="24"/>
              </w:rPr>
              <w:t xml:space="preserve"> as treatment with enzalutamide has not been studied in this setting. Based on mechanism of action, enzalutamide would not be expected to be effective.</w:t>
            </w:r>
          </w:p>
        </w:tc>
        <w:tc>
          <w:tcPr>
            <w:tcW w:w="2538" w:type="dxa"/>
          </w:tcPr>
          <w:p w14:paraId="452F9F18" w14:textId="77777777" w:rsidR="001506C1" w:rsidRPr="00FA3F9C" w:rsidRDefault="001506C1" w:rsidP="006F623F">
            <w:pPr>
              <w:rPr>
                <w:rFonts w:ascii="Arial" w:hAnsi="Arial" w:cs="Arial"/>
                <w:sz w:val="24"/>
                <w:szCs w:val="24"/>
              </w:rPr>
            </w:pPr>
            <w:proofErr w:type="spellStart"/>
            <w:r w:rsidRPr="00FA3F9C">
              <w:rPr>
                <w:rFonts w:ascii="Arial" w:hAnsi="Arial" w:cs="Arial"/>
                <w:sz w:val="24"/>
                <w:szCs w:val="24"/>
              </w:rPr>
              <w:t>sk</w:t>
            </w:r>
            <w:proofErr w:type="spellEnd"/>
          </w:p>
        </w:tc>
      </w:tr>
      <w:tr w:rsidR="001506C1" w:rsidRPr="00FA3F9C" w14:paraId="16F9E6BA" w14:textId="77777777" w:rsidTr="00FE491B">
        <w:tc>
          <w:tcPr>
            <w:tcW w:w="1008" w:type="dxa"/>
          </w:tcPr>
          <w:p w14:paraId="7B924ED8" w14:textId="77777777" w:rsidR="001506C1" w:rsidRPr="00FA3F9C" w:rsidRDefault="001506C1" w:rsidP="006F623F">
            <w:pPr>
              <w:rPr>
                <w:rFonts w:ascii="Arial" w:hAnsi="Arial" w:cs="Arial"/>
                <w:sz w:val="24"/>
                <w:szCs w:val="24"/>
              </w:rPr>
            </w:pPr>
            <w:r w:rsidRPr="00FA3F9C">
              <w:rPr>
                <w:rFonts w:ascii="Arial" w:hAnsi="Arial" w:cs="Arial"/>
                <w:sz w:val="24"/>
                <w:szCs w:val="24"/>
              </w:rPr>
              <w:lastRenderedPageBreak/>
              <w:t>10/28/19</w:t>
            </w:r>
          </w:p>
        </w:tc>
        <w:tc>
          <w:tcPr>
            <w:tcW w:w="7470" w:type="dxa"/>
          </w:tcPr>
          <w:p w14:paraId="36E7AD2E" w14:textId="77777777" w:rsidR="001506C1" w:rsidRPr="00FA3F9C" w:rsidRDefault="001506C1" w:rsidP="006F623F">
            <w:pPr>
              <w:rPr>
                <w:rFonts w:ascii="Arial" w:hAnsi="Arial" w:cs="Arial"/>
                <w:sz w:val="24"/>
                <w:szCs w:val="24"/>
              </w:rPr>
            </w:pPr>
            <w:r w:rsidRPr="00FA3F9C">
              <w:rPr>
                <w:rFonts w:ascii="Arial" w:hAnsi="Arial" w:cs="Arial"/>
                <w:sz w:val="24"/>
                <w:szCs w:val="24"/>
              </w:rPr>
              <w:t>Added information about new data in castration-sensitive metastatic prostate cancer (see note above)</w:t>
            </w:r>
          </w:p>
        </w:tc>
        <w:tc>
          <w:tcPr>
            <w:tcW w:w="2538" w:type="dxa"/>
          </w:tcPr>
          <w:p w14:paraId="70EB8929" w14:textId="77777777" w:rsidR="001506C1" w:rsidRPr="00FA3F9C" w:rsidRDefault="001506C1" w:rsidP="006F623F">
            <w:pPr>
              <w:rPr>
                <w:rFonts w:ascii="Arial" w:hAnsi="Arial" w:cs="Arial"/>
                <w:sz w:val="24"/>
                <w:szCs w:val="24"/>
              </w:rPr>
            </w:pPr>
            <w:r w:rsidRPr="00FA3F9C">
              <w:rPr>
                <w:rFonts w:ascii="Arial" w:hAnsi="Arial" w:cs="Arial"/>
                <w:sz w:val="24"/>
                <w:szCs w:val="24"/>
              </w:rPr>
              <w:t>SK</w:t>
            </w:r>
          </w:p>
        </w:tc>
      </w:tr>
      <w:tr w:rsidR="001506C1" w:rsidRPr="00FA3F9C" w14:paraId="737F40E8" w14:textId="77777777" w:rsidTr="00FE491B">
        <w:tc>
          <w:tcPr>
            <w:tcW w:w="1008" w:type="dxa"/>
          </w:tcPr>
          <w:p w14:paraId="0C1538BA" w14:textId="77777777" w:rsidR="001506C1" w:rsidRPr="00FA3F9C" w:rsidRDefault="001506C1" w:rsidP="006F623F">
            <w:pPr>
              <w:rPr>
                <w:rFonts w:ascii="Arial" w:hAnsi="Arial" w:cs="Arial"/>
                <w:sz w:val="24"/>
                <w:szCs w:val="24"/>
              </w:rPr>
            </w:pPr>
            <w:r w:rsidRPr="00FA3F9C">
              <w:rPr>
                <w:rFonts w:ascii="Arial" w:hAnsi="Arial" w:cs="Arial"/>
                <w:sz w:val="24"/>
                <w:szCs w:val="24"/>
              </w:rPr>
              <w:t>12/17/19</w:t>
            </w:r>
          </w:p>
        </w:tc>
        <w:tc>
          <w:tcPr>
            <w:tcW w:w="7470" w:type="dxa"/>
          </w:tcPr>
          <w:p w14:paraId="252DF22B" w14:textId="77777777" w:rsidR="001506C1" w:rsidRPr="00FA3F9C" w:rsidRDefault="001506C1" w:rsidP="006F623F">
            <w:pPr>
              <w:rPr>
                <w:rFonts w:ascii="Arial" w:hAnsi="Arial" w:cs="Arial"/>
                <w:sz w:val="24"/>
                <w:szCs w:val="24"/>
              </w:rPr>
            </w:pPr>
            <w:r w:rsidRPr="00FA3F9C">
              <w:rPr>
                <w:rFonts w:ascii="Arial" w:hAnsi="Arial" w:cs="Arial"/>
                <w:sz w:val="24"/>
                <w:szCs w:val="24"/>
              </w:rPr>
              <w:t xml:space="preserve">Added new indication for metastatic castration sensitive prostate cancer. This indication was already reviewed in 10/2019 P&amp;T meeting and will </w:t>
            </w:r>
            <w:proofErr w:type="spellStart"/>
            <w:r w:rsidRPr="00FA3F9C">
              <w:rPr>
                <w:rFonts w:ascii="Arial" w:hAnsi="Arial" w:cs="Arial"/>
                <w:sz w:val="24"/>
                <w:szCs w:val="24"/>
              </w:rPr>
              <w:t>no</w:t>
            </w:r>
            <w:proofErr w:type="spellEnd"/>
            <w:r w:rsidRPr="00FA3F9C">
              <w:rPr>
                <w:rFonts w:ascii="Arial" w:hAnsi="Arial" w:cs="Arial"/>
                <w:sz w:val="24"/>
                <w:szCs w:val="24"/>
              </w:rPr>
              <w:t xml:space="preserve"> be covered (abiraterone preferred).</w:t>
            </w:r>
          </w:p>
        </w:tc>
        <w:tc>
          <w:tcPr>
            <w:tcW w:w="2538" w:type="dxa"/>
          </w:tcPr>
          <w:p w14:paraId="6EB010BE" w14:textId="77777777" w:rsidR="001506C1" w:rsidRPr="00FA3F9C" w:rsidRDefault="001506C1" w:rsidP="006F623F">
            <w:pPr>
              <w:rPr>
                <w:rFonts w:ascii="Arial" w:hAnsi="Arial" w:cs="Arial"/>
                <w:sz w:val="24"/>
                <w:szCs w:val="24"/>
              </w:rPr>
            </w:pPr>
            <w:r w:rsidRPr="00FA3F9C">
              <w:rPr>
                <w:rFonts w:ascii="Arial" w:hAnsi="Arial" w:cs="Arial"/>
                <w:sz w:val="24"/>
                <w:szCs w:val="24"/>
              </w:rPr>
              <w:t>SK</w:t>
            </w:r>
          </w:p>
        </w:tc>
      </w:tr>
      <w:tr w:rsidR="001506C1" w:rsidRPr="00FA3F9C" w14:paraId="648154ED" w14:textId="77777777" w:rsidTr="00FE491B">
        <w:tc>
          <w:tcPr>
            <w:tcW w:w="1008" w:type="dxa"/>
          </w:tcPr>
          <w:p w14:paraId="73E9F618" w14:textId="77777777" w:rsidR="001506C1" w:rsidRPr="00FA3F9C" w:rsidRDefault="001506C1" w:rsidP="006F623F">
            <w:pPr>
              <w:rPr>
                <w:rFonts w:ascii="Arial" w:hAnsi="Arial" w:cs="Arial"/>
                <w:sz w:val="24"/>
                <w:szCs w:val="24"/>
              </w:rPr>
            </w:pPr>
            <w:r w:rsidRPr="00FA3F9C">
              <w:rPr>
                <w:rFonts w:ascii="Arial" w:hAnsi="Arial" w:cs="Arial"/>
                <w:sz w:val="24"/>
                <w:szCs w:val="24"/>
              </w:rPr>
              <w:t>3/17/2020</w:t>
            </w:r>
          </w:p>
        </w:tc>
        <w:tc>
          <w:tcPr>
            <w:tcW w:w="7470" w:type="dxa"/>
          </w:tcPr>
          <w:p w14:paraId="7192F39F" w14:textId="77777777" w:rsidR="001506C1" w:rsidRPr="00FA3F9C" w:rsidRDefault="001506C1" w:rsidP="006F623F">
            <w:pPr>
              <w:rPr>
                <w:rFonts w:ascii="Arial" w:hAnsi="Arial" w:cs="Arial"/>
                <w:sz w:val="24"/>
                <w:szCs w:val="24"/>
              </w:rPr>
            </w:pPr>
            <w:r w:rsidRPr="00FA3F9C">
              <w:rPr>
                <w:rFonts w:ascii="Arial" w:hAnsi="Arial" w:cs="Arial"/>
                <w:sz w:val="24"/>
                <w:szCs w:val="24"/>
              </w:rPr>
              <w:t>For metastatic CRPC, added requirement of failure of abiraterone to drive use toward cheaper generic. Abiraterone is generic and much cheaper (~$3,300/</w:t>
            </w:r>
            <w:proofErr w:type="spellStart"/>
            <w:r w:rsidRPr="00FA3F9C">
              <w:rPr>
                <w:rFonts w:ascii="Arial" w:hAnsi="Arial" w:cs="Arial"/>
                <w:sz w:val="24"/>
                <w:szCs w:val="24"/>
              </w:rPr>
              <w:t>mo</w:t>
            </w:r>
            <w:proofErr w:type="spellEnd"/>
            <w:r w:rsidRPr="00FA3F9C">
              <w:rPr>
                <w:rFonts w:ascii="Arial" w:hAnsi="Arial" w:cs="Arial"/>
                <w:sz w:val="24"/>
                <w:szCs w:val="24"/>
              </w:rPr>
              <w:t xml:space="preserve"> for abiraterone; ~$11,200/</w:t>
            </w:r>
            <w:proofErr w:type="spellStart"/>
            <w:r w:rsidRPr="00FA3F9C">
              <w:rPr>
                <w:rFonts w:ascii="Arial" w:hAnsi="Arial" w:cs="Arial"/>
                <w:sz w:val="24"/>
                <w:szCs w:val="24"/>
              </w:rPr>
              <w:t>mo</w:t>
            </w:r>
            <w:proofErr w:type="spellEnd"/>
            <w:r w:rsidRPr="00FA3F9C">
              <w:rPr>
                <w:rFonts w:ascii="Arial" w:hAnsi="Arial" w:cs="Arial"/>
                <w:sz w:val="24"/>
                <w:szCs w:val="24"/>
              </w:rPr>
              <w:t xml:space="preserve"> for enzalutamide as of 3/2020)</w:t>
            </w:r>
          </w:p>
        </w:tc>
        <w:tc>
          <w:tcPr>
            <w:tcW w:w="2538" w:type="dxa"/>
          </w:tcPr>
          <w:p w14:paraId="2D99132C" w14:textId="77777777" w:rsidR="001506C1" w:rsidRPr="00FA3F9C" w:rsidRDefault="001506C1" w:rsidP="006F623F">
            <w:pPr>
              <w:rPr>
                <w:rFonts w:ascii="Arial" w:hAnsi="Arial" w:cs="Arial"/>
                <w:sz w:val="24"/>
                <w:szCs w:val="24"/>
              </w:rPr>
            </w:pPr>
            <w:r w:rsidRPr="00FA3F9C">
              <w:rPr>
                <w:rFonts w:ascii="Arial" w:hAnsi="Arial" w:cs="Arial"/>
                <w:sz w:val="24"/>
                <w:szCs w:val="24"/>
              </w:rPr>
              <w:t>SK</w:t>
            </w:r>
          </w:p>
        </w:tc>
      </w:tr>
      <w:tr w:rsidR="001506C1" w:rsidRPr="00FA3F9C" w14:paraId="2BDEF8C6" w14:textId="77777777" w:rsidTr="00FE491B">
        <w:tc>
          <w:tcPr>
            <w:tcW w:w="1008" w:type="dxa"/>
          </w:tcPr>
          <w:p w14:paraId="50A3EF0C" w14:textId="77777777" w:rsidR="001506C1" w:rsidRPr="00FA3F9C" w:rsidRDefault="001506C1" w:rsidP="003A5865">
            <w:pPr>
              <w:rPr>
                <w:rFonts w:ascii="Arial" w:hAnsi="Arial" w:cs="Arial"/>
                <w:sz w:val="24"/>
                <w:szCs w:val="24"/>
              </w:rPr>
            </w:pPr>
            <w:r w:rsidRPr="00FA3F9C">
              <w:rPr>
                <w:rFonts w:ascii="Arial" w:hAnsi="Arial" w:cs="Arial"/>
                <w:sz w:val="24"/>
                <w:szCs w:val="24"/>
              </w:rPr>
              <w:t>4/15/2020</w:t>
            </w:r>
          </w:p>
        </w:tc>
        <w:tc>
          <w:tcPr>
            <w:tcW w:w="7470" w:type="dxa"/>
          </w:tcPr>
          <w:p w14:paraId="3C168F3A" w14:textId="77777777" w:rsidR="001506C1" w:rsidRPr="00FA3F9C" w:rsidRDefault="001506C1" w:rsidP="003A5865">
            <w:pPr>
              <w:rPr>
                <w:rFonts w:ascii="Arial" w:hAnsi="Arial" w:cs="Arial"/>
                <w:sz w:val="24"/>
                <w:szCs w:val="24"/>
              </w:rPr>
            </w:pPr>
            <w:r w:rsidRPr="00FA3F9C">
              <w:rPr>
                <w:rFonts w:ascii="Arial" w:hAnsi="Arial" w:cs="Arial"/>
                <w:sz w:val="24"/>
                <w:szCs w:val="24"/>
              </w:rPr>
              <w:t xml:space="preserve">Added reference for second </w:t>
            </w:r>
            <w:proofErr w:type="spellStart"/>
            <w:proofErr w:type="gramStart"/>
            <w:r w:rsidRPr="00FA3F9C">
              <w:rPr>
                <w:rFonts w:ascii="Arial" w:hAnsi="Arial" w:cs="Arial"/>
                <w:sz w:val="24"/>
                <w:szCs w:val="24"/>
              </w:rPr>
              <w:t>meta analysis</w:t>
            </w:r>
            <w:proofErr w:type="spellEnd"/>
            <w:proofErr w:type="gramEnd"/>
            <w:r w:rsidRPr="00FA3F9C">
              <w:rPr>
                <w:rFonts w:ascii="Arial" w:hAnsi="Arial" w:cs="Arial"/>
                <w:sz w:val="24"/>
                <w:szCs w:val="24"/>
              </w:rPr>
              <w:t xml:space="preserve"> to show improvement in overall survival of antiandrogens (including </w:t>
            </w:r>
            <w:proofErr w:type="spellStart"/>
            <w:r w:rsidRPr="00FA3F9C">
              <w:rPr>
                <w:rFonts w:ascii="Arial" w:hAnsi="Arial" w:cs="Arial"/>
                <w:sz w:val="24"/>
                <w:szCs w:val="24"/>
              </w:rPr>
              <w:t>enzaluatmide</w:t>
            </w:r>
            <w:proofErr w:type="spellEnd"/>
            <w:r w:rsidRPr="00FA3F9C">
              <w:rPr>
                <w:rFonts w:ascii="Arial" w:hAnsi="Arial" w:cs="Arial"/>
                <w:sz w:val="24"/>
                <w:szCs w:val="24"/>
              </w:rPr>
              <w:t>) vs placebo in non-metastatic prostate cancer</w:t>
            </w:r>
          </w:p>
        </w:tc>
        <w:tc>
          <w:tcPr>
            <w:tcW w:w="2538" w:type="dxa"/>
          </w:tcPr>
          <w:p w14:paraId="4881852D" w14:textId="77777777" w:rsidR="001506C1" w:rsidRPr="00FA3F9C" w:rsidRDefault="001506C1" w:rsidP="003A5865">
            <w:pPr>
              <w:rPr>
                <w:rFonts w:ascii="Arial" w:hAnsi="Arial" w:cs="Arial"/>
                <w:sz w:val="24"/>
                <w:szCs w:val="24"/>
              </w:rPr>
            </w:pPr>
            <w:r w:rsidRPr="00FA3F9C">
              <w:rPr>
                <w:rFonts w:ascii="Arial" w:hAnsi="Arial" w:cs="Arial"/>
                <w:sz w:val="24"/>
                <w:szCs w:val="24"/>
              </w:rPr>
              <w:t>SK</w:t>
            </w:r>
          </w:p>
        </w:tc>
      </w:tr>
      <w:tr w:rsidR="001506C1" w:rsidRPr="00FA3F9C" w14:paraId="41D1FBA3" w14:textId="77777777" w:rsidTr="00FE491B">
        <w:tc>
          <w:tcPr>
            <w:tcW w:w="1008" w:type="dxa"/>
          </w:tcPr>
          <w:p w14:paraId="23FA8D36" w14:textId="77777777" w:rsidR="001506C1" w:rsidRPr="00FA3F9C" w:rsidRDefault="001506C1" w:rsidP="003A5865">
            <w:pPr>
              <w:rPr>
                <w:rFonts w:ascii="Arial" w:hAnsi="Arial" w:cs="Arial"/>
                <w:sz w:val="24"/>
                <w:szCs w:val="24"/>
              </w:rPr>
            </w:pPr>
            <w:r w:rsidRPr="00FA3F9C">
              <w:rPr>
                <w:rFonts w:ascii="Arial" w:hAnsi="Arial" w:cs="Arial"/>
                <w:sz w:val="24"/>
                <w:szCs w:val="24"/>
              </w:rPr>
              <w:t>5/25/21</w:t>
            </w:r>
          </w:p>
        </w:tc>
        <w:tc>
          <w:tcPr>
            <w:tcW w:w="7470" w:type="dxa"/>
          </w:tcPr>
          <w:p w14:paraId="5E081CD1" w14:textId="77777777" w:rsidR="001506C1" w:rsidRPr="00FA3F9C" w:rsidRDefault="001506C1" w:rsidP="00707E17">
            <w:pPr>
              <w:rPr>
                <w:rFonts w:ascii="Arial" w:hAnsi="Arial" w:cs="Arial"/>
                <w:sz w:val="24"/>
                <w:szCs w:val="24"/>
              </w:rPr>
            </w:pPr>
            <w:r w:rsidRPr="00FA3F9C">
              <w:rPr>
                <w:rFonts w:ascii="Arial" w:hAnsi="Arial" w:cs="Arial"/>
                <w:sz w:val="24"/>
                <w:szCs w:val="24"/>
              </w:rPr>
              <w:t>Criteria reviewed. Added another meta-analysis looking at non-metastatic indication.</w:t>
            </w:r>
          </w:p>
        </w:tc>
        <w:tc>
          <w:tcPr>
            <w:tcW w:w="2538" w:type="dxa"/>
          </w:tcPr>
          <w:p w14:paraId="784673B6" w14:textId="77777777" w:rsidR="001506C1" w:rsidRPr="00FA3F9C" w:rsidRDefault="001506C1" w:rsidP="003A5865">
            <w:pPr>
              <w:rPr>
                <w:rFonts w:ascii="Arial" w:hAnsi="Arial" w:cs="Arial"/>
                <w:sz w:val="24"/>
                <w:szCs w:val="24"/>
              </w:rPr>
            </w:pPr>
            <w:r w:rsidRPr="00FA3F9C">
              <w:rPr>
                <w:rFonts w:ascii="Arial" w:hAnsi="Arial" w:cs="Arial"/>
                <w:sz w:val="24"/>
                <w:szCs w:val="24"/>
              </w:rPr>
              <w:t>SK</w:t>
            </w:r>
          </w:p>
        </w:tc>
      </w:tr>
      <w:tr w:rsidR="001506C1" w:rsidRPr="00FA3F9C" w14:paraId="4A72F1D6" w14:textId="77777777" w:rsidTr="00FE491B">
        <w:tc>
          <w:tcPr>
            <w:tcW w:w="1008" w:type="dxa"/>
          </w:tcPr>
          <w:p w14:paraId="2FAF730F" w14:textId="77777777" w:rsidR="001506C1" w:rsidRPr="00FA3F9C" w:rsidRDefault="001506C1" w:rsidP="003A5865">
            <w:pPr>
              <w:rPr>
                <w:rFonts w:ascii="Arial" w:hAnsi="Arial" w:cs="Arial"/>
                <w:sz w:val="24"/>
                <w:szCs w:val="24"/>
              </w:rPr>
            </w:pPr>
            <w:r w:rsidRPr="00FA3F9C">
              <w:rPr>
                <w:rFonts w:ascii="Arial" w:hAnsi="Arial" w:cs="Arial"/>
                <w:sz w:val="24"/>
                <w:szCs w:val="24"/>
              </w:rPr>
              <w:t>7/28/21</w:t>
            </w:r>
          </w:p>
        </w:tc>
        <w:tc>
          <w:tcPr>
            <w:tcW w:w="7470" w:type="dxa"/>
          </w:tcPr>
          <w:p w14:paraId="78DDCDED" w14:textId="77777777" w:rsidR="001506C1" w:rsidRPr="00FA3F9C" w:rsidRDefault="001506C1" w:rsidP="00707E17">
            <w:pPr>
              <w:rPr>
                <w:rFonts w:ascii="Arial" w:hAnsi="Arial" w:cs="Arial"/>
                <w:sz w:val="24"/>
                <w:szCs w:val="24"/>
              </w:rPr>
            </w:pPr>
            <w:r w:rsidRPr="00FA3F9C">
              <w:rPr>
                <w:rFonts w:ascii="Arial" w:hAnsi="Arial" w:cs="Arial"/>
                <w:sz w:val="24"/>
                <w:szCs w:val="24"/>
              </w:rPr>
              <w:t>UAS using EBRx criteria.</w:t>
            </w:r>
          </w:p>
        </w:tc>
        <w:tc>
          <w:tcPr>
            <w:tcW w:w="2538" w:type="dxa"/>
          </w:tcPr>
          <w:p w14:paraId="7032083D" w14:textId="77777777" w:rsidR="001506C1" w:rsidRPr="00FA3F9C" w:rsidRDefault="001506C1" w:rsidP="003A5865">
            <w:pPr>
              <w:rPr>
                <w:rFonts w:ascii="Arial" w:hAnsi="Arial" w:cs="Arial"/>
                <w:sz w:val="24"/>
                <w:szCs w:val="24"/>
              </w:rPr>
            </w:pPr>
            <w:r w:rsidRPr="00FA3F9C">
              <w:rPr>
                <w:rFonts w:ascii="Arial" w:hAnsi="Arial" w:cs="Arial"/>
                <w:sz w:val="24"/>
                <w:szCs w:val="24"/>
              </w:rPr>
              <w:t>JJ</w:t>
            </w:r>
          </w:p>
        </w:tc>
      </w:tr>
    </w:tbl>
    <w:p w14:paraId="36B48B50" w14:textId="77777777" w:rsidR="001506C1" w:rsidRPr="00FA3F9C" w:rsidRDefault="001506C1" w:rsidP="006F623F">
      <w:pPr>
        <w:spacing w:after="0"/>
        <w:rPr>
          <w:rFonts w:ascii="Arial" w:hAnsi="Arial" w:cs="Arial"/>
          <w:sz w:val="24"/>
          <w:szCs w:val="24"/>
        </w:rPr>
      </w:pPr>
    </w:p>
    <w:p w14:paraId="0E4BB28E" w14:textId="77777777" w:rsidR="00BE7C2A" w:rsidRDefault="001506C1" w:rsidP="00BE7C2A">
      <w:pPr>
        <w:pStyle w:val="Heading2"/>
      </w:pPr>
      <w:bookmarkStart w:id="94" w:name="_Toc106369789"/>
      <w:proofErr w:type="spellStart"/>
      <w:r w:rsidRPr="00FA3F9C">
        <w:t>Erenumab</w:t>
      </w:r>
      <w:proofErr w:type="spellEnd"/>
      <w:r w:rsidRPr="00FA3F9C">
        <w:t xml:space="preserve"> (Aimovig)</w:t>
      </w:r>
      <w:bookmarkEnd w:id="94"/>
      <w:r w:rsidRPr="00FA3F9C">
        <w:t xml:space="preserve"> </w:t>
      </w:r>
    </w:p>
    <w:p w14:paraId="3F8C0C8B" w14:textId="1F51558D" w:rsidR="001506C1" w:rsidRDefault="001506C1" w:rsidP="006F623F">
      <w:pPr>
        <w:spacing w:after="0"/>
        <w:jc w:val="center"/>
        <w:rPr>
          <w:rFonts w:ascii="Arial" w:hAnsi="Arial" w:cs="Arial"/>
          <w:sz w:val="24"/>
          <w:szCs w:val="24"/>
        </w:rPr>
      </w:pPr>
      <w:r w:rsidRPr="00FA3F9C">
        <w:rPr>
          <w:rFonts w:ascii="Arial" w:hAnsi="Arial" w:cs="Arial"/>
          <w:sz w:val="24"/>
          <w:szCs w:val="24"/>
        </w:rPr>
        <w:t>70 mg autoinjectors (pkg size 1 or 2 autoinjectors)</w:t>
      </w:r>
    </w:p>
    <w:p w14:paraId="5164B3C4" w14:textId="77777777" w:rsidR="00BE7C2A" w:rsidRPr="00FA3F9C" w:rsidRDefault="00BE7C2A" w:rsidP="00BE7C2A">
      <w:pPr>
        <w:spacing w:after="0"/>
        <w:jc w:val="center"/>
        <w:rPr>
          <w:rFonts w:ascii="Arial" w:hAnsi="Arial" w:cs="Arial"/>
          <w:sz w:val="24"/>
          <w:szCs w:val="24"/>
        </w:rPr>
      </w:pPr>
      <w:r w:rsidRPr="00FA3F9C">
        <w:rPr>
          <w:rFonts w:ascii="Arial" w:hAnsi="Arial" w:cs="Arial"/>
          <w:sz w:val="24"/>
          <w:szCs w:val="24"/>
        </w:rPr>
        <w:t>EBRx PA Criteria</w:t>
      </w:r>
    </w:p>
    <w:p w14:paraId="1E62DA7D" w14:textId="77777777" w:rsidR="00BE7C2A" w:rsidRPr="00FA3F9C" w:rsidRDefault="00BE7C2A" w:rsidP="006F623F">
      <w:pPr>
        <w:spacing w:after="0"/>
        <w:jc w:val="center"/>
        <w:rPr>
          <w:rFonts w:ascii="Arial" w:hAnsi="Arial" w:cs="Arial"/>
          <w:sz w:val="24"/>
          <w:szCs w:val="24"/>
        </w:rPr>
      </w:pPr>
    </w:p>
    <w:p w14:paraId="7ACA13C1" w14:textId="77777777" w:rsidR="001506C1" w:rsidRPr="00FA3F9C" w:rsidRDefault="001506C1" w:rsidP="006F623F">
      <w:pPr>
        <w:spacing w:after="0"/>
        <w:rPr>
          <w:rFonts w:ascii="Arial" w:hAnsi="Arial" w:cs="Arial"/>
          <w:b/>
          <w:sz w:val="24"/>
          <w:szCs w:val="24"/>
          <w:u w:val="single"/>
        </w:rPr>
      </w:pPr>
    </w:p>
    <w:p w14:paraId="3564CEAC" w14:textId="77777777" w:rsidR="001506C1" w:rsidRPr="00FA3F9C" w:rsidRDefault="001506C1" w:rsidP="006F623F">
      <w:pPr>
        <w:spacing w:after="0"/>
        <w:rPr>
          <w:rFonts w:ascii="Arial" w:hAnsi="Arial" w:cs="Arial"/>
          <w:sz w:val="24"/>
          <w:szCs w:val="24"/>
        </w:rPr>
      </w:pPr>
      <w:r w:rsidRPr="00FA3F9C">
        <w:rPr>
          <w:rFonts w:ascii="Arial" w:hAnsi="Arial" w:cs="Arial"/>
          <w:b/>
          <w:sz w:val="24"/>
          <w:szCs w:val="24"/>
          <w:u w:val="single"/>
        </w:rPr>
        <w:t xml:space="preserve">is FDA-approved </w:t>
      </w:r>
      <w:proofErr w:type="gramStart"/>
      <w:r w:rsidRPr="00FA3F9C">
        <w:rPr>
          <w:rFonts w:ascii="Arial" w:hAnsi="Arial" w:cs="Arial"/>
          <w:b/>
          <w:sz w:val="24"/>
          <w:szCs w:val="24"/>
          <w:u w:val="single"/>
        </w:rPr>
        <w:t>to:</w:t>
      </w:r>
      <w:proofErr w:type="gramEnd"/>
      <w:r w:rsidRPr="00FA3F9C">
        <w:rPr>
          <w:rFonts w:ascii="Arial" w:hAnsi="Arial" w:cs="Arial"/>
          <w:sz w:val="24"/>
          <w:szCs w:val="24"/>
        </w:rPr>
        <w:t xml:space="preserve"> preventive </w:t>
      </w:r>
      <w:proofErr w:type="spellStart"/>
      <w:r w:rsidRPr="00FA3F9C">
        <w:rPr>
          <w:rFonts w:ascii="Arial" w:hAnsi="Arial" w:cs="Arial"/>
          <w:sz w:val="24"/>
          <w:szCs w:val="24"/>
        </w:rPr>
        <w:t>tx</w:t>
      </w:r>
      <w:proofErr w:type="spellEnd"/>
      <w:r w:rsidRPr="00FA3F9C">
        <w:rPr>
          <w:rFonts w:ascii="Arial" w:hAnsi="Arial" w:cs="Arial"/>
          <w:sz w:val="24"/>
          <w:szCs w:val="24"/>
        </w:rPr>
        <w:t xml:space="preserve"> of migraine in adults (both chronic and episodic)</w:t>
      </w:r>
    </w:p>
    <w:tbl>
      <w:tblPr>
        <w:tblStyle w:val="TableGrid"/>
        <w:tblW w:w="11028" w:type="dxa"/>
        <w:tblLook w:val="04A0" w:firstRow="1" w:lastRow="0" w:firstColumn="1" w:lastColumn="0" w:noHBand="0" w:noVBand="1"/>
      </w:tblPr>
      <w:tblGrid>
        <w:gridCol w:w="11028"/>
      </w:tblGrid>
      <w:tr w:rsidR="001506C1" w:rsidRPr="00FA3F9C" w14:paraId="3B657F1F" w14:textId="77777777" w:rsidTr="00D44740">
        <w:trPr>
          <w:trHeight w:val="268"/>
        </w:trPr>
        <w:tc>
          <w:tcPr>
            <w:tcW w:w="11028" w:type="dxa"/>
            <w:shd w:val="clear" w:color="auto" w:fill="000000"/>
          </w:tcPr>
          <w:p w14:paraId="77596430" w14:textId="77777777" w:rsidR="001506C1" w:rsidRPr="00FA3F9C" w:rsidRDefault="001506C1" w:rsidP="0086393A">
            <w:pPr>
              <w:rPr>
                <w:rFonts w:ascii="Arial" w:hAnsi="Arial" w:cs="Arial"/>
                <w:b/>
                <w:sz w:val="24"/>
                <w:szCs w:val="24"/>
                <w:u w:val="single"/>
              </w:rPr>
            </w:pPr>
            <w:r w:rsidRPr="00FA3F9C">
              <w:rPr>
                <w:rFonts w:ascii="Arial" w:hAnsi="Arial" w:cs="Arial"/>
                <w:b/>
                <w:sz w:val="24"/>
                <w:szCs w:val="24"/>
                <w:u w:val="single"/>
              </w:rPr>
              <w:t>Criteria for access:</w:t>
            </w:r>
          </w:p>
        </w:tc>
      </w:tr>
      <w:tr w:rsidR="001506C1" w:rsidRPr="00FA3F9C" w14:paraId="5BA29227" w14:textId="77777777" w:rsidTr="00D44740">
        <w:trPr>
          <w:trHeight w:val="253"/>
        </w:trPr>
        <w:tc>
          <w:tcPr>
            <w:tcW w:w="11028" w:type="dxa"/>
          </w:tcPr>
          <w:p w14:paraId="3FCAA180" w14:textId="77777777" w:rsidR="001506C1" w:rsidRPr="00FA3F9C" w:rsidRDefault="001506C1" w:rsidP="001506C1">
            <w:pPr>
              <w:pStyle w:val="ListParagraph"/>
              <w:numPr>
                <w:ilvl w:val="0"/>
                <w:numId w:val="9"/>
              </w:numPr>
              <w:ind w:left="694" w:hanging="630"/>
              <w:rPr>
                <w:rFonts w:ascii="Arial" w:hAnsi="Arial" w:cs="Arial"/>
                <w:sz w:val="24"/>
                <w:szCs w:val="24"/>
              </w:rPr>
            </w:pPr>
            <w:r w:rsidRPr="00FA3F9C">
              <w:rPr>
                <w:rFonts w:ascii="Arial" w:hAnsi="Arial" w:cs="Arial"/>
                <w:sz w:val="24"/>
                <w:szCs w:val="24"/>
              </w:rPr>
              <w:t>Patient must be 18 years old or older.</w:t>
            </w:r>
          </w:p>
        </w:tc>
      </w:tr>
      <w:tr w:rsidR="001506C1" w:rsidRPr="00FA3F9C" w14:paraId="1CD2347D" w14:textId="77777777" w:rsidTr="00D44740">
        <w:trPr>
          <w:trHeight w:val="253"/>
        </w:trPr>
        <w:tc>
          <w:tcPr>
            <w:tcW w:w="11028" w:type="dxa"/>
          </w:tcPr>
          <w:p w14:paraId="06CDB62B" w14:textId="77777777" w:rsidR="001506C1" w:rsidRPr="00FA3F9C" w:rsidRDefault="001506C1" w:rsidP="001506C1">
            <w:pPr>
              <w:pStyle w:val="ListParagraph"/>
              <w:numPr>
                <w:ilvl w:val="0"/>
                <w:numId w:val="9"/>
              </w:numPr>
              <w:ind w:left="694" w:hanging="656"/>
              <w:rPr>
                <w:rFonts w:ascii="Arial" w:hAnsi="Arial" w:cs="Arial"/>
                <w:sz w:val="24"/>
                <w:szCs w:val="24"/>
              </w:rPr>
            </w:pPr>
            <w:r w:rsidRPr="00FA3F9C">
              <w:rPr>
                <w:rFonts w:ascii="Arial" w:hAnsi="Arial" w:cs="Arial"/>
                <w:sz w:val="24"/>
                <w:szCs w:val="24"/>
              </w:rPr>
              <w:t>Patient must have received the diagnosis of migraine onset before age 50.</w:t>
            </w:r>
          </w:p>
        </w:tc>
      </w:tr>
      <w:tr w:rsidR="001506C1" w:rsidRPr="00FA3F9C" w14:paraId="5A0E87A4" w14:textId="77777777" w:rsidTr="00D44740">
        <w:trPr>
          <w:trHeight w:val="253"/>
        </w:trPr>
        <w:tc>
          <w:tcPr>
            <w:tcW w:w="11028" w:type="dxa"/>
          </w:tcPr>
          <w:p w14:paraId="473460F9" w14:textId="77777777" w:rsidR="001506C1" w:rsidRPr="00FA3F9C" w:rsidRDefault="001506C1" w:rsidP="001506C1">
            <w:pPr>
              <w:pStyle w:val="ListParagraph"/>
              <w:numPr>
                <w:ilvl w:val="0"/>
                <w:numId w:val="9"/>
              </w:numPr>
              <w:ind w:left="694" w:hanging="656"/>
              <w:rPr>
                <w:rFonts w:ascii="Arial" w:hAnsi="Arial" w:cs="Arial"/>
                <w:sz w:val="24"/>
                <w:szCs w:val="24"/>
              </w:rPr>
            </w:pPr>
            <w:r w:rsidRPr="00FA3F9C">
              <w:rPr>
                <w:rFonts w:ascii="Arial" w:hAnsi="Arial" w:cs="Arial"/>
                <w:sz w:val="24"/>
                <w:szCs w:val="24"/>
              </w:rPr>
              <w:t>Patient must have tried and had an inadequate response to a trial of TWO preventative therapies:</w:t>
            </w:r>
          </w:p>
          <w:p w14:paraId="3F7907D3" w14:textId="77777777" w:rsidR="001506C1" w:rsidRPr="00FA3F9C" w:rsidRDefault="001506C1" w:rsidP="00F0718B">
            <w:pPr>
              <w:pStyle w:val="ListParagraph"/>
              <w:ind w:left="1350" w:hanging="656"/>
              <w:rPr>
                <w:rFonts w:ascii="Arial" w:hAnsi="Arial" w:cs="Arial"/>
                <w:sz w:val="24"/>
                <w:szCs w:val="24"/>
              </w:rPr>
            </w:pPr>
            <w:r w:rsidRPr="00FA3F9C">
              <w:rPr>
                <w:rFonts w:ascii="Arial" w:hAnsi="Arial" w:cs="Arial"/>
                <w:sz w:val="24"/>
                <w:szCs w:val="24"/>
              </w:rPr>
              <w:t>a. beta blocker- propranolol 80-240mg/day</w:t>
            </w:r>
          </w:p>
          <w:p w14:paraId="212DFB8D" w14:textId="77777777" w:rsidR="001506C1" w:rsidRPr="00FA3F9C" w:rsidRDefault="001506C1" w:rsidP="00F0718B">
            <w:pPr>
              <w:pStyle w:val="ListParagraph"/>
              <w:ind w:left="1350" w:hanging="656"/>
              <w:rPr>
                <w:rFonts w:ascii="Arial" w:hAnsi="Arial" w:cs="Arial"/>
                <w:sz w:val="24"/>
                <w:szCs w:val="24"/>
              </w:rPr>
            </w:pPr>
            <w:r w:rsidRPr="00FA3F9C">
              <w:rPr>
                <w:rFonts w:ascii="Arial" w:hAnsi="Arial" w:cs="Arial"/>
                <w:sz w:val="24"/>
                <w:szCs w:val="24"/>
              </w:rPr>
              <w:t xml:space="preserve">b. divalproex 500-1000mg/day, topiramate 100-200mg/day </w:t>
            </w:r>
          </w:p>
          <w:p w14:paraId="7C181827" w14:textId="77777777" w:rsidR="001506C1" w:rsidRPr="00FA3F9C" w:rsidRDefault="001506C1" w:rsidP="00F0718B">
            <w:pPr>
              <w:pStyle w:val="ListParagraph"/>
              <w:ind w:left="1350" w:hanging="656"/>
              <w:rPr>
                <w:rFonts w:ascii="Arial" w:hAnsi="Arial" w:cs="Arial"/>
                <w:sz w:val="24"/>
                <w:szCs w:val="24"/>
              </w:rPr>
            </w:pPr>
            <w:r w:rsidRPr="00FA3F9C">
              <w:rPr>
                <w:rFonts w:ascii="Arial" w:hAnsi="Arial" w:cs="Arial"/>
                <w:sz w:val="24"/>
                <w:szCs w:val="24"/>
              </w:rPr>
              <w:t xml:space="preserve">c. botulinum toxin A. </w:t>
            </w:r>
          </w:p>
          <w:p w14:paraId="43637865" w14:textId="77777777" w:rsidR="001506C1" w:rsidRPr="00FA3F9C" w:rsidRDefault="001506C1" w:rsidP="00F0718B">
            <w:pPr>
              <w:pStyle w:val="ListParagraph"/>
              <w:ind w:left="1350" w:hanging="656"/>
              <w:rPr>
                <w:rFonts w:ascii="Arial" w:hAnsi="Arial" w:cs="Arial"/>
                <w:sz w:val="24"/>
                <w:szCs w:val="24"/>
              </w:rPr>
            </w:pPr>
            <w:r w:rsidRPr="00FA3F9C">
              <w:rPr>
                <w:rFonts w:ascii="Arial" w:hAnsi="Arial" w:cs="Arial"/>
                <w:sz w:val="24"/>
                <w:szCs w:val="24"/>
              </w:rPr>
              <w:t>A trial consists of 2 or more months of claims per drug.</w:t>
            </w:r>
          </w:p>
        </w:tc>
      </w:tr>
      <w:tr w:rsidR="001506C1" w:rsidRPr="00FA3F9C" w14:paraId="31186E76" w14:textId="77777777" w:rsidTr="00D44740">
        <w:trPr>
          <w:trHeight w:val="268"/>
        </w:trPr>
        <w:tc>
          <w:tcPr>
            <w:tcW w:w="11028" w:type="dxa"/>
          </w:tcPr>
          <w:p w14:paraId="7A768D52" w14:textId="77777777" w:rsidR="001506C1" w:rsidRPr="00FA3F9C" w:rsidRDefault="001506C1" w:rsidP="001506C1">
            <w:pPr>
              <w:pStyle w:val="ListParagraph"/>
              <w:numPr>
                <w:ilvl w:val="0"/>
                <w:numId w:val="9"/>
              </w:numPr>
              <w:ind w:left="694" w:hanging="656"/>
              <w:rPr>
                <w:rFonts w:ascii="Arial" w:hAnsi="Arial" w:cs="Arial"/>
                <w:sz w:val="24"/>
                <w:szCs w:val="24"/>
              </w:rPr>
            </w:pPr>
            <w:r w:rsidRPr="00FA3F9C">
              <w:rPr>
                <w:rFonts w:ascii="Arial" w:hAnsi="Arial" w:cs="Arial"/>
                <w:sz w:val="24"/>
                <w:szCs w:val="24"/>
              </w:rPr>
              <w:lastRenderedPageBreak/>
              <w:t>Patient must have had a trial of at least 2 different triptan fills on the profile within the previous year (or else be intolerant to triptans).</w:t>
            </w:r>
          </w:p>
        </w:tc>
      </w:tr>
      <w:tr w:rsidR="001506C1" w:rsidRPr="00FA3F9C" w14:paraId="24F07622" w14:textId="77777777" w:rsidTr="00964714">
        <w:trPr>
          <w:trHeight w:val="251"/>
        </w:trPr>
        <w:tc>
          <w:tcPr>
            <w:tcW w:w="11028" w:type="dxa"/>
            <w:tcBorders>
              <w:bottom w:val="single" w:sz="4" w:space="0" w:color="auto"/>
            </w:tcBorders>
          </w:tcPr>
          <w:p w14:paraId="11527F75" w14:textId="77777777" w:rsidR="001506C1" w:rsidRPr="00FA3F9C" w:rsidRDefault="001506C1" w:rsidP="001506C1">
            <w:pPr>
              <w:pStyle w:val="ListParagraph"/>
              <w:numPr>
                <w:ilvl w:val="0"/>
                <w:numId w:val="9"/>
              </w:numPr>
              <w:ind w:left="694" w:hanging="656"/>
              <w:rPr>
                <w:rFonts w:ascii="Arial" w:hAnsi="Arial" w:cs="Arial"/>
                <w:sz w:val="24"/>
                <w:szCs w:val="24"/>
              </w:rPr>
            </w:pPr>
            <w:r w:rsidRPr="00FA3F9C">
              <w:rPr>
                <w:rFonts w:ascii="Arial" w:hAnsi="Arial" w:cs="Arial"/>
                <w:sz w:val="24"/>
                <w:szCs w:val="24"/>
              </w:rPr>
              <w:t>The prescriber must be a neurologist or headache specialist or be working with one regarding the prescribing for this patient.</w:t>
            </w:r>
          </w:p>
        </w:tc>
      </w:tr>
      <w:tr w:rsidR="001506C1" w:rsidRPr="00FA3F9C" w14:paraId="6110FD28" w14:textId="77777777" w:rsidTr="00964714">
        <w:trPr>
          <w:trHeight w:val="251"/>
        </w:trPr>
        <w:tc>
          <w:tcPr>
            <w:tcW w:w="11028" w:type="dxa"/>
            <w:tcBorders>
              <w:bottom w:val="single" w:sz="4" w:space="0" w:color="auto"/>
            </w:tcBorders>
          </w:tcPr>
          <w:p w14:paraId="37F0CCE5" w14:textId="77777777" w:rsidR="001506C1" w:rsidRPr="00FA3F9C" w:rsidRDefault="001506C1" w:rsidP="001506C1">
            <w:pPr>
              <w:pStyle w:val="ListParagraph"/>
              <w:numPr>
                <w:ilvl w:val="0"/>
                <w:numId w:val="9"/>
              </w:numPr>
              <w:ind w:left="694" w:hanging="656"/>
              <w:rPr>
                <w:rFonts w:ascii="Arial" w:hAnsi="Arial" w:cs="Arial"/>
                <w:sz w:val="24"/>
                <w:szCs w:val="24"/>
              </w:rPr>
            </w:pPr>
            <w:r w:rsidRPr="00FA3F9C">
              <w:rPr>
                <w:rFonts w:ascii="Arial" w:hAnsi="Arial" w:cs="Arial"/>
                <w:sz w:val="24"/>
                <w:szCs w:val="24"/>
              </w:rPr>
              <w:t xml:space="preserve">If criteria are fulfilled. Approve </w:t>
            </w:r>
            <w:proofErr w:type="spellStart"/>
            <w:r w:rsidRPr="00FA3F9C">
              <w:rPr>
                <w:rFonts w:ascii="Arial" w:hAnsi="Arial" w:cs="Arial"/>
                <w:sz w:val="24"/>
                <w:szCs w:val="24"/>
              </w:rPr>
              <w:t>erenumab</w:t>
            </w:r>
            <w:proofErr w:type="spellEnd"/>
            <w:r w:rsidRPr="00FA3F9C">
              <w:rPr>
                <w:rFonts w:ascii="Arial" w:hAnsi="Arial" w:cs="Arial"/>
                <w:sz w:val="24"/>
                <w:szCs w:val="24"/>
              </w:rPr>
              <w:t xml:space="preserve"> 70 mg once monthly.</w:t>
            </w:r>
          </w:p>
          <w:p w14:paraId="2BF13F2A" w14:textId="77777777" w:rsidR="001506C1" w:rsidRPr="00FA3F9C" w:rsidRDefault="001506C1" w:rsidP="00F0718B">
            <w:pPr>
              <w:pStyle w:val="ListParagraph"/>
              <w:ind w:left="694" w:hanging="656"/>
              <w:rPr>
                <w:rFonts w:ascii="Arial" w:hAnsi="Arial" w:cs="Arial"/>
                <w:sz w:val="24"/>
                <w:szCs w:val="24"/>
              </w:rPr>
            </w:pPr>
            <w:proofErr w:type="gramStart"/>
            <w:r w:rsidRPr="00FA3F9C">
              <w:rPr>
                <w:rFonts w:ascii="Arial" w:hAnsi="Arial" w:cs="Arial"/>
                <w:b/>
                <w:sz w:val="24"/>
                <w:szCs w:val="24"/>
              </w:rPr>
              <w:t>In order for</w:t>
            </w:r>
            <w:proofErr w:type="gramEnd"/>
            <w:r w:rsidRPr="00FA3F9C">
              <w:rPr>
                <w:rFonts w:ascii="Arial" w:hAnsi="Arial" w:cs="Arial"/>
                <w:b/>
                <w:sz w:val="24"/>
                <w:szCs w:val="24"/>
              </w:rPr>
              <w:t xml:space="preserve"> 140 mg/month approval, </w:t>
            </w:r>
            <w:proofErr w:type="spellStart"/>
            <w:r w:rsidRPr="00FA3F9C">
              <w:rPr>
                <w:rFonts w:ascii="Arial" w:hAnsi="Arial" w:cs="Arial"/>
                <w:b/>
                <w:sz w:val="24"/>
                <w:szCs w:val="24"/>
              </w:rPr>
              <w:t>pt</w:t>
            </w:r>
            <w:proofErr w:type="spellEnd"/>
            <w:r w:rsidRPr="00FA3F9C">
              <w:rPr>
                <w:rFonts w:ascii="Arial" w:hAnsi="Arial" w:cs="Arial"/>
                <w:b/>
                <w:sz w:val="24"/>
                <w:szCs w:val="24"/>
              </w:rPr>
              <w:t xml:space="preserve"> must have had inadequate response to </w:t>
            </w:r>
            <w:r w:rsidRPr="00FA3F9C">
              <w:rPr>
                <w:rFonts w:ascii="Arial" w:hAnsi="Arial" w:cs="Arial"/>
                <w:b/>
                <w:sz w:val="24"/>
                <w:szCs w:val="24"/>
                <w:highlight w:val="yellow"/>
              </w:rPr>
              <w:t>3 months</w:t>
            </w:r>
            <w:r w:rsidRPr="00FA3F9C">
              <w:rPr>
                <w:rFonts w:ascii="Arial" w:hAnsi="Arial" w:cs="Arial"/>
                <w:b/>
                <w:sz w:val="24"/>
                <w:szCs w:val="24"/>
              </w:rPr>
              <w:t xml:space="preserve"> of claims for the 70 mg/</w:t>
            </w:r>
            <w:proofErr w:type="spellStart"/>
            <w:r w:rsidRPr="00FA3F9C">
              <w:rPr>
                <w:rFonts w:ascii="Arial" w:hAnsi="Arial" w:cs="Arial"/>
                <w:b/>
                <w:sz w:val="24"/>
                <w:szCs w:val="24"/>
              </w:rPr>
              <w:t>mo</w:t>
            </w:r>
            <w:proofErr w:type="spellEnd"/>
            <w:r w:rsidRPr="00FA3F9C">
              <w:rPr>
                <w:rFonts w:ascii="Arial" w:hAnsi="Arial" w:cs="Arial"/>
                <w:b/>
                <w:sz w:val="24"/>
                <w:szCs w:val="24"/>
              </w:rPr>
              <w:t xml:space="preserve"> dose.</w:t>
            </w:r>
          </w:p>
        </w:tc>
      </w:tr>
      <w:tr w:rsidR="001506C1" w:rsidRPr="00FA3F9C" w14:paraId="00EB2E7D" w14:textId="77777777" w:rsidTr="00964714">
        <w:trPr>
          <w:trHeight w:val="251"/>
        </w:trPr>
        <w:tc>
          <w:tcPr>
            <w:tcW w:w="11028" w:type="dxa"/>
            <w:shd w:val="clear" w:color="auto" w:fill="D9D9D9" w:themeFill="background1" w:themeFillShade="D9"/>
          </w:tcPr>
          <w:p w14:paraId="63CCCBA2" w14:textId="77777777" w:rsidR="001506C1" w:rsidRPr="00FA3F9C" w:rsidRDefault="001506C1" w:rsidP="001506C1">
            <w:pPr>
              <w:pStyle w:val="ListParagraph"/>
              <w:numPr>
                <w:ilvl w:val="0"/>
                <w:numId w:val="90"/>
              </w:numPr>
              <w:rPr>
                <w:rFonts w:ascii="Arial" w:hAnsi="Arial" w:cs="Arial"/>
                <w:sz w:val="24"/>
                <w:szCs w:val="24"/>
              </w:rPr>
            </w:pPr>
            <w:r w:rsidRPr="00FA3F9C">
              <w:rPr>
                <w:rFonts w:ascii="Arial" w:hAnsi="Arial" w:cs="Arial"/>
                <w:sz w:val="24"/>
                <w:szCs w:val="24"/>
              </w:rPr>
              <w:t xml:space="preserve">If the above criteria are satisfied, the PA is good for 3 months.  </w:t>
            </w:r>
          </w:p>
          <w:p w14:paraId="42ACF977" w14:textId="77777777" w:rsidR="001506C1" w:rsidRPr="00FA3F9C" w:rsidRDefault="001506C1" w:rsidP="001506C1">
            <w:pPr>
              <w:pStyle w:val="ListParagraph"/>
              <w:numPr>
                <w:ilvl w:val="0"/>
                <w:numId w:val="90"/>
              </w:numPr>
              <w:rPr>
                <w:rFonts w:ascii="Arial" w:hAnsi="Arial" w:cs="Arial"/>
                <w:sz w:val="24"/>
                <w:szCs w:val="24"/>
              </w:rPr>
            </w:pPr>
            <w:r w:rsidRPr="00FA3F9C">
              <w:rPr>
                <w:rFonts w:ascii="Arial" w:hAnsi="Arial" w:cs="Arial"/>
                <w:sz w:val="24"/>
                <w:szCs w:val="24"/>
              </w:rPr>
              <w:t>It will be imperative for the call pharmacist to record the number of stated migraine days per month in order to assess response and subsequent access to the drug.</w:t>
            </w:r>
          </w:p>
        </w:tc>
      </w:tr>
      <w:tr w:rsidR="001506C1" w:rsidRPr="00FA3F9C" w14:paraId="4BBEA7CF" w14:textId="77777777" w:rsidTr="00A72E55">
        <w:trPr>
          <w:trHeight w:val="287"/>
        </w:trPr>
        <w:tc>
          <w:tcPr>
            <w:tcW w:w="11028" w:type="dxa"/>
            <w:tcBorders>
              <w:bottom w:val="single" w:sz="4" w:space="0" w:color="auto"/>
            </w:tcBorders>
          </w:tcPr>
          <w:p w14:paraId="5963263C" w14:textId="77777777" w:rsidR="001506C1" w:rsidRPr="00FA3F9C" w:rsidRDefault="001506C1" w:rsidP="00964714">
            <w:pPr>
              <w:ind w:left="360"/>
              <w:rPr>
                <w:rFonts w:ascii="Arial" w:hAnsi="Arial" w:cs="Arial"/>
                <w:sz w:val="24"/>
                <w:szCs w:val="24"/>
              </w:rPr>
            </w:pPr>
          </w:p>
        </w:tc>
      </w:tr>
      <w:tr w:rsidR="001506C1" w:rsidRPr="00FA3F9C" w14:paraId="521CBBE5" w14:textId="77777777" w:rsidTr="00A72E55">
        <w:trPr>
          <w:trHeight w:val="287"/>
        </w:trPr>
        <w:tc>
          <w:tcPr>
            <w:tcW w:w="11028" w:type="dxa"/>
            <w:shd w:val="clear" w:color="auto" w:fill="000000" w:themeFill="text1"/>
          </w:tcPr>
          <w:p w14:paraId="6C389799" w14:textId="77777777" w:rsidR="001506C1" w:rsidRPr="00FA3F9C" w:rsidRDefault="001506C1" w:rsidP="00964714">
            <w:pPr>
              <w:ind w:left="360"/>
              <w:rPr>
                <w:rFonts w:ascii="Arial" w:hAnsi="Arial" w:cs="Arial"/>
                <w:sz w:val="24"/>
                <w:szCs w:val="24"/>
              </w:rPr>
            </w:pPr>
            <w:r w:rsidRPr="00FA3F9C">
              <w:rPr>
                <w:rFonts w:ascii="Arial" w:hAnsi="Arial" w:cs="Arial"/>
                <w:sz w:val="24"/>
                <w:szCs w:val="24"/>
              </w:rPr>
              <w:t>Continuation Criteria for Migraine Users:</w:t>
            </w:r>
          </w:p>
        </w:tc>
      </w:tr>
      <w:tr w:rsidR="001506C1" w:rsidRPr="00FA3F9C" w14:paraId="3255525E" w14:textId="77777777" w:rsidTr="00A72E55">
        <w:trPr>
          <w:trHeight w:val="287"/>
        </w:trPr>
        <w:tc>
          <w:tcPr>
            <w:tcW w:w="11028" w:type="dxa"/>
          </w:tcPr>
          <w:p w14:paraId="33612F03" w14:textId="77777777" w:rsidR="001506C1" w:rsidRPr="00FA3F9C" w:rsidRDefault="001506C1" w:rsidP="00964714">
            <w:pPr>
              <w:ind w:left="360"/>
              <w:rPr>
                <w:rFonts w:ascii="Arial" w:hAnsi="Arial" w:cs="Arial"/>
                <w:sz w:val="24"/>
                <w:szCs w:val="24"/>
              </w:rPr>
            </w:pPr>
            <w:r w:rsidRPr="00FA3F9C">
              <w:rPr>
                <w:rFonts w:ascii="Arial" w:hAnsi="Arial" w:cs="Arial"/>
                <w:sz w:val="24"/>
                <w:szCs w:val="24"/>
              </w:rPr>
              <w:t xml:space="preserve">1. To continue access to </w:t>
            </w:r>
            <w:proofErr w:type="spellStart"/>
            <w:r w:rsidRPr="00FA3F9C">
              <w:rPr>
                <w:rFonts w:ascii="Arial" w:hAnsi="Arial" w:cs="Arial"/>
                <w:sz w:val="24"/>
                <w:szCs w:val="24"/>
              </w:rPr>
              <w:t>erenumab</w:t>
            </w:r>
            <w:proofErr w:type="spellEnd"/>
            <w:r w:rsidRPr="00FA3F9C">
              <w:rPr>
                <w:rFonts w:ascii="Arial" w:hAnsi="Arial" w:cs="Arial"/>
                <w:sz w:val="24"/>
                <w:szCs w:val="24"/>
              </w:rPr>
              <w:t>, the patient must have filled at least 2-30 day fills in the last 90 days and less rescue medication.</w:t>
            </w:r>
          </w:p>
        </w:tc>
      </w:tr>
      <w:tr w:rsidR="001506C1" w:rsidRPr="00FA3F9C" w14:paraId="2378B688" w14:textId="77777777" w:rsidTr="00964714">
        <w:trPr>
          <w:trHeight w:val="287"/>
        </w:trPr>
        <w:tc>
          <w:tcPr>
            <w:tcW w:w="11028" w:type="dxa"/>
            <w:shd w:val="clear" w:color="auto" w:fill="D9D9D9" w:themeFill="background1" w:themeFillShade="D9"/>
          </w:tcPr>
          <w:p w14:paraId="0E45B68B" w14:textId="77777777" w:rsidR="001506C1" w:rsidRPr="00FA3F9C" w:rsidRDefault="001506C1" w:rsidP="00964714">
            <w:pPr>
              <w:ind w:left="360"/>
              <w:rPr>
                <w:rFonts w:ascii="Arial" w:hAnsi="Arial" w:cs="Arial"/>
                <w:sz w:val="24"/>
                <w:szCs w:val="24"/>
              </w:rPr>
            </w:pPr>
            <w:r w:rsidRPr="00FA3F9C">
              <w:rPr>
                <w:rFonts w:ascii="Arial" w:hAnsi="Arial" w:cs="Arial"/>
                <w:sz w:val="24"/>
                <w:szCs w:val="24"/>
              </w:rPr>
              <w:t xml:space="preserve">If </w:t>
            </w:r>
            <w:proofErr w:type="gramStart"/>
            <w:r w:rsidRPr="00FA3F9C">
              <w:rPr>
                <w:rFonts w:ascii="Arial" w:hAnsi="Arial" w:cs="Arial"/>
                <w:sz w:val="24"/>
                <w:szCs w:val="24"/>
              </w:rPr>
              <w:t>both of the continuation</w:t>
            </w:r>
            <w:proofErr w:type="gramEnd"/>
            <w:r w:rsidRPr="00FA3F9C">
              <w:rPr>
                <w:rFonts w:ascii="Arial" w:hAnsi="Arial" w:cs="Arial"/>
                <w:sz w:val="24"/>
                <w:szCs w:val="24"/>
              </w:rPr>
              <w:t xml:space="preserve"> criteria were achieved, allow access for 6 months.  After 6 months, the patient must have shown at least 5 </w:t>
            </w:r>
            <w:proofErr w:type="spellStart"/>
            <w:r w:rsidRPr="00FA3F9C">
              <w:rPr>
                <w:rFonts w:ascii="Arial" w:hAnsi="Arial" w:cs="Arial"/>
                <w:sz w:val="24"/>
                <w:szCs w:val="24"/>
              </w:rPr>
              <w:t>erenumab</w:t>
            </w:r>
            <w:proofErr w:type="spellEnd"/>
            <w:r w:rsidRPr="00FA3F9C">
              <w:rPr>
                <w:rFonts w:ascii="Arial" w:hAnsi="Arial" w:cs="Arial"/>
                <w:sz w:val="24"/>
                <w:szCs w:val="24"/>
              </w:rPr>
              <w:t xml:space="preserve"> fills in the previous 6 months (since it is prophylactic) and less consumption of rescue medication as evidenced by fewer triptan fills than before </w:t>
            </w:r>
            <w:proofErr w:type="spellStart"/>
            <w:r w:rsidRPr="00FA3F9C">
              <w:rPr>
                <w:rFonts w:ascii="Arial" w:hAnsi="Arial" w:cs="Arial"/>
                <w:sz w:val="24"/>
                <w:szCs w:val="24"/>
              </w:rPr>
              <w:t>erenumab</w:t>
            </w:r>
            <w:proofErr w:type="spellEnd"/>
            <w:r w:rsidRPr="00FA3F9C">
              <w:rPr>
                <w:rFonts w:ascii="Arial" w:hAnsi="Arial" w:cs="Arial"/>
                <w:sz w:val="24"/>
                <w:szCs w:val="24"/>
              </w:rPr>
              <w:t xml:space="preserve"> was accessed by the patient.</w:t>
            </w:r>
          </w:p>
        </w:tc>
      </w:tr>
    </w:tbl>
    <w:p w14:paraId="68FF568C" w14:textId="77777777" w:rsidR="001506C1" w:rsidRPr="00FA3F9C" w:rsidRDefault="001506C1" w:rsidP="00906BD9">
      <w:pPr>
        <w:spacing w:after="0"/>
        <w:rPr>
          <w:rFonts w:ascii="Arial" w:hAnsi="Arial" w:cs="Arial"/>
          <w:sz w:val="24"/>
          <w:szCs w:val="24"/>
        </w:rPr>
      </w:pPr>
      <w:r w:rsidRPr="00FA3F9C">
        <w:rPr>
          <w:rFonts w:ascii="Arial" w:hAnsi="Arial" w:cs="Arial"/>
          <w:sz w:val="24"/>
          <w:szCs w:val="24"/>
        </w:rPr>
        <w:t>Dosing: 70 mg once a month, up to 140 mg once monthly.</w:t>
      </w:r>
    </w:p>
    <w:p w14:paraId="26A81C37"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418"/>
        <w:gridCol w:w="8814"/>
        <w:gridCol w:w="1590"/>
      </w:tblGrid>
      <w:tr w:rsidR="001506C1" w:rsidRPr="00FA3F9C" w14:paraId="10BC6FC6" w14:textId="77777777" w:rsidTr="00F0718B">
        <w:tc>
          <w:tcPr>
            <w:tcW w:w="985" w:type="dxa"/>
          </w:tcPr>
          <w:p w14:paraId="1A4F3E47" w14:textId="77777777" w:rsidR="001506C1" w:rsidRPr="00FA3F9C" w:rsidRDefault="001506C1" w:rsidP="006F623F">
            <w:pPr>
              <w:rPr>
                <w:rFonts w:ascii="Arial" w:hAnsi="Arial" w:cs="Arial"/>
                <w:sz w:val="24"/>
                <w:szCs w:val="24"/>
              </w:rPr>
            </w:pPr>
            <w:r w:rsidRPr="00FA3F9C">
              <w:rPr>
                <w:rFonts w:ascii="Arial" w:hAnsi="Arial" w:cs="Arial"/>
                <w:sz w:val="24"/>
                <w:szCs w:val="24"/>
              </w:rPr>
              <w:t>Date</w:t>
            </w:r>
          </w:p>
        </w:tc>
        <w:tc>
          <w:tcPr>
            <w:tcW w:w="8814" w:type="dxa"/>
          </w:tcPr>
          <w:p w14:paraId="6D14EA87" w14:textId="77777777" w:rsidR="001506C1" w:rsidRPr="00FA3F9C" w:rsidRDefault="001506C1" w:rsidP="006F623F">
            <w:pPr>
              <w:rPr>
                <w:rFonts w:ascii="Arial" w:hAnsi="Arial" w:cs="Arial"/>
                <w:sz w:val="24"/>
                <w:szCs w:val="24"/>
              </w:rPr>
            </w:pPr>
            <w:r w:rsidRPr="00FA3F9C">
              <w:rPr>
                <w:rFonts w:ascii="Arial" w:hAnsi="Arial" w:cs="Arial"/>
                <w:sz w:val="24"/>
                <w:szCs w:val="24"/>
              </w:rPr>
              <w:t>What changed</w:t>
            </w:r>
          </w:p>
        </w:tc>
        <w:tc>
          <w:tcPr>
            <w:tcW w:w="991" w:type="dxa"/>
          </w:tcPr>
          <w:p w14:paraId="56763AD9" w14:textId="77777777" w:rsidR="001506C1" w:rsidRPr="00FA3F9C" w:rsidRDefault="001506C1" w:rsidP="006F623F">
            <w:pPr>
              <w:rPr>
                <w:rFonts w:ascii="Arial" w:hAnsi="Arial" w:cs="Arial"/>
                <w:sz w:val="24"/>
                <w:szCs w:val="24"/>
              </w:rPr>
            </w:pPr>
            <w:r w:rsidRPr="00FA3F9C">
              <w:rPr>
                <w:rFonts w:ascii="Arial" w:hAnsi="Arial" w:cs="Arial"/>
                <w:sz w:val="24"/>
                <w:szCs w:val="24"/>
              </w:rPr>
              <w:t>Pharmacist’s initials</w:t>
            </w:r>
          </w:p>
        </w:tc>
      </w:tr>
      <w:tr w:rsidR="001506C1" w:rsidRPr="00FA3F9C" w14:paraId="577766B1" w14:textId="77777777" w:rsidTr="00F0718B">
        <w:tc>
          <w:tcPr>
            <w:tcW w:w="985" w:type="dxa"/>
          </w:tcPr>
          <w:p w14:paraId="2818C9B6" w14:textId="77777777" w:rsidR="001506C1" w:rsidRPr="00FA3F9C" w:rsidRDefault="001506C1" w:rsidP="006F623F">
            <w:pPr>
              <w:rPr>
                <w:rFonts w:ascii="Arial" w:hAnsi="Arial" w:cs="Arial"/>
                <w:sz w:val="24"/>
                <w:szCs w:val="24"/>
              </w:rPr>
            </w:pPr>
            <w:r w:rsidRPr="00FA3F9C">
              <w:rPr>
                <w:rFonts w:ascii="Arial" w:hAnsi="Arial" w:cs="Arial"/>
                <w:sz w:val="24"/>
                <w:szCs w:val="24"/>
              </w:rPr>
              <w:t>6/25/18</w:t>
            </w:r>
          </w:p>
        </w:tc>
        <w:tc>
          <w:tcPr>
            <w:tcW w:w="8814" w:type="dxa"/>
          </w:tcPr>
          <w:p w14:paraId="59FF093B" w14:textId="77777777" w:rsidR="001506C1" w:rsidRPr="00FA3F9C" w:rsidRDefault="001506C1" w:rsidP="006F623F">
            <w:pPr>
              <w:rPr>
                <w:rFonts w:ascii="Arial" w:hAnsi="Arial" w:cs="Arial"/>
                <w:sz w:val="24"/>
                <w:szCs w:val="24"/>
              </w:rPr>
            </w:pPr>
            <w:r w:rsidRPr="00FA3F9C">
              <w:rPr>
                <w:rFonts w:ascii="Arial" w:hAnsi="Arial" w:cs="Arial"/>
                <w:sz w:val="24"/>
                <w:szCs w:val="24"/>
              </w:rPr>
              <w:t>I wrote the criteria.</w:t>
            </w:r>
          </w:p>
        </w:tc>
        <w:tc>
          <w:tcPr>
            <w:tcW w:w="991" w:type="dxa"/>
          </w:tcPr>
          <w:p w14:paraId="28120C87" w14:textId="77777777" w:rsidR="001506C1" w:rsidRPr="00FA3F9C" w:rsidRDefault="001506C1" w:rsidP="006F623F">
            <w:pPr>
              <w:rPr>
                <w:rFonts w:ascii="Arial" w:hAnsi="Arial" w:cs="Arial"/>
                <w:sz w:val="24"/>
                <w:szCs w:val="24"/>
              </w:rPr>
            </w:pPr>
            <w:r w:rsidRPr="00FA3F9C">
              <w:rPr>
                <w:rFonts w:ascii="Arial" w:hAnsi="Arial" w:cs="Arial"/>
                <w:sz w:val="24"/>
                <w:szCs w:val="24"/>
              </w:rPr>
              <w:t>JK</w:t>
            </w:r>
          </w:p>
        </w:tc>
      </w:tr>
      <w:tr w:rsidR="001506C1" w:rsidRPr="00FA3F9C" w14:paraId="4F0FFB06" w14:textId="77777777" w:rsidTr="00F0718B">
        <w:tc>
          <w:tcPr>
            <w:tcW w:w="985" w:type="dxa"/>
          </w:tcPr>
          <w:p w14:paraId="1AAB715D" w14:textId="77777777" w:rsidR="001506C1" w:rsidRPr="00FA3F9C" w:rsidRDefault="001506C1" w:rsidP="00985BF4">
            <w:pPr>
              <w:rPr>
                <w:rFonts w:ascii="Arial" w:hAnsi="Arial" w:cs="Arial"/>
                <w:sz w:val="24"/>
                <w:szCs w:val="24"/>
              </w:rPr>
            </w:pPr>
            <w:r w:rsidRPr="00FA3F9C">
              <w:rPr>
                <w:rFonts w:ascii="Arial" w:hAnsi="Arial" w:cs="Arial"/>
                <w:sz w:val="24"/>
                <w:szCs w:val="24"/>
              </w:rPr>
              <w:t>8/21/18</w:t>
            </w:r>
          </w:p>
        </w:tc>
        <w:tc>
          <w:tcPr>
            <w:tcW w:w="8814" w:type="dxa"/>
          </w:tcPr>
          <w:p w14:paraId="3E28C730" w14:textId="77777777" w:rsidR="001506C1" w:rsidRPr="00FA3F9C" w:rsidRDefault="001506C1" w:rsidP="00985BF4">
            <w:pPr>
              <w:rPr>
                <w:rFonts w:ascii="Arial" w:hAnsi="Arial" w:cs="Arial"/>
                <w:sz w:val="24"/>
                <w:szCs w:val="24"/>
              </w:rPr>
            </w:pPr>
            <w:r w:rsidRPr="00FA3F9C">
              <w:rPr>
                <w:rFonts w:ascii="Arial" w:hAnsi="Arial" w:cs="Arial"/>
                <w:sz w:val="24"/>
                <w:szCs w:val="24"/>
              </w:rPr>
              <w:t>I added the age requirement, the neurologist-prescriber requirement.</w:t>
            </w:r>
          </w:p>
        </w:tc>
        <w:tc>
          <w:tcPr>
            <w:tcW w:w="991" w:type="dxa"/>
          </w:tcPr>
          <w:p w14:paraId="3D6E6470" w14:textId="77777777" w:rsidR="001506C1" w:rsidRPr="00FA3F9C" w:rsidRDefault="001506C1" w:rsidP="00985BF4">
            <w:pPr>
              <w:rPr>
                <w:rFonts w:ascii="Arial" w:hAnsi="Arial" w:cs="Arial"/>
                <w:sz w:val="24"/>
                <w:szCs w:val="24"/>
              </w:rPr>
            </w:pPr>
            <w:r w:rsidRPr="00FA3F9C">
              <w:rPr>
                <w:rFonts w:ascii="Arial" w:hAnsi="Arial" w:cs="Arial"/>
                <w:sz w:val="24"/>
                <w:szCs w:val="24"/>
              </w:rPr>
              <w:t>JJ</w:t>
            </w:r>
          </w:p>
        </w:tc>
      </w:tr>
      <w:tr w:rsidR="001506C1" w:rsidRPr="00FA3F9C" w14:paraId="16E80260" w14:textId="77777777" w:rsidTr="00F0718B">
        <w:tc>
          <w:tcPr>
            <w:tcW w:w="985" w:type="dxa"/>
          </w:tcPr>
          <w:p w14:paraId="331DE2F5" w14:textId="77777777" w:rsidR="001506C1" w:rsidRPr="00FA3F9C" w:rsidRDefault="001506C1" w:rsidP="00985BF4">
            <w:pPr>
              <w:rPr>
                <w:rFonts w:ascii="Arial" w:hAnsi="Arial" w:cs="Arial"/>
                <w:sz w:val="24"/>
                <w:szCs w:val="24"/>
              </w:rPr>
            </w:pPr>
            <w:r w:rsidRPr="00FA3F9C">
              <w:rPr>
                <w:rFonts w:ascii="Arial" w:hAnsi="Arial" w:cs="Arial"/>
                <w:sz w:val="24"/>
                <w:szCs w:val="24"/>
              </w:rPr>
              <w:t>8/30/18</w:t>
            </w:r>
          </w:p>
        </w:tc>
        <w:tc>
          <w:tcPr>
            <w:tcW w:w="8814" w:type="dxa"/>
          </w:tcPr>
          <w:p w14:paraId="1C989950" w14:textId="77777777" w:rsidR="001506C1" w:rsidRPr="00FA3F9C" w:rsidRDefault="001506C1" w:rsidP="00985BF4">
            <w:pPr>
              <w:rPr>
                <w:rFonts w:ascii="Arial" w:hAnsi="Arial" w:cs="Arial"/>
                <w:sz w:val="24"/>
                <w:szCs w:val="24"/>
              </w:rPr>
            </w:pPr>
            <w:r w:rsidRPr="00FA3F9C">
              <w:rPr>
                <w:rFonts w:ascii="Arial" w:hAnsi="Arial" w:cs="Arial"/>
                <w:sz w:val="24"/>
                <w:szCs w:val="24"/>
              </w:rPr>
              <w:t xml:space="preserve">I did not include SSRIs or SNRIs for prophylactic migraine prevention because neither showed to be more effective than placebo.  </w:t>
            </w:r>
          </w:p>
          <w:p w14:paraId="253E5068" w14:textId="77777777" w:rsidR="001506C1" w:rsidRPr="00FA3F9C" w:rsidRDefault="001506C1" w:rsidP="00985BF4">
            <w:pPr>
              <w:rPr>
                <w:rFonts w:ascii="Arial" w:hAnsi="Arial" w:cs="Arial"/>
                <w:sz w:val="24"/>
                <w:szCs w:val="24"/>
              </w:rPr>
            </w:pPr>
            <w:proofErr w:type="spellStart"/>
            <w:r w:rsidRPr="00FA3F9C">
              <w:rPr>
                <w:rFonts w:ascii="Arial" w:hAnsi="Arial" w:cs="Arial"/>
                <w:color w:val="222222"/>
                <w:sz w:val="24"/>
                <w:szCs w:val="24"/>
                <w:shd w:val="clear" w:color="auto" w:fill="F8F8F8"/>
              </w:rPr>
              <w:t>Banzi</w:t>
            </w:r>
            <w:proofErr w:type="spellEnd"/>
            <w:r w:rsidRPr="00FA3F9C">
              <w:rPr>
                <w:rFonts w:ascii="Arial" w:hAnsi="Arial" w:cs="Arial"/>
                <w:color w:val="222222"/>
                <w:sz w:val="24"/>
                <w:szCs w:val="24"/>
                <w:shd w:val="clear" w:color="auto" w:fill="F8F8F8"/>
              </w:rPr>
              <w:t>, Rita, et al. "Selective serotonin reuptake inhibitors (SSRIs) and serotonin-norepinephrine reuptake inhibitors (SNRIs) for the prevention of migraine in adults." </w:t>
            </w:r>
            <w:r w:rsidRPr="00FA3F9C">
              <w:rPr>
                <w:rFonts w:ascii="Arial" w:hAnsi="Arial" w:cs="Arial"/>
                <w:i/>
                <w:iCs/>
                <w:color w:val="222222"/>
                <w:sz w:val="24"/>
                <w:szCs w:val="24"/>
                <w:shd w:val="clear" w:color="auto" w:fill="F8F8F8"/>
              </w:rPr>
              <w:t>Cochrane Database of Systematic Reviews</w:t>
            </w:r>
            <w:r w:rsidRPr="00FA3F9C">
              <w:rPr>
                <w:rFonts w:ascii="Arial" w:hAnsi="Arial" w:cs="Arial"/>
                <w:color w:val="222222"/>
                <w:sz w:val="24"/>
                <w:szCs w:val="24"/>
                <w:shd w:val="clear" w:color="auto" w:fill="F8F8F8"/>
              </w:rPr>
              <w:t> 2015.4 (2015): 1-56.</w:t>
            </w:r>
          </w:p>
        </w:tc>
        <w:tc>
          <w:tcPr>
            <w:tcW w:w="991" w:type="dxa"/>
          </w:tcPr>
          <w:p w14:paraId="629F5E0D" w14:textId="77777777" w:rsidR="001506C1" w:rsidRPr="00FA3F9C" w:rsidRDefault="001506C1" w:rsidP="00985BF4">
            <w:pPr>
              <w:rPr>
                <w:rFonts w:ascii="Arial" w:hAnsi="Arial" w:cs="Arial"/>
                <w:sz w:val="24"/>
                <w:szCs w:val="24"/>
              </w:rPr>
            </w:pPr>
            <w:r w:rsidRPr="00FA3F9C">
              <w:rPr>
                <w:rFonts w:ascii="Arial" w:hAnsi="Arial" w:cs="Arial"/>
                <w:sz w:val="24"/>
                <w:szCs w:val="24"/>
              </w:rPr>
              <w:t>JJ</w:t>
            </w:r>
          </w:p>
        </w:tc>
      </w:tr>
      <w:tr w:rsidR="001506C1" w:rsidRPr="00FA3F9C" w14:paraId="36DAC91F" w14:textId="77777777" w:rsidTr="00F0718B">
        <w:tc>
          <w:tcPr>
            <w:tcW w:w="985" w:type="dxa"/>
          </w:tcPr>
          <w:p w14:paraId="5DAFD4B2" w14:textId="77777777" w:rsidR="001506C1" w:rsidRPr="00FA3F9C" w:rsidRDefault="001506C1" w:rsidP="00985BF4">
            <w:pPr>
              <w:rPr>
                <w:rFonts w:ascii="Arial" w:hAnsi="Arial" w:cs="Arial"/>
                <w:sz w:val="24"/>
                <w:szCs w:val="24"/>
              </w:rPr>
            </w:pPr>
            <w:r w:rsidRPr="00FA3F9C">
              <w:rPr>
                <w:rFonts w:ascii="Arial" w:hAnsi="Arial" w:cs="Arial"/>
                <w:sz w:val="24"/>
                <w:szCs w:val="24"/>
              </w:rPr>
              <w:t>8.30/18</w:t>
            </w:r>
          </w:p>
        </w:tc>
        <w:tc>
          <w:tcPr>
            <w:tcW w:w="8814" w:type="dxa"/>
          </w:tcPr>
          <w:p w14:paraId="3D7F96DE" w14:textId="77777777" w:rsidR="001506C1" w:rsidRPr="00FA3F9C" w:rsidRDefault="001506C1" w:rsidP="00985BF4">
            <w:pPr>
              <w:rPr>
                <w:rFonts w:ascii="Arial" w:hAnsi="Arial" w:cs="Arial"/>
                <w:sz w:val="24"/>
                <w:szCs w:val="24"/>
              </w:rPr>
            </w:pPr>
            <w:r w:rsidRPr="00FA3F9C">
              <w:rPr>
                <w:rFonts w:ascii="Arial" w:hAnsi="Arial" w:cs="Arial"/>
                <w:sz w:val="24"/>
                <w:szCs w:val="24"/>
              </w:rPr>
              <w:t xml:space="preserve">For episodic migraine, I included valproate as a must fail prior to gaining access to </w:t>
            </w:r>
            <w:proofErr w:type="spellStart"/>
            <w:r w:rsidRPr="00FA3F9C">
              <w:rPr>
                <w:rFonts w:ascii="Arial" w:hAnsi="Arial" w:cs="Arial"/>
                <w:sz w:val="24"/>
                <w:szCs w:val="24"/>
              </w:rPr>
              <w:t>erenumab</w:t>
            </w:r>
            <w:proofErr w:type="spellEnd"/>
            <w:r w:rsidRPr="00FA3F9C">
              <w:rPr>
                <w:rFonts w:ascii="Arial" w:hAnsi="Arial" w:cs="Arial"/>
                <w:sz w:val="24"/>
                <w:szCs w:val="24"/>
              </w:rPr>
              <w:t xml:space="preserve">.  Valproate reduced HA days by 4 headaches per 28 days.  </w:t>
            </w:r>
            <w:r w:rsidRPr="00FA3F9C">
              <w:rPr>
                <w:rFonts w:ascii="Arial" w:hAnsi="Arial" w:cs="Arial"/>
                <w:color w:val="222222"/>
                <w:sz w:val="24"/>
                <w:szCs w:val="24"/>
                <w:shd w:val="clear" w:color="auto" w:fill="F8F8F8"/>
              </w:rPr>
              <w:t xml:space="preserve">Linde, Mattias, et al. "Valproate (valproic acid or sodium valproate or a combination of </w:t>
            </w:r>
            <w:r w:rsidRPr="00FA3F9C">
              <w:rPr>
                <w:rFonts w:ascii="Arial" w:hAnsi="Arial" w:cs="Arial"/>
                <w:color w:val="222222"/>
                <w:sz w:val="24"/>
                <w:szCs w:val="24"/>
                <w:shd w:val="clear" w:color="auto" w:fill="F8F8F8"/>
              </w:rPr>
              <w:lastRenderedPageBreak/>
              <w:t>the two) for the prophylaxis of episodic migraine in adults." </w:t>
            </w:r>
            <w:r w:rsidRPr="00FA3F9C">
              <w:rPr>
                <w:rFonts w:ascii="Arial" w:hAnsi="Arial" w:cs="Arial"/>
                <w:i/>
                <w:iCs/>
                <w:color w:val="222222"/>
                <w:sz w:val="24"/>
                <w:szCs w:val="24"/>
                <w:shd w:val="clear" w:color="auto" w:fill="F8F8F8"/>
              </w:rPr>
              <w:t>Cochrane Database Syst Rev</w:t>
            </w:r>
            <w:r w:rsidRPr="00FA3F9C">
              <w:rPr>
                <w:rFonts w:ascii="Arial" w:hAnsi="Arial" w:cs="Arial"/>
                <w:color w:val="222222"/>
                <w:sz w:val="24"/>
                <w:szCs w:val="24"/>
                <w:shd w:val="clear" w:color="auto" w:fill="F8F8F8"/>
              </w:rPr>
              <w:t> 6.6 (2013).</w:t>
            </w:r>
          </w:p>
        </w:tc>
        <w:tc>
          <w:tcPr>
            <w:tcW w:w="991" w:type="dxa"/>
          </w:tcPr>
          <w:p w14:paraId="62CB9332" w14:textId="77777777" w:rsidR="001506C1" w:rsidRPr="00FA3F9C" w:rsidRDefault="001506C1" w:rsidP="00985BF4">
            <w:pPr>
              <w:rPr>
                <w:rFonts w:ascii="Arial" w:hAnsi="Arial" w:cs="Arial"/>
                <w:sz w:val="24"/>
                <w:szCs w:val="24"/>
              </w:rPr>
            </w:pPr>
            <w:r w:rsidRPr="00FA3F9C">
              <w:rPr>
                <w:rFonts w:ascii="Arial" w:hAnsi="Arial" w:cs="Arial"/>
                <w:sz w:val="24"/>
                <w:szCs w:val="24"/>
              </w:rPr>
              <w:lastRenderedPageBreak/>
              <w:t>JJ</w:t>
            </w:r>
          </w:p>
        </w:tc>
      </w:tr>
      <w:tr w:rsidR="001506C1" w:rsidRPr="00FA3F9C" w14:paraId="0F31459A" w14:textId="77777777" w:rsidTr="00F0718B">
        <w:tc>
          <w:tcPr>
            <w:tcW w:w="985" w:type="dxa"/>
          </w:tcPr>
          <w:p w14:paraId="02626995" w14:textId="77777777" w:rsidR="001506C1" w:rsidRPr="00FA3F9C" w:rsidRDefault="001506C1" w:rsidP="00985BF4">
            <w:pPr>
              <w:rPr>
                <w:rFonts w:ascii="Arial" w:hAnsi="Arial" w:cs="Arial"/>
                <w:sz w:val="24"/>
                <w:szCs w:val="24"/>
              </w:rPr>
            </w:pPr>
            <w:r w:rsidRPr="00FA3F9C">
              <w:rPr>
                <w:rFonts w:ascii="Arial" w:hAnsi="Arial" w:cs="Arial"/>
                <w:sz w:val="24"/>
                <w:szCs w:val="24"/>
              </w:rPr>
              <w:t>8/30/18</w:t>
            </w:r>
          </w:p>
        </w:tc>
        <w:tc>
          <w:tcPr>
            <w:tcW w:w="8814" w:type="dxa"/>
          </w:tcPr>
          <w:p w14:paraId="147918E7" w14:textId="77777777" w:rsidR="001506C1" w:rsidRPr="00FA3F9C" w:rsidRDefault="001506C1" w:rsidP="00985BF4">
            <w:pPr>
              <w:rPr>
                <w:rFonts w:ascii="Arial" w:hAnsi="Arial" w:cs="Arial"/>
                <w:sz w:val="24"/>
                <w:szCs w:val="24"/>
              </w:rPr>
            </w:pPr>
            <w:r w:rsidRPr="00FA3F9C">
              <w:rPr>
                <w:rFonts w:ascii="Arial" w:hAnsi="Arial" w:cs="Arial"/>
                <w:sz w:val="24"/>
                <w:szCs w:val="24"/>
              </w:rPr>
              <w:t>For episodic migraine, I included topiramate, valproate, gabapentin as preventive therapies.  I did not include levetiracetam because in one study there was a small but significant advantage with topiramate over levetiracetam for HA frequency.</w:t>
            </w:r>
          </w:p>
          <w:p w14:paraId="04BD0A00" w14:textId="77777777" w:rsidR="001506C1" w:rsidRPr="00FA3F9C" w:rsidRDefault="001506C1" w:rsidP="00985BF4">
            <w:pPr>
              <w:rPr>
                <w:rFonts w:ascii="Arial" w:hAnsi="Arial" w:cs="Arial"/>
                <w:sz w:val="24"/>
                <w:szCs w:val="24"/>
              </w:rPr>
            </w:pPr>
            <w:r w:rsidRPr="00FA3F9C">
              <w:rPr>
                <w:rFonts w:ascii="Arial" w:hAnsi="Arial" w:cs="Arial"/>
                <w:color w:val="222222"/>
                <w:sz w:val="24"/>
                <w:szCs w:val="24"/>
                <w:shd w:val="clear" w:color="auto" w:fill="F8F8F8"/>
              </w:rPr>
              <w:t>Linde, Mattias, et al. "Antiepileptics other than gabapentin, pregabalin, topiramate, and valproate for the prophylaxis of episodic migraine in adults." </w:t>
            </w:r>
            <w:r w:rsidRPr="00FA3F9C">
              <w:rPr>
                <w:rFonts w:ascii="Arial" w:hAnsi="Arial" w:cs="Arial"/>
                <w:i/>
                <w:iCs/>
                <w:color w:val="222222"/>
                <w:sz w:val="24"/>
                <w:szCs w:val="24"/>
                <w:shd w:val="clear" w:color="auto" w:fill="F8F8F8"/>
              </w:rPr>
              <w:t>Cochrane Database Syst Rev</w:t>
            </w:r>
            <w:r w:rsidRPr="00FA3F9C">
              <w:rPr>
                <w:rFonts w:ascii="Arial" w:hAnsi="Arial" w:cs="Arial"/>
                <w:color w:val="222222"/>
                <w:sz w:val="24"/>
                <w:szCs w:val="24"/>
                <w:shd w:val="clear" w:color="auto" w:fill="F8F8F8"/>
              </w:rPr>
              <w:t> 6 (2013): CD010608.</w:t>
            </w:r>
          </w:p>
        </w:tc>
        <w:tc>
          <w:tcPr>
            <w:tcW w:w="991" w:type="dxa"/>
          </w:tcPr>
          <w:p w14:paraId="63354F54" w14:textId="77777777" w:rsidR="001506C1" w:rsidRPr="00FA3F9C" w:rsidRDefault="001506C1" w:rsidP="00985BF4">
            <w:pPr>
              <w:rPr>
                <w:rFonts w:ascii="Arial" w:hAnsi="Arial" w:cs="Arial"/>
                <w:sz w:val="24"/>
                <w:szCs w:val="24"/>
              </w:rPr>
            </w:pPr>
            <w:r w:rsidRPr="00FA3F9C">
              <w:rPr>
                <w:rFonts w:ascii="Arial" w:hAnsi="Arial" w:cs="Arial"/>
                <w:sz w:val="24"/>
                <w:szCs w:val="24"/>
              </w:rPr>
              <w:t>JJ</w:t>
            </w:r>
          </w:p>
        </w:tc>
      </w:tr>
      <w:tr w:rsidR="001506C1" w:rsidRPr="00FA3F9C" w14:paraId="41C4C847" w14:textId="77777777" w:rsidTr="00F0718B">
        <w:tc>
          <w:tcPr>
            <w:tcW w:w="985" w:type="dxa"/>
          </w:tcPr>
          <w:p w14:paraId="7047D0A0" w14:textId="77777777" w:rsidR="001506C1" w:rsidRPr="00FA3F9C" w:rsidRDefault="001506C1" w:rsidP="00985BF4">
            <w:pPr>
              <w:rPr>
                <w:rFonts w:ascii="Arial" w:hAnsi="Arial" w:cs="Arial"/>
                <w:sz w:val="24"/>
                <w:szCs w:val="24"/>
              </w:rPr>
            </w:pPr>
            <w:r w:rsidRPr="00FA3F9C">
              <w:rPr>
                <w:rFonts w:ascii="Arial" w:hAnsi="Arial" w:cs="Arial"/>
                <w:sz w:val="24"/>
                <w:szCs w:val="24"/>
              </w:rPr>
              <w:t>8/30/18</w:t>
            </w:r>
          </w:p>
        </w:tc>
        <w:tc>
          <w:tcPr>
            <w:tcW w:w="8814" w:type="dxa"/>
          </w:tcPr>
          <w:p w14:paraId="0E1B865C" w14:textId="77777777" w:rsidR="001506C1" w:rsidRPr="00FA3F9C" w:rsidRDefault="001506C1" w:rsidP="00985BF4">
            <w:pPr>
              <w:rPr>
                <w:rFonts w:ascii="Arial" w:hAnsi="Arial" w:cs="Arial"/>
                <w:color w:val="222222"/>
                <w:sz w:val="24"/>
                <w:szCs w:val="24"/>
                <w:shd w:val="clear" w:color="auto" w:fill="F8F8F8"/>
              </w:rPr>
            </w:pPr>
            <w:r w:rsidRPr="00FA3F9C">
              <w:rPr>
                <w:rFonts w:ascii="Arial" w:hAnsi="Arial" w:cs="Arial"/>
                <w:sz w:val="24"/>
                <w:szCs w:val="24"/>
              </w:rPr>
              <w:t>For episodic migraine, I did NOT include gabapentin or pregabalin for preventive therapies because gabapentin was shown to not be efficacious and there is no published evidence from controlled trials with pregabalin.</w:t>
            </w:r>
            <w:r w:rsidRPr="00FA3F9C">
              <w:rPr>
                <w:rFonts w:ascii="Arial" w:hAnsi="Arial" w:cs="Arial"/>
                <w:color w:val="222222"/>
                <w:sz w:val="24"/>
                <w:szCs w:val="24"/>
                <w:shd w:val="clear" w:color="auto" w:fill="F8F8F8"/>
              </w:rPr>
              <w:t xml:space="preserve"> </w:t>
            </w:r>
          </w:p>
          <w:p w14:paraId="50FE3131" w14:textId="77777777" w:rsidR="001506C1" w:rsidRPr="00FA3F9C" w:rsidRDefault="001506C1" w:rsidP="00985BF4">
            <w:pPr>
              <w:rPr>
                <w:rFonts w:ascii="Arial" w:hAnsi="Arial" w:cs="Arial"/>
                <w:sz w:val="24"/>
                <w:szCs w:val="24"/>
              </w:rPr>
            </w:pPr>
            <w:r w:rsidRPr="00FA3F9C">
              <w:rPr>
                <w:rFonts w:ascii="Arial" w:hAnsi="Arial" w:cs="Arial"/>
                <w:color w:val="222222"/>
                <w:sz w:val="24"/>
                <w:szCs w:val="24"/>
                <w:shd w:val="clear" w:color="auto" w:fill="F8F8F8"/>
              </w:rPr>
              <w:t>Linde, Mattias, et al. "Gabapentin or pregabalin for the prophylaxis of episodic migraine in adults." </w:t>
            </w:r>
            <w:r w:rsidRPr="00FA3F9C">
              <w:rPr>
                <w:rFonts w:ascii="Arial" w:hAnsi="Arial" w:cs="Arial"/>
                <w:i/>
                <w:iCs/>
                <w:color w:val="222222"/>
                <w:sz w:val="24"/>
                <w:szCs w:val="24"/>
                <w:shd w:val="clear" w:color="auto" w:fill="F8F8F8"/>
              </w:rPr>
              <w:t>Cochrane Database Syst Rev</w:t>
            </w:r>
            <w:r w:rsidRPr="00FA3F9C">
              <w:rPr>
                <w:rFonts w:ascii="Arial" w:hAnsi="Arial" w:cs="Arial"/>
                <w:color w:val="222222"/>
                <w:sz w:val="24"/>
                <w:szCs w:val="24"/>
                <w:shd w:val="clear" w:color="auto" w:fill="F8F8F8"/>
              </w:rPr>
              <w:t> 6.6 (2013): CD010609.</w:t>
            </w:r>
          </w:p>
        </w:tc>
        <w:tc>
          <w:tcPr>
            <w:tcW w:w="991" w:type="dxa"/>
          </w:tcPr>
          <w:p w14:paraId="42B2005D" w14:textId="77777777" w:rsidR="001506C1" w:rsidRPr="00FA3F9C" w:rsidRDefault="001506C1" w:rsidP="00985BF4">
            <w:pPr>
              <w:rPr>
                <w:rFonts w:ascii="Arial" w:hAnsi="Arial" w:cs="Arial"/>
                <w:sz w:val="24"/>
                <w:szCs w:val="24"/>
              </w:rPr>
            </w:pPr>
            <w:r w:rsidRPr="00FA3F9C">
              <w:rPr>
                <w:rFonts w:ascii="Arial" w:hAnsi="Arial" w:cs="Arial"/>
                <w:sz w:val="24"/>
                <w:szCs w:val="24"/>
              </w:rPr>
              <w:t>JJ</w:t>
            </w:r>
          </w:p>
        </w:tc>
      </w:tr>
      <w:tr w:rsidR="001506C1" w:rsidRPr="00FA3F9C" w14:paraId="0BCD25AF" w14:textId="77777777" w:rsidTr="00F0718B">
        <w:tc>
          <w:tcPr>
            <w:tcW w:w="985" w:type="dxa"/>
          </w:tcPr>
          <w:p w14:paraId="35441320" w14:textId="77777777" w:rsidR="001506C1" w:rsidRPr="00FA3F9C" w:rsidRDefault="001506C1" w:rsidP="00985BF4">
            <w:pPr>
              <w:rPr>
                <w:rFonts w:ascii="Arial" w:hAnsi="Arial" w:cs="Arial"/>
                <w:sz w:val="24"/>
                <w:szCs w:val="24"/>
              </w:rPr>
            </w:pPr>
            <w:r w:rsidRPr="00FA3F9C">
              <w:rPr>
                <w:rFonts w:ascii="Arial" w:hAnsi="Arial" w:cs="Arial"/>
                <w:sz w:val="24"/>
                <w:szCs w:val="24"/>
              </w:rPr>
              <w:t>9/4/18</w:t>
            </w:r>
          </w:p>
        </w:tc>
        <w:tc>
          <w:tcPr>
            <w:tcW w:w="8814" w:type="dxa"/>
          </w:tcPr>
          <w:p w14:paraId="0F9E8978" w14:textId="77777777" w:rsidR="001506C1" w:rsidRPr="00FA3F9C" w:rsidRDefault="001506C1" w:rsidP="00985BF4">
            <w:pPr>
              <w:rPr>
                <w:rFonts w:ascii="Arial" w:hAnsi="Arial" w:cs="Arial"/>
                <w:sz w:val="24"/>
                <w:szCs w:val="24"/>
              </w:rPr>
            </w:pPr>
            <w:r w:rsidRPr="00FA3F9C">
              <w:rPr>
                <w:rFonts w:ascii="Arial" w:hAnsi="Arial" w:cs="Arial"/>
                <w:sz w:val="24"/>
                <w:szCs w:val="24"/>
              </w:rPr>
              <w:t>I added that the call pharmacists will need to record the number of baseline headache days each patient states he/she has in order to determine whether there has been a reduction by 2 HA days/month for continued access to the drug.</w:t>
            </w:r>
          </w:p>
        </w:tc>
        <w:tc>
          <w:tcPr>
            <w:tcW w:w="991" w:type="dxa"/>
          </w:tcPr>
          <w:p w14:paraId="500C8813" w14:textId="77777777" w:rsidR="001506C1" w:rsidRPr="00FA3F9C" w:rsidRDefault="001506C1" w:rsidP="00985BF4">
            <w:pPr>
              <w:rPr>
                <w:rFonts w:ascii="Arial" w:hAnsi="Arial" w:cs="Arial"/>
                <w:sz w:val="24"/>
                <w:szCs w:val="24"/>
              </w:rPr>
            </w:pPr>
            <w:r w:rsidRPr="00FA3F9C">
              <w:rPr>
                <w:rFonts w:ascii="Arial" w:hAnsi="Arial" w:cs="Arial"/>
                <w:sz w:val="24"/>
                <w:szCs w:val="24"/>
              </w:rPr>
              <w:t>JJ</w:t>
            </w:r>
          </w:p>
        </w:tc>
      </w:tr>
      <w:tr w:rsidR="001506C1" w:rsidRPr="00FA3F9C" w14:paraId="170469B1" w14:textId="77777777" w:rsidTr="00F0718B">
        <w:tc>
          <w:tcPr>
            <w:tcW w:w="985" w:type="dxa"/>
          </w:tcPr>
          <w:p w14:paraId="582B69D0" w14:textId="77777777" w:rsidR="001506C1" w:rsidRPr="00FA3F9C" w:rsidRDefault="001506C1" w:rsidP="00985BF4">
            <w:pPr>
              <w:rPr>
                <w:rFonts w:ascii="Arial" w:hAnsi="Arial" w:cs="Arial"/>
                <w:sz w:val="24"/>
                <w:szCs w:val="24"/>
              </w:rPr>
            </w:pPr>
            <w:r w:rsidRPr="00FA3F9C">
              <w:rPr>
                <w:rFonts w:ascii="Arial" w:hAnsi="Arial" w:cs="Arial"/>
                <w:sz w:val="24"/>
                <w:szCs w:val="24"/>
              </w:rPr>
              <w:t>07/16/2020</w:t>
            </w:r>
          </w:p>
        </w:tc>
        <w:tc>
          <w:tcPr>
            <w:tcW w:w="8814" w:type="dxa"/>
          </w:tcPr>
          <w:p w14:paraId="14873618" w14:textId="77777777" w:rsidR="001506C1" w:rsidRPr="00FA3F9C" w:rsidRDefault="001506C1" w:rsidP="00985BF4">
            <w:pPr>
              <w:rPr>
                <w:rFonts w:ascii="Arial" w:hAnsi="Arial" w:cs="Arial"/>
                <w:sz w:val="24"/>
                <w:szCs w:val="24"/>
              </w:rPr>
            </w:pPr>
            <w:r w:rsidRPr="00FA3F9C">
              <w:rPr>
                <w:rFonts w:ascii="Arial" w:hAnsi="Arial" w:cs="Arial"/>
                <w:sz w:val="24"/>
                <w:szCs w:val="24"/>
              </w:rPr>
              <w:t>Reviewed.  No change.</w:t>
            </w:r>
          </w:p>
        </w:tc>
        <w:tc>
          <w:tcPr>
            <w:tcW w:w="991" w:type="dxa"/>
          </w:tcPr>
          <w:p w14:paraId="2232EEEB" w14:textId="77777777" w:rsidR="001506C1" w:rsidRPr="00FA3F9C" w:rsidRDefault="001506C1" w:rsidP="00985BF4">
            <w:pPr>
              <w:rPr>
                <w:rFonts w:ascii="Arial" w:hAnsi="Arial" w:cs="Arial"/>
                <w:sz w:val="24"/>
                <w:szCs w:val="24"/>
              </w:rPr>
            </w:pPr>
            <w:r w:rsidRPr="00FA3F9C">
              <w:rPr>
                <w:rFonts w:ascii="Arial" w:hAnsi="Arial" w:cs="Arial"/>
                <w:sz w:val="24"/>
                <w:szCs w:val="24"/>
              </w:rPr>
              <w:t>JJ</w:t>
            </w:r>
          </w:p>
        </w:tc>
      </w:tr>
      <w:tr w:rsidR="001506C1" w:rsidRPr="00FA3F9C" w14:paraId="1BA1F48D" w14:textId="77777777" w:rsidTr="00F0718B">
        <w:tc>
          <w:tcPr>
            <w:tcW w:w="985" w:type="dxa"/>
          </w:tcPr>
          <w:p w14:paraId="1F57673F" w14:textId="77777777" w:rsidR="001506C1" w:rsidRPr="00FA3F9C" w:rsidRDefault="001506C1" w:rsidP="006F623F">
            <w:pPr>
              <w:rPr>
                <w:rFonts w:ascii="Arial" w:hAnsi="Arial" w:cs="Arial"/>
                <w:sz w:val="24"/>
                <w:szCs w:val="24"/>
              </w:rPr>
            </w:pPr>
            <w:r w:rsidRPr="00FA3F9C">
              <w:rPr>
                <w:rFonts w:ascii="Arial" w:hAnsi="Arial" w:cs="Arial"/>
                <w:sz w:val="24"/>
                <w:szCs w:val="24"/>
              </w:rPr>
              <w:t>4/7/21</w:t>
            </w:r>
          </w:p>
        </w:tc>
        <w:tc>
          <w:tcPr>
            <w:tcW w:w="8814" w:type="dxa"/>
          </w:tcPr>
          <w:p w14:paraId="77209B59" w14:textId="77777777" w:rsidR="001506C1" w:rsidRPr="00FA3F9C" w:rsidRDefault="001506C1" w:rsidP="006F623F">
            <w:pPr>
              <w:rPr>
                <w:rFonts w:ascii="Arial" w:hAnsi="Arial" w:cs="Arial"/>
                <w:sz w:val="24"/>
                <w:szCs w:val="24"/>
              </w:rPr>
            </w:pPr>
            <w:r w:rsidRPr="00FA3F9C">
              <w:rPr>
                <w:rFonts w:ascii="Arial" w:hAnsi="Arial" w:cs="Arial"/>
                <w:sz w:val="24"/>
                <w:szCs w:val="24"/>
              </w:rPr>
              <w:t>Applied criteria to UAS Plan.</w:t>
            </w:r>
          </w:p>
        </w:tc>
        <w:tc>
          <w:tcPr>
            <w:tcW w:w="991" w:type="dxa"/>
          </w:tcPr>
          <w:p w14:paraId="38F49FC4" w14:textId="77777777" w:rsidR="001506C1" w:rsidRPr="00FA3F9C" w:rsidRDefault="001506C1" w:rsidP="006F623F">
            <w:pPr>
              <w:rPr>
                <w:rFonts w:ascii="Arial" w:hAnsi="Arial" w:cs="Arial"/>
                <w:sz w:val="24"/>
                <w:szCs w:val="24"/>
              </w:rPr>
            </w:pPr>
            <w:r w:rsidRPr="00FA3F9C">
              <w:rPr>
                <w:rFonts w:ascii="Arial" w:hAnsi="Arial" w:cs="Arial"/>
                <w:sz w:val="24"/>
                <w:szCs w:val="24"/>
              </w:rPr>
              <w:t>JJ</w:t>
            </w:r>
          </w:p>
        </w:tc>
      </w:tr>
      <w:tr w:rsidR="001506C1" w:rsidRPr="00FA3F9C" w14:paraId="54075FC7" w14:textId="77777777" w:rsidTr="00F0718B">
        <w:tc>
          <w:tcPr>
            <w:tcW w:w="985" w:type="dxa"/>
          </w:tcPr>
          <w:p w14:paraId="2F2F909A" w14:textId="77777777" w:rsidR="001506C1" w:rsidRPr="00FA3F9C" w:rsidRDefault="001506C1" w:rsidP="006F623F">
            <w:pPr>
              <w:rPr>
                <w:rFonts w:ascii="Arial" w:hAnsi="Arial" w:cs="Arial"/>
                <w:sz w:val="24"/>
                <w:szCs w:val="24"/>
              </w:rPr>
            </w:pPr>
            <w:r w:rsidRPr="00FA3F9C">
              <w:rPr>
                <w:rFonts w:ascii="Arial" w:hAnsi="Arial" w:cs="Arial"/>
                <w:sz w:val="24"/>
                <w:szCs w:val="24"/>
              </w:rPr>
              <w:t>10/12/21</w:t>
            </w:r>
          </w:p>
        </w:tc>
        <w:tc>
          <w:tcPr>
            <w:tcW w:w="8814" w:type="dxa"/>
          </w:tcPr>
          <w:p w14:paraId="4ECB3372" w14:textId="77777777" w:rsidR="001506C1" w:rsidRPr="00FA3F9C" w:rsidRDefault="001506C1" w:rsidP="006F623F">
            <w:pPr>
              <w:rPr>
                <w:rFonts w:ascii="Arial" w:hAnsi="Arial" w:cs="Arial"/>
                <w:sz w:val="24"/>
                <w:szCs w:val="24"/>
              </w:rPr>
            </w:pPr>
            <w:r w:rsidRPr="00FA3F9C">
              <w:rPr>
                <w:rFonts w:ascii="Arial" w:hAnsi="Arial" w:cs="Arial"/>
                <w:sz w:val="24"/>
                <w:szCs w:val="24"/>
              </w:rPr>
              <w:t xml:space="preserve">I reviewed the criteria, omitted a minimum # of HAs/month, added step therapy with 2 preventive therapies and 2 triptan fills in the history.  ICER determined for preventive </w:t>
            </w:r>
            <w:proofErr w:type="spellStart"/>
            <w:r w:rsidRPr="00FA3F9C">
              <w:rPr>
                <w:rFonts w:ascii="Arial" w:hAnsi="Arial" w:cs="Arial"/>
                <w:sz w:val="24"/>
                <w:szCs w:val="24"/>
              </w:rPr>
              <w:t>tx</w:t>
            </w:r>
            <w:proofErr w:type="spellEnd"/>
            <w:r w:rsidRPr="00FA3F9C">
              <w:rPr>
                <w:rFonts w:ascii="Arial" w:hAnsi="Arial" w:cs="Arial"/>
                <w:sz w:val="24"/>
                <w:szCs w:val="24"/>
              </w:rPr>
              <w:t xml:space="preserve"> w/ </w:t>
            </w:r>
            <w:proofErr w:type="spellStart"/>
            <w:r w:rsidRPr="00FA3F9C">
              <w:rPr>
                <w:rFonts w:ascii="Arial" w:hAnsi="Arial" w:cs="Arial"/>
                <w:sz w:val="24"/>
                <w:szCs w:val="24"/>
              </w:rPr>
              <w:t>CGRAi</w:t>
            </w:r>
            <w:proofErr w:type="spellEnd"/>
            <w:r w:rsidRPr="00FA3F9C">
              <w:rPr>
                <w:rFonts w:ascii="Arial" w:hAnsi="Arial" w:cs="Arial"/>
                <w:sz w:val="24"/>
                <w:szCs w:val="24"/>
              </w:rPr>
              <w:t xml:space="preserve">, that triptan therapy for acute relief can be effective for many patients, thereby limiting any potential added benefit of preventive therapy and avoiding uncertain </w:t>
            </w:r>
            <w:proofErr w:type="gramStart"/>
            <w:r w:rsidRPr="00FA3F9C">
              <w:rPr>
                <w:rFonts w:ascii="Arial" w:hAnsi="Arial" w:cs="Arial"/>
                <w:sz w:val="24"/>
                <w:szCs w:val="24"/>
              </w:rPr>
              <w:t>long term</w:t>
            </w:r>
            <w:proofErr w:type="gramEnd"/>
            <w:r w:rsidRPr="00FA3F9C">
              <w:rPr>
                <w:rFonts w:ascii="Arial" w:hAnsi="Arial" w:cs="Arial"/>
                <w:sz w:val="24"/>
                <w:szCs w:val="24"/>
              </w:rPr>
              <w:t xml:space="preserve"> SEs as well as </w:t>
            </w:r>
            <w:proofErr w:type="spellStart"/>
            <w:r w:rsidRPr="00FA3F9C">
              <w:rPr>
                <w:rFonts w:ascii="Arial" w:hAnsi="Arial" w:cs="Arial"/>
                <w:sz w:val="24"/>
                <w:szCs w:val="24"/>
              </w:rPr>
              <w:t>CGRPi</w:t>
            </w:r>
            <w:proofErr w:type="spellEnd"/>
            <w:r w:rsidRPr="00FA3F9C">
              <w:rPr>
                <w:rFonts w:ascii="Arial" w:hAnsi="Arial" w:cs="Arial"/>
                <w:sz w:val="24"/>
                <w:szCs w:val="24"/>
              </w:rPr>
              <w:t xml:space="preserve"> costs.  ICER determined it is reasonable to require 2 or 3 prior preventive treatments PLUS a reasonable trial of triptans prior to covering </w:t>
            </w:r>
            <w:proofErr w:type="spellStart"/>
            <w:r w:rsidRPr="00FA3F9C">
              <w:rPr>
                <w:rFonts w:ascii="Arial" w:hAnsi="Arial" w:cs="Arial"/>
                <w:sz w:val="24"/>
                <w:szCs w:val="24"/>
              </w:rPr>
              <w:t>CGRPi</w:t>
            </w:r>
            <w:proofErr w:type="spellEnd"/>
            <w:r w:rsidRPr="00FA3F9C">
              <w:rPr>
                <w:rFonts w:ascii="Arial" w:hAnsi="Arial" w:cs="Arial"/>
                <w:sz w:val="24"/>
                <w:szCs w:val="24"/>
              </w:rPr>
              <w:t xml:space="preserve"> therapy.</w:t>
            </w:r>
          </w:p>
        </w:tc>
        <w:tc>
          <w:tcPr>
            <w:tcW w:w="991" w:type="dxa"/>
          </w:tcPr>
          <w:p w14:paraId="64816B89" w14:textId="77777777" w:rsidR="001506C1" w:rsidRPr="00FA3F9C" w:rsidRDefault="001506C1" w:rsidP="006F623F">
            <w:pPr>
              <w:rPr>
                <w:rFonts w:ascii="Arial" w:hAnsi="Arial" w:cs="Arial"/>
                <w:sz w:val="24"/>
                <w:szCs w:val="24"/>
              </w:rPr>
            </w:pPr>
            <w:r w:rsidRPr="00FA3F9C">
              <w:rPr>
                <w:rFonts w:ascii="Arial" w:hAnsi="Arial" w:cs="Arial"/>
                <w:sz w:val="24"/>
                <w:szCs w:val="24"/>
              </w:rPr>
              <w:t>JJ</w:t>
            </w:r>
          </w:p>
        </w:tc>
      </w:tr>
    </w:tbl>
    <w:p w14:paraId="39F23C8B" w14:textId="77777777" w:rsidR="001506C1" w:rsidRPr="00FA3F9C" w:rsidRDefault="001506C1" w:rsidP="006F623F">
      <w:pPr>
        <w:spacing w:after="0"/>
        <w:rPr>
          <w:rFonts w:ascii="Arial" w:hAnsi="Arial" w:cs="Arial"/>
          <w:sz w:val="24"/>
          <w:szCs w:val="24"/>
        </w:rPr>
      </w:pPr>
      <w:r w:rsidRPr="00FA3F9C">
        <w:rPr>
          <w:rFonts w:ascii="Arial" w:hAnsi="Arial" w:cs="Arial"/>
          <w:sz w:val="24"/>
          <w:szCs w:val="24"/>
        </w:rPr>
        <w:t>Ref:</w:t>
      </w:r>
    </w:p>
    <w:p w14:paraId="1D0985E0" w14:textId="77777777" w:rsidR="001506C1" w:rsidRPr="00FA3F9C" w:rsidRDefault="001506C1" w:rsidP="001506C1">
      <w:pPr>
        <w:pStyle w:val="ListParagraph"/>
        <w:numPr>
          <w:ilvl w:val="0"/>
          <w:numId w:val="8"/>
        </w:numPr>
        <w:spacing w:after="0" w:line="276" w:lineRule="auto"/>
        <w:rPr>
          <w:rFonts w:ascii="Arial" w:hAnsi="Arial" w:cs="Arial"/>
          <w:sz w:val="24"/>
          <w:szCs w:val="24"/>
        </w:rPr>
      </w:pPr>
      <w:proofErr w:type="spellStart"/>
      <w:r w:rsidRPr="00FA3F9C">
        <w:rPr>
          <w:rFonts w:ascii="Arial" w:hAnsi="Arial" w:cs="Arial"/>
          <w:color w:val="222222"/>
          <w:sz w:val="24"/>
          <w:szCs w:val="24"/>
          <w:shd w:val="clear" w:color="auto" w:fill="FFFFFF"/>
        </w:rPr>
        <w:t>Erenumab</w:t>
      </w:r>
      <w:proofErr w:type="spellEnd"/>
      <w:r w:rsidRPr="00FA3F9C">
        <w:rPr>
          <w:rFonts w:ascii="Arial" w:hAnsi="Arial" w:cs="Arial"/>
          <w:color w:val="222222"/>
          <w:sz w:val="24"/>
          <w:szCs w:val="24"/>
          <w:shd w:val="clear" w:color="auto" w:fill="FFFFFF"/>
        </w:rPr>
        <w:t xml:space="preserve"> package insert. Accessed 6/25/18</w:t>
      </w:r>
    </w:p>
    <w:p w14:paraId="1161B300" w14:textId="77777777" w:rsidR="001506C1" w:rsidRPr="00FA3F9C" w:rsidRDefault="001506C1" w:rsidP="001506C1">
      <w:pPr>
        <w:pStyle w:val="ListParagraph"/>
        <w:numPr>
          <w:ilvl w:val="0"/>
          <w:numId w:val="8"/>
        </w:numPr>
        <w:spacing w:after="0" w:line="276" w:lineRule="auto"/>
        <w:rPr>
          <w:rFonts w:ascii="Arial" w:hAnsi="Arial" w:cs="Arial"/>
          <w:sz w:val="24"/>
          <w:szCs w:val="24"/>
        </w:rPr>
      </w:pPr>
      <w:proofErr w:type="spellStart"/>
      <w:r w:rsidRPr="00FA3F9C">
        <w:rPr>
          <w:rFonts w:ascii="Arial" w:hAnsi="Arial" w:cs="Arial"/>
          <w:color w:val="222222"/>
          <w:sz w:val="24"/>
          <w:szCs w:val="24"/>
          <w:shd w:val="clear" w:color="auto" w:fill="FFFFFF"/>
        </w:rPr>
        <w:t>Katsarava</w:t>
      </w:r>
      <w:proofErr w:type="spellEnd"/>
      <w:r w:rsidRPr="00FA3F9C">
        <w:rPr>
          <w:rFonts w:ascii="Arial" w:hAnsi="Arial" w:cs="Arial"/>
          <w:color w:val="222222"/>
          <w:sz w:val="24"/>
          <w:szCs w:val="24"/>
          <w:shd w:val="clear" w:color="auto" w:fill="FFFFFF"/>
        </w:rPr>
        <w:t>, Zaza, et al. "Defining the differences between episodic migraine and chronic migraine." </w:t>
      </w:r>
      <w:r w:rsidRPr="00FA3F9C">
        <w:rPr>
          <w:rFonts w:ascii="Arial" w:hAnsi="Arial" w:cs="Arial"/>
          <w:i/>
          <w:iCs/>
          <w:color w:val="222222"/>
          <w:sz w:val="24"/>
          <w:szCs w:val="24"/>
          <w:shd w:val="clear" w:color="auto" w:fill="FFFFFF"/>
        </w:rPr>
        <w:t xml:space="preserve">Current pain and headache </w:t>
      </w:r>
      <w:proofErr w:type="gramStart"/>
      <w:r w:rsidRPr="00FA3F9C">
        <w:rPr>
          <w:rFonts w:ascii="Arial" w:hAnsi="Arial" w:cs="Arial"/>
          <w:i/>
          <w:iCs/>
          <w:color w:val="222222"/>
          <w:sz w:val="24"/>
          <w:szCs w:val="24"/>
          <w:shd w:val="clear" w:color="auto" w:fill="FFFFFF"/>
        </w:rPr>
        <w:t>reports</w:t>
      </w:r>
      <w:proofErr w:type="gramEnd"/>
      <w:r w:rsidRPr="00FA3F9C">
        <w:rPr>
          <w:rFonts w:ascii="Arial" w:hAnsi="Arial" w:cs="Arial"/>
          <w:color w:val="222222"/>
          <w:sz w:val="24"/>
          <w:szCs w:val="24"/>
          <w:shd w:val="clear" w:color="auto" w:fill="FFFFFF"/>
        </w:rPr>
        <w:t> 16.1 (2012): 86-92.</w:t>
      </w:r>
    </w:p>
    <w:p w14:paraId="6C1CCB8F" w14:textId="77777777" w:rsidR="001506C1" w:rsidRPr="00FA3F9C" w:rsidRDefault="001506C1" w:rsidP="001506C1">
      <w:pPr>
        <w:pStyle w:val="ListParagraph"/>
        <w:numPr>
          <w:ilvl w:val="0"/>
          <w:numId w:val="8"/>
        </w:numPr>
        <w:spacing w:after="0" w:line="240" w:lineRule="auto"/>
        <w:rPr>
          <w:rFonts w:ascii="Arial" w:eastAsia="Times New Roman" w:hAnsi="Arial" w:cs="Arial"/>
          <w:sz w:val="24"/>
          <w:szCs w:val="24"/>
        </w:rPr>
      </w:pPr>
      <w:proofErr w:type="spellStart"/>
      <w:r w:rsidRPr="00FA3F9C">
        <w:rPr>
          <w:rFonts w:ascii="Arial" w:eastAsia="Times New Roman" w:hAnsi="Arial" w:cs="Arial"/>
          <w:color w:val="222222"/>
          <w:sz w:val="24"/>
          <w:szCs w:val="24"/>
          <w:shd w:val="clear" w:color="auto" w:fill="F8F8F8"/>
        </w:rPr>
        <w:t>Goadsby</w:t>
      </w:r>
      <w:proofErr w:type="spellEnd"/>
      <w:r w:rsidRPr="00FA3F9C">
        <w:rPr>
          <w:rFonts w:ascii="Arial" w:eastAsia="Times New Roman" w:hAnsi="Arial" w:cs="Arial"/>
          <w:color w:val="222222"/>
          <w:sz w:val="24"/>
          <w:szCs w:val="24"/>
          <w:shd w:val="clear" w:color="auto" w:fill="F8F8F8"/>
        </w:rPr>
        <w:t xml:space="preserve">, Peter J., et al. "A controlled trial of </w:t>
      </w:r>
      <w:proofErr w:type="spellStart"/>
      <w:r w:rsidRPr="00FA3F9C">
        <w:rPr>
          <w:rFonts w:ascii="Arial" w:eastAsia="Times New Roman" w:hAnsi="Arial" w:cs="Arial"/>
          <w:color w:val="222222"/>
          <w:sz w:val="24"/>
          <w:szCs w:val="24"/>
          <w:shd w:val="clear" w:color="auto" w:fill="F8F8F8"/>
        </w:rPr>
        <w:t>erenumab</w:t>
      </w:r>
      <w:proofErr w:type="spellEnd"/>
      <w:r w:rsidRPr="00FA3F9C">
        <w:rPr>
          <w:rFonts w:ascii="Arial" w:eastAsia="Times New Roman" w:hAnsi="Arial" w:cs="Arial"/>
          <w:color w:val="222222"/>
          <w:sz w:val="24"/>
          <w:szCs w:val="24"/>
          <w:shd w:val="clear" w:color="auto" w:fill="F8F8F8"/>
        </w:rPr>
        <w:t xml:space="preserve"> for episodic migraine." </w:t>
      </w:r>
      <w:r w:rsidRPr="00FA3F9C">
        <w:rPr>
          <w:rFonts w:ascii="Arial" w:eastAsia="Times New Roman" w:hAnsi="Arial" w:cs="Arial"/>
          <w:i/>
          <w:iCs/>
          <w:color w:val="222222"/>
          <w:sz w:val="24"/>
          <w:szCs w:val="24"/>
          <w:shd w:val="clear" w:color="auto" w:fill="F8F8F8"/>
        </w:rPr>
        <w:t>New England Journal of Medicine</w:t>
      </w:r>
      <w:r w:rsidRPr="00FA3F9C">
        <w:rPr>
          <w:rFonts w:ascii="Arial" w:eastAsia="Times New Roman" w:hAnsi="Arial" w:cs="Arial"/>
          <w:color w:val="222222"/>
          <w:sz w:val="24"/>
          <w:szCs w:val="24"/>
          <w:shd w:val="clear" w:color="auto" w:fill="F8F8F8"/>
        </w:rPr>
        <w:t> 377.22 (2017): 2123-2132.</w:t>
      </w:r>
    </w:p>
    <w:p w14:paraId="27BA0E82" w14:textId="77777777" w:rsidR="001506C1" w:rsidRPr="00FA3F9C" w:rsidRDefault="001506C1" w:rsidP="001506C1">
      <w:pPr>
        <w:pStyle w:val="ListParagraph"/>
        <w:numPr>
          <w:ilvl w:val="0"/>
          <w:numId w:val="8"/>
        </w:numPr>
        <w:spacing w:after="0" w:line="240" w:lineRule="auto"/>
        <w:rPr>
          <w:rFonts w:ascii="Arial" w:eastAsia="Times New Roman" w:hAnsi="Arial" w:cs="Arial"/>
          <w:sz w:val="24"/>
          <w:szCs w:val="24"/>
        </w:rPr>
      </w:pPr>
      <w:r w:rsidRPr="00FA3F9C">
        <w:rPr>
          <w:rFonts w:ascii="Arial" w:eastAsia="Times New Roman" w:hAnsi="Arial" w:cs="Arial"/>
          <w:color w:val="222222"/>
          <w:sz w:val="24"/>
          <w:szCs w:val="24"/>
          <w:shd w:val="clear" w:color="auto" w:fill="F8F8F8"/>
        </w:rPr>
        <w:lastRenderedPageBreak/>
        <w:t xml:space="preserve">Tepper, Stewart, et al. "Safety and efficacy of </w:t>
      </w:r>
      <w:proofErr w:type="spellStart"/>
      <w:r w:rsidRPr="00FA3F9C">
        <w:rPr>
          <w:rFonts w:ascii="Arial" w:eastAsia="Times New Roman" w:hAnsi="Arial" w:cs="Arial"/>
          <w:color w:val="222222"/>
          <w:sz w:val="24"/>
          <w:szCs w:val="24"/>
          <w:shd w:val="clear" w:color="auto" w:fill="F8F8F8"/>
        </w:rPr>
        <w:t>erenumab</w:t>
      </w:r>
      <w:proofErr w:type="spellEnd"/>
      <w:r w:rsidRPr="00FA3F9C">
        <w:rPr>
          <w:rFonts w:ascii="Arial" w:eastAsia="Times New Roman" w:hAnsi="Arial" w:cs="Arial"/>
          <w:color w:val="222222"/>
          <w:sz w:val="24"/>
          <w:szCs w:val="24"/>
          <w:shd w:val="clear" w:color="auto" w:fill="F8F8F8"/>
        </w:rPr>
        <w:t xml:space="preserve"> for preventive treatment of chronic migraine: a </w:t>
      </w:r>
      <w:proofErr w:type="spellStart"/>
      <w:r w:rsidRPr="00FA3F9C">
        <w:rPr>
          <w:rFonts w:ascii="Arial" w:eastAsia="Times New Roman" w:hAnsi="Arial" w:cs="Arial"/>
          <w:color w:val="222222"/>
          <w:sz w:val="24"/>
          <w:szCs w:val="24"/>
          <w:shd w:val="clear" w:color="auto" w:fill="F8F8F8"/>
        </w:rPr>
        <w:t>randomised</w:t>
      </w:r>
      <w:proofErr w:type="spellEnd"/>
      <w:r w:rsidRPr="00FA3F9C">
        <w:rPr>
          <w:rFonts w:ascii="Arial" w:eastAsia="Times New Roman" w:hAnsi="Arial" w:cs="Arial"/>
          <w:color w:val="222222"/>
          <w:sz w:val="24"/>
          <w:szCs w:val="24"/>
          <w:shd w:val="clear" w:color="auto" w:fill="F8F8F8"/>
        </w:rPr>
        <w:t>, double-blind, placebo-controlled phase 2 trial." </w:t>
      </w:r>
      <w:r w:rsidRPr="00FA3F9C">
        <w:rPr>
          <w:rFonts w:ascii="Arial" w:eastAsia="Times New Roman" w:hAnsi="Arial" w:cs="Arial"/>
          <w:i/>
          <w:iCs/>
          <w:color w:val="222222"/>
          <w:sz w:val="24"/>
          <w:szCs w:val="24"/>
          <w:shd w:val="clear" w:color="auto" w:fill="F8F8F8"/>
        </w:rPr>
        <w:t>The Lancet Neurology</w:t>
      </w:r>
      <w:r w:rsidRPr="00FA3F9C">
        <w:rPr>
          <w:rFonts w:ascii="Arial" w:eastAsia="Times New Roman" w:hAnsi="Arial" w:cs="Arial"/>
          <w:color w:val="222222"/>
          <w:sz w:val="24"/>
          <w:szCs w:val="24"/>
          <w:shd w:val="clear" w:color="auto" w:fill="F8F8F8"/>
        </w:rPr>
        <w:t>16.6 (2017): 425-434.</w:t>
      </w:r>
    </w:p>
    <w:p w14:paraId="27CB57E3" w14:textId="77777777" w:rsidR="001506C1" w:rsidRPr="00FA3F9C" w:rsidRDefault="001506C1" w:rsidP="001506C1">
      <w:pPr>
        <w:pStyle w:val="ListParagraph"/>
        <w:numPr>
          <w:ilvl w:val="0"/>
          <w:numId w:val="8"/>
        </w:numPr>
        <w:spacing w:after="0" w:line="240" w:lineRule="auto"/>
        <w:rPr>
          <w:rFonts w:ascii="Arial" w:eastAsia="Times New Roman" w:hAnsi="Arial" w:cs="Arial"/>
          <w:sz w:val="24"/>
          <w:szCs w:val="24"/>
        </w:rPr>
      </w:pPr>
      <w:r w:rsidRPr="00FA3F9C">
        <w:rPr>
          <w:rFonts w:ascii="Arial" w:eastAsia="Times New Roman" w:hAnsi="Arial" w:cs="Arial"/>
          <w:color w:val="222222"/>
          <w:sz w:val="24"/>
          <w:szCs w:val="24"/>
          <w:shd w:val="clear" w:color="auto" w:fill="F8F8F8"/>
        </w:rPr>
        <w:t>ICER evidence report accessed 6/12/18.</w:t>
      </w:r>
    </w:p>
    <w:p w14:paraId="49920DF4" w14:textId="77777777" w:rsidR="002641D2" w:rsidRPr="00FA3F9C" w:rsidRDefault="002641D2" w:rsidP="00BE7C2A">
      <w:pPr>
        <w:pStyle w:val="Heading2"/>
      </w:pPr>
      <w:bookmarkStart w:id="95" w:name="_Toc106369790"/>
      <w:proofErr w:type="spellStart"/>
      <w:r w:rsidRPr="00FA3F9C">
        <w:t>Eribulin</w:t>
      </w:r>
      <w:proofErr w:type="spellEnd"/>
      <w:r w:rsidRPr="00FA3F9C">
        <w:t xml:space="preserve"> (</w:t>
      </w:r>
      <w:proofErr w:type="spellStart"/>
      <w:r w:rsidRPr="00FA3F9C">
        <w:t>Halaven</w:t>
      </w:r>
      <w:proofErr w:type="spellEnd"/>
      <w:r w:rsidRPr="00FA3F9C">
        <w:t>)</w:t>
      </w:r>
      <w:bookmarkEnd w:id="95"/>
      <w:r w:rsidRPr="00FA3F9C">
        <w:t xml:space="preserve"> </w:t>
      </w:r>
    </w:p>
    <w:p w14:paraId="032E33E5" w14:textId="77777777" w:rsidR="002641D2" w:rsidRPr="00FA3F9C" w:rsidRDefault="002641D2" w:rsidP="002C6AE2">
      <w:pPr>
        <w:spacing w:after="0"/>
        <w:jc w:val="center"/>
        <w:rPr>
          <w:rFonts w:ascii="Arial" w:hAnsi="Arial" w:cs="Arial"/>
          <w:sz w:val="24"/>
          <w:szCs w:val="24"/>
        </w:rPr>
      </w:pPr>
      <w:r w:rsidRPr="00FA3F9C">
        <w:rPr>
          <w:rFonts w:ascii="Arial" w:hAnsi="Arial" w:cs="Arial"/>
          <w:sz w:val="24"/>
          <w:szCs w:val="24"/>
        </w:rPr>
        <w:t>1 mg/2ml vial</w:t>
      </w:r>
    </w:p>
    <w:p w14:paraId="1E897B09" w14:textId="77777777" w:rsidR="002641D2" w:rsidRPr="00FA3F9C" w:rsidRDefault="002641D2" w:rsidP="002C6AE2">
      <w:pPr>
        <w:spacing w:after="0"/>
        <w:jc w:val="center"/>
        <w:rPr>
          <w:rFonts w:ascii="Arial" w:hAnsi="Arial" w:cs="Arial"/>
          <w:sz w:val="24"/>
          <w:szCs w:val="24"/>
        </w:rPr>
      </w:pPr>
      <w:r w:rsidRPr="00FA3F9C">
        <w:rPr>
          <w:rFonts w:ascii="Arial" w:hAnsi="Arial" w:cs="Arial"/>
          <w:sz w:val="24"/>
          <w:szCs w:val="24"/>
        </w:rPr>
        <w:t>EBRx PA Criteria</w:t>
      </w:r>
    </w:p>
    <w:p w14:paraId="1B41CD82" w14:textId="77777777" w:rsidR="002641D2" w:rsidRPr="00FA3F9C" w:rsidRDefault="002641D2" w:rsidP="008B48E4">
      <w:pPr>
        <w:spacing w:after="0"/>
        <w:jc w:val="center"/>
        <w:rPr>
          <w:rFonts w:ascii="Arial" w:hAnsi="Arial" w:cs="Arial"/>
          <w:sz w:val="24"/>
          <w:szCs w:val="24"/>
        </w:rPr>
      </w:pPr>
    </w:p>
    <w:p w14:paraId="4675B869" w14:textId="77777777" w:rsidR="002641D2" w:rsidRPr="00FA3F9C" w:rsidRDefault="002641D2" w:rsidP="005E1FAA">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w:t>
      </w:r>
    </w:p>
    <w:p w14:paraId="2D307939" w14:textId="77777777" w:rsidR="002641D2" w:rsidRPr="00FA3F9C" w:rsidRDefault="002641D2" w:rsidP="002641D2">
      <w:pPr>
        <w:pStyle w:val="Normal1"/>
        <w:numPr>
          <w:ilvl w:val="0"/>
          <w:numId w:val="175"/>
        </w:numPr>
        <w:spacing w:line="276" w:lineRule="auto"/>
        <w:ind w:left="270" w:hanging="180"/>
        <w:contextualSpacing/>
        <w:rPr>
          <w:rFonts w:ascii="Arial" w:hAnsi="Arial" w:cs="Arial"/>
        </w:rPr>
      </w:pPr>
      <w:r w:rsidRPr="00FA3F9C">
        <w:rPr>
          <w:rFonts w:ascii="Arial" w:hAnsi="Arial" w:cs="Arial"/>
        </w:rPr>
        <w:t xml:space="preserve">Metastatic breast cancer who </w:t>
      </w:r>
      <w:proofErr w:type="gramStart"/>
      <w:r w:rsidRPr="00FA3F9C">
        <w:rPr>
          <w:rFonts w:ascii="Arial" w:hAnsi="Arial" w:cs="Arial"/>
        </w:rPr>
        <w:t>have</w:t>
      </w:r>
      <w:proofErr w:type="gramEnd"/>
      <w:r w:rsidRPr="00FA3F9C">
        <w:rPr>
          <w:rFonts w:ascii="Arial" w:hAnsi="Arial" w:cs="Arial"/>
        </w:rPr>
        <w:t xml:space="preserve"> previously received at least two chemotherapeutic regimens for the treatment of metastatic disease. Prior therapy should have included an anthracycline and a </w:t>
      </w:r>
      <w:proofErr w:type="spellStart"/>
      <w:r w:rsidRPr="00FA3F9C">
        <w:rPr>
          <w:rFonts w:ascii="Arial" w:hAnsi="Arial" w:cs="Arial"/>
        </w:rPr>
        <w:t>taxane</w:t>
      </w:r>
      <w:proofErr w:type="spellEnd"/>
      <w:r w:rsidRPr="00FA3F9C">
        <w:rPr>
          <w:rFonts w:ascii="Arial" w:hAnsi="Arial" w:cs="Arial"/>
        </w:rPr>
        <w:t xml:space="preserve"> in either the adjuvant or metastatic setting. </w:t>
      </w:r>
      <w:r w:rsidRPr="00FA3F9C">
        <w:rPr>
          <w:rFonts w:ascii="Arial" w:hAnsi="Arial" w:cs="Arial"/>
          <w:i/>
          <w:highlight w:val="cyan"/>
        </w:rPr>
        <w:t xml:space="preserve">Covered if prior anthracycline, </w:t>
      </w:r>
      <w:proofErr w:type="spellStart"/>
      <w:r w:rsidRPr="00FA3F9C">
        <w:rPr>
          <w:rFonts w:ascii="Arial" w:hAnsi="Arial" w:cs="Arial"/>
          <w:i/>
          <w:highlight w:val="cyan"/>
        </w:rPr>
        <w:t>taxane</w:t>
      </w:r>
      <w:proofErr w:type="spellEnd"/>
      <w:r w:rsidRPr="00FA3F9C">
        <w:rPr>
          <w:rFonts w:ascii="Arial" w:hAnsi="Arial" w:cs="Arial"/>
          <w:i/>
          <w:highlight w:val="cyan"/>
        </w:rPr>
        <w:t xml:space="preserve">, </w:t>
      </w:r>
      <w:r w:rsidRPr="00FA3F9C">
        <w:rPr>
          <w:rFonts w:ascii="Arial" w:hAnsi="Arial" w:cs="Arial"/>
          <w:i/>
          <w:highlight w:val="cyan"/>
          <w:u w:val="single"/>
        </w:rPr>
        <w:t>and capecitabine</w:t>
      </w:r>
      <w:r w:rsidRPr="00FA3F9C">
        <w:rPr>
          <w:rFonts w:ascii="Arial" w:hAnsi="Arial" w:cs="Arial"/>
          <w:i/>
          <w:highlight w:val="cyan"/>
        </w:rPr>
        <w:t xml:space="preserve"> (see criteria)</w:t>
      </w:r>
    </w:p>
    <w:p w14:paraId="37A75AD2" w14:textId="77777777" w:rsidR="002641D2" w:rsidRPr="00FA3F9C" w:rsidRDefault="002641D2" w:rsidP="002641D2">
      <w:pPr>
        <w:pStyle w:val="Normal1"/>
        <w:numPr>
          <w:ilvl w:val="0"/>
          <w:numId w:val="175"/>
        </w:numPr>
        <w:spacing w:line="276" w:lineRule="auto"/>
        <w:ind w:left="270" w:hanging="180"/>
        <w:contextualSpacing/>
        <w:rPr>
          <w:rFonts w:ascii="Arial" w:hAnsi="Arial" w:cs="Arial"/>
          <w:u w:val="single"/>
        </w:rPr>
      </w:pPr>
      <w:r w:rsidRPr="00FA3F9C">
        <w:rPr>
          <w:rFonts w:ascii="Arial" w:hAnsi="Arial" w:cs="Arial"/>
        </w:rPr>
        <w:t xml:space="preserve">Unresectable or metastatic liposarcoma who have received a prior anthracycline-containing regimen </w:t>
      </w:r>
      <w:r w:rsidRPr="00FA3F9C">
        <w:rPr>
          <w:rFonts w:ascii="Arial" w:hAnsi="Arial" w:cs="Arial"/>
          <w:i/>
          <w:u w:val="single"/>
        </w:rPr>
        <w:t>(</w:t>
      </w:r>
      <w:r w:rsidRPr="00FA3F9C">
        <w:rPr>
          <w:rFonts w:ascii="Arial" w:hAnsi="Arial" w:cs="Arial"/>
          <w:i/>
          <w:highlight w:val="cyan"/>
          <w:u w:val="single"/>
        </w:rPr>
        <w:t>see criteria</w:t>
      </w:r>
      <w:r w:rsidRPr="00FA3F9C">
        <w:rPr>
          <w:rFonts w:ascii="Arial" w:hAnsi="Arial" w:cs="Arial"/>
          <w:i/>
          <w:u w:val="single"/>
        </w:rPr>
        <w:t>)</w:t>
      </w:r>
    </w:p>
    <w:p w14:paraId="2A53FF56" w14:textId="77777777" w:rsidR="002641D2" w:rsidRPr="00FA3F9C" w:rsidRDefault="002641D2" w:rsidP="00595797">
      <w:pPr>
        <w:pStyle w:val="Normal1"/>
        <w:spacing w:line="276" w:lineRule="auto"/>
        <w:contextualSpacing/>
        <w:rPr>
          <w:rFonts w:ascii="Arial" w:hAnsi="Arial" w:cs="Arial"/>
        </w:rPr>
      </w:pPr>
    </w:p>
    <w:tbl>
      <w:tblPr>
        <w:tblStyle w:val="TableGrid"/>
        <w:tblW w:w="0" w:type="auto"/>
        <w:tblLook w:val="04A0" w:firstRow="1" w:lastRow="0" w:firstColumn="1" w:lastColumn="0" w:noHBand="0" w:noVBand="1"/>
      </w:tblPr>
      <w:tblGrid>
        <w:gridCol w:w="8745"/>
        <w:gridCol w:w="2045"/>
      </w:tblGrid>
      <w:tr w:rsidR="002641D2" w:rsidRPr="00FA3F9C" w14:paraId="6D2A0B57" w14:textId="77777777" w:rsidTr="00472CFC">
        <w:trPr>
          <w:trHeight w:val="116"/>
        </w:trPr>
        <w:tc>
          <w:tcPr>
            <w:tcW w:w="8745" w:type="dxa"/>
            <w:shd w:val="clear" w:color="auto" w:fill="000000"/>
          </w:tcPr>
          <w:p w14:paraId="73773FEF" w14:textId="77777777" w:rsidR="002641D2" w:rsidRPr="00FA3F9C" w:rsidRDefault="002641D2" w:rsidP="00472CFC">
            <w:pPr>
              <w:rPr>
                <w:rFonts w:ascii="Arial" w:hAnsi="Arial" w:cs="Arial"/>
                <w:b/>
                <w:sz w:val="24"/>
                <w:szCs w:val="24"/>
                <w:u w:val="single"/>
              </w:rPr>
            </w:pPr>
            <w:r w:rsidRPr="00FA3F9C">
              <w:rPr>
                <w:rFonts w:ascii="Arial" w:hAnsi="Arial" w:cs="Arial"/>
                <w:b/>
                <w:sz w:val="24"/>
                <w:szCs w:val="24"/>
                <w:u w:val="single"/>
              </w:rPr>
              <w:t>Metastatic Breast Cancer</w:t>
            </w:r>
          </w:p>
        </w:tc>
        <w:tc>
          <w:tcPr>
            <w:tcW w:w="2045" w:type="dxa"/>
            <w:shd w:val="clear" w:color="auto" w:fill="000000"/>
          </w:tcPr>
          <w:p w14:paraId="40DCAEC8" w14:textId="77777777" w:rsidR="002641D2" w:rsidRPr="00FA3F9C" w:rsidRDefault="002641D2" w:rsidP="000E79CF">
            <w:pPr>
              <w:jc w:val="center"/>
              <w:rPr>
                <w:rFonts w:ascii="Arial" w:hAnsi="Arial" w:cs="Arial"/>
                <w:b/>
                <w:sz w:val="24"/>
                <w:szCs w:val="24"/>
                <w:u w:val="single"/>
              </w:rPr>
            </w:pPr>
          </w:p>
        </w:tc>
      </w:tr>
      <w:tr w:rsidR="002641D2" w:rsidRPr="00FA3F9C" w14:paraId="444FB36F" w14:textId="77777777" w:rsidTr="002C6AE2">
        <w:trPr>
          <w:trHeight w:val="323"/>
        </w:trPr>
        <w:tc>
          <w:tcPr>
            <w:tcW w:w="10790" w:type="dxa"/>
            <w:gridSpan w:val="2"/>
          </w:tcPr>
          <w:p w14:paraId="0101FCE6" w14:textId="77777777" w:rsidR="002641D2" w:rsidRPr="00FA3F9C" w:rsidRDefault="002641D2" w:rsidP="001537D8">
            <w:pPr>
              <w:rPr>
                <w:rFonts w:ascii="Arial" w:hAnsi="Arial" w:cs="Arial"/>
                <w:sz w:val="24"/>
                <w:szCs w:val="24"/>
              </w:rPr>
            </w:pPr>
            <w:r w:rsidRPr="00FA3F9C">
              <w:rPr>
                <w:rFonts w:ascii="Arial" w:hAnsi="Arial" w:cs="Arial"/>
                <w:sz w:val="24"/>
                <w:szCs w:val="24"/>
              </w:rPr>
              <w:t>1.  Diagnosis of metastatic or unresectable breast cancer</w:t>
            </w:r>
          </w:p>
        </w:tc>
      </w:tr>
      <w:tr w:rsidR="002641D2" w:rsidRPr="00FA3F9C" w14:paraId="5C505ADE" w14:textId="77777777" w:rsidTr="002C6AE2">
        <w:trPr>
          <w:trHeight w:val="341"/>
        </w:trPr>
        <w:tc>
          <w:tcPr>
            <w:tcW w:w="10790" w:type="dxa"/>
            <w:gridSpan w:val="2"/>
          </w:tcPr>
          <w:p w14:paraId="40A385CA" w14:textId="77777777" w:rsidR="002641D2" w:rsidRPr="00FA3F9C" w:rsidRDefault="002641D2" w:rsidP="00C609A5">
            <w:pPr>
              <w:rPr>
                <w:rFonts w:ascii="Arial" w:hAnsi="Arial" w:cs="Arial"/>
                <w:sz w:val="24"/>
                <w:szCs w:val="24"/>
              </w:rPr>
            </w:pPr>
            <w:r w:rsidRPr="00FA3F9C">
              <w:rPr>
                <w:rFonts w:ascii="Arial" w:hAnsi="Arial" w:cs="Arial"/>
                <w:sz w:val="24"/>
                <w:szCs w:val="24"/>
              </w:rPr>
              <w:t>2.  Previously treated with at least 2 chemotherapeutic regimens for treatment of metastatic or unresectable breast cancer</w:t>
            </w:r>
          </w:p>
        </w:tc>
      </w:tr>
      <w:tr w:rsidR="002641D2" w:rsidRPr="00FA3F9C" w14:paraId="46F9DBCA" w14:textId="77777777" w:rsidTr="002C6AE2">
        <w:trPr>
          <w:trHeight w:val="350"/>
        </w:trPr>
        <w:tc>
          <w:tcPr>
            <w:tcW w:w="10790" w:type="dxa"/>
            <w:gridSpan w:val="2"/>
          </w:tcPr>
          <w:p w14:paraId="11BAD13D" w14:textId="77777777" w:rsidR="002641D2" w:rsidRPr="00FA3F9C" w:rsidRDefault="002641D2" w:rsidP="00E35588">
            <w:pPr>
              <w:rPr>
                <w:rFonts w:ascii="Arial" w:hAnsi="Arial" w:cs="Arial"/>
                <w:sz w:val="24"/>
                <w:szCs w:val="24"/>
              </w:rPr>
            </w:pPr>
            <w:r w:rsidRPr="00FA3F9C">
              <w:rPr>
                <w:rFonts w:ascii="Arial" w:hAnsi="Arial" w:cs="Arial"/>
                <w:sz w:val="24"/>
                <w:szCs w:val="24"/>
              </w:rPr>
              <w:t xml:space="preserve">3.  Prior treatment for metastatic or unresectable disease included an anthracycline, a </w:t>
            </w:r>
            <w:proofErr w:type="spellStart"/>
            <w:r w:rsidRPr="00FA3F9C">
              <w:rPr>
                <w:rFonts w:ascii="Arial" w:hAnsi="Arial" w:cs="Arial"/>
                <w:sz w:val="24"/>
                <w:szCs w:val="24"/>
              </w:rPr>
              <w:t>taxane</w:t>
            </w:r>
            <w:proofErr w:type="spellEnd"/>
            <w:r w:rsidRPr="00FA3F9C">
              <w:rPr>
                <w:rFonts w:ascii="Arial" w:hAnsi="Arial" w:cs="Arial"/>
                <w:sz w:val="24"/>
                <w:szCs w:val="24"/>
              </w:rPr>
              <w:t>, and capecitabine, unless contraindicated</w:t>
            </w:r>
          </w:p>
        </w:tc>
      </w:tr>
      <w:tr w:rsidR="002641D2" w:rsidRPr="00FA3F9C" w14:paraId="75B71811" w14:textId="77777777" w:rsidTr="001758F8">
        <w:trPr>
          <w:trHeight w:val="332"/>
        </w:trPr>
        <w:tc>
          <w:tcPr>
            <w:tcW w:w="10790" w:type="dxa"/>
            <w:gridSpan w:val="2"/>
            <w:shd w:val="clear" w:color="auto" w:fill="F2F2F2" w:themeFill="background1" w:themeFillShade="F2"/>
          </w:tcPr>
          <w:p w14:paraId="7A71AAEC" w14:textId="77777777" w:rsidR="002641D2" w:rsidRPr="00FA3F9C" w:rsidRDefault="002641D2" w:rsidP="001758F8">
            <w:pPr>
              <w:rPr>
                <w:rFonts w:ascii="Arial" w:hAnsi="Arial" w:cs="Arial"/>
                <w:sz w:val="24"/>
                <w:szCs w:val="24"/>
              </w:rPr>
            </w:pPr>
            <w:r w:rsidRPr="00FA3F9C">
              <w:rPr>
                <w:rFonts w:ascii="Arial" w:hAnsi="Arial" w:cs="Arial"/>
                <w:sz w:val="24"/>
                <w:szCs w:val="24"/>
              </w:rPr>
              <w:t>If above criteria are fulfilled, approve x 1 year</w:t>
            </w:r>
          </w:p>
        </w:tc>
      </w:tr>
      <w:tr w:rsidR="002641D2" w:rsidRPr="00FA3F9C" w14:paraId="5E1D061E" w14:textId="77777777" w:rsidTr="003A7B0B">
        <w:trPr>
          <w:trHeight w:val="2762"/>
        </w:trPr>
        <w:tc>
          <w:tcPr>
            <w:tcW w:w="10790" w:type="dxa"/>
            <w:gridSpan w:val="2"/>
            <w:shd w:val="clear" w:color="auto" w:fill="D9D9D9" w:themeFill="background1" w:themeFillShade="D9"/>
          </w:tcPr>
          <w:p w14:paraId="0C233998" w14:textId="77777777" w:rsidR="002641D2" w:rsidRPr="00FA3F9C" w:rsidRDefault="002641D2" w:rsidP="00C44A31">
            <w:pPr>
              <w:rPr>
                <w:rFonts w:ascii="Arial" w:hAnsi="Arial" w:cs="Arial"/>
                <w:sz w:val="24"/>
                <w:szCs w:val="24"/>
              </w:rPr>
            </w:pPr>
            <w:r w:rsidRPr="00FA3F9C">
              <w:rPr>
                <w:rFonts w:ascii="Arial" w:hAnsi="Arial" w:cs="Arial"/>
                <w:sz w:val="24"/>
                <w:szCs w:val="24"/>
              </w:rPr>
              <w:t xml:space="preserve">Note: </w:t>
            </w:r>
          </w:p>
          <w:p w14:paraId="3E65219C" w14:textId="77777777" w:rsidR="002641D2" w:rsidRPr="00FA3F9C" w:rsidRDefault="002641D2" w:rsidP="00C44A31">
            <w:pPr>
              <w:rPr>
                <w:rFonts w:ascii="Arial" w:hAnsi="Arial" w:cs="Arial"/>
                <w:sz w:val="24"/>
                <w:szCs w:val="24"/>
              </w:rPr>
            </w:pPr>
            <w:proofErr w:type="spellStart"/>
            <w:r w:rsidRPr="00FA3F9C">
              <w:rPr>
                <w:rFonts w:ascii="Arial" w:hAnsi="Arial" w:cs="Arial"/>
                <w:sz w:val="24"/>
                <w:szCs w:val="24"/>
              </w:rPr>
              <w:t>Eribulin</w:t>
            </w:r>
            <w:proofErr w:type="spellEnd"/>
            <w:r w:rsidRPr="00FA3F9C">
              <w:rPr>
                <w:rFonts w:ascii="Arial" w:hAnsi="Arial" w:cs="Arial"/>
                <w:sz w:val="24"/>
                <w:szCs w:val="24"/>
              </w:rPr>
              <w:t xml:space="preserve"> was compared to physician’s choice chemotherapy in patients who had received at least two prior chemotherapy regimens that included anthracycline- and </w:t>
            </w:r>
            <w:proofErr w:type="spellStart"/>
            <w:r w:rsidRPr="00FA3F9C">
              <w:rPr>
                <w:rFonts w:ascii="Arial" w:hAnsi="Arial" w:cs="Arial"/>
                <w:sz w:val="24"/>
                <w:szCs w:val="24"/>
              </w:rPr>
              <w:t>taxane</w:t>
            </w:r>
            <w:proofErr w:type="spellEnd"/>
            <w:r w:rsidRPr="00FA3F9C">
              <w:rPr>
                <w:rFonts w:ascii="Arial" w:hAnsi="Arial" w:cs="Arial"/>
                <w:sz w:val="24"/>
                <w:szCs w:val="24"/>
              </w:rPr>
              <w:t xml:space="preserve">-containing regimens. 70% of subjects had also received prior capecitabine. Median overall survival was improved in the </w:t>
            </w:r>
            <w:proofErr w:type="spellStart"/>
            <w:r w:rsidRPr="00FA3F9C">
              <w:rPr>
                <w:rFonts w:ascii="Arial" w:hAnsi="Arial" w:cs="Arial"/>
                <w:sz w:val="24"/>
                <w:szCs w:val="24"/>
              </w:rPr>
              <w:t>eribulin</w:t>
            </w:r>
            <w:proofErr w:type="spellEnd"/>
            <w:r w:rsidRPr="00FA3F9C">
              <w:rPr>
                <w:rFonts w:ascii="Arial" w:hAnsi="Arial" w:cs="Arial"/>
                <w:sz w:val="24"/>
                <w:szCs w:val="24"/>
              </w:rPr>
              <w:t xml:space="preserve"> group (13.1 </w:t>
            </w:r>
            <w:proofErr w:type="spellStart"/>
            <w:r w:rsidRPr="00FA3F9C">
              <w:rPr>
                <w:rFonts w:ascii="Arial" w:hAnsi="Arial" w:cs="Arial"/>
                <w:sz w:val="24"/>
                <w:szCs w:val="24"/>
              </w:rPr>
              <w:t>mo</w:t>
            </w:r>
            <w:proofErr w:type="spellEnd"/>
            <w:r w:rsidRPr="00FA3F9C">
              <w:rPr>
                <w:rFonts w:ascii="Arial" w:hAnsi="Arial" w:cs="Arial"/>
                <w:sz w:val="24"/>
                <w:szCs w:val="24"/>
              </w:rPr>
              <w:t xml:space="preserve"> vs 11.8 </w:t>
            </w:r>
            <w:proofErr w:type="spellStart"/>
            <w:proofErr w:type="gramStart"/>
            <w:r w:rsidRPr="00FA3F9C">
              <w:rPr>
                <w:rFonts w:ascii="Arial" w:hAnsi="Arial" w:cs="Arial"/>
                <w:sz w:val="24"/>
                <w:szCs w:val="24"/>
              </w:rPr>
              <w:t>mo</w:t>
            </w:r>
            <w:proofErr w:type="spellEnd"/>
            <w:r w:rsidRPr="00FA3F9C">
              <w:rPr>
                <w:rFonts w:ascii="Arial" w:hAnsi="Arial" w:cs="Arial"/>
                <w:sz w:val="24"/>
                <w:szCs w:val="24"/>
              </w:rPr>
              <w:t>;</w:t>
            </w:r>
            <w:proofErr w:type="gramEnd"/>
            <w:r w:rsidRPr="00FA3F9C">
              <w:rPr>
                <w:rFonts w:ascii="Arial" w:hAnsi="Arial" w:cs="Arial"/>
                <w:sz w:val="24"/>
                <w:szCs w:val="24"/>
              </w:rPr>
              <w:t xml:space="preserve"> HR 0.81, 95% CI 0.66-0.99).</w:t>
            </w:r>
            <w:r w:rsidRPr="00FA3F9C">
              <w:rPr>
                <w:rFonts w:ascii="Arial" w:hAnsi="Arial" w:cs="Arial"/>
                <w:sz w:val="24"/>
                <w:szCs w:val="24"/>
                <w:vertAlign w:val="superscript"/>
              </w:rPr>
              <w:t>1</w:t>
            </w:r>
            <w:r w:rsidRPr="00FA3F9C">
              <w:rPr>
                <w:rFonts w:ascii="Arial" w:hAnsi="Arial" w:cs="Arial"/>
                <w:sz w:val="24"/>
                <w:szCs w:val="24"/>
              </w:rPr>
              <w:t xml:space="preserve">  </w:t>
            </w:r>
          </w:p>
          <w:p w14:paraId="48C729A6" w14:textId="77777777" w:rsidR="002641D2" w:rsidRPr="00FA3F9C" w:rsidRDefault="002641D2" w:rsidP="00C44A31">
            <w:pPr>
              <w:rPr>
                <w:rFonts w:ascii="Arial" w:hAnsi="Arial" w:cs="Arial"/>
                <w:sz w:val="24"/>
                <w:szCs w:val="24"/>
              </w:rPr>
            </w:pPr>
          </w:p>
          <w:p w14:paraId="1B95A631" w14:textId="77777777" w:rsidR="002641D2" w:rsidRPr="00FA3F9C" w:rsidRDefault="002641D2" w:rsidP="00C44A31">
            <w:pPr>
              <w:rPr>
                <w:rFonts w:ascii="Arial" w:hAnsi="Arial" w:cs="Arial"/>
                <w:sz w:val="24"/>
                <w:szCs w:val="24"/>
              </w:rPr>
            </w:pPr>
            <w:proofErr w:type="spellStart"/>
            <w:r w:rsidRPr="00FA3F9C">
              <w:rPr>
                <w:rFonts w:ascii="Arial" w:hAnsi="Arial" w:cs="Arial"/>
                <w:sz w:val="24"/>
                <w:szCs w:val="24"/>
              </w:rPr>
              <w:t>Eribulin</w:t>
            </w:r>
            <w:proofErr w:type="spellEnd"/>
            <w:r w:rsidRPr="00FA3F9C">
              <w:rPr>
                <w:rFonts w:ascii="Arial" w:hAnsi="Arial" w:cs="Arial"/>
                <w:sz w:val="24"/>
                <w:szCs w:val="24"/>
              </w:rPr>
              <w:t xml:space="preserve"> was also compared directly to capecitabine in patients who had received 0-3 prior chemotherapy regimens that included anthracycline- and </w:t>
            </w:r>
            <w:proofErr w:type="spellStart"/>
            <w:r w:rsidRPr="00FA3F9C">
              <w:rPr>
                <w:rFonts w:ascii="Arial" w:hAnsi="Arial" w:cs="Arial"/>
                <w:sz w:val="24"/>
                <w:szCs w:val="24"/>
              </w:rPr>
              <w:t>taxane</w:t>
            </w:r>
            <w:proofErr w:type="spellEnd"/>
            <w:r w:rsidRPr="00FA3F9C">
              <w:rPr>
                <w:rFonts w:ascii="Arial" w:hAnsi="Arial" w:cs="Arial"/>
                <w:sz w:val="24"/>
                <w:szCs w:val="24"/>
              </w:rPr>
              <w:t xml:space="preserve">-based regimens. Median overall survival was not statistically improved in the </w:t>
            </w:r>
            <w:proofErr w:type="spellStart"/>
            <w:r w:rsidRPr="00FA3F9C">
              <w:rPr>
                <w:rFonts w:ascii="Arial" w:hAnsi="Arial" w:cs="Arial"/>
                <w:sz w:val="24"/>
                <w:szCs w:val="24"/>
              </w:rPr>
              <w:t>eribulin</w:t>
            </w:r>
            <w:proofErr w:type="spellEnd"/>
            <w:r w:rsidRPr="00FA3F9C">
              <w:rPr>
                <w:rFonts w:ascii="Arial" w:hAnsi="Arial" w:cs="Arial"/>
                <w:sz w:val="24"/>
                <w:szCs w:val="24"/>
              </w:rPr>
              <w:t xml:space="preserve"> arm (15.9 </w:t>
            </w:r>
            <w:proofErr w:type="spellStart"/>
            <w:r w:rsidRPr="00FA3F9C">
              <w:rPr>
                <w:rFonts w:ascii="Arial" w:hAnsi="Arial" w:cs="Arial"/>
                <w:sz w:val="24"/>
                <w:szCs w:val="24"/>
              </w:rPr>
              <w:t>mo</w:t>
            </w:r>
            <w:proofErr w:type="spellEnd"/>
            <w:r w:rsidRPr="00FA3F9C">
              <w:rPr>
                <w:rFonts w:ascii="Arial" w:hAnsi="Arial" w:cs="Arial"/>
                <w:sz w:val="24"/>
                <w:szCs w:val="24"/>
              </w:rPr>
              <w:t xml:space="preserve"> vs 14.5 </w:t>
            </w:r>
            <w:proofErr w:type="spellStart"/>
            <w:r w:rsidRPr="00FA3F9C">
              <w:rPr>
                <w:rFonts w:ascii="Arial" w:hAnsi="Arial" w:cs="Arial"/>
                <w:sz w:val="24"/>
                <w:szCs w:val="24"/>
              </w:rPr>
              <w:t>mo</w:t>
            </w:r>
            <w:proofErr w:type="spellEnd"/>
            <w:r w:rsidRPr="00FA3F9C">
              <w:rPr>
                <w:rFonts w:ascii="Arial" w:hAnsi="Arial" w:cs="Arial"/>
                <w:sz w:val="24"/>
                <w:szCs w:val="24"/>
              </w:rPr>
              <w:t>; HR 0.88, 95% CI 0.77-1.00; p=0.056). Quality of life scores were similar between groups.</w:t>
            </w:r>
            <w:r w:rsidRPr="00FA3F9C">
              <w:rPr>
                <w:rFonts w:ascii="Arial" w:hAnsi="Arial" w:cs="Arial"/>
                <w:sz w:val="24"/>
                <w:szCs w:val="24"/>
                <w:vertAlign w:val="superscript"/>
              </w:rPr>
              <w:t>2,3</w:t>
            </w:r>
          </w:p>
          <w:p w14:paraId="571553F5" w14:textId="77777777" w:rsidR="002641D2" w:rsidRPr="00FA3F9C" w:rsidRDefault="002641D2" w:rsidP="00C44A31">
            <w:pPr>
              <w:rPr>
                <w:rFonts w:ascii="Arial" w:hAnsi="Arial" w:cs="Arial"/>
                <w:sz w:val="24"/>
                <w:szCs w:val="24"/>
              </w:rPr>
            </w:pPr>
          </w:p>
          <w:p w14:paraId="6842B3A5" w14:textId="77777777" w:rsidR="002641D2" w:rsidRPr="00FA3F9C" w:rsidRDefault="002641D2" w:rsidP="00C44A31">
            <w:pPr>
              <w:rPr>
                <w:rFonts w:ascii="Arial" w:hAnsi="Arial" w:cs="Arial"/>
                <w:sz w:val="24"/>
                <w:szCs w:val="24"/>
              </w:rPr>
            </w:pPr>
            <w:r w:rsidRPr="00FA3F9C">
              <w:rPr>
                <w:rFonts w:ascii="Arial" w:hAnsi="Arial" w:cs="Arial"/>
                <w:sz w:val="24"/>
                <w:szCs w:val="24"/>
              </w:rPr>
              <w:lastRenderedPageBreak/>
              <w:t xml:space="preserve">Pooled analysis of the above two studies found an improvement in median overall survival in the </w:t>
            </w:r>
            <w:proofErr w:type="spellStart"/>
            <w:r w:rsidRPr="00FA3F9C">
              <w:rPr>
                <w:rFonts w:ascii="Arial" w:hAnsi="Arial" w:cs="Arial"/>
                <w:sz w:val="24"/>
                <w:szCs w:val="24"/>
              </w:rPr>
              <w:t>eribulin</w:t>
            </w:r>
            <w:proofErr w:type="spellEnd"/>
            <w:r w:rsidRPr="00FA3F9C">
              <w:rPr>
                <w:rFonts w:ascii="Arial" w:hAnsi="Arial" w:cs="Arial"/>
                <w:sz w:val="24"/>
                <w:szCs w:val="24"/>
              </w:rPr>
              <w:t xml:space="preserve"> group (15.2 </w:t>
            </w:r>
            <w:proofErr w:type="spellStart"/>
            <w:r w:rsidRPr="00FA3F9C">
              <w:rPr>
                <w:rFonts w:ascii="Arial" w:hAnsi="Arial" w:cs="Arial"/>
                <w:sz w:val="24"/>
                <w:szCs w:val="24"/>
              </w:rPr>
              <w:t>mo</w:t>
            </w:r>
            <w:proofErr w:type="spellEnd"/>
            <w:r w:rsidRPr="00FA3F9C">
              <w:rPr>
                <w:rFonts w:ascii="Arial" w:hAnsi="Arial" w:cs="Arial"/>
                <w:sz w:val="24"/>
                <w:szCs w:val="24"/>
              </w:rPr>
              <w:t xml:space="preserve"> vs 12.8 </w:t>
            </w:r>
            <w:proofErr w:type="spellStart"/>
            <w:r w:rsidRPr="00FA3F9C">
              <w:rPr>
                <w:rFonts w:ascii="Arial" w:hAnsi="Arial" w:cs="Arial"/>
                <w:sz w:val="24"/>
                <w:szCs w:val="24"/>
              </w:rPr>
              <w:t>mo</w:t>
            </w:r>
            <w:proofErr w:type="spellEnd"/>
            <w:r w:rsidRPr="00FA3F9C">
              <w:rPr>
                <w:rFonts w:ascii="Arial" w:hAnsi="Arial" w:cs="Arial"/>
                <w:sz w:val="24"/>
                <w:szCs w:val="24"/>
              </w:rPr>
              <w:t>; HR 0.85, 95% CI 0.76-0.94).</w:t>
            </w:r>
            <w:r w:rsidRPr="00FA3F9C">
              <w:rPr>
                <w:rFonts w:ascii="Arial" w:hAnsi="Arial" w:cs="Arial"/>
                <w:sz w:val="24"/>
                <w:szCs w:val="24"/>
                <w:vertAlign w:val="superscript"/>
              </w:rPr>
              <w:t>4</w:t>
            </w:r>
            <w:r w:rsidRPr="00FA3F9C">
              <w:rPr>
                <w:rFonts w:ascii="Arial" w:hAnsi="Arial" w:cs="Arial"/>
                <w:sz w:val="24"/>
                <w:szCs w:val="24"/>
              </w:rPr>
              <w:t xml:space="preserve"> A separate analysis including only patients who had received at least 1 prior therapy found an improvement in median overall survival in the </w:t>
            </w:r>
            <w:proofErr w:type="spellStart"/>
            <w:r w:rsidRPr="00FA3F9C">
              <w:rPr>
                <w:rFonts w:ascii="Arial" w:hAnsi="Arial" w:cs="Arial"/>
                <w:sz w:val="24"/>
                <w:szCs w:val="24"/>
              </w:rPr>
              <w:t>eribulin</w:t>
            </w:r>
            <w:proofErr w:type="spellEnd"/>
            <w:r w:rsidRPr="00FA3F9C">
              <w:rPr>
                <w:rFonts w:ascii="Arial" w:hAnsi="Arial" w:cs="Arial"/>
                <w:sz w:val="24"/>
                <w:szCs w:val="24"/>
              </w:rPr>
              <w:t xml:space="preserve"> group (15.2 </w:t>
            </w:r>
            <w:proofErr w:type="spellStart"/>
            <w:r w:rsidRPr="00FA3F9C">
              <w:rPr>
                <w:rFonts w:ascii="Arial" w:hAnsi="Arial" w:cs="Arial"/>
                <w:sz w:val="24"/>
                <w:szCs w:val="24"/>
              </w:rPr>
              <w:t>mo</w:t>
            </w:r>
            <w:proofErr w:type="spellEnd"/>
            <w:r w:rsidRPr="00FA3F9C">
              <w:rPr>
                <w:rFonts w:ascii="Arial" w:hAnsi="Arial" w:cs="Arial"/>
                <w:sz w:val="24"/>
                <w:szCs w:val="24"/>
              </w:rPr>
              <w:t xml:space="preserve"> vs 12.8 </w:t>
            </w:r>
            <w:proofErr w:type="spellStart"/>
            <w:r w:rsidRPr="00FA3F9C">
              <w:rPr>
                <w:rFonts w:ascii="Arial" w:hAnsi="Arial" w:cs="Arial"/>
                <w:sz w:val="24"/>
                <w:szCs w:val="24"/>
              </w:rPr>
              <w:t>mo</w:t>
            </w:r>
            <w:proofErr w:type="spellEnd"/>
            <w:r w:rsidRPr="00FA3F9C">
              <w:rPr>
                <w:rFonts w:ascii="Arial" w:hAnsi="Arial" w:cs="Arial"/>
                <w:sz w:val="24"/>
                <w:szCs w:val="24"/>
              </w:rPr>
              <w:t>; HR 0.85, 95% CI 0.77-0.95).</w:t>
            </w:r>
            <w:r w:rsidRPr="00FA3F9C">
              <w:rPr>
                <w:rFonts w:ascii="Arial" w:hAnsi="Arial" w:cs="Arial"/>
                <w:sz w:val="24"/>
                <w:szCs w:val="24"/>
                <w:vertAlign w:val="superscript"/>
              </w:rPr>
              <w:t>5</w:t>
            </w:r>
          </w:p>
          <w:p w14:paraId="61F2B262" w14:textId="77777777" w:rsidR="002641D2" w:rsidRPr="00FA3F9C" w:rsidRDefault="002641D2" w:rsidP="00C44A31">
            <w:pPr>
              <w:rPr>
                <w:rFonts w:ascii="Arial" w:hAnsi="Arial" w:cs="Arial"/>
                <w:sz w:val="24"/>
                <w:szCs w:val="24"/>
              </w:rPr>
            </w:pPr>
          </w:p>
          <w:p w14:paraId="36B23397" w14:textId="77777777" w:rsidR="002641D2" w:rsidRPr="00FA3F9C" w:rsidRDefault="002641D2" w:rsidP="00C44A31">
            <w:pPr>
              <w:rPr>
                <w:rFonts w:ascii="Arial" w:hAnsi="Arial" w:cs="Arial"/>
                <w:sz w:val="24"/>
                <w:szCs w:val="24"/>
              </w:rPr>
            </w:pPr>
            <w:r w:rsidRPr="00FA3F9C">
              <w:rPr>
                <w:rFonts w:ascii="Arial" w:hAnsi="Arial" w:cs="Arial"/>
                <w:sz w:val="24"/>
                <w:szCs w:val="24"/>
              </w:rPr>
              <w:t>Dose: 1.4 mg/m</w:t>
            </w:r>
            <w:r w:rsidRPr="00FA3F9C">
              <w:rPr>
                <w:rFonts w:ascii="Arial" w:hAnsi="Arial" w:cs="Arial"/>
                <w:sz w:val="24"/>
                <w:szCs w:val="24"/>
                <w:vertAlign w:val="superscript"/>
              </w:rPr>
              <w:t>2</w:t>
            </w:r>
            <w:r w:rsidRPr="00FA3F9C">
              <w:rPr>
                <w:rFonts w:ascii="Arial" w:hAnsi="Arial" w:cs="Arial"/>
                <w:sz w:val="24"/>
                <w:szCs w:val="24"/>
              </w:rPr>
              <w:t xml:space="preserve">  IV over 2-5 minutes on days 1 and 8 of a 21-day treatment cycle</w:t>
            </w:r>
          </w:p>
          <w:p w14:paraId="6D720776" w14:textId="77777777" w:rsidR="002641D2" w:rsidRPr="00FA3F9C" w:rsidRDefault="002641D2" w:rsidP="00C44A31">
            <w:pPr>
              <w:rPr>
                <w:rFonts w:ascii="Arial" w:hAnsi="Arial" w:cs="Arial"/>
                <w:sz w:val="24"/>
                <w:szCs w:val="24"/>
              </w:rPr>
            </w:pPr>
          </w:p>
          <w:p w14:paraId="4A953161" w14:textId="77777777" w:rsidR="002641D2" w:rsidRPr="00FA3F9C" w:rsidRDefault="002641D2" w:rsidP="00C44A31">
            <w:pPr>
              <w:rPr>
                <w:rFonts w:ascii="Arial" w:hAnsi="Arial" w:cs="Arial"/>
                <w:sz w:val="24"/>
                <w:szCs w:val="24"/>
              </w:rPr>
            </w:pPr>
            <w:r w:rsidRPr="00FA3F9C">
              <w:rPr>
                <w:rFonts w:ascii="Arial" w:hAnsi="Arial" w:cs="Arial"/>
                <w:sz w:val="24"/>
                <w:szCs w:val="24"/>
              </w:rPr>
              <w:t>Approximate cost per cycle of therapy (will vary based on BSA): $5,800 (average sales price, 12/6/19)</w:t>
            </w:r>
          </w:p>
          <w:p w14:paraId="58942549" w14:textId="77777777" w:rsidR="002641D2" w:rsidRPr="00FA3F9C" w:rsidRDefault="002641D2" w:rsidP="00C44A31">
            <w:pPr>
              <w:rPr>
                <w:rFonts w:ascii="Arial" w:hAnsi="Arial" w:cs="Arial"/>
                <w:sz w:val="24"/>
                <w:szCs w:val="24"/>
              </w:rPr>
            </w:pPr>
          </w:p>
          <w:p w14:paraId="4667538F" w14:textId="77777777" w:rsidR="002641D2" w:rsidRPr="00FA3F9C" w:rsidRDefault="002641D2" w:rsidP="00C44A31">
            <w:pPr>
              <w:rPr>
                <w:rFonts w:ascii="Arial" w:hAnsi="Arial" w:cs="Arial"/>
                <w:sz w:val="24"/>
                <w:szCs w:val="24"/>
              </w:rPr>
            </w:pPr>
            <w:r w:rsidRPr="00FA3F9C">
              <w:rPr>
                <w:rFonts w:ascii="Arial" w:hAnsi="Arial" w:cs="Arial"/>
                <w:sz w:val="24"/>
                <w:szCs w:val="24"/>
              </w:rPr>
              <w:t>REFERENCES:</w:t>
            </w:r>
          </w:p>
          <w:p w14:paraId="04FD8053" w14:textId="77777777" w:rsidR="002641D2" w:rsidRPr="00FA3F9C" w:rsidRDefault="002641D2" w:rsidP="002641D2">
            <w:pPr>
              <w:pStyle w:val="ListParagraph"/>
              <w:numPr>
                <w:ilvl w:val="0"/>
                <w:numId w:val="176"/>
              </w:numPr>
              <w:spacing w:after="160" w:line="259" w:lineRule="auto"/>
              <w:ind w:left="180" w:hanging="180"/>
              <w:rPr>
                <w:rFonts w:ascii="Arial" w:hAnsi="Arial" w:cs="Arial"/>
                <w:sz w:val="24"/>
                <w:szCs w:val="24"/>
              </w:rPr>
            </w:pPr>
            <w:r w:rsidRPr="00FA3F9C">
              <w:rPr>
                <w:rFonts w:ascii="Arial" w:hAnsi="Arial" w:cs="Arial"/>
                <w:sz w:val="24"/>
                <w:szCs w:val="24"/>
              </w:rPr>
              <w:t xml:space="preserve">1.  Cortes J et al. </w:t>
            </w:r>
            <w:proofErr w:type="spellStart"/>
            <w:r w:rsidRPr="00FA3F9C">
              <w:rPr>
                <w:rFonts w:ascii="Arial" w:hAnsi="Arial" w:cs="Arial"/>
                <w:sz w:val="24"/>
                <w:szCs w:val="24"/>
              </w:rPr>
              <w:t>Eribulin</w:t>
            </w:r>
            <w:proofErr w:type="spellEnd"/>
            <w:r w:rsidRPr="00FA3F9C">
              <w:rPr>
                <w:rFonts w:ascii="Arial" w:hAnsi="Arial" w:cs="Arial"/>
                <w:sz w:val="24"/>
                <w:szCs w:val="24"/>
              </w:rPr>
              <w:t xml:space="preserve"> monotherapy versus treatment of physician's choice in patients with metastatic breast cancer (</w:t>
            </w:r>
            <w:r w:rsidRPr="00FA3F9C">
              <w:rPr>
                <w:rFonts w:ascii="Arial" w:hAnsi="Arial" w:cs="Arial"/>
                <w:b/>
                <w:sz w:val="24"/>
                <w:szCs w:val="24"/>
              </w:rPr>
              <w:t>EMBRACE</w:t>
            </w:r>
            <w:r w:rsidRPr="00FA3F9C">
              <w:rPr>
                <w:rFonts w:ascii="Arial" w:hAnsi="Arial" w:cs="Arial"/>
                <w:sz w:val="24"/>
                <w:szCs w:val="24"/>
              </w:rPr>
              <w:t xml:space="preserve">): a phase 3 open-label </w:t>
            </w:r>
            <w:proofErr w:type="spellStart"/>
            <w:r w:rsidRPr="00FA3F9C">
              <w:rPr>
                <w:rFonts w:ascii="Arial" w:hAnsi="Arial" w:cs="Arial"/>
                <w:sz w:val="24"/>
                <w:szCs w:val="24"/>
              </w:rPr>
              <w:t>randomised</w:t>
            </w:r>
            <w:proofErr w:type="spellEnd"/>
            <w:r w:rsidRPr="00FA3F9C">
              <w:rPr>
                <w:rFonts w:ascii="Arial" w:hAnsi="Arial" w:cs="Arial"/>
                <w:sz w:val="24"/>
                <w:szCs w:val="24"/>
              </w:rPr>
              <w:t xml:space="preserve"> study. Lancet. 2011 Mar 12;377(9769):914-23. </w:t>
            </w:r>
            <w:proofErr w:type="spellStart"/>
            <w:r w:rsidRPr="00FA3F9C">
              <w:rPr>
                <w:rFonts w:ascii="Arial" w:hAnsi="Arial" w:cs="Arial"/>
                <w:sz w:val="24"/>
                <w:szCs w:val="24"/>
              </w:rPr>
              <w:t>doi</w:t>
            </w:r>
            <w:proofErr w:type="spellEnd"/>
            <w:r w:rsidRPr="00FA3F9C">
              <w:rPr>
                <w:rFonts w:ascii="Arial" w:hAnsi="Arial" w:cs="Arial"/>
                <w:sz w:val="24"/>
                <w:szCs w:val="24"/>
              </w:rPr>
              <w:t xml:space="preserve">: 10.1016/S0140-6736(11)60070-6. </w:t>
            </w:r>
            <w:proofErr w:type="spellStart"/>
            <w:r w:rsidRPr="00FA3F9C">
              <w:rPr>
                <w:rFonts w:ascii="Arial" w:hAnsi="Arial" w:cs="Arial"/>
                <w:sz w:val="24"/>
                <w:szCs w:val="24"/>
              </w:rPr>
              <w:t>Epub</w:t>
            </w:r>
            <w:proofErr w:type="spellEnd"/>
            <w:r w:rsidRPr="00FA3F9C">
              <w:rPr>
                <w:rFonts w:ascii="Arial" w:hAnsi="Arial" w:cs="Arial"/>
                <w:sz w:val="24"/>
                <w:szCs w:val="24"/>
              </w:rPr>
              <w:t xml:space="preserve"> 2011 Mar 2. PMID 21376385 NCT00388726</w:t>
            </w:r>
          </w:p>
          <w:p w14:paraId="0C30AECC" w14:textId="77777777" w:rsidR="002641D2" w:rsidRPr="00FA3F9C" w:rsidRDefault="002641D2" w:rsidP="002641D2">
            <w:pPr>
              <w:pStyle w:val="ListParagraph"/>
              <w:numPr>
                <w:ilvl w:val="0"/>
                <w:numId w:val="176"/>
              </w:numPr>
              <w:spacing w:after="160" w:line="259" w:lineRule="auto"/>
              <w:ind w:left="180" w:hanging="180"/>
              <w:rPr>
                <w:rFonts w:ascii="Arial" w:hAnsi="Arial" w:cs="Arial"/>
                <w:sz w:val="24"/>
                <w:szCs w:val="24"/>
              </w:rPr>
            </w:pPr>
            <w:r w:rsidRPr="00FA3F9C">
              <w:rPr>
                <w:rFonts w:ascii="Arial" w:hAnsi="Arial" w:cs="Arial"/>
                <w:sz w:val="24"/>
                <w:szCs w:val="24"/>
              </w:rPr>
              <w:t xml:space="preserve">Kaufman PA et al. Phase III open-label randomized study of </w:t>
            </w:r>
            <w:proofErr w:type="spellStart"/>
            <w:r w:rsidRPr="00FA3F9C">
              <w:rPr>
                <w:rFonts w:ascii="Arial" w:hAnsi="Arial" w:cs="Arial"/>
                <w:sz w:val="24"/>
                <w:szCs w:val="24"/>
              </w:rPr>
              <w:t>eribulin</w:t>
            </w:r>
            <w:proofErr w:type="spellEnd"/>
            <w:r w:rsidRPr="00FA3F9C">
              <w:rPr>
                <w:rFonts w:ascii="Arial" w:hAnsi="Arial" w:cs="Arial"/>
                <w:sz w:val="24"/>
                <w:szCs w:val="24"/>
              </w:rPr>
              <w:t xml:space="preserve"> mesylate versus </w:t>
            </w:r>
            <w:r w:rsidRPr="00FA3F9C">
              <w:rPr>
                <w:rFonts w:ascii="Arial" w:hAnsi="Arial" w:cs="Arial"/>
                <w:b/>
                <w:sz w:val="24"/>
                <w:szCs w:val="24"/>
              </w:rPr>
              <w:t>capecitabine</w:t>
            </w:r>
            <w:r w:rsidRPr="00FA3F9C">
              <w:rPr>
                <w:rFonts w:ascii="Arial" w:hAnsi="Arial" w:cs="Arial"/>
                <w:sz w:val="24"/>
                <w:szCs w:val="24"/>
              </w:rPr>
              <w:t xml:space="preserve"> in patients with locally advanced or metastatic breast cancer previously treated with an anthracycline and a </w:t>
            </w:r>
            <w:proofErr w:type="spellStart"/>
            <w:r w:rsidRPr="00FA3F9C">
              <w:rPr>
                <w:rFonts w:ascii="Arial" w:hAnsi="Arial" w:cs="Arial"/>
                <w:sz w:val="24"/>
                <w:szCs w:val="24"/>
              </w:rPr>
              <w:t>taxane</w:t>
            </w:r>
            <w:proofErr w:type="spellEnd"/>
            <w:r w:rsidRPr="00FA3F9C">
              <w:rPr>
                <w:rFonts w:ascii="Arial" w:hAnsi="Arial" w:cs="Arial"/>
                <w:sz w:val="24"/>
                <w:szCs w:val="24"/>
              </w:rPr>
              <w:t xml:space="preserve">. J Clin Oncol. 2015 Feb 20;33(6):594-601. </w:t>
            </w:r>
            <w:proofErr w:type="spellStart"/>
            <w:r w:rsidRPr="00FA3F9C">
              <w:rPr>
                <w:rFonts w:ascii="Arial" w:hAnsi="Arial" w:cs="Arial"/>
                <w:sz w:val="24"/>
                <w:szCs w:val="24"/>
              </w:rPr>
              <w:t>doi</w:t>
            </w:r>
            <w:proofErr w:type="spellEnd"/>
            <w:r w:rsidRPr="00FA3F9C">
              <w:rPr>
                <w:rFonts w:ascii="Arial" w:hAnsi="Arial" w:cs="Arial"/>
                <w:sz w:val="24"/>
                <w:szCs w:val="24"/>
              </w:rPr>
              <w:t xml:space="preserve">: 10.1200/JCO.2013.52.4892. </w:t>
            </w:r>
            <w:proofErr w:type="spellStart"/>
            <w:r w:rsidRPr="00FA3F9C">
              <w:rPr>
                <w:rFonts w:ascii="Arial" w:hAnsi="Arial" w:cs="Arial"/>
                <w:sz w:val="24"/>
                <w:szCs w:val="24"/>
              </w:rPr>
              <w:t>Epub</w:t>
            </w:r>
            <w:proofErr w:type="spellEnd"/>
            <w:r w:rsidRPr="00FA3F9C">
              <w:rPr>
                <w:rFonts w:ascii="Arial" w:hAnsi="Arial" w:cs="Arial"/>
                <w:sz w:val="24"/>
                <w:szCs w:val="24"/>
              </w:rPr>
              <w:t xml:space="preserve"> 2015 Jan 20. PMID 25605862 NCT00337103</w:t>
            </w:r>
          </w:p>
          <w:p w14:paraId="42AE75E4" w14:textId="77777777" w:rsidR="002641D2" w:rsidRPr="00FA3F9C" w:rsidRDefault="002641D2" w:rsidP="002641D2">
            <w:pPr>
              <w:pStyle w:val="ListParagraph"/>
              <w:numPr>
                <w:ilvl w:val="0"/>
                <w:numId w:val="176"/>
              </w:numPr>
              <w:spacing w:after="160" w:line="259" w:lineRule="auto"/>
              <w:ind w:left="180" w:hanging="180"/>
              <w:rPr>
                <w:rFonts w:ascii="Arial" w:hAnsi="Arial" w:cs="Arial"/>
                <w:sz w:val="24"/>
                <w:szCs w:val="24"/>
              </w:rPr>
            </w:pPr>
            <w:r w:rsidRPr="00FA3F9C">
              <w:rPr>
                <w:rFonts w:ascii="Arial" w:hAnsi="Arial" w:cs="Arial"/>
                <w:sz w:val="24"/>
                <w:szCs w:val="24"/>
              </w:rPr>
              <w:t xml:space="preserve">Cortes J et al. Health-related </w:t>
            </w:r>
            <w:r w:rsidRPr="00FA3F9C">
              <w:rPr>
                <w:rFonts w:ascii="Arial" w:hAnsi="Arial" w:cs="Arial"/>
                <w:b/>
                <w:sz w:val="24"/>
                <w:szCs w:val="24"/>
              </w:rPr>
              <w:t>quality of life</w:t>
            </w:r>
            <w:r w:rsidRPr="00FA3F9C">
              <w:rPr>
                <w:rFonts w:ascii="Arial" w:hAnsi="Arial" w:cs="Arial"/>
                <w:sz w:val="24"/>
                <w:szCs w:val="24"/>
              </w:rPr>
              <w:t xml:space="preserve"> in patients with locally advanced or metastatic breast cancer treated with </w:t>
            </w:r>
            <w:proofErr w:type="spellStart"/>
            <w:r w:rsidRPr="00FA3F9C">
              <w:rPr>
                <w:rFonts w:ascii="Arial" w:hAnsi="Arial" w:cs="Arial"/>
                <w:sz w:val="24"/>
                <w:szCs w:val="24"/>
              </w:rPr>
              <w:t>eribulin</w:t>
            </w:r>
            <w:proofErr w:type="spellEnd"/>
            <w:r w:rsidRPr="00FA3F9C">
              <w:rPr>
                <w:rFonts w:ascii="Arial" w:hAnsi="Arial" w:cs="Arial"/>
                <w:sz w:val="24"/>
                <w:szCs w:val="24"/>
              </w:rPr>
              <w:t xml:space="preserve"> mesylate or capecitabine in an open-label randomized phase 3 trial. Breast Cancer Res Treat. 2015 Dec;154(3):509-20. </w:t>
            </w:r>
            <w:proofErr w:type="spellStart"/>
            <w:r w:rsidRPr="00FA3F9C">
              <w:rPr>
                <w:rFonts w:ascii="Arial" w:hAnsi="Arial" w:cs="Arial"/>
                <w:sz w:val="24"/>
                <w:szCs w:val="24"/>
              </w:rPr>
              <w:t>doi</w:t>
            </w:r>
            <w:proofErr w:type="spellEnd"/>
            <w:r w:rsidRPr="00FA3F9C">
              <w:rPr>
                <w:rFonts w:ascii="Arial" w:hAnsi="Arial" w:cs="Arial"/>
                <w:sz w:val="24"/>
                <w:szCs w:val="24"/>
              </w:rPr>
              <w:t xml:space="preserve">: 10.1007/s10549-015-3633-7. </w:t>
            </w:r>
            <w:proofErr w:type="spellStart"/>
            <w:r w:rsidRPr="00FA3F9C">
              <w:rPr>
                <w:rFonts w:ascii="Arial" w:hAnsi="Arial" w:cs="Arial"/>
                <w:sz w:val="24"/>
                <w:szCs w:val="24"/>
              </w:rPr>
              <w:t>Epub</w:t>
            </w:r>
            <w:proofErr w:type="spellEnd"/>
            <w:r w:rsidRPr="00FA3F9C">
              <w:rPr>
                <w:rFonts w:ascii="Arial" w:hAnsi="Arial" w:cs="Arial"/>
                <w:sz w:val="24"/>
                <w:szCs w:val="24"/>
              </w:rPr>
              <w:t xml:space="preserve"> 2015 Nov 14. PMID 26567010</w:t>
            </w:r>
          </w:p>
          <w:p w14:paraId="39ED84FE" w14:textId="77777777" w:rsidR="002641D2" w:rsidRPr="00FA3F9C" w:rsidRDefault="002641D2" w:rsidP="002641D2">
            <w:pPr>
              <w:pStyle w:val="ListParagraph"/>
              <w:numPr>
                <w:ilvl w:val="0"/>
                <w:numId w:val="176"/>
              </w:numPr>
              <w:spacing w:after="160" w:line="259" w:lineRule="auto"/>
              <w:ind w:left="180" w:hanging="180"/>
              <w:rPr>
                <w:rFonts w:ascii="Arial" w:hAnsi="Arial" w:cs="Arial"/>
                <w:sz w:val="24"/>
                <w:szCs w:val="24"/>
              </w:rPr>
            </w:pPr>
            <w:r w:rsidRPr="00FA3F9C">
              <w:rPr>
                <w:rFonts w:ascii="Arial" w:hAnsi="Arial" w:cs="Arial"/>
                <w:sz w:val="24"/>
                <w:szCs w:val="24"/>
              </w:rPr>
              <w:t xml:space="preserve">Twelves C et al. Efficacy of </w:t>
            </w:r>
            <w:proofErr w:type="spellStart"/>
            <w:r w:rsidRPr="00FA3F9C">
              <w:rPr>
                <w:rFonts w:ascii="Arial" w:hAnsi="Arial" w:cs="Arial"/>
                <w:sz w:val="24"/>
                <w:szCs w:val="24"/>
              </w:rPr>
              <w:t>eribulin</w:t>
            </w:r>
            <w:proofErr w:type="spellEnd"/>
            <w:r w:rsidRPr="00FA3F9C">
              <w:rPr>
                <w:rFonts w:ascii="Arial" w:hAnsi="Arial" w:cs="Arial"/>
                <w:sz w:val="24"/>
                <w:szCs w:val="24"/>
              </w:rPr>
              <w:t xml:space="preserve"> in women with metastatic breast cancer: a </w:t>
            </w:r>
            <w:r w:rsidRPr="00FA3F9C">
              <w:rPr>
                <w:rFonts w:ascii="Arial" w:hAnsi="Arial" w:cs="Arial"/>
                <w:b/>
                <w:sz w:val="24"/>
                <w:szCs w:val="24"/>
              </w:rPr>
              <w:t>pooled analysis</w:t>
            </w:r>
            <w:r w:rsidRPr="00FA3F9C">
              <w:rPr>
                <w:rFonts w:ascii="Arial" w:hAnsi="Arial" w:cs="Arial"/>
                <w:sz w:val="24"/>
                <w:szCs w:val="24"/>
              </w:rPr>
              <w:t xml:space="preserve"> of two phase 3 studies. Breast Cancer Res Treat. 2014 Dec;148(3):553-61. </w:t>
            </w:r>
            <w:proofErr w:type="spellStart"/>
            <w:r w:rsidRPr="00FA3F9C">
              <w:rPr>
                <w:rFonts w:ascii="Arial" w:hAnsi="Arial" w:cs="Arial"/>
                <w:sz w:val="24"/>
                <w:szCs w:val="24"/>
              </w:rPr>
              <w:t>doi</w:t>
            </w:r>
            <w:proofErr w:type="spellEnd"/>
            <w:r w:rsidRPr="00FA3F9C">
              <w:rPr>
                <w:rFonts w:ascii="Arial" w:hAnsi="Arial" w:cs="Arial"/>
                <w:sz w:val="24"/>
                <w:szCs w:val="24"/>
              </w:rPr>
              <w:t xml:space="preserve">: 10.1007/s10549-014-3144-y. </w:t>
            </w:r>
            <w:proofErr w:type="spellStart"/>
            <w:r w:rsidRPr="00FA3F9C">
              <w:rPr>
                <w:rFonts w:ascii="Arial" w:hAnsi="Arial" w:cs="Arial"/>
                <w:sz w:val="24"/>
                <w:szCs w:val="24"/>
              </w:rPr>
              <w:t>Epub</w:t>
            </w:r>
            <w:proofErr w:type="spellEnd"/>
            <w:r w:rsidRPr="00FA3F9C">
              <w:rPr>
                <w:rFonts w:ascii="Arial" w:hAnsi="Arial" w:cs="Arial"/>
                <w:sz w:val="24"/>
                <w:szCs w:val="24"/>
              </w:rPr>
              <w:t xml:space="preserve"> 2014 Nov 8. PMID 25381136 </w:t>
            </w:r>
          </w:p>
          <w:p w14:paraId="6813E3F4" w14:textId="77777777" w:rsidR="002641D2" w:rsidRPr="00FA3F9C" w:rsidRDefault="002641D2" w:rsidP="002641D2">
            <w:pPr>
              <w:pStyle w:val="ListParagraph"/>
              <w:numPr>
                <w:ilvl w:val="0"/>
                <w:numId w:val="176"/>
              </w:numPr>
              <w:spacing w:after="160" w:line="259" w:lineRule="auto"/>
              <w:ind w:left="180" w:hanging="180"/>
              <w:rPr>
                <w:rFonts w:ascii="Arial" w:hAnsi="Arial" w:cs="Arial"/>
                <w:sz w:val="24"/>
                <w:szCs w:val="24"/>
              </w:rPr>
            </w:pPr>
            <w:r w:rsidRPr="00FA3F9C">
              <w:rPr>
                <w:rFonts w:ascii="Arial" w:hAnsi="Arial" w:cs="Arial"/>
                <w:sz w:val="24"/>
                <w:szCs w:val="24"/>
              </w:rPr>
              <w:t xml:space="preserve">Pivot X et al. </w:t>
            </w:r>
            <w:r w:rsidRPr="00FA3F9C">
              <w:rPr>
                <w:rFonts w:ascii="Arial" w:hAnsi="Arial" w:cs="Arial"/>
                <w:b/>
                <w:sz w:val="24"/>
                <w:szCs w:val="24"/>
              </w:rPr>
              <w:t>Pooled analyses</w:t>
            </w:r>
            <w:r w:rsidRPr="00FA3F9C">
              <w:rPr>
                <w:rFonts w:ascii="Arial" w:hAnsi="Arial" w:cs="Arial"/>
                <w:sz w:val="24"/>
                <w:szCs w:val="24"/>
              </w:rPr>
              <w:t xml:space="preserve"> of </w:t>
            </w:r>
            <w:proofErr w:type="spellStart"/>
            <w:r w:rsidRPr="00FA3F9C">
              <w:rPr>
                <w:rFonts w:ascii="Arial" w:hAnsi="Arial" w:cs="Arial"/>
                <w:sz w:val="24"/>
                <w:szCs w:val="24"/>
              </w:rPr>
              <w:t>eribulin</w:t>
            </w:r>
            <w:proofErr w:type="spellEnd"/>
            <w:r w:rsidRPr="00FA3F9C">
              <w:rPr>
                <w:rFonts w:ascii="Arial" w:hAnsi="Arial" w:cs="Arial"/>
                <w:sz w:val="24"/>
                <w:szCs w:val="24"/>
              </w:rPr>
              <w:t xml:space="preserve"> in metastatic breast cancer patients with at least one prior chemotherapy. Ann Oncol. 2016 Aug;27(8):1525-31. </w:t>
            </w:r>
            <w:proofErr w:type="spellStart"/>
            <w:r w:rsidRPr="00FA3F9C">
              <w:rPr>
                <w:rFonts w:ascii="Arial" w:hAnsi="Arial" w:cs="Arial"/>
                <w:sz w:val="24"/>
                <w:szCs w:val="24"/>
              </w:rPr>
              <w:t>doi</w:t>
            </w:r>
            <w:proofErr w:type="spellEnd"/>
            <w:r w:rsidRPr="00FA3F9C">
              <w:rPr>
                <w:rFonts w:ascii="Arial" w:hAnsi="Arial" w:cs="Arial"/>
                <w:sz w:val="24"/>
                <w:szCs w:val="24"/>
              </w:rPr>
              <w:t>: 10.1093/</w:t>
            </w:r>
            <w:proofErr w:type="spellStart"/>
            <w:r w:rsidRPr="00FA3F9C">
              <w:rPr>
                <w:rFonts w:ascii="Arial" w:hAnsi="Arial" w:cs="Arial"/>
                <w:sz w:val="24"/>
                <w:szCs w:val="24"/>
              </w:rPr>
              <w:t>annonc</w:t>
            </w:r>
            <w:proofErr w:type="spellEnd"/>
            <w:r w:rsidRPr="00FA3F9C">
              <w:rPr>
                <w:rFonts w:ascii="Arial" w:hAnsi="Arial" w:cs="Arial"/>
                <w:sz w:val="24"/>
                <w:szCs w:val="24"/>
              </w:rPr>
              <w:t xml:space="preserve">/mdw203. </w:t>
            </w:r>
            <w:proofErr w:type="spellStart"/>
            <w:r w:rsidRPr="00FA3F9C">
              <w:rPr>
                <w:rFonts w:ascii="Arial" w:hAnsi="Arial" w:cs="Arial"/>
                <w:sz w:val="24"/>
                <w:szCs w:val="24"/>
              </w:rPr>
              <w:t>Epub</w:t>
            </w:r>
            <w:proofErr w:type="spellEnd"/>
            <w:r w:rsidRPr="00FA3F9C">
              <w:rPr>
                <w:rFonts w:ascii="Arial" w:hAnsi="Arial" w:cs="Arial"/>
                <w:sz w:val="24"/>
                <w:szCs w:val="24"/>
              </w:rPr>
              <w:t xml:space="preserve"> 2016 May 13. PMID 27177860</w:t>
            </w:r>
          </w:p>
        </w:tc>
      </w:tr>
    </w:tbl>
    <w:p w14:paraId="1A809E1E" w14:textId="77777777" w:rsidR="002641D2" w:rsidRPr="00FA3F9C" w:rsidRDefault="002641D2" w:rsidP="008B48E4">
      <w:pPr>
        <w:spacing w:after="0"/>
        <w:rPr>
          <w:rFonts w:ascii="Arial" w:hAnsi="Arial" w:cs="Arial"/>
          <w:b/>
          <w:sz w:val="24"/>
          <w:szCs w:val="24"/>
          <w:u w:val="single"/>
        </w:rPr>
      </w:pPr>
    </w:p>
    <w:p w14:paraId="533EA9FB" w14:textId="77777777" w:rsidR="002641D2" w:rsidRPr="00FA3F9C" w:rsidRDefault="002641D2" w:rsidP="008B48E4">
      <w:pPr>
        <w:spacing w:after="0"/>
        <w:rPr>
          <w:rFonts w:ascii="Arial" w:hAnsi="Arial" w:cs="Arial"/>
          <w:sz w:val="24"/>
          <w:szCs w:val="24"/>
        </w:rPr>
      </w:pPr>
    </w:p>
    <w:p w14:paraId="260BEE28" w14:textId="77777777" w:rsidR="002641D2" w:rsidRPr="00FA3F9C" w:rsidRDefault="002641D2" w:rsidP="008B48E4">
      <w:pPr>
        <w:spacing w:after="0"/>
        <w:rPr>
          <w:rFonts w:ascii="Arial" w:hAnsi="Arial" w:cs="Arial"/>
          <w:sz w:val="24"/>
          <w:szCs w:val="24"/>
        </w:rPr>
      </w:pPr>
    </w:p>
    <w:tbl>
      <w:tblPr>
        <w:tblStyle w:val="TableGrid"/>
        <w:tblW w:w="0" w:type="auto"/>
        <w:tblLook w:val="04A0" w:firstRow="1" w:lastRow="0" w:firstColumn="1" w:lastColumn="0" w:noHBand="0" w:noVBand="1"/>
      </w:tblPr>
      <w:tblGrid>
        <w:gridCol w:w="8746"/>
        <w:gridCol w:w="2044"/>
      </w:tblGrid>
      <w:tr w:rsidR="002641D2" w:rsidRPr="00FA3F9C" w14:paraId="176308CA" w14:textId="77777777" w:rsidTr="00BB5F56">
        <w:tc>
          <w:tcPr>
            <w:tcW w:w="8746" w:type="dxa"/>
            <w:shd w:val="clear" w:color="auto" w:fill="000000"/>
          </w:tcPr>
          <w:p w14:paraId="32BC448E" w14:textId="77777777" w:rsidR="002641D2" w:rsidRPr="00FA3F9C" w:rsidRDefault="002641D2" w:rsidP="00BB5F56">
            <w:pPr>
              <w:rPr>
                <w:rFonts w:ascii="Arial" w:hAnsi="Arial" w:cs="Arial"/>
                <w:b/>
                <w:sz w:val="24"/>
                <w:szCs w:val="24"/>
                <w:u w:val="single"/>
              </w:rPr>
            </w:pPr>
            <w:r w:rsidRPr="00FA3F9C">
              <w:rPr>
                <w:rFonts w:ascii="Arial" w:hAnsi="Arial" w:cs="Arial"/>
                <w:b/>
                <w:sz w:val="24"/>
                <w:szCs w:val="24"/>
                <w:u w:val="single"/>
              </w:rPr>
              <w:t>Liposarcoma</w:t>
            </w:r>
          </w:p>
        </w:tc>
        <w:tc>
          <w:tcPr>
            <w:tcW w:w="2044" w:type="dxa"/>
            <w:shd w:val="clear" w:color="auto" w:fill="000000"/>
          </w:tcPr>
          <w:p w14:paraId="7B9ED51F" w14:textId="77777777" w:rsidR="002641D2" w:rsidRPr="00FA3F9C" w:rsidRDefault="002641D2" w:rsidP="00BB5F56">
            <w:pPr>
              <w:jc w:val="center"/>
              <w:rPr>
                <w:rFonts w:ascii="Arial" w:hAnsi="Arial" w:cs="Arial"/>
                <w:b/>
                <w:sz w:val="24"/>
                <w:szCs w:val="24"/>
                <w:u w:val="single"/>
              </w:rPr>
            </w:pPr>
          </w:p>
        </w:tc>
      </w:tr>
      <w:tr w:rsidR="002641D2" w:rsidRPr="00FA3F9C" w14:paraId="4EB00DA9" w14:textId="77777777" w:rsidTr="00BB5F56">
        <w:tc>
          <w:tcPr>
            <w:tcW w:w="10790" w:type="dxa"/>
            <w:gridSpan w:val="2"/>
            <w:vAlign w:val="center"/>
          </w:tcPr>
          <w:p w14:paraId="4D54F10B" w14:textId="77777777" w:rsidR="002641D2" w:rsidRPr="00FA3F9C" w:rsidRDefault="002641D2" w:rsidP="002641D2">
            <w:pPr>
              <w:pStyle w:val="ListParagraph"/>
              <w:numPr>
                <w:ilvl w:val="0"/>
                <w:numId w:val="174"/>
              </w:numPr>
              <w:spacing w:line="276" w:lineRule="auto"/>
              <w:ind w:left="249" w:hanging="249"/>
              <w:rPr>
                <w:rFonts w:ascii="Arial" w:hAnsi="Arial" w:cs="Arial"/>
                <w:sz w:val="24"/>
                <w:szCs w:val="24"/>
              </w:rPr>
            </w:pPr>
            <w:r w:rsidRPr="00FA3F9C">
              <w:rPr>
                <w:rFonts w:ascii="Arial" w:hAnsi="Arial" w:cs="Arial"/>
                <w:sz w:val="24"/>
                <w:szCs w:val="24"/>
              </w:rPr>
              <w:t>Diagnosis of metastatic or unresectable liposarcoma</w:t>
            </w:r>
          </w:p>
        </w:tc>
      </w:tr>
      <w:tr w:rsidR="002641D2" w:rsidRPr="00FA3F9C" w14:paraId="16392BB3" w14:textId="77777777" w:rsidTr="00BB5F56">
        <w:tc>
          <w:tcPr>
            <w:tcW w:w="10790" w:type="dxa"/>
            <w:gridSpan w:val="2"/>
            <w:vAlign w:val="center"/>
          </w:tcPr>
          <w:p w14:paraId="5308DDFE" w14:textId="77777777" w:rsidR="002641D2" w:rsidRPr="00FA3F9C" w:rsidRDefault="002641D2" w:rsidP="002641D2">
            <w:pPr>
              <w:pStyle w:val="ListParagraph"/>
              <w:numPr>
                <w:ilvl w:val="0"/>
                <w:numId w:val="174"/>
              </w:numPr>
              <w:spacing w:line="276" w:lineRule="auto"/>
              <w:ind w:left="249" w:hanging="249"/>
              <w:rPr>
                <w:rFonts w:ascii="Arial" w:hAnsi="Arial" w:cs="Arial"/>
                <w:sz w:val="24"/>
                <w:szCs w:val="24"/>
              </w:rPr>
            </w:pPr>
            <w:r w:rsidRPr="00FA3F9C">
              <w:rPr>
                <w:rFonts w:ascii="Arial" w:hAnsi="Arial" w:cs="Arial"/>
                <w:sz w:val="24"/>
                <w:szCs w:val="24"/>
              </w:rPr>
              <w:t xml:space="preserve">Prior treatment of metastatic or unresectable disease with an anthracycline-containing regimen (such as </w:t>
            </w:r>
            <w:proofErr w:type="spellStart"/>
            <w:r w:rsidRPr="00FA3F9C">
              <w:rPr>
                <w:rFonts w:ascii="Arial" w:hAnsi="Arial" w:cs="Arial"/>
                <w:sz w:val="24"/>
                <w:szCs w:val="24"/>
              </w:rPr>
              <w:t>epirubicin</w:t>
            </w:r>
            <w:proofErr w:type="spellEnd"/>
            <w:r w:rsidRPr="00FA3F9C">
              <w:rPr>
                <w:rFonts w:ascii="Arial" w:hAnsi="Arial" w:cs="Arial"/>
                <w:sz w:val="24"/>
                <w:szCs w:val="24"/>
              </w:rPr>
              <w:t xml:space="preserve"> or doxorubicin)</w:t>
            </w:r>
          </w:p>
        </w:tc>
      </w:tr>
      <w:tr w:rsidR="002641D2" w:rsidRPr="00FA3F9C" w14:paraId="11E22479" w14:textId="77777777" w:rsidTr="00BB5F56">
        <w:tc>
          <w:tcPr>
            <w:tcW w:w="10790" w:type="dxa"/>
            <w:gridSpan w:val="2"/>
            <w:shd w:val="clear" w:color="auto" w:fill="F2F2F2" w:themeFill="background1" w:themeFillShade="F2"/>
            <w:vAlign w:val="center"/>
          </w:tcPr>
          <w:p w14:paraId="2A4E1E03" w14:textId="77777777" w:rsidR="002641D2" w:rsidRPr="00FA3F9C" w:rsidRDefault="002641D2" w:rsidP="001758F8">
            <w:pPr>
              <w:rPr>
                <w:rFonts w:ascii="Arial" w:hAnsi="Arial" w:cs="Arial"/>
                <w:sz w:val="24"/>
                <w:szCs w:val="24"/>
              </w:rPr>
            </w:pPr>
            <w:r w:rsidRPr="00FA3F9C">
              <w:rPr>
                <w:rFonts w:ascii="Arial" w:hAnsi="Arial" w:cs="Arial"/>
                <w:sz w:val="24"/>
                <w:szCs w:val="24"/>
              </w:rPr>
              <w:t>If above criteria are fulfilled, approve x 1 year</w:t>
            </w:r>
          </w:p>
        </w:tc>
      </w:tr>
      <w:tr w:rsidR="002641D2" w:rsidRPr="00FA3F9C" w14:paraId="074C83AE" w14:textId="77777777" w:rsidTr="00BB5F56">
        <w:tc>
          <w:tcPr>
            <w:tcW w:w="10790" w:type="dxa"/>
            <w:gridSpan w:val="2"/>
            <w:shd w:val="clear" w:color="auto" w:fill="BFBFBF" w:themeFill="background1" w:themeFillShade="BF"/>
            <w:vAlign w:val="center"/>
          </w:tcPr>
          <w:p w14:paraId="2B9DDF18" w14:textId="77777777" w:rsidR="002641D2" w:rsidRPr="00FA3F9C" w:rsidRDefault="002641D2" w:rsidP="00BB5F56">
            <w:pPr>
              <w:rPr>
                <w:rFonts w:ascii="Arial" w:hAnsi="Arial" w:cs="Arial"/>
                <w:sz w:val="24"/>
                <w:szCs w:val="24"/>
              </w:rPr>
            </w:pPr>
            <w:r w:rsidRPr="00FA3F9C">
              <w:rPr>
                <w:rFonts w:ascii="Arial" w:hAnsi="Arial" w:cs="Arial"/>
                <w:sz w:val="24"/>
                <w:szCs w:val="24"/>
              </w:rPr>
              <w:t>Evidence:</w:t>
            </w:r>
          </w:p>
          <w:p w14:paraId="62846AD7" w14:textId="77777777" w:rsidR="002641D2" w:rsidRPr="00FA3F9C" w:rsidRDefault="002641D2" w:rsidP="00BB5F56">
            <w:pPr>
              <w:rPr>
                <w:rFonts w:ascii="Arial" w:hAnsi="Arial" w:cs="Arial"/>
                <w:sz w:val="24"/>
                <w:szCs w:val="24"/>
              </w:rPr>
            </w:pPr>
            <w:proofErr w:type="spellStart"/>
            <w:r w:rsidRPr="00FA3F9C">
              <w:rPr>
                <w:rFonts w:ascii="Arial" w:hAnsi="Arial" w:cs="Arial"/>
                <w:sz w:val="24"/>
                <w:szCs w:val="24"/>
              </w:rPr>
              <w:t>Eribulin</w:t>
            </w:r>
            <w:proofErr w:type="spellEnd"/>
            <w:r w:rsidRPr="00FA3F9C">
              <w:rPr>
                <w:rFonts w:ascii="Arial" w:hAnsi="Arial" w:cs="Arial"/>
                <w:sz w:val="24"/>
                <w:szCs w:val="24"/>
              </w:rPr>
              <w:t xml:space="preserve"> was compared to dacarbazine in patients with advanced liposarcoma or leiomyosarcoma. In the liposarcoma subgroup, median overall survival was improved in the </w:t>
            </w:r>
            <w:proofErr w:type="spellStart"/>
            <w:r w:rsidRPr="00FA3F9C">
              <w:rPr>
                <w:rFonts w:ascii="Arial" w:hAnsi="Arial" w:cs="Arial"/>
                <w:sz w:val="24"/>
                <w:szCs w:val="24"/>
              </w:rPr>
              <w:t>eribulin</w:t>
            </w:r>
            <w:proofErr w:type="spellEnd"/>
            <w:r w:rsidRPr="00FA3F9C">
              <w:rPr>
                <w:rFonts w:ascii="Arial" w:hAnsi="Arial" w:cs="Arial"/>
                <w:sz w:val="24"/>
                <w:szCs w:val="24"/>
              </w:rPr>
              <w:t xml:space="preserve"> group (15.6 </w:t>
            </w:r>
            <w:proofErr w:type="spellStart"/>
            <w:r w:rsidRPr="00FA3F9C">
              <w:rPr>
                <w:rFonts w:ascii="Arial" w:hAnsi="Arial" w:cs="Arial"/>
                <w:sz w:val="24"/>
                <w:szCs w:val="24"/>
              </w:rPr>
              <w:t>mo</w:t>
            </w:r>
            <w:proofErr w:type="spellEnd"/>
            <w:r w:rsidRPr="00FA3F9C">
              <w:rPr>
                <w:rFonts w:ascii="Arial" w:hAnsi="Arial" w:cs="Arial"/>
                <w:sz w:val="24"/>
                <w:szCs w:val="24"/>
              </w:rPr>
              <w:t xml:space="preserve"> vs 8.4 </w:t>
            </w:r>
            <w:proofErr w:type="spellStart"/>
            <w:r w:rsidRPr="00FA3F9C">
              <w:rPr>
                <w:rFonts w:ascii="Arial" w:hAnsi="Arial" w:cs="Arial"/>
                <w:sz w:val="24"/>
                <w:szCs w:val="24"/>
              </w:rPr>
              <w:t>mo</w:t>
            </w:r>
            <w:proofErr w:type="spellEnd"/>
            <w:r w:rsidRPr="00FA3F9C">
              <w:rPr>
                <w:rFonts w:ascii="Arial" w:hAnsi="Arial" w:cs="Arial"/>
                <w:sz w:val="24"/>
                <w:szCs w:val="24"/>
              </w:rPr>
              <w:t xml:space="preserve">, HR 0.51, 95% CI 0.35-0.75). No overall survival difference was observed in leiomyosarcoma subgroup. </w:t>
            </w:r>
          </w:p>
          <w:p w14:paraId="0D03B31E" w14:textId="77777777" w:rsidR="002641D2" w:rsidRPr="00FA3F9C" w:rsidRDefault="002641D2" w:rsidP="00BB5F56">
            <w:pPr>
              <w:rPr>
                <w:rFonts w:ascii="Arial" w:hAnsi="Arial" w:cs="Arial"/>
                <w:sz w:val="24"/>
                <w:szCs w:val="24"/>
              </w:rPr>
            </w:pPr>
          </w:p>
          <w:p w14:paraId="61FB46C9" w14:textId="77777777" w:rsidR="002641D2" w:rsidRPr="00FA3F9C" w:rsidRDefault="002641D2" w:rsidP="00BB5F56">
            <w:pPr>
              <w:rPr>
                <w:rFonts w:ascii="Arial" w:hAnsi="Arial" w:cs="Arial"/>
                <w:sz w:val="24"/>
                <w:szCs w:val="24"/>
              </w:rPr>
            </w:pPr>
            <w:r w:rsidRPr="00FA3F9C">
              <w:rPr>
                <w:rFonts w:ascii="Arial" w:hAnsi="Arial" w:cs="Arial"/>
                <w:sz w:val="24"/>
                <w:szCs w:val="24"/>
              </w:rPr>
              <w:t>Reference:</w:t>
            </w:r>
          </w:p>
          <w:p w14:paraId="7FD77265" w14:textId="77777777" w:rsidR="002641D2" w:rsidRPr="00FA3F9C" w:rsidRDefault="002641D2" w:rsidP="00AB5DA2">
            <w:pPr>
              <w:spacing w:after="160" w:line="259" w:lineRule="auto"/>
              <w:rPr>
                <w:rFonts w:ascii="Arial" w:hAnsi="Arial" w:cs="Arial"/>
                <w:sz w:val="24"/>
                <w:szCs w:val="24"/>
              </w:rPr>
            </w:pPr>
            <w:r w:rsidRPr="00FA3F9C">
              <w:rPr>
                <w:rFonts w:ascii="Arial" w:hAnsi="Arial" w:cs="Arial"/>
                <w:sz w:val="24"/>
                <w:szCs w:val="24"/>
              </w:rPr>
              <w:t xml:space="preserve">1. </w:t>
            </w:r>
            <w:proofErr w:type="spellStart"/>
            <w:r w:rsidRPr="00FA3F9C">
              <w:rPr>
                <w:rFonts w:ascii="Arial" w:hAnsi="Arial" w:cs="Arial"/>
                <w:sz w:val="24"/>
                <w:szCs w:val="24"/>
              </w:rPr>
              <w:t>Schöffski</w:t>
            </w:r>
            <w:proofErr w:type="spellEnd"/>
            <w:r w:rsidRPr="00FA3F9C">
              <w:rPr>
                <w:rFonts w:ascii="Arial" w:hAnsi="Arial" w:cs="Arial"/>
                <w:sz w:val="24"/>
                <w:szCs w:val="24"/>
              </w:rPr>
              <w:t xml:space="preserve"> P et al. </w:t>
            </w:r>
            <w:proofErr w:type="spellStart"/>
            <w:r w:rsidRPr="00FA3F9C">
              <w:rPr>
                <w:rFonts w:ascii="Arial" w:hAnsi="Arial" w:cs="Arial"/>
                <w:sz w:val="24"/>
                <w:szCs w:val="24"/>
              </w:rPr>
              <w:t>Eribulin</w:t>
            </w:r>
            <w:proofErr w:type="spellEnd"/>
            <w:r w:rsidRPr="00FA3F9C">
              <w:rPr>
                <w:rFonts w:ascii="Arial" w:hAnsi="Arial" w:cs="Arial"/>
                <w:sz w:val="24"/>
                <w:szCs w:val="24"/>
              </w:rPr>
              <w:t xml:space="preserve"> versus dacarbazine in previously treated patients with advanced liposarcoma or leiomyosarcoma: a </w:t>
            </w:r>
            <w:proofErr w:type="spellStart"/>
            <w:r w:rsidRPr="00FA3F9C">
              <w:rPr>
                <w:rFonts w:ascii="Arial" w:hAnsi="Arial" w:cs="Arial"/>
                <w:sz w:val="24"/>
                <w:szCs w:val="24"/>
              </w:rPr>
              <w:t>randomised</w:t>
            </w:r>
            <w:proofErr w:type="spellEnd"/>
            <w:r w:rsidRPr="00FA3F9C">
              <w:rPr>
                <w:rFonts w:ascii="Arial" w:hAnsi="Arial" w:cs="Arial"/>
                <w:sz w:val="24"/>
                <w:szCs w:val="24"/>
              </w:rPr>
              <w:t xml:space="preserve">, open-label, </w:t>
            </w:r>
            <w:proofErr w:type="spellStart"/>
            <w:r w:rsidRPr="00FA3F9C">
              <w:rPr>
                <w:rFonts w:ascii="Arial" w:hAnsi="Arial" w:cs="Arial"/>
                <w:sz w:val="24"/>
                <w:szCs w:val="24"/>
              </w:rPr>
              <w:t>multicentre</w:t>
            </w:r>
            <w:proofErr w:type="spellEnd"/>
            <w:r w:rsidRPr="00FA3F9C">
              <w:rPr>
                <w:rFonts w:ascii="Arial" w:hAnsi="Arial" w:cs="Arial"/>
                <w:sz w:val="24"/>
                <w:szCs w:val="24"/>
              </w:rPr>
              <w:t xml:space="preserve">, phase 3 trial. Lancet. 2016 Apr 16;387(10028):1629-37. </w:t>
            </w:r>
            <w:proofErr w:type="spellStart"/>
            <w:r w:rsidRPr="00FA3F9C">
              <w:rPr>
                <w:rFonts w:ascii="Arial" w:hAnsi="Arial" w:cs="Arial"/>
                <w:sz w:val="24"/>
                <w:szCs w:val="24"/>
              </w:rPr>
              <w:t>doi</w:t>
            </w:r>
            <w:proofErr w:type="spellEnd"/>
            <w:r w:rsidRPr="00FA3F9C">
              <w:rPr>
                <w:rFonts w:ascii="Arial" w:hAnsi="Arial" w:cs="Arial"/>
                <w:sz w:val="24"/>
                <w:szCs w:val="24"/>
              </w:rPr>
              <w:t xml:space="preserve">: 10.1016/S0140-6736(15)01283-0. </w:t>
            </w:r>
            <w:proofErr w:type="spellStart"/>
            <w:r w:rsidRPr="00FA3F9C">
              <w:rPr>
                <w:rFonts w:ascii="Arial" w:hAnsi="Arial" w:cs="Arial"/>
                <w:sz w:val="24"/>
                <w:szCs w:val="24"/>
              </w:rPr>
              <w:t>Epub</w:t>
            </w:r>
            <w:proofErr w:type="spellEnd"/>
            <w:r w:rsidRPr="00FA3F9C">
              <w:rPr>
                <w:rFonts w:ascii="Arial" w:hAnsi="Arial" w:cs="Arial"/>
                <w:sz w:val="24"/>
                <w:szCs w:val="24"/>
              </w:rPr>
              <w:t xml:space="preserve"> 2016 Feb 10. PMID 26874885 NCT01327885</w:t>
            </w:r>
          </w:p>
        </w:tc>
      </w:tr>
    </w:tbl>
    <w:p w14:paraId="1D646EC6" w14:textId="77777777" w:rsidR="002641D2" w:rsidRPr="00FA3F9C" w:rsidRDefault="002641D2" w:rsidP="008B48E4">
      <w:pPr>
        <w:spacing w:after="0"/>
        <w:rPr>
          <w:rFonts w:ascii="Arial" w:hAnsi="Arial" w:cs="Arial"/>
          <w:sz w:val="24"/>
          <w:szCs w:val="24"/>
        </w:rPr>
      </w:pPr>
    </w:p>
    <w:p w14:paraId="30FA5D20" w14:textId="77777777" w:rsidR="002641D2" w:rsidRPr="00FA3F9C" w:rsidRDefault="002641D2" w:rsidP="008B48E4">
      <w:pPr>
        <w:spacing w:after="0"/>
        <w:rPr>
          <w:rFonts w:ascii="Arial" w:hAnsi="Arial" w:cs="Arial"/>
          <w:sz w:val="24"/>
          <w:szCs w:val="24"/>
        </w:rPr>
      </w:pPr>
    </w:p>
    <w:p w14:paraId="0FD35B23" w14:textId="77777777" w:rsidR="002641D2" w:rsidRPr="00FA3F9C" w:rsidRDefault="002641D2" w:rsidP="008B48E4">
      <w:pPr>
        <w:spacing w:after="0"/>
        <w:rPr>
          <w:rFonts w:ascii="Arial" w:hAnsi="Arial" w:cs="Arial"/>
          <w:sz w:val="24"/>
          <w:szCs w:val="24"/>
        </w:rPr>
      </w:pPr>
    </w:p>
    <w:p w14:paraId="3A5BFE45" w14:textId="77777777" w:rsidR="002641D2" w:rsidRPr="00FA3F9C" w:rsidRDefault="002641D2" w:rsidP="008B48E4">
      <w:pPr>
        <w:spacing w:after="0"/>
        <w:rPr>
          <w:rFonts w:ascii="Arial" w:hAnsi="Arial" w:cs="Arial"/>
          <w:b/>
          <w:sz w:val="24"/>
          <w:szCs w:val="24"/>
          <w:u w:val="single"/>
        </w:rPr>
      </w:pPr>
    </w:p>
    <w:p w14:paraId="76366B83" w14:textId="77777777" w:rsidR="002641D2" w:rsidRPr="00FA3F9C" w:rsidRDefault="002641D2" w:rsidP="008B48E4">
      <w:pPr>
        <w:spacing w:after="0"/>
        <w:rPr>
          <w:rFonts w:ascii="Arial" w:hAnsi="Arial" w:cs="Arial"/>
          <w:b/>
          <w:sz w:val="24"/>
          <w:szCs w:val="24"/>
          <w:u w:val="single"/>
        </w:rPr>
      </w:pPr>
    </w:p>
    <w:p w14:paraId="20C7879D" w14:textId="77777777" w:rsidR="002641D2" w:rsidRPr="00FA3F9C" w:rsidRDefault="002641D2" w:rsidP="008B48E4">
      <w:pPr>
        <w:spacing w:after="0"/>
        <w:rPr>
          <w:rFonts w:ascii="Arial" w:hAnsi="Arial" w:cs="Arial"/>
          <w:sz w:val="24"/>
          <w:szCs w:val="24"/>
        </w:rPr>
      </w:pPr>
      <w:r w:rsidRPr="00FA3F9C">
        <w:rPr>
          <w:rFonts w:ascii="Arial" w:hAnsi="Arial" w:cs="Arial"/>
          <w:sz w:val="24"/>
          <w:szCs w:val="24"/>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7740"/>
        <w:gridCol w:w="1728"/>
      </w:tblGrid>
      <w:tr w:rsidR="002641D2" w:rsidRPr="00FA3F9C" w14:paraId="10AB506A" w14:textId="77777777" w:rsidTr="00BE7C2A">
        <w:trPr>
          <w:trHeight w:val="332"/>
        </w:trPr>
        <w:tc>
          <w:tcPr>
            <w:tcW w:w="1284" w:type="dxa"/>
          </w:tcPr>
          <w:p w14:paraId="21AA51CD" w14:textId="77777777" w:rsidR="002641D2" w:rsidRPr="00FA3F9C" w:rsidRDefault="002641D2" w:rsidP="000E79CF">
            <w:pPr>
              <w:spacing w:after="0" w:line="240" w:lineRule="auto"/>
              <w:rPr>
                <w:rFonts w:ascii="Arial" w:hAnsi="Arial" w:cs="Arial"/>
                <w:sz w:val="24"/>
                <w:szCs w:val="24"/>
              </w:rPr>
            </w:pPr>
            <w:r w:rsidRPr="00FA3F9C">
              <w:rPr>
                <w:rFonts w:ascii="Arial" w:hAnsi="Arial" w:cs="Arial"/>
                <w:sz w:val="24"/>
                <w:szCs w:val="24"/>
              </w:rPr>
              <w:t>Date</w:t>
            </w:r>
          </w:p>
        </w:tc>
        <w:tc>
          <w:tcPr>
            <w:tcW w:w="7740" w:type="dxa"/>
          </w:tcPr>
          <w:p w14:paraId="1E10EF0E" w14:textId="77777777" w:rsidR="002641D2" w:rsidRPr="00FA3F9C" w:rsidRDefault="002641D2" w:rsidP="000E79CF">
            <w:pPr>
              <w:spacing w:after="0" w:line="240" w:lineRule="auto"/>
              <w:rPr>
                <w:rFonts w:ascii="Arial" w:hAnsi="Arial" w:cs="Arial"/>
                <w:sz w:val="24"/>
                <w:szCs w:val="24"/>
              </w:rPr>
            </w:pPr>
            <w:r w:rsidRPr="00FA3F9C">
              <w:rPr>
                <w:rFonts w:ascii="Arial" w:hAnsi="Arial" w:cs="Arial"/>
                <w:sz w:val="24"/>
                <w:szCs w:val="24"/>
              </w:rPr>
              <w:t>What Changed?</w:t>
            </w:r>
          </w:p>
        </w:tc>
        <w:tc>
          <w:tcPr>
            <w:tcW w:w="1728" w:type="dxa"/>
          </w:tcPr>
          <w:p w14:paraId="0AAFADCD" w14:textId="77777777" w:rsidR="002641D2" w:rsidRPr="00FA3F9C" w:rsidRDefault="002641D2" w:rsidP="000E79CF">
            <w:pPr>
              <w:spacing w:after="0" w:line="240" w:lineRule="auto"/>
              <w:rPr>
                <w:rFonts w:ascii="Arial" w:hAnsi="Arial" w:cs="Arial"/>
                <w:sz w:val="24"/>
                <w:szCs w:val="24"/>
              </w:rPr>
            </w:pPr>
            <w:r w:rsidRPr="00FA3F9C">
              <w:rPr>
                <w:rFonts w:ascii="Arial" w:hAnsi="Arial" w:cs="Arial"/>
                <w:sz w:val="24"/>
                <w:szCs w:val="24"/>
              </w:rPr>
              <w:t>Pharmacist’s initials</w:t>
            </w:r>
          </w:p>
        </w:tc>
      </w:tr>
      <w:tr w:rsidR="002641D2" w:rsidRPr="00FA3F9C" w14:paraId="7AE6159D" w14:textId="77777777" w:rsidTr="00BE7C2A">
        <w:trPr>
          <w:trHeight w:val="260"/>
        </w:trPr>
        <w:tc>
          <w:tcPr>
            <w:tcW w:w="1284" w:type="dxa"/>
          </w:tcPr>
          <w:p w14:paraId="1738BC2A" w14:textId="77777777" w:rsidR="002641D2" w:rsidRPr="00FA3F9C" w:rsidRDefault="002641D2" w:rsidP="000E79CF">
            <w:pPr>
              <w:spacing w:after="0" w:line="240" w:lineRule="auto"/>
              <w:rPr>
                <w:rFonts w:ascii="Arial" w:hAnsi="Arial" w:cs="Arial"/>
                <w:sz w:val="24"/>
                <w:szCs w:val="24"/>
              </w:rPr>
            </w:pPr>
            <w:r w:rsidRPr="00FA3F9C">
              <w:rPr>
                <w:rFonts w:ascii="Arial" w:hAnsi="Arial" w:cs="Arial"/>
                <w:sz w:val="24"/>
                <w:szCs w:val="24"/>
              </w:rPr>
              <w:t>12/6/19</w:t>
            </w:r>
          </w:p>
        </w:tc>
        <w:tc>
          <w:tcPr>
            <w:tcW w:w="7740" w:type="dxa"/>
          </w:tcPr>
          <w:p w14:paraId="76975FEF" w14:textId="77777777" w:rsidR="002641D2" w:rsidRPr="00FA3F9C" w:rsidRDefault="002641D2" w:rsidP="00472CFC">
            <w:pPr>
              <w:spacing w:after="0" w:line="240" w:lineRule="auto"/>
              <w:rPr>
                <w:rFonts w:ascii="Arial" w:hAnsi="Arial" w:cs="Arial"/>
                <w:sz w:val="24"/>
                <w:szCs w:val="24"/>
              </w:rPr>
            </w:pPr>
            <w:r w:rsidRPr="00FA3F9C">
              <w:rPr>
                <w:rFonts w:ascii="Arial" w:hAnsi="Arial" w:cs="Arial"/>
                <w:sz w:val="24"/>
                <w:szCs w:val="24"/>
              </w:rPr>
              <w:t>Reviewed at DCWG, criteria written</w:t>
            </w:r>
          </w:p>
        </w:tc>
        <w:tc>
          <w:tcPr>
            <w:tcW w:w="1728" w:type="dxa"/>
          </w:tcPr>
          <w:p w14:paraId="28485B5F" w14:textId="77777777" w:rsidR="002641D2" w:rsidRPr="00FA3F9C" w:rsidRDefault="002641D2" w:rsidP="000E79CF">
            <w:pPr>
              <w:spacing w:after="0" w:line="240" w:lineRule="auto"/>
              <w:rPr>
                <w:rFonts w:ascii="Arial" w:hAnsi="Arial" w:cs="Arial"/>
                <w:sz w:val="24"/>
                <w:szCs w:val="24"/>
              </w:rPr>
            </w:pPr>
            <w:r w:rsidRPr="00FA3F9C">
              <w:rPr>
                <w:rFonts w:ascii="Arial" w:hAnsi="Arial" w:cs="Arial"/>
                <w:sz w:val="24"/>
                <w:szCs w:val="24"/>
              </w:rPr>
              <w:t>SK</w:t>
            </w:r>
          </w:p>
        </w:tc>
      </w:tr>
      <w:tr w:rsidR="002641D2" w:rsidRPr="00FA3F9C" w14:paraId="678F57AF" w14:textId="77777777" w:rsidTr="00BE7C2A">
        <w:trPr>
          <w:trHeight w:val="56"/>
        </w:trPr>
        <w:tc>
          <w:tcPr>
            <w:tcW w:w="1284" w:type="dxa"/>
          </w:tcPr>
          <w:p w14:paraId="67D81A86" w14:textId="77777777" w:rsidR="002641D2" w:rsidRPr="00FA3F9C" w:rsidRDefault="002641D2" w:rsidP="000E79CF">
            <w:pPr>
              <w:spacing w:after="0" w:line="240" w:lineRule="auto"/>
              <w:rPr>
                <w:rFonts w:ascii="Arial" w:hAnsi="Arial" w:cs="Arial"/>
                <w:sz w:val="24"/>
                <w:szCs w:val="24"/>
              </w:rPr>
            </w:pPr>
            <w:r w:rsidRPr="00FA3F9C">
              <w:rPr>
                <w:rFonts w:ascii="Arial" w:hAnsi="Arial" w:cs="Arial"/>
                <w:sz w:val="24"/>
                <w:szCs w:val="24"/>
              </w:rPr>
              <w:t>3/29/2021</w:t>
            </w:r>
          </w:p>
        </w:tc>
        <w:tc>
          <w:tcPr>
            <w:tcW w:w="7740" w:type="dxa"/>
          </w:tcPr>
          <w:p w14:paraId="687E757F" w14:textId="77777777" w:rsidR="002641D2" w:rsidRPr="00FA3F9C" w:rsidRDefault="002641D2" w:rsidP="000E79CF">
            <w:pPr>
              <w:spacing w:after="0" w:line="240" w:lineRule="auto"/>
              <w:rPr>
                <w:rFonts w:ascii="Arial" w:hAnsi="Arial" w:cs="Arial"/>
                <w:sz w:val="24"/>
                <w:szCs w:val="24"/>
              </w:rPr>
            </w:pPr>
            <w:r w:rsidRPr="00FA3F9C">
              <w:rPr>
                <w:rFonts w:ascii="Arial" w:hAnsi="Arial" w:cs="Arial"/>
                <w:sz w:val="24"/>
                <w:szCs w:val="24"/>
              </w:rPr>
              <w:t xml:space="preserve">Criteria reviewed. No change. </w:t>
            </w:r>
          </w:p>
        </w:tc>
        <w:tc>
          <w:tcPr>
            <w:tcW w:w="1728" w:type="dxa"/>
          </w:tcPr>
          <w:p w14:paraId="566E7BC7" w14:textId="77777777" w:rsidR="002641D2" w:rsidRPr="00FA3F9C" w:rsidRDefault="002641D2" w:rsidP="000E79CF">
            <w:pPr>
              <w:spacing w:after="0" w:line="240" w:lineRule="auto"/>
              <w:rPr>
                <w:rFonts w:ascii="Arial" w:hAnsi="Arial" w:cs="Arial"/>
                <w:sz w:val="24"/>
                <w:szCs w:val="24"/>
              </w:rPr>
            </w:pPr>
            <w:r w:rsidRPr="00FA3F9C">
              <w:rPr>
                <w:rFonts w:ascii="Arial" w:hAnsi="Arial" w:cs="Arial"/>
                <w:sz w:val="24"/>
                <w:szCs w:val="24"/>
              </w:rPr>
              <w:t>SK</w:t>
            </w:r>
          </w:p>
        </w:tc>
      </w:tr>
      <w:tr w:rsidR="002641D2" w:rsidRPr="00FA3F9C" w14:paraId="4E61BBF2" w14:textId="77777777" w:rsidTr="00BE7C2A">
        <w:trPr>
          <w:trHeight w:val="56"/>
        </w:trPr>
        <w:tc>
          <w:tcPr>
            <w:tcW w:w="1284" w:type="dxa"/>
          </w:tcPr>
          <w:p w14:paraId="0123BEFA" w14:textId="77777777" w:rsidR="002641D2" w:rsidRPr="00FA3F9C" w:rsidRDefault="002641D2" w:rsidP="000E79CF">
            <w:pPr>
              <w:spacing w:after="0" w:line="240" w:lineRule="auto"/>
              <w:rPr>
                <w:rFonts w:ascii="Arial" w:hAnsi="Arial" w:cs="Arial"/>
                <w:sz w:val="24"/>
                <w:szCs w:val="24"/>
              </w:rPr>
            </w:pPr>
            <w:r w:rsidRPr="00FA3F9C">
              <w:rPr>
                <w:rFonts w:ascii="Arial" w:hAnsi="Arial" w:cs="Arial"/>
                <w:sz w:val="24"/>
                <w:szCs w:val="24"/>
              </w:rPr>
              <w:t>3/31/2021</w:t>
            </w:r>
          </w:p>
        </w:tc>
        <w:tc>
          <w:tcPr>
            <w:tcW w:w="7740" w:type="dxa"/>
          </w:tcPr>
          <w:p w14:paraId="53622D99" w14:textId="77777777" w:rsidR="002641D2" w:rsidRPr="00FA3F9C" w:rsidRDefault="002641D2" w:rsidP="000E79CF">
            <w:pPr>
              <w:spacing w:after="0" w:line="240" w:lineRule="auto"/>
              <w:rPr>
                <w:rFonts w:ascii="Arial" w:hAnsi="Arial" w:cs="Arial"/>
                <w:sz w:val="24"/>
                <w:szCs w:val="24"/>
              </w:rPr>
            </w:pPr>
            <w:r w:rsidRPr="00FA3F9C">
              <w:rPr>
                <w:rFonts w:ascii="Arial" w:hAnsi="Arial" w:cs="Arial"/>
                <w:sz w:val="24"/>
                <w:szCs w:val="24"/>
              </w:rPr>
              <w:t>Applied to UAS plan.</w:t>
            </w:r>
          </w:p>
        </w:tc>
        <w:tc>
          <w:tcPr>
            <w:tcW w:w="1728" w:type="dxa"/>
          </w:tcPr>
          <w:p w14:paraId="787C29EF" w14:textId="77777777" w:rsidR="002641D2" w:rsidRPr="00FA3F9C" w:rsidRDefault="002641D2" w:rsidP="000E79CF">
            <w:pPr>
              <w:spacing w:after="0" w:line="240" w:lineRule="auto"/>
              <w:rPr>
                <w:rFonts w:ascii="Arial" w:hAnsi="Arial" w:cs="Arial"/>
                <w:sz w:val="24"/>
                <w:szCs w:val="24"/>
              </w:rPr>
            </w:pPr>
            <w:r w:rsidRPr="00FA3F9C">
              <w:rPr>
                <w:rFonts w:ascii="Arial" w:hAnsi="Arial" w:cs="Arial"/>
                <w:sz w:val="24"/>
                <w:szCs w:val="24"/>
              </w:rPr>
              <w:t>JJ</w:t>
            </w:r>
          </w:p>
        </w:tc>
      </w:tr>
    </w:tbl>
    <w:p w14:paraId="183A866E" w14:textId="7715B937" w:rsidR="002641D2" w:rsidRDefault="002641D2" w:rsidP="00BE7C2A">
      <w:pPr>
        <w:rPr>
          <w:rFonts w:ascii="Arial" w:hAnsi="Arial" w:cs="Arial"/>
          <w:sz w:val="24"/>
          <w:szCs w:val="24"/>
        </w:rPr>
      </w:pPr>
    </w:p>
    <w:p w14:paraId="176F76EF" w14:textId="77777777" w:rsidR="00BE7C2A" w:rsidRPr="00FA3F9C" w:rsidRDefault="00BE7C2A" w:rsidP="00BE7C2A">
      <w:pPr>
        <w:rPr>
          <w:rFonts w:ascii="Arial" w:hAnsi="Arial" w:cs="Arial"/>
          <w:sz w:val="24"/>
          <w:szCs w:val="24"/>
        </w:rPr>
      </w:pPr>
    </w:p>
    <w:p w14:paraId="1843E3CF" w14:textId="77777777" w:rsidR="002641D2" w:rsidRPr="00FA3F9C" w:rsidRDefault="002641D2" w:rsidP="00BE7C2A">
      <w:pPr>
        <w:pStyle w:val="Heading2"/>
      </w:pPr>
      <w:bookmarkStart w:id="96" w:name="_Toc106369791"/>
      <w:r w:rsidRPr="00FA3F9C">
        <w:lastRenderedPageBreak/>
        <w:t>Erlotinib (</w:t>
      </w:r>
      <w:proofErr w:type="spellStart"/>
      <w:r w:rsidRPr="00FA3F9C">
        <w:t>Tarceva</w:t>
      </w:r>
      <w:proofErr w:type="spellEnd"/>
      <w:r w:rsidRPr="00FA3F9C">
        <w:t>)</w:t>
      </w:r>
      <w:bookmarkEnd w:id="96"/>
      <w:r w:rsidRPr="00FA3F9C">
        <w:t xml:space="preserve"> </w:t>
      </w:r>
    </w:p>
    <w:p w14:paraId="7F87385D" w14:textId="77777777" w:rsidR="002641D2" w:rsidRPr="00FA3F9C" w:rsidRDefault="002641D2" w:rsidP="000349BC">
      <w:pPr>
        <w:jc w:val="center"/>
        <w:rPr>
          <w:rFonts w:ascii="Arial" w:hAnsi="Arial" w:cs="Arial"/>
          <w:sz w:val="24"/>
          <w:szCs w:val="24"/>
        </w:rPr>
      </w:pPr>
      <w:r w:rsidRPr="00FA3F9C">
        <w:rPr>
          <w:rFonts w:ascii="Arial" w:hAnsi="Arial" w:cs="Arial"/>
          <w:sz w:val="24"/>
          <w:szCs w:val="24"/>
        </w:rPr>
        <w:t>25, 100, 150 mg tablets</w:t>
      </w:r>
    </w:p>
    <w:p w14:paraId="018A4286" w14:textId="77777777" w:rsidR="002641D2" w:rsidRPr="00FA3F9C" w:rsidRDefault="002641D2" w:rsidP="002A23A6">
      <w:pPr>
        <w:jc w:val="center"/>
        <w:rPr>
          <w:rFonts w:ascii="Arial" w:hAnsi="Arial" w:cs="Arial"/>
          <w:sz w:val="24"/>
          <w:szCs w:val="24"/>
        </w:rPr>
      </w:pPr>
      <w:r w:rsidRPr="00FA3F9C">
        <w:rPr>
          <w:rFonts w:ascii="Arial" w:hAnsi="Arial" w:cs="Arial"/>
          <w:sz w:val="24"/>
          <w:szCs w:val="24"/>
        </w:rPr>
        <w:t>EBRx PA Criteria</w:t>
      </w:r>
    </w:p>
    <w:p w14:paraId="3026B02D" w14:textId="77777777" w:rsidR="002641D2" w:rsidRPr="00FA3F9C" w:rsidRDefault="002641D2" w:rsidP="005D1675">
      <w:pPr>
        <w:rPr>
          <w:rFonts w:ascii="Arial" w:hAnsi="Arial" w:cs="Arial"/>
          <w:sz w:val="24"/>
          <w:szCs w:val="24"/>
        </w:rPr>
      </w:pPr>
    </w:p>
    <w:p w14:paraId="5741693E" w14:textId="77777777" w:rsidR="002641D2" w:rsidRPr="00FA3F9C" w:rsidRDefault="002641D2" w:rsidP="005D1675">
      <w:pPr>
        <w:rPr>
          <w:rFonts w:ascii="Arial" w:hAnsi="Arial" w:cs="Arial"/>
          <w:b/>
          <w:sz w:val="24"/>
          <w:szCs w:val="24"/>
          <w:u w:val="single"/>
        </w:rPr>
      </w:pPr>
      <w:r w:rsidRPr="00FA3F9C">
        <w:rPr>
          <w:rFonts w:ascii="Arial" w:hAnsi="Arial" w:cs="Arial"/>
          <w:b/>
          <w:sz w:val="24"/>
          <w:szCs w:val="24"/>
          <w:u w:val="single"/>
        </w:rPr>
        <w:t>FDA approved for:</w:t>
      </w:r>
    </w:p>
    <w:p w14:paraId="036F4C07" w14:textId="77777777" w:rsidR="002641D2" w:rsidRPr="00FA3F9C" w:rsidRDefault="002641D2" w:rsidP="002641D2">
      <w:pPr>
        <w:numPr>
          <w:ilvl w:val="0"/>
          <w:numId w:val="179"/>
        </w:numPr>
        <w:spacing w:after="0" w:line="240" w:lineRule="auto"/>
        <w:ind w:left="450"/>
        <w:rPr>
          <w:rFonts w:ascii="Arial" w:hAnsi="Arial" w:cs="Arial"/>
          <w:sz w:val="24"/>
          <w:szCs w:val="24"/>
        </w:rPr>
      </w:pPr>
      <w:r w:rsidRPr="00FA3F9C">
        <w:rPr>
          <w:rFonts w:ascii="Arial" w:hAnsi="Arial" w:cs="Arial"/>
          <w:sz w:val="24"/>
          <w:szCs w:val="24"/>
        </w:rPr>
        <w:t xml:space="preserve">The treatment of patients with metastatic non-small cell lung cancer (NSCLC) whose tumors have epidermal growth factor receptor (EGFR) exon 19 deletions or exon 21 (L858R) substitution mutations as detected by an FDA-approved test receiving first-line, maintenance, or second or greater line treatment after progression following at least one prior chemotherapy regimen. </w:t>
      </w:r>
    </w:p>
    <w:p w14:paraId="5FC451E7" w14:textId="77777777" w:rsidR="002641D2" w:rsidRPr="00FA3F9C" w:rsidRDefault="002641D2" w:rsidP="002641D2">
      <w:pPr>
        <w:numPr>
          <w:ilvl w:val="0"/>
          <w:numId w:val="178"/>
        </w:numPr>
        <w:spacing w:after="0" w:line="240" w:lineRule="auto"/>
        <w:rPr>
          <w:rFonts w:ascii="Arial" w:hAnsi="Arial" w:cs="Arial"/>
          <w:sz w:val="24"/>
          <w:szCs w:val="24"/>
        </w:rPr>
      </w:pPr>
      <w:r w:rsidRPr="00FA3F9C">
        <w:rPr>
          <w:rFonts w:ascii="Arial" w:hAnsi="Arial" w:cs="Arial"/>
          <w:sz w:val="24"/>
          <w:szCs w:val="24"/>
        </w:rPr>
        <w:t xml:space="preserve">First-line treatment of patients with locally advanced, unresectable or metastatic pancreatic cancer, in combination with gemcitabine. </w:t>
      </w:r>
      <w:r w:rsidRPr="00FA3F9C">
        <w:rPr>
          <w:rFonts w:ascii="Arial" w:hAnsi="Arial" w:cs="Arial"/>
          <w:sz w:val="24"/>
          <w:szCs w:val="24"/>
          <w:highlight w:val="yellow"/>
        </w:rPr>
        <w:t>NOT COVERED</w:t>
      </w:r>
      <w:r w:rsidRPr="00FA3F9C">
        <w:rPr>
          <w:rFonts w:ascii="Arial" w:hAnsi="Arial" w:cs="Arial"/>
          <w:sz w:val="24"/>
          <w:szCs w:val="24"/>
        </w:rPr>
        <w:t xml:space="preserve">  </w:t>
      </w:r>
    </w:p>
    <w:p w14:paraId="0986EEF3" w14:textId="77777777" w:rsidR="002641D2" w:rsidRPr="00FA3F9C" w:rsidRDefault="002641D2" w:rsidP="002641D2">
      <w:pPr>
        <w:numPr>
          <w:ilvl w:val="1"/>
          <w:numId w:val="178"/>
        </w:numPr>
        <w:spacing w:after="0" w:line="240" w:lineRule="auto"/>
        <w:ind w:left="720" w:hanging="270"/>
        <w:rPr>
          <w:rFonts w:ascii="Arial" w:hAnsi="Arial" w:cs="Arial"/>
          <w:sz w:val="24"/>
          <w:szCs w:val="24"/>
        </w:rPr>
      </w:pPr>
      <w:proofErr w:type="spellStart"/>
      <w:r w:rsidRPr="00FA3F9C">
        <w:rPr>
          <w:rFonts w:ascii="Arial" w:hAnsi="Arial" w:cs="Arial"/>
          <w:sz w:val="24"/>
          <w:szCs w:val="24"/>
        </w:rPr>
        <w:t>Erlotinib+gemcitabine</w:t>
      </w:r>
      <w:proofErr w:type="spellEnd"/>
      <w:r w:rsidRPr="00FA3F9C">
        <w:rPr>
          <w:rFonts w:ascii="Arial" w:hAnsi="Arial" w:cs="Arial"/>
          <w:sz w:val="24"/>
          <w:szCs w:val="24"/>
        </w:rPr>
        <w:t xml:space="preserve"> was compared to </w:t>
      </w:r>
      <w:proofErr w:type="spellStart"/>
      <w:r w:rsidRPr="00FA3F9C">
        <w:rPr>
          <w:rFonts w:ascii="Arial" w:hAnsi="Arial" w:cs="Arial"/>
          <w:sz w:val="24"/>
          <w:szCs w:val="24"/>
        </w:rPr>
        <w:t>erlotinib+placebo</w:t>
      </w:r>
      <w:proofErr w:type="spellEnd"/>
      <w:r w:rsidRPr="00FA3F9C">
        <w:rPr>
          <w:rFonts w:ascii="Arial" w:hAnsi="Arial" w:cs="Arial"/>
          <w:sz w:val="24"/>
          <w:szCs w:val="24"/>
        </w:rPr>
        <w:t xml:space="preserve"> and although OS (6.24 </w:t>
      </w:r>
      <w:proofErr w:type="spellStart"/>
      <w:r w:rsidRPr="00FA3F9C">
        <w:rPr>
          <w:rFonts w:ascii="Arial" w:hAnsi="Arial" w:cs="Arial"/>
          <w:sz w:val="24"/>
          <w:szCs w:val="24"/>
        </w:rPr>
        <w:t>mo</w:t>
      </w:r>
      <w:proofErr w:type="spellEnd"/>
      <w:r w:rsidRPr="00FA3F9C">
        <w:rPr>
          <w:rFonts w:ascii="Arial" w:hAnsi="Arial" w:cs="Arial"/>
          <w:sz w:val="24"/>
          <w:szCs w:val="24"/>
        </w:rPr>
        <w:t xml:space="preserve"> vs 5.91 </w:t>
      </w:r>
      <w:proofErr w:type="spellStart"/>
      <w:r w:rsidRPr="00FA3F9C">
        <w:rPr>
          <w:rFonts w:ascii="Arial" w:hAnsi="Arial" w:cs="Arial"/>
          <w:sz w:val="24"/>
          <w:szCs w:val="24"/>
        </w:rPr>
        <w:t>mo</w:t>
      </w:r>
      <w:proofErr w:type="spellEnd"/>
      <w:r w:rsidRPr="00FA3F9C">
        <w:rPr>
          <w:rFonts w:ascii="Arial" w:hAnsi="Arial" w:cs="Arial"/>
          <w:sz w:val="24"/>
          <w:szCs w:val="24"/>
        </w:rPr>
        <w:t xml:space="preserve">) and PFS (3.75 </w:t>
      </w:r>
      <w:proofErr w:type="spellStart"/>
      <w:r w:rsidRPr="00FA3F9C">
        <w:rPr>
          <w:rFonts w:ascii="Arial" w:hAnsi="Arial" w:cs="Arial"/>
          <w:sz w:val="24"/>
          <w:szCs w:val="24"/>
        </w:rPr>
        <w:t>mo</w:t>
      </w:r>
      <w:proofErr w:type="spellEnd"/>
      <w:r w:rsidRPr="00FA3F9C">
        <w:rPr>
          <w:rFonts w:ascii="Arial" w:hAnsi="Arial" w:cs="Arial"/>
          <w:sz w:val="24"/>
          <w:szCs w:val="24"/>
        </w:rPr>
        <w:t xml:space="preserve"> vs 3.55 </w:t>
      </w:r>
      <w:proofErr w:type="spellStart"/>
      <w:r w:rsidRPr="00FA3F9C">
        <w:rPr>
          <w:rFonts w:ascii="Arial" w:hAnsi="Arial" w:cs="Arial"/>
          <w:sz w:val="24"/>
          <w:szCs w:val="24"/>
        </w:rPr>
        <w:t>mo</w:t>
      </w:r>
      <w:proofErr w:type="spellEnd"/>
      <w:r w:rsidRPr="00FA3F9C">
        <w:rPr>
          <w:rFonts w:ascii="Arial" w:hAnsi="Arial" w:cs="Arial"/>
          <w:sz w:val="24"/>
          <w:szCs w:val="24"/>
        </w:rPr>
        <w:t>)</w:t>
      </w:r>
      <w:r w:rsidRPr="00FA3F9C">
        <w:rPr>
          <w:rFonts w:ascii="Arial" w:hAnsi="Arial" w:cs="Arial"/>
          <w:sz w:val="24"/>
          <w:szCs w:val="24"/>
          <w:vertAlign w:val="superscript"/>
        </w:rPr>
        <w:t>7</w:t>
      </w:r>
      <w:r w:rsidRPr="00FA3F9C">
        <w:rPr>
          <w:rFonts w:ascii="Arial" w:hAnsi="Arial" w:cs="Arial"/>
          <w:sz w:val="24"/>
          <w:szCs w:val="24"/>
        </w:rPr>
        <w:t xml:space="preserve"> were statistically better in the erlotinib group, neither outcome met the Journal of Clinical Oncology’s (JCO) threshold of a minimal clinically meaningful improvement.  JCO states for pancreatic cancer in gemcitabine eligible patients, OS improvement would need to be 3-5 months better and PFS would need to be 3-5 months better. </w:t>
      </w:r>
    </w:p>
    <w:p w14:paraId="1889A690" w14:textId="77777777" w:rsidR="002641D2" w:rsidRPr="00FA3F9C" w:rsidRDefault="002641D2" w:rsidP="00975203">
      <w:pPr>
        <w:rPr>
          <w:rFonts w:ascii="Arial" w:hAnsi="Arial" w:cs="Arial"/>
          <w:sz w:val="24"/>
          <w:szCs w:val="24"/>
          <w:u w:val="single"/>
        </w:rPr>
      </w:pPr>
    </w:p>
    <w:p w14:paraId="73C7A452" w14:textId="77777777" w:rsidR="002641D2" w:rsidRPr="00FA3F9C" w:rsidRDefault="002641D2" w:rsidP="00975203">
      <w:pPr>
        <w:ind w:left="450"/>
        <w:rPr>
          <w:rFonts w:ascii="Arial" w:hAnsi="Arial" w:cs="Arial"/>
          <w:i/>
          <w:sz w:val="24"/>
          <w:szCs w:val="24"/>
        </w:rPr>
      </w:pPr>
      <w:r w:rsidRPr="00FA3F9C">
        <w:rPr>
          <w:rFonts w:ascii="Arial" w:hAnsi="Arial" w:cs="Arial"/>
          <w:i/>
          <w:sz w:val="24"/>
          <w:szCs w:val="24"/>
          <w:u w:val="single"/>
        </w:rPr>
        <w:t>Limitations of Use</w:t>
      </w:r>
      <w:r w:rsidRPr="00FA3F9C">
        <w:rPr>
          <w:rFonts w:ascii="Arial" w:hAnsi="Arial" w:cs="Arial"/>
          <w:i/>
          <w:sz w:val="24"/>
          <w:szCs w:val="24"/>
        </w:rPr>
        <w:t xml:space="preserve">: </w:t>
      </w:r>
    </w:p>
    <w:p w14:paraId="4CF7DEF7" w14:textId="77777777" w:rsidR="002641D2" w:rsidRPr="00FA3F9C" w:rsidRDefault="002641D2" w:rsidP="002641D2">
      <w:pPr>
        <w:numPr>
          <w:ilvl w:val="1"/>
          <w:numId w:val="179"/>
        </w:numPr>
        <w:spacing w:after="0" w:line="240" w:lineRule="auto"/>
        <w:ind w:left="1080" w:hanging="180"/>
        <w:rPr>
          <w:rFonts w:ascii="Arial" w:hAnsi="Arial" w:cs="Arial"/>
          <w:i/>
          <w:sz w:val="24"/>
          <w:szCs w:val="24"/>
        </w:rPr>
      </w:pPr>
      <w:r w:rsidRPr="00FA3F9C">
        <w:rPr>
          <w:rFonts w:ascii="Arial" w:hAnsi="Arial" w:cs="Arial"/>
          <w:i/>
          <w:sz w:val="24"/>
          <w:szCs w:val="24"/>
        </w:rPr>
        <w:t xml:space="preserve">Safety and efficacy of erlotinib have not been established in patients with NSCLC whose tumors have other EGFR mutations. </w:t>
      </w:r>
    </w:p>
    <w:p w14:paraId="5C318943" w14:textId="77777777" w:rsidR="002641D2" w:rsidRPr="00FA3F9C" w:rsidRDefault="002641D2" w:rsidP="002641D2">
      <w:pPr>
        <w:numPr>
          <w:ilvl w:val="1"/>
          <w:numId w:val="179"/>
        </w:numPr>
        <w:spacing w:after="0" w:line="240" w:lineRule="auto"/>
        <w:ind w:left="1080" w:hanging="180"/>
        <w:rPr>
          <w:rFonts w:ascii="Arial" w:hAnsi="Arial" w:cs="Arial"/>
          <w:i/>
          <w:sz w:val="24"/>
          <w:szCs w:val="24"/>
        </w:rPr>
      </w:pPr>
      <w:r w:rsidRPr="00FA3F9C">
        <w:rPr>
          <w:rFonts w:ascii="Arial" w:hAnsi="Arial" w:cs="Arial"/>
          <w:i/>
          <w:sz w:val="24"/>
          <w:szCs w:val="24"/>
        </w:rPr>
        <w:t>Erlotinib is not recommended for use in combination with platinum-based chemotherapy</w:t>
      </w:r>
    </w:p>
    <w:p w14:paraId="736BBFE1" w14:textId="77777777" w:rsidR="002641D2" w:rsidRPr="00FA3F9C" w:rsidRDefault="002641D2" w:rsidP="001E603E">
      <w:pPr>
        <w:rPr>
          <w:rFonts w:ascii="Arial" w:hAnsi="Arial" w:cs="Arial"/>
          <w:sz w:val="24"/>
          <w:szCs w:val="24"/>
        </w:rPr>
      </w:pPr>
    </w:p>
    <w:p w14:paraId="07AD1433" w14:textId="77777777" w:rsidR="002641D2" w:rsidRPr="00FA3F9C" w:rsidRDefault="002641D2" w:rsidP="001E603E">
      <w:pPr>
        <w:rPr>
          <w:rFonts w:ascii="Arial" w:hAnsi="Arial" w:cs="Arial"/>
          <w:b/>
          <w:sz w:val="24"/>
          <w:szCs w:val="24"/>
          <w:u w:val="single"/>
        </w:rPr>
      </w:pPr>
      <w:r w:rsidRPr="00FA3F9C">
        <w:rPr>
          <w:rFonts w:ascii="Arial" w:hAnsi="Arial" w:cs="Arial"/>
          <w:b/>
          <w:sz w:val="24"/>
          <w:szCs w:val="24"/>
          <w:u w:val="single"/>
        </w:rPr>
        <w:t>The following indication for erlotinib is included in ramucirumab (</w:t>
      </w:r>
      <w:proofErr w:type="spellStart"/>
      <w:r w:rsidRPr="00FA3F9C">
        <w:rPr>
          <w:rFonts w:ascii="Arial" w:hAnsi="Arial" w:cs="Arial"/>
          <w:b/>
          <w:sz w:val="24"/>
          <w:szCs w:val="24"/>
          <w:u w:val="single"/>
        </w:rPr>
        <w:t>Cyramza</w:t>
      </w:r>
      <w:proofErr w:type="spellEnd"/>
      <w:r w:rsidRPr="00FA3F9C">
        <w:rPr>
          <w:rFonts w:ascii="Arial" w:hAnsi="Arial" w:cs="Arial"/>
          <w:b/>
          <w:sz w:val="24"/>
          <w:szCs w:val="24"/>
          <w:u w:val="single"/>
        </w:rPr>
        <w:t>) package insert:</w:t>
      </w:r>
    </w:p>
    <w:p w14:paraId="15ECACF1" w14:textId="77777777" w:rsidR="002641D2" w:rsidRPr="00FA3F9C" w:rsidRDefault="002641D2" w:rsidP="002641D2">
      <w:pPr>
        <w:numPr>
          <w:ilvl w:val="0"/>
          <w:numId w:val="179"/>
        </w:numPr>
        <w:spacing w:after="0" w:line="240" w:lineRule="auto"/>
        <w:ind w:left="360" w:hanging="270"/>
        <w:rPr>
          <w:rFonts w:ascii="Arial" w:hAnsi="Arial" w:cs="Arial"/>
          <w:sz w:val="24"/>
          <w:szCs w:val="24"/>
        </w:rPr>
      </w:pPr>
      <w:r w:rsidRPr="00FA3F9C">
        <w:rPr>
          <w:rFonts w:ascii="Arial" w:hAnsi="Arial" w:cs="Arial"/>
          <w:sz w:val="24"/>
          <w:szCs w:val="24"/>
        </w:rPr>
        <w:t>Ramucirumab, in combination with erlotinib, is indicated for first-line treatment of metastatic non-small cell lung cancer with epidermal growth factor receptor (EGFR) exon 19 deletions or exon 21 (L858R) mutations</w:t>
      </w:r>
    </w:p>
    <w:p w14:paraId="33B346CF" w14:textId="77777777" w:rsidR="002641D2" w:rsidRPr="00FA3F9C" w:rsidRDefault="002641D2" w:rsidP="002641D2">
      <w:pPr>
        <w:numPr>
          <w:ilvl w:val="1"/>
          <w:numId w:val="179"/>
        </w:numPr>
        <w:spacing w:after="0" w:line="240" w:lineRule="auto"/>
        <w:rPr>
          <w:rFonts w:ascii="Arial" w:hAnsi="Arial" w:cs="Arial"/>
          <w:sz w:val="24"/>
          <w:szCs w:val="24"/>
        </w:rPr>
      </w:pPr>
      <w:r w:rsidRPr="00FA3F9C">
        <w:rPr>
          <w:rFonts w:ascii="Arial" w:hAnsi="Arial" w:cs="Arial"/>
          <w:sz w:val="24"/>
          <w:szCs w:val="24"/>
          <w:highlight w:val="yellow"/>
        </w:rPr>
        <w:t>NOT COVERED:</w:t>
      </w:r>
      <w:r w:rsidRPr="00FA3F9C">
        <w:rPr>
          <w:rFonts w:ascii="Arial" w:hAnsi="Arial" w:cs="Arial"/>
          <w:sz w:val="24"/>
          <w:szCs w:val="24"/>
        </w:rPr>
        <w:t xml:space="preserve"> ramucirumab + erlotinib was compared to placebo + erlotinib. Benefit is limited to progression free survival at this time. [Alternative: </w:t>
      </w:r>
      <w:proofErr w:type="spellStart"/>
      <w:r w:rsidRPr="00FA3F9C">
        <w:rPr>
          <w:rFonts w:ascii="Arial" w:hAnsi="Arial" w:cs="Arial"/>
          <w:sz w:val="24"/>
          <w:szCs w:val="24"/>
        </w:rPr>
        <w:t>osimertinib</w:t>
      </w:r>
      <w:proofErr w:type="spellEnd"/>
      <w:r w:rsidRPr="00FA3F9C">
        <w:rPr>
          <w:rFonts w:ascii="Arial" w:hAnsi="Arial" w:cs="Arial"/>
          <w:sz w:val="24"/>
          <w:szCs w:val="24"/>
        </w:rPr>
        <w:t xml:space="preserve"> or erlotinib monotherapy]</w:t>
      </w:r>
    </w:p>
    <w:p w14:paraId="7FB041F2" w14:textId="77777777" w:rsidR="002641D2" w:rsidRPr="00FA3F9C" w:rsidRDefault="002641D2" w:rsidP="002641D2">
      <w:pPr>
        <w:numPr>
          <w:ilvl w:val="1"/>
          <w:numId w:val="179"/>
        </w:numPr>
        <w:spacing w:after="0" w:line="240" w:lineRule="auto"/>
        <w:rPr>
          <w:rFonts w:ascii="Arial" w:hAnsi="Arial" w:cs="Arial"/>
          <w:sz w:val="24"/>
          <w:szCs w:val="24"/>
        </w:rPr>
      </w:pPr>
      <w:r w:rsidRPr="00FA3F9C">
        <w:rPr>
          <w:rFonts w:ascii="Arial" w:hAnsi="Arial" w:cs="Arial"/>
          <w:sz w:val="24"/>
          <w:szCs w:val="24"/>
        </w:rPr>
        <w:t>Note: ramucirumab (</w:t>
      </w:r>
      <w:proofErr w:type="spellStart"/>
      <w:r w:rsidRPr="00FA3F9C">
        <w:rPr>
          <w:rFonts w:ascii="Arial" w:hAnsi="Arial" w:cs="Arial"/>
          <w:sz w:val="24"/>
          <w:szCs w:val="24"/>
        </w:rPr>
        <w:t>Cyramza</w:t>
      </w:r>
      <w:proofErr w:type="spellEnd"/>
      <w:r w:rsidRPr="00FA3F9C">
        <w:rPr>
          <w:rFonts w:ascii="Arial" w:hAnsi="Arial" w:cs="Arial"/>
          <w:sz w:val="24"/>
          <w:szCs w:val="24"/>
        </w:rPr>
        <w:t>) is excluded from coverage (medical drug)</w:t>
      </w:r>
    </w:p>
    <w:p w14:paraId="27DEDD72" w14:textId="77777777" w:rsidR="002641D2" w:rsidRPr="00FA3F9C" w:rsidRDefault="002641D2" w:rsidP="002641D2">
      <w:pPr>
        <w:numPr>
          <w:ilvl w:val="1"/>
          <w:numId w:val="179"/>
        </w:numPr>
        <w:spacing w:after="0" w:line="240" w:lineRule="auto"/>
        <w:rPr>
          <w:rFonts w:ascii="Arial" w:hAnsi="Arial" w:cs="Arial"/>
          <w:sz w:val="24"/>
          <w:szCs w:val="24"/>
        </w:rPr>
      </w:pPr>
      <w:r w:rsidRPr="00FA3F9C">
        <w:rPr>
          <w:rFonts w:ascii="Arial" w:hAnsi="Arial" w:cs="Arial"/>
          <w:sz w:val="24"/>
          <w:szCs w:val="24"/>
        </w:rPr>
        <w:lastRenderedPageBreak/>
        <w:t xml:space="preserve">Reference: Nakagawa K, </w:t>
      </w:r>
      <w:proofErr w:type="spellStart"/>
      <w:r w:rsidRPr="00FA3F9C">
        <w:rPr>
          <w:rFonts w:ascii="Arial" w:hAnsi="Arial" w:cs="Arial"/>
          <w:sz w:val="24"/>
          <w:szCs w:val="24"/>
        </w:rPr>
        <w:t>Garon</w:t>
      </w:r>
      <w:proofErr w:type="spellEnd"/>
      <w:r w:rsidRPr="00FA3F9C">
        <w:rPr>
          <w:rFonts w:ascii="Arial" w:hAnsi="Arial" w:cs="Arial"/>
          <w:sz w:val="24"/>
          <w:szCs w:val="24"/>
        </w:rPr>
        <w:t xml:space="preserve"> EB, </w:t>
      </w:r>
      <w:proofErr w:type="spellStart"/>
      <w:r w:rsidRPr="00FA3F9C">
        <w:rPr>
          <w:rFonts w:ascii="Arial" w:hAnsi="Arial" w:cs="Arial"/>
          <w:sz w:val="24"/>
          <w:szCs w:val="24"/>
        </w:rPr>
        <w:t>Seto</w:t>
      </w:r>
      <w:proofErr w:type="spellEnd"/>
      <w:r w:rsidRPr="00FA3F9C">
        <w:rPr>
          <w:rFonts w:ascii="Arial" w:hAnsi="Arial" w:cs="Arial"/>
          <w:sz w:val="24"/>
          <w:szCs w:val="24"/>
        </w:rPr>
        <w:t xml:space="preserve"> T, et al. Lancet Oncol. 2019;20(12):1655</w:t>
      </w:r>
      <w:r w:rsidRPr="00FA3F9C">
        <w:rPr>
          <w:rFonts w:ascii="Cambria Math" w:hAnsi="Cambria Math" w:cs="Cambria Math"/>
          <w:sz w:val="24"/>
          <w:szCs w:val="24"/>
        </w:rPr>
        <w:t>‐</w:t>
      </w:r>
      <w:r w:rsidRPr="00FA3F9C">
        <w:rPr>
          <w:rFonts w:ascii="Arial" w:hAnsi="Arial" w:cs="Arial"/>
          <w:sz w:val="24"/>
          <w:szCs w:val="24"/>
        </w:rPr>
        <w:t>1669. doi:10.1016/S1470-2045(19)30634-5 [NCT02411448, PMID 31591063]</w:t>
      </w:r>
    </w:p>
    <w:p w14:paraId="2BE2340F" w14:textId="77777777" w:rsidR="002641D2" w:rsidRPr="00FA3F9C" w:rsidRDefault="002641D2" w:rsidP="000349BC">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0"/>
        <w:gridCol w:w="3716"/>
      </w:tblGrid>
      <w:tr w:rsidR="002641D2" w:rsidRPr="00FA3F9C" w14:paraId="1E6C9184" w14:textId="77777777" w:rsidTr="00777289">
        <w:tc>
          <w:tcPr>
            <w:tcW w:w="7300" w:type="dxa"/>
            <w:shd w:val="clear" w:color="auto" w:fill="000000"/>
          </w:tcPr>
          <w:p w14:paraId="1FF3EE88" w14:textId="77777777" w:rsidR="002641D2" w:rsidRPr="00FA3F9C" w:rsidRDefault="002641D2" w:rsidP="001638AD">
            <w:pPr>
              <w:rPr>
                <w:rFonts w:ascii="Arial" w:hAnsi="Arial" w:cs="Arial"/>
                <w:b/>
                <w:sz w:val="24"/>
                <w:szCs w:val="24"/>
                <w:u w:val="single"/>
              </w:rPr>
            </w:pPr>
            <w:r w:rsidRPr="00FA3F9C">
              <w:rPr>
                <w:rFonts w:ascii="Arial" w:hAnsi="Arial" w:cs="Arial"/>
                <w:b/>
                <w:sz w:val="24"/>
                <w:szCs w:val="24"/>
                <w:u w:val="single"/>
              </w:rPr>
              <w:t>Criteria for new users</w:t>
            </w:r>
          </w:p>
        </w:tc>
        <w:tc>
          <w:tcPr>
            <w:tcW w:w="2996" w:type="dxa"/>
            <w:shd w:val="clear" w:color="auto" w:fill="000000"/>
          </w:tcPr>
          <w:p w14:paraId="6C128B08" w14:textId="77777777" w:rsidR="002641D2" w:rsidRPr="00FA3F9C" w:rsidRDefault="002641D2" w:rsidP="001638AD">
            <w:pPr>
              <w:jc w:val="center"/>
              <w:rPr>
                <w:rFonts w:ascii="Arial" w:hAnsi="Arial" w:cs="Arial"/>
                <w:b/>
                <w:sz w:val="24"/>
                <w:szCs w:val="24"/>
                <w:u w:val="single"/>
              </w:rPr>
            </w:pPr>
          </w:p>
        </w:tc>
      </w:tr>
      <w:tr w:rsidR="002641D2" w:rsidRPr="00FA3F9C" w14:paraId="05E9226C" w14:textId="77777777" w:rsidTr="001638AD">
        <w:tc>
          <w:tcPr>
            <w:tcW w:w="11016" w:type="dxa"/>
            <w:gridSpan w:val="2"/>
            <w:shd w:val="clear" w:color="auto" w:fill="auto"/>
          </w:tcPr>
          <w:p w14:paraId="4617461A" w14:textId="77777777" w:rsidR="002641D2" w:rsidRPr="00FA3F9C" w:rsidRDefault="002641D2" w:rsidP="00777289">
            <w:pPr>
              <w:rPr>
                <w:rFonts w:ascii="Arial" w:hAnsi="Arial" w:cs="Arial"/>
                <w:sz w:val="24"/>
                <w:szCs w:val="24"/>
              </w:rPr>
            </w:pPr>
            <w:r w:rsidRPr="00FA3F9C">
              <w:rPr>
                <w:rFonts w:ascii="Arial" w:hAnsi="Arial" w:cs="Arial"/>
                <w:sz w:val="24"/>
                <w:szCs w:val="24"/>
              </w:rPr>
              <w:t>1. Patient must have diagnosis of advanced/metastatic non-small cell lung cancer that tested positive for an EGFR activating mutation (exon 19 deletion or exon 21 L858R EGFR mutation)</w:t>
            </w:r>
          </w:p>
        </w:tc>
      </w:tr>
      <w:tr w:rsidR="002641D2" w:rsidRPr="00FA3F9C" w14:paraId="60ED060B" w14:textId="77777777" w:rsidTr="001638AD">
        <w:tc>
          <w:tcPr>
            <w:tcW w:w="11016" w:type="dxa"/>
            <w:gridSpan w:val="2"/>
            <w:shd w:val="clear" w:color="auto" w:fill="auto"/>
          </w:tcPr>
          <w:p w14:paraId="5BDA4DF1" w14:textId="77777777" w:rsidR="002641D2" w:rsidRPr="00FA3F9C" w:rsidRDefault="002641D2" w:rsidP="00777289">
            <w:pPr>
              <w:rPr>
                <w:rFonts w:ascii="Arial" w:hAnsi="Arial" w:cs="Arial"/>
                <w:sz w:val="24"/>
                <w:szCs w:val="24"/>
              </w:rPr>
            </w:pPr>
            <w:r w:rsidRPr="00FA3F9C">
              <w:rPr>
                <w:rFonts w:ascii="Arial" w:hAnsi="Arial" w:cs="Arial"/>
                <w:sz w:val="24"/>
                <w:szCs w:val="24"/>
              </w:rPr>
              <w:t>2. Patient has NOT received a prior EGFR inhibitor (</w:t>
            </w:r>
            <w:proofErr w:type="gramStart"/>
            <w:r w:rsidRPr="00FA3F9C">
              <w:rPr>
                <w:rFonts w:ascii="Arial" w:hAnsi="Arial" w:cs="Arial"/>
                <w:sz w:val="24"/>
                <w:szCs w:val="24"/>
              </w:rPr>
              <w:t>e.g.</w:t>
            </w:r>
            <w:proofErr w:type="gramEnd"/>
            <w:r w:rsidRPr="00FA3F9C">
              <w:rPr>
                <w:rFonts w:ascii="Arial" w:hAnsi="Arial" w:cs="Arial"/>
                <w:sz w:val="24"/>
                <w:szCs w:val="24"/>
              </w:rPr>
              <w:t xml:space="preserve"> erlotinib, </w:t>
            </w:r>
            <w:proofErr w:type="spellStart"/>
            <w:r w:rsidRPr="00FA3F9C">
              <w:rPr>
                <w:rFonts w:ascii="Arial" w:hAnsi="Arial" w:cs="Arial"/>
                <w:sz w:val="24"/>
                <w:szCs w:val="24"/>
              </w:rPr>
              <w:t>osimertinib</w:t>
            </w:r>
            <w:proofErr w:type="spellEnd"/>
            <w:r w:rsidRPr="00FA3F9C">
              <w:rPr>
                <w:rFonts w:ascii="Arial" w:hAnsi="Arial" w:cs="Arial"/>
                <w:sz w:val="24"/>
                <w:szCs w:val="24"/>
              </w:rPr>
              <w:t xml:space="preserve">, gefitinib, </w:t>
            </w:r>
            <w:proofErr w:type="spellStart"/>
            <w:r w:rsidRPr="00FA3F9C">
              <w:rPr>
                <w:rFonts w:ascii="Arial" w:hAnsi="Arial" w:cs="Arial"/>
                <w:sz w:val="24"/>
                <w:szCs w:val="24"/>
              </w:rPr>
              <w:t>afatinib</w:t>
            </w:r>
            <w:proofErr w:type="spellEnd"/>
            <w:r w:rsidRPr="00FA3F9C">
              <w:rPr>
                <w:rFonts w:ascii="Arial" w:hAnsi="Arial" w:cs="Arial"/>
                <w:sz w:val="24"/>
                <w:szCs w:val="24"/>
              </w:rPr>
              <w:t>, dacomitinib)</w:t>
            </w:r>
          </w:p>
        </w:tc>
      </w:tr>
      <w:tr w:rsidR="002641D2" w:rsidRPr="00FA3F9C" w14:paraId="2970A9CB" w14:textId="77777777" w:rsidTr="001638AD">
        <w:tc>
          <w:tcPr>
            <w:tcW w:w="10296" w:type="dxa"/>
            <w:gridSpan w:val="2"/>
            <w:shd w:val="clear" w:color="auto" w:fill="auto"/>
          </w:tcPr>
          <w:p w14:paraId="000DB8A1" w14:textId="77777777" w:rsidR="002641D2" w:rsidRPr="00FA3F9C" w:rsidRDefault="002641D2" w:rsidP="00573A98">
            <w:pPr>
              <w:rPr>
                <w:rFonts w:ascii="Arial" w:hAnsi="Arial" w:cs="Arial"/>
                <w:sz w:val="24"/>
                <w:szCs w:val="24"/>
              </w:rPr>
            </w:pPr>
            <w:r w:rsidRPr="00FA3F9C">
              <w:rPr>
                <w:rFonts w:ascii="Arial" w:hAnsi="Arial" w:cs="Arial"/>
                <w:sz w:val="24"/>
                <w:szCs w:val="24"/>
              </w:rPr>
              <w:t>3. ECOG status 0-2 at initiation of erlotinib.</w:t>
            </w:r>
          </w:p>
        </w:tc>
      </w:tr>
      <w:tr w:rsidR="002641D2" w:rsidRPr="00FA3F9C" w14:paraId="308FFB9E" w14:textId="77777777" w:rsidTr="001638AD">
        <w:tc>
          <w:tcPr>
            <w:tcW w:w="10296" w:type="dxa"/>
            <w:gridSpan w:val="2"/>
            <w:shd w:val="clear" w:color="auto" w:fill="auto"/>
          </w:tcPr>
          <w:p w14:paraId="622E9827" w14:textId="77777777" w:rsidR="002641D2" w:rsidRPr="00FA3F9C" w:rsidRDefault="002641D2" w:rsidP="00FA2784">
            <w:pPr>
              <w:rPr>
                <w:rFonts w:ascii="Arial" w:hAnsi="Arial" w:cs="Arial"/>
                <w:sz w:val="24"/>
                <w:szCs w:val="24"/>
              </w:rPr>
            </w:pPr>
            <w:r w:rsidRPr="00FA3F9C">
              <w:rPr>
                <w:rFonts w:ascii="Arial" w:hAnsi="Arial" w:cs="Arial"/>
                <w:sz w:val="24"/>
                <w:szCs w:val="24"/>
              </w:rPr>
              <w:t>4. Erlotinib will be used as single agent</w:t>
            </w:r>
          </w:p>
        </w:tc>
      </w:tr>
      <w:tr w:rsidR="002641D2" w:rsidRPr="00FA3F9C" w14:paraId="12B7F6C1" w14:textId="77777777" w:rsidTr="001638AD">
        <w:tc>
          <w:tcPr>
            <w:tcW w:w="10296" w:type="dxa"/>
            <w:gridSpan w:val="2"/>
            <w:shd w:val="clear" w:color="auto" w:fill="F2F2F2"/>
          </w:tcPr>
          <w:p w14:paraId="1EB4A202" w14:textId="77777777" w:rsidR="002641D2" w:rsidRPr="00FA3F9C" w:rsidRDefault="002641D2" w:rsidP="001638AD">
            <w:pPr>
              <w:rPr>
                <w:rFonts w:ascii="Arial" w:hAnsi="Arial" w:cs="Arial"/>
                <w:sz w:val="24"/>
                <w:szCs w:val="24"/>
              </w:rPr>
            </w:pPr>
            <w:r w:rsidRPr="00FA3F9C">
              <w:rPr>
                <w:rFonts w:ascii="Arial" w:hAnsi="Arial" w:cs="Arial"/>
                <w:sz w:val="24"/>
                <w:szCs w:val="24"/>
              </w:rPr>
              <w:t>If all criteria are met, approve x 1 year</w:t>
            </w:r>
          </w:p>
        </w:tc>
      </w:tr>
    </w:tbl>
    <w:p w14:paraId="3681FD4A" w14:textId="77777777" w:rsidR="002641D2" w:rsidRPr="00FA3F9C" w:rsidRDefault="002641D2">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6"/>
      </w:tblGrid>
      <w:tr w:rsidR="002641D2" w:rsidRPr="00FA3F9C" w14:paraId="6419F7E5" w14:textId="77777777" w:rsidTr="001638AD">
        <w:tc>
          <w:tcPr>
            <w:tcW w:w="10296" w:type="dxa"/>
            <w:shd w:val="clear" w:color="auto" w:fill="D9D9D9"/>
          </w:tcPr>
          <w:p w14:paraId="33DEDC0C" w14:textId="77777777" w:rsidR="002641D2" w:rsidRPr="00FA3F9C" w:rsidRDefault="002641D2" w:rsidP="001638AD">
            <w:pPr>
              <w:rPr>
                <w:rFonts w:ascii="Arial" w:hAnsi="Arial" w:cs="Arial"/>
                <w:sz w:val="24"/>
                <w:szCs w:val="24"/>
              </w:rPr>
            </w:pPr>
            <w:r w:rsidRPr="00FA3F9C">
              <w:rPr>
                <w:rFonts w:ascii="Arial" w:hAnsi="Arial" w:cs="Arial"/>
                <w:sz w:val="24"/>
                <w:szCs w:val="24"/>
              </w:rPr>
              <w:t xml:space="preserve">Notes: </w:t>
            </w:r>
          </w:p>
          <w:p w14:paraId="07AC7BE0" w14:textId="77777777" w:rsidR="002641D2" w:rsidRPr="00FA3F9C" w:rsidRDefault="002641D2" w:rsidP="001638AD">
            <w:pPr>
              <w:rPr>
                <w:rFonts w:ascii="Arial" w:hAnsi="Arial" w:cs="Arial"/>
                <w:sz w:val="24"/>
                <w:szCs w:val="24"/>
              </w:rPr>
            </w:pPr>
            <w:r w:rsidRPr="00FA3F9C">
              <w:rPr>
                <w:rFonts w:ascii="Arial" w:hAnsi="Arial" w:cs="Arial"/>
                <w:sz w:val="24"/>
                <w:szCs w:val="24"/>
              </w:rPr>
              <w:t>Dose: 150 mg once daily</w:t>
            </w:r>
          </w:p>
          <w:p w14:paraId="7F18E6BC" w14:textId="77777777" w:rsidR="002641D2" w:rsidRPr="00FA3F9C" w:rsidRDefault="002641D2" w:rsidP="001638AD">
            <w:pPr>
              <w:rPr>
                <w:rFonts w:ascii="Arial" w:hAnsi="Arial" w:cs="Arial"/>
                <w:sz w:val="24"/>
                <w:szCs w:val="24"/>
              </w:rPr>
            </w:pPr>
          </w:p>
          <w:p w14:paraId="7958BA7F" w14:textId="77777777" w:rsidR="002641D2" w:rsidRPr="00FA3F9C" w:rsidRDefault="002641D2" w:rsidP="00573A98">
            <w:pPr>
              <w:rPr>
                <w:rFonts w:ascii="Arial" w:hAnsi="Arial" w:cs="Arial"/>
                <w:sz w:val="24"/>
                <w:szCs w:val="24"/>
              </w:rPr>
            </w:pPr>
            <w:r w:rsidRPr="00FA3F9C">
              <w:rPr>
                <w:rFonts w:ascii="Arial" w:hAnsi="Arial" w:cs="Arial"/>
                <w:sz w:val="24"/>
                <w:szCs w:val="24"/>
              </w:rPr>
              <w:t xml:space="preserve">Erlotinib was compared with chemotherapy in untreated patients with metastatic non-small cell lung cancer </w:t>
            </w:r>
            <w:r w:rsidRPr="00FA3F9C">
              <w:rPr>
                <w:rFonts w:ascii="Arial" w:hAnsi="Arial" w:cs="Arial"/>
                <w:sz w:val="24"/>
                <w:szCs w:val="24"/>
                <w:u w:val="single"/>
              </w:rPr>
              <w:t>with EGFR mutation</w:t>
            </w:r>
            <w:r w:rsidRPr="00FA3F9C">
              <w:rPr>
                <w:rFonts w:ascii="Arial" w:hAnsi="Arial" w:cs="Arial"/>
                <w:sz w:val="24"/>
                <w:szCs w:val="24"/>
              </w:rPr>
              <w:t xml:space="preserve">. Progression free survival and response rate were improved and there were fewer adverse effects in the erlotinib group. 76% of chemotherapy patients crossed over to erlotinib, which confounds the overall survival analysis. </w:t>
            </w:r>
          </w:p>
          <w:p w14:paraId="5BF7923F" w14:textId="77777777" w:rsidR="002641D2" w:rsidRPr="00FA3F9C" w:rsidRDefault="002641D2" w:rsidP="00573A98">
            <w:pPr>
              <w:rPr>
                <w:rFonts w:ascii="Arial" w:hAnsi="Arial" w:cs="Arial"/>
                <w:sz w:val="24"/>
                <w:szCs w:val="24"/>
              </w:rPr>
            </w:pPr>
          </w:p>
          <w:p w14:paraId="43B25B52" w14:textId="77777777" w:rsidR="002641D2" w:rsidRPr="00FA3F9C" w:rsidRDefault="002641D2" w:rsidP="00573A98">
            <w:pPr>
              <w:rPr>
                <w:rFonts w:ascii="Arial" w:hAnsi="Arial" w:cs="Arial"/>
                <w:sz w:val="24"/>
                <w:szCs w:val="24"/>
              </w:rPr>
            </w:pPr>
            <w:r w:rsidRPr="00FA3F9C">
              <w:rPr>
                <w:rFonts w:ascii="Arial" w:hAnsi="Arial" w:cs="Arial"/>
                <w:sz w:val="24"/>
                <w:szCs w:val="24"/>
              </w:rPr>
              <w:t>Erlotinib is not effective/minimally effective if in patients unselected for EGFR mutation (see data summary below).</w:t>
            </w:r>
          </w:p>
          <w:p w14:paraId="2C6629DD" w14:textId="77777777" w:rsidR="002641D2" w:rsidRPr="00FA3F9C" w:rsidRDefault="002641D2" w:rsidP="00573A98">
            <w:pPr>
              <w:rPr>
                <w:rFonts w:ascii="Arial" w:hAnsi="Arial" w:cs="Arial"/>
                <w:sz w:val="24"/>
                <w:szCs w:val="24"/>
              </w:rPr>
            </w:pPr>
          </w:p>
          <w:p w14:paraId="6660CB4A" w14:textId="77777777" w:rsidR="002641D2" w:rsidRPr="00FA3F9C" w:rsidRDefault="002641D2" w:rsidP="00573A98">
            <w:pPr>
              <w:rPr>
                <w:rFonts w:ascii="Arial" w:hAnsi="Arial" w:cs="Arial"/>
                <w:sz w:val="24"/>
                <w:szCs w:val="24"/>
              </w:rPr>
            </w:pPr>
            <w:r w:rsidRPr="00FA3F9C">
              <w:rPr>
                <w:rFonts w:ascii="Arial" w:hAnsi="Arial" w:cs="Arial"/>
                <w:sz w:val="24"/>
                <w:szCs w:val="24"/>
              </w:rPr>
              <w:lastRenderedPageBreak/>
              <w:t>Erlotinib has not been shown to be effective in patients who have received therapy with a prior EGFR inhibitor therapy. NCCN guidelines recommend that erlotinib be used in the first line setting only.</w:t>
            </w:r>
            <w:r w:rsidRPr="00FA3F9C">
              <w:rPr>
                <w:rFonts w:ascii="Arial" w:hAnsi="Arial" w:cs="Arial"/>
                <w:sz w:val="24"/>
                <w:szCs w:val="24"/>
                <w:vertAlign w:val="superscript"/>
              </w:rPr>
              <w:t>2</w:t>
            </w:r>
          </w:p>
          <w:p w14:paraId="2A63C514" w14:textId="77777777" w:rsidR="002641D2" w:rsidRPr="00FA3F9C" w:rsidRDefault="002641D2" w:rsidP="00573A98">
            <w:pPr>
              <w:rPr>
                <w:rFonts w:ascii="Arial" w:hAnsi="Arial" w:cs="Arial"/>
                <w:sz w:val="24"/>
                <w:szCs w:val="24"/>
              </w:rPr>
            </w:pPr>
          </w:p>
          <w:p w14:paraId="508C5905" w14:textId="77777777" w:rsidR="002641D2" w:rsidRPr="00FA3F9C" w:rsidRDefault="002641D2" w:rsidP="00573A98">
            <w:pPr>
              <w:rPr>
                <w:rFonts w:ascii="Arial" w:hAnsi="Arial" w:cs="Arial"/>
                <w:sz w:val="24"/>
                <w:szCs w:val="24"/>
              </w:rPr>
            </w:pPr>
            <w:r w:rsidRPr="00FA3F9C">
              <w:rPr>
                <w:rFonts w:ascii="Arial" w:hAnsi="Arial" w:cs="Arial"/>
                <w:sz w:val="24"/>
                <w:szCs w:val="24"/>
              </w:rPr>
              <w:t>References:</w:t>
            </w:r>
          </w:p>
          <w:p w14:paraId="333FFCF8" w14:textId="77777777" w:rsidR="002641D2" w:rsidRPr="00FA3F9C" w:rsidRDefault="002641D2" w:rsidP="002641D2">
            <w:pPr>
              <w:numPr>
                <w:ilvl w:val="0"/>
                <w:numId w:val="180"/>
              </w:numPr>
              <w:spacing w:after="0" w:line="240" w:lineRule="auto"/>
              <w:ind w:left="180" w:hanging="180"/>
              <w:rPr>
                <w:rFonts w:ascii="Arial" w:hAnsi="Arial" w:cs="Arial"/>
                <w:sz w:val="24"/>
                <w:szCs w:val="24"/>
              </w:rPr>
            </w:pPr>
            <w:proofErr w:type="spellStart"/>
            <w:r w:rsidRPr="00FA3F9C">
              <w:rPr>
                <w:rFonts w:ascii="Arial" w:hAnsi="Arial" w:cs="Arial"/>
                <w:sz w:val="24"/>
                <w:szCs w:val="24"/>
              </w:rPr>
              <w:t>Rosell</w:t>
            </w:r>
            <w:proofErr w:type="spellEnd"/>
            <w:r w:rsidRPr="00FA3F9C">
              <w:rPr>
                <w:rFonts w:ascii="Arial" w:hAnsi="Arial" w:cs="Arial"/>
                <w:sz w:val="24"/>
                <w:szCs w:val="24"/>
              </w:rPr>
              <w:t xml:space="preserve"> R et al. Erlotinib versus standard chemotherapy as first-line treatment for European patients with advanced EGFR mutation-positive non-small-cell lung cancer (EURTAC): a </w:t>
            </w:r>
            <w:proofErr w:type="spellStart"/>
            <w:r w:rsidRPr="00FA3F9C">
              <w:rPr>
                <w:rFonts w:ascii="Arial" w:hAnsi="Arial" w:cs="Arial"/>
                <w:sz w:val="24"/>
                <w:szCs w:val="24"/>
              </w:rPr>
              <w:t>multicentre</w:t>
            </w:r>
            <w:proofErr w:type="spellEnd"/>
            <w:r w:rsidRPr="00FA3F9C">
              <w:rPr>
                <w:rFonts w:ascii="Arial" w:hAnsi="Arial" w:cs="Arial"/>
                <w:sz w:val="24"/>
                <w:szCs w:val="24"/>
              </w:rPr>
              <w:t xml:space="preserve">, open-label, </w:t>
            </w:r>
            <w:proofErr w:type="spellStart"/>
            <w:r w:rsidRPr="00FA3F9C">
              <w:rPr>
                <w:rFonts w:ascii="Arial" w:hAnsi="Arial" w:cs="Arial"/>
                <w:sz w:val="24"/>
                <w:szCs w:val="24"/>
              </w:rPr>
              <w:t>randomised</w:t>
            </w:r>
            <w:proofErr w:type="spellEnd"/>
            <w:r w:rsidRPr="00FA3F9C">
              <w:rPr>
                <w:rFonts w:ascii="Arial" w:hAnsi="Arial" w:cs="Arial"/>
                <w:sz w:val="24"/>
                <w:szCs w:val="24"/>
              </w:rPr>
              <w:t xml:space="preserve"> phase 3 trial. Lancet Oncol. 2012 Mar;13(3):239-46. PMID 22285168 NCT00446225.</w:t>
            </w:r>
          </w:p>
          <w:p w14:paraId="38D87C01" w14:textId="77777777" w:rsidR="002641D2" w:rsidRPr="00FA3F9C" w:rsidRDefault="002641D2" w:rsidP="002641D2">
            <w:pPr>
              <w:numPr>
                <w:ilvl w:val="0"/>
                <w:numId w:val="180"/>
              </w:numPr>
              <w:spacing w:after="0" w:line="240" w:lineRule="auto"/>
              <w:ind w:left="180" w:hanging="180"/>
              <w:rPr>
                <w:rFonts w:ascii="Arial" w:hAnsi="Arial" w:cs="Arial"/>
                <w:sz w:val="24"/>
                <w:szCs w:val="24"/>
              </w:rPr>
            </w:pPr>
            <w:r w:rsidRPr="00FA3F9C">
              <w:rPr>
                <w:rFonts w:ascii="Arial" w:hAnsi="Arial" w:cs="Arial"/>
                <w:sz w:val="24"/>
                <w:szCs w:val="24"/>
              </w:rPr>
              <w:t xml:space="preserve">NCCN guidelines. </w:t>
            </w:r>
            <w:hyperlink r:id="rId162" w:history="1">
              <w:r w:rsidRPr="00FA3F9C">
                <w:rPr>
                  <w:rStyle w:val="Hyperlink"/>
                  <w:rFonts w:ascii="Arial" w:hAnsi="Arial" w:cs="Arial"/>
                  <w:sz w:val="24"/>
                  <w:szCs w:val="24"/>
                </w:rPr>
                <w:t>https://www.nccn.org/professionals/physician_gls/pdf/nscl.pdf</w:t>
              </w:r>
            </w:hyperlink>
            <w:r w:rsidRPr="00FA3F9C">
              <w:rPr>
                <w:rFonts w:ascii="Arial" w:hAnsi="Arial" w:cs="Arial"/>
                <w:sz w:val="24"/>
                <w:szCs w:val="24"/>
              </w:rPr>
              <w:t>. Accessed 6/17/19.</w:t>
            </w:r>
          </w:p>
        </w:tc>
      </w:tr>
    </w:tbl>
    <w:p w14:paraId="5347FB9C" w14:textId="77777777" w:rsidR="002641D2" w:rsidRPr="00FA3F9C" w:rsidRDefault="002641D2" w:rsidP="000349BC">
      <w:pPr>
        <w:rPr>
          <w:rFonts w:ascii="Arial" w:hAnsi="Arial" w:cs="Arial"/>
          <w:sz w:val="24"/>
          <w:szCs w:val="24"/>
        </w:rPr>
      </w:pPr>
    </w:p>
    <w:p w14:paraId="0B8C6D56" w14:textId="77777777" w:rsidR="002641D2" w:rsidRPr="00FA3F9C" w:rsidRDefault="002641D2" w:rsidP="00777289">
      <w:pPr>
        <w:rPr>
          <w:rFonts w:ascii="Arial" w:hAnsi="Arial" w:cs="Arial"/>
          <w:sz w:val="24"/>
          <w:szCs w:val="24"/>
        </w:rPr>
      </w:pPr>
      <w:r w:rsidRPr="00FA3F9C">
        <w:rPr>
          <w:rFonts w:ascii="Arial" w:hAnsi="Arial" w:cs="Arial"/>
          <w:sz w:val="24"/>
          <w:szCs w:val="24"/>
        </w:rPr>
        <w:t>Quantity Limits (all strengths): 30 tabs/30 days</w:t>
      </w:r>
    </w:p>
    <w:p w14:paraId="254B31AB" w14:textId="77777777" w:rsidR="002641D2" w:rsidRPr="00FA3F9C" w:rsidRDefault="002641D2" w:rsidP="00777289">
      <w:pPr>
        <w:rPr>
          <w:rFonts w:ascii="Arial" w:hAnsi="Arial" w:cs="Arial"/>
          <w:sz w:val="24"/>
          <w:szCs w:val="24"/>
        </w:rPr>
      </w:pPr>
    </w:p>
    <w:p w14:paraId="50BD3427" w14:textId="77777777" w:rsidR="002641D2" w:rsidRPr="00FA3F9C" w:rsidRDefault="002641D2" w:rsidP="00777289">
      <w:pPr>
        <w:rPr>
          <w:rFonts w:ascii="Arial" w:hAnsi="Arial" w:cs="Arial"/>
          <w:sz w:val="24"/>
          <w:szCs w:val="24"/>
        </w:rPr>
      </w:pPr>
    </w:p>
    <w:p w14:paraId="05869D81" w14:textId="77777777" w:rsidR="002641D2" w:rsidRPr="00FA3F9C" w:rsidRDefault="002641D2" w:rsidP="00777289">
      <w:pPr>
        <w:rPr>
          <w:rFonts w:ascii="Arial" w:hAnsi="Arial" w:cs="Arial"/>
          <w:sz w:val="24"/>
          <w:szCs w:val="24"/>
        </w:rPr>
      </w:pPr>
    </w:p>
    <w:p w14:paraId="18550F78" w14:textId="77777777" w:rsidR="002641D2" w:rsidRPr="00FA3F9C" w:rsidRDefault="002641D2" w:rsidP="00FF486E">
      <w:pPr>
        <w:rPr>
          <w:rFonts w:ascii="Arial" w:hAnsi="Arial" w:cs="Arial"/>
          <w:b/>
          <w:sz w:val="24"/>
          <w:szCs w:val="24"/>
        </w:rPr>
      </w:pPr>
      <w:r w:rsidRPr="00FA3F9C">
        <w:rPr>
          <w:rFonts w:ascii="Arial" w:hAnsi="Arial" w:cs="Arial"/>
          <w:b/>
          <w:sz w:val="24"/>
          <w:szCs w:val="24"/>
        </w:rPr>
        <w:t xml:space="preserve">Historical notes (erlotinib is not effective or minimally effective without EGFR mutation):  </w:t>
      </w:r>
    </w:p>
    <w:p w14:paraId="123F2B83" w14:textId="77777777" w:rsidR="002641D2" w:rsidRPr="00FA3F9C" w:rsidRDefault="002641D2" w:rsidP="002641D2">
      <w:pPr>
        <w:numPr>
          <w:ilvl w:val="0"/>
          <w:numId w:val="178"/>
        </w:numPr>
        <w:spacing w:after="0" w:line="240" w:lineRule="auto"/>
        <w:rPr>
          <w:rFonts w:ascii="Arial" w:hAnsi="Arial" w:cs="Arial"/>
          <w:sz w:val="24"/>
          <w:szCs w:val="24"/>
        </w:rPr>
      </w:pPr>
      <w:r w:rsidRPr="00FA3F9C">
        <w:rPr>
          <w:rFonts w:ascii="Arial" w:hAnsi="Arial" w:cs="Arial"/>
          <w:sz w:val="24"/>
          <w:szCs w:val="24"/>
        </w:rPr>
        <w:t xml:space="preserve">Erlotinib is not effective in second-line treatment (after chemo) in patients with metastatic NSCLC </w:t>
      </w:r>
      <w:r w:rsidRPr="00FA3F9C">
        <w:rPr>
          <w:rFonts w:ascii="Arial" w:hAnsi="Arial" w:cs="Arial"/>
          <w:sz w:val="24"/>
          <w:szCs w:val="24"/>
          <w:u w:val="single"/>
        </w:rPr>
        <w:t>without EGFR mutation</w:t>
      </w:r>
      <w:r w:rsidRPr="00FA3F9C">
        <w:rPr>
          <w:rFonts w:ascii="Arial" w:hAnsi="Arial" w:cs="Arial"/>
          <w:sz w:val="24"/>
          <w:szCs w:val="24"/>
        </w:rPr>
        <w:t xml:space="preserve">. The </w:t>
      </w:r>
      <w:r w:rsidRPr="00FA3F9C">
        <w:rPr>
          <w:rFonts w:ascii="Arial" w:hAnsi="Arial" w:cs="Arial"/>
          <w:sz w:val="24"/>
          <w:szCs w:val="24"/>
          <w:u w:val="single"/>
        </w:rPr>
        <w:t xml:space="preserve">TITAN </w:t>
      </w:r>
      <w:r w:rsidRPr="00FA3F9C">
        <w:rPr>
          <w:rFonts w:ascii="Arial" w:hAnsi="Arial" w:cs="Arial"/>
          <w:sz w:val="24"/>
          <w:szCs w:val="24"/>
        </w:rPr>
        <w:t>trial</w:t>
      </w:r>
      <w:r w:rsidRPr="00FA3F9C">
        <w:rPr>
          <w:rFonts w:ascii="Arial" w:hAnsi="Arial" w:cs="Arial"/>
          <w:sz w:val="24"/>
          <w:szCs w:val="24"/>
          <w:vertAlign w:val="superscript"/>
        </w:rPr>
        <w:t>1</w:t>
      </w:r>
      <w:r w:rsidRPr="00FA3F9C">
        <w:rPr>
          <w:rFonts w:ascii="Arial" w:hAnsi="Arial" w:cs="Arial"/>
          <w:sz w:val="24"/>
          <w:szCs w:val="24"/>
        </w:rPr>
        <w:t xml:space="preserve"> in n=424 patients (35-38% had squamous; only 3-4% had EGFR mutation though 43% had missing mutation status) with locally advanced, recurrent or metastatic NSCLC were treated with up to 4 cycles of 1</w:t>
      </w:r>
      <w:r w:rsidRPr="00FA3F9C">
        <w:rPr>
          <w:rFonts w:ascii="Arial" w:hAnsi="Arial" w:cs="Arial"/>
          <w:sz w:val="24"/>
          <w:szCs w:val="24"/>
          <w:vertAlign w:val="superscript"/>
        </w:rPr>
        <w:t>st</w:t>
      </w:r>
      <w:r w:rsidRPr="00FA3F9C">
        <w:rPr>
          <w:rFonts w:ascii="Arial" w:hAnsi="Arial" w:cs="Arial"/>
          <w:sz w:val="24"/>
          <w:szCs w:val="24"/>
        </w:rPr>
        <w:t xml:space="preserve"> line platinum-based chemotherapy, after which patients with disease progression were randomized to either erlotinib 150mg/d or standard CTX (either docetaxel or pemetrexed).  OS, the primary endpoint was not different.  Rate of treatment related AE also did not differ.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0"/>
        <w:gridCol w:w="4650"/>
        <w:gridCol w:w="2310"/>
      </w:tblGrid>
      <w:tr w:rsidR="002641D2" w:rsidRPr="00FA3F9C" w14:paraId="2AFE5DE3" w14:textId="77777777" w:rsidTr="00A71635">
        <w:trPr>
          <w:jc w:val="center"/>
        </w:trPr>
        <w:tc>
          <w:tcPr>
            <w:tcW w:w="2280" w:type="dxa"/>
            <w:shd w:val="clear" w:color="auto" w:fill="FFFFFF"/>
          </w:tcPr>
          <w:p w14:paraId="1C750DEB" w14:textId="77777777" w:rsidR="002641D2" w:rsidRPr="00FA3F9C" w:rsidRDefault="002641D2" w:rsidP="00B304A8">
            <w:pPr>
              <w:shd w:val="clear" w:color="auto" w:fill="FFFFFF"/>
              <w:rPr>
                <w:rFonts w:ascii="Arial" w:hAnsi="Arial" w:cs="Arial"/>
                <w:sz w:val="24"/>
                <w:szCs w:val="24"/>
                <w:lang w:val="fr-FR"/>
              </w:rPr>
            </w:pPr>
            <w:proofErr w:type="spellStart"/>
            <w:r w:rsidRPr="00FA3F9C">
              <w:rPr>
                <w:rFonts w:ascii="Arial" w:hAnsi="Arial" w:cs="Arial"/>
                <w:sz w:val="24"/>
                <w:szCs w:val="24"/>
                <w:lang w:val="fr-FR"/>
              </w:rPr>
              <w:t>Overall</w:t>
            </w:r>
            <w:proofErr w:type="spellEnd"/>
            <w:r w:rsidRPr="00FA3F9C">
              <w:rPr>
                <w:rFonts w:ascii="Arial" w:hAnsi="Arial" w:cs="Arial"/>
                <w:sz w:val="24"/>
                <w:szCs w:val="24"/>
                <w:lang w:val="fr-FR"/>
              </w:rPr>
              <w:t xml:space="preserve"> Survival (</w:t>
            </w:r>
            <w:proofErr w:type="spellStart"/>
            <w:r w:rsidRPr="00FA3F9C">
              <w:rPr>
                <w:rFonts w:ascii="Arial" w:hAnsi="Arial" w:cs="Arial"/>
                <w:sz w:val="24"/>
                <w:szCs w:val="24"/>
                <w:lang w:val="fr-FR"/>
              </w:rPr>
              <w:t>erlot</w:t>
            </w:r>
            <w:proofErr w:type="spellEnd"/>
            <w:r w:rsidRPr="00FA3F9C">
              <w:rPr>
                <w:rFonts w:ascii="Arial" w:hAnsi="Arial" w:cs="Arial"/>
                <w:sz w:val="24"/>
                <w:szCs w:val="24"/>
                <w:lang w:val="fr-FR"/>
              </w:rPr>
              <w:t>)</w:t>
            </w:r>
          </w:p>
        </w:tc>
        <w:tc>
          <w:tcPr>
            <w:tcW w:w="4650" w:type="dxa"/>
            <w:shd w:val="clear" w:color="auto" w:fill="FFFFFF"/>
          </w:tcPr>
          <w:p w14:paraId="51A3B53B" w14:textId="77777777" w:rsidR="002641D2" w:rsidRPr="00FA3F9C" w:rsidRDefault="002641D2" w:rsidP="00B304A8">
            <w:pPr>
              <w:shd w:val="clear" w:color="auto" w:fill="FFFFFF"/>
              <w:rPr>
                <w:rFonts w:ascii="Arial" w:hAnsi="Arial" w:cs="Arial"/>
                <w:sz w:val="24"/>
                <w:szCs w:val="24"/>
              </w:rPr>
            </w:pPr>
            <w:r w:rsidRPr="00FA3F9C">
              <w:rPr>
                <w:rFonts w:ascii="Arial" w:hAnsi="Arial" w:cs="Arial"/>
                <w:sz w:val="24"/>
                <w:szCs w:val="24"/>
              </w:rPr>
              <w:t>E 5.3m (4.0-6.0m) vs STD chemotherapy 5.6m (4.4-7.1m)</w:t>
            </w:r>
          </w:p>
        </w:tc>
        <w:tc>
          <w:tcPr>
            <w:tcW w:w="2310" w:type="dxa"/>
            <w:shd w:val="clear" w:color="auto" w:fill="FFFFFF"/>
          </w:tcPr>
          <w:p w14:paraId="106C6F81" w14:textId="77777777" w:rsidR="002641D2" w:rsidRPr="00FA3F9C" w:rsidRDefault="002641D2" w:rsidP="00B304A8">
            <w:pPr>
              <w:shd w:val="clear" w:color="auto" w:fill="FFFFFF"/>
              <w:rPr>
                <w:rFonts w:ascii="Arial" w:hAnsi="Arial" w:cs="Arial"/>
                <w:sz w:val="24"/>
                <w:szCs w:val="24"/>
                <w:lang w:val="fr-FR"/>
              </w:rPr>
            </w:pPr>
            <w:r w:rsidRPr="00FA3F9C">
              <w:rPr>
                <w:rFonts w:ascii="Arial" w:hAnsi="Arial" w:cs="Arial"/>
                <w:sz w:val="24"/>
                <w:szCs w:val="24"/>
                <w:lang w:val="fr-FR"/>
              </w:rPr>
              <w:t>HR 0.96 (</w:t>
            </w:r>
            <w:r w:rsidRPr="00FA3F9C">
              <w:rPr>
                <w:rFonts w:ascii="Arial" w:hAnsi="Arial" w:cs="Arial"/>
                <w:sz w:val="24"/>
                <w:szCs w:val="24"/>
                <w:highlight w:val="yellow"/>
                <w:lang w:val="fr-FR"/>
              </w:rPr>
              <w:t>95% CI, 0.78-1.19</w:t>
            </w:r>
            <w:r w:rsidRPr="00FA3F9C">
              <w:rPr>
                <w:rFonts w:ascii="Arial" w:hAnsi="Arial" w:cs="Arial"/>
                <w:sz w:val="24"/>
                <w:szCs w:val="24"/>
                <w:lang w:val="fr-FR"/>
              </w:rPr>
              <w:t>)</w:t>
            </w:r>
          </w:p>
        </w:tc>
      </w:tr>
    </w:tbl>
    <w:p w14:paraId="7B64A5E0" w14:textId="77777777" w:rsidR="002641D2" w:rsidRPr="00FA3F9C" w:rsidRDefault="002641D2" w:rsidP="002641D2">
      <w:pPr>
        <w:numPr>
          <w:ilvl w:val="0"/>
          <w:numId w:val="178"/>
        </w:numPr>
        <w:shd w:val="clear" w:color="auto" w:fill="FFFFFF"/>
        <w:spacing w:after="0" w:line="240" w:lineRule="auto"/>
        <w:rPr>
          <w:rFonts w:ascii="Arial" w:hAnsi="Arial" w:cs="Arial"/>
          <w:b/>
          <w:sz w:val="24"/>
          <w:szCs w:val="24"/>
        </w:rPr>
      </w:pPr>
      <w:r w:rsidRPr="00FA3F9C">
        <w:rPr>
          <w:rFonts w:ascii="Arial" w:hAnsi="Arial" w:cs="Arial"/>
          <w:sz w:val="24"/>
          <w:szCs w:val="24"/>
        </w:rPr>
        <w:lastRenderedPageBreak/>
        <w:t>Erlotinib was minimally effective in metastatic NSCLC patients previously treated with 1-2 chemotherapy regimens. 24% of patients were positive for EGFR mutation and 57% had unknown EGFR mutation status.</w:t>
      </w:r>
      <w:r w:rsidRPr="00FA3F9C">
        <w:rPr>
          <w:rFonts w:ascii="Arial" w:hAnsi="Arial" w:cs="Arial"/>
          <w:sz w:val="24"/>
          <w:szCs w:val="24"/>
          <w:vertAlign w:val="superscript"/>
        </w:rPr>
        <w:t>2</w:t>
      </w:r>
      <w:r w:rsidRPr="00FA3F9C">
        <w:rPr>
          <w:rFonts w:ascii="Arial" w:hAnsi="Arial" w:cs="Arial"/>
          <w:sz w:val="24"/>
          <w:szCs w:val="24"/>
        </w:rPr>
        <w:t xml:space="preserve"> There was only a </w:t>
      </w:r>
      <w:proofErr w:type="gramStart"/>
      <w:r w:rsidRPr="00FA3F9C">
        <w:rPr>
          <w:rFonts w:ascii="Arial" w:hAnsi="Arial" w:cs="Arial"/>
          <w:sz w:val="24"/>
          <w:szCs w:val="24"/>
        </w:rPr>
        <w:t>2 month</w:t>
      </w:r>
      <w:proofErr w:type="gramEnd"/>
      <w:r w:rsidRPr="00FA3F9C">
        <w:rPr>
          <w:rFonts w:ascii="Arial" w:hAnsi="Arial" w:cs="Arial"/>
          <w:sz w:val="24"/>
          <w:szCs w:val="24"/>
        </w:rPr>
        <w:t xml:space="preserve"> OS benefit of erlotinib over placebo; 2 m of prolonged OS does not meet the ASCO goal of a meaningful difference with a treatment (a minimum of &gt;2.5m), nor does it meet the minimal PFS benefit of &gt;3m.  PFS was 0.4m with erlotinib vs placebo. </w:t>
      </w:r>
      <w:r w:rsidRPr="00FA3F9C">
        <w:rPr>
          <w:rFonts w:ascii="Arial" w:hAnsi="Arial" w:cs="Arial"/>
          <w:sz w:val="24"/>
          <w:szCs w:val="24"/>
          <w:vertAlign w:val="superscript"/>
        </w:rPr>
        <w:t>3</w:t>
      </w:r>
    </w:p>
    <w:p w14:paraId="5F3C8F77" w14:textId="77777777" w:rsidR="002641D2" w:rsidRPr="00FA3F9C" w:rsidRDefault="002641D2" w:rsidP="002641D2">
      <w:pPr>
        <w:numPr>
          <w:ilvl w:val="0"/>
          <w:numId w:val="178"/>
        </w:numPr>
        <w:shd w:val="clear" w:color="auto" w:fill="FFFFFF"/>
        <w:spacing w:after="0" w:line="240" w:lineRule="auto"/>
        <w:rPr>
          <w:rFonts w:ascii="Arial" w:hAnsi="Arial" w:cs="Arial"/>
          <w:sz w:val="24"/>
          <w:szCs w:val="24"/>
        </w:rPr>
      </w:pPr>
      <w:r w:rsidRPr="00FA3F9C">
        <w:rPr>
          <w:rFonts w:ascii="Arial" w:hAnsi="Arial" w:cs="Arial"/>
          <w:sz w:val="24"/>
          <w:szCs w:val="24"/>
        </w:rPr>
        <w:t xml:space="preserve">Erlotinib was minimally effective for the maintenance treatment of </w:t>
      </w:r>
      <w:proofErr w:type="gramStart"/>
      <w:r w:rsidRPr="00FA3F9C">
        <w:rPr>
          <w:rFonts w:ascii="Arial" w:hAnsi="Arial" w:cs="Arial"/>
          <w:sz w:val="24"/>
          <w:szCs w:val="24"/>
        </w:rPr>
        <w:t>locally-advanced</w:t>
      </w:r>
      <w:proofErr w:type="gramEnd"/>
      <w:r w:rsidRPr="00FA3F9C">
        <w:rPr>
          <w:rFonts w:ascii="Arial" w:hAnsi="Arial" w:cs="Arial"/>
          <w:sz w:val="24"/>
          <w:szCs w:val="24"/>
        </w:rPr>
        <w:t xml:space="preserve"> or metastatic NSCLC which had not progressed after 4 cycles of 1</w:t>
      </w:r>
      <w:r w:rsidRPr="00FA3F9C">
        <w:rPr>
          <w:rFonts w:ascii="Arial" w:hAnsi="Arial" w:cs="Arial"/>
          <w:sz w:val="24"/>
          <w:szCs w:val="24"/>
          <w:vertAlign w:val="superscript"/>
        </w:rPr>
        <w:t>st</w:t>
      </w:r>
      <w:r w:rsidRPr="00FA3F9C">
        <w:rPr>
          <w:rFonts w:ascii="Arial" w:hAnsi="Arial" w:cs="Arial"/>
          <w:sz w:val="24"/>
          <w:szCs w:val="24"/>
        </w:rPr>
        <w:t xml:space="preserve"> line platinum-based chemotherapy (EGFR mutation was not required in this study and was present in only 14 patients). Neither the PFS </w:t>
      </w:r>
      <w:proofErr w:type="gramStart"/>
      <w:r w:rsidRPr="00FA3F9C">
        <w:rPr>
          <w:rFonts w:ascii="Arial" w:hAnsi="Arial" w:cs="Arial"/>
          <w:sz w:val="24"/>
          <w:szCs w:val="24"/>
        </w:rPr>
        <w:t>or</w:t>
      </w:r>
      <w:proofErr w:type="gramEnd"/>
      <w:r w:rsidRPr="00FA3F9C">
        <w:rPr>
          <w:rFonts w:ascii="Arial" w:hAnsi="Arial" w:cs="Arial"/>
          <w:sz w:val="24"/>
          <w:szCs w:val="24"/>
        </w:rPr>
        <w:t xml:space="preserve"> the OS reached a clinically significant improvement over placebo as judged by the American Society of Clinical Oncology.  They suggest a minimal clinically meaningful improvement of 2.5-4 months in OS and an improvement of 3-4 months in PFS.  Therefore, erlotinib is not covered as a maintenance therapy in NSCLC.</w:t>
      </w:r>
    </w:p>
    <w:p w14:paraId="3158A345" w14:textId="77777777" w:rsidR="002641D2" w:rsidRPr="00FA3F9C" w:rsidRDefault="002641D2" w:rsidP="002641D2">
      <w:pPr>
        <w:numPr>
          <w:ilvl w:val="1"/>
          <w:numId w:val="178"/>
        </w:numPr>
        <w:shd w:val="clear" w:color="auto" w:fill="FFFFFF"/>
        <w:spacing w:after="0" w:line="240" w:lineRule="auto"/>
        <w:rPr>
          <w:rFonts w:ascii="Arial" w:hAnsi="Arial" w:cs="Arial"/>
          <w:sz w:val="24"/>
          <w:szCs w:val="24"/>
        </w:rPr>
      </w:pPr>
      <w:proofErr w:type="spellStart"/>
      <w:r w:rsidRPr="00FA3F9C">
        <w:rPr>
          <w:rFonts w:ascii="Arial" w:hAnsi="Arial" w:cs="Arial"/>
          <w:b/>
          <w:sz w:val="24"/>
          <w:szCs w:val="24"/>
        </w:rPr>
        <w:t>Pérol</w:t>
      </w:r>
      <w:proofErr w:type="spellEnd"/>
      <w:r w:rsidRPr="00FA3F9C">
        <w:rPr>
          <w:rFonts w:ascii="Arial" w:hAnsi="Arial" w:cs="Arial"/>
          <w:b/>
          <w:sz w:val="24"/>
          <w:szCs w:val="24"/>
        </w:rPr>
        <w:t>, et al</w:t>
      </w:r>
      <w:r w:rsidRPr="00FA3F9C">
        <w:rPr>
          <w:rFonts w:ascii="Arial" w:hAnsi="Arial" w:cs="Arial"/>
          <w:b/>
          <w:sz w:val="24"/>
          <w:szCs w:val="24"/>
          <w:vertAlign w:val="superscript"/>
        </w:rPr>
        <w:t>4</w:t>
      </w:r>
      <w:r w:rsidRPr="00FA3F9C">
        <w:rPr>
          <w:rFonts w:ascii="Arial" w:hAnsi="Arial" w:cs="Arial"/>
          <w:b/>
          <w:sz w:val="24"/>
          <w:szCs w:val="24"/>
        </w:rPr>
        <w:t>:</w:t>
      </w:r>
      <w:r w:rsidRPr="00FA3F9C">
        <w:rPr>
          <w:rFonts w:ascii="Arial" w:hAnsi="Arial" w:cs="Arial"/>
          <w:sz w:val="24"/>
          <w:szCs w:val="24"/>
        </w:rPr>
        <w:t xml:space="preserve"> Patients (n=464) with stage IIIB/IV NSCLC without tumor progression post-four cycles of cisplatin-gemcitabine were randomly assigned to gemcitabine, erlotinib (150 mg/day), or observation.  Upon disease progression, pemetrexed was given in all three arms.  Primary endpoint was PFS.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2164"/>
        <w:gridCol w:w="3540"/>
      </w:tblGrid>
      <w:tr w:rsidR="002641D2" w:rsidRPr="00FA3F9C" w14:paraId="7833534B" w14:textId="77777777" w:rsidTr="00B304A8">
        <w:trPr>
          <w:jc w:val="center"/>
        </w:trPr>
        <w:tc>
          <w:tcPr>
            <w:tcW w:w="1376" w:type="dxa"/>
            <w:shd w:val="clear" w:color="auto" w:fill="auto"/>
          </w:tcPr>
          <w:p w14:paraId="307C5C25" w14:textId="77777777" w:rsidR="002641D2" w:rsidRPr="00FA3F9C" w:rsidRDefault="002641D2" w:rsidP="00B304A8">
            <w:pPr>
              <w:shd w:val="clear" w:color="auto" w:fill="FFFFFF"/>
              <w:rPr>
                <w:rFonts w:ascii="Arial" w:hAnsi="Arial" w:cs="Arial"/>
                <w:i/>
                <w:sz w:val="24"/>
                <w:szCs w:val="24"/>
              </w:rPr>
            </w:pPr>
            <w:r w:rsidRPr="00FA3F9C">
              <w:rPr>
                <w:rFonts w:ascii="Arial" w:hAnsi="Arial" w:cs="Arial"/>
                <w:i/>
                <w:sz w:val="24"/>
                <w:szCs w:val="24"/>
              </w:rPr>
              <w:t>PFS gem</w:t>
            </w:r>
          </w:p>
        </w:tc>
        <w:tc>
          <w:tcPr>
            <w:tcW w:w="2164" w:type="dxa"/>
            <w:shd w:val="clear" w:color="auto" w:fill="auto"/>
          </w:tcPr>
          <w:p w14:paraId="2DE7B542" w14:textId="77777777" w:rsidR="002641D2" w:rsidRPr="00FA3F9C" w:rsidRDefault="002641D2" w:rsidP="00B304A8">
            <w:pPr>
              <w:shd w:val="clear" w:color="auto" w:fill="FFFFFF"/>
              <w:rPr>
                <w:rFonts w:ascii="Arial" w:hAnsi="Arial" w:cs="Arial"/>
                <w:i/>
                <w:sz w:val="24"/>
                <w:szCs w:val="24"/>
              </w:rPr>
            </w:pPr>
            <w:r w:rsidRPr="00FA3F9C">
              <w:rPr>
                <w:rFonts w:ascii="Arial" w:hAnsi="Arial" w:cs="Arial"/>
                <w:i/>
                <w:sz w:val="24"/>
                <w:szCs w:val="24"/>
              </w:rPr>
              <w:t xml:space="preserve">G 3.8m vs </w:t>
            </w:r>
            <w:proofErr w:type="spellStart"/>
            <w:r w:rsidRPr="00FA3F9C">
              <w:rPr>
                <w:rFonts w:ascii="Arial" w:hAnsi="Arial" w:cs="Arial"/>
                <w:i/>
                <w:sz w:val="24"/>
                <w:szCs w:val="24"/>
              </w:rPr>
              <w:t>Obs</w:t>
            </w:r>
            <w:proofErr w:type="spellEnd"/>
            <w:r w:rsidRPr="00FA3F9C">
              <w:rPr>
                <w:rFonts w:ascii="Arial" w:hAnsi="Arial" w:cs="Arial"/>
                <w:i/>
                <w:sz w:val="24"/>
                <w:szCs w:val="24"/>
              </w:rPr>
              <w:t xml:space="preserve"> 1.9m</w:t>
            </w:r>
          </w:p>
        </w:tc>
        <w:tc>
          <w:tcPr>
            <w:tcW w:w="3540" w:type="dxa"/>
            <w:shd w:val="clear" w:color="auto" w:fill="auto"/>
          </w:tcPr>
          <w:p w14:paraId="2D217933" w14:textId="77777777" w:rsidR="002641D2" w:rsidRPr="00FA3F9C" w:rsidRDefault="002641D2" w:rsidP="00B304A8">
            <w:pPr>
              <w:shd w:val="clear" w:color="auto" w:fill="FFFFFF"/>
              <w:rPr>
                <w:rFonts w:ascii="Arial" w:hAnsi="Arial" w:cs="Arial"/>
                <w:i/>
                <w:sz w:val="24"/>
                <w:szCs w:val="24"/>
              </w:rPr>
            </w:pPr>
            <w:r w:rsidRPr="00FA3F9C">
              <w:rPr>
                <w:rFonts w:ascii="Arial" w:hAnsi="Arial" w:cs="Arial"/>
                <w:i/>
                <w:sz w:val="24"/>
                <w:szCs w:val="24"/>
              </w:rPr>
              <w:t>HR 0.56 (95% CI, 0.44-0.72)</w:t>
            </w:r>
          </w:p>
        </w:tc>
      </w:tr>
      <w:tr w:rsidR="002641D2" w:rsidRPr="00FA3F9C" w14:paraId="2825124B" w14:textId="77777777" w:rsidTr="00B304A8">
        <w:trPr>
          <w:jc w:val="center"/>
        </w:trPr>
        <w:tc>
          <w:tcPr>
            <w:tcW w:w="1376" w:type="dxa"/>
            <w:shd w:val="clear" w:color="auto" w:fill="auto"/>
          </w:tcPr>
          <w:p w14:paraId="640F662B" w14:textId="77777777" w:rsidR="002641D2" w:rsidRPr="00FA3F9C" w:rsidRDefault="002641D2" w:rsidP="00B304A8">
            <w:pPr>
              <w:shd w:val="clear" w:color="auto" w:fill="FFFFFF"/>
              <w:rPr>
                <w:rFonts w:ascii="Arial" w:hAnsi="Arial" w:cs="Arial"/>
                <w:i/>
                <w:sz w:val="24"/>
                <w:szCs w:val="24"/>
              </w:rPr>
            </w:pPr>
            <w:r w:rsidRPr="00FA3F9C">
              <w:rPr>
                <w:rFonts w:ascii="Arial" w:hAnsi="Arial" w:cs="Arial"/>
                <w:i/>
                <w:sz w:val="24"/>
                <w:szCs w:val="24"/>
              </w:rPr>
              <w:t xml:space="preserve">PFS </w:t>
            </w:r>
            <w:proofErr w:type="spellStart"/>
            <w:r w:rsidRPr="00FA3F9C">
              <w:rPr>
                <w:rFonts w:ascii="Arial" w:hAnsi="Arial" w:cs="Arial"/>
                <w:i/>
                <w:sz w:val="24"/>
                <w:szCs w:val="24"/>
              </w:rPr>
              <w:t>erlot</w:t>
            </w:r>
            <w:proofErr w:type="spellEnd"/>
          </w:p>
        </w:tc>
        <w:tc>
          <w:tcPr>
            <w:tcW w:w="2164" w:type="dxa"/>
            <w:shd w:val="clear" w:color="auto" w:fill="auto"/>
          </w:tcPr>
          <w:p w14:paraId="3DCF7EA0" w14:textId="77777777" w:rsidR="002641D2" w:rsidRPr="00FA3F9C" w:rsidRDefault="002641D2" w:rsidP="00B304A8">
            <w:pPr>
              <w:shd w:val="clear" w:color="auto" w:fill="FFFFFF"/>
              <w:rPr>
                <w:rFonts w:ascii="Arial" w:hAnsi="Arial" w:cs="Arial"/>
                <w:i/>
                <w:sz w:val="24"/>
                <w:szCs w:val="24"/>
                <w:lang w:val="fr-FR"/>
              </w:rPr>
            </w:pPr>
            <w:r w:rsidRPr="00FA3F9C">
              <w:rPr>
                <w:rFonts w:ascii="Arial" w:hAnsi="Arial" w:cs="Arial"/>
                <w:i/>
                <w:sz w:val="24"/>
                <w:szCs w:val="24"/>
                <w:lang w:val="fr-FR"/>
              </w:rPr>
              <w:t>E 2.9m vs Obs 1.9m</w:t>
            </w:r>
          </w:p>
        </w:tc>
        <w:tc>
          <w:tcPr>
            <w:tcW w:w="3540" w:type="dxa"/>
            <w:shd w:val="clear" w:color="auto" w:fill="auto"/>
          </w:tcPr>
          <w:p w14:paraId="5C399564" w14:textId="77777777" w:rsidR="002641D2" w:rsidRPr="00FA3F9C" w:rsidRDefault="002641D2" w:rsidP="00B304A8">
            <w:pPr>
              <w:shd w:val="clear" w:color="auto" w:fill="FFFFFF"/>
              <w:rPr>
                <w:rFonts w:ascii="Arial" w:hAnsi="Arial" w:cs="Arial"/>
                <w:i/>
                <w:sz w:val="24"/>
                <w:szCs w:val="24"/>
                <w:lang w:val="fr-FR"/>
              </w:rPr>
            </w:pPr>
            <w:r w:rsidRPr="00FA3F9C">
              <w:rPr>
                <w:rFonts w:ascii="Arial" w:hAnsi="Arial" w:cs="Arial"/>
                <w:i/>
                <w:sz w:val="24"/>
                <w:szCs w:val="24"/>
                <w:lang w:val="fr-FR"/>
              </w:rPr>
              <w:t>HR 0.69 (95% CI, 0.54-0.88)</w:t>
            </w:r>
          </w:p>
        </w:tc>
      </w:tr>
      <w:tr w:rsidR="002641D2" w:rsidRPr="00FA3F9C" w14:paraId="2844F162" w14:textId="77777777" w:rsidTr="00B304A8">
        <w:trPr>
          <w:jc w:val="center"/>
        </w:trPr>
        <w:tc>
          <w:tcPr>
            <w:tcW w:w="1376" w:type="dxa"/>
            <w:shd w:val="clear" w:color="auto" w:fill="FFFFFF"/>
          </w:tcPr>
          <w:p w14:paraId="313B8F7A" w14:textId="77777777" w:rsidR="002641D2" w:rsidRPr="00FA3F9C" w:rsidRDefault="002641D2" w:rsidP="00B304A8">
            <w:pPr>
              <w:shd w:val="clear" w:color="auto" w:fill="FFFFFF"/>
              <w:rPr>
                <w:rFonts w:ascii="Arial" w:hAnsi="Arial" w:cs="Arial"/>
                <w:sz w:val="24"/>
                <w:szCs w:val="24"/>
                <w:lang w:val="fr-FR"/>
              </w:rPr>
            </w:pPr>
            <w:r w:rsidRPr="00FA3F9C">
              <w:rPr>
                <w:rFonts w:ascii="Arial" w:hAnsi="Arial" w:cs="Arial"/>
                <w:sz w:val="24"/>
                <w:szCs w:val="24"/>
                <w:lang w:val="fr-FR"/>
              </w:rPr>
              <w:t>OS gem</w:t>
            </w:r>
          </w:p>
        </w:tc>
        <w:tc>
          <w:tcPr>
            <w:tcW w:w="2164" w:type="dxa"/>
            <w:shd w:val="clear" w:color="auto" w:fill="FFFFFF"/>
          </w:tcPr>
          <w:p w14:paraId="54FC190E" w14:textId="77777777" w:rsidR="002641D2" w:rsidRPr="00FA3F9C" w:rsidRDefault="002641D2" w:rsidP="00B304A8">
            <w:pPr>
              <w:shd w:val="clear" w:color="auto" w:fill="FFFFFF"/>
              <w:rPr>
                <w:rFonts w:ascii="Arial" w:hAnsi="Arial" w:cs="Arial"/>
                <w:sz w:val="24"/>
                <w:szCs w:val="24"/>
                <w:lang w:val="fr-FR"/>
              </w:rPr>
            </w:pPr>
            <w:r w:rsidRPr="00FA3F9C">
              <w:rPr>
                <w:rFonts w:ascii="Arial" w:hAnsi="Arial" w:cs="Arial"/>
                <w:sz w:val="24"/>
                <w:szCs w:val="24"/>
                <w:lang w:val="fr-FR"/>
              </w:rPr>
              <w:t>G 12.1m vs Obs 10.8m</w:t>
            </w:r>
          </w:p>
        </w:tc>
        <w:tc>
          <w:tcPr>
            <w:tcW w:w="3540" w:type="dxa"/>
            <w:shd w:val="clear" w:color="auto" w:fill="FFFFFF"/>
          </w:tcPr>
          <w:p w14:paraId="665A10D7" w14:textId="77777777" w:rsidR="002641D2" w:rsidRPr="00FA3F9C" w:rsidRDefault="002641D2" w:rsidP="00B304A8">
            <w:pPr>
              <w:shd w:val="clear" w:color="auto" w:fill="FFFFFF"/>
              <w:rPr>
                <w:rFonts w:ascii="Arial" w:hAnsi="Arial" w:cs="Arial"/>
                <w:sz w:val="24"/>
                <w:szCs w:val="24"/>
                <w:highlight w:val="yellow"/>
                <w:lang w:val="fr-FR"/>
              </w:rPr>
            </w:pPr>
            <w:r w:rsidRPr="00FA3F9C">
              <w:rPr>
                <w:rFonts w:ascii="Arial" w:hAnsi="Arial" w:cs="Arial"/>
                <w:sz w:val="24"/>
                <w:szCs w:val="24"/>
                <w:highlight w:val="yellow"/>
                <w:lang w:val="fr-FR"/>
              </w:rPr>
              <w:t>HR 0.89 (95% CI, 0.69-1.15)</w:t>
            </w:r>
          </w:p>
        </w:tc>
      </w:tr>
      <w:tr w:rsidR="002641D2" w:rsidRPr="00FA3F9C" w14:paraId="74295126" w14:textId="77777777" w:rsidTr="00B304A8">
        <w:trPr>
          <w:jc w:val="center"/>
        </w:trPr>
        <w:tc>
          <w:tcPr>
            <w:tcW w:w="1376" w:type="dxa"/>
            <w:shd w:val="clear" w:color="auto" w:fill="FFFFFF"/>
          </w:tcPr>
          <w:p w14:paraId="77ECF7F1" w14:textId="77777777" w:rsidR="002641D2" w:rsidRPr="00FA3F9C" w:rsidRDefault="002641D2" w:rsidP="00B304A8">
            <w:pPr>
              <w:shd w:val="clear" w:color="auto" w:fill="FFFFFF"/>
              <w:rPr>
                <w:rFonts w:ascii="Arial" w:hAnsi="Arial" w:cs="Arial"/>
                <w:sz w:val="24"/>
                <w:szCs w:val="24"/>
                <w:lang w:val="fr-FR"/>
              </w:rPr>
            </w:pPr>
            <w:r w:rsidRPr="00FA3F9C">
              <w:rPr>
                <w:rFonts w:ascii="Arial" w:hAnsi="Arial" w:cs="Arial"/>
                <w:sz w:val="24"/>
                <w:szCs w:val="24"/>
                <w:lang w:val="fr-FR"/>
              </w:rPr>
              <w:t xml:space="preserve">OS </w:t>
            </w:r>
            <w:proofErr w:type="spellStart"/>
            <w:r w:rsidRPr="00FA3F9C">
              <w:rPr>
                <w:rFonts w:ascii="Arial" w:hAnsi="Arial" w:cs="Arial"/>
                <w:sz w:val="24"/>
                <w:szCs w:val="24"/>
                <w:lang w:val="fr-FR"/>
              </w:rPr>
              <w:t>erlot</w:t>
            </w:r>
            <w:proofErr w:type="spellEnd"/>
          </w:p>
        </w:tc>
        <w:tc>
          <w:tcPr>
            <w:tcW w:w="2164" w:type="dxa"/>
            <w:shd w:val="clear" w:color="auto" w:fill="FFFFFF"/>
          </w:tcPr>
          <w:p w14:paraId="58F0D35B" w14:textId="77777777" w:rsidR="002641D2" w:rsidRPr="00FA3F9C" w:rsidRDefault="002641D2" w:rsidP="00B304A8">
            <w:pPr>
              <w:shd w:val="clear" w:color="auto" w:fill="FFFFFF"/>
              <w:rPr>
                <w:rFonts w:ascii="Arial" w:hAnsi="Arial" w:cs="Arial"/>
                <w:sz w:val="24"/>
                <w:szCs w:val="24"/>
                <w:lang w:val="fr-FR"/>
              </w:rPr>
            </w:pPr>
            <w:r w:rsidRPr="00FA3F9C">
              <w:rPr>
                <w:rFonts w:ascii="Arial" w:hAnsi="Arial" w:cs="Arial"/>
                <w:sz w:val="24"/>
                <w:szCs w:val="24"/>
                <w:lang w:val="fr-FR"/>
              </w:rPr>
              <w:t>E 11.4 mg vs Obs 10.8m</w:t>
            </w:r>
          </w:p>
        </w:tc>
        <w:tc>
          <w:tcPr>
            <w:tcW w:w="3540" w:type="dxa"/>
            <w:shd w:val="clear" w:color="auto" w:fill="FFFFFF"/>
          </w:tcPr>
          <w:p w14:paraId="29E93F2C" w14:textId="77777777" w:rsidR="002641D2" w:rsidRPr="00FA3F9C" w:rsidRDefault="002641D2" w:rsidP="00B304A8">
            <w:pPr>
              <w:shd w:val="clear" w:color="auto" w:fill="FFFFFF"/>
              <w:rPr>
                <w:rFonts w:ascii="Arial" w:hAnsi="Arial" w:cs="Arial"/>
                <w:sz w:val="24"/>
                <w:szCs w:val="24"/>
                <w:highlight w:val="yellow"/>
                <w:lang w:val="fr-FR"/>
              </w:rPr>
            </w:pPr>
            <w:r w:rsidRPr="00FA3F9C">
              <w:rPr>
                <w:rFonts w:ascii="Arial" w:hAnsi="Arial" w:cs="Arial"/>
                <w:sz w:val="24"/>
                <w:szCs w:val="24"/>
                <w:highlight w:val="yellow"/>
                <w:lang w:val="fr-FR"/>
              </w:rPr>
              <w:t>HR 0.87 (95% CI, 0.68-1.13)</w:t>
            </w:r>
          </w:p>
        </w:tc>
      </w:tr>
    </w:tbl>
    <w:p w14:paraId="701B1AA9" w14:textId="77777777" w:rsidR="002641D2" w:rsidRPr="00FA3F9C" w:rsidRDefault="002641D2" w:rsidP="00B304A8">
      <w:pPr>
        <w:shd w:val="clear" w:color="auto" w:fill="FFFFFF"/>
        <w:rPr>
          <w:rFonts w:ascii="Arial" w:hAnsi="Arial" w:cs="Arial"/>
          <w:sz w:val="24"/>
          <w:szCs w:val="24"/>
          <w:lang w:val="fr-FR"/>
        </w:rPr>
      </w:pPr>
    </w:p>
    <w:p w14:paraId="5ADAA8F9" w14:textId="77777777" w:rsidR="002641D2" w:rsidRPr="00FA3F9C" w:rsidRDefault="002641D2" w:rsidP="002641D2">
      <w:pPr>
        <w:numPr>
          <w:ilvl w:val="1"/>
          <w:numId w:val="178"/>
        </w:numPr>
        <w:shd w:val="clear" w:color="auto" w:fill="FFFFFF"/>
        <w:spacing w:after="0" w:line="240" w:lineRule="auto"/>
        <w:rPr>
          <w:rFonts w:ascii="Arial" w:hAnsi="Arial" w:cs="Arial"/>
          <w:sz w:val="24"/>
          <w:szCs w:val="24"/>
        </w:rPr>
      </w:pPr>
      <w:r w:rsidRPr="00FA3F9C">
        <w:rPr>
          <w:rFonts w:ascii="Arial" w:hAnsi="Arial" w:cs="Arial"/>
          <w:b/>
          <w:sz w:val="24"/>
          <w:szCs w:val="24"/>
        </w:rPr>
        <w:t>SATURN</w:t>
      </w:r>
      <w:r w:rsidRPr="00FA3F9C">
        <w:rPr>
          <w:rFonts w:ascii="Arial" w:hAnsi="Arial" w:cs="Arial"/>
          <w:b/>
          <w:sz w:val="24"/>
          <w:szCs w:val="24"/>
          <w:vertAlign w:val="superscript"/>
        </w:rPr>
        <w:t>5</w:t>
      </w:r>
      <w:r w:rsidRPr="00FA3F9C">
        <w:rPr>
          <w:rFonts w:ascii="Arial" w:hAnsi="Arial" w:cs="Arial"/>
          <w:b/>
          <w:sz w:val="24"/>
          <w:szCs w:val="24"/>
        </w:rPr>
        <w:t>:</w:t>
      </w:r>
      <w:r w:rsidRPr="00FA3F9C">
        <w:rPr>
          <w:rFonts w:ascii="Arial" w:hAnsi="Arial" w:cs="Arial"/>
          <w:sz w:val="24"/>
          <w:szCs w:val="24"/>
        </w:rPr>
        <w:t xml:space="preserve"> Patients (n=889) with advanced (stage </w:t>
      </w:r>
      <w:proofErr w:type="spellStart"/>
      <w:r w:rsidRPr="00FA3F9C">
        <w:rPr>
          <w:rFonts w:ascii="Arial" w:hAnsi="Arial" w:cs="Arial"/>
          <w:sz w:val="24"/>
          <w:szCs w:val="24"/>
        </w:rPr>
        <w:t>IIIb</w:t>
      </w:r>
      <w:proofErr w:type="spellEnd"/>
      <w:r w:rsidRPr="00FA3F9C">
        <w:rPr>
          <w:rFonts w:ascii="Arial" w:hAnsi="Arial" w:cs="Arial"/>
          <w:sz w:val="24"/>
          <w:szCs w:val="24"/>
        </w:rPr>
        <w:t>/IV) NSCLC who had received 4 cycles of platinum-based doublet chemotherapy and were without progressive disease were randomly assigned to erlotinib (150 mg/day) or placebo.  Data were assessed based on whether the patient was a complete/partial responder (CR/PR) or had stable disease (SD) following first-line chemo.  Primary endpoint was PFS.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7"/>
        <w:gridCol w:w="3510"/>
        <w:gridCol w:w="2456"/>
      </w:tblGrid>
      <w:tr w:rsidR="002641D2" w:rsidRPr="00FA3F9C" w14:paraId="495B20DB" w14:textId="77777777" w:rsidTr="00B304A8">
        <w:trPr>
          <w:jc w:val="center"/>
        </w:trPr>
        <w:tc>
          <w:tcPr>
            <w:tcW w:w="1107" w:type="dxa"/>
            <w:shd w:val="clear" w:color="auto" w:fill="auto"/>
          </w:tcPr>
          <w:p w14:paraId="119141BC" w14:textId="77777777" w:rsidR="002641D2" w:rsidRPr="00FA3F9C" w:rsidRDefault="002641D2" w:rsidP="00B304A8">
            <w:pPr>
              <w:shd w:val="clear" w:color="auto" w:fill="FFFFFF"/>
              <w:rPr>
                <w:rFonts w:ascii="Arial" w:hAnsi="Arial" w:cs="Arial"/>
                <w:i/>
                <w:sz w:val="24"/>
                <w:szCs w:val="24"/>
              </w:rPr>
            </w:pPr>
            <w:r w:rsidRPr="00FA3F9C">
              <w:rPr>
                <w:rFonts w:ascii="Arial" w:hAnsi="Arial" w:cs="Arial"/>
                <w:i/>
                <w:sz w:val="24"/>
                <w:szCs w:val="24"/>
              </w:rPr>
              <w:t>PFS CR/PR</w:t>
            </w:r>
          </w:p>
        </w:tc>
        <w:tc>
          <w:tcPr>
            <w:tcW w:w="3510" w:type="dxa"/>
            <w:shd w:val="clear" w:color="auto" w:fill="auto"/>
          </w:tcPr>
          <w:p w14:paraId="0C9384A5" w14:textId="77777777" w:rsidR="002641D2" w:rsidRPr="00FA3F9C" w:rsidRDefault="002641D2" w:rsidP="00B304A8">
            <w:pPr>
              <w:shd w:val="clear" w:color="auto" w:fill="FFFFFF"/>
              <w:rPr>
                <w:rFonts w:ascii="Arial" w:hAnsi="Arial" w:cs="Arial"/>
                <w:i/>
                <w:sz w:val="24"/>
                <w:szCs w:val="24"/>
                <w:lang w:val="fr-FR"/>
              </w:rPr>
            </w:pPr>
            <w:r w:rsidRPr="00FA3F9C">
              <w:rPr>
                <w:rFonts w:ascii="Arial" w:hAnsi="Arial" w:cs="Arial"/>
                <w:i/>
                <w:sz w:val="24"/>
                <w:szCs w:val="24"/>
                <w:lang w:val="fr-FR"/>
              </w:rPr>
              <w:t xml:space="preserve">E 2.9m vs </w:t>
            </w:r>
            <w:proofErr w:type="spellStart"/>
            <w:r w:rsidRPr="00FA3F9C">
              <w:rPr>
                <w:rFonts w:ascii="Arial" w:hAnsi="Arial" w:cs="Arial"/>
                <w:i/>
                <w:sz w:val="24"/>
                <w:szCs w:val="24"/>
                <w:lang w:val="fr-FR"/>
              </w:rPr>
              <w:t>Plac</w:t>
            </w:r>
            <w:proofErr w:type="spellEnd"/>
            <w:r w:rsidRPr="00FA3F9C">
              <w:rPr>
                <w:rFonts w:ascii="Arial" w:hAnsi="Arial" w:cs="Arial"/>
                <w:i/>
                <w:sz w:val="24"/>
                <w:szCs w:val="24"/>
                <w:lang w:val="fr-FR"/>
              </w:rPr>
              <w:t xml:space="preserve"> 2.6m</w:t>
            </w:r>
          </w:p>
        </w:tc>
        <w:tc>
          <w:tcPr>
            <w:tcW w:w="2456" w:type="dxa"/>
            <w:shd w:val="clear" w:color="auto" w:fill="auto"/>
          </w:tcPr>
          <w:p w14:paraId="12545C07" w14:textId="77777777" w:rsidR="002641D2" w:rsidRPr="00FA3F9C" w:rsidRDefault="002641D2" w:rsidP="00B304A8">
            <w:pPr>
              <w:shd w:val="clear" w:color="auto" w:fill="FFFFFF"/>
              <w:rPr>
                <w:rFonts w:ascii="Arial" w:hAnsi="Arial" w:cs="Arial"/>
                <w:i/>
                <w:sz w:val="24"/>
                <w:szCs w:val="24"/>
                <w:lang w:val="fr-FR"/>
              </w:rPr>
            </w:pPr>
            <w:r w:rsidRPr="00FA3F9C">
              <w:rPr>
                <w:rFonts w:ascii="Arial" w:hAnsi="Arial" w:cs="Arial"/>
                <w:i/>
                <w:sz w:val="24"/>
                <w:szCs w:val="24"/>
                <w:lang w:val="fr-FR"/>
              </w:rPr>
              <w:t>HR 0.74 (95% CI, 0.60-0.92)</w:t>
            </w:r>
          </w:p>
        </w:tc>
      </w:tr>
      <w:tr w:rsidR="002641D2" w:rsidRPr="00FA3F9C" w14:paraId="51FBE7E0" w14:textId="77777777" w:rsidTr="00B304A8">
        <w:trPr>
          <w:jc w:val="center"/>
        </w:trPr>
        <w:tc>
          <w:tcPr>
            <w:tcW w:w="1107" w:type="dxa"/>
            <w:shd w:val="clear" w:color="auto" w:fill="auto"/>
          </w:tcPr>
          <w:p w14:paraId="480840C2" w14:textId="77777777" w:rsidR="002641D2" w:rsidRPr="00FA3F9C" w:rsidRDefault="002641D2" w:rsidP="00B304A8">
            <w:pPr>
              <w:shd w:val="clear" w:color="auto" w:fill="FFFFFF"/>
              <w:rPr>
                <w:rFonts w:ascii="Arial" w:hAnsi="Arial" w:cs="Arial"/>
                <w:i/>
                <w:sz w:val="24"/>
                <w:szCs w:val="24"/>
                <w:lang w:val="fr-FR"/>
              </w:rPr>
            </w:pPr>
            <w:r w:rsidRPr="00FA3F9C">
              <w:rPr>
                <w:rFonts w:ascii="Arial" w:hAnsi="Arial" w:cs="Arial"/>
                <w:i/>
                <w:sz w:val="24"/>
                <w:szCs w:val="24"/>
                <w:lang w:val="fr-FR"/>
              </w:rPr>
              <w:lastRenderedPageBreak/>
              <w:t>PFS SD</w:t>
            </w:r>
          </w:p>
        </w:tc>
        <w:tc>
          <w:tcPr>
            <w:tcW w:w="3510" w:type="dxa"/>
            <w:shd w:val="clear" w:color="auto" w:fill="auto"/>
          </w:tcPr>
          <w:p w14:paraId="7FA92C16" w14:textId="77777777" w:rsidR="002641D2" w:rsidRPr="00FA3F9C" w:rsidRDefault="002641D2" w:rsidP="00B304A8">
            <w:pPr>
              <w:shd w:val="clear" w:color="auto" w:fill="FFFFFF"/>
              <w:rPr>
                <w:rFonts w:ascii="Arial" w:hAnsi="Arial" w:cs="Arial"/>
                <w:i/>
                <w:sz w:val="24"/>
                <w:szCs w:val="24"/>
                <w:lang w:val="fr-FR"/>
              </w:rPr>
            </w:pPr>
            <w:r w:rsidRPr="00FA3F9C">
              <w:rPr>
                <w:rFonts w:ascii="Arial" w:hAnsi="Arial" w:cs="Arial"/>
                <w:i/>
                <w:sz w:val="24"/>
                <w:szCs w:val="24"/>
                <w:lang w:val="fr-FR"/>
              </w:rPr>
              <w:t xml:space="preserve">E 2.8m vs </w:t>
            </w:r>
            <w:proofErr w:type="spellStart"/>
            <w:r w:rsidRPr="00FA3F9C">
              <w:rPr>
                <w:rFonts w:ascii="Arial" w:hAnsi="Arial" w:cs="Arial"/>
                <w:i/>
                <w:sz w:val="24"/>
                <w:szCs w:val="24"/>
                <w:lang w:val="fr-FR"/>
              </w:rPr>
              <w:t>Plac</w:t>
            </w:r>
            <w:proofErr w:type="spellEnd"/>
            <w:r w:rsidRPr="00FA3F9C">
              <w:rPr>
                <w:rFonts w:ascii="Arial" w:hAnsi="Arial" w:cs="Arial"/>
                <w:i/>
                <w:sz w:val="24"/>
                <w:szCs w:val="24"/>
                <w:lang w:val="fr-FR"/>
              </w:rPr>
              <w:t xml:space="preserve"> 2.6m</w:t>
            </w:r>
          </w:p>
        </w:tc>
        <w:tc>
          <w:tcPr>
            <w:tcW w:w="2456" w:type="dxa"/>
            <w:shd w:val="clear" w:color="auto" w:fill="auto"/>
          </w:tcPr>
          <w:p w14:paraId="180D517D" w14:textId="77777777" w:rsidR="002641D2" w:rsidRPr="00FA3F9C" w:rsidRDefault="002641D2" w:rsidP="00B304A8">
            <w:pPr>
              <w:shd w:val="clear" w:color="auto" w:fill="FFFFFF"/>
              <w:rPr>
                <w:rFonts w:ascii="Arial" w:hAnsi="Arial" w:cs="Arial"/>
                <w:i/>
                <w:sz w:val="24"/>
                <w:szCs w:val="24"/>
                <w:lang w:val="fr-FR"/>
              </w:rPr>
            </w:pPr>
            <w:r w:rsidRPr="00FA3F9C">
              <w:rPr>
                <w:rFonts w:ascii="Arial" w:hAnsi="Arial" w:cs="Arial"/>
                <w:i/>
                <w:sz w:val="24"/>
                <w:szCs w:val="24"/>
                <w:lang w:val="fr-FR"/>
              </w:rPr>
              <w:t>HR 0.68 (95% CI, 0.56-0.83)</w:t>
            </w:r>
          </w:p>
        </w:tc>
      </w:tr>
      <w:tr w:rsidR="002641D2" w:rsidRPr="00FA3F9C" w14:paraId="3ED1C310" w14:textId="77777777" w:rsidTr="00B304A8">
        <w:trPr>
          <w:jc w:val="center"/>
        </w:trPr>
        <w:tc>
          <w:tcPr>
            <w:tcW w:w="1107" w:type="dxa"/>
            <w:shd w:val="clear" w:color="auto" w:fill="FFFFFF"/>
          </w:tcPr>
          <w:p w14:paraId="47FB5072" w14:textId="77777777" w:rsidR="002641D2" w:rsidRPr="00FA3F9C" w:rsidRDefault="002641D2" w:rsidP="00B304A8">
            <w:pPr>
              <w:shd w:val="clear" w:color="auto" w:fill="FFFFFF"/>
              <w:rPr>
                <w:rFonts w:ascii="Arial" w:hAnsi="Arial" w:cs="Arial"/>
                <w:sz w:val="24"/>
                <w:szCs w:val="24"/>
                <w:lang w:val="fr-FR"/>
              </w:rPr>
            </w:pPr>
            <w:r w:rsidRPr="00FA3F9C">
              <w:rPr>
                <w:rFonts w:ascii="Arial" w:hAnsi="Arial" w:cs="Arial"/>
                <w:sz w:val="24"/>
                <w:szCs w:val="24"/>
                <w:lang w:val="fr-FR"/>
              </w:rPr>
              <w:t>OS CR/PR</w:t>
            </w:r>
          </w:p>
        </w:tc>
        <w:tc>
          <w:tcPr>
            <w:tcW w:w="3510" w:type="dxa"/>
            <w:shd w:val="clear" w:color="auto" w:fill="FFFFFF"/>
          </w:tcPr>
          <w:p w14:paraId="0F49F79D" w14:textId="77777777" w:rsidR="002641D2" w:rsidRPr="00FA3F9C" w:rsidRDefault="002641D2" w:rsidP="00B304A8">
            <w:pPr>
              <w:shd w:val="clear" w:color="auto" w:fill="FFFFFF"/>
              <w:rPr>
                <w:rFonts w:ascii="Arial" w:hAnsi="Arial" w:cs="Arial"/>
                <w:sz w:val="24"/>
                <w:szCs w:val="24"/>
                <w:lang w:val="fr-FR"/>
              </w:rPr>
            </w:pPr>
            <w:r w:rsidRPr="00FA3F9C">
              <w:rPr>
                <w:rFonts w:ascii="Arial" w:hAnsi="Arial" w:cs="Arial"/>
                <w:sz w:val="24"/>
                <w:szCs w:val="24"/>
                <w:lang w:val="fr-FR"/>
              </w:rPr>
              <w:t>12.5m vs 12.0m</w:t>
            </w:r>
          </w:p>
        </w:tc>
        <w:tc>
          <w:tcPr>
            <w:tcW w:w="2456" w:type="dxa"/>
            <w:shd w:val="clear" w:color="auto" w:fill="FFFFFF"/>
          </w:tcPr>
          <w:p w14:paraId="23ACFF7A" w14:textId="77777777" w:rsidR="002641D2" w:rsidRPr="00FA3F9C" w:rsidRDefault="002641D2" w:rsidP="00B304A8">
            <w:pPr>
              <w:shd w:val="clear" w:color="auto" w:fill="FFFFFF"/>
              <w:rPr>
                <w:rFonts w:ascii="Arial" w:hAnsi="Arial" w:cs="Arial"/>
                <w:sz w:val="24"/>
                <w:szCs w:val="24"/>
                <w:lang w:val="fr-FR"/>
              </w:rPr>
            </w:pPr>
            <w:r w:rsidRPr="00FA3F9C">
              <w:rPr>
                <w:rFonts w:ascii="Arial" w:hAnsi="Arial" w:cs="Arial"/>
                <w:sz w:val="24"/>
                <w:szCs w:val="24"/>
                <w:lang w:val="fr-FR"/>
              </w:rPr>
              <w:t>HR 0.94 (95% CI, 0.74-1.20)</w:t>
            </w:r>
          </w:p>
        </w:tc>
      </w:tr>
      <w:tr w:rsidR="002641D2" w:rsidRPr="00FA3F9C" w14:paraId="27F235D7" w14:textId="77777777" w:rsidTr="00B304A8">
        <w:trPr>
          <w:jc w:val="center"/>
        </w:trPr>
        <w:tc>
          <w:tcPr>
            <w:tcW w:w="1107" w:type="dxa"/>
            <w:shd w:val="clear" w:color="auto" w:fill="FFFFFF"/>
          </w:tcPr>
          <w:p w14:paraId="10350B31" w14:textId="77777777" w:rsidR="002641D2" w:rsidRPr="00FA3F9C" w:rsidRDefault="002641D2" w:rsidP="00B304A8">
            <w:pPr>
              <w:shd w:val="clear" w:color="auto" w:fill="FFFFFF"/>
              <w:rPr>
                <w:rFonts w:ascii="Arial" w:hAnsi="Arial" w:cs="Arial"/>
                <w:i/>
                <w:sz w:val="24"/>
                <w:szCs w:val="24"/>
                <w:lang w:val="fr-FR"/>
              </w:rPr>
            </w:pPr>
            <w:r w:rsidRPr="00FA3F9C">
              <w:rPr>
                <w:rFonts w:ascii="Arial" w:hAnsi="Arial" w:cs="Arial"/>
                <w:i/>
                <w:sz w:val="24"/>
                <w:szCs w:val="24"/>
                <w:lang w:val="fr-FR"/>
              </w:rPr>
              <w:t>OS SD</w:t>
            </w:r>
          </w:p>
        </w:tc>
        <w:tc>
          <w:tcPr>
            <w:tcW w:w="3510" w:type="dxa"/>
            <w:shd w:val="clear" w:color="auto" w:fill="FFFFFF"/>
          </w:tcPr>
          <w:p w14:paraId="5DFB0A20" w14:textId="77777777" w:rsidR="002641D2" w:rsidRPr="00FA3F9C" w:rsidRDefault="002641D2" w:rsidP="00B304A8">
            <w:pPr>
              <w:shd w:val="clear" w:color="auto" w:fill="FFFFFF"/>
              <w:rPr>
                <w:rFonts w:ascii="Arial" w:hAnsi="Arial" w:cs="Arial"/>
                <w:i/>
                <w:sz w:val="24"/>
                <w:szCs w:val="24"/>
              </w:rPr>
            </w:pPr>
            <w:r w:rsidRPr="00FA3F9C">
              <w:rPr>
                <w:rFonts w:ascii="Arial" w:hAnsi="Arial" w:cs="Arial"/>
                <w:i/>
                <w:sz w:val="24"/>
                <w:szCs w:val="24"/>
              </w:rPr>
              <w:t xml:space="preserve">E 11.9m vs </w:t>
            </w:r>
            <w:proofErr w:type="spellStart"/>
            <w:r w:rsidRPr="00FA3F9C">
              <w:rPr>
                <w:rFonts w:ascii="Arial" w:hAnsi="Arial" w:cs="Arial"/>
                <w:i/>
                <w:sz w:val="24"/>
                <w:szCs w:val="24"/>
              </w:rPr>
              <w:t>plac</w:t>
            </w:r>
            <w:proofErr w:type="spellEnd"/>
            <w:r w:rsidRPr="00FA3F9C">
              <w:rPr>
                <w:rFonts w:ascii="Arial" w:hAnsi="Arial" w:cs="Arial"/>
                <w:i/>
                <w:sz w:val="24"/>
                <w:szCs w:val="24"/>
              </w:rPr>
              <w:t xml:space="preserve"> 9.6m </w:t>
            </w:r>
            <w:r w:rsidRPr="00FA3F9C">
              <w:rPr>
                <w:rFonts w:ascii="Arial" w:hAnsi="Arial" w:cs="Arial"/>
                <w:i/>
                <w:sz w:val="24"/>
                <w:szCs w:val="24"/>
                <w:highlight w:val="yellow"/>
              </w:rPr>
              <w:t>(2.3month benefit</w:t>
            </w:r>
            <w:r w:rsidRPr="00FA3F9C">
              <w:rPr>
                <w:rFonts w:ascii="Arial" w:hAnsi="Arial" w:cs="Arial"/>
                <w:i/>
                <w:sz w:val="24"/>
                <w:szCs w:val="24"/>
              </w:rPr>
              <w:t>)</w:t>
            </w:r>
          </w:p>
        </w:tc>
        <w:tc>
          <w:tcPr>
            <w:tcW w:w="2456" w:type="dxa"/>
            <w:shd w:val="clear" w:color="auto" w:fill="FFFFFF"/>
          </w:tcPr>
          <w:p w14:paraId="02C057BA" w14:textId="77777777" w:rsidR="002641D2" w:rsidRPr="00FA3F9C" w:rsidRDefault="002641D2" w:rsidP="00B304A8">
            <w:pPr>
              <w:shd w:val="clear" w:color="auto" w:fill="FFFFFF"/>
              <w:rPr>
                <w:rFonts w:ascii="Arial" w:hAnsi="Arial" w:cs="Arial"/>
                <w:i/>
                <w:sz w:val="24"/>
                <w:szCs w:val="24"/>
                <w:lang w:val="fr-FR"/>
              </w:rPr>
            </w:pPr>
            <w:r w:rsidRPr="00FA3F9C">
              <w:rPr>
                <w:rFonts w:ascii="Arial" w:hAnsi="Arial" w:cs="Arial"/>
                <w:i/>
                <w:sz w:val="24"/>
                <w:szCs w:val="24"/>
                <w:highlight w:val="yellow"/>
                <w:lang w:val="fr-FR"/>
              </w:rPr>
              <w:t>HR 0.72 (95% CI, 0.59-0.89)</w:t>
            </w:r>
          </w:p>
        </w:tc>
      </w:tr>
    </w:tbl>
    <w:p w14:paraId="12084696" w14:textId="77777777" w:rsidR="002641D2" w:rsidRPr="00FA3F9C" w:rsidRDefault="002641D2" w:rsidP="00BD761B">
      <w:pPr>
        <w:jc w:val="right"/>
        <w:rPr>
          <w:rFonts w:ascii="Arial" w:hAnsi="Arial" w:cs="Arial"/>
          <w:sz w:val="24"/>
          <w:szCs w:val="24"/>
        </w:rPr>
      </w:pPr>
    </w:p>
    <w:p w14:paraId="6288ABED" w14:textId="77777777" w:rsidR="002641D2" w:rsidRPr="00FA3F9C" w:rsidRDefault="002641D2" w:rsidP="00BD761B">
      <w:pPr>
        <w:jc w:val="right"/>
        <w:rPr>
          <w:rFonts w:ascii="Arial" w:hAnsi="Arial" w:cs="Arial"/>
          <w:sz w:val="24"/>
          <w:szCs w:val="24"/>
        </w:rPr>
      </w:pPr>
    </w:p>
    <w:p w14:paraId="30388F38" w14:textId="77777777" w:rsidR="002641D2" w:rsidRPr="00FA3F9C" w:rsidRDefault="002641D2" w:rsidP="002641D2">
      <w:pPr>
        <w:numPr>
          <w:ilvl w:val="0"/>
          <w:numId w:val="178"/>
        </w:numPr>
        <w:spacing w:after="0" w:line="240" w:lineRule="auto"/>
        <w:rPr>
          <w:rFonts w:ascii="Arial" w:hAnsi="Arial" w:cs="Arial"/>
          <w:sz w:val="24"/>
          <w:szCs w:val="24"/>
        </w:rPr>
      </w:pPr>
      <w:r w:rsidRPr="00FA3F9C">
        <w:rPr>
          <w:rFonts w:ascii="Arial" w:hAnsi="Arial" w:cs="Arial"/>
          <w:sz w:val="24"/>
          <w:szCs w:val="24"/>
          <w:vertAlign w:val="superscript"/>
        </w:rPr>
        <w:t>6</w:t>
      </w:r>
      <w:r w:rsidRPr="00FA3F9C">
        <w:rPr>
          <w:rFonts w:ascii="Arial" w:hAnsi="Arial" w:cs="Arial"/>
          <w:sz w:val="24"/>
          <w:szCs w:val="24"/>
        </w:rPr>
        <w:t xml:space="preserve">Although erlotinib is FDA-approved for treatment of locally advanced or metastatic NSCLC after failure of at least 1 prior chemotherapy regimen, the DELTA trial was published 6/20/14 which included N=151 and randomized a </w:t>
      </w:r>
      <w:proofErr w:type="spellStart"/>
      <w:r w:rsidRPr="00FA3F9C">
        <w:rPr>
          <w:rFonts w:ascii="Arial" w:hAnsi="Arial" w:cs="Arial"/>
          <w:sz w:val="24"/>
          <w:szCs w:val="24"/>
        </w:rPr>
        <w:t>nonselected</w:t>
      </w:r>
      <w:proofErr w:type="spellEnd"/>
      <w:r w:rsidRPr="00FA3F9C">
        <w:rPr>
          <w:rFonts w:ascii="Arial" w:hAnsi="Arial" w:cs="Arial"/>
          <w:sz w:val="24"/>
          <w:szCs w:val="24"/>
        </w:rPr>
        <w:t xml:space="preserve"> group of NSCLC patients with stage IIIB or IV NSCLC including EGRF “-“ (wild type).  Erlotinib failed to show an improvement in </w:t>
      </w:r>
      <w:proofErr w:type="gramStart"/>
      <w:r w:rsidRPr="00FA3F9C">
        <w:rPr>
          <w:rFonts w:ascii="Arial" w:hAnsi="Arial" w:cs="Arial"/>
          <w:sz w:val="24"/>
          <w:szCs w:val="24"/>
        </w:rPr>
        <w:t>PFS</w:t>
      </w:r>
      <w:proofErr w:type="gramEnd"/>
      <w:r w:rsidRPr="00FA3F9C">
        <w:rPr>
          <w:rFonts w:ascii="Arial" w:hAnsi="Arial" w:cs="Arial"/>
          <w:sz w:val="24"/>
          <w:szCs w:val="24"/>
        </w:rPr>
        <w:t xml:space="preserve"> or OS compared with docetaxel in this EGFR-unselected population.  In addition, the subgroup analysis of the patients with EGFR wild-type tumors showed the PFS was better (statistically) with docetaxel than with erlotinib, 2.9m vs 1.3m, p=0.01, respectively.  OS was 10.1m vs 9.0m, p=0.91, respectively.</w:t>
      </w:r>
    </w:p>
    <w:p w14:paraId="04DB354F" w14:textId="77777777" w:rsidR="002641D2" w:rsidRPr="00FA3F9C" w:rsidRDefault="002641D2" w:rsidP="00BD761B">
      <w:pPr>
        <w:jc w:val="right"/>
        <w:rPr>
          <w:rFonts w:ascii="Arial" w:hAnsi="Arial" w:cs="Arial"/>
          <w:sz w:val="24"/>
          <w:szCs w:val="24"/>
        </w:rPr>
      </w:pPr>
    </w:p>
    <w:p w14:paraId="6898C2A2" w14:textId="77777777" w:rsidR="002641D2" w:rsidRPr="00FA3F9C" w:rsidRDefault="002641D2" w:rsidP="00573A98">
      <w:pPr>
        <w:rPr>
          <w:rFonts w:ascii="Arial" w:hAnsi="Arial" w:cs="Arial"/>
          <w:b/>
          <w:sz w:val="24"/>
          <w:szCs w:val="24"/>
        </w:rPr>
      </w:pPr>
      <w:r w:rsidRPr="00FA3F9C">
        <w:rPr>
          <w:rFonts w:ascii="Arial" w:hAnsi="Arial" w:cs="Arial"/>
          <w:b/>
          <w:sz w:val="24"/>
          <w:szCs w:val="24"/>
        </w:rPr>
        <w:t>Pancreatic cancer data summary:</w:t>
      </w:r>
    </w:p>
    <w:p w14:paraId="476F9DC3" w14:textId="77777777" w:rsidR="002641D2" w:rsidRPr="00FA3F9C" w:rsidRDefault="002641D2" w:rsidP="002641D2">
      <w:pPr>
        <w:numPr>
          <w:ilvl w:val="0"/>
          <w:numId w:val="178"/>
        </w:numPr>
        <w:spacing w:after="0" w:line="240" w:lineRule="auto"/>
        <w:rPr>
          <w:rFonts w:ascii="Arial" w:hAnsi="Arial" w:cs="Arial"/>
          <w:sz w:val="24"/>
          <w:szCs w:val="24"/>
        </w:rPr>
      </w:pPr>
      <w:r w:rsidRPr="00FA3F9C">
        <w:rPr>
          <w:rFonts w:ascii="Arial" w:hAnsi="Arial" w:cs="Arial"/>
          <w:sz w:val="24"/>
          <w:szCs w:val="24"/>
        </w:rPr>
        <w:t>Although erlotinib is FDA-approved for 1</w:t>
      </w:r>
      <w:r w:rsidRPr="00FA3F9C">
        <w:rPr>
          <w:rFonts w:ascii="Arial" w:hAnsi="Arial" w:cs="Arial"/>
          <w:sz w:val="24"/>
          <w:szCs w:val="24"/>
          <w:vertAlign w:val="superscript"/>
        </w:rPr>
        <w:t>st</w:t>
      </w:r>
      <w:r w:rsidRPr="00FA3F9C">
        <w:rPr>
          <w:rFonts w:ascii="Arial" w:hAnsi="Arial" w:cs="Arial"/>
          <w:sz w:val="24"/>
          <w:szCs w:val="24"/>
        </w:rPr>
        <w:t xml:space="preserve">-line treatment of </w:t>
      </w:r>
      <w:proofErr w:type="gramStart"/>
      <w:r w:rsidRPr="00FA3F9C">
        <w:rPr>
          <w:rFonts w:ascii="Arial" w:hAnsi="Arial" w:cs="Arial"/>
          <w:sz w:val="24"/>
          <w:szCs w:val="24"/>
        </w:rPr>
        <w:t>locally-advanced</w:t>
      </w:r>
      <w:proofErr w:type="gramEnd"/>
      <w:r w:rsidRPr="00FA3F9C">
        <w:rPr>
          <w:rFonts w:ascii="Arial" w:hAnsi="Arial" w:cs="Arial"/>
          <w:sz w:val="24"/>
          <w:szCs w:val="24"/>
        </w:rPr>
        <w:t>, unresectable or metastatic pancreatic cancer in combination with gemcitabine, neither the PFS nor the OS met the Journal of Clinical Oncology’s threshold of a minimal clinically meaningful improvement.  The JCO states for pancreatic cancer in gemcitabine eligible patients, OS improvement would need to be 3-5 months better and PFS would need to be 3-5 months better.</w:t>
      </w:r>
    </w:p>
    <w:p w14:paraId="200424AC" w14:textId="77777777" w:rsidR="002641D2" w:rsidRPr="00FA3F9C" w:rsidRDefault="002641D2" w:rsidP="002641D2">
      <w:pPr>
        <w:numPr>
          <w:ilvl w:val="0"/>
          <w:numId w:val="178"/>
        </w:numPr>
        <w:shd w:val="clear" w:color="auto" w:fill="FFFFFF"/>
        <w:spacing w:after="0" w:line="240" w:lineRule="auto"/>
        <w:rPr>
          <w:rFonts w:ascii="Arial" w:hAnsi="Arial" w:cs="Arial"/>
          <w:sz w:val="24"/>
          <w:szCs w:val="24"/>
        </w:rPr>
      </w:pPr>
      <w:r w:rsidRPr="00FA3F9C">
        <w:rPr>
          <w:rFonts w:ascii="Arial" w:hAnsi="Arial" w:cs="Arial"/>
          <w:b/>
          <w:sz w:val="24"/>
          <w:szCs w:val="24"/>
        </w:rPr>
        <w:t>Moore et al.  (NCIC CTG)</w:t>
      </w:r>
      <w:r w:rsidRPr="00FA3F9C">
        <w:rPr>
          <w:rFonts w:ascii="Arial" w:hAnsi="Arial" w:cs="Arial"/>
          <w:b/>
          <w:sz w:val="24"/>
          <w:szCs w:val="24"/>
          <w:vertAlign w:val="superscript"/>
        </w:rPr>
        <w:t>7</w:t>
      </w:r>
      <w:r w:rsidRPr="00FA3F9C">
        <w:rPr>
          <w:rFonts w:ascii="Arial" w:hAnsi="Arial" w:cs="Arial"/>
          <w:b/>
          <w:sz w:val="24"/>
          <w:szCs w:val="24"/>
        </w:rPr>
        <w:t>:</w:t>
      </w:r>
      <w:r w:rsidRPr="00FA3F9C">
        <w:rPr>
          <w:rFonts w:ascii="Arial" w:hAnsi="Arial" w:cs="Arial"/>
          <w:sz w:val="24"/>
          <w:szCs w:val="24"/>
        </w:rPr>
        <w:t xml:space="preserve"> Patients (n=569) with locally advanced or metastatic adenocarcinoma of the pancreas and without prior chemotherapy were randomly and blindly assigned to either gemcitabine plus erlotinib (100 mg/day) or gemcitabine plus placebo.  Primary endpoint was OS.  Female sex was significantly associated with prolonged survival (p=0.03).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gridCol w:w="2614"/>
        <w:gridCol w:w="3270"/>
      </w:tblGrid>
      <w:tr w:rsidR="002641D2" w:rsidRPr="00FA3F9C" w14:paraId="22F6DE09" w14:textId="77777777" w:rsidTr="00342468">
        <w:trPr>
          <w:jc w:val="center"/>
        </w:trPr>
        <w:tc>
          <w:tcPr>
            <w:tcW w:w="836" w:type="dxa"/>
            <w:shd w:val="clear" w:color="auto" w:fill="FFFFFF"/>
          </w:tcPr>
          <w:p w14:paraId="59FFA45D" w14:textId="77777777" w:rsidR="002641D2" w:rsidRPr="00FA3F9C" w:rsidRDefault="002641D2" w:rsidP="00342468">
            <w:pPr>
              <w:shd w:val="clear" w:color="auto" w:fill="FFFFFF"/>
              <w:rPr>
                <w:rFonts w:ascii="Arial" w:hAnsi="Arial" w:cs="Arial"/>
                <w:i/>
                <w:sz w:val="24"/>
                <w:szCs w:val="24"/>
              </w:rPr>
            </w:pPr>
            <w:r w:rsidRPr="00FA3F9C">
              <w:rPr>
                <w:rFonts w:ascii="Arial" w:hAnsi="Arial" w:cs="Arial"/>
                <w:i/>
                <w:sz w:val="24"/>
                <w:szCs w:val="24"/>
              </w:rPr>
              <w:t xml:space="preserve">PFS </w:t>
            </w:r>
          </w:p>
        </w:tc>
        <w:tc>
          <w:tcPr>
            <w:tcW w:w="2614" w:type="dxa"/>
            <w:shd w:val="clear" w:color="auto" w:fill="FFFFFF"/>
          </w:tcPr>
          <w:p w14:paraId="3F51615F" w14:textId="77777777" w:rsidR="002641D2" w:rsidRPr="00FA3F9C" w:rsidRDefault="002641D2" w:rsidP="00342468">
            <w:pPr>
              <w:shd w:val="clear" w:color="auto" w:fill="FFFFFF"/>
              <w:rPr>
                <w:rFonts w:ascii="Arial" w:hAnsi="Arial" w:cs="Arial"/>
                <w:i/>
                <w:sz w:val="24"/>
                <w:szCs w:val="24"/>
              </w:rPr>
            </w:pPr>
            <w:r w:rsidRPr="00FA3F9C">
              <w:rPr>
                <w:rFonts w:ascii="Arial" w:hAnsi="Arial" w:cs="Arial"/>
                <w:i/>
                <w:sz w:val="24"/>
                <w:szCs w:val="24"/>
              </w:rPr>
              <w:t>3.75m vs 3.55</w:t>
            </w:r>
          </w:p>
        </w:tc>
        <w:tc>
          <w:tcPr>
            <w:tcW w:w="3270" w:type="dxa"/>
            <w:shd w:val="clear" w:color="auto" w:fill="FFFFFF"/>
          </w:tcPr>
          <w:p w14:paraId="30114E55" w14:textId="77777777" w:rsidR="002641D2" w:rsidRPr="00FA3F9C" w:rsidRDefault="002641D2" w:rsidP="00342468">
            <w:pPr>
              <w:shd w:val="clear" w:color="auto" w:fill="FFFFFF"/>
              <w:rPr>
                <w:rFonts w:ascii="Arial" w:hAnsi="Arial" w:cs="Arial"/>
                <w:i/>
                <w:sz w:val="24"/>
                <w:szCs w:val="24"/>
              </w:rPr>
            </w:pPr>
            <w:r w:rsidRPr="00FA3F9C">
              <w:rPr>
                <w:rFonts w:ascii="Arial" w:hAnsi="Arial" w:cs="Arial"/>
                <w:i/>
                <w:sz w:val="24"/>
                <w:szCs w:val="24"/>
              </w:rPr>
              <w:t>HR 0.77 (95% CI, 0.64-0.92)</w:t>
            </w:r>
          </w:p>
        </w:tc>
      </w:tr>
      <w:tr w:rsidR="002641D2" w:rsidRPr="00FA3F9C" w14:paraId="25079477" w14:textId="77777777" w:rsidTr="00342468">
        <w:trPr>
          <w:jc w:val="center"/>
        </w:trPr>
        <w:tc>
          <w:tcPr>
            <w:tcW w:w="836" w:type="dxa"/>
            <w:shd w:val="clear" w:color="auto" w:fill="FFFFFF"/>
          </w:tcPr>
          <w:p w14:paraId="73B0B9DC" w14:textId="77777777" w:rsidR="002641D2" w:rsidRPr="00FA3F9C" w:rsidRDefault="002641D2" w:rsidP="00342468">
            <w:pPr>
              <w:shd w:val="clear" w:color="auto" w:fill="FFFFFF"/>
              <w:rPr>
                <w:rFonts w:ascii="Arial" w:hAnsi="Arial" w:cs="Arial"/>
                <w:i/>
                <w:sz w:val="24"/>
                <w:szCs w:val="24"/>
              </w:rPr>
            </w:pPr>
            <w:r w:rsidRPr="00FA3F9C">
              <w:rPr>
                <w:rFonts w:ascii="Arial" w:hAnsi="Arial" w:cs="Arial"/>
                <w:i/>
                <w:sz w:val="24"/>
                <w:szCs w:val="24"/>
              </w:rPr>
              <w:t xml:space="preserve">OS </w:t>
            </w:r>
          </w:p>
        </w:tc>
        <w:tc>
          <w:tcPr>
            <w:tcW w:w="2614" w:type="dxa"/>
            <w:shd w:val="clear" w:color="auto" w:fill="FFFFFF"/>
          </w:tcPr>
          <w:p w14:paraId="5DD72EC5" w14:textId="77777777" w:rsidR="002641D2" w:rsidRPr="00FA3F9C" w:rsidRDefault="002641D2" w:rsidP="00342468">
            <w:pPr>
              <w:shd w:val="clear" w:color="auto" w:fill="FFFFFF"/>
              <w:rPr>
                <w:rFonts w:ascii="Arial" w:hAnsi="Arial" w:cs="Arial"/>
                <w:i/>
                <w:sz w:val="24"/>
                <w:szCs w:val="24"/>
              </w:rPr>
            </w:pPr>
            <w:r w:rsidRPr="00FA3F9C">
              <w:rPr>
                <w:rFonts w:ascii="Arial" w:hAnsi="Arial" w:cs="Arial"/>
                <w:i/>
                <w:sz w:val="24"/>
                <w:szCs w:val="24"/>
              </w:rPr>
              <w:t>6.24m vs 5.91m (10 days)</w:t>
            </w:r>
          </w:p>
        </w:tc>
        <w:tc>
          <w:tcPr>
            <w:tcW w:w="3270" w:type="dxa"/>
            <w:shd w:val="clear" w:color="auto" w:fill="FFFFFF"/>
          </w:tcPr>
          <w:p w14:paraId="232A3387" w14:textId="77777777" w:rsidR="002641D2" w:rsidRPr="00FA3F9C" w:rsidRDefault="002641D2" w:rsidP="00342468">
            <w:pPr>
              <w:shd w:val="clear" w:color="auto" w:fill="FFFFFF"/>
              <w:rPr>
                <w:rFonts w:ascii="Arial" w:hAnsi="Arial" w:cs="Arial"/>
                <w:i/>
                <w:sz w:val="24"/>
                <w:szCs w:val="24"/>
              </w:rPr>
            </w:pPr>
            <w:r w:rsidRPr="00FA3F9C">
              <w:rPr>
                <w:rFonts w:ascii="Arial" w:hAnsi="Arial" w:cs="Arial"/>
                <w:i/>
                <w:sz w:val="24"/>
                <w:szCs w:val="24"/>
              </w:rPr>
              <w:t>HR 0.82 (95% CI, 0.69-0.99)</w:t>
            </w:r>
          </w:p>
        </w:tc>
      </w:tr>
    </w:tbl>
    <w:p w14:paraId="2ED76B94" w14:textId="77777777" w:rsidR="002641D2" w:rsidRPr="00FA3F9C" w:rsidRDefault="002641D2" w:rsidP="00342468">
      <w:pPr>
        <w:shd w:val="clear" w:color="auto" w:fill="FFFFFF"/>
        <w:ind w:left="360"/>
        <w:rPr>
          <w:rFonts w:ascii="Arial" w:hAnsi="Arial" w:cs="Arial"/>
          <w:sz w:val="24"/>
          <w:szCs w:val="24"/>
        </w:rPr>
      </w:pPr>
    </w:p>
    <w:p w14:paraId="1946D825" w14:textId="77777777" w:rsidR="002641D2" w:rsidRPr="00FA3F9C" w:rsidRDefault="002641D2" w:rsidP="002641D2">
      <w:pPr>
        <w:numPr>
          <w:ilvl w:val="0"/>
          <w:numId w:val="178"/>
        </w:numPr>
        <w:shd w:val="clear" w:color="auto" w:fill="FFFFFF"/>
        <w:spacing w:after="0" w:line="240" w:lineRule="auto"/>
        <w:rPr>
          <w:rFonts w:ascii="Arial" w:hAnsi="Arial" w:cs="Arial"/>
          <w:sz w:val="24"/>
          <w:szCs w:val="24"/>
        </w:rPr>
      </w:pPr>
      <w:r w:rsidRPr="00FA3F9C">
        <w:rPr>
          <w:rFonts w:ascii="Arial" w:hAnsi="Arial" w:cs="Arial"/>
          <w:b/>
          <w:sz w:val="24"/>
          <w:szCs w:val="24"/>
        </w:rPr>
        <w:t>NCIC CTG PA.3 (mutation analysis)</w:t>
      </w:r>
      <w:r w:rsidRPr="00FA3F9C">
        <w:rPr>
          <w:rFonts w:ascii="Arial" w:hAnsi="Arial" w:cs="Arial"/>
          <w:b/>
          <w:sz w:val="24"/>
          <w:szCs w:val="24"/>
          <w:vertAlign w:val="superscript"/>
        </w:rPr>
        <w:t>8</w:t>
      </w:r>
      <w:r w:rsidRPr="00FA3F9C">
        <w:rPr>
          <w:rFonts w:ascii="Arial" w:hAnsi="Arial" w:cs="Arial"/>
          <w:b/>
          <w:sz w:val="24"/>
          <w:szCs w:val="24"/>
        </w:rPr>
        <w:t>:</w:t>
      </w:r>
      <w:r w:rsidRPr="00FA3F9C">
        <w:rPr>
          <w:rFonts w:ascii="Arial" w:hAnsi="Arial" w:cs="Arial"/>
          <w:sz w:val="24"/>
          <w:szCs w:val="24"/>
        </w:rPr>
        <w:t xml:space="preserve"> Patients (n=569) with locally advanced or metastatic adenocarcinoma of the pancreas and without prior chemotherapy were randomly and blindly assigned to either gemcitabine plus erlotinib (100 mg/day) or gemcitabine plus placebo.  Primary endpoint was OS.  Results were analyzed based on </w:t>
      </w:r>
      <w:r w:rsidRPr="00FA3F9C">
        <w:rPr>
          <w:rFonts w:ascii="Arial" w:hAnsi="Arial" w:cs="Arial"/>
          <w:i/>
          <w:sz w:val="24"/>
          <w:szCs w:val="24"/>
        </w:rPr>
        <w:t>KRAS</w:t>
      </w:r>
      <w:r w:rsidRPr="00FA3F9C">
        <w:rPr>
          <w:rFonts w:ascii="Arial" w:hAnsi="Arial" w:cs="Arial"/>
          <w:sz w:val="24"/>
          <w:szCs w:val="24"/>
        </w:rPr>
        <w:t xml:space="preserve"> &amp; </w:t>
      </w:r>
      <w:r w:rsidRPr="00FA3F9C">
        <w:rPr>
          <w:rFonts w:ascii="Arial" w:hAnsi="Arial" w:cs="Arial"/>
          <w:i/>
          <w:sz w:val="24"/>
          <w:szCs w:val="24"/>
        </w:rPr>
        <w:t>EGFR</w:t>
      </w:r>
      <w:r w:rsidRPr="00FA3F9C">
        <w:rPr>
          <w:rFonts w:ascii="Arial" w:hAnsi="Arial" w:cs="Arial"/>
          <w:sz w:val="24"/>
          <w:szCs w:val="24"/>
        </w:rPr>
        <w:t xml:space="preserve"> FISH mutations.  Data are presented below. Mutation status does not affect efficacy of erlotinib in pancreatic cancer.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2440"/>
        <w:gridCol w:w="3090"/>
      </w:tblGrid>
      <w:tr w:rsidR="002641D2" w:rsidRPr="00FA3F9C" w14:paraId="739C9219" w14:textId="77777777" w:rsidTr="00342468">
        <w:trPr>
          <w:jc w:val="center"/>
        </w:trPr>
        <w:tc>
          <w:tcPr>
            <w:tcW w:w="2270" w:type="dxa"/>
            <w:shd w:val="clear" w:color="auto" w:fill="FFFFFF"/>
          </w:tcPr>
          <w:p w14:paraId="4DDED2F1" w14:textId="77777777" w:rsidR="002641D2" w:rsidRPr="00FA3F9C" w:rsidRDefault="002641D2" w:rsidP="00342468">
            <w:pPr>
              <w:shd w:val="clear" w:color="auto" w:fill="FFFFFF"/>
              <w:rPr>
                <w:rFonts w:ascii="Arial" w:hAnsi="Arial" w:cs="Arial"/>
                <w:sz w:val="24"/>
                <w:szCs w:val="24"/>
              </w:rPr>
            </w:pPr>
            <w:r w:rsidRPr="00FA3F9C">
              <w:rPr>
                <w:rFonts w:ascii="Arial" w:hAnsi="Arial" w:cs="Arial"/>
                <w:sz w:val="24"/>
                <w:szCs w:val="24"/>
              </w:rPr>
              <w:t>OS KRAS Wild type</w:t>
            </w:r>
          </w:p>
        </w:tc>
        <w:tc>
          <w:tcPr>
            <w:tcW w:w="2440" w:type="dxa"/>
            <w:shd w:val="clear" w:color="auto" w:fill="FFFFFF"/>
          </w:tcPr>
          <w:p w14:paraId="784F36AC" w14:textId="77777777" w:rsidR="002641D2" w:rsidRPr="00FA3F9C" w:rsidRDefault="002641D2" w:rsidP="00342468">
            <w:pPr>
              <w:shd w:val="clear" w:color="auto" w:fill="FFFFFF"/>
              <w:rPr>
                <w:rFonts w:ascii="Arial" w:hAnsi="Arial" w:cs="Arial"/>
                <w:sz w:val="24"/>
                <w:szCs w:val="24"/>
              </w:rPr>
            </w:pPr>
            <w:r w:rsidRPr="00FA3F9C">
              <w:rPr>
                <w:rFonts w:ascii="Arial" w:hAnsi="Arial" w:cs="Arial"/>
                <w:sz w:val="24"/>
                <w:szCs w:val="24"/>
              </w:rPr>
              <w:t xml:space="preserve">E  6.1m vs </w:t>
            </w:r>
            <w:proofErr w:type="spellStart"/>
            <w:r w:rsidRPr="00FA3F9C">
              <w:rPr>
                <w:rFonts w:ascii="Arial" w:hAnsi="Arial" w:cs="Arial"/>
                <w:sz w:val="24"/>
                <w:szCs w:val="24"/>
              </w:rPr>
              <w:t>plac</w:t>
            </w:r>
            <w:proofErr w:type="spellEnd"/>
            <w:r w:rsidRPr="00FA3F9C">
              <w:rPr>
                <w:rFonts w:ascii="Arial" w:hAnsi="Arial" w:cs="Arial"/>
                <w:sz w:val="24"/>
                <w:szCs w:val="24"/>
              </w:rPr>
              <w:t xml:space="preserve"> 4.5m</w:t>
            </w:r>
          </w:p>
        </w:tc>
        <w:tc>
          <w:tcPr>
            <w:tcW w:w="3090" w:type="dxa"/>
            <w:shd w:val="clear" w:color="auto" w:fill="FFFFFF"/>
          </w:tcPr>
          <w:p w14:paraId="11F15D7F" w14:textId="77777777" w:rsidR="002641D2" w:rsidRPr="00FA3F9C" w:rsidRDefault="002641D2" w:rsidP="00342468">
            <w:pPr>
              <w:shd w:val="clear" w:color="auto" w:fill="FFFFFF"/>
              <w:rPr>
                <w:rFonts w:ascii="Arial" w:hAnsi="Arial" w:cs="Arial"/>
                <w:sz w:val="24"/>
                <w:szCs w:val="24"/>
                <w:highlight w:val="yellow"/>
              </w:rPr>
            </w:pPr>
            <w:r w:rsidRPr="00FA3F9C">
              <w:rPr>
                <w:rFonts w:ascii="Arial" w:hAnsi="Arial" w:cs="Arial"/>
                <w:sz w:val="24"/>
                <w:szCs w:val="24"/>
                <w:highlight w:val="yellow"/>
              </w:rPr>
              <w:t>HR 0.66 (95% CI, 0.28-1.57)</w:t>
            </w:r>
          </w:p>
        </w:tc>
      </w:tr>
      <w:tr w:rsidR="002641D2" w:rsidRPr="00FA3F9C" w14:paraId="1C3C0014" w14:textId="77777777" w:rsidTr="00342468">
        <w:trPr>
          <w:jc w:val="center"/>
        </w:trPr>
        <w:tc>
          <w:tcPr>
            <w:tcW w:w="2270" w:type="dxa"/>
            <w:shd w:val="clear" w:color="auto" w:fill="FFFFFF"/>
          </w:tcPr>
          <w:p w14:paraId="589DB56D" w14:textId="77777777" w:rsidR="002641D2" w:rsidRPr="00FA3F9C" w:rsidRDefault="002641D2" w:rsidP="00573A98">
            <w:pPr>
              <w:shd w:val="clear" w:color="auto" w:fill="FFFFFF"/>
              <w:rPr>
                <w:rFonts w:ascii="Arial" w:hAnsi="Arial" w:cs="Arial"/>
                <w:sz w:val="24"/>
                <w:szCs w:val="24"/>
                <w:lang w:val="fr-FR"/>
              </w:rPr>
            </w:pPr>
            <w:r w:rsidRPr="00FA3F9C">
              <w:rPr>
                <w:rFonts w:ascii="Arial" w:hAnsi="Arial" w:cs="Arial"/>
                <w:sz w:val="24"/>
                <w:szCs w:val="24"/>
                <w:lang w:val="fr-FR"/>
              </w:rPr>
              <w:t>OS KRAS Mutant</w:t>
            </w:r>
          </w:p>
        </w:tc>
        <w:tc>
          <w:tcPr>
            <w:tcW w:w="2440" w:type="dxa"/>
            <w:shd w:val="clear" w:color="auto" w:fill="FFFFFF"/>
          </w:tcPr>
          <w:p w14:paraId="3546099D" w14:textId="77777777" w:rsidR="002641D2" w:rsidRPr="00FA3F9C" w:rsidRDefault="002641D2" w:rsidP="00573A98">
            <w:pPr>
              <w:shd w:val="clear" w:color="auto" w:fill="FFFFFF"/>
              <w:rPr>
                <w:rFonts w:ascii="Arial" w:hAnsi="Arial" w:cs="Arial"/>
                <w:sz w:val="24"/>
                <w:szCs w:val="24"/>
                <w:lang w:val="fr-FR"/>
              </w:rPr>
            </w:pPr>
            <w:r w:rsidRPr="00FA3F9C">
              <w:rPr>
                <w:rFonts w:ascii="Arial" w:hAnsi="Arial" w:cs="Arial"/>
                <w:sz w:val="24"/>
                <w:szCs w:val="24"/>
                <w:lang w:val="fr-FR"/>
              </w:rPr>
              <w:t xml:space="preserve">E 6.0m vs </w:t>
            </w:r>
            <w:proofErr w:type="spellStart"/>
            <w:r w:rsidRPr="00FA3F9C">
              <w:rPr>
                <w:rFonts w:ascii="Arial" w:hAnsi="Arial" w:cs="Arial"/>
                <w:sz w:val="24"/>
                <w:szCs w:val="24"/>
                <w:lang w:val="fr-FR"/>
              </w:rPr>
              <w:t>plac</w:t>
            </w:r>
            <w:proofErr w:type="spellEnd"/>
            <w:r w:rsidRPr="00FA3F9C">
              <w:rPr>
                <w:rFonts w:ascii="Arial" w:hAnsi="Arial" w:cs="Arial"/>
                <w:sz w:val="24"/>
                <w:szCs w:val="24"/>
                <w:lang w:val="fr-FR"/>
              </w:rPr>
              <w:t xml:space="preserve"> 7.4m</w:t>
            </w:r>
          </w:p>
        </w:tc>
        <w:tc>
          <w:tcPr>
            <w:tcW w:w="3090" w:type="dxa"/>
            <w:shd w:val="clear" w:color="auto" w:fill="FFFFFF"/>
          </w:tcPr>
          <w:p w14:paraId="5AEB9EE8" w14:textId="77777777" w:rsidR="002641D2" w:rsidRPr="00FA3F9C" w:rsidRDefault="002641D2" w:rsidP="00573A98">
            <w:pPr>
              <w:shd w:val="clear" w:color="auto" w:fill="FFFFFF"/>
              <w:rPr>
                <w:rFonts w:ascii="Arial" w:hAnsi="Arial" w:cs="Arial"/>
                <w:sz w:val="24"/>
                <w:szCs w:val="24"/>
                <w:highlight w:val="yellow"/>
                <w:lang w:val="fr-FR"/>
              </w:rPr>
            </w:pPr>
            <w:r w:rsidRPr="00FA3F9C">
              <w:rPr>
                <w:rFonts w:ascii="Arial" w:hAnsi="Arial" w:cs="Arial"/>
                <w:sz w:val="24"/>
                <w:szCs w:val="24"/>
                <w:highlight w:val="yellow"/>
                <w:lang w:val="fr-FR"/>
              </w:rPr>
              <w:t>HR 1.07 (95% CI, 0.68-1.66)</w:t>
            </w:r>
          </w:p>
        </w:tc>
      </w:tr>
      <w:tr w:rsidR="002641D2" w:rsidRPr="00FA3F9C" w14:paraId="686EB714" w14:textId="77777777" w:rsidTr="00342468">
        <w:trPr>
          <w:jc w:val="center"/>
        </w:trPr>
        <w:tc>
          <w:tcPr>
            <w:tcW w:w="2270" w:type="dxa"/>
            <w:shd w:val="clear" w:color="auto" w:fill="FFFFFF"/>
          </w:tcPr>
          <w:p w14:paraId="44DBB1EB" w14:textId="77777777" w:rsidR="002641D2" w:rsidRPr="00FA3F9C" w:rsidRDefault="002641D2" w:rsidP="00573A98">
            <w:pPr>
              <w:shd w:val="clear" w:color="auto" w:fill="FFFFFF"/>
              <w:rPr>
                <w:rFonts w:ascii="Arial" w:hAnsi="Arial" w:cs="Arial"/>
                <w:sz w:val="24"/>
                <w:szCs w:val="24"/>
                <w:lang w:val="fr-FR"/>
              </w:rPr>
            </w:pPr>
            <w:r w:rsidRPr="00FA3F9C">
              <w:rPr>
                <w:rFonts w:ascii="Arial" w:hAnsi="Arial" w:cs="Arial"/>
                <w:sz w:val="24"/>
                <w:szCs w:val="24"/>
                <w:lang w:val="fr-FR"/>
              </w:rPr>
              <w:t>OS EGFR FISH (+)</w:t>
            </w:r>
          </w:p>
        </w:tc>
        <w:tc>
          <w:tcPr>
            <w:tcW w:w="2440" w:type="dxa"/>
            <w:shd w:val="clear" w:color="auto" w:fill="FFFFFF"/>
          </w:tcPr>
          <w:p w14:paraId="3B45561E" w14:textId="77777777" w:rsidR="002641D2" w:rsidRPr="00FA3F9C" w:rsidRDefault="002641D2" w:rsidP="00573A98">
            <w:pPr>
              <w:shd w:val="clear" w:color="auto" w:fill="FFFFFF"/>
              <w:rPr>
                <w:rFonts w:ascii="Arial" w:hAnsi="Arial" w:cs="Arial"/>
                <w:sz w:val="24"/>
                <w:szCs w:val="24"/>
                <w:lang w:val="fr-FR"/>
              </w:rPr>
            </w:pPr>
            <w:r w:rsidRPr="00FA3F9C">
              <w:rPr>
                <w:rFonts w:ascii="Arial" w:hAnsi="Arial" w:cs="Arial"/>
                <w:sz w:val="24"/>
                <w:szCs w:val="24"/>
                <w:lang w:val="fr-FR"/>
              </w:rPr>
              <w:t xml:space="preserve">E 5.29m vs </w:t>
            </w:r>
            <w:proofErr w:type="spellStart"/>
            <w:r w:rsidRPr="00FA3F9C">
              <w:rPr>
                <w:rFonts w:ascii="Arial" w:hAnsi="Arial" w:cs="Arial"/>
                <w:sz w:val="24"/>
                <w:szCs w:val="24"/>
                <w:lang w:val="fr-FR"/>
              </w:rPr>
              <w:t>plac</w:t>
            </w:r>
            <w:proofErr w:type="spellEnd"/>
            <w:r w:rsidRPr="00FA3F9C">
              <w:rPr>
                <w:rFonts w:ascii="Arial" w:hAnsi="Arial" w:cs="Arial"/>
                <w:sz w:val="24"/>
                <w:szCs w:val="24"/>
                <w:lang w:val="fr-FR"/>
              </w:rPr>
              <w:t xml:space="preserve"> 5.32m</w:t>
            </w:r>
          </w:p>
        </w:tc>
        <w:tc>
          <w:tcPr>
            <w:tcW w:w="3090" w:type="dxa"/>
            <w:shd w:val="clear" w:color="auto" w:fill="FFFFFF"/>
          </w:tcPr>
          <w:p w14:paraId="6E059D41" w14:textId="77777777" w:rsidR="002641D2" w:rsidRPr="00FA3F9C" w:rsidRDefault="002641D2" w:rsidP="00573A98">
            <w:pPr>
              <w:shd w:val="clear" w:color="auto" w:fill="FFFFFF"/>
              <w:rPr>
                <w:rFonts w:ascii="Arial" w:hAnsi="Arial" w:cs="Arial"/>
                <w:sz w:val="24"/>
                <w:szCs w:val="24"/>
                <w:highlight w:val="yellow"/>
                <w:lang w:val="fr-FR"/>
              </w:rPr>
            </w:pPr>
            <w:r w:rsidRPr="00FA3F9C">
              <w:rPr>
                <w:rFonts w:ascii="Arial" w:hAnsi="Arial" w:cs="Arial"/>
                <w:sz w:val="24"/>
                <w:szCs w:val="24"/>
                <w:highlight w:val="yellow"/>
                <w:lang w:val="fr-FR"/>
              </w:rPr>
              <w:t>HR 0.90 (95% CI, 0.49-1.65)</w:t>
            </w:r>
          </w:p>
        </w:tc>
      </w:tr>
      <w:tr w:rsidR="002641D2" w:rsidRPr="00FA3F9C" w14:paraId="62BE5B0A" w14:textId="77777777" w:rsidTr="00342468">
        <w:trPr>
          <w:jc w:val="center"/>
        </w:trPr>
        <w:tc>
          <w:tcPr>
            <w:tcW w:w="2270" w:type="dxa"/>
            <w:shd w:val="clear" w:color="auto" w:fill="FFFFFF"/>
          </w:tcPr>
          <w:p w14:paraId="7A726CD4" w14:textId="77777777" w:rsidR="002641D2" w:rsidRPr="00FA3F9C" w:rsidRDefault="002641D2" w:rsidP="00573A98">
            <w:pPr>
              <w:shd w:val="clear" w:color="auto" w:fill="FFFFFF"/>
              <w:rPr>
                <w:rFonts w:ascii="Arial" w:hAnsi="Arial" w:cs="Arial"/>
                <w:sz w:val="24"/>
                <w:szCs w:val="24"/>
                <w:lang w:val="fr-FR"/>
              </w:rPr>
            </w:pPr>
            <w:r w:rsidRPr="00FA3F9C">
              <w:rPr>
                <w:rFonts w:ascii="Arial" w:hAnsi="Arial" w:cs="Arial"/>
                <w:sz w:val="24"/>
                <w:szCs w:val="24"/>
                <w:lang w:val="fr-FR"/>
              </w:rPr>
              <w:t>OS EGFR FISH (-)</w:t>
            </w:r>
          </w:p>
        </w:tc>
        <w:tc>
          <w:tcPr>
            <w:tcW w:w="2440" w:type="dxa"/>
            <w:shd w:val="clear" w:color="auto" w:fill="FFFFFF"/>
          </w:tcPr>
          <w:p w14:paraId="12C5F6CE" w14:textId="77777777" w:rsidR="002641D2" w:rsidRPr="00FA3F9C" w:rsidRDefault="002641D2" w:rsidP="00573A98">
            <w:pPr>
              <w:shd w:val="clear" w:color="auto" w:fill="FFFFFF"/>
              <w:rPr>
                <w:rFonts w:ascii="Arial" w:hAnsi="Arial" w:cs="Arial"/>
                <w:sz w:val="24"/>
                <w:szCs w:val="24"/>
                <w:lang w:val="fr-FR"/>
              </w:rPr>
            </w:pPr>
            <w:r w:rsidRPr="00FA3F9C">
              <w:rPr>
                <w:rFonts w:ascii="Arial" w:hAnsi="Arial" w:cs="Arial"/>
                <w:sz w:val="24"/>
                <w:szCs w:val="24"/>
                <w:lang w:val="fr-FR"/>
              </w:rPr>
              <w:t xml:space="preserve">E 8.4m vs </w:t>
            </w:r>
            <w:proofErr w:type="spellStart"/>
            <w:r w:rsidRPr="00FA3F9C">
              <w:rPr>
                <w:rFonts w:ascii="Arial" w:hAnsi="Arial" w:cs="Arial"/>
                <w:sz w:val="24"/>
                <w:szCs w:val="24"/>
                <w:lang w:val="fr-FR"/>
              </w:rPr>
              <w:t>plac</w:t>
            </w:r>
            <w:proofErr w:type="spellEnd"/>
            <w:r w:rsidRPr="00FA3F9C">
              <w:rPr>
                <w:rFonts w:ascii="Arial" w:hAnsi="Arial" w:cs="Arial"/>
                <w:sz w:val="24"/>
                <w:szCs w:val="24"/>
                <w:lang w:val="fr-FR"/>
              </w:rPr>
              <w:t xml:space="preserve"> 6.7m</w:t>
            </w:r>
          </w:p>
        </w:tc>
        <w:tc>
          <w:tcPr>
            <w:tcW w:w="3090" w:type="dxa"/>
            <w:shd w:val="clear" w:color="auto" w:fill="FFFFFF"/>
          </w:tcPr>
          <w:p w14:paraId="4F9A04FE" w14:textId="77777777" w:rsidR="002641D2" w:rsidRPr="00FA3F9C" w:rsidRDefault="002641D2" w:rsidP="00573A98">
            <w:pPr>
              <w:shd w:val="clear" w:color="auto" w:fill="FFFFFF"/>
              <w:rPr>
                <w:rFonts w:ascii="Arial" w:hAnsi="Arial" w:cs="Arial"/>
                <w:sz w:val="24"/>
                <w:szCs w:val="24"/>
                <w:highlight w:val="yellow"/>
                <w:lang w:val="fr-FR"/>
              </w:rPr>
            </w:pPr>
            <w:r w:rsidRPr="00FA3F9C">
              <w:rPr>
                <w:rFonts w:ascii="Arial" w:hAnsi="Arial" w:cs="Arial"/>
                <w:sz w:val="24"/>
                <w:szCs w:val="24"/>
                <w:highlight w:val="yellow"/>
                <w:lang w:val="fr-FR"/>
              </w:rPr>
              <w:t>HR 0.6 (95% CI, 0.34-1.07)</w:t>
            </w:r>
          </w:p>
        </w:tc>
      </w:tr>
    </w:tbl>
    <w:p w14:paraId="3BB77583" w14:textId="77777777" w:rsidR="002641D2" w:rsidRPr="00FA3F9C" w:rsidRDefault="002641D2" w:rsidP="00B304A8">
      <w:pPr>
        <w:rPr>
          <w:rFonts w:ascii="Arial" w:hAnsi="Arial" w:cs="Arial"/>
          <w:sz w:val="24"/>
          <w:szCs w:val="24"/>
        </w:rPr>
      </w:pPr>
    </w:p>
    <w:p w14:paraId="0823E521" w14:textId="77777777" w:rsidR="002641D2" w:rsidRPr="00FA3F9C" w:rsidRDefault="002641D2" w:rsidP="00B304A8">
      <w:pPr>
        <w:rPr>
          <w:rFonts w:ascii="Arial" w:hAnsi="Arial" w:cs="Arial"/>
          <w:sz w:val="24"/>
          <w:szCs w:val="24"/>
        </w:rPr>
      </w:pPr>
      <w:r w:rsidRPr="00FA3F9C">
        <w:rPr>
          <w:rFonts w:ascii="Arial" w:hAnsi="Arial" w:cs="Arial"/>
          <w:sz w:val="24"/>
          <w:szCs w:val="24"/>
        </w:rPr>
        <w:t>References:</w:t>
      </w:r>
    </w:p>
    <w:p w14:paraId="6419E1DA" w14:textId="77777777" w:rsidR="002641D2" w:rsidRPr="00FA3F9C" w:rsidRDefault="002641D2" w:rsidP="002641D2">
      <w:pPr>
        <w:numPr>
          <w:ilvl w:val="0"/>
          <w:numId w:val="177"/>
        </w:numPr>
        <w:shd w:val="clear" w:color="auto" w:fill="FFFFFF"/>
        <w:spacing w:after="0" w:line="240" w:lineRule="auto"/>
        <w:rPr>
          <w:rFonts w:ascii="Arial" w:hAnsi="Arial" w:cs="Arial"/>
          <w:sz w:val="24"/>
          <w:szCs w:val="24"/>
        </w:rPr>
      </w:pPr>
      <w:bookmarkStart w:id="97" w:name="Ciuleanu"/>
      <w:proofErr w:type="spellStart"/>
      <w:r w:rsidRPr="00FA3F9C">
        <w:rPr>
          <w:rFonts w:ascii="Arial" w:hAnsi="Arial" w:cs="Arial"/>
          <w:sz w:val="24"/>
          <w:szCs w:val="24"/>
        </w:rPr>
        <w:t>Ciuleanu</w:t>
      </w:r>
      <w:proofErr w:type="spellEnd"/>
      <w:r w:rsidRPr="00FA3F9C">
        <w:rPr>
          <w:rFonts w:ascii="Arial" w:hAnsi="Arial" w:cs="Arial"/>
          <w:sz w:val="24"/>
          <w:szCs w:val="24"/>
        </w:rPr>
        <w:t xml:space="preserve"> T, et al. Efficacy and safety of erlotinib versus chemotherapy in second-line treatment of patients with </w:t>
      </w:r>
      <w:bookmarkEnd w:id="97"/>
      <w:r w:rsidRPr="00FA3F9C">
        <w:rPr>
          <w:rFonts w:ascii="Arial" w:hAnsi="Arial" w:cs="Arial"/>
          <w:sz w:val="24"/>
          <w:szCs w:val="24"/>
        </w:rPr>
        <w:t xml:space="preserve">advanced, non-small-cell lung cancer with poor prognosis (TITAN): a </w:t>
      </w:r>
      <w:proofErr w:type="spellStart"/>
      <w:r w:rsidRPr="00FA3F9C">
        <w:rPr>
          <w:rFonts w:ascii="Arial" w:hAnsi="Arial" w:cs="Arial"/>
          <w:sz w:val="24"/>
          <w:szCs w:val="24"/>
        </w:rPr>
        <w:t>randomised</w:t>
      </w:r>
      <w:proofErr w:type="spellEnd"/>
      <w:r w:rsidRPr="00FA3F9C">
        <w:rPr>
          <w:rFonts w:ascii="Arial" w:hAnsi="Arial" w:cs="Arial"/>
          <w:sz w:val="24"/>
          <w:szCs w:val="24"/>
        </w:rPr>
        <w:t xml:space="preserve"> </w:t>
      </w:r>
      <w:proofErr w:type="spellStart"/>
      <w:r w:rsidRPr="00FA3F9C">
        <w:rPr>
          <w:rFonts w:ascii="Arial" w:hAnsi="Arial" w:cs="Arial"/>
          <w:sz w:val="24"/>
          <w:szCs w:val="24"/>
        </w:rPr>
        <w:t>multicentre</w:t>
      </w:r>
      <w:proofErr w:type="spellEnd"/>
      <w:r w:rsidRPr="00FA3F9C">
        <w:rPr>
          <w:rFonts w:ascii="Arial" w:hAnsi="Arial" w:cs="Arial"/>
          <w:sz w:val="24"/>
          <w:szCs w:val="24"/>
        </w:rPr>
        <w:t>, open-label, phase 3 study. Lancet Oncol. 2012;13(3):300-8. PMID 22277837 NCT00556322</w:t>
      </w:r>
    </w:p>
    <w:p w14:paraId="4FFA513E" w14:textId="77777777" w:rsidR="002641D2" w:rsidRPr="00FA3F9C" w:rsidRDefault="002641D2" w:rsidP="002641D2">
      <w:pPr>
        <w:numPr>
          <w:ilvl w:val="0"/>
          <w:numId w:val="177"/>
        </w:numPr>
        <w:spacing w:after="0" w:line="240" w:lineRule="auto"/>
        <w:rPr>
          <w:rFonts w:ascii="Arial" w:eastAsia="Calibri" w:hAnsi="Arial" w:cs="Arial"/>
          <w:sz w:val="24"/>
          <w:szCs w:val="24"/>
        </w:rPr>
      </w:pPr>
      <w:r w:rsidRPr="00FA3F9C">
        <w:rPr>
          <w:rFonts w:ascii="Arial" w:eastAsia="Calibri" w:hAnsi="Arial" w:cs="Arial"/>
          <w:sz w:val="24"/>
          <w:szCs w:val="24"/>
          <w:lang w:val="fr-FR"/>
        </w:rPr>
        <w:t xml:space="preserve">Shepherd FA, Pereira JR, et al.  </w:t>
      </w:r>
      <w:r w:rsidRPr="00FA3F9C">
        <w:rPr>
          <w:rFonts w:ascii="Arial" w:eastAsia="Calibri" w:hAnsi="Arial" w:cs="Arial"/>
          <w:sz w:val="24"/>
          <w:szCs w:val="24"/>
        </w:rPr>
        <w:t xml:space="preserve">Erlotinib in previously treated NSCLC.  N </w:t>
      </w:r>
      <w:proofErr w:type="spellStart"/>
      <w:r w:rsidRPr="00FA3F9C">
        <w:rPr>
          <w:rFonts w:ascii="Arial" w:eastAsia="Calibri" w:hAnsi="Arial" w:cs="Arial"/>
          <w:sz w:val="24"/>
          <w:szCs w:val="24"/>
        </w:rPr>
        <w:t>Engl</w:t>
      </w:r>
      <w:proofErr w:type="spellEnd"/>
      <w:r w:rsidRPr="00FA3F9C">
        <w:rPr>
          <w:rFonts w:ascii="Arial" w:eastAsia="Calibri" w:hAnsi="Arial" w:cs="Arial"/>
          <w:sz w:val="24"/>
          <w:szCs w:val="24"/>
        </w:rPr>
        <w:t xml:space="preserve"> J Med. 2005;353:123-32. PMID 16014882</w:t>
      </w:r>
    </w:p>
    <w:p w14:paraId="510BAAB0" w14:textId="77777777" w:rsidR="002641D2" w:rsidRPr="00FA3F9C" w:rsidRDefault="002641D2" w:rsidP="002641D2">
      <w:pPr>
        <w:numPr>
          <w:ilvl w:val="0"/>
          <w:numId w:val="177"/>
        </w:numPr>
        <w:shd w:val="clear" w:color="auto" w:fill="FFFFFF"/>
        <w:spacing w:after="0" w:line="240" w:lineRule="auto"/>
        <w:rPr>
          <w:rFonts w:ascii="Arial" w:hAnsi="Arial" w:cs="Arial"/>
          <w:sz w:val="24"/>
          <w:szCs w:val="24"/>
        </w:rPr>
      </w:pPr>
      <w:r w:rsidRPr="00FA3F9C">
        <w:rPr>
          <w:rFonts w:ascii="Arial" w:hAnsi="Arial" w:cs="Arial"/>
          <w:sz w:val="24"/>
          <w:szCs w:val="24"/>
          <w:lang w:val="fr-FR"/>
        </w:rPr>
        <w:t xml:space="preserve">Ellis LM, Bernstein DS, et al.  </w:t>
      </w:r>
      <w:r w:rsidRPr="00FA3F9C">
        <w:rPr>
          <w:rFonts w:ascii="Arial" w:hAnsi="Arial" w:cs="Arial"/>
          <w:sz w:val="24"/>
          <w:szCs w:val="24"/>
        </w:rPr>
        <w:t xml:space="preserve">American Society of Clinical Oncology perspective:  raising the bar for clinical trials by defining clinically meaningful outcomes.  Published online ahead of print at </w:t>
      </w:r>
      <w:hyperlink r:id="rId163" w:history="1">
        <w:r w:rsidRPr="00FA3F9C">
          <w:rPr>
            <w:rStyle w:val="Hyperlink"/>
            <w:rFonts w:ascii="Arial" w:hAnsi="Arial" w:cs="Arial"/>
            <w:sz w:val="24"/>
            <w:szCs w:val="24"/>
          </w:rPr>
          <w:t>www.jco.org</w:t>
        </w:r>
      </w:hyperlink>
      <w:r w:rsidRPr="00FA3F9C">
        <w:rPr>
          <w:rFonts w:ascii="Arial" w:hAnsi="Arial" w:cs="Arial"/>
          <w:sz w:val="24"/>
          <w:szCs w:val="24"/>
        </w:rPr>
        <w:t xml:space="preserve"> on March 17, 2014.  10.1200/JCO.2013.53.8009</w:t>
      </w:r>
    </w:p>
    <w:p w14:paraId="47A002BF" w14:textId="77777777" w:rsidR="002641D2" w:rsidRPr="00FA3F9C" w:rsidRDefault="002641D2" w:rsidP="002641D2">
      <w:pPr>
        <w:numPr>
          <w:ilvl w:val="0"/>
          <w:numId w:val="177"/>
        </w:numPr>
        <w:shd w:val="clear" w:color="auto" w:fill="FFFFFF"/>
        <w:spacing w:after="0" w:line="240" w:lineRule="auto"/>
        <w:rPr>
          <w:rFonts w:ascii="Arial" w:hAnsi="Arial" w:cs="Arial"/>
          <w:sz w:val="24"/>
          <w:szCs w:val="24"/>
        </w:rPr>
      </w:pPr>
      <w:bookmarkStart w:id="98" w:name="Perol"/>
      <w:proofErr w:type="spellStart"/>
      <w:r w:rsidRPr="00FA3F9C">
        <w:rPr>
          <w:rFonts w:ascii="Arial" w:hAnsi="Arial" w:cs="Arial"/>
          <w:sz w:val="24"/>
          <w:szCs w:val="24"/>
        </w:rPr>
        <w:t>Pérol</w:t>
      </w:r>
      <w:proofErr w:type="spellEnd"/>
      <w:r w:rsidRPr="00FA3F9C">
        <w:rPr>
          <w:rFonts w:ascii="Arial" w:hAnsi="Arial" w:cs="Arial"/>
          <w:sz w:val="24"/>
          <w:szCs w:val="24"/>
        </w:rPr>
        <w:t xml:space="preserve"> M, et al. Randomized, phase III study of gemcitabine or erlotinib maintenance therapy versus observation, </w:t>
      </w:r>
      <w:bookmarkEnd w:id="98"/>
      <w:r w:rsidRPr="00FA3F9C">
        <w:rPr>
          <w:rFonts w:ascii="Arial" w:hAnsi="Arial" w:cs="Arial"/>
          <w:sz w:val="24"/>
          <w:szCs w:val="24"/>
        </w:rPr>
        <w:t>with predefined second-line treatment, after cisplatin-gemcitabine induction chemotherapy in advanced non-small-cell lung cancer. J Clin Oncol. 2012;30(28):3516-24. PMID 22949150</w:t>
      </w:r>
    </w:p>
    <w:p w14:paraId="609626F0" w14:textId="77777777" w:rsidR="002641D2" w:rsidRPr="00FA3F9C" w:rsidRDefault="002641D2" w:rsidP="002641D2">
      <w:pPr>
        <w:numPr>
          <w:ilvl w:val="0"/>
          <w:numId w:val="177"/>
        </w:numPr>
        <w:shd w:val="clear" w:color="auto" w:fill="FFFFFF"/>
        <w:spacing w:after="0" w:line="240" w:lineRule="auto"/>
        <w:rPr>
          <w:rFonts w:ascii="Arial" w:hAnsi="Arial" w:cs="Arial"/>
          <w:sz w:val="24"/>
          <w:szCs w:val="24"/>
        </w:rPr>
      </w:pPr>
      <w:bookmarkStart w:id="99" w:name="Coudert"/>
      <w:proofErr w:type="spellStart"/>
      <w:r w:rsidRPr="00FA3F9C">
        <w:rPr>
          <w:rFonts w:ascii="Arial" w:hAnsi="Arial" w:cs="Arial"/>
          <w:sz w:val="24"/>
          <w:szCs w:val="24"/>
        </w:rPr>
        <w:t>Coudert</w:t>
      </w:r>
      <w:proofErr w:type="spellEnd"/>
      <w:r w:rsidRPr="00FA3F9C">
        <w:rPr>
          <w:rFonts w:ascii="Arial" w:hAnsi="Arial" w:cs="Arial"/>
          <w:sz w:val="24"/>
          <w:szCs w:val="24"/>
        </w:rPr>
        <w:t xml:space="preserve"> B, et al. Survival benefit with erlotinib maintenance therapy in patients with advanced non-small-cell </w:t>
      </w:r>
      <w:bookmarkEnd w:id="99"/>
      <w:r w:rsidRPr="00FA3F9C">
        <w:rPr>
          <w:rFonts w:ascii="Arial" w:hAnsi="Arial" w:cs="Arial"/>
          <w:sz w:val="24"/>
          <w:szCs w:val="24"/>
        </w:rPr>
        <w:t>lung cancer (NSCLC) according to response to first-line chemotherapy. Ann Oncol. 2012;23(2):388-94. PMID 21610154</w:t>
      </w:r>
    </w:p>
    <w:p w14:paraId="7B609EF3" w14:textId="77777777" w:rsidR="002641D2" w:rsidRPr="00FA3F9C" w:rsidRDefault="002641D2" w:rsidP="002641D2">
      <w:pPr>
        <w:numPr>
          <w:ilvl w:val="0"/>
          <w:numId w:val="177"/>
        </w:numPr>
        <w:shd w:val="clear" w:color="auto" w:fill="FFFFFF"/>
        <w:spacing w:after="0" w:line="240" w:lineRule="auto"/>
        <w:rPr>
          <w:rFonts w:ascii="Arial" w:hAnsi="Arial" w:cs="Arial"/>
          <w:sz w:val="24"/>
          <w:szCs w:val="24"/>
          <w:lang w:val="es-ES_tradnl"/>
        </w:rPr>
      </w:pPr>
      <w:bookmarkStart w:id="100" w:name="Moore"/>
      <w:r w:rsidRPr="00FA3F9C">
        <w:rPr>
          <w:rFonts w:ascii="Arial" w:hAnsi="Arial" w:cs="Arial"/>
          <w:sz w:val="24"/>
          <w:szCs w:val="24"/>
          <w:lang w:val="es-ES_tradnl"/>
        </w:rPr>
        <w:lastRenderedPageBreak/>
        <w:t xml:space="preserve">Kawaguchi T, Ando M, </w:t>
      </w:r>
      <w:proofErr w:type="spellStart"/>
      <w:r w:rsidRPr="00FA3F9C">
        <w:rPr>
          <w:rFonts w:ascii="Arial" w:hAnsi="Arial" w:cs="Arial"/>
          <w:sz w:val="24"/>
          <w:szCs w:val="24"/>
          <w:lang w:val="es-ES_tradnl"/>
        </w:rPr>
        <w:t>Asami</w:t>
      </w:r>
      <w:proofErr w:type="spellEnd"/>
      <w:r w:rsidRPr="00FA3F9C">
        <w:rPr>
          <w:rFonts w:ascii="Arial" w:hAnsi="Arial" w:cs="Arial"/>
          <w:sz w:val="24"/>
          <w:szCs w:val="24"/>
          <w:lang w:val="es-ES_tradnl"/>
        </w:rPr>
        <w:t xml:space="preserve"> K, </w:t>
      </w:r>
      <w:proofErr w:type="spellStart"/>
      <w:r w:rsidRPr="00FA3F9C">
        <w:rPr>
          <w:rFonts w:ascii="Arial" w:hAnsi="Arial" w:cs="Arial"/>
          <w:sz w:val="24"/>
          <w:szCs w:val="24"/>
          <w:lang w:val="es-ES_tradnl"/>
        </w:rPr>
        <w:t>Okano</w:t>
      </w:r>
      <w:proofErr w:type="spellEnd"/>
      <w:r w:rsidRPr="00FA3F9C">
        <w:rPr>
          <w:rFonts w:ascii="Arial" w:hAnsi="Arial" w:cs="Arial"/>
          <w:sz w:val="24"/>
          <w:szCs w:val="24"/>
          <w:lang w:val="es-ES_tradnl"/>
        </w:rPr>
        <w:t xml:space="preserve"> Y, et al.  </w:t>
      </w:r>
      <w:r w:rsidRPr="00FA3F9C">
        <w:rPr>
          <w:rFonts w:ascii="Arial" w:hAnsi="Arial" w:cs="Arial"/>
          <w:sz w:val="24"/>
          <w:szCs w:val="24"/>
        </w:rPr>
        <w:t xml:space="preserve">Randomized phase III trial of erlotinib vs docetaxel as second- or third-line therapy in patients with advanced NSCLC:  docetaxel and erlotinib lung </w:t>
      </w:r>
      <w:proofErr w:type="spellStart"/>
      <w:r w:rsidRPr="00FA3F9C">
        <w:rPr>
          <w:rFonts w:ascii="Arial" w:hAnsi="Arial" w:cs="Arial"/>
          <w:sz w:val="24"/>
          <w:szCs w:val="24"/>
        </w:rPr>
        <w:t>cáncer</w:t>
      </w:r>
      <w:proofErr w:type="spellEnd"/>
      <w:r w:rsidRPr="00FA3F9C">
        <w:rPr>
          <w:rFonts w:ascii="Arial" w:hAnsi="Arial" w:cs="Arial"/>
          <w:sz w:val="24"/>
          <w:szCs w:val="24"/>
        </w:rPr>
        <w:t xml:space="preserve"> trial (DELTA). </w:t>
      </w:r>
      <w:r w:rsidRPr="00FA3F9C">
        <w:rPr>
          <w:rFonts w:ascii="Arial" w:hAnsi="Arial" w:cs="Arial"/>
          <w:sz w:val="24"/>
          <w:szCs w:val="24"/>
          <w:lang w:val="es-ES_tradnl"/>
        </w:rPr>
        <w:t xml:space="preserve">J Clin Oncol. </w:t>
      </w:r>
      <w:proofErr w:type="gramStart"/>
      <w:r w:rsidRPr="00FA3F9C">
        <w:rPr>
          <w:rFonts w:ascii="Arial" w:hAnsi="Arial" w:cs="Arial"/>
          <w:sz w:val="24"/>
          <w:szCs w:val="24"/>
          <w:lang w:val="es-ES_tradnl"/>
        </w:rPr>
        <w:t>2014;32:1902</w:t>
      </w:r>
      <w:proofErr w:type="gramEnd"/>
      <w:r w:rsidRPr="00FA3F9C">
        <w:rPr>
          <w:rFonts w:ascii="Arial" w:hAnsi="Arial" w:cs="Arial"/>
          <w:sz w:val="24"/>
          <w:szCs w:val="24"/>
          <w:lang w:val="es-ES_tradnl"/>
        </w:rPr>
        <w:t>-08.</w:t>
      </w:r>
    </w:p>
    <w:p w14:paraId="44BEC158" w14:textId="77777777" w:rsidR="002641D2" w:rsidRPr="00FA3F9C" w:rsidRDefault="002641D2" w:rsidP="002641D2">
      <w:pPr>
        <w:numPr>
          <w:ilvl w:val="0"/>
          <w:numId w:val="177"/>
        </w:numPr>
        <w:shd w:val="clear" w:color="auto" w:fill="FFFFFF"/>
        <w:spacing w:after="0" w:line="240" w:lineRule="auto"/>
        <w:rPr>
          <w:rFonts w:ascii="Arial" w:hAnsi="Arial" w:cs="Arial"/>
          <w:sz w:val="24"/>
          <w:szCs w:val="24"/>
        </w:rPr>
      </w:pPr>
      <w:r w:rsidRPr="00FA3F9C">
        <w:rPr>
          <w:rFonts w:ascii="Arial" w:hAnsi="Arial" w:cs="Arial"/>
          <w:sz w:val="24"/>
          <w:szCs w:val="24"/>
        </w:rPr>
        <w:t xml:space="preserve">Moore MJ, et al. Erlotinib plus gemcitabine compared with gemcitabine alone in patients with advanced </w:t>
      </w:r>
      <w:bookmarkEnd w:id="100"/>
      <w:r w:rsidRPr="00FA3F9C">
        <w:rPr>
          <w:rFonts w:ascii="Arial" w:hAnsi="Arial" w:cs="Arial"/>
          <w:sz w:val="24"/>
          <w:szCs w:val="24"/>
        </w:rPr>
        <w:t>pancreatic cancer: a phase III trial of the National Cancer Institute of Canada Clinical Trials Group. J Clin Oncol 2007;25(15):1960-6</w:t>
      </w:r>
    </w:p>
    <w:p w14:paraId="650C2A8D" w14:textId="77777777" w:rsidR="002641D2" w:rsidRPr="00FA3F9C" w:rsidRDefault="002641D2" w:rsidP="002641D2">
      <w:pPr>
        <w:numPr>
          <w:ilvl w:val="0"/>
          <w:numId w:val="177"/>
        </w:numPr>
        <w:shd w:val="clear" w:color="auto" w:fill="FFFFFF"/>
        <w:spacing w:after="0" w:line="240" w:lineRule="auto"/>
        <w:rPr>
          <w:rFonts w:ascii="Arial" w:hAnsi="Arial" w:cs="Arial"/>
          <w:sz w:val="24"/>
          <w:szCs w:val="24"/>
          <w:lang w:val="es-ES_tradnl"/>
        </w:rPr>
      </w:pPr>
      <w:bookmarkStart w:id="101" w:name="daCunha"/>
      <w:r w:rsidRPr="00FA3F9C">
        <w:rPr>
          <w:rFonts w:ascii="Arial" w:hAnsi="Arial" w:cs="Arial"/>
          <w:sz w:val="24"/>
          <w:szCs w:val="24"/>
          <w:lang w:val="es-ES_tradnl"/>
        </w:rPr>
        <w:t xml:space="preserve">da Cunha Santos G, et al. </w:t>
      </w:r>
      <w:r w:rsidRPr="00FA3F9C">
        <w:rPr>
          <w:rFonts w:ascii="Arial" w:hAnsi="Arial" w:cs="Arial"/>
          <w:sz w:val="24"/>
          <w:szCs w:val="24"/>
        </w:rPr>
        <w:t xml:space="preserve">Molecular predictors of outcome in a phase 3 study of gemcitabine and erlotinib </w:t>
      </w:r>
      <w:bookmarkEnd w:id="101"/>
      <w:r w:rsidRPr="00FA3F9C">
        <w:rPr>
          <w:rFonts w:ascii="Arial" w:hAnsi="Arial" w:cs="Arial"/>
          <w:sz w:val="24"/>
          <w:szCs w:val="24"/>
        </w:rPr>
        <w:t xml:space="preserve">therapy in patients with advanced pancreatic cancer: National Cancer Institute of Canada Clinical Trials Group Study PA.3. </w:t>
      </w:r>
      <w:proofErr w:type="spellStart"/>
      <w:r w:rsidRPr="00FA3F9C">
        <w:rPr>
          <w:rFonts w:ascii="Arial" w:hAnsi="Arial" w:cs="Arial"/>
          <w:sz w:val="24"/>
          <w:szCs w:val="24"/>
          <w:lang w:val="es-ES_tradnl"/>
        </w:rPr>
        <w:t>Cancer</w:t>
      </w:r>
      <w:proofErr w:type="spellEnd"/>
      <w:r w:rsidRPr="00FA3F9C">
        <w:rPr>
          <w:rFonts w:ascii="Arial" w:hAnsi="Arial" w:cs="Arial"/>
          <w:sz w:val="24"/>
          <w:szCs w:val="24"/>
          <w:lang w:val="es-ES_tradnl"/>
        </w:rPr>
        <w:t>. 2010;116(24):5599-607.</w:t>
      </w:r>
    </w:p>
    <w:p w14:paraId="1EC95E68" w14:textId="77777777" w:rsidR="002641D2" w:rsidRPr="00FA3F9C" w:rsidRDefault="002641D2" w:rsidP="00342468">
      <w:pPr>
        <w:shd w:val="clear" w:color="auto" w:fill="FFFFFF"/>
        <w:ind w:left="720"/>
        <w:rPr>
          <w:rFonts w:ascii="Arial" w:hAnsi="Arial" w:cs="Arial"/>
          <w:sz w:val="24"/>
          <w:szCs w:val="24"/>
        </w:rPr>
      </w:pPr>
    </w:p>
    <w:p w14:paraId="2E3786F0" w14:textId="77777777" w:rsidR="002641D2" w:rsidRPr="00FA3F9C" w:rsidRDefault="002641D2" w:rsidP="00FB6260">
      <w:pPr>
        <w:shd w:val="clear" w:color="auto" w:fill="FFFFFF"/>
        <w:ind w:left="720"/>
        <w:rPr>
          <w:rFonts w:ascii="Arial" w:hAnsi="Arial" w:cs="Arial"/>
          <w:sz w:val="24"/>
          <w:szCs w:val="24"/>
        </w:rPr>
      </w:pPr>
    </w:p>
    <w:p w14:paraId="23405FC9" w14:textId="77777777" w:rsidR="002641D2" w:rsidRPr="00FA3F9C" w:rsidRDefault="002641D2" w:rsidP="00BD761B">
      <w:pPr>
        <w:jc w:val="right"/>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8010"/>
        <w:gridCol w:w="1590"/>
      </w:tblGrid>
      <w:tr w:rsidR="002641D2" w:rsidRPr="00FA3F9C" w14:paraId="1B79038B" w14:textId="77777777" w:rsidTr="00294898">
        <w:tc>
          <w:tcPr>
            <w:tcW w:w="738" w:type="dxa"/>
          </w:tcPr>
          <w:p w14:paraId="77A75724" w14:textId="77777777" w:rsidR="002641D2" w:rsidRPr="00FA3F9C" w:rsidRDefault="002641D2" w:rsidP="00954633">
            <w:pPr>
              <w:rPr>
                <w:rFonts w:ascii="Arial" w:hAnsi="Arial" w:cs="Arial"/>
                <w:sz w:val="24"/>
                <w:szCs w:val="24"/>
              </w:rPr>
            </w:pPr>
            <w:r w:rsidRPr="00FA3F9C">
              <w:rPr>
                <w:rFonts w:ascii="Arial" w:hAnsi="Arial" w:cs="Arial"/>
                <w:sz w:val="24"/>
                <w:szCs w:val="24"/>
              </w:rPr>
              <w:t>Date</w:t>
            </w:r>
          </w:p>
        </w:tc>
        <w:tc>
          <w:tcPr>
            <w:tcW w:w="8010" w:type="dxa"/>
          </w:tcPr>
          <w:p w14:paraId="69C6F7F6" w14:textId="77777777" w:rsidR="002641D2" w:rsidRPr="00FA3F9C" w:rsidRDefault="002641D2" w:rsidP="00954633">
            <w:pPr>
              <w:rPr>
                <w:rFonts w:ascii="Arial" w:hAnsi="Arial" w:cs="Arial"/>
                <w:sz w:val="24"/>
                <w:szCs w:val="24"/>
              </w:rPr>
            </w:pPr>
            <w:r w:rsidRPr="00FA3F9C">
              <w:rPr>
                <w:rFonts w:ascii="Arial" w:hAnsi="Arial" w:cs="Arial"/>
                <w:sz w:val="24"/>
                <w:szCs w:val="24"/>
              </w:rPr>
              <w:t>What Changed?</w:t>
            </w:r>
          </w:p>
        </w:tc>
        <w:tc>
          <w:tcPr>
            <w:tcW w:w="1548" w:type="dxa"/>
          </w:tcPr>
          <w:p w14:paraId="11238A30" w14:textId="77777777" w:rsidR="002641D2" w:rsidRPr="00FA3F9C" w:rsidRDefault="002641D2" w:rsidP="00954633">
            <w:pPr>
              <w:rPr>
                <w:rFonts w:ascii="Arial" w:hAnsi="Arial" w:cs="Arial"/>
                <w:sz w:val="24"/>
                <w:szCs w:val="24"/>
              </w:rPr>
            </w:pPr>
            <w:r w:rsidRPr="00FA3F9C">
              <w:rPr>
                <w:rFonts w:ascii="Arial" w:hAnsi="Arial" w:cs="Arial"/>
                <w:sz w:val="24"/>
                <w:szCs w:val="24"/>
              </w:rPr>
              <w:t>Pharmacist’s initials</w:t>
            </w:r>
          </w:p>
        </w:tc>
      </w:tr>
      <w:tr w:rsidR="002641D2" w:rsidRPr="00FA3F9C" w14:paraId="57E53E22" w14:textId="77777777" w:rsidTr="00294898">
        <w:tc>
          <w:tcPr>
            <w:tcW w:w="738" w:type="dxa"/>
          </w:tcPr>
          <w:p w14:paraId="0C89B681" w14:textId="77777777" w:rsidR="002641D2" w:rsidRPr="00FA3F9C" w:rsidRDefault="002641D2" w:rsidP="00954633">
            <w:pPr>
              <w:rPr>
                <w:rFonts w:ascii="Arial" w:hAnsi="Arial" w:cs="Arial"/>
                <w:sz w:val="24"/>
                <w:szCs w:val="24"/>
              </w:rPr>
            </w:pPr>
            <w:r w:rsidRPr="00FA3F9C">
              <w:rPr>
                <w:rFonts w:ascii="Arial" w:hAnsi="Arial" w:cs="Arial"/>
                <w:sz w:val="24"/>
                <w:szCs w:val="24"/>
              </w:rPr>
              <w:t>6/9/14</w:t>
            </w:r>
          </w:p>
        </w:tc>
        <w:tc>
          <w:tcPr>
            <w:tcW w:w="8010" w:type="dxa"/>
          </w:tcPr>
          <w:p w14:paraId="1A2B1F86" w14:textId="77777777" w:rsidR="002641D2" w:rsidRPr="00FA3F9C" w:rsidRDefault="002641D2" w:rsidP="00954633">
            <w:pPr>
              <w:rPr>
                <w:rFonts w:ascii="Arial" w:hAnsi="Arial" w:cs="Arial"/>
                <w:sz w:val="24"/>
                <w:szCs w:val="24"/>
              </w:rPr>
            </w:pPr>
            <w:r w:rsidRPr="00FA3F9C">
              <w:rPr>
                <w:rFonts w:ascii="Arial" w:hAnsi="Arial" w:cs="Arial"/>
                <w:sz w:val="24"/>
                <w:szCs w:val="24"/>
              </w:rPr>
              <w:t>JJ created PA criteria</w:t>
            </w:r>
          </w:p>
        </w:tc>
        <w:tc>
          <w:tcPr>
            <w:tcW w:w="1548" w:type="dxa"/>
          </w:tcPr>
          <w:p w14:paraId="0365150D" w14:textId="6825BA74" w:rsidR="002641D2" w:rsidRPr="00FA3F9C" w:rsidRDefault="005C142D" w:rsidP="00954633">
            <w:pPr>
              <w:rPr>
                <w:rFonts w:ascii="Arial" w:hAnsi="Arial" w:cs="Arial"/>
                <w:sz w:val="24"/>
                <w:szCs w:val="24"/>
              </w:rPr>
            </w:pPr>
            <w:r w:rsidRPr="00FA3F9C">
              <w:rPr>
                <w:rFonts w:ascii="Arial" w:hAnsi="Arial" w:cs="Arial"/>
                <w:sz w:val="24"/>
                <w:szCs w:val="24"/>
              </w:rPr>
              <w:t>JJ</w:t>
            </w:r>
          </w:p>
        </w:tc>
      </w:tr>
      <w:tr w:rsidR="002641D2" w:rsidRPr="00FA3F9C" w14:paraId="480328B0" w14:textId="77777777" w:rsidTr="00294898">
        <w:tc>
          <w:tcPr>
            <w:tcW w:w="738" w:type="dxa"/>
          </w:tcPr>
          <w:p w14:paraId="108D70DA" w14:textId="77777777" w:rsidR="002641D2" w:rsidRPr="00FA3F9C" w:rsidRDefault="002641D2" w:rsidP="00954633">
            <w:pPr>
              <w:rPr>
                <w:rFonts w:ascii="Arial" w:hAnsi="Arial" w:cs="Arial"/>
                <w:sz w:val="24"/>
                <w:szCs w:val="24"/>
              </w:rPr>
            </w:pPr>
            <w:r w:rsidRPr="00FA3F9C">
              <w:rPr>
                <w:rFonts w:ascii="Arial" w:hAnsi="Arial" w:cs="Arial"/>
                <w:sz w:val="24"/>
                <w:szCs w:val="24"/>
              </w:rPr>
              <w:t>2/10/15</w:t>
            </w:r>
          </w:p>
        </w:tc>
        <w:tc>
          <w:tcPr>
            <w:tcW w:w="8010" w:type="dxa"/>
          </w:tcPr>
          <w:p w14:paraId="1D2F0E26" w14:textId="77777777" w:rsidR="002641D2" w:rsidRPr="00FA3F9C" w:rsidRDefault="002641D2" w:rsidP="00954633">
            <w:pPr>
              <w:rPr>
                <w:rFonts w:ascii="Arial" w:hAnsi="Arial" w:cs="Arial"/>
                <w:sz w:val="24"/>
                <w:szCs w:val="24"/>
              </w:rPr>
            </w:pPr>
            <w:r w:rsidRPr="00FA3F9C">
              <w:rPr>
                <w:rFonts w:ascii="Arial" w:hAnsi="Arial" w:cs="Arial"/>
                <w:sz w:val="24"/>
                <w:szCs w:val="24"/>
              </w:rPr>
              <w:t xml:space="preserve">I added reference 9 after answering the question that erlotinib is not covered for EGFR negative NSCLC at this time.  It failed to show a benefit over docetaxel in a </w:t>
            </w:r>
            <w:proofErr w:type="spellStart"/>
            <w:r w:rsidRPr="00FA3F9C">
              <w:rPr>
                <w:rFonts w:ascii="Arial" w:hAnsi="Arial" w:cs="Arial"/>
                <w:sz w:val="24"/>
                <w:szCs w:val="24"/>
              </w:rPr>
              <w:t>nonselected</w:t>
            </w:r>
            <w:proofErr w:type="spellEnd"/>
            <w:r w:rsidRPr="00FA3F9C">
              <w:rPr>
                <w:rFonts w:ascii="Arial" w:hAnsi="Arial" w:cs="Arial"/>
                <w:sz w:val="24"/>
                <w:szCs w:val="24"/>
              </w:rPr>
              <w:t xml:space="preserve"> population (one including EGFR – patients) and when analyzed as a subgroup, the EGFR negative patients had improved PFS with docetaxel and no OS improvement over docetaxel.  This was based on the DELTA trial that was published mid-2014.</w:t>
            </w:r>
          </w:p>
        </w:tc>
        <w:tc>
          <w:tcPr>
            <w:tcW w:w="1548" w:type="dxa"/>
          </w:tcPr>
          <w:p w14:paraId="313E8F10" w14:textId="77777777" w:rsidR="002641D2" w:rsidRPr="00FA3F9C" w:rsidRDefault="002641D2" w:rsidP="00954633">
            <w:pPr>
              <w:rPr>
                <w:rFonts w:ascii="Arial" w:hAnsi="Arial" w:cs="Arial"/>
                <w:sz w:val="24"/>
                <w:szCs w:val="24"/>
              </w:rPr>
            </w:pPr>
            <w:r w:rsidRPr="00FA3F9C">
              <w:rPr>
                <w:rFonts w:ascii="Arial" w:hAnsi="Arial" w:cs="Arial"/>
                <w:sz w:val="24"/>
                <w:szCs w:val="24"/>
              </w:rPr>
              <w:t>JJ</w:t>
            </w:r>
          </w:p>
        </w:tc>
      </w:tr>
      <w:tr w:rsidR="002641D2" w:rsidRPr="00FA3F9C" w14:paraId="1321F60A" w14:textId="77777777" w:rsidTr="00294898">
        <w:tc>
          <w:tcPr>
            <w:tcW w:w="738" w:type="dxa"/>
          </w:tcPr>
          <w:p w14:paraId="3C3CB38A" w14:textId="77777777" w:rsidR="002641D2" w:rsidRPr="00FA3F9C" w:rsidRDefault="002641D2" w:rsidP="00954633">
            <w:pPr>
              <w:rPr>
                <w:rFonts w:ascii="Arial" w:hAnsi="Arial" w:cs="Arial"/>
                <w:sz w:val="24"/>
                <w:szCs w:val="24"/>
              </w:rPr>
            </w:pPr>
            <w:r w:rsidRPr="00FA3F9C">
              <w:rPr>
                <w:rFonts w:ascii="Arial" w:hAnsi="Arial" w:cs="Arial"/>
                <w:sz w:val="24"/>
                <w:szCs w:val="24"/>
              </w:rPr>
              <w:t>6/23/15</w:t>
            </w:r>
          </w:p>
        </w:tc>
        <w:tc>
          <w:tcPr>
            <w:tcW w:w="8010" w:type="dxa"/>
          </w:tcPr>
          <w:p w14:paraId="7FC09988" w14:textId="77777777" w:rsidR="002641D2" w:rsidRPr="00FA3F9C" w:rsidRDefault="002641D2" w:rsidP="00954633">
            <w:pPr>
              <w:rPr>
                <w:rFonts w:ascii="Arial" w:hAnsi="Arial" w:cs="Arial"/>
                <w:sz w:val="24"/>
                <w:szCs w:val="24"/>
              </w:rPr>
            </w:pPr>
            <w:r w:rsidRPr="00FA3F9C">
              <w:rPr>
                <w:rFonts w:ascii="Arial" w:hAnsi="Arial" w:cs="Arial"/>
                <w:sz w:val="24"/>
                <w:szCs w:val="24"/>
              </w:rPr>
              <w:t>I added reference 10.</w:t>
            </w:r>
          </w:p>
        </w:tc>
        <w:tc>
          <w:tcPr>
            <w:tcW w:w="1548" w:type="dxa"/>
          </w:tcPr>
          <w:p w14:paraId="1ACF05E6" w14:textId="77777777" w:rsidR="002641D2" w:rsidRPr="00FA3F9C" w:rsidRDefault="002641D2" w:rsidP="00954633">
            <w:pPr>
              <w:rPr>
                <w:rFonts w:ascii="Arial" w:hAnsi="Arial" w:cs="Arial"/>
                <w:sz w:val="24"/>
                <w:szCs w:val="24"/>
              </w:rPr>
            </w:pPr>
            <w:r w:rsidRPr="00FA3F9C">
              <w:rPr>
                <w:rFonts w:ascii="Arial" w:hAnsi="Arial" w:cs="Arial"/>
                <w:sz w:val="24"/>
                <w:szCs w:val="24"/>
              </w:rPr>
              <w:t>JJ</w:t>
            </w:r>
          </w:p>
        </w:tc>
      </w:tr>
      <w:tr w:rsidR="002641D2" w:rsidRPr="00FA3F9C" w14:paraId="1E36FBB6" w14:textId="77777777" w:rsidTr="00294898">
        <w:tc>
          <w:tcPr>
            <w:tcW w:w="738" w:type="dxa"/>
          </w:tcPr>
          <w:p w14:paraId="18E89AED" w14:textId="77777777" w:rsidR="002641D2" w:rsidRPr="00FA3F9C" w:rsidRDefault="002641D2" w:rsidP="00954633">
            <w:pPr>
              <w:rPr>
                <w:rFonts w:ascii="Arial" w:hAnsi="Arial" w:cs="Arial"/>
                <w:sz w:val="24"/>
                <w:szCs w:val="24"/>
              </w:rPr>
            </w:pPr>
            <w:r w:rsidRPr="00FA3F9C">
              <w:rPr>
                <w:rFonts w:ascii="Arial" w:hAnsi="Arial" w:cs="Arial"/>
                <w:sz w:val="24"/>
                <w:szCs w:val="24"/>
              </w:rPr>
              <w:t>3/7/2016</w:t>
            </w:r>
          </w:p>
        </w:tc>
        <w:tc>
          <w:tcPr>
            <w:tcW w:w="8010" w:type="dxa"/>
          </w:tcPr>
          <w:p w14:paraId="2E8C3FE7" w14:textId="77777777" w:rsidR="002641D2" w:rsidRPr="00FA3F9C" w:rsidRDefault="002641D2" w:rsidP="00954633">
            <w:pPr>
              <w:rPr>
                <w:rFonts w:ascii="Arial" w:hAnsi="Arial" w:cs="Arial"/>
                <w:sz w:val="24"/>
                <w:szCs w:val="24"/>
              </w:rPr>
            </w:pPr>
            <w:r w:rsidRPr="00FA3F9C">
              <w:rPr>
                <w:rFonts w:ascii="Arial" w:hAnsi="Arial" w:cs="Arial"/>
                <w:sz w:val="24"/>
                <w:szCs w:val="24"/>
              </w:rPr>
              <w:t xml:space="preserve">The ESMO document on cancer drugs places erlotinib on the ESMO Magnitude of Clinical Benefit Scale of 4 for </w:t>
            </w:r>
            <w:proofErr w:type="gramStart"/>
            <w:r w:rsidRPr="00FA3F9C">
              <w:rPr>
                <w:rFonts w:ascii="Arial" w:hAnsi="Arial" w:cs="Arial"/>
                <w:sz w:val="24"/>
                <w:szCs w:val="24"/>
              </w:rPr>
              <w:t>first-line</w:t>
            </w:r>
            <w:proofErr w:type="gramEnd"/>
            <w:r w:rsidRPr="00FA3F9C">
              <w:rPr>
                <w:rFonts w:ascii="Arial" w:hAnsi="Arial" w:cs="Arial"/>
                <w:sz w:val="24"/>
                <w:szCs w:val="24"/>
              </w:rPr>
              <w:t xml:space="preserve"> use in </w:t>
            </w:r>
            <w:proofErr w:type="spellStart"/>
            <w:r w:rsidRPr="00FA3F9C">
              <w:rPr>
                <w:rFonts w:ascii="Arial" w:hAnsi="Arial" w:cs="Arial"/>
                <w:sz w:val="24"/>
                <w:szCs w:val="24"/>
              </w:rPr>
              <w:t>IIIb</w:t>
            </w:r>
            <w:proofErr w:type="spellEnd"/>
            <w:r w:rsidRPr="00FA3F9C">
              <w:rPr>
                <w:rFonts w:ascii="Arial" w:hAnsi="Arial" w:cs="Arial"/>
                <w:sz w:val="24"/>
                <w:szCs w:val="24"/>
              </w:rPr>
              <w:t xml:space="preserve"> or IV </w:t>
            </w:r>
            <w:proofErr w:type="spellStart"/>
            <w:r w:rsidRPr="00FA3F9C">
              <w:rPr>
                <w:rFonts w:ascii="Arial" w:hAnsi="Arial" w:cs="Arial"/>
                <w:sz w:val="24"/>
                <w:szCs w:val="24"/>
              </w:rPr>
              <w:t>nonsquamous</w:t>
            </w:r>
            <w:proofErr w:type="spellEnd"/>
            <w:r w:rsidRPr="00FA3F9C">
              <w:rPr>
                <w:rFonts w:ascii="Arial" w:hAnsi="Arial" w:cs="Arial"/>
                <w:sz w:val="24"/>
                <w:szCs w:val="24"/>
              </w:rPr>
              <w:t xml:space="preserve"> and with EGFR mutation.  It places erlotinib at 1 for stage </w:t>
            </w:r>
            <w:proofErr w:type="spellStart"/>
            <w:r w:rsidRPr="00FA3F9C">
              <w:rPr>
                <w:rFonts w:ascii="Arial" w:hAnsi="Arial" w:cs="Arial"/>
                <w:sz w:val="24"/>
                <w:szCs w:val="24"/>
              </w:rPr>
              <w:t>IIIb</w:t>
            </w:r>
            <w:proofErr w:type="spellEnd"/>
            <w:r w:rsidRPr="00FA3F9C">
              <w:rPr>
                <w:rFonts w:ascii="Arial" w:hAnsi="Arial" w:cs="Arial"/>
                <w:sz w:val="24"/>
                <w:szCs w:val="24"/>
              </w:rPr>
              <w:t xml:space="preserve"> or IV maintenance therapy after at least 4 cycles of platinum </w:t>
            </w:r>
            <w:proofErr w:type="spellStart"/>
            <w:r w:rsidRPr="00FA3F9C">
              <w:rPr>
                <w:rFonts w:ascii="Arial" w:hAnsi="Arial" w:cs="Arial"/>
                <w:sz w:val="24"/>
                <w:szCs w:val="24"/>
              </w:rPr>
              <w:t>cTX</w:t>
            </w:r>
            <w:proofErr w:type="spellEnd"/>
            <w:r w:rsidRPr="00FA3F9C">
              <w:rPr>
                <w:rFonts w:ascii="Arial" w:hAnsi="Arial" w:cs="Arial"/>
                <w:sz w:val="24"/>
                <w:szCs w:val="24"/>
              </w:rPr>
              <w:t xml:space="preserve">.  </w:t>
            </w:r>
            <w:r w:rsidRPr="00FA3F9C">
              <w:rPr>
                <w:rFonts w:ascii="Arial" w:hAnsi="Arial" w:cs="Arial"/>
                <w:sz w:val="24"/>
                <w:szCs w:val="24"/>
              </w:rPr>
              <w:lastRenderedPageBreak/>
              <w:t>This evaluation confirms our original assessment of the data including the SATURN trial</w:t>
            </w:r>
          </w:p>
        </w:tc>
        <w:tc>
          <w:tcPr>
            <w:tcW w:w="1548" w:type="dxa"/>
          </w:tcPr>
          <w:p w14:paraId="557C5789" w14:textId="77777777" w:rsidR="002641D2" w:rsidRPr="00FA3F9C" w:rsidRDefault="002641D2" w:rsidP="00954633">
            <w:pPr>
              <w:rPr>
                <w:rFonts w:ascii="Arial" w:hAnsi="Arial" w:cs="Arial"/>
                <w:sz w:val="24"/>
                <w:szCs w:val="24"/>
              </w:rPr>
            </w:pPr>
            <w:r w:rsidRPr="00FA3F9C">
              <w:rPr>
                <w:rFonts w:ascii="Arial" w:hAnsi="Arial" w:cs="Arial"/>
                <w:sz w:val="24"/>
                <w:szCs w:val="24"/>
              </w:rPr>
              <w:lastRenderedPageBreak/>
              <w:t>JJ</w:t>
            </w:r>
          </w:p>
        </w:tc>
      </w:tr>
      <w:tr w:rsidR="002641D2" w:rsidRPr="00FA3F9C" w14:paraId="1CD135A2" w14:textId="77777777" w:rsidTr="00294898">
        <w:tc>
          <w:tcPr>
            <w:tcW w:w="738" w:type="dxa"/>
          </w:tcPr>
          <w:p w14:paraId="3E633FE5" w14:textId="77777777" w:rsidR="002641D2" w:rsidRPr="00FA3F9C" w:rsidRDefault="002641D2" w:rsidP="00954633">
            <w:pPr>
              <w:rPr>
                <w:rFonts w:ascii="Arial" w:hAnsi="Arial" w:cs="Arial"/>
                <w:sz w:val="24"/>
                <w:szCs w:val="24"/>
              </w:rPr>
            </w:pPr>
            <w:r w:rsidRPr="00FA3F9C">
              <w:rPr>
                <w:rFonts w:ascii="Arial" w:hAnsi="Arial" w:cs="Arial"/>
                <w:sz w:val="24"/>
                <w:szCs w:val="24"/>
              </w:rPr>
              <w:t>6/17/19</w:t>
            </w:r>
          </w:p>
        </w:tc>
        <w:tc>
          <w:tcPr>
            <w:tcW w:w="8010" w:type="dxa"/>
          </w:tcPr>
          <w:p w14:paraId="009718AD" w14:textId="77777777" w:rsidR="002641D2" w:rsidRPr="00FA3F9C" w:rsidRDefault="002641D2" w:rsidP="00790569">
            <w:pPr>
              <w:rPr>
                <w:rFonts w:ascii="Arial" w:hAnsi="Arial" w:cs="Arial"/>
                <w:sz w:val="24"/>
                <w:szCs w:val="24"/>
              </w:rPr>
            </w:pPr>
            <w:r w:rsidRPr="00FA3F9C">
              <w:rPr>
                <w:rFonts w:ascii="Arial" w:hAnsi="Arial" w:cs="Arial"/>
                <w:sz w:val="24"/>
                <w:szCs w:val="24"/>
              </w:rPr>
              <w:t>Criteria reviewed with general updates but no significant change to criteria</w:t>
            </w:r>
          </w:p>
        </w:tc>
        <w:tc>
          <w:tcPr>
            <w:tcW w:w="1548" w:type="dxa"/>
          </w:tcPr>
          <w:p w14:paraId="3F9A4837" w14:textId="77777777" w:rsidR="002641D2" w:rsidRPr="00FA3F9C" w:rsidRDefault="002641D2" w:rsidP="00954633">
            <w:pPr>
              <w:rPr>
                <w:rFonts w:ascii="Arial" w:hAnsi="Arial" w:cs="Arial"/>
                <w:sz w:val="24"/>
                <w:szCs w:val="24"/>
              </w:rPr>
            </w:pPr>
            <w:r w:rsidRPr="00FA3F9C">
              <w:rPr>
                <w:rFonts w:ascii="Arial" w:hAnsi="Arial" w:cs="Arial"/>
                <w:sz w:val="24"/>
                <w:szCs w:val="24"/>
              </w:rPr>
              <w:t>SK</w:t>
            </w:r>
          </w:p>
        </w:tc>
      </w:tr>
      <w:tr w:rsidR="002641D2" w:rsidRPr="00FA3F9C" w14:paraId="5E406BFB" w14:textId="77777777" w:rsidTr="00294898">
        <w:tc>
          <w:tcPr>
            <w:tcW w:w="738" w:type="dxa"/>
          </w:tcPr>
          <w:p w14:paraId="21034A04" w14:textId="77777777" w:rsidR="002641D2" w:rsidRPr="00FA3F9C" w:rsidRDefault="002641D2" w:rsidP="00954633">
            <w:pPr>
              <w:rPr>
                <w:rFonts w:ascii="Arial" w:hAnsi="Arial" w:cs="Arial"/>
                <w:sz w:val="24"/>
                <w:szCs w:val="24"/>
              </w:rPr>
            </w:pPr>
            <w:r w:rsidRPr="00FA3F9C">
              <w:rPr>
                <w:rFonts w:ascii="Arial" w:hAnsi="Arial" w:cs="Arial"/>
                <w:sz w:val="24"/>
                <w:szCs w:val="24"/>
              </w:rPr>
              <w:t>4/2/21</w:t>
            </w:r>
          </w:p>
        </w:tc>
        <w:tc>
          <w:tcPr>
            <w:tcW w:w="8010" w:type="dxa"/>
          </w:tcPr>
          <w:p w14:paraId="163B3DD8" w14:textId="77777777" w:rsidR="002641D2" w:rsidRPr="00FA3F9C" w:rsidRDefault="002641D2" w:rsidP="00790569">
            <w:pPr>
              <w:rPr>
                <w:rFonts w:ascii="Arial" w:hAnsi="Arial" w:cs="Arial"/>
                <w:sz w:val="24"/>
                <w:szCs w:val="24"/>
              </w:rPr>
            </w:pPr>
            <w:r w:rsidRPr="00FA3F9C">
              <w:rPr>
                <w:rFonts w:ascii="Arial" w:hAnsi="Arial" w:cs="Arial"/>
                <w:sz w:val="24"/>
                <w:szCs w:val="24"/>
              </w:rPr>
              <w:t>Applied EBRx criteria to UAS Plan.</w:t>
            </w:r>
          </w:p>
        </w:tc>
        <w:tc>
          <w:tcPr>
            <w:tcW w:w="1548" w:type="dxa"/>
          </w:tcPr>
          <w:p w14:paraId="79C03865" w14:textId="77777777" w:rsidR="002641D2" w:rsidRPr="00FA3F9C" w:rsidRDefault="002641D2" w:rsidP="00954633">
            <w:pPr>
              <w:rPr>
                <w:rFonts w:ascii="Arial" w:hAnsi="Arial" w:cs="Arial"/>
                <w:sz w:val="24"/>
                <w:szCs w:val="24"/>
              </w:rPr>
            </w:pPr>
            <w:r w:rsidRPr="00FA3F9C">
              <w:rPr>
                <w:rFonts w:ascii="Arial" w:hAnsi="Arial" w:cs="Arial"/>
                <w:sz w:val="24"/>
                <w:szCs w:val="24"/>
              </w:rPr>
              <w:t>JJ</w:t>
            </w:r>
          </w:p>
        </w:tc>
      </w:tr>
      <w:tr w:rsidR="002641D2" w:rsidRPr="00FA3F9C" w14:paraId="24835C3A" w14:textId="77777777" w:rsidTr="00294898">
        <w:tc>
          <w:tcPr>
            <w:tcW w:w="738" w:type="dxa"/>
          </w:tcPr>
          <w:p w14:paraId="687B6E99" w14:textId="77777777" w:rsidR="002641D2" w:rsidRPr="00FA3F9C" w:rsidRDefault="002641D2" w:rsidP="00954633">
            <w:pPr>
              <w:rPr>
                <w:rFonts w:ascii="Arial" w:hAnsi="Arial" w:cs="Arial"/>
                <w:sz w:val="24"/>
                <w:szCs w:val="24"/>
              </w:rPr>
            </w:pPr>
            <w:r w:rsidRPr="00FA3F9C">
              <w:rPr>
                <w:rFonts w:ascii="Arial" w:hAnsi="Arial" w:cs="Arial"/>
                <w:sz w:val="24"/>
                <w:szCs w:val="24"/>
              </w:rPr>
              <w:t>7/26/2021</w:t>
            </w:r>
          </w:p>
        </w:tc>
        <w:tc>
          <w:tcPr>
            <w:tcW w:w="8010" w:type="dxa"/>
          </w:tcPr>
          <w:p w14:paraId="624ECB6E" w14:textId="77777777" w:rsidR="002641D2" w:rsidRPr="00FA3F9C" w:rsidRDefault="002641D2" w:rsidP="00790569">
            <w:pPr>
              <w:rPr>
                <w:rFonts w:ascii="Arial" w:hAnsi="Arial" w:cs="Arial"/>
                <w:sz w:val="24"/>
                <w:szCs w:val="24"/>
              </w:rPr>
            </w:pPr>
            <w:r w:rsidRPr="00FA3F9C">
              <w:rPr>
                <w:rFonts w:ascii="Arial" w:hAnsi="Arial" w:cs="Arial"/>
                <w:sz w:val="24"/>
                <w:szCs w:val="24"/>
              </w:rPr>
              <w:t>Criteria reviewed. No change</w:t>
            </w:r>
          </w:p>
        </w:tc>
        <w:tc>
          <w:tcPr>
            <w:tcW w:w="1548" w:type="dxa"/>
          </w:tcPr>
          <w:p w14:paraId="03DF31BA" w14:textId="77777777" w:rsidR="002641D2" w:rsidRPr="00FA3F9C" w:rsidRDefault="002641D2" w:rsidP="00954633">
            <w:pPr>
              <w:rPr>
                <w:rFonts w:ascii="Arial" w:hAnsi="Arial" w:cs="Arial"/>
                <w:sz w:val="24"/>
                <w:szCs w:val="24"/>
              </w:rPr>
            </w:pPr>
            <w:r w:rsidRPr="00FA3F9C">
              <w:rPr>
                <w:rFonts w:ascii="Arial" w:hAnsi="Arial" w:cs="Arial"/>
                <w:sz w:val="24"/>
                <w:szCs w:val="24"/>
              </w:rPr>
              <w:t>SK</w:t>
            </w:r>
          </w:p>
        </w:tc>
      </w:tr>
    </w:tbl>
    <w:p w14:paraId="5E75E4A0" w14:textId="77777777" w:rsidR="002641D2" w:rsidRPr="00FA3F9C" w:rsidRDefault="002641D2" w:rsidP="00BD761B">
      <w:pPr>
        <w:jc w:val="right"/>
        <w:rPr>
          <w:rFonts w:ascii="Arial" w:hAnsi="Arial" w:cs="Arial"/>
          <w:sz w:val="24"/>
          <w:szCs w:val="24"/>
        </w:rPr>
      </w:pPr>
    </w:p>
    <w:p w14:paraId="6BD0B9DF" w14:textId="77777777" w:rsidR="002641D2" w:rsidRPr="00FA3F9C" w:rsidRDefault="002641D2" w:rsidP="00BD761B">
      <w:pPr>
        <w:jc w:val="right"/>
        <w:rPr>
          <w:rFonts w:ascii="Arial" w:hAnsi="Arial" w:cs="Arial"/>
          <w:sz w:val="24"/>
          <w:szCs w:val="24"/>
        </w:rPr>
      </w:pPr>
    </w:p>
    <w:p w14:paraId="4177817E" w14:textId="77777777" w:rsidR="002641D2" w:rsidRPr="00FA3F9C" w:rsidRDefault="002641D2" w:rsidP="00E237F4">
      <w:pPr>
        <w:autoSpaceDE w:val="0"/>
        <w:autoSpaceDN w:val="0"/>
        <w:adjustRightInd w:val="0"/>
        <w:rPr>
          <w:rFonts w:ascii="Arial" w:hAnsi="Arial" w:cs="Arial"/>
          <w:sz w:val="24"/>
          <w:szCs w:val="24"/>
        </w:rPr>
      </w:pPr>
      <w:r w:rsidRPr="00FA3F9C">
        <w:rPr>
          <w:rFonts w:ascii="Arial" w:hAnsi="Arial" w:cs="Arial"/>
          <w:b/>
          <w:bCs/>
          <w:sz w:val="24"/>
          <w:szCs w:val="24"/>
        </w:rPr>
        <w:t xml:space="preserve">ECOG Performance Status </w:t>
      </w:r>
    </w:p>
    <w:p w14:paraId="20AFA4C1" w14:textId="77777777" w:rsidR="002641D2" w:rsidRPr="00FA3F9C" w:rsidRDefault="002641D2" w:rsidP="00E237F4">
      <w:pPr>
        <w:autoSpaceDE w:val="0"/>
        <w:autoSpaceDN w:val="0"/>
        <w:adjustRightInd w:val="0"/>
        <w:rPr>
          <w:rFonts w:ascii="Arial" w:hAnsi="Arial" w:cs="Arial"/>
          <w:b/>
          <w:bCs/>
          <w:sz w:val="24"/>
          <w:szCs w:val="24"/>
        </w:rPr>
      </w:pPr>
      <w:r w:rsidRPr="00FA3F9C">
        <w:rPr>
          <w:rFonts w:ascii="Arial" w:hAnsi="Arial" w:cs="Arial"/>
          <w:b/>
          <w:bCs/>
          <w:sz w:val="24"/>
          <w:szCs w:val="24"/>
        </w:rPr>
        <w:t>Grade</w:t>
      </w:r>
    </w:p>
    <w:p w14:paraId="0D503BC2" w14:textId="77777777" w:rsidR="002641D2" w:rsidRPr="00FA3F9C" w:rsidRDefault="002641D2" w:rsidP="00E237F4">
      <w:pPr>
        <w:autoSpaceDE w:val="0"/>
        <w:autoSpaceDN w:val="0"/>
        <w:adjustRightInd w:val="0"/>
        <w:rPr>
          <w:rFonts w:ascii="Arial" w:hAnsi="Arial" w:cs="Arial"/>
          <w:sz w:val="24"/>
          <w:szCs w:val="24"/>
        </w:rPr>
      </w:pPr>
      <w:r w:rsidRPr="00FA3F9C">
        <w:rPr>
          <w:rFonts w:ascii="Arial" w:hAnsi="Arial" w:cs="Arial"/>
          <w:sz w:val="24"/>
          <w:szCs w:val="24"/>
        </w:rPr>
        <w:t xml:space="preserve">0 </w:t>
      </w:r>
      <w:r w:rsidRPr="00FA3F9C">
        <w:rPr>
          <w:rFonts w:ascii="Arial" w:hAnsi="Arial" w:cs="Arial"/>
          <w:sz w:val="24"/>
          <w:szCs w:val="24"/>
        </w:rPr>
        <w:tab/>
        <w:t>Fully active, able to carry on all pre-disease performance without restriction</w:t>
      </w:r>
    </w:p>
    <w:p w14:paraId="5A114B6E" w14:textId="77777777" w:rsidR="002641D2" w:rsidRPr="00FA3F9C" w:rsidRDefault="002641D2" w:rsidP="00790569">
      <w:pPr>
        <w:autoSpaceDE w:val="0"/>
        <w:autoSpaceDN w:val="0"/>
        <w:adjustRightInd w:val="0"/>
        <w:ind w:left="720" w:hanging="720"/>
        <w:rPr>
          <w:rFonts w:ascii="Arial" w:hAnsi="Arial" w:cs="Arial"/>
          <w:sz w:val="24"/>
          <w:szCs w:val="24"/>
        </w:rPr>
      </w:pPr>
      <w:r w:rsidRPr="00FA3F9C">
        <w:rPr>
          <w:rFonts w:ascii="Arial" w:hAnsi="Arial" w:cs="Arial"/>
          <w:sz w:val="24"/>
          <w:szCs w:val="24"/>
        </w:rPr>
        <w:t xml:space="preserve">1 </w:t>
      </w:r>
      <w:r w:rsidRPr="00FA3F9C">
        <w:rPr>
          <w:rFonts w:ascii="Arial" w:hAnsi="Arial" w:cs="Arial"/>
          <w:sz w:val="24"/>
          <w:szCs w:val="24"/>
        </w:rPr>
        <w:tab/>
        <w:t xml:space="preserve">Restricted in physically strenuous activity but ambulatory and able to carry out work of a light or sedentary nature, e.g., light </w:t>
      </w:r>
      <w:proofErr w:type="gramStart"/>
      <w:r w:rsidRPr="00FA3F9C">
        <w:rPr>
          <w:rFonts w:ascii="Arial" w:hAnsi="Arial" w:cs="Arial"/>
          <w:sz w:val="24"/>
          <w:szCs w:val="24"/>
        </w:rPr>
        <w:t>house work</w:t>
      </w:r>
      <w:proofErr w:type="gramEnd"/>
      <w:r w:rsidRPr="00FA3F9C">
        <w:rPr>
          <w:rFonts w:ascii="Arial" w:hAnsi="Arial" w:cs="Arial"/>
          <w:sz w:val="24"/>
          <w:szCs w:val="24"/>
        </w:rPr>
        <w:t>, office work</w:t>
      </w:r>
    </w:p>
    <w:p w14:paraId="64879F83" w14:textId="77777777" w:rsidR="002641D2" w:rsidRPr="00FA3F9C" w:rsidRDefault="002641D2" w:rsidP="00790569">
      <w:pPr>
        <w:autoSpaceDE w:val="0"/>
        <w:autoSpaceDN w:val="0"/>
        <w:adjustRightInd w:val="0"/>
        <w:ind w:left="720" w:hanging="720"/>
        <w:rPr>
          <w:rFonts w:ascii="Arial" w:hAnsi="Arial" w:cs="Arial"/>
          <w:sz w:val="24"/>
          <w:szCs w:val="24"/>
        </w:rPr>
      </w:pPr>
      <w:r w:rsidRPr="00FA3F9C">
        <w:rPr>
          <w:rFonts w:ascii="Arial" w:hAnsi="Arial" w:cs="Arial"/>
          <w:sz w:val="24"/>
          <w:szCs w:val="24"/>
        </w:rPr>
        <w:t xml:space="preserve">2 </w:t>
      </w:r>
      <w:r w:rsidRPr="00FA3F9C">
        <w:rPr>
          <w:rFonts w:ascii="Arial" w:hAnsi="Arial" w:cs="Arial"/>
          <w:sz w:val="24"/>
          <w:szCs w:val="24"/>
        </w:rPr>
        <w:tab/>
        <w:t xml:space="preserve">Ambulatory and capable of all selfcare but unable to carry out any work </w:t>
      </w:r>
      <w:proofErr w:type="gramStart"/>
      <w:r w:rsidRPr="00FA3F9C">
        <w:rPr>
          <w:rFonts w:ascii="Arial" w:hAnsi="Arial" w:cs="Arial"/>
          <w:sz w:val="24"/>
          <w:szCs w:val="24"/>
        </w:rPr>
        <w:t>activities;</w:t>
      </w:r>
      <w:proofErr w:type="gramEnd"/>
      <w:r w:rsidRPr="00FA3F9C">
        <w:rPr>
          <w:rFonts w:ascii="Arial" w:hAnsi="Arial" w:cs="Arial"/>
          <w:sz w:val="24"/>
          <w:szCs w:val="24"/>
        </w:rPr>
        <w:t xml:space="preserve"> up and about more than 50% of waking hours</w:t>
      </w:r>
    </w:p>
    <w:p w14:paraId="41FF5BA7" w14:textId="77777777" w:rsidR="002641D2" w:rsidRPr="00FA3F9C" w:rsidRDefault="002641D2" w:rsidP="00E237F4">
      <w:pPr>
        <w:autoSpaceDE w:val="0"/>
        <w:autoSpaceDN w:val="0"/>
        <w:adjustRightInd w:val="0"/>
        <w:rPr>
          <w:rFonts w:ascii="Arial" w:hAnsi="Arial" w:cs="Arial"/>
          <w:sz w:val="24"/>
          <w:szCs w:val="24"/>
        </w:rPr>
      </w:pPr>
      <w:r w:rsidRPr="00FA3F9C">
        <w:rPr>
          <w:rFonts w:ascii="Arial" w:hAnsi="Arial" w:cs="Arial"/>
          <w:sz w:val="24"/>
          <w:szCs w:val="24"/>
        </w:rPr>
        <w:t xml:space="preserve">3 </w:t>
      </w:r>
      <w:r w:rsidRPr="00FA3F9C">
        <w:rPr>
          <w:rFonts w:ascii="Arial" w:hAnsi="Arial" w:cs="Arial"/>
          <w:sz w:val="24"/>
          <w:szCs w:val="24"/>
        </w:rPr>
        <w:tab/>
        <w:t>Capable of only limited selfcare, confined to bed or chair for more than 50% of waking hours</w:t>
      </w:r>
    </w:p>
    <w:p w14:paraId="7C6BE131" w14:textId="77777777" w:rsidR="002641D2" w:rsidRPr="00FA3F9C" w:rsidRDefault="002641D2" w:rsidP="00E237F4">
      <w:pPr>
        <w:autoSpaceDE w:val="0"/>
        <w:autoSpaceDN w:val="0"/>
        <w:adjustRightInd w:val="0"/>
        <w:rPr>
          <w:rFonts w:ascii="Arial" w:hAnsi="Arial" w:cs="Arial"/>
          <w:sz w:val="24"/>
          <w:szCs w:val="24"/>
        </w:rPr>
      </w:pPr>
      <w:r w:rsidRPr="00FA3F9C">
        <w:rPr>
          <w:rFonts w:ascii="Arial" w:hAnsi="Arial" w:cs="Arial"/>
          <w:sz w:val="24"/>
          <w:szCs w:val="24"/>
        </w:rPr>
        <w:t xml:space="preserve">4 </w:t>
      </w:r>
      <w:r w:rsidRPr="00FA3F9C">
        <w:rPr>
          <w:rFonts w:ascii="Arial" w:hAnsi="Arial" w:cs="Arial"/>
          <w:sz w:val="24"/>
          <w:szCs w:val="24"/>
        </w:rPr>
        <w:tab/>
        <w:t>Completely disabled. Cannot carry on any selfcare. Totally confined to bed or chair</w:t>
      </w:r>
    </w:p>
    <w:p w14:paraId="51AB1899" w14:textId="77777777" w:rsidR="002641D2" w:rsidRPr="00FA3F9C" w:rsidRDefault="002641D2" w:rsidP="00975203">
      <w:pPr>
        <w:rPr>
          <w:rFonts w:ascii="Arial" w:hAnsi="Arial" w:cs="Arial"/>
          <w:sz w:val="24"/>
          <w:szCs w:val="24"/>
        </w:rPr>
      </w:pPr>
      <w:r w:rsidRPr="00FA3F9C">
        <w:rPr>
          <w:rFonts w:ascii="Arial" w:hAnsi="Arial" w:cs="Arial"/>
          <w:sz w:val="24"/>
          <w:szCs w:val="24"/>
        </w:rPr>
        <w:t xml:space="preserve">5 </w:t>
      </w:r>
      <w:r w:rsidRPr="00FA3F9C">
        <w:rPr>
          <w:rFonts w:ascii="Arial" w:hAnsi="Arial" w:cs="Arial"/>
          <w:sz w:val="24"/>
          <w:szCs w:val="24"/>
        </w:rPr>
        <w:tab/>
        <w:t>Dead</w:t>
      </w:r>
    </w:p>
    <w:p w14:paraId="2BDB92E7" w14:textId="77777777" w:rsidR="002641D2" w:rsidRPr="00FA3F9C" w:rsidRDefault="002641D2" w:rsidP="00BD761B">
      <w:pPr>
        <w:jc w:val="right"/>
        <w:rPr>
          <w:rFonts w:ascii="Arial" w:hAnsi="Arial" w:cs="Arial"/>
          <w:sz w:val="24"/>
          <w:szCs w:val="24"/>
        </w:rPr>
      </w:pPr>
    </w:p>
    <w:p w14:paraId="219F8249" w14:textId="77777777" w:rsidR="002641D2" w:rsidRPr="00FA3F9C" w:rsidRDefault="002641D2" w:rsidP="00BD761B">
      <w:pPr>
        <w:jc w:val="right"/>
        <w:rPr>
          <w:rFonts w:ascii="Arial" w:hAnsi="Arial" w:cs="Arial"/>
          <w:sz w:val="24"/>
          <w:szCs w:val="24"/>
        </w:rPr>
      </w:pPr>
    </w:p>
    <w:p w14:paraId="7F55E03D" w14:textId="77777777" w:rsidR="002641D2" w:rsidRPr="00FA3F9C" w:rsidRDefault="002641D2" w:rsidP="00BD761B">
      <w:pPr>
        <w:jc w:val="right"/>
        <w:rPr>
          <w:rFonts w:ascii="Arial" w:hAnsi="Arial" w:cs="Arial"/>
          <w:sz w:val="24"/>
          <w:szCs w:val="24"/>
        </w:rPr>
      </w:pPr>
    </w:p>
    <w:p w14:paraId="1C888D6E" w14:textId="77777777" w:rsidR="002641D2" w:rsidRPr="00FA3F9C" w:rsidRDefault="002641D2" w:rsidP="00E237F4">
      <w:pPr>
        <w:rPr>
          <w:rFonts w:ascii="Arial" w:hAnsi="Arial" w:cs="Arial"/>
          <w:sz w:val="24"/>
          <w:szCs w:val="24"/>
        </w:rPr>
      </w:pPr>
    </w:p>
    <w:p w14:paraId="4E791267" w14:textId="77777777" w:rsidR="002641D2" w:rsidRPr="00FA3F9C" w:rsidRDefault="002641D2" w:rsidP="000C31D2">
      <w:pPr>
        <w:jc w:val="center"/>
        <w:rPr>
          <w:rFonts w:ascii="Arial" w:hAnsi="Arial" w:cs="Arial"/>
          <w:sz w:val="24"/>
          <w:szCs w:val="24"/>
        </w:rPr>
      </w:pPr>
      <w:r w:rsidRPr="00FA3F9C">
        <w:rPr>
          <w:rFonts w:ascii="Arial" w:hAnsi="Arial" w:cs="Arial"/>
          <w:sz w:val="24"/>
          <w:szCs w:val="24"/>
        </w:rPr>
        <w:lastRenderedPageBreak/>
        <w:t xml:space="preserve">Erythropoiesis-stimulating Agents (ESAs) </w:t>
      </w:r>
    </w:p>
    <w:p w14:paraId="15C3D2CF" w14:textId="77777777" w:rsidR="002641D2" w:rsidRPr="00FA3F9C" w:rsidRDefault="002641D2" w:rsidP="000C31D2">
      <w:pPr>
        <w:jc w:val="center"/>
        <w:rPr>
          <w:rFonts w:ascii="Arial" w:hAnsi="Arial" w:cs="Arial"/>
          <w:sz w:val="24"/>
          <w:szCs w:val="24"/>
          <w:lang w:val="es-ES"/>
        </w:rPr>
      </w:pPr>
      <w:r w:rsidRPr="00FA3F9C">
        <w:rPr>
          <w:rFonts w:ascii="Arial" w:hAnsi="Arial" w:cs="Arial"/>
          <w:sz w:val="24"/>
          <w:szCs w:val="24"/>
          <w:lang w:val="es-ES"/>
        </w:rPr>
        <w:t xml:space="preserve">EBRx PA </w:t>
      </w:r>
      <w:proofErr w:type="spellStart"/>
      <w:r w:rsidRPr="00FA3F9C">
        <w:rPr>
          <w:rFonts w:ascii="Arial" w:hAnsi="Arial" w:cs="Arial"/>
          <w:sz w:val="24"/>
          <w:szCs w:val="24"/>
          <w:lang w:val="es-ES"/>
        </w:rPr>
        <w:t>Criteria</w:t>
      </w:r>
      <w:proofErr w:type="spellEnd"/>
    </w:p>
    <w:p w14:paraId="147B1D6D" w14:textId="77777777" w:rsidR="002641D2" w:rsidRPr="00FA3F9C" w:rsidRDefault="002641D2" w:rsidP="000C31D2">
      <w:pPr>
        <w:jc w:val="center"/>
        <w:rPr>
          <w:rFonts w:ascii="Arial" w:hAnsi="Arial" w:cs="Arial"/>
          <w:sz w:val="24"/>
          <w:szCs w:val="24"/>
          <w:lang w:val="es-ES"/>
        </w:rPr>
      </w:pPr>
    </w:p>
    <w:p w14:paraId="5224AA59" w14:textId="77777777" w:rsidR="002641D2" w:rsidRPr="00FA3F9C" w:rsidRDefault="002641D2" w:rsidP="00BE7C2A">
      <w:pPr>
        <w:pStyle w:val="Heading2"/>
        <w:rPr>
          <w:lang w:val="es-ES"/>
        </w:rPr>
      </w:pPr>
      <w:bookmarkStart w:id="102" w:name="_Toc106369792"/>
      <w:proofErr w:type="spellStart"/>
      <w:r w:rsidRPr="00FA3F9C">
        <w:rPr>
          <w:lang w:val="es-ES"/>
        </w:rPr>
        <w:t>darbepoetin</w:t>
      </w:r>
      <w:proofErr w:type="spellEnd"/>
      <w:r w:rsidRPr="00FA3F9C">
        <w:rPr>
          <w:lang w:val="es-ES"/>
        </w:rPr>
        <w:t xml:space="preserve"> alfa (</w:t>
      </w:r>
      <w:proofErr w:type="spellStart"/>
      <w:r w:rsidRPr="00FA3F9C">
        <w:rPr>
          <w:lang w:val="es-ES"/>
        </w:rPr>
        <w:t>Aranesp</w:t>
      </w:r>
      <w:proofErr w:type="spellEnd"/>
      <w:r w:rsidRPr="00FA3F9C">
        <w:rPr>
          <w:vertAlign w:val="superscript"/>
          <w:lang w:val="es-ES"/>
        </w:rPr>
        <w:t>®</w:t>
      </w:r>
      <w:r w:rsidRPr="00FA3F9C">
        <w:rPr>
          <w:lang w:val="es-ES"/>
        </w:rPr>
        <w:t>)</w:t>
      </w:r>
      <w:bookmarkEnd w:id="102"/>
    </w:p>
    <w:p w14:paraId="63A80AAC" w14:textId="77777777" w:rsidR="002641D2" w:rsidRPr="00FA3F9C" w:rsidRDefault="002641D2" w:rsidP="00BE7C2A">
      <w:pPr>
        <w:pStyle w:val="Heading2"/>
      </w:pPr>
      <w:bookmarkStart w:id="103" w:name="_Toc106369793"/>
      <w:r w:rsidRPr="00FA3F9C">
        <w:t>epoetin alfa (Epogen</w:t>
      </w:r>
      <w:r w:rsidRPr="00FA3F9C">
        <w:rPr>
          <w:vertAlign w:val="superscript"/>
        </w:rPr>
        <w:t>®</w:t>
      </w:r>
      <w:r w:rsidRPr="00FA3F9C">
        <w:t>, Procrit</w:t>
      </w:r>
      <w:r w:rsidRPr="00FA3F9C">
        <w:rPr>
          <w:vertAlign w:val="superscript"/>
        </w:rPr>
        <w:t>®</w:t>
      </w:r>
      <w:r w:rsidRPr="00FA3F9C">
        <w:t>)</w:t>
      </w:r>
      <w:bookmarkEnd w:id="103"/>
    </w:p>
    <w:p w14:paraId="40AE495E" w14:textId="77777777" w:rsidR="002641D2" w:rsidRPr="00FA3F9C" w:rsidRDefault="002641D2" w:rsidP="0093255D">
      <w:pPr>
        <w:jc w:val="center"/>
        <w:rPr>
          <w:rFonts w:ascii="Arial" w:hAnsi="Arial" w:cs="Arial"/>
          <w:sz w:val="24"/>
          <w:szCs w:val="24"/>
        </w:rPr>
      </w:pPr>
      <w:bookmarkStart w:id="104" w:name="_Toc106369794"/>
      <w:r w:rsidRPr="00BE7C2A">
        <w:rPr>
          <w:rStyle w:val="Heading2Char"/>
          <w:rFonts w:eastAsiaTheme="minorHAnsi"/>
        </w:rPr>
        <w:t>epoetin alfa-</w:t>
      </w:r>
      <w:proofErr w:type="spellStart"/>
      <w:r w:rsidRPr="00BE7C2A">
        <w:rPr>
          <w:rStyle w:val="Heading2Char"/>
          <w:rFonts w:eastAsiaTheme="minorHAnsi"/>
        </w:rPr>
        <w:t>epbx</w:t>
      </w:r>
      <w:proofErr w:type="spellEnd"/>
      <w:r w:rsidRPr="00BE7C2A">
        <w:rPr>
          <w:rStyle w:val="Heading2Char"/>
          <w:rFonts w:eastAsiaTheme="minorHAnsi"/>
        </w:rPr>
        <w:t xml:space="preserve"> (</w:t>
      </w:r>
      <w:proofErr w:type="spellStart"/>
      <w:r w:rsidRPr="00BE7C2A">
        <w:rPr>
          <w:rStyle w:val="Heading2Char"/>
          <w:rFonts w:eastAsiaTheme="minorHAnsi"/>
        </w:rPr>
        <w:t>Retacrit</w:t>
      </w:r>
      <w:proofErr w:type="spellEnd"/>
      <w:r w:rsidRPr="00BE7C2A">
        <w:rPr>
          <w:rStyle w:val="Heading2Char"/>
          <w:rFonts w:eastAsiaTheme="minorHAnsi"/>
        </w:rPr>
        <w:t>®)</w:t>
      </w:r>
      <w:bookmarkEnd w:id="104"/>
      <w:r w:rsidRPr="00FA3F9C">
        <w:rPr>
          <w:rFonts w:ascii="Arial" w:hAnsi="Arial" w:cs="Arial"/>
          <w:sz w:val="24"/>
          <w:szCs w:val="24"/>
        </w:rPr>
        <w:t xml:space="preserve"> [biosimilar of Epogen/Procrit]</w:t>
      </w:r>
    </w:p>
    <w:p w14:paraId="79416FAA" w14:textId="77777777" w:rsidR="002641D2" w:rsidRPr="00FA3F9C" w:rsidRDefault="002641D2" w:rsidP="00BE7C2A">
      <w:pPr>
        <w:pStyle w:val="Heading2"/>
      </w:pPr>
      <w:bookmarkStart w:id="105" w:name="_Toc106369795"/>
      <w:r w:rsidRPr="00FA3F9C">
        <w:t>methoxy polyethylene glycol-epoetin beta (</w:t>
      </w:r>
      <w:proofErr w:type="spellStart"/>
      <w:r w:rsidRPr="00FA3F9C">
        <w:t>Mircera</w:t>
      </w:r>
      <w:proofErr w:type="spellEnd"/>
      <w:r w:rsidRPr="00FA3F9C">
        <w:rPr>
          <w:vertAlign w:val="superscript"/>
        </w:rPr>
        <w:t>®</w:t>
      </w:r>
      <w:r w:rsidRPr="00FA3F9C">
        <w:t>)</w:t>
      </w:r>
      <w:bookmarkEnd w:id="105"/>
    </w:p>
    <w:p w14:paraId="5E65C8C3" w14:textId="77777777" w:rsidR="002641D2" w:rsidRPr="00FA3F9C" w:rsidRDefault="002641D2" w:rsidP="009E4A85">
      <w:pPr>
        <w:rPr>
          <w:rFonts w:ascii="Arial" w:hAnsi="Arial" w:cs="Arial"/>
          <w:sz w:val="24"/>
          <w:szCs w:val="24"/>
        </w:rPr>
      </w:pPr>
    </w:p>
    <w:p w14:paraId="01D3D25C" w14:textId="77777777" w:rsidR="002641D2" w:rsidRPr="00FA3F9C" w:rsidRDefault="002641D2" w:rsidP="009E4A85">
      <w:pPr>
        <w:rPr>
          <w:rFonts w:ascii="Arial" w:hAnsi="Arial" w:cs="Arial"/>
          <w:b/>
          <w:sz w:val="24"/>
          <w:szCs w:val="24"/>
          <w:u w:val="single"/>
        </w:rPr>
      </w:pPr>
      <w:r w:rsidRPr="00FA3F9C">
        <w:rPr>
          <w:rFonts w:ascii="Arial" w:hAnsi="Arial" w:cs="Arial"/>
          <w:b/>
          <w:sz w:val="24"/>
          <w:szCs w:val="24"/>
          <w:u w:val="single"/>
        </w:rPr>
        <w:t>FDA approved for:</w:t>
      </w:r>
    </w:p>
    <w:p w14:paraId="3639CE04" w14:textId="77777777" w:rsidR="002641D2" w:rsidRPr="00FA3F9C" w:rsidRDefault="002641D2" w:rsidP="002641D2">
      <w:pPr>
        <w:numPr>
          <w:ilvl w:val="0"/>
          <w:numId w:val="195"/>
        </w:numPr>
        <w:spacing w:after="0" w:line="240" w:lineRule="auto"/>
        <w:rPr>
          <w:rFonts w:ascii="Arial" w:hAnsi="Arial" w:cs="Arial"/>
          <w:b/>
          <w:sz w:val="24"/>
          <w:szCs w:val="24"/>
          <w:u w:val="single"/>
        </w:rPr>
      </w:pPr>
      <w:r w:rsidRPr="00FA3F9C">
        <w:rPr>
          <w:rFonts w:ascii="Arial" w:hAnsi="Arial" w:cs="Arial"/>
          <w:sz w:val="24"/>
          <w:szCs w:val="24"/>
        </w:rPr>
        <w:t>Darbepoetin (Aranesp) is indicated for treatment of anemia due to:</w:t>
      </w:r>
    </w:p>
    <w:p w14:paraId="62A14AF1" w14:textId="77777777" w:rsidR="002641D2" w:rsidRPr="00FA3F9C" w:rsidRDefault="002641D2" w:rsidP="002641D2">
      <w:pPr>
        <w:numPr>
          <w:ilvl w:val="1"/>
          <w:numId w:val="195"/>
        </w:numPr>
        <w:spacing w:after="0" w:line="240" w:lineRule="auto"/>
        <w:rPr>
          <w:rFonts w:ascii="Arial" w:hAnsi="Arial" w:cs="Arial"/>
          <w:b/>
          <w:sz w:val="24"/>
          <w:szCs w:val="24"/>
          <w:u w:val="single"/>
        </w:rPr>
      </w:pPr>
      <w:r w:rsidRPr="00FA3F9C">
        <w:rPr>
          <w:rFonts w:ascii="Arial" w:hAnsi="Arial" w:cs="Arial"/>
          <w:sz w:val="24"/>
          <w:szCs w:val="24"/>
        </w:rPr>
        <w:t>Chronic Kidney Disease (CKD) in patients on dialysis and patients not on dialysis</w:t>
      </w:r>
    </w:p>
    <w:p w14:paraId="60C4E813" w14:textId="77777777" w:rsidR="002641D2" w:rsidRPr="00FA3F9C" w:rsidRDefault="002641D2" w:rsidP="002641D2">
      <w:pPr>
        <w:numPr>
          <w:ilvl w:val="1"/>
          <w:numId w:val="195"/>
        </w:numPr>
        <w:spacing w:after="0" w:line="240" w:lineRule="auto"/>
        <w:rPr>
          <w:rFonts w:ascii="Arial" w:hAnsi="Arial" w:cs="Arial"/>
          <w:b/>
          <w:sz w:val="24"/>
          <w:szCs w:val="24"/>
          <w:u w:val="single"/>
        </w:rPr>
      </w:pPr>
      <w:r w:rsidRPr="00FA3F9C">
        <w:rPr>
          <w:rFonts w:ascii="Arial" w:hAnsi="Arial" w:cs="Arial"/>
          <w:sz w:val="24"/>
          <w:szCs w:val="24"/>
        </w:rPr>
        <w:t>The effects of concomitant myelosuppressive chemotherapy, and upon initiation, there is a minimum of two additional months of planned chemotherapy</w:t>
      </w:r>
    </w:p>
    <w:p w14:paraId="7D0809A6" w14:textId="77777777" w:rsidR="002641D2" w:rsidRPr="00FA3F9C" w:rsidRDefault="002641D2" w:rsidP="007D066B">
      <w:pPr>
        <w:rPr>
          <w:rFonts w:ascii="Arial" w:hAnsi="Arial" w:cs="Arial"/>
          <w:sz w:val="24"/>
          <w:szCs w:val="24"/>
        </w:rPr>
      </w:pPr>
    </w:p>
    <w:p w14:paraId="386722F6" w14:textId="77777777" w:rsidR="002641D2" w:rsidRPr="00FA3F9C" w:rsidRDefault="002641D2" w:rsidP="002641D2">
      <w:pPr>
        <w:numPr>
          <w:ilvl w:val="0"/>
          <w:numId w:val="195"/>
        </w:numPr>
        <w:spacing w:after="0" w:line="240" w:lineRule="auto"/>
        <w:rPr>
          <w:rFonts w:ascii="Arial" w:hAnsi="Arial" w:cs="Arial"/>
          <w:b/>
          <w:sz w:val="24"/>
          <w:szCs w:val="24"/>
          <w:u w:val="single"/>
        </w:rPr>
      </w:pPr>
      <w:r w:rsidRPr="00FA3F9C">
        <w:rPr>
          <w:rFonts w:ascii="Arial" w:hAnsi="Arial" w:cs="Arial"/>
          <w:sz w:val="24"/>
          <w:szCs w:val="24"/>
        </w:rPr>
        <w:t>Epoetin alfa (Procrit, Epogen) and epoetin alfa-</w:t>
      </w:r>
      <w:proofErr w:type="spellStart"/>
      <w:r w:rsidRPr="00FA3F9C">
        <w:rPr>
          <w:rFonts w:ascii="Arial" w:hAnsi="Arial" w:cs="Arial"/>
          <w:sz w:val="24"/>
          <w:szCs w:val="24"/>
        </w:rPr>
        <w:t>epbx</w:t>
      </w:r>
      <w:proofErr w:type="spellEnd"/>
      <w:r w:rsidRPr="00FA3F9C">
        <w:rPr>
          <w:rFonts w:ascii="Arial" w:hAnsi="Arial" w:cs="Arial"/>
          <w:sz w:val="24"/>
          <w:szCs w:val="24"/>
        </w:rPr>
        <w:t xml:space="preserve"> (</w:t>
      </w:r>
      <w:proofErr w:type="spellStart"/>
      <w:r w:rsidRPr="00FA3F9C">
        <w:rPr>
          <w:rFonts w:ascii="Arial" w:hAnsi="Arial" w:cs="Arial"/>
          <w:sz w:val="24"/>
          <w:szCs w:val="24"/>
        </w:rPr>
        <w:t>Retacrit</w:t>
      </w:r>
      <w:proofErr w:type="spellEnd"/>
      <w:r w:rsidRPr="00FA3F9C">
        <w:rPr>
          <w:rFonts w:ascii="Arial" w:hAnsi="Arial" w:cs="Arial"/>
          <w:sz w:val="24"/>
          <w:szCs w:val="24"/>
        </w:rPr>
        <w:t>) are indicated for treatment of anemia due to:</w:t>
      </w:r>
    </w:p>
    <w:p w14:paraId="67B5025E" w14:textId="77777777" w:rsidR="002641D2" w:rsidRPr="00FA3F9C" w:rsidRDefault="002641D2" w:rsidP="002641D2">
      <w:pPr>
        <w:numPr>
          <w:ilvl w:val="1"/>
          <w:numId w:val="195"/>
        </w:numPr>
        <w:spacing w:after="0" w:line="240" w:lineRule="auto"/>
        <w:rPr>
          <w:rFonts w:ascii="Arial" w:hAnsi="Arial" w:cs="Arial"/>
          <w:b/>
          <w:sz w:val="24"/>
          <w:szCs w:val="24"/>
          <w:u w:val="single"/>
        </w:rPr>
      </w:pPr>
      <w:r w:rsidRPr="00FA3F9C">
        <w:rPr>
          <w:rFonts w:ascii="Arial" w:hAnsi="Arial" w:cs="Arial"/>
          <w:sz w:val="24"/>
          <w:szCs w:val="24"/>
        </w:rPr>
        <w:t>Chronic Kidney Disease (CKD) in patients on dialysis and patients not on dialysis</w:t>
      </w:r>
    </w:p>
    <w:p w14:paraId="2628C989" w14:textId="77777777" w:rsidR="002641D2" w:rsidRPr="00FA3F9C" w:rsidRDefault="002641D2" w:rsidP="002641D2">
      <w:pPr>
        <w:numPr>
          <w:ilvl w:val="1"/>
          <w:numId w:val="195"/>
        </w:numPr>
        <w:spacing w:after="0" w:line="240" w:lineRule="auto"/>
        <w:rPr>
          <w:rFonts w:ascii="Arial" w:hAnsi="Arial" w:cs="Arial"/>
          <w:b/>
          <w:sz w:val="24"/>
          <w:szCs w:val="24"/>
          <w:u w:val="single"/>
        </w:rPr>
      </w:pPr>
      <w:r w:rsidRPr="00FA3F9C">
        <w:rPr>
          <w:rFonts w:ascii="Arial" w:hAnsi="Arial" w:cs="Arial"/>
          <w:sz w:val="24"/>
          <w:szCs w:val="24"/>
        </w:rPr>
        <w:t>The effects of concomitant myelosuppressive chemotherapy, and upon initiation, there is a minimum of two additional months of planned chemotherapy</w:t>
      </w:r>
    </w:p>
    <w:p w14:paraId="05C84A24" w14:textId="77777777" w:rsidR="002641D2" w:rsidRPr="00FA3F9C" w:rsidRDefault="002641D2" w:rsidP="002641D2">
      <w:pPr>
        <w:numPr>
          <w:ilvl w:val="1"/>
          <w:numId w:val="195"/>
        </w:numPr>
        <w:spacing w:after="0" w:line="240" w:lineRule="auto"/>
        <w:rPr>
          <w:rFonts w:ascii="Arial" w:hAnsi="Arial" w:cs="Arial"/>
          <w:b/>
          <w:sz w:val="24"/>
          <w:szCs w:val="24"/>
          <w:u w:val="single"/>
        </w:rPr>
      </w:pPr>
      <w:r w:rsidRPr="00FA3F9C">
        <w:rPr>
          <w:rFonts w:ascii="Arial" w:hAnsi="Arial" w:cs="Arial"/>
          <w:sz w:val="24"/>
          <w:szCs w:val="24"/>
        </w:rPr>
        <w:t>Zidovudine in patients with HIV-infection</w:t>
      </w:r>
    </w:p>
    <w:p w14:paraId="6FD0F17C" w14:textId="77777777" w:rsidR="002641D2" w:rsidRPr="00FA3F9C" w:rsidRDefault="002641D2" w:rsidP="002641D2">
      <w:pPr>
        <w:numPr>
          <w:ilvl w:val="1"/>
          <w:numId w:val="195"/>
        </w:numPr>
        <w:spacing w:after="0" w:line="240" w:lineRule="auto"/>
        <w:rPr>
          <w:rFonts w:ascii="Arial" w:hAnsi="Arial" w:cs="Arial"/>
          <w:b/>
          <w:sz w:val="24"/>
          <w:szCs w:val="24"/>
          <w:u w:val="single"/>
        </w:rPr>
      </w:pPr>
      <w:r w:rsidRPr="00FA3F9C">
        <w:rPr>
          <w:rFonts w:ascii="Arial" w:hAnsi="Arial" w:cs="Arial"/>
          <w:sz w:val="24"/>
          <w:szCs w:val="24"/>
        </w:rPr>
        <w:t>Reduction of allogeneic RBC transfusions in patients undergoing elective, noncardiac, nonvascular surgery</w:t>
      </w:r>
    </w:p>
    <w:p w14:paraId="3DCD1AE8" w14:textId="77777777" w:rsidR="002641D2" w:rsidRPr="00FA3F9C" w:rsidRDefault="002641D2" w:rsidP="007D066B">
      <w:pPr>
        <w:ind w:left="1440"/>
        <w:rPr>
          <w:rFonts w:ascii="Arial" w:hAnsi="Arial" w:cs="Arial"/>
          <w:b/>
          <w:sz w:val="24"/>
          <w:szCs w:val="24"/>
          <w:u w:val="single"/>
        </w:rPr>
      </w:pPr>
    </w:p>
    <w:p w14:paraId="008E0FAD" w14:textId="77777777" w:rsidR="002641D2" w:rsidRPr="00FA3F9C" w:rsidRDefault="002641D2" w:rsidP="002641D2">
      <w:pPr>
        <w:numPr>
          <w:ilvl w:val="0"/>
          <w:numId w:val="195"/>
        </w:numPr>
        <w:spacing w:after="0" w:line="240" w:lineRule="auto"/>
        <w:rPr>
          <w:rFonts w:ascii="Arial" w:hAnsi="Arial" w:cs="Arial"/>
          <w:b/>
          <w:sz w:val="24"/>
          <w:szCs w:val="24"/>
          <w:u w:val="single"/>
        </w:rPr>
      </w:pPr>
      <w:r w:rsidRPr="00FA3F9C">
        <w:rPr>
          <w:rFonts w:ascii="Arial" w:hAnsi="Arial" w:cs="Arial"/>
          <w:sz w:val="24"/>
          <w:szCs w:val="24"/>
        </w:rPr>
        <w:t>Methoxy polyethylene glycol-epoetin beta (</w:t>
      </w:r>
      <w:proofErr w:type="spellStart"/>
      <w:r w:rsidRPr="00FA3F9C">
        <w:rPr>
          <w:rFonts w:ascii="Arial" w:hAnsi="Arial" w:cs="Arial"/>
          <w:sz w:val="24"/>
          <w:szCs w:val="24"/>
        </w:rPr>
        <w:t>Mircera</w:t>
      </w:r>
      <w:proofErr w:type="spellEnd"/>
      <w:r w:rsidRPr="00FA3F9C">
        <w:rPr>
          <w:rFonts w:ascii="Arial" w:hAnsi="Arial" w:cs="Arial"/>
          <w:sz w:val="24"/>
          <w:szCs w:val="24"/>
        </w:rPr>
        <w:t>) is indicated for treatment of anemia due to:</w:t>
      </w:r>
    </w:p>
    <w:p w14:paraId="64FC07B5" w14:textId="77777777" w:rsidR="002641D2" w:rsidRPr="00FA3F9C" w:rsidRDefault="002641D2" w:rsidP="002641D2">
      <w:pPr>
        <w:numPr>
          <w:ilvl w:val="1"/>
          <w:numId w:val="195"/>
        </w:numPr>
        <w:spacing w:after="0" w:line="240" w:lineRule="auto"/>
        <w:rPr>
          <w:rFonts w:ascii="Arial" w:hAnsi="Arial" w:cs="Arial"/>
          <w:b/>
          <w:sz w:val="24"/>
          <w:szCs w:val="24"/>
          <w:u w:val="single"/>
        </w:rPr>
      </w:pPr>
      <w:r w:rsidRPr="00FA3F9C">
        <w:rPr>
          <w:rFonts w:ascii="Arial" w:hAnsi="Arial" w:cs="Arial"/>
          <w:sz w:val="24"/>
          <w:szCs w:val="24"/>
        </w:rPr>
        <w:t>Chronic kidney disease (CKD) in adult patients on dialysis and adult patients not on dialysis</w:t>
      </w:r>
    </w:p>
    <w:p w14:paraId="33C09CDF" w14:textId="77777777" w:rsidR="002641D2" w:rsidRPr="00FA3F9C" w:rsidRDefault="002641D2" w:rsidP="002641D2">
      <w:pPr>
        <w:numPr>
          <w:ilvl w:val="1"/>
          <w:numId w:val="195"/>
        </w:numPr>
        <w:spacing w:after="0" w:line="240" w:lineRule="auto"/>
        <w:rPr>
          <w:rFonts w:ascii="Arial" w:hAnsi="Arial" w:cs="Arial"/>
          <w:b/>
          <w:sz w:val="24"/>
          <w:szCs w:val="24"/>
          <w:u w:val="single"/>
        </w:rPr>
      </w:pPr>
      <w:r w:rsidRPr="00FA3F9C">
        <w:rPr>
          <w:rFonts w:ascii="Arial" w:hAnsi="Arial" w:cs="Arial"/>
          <w:sz w:val="24"/>
          <w:szCs w:val="24"/>
        </w:rPr>
        <w:t>Chronic kidney disease (CKD) in pediatric patients 5 to 17 years of age on hemodialysis who are converting from another ESA after their hemoglobin level was stabilized with an ESA</w:t>
      </w:r>
    </w:p>
    <w:p w14:paraId="7F4EEE73" w14:textId="77777777" w:rsidR="002641D2" w:rsidRPr="00FA3F9C" w:rsidRDefault="002641D2" w:rsidP="007D066B">
      <w:pPr>
        <w:rPr>
          <w:rFonts w:ascii="Arial" w:hAnsi="Arial" w:cs="Arial"/>
          <w:b/>
          <w:sz w:val="24"/>
          <w:szCs w:val="24"/>
          <w:u w:val="single"/>
        </w:rPr>
      </w:pPr>
    </w:p>
    <w:p w14:paraId="121EB102" w14:textId="77777777" w:rsidR="002641D2" w:rsidRPr="00FA3F9C" w:rsidRDefault="002641D2" w:rsidP="000C31D2">
      <w:pPr>
        <w:rPr>
          <w:rFonts w:ascii="Arial" w:hAnsi="Arial" w:cs="Arial"/>
          <w:sz w:val="24"/>
          <w:szCs w:val="24"/>
        </w:rPr>
      </w:pPr>
    </w:p>
    <w:p w14:paraId="3E795DB0" w14:textId="77777777" w:rsidR="002641D2" w:rsidRPr="00FA3F9C" w:rsidRDefault="002641D2" w:rsidP="002641D2">
      <w:pPr>
        <w:numPr>
          <w:ilvl w:val="0"/>
          <w:numId w:val="183"/>
        </w:numPr>
        <w:spacing w:after="0" w:line="240" w:lineRule="auto"/>
        <w:rPr>
          <w:rFonts w:ascii="Arial" w:hAnsi="Arial" w:cs="Arial"/>
          <w:sz w:val="24"/>
          <w:szCs w:val="24"/>
        </w:rPr>
      </w:pPr>
      <w:r w:rsidRPr="00FA3F9C">
        <w:rPr>
          <w:rFonts w:ascii="Arial" w:hAnsi="Arial" w:cs="Arial"/>
          <w:b/>
          <w:sz w:val="24"/>
          <w:szCs w:val="24"/>
        </w:rPr>
        <w:lastRenderedPageBreak/>
        <w:t>CRITERIA FOR ALL INDICATIONS.</w:t>
      </w:r>
      <w:r w:rsidRPr="00FA3F9C">
        <w:rPr>
          <w:rFonts w:ascii="Arial" w:hAnsi="Arial" w:cs="Arial"/>
          <w:sz w:val="24"/>
          <w:szCs w:val="24"/>
        </w:rPr>
        <w:t xml:space="preserve">  These criteria </w:t>
      </w:r>
      <w:r w:rsidRPr="00FA3F9C">
        <w:rPr>
          <w:rFonts w:ascii="Arial" w:hAnsi="Arial" w:cs="Arial"/>
          <w:sz w:val="24"/>
          <w:szCs w:val="24"/>
          <w:u w:val="single"/>
        </w:rPr>
        <w:t xml:space="preserve">must </w:t>
      </w:r>
      <w:r w:rsidRPr="00FA3F9C">
        <w:rPr>
          <w:rFonts w:ascii="Arial" w:hAnsi="Arial" w:cs="Arial"/>
          <w:sz w:val="24"/>
          <w:szCs w:val="24"/>
        </w:rPr>
        <w:t>be met before proceeding to diagnosis-specific criteria for EVERY request for ESAs. If these criteria are met, proceed to criteria for individual indications below.</w:t>
      </w:r>
    </w:p>
    <w:tbl>
      <w:tblPr>
        <w:tblW w:w="1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8"/>
        <w:gridCol w:w="2160"/>
      </w:tblGrid>
      <w:tr w:rsidR="002641D2" w:rsidRPr="00FA3F9C" w14:paraId="3A4D4A3A" w14:textId="77777777" w:rsidTr="00C52C47">
        <w:trPr>
          <w:trHeight w:val="647"/>
        </w:trPr>
        <w:tc>
          <w:tcPr>
            <w:tcW w:w="9018" w:type="dxa"/>
            <w:vAlign w:val="center"/>
          </w:tcPr>
          <w:p w14:paraId="510BF91C" w14:textId="77777777" w:rsidR="002641D2" w:rsidRPr="00FA3F9C" w:rsidRDefault="002641D2" w:rsidP="002641D2">
            <w:pPr>
              <w:numPr>
                <w:ilvl w:val="0"/>
                <w:numId w:val="181"/>
              </w:numPr>
              <w:spacing w:after="0" w:line="240" w:lineRule="auto"/>
              <w:rPr>
                <w:rFonts w:ascii="Arial" w:hAnsi="Arial" w:cs="Arial"/>
                <w:sz w:val="24"/>
                <w:szCs w:val="24"/>
              </w:rPr>
            </w:pPr>
            <w:r w:rsidRPr="00FA3F9C">
              <w:rPr>
                <w:rFonts w:ascii="Arial" w:hAnsi="Arial" w:cs="Arial"/>
                <w:sz w:val="24"/>
                <w:szCs w:val="24"/>
              </w:rPr>
              <w:t>If patient has diagnosis of hypertension, blood pressure is currently under control.  (Confirm by at least 1 antihypertensive agent on the patient’s profile in the past 30 days.)</w:t>
            </w:r>
          </w:p>
        </w:tc>
        <w:tc>
          <w:tcPr>
            <w:tcW w:w="2160" w:type="dxa"/>
          </w:tcPr>
          <w:p w14:paraId="53608EA6" w14:textId="77777777" w:rsidR="002641D2" w:rsidRPr="00FA3F9C" w:rsidRDefault="002641D2" w:rsidP="000C31D2">
            <w:pPr>
              <w:rPr>
                <w:rFonts w:ascii="Arial" w:hAnsi="Arial" w:cs="Arial"/>
                <w:sz w:val="24"/>
                <w:szCs w:val="24"/>
              </w:rPr>
            </w:pPr>
            <w:r w:rsidRPr="00FA3F9C">
              <w:rPr>
                <w:rFonts w:ascii="Arial" w:hAnsi="Arial" w:cs="Arial"/>
                <w:sz w:val="24"/>
                <w:szCs w:val="24"/>
              </w:rPr>
              <w:t xml:space="preserve">  □ Yes        □ No</w:t>
            </w:r>
          </w:p>
        </w:tc>
      </w:tr>
      <w:tr w:rsidR="002641D2" w:rsidRPr="00FA3F9C" w14:paraId="263EF44E" w14:textId="77777777" w:rsidTr="00C52C47">
        <w:tc>
          <w:tcPr>
            <w:tcW w:w="9018" w:type="dxa"/>
            <w:vAlign w:val="center"/>
          </w:tcPr>
          <w:p w14:paraId="42255755" w14:textId="77777777" w:rsidR="002641D2" w:rsidRPr="00FA3F9C" w:rsidRDefault="002641D2" w:rsidP="002641D2">
            <w:pPr>
              <w:numPr>
                <w:ilvl w:val="0"/>
                <w:numId w:val="181"/>
              </w:numPr>
              <w:spacing w:after="0" w:line="240" w:lineRule="auto"/>
              <w:rPr>
                <w:rFonts w:ascii="Arial" w:hAnsi="Arial" w:cs="Arial"/>
                <w:sz w:val="24"/>
                <w:szCs w:val="24"/>
              </w:rPr>
            </w:pPr>
            <w:r w:rsidRPr="00FA3F9C">
              <w:rPr>
                <w:rFonts w:ascii="Arial" w:hAnsi="Arial" w:cs="Arial"/>
                <w:sz w:val="24"/>
                <w:szCs w:val="24"/>
              </w:rPr>
              <w:t>The patient has no documented or suspected serious allergy to epoetin.</w:t>
            </w:r>
          </w:p>
        </w:tc>
        <w:tc>
          <w:tcPr>
            <w:tcW w:w="2160" w:type="dxa"/>
          </w:tcPr>
          <w:p w14:paraId="2D941D90" w14:textId="77777777" w:rsidR="002641D2" w:rsidRPr="00FA3F9C" w:rsidRDefault="002641D2" w:rsidP="007E6B49">
            <w:pPr>
              <w:rPr>
                <w:rFonts w:ascii="Arial" w:hAnsi="Arial" w:cs="Arial"/>
                <w:sz w:val="24"/>
                <w:szCs w:val="24"/>
              </w:rPr>
            </w:pPr>
            <w:r w:rsidRPr="00FA3F9C">
              <w:rPr>
                <w:rFonts w:ascii="Arial" w:hAnsi="Arial" w:cs="Arial"/>
                <w:sz w:val="24"/>
                <w:szCs w:val="24"/>
              </w:rPr>
              <w:t xml:space="preserve">  □ Yes        □ No</w:t>
            </w:r>
          </w:p>
        </w:tc>
      </w:tr>
      <w:tr w:rsidR="002641D2" w:rsidRPr="00FA3F9C" w14:paraId="524F9FA8" w14:textId="77777777" w:rsidTr="002C3B4C">
        <w:tc>
          <w:tcPr>
            <w:tcW w:w="9018" w:type="dxa"/>
            <w:vAlign w:val="center"/>
          </w:tcPr>
          <w:p w14:paraId="582F29C1" w14:textId="77777777" w:rsidR="002641D2" w:rsidRPr="00FA3F9C" w:rsidRDefault="002641D2" w:rsidP="002641D2">
            <w:pPr>
              <w:numPr>
                <w:ilvl w:val="0"/>
                <w:numId w:val="181"/>
              </w:numPr>
              <w:spacing w:after="0" w:line="240" w:lineRule="auto"/>
              <w:rPr>
                <w:rFonts w:ascii="Arial" w:hAnsi="Arial" w:cs="Arial"/>
                <w:sz w:val="24"/>
                <w:szCs w:val="24"/>
              </w:rPr>
            </w:pPr>
            <w:r w:rsidRPr="00FA3F9C">
              <w:rPr>
                <w:rFonts w:ascii="Arial" w:hAnsi="Arial" w:cs="Arial"/>
                <w:sz w:val="24"/>
                <w:szCs w:val="24"/>
              </w:rPr>
              <w:t>The patient’s hemoglobin level is less than 10 g/dL at first request</w:t>
            </w:r>
          </w:p>
        </w:tc>
        <w:tc>
          <w:tcPr>
            <w:tcW w:w="2160" w:type="dxa"/>
          </w:tcPr>
          <w:p w14:paraId="2461ADA7" w14:textId="77777777" w:rsidR="002641D2" w:rsidRPr="00FA3F9C" w:rsidRDefault="002641D2" w:rsidP="007E6B49">
            <w:pPr>
              <w:rPr>
                <w:rFonts w:ascii="Arial" w:hAnsi="Arial" w:cs="Arial"/>
                <w:sz w:val="24"/>
                <w:szCs w:val="24"/>
              </w:rPr>
            </w:pPr>
            <w:r w:rsidRPr="00FA3F9C">
              <w:rPr>
                <w:rFonts w:ascii="Arial" w:hAnsi="Arial" w:cs="Arial"/>
                <w:sz w:val="24"/>
                <w:szCs w:val="24"/>
              </w:rPr>
              <w:t xml:space="preserve">  □ Yes        □ No</w:t>
            </w:r>
          </w:p>
        </w:tc>
      </w:tr>
      <w:tr w:rsidR="002641D2" w:rsidRPr="00FA3F9C" w14:paraId="277B79AB" w14:textId="77777777" w:rsidTr="00C52C47">
        <w:tc>
          <w:tcPr>
            <w:tcW w:w="11178" w:type="dxa"/>
            <w:gridSpan w:val="2"/>
            <w:shd w:val="clear" w:color="auto" w:fill="BFBFBF"/>
          </w:tcPr>
          <w:p w14:paraId="53ACCE84" w14:textId="77777777" w:rsidR="002641D2" w:rsidRPr="00FA3F9C" w:rsidRDefault="002641D2" w:rsidP="000C31D2">
            <w:pPr>
              <w:rPr>
                <w:rFonts w:ascii="Arial" w:hAnsi="Arial" w:cs="Arial"/>
                <w:sz w:val="24"/>
                <w:szCs w:val="24"/>
              </w:rPr>
            </w:pPr>
          </w:p>
        </w:tc>
      </w:tr>
      <w:tr w:rsidR="002641D2" w:rsidRPr="00FA3F9C" w14:paraId="198BD188" w14:textId="77777777" w:rsidTr="00C52C47">
        <w:tc>
          <w:tcPr>
            <w:tcW w:w="11178" w:type="dxa"/>
            <w:gridSpan w:val="2"/>
          </w:tcPr>
          <w:p w14:paraId="46F7552F" w14:textId="77777777" w:rsidR="002641D2" w:rsidRPr="00FA3F9C" w:rsidRDefault="002641D2" w:rsidP="00EC027F">
            <w:pPr>
              <w:rPr>
                <w:rFonts w:ascii="Arial" w:hAnsi="Arial" w:cs="Arial"/>
                <w:sz w:val="24"/>
                <w:szCs w:val="24"/>
              </w:rPr>
            </w:pPr>
            <w:r w:rsidRPr="00FA3F9C">
              <w:rPr>
                <w:rFonts w:ascii="Arial" w:hAnsi="Arial" w:cs="Arial"/>
                <w:b/>
                <w:sz w:val="24"/>
                <w:szCs w:val="24"/>
              </w:rPr>
              <w:t>The answers to the above criteria must be YES</w:t>
            </w:r>
            <w:r w:rsidRPr="00FA3F9C">
              <w:rPr>
                <w:rFonts w:ascii="Arial" w:hAnsi="Arial" w:cs="Arial"/>
                <w:sz w:val="24"/>
                <w:szCs w:val="24"/>
              </w:rPr>
              <w:t xml:space="preserve">; if so, proceed to </w:t>
            </w:r>
            <w:hyperlink w:anchor="diagnosis" w:history="1">
              <w:r w:rsidRPr="00FA3F9C">
                <w:rPr>
                  <w:rStyle w:val="Hyperlink"/>
                  <w:rFonts w:ascii="Arial" w:hAnsi="Arial" w:cs="Arial"/>
                  <w:b/>
                  <w:sz w:val="24"/>
                  <w:szCs w:val="24"/>
                </w:rPr>
                <w:t>diagnosis-specific criteria</w:t>
              </w:r>
            </w:hyperlink>
            <w:r w:rsidRPr="00FA3F9C">
              <w:rPr>
                <w:rFonts w:ascii="Arial" w:hAnsi="Arial" w:cs="Arial"/>
                <w:sz w:val="24"/>
                <w:szCs w:val="24"/>
              </w:rPr>
              <w:t>.  If NO to one or more criteria, stop and deny coverage.</w:t>
            </w:r>
          </w:p>
        </w:tc>
      </w:tr>
    </w:tbl>
    <w:p w14:paraId="23F1FFA3" w14:textId="77777777" w:rsidR="002641D2" w:rsidRPr="00FA3F9C" w:rsidRDefault="002641D2" w:rsidP="000C31D2">
      <w:pPr>
        <w:rPr>
          <w:rFonts w:ascii="Arial" w:hAnsi="Arial" w:cs="Arial"/>
          <w:sz w:val="24"/>
          <w:szCs w:val="24"/>
        </w:rPr>
      </w:pPr>
    </w:p>
    <w:p w14:paraId="15E8D0A8" w14:textId="77777777" w:rsidR="002641D2" w:rsidRPr="00FA3F9C" w:rsidRDefault="002641D2" w:rsidP="000C31D2">
      <w:pPr>
        <w:rPr>
          <w:rFonts w:ascii="Arial" w:hAnsi="Arial" w:cs="Arial"/>
          <w:sz w:val="24"/>
          <w:szCs w:val="24"/>
        </w:rPr>
      </w:pPr>
      <w:r w:rsidRPr="00FA3F9C">
        <w:rPr>
          <w:rFonts w:ascii="Arial" w:hAnsi="Arial" w:cs="Arial"/>
          <w:sz w:val="24"/>
          <w:szCs w:val="24"/>
        </w:rPr>
        <w:t xml:space="preserve">References: </w:t>
      </w:r>
    </w:p>
    <w:p w14:paraId="1F99789A" w14:textId="77777777" w:rsidR="002641D2" w:rsidRPr="00FA3F9C" w:rsidRDefault="002641D2" w:rsidP="002641D2">
      <w:pPr>
        <w:numPr>
          <w:ilvl w:val="0"/>
          <w:numId w:val="186"/>
        </w:numPr>
        <w:spacing w:after="0" w:line="240" w:lineRule="auto"/>
        <w:rPr>
          <w:rFonts w:ascii="Arial" w:hAnsi="Arial" w:cs="Arial"/>
          <w:sz w:val="24"/>
          <w:szCs w:val="24"/>
        </w:rPr>
      </w:pPr>
      <w:r w:rsidRPr="00FA3F9C">
        <w:rPr>
          <w:rFonts w:ascii="Arial" w:hAnsi="Arial" w:cs="Arial"/>
          <w:sz w:val="24"/>
          <w:szCs w:val="24"/>
        </w:rPr>
        <w:t xml:space="preserve">Epoetin alfa (Procrit) Package Insert. </w:t>
      </w:r>
      <w:hyperlink r:id="rId164" w:history="1">
        <w:r w:rsidRPr="00FA3F9C">
          <w:rPr>
            <w:rStyle w:val="Hyperlink"/>
            <w:rFonts w:ascii="Arial" w:hAnsi="Arial" w:cs="Arial"/>
            <w:sz w:val="24"/>
            <w:szCs w:val="24"/>
          </w:rPr>
          <w:t>https://www.accessdata.fda.gov/drugsatfda_docs/label/2018/103234s5369lbl.pdf</w:t>
        </w:r>
      </w:hyperlink>
      <w:r w:rsidRPr="00FA3F9C">
        <w:rPr>
          <w:rFonts w:ascii="Arial" w:hAnsi="Arial" w:cs="Arial"/>
          <w:sz w:val="24"/>
          <w:szCs w:val="24"/>
        </w:rPr>
        <w:t xml:space="preserve">  (Accessed 8/15/19)</w:t>
      </w:r>
    </w:p>
    <w:p w14:paraId="5DB46EEE" w14:textId="77777777" w:rsidR="002641D2" w:rsidRPr="00FA3F9C" w:rsidRDefault="002641D2" w:rsidP="002641D2">
      <w:pPr>
        <w:numPr>
          <w:ilvl w:val="0"/>
          <w:numId w:val="186"/>
        </w:numPr>
        <w:spacing w:after="0" w:line="240" w:lineRule="auto"/>
        <w:rPr>
          <w:rFonts w:ascii="Arial" w:hAnsi="Arial" w:cs="Arial"/>
          <w:sz w:val="24"/>
          <w:szCs w:val="24"/>
        </w:rPr>
      </w:pPr>
      <w:r w:rsidRPr="00FA3F9C">
        <w:rPr>
          <w:rFonts w:ascii="Arial" w:hAnsi="Arial" w:cs="Arial"/>
          <w:sz w:val="24"/>
          <w:szCs w:val="24"/>
        </w:rPr>
        <w:t xml:space="preserve">Epoetin alfa (Epogen) Package Insert. </w:t>
      </w:r>
      <w:hyperlink r:id="rId165" w:history="1">
        <w:r w:rsidRPr="00FA3F9C">
          <w:rPr>
            <w:rStyle w:val="Hyperlink"/>
            <w:rFonts w:ascii="Arial" w:hAnsi="Arial" w:cs="Arial"/>
            <w:sz w:val="24"/>
            <w:szCs w:val="24"/>
          </w:rPr>
          <w:t>https://www.accessdata.fda.gov/drugsatfda_docs/label/2018/103234s5369lbl.pdf</w:t>
        </w:r>
      </w:hyperlink>
      <w:r w:rsidRPr="00FA3F9C">
        <w:rPr>
          <w:rFonts w:ascii="Arial" w:hAnsi="Arial" w:cs="Arial"/>
          <w:sz w:val="24"/>
          <w:szCs w:val="24"/>
        </w:rPr>
        <w:t xml:space="preserve"> (Accessed 8/15/19)</w:t>
      </w:r>
    </w:p>
    <w:p w14:paraId="6E108922" w14:textId="77777777" w:rsidR="002641D2" w:rsidRPr="00FA3F9C" w:rsidRDefault="002641D2" w:rsidP="002641D2">
      <w:pPr>
        <w:numPr>
          <w:ilvl w:val="0"/>
          <w:numId w:val="186"/>
        </w:numPr>
        <w:spacing w:after="0" w:line="240" w:lineRule="auto"/>
        <w:rPr>
          <w:rFonts w:ascii="Arial" w:hAnsi="Arial" w:cs="Arial"/>
          <w:sz w:val="24"/>
          <w:szCs w:val="24"/>
        </w:rPr>
      </w:pPr>
      <w:r w:rsidRPr="00FA3F9C">
        <w:rPr>
          <w:rFonts w:ascii="Arial" w:hAnsi="Arial" w:cs="Arial"/>
          <w:sz w:val="24"/>
          <w:szCs w:val="24"/>
        </w:rPr>
        <w:t xml:space="preserve">Darbepoetin alfa (Aranesp).  </w:t>
      </w:r>
      <w:hyperlink r:id="rId166" w:history="1">
        <w:r w:rsidRPr="00FA3F9C">
          <w:rPr>
            <w:rStyle w:val="Hyperlink"/>
            <w:rFonts w:ascii="Arial" w:hAnsi="Arial" w:cs="Arial"/>
            <w:sz w:val="24"/>
            <w:szCs w:val="24"/>
          </w:rPr>
          <w:t>https://www.accessdata.fda.gov/drugsatfda_docs/label/2019/103951s5378lbl.pdf</w:t>
        </w:r>
      </w:hyperlink>
      <w:r w:rsidRPr="00FA3F9C">
        <w:rPr>
          <w:rFonts w:ascii="Arial" w:hAnsi="Arial" w:cs="Arial"/>
          <w:sz w:val="24"/>
          <w:szCs w:val="24"/>
        </w:rPr>
        <w:t xml:space="preserve"> (Accessed 8/15/19)</w:t>
      </w:r>
    </w:p>
    <w:p w14:paraId="0B69D40B" w14:textId="77777777" w:rsidR="002641D2" w:rsidRPr="00FA3F9C" w:rsidRDefault="002641D2" w:rsidP="002641D2">
      <w:pPr>
        <w:numPr>
          <w:ilvl w:val="0"/>
          <w:numId w:val="186"/>
        </w:numPr>
        <w:spacing w:after="0" w:line="240" w:lineRule="auto"/>
        <w:rPr>
          <w:rFonts w:ascii="Arial" w:hAnsi="Arial" w:cs="Arial"/>
          <w:sz w:val="24"/>
          <w:szCs w:val="24"/>
        </w:rPr>
      </w:pPr>
      <w:r w:rsidRPr="00FA3F9C">
        <w:rPr>
          <w:rFonts w:ascii="Arial" w:hAnsi="Arial" w:cs="Arial"/>
          <w:sz w:val="24"/>
          <w:szCs w:val="24"/>
        </w:rPr>
        <w:t>Epoetin alfa-</w:t>
      </w:r>
      <w:proofErr w:type="spellStart"/>
      <w:r w:rsidRPr="00FA3F9C">
        <w:rPr>
          <w:rFonts w:ascii="Arial" w:hAnsi="Arial" w:cs="Arial"/>
          <w:sz w:val="24"/>
          <w:szCs w:val="24"/>
        </w:rPr>
        <w:t>epbx</w:t>
      </w:r>
      <w:proofErr w:type="spellEnd"/>
      <w:r w:rsidRPr="00FA3F9C">
        <w:rPr>
          <w:rFonts w:ascii="Arial" w:hAnsi="Arial" w:cs="Arial"/>
          <w:sz w:val="24"/>
          <w:szCs w:val="24"/>
        </w:rPr>
        <w:t xml:space="preserve"> (</w:t>
      </w:r>
      <w:proofErr w:type="spellStart"/>
      <w:r w:rsidRPr="00FA3F9C">
        <w:rPr>
          <w:rFonts w:ascii="Arial" w:hAnsi="Arial" w:cs="Arial"/>
          <w:sz w:val="24"/>
          <w:szCs w:val="24"/>
        </w:rPr>
        <w:t>Retacrit</w:t>
      </w:r>
      <w:proofErr w:type="spellEnd"/>
      <w:r w:rsidRPr="00FA3F9C">
        <w:rPr>
          <w:rFonts w:ascii="Arial" w:hAnsi="Arial" w:cs="Arial"/>
          <w:sz w:val="24"/>
          <w:szCs w:val="24"/>
        </w:rPr>
        <w:t xml:space="preserve">). </w:t>
      </w:r>
      <w:hyperlink r:id="rId167" w:history="1">
        <w:r w:rsidRPr="00FA3F9C">
          <w:rPr>
            <w:rStyle w:val="Hyperlink"/>
            <w:rFonts w:ascii="Arial" w:hAnsi="Arial" w:cs="Arial"/>
            <w:sz w:val="24"/>
            <w:szCs w:val="24"/>
          </w:rPr>
          <w:t>https://www.accessdata.fda.gov/drugsatfda_docs/label/2019/125545s003lbl.pdf</w:t>
        </w:r>
      </w:hyperlink>
      <w:r w:rsidRPr="00FA3F9C">
        <w:rPr>
          <w:rFonts w:ascii="Arial" w:hAnsi="Arial" w:cs="Arial"/>
          <w:sz w:val="24"/>
          <w:szCs w:val="24"/>
        </w:rPr>
        <w:t xml:space="preserve"> (Accessed 8/15/19)</w:t>
      </w:r>
    </w:p>
    <w:p w14:paraId="75F852AE" w14:textId="77777777" w:rsidR="002641D2" w:rsidRPr="00FA3F9C" w:rsidRDefault="002641D2" w:rsidP="00193FE3">
      <w:pPr>
        <w:rPr>
          <w:rFonts w:ascii="Arial" w:hAnsi="Arial" w:cs="Arial"/>
          <w:sz w:val="24"/>
          <w:szCs w:val="24"/>
        </w:rPr>
      </w:pPr>
    </w:p>
    <w:p w14:paraId="5288CF40" w14:textId="77777777" w:rsidR="002641D2" w:rsidRPr="00FA3F9C" w:rsidRDefault="002641D2" w:rsidP="00193FE3">
      <w:pPr>
        <w:rPr>
          <w:rFonts w:ascii="Arial" w:hAnsi="Arial" w:cs="Arial"/>
          <w:i/>
          <w:sz w:val="24"/>
          <w:szCs w:val="24"/>
        </w:rPr>
      </w:pPr>
    </w:p>
    <w:p w14:paraId="6583B5C5" w14:textId="77777777" w:rsidR="002641D2" w:rsidRPr="00FA3F9C" w:rsidRDefault="00500371" w:rsidP="00193FE3">
      <w:pPr>
        <w:rPr>
          <w:rFonts w:ascii="Arial" w:hAnsi="Arial" w:cs="Arial"/>
          <w:i/>
          <w:sz w:val="24"/>
          <w:szCs w:val="24"/>
        </w:rPr>
      </w:pPr>
      <w:r>
        <w:rPr>
          <w:rFonts w:ascii="Arial" w:hAnsi="Arial" w:cs="Arial"/>
          <w:i/>
          <w:noProof/>
          <w:sz w:val="24"/>
          <w:szCs w:val="24"/>
        </w:rPr>
        <w:pict w14:anchorId="2FD661F7">
          <v:shapetype id="_x0000_t32" coordsize="21600,21600" o:spt="32" o:oned="t" path="m,l21600,21600e" filled="f">
            <v:path arrowok="t" fillok="f" o:connecttype="none"/>
            <o:lock v:ext="edit" shapetype="t"/>
          </v:shapetype>
          <v:shape id="_x0000_s1029" type="#_x0000_t32" style="position:absolute;margin-left:0;margin-top:6.95pt;width:508.5pt;height:0;z-index:251664384;mso-wrap-edited:f;mso-position-horizontal:center;mso-position-horizontal-relative:margin" o:connectortype="straight">
            <w10:wrap anchorx="margin"/>
          </v:shape>
        </w:pict>
      </w:r>
    </w:p>
    <w:p w14:paraId="08E13983" w14:textId="77777777" w:rsidR="002641D2" w:rsidRPr="00FA3F9C" w:rsidRDefault="002641D2" w:rsidP="00193FE3">
      <w:pPr>
        <w:rPr>
          <w:rFonts w:ascii="Arial" w:hAnsi="Arial" w:cs="Arial"/>
          <w:i/>
          <w:sz w:val="24"/>
          <w:szCs w:val="24"/>
        </w:rPr>
      </w:pPr>
    </w:p>
    <w:p w14:paraId="4367FC21" w14:textId="77777777" w:rsidR="002641D2" w:rsidRPr="00FA3F9C" w:rsidRDefault="002641D2" w:rsidP="00193FE3">
      <w:pPr>
        <w:rPr>
          <w:rFonts w:ascii="Arial" w:hAnsi="Arial" w:cs="Arial"/>
          <w:i/>
          <w:sz w:val="24"/>
          <w:szCs w:val="24"/>
        </w:rPr>
      </w:pPr>
    </w:p>
    <w:p w14:paraId="074057E8" w14:textId="77777777" w:rsidR="002641D2" w:rsidRPr="00FA3F9C" w:rsidRDefault="002641D2" w:rsidP="002641D2">
      <w:pPr>
        <w:numPr>
          <w:ilvl w:val="0"/>
          <w:numId w:val="184"/>
        </w:numPr>
        <w:spacing w:after="0" w:line="240" w:lineRule="auto"/>
        <w:rPr>
          <w:rFonts w:ascii="Arial" w:hAnsi="Arial" w:cs="Arial"/>
          <w:sz w:val="24"/>
          <w:szCs w:val="24"/>
        </w:rPr>
      </w:pPr>
      <w:bookmarkStart w:id="106" w:name="diagnosis"/>
      <w:bookmarkEnd w:id="106"/>
      <w:r w:rsidRPr="00FA3F9C">
        <w:rPr>
          <w:rFonts w:ascii="Arial" w:hAnsi="Arial" w:cs="Arial"/>
          <w:b/>
          <w:sz w:val="24"/>
          <w:szCs w:val="24"/>
        </w:rPr>
        <w:t>Diagnosis-specific criteria.</w:t>
      </w:r>
      <w:r w:rsidRPr="00FA3F9C">
        <w:rPr>
          <w:rFonts w:ascii="Arial" w:hAnsi="Arial" w:cs="Arial"/>
          <w:sz w:val="24"/>
          <w:szCs w:val="24"/>
        </w:rPr>
        <w:t xml:space="preserve">  Choose the indication seeking prior approval:</w:t>
      </w:r>
    </w:p>
    <w:p w14:paraId="4A79118F" w14:textId="77777777" w:rsidR="002641D2" w:rsidRPr="00FA3F9C" w:rsidRDefault="00500371" w:rsidP="002641D2">
      <w:pPr>
        <w:numPr>
          <w:ilvl w:val="0"/>
          <w:numId w:val="182"/>
        </w:numPr>
        <w:spacing w:after="0" w:line="240" w:lineRule="auto"/>
        <w:rPr>
          <w:rFonts w:ascii="Arial" w:hAnsi="Arial" w:cs="Arial"/>
          <w:sz w:val="24"/>
          <w:szCs w:val="24"/>
        </w:rPr>
      </w:pPr>
      <w:hyperlink w:anchor="Box1" w:history="1">
        <w:r w:rsidR="002641D2" w:rsidRPr="00FA3F9C">
          <w:rPr>
            <w:rStyle w:val="Hyperlink"/>
            <w:rFonts w:ascii="Arial" w:hAnsi="Arial" w:cs="Arial"/>
            <w:sz w:val="24"/>
            <w:szCs w:val="24"/>
          </w:rPr>
          <w:t>Anemia due to chronic kidney disease (CKD)</w:t>
        </w:r>
      </w:hyperlink>
    </w:p>
    <w:p w14:paraId="21A37038" w14:textId="77777777" w:rsidR="002641D2" w:rsidRPr="00FA3F9C" w:rsidRDefault="00500371" w:rsidP="002641D2">
      <w:pPr>
        <w:numPr>
          <w:ilvl w:val="0"/>
          <w:numId w:val="182"/>
        </w:numPr>
        <w:spacing w:after="0" w:line="240" w:lineRule="auto"/>
        <w:rPr>
          <w:rFonts w:ascii="Arial" w:hAnsi="Arial" w:cs="Arial"/>
          <w:sz w:val="24"/>
          <w:szCs w:val="24"/>
        </w:rPr>
      </w:pPr>
      <w:hyperlink w:anchor="Box2" w:history="1">
        <w:r w:rsidR="002641D2" w:rsidRPr="00FA3F9C">
          <w:rPr>
            <w:rStyle w:val="Hyperlink"/>
            <w:rFonts w:ascii="Arial" w:hAnsi="Arial" w:cs="Arial"/>
            <w:sz w:val="24"/>
            <w:szCs w:val="24"/>
          </w:rPr>
          <w:t>Anemia due to cancer chemotherapy</w:t>
        </w:r>
      </w:hyperlink>
    </w:p>
    <w:p w14:paraId="1614E2F2" w14:textId="77777777" w:rsidR="002641D2" w:rsidRPr="00FA3F9C" w:rsidRDefault="00500371" w:rsidP="002641D2">
      <w:pPr>
        <w:numPr>
          <w:ilvl w:val="0"/>
          <w:numId w:val="182"/>
        </w:numPr>
        <w:spacing w:after="0" w:line="240" w:lineRule="auto"/>
        <w:rPr>
          <w:rFonts w:ascii="Arial" w:hAnsi="Arial" w:cs="Arial"/>
          <w:sz w:val="24"/>
          <w:szCs w:val="24"/>
        </w:rPr>
      </w:pPr>
      <w:hyperlink w:anchor="Box3" w:history="1">
        <w:r w:rsidR="002641D2" w:rsidRPr="00FA3F9C">
          <w:rPr>
            <w:rStyle w:val="Hyperlink"/>
            <w:rFonts w:ascii="Arial" w:hAnsi="Arial" w:cs="Arial"/>
            <w:sz w:val="24"/>
            <w:szCs w:val="24"/>
          </w:rPr>
          <w:t>Anemia due to zidovudine therapy</w:t>
        </w:r>
      </w:hyperlink>
    </w:p>
    <w:p w14:paraId="3A532625" w14:textId="77777777" w:rsidR="002641D2" w:rsidRPr="00FA3F9C" w:rsidRDefault="00500371" w:rsidP="002641D2">
      <w:pPr>
        <w:numPr>
          <w:ilvl w:val="0"/>
          <w:numId w:val="182"/>
        </w:numPr>
        <w:spacing w:after="0" w:line="240" w:lineRule="auto"/>
        <w:rPr>
          <w:rFonts w:ascii="Arial" w:hAnsi="Arial" w:cs="Arial"/>
          <w:sz w:val="24"/>
          <w:szCs w:val="24"/>
        </w:rPr>
      </w:pPr>
      <w:hyperlink w:anchor="Box4" w:history="1">
        <w:r w:rsidR="002641D2" w:rsidRPr="00FA3F9C">
          <w:rPr>
            <w:rStyle w:val="Hyperlink"/>
            <w:rFonts w:ascii="Arial" w:hAnsi="Arial" w:cs="Arial"/>
            <w:sz w:val="24"/>
            <w:szCs w:val="24"/>
          </w:rPr>
          <w:t>Preoperative reduction of allogeneic blood transfusion</w:t>
        </w:r>
      </w:hyperlink>
    </w:p>
    <w:p w14:paraId="22EB372E" w14:textId="77777777" w:rsidR="002641D2" w:rsidRPr="00FA3F9C" w:rsidRDefault="00500371" w:rsidP="002641D2">
      <w:pPr>
        <w:numPr>
          <w:ilvl w:val="0"/>
          <w:numId w:val="182"/>
        </w:numPr>
        <w:spacing w:after="0" w:line="240" w:lineRule="auto"/>
        <w:rPr>
          <w:rFonts w:ascii="Arial" w:hAnsi="Arial" w:cs="Arial"/>
          <w:sz w:val="24"/>
          <w:szCs w:val="24"/>
        </w:rPr>
      </w:pPr>
      <w:hyperlink w:anchor="Box5" w:history="1">
        <w:r w:rsidR="002641D2" w:rsidRPr="00FA3F9C">
          <w:rPr>
            <w:rStyle w:val="Hyperlink"/>
            <w:rFonts w:ascii="Arial" w:hAnsi="Arial" w:cs="Arial"/>
            <w:sz w:val="24"/>
            <w:szCs w:val="24"/>
          </w:rPr>
          <w:t>Anemia due to myelodysplastic syndrome</w:t>
        </w:r>
      </w:hyperlink>
    </w:p>
    <w:p w14:paraId="34B09C1B" w14:textId="77777777" w:rsidR="002641D2" w:rsidRPr="00FA3F9C" w:rsidRDefault="00500371" w:rsidP="002641D2">
      <w:pPr>
        <w:numPr>
          <w:ilvl w:val="0"/>
          <w:numId w:val="182"/>
        </w:numPr>
        <w:spacing w:after="0" w:line="240" w:lineRule="auto"/>
        <w:rPr>
          <w:rFonts w:ascii="Arial" w:hAnsi="Arial" w:cs="Arial"/>
          <w:sz w:val="24"/>
          <w:szCs w:val="24"/>
        </w:rPr>
      </w:pPr>
      <w:hyperlink w:anchor="Box6" w:history="1">
        <w:r w:rsidR="002641D2" w:rsidRPr="00FA3F9C">
          <w:rPr>
            <w:rStyle w:val="Hyperlink"/>
            <w:rFonts w:ascii="Arial" w:hAnsi="Arial" w:cs="Arial"/>
            <w:sz w:val="24"/>
            <w:szCs w:val="24"/>
          </w:rPr>
          <w:t>Anemia associated with ribavirin therapy (off-label)</w:t>
        </w:r>
      </w:hyperlink>
    </w:p>
    <w:p w14:paraId="76617AB7" w14:textId="77777777" w:rsidR="002641D2" w:rsidRPr="00FA3F9C" w:rsidRDefault="002641D2">
      <w:pPr>
        <w:rPr>
          <w:rFonts w:ascii="Arial" w:hAnsi="Arial" w:cs="Arial"/>
          <w:sz w:val="24"/>
          <w:szCs w:val="24"/>
        </w:rPr>
      </w:pPr>
      <w:r w:rsidRPr="00FA3F9C">
        <w:rPr>
          <w:rFonts w:ascii="Arial" w:hAnsi="Arial" w:cs="Arial"/>
          <w:sz w:val="24"/>
          <w:szCs w:val="24"/>
        </w:rPr>
        <w:br w:type="page"/>
      </w:r>
    </w:p>
    <w:p w14:paraId="14ADC68E" w14:textId="77777777" w:rsidR="002641D2" w:rsidRPr="00FA3F9C" w:rsidRDefault="002641D2" w:rsidP="007E6B49">
      <w:pPr>
        <w:rPr>
          <w:rFonts w:ascii="Arial" w:hAnsi="Arial" w:cs="Arial"/>
          <w:sz w:val="24"/>
          <w:szCs w:val="24"/>
        </w:rPr>
      </w:pPr>
    </w:p>
    <w:tbl>
      <w:tblPr>
        <w:tblW w:w="0" w:type="auto"/>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9018"/>
        <w:gridCol w:w="1998"/>
      </w:tblGrid>
      <w:tr w:rsidR="002641D2" w:rsidRPr="00FA3F9C" w14:paraId="4278E5CC" w14:textId="77777777" w:rsidTr="00C52C47">
        <w:tc>
          <w:tcPr>
            <w:tcW w:w="11016" w:type="dxa"/>
            <w:gridSpan w:val="2"/>
            <w:tcBorders>
              <w:top w:val="single" w:sz="8" w:space="0" w:color="7BA0CD"/>
              <w:left w:val="single" w:sz="8" w:space="0" w:color="7BA0CD"/>
              <w:bottom w:val="single" w:sz="8" w:space="0" w:color="7BA0CD"/>
              <w:right w:val="single" w:sz="8" w:space="0" w:color="7BA0CD"/>
            </w:tcBorders>
            <w:shd w:val="clear" w:color="auto" w:fill="4F81BD"/>
          </w:tcPr>
          <w:p w14:paraId="69A6E3AA" w14:textId="77777777" w:rsidR="002641D2" w:rsidRPr="00FA3F9C" w:rsidRDefault="002641D2" w:rsidP="00E75ADC">
            <w:pPr>
              <w:rPr>
                <w:rFonts w:ascii="Arial" w:hAnsi="Arial" w:cs="Arial"/>
                <w:b/>
                <w:bCs/>
                <w:color w:val="FFFFFF"/>
                <w:sz w:val="24"/>
                <w:szCs w:val="24"/>
              </w:rPr>
            </w:pPr>
            <w:r w:rsidRPr="00FA3F9C">
              <w:rPr>
                <w:rFonts w:ascii="Arial" w:hAnsi="Arial" w:cs="Arial"/>
                <w:b/>
                <w:bCs/>
                <w:color w:val="FFFFFF"/>
                <w:sz w:val="24"/>
                <w:szCs w:val="24"/>
              </w:rPr>
              <w:br w:type="page"/>
            </w:r>
            <w:r w:rsidRPr="00FA3F9C">
              <w:rPr>
                <w:rFonts w:ascii="Arial" w:hAnsi="Arial" w:cs="Arial"/>
                <w:b/>
                <w:bCs/>
                <w:color w:val="FFFFFF"/>
                <w:sz w:val="24"/>
                <w:szCs w:val="24"/>
              </w:rPr>
              <w:br w:type="page"/>
            </w:r>
            <w:bookmarkStart w:id="107" w:name="Box1"/>
            <w:r w:rsidRPr="00FA3F9C">
              <w:rPr>
                <w:rFonts w:ascii="Arial" w:hAnsi="Arial" w:cs="Arial"/>
                <w:b/>
                <w:bCs/>
                <w:color w:val="FFFFFF"/>
                <w:sz w:val="24"/>
                <w:szCs w:val="24"/>
              </w:rPr>
              <w:t>BOX 1: Anemia due to CKD</w:t>
            </w:r>
          </w:p>
        </w:tc>
      </w:tr>
      <w:bookmarkEnd w:id="107"/>
      <w:tr w:rsidR="002641D2" w:rsidRPr="00FA3F9C" w14:paraId="56217231" w14:textId="77777777" w:rsidTr="00C52C47">
        <w:tc>
          <w:tcPr>
            <w:tcW w:w="9018" w:type="dxa"/>
            <w:tcBorders>
              <w:right w:val="single" w:sz="4" w:space="0" w:color="auto"/>
            </w:tcBorders>
            <w:shd w:val="clear" w:color="auto" w:fill="D3DFEE"/>
          </w:tcPr>
          <w:p w14:paraId="3314924F" w14:textId="77777777" w:rsidR="002641D2" w:rsidRPr="00FA3F9C" w:rsidRDefault="002641D2" w:rsidP="002641D2">
            <w:pPr>
              <w:numPr>
                <w:ilvl w:val="0"/>
                <w:numId w:val="185"/>
              </w:numPr>
              <w:spacing w:after="0" w:line="240" w:lineRule="auto"/>
              <w:rPr>
                <w:rFonts w:ascii="Arial" w:hAnsi="Arial" w:cs="Arial"/>
                <w:b/>
                <w:bCs/>
                <w:sz w:val="24"/>
                <w:szCs w:val="24"/>
              </w:rPr>
            </w:pPr>
            <w:r w:rsidRPr="00FA3F9C">
              <w:rPr>
                <w:rFonts w:ascii="Arial" w:hAnsi="Arial" w:cs="Arial"/>
                <w:bCs/>
                <w:sz w:val="24"/>
                <w:szCs w:val="24"/>
              </w:rPr>
              <w:t>The clinician has performed appropriate studies to rule out other possible causes of anemia (</w:t>
            </w:r>
            <w:proofErr w:type="gramStart"/>
            <w:r w:rsidRPr="00FA3F9C">
              <w:rPr>
                <w:rFonts w:ascii="Arial" w:hAnsi="Arial" w:cs="Arial"/>
                <w:bCs/>
                <w:sz w:val="24"/>
                <w:szCs w:val="24"/>
              </w:rPr>
              <w:t>e.g.</w:t>
            </w:r>
            <w:proofErr w:type="gramEnd"/>
            <w:r w:rsidRPr="00FA3F9C">
              <w:rPr>
                <w:rFonts w:ascii="Arial" w:hAnsi="Arial" w:cs="Arial"/>
                <w:bCs/>
                <w:sz w:val="24"/>
                <w:szCs w:val="24"/>
              </w:rPr>
              <w:t xml:space="preserve"> iron studies, folate and B</w:t>
            </w:r>
            <w:r w:rsidRPr="00FA3F9C">
              <w:rPr>
                <w:rFonts w:ascii="Arial" w:hAnsi="Arial" w:cs="Arial"/>
                <w:bCs/>
                <w:sz w:val="24"/>
                <w:szCs w:val="24"/>
                <w:vertAlign w:val="subscript"/>
              </w:rPr>
              <w:t>12</w:t>
            </w:r>
            <w:r w:rsidRPr="00FA3F9C">
              <w:rPr>
                <w:rFonts w:ascii="Arial" w:hAnsi="Arial" w:cs="Arial"/>
                <w:bCs/>
                <w:sz w:val="24"/>
                <w:szCs w:val="24"/>
              </w:rPr>
              <w:t xml:space="preserve"> levels, </w:t>
            </w:r>
            <w:proofErr w:type="spellStart"/>
            <w:r w:rsidRPr="00FA3F9C">
              <w:rPr>
                <w:rFonts w:ascii="Arial" w:hAnsi="Arial" w:cs="Arial"/>
                <w:bCs/>
                <w:sz w:val="24"/>
                <w:szCs w:val="24"/>
              </w:rPr>
              <w:t>etc</w:t>
            </w:r>
            <w:proofErr w:type="spellEnd"/>
            <w:r w:rsidRPr="00FA3F9C">
              <w:rPr>
                <w:rFonts w:ascii="Arial" w:hAnsi="Arial" w:cs="Arial"/>
                <w:bCs/>
                <w:sz w:val="24"/>
                <w:szCs w:val="24"/>
              </w:rPr>
              <w:t>).</w:t>
            </w:r>
          </w:p>
        </w:tc>
        <w:tc>
          <w:tcPr>
            <w:tcW w:w="1998" w:type="dxa"/>
            <w:tcBorders>
              <w:left w:val="single" w:sz="4" w:space="0" w:color="auto"/>
            </w:tcBorders>
            <w:shd w:val="clear" w:color="auto" w:fill="D3DFEE"/>
          </w:tcPr>
          <w:p w14:paraId="373DBA50" w14:textId="77777777" w:rsidR="002641D2" w:rsidRPr="00FA3F9C" w:rsidRDefault="002641D2" w:rsidP="007E6B49">
            <w:pPr>
              <w:rPr>
                <w:rFonts w:ascii="Arial" w:hAnsi="Arial" w:cs="Arial"/>
                <w:sz w:val="24"/>
                <w:szCs w:val="24"/>
              </w:rPr>
            </w:pPr>
            <w:r w:rsidRPr="00FA3F9C">
              <w:rPr>
                <w:rFonts w:ascii="Arial" w:hAnsi="Arial" w:cs="Arial"/>
                <w:sz w:val="24"/>
                <w:szCs w:val="24"/>
              </w:rPr>
              <w:t xml:space="preserve">  □ Yes        □ No</w:t>
            </w:r>
          </w:p>
        </w:tc>
      </w:tr>
      <w:tr w:rsidR="002641D2" w:rsidRPr="00FA3F9C" w14:paraId="02249942" w14:textId="77777777" w:rsidTr="00C52C47">
        <w:tc>
          <w:tcPr>
            <w:tcW w:w="9018" w:type="dxa"/>
            <w:tcBorders>
              <w:right w:val="single" w:sz="4" w:space="0" w:color="auto"/>
            </w:tcBorders>
          </w:tcPr>
          <w:p w14:paraId="5C26A78D" w14:textId="77777777" w:rsidR="002641D2" w:rsidRPr="00FA3F9C" w:rsidRDefault="002641D2" w:rsidP="002641D2">
            <w:pPr>
              <w:numPr>
                <w:ilvl w:val="0"/>
                <w:numId w:val="185"/>
              </w:numPr>
              <w:spacing w:after="0" w:line="240" w:lineRule="auto"/>
              <w:rPr>
                <w:rFonts w:ascii="Arial" w:hAnsi="Arial" w:cs="Arial"/>
                <w:b/>
                <w:bCs/>
                <w:sz w:val="24"/>
                <w:szCs w:val="24"/>
              </w:rPr>
            </w:pPr>
            <w:r w:rsidRPr="00FA3F9C">
              <w:rPr>
                <w:rFonts w:ascii="Arial" w:hAnsi="Arial" w:cs="Arial"/>
                <w:bCs/>
                <w:sz w:val="24"/>
                <w:szCs w:val="24"/>
              </w:rPr>
              <w:t xml:space="preserve">The patients </w:t>
            </w:r>
            <w:proofErr w:type="gramStart"/>
            <w:r w:rsidRPr="00FA3F9C">
              <w:rPr>
                <w:rFonts w:ascii="Arial" w:hAnsi="Arial" w:cs="Arial"/>
                <w:bCs/>
                <w:sz w:val="24"/>
                <w:szCs w:val="24"/>
              </w:rPr>
              <w:t>has</w:t>
            </w:r>
            <w:proofErr w:type="gramEnd"/>
            <w:r w:rsidRPr="00FA3F9C">
              <w:rPr>
                <w:rFonts w:ascii="Arial" w:hAnsi="Arial" w:cs="Arial"/>
                <w:bCs/>
                <w:sz w:val="24"/>
                <w:szCs w:val="24"/>
              </w:rPr>
              <w:t xml:space="preserve"> diagnosis of chronic kidney disease</w:t>
            </w:r>
          </w:p>
        </w:tc>
        <w:tc>
          <w:tcPr>
            <w:tcW w:w="1998" w:type="dxa"/>
            <w:tcBorders>
              <w:left w:val="single" w:sz="4" w:space="0" w:color="auto"/>
            </w:tcBorders>
          </w:tcPr>
          <w:p w14:paraId="51F6BFB0" w14:textId="77777777" w:rsidR="002641D2" w:rsidRPr="00FA3F9C" w:rsidRDefault="002641D2" w:rsidP="007E6B49">
            <w:pPr>
              <w:rPr>
                <w:rFonts w:ascii="Arial" w:hAnsi="Arial" w:cs="Arial"/>
                <w:sz w:val="24"/>
                <w:szCs w:val="24"/>
              </w:rPr>
            </w:pPr>
            <w:r w:rsidRPr="00FA3F9C">
              <w:rPr>
                <w:rFonts w:ascii="Arial" w:hAnsi="Arial" w:cs="Arial"/>
                <w:sz w:val="24"/>
                <w:szCs w:val="24"/>
              </w:rPr>
              <w:t xml:space="preserve">  □ Yes        □ No</w:t>
            </w:r>
          </w:p>
        </w:tc>
      </w:tr>
      <w:tr w:rsidR="002641D2" w:rsidRPr="00FA3F9C" w14:paraId="28DE1F43" w14:textId="77777777" w:rsidTr="00C52C47">
        <w:tc>
          <w:tcPr>
            <w:tcW w:w="11016" w:type="dxa"/>
            <w:gridSpan w:val="2"/>
            <w:shd w:val="clear" w:color="auto" w:fill="BFBFBF"/>
          </w:tcPr>
          <w:p w14:paraId="5118360B" w14:textId="77777777" w:rsidR="002641D2" w:rsidRPr="00FA3F9C" w:rsidRDefault="002641D2" w:rsidP="007E6B49">
            <w:pPr>
              <w:rPr>
                <w:rFonts w:ascii="Arial" w:hAnsi="Arial" w:cs="Arial"/>
                <w:b/>
                <w:bCs/>
                <w:sz w:val="24"/>
                <w:szCs w:val="24"/>
              </w:rPr>
            </w:pPr>
          </w:p>
        </w:tc>
      </w:tr>
      <w:tr w:rsidR="002641D2" w:rsidRPr="00FA3F9C" w14:paraId="0B974C1F" w14:textId="77777777" w:rsidTr="00C52C47">
        <w:tc>
          <w:tcPr>
            <w:tcW w:w="11016" w:type="dxa"/>
            <w:gridSpan w:val="2"/>
          </w:tcPr>
          <w:p w14:paraId="6C6220F5" w14:textId="77777777" w:rsidR="002641D2" w:rsidRPr="00FA3F9C" w:rsidRDefault="002641D2" w:rsidP="00D60810">
            <w:pPr>
              <w:rPr>
                <w:rFonts w:ascii="Arial" w:hAnsi="Arial" w:cs="Arial"/>
                <w:b/>
                <w:bCs/>
                <w:sz w:val="24"/>
                <w:szCs w:val="24"/>
              </w:rPr>
            </w:pPr>
            <w:r w:rsidRPr="00FA3F9C">
              <w:rPr>
                <w:rFonts w:ascii="Arial" w:hAnsi="Arial" w:cs="Arial"/>
                <w:b/>
                <w:bCs/>
                <w:sz w:val="24"/>
                <w:szCs w:val="24"/>
              </w:rPr>
              <w:t xml:space="preserve">If YES was answered to </w:t>
            </w:r>
            <w:proofErr w:type="gramStart"/>
            <w:r w:rsidRPr="00FA3F9C">
              <w:rPr>
                <w:rFonts w:ascii="Arial" w:hAnsi="Arial" w:cs="Arial"/>
                <w:b/>
                <w:bCs/>
                <w:sz w:val="24"/>
                <w:szCs w:val="24"/>
              </w:rPr>
              <w:t>all of</w:t>
            </w:r>
            <w:proofErr w:type="gramEnd"/>
            <w:r w:rsidRPr="00FA3F9C">
              <w:rPr>
                <w:rFonts w:ascii="Arial" w:hAnsi="Arial" w:cs="Arial"/>
                <w:b/>
                <w:bCs/>
                <w:sz w:val="24"/>
                <w:szCs w:val="24"/>
              </w:rPr>
              <w:t xml:space="preserve"> the above, approve.  PA is good for 12 months</w:t>
            </w:r>
            <w:r w:rsidRPr="00FA3F9C">
              <w:rPr>
                <w:rFonts w:ascii="Arial" w:hAnsi="Arial" w:cs="Arial"/>
                <w:bCs/>
                <w:sz w:val="24"/>
                <w:szCs w:val="24"/>
              </w:rPr>
              <w:t xml:space="preserve">.  </w:t>
            </w:r>
            <w:r w:rsidRPr="00FA3F9C">
              <w:rPr>
                <w:rFonts w:ascii="Arial" w:hAnsi="Arial" w:cs="Arial"/>
                <w:b/>
                <w:bCs/>
                <w:color w:val="7F7F7F"/>
                <w:sz w:val="24"/>
                <w:szCs w:val="24"/>
              </w:rPr>
              <w:t>The PA is to allow access to erythropoietic agents for the purpose of reducing blood transfusions in patients with anemia due to CKD.</w:t>
            </w:r>
          </w:p>
        </w:tc>
      </w:tr>
    </w:tbl>
    <w:p w14:paraId="464FF124" w14:textId="77777777" w:rsidR="002641D2" w:rsidRPr="00FA3F9C" w:rsidRDefault="002641D2" w:rsidP="007E6B49">
      <w:pPr>
        <w:rPr>
          <w:rFonts w:ascii="Arial" w:hAnsi="Arial" w:cs="Arial"/>
          <w:sz w:val="24"/>
          <w:szCs w:val="24"/>
        </w:rPr>
      </w:pPr>
    </w:p>
    <w:p w14:paraId="03E2CE8B" w14:textId="77777777" w:rsidR="002641D2" w:rsidRPr="00FA3F9C" w:rsidRDefault="002641D2">
      <w:pPr>
        <w:rPr>
          <w:rFonts w:ascii="Arial" w:hAnsi="Arial" w:cs="Arial"/>
          <w:i/>
          <w:sz w:val="24"/>
          <w:szCs w:val="24"/>
        </w:rPr>
      </w:pPr>
    </w:p>
    <w:tbl>
      <w:tblPr>
        <w:tblW w:w="0" w:type="auto"/>
        <w:tblBorders>
          <w:top w:val="single" w:sz="8" w:space="0" w:color="CF7B79"/>
          <w:left w:val="single" w:sz="8" w:space="0" w:color="CF7B79"/>
          <w:bottom w:val="single" w:sz="8" w:space="0" w:color="CF7B79"/>
          <w:right w:val="single" w:sz="8" w:space="0" w:color="CF7B79"/>
          <w:insideH w:val="single" w:sz="8" w:space="0" w:color="CF7B79"/>
        </w:tblBorders>
        <w:tblLook w:val="04A0" w:firstRow="1" w:lastRow="0" w:firstColumn="1" w:lastColumn="0" w:noHBand="0" w:noVBand="1"/>
      </w:tblPr>
      <w:tblGrid>
        <w:gridCol w:w="9018"/>
        <w:gridCol w:w="1998"/>
      </w:tblGrid>
      <w:tr w:rsidR="002641D2" w:rsidRPr="00FA3F9C" w14:paraId="2268A190" w14:textId="77777777" w:rsidTr="00C52C47">
        <w:tc>
          <w:tcPr>
            <w:tcW w:w="11016" w:type="dxa"/>
            <w:gridSpan w:val="2"/>
            <w:tcBorders>
              <w:top w:val="single" w:sz="8" w:space="0" w:color="CF7B79"/>
              <w:left w:val="single" w:sz="8" w:space="0" w:color="CF7B79"/>
              <w:bottom w:val="single" w:sz="8" w:space="0" w:color="CF7B79"/>
              <w:right w:val="single" w:sz="8" w:space="0" w:color="CF7B79"/>
            </w:tcBorders>
            <w:shd w:val="clear" w:color="auto" w:fill="C0504D"/>
          </w:tcPr>
          <w:p w14:paraId="2F1A6385" w14:textId="77777777" w:rsidR="002641D2" w:rsidRPr="00FA3F9C" w:rsidRDefault="002641D2" w:rsidP="00523DEB">
            <w:pPr>
              <w:rPr>
                <w:rFonts w:ascii="Arial" w:hAnsi="Arial" w:cs="Arial"/>
                <w:b/>
                <w:bCs/>
                <w:color w:val="FFFFFF"/>
                <w:sz w:val="24"/>
                <w:szCs w:val="24"/>
              </w:rPr>
            </w:pPr>
            <w:bookmarkStart w:id="108" w:name="Box2"/>
            <w:r w:rsidRPr="00FA3F9C">
              <w:rPr>
                <w:rFonts w:ascii="Arial" w:hAnsi="Arial" w:cs="Arial"/>
                <w:b/>
                <w:bCs/>
                <w:color w:val="FFFFFF"/>
                <w:sz w:val="24"/>
                <w:szCs w:val="24"/>
              </w:rPr>
              <w:br w:type="page"/>
            </w:r>
            <w:r w:rsidRPr="00FA3F9C">
              <w:rPr>
                <w:rFonts w:ascii="Arial" w:hAnsi="Arial" w:cs="Arial"/>
                <w:b/>
                <w:bCs/>
                <w:color w:val="FFFFFF"/>
                <w:sz w:val="24"/>
                <w:szCs w:val="24"/>
              </w:rPr>
              <w:br w:type="page"/>
              <w:t xml:space="preserve">BOX 2: Anemia due to Cancer Chemotherapy </w:t>
            </w:r>
          </w:p>
        </w:tc>
      </w:tr>
      <w:bookmarkEnd w:id="108"/>
      <w:tr w:rsidR="002641D2" w:rsidRPr="00FA3F9C" w14:paraId="2EC8774A" w14:textId="77777777" w:rsidTr="00C52C47">
        <w:tc>
          <w:tcPr>
            <w:tcW w:w="9018" w:type="dxa"/>
            <w:tcBorders>
              <w:right w:val="single" w:sz="4" w:space="0" w:color="auto"/>
            </w:tcBorders>
            <w:shd w:val="clear" w:color="auto" w:fill="EFD3D2"/>
          </w:tcPr>
          <w:p w14:paraId="230AC64A" w14:textId="77777777" w:rsidR="002641D2" w:rsidRPr="00FA3F9C" w:rsidRDefault="002641D2" w:rsidP="002641D2">
            <w:pPr>
              <w:numPr>
                <w:ilvl w:val="0"/>
                <w:numId w:val="187"/>
              </w:numPr>
              <w:spacing w:after="0" w:line="240" w:lineRule="auto"/>
              <w:rPr>
                <w:rFonts w:ascii="Arial" w:hAnsi="Arial" w:cs="Arial"/>
                <w:b/>
                <w:bCs/>
                <w:sz w:val="24"/>
                <w:szCs w:val="24"/>
              </w:rPr>
            </w:pPr>
            <w:r w:rsidRPr="00FA3F9C">
              <w:rPr>
                <w:rFonts w:ascii="Arial" w:hAnsi="Arial" w:cs="Arial"/>
                <w:bCs/>
                <w:sz w:val="24"/>
                <w:szCs w:val="24"/>
              </w:rPr>
              <w:t xml:space="preserve"> The patient is currently undergoing </w:t>
            </w:r>
            <w:proofErr w:type="spellStart"/>
            <w:r w:rsidRPr="00FA3F9C">
              <w:rPr>
                <w:rFonts w:ascii="Arial" w:hAnsi="Arial" w:cs="Arial"/>
                <w:bCs/>
                <w:sz w:val="24"/>
                <w:szCs w:val="24"/>
              </w:rPr>
              <w:t>myelosuppresive</w:t>
            </w:r>
            <w:proofErr w:type="spellEnd"/>
            <w:r w:rsidRPr="00FA3F9C">
              <w:rPr>
                <w:rFonts w:ascii="Arial" w:hAnsi="Arial" w:cs="Arial"/>
                <w:bCs/>
                <w:sz w:val="24"/>
                <w:szCs w:val="24"/>
              </w:rPr>
              <w:t xml:space="preserve"> chemotherapy AND there is a minimum of 2 additional months of planned chemotherapy</w:t>
            </w:r>
          </w:p>
        </w:tc>
        <w:tc>
          <w:tcPr>
            <w:tcW w:w="1998" w:type="dxa"/>
            <w:tcBorders>
              <w:left w:val="single" w:sz="4" w:space="0" w:color="auto"/>
            </w:tcBorders>
            <w:shd w:val="clear" w:color="auto" w:fill="EFD3D2"/>
          </w:tcPr>
          <w:p w14:paraId="6F65C877" w14:textId="77777777" w:rsidR="002641D2" w:rsidRPr="00FA3F9C" w:rsidRDefault="002641D2" w:rsidP="0058193C">
            <w:pPr>
              <w:rPr>
                <w:rFonts w:ascii="Arial" w:hAnsi="Arial" w:cs="Arial"/>
                <w:sz w:val="24"/>
                <w:szCs w:val="24"/>
              </w:rPr>
            </w:pPr>
            <w:r w:rsidRPr="00FA3F9C">
              <w:rPr>
                <w:rFonts w:ascii="Arial" w:hAnsi="Arial" w:cs="Arial"/>
                <w:sz w:val="24"/>
                <w:szCs w:val="24"/>
              </w:rPr>
              <w:t xml:space="preserve">  □ Yes        □ No</w:t>
            </w:r>
          </w:p>
        </w:tc>
      </w:tr>
      <w:tr w:rsidR="002641D2" w:rsidRPr="00FA3F9C" w14:paraId="58682008" w14:textId="77777777" w:rsidTr="00C52C47">
        <w:tc>
          <w:tcPr>
            <w:tcW w:w="9018" w:type="dxa"/>
            <w:tcBorders>
              <w:right w:val="single" w:sz="4" w:space="0" w:color="auto"/>
            </w:tcBorders>
          </w:tcPr>
          <w:p w14:paraId="5B9527AD" w14:textId="77777777" w:rsidR="002641D2" w:rsidRPr="00FA3F9C" w:rsidRDefault="002641D2" w:rsidP="002641D2">
            <w:pPr>
              <w:numPr>
                <w:ilvl w:val="0"/>
                <w:numId w:val="187"/>
              </w:numPr>
              <w:spacing w:after="0" w:line="240" w:lineRule="auto"/>
              <w:rPr>
                <w:rFonts w:ascii="Arial" w:hAnsi="Arial" w:cs="Arial"/>
                <w:b/>
                <w:bCs/>
                <w:sz w:val="24"/>
                <w:szCs w:val="24"/>
              </w:rPr>
            </w:pPr>
            <w:r w:rsidRPr="00FA3F9C">
              <w:rPr>
                <w:rFonts w:ascii="Arial" w:hAnsi="Arial" w:cs="Arial"/>
                <w:bCs/>
                <w:sz w:val="24"/>
                <w:szCs w:val="24"/>
              </w:rPr>
              <w:t>The clinician has performed the appropriate studies</w:t>
            </w:r>
            <w:r w:rsidRPr="00FA3F9C">
              <w:rPr>
                <w:rFonts w:ascii="Arial" w:hAnsi="Arial" w:cs="Arial"/>
                <w:b/>
                <w:bCs/>
                <w:sz w:val="24"/>
                <w:szCs w:val="24"/>
                <w:vertAlign w:val="superscript"/>
              </w:rPr>
              <w:t>‡</w:t>
            </w:r>
            <w:r w:rsidRPr="00FA3F9C">
              <w:rPr>
                <w:rFonts w:ascii="Arial" w:hAnsi="Arial" w:cs="Arial"/>
                <w:bCs/>
                <w:sz w:val="24"/>
                <w:szCs w:val="24"/>
              </w:rPr>
              <w:t xml:space="preserve"> to rule out anemia due to other causes.</w:t>
            </w:r>
          </w:p>
        </w:tc>
        <w:tc>
          <w:tcPr>
            <w:tcW w:w="1998" w:type="dxa"/>
            <w:tcBorders>
              <w:left w:val="single" w:sz="4" w:space="0" w:color="auto"/>
            </w:tcBorders>
          </w:tcPr>
          <w:p w14:paraId="041FF0DE" w14:textId="77777777" w:rsidR="002641D2" w:rsidRPr="00FA3F9C" w:rsidRDefault="002641D2" w:rsidP="0058193C">
            <w:pPr>
              <w:rPr>
                <w:rFonts w:ascii="Arial" w:hAnsi="Arial" w:cs="Arial"/>
                <w:sz w:val="24"/>
                <w:szCs w:val="24"/>
              </w:rPr>
            </w:pPr>
            <w:r w:rsidRPr="00FA3F9C">
              <w:rPr>
                <w:rFonts w:ascii="Arial" w:hAnsi="Arial" w:cs="Arial"/>
                <w:sz w:val="24"/>
                <w:szCs w:val="24"/>
              </w:rPr>
              <w:t xml:space="preserve">  □ Yes        □ No</w:t>
            </w:r>
          </w:p>
        </w:tc>
      </w:tr>
      <w:tr w:rsidR="002641D2" w:rsidRPr="00FA3F9C" w14:paraId="1DBD2E54" w14:textId="77777777" w:rsidTr="00E75ADC">
        <w:trPr>
          <w:trHeight w:val="358"/>
        </w:trPr>
        <w:tc>
          <w:tcPr>
            <w:tcW w:w="9018" w:type="dxa"/>
            <w:tcBorders>
              <w:right w:val="single" w:sz="4" w:space="0" w:color="auto"/>
            </w:tcBorders>
            <w:shd w:val="clear" w:color="auto" w:fill="EFD3D2"/>
          </w:tcPr>
          <w:p w14:paraId="2DA1B344" w14:textId="77777777" w:rsidR="002641D2" w:rsidRPr="00FA3F9C" w:rsidRDefault="002641D2" w:rsidP="002641D2">
            <w:pPr>
              <w:numPr>
                <w:ilvl w:val="0"/>
                <w:numId w:val="187"/>
              </w:numPr>
              <w:spacing w:after="0" w:line="240" w:lineRule="auto"/>
              <w:rPr>
                <w:rFonts w:ascii="Arial" w:hAnsi="Arial" w:cs="Arial"/>
                <w:b/>
                <w:bCs/>
                <w:sz w:val="24"/>
                <w:szCs w:val="24"/>
              </w:rPr>
            </w:pPr>
            <w:r w:rsidRPr="00FA3F9C">
              <w:rPr>
                <w:rFonts w:ascii="Arial" w:hAnsi="Arial" w:cs="Arial"/>
                <w:bCs/>
                <w:sz w:val="24"/>
                <w:szCs w:val="24"/>
              </w:rPr>
              <w:t xml:space="preserve">The patient does </w:t>
            </w:r>
            <w:r w:rsidRPr="00FA3F9C">
              <w:rPr>
                <w:rFonts w:ascii="Arial" w:hAnsi="Arial" w:cs="Arial"/>
                <w:b/>
                <w:bCs/>
                <w:sz w:val="24"/>
                <w:szCs w:val="24"/>
              </w:rPr>
              <w:t>NOT</w:t>
            </w:r>
            <w:r w:rsidRPr="00FA3F9C">
              <w:rPr>
                <w:rFonts w:ascii="Arial" w:hAnsi="Arial" w:cs="Arial"/>
                <w:bCs/>
                <w:sz w:val="24"/>
                <w:szCs w:val="24"/>
              </w:rPr>
              <w:t xml:space="preserve"> have a diagnosis of malignancy that is potentially curable (examples of cancers with curative intent therapy: early-stage breast cancer, Hodgkin lymphoma, non-Hodgkin’s lymphomas, testicular cancer, early-stage non-small cell lung cancer, small cell lung cancer)</w:t>
            </w:r>
          </w:p>
        </w:tc>
        <w:tc>
          <w:tcPr>
            <w:tcW w:w="1998" w:type="dxa"/>
            <w:tcBorders>
              <w:left w:val="single" w:sz="4" w:space="0" w:color="auto"/>
            </w:tcBorders>
            <w:shd w:val="clear" w:color="auto" w:fill="EFD3D2"/>
          </w:tcPr>
          <w:p w14:paraId="2F6701CF" w14:textId="77777777" w:rsidR="002641D2" w:rsidRPr="00FA3F9C" w:rsidRDefault="002641D2" w:rsidP="0058193C">
            <w:pPr>
              <w:rPr>
                <w:rFonts w:ascii="Arial" w:hAnsi="Arial" w:cs="Arial"/>
                <w:sz w:val="24"/>
                <w:szCs w:val="24"/>
              </w:rPr>
            </w:pPr>
            <w:r w:rsidRPr="00FA3F9C">
              <w:rPr>
                <w:rFonts w:ascii="Arial" w:hAnsi="Arial" w:cs="Arial"/>
                <w:sz w:val="24"/>
                <w:szCs w:val="24"/>
              </w:rPr>
              <w:t xml:space="preserve">  □ Yes        □ No</w:t>
            </w:r>
          </w:p>
        </w:tc>
      </w:tr>
      <w:tr w:rsidR="002641D2" w:rsidRPr="00FA3F9C" w14:paraId="5A77E2D6" w14:textId="77777777" w:rsidTr="00EC027F">
        <w:trPr>
          <w:trHeight w:val="277"/>
        </w:trPr>
        <w:tc>
          <w:tcPr>
            <w:tcW w:w="9018" w:type="dxa"/>
            <w:tcBorders>
              <w:right w:val="single" w:sz="4" w:space="0" w:color="auto"/>
            </w:tcBorders>
            <w:shd w:val="clear" w:color="auto" w:fill="EFD3D2"/>
          </w:tcPr>
          <w:p w14:paraId="7DA714F8" w14:textId="77777777" w:rsidR="002641D2" w:rsidRPr="00FA3F9C" w:rsidRDefault="002641D2" w:rsidP="002641D2">
            <w:pPr>
              <w:numPr>
                <w:ilvl w:val="0"/>
                <w:numId w:val="187"/>
              </w:numPr>
              <w:spacing w:after="0" w:line="240" w:lineRule="auto"/>
              <w:rPr>
                <w:rFonts w:ascii="Arial" w:hAnsi="Arial" w:cs="Arial"/>
                <w:b/>
                <w:bCs/>
                <w:sz w:val="24"/>
                <w:szCs w:val="24"/>
              </w:rPr>
            </w:pPr>
            <w:r w:rsidRPr="00FA3F9C">
              <w:rPr>
                <w:rFonts w:ascii="Arial" w:hAnsi="Arial" w:cs="Arial"/>
                <w:bCs/>
                <w:sz w:val="24"/>
                <w:szCs w:val="24"/>
              </w:rPr>
              <w:t xml:space="preserve">Request is for Epogen, Procrit, </w:t>
            </w:r>
            <w:proofErr w:type="spellStart"/>
            <w:r w:rsidRPr="00FA3F9C">
              <w:rPr>
                <w:rFonts w:ascii="Arial" w:hAnsi="Arial" w:cs="Arial"/>
                <w:bCs/>
                <w:sz w:val="24"/>
                <w:szCs w:val="24"/>
              </w:rPr>
              <w:t>Retacrit</w:t>
            </w:r>
            <w:proofErr w:type="spellEnd"/>
            <w:r w:rsidRPr="00FA3F9C">
              <w:rPr>
                <w:rFonts w:ascii="Arial" w:hAnsi="Arial" w:cs="Arial"/>
                <w:bCs/>
                <w:sz w:val="24"/>
                <w:szCs w:val="24"/>
              </w:rPr>
              <w:t xml:space="preserve">, or Aranesp [not </w:t>
            </w:r>
            <w:proofErr w:type="spellStart"/>
            <w:r w:rsidRPr="00FA3F9C">
              <w:rPr>
                <w:rFonts w:ascii="Arial" w:hAnsi="Arial" w:cs="Arial"/>
                <w:bCs/>
                <w:sz w:val="24"/>
                <w:szCs w:val="24"/>
              </w:rPr>
              <w:t>Mircera</w:t>
            </w:r>
            <w:proofErr w:type="spellEnd"/>
            <w:r w:rsidRPr="00FA3F9C">
              <w:rPr>
                <w:rFonts w:ascii="Arial" w:hAnsi="Arial" w:cs="Arial"/>
                <w:bCs/>
                <w:sz w:val="24"/>
                <w:szCs w:val="24"/>
              </w:rPr>
              <w:t>].</w:t>
            </w:r>
          </w:p>
        </w:tc>
        <w:tc>
          <w:tcPr>
            <w:tcW w:w="1998" w:type="dxa"/>
            <w:tcBorders>
              <w:left w:val="single" w:sz="4" w:space="0" w:color="auto"/>
            </w:tcBorders>
            <w:shd w:val="clear" w:color="auto" w:fill="EFD3D2"/>
          </w:tcPr>
          <w:p w14:paraId="0DDC60BD" w14:textId="77777777" w:rsidR="002641D2" w:rsidRPr="00FA3F9C" w:rsidRDefault="002641D2" w:rsidP="0058193C">
            <w:pPr>
              <w:rPr>
                <w:rFonts w:ascii="Arial" w:hAnsi="Arial" w:cs="Arial"/>
                <w:sz w:val="24"/>
                <w:szCs w:val="24"/>
              </w:rPr>
            </w:pPr>
            <w:r w:rsidRPr="00FA3F9C">
              <w:rPr>
                <w:rFonts w:ascii="Arial" w:hAnsi="Arial" w:cs="Arial"/>
                <w:sz w:val="24"/>
                <w:szCs w:val="24"/>
              </w:rPr>
              <w:t xml:space="preserve">  □ Yes        □ No</w:t>
            </w:r>
          </w:p>
        </w:tc>
      </w:tr>
      <w:tr w:rsidR="002641D2" w:rsidRPr="00FA3F9C" w14:paraId="51E2E22A" w14:textId="77777777" w:rsidTr="00C52C47">
        <w:tc>
          <w:tcPr>
            <w:tcW w:w="11016" w:type="dxa"/>
            <w:gridSpan w:val="2"/>
            <w:shd w:val="clear" w:color="auto" w:fill="BFBFBF"/>
          </w:tcPr>
          <w:p w14:paraId="44462414" w14:textId="77777777" w:rsidR="002641D2" w:rsidRPr="00FA3F9C" w:rsidRDefault="002641D2" w:rsidP="0058193C">
            <w:pPr>
              <w:rPr>
                <w:rFonts w:ascii="Arial" w:hAnsi="Arial" w:cs="Arial"/>
                <w:b/>
                <w:bCs/>
                <w:sz w:val="24"/>
                <w:szCs w:val="24"/>
              </w:rPr>
            </w:pPr>
          </w:p>
        </w:tc>
      </w:tr>
      <w:tr w:rsidR="002641D2" w:rsidRPr="00FA3F9C" w14:paraId="340A420A" w14:textId="77777777" w:rsidTr="00C52C47">
        <w:tc>
          <w:tcPr>
            <w:tcW w:w="11016" w:type="dxa"/>
            <w:gridSpan w:val="2"/>
            <w:shd w:val="clear" w:color="auto" w:fill="FFFFFF"/>
          </w:tcPr>
          <w:p w14:paraId="080B495E" w14:textId="77777777" w:rsidR="002641D2" w:rsidRPr="00FA3F9C" w:rsidRDefault="002641D2" w:rsidP="00D60810">
            <w:pPr>
              <w:rPr>
                <w:rFonts w:ascii="Arial" w:hAnsi="Arial" w:cs="Arial"/>
                <w:b/>
                <w:bCs/>
                <w:sz w:val="24"/>
                <w:szCs w:val="24"/>
              </w:rPr>
            </w:pPr>
            <w:r w:rsidRPr="00FA3F9C">
              <w:rPr>
                <w:rFonts w:ascii="Arial" w:hAnsi="Arial" w:cs="Arial"/>
                <w:b/>
                <w:bCs/>
                <w:sz w:val="24"/>
                <w:szCs w:val="24"/>
              </w:rPr>
              <w:t xml:space="preserve">If YES was answered to </w:t>
            </w:r>
            <w:proofErr w:type="gramStart"/>
            <w:r w:rsidRPr="00FA3F9C">
              <w:rPr>
                <w:rFonts w:ascii="Arial" w:hAnsi="Arial" w:cs="Arial"/>
                <w:b/>
                <w:bCs/>
                <w:sz w:val="24"/>
                <w:szCs w:val="24"/>
              </w:rPr>
              <w:t>all of</w:t>
            </w:r>
            <w:proofErr w:type="gramEnd"/>
            <w:r w:rsidRPr="00FA3F9C">
              <w:rPr>
                <w:rFonts w:ascii="Arial" w:hAnsi="Arial" w:cs="Arial"/>
                <w:b/>
                <w:bCs/>
                <w:sz w:val="24"/>
                <w:szCs w:val="24"/>
              </w:rPr>
              <w:t xml:space="preserve"> the above, approve.  PA is good for 12 months</w:t>
            </w:r>
            <w:r w:rsidRPr="00FA3F9C">
              <w:rPr>
                <w:rFonts w:ascii="Arial" w:hAnsi="Arial" w:cs="Arial"/>
                <w:bCs/>
                <w:sz w:val="24"/>
                <w:szCs w:val="24"/>
              </w:rPr>
              <w:t xml:space="preserve">.  </w:t>
            </w:r>
            <w:r w:rsidRPr="00FA3F9C">
              <w:rPr>
                <w:rFonts w:ascii="Arial" w:hAnsi="Arial" w:cs="Arial"/>
                <w:b/>
                <w:bCs/>
                <w:color w:val="7F7F7F"/>
                <w:sz w:val="24"/>
                <w:szCs w:val="24"/>
              </w:rPr>
              <w:t>The PA is to allow access to erythropoietic agents for the purpose of reducing blood transfusions in patients with anemia due to myelosuppressive chemotherapeutic regimens.</w:t>
            </w:r>
          </w:p>
        </w:tc>
      </w:tr>
    </w:tbl>
    <w:p w14:paraId="08943787" w14:textId="77777777" w:rsidR="002641D2" w:rsidRPr="00FA3F9C" w:rsidRDefault="002641D2" w:rsidP="007E6B49">
      <w:pPr>
        <w:rPr>
          <w:rFonts w:ascii="Arial" w:hAnsi="Arial" w:cs="Arial"/>
          <w:sz w:val="24"/>
          <w:szCs w:val="24"/>
        </w:rPr>
      </w:pPr>
      <w:r w:rsidRPr="00FA3F9C">
        <w:rPr>
          <w:rFonts w:ascii="Arial" w:hAnsi="Arial" w:cs="Arial"/>
          <w:sz w:val="24"/>
          <w:szCs w:val="24"/>
        </w:rPr>
        <w:t>Notes:</w:t>
      </w:r>
    </w:p>
    <w:p w14:paraId="3922EADE" w14:textId="77777777" w:rsidR="002641D2" w:rsidRPr="00FA3F9C" w:rsidRDefault="002641D2" w:rsidP="001A792A">
      <w:pPr>
        <w:rPr>
          <w:rFonts w:ascii="Arial" w:hAnsi="Arial" w:cs="Arial"/>
          <w:b/>
          <w:sz w:val="24"/>
          <w:szCs w:val="24"/>
        </w:rPr>
      </w:pPr>
      <w:r w:rsidRPr="00FA3F9C">
        <w:rPr>
          <w:rFonts w:ascii="Arial" w:hAnsi="Arial" w:cs="Arial"/>
          <w:sz w:val="24"/>
          <w:szCs w:val="24"/>
          <w:vertAlign w:val="superscript"/>
        </w:rPr>
        <w:t>‡</w:t>
      </w:r>
      <w:r w:rsidRPr="00FA3F9C">
        <w:rPr>
          <w:rFonts w:ascii="Arial" w:hAnsi="Arial" w:cs="Arial"/>
          <w:sz w:val="24"/>
          <w:szCs w:val="24"/>
        </w:rPr>
        <w:t>Such studies, at a minimum, include:</w:t>
      </w:r>
    </w:p>
    <w:p w14:paraId="0B9922AA" w14:textId="77777777" w:rsidR="002641D2" w:rsidRPr="00FA3F9C" w:rsidRDefault="002641D2" w:rsidP="002641D2">
      <w:pPr>
        <w:numPr>
          <w:ilvl w:val="1"/>
          <w:numId w:val="187"/>
        </w:numPr>
        <w:spacing w:after="0" w:line="240" w:lineRule="auto"/>
        <w:rPr>
          <w:rFonts w:ascii="Arial" w:hAnsi="Arial" w:cs="Arial"/>
          <w:b/>
          <w:sz w:val="24"/>
          <w:szCs w:val="24"/>
        </w:rPr>
      </w:pPr>
      <w:r w:rsidRPr="00FA3F9C">
        <w:rPr>
          <w:rFonts w:ascii="Arial" w:hAnsi="Arial" w:cs="Arial"/>
          <w:sz w:val="24"/>
          <w:szCs w:val="24"/>
        </w:rPr>
        <w:t>Thorough drug exposure history</w:t>
      </w:r>
    </w:p>
    <w:p w14:paraId="0CD38956" w14:textId="77777777" w:rsidR="002641D2" w:rsidRPr="00FA3F9C" w:rsidRDefault="002641D2" w:rsidP="002641D2">
      <w:pPr>
        <w:numPr>
          <w:ilvl w:val="1"/>
          <w:numId w:val="187"/>
        </w:numPr>
        <w:spacing w:after="0" w:line="240" w:lineRule="auto"/>
        <w:rPr>
          <w:rFonts w:ascii="Arial" w:hAnsi="Arial" w:cs="Arial"/>
          <w:b/>
          <w:sz w:val="24"/>
          <w:szCs w:val="24"/>
        </w:rPr>
      </w:pPr>
      <w:r w:rsidRPr="00FA3F9C">
        <w:rPr>
          <w:rFonts w:ascii="Arial" w:hAnsi="Arial" w:cs="Arial"/>
          <w:sz w:val="24"/>
          <w:szCs w:val="24"/>
        </w:rPr>
        <w:t>Review of peripheral-blood smear/bone marrow examination</w:t>
      </w:r>
    </w:p>
    <w:p w14:paraId="2A4856D9" w14:textId="77777777" w:rsidR="002641D2" w:rsidRPr="00FA3F9C" w:rsidRDefault="002641D2" w:rsidP="002641D2">
      <w:pPr>
        <w:numPr>
          <w:ilvl w:val="1"/>
          <w:numId w:val="187"/>
        </w:numPr>
        <w:spacing w:after="0" w:line="240" w:lineRule="auto"/>
        <w:rPr>
          <w:rFonts w:ascii="Arial" w:hAnsi="Arial" w:cs="Arial"/>
          <w:b/>
          <w:sz w:val="24"/>
          <w:szCs w:val="24"/>
        </w:rPr>
      </w:pPr>
      <w:r w:rsidRPr="00FA3F9C">
        <w:rPr>
          <w:rFonts w:ascii="Arial" w:hAnsi="Arial" w:cs="Arial"/>
          <w:sz w:val="24"/>
          <w:szCs w:val="24"/>
        </w:rPr>
        <w:t>Analyses for iron, folate or B</w:t>
      </w:r>
      <w:r w:rsidRPr="00FA3F9C">
        <w:rPr>
          <w:rFonts w:ascii="Arial" w:hAnsi="Arial" w:cs="Arial"/>
          <w:sz w:val="24"/>
          <w:szCs w:val="24"/>
          <w:vertAlign w:val="subscript"/>
        </w:rPr>
        <w:t>12</w:t>
      </w:r>
      <w:r w:rsidRPr="00FA3F9C">
        <w:rPr>
          <w:rFonts w:ascii="Arial" w:hAnsi="Arial" w:cs="Arial"/>
          <w:sz w:val="24"/>
          <w:szCs w:val="24"/>
        </w:rPr>
        <w:t xml:space="preserve"> deficiencies</w:t>
      </w:r>
    </w:p>
    <w:p w14:paraId="34389BEC" w14:textId="77777777" w:rsidR="002641D2" w:rsidRPr="00FA3F9C" w:rsidRDefault="002641D2" w:rsidP="002641D2">
      <w:pPr>
        <w:numPr>
          <w:ilvl w:val="1"/>
          <w:numId w:val="187"/>
        </w:numPr>
        <w:spacing w:after="0" w:line="240" w:lineRule="auto"/>
        <w:rPr>
          <w:rFonts w:ascii="Arial" w:hAnsi="Arial" w:cs="Arial"/>
          <w:sz w:val="24"/>
          <w:szCs w:val="24"/>
        </w:rPr>
      </w:pPr>
      <w:r w:rsidRPr="00FA3F9C">
        <w:rPr>
          <w:rFonts w:ascii="Arial" w:hAnsi="Arial" w:cs="Arial"/>
          <w:sz w:val="24"/>
          <w:szCs w:val="24"/>
        </w:rPr>
        <w:t>Assessments of reticulocyte count, occult blood smear, and renal insufficiency</w:t>
      </w:r>
    </w:p>
    <w:p w14:paraId="7AC28572" w14:textId="77777777" w:rsidR="002641D2" w:rsidRPr="00FA3F9C" w:rsidRDefault="002641D2" w:rsidP="001A792A">
      <w:pPr>
        <w:rPr>
          <w:rFonts w:ascii="Arial" w:hAnsi="Arial" w:cs="Arial"/>
          <w:sz w:val="24"/>
          <w:szCs w:val="24"/>
        </w:rPr>
      </w:pPr>
    </w:p>
    <w:p w14:paraId="13866904" w14:textId="77777777" w:rsidR="002641D2" w:rsidRPr="00FA3F9C" w:rsidRDefault="002641D2" w:rsidP="007E6B49">
      <w:pPr>
        <w:rPr>
          <w:rFonts w:ascii="Arial" w:hAnsi="Arial" w:cs="Arial"/>
          <w:sz w:val="24"/>
          <w:szCs w:val="24"/>
        </w:rPr>
      </w:pPr>
      <w:r w:rsidRPr="00FA3F9C">
        <w:rPr>
          <w:rFonts w:ascii="Arial" w:hAnsi="Arial" w:cs="Arial"/>
          <w:sz w:val="24"/>
          <w:szCs w:val="24"/>
        </w:rPr>
        <w:t>References:</w:t>
      </w:r>
    </w:p>
    <w:p w14:paraId="26778902" w14:textId="77777777" w:rsidR="002641D2" w:rsidRPr="00FA3F9C" w:rsidRDefault="002641D2" w:rsidP="002641D2">
      <w:pPr>
        <w:numPr>
          <w:ilvl w:val="0"/>
          <w:numId w:val="188"/>
        </w:numPr>
        <w:spacing w:after="0" w:line="240" w:lineRule="auto"/>
        <w:rPr>
          <w:rFonts w:ascii="Arial" w:hAnsi="Arial" w:cs="Arial"/>
          <w:sz w:val="24"/>
          <w:szCs w:val="24"/>
        </w:rPr>
      </w:pPr>
      <w:r w:rsidRPr="00FA3F9C">
        <w:rPr>
          <w:rFonts w:ascii="Arial" w:hAnsi="Arial" w:cs="Arial"/>
          <w:sz w:val="24"/>
          <w:szCs w:val="24"/>
        </w:rPr>
        <w:t xml:space="preserve">American Society of Clinical Oncology/American Society of Hematology Clinical Practice Guidelines Update on the Use of Epoetin and Darbepoetin in Adult Patients with Cancer.  </w:t>
      </w:r>
      <w:r w:rsidRPr="00FA3F9C">
        <w:rPr>
          <w:rFonts w:ascii="Arial" w:hAnsi="Arial" w:cs="Arial"/>
          <w:i/>
          <w:sz w:val="24"/>
          <w:szCs w:val="24"/>
        </w:rPr>
        <w:t>Journal of Clinical Oncology</w:t>
      </w:r>
      <w:r w:rsidRPr="00FA3F9C">
        <w:rPr>
          <w:rFonts w:ascii="Arial" w:hAnsi="Arial" w:cs="Arial"/>
          <w:sz w:val="24"/>
          <w:szCs w:val="24"/>
        </w:rPr>
        <w:t>.  2010;28(33):4996-5010</w:t>
      </w:r>
    </w:p>
    <w:p w14:paraId="52CFE14D" w14:textId="77777777" w:rsidR="002641D2" w:rsidRPr="00FA3F9C" w:rsidRDefault="002641D2" w:rsidP="002641D2">
      <w:pPr>
        <w:numPr>
          <w:ilvl w:val="0"/>
          <w:numId w:val="188"/>
        </w:numPr>
        <w:spacing w:after="0" w:line="240" w:lineRule="auto"/>
        <w:rPr>
          <w:rFonts w:ascii="Arial" w:hAnsi="Arial" w:cs="Arial"/>
          <w:sz w:val="24"/>
          <w:szCs w:val="24"/>
        </w:rPr>
      </w:pPr>
      <w:proofErr w:type="spellStart"/>
      <w:r w:rsidRPr="00FA3F9C">
        <w:rPr>
          <w:rFonts w:ascii="Arial" w:hAnsi="Arial" w:cs="Arial"/>
          <w:sz w:val="24"/>
          <w:szCs w:val="24"/>
        </w:rPr>
        <w:t>Bohlius</w:t>
      </w:r>
      <w:proofErr w:type="spellEnd"/>
      <w:r w:rsidRPr="00FA3F9C">
        <w:rPr>
          <w:rFonts w:ascii="Arial" w:hAnsi="Arial" w:cs="Arial"/>
          <w:sz w:val="24"/>
          <w:szCs w:val="24"/>
        </w:rPr>
        <w:t xml:space="preserve"> J, et al.  Erythropoietin or Darbepoetin for patients with cancer—meta-analysis based on individual patient data (Review).  </w:t>
      </w:r>
      <w:r w:rsidRPr="00FA3F9C">
        <w:rPr>
          <w:rFonts w:ascii="Arial" w:hAnsi="Arial" w:cs="Arial"/>
          <w:i/>
          <w:sz w:val="24"/>
          <w:szCs w:val="24"/>
        </w:rPr>
        <w:t>The Cochrane Review Library.</w:t>
      </w:r>
      <w:r w:rsidRPr="00FA3F9C">
        <w:rPr>
          <w:rFonts w:ascii="Arial" w:hAnsi="Arial" w:cs="Arial"/>
          <w:sz w:val="24"/>
          <w:szCs w:val="24"/>
        </w:rPr>
        <w:t xml:space="preserve">  2010;11:1-239</w:t>
      </w:r>
    </w:p>
    <w:p w14:paraId="0C031D12" w14:textId="77777777" w:rsidR="002641D2" w:rsidRPr="00FA3F9C" w:rsidRDefault="002641D2" w:rsidP="002641D2">
      <w:pPr>
        <w:numPr>
          <w:ilvl w:val="0"/>
          <w:numId w:val="188"/>
        </w:numPr>
        <w:spacing w:after="0" w:line="240" w:lineRule="auto"/>
        <w:rPr>
          <w:rFonts w:ascii="Arial" w:hAnsi="Arial" w:cs="Arial"/>
          <w:sz w:val="24"/>
          <w:szCs w:val="24"/>
        </w:rPr>
      </w:pPr>
      <w:r w:rsidRPr="00FA3F9C">
        <w:rPr>
          <w:rFonts w:ascii="Arial" w:hAnsi="Arial" w:cs="Arial"/>
          <w:sz w:val="24"/>
          <w:szCs w:val="24"/>
        </w:rPr>
        <w:t xml:space="preserve">Song X, et al.  The Impact of Methodological Approach on Cost Findings in Comparison of Epoetin Alfa with Darbepoetin Alfa.  </w:t>
      </w:r>
      <w:r w:rsidRPr="00FA3F9C">
        <w:rPr>
          <w:rFonts w:ascii="Arial" w:hAnsi="Arial" w:cs="Arial"/>
          <w:i/>
          <w:sz w:val="24"/>
          <w:szCs w:val="24"/>
        </w:rPr>
        <w:t xml:space="preserve">The Annals of Pharmacotherapy.  </w:t>
      </w:r>
      <w:r w:rsidRPr="00FA3F9C">
        <w:rPr>
          <w:rFonts w:ascii="Arial" w:hAnsi="Arial" w:cs="Arial"/>
          <w:sz w:val="24"/>
          <w:szCs w:val="24"/>
        </w:rPr>
        <w:t>2009;43:1203-10</w:t>
      </w:r>
    </w:p>
    <w:p w14:paraId="6E7EE3B3" w14:textId="77777777" w:rsidR="002641D2" w:rsidRPr="00FA3F9C" w:rsidRDefault="002641D2" w:rsidP="002641D2">
      <w:pPr>
        <w:numPr>
          <w:ilvl w:val="0"/>
          <w:numId w:val="188"/>
        </w:numPr>
        <w:spacing w:after="0" w:line="240" w:lineRule="auto"/>
        <w:rPr>
          <w:rFonts w:ascii="Arial" w:hAnsi="Arial" w:cs="Arial"/>
          <w:sz w:val="24"/>
          <w:szCs w:val="24"/>
        </w:rPr>
      </w:pPr>
      <w:r w:rsidRPr="00FA3F9C">
        <w:rPr>
          <w:rFonts w:ascii="Arial" w:hAnsi="Arial" w:cs="Arial"/>
          <w:sz w:val="24"/>
          <w:szCs w:val="24"/>
        </w:rPr>
        <w:t xml:space="preserve">NCCN guidelines for Hematopoietic Growth Factors (Version 2.2019). </w:t>
      </w:r>
      <w:hyperlink r:id="rId168" w:history="1">
        <w:r w:rsidRPr="00FA3F9C">
          <w:rPr>
            <w:rStyle w:val="Hyperlink"/>
            <w:rFonts w:ascii="Arial" w:hAnsi="Arial" w:cs="Arial"/>
            <w:sz w:val="24"/>
            <w:szCs w:val="24"/>
          </w:rPr>
          <w:t>https://www.nccn.org/professionals/physician_gls/pdf/growthfactors.pdf</w:t>
        </w:r>
      </w:hyperlink>
      <w:r w:rsidRPr="00FA3F9C">
        <w:rPr>
          <w:rFonts w:ascii="Arial" w:hAnsi="Arial" w:cs="Arial"/>
          <w:sz w:val="24"/>
          <w:szCs w:val="24"/>
        </w:rPr>
        <w:t>. Accessed 9/25/19.</w:t>
      </w:r>
    </w:p>
    <w:p w14:paraId="14F231A8" w14:textId="77777777" w:rsidR="002641D2" w:rsidRPr="00FA3F9C" w:rsidRDefault="002641D2" w:rsidP="002641D2">
      <w:pPr>
        <w:numPr>
          <w:ilvl w:val="0"/>
          <w:numId w:val="188"/>
        </w:numPr>
        <w:spacing w:after="0" w:line="240" w:lineRule="auto"/>
        <w:rPr>
          <w:rFonts w:ascii="Arial" w:hAnsi="Arial" w:cs="Arial"/>
          <w:sz w:val="24"/>
          <w:szCs w:val="24"/>
        </w:rPr>
      </w:pPr>
      <w:proofErr w:type="spellStart"/>
      <w:r w:rsidRPr="00FA3F9C">
        <w:rPr>
          <w:rFonts w:ascii="Arial" w:hAnsi="Arial" w:cs="Arial"/>
          <w:sz w:val="24"/>
          <w:szCs w:val="24"/>
        </w:rPr>
        <w:t>Bohlius</w:t>
      </w:r>
      <w:proofErr w:type="spellEnd"/>
      <w:r w:rsidRPr="00FA3F9C">
        <w:rPr>
          <w:rFonts w:ascii="Arial" w:hAnsi="Arial" w:cs="Arial"/>
          <w:sz w:val="24"/>
          <w:szCs w:val="24"/>
        </w:rPr>
        <w:t xml:space="preserve"> J  et al. Management of Cancer-Associated Anemia </w:t>
      </w:r>
      <w:proofErr w:type="gramStart"/>
      <w:r w:rsidRPr="00FA3F9C">
        <w:rPr>
          <w:rFonts w:ascii="Arial" w:hAnsi="Arial" w:cs="Arial"/>
          <w:sz w:val="24"/>
          <w:szCs w:val="24"/>
        </w:rPr>
        <w:t>With</w:t>
      </w:r>
      <w:proofErr w:type="gramEnd"/>
      <w:r w:rsidRPr="00FA3F9C">
        <w:rPr>
          <w:rFonts w:ascii="Arial" w:hAnsi="Arial" w:cs="Arial"/>
          <w:sz w:val="24"/>
          <w:szCs w:val="24"/>
        </w:rPr>
        <w:t xml:space="preserve"> Erythropoiesis-Stimulating Agents: ASCO/ASH Clinical Practice Guideline Update. J Clin Oncol. 2019;37(15):1336. </w:t>
      </w:r>
      <w:proofErr w:type="spellStart"/>
      <w:r w:rsidRPr="00FA3F9C">
        <w:rPr>
          <w:rFonts w:ascii="Arial" w:hAnsi="Arial" w:cs="Arial"/>
          <w:sz w:val="24"/>
          <w:szCs w:val="24"/>
        </w:rPr>
        <w:t>Epub</w:t>
      </w:r>
      <w:proofErr w:type="spellEnd"/>
      <w:r w:rsidRPr="00FA3F9C">
        <w:rPr>
          <w:rFonts w:ascii="Arial" w:hAnsi="Arial" w:cs="Arial"/>
          <w:sz w:val="24"/>
          <w:szCs w:val="24"/>
        </w:rPr>
        <w:t xml:space="preserve"> 2019 Apr 10. PMID 30969847</w:t>
      </w:r>
    </w:p>
    <w:p w14:paraId="2A67B59A" w14:textId="77777777" w:rsidR="002641D2" w:rsidRPr="00FA3F9C" w:rsidRDefault="002641D2" w:rsidP="00173C96">
      <w:pPr>
        <w:rPr>
          <w:rFonts w:ascii="Arial" w:hAnsi="Arial" w:cs="Arial"/>
          <w:sz w:val="24"/>
          <w:szCs w:val="24"/>
        </w:rPr>
      </w:pPr>
    </w:p>
    <w:p w14:paraId="67AE97EE" w14:textId="77777777" w:rsidR="002641D2" w:rsidRPr="00FA3F9C" w:rsidRDefault="002641D2" w:rsidP="00173C96">
      <w:pPr>
        <w:rPr>
          <w:rFonts w:ascii="Arial" w:hAnsi="Arial" w:cs="Arial"/>
          <w:i/>
          <w:sz w:val="24"/>
          <w:szCs w:val="24"/>
        </w:rPr>
      </w:pPr>
    </w:p>
    <w:p w14:paraId="30076E23" w14:textId="77777777" w:rsidR="002641D2" w:rsidRPr="00FA3F9C" w:rsidRDefault="002641D2" w:rsidP="00173C96">
      <w:pPr>
        <w:rPr>
          <w:rFonts w:ascii="Arial" w:hAnsi="Arial" w:cs="Arial"/>
          <w:i/>
          <w:sz w:val="24"/>
          <w:szCs w:val="24"/>
        </w:rPr>
      </w:pPr>
    </w:p>
    <w:p w14:paraId="2819050A" w14:textId="77777777" w:rsidR="002641D2" w:rsidRPr="00FA3F9C" w:rsidRDefault="002641D2" w:rsidP="00173C96">
      <w:pPr>
        <w:rPr>
          <w:rFonts w:ascii="Arial" w:hAnsi="Arial" w:cs="Arial"/>
          <w:i/>
          <w:sz w:val="24"/>
          <w:szCs w:val="24"/>
        </w:rPr>
      </w:pPr>
    </w:p>
    <w:p w14:paraId="62E31FAE" w14:textId="77777777" w:rsidR="002641D2" w:rsidRPr="00FA3F9C" w:rsidRDefault="002641D2" w:rsidP="00173C96">
      <w:pPr>
        <w:rPr>
          <w:rFonts w:ascii="Arial" w:hAnsi="Arial" w:cs="Arial"/>
          <w:i/>
          <w:sz w:val="24"/>
          <w:szCs w:val="24"/>
        </w:rPr>
      </w:pPr>
    </w:p>
    <w:p w14:paraId="3E434841" w14:textId="77777777" w:rsidR="002641D2" w:rsidRPr="00FA3F9C" w:rsidRDefault="002641D2" w:rsidP="00173C96">
      <w:pPr>
        <w:rPr>
          <w:rFonts w:ascii="Arial" w:hAnsi="Arial" w:cs="Arial"/>
          <w:i/>
          <w:sz w:val="24"/>
          <w:szCs w:val="24"/>
        </w:rPr>
      </w:pPr>
    </w:p>
    <w:p w14:paraId="3637AAA0" w14:textId="77777777" w:rsidR="002641D2" w:rsidRPr="00FA3F9C" w:rsidRDefault="002641D2" w:rsidP="00173C96">
      <w:pPr>
        <w:rPr>
          <w:rFonts w:ascii="Arial" w:hAnsi="Arial" w:cs="Arial"/>
          <w:i/>
          <w:sz w:val="24"/>
          <w:szCs w:val="24"/>
        </w:rPr>
      </w:pPr>
    </w:p>
    <w:p w14:paraId="10997AC5" w14:textId="77777777" w:rsidR="002641D2" w:rsidRPr="00FA3F9C" w:rsidRDefault="002641D2" w:rsidP="00173C96">
      <w:pPr>
        <w:rPr>
          <w:rFonts w:ascii="Arial" w:hAnsi="Arial" w:cs="Arial"/>
          <w:i/>
          <w:sz w:val="24"/>
          <w:szCs w:val="24"/>
        </w:rPr>
      </w:pPr>
    </w:p>
    <w:p w14:paraId="6B078558" w14:textId="77777777" w:rsidR="002641D2" w:rsidRPr="00FA3F9C" w:rsidRDefault="002641D2" w:rsidP="00173C96">
      <w:pPr>
        <w:rPr>
          <w:rFonts w:ascii="Arial" w:hAnsi="Arial" w:cs="Arial"/>
          <w:i/>
          <w:sz w:val="24"/>
          <w:szCs w:val="24"/>
        </w:rPr>
      </w:pPr>
    </w:p>
    <w:tbl>
      <w:tblPr>
        <w:tblW w:w="0" w:type="auto"/>
        <w:tblBorders>
          <w:top w:val="single" w:sz="8" w:space="0" w:color="B3CC82"/>
          <w:left w:val="single" w:sz="8" w:space="0" w:color="B3CC82"/>
          <w:bottom w:val="single" w:sz="8" w:space="0" w:color="B3CC82"/>
          <w:right w:val="single" w:sz="8" w:space="0" w:color="B3CC82"/>
          <w:insideH w:val="single" w:sz="8" w:space="0" w:color="B3CC82"/>
        </w:tblBorders>
        <w:tblLook w:val="04A0" w:firstRow="1" w:lastRow="0" w:firstColumn="1" w:lastColumn="0" w:noHBand="0" w:noVBand="1"/>
      </w:tblPr>
      <w:tblGrid>
        <w:gridCol w:w="9018"/>
        <w:gridCol w:w="1998"/>
      </w:tblGrid>
      <w:tr w:rsidR="002641D2" w:rsidRPr="00FA3F9C" w14:paraId="27B567F9" w14:textId="77777777" w:rsidTr="00C52C47">
        <w:tc>
          <w:tcPr>
            <w:tcW w:w="11016" w:type="dxa"/>
            <w:gridSpan w:val="2"/>
            <w:tcBorders>
              <w:top w:val="single" w:sz="8" w:space="0" w:color="B3CC82"/>
              <w:left w:val="single" w:sz="8" w:space="0" w:color="B3CC82"/>
              <w:bottom w:val="single" w:sz="8" w:space="0" w:color="B3CC82"/>
              <w:right w:val="single" w:sz="8" w:space="0" w:color="B3CC82"/>
            </w:tcBorders>
            <w:shd w:val="clear" w:color="auto" w:fill="9BBB59"/>
          </w:tcPr>
          <w:p w14:paraId="1A938080" w14:textId="77777777" w:rsidR="002641D2" w:rsidRPr="00FA3F9C" w:rsidRDefault="002641D2" w:rsidP="000A740F">
            <w:pPr>
              <w:rPr>
                <w:rFonts w:ascii="Arial" w:hAnsi="Arial" w:cs="Arial"/>
                <w:b/>
                <w:bCs/>
                <w:color w:val="FFFFFF"/>
                <w:sz w:val="24"/>
                <w:szCs w:val="24"/>
              </w:rPr>
            </w:pPr>
            <w:r w:rsidRPr="00FA3F9C">
              <w:rPr>
                <w:rFonts w:ascii="Arial" w:hAnsi="Arial" w:cs="Arial"/>
                <w:i/>
                <w:sz w:val="24"/>
                <w:szCs w:val="24"/>
              </w:rPr>
              <w:br w:type="page"/>
            </w:r>
            <w:bookmarkStart w:id="109" w:name="Box3"/>
            <w:r w:rsidRPr="00FA3F9C">
              <w:rPr>
                <w:rFonts w:ascii="Arial" w:hAnsi="Arial" w:cs="Arial"/>
                <w:b/>
                <w:bCs/>
                <w:color w:val="FFFFFF"/>
                <w:sz w:val="24"/>
                <w:szCs w:val="24"/>
              </w:rPr>
              <w:br w:type="page"/>
            </w:r>
            <w:r w:rsidRPr="00FA3F9C">
              <w:rPr>
                <w:rFonts w:ascii="Arial" w:hAnsi="Arial" w:cs="Arial"/>
                <w:b/>
                <w:bCs/>
                <w:color w:val="FFFFFF"/>
                <w:sz w:val="24"/>
                <w:szCs w:val="24"/>
              </w:rPr>
              <w:br w:type="page"/>
              <w:t>BOX 3: Anemia due to zidovudine therapy</w:t>
            </w:r>
          </w:p>
        </w:tc>
      </w:tr>
      <w:bookmarkEnd w:id="109"/>
      <w:tr w:rsidR="002641D2" w:rsidRPr="00FA3F9C" w14:paraId="522A85C7" w14:textId="77777777" w:rsidTr="00C52C47">
        <w:tc>
          <w:tcPr>
            <w:tcW w:w="9018" w:type="dxa"/>
            <w:tcBorders>
              <w:right w:val="single" w:sz="4" w:space="0" w:color="auto"/>
            </w:tcBorders>
            <w:shd w:val="clear" w:color="auto" w:fill="E6EED5"/>
          </w:tcPr>
          <w:p w14:paraId="75627B25" w14:textId="77777777" w:rsidR="002641D2" w:rsidRPr="00FA3F9C" w:rsidRDefault="002641D2" w:rsidP="002641D2">
            <w:pPr>
              <w:numPr>
                <w:ilvl w:val="0"/>
                <w:numId w:val="190"/>
              </w:numPr>
              <w:spacing w:after="0" w:line="240" w:lineRule="auto"/>
              <w:rPr>
                <w:rFonts w:ascii="Arial" w:hAnsi="Arial" w:cs="Arial"/>
                <w:b/>
                <w:bCs/>
                <w:sz w:val="24"/>
                <w:szCs w:val="24"/>
              </w:rPr>
            </w:pPr>
            <w:r w:rsidRPr="00FA3F9C">
              <w:rPr>
                <w:rFonts w:ascii="Arial" w:hAnsi="Arial" w:cs="Arial"/>
                <w:bCs/>
                <w:sz w:val="24"/>
                <w:szCs w:val="24"/>
              </w:rPr>
              <w:t>The patient receives a weekly dose of zidovudine of 4200 mg or less</w:t>
            </w:r>
            <w:r w:rsidRPr="00FA3F9C">
              <w:rPr>
                <w:rFonts w:ascii="Arial" w:hAnsi="Arial" w:cs="Arial"/>
                <w:b/>
                <w:bCs/>
                <w:sz w:val="24"/>
                <w:szCs w:val="24"/>
              </w:rPr>
              <w:t xml:space="preserve">.  </w:t>
            </w:r>
          </w:p>
        </w:tc>
        <w:tc>
          <w:tcPr>
            <w:tcW w:w="1998" w:type="dxa"/>
            <w:tcBorders>
              <w:left w:val="single" w:sz="4" w:space="0" w:color="auto"/>
            </w:tcBorders>
            <w:shd w:val="clear" w:color="auto" w:fill="E6EED5"/>
          </w:tcPr>
          <w:p w14:paraId="5E1B236A" w14:textId="77777777" w:rsidR="002641D2" w:rsidRPr="00FA3F9C" w:rsidRDefault="002641D2" w:rsidP="0058193C">
            <w:pPr>
              <w:rPr>
                <w:rFonts w:ascii="Arial" w:hAnsi="Arial" w:cs="Arial"/>
                <w:sz w:val="24"/>
                <w:szCs w:val="24"/>
              </w:rPr>
            </w:pPr>
            <w:r w:rsidRPr="00FA3F9C">
              <w:rPr>
                <w:rFonts w:ascii="Arial" w:hAnsi="Arial" w:cs="Arial"/>
                <w:sz w:val="24"/>
                <w:szCs w:val="24"/>
              </w:rPr>
              <w:t xml:space="preserve">  □ Yes        □ No</w:t>
            </w:r>
          </w:p>
        </w:tc>
      </w:tr>
      <w:tr w:rsidR="002641D2" w:rsidRPr="00FA3F9C" w14:paraId="04CF1639" w14:textId="77777777" w:rsidTr="00C52C47">
        <w:tc>
          <w:tcPr>
            <w:tcW w:w="9018" w:type="dxa"/>
            <w:tcBorders>
              <w:right w:val="single" w:sz="4" w:space="0" w:color="auto"/>
            </w:tcBorders>
          </w:tcPr>
          <w:p w14:paraId="445B0F31" w14:textId="77777777" w:rsidR="002641D2" w:rsidRPr="00FA3F9C" w:rsidRDefault="002641D2" w:rsidP="002641D2">
            <w:pPr>
              <w:numPr>
                <w:ilvl w:val="0"/>
                <w:numId w:val="190"/>
              </w:numPr>
              <w:spacing w:after="0" w:line="240" w:lineRule="auto"/>
              <w:rPr>
                <w:rFonts w:ascii="Arial" w:hAnsi="Arial" w:cs="Arial"/>
                <w:b/>
                <w:bCs/>
                <w:sz w:val="24"/>
                <w:szCs w:val="24"/>
              </w:rPr>
            </w:pPr>
            <w:r w:rsidRPr="00FA3F9C">
              <w:rPr>
                <w:rFonts w:ascii="Arial" w:hAnsi="Arial" w:cs="Arial"/>
                <w:bCs/>
                <w:sz w:val="24"/>
                <w:szCs w:val="24"/>
              </w:rPr>
              <w:t>The patient has a confirmed diagnosis of human immunodeficiency virus.</w:t>
            </w:r>
          </w:p>
        </w:tc>
        <w:tc>
          <w:tcPr>
            <w:tcW w:w="1998" w:type="dxa"/>
            <w:tcBorders>
              <w:left w:val="single" w:sz="4" w:space="0" w:color="auto"/>
            </w:tcBorders>
          </w:tcPr>
          <w:p w14:paraId="746293DA" w14:textId="77777777" w:rsidR="002641D2" w:rsidRPr="00FA3F9C" w:rsidRDefault="002641D2" w:rsidP="0058193C">
            <w:pPr>
              <w:rPr>
                <w:rFonts w:ascii="Arial" w:hAnsi="Arial" w:cs="Arial"/>
                <w:sz w:val="24"/>
                <w:szCs w:val="24"/>
              </w:rPr>
            </w:pPr>
            <w:r w:rsidRPr="00FA3F9C">
              <w:rPr>
                <w:rFonts w:ascii="Arial" w:hAnsi="Arial" w:cs="Arial"/>
                <w:sz w:val="24"/>
                <w:szCs w:val="24"/>
              </w:rPr>
              <w:t xml:space="preserve">  □ Yes        □ No</w:t>
            </w:r>
          </w:p>
        </w:tc>
      </w:tr>
      <w:tr w:rsidR="002641D2" w:rsidRPr="00FA3F9C" w14:paraId="2B6B15B7" w14:textId="77777777" w:rsidTr="00C52C47">
        <w:tc>
          <w:tcPr>
            <w:tcW w:w="9018" w:type="dxa"/>
            <w:tcBorders>
              <w:right w:val="single" w:sz="4" w:space="0" w:color="auto"/>
            </w:tcBorders>
            <w:shd w:val="clear" w:color="auto" w:fill="E6EED5"/>
          </w:tcPr>
          <w:p w14:paraId="17943E49" w14:textId="77777777" w:rsidR="002641D2" w:rsidRPr="00FA3F9C" w:rsidRDefault="002641D2" w:rsidP="002641D2">
            <w:pPr>
              <w:numPr>
                <w:ilvl w:val="0"/>
                <w:numId w:val="190"/>
              </w:numPr>
              <w:spacing w:after="0" w:line="240" w:lineRule="auto"/>
              <w:rPr>
                <w:rFonts w:ascii="Arial" w:hAnsi="Arial" w:cs="Arial"/>
                <w:b/>
                <w:bCs/>
                <w:sz w:val="24"/>
                <w:szCs w:val="24"/>
              </w:rPr>
            </w:pPr>
            <w:r w:rsidRPr="00FA3F9C">
              <w:rPr>
                <w:rFonts w:ascii="Arial" w:hAnsi="Arial" w:cs="Arial"/>
                <w:bCs/>
                <w:sz w:val="24"/>
                <w:szCs w:val="24"/>
              </w:rPr>
              <w:t xml:space="preserve">The patient’s endogenous serum erythropoietin levels are </w:t>
            </w:r>
            <w:r w:rsidRPr="00FA3F9C">
              <w:rPr>
                <w:rFonts w:ascii="Arial" w:hAnsi="Arial" w:cs="Arial"/>
                <w:b/>
                <w:bCs/>
                <w:sz w:val="24"/>
                <w:szCs w:val="24"/>
                <w:u w:val="single"/>
              </w:rPr>
              <w:t>&lt;</w:t>
            </w:r>
            <w:r w:rsidRPr="00FA3F9C">
              <w:rPr>
                <w:rFonts w:ascii="Arial" w:hAnsi="Arial" w:cs="Arial"/>
                <w:b/>
                <w:bCs/>
                <w:sz w:val="24"/>
                <w:szCs w:val="24"/>
              </w:rPr>
              <w:t xml:space="preserve">500 </w:t>
            </w:r>
            <w:proofErr w:type="spellStart"/>
            <w:r w:rsidRPr="00FA3F9C">
              <w:rPr>
                <w:rFonts w:ascii="Arial" w:hAnsi="Arial" w:cs="Arial"/>
                <w:b/>
                <w:bCs/>
                <w:sz w:val="24"/>
                <w:szCs w:val="24"/>
              </w:rPr>
              <w:t>mUnits</w:t>
            </w:r>
            <w:proofErr w:type="spellEnd"/>
            <w:r w:rsidRPr="00FA3F9C">
              <w:rPr>
                <w:rFonts w:ascii="Arial" w:hAnsi="Arial" w:cs="Arial"/>
                <w:b/>
                <w:bCs/>
                <w:sz w:val="24"/>
                <w:szCs w:val="24"/>
              </w:rPr>
              <w:t>/mL or the patient is transfusion-dependent at baseline</w:t>
            </w:r>
            <w:r w:rsidRPr="00FA3F9C">
              <w:rPr>
                <w:rFonts w:ascii="Arial" w:hAnsi="Arial" w:cs="Arial"/>
                <w:bCs/>
                <w:sz w:val="24"/>
                <w:szCs w:val="24"/>
              </w:rPr>
              <w:t>.</w:t>
            </w:r>
          </w:p>
        </w:tc>
        <w:tc>
          <w:tcPr>
            <w:tcW w:w="1998" w:type="dxa"/>
            <w:tcBorders>
              <w:left w:val="single" w:sz="4" w:space="0" w:color="auto"/>
            </w:tcBorders>
            <w:shd w:val="clear" w:color="auto" w:fill="E6EED5"/>
          </w:tcPr>
          <w:p w14:paraId="2D262520" w14:textId="77777777" w:rsidR="002641D2" w:rsidRPr="00FA3F9C" w:rsidRDefault="002641D2" w:rsidP="0058193C">
            <w:pPr>
              <w:rPr>
                <w:rFonts w:ascii="Arial" w:hAnsi="Arial" w:cs="Arial"/>
                <w:sz w:val="24"/>
                <w:szCs w:val="24"/>
              </w:rPr>
            </w:pPr>
            <w:r w:rsidRPr="00FA3F9C">
              <w:rPr>
                <w:rFonts w:ascii="Arial" w:hAnsi="Arial" w:cs="Arial"/>
                <w:sz w:val="24"/>
                <w:szCs w:val="24"/>
              </w:rPr>
              <w:t xml:space="preserve">  □ Yes        □ No</w:t>
            </w:r>
          </w:p>
        </w:tc>
      </w:tr>
      <w:tr w:rsidR="002641D2" w:rsidRPr="00FA3F9C" w14:paraId="4FEB81E5" w14:textId="77777777" w:rsidTr="00C52C47">
        <w:tc>
          <w:tcPr>
            <w:tcW w:w="9018" w:type="dxa"/>
            <w:tcBorders>
              <w:right w:val="single" w:sz="4" w:space="0" w:color="auto"/>
            </w:tcBorders>
          </w:tcPr>
          <w:p w14:paraId="462CE632" w14:textId="77777777" w:rsidR="002641D2" w:rsidRPr="00FA3F9C" w:rsidRDefault="002641D2" w:rsidP="002641D2">
            <w:pPr>
              <w:numPr>
                <w:ilvl w:val="0"/>
                <w:numId w:val="190"/>
              </w:numPr>
              <w:spacing w:after="0" w:line="240" w:lineRule="auto"/>
              <w:rPr>
                <w:rFonts w:ascii="Arial" w:hAnsi="Arial" w:cs="Arial"/>
                <w:b/>
                <w:bCs/>
                <w:sz w:val="24"/>
                <w:szCs w:val="24"/>
              </w:rPr>
            </w:pPr>
            <w:r w:rsidRPr="00FA3F9C">
              <w:rPr>
                <w:rFonts w:ascii="Arial" w:hAnsi="Arial" w:cs="Arial"/>
                <w:bCs/>
                <w:sz w:val="24"/>
                <w:szCs w:val="24"/>
              </w:rPr>
              <w:t>The clinician has determined the cause of the anemia to be attributable to zidovudine therapy and has performed the appropriate studies to rule out other possible causes of anemia (</w:t>
            </w:r>
            <w:proofErr w:type="gramStart"/>
            <w:r w:rsidRPr="00FA3F9C">
              <w:rPr>
                <w:rFonts w:ascii="Arial" w:hAnsi="Arial" w:cs="Arial"/>
                <w:bCs/>
                <w:sz w:val="24"/>
                <w:szCs w:val="24"/>
              </w:rPr>
              <w:t>e.g.</w:t>
            </w:r>
            <w:proofErr w:type="gramEnd"/>
            <w:r w:rsidRPr="00FA3F9C">
              <w:rPr>
                <w:rFonts w:ascii="Arial" w:hAnsi="Arial" w:cs="Arial"/>
                <w:bCs/>
                <w:sz w:val="24"/>
                <w:szCs w:val="24"/>
              </w:rPr>
              <w:t xml:space="preserve"> iron studies, folate and B</w:t>
            </w:r>
            <w:r w:rsidRPr="00FA3F9C">
              <w:rPr>
                <w:rFonts w:ascii="Arial" w:hAnsi="Arial" w:cs="Arial"/>
                <w:bCs/>
                <w:sz w:val="24"/>
                <w:szCs w:val="24"/>
                <w:vertAlign w:val="subscript"/>
              </w:rPr>
              <w:t>12</w:t>
            </w:r>
            <w:r w:rsidRPr="00FA3F9C">
              <w:rPr>
                <w:rFonts w:ascii="Arial" w:hAnsi="Arial" w:cs="Arial"/>
                <w:bCs/>
                <w:sz w:val="24"/>
                <w:szCs w:val="24"/>
              </w:rPr>
              <w:t xml:space="preserve"> levels, </w:t>
            </w:r>
            <w:proofErr w:type="spellStart"/>
            <w:r w:rsidRPr="00FA3F9C">
              <w:rPr>
                <w:rFonts w:ascii="Arial" w:hAnsi="Arial" w:cs="Arial"/>
                <w:bCs/>
                <w:sz w:val="24"/>
                <w:szCs w:val="24"/>
              </w:rPr>
              <w:t>etc</w:t>
            </w:r>
            <w:proofErr w:type="spellEnd"/>
            <w:r w:rsidRPr="00FA3F9C">
              <w:rPr>
                <w:rFonts w:ascii="Arial" w:hAnsi="Arial" w:cs="Arial"/>
                <w:bCs/>
                <w:sz w:val="24"/>
                <w:szCs w:val="24"/>
              </w:rPr>
              <w:t>).</w:t>
            </w:r>
          </w:p>
        </w:tc>
        <w:tc>
          <w:tcPr>
            <w:tcW w:w="1998" w:type="dxa"/>
            <w:tcBorders>
              <w:left w:val="single" w:sz="4" w:space="0" w:color="auto"/>
            </w:tcBorders>
          </w:tcPr>
          <w:p w14:paraId="4387E867" w14:textId="77777777" w:rsidR="002641D2" w:rsidRPr="00FA3F9C" w:rsidRDefault="002641D2" w:rsidP="0058193C">
            <w:pPr>
              <w:rPr>
                <w:rFonts w:ascii="Arial" w:hAnsi="Arial" w:cs="Arial"/>
                <w:sz w:val="24"/>
                <w:szCs w:val="24"/>
              </w:rPr>
            </w:pPr>
            <w:r w:rsidRPr="00FA3F9C">
              <w:rPr>
                <w:rFonts w:ascii="Arial" w:hAnsi="Arial" w:cs="Arial"/>
                <w:sz w:val="24"/>
                <w:szCs w:val="24"/>
              </w:rPr>
              <w:t xml:space="preserve">  □ Yes        □ No</w:t>
            </w:r>
          </w:p>
        </w:tc>
      </w:tr>
      <w:tr w:rsidR="002641D2" w:rsidRPr="00FA3F9C" w14:paraId="5C165349" w14:textId="77777777" w:rsidTr="00C52C47">
        <w:tc>
          <w:tcPr>
            <w:tcW w:w="9018" w:type="dxa"/>
            <w:tcBorders>
              <w:right w:val="single" w:sz="4" w:space="0" w:color="auto"/>
            </w:tcBorders>
            <w:shd w:val="clear" w:color="auto" w:fill="E6EED5"/>
          </w:tcPr>
          <w:p w14:paraId="18E31D2A" w14:textId="77777777" w:rsidR="002641D2" w:rsidRPr="00FA3F9C" w:rsidRDefault="002641D2" w:rsidP="002641D2">
            <w:pPr>
              <w:numPr>
                <w:ilvl w:val="0"/>
                <w:numId w:val="190"/>
              </w:numPr>
              <w:spacing w:after="0" w:line="240" w:lineRule="auto"/>
              <w:rPr>
                <w:rFonts w:ascii="Arial" w:hAnsi="Arial" w:cs="Arial"/>
                <w:b/>
                <w:bCs/>
                <w:sz w:val="24"/>
                <w:szCs w:val="24"/>
              </w:rPr>
            </w:pPr>
            <w:r w:rsidRPr="00FA3F9C">
              <w:rPr>
                <w:rFonts w:ascii="Arial" w:hAnsi="Arial" w:cs="Arial"/>
                <w:bCs/>
                <w:sz w:val="24"/>
                <w:szCs w:val="24"/>
              </w:rPr>
              <w:t xml:space="preserve">The patient has a hematocrit of 30% or less </w:t>
            </w:r>
          </w:p>
          <w:p w14:paraId="5BE2881B" w14:textId="77777777" w:rsidR="002641D2" w:rsidRPr="00FA3F9C" w:rsidRDefault="002641D2" w:rsidP="00C52C47">
            <w:pPr>
              <w:ind w:left="360"/>
              <w:rPr>
                <w:rFonts w:ascii="Arial" w:hAnsi="Arial" w:cs="Arial"/>
                <w:b/>
                <w:bCs/>
                <w:sz w:val="24"/>
                <w:szCs w:val="24"/>
              </w:rPr>
            </w:pPr>
            <w:r w:rsidRPr="00FA3F9C">
              <w:rPr>
                <w:rFonts w:ascii="Arial" w:hAnsi="Arial" w:cs="Arial"/>
                <w:bCs/>
                <w:sz w:val="24"/>
                <w:szCs w:val="24"/>
              </w:rPr>
              <w:t>OR</w:t>
            </w:r>
          </w:p>
          <w:p w14:paraId="1C8C6853" w14:textId="77777777" w:rsidR="002641D2" w:rsidRPr="00FA3F9C" w:rsidRDefault="002641D2" w:rsidP="00C52C47">
            <w:pPr>
              <w:ind w:left="360"/>
              <w:rPr>
                <w:rFonts w:ascii="Arial" w:hAnsi="Arial" w:cs="Arial"/>
                <w:b/>
                <w:bCs/>
                <w:sz w:val="24"/>
                <w:szCs w:val="24"/>
              </w:rPr>
            </w:pPr>
            <w:r w:rsidRPr="00FA3F9C">
              <w:rPr>
                <w:rFonts w:ascii="Arial" w:hAnsi="Arial" w:cs="Arial"/>
                <w:bCs/>
                <w:sz w:val="24"/>
                <w:szCs w:val="24"/>
              </w:rPr>
              <w:t xml:space="preserve"> has had a decline of 15% or more in hematocrit since initiation of zidovudine therapy.</w:t>
            </w:r>
          </w:p>
        </w:tc>
        <w:tc>
          <w:tcPr>
            <w:tcW w:w="1998" w:type="dxa"/>
            <w:tcBorders>
              <w:left w:val="single" w:sz="4" w:space="0" w:color="auto"/>
            </w:tcBorders>
            <w:shd w:val="clear" w:color="auto" w:fill="E6EED5"/>
          </w:tcPr>
          <w:p w14:paraId="518AFCF0" w14:textId="77777777" w:rsidR="002641D2" w:rsidRPr="00FA3F9C" w:rsidRDefault="002641D2" w:rsidP="0058193C">
            <w:pPr>
              <w:rPr>
                <w:rFonts w:ascii="Arial" w:hAnsi="Arial" w:cs="Arial"/>
                <w:sz w:val="24"/>
                <w:szCs w:val="24"/>
              </w:rPr>
            </w:pPr>
            <w:r w:rsidRPr="00FA3F9C">
              <w:rPr>
                <w:rFonts w:ascii="Arial" w:hAnsi="Arial" w:cs="Arial"/>
                <w:sz w:val="24"/>
                <w:szCs w:val="24"/>
              </w:rPr>
              <w:t xml:space="preserve">  □ Yes        □ No</w:t>
            </w:r>
          </w:p>
        </w:tc>
      </w:tr>
      <w:tr w:rsidR="002641D2" w:rsidRPr="00FA3F9C" w14:paraId="3188FC96" w14:textId="77777777" w:rsidTr="00C52C47">
        <w:tc>
          <w:tcPr>
            <w:tcW w:w="11016" w:type="dxa"/>
            <w:gridSpan w:val="2"/>
            <w:shd w:val="clear" w:color="auto" w:fill="A6A6A6"/>
          </w:tcPr>
          <w:p w14:paraId="5F85F807" w14:textId="77777777" w:rsidR="002641D2" w:rsidRPr="00FA3F9C" w:rsidRDefault="002641D2" w:rsidP="0058193C">
            <w:pPr>
              <w:rPr>
                <w:rFonts w:ascii="Arial" w:hAnsi="Arial" w:cs="Arial"/>
                <w:b/>
                <w:bCs/>
                <w:sz w:val="24"/>
                <w:szCs w:val="24"/>
              </w:rPr>
            </w:pPr>
          </w:p>
        </w:tc>
      </w:tr>
      <w:tr w:rsidR="002641D2" w:rsidRPr="00FA3F9C" w14:paraId="3CB6B472" w14:textId="77777777" w:rsidTr="00C52C47">
        <w:tc>
          <w:tcPr>
            <w:tcW w:w="11016" w:type="dxa"/>
            <w:gridSpan w:val="2"/>
            <w:shd w:val="clear" w:color="auto" w:fill="auto"/>
          </w:tcPr>
          <w:p w14:paraId="6F4ECA60" w14:textId="77777777" w:rsidR="002641D2" w:rsidRPr="00FA3F9C" w:rsidRDefault="002641D2" w:rsidP="00D60810">
            <w:pPr>
              <w:rPr>
                <w:rFonts w:ascii="Arial" w:hAnsi="Arial" w:cs="Arial"/>
                <w:b/>
                <w:bCs/>
                <w:sz w:val="24"/>
                <w:szCs w:val="24"/>
              </w:rPr>
            </w:pPr>
            <w:r w:rsidRPr="00FA3F9C">
              <w:rPr>
                <w:rFonts w:ascii="Arial" w:hAnsi="Arial" w:cs="Arial"/>
                <w:b/>
                <w:bCs/>
                <w:sz w:val="24"/>
                <w:szCs w:val="24"/>
              </w:rPr>
              <w:t xml:space="preserve">If YES was answered to </w:t>
            </w:r>
            <w:proofErr w:type="gramStart"/>
            <w:r w:rsidRPr="00FA3F9C">
              <w:rPr>
                <w:rFonts w:ascii="Arial" w:hAnsi="Arial" w:cs="Arial"/>
                <w:b/>
                <w:bCs/>
                <w:sz w:val="24"/>
                <w:szCs w:val="24"/>
              </w:rPr>
              <w:t>all of</w:t>
            </w:r>
            <w:proofErr w:type="gramEnd"/>
            <w:r w:rsidRPr="00FA3F9C">
              <w:rPr>
                <w:rFonts w:ascii="Arial" w:hAnsi="Arial" w:cs="Arial"/>
                <w:b/>
                <w:bCs/>
                <w:sz w:val="24"/>
                <w:szCs w:val="24"/>
              </w:rPr>
              <w:t xml:space="preserve"> the above, approve.  PA is good for 12 months</w:t>
            </w:r>
            <w:r w:rsidRPr="00FA3F9C">
              <w:rPr>
                <w:rFonts w:ascii="Arial" w:hAnsi="Arial" w:cs="Arial"/>
                <w:bCs/>
                <w:sz w:val="24"/>
                <w:szCs w:val="24"/>
              </w:rPr>
              <w:t xml:space="preserve">.  </w:t>
            </w:r>
            <w:r w:rsidRPr="00FA3F9C">
              <w:rPr>
                <w:rFonts w:ascii="Arial" w:hAnsi="Arial" w:cs="Arial"/>
                <w:b/>
                <w:bCs/>
                <w:color w:val="7F7F7F"/>
                <w:sz w:val="24"/>
                <w:szCs w:val="24"/>
              </w:rPr>
              <w:t>The PA is to allow access to erythropoietic agents for the purpose of preventing blood transfusions in HIV-infected patients with anemia due to myelosuppressive zidovudine therapy.</w:t>
            </w:r>
          </w:p>
        </w:tc>
      </w:tr>
    </w:tbl>
    <w:p w14:paraId="48353EB9" w14:textId="77777777" w:rsidR="002641D2" w:rsidRPr="00FA3F9C" w:rsidRDefault="002641D2" w:rsidP="00173C96">
      <w:pPr>
        <w:rPr>
          <w:rFonts w:ascii="Arial" w:hAnsi="Arial" w:cs="Arial"/>
          <w:i/>
          <w:sz w:val="24"/>
          <w:szCs w:val="24"/>
        </w:rPr>
      </w:pPr>
    </w:p>
    <w:p w14:paraId="3DB419B9" w14:textId="77777777" w:rsidR="002641D2" w:rsidRPr="00FA3F9C" w:rsidRDefault="002641D2" w:rsidP="00173C96">
      <w:pPr>
        <w:rPr>
          <w:rFonts w:ascii="Arial" w:hAnsi="Arial" w:cs="Arial"/>
          <w:sz w:val="24"/>
          <w:szCs w:val="24"/>
        </w:rPr>
      </w:pPr>
      <w:r w:rsidRPr="00FA3F9C">
        <w:rPr>
          <w:rFonts w:ascii="Arial" w:hAnsi="Arial" w:cs="Arial"/>
          <w:sz w:val="24"/>
          <w:szCs w:val="24"/>
        </w:rPr>
        <w:lastRenderedPageBreak/>
        <w:t>References:</w:t>
      </w:r>
    </w:p>
    <w:p w14:paraId="414B91DE" w14:textId="77777777" w:rsidR="002641D2" w:rsidRPr="00FA3F9C" w:rsidRDefault="002641D2" w:rsidP="002641D2">
      <w:pPr>
        <w:numPr>
          <w:ilvl w:val="0"/>
          <w:numId w:val="189"/>
        </w:numPr>
        <w:spacing w:after="0" w:line="240" w:lineRule="auto"/>
        <w:rPr>
          <w:rFonts w:ascii="Arial" w:hAnsi="Arial" w:cs="Arial"/>
          <w:sz w:val="24"/>
          <w:szCs w:val="24"/>
        </w:rPr>
      </w:pPr>
      <w:r w:rsidRPr="00FA3F9C">
        <w:rPr>
          <w:rFonts w:ascii="Arial" w:hAnsi="Arial" w:cs="Arial"/>
          <w:sz w:val="24"/>
          <w:szCs w:val="24"/>
        </w:rPr>
        <w:t>Amgen, Inc. (2012). Epoetin alfa (Epogen</w:t>
      </w:r>
      <w:r w:rsidRPr="00FA3F9C">
        <w:rPr>
          <w:rFonts w:ascii="Arial" w:hAnsi="Arial" w:cs="Arial"/>
          <w:sz w:val="24"/>
          <w:szCs w:val="24"/>
          <w:vertAlign w:val="superscript"/>
        </w:rPr>
        <w:t>®</w:t>
      </w:r>
      <w:r w:rsidRPr="00FA3F9C">
        <w:rPr>
          <w:rFonts w:ascii="Arial" w:hAnsi="Arial" w:cs="Arial"/>
          <w:sz w:val="24"/>
          <w:szCs w:val="24"/>
        </w:rPr>
        <w:t>/Procrit</w:t>
      </w:r>
      <w:r w:rsidRPr="00FA3F9C">
        <w:rPr>
          <w:rFonts w:ascii="Arial" w:hAnsi="Arial" w:cs="Arial"/>
          <w:sz w:val="24"/>
          <w:szCs w:val="24"/>
          <w:vertAlign w:val="superscript"/>
        </w:rPr>
        <w:t>®</w:t>
      </w:r>
      <w:r w:rsidRPr="00FA3F9C">
        <w:rPr>
          <w:rFonts w:ascii="Arial" w:hAnsi="Arial" w:cs="Arial"/>
          <w:sz w:val="24"/>
          <w:szCs w:val="24"/>
        </w:rPr>
        <w:t>) for Injection.  Thousand Oaks, CA: Author</w:t>
      </w:r>
    </w:p>
    <w:p w14:paraId="0B27CC51" w14:textId="77777777" w:rsidR="002641D2" w:rsidRPr="00FA3F9C" w:rsidRDefault="002641D2" w:rsidP="002641D2">
      <w:pPr>
        <w:numPr>
          <w:ilvl w:val="0"/>
          <w:numId w:val="189"/>
        </w:numPr>
        <w:spacing w:after="0" w:line="240" w:lineRule="auto"/>
        <w:rPr>
          <w:rFonts w:ascii="Arial" w:hAnsi="Arial" w:cs="Arial"/>
          <w:sz w:val="24"/>
          <w:szCs w:val="24"/>
        </w:rPr>
      </w:pPr>
      <w:r w:rsidRPr="00FA3F9C">
        <w:rPr>
          <w:rFonts w:ascii="Arial" w:hAnsi="Arial" w:cs="Arial"/>
          <w:sz w:val="24"/>
          <w:szCs w:val="24"/>
        </w:rPr>
        <w:t xml:space="preserve">Henry DH, et al.  Epoetin Alfa for Treatment of Anemia in HIV-Infected Patients. </w:t>
      </w:r>
      <w:r w:rsidRPr="00FA3F9C">
        <w:rPr>
          <w:rFonts w:ascii="Arial" w:hAnsi="Arial" w:cs="Arial"/>
          <w:i/>
          <w:sz w:val="24"/>
          <w:szCs w:val="24"/>
        </w:rPr>
        <w:t xml:space="preserve">J </w:t>
      </w:r>
      <w:proofErr w:type="spellStart"/>
      <w:r w:rsidRPr="00FA3F9C">
        <w:rPr>
          <w:rFonts w:ascii="Arial" w:hAnsi="Arial" w:cs="Arial"/>
          <w:i/>
          <w:sz w:val="24"/>
          <w:szCs w:val="24"/>
        </w:rPr>
        <w:t>Acquir</w:t>
      </w:r>
      <w:proofErr w:type="spellEnd"/>
      <w:r w:rsidRPr="00FA3F9C">
        <w:rPr>
          <w:rFonts w:ascii="Arial" w:hAnsi="Arial" w:cs="Arial"/>
          <w:i/>
          <w:sz w:val="24"/>
          <w:szCs w:val="24"/>
        </w:rPr>
        <w:t xml:space="preserve"> Immune </w:t>
      </w:r>
      <w:proofErr w:type="spellStart"/>
      <w:r w:rsidRPr="00FA3F9C">
        <w:rPr>
          <w:rFonts w:ascii="Arial" w:hAnsi="Arial" w:cs="Arial"/>
          <w:i/>
          <w:sz w:val="24"/>
          <w:szCs w:val="24"/>
        </w:rPr>
        <w:t>Defic</w:t>
      </w:r>
      <w:proofErr w:type="spellEnd"/>
      <w:r w:rsidRPr="00FA3F9C">
        <w:rPr>
          <w:rFonts w:ascii="Arial" w:hAnsi="Arial" w:cs="Arial"/>
          <w:i/>
          <w:sz w:val="24"/>
          <w:szCs w:val="24"/>
        </w:rPr>
        <w:t xml:space="preserve"> </w:t>
      </w:r>
      <w:proofErr w:type="spellStart"/>
      <w:r w:rsidRPr="00FA3F9C">
        <w:rPr>
          <w:rFonts w:ascii="Arial" w:hAnsi="Arial" w:cs="Arial"/>
          <w:i/>
          <w:sz w:val="24"/>
          <w:szCs w:val="24"/>
        </w:rPr>
        <w:t>Syndr</w:t>
      </w:r>
      <w:proofErr w:type="spellEnd"/>
      <w:r w:rsidRPr="00FA3F9C">
        <w:rPr>
          <w:rFonts w:ascii="Arial" w:hAnsi="Arial" w:cs="Arial"/>
          <w:sz w:val="24"/>
          <w:szCs w:val="24"/>
        </w:rPr>
        <w:t>.  2004;37(2):1221-27. (Review)</w:t>
      </w:r>
    </w:p>
    <w:p w14:paraId="10D5EAAA" w14:textId="77777777" w:rsidR="002641D2" w:rsidRPr="00FA3F9C" w:rsidRDefault="002641D2" w:rsidP="002641D2">
      <w:pPr>
        <w:numPr>
          <w:ilvl w:val="0"/>
          <w:numId w:val="189"/>
        </w:numPr>
        <w:spacing w:after="0" w:line="240" w:lineRule="auto"/>
        <w:rPr>
          <w:rFonts w:ascii="Arial" w:hAnsi="Arial" w:cs="Arial"/>
          <w:sz w:val="24"/>
          <w:szCs w:val="24"/>
        </w:rPr>
      </w:pPr>
      <w:r w:rsidRPr="00FA3F9C">
        <w:rPr>
          <w:rFonts w:ascii="Arial" w:hAnsi="Arial" w:cs="Arial"/>
          <w:sz w:val="24"/>
          <w:szCs w:val="24"/>
        </w:rPr>
        <w:t xml:space="preserve">Henry DH, et al.  Recombinant Human Erythropoietin in the Treatment of Anemia Associated with Human Immunodeficiency Virus (HIV) Infection and Zidovudine Therapy. Overview of Four Clinical Trials.  </w:t>
      </w:r>
      <w:r w:rsidRPr="00FA3F9C">
        <w:rPr>
          <w:rFonts w:ascii="Arial" w:hAnsi="Arial" w:cs="Arial"/>
          <w:i/>
          <w:sz w:val="24"/>
          <w:szCs w:val="24"/>
        </w:rPr>
        <w:t>Annals of Internal Medicine.</w:t>
      </w:r>
      <w:r w:rsidRPr="00FA3F9C">
        <w:rPr>
          <w:rFonts w:ascii="Arial" w:hAnsi="Arial" w:cs="Arial"/>
          <w:sz w:val="24"/>
          <w:szCs w:val="24"/>
        </w:rPr>
        <w:t xml:space="preserve">  1992;117:739-48.</w:t>
      </w:r>
    </w:p>
    <w:p w14:paraId="799827D0" w14:textId="77777777" w:rsidR="002641D2" w:rsidRPr="00FA3F9C" w:rsidRDefault="002641D2" w:rsidP="00B92503">
      <w:pPr>
        <w:rPr>
          <w:rFonts w:ascii="Arial" w:hAnsi="Arial" w:cs="Arial"/>
          <w:sz w:val="24"/>
          <w:szCs w:val="24"/>
        </w:rPr>
      </w:pPr>
    </w:p>
    <w:p w14:paraId="5D3C4F45" w14:textId="77777777" w:rsidR="002641D2" w:rsidRPr="00FA3F9C" w:rsidRDefault="002641D2" w:rsidP="00B92503">
      <w:pPr>
        <w:rPr>
          <w:rFonts w:ascii="Arial" w:hAnsi="Arial" w:cs="Arial"/>
          <w:i/>
          <w:sz w:val="24"/>
          <w:szCs w:val="24"/>
        </w:rPr>
      </w:pPr>
      <w:r w:rsidRPr="00FA3F9C">
        <w:rPr>
          <w:rFonts w:ascii="Arial" w:hAnsi="Arial" w:cs="Arial"/>
          <w:i/>
          <w:sz w:val="24"/>
          <w:szCs w:val="24"/>
        </w:rPr>
        <w:t>7/10/12</w:t>
      </w:r>
    </w:p>
    <w:p w14:paraId="6DB9FBE1" w14:textId="77777777" w:rsidR="002641D2" w:rsidRPr="00FA3F9C" w:rsidRDefault="002641D2" w:rsidP="00B92503">
      <w:pPr>
        <w:rPr>
          <w:rFonts w:ascii="Arial" w:hAnsi="Arial" w:cs="Arial"/>
          <w:i/>
          <w:sz w:val="24"/>
          <w:szCs w:val="24"/>
        </w:rPr>
      </w:pPr>
      <w:r w:rsidRPr="00FA3F9C">
        <w:rPr>
          <w:rFonts w:ascii="Arial" w:hAnsi="Arial" w:cs="Arial"/>
          <w:i/>
          <w:sz w:val="24"/>
          <w:szCs w:val="24"/>
        </w:rPr>
        <w:t>Rationale for ESA coverage in anemia in HIV-infected patients due to zidovudine therapy:</w:t>
      </w:r>
    </w:p>
    <w:p w14:paraId="1300E392" w14:textId="77777777" w:rsidR="002641D2" w:rsidRPr="00FA3F9C" w:rsidRDefault="002641D2" w:rsidP="00B92503">
      <w:pPr>
        <w:rPr>
          <w:rFonts w:ascii="Arial" w:hAnsi="Arial" w:cs="Arial"/>
          <w:i/>
          <w:sz w:val="24"/>
          <w:szCs w:val="24"/>
        </w:rPr>
      </w:pPr>
      <w:r w:rsidRPr="00FA3F9C">
        <w:rPr>
          <w:rFonts w:ascii="Arial" w:hAnsi="Arial" w:cs="Arial"/>
          <w:i/>
          <w:sz w:val="24"/>
          <w:szCs w:val="24"/>
        </w:rPr>
        <w:t>In the clinical trials above (Ref 3), patients with baseline EPO level of 500 or less OR were transfusion-dependent were the only ones who experienced decreased transfusion requirement of ~2 in 12 weeks.  Patients falling within the stratifications listed in the criteria above experienced the most benefit from ESA therapy.  The surrogate marker for anemia in these trials was hematocrit ≤ 30% or a drop of ≥ 15% after start of zidovudine therapy.  While not reflected in the PA criteria above, the trials were heavily weighted towards white males:  in the treatment group 141/144 were male, 3/144 were female; and 129/144 were white race, 15/144 were any other race in the treatment arm.  However, it does not logically follow that ESA therapy in non-white females is not beneficial, but merely a reflection of the disease state in the early ‘90s.  Therefore, it would not be prudent to exclude ESA therapy from said population.</w:t>
      </w:r>
    </w:p>
    <w:p w14:paraId="24272332" w14:textId="77777777" w:rsidR="002641D2" w:rsidRPr="00FA3F9C" w:rsidRDefault="002641D2">
      <w:pPr>
        <w:rPr>
          <w:rFonts w:ascii="Arial" w:hAnsi="Arial" w:cs="Arial"/>
          <w:i/>
          <w:sz w:val="24"/>
          <w:szCs w:val="24"/>
        </w:rPr>
      </w:pPr>
      <w:r w:rsidRPr="00FA3F9C">
        <w:rPr>
          <w:rFonts w:ascii="Arial" w:hAnsi="Arial" w:cs="Arial"/>
          <w:i/>
          <w:sz w:val="24"/>
          <w:szCs w:val="24"/>
        </w:rPr>
        <w:br w:type="page"/>
      </w:r>
    </w:p>
    <w:tbl>
      <w:tblPr>
        <w:tblW w:w="0" w:type="auto"/>
        <w:tblBorders>
          <w:top w:val="single" w:sz="8" w:space="0" w:color="F9B074"/>
          <w:left w:val="single" w:sz="8" w:space="0" w:color="F9B074"/>
          <w:bottom w:val="single" w:sz="8" w:space="0" w:color="F9B074"/>
          <w:right w:val="single" w:sz="8" w:space="0" w:color="F9B074"/>
          <w:insideH w:val="single" w:sz="8" w:space="0" w:color="F9B074"/>
        </w:tblBorders>
        <w:tblLook w:val="04A0" w:firstRow="1" w:lastRow="0" w:firstColumn="1" w:lastColumn="0" w:noHBand="0" w:noVBand="1"/>
      </w:tblPr>
      <w:tblGrid>
        <w:gridCol w:w="9018"/>
        <w:gridCol w:w="1998"/>
      </w:tblGrid>
      <w:tr w:rsidR="002641D2" w:rsidRPr="00FA3F9C" w14:paraId="5663C0F7" w14:textId="77777777" w:rsidTr="00C52C47">
        <w:tc>
          <w:tcPr>
            <w:tcW w:w="11016" w:type="dxa"/>
            <w:gridSpan w:val="2"/>
            <w:tcBorders>
              <w:top w:val="single" w:sz="8" w:space="0" w:color="F9B074"/>
              <w:left w:val="single" w:sz="8" w:space="0" w:color="F9B074"/>
              <w:bottom w:val="single" w:sz="8" w:space="0" w:color="F9B074"/>
              <w:right w:val="single" w:sz="8" w:space="0" w:color="F9B074"/>
            </w:tcBorders>
            <w:shd w:val="clear" w:color="auto" w:fill="F79646"/>
          </w:tcPr>
          <w:p w14:paraId="0C7DEFC3" w14:textId="77777777" w:rsidR="002641D2" w:rsidRPr="00FA3F9C" w:rsidRDefault="002641D2" w:rsidP="000A740F">
            <w:pPr>
              <w:rPr>
                <w:rFonts w:ascii="Arial" w:hAnsi="Arial" w:cs="Arial"/>
                <w:b/>
                <w:bCs/>
                <w:color w:val="FFFFFF"/>
                <w:sz w:val="24"/>
                <w:szCs w:val="24"/>
              </w:rPr>
            </w:pPr>
            <w:bookmarkStart w:id="110" w:name="Box4"/>
            <w:r w:rsidRPr="00FA3F9C">
              <w:rPr>
                <w:rFonts w:ascii="Arial" w:hAnsi="Arial" w:cs="Arial"/>
                <w:b/>
                <w:bCs/>
                <w:color w:val="FFFFFF"/>
                <w:sz w:val="24"/>
                <w:szCs w:val="24"/>
              </w:rPr>
              <w:lastRenderedPageBreak/>
              <w:br w:type="page"/>
            </w:r>
            <w:r w:rsidRPr="00FA3F9C">
              <w:rPr>
                <w:rFonts w:ascii="Arial" w:hAnsi="Arial" w:cs="Arial"/>
                <w:b/>
                <w:bCs/>
                <w:color w:val="FFFFFF"/>
                <w:sz w:val="24"/>
                <w:szCs w:val="24"/>
              </w:rPr>
              <w:br w:type="page"/>
              <w:t>BOX 4: Preoperative reduction of allogeneic blood transfusions</w:t>
            </w:r>
          </w:p>
        </w:tc>
      </w:tr>
      <w:bookmarkEnd w:id="110"/>
      <w:tr w:rsidR="002641D2" w:rsidRPr="00FA3F9C" w14:paraId="37E924A5" w14:textId="77777777" w:rsidTr="00C52C47">
        <w:tc>
          <w:tcPr>
            <w:tcW w:w="9018" w:type="dxa"/>
            <w:tcBorders>
              <w:right w:val="single" w:sz="4" w:space="0" w:color="auto"/>
            </w:tcBorders>
            <w:shd w:val="clear" w:color="auto" w:fill="FDE4D0"/>
          </w:tcPr>
          <w:p w14:paraId="4BEE9541" w14:textId="77777777" w:rsidR="002641D2" w:rsidRPr="00FA3F9C" w:rsidRDefault="002641D2" w:rsidP="002641D2">
            <w:pPr>
              <w:numPr>
                <w:ilvl w:val="0"/>
                <w:numId w:val="191"/>
              </w:numPr>
              <w:spacing w:after="0" w:line="240" w:lineRule="auto"/>
              <w:rPr>
                <w:rFonts w:ascii="Arial" w:hAnsi="Arial" w:cs="Arial"/>
                <w:b/>
                <w:bCs/>
                <w:sz w:val="24"/>
                <w:szCs w:val="24"/>
              </w:rPr>
            </w:pPr>
            <w:r w:rsidRPr="00FA3F9C">
              <w:rPr>
                <w:rFonts w:ascii="Arial" w:hAnsi="Arial" w:cs="Arial"/>
                <w:bCs/>
                <w:sz w:val="24"/>
                <w:szCs w:val="24"/>
              </w:rPr>
              <w:t xml:space="preserve">The patient has been scheduled for </w:t>
            </w:r>
            <w:r w:rsidRPr="00FA3F9C">
              <w:rPr>
                <w:rFonts w:ascii="Arial" w:hAnsi="Arial" w:cs="Arial"/>
                <w:bCs/>
                <w:sz w:val="24"/>
                <w:szCs w:val="24"/>
                <w:u w:val="single"/>
              </w:rPr>
              <w:t>elective</w:t>
            </w:r>
            <w:r w:rsidRPr="00FA3F9C">
              <w:rPr>
                <w:rFonts w:ascii="Arial" w:hAnsi="Arial" w:cs="Arial"/>
                <w:bCs/>
                <w:sz w:val="24"/>
                <w:szCs w:val="24"/>
              </w:rPr>
              <w:t xml:space="preserve"> orthopedic hip or knee surgery at </w:t>
            </w:r>
            <w:r w:rsidRPr="00FA3F9C">
              <w:rPr>
                <w:rFonts w:ascii="Arial" w:hAnsi="Arial" w:cs="Arial"/>
                <w:bCs/>
                <w:sz w:val="24"/>
                <w:szCs w:val="24"/>
                <w:u w:val="single"/>
              </w:rPr>
              <w:t>least 10 days in the future</w:t>
            </w:r>
            <w:r w:rsidRPr="00FA3F9C">
              <w:rPr>
                <w:rFonts w:ascii="Arial" w:hAnsi="Arial" w:cs="Arial"/>
                <w:bCs/>
                <w:sz w:val="24"/>
                <w:szCs w:val="24"/>
              </w:rPr>
              <w:t>.</w:t>
            </w:r>
          </w:p>
        </w:tc>
        <w:tc>
          <w:tcPr>
            <w:tcW w:w="1998" w:type="dxa"/>
            <w:tcBorders>
              <w:left w:val="single" w:sz="4" w:space="0" w:color="auto"/>
            </w:tcBorders>
            <w:shd w:val="clear" w:color="auto" w:fill="FDE4D0"/>
          </w:tcPr>
          <w:p w14:paraId="1AE0AA12" w14:textId="77777777" w:rsidR="002641D2" w:rsidRPr="00FA3F9C" w:rsidRDefault="002641D2" w:rsidP="0058193C">
            <w:pPr>
              <w:rPr>
                <w:rFonts w:ascii="Arial" w:hAnsi="Arial" w:cs="Arial"/>
                <w:sz w:val="24"/>
                <w:szCs w:val="24"/>
              </w:rPr>
            </w:pPr>
            <w:r w:rsidRPr="00FA3F9C">
              <w:rPr>
                <w:rFonts w:ascii="Arial" w:hAnsi="Arial" w:cs="Arial"/>
                <w:sz w:val="24"/>
                <w:szCs w:val="24"/>
              </w:rPr>
              <w:t xml:space="preserve">  □ Yes        □ No</w:t>
            </w:r>
          </w:p>
        </w:tc>
      </w:tr>
      <w:tr w:rsidR="002641D2" w:rsidRPr="00FA3F9C" w14:paraId="2BE00A8E" w14:textId="77777777" w:rsidTr="00C52C47">
        <w:tc>
          <w:tcPr>
            <w:tcW w:w="9018" w:type="dxa"/>
            <w:tcBorders>
              <w:right w:val="single" w:sz="4" w:space="0" w:color="auto"/>
            </w:tcBorders>
          </w:tcPr>
          <w:p w14:paraId="062F98F3" w14:textId="77777777" w:rsidR="002641D2" w:rsidRPr="00FA3F9C" w:rsidRDefault="002641D2" w:rsidP="002641D2">
            <w:pPr>
              <w:numPr>
                <w:ilvl w:val="0"/>
                <w:numId w:val="191"/>
              </w:numPr>
              <w:spacing w:after="0" w:line="240" w:lineRule="auto"/>
              <w:rPr>
                <w:rFonts w:ascii="Arial" w:hAnsi="Arial" w:cs="Arial"/>
                <w:b/>
                <w:bCs/>
                <w:sz w:val="24"/>
                <w:szCs w:val="24"/>
              </w:rPr>
            </w:pPr>
            <w:r w:rsidRPr="00FA3F9C">
              <w:rPr>
                <w:rFonts w:ascii="Arial" w:hAnsi="Arial" w:cs="Arial"/>
                <w:bCs/>
                <w:sz w:val="24"/>
                <w:szCs w:val="24"/>
              </w:rPr>
              <w:t>The patient is either unable or unwilling to participate in autologous blood donation.</w:t>
            </w:r>
          </w:p>
        </w:tc>
        <w:tc>
          <w:tcPr>
            <w:tcW w:w="1998" w:type="dxa"/>
            <w:tcBorders>
              <w:left w:val="single" w:sz="4" w:space="0" w:color="auto"/>
            </w:tcBorders>
          </w:tcPr>
          <w:p w14:paraId="6B0B4EEF" w14:textId="77777777" w:rsidR="002641D2" w:rsidRPr="00FA3F9C" w:rsidRDefault="002641D2" w:rsidP="0058193C">
            <w:pPr>
              <w:rPr>
                <w:rFonts w:ascii="Arial" w:hAnsi="Arial" w:cs="Arial"/>
                <w:sz w:val="24"/>
                <w:szCs w:val="24"/>
              </w:rPr>
            </w:pPr>
            <w:r w:rsidRPr="00FA3F9C">
              <w:rPr>
                <w:rFonts w:ascii="Arial" w:hAnsi="Arial" w:cs="Arial"/>
                <w:sz w:val="24"/>
                <w:szCs w:val="24"/>
              </w:rPr>
              <w:t xml:space="preserve">  □ Yes        □ No</w:t>
            </w:r>
          </w:p>
        </w:tc>
      </w:tr>
      <w:tr w:rsidR="002641D2" w:rsidRPr="00FA3F9C" w14:paraId="57CFD393" w14:textId="77777777" w:rsidTr="00C52C47">
        <w:tc>
          <w:tcPr>
            <w:tcW w:w="9018" w:type="dxa"/>
            <w:tcBorders>
              <w:right w:val="single" w:sz="4" w:space="0" w:color="auto"/>
            </w:tcBorders>
            <w:shd w:val="clear" w:color="auto" w:fill="FDE4D0"/>
          </w:tcPr>
          <w:p w14:paraId="4D01BA6F" w14:textId="77777777" w:rsidR="002641D2" w:rsidRPr="00FA3F9C" w:rsidRDefault="002641D2" w:rsidP="002641D2">
            <w:pPr>
              <w:numPr>
                <w:ilvl w:val="0"/>
                <w:numId w:val="191"/>
              </w:numPr>
              <w:spacing w:after="0" w:line="240" w:lineRule="auto"/>
              <w:rPr>
                <w:rFonts w:ascii="Arial" w:hAnsi="Arial" w:cs="Arial"/>
                <w:b/>
                <w:bCs/>
                <w:sz w:val="24"/>
                <w:szCs w:val="24"/>
              </w:rPr>
            </w:pPr>
            <w:r w:rsidRPr="00FA3F9C">
              <w:rPr>
                <w:rFonts w:ascii="Arial" w:hAnsi="Arial" w:cs="Arial"/>
                <w:bCs/>
                <w:sz w:val="24"/>
                <w:szCs w:val="24"/>
              </w:rPr>
              <w:t>The patient is receiving oral iron supplementation.</w:t>
            </w:r>
          </w:p>
        </w:tc>
        <w:tc>
          <w:tcPr>
            <w:tcW w:w="1998" w:type="dxa"/>
            <w:tcBorders>
              <w:left w:val="single" w:sz="4" w:space="0" w:color="auto"/>
            </w:tcBorders>
            <w:shd w:val="clear" w:color="auto" w:fill="FDE4D0"/>
          </w:tcPr>
          <w:p w14:paraId="565A0DCA" w14:textId="77777777" w:rsidR="002641D2" w:rsidRPr="00FA3F9C" w:rsidRDefault="002641D2" w:rsidP="0058193C">
            <w:pPr>
              <w:rPr>
                <w:rFonts w:ascii="Arial" w:hAnsi="Arial" w:cs="Arial"/>
                <w:sz w:val="24"/>
                <w:szCs w:val="24"/>
              </w:rPr>
            </w:pPr>
            <w:r w:rsidRPr="00FA3F9C">
              <w:rPr>
                <w:rFonts w:ascii="Arial" w:hAnsi="Arial" w:cs="Arial"/>
                <w:sz w:val="24"/>
                <w:szCs w:val="24"/>
              </w:rPr>
              <w:t xml:space="preserve">  □ Yes        □ No</w:t>
            </w:r>
          </w:p>
        </w:tc>
      </w:tr>
      <w:tr w:rsidR="002641D2" w:rsidRPr="00FA3F9C" w14:paraId="04A89025" w14:textId="77777777" w:rsidTr="00C52C47">
        <w:tc>
          <w:tcPr>
            <w:tcW w:w="9018" w:type="dxa"/>
            <w:tcBorders>
              <w:right w:val="single" w:sz="4" w:space="0" w:color="auto"/>
            </w:tcBorders>
          </w:tcPr>
          <w:p w14:paraId="5AF49C65" w14:textId="77777777" w:rsidR="002641D2" w:rsidRPr="00FA3F9C" w:rsidRDefault="002641D2" w:rsidP="002641D2">
            <w:pPr>
              <w:numPr>
                <w:ilvl w:val="0"/>
                <w:numId w:val="191"/>
              </w:numPr>
              <w:spacing w:after="0" w:line="240" w:lineRule="auto"/>
              <w:rPr>
                <w:rFonts w:ascii="Arial" w:hAnsi="Arial" w:cs="Arial"/>
                <w:b/>
                <w:bCs/>
                <w:sz w:val="24"/>
                <w:szCs w:val="24"/>
              </w:rPr>
            </w:pPr>
            <w:proofErr w:type="spellStart"/>
            <w:r w:rsidRPr="00FA3F9C">
              <w:rPr>
                <w:rFonts w:ascii="Arial" w:hAnsi="Arial" w:cs="Arial"/>
                <w:bCs/>
                <w:sz w:val="24"/>
                <w:szCs w:val="24"/>
              </w:rPr>
              <w:t>Perisurgical</w:t>
            </w:r>
            <w:proofErr w:type="spellEnd"/>
            <w:r w:rsidRPr="00FA3F9C">
              <w:rPr>
                <w:rFonts w:ascii="Arial" w:hAnsi="Arial" w:cs="Arial"/>
                <w:bCs/>
                <w:sz w:val="24"/>
                <w:szCs w:val="24"/>
              </w:rPr>
              <w:t xml:space="preserve"> deep vein thrombosis prophylaxis will be employed AND postsurgical anticoagulation </w:t>
            </w:r>
            <w:r w:rsidRPr="00FA3F9C">
              <w:rPr>
                <w:rFonts w:ascii="Arial" w:hAnsi="Arial" w:cs="Arial"/>
                <w:b/>
                <w:bCs/>
                <w:sz w:val="24"/>
                <w:szCs w:val="24"/>
              </w:rPr>
              <w:t xml:space="preserve">(VTE prophylaxis) </w:t>
            </w:r>
            <w:r w:rsidRPr="00FA3F9C">
              <w:rPr>
                <w:rFonts w:ascii="Arial" w:hAnsi="Arial" w:cs="Arial"/>
                <w:bCs/>
                <w:sz w:val="24"/>
                <w:szCs w:val="24"/>
              </w:rPr>
              <w:t>is planned</w:t>
            </w:r>
            <w:r w:rsidRPr="00FA3F9C">
              <w:rPr>
                <w:rFonts w:ascii="Arial" w:hAnsi="Arial" w:cs="Arial"/>
                <w:b/>
                <w:bCs/>
                <w:sz w:val="24"/>
                <w:szCs w:val="24"/>
              </w:rPr>
              <w:t>.</w:t>
            </w:r>
          </w:p>
        </w:tc>
        <w:tc>
          <w:tcPr>
            <w:tcW w:w="1998" w:type="dxa"/>
            <w:tcBorders>
              <w:left w:val="single" w:sz="4" w:space="0" w:color="auto"/>
            </w:tcBorders>
          </w:tcPr>
          <w:p w14:paraId="7520C167" w14:textId="77777777" w:rsidR="002641D2" w:rsidRPr="00FA3F9C" w:rsidRDefault="002641D2" w:rsidP="0058193C">
            <w:pPr>
              <w:rPr>
                <w:rFonts w:ascii="Arial" w:hAnsi="Arial" w:cs="Arial"/>
                <w:sz w:val="24"/>
                <w:szCs w:val="24"/>
              </w:rPr>
            </w:pPr>
            <w:r w:rsidRPr="00FA3F9C">
              <w:rPr>
                <w:rFonts w:ascii="Arial" w:hAnsi="Arial" w:cs="Arial"/>
                <w:sz w:val="24"/>
                <w:szCs w:val="24"/>
              </w:rPr>
              <w:t xml:space="preserve">  □ Yes        □ No</w:t>
            </w:r>
          </w:p>
        </w:tc>
      </w:tr>
      <w:tr w:rsidR="002641D2" w:rsidRPr="00FA3F9C" w14:paraId="32908951" w14:textId="77777777" w:rsidTr="00C52C47">
        <w:tc>
          <w:tcPr>
            <w:tcW w:w="11016" w:type="dxa"/>
            <w:gridSpan w:val="2"/>
            <w:shd w:val="clear" w:color="auto" w:fill="A6A6A6"/>
          </w:tcPr>
          <w:p w14:paraId="51AE9B81" w14:textId="77777777" w:rsidR="002641D2" w:rsidRPr="00FA3F9C" w:rsidRDefault="002641D2" w:rsidP="0058193C">
            <w:pPr>
              <w:rPr>
                <w:rFonts w:ascii="Arial" w:hAnsi="Arial" w:cs="Arial"/>
                <w:b/>
                <w:bCs/>
                <w:sz w:val="24"/>
                <w:szCs w:val="24"/>
              </w:rPr>
            </w:pPr>
          </w:p>
        </w:tc>
      </w:tr>
      <w:tr w:rsidR="002641D2" w:rsidRPr="00FA3F9C" w14:paraId="48034041" w14:textId="77777777" w:rsidTr="00C52C47">
        <w:tc>
          <w:tcPr>
            <w:tcW w:w="11016" w:type="dxa"/>
            <w:gridSpan w:val="2"/>
          </w:tcPr>
          <w:p w14:paraId="6DF0C004" w14:textId="77777777" w:rsidR="002641D2" w:rsidRPr="00FA3F9C" w:rsidRDefault="002641D2" w:rsidP="000A740F">
            <w:pPr>
              <w:rPr>
                <w:rFonts w:ascii="Arial" w:hAnsi="Arial" w:cs="Arial"/>
                <w:b/>
                <w:bCs/>
                <w:sz w:val="24"/>
                <w:szCs w:val="24"/>
              </w:rPr>
            </w:pPr>
            <w:r w:rsidRPr="00FA3F9C">
              <w:rPr>
                <w:rFonts w:ascii="Arial" w:hAnsi="Arial" w:cs="Arial"/>
                <w:b/>
                <w:bCs/>
                <w:sz w:val="24"/>
                <w:szCs w:val="24"/>
              </w:rPr>
              <w:t xml:space="preserve">If YES was answered to </w:t>
            </w:r>
            <w:proofErr w:type="gramStart"/>
            <w:r w:rsidRPr="00FA3F9C">
              <w:rPr>
                <w:rFonts w:ascii="Arial" w:hAnsi="Arial" w:cs="Arial"/>
                <w:b/>
                <w:bCs/>
                <w:sz w:val="24"/>
                <w:szCs w:val="24"/>
              </w:rPr>
              <w:t>all of</w:t>
            </w:r>
            <w:proofErr w:type="gramEnd"/>
            <w:r w:rsidRPr="00FA3F9C">
              <w:rPr>
                <w:rFonts w:ascii="Arial" w:hAnsi="Arial" w:cs="Arial"/>
                <w:b/>
                <w:bCs/>
                <w:sz w:val="24"/>
                <w:szCs w:val="24"/>
              </w:rPr>
              <w:t xml:space="preserve"> the above, approve.  PA is good for 1 month</w:t>
            </w:r>
            <w:r w:rsidRPr="00FA3F9C">
              <w:rPr>
                <w:rFonts w:ascii="Arial" w:hAnsi="Arial" w:cs="Arial"/>
                <w:bCs/>
                <w:sz w:val="24"/>
                <w:szCs w:val="24"/>
              </w:rPr>
              <w:t xml:space="preserve">.  </w:t>
            </w:r>
            <w:r w:rsidRPr="00FA3F9C">
              <w:rPr>
                <w:rFonts w:ascii="Arial" w:hAnsi="Arial" w:cs="Arial"/>
                <w:b/>
                <w:bCs/>
                <w:color w:val="7F7F7F"/>
                <w:sz w:val="24"/>
                <w:szCs w:val="24"/>
              </w:rPr>
              <w:t>The PA is to allow access to erythropoietic agents for the purpose of preventing allogeneic blood transfusions in patients undergoing planned, elective orthopedic hip or knee surgery and to whom autologous blood transfusion is unavailable.</w:t>
            </w:r>
          </w:p>
        </w:tc>
      </w:tr>
    </w:tbl>
    <w:p w14:paraId="3FC4DF8B" w14:textId="77777777" w:rsidR="002641D2" w:rsidRPr="00FA3F9C" w:rsidRDefault="002641D2" w:rsidP="00B92503">
      <w:pPr>
        <w:rPr>
          <w:rFonts w:ascii="Arial" w:hAnsi="Arial" w:cs="Arial"/>
          <w:i/>
          <w:sz w:val="24"/>
          <w:szCs w:val="24"/>
        </w:rPr>
      </w:pPr>
    </w:p>
    <w:p w14:paraId="7EC0C0D7" w14:textId="77777777" w:rsidR="002641D2" w:rsidRPr="00FA3F9C" w:rsidRDefault="002641D2" w:rsidP="00B92503">
      <w:pPr>
        <w:rPr>
          <w:rFonts w:ascii="Arial" w:hAnsi="Arial" w:cs="Arial"/>
          <w:sz w:val="24"/>
          <w:szCs w:val="24"/>
        </w:rPr>
      </w:pPr>
      <w:r w:rsidRPr="00FA3F9C">
        <w:rPr>
          <w:rFonts w:ascii="Arial" w:hAnsi="Arial" w:cs="Arial"/>
          <w:sz w:val="24"/>
          <w:szCs w:val="24"/>
        </w:rPr>
        <w:t>References:</w:t>
      </w:r>
    </w:p>
    <w:p w14:paraId="43B30725" w14:textId="77777777" w:rsidR="002641D2" w:rsidRPr="00FA3F9C" w:rsidRDefault="002641D2" w:rsidP="002641D2">
      <w:pPr>
        <w:numPr>
          <w:ilvl w:val="0"/>
          <w:numId w:val="192"/>
        </w:numPr>
        <w:spacing w:after="0" w:line="240" w:lineRule="auto"/>
        <w:rPr>
          <w:rFonts w:ascii="Arial" w:hAnsi="Arial" w:cs="Arial"/>
          <w:sz w:val="24"/>
          <w:szCs w:val="24"/>
        </w:rPr>
      </w:pPr>
      <w:r w:rsidRPr="00FA3F9C">
        <w:rPr>
          <w:rFonts w:ascii="Arial" w:hAnsi="Arial" w:cs="Arial"/>
          <w:sz w:val="24"/>
          <w:szCs w:val="24"/>
        </w:rPr>
        <w:t>Amgen, Inc. (2012). Epoetin alfa (Epogen</w:t>
      </w:r>
      <w:r w:rsidRPr="00FA3F9C">
        <w:rPr>
          <w:rFonts w:ascii="Arial" w:hAnsi="Arial" w:cs="Arial"/>
          <w:sz w:val="24"/>
          <w:szCs w:val="24"/>
          <w:vertAlign w:val="superscript"/>
        </w:rPr>
        <w:t>®</w:t>
      </w:r>
      <w:r w:rsidRPr="00FA3F9C">
        <w:rPr>
          <w:rFonts w:ascii="Arial" w:hAnsi="Arial" w:cs="Arial"/>
          <w:sz w:val="24"/>
          <w:szCs w:val="24"/>
        </w:rPr>
        <w:t>/Procrit</w:t>
      </w:r>
      <w:r w:rsidRPr="00FA3F9C">
        <w:rPr>
          <w:rFonts w:ascii="Arial" w:hAnsi="Arial" w:cs="Arial"/>
          <w:sz w:val="24"/>
          <w:szCs w:val="24"/>
          <w:vertAlign w:val="superscript"/>
        </w:rPr>
        <w:t>®</w:t>
      </w:r>
      <w:r w:rsidRPr="00FA3F9C">
        <w:rPr>
          <w:rFonts w:ascii="Arial" w:hAnsi="Arial" w:cs="Arial"/>
          <w:sz w:val="24"/>
          <w:szCs w:val="24"/>
        </w:rPr>
        <w:t>) for Injection.  Thousand Oaks, CA: Author</w:t>
      </w:r>
    </w:p>
    <w:p w14:paraId="4625E6D7" w14:textId="77777777" w:rsidR="002641D2" w:rsidRPr="00FA3F9C" w:rsidRDefault="002641D2" w:rsidP="002641D2">
      <w:pPr>
        <w:numPr>
          <w:ilvl w:val="0"/>
          <w:numId w:val="192"/>
        </w:numPr>
        <w:spacing w:after="0" w:line="240" w:lineRule="auto"/>
        <w:rPr>
          <w:rFonts w:ascii="Arial" w:hAnsi="Arial" w:cs="Arial"/>
          <w:sz w:val="24"/>
          <w:szCs w:val="24"/>
        </w:rPr>
      </w:pPr>
      <w:r w:rsidRPr="00FA3F9C">
        <w:rPr>
          <w:rFonts w:ascii="Arial" w:hAnsi="Arial" w:cs="Arial"/>
          <w:sz w:val="24"/>
          <w:szCs w:val="24"/>
        </w:rPr>
        <w:t>Epoetin alfa. Clin-</w:t>
      </w:r>
      <w:proofErr w:type="spellStart"/>
      <w:r w:rsidRPr="00FA3F9C">
        <w:rPr>
          <w:rFonts w:ascii="Arial" w:hAnsi="Arial" w:cs="Arial"/>
          <w:i/>
          <w:sz w:val="24"/>
          <w:szCs w:val="24"/>
        </w:rPr>
        <w:t>e</w:t>
      </w:r>
      <w:r w:rsidRPr="00FA3F9C">
        <w:rPr>
          <w:rFonts w:ascii="Arial" w:hAnsi="Arial" w:cs="Arial"/>
          <w:sz w:val="24"/>
          <w:szCs w:val="24"/>
        </w:rPr>
        <w:t>guide</w:t>
      </w:r>
      <w:proofErr w:type="spellEnd"/>
      <w:r w:rsidRPr="00FA3F9C">
        <w:rPr>
          <w:rFonts w:ascii="Arial" w:hAnsi="Arial" w:cs="Arial"/>
          <w:sz w:val="24"/>
          <w:szCs w:val="24"/>
        </w:rPr>
        <w:t>: Facts &amp; Comparisons</w:t>
      </w:r>
      <w:r w:rsidRPr="00FA3F9C">
        <w:rPr>
          <w:rFonts w:ascii="Arial" w:hAnsi="Arial" w:cs="Arial"/>
          <w:sz w:val="24"/>
          <w:szCs w:val="24"/>
          <w:vertAlign w:val="superscript"/>
        </w:rPr>
        <w:t>®</w:t>
      </w:r>
      <w:r w:rsidRPr="00FA3F9C">
        <w:rPr>
          <w:rFonts w:ascii="Arial" w:hAnsi="Arial" w:cs="Arial"/>
          <w:sz w:val="24"/>
          <w:szCs w:val="24"/>
        </w:rPr>
        <w:t xml:space="preserve"> </w:t>
      </w:r>
      <w:proofErr w:type="spellStart"/>
      <w:r w:rsidRPr="00FA3F9C">
        <w:rPr>
          <w:rFonts w:ascii="Arial" w:hAnsi="Arial" w:cs="Arial"/>
          <w:sz w:val="24"/>
          <w:szCs w:val="24"/>
        </w:rPr>
        <w:t>eAnswers</w:t>
      </w:r>
      <w:proofErr w:type="spellEnd"/>
      <w:r w:rsidRPr="00FA3F9C">
        <w:rPr>
          <w:rFonts w:ascii="Arial" w:hAnsi="Arial" w:cs="Arial"/>
          <w:sz w:val="24"/>
          <w:szCs w:val="24"/>
        </w:rPr>
        <w:t xml:space="preserve"> (Accessed 7/10/12)</w:t>
      </w:r>
    </w:p>
    <w:p w14:paraId="37159C20" w14:textId="77777777" w:rsidR="002641D2" w:rsidRPr="00FA3F9C" w:rsidRDefault="002641D2" w:rsidP="002641D2">
      <w:pPr>
        <w:numPr>
          <w:ilvl w:val="0"/>
          <w:numId w:val="192"/>
        </w:numPr>
        <w:spacing w:after="0" w:line="240" w:lineRule="auto"/>
        <w:rPr>
          <w:rFonts w:ascii="Arial" w:hAnsi="Arial" w:cs="Arial"/>
          <w:sz w:val="24"/>
          <w:szCs w:val="24"/>
        </w:rPr>
      </w:pPr>
      <w:r w:rsidRPr="00FA3F9C">
        <w:rPr>
          <w:rFonts w:ascii="Arial" w:hAnsi="Arial" w:cs="Arial"/>
          <w:sz w:val="24"/>
          <w:szCs w:val="24"/>
        </w:rPr>
        <w:t xml:space="preserve">Earnshaw, P.  Blood conservation in </w:t>
      </w:r>
      <w:proofErr w:type="spellStart"/>
      <w:r w:rsidRPr="00FA3F9C">
        <w:rPr>
          <w:rFonts w:ascii="Arial" w:hAnsi="Arial" w:cs="Arial"/>
          <w:sz w:val="24"/>
          <w:szCs w:val="24"/>
        </w:rPr>
        <w:t>orthopaedic</w:t>
      </w:r>
      <w:proofErr w:type="spellEnd"/>
      <w:r w:rsidRPr="00FA3F9C">
        <w:rPr>
          <w:rFonts w:ascii="Arial" w:hAnsi="Arial" w:cs="Arial"/>
          <w:sz w:val="24"/>
          <w:szCs w:val="24"/>
        </w:rPr>
        <w:t xml:space="preserve"> surgery: the role of epoetin alfa.  </w:t>
      </w:r>
      <w:r w:rsidRPr="00FA3F9C">
        <w:rPr>
          <w:rFonts w:ascii="Arial" w:hAnsi="Arial" w:cs="Arial"/>
          <w:i/>
          <w:sz w:val="24"/>
          <w:szCs w:val="24"/>
        </w:rPr>
        <w:t xml:space="preserve">International </w:t>
      </w:r>
      <w:proofErr w:type="spellStart"/>
      <w:r w:rsidRPr="00FA3F9C">
        <w:rPr>
          <w:rFonts w:ascii="Arial" w:hAnsi="Arial" w:cs="Arial"/>
          <w:i/>
          <w:sz w:val="24"/>
          <w:szCs w:val="24"/>
        </w:rPr>
        <w:t>Orthopaedics</w:t>
      </w:r>
      <w:proofErr w:type="spellEnd"/>
      <w:r w:rsidRPr="00FA3F9C">
        <w:rPr>
          <w:rFonts w:ascii="Arial" w:hAnsi="Arial" w:cs="Arial"/>
          <w:i/>
          <w:sz w:val="24"/>
          <w:szCs w:val="24"/>
        </w:rPr>
        <w:t xml:space="preserve">.  </w:t>
      </w:r>
      <w:r w:rsidRPr="00FA3F9C">
        <w:rPr>
          <w:rFonts w:ascii="Arial" w:hAnsi="Arial" w:cs="Arial"/>
          <w:sz w:val="24"/>
          <w:szCs w:val="24"/>
        </w:rPr>
        <w:t>2001;25:273-78</w:t>
      </w:r>
    </w:p>
    <w:p w14:paraId="53133F2E" w14:textId="77777777" w:rsidR="002641D2" w:rsidRPr="00FA3F9C" w:rsidRDefault="002641D2" w:rsidP="008B5D6D">
      <w:pPr>
        <w:rPr>
          <w:rFonts w:ascii="Arial" w:hAnsi="Arial" w:cs="Arial"/>
          <w:sz w:val="24"/>
          <w:szCs w:val="24"/>
        </w:rPr>
      </w:pPr>
    </w:p>
    <w:p w14:paraId="246BB376" w14:textId="77777777" w:rsidR="002641D2" w:rsidRPr="00FA3F9C" w:rsidRDefault="002641D2" w:rsidP="008B5D6D">
      <w:pPr>
        <w:rPr>
          <w:rFonts w:ascii="Arial" w:hAnsi="Arial" w:cs="Arial"/>
          <w:i/>
          <w:sz w:val="24"/>
          <w:szCs w:val="24"/>
        </w:rPr>
      </w:pPr>
      <w:r w:rsidRPr="00FA3F9C">
        <w:rPr>
          <w:rFonts w:ascii="Arial" w:hAnsi="Arial" w:cs="Arial"/>
          <w:i/>
          <w:sz w:val="24"/>
          <w:szCs w:val="24"/>
        </w:rPr>
        <w:t>7/10/12</w:t>
      </w:r>
    </w:p>
    <w:p w14:paraId="52D070FC" w14:textId="77777777" w:rsidR="002641D2" w:rsidRPr="00FA3F9C" w:rsidRDefault="002641D2" w:rsidP="008B5D6D">
      <w:pPr>
        <w:rPr>
          <w:rFonts w:ascii="Arial" w:hAnsi="Arial" w:cs="Arial"/>
          <w:i/>
          <w:sz w:val="24"/>
          <w:szCs w:val="24"/>
        </w:rPr>
      </w:pPr>
      <w:r w:rsidRPr="00FA3F9C">
        <w:rPr>
          <w:rFonts w:ascii="Arial" w:hAnsi="Arial" w:cs="Arial"/>
          <w:i/>
          <w:sz w:val="24"/>
          <w:szCs w:val="24"/>
        </w:rPr>
        <w:t>Rationale for ESA coverage in preoperative reduction of allogeneic blood transfusions:</w:t>
      </w:r>
    </w:p>
    <w:p w14:paraId="218B5974" w14:textId="0CCE9247" w:rsidR="002641D2" w:rsidRPr="00FA3F9C" w:rsidRDefault="002641D2" w:rsidP="000A740F">
      <w:pPr>
        <w:rPr>
          <w:rFonts w:ascii="Arial" w:hAnsi="Arial" w:cs="Arial"/>
          <w:i/>
          <w:sz w:val="24"/>
          <w:szCs w:val="24"/>
        </w:rPr>
      </w:pPr>
      <w:r w:rsidRPr="00FA3F9C">
        <w:rPr>
          <w:rFonts w:ascii="Arial" w:hAnsi="Arial" w:cs="Arial"/>
          <w:i/>
          <w:sz w:val="24"/>
          <w:szCs w:val="24"/>
        </w:rPr>
        <w:lastRenderedPageBreak/>
        <w:t xml:space="preserve">No data are available that compare autologous blood donation to ESA therapy; thus, access to ESA has been limited to those patients who cannot or will not receive blood autologously.  The clinical trials that won FDA-approval utilized ESA 10 days prior to surgery, during surgery, and 4 days after surgery.  All </w:t>
      </w:r>
      <w:proofErr w:type="spellStart"/>
      <w:r w:rsidRPr="00FA3F9C">
        <w:rPr>
          <w:rFonts w:ascii="Arial" w:hAnsi="Arial" w:cs="Arial"/>
          <w:i/>
          <w:sz w:val="24"/>
          <w:szCs w:val="24"/>
        </w:rPr>
        <w:t>sur</w:t>
      </w:r>
      <w:r w:rsidR="00B700AB" w:rsidRPr="00FA3F9C">
        <w:rPr>
          <w:rFonts w:ascii="Arial" w:hAnsi="Arial" w:cs="Arial"/>
          <w:i/>
          <w:sz w:val="24"/>
          <w:szCs w:val="24"/>
        </w:rPr>
        <w:t>GBB</w:t>
      </w:r>
      <w:r w:rsidRPr="00FA3F9C">
        <w:rPr>
          <w:rFonts w:ascii="Arial" w:hAnsi="Arial" w:cs="Arial"/>
          <w:i/>
          <w:sz w:val="24"/>
          <w:szCs w:val="24"/>
        </w:rPr>
        <w:t>es</w:t>
      </w:r>
      <w:proofErr w:type="spellEnd"/>
      <w:r w:rsidRPr="00FA3F9C">
        <w:rPr>
          <w:rFonts w:ascii="Arial" w:hAnsi="Arial" w:cs="Arial"/>
          <w:i/>
          <w:sz w:val="24"/>
          <w:szCs w:val="24"/>
        </w:rPr>
        <w:t xml:space="preserve"> were elective orthopedic hip or knee procedures.  Other types of </w:t>
      </w:r>
      <w:proofErr w:type="spellStart"/>
      <w:r w:rsidRPr="00FA3F9C">
        <w:rPr>
          <w:rFonts w:ascii="Arial" w:hAnsi="Arial" w:cs="Arial"/>
          <w:i/>
          <w:sz w:val="24"/>
          <w:szCs w:val="24"/>
        </w:rPr>
        <w:t>sur</w:t>
      </w:r>
      <w:r w:rsidR="00B700AB" w:rsidRPr="00FA3F9C">
        <w:rPr>
          <w:rFonts w:ascii="Arial" w:hAnsi="Arial" w:cs="Arial"/>
          <w:i/>
          <w:sz w:val="24"/>
          <w:szCs w:val="24"/>
        </w:rPr>
        <w:t>GBB</w:t>
      </w:r>
      <w:r w:rsidRPr="00FA3F9C">
        <w:rPr>
          <w:rFonts w:ascii="Arial" w:hAnsi="Arial" w:cs="Arial"/>
          <w:i/>
          <w:sz w:val="24"/>
          <w:szCs w:val="24"/>
        </w:rPr>
        <w:t>es</w:t>
      </w:r>
      <w:proofErr w:type="spellEnd"/>
      <w:r w:rsidRPr="00FA3F9C">
        <w:rPr>
          <w:rFonts w:ascii="Arial" w:hAnsi="Arial" w:cs="Arial"/>
          <w:i/>
          <w:sz w:val="24"/>
          <w:szCs w:val="24"/>
        </w:rPr>
        <w:t xml:space="preserve"> did not demonstrate effectiveness where ESA therapy was concerned; </w:t>
      </w:r>
      <w:r w:rsidRPr="00FA3F9C">
        <w:rPr>
          <w:rFonts w:ascii="Arial" w:hAnsi="Arial" w:cs="Arial"/>
          <w:b/>
          <w:i/>
          <w:sz w:val="24"/>
          <w:szCs w:val="24"/>
          <w:u w:val="single"/>
        </w:rPr>
        <w:t xml:space="preserve">in some </w:t>
      </w:r>
      <w:proofErr w:type="spellStart"/>
      <w:r w:rsidRPr="00FA3F9C">
        <w:rPr>
          <w:rFonts w:ascii="Arial" w:hAnsi="Arial" w:cs="Arial"/>
          <w:b/>
          <w:i/>
          <w:sz w:val="24"/>
          <w:szCs w:val="24"/>
          <w:u w:val="single"/>
        </w:rPr>
        <w:t>sur</w:t>
      </w:r>
      <w:r w:rsidR="00B700AB" w:rsidRPr="00FA3F9C">
        <w:rPr>
          <w:rFonts w:ascii="Arial" w:hAnsi="Arial" w:cs="Arial"/>
          <w:b/>
          <w:i/>
          <w:sz w:val="24"/>
          <w:szCs w:val="24"/>
          <w:u w:val="single"/>
        </w:rPr>
        <w:t>GBB</w:t>
      </w:r>
      <w:r w:rsidRPr="00FA3F9C">
        <w:rPr>
          <w:rFonts w:ascii="Arial" w:hAnsi="Arial" w:cs="Arial"/>
          <w:b/>
          <w:i/>
          <w:sz w:val="24"/>
          <w:szCs w:val="24"/>
          <w:u w:val="single"/>
        </w:rPr>
        <w:t>es</w:t>
      </w:r>
      <w:proofErr w:type="spellEnd"/>
      <w:r w:rsidRPr="00FA3F9C">
        <w:rPr>
          <w:rFonts w:ascii="Arial" w:hAnsi="Arial" w:cs="Arial"/>
          <w:b/>
          <w:i/>
          <w:sz w:val="24"/>
          <w:szCs w:val="24"/>
          <w:u w:val="single"/>
        </w:rPr>
        <w:t xml:space="preserve"> (such as CABG), ESA therapy was associated with increased mortality</w:t>
      </w:r>
      <w:r w:rsidRPr="00FA3F9C">
        <w:rPr>
          <w:rFonts w:ascii="Arial" w:hAnsi="Arial" w:cs="Arial"/>
          <w:i/>
          <w:sz w:val="24"/>
          <w:szCs w:val="24"/>
        </w:rPr>
        <w:t>.  In all trials, patients on ESA therapy were supplemented with oral iron and were anticoagulated after surgery.  DVT prophylaxis is recommended during ESA therapy.</w:t>
      </w:r>
    </w:p>
    <w:p w14:paraId="79F36BD0" w14:textId="77777777" w:rsidR="002641D2" w:rsidRPr="00FA3F9C" w:rsidRDefault="002641D2" w:rsidP="000A740F">
      <w:pPr>
        <w:rPr>
          <w:rFonts w:ascii="Arial" w:hAnsi="Arial" w:cs="Arial"/>
          <w:i/>
          <w:sz w:val="24"/>
          <w:szCs w:val="24"/>
        </w:rPr>
      </w:pPr>
    </w:p>
    <w:tbl>
      <w:tblPr>
        <w:tblW w:w="0" w:type="auto"/>
        <w:tblBorders>
          <w:top w:val="single" w:sz="8" w:space="0" w:color="CF7B79"/>
          <w:left w:val="single" w:sz="8" w:space="0" w:color="CF7B79"/>
          <w:bottom w:val="single" w:sz="8" w:space="0" w:color="CF7B79"/>
          <w:right w:val="single" w:sz="8" w:space="0" w:color="CF7B79"/>
          <w:insideH w:val="single" w:sz="8" w:space="0" w:color="CF7B79"/>
        </w:tblBorders>
        <w:tblLook w:val="04A0" w:firstRow="1" w:lastRow="0" w:firstColumn="1" w:lastColumn="0" w:noHBand="0" w:noVBand="1"/>
      </w:tblPr>
      <w:tblGrid>
        <w:gridCol w:w="9018"/>
        <w:gridCol w:w="1998"/>
      </w:tblGrid>
      <w:tr w:rsidR="002641D2" w:rsidRPr="00FA3F9C" w14:paraId="51F28754" w14:textId="77777777" w:rsidTr="00523DEB">
        <w:tc>
          <w:tcPr>
            <w:tcW w:w="11016" w:type="dxa"/>
            <w:gridSpan w:val="2"/>
            <w:tcBorders>
              <w:top w:val="single" w:sz="8" w:space="0" w:color="CF7B79"/>
              <w:left w:val="single" w:sz="8" w:space="0" w:color="CF7B79"/>
              <w:bottom w:val="single" w:sz="8" w:space="0" w:color="CF7B79"/>
              <w:right w:val="single" w:sz="8" w:space="0" w:color="CF7B79"/>
            </w:tcBorders>
            <w:shd w:val="clear" w:color="auto" w:fill="C0504D"/>
          </w:tcPr>
          <w:p w14:paraId="0A7BFF01" w14:textId="77777777" w:rsidR="002641D2" w:rsidRPr="00FA3F9C" w:rsidRDefault="002641D2" w:rsidP="00523DEB">
            <w:pPr>
              <w:rPr>
                <w:rFonts w:ascii="Arial" w:hAnsi="Arial" w:cs="Arial"/>
                <w:b/>
                <w:bCs/>
                <w:color w:val="FFFFFF"/>
                <w:sz w:val="24"/>
                <w:szCs w:val="24"/>
              </w:rPr>
            </w:pPr>
            <w:r w:rsidRPr="00FA3F9C">
              <w:rPr>
                <w:rFonts w:ascii="Arial" w:hAnsi="Arial" w:cs="Arial"/>
                <w:b/>
                <w:bCs/>
                <w:color w:val="FFFFFF"/>
                <w:sz w:val="24"/>
                <w:szCs w:val="24"/>
              </w:rPr>
              <w:br w:type="page"/>
            </w:r>
            <w:r w:rsidRPr="00FA3F9C">
              <w:rPr>
                <w:rFonts w:ascii="Arial" w:hAnsi="Arial" w:cs="Arial"/>
                <w:b/>
                <w:bCs/>
                <w:color w:val="FFFFFF"/>
                <w:sz w:val="24"/>
                <w:szCs w:val="24"/>
              </w:rPr>
              <w:br w:type="page"/>
            </w:r>
            <w:bookmarkStart w:id="111" w:name="Box5"/>
            <w:r w:rsidRPr="00FA3F9C">
              <w:rPr>
                <w:rFonts w:ascii="Arial" w:hAnsi="Arial" w:cs="Arial"/>
                <w:b/>
                <w:bCs/>
                <w:color w:val="FFFFFF"/>
                <w:sz w:val="24"/>
                <w:szCs w:val="24"/>
              </w:rPr>
              <w:t xml:space="preserve">BOX </w:t>
            </w:r>
            <w:bookmarkEnd w:id="111"/>
            <w:r w:rsidRPr="00FA3F9C">
              <w:rPr>
                <w:rFonts w:ascii="Arial" w:hAnsi="Arial" w:cs="Arial"/>
                <w:b/>
                <w:bCs/>
                <w:color w:val="FFFFFF"/>
                <w:sz w:val="24"/>
                <w:szCs w:val="24"/>
              </w:rPr>
              <w:t>5: Anemia due to Myelodysplastic Syndrome (MDS)</w:t>
            </w:r>
          </w:p>
        </w:tc>
      </w:tr>
      <w:tr w:rsidR="002641D2" w:rsidRPr="00FA3F9C" w14:paraId="28628030" w14:textId="77777777" w:rsidTr="00523DEB">
        <w:tc>
          <w:tcPr>
            <w:tcW w:w="9018" w:type="dxa"/>
            <w:tcBorders>
              <w:right w:val="single" w:sz="4" w:space="0" w:color="auto"/>
            </w:tcBorders>
            <w:shd w:val="clear" w:color="auto" w:fill="EFD3D2"/>
          </w:tcPr>
          <w:p w14:paraId="603E83AC" w14:textId="77777777" w:rsidR="002641D2" w:rsidRPr="00FA3F9C" w:rsidRDefault="002641D2" w:rsidP="002641D2">
            <w:pPr>
              <w:numPr>
                <w:ilvl w:val="0"/>
                <w:numId w:val="197"/>
              </w:numPr>
              <w:spacing w:after="0" w:line="240" w:lineRule="auto"/>
              <w:rPr>
                <w:rFonts w:ascii="Arial" w:hAnsi="Arial" w:cs="Arial"/>
                <w:b/>
                <w:bCs/>
                <w:sz w:val="24"/>
                <w:szCs w:val="24"/>
              </w:rPr>
            </w:pPr>
            <w:r w:rsidRPr="00FA3F9C">
              <w:rPr>
                <w:rFonts w:ascii="Arial" w:hAnsi="Arial" w:cs="Arial"/>
                <w:bCs/>
                <w:sz w:val="24"/>
                <w:szCs w:val="24"/>
              </w:rPr>
              <w:t xml:space="preserve"> The patient has been diagnosed with myelodysplastic syndrome.</w:t>
            </w:r>
          </w:p>
        </w:tc>
        <w:tc>
          <w:tcPr>
            <w:tcW w:w="1998" w:type="dxa"/>
            <w:tcBorders>
              <w:left w:val="single" w:sz="4" w:space="0" w:color="auto"/>
            </w:tcBorders>
            <w:shd w:val="clear" w:color="auto" w:fill="EFD3D2"/>
          </w:tcPr>
          <w:p w14:paraId="594E3560" w14:textId="77777777" w:rsidR="002641D2" w:rsidRPr="00FA3F9C" w:rsidRDefault="002641D2" w:rsidP="00523DEB">
            <w:pPr>
              <w:rPr>
                <w:rFonts w:ascii="Arial" w:hAnsi="Arial" w:cs="Arial"/>
                <w:sz w:val="24"/>
                <w:szCs w:val="24"/>
              </w:rPr>
            </w:pPr>
            <w:r w:rsidRPr="00FA3F9C">
              <w:rPr>
                <w:rFonts w:ascii="Arial" w:hAnsi="Arial" w:cs="Arial"/>
                <w:sz w:val="24"/>
                <w:szCs w:val="24"/>
              </w:rPr>
              <w:t xml:space="preserve">  □ Yes        □ No</w:t>
            </w:r>
          </w:p>
        </w:tc>
      </w:tr>
      <w:tr w:rsidR="002641D2" w:rsidRPr="00FA3F9C" w14:paraId="30FBFEDE" w14:textId="77777777" w:rsidTr="00523DEB">
        <w:tc>
          <w:tcPr>
            <w:tcW w:w="9018" w:type="dxa"/>
            <w:tcBorders>
              <w:right w:val="single" w:sz="4" w:space="0" w:color="auto"/>
            </w:tcBorders>
          </w:tcPr>
          <w:p w14:paraId="65DC82E2" w14:textId="77777777" w:rsidR="002641D2" w:rsidRPr="00FA3F9C" w:rsidRDefault="002641D2" w:rsidP="002641D2">
            <w:pPr>
              <w:numPr>
                <w:ilvl w:val="0"/>
                <w:numId w:val="197"/>
              </w:numPr>
              <w:spacing w:after="0" w:line="240" w:lineRule="auto"/>
              <w:rPr>
                <w:rFonts w:ascii="Arial" w:hAnsi="Arial" w:cs="Arial"/>
                <w:b/>
                <w:bCs/>
                <w:sz w:val="24"/>
                <w:szCs w:val="24"/>
              </w:rPr>
            </w:pPr>
            <w:r w:rsidRPr="00FA3F9C">
              <w:rPr>
                <w:rFonts w:ascii="Arial" w:hAnsi="Arial" w:cs="Arial"/>
                <w:bCs/>
                <w:sz w:val="24"/>
                <w:szCs w:val="24"/>
              </w:rPr>
              <w:t>The clinician has performed the appropriate studies</w:t>
            </w:r>
            <w:r w:rsidRPr="00FA3F9C">
              <w:rPr>
                <w:rFonts w:ascii="Arial" w:hAnsi="Arial" w:cs="Arial"/>
                <w:b/>
                <w:bCs/>
                <w:sz w:val="24"/>
                <w:szCs w:val="24"/>
                <w:vertAlign w:val="superscript"/>
              </w:rPr>
              <w:t>‡</w:t>
            </w:r>
            <w:r w:rsidRPr="00FA3F9C">
              <w:rPr>
                <w:rFonts w:ascii="Arial" w:hAnsi="Arial" w:cs="Arial"/>
                <w:bCs/>
                <w:sz w:val="24"/>
                <w:szCs w:val="24"/>
              </w:rPr>
              <w:t xml:space="preserve"> to rule out anemia due to other causes.</w:t>
            </w:r>
          </w:p>
        </w:tc>
        <w:tc>
          <w:tcPr>
            <w:tcW w:w="1998" w:type="dxa"/>
            <w:tcBorders>
              <w:left w:val="single" w:sz="4" w:space="0" w:color="auto"/>
            </w:tcBorders>
          </w:tcPr>
          <w:p w14:paraId="579602F3" w14:textId="77777777" w:rsidR="002641D2" w:rsidRPr="00FA3F9C" w:rsidRDefault="002641D2" w:rsidP="00523DEB">
            <w:pPr>
              <w:rPr>
                <w:rFonts w:ascii="Arial" w:hAnsi="Arial" w:cs="Arial"/>
                <w:sz w:val="24"/>
                <w:szCs w:val="24"/>
              </w:rPr>
            </w:pPr>
            <w:r w:rsidRPr="00FA3F9C">
              <w:rPr>
                <w:rFonts w:ascii="Arial" w:hAnsi="Arial" w:cs="Arial"/>
                <w:sz w:val="24"/>
                <w:szCs w:val="24"/>
              </w:rPr>
              <w:t xml:space="preserve">  □ Yes        □ No</w:t>
            </w:r>
          </w:p>
        </w:tc>
      </w:tr>
      <w:tr w:rsidR="002641D2" w:rsidRPr="00FA3F9C" w14:paraId="2555C437" w14:textId="77777777" w:rsidTr="00523DEB">
        <w:tc>
          <w:tcPr>
            <w:tcW w:w="9018" w:type="dxa"/>
            <w:tcBorders>
              <w:right w:val="single" w:sz="4" w:space="0" w:color="auto"/>
            </w:tcBorders>
          </w:tcPr>
          <w:p w14:paraId="4E6D5547" w14:textId="77777777" w:rsidR="002641D2" w:rsidRPr="00FA3F9C" w:rsidRDefault="002641D2" w:rsidP="002641D2">
            <w:pPr>
              <w:numPr>
                <w:ilvl w:val="0"/>
                <w:numId w:val="197"/>
              </w:numPr>
              <w:spacing w:after="0" w:line="240" w:lineRule="auto"/>
              <w:rPr>
                <w:rFonts w:ascii="Arial" w:hAnsi="Arial" w:cs="Arial"/>
                <w:b/>
                <w:bCs/>
                <w:sz w:val="24"/>
                <w:szCs w:val="24"/>
              </w:rPr>
            </w:pPr>
            <w:r w:rsidRPr="00FA3F9C">
              <w:rPr>
                <w:rFonts w:ascii="Arial" w:hAnsi="Arial" w:cs="Arial"/>
                <w:bCs/>
                <w:sz w:val="24"/>
                <w:szCs w:val="24"/>
              </w:rPr>
              <w:t xml:space="preserve">Serum erythropoietin level is </w:t>
            </w:r>
            <w:r w:rsidRPr="00FA3F9C">
              <w:rPr>
                <w:rFonts w:ascii="Arial" w:hAnsi="Arial" w:cs="Arial"/>
                <w:bCs/>
                <w:sz w:val="24"/>
                <w:szCs w:val="24"/>
                <w:u w:val="single"/>
              </w:rPr>
              <w:t>&lt;</w:t>
            </w:r>
            <w:r w:rsidRPr="00FA3F9C">
              <w:rPr>
                <w:rFonts w:ascii="Arial" w:hAnsi="Arial" w:cs="Arial"/>
                <w:bCs/>
                <w:sz w:val="24"/>
                <w:szCs w:val="24"/>
              </w:rPr>
              <w:t>500 units/L</w:t>
            </w:r>
          </w:p>
        </w:tc>
        <w:tc>
          <w:tcPr>
            <w:tcW w:w="1998" w:type="dxa"/>
            <w:tcBorders>
              <w:left w:val="single" w:sz="4" w:space="0" w:color="auto"/>
            </w:tcBorders>
          </w:tcPr>
          <w:p w14:paraId="536D5B56" w14:textId="77777777" w:rsidR="002641D2" w:rsidRPr="00FA3F9C" w:rsidRDefault="002641D2" w:rsidP="00523DEB">
            <w:pPr>
              <w:rPr>
                <w:rFonts w:ascii="Arial" w:hAnsi="Arial" w:cs="Arial"/>
                <w:sz w:val="24"/>
                <w:szCs w:val="24"/>
              </w:rPr>
            </w:pPr>
            <w:r w:rsidRPr="00FA3F9C">
              <w:rPr>
                <w:rFonts w:ascii="Arial" w:hAnsi="Arial" w:cs="Arial"/>
                <w:sz w:val="24"/>
                <w:szCs w:val="24"/>
              </w:rPr>
              <w:t xml:space="preserve">  □ Yes        □ No</w:t>
            </w:r>
          </w:p>
        </w:tc>
      </w:tr>
      <w:tr w:rsidR="002641D2" w:rsidRPr="00FA3F9C" w14:paraId="6F4CBAB8" w14:textId="77777777" w:rsidTr="00523DEB">
        <w:tc>
          <w:tcPr>
            <w:tcW w:w="9018" w:type="dxa"/>
            <w:tcBorders>
              <w:right w:val="single" w:sz="4" w:space="0" w:color="auto"/>
            </w:tcBorders>
            <w:shd w:val="clear" w:color="auto" w:fill="EFD3D2"/>
          </w:tcPr>
          <w:p w14:paraId="665540E1" w14:textId="77777777" w:rsidR="002641D2" w:rsidRPr="00FA3F9C" w:rsidRDefault="002641D2" w:rsidP="002641D2">
            <w:pPr>
              <w:numPr>
                <w:ilvl w:val="0"/>
                <w:numId w:val="197"/>
              </w:numPr>
              <w:spacing w:after="0" w:line="240" w:lineRule="auto"/>
              <w:rPr>
                <w:rFonts w:ascii="Arial" w:hAnsi="Arial" w:cs="Arial"/>
                <w:b/>
                <w:bCs/>
                <w:sz w:val="24"/>
                <w:szCs w:val="24"/>
              </w:rPr>
            </w:pPr>
            <w:r w:rsidRPr="00FA3F9C">
              <w:rPr>
                <w:rFonts w:ascii="Arial" w:hAnsi="Arial" w:cs="Arial"/>
                <w:bCs/>
                <w:sz w:val="24"/>
                <w:szCs w:val="24"/>
              </w:rPr>
              <w:t xml:space="preserve">Request is for Epogen, Procrit, </w:t>
            </w:r>
            <w:proofErr w:type="spellStart"/>
            <w:r w:rsidRPr="00FA3F9C">
              <w:rPr>
                <w:rFonts w:ascii="Arial" w:hAnsi="Arial" w:cs="Arial"/>
                <w:bCs/>
                <w:sz w:val="24"/>
                <w:szCs w:val="24"/>
              </w:rPr>
              <w:t>Retacrit</w:t>
            </w:r>
            <w:proofErr w:type="spellEnd"/>
            <w:r w:rsidRPr="00FA3F9C">
              <w:rPr>
                <w:rFonts w:ascii="Arial" w:hAnsi="Arial" w:cs="Arial"/>
                <w:bCs/>
                <w:sz w:val="24"/>
                <w:szCs w:val="24"/>
              </w:rPr>
              <w:t xml:space="preserve">, or Aranesp [not </w:t>
            </w:r>
            <w:proofErr w:type="spellStart"/>
            <w:r w:rsidRPr="00FA3F9C">
              <w:rPr>
                <w:rFonts w:ascii="Arial" w:hAnsi="Arial" w:cs="Arial"/>
                <w:bCs/>
                <w:sz w:val="24"/>
                <w:szCs w:val="24"/>
              </w:rPr>
              <w:t>Mircera</w:t>
            </w:r>
            <w:proofErr w:type="spellEnd"/>
            <w:r w:rsidRPr="00FA3F9C">
              <w:rPr>
                <w:rFonts w:ascii="Arial" w:hAnsi="Arial" w:cs="Arial"/>
                <w:bCs/>
                <w:sz w:val="24"/>
                <w:szCs w:val="24"/>
              </w:rPr>
              <w:t>].</w:t>
            </w:r>
          </w:p>
        </w:tc>
        <w:tc>
          <w:tcPr>
            <w:tcW w:w="1998" w:type="dxa"/>
            <w:tcBorders>
              <w:left w:val="single" w:sz="4" w:space="0" w:color="auto"/>
            </w:tcBorders>
            <w:shd w:val="clear" w:color="auto" w:fill="EFD3D2"/>
          </w:tcPr>
          <w:p w14:paraId="6FA6DBD7" w14:textId="77777777" w:rsidR="002641D2" w:rsidRPr="00FA3F9C" w:rsidRDefault="002641D2" w:rsidP="00523DEB">
            <w:pPr>
              <w:rPr>
                <w:rFonts w:ascii="Arial" w:hAnsi="Arial" w:cs="Arial"/>
                <w:sz w:val="24"/>
                <w:szCs w:val="24"/>
              </w:rPr>
            </w:pPr>
            <w:r w:rsidRPr="00FA3F9C">
              <w:rPr>
                <w:rFonts w:ascii="Arial" w:hAnsi="Arial" w:cs="Arial"/>
                <w:sz w:val="24"/>
                <w:szCs w:val="24"/>
              </w:rPr>
              <w:t xml:space="preserve">  □ Yes        □ No</w:t>
            </w:r>
          </w:p>
        </w:tc>
      </w:tr>
      <w:tr w:rsidR="002641D2" w:rsidRPr="00FA3F9C" w14:paraId="4900BF37" w14:textId="77777777" w:rsidTr="00523DEB">
        <w:tc>
          <w:tcPr>
            <w:tcW w:w="11016" w:type="dxa"/>
            <w:gridSpan w:val="2"/>
            <w:shd w:val="clear" w:color="auto" w:fill="BFBFBF"/>
          </w:tcPr>
          <w:p w14:paraId="6DA4092C" w14:textId="77777777" w:rsidR="002641D2" w:rsidRPr="00FA3F9C" w:rsidRDefault="002641D2" w:rsidP="00523DEB">
            <w:pPr>
              <w:rPr>
                <w:rFonts w:ascii="Arial" w:hAnsi="Arial" w:cs="Arial"/>
                <w:b/>
                <w:bCs/>
                <w:sz w:val="24"/>
                <w:szCs w:val="24"/>
              </w:rPr>
            </w:pPr>
          </w:p>
        </w:tc>
      </w:tr>
      <w:tr w:rsidR="002641D2" w:rsidRPr="00FA3F9C" w14:paraId="739C132A" w14:textId="77777777" w:rsidTr="00523DEB">
        <w:tc>
          <w:tcPr>
            <w:tcW w:w="11016" w:type="dxa"/>
            <w:gridSpan w:val="2"/>
            <w:shd w:val="clear" w:color="auto" w:fill="FFFFFF"/>
          </w:tcPr>
          <w:p w14:paraId="3CB47FEA" w14:textId="77777777" w:rsidR="002641D2" w:rsidRPr="00FA3F9C" w:rsidRDefault="002641D2" w:rsidP="00523DEB">
            <w:pPr>
              <w:rPr>
                <w:rFonts w:ascii="Arial" w:hAnsi="Arial" w:cs="Arial"/>
                <w:b/>
                <w:bCs/>
                <w:sz w:val="24"/>
                <w:szCs w:val="24"/>
              </w:rPr>
            </w:pPr>
            <w:r w:rsidRPr="00FA3F9C">
              <w:rPr>
                <w:rFonts w:ascii="Arial" w:hAnsi="Arial" w:cs="Arial"/>
                <w:b/>
                <w:bCs/>
                <w:sz w:val="24"/>
                <w:szCs w:val="24"/>
              </w:rPr>
              <w:t xml:space="preserve">If YES was answered to </w:t>
            </w:r>
            <w:proofErr w:type="gramStart"/>
            <w:r w:rsidRPr="00FA3F9C">
              <w:rPr>
                <w:rFonts w:ascii="Arial" w:hAnsi="Arial" w:cs="Arial"/>
                <w:b/>
                <w:bCs/>
                <w:sz w:val="24"/>
                <w:szCs w:val="24"/>
              </w:rPr>
              <w:t>all of</w:t>
            </w:r>
            <w:proofErr w:type="gramEnd"/>
            <w:r w:rsidRPr="00FA3F9C">
              <w:rPr>
                <w:rFonts w:ascii="Arial" w:hAnsi="Arial" w:cs="Arial"/>
                <w:b/>
                <w:bCs/>
                <w:sz w:val="24"/>
                <w:szCs w:val="24"/>
              </w:rPr>
              <w:t xml:space="preserve"> the above, approve.  PA is good for 12 months</w:t>
            </w:r>
            <w:r w:rsidRPr="00FA3F9C">
              <w:rPr>
                <w:rFonts w:ascii="Arial" w:hAnsi="Arial" w:cs="Arial"/>
                <w:bCs/>
                <w:sz w:val="24"/>
                <w:szCs w:val="24"/>
              </w:rPr>
              <w:t xml:space="preserve">.  </w:t>
            </w:r>
            <w:r w:rsidRPr="00FA3F9C">
              <w:rPr>
                <w:rFonts w:ascii="Arial" w:hAnsi="Arial" w:cs="Arial"/>
                <w:b/>
                <w:bCs/>
                <w:color w:val="7F7F7F"/>
                <w:sz w:val="24"/>
                <w:szCs w:val="24"/>
              </w:rPr>
              <w:t>The PA is to allow access to erythropoietic agents for the purpose of reducing blood transfusions in patients with myelodysplastic syndrome.</w:t>
            </w:r>
          </w:p>
        </w:tc>
      </w:tr>
    </w:tbl>
    <w:p w14:paraId="45982652" w14:textId="77777777" w:rsidR="002641D2" w:rsidRPr="00FA3F9C" w:rsidRDefault="002641D2" w:rsidP="000A740F">
      <w:pPr>
        <w:rPr>
          <w:rFonts w:ascii="Arial" w:hAnsi="Arial" w:cs="Arial"/>
          <w:sz w:val="24"/>
          <w:szCs w:val="24"/>
        </w:rPr>
      </w:pPr>
      <w:r w:rsidRPr="00FA3F9C">
        <w:rPr>
          <w:rFonts w:ascii="Arial" w:hAnsi="Arial" w:cs="Arial"/>
          <w:sz w:val="24"/>
          <w:szCs w:val="24"/>
        </w:rPr>
        <w:t>Reference:</w:t>
      </w:r>
    </w:p>
    <w:p w14:paraId="7902FF90" w14:textId="77777777" w:rsidR="002641D2" w:rsidRPr="00FA3F9C" w:rsidRDefault="002641D2" w:rsidP="008B5D6D">
      <w:pPr>
        <w:rPr>
          <w:rFonts w:ascii="Arial" w:hAnsi="Arial" w:cs="Arial"/>
          <w:sz w:val="24"/>
          <w:szCs w:val="24"/>
        </w:rPr>
      </w:pPr>
      <w:r w:rsidRPr="00FA3F9C">
        <w:rPr>
          <w:rFonts w:ascii="Arial" w:hAnsi="Arial" w:cs="Arial"/>
          <w:sz w:val="24"/>
          <w:szCs w:val="24"/>
        </w:rPr>
        <w:t xml:space="preserve">NCCN guidelines for Myelodysplastic Syndrome (version 1.2020). </w:t>
      </w:r>
      <w:hyperlink r:id="rId169" w:history="1">
        <w:r w:rsidRPr="00FA3F9C">
          <w:rPr>
            <w:rStyle w:val="Hyperlink"/>
            <w:rFonts w:ascii="Arial" w:hAnsi="Arial" w:cs="Arial"/>
            <w:sz w:val="24"/>
            <w:szCs w:val="24"/>
          </w:rPr>
          <w:t>https://www.nccn.org/professionals/physician_gls/pdf/mds.pdf</w:t>
        </w:r>
      </w:hyperlink>
      <w:r w:rsidRPr="00FA3F9C">
        <w:rPr>
          <w:rFonts w:ascii="Arial" w:hAnsi="Arial" w:cs="Arial"/>
          <w:sz w:val="24"/>
          <w:szCs w:val="24"/>
        </w:rPr>
        <w:t>. Accessed 9/25/19.</w:t>
      </w:r>
    </w:p>
    <w:p w14:paraId="0313271C" w14:textId="77777777" w:rsidR="002641D2" w:rsidRPr="00FA3F9C" w:rsidRDefault="002641D2" w:rsidP="008B5D6D">
      <w:pPr>
        <w:rPr>
          <w:rFonts w:ascii="Arial" w:hAnsi="Arial" w:cs="Arial"/>
          <w:sz w:val="24"/>
          <w:szCs w:val="24"/>
        </w:rPr>
      </w:pPr>
    </w:p>
    <w:p w14:paraId="10D010F3" w14:textId="77777777" w:rsidR="002641D2" w:rsidRPr="00FA3F9C" w:rsidRDefault="002641D2" w:rsidP="008B5D6D">
      <w:pPr>
        <w:rPr>
          <w:rFonts w:ascii="Arial" w:hAnsi="Arial" w:cs="Arial"/>
          <w:sz w:val="24"/>
          <w:szCs w:val="24"/>
        </w:rPr>
      </w:pPr>
    </w:p>
    <w:p w14:paraId="19270177" w14:textId="77777777" w:rsidR="002641D2" w:rsidRPr="00FA3F9C" w:rsidRDefault="002641D2" w:rsidP="008B5D6D">
      <w:pPr>
        <w:rPr>
          <w:rFonts w:ascii="Arial" w:hAnsi="Arial" w:cs="Arial"/>
          <w:sz w:val="24"/>
          <w:szCs w:val="24"/>
        </w:rPr>
      </w:pPr>
    </w:p>
    <w:p w14:paraId="086FEBC7" w14:textId="77777777" w:rsidR="002641D2" w:rsidRPr="00FA3F9C" w:rsidRDefault="002641D2" w:rsidP="008B5D6D">
      <w:pPr>
        <w:rPr>
          <w:rFonts w:ascii="Arial" w:hAnsi="Arial" w:cs="Arial"/>
          <w:sz w:val="24"/>
          <w:szCs w:val="24"/>
        </w:rPr>
      </w:pPr>
    </w:p>
    <w:p w14:paraId="48B4F7F3" w14:textId="77777777" w:rsidR="002641D2" w:rsidRPr="00FA3F9C" w:rsidRDefault="002641D2" w:rsidP="008B5D6D">
      <w:pPr>
        <w:rPr>
          <w:rFonts w:ascii="Arial" w:hAnsi="Arial" w:cs="Arial"/>
          <w:sz w:val="24"/>
          <w:szCs w:val="24"/>
        </w:rPr>
      </w:pPr>
    </w:p>
    <w:p w14:paraId="61990A21" w14:textId="77777777" w:rsidR="002641D2" w:rsidRPr="00FA3F9C" w:rsidRDefault="002641D2" w:rsidP="008B5D6D">
      <w:pPr>
        <w:rPr>
          <w:rFonts w:ascii="Arial" w:hAnsi="Arial" w:cs="Arial"/>
          <w:sz w:val="24"/>
          <w:szCs w:val="24"/>
        </w:rPr>
      </w:pPr>
    </w:p>
    <w:p w14:paraId="4726808F" w14:textId="77777777" w:rsidR="002641D2" w:rsidRPr="00FA3F9C" w:rsidRDefault="002641D2" w:rsidP="008B5D6D">
      <w:pPr>
        <w:rPr>
          <w:rFonts w:ascii="Arial" w:hAnsi="Arial" w:cs="Arial"/>
          <w:sz w:val="24"/>
          <w:szCs w:val="24"/>
        </w:rPr>
      </w:pPr>
    </w:p>
    <w:p w14:paraId="2B1ECF5C" w14:textId="77777777" w:rsidR="002641D2" w:rsidRPr="00FA3F9C" w:rsidRDefault="002641D2" w:rsidP="008B5D6D">
      <w:pPr>
        <w:rPr>
          <w:rFonts w:ascii="Arial" w:hAnsi="Arial" w:cs="Arial"/>
          <w:sz w:val="24"/>
          <w:szCs w:val="24"/>
        </w:rPr>
      </w:pPr>
    </w:p>
    <w:p w14:paraId="5805B4FE" w14:textId="77777777" w:rsidR="002641D2" w:rsidRPr="00FA3F9C" w:rsidRDefault="002641D2" w:rsidP="008B5D6D">
      <w:pPr>
        <w:rPr>
          <w:rFonts w:ascii="Arial" w:hAnsi="Arial" w:cs="Arial"/>
          <w:sz w:val="24"/>
          <w:szCs w:val="24"/>
        </w:rPr>
      </w:pPr>
    </w:p>
    <w:p w14:paraId="6DFD536E" w14:textId="77777777" w:rsidR="002641D2" w:rsidRPr="00FA3F9C" w:rsidRDefault="002641D2" w:rsidP="008B5D6D">
      <w:pPr>
        <w:rPr>
          <w:rFonts w:ascii="Arial" w:hAnsi="Arial" w:cs="Arial"/>
          <w:i/>
          <w:sz w:val="24"/>
          <w:szCs w:val="24"/>
        </w:rPr>
      </w:pPr>
    </w:p>
    <w:tbl>
      <w:tblPr>
        <w:tblW w:w="0" w:type="auto"/>
        <w:tblBorders>
          <w:top w:val="single" w:sz="8" w:space="0" w:color="78C0D4"/>
          <w:left w:val="single" w:sz="8" w:space="0" w:color="78C0D4"/>
          <w:bottom w:val="single" w:sz="8" w:space="0" w:color="78C0D4"/>
          <w:right w:val="single" w:sz="8" w:space="0" w:color="78C0D4"/>
          <w:insideH w:val="single" w:sz="8" w:space="0" w:color="78C0D4"/>
        </w:tblBorders>
        <w:tblLook w:val="04A0" w:firstRow="1" w:lastRow="0" w:firstColumn="1" w:lastColumn="0" w:noHBand="0" w:noVBand="1"/>
      </w:tblPr>
      <w:tblGrid>
        <w:gridCol w:w="9018"/>
        <w:gridCol w:w="1998"/>
      </w:tblGrid>
      <w:tr w:rsidR="002641D2" w:rsidRPr="00FA3F9C" w14:paraId="228CA8F5" w14:textId="77777777" w:rsidTr="00C52C47">
        <w:tc>
          <w:tcPr>
            <w:tcW w:w="11016" w:type="dxa"/>
            <w:gridSpan w:val="2"/>
            <w:tcBorders>
              <w:top w:val="single" w:sz="8" w:space="0" w:color="78C0D4"/>
              <w:left w:val="single" w:sz="8" w:space="0" w:color="78C0D4"/>
              <w:bottom w:val="single" w:sz="8" w:space="0" w:color="78C0D4"/>
              <w:right w:val="single" w:sz="8" w:space="0" w:color="78C0D4"/>
            </w:tcBorders>
            <w:shd w:val="clear" w:color="auto" w:fill="4BACC6"/>
          </w:tcPr>
          <w:p w14:paraId="2A769707" w14:textId="77777777" w:rsidR="002641D2" w:rsidRPr="00FA3F9C" w:rsidRDefault="002641D2" w:rsidP="000A740F">
            <w:pPr>
              <w:rPr>
                <w:rFonts w:ascii="Arial" w:hAnsi="Arial" w:cs="Arial"/>
                <w:b/>
                <w:bCs/>
                <w:color w:val="FFFFFF"/>
                <w:sz w:val="24"/>
                <w:szCs w:val="24"/>
              </w:rPr>
            </w:pPr>
            <w:bookmarkStart w:id="112" w:name="Box6"/>
            <w:r w:rsidRPr="00FA3F9C">
              <w:rPr>
                <w:rFonts w:ascii="Arial" w:hAnsi="Arial" w:cs="Arial"/>
                <w:b/>
                <w:bCs/>
                <w:color w:val="FFFFFF"/>
                <w:sz w:val="24"/>
                <w:szCs w:val="24"/>
              </w:rPr>
              <w:br w:type="page"/>
            </w:r>
            <w:r w:rsidRPr="00FA3F9C">
              <w:rPr>
                <w:rFonts w:ascii="Arial" w:hAnsi="Arial" w:cs="Arial"/>
                <w:b/>
                <w:bCs/>
                <w:color w:val="FFFFFF"/>
                <w:sz w:val="24"/>
                <w:szCs w:val="24"/>
              </w:rPr>
              <w:br w:type="page"/>
              <w:t>BOX 6: Anemia due to ribavirin therapy (OFF-LABEL)</w:t>
            </w:r>
          </w:p>
        </w:tc>
      </w:tr>
      <w:bookmarkEnd w:id="112"/>
      <w:tr w:rsidR="002641D2" w:rsidRPr="00FA3F9C" w14:paraId="4299706A" w14:textId="77777777" w:rsidTr="00C52C47">
        <w:tc>
          <w:tcPr>
            <w:tcW w:w="9018" w:type="dxa"/>
            <w:tcBorders>
              <w:right w:val="single" w:sz="4" w:space="0" w:color="auto"/>
            </w:tcBorders>
            <w:shd w:val="clear" w:color="auto" w:fill="D2EAF1"/>
          </w:tcPr>
          <w:p w14:paraId="093A8870" w14:textId="77777777" w:rsidR="002641D2" w:rsidRPr="00FA3F9C" w:rsidRDefault="002641D2" w:rsidP="002641D2">
            <w:pPr>
              <w:numPr>
                <w:ilvl w:val="0"/>
                <w:numId w:val="193"/>
              </w:numPr>
              <w:spacing w:after="0" w:line="240" w:lineRule="auto"/>
              <w:rPr>
                <w:rFonts w:ascii="Arial" w:hAnsi="Arial" w:cs="Arial"/>
                <w:b/>
                <w:bCs/>
                <w:sz w:val="24"/>
                <w:szCs w:val="24"/>
              </w:rPr>
            </w:pPr>
            <w:r w:rsidRPr="00FA3F9C">
              <w:rPr>
                <w:rFonts w:ascii="Arial" w:hAnsi="Arial" w:cs="Arial"/>
                <w:bCs/>
                <w:sz w:val="24"/>
                <w:szCs w:val="24"/>
              </w:rPr>
              <w:t>The patient has a confirmed diagnosis of chronic hepatitis C virus (HCV) infection genotype 1</w:t>
            </w:r>
            <w:r w:rsidRPr="00FA3F9C">
              <w:rPr>
                <w:rFonts w:ascii="Arial" w:hAnsi="Arial" w:cs="Arial"/>
                <w:bCs/>
                <w:sz w:val="24"/>
                <w:szCs w:val="24"/>
                <w:vertAlign w:val="superscript"/>
              </w:rPr>
              <w:t>¥</w:t>
            </w:r>
            <w:r w:rsidRPr="00FA3F9C">
              <w:rPr>
                <w:rFonts w:ascii="Arial" w:hAnsi="Arial" w:cs="Arial"/>
                <w:bCs/>
                <w:sz w:val="24"/>
                <w:szCs w:val="24"/>
              </w:rPr>
              <w:t>.</w:t>
            </w:r>
          </w:p>
        </w:tc>
        <w:tc>
          <w:tcPr>
            <w:tcW w:w="1998" w:type="dxa"/>
            <w:tcBorders>
              <w:left w:val="single" w:sz="4" w:space="0" w:color="auto"/>
            </w:tcBorders>
            <w:shd w:val="clear" w:color="auto" w:fill="D2EAF1"/>
          </w:tcPr>
          <w:p w14:paraId="2590E477" w14:textId="77777777" w:rsidR="002641D2" w:rsidRPr="00FA3F9C" w:rsidRDefault="002641D2" w:rsidP="0058193C">
            <w:pPr>
              <w:rPr>
                <w:rFonts w:ascii="Arial" w:hAnsi="Arial" w:cs="Arial"/>
                <w:sz w:val="24"/>
                <w:szCs w:val="24"/>
              </w:rPr>
            </w:pPr>
            <w:r w:rsidRPr="00FA3F9C">
              <w:rPr>
                <w:rFonts w:ascii="Arial" w:hAnsi="Arial" w:cs="Arial"/>
                <w:sz w:val="24"/>
                <w:szCs w:val="24"/>
              </w:rPr>
              <w:t xml:space="preserve">  □ Yes        □ No</w:t>
            </w:r>
          </w:p>
        </w:tc>
      </w:tr>
      <w:tr w:rsidR="002641D2" w:rsidRPr="00FA3F9C" w14:paraId="3C2ED877" w14:textId="77777777" w:rsidTr="00C52C47">
        <w:tc>
          <w:tcPr>
            <w:tcW w:w="9018" w:type="dxa"/>
            <w:tcBorders>
              <w:right w:val="single" w:sz="4" w:space="0" w:color="auto"/>
            </w:tcBorders>
          </w:tcPr>
          <w:p w14:paraId="137A5B6B" w14:textId="77777777" w:rsidR="002641D2" w:rsidRPr="00FA3F9C" w:rsidRDefault="002641D2" w:rsidP="002641D2">
            <w:pPr>
              <w:numPr>
                <w:ilvl w:val="0"/>
                <w:numId w:val="193"/>
              </w:numPr>
              <w:spacing w:after="0" w:line="240" w:lineRule="auto"/>
              <w:rPr>
                <w:rFonts w:ascii="Arial" w:hAnsi="Arial" w:cs="Arial"/>
                <w:b/>
                <w:bCs/>
                <w:sz w:val="24"/>
                <w:szCs w:val="24"/>
              </w:rPr>
            </w:pPr>
            <w:r w:rsidRPr="00FA3F9C">
              <w:rPr>
                <w:rFonts w:ascii="Arial" w:hAnsi="Arial" w:cs="Arial"/>
                <w:bCs/>
                <w:sz w:val="24"/>
                <w:szCs w:val="24"/>
              </w:rPr>
              <w:t>The patient is currently receiving anti-HCV therapy, in accordance with current practice guidelines</w:t>
            </w:r>
            <w:r w:rsidRPr="00FA3F9C">
              <w:rPr>
                <w:rFonts w:ascii="Arial" w:hAnsi="Arial" w:cs="Arial"/>
                <w:b/>
                <w:bCs/>
                <w:sz w:val="24"/>
                <w:szCs w:val="24"/>
              </w:rPr>
              <w:t>.</w:t>
            </w:r>
          </w:p>
        </w:tc>
        <w:tc>
          <w:tcPr>
            <w:tcW w:w="1998" w:type="dxa"/>
            <w:tcBorders>
              <w:left w:val="single" w:sz="4" w:space="0" w:color="auto"/>
            </w:tcBorders>
          </w:tcPr>
          <w:p w14:paraId="5811C13B" w14:textId="77777777" w:rsidR="002641D2" w:rsidRPr="00FA3F9C" w:rsidRDefault="002641D2" w:rsidP="0058193C">
            <w:pPr>
              <w:rPr>
                <w:rFonts w:ascii="Arial" w:hAnsi="Arial" w:cs="Arial"/>
                <w:sz w:val="24"/>
                <w:szCs w:val="24"/>
              </w:rPr>
            </w:pPr>
            <w:r w:rsidRPr="00FA3F9C">
              <w:rPr>
                <w:rFonts w:ascii="Arial" w:hAnsi="Arial" w:cs="Arial"/>
                <w:sz w:val="24"/>
                <w:szCs w:val="24"/>
              </w:rPr>
              <w:t xml:space="preserve">  □ Yes        □ No</w:t>
            </w:r>
          </w:p>
        </w:tc>
      </w:tr>
      <w:tr w:rsidR="002641D2" w:rsidRPr="00FA3F9C" w14:paraId="207A8E9F" w14:textId="77777777" w:rsidTr="00C52C47">
        <w:tc>
          <w:tcPr>
            <w:tcW w:w="9018" w:type="dxa"/>
            <w:tcBorders>
              <w:right w:val="single" w:sz="4" w:space="0" w:color="auto"/>
            </w:tcBorders>
          </w:tcPr>
          <w:p w14:paraId="6C331383" w14:textId="77777777" w:rsidR="002641D2" w:rsidRPr="00FA3F9C" w:rsidRDefault="002641D2" w:rsidP="002641D2">
            <w:pPr>
              <w:numPr>
                <w:ilvl w:val="0"/>
                <w:numId w:val="193"/>
              </w:numPr>
              <w:spacing w:after="0" w:line="240" w:lineRule="auto"/>
              <w:rPr>
                <w:rFonts w:ascii="Arial" w:hAnsi="Arial" w:cs="Arial"/>
                <w:b/>
                <w:bCs/>
                <w:sz w:val="24"/>
                <w:szCs w:val="24"/>
              </w:rPr>
            </w:pPr>
            <w:r w:rsidRPr="00FA3F9C">
              <w:rPr>
                <w:rFonts w:ascii="Arial" w:hAnsi="Arial" w:cs="Arial"/>
                <w:bCs/>
                <w:sz w:val="24"/>
                <w:szCs w:val="24"/>
              </w:rPr>
              <w:t>The patient is at least 18 years of age.</w:t>
            </w:r>
          </w:p>
        </w:tc>
        <w:tc>
          <w:tcPr>
            <w:tcW w:w="1998" w:type="dxa"/>
            <w:tcBorders>
              <w:left w:val="single" w:sz="4" w:space="0" w:color="auto"/>
            </w:tcBorders>
          </w:tcPr>
          <w:p w14:paraId="7E8070F6" w14:textId="77777777" w:rsidR="002641D2" w:rsidRPr="00FA3F9C" w:rsidRDefault="002641D2" w:rsidP="0058193C">
            <w:pPr>
              <w:rPr>
                <w:rFonts w:ascii="Arial" w:hAnsi="Arial" w:cs="Arial"/>
                <w:sz w:val="24"/>
                <w:szCs w:val="24"/>
              </w:rPr>
            </w:pPr>
            <w:r w:rsidRPr="00FA3F9C">
              <w:rPr>
                <w:rFonts w:ascii="Arial" w:hAnsi="Arial" w:cs="Arial"/>
                <w:sz w:val="24"/>
                <w:szCs w:val="24"/>
              </w:rPr>
              <w:t xml:space="preserve">  □ Yes        □ No</w:t>
            </w:r>
          </w:p>
        </w:tc>
      </w:tr>
      <w:tr w:rsidR="002641D2" w:rsidRPr="00FA3F9C" w14:paraId="525D28D9" w14:textId="77777777" w:rsidTr="00C52C47">
        <w:tc>
          <w:tcPr>
            <w:tcW w:w="11016" w:type="dxa"/>
            <w:gridSpan w:val="2"/>
            <w:shd w:val="clear" w:color="auto" w:fill="A6A6A6"/>
          </w:tcPr>
          <w:p w14:paraId="18BE29FA" w14:textId="77777777" w:rsidR="002641D2" w:rsidRPr="00FA3F9C" w:rsidRDefault="002641D2" w:rsidP="0058193C">
            <w:pPr>
              <w:rPr>
                <w:rFonts w:ascii="Arial" w:hAnsi="Arial" w:cs="Arial"/>
                <w:b/>
                <w:bCs/>
                <w:sz w:val="24"/>
                <w:szCs w:val="24"/>
              </w:rPr>
            </w:pPr>
          </w:p>
        </w:tc>
      </w:tr>
      <w:tr w:rsidR="002641D2" w:rsidRPr="00FA3F9C" w14:paraId="7EAFB842" w14:textId="77777777" w:rsidTr="00C52C47">
        <w:tc>
          <w:tcPr>
            <w:tcW w:w="11016" w:type="dxa"/>
            <w:gridSpan w:val="2"/>
            <w:shd w:val="clear" w:color="auto" w:fill="auto"/>
          </w:tcPr>
          <w:p w14:paraId="5AF4DC2E" w14:textId="77777777" w:rsidR="002641D2" w:rsidRPr="00FA3F9C" w:rsidRDefault="002641D2" w:rsidP="000A740F">
            <w:pPr>
              <w:rPr>
                <w:rFonts w:ascii="Arial" w:hAnsi="Arial" w:cs="Arial"/>
                <w:b/>
                <w:bCs/>
                <w:sz w:val="24"/>
                <w:szCs w:val="24"/>
              </w:rPr>
            </w:pPr>
            <w:r w:rsidRPr="00FA3F9C">
              <w:rPr>
                <w:rFonts w:ascii="Arial" w:hAnsi="Arial" w:cs="Arial"/>
                <w:b/>
                <w:bCs/>
                <w:sz w:val="24"/>
                <w:szCs w:val="24"/>
              </w:rPr>
              <w:t xml:space="preserve">If YES was answered to </w:t>
            </w:r>
            <w:proofErr w:type="gramStart"/>
            <w:r w:rsidRPr="00FA3F9C">
              <w:rPr>
                <w:rFonts w:ascii="Arial" w:hAnsi="Arial" w:cs="Arial"/>
                <w:b/>
                <w:bCs/>
                <w:sz w:val="24"/>
                <w:szCs w:val="24"/>
              </w:rPr>
              <w:t>all of</w:t>
            </w:r>
            <w:proofErr w:type="gramEnd"/>
            <w:r w:rsidRPr="00FA3F9C">
              <w:rPr>
                <w:rFonts w:ascii="Arial" w:hAnsi="Arial" w:cs="Arial"/>
                <w:b/>
                <w:bCs/>
                <w:sz w:val="24"/>
                <w:szCs w:val="24"/>
              </w:rPr>
              <w:t xml:space="preserve"> the above, approve.  PA is good for 12 months</w:t>
            </w:r>
            <w:r w:rsidRPr="00FA3F9C">
              <w:rPr>
                <w:rFonts w:ascii="Arial" w:hAnsi="Arial" w:cs="Arial"/>
                <w:bCs/>
                <w:sz w:val="24"/>
                <w:szCs w:val="24"/>
              </w:rPr>
              <w:t xml:space="preserve">.  </w:t>
            </w:r>
            <w:r w:rsidRPr="00FA3F9C">
              <w:rPr>
                <w:rFonts w:ascii="Arial" w:hAnsi="Arial" w:cs="Arial"/>
                <w:b/>
                <w:bCs/>
                <w:color w:val="7F7F7F"/>
                <w:sz w:val="24"/>
                <w:szCs w:val="24"/>
              </w:rPr>
              <w:t>The PA is to allow access to erythropoietic agents for the purpose of improving tolerance to ribavirin therapy, thereby improving compliance to anti-HCV therapy and achieving SVR.</w:t>
            </w:r>
          </w:p>
        </w:tc>
      </w:tr>
    </w:tbl>
    <w:p w14:paraId="363CBD3B" w14:textId="77777777" w:rsidR="002641D2" w:rsidRPr="00FA3F9C" w:rsidRDefault="002641D2" w:rsidP="008B5D6D">
      <w:pPr>
        <w:rPr>
          <w:rFonts w:ascii="Arial" w:hAnsi="Arial" w:cs="Arial"/>
          <w:sz w:val="24"/>
          <w:szCs w:val="24"/>
        </w:rPr>
      </w:pPr>
      <w:r w:rsidRPr="00FA3F9C">
        <w:rPr>
          <w:rFonts w:ascii="Arial" w:hAnsi="Arial" w:cs="Arial"/>
          <w:bCs/>
          <w:sz w:val="24"/>
          <w:szCs w:val="24"/>
          <w:vertAlign w:val="superscript"/>
        </w:rPr>
        <w:t>¥</w:t>
      </w:r>
      <w:r w:rsidRPr="00FA3F9C">
        <w:rPr>
          <w:rFonts w:ascii="Arial" w:hAnsi="Arial" w:cs="Arial"/>
          <w:bCs/>
          <w:sz w:val="24"/>
          <w:szCs w:val="24"/>
        </w:rPr>
        <w:t>Studied patients were diagnosed with chronic HCV genotype</w:t>
      </w:r>
      <w:r w:rsidRPr="00FA3F9C">
        <w:rPr>
          <w:rFonts w:ascii="Arial" w:hAnsi="Arial" w:cs="Arial"/>
          <w:bCs/>
          <w:sz w:val="24"/>
          <w:szCs w:val="24"/>
          <w:vertAlign w:val="superscript"/>
        </w:rPr>
        <w:t xml:space="preserve"> </w:t>
      </w:r>
      <w:r w:rsidRPr="00FA3F9C">
        <w:rPr>
          <w:rFonts w:ascii="Arial" w:hAnsi="Arial" w:cs="Arial"/>
          <w:sz w:val="24"/>
          <w:szCs w:val="24"/>
        </w:rPr>
        <w:t>1b.</w:t>
      </w:r>
    </w:p>
    <w:p w14:paraId="533440A5" w14:textId="77777777" w:rsidR="002641D2" w:rsidRPr="00FA3F9C" w:rsidRDefault="002641D2" w:rsidP="008B5D6D">
      <w:pPr>
        <w:rPr>
          <w:rFonts w:ascii="Arial" w:hAnsi="Arial" w:cs="Arial"/>
          <w:sz w:val="24"/>
          <w:szCs w:val="24"/>
        </w:rPr>
      </w:pPr>
      <w:r w:rsidRPr="00FA3F9C">
        <w:rPr>
          <w:rFonts w:ascii="Arial" w:hAnsi="Arial" w:cs="Arial"/>
          <w:sz w:val="24"/>
          <w:szCs w:val="24"/>
        </w:rPr>
        <w:t>References:</w:t>
      </w:r>
    </w:p>
    <w:p w14:paraId="16A0ED55" w14:textId="77777777" w:rsidR="002641D2" w:rsidRPr="00FA3F9C" w:rsidRDefault="002641D2" w:rsidP="002641D2">
      <w:pPr>
        <w:numPr>
          <w:ilvl w:val="0"/>
          <w:numId w:val="194"/>
        </w:numPr>
        <w:spacing w:after="0" w:line="240" w:lineRule="auto"/>
        <w:rPr>
          <w:rFonts w:ascii="Arial" w:hAnsi="Arial" w:cs="Arial"/>
          <w:sz w:val="24"/>
          <w:szCs w:val="24"/>
        </w:rPr>
      </w:pPr>
      <w:r w:rsidRPr="00FA3F9C">
        <w:rPr>
          <w:rFonts w:ascii="Arial" w:hAnsi="Arial" w:cs="Arial"/>
          <w:sz w:val="24"/>
          <w:szCs w:val="24"/>
        </w:rPr>
        <w:lastRenderedPageBreak/>
        <w:t>Epoetin alfa. Clin-</w:t>
      </w:r>
      <w:proofErr w:type="spellStart"/>
      <w:r w:rsidRPr="00FA3F9C">
        <w:rPr>
          <w:rFonts w:ascii="Arial" w:hAnsi="Arial" w:cs="Arial"/>
          <w:i/>
          <w:sz w:val="24"/>
          <w:szCs w:val="24"/>
        </w:rPr>
        <w:t>e</w:t>
      </w:r>
      <w:r w:rsidRPr="00FA3F9C">
        <w:rPr>
          <w:rFonts w:ascii="Arial" w:hAnsi="Arial" w:cs="Arial"/>
          <w:sz w:val="24"/>
          <w:szCs w:val="24"/>
        </w:rPr>
        <w:t>guide</w:t>
      </w:r>
      <w:proofErr w:type="spellEnd"/>
      <w:r w:rsidRPr="00FA3F9C">
        <w:rPr>
          <w:rFonts w:ascii="Arial" w:hAnsi="Arial" w:cs="Arial"/>
          <w:sz w:val="24"/>
          <w:szCs w:val="24"/>
        </w:rPr>
        <w:t>: Facts &amp; Comparisons</w:t>
      </w:r>
      <w:r w:rsidRPr="00FA3F9C">
        <w:rPr>
          <w:rFonts w:ascii="Arial" w:hAnsi="Arial" w:cs="Arial"/>
          <w:sz w:val="24"/>
          <w:szCs w:val="24"/>
          <w:vertAlign w:val="superscript"/>
        </w:rPr>
        <w:t>®</w:t>
      </w:r>
      <w:r w:rsidRPr="00FA3F9C">
        <w:rPr>
          <w:rFonts w:ascii="Arial" w:hAnsi="Arial" w:cs="Arial"/>
          <w:sz w:val="24"/>
          <w:szCs w:val="24"/>
        </w:rPr>
        <w:t xml:space="preserve"> </w:t>
      </w:r>
      <w:proofErr w:type="spellStart"/>
      <w:r w:rsidRPr="00FA3F9C">
        <w:rPr>
          <w:rFonts w:ascii="Arial" w:hAnsi="Arial" w:cs="Arial"/>
          <w:sz w:val="24"/>
          <w:szCs w:val="24"/>
        </w:rPr>
        <w:t>eAnswers</w:t>
      </w:r>
      <w:proofErr w:type="spellEnd"/>
      <w:r w:rsidRPr="00FA3F9C">
        <w:rPr>
          <w:rFonts w:ascii="Arial" w:hAnsi="Arial" w:cs="Arial"/>
          <w:sz w:val="24"/>
          <w:szCs w:val="24"/>
        </w:rPr>
        <w:t xml:space="preserve"> (Accessed 7/10/12)</w:t>
      </w:r>
    </w:p>
    <w:p w14:paraId="36BDA53B" w14:textId="77777777" w:rsidR="002641D2" w:rsidRPr="00FA3F9C" w:rsidRDefault="002641D2" w:rsidP="002641D2">
      <w:pPr>
        <w:numPr>
          <w:ilvl w:val="0"/>
          <w:numId w:val="194"/>
        </w:numPr>
        <w:spacing w:after="0" w:line="240" w:lineRule="auto"/>
        <w:rPr>
          <w:rFonts w:ascii="Arial" w:hAnsi="Arial" w:cs="Arial"/>
          <w:sz w:val="24"/>
          <w:szCs w:val="24"/>
        </w:rPr>
      </w:pPr>
      <w:r w:rsidRPr="00FA3F9C">
        <w:rPr>
          <w:rFonts w:ascii="Arial" w:hAnsi="Arial" w:cs="Arial"/>
          <w:sz w:val="24"/>
          <w:szCs w:val="24"/>
        </w:rPr>
        <w:t xml:space="preserve">Gaetano B, et al.  Epoetin alpha improves the response to antiviral treatment in HCV-related chronic hepatitis.  </w:t>
      </w:r>
      <w:proofErr w:type="spellStart"/>
      <w:r w:rsidRPr="00FA3F9C">
        <w:rPr>
          <w:rFonts w:ascii="Arial" w:hAnsi="Arial" w:cs="Arial"/>
          <w:sz w:val="24"/>
          <w:szCs w:val="24"/>
        </w:rPr>
        <w:t>Eur</w:t>
      </w:r>
      <w:proofErr w:type="spellEnd"/>
      <w:r w:rsidRPr="00FA3F9C">
        <w:rPr>
          <w:rFonts w:ascii="Arial" w:hAnsi="Arial" w:cs="Arial"/>
          <w:sz w:val="24"/>
          <w:szCs w:val="24"/>
        </w:rPr>
        <w:t xml:space="preserve"> J Clin </w:t>
      </w:r>
      <w:proofErr w:type="spellStart"/>
      <w:r w:rsidRPr="00FA3F9C">
        <w:rPr>
          <w:rFonts w:ascii="Arial" w:hAnsi="Arial" w:cs="Arial"/>
          <w:sz w:val="24"/>
          <w:szCs w:val="24"/>
        </w:rPr>
        <w:t>Pharmacol</w:t>
      </w:r>
      <w:proofErr w:type="spellEnd"/>
      <w:r w:rsidRPr="00FA3F9C">
        <w:rPr>
          <w:rFonts w:ascii="Arial" w:hAnsi="Arial" w:cs="Arial"/>
          <w:i/>
          <w:sz w:val="24"/>
          <w:szCs w:val="24"/>
        </w:rPr>
        <w:t>.</w:t>
      </w:r>
      <w:r w:rsidRPr="00FA3F9C">
        <w:rPr>
          <w:rFonts w:ascii="Arial" w:hAnsi="Arial" w:cs="Arial"/>
          <w:sz w:val="24"/>
          <w:szCs w:val="24"/>
        </w:rPr>
        <w:t xml:space="preserve">  2010;66:1055-1063.</w:t>
      </w:r>
    </w:p>
    <w:p w14:paraId="247889A0" w14:textId="77777777" w:rsidR="002641D2" w:rsidRPr="00FA3F9C" w:rsidRDefault="002641D2" w:rsidP="002641D2">
      <w:pPr>
        <w:numPr>
          <w:ilvl w:val="0"/>
          <w:numId w:val="194"/>
        </w:numPr>
        <w:autoSpaceDE w:val="0"/>
        <w:autoSpaceDN w:val="0"/>
        <w:adjustRightInd w:val="0"/>
        <w:spacing w:after="0" w:line="240" w:lineRule="auto"/>
        <w:rPr>
          <w:rFonts w:ascii="Arial" w:hAnsi="Arial" w:cs="Arial"/>
          <w:sz w:val="24"/>
          <w:szCs w:val="24"/>
        </w:rPr>
      </w:pPr>
      <w:proofErr w:type="spellStart"/>
      <w:r w:rsidRPr="00FA3F9C">
        <w:rPr>
          <w:rFonts w:ascii="Arial" w:hAnsi="Arial" w:cs="Arial"/>
          <w:sz w:val="24"/>
          <w:szCs w:val="24"/>
        </w:rPr>
        <w:t>Ghany</w:t>
      </w:r>
      <w:proofErr w:type="spellEnd"/>
      <w:r w:rsidRPr="00FA3F9C">
        <w:rPr>
          <w:rFonts w:ascii="Arial" w:hAnsi="Arial" w:cs="Arial"/>
          <w:sz w:val="24"/>
          <w:szCs w:val="24"/>
        </w:rPr>
        <w:t xml:space="preserve"> MG, Nelson Dr, Strader DB, Thomas DL, et al.  </w:t>
      </w:r>
      <w:r w:rsidRPr="00FA3F9C">
        <w:rPr>
          <w:rFonts w:ascii="Arial" w:hAnsi="Arial" w:cs="Arial"/>
          <w:color w:val="231F20"/>
          <w:sz w:val="24"/>
          <w:szCs w:val="24"/>
        </w:rPr>
        <w:t xml:space="preserve">An Update on Treatment of Genotype 1 Chronic Hepatitis C Virus Infection: 2011 Practice Guideline by the American Association for the Study of Liver Diseases:  AASLD PRACTICE GUIDELINE </w:t>
      </w:r>
      <w:r w:rsidRPr="00FA3F9C">
        <w:rPr>
          <w:rFonts w:ascii="Arial" w:eastAsia="AdvAGaramond-R" w:hAnsi="Arial" w:cs="Arial"/>
          <w:color w:val="3A3535"/>
          <w:sz w:val="24"/>
          <w:szCs w:val="24"/>
        </w:rPr>
        <w:t>HEPATOLOGY. 2011; Vol. 54, No. 4:1433-1444.</w:t>
      </w:r>
    </w:p>
    <w:p w14:paraId="3F4473A6" w14:textId="77777777" w:rsidR="002641D2" w:rsidRPr="00FA3F9C" w:rsidRDefault="002641D2" w:rsidP="00C42C5A">
      <w:pPr>
        <w:rPr>
          <w:rFonts w:ascii="Arial" w:hAnsi="Arial" w:cs="Arial"/>
          <w:sz w:val="24"/>
          <w:szCs w:val="24"/>
        </w:rPr>
      </w:pPr>
    </w:p>
    <w:p w14:paraId="40158DCF" w14:textId="77777777" w:rsidR="002641D2" w:rsidRPr="00FA3F9C" w:rsidRDefault="002641D2" w:rsidP="00C42C5A">
      <w:pPr>
        <w:rPr>
          <w:rFonts w:ascii="Arial" w:hAnsi="Arial" w:cs="Arial"/>
          <w:i/>
          <w:sz w:val="24"/>
          <w:szCs w:val="24"/>
        </w:rPr>
      </w:pPr>
      <w:r w:rsidRPr="00FA3F9C">
        <w:rPr>
          <w:rFonts w:ascii="Arial" w:hAnsi="Arial" w:cs="Arial"/>
          <w:i/>
          <w:sz w:val="24"/>
          <w:szCs w:val="24"/>
        </w:rPr>
        <w:t>7/10/12</w:t>
      </w:r>
    </w:p>
    <w:p w14:paraId="15EE0443" w14:textId="77777777" w:rsidR="002641D2" w:rsidRPr="00FA3F9C" w:rsidRDefault="002641D2" w:rsidP="00C42C5A">
      <w:pPr>
        <w:rPr>
          <w:rFonts w:ascii="Arial" w:hAnsi="Arial" w:cs="Arial"/>
          <w:i/>
          <w:sz w:val="24"/>
          <w:szCs w:val="24"/>
        </w:rPr>
      </w:pPr>
      <w:r w:rsidRPr="00FA3F9C">
        <w:rPr>
          <w:rFonts w:ascii="Arial" w:hAnsi="Arial" w:cs="Arial"/>
          <w:i/>
          <w:sz w:val="24"/>
          <w:szCs w:val="24"/>
        </w:rPr>
        <w:t>Rational for ESA coverage in HCV-infected patients with chronic hepatitis treated with ribavirin:</w:t>
      </w:r>
    </w:p>
    <w:p w14:paraId="67262B72" w14:textId="77777777" w:rsidR="002641D2" w:rsidRPr="00FA3F9C" w:rsidRDefault="002641D2" w:rsidP="006F0C7C">
      <w:pPr>
        <w:rPr>
          <w:rFonts w:ascii="Arial" w:hAnsi="Arial" w:cs="Arial"/>
          <w:i/>
          <w:sz w:val="24"/>
          <w:szCs w:val="24"/>
        </w:rPr>
      </w:pPr>
      <w:r w:rsidRPr="00FA3F9C">
        <w:rPr>
          <w:rFonts w:ascii="Arial" w:hAnsi="Arial" w:cs="Arial"/>
          <w:i/>
          <w:sz w:val="24"/>
          <w:szCs w:val="24"/>
        </w:rPr>
        <w:t>The study (Ref 2 above) was very limiting on the inclusion of its participants; thus, the PA criteria have been designed to reflect that.  In the study, patients were not given ESA therapy until after the 12</w:t>
      </w:r>
      <w:r w:rsidRPr="00FA3F9C">
        <w:rPr>
          <w:rFonts w:ascii="Arial" w:hAnsi="Arial" w:cs="Arial"/>
          <w:i/>
          <w:sz w:val="24"/>
          <w:szCs w:val="24"/>
          <w:vertAlign w:val="superscript"/>
        </w:rPr>
        <w:t>th</w:t>
      </w:r>
      <w:r w:rsidRPr="00FA3F9C">
        <w:rPr>
          <w:rFonts w:ascii="Arial" w:hAnsi="Arial" w:cs="Arial"/>
          <w:i/>
          <w:sz w:val="24"/>
          <w:szCs w:val="24"/>
        </w:rPr>
        <w:t xml:space="preserve"> week of HCV therapy, and patients deemed as </w:t>
      </w:r>
      <w:proofErr w:type="spellStart"/>
      <w:r w:rsidRPr="00FA3F9C">
        <w:rPr>
          <w:rFonts w:ascii="Arial" w:hAnsi="Arial" w:cs="Arial"/>
          <w:i/>
          <w:sz w:val="24"/>
          <w:szCs w:val="24"/>
        </w:rPr>
        <w:t>nonresponders</w:t>
      </w:r>
      <w:proofErr w:type="spellEnd"/>
      <w:r w:rsidRPr="00FA3F9C">
        <w:rPr>
          <w:rFonts w:ascii="Arial" w:hAnsi="Arial" w:cs="Arial"/>
          <w:i/>
          <w:sz w:val="24"/>
          <w:szCs w:val="24"/>
        </w:rPr>
        <w:t xml:space="preserve"> were excluded from the study at that point.  The patients also had to demonstrate signs and symptoms of chronic hepatitis.  Only epoetin alfa has been studied in this population.</w:t>
      </w:r>
    </w:p>
    <w:p w14:paraId="3E5D9B97" w14:textId="77777777" w:rsidR="002641D2" w:rsidRPr="00FA3F9C" w:rsidRDefault="002641D2" w:rsidP="006F0C7C">
      <w:pPr>
        <w:rPr>
          <w:rFonts w:ascii="Arial" w:hAnsi="Arial" w:cs="Arial"/>
          <w:sz w:val="24"/>
          <w:szCs w:val="24"/>
        </w:rPr>
      </w:pPr>
    </w:p>
    <w:p w14:paraId="2826CE44" w14:textId="77777777" w:rsidR="002641D2" w:rsidRPr="00FA3F9C" w:rsidRDefault="002641D2" w:rsidP="00C42C5A">
      <w:pPr>
        <w:rPr>
          <w:rFonts w:ascii="Arial" w:hAnsi="Arial" w:cs="Arial"/>
          <w:i/>
          <w:sz w:val="24"/>
          <w:szCs w:val="24"/>
        </w:rPr>
      </w:pPr>
    </w:p>
    <w:p w14:paraId="73C3DB72" w14:textId="77777777" w:rsidR="002641D2" w:rsidRPr="00FA3F9C" w:rsidRDefault="002641D2" w:rsidP="00C42C5A">
      <w:pPr>
        <w:rPr>
          <w:rFonts w:ascii="Arial" w:hAnsi="Arial" w:cs="Arial"/>
          <w:i/>
          <w:sz w:val="24"/>
          <w:szCs w:val="24"/>
        </w:rPr>
      </w:pPr>
    </w:p>
    <w:p w14:paraId="3BC68EF6" w14:textId="77777777" w:rsidR="002641D2" w:rsidRPr="00FA3F9C" w:rsidRDefault="002641D2" w:rsidP="00C42C5A">
      <w:pPr>
        <w:rPr>
          <w:rFonts w:ascii="Arial" w:hAnsi="Arial" w:cs="Arial"/>
          <w:i/>
          <w:sz w:val="24"/>
          <w:szCs w:val="24"/>
        </w:rPr>
      </w:pPr>
    </w:p>
    <w:p w14:paraId="4B675898" w14:textId="77777777" w:rsidR="002641D2" w:rsidRPr="00FA3F9C" w:rsidRDefault="002641D2" w:rsidP="00C42C5A">
      <w:pPr>
        <w:rPr>
          <w:rFonts w:ascii="Arial" w:hAnsi="Arial" w:cs="Arial"/>
          <w:b/>
          <w:sz w:val="24"/>
          <w:szCs w:val="24"/>
        </w:rPr>
      </w:pPr>
      <w:r w:rsidRPr="00FA3F9C">
        <w:rPr>
          <w:rFonts w:ascii="Arial" w:hAnsi="Arial" w:cs="Arial"/>
          <w:b/>
          <w:sz w:val="24"/>
          <w:szCs w:val="24"/>
        </w:rPr>
        <w:t>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7110"/>
        <w:gridCol w:w="2718"/>
      </w:tblGrid>
      <w:tr w:rsidR="002641D2" w:rsidRPr="00FA3F9C" w14:paraId="685A8A0D" w14:textId="77777777" w:rsidTr="001C5FE6">
        <w:tc>
          <w:tcPr>
            <w:tcW w:w="1188" w:type="dxa"/>
          </w:tcPr>
          <w:p w14:paraId="56BEA844" w14:textId="77777777" w:rsidR="002641D2" w:rsidRPr="00FA3F9C" w:rsidRDefault="002641D2" w:rsidP="00C42C5A">
            <w:pPr>
              <w:rPr>
                <w:rFonts w:ascii="Arial" w:hAnsi="Arial" w:cs="Arial"/>
                <w:b/>
                <w:sz w:val="24"/>
                <w:szCs w:val="24"/>
              </w:rPr>
            </w:pPr>
            <w:r w:rsidRPr="00FA3F9C">
              <w:rPr>
                <w:rFonts w:ascii="Arial" w:hAnsi="Arial" w:cs="Arial"/>
                <w:b/>
                <w:sz w:val="24"/>
                <w:szCs w:val="24"/>
              </w:rPr>
              <w:t>Date</w:t>
            </w:r>
          </w:p>
        </w:tc>
        <w:tc>
          <w:tcPr>
            <w:tcW w:w="7110" w:type="dxa"/>
          </w:tcPr>
          <w:p w14:paraId="6B4A2BDE" w14:textId="77777777" w:rsidR="002641D2" w:rsidRPr="00FA3F9C" w:rsidRDefault="002641D2" w:rsidP="00C42C5A">
            <w:pPr>
              <w:rPr>
                <w:rFonts w:ascii="Arial" w:hAnsi="Arial" w:cs="Arial"/>
                <w:b/>
                <w:sz w:val="24"/>
                <w:szCs w:val="24"/>
              </w:rPr>
            </w:pPr>
            <w:r w:rsidRPr="00FA3F9C">
              <w:rPr>
                <w:rFonts w:ascii="Arial" w:hAnsi="Arial" w:cs="Arial"/>
                <w:b/>
                <w:sz w:val="24"/>
                <w:szCs w:val="24"/>
              </w:rPr>
              <w:t>Changes</w:t>
            </w:r>
          </w:p>
        </w:tc>
        <w:tc>
          <w:tcPr>
            <w:tcW w:w="2718" w:type="dxa"/>
          </w:tcPr>
          <w:p w14:paraId="1781C475" w14:textId="77777777" w:rsidR="002641D2" w:rsidRPr="00FA3F9C" w:rsidRDefault="002641D2" w:rsidP="00C42C5A">
            <w:pPr>
              <w:rPr>
                <w:rFonts w:ascii="Arial" w:hAnsi="Arial" w:cs="Arial"/>
                <w:b/>
                <w:sz w:val="24"/>
                <w:szCs w:val="24"/>
              </w:rPr>
            </w:pPr>
            <w:r w:rsidRPr="00FA3F9C">
              <w:rPr>
                <w:rFonts w:ascii="Arial" w:hAnsi="Arial" w:cs="Arial"/>
                <w:b/>
                <w:sz w:val="24"/>
                <w:szCs w:val="24"/>
              </w:rPr>
              <w:t>Pharmacist</w:t>
            </w:r>
          </w:p>
        </w:tc>
      </w:tr>
      <w:tr w:rsidR="002641D2" w:rsidRPr="00FA3F9C" w14:paraId="3CBF5BE6" w14:textId="77777777" w:rsidTr="001C5FE6">
        <w:tc>
          <w:tcPr>
            <w:tcW w:w="1188" w:type="dxa"/>
          </w:tcPr>
          <w:p w14:paraId="746F14D9" w14:textId="77777777" w:rsidR="002641D2" w:rsidRPr="00FA3F9C" w:rsidRDefault="002641D2" w:rsidP="0058193C">
            <w:pPr>
              <w:rPr>
                <w:rFonts w:ascii="Arial" w:hAnsi="Arial" w:cs="Arial"/>
                <w:sz w:val="24"/>
                <w:szCs w:val="24"/>
              </w:rPr>
            </w:pPr>
            <w:r w:rsidRPr="00FA3F9C">
              <w:rPr>
                <w:rFonts w:ascii="Arial" w:hAnsi="Arial" w:cs="Arial"/>
                <w:sz w:val="24"/>
                <w:szCs w:val="24"/>
              </w:rPr>
              <w:t>7/10/12</w:t>
            </w:r>
          </w:p>
        </w:tc>
        <w:tc>
          <w:tcPr>
            <w:tcW w:w="7110" w:type="dxa"/>
          </w:tcPr>
          <w:p w14:paraId="647FB9E6" w14:textId="77777777" w:rsidR="002641D2" w:rsidRPr="00FA3F9C" w:rsidRDefault="002641D2" w:rsidP="0058193C">
            <w:pPr>
              <w:rPr>
                <w:rFonts w:ascii="Arial" w:hAnsi="Arial" w:cs="Arial"/>
                <w:sz w:val="24"/>
                <w:szCs w:val="24"/>
              </w:rPr>
            </w:pPr>
            <w:r w:rsidRPr="00FA3F9C">
              <w:rPr>
                <w:rFonts w:ascii="Arial" w:hAnsi="Arial" w:cs="Arial"/>
                <w:sz w:val="24"/>
                <w:szCs w:val="24"/>
              </w:rPr>
              <w:t>Created criteria</w:t>
            </w:r>
          </w:p>
        </w:tc>
        <w:tc>
          <w:tcPr>
            <w:tcW w:w="2718" w:type="dxa"/>
          </w:tcPr>
          <w:p w14:paraId="130B8A25" w14:textId="77777777" w:rsidR="002641D2" w:rsidRPr="00FA3F9C" w:rsidRDefault="002641D2" w:rsidP="0058193C">
            <w:pPr>
              <w:rPr>
                <w:rFonts w:ascii="Arial" w:hAnsi="Arial" w:cs="Arial"/>
                <w:sz w:val="24"/>
                <w:szCs w:val="24"/>
              </w:rPr>
            </w:pPr>
            <w:proofErr w:type="spellStart"/>
            <w:r w:rsidRPr="00FA3F9C">
              <w:rPr>
                <w:rFonts w:ascii="Arial" w:hAnsi="Arial" w:cs="Arial"/>
                <w:sz w:val="24"/>
                <w:szCs w:val="24"/>
              </w:rPr>
              <w:t>JLBrazeal</w:t>
            </w:r>
            <w:proofErr w:type="spellEnd"/>
          </w:p>
        </w:tc>
      </w:tr>
      <w:tr w:rsidR="002641D2" w:rsidRPr="00FA3F9C" w14:paraId="17589DD5" w14:textId="77777777" w:rsidTr="001C5FE6">
        <w:tc>
          <w:tcPr>
            <w:tcW w:w="1188" w:type="dxa"/>
          </w:tcPr>
          <w:p w14:paraId="143551B6" w14:textId="77777777" w:rsidR="002641D2" w:rsidRPr="00FA3F9C" w:rsidRDefault="002641D2" w:rsidP="0058193C">
            <w:pPr>
              <w:rPr>
                <w:rFonts w:ascii="Arial" w:hAnsi="Arial" w:cs="Arial"/>
                <w:sz w:val="24"/>
                <w:szCs w:val="24"/>
              </w:rPr>
            </w:pPr>
            <w:r w:rsidRPr="00FA3F9C">
              <w:rPr>
                <w:rFonts w:ascii="Arial" w:hAnsi="Arial" w:cs="Arial"/>
                <w:sz w:val="24"/>
                <w:szCs w:val="24"/>
              </w:rPr>
              <w:t>7/31/12</w:t>
            </w:r>
          </w:p>
        </w:tc>
        <w:tc>
          <w:tcPr>
            <w:tcW w:w="7110" w:type="dxa"/>
          </w:tcPr>
          <w:p w14:paraId="5C8C6DB6" w14:textId="77777777" w:rsidR="002641D2" w:rsidRPr="00FA3F9C" w:rsidRDefault="002641D2" w:rsidP="0058193C">
            <w:pPr>
              <w:rPr>
                <w:rFonts w:ascii="Arial" w:hAnsi="Arial" w:cs="Arial"/>
                <w:sz w:val="24"/>
                <w:szCs w:val="24"/>
              </w:rPr>
            </w:pPr>
            <w:r w:rsidRPr="00FA3F9C">
              <w:rPr>
                <w:rFonts w:ascii="Arial" w:hAnsi="Arial" w:cs="Arial"/>
                <w:sz w:val="24"/>
                <w:szCs w:val="24"/>
              </w:rPr>
              <w:t>Made changes the committee voted on.</w:t>
            </w:r>
          </w:p>
        </w:tc>
        <w:tc>
          <w:tcPr>
            <w:tcW w:w="2718" w:type="dxa"/>
          </w:tcPr>
          <w:p w14:paraId="1259BA9C" w14:textId="5B114320" w:rsidR="002641D2" w:rsidRPr="00FA3F9C" w:rsidRDefault="005C142D" w:rsidP="0058193C">
            <w:pPr>
              <w:rPr>
                <w:rFonts w:ascii="Arial" w:hAnsi="Arial" w:cs="Arial"/>
                <w:sz w:val="24"/>
                <w:szCs w:val="24"/>
              </w:rPr>
            </w:pPr>
            <w:r w:rsidRPr="00FA3F9C">
              <w:rPr>
                <w:rFonts w:ascii="Arial" w:hAnsi="Arial" w:cs="Arial"/>
                <w:sz w:val="24"/>
                <w:szCs w:val="24"/>
              </w:rPr>
              <w:t>JJ</w:t>
            </w:r>
          </w:p>
        </w:tc>
      </w:tr>
      <w:tr w:rsidR="002641D2" w:rsidRPr="00FA3F9C" w14:paraId="628FDBC3" w14:textId="77777777" w:rsidTr="001C5FE6">
        <w:tc>
          <w:tcPr>
            <w:tcW w:w="1188" w:type="dxa"/>
          </w:tcPr>
          <w:p w14:paraId="3DABBFD5" w14:textId="77777777" w:rsidR="002641D2" w:rsidRPr="00FA3F9C" w:rsidRDefault="002641D2" w:rsidP="0058193C">
            <w:pPr>
              <w:rPr>
                <w:rFonts w:ascii="Arial" w:hAnsi="Arial" w:cs="Arial"/>
                <w:sz w:val="24"/>
                <w:szCs w:val="24"/>
              </w:rPr>
            </w:pPr>
            <w:r w:rsidRPr="00FA3F9C">
              <w:rPr>
                <w:rFonts w:ascii="Arial" w:hAnsi="Arial" w:cs="Arial"/>
                <w:sz w:val="24"/>
                <w:szCs w:val="24"/>
              </w:rPr>
              <w:t>7/25/18</w:t>
            </w:r>
          </w:p>
        </w:tc>
        <w:tc>
          <w:tcPr>
            <w:tcW w:w="7110" w:type="dxa"/>
          </w:tcPr>
          <w:p w14:paraId="00EB24DA" w14:textId="77777777" w:rsidR="002641D2" w:rsidRPr="00FA3F9C" w:rsidRDefault="002641D2" w:rsidP="0046328F">
            <w:pPr>
              <w:rPr>
                <w:rFonts w:ascii="Arial" w:hAnsi="Arial" w:cs="Arial"/>
                <w:sz w:val="24"/>
                <w:szCs w:val="24"/>
              </w:rPr>
            </w:pPr>
            <w:r w:rsidRPr="00FA3F9C">
              <w:rPr>
                <w:rFonts w:ascii="Arial" w:hAnsi="Arial" w:cs="Arial"/>
                <w:sz w:val="24"/>
                <w:szCs w:val="24"/>
              </w:rPr>
              <w:t xml:space="preserve">Added </w:t>
            </w:r>
            <w:proofErr w:type="spellStart"/>
            <w:r w:rsidRPr="00FA3F9C">
              <w:rPr>
                <w:rFonts w:ascii="Arial" w:hAnsi="Arial" w:cs="Arial"/>
                <w:sz w:val="24"/>
                <w:szCs w:val="24"/>
              </w:rPr>
              <w:t>Retacrit</w:t>
            </w:r>
            <w:proofErr w:type="spellEnd"/>
            <w:r w:rsidRPr="00FA3F9C">
              <w:rPr>
                <w:rFonts w:ascii="Arial" w:hAnsi="Arial" w:cs="Arial"/>
                <w:sz w:val="24"/>
                <w:szCs w:val="24"/>
              </w:rPr>
              <w:t xml:space="preserve"> to drug list (epoetin alfa), biosimilar to Epogen, Procrit</w:t>
            </w:r>
          </w:p>
        </w:tc>
        <w:tc>
          <w:tcPr>
            <w:tcW w:w="2718" w:type="dxa"/>
          </w:tcPr>
          <w:p w14:paraId="57F163D6" w14:textId="77777777" w:rsidR="002641D2" w:rsidRPr="00FA3F9C" w:rsidRDefault="002641D2" w:rsidP="00E47BD2">
            <w:pPr>
              <w:rPr>
                <w:rFonts w:ascii="Arial" w:hAnsi="Arial" w:cs="Arial"/>
                <w:sz w:val="24"/>
                <w:szCs w:val="24"/>
              </w:rPr>
            </w:pPr>
            <w:r w:rsidRPr="00FA3F9C">
              <w:rPr>
                <w:rFonts w:ascii="Arial" w:hAnsi="Arial" w:cs="Arial"/>
                <w:sz w:val="24"/>
                <w:szCs w:val="24"/>
              </w:rPr>
              <w:t>ALM</w:t>
            </w:r>
          </w:p>
        </w:tc>
      </w:tr>
      <w:tr w:rsidR="002641D2" w:rsidRPr="00FA3F9C" w14:paraId="2B105BAC" w14:textId="77777777" w:rsidTr="001C5FE6">
        <w:tc>
          <w:tcPr>
            <w:tcW w:w="1188" w:type="dxa"/>
          </w:tcPr>
          <w:p w14:paraId="43EEB709" w14:textId="77777777" w:rsidR="002641D2" w:rsidRPr="00FA3F9C" w:rsidRDefault="002641D2" w:rsidP="0058193C">
            <w:pPr>
              <w:rPr>
                <w:rFonts w:ascii="Arial" w:hAnsi="Arial" w:cs="Arial"/>
                <w:sz w:val="24"/>
                <w:szCs w:val="24"/>
              </w:rPr>
            </w:pPr>
            <w:r w:rsidRPr="00FA3F9C">
              <w:rPr>
                <w:rFonts w:ascii="Arial" w:hAnsi="Arial" w:cs="Arial"/>
                <w:sz w:val="24"/>
                <w:szCs w:val="24"/>
              </w:rPr>
              <w:t>9/23/19</w:t>
            </w:r>
          </w:p>
        </w:tc>
        <w:tc>
          <w:tcPr>
            <w:tcW w:w="7110" w:type="dxa"/>
          </w:tcPr>
          <w:p w14:paraId="37F09D07" w14:textId="77777777" w:rsidR="002641D2" w:rsidRPr="00FA3F9C" w:rsidRDefault="002641D2" w:rsidP="008D7666">
            <w:pPr>
              <w:rPr>
                <w:rFonts w:ascii="Arial" w:hAnsi="Arial" w:cs="Arial"/>
                <w:sz w:val="24"/>
                <w:szCs w:val="24"/>
              </w:rPr>
            </w:pPr>
            <w:r w:rsidRPr="00FA3F9C">
              <w:rPr>
                <w:rFonts w:ascii="Arial" w:hAnsi="Arial" w:cs="Arial"/>
                <w:sz w:val="24"/>
                <w:szCs w:val="24"/>
              </w:rPr>
              <w:t>Criteria reviewed:</w:t>
            </w:r>
          </w:p>
          <w:p w14:paraId="24C4D755" w14:textId="77777777" w:rsidR="002641D2" w:rsidRPr="00FA3F9C" w:rsidRDefault="002641D2" w:rsidP="002C3B4C">
            <w:pPr>
              <w:rPr>
                <w:rFonts w:ascii="Arial" w:hAnsi="Arial" w:cs="Arial"/>
                <w:sz w:val="24"/>
                <w:szCs w:val="24"/>
              </w:rPr>
            </w:pPr>
            <w:r w:rsidRPr="00FA3F9C">
              <w:rPr>
                <w:rFonts w:ascii="Arial" w:hAnsi="Arial" w:cs="Arial"/>
                <w:sz w:val="24"/>
                <w:szCs w:val="24"/>
              </w:rPr>
              <w:lastRenderedPageBreak/>
              <w:t xml:space="preserve">-Omitted </w:t>
            </w:r>
            <w:proofErr w:type="spellStart"/>
            <w:r w:rsidRPr="00FA3F9C">
              <w:rPr>
                <w:rFonts w:ascii="Arial" w:hAnsi="Arial" w:cs="Arial"/>
                <w:sz w:val="24"/>
                <w:szCs w:val="24"/>
              </w:rPr>
              <w:t>Omontys</w:t>
            </w:r>
            <w:proofErr w:type="spellEnd"/>
            <w:r w:rsidRPr="00FA3F9C">
              <w:rPr>
                <w:rFonts w:ascii="Arial" w:hAnsi="Arial" w:cs="Arial"/>
                <w:sz w:val="24"/>
                <w:szCs w:val="24"/>
              </w:rPr>
              <w:t xml:space="preserve"> (</w:t>
            </w:r>
            <w:proofErr w:type="spellStart"/>
            <w:r w:rsidRPr="00FA3F9C">
              <w:rPr>
                <w:rFonts w:ascii="Arial" w:hAnsi="Arial" w:cs="Arial"/>
                <w:sz w:val="24"/>
                <w:szCs w:val="24"/>
              </w:rPr>
              <w:t>peginesatide</w:t>
            </w:r>
            <w:proofErr w:type="spellEnd"/>
            <w:r w:rsidRPr="00FA3F9C">
              <w:rPr>
                <w:rFonts w:ascii="Arial" w:hAnsi="Arial" w:cs="Arial"/>
                <w:sz w:val="24"/>
                <w:szCs w:val="24"/>
              </w:rPr>
              <w:t>) as it was withdrawn by the FDA at the manufacturer’s request due to severe/fatal anaphylactic reactions</w:t>
            </w:r>
          </w:p>
          <w:p w14:paraId="2E859DCA" w14:textId="77777777" w:rsidR="002641D2" w:rsidRPr="00FA3F9C" w:rsidRDefault="002641D2" w:rsidP="002C3B4C">
            <w:pPr>
              <w:rPr>
                <w:rFonts w:ascii="Arial" w:hAnsi="Arial" w:cs="Arial"/>
                <w:sz w:val="24"/>
                <w:szCs w:val="24"/>
              </w:rPr>
            </w:pPr>
            <w:r w:rsidRPr="00FA3F9C">
              <w:rPr>
                <w:rFonts w:ascii="Arial" w:hAnsi="Arial" w:cs="Arial"/>
                <w:sz w:val="24"/>
                <w:szCs w:val="24"/>
              </w:rPr>
              <w:t xml:space="preserve">-for core criteria, change required baseline </w:t>
            </w:r>
            <w:proofErr w:type="spellStart"/>
            <w:r w:rsidRPr="00FA3F9C">
              <w:rPr>
                <w:rFonts w:ascii="Arial" w:hAnsi="Arial" w:cs="Arial"/>
                <w:sz w:val="24"/>
                <w:szCs w:val="24"/>
              </w:rPr>
              <w:t>hgb</w:t>
            </w:r>
            <w:proofErr w:type="spellEnd"/>
            <w:r w:rsidRPr="00FA3F9C">
              <w:rPr>
                <w:rFonts w:ascii="Arial" w:hAnsi="Arial" w:cs="Arial"/>
                <w:sz w:val="24"/>
                <w:szCs w:val="24"/>
              </w:rPr>
              <w:t xml:space="preserve"> to &lt;10 per current FDA guidance (see package inserts)</w:t>
            </w:r>
          </w:p>
          <w:p w14:paraId="570313EA" w14:textId="77777777" w:rsidR="002641D2" w:rsidRPr="00FA3F9C" w:rsidRDefault="002641D2" w:rsidP="002C3B4C">
            <w:pPr>
              <w:rPr>
                <w:rFonts w:ascii="Arial" w:hAnsi="Arial" w:cs="Arial"/>
                <w:sz w:val="24"/>
                <w:szCs w:val="24"/>
              </w:rPr>
            </w:pPr>
            <w:r w:rsidRPr="00FA3F9C">
              <w:rPr>
                <w:rFonts w:ascii="Arial" w:hAnsi="Arial" w:cs="Arial"/>
                <w:sz w:val="24"/>
                <w:szCs w:val="24"/>
              </w:rPr>
              <w:t>-simplified CKD criteria to require diagnosis only</w:t>
            </w:r>
          </w:p>
          <w:p w14:paraId="2C1FE76D" w14:textId="77777777" w:rsidR="002641D2" w:rsidRPr="00FA3F9C" w:rsidRDefault="002641D2" w:rsidP="002C3B4C">
            <w:pPr>
              <w:rPr>
                <w:rFonts w:ascii="Arial" w:hAnsi="Arial" w:cs="Arial"/>
                <w:sz w:val="24"/>
                <w:szCs w:val="24"/>
              </w:rPr>
            </w:pPr>
            <w:r w:rsidRPr="00FA3F9C">
              <w:rPr>
                <w:rFonts w:ascii="Arial" w:hAnsi="Arial" w:cs="Arial"/>
                <w:sz w:val="24"/>
                <w:szCs w:val="24"/>
              </w:rPr>
              <w:t>-for MDS, require serum EPO level &lt;500</w:t>
            </w:r>
          </w:p>
          <w:p w14:paraId="5EFE1E42" w14:textId="77777777" w:rsidR="002641D2" w:rsidRPr="00FA3F9C" w:rsidRDefault="002641D2" w:rsidP="002C3B4C">
            <w:pPr>
              <w:rPr>
                <w:rFonts w:ascii="Arial" w:hAnsi="Arial" w:cs="Arial"/>
                <w:sz w:val="24"/>
                <w:szCs w:val="24"/>
              </w:rPr>
            </w:pPr>
            <w:r w:rsidRPr="00FA3F9C">
              <w:rPr>
                <w:rFonts w:ascii="Arial" w:hAnsi="Arial" w:cs="Arial"/>
                <w:sz w:val="24"/>
                <w:szCs w:val="24"/>
              </w:rPr>
              <w:t>-remove coverage for anemia due to heart failure (not recommended by American College of Physicians and no benefit per systematic review).</w:t>
            </w:r>
          </w:p>
          <w:p w14:paraId="55DBA5C3" w14:textId="77777777" w:rsidR="002641D2" w:rsidRPr="00FA3F9C" w:rsidRDefault="002641D2" w:rsidP="002641D2">
            <w:pPr>
              <w:pStyle w:val="ListParagraph"/>
              <w:numPr>
                <w:ilvl w:val="0"/>
                <w:numId w:val="196"/>
              </w:numPr>
              <w:spacing w:after="0" w:line="240" w:lineRule="auto"/>
              <w:rPr>
                <w:rFonts w:ascii="Arial" w:hAnsi="Arial" w:cs="Arial"/>
                <w:sz w:val="24"/>
                <w:szCs w:val="24"/>
              </w:rPr>
            </w:pPr>
            <w:proofErr w:type="spellStart"/>
            <w:r w:rsidRPr="00FA3F9C">
              <w:rPr>
                <w:rFonts w:ascii="Arial" w:hAnsi="Arial" w:cs="Arial"/>
                <w:sz w:val="24"/>
                <w:szCs w:val="24"/>
              </w:rPr>
              <w:t>Qaseem</w:t>
            </w:r>
            <w:proofErr w:type="spellEnd"/>
            <w:r w:rsidRPr="00FA3F9C">
              <w:rPr>
                <w:rFonts w:ascii="Arial" w:hAnsi="Arial" w:cs="Arial"/>
                <w:sz w:val="24"/>
                <w:szCs w:val="24"/>
              </w:rPr>
              <w:t xml:space="preserve"> A et al. Treatment of anemia in patients with heart disease: a clinical practice guideline from the American College of Physicians. Ann Intern Med. 2013 Dec 3;159(11):770-779. PMID 24297193</w:t>
            </w:r>
          </w:p>
          <w:p w14:paraId="6673173C" w14:textId="77777777" w:rsidR="002641D2" w:rsidRPr="00FA3F9C" w:rsidRDefault="002641D2" w:rsidP="002641D2">
            <w:pPr>
              <w:pStyle w:val="ListParagraph"/>
              <w:numPr>
                <w:ilvl w:val="0"/>
                <w:numId w:val="196"/>
              </w:numPr>
              <w:spacing w:after="0" w:line="240" w:lineRule="auto"/>
              <w:rPr>
                <w:rFonts w:ascii="Arial" w:hAnsi="Arial" w:cs="Arial"/>
                <w:sz w:val="24"/>
                <w:szCs w:val="24"/>
              </w:rPr>
            </w:pPr>
            <w:proofErr w:type="spellStart"/>
            <w:r w:rsidRPr="00FA3F9C">
              <w:rPr>
                <w:rFonts w:ascii="Arial" w:hAnsi="Arial" w:cs="Arial"/>
                <w:sz w:val="24"/>
                <w:szCs w:val="24"/>
              </w:rPr>
              <w:t>Kansagara</w:t>
            </w:r>
            <w:proofErr w:type="spellEnd"/>
            <w:r w:rsidRPr="00FA3F9C">
              <w:rPr>
                <w:rFonts w:ascii="Arial" w:hAnsi="Arial" w:cs="Arial"/>
                <w:sz w:val="24"/>
                <w:szCs w:val="24"/>
              </w:rPr>
              <w:t xml:space="preserve"> D et al. Treatment of anemia in patients with heart disease: a systematic review. Ann Intern Med. 2013 Dec 3;159(11):746-757. PMID 24297191</w:t>
            </w:r>
          </w:p>
          <w:p w14:paraId="684F3A20" w14:textId="77777777" w:rsidR="002641D2" w:rsidRPr="00FA3F9C" w:rsidRDefault="002641D2" w:rsidP="002C3B4C">
            <w:pPr>
              <w:rPr>
                <w:rFonts w:ascii="Arial" w:hAnsi="Arial" w:cs="Arial"/>
                <w:sz w:val="24"/>
                <w:szCs w:val="24"/>
              </w:rPr>
            </w:pPr>
            <w:r w:rsidRPr="00FA3F9C">
              <w:rPr>
                <w:rFonts w:ascii="Arial" w:hAnsi="Arial" w:cs="Arial"/>
                <w:sz w:val="24"/>
                <w:szCs w:val="24"/>
              </w:rPr>
              <w:t xml:space="preserve">-Add </w:t>
            </w:r>
            <w:proofErr w:type="spellStart"/>
            <w:r w:rsidRPr="00FA3F9C">
              <w:rPr>
                <w:rFonts w:ascii="Arial" w:hAnsi="Arial" w:cs="Arial"/>
                <w:sz w:val="24"/>
                <w:szCs w:val="24"/>
              </w:rPr>
              <w:t>Mircera</w:t>
            </w:r>
            <w:proofErr w:type="spellEnd"/>
            <w:r w:rsidRPr="00FA3F9C">
              <w:rPr>
                <w:rFonts w:ascii="Arial" w:hAnsi="Arial" w:cs="Arial"/>
                <w:sz w:val="24"/>
                <w:szCs w:val="24"/>
              </w:rPr>
              <w:t xml:space="preserve"> as product that falls under these criteria</w:t>
            </w:r>
          </w:p>
          <w:p w14:paraId="4275DBF4" w14:textId="77777777" w:rsidR="002641D2" w:rsidRPr="00FA3F9C" w:rsidRDefault="002641D2" w:rsidP="002C3B4C">
            <w:pPr>
              <w:rPr>
                <w:rFonts w:ascii="Arial" w:hAnsi="Arial" w:cs="Arial"/>
                <w:sz w:val="24"/>
                <w:szCs w:val="24"/>
              </w:rPr>
            </w:pPr>
            <w:r w:rsidRPr="00FA3F9C">
              <w:rPr>
                <w:rFonts w:ascii="Arial" w:hAnsi="Arial" w:cs="Arial"/>
                <w:sz w:val="24"/>
                <w:szCs w:val="24"/>
              </w:rPr>
              <w:t>-Split criteria for MDS and chemo-induced anemia (formerly included in same box).</w:t>
            </w:r>
          </w:p>
          <w:p w14:paraId="3E8402EC" w14:textId="77777777" w:rsidR="002641D2" w:rsidRPr="00FA3F9C" w:rsidRDefault="002641D2" w:rsidP="002C3B4C">
            <w:pPr>
              <w:rPr>
                <w:rFonts w:ascii="Arial" w:hAnsi="Arial" w:cs="Arial"/>
                <w:sz w:val="24"/>
                <w:szCs w:val="24"/>
              </w:rPr>
            </w:pPr>
          </w:p>
        </w:tc>
        <w:tc>
          <w:tcPr>
            <w:tcW w:w="2718" w:type="dxa"/>
          </w:tcPr>
          <w:p w14:paraId="6970E50F" w14:textId="77777777" w:rsidR="002641D2" w:rsidRPr="00FA3F9C" w:rsidRDefault="002641D2" w:rsidP="00E47BD2">
            <w:pPr>
              <w:rPr>
                <w:rFonts w:ascii="Arial" w:hAnsi="Arial" w:cs="Arial"/>
                <w:sz w:val="24"/>
                <w:szCs w:val="24"/>
              </w:rPr>
            </w:pPr>
            <w:r w:rsidRPr="00FA3F9C">
              <w:rPr>
                <w:rFonts w:ascii="Arial" w:hAnsi="Arial" w:cs="Arial"/>
                <w:sz w:val="24"/>
                <w:szCs w:val="24"/>
              </w:rPr>
              <w:lastRenderedPageBreak/>
              <w:t>SK</w:t>
            </w:r>
          </w:p>
        </w:tc>
      </w:tr>
      <w:tr w:rsidR="002641D2" w:rsidRPr="00FA3F9C" w14:paraId="3687E8B8" w14:textId="77777777" w:rsidTr="001C5FE6">
        <w:tc>
          <w:tcPr>
            <w:tcW w:w="1188" w:type="dxa"/>
          </w:tcPr>
          <w:p w14:paraId="2D99AC8D" w14:textId="77777777" w:rsidR="002641D2" w:rsidRPr="00FA3F9C" w:rsidRDefault="002641D2" w:rsidP="0058193C">
            <w:pPr>
              <w:rPr>
                <w:rFonts w:ascii="Arial" w:hAnsi="Arial" w:cs="Arial"/>
                <w:sz w:val="24"/>
                <w:szCs w:val="24"/>
              </w:rPr>
            </w:pPr>
            <w:r w:rsidRPr="00FA3F9C">
              <w:rPr>
                <w:rFonts w:ascii="Arial" w:hAnsi="Arial" w:cs="Arial"/>
                <w:sz w:val="24"/>
                <w:szCs w:val="24"/>
              </w:rPr>
              <w:t>12/29/2020</w:t>
            </w:r>
          </w:p>
        </w:tc>
        <w:tc>
          <w:tcPr>
            <w:tcW w:w="7110" w:type="dxa"/>
          </w:tcPr>
          <w:p w14:paraId="7B7D799B" w14:textId="77777777" w:rsidR="002641D2" w:rsidRPr="00FA3F9C" w:rsidRDefault="002641D2" w:rsidP="008D7666">
            <w:pPr>
              <w:rPr>
                <w:rFonts w:ascii="Arial" w:hAnsi="Arial" w:cs="Arial"/>
                <w:sz w:val="24"/>
                <w:szCs w:val="24"/>
              </w:rPr>
            </w:pPr>
            <w:r w:rsidRPr="00FA3F9C">
              <w:rPr>
                <w:rFonts w:ascii="Arial" w:hAnsi="Arial" w:cs="Arial"/>
                <w:sz w:val="24"/>
                <w:szCs w:val="24"/>
              </w:rPr>
              <w:t>Criteria reviewed, no change</w:t>
            </w:r>
          </w:p>
        </w:tc>
        <w:tc>
          <w:tcPr>
            <w:tcW w:w="2718" w:type="dxa"/>
          </w:tcPr>
          <w:p w14:paraId="17AF2E17" w14:textId="77777777" w:rsidR="002641D2" w:rsidRPr="00FA3F9C" w:rsidRDefault="002641D2" w:rsidP="00E47BD2">
            <w:pPr>
              <w:rPr>
                <w:rFonts w:ascii="Arial" w:hAnsi="Arial" w:cs="Arial"/>
                <w:sz w:val="24"/>
                <w:szCs w:val="24"/>
              </w:rPr>
            </w:pPr>
            <w:r w:rsidRPr="00FA3F9C">
              <w:rPr>
                <w:rFonts w:ascii="Arial" w:hAnsi="Arial" w:cs="Arial"/>
                <w:sz w:val="24"/>
                <w:szCs w:val="24"/>
              </w:rPr>
              <w:t>SK</w:t>
            </w:r>
          </w:p>
        </w:tc>
      </w:tr>
      <w:tr w:rsidR="002641D2" w:rsidRPr="00FA3F9C" w14:paraId="1FE22E10" w14:textId="77777777" w:rsidTr="001C5FE6">
        <w:tc>
          <w:tcPr>
            <w:tcW w:w="1188" w:type="dxa"/>
          </w:tcPr>
          <w:p w14:paraId="16F7B5CF" w14:textId="77777777" w:rsidR="002641D2" w:rsidRPr="00FA3F9C" w:rsidRDefault="002641D2" w:rsidP="0058193C">
            <w:pPr>
              <w:rPr>
                <w:rFonts w:ascii="Arial" w:hAnsi="Arial" w:cs="Arial"/>
                <w:sz w:val="24"/>
                <w:szCs w:val="24"/>
              </w:rPr>
            </w:pPr>
            <w:r w:rsidRPr="00FA3F9C">
              <w:rPr>
                <w:rFonts w:ascii="Arial" w:hAnsi="Arial" w:cs="Arial"/>
                <w:sz w:val="24"/>
                <w:szCs w:val="24"/>
              </w:rPr>
              <w:t>1/28/2021</w:t>
            </w:r>
          </w:p>
        </w:tc>
        <w:tc>
          <w:tcPr>
            <w:tcW w:w="7110" w:type="dxa"/>
          </w:tcPr>
          <w:p w14:paraId="38068D4F" w14:textId="77777777" w:rsidR="002641D2" w:rsidRPr="00FA3F9C" w:rsidRDefault="002641D2" w:rsidP="00D60810">
            <w:pPr>
              <w:rPr>
                <w:rFonts w:ascii="Arial" w:hAnsi="Arial" w:cs="Arial"/>
                <w:sz w:val="24"/>
                <w:szCs w:val="24"/>
              </w:rPr>
            </w:pPr>
            <w:r w:rsidRPr="00FA3F9C">
              <w:rPr>
                <w:rFonts w:ascii="Arial" w:hAnsi="Arial" w:cs="Arial"/>
                <w:sz w:val="24"/>
                <w:szCs w:val="24"/>
              </w:rPr>
              <w:t xml:space="preserve">After discussion at EBRx P&amp;T, change duration of approval to 12 </w:t>
            </w:r>
            <w:proofErr w:type="spellStart"/>
            <w:r w:rsidRPr="00FA3F9C">
              <w:rPr>
                <w:rFonts w:ascii="Arial" w:hAnsi="Arial" w:cs="Arial"/>
                <w:sz w:val="24"/>
                <w:szCs w:val="24"/>
              </w:rPr>
              <w:t>mo</w:t>
            </w:r>
            <w:proofErr w:type="spellEnd"/>
            <w:r w:rsidRPr="00FA3F9C">
              <w:rPr>
                <w:rFonts w:ascii="Arial" w:hAnsi="Arial" w:cs="Arial"/>
                <w:sz w:val="24"/>
                <w:szCs w:val="24"/>
              </w:rPr>
              <w:t xml:space="preserve"> for all indications except Preoperative reduction of allogeneic blood transfusion </w:t>
            </w:r>
          </w:p>
        </w:tc>
        <w:tc>
          <w:tcPr>
            <w:tcW w:w="2718" w:type="dxa"/>
          </w:tcPr>
          <w:p w14:paraId="6E67D1A2" w14:textId="77777777" w:rsidR="002641D2" w:rsidRPr="00FA3F9C" w:rsidRDefault="002641D2" w:rsidP="00E47BD2">
            <w:pPr>
              <w:rPr>
                <w:rFonts w:ascii="Arial" w:hAnsi="Arial" w:cs="Arial"/>
                <w:sz w:val="24"/>
                <w:szCs w:val="24"/>
              </w:rPr>
            </w:pPr>
            <w:r w:rsidRPr="00FA3F9C">
              <w:rPr>
                <w:rFonts w:ascii="Arial" w:hAnsi="Arial" w:cs="Arial"/>
                <w:sz w:val="24"/>
                <w:szCs w:val="24"/>
              </w:rPr>
              <w:t>SK</w:t>
            </w:r>
          </w:p>
        </w:tc>
      </w:tr>
    </w:tbl>
    <w:p w14:paraId="430DD92E" w14:textId="77777777" w:rsidR="002641D2" w:rsidRPr="00FA3F9C" w:rsidRDefault="002641D2" w:rsidP="00C42C5A">
      <w:pPr>
        <w:rPr>
          <w:rFonts w:ascii="Arial" w:hAnsi="Arial" w:cs="Arial"/>
          <w:sz w:val="24"/>
          <w:szCs w:val="24"/>
        </w:rPr>
      </w:pPr>
    </w:p>
    <w:p w14:paraId="3D1B9F0C" w14:textId="77777777" w:rsidR="002641D2" w:rsidRPr="00FA3F9C" w:rsidRDefault="002641D2" w:rsidP="00BE7C2A">
      <w:pPr>
        <w:pStyle w:val="Heading2"/>
      </w:pPr>
      <w:bookmarkStart w:id="113" w:name="_Toc106369796"/>
      <w:proofErr w:type="spellStart"/>
      <w:r w:rsidRPr="00FA3F9C">
        <w:lastRenderedPageBreak/>
        <w:t>Esketamine</w:t>
      </w:r>
      <w:proofErr w:type="spellEnd"/>
      <w:r w:rsidRPr="00FA3F9C">
        <w:t xml:space="preserve"> (</w:t>
      </w:r>
      <w:proofErr w:type="spellStart"/>
      <w:r w:rsidRPr="00FA3F9C">
        <w:t>Spravato</w:t>
      </w:r>
      <w:proofErr w:type="spellEnd"/>
      <w:r w:rsidRPr="00FA3F9C">
        <w:t>)</w:t>
      </w:r>
      <w:bookmarkEnd w:id="113"/>
    </w:p>
    <w:p w14:paraId="67B16620" w14:textId="77777777" w:rsidR="002641D2" w:rsidRPr="00FA3F9C" w:rsidRDefault="002641D2" w:rsidP="006F623F">
      <w:pPr>
        <w:spacing w:after="0"/>
        <w:jc w:val="center"/>
        <w:rPr>
          <w:rFonts w:ascii="Arial" w:hAnsi="Arial" w:cs="Arial"/>
          <w:sz w:val="24"/>
          <w:szCs w:val="24"/>
        </w:rPr>
      </w:pPr>
      <w:r w:rsidRPr="00FA3F9C">
        <w:rPr>
          <w:rFonts w:ascii="Arial" w:hAnsi="Arial" w:cs="Arial"/>
          <w:sz w:val="24"/>
          <w:szCs w:val="24"/>
        </w:rPr>
        <w:t>EBRx PA Criteria</w:t>
      </w:r>
    </w:p>
    <w:p w14:paraId="1BA7C081" w14:textId="77777777" w:rsidR="002641D2" w:rsidRPr="00FA3F9C" w:rsidRDefault="002641D2" w:rsidP="006F623F">
      <w:pPr>
        <w:spacing w:after="0"/>
        <w:jc w:val="center"/>
        <w:rPr>
          <w:rFonts w:ascii="Arial" w:hAnsi="Arial" w:cs="Arial"/>
          <w:sz w:val="24"/>
          <w:szCs w:val="24"/>
        </w:rPr>
      </w:pPr>
      <w:r w:rsidRPr="00FA3F9C">
        <w:rPr>
          <w:rFonts w:ascii="Arial" w:hAnsi="Arial" w:cs="Arial"/>
          <w:sz w:val="24"/>
          <w:szCs w:val="24"/>
        </w:rPr>
        <w:t>Medical Benefit PA</w:t>
      </w:r>
    </w:p>
    <w:p w14:paraId="0D90D767" w14:textId="77777777" w:rsidR="002641D2" w:rsidRPr="00FA3F9C" w:rsidRDefault="002641D2" w:rsidP="006F623F">
      <w:pPr>
        <w:spacing w:after="0"/>
        <w:rPr>
          <w:rFonts w:ascii="Arial" w:hAnsi="Arial" w:cs="Arial"/>
          <w:b/>
          <w:sz w:val="24"/>
          <w:szCs w:val="24"/>
          <w:u w:val="single"/>
        </w:rPr>
      </w:pPr>
    </w:p>
    <w:p w14:paraId="08A44949" w14:textId="77777777" w:rsidR="002641D2" w:rsidRPr="00FA3F9C" w:rsidRDefault="002641D2"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treatment resistant depression in adults in conjunction with PO antidepressants</w:t>
      </w:r>
    </w:p>
    <w:tbl>
      <w:tblPr>
        <w:tblStyle w:val="TableGrid"/>
        <w:tblW w:w="0" w:type="auto"/>
        <w:tblLook w:val="04A0" w:firstRow="1" w:lastRow="0" w:firstColumn="1" w:lastColumn="0" w:noHBand="0" w:noVBand="1"/>
      </w:tblPr>
      <w:tblGrid>
        <w:gridCol w:w="8928"/>
        <w:gridCol w:w="2088"/>
      </w:tblGrid>
      <w:tr w:rsidR="002641D2" w:rsidRPr="00FA3F9C" w14:paraId="06CBF7E6" w14:textId="77777777" w:rsidTr="00571CAB">
        <w:tc>
          <w:tcPr>
            <w:tcW w:w="8928" w:type="dxa"/>
            <w:shd w:val="clear" w:color="auto" w:fill="000000"/>
          </w:tcPr>
          <w:p w14:paraId="219C3835" w14:textId="77777777" w:rsidR="002641D2" w:rsidRPr="00FA3F9C" w:rsidRDefault="002641D2"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88" w:type="dxa"/>
            <w:shd w:val="clear" w:color="auto" w:fill="000000"/>
          </w:tcPr>
          <w:p w14:paraId="0125160F" w14:textId="77777777" w:rsidR="002641D2" w:rsidRPr="00FA3F9C" w:rsidRDefault="002641D2" w:rsidP="006F623F">
            <w:pPr>
              <w:jc w:val="center"/>
              <w:rPr>
                <w:rFonts w:ascii="Arial" w:hAnsi="Arial" w:cs="Arial"/>
                <w:b/>
                <w:sz w:val="24"/>
                <w:szCs w:val="24"/>
                <w:u w:val="single"/>
              </w:rPr>
            </w:pPr>
          </w:p>
        </w:tc>
      </w:tr>
      <w:tr w:rsidR="002641D2" w:rsidRPr="00FA3F9C" w14:paraId="2E3B334A" w14:textId="77777777" w:rsidTr="00F337AE">
        <w:tc>
          <w:tcPr>
            <w:tcW w:w="11016" w:type="dxa"/>
            <w:gridSpan w:val="2"/>
          </w:tcPr>
          <w:p w14:paraId="59F1D9BE" w14:textId="77777777" w:rsidR="002641D2" w:rsidRPr="00FA3F9C" w:rsidRDefault="002641D2" w:rsidP="006F623F">
            <w:pPr>
              <w:rPr>
                <w:rFonts w:ascii="Arial" w:hAnsi="Arial" w:cs="Arial"/>
                <w:sz w:val="24"/>
                <w:szCs w:val="24"/>
              </w:rPr>
            </w:pPr>
            <w:r w:rsidRPr="00FA3F9C">
              <w:rPr>
                <w:rFonts w:ascii="Arial" w:hAnsi="Arial" w:cs="Arial"/>
                <w:sz w:val="24"/>
                <w:szCs w:val="24"/>
              </w:rPr>
              <w:t>1. Patient must be between ages 18 and 75 years old.</w:t>
            </w:r>
          </w:p>
        </w:tc>
      </w:tr>
      <w:tr w:rsidR="002641D2" w:rsidRPr="00FA3F9C" w14:paraId="0E88A6CA" w14:textId="77777777" w:rsidTr="00B1617E">
        <w:tc>
          <w:tcPr>
            <w:tcW w:w="11016" w:type="dxa"/>
            <w:gridSpan w:val="2"/>
          </w:tcPr>
          <w:p w14:paraId="302B7733" w14:textId="77777777" w:rsidR="002641D2" w:rsidRPr="00FA3F9C" w:rsidRDefault="002641D2" w:rsidP="006F623F">
            <w:pPr>
              <w:rPr>
                <w:rFonts w:ascii="Arial" w:hAnsi="Arial" w:cs="Arial"/>
                <w:sz w:val="24"/>
                <w:szCs w:val="24"/>
              </w:rPr>
            </w:pPr>
            <w:r w:rsidRPr="00FA3F9C">
              <w:rPr>
                <w:rFonts w:ascii="Arial" w:hAnsi="Arial" w:cs="Arial"/>
                <w:sz w:val="24"/>
                <w:szCs w:val="24"/>
              </w:rPr>
              <w:t>2. Patient must have the diagnosis of treatment-resistant depression.</w:t>
            </w:r>
          </w:p>
        </w:tc>
      </w:tr>
      <w:tr w:rsidR="002641D2" w:rsidRPr="00FA3F9C" w14:paraId="2B701AA0" w14:textId="77777777" w:rsidTr="0010789D">
        <w:tc>
          <w:tcPr>
            <w:tcW w:w="11016" w:type="dxa"/>
            <w:gridSpan w:val="2"/>
          </w:tcPr>
          <w:p w14:paraId="2B733CE5" w14:textId="77777777" w:rsidR="002641D2" w:rsidRPr="00FA3F9C" w:rsidRDefault="002641D2" w:rsidP="006F623F">
            <w:pPr>
              <w:rPr>
                <w:rFonts w:ascii="Arial" w:hAnsi="Arial" w:cs="Arial"/>
                <w:sz w:val="24"/>
                <w:szCs w:val="24"/>
              </w:rPr>
            </w:pPr>
            <w:r w:rsidRPr="00FA3F9C">
              <w:rPr>
                <w:rFonts w:ascii="Arial" w:hAnsi="Arial" w:cs="Arial"/>
                <w:sz w:val="24"/>
                <w:szCs w:val="24"/>
              </w:rPr>
              <w:t>3. Patient must show treatment-resistance in the following ways:</w:t>
            </w:r>
          </w:p>
          <w:p w14:paraId="7EF3E8CA" w14:textId="77777777" w:rsidR="002641D2" w:rsidRPr="00FA3F9C" w:rsidRDefault="002641D2" w:rsidP="00283421">
            <w:pPr>
              <w:ind w:left="720"/>
              <w:rPr>
                <w:rFonts w:ascii="Arial" w:hAnsi="Arial" w:cs="Arial"/>
                <w:sz w:val="24"/>
                <w:szCs w:val="24"/>
              </w:rPr>
            </w:pPr>
            <w:r w:rsidRPr="00FA3F9C">
              <w:rPr>
                <w:rFonts w:ascii="Arial" w:hAnsi="Arial" w:cs="Arial"/>
                <w:sz w:val="24"/>
                <w:szCs w:val="24"/>
              </w:rPr>
              <w:t>a.  have on their profile, in the past 2 years, at least 3 different antidepressant strategies(2 previous and 1 concomitant) nonconcurrent antidepressant therapies.</w:t>
            </w:r>
          </w:p>
          <w:p w14:paraId="6E369826" w14:textId="77777777" w:rsidR="002641D2" w:rsidRPr="00FA3F9C" w:rsidRDefault="002641D2" w:rsidP="00283421">
            <w:pPr>
              <w:ind w:left="1440"/>
              <w:rPr>
                <w:rFonts w:ascii="Arial" w:hAnsi="Arial" w:cs="Arial"/>
                <w:sz w:val="24"/>
                <w:szCs w:val="24"/>
              </w:rPr>
            </w:pPr>
            <w:proofErr w:type="spellStart"/>
            <w:r w:rsidRPr="00FA3F9C">
              <w:rPr>
                <w:rFonts w:ascii="Arial" w:hAnsi="Arial" w:cs="Arial"/>
                <w:sz w:val="24"/>
                <w:szCs w:val="24"/>
              </w:rPr>
              <w:t>i</w:t>
            </w:r>
            <w:proofErr w:type="spellEnd"/>
            <w:r w:rsidRPr="00FA3F9C">
              <w:rPr>
                <w:rFonts w:ascii="Arial" w:hAnsi="Arial" w:cs="Arial"/>
                <w:sz w:val="24"/>
                <w:szCs w:val="24"/>
              </w:rPr>
              <w:t xml:space="preserve">.   either 3 from different classes (SSRIs, or SNRIs, or bupropion monotherapies).  </w:t>
            </w:r>
          </w:p>
          <w:p w14:paraId="3F77D2EE" w14:textId="77777777" w:rsidR="002641D2" w:rsidRPr="00FA3F9C" w:rsidRDefault="002641D2" w:rsidP="00283421">
            <w:pPr>
              <w:ind w:left="1440"/>
              <w:rPr>
                <w:rFonts w:ascii="Arial" w:hAnsi="Arial" w:cs="Arial"/>
                <w:sz w:val="24"/>
                <w:szCs w:val="24"/>
              </w:rPr>
            </w:pPr>
            <w:r w:rsidRPr="00FA3F9C">
              <w:rPr>
                <w:rFonts w:ascii="Arial" w:hAnsi="Arial" w:cs="Arial"/>
                <w:sz w:val="24"/>
                <w:szCs w:val="24"/>
              </w:rPr>
              <w:t>ii.  2 monotherapies plus one augmentation strategy</w:t>
            </w:r>
          </w:p>
          <w:p w14:paraId="72E3C84E" w14:textId="77777777" w:rsidR="002641D2" w:rsidRPr="00FA3F9C" w:rsidRDefault="002641D2" w:rsidP="00283421">
            <w:pPr>
              <w:ind w:left="1440"/>
              <w:rPr>
                <w:rFonts w:ascii="Arial" w:hAnsi="Arial" w:cs="Arial"/>
                <w:sz w:val="24"/>
                <w:szCs w:val="24"/>
              </w:rPr>
            </w:pPr>
            <w:r w:rsidRPr="00FA3F9C">
              <w:rPr>
                <w:rFonts w:ascii="Arial" w:hAnsi="Arial" w:cs="Arial"/>
                <w:sz w:val="24"/>
                <w:szCs w:val="24"/>
              </w:rPr>
              <w:t>iii. 1 monotherapy, 1 augmentation strategy, ECT/</w:t>
            </w:r>
            <w:r w:rsidRPr="00FA3F9C">
              <w:rPr>
                <w:rFonts w:ascii="Arial" w:hAnsi="Arial" w:cs="Arial"/>
                <w:color w:val="222222"/>
                <w:sz w:val="24"/>
                <w:szCs w:val="24"/>
                <w:shd w:val="clear" w:color="auto" w:fill="FFFFFF"/>
              </w:rPr>
              <w:t>Repetitive transcranial magnetic stimulation</w:t>
            </w:r>
          </w:p>
          <w:p w14:paraId="27883BFE" w14:textId="77777777" w:rsidR="002641D2" w:rsidRPr="00FA3F9C" w:rsidRDefault="002641D2" w:rsidP="00283421">
            <w:pPr>
              <w:ind w:left="1682"/>
              <w:rPr>
                <w:rFonts w:ascii="Arial" w:hAnsi="Arial" w:cs="Arial"/>
                <w:sz w:val="24"/>
                <w:szCs w:val="24"/>
              </w:rPr>
            </w:pPr>
            <w:r w:rsidRPr="00FA3F9C">
              <w:rPr>
                <w:rFonts w:ascii="Arial" w:hAnsi="Arial" w:cs="Arial"/>
                <w:sz w:val="24"/>
                <w:szCs w:val="24"/>
              </w:rPr>
              <w:t>(</w:t>
            </w:r>
            <w:proofErr w:type="spellStart"/>
            <w:r w:rsidRPr="00FA3F9C">
              <w:rPr>
                <w:rFonts w:ascii="Arial" w:hAnsi="Arial" w:cs="Arial"/>
                <w:sz w:val="24"/>
                <w:szCs w:val="24"/>
              </w:rPr>
              <w:t>rTMS</w:t>
            </w:r>
            <w:proofErr w:type="spellEnd"/>
            <w:r w:rsidRPr="00FA3F9C">
              <w:rPr>
                <w:rFonts w:ascii="Arial" w:hAnsi="Arial" w:cs="Arial"/>
                <w:sz w:val="24"/>
                <w:szCs w:val="24"/>
              </w:rPr>
              <w:t>)</w:t>
            </w:r>
          </w:p>
          <w:p w14:paraId="3072493B" w14:textId="77777777" w:rsidR="002641D2" w:rsidRPr="00FA3F9C" w:rsidRDefault="002641D2" w:rsidP="00283421">
            <w:pPr>
              <w:ind w:left="1440"/>
              <w:rPr>
                <w:rFonts w:ascii="Arial" w:hAnsi="Arial" w:cs="Arial"/>
                <w:sz w:val="24"/>
                <w:szCs w:val="24"/>
              </w:rPr>
            </w:pPr>
            <w:proofErr w:type="spellStart"/>
            <w:r w:rsidRPr="00FA3F9C">
              <w:rPr>
                <w:rFonts w:ascii="Arial" w:hAnsi="Arial" w:cs="Arial"/>
                <w:sz w:val="24"/>
                <w:szCs w:val="24"/>
              </w:rPr>
              <w:t>i.v.</w:t>
            </w:r>
            <w:proofErr w:type="spellEnd"/>
            <w:r w:rsidRPr="00FA3F9C">
              <w:rPr>
                <w:rFonts w:ascii="Arial" w:hAnsi="Arial" w:cs="Arial"/>
                <w:sz w:val="24"/>
                <w:szCs w:val="24"/>
              </w:rPr>
              <w:t xml:space="preserve"> other combination of the above</w:t>
            </w:r>
          </w:p>
        </w:tc>
      </w:tr>
      <w:tr w:rsidR="002641D2" w:rsidRPr="00FA3F9C" w14:paraId="31BC362E" w14:textId="77777777" w:rsidTr="0010789D">
        <w:tc>
          <w:tcPr>
            <w:tcW w:w="11016" w:type="dxa"/>
            <w:gridSpan w:val="2"/>
          </w:tcPr>
          <w:p w14:paraId="06BA3CD4" w14:textId="77777777" w:rsidR="002641D2" w:rsidRPr="00FA3F9C" w:rsidRDefault="002641D2" w:rsidP="006F623F">
            <w:pPr>
              <w:rPr>
                <w:rFonts w:ascii="Arial" w:hAnsi="Arial" w:cs="Arial"/>
                <w:sz w:val="24"/>
                <w:szCs w:val="24"/>
              </w:rPr>
            </w:pPr>
            <w:r w:rsidRPr="00FA3F9C">
              <w:rPr>
                <w:rFonts w:ascii="Arial" w:hAnsi="Arial" w:cs="Arial"/>
                <w:sz w:val="24"/>
                <w:szCs w:val="24"/>
              </w:rPr>
              <w:t xml:space="preserve">4.  The profile must show </w:t>
            </w:r>
            <w:r w:rsidRPr="00FA3F9C">
              <w:rPr>
                <w:rFonts w:ascii="Arial" w:hAnsi="Arial" w:cs="Arial"/>
                <w:i/>
                <w:sz w:val="24"/>
                <w:szCs w:val="24"/>
                <w:u w:val="single"/>
              </w:rPr>
              <w:t>a fill history of at least 6* weeks EACH</w:t>
            </w:r>
            <w:r w:rsidRPr="00FA3F9C">
              <w:rPr>
                <w:rFonts w:ascii="Arial" w:hAnsi="Arial" w:cs="Arial"/>
                <w:sz w:val="24"/>
                <w:szCs w:val="24"/>
              </w:rPr>
              <w:t xml:space="preserve"> for the nonconcurrent monotherapies, at the maximum or maximally tolerated dose, before </w:t>
            </w:r>
            <w:proofErr w:type="spellStart"/>
            <w:r w:rsidRPr="00FA3F9C">
              <w:rPr>
                <w:rFonts w:ascii="Arial" w:hAnsi="Arial" w:cs="Arial"/>
                <w:sz w:val="24"/>
                <w:szCs w:val="24"/>
              </w:rPr>
              <w:t>esketamine</w:t>
            </w:r>
            <w:proofErr w:type="spellEnd"/>
            <w:r w:rsidRPr="00FA3F9C">
              <w:rPr>
                <w:rFonts w:ascii="Arial" w:hAnsi="Arial" w:cs="Arial"/>
                <w:sz w:val="24"/>
                <w:szCs w:val="24"/>
              </w:rPr>
              <w:t xml:space="preserve">.  </w:t>
            </w:r>
          </w:p>
        </w:tc>
      </w:tr>
      <w:tr w:rsidR="002641D2" w:rsidRPr="00FA3F9C" w14:paraId="2AB058B0" w14:textId="77777777" w:rsidTr="00DA57E0">
        <w:tc>
          <w:tcPr>
            <w:tcW w:w="11016" w:type="dxa"/>
            <w:gridSpan w:val="2"/>
          </w:tcPr>
          <w:p w14:paraId="1C776026" w14:textId="77777777" w:rsidR="002641D2" w:rsidRPr="00FA3F9C" w:rsidRDefault="002641D2" w:rsidP="006F623F">
            <w:pPr>
              <w:rPr>
                <w:rFonts w:ascii="Arial" w:hAnsi="Arial" w:cs="Arial"/>
                <w:sz w:val="24"/>
                <w:szCs w:val="24"/>
              </w:rPr>
            </w:pPr>
            <w:r w:rsidRPr="00FA3F9C">
              <w:rPr>
                <w:rFonts w:ascii="Arial" w:hAnsi="Arial" w:cs="Arial"/>
                <w:sz w:val="24"/>
                <w:szCs w:val="24"/>
              </w:rPr>
              <w:t xml:space="preserve">5. Patient must have </w:t>
            </w:r>
            <w:r w:rsidRPr="00FA3F9C">
              <w:rPr>
                <w:rFonts w:ascii="Arial" w:hAnsi="Arial" w:cs="Arial"/>
                <w:i/>
                <w:sz w:val="24"/>
                <w:szCs w:val="24"/>
                <w:u w:val="single"/>
              </w:rPr>
              <w:t>current fill</w:t>
            </w:r>
            <w:r w:rsidRPr="00FA3F9C">
              <w:rPr>
                <w:rFonts w:ascii="Arial" w:hAnsi="Arial" w:cs="Arial"/>
                <w:sz w:val="24"/>
                <w:szCs w:val="24"/>
              </w:rPr>
              <w:t xml:space="preserve"> of at least 2 30-day fills of SSRI, SNRI, or bupropion at the maximum or maximally tolerated dose.</w:t>
            </w:r>
          </w:p>
        </w:tc>
      </w:tr>
      <w:tr w:rsidR="002641D2" w:rsidRPr="00FA3F9C" w14:paraId="27563C17" w14:textId="77777777" w:rsidTr="00DA57E0">
        <w:tc>
          <w:tcPr>
            <w:tcW w:w="11016" w:type="dxa"/>
            <w:gridSpan w:val="2"/>
          </w:tcPr>
          <w:p w14:paraId="4A472B55" w14:textId="77777777" w:rsidR="002641D2" w:rsidRPr="00FA3F9C" w:rsidRDefault="002641D2" w:rsidP="006F623F">
            <w:pPr>
              <w:rPr>
                <w:rFonts w:ascii="Arial" w:hAnsi="Arial" w:cs="Arial"/>
                <w:sz w:val="24"/>
                <w:szCs w:val="24"/>
              </w:rPr>
            </w:pPr>
            <w:r w:rsidRPr="00FA3F9C">
              <w:rPr>
                <w:rFonts w:ascii="Arial" w:hAnsi="Arial" w:cs="Arial"/>
                <w:sz w:val="24"/>
                <w:szCs w:val="24"/>
              </w:rPr>
              <w:t>6. The prescriber must be a psychiatrist.</w:t>
            </w:r>
          </w:p>
        </w:tc>
      </w:tr>
      <w:tr w:rsidR="002641D2" w:rsidRPr="00FA3F9C" w14:paraId="27D6BB0D" w14:textId="77777777" w:rsidTr="00DA57E0">
        <w:tc>
          <w:tcPr>
            <w:tcW w:w="11016" w:type="dxa"/>
            <w:gridSpan w:val="2"/>
          </w:tcPr>
          <w:p w14:paraId="324BFA86" w14:textId="77777777" w:rsidR="002641D2" w:rsidRPr="00FA3F9C" w:rsidRDefault="002641D2" w:rsidP="006F623F">
            <w:pPr>
              <w:rPr>
                <w:rFonts w:ascii="Arial" w:hAnsi="Arial" w:cs="Arial"/>
                <w:sz w:val="24"/>
                <w:szCs w:val="24"/>
              </w:rPr>
            </w:pPr>
            <w:r w:rsidRPr="00FA3F9C">
              <w:rPr>
                <w:rFonts w:ascii="Arial" w:hAnsi="Arial" w:cs="Arial"/>
                <w:sz w:val="24"/>
                <w:szCs w:val="24"/>
              </w:rPr>
              <w:t>7.  The prescriber must have checked the AR PMP to rule out substance abuse.</w:t>
            </w:r>
          </w:p>
        </w:tc>
      </w:tr>
      <w:tr w:rsidR="002641D2" w:rsidRPr="00FA3F9C" w14:paraId="73BAB447" w14:textId="77777777" w:rsidTr="00DA57E0">
        <w:tc>
          <w:tcPr>
            <w:tcW w:w="11016" w:type="dxa"/>
            <w:gridSpan w:val="2"/>
          </w:tcPr>
          <w:p w14:paraId="73D2A96D" w14:textId="77777777" w:rsidR="002641D2" w:rsidRPr="00FA3F9C" w:rsidRDefault="002641D2" w:rsidP="006F623F">
            <w:pPr>
              <w:rPr>
                <w:rFonts w:ascii="Arial" w:hAnsi="Arial" w:cs="Arial"/>
                <w:sz w:val="24"/>
                <w:szCs w:val="24"/>
              </w:rPr>
            </w:pPr>
            <w:r w:rsidRPr="00FA3F9C">
              <w:rPr>
                <w:rFonts w:ascii="Arial" w:hAnsi="Arial" w:cs="Arial"/>
                <w:sz w:val="24"/>
                <w:szCs w:val="24"/>
              </w:rPr>
              <w:t>8.  The prescriber must, in good conscience, attest to the patient NOT being a current, active substance abuser.</w:t>
            </w:r>
          </w:p>
        </w:tc>
      </w:tr>
      <w:tr w:rsidR="002641D2" w:rsidRPr="00FA3F9C" w14:paraId="755F946A" w14:textId="77777777" w:rsidTr="00DA57E0">
        <w:tc>
          <w:tcPr>
            <w:tcW w:w="11016" w:type="dxa"/>
            <w:gridSpan w:val="2"/>
          </w:tcPr>
          <w:p w14:paraId="5CA30765" w14:textId="77777777" w:rsidR="002641D2" w:rsidRPr="00FA3F9C" w:rsidRDefault="002641D2" w:rsidP="006F623F">
            <w:pPr>
              <w:rPr>
                <w:rFonts w:ascii="Arial" w:hAnsi="Arial" w:cs="Arial"/>
                <w:sz w:val="24"/>
                <w:szCs w:val="24"/>
              </w:rPr>
            </w:pPr>
            <w:r w:rsidRPr="00FA3F9C">
              <w:rPr>
                <w:rFonts w:ascii="Arial" w:hAnsi="Arial" w:cs="Arial"/>
                <w:sz w:val="24"/>
                <w:szCs w:val="24"/>
              </w:rPr>
              <w:t xml:space="preserve">***The initial PA is good for 4 weeks.  QL is 84mg </w:t>
            </w:r>
            <w:r w:rsidRPr="00FA3F9C">
              <w:rPr>
                <w:rFonts w:ascii="Arial" w:hAnsi="Arial" w:cs="Arial"/>
                <w:sz w:val="24"/>
                <w:szCs w:val="24"/>
                <w:highlight w:val="cyan"/>
              </w:rPr>
              <w:t>TWICE weekly</w:t>
            </w:r>
            <w:r w:rsidRPr="00FA3F9C">
              <w:rPr>
                <w:rFonts w:ascii="Arial" w:hAnsi="Arial" w:cs="Arial"/>
                <w:sz w:val="24"/>
                <w:szCs w:val="24"/>
              </w:rPr>
              <w:t>.***</w:t>
            </w:r>
          </w:p>
        </w:tc>
      </w:tr>
    </w:tbl>
    <w:p w14:paraId="6ECDA7D5" w14:textId="77777777" w:rsidR="002641D2" w:rsidRPr="00FA3F9C" w:rsidRDefault="002641D2" w:rsidP="006F623F">
      <w:pPr>
        <w:spacing w:after="0"/>
        <w:rPr>
          <w:rFonts w:ascii="Arial" w:hAnsi="Arial" w:cs="Arial"/>
          <w:b/>
          <w:sz w:val="24"/>
          <w:szCs w:val="24"/>
          <w:u w:val="single"/>
        </w:rPr>
      </w:pPr>
    </w:p>
    <w:tbl>
      <w:tblPr>
        <w:tblStyle w:val="TableGrid"/>
        <w:tblW w:w="0" w:type="auto"/>
        <w:tblLook w:val="04A0" w:firstRow="1" w:lastRow="0" w:firstColumn="1" w:lastColumn="0" w:noHBand="0" w:noVBand="1"/>
      </w:tblPr>
      <w:tblGrid>
        <w:gridCol w:w="8928"/>
        <w:gridCol w:w="2088"/>
      </w:tblGrid>
      <w:tr w:rsidR="002641D2" w:rsidRPr="00FA3F9C" w14:paraId="287A13DA" w14:textId="77777777" w:rsidTr="00571CAB">
        <w:tc>
          <w:tcPr>
            <w:tcW w:w="8928" w:type="dxa"/>
            <w:shd w:val="clear" w:color="auto" w:fill="000000"/>
          </w:tcPr>
          <w:p w14:paraId="62AC83FF" w14:textId="77777777" w:rsidR="002641D2" w:rsidRPr="00FA3F9C" w:rsidRDefault="002641D2" w:rsidP="00571CAB">
            <w:pPr>
              <w:rPr>
                <w:rFonts w:ascii="Arial" w:hAnsi="Arial" w:cs="Arial"/>
                <w:b/>
                <w:sz w:val="24"/>
                <w:szCs w:val="24"/>
                <w:u w:val="single"/>
              </w:rPr>
            </w:pPr>
            <w:r w:rsidRPr="00FA3F9C">
              <w:rPr>
                <w:rFonts w:ascii="Arial" w:hAnsi="Arial" w:cs="Arial"/>
                <w:b/>
                <w:sz w:val="24"/>
                <w:szCs w:val="24"/>
                <w:u w:val="single"/>
              </w:rPr>
              <w:t>Criteria for continuation</w:t>
            </w:r>
          </w:p>
        </w:tc>
        <w:tc>
          <w:tcPr>
            <w:tcW w:w="2088" w:type="dxa"/>
            <w:shd w:val="clear" w:color="auto" w:fill="000000"/>
          </w:tcPr>
          <w:p w14:paraId="0F50C3F4" w14:textId="77777777" w:rsidR="002641D2" w:rsidRPr="00FA3F9C" w:rsidRDefault="002641D2" w:rsidP="00571CAB">
            <w:pPr>
              <w:jc w:val="center"/>
              <w:rPr>
                <w:rFonts w:ascii="Arial" w:hAnsi="Arial" w:cs="Arial"/>
                <w:b/>
                <w:sz w:val="24"/>
                <w:szCs w:val="24"/>
                <w:u w:val="single"/>
              </w:rPr>
            </w:pPr>
          </w:p>
        </w:tc>
      </w:tr>
      <w:tr w:rsidR="002641D2" w:rsidRPr="00FA3F9C" w14:paraId="4C6CDE09" w14:textId="77777777" w:rsidTr="00FE7E94">
        <w:tc>
          <w:tcPr>
            <w:tcW w:w="11016" w:type="dxa"/>
            <w:gridSpan w:val="2"/>
          </w:tcPr>
          <w:p w14:paraId="6E584C1D" w14:textId="77777777" w:rsidR="002641D2" w:rsidRPr="00FA3F9C" w:rsidRDefault="002641D2" w:rsidP="00571CAB">
            <w:pPr>
              <w:rPr>
                <w:rFonts w:ascii="Arial" w:hAnsi="Arial" w:cs="Arial"/>
                <w:sz w:val="24"/>
                <w:szCs w:val="24"/>
              </w:rPr>
            </w:pPr>
            <w:r w:rsidRPr="00FA3F9C">
              <w:rPr>
                <w:rFonts w:ascii="Arial" w:hAnsi="Arial" w:cs="Arial"/>
                <w:sz w:val="24"/>
                <w:szCs w:val="24"/>
              </w:rPr>
              <w:t xml:space="preserve">1. The patient must be currently adherent with receiving </w:t>
            </w:r>
            <w:proofErr w:type="spellStart"/>
            <w:r w:rsidRPr="00FA3F9C">
              <w:rPr>
                <w:rFonts w:ascii="Arial" w:hAnsi="Arial" w:cs="Arial"/>
                <w:sz w:val="24"/>
                <w:szCs w:val="24"/>
              </w:rPr>
              <w:t>esketamine</w:t>
            </w:r>
            <w:proofErr w:type="spellEnd"/>
            <w:r w:rsidRPr="00FA3F9C">
              <w:rPr>
                <w:rFonts w:ascii="Arial" w:hAnsi="Arial" w:cs="Arial"/>
                <w:sz w:val="24"/>
                <w:szCs w:val="24"/>
              </w:rPr>
              <w:t xml:space="preserve"> nasal.</w:t>
            </w:r>
          </w:p>
        </w:tc>
      </w:tr>
      <w:tr w:rsidR="002641D2" w:rsidRPr="00FA3F9C" w14:paraId="0CBBE967" w14:textId="77777777" w:rsidTr="00E85040">
        <w:tc>
          <w:tcPr>
            <w:tcW w:w="11016" w:type="dxa"/>
            <w:gridSpan w:val="2"/>
          </w:tcPr>
          <w:p w14:paraId="078ECF86" w14:textId="77777777" w:rsidR="002641D2" w:rsidRPr="00FA3F9C" w:rsidRDefault="002641D2" w:rsidP="00571CAB">
            <w:pPr>
              <w:rPr>
                <w:rFonts w:ascii="Arial" w:hAnsi="Arial" w:cs="Arial"/>
                <w:sz w:val="24"/>
                <w:szCs w:val="24"/>
              </w:rPr>
            </w:pPr>
            <w:r w:rsidRPr="00FA3F9C">
              <w:rPr>
                <w:rFonts w:ascii="Arial" w:hAnsi="Arial" w:cs="Arial"/>
                <w:sz w:val="24"/>
                <w:szCs w:val="24"/>
              </w:rPr>
              <w:t>2. The patient must be receiving a concurrent antidepressant therapy (SSRI, SNRI, bupropion or other drug or procedure) as evident by the fill history of paid claims or medical claims.</w:t>
            </w:r>
          </w:p>
        </w:tc>
      </w:tr>
      <w:tr w:rsidR="002641D2" w:rsidRPr="00FA3F9C" w14:paraId="31813F32" w14:textId="77777777" w:rsidTr="00AD0E38">
        <w:tc>
          <w:tcPr>
            <w:tcW w:w="11016" w:type="dxa"/>
            <w:gridSpan w:val="2"/>
          </w:tcPr>
          <w:p w14:paraId="1FF5BDDB" w14:textId="77777777" w:rsidR="002641D2" w:rsidRPr="00FA3F9C" w:rsidRDefault="002641D2" w:rsidP="00571CAB">
            <w:pPr>
              <w:rPr>
                <w:rFonts w:ascii="Arial" w:hAnsi="Arial" w:cs="Arial"/>
                <w:sz w:val="24"/>
                <w:szCs w:val="24"/>
              </w:rPr>
            </w:pPr>
          </w:p>
        </w:tc>
      </w:tr>
      <w:tr w:rsidR="002641D2" w:rsidRPr="00FA3F9C" w14:paraId="3DF20FE7" w14:textId="77777777" w:rsidTr="005D1893">
        <w:tc>
          <w:tcPr>
            <w:tcW w:w="11016" w:type="dxa"/>
            <w:gridSpan w:val="2"/>
          </w:tcPr>
          <w:p w14:paraId="46622353" w14:textId="77777777" w:rsidR="002641D2" w:rsidRPr="00FA3F9C" w:rsidRDefault="002641D2" w:rsidP="00571CAB">
            <w:pPr>
              <w:rPr>
                <w:rFonts w:ascii="Arial" w:hAnsi="Arial" w:cs="Arial"/>
                <w:sz w:val="24"/>
                <w:szCs w:val="24"/>
              </w:rPr>
            </w:pPr>
            <w:r w:rsidRPr="00FA3F9C">
              <w:rPr>
                <w:rFonts w:ascii="Arial" w:hAnsi="Arial" w:cs="Arial"/>
                <w:sz w:val="24"/>
                <w:szCs w:val="24"/>
              </w:rPr>
              <w:lastRenderedPageBreak/>
              <w:t xml:space="preserve">###The continuation PA will be good for 12 months.  QL will be 84mg </w:t>
            </w:r>
            <w:r w:rsidRPr="00FA3F9C">
              <w:rPr>
                <w:rFonts w:ascii="Arial" w:hAnsi="Arial" w:cs="Arial"/>
                <w:sz w:val="24"/>
                <w:szCs w:val="24"/>
                <w:highlight w:val="cyan"/>
              </w:rPr>
              <w:t>ONCE weekly</w:t>
            </w:r>
            <w:r w:rsidRPr="00FA3F9C">
              <w:rPr>
                <w:rFonts w:ascii="Arial" w:hAnsi="Arial" w:cs="Arial"/>
                <w:sz w:val="24"/>
                <w:szCs w:val="24"/>
              </w:rPr>
              <w:t>.###</w:t>
            </w:r>
          </w:p>
        </w:tc>
      </w:tr>
    </w:tbl>
    <w:p w14:paraId="0A58E837" w14:textId="77777777" w:rsidR="002641D2" w:rsidRPr="00FA3F9C" w:rsidRDefault="002641D2" w:rsidP="006F623F">
      <w:pPr>
        <w:spacing w:after="0"/>
        <w:rPr>
          <w:rFonts w:ascii="Arial" w:hAnsi="Arial" w:cs="Arial"/>
          <w:b/>
          <w:sz w:val="24"/>
          <w:szCs w:val="24"/>
          <w:u w:val="single"/>
        </w:rPr>
      </w:pPr>
    </w:p>
    <w:p w14:paraId="0FD12A8C" w14:textId="77777777" w:rsidR="002641D2" w:rsidRPr="00FA3F9C" w:rsidRDefault="002641D2" w:rsidP="006F623F">
      <w:pPr>
        <w:spacing w:after="0"/>
        <w:rPr>
          <w:rFonts w:ascii="Arial" w:hAnsi="Arial" w:cs="Arial"/>
          <w:b/>
          <w:sz w:val="24"/>
          <w:szCs w:val="24"/>
          <w:u w:val="single"/>
        </w:rPr>
      </w:pPr>
    </w:p>
    <w:tbl>
      <w:tblPr>
        <w:tblStyle w:val="TableGrid"/>
        <w:tblW w:w="0" w:type="auto"/>
        <w:shd w:val="clear" w:color="auto" w:fill="BFBFBF" w:themeFill="background1" w:themeFillShade="BF"/>
        <w:tblLook w:val="04A0" w:firstRow="1" w:lastRow="0" w:firstColumn="1" w:lastColumn="0" w:noHBand="0" w:noVBand="1"/>
      </w:tblPr>
      <w:tblGrid>
        <w:gridCol w:w="10998"/>
      </w:tblGrid>
      <w:tr w:rsidR="002641D2" w:rsidRPr="00FA3F9C" w14:paraId="23480FF1" w14:textId="77777777" w:rsidTr="00D82B6E">
        <w:tc>
          <w:tcPr>
            <w:tcW w:w="10998" w:type="dxa"/>
            <w:shd w:val="clear" w:color="auto" w:fill="BFBFBF" w:themeFill="background1" w:themeFillShade="BF"/>
          </w:tcPr>
          <w:p w14:paraId="665A08E9" w14:textId="77777777" w:rsidR="002641D2" w:rsidRPr="00FA3F9C" w:rsidRDefault="002641D2" w:rsidP="003B6658">
            <w:pPr>
              <w:rPr>
                <w:rFonts w:ascii="Arial" w:hAnsi="Arial" w:cs="Arial"/>
                <w:sz w:val="24"/>
                <w:szCs w:val="24"/>
              </w:rPr>
            </w:pPr>
            <w:r w:rsidRPr="00FA3F9C">
              <w:rPr>
                <w:rFonts w:ascii="Arial" w:hAnsi="Arial" w:cs="Arial"/>
                <w:sz w:val="24"/>
                <w:szCs w:val="24"/>
              </w:rPr>
              <w:t>Note: Dosing is:</w:t>
            </w:r>
          </w:p>
          <w:p w14:paraId="2714BA7F" w14:textId="77777777" w:rsidR="002641D2" w:rsidRPr="00FA3F9C" w:rsidRDefault="002641D2" w:rsidP="002641D2">
            <w:pPr>
              <w:pStyle w:val="ListParagraph"/>
              <w:numPr>
                <w:ilvl w:val="0"/>
                <w:numId w:val="198"/>
              </w:numPr>
              <w:rPr>
                <w:rFonts w:ascii="Arial" w:hAnsi="Arial" w:cs="Arial"/>
                <w:sz w:val="24"/>
                <w:szCs w:val="24"/>
              </w:rPr>
            </w:pPr>
            <w:r w:rsidRPr="00FA3F9C">
              <w:rPr>
                <w:rFonts w:ascii="Arial" w:hAnsi="Arial" w:cs="Arial"/>
                <w:sz w:val="24"/>
                <w:szCs w:val="24"/>
              </w:rPr>
              <w:t xml:space="preserve">Induction: 56mg twice </w:t>
            </w:r>
            <w:proofErr w:type="spellStart"/>
            <w:r w:rsidRPr="00FA3F9C">
              <w:rPr>
                <w:rFonts w:ascii="Arial" w:hAnsi="Arial" w:cs="Arial"/>
                <w:sz w:val="24"/>
                <w:szCs w:val="24"/>
              </w:rPr>
              <w:t>wkly</w:t>
            </w:r>
            <w:proofErr w:type="spellEnd"/>
            <w:r w:rsidRPr="00FA3F9C">
              <w:rPr>
                <w:rFonts w:ascii="Arial" w:hAnsi="Arial" w:cs="Arial"/>
                <w:sz w:val="24"/>
                <w:szCs w:val="24"/>
              </w:rPr>
              <w:t xml:space="preserve"> up to 84mg twice </w:t>
            </w:r>
            <w:proofErr w:type="spellStart"/>
            <w:r w:rsidRPr="00FA3F9C">
              <w:rPr>
                <w:rFonts w:ascii="Arial" w:hAnsi="Arial" w:cs="Arial"/>
                <w:sz w:val="24"/>
                <w:szCs w:val="24"/>
              </w:rPr>
              <w:t>wkly</w:t>
            </w:r>
            <w:proofErr w:type="spellEnd"/>
            <w:r w:rsidRPr="00FA3F9C">
              <w:rPr>
                <w:rFonts w:ascii="Arial" w:hAnsi="Arial" w:cs="Arial"/>
                <w:sz w:val="24"/>
                <w:szCs w:val="24"/>
              </w:rPr>
              <w:t xml:space="preserve"> for 4 weeks total </w:t>
            </w:r>
          </w:p>
          <w:p w14:paraId="61436A88" w14:textId="77777777" w:rsidR="002641D2" w:rsidRPr="00FA3F9C" w:rsidRDefault="002641D2" w:rsidP="002641D2">
            <w:pPr>
              <w:pStyle w:val="ListParagraph"/>
              <w:numPr>
                <w:ilvl w:val="0"/>
                <w:numId w:val="198"/>
              </w:numPr>
              <w:rPr>
                <w:rFonts w:ascii="Arial" w:hAnsi="Arial" w:cs="Arial"/>
                <w:sz w:val="24"/>
                <w:szCs w:val="24"/>
              </w:rPr>
            </w:pPr>
            <w:r w:rsidRPr="00FA3F9C">
              <w:rPr>
                <w:rFonts w:ascii="Arial" w:hAnsi="Arial" w:cs="Arial"/>
                <w:sz w:val="24"/>
                <w:szCs w:val="24"/>
              </w:rPr>
              <w:t>Maintenance: At week 5 dose from induction phase move to QW, then after 9wks can possibly move to q 2wks</w:t>
            </w:r>
          </w:p>
          <w:p w14:paraId="725ADFC9" w14:textId="77777777" w:rsidR="002641D2" w:rsidRPr="00FA3F9C" w:rsidRDefault="002641D2" w:rsidP="002641D2">
            <w:pPr>
              <w:pStyle w:val="ListParagraph"/>
              <w:numPr>
                <w:ilvl w:val="0"/>
                <w:numId w:val="198"/>
              </w:numPr>
              <w:rPr>
                <w:rFonts w:ascii="Arial" w:hAnsi="Arial" w:cs="Arial"/>
                <w:sz w:val="24"/>
                <w:szCs w:val="24"/>
              </w:rPr>
            </w:pPr>
            <w:r w:rsidRPr="00FA3F9C">
              <w:rPr>
                <w:rFonts w:ascii="Arial" w:hAnsi="Arial" w:cs="Arial"/>
                <w:sz w:val="24"/>
                <w:szCs w:val="24"/>
              </w:rPr>
              <w:t xml:space="preserve">After 4wks evaluate for evidence of therapeutic benefit to determine need for continued treatment </w:t>
            </w:r>
          </w:p>
        </w:tc>
      </w:tr>
    </w:tbl>
    <w:p w14:paraId="1E985603" w14:textId="77777777" w:rsidR="002641D2" w:rsidRPr="00FA3F9C" w:rsidRDefault="002641D2" w:rsidP="006F623F">
      <w:pPr>
        <w:spacing w:after="0"/>
        <w:rPr>
          <w:rFonts w:ascii="Arial" w:hAnsi="Arial" w:cs="Arial"/>
          <w:sz w:val="24"/>
          <w:szCs w:val="24"/>
        </w:rPr>
      </w:pPr>
    </w:p>
    <w:p w14:paraId="5528732D" w14:textId="77777777" w:rsidR="002641D2" w:rsidRPr="00FA3F9C" w:rsidRDefault="002641D2" w:rsidP="006F623F">
      <w:pPr>
        <w:spacing w:after="0"/>
        <w:rPr>
          <w:rFonts w:ascii="Arial" w:hAnsi="Arial" w:cs="Arial"/>
          <w:sz w:val="24"/>
          <w:szCs w:val="24"/>
        </w:rPr>
      </w:pPr>
      <w:r w:rsidRPr="00FA3F9C">
        <w:rPr>
          <w:rFonts w:ascii="Arial" w:hAnsi="Arial" w:cs="Arial"/>
          <w:sz w:val="24"/>
          <w:szCs w:val="24"/>
        </w:rPr>
        <w:t>Quantity Limits: Twice weekly if in the initial 4 weeks of therapy.  Once weekly after the first 4 weeks.</w:t>
      </w:r>
    </w:p>
    <w:p w14:paraId="0BD76722" w14:textId="77777777" w:rsidR="002641D2" w:rsidRPr="00FA3F9C" w:rsidRDefault="002641D2" w:rsidP="006F623F">
      <w:pPr>
        <w:spacing w:after="0"/>
        <w:rPr>
          <w:rFonts w:ascii="Arial" w:hAnsi="Arial" w:cs="Arial"/>
          <w:sz w:val="24"/>
          <w:szCs w:val="24"/>
        </w:rPr>
      </w:pPr>
    </w:p>
    <w:p w14:paraId="619C3866" w14:textId="77777777" w:rsidR="002641D2" w:rsidRPr="00FA3F9C" w:rsidRDefault="002641D2"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017"/>
        <w:gridCol w:w="8194"/>
        <w:gridCol w:w="1990"/>
      </w:tblGrid>
      <w:tr w:rsidR="002641D2" w:rsidRPr="00FA3F9C" w14:paraId="5A9E0886" w14:textId="77777777" w:rsidTr="00A47A7E">
        <w:tc>
          <w:tcPr>
            <w:tcW w:w="832" w:type="dxa"/>
          </w:tcPr>
          <w:p w14:paraId="412C91F9" w14:textId="77777777" w:rsidR="002641D2" w:rsidRPr="00FA3F9C" w:rsidRDefault="002641D2" w:rsidP="006F623F">
            <w:pPr>
              <w:rPr>
                <w:rFonts w:ascii="Arial" w:hAnsi="Arial" w:cs="Arial"/>
                <w:sz w:val="24"/>
                <w:szCs w:val="24"/>
              </w:rPr>
            </w:pPr>
            <w:r w:rsidRPr="00FA3F9C">
              <w:rPr>
                <w:rFonts w:ascii="Arial" w:hAnsi="Arial" w:cs="Arial"/>
                <w:sz w:val="24"/>
                <w:szCs w:val="24"/>
              </w:rPr>
              <w:t>Date</w:t>
            </w:r>
          </w:p>
        </w:tc>
        <w:tc>
          <w:tcPr>
            <w:tcW w:w="8194" w:type="dxa"/>
          </w:tcPr>
          <w:p w14:paraId="65E8CD07" w14:textId="77777777" w:rsidR="002641D2" w:rsidRPr="00FA3F9C" w:rsidRDefault="002641D2" w:rsidP="006F623F">
            <w:pPr>
              <w:rPr>
                <w:rFonts w:ascii="Arial" w:hAnsi="Arial" w:cs="Arial"/>
                <w:sz w:val="24"/>
                <w:szCs w:val="24"/>
              </w:rPr>
            </w:pPr>
            <w:r w:rsidRPr="00FA3F9C">
              <w:rPr>
                <w:rFonts w:ascii="Arial" w:hAnsi="Arial" w:cs="Arial"/>
                <w:sz w:val="24"/>
                <w:szCs w:val="24"/>
              </w:rPr>
              <w:t>What changed</w:t>
            </w:r>
          </w:p>
        </w:tc>
        <w:tc>
          <w:tcPr>
            <w:tcW w:w="1990" w:type="dxa"/>
          </w:tcPr>
          <w:p w14:paraId="2F0E8200" w14:textId="77777777" w:rsidR="002641D2" w:rsidRPr="00FA3F9C" w:rsidRDefault="002641D2" w:rsidP="006F623F">
            <w:pPr>
              <w:rPr>
                <w:rFonts w:ascii="Arial" w:hAnsi="Arial" w:cs="Arial"/>
                <w:sz w:val="24"/>
                <w:szCs w:val="24"/>
              </w:rPr>
            </w:pPr>
            <w:r w:rsidRPr="00FA3F9C">
              <w:rPr>
                <w:rFonts w:ascii="Arial" w:hAnsi="Arial" w:cs="Arial"/>
                <w:sz w:val="24"/>
                <w:szCs w:val="24"/>
              </w:rPr>
              <w:t>Pharmacist’s initials</w:t>
            </w:r>
          </w:p>
        </w:tc>
      </w:tr>
      <w:tr w:rsidR="002641D2" w:rsidRPr="00FA3F9C" w14:paraId="5AE4B93F" w14:textId="77777777" w:rsidTr="00A47A7E">
        <w:tc>
          <w:tcPr>
            <w:tcW w:w="832" w:type="dxa"/>
          </w:tcPr>
          <w:p w14:paraId="7BB9E44D" w14:textId="77777777" w:rsidR="002641D2" w:rsidRPr="00FA3F9C" w:rsidRDefault="002641D2" w:rsidP="006F623F">
            <w:pPr>
              <w:rPr>
                <w:rFonts w:ascii="Arial" w:hAnsi="Arial" w:cs="Arial"/>
                <w:sz w:val="24"/>
                <w:szCs w:val="24"/>
              </w:rPr>
            </w:pPr>
            <w:r w:rsidRPr="00FA3F9C">
              <w:rPr>
                <w:rFonts w:ascii="Arial" w:hAnsi="Arial" w:cs="Arial"/>
                <w:sz w:val="24"/>
                <w:szCs w:val="24"/>
              </w:rPr>
              <w:t>5/6/19</w:t>
            </w:r>
          </w:p>
        </w:tc>
        <w:tc>
          <w:tcPr>
            <w:tcW w:w="8194" w:type="dxa"/>
          </w:tcPr>
          <w:p w14:paraId="25786632" w14:textId="77777777" w:rsidR="002641D2" w:rsidRPr="00FA3F9C" w:rsidRDefault="002641D2" w:rsidP="006F623F">
            <w:pPr>
              <w:rPr>
                <w:rFonts w:ascii="Arial" w:hAnsi="Arial" w:cs="Arial"/>
                <w:sz w:val="24"/>
                <w:szCs w:val="24"/>
              </w:rPr>
            </w:pPr>
            <w:r w:rsidRPr="00FA3F9C">
              <w:rPr>
                <w:rFonts w:ascii="Arial" w:hAnsi="Arial" w:cs="Arial"/>
                <w:sz w:val="24"/>
                <w:szCs w:val="24"/>
              </w:rPr>
              <w:t xml:space="preserve">I wrote the criteria.  *The 6 weeks of therapy with each trial of an SSRI or SNRI or bupropion before failure can be determined and the patient may be diagnosed as “treatment resistant”.  Six weeks was the minimum in the trials per the ICER report.  Our criteria are relatively generous because the trials reported therapy might require dose adjustments and 6-12 weeks to assess response.  ICER also reported that the TRANSFORM trials required failure of at least 2 monotherapies FOR EACH DEPRESSIVE EPISODE before </w:t>
            </w:r>
            <w:proofErr w:type="spellStart"/>
            <w:r w:rsidRPr="00FA3F9C">
              <w:rPr>
                <w:rFonts w:ascii="Arial" w:hAnsi="Arial" w:cs="Arial"/>
                <w:sz w:val="24"/>
                <w:szCs w:val="24"/>
              </w:rPr>
              <w:t>esketamine</w:t>
            </w:r>
            <w:proofErr w:type="spellEnd"/>
            <w:r w:rsidRPr="00FA3F9C">
              <w:rPr>
                <w:rFonts w:ascii="Arial" w:hAnsi="Arial" w:cs="Arial"/>
                <w:sz w:val="24"/>
                <w:szCs w:val="24"/>
              </w:rPr>
              <w:t xml:space="preserve"> was allowed.</w:t>
            </w:r>
          </w:p>
        </w:tc>
        <w:tc>
          <w:tcPr>
            <w:tcW w:w="1990" w:type="dxa"/>
          </w:tcPr>
          <w:p w14:paraId="16F54856" w14:textId="5C4B1744" w:rsidR="002641D2" w:rsidRPr="00FA3F9C" w:rsidRDefault="005C142D" w:rsidP="006F623F">
            <w:pPr>
              <w:rPr>
                <w:rFonts w:ascii="Arial" w:hAnsi="Arial" w:cs="Arial"/>
                <w:sz w:val="24"/>
                <w:szCs w:val="24"/>
              </w:rPr>
            </w:pPr>
            <w:r w:rsidRPr="00FA3F9C">
              <w:rPr>
                <w:rFonts w:ascii="Arial" w:hAnsi="Arial" w:cs="Arial"/>
                <w:sz w:val="24"/>
                <w:szCs w:val="24"/>
              </w:rPr>
              <w:t>JJ</w:t>
            </w:r>
          </w:p>
        </w:tc>
      </w:tr>
      <w:tr w:rsidR="002641D2" w:rsidRPr="00FA3F9C" w14:paraId="6CF2A0FA" w14:textId="77777777" w:rsidTr="00A47A7E">
        <w:tc>
          <w:tcPr>
            <w:tcW w:w="832" w:type="dxa"/>
          </w:tcPr>
          <w:p w14:paraId="13A393F6" w14:textId="77777777" w:rsidR="002641D2" w:rsidRPr="00FA3F9C" w:rsidRDefault="002641D2" w:rsidP="006F623F">
            <w:pPr>
              <w:rPr>
                <w:rFonts w:ascii="Arial" w:hAnsi="Arial" w:cs="Arial"/>
                <w:sz w:val="24"/>
                <w:szCs w:val="24"/>
              </w:rPr>
            </w:pPr>
            <w:r w:rsidRPr="00FA3F9C">
              <w:rPr>
                <w:rFonts w:ascii="Arial" w:hAnsi="Arial" w:cs="Arial"/>
                <w:sz w:val="24"/>
                <w:szCs w:val="24"/>
              </w:rPr>
              <w:t>5/25/19</w:t>
            </w:r>
          </w:p>
        </w:tc>
        <w:tc>
          <w:tcPr>
            <w:tcW w:w="8194" w:type="dxa"/>
          </w:tcPr>
          <w:p w14:paraId="056FF154" w14:textId="77777777" w:rsidR="002641D2" w:rsidRPr="00FA3F9C" w:rsidRDefault="002641D2" w:rsidP="006F623F">
            <w:pPr>
              <w:rPr>
                <w:rFonts w:ascii="Arial" w:hAnsi="Arial" w:cs="Arial"/>
                <w:sz w:val="24"/>
                <w:szCs w:val="24"/>
              </w:rPr>
            </w:pPr>
            <w:r w:rsidRPr="00FA3F9C">
              <w:rPr>
                <w:rFonts w:ascii="Arial" w:hAnsi="Arial" w:cs="Arial"/>
                <w:sz w:val="24"/>
                <w:szCs w:val="24"/>
              </w:rPr>
              <w:t xml:space="preserve">I adjusted the PA criteria after the ICER Midwest CEPAC meeting on </w:t>
            </w:r>
            <w:proofErr w:type="spellStart"/>
            <w:r w:rsidRPr="00FA3F9C">
              <w:rPr>
                <w:rFonts w:ascii="Arial" w:hAnsi="Arial" w:cs="Arial"/>
                <w:sz w:val="24"/>
                <w:szCs w:val="24"/>
              </w:rPr>
              <w:t>esketamine</w:t>
            </w:r>
            <w:proofErr w:type="spellEnd"/>
            <w:r w:rsidRPr="00FA3F9C">
              <w:rPr>
                <w:rFonts w:ascii="Arial" w:hAnsi="Arial" w:cs="Arial"/>
                <w:sz w:val="24"/>
                <w:szCs w:val="24"/>
              </w:rPr>
              <w:t>.</w:t>
            </w:r>
          </w:p>
        </w:tc>
        <w:tc>
          <w:tcPr>
            <w:tcW w:w="1990" w:type="dxa"/>
          </w:tcPr>
          <w:p w14:paraId="3289D665" w14:textId="6FDDA0CB" w:rsidR="002641D2" w:rsidRPr="00FA3F9C" w:rsidRDefault="005C142D" w:rsidP="006F623F">
            <w:pPr>
              <w:rPr>
                <w:rFonts w:ascii="Arial" w:hAnsi="Arial" w:cs="Arial"/>
                <w:sz w:val="24"/>
                <w:szCs w:val="24"/>
              </w:rPr>
            </w:pPr>
            <w:r w:rsidRPr="00FA3F9C">
              <w:rPr>
                <w:rFonts w:ascii="Arial" w:hAnsi="Arial" w:cs="Arial"/>
                <w:sz w:val="24"/>
                <w:szCs w:val="24"/>
              </w:rPr>
              <w:t>JJ</w:t>
            </w:r>
          </w:p>
        </w:tc>
      </w:tr>
    </w:tbl>
    <w:p w14:paraId="3316912E" w14:textId="77777777" w:rsidR="002641D2" w:rsidRPr="00FA3F9C" w:rsidRDefault="002641D2" w:rsidP="00A47A7E">
      <w:pPr>
        <w:spacing w:after="0" w:line="240" w:lineRule="auto"/>
        <w:rPr>
          <w:rFonts w:ascii="Arial" w:hAnsi="Arial" w:cs="Arial"/>
          <w:sz w:val="24"/>
          <w:szCs w:val="24"/>
        </w:rPr>
      </w:pPr>
      <w:r w:rsidRPr="00FA3F9C">
        <w:rPr>
          <w:rFonts w:ascii="Arial" w:hAnsi="Arial" w:cs="Arial"/>
          <w:b/>
          <w:sz w:val="24"/>
          <w:szCs w:val="24"/>
          <w:u w:val="single"/>
        </w:rPr>
        <w:t>References</w:t>
      </w:r>
      <w:r w:rsidRPr="00FA3F9C">
        <w:rPr>
          <w:rFonts w:ascii="Arial" w:hAnsi="Arial" w:cs="Arial"/>
          <w:sz w:val="24"/>
          <w:szCs w:val="24"/>
        </w:rPr>
        <w:t>:</w:t>
      </w:r>
    </w:p>
    <w:p w14:paraId="03CC5D05" w14:textId="77777777" w:rsidR="002641D2" w:rsidRPr="00FA3F9C" w:rsidRDefault="002641D2" w:rsidP="002641D2">
      <w:pPr>
        <w:pStyle w:val="ListParagraph"/>
        <w:numPr>
          <w:ilvl w:val="0"/>
          <w:numId w:val="199"/>
        </w:numPr>
        <w:spacing w:after="0" w:line="240" w:lineRule="auto"/>
        <w:ind w:left="0"/>
        <w:rPr>
          <w:rFonts w:ascii="Arial" w:eastAsia="Times New Roman" w:hAnsi="Arial" w:cs="Arial"/>
          <w:color w:val="222222"/>
          <w:sz w:val="24"/>
          <w:szCs w:val="24"/>
        </w:rPr>
      </w:pPr>
      <w:proofErr w:type="spellStart"/>
      <w:r w:rsidRPr="00FA3F9C">
        <w:rPr>
          <w:rFonts w:ascii="Arial" w:eastAsia="Times New Roman" w:hAnsi="Arial" w:cs="Arial"/>
          <w:color w:val="222222"/>
          <w:sz w:val="24"/>
          <w:szCs w:val="24"/>
          <w:lang w:val="es-ES"/>
        </w:rPr>
        <w:t>Canuso</w:t>
      </w:r>
      <w:proofErr w:type="spellEnd"/>
      <w:r w:rsidRPr="00FA3F9C">
        <w:rPr>
          <w:rFonts w:ascii="Arial" w:eastAsia="Times New Roman" w:hAnsi="Arial" w:cs="Arial"/>
          <w:color w:val="222222"/>
          <w:sz w:val="24"/>
          <w:szCs w:val="24"/>
          <w:lang w:val="es-ES"/>
        </w:rPr>
        <w:t xml:space="preserve">, Carla M., et al. </w:t>
      </w:r>
      <w:r w:rsidRPr="00FA3F9C">
        <w:rPr>
          <w:rFonts w:ascii="Arial" w:eastAsia="Times New Roman" w:hAnsi="Arial" w:cs="Arial"/>
          <w:color w:val="222222"/>
          <w:sz w:val="24"/>
          <w:szCs w:val="24"/>
        </w:rPr>
        <w:t xml:space="preserve">"Efficacy and safety of intranasal </w:t>
      </w:r>
      <w:proofErr w:type="spellStart"/>
      <w:r w:rsidRPr="00FA3F9C">
        <w:rPr>
          <w:rFonts w:ascii="Arial" w:eastAsia="Times New Roman" w:hAnsi="Arial" w:cs="Arial"/>
          <w:color w:val="222222"/>
          <w:sz w:val="24"/>
          <w:szCs w:val="24"/>
        </w:rPr>
        <w:t>esketamine</w:t>
      </w:r>
      <w:proofErr w:type="spellEnd"/>
      <w:r w:rsidRPr="00FA3F9C">
        <w:rPr>
          <w:rFonts w:ascii="Arial" w:eastAsia="Times New Roman" w:hAnsi="Arial" w:cs="Arial"/>
          <w:color w:val="222222"/>
          <w:sz w:val="24"/>
          <w:szCs w:val="24"/>
        </w:rPr>
        <w:t xml:space="preserve"> for the rapid reduction of symptoms of depression and suicidality in patients at imminent risk for suicide: results of a double-blind, randomized, placebo-controlled study." </w:t>
      </w:r>
      <w:r w:rsidRPr="00FA3F9C">
        <w:rPr>
          <w:rFonts w:ascii="Arial" w:eastAsia="Times New Roman" w:hAnsi="Arial" w:cs="Arial"/>
          <w:i/>
          <w:iCs/>
          <w:color w:val="222222"/>
          <w:sz w:val="24"/>
          <w:szCs w:val="24"/>
        </w:rPr>
        <w:t>American journal of psychiatry</w:t>
      </w:r>
      <w:r w:rsidRPr="00FA3F9C">
        <w:rPr>
          <w:rFonts w:ascii="Arial" w:eastAsia="Times New Roman" w:hAnsi="Arial" w:cs="Arial"/>
          <w:color w:val="222222"/>
          <w:sz w:val="24"/>
          <w:szCs w:val="24"/>
        </w:rPr>
        <w:t> 175.7 (2018): 620-630.</w:t>
      </w:r>
    </w:p>
    <w:p w14:paraId="52192AFC" w14:textId="77777777" w:rsidR="002641D2" w:rsidRPr="00FA3F9C" w:rsidRDefault="002641D2" w:rsidP="002641D2">
      <w:pPr>
        <w:pStyle w:val="ListParagraph"/>
        <w:numPr>
          <w:ilvl w:val="0"/>
          <w:numId w:val="199"/>
        </w:numPr>
        <w:spacing w:after="0" w:line="240" w:lineRule="auto"/>
        <w:ind w:left="0"/>
        <w:rPr>
          <w:rFonts w:ascii="Arial" w:eastAsia="Times New Roman" w:hAnsi="Arial" w:cs="Arial"/>
          <w:color w:val="222222"/>
          <w:sz w:val="24"/>
          <w:szCs w:val="24"/>
        </w:rPr>
      </w:pPr>
      <w:proofErr w:type="spellStart"/>
      <w:r w:rsidRPr="00FA3F9C">
        <w:rPr>
          <w:rFonts w:ascii="Arial" w:hAnsi="Arial" w:cs="Arial"/>
          <w:color w:val="222222"/>
          <w:sz w:val="24"/>
          <w:szCs w:val="24"/>
          <w:shd w:val="clear" w:color="auto" w:fill="F8F8F8"/>
        </w:rPr>
        <w:t>Duru</w:t>
      </w:r>
      <w:proofErr w:type="spellEnd"/>
      <w:r w:rsidRPr="00FA3F9C">
        <w:rPr>
          <w:rFonts w:ascii="Arial" w:hAnsi="Arial" w:cs="Arial"/>
          <w:color w:val="222222"/>
          <w:sz w:val="24"/>
          <w:szCs w:val="24"/>
          <w:shd w:val="clear" w:color="auto" w:fill="F8F8F8"/>
        </w:rPr>
        <w:t>, Gérard, and Bruno Fantino. "The clinical relevance of changes in the Montgomery–</w:t>
      </w:r>
      <w:proofErr w:type="spellStart"/>
      <w:r w:rsidRPr="00FA3F9C">
        <w:rPr>
          <w:rFonts w:ascii="Arial" w:hAnsi="Arial" w:cs="Arial"/>
          <w:color w:val="222222"/>
          <w:sz w:val="24"/>
          <w:szCs w:val="24"/>
          <w:shd w:val="clear" w:color="auto" w:fill="F8F8F8"/>
        </w:rPr>
        <w:t>Asberg</w:t>
      </w:r>
      <w:proofErr w:type="spellEnd"/>
      <w:r w:rsidRPr="00FA3F9C">
        <w:rPr>
          <w:rFonts w:ascii="Arial" w:hAnsi="Arial" w:cs="Arial"/>
          <w:color w:val="222222"/>
          <w:sz w:val="24"/>
          <w:szCs w:val="24"/>
          <w:shd w:val="clear" w:color="auto" w:fill="F8F8F8"/>
        </w:rPr>
        <w:t xml:space="preserve"> Depression Rating Scale using the minimum clinically important difference approach." </w:t>
      </w:r>
      <w:r w:rsidRPr="00FA3F9C">
        <w:rPr>
          <w:rFonts w:ascii="Arial" w:hAnsi="Arial" w:cs="Arial"/>
          <w:i/>
          <w:iCs/>
          <w:color w:val="222222"/>
          <w:sz w:val="24"/>
          <w:szCs w:val="24"/>
          <w:shd w:val="clear" w:color="auto" w:fill="F8F8F8"/>
        </w:rPr>
        <w:t>Current medical research and opinion</w:t>
      </w:r>
      <w:r w:rsidRPr="00FA3F9C">
        <w:rPr>
          <w:rFonts w:ascii="Arial" w:hAnsi="Arial" w:cs="Arial"/>
          <w:color w:val="222222"/>
          <w:sz w:val="24"/>
          <w:szCs w:val="24"/>
          <w:shd w:val="clear" w:color="auto" w:fill="F8F8F8"/>
        </w:rPr>
        <w:t> 24.5 (2008): 1329-1335.</w:t>
      </w:r>
    </w:p>
    <w:p w14:paraId="2A92D8CB" w14:textId="77777777" w:rsidR="002641D2" w:rsidRPr="00FA3F9C" w:rsidRDefault="002641D2" w:rsidP="002641D2">
      <w:pPr>
        <w:pStyle w:val="ListParagraph"/>
        <w:numPr>
          <w:ilvl w:val="0"/>
          <w:numId w:val="199"/>
        </w:numPr>
        <w:spacing w:after="0" w:line="240" w:lineRule="auto"/>
        <w:ind w:left="0"/>
        <w:rPr>
          <w:rFonts w:ascii="Arial" w:eastAsia="Times New Roman" w:hAnsi="Arial" w:cs="Arial"/>
          <w:color w:val="222222"/>
          <w:sz w:val="24"/>
          <w:szCs w:val="24"/>
        </w:rPr>
      </w:pPr>
      <w:r w:rsidRPr="00FA3F9C">
        <w:rPr>
          <w:rFonts w:ascii="Arial" w:hAnsi="Arial" w:cs="Arial"/>
          <w:color w:val="222222"/>
          <w:sz w:val="24"/>
          <w:szCs w:val="24"/>
          <w:shd w:val="clear" w:color="auto" w:fill="FFFFFF"/>
        </w:rPr>
        <w:lastRenderedPageBreak/>
        <w:t>Aripiprazole (Abilify): Depression, Major Depressive Disorder (MDD) [Internet]. Ottawa (ON): Canadian Agency for Drugs and Technologies in Health; 2016 Nov. Table 18, Validity and Minimal Clinically Important Difference of Outcome Measures.</w:t>
      </w:r>
    </w:p>
    <w:p w14:paraId="5E93B604" w14:textId="77777777" w:rsidR="002641D2" w:rsidRPr="00FA3F9C" w:rsidRDefault="002641D2" w:rsidP="002641D2">
      <w:pPr>
        <w:pStyle w:val="ListParagraph"/>
        <w:numPr>
          <w:ilvl w:val="0"/>
          <w:numId w:val="199"/>
        </w:numPr>
        <w:spacing w:after="0" w:line="240" w:lineRule="auto"/>
        <w:ind w:left="0"/>
        <w:rPr>
          <w:rFonts w:ascii="Arial" w:eastAsia="Times New Roman" w:hAnsi="Arial" w:cs="Arial"/>
          <w:color w:val="222222"/>
          <w:sz w:val="24"/>
          <w:szCs w:val="24"/>
        </w:rPr>
      </w:pPr>
      <w:r w:rsidRPr="00FA3F9C">
        <w:rPr>
          <w:rFonts w:ascii="Arial" w:hAnsi="Arial" w:cs="Arial"/>
          <w:color w:val="222222"/>
          <w:sz w:val="24"/>
          <w:szCs w:val="24"/>
          <w:shd w:val="clear" w:color="auto" w:fill="FFFFFF"/>
        </w:rPr>
        <w:t>UpToDate: Treatment resistant depression</w:t>
      </w:r>
    </w:p>
    <w:p w14:paraId="63BAA239" w14:textId="77777777" w:rsidR="002641D2" w:rsidRPr="00FA3F9C" w:rsidRDefault="002641D2" w:rsidP="002641D2">
      <w:pPr>
        <w:pStyle w:val="ListParagraph"/>
        <w:numPr>
          <w:ilvl w:val="0"/>
          <w:numId w:val="199"/>
        </w:numPr>
        <w:spacing w:after="0" w:line="240" w:lineRule="auto"/>
        <w:ind w:left="0"/>
        <w:rPr>
          <w:rFonts w:ascii="Arial" w:eastAsia="Times New Roman" w:hAnsi="Arial" w:cs="Arial"/>
          <w:color w:val="222222"/>
          <w:sz w:val="24"/>
          <w:szCs w:val="24"/>
        </w:rPr>
      </w:pPr>
      <w:proofErr w:type="spellStart"/>
      <w:r w:rsidRPr="00FA3F9C">
        <w:rPr>
          <w:rFonts w:ascii="Arial" w:hAnsi="Arial" w:cs="Arial"/>
          <w:color w:val="222222"/>
          <w:sz w:val="24"/>
          <w:szCs w:val="24"/>
          <w:shd w:val="clear" w:color="auto" w:fill="FFFFFF"/>
        </w:rPr>
        <w:t>LexiComp</w:t>
      </w:r>
      <w:proofErr w:type="spellEnd"/>
      <w:r w:rsidRPr="00FA3F9C">
        <w:rPr>
          <w:rFonts w:ascii="Arial" w:hAnsi="Arial" w:cs="Arial"/>
          <w:color w:val="222222"/>
          <w:sz w:val="24"/>
          <w:szCs w:val="24"/>
          <w:shd w:val="clear" w:color="auto" w:fill="FFFFFF"/>
        </w:rPr>
        <w:t xml:space="preserve">: </w:t>
      </w:r>
      <w:proofErr w:type="spellStart"/>
      <w:r w:rsidRPr="00FA3F9C">
        <w:rPr>
          <w:rFonts w:ascii="Arial" w:hAnsi="Arial" w:cs="Arial"/>
          <w:color w:val="222222"/>
          <w:sz w:val="24"/>
          <w:szCs w:val="24"/>
          <w:shd w:val="clear" w:color="auto" w:fill="FFFFFF"/>
        </w:rPr>
        <w:t>esketamine</w:t>
      </w:r>
      <w:proofErr w:type="spellEnd"/>
      <w:r w:rsidRPr="00FA3F9C">
        <w:rPr>
          <w:rFonts w:ascii="Arial" w:hAnsi="Arial" w:cs="Arial"/>
          <w:color w:val="222222"/>
          <w:sz w:val="24"/>
          <w:szCs w:val="24"/>
          <w:shd w:val="clear" w:color="auto" w:fill="FFFFFF"/>
        </w:rPr>
        <w:t>. Accessed 3/26/19.</w:t>
      </w:r>
    </w:p>
    <w:p w14:paraId="09EE5EB2" w14:textId="77777777" w:rsidR="002641D2" w:rsidRPr="00FA3F9C" w:rsidRDefault="002641D2" w:rsidP="002641D2">
      <w:pPr>
        <w:pStyle w:val="ListParagraph"/>
        <w:numPr>
          <w:ilvl w:val="0"/>
          <w:numId w:val="199"/>
        </w:numPr>
        <w:spacing w:after="0" w:line="240" w:lineRule="auto"/>
        <w:ind w:left="0"/>
        <w:rPr>
          <w:rFonts w:ascii="Arial" w:eastAsia="Times New Roman" w:hAnsi="Arial" w:cs="Arial"/>
          <w:color w:val="222222"/>
          <w:sz w:val="24"/>
          <w:szCs w:val="24"/>
        </w:rPr>
      </w:pPr>
      <w:r w:rsidRPr="00FA3F9C">
        <w:rPr>
          <w:rFonts w:ascii="Arial" w:hAnsi="Arial" w:cs="Arial"/>
          <w:color w:val="222222"/>
          <w:sz w:val="24"/>
          <w:szCs w:val="24"/>
          <w:shd w:val="clear" w:color="auto" w:fill="F8F8F8"/>
          <w:lang w:val="es-ES"/>
        </w:rPr>
        <w:t xml:space="preserve">Daly, Ella J., et al. </w:t>
      </w:r>
      <w:r w:rsidRPr="00FA3F9C">
        <w:rPr>
          <w:rFonts w:ascii="Arial" w:hAnsi="Arial" w:cs="Arial"/>
          <w:color w:val="222222"/>
          <w:sz w:val="24"/>
          <w:szCs w:val="24"/>
          <w:shd w:val="clear" w:color="auto" w:fill="F8F8F8"/>
        </w:rPr>
        <w:t xml:space="preserve">"Efficacy and safety of intranasal </w:t>
      </w:r>
      <w:proofErr w:type="spellStart"/>
      <w:r w:rsidRPr="00FA3F9C">
        <w:rPr>
          <w:rFonts w:ascii="Arial" w:hAnsi="Arial" w:cs="Arial"/>
          <w:color w:val="222222"/>
          <w:sz w:val="24"/>
          <w:szCs w:val="24"/>
          <w:shd w:val="clear" w:color="auto" w:fill="F8F8F8"/>
        </w:rPr>
        <w:t>esketamine</w:t>
      </w:r>
      <w:proofErr w:type="spellEnd"/>
      <w:r w:rsidRPr="00FA3F9C">
        <w:rPr>
          <w:rFonts w:ascii="Arial" w:hAnsi="Arial" w:cs="Arial"/>
          <w:color w:val="222222"/>
          <w:sz w:val="24"/>
          <w:szCs w:val="24"/>
          <w:shd w:val="clear" w:color="auto" w:fill="F8F8F8"/>
        </w:rPr>
        <w:t xml:space="preserve"> adjunctive to oral antidepressant therapy in treatment-resistant depression: a randomized clinical trial." </w:t>
      </w:r>
      <w:r w:rsidRPr="00FA3F9C">
        <w:rPr>
          <w:rFonts w:ascii="Arial" w:hAnsi="Arial" w:cs="Arial"/>
          <w:i/>
          <w:iCs/>
          <w:color w:val="222222"/>
          <w:sz w:val="24"/>
          <w:szCs w:val="24"/>
          <w:shd w:val="clear" w:color="auto" w:fill="F8F8F8"/>
        </w:rPr>
        <w:t>JAMA psychiatry</w:t>
      </w:r>
      <w:r w:rsidRPr="00FA3F9C">
        <w:rPr>
          <w:rFonts w:ascii="Arial" w:hAnsi="Arial" w:cs="Arial"/>
          <w:color w:val="222222"/>
          <w:sz w:val="24"/>
          <w:szCs w:val="24"/>
          <w:shd w:val="clear" w:color="auto" w:fill="F8F8F8"/>
        </w:rPr>
        <w:t> 75.2 (2018): 139-148.</w:t>
      </w:r>
    </w:p>
    <w:p w14:paraId="18B37B0E" w14:textId="77777777" w:rsidR="002641D2" w:rsidRPr="00FA3F9C" w:rsidRDefault="002641D2" w:rsidP="002641D2">
      <w:pPr>
        <w:pStyle w:val="ListParagraph"/>
        <w:numPr>
          <w:ilvl w:val="0"/>
          <w:numId w:val="199"/>
        </w:numPr>
        <w:spacing w:after="0" w:line="240" w:lineRule="auto"/>
        <w:ind w:left="0"/>
        <w:rPr>
          <w:rFonts w:ascii="Arial" w:eastAsia="Times New Roman" w:hAnsi="Arial" w:cs="Arial"/>
          <w:sz w:val="24"/>
          <w:szCs w:val="24"/>
        </w:rPr>
      </w:pPr>
      <w:r w:rsidRPr="00FA3F9C">
        <w:rPr>
          <w:rFonts w:ascii="Arial" w:eastAsia="Times New Roman" w:hAnsi="Arial" w:cs="Arial"/>
          <w:color w:val="222222"/>
          <w:sz w:val="24"/>
          <w:szCs w:val="24"/>
        </w:rPr>
        <w:t xml:space="preserve">ICER Draft Evidence Report.  </w:t>
      </w:r>
      <w:proofErr w:type="spellStart"/>
      <w:r w:rsidRPr="00FA3F9C">
        <w:rPr>
          <w:rFonts w:ascii="Arial" w:eastAsia="Times New Roman" w:hAnsi="Arial" w:cs="Arial"/>
          <w:sz w:val="24"/>
          <w:szCs w:val="24"/>
        </w:rPr>
        <w:t>Esketamine</w:t>
      </w:r>
      <w:proofErr w:type="spellEnd"/>
      <w:r w:rsidRPr="00FA3F9C">
        <w:rPr>
          <w:rFonts w:ascii="Arial" w:eastAsia="Times New Roman" w:hAnsi="Arial" w:cs="Arial"/>
          <w:sz w:val="24"/>
          <w:szCs w:val="24"/>
        </w:rPr>
        <w:t xml:space="preserve"> for the Treatment of </w:t>
      </w:r>
      <w:proofErr w:type="spellStart"/>
      <w:r w:rsidRPr="00FA3F9C">
        <w:rPr>
          <w:rFonts w:ascii="Arial" w:eastAsia="Times New Roman" w:hAnsi="Arial" w:cs="Arial"/>
          <w:sz w:val="24"/>
          <w:szCs w:val="24"/>
        </w:rPr>
        <w:t>TreatmentResistant</w:t>
      </w:r>
      <w:proofErr w:type="spellEnd"/>
      <w:r w:rsidRPr="00FA3F9C">
        <w:rPr>
          <w:rFonts w:ascii="Arial" w:eastAsia="Times New Roman" w:hAnsi="Arial" w:cs="Arial"/>
          <w:sz w:val="24"/>
          <w:szCs w:val="24"/>
        </w:rPr>
        <w:t xml:space="preserve"> Depression: Effectiveness and Value. 3/21/2019. </w:t>
      </w:r>
    </w:p>
    <w:p w14:paraId="388477E4" w14:textId="77777777" w:rsidR="002641D2" w:rsidRPr="00FA3F9C" w:rsidRDefault="002641D2" w:rsidP="006F623F">
      <w:pPr>
        <w:spacing w:after="0"/>
        <w:rPr>
          <w:rFonts w:ascii="Arial" w:hAnsi="Arial" w:cs="Arial"/>
          <w:sz w:val="24"/>
          <w:szCs w:val="24"/>
        </w:rPr>
      </w:pPr>
    </w:p>
    <w:p w14:paraId="0B339FD7" w14:textId="77777777" w:rsidR="002641D2" w:rsidRPr="00FA3F9C" w:rsidRDefault="002641D2" w:rsidP="00BE7C2A">
      <w:pPr>
        <w:pStyle w:val="Heading2"/>
      </w:pPr>
      <w:bookmarkStart w:id="114" w:name="_Toc106369797"/>
      <w:proofErr w:type="spellStart"/>
      <w:r w:rsidRPr="00FA3F9C">
        <w:t>Everolimus</w:t>
      </w:r>
      <w:proofErr w:type="spellEnd"/>
      <w:r w:rsidRPr="00FA3F9C">
        <w:t xml:space="preserve"> (</w:t>
      </w:r>
      <w:proofErr w:type="spellStart"/>
      <w:r w:rsidRPr="00FA3F9C">
        <w:t>Afinitor</w:t>
      </w:r>
      <w:proofErr w:type="spellEnd"/>
      <w:r w:rsidRPr="00FA3F9C">
        <w:t>®)</w:t>
      </w:r>
      <w:bookmarkEnd w:id="114"/>
    </w:p>
    <w:p w14:paraId="56879ED8" w14:textId="77777777" w:rsidR="002641D2" w:rsidRPr="00FA3F9C" w:rsidRDefault="002641D2" w:rsidP="00E4013F">
      <w:pPr>
        <w:jc w:val="center"/>
        <w:rPr>
          <w:rFonts w:ascii="Arial" w:hAnsi="Arial" w:cs="Arial"/>
          <w:sz w:val="24"/>
          <w:szCs w:val="24"/>
        </w:rPr>
      </w:pPr>
      <w:r w:rsidRPr="00FA3F9C">
        <w:rPr>
          <w:rFonts w:ascii="Arial" w:hAnsi="Arial" w:cs="Arial"/>
          <w:sz w:val="24"/>
          <w:szCs w:val="24"/>
        </w:rPr>
        <w:t>2.5, 5, 7.5, 10mg tablets</w:t>
      </w:r>
    </w:p>
    <w:p w14:paraId="2BE5B6F6" w14:textId="77777777" w:rsidR="002641D2" w:rsidRPr="00FA3F9C" w:rsidRDefault="002641D2" w:rsidP="009F51AC">
      <w:pPr>
        <w:jc w:val="center"/>
        <w:rPr>
          <w:rFonts w:ascii="Arial" w:hAnsi="Arial" w:cs="Arial"/>
          <w:sz w:val="24"/>
          <w:szCs w:val="24"/>
        </w:rPr>
      </w:pPr>
      <w:r w:rsidRPr="00FA3F9C">
        <w:rPr>
          <w:rFonts w:ascii="Arial" w:hAnsi="Arial" w:cs="Arial"/>
          <w:sz w:val="24"/>
          <w:szCs w:val="24"/>
        </w:rPr>
        <w:t>EBRx PA Criteria</w:t>
      </w:r>
    </w:p>
    <w:p w14:paraId="26A8C3D3" w14:textId="77777777" w:rsidR="002641D2" w:rsidRPr="00FA3F9C" w:rsidRDefault="002641D2" w:rsidP="00E4013F">
      <w:pPr>
        <w:jc w:val="center"/>
        <w:rPr>
          <w:rFonts w:ascii="Arial" w:hAnsi="Arial" w:cs="Arial"/>
          <w:b/>
          <w:sz w:val="24"/>
          <w:szCs w:val="24"/>
        </w:rPr>
      </w:pPr>
    </w:p>
    <w:p w14:paraId="336D41EE" w14:textId="77777777" w:rsidR="002641D2" w:rsidRPr="00FA3F9C" w:rsidRDefault="002641D2" w:rsidP="009F51AC">
      <w:pPr>
        <w:rPr>
          <w:rFonts w:ascii="Arial" w:hAnsi="Arial" w:cs="Arial"/>
          <w:b/>
          <w:sz w:val="24"/>
          <w:szCs w:val="24"/>
          <w:u w:val="single"/>
        </w:rPr>
      </w:pPr>
      <w:r w:rsidRPr="00FA3F9C">
        <w:rPr>
          <w:rFonts w:ascii="Arial" w:hAnsi="Arial" w:cs="Arial"/>
          <w:b/>
          <w:sz w:val="24"/>
          <w:szCs w:val="24"/>
          <w:u w:val="single"/>
        </w:rPr>
        <w:t>FDA approved for:</w:t>
      </w:r>
    </w:p>
    <w:p w14:paraId="01871DDB" w14:textId="77777777" w:rsidR="002641D2" w:rsidRPr="00FA3F9C" w:rsidRDefault="002641D2" w:rsidP="002641D2">
      <w:pPr>
        <w:numPr>
          <w:ilvl w:val="0"/>
          <w:numId w:val="202"/>
        </w:numPr>
        <w:spacing w:after="0" w:line="276" w:lineRule="auto"/>
        <w:ind w:left="187" w:hanging="187"/>
        <w:rPr>
          <w:rFonts w:ascii="Arial" w:hAnsi="Arial" w:cs="Arial"/>
          <w:sz w:val="24"/>
          <w:szCs w:val="24"/>
        </w:rPr>
      </w:pPr>
      <w:r w:rsidRPr="00FA3F9C">
        <w:rPr>
          <w:rFonts w:ascii="Arial" w:hAnsi="Arial" w:cs="Arial"/>
          <w:sz w:val="24"/>
          <w:szCs w:val="24"/>
        </w:rPr>
        <w:t xml:space="preserve">Postmenopausal women with advanced hormone receptor-positive, HER2- negative breast cancer in combination with exemestane after failure of treatment with letrozole or anastrozole. </w:t>
      </w:r>
      <w:r w:rsidRPr="00FA3F9C">
        <w:rPr>
          <w:rFonts w:ascii="Arial" w:hAnsi="Arial" w:cs="Arial"/>
          <w:sz w:val="24"/>
          <w:szCs w:val="24"/>
          <w:highlight w:val="yellow"/>
        </w:rPr>
        <w:t>NOT COVERED</w:t>
      </w:r>
    </w:p>
    <w:p w14:paraId="37911E98" w14:textId="77777777" w:rsidR="002641D2" w:rsidRPr="00FA3F9C" w:rsidRDefault="002641D2" w:rsidP="002641D2">
      <w:pPr>
        <w:numPr>
          <w:ilvl w:val="1"/>
          <w:numId w:val="202"/>
        </w:numPr>
        <w:spacing w:after="0" w:line="276" w:lineRule="auto"/>
        <w:ind w:left="540" w:hanging="270"/>
        <w:rPr>
          <w:rFonts w:ascii="Arial" w:hAnsi="Arial" w:cs="Arial"/>
          <w:sz w:val="24"/>
          <w:szCs w:val="24"/>
        </w:rPr>
      </w:pPr>
      <w:r w:rsidRPr="00FA3F9C">
        <w:rPr>
          <w:rFonts w:ascii="Arial" w:hAnsi="Arial" w:cs="Arial"/>
          <w:sz w:val="24"/>
          <w:szCs w:val="24"/>
        </w:rPr>
        <w:t>Benefit is limited to progression free survival, and no overall survival or quality of life benefit has been demonstrated. Scroll to bottom of this document for further details.</w:t>
      </w:r>
    </w:p>
    <w:p w14:paraId="554F845C" w14:textId="77777777" w:rsidR="002641D2" w:rsidRPr="00FA3F9C" w:rsidRDefault="002641D2" w:rsidP="002641D2">
      <w:pPr>
        <w:numPr>
          <w:ilvl w:val="0"/>
          <w:numId w:val="202"/>
        </w:numPr>
        <w:spacing w:after="0" w:line="276" w:lineRule="auto"/>
        <w:ind w:left="187" w:hanging="187"/>
        <w:rPr>
          <w:rFonts w:ascii="Arial" w:hAnsi="Arial" w:cs="Arial"/>
          <w:sz w:val="24"/>
          <w:szCs w:val="24"/>
        </w:rPr>
      </w:pPr>
      <w:r w:rsidRPr="00FA3F9C">
        <w:rPr>
          <w:rFonts w:ascii="Arial" w:hAnsi="Arial" w:cs="Arial"/>
          <w:sz w:val="24"/>
          <w:szCs w:val="24"/>
        </w:rPr>
        <w:t xml:space="preserve">Adults with progressive neuroendocrine tumors of pancreatic origin (PNET) and adults with progressive, well-differentiated, non-functional neuroendocrine tumors (NET) of gastrointestinal (GI) or lung origin that are unresectable, locally advanced or metastatic. </w:t>
      </w:r>
    </w:p>
    <w:p w14:paraId="6695AC3D" w14:textId="77777777" w:rsidR="002641D2" w:rsidRPr="00FA3F9C" w:rsidRDefault="002641D2" w:rsidP="002641D2">
      <w:pPr>
        <w:numPr>
          <w:ilvl w:val="1"/>
          <w:numId w:val="202"/>
        </w:numPr>
        <w:spacing w:after="0" w:line="276" w:lineRule="auto"/>
        <w:ind w:left="540" w:hanging="270"/>
        <w:rPr>
          <w:rFonts w:ascii="Arial" w:hAnsi="Arial" w:cs="Arial"/>
          <w:sz w:val="24"/>
          <w:szCs w:val="24"/>
        </w:rPr>
      </w:pPr>
      <w:r w:rsidRPr="00FA3F9C">
        <w:rPr>
          <w:rFonts w:ascii="Arial" w:hAnsi="Arial" w:cs="Arial"/>
          <w:sz w:val="24"/>
          <w:szCs w:val="24"/>
        </w:rPr>
        <w:t xml:space="preserve">Limitation of Use: </w:t>
      </w:r>
      <w:proofErr w:type="spellStart"/>
      <w:r w:rsidRPr="00FA3F9C">
        <w:rPr>
          <w:rFonts w:ascii="Arial" w:hAnsi="Arial" w:cs="Arial"/>
          <w:sz w:val="24"/>
          <w:szCs w:val="24"/>
        </w:rPr>
        <w:t>Everolimus</w:t>
      </w:r>
      <w:proofErr w:type="spellEnd"/>
      <w:r w:rsidRPr="00FA3F9C">
        <w:rPr>
          <w:rFonts w:ascii="Arial" w:hAnsi="Arial" w:cs="Arial"/>
          <w:sz w:val="24"/>
          <w:szCs w:val="24"/>
        </w:rPr>
        <w:t xml:space="preserve"> is not indicated for the treatment of patients with functional carcinoid tumors. </w:t>
      </w:r>
    </w:p>
    <w:p w14:paraId="16FD92CE" w14:textId="77777777" w:rsidR="002641D2" w:rsidRPr="00FA3F9C" w:rsidRDefault="002641D2" w:rsidP="002641D2">
      <w:pPr>
        <w:numPr>
          <w:ilvl w:val="0"/>
          <w:numId w:val="202"/>
        </w:numPr>
        <w:spacing w:after="0" w:line="276" w:lineRule="auto"/>
        <w:ind w:left="187" w:hanging="187"/>
        <w:rPr>
          <w:rFonts w:ascii="Arial" w:hAnsi="Arial" w:cs="Arial"/>
          <w:sz w:val="24"/>
          <w:szCs w:val="24"/>
        </w:rPr>
      </w:pPr>
      <w:r w:rsidRPr="00FA3F9C">
        <w:rPr>
          <w:rFonts w:ascii="Arial" w:hAnsi="Arial" w:cs="Arial"/>
          <w:sz w:val="24"/>
          <w:szCs w:val="24"/>
        </w:rPr>
        <w:t xml:space="preserve">Adults with advanced renal cell carcinoma (RCC) after failure of treatment with sunitinib or sorafenib. </w:t>
      </w:r>
    </w:p>
    <w:p w14:paraId="18F598DE" w14:textId="77777777" w:rsidR="002641D2" w:rsidRPr="00FA3F9C" w:rsidRDefault="002641D2" w:rsidP="002641D2">
      <w:pPr>
        <w:numPr>
          <w:ilvl w:val="0"/>
          <w:numId w:val="202"/>
        </w:numPr>
        <w:spacing w:after="0" w:line="276" w:lineRule="auto"/>
        <w:ind w:left="187" w:hanging="187"/>
        <w:rPr>
          <w:rFonts w:ascii="Arial" w:hAnsi="Arial" w:cs="Arial"/>
          <w:sz w:val="24"/>
          <w:szCs w:val="24"/>
        </w:rPr>
      </w:pPr>
      <w:r w:rsidRPr="00FA3F9C">
        <w:rPr>
          <w:rFonts w:ascii="Arial" w:hAnsi="Arial" w:cs="Arial"/>
          <w:sz w:val="24"/>
          <w:szCs w:val="24"/>
        </w:rPr>
        <w:t>Adults with renal angiomyolipoma and tuberous sclerosis complex (TSC), not requiring immediate surgery.</w:t>
      </w:r>
    </w:p>
    <w:p w14:paraId="20F640B0" w14:textId="77777777" w:rsidR="002641D2" w:rsidRPr="00FA3F9C" w:rsidRDefault="002641D2" w:rsidP="002641D2">
      <w:pPr>
        <w:numPr>
          <w:ilvl w:val="0"/>
          <w:numId w:val="202"/>
        </w:numPr>
        <w:spacing w:after="0" w:line="276" w:lineRule="auto"/>
        <w:ind w:left="187" w:hanging="187"/>
        <w:rPr>
          <w:rFonts w:ascii="Arial" w:hAnsi="Arial" w:cs="Arial"/>
          <w:sz w:val="24"/>
          <w:szCs w:val="24"/>
        </w:rPr>
      </w:pPr>
      <w:r w:rsidRPr="00FA3F9C">
        <w:rPr>
          <w:rFonts w:ascii="Arial" w:hAnsi="Arial" w:cs="Arial"/>
          <w:sz w:val="24"/>
          <w:szCs w:val="24"/>
        </w:rPr>
        <w:t xml:space="preserve">Treatment of adult and pediatric patients aged 1 year and older with TSC who have subependymal giant cell astrocytoma (SEGA) that requires therapeutic intervention but cannot be curatively resected. </w:t>
      </w:r>
    </w:p>
    <w:p w14:paraId="221C50B8" w14:textId="77777777" w:rsidR="002641D2" w:rsidRPr="00FA3F9C" w:rsidRDefault="002641D2" w:rsidP="00481DB9">
      <w:pPr>
        <w:spacing w:line="276" w:lineRule="auto"/>
        <w:rPr>
          <w:rFonts w:ascii="Arial" w:hAnsi="Arial" w:cs="Arial"/>
          <w:sz w:val="24"/>
          <w:szCs w:val="24"/>
        </w:rPr>
      </w:pP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40"/>
      </w:tblGrid>
      <w:tr w:rsidR="002641D2" w:rsidRPr="00FA3F9C" w14:paraId="53D66909" w14:textId="77777777" w:rsidTr="009D6C35">
        <w:trPr>
          <w:trHeight w:val="305"/>
          <w:jc w:val="center"/>
        </w:trPr>
        <w:tc>
          <w:tcPr>
            <w:tcW w:w="10440" w:type="dxa"/>
            <w:shd w:val="clear" w:color="auto" w:fill="000000"/>
            <w:vAlign w:val="center"/>
          </w:tcPr>
          <w:p w14:paraId="33515FD6" w14:textId="77777777" w:rsidR="002641D2" w:rsidRPr="00FA3F9C" w:rsidRDefault="002641D2" w:rsidP="0045266F">
            <w:pPr>
              <w:rPr>
                <w:rFonts w:ascii="Arial" w:eastAsia="MS Gothic" w:hAnsi="Arial" w:cs="Arial"/>
                <w:b/>
                <w:color w:val="FFFFFF"/>
                <w:sz w:val="24"/>
                <w:szCs w:val="24"/>
              </w:rPr>
            </w:pPr>
            <w:r w:rsidRPr="00FA3F9C">
              <w:rPr>
                <w:rFonts w:ascii="Arial" w:eastAsia="MS Gothic" w:hAnsi="Arial" w:cs="Arial"/>
                <w:b/>
                <w:color w:val="FFFFFF"/>
                <w:sz w:val="24"/>
                <w:szCs w:val="24"/>
              </w:rPr>
              <w:lastRenderedPageBreak/>
              <w:t>Pancreatic Neuroendocrine Tumor (PNET)</w:t>
            </w:r>
          </w:p>
        </w:tc>
      </w:tr>
      <w:tr w:rsidR="002641D2" w:rsidRPr="00FA3F9C" w14:paraId="02A5C4F5" w14:textId="77777777" w:rsidTr="0045266F">
        <w:trPr>
          <w:trHeight w:val="305"/>
          <w:jc w:val="center"/>
        </w:trPr>
        <w:tc>
          <w:tcPr>
            <w:tcW w:w="10440" w:type="dxa"/>
            <w:vAlign w:val="center"/>
          </w:tcPr>
          <w:p w14:paraId="6388655E" w14:textId="77777777" w:rsidR="002641D2" w:rsidRPr="00FA3F9C" w:rsidRDefault="002641D2" w:rsidP="009D6C35">
            <w:pPr>
              <w:rPr>
                <w:rFonts w:ascii="Arial" w:hAnsi="Arial" w:cs="Arial"/>
                <w:sz w:val="24"/>
                <w:szCs w:val="24"/>
              </w:rPr>
            </w:pPr>
            <w:r w:rsidRPr="00FA3F9C">
              <w:rPr>
                <w:rFonts w:ascii="Arial" w:hAnsi="Arial" w:cs="Arial"/>
                <w:sz w:val="24"/>
                <w:szCs w:val="24"/>
              </w:rPr>
              <w:t>1. The patient has a diagnosis of advanced pancreatic neuroendocrine tumor PNET.</w:t>
            </w:r>
          </w:p>
        </w:tc>
      </w:tr>
      <w:tr w:rsidR="002641D2" w:rsidRPr="00FA3F9C" w14:paraId="0384480B" w14:textId="77777777" w:rsidTr="0045266F">
        <w:trPr>
          <w:jc w:val="center"/>
        </w:trPr>
        <w:tc>
          <w:tcPr>
            <w:tcW w:w="10440" w:type="dxa"/>
          </w:tcPr>
          <w:p w14:paraId="2C819D82" w14:textId="77777777" w:rsidR="002641D2" w:rsidRPr="00FA3F9C" w:rsidRDefault="002641D2" w:rsidP="009D6C35">
            <w:pPr>
              <w:rPr>
                <w:rFonts w:ascii="Arial" w:hAnsi="Arial" w:cs="Arial"/>
                <w:sz w:val="24"/>
                <w:szCs w:val="24"/>
              </w:rPr>
            </w:pPr>
            <w:r w:rsidRPr="00FA3F9C">
              <w:rPr>
                <w:rFonts w:ascii="Arial" w:hAnsi="Arial" w:cs="Arial"/>
                <w:sz w:val="24"/>
                <w:szCs w:val="24"/>
              </w:rPr>
              <w:t>2. Tumor is low or intermediate grade</w:t>
            </w:r>
          </w:p>
        </w:tc>
      </w:tr>
      <w:tr w:rsidR="002641D2" w:rsidRPr="00FA3F9C" w14:paraId="3478D1AA" w14:textId="77777777" w:rsidTr="0045266F">
        <w:trPr>
          <w:jc w:val="center"/>
        </w:trPr>
        <w:tc>
          <w:tcPr>
            <w:tcW w:w="10440" w:type="dxa"/>
          </w:tcPr>
          <w:p w14:paraId="04CC80E0" w14:textId="77777777" w:rsidR="002641D2" w:rsidRPr="00FA3F9C" w:rsidRDefault="002641D2" w:rsidP="009D6C35">
            <w:pPr>
              <w:rPr>
                <w:rFonts w:ascii="Arial" w:hAnsi="Arial" w:cs="Arial"/>
                <w:sz w:val="24"/>
                <w:szCs w:val="24"/>
              </w:rPr>
            </w:pPr>
            <w:r w:rsidRPr="00FA3F9C">
              <w:rPr>
                <w:rFonts w:ascii="Arial" w:hAnsi="Arial" w:cs="Arial"/>
                <w:sz w:val="24"/>
                <w:szCs w:val="24"/>
              </w:rPr>
              <w:t>3. Tumor is progressing at time of request</w:t>
            </w:r>
          </w:p>
        </w:tc>
      </w:tr>
      <w:tr w:rsidR="002641D2" w:rsidRPr="00FA3F9C" w14:paraId="7BAAC957" w14:textId="77777777" w:rsidTr="0045266F">
        <w:trPr>
          <w:jc w:val="center"/>
        </w:trPr>
        <w:tc>
          <w:tcPr>
            <w:tcW w:w="10440" w:type="dxa"/>
          </w:tcPr>
          <w:p w14:paraId="1A103AC1" w14:textId="77777777" w:rsidR="002641D2" w:rsidRPr="00FA3F9C" w:rsidRDefault="002641D2" w:rsidP="00EC5539">
            <w:pPr>
              <w:rPr>
                <w:rFonts w:ascii="Arial" w:hAnsi="Arial" w:cs="Arial"/>
                <w:sz w:val="24"/>
                <w:szCs w:val="24"/>
              </w:rPr>
            </w:pPr>
            <w:r w:rsidRPr="00FA3F9C">
              <w:rPr>
                <w:rFonts w:ascii="Arial" w:hAnsi="Arial" w:cs="Arial"/>
                <w:sz w:val="24"/>
                <w:szCs w:val="24"/>
              </w:rPr>
              <w:t>4. If radiolabeled somatostatin analog diagnostic imaging (</w:t>
            </w:r>
            <w:proofErr w:type="gramStart"/>
            <w:r w:rsidRPr="00FA3F9C">
              <w:rPr>
                <w:rFonts w:ascii="Arial" w:hAnsi="Arial" w:cs="Arial"/>
                <w:sz w:val="24"/>
                <w:szCs w:val="24"/>
              </w:rPr>
              <w:t>e.g.</w:t>
            </w:r>
            <w:proofErr w:type="gramEnd"/>
            <w:r w:rsidRPr="00FA3F9C">
              <w:rPr>
                <w:rFonts w:ascii="Arial" w:hAnsi="Arial" w:cs="Arial"/>
                <w:sz w:val="24"/>
                <w:szCs w:val="24"/>
              </w:rPr>
              <w:t xml:space="preserve"> </w:t>
            </w:r>
            <w:proofErr w:type="spellStart"/>
            <w:r w:rsidRPr="00FA3F9C">
              <w:rPr>
                <w:rFonts w:ascii="Arial" w:hAnsi="Arial" w:cs="Arial"/>
                <w:sz w:val="24"/>
                <w:szCs w:val="24"/>
              </w:rPr>
              <w:t>OctreoScan</w:t>
            </w:r>
            <w:proofErr w:type="spellEnd"/>
            <w:r w:rsidRPr="00FA3F9C">
              <w:rPr>
                <w:rFonts w:ascii="Arial" w:hAnsi="Arial" w:cs="Arial"/>
                <w:sz w:val="24"/>
                <w:szCs w:val="24"/>
              </w:rPr>
              <w:t xml:space="preserve"> or Ga-68 </w:t>
            </w:r>
            <w:proofErr w:type="spellStart"/>
            <w:r w:rsidRPr="00FA3F9C">
              <w:rPr>
                <w:rFonts w:ascii="Arial" w:hAnsi="Arial" w:cs="Arial"/>
                <w:sz w:val="24"/>
                <w:szCs w:val="24"/>
              </w:rPr>
              <w:t>dotatate</w:t>
            </w:r>
            <w:proofErr w:type="spellEnd"/>
            <w:r w:rsidRPr="00FA3F9C">
              <w:rPr>
                <w:rFonts w:ascii="Arial" w:hAnsi="Arial" w:cs="Arial"/>
                <w:sz w:val="24"/>
                <w:szCs w:val="24"/>
              </w:rPr>
              <w:t>) is positive, patient has been treated previously with a long-acting somatostatin analogue (</w:t>
            </w:r>
            <w:proofErr w:type="spellStart"/>
            <w:r w:rsidRPr="00FA3F9C">
              <w:rPr>
                <w:rFonts w:ascii="Arial" w:hAnsi="Arial" w:cs="Arial"/>
                <w:sz w:val="24"/>
                <w:szCs w:val="24"/>
              </w:rPr>
              <w:t>lanreotide</w:t>
            </w:r>
            <w:proofErr w:type="spellEnd"/>
            <w:r w:rsidRPr="00FA3F9C">
              <w:rPr>
                <w:rFonts w:ascii="Arial" w:hAnsi="Arial" w:cs="Arial"/>
                <w:sz w:val="24"/>
                <w:szCs w:val="24"/>
              </w:rPr>
              <w:t xml:space="preserve"> or octreotide) </w:t>
            </w:r>
          </w:p>
        </w:tc>
      </w:tr>
      <w:tr w:rsidR="002641D2" w:rsidRPr="00FA3F9C" w14:paraId="73D096D8" w14:textId="77777777" w:rsidTr="0045266F">
        <w:trPr>
          <w:jc w:val="center"/>
        </w:trPr>
        <w:tc>
          <w:tcPr>
            <w:tcW w:w="10440" w:type="dxa"/>
            <w:shd w:val="clear" w:color="auto" w:fill="F2F2F2"/>
          </w:tcPr>
          <w:p w14:paraId="61FAF687" w14:textId="77777777" w:rsidR="002641D2" w:rsidRPr="00FA3F9C" w:rsidRDefault="002641D2" w:rsidP="0045266F">
            <w:pPr>
              <w:rPr>
                <w:rFonts w:ascii="Arial" w:hAnsi="Arial" w:cs="Arial"/>
                <w:b/>
                <w:sz w:val="24"/>
                <w:szCs w:val="24"/>
              </w:rPr>
            </w:pPr>
            <w:r w:rsidRPr="00FA3F9C">
              <w:rPr>
                <w:rFonts w:ascii="Arial" w:hAnsi="Arial" w:cs="Arial"/>
                <w:b/>
                <w:sz w:val="24"/>
                <w:szCs w:val="24"/>
              </w:rPr>
              <w:t xml:space="preserve">If both criteria met, approve for 12 months.  </w:t>
            </w:r>
          </w:p>
        </w:tc>
      </w:tr>
      <w:tr w:rsidR="002641D2" w:rsidRPr="00FA3F9C" w14:paraId="3C971AD0" w14:textId="77777777" w:rsidTr="0045266F">
        <w:trPr>
          <w:jc w:val="center"/>
        </w:trPr>
        <w:tc>
          <w:tcPr>
            <w:tcW w:w="10440" w:type="dxa"/>
            <w:shd w:val="clear" w:color="auto" w:fill="D9D9D9"/>
          </w:tcPr>
          <w:p w14:paraId="2437DBB3" w14:textId="77777777" w:rsidR="002641D2" w:rsidRPr="00FA3F9C" w:rsidRDefault="002641D2" w:rsidP="0045266F">
            <w:pPr>
              <w:rPr>
                <w:rFonts w:ascii="Arial" w:hAnsi="Arial" w:cs="Arial"/>
                <w:sz w:val="24"/>
                <w:szCs w:val="24"/>
              </w:rPr>
            </w:pPr>
            <w:r w:rsidRPr="00FA3F9C">
              <w:rPr>
                <w:rFonts w:ascii="Arial" w:hAnsi="Arial" w:cs="Arial"/>
                <w:sz w:val="24"/>
                <w:szCs w:val="24"/>
              </w:rPr>
              <w:t>Notes:</w:t>
            </w:r>
          </w:p>
          <w:p w14:paraId="0DF425FE" w14:textId="77777777" w:rsidR="002641D2" w:rsidRPr="00FA3F9C" w:rsidRDefault="002641D2" w:rsidP="00EC5539">
            <w:pPr>
              <w:rPr>
                <w:rFonts w:ascii="Arial" w:hAnsi="Arial" w:cs="Arial"/>
                <w:sz w:val="24"/>
                <w:szCs w:val="24"/>
              </w:rPr>
            </w:pPr>
            <w:proofErr w:type="spellStart"/>
            <w:r w:rsidRPr="00FA3F9C">
              <w:rPr>
                <w:rFonts w:ascii="Arial" w:hAnsi="Arial" w:cs="Arial"/>
                <w:sz w:val="24"/>
                <w:szCs w:val="24"/>
              </w:rPr>
              <w:t>Everolimus</w:t>
            </w:r>
            <w:proofErr w:type="spellEnd"/>
            <w:r w:rsidRPr="00FA3F9C">
              <w:rPr>
                <w:rFonts w:ascii="Arial" w:hAnsi="Arial" w:cs="Arial"/>
                <w:sz w:val="24"/>
                <w:szCs w:val="24"/>
              </w:rPr>
              <w:t xml:space="preserve"> improved progression free survival compared to placebo. A high crossover rate (73%) confounds overall survival analysis.</w:t>
            </w:r>
            <w:r w:rsidRPr="00FA3F9C">
              <w:rPr>
                <w:rFonts w:ascii="Arial" w:hAnsi="Arial" w:cs="Arial"/>
                <w:sz w:val="24"/>
                <w:szCs w:val="24"/>
                <w:vertAlign w:val="superscript"/>
              </w:rPr>
              <w:t>1</w:t>
            </w:r>
            <w:r w:rsidRPr="00FA3F9C">
              <w:rPr>
                <w:rFonts w:ascii="Arial" w:hAnsi="Arial" w:cs="Arial"/>
                <w:sz w:val="24"/>
                <w:szCs w:val="24"/>
              </w:rPr>
              <w:t xml:space="preserve"> An indirect comparison of </w:t>
            </w:r>
            <w:proofErr w:type="spellStart"/>
            <w:r w:rsidRPr="00FA3F9C">
              <w:rPr>
                <w:rFonts w:ascii="Arial" w:hAnsi="Arial" w:cs="Arial"/>
                <w:sz w:val="24"/>
                <w:szCs w:val="24"/>
              </w:rPr>
              <w:t>everolimus</w:t>
            </w:r>
            <w:proofErr w:type="spellEnd"/>
            <w:r w:rsidRPr="00FA3F9C">
              <w:rPr>
                <w:rFonts w:ascii="Arial" w:hAnsi="Arial" w:cs="Arial"/>
                <w:sz w:val="24"/>
                <w:szCs w:val="24"/>
              </w:rPr>
              <w:t xml:space="preserve"> and placebo showed improved overall survival.</w:t>
            </w:r>
            <w:r w:rsidRPr="00FA3F9C">
              <w:rPr>
                <w:rFonts w:ascii="Arial" w:hAnsi="Arial" w:cs="Arial"/>
                <w:sz w:val="24"/>
                <w:szCs w:val="24"/>
                <w:vertAlign w:val="superscript"/>
              </w:rPr>
              <w:t>2</w:t>
            </w:r>
            <w:r w:rsidRPr="00FA3F9C">
              <w:rPr>
                <w:rFonts w:ascii="Arial" w:hAnsi="Arial" w:cs="Arial"/>
                <w:sz w:val="24"/>
                <w:szCs w:val="24"/>
              </w:rPr>
              <w:t xml:space="preserve"> </w:t>
            </w:r>
          </w:p>
          <w:p w14:paraId="6A622B15" w14:textId="77777777" w:rsidR="002641D2" w:rsidRPr="00FA3F9C" w:rsidRDefault="002641D2" w:rsidP="00EC5539">
            <w:pPr>
              <w:rPr>
                <w:rFonts w:ascii="Arial" w:hAnsi="Arial" w:cs="Arial"/>
                <w:sz w:val="24"/>
                <w:szCs w:val="24"/>
              </w:rPr>
            </w:pPr>
          </w:p>
          <w:p w14:paraId="531BAC1B" w14:textId="77777777" w:rsidR="002641D2" w:rsidRPr="00FA3F9C" w:rsidRDefault="002641D2" w:rsidP="00EC5539">
            <w:pPr>
              <w:rPr>
                <w:rFonts w:ascii="Arial" w:hAnsi="Arial" w:cs="Arial"/>
                <w:sz w:val="24"/>
                <w:szCs w:val="24"/>
              </w:rPr>
            </w:pPr>
            <w:r w:rsidRPr="00FA3F9C">
              <w:rPr>
                <w:rFonts w:ascii="Arial" w:hAnsi="Arial" w:cs="Arial"/>
                <w:sz w:val="24"/>
                <w:szCs w:val="24"/>
              </w:rPr>
              <w:t xml:space="preserve">In study, ~50% of patients received prior somatostatin analogue therapy. Therefore, will require this as a prior therapy to drive use toward a less expensive therapy first. </w:t>
            </w:r>
          </w:p>
          <w:p w14:paraId="67A65BBA" w14:textId="77777777" w:rsidR="002641D2" w:rsidRPr="00FA3F9C" w:rsidRDefault="002641D2" w:rsidP="00EC5539">
            <w:pPr>
              <w:rPr>
                <w:rFonts w:ascii="Arial" w:hAnsi="Arial" w:cs="Arial"/>
                <w:sz w:val="24"/>
                <w:szCs w:val="24"/>
              </w:rPr>
            </w:pPr>
          </w:p>
          <w:p w14:paraId="7419D931" w14:textId="77777777" w:rsidR="002641D2" w:rsidRPr="00FA3F9C" w:rsidRDefault="002641D2" w:rsidP="00EC5539">
            <w:pPr>
              <w:rPr>
                <w:rFonts w:ascii="Arial" w:hAnsi="Arial" w:cs="Arial"/>
                <w:sz w:val="24"/>
                <w:szCs w:val="24"/>
              </w:rPr>
            </w:pPr>
            <w:r w:rsidRPr="00FA3F9C">
              <w:rPr>
                <w:rFonts w:ascii="Arial" w:hAnsi="Arial" w:cs="Arial"/>
                <w:sz w:val="24"/>
                <w:szCs w:val="24"/>
              </w:rPr>
              <w:t>References:</w:t>
            </w:r>
          </w:p>
          <w:p w14:paraId="1EAE18DA" w14:textId="77777777" w:rsidR="002641D2" w:rsidRPr="00FA3F9C" w:rsidRDefault="002641D2" w:rsidP="002641D2">
            <w:pPr>
              <w:pStyle w:val="ListParagraph"/>
              <w:numPr>
                <w:ilvl w:val="0"/>
                <w:numId w:val="204"/>
              </w:numPr>
              <w:spacing w:after="0"/>
              <w:ind w:left="250" w:hanging="180"/>
              <w:rPr>
                <w:rFonts w:ascii="Arial" w:hAnsi="Arial" w:cs="Arial"/>
                <w:sz w:val="24"/>
                <w:szCs w:val="24"/>
              </w:rPr>
            </w:pPr>
            <w:r w:rsidRPr="00FA3F9C">
              <w:rPr>
                <w:rFonts w:ascii="Arial" w:hAnsi="Arial" w:cs="Arial"/>
                <w:sz w:val="24"/>
                <w:szCs w:val="24"/>
              </w:rPr>
              <w:t xml:space="preserve">Yao JC et al.  </w:t>
            </w:r>
            <w:proofErr w:type="spellStart"/>
            <w:r w:rsidRPr="00FA3F9C">
              <w:rPr>
                <w:rFonts w:ascii="Arial" w:hAnsi="Arial" w:cs="Arial"/>
                <w:sz w:val="24"/>
                <w:szCs w:val="24"/>
              </w:rPr>
              <w:t>Everolimus</w:t>
            </w:r>
            <w:proofErr w:type="spellEnd"/>
            <w:r w:rsidRPr="00FA3F9C">
              <w:rPr>
                <w:rFonts w:ascii="Arial" w:hAnsi="Arial" w:cs="Arial"/>
                <w:sz w:val="24"/>
                <w:szCs w:val="24"/>
              </w:rPr>
              <w:t xml:space="preserve"> for advanced pancreatic neuroendocrine tumors. N </w:t>
            </w:r>
            <w:proofErr w:type="spellStart"/>
            <w:r w:rsidRPr="00FA3F9C">
              <w:rPr>
                <w:rFonts w:ascii="Arial" w:hAnsi="Arial" w:cs="Arial"/>
                <w:sz w:val="24"/>
                <w:szCs w:val="24"/>
              </w:rPr>
              <w:t>Engl</w:t>
            </w:r>
            <w:proofErr w:type="spellEnd"/>
            <w:r w:rsidRPr="00FA3F9C">
              <w:rPr>
                <w:rFonts w:ascii="Arial" w:hAnsi="Arial" w:cs="Arial"/>
                <w:sz w:val="24"/>
                <w:szCs w:val="24"/>
              </w:rPr>
              <w:t xml:space="preserve"> J Med. 2011 Feb 10;364(6):514-23. NCT00510068 PMID 21306238</w:t>
            </w:r>
          </w:p>
          <w:p w14:paraId="17FC13FA" w14:textId="77777777" w:rsidR="002641D2" w:rsidRPr="00FA3F9C" w:rsidRDefault="002641D2" w:rsidP="002641D2">
            <w:pPr>
              <w:pStyle w:val="ListParagraph"/>
              <w:numPr>
                <w:ilvl w:val="0"/>
                <w:numId w:val="204"/>
              </w:numPr>
              <w:spacing w:after="0"/>
              <w:ind w:left="250" w:hanging="180"/>
              <w:rPr>
                <w:rFonts w:ascii="Arial" w:hAnsi="Arial" w:cs="Arial"/>
                <w:sz w:val="24"/>
                <w:szCs w:val="24"/>
              </w:rPr>
            </w:pPr>
            <w:proofErr w:type="spellStart"/>
            <w:r w:rsidRPr="00FA3F9C">
              <w:rPr>
                <w:rFonts w:ascii="Arial" w:hAnsi="Arial" w:cs="Arial"/>
                <w:sz w:val="24"/>
                <w:szCs w:val="24"/>
              </w:rPr>
              <w:t>Signorovitch</w:t>
            </w:r>
            <w:proofErr w:type="spellEnd"/>
            <w:r w:rsidRPr="00FA3F9C">
              <w:rPr>
                <w:rFonts w:ascii="Arial" w:hAnsi="Arial" w:cs="Arial"/>
                <w:sz w:val="24"/>
                <w:szCs w:val="24"/>
              </w:rPr>
              <w:t xml:space="preserve"> J et al. </w:t>
            </w:r>
            <w:proofErr w:type="spellStart"/>
            <w:r w:rsidRPr="00FA3F9C">
              <w:rPr>
                <w:rFonts w:ascii="Arial" w:hAnsi="Arial" w:cs="Arial"/>
                <w:sz w:val="24"/>
                <w:szCs w:val="24"/>
              </w:rPr>
              <w:t>Everolimus</w:t>
            </w:r>
            <w:proofErr w:type="spellEnd"/>
            <w:r w:rsidRPr="00FA3F9C">
              <w:rPr>
                <w:rFonts w:ascii="Arial" w:hAnsi="Arial" w:cs="Arial"/>
                <w:sz w:val="24"/>
                <w:szCs w:val="24"/>
              </w:rPr>
              <w:t xml:space="preserve"> and sunitinib for advanced pancreatic neuroendocrine tumors: a matching-adjusted indirect comparison. Exp </w:t>
            </w:r>
            <w:proofErr w:type="spellStart"/>
            <w:r w:rsidRPr="00FA3F9C">
              <w:rPr>
                <w:rFonts w:ascii="Arial" w:hAnsi="Arial" w:cs="Arial"/>
                <w:sz w:val="24"/>
                <w:szCs w:val="24"/>
              </w:rPr>
              <w:t>Hematol</w:t>
            </w:r>
            <w:proofErr w:type="spellEnd"/>
            <w:r w:rsidRPr="00FA3F9C">
              <w:rPr>
                <w:rFonts w:ascii="Arial" w:hAnsi="Arial" w:cs="Arial"/>
                <w:sz w:val="24"/>
                <w:szCs w:val="24"/>
              </w:rPr>
              <w:t xml:space="preserve"> Oncol. 2013 Dec 6;2(1):32. PMID 24314093</w:t>
            </w:r>
          </w:p>
        </w:tc>
      </w:tr>
    </w:tbl>
    <w:p w14:paraId="0BEC71DC" w14:textId="77777777" w:rsidR="002641D2" w:rsidRPr="00FA3F9C" w:rsidRDefault="002641D2" w:rsidP="009D6C35">
      <w:pPr>
        <w:spacing w:line="276" w:lineRule="auto"/>
        <w:rPr>
          <w:rFonts w:ascii="Arial" w:hAnsi="Arial" w:cs="Arial"/>
          <w:sz w:val="24"/>
          <w:szCs w:val="24"/>
        </w:rPr>
      </w:pPr>
    </w:p>
    <w:p w14:paraId="08D8C5AA" w14:textId="77777777" w:rsidR="002641D2" w:rsidRPr="00FA3F9C" w:rsidRDefault="002641D2" w:rsidP="009D6C35">
      <w:pPr>
        <w:spacing w:line="276" w:lineRule="auto"/>
        <w:rPr>
          <w:rFonts w:ascii="Arial" w:hAnsi="Arial" w:cs="Arial"/>
          <w:sz w:val="24"/>
          <w:szCs w:val="24"/>
        </w:rPr>
      </w:pPr>
    </w:p>
    <w:p w14:paraId="7F23BBD5" w14:textId="77777777" w:rsidR="002641D2" w:rsidRPr="00FA3F9C" w:rsidRDefault="002641D2" w:rsidP="009D6C35">
      <w:pPr>
        <w:spacing w:line="276" w:lineRule="auto"/>
        <w:rPr>
          <w:rFonts w:ascii="Arial" w:hAnsi="Arial" w:cs="Arial"/>
          <w:sz w:val="24"/>
          <w:szCs w:val="24"/>
        </w:rPr>
      </w:pPr>
    </w:p>
    <w:p w14:paraId="18E9D99C" w14:textId="77777777" w:rsidR="002641D2" w:rsidRPr="00FA3F9C" w:rsidRDefault="002641D2" w:rsidP="009D6C35">
      <w:pPr>
        <w:spacing w:line="276" w:lineRule="auto"/>
        <w:rPr>
          <w:rFonts w:ascii="Arial" w:hAnsi="Arial" w:cs="Arial"/>
          <w:sz w:val="24"/>
          <w:szCs w:val="24"/>
        </w:rPr>
      </w:pPr>
    </w:p>
    <w:p w14:paraId="5E4DF9A1" w14:textId="77777777" w:rsidR="002641D2" w:rsidRPr="00FA3F9C" w:rsidRDefault="002641D2" w:rsidP="009D6C35">
      <w:pPr>
        <w:spacing w:line="276" w:lineRule="auto"/>
        <w:rPr>
          <w:rFonts w:ascii="Arial" w:hAnsi="Arial" w:cs="Arial"/>
          <w:sz w:val="24"/>
          <w:szCs w:val="24"/>
        </w:rPr>
      </w:pPr>
    </w:p>
    <w:p w14:paraId="706E8C06" w14:textId="77777777" w:rsidR="002641D2" w:rsidRPr="00FA3F9C" w:rsidRDefault="002641D2" w:rsidP="009D6C35">
      <w:pPr>
        <w:spacing w:line="276" w:lineRule="auto"/>
        <w:rPr>
          <w:rFonts w:ascii="Arial" w:hAnsi="Arial" w:cs="Arial"/>
          <w:sz w:val="24"/>
          <w:szCs w:val="24"/>
        </w:rPr>
      </w:pPr>
    </w:p>
    <w:p w14:paraId="5BFEA9A7" w14:textId="77777777" w:rsidR="002641D2" w:rsidRPr="00FA3F9C" w:rsidRDefault="002641D2" w:rsidP="009D6C35">
      <w:pPr>
        <w:spacing w:line="276" w:lineRule="auto"/>
        <w:rPr>
          <w:rFonts w:ascii="Arial" w:hAnsi="Arial" w:cs="Arial"/>
          <w:sz w:val="24"/>
          <w:szCs w:val="24"/>
        </w:rPr>
      </w:pPr>
    </w:p>
    <w:p w14:paraId="53BF6606" w14:textId="77777777" w:rsidR="002641D2" w:rsidRPr="00FA3F9C" w:rsidRDefault="002641D2" w:rsidP="009D6C35">
      <w:pPr>
        <w:spacing w:line="276" w:lineRule="auto"/>
        <w:rPr>
          <w:rFonts w:ascii="Arial" w:hAnsi="Arial" w:cs="Arial"/>
          <w:sz w:val="24"/>
          <w:szCs w:val="24"/>
        </w:rPr>
      </w:pP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70"/>
      </w:tblGrid>
      <w:tr w:rsidR="002641D2" w:rsidRPr="00FA3F9C" w14:paraId="26B09E7E" w14:textId="77777777" w:rsidTr="0045266F">
        <w:trPr>
          <w:trHeight w:val="305"/>
          <w:jc w:val="center"/>
        </w:trPr>
        <w:tc>
          <w:tcPr>
            <w:tcW w:w="10440" w:type="dxa"/>
            <w:shd w:val="clear" w:color="auto" w:fill="000000"/>
            <w:vAlign w:val="center"/>
          </w:tcPr>
          <w:p w14:paraId="70B9E5C5" w14:textId="77777777" w:rsidR="002641D2" w:rsidRPr="00FA3F9C" w:rsidRDefault="002641D2" w:rsidP="00EC5539">
            <w:pPr>
              <w:rPr>
                <w:rFonts w:ascii="Arial" w:eastAsia="MS Gothic" w:hAnsi="Arial" w:cs="Arial"/>
                <w:b/>
                <w:color w:val="FFFFFF"/>
                <w:sz w:val="24"/>
                <w:szCs w:val="24"/>
              </w:rPr>
            </w:pPr>
            <w:r w:rsidRPr="00FA3F9C">
              <w:rPr>
                <w:rFonts w:ascii="Arial" w:eastAsia="MS Gothic" w:hAnsi="Arial" w:cs="Arial"/>
                <w:b/>
                <w:color w:val="FFFFFF"/>
                <w:sz w:val="24"/>
                <w:szCs w:val="24"/>
              </w:rPr>
              <w:t xml:space="preserve">Renal Angiomyolipoma </w:t>
            </w:r>
          </w:p>
        </w:tc>
      </w:tr>
      <w:tr w:rsidR="002641D2" w:rsidRPr="00FA3F9C" w14:paraId="526359D8" w14:textId="77777777" w:rsidTr="0045266F">
        <w:trPr>
          <w:trHeight w:val="305"/>
          <w:jc w:val="center"/>
        </w:trPr>
        <w:tc>
          <w:tcPr>
            <w:tcW w:w="10440" w:type="dxa"/>
            <w:vAlign w:val="center"/>
          </w:tcPr>
          <w:p w14:paraId="60BD1F37" w14:textId="77777777" w:rsidR="002641D2" w:rsidRPr="00FA3F9C" w:rsidRDefault="002641D2" w:rsidP="0045266F">
            <w:pPr>
              <w:rPr>
                <w:rFonts w:ascii="Arial" w:hAnsi="Arial" w:cs="Arial"/>
                <w:sz w:val="24"/>
                <w:szCs w:val="24"/>
              </w:rPr>
            </w:pPr>
            <w:r w:rsidRPr="00FA3F9C">
              <w:rPr>
                <w:rFonts w:ascii="Arial" w:hAnsi="Arial" w:cs="Arial"/>
                <w:sz w:val="24"/>
                <w:szCs w:val="24"/>
              </w:rPr>
              <w:t>1. The patient has a diagnosis of renal angiomyolipoma associated with tuberous sclerosis complex (TSC).</w:t>
            </w:r>
          </w:p>
        </w:tc>
      </w:tr>
      <w:tr w:rsidR="002641D2" w:rsidRPr="00FA3F9C" w14:paraId="22FE852E" w14:textId="77777777" w:rsidTr="0045266F">
        <w:trPr>
          <w:jc w:val="center"/>
        </w:trPr>
        <w:tc>
          <w:tcPr>
            <w:tcW w:w="10440" w:type="dxa"/>
          </w:tcPr>
          <w:p w14:paraId="487A9DA4" w14:textId="77777777" w:rsidR="002641D2" w:rsidRPr="00FA3F9C" w:rsidRDefault="002641D2" w:rsidP="00EC5539">
            <w:pPr>
              <w:rPr>
                <w:rFonts w:ascii="Arial" w:hAnsi="Arial" w:cs="Arial"/>
                <w:sz w:val="24"/>
                <w:szCs w:val="24"/>
              </w:rPr>
            </w:pPr>
            <w:r w:rsidRPr="00FA3F9C">
              <w:rPr>
                <w:rFonts w:ascii="Arial" w:hAnsi="Arial" w:cs="Arial"/>
                <w:sz w:val="24"/>
                <w:szCs w:val="24"/>
              </w:rPr>
              <w:t>2. Patient has at least one lesion that is at least 3 cm in size</w:t>
            </w:r>
          </w:p>
        </w:tc>
      </w:tr>
      <w:tr w:rsidR="002641D2" w:rsidRPr="00FA3F9C" w14:paraId="7A110258" w14:textId="77777777" w:rsidTr="0045266F">
        <w:trPr>
          <w:jc w:val="center"/>
        </w:trPr>
        <w:tc>
          <w:tcPr>
            <w:tcW w:w="10440" w:type="dxa"/>
          </w:tcPr>
          <w:p w14:paraId="1947FF12" w14:textId="77777777" w:rsidR="002641D2" w:rsidRPr="00FA3F9C" w:rsidRDefault="002641D2" w:rsidP="00EC5539">
            <w:pPr>
              <w:rPr>
                <w:rFonts w:ascii="Arial" w:hAnsi="Arial" w:cs="Arial"/>
                <w:sz w:val="24"/>
                <w:szCs w:val="24"/>
              </w:rPr>
            </w:pPr>
            <w:r w:rsidRPr="00FA3F9C">
              <w:rPr>
                <w:rFonts w:ascii="Arial" w:hAnsi="Arial" w:cs="Arial"/>
                <w:sz w:val="24"/>
                <w:szCs w:val="24"/>
              </w:rPr>
              <w:t>3. Evidence of growth of lesion(s) is present (</w:t>
            </w:r>
            <w:r w:rsidRPr="00FA3F9C">
              <w:rPr>
                <w:rFonts w:ascii="Arial" w:hAnsi="Arial" w:cs="Arial"/>
                <w:sz w:val="24"/>
                <w:szCs w:val="24"/>
                <w:u w:val="single"/>
              </w:rPr>
              <w:t>&gt;</w:t>
            </w:r>
            <w:r w:rsidRPr="00FA3F9C">
              <w:rPr>
                <w:rFonts w:ascii="Arial" w:hAnsi="Arial" w:cs="Arial"/>
                <w:sz w:val="24"/>
                <w:szCs w:val="24"/>
              </w:rPr>
              <w:t>5 mm increase in size per year)</w:t>
            </w:r>
          </w:p>
        </w:tc>
      </w:tr>
      <w:tr w:rsidR="002641D2" w:rsidRPr="00FA3F9C" w14:paraId="385DC4D2" w14:textId="77777777" w:rsidTr="00EC5539">
        <w:trPr>
          <w:jc w:val="center"/>
        </w:trPr>
        <w:tc>
          <w:tcPr>
            <w:tcW w:w="10440" w:type="dxa"/>
            <w:shd w:val="clear" w:color="auto" w:fill="F2F2F2"/>
          </w:tcPr>
          <w:p w14:paraId="7993DBA2" w14:textId="77777777" w:rsidR="002641D2" w:rsidRPr="00FA3F9C" w:rsidRDefault="002641D2" w:rsidP="00B9655A">
            <w:pPr>
              <w:rPr>
                <w:rFonts w:ascii="Arial" w:hAnsi="Arial" w:cs="Arial"/>
                <w:b/>
                <w:sz w:val="24"/>
                <w:szCs w:val="24"/>
              </w:rPr>
            </w:pPr>
            <w:r w:rsidRPr="00FA3F9C">
              <w:rPr>
                <w:rFonts w:ascii="Arial" w:hAnsi="Arial" w:cs="Arial"/>
                <w:b/>
                <w:sz w:val="24"/>
                <w:szCs w:val="24"/>
              </w:rPr>
              <w:t xml:space="preserve">If all criteria met, approve for 12 months.  </w:t>
            </w:r>
          </w:p>
        </w:tc>
      </w:tr>
      <w:tr w:rsidR="002641D2" w:rsidRPr="00FA3F9C" w14:paraId="1E285047" w14:textId="77777777" w:rsidTr="007F42B3">
        <w:trPr>
          <w:trHeight w:val="5840"/>
          <w:jc w:val="center"/>
        </w:trPr>
        <w:tc>
          <w:tcPr>
            <w:tcW w:w="10440" w:type="dxa"/>
            <w:shd w:val="clear" w:color="auto" w:fill="D9D9D9"/>
          </w:tcPr>
          <w:p w14:paraId="00548695" w14:textId="77777777" w:rsidR="002641D2" w:rsidRPr="00FA3F9C" w:rsidRDefault="002641D2" w:rsidP="0045266F">
            <w:pPr>
              <w:rPr>
                <w:rFonts w:ascii="Arial" w:hAnsi="Arial" w:cs="Arial"/>
                <w:sz w:val="24"/>
                <w:szCs w:val="24"/>
              </w:rPr>
            </w:pPr>
            <w:r w:rsidRPr="00FA3F9C">
              <w:rPr>
                <w:rFonts w:ascii="Arial" w:hAnsi="Arial" w:cs="Arial"/>
                <w:sz w:val="24"/>
                <w:szCs w:val="24"/>
              </w:rPr>
              <w:lastRenderedPageBreak/>
              <w:t>Notes:</w:t>
            </w:r>
          </w:p>
          <w:p w14:paraId="45BBB0E2" w14:textId="77777777" w:rsidR="002641D2" w:rsidRPr="00FA3F9C" w:rsidRDefault="002641D2" w:rsidP="002641D2">
            <w:pPr>
              <w:pStyle w:val="ListParagraph"/>
              <w:numPr>
                <w:ilvl w:val="0"/>
                <w:numId w:val="205"/>
              </w:numPr>
              <w:spacing w:after="0" w:line="276" w:lineRule="auto"/>
              <w:ind w:left="340" w:hanging="250"/>
              <w:rPr>
                <w:rFonts w:ascii="Arial" w:hAnsi="Arial" w:cs="Arial"/>
                <w:noProof/>
                <w:sz w:val="24"/>
                <w:szCs w:val="24"/>
              </w:rPr>
            </w:pPr>
            <w:r w:rsidRPr="00FA3F9C">
              <w:rPr>
                <w:rFonts w:ascii="Arial" w:hAnsi="Arial" w:cs="Arial"/>
                <w:noProof/>
                <w:sz w:val="24"/>
                <w:szCs w:val="24"/>
              </w:rPr>
              <w:t>TSC-associated renal angiomyolipoma (RAML) complications: renal hemorrhage, mass effect, CKD, anemia, HTN</w:t>
            </w:r>
          </w:p>
          <w:p w14:paraId="4C7DB521" w14:textId="77777777" w:rsidR="002641D2" w:rsidRPr="00FA3F9C" w:rsidRDefault="002641D2" w:rsidP="002641D2">
            <w:pPr>
              <w:pStyle w:val="ListParagraph"/>
              <w:numPr>
                <w:ilvl w:val="0"/>
                <w:numId w:val="205"/>
              </w:numPr>
              <w:spacing w:after="0" w:line="276" w:lineRule="auto"/>
              <w:ind w:left="340" w:hanging="250"/>
              <w:rPr>
                <w:rFonts w:ascii="Arial" w:hAnsi="Arial" w:cs="Arial"/>
                <w:noProof/>
                <w:sz w:val="24"/>
                <w:szCs w:val="24"/>
              </w:rPr>
            </w:pPr>
            <w:r w:rsidRPr="00FA3F9C">
              <w:rPr>
                <w:rFonts w:ascii="Arial" w:hAnsi="Arial" w:cs="Arial"/>
                <w:noProof/>
                <w:sz w:val="24"/>
                <w:szCs w:val="24"/>
              </w:rPr>
              <w:t xml:space="preserve">Growth of RAML associated with bleeding. If growing, risk of bleed is 41%. If not growing, risk is 8%. </w:t>
            </w:r>
          </w:p>
          <w:p w14:paraId="0D9A91DA" w14:textId="77777777" w:rsidR="002641D2" w:rsidRPr="00FA3F9C" w:rsidRDefault="002641D2" w:rsidP="002641D2">
            <w:pPr>
              <w:pStyle w:val="ListParagraph"/>
              <w:numPr>
                <w:ilvl w:val="0"/>
                <w:numId w:val="205"/>
              </w:numPr>
              <w:spacing w:after="0" w:line="276" w:lineRule="auto"/>
              <w:ind w:left="340" w:hanging="250"/>
              <w:rPr>
                <w:rFonts w:ascii="Arial" w:hAnsi="Arial" w:cs="Arial"/>
                <w:noProof/>
                <w:sz w:val="24"/>
                <w:szCs w:val="24"/>
              </w:rPr>
            </w:pPr>
            <w:r w:rsidRPr="00FA3F9C">
              <w:rPr>
                <w:rFonts w:ascii="Arial" w:hAnsi="Arial" w:cs="Arial"/>
                <w:noProof/>
                <w:sz w:val="24"/>
                <w:szCs w:val="24"/>
              </w:rPr>
              <w:t>Other therapeutic options: embolization or nephrectomy (both increase risk for development of CKD).</w:t>
            </w:r>
          </w:p>
          <w:p w14:paraId="7DDA0A05" w14:textId="77777777" w:rsidR="002641D2" w:rsidRPr="00FA3F9C" w:rsidRDefault="002641D2" w:rsidP="002641D2">
            <w:pPr>
              <w:pStyle w:val="ListParagraph"/>
              <w:numPr>
                <w:ilvl w:val="0"/>
                <w:numId w:val="205"/>
              </w:numPr>
              <w:spacing w:after="0" w:line="276" w:lineRule="auto"/>
              <w:ind w:left="340" w:hanging="250"/>
              <w:rPr>
                <w:rFonts w:ascii="Arial" w:hAnsi="Arial" w:cs="Arial"/>
                <w:noProof/>
                <w:sz w:val="24"/>
                <w:szCs w:val="24"/>
              </w:rPr>
            </w:pPr>
            <w:r w:rsidRPr="00FA3F9C">
              <w:rPr>
                <w:rFonts w:ascii="Arial" w:hAnsi="Arial" w:cs="Arial"/>
                <w:sz w:val="24"/>
                <w:szCs w:val="24"/>
              </w:rPr>
              <w:t xml:space="preserve">EXIST-2: </w:t>
            </w:r>
            <w:proofErr w:type="spellStart"/>
            <w:r w:rsidRPr="00FA3F9C">
              <w:rPr>
                <w:rFonts w:ascii="Arial" w:hAnsi="Arial" w:cs="Arial"/>
                <w:sz w:val="24"/>
                <w:szCs w:val="24"/>
              </w:rPr>
              <w:t>everolimus</w:t>
            </w:r>
            <w:proofErr w:type="spellEnd"/>
            <w:r w:rsidRPr="00FA3F9C">
              <w:rPr>
                <w:rFonts w:ascii="Arial" w:hAnsi="Arial" w:cs="Arial"/>
                <w:sz w:val="24"/>
                <w:szCs w:val="24"/>
              </w:rPr>
              <w:t xml:space="preserve"> versus placebo (required at least one lesion </w:t>
            </w:r>
            <w:r w:rsidRPr="00FA3F9C">
              <w:rPr>
                <w:rFonts w:ascii="Arial" w:hAnsi="Arial" w:cs="Arial"/>
                <w:sz w:val="24"/>
                <w:szCs w:val="24"/>
                <w:u w:val="single"/>
              </w:rPr>
              <w:t>&gt;</w:t>
            </w:r>
            <w:r w:rsidRPr="00FA3F9C">
              <w:rPr>
                <w:rFonts w:ascii="Arial" w:hAnsi="Arial" w:cs="Arial"/>
                <w:sz w:val="24"/>
                <w:szCs w:val="24"/>
              </w:rPr>
              <w:t>3cm; placebo patients crossed over after progression)</w:t>
            </w:r>
          </w:p>
          <w:p w14:paraId="30BF5A01" w14:textId="77777777" w:rsidR="002641D2" w:rsidRPr="00FA3F9C" w:rsidRDefault="002641D2" w:rsidP="002641D2">
            <w:pPr>
              <w:pStyle w:val="ListParagraph"/>
              <w:numPr>
                <w:ilvl w:val="0"/>
                <w:numId w:val="205"/>
              </w:numPr>
              <w:spacing w:after="0" w:line="276" w:lineRule="auto"/>
              <w:ind w:left="970"/>
              <w:rPr>
                <w:rFonts w:ascii="Arial" w:hAnsi="Arial" w:cs="Arial"/>
                <w:noProof/>
                <w:sz w:val="24"/>
                <w:szCs w:val="24"/>
              </w:rPr>
            </w:pPr>
            <w:r w:rsidRPr="00FA3F9C">
              <w:rPr>
                <w:rFonts w:ascii="Arial" w:hAnsi="Arial" w:cs="Arial"/>
                <w:sz w:val="24"/>
                <w:szCs w:val="24"/>
              </w:rPr>
              <w:t>Time to progression: HR 0.08, 95% CI 0.02-0.37, p&lt;0.0001</w:t>
            </w:r>
          </w:p>
          <w:p w14:paraId="37EC9954" w14:textId="77777777" w:rsidR="002641D2" w:rsidRPr="00FA3F9C" w:rsidRDefault="002641D2" w:rsidP="002641D2">
            <w:pPr>
              <w:pStyle w:val="ListParagraph"/>
              <w:numPr>
                <w:ilvl w:val="0"/>
                <w:numId w:val="205"/>
              </w:numPr>
              <w:spacing w:after="0" w:line="276" w:lineRule="auto"/>
              <w:ind w:left="970"/>
              <w:rPr>
                <w:rFonts w:ascii="Arial" w:hAnsi="Arial" w:cs="Arial"/>
                <w:noProof/>
                <w:sz w:val="24"/>
                <w:szCs w:val="24"/>
              </w:rPr>
            </w:pPr>
            <w:r w:rsidRPr="00FA3F9C">
              <w:rPr>
                <w:rFonts w:ascii="Arial" w:hAnsi="Arial" w:cs="Arial"/>
                <w:sz w:val="24"/>
                <w:szCs w:val="24"/>
              </w:rPr>
              <w:t xml:space="preserve">Progression-free rate at 12 months: </w:t>
            </w:r>
            <w:r w:rsidRPr="00FA3F9C">
              <w:rPr>
                <w:rFonts w:ascii="Arial" w:hAnsi="Arial" w:cs="Arial"/>
                <w:sz w:val="24"/>
                <w:szCs w:val="24"/>
                <w:highlight w:val="yellow"/>
              </w:rPr>
              <w:t>92% vs 25%</w:t>
            </w:r>
          </w:p>
          <w:p w14:paraId="0AC2F181" w14:textId="77777777" w:rsidR="002641D2" w:rsidRPr="00FA3F9C" w:rsidRDefault="002641D2" w:rsidP="002641D2">
            <w:pPr>
              <w:pStyle w:val="ListParagraph"/>
              <w:numPr>
                <w:ilvl w:val="0"/>
                <w:numId w:val="205"/>
              </w:numPr>
              <w:spacing w:after="0" w:line="276" w:lineRule="auto"/>
              <w:ind w:left="970"/>
              <w:rPr>
                <w:rFonts w:ascii="Arial" w:hAnsi="Arial" w:cs="Arial"/>
                <w:noProof/>
                <w:sz w:val="24"/>
                <w:szCs w:val="24"/>
              </w:rPr>
            </w:pPr>
            <w:r w:rsidRPr="00FA3F9C">
              <w:rPr>
                <w:rFonts w:ascii="Arial" w:hAnsi="Arial" w:cs="Arial"/>
                <w:sz w:val="24"/>
                <w:szCs w:val="24"/>
              </w:rPr>
              <w:t xml:space="preserve">No bleeding observed in study. No clear comparison of complications of RAML between groups, but most placebo patients crossed over to </w:t>
            </w:r>
            <w:proofErr w:type="spellStart"/>
            <w:r w:rsidRPr="00FA3F9C">
              <w:rPr>
                <w:rFonts w:ascii="Arial" w:hAnsi="Arial" w:cs="Arial"/>
                <w:sz w:val="24"/>
                <w:szCs w:val="24"/>
              </w:rPr>
              <w:t>everolimus</w:t>
            </w:r>
            <w:proofErr w:type="spellEnd"/>
            <w:r w:rsidRPr="00FA3F9C">
              <w:rPr>
                <w:rFonts w:ascii="Arial" w:hAnsi="Arial" w:cs="Arial"/>
                <w:sz w:val="24"/>
                <w:szCs w:val="24"/>
              </w:rPr>
              <w:t xml:space="preserve"> perhaps not leaving enough time for complications to develop. </w:t>
            </w:r>
          </w:p>
          <w:p w14:paraId="73B78800" w14:textId="77777777" w:rsidR="002641D2" w:rsidRPr="00FA3F9C" w:rsidRDefault="002641D2" w:rsidP="002641D2">
            <w:pPr>
              <w:pStyle w:val="ListParagraph"/>
              <w:numPr>
                <w:ilvl w:val="0"/>
                <w:numId w:val="205"/>
              </w:numPr>
              <w:spacing w:after="0" w:line="276" w:lineRule="auto"/>
              <w:ind w:left="430"/>
              <w:rPr>
                <w:rFonts w:ascii="Arial" w:hAnsi="Arial" w:cs="Arial"/>
                <w:noProof/>
                <w:sz w:val="24"/>
                <w:szCs w:val="24"/>
              </w:rPr>
            </w:pPr>
            <w:r w:rsidRPr="00FA3F9C">
              <w:rPr>
                <w:rFonts w:ascii="Arial" w:hAnsi="Arial" w:cs="Arial"/>
                <w:noProof/>
                <w:sz w:val="24"/>
                <w:szCs w:val="24"/>
              </w:rPr>
              <w:t>UpToDate: authors require evidence of growth (</w:t>
            </w:r>
            <w:r w:rsidRPr="00FA3F9C">
              <w:rPr>
                <w:rFonts w:ascii="Arial" w:hAnsi="Arial" w:cs="Arial"/>
                <w:noProof/>
                <w:sz w:val="24"/>
                <w:szCs w:val="24"/>
                <w:u w:val="single"/>
              </w:rPr>
              <w:t>&gt;</w:t>
            </w:r>
            <w:r w:rsidRPr="00FA3F9C">
              <w:rPr>
                <w:rFonts w:ascii="Arial" w:hAnsi="Arial" w:cs="Arial"/>
                <w:noProof/>
                <w:sz w:val="24"/>
                <w:szCs w:val="24"/>
              </w:rPr>
              <w:t>5 mm per year) before starting an mTOR inhibitor. Many RAMLs stop growing or grow very slowly in adults.</w:t>
            </w:r>
          </w:p>
          <w:p w14:paraId="62E9534C" w14:textId="77777777" w:rsidR="002641D2" w:rsidRPr="00FA3F9C" w:rsidRDefault="002641D2" w:rsidP="002641D2">
            <w:pPr>
              <w:pStyle w:val="ListParagraph"/>
              <w:numPr>
                <w:ilvl w:val="0"/>
                <w:numId w:val="205"/>
              </w:numPr>
              <w:spacing w:after="0" w:line="276" w:lineRule="auto"/>
              <w:ind w:left="430"/>
              <w:rPr>
                <w:rFonts w:ascii="Arial" w:hAnsi="Arial" w:cs="Arial"/>
                <w:noProof/>
                <w:sz w:val="24"/>
                <w:szCs w:val="24"/>
              </w:rPr>
            </w:pPr>
            <w:r w:rsidRPr="00FA3F9C">
              <w:rPr>
                <w:rFonts w:ascii="Arial" w:hAnsi="Arial" w:cs="Arial"/>
                <w:noProof/>
                <w:sz w:val="24"/>
                <w:szCs w:val="24"/>
              </w:rPr>
              <w:t>Due to large difference in time to progression, EBRx will cover this indication but will follow the UpToDate recommendation that the tumor must have evidence of growth</w:t>
            </w:r>
          </w:p>
          <w:p w14:paraId="2C2D68A5" w14:textId="77777777" w:rsidR="002641D2" w:rsidRPr="00FA3F9C" w:rsidRDefault="002641D2" w:rsidP="0045266F">
            <w:pPr>
              <w:rPr>
                <w:rFonts w:ascii="Arial" w:hAnsi="Arial" w:cs="Arial"/>
                <w:sz w:val="24"/>
                <w:szCs w:val="24"/>
              </w:rPr>
            </w:pPr>
            <w:r w:rsidRPr="00FA3F9C">
              <w:rPr>
                <w:rFonts w:ascii="Arial" w:hAnsi="Arial" w:cs="Arial"/>
                <w:sz w:val="24"/>
                <w:szCs w:val="24"/>
              </w:rPr>
              <w:t>References:</w:t>
            </w:r>
          </w:p>
          <w:p w14:paraId="65145A34" w14:textId="77777777" w:rsidR="002641D2" w:rsidRPr="00FA3F9C" w:rsidRDefault="002641D2" w:rsidP="002641D2">
            <w:pPr>
              <w:pStyle w:val="ListParagraph"/>
              <w:numPr>
                <w:ilvl w:val="0"/>
                <w:numId w:val="206"/>
              </w:numPr>
              <w:spacing w:after="0"/>
              <w:ind w:left="430" w:hanging="270"/>
              <w:rPr>
                <w:rFonts w:ascii="Arial" w:hAnsi="Arial" w:cs="Arial"/>
                <w:sz w:val="24"/>
                <w:szCs w:val="24"/>
              </w:rPr>
            </w:pPr>
            <w:proofErr w:type="spellStart"/>
            <w:r w:rsidRPr="00FA3F9C">
              <w:rPr>
                <w:rFonts w:ascii="Arial" w:hAnsi="Arial" w:cs="Arial"/>
                <w:sz w:val="24"/>
                <w:szCs w:val="24"/>
              </w:rPr>
              <w:t>Kingswood</w:t>
            </w:r>
            <w:proofErr w:type="spellEnd"/>
            <w:r w:rsidRPr="00FA3F9C">
              <w:rPr>
                <w:rFonts w:ascii="Arial" w:hAnsi="Arial" w:cs="Arial"/>
                <w:sz w:val="24"/>
                <w:szCs w:val="24"/>
              </w:rPr>
              <w:t xml:space="preserve"> JC et al. The effect of </w:t>
            </w:r>
            <w:proofErr w:type="spellStart"/>
            <w:r w:rsidRPr="00FA3F9C">
              <w:rPr>
                <w:rFonts w:ascii="Arial" w:hAnsi="Arial" w:cs="Arial"/>
                <w:sz w:val="24"/>
                <w:szCs w:val="24"/>
              </w:rPr>
              <w:t>everolimus</w:t>
            </w:r>
            <w:proofErr w:type="spellEnd"/>
            <w:r w:rsidRPr="00FA3F9C">
              <w:rPr>
                <w:rFonts w:ascii="Arial" w:hAnsi="Arial" w:cs="Arial"/>
                <w:sz w:val="24"/>
                <w:szCs w:val="24"/>
              </w:rPr>
              <w:t xml:space="preserve"> on renal angiomyolipoma in patients with tuberous sclerosis complex being treated for subependymal giant cell astrocytoma: subgroup results from the randomized, placebo-controlled, Phase 3 trial EXIST-1. Nephrol Dial Transplant. 2014 Jun;29(6):1203-10. PMID 24729041 </w:t>
            </w:r>
          </w:p>
          <w:p w14:paraId="58D57C0B" w14:textId="77777777" w:rsidR="002641D2" w:rsidRPr="00FA3F9C" w:rsidRDefault="002641D2" w:rsidP="002641D2">
            <w:pPr>
              <w:pStyle w:val="ListParagraph"/>
              <w:numPr>
                <w:ilvl w:val="0"/>
                <w:numId w:val="206"/>
              </w:numPr>
              <w:spacing w:after="0"/>
              <w:ind w:left="430" w:hanging="270"/>
              <w:rPr>
                <w:rFonts w:ascii="Arial" w:hAnsi="Arial" w:cs="Arial"/>
                <w:sz w:val="24"/>
                <w:szCs w:val="24"/>
              </w:rPr>
            </w:pPr>
            <w:proofErr w:type="spellStart"/>
            <w:r w:rsidRPr="00FA3F9C">
              <w:rPr>
                <w:rFonts w:ascii="Arial" w:hAnsi="Arial" w:cs="Arial"/>
                <w:sz w:val="24"/>
                <w:szCs w:val="24"/>
              </w:rPr>
              <w:t>Bissler</w:t>
            </w:r>
            <w:proofErr w:type="spellEnd"/>
            <w:r w:rsidRPr="00FA3F9C">
              <w:rPr>
                <w:rFonts w:ascii="Arial" w:hAnsi="Arial" w:cs="Arial"/>
                <w:sz w:val="24"/>
                <w:szCs w:val="24"/>
              </w:rPr>
              <w:t xml:space="preserve"> JJ et al. </w:t>
            </w:r>
            <w:proofErr w:type="spellStart"/>
            <w:r w:rsidRPr="00FA3F9C">
              <w:rPr>
                <w:rFonts w:ascii="Arial" w:hAnsi="Arial" w:cs="Arial"/>
                <w:sz w:val="24"/>
                <w:szCs w:val="24"/>
              </w:rPr>
              <w:t>Everolimus</w:t>
            </w:r>
            <w:proofErr w:type="spellEnd"/>
            <w:r w:rsidRPr="00FA3F9C">
              <w:rPr>
                <w:rFonts w:ascii="Arial" w:hAnsi="Arial" w:cs="Arial"/>
                <w:sz w:val="24"/>
                <w:szCs w:val="24"/>
              </w:rPr>
              <w:t xml:space="preserve"> for angiomyolipoma associated with tuberous sclerosis complex or sporadic </w:t>
            </w:r>
            <w:proofErr w:type="spellStart"/>
            <w:r w:rsidRPr="00FA3F9C">
              <w:rPr>
                <w:rFonts w:ascii="Arial" w:hAnsi="Arial" w:cs="Arial"/>
                <w:sz w:val="24"/>
                <w:szCs w:val="24"/>
              </w:rPr>
              <w:t>lymphangioleiomyomatosis</w:t>
            </w:r>
            <w:proofErr w:type="spellEnd"/>
            <w:r w:rsidRPr="00FA3F9C">
              <w:rPr>
                <w:rFonts w:ascii="Arial" w:hAnsi="Arial" w:cs="Arial"/>
                <w:sz w:val="24"/>
                <w:szCs w:val="24"/>
              </w:rPr>
              <w:t xml:space="preserve"> (EXIST-2): a </w:t>
            </w:r>
            <w:proofErr w:type="spellStart"/>
            <w:r w:rsidRPr="00FA3F9C">
              <w:rPr>
                <w:rFonts w:ascii="Arial" w:hAnsi="Arial" w:cs="Arial"/>
                <w:sz w:val="24"/>
                <w:szCs w:val="24"/>
              </w:rPr>
              <w:t>multicentre</w:t>
            </w:r>
            <w:proofErr w:type="spellEnd"/>
            <w:r w:rsidRPr="00FA3F9C">
              <w:rPr>
                <w:rFonts w:ascii="Arial" w:hAnsi="Arial" w:cs="Arial"/>
                <w:sz w:val="24"/>
                <w:szCs w:val="24"/>
              </w:rPr>
              <w:t xml:space="preserve">, </w:t>
            </w:r>
            <w:proofErr w:type="spellStart"/>
            <w:r w:rsidRPr="00FA3F9C">
              <w:rPr>
                <w:rFonts w:ascii="Arial" w:hAnsi="Arial" w:cs="Arial"/>
                <w:sz w:val="24"/>
                <w:szCs w:val="24"/>
              </w:rPr>
              <w:t>randomised</w:t>
            </w:r>
            <w:proofErr w:type="spellEnd"/>
            <w:r w:rsidRPr="00FA3F9C">
              <w:rPr>
                <w:rFonts w:ascii="Arial" w:hAnsi="Arial" w:cs="Arial"/>
                <w:sz w:val="24"/>
                <w:szCs w:val="24"/>
              </w:rPr>
              <w:t>, double-blind, placebo-controlled trial. Lancet. 2013 Mar 9; 381(9869):817-24. PMID 23312829 NCT00790400</w:t>
            </w:r>
          </w:p>
          <w:p w14:paraId="11049534" w14:textId="77777777" w:rsidR="002641D2" w:rsidRPr="00FA3F9C" w:rsidRDefault="002641D2" w:rsidP="002641D2">
            <w:pPr>
              <w:pStyle w:val="ListParagraph"/>
              <w:numPr>
                <w:ilvl w:val="0"/>
                <w:numId w:val="206"/>
              </w:numPr>
              <w:spacing w:after="0"/>
              <w:ind w:left="430" w:hanging="270"/>
              <w:rPr>
                <w:rFonts w:ascii="Arial" w:hAnsi="Arial" w:cs="Arial"/>
                <w:sz w:val="24"/>
                <w:szCs w:val="24"/>
              </w:rPr>
            </w:pPr>
            <w:proofErr w:type="spellStart"/>
            <w:r w:rsidRPr="00FA3F9C">
              <w:rPr>
                <w:rFonts w:ascii="Arial" w:hAnsi="Arial" w:cs="Arial"/>
                <w:sz w:val="24"/>
                <w:szCs w:val="24"/>
              </w:rPr>
              <w:t>Bissler</w:t>
            </w:r>
            <w:proofErr w:type="spellEnd"/>
            <w:r w:rsidRPr="00FA3F9C">
              <w:rPr>
                <w:rFonts w:ascii="Arial" w:hAnsi="Arial" w:cs="Arial"/>
                <w:sz w:val="24"/>
                <w:szCs w:val="24"/>
              </w:rPr>
              <w:t xml:space="preserve"> JJ et al. </w:t>
            </w:r>
            <w:proofErr w:type="spellStart"/>
            <w:r w:rsidRPr="00FA3F9C">
              <w:rPr>
                <w:rFonts w:ascii="Arial" w:hAnsi="Arial" w:cs="Arial"/>
                <w:sz w:val="24"/>
                <w:szCs w:val="24"/>
              </w:rPr>
              <w:t>Everolimus</w:t>
            </w:r>
            <w:proofErr w:type="spellEnd"/>
            <w:r w:rsidRPr="00FA3F9C">
              <w:rPr>
                <w:rFonts w:ascii="Arial" w:hAnsi="Arial" w:cs="Arial"/>
                <w:sz w:val="24"/>
                <w:szCs w:val="24"/>
              </w:rPr>
              <w:t xml:space="preserve"> long-term use in patients with tuberous sclerosis complex: Four-year update of the EXIST-2 study. </w:t>
            </w:r>
            <w:proofErr w:type="spellStart"/>
            <w:r w:rsidRPr="00FA3F9C">
              <w:rPr>
                <w:rFonts w:ascii="Arial" w:hAnsi="Arial" w:cs="Arial"/>
                <w:sz w:val="24"/>
                <w:szCs w:val="24"/>
              </w:rPr>
              <w:t>PLoS</w:t>
            </w:r>
            <w:proofErr w:type="spellEnd"/>
            <w:r w:rsidRPr="00FA3F9C">
              <w:rPr>
                <w:rFonts w:ascii="Arial" w:hAnsi="Arial" w:cs="Arial"/>
                <w:sz w:val="24"/>
                <w:szCs w:val="24"/>
              </w:rPr>
              <w:t xml:space="preserve"> One. 2017 Aug 9;12(8):e0180939. PMID 28792952 NCT00790400</w:t>
            </w:r>
          </w:p>
          <w:p w14:paraId="77DCB23F" w14:textId="77777777" w:rsidR="002641D2" w:rsidRPr="00FA3F9C" w:rsidRDefault="002641D2" w:rsidP="002641D2">
            <w:pPr>
              <w:pStyle w:val="ListParagraph"/>
              <w:numPr>
                <w:ilvl w:val="0"/>
                <w:numId w:val="206"/>
              </w:numPr>
              <w:spacing w:after="0"/>
              <w:ind w:left="430" w:hanging="270"/>
              <w:rPr>
                <w:rFonts w:ascii="Arial" w:hAnsi="Arial" w:cs="Arial"/>
                <w:sz w:val="24"/>
                <w:szCs w:val="24"/>
              </w:rPr>
            </w:pPr>
            <w:proofErr w:type="spellStart"/>
            <w:r w:rsidRPr="00FA3F9C">
              <w:rPr>
                <w:rFonts w:ascii="Arial" w:hAnsi="Arial" w:cs="Arial"/>
                <w:sz w:val="24"/>
                <w:szCs w:val="24"/>
              </w:rPr>
              <w:t>Bissler</w:t>
            </w:r>
            <w:proofErr w:type="spellEnd"/>
            <w:r w:rsidRPr="00FA3F9C">
              <w:rPr>
                <w:rFonts w:ascii="Arial" w:hAnsi="Arial" w:cs="Arial"/>
                <w:sz w:val="24"/>
                <w:szCs w:val="24"/>
              </w:rPr>
              <w:t xml:space="preserve"> JJ et al. </w:t>
            </w:r>
            <w:proofErr w:type="spellStart"/>
            <w:r w:rsidRPr="00FA3F9C">
              <w:rPr>
                <w:rFonts w:ascii="Arial" w:hAnsi="Arial" w:cs="Arial"/>
                <w:sz w:val="24"/>
                <w:szCs w:val="24"/>
              </w:rPr>
              <w:t>Everolimus</w:t>
            </w:r>
            <w:proofErr w:type="spellEnd"/>
            <w:r w:rsidRPr="00FA3F9C">
              <w:rPr>
                <w:rFonts w:ascii="Arial" w:hAnsi="Arial" w:cs="Arial"/>
                <w:sz w:val="24"/>
                <w:szCs w:val="24"/>
              </w:rPr>
              <w:t xml:space="preserve"> for renal angiomyolipoma in patients with tuberous sclerosis complex or sporadic </w:t>
            </w:r>
            <w:proofErr w:type="spellStart"/>
            <w:r w:rsidRPr="00FA3F9C">
              <w:rPr>
                <w:rFonts w:ascii="Arial" w:hAnsi="Arial" w:cs="Arial"/>
                <w:sz w:val="24"/>
                <w:szCs w:val="24"/>
              </w:rPr>
              <w:t>lymphangioleiomyomatosis</w:t>
            </w:r>
            <w:proofErr w:type="spellEnd"/>
            <w:r w:rsidRPr="00FA3F9C">
              <w:rPr>
                <w:rFonts w:ascii="Arial" w:hAnsi="Arial" w:cs="Arial"/>
                <w:sz w:val="24"/>
                <w:szCs w:val="24"/>
              </w:rPr>
              <w:t>: extension of a randomized controlled trial. Nephrol Dial Transplant. 2016 Jan;31(1):111-9. PMID 26156073 NCT00790400</w:t>
            </w:r>
          </w:p>
          <w:p w14:paraId="68AF0A3A" w14:textId="77777777" w:rsidR="002641D2" w:rsidRPr="00FA3F9C" w:rsidRDefault="002641D2" w:rsidP="002641D2">
            <w:pPr>
              <w:pStyle w:val="ListParagraph"/>
              <w:numPr>
                <w:ilvl w:val="0"/>
                <w:numId w:val="206"/>
              </w:numPr>
              <w:spacing w:after="0"/>
              <w:ind w:left="430" w:hanging="270"/>
              <w:rPr>
                <w:rFonts w:ascii="Arial" w:hAnsi="Arial" w:cs="Arial"/>
                <w:sz w:val="24"/>
                <w:szCs w:val="24"/>
              </w:rPr>
            </w:pPr>
            <w:r w:rsidRPr="00FA3F9C">
              <w:rPr>
                <w:rFonts w:ascii="Arial" w:hAnsi="Arial" w:cs="Arial"/>
                <w:sz w:val="24"/>
                <w:szCs w:val="24"/>
              </w:rPr>
              <w:t xml:space="preserve">UpToDate “Renal </w:t>
            </w:r>
            <w:proofErr w:type="spellStart"/>
            <w:r w:rsidRPr="00FA3F9C">
              <w:rPr>
                <w:rFonts w:ascii="Arial" w:hAnsi="Arial" w:cs="Arial"/>
                <w:sz w:val="24"/>
                <w:szCs w:val="24"/>
              </w:rPr>
              <w:t>Angiomyolipomas</w:t>
            </w:r>
            <w:proofErr w:type="spellEnd"/>
            <w:r w:rsidRPr="00FA3F9C">
              <w:rPr>
                <w:rFonts w:ascii="Arial" w:hAnsi="Arial" w:cs="Arial"/>
                <w:sz w:val="24"/>
                <w:szCs w:val="24"/>
              </w:rPr>
              <w:t xml:space="preserve">.” </w:t>
            </w:r>
            <w:hyperlink r:id="rId170" w:history="1">
              <w:r w:rsidRPr="00FA3F9C">
                <w:rPr>
                  <w:rStyle w:val="Hyperlink"/>
                  <w:rFonts w:ascii="Arial" w:hAnsi="Arial" w:cs="Arial"/>
                  <w:sz w:val="24"/>
                  <w:szCs w:val="24"/>
                </w:rPr>
                <w:t>https://www.uptodate.com/contents/renal-angiomyolipomas?search=renal%20angiomyolipoma&amp;source=search_result&amp;selectedTitle=1~31&amp;usage_type=default&amp;display_rank=1</w:t>
              </w:r>
            </w:hyperlink>
          </w:p>
        </w:tc>
      </w:tr>
    </w:tbl>
    <w:p w14:paraId="0B9C7B47" w14:textId="77777777" w:rsidR="002641D2" w:rsidRPr="00FA3F9C" w:rsidRDefault="002641D2" w:rsidP="009D6C35">
      <w:pPr>
        <w:spacing w:line="276" w:lineRule="auto"/>
        <w:rPr>
          <w:rFonts w:ascii="Arial" w:hAnsi="Arial" w:cs="Arial"/>
          <w:sz w:val="24"/>
          <w:szCs w:val="24"/>
        </w:rPr>
      </w:pPr>
    </w:p>
    <w:p w14:paraId="0D321136" w14:textId="77777777" w:rsidR="002641D2" w:rsidRPr="00FA3F9C" w:rsidRDefault="002641D2" w:rsidP="009D6C35">
      <w:pPr>
        <w:spacing w:line="276" w:lineRule="auto"/>
        <w:rPr>
          <w:rFonts w:ascii="Arial" w:hAnsi="Arial" w:cs="Arial"/>
          <w:sz w:val="24"/>
          <w:szCs w:val="24"/>
        </w:rPr>
      </w:pP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40"/>
      </w:tblGrid>
      <w:tr w:rsidR="002641D2" w:rsidRPr="00FA3F9C" w14:paraId="0B5FCE17" w14:textId="77777777" w:rsidTr="0045266F">
        <w:trPr>
          <w:trHeight w:val="305"/>
          <w:jc w:val="center"/>
        </w:trPr>
        <w:tc>
          <w:tcPr>
            <w:tcW w:w="10440" w:type="dxa"/>
            <w:shd w:val="clear" w:color="auto" w:fill="000000"/>
            <w:vAlign w:val="center"/>
          </w:tcPr>
          <w:p w14:paraId="54CB03DB" w14:textId="77777777" w:rsidR="002641D2" w:rsidRPr="00FA3F9C" w:rsidRDefault="002641D2" w:rsidP="008524E7">
            <w:pPr>
              <w:rPr>
                <w:rFonts w:ascii="Arial" w:eastAsia="MS Gothic" w:hAnsi="Arial" w:cs="Arial"/>
                <w:b/>
                <w:color w:val="FFFFFF"/>
                <w:sz w:val="24"/>
                <w:szCs w:val="24"/>
              </w:rPr>
            </w:pPr>
            <w:r w:rsidRPr="00FA3F9C">
              <w:rPr>
                <w:rFonts w:ascii="Arial" w:hAnsi="Arial" w:cs="Arial"/>
                <w:b/>
                <w:sz w:val="24"/>
                <w:szCs w:val="24"/>
              </w:rPr>
              <w:t>Subependymal giant cell astrocytoma (</w:t>
            </w:r>
            <w:r w:rsidRPr="00FA3F9C">
              <w:rPr>
                <w:rFonts w:ascii="Arial" w:eastAsia="MS Gothic" w:hAnsi="Arial" w:cs="Arial"/>
                <w:b/>
                <w:color w:val="FFFFFF"/>
                <w:sz w:val="24"/>
                <w:szCs w:val="24"/>
              </w:rPr>
              <w:t>SEGA)</w:t>
            </w:r>
          </w:p>
        </w:tc>
      </w:tr>
      <w:tr w:rsidR="002641D2" w:rsidRPr="00FA3F9C" w14:paraId="318C03E8" w14:textId="77777777" w:rsidTr="00815A2A">
        <w:trPr>
          <w:trHeight w:val="305"/>
          <w:jc w:val="center"/>
        </w:trPr>
        <w:tc>
          <w:tcPr>
            <w:tcW w:w="10440" w:type="dxa"/>
            <w:vAlign w:val="center"/>
          </w:tcPr>
          <w:p w14:paraId="7572008C" w14:textId="77777777" w:rsidR="002641D2" w:rsidRPr="00FA3F9C" w:rsidRDefault="002641D2" w:rsidP="008524E7">
            <w:pPr>
              <w:rPr>
                <w:rFonts w:ascii="Arial" w:hAnsi="Arial" w:cs="Arial"/>
                <w:sz w:val="24"/>
                <w:szCs w:val="24"/>
              </w:rPr>
            </w:pPr>
            <w:r w:rsidRPr="00FA3F9C">
              <w:rPr>
                <w:rFonts w:ascii="Arial" w:hAnsi="Arial" w:cs="Arial"/>
                <w:sz w:val="24"/>
                <w:szCs w:val="24"/>
              </w:rPr>
              <w:t>1.  The patient has a diagnosis of subependymal giant cell astrocytoma (SEGA).</w:t>
            </w:r>
          </w:p>
        </w:tc>
      </w:tr>
      <w:tr w:rsidR="002641D2" w:rsidRPr="00FA3F9C" w14:paraId="0A7F2B69" w14:textId="77777777" w:rsidTr="00815A2A">
        <w:trPr>
          <w:jc w:val="center"/>
        </w:trPr>
        <w:tc>
          <w:tcPr>
            <w:tcW w:w="10440" w:type="dxa"/>
          </w:tcPr>
          <w:p w14:paraId="637E974C" w14:textId="77777777" w:rsidR="002641D2" w:rsidRPr="00FA3F9C" w:rsidRDefault="002641D2" w:rsidP="008524E7">
            <w:pPr>
              <w:rPr>
                <w:rFonts w:ascii="Arial" w:hAnsi="Arial" w:cs="Arial"/>
                <w:sz w:val="24"/>
                <w:szCs w:val="24"/>
              </w:rPr>
            </w:pPr>
            <w:r w:rsidRPr="00FA3F9C">
              <w:rPr>
                <w:rFonts w:ascii="Arial" w:hAnsi="Arial" w:cs="Arial"/>
                <w:sz w:val="24"/>
                <w:szCs w:val="24"/>
              </w:rPr>
              <w:t>2.  The patient is s/p surgery or else not a candidate for surgery.</w:t>
            </w:r>
          </w:p>
        </w:tc>
      </w:tr>
      <w:tr w:rsidR="002641D2" w:rsidRPr="00FA3F9C" w14:paraId="610F4C81" w14:textId="77777777" w:rsidTr="00815A2A">
        <w:trPr>
          <w:jc w:val="center"/>
        </w:trPr>
        <w:tc>
          <w:tcPr>
            <w:tcW w:w="10440" w:type="dxa"/>
          </w:tcPr>
          <w:p w14:paraId="4BB104BB" w14:textId="77777777" w:rsidR="002641D2" w:rsidRPr="00FA3F9C" w:rsidRDefault="002641D2" w:rsidP="008524E7">
            <w:pPr>
              <w:rPr>
                <w:rFonts w:ascii="Arial" w:hAnsi="Arial" w:cs="Arial"/>
                <w:sz w:val="24"/>
                <w:szCs w:val="24"/>
              </w:rPr>
            </w:pPr>
            <w:r w:rsidRPr="00FA3F9C">
              <w:rPr>
                <w:rFonts w:ascii="Arial" w:hAnsi="Arial" w:cs="Arial"/>
                <w:sz w:val="24"/>
                <w:szCs w:val="24"/>
              </w:rPr>
              <w:t>3.  The patient has one of the following:  a SEGA lesion &gt; 1 cm in diameter; serial radiological evidence of SEGA growth; or new or worsening hydrocephalus.</w:t>
            </w:r>
          </w:p>
        </w:tc>
      </w:tr>
      <w:tr w:rsidR="002641D2" w:rsidRPr="00FA3F9C" w14:paraId="71C261F0" w14:textId="77777777" w:rsidTr="00815A2A">
        <w:trPr>
          <w:jc w:val="center"/>
        </w:trPr>
        <w:tc>
          <w:tcPr>
            <w:tcW w:w="10440" w:type="dxa"/>
            <w:shd w:val="clear" w:color="auto" w:fill="D9D9D9"/>
          </w:tcPr>
          <w:p w14:paraId="22F6D126" w14:textId="77777777" w:rsidR="002641D2" w:rsidRPr="00FA3F9C" w:rsidRDefault="002641D2" w:rsidP="00E43AE6">
            <w:pPr>
              <w:rPr>
                <w:rFonts w:ascii="Arial" w:hAnsi="Arial" w:cs="Arial"/>
                <w:b/>
                <w:sz w:val="24"/>
                <w:szCs w:val="24"/>
              </w:rPr>
            </w:pPr>
            <w:r w:rsidRPr="00FA3F9C">
              <w:rPr>
                <w:rFonts w:ascii="Arial" w:hAnsi="Arial" w:cs="Arial"/>
                <w:b/>
                <w:sz w:val="24"/>
                <w:szCs w:val="24"/>
              </w:rPr>
              <w:t>If all criteria met, approve for 12 months.</w:t>
            </w:r>
          </w:p>
        </w:tc>
      </w:tr>
      <w:tr w:rsidR="002641D2" w:rsidRPr="00FA3F9C" w14:paraId="292E1CB6" w14:textId="77777777" w:rsidTr="00815A2A">
        <w:trPr>
          <w:jc w:val="center"/>
        </w:trPr>
        <w:tc>
          <w:tcPr>
            <w:tcW w:w="10440" w:type="dxa"/>
            <w:shd w:val="clear" w:color="auto" w:fill="D9D9D9"/>
          </w:tcPr>
          <w:p w14:paraId="49342ACC" w14:textId="77777777" w:rsidR="002641D2" w:rsidRPr="00FA3F9C" w:rsidRDefault="002641D2" w:rsidP="007F42B3">
            <w:pPr>
              <w:autoSpaceDE w:val="0"/>
              <w:autoSpaceDN w:val="0"/>
              <w:adjustRightInd w:val="0"/>
              <w:rPr>
                <w:rFonts w:ascii="Arial" w:hAnsi="Arial" w:cs="Arial"/>
                <w:sz w:val="24"/>
                <w:szCs w:val="24"/>
              </w:rPr>
            </w:pPr>
            <w:r w:rsidRPr="00FA3F9C">
              <w:rPr>
                <w:rFonts w:ascii="Arial" w:hAnsi="Arial" w:cs="Arial"/>
                <w:sz w:val="24"/>
                <w:szCs w:val="24"/>
              </w:rPr>
              <w:t>References:</w:t>
            </w:r>
          </w:p>
          <w:p w14:paraId="715AC2A0" w14:textId="77777777" w:rsidR="002641D2" w:rsidRPr="00FA3F9C" w:rsidRDefault="002641D2" w:rsidP="002641D2">
            <w:pPr>
              <w:numPr>
                <w:ilvl w:val="0"/>
                <w:numId w:val="200"/>
              </w:numPr>
              <w:autoSpaceDE w:val="0"/>
              <w:autoSpaceDN w:val="0"/>
              <w:adjustRightInd w:val="0"/>
              <w:spacing w:after="0" w:line="240" w:lineRule="auto"/>
              <w:ind w:left="250" w:hanging="180"/>
              <w:rPr>
                <w:rFonts w:ascii="Arial" w:hAnsi="Arial" w:cs="Arial"/>
                <w:sz w:val="24"/>
                <w:szCs w:val="24"/>
              </w:rPr>
            </w:pPr>
            <w:r w:rsidRPr="00FA3F9C">
              <w:rPr>
                <w:rFonts w:ascii="Arial" w:hAnsi="Arial" w:cs="Arial"/>
                <w:bCs/>
                <w:sz w:val="24"/>
                <w:szCs w:val="24"/>
              </w:rPr>
              <w:t xml:space="preserve">Franz DN, et al.  Efficacy and safety of </w:t>
            </w:r>
            <w:proofErr w:type="spellStart"/>
            <w:r w:rsidRPr="00FA3F9C">
              <w:rPr>
                <w:rFonts w:ascii="Arial" w:hAnsi="Arial" w:cs="Arial"/>
                <w:bCs/>
                <w:sz w:val="24"/>
                <w:szCs w:val="24"/>
              </w:rPr>
              <w:t>everolimus</w:t>
            </w:r>
            <w:proofErr w:type="spellEnd"/>
            <w:r w:rsidRPr="00FA3F9C">
              <w:rPr>
                <w:rFonts w:ascii="Arial" w:hAnsi="Arial" w:cs="Arial"/>
                <w:bCs/>
                <w:sz w:val="24"/>
                <w:szCs w:val="24"/>
              </w:rPr>
              <w:t xml:space="preserve"> for subependymal giant cell </w:t>
            </w:r>
            <w:proofErr w:type="spellStart"/>
            <w:r w:rsidRPr="00FA3F9C">
              <w:rPr>
                <w:rFonts w:ascii="Arial" w:hAnsi="Arial" w:cs="Arial"/>
                <w:bCs/>
                <w:sz w:val="24"/>
                <w:szCs w:val="24"/>
              </w:rPr>
              <w:t>astrocytomas</w:t>
            </w:r>
            <w:proofErr w:type="spellEnd"/>
            <w:r w:rsidRPr="00FA3F9C">
              <w:rPr>
                <w:rFonts w:ascii="Arial" w:hAnsi="Arial" w:cs="Arial"/>
                <w:bCs/>
                <w:sz w:val="24"/>
                <w:szCs w:val="24"/>
              </w:rPr>
              <w:t xml:space="preserve"> associated with tuberous sclerosis complex (EXIST-1):  a multicenter, R, PC phase 3 trial.  Lancet. 2013. Jan 12;381(9861)125-132.</w:t>
            </w:r>
          </w:p>
          <w:p w14:paraId="41E97141" w14:textId="77777777" w:rsidR="002641D2" w:rsidRPr="00FA3F9C" w:rsidRDefault="002641D2" w:rsidP="002641D2">
            <w:pPr>
              <w:numPr>
                <w:ilvl w:val="0"/>
                <w:numId w:val="200"/>
              </w:numPr>
              <w:autoSpaceDE w:val="0"/>
              <w:autoSpaceDN w:val="0"/>
              <w:adjustRightInd w:val="0"/>
              <w:spacing w:after="0" w:line="240" w:lineRule="auto"/>
              <w:ind w:left="250" w:hanging="180"/>
              <w:rPr>
                <w:rFonts w:ascii="Arial" w:hAnsi="Arial" w:cs="Arial"/>
                <w:sz w:val="24"/>
                <w:szCs w:val="24"/>
              </w:rPr>
            </w:pPr>
            <w:r w:rsidRPr="00FA3F9C">
              <w:rPr>
                <w:rFonts w:ascii="Arial" w:hAnsi="Arial" w:cs="Arial"/>
                <w:bCs/>
                <w:sz w:val="24"/>
                <w:szCs w:val="24"/>
              </w:rPr>
              <w:t xml:space="preserve">Krueger DA, et al.  </w:t>
            </w:r>
            <w:proofErr w:type="spellStart"/>
            <w:r w:rsidRPr="00FA3F9C">
              <w:rPr>
                <w:rFonts w:ascii="Arial" w:hAnsi="Arial" w:cs="Arial"/>
                <w:bCs/>
                <w:sz w:val="24"/>
                <w:szCs w:val="24"/>
              </w:rPr>
              <w:t>Everolimus</w:t>
            </w:r>
            <w:proofErr w:type="spellEnd"/>
            <w:r w:rsidRPr="00FA3F9C">
              <w:rPr>
                <w:rFonts w:ascii="Arial" w:hAnsi="Arial" w:cs="Arial"/>
                <w:bCs/>
                <w:sz w:val="24"/>
                <w:szCs w:val="24"/>
              </w:rPr>
              <w:t xml:space="preserve"> for subependymal giant-cell </w:t>
            </w:r>
            <w:proofErr w:type="spellStart"/>
            <w:r w:rsidRPr="00FA3F9C">
              <w:rPr>
                <w:rFonts w:ascii="Arial" w:hAnsi="Arial" w:cs="Arial"/>
                <w:bCs/>
                <w:sz w:val="24"/>
                <w:szCs w:val="24"/>
              </w:rPr>
              <w:t>astrocytomas</w:t>
            </w:r>
            <w:proofErr w:type="spellEnd"/>
            <w:r w:rsidRPr="00FA3F9C">
              <w:rPr>
                <w:rFonts w:ascii="Arial" w:hAnsi="Arial" w:cs="Arial"/>
                <w:bCs/>
                <w:sz w:val="24"/>
                <w:szCs w:val="24"/>
              </w:rPr>
              <w:t xml:space="preserve"> in tuberous sclerosis. NEJM. 2010 Nov 4;363(19):1801-11.</w:t>
            </w:r>
          </w:p>
          <w:p w14:paraId="33AAB1A4" w14:textId="77777777" w:rsidR="002641D2" w:rsidRPr="00FA3F9C" w:rsidRDefault="002641D2" w:rsidP="002641D2">
            <w:pPr>
              <w:numPr>
                <w:ilvl w:val="0"/>
                <w:numId w:val="200"/>
              </w:numPr>
              <w:autoSpaceDE w:val="0"/>
              <w:autoSpaceDN w:val="0"/>
              <w:adjustRightInd w:val="0"/>
              <w:spacing w:after="0" w:line="240" w:lineRule="auto"/>
              <w:ind w:left="250" w:hanging="180"/>
              <w:rPr>
                <w:rFonts w:ascii="Arial" w:hAnsi="Arial" w:cs="Arial"/>
                <w:sz w:val="24"/>
                <w:szCs w:val="24"/>
              </w:rPr>
            </w:pPr>
            <w:proofErr w:type="spellStart"/>
            <w:r w:rsidRPr="00FA3F9C">
              <w:rPr>
                <w:rFonts w:ascii="Arial" w:hAnsi="Arial" w:cs="Arial"/>
                <w:sz w:val="24"/>
                <w:szCs w:val="24"/>
              </w:rPr>
              <w:t>Bellmunt</w:t>
            </w:r>
            <w:proofErr w:type="spellEnd"/>
            <w:r w:rsidRPr="00FA3F9C">
              <w:rPr>
                <w:rFonts w:ascii="Arial" w:hAnsi="Arial" w:cs="Arial"/>
                <w:sz w:val="24"/>
                <w:szCs w:val="24"/>
              </w:rPr>
              <w:t xml:space="preserve"> J, Pons F, </w:t>
            </w:r>
            <w:proofErr w:type="spellStart"/>
            <w:r w:rsidRPr="00FA3F9C">
              <w:rPr>
                <w:rFonts w:ascii="Arial" w:hAnsi="Arial" w:cs="Arial"/>
                <w:sz w:val="24"/>
                <w:szCs w:val="24"/>
              </w:rPr>
              <w:t>Foreshew</w:t>
            </w:r>
            <w:proofErr w:type="spellEnd"/>
            <w:r w:rsidRPr="00FA3F9C">
              <w:rPr>
                <w:rFonts w:ascii="Arial" w:hAnsi="Arial" w:cs="Arial"/>
                <w:sz w:val="24"/>
                <w:szCs w:val="24"/>
              </w:rPr>
              <w:t xml:space="preserve"> A, et al.  Sequential targeted therapy after pazopanib therapy in patients with metastatic renal cell cancer: efficacy and toxicity. Clin </w:t>
            </w:r>
            <w:proofErr w:type="spellStart"/>
            <w:r w:rsidRPr="00FA3F9C">
              <w:rPr>
                <w:rFonts w:ascii="Arial" w:hAnsi="Arial" w:cs="Arial"/>
                <w:sz w:val="24"/>
                <w:szCs w:val="24"/>
              </w:rPr>
              <w:t>Genitourin</w:t>
            </w:r>
            <w:proofErr w:type="spellEnd"/>
            <w:r w:rsidRPr="00FA3F9C">
              <w:rPr>
                <w:rFonts w:ascii="Arial" w:hAnsi="Arial" w:cs="Arial"/>
                <w:sz w:val="24"/>
                <w:szCs w:val="24"/>
              </w:rPr>
              <w:t xml:space="preserve"> Cancer. 2014 Aug;12(4):262-9. </w:t>
            </w:r>
            <w:proofErr w:type="spellStart"/>
            <w:r w:rsidRPr="00FA3F9C">
              <w:rPr>
                <w:rFonts w:ascii="Arial" w:hAnsi="Arial" w:cs="Arial"/>
                <w:sz w:val="24"/>
                <w:szCs w:val="24"/>
              </w:rPr>
              <w:t>doi</w:t>
            </w:r>
            <w:proofErr w:type="spellEnd"/>
            <w:r w:rsidRPr="00FA3F9C">
              <w:rPr>
                <w:rFonts w:ascii="Arial" w:hAnsi="Arial" w:cs="Arial"/>
                <w:sz w:val="24"/>
                <w:szCs w:val="24"/>
              </w:rPr>
              <w:t xml:space="preserve">: 10.1016/j.clgc.2014.03.002. </w:t>
            </w:r>
            <w:proofErr w:type="spellStart"/>
            <w:r w:rsidRPr="00FA3F9C">
              <w:rPr>
                <w:rFonts w:ascii="Arial" w:hAnsi="Arial" w:cs="Arial"/>
                <w:sz w:val="24"/>
                <w:szCs w:val="24"/>
              </w:rPr>
              <w:t>Epub</w:t>
            </w:r>
            <w:proofErr w:type="spellEnd"/>
            <w:r w:rsidRPr="00FA3F9C">
              <w:rPr>
                <w:rFonts w:ascii="Arial" w:hAnsi="Arial" w:cs="Arial"/>
                <w:sz w:val="24"/>
                <w:szCs w:val="24"/>
              </w:rPr>
              <w:t xml:space="preserve"> 2014 Mar 14.</w:t>
            </w:r>
          </w:p>
          <w:p w14:paraId="366DB10D" w14:textId="77777777" w:rsidR="002641D2" w:rsidRPr="00FA3F9C" w:rsidRDefault="002641D2" w:rsidP="002641D2">
            <w:pPr>
              <w:numPr>
                <w:ilvl w:val="0"/>
                <w:numId w:val="200"/>
              </w:numPr>
              <w:autoSpaceDE w:val="0"/>
              <w:autoSpaceDN w:val="0"/>
              <w:adjustRightInd w:val="0"/>
              <w:spacing w:after="0" w:line="240" w:lineRule="auto"/>
              <w:ind w:left="250" w:hanging="180"/>
              <w:rPr>
                <w:rFonts w:ascii="Arial" w:hAnsi="Arial" w:cs="Arial"/>
                <w:sz w:val="24"/>
                <w:szCs w:val="24"/>
              </w:rPr>
            </w:pPr>
            <w:r w:rsidRPr="00FA3F9C">
              <w:rPr>
                <w:rFonts w:ascii="Arial" w:hAnsi="Arial" w:cs="Arial"/>
                <w:sz w:val="24"/>
                <w:szCs w:val="24"/>
              </w:rPr>
              <w:t xml:space="preserve">Franz, David, et al. "Long-term efficacy and safety of </w:t>
            </w:r>
            <w:proofErr w:type="spellStart"/>
            <w:r w:rsidRPr="00FA3F9C">
              <w:rPr>
                <w:rFonts w:ascii="Arial" w:hAnsi="Arial" w:cs="Arial"/>
                <w:sz w:val="24"/>
                <w:szCs w:val="24"/>
              </w:rPr>
              <w:t>everolimus</w:t>
            </w:r>
            <w:proofErr w:type="spellEnd"/>
            <w:r w:rsidRPr="00FA3F9C">
              <w:rPr>
                <w:rFonts w:ascii="Arial" w:hAnsi="Arial" w:cs="Arial"/>
                <w:sz w:val="24"/>
                <w:szCs w:val="24"/>
              </w:rPr>
              <w:t xml:space="preserve"> for the treatment of subependymal giant cell astrocytoma (SEGA) associated with tuberous sclerosis complex (TSC) in EXIST-1: approximately 3.5 years of exposure (P2. 235)." Neurology 84.14 Supplement (2015): P2-235.</w:t>
            </w:r>
          </w:p>
        </w:tc>
      </w:tr>
    </w:tbl>
    <w:p w14:paraId="6910358D" w14:textId="77777777" w:rsidR="002641D2" w:rsidRPr="00FA3F9C" w:rsidRDefault="002641D2" w:rsidP="008524E7">
      <w:pPr>
        <w:rPr>
          <w:rFonts w:ascii="Arial" w:hAnsi="Arial" w:cs="Arial"/>
          <w:b/>
          <w:sz w:val="24"/>
          <w:szCs w:val="24"/>
        </w:rPr>
      </w:pP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40"/>
      </w:tblGrid>
      <w:tr w:rsidR="002641D2" w:rsidRPr="00FA3F9C" w14:paraId="044163EF" w14:textId="77777777" w:rsidTr="0045266F">
        <w:trPr>
          <w:trHeight w:val="305"/>
          <w:jc w:val="center"/>
        </w:trPr>
        <w:tc>
          <w:tcPr>
            <w:tcW w:w="10440" w:type="dxa"/>
            <w:shd w:val="clear" w:color="auto" w:fill="000000"/>
            <w:vAlign w:val="center"/>
          </w:tcPr>
          <w:p w14:paraId="2DE34E58" w14:textId="77777777" w:rsidR="002641D2" w:rsidRPr="00FA3F9C" w:rsidRDefault="002641D2" w:rsidP="00815A2A">
            <w:pPr>
              <w:rPr>
                <w:rFonts w:ascii="Arial" w:eastAsia="MS Gothic" w:hAnsi="Arial" w:cs="Arial"/>
                <w:b/>
                <w:color w:val="FFFFFF"/>
                <w:sz w:val="24"/>
                <w:szCs w:val="24"/>
              </w:rPr>
            </w:pPr>
            <w:r w:rsidRPr="00FA3F9C">
              <w:rPr>
                <w:rFonts w:ascii="Arial" w:eastAsia="MS Gothic" w:hAnsi="Arial" w:cs="Arial"/>
                <w:b/>
                <w:color w:val="FFFFFF"/>
                <w:sz w:val="24"/>
                <w:szCs w:val="24"/>
              </w:rPr>
              <w:t>Renal Cell Carcinoma</w:t>
            </w:r>
          </w:p>
        </w:tc>
      </w:tr>
      <w:tr w:rsidR="002641D2" w:rsidRPr="00FA3F9C" w14:paraId="28765964" w14:textId="77777777" w:rsidTr="00815A2A">
        <w:trPr>
          <w:trHeight w:val="305"/>
          <w:jc w:val="center"/>
        </w:trPr>
        <w:tc>
          <w:tcPr>
            <w:tcW w:w="10440" w:type="dxa"/>
            <w:vAlign w:val="center"/>
          </w:tcPr>
          <w:p w14:paraId="5BA372C2" w14:textId="77777777" w:rsidR="002641D2" w:rsidRPr="00FA3F9C" w:rsidRDefault="002641D2" w:rsidP="008524E7">
            <w:pPr>
              <w:rPr>
                <w:rFonts w:ascii="Arial" w:hAnsi="Arial" w:cs="Arial"/>
                <w:sz w:val="24"/>
                <w:szCs w:val="24"/>
              </w:rPr>
            </w:pPr>
            <w:r w:rsidRPr="00FA3F9C">
              <w:rPr>
                <w:rFonts w:ascii="Arial" w:hAnsi="Arial" w:cs="Arial"/>
                <w:sz w:val="24"/>
                <w:szCs w:val="24"/>
              </w:rPr>
              <w:t>1.  The patient has a diagnosis of advanced renal cell carcinoma.</w:t>
            </w:r>
          </w:p>
        </w:tc>
      </w:tr>
      <w:tr w:rsidR="002641D2" w:rsidRPr="00FA3F9C" w14:paraId="1D2E14FE" w14:textId="77777777" w:rsidTr="00815A2A">
        <w:trPr>
          <w:jc w:val="center"/>
        </w:trPr>
        <w:tc>
          <w:tcPr>
            <w:tcW w:w="10440" w:type="dxa"/>
          </w:tcPr>
          <w:p w14:paraId="5F500DCB" w14:textId="77777777" w:rsidR="002641D2" w:rsidRPr="00FA3F9C" w:rsidRDefault="002641D2" w:rsidP="008524E7">
            <w:pPr>
              <w:rPr>
                <w:rFonts w:ascii="Arial" w:hAnsi="Arial" w:cs="Arial"/>
                <w:sz w:val="24"/>
                <w:szCs w:val="24"/>
              </w:rPr>
            </w:pPr>
            <w:r w:rsidRPr="00FA3F9C">
              <w:rPr>
                <w:rFonts w:ascii="Arial" w:hAnsi="Arial" w:cs="Arial"/>
                <w:sz w:val="24"/>
                <w:szCs w:val="24"/>
              </w:rPr>
              <w:t xml:space="preserve">2.  The patient is being treated with </w:t>
            </w:r>
            <w:proofErr w:type="spellStart"/>
            <w:r w:rsidRPr="00FA3F9C">
              <w:rPr>
                <w:rFonts w:ascii="Arial" w:hAnsi="Arial" w:cs="Arial"/>
                <w:sz w:val="24"/>
                <w:szCs w:val="24"/>
              </w:rPr>
              <w:t>everolimus</w:t>
            </w:r>
            <w:proofErr w:type="spellEnd"/>
            <w:r w:rsidRPr="00FA3F9C">
              <w:rPr>
                <w:rFonts w:ascii="Arial" w:hAnsi="Arial" w:cs="Arial"/>
                <w:sz w:val="24"/>
                <w:szCs w:val="24"/>
              </w:rPr>
              <w:t xml:space="preserve"> </w:t>
            </w:r>
            <w:r w:rsidRPr="00FA3F9C">
              <w:rPr>
                <w:rFonts w:ascii="Arial" w:hAnsi="Arial" w:cs="Arial"/>
                <w:b/>
                <w:sz w:val="24"/>
                <w:szCs w:val="24"/>
              </w:rPr>
              <w:t xml:space="preserve">in combination with </w:t>
            </w:r>
            <w:proofErr w:type="spellStart"/>
            <w:r w:rsidRPr="00FA3F9C">
              <w:rPr>
                <w:rFonts w:ascii="Arial" w:hAnsi="Arial" w:cs="Arial"/>
                <w:sz w:val="24"/>
                <w:szCs w:val="24"/>
              </w:rPr>
              <w:t>lenvatinib</w:t>
            </w:r>
            <w:proofErr w:type="spellEnd"/>
            <w:r w:rsidRPr="00FA3F9C">
              <w:rPr>
                <w:rFonts w:ascii="Arial" w:hAnsi="Arial" w:cs="Arial"/>
                <w:sz w:val="24"/>
                <w:szCs w:val="24"/>
              </w:rPr>
              <w:t xml:space="preserve"> (and has an approved </w:t>
            </w:r>
            <w:proofErr w:type="spellStart"/>
            <w:r w:rsidRPr="00FA3F9C">
              <w:rPr>
                <w:rFonts w:ascii="Arial" w:hAnsi="Arial" w:cs="Arial"/>
                <w:sz w:val="24"/>
                <w:szCs w:val="24"/>
              </w:rPr>
              <w:t>lenvatinib</w:t>
            </w:r>
            <w:proofErr w:type="spellEnd"/>
            <w:r w:rsidRPr="00FA3F9C">
              <w:rPr>
                <w:rFonts w:ascii="Arial" w:hAnsi="Arial" w:cs="Arial"/>
                <w:sz w:val="24"/>
                <w:szCs w:val="24"/>
              </w:rPr>
              <w:t xml:space="preserve"> PA on file).*</w:t>
            </w:r>
          </w:p>
        </w:tc>
      </w:tr>
      <w:tr w:rsidR="002641D2" w:rsidRPr="00FA3F9C" w14:paraId="600DDBF4" w14:textId="77777777" w:rsidTr="002A178E">
        <w:trPr>
          <w:trHeight w:val="170"/>
          <w:jc w:val="center"/>
        </w:trPr>
        <w:tc>
          <w:tcPr>
            <w:tcW w:w="10440" w:type="dxa"/>
            <w:shd w:val="clear" w:color="auto" w:fill="D9D9D9"/>
          </w:tcPr>
          <w:p w14:paraId="0BE80B80" w14:textId="77777777" w:rsidR="002641D2" w:rsidRPr="00FA3F9C" w:rsidRDefault="002641D2" w:rsidP="00E43AE6">
            <w:pPr>
              <w:rPr>
                <w:rFonts w:ascii="Arial" w:hAnsi="Arial" w:cs="Arial"/>
                <w:b/>
                <w:sz w:val="24"/>
                <w:szCs w:val="24"/>
              </w:rPr>
            </w:pPr>
            <w:r w:rsidRPr="00FA3F9C">
              <w:rPr>
                <w:rFonts w:ascii="Arial" w:hAnsi="Arial" w:cs="Arial"/>
                <w:b/>
                <w:sz w:val="24"/>
                <w:szCs w:val="24"/>
              </w:rPr>
              <w:lastRenderedPageBreak/>
              <w:t xml:space="preserve">If both criteria met, approve for 12 months.  </w:t>
            </w:r>
          </w:p>
        </w:tc>
      </w:tr>
      <w:tr w:rsidR="002641D2" w:rsidRPr="00FA3F9C" w14:paraId="574AF2E6" w14:textId="77777777" w:rsidTr="002A178E">
        <w:trPr>
          <w:trHeight w:val="341"/>
          <w:jc w:val="center"/>
        </w:trPr>
        <w:tc>
          <w:tcPr>
            <w:tcW w:w="10440" w:type="dxa"/>
            <w:shd w:val="clear" w:color="auto" w:fill="D9D9D9"/>
          </w:tcPr>
          <w:p w14:paraId="0EBC1129" w14:textId="77777777" w:rsidR="002641D2" w:rsidRPr="00FA3F9C" w:rsidRDefault="002641D2" w:rsidP="007F42B3">
            <w:pPr>
              <w:autoSpaceDE w:val="0"/>
              <w:autoSpaceDN w:val="0"/>
              <w:adjustRightInd w:val="0"/>
              <w:rPr>
                <w:rFonts w:ascii="Arial" w:hAnsi="Arial" w:cs="Arial"/>
                <w:sz w:val="24"/>
                <w:szCs w:val="24"/>
              </w:rPr>
            </w:pPr>
            <w:r w:rsidRPr="00FA3F9C">
              <w:rPr>
                <w:rFonts w:ascii="Arial" w:hAnsi="Arial" w:cs="Arial"/>
                <w:sz w:val="24"/>
                <w:szCs w:val="24"/>
              </w:rPr>
              <w:t>Reference:</w:t>
            </w:r>
          </w:p>
          <w:p w14:paraId="5FEB0C7D" w14:textId="77777777" w:rsidR="002641D2" w:rsidRPr="00FA3F9C" w:rsidRDefault="002641D2" w:rsidP="007F42B3">
            <w:pPr>
              <w:autoSpaceDE w:val="0"/>
              <w:autoSpaceDN w:val="0"/>
              <w:adjustRightInd w:val="0"/>
              <w:rPr>
                <w:rFonts w:ascii="Arial" w:hAnsi="Arial" w:cs="Arial"/>
                <w:sz w:val="24"/>
                <w:szCs w:val="24"/>
              </w:rPr>
            </w:pPr>
            <w:proofErr w:type="spellStart"/>
            <w:r w:rsidRPr="00FA3F9C">
              <w:rPr>
                <w:rFonts w:ascii="Arial" w:hAnsi="Arial" w:cs="Arial"/>
                <w:sz w:val="24"/>
                <w:szCs w:val="24"/>
              </w:rPr>
              <w:t>Motzer</w:t>
            </w:r>
            <w:proofErr w:type="spellEnd"/>
            <w:r w:rsidRPr="00FA3F9C">
              <w:rPr>
                <w:rFonts w:ascii="Arial" w:hAnsi="Arial" w:cs="Arial"/>
                <w:sz w:val="24"/>
                <w:szCs w:val="24"/>
              </w:rPr>
              <w:t xml:space="preserve"> RJ, Hutson TE, Glen H, et al. Lenvatinib, </w:t>
            </w:r>
            <w:proofErr w:type="spellStart"/>
            <w:r w:rsidRPr="00FA3F9C">
              <w:rPr>
                <w:rFonts w:ascii="Arial" w:hAnsi="Arial" w:cs="Arial"/>
                <w:sz w:val="24"/>
                <w:szCs w:val="24"/>
              </w:rPr>
              <w:t>everolimus</w:t>
            </w:r>
            <w:proofErr w:type="spellEnd"/>
            <w:r w:rsidRPr="00FA3F9C">
              <w:rPr>
                <w:rFonts w:ascii="Arial" w:hAnsi="Arial" w:cs="Arial"/>
                <w:sz w:val="24"/>
                <w:szCs w:val="24"/>
              </w:rPr>
              <w:t>, and the combination in patients with metastatic renal cell carcinoma: a randomized, phase 2, open-label, multicenter trial. Lancet Oncol 2015;16:1473-82.</w:t>
            </w:r>
          </w:p>
        </w:tc>
      </w:tr>
    </w:tbl>
    <w:p w14:paraId="71553313" w14:textId="77777777" w:rsidR="002641D2" w:rsidRPr="00FA3F9C" w:rsidRDefault="002641D2" w:rsidP="008524E7">
      <w:pPr>
        <w:rPr>
          <w:rFonts w:ascii="Arial" w:hAnsi="Arial" w:cs="Arial"/>
          <w:b/>
          <w:sz w:val="24"/>
          <w:szCs w:val="24"/>
        </w:rPr>
      </w:pPr>
      <w:r w:rsidRPr="00FA3F9C">
        <w:rPr>
          <w:rFonts w:ascii="Arial" w:hAnsi="Arial" w:cs="Arial"/>
          <w:b/>
          <w:sz w:val="24"/>
          <w:szCs w:val="24"/>
        </w:rPr>
        <w:t xml:space="preserve">*Monotherapy with </w:t>
      </w:r>
      <w:proofErr w:type="spellStart"/>
      <w:r w:rsidRPr="00FA3F9C">
        <w:rPr>
          <w:rFonts w:ascii="Arial" w:hAnsi="Arial" w:cs="Arial"/>
          <w:b/>
          <w:sz w:val="24"/>
          <w:szCs w:val="24"/>
        </w:rPr>
        <w:t>everolimus</w:t>
      </w:r>
      <w:proofErr w:type="spellEnd"/>
      <w:r w:rsidRPr="00FA3F9C">
        <w:rPr>
          <w:rFonts w:ascii="Arial" w:hAnsi="Arial" w:cs="Arial"/>
          <w:b/>
          <w:sz w:val="24"/>
          <w:szCs w:val="24"/>
        </w:rPr>
        <w:t xml:space="preserve"> for RCC is not covered on this plan.</w:t>
      </w:r>
    </w:p>
    <w:p w14:paraId="6C9551B7" w14:textId="77777777" w:rsidR="002641D2" w:rsidRPr="00FA3F9C" w:rsidRDefault="002641D2" w:rsidP="002412C0">
      <w:pPr>
        <w:rPr>
          <w:rFonts w:ascii="Arial" w:hAnsi="Arial" w:cs="Arial"/>
          <w:sz w:val="24"/>
          <w:szCs w:val="24"/>
        </w:rPr>
      </w:pP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7566"/>
        <w:gridCol w:w="1590"/>
      </w:tblGrid>
      <w:tr w:rsidR="002641D2" w:rsidRPr="00FA3F9C" w14:paraId="65696602" w14:textId="77777777" w:rsidTr="00815A2A">
        <w:trPr>
          <w:jc w:val="center"/>
        </w:trPr>
        <w:tc>
          <w:tcPr>
            <w:tcW w:w="10440" w:type="dxa"/>
            <w:gridSpan w:val="3"/>
          </w:tcPr>
          <w:p w14:paraId="376CD663" w14:textId="77777777" w:rsidR="002641D2" w:rsidRPr="00FA3F9C" w:rsidRDefault="002641D2" w:rsidP="002412C0">
            <w:pPr>
              <w:rPr>
                <w:rFonts w:ascii="Arial" w:hAnsi="Arial" w:cs="Arial"/>
                <w:b/>
                <w:sz w:val="24"/>
                <w:szCs w:val="24"/>
              </w:rPr>
            </w:pPr>
            <w:r w:rsidRPr="00FA3F9C">
              <w:rPr>
                <w:rFonts w:ascii="Arial" w:hAnsi="Arial" w:cs="Arial"/>
                <w:b/>
                <w:sz w:val="24"/>
                <w:szCs w:val="24"/>
              </w:rPr>
              <w:t>Revision History</w:t>
            </w:r>
          </w:p>
        </w:tc>
      </w:tr>
      <w:tr w:rsidR="002641D2" w:rsidRPr="00FA3F9C" w14:paraId="15FD5781" w14:textId="77777777" w:rsidTr="008524E7">
        <w:trPr>
          <w:jc w:val="center"/>
        </w:trPr>
        <w:tc>
          <w:tcPr>
            <w:tcW w:w="1190" w:type="dxa"/>
          </w:tcPr>
          <w:p w14:paraId="177B56F6" w14:textId="77777777" w:rsidR="002641D2" w:rsidRPr="00FA3F9C" w:rsidRDefault="002641D2" w:rsidP="002412C0">
            <w:pPr>
              <w:rPr>
                <w:rFonts w:ascii="Arial" w:hAnsi="Arial" w:cs="Arial"/>
                <w:sz w:val="24"/>
                <w:szCs w:val="24"/>
              </w:rPr>
            </w:pPr>
            <w:r w:rsidRPr="00FA3F9C">
              <w:rPr>
                <w:rFonts w:ascii="Arial" w:hAnsi="Arial" w:cs="Arial"/>
                <w:sz w:val="24"/>
                <w:szCs w:val="24"/>
              </w:rPr>
              <w:t>Date</w:t>
            </w:r>
          </w:p>
        </w:tc>
        <w:tc>
          <w:tcPr>
            <w:tcW w:w="7794" w:type="dxa"/>
          </w:tcPr>
          <w:p w14:paraId="71C3D4FC" w14:textId="77777777" w:rsidR="002641D2" w:rsidRPr="00FA3F9C" w:rsidRDefault="002641D2" w:rsidP="002412C0">
            <w:pPr>
              <w:rPr>
                <w:rFonts w:ascii="Arial" w:hAnsi="Arial" w:cs="Arial"/>
                <w:sz w:val="24"/>
                <w:szCs w:val="24"/>
              </w:rPr>
            </w:pPr>
            <w:r w:rsidRPr="00FA3F9C">
              <w:rPr>
                <w:rFonts w:ascii="Arial" w:hAnsi="Arial" w:cs="Arial"/>
                <w:sz w:val="24"/>
                <w:szCs w:val="24"/>
              </w:rPr>
              <w:t>What changed?</w:t>
            </w:r>
          </w:p>
        </w:tc>
        <w:tc>
          <w:tcPr>
            <w:tcW w:w="1456" w:type="dxa"/>
          </w:tcPr>
          <w:p w14:paraId="00CEBB8A" w14:textId="77777777" w:rsidR="002641D2" w:rsidRPr="00FA3F9C" w:rsidRDefault="002641D2" w:rsidP="002412C0">
            <w:pPr>
              <w:rPr>
                <w:rFonts w:ascii="Arial" w:hAnsi="Arial" w:cs="Arial"/>
                <w:sz w:val="24"/>
                <w:szCs w:val="24"/>
              </w:rPr>
            </w:pPr>
            <w:r w:rsidRPr="00FA3F9C">
              <w:rPr>
                <w:rFonts w:ascii="Arial" w:hAnsi="Arial" w:cs="Arial"/>
                <w:sz w:val="24"/>
                <w:szCs w:val="24"/>
              </w:rPr>
              <w:t>Pharmacist’s initials</w:t>
            </w:r>
          </w:p>
        </w:tc>
      </w:tr>
      <w:tr w:rsidR="002641D2" w:rsidRPr="00FA3F9C" w14:paraId="0217C643" w14:textId="77777777" w:rsidTr="008524E7">
        <w:trPr>
          <w:jc w:val="center"/>
        </w:trPr>
        <w:tc>
          <w:tcPr>
            <w:tcW w:w="1190" w:type="dxa"/>
          </w:tcPr>
          <w:p w14:paraId="3312B673" w14:textId="77777777" w:rsidR="002641D2" w:rsidRPr="00FA3F9C" w:rsidRDefault="002641D2" w:rsidP="002412C0">
            <w:pPr>
              <w:rPr>
                <w:rFonts w:ascii="Arial" w:hAnsi="Arial" w:cs="Arial"/>
                <w:sz w:val="24"/>
                <w:szCs w:val="24"/>
              </w:rPr>
            </w:pPr>
            <w:r w:rsidRPr="00FA3F9C">
              <w:rPr>
                <w:rFonts w:ascii="Arial" w:hAnsi="Arial" w:cs="Arial"/>
                <w:sz w:val="24"/>
                <w:szCs w:val="24"/>
              </w:rPr>
              <w:t>5/2009</w:t>
            </w:r>
          </w:p>
        </w:tc>
        <w:tc>
          <w:tcPr>
            <w:tcW w:w="7794" w:type="dxa"/>
          </w:tcPr>
          <w:p w14:paraId="6FEE1CCC" w14:textId="77777777" w:rsidR="002641D2" w:rsidRPr="00FA3F9C" w:rsidRDefault="002641D2" w:rsidP="002412C0">
            <w:pPr>
              <w:rPr>
                <w:rFonts w:ascii="Arial" w:hAnsi="Arial" w:cs="Arial"/>
                <w:sz w:val="24"/>
                <w:szCs w:val="24"/>
              </w:rPr>
            </w:pPr>
            <w:r w:rsidRPr="00FA3F9C">
              <w:rPr>
                <w:rFonts w:ascii="Arial" w:hAnsi="Arial" w:cs="Arial"/>
                <w:sz w:val="24"/>
                <w:szCs w:val="24"/>
              </w:rPr>
              <w:t>Criteria written</w:t>
            </w:r>
          </w:p>
        </w:tc>
        <w:tc>
          <w:tcPr>
            <w:tcW w:w="1456" w:type="dxa"/>
          </w:tcPr>
          <w:p w14:paraId="1CD3BD74" w14:textId="4DCD5316" w:rsidR="002641D2" w:rsidRPr="00FA3F9C" w:rsidRDefault="005C142D" w:rsidP="002412C0">
            <w:pPr>
              <w:rPr>
                <w:rFonts w:ascii="Arial" w:hAnsi="Arial" w:cs="Arial"/>
                <w:sz w:val="24"/>
                <w:szCs w:val="24"/>
              </w:rPr>
            </w:pPr>
            <w:r w:rsidRPr="00FA3F9C">
              <w:rPr>
                <w:rFonts w:ascii="Arial" w:hAnsi="Arial" w:cs="Arial"/>
                <w:sz w:val="24"/>
                <w:szCs w:val="24"/>
              </w:rPr>
              <w:t>JJ</w:t>
            </w:r>
          </w:p>
        </w:tc>
      </w:tr>
      <w:tr w:rsidR="002641D2" w:rsidRPr="00FA3F9C" w14:paraId="7DB0C79F" w14:textId="77777777" w:rsidTr="008524E7">
        <w:trPr>
          <w:jc w:val="center"/>
        </w:trPr>
        <w:tc>
          <w:tcPr>
            <w:tcW w:w="1190" w:type="dxa"/>
          </w:tcPr>
          <w:p w14:paraId="651DB7E1" w14:textId="77777777" w:rsidR="002641D2" w:rsidRPr="00FA3F9C" w:rsidRDefault="002641D2" w:rsidP="002412C0">
            <w:pPr>
              <w:rPr>
                <w:rFonts w:ascii="Arial" w:hAnsi="Arial" w:cs="Arial"/>
                <w:sz w:val="24"/>
                <w:szCs w:val="24"/>
              </w:rPr>
            </w:pPr>
            <w:r w:rsidRPr="00FA3F9C">
              <w:rPr>
                <w:rFonts w:ascii="Arial" w:hAnsi="Arial" w:cs="Arial"/>
                <w:sz w:val="24"/>
                <w:szCs w:val="24"/>
              </w:rPr>
              <w:t>5/11/12</w:t>
            </w:r>
          </w:p>
        </w:tc>
        <w:tc>
          <w:tcPr>
            <w:tcW w:w="7794" w:type="dxa"/>
          </w:tcPr>
          <w:p w14:paraId="40240DC7" w14:textId="77777777" w:rsidR="002641D2" w:rsidRPr="00FA3F9C" w:rsidRDefault="002641D2" w:rsidP="002412C0">
            <w:pPr>
              <w:rPr>
                <w:rFonts w:ascii="Arial" w:hAnsi="Arial" w:cs="Arial"/>
                <w:sz w:val="24"/>
                <w:szCs w:val="24"/>
              </w:rPr>
            </w:pPr>
            <w:r w:rsidRPr="00FA3F9C">
              <w:rPr>
                <w:rFonts w:ascii="Arial" w:hAnsi="Arial" w:cs="Arial"/>
                <w:sz w:val="24"/>
                <w:szCs w:val="24"/>
              </w:rPr>
              <w:t>Revision history table added</w:t>
            </w:r>
          </w:p>
        </w:tc>
        <w:tc>
          <w:tcPr>
            <w:tcW w:w="1456" w:type="dxa"/>
          </w:tcPr>
          <w:p w14:paraId="4231705F" w14:textId="77777777" w:rsidR="002641D2" w:rsidRPr="00FA3F9C" w:rsidRDefault="002641D2" w:rsidP="002412C0">
            <w:pPr>
              <w:rPr>
                <w:rFonts w:ascii="Arial" w:hAnsi="Arial" w:cs="Arial"/>
                <w:sz w:val="24"/>
                <w:szCs w:val="24"/>
              </w:rPr>
            </w:pPr>
            <w:r w:rsidRPr="00FA3F9C">
              <w:rPr>
                <w:rFonts w:ascii="Arial" w:hAnsi="Arial" w:cs="Arial"/>
                <w:sz w:val="24"/>
                <w:szCs w:val="24"/>
              </w:rPr>
              <w:t>JJ</w:t>
            </w:r>
          </w:p>
        </w:tc>
      </w:tr>
      <w:tr w:rsidR="002641D2" w:rsidRPr="00FA3F9C" w14:paraId="0C62E83D" w14:textId="77777777" w:rsidTr="008524E7">
        <w:trPr>
          <w:jc w:val="center"/>
        </w:trPr>
        <w:tc>
          <w:tcPr>
            <w:tcW w:w="1190" w:type="dxa"/>
          </w:tcPr>
          <w:p w14:paraId="01E71A2C" w14:textId="77777777" w:rsidR="002641D2" w:rsidRPr="00FA3F9C" w:rsidRDefault="002641D2" w:rsidP="002412C0">
            <w:pPr>
              <w:rPr>
                <w:rFonts w:ascii="Arial" w:hAnsi="Arial" w:cs="Arial"/>
                <w:sz w:val="24"/>
                <w:szCs w:val="24"/>
              </w:rPr>
            </w:pPr>
            <w:r w:rsidRPr="00FA3F9C">
              <w:rPr>
                <w:rFonts w:ascii="Arial" w:hAnsi="Arial" w:cs="Arial"/>
                <w:sz w:val="24"/>
                <w:szCs w:val="24"/>
              </w:rPr>
              <w:t>6/19/13</w:t>
            </w:r>
          </w:p>
        </w:tc>
        <w:tc>
          <w:tcPr>
            <w:tcW w:w="7794" w:type="dxa"/>
          </w:tcPr>
          <w:p w14:paraId="19E3C3C2" w14:textId="77777777" w:rsidR="002641D2" w:rsidRPr="00FA3F9C" w:rsidRDefault="002641D2" w:rsidP="002412C0">
            <w:pPr>
              <w:rPr>
                <w:rFonts w:ascii="Arial" w:hAnsi="Arial" w:cs="Arial"/>
                <w:sz w:val="24"/>
                <w:szCs w:val="24"/>
              </w:rPr>
            </w:pPr>
            <w:r w:rsidRPr="00FA3F9C">
              <w:rPr>
                <w:rFonts w:ascii="Arial" w:hAnsi="Arial" w:cs="Arial"/>
                <w:sz w:val="24"/>
                <w:szCs w:val="24"/>
              </w:rPr>
              <w:t>Revised Criteria.  Removed renal cell carcinoma since no OS data.  Did not add HER-2 positive breast cancer (No OS data admittedly in PI), renal angiomyolipoma with at least one angiomyolipoma (3cm), and advanced/metastatic pancreatic neuroendocrine tumor since no OS data.</w:t>
            </w:r>
          </w:p>
          <w:p w14:paraId="51D99EAD" w14:textId="77777777" w:rsidR="002641D2" w:rsidRPr="00FA3F9C" w:rsidRDefault="002641D2" w:rsidP="002412C0">
            <w:pPr>
              <w:rPr>
                <w:rFonts w:ascii="Arial" w:hAnsi="Arial" w:cs="Arial"/>
                <w:sz w:val="24"/>
                <w:szCs w:val="24"/>
              </w:rPr>
            </w:pPr>
            <w:r w:rsidRPr="00FA3F9C">
              <w:rPr>
                <w:rFonts w:ascii="Arial" w:hAnsi="Arial" w:cs="Arial"/>
                <w:sz w:val="24"/>
                <w:szCs w:val="24"/>
              </w:rPr>
              <w:t>Added SEGA since the drug reduces seizure frequency.  For those receiving it for renal cell CA who already had prior authorization, continue to allow.  For others, these criteria will apply.</w:t>
            </w:r>
          </w:p>
        </w:tc>
        <w:tc>
          <w:tcPr>
            <w:tcW w:w="1456" w:type="dxa"/>
          </w:tcPr>
          <w:p w14:paraId="24A94258" w14:textId="77777777" w:rsidR="002641D2" w:rsidRPr="00FA3F9C" w:rsidRDefault="002641D2" w:rsidP="002412C0">
            <w:pPr>
              <w:rPr>
                <w:rFonts w:ascii="Arial" w:hAnsi="Arial" w:cs="Arial"/>
                <w:sz w:val="24"/>
                <w:szCs w:val="24"/>
              </w:rPr>
            </w:pPr>
            <w:r w:rsidRPr="00FA3F9C">
              <w:rPr>
                <w:rFonts w:ascii="Arial" w:hAnsi="Arial" w:cs="Arial"/>
                <w:sz w:val="24"/>
                <w:szCs w:val="24"/>
              </w:rPr>
              <w:t>JJ</w:t>
            </w:r>
          </w:p>
        </w:tc>
      </w:tr>
      <w:tr w:rsidR="002641D2" w:rsidRPr="00FA3F9C" w14:paraId="65DED8B5" w14:textId="77777777" w:rsidTr="008524E7">
        <w:trPr>
          <w:jc w:val="center"/>
        </w:trPr>
        <w:tc>
          <w:tcPr>
            <w:tcW w:w="1190" w:type="dxa"/>
          </w:tcPr>
          <w:p w14:paraId="49741D76" w14:textId="77777777" w:rsidR="002641D2" w:rsidRPr="00FA3F9C" w:rsidRDefault="002641D2" w:rsidP="002412C0">
            <w:pPr>
              <w:rPr>
                <w:rFonts w:ascii="Arial" w:hAnsi="Arial" w:cs="Arial"/>
                <w:sz w:val="24"/>
                <w:szCs w:val="24"/>
              </w:rPr>
            </w:pPr>
            <w:r w:rsidRPr="00FA3F9C">
              <w:rPr>
                <w:rFonts w:ascii="Arial" w:hAnsi="Arial" w:cs="Arial"/>
                <w:sz w:val="24"/>
                <w:szCs w:val="24"/>
              </w:rPr>
              <w:t>4/14/2015</w:t>
            </w:r>
          </w:p>
        </w:tc>
        <w:tc>
          <w:tcPr>
            <w:tcW w:w="7794" w:type="dxa"/>
          </w:tcPr>
          <w:p w14:paraId="069B25A4" w14:textId="77777777" w:rsidR="002641D2" w:rsidRPr="00FA3F9C" w:rsidRDefault="002641D2" w:rsidP="002412C0">
            <w:pPr>
              <w:rPr>
                <w:rFonts w:ascii="Arial" w:hAnsi="Arial" w:cs="Arial"/>
                <w:sz w:val="24"/>
                <w:szCs w:val="24"/>
              </w:rPr>
            </w:pPr>
            <w:r w:rsidRPr="00FA3F9C">
              <w:rPr>
                <w:rFonts w:ascii="Arial" w:hAnsi="Arial" w:cs="Arial"/>
                <w:sz w:val="24"/>
                <w:szCs w:val="24"/>
              </w:rPr>
              <w:t xml:space="preserve">I was asked again to look at </w:t>
            </w:r>
            <w:proofErr w:type="spellStart"/>
            <w:r w:rsidRPr="00FA3F9C">
              <w:rPr>
                <w:rFonts w:ascii="Arial" w:hAnsi="Arial" w:cs="Arial"/>
                <w:sz w:val="24"/>
                <w:szCs w:val="24"/>
              </w:rPr>
              <w:t>afinitor</w:t>
            </w:r>
            <w:proofErr w:type="spellEnd"/>
            <w:r w:rsidRPr="00FA3F9C">
              <w:rPr>
                <w:rFonts w:ascii="Arial" w:hAnsi="Arial" w:cs="Arial"/>
                <w:sz w:val="24"/>
                <w:szCs w:val="24"/>
              </w:rPr>
              <w:t>.  Notes:  it is FDA- indicated for:</w:t>
            </w:r>
          </w:p>
          <w:p w14:paraId="08FFBC07" w14:textId="77777777" w:rsidR="002641D2" w:rsidRPr="00FA3F9C" w:rsidRDefault="002641D2" w:rsidP="002641D2">
            <w:pPr>
              <w:numPr>
                <w:ilvl w:val="0"/>
                <w:numId w:val="201"/>
              </w:numPr>
              <w:spacing w:after="0" w:line="240" w:lineRule="auto"/>
              <w:rPr>
                <w:rFonts w:ascii="Arial" w:hAnsi="Arial" w:cs="Arial"/>
                <w:sz w:val="24"/>
                <w:szCs w:val="24"/>
              </w:rPr>
            </w:pPr>
            <w:r w:rsidRPr="00FA3F9C">
              <w:rPr>
                <w:rFonts w:ascii="Arial" w:hAnsi="Arial" w:cs="Arial"/>
                <w:sz w:val="24"/>
                <w:szCs w:val="24"/>
              </w:rPr>
              <w:t xml:space="preserve">HER2-, hormone receptor+ breast cancer in combo w/ letrozole or anastrozole, </w:t>
            </w:r>
          </w:p>
          <w:p w14:paraId="55DD1BE7" w14:textId="77777777" w:rsidR="002641D2" w:rsidRPr="00FA3F9C" w:rsidRDefault="002641D2" w:rsidP="002641D2">
            <w:pPr>
              <w:numPr>
                <w:ilvl w:val="0"/>
                <w:numId w:val="201"/>
              </w:numPr>
              <w:spacing w:after="0" w:line="240" w:lineRule="auto"/>
              <w:rPr>
                <w:rFonts w:ascii="Arial" w:hAnsi="Arial" w:cs="Arial"/>
                <w:sz w:val="24"/>
                <w:szCs w:val="24"/>
              </w:rPr>
            </w:pPr>
            <w:r w:rsidRPr="00FA3F9C">
              <w:rPr>
                <w:rFonts w:ascii="Arial" w:hAnsi="Arial" w:cs="Arial"/>
                <w:sz w:val="24"/>
                <w:szCs w:val="24"/>
              </w:rPr>
              <w:lastRenderedPageBreak/>
              <w:t xml:space="preserve">progressive neuroendocrine tumors of pancreatic origin (unresectable, locally advanced or metastatic), </w:t>
            </w:r>
          </w:p>
          <w:p w14:paraId="1E845213" w14:textId="77777777" w:rsidR="002641D2" w:rsidRPr="00FA3F9C" w:rsidRDefault="002641D2" w:rsidP="002641D2">
            <w:pPr>
              <w:numPr>
                <w:ilvl w:val="0"/>
                <w:numId w:val="201"/>
              </w:numPr>
              <w:spacing w:after="0" w:line="240" w:lineRule="auto"/>
              <w:rPr>
                <w:rFonts w:ascii="Arial" w:hAnsi="Arial" w:cs="Arial"/>
                <w:sz w:val="24"/>
                <w:szCs w:val="24"/>
              </w:rPr>
            </w:pPr>
            <w:r w:rsidRPr="00FA3F9C">
              <w:rPr>
                <w:rFonts w:ascii="Arial" w:hAnsi="Arial" w:cs="Arial"/>
                <w:sz w:val="24"/>
                <w:szCs w:val="24"/>
              </w:rPr>
              <w:t xml:space="preserve">advanced RCC after sunitinib or sorafenib failure, </w:t>
            </w:r>
          </w:p>
          <w:p w14:paraId="554D5E9F" w14:textId="77777777" w:rsidR="002641D2" w:rsidRPr="00FA3F9C" w:rsidRDefault="002641D2" w:rsidP="002641D2">
            <w:pPr>
              <w:numPr>
                <w:ilvl w:val="0"/>
                <w:numId w:val="201"/>
              </w:numPr>
              <w:spacing w:after="0" w:line="240" w:lineRule="auto"/>
              <w:rPr>
                <w:rFonts w:ascii="Arial" w:hAnsi="Arial" w:cs="Arial"/>
                <w:sz w:val="24"/>
                <w:szCs w:val="24"/>
              </w:rPr>
            </w:pPr>
            <w:proofErr w:type="spellStart"/>
            <w:r w:rsidRPr="00FA3F9C">
              <w:rPr>
                <w:rFonts w:ascii="Arial" w:hAnsi="Arial" w:cs="Arial"/>
                <w:sz w:val="24"/>
                <w:szCs w:val="24"/>
              </w:rPr>
              <w:t>renalangiomyolipoma</w:t>
            </w:r>
            <w:proofErr w:type="spellEnd"/>
            <w:r w:rsidRPr="00FA3F9C">
              <w:rPr>
                <w:rFonts w:ascii="Arial" w:hAnsi="Arial" w:cs="Arial"/>
                <w:sz w:val="24"/>
                <w:szCs w:val="24"/>
              </w:rPr>
              <w:t xml:space="preserve"> and tuberous sclerosis complex</w:t>
            </w:r>
          </w:p>
          <w:p w14:paraId="1433CAB0" w14:textId="77777777" w:rsidR="002641D2" w:rsidRPr="00FA3F9C" w:rsidRDefault="002641D2" w:rsidP="002641D2">
            <w:pPr>
              <w:numPr>
                <w:ilvl w:val="0"/>
                <w:numId w:val="201"/>
              </w:numPr>
              <w:spacing w:after="0" w:line="240" w:lineRule="auto"/>
              <w:rPr>
                <w:rFonts w:ascii="Arial" w:hAnsi="Arial" w:cs="Arial"/>
                <w:sz w:val="24"/>
                <w:szCs w:val="24"/>
              </w:rPr>
            </w:pPr>
            <w:r w:rsidRPr="00FA3F9C">
              <w:rPr>
                <w:rFonts w:ascii="Arial" w:hAnsi="Arial" w:cs="Arial"/>
                <w:sz w:val="24"/>
                <w:szCs w:val="24"/>
              </w:rPr>
              <w:t xml:space="preserve">tuberous sclerosis complex who </w:t>
            </w:r>
            <w:proofErr w:type="gramStart"/>
            <w:r w:rsidRPr="00FA3F9C">
              <w:rPr>
                <w:rFonts w:ascii="Arial" w:hAnsi="Arial" w:cs="Arial"/>
                <w:sz w:val="24"/>
                <w:szCs w:val="24"/>
              </w:rPr>
              <w:t>have</w:t>
            </w:r>
            <w:proofErr w:type="gramEnd"/>
            <w:r w:rsidRPr="00FA3F9C">
              <w:rPr>
                <w:rFonts w:ascii="Arial" w:hAnsi="Arial" w:cs="Arial"/>
                <w:sz w:val="24"/>
                <w:szCs w:val="24"/>
              </w:rPr>
              <w:t xml:space="preserve"> subependymal giant cell astrocytoma (SEGA) that cannot be curatively resected.</w:t>
            </w:r>
          </w:p>
          <w:p w14:paraId="21F37C02" w14:textId="77777777" w:rsidR="002641D2" w:rsidRPr="00FA3F9C" w:rsidRDefault="002641D2" w:rsidP="00BA29D1">
            <w:pPr>
              <w:rPr>
                <w:rFonts w:ascii="Arial" w:hAnsi="Arial" w:cs="Arial"/>
                <w:sz w:val="24"/>
                <w:szCs w:val="24"/>
              </w:rPr>
            </w:pPr>
            <w:r w:rsidRPr="00FA3F9C">
              <w:rPr>
                <w:rFonts w:ascii="Arial" w:hAnsi="Arial" w:cs="Arial"/>
                <w:sz w:val="24"/>
                <w:szCs w:val="24"/>
              </w:rPr>
              <w:t>Reference 6 showed 1</w:t>
            </w:r>
            <w:r w:rsidRPr="00FA3F9C">
              <w:rPr>
                <w:rFonts w:ascii="Arial" w:hAnsi="Arial" w:cs="Arial"/>
                <w:sz w:val="24"/>
                <w:szCs w:val="24"/>
                <w:vertAlign w:val="superscript"/>
              </w:rPr>
              <w:t>st</w:t>
            </w:r>
            <w:r w:rsidRPr="00FA3F9C">
              <w:rPr>
                <w:rFonts w:ascii="Arial" w:hAnsi="Arial" w:cs="Arial"/>
                <w:sz w:val="24"/>
                <w:szCs w:val="24"/>
              </w:rPr>
              <w:t xml:space="preserve"> line </w:t>
            </w:r>
            <w:proofErr w:type="spellStart"/>
            <w:r w:rsidRPr="00FA3F9C">
              <w:rPr>
                <w:rFonts w:ascii="Arial" w:hAnsi="Arial" w:cs="Arial"/>
                <w:sz w:val="24"/>
                <w:szCs w:val="24"/>
              </w:rPr>
              <w:t>everolimus</w:t>
            </w:r>
            <w:proofErr w:type="spellEnd"/>
            <w:r w:rsidRPr="00FA3F9C">
              <w:rPr>
                <w:rFonts w:ascii="Arial" w:hAnsi="Arial" w:cs="Arial"/>
                <w:sz w:val="24"/>
                <w:szCs w:val="24"/>
              </w:rPr>
              <w:t xml:space="preserve"> followed by sunitinib in RCC DID NOT MEET noninferiority and the PFS was less than the reverse order of drugs.</w:t>
            </w:r>
          </w:p>
          <w:p w14:paraId="14E929CD" w14:textId="77777777" w:rsidR="002641D2" w:rsidRPr="00FA3F9C" w:rsidRDefault="002641D2" w:rsidP="00BA29D1">
            <w:pPr>
              <w:rPr>
                <w:rFonts w:ascii="Arial" w:hAnsi="Arial" w:cs="Arial"/>
                <w:sz w:val="24"/>
                <w:szCs w:val="24"/>
              </w:rPr>
            </w:pPr>
            <w:r w:rsidRPr="00FA3F9C">
              <w:rPr>
                <w:rFonts w:ascii="Arial" w:hAnsi="Arial" w:cs="Arial"/>
                <w:sz w:val="24"/>
                <w:szCs w:val="24"/>
              </w:rPr>
              <w:t xml:space="preserve">Reference 7:  </w:t>
            </w:r>
            <w:proofErr w:type="spellStart"/>
            <w:r w:rsidRPr="00FA3F9C">
              <w:rPr>
                <w:rFonts w:ascii="Arial" w:hAnsi="Arial" w:cs="Arial"/>
                <w:sz w:val="24"/>
                <w:szCs w:val="24"/>
              </w:rPr>
              <w:t>Everolimus</w:t>
            </w:r>
            <w:proofErr w:type="spellEnd"/>
            <w:r w:rsidRPr="00FA3F9C">
              <w:rPr>
                <w:rFonts w:ascii="Arial" w:hAnsi="Arial" w:cs="Arial"/>
                <w:sz w:val="24"/>
                <w:szCs w:val="24"/>
              </w:rPr>
              <w:t xml:space="preserve"> in </w:t>
            </w:r>
            <w:proofErr w:type="spellStart"/>
            <w:r w:rsidRPr="00FA3F9C">
              <w:rPr>
                <w:rFonts w:ascii="Arial" w:hAnsi="Arial" w:cs="Arial"/>
                <w:sz w:val="24"/>
                <w:szCs w:val="24"/>
              </w:rPr>
              <w:t>mRCC</w:t>
            </w:r>
            <w:proofErr w:type="spellEnd"/>
            <w:r w:rsidRPr="00FA3F9C">
              <w:rPr>
                <w:rFonts w:ascii="Arial" w:hAnsi="Arial" w:cs="Arial"/>
                <w:sz w:val="24"/>
                <w:szCs w:val="24"/>
              </w:rPr>
              <w:t xml:space="preserve"> after pazopanib failed to improve PFS.  The use of the drug is not supported in this manner.</w:t>
            </w:r>
          </w:p>
          <w:p w14:paraId="4FF5657A" w14:textId="77777777" w:rsidR="002641D2" w:rsidRPr="00FA3F9C" w:rsidRDefault="002641D2" w:rsidP="002F0A98">
            <w:pPr>
              <w:rPr>
                <w:rFonts w:ascii="Arial" w:hAnsi="Arial" w:cs="Arial"/>
                <w:sz w:val="24"/>
                <w:szCs w:val="24"/>
              </w:rPr>
            </w:pPr>
            <w:r w:rsidRPr="00FA3F9C">
              <w:rPr>
                <w:rFonts w:ascii="Arial" w:hAnsi="Arial" w:cs="Arial"/>
                <w:sz w:val="24"/>
                <w:szCs w:val="24"/>
              </w:rPr>
              <w:t xml:space="preserve">Reference 2:  In </w:t>
            </w:r>
            <w:proofErr w:type="spellStart"/>
            <w:r w:rsidRPr="00FA3F9C">
              <w:rPr>
                <w:rFonts w:ascii="Arial" w:hAnsi="Arial" w:cs="Arial"/>
                <w:sz w:val="24"/>
                <w:szCs w:val="24"/>
              </w:rPr>
              <w:t>mRCC</w:t>
            </w:r>
            <w:proofErr w:type="spellEnd"/>
            <w:r w:rsidRPr="00FA3F9C">
              <w:rPr>
                <w:rFonts w:ascii="Arial" w:hAnsi="Arial" w:cs="Arial"/>
                <w:sz w:val="24"/>
                <w:szCs w:val="24"/>
              </w:rPr>
              <w:t xml:space="preserve"> pts who failed sunitinib or sorafenib, </w:t>
            </w:r>
            <w:proofErr w:type="spellStart"/>
            <w:r w:rsidRPr="00FA3F9C">
              <w:rPr>
                <w:rFonts w:ascii="Arial" w:hAnsi="Arial" w:cs="Arial"/>
                <w:sz w:val="24"/>
                <w:szCs w:val="24"/>
              </w:rPr>
              <w:t>everolimus</w:t>
            </w:r>
            <w:proofErr w:type="spellEnd"/>
            <w:r w:rsidRPr="00FA3F9C">
              <w:rPr>
                <w:rFonts w:ascii="Arial" w:hAnsi="Arial" w:cs="Arial"/>
                <w:sz w:val="24"/>
                <w:szCs w:val="24"/>
              </w:rPr>
              <w:t xml:space="preserve"> caused a statistically significant improvement in PFS, median 11m vs 4.6m(placebo), (95%CI, 3.1 to 5.4).  The endpoint of OS is confounded because 73% of placebo patients crossed over to </w:t>
            </w:r>
            <w:proofErr w:type="gramStart"/>
            <w:r w:rsidRPr="00FA3F9C">
              <w:rPr>
                <w:rFonts w:ascii="Arial" w:hAnsi="Arial" w:cs="Arial"/>
                <w:sz w:val="24"/>
                <w:szCs w:val="24"/>
              </w:rPr>
              <w:t>open-label</w:t>
            </w:r>
            <w:proofErr w:type="gramEnd"/>
            <w:r w:rsidRPr="00FA3F9C">
              <w:rPr>
                <w:rFonts w:ascii="Arial" w:hAnsi="Arial" w:cs="Arial"/>
                <w:sz w:val="24"/>
                <w:szCs w:val="24"/>
              </w:rPr>
              <w:t xml:space="preserve"> </w:t>
            </w:r>
            <w:proofErr w:type="spellStart"/>
            <w:r w:rsidRPr="00FA3F9C">
              <w:rPr>
                <w:rFonts w:ascii="Arial" w:hAnsi="Arial" w:cs="Arial"/>
                <w:sz w:val="24"/>
                <w:szCs w:val="24"/>
              </w:rPr>
              <w:t>everolimus</w:t>
            </w:r>
            <w:proofErr w:type="spellEnd"/>
            <w:r w:rsidRPr="00FA3F9C">
              <w:rPr>
                <w:rFonts w:ascii="Arial" w:hAnsi="Arial" w:cs="Arial"/>
                <w:sz w:val="24"/>
                <w:szCs w:val="24"/>
              </w:rPr>
              <w:t xml:space="preserve">.  </w:t>
            </w:r>
          </w:p>
        </w:tc>
        <w:tc>
          <w:tcPr>
            <w:tcW w:w="1456" w:type="dxa"/>
          </w:tcPr>
          <w:p w14:paraId="1442E884" w14:textId="77777777" w:rsidR="002641D2" w:rsidRPr="00FA3F9C" w:rsidRDefault="002641D2" w:rsidP="002412C0">
            <w:pPr>
              <w:rPr>
                <w:rFonts w:ascii="Arial" w:hAnsi="Arial" w:cs="Arial"/>
                <w:sz w:val="24"/>
                <w:szCs w:val="24"/>
              </w:rPr>
            </w:pPr>
            <w:r w:rsidRPr="00FA3F9C">
              <w:rPr>
                <w:rFonts w:ascii="Arial" w:hAnsi="Arial" w:cs="Arial"/>
                <w:sz w:val="24"/>
                <w:szCs w:val="24"/>
              </w:rPr>
              <w:lastRenderedPageBreak/>
              <w:t>JJ</w:t>
            </w:r>
          </w:p>
        </w:tc>
      </w:tr>
      <w:tr w:rsidR="002641D2" w:rsidRPr="00FA3F9C" w14:paraId="3B020A4C" w14:textId="77777777" w:rsidTr="008524E7">
        <w:trPr>
          <w:jc w:val="center"/>
        </w:trPr>
        <w:tc>
          <w:tcPr>
            <w:tcW w:w="1190" w:type="dxa"/>
          </w:tcPr>
          <w:p w14:paraId="312C7FE8" w14:textId="77777777" w:rsidR="002641D2" w:rsidRPr="00FA3F9C" w:rsidRDefault="002641D2" w:rsidP="002412C0">
            <w:pPr>
              <w:rPr>
                <w:rFonts w:ascii="Arial" w:hAnsi="Arial" w:cs="Arial"/>
                <w:sz w:val="24"/>
                <w:szCs w:val="24"/>
              </w:rPr>
            </w:pPr>
            <w:r w:rsidRPr="00FA3F9C">
              <w:rPr>
                <w:rFonts w:ascii="Arial" w:hAnsi="Arial" w:cs="Arial"/>
                <w:sz w:val="24"/>
                <w:szCs w:val="24"/>
              </w:rPr>
              <w:t>2/23/2016</w:t>
            </w:r>
          </w:p>
        </w:tc>
        <w:tc>
          <w:tcPr>
            <w:tcW w:w="7794" w:type="dxa"/>
          </w:tcPr>
          <w:p w14:paraId="1333AD31" w14:textId="77777777" w:rsidR="002641D2" w:rsidRPr="00FA3F9C" w:rsidRDefault="002641D2" w:rsidP="002412C0">
            <w:pPr>
              <w:rPr>
                <w:rFonts w:ascii="Arial" w:hAnsi="Arial" w:cs="Arial"/>
                <w:sz w:val="24"/>
                <w:szCs w:val="24"/>
              </w:rPr>
            </w:pPr>
            <w:r w:rsidRPr="00FA3F9C">
              <w:rPr>
                <w:rFonts w:ascii="Arial" w:hAnsi="Arial" w:cs="Arial"/>
                <w:sz w:val="24"/>
                <w:szCs w:val="24"/>
              </w:rPr>
              <w:t xml:space="preserve">Confirmatory and extended data available. FDA updated language. Ref 8 </w:t>
            </w:r>
          </w:p>
        </w:tc>
        <w:tc>
          <w:tcPr>
            <w:tcW w:w="1456" w:type="dxa"/>
          </w:tcPr>
          <w:p w14:paraId="4087F656" w14:textId="77777777" w:rsidR="002641D2" w:rsidRPr="00FA3F9C" w:rsidRDefault="002641D2" w:rsidP="002412C0">
            <w:pPr>
              <w:rPr>
                <w:rFonts w:ascii="Arial" w:hAnsi="Arial" w:cs="Arial"/>
                <w:sz w:val="24"/>
                <w:szCs w:val="24"/>
              </w:rPr>
            </w:pPr>
          </w:p>
        </w:tc>
      </w:tr>
      <w:tr w:rsidR="002641D2" w:rsidRPr="00FA3F9C" w14:paraId="6DFDE867" w14:textId="77777777" w:rsidTr="008524E7">
        <w:trPr>
          <w:jc w:val="center"/>
        </w:trPr>
        <w:tc>
          <w:tcPr>
            <w:tcW w:w="1190" w:type="dxa"/>
          </w:tcPr>
          <w:p w14:paraId="5851E345" w14:textId="77777777" w:rsidR="002641D2" w:rsidRPr="00FA3F9C" w:rsidRDefault="002641D2" w:rsidP="002412C0">
            <w:pPr>
              <w:rPr>
                <w:rFonts w:ascii="Arial" w:hAnsi="Arial" w:cs="Arial"/>
                <w:sz w:val="24"/>
                <w:szCs w:val="24"/>
              </w:rPr>
            </w:pPr>
            <w:r w:rsidRPr="00FA3F9C">
              <w:rPr>
                <w:rFonts w:ascii="Arial" w:hAnsi="Arial" w:cs="Arial"/>
                <w:sz w:val="24"/>
                <w:szCs w:val="24"/>
              </w:rPr>
              <w:t>8/19/2016</w:t>
            </w:r>
          </w:p>
        </w:tc>
        <w:tc>
          <w:tcPr>
            <w:tcW w:w="7794" w:type="dxa"/>
          </w:tcPr>
          <w:p w14:paraId="5888A9DA" w14:textId="77777777" w:rsidR="002641D2" w:rsidRPr="00FA3F9C" w:rsidRDefault="002641D2" w:rsidP="002412C0">
            <w:pPr>
              <w:rPr>
                <w:rFonts w:ascii="Arial" w:hAnsi="Arial" w:cs="Arial"/>
                <w:sz w:val="24"/>
                <w:szCs w:val="24"/>
              </w:rPr>
            </w:pPr>
            <w:r w:rsidRPr="00FA3F9C">
              <w:rPr>
                <w:rFonts w:ascii="Arial" w:hAnsi="Arial" w:cs="Arial"/>
                <w:sz w:val="24"/>
                <w:szCs w:val="24"/>
              </w:rPr>
              <w:t>Changed SEGA PA criteria to statements.</w:t>
            </w:r>
          </w:p>
          <w:p w14:paraId="0DE8FD98" w14:textId="77777777" w:rsidR="002641D2" w:rsidRPr="00FA3F9C" w:rsidRDefault="002641D2" w:rsidP="008524E7">
            <w:pPr>
              <w:rPr>
                <w:rFonts w:ascii="Arial" w:hAnsi="Arial" w:cs="Arial"/>
                <w:sz w:val="24"/>
                <w:szCs w:val="24"/>
                <w:vertAlign w:val="superscript"/>
              </w:rPr>
            </w:pPr>
            <w:r w:rsidRPr="00FA3F9C">
              <w:rPr>
                <w:rFonts w:ascii="Arial" w:hAnsi="Arial" w:cs="Arial"/>
                <w:sz w:val="24"/>
                <w:szCs w:val="24"/>
              </w:rPr>
              <w:t xml:space="preserve">Added criteria for renal cell carcinoma in combination with </w:t>
            </w:r>
            <w:proofErr w:type="spellStart"/>
            <w:r w:rsidRPr="00FA3F9C">
              <w:rPr>
                <w:rFonts w:ascii="Arial" w:hAnsi="Arial" w:cs="Arial"/>
                <w:sz w:val="24"/>
                <w:szCs w:val="24"/>
              </w:rPr>
              <w:t>lenvatinib</w:t>
            </w:r>
            <w:proofErr w:type="spellEnd"/>
            <w:r w:rsidRPr="00FA3F9C">
              <w:rPr>
                <w:rFonts w:ascii="Arial" w:hAnsi="Arial" w:cs="Arial"/>
                <w:sz w:val="24"/>
                <w:szCs w:val="24"/>
              </w:rPr>
              <w:t xml:space="preserve"> based on DCWG/DUEC/Board vote.</w:t>
            </w:r>
            <w:r w:rsidRPr="00FA3F9C">
              <w:rPr>
                <w:rFonts w:ascii="Arial" w:hAnsi="Arial" w:cs="Arial"/>
                <w:sz w:val="24"/>
                <w:szCs w:val="24"/>
                <w:vertAlign w:val="superscript"/>
              </w:rPr>
              <w:t>9</w:t>
            </w:r>
          </w:p>
        </w:tc>
        <w:tc>
          <w:tcPr>
            <w:tcW w:w="1456" w:type="dxa"/>
          </w:tcPr>
          <w:p w14:paraId="3E556B30" w14:textId="77777777" w:rsidR="002641D2" w:rsidRPr="00FA3F9C" w:rsidRDefault="002641D2" w:rsidP="002412C0">
            <w:pPr>
              <w:rPr>
                <w:rFonts w:ascii="Arial" w:hAnsi="Arial" w:cs="Arial"/>
                <w:sz w:val="24"/>
                <w:szCs w:val="24"/>
              </w:rPr>
            </w:pPr>
            <w:r w:rsidRPr="00FA3F9C">
              <w:rPr>
                <w:rFonts w:ascii="Arial" w:hAnsi="Arial" w:cs="Arial"/>
                <w:sz w:val="24"/>
                <w:szCs w:val="24"/>
              </w:rPr>
              <w:t>GBB</w:t>
            </w:r>
          </w:p>
        </w:tc>
      </w:tr>
      <w:tr w:rsidR="002641D2" w:rsidRPr="00FA3F9C" w14:paraId="1FB7F7D3" w14:textId="77777777" w:rsidTr="008524E7">
        <w:trPr>
          <w:jc w:val="center"/>
        </w:trPr>
        <w:tc>
          <w:tcPr>
            <w:tcW w:w="1190" w:type="dxa"/>
          </w:tcPr>
          <w:p w14:paraId="40C99AB3" w14:textId="77777777" w:rsidR="002641D2" w:rsidRPr="00FA3F9C" w:rsidRDefault="002641D2" w:rsidP="002412C0">
            <w:pPr>
              <w:rPr>
                <w:rFonts w:ascii="Arial" w:hAnsi="Arial" w:cs="Arial"/>
                <w:sz w:val="24"/>
                <w:szCs w:val="24"/>
              </w:rPr>
            </w:pPr>
            <w:r w:rsidRPr="00FA3F9C">
              <w:rPr>
                <w:rFonts w:ascii="Arial" w:hAnsi="Arial" w:cs="Arial"/>
                <w:sz w:val="24"/>
                <w:szCs w:val="24"/>
              </w:rPr>
              <w:t>7/18/2019</w:t>
            </w:r>
          </w:p>
        </w:tc>
        <w:tc>
          <w:tcPr>
            <w:tcW w:w="7794" w:type="dxa"/>
          </w:tcPr>
          <w:p w14:paraId="1140926E" w14:textId="77777777" w:rsidR="002641D2" w:rsidRPr="00FA3F9C" w:rsidRDefault="002641D2" w:rsidP="002412C0">
            <w:pPr>
              <w:rPr>
                <w:rFonts w:ascii="Arial" w:hAnsi="Arial" w:cs="Arial"/>
                <w:sz w:val="24"/>
                <w:szCs w:val="24"/>
              </w:rPr>
            </w:pPr>
            <w:r w:rsidRPr="00FA3F9C">
              <w:rPr>
                <w:rFonts w:ascii="Arial" w:hAnsi="Arial" w:cs="Arial"/>
                <w:sz w:val="24"/>
                <w:szCs w:val="24"/>
              </w:rPr>
              <w:t>Criteria reviewed:</w:t>
            </w:r>
          </w:p>
          <w:p w14:paraId="753E51C9" w14:textId="77777777" w:rsidR="002641D2" w:rsidRPr="00FA3F9C" w:rsidRDefault="002641D2" w:rsidP="00E43AE6">
            <w:pPr>
              <w:rPr>
                <w:rFonts w:ascii="Arial" w:hAnsi="Arial" w:cs="Arial"/>
                <w:sz w:val="24"/>
                <w:szCs w:val="24"/>
              </w:rPr>
            </w:pPr>
            <w:r w:rsidRPr="00FA3F9C">
              <w:rPr>
                <w:rFonts w:ascii="Arial" w:hAnsi="Arial" w:cs="Arial"/>
                <w:sz w:val="24"/>
                <w:szCs w:val="24"/>
              </w:rPr>
              <w:t xml:space="preserve">-added criteria for PNET </w:t>
            </w:r>
          </w:p>
          <w:p w14:paraId="72D48553" w14:textId="77777777" w:rsidR="002641D2" w:rsidRPr="00FA3F9C" w:rsidRDefault="002641D2" w:rsidP="00E43AE6">
            <w:pPr>
              <w:rPr>
                <w:rFonts w:ascii="Arial" w:hAnsi="Arial" w:cs="Arial"/>
                <w:sz w:val="24"/>
                <w:szCs w:val="24"/>
              </w:rPr>
            </w:pPr>
            <w:r w:rsidRPr="00FA3F9C">
              <w:rPr>
                <w:rFonts w:ascii="Arial" w:hAnsi="Arial" w:cs="Arial"/>
                <w:sz w:val="24"/>
                <w:szCs w:val="24"/>
              </w:rPr>
              <w:t>-added criteria for renal angiomyolipoma (TSC associated)</w:t>
            </w:r>
          </w:p>
          <w:p w14:paraId="5E0BC45A" w14:textId="77777777" w:rsidR="002641D2" w:rsidRPr="00FA3F9C" w:rsidRDefault="002641D2" w:rsidP="00E43AE6">
            <w:pPr>
              <w:rPr>
                <w:rFonts w:ascii="Arial" w:hAnsi="Arial" w:cs="Arial"/>
                <w:sz w:val="24"/>
                <w:szCs w:val="24"/>
              </w:rPr>
            </w:pPr>
            <w:r w:rsidRPr="00FA3F9C">
              <w:rPr>
                <w:rFonts w:ascii="Arial" w:hAnsi="Arial" w:cs="Arial"/>
                <w:sz w:val="24"/>
                <w:szCs w:val="24"/>
              </w:rPr>
              <w:t xml:space="preserve">-added details of review of </w:t>
            </w:r>
            <w:proofErr w:type="spellStart"/>
            <w:r w:rsidRPr="00FA3F9C">
              <w:rPr>
                <w:rFonts w:ascii="Arial" w:hAnsi="Arial" w:cs="Arial"/>
                <w:sz w:val="24"/>
                <w:szCs w:val="24"/>
              </w:rPr>
              <w:t>everolimus</w:t>
            </w:r>
            <w:proofErr w:type="spellEnd"/>
            <w:r w:rsidRPr="00FA3F9C">
              <w:rPr>
                <w:rFonts w:ascii="Arial" w:hAnsi="Arial" w:cs="Arial"/>
                <w:sz w:val="24"/>
                <w:szCs w:val="24"/>
              </w:rPr>
              <w:t xml:space="preserve"> for breast cancer</w:t>
            </w:r>
          </w:p>
        </w:tc>
        <w:tc>
          <w:tcPr>
            <w:tcW w:w="1456" w:type="dxa"/>
          </w:tcPr>
          <w:p w14:paraId="04788CA3" w14:textId="77777777" w:rsidR="002641D2" w:rsidRPr="00FA3F9C" w:rsidRDefault="002641D2" w:rsidP="002412C0">
            <w:pPr>
              <w:rPr>
                <w:rFonts w:ascii="Arial" w:hAnsi="Arial" w:cs="Arial"/>
                <w:sz w:val="24"/>
                <w:szCs w:val="24"/>
              </w:rPr>
            </w:pPr>
            <w:r w:rsidRPr="00FA3F9C">
              <w:rPr>
                <w:rFonts w:ascii="Arial" w:hAnsi="Arial" w:cs="Arial"/>
                <w:sz w:val="24"/>
                <w:szCs w:val="24"/>
              </w:rPr>
              <w:t>SK</w:t>
            </w:r>
          </w:p>
        </w:tc>
      </w:tr>
      <w:tr w:rsidR="002641D2" w:rsidRPr="00FA3F9C" w14:paraId="63FE2337" w14:textId="77777777" w:rsidTr="008524E7">
        <w:trPr>
          <w:jc w:val="center"/>
        </w:trPr>
        <w:tc>
          <w:tcPr>
            <w:tcW w:w="1190" w:type="dxa"/>
          </w:tcPr>
          <w:p w14:paraId="6FAB0C60" w14:textId="77777777" w:rsidR="002641D2" w:rsidRPr="00FA3F9C" w:rsidRDefault="002641D2" w:rsidP="002412C0">
            <w:pPr>
              <w:rPr>
                <w:rFonts w:ascii="Arial" w:hAnsi="Arial" w:cs="Arial"/>
                <w:sz w:val="24"/>
                <w:szCs w:val="24"/>
              </w:rPr>
            </w:pPr>
            <w:r w:rsidRPr="00FA3F9C">
              <w:rPr>
                <w:rFonts w:ascii="Arial" w:hAnsi="Arial" w:cs="Arial"/>
                <w:sz w:val="24"/>
                <w:szCs w:val="24"/>
              </w:rPr>
              <w:lastRenderedPageBreak/>
              <w:t>7/7/2020</w:t>
            </w:r>
          </w:p>
        </w:tc>
        <w:tc>
          <w:tcPr>
            <w:tcW w:w="7794" w:type="dxa"/>
          </w:tcPr>
          <w:p w14:paraId="1006BDF5" w14:textId="77777777" w:rsidR="002641D2" w:rsidRPr="00FA3F9C" w:rsidRDefault="002641D2" w:rsidP="002412C0">
            <w:pPr>
              <w:rPr>
                <w:rFonts w:ascii="Arial" w:hAnsi="Arial" w:cs="Arial"/>
                <w:sz w:val="24"/>
                <w:szCs w:val="24"/>
              </w:rPr>
            </w:pPr>
            <w:r w:rsidRPr="00FA3F9C">
              <w:rPr>
                <w:rFonts w:ascii="Arial" w:hAnsi="Arial" w:cs="Arial"/>
                <w:sz w:val="24"/>
                <w:szCs w:val="24"/>
              </w:rPr>
              <w:t>Criteria reviewed. No change.</w:t>
            </w:r>
          </w:p>
        </w:tc>
        <w:tc>
          <w:tcPr>
            <w:tcW w:w="1456" w:type="dxa"/>
          </w:tcPr>
          <w:p w14:paraId="6DB215E0" w14:textId="77777777" w:rsidR="002641D2" w:rsidRPr="00FA3F9C" w:rsidRDefault="002641D2" w:rsidP="002412C0">
            <w:pPr>
              <w:rPr>
                <w:rFonts w:ascii="Arial" w:hAnsi="Arial" w:cs="Arial"/>
                <w:sz w:val="24"/>
                <w:szCs w:val="24"/>
              </w:rPr>
            </w:pPr>
            <w:r w:rsidRPr="00FA3F9C">
              <w:rPr>
                <w:rFonts w:ascii="Arial" w:hAnsi="Arial" w:cs="Arial"/>
                <w:sz w:val="24"/>
                <w:szCs w:val="24"/>
              </w:rPr>
              <w:t>SK</w:t>
            </w:r>
          </w:p>
        </w:tc>
      </w:tr>
      <w:tr w:rsidR="002641D2" w:rsidRPr="00FA3F9C" w14:paraId="3D814F4A" w14:textId="77777777" w:rsidTr="008524E7">
        <w:trPr>
          <w:jc w:val="center"/>
        </w:trPr>
        <w:tc>
          <w:tcPr>
            <w:tcW w:w="1190" w:type="dxa"/>
          </w:tcPr>
          <w:p w14:paraId="2799E41A" w14:textId="77777777" w:rsidR="002641D2" w:rsidRPr="00FA3F9C" w:rsidRDefault="002641D2" w:rsidP="002412C0">
            <w:pPr>
              <w:rPr>
                <w:rFonts w:ascii="Arial" w:hAnsi="Arial" w:cs="Arial"/>
                <w:sz w:val="24"/>
                <w:szCs w:val="24"/>
              </w:rPr>
            </w:pPr>
            <w:r w:rsidRPr="00FA3F9C">
              <w:rPr>
                <w:rFonts w:ascii="Arial" w:hAnsi="Arial" w:cs="Arial"/>
                <w:sz w:val="24"/>
                <w:szCs w:val="24"/>
              </w:rPr>
              <w:t>9/28/2021</w:t>
            </w:r>
          </w:p>
        </w:tc>
        <w:tc>
          <w:tcPr>
            <w:tcW w:w="7794" w:type="dxa"/>
          </w:tcPr>
          <w:p w14:paraId="55D07B3B" w14:textId="77777777" w:rsidR="002641D2" w:rsidRPr="00FA3F9C" w:rsidRDefault="002641D2" w:rsidP="002412C0">
            <w:pPr>
              <w:rPr>
                <w:rFonts w:ascii="Arial" w:hAnsi="Arial" w:cs="Arial"/>
                <w:sz w:val="24"/>
                <w:szCs w:val="24"/>
              </w:rPr>
            </w:pPr>
            <w:r w:rsidRPr="00FA3F9C">
              <w:rPr>
                <w:rFonts w:ascii="Arial" w:hAnsi="Arial" w:cs="Arial"/>
                <w:sz w:val="24"/>
                <w:szCs w:val="24"/>
              </w:rPr>
              <w:t>Criteria reviewed. No change.</w:t>
            </w:r>
          </w:p>
        </w:tc>
        <w:tc>
          <w:tcPr>
            <w:tcW w:w="1456" w:type="dxa"/>
          </w:tcPr>
          <w:p w14:paraId="3A1472B5" w14:textId="77777777" w:rsidR="002641D2" w:rsidRPr="00FA3F9C" w:rsidRDefault="002641D2" w:rsidP="002412C0">
            <w:pPr>
              <w:rPr>
                <w:rFonts w:ascii="Arial" w:hAnsi="Arial" w:cs="Arial"/>
                <w:sz w:val="24"/>
                <w:szCs w:val="24"/>
              </w:rPr>
            </w:pPr>
            <w:r w:rsidRPr="00FA3F9C">
              <w:rPr>
                <w:rFonts w:ascii="Arial" w:hAnsi="Arial" w:cs="Arial"/>
                <w:sz w:val="24"/>
                <w:szCs w:val="24"/>
              </w:rPr>
              <w:t>SK</w:t>
            </w:r>
          </w:p>
        </w:tc>
      </w:tr>
    </w:tbl>
    <w:p w14:paraId="24CB92F1" w14:textId="77777777" w:rsidR="002641D2" w:rsidRPr="00FA3F9C" w:rsidRDefault="002641D2" w:rsidP="00E43AE6">
      <w:pPr>
        <w:autoSpaceDE w:val="0"/>
        <w:autoSpaceDN w:val="0"/>
        <w:adjustRightInd w:val="0"/>
        <w:rPr>
          <w:rFonts w:ascii="Arial" w:hAnsi="Arial" w:cs="Arial"/>
          <w:sz w:val="24"/>
          <w:szCs w:val="24"/>
        </w:rPr>
      </w:pPr>
    </w:p>
    <w:p w14:paraId="30D0DED9" w14:textId="77777777" w:rsidR="002641D2" w:rsidRPr="00FA3F9C" w:rsidRDefault="002641D2" w:rsidP="00E43AE6">
      <w:pPr>
        <w:autoSpaceDE w:val="0"/>
        <w:autoSpaceDN w:val="0"/>
        <w:adjustRightInd w:val="0"/>
        <w:rPr>
          <w:rFonts w:ascii="Arial" w:hAnsi="Arial" w:cs="Arial"/>
          <w:sz w:val="24"/>
          <w:szCs w:val="24"/>
        </w:rPr>
      </w:pPr>
    </w:p>
    <w:p w14:paraId="5802069E" w14:textId="77777777" w:rsidR="002641D2" w:rsidRPr="00FA3F9C" w:rsidRDefault="002641D2" w:rsidP="00E43AE6">
      <w:pPr>
        <w:autoSpaceDE w:val="0"/>
        <w:autoSpaceDN w:val="0"/>
        <w:adjustRightInd w:val="0"/>
        <w:rPr>
          <w:rFonts w:ascii="Arial" w:hAnsi="Arial" w:cs="Arial"/>
          <w:sz w:val="24"/>
          <w:szCs w:val="24"/>
        </w:rPr>
      </w:pPr>
      <w:r w:rsidRPr="00FA3F9C">
        <w:rPr>
          <w:rFonts w:ascii="Arial" w:hAnsi="Arial" w:cs="Arial"/>
          <w:sz w:val="24"/>
          <w:szCs w:val="24"/>
          <w:highlight w:val="cyan"/>
        </w:rPr>
        <w:t>ADDITIONAL TRIAL INFORMATION FOR BREAST CANCER INDICATION:</w:t>
      </w:r>
    </w:p>
    <w:p w14:paraId="60C4C8CB" w14:textId="77777777" w:rsidR="002641D2" w:rsidRPr="00FA3F9C" w:rsidRDefault="002641D2" w:rsidP="002641D2">
      <w:pPr>
        <w:pStyle w:val="ListParagraph"/>
        <w:numPr>
          <w:ilvl w:val="0"/>
          <w:numId w:val="203"/>
        </w:numPr>
        <w:spacing w:before="120" w:line="276" w:lineRule="auto"/>
        <w:ind w:left="245" w:hanging="187"/>
        <w:rPr>
          <w:rFonts w:ascii="Arial" w:hAnsi="Arial" w:cs="Arial"/>
          <w:noProof/>
          <w:sz w:val="24"/>
          <w:szCs w:val="24"/>
        </w:rPr>
      </w:pPr>
      <w:r w:rsidRPr="00FA3F9C">
        <w:rPr>
          <w:rFonts w:ascii="Arial" w:hAnsi="Arial" w:cs="Arial"/>
          <w:sz w:val="24"/>
          <w:szCs w:val="24"/>
        </w:rPr>
        <w:t xml:space="preserve">BOLERO 2 (double blind, </w:t>
      </w:r>
      <w:proofErr w:type="spellStart"/>
      <w:r w:rsidRPr="00FA3F9C">
        <w:rPr>
          <w:rFonts w:ascii="Arial" w:hAnsi="Arial" w:cs="Arial"/>
          <w:sz w:val="24"/>
          <w:szCs w:val="24"/>
        </w:rPr>
        <w:t>everolimus</w:t>
      </w:r>
      <w:proofErr w:type="spellEnd"/>
      <w:r w:rsidRPr="00FA3F9C">
        <w:rPr>
          <w:rFonts w:ascii="Arial" w:hAnsi="Arial" w:cs="Arial"/>
          <w:sz w:val="24"/>
          <w:szCs w:val="24"/>
        </w:rPr>
        <w:t xml:space="preserve">/exemestane </w:t>
      </w:r>
      <w:r w:rsidRPr="00FA3F9C">
        <w:rPr>
          <w:rFonts w:ascii="Arial" w:hAnsi="Arial" w:cs="Arial"/>
          <w:i/>
          <w:sz w:val="24"/>
          <w:szCs w:val="24"/>
          <w:u w:val="single"/>
        </w:rPr>
        <w:t>vs</w:t>
      </w:r>
      <w:r w:rsidRPr="00FA3F9C">
        <w:rPr>
          <w:rFonts w:ascii="Arial" w:hAnsi="Arial" w:cs="Arial"/>
          <w:sz w:val="24"/>
          <w:szCs w:val="24"/>
        </w:rPr>
        <w:t xml:space="preserve"> placebo/exemestane; n=724, 2:1 randomization, double-blind): </w:t>
      </w:r>
    </w:p>
    <w:p w14:paraId="7857F513" w14:textId="77777777" w:rsidR="002641D2" w:rsidRPr="00FA3F9C" w:rsidRDefault="002641D2" w:rsidP="002641D2">
      <w:pPr>
        <w:pStyle w:val="ListParagraph"/>
        <w:numPr>
          <w:ilvl w:val="0"/>
          <w:numId w:val="203"/>
        </w:numPr>
        <w:spacing w:line="276" w:lineRule="auto"/>
        <w:ind w:left="602" w:hanging="180"/>
        <w:rPr>
          <w:rFonts w:ascii="Arial" w:hAnsi="Arial" w:cs="Arial"/>
          <w:noProof/>
          <w:sz w:val="24"/>
          <w:szCs w:val="24"/>
        </w:rPr>
      </w:pPr>
      <w:r w:rsidRPr="00FA3F9C">
        <w:rPr>
          <w:rFonts w:ascii="Arial" w:hAnsi="Arial" w:cs="Arial"/>
          <w:noProof/>
          <w:sz w:val="24"/>
          <w:szCs w:val="24"/>
        </w:rPr>
        <w:t>Progression free survival (PFS): median 7.8 mo vs 3.2 mo (p&lt;0.001)</w:t>
      </w:r>
      <w:r w:rsidRPr="00FA3F9C">
        <w:rPr>
          <w:rFonts w:ascii="Arial" w:hAnsi="Arial" w:cs="Arial"/>
          <w:noProof/>
          <w:sz w:val="24"/>
          <w:szCs w:val="24"/>
          <w:vertAlign w:val="superscript"/>
        </w:rPr>
        <w:t>13</w:t>
      </w:r>
    </w:p>
    <w:p w14:paraId="6161D83B" w14:textId="77777777" w:rsidR="002641D2" w:rsidRPr="00FA3F9C" w:rsidRDefault="002641D2" w:rsidP="002641D2">
      <w:pPr>
        <w:pStyle w:val="ListParagraph"/>
        <w:numPr>
          <w:ilvl w:val="0"/>
          <w:numId w:val="203"/>
        </w:numPr>
        <w:spacing w:line="276" w:lineRule="auto"/>
        <w:ind w:left="602" w:hanging="180"/>
        <w:rPr>
          <w:rFonts w:ascii="Arial" w:hAnsi="Arial" w:cs="Arial"/>
          <w:noProof/>
          <w:sz w:val="24"/>
          <w:szCs w:val="24"/>
        </w:rPr>
      </w:pPr>
      <w:r w:rsidRPr="00FA3F9C">
        <w:rPr>
          <w:rFonts w:ascii="Arial" w:hAnsi="Arial" w:cs="Arial"/>
          <w:noProof/>
          <w:sz w:val="24"/>
          <w:szCs w:val="24"/>
        </w:rPr>
        <w:t>Median overall survival (eve/exe vs plac/exe): 31 mo vs 26.6 (HR 0.89; 95% CI 0.73-1.1; p=0.1426)</w:t>
      </w:r>
      <w:r w:rsidRPr="00FA3F9C">
        <w:rPr>
          <w:rFonts w:ascii="Arial" w:hAnsi="Arial" w:cs="Arial"/>
          <w:noProof/>
          <w:sz w:val="24"/>
          <w:szCs w:val="24"/>
          <w:vertAlign w:val="superscript"/>
        </w:rPr>
        <w:t>14</w:t>
      </w:r>
    </w:p>
    <w:p w14:paraId="01B132DE" w14:textId="77777777" w:rsidR="002641D2" w:rsidRPr="00FA3F9C" w:rsidRDefault="002641D2" w:rsidP="002641D2">
      <w:pPr>
        <w:pStyle w:val="ListParagraph"/>
        <w:numPr>
          <w:ilvl w:val="0"/>
          <w:numId w:val="203"/>
        </w:numPr>
        <w:spacing w:line="276" w:lineRule="auto"/>
        <w:ind w:left="602" w:hanging="180"/>
        <w:rPr>
          <w:rFonts w:ascii="Arial" w:hAnsi="Arial" w:cs="Arial"/>
          <w:noProof/>
          <w:sz w:val="24"/>
          <w:szCs w:val="24"/>
        </w:rPr>
      </w:pPr>
      <w:r w:rsidRPr="00FA3F9C">
        <w:rPr>
          <w:rFonts w:ascii="Arial" w:hAnsi="Arial" w:cs="Arial"/>
          <w:noProof/>
          <w:sz w:val="24"/>
          <w:szCs w:val="24"/>
        </w:rPr>
        <w:t>Post-trial everolimus use: specific data not given; crossover not specified as allowed in reports</w:t>
      </w:r>
    </w:p>
    <w:p w14:paraId="05F9238D" w14:textId="77777777" w:rsidR="002641D2" w:rsidRPr="00FA3F9C" w:rsidRDefault="002641D2" w:rsidP="002641D2">
      <w:pPr>
        <w:pStyle w:val="ListParagraph"/>
        <w:numPr>
          <w:ilvl w:val="0"/>
          <w:numId w:val="203"/>
        </w:numPr>
        <w:spacing w:after="0" w:line="276" w:lineRule="auto"/>
        <w:ind w:left="602" w:hanging="180"/>
        <w:rPr>
          <w:rFonts w:ascii="Arial" w:hAnsi="Arial" w:cs="Arial"/>
          <w:noProof/>
          <w:sz w:val="24"/>
          <w:szCs w:val="24"/>
        </w:rPr>
      </w:pPr>
      <w:r w:rsidRPr="00FA3F9C">
        <w:rPr>
          <w:rFonts w:ascii="Arial" w:hAnsi="Arial" w:cs="Arial"/>
          <w:noProof/>
          <w:sz w:val="24"/>
          <w:szCs w:val="24"/>
        </w:rPr>
        <w:t>Quality of Life: time to deterioration using EORTC QLQ-C30</w:t>
      </w:r>
      <w:r w:rsidRPr="00FA3F9C">
        <w:rPr>
          <w:rFonts w:ascii="Arial" w:hAnsi="Arial" w:cs="Arial"/>
          <w:noProof/>
          <w:sz w:val="24"/>
          <w:szCs w:val="24"/>
          <w:vertAlign w:val="superscript"/>
        </w:rPr>
        <w:t>15</w:t>
      </w:r>
    </w:p>
    <w:p w14:paraId="41D594D8" w14:textId="77777777" w:rsidR="002641D2" w:rsidRPr="00FA3F9C" w:rsidRDefault="002641D2" w:rsidP="002641D2">
      <w:pPr>
        <w:pStyle w:val="ListParagraph"/>
        <w:numPr>
          <w:ilvl w:val="0"/>
          <w:numId w:val="203"/>
        </w:numPr>
        <w:spacing w:after="0" w:line="276" w:lineRule="auto"/>
        <w:ind w:left="962" w:hanging="180"/>
        <w:rPr>
          <w:rFonts w:ascii="Arial" w:hAnsi="Arial" w:cs="Arial"/>
          <w:noProof/>
          <w:sz w:val="24"/>
          <w:szCs w:val="24"/>
        </w:rPr>
      </w:pPr>
      <w:r w:rsidRPr="00FA3F9C">
        <w:rPr>
          <w:rFonts w:ascii="Arial" w:hAnsi="Arial" w:cs="Arial"/>
          <w:noProof/>
          <w:sz w:val="24"/>
          <w:szCs w:val="24"/>
        </w:rPr>
        <w:t>Time to 5% decrease in score: median 8.3 mo vs 5.8 mo (p=0.0084) [significant]</w:t>
      </w:r>
    </w:p>
    <w:p w14:paraId="39BBEAEA" w14:textId="77777777" w:rsidR="002641D2" w:rsidRPr="00FA3F9C" w:rsidRDefault="002641D2" w:rsidP="009D6C35">
      <w:pPr>
        <w:spacing w:line="276" w:lineRule="auto"/>
        <w:ind w:left="1772"/>
        <w:rPr>
          <w:rFonts w:ascii="Arial" w:hAnsi="Arial" w:cs="Arial"/>
          <w:noProof/>
          <w:sz w:val="24"/>
          <w:szCs w:val="24"/>
        </w:rPr>
      </w:pPr>
      <w:r w:rsidRPr="00FA3F9C">
        <w:rPr>
          <w:rFonts w:ascii="Arial" w:hAnsi="Arial" w:cs="Arial"/>
          <w:noProof/>
          <w:sz w:val="24"/>
          <w:szCs w:val="24"/>
        </w:rPr>
        <w:sym w:font="Wingdings" w:char="F0E0"/>
      </w:r>
      <w:r w:rsidRPr="00FA3F9C">
        <w:rPr>
          <w:rFonts w:ascii="Arial" w:hAnsi="Arial" w:cs="Arial"/>
          <w:noProof/>
          <w:sz w:val="24"/>
          <w:szCs w:val="24"/>
        </w:rPr>
        <w:t>Baseline scores were ~65 in each group, so a 5% decrease would equal ~3-4 points</w:t>
      </w:r>
    </w:p>
    <w:p w14:paraId="792FF65C" w14:textId="77777777" w:rsidR="002641D2" w:rsidRPr="00FA3F9C" w:rsidRDefault="002641D2" w:rsidP="002641D2">
      <w:pPr>
        <w:pStyle w:val="ListParagraph"/>
        <w:numPr>
          <w:ilvl w:val="0"/>
          <w:numId w:val="203"/>
        </w:numPr>
        <w:spacing w:after="0" w:line="276" w:lineRule="auto"/>
        <w:ind w:left="962" w:hanging="180"/>
        <w:rPr>
          <w:rFonts w:ascii="Arial" w:hAnsi="Arial" w:cs="Arial"/>
          <w:noProof/>
          <w:sz w:val="24"/>
          <w:szCs w:val="24"/>
        </w:rPr>
      </w:pPr>
      <w:r w:rsidRPr="00FA3F9C">
        <w:rPr>
          <w:rFonts w:ascii="Arial" w:hAnsi="Arial" w:cs="Arial"/>
          <w:noProof/>
          <w:sz w:val="24"/>
          <w:szCs w:val="24"/>
        </w:rPr>
        <w:t>Time to 10-point decrease in score (generally-accepted minimally important difference): median 11.7 mo vs 8.4 mo (p=0.1017) [not significant]</w:t>
      </w:r>
    </w:p>
    <w:p w14:paraId="400B2214" w14:textId="77777777" w:rsidR="002641D2" w:rsidRPr="00FA3F9C" w:rsidRDefault="002641D2" w:rsidP="002641D2">
      <w:pPr>
        <w:pStyle w:val="ListParagraph"/>
        <w:numPr>
          <w:ilvl w:val="0"/>
          <w:numId w:val="203"/>
        </w:numPr>
        <w:spacing w:line="276" w:lineRule="auto"/>
        <w:ind w:left="242" w:hanging="180"/>
        <w:rPr>
          <w:rFonts w:ascii="Arial" w:hAnsi="Arial" w:cs="Arial"/>
          <w:noProof/>
          <w:sz w:val="24"/>
          <w:szCs w:val="24"/>
        </w:rPr>
      </w:pPr>
      <w:r w:rsidRPr="00FA3F9C">
        <w:rPr>
          <w:rFonts w:ascii="Arial" w:hAnsi="Arial" w:cs="Arial"/>
          <w:noProof/>
          <w:sz w:val="24"/>
          <w:szCs w:val="24"/>
        </w:rPr>
        <w:t>BOLERO 6 (</w:t>
      </w:r>
      <w:r w:rsidRPr="00FA3F9C">
        <w:rPr>
          <w:rFonts w:ascii="Arial" w:hAnsi="Arial" w:cs="Arial"/>
          <w:b/>
          <w:noProof/>
          <w:sz w:val="24"/>
          <w:szCs w:val="24"/>
          <w:u w:val="single"/>
        </w:rPr>
        <w:t>confirmatory study</w:t>
      </w:r>
      <w:r w:rsidRPr="00FA3F9C">
        <w:rPr>
          <w:rFonts w:ascii="Arial" w:hAnsi="Arial" w:cs="Arial"/>
          <w:noProof/>
          <w:sz w:val="24"/>
          <w:szCs w:val="24"/>
        </w:rPr>
        <w:t xml:space="preserve">; </w:t>
      </w:r>
      <w:proofErr w:type="spellStart"/>
      <w:r w:rsidRPr="00FA3F9C">
        <w:rPr>
          <w:rFonts w:ascii="Arial" w:hAnsi="Arial" w:cs="Arial"/>
          <w:sz w:val="24"/>
          <w:szCs w:val="24"/>
        </w:rPr>
        <w:t>everolimus</w:t>
      </w:r>
      <w:proofErr w:type="spellEnd"/>
      <w:r w:rsidRPr="00FA3F9C">
        <w:rPr>
          <w:rFonts w:ascii="Arial" w:hAnsi="Arial" w:cs="Arial"/>
          <w:sz w:val="24"/>
          <w:szCs w:val="24"/>
        </w:rPr>
        <w:t xml:space="preserve">/exemestane </w:t>
      </w:r>
      <w:r w:rsidRPr="00FA3F9C">
        <w:rPr>
          <w:rFonts w:ascii="Arial" w:hAnsi="Arial" w:cs="Arial"/>
          <w:i/>
          <w:sz w:val="24"/>
          <w:szCs w:val="24"/>
          <w:u w:val="single"/>
        </w:rPr>
        <w:t>vs</w:t>
      </w:r>
      <w:r w:rsidRPr="00FA3F9C">
        <w:rPr>
          <w:rFonts w:ascii="Arial" w:hAnsi="Arial" w:cs="Arial"/>
          <w:sz w:val="24"/>
          <w:szCs w:val="24"/>
        </w:rPr>
        <w:t xml:space="preserve"> </w:t>
      </w:r>
      <w:proofErr w:type="spellStart"/>
      <w:r w:rsidRPr="00FA3F9C">
        <w:rPr>
          <w:rFonts w:ascii="Arial" w:hAnsi="Arial" w:cs="Arial"/>
          <w:sz w:val="24"/>
          <w:szCs w:val="24"/>
        </w:rPr>
        <w:t>everolimus</w:t>
      </w:r>
      <w:proofErr w:type="spellEnd"/>
      <w:r w:rsidRPr="00FA3F9C">
        <w:rPr>
          <w:rFonts w:ascii="Arial" w:hAnsi="Arial" w:cs="Arial"/>
          <w:sz w:val="24"/>
          <w:szCs w:val="24"/>
        </w:rPr>
        <w:t xml:space="preserve"> </w:t>
      </w:r>
      <w:r w:rsidRPr="00FA3F9C">
        <w:rPr>
          <w:rFonts w:ascii="Arial" w:hAnsi="Arial" w:cs="Arial"/>
          <w:i/>
          <w:sz w:val="24"/>
          <w:szCs w:val="24"/>
          <w:u w:val="single"/>
        </w:rPr>
        <w:t>vs</w:t>
      </w:r>
      <w:r w:rsidRPr="00FA3F9C">
        <w:rPr>
          <w:rFonts w:ascii="Arial" w:hAnsi="Arial" w:cs="Arial"/>
          <w:i/>
          <w:sz w:val="24"/>
          <w:szCs w:val="24"/>
        </w:rPr>
        <w:t xml:space="preserve"> </w:t>
      </w:r>
      <w:r w:rsidRPr="00FA3F9C">
        <w:rPr>
          <w:rFonts w:ascii="Arial" w:hAnsi="Arial" w:cs="Arial"/>
          <w:sz w:val="24"/>
          <w:szCs w:val="24"/>
        </w:rPr>
        <w:t>capecitabine; n=309, 1:1:1 randomization, open label)</w:t>
      </w:r>
      <w:r w:rsidRPr="00FA3F9C">
        <w:rPr>
          <w:rFonts w:ascii="Arial" w:hAnsi="Arial" w:cs="Arial"/>
          <w:sz w:val="24"/>
          <w:szCs w:val="24"/>
          <w:vertAlign w:val="superscript"/>
        </w:rPr>
        <w:t>16</w:t>
      </w:r>
    </w:p>
    <w:p w14:paraId="06274072" w14:textId="77777777" w:rsidR="002641D2" w:rsidRPr="00FA3F9C" w:rsidRDefault="002641D2" w:rsidP="002641D2">
      <w:pPr>
        <w:pStyle w:val="ListParagraph"/>
        <w:numPr>
          <w:ilvl w:val="0"/>
          <w:numId w:val="203"/>
        </w:numPr>
        <w:spacing w:line="276" w:lineRule="auto"/>
        <w:ind w:left="602" w:hanging="180"/>
        <w:rPr>
          <w:rFonts w:ascii="Arial" w:hAnsi="Arial" w:cs="Arial"/>
          <w:noProof/>
          <w:sz w:val="24"/>
          <w:szCs w:val="24"/>
        </w:rPr>
      </w:pPr>
      <w:r w:rsidRPr="00FA3F9C">
        <w:rPr>
          <w:rFonts w:ascii="Arial" w:hAnsi="Arial" w:cs="Arial"/>
          <w:noProof/>
          <w:sz w:val="24"/>
          <w:szCs w:val="24"/>
        </w:rPr>
        <w:t>Median PFS (</w:t>
      </w:r>
      <w:proofErr w:type="spellStart"/>
      <w:r w:rsidRPr="00FA3F9C">
        <w:rPr>
          <w:rFonts w:ascii="Arial" w:hAnsi="Arial" w:cs="Arial"/>
          <w:sz w:val="24"/>
          <w:szCs w:val="24"/>
        </w:rPr>
        <w:t>everolimus</w:t>
      </w:r>
      <w:proofErr w:type="spellEnd"/>
      <w:r w:rsidRPr="00FA3F9C">
        <w:rPr>
          <w:rFonts w:ascii="Arial" w:hAnsi="Arial" w:cs="Arial"/>
          <w:sz w:val="24"/>
          <w:szCs w:val="24"/>
        </w:rPr>
        <w:t xml:space="preserve">/exemestane </w:t>
      </w:r>
      <w:r w:rsidRPr="00FA3F9C">
        <w:rPr>
          <w:rFonts w:ascii="Arial" w:hAnsi="Arial" w:cs="Arial"/>
          <w:i/>
          <w:sz w:val="24"/>
          <w:szCs w:val="24"/>
          <w:u w:val="single"/>
        </w:rPr>
        <w:t>vs</w:t>
      </w:r>
      <w:r w:rsidRPr="00FA3F9C">
        <w:rPr>
          <w:rFonts w:ascii="Arial" w:hAnsi="Arial" w:cs="Arial"/>
          <w:sz w:val="24"/>
          <w:szCs w:val="24"/>
        </w:rPr>
        <w:t xml:space="preserve"> </w:t>
      </w:r>
      <w:proofErr w:type="spellStart"/>
      <w:r w:rsidRPr="00FA3F9C">
        <w:rPr>
          <w:rFonts w:ascii="Arial" w:hAnsi="Arial" w:cs="Arial"/>
          <w:sz w:val="24"/>
          <w:szCs w:val="24"/>
        </w:rPr>
        <w:t>everolimus</w:t>
      </w:r>
      <w:proofErr w:type="spellEnd"/>
      <w:r w:rsidRPr="00FA3F9C">
        <w:rPr>
          <w:rFonts w:ascii="Arial" w:hAnsi="Arial" w:cs="Arial"/>
          <w:sz w:val="24"/>
          <w:szCs w:val="24"/>
        </w:rPr>
        <w:t xml:space="preserve"> </w:t>
      </w:r>
      <w:r w:rsidRPr="00FA3F9C">
        <w:rPr>
          <w:rFonts w:ascii="Arial" w:hAnsi="Arial" w:cs="Arial"/>
          <w:i/>
          <w:sz w:val="24"/>
          <w:szCs w:val="24"/>
          <w:u w:val="single"/>
        </w:rPr>
        <w:t>vs</w:t>
      </w:r>
      <w:r w:rsidRPr="00FA3F9C">
        <w:rPr>
          <w:rFonts w:ascii="Arial" w:hAnsi="Arial" w:cs="Arial"/>
          <w:i/>
          <w:sz w:val="24"/>
          <w:szCs w:val="24"/>
        </w:rPr>
        <w:t xml:space="preserve"> </w:t>
      </w:r>
      <w:r w:rsidRPr="00FA3F9C">
        <w:rPr>
          <w:rFonts w:ascii="Arial" w:hAnsi="Arial" w:cs="Arial"/>
          <w:sz w:val="24"/>
          <w:szCs w:val="24"/>
        </w:rPr>
        <w:t>capecitabine)</w:t>
      </w:r>
      <w:r w:rsidRPr="00FA3F9C">
        <w:rPr>
          <w:rFonts w:ascii="Arial" w:hAnsi="Arial" w:cs="Arial"/>
          <w:noProof/>
          <w:sz w:val="24"/>
          <w:szCs w:val="24"/>
        </w:rPr>
        <w:t>: 8.4 mo vs 6.8 mo vs 9.6 mo [difference between eve/exe and eve groups was statistically significant]</w:t>
      </w:r>
    </w:p>
    <w:p w14:paraId="2AE00D76" w14:textId="77777777" w:rsidR="002641D2" w:rsidRPr="00FA3F9C" w:rsidRDefault="002641D2" w:rsidP="002641D2">
      <w:pPr>
        <w:pStyle w:val="ListParagraph"/>
        <w:numPr>
          <w:ilvl w:val="0"/>
          <w:numId w:val="203"/>
        </w:numPr>
        <w:spacing w:line="276" w:lineRule="auto"/>
        <w:ind w:left="602" w:hanging="180"/>
        <w:rPr>
          <w:rFonts w:ascii="Arial" w:hAnsi="Arial" w:cs="Arial"/>
          <w:noProof/>
          <w:sz w:val="24"/>
          <w:szCs w:val="24"/>
          <w:lang w:val="es-ES"/>
        </w:rPr>
      </w:pPr>
      <w:r w:rsidRPr="00FA3F9C">
        <w:rPr>
          <w:rFonts w:ascii="Arial" w:hAnsi="Arial" w:cs="Arial"/>
          <w:noProof/>
          <w:sz w:val="24"/>
          <w:szCs w:val="24"/>
          <w:lang w:val="es-ES"/>
        </w:rPr>
        <w:t>Median OS (</w:t>
      </w:r>
      <w:proofErr w:type="spellStart"/>
      <w:r w:rsidRPr="00FA3F9C">
        <w:rPr>
          <w:rFonts w:ascii="Arial" w:hAnsi="Arial" w:cs="Arial"/>
          <w:sz w:val="24"/>
          <w:szCs w:val="24"/>
          <w:lang w:val="es-ES"/>
        </w:rPr>
        <w:t>everolimus</w:t>
      </w:r>
      <w:proofErr w:type="spellEnd"/>
      <w:r w:rsidRPr="00FA3F9C">
        <w:rPr>
          <w:rFonts w:ascii="Arial" w:hAnsi="Arial" w:cs="Arial"/>
          <w:sz w:val="24"/>
          <w:szCs w:val="24"/>
          <w:lang w:val="es-ES"/>
        </w:rPr>
        <w:t>/</w:t>
      </w:r>
      <w:proofErr w:type="spellStart"/>
      <w:r w:rsidRPr="00FA3F9C">
        <w:rPr>
          <w:rFonts w:ascii="Arial" w:hAnsi="Arial" w:cs="Arial"/>
          <w:sz w:val="24"/>
          <w:szCs w:val="24"/>
          <w:lang w:val="es-ES"/>
        </w:rPr>
        <w:t>exemestane</w:t>
      </w:r>
      <w:proofErr w:type="spellEnd"/>
      <w:r w:rsidRPr="00FA3F9C">
        <w:rPr>
          <w:rFonts w:ascii="Arial" w:hAnsi="Arial" w:cs="Arial"/>
          <w:sz w:val="24"/>
          <w:szCs w:val="24"/>
          <w:lang w:val="es-ES"/>
        </w:rPr>
        <w:t xml:space="preserve"> </w:t>
      </w:r>
      <w:r w:rsidRPr="00FA3F9C">
        <w:rPr>
          <w:rFonts w:ascii="Arial" w:hAnsi="Arial" w:cs="Arial"/>
          <w:i/>
          <w:sz w:val="24"/>
          <w:szCs w:val="24"/>
          <w:u w:val="single"/>
          <w:lang w:val="es-ES"/>
        </w:rPr>
        <w:t>vs</w:t>
      </w:r>
      <w:r w:rsidRPr="00FA3F9C">
        <w:rPr>
          <w:rFonts w:ascii="Arial" w:hAnsi="Arial" w:cs="Arial"/>
          <w:sz w:val="24"/>
          <w:szCs w:val="24"/>
          <w:lang w:val="es-ES"/>
        </w:rPr>
        <w:t xml:space="preserve"> </w:t>
      </w:r>
      <w:proofErr w:type="spellStart"/>
      <w:r w:rsidRPr="00FA3F9C">
        <w:rPr>
          <w:rFonts w:ascii="Arial" w:hAnsi="Arial" w:cs="Arial"/>
          <w:sz w:val="24"/>
          <w:szCs w:val="24"/>
          <w:lang w:val="es-ES"/>
        </w:rPr>
        <w:t>everolimus</w:t>
      </w:r>
      <w:proofErr w:type="spellEnd"/>
      <w:r w:rsidRPr="00FA3F9C">
        <w:rPr>
          <w:rFonts w:ascii="Arial" w:hAnsi="Arial" w:cs="Arial"/>
          <w:sz w:val="24"/>
          <w:szCs w:val="24"/>
          <w:lang w:val="es-ES"/>
        </w:rPr>
        <w:t xml:space="preserve"> </w:t>
      </w:r>
      <w:r w:rsidRPr="00FA3F9C">
        <w:rPr>
          <w:rFonts w:ascii="Arial" w:hAnsi="Arial" w:cs="Arial"/>
          <w:i/>
          <w:sz w:val="24"/>
          <w:szCs w:val="24"/>
          <w:u w:val="single"/>
          <w:lang w:val="es-ES"/>
        </w:rPr>
        <w:t>vs</w:t>
      </w:r>
      <w:r w:rsidRPr="00FA3F9C">
        <w:rPr>
          <w:rFonts w:ascii="Arial" w:hAnsi="Arial" w:cs="Arial"/>
          <w:i/>
          <w:sz w:val="24"/>
          <w:szCs w:val="24"/>
          <w:lang w:val="es-ES"/>
        </w:rPr>
        <w:t xml:space="preserve"> </w:t>
      </w:r>
      <w:proofErr w:type="spellStart"/>
      <w:r w:rsidRPr="00FA3F9C">
        <w:rPr>
          <w:rFonts w:ascii="Arial" w:hAnsi="Arial" w:cs="Arial"/>
          <w:sz w:val="24"/>
          <w:szCs w:val="24"/>
          <w:lang w:val="es-ES"/>
        </w:rPr>
        <w:t>capecitabine</w:t>
      </w:r>
      <w:proofErr w:type="spellEnd"/>
      <w:r w:rsidRPr="00FA3F9C">
        <w:rPr>
          <w:rFonts w:ascii="Arial" w:hAnsi="Arial" w:cs="Arial"/>
          <w:sz w:val="24"/>
          <w:szCs w:val="24"/>
          <w:lang w:val="es-ES"/>
        </w:rPr>
        <w:t xml:space="preserve">): 23.1 </w:t>
      </w:r>
      <w:proofErr w:type="spellStart"/>
      <w:r w:rsidRPr="00FA3F9C">
        <w:rPr>
          <w:rFonts w:ascii="Arial" w:hAnsi="Arial" w:cs="Arial"/>
          <w:sz w:val="24"/>
          <w:szCs w:val="24"/>
          <w:lang w:val="es-ES"/>
        </w:rPr>
        <w:t>mo</w:t>
      </w:r>
      <w:proofErr w:type="spellEnd"/>
      <w:r w:rsidRPr="00FA3F9C">
        <w:rPr>
          <w:rFonts w:ascii="Arial" w:hAnsi="Arial" w:cs="Arial"/>
          <w:sz w:val="24"/>
          <w:szCs w:val="24"/>
          <w:lang w:val="es-ES"/>
        </w:rPr>
        <w:t xml:space="preserve"> vs 29.3 </w:t>
      </w:r>
      <w:proofErr w:type="spellStart"/>
      <w:r w:rsidRPr="00FA3F9C">
        <w:rPr>
          <w:rFonts w:ascii="Arial" w:hAnsi="Arial" w:cs="Arial"/>
          <w:sz w:val="24"/>
          <w:szCs w:val="24"/>
          <w:lang w:val="es-ES"/>
        </w:rPr>
        <w:t>mo</w:t>
      </w:r>
      <w:proofErr w:type="spellEnd"/>
      <w:r w:rsidRPr="00FA3F9C">
        <w:rPr>
          <w:rFonts w:ascii="Arial" w:hAnsi="Arial" w:cs="Arial"/>
          <w:sz w:val="24"/>
          <w:szCs w:val="24"/>
          <w:lang w:val="es-ES"/>
        </w:rPr>
        <w:t xml:space="preserve"> vs 25.6 </w:t>
      </w:r>
      <w:proofErr w:type="spellStart"/>
      <w:r w:rsidRPr="00FA3F9C">
        <w:rPr>
          <w:rFonts w:ascii="Arial" w:hAnsi="Arial" w:cs="Arial"/>
          <w:sz w:val="24"/>
          <w:szCs w:val="24"/>
          <w:lang w:val="es-ES"/>
        </w:rPr>
        <w:t>mo</w:t>
      </w:r>
      <w:proofErr w:type="spellEnd"/>
      <w:r w:rsidRPr="00FA3F9C">
        <w:rPr>
          <w:rFonts w:ascii="Arial" w:hAnsi="Arial" w:cs="Arial"/>
          <w:sz w:val="24"/>
          <w:szCs w:val="24"/>
          <w:lang w:val="es-ES"/>
        </w:rPr>
        <w:t xml:space="preserve"> [no </w:t>
      </w:r>
      <w:proofErr w:type="spellStart"/>
      <w:r w:rsidRPr="00FA3F9C">
        <w:rPr>
          <w:rFonts w:ascii="Arial" w:hAnsi="Arial" w:cs="Arial"/>
          <w:sz w:val="24"/>
          <w:szCs w:val="24"/>
          <w:lang w:val="es-ES"/>
        </w:rPr>
        <w:t>significant</w:t>
      </w:r>
      <w:proofErr w:type="spellEnd"/>
      <w:r w:rsidRPr="00FA3F9C">
        <w:rPr>
          <w:rFonts w:ascii="Arial" w:hAnsi="Arial" w:cs="Arial"/>
          <w:sz w:val="24"/>
          <w:szCs w:val="24"/>
          <w:lang w:val="es-ES"/>
        </w:rPr>
        <w:t xml:space="preserve"> </w:t>
      </w:r>
      <w:proofErr w:type="spellStart"/>
      <w:r w:rsidRPr="00FA3F9C">
        <w:rPr>
          <w:rFonts w:ascii="Arial" w:hAnsi="Arial" w:cs="Arial"/>
          <w:sz w:val="24"/>
          <w:szCs w:val="24"/>
          <w:lang w:val="es-ES"/>
        </w:rPr>
        <w:t>differences</w:t>
      </w:r>
      <w:proofErr w:type="spellEnd"/>
      <w:r w:rsidRPr="00FA3F9C">
        <w:rPr>
          <w:rFonts w:ascii="Arial" w:hAnsi="Arial" w:cs="Arial"/>
          <w:sz w:val="24"/>
          <w:szCs w:val="24"/>
          <w:lang w:val="es-ES"/>
        </w:rPr>
        <w:t>]</w:t>
      </w:r>
    </w:p>
    <w:p w14:paraId="70713C9C" w14:textId="77777777" w:rsidR="002641D2" w:rsidRPr="00FA3F9C" w:rsidRDefault="002641D2" w:rsidP="002641D2">
      <w:pPr>
        <w:pStyle w:val="ListParagraph"/>
        <w:numPr>
          <w:ilvl w:val="0"/>
          <w:numId w:val="203"/>
        </w:numPr>
        <w:spacing w:line="276" w:lineRule="auto"/>
        <w:ind w:left="602" w:hanging="180"/>
        <w:rPr>
          <w:rFonts w:ascii="Arial" w:hAnsi="Arial" w:cs="Arial"/>
          <w:noProof/>
          <w:sz w:val="24"/>
          <w:szCs w:val="24"/>
        </w:rPr>
      </w:pPr>
      <w:r w:rsidRPr="00FA3F9C">
        <w:rPr>
          <w:rFonts w:ascii="Arial" w:hAnsi="Arial" w:cs="Arial"/>
          <w:sz w:val="24"/>
          <w:szCs w:val="24"/>
        </w:rPr>
        <w:t>24-month OS rate: 48% vs 59% vs 59%</w:t>
      </w:r>
    </w:p>
    <w:p w14:paraId="432F1738" w14:textId="77777777" w:rsidR="002641D2" w:rsidRPr="00FA3F9C" w:rsidRDefault="002641D2" w:rsidP="002641D2">
      <w:pPr>
        <w:pStyle w:val="ListParagraph"/>
        <w:numPr>
          <w:ilvl w:val="0"/>
          <w:numId w:val="203"/>
        </w:numPr>
        <w:spacing w:line="276" w:lineRule="auto"/>
        <w:ind w:left="602" w:hanging="180"/>
        <w:rPr>
          <w:rFonts w:ascii="Arial" w:hAnsi="Arial" w:cs="Arial"/>
          <w:noProof/>
          <w:sz w:val="24"/>
          <w:szCs w:val="24"/>
        </w:rPr>
      </w:pPr>
      <w:r w:rsidRPr="00FA3F9C">
        <w:rPr>
          <w:rFonts w:ascii="Arial" w:hAnsi="Arial" w:cs="Arial"/>
          <w:sz w:val="24"/>
          <w:szCs w:val="24"/>
        </w:rPr>
        <w:t xml:space="preserve">~11% of </w:t>
      </w:r>
      <w:proofErr w:type="spellStart"/>
      <w:r w:rsidRPr="00FA3F9C">
        <w:rPr>
          <w:rFonts w:ascii="Arial" w:hAnsi="Arial" w:cs="Arial"/>
          <w:sz w:val="24"/>
          <w:szCs w:val="24"/>
        </w:rPr>
        <w:t>everolimus</w:t>
      </w:r>
      <w:proofErr w:type="spellEnd"/>
      <w:r w:rsidRPr="00FA3F9C">
        <w:rPr>
          <w:rFonts w:ascii="Arial" w:hAnsi="Arial" w:cs="Arial"/>
          <w:sz w:val="24"/>
          <w:szCs w:val="24"/>
        </w:rPr>
        <w:t xml:space="preserve"> monotherapy and capecitabine patients received post-trial </w:t>
      </w:r>
      <w:proofErr w:type="spellStart"/>
      <w:r w:rsidRPr="00FA3F9C">
        <w:rPr>
          <w:rFonts w:ascii="Arial" w:hAnsi="Arial" w:cs="Arial"/>
          <w:sz w:val="24"/>
          <w:szCs w:val="24"/>
        </w:rPr>
        <w:t>everolimus</w:t>
      </w:r>
      <w:proofErr w:type="spellEnd"/>
    </w:p>
    <w:p w14:paraId="0A57880A" w14:textId="77777777" w:rsidR="002641D2" w:rsidRPr="00FA3F9C" w:rsidRDefault="002641D2" w:rsidP="004B79B7">
      <w:pPr>
        <w:rPr>
          <w:rFonts w:ascii="Arial" w:hAnsi="Arial" w:cs="Arial"/>
          <w:b/>
          <w:sz w:val="24"/>
          <w:szCs w:val="24"/>
        </w:rPr>
      </w:pPr>
    </w:p>
    <w:p w14:paraId="5B0AAF90" w14:textId="77777777" w:rsidR="002641D2" w:rsidRPr="00FA3F9C" w:rsidRDefault="002641D2" w:rsidP="00BE7C2A">
      <w:pPr>
        <w:pStyle w:val="Heading2"/>
      </w:pPr>
      <w:bookmarkStart w:id="115" w:name="_Toc106369798"/>
      <w:proofErr w:type="spellStart"/>
      <w:r w:rsidRPr="00FA3F9C">
        <w:t>Everolimus</w:t>
      </w:r>
      <w:proofErr w:type="spellEnd"/>
      <w:r w:rsidRPr="00FA3F9C">
        <w:t xml:space="preserve"> (</w:t>
      </w:r>
      <w:proofErr w:type="spellStart"/>
      <w:r w:rsidRPr="00FA3F9C">
        <w:t>Zortress</w:t>
      </w:r>
      <w:proofErr w:type="spellEnd"/>
      <w:r w:rsidRPr="00FA3F9C">
        <w:t>)</w:t>
      </w:r>
      <w:bookmarkEnd w:id="115"/>
    </w:p>
    <w:p w14:paraId="43FE0F8A" w14:textId="77777777" w:rsidR="002641D2" w:rsidRPr="00FA3F9C" w:rsidRDefault="002641D2" w:rsidP="005A0AEC">
      <w:pPr>
        <w:jc w:val="center"/>
        <w:rPr>
          <w:rFonts w:ascii="Arial" w:hAnsi="Arial" w:cs="Arial"/>
          <w:b/>
          <w:sz w:val="24"/>
          <w:szCs w:val="24"/>
        </w:rPr>
      </w:pPr>
      <w:r w:rsidRPr="00FA3F9C">
        <w:rPr>
          <w:rFonts w:ascii="Arial" w:hAnsi="Arial" w:cs="Arial"/>
          <w:b/>
          <w:sz w:val="24"/>
          <w:szCs w:val="24"/>
        </w:rPr>
        <w:t>EBRx PA Criteria</w:t>
      </w:r>
    </w:p>
    <w:p w14:paraId="04A6EE03" w14:textId="77777777" w:rsidR="002641D2" w:rsidRPr="00FA3F9C" w:rsidRDefault="002641D2" w:rsidP="005A0AEC">
      <w:pPr>
        <w:jc w:val="center"/>
        <w:rPr>
          <w:rFonts w:ascii="Arial" w:hAnsi="Arial" w:cs="Arial"/>
          <w:b/>
          <w:sz w:val="24"/>
          <w:szCs w:val="24"/>
        </w:rPr>
      </w:pPr>
    </w:p>
    <w:p w14:paraId="1305AA81" w14:textId="77777777" w:rsidR="002641D2" w:rsidRPr="00FA3F9C" w:rsidRDefault="002641D2" w:rsidP="00236128">
      <w:pPr>
        <w:ind w:left="-1080"/>
        <w:rPr>
          <w:rFonts w:ascii="Arial" w:hAnsi="Arial" w:cs="Arial"/>
          <w:sz w:val="24"/>
          <w:szCs w:val="24"/>
        </w:rPr>
      </w:pPr>
      <w:proofErr w:type="spellStart"/>
      <w:r w:rsidRPr="00FA3F9C">
        <w:rPr>
          <w:rFonts w:ascii="Arial" w:hAnsi="Arial" w:cs="Arial"/>
          <w:sz w:val="24"/>
          <w:szCs w:val="24"/>
        </w:rPr>
        <w:t>Zortress</w:t>
      </w:r>
      <w:proofErr w:type="spellEnd"/>
      <w:r w:rsidRPr="00FA3F9C">
        <w:rPr>
          <w:rFonts w:ascii="Arial" w:hAnsi="Arial" w:cs="Arial"/>
          <w:sz w:val="24"/>
          <w:szCs w:val="24"/>
        </w:rPr>
        <w:t xml:space="preserve"> is FDA-approved for:</w:t>
      </w:r>
    </w:p>
    <w:p w14:paraId="5B6AE04B" w14:textId="77777777" w:rsidR="002641D2" w:rsidRPr="00FA3F9C" w:rsidRDefault="002641D2" w:rsidP="002641D2">
      <w:pPr>
        <w:numPr>
          <w:ilvl w:val="0"/>
          <w:numId w:val="208"/>
        </w:numPr>
        <w:spacing w:after="0" w:line="240" w:lineRule="auto"/>
        <w:rPr>
          <w:rFonts w:ascii="Arial" w:hAnsi="Arial" w:cs="Arial"/>
          <w:sz w:val="24"/>
          <w:szCs w:val="24"/>
        </w:rPr>
      </w:pPr>
      <w:r w:rsidRPr="00FA3F9C">
        <w:rPr>
          <w:rFonts w:ascii="Arial" w:hAnsi="Arial" w:cs="Arial"/>
          <w:sz w:val="24"/>
          <w:szCs w:val="24"/>
        </w:rPr>
        <w:t>Liver transplant, in combination with corticosteroids and reduced dose tacrolimus; should not be administered earlier than 30 days post-transplant.</w:t>
      </w:r>
    </w:p>
    <w:p w14:paraId="2E2B7763" w14:textId="77777777" w:rsidR="002641D2" w:rsidRPr="00FA3F9C" w:rsidRDefault="002641D2" w:rsidP="002641D2">
      <w:pPr>
        <w:numPr>
          <w:ilvl w:val="0"/>
          <w:numId w:val="208"/>
        </w:numPr>
        <w:spacing w:after="0" w:line="240" w:lineRule="auto"/>
        <w:rPr>
          <w:rFonts w:ascii="Arial" w:hAnsi="Arial" w:cs="Arial"/>
          <w:sz w:val="24"/>
          <w:szCs w:val="24"/>
        </w:rPr>
      </w:pPr>
      <w:r w:rsidRPr="00FA3F9C">
        <w:rPr>
          <w:rFonts w:ascii="Arial" w:hAnsi="Arial" w:cs="Arial"/>
          <w:sz w:val="24"/>
          <w:szCs w:val="24"/>
        </w:rPr>
        <w:t xml:space="preserve">Renal transplant, in combination with </w:t>
      </w:r>
      <w:proofErr w:type="spellStart"/>
      <w:r w:rsidRPr="00FA3F9C">
        <w:rPr>
          <w:rFonts w:ascii="Arial" w:hAnsi="Arial" w:cs="Arial"/>
          <w:sz w:val="24"/>
          <w:szCs w:val="24"/>
        </w:rPr>
        <w:t>basiliximab</w:t>
      </w:r>
      <w:proofErr w:type="spellEnd"/>
      <w:r w:rsidRPr="00FA3F9C">
        <w:rPr>
          <w:rFonts w:ascii="Arial" w:hAnsi="Arial" w:cs="Arial"/>
          <w:sz w:val="24"/>
          <w:szCs w:val="24"/>
        </w:rPr>
        <w:t xml:space="preserve"> induction and concurrent with corticosteroids and reduced doses of cyclosporine.</w:t>
      </w:r>
    </w:p>
    <w:p w14:paraId="548FD825" w14:textId="77777777" w:rsidR="002641D2" w:rsidRPr="00FA3F9C" w:rsidRDefault="002641D2" w:rsidP="00236128">
      <w:pPr>
        <w:ind w:left="-990"/>
        <w:rPr>
          <w:rFonts w:ascii="Arial" w:hAnsi="Arial" w:cs="Arial"/>
          <w:sz w:val="24"/>
          <w:szCs w:val="24"/>
        </w:rPr>
      </w:pPr>
      <w:r w:rsidRPr="00FA3F9C">
        <w:rPr>
          <w:rFonts w:ascii="Arial" w:hAnsi="Arial" w:cs="Arial"/>
          <w:sz w:val="24"/>
          <w:szCs w:val="24"/>
        </w:rPr>
        <w:t>OFF LABEL:</w:t>
      </w:r>
    </w:p>
    <w:p w14:paraId="2D63F2B6" w14:textId="77777777" w:rsidR="002641D2" w:rsidRPr="00FA3F9C" w:rsidRDefault="002641D2" w:rsidP="002641D2">
      <w:pPr>
        <w:numPr>
          <w:ilvl w:val="0"/>
          <w:numId w:val="208"/>
        </w:numPr>
        <w:spacing w:after="0" w:line="240" w:lineRule="auto"/>
        <w:rPr>
          <w:rFonts w:ascii="Arial" w:hAnsi="Arial" w:cs="Arial"/>
          <w:sz w:val="24"/>
          <w:szCs w:val="24"/>
        </w:rPr>
      </w:pPr>
      <w:r w:rsidRPr="00FA3F9C">
        <w:rPr>
          <w:rFonts w:ascii="Arial" w:hAnsi="Arial" w:cs="Arial"/>
          <w:sz w:val="24"/>
          <w:szCs w:val="24"/>
        </w:rPr>
        <w:t>Carcinoid tumors</w:t>
      </w:r>
    </w:p>
    <w:p w14:paraId="6E62FFD7" w14:textId="77777777" w:rsidR="002641D2" w:rsidRPr="00FA3F9C" w:rsidRDefault="002641D2" w:rsidP="002641D2">
      <w:pPr>
        <w:numPr>
          <w:ilvl w:val="0"/>
          <w:numId w:val="208"/>
        </w:numPr>
        <w:spacing w:after="0" w:line="240" w:lineRule="auto"/>
        <w:rPr>
          <w:rFonts w:ascii="Arial" w:hAnsi="Arial" w:cs="Arial"/>
          <w:sz w:val="24"/>
          <w:szCs w:val="24"/>
        </w:rPr>
      </w:pPr>
      <w:r w:rsidRPr="00FA3F9C">
        <w:rPr>
          <w:rFonts w:ascii="Arial" w:hAnsi="Arial" w:cs="Arial"/>
          <w:sz w:val="24"/>
          <w:szCs w:val="24"/>
        </w:rPr>
        <w:t xml:space="preserve">Heart transplant, </w:t>
      </w:r>
      <w:r w:rsidRPr="00FA3F9C">
        <w:rPr>
          <w:rFonts w:ascii="Arial" w:hAnsi="Arial" w:cs="Arial"/>
          <w:sz w:val="24"/>
          <w:szCs w:val="24"/>
          <w:u w:val="single"/>
        </w:rPr>
        <w:t>&gt;</w:t>
      </w:r>
      <w:r w:rsidRPr="00FA3F9C">
        <w:rPr>
          <w:rFonts w:ascii="Arial" w:hAnsi="Arial" w:cs="Arial"/>
          <w:sz w:val="24"/>
          <w:szCs w:val="24"/>
        </w:rPr>
        <w:t xml:space="preserve">3 post-transplantation.  Data support substitution of </w:t>
      </w:r>
      <w:proofErr w:type="spellStart"/>
      <w:r w:rsidRPr="00FA3F9C">
        <w:rPr>
          <w:rFonts w:ascii="Arial" w:hAnsi="Arial" w:cs="Arial"/>
          <w:sz w:val="24"/>
          <w:szCs w:val="24"/>
        </w:rPr>
        <w:t>everolimus</w:t>
      </w:r>
      <w:proofErr w:type="spellEnd"/>
      <w:r w:rsidRPr="00FA3F9C">
        <w:rPr>
          <w:rFonts w:ascii="Arial" w:hAnsi="Arial" w:cs="Arial"/>
          <w:sz w:val="24"/>
          <w:szCs w:val="24"/>
        </w:rPr>
        <w:t xml:space="preserve"> for mycophenolate posttransplant for prophylaxis of organ rejection in heart transplant in combination with concomitant immunosuppression.</w:t>
      </w:r>
    </w:p>
    <w:p w14:paraId="66FDBF22" w14:textId="77777777" w:rsidR="002641D2" w:rsidRPr="00FA3F9C" w:rsidRDefault="002641D2" w:rsidP="002641D2">
      <w:pPr>
        <w:numPr>
          <w:ilvl w:val="0"/>
          <w:numId w:val="208"/>
        </w:numPr>
        <w:spacing w:after="0" w:line="240" w:lineRule="auto"/>
        <w:rPr>
          <w:rFonts w:ascii="Arial" w:hAnsi="Arial" w:cs="Arial"/>
          <w:sz w:val="24"/>
          <w:szCs w:val="24"/>
        </w:rPr>
      </w:pPr>
      <w:r w:rsidRPr="00FA3F9C">
        <w:rPr>
          <w:rFonts w:ascii="Arial" w:hAnsi="Arial" w:cs="Arial"/>
          <w:sz w:val="24"/>
          <w:szCs w:val="24"/>
        </w:rPr>
        <w:t>Hodgkin lymphoma, relapsed or refractory</w:t>
      </w:r>
    </w:p>
    <w:p w14:paraId="2F9A6813" w14:textId="77777777" w:rsidR="002641D2" w:rsidRPr="00FA3F9C" w:rsidRDefault="002641D2" w:rsidP="002641D2">
      <w:pPr>
        <w:numPr>
          <w:ilvl w:val="0"/>
          <w:numId w:val="208"/>
        </w:numPr>
        <w:spacing w:after="0" w:line="240" w:lineRule="auto"/>
        <w:rPr>
          <w:rFonts w:ascii="Arial" w:hAnsi="Arial" w:cs="Arial"/>
          <w:sz w:val="24"/>
          <w:szCs w:val="24"/>
        </w:rPr>
      </w:pPr>
      <w:r w:rsidRPr="00FA3F9C">
        <w:rPr>
          <w:rFonts w:ascii="Arial" w:hAnsi="Arial" w:cs="Arial"/>
          <w:sz w:val="24"/>
          <w:szCs w:val="24"/>
        </w:rPr>
        <w:t>Lung transplant</w:t>
      </w:r>
    </w:p>
    <w:p w14:paraId="519769E2" w14:textId="77777777" w:rsidR="002641D2" w:rsidRPr="00FA3F9C" w:rsidRDefault="002641D2" w:rsidP="002641D2">
      <w:pPr>
        <w:numPr>
          <w:ilvl w:val="0"/>
          <w:numId w:val="208"/>
        </w:numPr>
        <w:spacing w:after="0" w:line="240" w:lineRule="auto"/>
        <w:rPr>
          <w:rFonts w:ascii="Arial" w:hAnsi="Arial" w:cs="Arial"/>
          <w:sz w:val="24"/>
          <w:szCs w:val="24"/>
        </w:rPr>
      </w:pPr>
      <w:r w:rsidRPr="00FA3F9C">
        <w:rPr>
          <w:rFonts w:ascii="Arial" w:hAnsi="Arial" w:cs="Arial"/>
          <w:sz w:val="24"/>
          <w:szCs w:val="24"/>
        </w:rPr>
        <w:t>Thymoma and thymic carcinomas, advanced, refractory</w:t>
      </w:r>
    </w:p>
    <w:p w14:paraId="38C5D9CB" w14:textId="77777777" w:rsidR="002641D2" w:rsidRPr="00FA3F9C" w:rsidRDefault="002641D2" w:rsidP="002641D2">
      <w:pPr>
        <w:numPr>
          <w:ilvl w:val="0"/>
          <w:numId w:val="208"/>
        </w:numPr>
        <w:spacing w:after="0" w:line="240" w:lineRule="auto"/>
        <w:rPr>
          <w:rFonts w:ascii="Arial" w:hAnsi="Arial" w:cs="Arial"/>
          <w:sz w:val="24"/>
          <w:szCs w:val="24"/>
        </w:rPr>
      </w:pPr>
      <w:proofErr w:type="spellStart"/>
      <w:r w:rsidRPr="00FA3F9C">
        <w:rPr>
          <w:rFonts w:ascii="Arial" w:hAnsi="Arial" w:cs="Arial"/>
          <w:sz w:val="24"/>
          <w:szCs w:val="24"/>
        </w:rPr>
        <w:t>Waldenstrom</w:t>
      </w:r>
      <w:proofErr w:type="spellEnd"/>
      <w:r w:rsidRPr="00FA3F9C">
        <w:rPr>
          <w:rFonts w:ascii="Arial" w:hAnsi="Arial" w:cs="Arial"/>
          <w:sz w:val="24"/>
          <w:szCs w:val="24"/>
        </w:rPr>
        <w:t xml:space="preserve"> macroglobulinemia, relapsed or refractory</w:t>
      </w:r>
    </w:p>
    <w:p w14:paraId="194120A8" w14:textId="77777777" w:rsidR="002641D2" w:rsidRPr="00FA3F9C" w:rsidRDefault="002641D2" w:rsidP="005A0AEC">
      <w:pPr>
        <w:jc w:val="center"/>
        <w:rPr>
          <w:rFonts w:ascii="Arial" w:hAnsi="Arial" w:cs="Arial"/>
          <w:sz w:val="24"/>
          <w:szCs w:val="24"/>
        </w:rPr>
      </w:pPr>
    </w:p>
    <w:tbl>
      <w:tblPr>
        <w:tblW w:w="1089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90"/>
      </w:tblGrid>
      <w:tr w:rsidR="002641D2" w:rsidRPr="00FA3F9C" w14:paraId="62C4ABCA" w14:textId="77777777" w:rsidTr="00236128">
        <w:trPr>
          <w:trHeight w:val="242"/>
        </w:trPr>
        <w:tc>
          <w:tcPr>
            <w:tcW w:w="10890" w:type="dxa"/>
            <w:tcBorders>
              <w:top w:val="single" w:sz="4" w:space="0" w:color="auto"/>
              <w:left w:val="single" w:sz="4" w:space="0" w:color="auto"/>
              <w:bottom w:val="single" w:sz="4" w:space="0" w:color="auto"/>
              <w:right w:val="single" w:sz="4" w:space="0" w:color="auto"/>
            </w:tcBorders>
            <w:vAlign w:val="center"/>
            <w:hideMark/>
          </w:tcPr>
          <w:p w14:paraId="728E93B0" w14:textId="77777777" w:rsidR="002641D2" w:rsidRPr="00FA3F9C" w:rsidRDefault="002641D2" w:rsidP="00FD4CFA">
            <w:pPr>
              <w:rPr>
                <w:rFonts w:ascii="Arial" w:hAnsi="Arial" w:cs="Arial"/>
                <w:sz w:val="24"/>
                <w:szCs w:val="24"/>
              </w:rPr>
            </w:pPr>
            <w:r w:rsidRPr="00FA3F9C">
              <w:rPr>
                <w:rFonts w:ascii="Arial" w:hAnsi="Arial" w:cs="Arial"/>
                <w:sz w:val="24"/>
                <w:szCs w:val="24"/>
              </w:rPr>
              <w:t xml:space="preserve">1.  </w:t>
            </w:r>
            <w:proofErr w:type="spellStart"/>
            <w:r w:rsidRPr="00FA3F9C">
              <w:rPr>
                <w:rFonts w:ascii="Arial" w:hAnsi="Arial" w:cs="Arial"/>
                <w:sz w:val="24"/>
                <w:szCs w:val="24"/>
              </w:rPr>
              <w:t>Zortress</w:t>
            </w:r>
            <w:proofErr w:type="spellEnd"/>
            <w:r w:rsidRPr="00FA3F9C">
              <w:rPr>
                <w:rFonts w:ascii="Arial" w:hAnsi="Arial" w:cs="Arial"/>
                <w:sz w:val="24"/>
                <w:szCs w:val="24"/>
              </w:rPr>
              <w:t xml:space="preserve"> may be approved for use after a renal, cardiac, or liver transplant to prevent organ rejection.</w:t>
            </w:r>
          </w:p>
        </w:tc>
      </w:tr>
      <w:tr w:rsidR="002641D2" w:rsidRPr="00FA3F9C" w14:paraId="36D741CA" w14:textId="77777777" w:rsidTr="00236128">
        <w:trPr>
          <w:trHeight w:val="220"/>
        </w:trPr>
        <w:tc>
          <w:tcPr>
            <w:tcW w:w="10890" w:type="dxa"/>
            <w:tcBorders>
              <w:top w:val="single" w:sz="4" w:space="0" w:color="auto"/>
              <w:left w:val="single" w:sz="4" w:space="0" w:color="auto"/>
              <w:bottom w:val="single" w:sz="4" w:space="0" w:color="auto"/>
              <w:right w:val="single" w:sz="4" w:space="0" w:color="auto"/>
            </w:tcBorders>
          </w:tcPr>
          <w:p w14:paraId="2DFF511B" w14:textId="77777777" w:rsidR="002641D2" w:rsidRPr="00FA3F9C" w:rsidRDefault="002641D2" w:rsidP="0001270A">
            <w:pPr>
              <w:rPr>
                <w:rFonts w:ascii="Arial" w:hAnsi="Arial" w:cs="Arial"/>
                <w:sz w:val="24"/>
                <w:szCs w:val="24"/>
              </w:rPr>
            </w:pPr>
            <w:r w:rsidRPr="00FA3F9C">
              <w:rPr>
                <w:rFonts w:ascii="Arial" w:hAnsi="Arial" w:cs="Arial"/>
                <w:sz w:val="24"/>
                <w:szCs w:val="24"/>
              </w:rPr>
              <w:t>If so, approve for 1 year.</w:t>
            </w:r>
          </w:p>
        </w:tc>
      </w:tr>
      <w:tr w:rsidR="002641D2" w:rsidRPr="00FA3F9C" w14:paraId="745892BB" w14:textId="77777777" w:rsidTr="00236128">
        <w:trPr>
          <w:trHeight w:val="1673"/>
        </w:trPr>
        <w:tc>
          <w:tcPr>
            <w:tcW w:w="10890" w:type="dxa"/>
            <w:tcBorders>
              <w:top w:val="single" w:sz="4" w:space="0" w:color="auto"/>
              <w:left w:val="single" w:sz="4" w:space="0" w:color="auto"/>
              <w:bottom w:val="single" w:sz="4" w:space="0" w:color="auto"/>
              <w:right w:val="single" w:sz="4" w:space="0" w:color="auto"/>
            </w:tcBorders>
          </w:tcPr>
          <w:p w14:paraId="7B03B912" w14:textId="77777777" w:rsidR="002641D2" w:rsidRPr="00FA3F9C" w:rsidRDefault="002641D2" w:rsidP="0001270A">
            <w:pPr>
              <w:rPr>
                <w:rFonts w:ascii="Arial" w:hAnsi="Arial" w:cs="Arial"/>
                <w:sz w:val="24"/>
                <w:szCs w:val="24"/>
              </w:rPr>
            </w:pPr>
            <w:r w:rsidRPr="00FA3F9C">
              <w:rPr>
                <w:rFonts w:ascii="Arial" w:hAnsi="Arial" w:cs="Arial"/>
                <w:sz w:val="24"/>
                <w:szCs w:val="24"/>
              </w:rPr>
              <w:t xml:space="preserve">*Make sure drug is dosed for this indication and </w:t>
            </w:r>
            <w:r w:rsidRPr="00FA3F9C">
              <w:rPr>
                <w:rFonts w:ascii="Arial" w:hAnsi="Arial" w:cs="Arial"/>
                <w:i/>
                <w:sz w:val="24"/>
                <w:szCs w:val="24"/>
              </w:rPr>
              <w:t>not dosed</w:t>
            </w:r>
            <w:r w:rsidRPr="00FA3F9C">
              <w:rPr>
                <w:rFonts w:ascii="Arial" w:hAnsi="Arial" w:cs="Arial"/>
                <w:sz w:val="24"/>
                <w:szCs w:val="24"/>
              </w:rPr>
              <w:t xml:space="preserve"> for treatment of cancer (</w:t>
            </w:r>
            <w:proofErr w:type="spellStart"/>
            <w:r w:rsidRPr="00FA3F9C">
              <w:rPr>
                <w:rFonts w:ascii="Arial" w:hAnsi="Arial" w:cs="Arial"/>
                <w:sz w:val="24"/>
                <w:szCs w:val="24"/>
              </w:rPr>
              <w:t>Afinitor</w:t>
            </w:r>
            <w:proofErr w:type="spellEnd"/>
            <w:r w:rsidRPr="00FA3F9C">
              <w:rPr>
                <w:rFonts w:ascii="Arial" w:hAnsi="Arial" w:cs="Arial"/>
                <w:sz w:val="24"/>
                <w:szCs w:val="24"/>
              </w:rPr>
              <w:t xml:space="preserve"> dosing).  </w:t>
            </w:r>
          </w:p>
          <w:p w14:paraId="58DFEDCF" w14:textId="77777777" w:rsidR="002641D2" w:rsidRPr="00FA3F9C" w:rsidRDefault="002641D2" w:rsidP="002641D2">
            <w:pPr>
              <w:numPr>
                <w:ilvl w:val="0"/>
                <w:numId w:val="207"/>
              </w:numPr>
              <w:spacing w:after="0" w:line="240" w:lineRule="auto"/>
              <w:rPr>
                <w:rFonts w:ascii="Arial" w:hAnsi="Arial" w:cs="Arial"/>
                <w:sz w:val="24"/>
                <w:szCs w:val="24"/>
              </w:rPr>
            </w:pPr>
            <w:r w:rsidRPr="00FA3F9C">
              <w:rPr>
                <w:rFonts w:ascii="Arial" w:hAnsi="Arial" w:cs="Arial"/>
                <w:sz w:val="24"/>
                <w:szCs w:val="24"/>
              </w:rPr>
              <w:t xml:space="preserve">S/p renal transplant to prevent rejection: dose is 0.75mg twice daily, then dosed based on serum concentrations; used in combo with </w:t>
            </w:r>
            <w:proofErr w:type="spellStart"/>
            <w:r w:rsidRPr="00FA3F9C">
              <w:rPr>
                <w:rFonts w:ascii="Arial" w:hAnsi="Arial" w:cs="Arial"/>
                <w:sz w:val="24"/>
                <w:szCs w:val="24"/>
              </w:rPr>
              <w:t>basiliximab</w:t>
            </w:r>
            <w:proofErr w:type="spellEnd"/>
            <w:r w:rsidRPr="00FA3F9C">
              <w:rPr>
                <w:rFonts w:ascii="Arial" w:hAnsi="Arial" w:cs="Arial"/>
                <w:sz w:val="24"/>
                <w:szCs w:val="24"/>
              </w:rPr>
              <w:t xml:space="preserve"> induction and with cyclosporine and corticosteroids. </w:t>
            </w:r>
          </w:p>
          <w:p w14:paraId="21B30B39" w14:textId="77777777" w:rsidR="002641D2" w:rsidRPr="00FA3F9C" w:rsidRDefault="002641D2" w:rsidP="002641D2">
            <w:pPr>
              <w:numPr>
                <w:ilvl w:val="0"/>
                <w:numId w:val="207"/>
              </w:numPr>
              <w:spacing w:after="0" w:line="240" w:lineRule="auto"/>
              <w:rPr>
                <w:rFonts w:ascii="Arial" w:hAnsi="Arial" w:cs="Arial"/>
                <w:sz w:val="24"/>
                <w:szCs w:val="24"/>
              </w:rPr>
            </w:pPr>
            <w:r w:rsidRPr="00FA3F9C">
              <w:rPr>
                <w:rFonts w:ascii="Arial" w:hAnsi="Arial" w:cs="Arial"/>
                <w:sz w:val="24"/>
                <w:szCs w:val="24"/>
              </w:rPr>
              <w:t>s/p heart transplant to prevent rejection:  dose is 0.75 to 1.5mg twice daily, then dosed based on serum concentrations,  in combo with cyclosporine and prednisone.</w:t>
            </w:r>
          </w:p>
          <w:p w14:paraId="6CC24832" w14:textId="77777777" w:rsidR="002641D2" w:rsidRPr="00FA3F9C" w:rsidRDefault="002641D2" w:rsidP="002641D2">
            <w:pPr>
              <w:numPr>
                <w:ilvl w:val="0"/>
                <w:numId w:val="207"/>
              </w:numPr>
              <w:spacing w:after="0" w:line="240" w:lineRule="auto"/>
              <w:rPr>
                <w:rFonts w:ascii="Arial" w:hAnsi="Arial" w:cs="Arial"/>
                <w:sz w:val="24"/>
                <w:szCs w:val="24"/>
              </w:rPr>
            </w:pPr>
            <w:r w:rsidRPr="00FA3F9C">
              <w:rPr>
                <w:rFonts w:ascii="Arial" w:hAnsi="Arial" w:cs="Arial"/>
                <w:sz w:val="24"/>
                <w:szCs w:val="24"/>
              </w:rPr>
              <w:t>s/p liver transplant to prevent rejection:  1mg bid, then adjustments to target 3-8 ng/</w:t>
            </w:r>
            <w:proofErr w:type="spellStart"/>
            <w:r w:rsidRPr="00FA3F9C">
              <w:rPr>
                <w:rFonts w:ascii="Arial" w:hAnsi="Arial" w:cs="Arial"/>
                <w:sz w:val="24"/>
                <w:szCs w:val="24"/>
              </w:rPr>
              <w:t>mL.</w:t>
            </w:r>
            <w:proofErr w:type="spellEnd"/>
          </w:p>
        </w:tc>
      </w:tr>
      <w:tr w:rsidR="002641D2" w:rsidRPr="00FA3F9C" w14:paraId="3C571345" w14:textId="77777777" w:rsidTr="00236128">
        <w:trPr>
          <w:trHeight w:val="220"/>
        </w:trPr>
        <w:tc>
          <w:tcPr>
            <w:tcW w:w="10890" w:type="dxa"/>
            <w:tcBorders>
              <w:top w:val="single" w:sz="4" w:space="0" w:color="auto"/>
              <w:left w:val="single" w:sz="4" w:space="0" w:color="auto"/>
              <w:bottom w:val="single" w:sz="4" w:space="0" w:color="auto"/>
              <w:right w:val="single" w:sz="4" w:space="0" w:color="auto"/>
            </w:tcBorders>
          </w:tcPr>
          <w:p w14:paraId="050217C8" w14:textId="77777777" w:rsidR="002641D2" w:rsidRPr="00FA3F9C" w:rsidRDefault="002641D2" w:rsidP="0001270A">
            <w:pPr>
              <w:rPr>
                <w:rFonts w:ascii="Arial" w:hAnsi="Arial" w:cs="Arial"/>
                <w:sz w:val="24"/>
                <w:szCs w:val="24"/>
              </w:rPr>
            </w:pPr>
            <w:r w:rsidRPr="00FA3F9C">
              <w:rPr>
                <w:rFonts w:ascii="Arial" w:hAnsi="Arial" w:cs="Arial"/>
                <w:sz w:val="24"/>
                <w:szCs w:val="24"/>
              </w:rPr>
              <w:t xml:space="preserve">QL of 120units/30d.  </w:t>
            </w:r>
            <w:proofErr w:type="spellStart"/>
            <w:r w:rsidRPr="00FA3F9C">
              <w:rPr>
                <w:rFonts w:ascii="Arial" w:hAnsi="Arial" w:cs="Arial"/>
                <w:sz w:val="24"/>
                <w:szCs w:val="24"/>
              </w:rPr>
              <w:t>Zortress</w:t>
            </w:r>
            <w:proofErr w:type="spellEnd"/>
            <w:r w:rsidRPr="00FA3F9C">
              <w:rPr>
                <w:rFonts w:ascii="Arial" w:hAnsi="Arial" w:cs="Arial"/>
                <w:sz w:val="24"/>
                <w:szCs w:val="24"/>
              </w:rPr>
              <w:t xml:space="preserve"> available in 0.25mg, 0.5mg, 0.75mg.</w:t>
            </w:r>
          </w:p>
        </w:tc>
      </w:tr>
    </w:tbl>
    <w:p w14:paraId="738B2012" w14:textId="77777777" w:rsidR="002641D2" w:rsidRPr="00FA3F9C" w:rsidRDefault="002641D2" w:rsidP="00E4013F">
      <w:pPr>
        <w:jc w:val="center"/>
        <w:rPr>
          <w:rFonts w:ascii="Arial" w:hAnsi="Arial" w:cs="Arial"/>
          <w:b/>
          <w:sz w:val="24"/>
          <w:szCs w:val="24"/>
        </w:rPr>
      </w:pPr>
    </w:p>
    <w:p w14:paraId="3B5A42DB" w14:textId="77777777" w:rsidR="002641D2" w:rsidRPr="00FA3F9C" w:rsidRDefault="002641D2" w:rsidP="00E4013F">
      <w:pPr>
        <w:jc w:val="center"/>
        <w:rPr>
          <w:rFonts w:ascii="Arial" w:hAnsi="Arial" w:cs="Arial"/>
          <w:b/>
          <w:sz w:val="24"/>
          <w:szCs w:val="24"/>
        </w:rPr>
      </w:pPr>
    </w:p>
    <w:p w14:paraId="10C3B031" w14:textId="77777777" w:rsidR="002641D2" w:rsidRPr="00FA3F9C" w:rsidRDefault="002641D2" w:rsidP="00236128">
      <w:pPr>
        <w:ind w:left="-1080"/>
        <w:rPr>
          <w:rFonts w:ascii="Arial" w:hAnsi="Arial" w:cs="Arial"/>
          <w:sz w:val="24"/>
          <w:szCs w:val="24"/>
        </w:rPr>
      </w:pPr>
      <w:r w:rsidRPr="00FA3F9C">
        <w:rPr>
          <w:rFonts w:ascii="Arial" w:hAnsi="Arial" w:cs="Arial"/>
          <w:sz w:val="24"/>
          <w:szCs w:val="24"/>
        </w:rPr>
        <w:lastRenderedPageBreak/>
        <w:t>References:</w:t>
      </w:r>
    </w:p>
    <w:p w14:paraId="3E4AF91B" w14:textId="77777777" w:rsidR="002641D2" w:rsidRPr="00FA3F9C" w:rsidRDefault="002641D2" w:rsidP="00236128">
      <w:pPr>
        <w:ind w:left="-1080"/>
        <w:rPr>
          <w:rFonts w:ascii="Arial" w:hAnsi="Arial" w:cs="Arial"/>
          <w:sz w:val="24"/>
          <w:szCs w:val="24"/>
        </w:rPr>
      </w:pPr>
      <w:r w:rsidRPr="00FA3F9C">
        <w:rPr>
          <w:rFonts w:ascii="Arial" w:hAnsi="Arial" w:cs="Arial"/>
          <w:sz w:val="24"/>
          <w:szCs w:val="24"/>
        </w:rPr>
        <w:t xml:space="preserve">1.  Lexicomp:  </w:t>
      </w:r>
      <w:proofErr w:type="spellStart"/>
      <w:r w:rsidRPr="00FA3F9C">
        <w:rPr>
          <w:rFonts w:ascii="Arial" w:hAnsi="Arial" w:cs="Arial"/>
          <w:sz w:val="24"/>
          <w:szCs w:val="24"/>
        </w:rPr>
        <w:t>everolimus</w:t>
      </w:r>
      <w:proofErr w:type="spellEnd"/>
      <w:r w:rsidRPr="00FA3F9C">
        <w:rPr>
          <w:rFonts w:ascii="Arial" w:hAnsi="Arial" w:cs="Arial"/>
          <w:sz w:val="24"/>
          <w:szCs w:val="24"/>
        </w:rPr>
        <w:t>.  Accessed 5/11/12.</w:t>
      </w:r>
    </w:p>
    <w:p w14:paraId="5D434837" w14:textId="77777777" w:rsidR="002641D2" w:rsidRPr="00FA3F9C" w:rsidRDefault="002641D2" w:rsidP="00236128">
      <w:pPr>
        <w:ind w:left="-1080"/>
        <w:rPr>
          <w:rFonts w:ascii="Arial" w:hAnsi="Arial" w:cs="Arial"/>
          <w:sz w:val="24"/>
          <w:szCs w:val="24"/>
        </w:rPr>
      </w:pPr>
      <w:r w:rsidRPr="00FA3F9C">
        <w:rPr>
          <w:rFonts w:ascii="Arial" w:hAnsi="Arial" w:cs="Arial"/>
          <w:sz w:val="24"/>
          <w:szCs w:val="24"/>
        </w:rPr>
        <w:t xml:space="preserve">2.  </w:t>
      </w:r>
      <w:proofErr w:type="spellStart"/>
      <w:r w:rsidRPr="00FA3F9C">
        <w:rPr>
          <w:rFonts w:ascii="Arial" w:hAnsi="Arial" w:cs="Arial"/>
          <w:sz w:val="24"/>
          <w:szCs w:val="24"/>
        </w:rPr>
        <w:t>Campistol</w:t>
      </w:r>
      <w:proofErr w:type="spellEnd"/>
      <w:r w:rsidRPr="00FA3F9C">
        <w:rPr>
          <w:rFonts w:ascii="Arial" w:hAnsi="Arial" w:cs="Arial"/>
          <w:sz w:val="24"/>
          <w:szCs w:val="24"/>
        </w:rPr>
        <w:t xml:space="preserve"> JM, et al.  </w:t>
      </w:r>
      <w:proofErr w:type="spellStart"/>
      <w:r w:rsidRPr="00FA3F9C">
        <w:rPr>
          <w:rFonts w:ascii="Arial" w:hAnsi="Arial" w:cs="Arial"/>
          <w:sz w:val="24"/>
          <w:szCs w:val="24"/>
        </w:rPr>
        <w:t>Everolimus</w:t>
      </w:r>
      <w:proofErr w:type="spellEnd"/>
      <w:r w:rsidRPr="00FA3F9C">
        <w:rPr>
          <w:rFonts w:ascii="Arial" w:hAnsi="Arial" w:cs="Arial"/>
          <w:sz w:val="24"/>
          <w:szCs w:val="24"/>
        </w:rPr>
        <w:t xml:space="preserve"> and long-term outcomes in renal transplant.  </w:t>
      </w:r>
      <w:r w:rsidRPr="00FA3F9C">
        <w:rPr>
          <w:rFonts w:ascii="Arial" w:hAnsi="Arial" w:cs="Arial"/>
          <w:i/>
          <w:iCs/>
          <w:sz w:val="24"/>
          <w:szCs w:val="24"/>
        </w:rPr>
        <w:t xml:space="preserve">Transplantation. </w:t>
      </w:r>
      <w:r w:rsidRPr="00FA3F9C">
        <w:rPr>
          <w:rFonts w:ascii="Arial" w:hAnsi="Arial" w:cs="Arial"/>
          <w:iCs/>
          <w:sz w:val="24"/>
          <w:szCs w:val="24"/>
        </w:rPr>
        <w:t>2011</w:t>
      </w:r>
      <w:r w:rsidRPr="00FA3F9C">
        <w:rPr>
          <w:rFonts w:ascii="Arial" w:hAnsi="Arial" w:cs="Arial"/>
          <w:i/>
          <w:iCs/>
          <w:sz w:val="24"/>
          <w:szCs w:val="24"/>
        </w:rPr>
        <w:t>;</w:t>
      </w:r>
      <w:r w:rsidRPr="00FA3F9C">
        <w:rPr>
          <w:rFonts w:ascii="Arial" w:hAnsi="Arial" w:cs="Arial"/>
          <w:sz w:val="24"/>
          <w:szCs w:val="24"/>
        </w:rPr>
        <w:t xml:space="preserve"> 92:S3-s26.</w:t>
      </w:r>
    </w:p>
    <w:p w14:paraId="793643CA" w14:textId="77777777" w:rsidR="002641D2" w:rsidRPr="00FA3F9C" w:rsidRDefault="002641D2" w:rsidP="00236128">
      <w:pPr>
        <w:autoSpaceDE w:val="0"/>
        <w:autoSpaceDN w:val="0"/>
        <w:adjustRightInd w:val="0"/>
        <w:ind w:left="-1080"/>
        <w:rPr>
          <w:rFonts w:ascii="Arial" w:hAnsi="Arial" w:cs="Arial"/>
          <w:sz w:val="24"/>
          <w:szCs w:val="24"/>
        </w:rPr>
      </w:pPr>
      <w:r w:rsidRPr="00FA3F9C">
        <w:rPr>
          <w:rFonts w:ascii="Arial" w:hAnsi="Arial" w:cs="Arial"/>
          <w:sz w:val="24"/>
          <w:szCs w:val="24"/>
        </w:rPr>
        <w:t xml:space="preserve">3.  </w:t>
      </w:r>
      <w:proofErr w:type="spellStart"/>
      <w:r w:rsidRPr="00FA3F9C">
        <w:rPr>
          <w:rFonts w:ascii="Arial" w:hAnsi="Arial" w:cs="Arial"/>
          <w:sz w:val="24"/>
          <w:szCs w:val="24"/>
        </w:rPr>
        <w:t>Fullestad</w:t>
      </w:r>
      <w:proofErr w:type="spellEnd"/>
      <w:r w:rsidRPr="00FA3F9C">
        <w:rPr>
          <w:rFonts w:ascii="Arial" w:hAnsi="Arial" w:cs="Arial"/>
          <w:sz w:val="24"/>
          <w:szCs w:val="24"/>
        </w:rPr>
        <w:t xml:space="preserve"> L, et al.  Two-Year Outcomes in Thoracic Transplant Recipients After Conversion to </w:t>
      </w:r>
      <w:proofErr w:type="spellStart"/>
      <w:r w:rsidRPr="00FA3F9C">
        <w:rPr>
          <w:rFonts w:ascii="Arial" w:hAnsi="Arial" w:cs="Arial"/>
          <w:sz w:val="24"/>
          <w:szCs w:val="24"/>
        </w:rPr>
        <w:t>Everolimus</w:t>
      </w:r>
      <w:proofErr w:type="spellEnd"/>
      <w:r w:rsidRPr="00FA3F9C">
        <w:rPr>
          <w:rFonts w:ascii="Arial" w:hAnsi="Arial" w:cs="Arial"/>
          <w:sz w:val="24"/>
          <w:szCs w:val="24"/>
        </w:rPr>
        <w:t xml:space="preserve"> </w:t>
      </w:r>
      <w:proofErr w:type="gramStart"/>
      <w:r w:rsidRPr="00FA3F9C">
        <w:rPr>
          <w:rFonts w:ascii="Arial" w:hAnsi="Arial" w:cs="Arial"/>
          <w:sz w:val="24"/>
          <w:szCs w:val="24"/>
        </w:rPr>
        <w:t>With</w:t>
      </w:r>
      <w:proofErr w:type="gramEnd"/>
      <w:r w:rsidRPr="00FA3F9C">
        <w:rPr>
          <w:rFonts w:ascii="Arial" w:hAnsi="Arial" w:cs="Arial"/>
          <w:sz w:val="24"/>
          <w:szCs w:val="24"/>
        </w:rPr>
        <w:t xml:space="preserve"> Reduced Calcineurin Inhibitor Within a Multicenter,</w:t>
      </w:r>
    </w:p>
    <w:p w14:paraId="31D3861C" w14:textId="77777777" w:rsidR="002641D2" w:rsidRPr="00FA3F9C" w:rsidRDefault="002641D2" w:rsidP="00236128">
      <w:pPr>
        <w:ind w:left="-1080"/>
        <w:rPr>
          <w:rFonts w:ascii="Arial" w:hAnsi="Arial" w:cs="Arial"/>
          <w:sz w:val="24"/>
          <w:szCs w:val="24"/>
        </w:rPr>
      </w:pPr>
      <w:r w:rsidRPr="00FA3F9C">
        <w:rPr>
          <w:rFonts w:ascii="Arial" w:hAnsi="Arial" w:cs="Arial"/>
          <w:sz w:val="24"/>
          <w:szCs w:val="24"/>
        </w:rPr>
        <w:t xml:space="preserve">Open-Label, Randomized Trial. </w:t>
      </w:r>
      <w:r w:rsidRPr="00FA3F9C">
        <w:rPr>
          <w:rFonts w:ascii="Arial" w:hAnsi="Arial" w:cs="Arial"/>
          <w:i/>
          <w:iCs/>
          <w:sz w:val="24"/>
          <w:szCs w:val="24"/>
        </w:rPr>
        <w:t>Transplantation</w:t>
      </w:r>
      <w:r w:rsidRPr="00FA3F9C">
        <w:rPr>
          <w:rFonts w:ascii="Arial" w:hAnsi="Arial" w:cs="Arial"/>
          <w:iCs/>
          <w:sz w:val="24"/>
          <w:szCs w:val="24"/>
        </w:rPr>
        <w:t>.</w:t>
      </w:r>
      <w:r w:rsidRPr="00FA3F9C">
        <w:rPr>
          <w:rFonts w:ascii="Arial" w:hAnsi="Arial" w:cs="Arial"/>
          <w:sz w:val="24"/>
          <w:szCs w:val="24"/>
        </w:rPr>
        <w:t>2010;90:1581–1589.</w:t>
      </w:r>
    </w:p>
    <w:p w14:paraId="1ACC9F0A" w14:textId="77777777" w:rsidR="002641D2" w:rsidRPr="00FA3F9C" w:rsidRDefault="002641D2" w:rsidP="00236128">
      <w:pPr>
        <w:ind w:left="-1080"/>
        <w:rPr>
          <w:rFonts w:ascii="Arial" w:hAnsi="Arial" w:cs="Arial"/>
          <w:sz w:val="24"/>
          <w:szCs w:val="24"/>
        </w:rPr>
      </w:pPr>
      <w:r w:rsidRPr="00FA3F9C">
        <w:rPr>
          <w:rFonts w:ascii="Arial" w:hAnsi="Arial" w:cs="Arial"/>
          <w:sz w:val="24"/>
          <w:szCs w:val="24"/>
        </w:rPr>
        <w:t xml:space="preserve">4.  </w:t>
      </w:r>
      <w:proofErr w:type="spellStart"/>
      <w:r w:rsidRPr="00FA3F9C">
        <w:rPr>
          <w:rFonts w:ascii="Arial" w:hAnsi="Arial" w:cs="Arial"/>
          <w:sz w:val="24"/>
          <w:szCs w:val="24"/>
        </w:rPr>
        <w:t>Saliba</w:t>
      </w:r>
      <w:proofErr w:type="spellEnd"/>
      <w:r w:rsidRPr="00FA3F9C">
        <w:rPr>
          <w:rFonts w:ascii="Arial" w:hAnsi="Arial" w:cs="Arial"/>
          <w:sz w:val="24"/>
          <w:szCs w:val="24"/>
        </w:rPr>
        <w:t xml:space="preserve"> F, De Simone P, et al.  Renal function at two years in liver transplant patients receiving </w:t>
      </w:r>
      <w:proofErr w:type="spellStart"/>
      <w:r w:rsidRPr="00FA3F9C">
        <w:rPr>
          <w:rFonts w:ascii="Arial" w:hAnsi="Arial" w:cs="Arial"/>
          <w:sz w:val="24"/>
          <w:szCs w:val="24"/>
        </w:rPr>
        <w:t>everolimus</w:t>
      </w:r>
      <w:proofErr w:type="spellEnd"/>
      <w:r w:rsidRPr="00FA3F9C">
        <w:rPr>
          <w:rFonts w:ascii="Arial" w:hAnsi="Arial" w:cs="Arial"/>
          <w:sz w:val="24"/>
          <w:szCs w:val="24"/>
        </w:rPr>
        <w:t>:  results of a randomized, multicenter study.  Am J Transplantation. 2013;13:1734-45.</w:t>
      </w:r>
    </w:p>
    <w:p w14:paraId="36FE0552" w14:textId="77777777" w:rsidR="002641D2" w:rsidRPr="00FA3F9C" w:rsidRDefault="002641D2" w:rsidP="00E4013F">
      <w:pPr>
        <w:rPr>
          <w:rFonts w:ascii="Arial" w:hAnsi="Arial" w:cs="Arial"/>
          <w:sz w:val="24"/>
          <w:szCs w:val="24"/>
        </w:rPr>
      </w:pPr>
    </w:p>
    <w:p w14:paraId="4A1EE797" w14:textId="77777777" w:rsidR="002641D2" w:rsidRPr="00FA3F9C" w:rsidRDefault="002641D2" w:rsidP="00E4013F">
      <w:pPr>
        <w:rPr>
          <w:rFonts w:ascii="Arial" w:hAnsi="Arial" w:cs="Arial"/>
          <w:sz w:val="24"/>
          <w:szCs w:val="24"/>
        </w:rPr>
      </w:pPr>
      <w:r w:rsidRPr="00FA3F9C">
        <w:rPr>
          <w:rFonts w:ascii="Arial" w:hAnsi="Arial" w:cs="Arial"/>
          <w:sz w:val="24"/>
          <w:szCs w:val="24"/>
        </w:rPr>
        <w:t>Revision history:</w:t>
      </w:r>
    </w:p>
    <w:tbl>
      <w:tblPr>
        <w:tblW w:w="1080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7427"/>
        <w:gridCol w:w="1955"/>
      </w:tblGrid>
      <w:tr w:rsidR="002641D2" w:rsidRPr="00FA3F9C" w14:paraId="13546AF0" w14:textId="77777777" w:rsidTr="00236128">
        <w:tc>
          <w:tcPr>
            <w:tcW w:w="990" w:type="dxa"/>
          </w:tcPr>
          <w:p w14:paraId="1EA76CAA" w14:textId="77777777" w:rsidR="002641D2" w:rsidRPr="00FA3F9C" w:rsidRDefault="002641D2" w:rsidP="00E4013F">
            <w:pPr>
              <w:rPr>
                <w:rFonts w:ascii="Arial" w:hAnsi="Arial" w:cs="Arial"/>
                <w:sz w:val="24"/>
                <w:szCs w:val="24"/>
              </w:rPr>
            </w:pPr>
            <w:r w:rsidRPr="00FA3F9C">
              <w:rPr>
                <w:rFonts w:ascii="Arial" w:hAnsi="Arial" w:cs="Arial"/>
                <w:sz w:val="24"/>
                <w:szCs w:val="24"/>
              </w:rPr>
              <w:t>Date</w:t>
            </w:r>
          </w:p>
        </w:tc>
        <w:tc>
          <w:tcPr>
            <w:tcW w:w="7830" w:type="dxa"/>
          </w:tcPr>
          <w:p w14:paraId="18008350" w14:textId="77777777" w:rsidR="002641D2" w:rsidRPr="00FA3F9C" w:rsidRDefault="002641D2" w:rsidP="00E4013F">
            <w:pPr>
              <w:rPr>
                <w:rFonts w:ascii="Arial" w:hAnsi="Arial" w:cs="Arial"/>
                <w:sz w:val="24"/>
                <w:szCs w:val="24"/>
              </w:rPr>
            </w:pPr>
            <w:r w:rsidRPr="00FA3F9C">
              <w:rPr>
                <w:rFonts w:ascii="Arial" w:hAnsi="Arial" w:cs="Arial"/>
                <w:sz w:val="24"/>
                <w:szCs w:val="24"/>
              </w:rPr>
              <w:t>What changed?</w:t>
            </w:r>
          </w:p>
        </w:tc>
        <w:tc>
          <w:tcPr>
            <w:tcW w:w="1980" w:type="dxa"/>
          </w:tcPr>
          <w:p w14:paraId="66BA4776" w14:textId="77777777" w:rsidR="002641D2" w:rsidRPr="00FA3F9C" w:rsidRDefault="002641D2" w:rsidP="00E4013F">
            <w:pPr>
              <w:rPr>
                <w:rFonts w:ascii="Arial" w:hAnsi="Arial" w:cs="Arial"/>
                <w:sz w:val="24"/>
                <w:szCs w:val="24"/>
              </w:rPr>
            </w:pPr>
            <w:r w:rsidRPr="00FA3F9C">
              <w:rPr>
                <w:rFonts w:ascii="Arial" w:hAnsi="Arial" w:cs="Arial"/>
                <w:sz w:val="24"/>
                <w:szCs w:val="24"/>
              </w:rPr>
              <w:t>Pharmacist’s initials</w:t>
            </w:r>
          </w:p>
        </w:tc>
      </w:tr>
      <w:tr w:rsidR="002641D2" w:rsidRPr="00FA3F9C" w14:paraId="25BF44DC" w14:textId="77777777" w:rsidTr="00236128">
        <w:tc>
          <w:tcPr>
            <w:tcW w:w="990" w:type="dxa"/>
          </w:tcPr>
          <w:p w14:paraId="28973056" w14:textId="77777777" w:rsidR="002641D2" w:rsidRPr="00FA3F9C" w:rsidRDefault="002641D2" w:rsidP="00E4013F">
            <w:pPr>
              <w:rPr>
                <w:rFonts w:ascii="Arial" w:hAnsi="Arial" w:cs="Arial"/>
                <w:sz w:val="24"/>
                <w:szCs w:val="24"/>
              </w:rPr>
            </w:pPr>
            <w:r w:rsidRPr="00FA3F9C">
              <w:rPr>
                <w:rFonts w:ascii="Arial" w:hAnsi="Arial" w:cs="Arial"/>
                <w:sz w:val="24"/>
                <w:szCs w:val="24"/>
              </w:rPr>
              <w:t>8/2010</w:t>
            </w:r>
          </w:p>
        </w:tc>
        <w:tc>
          <w:tcPr>
            <w:tcW w:w="7830" w:type="dxa"/>
          </w:tcPr>
          <w:p w14:paraId="4B262118" w14:textId="77777777" w:rsidR="002641D2" w:rsidRPr="00FA3F9C" w:rsidRDefault="002641D2" w:rsidP="00E4013F">
            <w:pPr>
              <w:rPr>
                <w:rFonts w:ascii="Arial" w:hAnsi="Arial" w:cs="Arial"/>
                <w:sz w:val="24"/>
                <w:szCs w:val="24"/>
              </w:rPr>
            </w:pPr>
            <w:r w:rsidRPr="00FA3F9C">
              <w:rPr>
                <w:rFonts w:ascii="Arial" w:hAnsi="Arial" w:cs="Arial"/>
                <w:sz w:val="24"/>
                <w:szCs w:val="24"/>
              </w:rPr>
              <w:t>Criteria created.</w:t>
            </w:r>
          </w:p>
        </w:tc>
        <w:tc>
          <w:tcPr>
            <w:tcW w:w="1980" w:type="dxa"/>
          </w:tcPr>
          <w:p w14:paraId="10D064FF" w14:textId="724133CD" w:rsidR="002641D2" w:rsidRPr="00FA3F9C" w:rsidRDefault="005C142D" w:rsidP="00E4013F">
            <w:pPr>
              <w:rPr>
                <w:rFonts w:ascii="Arial" w:hAnsi="Arial" w:cs="Arial"/>
                <w:sz w:val="24"/>
                <w:szCs w:val="24"/>
              </w:rPr>
            </w:pPr>
            <w:r w:rsidRPr="00FA3F9C">
              <w:rPr>
                <w:rFonts w:ascii="Arial" w:hAnsi="Arial" w:cs="Arial"/>
                <w:sz w:val="24"/>
                <w:szCs w:val="24"/>
              </w:rPr>
              <w:t>JJ</w:t>
            </w:r>
          </w:p>
        </w:tc>
      </w:tr>
      <w:tr w:rsidR="002641D2" w:rsidRPr="00FA3F9C" w14:paraId="421F6695" w14:textId="77777777" w:rsidTr="00236128">
        <w:tc>
          <w:tcPr>
            <w:tcW w:w="990" w:type="dxa"/>
          </w:tcPr>
          <w:p w14:paraId="35C16492" w14:textId="77777777" w:rsidR="002641D2" w:rsidRPr="00FA3F9C" w:rsidRDefault="002641D2" w:rsidP="00E4013F">
            <w:pPr>
              <w:rPr>
                <w:rFonts w:ascii="Arial" w:hAnsi="Arial" w:cs="Arial"/>
                <w:sz w:val="24"/>
                <w:szCs w:val="24"/>
              </w:rPr>
            </w:pPr>
            <w:r w:rsidRPr="00FA3F9C">
              <w:rPr>
                <w:rFonts w:ascii="Arial" w:hAnsi="Arial" w:cs="Arial"/>
                <w:sz w:val="24"/>
                <w:szCs w:val="24"/>
              </w:rPr>
              <w:t>5/11/12</w:t>
            </w:r>
          </w:p>
        </w:tc>
        <w:tc>
          <w:tcPr>
            <w:tcW w:w="7830" w:type="dxa"/>
          </w:tcPr>
          <w:p w14:paraId="573BF4CD" w14:textId="77777777" w:rsidR="002641D2" w:rsidRPr="00FA3F9C" w:rsidRDefault="002641D2" w:rsidP="00294706">
            <w:pPr>
              <w:rPr>
                <w:rFonts w:ascii="Arial" w:hAnsi="Arial" w:cs="Arial"/>
                <w:sz w:val="24"/>
                <w:szCs w:val="24"/>
              </w:rPr>
            </w:pPr>
            <w:r w:rsidRPr="00FA3F9C">
              <w:rPr>
                <w:rFonts w:ascii="Arial" w:hAnsi="Arial" w:cs="Arial"/>
                <w:sz w:val="24"/>
                <w:szCs w:val="24"/>
              </w:rPr>
              <w:t xml:space="preserve">Dosing </w:t>
            </w:r>
            <w:proofErr w:type="gramStart"/>
            <w:r w:rsidRPr="00FA3F9C">
              <w:rPr>
                <w:rFonts w:ascii="Arial" w:hAnsi="Arial" w:cs="Arial"/>
                <w:sz w:val="24"/>
                <w:szCs w:val="24"/>
              </w:rPr>
              <w:t>reference;</w:t>
            </w:r>
            <w:proofErr w:type="gramEnd"/>
            <w:r w:rsidRPr="00FA3F9C">
              <w:rPr>
                <w:rFonts w:ascii="Arial" w:hAnsi="Arial" w:cs="Arial"/>
                <w:sz w:val="24"/>
                <w:szCs w:val="24"/>
              </w:rPr>
              <w:t xml:space="preserve"> revision history table added.</w:t>
            </w:r>
          </w:p>
        </w:tc>
        <w:tc>
          <w:tcPr>
            <w:tcW w:w="1980" w:type="dxa"/>
          </w:tcPr>
          <w:p w14:paraId="322B4C6B" w14:textId="77777777" w:rsidR="002641D2" w:rsidRPr="00FA3F9C" w:rsidRDefault="002641D2" w:rsidP="00E4013F">
            <w:pPr>
              <w:rPr>
                <w:rFonts w:ascii="Arial" w:hAnsi="Arial" w:cs="Arial"/>
                <w:sz w:val="24"/>
                <w:szCs w:val="24"/>
              </w:rPr>
            </w:pPr>
            <w:r w:rsidRPr="00FA3F9C">
              <w:rPr>
                <w:rFonts w:ascii="Arial" w:hAnsi="Arial" w:cs="Arial"/>
                <w:sz w:val="24"/>
                <w:szCs w:val="24"/>
              </w:rPr>
              <w:t>JJ</w:t>
            </w:r>
          </w:p>
        </w:tc>
      </w:tr>
      <w:tr w:rsidR="002641D2" w:rsidRPr="00FA3F9C" w14:paraId="33771678" w14:textId="77777777" w:rsidTr="00236128">
        <w:tc>
          <w:tcPr>
            <w:tcW w:w="990" w:type="dxa"/>
          </w:tcPr>
          <w:p w14:paraId="49AF476F" w14:textId="77777777" w:rsidR="002641D2" w:rsidRPr="00FA3F9C" w:rsidRDefault="002641D2" w:rsidP="00E4013F">
            <w:pPr>
              <w:rPr>
                <w:rFonts w:ascii="Arial" w:hAnsi="Arial" w:cs="Arial"/>
                <w:sz w:val="24"/>
                <w:szCs w:val="24"/>
              </w:rPr>
            </w:pPr>
            <w:r w:rsidRPr="00FA3F9C">
              <w:rPr>
                <w:rFonts w:ascii="Arial" w:hAnsi="Arial" w:cs="Arial"/>
                <w:sz w:val="24"/>
                <w:szCs w:val="24"/>
              </w:rPr>
              <w:t>5/14/12</w:t>
            </w:r>
          </w:p>
        </w:tc>
        <w:tc>
          <w:tcPr>
            <w:tcW w:w="7830" w:type="dxa"/>
          </w:tcPr>
          <w:p w14:paraId="645436FA" w14:textId="77777777" w:rsidR="002641D2" w:rsidRPr="00FA3F9C" w:rsidRDefault="002641D2" w:rsidP="00E4013F">
            <w:pPr>
              <w:rPr>
                <w:rFonts w:ascii="Arial" w:hAnsi="Arial" w:cs="Arial"/>
                <w:sz w:val="24"/>
                <w:szCs w:val="24"/>
              </w:rPr>
            </w:pPr>
            <w:r w:rsidRPr="00FA3F9C">
              <w:rPr>
                <w:rFonts w:ascii="Arial" w:hAnsi="Arial" w:cs="Arial"/>
                <w:sz w:val="24"/>
                <w:szCs w:val="24"/>
              </w:rPr>
              <w:t>review article added and heart transplant reference added</w:t>
            </w:r>
          </w:p>
        </w:tc>
        <w:tc>
          <w:tcPr>
            <w:tcW w:w="1980" w:type="dxa"/>
          </w:tcPr>
          <w:p w14:paraId="0DCE03DE" w14:textId="77777777" w:rsidR="002641D2" w:rsidRPr="00FA3F9C" w:rsidRDefault="002641D2" w:rsidP="00E4013F">
            <w:pPr>
              <w:rPr>
                <w:rFonts w:ascii="Arial" w:hAnsi="Arial" w:cs="Arial"/>
                <w:sz w:val="24"/>
                <w:szCs w:val="24"/>
              </w:rPr>
            </w:pPr>
            <w:r w:rsidRPr="00FA3F9C">
              <w:rPr>
                <w:rFonts w:ascii="Arial" w:hAnsi="Arial" w:cs="Arial"/>
                <w:sz w:val="24"/>
                <w:szCs w:val="24"/>
              </w:rPr>
              <w:t>JJ</w:t>
            </w:r>
          </w:p>
        </w:tc>
      </w:tr>
      <w:tr w:rsidR="002641D2" w:rsidRPr="00FA3F9C" w14:paraId="0932D9DC" w14:textId="77777777" w:rsidTr="00236128">
        <w:tc>
          <w:tcPr>
            <w:tcW w:w="990" w:type="dxa"/>
          </w:tcPr>
          <w:p w14:paraId="7AA5C39F" w14:textId="77777777" w:rsidR="002641D2" w:rsidRPr="00FA3F9C" w:rsidRDefault="002641D2" w:rsidP="00E4013F">
            <w:pPr>
              <w:rPr>
                <w:rFonts w:ascii="Arial" w:hAnsi="Arial" w:cs="Arial"/>
                <w:sz w:val="24"/>
                <w:szCs w:val="24"/>
              </w:rPr>
            </w:pPr>
            <w:r w:rsidRPr="00FA3F9C">
              <w:rPr>
                <w:rFonts w:ascii="Arial" w:hAnsi="Arial" w:cs="Arial"/>
                <w:sz w:val="24"/>
                <w:szCs w:val="24"/>
              </w:rPr>
              <w:t>2/26/14</w:t>
            </w:r>
          </w:p>
        </w:tc>
        <w:tc>
          <w:tcPr>
            <w:tcW w:w="7830" w:type="dxa"/>
          </w:tcPr>
          <w:p w14:paraId="444E9649" w14:textId="77777777" w:rsidR="002641D2" w:rsidRPr="00FA3F9C" w:rsidRDefault="002641D2" w:rsidP="00E4013F">
            <w:pPr>
              <w:rPr>
                <w:rFonts w:ascii="Arial" w:hAnsi="Arial" w:cs="Arial"/>
                <w:sz w:val="24"/>
                <w:szCs w:val="24"/>
              </w:rPr>
            </w:pPr>
            <w:r w:rsidRPr="00FA3F9C">
              <w:rPr>
                <w:rFonts w:ascii="Arial" w:hAnsi="Arial" w:cs="Arial"/>
                <w:sz w:val="24"/>
                <w:szCs w:val="24"/>
              </w:rPr>
              <w:t xml:space="preserve">Liver transplant rejection prevention added to criteria.  Reference added.  </w:t>
            </w:r>
            <w:proofErr w:type="spellStart"/>
            <w:r w:rsidRPr="00FA3F9C">
              <w:rPr>
                <w:rFonts w:ascii="Arial" w:hAnsi="Arial" w:cs="Arial"/>
                <w:sz w:val="24"/>
                <w:szCs w:val="24"/>
              </w:rPr>
              <w:t>Everolimus</w:t>
            </w:r>
            <w:proofErr w:type="spellEnd"/>
            <w:r w:rsidRPr="00FA3F9C">
              <w:rPr>
                <w:rFonts w:ascii="Arial" w:hAnsi="Arial" w:cs="Arial"/>
                <w:sz w:val="24"/>
                <w:szCs w:val="24"/>
              </w:rPr>
              <w:t xml:space="preserve"> showed similar efficacy but less worsening of </w:t>
            </w:r>
            <w:proofErr w:type="spellStart"/>
            <w:r w:rsidRPr="00FA3F9C">
              <w:rPr>
                <w:rFonts w:ascii="Arial" w:hAnsi="Arial" w:cs="Arial"/>
                <w:sz w:val="24"/>
                <w:szCs w:val="24"/>
              </w:rPr>
              <w:t>SrCr</w:t>
            </w:r>
            <w:proofErr w:type="spellEnd"/>
            <w:r w:rsidRPr="00FA3F9C">
              <w:rPr>
                <w:rFonts w:ascii="Arial" w:hAnsi="Arial" w:cs="Arial"/>
                <w:sz w:val="24"/>
                <w:szCs w:val="24"/>
              </w:rPr>
              <w:t xml:space="preserve"> than tacrolimus.</w:t>
            </w:r>
          </w:p>
        </w:tc>
        <w:tc>
          <w:tcPr>
            <w:tcW w:w="1980" w:type="dxa"/>
          </w:tcPr>
          <w:p w14:paraId="15E83B2D" w14:textId="77777777" w:rsidR="002641D2" w:rsidRPr="00FA3F9C" w:rsidRDefault="002641D2" w:rsidP="00E4013F">
            <w:pPr>
              <w:rPr>
                <w:rFonts w:ascii="Arial" w:hAnsi="Arial" w:cs="Arial"/>
                <w:sz w:val="24"/>
                <w:szCs w:val="24"/>
              </w:rPr>
            </w:pPr>
            <w:r w:rsidRPr="00FA3F9C">
              <w:rPr>
                <w:rFonts w:ascii="Arial" w:hAnsi="Arial" w:cs="Arial"/>
                <w:sz w:val="24"/>
                <w:szCs w:val="24"/>
              </w:rPr>
              <w:t>JJ</w:t>
            </w:r>
          </w:p>
        </w:tc>
      </w:tr>
      <w:tr w:rsidR="002641D2" w:rsidRPr="00FA3F9C" w14:paraId="7EC482B7" w14:textId="77777777" w:rsidTr="00236128">
        <w:tc>
          <w:tcPr>
            <w:tcW w:w="990" w:type="dxa"/>
          </w:tcPr>
          <w:p w14:paraId="7EDC7C59" w14:textId="77777777" w:rsidR="002641D2" w:rsidRPr="00FA3F9C" w:rsidRDefault="002641D2" w:rsidP="00E4013F">
            <w:pPr>
              <w:rPr>
                <w:rFonts w:ascii="Arial" w:hAnsi="Arial" w:cs="Arial"/>
                <w:sz w:val="24"/>
                <w:szCs w:val="24"/>
              </w:rPr>
            </w:pPr>
            <w:r w:rsidRPr="00FA3F9C">
              <w:rPr>
                <w:rFonts w:ascii="Arial" w:hAnsi="Arial" w:cs="Arial"/>
                <w:sz w:val="24"/>
                <w:szCs w:val="24"/>
              </w:rPr>
              <w:t>12/14/2020</w:t>
            </w:r>
          </w:p>
        </w:tc>
        <w:tc>
          <w:tcPr>
            <w:tcW w:w="7830" w:type="dxa"/>
          </w:tcPr>
          <w:p w14:paraId="6B9B61B5" w14:textId="77777777" w:rsidR="002641D2" w:rsidRPr="00FA3F9C" w:rsidRDefault="002641D2" w:rsidP="00E4013F">
            <w:pPr>
              <w:rPr>
                <w:rFonts w:ascii="Arial" w:hAnsi="Arial" w:cs="Arial"/>
                <w:sz w:val="24"/>
                <w:szCs w:val="24"/>
              </w:rPr>
            </w:pPr>
            <w:r w:rsidRPr="00FA3F9C">
              <w:rPr>
                <w:rFonts w:ascii="Arial" w:hAnsi="Arial" w:cs="Arial"/>
                <w:sz w:val="24"/>
                <w:szCs w:val="24"/>
              </w:rPr>
              <w:t>I reformatted the criteria.  No effective change made.</w:t>
            </w:r>
          </w:p>
        </w:tc>
        <w:tc>
          <w:tcPr>
            <w:tcW w:w="1980" w:type="dxa"/>
          </w:tcPr>
          <w:p w14:paraId="430054DD" w14:textId="77777777" w:rsidR="002641D2" w:rsidRPr="00FA3F9C" w:rsidRDefault="002641D2" w:rsidP="00E4013F">
            <w:pPr>
              <w:rPr>
                <w:rFonts w:ascii="Arial" w:hAnsi="Arial" w:cs="Arial"/>
                <w:sz w:val="24"/>
                <w:szCs w:val="24"/>
              </w:rPr>
            </w:pPr>
            <w:r w:rsidRPr="00FA3F9C">
              <w:rPr>
                <w:rFonts w:ascii="Arial" w:hAnsi="Arial" w:cs="Arial"/>
                <w:sz w:val="24"/>
                <w:szCs w:val="24"/>
              </w:rPr>
              <w:t>JJ</w:t>
            </w:r>
          </w:p>
        </w:tc>
      </w:tr>
      <w:tr w:rsidR="002641D2" w:rsidRPr="00FA3F9C" w14:paraId="64856113" w14:textId="77777777" w:rsidTr="00236128">
        <w:tc>
          <w:tcPr>
            <w:tcW w:w="990" w:type="dxa"/>
          </w:tcPr>
          <w:p w14:paraId="53D79DEA" w14:textId="77777777" w:rsidR="002641D2" w:rsidRPr="00FA3F9C" w:rsidRDefault="002641D2" w:rsidP="00E4013F">
            <w:pPr>
              <w:rPr>
                <w:rFonts w:ascii="Arial" w:hAnsi="Arial" w:cs="Arial"/>
                <w:sz w:val="24"/>
                <w:szCs w:val="24"/>
              </w:rPr>
            </w:pPr>
            <w:r w:rsidRPr="00FA3F9C">
              <w:rPr>
                <w:rFonts w:ascii="Arial" w:hAnsi="Arial" w:cs="Arial"/>
                <w:sz w:val="24"/>
                <w:szCs w:val="24"/>
              </w:rPr>
              <w:t>3/31/21</w:t>
            </w:r>
          </w:p>
        </w:tc>
        <w:tc>
          <w:tcPr>
            <w:tcW w:w="7830" w:type="dxa"/>
          </w:tcPr>
          <w:p w14:paraId="11D20888" w14:textId="77777777" w:rsidR="002641D2" w:rsidRPr="00FA3F9C" w:rsidRDefault="002641D2" w:rsidP="00E4013F">
            <w:pPr>
              <w:rPr>
                <w:rFonts w:ascii="Arial" w:hAnsi="Arial" w:cs="Arial"/>
                <w:sz w:val="24"/>
                <w:szCs w:val="24"/>
              </w:rPr>
            </w:pPr>
            <w:r w:rsidRPr="00FA3F9C">
              <w:rPr>
                <w:rFonts w:ascii="Arial" w:hAnsi="Arial" w:cs="Arial"/>
                <w:sz w:val="24"/>
                <w:szCs w:val="24"/>
              </w:rPr>
              <w:t xml:space="preserve">Applied EBRx criteria to UAS Plan.  They had </w:t>
            </w:r>
            <w:proofErr w:type="spellStart"/>
            <w:r w:rsidRPr="00FA3F9C">
              <w:rPr>
                <w:rFonts w:ascii="Arial" w:hAnsi="Arial" w:cs="Arial"/>
                <w:sz w:val="24"/>
                <w:szCs w:val="24"/>
              </w:rPr>
              <w:t>Afinitor</w:t>
            </w:r>
            <w:proofErr w:type="spellEnd"/>
            <w:r w:rsidRPr="00FA3F9C">
              <w:rPr>
                <w:rFonts w:ascii="Arial" w:hAnsi="Arial" w:cs="Arial"/>
                <w:sz w:val="24"/>
                <w:szCs w:val="24"/>
              </w:rPr>
              <w:t xml:space="preserve"> criteria but not </w:t>
            </w:r>
            <w:proofErr w:type="spellStart"/>
            <w:r w:rsidRPr="00FA3F9C">
              <w:rPr>
                <w:rFonts w:ascii="Arial" w:hAnsi="Arial" w:cs="Arial"/>
                <w:sz w:val="24"/>
                <w:szCs w:val="24"/>
              </w:rPr>
              <w:t>Zortress</w:t>
            </w:r>
            <w:proofErr w:type="spellEnd"/>
            <w:r w:rsidRPr="00FA3F9C">
              <w:rPr>
                <w:rFonts w:ascii="Arial" w:hAnsi="Arial" w:cs="Arial"/>
                <w:sz w:val="24"/>
                <w:szCs w:val="24"/>
              </w:rPr>
              <w:t>.</w:t>
            </w:r>
          </w:p>
        </w:tc>
        <w:tc>
          <w:tcPr>
            <w:tcW w:w="1980" w:type="dxa"/>
          </w:tcPr>
          <w:p w14:paraId="419DF9CF" w14:textId="77777777" w:rsidR="002641D2" w:rsidRPr="00FA3F9C" w:rsidRDefault="002641D2" w:rsidP="00E4013F">
            <w:pPr>
              <w:rPr>
                <w:rFonts w:ascii="Arial" w:hAnsi="Arial" w:cs="Arial"/>
                <w:sz w:val="24"/>
                <w:szCs w:val="24"/>
              </w:rPr>
            </w:pPr>
            <w:r w:rsidRPr="00FA3F9C">
              <w:rPr>
                <w:rFonts w:ascii="Arial" w:hAnsi="Arial" w:cs="Arial"/>
                <w:sz w:val="24"/>
                <w:szCs w:val="24"/>
              </w:rPr>
              <w:t>JJ</w:t>
            </w:r>
          </w:p>
        </w:tc>
      </w:tr>
    </w:tbl>
    <w:p w14:paraId="6BE9FECD" w14:textId="77777777" w:rsidR="002641D2" w:rsidRPr="00FA3F9C" w:rsidRDefault="002641D2">
      <w:pPr>
        <w:rPr>
          <w:rFonts w:ascii="Arial" w:hAnsi="Arial" w:cs="Arial"/>
          <w:sz w:val="24"/>
          <w:szCs w:val="24"/>
        </w:rPr>
      </w:pPr>
    </w:p>
    <w:p w14:paraId="5E3A1178" w14:textId="77777777" w:rsidR="002641D2" w:rsidRPr="00FA3F9C" w:rsidRDefault="002641D2">
      <w:pPr>
        <w:rPr>
          <w:rFonts w:ascii="Arial" w:hAnsi="Arial" w:cs="Arial"/>
          <w:sz w:val="24"/>
          <w:szCs w:val="24"/>
        </w:rPr>
      </w:pPr>
    </w:p>
    <w:p w14:paraId="38910D9C" w14:textId="77777777" w:rsidR="00BE7C2A" w:rsidRDefault="002641D2" w:rsidP="00BE7C2A">
      <w:pPr>
        <w:pStyle w:val="Heading2"/>
        <w:rPr>
          <w:lang w:val="es-ES"/>
        </w:rPr>
      </w:pPr>
      <w:bookmarkStart w:id="116" w:name="_Toc106369799"/>
      <w:proofErr w:type="spellStart"/>
      <w:r w:rsidRPr="00FA3F9C">
        <w:rPr>
          <w:lang w:val="es-ES"/>
        </w:rPr>
        <w:t>Evolocumab</w:t>
      </w:r>
      <w:proofErr w:type="spellEnd"/>
      <w:r w:rsidRPr="00FA3F9C">
        <w:rPr>
          <w:lang w:val="es-ES"/>
        </w:rPr>
        <w:t xml:space="preserve"> (</w:t>
      </w:r>
      <w:proofErr w:type="spellStart"/>
      <w:r w:rsidRPr="00FA3F9C">
        <w:rPr>
          <w:lang w:val="es-ES"/>
        </w:rPr>
        <w:t>Repatha</w:t>
      </w:r>
      <w:proofErr w:type="spellEnd"/>
      <w:r w:rsidRPr="00FA3F9C">
        <w:rPr>
          <w:lang w:val="es-ES"/>
        </w:rPr>
        <w:t>)</w:t>
      </w:r>
      <w:bookmarkEnd w:id="116"/>
      <w:r w:rsidRPr="00FA3F9C">
        <w:rPr>
          <w:lang w:val="es-ES"/>
        </w:rPr>
        <w:t xml:space="preserve"> </w:t>
      </w:r>
    </w:p>
    <w:p w14:paraId="74BD1277" w14:textId="5A1D7EA9" w:rsidR="002641D2" w:rsidRPr="00FA3F9C" w:rsidRDefault="002641D2" w:rsidP="00E00223">
      <w:pPr>
        <w:jc w:val="center"/>
        <w:rPr>
          <w:rFonts w:ascii="Arial" w:hAnsi="Arial" w:cs="Arial"/>
          <w:b/>
          <w:sz w:val="24"/>
          <w:szCs w:val="24"/>
          <w:lang w:val="es-ES"/>
        </w:rPr>
      </w:pPr>
      <w:r w:rsidRPr="00FA3F9C">
        <w:rPr>
          <w:rFonts w:ascii="Arial" w:hAnsi="Arial" w:cs="Arial"/>
          <w:b/>
          <w:sz w:val="24"/>
          <w:szCs w:val="24"/>
          <w:lang w:val="es-ES"/>
        </w:rPr>
        <w:t>140mg/</w:t>
      </w:r>
      <w:proofErr w:type="spellStart"/>
      <w:r w:rsidRPr="00FA3F9C">
        <w:rPr>
          <w:rFonts w:ascii="Arial" w:hAnsi="Arial" w:cs="Arial"/>
          <w:b/>
          <w:sz w:val="24"/>
          <w:szCs w:val="24"/>
          <w:lang w:val="es-ES"/>
        </w:rPr>
        <w:t>mL</w:t>
      </w:r>
      <w:proofErr w:type="spellEnd"/>
      <w:r w:rsidRPr="00FA3F9C">
        <w:rPr>
          <w:rFonts w:ascii="Arial" w:hAnsi="Arial" w:cs="Arial"/>
          <w:b/>
          <w:sz w:val="24"/>
          <w:szCs w:val="24"/>
          <w:lang w:val="es-ES"/>
        </w:rPr>
        <w:t xml:space="preserve"> (1mL)</w:t>
      </w:r>
    </w:p>
    <w:p w14:paraId="147A5253" w14:textId="77777777" w:rsidR="002641D2" w:rsidRPr="00FA3F9C" w:rsidRDefault="002641D2" w:rsidP="00E00223">
      <w:pPr>
        <w:jc w:val="center"/>
        <w:rPr>
          <w:rFonts w:ascii="Arial" w:hAnsi="Arial" w:cs="Arial"/>
          <w:b/>
          <w:sz w:val="24"/>
          <w:szCs w:val="24"/>
        </w:rPr>
      </w:pPr>
      <w:r w:rsidRPr="00FA3F9C">
        <w:rPr>
          <w:rFonts w:ascii="Arial" w:hAnsi="Arial" w:cs="Arial"/>
          <w:b/>
          <w:sz w:val="24"/>
          <w:szCs w:val="24"/>
        </w:rPr>
        <w:t>Autoinjector, solution cartridge, or prefilled syringe</w:t>
      </w:r>
    </w:p>
    <w:p w14:paraId="33B4EDA1" w14:textId="77777777" w:rsidR="002641D2" w:rsidRPr="00FA3F9C" w:rsidRDefault="002641D2" w:rsidP="00CB0D8B">
      <w:pPr>
        <w:rPr>
          <w:rFonts w:ascii="Arial" w:hAnsi="Arial" w:cs="Arial"/>
          <w:sz w:val="24"/>
          <w:szCs w:val="24"/>
        </w:rPr>
      </w:pPr>
      <w:r w:rsidRPr="00FA3F9C">
        <w:rPr>
          <w:rFonts w:ascii="Arial" w:hAnsi="Arial" w:cs="Arial"/>
          <w:sz w:val="24"/>
          <w:szCs w:val="24"/>
        </w:rPr>
        <w:t>FDA-approved for:</w:t>
      </w:r>
    </w:p>
    <w:p w14:paraId="3F0D0B29" w14:textId="77777777" w:rsidR="002641D2" w:rsidRPr="00FA3F9C" w:rsidRDefault="002641D2" w:rsidP="002641D2">
      <w:pPr>
        <w:pStyle w:val="ListParagraph"/>
        <w:numPr>
          <w:ilvl w:val="0"/>
          <w:numId w:val="212"/>
        </w:numPr>
        <w:spacing w:after="0" w:line="240" w:lineRule="auto"/>
        <w:rPr>
          <w:rFonts w:ascii="Arial" w:hAnsi="Arial" w:cs="Arial"/>
          <w:sz w:val="24"/>
          <w:szCs w:val="24"/>
        </w:rPr>
      </w:pPr>
      <w:r w:rsidRPr="00FA3F9C">
        <w:rPr>
          <w:rFonts w:ascii="Arial" w:hAnsi="Arial" w:cs="Arial"/>
          <w:sz w:val="24"/>
          <w:szCs w:val="24"/>
        </w:rPr>
        <w:t>Homozygous familial hypercholesterolemia</w:t>
      </w:r>
    </w:p>
    <w:p w14:paraId="7271FD48" w14:textId="77777777" w:rsidR="002641D2" w:rsidRPr="00FA3F9C" w:rsidRDefault="002641D2" w:rsidP="002641D2">
      <w:pPr>
        <w:pStyle w:val="ListParagraph"/>
        <w:numPr>
          <w:ilvl w:val="0"/>
          <w:numId w:val="212"/>
        </w:numPr>
        <w:spacing w:after="0" w:line="240" w:lineRule="auto"/>
        <w:rPr>
          <w:rFonts w:ascii="Arial" w:hAnsi="Arial" w:cs="Arial"/>
          <w:sz w:val="24"/>
          <w:szCs w:val="24"/>
        </w:rPr>
      </w:pPr>
      <w:r w:rsidRPr="00FA3F9C">
        <w:rPr>
          <w:rFonts w:ascii="Arial" w:hAnsi="Arial" w:cs="Arial"/>
          <w:sz w:val="24"/>
          <w:szCs w:val="24"/>
        </w:rPr>
        <w:t>Hyperlipidemia, primary (including heterozygous familial hyperlipidemia)</w:t>
      </w:r>
    </w:p>
    <w:p w14:paraId="1A0EA7BF" w14:textId="77777777" w:rsidR="002641D2" w:rsidRPr="00FA3F9C" w:rsidRDefault="002641D2" w:rsidP="002641D2">
      <w:pPr>
        <w:pStyle w:val="ListParagraph"/>
        <w:numPr>
          <w:ilvl w:val="0"/>
          <w:numId w:val="212"/>
        </w:numPr>
        <w:spacing w:after="0" w:line="240" w:lineRule="auto"/>
        <w:rPr>
          <w:rFonts w:ascii="Arial" w:hAnsi="Arial" w:cs="Arial"/>
          <w:sz w:val="24"/>
          <w:szCs w:val="24"/>
        </w:rPr>
      </w:pPr>
      <w:r w:rsidRPr="00FA3F9C">
        <w:rPr>
          <w:rFonts w:ascii="Arial" w:hAnsi="Arial" w:cs="Arial"/>
          <w:sz w:val="24"/>
          <w:szCs w:val="24"/>
        </w:rPr>
        <w:t>Prevention of cardiovascular events in patients with established CVD</w:t>
      </w:r>
    </w:p>
    <w:tbl>
      <w:tblPr>
        <w:tblStyle w:val="TableGrid"/>
        <w:tblW w:w="0" w:type="auto"/>
        <w:tblLook w:val="04A0" w:firstRow="1" w:lastRow="0" w:firstColumn="1" w:lastColumn="0" w:noHBand="0" w:noVBand="1"/>
      </w:tblPr>
      <w:tblGrid>
        <w:gridCol w:w="10705"/>
      </w:tblGrid>
      <w:tr w:rsidR="002641D2" w:rsidRPr="00FA3F9C" w14:paraId="7ECC2F0D" w14:textId="77777777" w:rsidTr="00F07236">
        <w:tc>
          <w:tcPr>
            <w:tcW w:w="10705" w:type="dxa"/>
          </w:tcPr>
          <w:p w14:paraId="3F461624" w14:textId="77777777" w:rsidR="002641D2" w:rsidRPr="00FA3F9C" w:rsidRDefault="002641D2" w:rsidP="00C269C0">
            <w:pPr>
              <w:rPr>
                <w:rFonts w:ascii="Arial" w:hAnsi="Arial" w:cs="Arial"/>
                <w:b/>
                <w:sz w:val="24"/>
                <w:szCs w:val="24"/>
              </w:rPr>
            </w:pPr>
            <w:r w:rsidRPr="00FA3F9C">
              <w:rPr>
                <w:rFonts w:ascii="Arial" w:hAnsi="Arial" w:cs="Arial"/>
                <w:b/>
                <w:sz w:val="24"/>
                <w:szCs w:val="24"/>
              </w:rPr>
              <w:t xml:space="preserve">Initial </w:t>
            </w:r>
          </w:p>
        </w:tc>
      </w:tr>
      <w:tr w:rsidR="002641D2" w:rsidRPr="00FA3F9C" w14:paraId="069C5AB1" w14:textId="77777777" w:rsidTr="00F07236">
        <w:tc>
          <w:tcPr>
            <w:tcW w:w="10705" w:type="dxa"/>
          </w:tcPr>
          <w:p w14:paraId="7A360CF7" w14:textId="77777777" w:rsidR="002641D2" w:rsidRPr="00FA3F9C" w:rsidRDefault="002641D2" w:rsidP="002641D2">
            <w:pPr>
              <w:pStyle w:val="ListParagraph"/>
              <w:numPr>
                <w:ilvl w:val="0"/>
                <w:numId w:val="209"/>
              </w:numPr>
              <w:rPr>
                <w:rFonts w:ascii="Arial" w:hAnsi="Arial" w:cs="Arial"/>
                <w:sz w:val="24"/>
                <w:szCs w:val="24"/>
              </w:rPr>
            </w:pPr>
            <w:r w:rsidRPr="00FA3F9C">
              <w:rPr>
                <w:rFonts w:ascii="Arial" w:hAnsi="Arial" w:cs="Arial"/>
                <w:sz w:val="24"/>
                <w:szCs w:val="24"/>
              </w:rPr>
              <w:t xml:space="preserve">Patient must have clinically evident atherosclerotic cardiovascular disease (defined as a history of myocardial infarction, </w:t>
            </w:r>
            <w:proofErr w:type="spellStart"/>
            <w:r w:rsidRPr="00FA3F9C">
              <w:rPr>
                <w:rFonts w:ascii="Arial" w:hAnsi="Arial" w:cs="Arial"/>
                <w:sz w:val="24"/>
                <w:szCs w:val="24"/>
              </w:rPr>
              <w:t>nonhemorrhagic</w:t>
            </w:r>
            <w:proofErr w:type="spellEnd"/>
            <w:r w:rsidRPr="00FA3F9C">
              <w:rPr>
                <w:rFonts w:ascii="Arial" w:hAnsi="Arial" w:cs="Arial"/>
                <w:sz w:val="24"/>
                <w:szCs w:val="24"/>
              </w:rPr>
              <w:t xml:space="preserve"> stroke (TIA does NOT qualify), or symptomatic peripheral artery disease).</w:t>
            </w:r>
          </w:p>
        </w:tc>
      </w:tr>
      <w:tr w:rsidR="002641D2" w:rsidRPr="00FA3F9C" w14:paraId="6F934EF6" w14:textId="77777777" w:rsidTr="00F07236">
        <w:tc>
          <w:tcPr>
            <w:tcW w:w="10705" w:type="dxa"/>
          </w:tcPr>
          <w:p w14:paraId="374FEEA0" w14:textId="77777777" w:rsidR="002641D2" w:rsidRPr="00FA3F9C" w:rsidRDefault="002641D2" w:rsidP="002641D2">
            <w:pPr>
              <w:pStyle w:val="ListParagraph"/>
              <w:numPr>
                <w:ilvl w:val="0"/>
                <w:numId w:val="209"/>
              </w:numPr>
              <w:rPr>
                <w:rFonts w:ascii="Arial" w:hAnsi="Arial" w:cs="Arial"/>
                <w:sz w:val="24"/>
                <w:szCs w:val="24"/>
              </w:rPr>
            </w:pPr>
            <w:r w:rsidRPr="00FA3F9C">
              <w:rPr>
                <w:rFonts w:ascii="Arial" w:hAnsi="Arial" w:cs="Arial"/>
                <w:sz w:val="24"/>
                <w:szCs w:val="24"/>
              </w:rPr>
              <w:t xml:space="preserve"> Patient must have </w:t>
            </w:r>
            <w:proofErr w:type="gramStart"/>
            <w:r w:rsidRPr="00FA3F9C">
              <w:rPr>
                <w:rFonts w:ascii="Arial" w:hAnsi="Arial" w:cs="Arial"/>
                <w:sz w:val="24"/>
                <w:szCs w:val="24"/>
              </w:rPr>
              <w:t>fasting</w:t>
            </w:r>
            <w:proofErr w:type="gramEnd"/>
            <w:r w:rsidRPr="00FA3F9C">
              <w:rPr>
                <w:rFonts w:ascii="Arial" w:hAnsi="Arial" w:cs="Arial"/>
                <w:sz w:val="24"/>
                <w:szCs w:val="24"/>
              </w:rPr>
              <w:t xml:space="preserve"> LDL-C of </w:t>
            </w:r>
            <w:r w:rsidRPr="00FA3F9C">
              <w:rPr>
                <w:rFonts w:ascii="Arial" w:hAnsi="Arial" w:cs="Arial"/>
                <w:sz w:val="24"/>
                <w:szCs w:val="24"/>
                <w:u w:val="single"/>
              </w:rPr>
              <w:t>&gt;</w:t>
            </w:r>
            <w:r w:rsidRPr="00FA3F9C">
              <w:rPr>
                <w:rFonts w:ascii="Arial" w:hAnsi="Arial" w:cs="Arial"/>
                <w:sz w:val="24"/>
                <w:szCs w:val="24"/>
              </w:rPr>
              <w:t xml:space="preserve">70mg/dL or a non-HDL-C of </w:t>
            </w:r>
            <w:r w:rsidRPr="00FA3F9C">
              <w:rPr>
                <w:rFonts w:ascii="Arial" w:hAnsi="Arial" w:cs="Arial"/>
                <w:sz w:val="24"/>
                <w:szCs w:val="24"/>
                <w:u w:val="single"/>
              </w:rPr>
              <w:t>&gt;</w:t>
            </w:r>
            <w:r w:rsidRPr="00FA3F9C">
              <w:rPr>
                <w:rFonts w:ascii="Arial" w:hAnsi="Arial" w:cs="Arial"/>
                <w:sz w:val="24"/>
                <w:szCs w:val="24"/>
              </w:rPr>
              <w:t>100mg/dL WHILE TAKING an optimized regimen of lipid-lowering therapy</w:t>
            </w:r>
          </w:p>
          <w:p w14:paraId="10823E0E" w14:textId="77777777" w:rsidR="002641D2" w:rsidRPr="00FA3F9C" w:rsidRDefault="002641D2" w:rsidP="002641D2">
            <w:pPr>
              <w:pStyle w:val="ListParagraph"/>
              <w:numPr>
                <w:ilvl w:val="0"/>
                <w:numId w:val="210"/>
              </w:numPr>
              <w:rPr>
                <w:rFonts w:ascii="Arial" w:hAnsi="Arial" w:cs="Arial"/>
                <w:sz w:val="24"/>
                <w:szCs w:val="24"/>
              </w:rPr>
            </w:pPr>
            <w:r w:rsidRPr="00FA3F9C">
              <w:rPr>
                <w:rFonts w:ascii="Arial" w:hAnsi="Arial" w:cs="Arial"/>
                <w:sz w:val="24"/>
                <w:szCs w:val="24"/>
              </w:rPr>
              <w:t>Must be a high-intensity statin equal to atorvastatin 20mg or higher (with or without ezetimibe) for at least 6 weeks</w:t>
            </w:r>
          </w:p>
        </w:tc>
      </w:tr>
      <w:tr w:rsidR="002641D2" w:rsidRPr="00FA3F9C" w14:paraId="115BA665" w14:textId="77777777" w:rsidTr="00F07236">
        <w:tc>
          <w:tcPr>
            <w:tcW w:w="10705" w:type="dxa"/>
          </w:tcPr>
          <w:p w14:paraId="01493632" w14:textId="77777777" w:rsidR="002641D2" w:rsidRPr="00FA3F9C" w:rsidRDefault="002641D2" w:rsidP="002641D2">
            <w:pPr>
              <w:pStyle w:val="ListParagraph"/>
              <w:numPr>
                <w:ilvl w:val="0"/>
                <w:numId w:val="209"/>
              </w:numPr>
              <w:rPr>
                <w:rFonts w:ascii="Arial" w:hAnsi="Arial" w:cs="Arial"/>
                <w:sz w:val="24"/>
                <w:szCs w:val="24"/>
              </w:rPr>
            </w:pPr>
            <w:r w:rsidRPr="00FA3F9C">
              <w:rPr>
                <w:rFonts w:ascii="Arial" w:hAnsi="Arial" w:cs="Arial"/>
                <w:sz w:val="24"/>
                <w:szCs w:val="24"/>
              </w:rPr>
              <w:t xml:space="preserve"> Patient must also have additional characteristics that places him/her at higher cardiovascular risk including:</w:t>
            </w:r>
          </w:p>
          <w:p w14:paraId="70B0D555" w14:textId="77777777" w:rsidR="002641D2" w:rsidRPr="00FA3F9C" w:rsidRDefault="002641D2" w:rsidP="00CB0D8B">
            <w:pPr>
              <w:ind w:left="1080"/>
              <w:rPr>
                <w:rFonts w:ascii="Arial" w:hAnsi="Arial" w:cs="Arial"/>
                <w:sz w:val="24"/>
                <w:szCs w:val="24"/>
              </w:rPr>
            </w:pPr>
            <w:r w:rsidRPr="00FA3F9C">
              <w:rPr>
                <w:rFonts w:ascii="Arial" w:hAnsi="Arial" w:cs="Arial"/>
                <w:sz w:val="24"/>
                <w:szCs w:val="24"/>
              </w:rPr>
              <w:t>At least 1 of the following:</w:t>
            </w:r>
          </w:p>
          <w:p w14:paraId="4AF50E6C" w14:textId="77777777" w:rsidR="002641D2" w:rsidRPr="00FA3F9C" w:rsidRDefault="002641D2" w:rsidP="002641D2">
            <w:pPr>
              <w:pStyle w:val="ListParagraph"/>
              <w:numPr>
                <w:ilvl w:val="0"/>
                <w:numId w:val="210"/>
              </w:numPr>
              <w:rPr>
                <w:rFonts w:ascii="Arial" w:hAnsi="Arial" w:cs="Arial"/>
                <w:sz w:val="24"/>
                <w:szCs w:val="24"/>
              </w:rPr>
            </w:pPr>
            <w:r w:rsidRPr="00FA3F9C">
              <w:rPr>
                <w:rFonts w:ascii="Arial" w:hAnsi="Arial" w:cs="Arial"/>
                <w:sz w:val="24"/>
                <w:szCs w:val="24"/>
              </w:rPr>
              <w:t>T1 or T2DM</w:t>
            </w:r>
          </w:p>
          <w:p w14:paraId="363723DF" w14:textId="77777777" w:rsidR="002641D2" w:rsidRPr="00FA3F9C" w:rsidRDefault="002641D2" w:rsidP="002641D2">
            <w:pPr>
              <w:pStyle w:val="ListParagraph"/>
              <w:numPr>
                <w:ilvl w:val="0"/>
                <w:numId w:val="210"/>
              </w:numPr>
              <w:rPr>
                <w:rFonts w:ascii="Arial" w:hAnsi="Arial" w:cs="Arial"/>
                <w:sz w:val="24"/>
                <w:szCs w:val="24"/>
              </w:rPr>
            </w:pPr>
            <w:r w:rsidRPr="00FA3F9C">
              <w:rPr>
                <w:rFonts w:ascii="Arial" w:hAnsi="Arial" w:cs="Arial"/>
                <w:sz w:val="24"/>
                <w:szCs w:val="24"/>
              </w:rPr>
              <w:t xml:space="preserve">Age </w:t>
            </w:r>
            <w:r w:rsidRPr="00FA3F9C">
              <w:rPr>
                <w:rFonts w:ascii="Arial" w:hAnsi="Arial" w:cs="Arial"/>
                <w:sz w:val="24"/>
                <w:szCs w:val="24"/>
                <w:u w:val="single"/>
              </w:rPr>
              <w:t>&gt;</w:t>
            </w:r>
            <w:r w:rsidRPr="00FA3F9C">
              <w:rPr>
                <w:rFonts w:ascii="Arial" w:hAnsi="Arial" w:cs="Arial"/>
                <w:sz w:val="24"/>
                <w:szCs w:val="24"/>
              </w:rPr>
              <w:t>65</w:t>
            </w:r>
          </w:p>
          <w:p w14:paraId="7C67E54B" w14:textId="77777777" w:rsidR="002641D2" w:rsidRPr="00FA3F9C" w:rsidRDefault="002641D2" w:rsidP="002641D2">
            <w:pPr>
              <w:pStyle w:val="ListParagraph"/>
              <w:numPr>
                <w:ilvl w:val="0"/>
                <w:numId w:val="210"/>
              </w:numPr>
              <w:rPr>
                <w:rFonts w:ascii="Arial" w:hAnsi="Arial" w:cs="Arial"/>
                <w:sz w:val="24"/>
                <w:szCs w:val="24"/>
              </w:rPr>
            </w:pPr>
            <w:r w:rsidRPr="00FA3F9C">
              <w:rPr>
                <w:rFonts w:ascii="Arial" w:hAnsi="Arial" w:cs="Arial"/>
                <w:sz w:val="24"/>
                <w:szCs w:val="24"/>
              </w:rPr>
              <w:t>MI or non-hemorrhagic stroke within the past 6 months</w:t>
            </w:r>
          </w:p>
          <w:p w14:paraId="38D472CC" w14:textId="77777777" w:rsidR="002641D2" w:rsidRPr="00FA3F9C" w:rsidRDefault="002641D2" w:rsidP="002641D2">
            <w:pPr>
              <w:pStyle w:val="ListParagraph"/>
              <w:numPr>
                <w:ilvl w:val="0"/>
                <w:numId w:val="210"/>
              </w:numPr>
              <w:rPr>
                <w:rFonts w:ascii="Arial" w:hAnsi="Arial" w:cs="Arial"/>
                <w:sz w:val="24"/>
                <w:szCs w:val="24"/>
              </w:rPr>
            </w:pPr>
            <w:r w:rsidRPr="00FA3F9C">
              <w:rPr>
                <w:rFonts w:ascii="Arial" w:hAnsi="Arial" w:cs="Arial"/>
                <w:sz w:val="24"/>
                <w:szCs w:val="24"/>
              </w:rPr>
              <w:t>Additional diagnosis of MI or non-hemorrhagic stroke excluding the one in the original history (item 1 above)</w:t>
            </w:r>
          </w:p>
          <w:p w14:paraId="4944BC06" w14:textId="77777777" w:rsidR="002641D2" w:rsidRPr="00FA3F9C" w:rsidRDefault="002641D2" w:rsidP="002641D2">
            <w:pPr>
              <w:pStyle w:val="ListParagraph"/>
              <w:numPr>
                <w:ilvl w:val="0"/>
                <w:numId w:val="210"/>
              </w:numPr>
              <w:rPr>
                <w:rFonts w:ascii="Arial" w:hAnsi="Arial" w:cs="Arial"/>
                <w:sz w:val="24"/>
                <w:szCs w:val="24"/>
              </w:rPr>
            </w:pPr>
            <w:r w:rsidRPr="00FA3F9C">
              <w:rPr>
                <w:rFonts w:ascii="Arial" w:hAnsi="Arial" w:cs="Arial"/>
                <w:sz w:val="24"/>
                <w:szCs w:val="24"/>
              </w:rPr>
              <w:t>Current daily cigarette smoking</w:t>
            </w:r>
          </w:p>
          <w:p w14:paraId="6CEE09B2" w14:textId="77777777" w:rsidR="002641D2" w:rsidRPr="00FA3F9C" w:rsidRDefault="002641D2" w:rsidP="002641D2">
            <w:pPr>
              <w:pStyle w:val="ListParagraph"/>
              <w:numPr>
                <w:ilvl w:val="0"/>
                <w:numId w:val="210"/>
              </w:numPr>
              <w:rPr>
                <w:rFonts w:ascii="Arial" w:hAnsi="Arial" w:cs="Arial"/>
                <w:sz w:val="24"/>
                <w:szCs w:val="24"/>
              </w:rPr>
            </w:pPr>
            <w:r w:rsidRPr="00FA3F9C">
              <w:rPr>
                <w:rFonts w:ascii="Arial" w:hAnsi="Arial" w:cs="Arial"/>
                <w:sz w:val="24"/>
                <w:szCs w:val="24"/>
              </w:rPr>
              <w:t>History of symptomatic peripheral artery disease,</w:t>
            </w:r>
          </w:p>
          <w:p w14:paraId="02F6D180" w14:textId="77777777" w:rsidR="002641D2" w:rsidRPr="00FA3F9C" w:rsidRDefault="002641D2" w:rsidP="00CB0D8B">
            <w:pPr>
              <w:ind w:left="1080"/>
              <w:rPr>
                <w:rFonts w:ascii="Arial" w:hAnsi="Arial" w:cs="Arial"/>
                <w:sz w:val="24"/>
                <w:szCs w:val="24"/>
              </w:rPr>
            </w:pPr>
            <w:r w:rsidRPr="00FA3F9C">
              <w:rPr>
                <w:rFonts w:ascii="Arial" w:hAnsi="Arial" w:cs="Arial"/>
                <w:sz w:val="24"/>
                <w:szCs w:val="24"/>
              </w:rPr>
              <w:t>OR</w:t>
            </w:r>
          </w:p>
          <w:p w14:paraId="51CFDB43" w14:textId="77777777" w:rsidR="002641D2" w:rsidRPr="00FA3F9C" w:rsidRDefault="002641D2" w:rsidP="00CB0D8B">
            <w:pPr>
              <w:ind w:left="1080"/>
              <w:rPr>
                <w:rFonts w:ascii="Arial" w:hAnsi="Arial" w:cs="Arial"/>
                <w:sz w:val="24"/>
                <w:szCs w:val="24"/>
              </w:rPr>
            </w:pPr>
            <w:r w:rsidRPr="00FA3F9C">
              <w:rPr>
                <w:rFonts w:ascii="Arial" w:hAnsi="Arial" w:cs="Arial"/>
                <w:sz w:val="24"/>
                <w:szCs w:val="24"/>
              </w:rPr>
              <w:t>At least 2 of the following:</w:t>
            </w:r>
          </w:p>
          <w:p w14:paraId="2E1B8949" w14:textId="77777777" w:rsidR="002641D2" w:rsidRPr="00FA3F9C" w:rsidRDefault="002641D2" w:rsidP="002641D2">
            <w:pPr>
              <w:pStyle w:val="ListParagraph"/>
              <w:numPr>
                <w:ilvl w:val="0"/>
                <w:numId w:val="213"/>
              </w:numPr>
              <w:rPr>
                <w:rFonts w:ascii="Arial" w:hAnsi="Arial" w:cs="Arial"/>
                <w:sz w:val="24"/>
                <w:szCs w:val="24"/>
              </w:rPr>
            </w:pPr>
            <w:r w:rsidRPr="00FA3F9C">
              <w:rPr>
                <w:rFonts w:ascii="Arial" w:hAnsi="Arial" w:cs="Arial"/>
                <w:sz w:val="24"/>
                <w:szCs w:val="24"/>
              </w:rPr>
              <w:t>History of non-MI related coronary revascularization</w:t>
            </w:r>
          </w:p>
          <w:p w14:paraId="716E8E3B" w14:textId="77777777" w:rsidR="002641D2" w:rsidRPr="00FA3F9C" w:rsidRDefault="002641D2" w:rsidP="002641D2">
            <w:pPr>
              <w:pStyle w:val="ListParagraph"/>
              <w:numPr>
                <w:ilvl w:val="0"/>
                <w:numId w:val="213"/>
              </w:numPr>
              <w:rPr>
                <w:rFonts w:ascii="Arial" w:hAnsi="Arial" w:cs="Arial"/>
                <w:sz w:val="24"/>
                <w:szCs w:val="24"/>
              </w:rPr>
            </w:pPr>
            <w:r w:rsidRPr="00FA3F9C">
              <w:rPr>
                <w:rFonts w:ascii="Arial" w:hAnsi="Arial" w:cs="Arial"/>
                <w:sz w:val="24"/>
                <w:szCs w:val="24"/>
              </w:rPr>
              <w:t xml:space="preserve">Residual coronary artery disease with </w:t>
            </w:r>
            <w:r w:rsidRPr="00FA3F9C">
              <w:rPr>
                <w:rFonts w:ascii="Arial" w:hAnsi="Arial" w:cs="Arial"/>
                <w:sz w:val="24"/>
                <w:szCs w:val="24"/>
                <w:u w:val="single"/>
              </w:rPr>
              <w:t>&gt;</w:t>
            </w:r>
            <w:r w:rsidRPr="00FA3F9C">
              <w:rPr>
                <w:rFonts w:ascii="Arial" w:hAnsi="Arial" w:cs="Arial"/>
                <w:sz w:val="24"/>
                <w:szCs w:val="24"/>
              </w:rPr>
              <w:t xml:space="preserve">40% stenosis in </w:t>
            </w:r>
            <w:r w:rsidRPr="00FA3F9C">
              <w:rPr>
                <w:rFonts w:ascii="Arial" w:hAnsi="Arial" w:cs="Arial"/>
                <w:sz w:val="24"/>
                <w:szCs w:val="24"/>
                <w:u w:val="single"/>
              </w:rPr>
              <w:t>&gt;</w:t>
            </w:r>
            <w:r w:rsidRPr="00FA3F9C">
              <w:rPr>
                <w:rFonts w:ascii="Arial" w:hAnsi="Arial" w:cs="Arial"/>
                <w:sz w:val="24"/>
                <w:szCs w:val="24"/>
              </w:rPr>
              <w:t>2 large vessels</w:t>
            </w:r>
          </w:p>
          <w:p w14:paraId="39537009" w14:textId="77777777" w:rsidR="002641D2" w:rsidRPr="00FA3F9C" w:rsidRDefault="002641D2" w:rsidP="002641D2">
            <w:pPr>
              <w:pStyle w:val="ListParagraph"/>
              <w:numPr>
                <w:ilvl w:val="0"/>
                <w:numId w:val="213"/>
              </w:numPr>
              <w:rPr>
                <w:rFonts w:ascii="Arial" w:hAnsi="Arial" w:cs="Arial"/>
                <w:sz w:val="24"/>
                <w:szCs w:val="24"/>
              </w:rPr>
            </w:pPr>
            <w:r w:rsidRPr="00FA3F9C">
              <w:rPr>
                <w:rFonts w:ascii="Arial" w:hAnsi="Arial" w:cs="Arial"/>
                <w:sz w:val="24"/>
                <w:szCs w:val="24"/>
              </w:rPr>
              <w:lastRenderedPageBreak/>
              <w:t xml:space="preserve">Most recent </w:t>
            </w:r>
            <w:proofErr w:type="spellStart"/>
            <w:r w:rsidRPr="00FA3F9C">
              <w:rPr>
                <w:rFonts w:ascii="Arial" w:hAnsi="Arial" w:cs="Arial"/>
                <w:sz w:val="24"/>
                <w:szCs w:val="24"/>
              </w:rPr>
              <w:t>hsCRP</w:t>
            </w:r>
            <w:proofErr w:type="spellEnd"/>
            <w:r w:rsidRPr="00FA3F9C">
              <w:rPr>
                <w:rFonts w:ascii="Arial" w:hAnsi="Arial" w:cs="Arial"/>
                <w:sz w:val="24"/>
                <w:szCs w:val="24"/>
              </w:rPr>
              <w:t xml:space="preserve">&gt;2.0mg/L </w:t>
            </w:r>
          </w:p>
          <w:p w14:paraId="50FDD3D3" w14:textId="77777777" w:rsidR="002641D2" w:rsidRPr="00FA3F9C" w:rsidRDefault="002641D2" w:rsidP="002641D2">
            <w:pPr>
              <w:pStyle w:val="ListParagraph"/>
              <w:numPr>
                <w:ilvl w:val="0"/>
                <w:numId w:val="213"/>
              </w:numPr>
              <w:rPr>
                <w:rFonts w:ascii="Arial" w:hAnsi="Arial" w:cs="Arial"/>
                <w:sz w:val="24"/>
                <w:szCs w:val="24"/>
              </w:rPr>
            </w:pPr>
            <w:r w:rsidRPr="00FA3F9C">
              <w:rPr>
                <w:rFonts w:ascii="Arial" w:hAnsi="Arial" w:cs="Arial"/>
                <w:sz w:val="24"/>
                <w:szCs w:val="24"/>
              </w:rPr>
              <w:t>Most recent LDL-C &gt;130mg/dL or non-HDL-C &gt;160 mg/dL</w:t>
            </w:r>
          </w:p>
          <w:p w14:paraId="34B4153A" w14:textId="77777777" w:rsidR="002641D2" w:rsidRPr="00FA3F9C" w:rsidRDefault="002641D2" w:rsidP="002641D2">
            <w:pPr>
              <w:pStyle w:val="ListParagraph"/>
              <w:numPr>
                <w:ilvl w:val="0"/>
                <w:numId w:val="213"/>
              </w:numPr>
              <w:rPr>
                <w:rFonts w:ascii="Arial" w:hAnsi="Arial" w:cs="Arial"/>
                <w:sz w:val="24"/>
                <w:szCs w:val="24"/>
              </w:rPr>
            </w:pPr>
            <w:r w:rsidRPr="00FA3F9C">
              <w:rPr>
                <w:rFonts w:ascii="Arial" w:hAnsi="Arial" w:cs="Arial"/>
                <w:sz w:val="24"/>
                <w:szCs w:val="24"/>
              </w:rPr>
              <w:t>Diagnosis of metabolic syndrome (At least 3 of the following:</w:t>
            </w:r>
          </w:p>
          <w:p w14:paraId="7B9F2829" w14:textId="77777777" w:rsidR="002641D2" w:rsidRPr="00FA3F9C" w:rsidRDefault="002641D2" w:rsidP="002641D2">
            <w:pPr>
              <w:pStyle w:val="ListParagraph"/>
              <w:numPr>
                <w:ilvl w:val="1"/>
                <w:numId w:val="213"/>
              </w:numPr>
              <w:rPr>
                <w:rFonts w:ascii="Arial" w:hAnsi="Arial" w:cs="Arial"/>
                <w:sz w:val="24"/>
                <w:szCs w:val="24"/>
              </w:rPr>
            </w:pPr>
            <w:r w:rsidRPr="00FA3F9C">
              <w:rPr>
                <w:rFonts w:ascii="Arial" w:hAnsi="Arial" w:cs="Arial"/>
                <w:sz w:val="24"/>
                <w:szCs w:val="24"/>
              </w:rPr>
              <w:t>waist circumference &gt;40 inches for men or &gt;35 inches for women</w:t>
            </w:r>
          </w:p>
          <w:p w14:paraId="23D4A1C9" w14:textId="77777777" w:rsidR="002641D2" w:rsidRPr="00FA3F9C" w:rsidRDefault="002641D2" w:rsidP="002641D2">
            <w:pPr>
              <w:pStyle w:val="ListParagraph"/>
              <w:numPr>
                <w:ilvl w:val="1"/>
                <w:numId w:val="213"/>
              </w:numPr>
              <w:rPr>
                <w:rFonts w:ascii="Arial" w:hAnsi="Arial" w:cs="Arial"/>
                <w:sz w:val="24"/>
                <w:szCs w:val="24"/>
              </w:rPr>
            </w:pPr>
            <w:r w:rsidRPr="00FA3F9C">
              <w:rPr>
                <w:rFonts w:ascii="Arial" w:hAnsi="Arial" w:cs="Arial"/>
                <w:sz w:val="24"/>
                <w:szCs w:val="24"/>
              </w:rPr>
              <w:t xml:space="preserve">triglycerides </w:t>
            </w:r>
            <w:r w:rsidRPr="00FA3F9C">
              <w:rPr>
                <w:rFonts w:ascii="Arial" w:hAnsi="Arial" w:cs="Arial"/>
                <w:sz w:val="24"/>
                <w:szCs w:val="24"/>
                <w:u w:val="single"/>
              </w:rPr>
              <w:t>&gt;</w:t>
            </w:r>
            <w:r w:rsidRPr="00FA3F9C">
              <w:rPr>
                <w:rFonts w:ascii="Arial" w:hAnsi="Arial" w:cs="Arial"/>
                <w:sz w:val="24"/>
                <w:szCs w:val="24"/>
              </w:rPr>
              <w:t>150 mg/dL</w:t>
            </w:r>
          </w:p>
          <w:p w14:paraId="2F4F5D49" w14:textId="77777777" w:rsidR="002641D2" w:rsidRPr="00FA3F9C" w:rsidRDefault="002641D2" w:rsidP="002641D2">
            <w:pPr>
              <w:pStyle w:val="ListParagraph"/>
              <w:numPr>
                <w:ilvl w:val="1"/>
                <w:numId w:val="213"/>
              </w:numPr>
              <w:rPr>
                <w:rFonts w:ascii="Arial" w:hAnsi="Arial" w:cs="Arial"/>
                <w:sz w:val="24"/>
                <w:szCs w:val="24"/>
              </w:rPr>
            </w:pPr>
            <w:r w:rsidRPr="00FA3F9C">
              <w:rPr>
                <w:rFonts w:ascii="Arial" w:hAnsi="Arial" w:cs="Arial"/>
                <w:sz w:val="24"/>
                <w:szCs w:val="24"/>
              </w:rPr>
              <w:t>HDL-C &lt;40 mg/dL for men or &lt;50 for women</w:t>
            </w:r>
          </w:p>
          <w:p w14:paraId="12BA7504" w14:textId="77777777" w:rsidR="002641D2" w:rsidRPr="00FA3F9C" w:rsidRDefault="002641D2" w:rsidP="002641D2">
            <w:pPr>
              <w:pStyle w:val="ListParagraph"/>
              <w:numPr>
                <w:ilvl w:val="1"/>
                <w:numId w:val="213"/>
              </w:numPr>
              <w:rPr>
                <w:rFonts w:ascii="Arial" w:hAnsi="Arial" w:cs="Arial"/>
                <w:sz w:val="24"/>
                <w:szCs w:val="24"/>
              </w:rPr>
            </w:pPr>
            <w:r w:rsidRPr="00FA3F9C">
              <w:rPr>
                <w:rFonts w:ascii="Arial" w:hAnsi="Arial" w:cs="Arial"/>
                <w:sz w:val="24"/>
                <w:szCs w:val="24"/>
              </w:rPr>
              <w:t xml:space="preserve">Systolic blood pressure </w:t>
            </w:r>
            <w:r w:rsidRPr="00FA3F9C">
              <w:rPr>
                <w:rFonts w:ascii="Arial" w:hAnsi="Arial" w:cs="Arial"/>
                <w:sz w:val="24"/>
                <w:szCs w:val="24"/>
                <w:u w:val="single"/>
              </w:rPr>
              <w:t>&gt;</w:t>
            </w:r>
            <w:r w:rsidRPr="00FA3F9C">
              <w:rPr>
                <w:rFonts w:ascii="Arial" w:hAnsi="Arial" w:cs="Arial"/>
                <w:sz w:val="24"/>
                <w:szCs w:val="24"/>
              </w:rPr>
              <w:t xml:space="preserve">130mmHg or diastolic BP </w:t>
            </w:r>
            <w:r w:rsidRPr="00FA3F9C">
              <w:rPr>
                <w:rFonts w:ascii="Arial" w:hAnsi="Arial" w:cs="Arial"/>
                <w:sz w:val="24"/>
                <w:szCs w:val="24"/>
                <w:u w:val="single"/>
              </w:rPr>
              <w:t>&gt;</w:t>
            </w:r>
            <w:r w:rsidRPr="00FA3F9C">
              <w:rPr>
                <w:rFonts w:ascii="Arial" w:hAnsi="Arial" w:cs="Arial"/>
                <w:sz w:val="24"/>
                <w:szCs w:val="24"/>
              </w:rPr>
              <w:t>85 mmHg or hypertension treated with medication</w:t>
            </w:r>
          </w:p>
          <w:p w14:paraId="1627D679" w14:textId="77777777" w:rsidR="002641D2" w:rsidRPr="00FA3F9C" w:rsidRDefault="002641D2" w:rsidP="002641D2">
            <w:pPr>
              <w:pStyle w:val="ListParagraph"/>
              <w:numPr>
                <w:ilvl w:val="1"/>
                <w:numId w:val="213"/>
              </w:numPr>
              <w:rPr>
                <w:rFonts w:ascii="Arial" w:hAnsi="Arial" w:cs="Arial"/>
                <w:sz w:val="24"/>
                <w:szCs w:val="24"/>
              </w:rPr>
            </w:pPr>
            <w:r w:rsidRPr="00FA3F9C">
              <w:rPr>
                <w:rFonts w:ascii="Arial" w:hAnsi="Arial" w:cs="Arial"/>
                <w:sz w:val="24"/>
                <w:szCs w:val="24"/>
              </w:rPr>
              <w:t xml:space="preserve">Fasting glucose </w:t>
            </w:r>
            <w:r w:rsidRPr="00FA3F9C">
              <w:rPr>
                <w:rFonts w:ascii="Arial" w:hAnsi="Arial" w:cs="Arial"/>
                <w:sz w:val="24"/>
                <w:szCs w:val="24"/>
                <w:u w:val="single"/>
              </w:rPr>
              <w:t>&gt;</w:t>
            </w:r>
            <w:r w:rsidRPr="00FA3F9C">
              <w:rPr>
                <w:rFonts w:ascii="Arial" w:hAnsi="Arial" w:cs="Arial"/>
                <w:sz w:val="24"/>
                <w:szCs w:val="24"/>
              </w:rPr>
              <w:t>100 mg/dL</w:t>
            </w:r>
          </w:p>
        </w:tc>
      </w:tr>
      <w:tr w:rsidR="002641D2" w:rsidRPr="00FA3F9C" w14:paraId="38FBE85D" w14:textId="77777777" w:rsidTr="00F07236">
        <w:tc>
          <w:tcPr>
            <w:tcW w:w="10705" w:type="dxa"/>
          </w:tcPr>
          <w:p w14:paraId="040B1A48" w14:textId="77777777" w:rsidR="002641D2" w:rsidRPr="00FA3F9C" w:rsidRDefault="002641D2" w:rsidP="00E00223">
            <w:pPr>
              <w:rPr>
                <w:rFonts w:ascii="Arial" w:hAnsi="Arial" w:cs="Arial"/>
                <w:sz w:val="24"/>
                <w:szCs w:val="24"/>
              </w:rPr>
            </w:pPr>
            <w:r w:rsidRPr="00FA3F9C">
              <w:rPr>
                <w:rFonts w:ascii="Arial" w:hAnsi="Arial" w:cs="Arial"/>
                <w:sz w:val="24"/>
                <w:szCs w:val="24"/>
              </w:rPr>
              <w:lastRenderedPageBreak/>
              <w:t>Note:  dose is 140mg every 2 weeks</w:t>
            </w:r>
          </w:p>
        </w:tc>
      </w:tr>
    </w:tbl>
    <w:p w14:paraId="330E1812" w14:textId="77777777" w:rsidR="002641D2" w:rsidRPr="00FA3F9C" w:rsidRDefault="002641D2" w:rsidP="00E00223">
      <w:pPr>
        <w:rPr>
          <w:rFonts w:ascii="Arial" w:hAnsi="Arial" w:cs="Arial"/>
          <w:sz w:val="24"/>
          <w:szCs w:val="24"/>
        </w:rPr>
      </w:pPr>
    </w:p>
    <w:tbl>
      <w:tblPr>
        <w:tblStyle w:val="TableGrid"/>
        <w:tblW w:w="0" w:type="auto"/>
        <w:tblLook w:val="04A0" w:firstRow="1" w:lastRow="0" w:firstColumn="1" w:lastColumn="0" w:noHBand="0" w:noVBand="1"/>
      </w:tblPr>
      <w:tblGrid>
        <w:gridCol w:w="1284"/>
        <w:gridCol w:w="7920"/>
        <w:gridCol w:w="1795"/>
      </w:tblGrid>
      <w:tr w:rsidR="002641D2" w:rsidRPr="00FA3F9C" w14:paraId="35F06C0F" w14:textId="77777777" w:rsidTr="00A638FD">
        <w:tc>
          <w:tcPr>
            <w:tcW w:w="1075" w:type="dxa"/>
          </w:tcPr>
          <w:p w14:paraId="3EBE2DAD" w14:textId="77777777" w:rsidR="002641D2" w:rsidRPr="00FA3F9C" w:rsidRDefault="002641D2" w:rsidP="00E00223">
            <w:pPr>
              <w:rPr>
                <w:rFonts w:ascii="Arial" w:hAnsi="Arial" w:cs="Arial"/>
                <w:sz w:val="24"/>
                <w:szCs w:val="24"/>
              </w:rPr>
            </w:pPr>
            <w:r w:rsidRPr="00FA3F9C">
              <w:rPr>
                <w:rFonts w:ascii="Arial" w:hAnsi="Arial" w:cs="Arial"/>
                <w:sz w:val="24"/>
                <w:szCs w:val="24"/>
              </w:rPr>
              <w:t>Date</w:t>
            </w:r>
          </w:p>
        </w:tc>
        <w:tc>
          <w:tcPr>
            <w:tcW w:w="7920" w:type="dxa"/>
          </w:tcPr>
          <w:p w14:paraId="20EB1619" w14:textId="77777777" w:rsidR="002641D2" w:rsidRPr="00FA3F9C" w:rsidRDefault="002641D2" w:rsidP="00E00223">
            <w:pPr>
              <w:rPr>
                <w:rFonts w:ascii="Arial" w:hAnsi="Arial" w:cs="Arial"/>
                <w:sz w:val="24"/>
                <w:szCs w:val="24"/>
              </w:rPr>
            </w:pPr>
            <w:r w:rsidRPr="00FA3F9C">
              <w:rPr>
                <w:rFonts w:ascii="Arial" w:hAnsi="Arial" w:cs="Arial"/>
                <w:sz w:val="24"/>
                <w:szCs w:val="24"/>
              </w:rPr>
              <w:t>What changed?</w:t>
            </w:r>
          </w:p>
        </w:tc>
        <w:tc>
          <w:tcPr>
            <w:tcW w:w="1795" w:type="dxa"/>
          </w:tcPr>
          <w:p w14:paraId="75BB8529" w14:textId="77777777" w:rsidR="002641D2" w:rsidRPr="00FA3F9C" w:rsidRDefault="002641D2" w:rsidP="00E00223">
            <w:pPr>
              <w:rPr>
                <w:rFonts w:ascii="Arial" w:hAnsi="Arial" w:cs="Arial"/>
                <w:sz w:val="24"/>
                <w:szCs w:val="24"/>
              </w:rPr>
            </w:pPr>
            <w:r w:rsidRPr="00FA3F9C">
              <w:rPr>
                <w:rFonts w:ascii="Arial" w:hAnsi="Arial" w:cs="Arial"/>
                <w:sz w:val="24"/>
                <w:szCs w:val="24"/>
              </w:rPr>
              <w:t>Pharmacist’s initials</w:t>
            </w:r>
          </w:p>
        </w:tc>
      </w:tr>
      <w:tr w:rsidR="002641D2" w:rsidRPr="00FA3F9C" w14:paraId="1BE45CDE" w14:textId="77777777" w:rsidTr="00A638FD">
        <w:tc>
          <w:tcPr>
            <w:tcW w:w="1075" w:type="dxa"/>
          </w:tcPr>
          <w:p w14:paraId="636E4028" w14:textId="77777777" w:rsidR="002641D2" w:rsidRPr="00FA3F9C" w:rsidRDefault="002641D2" w:rsidP="00E00223">
            <w:pPr>
              <w:rPr>
                <w:rFonts w:ascii="Arial" w:hAnsi="Arial" w:cs="Arial"/>
                <w:sz w:val="24"/>
                <w:szCs w:val="24"/>
              </w:rPr>
            </w:pPr>
            <w:r w:rsidRPr="00FA3F9C">
              <w:rPr>
                <w:rFonts w:ascii="Arial" w:hAnsi="Arial" w:cs="Arial"/>
                <w:sz w:val="24"/>
                <w:szCs w:val="24"/>
              </w:rPr>
              <w:t>1/16/19</w:t>
            </w:r>
          </w:p>
        </w:tc>
        <w:tc>
          <w:tcPr>
            <w:tcW w:w="7920" w:type="dxa"/>
          </w:tcPr>
          <w:p w14:paraId="17A02E07" w14:textId="77777777" w:rsidR="002641D2" w:rsidRPr="00FA3F9C" w:rsidRDefault="002641D2" w:rsidP="00E00223">
            <w:pPr>
              <w:rPr>
                <w:rFonts w:ascii="Arial" w:hAnsi="Arial" w:cs="Arial"/>
                <w:sz w:val="24"/>
                <w:szCs w:val="24"/>
              </w:rPr>
            </w:pPr>
            <w:r w:rsidRPr="00FA3F9C">
              <w:rPr>
                <w:rFonts w:ascii="Arial" w:hAnsi="Arial" w:cs="Arial"/>
                <w:sz w:val="24"/>
                <w:szCs w:val="24"/>
              </w:rPr>
              <w:t>I wrote the criteria.</w:t>
            </w:r>
          </w:p>
        </w:tc>
        <w:tc>
          <w:tcPr>
            <w:tcW w:w="1795" w:type="dxa"/>
          </w:tcPr>
          <w:p w14:paraId="771280CE" w14:textId="77777777" w:rsidR="002641D2" w:rsidRPr="00FA3F9C" w:rsidRDefault="002641D2" w:rsidP="00E00223">
            <w:pPr>
              <w:rPr>
                <w:rFonts w:ascii="Arial" w:hAnsi="Arial" w:cs="Arial"/>
                <w:sz w:val="24"/>
                <w:szCs w:val="24"/>
              </w:rPr>
            </w:pPr>
            <w:r w:rsidRPr="00FA3F9C">
              <w:rPr>
                <w:rFonts w:ascii="Arial" w:hAnsi="Arial" w:cs="Arial"/>
                <w:sz w:val="24"/>
                <w:szCs w:val="24"/>
              </w:rPr>
              <w:t>JJ</w:t>
            </w:r>
          </w:p>
        </w:tc>
      </w:tr>
      <w:tr w:rsidR="002641D2" w:rsidRPr="00FA3F9C" w14:paraId="64A326A4" w14:textId="77777777" w:rsidTr="00A638FD">
        <w:tc>
          <w:tcPr>
            <w:tcW w:w="1075" w:type="dxa"/>
          </w:tcPr>
          <w:p w14:paraId="22CB7835" w14:textId="77777777" w:rsidR="002641D2" w:rsidRPr="00FA3F9C" w:rsidRDefault="002641D2" w:rsidP="00E00223">
            <w:pPr>
              <w:rPr>
                <w:rFonts w:ascii="Arial" w:hAnsi="Arial" w:cs="Arial"/>
                <w:sz w:val="24"/>
                <w:szCs w:val="24"/>
              </w:rPr>
            </w:pPr>
            <w:r w:rsidRPr="00FA3F9C">
              <w:rPr>
                <w:rFonts w:ascii="Arial" w:hAnsi="Arial" w:cs="Arial"/>
                <w:sz w:val="24"/>
                <w:szCs w:val="24"/>
              </w:rPr>
              <w:t>10/5/2020</w:t>
            </w:r>
          </w:p>
        </w:tc>
        <w:tc>
          <w:tcPr>
            <w:tcW w:w="7920" w:type="dxa"/>
          </w:tcPr>
          <w:p w14:paraId="72CF4EA2" w14:textId="77777777" w:rsidR="002641D2" w:rsidRPr="00FA3F9C" w:rsidRDefault="002641D2" w:rsidP="00E00223">
            <w:pPr>
              <w:rPr>
                <w:rFonts w:ascii="Arial" w:hAnsi="Arial" w:cs="Arial"/>
                <w:sz w:val="24"/>
                <w:szCs w:val="24"/>
              </w:rPr>
            </w:pPr>
            <w:r w:rsidRPr="00FA3F9C">
              <w:rPr>
                <w:rFonts w:ascii="Arial" w:hAnsi="Arial" w:cs="Arial"/>
                <w:sz w:val="24"/>
                <w:szCs w:val="24"/>
              </w:rPr>
              <w:t>I reviewed the criteria.</w:t>
            </w:r>
          </w:p>
        </w:tc>
        <w:tc>
          <w:tcPr>
            <w:tcW w:w="1795" w:type="dxa"/>
          </w:tcPr>
          <w:p w14:paraId="1608A4B3" w14:textId="77777777" w:rsidR="002641D2" w:rsidRPr="00FA3F9C" w:rsidRDefault="002641D2" w:rsidP="00E00223">
            <w:pPr>
              <w:rPr>
                <w:rFonts w:ascii="Arial" w:hAnsi="Arial" w:cs="Arial"/>
                <w:sz w:val="24"/>
                <w:szCs w:val="24"/>
              </w:rPr>
            </w:pPr>
            <w:r w:rsidRPr="00FA3F9C">
              <w:rPr>
                <w:rFonts w:ascii="Arial" w:hAnsi="Arial" w:cs="Arial"/>
                <w:sz w:val="24"/>
                <w:szCs w:val="24"/>
              </w:rPr>
              <w:t>JJ</w:t>
            </w:r>
          </w:p>
        </w:tc>
      </w:tr>
      <w:tr w:rsidR="002641D2" w:rsidRPr="00FA3F9C" w14:paraId="438F22CB" w14:textId="77777777" w:rsidTr="00A638FD">
        <w:tc>
          <w:tcPr>
            <w:tcW w:w="1075" w:type="dxa"/>
          </w:tcPr>
          <w:p w14:paraId="620E4395" w14:textId="77777777" w:rsidR="002641D2" w:rsidRPr="00FA3F9C" w:rsidRDefault="002641D2" w:rsidP="00E00223">
            <w:pPr>
              <w:rPr>
                <w:rFonts w:ascii="Arial" w:hAnsi="Arial" w:cs="Arial"/>
                <w:sz w:val="24"/>
                <w:szCs w:val="24"/>
              </w:rPr>
            </w:pPr>
            <w:r w:rsidRPr="00FA3F9C">
              <w:rPr>
                <w:rFonts w:ascii="Arial" w:hAnsi="Arial" w:cs="Arial"/>
                <w:sz w:val="24"/>
                <w:szCs w:val="24"/>
              </w:rPr>
              <w:t>3/30/21</w:t>
            </w:r>
          </w:p>
        </w:tc>
        <w:tc>
          <w:tcPr>
            <w:tcW w:w="7920" w:type="dxa"/>
          </w:tcPr>
          <w:p w14:paraId="58439B72" w14:textId="77777777" w:rsidR="002641D2" w:rsidRPr="00FA3F9C" w:rsidRDefault="002641D2" w:rsidP="00E00223">
            <w:pPr>
              <w:rPr>
                <w:rFonts w:ascii="Arial" w:hAnsi="Arial" w:cs="Arial"/>
                <w:sz w:val="24"/>
                <w:szCs w:val="24"/>
              </w:rPr>
            </w:pPr>
            <w:r w:rsidRPr="00FA3F9C">
              <w:rPr>
                <w:rFonts w:ascii="Arial" w:hAnsi="Arial" w:cs="Arial"/>
                <w:sz w:val="24"/>
                <w:szCs w:val="24"/>
              </w:rPr>
              <w:t>These criteria are the same custom PA guidelines that UAS has been using.  Will use this set since it is formatted like other EBRx criteria.</w:t>
            </w:r>
          </w:p>
        </w:tc>
        <w:tc>
          <w:tcPr>
            <w:tcW w:w="1795" w:type="dxa"/>
          </w:tcPr>
          <w:p w14:paraId="34AF48F8" w14:textId="77777777" w:rsidR="002641D2" w:rsidRPr="00FA3F9C" w:rsidRDefault="002641D2" w:rsidP="00E00223">
            <w:pPr>
              <w:rPr>
                <w:rFonts w:ascii="Arial" w:hAnsi="Arial" w:cs="Arial"/>
                <w:sz w:val="24"/>
                <w:szCs w:val="24"/>
              </w:rPr>
            </w:pPr>
            <w:r w:rsidRPr="00FA3F9C">
              <w:rPr>
                <w:rFonts w:ascii="Arial" w:hAnsi="Arial" w:cs="Arial"/>
                <w:sz w:val="24"/>
                <w:szCs w:val="24"/>
              </w:rPr>
              <w:t>JJ</w:t>
            </w:r>
          </w:p>
        </w:tc>
      </w:tr>
    </w:tbl>
    <w:p w14:paraId="65369146" w14:textId="77777777" w:rsidR="002641D2" w:rsidRPr="00FA3F9C" w:rsidRDefault="002641D2" w:rsidP="00E00223">
      <w:pPr>
        <w:rPr>
          <w:rFonts w:ascii="Arial" w:hAnsi="Arial" w:cs="Arial"/>
          <w:sz w:val="24"/>
          <w:szCs w:val="24"/>
        </w:rPr>
      </w:pPr>
      <w:r w:rsidRPr="00FA3F9C">
        <w:rPr>
          <w:rFonts w:ascii="Arial" w:hAnsi="Arial" w:cs="Arial"/>
          <w:sz w:val="24"/>
          <w:szCs w:val="24"/>
        </w:rPr>
        <w:t>References:</w:t>
      </w:r>
    </w:p>
    <w:p w14:paraId="797007DD" w14:textId="77777777" w:rsidR="002641D2" w:rsidRPr="00FA3F9C" w:rsidRDefault="002641D2" w:rsidP="002641D2">
      <w:pPr>
        <w:pStyle w:val="ListParagraph"/>
        <w:numPr>
          <w:ilvl w:val="0"/>
          <w:numId w:val="211"/>
        </w:numPr>
        <w:spacing w:after="0" w:line="240" w:lineRule="auto"/>
        <w:rPr>
          <w:rFonts w:ascii="Arial" w:eastAsia="Times New Roman" w:hAnsi="Arial" w:cs="Arial"/>
          <w:sz w:val="24"/>
          <w:szCs w:val="24"/>
        </w:rPr>
      </w:pPr>
      <w:r w:rsidRPr="00FA3F9C">
        <w:rPr>
          <w:rFonts w:ascii="Arial" w:eastAsia="Times New Roman" w:hAnsi="Arial" w:cs="Arial"/>
          <w:color w:val="222222"/>
          <w:sz w:val="24"/>
          <w:szCs w:val="24"/>
          <w:shd w:val="clear" w:color="auto" w:fill="FFFFFF"/>
          <w:lang w:val="fr-FR"/>
        </w:rPr>
        <w:t xml:space="preserve"> Sabatine, Marc S., et al. </w:t>
      </w:r>
      <w:r w:rsidRPr="00FA3F9C">
        <w:rPr>
          <w:rFonts w:ascii="Arial" w:eastAsia="Times New Roman" w:hAnsi="Arial" w:cs="Arial"/>
          <w:color w:val="222222"/>
          <w:sz w:val="24"/>
          <w:szCs w:val="24"/>
          <w:shd w:val="clear" w:color="auto" w:fill="FFFFFF"/>
        </w:rPr>
        <w:t>"</w:t>
      </w:r>
      <w:proofErr w:type="spellStart"/>
      <w:r w:rsidRPr="00FA3F9C">
        <w:rPr>
          <w:rFonts w:ascii="Arial" w:eastAsia="Times New Roman" w:hAnsi="Arial" w:cs="Arial"/>
          <w:color w:val="222222"/>
          <w:sz w:val="24"/>
          <w:szCs w:val="24"/>
          <w:shd w:val="clear" w:color="auto" w:fill="FFFFFF"/>
        </w:rPr>
        <w:t>Evolocumab</w:t>
      </w:r>
      <w:proofErr w:type="spellEnd"/>
      <w:r w:rsidRPr="00FA3F9C">
        <w:rPr>
          <w:rFonts w:ascii="Arial" w:eastAsia="Times New Roman" w:hAnsi="Arial" w:cs="Arial"/>
          <w:color w:val="222222"/>
          <w:sz w:val="24"/>
          <w:szCs w:val="24"/>
          <w:shd w:val="clear" w:color="auto" w:fill="FFFFFF"/>
        </w:rPr>
        <w:t xml:space="preserve"> and clinical outcomes in patients with cardiovascular disease." </w:t>
      </w:r>
      <w:r w:rsidRPr="00FA3F9C">
        <w:rPr>
          <w:rFonts w:ascii="Arial" w:eastAsia="Times New Roman" w:hAnsi="Arial" w:cs="Arial"/>
          <w:i/>
          <w:iCs/>
          <w:color w:val="222222"/>
          <w:sz w:val="24"/>
          <w:szCs w:val="24"/>
          <w:shd w:val="clear" w:color="auto" w:fill="FFFFFF"/>
        </w:rPr>
        <w:t xml:space="preserve">N </w:t>
      </w:r>
      <w:proofErr w:type="spellStart"/>
      <w:r w:rsidRPr="00FA3F9C">
        <w:rPr>
          <w:rFonts w:ascii="Arial" w:eastAsia="Times New Roman" w:hAnsi="Arial" w:cs="Arial"/>
          <w:i/>
          <w:iCs/>
          <w:color w:val="222222"/>
          <w:sz w:val="24"/>
          <w:szCs w:val="24"/>
          <w:shd w:val="clear" w:color="auto" w:fill="FFFFFF"/>
        </w:rPr>
        <w:t>Engl</w:t>
      </w:r>
      <w:proofErr w:type="spellEnd"/>
      <w:r w:rsidRPr="00FA3F9C">
        <w:rPr>
          <w:rFonts w:ascii="Arial" w:eastAsia="Times New Roman" w:hAnsi="Arial" w:cs="Arial"/>
          <w:i/>
          <w:iCs/>
          <w:color w:val="222222"/>
          <w:sz w:val="24"/>
          <w:szCs w:val="24"/>
          <w:shd w:val="clear" w:color="auto" w:fill="FFFFFF"/>
        </w:rPr>
        <w:t xml:space="preserve"> J Med</w:t>
      </w:r>
      <w:r w:rsidRPr="00FA3F9C">
        <w:rPr>
          <w:rFonts w:ascii="Arial" w:eastAsia="Times New Roman" w:hAnsi="Arial" w:cs="Arial"/>
          <w:color w:val="222222"/>
          <w:sz w:val="24"/>
          <w:szCs w:val="24"/>
          <w:shd w:val="clear" w:color="auto" w:fill="FFFFFF"/>
        </w:rPr>
        <w:t> 2017.376 (2017): 1713-1722.(FOURIER)</w:t>
      </w:r>
    </w:p>
    <w:p w14:paraId="59EA9688" w14:textId="77777777" w:rsidR="002641D2" w:rsidRPr="00FA3F9C" w:rsidRDefault="002641D2" w:rsidP="002641D2">
      <w:pPr>
        <w:pStyle w:val="ListParagraph"/>
        <w:numPr>
          <w:ilvl w:val="0"/>
          <w:numId w:val="211"/>
        </w:numPr>
        <w:spacing w:after="0" w:line="240" w:lineRule="auto"/>
        <w:rPr>
          <w:rFonts w:ascii="Arial" w:eastAsia="Times New Roman" w:hAnsi="Arial" w:cs="Arial"/>
          <w:sz w:val="24"/>
          <w:szCs w:val="24"/>
        </w:rPr>
      </w:pPr>
      <w:r w:rsidRPr="00FA3F9C">
        <w:rPr>
          <w:rFonts w:ascii="Arial" w:eastAsia="Times New Roman" w:hAnsi="Arial" w:cs="Arial"/>
          <w:color w:val="222222"/>
          <w:sz w:val="24"/>
          <w:szCs w:val="24"/>
          <w:shd w:val="clear" w:color="auto" w:fill="FFFFFF"/>
        </w:rPr>
        <w:t xml:space="preserve">This n=27,564 RCT showed that in secondary prevention patients taking optimal cholesterol reducing drugs, </w:t>
      </w:r>
      <w:proofErr w:type="spellStart"/>
      <w:r w:rsidRPr="00FA3F9C">
        <w:rPr>
          <w:rFonts w:ascii="Arial" w:eastAsia="Times New Roman" w:hAnsi="Arial" w:cs="Arial"/>
          <w:color w:val="222222"/>
          <w:sz w:val="24"/>
          <w:szCs w:val="24"/>
          <w:shd w:val="clear" w:color="auto" w:fill="FFFFFF"/>
        </w:rPr>
        <w:t>evolocumab</w:t>
      </w:r>
      <w:proofErr w:type="spellEnd"/>
      <w:r w:rsidRPr="00FA3F9C">
        <w:rPr>
          <w:rFonts w:ascii="Arial" w:eastAsia="Times New Roman" w:hAnsi="Arial" w:cs="Arial"/>
          <w:color w:val="222222"/>
          <w:sz w:val="24"/>
          <w:szCs w:val="24"/>
          <w:shd w:val="clear" w:color="auto" w:fill="FFFFFF"/>
        </w:rPr>
        <w:t xml:space="preserve"> reduced the composite (cv death, MI, stroke, hospitalization for unstable angina or coronary revascularization), the composite [of CV death, MI or stroke], MI, ischemic stroke, coronary revascularization, ischemic stroke or TIA, and the Cholesterol Treatment Trialists Collaboration (CTTC) composite end point of coronary heart death, NF MI, stroke or coronary revascularization.</w:t>
      </w:r>
    </w:p>
    <w:p w14:paraId="179DB2F4" w14:textId="77777777" w:rsidR="002641D2" w:rsidRPr="00FA3F9C" w:rsidRDefault="002641D2" w:rsidP="002641D2">
      <w:pPr>
        <w:pStyle w:val="ListParagraph"/>
        <w:numPr>
          <w:ilvl w:val="0"/>
          <w:numId w:val="211"/>
        </w:numPr>
        <w:spacing w:after="0" w:line="240" w:lineRule="auto"/>
        <w:rPr>
          <w:rFonts w:ascii="Arial" w:eastAsia="Times New Roman" w:hAnsi="Arial" w:cs="Arial"/>
          <w:sz w:val="24"/>
          <w:szCs w:val="24"/>
        </w:rPr>
      </w:pPr>
      <w:r w:rsidRPr="00FA3F9C">
        <w:rPr>
          <w:rFonts w:ascii="Arial" w:eastAsia="Times New Roman" w:hAnsi="Arial" w:cs="Arial"/>
          <w:color w:val="222222"/>
          <w:sz w:val="24"/>
          <w:szCs w:val="24"/>
          <w:shd w:val="clear" w:color="auto" w:fill="FFFFFF"/>
        </w:rPr>
        <w:t xml:space="preserve">The primary endpoint occurred in 9.8% vs 11.3%placebo (HR 0.85; 95%CI 0.79-0.92).  </w:t>
      </w:r>
    </w:p>
    <w:p w14:paraId="17E7026D" w14:textId="77777777" w:rsidR="002641D2" w:rsidRPr="00FA3F9C" w:rsidRDefault="002641D2" w:rsidP="002641D2">
      <w:pPr>
        <w:pStyle w:val="ListParagraph"/>
        <w:numPr>
          <w:ilvl w:val="0"/>
          <w:numId w:val="211"/>
        </w:numPr>
        <w:spacing w:after="0" w:line="240" w:lineRule="auto"/>
        <w:rPr>
          <w:rFonts w:ascii="Arial" w:eastAsia="Times New Roman" w:hAnsi="Arial" w:cs="Arial"/>
          <w:sz w:val="24"/>
          <w:szCs w:val="24"/>
        </w:rPr>
      </w:pPr>
      <w:r w:rsidRPr="00FA3F9C">
        <w:rPr>
          <w:rFonts w:ascii="Arial" w:eastAsia="Times New Roman" w:hAnsi="Arial" w:cs="Arial"/>
          <w:color w:val="222222"/>
          <w:sz w:val="24"/>
          <w:szCs w:val="24"/>
          <w:shd w:val="clear" w:color="auto" w:fill="FFFFFF"/>
        </w:rPr>
        <w:t>There was no reduction in all cause death or in CV death.  The mean follow up was 2.2y.</w:t>
      </w:r>
    </w:p>
    <w:p w14:paraId="1454C387" w14:textId="0921AE32" w:rsidR="002641D2" w:rsidRPr="00BE7C2A" w:rsidRDefault="002641D2" w:rsidP="002641D2">
      <w:pPr>
        <w:pStyle w:val="ListParagraph"/>
        <w:numPr>
          <w:ilvl w:val="0"/>
          <w:numId w:val="211"/>
        </w:numPr>
        <w:spacing w:after="0" w:line="240" w:lineRule="auto"/>
        <w:rPr>
          <w:rFonts w:ascii="Arial" w:eastAsia="Times New Roman" w:hAnsi="Arial" w:cs="Arial"/>
          <w:sz w:val="24"/>
          <w:szCs w:val="24"/>
        </w:rPr>
      </w:pPr>
      <w:r w:rsidRPr="00FA3F9C">
        <w:rPr>
          <w:rFonts w:ascii="Arial" w:eastAsia="Times New Roman" w:hAnsi="Arial" w:cs="Arial"/>
          <w:color w:val="222222"/>
          <w:sz w:val="24"/>
          <w:szCs w:val="24"/>
          <w:shd w:val="clear" w:color="auto" w:fill="FFFFFF"/>
        </w:rPr>
        <w:t xml:space="preserve">The patients had LDL&gt;70mg/dL or non-HDL&gt;100mg/dL AND established cardiovascular disease.  Randomized to </w:t>
      </w:r>
      <w:proofErr w:type="spellStart"/>
      <w:r w:rsidRPr="00FA3F9C">
        <w:rPr>
          <w:rFonts w:ascii="Arial" w:eastAsia="Times New Roman" w:hAnsi="Arial" w:cs="Arial"/>
          <w:color w:val="222222"/>
          <w:sz w:val="24"/>
          <w:szCs w:val="24"/>
          <w:shd w:val="clear" w:color="auto" w:fill="FFFFFF"/>
        </w:rPr>
        <w:t>evolocumab</w:t>
      </w:r>
      <w:proofErr w:type="spellEnd"/>
      <w:r w:rsidRPr="00FA3F9C">
        <w:rPr>
          <w:rFonts w:ascii="Arial" w:eastAsia="Times New Roman" w:hAnsi="Arial" w:cs="Arial"/>
          <w:color w:val="222222"/>
          <w:sz w:val="24"/>
          <w:szCs w:val="24"/>
          <w:shd w:val="clear" w:color="auto" w:fill="FFFFFF"/>
        </w:rPr>
        <w:t xml:space="preserve"> SC 140mg q2w or 420mg monthly plus high- or moderate-intensity effective statin dose; or placebo SC q2w or </w:t>
      </w:r>
      <w:proofErr w:type="spellStart"/>
      <w:r w:rsidRPr="00FA3F9C">
        <w:rPr>
          <w:rFonts w:ascii="Arial" w:eastAsia="Times New Roman" w:hAnsi="Arial" w:cs="Arial"/>
          <w:color w:val="222222"/>
          <w:sz w:val="24"/>
          <w:szCs w:val="24"/>
          <w:shd w:val="clear" w:color="auto" w:fill="FFFFFF"/>
        </w:rPr>
        <w:t>qM</w:t>
      </w:r>
      <w:proofErr w:type="spellEnd"/>
      <w:r w:rsidRPr="00FA3F9C">
        <w:rPr>
          <w:rFonts w:ascii="Arial" w:eastAsia="Times New Roman" w:hAnsi="Arial" w:cs="Arial"/>
          <w:color w:val="222222"/>
          <w:sz w:val="24"/>
          <w:szCs w:val="24"/>
          <w:shd w:val="clear" w:color="auto" w:fill="FFFFFF"/>
        </w:rPr>
        <w:t xml:space="preserve"> plus high to mod statin dose (at least </w:t>
      </w:r>
      <w:proofErr w:type="spellStart"/>
      <w:r w:rsidRPr="00FA3F9C">
        <w:rPr>
          <w:rFonts w:ascii="Arial" w:eastAsia="Times New Roman" w:hAnsi="Arial" w:cs="Arial"/>
          <w:color w:val="222222"/>
          <w:sz w:val="24"/>
          <w:szCs w:val="24"/>
          <w:shd w:val="clear" w:color="auto" w:fill="FFFFFF"/>
        </w:rPr>
        <w:t>atorva</w:t>
      </w:r>
      <w:proofErr w:type="spellEnd"/>
      <w:r w:rsidRPr="00FA3F9C">
        <w:rPr>
          <w:rFonts w:ascii="Arial" w:eastAsia="Times New Roman" w:hAnsi="Arial" w:cs="Arial"/>
          <w:color w:val="222222"/>
          <w:sz w:val="24"/>
          <w:szCs w:val="24"/>
          <w:shd w:val="clear" w:color="auto" w:fill="FFFFFF"/>
        </w:rPr>
        <w:t xml:space="preserve"> 20mg).</w:t>
      </w:r>
    </w:p>
    <w:p w14:paraId="6C2467CA" w14:textId="4BAE8FFE" w:rsidR="00BE7C2A" w:rsidRDefault="00BE7C2A" w:rsidP="00BE7C2A">
      <w:pPr>
        <w:pStyle w:val="ListParagraph"/>
        <w:spacing w:after="0" w:line="240" w:lineRule="auto"/>
        <w:rPr>
          <w:rFonts w:ascii="Arial" w:eastAsia="Times New Roman" w:hAnsi="Arial" w:cs="Arial"/>
          <w:color w:val="222222"/>
          <w:sz w:val="24"/>
          <w:szCs w:val="24"/>
          <w:shd w:val="clear" w:color="auto" w:fill="FFFFFF"/>
        </w:rPr>
      </w:pPr>
    </w:p>
    <w:p w14:paraId="02D6D46D" w14:textId="77777777" w:rsidR="00BE7C2A" w:rsidRPr="00FA3F9C" w:rsidRDefault="00BE7C2A" w:rsidP="00BE7C2A">
      <w:pPr>
        <w:pStyle w:val="ListParagraph"/>
        <w:spacing w:after="0" w:line="240" w:lineRule="auto"/>
        <w:rPr>
          <w:rFonts w:ascii="Arial" w:eastAsia="Times New Roman" w:hAnsi="Arial" w:cs="Arial"/>
          <w:sz w:val="24"/>
          <w:szCs w:val="24"/>
        </w:rPr>
      </w:pPr>
    </w:p>
    <w:p w14:paraId="32D24D57" w14:textId="77777777" w:rsidR="002641D2" w:rsidRPr="00FA3F9C" w:rsidRDefault="002641D2" w:rsidP="00BE7C2A">
      <w:pPr>
        <w:pStyle w:val="Heading2"/>
        <w:rPr>
          <w:lang w:val="es-ES"/>
        </w:rPr>
      </w:pPr>
      <w:bookmarkStart w:id="117" w:name="_Toc106369800"/>
      <w:proofErr w:type="spellStart"/>
      <w:r w:rsidRPr="00FA3F9C">
        <w:rPr>
          <w:lang w:val="es-ES"/>
        </w:rPr>
        <w:lastRenderedPageBreak/>
        <w:t>fam-trastuzumab</w:t>
      </w:r>
      <w:proofErr w:type="spellEnd"/>
      <w:r w:rsidRPr="00FA3F9C">
        <w:rPr>
          <w:lang w:val="es-ES"/>
        </w:rPr>
        <w:t xml:space="preserve"> </w:t>
      </w:r>
      <w:proofErr w:type="spellStart"/>
      <w:r w:rsidRPr="00FA3F9C">
        <w:rPr>
          <w:lang w:val="es-ES"/>
        </w:rPr>
        <w:t>deruxtecan-nxki</w:t>
      </w:r>
      <w:proofErr w:type="spellEnd"/>
      <w:r w:rsidRPr="00FA3F9C">
        <w:rPr>
          <w:lang w:val="es-ES"/>
        </w:rPr>
        <w:t xml:space="preserve"> (</w:t>
      </w:r>
      <w:proofErr w:type="spellStart"/>
      <w:r w:rsidRPr="00FA3F9C">
        <w:rPr>
          <w:lang w:val="es-ES"/>
        </w:rPr>
        <w:t>Enhertu</w:t>
      </w:r>
      <w:proofErr w:type="spellEnd"/>
      <w:r w:rsidRPr="00FA3F9C">
        <w:rPr>
          <w:lang w:val="es-ES"/>
        </w:rPr>
        <w:t>)</w:t>
      </w:r>
      <w:bookmarkEnd w:id="117"/>
    </w:p>
    <w:p w14:paraId="48EDBEFD" w14:textId="77777777" w:rsidR="002641D2" w:rsidRPr="00FA3F9C" w:rsidRDefault="002641D2" w:rsidP="006F623F">
      <w:pPr>
        <w:spacing w:after="0"/>
        <w:jc w:val="center"/>
        <w:rPr>
          <w:rFonts w:ascii="Arial" w:hAnsi="Arial" w:cs="Arial"/>
          <w:sz w:val="24"/>
          <w:szCs w:val="24"/>
        </w:rPr>
      </w:pPr>
      <w:r w:rsidRPr="00FA3F9C">
        <w:rPr>
          <w:rFonts w:ascii="Arial" w:hAnsi="Arial" w:cs="Arial"/>
          <w:sz w:val="24"/>
          <w:szCs w:val="24"/>
        </w:rPr>
        <w:t>EBRx PA Criteria</w:t>
      </w:r>
    </w:p>
    <w:p w14:paraId="63C4C9EF" w14:textId="77777777" w:rsidR="002641D2" w:rsidRPr="00FA3F9C" w:rsidRDefault="002641D2" w:rsidP="006F623F">
      <w:pPr>
        <w:spacing w:after="0"/>
        <w:rPr>
          <w:rFonts w:ascii="Arial" w:hAnsi="Arial" w:cs="Arial"/>
          <w:b/>
          <w:sz w:val="24"/>
          <w:szCs w:val="24"/>
          <w:u w:val="single"/>
        </w:rPr>
      </w:pPr>
    </w:p>
    <w:p w14:paraId="0F83CC10" w14:textId="77777777" w:rsidR="002641D2" w:rsidRPr="00FA3F9C" w:rsidRDefault="002641D2"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w:t>
      </w:r>
    </w:p>
    <w:p w14:paraId="4E384D6A" w14:textId="77777777" w:rsidR="002641D2" w:rsidRPr="00FA3F9C" w:rsidRDefault="002641D2" w:rsidP="002641D2">
      <w:pPr>
        <w:pStyle w:val="ListParagraph"/>
        <w:numPr>
          <w:ilvl w:val="0"/>
          <w:numId w:val="214"/>
        </w:numPr>
        <w:spacing w:after="0" w:line="276" w:lineRule="auto"/>
        <w:rPr>
          <w:rFonts w:ascii="Arial" w:hAnsi="Arial" w:cs="Arial"/>
          <w:sz w:val="24"/>
          <w:szCs w:val="24"/>
        </w:rPr>
      </w:pPr>
      <w:r w:rsidRPr="00FA3F9C">
        <w:rPr>
          <w:rFonts w:ascii="Arial" w:hAnsi="Arial" w:cs="Arial"/>
          <w:sz w:val="24"/>
          <w:szCs w:val="24"/>
        </w:rPr>
        <w:t xml:space="preserve">Adult patients with unresectable or metastatic HER2-positive breast cancer who have received two or more prior anti-HER2-based regimens in the metastatic setting. </w:t>
      </w:r>
      <w:r w:rsidRPr="00FA3F9C">
        <w:rPr>
          <w:rFonts w:ascii="Arial" w:hAnsi="Arial" w:cs="Arial"/>
          <w:sz w:val="24"/>
          <w:szCs w:val="24"/>
          <w:highlight w:val="yellow"/>
        </w:rPr>
        <w:t>NOT COVERED</w:t>
      </w:r>
      <w:r w:rsidRPr="00FA3F9C">
        <w:rPr>
          <w:rFonts w:ascii="Arial" w:hAnsi="Arial" w:cs="Arial"/>
          <w:sz w:val="24"/>
          <w:szCs w:val="24"/>
        </w:rPr>
        <w:t xml:space="preserve"> data is limited to progression free survival.</w:t>
      </w:r>
    </w:p>
    <w:p w14:paraId="60FEBFE9" w14:textId="77777777" w:rsidR="002641D2" w:rsidRPr="00FA3F9C" w:rsidRDefault="002641D2" w:rsidP="002641D2">
      <w:pPr>
        <w:pStyle w:val="ListParagraph"/>
        <w:numPr>
          <w:ilvl w:val="1"/>
          <w:numId w:val="214"/>
        </w:numPr>
        <w:spacing w:after="0" w:line="276" w:lineRule="auto"/>
        <w:rPr>
          <w:rFonts w:ascii="Arial" w:hAnsi="Arial" w:cs="Arial"/>
          <w:sz w:val="24"/>
          <w:szCs w:val="24"/>
        </w:rPr>
      </w:pPr>
      <w:r w:rsidRPr="00FA3F9C">
        <w:rPr>
          <w:rFonts w:ascii="Arial" w:hAnsi="Arial" w:cs="Arial"/>
          <w:sz w:val="24"/>
          <w:szCs w:val="24"/>
        </w:rPr>
        <w:t xml:space="preserve">This indication is approved under accelerated approval based on tumor response rate and duration of response. Continued approval for this indication may be contingent upon verification and description of clinical benefit in a confirmatory trial. Reference for original trial: Modi Set al. N </w:t>
      </w:r>
      <w:proofErr w:type="spellStart"/>
      <w:r w:rsidRPr="00FA3F9C">
        <w:rPr>
          <w:rFonts w:ascii="Arial" w:hAnsi="Arial" w:cs="Arial"/>
          <w:sz w:val="24"/>
          <w:szCs w:val="24"/>
        </w:rPr>
        <w:t>Engl</w:t>
      </w:r>
      <w:proofErr w:type="spellEnd"/>
      <w:r w:rsidRPr="00FA3F9C">
        <w:rPr>
          <w:rFonts w:ascii="Arial" w:hAnsi="Arial" w:cs="Arial"/>
          <w:sz w:val="24"/>
          <w:szCs w:val="24"/>
        </w:rPr>
        <w:t xml:space="preserve"> J Med. 2020 Feb 13;382(7):610-621. PMID: 31825192. Follow NCT03523585 (phase 3 DESTINY-Breast02)</w:t>
      </w:r>
    </w:p>
    <w:p w14:paraId="281536C5" w14:textId="77777777" w:rsidR="002641D2" w:rsidRPr="00FA3F9C" w:rsidRDefault="002641D2" w:rsidP="002641D2">
      <w:pPr>
        <w:pStyle w:val="ListParagraph"/>
        <w:numPr>
          <w:ilvl w:val="1"/>
          <w:numId w:val="214"/>
        </w:numPr>
        <w:spacing w:after="0" w:line="276" w:lineRule="auto"/>
        <w:rPr>
          <w:rFonts w:ascii="Arial" w:hAnsi="Arial" w:cs="Arial"/>
          <w:sz w:val="24"/>
          <w:szCs w:val="24"/>
        </w:rPr>
      </w:pPr>
      <w:r w:rsidRPr="00FA3F9C">
        <w:rPr>
          <w:rFonts w:ascii="Arial" w:hAnsi="Arial" w:cs="Arial"/>
          <w:sz w:val="24"/>
          <w:szCs w:val="24"/>
        </w:rPr>
        <w:t xml:space="preserve">Update: New data have been published demonstrating a large progression free survival benefit of </w:t>
      </w:r>
      <w:proofErr w:type="spellStart"/>
      <w:r w:rsidRPr="00FA3F9C">
        <w:rPr>
          <w:rFonts w:ascii="Arial" w:hAnsi="Arial" w:cs="Arial"/>
          <w:sz w:val="24"/>
          <w:szCs w:val="24"/>
        </w:rPr>
        <w:t>Enhertu</w:t>
      </w:r>
      <w:proofErr w:type="spellEnd"/>
      <w:r w:rsidRPr="00FA3F9C">
        <w:rPr>
          <w:rFonts w:ascii="Arial" w:hAnsi="Arial" w:cs="Arial"/>
          <w:sz w:val="24"/>
          <w:szCs w:val="24"/>
        </w:rPr>
        <w:t xml:space="preserve"> in the 2</w:t>
      </w:r>
      <w:r w:rsidRPr="00FA3F9C">
        <w:rPr>
          <w:rFonts w:ascii="Arial" w:hAnsi="Arial" w:cs="Arial"/>
          <w:sz w:val="24"/>
          <w:szCs w:val="24"/>
          <w:vertAlign w:val="superscript"/>
        </w:rPr>
        <w:t>nd</w:t>
      </w:r>
      <w:r w:rsidRPr="00FA3F9C">
        <w:rPr>
          <w:rFonts w:ascii="Arial" w:hAnsi="Arial" w:cs="Arial"/>
          <w:sz w:val="24"/>
          <w:szCs w:val="24"/>
        </w:rPr>
        <w:t xml:space="preserve"> line setting compared to </w:t>
      </w:r>
      <w:proofErr w:type="spellStart"/>
      <w:r w:rsidRPr="00FA3F9C">
        <w:rPr>
          <w:rFonts w:ascii="Arial" w:hAnsi="Arial" w:cs="Arial"/>
          <w:sz w:val="24"/>
          <w:szCs w:val="24"/>
        </w:rPr>
        <w:t>ado</w:t>
      </w:r>
      <w:proofErr w:type="spellEnd"/>
      <w:r w:rsidRPr="00FA3F9C">
        <w:rPr>
          <w:rFonts w:ascii="Arial" w:hAnsi="Arial" w:cs="Arial"/>
          <w:sz w:val="24"/>
          <w:szCs w:val="24"/>
        </w:rPr>
        <w:t>-trastuzumab emtansine (</w:t>
      </w:r>
      <w:proofErr w:type="spellStart"/>
      <w:r w:rsidRPr="00FA3F9C">
        <w:rPr>
          <w:rFonts w:ascii="Arial" w:hAnsi="Arial" w:cs="Arial"/>
          <w:sz w:val="24"/>
          <w:szCs w:val="24"/>
        </w:rPr>
        <w:t>Kadcyla</w:t>
      </w:r>
      <w:proofErr w:type="spellEnd"/>
      <w:r w:rsidRPr="00FA3F9C">
        <w:rPr>
          <w:rFonts w:ascii="Arial" w:hAnsi="Arial" w:cs="Arial"/>
          <w:sz w:val="24"/>
          <w:szCs w:val="24"/>
        </w:rPr>
        <w:t xml:space="preserve">) (at least 19 </w:t>
      </w:r>
      <w:proofErr w:type="spellStart"/>
      <w:r w:rsidRPr="00FA3F9C">
        <w:rPr>
          <w:rFonts w:ascii="Arial" w:hAnsi="Arial" w:cs="Arial"/>
          <w:sz w:val="24"/>
          <w:szCs w:val="24"/>
        </w:rPr>
        <w:t>mo</w:t>
      </w:r>
      <w:proofErr w:type="spellEnd"/>
      <w:r w:rsidRPr="00FA3F9C">
        <w:rPr>
          <w:rFonts w:ascii="Arial" w:hAnsi="Arial" w:cs="Arial"/>
          <w:sz w:val="24"/>
          <w:szCs w:val="24"/>
        </w:rPr>
        <w:t xml:space="preserve"> versus 6.8 </w:t>
      </w:r>
      <w:proofErr w:type="spellStart"/>
      <w:r w:rsidRPr="00FA3F9C">
        <w:rPr>
          <w:rFonts w:ascii="Arial" w:hAnsi="Arial" w:cs="Arial"/>
          <w:sz w:val="24"/>
          <w:szCs w:val="24"/>
        </w:rPr>
        <w:t>mo</w:t>
      </w:r>
      <w:proofErr w:type="spellEnd"/>
      <w:r w:rsidRPr="00FA3F9C">
        <w:rPr>
          <w:rFonts w:ascii="Arial" w:hAnsi="Arial" w:cs="Arial"/>
          <w:sz w:val="24"/>
          <w:szCs w:val="24"/>
        </w:rPr>
        <w:t xml:space="preserve">; HR 0.28). At the time of data cutoff for the interim analysis, the rate of overall survival at 12 months was 94.1% in the </w:t>
      </w:r>
      <w:proofErr w:type="spellStart"/>
      <w:r w:rsidRPr="00FA3F9C">
        <w:rPr>
          <w:rFonts w:ascii="Arial" w:hAnsi="Arial" w:cs="Arial"/>
          <w:sz w:val="24"/>
          <w:szCs w:val="24"/>
        </w:rPr>
        <w:t>Enhertu</w:t>
      </w:r>
      <w:proofErr w:type="spellEnd"/>
      <w:r w:rsidRPr="00FA3F9C">
        <w:rPr>
          <w:rFonts w:ascii="Arial" w:hAnsi="Arial" w:cs="Arial"/>
          <w:sz w:val="24"/>
          <w:szCs w:val="24"/>
        </w:rPr>
        <w:t xml:space="preserve"> group and 85.9% (95% CI, 80.9 to 89.7) with </w:t>
      </w:r>
      <w:proofErr w:type="spellStart"/>
      <w:r w:rsidRPr="00FA3F9C">
        <w:rPr>
          <w:rFonts w:ascii="Arial" w:hAnsi="Arial" w:cs="Arial"/>
          <w:sz w:val="24"/>
          <w:szCs w:val="24"/>
        </w:rPr>
        <w:t>Kadcyla</w:t>
      </w:r>
      <w:proofErr w:type="spellEnd"/>
      <w:r w:rsidRPr="00FA3F9C">
        <w:rPr>
          <w:rFonts w:ascii="Arial" w:hAnsi="Arial" w:cs="Arial"/>
          <w:sz w:val="24"/>
          <w:szCs w:val="24"/>
        </w:rPr>
        <w:t>. The OS difference did not reach the prespecified cutoff for significance (P&lt;0.000265) (hazard ratio for death, 0.55; 95% CI, 0.36 to 0.86; P=0.007).</w:t>
      </w:r>
    </w:p>
    <w:p w14:paraId="50E2F756" w14:textId="77777777" w:rsidR="002641D2" w:rsidRPr="00FA3F9C" w:rsidRDefault="002641D2" w:rsidP="00451E97">
      <w:pPr>
        <w:pStyle w:val="ListParagraph"/>
        <w:spacing w:after="0"/>
        <w:ind w:left="1440"/>
        <w:rPr>
          <w:rFonts w:ascii="Arial" w:hAnsi="Arial" w:cs="Arial"/>
          <w:sz w:val="24"/>
          <w:szCs w:val="24"/>
        </w:rPr>
      </w:pPr>
      <w:r w:rsidRPr="00FA3F9C">
        <w:rPr>
          <w:rFonts w:ascii="Arial" w:hAnsi="Arial" w:cs="Arial"/>
          <w:b/>
          <w:sz w:val="24"/>
          <w:szCs w:val="24"/>
          <w:u w:val="single"/>
        </w:rPr>
        <w:t>Reference</w:t>
      </w:r>
      <w:r w:rsidRPr="00FA3F9C">
        <w:rPr>
          <w:rFonts w:ascii="Arial" w:hAnsi="Arial" w:cs="Arial"/>
          <w:sz w:val="24"/>
          <w:szCs w:val="24"/>
        </w:rPr>
        <w:t xml:space="preserve">: Cortés J, Kim SB, Chung WP, et al. Trastuzumab </w:t>
      </w:r>
      <w:proofErr w:type="spellStart"/>
      <w:r w:rsidRPr="00FA3F9C">
        <w:rPr>
          <w:rFonts w:ascii="Arial" w:hAnsi="Arial" w:cs="Arial"/>
          <w:sz w:val="24"/>
          <w:szCs w:val="24"/>
        </w:rPr>
        <w:t>Deruxtecan</w:t>
      </w:r>
      <w:proofErr w:type="spellEnd"/>
      <w:r w:rsidRPr="00FA3F9C">
        <w:rPr>
          <w:rFonts w:ascii="Arial" w:hAnsi="Arial" w:cs="Arial"/>
          <w:sz w:val="24"/>
          <w:szCs w:val="24"/>
        </w:rPr>
        <w:t xml:space="preserve"> versus Trastuzumab Emtansine for Breast Cancer. N </w:t>
      </w:r>
      <w:proofErr w:type="spellStart"/>
      <w:r w:rsidRPr="00FA3F9C">
        <w:rPr>
          <w:rFonts w:ascii="Arial" w:hAnsi="Arial" w:cs="Arial"/>
          <w:sz w:val="24"/>
          <w:szCs w:val="24"/>
        </w:rPr>
        <w:t>Engl</w:t>
      </w:r>
      <w:proofErr w:type="spellEnd"/>
      <w:r w:rsidRPr="00FA3F9C">
        <w:rPr>
          <w:rFonts w:ascii="Arial" w:hAnsi="Arial" w:cs="Arial"/>
          <w:sz w:val="24"/>
          <w:szCs w:val="24"/>
        </w:rPr>
        <w:t xml:space="preserve"> J Med. 2022;386(12):1143-1154. doi:10.1056/NEJMoa2115022</w:t>
      </w:r>
    </w:p>
    <w:p w14:paraId="2E377AEE" w14:textId="77777777" w:rsidR="002641D2" w:rsidRPr="00FA3F9C" w:rsidRDefault="002641D2" w:rsidP="002641D2">
      <w:pPr>
        <w:pStyle w:val="ListParagraph"/>
        <w:numPr>
          <w:ilvl w:val="0"/>
          <w:numId w:val="214"/>
        </w:numPr>
        <w:spacing w:after="0" w:line="276" w:lineRule="auto"/>
        <w:rPr>
          <w:rFonts w:ascii="Arial" w:hAnsi="Arial" w:cs="Arial"/>
          <w:sz w:val="24"/>
          <w:szCs w:val="24"/>
        </w:rPr>
      </w:pPr>
      <w:r w:rsidRPr="00FA3F9C">
        <w:rPr>
          <w:rFonts w:ascii="Arial" w:hAnsi="Arial" w:cs="Arial"/>
          <w:sz w:val="24"/>
          <w:szCs w:val="24"/>
        </w:rPr>
        <w:t xml:space="preserve">Adult patients with locally advanced or metastatic HER2-positive gastric or gastroesophageal junction adenocarcinoma who have received a prior trastuzumab-based regimen. </w:t>
      </w:r>
      <w:r w:rsidRPr="00FA3F9C">
        <w:rPr>
          <w:rFonts w:ascii="Arial" w:hAnsi="Arial" w:cs="Arial"/>
          <w:sz w:val="24"/>
          <w:szCs w:val="24"/>
          <w:highlight w:val="cyan"/>
        </w:rPr>
        <w:t>SEE CRITERIA</w:t>
      </w:r>
    </w:p>
    <w:tbl>
      <w:tblPr>
        <w:tblStyle w:val="TableGrid"/>
        <w:tblW w:w="0" w:type="auto"/>
        <w:tblLook w:val="04A0" w:firstRow="1" w:lastRow="0" w:firstColumn="1" w:lastColumn="0" w:noHBand="0" w:noVBand="1"/>
      </w:tblPr>
      <w:tblGrid>
        <w:gridCol w:w="8928"/>
        <w:gridCol w:w="2088"/>
      </w:tblGrid>
      <w:tr w:rsidR="002641D2" w:rsidRPr="00FA3F9C" w14:paraId="05B5E3B8" w14:textId="77777777" w:rsidTr="00571CAB">
        <w:tc>
          <w:tcPr>
            <w:tcW w:w="8928" w:type="dxa"/>
            <w:shd w:val="clear" w:color="auto" w:fill="000000"/>
          </w:tcPr>
          <w:p w14:paraId="2173CA63" w14:textId="77777777" w:rsidR="002641D2" w:rsidRPr="00FA3F9C" w:rsidRDefault="002641D2"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88" w:type="dxa"/>
            <w:shd w:val="clear" w:color="auto" w:fill="000000"/>
          </w:tcPr>
          <w:p w14:paraId="72280E34" w14:textId="77777777" w:rsidR="002641D2" w:rsidRPr="00FA3F9C" w:rsidRDefault="002641D2" w:rsidP="006F623F">
            <w:pPr>
              <w:jc w:val="center"/>
              <w:rPr>
                <w:rFonts w:ascii="Arial" w:hAnsi="Arial" w:cs="Arial"/>
                <w:b/>
                <w:sz w:val="24"/>
                <w:szCs w:val="24"/>
                <w:u w:val="single"/>
              </w:rPr>
            </w:pPr>
          </w:p>
        </w:tc>
      </w:tr>
      <w:tr w:rsidR="002641D2" w:rsidRPr="00FA3F9C" w14:paraId="155F3AA3" w14:textId="77777777" w:rsidTr="00F337AE">
        <w:tc>
          <w:tcPr>
            <w:tcW w:w="11016" w:type="dxa"/>
            <w:gridSpan w:val="2"/>
          </w:tcPr>
          <w:p w14:paraId="2DEDC304" w14:textId="77777777" w:rsidR="002641D2" w:rsidRPr="00FA3F9C" w:rsidRDefault="002641D2" w:rsidP="006F623F">
            <w:pPr>
              <w:rPr>
                <w:rFonts w:ascii="Arial" w:hAnsi="Arial" w:cs="Arial"/>
                <w:sz w:val="24"/>
                <w:szCs w:val="24"/>
              </w:rPr>
            </w:pPr>
            <w:r w:rsidRPr="00FA3F9C">
              <w:rPr>
                <w:rFonts w:ascii="Arial" w:hAnsi="Arial" w:cs="Arial"/>
                <w:sz w:val="24"/>
                <w:szCs w:val="24"/>
              </w:rPr>
              <w:t>1. Diagnosis of locally advanced or metastatic gastric or gastroesophageal junction adenocarcinoma</w:t>
            </w:r>
          </w:p>
        </w:tc>
      </w:tr>
      <w:tr w:rsidR="002641D2" w:rsidRPr="00FA3F9C" w14:paraId="54F7CD9C" w14:textId="77777777" w:rsidTr="00B1617E">
        <w:tc>
          <w:tcPr>
            <w:tcW w:w="11016" w:type="dxa"/>
            <w:gridSpan w:val="2"/>
          </w:tcPr>
          <w:p w14:paraId="01592BF4" w14:textId="77777777" w:rsidR="002641D2" w:rsidRPr="00FA3F9C" w:rsidRDefault="002641D2" w:rsidP="006F623F">
            <w:pPr>
              <w:rPr>
                <w:rFonts w:ascii="Arial" w:hAnsi="Arial" w:cs="Arial"/>
                <w:sz w:val="24"/>
                <w:szCs w:val="24"/>
              </w:rPr>
            </w:pPr>
            <w:r w:rsidRPr="00FA3F9C">
              <w:rPr>
                <w:rFonts w:ascii="Arial" w:hAnsi="Arial" w:cs="Arial"/>
                <w:sz w:val="24"/>
                <w:szCs w:val="24"/>
              </w:rPr>
              <w:t>2. Disease progression after at least two prior regimens which included a fluoropyrimidine, a platinum, agent, and trastuzumab</w:t>
            </w:r>
          </w:p>
        </w:tc>
      </w:tr>
      <w:tr w:rsidR="002641D2" w:rsidRPr="00FA3F9C" w14:paraId="77945A45" w14:textId="77777777" w:rsidTr="0010789D">
        <w:tc>
          <w:tcPr>
            <w:tcW w:w="11016" w:type="dxa"/>
            <w:gridSpan w:val="2"/>
          </w:tcPr>
          <w:p w14:paraId="4197CCB0" w14:textId="77777777" w:rsidR="002641D2" w:rsidRPr="00FA3F9C" w:rsidRDefault="002641D2" w:rsidP="00CE722E">
            <w:pPr>
              <w:rPr>
                <w:rFonts w:ascii="Arial" w:hAnsi="Arial" w:cs="Arial"/>
                <w:sz w:val="24"/>
                <w:szCs w:val="24"/>
              </w:rPr>
            </w:pPr>
            <w:r w:rsidRPr="00FA3F9C">
              <w:rPr>
                <w:rFonts w:ascii="Arial" w:hAnsi="Arial" w:cs="Arial"/>
                <w:sz w:val="24"/>
                <w:szCs w:val="24"/>
              </w:rPr>
              <w:t>3. Tumor is HER2 positive (score of 3+ on immunohistochemical analysis or score of 2+ with positive results on in situ hybridization)</w:t>
            </w:r>
          </w:p>
        </w:tc>
      </w:tr>
      <w:tr w:rsidR="002641D2" w:rsidRPr="00FA3F9C" w14:paraId="7799A2B5" w14:textId="77777777" w:rsidTr="00DA57E0">
        <w:tc>
          <w:tcPr>
            <w:tcW w:w="11016" w:type="dxa"/>
            <w:gridSpan w:val="2"/>
          </w:tcPr>
          <w:p w14:paraId="1157FD35" w14:textId="77777777" w:rsidR="002641D2" w:rsidRPr="00FA3F9C" w:rsidRDefault="002641D2" w:rsidP="006F623F">
            <w:pPr>
              <w:rPr>
                <w:rFonts w:ascii="Arial" w:hAnsi="Arial" w:cs="Arial"/>
                <w:sz w:val="24"/>
                <w:szCs w:val="24"/>
              </w:rPr>
            </w:pPr>
            <w:r w:rsidRPr="00FA3F9C">
              <w:rPr>
                <w:rFonts w:ascii="Arial" w:hAnsi="Arial" w:cs="Arial"/>
                <w:sz w:val="24"/>
                <w:szCs w:val="24"/>
              </w:rPr>
              <w:t>4. ECOG performance status is 0 or 1 (on a scale of 0 to 5, with higher numbers indicating greater disability)</w:t>
            </w:r>
          </w:p>
        </w:tc>
      </w:tr>
      <w:tr w:rsidR="002641D2" w:rsidRPr="00FA3F9C" w14:paraId="1D90B53C" w14:textId="77777777" w:rsidTr="00C264DB">
        <w:tc>
          <w:tcPr>
            <w:tcW w:w="11016" w:type="dxa"/>
            <w:gridSpan w:val="2"/>
            <w:shd w:val="clear" w:color="auto" w:fill="F2F2F2" w:themeFill="background1" w:themeFillShade="F2"/>
          </w:tcPr>
          <w:p w14:paraId="5C03EC65" w14:textId="77777777" w:rsidR="002641D2" w:rsidRPr="00FA3F9C" w:rsidRDefault="002641D2" w:rsidP="006F623F">
            <w:pPr>
              <w:rPr>
                <w:rFonts w:ascii="Arial" w:hAnsi="Arial" w:cs="Arial"/>
                <w:sz w:val="24"/>
                <w:szCs w:val="24"/>
              </w:rPr>
            </w:pPr>
            <w:r w:rsidRPr="00FA3F9C">
              <w:rPr>
                <w:rFonts w:ascii="Arial" w:hAnsi="Arial" w:cs="Arial"/>
                <w:sz w:val="24"/>
                <w:szCs w:val="24"/>
              </w:rPr>
              <w:t>If all criteria are met, approve for 12 months</w:t>
            </w:r>
          </w:p>
        </w:tc>
      </w:tr>
    </w:tbl>
    <w:p w14:paraId="538590C4" w14:textId="77777777" w:rsidR="002641D2" w:rsidRPr="00FA3F9C" w:rsidRDefault="002641D2" w:rsidP="006F623F">
      <w:pPr>
        <w:spacing w:after="0"/>
        <w:rPr>
          <w:rFonts w:ascii="Arial" w:hAnsi="Arial" w:cs="Arial"/>
          <w:b/>
          <w:sz w:val="24"/>
          <w:szCs w:val="24"/>
          <w:u w:val="single"/>
        </w:rPr>
      </w:pPr>
    </w:p>
    <w:tbl>
      <w:tblPr>
        <w:tblStyle w:val="TableGrid"/>
        <w:tblW w:w="0" w:type="auto"/>
        <w:shd w:val="clear" w:color="auto" w:fill="BFBFBF" w:themeFill="background1" w:themeFillShade="BF"/>
        <w:tblLook w:val="04A0" w:firstRow="1" w:lastRow="0" w:firstColumn="1" w:lastColumn="0" w:noHBand="0" w:noVBand="1"/>
      </w:tblPr>
      <w:tblGrid>
        <w:gridCol w:w="10998"/>
      </w:tblGrid>
      <w:tr w:rsidR="002641D2" w:rsidRPr="00FA3F9C" w14:paraId="10D6A2DD" w14:textId="77777777" w:rsidTr="00D82B6E">
        <w:tc>
          <w:tcPr>
            <w:tcW w:w="10998" w:type="dxa"/>
            <w:shd w:val="clear" w:color="auto" w:fill="BFBFBF" w:themeFill="background1" w:themeFillShade="BF"/>
          </w:tcPr>
          <w:p w14:paraId="460FA477" w14:textId="77777777" w:rsidR="002641D2" w:rsidRPr="00FA3F9C" w:rsidRDefault="002641D2" w:rsidP="00D82B6E">
            <w:pPr>
              <w:rPr>
                <w:rFonts w:ascii="Arial" w:hAnsi="Arial" w:cs="Arial"/>
                <w:sz w:val="24"/>
                <w:szCs w:val="24"/>
              </w:rPr>
            </w:pPr>
            <w:r w:rsidRPr="00FA3F9C">
              <w:rPr>
                <w:rFonts w:ascii="Arial" w:hAnsi="Arial" w:cs="Arial"/>
                <w:sz w:val="24"/>
                <w:szCs w:val="24"/>
              </w:rPr>
              <w:t xml:space="preserve">Note: </w:t>
            </w:r>
          </w:p>
          <w:p w14:paraId="61254D55" w14:textId="77777777" w:rsidR="002641D2" w:rsidRPr="00FA3F9C" w:rsidRDefault="002641D2" w:rsidP="00D82B6E">
            <w:pPr>
              <w:rPr>
                <w:rFonts w:ascii="Arial" w:hAnsi="Arial" w:cs="Arial"/>
                <w:sz w:val="24"/>
                <w:szCs w:val="24"/>
              </w:rPr>
            </w:pPr>
          </w:p>
          <w:p w14:paraId="6F14A97E" w14:textId="77777777" w:rsidR="002641D2" w:rsidRPr="00FA3F9C" w:rsidRDefault="002641D2" w:rsidP="00D82B6E">
            <w:pPr>
              <w:rPr>
                <w:rFonts w:ascii="Arial" w:hAnsi="Arial" w:cs="Arial"/>
                <w:sz w:val="24"/>
                <w:szCs w:val="24"/>
              </w:rPr>
            </w:pPr>
            <w:r w:rsidRPr="00FA3F9C">
              <w:rPr>
                <w:rFonts w:ascii="Arial" w:hAnsi="Arial" w:cs="Arial"/>
                <w:sz w:val="24"/>
                <w:szCs w:val="24"/>
              </w:rPr>
              <w:t>Dose: 6.4 mg/kg IV over 30-90 minutes every 3 weeks until disease progression</w:t>
            </w:r>
          </w:p>
          <w:p w14:paraId="06B72B08" w14:textId="77777777" w:rsidR="002641D2" w:rsidRPr="00FA3F9C" w:rsidRDefault="002641D2" w:rsidP="00D82B6E">
            <w:pPr>
              <w:rPr>
                <w:rFonts w:ascii="Arial" w:hAnsi="Arial" w:cs="Arial"/>
                <w:sz w:val="24"/>
                <w:szCs w:val="24"/>
              </w:rPr>
            </w:pPr>
          </w:p>
          <w:p w14:paraId="3BFA86E2" w14:textId="77777777" w:rsidR="002641D2" w:rsidRPr="00FA3F9C" w:rsidRDefault="002641D2" w:rsidP="002641D2">
            <w:pPr>
              <w:pStyle w:val="ListParagraph"/>
              <w:numPr>
                <w:ilvl w:val="0"/>
                <w:numId w:val="215"/>
              </w:numPr>
              <w:rPr>
                <w:rFonts w:ascii="Arial" w:hAnsi="Arial" w:cs="Arial"/>
                <w:sz w:val="24"/>
                <w:szCs w:val="24"/>
              </w:rPr>
            </w:pPr>
            <w:r w:rsidRPr="00FA3F9C">
              <w:rPr>
                <w:rFonts w:ascii="Arial" w:hAnsi="Arial" w:cs="Arial"/>
                <w:sz w:val="24"/>
                <w:szCs w:val="24"/>
              </w:rPr>
              <w:t xml:space="preserve">Patients meeting the above criteria were randomized to either </w:t>
            </w:r>
            <w:proofErr w:type="spellStart"/>
            <w:r w:rsidRPr="00FA3F9C">
              <w:rPr>
                <w:rFonts w:ascii="Arial" w:hAnsi="Arial" w:cs="Arial"/>
                <w:sz w:val="24"/>
                <w:szCs w:val="24"/>
              </w:rPr>
              <w:t>Enhertu</w:t>
            </w:r>
            <w:proofErr w:type="spellEnd"/>
            <w:r w:rsidRPr="00FA3F9C">
              <w:rPr>
                <w:rFonts w:ascii="Arial" w:hAnsi="Arial" w:cs="Arial"/>
                <w:sz w:val="24"/>
                <w:szCs w:val="24"/>
              </w:rPr>
              <w:t xml:space="preserve"> or standard chemotherapy (irinotecan or paclitaxel) Overall survival was improved in the </w:t>
            </w:r>
            <w:proofErr w:type="spellStart"/>
            <w:r w:rsidRPr="00FA3F9C">
              <w:rPr>
                <w:rFonts w:ascii="Arial" w:hAnsi="Arial" w:cs="Arial"/>
                <w:sz w:val="24"/>
                <w:szCs w:val="24"/>
              </w:rPr>
              <w:t>Enhertu</w:t>
            </w:r>
            <w:proofErr w:type="spellEnd"/>
            <w:r w:rsidRPr="00FA3F9C">
              <w:rPr>
                <w:rFonts w:ascii="Arial" w:hAnsi="Arial" w:cs="Arial"/>
                <w:sz w:val="24"/>
                <w:szCs w:val="24"/>
              </w:rPr>
              <w:t xml:space="preserve"> group (12.5 </w:t>
            </w:r>
            <w:proofErr w:type="spellStart"/>
            <w:r w:rsidRPr="00FA3F9C">
              <w:rPr>
                <w:rFonts w:ascii="Arial" w:hAnsi="Arial" w:cs="Arial"/>
                <w:sz w:val="24"/>
                <w:szCs w:val="24"/>
              </w:rPr>
              <w:t>mo</w:t>
            </w:r>
            <w:proofErr w:type="spellEnd"/>
            <w:r w:rsidRPr="00FA3F9C">
              <w:rPr>
                <w:rFonts w:ascii="Arial" w:hAnsi="Arial" w:cs="Arial"/>
                <w:sz w:val="24"/>
                <w:szCs w:val="24"/>
              </w:rPr>
              <w:t xml:space="preserve"> versus 8.4 </w:t>
            </w:r>
            <w:proofErr w:type="spellStart"/>
            <w:proofErr w:type="gramStart"/>
            <w:r w:rsidRPr="00FA3F9C">
              <w:rPr>
                <w:rFonts w:ascii="Arial" w:hAnsi="Arial" w:cs="Arial"/>
                <w:sz w:val="24"/>
                <w:szCs w:val="24"/>
              </w:rPr>
              <w:t>mo</w:t>
            </w:r>
            <w:proofErr w:type="spellEnd"/>
            <w:r w:rsidRPr="00FA3F9C">
              <w:rPr>
                <w:rFonts w:ascii="Arial" w:hAnsi="Arial" w:cs="Arial"/>
                <w:sz w:val="24"/>
                <w:szCs w:val="24"/>
              </w:rPr>
              <w:t>;</w:t>
            </w:r>
            <w:proofErr w:type="gramEnd"/>
            <w:r w:rsidRPr="00FA3F9C">
              <w:rPr>
                <w:rFonts w:ascii="Arial" w:hAnsi="Arial" w:cs="Arial"/>
                <w:sz w:val="24"/>
                <w:szCs w:val="24"/>
              </w:rPr>
              <w:t xml:space="preserve"> HR 0.59, 95% CI 0.39-0.88). Response rate was also higher in the </w:t>
            </w:r>
            <w:proofErr w:type="spellStart"/>
            <w:r w:rsidRPr="00FA3F9C">
              <w:rPr>
                <w:rFonts w:ascii="Arial" w:hAnsi="Arial" w:cs="Arial"/>
                <w:sz w:val="24"/>
                <w:szCs w:val="24"/>
              </w:rPr>
              <w:t>Enhertu</w:t>
            </w:r>
            <w:proofErr w:type="spellEnd"/>
            <w:r w:rsidRPr="00FA3F9C">
              <w:rPr>
                <w:rFonts w:ascii="Arial" w:hAnsi="Arial" w:cs="Arial"/>
                <w:sz w:val="24"/>
                <w:szCs w:val="24"/>
              </w:rPr>
              <w:t xml:space="preserve"> group (40.5% vs 11.3%).</w:t>
            </w:r>
          </w:p>
          <w:p w14:paraId="15154FB1" w14:textId="77777777" w:rsidR="002641D2" w:rsidRPr="00FA3F9C" w:rsidRDefault="002641D2" w:rsidP="002641D2">
            <w:pPr>
              <w:pStyle w:val="ListParagraph"/>
              <w:numPr>
                <w:ilvl w:val="0"/>
                <w:numId w:val="215"/>
              </w:numPr>
              <w:rPr>
                <w:rFonts w:ascii="Arial" w:hAnsi="Arial" w:cs="Arial"/>
                <w:sz w:val="24"/>
                <w:szCs w:val="24"/>
              </w:rPr>
            </w:pPr>
            <w:r w:rsidRPr="00FA3F9C">
              <w:rPr>
                <w:rFonts w:ascii="Arial" w:hAnsi="Arial" w:cs="Arial"/>
                <w:sz w:val="24"/>
                <w:szCs w:val="24"/>
              </w:rPr>
              <w:t>Median duration of treatment was 4.6 months.</w:t>
            </w:r>
          </w:p>
          <w:p w14:paraId="6D9EE6A1" w14:textId="77777777" w:rsidR="002641D2" w:rsidRPr="00FA3F9C" w:rsidRDefault="002641D2" w:rsidP="00C264DB">
            <w:pPr>
              <w:rPr>
                <w:rFonts w:ascii="Arial" w:hAnsi="Arial" w:cs="Arial"/>
                <w:sz w:val="24"/>
                <w:szCs w:val="24"/>
              </w:rPr>
            </w:pPr>
          </w:p>
          <w:p w14:paraId="0402AA93" w14:textId="77777777" w:rsidR="002641D2" w:rsidRPr="00FA3F9C" w:rsidRDefault="002641D2" w:rsidP="00C264DB">
            <w:pPr>
              <w:rPr>
                <w:rFonts w:ascii="Arial" w:hAnsi="Arial" w:cs="Arial"/>
                <w:sz w:val="24"/>
                <w:szCs w:val="24"/>
              </w:rPr>
            </w:pPr>
            <w:r w:rsidRPr="00FA3F9C">
              <w:rPr>
                <w:rFonts w:ascii="Arial" w:hAnsi="Arial" w:cs="Arial"/>
                <w:sz w:val="24"/>
                <w:szCs w:val="24"/>
              </w:rPr>
              <w:t>Reference:</w:t>
            </w:r>
          </w:p>
          <w:p w14:paraId="75567515" w14:textId="77777777" w:rsidR="002641D2" w:rsidRPr="00FA3F9C" w:rsidRDefault="002641D2" w:rsidP="00C264DB">
            <w:pPr>
              <w:rPr>
                <w:rFonts w:ascii="Arial" w:hAnsi="Arial" w:cs="Arial"/>
                <w:sz w:val="24"/>
                <w:szCs w:val="24"/>
              </w:rPr>
            </w:pPr>
            <w:proofErr w:type="spellStart"/>
            <w:r w:rsidRPr="00FA3F9C">
              <w:rPr>
                <w:rFonts w:ascii="Arial" w:hAnsi="Arial" w:cs="Arial"/>
                <w:sz w:val="24"/>
                <w:szCs w:val="24"/>
              </w:rPr>
              <w:t>Shitara</w:t>
            </w:r>
            <w:proofErr w:type="spellEnd"/>
            <w:r w:rsidRPr="00FA3F9C">
              <w:rPr>
                <w:rFonts w:ascii="Arial" w:hAnsi="Arial" w:cs="Arial"/>
                <w:sz w:val="24"/>
                <w:szCs w:val="24"/>
              </w:rPr>
              <w:t xml:space="preserve"> K et al. DESTINY-Gastric01 Investigators. Trastuzumab </w:t>
            </w:r>
            <w:proofErr w:type="spellStart"/>
            <w:r w:rsidRPr="00FA3F9C">
              <w:rPr>
                <w:rFonts w:ascii="Arial" w:hAnsi="Arial" w:cs="Arial"/>
                <w:sz w:val="24"/>
                <w:szCs w:val="24"/>
              </w:rPr>
              <w:t>Deruxtecan</w:t>
            </w:r>
            <w:proofErr w:type="spellEnd"/>
            <w:r w:rsidRPr="00FA3F9C">
              <w:rPr>
                <w:rFonts w:ascii="Arial" w:hAnsi="Arial" w:cs="Arial"/>
                <w:sz w:val="24"/>
                <w:szCs w:val="24"/>
              </w:rPr>
              <w:t xml:space="preserve"> in Previously Treated HER2-Positive Gastric Cancer. N </w:t>
            </w:r>
            <w:proofErr w:type="spellStart"/>
            <w:r w:rsidRPr="00FA3F9C">
              <w:rPr>
                <w:rFonts w:ascii="Arial" w:hAnsi="Arial" w:cs="Arial"/>
                <w:sz w:val="24"/>
                <w:szCs w:val="24"/>
              </w:rPr>
              <w:t>Engl</w:t>
            </w:r>
            <w:proofErr w:type="spellEnd"/>
            <w:r w:rsidRPr="00FA3F9C">
              <w:rPr>
                <w:rFonts w:ascii="Arial" w:hAnsi="Arial" w:cs="Arial"/>
                <w:sz w:val="24"/>
                <w:szCs w:val="24"/>
              </w:rPr>
              <w:t xml:space="preserve"> J Med. 2020 Jun 18;382(25):2419-2430. </w:t>
            </w:r>
            <w:proofErr w:type="spellStart"/>
            <w:r w:rsidRPr="00FA3F9C">
              <w:rPr>
                <w:rFonts w:ascii="Arial" w:hAnsi="Arial" w:cs="Arial"/>
                <w:sz w:val="24"/>
                <w:szCs w:val="24"/>
              </w:rPr>
              <w:t>doi</w:t>
            </w:r>
            <w:proofErr w:type="spellEnd"/>
            <w:r w:rsidRPr="00FA3F9C">
              <w:rPr>
                <w:rFonts w:ascii="Arial" w:hAnsi="Arial" w:cs="Arial"/>
                <w:sz w:val="24"/>
                <w:szCs w:val="24"/>
              </w:rPr>
              <w:t xml:space="preserve">: 10.1056/NEJMoa2004413. </w:t>
            </w:r>
            <w:proofErr w:type="spellStart"/>
            <w:r w:rsidRPr="00FA3F9C">
              <w:rPr>
                <w:rFonts w:ascii="Arial" w:hAnsi="Arial" w:cs="Arial"/>
                <w:sz w:val="24"/>
                <w:szCs w:val="24"/>
              </w:rPr>
              <w:t>Epub</w:t>
            </w:r>
            <w:proofErr w:type="spellEnd"/>
            <w:r w:rsidRPr="00FA3F9C">
              <w:rPr>
                <w:rFonts w:ascii="Arial" w:hAnsi="Arial" w:cs="Arial"/>
                <w:sz w:val="24"/>
                <w:szCs w:val="24"/>
              </w:rPr>
              <w:t xml:space="preserve"> 2020 May 29. PMID: 32469182.</w:t>
            </w:r>
          </w:p>
        </w:tc>
      </w:tr>
    </w:tbl>
    <w:p w14:paraId="1532B20F" w14:textId="77777777" w:rsidR="002641D2" w:rsidRPr="00FA3F9C" w:rsidRDefault="002641D2" w:rsidP="006F623F">
      <w:pPr>
        <w:spacing w:after="0"/>
        <w:rPr>
          <w:rFonts w:ascii="Arial" w:hAnsi="Arial" w:cs="Arial"/>
          <w:sz w:val="24"/>
          <w:szCs w:val="24"/>
        </w:rPr>
      </w:pPr>
    </w:p>
    <w:p w14:paraId="54E59EA6" w14:textId="77777777" w:rsidR="002641D2" w:rsidRPr="00FA3F9C" w:rsidRDefault="002641D2"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284"/>
        <w:gridCol w:w="7470"/>
        <w:gridCol w:w="2538"/>
      </w:tblGrid>
      <w:tr w:rsidR="002641D2" w:rsidRPr="00FA3F9C" w14:paraId="368020AD" w14:textId="77777777" w:rsidTr="00FE491B">
        <w:tc>
          <w:tcPr>
            <w:tcW w:w="1008" w:type="dxa"/>
          </w:tcPr>
          <w:p w14:paraId="08041ECC" w14:textId="77777777" w:rsidR="002641D2" w:rsidRPr="00FA3F9C" w:rsidRDefault="002641D2" w:rsidP="006F623F">
            <w:pPr>
              <w:rPr>
                <w:rFonts w:ascii="Arial" w:hAnsi="Arial" w:cs="Arial"/>
                <w:sz w:val="24"/>
                <w:szCs w:val="24"/>
              </w:rPr>
            </w:pPr>
            <w:r w:rsidRPr="00FA3F9C">
              <w:rPr>
                <w:rFonts w:ascii="Arial" w:hAnsi="Arial" w:cs="Arial"/>
                <w:sz w:val="24"/>
                <w:szCs w:val="24"/>
              </w:rPr>
              <w:t>Date</w:t>
            </w:r>
          </w:p>
        </w:tc>
        <w:tc>
          <w:tcPr>
            <w:tcW w:w="7470" w:type="dxa"/>
          </w:tcPr>
          <w:p w14:paraId="211E3F71" w14:textId="77777777" w:rsidR="002641D2" w:rsidRPr="00FA3F9C" w:rsidRDefault="002641D2" w:rsidP="006F623F">
            <w:pPr>
              <w:rPr>
                <w:rFonts w:ascii="Arial" w:hAnsi="Arial" w:cs="Arial"/>
                <w:sz w:val="24"/>
                <w:szCs w:val="24"/>
              </w:rPr>
            </w:pPr>
            <w:r w:rsidRPr="00FA3F9C">
              <w:rPr>
                <w:rFonts w:ascii="Arial" w:hAnsi="Arial" w:cs="Arial"/>
                <w:sz w:val="24"/>
                <w:szCs w:val="24"/>
              </w:rPr>
              <w:t>What changed</w:t>
            </w:r>
          </w:p>
        </w:tc>
        <w:tc>
          <w:tcPr>
            <w:tcW w:w="2538" w:type="dxa"/>
          </w:tcPr>
          <w:p w14:paraId="2074A8E5" w14:textId="77777777" w:rsidR="002641D2" w:rsidRPr="00FA3F9C" w:rsidRDefault="002641D2" w:rsidP="006F623F">
            <w:pPr>
              <w:rPr>
                <w:rFonts w:ascii="Arial" w:hAnsi="Arial" w:cs="Arial"/>
                <w:sz w:val="24"/>
                <w:szCs w:val="24"/>
              </w:rPr>
            </w:pPr>
            <w:r w:rsidRPr="00FA3F9C">
              <w:rPr>
                <w:rFonts w:ascii="Arial" w:hAnsi="Arial" w:cs="Arial"/>
                <w:sz w:val="24"/>
                <w:szCs w:val="24"/>
              </w:rPr>
              <w:t>Pharmacist’s initials</w:t>
            </w:r>
          </w:p>
        </w:tc>
      </w:tr>
      <w:tr w:rsidR="002641D2" w:rsidRPr="00FA3F9C" w14:paraId="009812E7" w14:textId="77777777" w:rsidTr="00FE491B">
        <w:tc>
          <w:tcPr>
            <w:tcW w:w="1008" w:type="dxa"/>
          </w:tcPr>
          <w:p w14:paraId="6C724B43" w14:textId="77777777" w:rsidR="002641D2" w:rsidRPr="00FA3F9C" w:rsidRDefault="002641D2" w:rsidP="006F623F">
            <w:pPr>
              <w:rPr>
                <w:rFonts w:ascii="Arial" w:hAnsi="Arial" w:cs="Arial"/>
                <w:sz w:val="24"/>
                <w:szCs w:val="24"/>
              </w:rPr>
            </w:pPr>
            <w:r w:rsidRPr="00FA3F9C">
              <w:rPr>
                <w:rFonts w:ascii="Arial" w:hAnsi="Arial" w:cs="Arial"/>
                <w:sz w:val="24"/>
                <w:szCs w:val="24"/>
              </w:rPr>
              <w:t>1/28/2021</w:t>
            </w:r>
          </w:p>
        </w:tc>
        <w:tc>
          <w:tcPr>
            <w:tcW w:w="7470" w:type="dxa"/>
          </w:tcPr>
          <w:p w14:paraId="77BE2EF1" w14:textId="77777777" w:rsidR="002641D2" w:rsidRPr="00FA3F9C" w:rsidRDefault="002641D2" w:rsidP="006F623F">
            <w:pPr>
              <w:rPr>
                <w:rFonts w:ascii="Arial" w:hAnsi="Arial" w:cs="Arial"/>
                <w:sz w:val="24"/>
                <w:szCs w:val="24"/>
              </w:rPr>
            </w:pPr>
            <w:r w:rsidRPr="00FA3F9C">
              <w:rPr>
                <w:rFonts w:ascii="Arial" w:hAnsi="Arial" w:cs="Arial"/>
                <w:sz w:val="24"/>
                <w:szCs w:val="24"/>
              </w:rPr>
              <w:t>Criteria written</w:t>
            </w:r>
          </w:p>
        </w:tc>
        <w:tc>
          <w:tcPr>
            <w:tcW w:w="2538" w:type="dxa"/>
          </w:tcPr>
          <w:p w14:paraId="561BB914" w14:textId="77777777" w:rsidR="002641D2" w:rsidRPr="00FA3F9C" w:rsidRDefault="002641D2" w:rsidP="006F623F">
            <w:pPr>
              <w:rPr>
                <w:rFonts w:ascii="Arial" w:hAnsi="Arial" w:cs="Arial"/>
                <w:sz w:val="24"/>
                <w:szCs w:val="24"/>
              </w:rPr>
            </w:pPr>
            <w:r w:rsidRPr="00FA3F9C">
              <w:rPr>
                <w:rFonts w:ascii="Arial" w:hAnsi="Arial" w:cs="Arial"/>
                <w:sz w:val="24"/>
                <w:szCs w:val="24"/>
              </w:rPr>
              <w:t>SK</w:t>
            </w:r>
          </w:p>
        </w:tc>
      </w:tr>
      <w:tr w:rsidR="002641D2" w:rsidRPr="00FA3F9C" w14:paraId="4CF25392" w14:textId="77777777" w:rsidTr="00FE491B">
        <w:tc>
          <w:tcPr>
            <w:tcW w:w="1008" w:type="dxa"/>
          </w:tcPr>
          <w:p w14:paraId="6519EB34" w14:textId="77777777" w:rsidR="002641D2" w:rsidRPr="00FA3F9C" w:rsidRDefault="002641D2" w:rsidP="006F623F">
            <w:pPr>
              <w:rPr>
                <w:rFonts w:ascii="Arial" w:hAnsi="Arial" w:cs="Arial"/>
                <w:sz w:val="24"/>
                <w:szCs w:val="24"/>
              </w:rPr>
            </w:pPr>
            <w:r w:rsidRPr="00FA3F9C">
              <w:rPr>
                <w:rFonts w:ascii="Arial" w:hAnsi="Arial" w:cs="Arial"/>
                <w:sz w:val="24"/>
                <w:szCs w:val="24"/>
              </w:rPr>
              <w:t>4/25/2022</w:t>
            </w:r>
          </w:p>
        </w:tc>
        <w:tc>
          <w:tcPr>
            <w:tcW w:w="7470" w:type="dxa"/>
          </w:tcPr>
          <w:p w14:paraId="2E610814" w14:textId="77777777" w:rsidR="002641D2" w:rsidRPr="00FA3F9C" w:rsidRDefault="002641D2" w:rsidP="006F623F">
            <w:pPr>
              <w:rPr>
                <w:rFonts w:ascii="Arial" w:hAnsi="Arial" w:cs="Arial"/>
                <w:sz w:val="24"/>
                <w:szCs w:val="24"/>
              </w:rPr>
            </w:pPr>
            <w:r w:rsidRPr="00FA3F9C">
              <w:rPr>
                <w:rFonts w:ascii="Arial" w:hAnsi="Arial" w:cs="Arial"/>
                <w:sz w:val="24"/>
                <w:szCs w:val="24"/>
              </w:rPr>
              <w:t>Criteria reviewed. Added new reference for breast cancer indication</w:t>
            </w:r>
          </w:p>
        </w:tc>
        <w:tc>
          <w:tcPr>
            <w:tcW w:w="2538" w:type="dxa"/>
          </w:tcPr>
          <w:p w14:paraId="5B7FB291" w14:textId="77777777" w:rsidR="002641D2" w:rsidRPr="00FA3F9C" w:rsidRDefault="002641D2" w:rsidP="006F623F">
            <w:pPr>
              <w:rPr>
                <w:rFonts w:ascii="Arial" w:hAnsi="Arial" w:cs="Arial"/>
                <w:sz w:val="24"/>
                <w:szCs w:val="24"/>
              </w:rPr>
            </w:pPr>
            <w:r w:rsidRPr="00FA3F9C">
              <w:rPr>
                <w:rFonts w:ascii="Arial" w:hAnsi="Arial" w:cs="Arial"/>
                <w:sz w:val="24"/>
                <w:szCs w:val="24"/>
              </w:rPr>
              <w:t>SK</w:t>
            </w:r>
          </w:p>
        </w:tc>
      </w:tr>
    </w:tbl>
    <w:p w14:paraId="077CDB4A" w14:textId="77777777" w:rsidR="002641D2" w:rsidRPr="00FA3F9C" w:rsidRDefault="002641D2" w:rsidP="006F623F">
      <w:pPr>
        <w:spacing w:after="0"/>
        <w:rPr>
          <w:rFonts w:ascii="Arial" w:hAnsi="Arial" w:cs="Arial"/>
          <w:sz w:val="24"/>
          <w:szCs w:val="24"/>
        </w:rPr>
      </w:pPr>
    </w:p>
    <w:p w14:paraId="04C6CFED" w14:textId="77777777" w:rsidR="002641D2" w:rsidRPr="00FA3F9C" w:rsidRDefault="002641D2" w:rsidP="00BE7C2A">
      <w:pPr>
        <w:pStyle w:val="Heading2"/>
      </w:pPr>
      <w:bookmarkStart w:id="118" w:name="_Toc106369801"/>
      <w:r w:rsidRPr="00FA3F9C">
        <w:t>Febuxostat (</w:t>
      </w:r>
      <w:proofErr w:type="spellStart"/>
      <w:r w:rsidRPr="00FA3F9C">
        <w:t>Uloric</w:t>
      </w:r>
      <w:proofErr w:type="spellEnd"/>
      <w:r w:rsidRPr="00FA3F9C">
        <w:t>)</w:t>
      </w:r>
      <w:bookmarkEnd w:id="118"/>
    </w:p>
    <w:p w14:paraId="5A237763" w14:textId="77777777" w:rsidR="002641D2" w:rsidRPr="00FA3F9C" w:rsidRDefault="002641D2">
      <w:pPr>
        <w:pStyle w:val="Body"/>
        <w:spacing w:after="0"/>
        <w:jc w:val="center"/>
        <w:rPr>
          <w:rFonts w:ascii="Arial" w:hAnsi="Arial" w:cs="Arial"/>
          <w:sz w:val="24"/>
          <w:szCs w:val="24"/>
        </w:rPr>
      </w:pPr>
      <w:r w:rsidRPr="00FA3F9C">
        <w:rPr>
          <w:rFonts w:ascii="Arial" w:hAnsi="Arial" w:cs="Arial"/>
          <w:sz w:val="24"/>
          <w:szCs w:val="24"/>
          <w:lang w:val="pt-PT"/>
        </w:rPr>
        <w:t>EBRx PA Criteria</w:t>
      </w:r>
    </w:p>
    <w:p w14:paraId="1DA7E4F6" w14:textId="77777777" w:rsidR="002641D2" w:rsidRPr="00FA3F9C" w:rsidRDefault="002641D2">
      <w:pPr>
        <w:pStyle w:val="Body"/>
        <w:spacing w:after="0"/>
        <w:rPr>
          <w:rFonts w:ascii="Arial" w:hAnsi="Arial" w:cs="Arial"/>
          <w:b/>
          <w:bCs/>
          <w:sz w:val="24"/>
          <w:szCs w:val="24"/>
          <w:u w:val="single"/>
        </w:rPr>
      </w:pPr>
    </w:p>
    <w:p w14:paraId="4D077C98" w14:textId="77777777" w:rsidR="002641D2" w:rsidRPr="00FA3F9C" w:rsidRDefault="002641D2">
      <w:pPr>
        <w:pStyle w:val="Body"/>
        <w:spacing w:after="0"/>
        <w:rPr>
          <w:rFonts w:ascii="Arial" w:hAnsi="Arial" w:cs="Arial"/>
          <w:sz w:val="24"/>
          <w:szCs w:val="24"/>
        </w:rPr>
      </w:pPr>
      <w:r w:rsidRPr="00FA3F9C">
        <w:rPr>
          <w:rFonts w:ascii="Arial" w:hAnsi="Arial" w:cs="Arial"/>
          <w:b/>
          <w:bCs/>
          <w:sz w:val="24"/>
          <w:szCs w:val="24"/>
          <w:u w:val="single"/>
        </w:rPr>
        <w:t>is FDA-approved for:</w:t>
      </w:r>
      <w:r w:rsidRPr="00FA3F9C">
        <w:rPr>
          <w:rFonts w:ascii="Arial" w:hAnsi="Arial" w:cs="Arial"/>
          <w:sz w:val="24"/>
          <w:szCs w:val="24"/>
        </w:rPr>
        <w:t xml:space="preserve"> Hyperuricemia in patients with gout who have an inadequate response to a maximally titrate dose of allopurinol, who are intolerant to allopurinol, or for whom treatment with allopurinol is not advisable.</w:t>
      </w:r>
    </w:p>
    <w:tbl>
      <w:tblPr>
        <w:tblStyle w:val="TableGrid"/>
        <w:tblW w:w="0" w:type="auto"/>
        <w:tblLook w:val="04A0" w:firstRow="1" w:lastRow="0" w:firstColumn="1" w:lastColumn="0" w:noHBand="0" w:noVBand="1"/>
      </w:tblPr>
      <w:tblGrid>
        <w:gridCol w:w="8746"/>
        <w:gridCol w:w="2044"/>
      </w:tblGrid>
      <w:tr w:rsidR="002641D2" w:rsidRPr="00FA3F9C" w14:paraId="71A24418" w14:textId="77777777" w:rsidTr="008262B9">
        <w:tc>
          <w:tcPr>
            <w:tcW w:w="8746" w:type="dxa"/>
            <w:shd w:val="clear" w:color="auto" w:fill="000000"/>
          </w:tcPr>
          <w:p w14:paraId="3343BB25" w14:textId="77777777" w:rsidR="002641D2" w:rsidRPr="00FA3F9C" w:rsidRDefault="002641D2" w:rsidP="000E4EB2">
            <w:pPr>
              <w:rPr>
                <w:rFonts w:ascii="Arial" w:hAnsi="Arial" w:cs="Arial"/>
                <w:b/>
                <w:sz w:val="24"/>
                <w:szCs w:val="24"/>
                <w:u w:val="single"/>
              </w:rPr>
            </w:pPr>
            <w:r w:rsidRPr="00FA3F9C">
              <w:rPr>
                <w:rFonts w:ascii="Arial" w:hAnsi="Arial" w:cs="Arial"/>
                <w:b/>
                <w:sz w:val="24"/>
                <w:szCs w:val="24"/>
                <w:u w:val="single"/>
              </w:rPr>
              <w:t>Criteria for new users</w:t>
            </w:r>
          </w:p>
        </w:tc>
        <w:tc>
          <w:tcPr>
            <w:tcW w:w="2044" w:type="dxa"/>
            <w:shd w:val="clear" w:color="auto" w:fill="000000"/>
          </w:tcPr>
          <w:p w14:paraId="486F51CF" w14:textId="77777777" w:rsidR="002641D2" w:rsidRPr="00FA3F9C" w:rsidRDefault="002641D2" w:rsidP="000E4EB2">
            <w:pPr>
              <w:jc w:val="center"/>
              <w:rPr>
                <w:rFonts w:ascii="Arial" w:hAnsi="Arial" w:cs="Arial"/>
                <w:b/>
                <w:sz w:val="24"/>
                <w:szCs w:val="24"/>
                <w:u w:val="single"/>
              </w:rPr>
            </w:pPr>
          </w:p>
        </w:tc>
      </w:tr>
      <w:tr w:rsidR="002641D2" w:rsidRPr="00FA3F9C" w14:paraId="6D2E6811" w14:textId="77777777" w:rsidTr="008262B9">
        <w:tc>
          <w:tcPr>
            <w:tcW w:w="10790" w:type="dxa"/>
            <w:gridSpan w:val="2"/>
          </w:tcPr>
          <w:p w14:paraId="791B3B03" w14:textId="77777777" w:rsidR="002641D2" w:rsidRPr="00FA3F9C" w:rsidRDefault="002641D2" w:rsidP="000E4EB2">
            <w:pPr>
              <w:rPr>
                <w:rFonts w:ascii="Arial" w:hAnsi="Arial" w:cs="Arial"/>
                <w:sz w:val="24"/>
                <w:szCs w:val="24"/>
              </w:rPr>
            </w:pPr>
            <w:r w:rsidRPr="00FA3F9C">
              <w:rPr>
                <w:rFonts w:ascii="Arial" w:hAnsi="Arial" w:cs="Arial"/>
                <w:sz w:val="24"/>
                <w:szCs w:val="24"/>
              </w:rPr>
              <w:t>1. The patient must:</w:t>
            </w:r>
          </w:p>
          <w:p w14:paraId="24B3CA51" w14:textId="77777777" w:rsidR="002641D2" w:rsidRPr="00FA3F9C" w:rsidRDefault="002641D2" w:rsidP="002641D2">
            <w:pPr>
              <w:pStyle w:val="ListParagraph"/>
              <w:numPr>
                <w:ilvl w:val="0"/>
                <w:numId w:val="217"/>
              </w:numPr>
              <w:rPr>
                <w:rFonts w:ascii="Arial" w:hAnsi="Arial" w:cs="Arial"/>
                <w:sz w:val="24"/>
                <w:szCs w:val="24"/>
              </w:rPr>
            </w:pPr>
            <w:r w:rsidRPr="00FA3F9C">
              <w:rPr>
                <w:rFonts w:ascii="Arial" w:hAnsi="Arial" w:cs="Arial"/>
                <w:sz w:val="24"/>
                <w:szCs w:val="24"/>
              </w:rPr>
              <w:t xml:space="preserve">have a documented hypersensitivity to allopurinol that prevents its use.  A completed </w:t>
            </w:r>
            <w:proofErr w:type="spellStart"/>
            <w:r w:rsidRPr="00FA3F9C">
              <w:rPr>
                <w:rFonts w:ascii="Arial" w:hAnsi="Arial" w:cs="Arial"/>
                <w:sz w:val="24"/>
                <w:szCs w:val="24"/>
              </w:rPr>
              <w:t>Medwatch</w:t>
            </w:r>
            <w:proofErr w:type="spellEnd"/>
            <w:r w:rsidRPr="00FA3F9C">
              <w:rPr>
                <w:rFonts w:ascii="Arial" w:hAnsi="Arial" w:cs="Arial"/>
                <w:sz w:val="24"/>
                <w:szCs w:val="24"/>
              </w:rPr>
              <w:t xml:space="preserve"> form is required. </w:t>
            </w:r>
          </w:p>
          <w:p w14:paraId="20655261" w14:textId="77777777" w:rsidR="002641D2" w:rsidRPr="00FA3F9C" w:rsidRDefault="002641D2" w:rsidP="00634A7E">
            <w:pPr>
              <w:ind w:left="71"/>
              <w:rPr>
                <w:rFonts w:ascii="Arial" w:hAnsi="Arial" w:cs="Arial"/>
                <w:sz w:val="24"/>
                <w:szCs w:val="24"/>
              </w:rPr>
            </w:pPr>
            <w:r w:rsidRPr="00FA3F9C">
              <w:rPr>
                <w:rFonts w:ascii="Arial" w:hAnsi="Arial" w:cs="Arial"/>
                <w:sz w:val="24"/>
                <w:szCs w:val="24"/>
              </w:rPr>
              <w:t>OR</w:t>
            </w:r>
          </w:p>
          <w:p w14:paraId="6A161B9E" w14:textId="77777777" w:rsidR="002641D2" w:rsidRPr="00FA3F9C" w:rsidRDefault="002641D2" w:rsidP="002641D2">
            <w:pPr>
              <w:pStyle w:val="ListParagraph"/>
              <w:numPr>
                <w:ilvl w:val="0"/>
                <w:numId w:val="217"/>
              </w:numPr>
              <w:rPr>
                <w:rFonts w:ascii="Arial" w:hAnsi="Arial" w:cs="Arial"/>
                <w:sz w:val="24"/>
                <w:szCs w:val="24"/>
              </w:rPr>
            </w:pPr>
            <w:r w:rsidRPr="00FA3F9C">
              <w:rPr>
                <w:rFonts w:ascii="Arial" w:hAnsi="Arial" w:cs="Arial"/>
                <w:sz w:val="24"/>
                <w:szCs w:val="24"/>
              </w:rPr>
              <w:t>the patient must have failed or cannot tolerate maximally titrated allopurinol doses.</w:t>
            </w:r>
            <w:r w:rsidRPr="00FA3F9C">
              <w:rPr>
                <w:rFonts w:ascii="Arial" w:hAnsi="Arial" w:cs="Arial"/>
                <w:sz w:val="24"/>
                <w:szCs w:val="24"/>
                <w:vertAlign w:val="superscript"/>
              </w:rPr>
              <w:t>6</w:t>
            </w:r>
          </w:p>
        </w:tc>
      </w:tr>
      <w:tr w:rsidR="002641D2" w:rsidRPr="00FA3F9C" w14:paraId="52DABDBF" w14:textId="77777777" w:rsidTr="008262B9">
        <w:tc>
          <w:tcPr>
            <w:tcW w:w="10790" w:type="dxa"/>
            <w:gridSpan w:val="2"/>
          </w:tcPr>
          <w:p w14:paraId="285B550E" w14:textId="77777777" w:rsidR="002641D2" w:rsidRPr="00FA3F9C" w:rsidRDefault="002641D2" w:rsidP="000E4EB2">
            <w:pPr>
              <w:rPr>
                <w:rFonts w:ascii="Arial" w:hAnsi="Arial" w:cs="Arial"/>
                <w:sz w:val="24"/>
                <w:szCs w:val="24"/>
              </w:rPr>
            </w:pPr>
            <w:r w:rsidRPr="00FA3F9C">
              <w:rPr>
                <w:rFonts w:ascii="Arial" w:hAnsi="Arial" w:cs="Arial"/>
                <w:sz w:val="24"/>
                <w:szCs w:val="24"/>
              </w:rPr>
              <w:t>2. The prescriber has discussed the black box warning relating to all-cause death and CV death risk increase compared to allopurinol.</w:t>
            </w:r>
            <w:r w:rsidRPr="00FA3F9C">
              <w:rPr>
                <w:rFonts w:ascii="Arial" w:hAnsi="Arial" w:cs="Arial"/>
                <w:sz w:val="24"/>
                <w:szCs w:val="24"/>
                <w:vertAlign w:val="superscript"/>
              </w:rPr>
              <w:t>7</w:t>
            </w:r>
          </w:p>
        </w:tc>
      </w:tr>
    </w:tbl>
    <w:p w14:paraId="2CAE230D" w14:textId="77777777" w:rsidR="002641D2" w:rsidRPr="00FA3F9C" w:rsidRDefault="002641D2">
      <w:pPr>
        <w:pStyle w:val="Body"/>
        <w:spacing w:after="0"/>
        <w:rPr>
          <w:rFonts w:ascii="Arial" w:hAnsi="Arial" w:cs="Arial"/>
          <w:sz w:val="24"/>
          <w:szCs w:val="24"/>
        </w:rPr>
      </w:pPr>
    </w:p>
    <w:p w14:paraId="2F837B52" w14:textId="77777777" w:rsidR="002641D2" w:rsidRPr="00FA3F9C" w:rsidRDefault="002641D2" w:rsidP="008262B9">
      <w:pPr>
        <w:pStyle w:val="Body"/>
        <w:spacing w:after="0" w:line="240" w:lineRule="auto"/>
        <w:rPr>
          <w:rFonts w:ascii="Arial" w:hAnsi="Arial" w:cs="Arial"/>
          <w:sz w:val="24"/>
          <w:szCs w:val="24"/>
        </w:rPr>
      </w:pPr>
      <w:r w:rsidRPr="00FA3F9C">
        <w:rPr>
          <w:rFonts w:ascii="Arial" w:hAnsi="Arial" w:cs="Arial"/>
          <w:sz w:val="24"/>
          <w:szCs w:val="24"/>
        </w:rPr>
        <w:t>Note: Regarding the evidence on CV safety (reference 6).</w:t>
      </w:r>
    </w:p>
    <w:p w14:paraId="621ECB35" w14:textId="77777777" w:rsidR="002641D2" w:rsidRPr="00FA3F9C" w:rsidRDefault="002641D2" w:rsidP="002641D2">
      <w:pPr>
        <w:pStyle w:val="Body"/>
        <w:numPr>
          <w:ilvl w:val="0"/>
          <w:numId w:val="216"/>
        </w:numPr>
        <w:spacing w:after="0" w:line="240" w:lineRule="auto"/>
        <w:ind w:left="0"/>
        <w:rPr>
          <w:rFonts w:ascii="Arial" w:hAnsi="Arial" w:cs="Arial"/>
          <w:sz w:val="24"/>
          <w:szCs w:val="24"/>
        </w:rPr>
      </w:pPr>
      <w:r w:rsidRPr="00FA3F9C">
        <w:rPr>
          <w:rFonts w:ascii="Arial" w:hAnsi="Arial" w:cs="Arial"/>
          <w:sz w:val="24"/>
          <w:szCs w:val="24"/>
        </w:rPr>
        <w:t>Noninferiority study comparing febuxostat vs allopurinol</w:t>
      </w:r>
    </w:p>
    <w:p w14:paraId="5266A8F6" w14:textId="77777777" w:rsidR="002641D2" w:rsidRPr="00FA3F9C" w:rsidRDefault="002641D2" w:rsidP="002641D2">
      <w:pPr>
        <w:pStyle w:val="Body"/>
        <w:numPr>
          <w:ilvl w:val="0"/>
          <w:numId w:val="216"/>
        </w:numPr>
        <w:spacing w:after="0" w:line="240" w:lineRule="auto"/>
        <w:ind w:left="0"/>
        <w:rPr>
          <w:rFonts w:ascii="Arial" w:hAnsi="Arial" w:cs="Arial"/>
          <w:sz w:val="24"/>
          <w:szCs w:val="24"/>
        </w:rPr>
      </w:pPr>
      <w:proofErr w:type="gramStart"/>
      <w:r w:rsidRPr="00FA3F9C">
        <w:rPr>
          <w:rFonts w:ascii="Arial" w:hAnsi="Arial" w:cs="Arial"/>
          <w:sz w:val="24"/>
          <w:szCs w:val="24"/>
        </w:rPr>
        <w:t>Overall</w:t>
      </w:r>
      <w:proofErr w:type="gramEnd"/>
      <w:r w:rsidRPr="00FA3F9C">
        <w:rPr>
          <w:rFonts w:ascii="Arial" w:hAnsi="Arial" w:cs="Arial"/>
          <w:sz w:val="24"/>
          <w:szCs w:val="24"/>
        </w:rPr>
        <w:t xml:space="preserve"> 56.6% of patients discontinued trial treatment prematurely (57.3% FEB, 55.9% ALLO.</w:t>
      </w:r>
    </w:p>
    <w:p w14:paraId="476CD71C" w14:textId="77777777" w:rsidR="002641D2" w:rsidRPr="00FA3F9C" w:rsidRDefault="002641D2" w:rsidP="002641D2">
      <w:pPr>
        <w:pStyle w:val="Body"/>
        <w:numPr>
          <w:ilvl w:val="0"/>
          <w:numId w:val="216"/>
        </w:numPr>
        <w:spacing w:after="0" w:line="240" w:lineRule="auto"/>
        <w:ind w:left="0"/>
        <w:rPr>
          <w:rFonts w:ascii="Arial" w:hAnsi="Arial" w:cs="Arial"/>
          <w:sz w:val="24"/>
          <w:szCs w:val="24"/>
        </w:rPr>
      </w:pPr>
      <w:r w:rsidRPr="00FA3F9C">
        <w:rPr>
          <w:rFonts w:ascii="Arial" w:hAnsi="Arial" w:cs="Arial"/>
          <w:sz w:val="24"/>
          <w:szCs w:val="24"/>
        </w:rPr>
        <w:t>Median duration of exposure was 728 days FEB, 719 days ALL</w:t>
      </w:r>
    </w:p>
    <w:p w14:paraId="35851CAC" w14:textId="77777777" w:rsidR="002641D2" w:rsidRPr="00FA3F9C" w:rsidRDefault="002641D2" w:rsidP="002641D2">
      <w:pPr>
        <w:pStyle w:val="Body"/>
        <w:numPr>
          <w:ilvl w:val="0"/>
          <w:numId w:val="216"/>
        </w:numPr>
        <w:spacing w:after="0" w:line="240" w:lineRule="auto"/>
        <w:ind w:left="0"/>
        <w:rPr>
          <w:rFonts w:ascii="Arial" w:hAnsi="Arial" w:cs="Arial"/>
          <w:sz w:val="24"/>
          <w:szCs w:val="24"/>
        </w:rPr>
      </w:pPr>
      <w:r w:rsidRPr="00FA3F9C">
        <w:rPr>
          <w:rFonts w:ascii="Arial" w:hAnsi="Arial" w:cs="Arial"/>
          <w:sz w:val="24"/>
          <w:szCs w:val="24"/>
        </w:rPr>
        <w:t xml:space="preserve">Lower uric acid w/ FEB; </w:t>
      </w:r>
      <w:r w:rsidRPr="00FA3F9C">
        <w:rPr>
          <w:rFonts w:ascii="Arial" w:hAnsi="Arial" w:cs="Arial"/>
          <w:sz w:val="24"/>
          <w:szCs w:val="24"/>
          <w:highlight w:val="yellow"/>
        </w:rPr>
        <w:t>rates of gout flares similar between groups</w:t>
      </w:r>
      <w:r w:rsidRPr="00FA3F9C">
        <w:rPr>
          <w:rFonts w:ascii="Arial" w:hAnsi="Arial" w:cs="Arial"/>
          <w:sz w:val="24"/>
          <w:szCs w:val="24"/>
        </w:rPr>
        <w:t xml:space="preserve"> 0.68 FEB, 0.63 ALLO, per patient-year.</w:t>
      </w:r>
    </w:p>
    <w:p w14:paraId="4EA9C19C" w14:textId="77777777" w:rsidR="002641D2" w:rsidRPr="00FA3F9C" w:rsidRDefault="002641D2" w:rsidP="002641D2">
      <w:pPr>
        <w:pStyle w:val="Body"/>
        <w:numPr>
          <w:ilvl w:val="0"/>
          <w:numId w:val="216"/>
        </w:numPr>
        <w:spacing w:after="0" w:line="240" w:lineRule="auto"/>
        <w:ind w:left="0"/>
        <w:rPr>
          <w:rFonts w:ascii="Arial" w:hAnsi="Arial" w:cs="Arial"/>
          <w:sz w:val="24"/>
          <w:szCs w:val="24"/>
        </w:rPr>
      </w:pPr>
      <w:r w:rsidRPr="00FA3F9C">
        <w:rPr>
          <w:rFonts w:ascii="Arial" w:hAnsi="Arial" w:cs="Arial"/>
          <w:sz w:val="24"/>
          <w:szCs w:val="24"/>
        </w:rPr>
        <w:t xml:space="preserve">NI margin set at the upper bound of the one-sided confidence interval of the hazard ratio for the primary end point be less than </w:t>
      </w:r>
      <w:r w:rsidRPr="00FA3F9C">
        <w:rPr>
          <w:rFonts w:ascii="Arial" w:hAnsi="Arial" w:cs="Arial"/>
          <w:b/>
          <w:bCs/>
          <w:sz w:val="24"/>
          <w:szCs w:val="24"/>
          <w:u w:val="single"/>
        </w:rPr>
        <w:t>1.3</w:t>
      </w:r>
    </w:p>
    <w:p w14:paraId="61755051" w14:textId="77777777" w:rsidR="002641D2" w:rsidRPr="00FA3F9C" w:rsidRDefault="002641D2" w:rsidP="002641D2">
      <w:pPr>
        <w:pStyle w:val="Body"/>
        <w:numPr>
          <w:ilvl w:val="0"/>
          <w:numId w:val="216"/>
        </w:numPr>
        <w:spacing w:after="0" w:line="240" w:lineRule="auto"/>
        <w:ind w:left="0"/>
        <w:rPr>
          <w:rFonts w:ascii="Arial" w:hAnsi="Arial" w:cs="Arial"/>
          <w:sz w:val="24"/>
          <w:szCs w:val="24"/>
        </w:rPr>
      </w:pPr>
      <w:r w:rsidRPr="00FA3F9C">
        <w:rPr>
          <w:rFonts w:ascii="Arial" w:hAnsi="Arial" w:cs="Arial"/>
          <w:sz w:val="24"/>
          <w:szCs w:val="24"/>
        </w:rPr>
        <w:t xml:space="preserve">Results: Primary endpoint (composite CV death, NFM, </w:t>
      </w:r>
      <w:proofErr w:type="spellStart"/>
      <w:r w:rsidRPr="00FA3F9C">
        <w:rPr>
          <w:rFonts w:ascii="Arial" w:hAnsi="Arial" w:cs="Arial"/>
          <w:sz w:val="24"/>
          <w:szCs w:val="24"/>
        </w:rPr>
        <w:t>NFstroke</w:t>
      </w:r>
      <w:proofErr w:type="spellEnd"/>
      <w:r w:rsidRPr="00FA3F9C">
        <w:rPr>
          <w:rFonts w:ascii="Arial" w:hAnsi="Arial" w:cs="Arial"/>
          <w:sz w:val="24"/>
          <w:szCs w:val="24"/>
        </w:rPr>
        <w:t xml:space="preserve">, urgent </w:t>
      </w:r>
      <w:proofErr w:type="spellStart"/>
      <w:r w:rsidRPr="00FA3F9C">
        <w:rPr>
          <w:rFonts w:ascii="Arial" w:hAnsi="Arial" w:cs="Arial"/>
          <w:sz w:val="24"/>
          <w:szCs w:val="24"/>
        </w:rPr>
        <w:t>revasc</w:t>
      </w:r>
      <w:proofErr w:type="spellEnd"/>
      <w:r w:rsidRPr="00FA3F9C">
        <w:rPr>
          <w:rFonts w:ascii="Arial" w:hAnsi="Arial" w:cs="Arial"/>
          <w:sz w:val="24"/>
          <w:szCs w:val="24"/>
        </w:rPr>
        <w:t xml:space="preserve"> due to UA 10.8% FEB, 10.4%ALLO (HR 1.03, 0.87-</w:t>
      </w:r>
      <w:r w:rsidRPr="00FA3F9C">
        <w:rPr>
          <w:rFonts w:ascii="Arial" w:hAnsi="Arial" w:cs="Arial"/>
          <w:b/>
          <w:bCs/>
          <w:sz w:val="24"/>
          <w:szCs w:val="24"/>
        </w:rPr>
        <w:t>1.23,</w:t>
      </w:r>
      <w:r w:rsidRPr="00FA3F9C">
        <w:rPr>
          <w:rFonts w:ascii="Arial" w:hAnsi="Arial" w:cs="Arial"/>
          <w:sz w:val="24"/>
          <w:szCs w:val="24"/>
        </w:rPr>
        <w:t xml:space="preserve"> therefore </w:t>
      </w:r>
      <w:r w:rsidRPr="00FA3F9C">
        <w:rPr>
          <w:rFonts w:ascii="Arial" w:hAnsi="Arial" w:cs="Arial"/>
          <w:sz w:val="24"/>
          <w:szCs w:val="24"/>
          <w:shd w:val="clear" w:color="auto" w:fill="FFFF00"/>
        </w:rPr>
        <w:t>reached noninferiority</w:t>
      </w:r>
      <w:r w:rsidRPr="00FA3F9C">
        <w:rPr>
          <w:rFonts w:ascii="Arial" w:hAnsi="Arial" w:cs="Arial"/>
          <w:sz w:val="24"/>
          <w:szCs w:val="24"/>
        </w:rPr>
        <w:t>.</w:t>
      </w:r>
    </w:p>
    <w:p w14:paraId="6C971AAD" w14:textId="77777777" w:rsidR="002641D2" w:rsidRPr="00FA3F9C" w:rsidRDefault="002641D2" w:rsidP="002641D2">
      <w:pPr>
        <w:pStyle w:val="Body"/>
        <w:numPr>
          <w:ilvl w:val="0"/>
          <w:numId w:val="216"/>
        </w:numPr>
        <w:spacing w:after="0" w:line="240" w:lineRule="auto"/>
        <w:ind w:left="0"/>
        <w:rPr>
          <w:rFonts w:ascii="Arial" w:hAnsi="Arial" w:cs="Arial"/>
          <w:sz w:val="24"/>
          <w:szCs w:val="24"/>
        </w:rPr>
      </w:pPr>
      <w:r w:rsidRPr="00FA3F9C">
        <w:rPr>
          <w:rFonts w:ascii="Arial" w:hAnsi="Arial" w:cs="Arial"/>
          <w:sz w:val="24"/>
          <w:szCs w:val="24"/>
        </w:rPr>
        <w:t>Results: CV death 4.3%FEB, 3.2%ALLO, HR 1.34(95%CI 1.03-1.73, p=0.03)---</w:t>
      </w:r>
      <w:r w:rsidRPr="00FA3F9C">
        <w:rPr>
          <w:rFonts w:ascii="Arial" w:hAnsi="Arial" w:cs="Arial"/>
          <w:sz w:val="24"/>
          <w:szCs w:val="24"/>
          <w:shd w:val="clear" w:color="auto" w:fill="FFFF00"/>
        </w:rPr>
        <w:t>Statistically significant increased CV death risk</w:t>
      </w:r>
      <w:r w:rsidRPr="00FA3F9C">
        <w:rPr>
          <w:rFonts w:ascii="Arial" w:hAnsi="Arial" w:cs="Arial"/>
          <w:sz w:val="24"/>
          <w:szCs w:val="24"/>
        </w:rPr>
        <w:t xml:space="preserve">. </w:t>
      </w:r>
      <w:r w:rsidRPr="00FA3F9C">
        <w:rPr>
          <w:rFonts w:ascii="Arial" w:hAnsi="Arial" w:cs="Arial"/>
          <w:sz w:val="24"/>
          <w:szCs w:val="24"/>
          <w:shd w:val="clear" w:color="auto" w:fill="FFFF00"/>
        </w:rPr>
        <w:t>NNH=91 people over 2 years.</w:t>
      </w:r>
    </w:p>
    <w:p w14:paraId="7BE74439" w14:textId="77777777" w:rsidR="002641D2" w:rsidRPr="00FA3F9C" w:rsidRDefault="002641D2" w:rsidP="002641D2">
      <w:pPr>
        <w:pStyle w:val="Body"/>
        <w:numPr>
          <w:ilvl w:val="0"/>
          <w:numId w:val="216"/>
        </w:numPr>
        <w:spacing w:after="0" w:line="240" w:lineRule="auto"/>
        <w:ind w:left="0"/>
        <w:rPr>
          <w:rFonts w:ascii="Arial" w:hAnsi="Arial" w:cs="Arial"/>
          <w:sz w:val="24"/>
          <w:szCs w:val="24"/>
        </w:rPr>
      </w:pPr>
      <w:r w:rsidRPr="00FA3F9C">
        <w:rPr>
          <w:rFonts w:ascii="Arial" w:hAnsi="Arial" w:cs="Arial"/>
          <w:sz w:val="24"/>
          <w:szCs w:val="24"/>
        </w:rPr>
        <w:t>Results: Death from any cause: 7.8% FEB, 6.4% ALLO. HR 1.22 (95%CI 1.01-1.47, p=0.04)—</w:t>
      </w:r>
      <w:r w:rsidRPr="00FA3F9C">
        <w:rPr>
          <w:rFonts w:ascii="Arial" w:hAnsi="Arial" w:cs="Arial"/>
          <w:sz w:val="24"/>
          <w:szCs w:val="24"/>
          <w:shd w:val="clear" w:color="auto" w:fill="FFFF00"/>
        </w:rPr>
        <w:t xml:space="preserve">Stat </w:t>
      </w:r>
      <w:proofErr w:type="spellStart"/>
      <w:r w:rsidRPr="00FA3F9C">
        <w:rPr>
          <w:rFonts w:ascii="Arial" w:hAnsi="Arial" w:cs="Arial"/>
          <w:sz w:val="24"/>
          <w:szCs w:val="24"/>
          <w:shd w:val="clear" w:color="auto" w:fill="FFFF00"/>
        </w:rPr>
        <w:t>signif</w:t>
      </w:r>
      <w:proofErr w:type="spellEnd"/>
      <w:r w:rsidRPr="00FA3F9C">
        <w:rPr>
          <w:rFonts w:ascii="Arial" w:hAnsi="Arial" w:cs="Arial"/>
          <w:sz w:val="24"/>
          <w:szCs w:val="24"/>
          <w:shd w:val="clear" w:color="auto" w:fill="FFFF00"/>
        </w:rPr>
        <w:t xml:space="preserve"> increased All cause death.  NNH=72 people over 2 years.</w:t>
      </w:r>
    </w:p>
    <w:p w14:paraId="723135C4" w14:textId="77777777" w:rsidR="002641D2" w:rsidRPr="00FA3F9C" w:rsidRDefault="002641D2" w:rsidP="008262B9">
      <w:pPr>
        <w:pStyle w:val="Body"/>
        <w:widowControl w:val="0"/>
        <w:spacing w:after="0" w:line="240" w:lineRule="auto"/>
        <w:rPr>
          <w:rFonts w:ascii="Arial" w:hAnsi="Arial" w:cs="Arial"/>
          <w:sz w:val="24"/>
          <w:szCs w:val="24"/>
          <w:u w:val="single"/>
        </w:rPr>
      </w:pPr>
    </w:p>
    <w:p w14:paraId="64E8922B" w14:textId="77777777" w:rsidR="002641D2" w:rsidRPr="00FA3F9C" w:rsidRDefault="002641D2">
      <w:pPr>
        <w:pStyle w:val="Body"/>
        <w:spacing w:after="0" w:line="240" w:lineRule="auto"/>
        <w:rPr>
          <w:rFonts w:ascii="Arial" w:eastAsia="Times New Roman" w:hAnsi="Arial" w:cs="Arial"/>
          <w:b/>
          <w:bCs/>
          <w:sz w:val="24"/>
          <w:szCs w:val="24"/>
        </w:rPr>
      </w:pPr>
      <w:r w:rsidRPr="00FA3F9C">
        <w:rPr>
          <w:rFonts w:ascii="Arial" w:hAnsi="Arial" w:cs="Arial"/>
          <w:b/>
          <w:bCs/>
          <w:sz w:val="24"/>
          <w:szCs w:val="24"/>
        </w:rPr>
        <w:t>References:</w:t>
      </w:r>
    </w:p>
    <w:p w14:paraId="493C601A" w14:textId="77777777" w:rsidR="002641D2" w:rsidRPr="00FA3F9C" w:rsidRDefault="002641D2">
      <w:pPr>
        <w:pStyle w:val="Body"/>
        <w:spacing w:after="0" w:line="240" w:lineRule="auto"/>
        <w:rPr>
          <w:rFonts w:ascii="Arial" w:hAnsi="Arial" w:cs="Arial"/>
          <w:sz w:val="24"/>
          <w:szCs w:val="24"/>
        </w:rPr>
      </w:pPr>
      <w:r w:rsidRPr="00FA3F9C">
        <w:rPr>
          <w:rFonts w:ascii="Arial" w:hAnsi="Arial" w:cs="Arial"/>
          <w:sz w:val="24"/>
          <w:szCs w:val="24"/>
          <w:lang w:val="fr-FR"/>
        </w:rPr>
        <w:t xml:space="preserve">1.  </w:t>
      </w:r>
      <w:proofErr w:type="spellStart"/>
      <w:r w:rsidRPr="00FA3F9C">
        <w:rPr>
          <w:rFonts w:ascii="Arial" w:hAnsi="Arial" w:cs="Arial"/>
          <w:sz w:val="24"/>
          <w:szCs w:val="24"/>
          <w:lang w:val="fr-FR"/>
        </w:rPr>
        <w:t>Stamp</w:t>
      </w:r>
      <w:proofErr w:type="spellEnd"/>
      <w:r w:rsidRPr="00FA3F9C">
        <w:rPr>
          <w:rFonts w:ascii="Arial" w:hAnsi="Arial" w:cs="Arial"/>
          <w:sz w:val="24"/>
          <w:szCs w:val="24"/>
          <w:lang w:val="fr-FR"/>
        </w:rPr>
        <w:t xml:space="preserve"> LK, </w:t>
      </w:r>
      <w:proofErr w:type="spellStart"/>
      <w:r w:rsidRPr="00FA3F9C">
        <w:rPr>
          <w:rFonts w:ascii="Arial" w:hAnsi="Arial" w:cs="Arial"/>
          <w:sz w:val="24"/>
          <w:szCs w:val="24"/>
          <w:lang w:val="fr-FR"/>
        </w:rPr>
        <w:t>O’Donnell</w:t>
      </w:r>
      <w:proofErr w:type="spellEnd"/>
      <w:r w:rsidRPr="00FA3F9C">
        <w:rPr>
          <w:rFonts w:ascii="Arial" w:hAnsi="Arial" w:cs="Arial"/>
          <w:sz w:val="24"/>
          <w:szCs w:val="24"/>
          <w:lang w:val="fr-FR"/>
        </w:rPr>
        <w:t xml:space="preserve"> JL, et al.  </w:t>
      </w:r>
      <w:r w:rsidRPr="00FA3F9C">
        <w:rPr>
          <w:rFonts w:ascii="Arial" w:hAnsi="Arial" w:cs="Arial"/>
          <w:color w:val="231F20"/>
          <w:sz w:val="24"/>
          <w:szCs w:val="24"/>
          <w:u w:color="231F20"/>
        </w:rPr>
        <w:t xml:space="preserve">Using Allopurinol Above the Dose Based on Creatinine Clearance Is Effective and Safe in Patients </w:t>
      </w:r>
      <w:proofErr w:type="gramStart"/>
      <w:r w:rsidRPr="00FA3F9C">
        <w:rPr>
          <w:rFonts w:ascii="Arial" w:hAnsi="Arial" w:cs="Arial"/>
          <w:color w:val="231F20"/>
          <w:sz w:val="24"/>
          <w:szCs w:val="24"/>
          <w:u w:color="231F20"/>
        </w:rPr>
        <w:t>With</w:t>
      </w:r>
      <w:proofErr w:type="gramEnd"/>
      <w:r w:rsidRPr="00FA3F9C">
        <w:rPr>
          <w:rFonts w:ascii="Arial" w:hAnsi="Arial" w:cs="Arial"/>
          <w:color w:val="231F20"/>
          <w:sz w:val="24"/>
          <w:szCs w:val="24"/>
          <w:u w:color="231F20"/>
        </w:rPr>
        <w:t xml:space="preserve"> Chronic Gout, Including Those With Renal Impairment.  ARTHRITIS &amp; RHEUMATISM.  Vol. 63, No. 2, February 2011, pp 412–421.</w:t>
      </w:r>
    </w:p>
    <w:p w14:paraId="2C3F8F2D" w14:textId="77777777" w:rsidR="002641D2" w:rsidRPr="00FA3F9C" w:rsidRDefault="002641D2">
      <w:pPr>
        <w:pStyle w:val="Body"/>
        <w:spacing w:after="0" w:line="240" w:lineRule="auto"/>
        <w:rPr>
          <w:rFonts w:ascii="Arial" w:hAnsi="Arial" w:cs="Arial"/>
          <w:sz w:val="24"/>
          <w:szCs w:val="24"/>
          <w:lang w:val="es-ES"/>
        </w:rPr>
      </w:pPr>
      <w:r w:rsidRPr="00FA3F9C">
        <w:rPr>
          <w:rFonts w:ascii="Arial" w:hAnsi="Arial" w:cs="Arial"/>
          <w:sz w:val="24"/>
          <w:szCs w:val="24"/>
        </w:rPr>
        <w:t>2.  El-</w:t>
      </w:r>
      <w:proofErr w:type="spellStart"/>
      <w:r w:rsidRPr="00FA3F9C">
        <w:rPr>
          <w:rFonts w:ascii="Arial" w:hAnsi="Arial" w:cs="Arial"/>
          <w:sz w:val="24"/>
          <w:szCs w:val="24"/>
        </w:rPr>
        <w:t>Zawawy</w:t>
      </w:r>
      <w:proofErr w:type="spellEnd"/>
      <w:r w:rsidRPr="00FA3F9C">
        <w:rPr>
          <w:rFonts w:ascii="Arial" w:hAnsi="Arial" w:cs="Arial"/>
          <w:sz w:val="24"/>
          <w:szCs w:val="24"/>
        </w:rPr>
        <w:t xml:space="preserve"> H, Mandell BF.  Managing gout: How is it different in patients with chronic kidney disease?  </w:t>
      </w:r>
      <w:r w:rsidRPr="00FA3F9C">
        <w:rPr>
          <w:rFonts w:ascii="Arial" w:hAnsi="Arial" w:cs="Arial"/>
          <w:sz w:val="24"/>
          <w:szCs w:val="24"/>
          <w:lang w:val="es-ES"/>
        </w:rPr>
        <w:t>C L E V E L A N D C L I N I C J O U R N A L O F M E D I C I N E.   D E C E M B E R 2 0 1 0;7 7(12) :919-928.</w:t>
      </w:r>
    </w:p>
    <w:p w14:paraId="1D648100" w14:textId="77777777" w:rsidR="002641D2" w:rsidRPr="00FA3F9C" w:rsidRDefault="002641D2">
      <w:pPr>
        <w:pStyle w:val="Body"/>
        <w:spacing w:after="0" w:line="240" w:lineRule="auto"/>
        <w:rPr>
          <w:rFonts w:ascii="Arial" w:hAnsi="Arial" w:cs="Arial"/>
          <w:color w:val="231F20"/>
          <w:sz w:val="24"/>
          <w:szCs w:val="24"/>
          <w:u w:color="231F20"/>
        </w:rPr>
      </w:pPr>
      <w:r w:rsidRPr="00FA3F9C">
        <w:rPr>
          <w:rFonts w:ascii="Arial" w:hAnsi="Arial" w:cs="Arial"/>
          <w:sz w:val="24"/>
          <w:szCs w:val="24"/>
          <w:lang w:val="es-ES"/>
        </w:rPr>
        <w:t xml:space="preserve">3.  Schumacher HR, et al.  </w:t>
      </w:r>
      <w:r w:rsidRPr="00FA3F9C">
        <w:rPr>
          <w:rFonts w:ascii="Arial" w:hAnsi="Arial" w:cs="Arial"/>
          <w:color w:val="231F20"/>
          <w:sz w:val="24"/>
          <w:szCs w:val="24"/>
          <w:u w:color="231F20"/>
        </w:rPr>
        <w:t xml:space="preserve">Effects of Febuxostat Versus Allopurinol and Placebo in Reducing Serum Urate in Subjects </w:t>
      </w:r>
      <w:proofErr w:type="gramStart"/>
      <w:r w:rsidRPr="00FA3F9C">
        <w:rPr>
          <w:rFonts w:ascii="Arial" w:hAnsi="Arial" w:cs="Arial"/>
          <w:color w:val="231F20"/>
          <w:sz w:val="24"/>
          <w:szCs w:val="24"/>
          <w:u w:color="231F20"/>
        </w:rPr>
        <w:t>With</w:t>
      </w:r>
      <w:proofErr w:type="gramEnd"/>
      <w:r w:rsidRPr="00FA3F9C">
        <w:rPr>
          <w:rFonts w:ascii="Arial" w:hAnsi="Arial" w:cs="Arial"/>
          <w:color w:val="231F20"/>
          <w:sz w:val="24"/>
          <w:szCs w:val="24"/>
          <w:u w:color="231F20"/>
        </w:rPr>
        <w:t xml:space="preserve"> Hyperuricemia and Gout: A 28-Week, Phase III, Randomized, Double-Blind, Parallel-Group </w:t>
      </w:r>
      <w:proofErr w:type="spellStart"/>
      <w:r w:rsidRPr="00FA3F9C">
        <w:rPr>
          <w:rFonts w:ascii="Arial" w:hAnsi="Arial" w:cs="Arial"/>
          <w:color w:val="231F20"/>
          <w:sz w:val="24"/>
          <w:szCs w:val="24"/>
          <w:u w:color="231F20"/>
        </w:rPr>
        <w:t>TrialArthritis</w:t>
      </w:r>
      <w:proofErr w:type="spellEnd"/>
      <w:r w:rsidRPr="00FA3F9C">
        <w:rPr>
          <w:rFonts w:ascii="Arial" w:hAnsi="Arial" w:cs="Arial"/>
          <w:color w:val="231F20"/>
          <w:sz w:val="24"/>
          <w:szCs w:val="24"/>
          <w:u w:color="231F20"/>
        </w:rPr>
        <w:t xml:space="preserve"> &amp; Rheumatism (Arthritis Care &amp; Research) Vol. 59, No. 11, November 15, 2008, pp 1540–1548.</w:t>
      </w:r>
    </w:p>
    <w:p w14:paraId="33B593B3" w14:textId="77777777" w:rsidR="002641D2" w:rsidRPr="00FA3F9C" w:rsidRDefault="002641D2">
      <w:pPr>
        <w:pStyle w:val="Body"/>
        <w:spacing w:after="0" w:line="240" w:lineRule="auto"/>
        <w:rPr>
          <w:rFonts w:ascii="Arial" w:hAnsi="Arial" w:cs="Arial"/>
          <w:sz w:val="24"/>
          <w:szCs w:val="24"/>
        </w:rPr>
      </w:pPr>
      <w:r w:rsidRPr="00FA3F9C">
        <w:rPr>
          <w:rFonts w:ascii="Arial" w:hAnsi="Arial" w:cs="Arial"/>
          <w:color w:val="231F20"/>
          <w:sz w:val="24"/>
          <w:szCs w:val="24"/>
          <w:u w:color="231F20"/>
          <w:lang w:val="fr-FR"/>
        </w:rPr>
        <w:t xml:space="preserve">4.  Becker MA, Schumacher HR, et al.  </w:t>
      </w:r>
      <w:r w:rsidRPr="00FA3F9C">
        <w:rPr>
          <w:rFonts w:ascii="Arial" w:hAnsi="Arial" w:cs="Arial"/>
          <w:sz w:val="24"/>
          <w:szCs w:val="24"/>
        </w:rPr>
        <w:t xml:space="preserve">Clinical Efficacy and Safety of Successful </w:t>
      </w:r>
      <w:proofErr w:type="spellStart"/>
      <w:r w:rsidRPr="00FA3F9C">
        <w:rPr>
          <w:rFonts w:ascii="Arial" w:hAnsi="Arial" w:cs="Arial"/>
          <w:sz w:val="24"/>
          <w:szCs w:val="24"/>
        </w:rPr>
        <w:t>Longterm</w:t>
      </w:r>
      <w:proofErr w:type="spellEnd"/>
      <w:r w:rsidRPr="00FA3F9C">
        <w:rPr>
          <w:rFonts w:ascii="Arial" w:hAnsi="Arial" w:cs="Arial"/>
          <w:sz w:val="24"/>
          <w:szCs w:val="24"/>
        </w:rPr>
        <w:t xml:space="preserve"> Urate Lowering with Febuxostat or Allopurinol in Subjects with Gout.  J </w:t>
      </w:r>
      <w:proofErr w:type="spellStart"/>
      <w:r w:rsidRPr="00FA3F9C">
        <w:rPr>
          <w:rFonts w:ascii="Arial" w:hAnsi="Arial" w:cs="Arial"/>
          <w:sz w:val="24"/>
          <w:szCs w:val="24"/>
        </w:rPr>
        <w:t>Rheumatol</w:t>
      </w:r>
      <w:proofErr w:type="spellEnd"/>
      <w:r w:rsidRPr="00FA3F9C">
        <w:rPr>
          <w:rFonts w:ascii="Arial" w:hAnsi="Arial" w:cs="Arial"/>
          <w:sz w:val="24"/>
          <w:szCs w:val="24"/>
        </w:rPr>
        <w:t>. 2009;36:1273–82.</w:t>
      </w:r>
    </w:p>
    <w:p w14:paraId="57F0046E" w14:textId="77777777" w:rsidR="002641D2" w:rsidRPr="00FA3F9C" w:rsidRDefault="002641D2">
      <w:pPr>
        <w:pStyle w:val="Body"/>
        <w:spacing w:after="0" w:line="240" w:lineRule="auto"/>
        <w:rPr>
          <w:rFonts w:ascii="Arial" w:hAnsi="Arial" w:cs="Arial"/>
          <w:sz w:val="24"/>
          <w:szCs w:val="24"/>
        </w:rPr>
      </w:pPr>
      <w:r w:rsidRPr="00FA3F9C">
        <w:rPr>
          <w:rFonts w:ascii="Arial" w:hAnsi="Arial" w:cs="Arial"/>
          <w:sz w:val="24"/>
          <w:szCs w:val="24"/>
        </w:rPr>
        <w:t xml:space="preserve">5.  Becker mA, Schumacher HR, et al.  Febuxostat compared with allopurinol in patients with  hyperuricemia and gout.  N </w:t>
      </w:r>
      <w:proofErr w:type="spellStart"/>
      <w:r w:rsidRPr="00FA3F9C">
        <w:rPr>
          <w:rFonts w:ascii="Arial" w:hAnsi="Arial" w:cs="Arial"/>
          <w:sz w:val="24"/>
          <w:szCs w:val="24"/>
        </w:rPr>
        <w:t>Engl</w:t>
      </w:r>
      <w:proofErr w:type="spellEnd"/>
      <w:r w:rsidRPr="00FA3F9C">
        <w:rPr>
          <w:rFonts w:ascii="Arial" w:hAnsi="Arial" w:cs="Arial"/>
          <w:sz w:val="24"/>
          <w:szCs w:val="24"/>
        </w:rPr>
        <w:t xml:space="preserve"> J Med 2005;353:2450-61.</w:t>
      </w:r>
    </w:p>
    <w:p w14:paraId="2DE6D7F6" w14:textId="77777777" w:rsidR="002641D2" w:rsidRPr="00FA3F9C" w:rsidRDefault="002641D2">
      <w:pPr>
        <w:pStyle w:val="Body"/>
        <w:spacing w:after="0" w:line="240" w:lineRule="auto"/>
        <w:rPr>
          <w:rFonts w:ascii="Arial" w:hAnsi="Arial" w:cs="Arial"/>
          <w:color w:val="222222"/>
          <w:sz w:val="24"/>
          <w:szCs w:val="24"/>
          <w:u w:color="222222"/>
          <w:shd w:val="clear" w:color="auto" w:fill="F8F8F8"/>
        </w:rPr>
      </w:pPr>
      <w:r w:rsidRPr="00FA3F9C">
        <w:rPr>
          <w:rFonts w:ascii="Arial" w:hAnsi="Arial" w:cs="Arial"/>
          <w:sz w:val="24"/>
          <w:szCs w:val="24"/>
        </w:rPr>
        <w:t xml:space="preserve">6. Center for Drug Evaluation and Research. </w:t>
      </w:r>
      <w:r w:rsidRPr="00FA3F9C">
        <w:rPr>
          <w:rFonts w:ascii="Arial" w:hAnsi="Arial" w:cs="Arial"/>
          <w:sz w:val="24"/>
          <w:szCs w:val="24"/>
          <w:lang w:val="de-DE"/>
        </w:rPr>
        <w:t>“</w:t>
      </w:r>
      <w:r w:rsidRPr="00FA3F9C">
        <w:rPr>
          <w:rFonts w:ascii="Arial" w:hAnsi="Arial" w:cs="Arial"/>
          <w:sz w:val="24"/>
          <w:szCs w:val="24"/>
        </w:rPr>
        <w:t xml:space="preserve">FDA Adds Boxed Warning for Increased Risk of Death with Gout Medicine.” </w:t>
      </w:r>
      <w:r w:rsidRPr="00FA3F9C">
        <w:rPr>
          <w:rFonts w:ascii="Arial" w:hAnsi="Arial" w:cs="Arial"/>
          <w:i/>
          <w:iCs/>
          <w:sz w:val="24"/>
          <w:szCs w:val="24"/>
        </w:rPr>
        <w:t>U.S. Food and Drug Administration</w:t>
      </w:r>
      <w:r w:rsidRPr="00FA3F9C">
        <w:rPr>
          <w:rFonts w:ascii="Arial" w:hAnsi="Arial" w:cs="Arial"/>
          <w:sz w:val="24"/>
          <w:szCs w:val="24"/>
        </w:rPr>
        <w:t>, FDA, 17 Nov. 2017, www.fda.gov/drugs/drug-safety-and-availability/fda-adds-boxed-warning-increased-risk-death-gout-medicine-uloric-febuxostat.</w:t>
      </w:r>
    </w:p>
    <w:p w14:paraId="0BF7D6B5" w14:textId="77777777" w:rsidR="002641D2" w:rsidRPr="00FA3F9C" w:rsidRDefault="002641D2">
      <w:pPr>
        <w:pStyle w:val="Default"/>
        <w:rPr>
          <w:rFonts w:ascii="Arial" w:eastAsia="Calibri" w:hAnsi="Arial" w:cs="Arial"/>
          <w:u w:val="single"/>
        </w:rPr>
      </w:pPr>
      <w:r w:rsidRPr="00FA3F9C">
        <w:rPr>
          <w:rFonts w:ascii="Arial" w:eastAsia="Calibri" w:hAnsi="Arial" w:cs="Arial"/>
          <w:color w:val="222222"/>
          <w:u w:color="222222"/>
          <w:shd w:val="clear" w:color="auto" w:fill="F8F8F8"/>
        </w:rPr>
        <w:lastRenderedPageBreak/>
        <w:t>7. White, William B., et al. "Cardiovascular safety of febuxostat or allopurinol in patients with gout." </w:t>
      </w:r>
      <w:r w:rsidRPr="00FA3F9C">
        <w:rPr>
          <w:rFonts w:ascii="Arial" w:eastAsia="Calibri" w:hAnsi="Arial" w:cs="Arial"/>
          <w:i/>
          <w:iCs/>
          <w:color w:val="222222"/>
          <w:u w:color="222222"/>
          <w:shd w:val="clear" w:color="auto" w:fill="F8F8F8"/>
        </w:rPr>
        <w:t>New England Journal of Medicine</w:t>
      </w:r>
      <w:r w:rsidRPr="00FA3F9C">
        <w:rPr>
          <w:rFonts w:ascii="Arial" w:eastAsia="Calibri" w:hAnsi="Arial" w:cs="Arial"/>
          <w:color w:val="222222"/>
          <w:u w:color="222222"/>
          <w:shd w:val="clear" w:color="auto" w:fill="F8F8F8"/>
        </w:rPr>
        <w:t> 378.13 (2018): 1200-1210.</w:t>
      </w:r>
    </w:p>
    <w:p w14:paraId="3DF4852B" w14:textId="77777777" w:rsidR="002641D2" w:rsidRPr="00FA3F9C" w:rsidRDefault="002641D2">
      <w:pPr>
        <w:pStyle w:val="Body"/>
        <w:widowControl w:val="0"/>
        <w:spacing w:after="0" w:line="240" w:lineRule="auto"/>
        <w:rPr>
          <w:rFonts w:ascii="Arial" w:hAnsi="Arial" w:cs="Arial"/>
          <w:b/>
          <w:bCs/>
          <w:sz w:val="24"/>
          <w:szCs w:val="24"/>
          <w:u w:val="single"/>
        </w:rPr>
      </w:pPr>
    </w:p>
    <w:p w14:paraId="68A58AED" w14:textId="77777777" w:rsidR="002641D2" w:rsidRPr="00FA3F9C" w:rsidRDefault="002641D2">
      <w:pPr>
        <w:pStyle w:val="Body"/>
        <w:spacing w:after="0"/>
        <w:rPr>
          <w:rFonts w:ascii="Arial" w:hAnsi="Arial" w:cs="Arial"/>
          <w:sz w:val="24"/>
          <w:szCs w:val="24"/>
        </w:rPr>
      </w:pPr>
      <w:r w:rsidRPr="00FA3F9C">
        <w:rPr>
          <w:rFonts w:ascii="Arial" w:hAnsi="Arial" w:cs="Arial"/>
          <w:sz w:val="24"/>
          <w:szCs w:val="24"/>
        </w:rPr>
        <w:t>Revision History:</w:t>
      </w:r>
    </w:p>
    <w:tbl>
      <w:tblPr>
        <w:tblW w:w="0" w:type="auto"/>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1095"/>
        <w:gridCol w:w="8825"/>
        <w:gridCol w:w="1174"/>
      </w:tblGrid>
      <w:tr w:rsidR="002641D2" w:rsidRPr="00FA3F9C" w14:paraId="7C37A8B0" w14:textId="77777777" w:rsidTr="008262B9">
        <w:trPr>
          <w:trHeight w:val="189"/>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CF8ACD" w14:textId="77777777" w:rsidR="002641D2" w:rsidRPr="00FA3F9C" w:rsidRDefault="002641D2" w:rsidP="008262B9">
            <w:pPr>
              <w:pStyle w:val="Body"/>
              <w:spacing w:after="0" w:line="240" w:lineRule="auto"/>
              <w:rPr>
                <w:rFonts w:ascii="Arial" w:hAnsi="Arial" w:cs="Arial"/>
                <w:sz w:val="24"/>
                <w:szCs w:val="24"/>
              </w:rPr>
            </w:pPr>
            <w:r w:rsidRPr="00FA3F9C">
              <w:rPr>
                <w:rFonts w:ascii="Arial" w:hAnsi="Arial" w:cs="Arial"/>
                <w:sz w:val="24"/>
                <w:szCs w:val="24"/>
              </w:rPr>
              <w:t>Date</w:t>
            </w:r>
          </w:p>
        </w:tc>
        <w:tc>
          <w:tcPr>
            <w:tcW w:w="88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0CB91C" w14:textId="77777777" w:rsidR="002641D2" w:rsidRPr="00FA3F9C" w:rsidRDefault="002641D2" w:rsidP="008262B9">
            <w:pPr>
              <w:pStyle w:val="Body"/>
              <w:spacing w:after="0" w:line="240" w:lineRule="auto"/>
              <w:rPr>
                <w:rFonts w:ascii="Arial" w:hAnsi="Arial" w:cs="Arial"/>
                <w:sz w:val="24"/>
                <w:szCs w:val="24"/>
              </w:rPr>
            </w:pPr>
            <w:r w:rsidRPr="00FA3F9C">
              <w:rPr>
                <w:rFonts w:ascii="Arial" w:hAnsi="Arial" w:cs="Arial"/>
                <w:sz w:val="24"/>
                <w:szCs w:val="24"/>
              </w:rPr>
              <w:t>What changed?</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262A75" w14:textId="77777777" w:rsidR="002641D2" w:rsidRPr="00FA3F9C" w:rsidRDefault="002641D2" w:rsidP="008262B9">
            <w:pPr>
              <w:pStyle w:val="Body"/>
              <w:spacing w:after="0" w:line="240" w:lineRule="auto"/>
              <w:rPr>
                <w:rFonts w:ascii="Arial" w:hAnsi="Arial" w:cs="Arial"/>
                <w:sz w:val="24"/>
                <w:szCs w:val="24"/>
              </w:rPr>
            </w:pPr>
            <w:r w:rsidRPr="00FA3F9C">
              <w:rPr>
                <w:rFonts w:ascii="Arial" w:hAnsi="Arial" w:cs="Arial"/>
                <w:sz w:val="24"/>
                <w:szCs w:val="24"/>
              </w:rPr>
              <w:t>Pharm.D.</w:t>
            </w:r>
          </w:p>
        </w:tc>
      </w:tr>
      <w:tr w:rsidR="002641D2" w:rsidRPr="00FA3F9C" w14:paraId="471F25F4" w14:textId="77777777" w:rsidTr="008262B9">
        <w:trPr>
          <w:trHeight w:val="99"/>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4F6524" w14:textId="77777777" w:rsidR="002641D2" w:rsidRPr="00FA3F9C" w:rsidRDefault="002641D2" w:rsidP="008262B9">
            <w:pPr>
              <w:pStyle w:val="Body"/>
              <w:spacing w:after="0" w:line="240" w:lineRule="auto"/>
              <w:rPr>
                <w:rFonts w:ascii="Arial" w:hAnsi="Arial" w:cs="Arial"/>
                <w:sz w:val="24"/>
                <w:szCs w:val="24"/>
              </w:rPr>
            </w:pPr>
            <w:r w:rsidRPr="00FA3F9C">
              <w:rPr>
                <w:rFonts w:ascii="Arial" w:hAnsi="Arial" w:cs="Arial"/>
                <w:sz w:val="24"/>
                <w:szCs w:val="24"/>
              </w:rPr>
              <w:t>3/30/09</w:t>
            </w:r>
          </w:p>
        </w:tc>
        <w:tc>
          <w:tcPr>
            <w:tcW w:w="88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E803FF" w14:textId="77777777" w:rsidR="002641D2" w:rsidRPr="00FA3F9C" w:rsidRDefault="002641D2" w:rsidP="008262B9">
            <w:pPr>
              <w:pStyle w:val="Body"/>
              <w:spacing w:after="0" w:line="240" w:lineRule="auto"/>
              <w:rPr>
                <w:rFonts w:ascii="Arial" w:hAnsi="Arial" w:cs="Arial"/>
                <w:sz w:val="24"/>
                <w:szCs w:val="24"/>
              </w:rPr>
            </w:pPr>
            <w:r w:rsidRPr="00FA3F9C">
              <w:rPr>
                <w:rFonts w:ascii="Arial" w:hAnsi="Arial" w:cs="Arial"/>
                <w:sz w:val="24"/>
                <w:szCs w:val="24"/>
              </w:rPr>
              <w:t>Excluded per JJ’s directory</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EE3975" w14:textId="77777777" w:rsidR="002641D2" w:rsidRPr="00FA3F9C" w:rsidRDefault="002641D2" w:rsidP="008262B9">
            <w:pPr>
              <w:pStyle w:val="Body"/>
              <w:spacing w:after="0" w:line="240" w:lineRule="auto"/>
              <w:rPr>
                <w:rFonts w:ascii="Arial" w:hAnsi="Arial" w:cs="Arial"/>
                <w:sz w:val="24"/>
                <w:szCs w:val="24"/>
              </w:rPr>
            </w:pPr>
            <w:r w:rsidRPr="00FA3F9C">
              <w:rPr>
                <w:rFonts w:ascii="Arial" w:hAnsi="Arial" w:cs="Arial"/>
                <w:sz w:val="24"/>
                <w:szCs w:val="24"/>
              </w:rPr>
              <w:t>JJ</w:t>
            </w:r>
          </w:p>
        </w:tc>
      </w:tr>
      <w:tr w:rsidR="002641D2" w:rsidRPr="00FA3F9C" w14:paraId="169ED280" w14:textId="77777777" w:rsidTr="008262B9">
        <w:trPr>
          <w:trHeight w:val="222"/>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FFE36D" w14:textId="77777777" w:rsidR="002641D2" w:rsidRPr="00FA3F9C" w:rsidRDefault="002641D2" w:rsidP="008262B9">
            <w:pPr>
              <w:pStyle w:val="Body"/>
              <w:spacing w:after="0" w:line="240" w:lineRule="auto"/>
              <w:rPr>
                <w:rFonts w:ascii="Arial" w:hAnsi="Arial" w:cs="Arial"/>
                <w:sz w:val="24"/>
                <w:szCs w:val="24"/>
              </w:rPr>
            </w:pPr>
            <w:r w:rsidRPr="00FA3F9C">
              <w:rPr>
                <w:rFonts w:ascii="Arial" w:hAnsi="Arial" w:cs="Arial"/>
                <w:sz w:val="24"/>
                <w:szCs w:val="24"/>
              </w:rPr>
              <w:t>8/09</w:t>
            </w:r>
          </w:p>
        </w:tc>
        <w:tc>
          <w:tcPr>
            <w:tcW w:w="88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C481A6" w14:textId="77777777" w:rsidR="002641D2" w:rsidRPr="00FA3F9C" w:rsidRDefault="002641D2" w:rsidP="008262B9">
            <w:pPr>
              <w:pStyle w:val="Body"/>
              <w:spacing w:after="0" w:line="240" w:lineRule="auto"/>
              <w:rPr>
                <w:rFonts w:ascii="Arial" w:hAnsi="Arial" w:cs="Arial"/>
                <w:sz w:val="24"/>
                <w:szCs w:val="24"/>
              </w:rPr>
            </w:pPr>
            <w:r w:rsidRPr="00FA3F9C">
              <w:rPr>
                <w:rFonts w:ascii="Arial" w:hAnsi="Arial" w:cs="Arial"/>
                <w:sz w:val="24"/>
                <w:szCs w:val="24"/>
              </w:rPr>
              <w:t>changed to covered w/ PA 8/09</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AE87DB" w14:textId="77777777" w:rsidR="002641D2" w:rsidRPr="00FA3F9C" w:rsidRDefault="002641D2" w:rsidP="008262B9">
            <w:pPr>
              <w:pStyle w:val="Body"/>
              <w:spacing w:after="0" w:line="240" w:lineRule="auto"/>
              <w:rPr>
                <w:rFonts w:ascii="Arial" w:hAnsi="Arial" w:cs="Arial"/>
                <w:sz w:val="24"/>
                <w:szCs w:val="24"/>
              </w:rPr>
            </w:pPr>
            <w:r w:rsidRPr="00FA3F9C">
              <w:rPr>
                <w:rFonts w:ascii="Arial" w:hAnsi="Arial" w:cs="Arial"/>
                <w:sz w:val="24"/>
                <w:szCs w:val="24"/>
              </w:rPr>
              <w:t>JJ</w:t>
            </w:r>
          </w:p>
        </w:tc>
      </w:tr>
      <w:tr w:rsidR="002641D2" w:rsidRPr="00FA3F9C" w14:paraId="38A5BD58" w14:textId="77777777" w:rsidTr="008262B9">
        <w:trPr>
          <w:trHeight w:val="222"/>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FE283A" w14:textId="77777777" w:rsidR="002641D2" w:rsidRPr="00FA3F9C" w:rsidRDefault="002641D2" w:rsidP="008262B9">
            <w:pPr>
              <w:pStyle w:val="Body"/>
              <w:spacing w:after="0" w:line="240" w:lineRule="auto"/>
              <w:rPr>
                <w:rFonts w:ascii="Arial" w:hAnsi="Arial" w:cs="Arial"/>
                <w:sz w:val="24"/>
                <w:szCs w:val="24"/>
              </w:rPr>
            </w:pPr>
            <w:r w:rsidRPr="00FA3F9C">
              <w:rPr>
                <w:rFonts w:ascii="Arial" w:hAnsi="Arial" w:cs="Arial"/>
                <w:sz w:val="24"/>
                <w:szCs w:val="24"/>
              </w:rPr>
              <w:t>8/09</w:t>
            </w:r>
          </w:p>
        </w:tc>
        <w:tc>
          <w:tcPr>
            <w:tcW w:w="88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5A2DF5" w14:textId="77777777" w:rsidR="002641D2" w:rsidRPr="00FA3F9C" w:rsidRDefault="002641D2" w:rsidP="008262B9">
            <w:pPr>
              <w:pStyle w:val="Body"/>
              <w:spacing w:after="0" w:line="240" w:lineRule="auto"/>
              <w:rPr>
                <w:rFonts w:ascii="Arial" w:hAnsi="Arial" w:cs="Arial"/>
                <w:sz w:val="24"/>
                <w:szCs w:val="24"/>
              </w:rPr>
            </w:pPr>
            <w:r w:rsidRPr="00FA3F9C">
              <w:rPr>
                <w:rFonts w:ascii="Arial" w:hAnsi="Arial" w:cs="Arial"/>
                <w:sz w:val="24"/>
                <w:szCs w:val="24"/>
              </w:rPr>
              <w:t>PA criteria:  documented hypersensitivity to allopurinol.  All other requests for coverage to be denied.</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A1F7A1" w14:textId="77777777" w:rsidR="002641D2" w:rsidRPr="00FA3F9C" w:rsidRDefault="002641D2" w:rsidP="008262B9">
            <w:pPr>
              <w:pStyle w:val="Body"/>
              <w:spacing w:after="0" w:line="240" w:lineRule="auto"/>
              <w:rPr>
                <w:rFonts w:ascii="Arial" w:hAnsi="Arial" w:cs="Arial"/>
                <w:sz w:val="24"/>
                <w:szCs w:val="24"/>
              </w:rPr>
            </w:pPr>
            <w:r w:rsidRPr="00FA3F9C">
              <w:rPr>
                <w:rFonts w:ascii="Arial" w:hAnsi="Arial" w:cs="Arial"/>
                <w:sz w:val="24"/>
                <w:szCs w:val="24"/>
              </w:rPr>
              <w:t>JJ</w:t>
            </w:r>
          </w:p>
        </w:tc>
      </w:tr>
      <w:tr w:rsidR="002641D2" w:rsidRPr="00FA3F9C" w14:paraId="054C28C3" w14:textId="77777777" w:rsidTr="008262B9">
        <w:trPr>
          <w:trHeight w:val="222"/>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5DBB59" w14:textId="77777777" w:rsidR="002641D2" w:rsidRPr="00FA3F9C" w:rsidRDefault="002641D2" w:rsidP="008262B9">
            <w:pPr>
              <w:pStyle w:val="Body"/>
              <w:spacing w:after="0" w:line="240" w:lineRule="auto"/>
              <w:rPr>
                <w:rFonts w:ascii="Arial" w:hAnsi="Arial" w:cs="Arial"/>
                <w:sz w:val="24"/>
                <w:szCs w:val="24"/>
              </w:rPr>
            </w:pPr>
            <w:r w:rsidRPr="00FA3F9C">
              <w:rPr>
                <w:rFonts w:ascii="Arial" w:hAnsi="Arial" w:cs="Arial"/>
                <w:sz w:val="24"/>
                <w:szCs w:val="24"/>
              </w:rPr>
              <w:t>4/5/10</w:t>
            </w:r>
          </w:p>
        </w:tc>
        <w:tc>
          <w:tcPr>
            <w:tcW w:w="88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E93221" w14:textId="77777777" w:rsidR="002641D2" w:rsidRPr="00FA3F9C" w:rsidRDefault="002641D2" w:rsidP="008262B9">
            <w:pPr>
              <w:pStyle w:val="Body"/>
              <w:spacing w:after="0" w:line="240" w:lineRule="auto"/>
              <w:rPr>
                <w:rFonts w:ascii="Arial" w:hAnsi="Arial" w:cs="Arial"/>
                <w:sz w:val="24"/>
                <w:szCs w:val="24"/>
              </w:rPr>
            </w:pPr>
            <w:r w:rsidRPr="00FA3F9C">
              <w:rPr>
                <w:rFonts w:ascii="Arial" w:hAnsi="Arial" w:cs="Arial"/>
                <w:sz w:val="24"/>
                <w:szCs w:val="24"/>
              </w:rPr>
              <w:t xml:space="preserve">additional criteria of </w:t>
            </w:r>
            <w:proofErr w:type="spellStart"/>
            <w:r w:rsidRPr="00FA3F9C">
              <w:rPr>
                <w:rFonts w:ascii="Arial" w:hAnsi="Arial" w:cs="Arial"/>
                <w:sz w:val="24"/>
                <w:szCs w:val="24"/>
              </w:rPr>
              <w:t>CrCl</w:t>
            </w:r>
            <w:proofErr w:type="spellEnd"/>
            <w:r w:rsidRPr="00FA3F9C">
              <w:rPr>
                <w:rFonts w:ascii="Arial" w:hAnsi="Arial" w:cs="Arial"/>
                <w:sz w:val="24"/>
                <w:szCs w:val="24"/>
              </w:rPr>
              <w:t>&lt;30ml/min was included in this PA—cannot find documentation on this.</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34EBF0" w14:textId="77777777" w:rsidR="002641D2" w:rsidRPr="00FA3F9C" w:rsidRDefault="002641D2" w:rsidP="008262B9">
            <w:pPr>
              <w:pStyle w:val="Body"/>
              <w:spacing w:after="0" w:line="240" w:lineRule="auto"/>
              <w:rPr>
                <w:rFonts w:ascii="Arial" w:hAnsi="Arial" w:cs="Arial"/>
                <w:sz w:val="24"/>
                <w:szCs w:val="24"/>
              </w:rPr>
            </w:pPr>
            <w:r w:rsidRPr="00FA3F9C">
              <w:rPr>
                <w:rFonts w:ascii="Arial" w:hAnsi="Arial" w:cs="Arial"/>
                <w:sz w:val="24"/>
                <w:szCs w:val="24"/>
              </w:rPr>
              <w:t>JJ</w:t>
            </w:r>
          </w:p>
        </w:tc>
      </w:tr>
      <w:tr w:rsidR="002641D2" w:rsidRPr="00FA3F9C" w14:paraId="4448BAB2" w14:textId="77777777" w:rsidTr="008262B9">
        <w:trPr>
          <w:trHeight w:val="222"/>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C47AC2" w14:textId="77777777" w:rsidR="002641D2" w:rsidRPr="00FA3F9C" w:rsidRDefault="002641D2" w:rsidP="008262B9">
            <w:pPr>
              <w:pStyle w:val="Body"/>
              <w:spacing w:after="0" w:line="240" w:lineRule="auto"/>
              <w:rPr>
                <w:rFonts w:ascii="Arial" w:hAnsi="Arial" w:cs="Arial"/>
                <w:sz w:val="24"/>
                <w:szCs w:val="24"/>
              </w:rPr>
            </w:pPr>
            <w:r w:rsidRPr="00FA3F9C">
              <w:rPr>
                <w:rFonts w:ascii="Arial" w:hAnsi="Arial" w:cs="Arial"/>
                <w:sz w:val="24"/>
                <w:szCs w:val="24"/>
              </w:rPr>
              <w:t>5/14/12</w:t>
            </w:r>
          </w:p>
        </w:tc>
        <w:tc>
          <w:tcPr>
            <w:tcW w:w="88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A64DF9" w14:textId="77777777" w:rsidR="002641D2" w:rsidRPr="00FA3F9C" w:rsidRDefault="002641D2" w:rsidP="008262B9">
            <w:pPr>
              <w:pStyle w:val="Body"/>
              <w:spacing w:after="0" w:line="240" w:lineRule="auto"/>
              <w:rPr>
                <w:rFonts w:ascii="Arial" w:hAnsi="Arial" w:cs="Arial"/>
                <w:sz w:val="24"/>
                <w:szCs w:val="24"/>
              </w:rPr>
            </w:pPr>
            <w:r w:rsidRPr="00FA3F9C">
              <w:rPr>
                <w:rFonts w:ascii="Arial" w:hAnsi="Arial" w:cs="Arial"/>
                <w:sz w:val="24"/>
                <w:szCs w:val="24"/>
              </w:rPr>
              <w:t xml:space="preserve">References added; revision </w:t>
            </w:r>
            <w:proofErr w:type="spellStart"/>
            <w:r w:rsidRPr="00FA3F9C">
              <w:rPr>
                <w:rFonts w:ascii="Arial" w:hAnsi="Arial" w:cs="Arial"/>
                <w:sz w:val="24"/>
                <w:szCs w:val="24"/>
              </w:rPr>
              <w:t>hx</w:t>
            </w:r>
            <w:proofErr w:type="spellEnd"/>
            <w:r w:rsidRPr="00FA3F9C">
              <w:rPr>
                <w:rFonts w:ascii="Arial" w:hAnsi="Arial" w:cs="Arial"/>
                <w:sz w:val="24"/>
                <w:szCs w:val="24"/>
              </w:rPr>
              <w:t xml:space="preserve"> table added</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0A4012" w14:textId="77777777" w:rsidR="002641D2" w:rsidRPr="00FA3F9C" w:rsidRDefault="002641D2" w:rsidP="008262B9">
            <w:pPr>
              <w:pStyle w:val="Body"/>
              <w:spacing w:after="0" w:line="240" w:lineRule="auto"/>
              <w:rPr>
                <w:rFonts w:ascii="Arial" w:hAnsi="Arial" w:cs="Arial"/>
                <w:sz w:val="24"/>
                <w:szCs w:val="24"/>
              </w:rPr>
            </w:pPr>
            <w:r w:rsidRPr="00FA3F9C">
              <w:rPr>
                <w:rFonts w:ascii="Arial" w:hAnsi="Arial" w:cs="Arial"/>
                <w:sz w:val="24"/>
                <w:szCs w:val="24"/>
              </w:rPr>
              <w:t>JJ</w:t>
            </w:r>
          </w:p>
        </w:tc>
      </w:tr>
      <w:tr w:rsidR="002641D2" w:rsidRPr="00FA3F9C" w14:paraId="6257A5CE" w14:textId="77777777" w:rsidTr="008262B9">
        <w:trPr>
          <w:trHeight w:val="315"/>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2F156F" w14:textId="77777777" w:rsidR="002641D2" w:rsidRPr="00FA3F9C" w:rsidRDefault="002641D2" w:rsidP="008262B9">
            <w:pPr>
              <w:pStyle w:val="Body"/>
              <w:spacing w:after="0" w:line="240" w:lineRule="auto"/>
              <w:rPr>
                <w:rFonts w:ascii="Arial" w:hAnsi="Arial" w:cs="Arial"/>
                <w:sz w:val="24"/>
                <w:szCs w:val="24"/>
              </w:rPr>
            </w:pPr>
            <w:r w:rsidRPr="00FA3F9C">
              <w:rPr>
                <w:rFonts w:ascii="Arial" w:hAnsi="Arial" w:cs="Arial"/>
                <w:sz w:val="24"/>
                <w:szCs w:val="24"/>
              </w:rPr>
              <w:t>2/25/19</w:t>
            </w:r>
          </w:p>
        </w:tc>
        <w:tc>
          <w:tcPr>
            <w:tcW w:w="88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5603D6" w14:textId="77777777" w:rsidR="002641D2" w:rsidRPr="00FA3F9C" w:rsidRDefault="002641D2" w:rsidP="008262B9">
            <w:pPr>
              <w:pStyle w:val="Body"/>
              <w:spacing w:after="0" w:line="240" w:lineRule="auto"/>
              <w:rPr>
                <w:rFonts w:ascii="Arial" w:hAnsi="Arial" w:cs="Arial"/>
                <w:sz w:val="24"/>
                <w:szCs w:val="24"/>
              </w:rPr>
            </w:pPr>
            <w:r w:rsidRPr="00FA3F9C">
              <w:rPr>
                <w:rFonts w:ascii="Arial" w:hAnsi="Arial" w:cs="Arial"/>
                <w:sz w:val="24"/>
                <w:szCs w:val="24"/>
              </w:rPr>
              <w:t>I added reference 6. I added item 2 regarding CV black box warning. I added the box and calculated the NNH for CV death and all cause death.</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DE11A5" w14:textId="77777777" w:rsidR="002641D2" w:rsidRPr="00FA3F9C" w:rsidRDefault="002641D2" w:rsidP="008262B9">
            <w:pPr>
              <w:pStyle w:val="Body"/>
              <w:spacing w:after="0" w:line="240" w:lineRule="auto"/>
              <w:rPr>
                <w:rFonts w:ascii="Arial" w:hAnsi="Arial" w:cs="Arial"/>
                <w:sz w:val="24"/>
                <w:szCs w:val="24"/>
              </w:rPr>
            </w:pPr>
            <w:r w:rsidRPr="00FA3F9C">
              <w:rPr>
                <w:rFonts w:ascii="Arial" w:hAnsi="Arial" w:cs="Arial"/>
                <w:sz w:val="24"/>
                <w:szCs w:val="24"/>
              </w:rPr>
              <w:t>JJ</w:t>
            </w:r>
          </w:p>
        </w:tc>
      </w:tr>
      <w:tr w:rsidR="002641D2" w:rsidRPr="00FA3F9C" w14:paraId="0B6F966B" w14:textId="77777777" w:rsidTr="008262B9">
        <w:trPr>
          <w:trHeight w:val="222"/>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80B8E3" w14:textId="77777777" w:rsidR="002641D2" w:rsidRPr="00FA3F9C" w:rsidRDefault="002641D2" w:rsidP="008262B9">
            <w:pPr>
              <w:rPr>
                <w:rFonts w:ascii="Arial" w:hAnsi="Arial" w:cs="Arial"/>
                <w:sz w:val="24"/>
                <w:szCs w:val="24"/>
              </w:rPr>
            </w:pPr>
            <w:r w:rsidRPr="00FA3F9C">
              <w:rPr>
                <w:rFonts w:ascii="Arial" w:eastAsia="Calibri" w:hAnsi="Arial" w:cs="Arial"/>
                <w:color w:val="000000"/>
                <w:sz w:val="24"/>
                <w:szCs w:val="24"/>
                <w:u w:color="000000"/>
              </w:rPr>
              <w:t>11/24/19</w:t>
            </w:r>
          </w:p>
        </w:tc>
        <w:tc>
          <w:tcPr>
            <w:tcW w:w="88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41B4BC" w14:textId="77777777" w:rsidR="002641D2" w:rsidRPr="00FA3F9C" w:rsidRDefault="002641D2" w:rsidP="008262B9">
            <w:pPr>
              <w:rPr>
                <w:rFonts w:ascii="Arial" w:hAnsi="Arial" w:cs="Arial"/>
                <w:sz w:val="24"/>
                <w:szCs w:val="24"/>
              </w:rPr>
            </w:pPr>
            <w:r w:rsidRPr="00FA3F9C">
              <w:rPr>
                <w:rFonts w:ascii="Arial" w:eastAsia="Calibri" w:hAnsi="Arial" w:cs="Arial"/>
                <w:color w:val="000000"/>
                <w:sz w:val="24"/>
                <w:szCs w:val="24"/>
                <w:u w:color="000000"/>
              </w:rPr>
              <w:t xml:space="preserve">Added the patient must have failed allopurinol therapy based </w:t>
            </w:r>
            <w:proofErr w:type="gramStart"/>
            <w:r w:rsidRPr="00FA3F9C">
              <w:rPr>
                <w:rFonts w:ascii="Arial" w:eastAsia="Calibri" w:hAnsi="Arial" w:cs="Arial"/>
                <w:color w:val="000000"/>
                <w:sz w:val="24"/>
                <w:szCs w:val="24"/>
                <w:u w:color="000000"/>
              </w:rPr>
              <w:t>off of</w:t>
            </w:r>
            <w:proofErr w:type="gramEnd"/>
            <w:r w:rsidRPr="00FA3F9C">
              <w:rPr>
                <w:rFonts w:ascii="Arial" w:eastAsia="Calibri" w:hAnsi="Arial" w:cs="Arial"/>
                <w:color w:val="000000"/>
                <w:sz w:val="24"/>
                <w:szCs w:val="24"/>
                <w:u w:color="000000"/>
              </w:rPr>
              <w:t xml:space="preserve"> the black box warning; Converted document to new template formation.</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BF42B9" w14:textId="77777777" w:rsidR="002641D2" w:rsidRPr="00FA3F9C" w:rsidRDefault="002641D2" w:rsidP="008262B9">
            <w:pPr>
              <w:rPr>
                <w:rFonts w:ascii="Arial" w:hAnsi="Arial" w:cs="Arial"/>
                <w:sz w:val="24"/>
                <w:szCs w:val="24"/>
              </w:rPr>
            </w:pPr>
            <w:r w:rsidRPr="00FA3F9C">
              <w:rPr>
                <w:rFonts w:ascii="Arial" w:eastAsia="Calibri" w:hAnsi="Arial" w:cs="Arial"/>
                <w:color w:val="000000"/>
                <w:sz w:val="24"/>
                <w:szCs w:val="24"/>
                <w:u w:color="000000"/>
              </w:rPr>
              <w:t>DD/JJ</w:t>
            </w:r>
          </w:p>
        </w:tc>
      </w:tr>
      <w:tr w:rsidR="002641D2" w:rsidRPr="00FA3F9C" w14:paraId="556B99A0" w14:textId="77777777" w:rsidTr="008262B9">
        <w:trPr>
          <w:trHeight w:val="222"/>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EA3540" w14:textId="77777777" w:rsidR="002641D2" w:rsidRPr="00FA3F9C" w:rsidRDefault="002641D2" w:rsidP="008262B9">
            <w:pPr>
              <w:rPr>
                <w:rFonts w:ascii="Arial" w:eastAsia="Calibri" w:hAnsi="Arial" w:cs="Arial"/>
                <w:color w:val="000000"/>
                <w:sz w:val="24"/>
                <w:szCs w:val="24"/>
                <w:u w:color="000000"/>
              </w:rPr>
            </w:pPr>
            <w:r w:rsidRPr="00FA3F9C">
              <w:rPr>
                <w:rFonts w:ascii="Arial" w:eastAsia="Calibri" w:hAnsi="Arial" w:cs="Arial"/>
                <w:color w:val="000000"/>
                <w:sz w:val="24"/>
                <w:szCs w:val="24"/>
                <w:u w:color="000000"/>
              </w:rPr>
              <w:t>2/9/2021</w:t>
            </w:r>
          </w:p>
        </w:tc>
        <w:tc>
          <w:tcPr>
            <w:tcW w:w="88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09C2CB" w14:textId="77777777" w:rsidR="002641D2" w:rsidRPr="00FA3F9C" w:rsidRDefault="002641D2" w:rsidP="008262B9">
            <w:pPr>
              <w:rPr>
                <w:rFonts w:ascii="Arial" w:eastAsia="Calibri" w:hAnsi="Arial" w:cs="Arial"/>
                <w:color w:val="000000"/>
                <w:sz w:val="24"/>
                <w:szCs w:val="24"/>
                <w:u w:color="000000"/>
              </w:rPr>
            </w:pPr>
            <w:r w:rsidRPr="00FA3F9C">
              <w:rPr>
                <w:rFonts w:ascii="Arial" w:eastAsia="Calibri" w:hAnsi="Arial" w:cs="Arial"/>
                <w:color w:val="000000"/>
                <w:sz w:val="24"/>
                <w:szCs w:val="24"/>
                <w:u w:color="000000"/>
              </w:rPr>
              <w:t>I clarified the criteria; combined the old 1&amp;2 to be either 1 or 2, AND 3.</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82F130" w14:textId="77777777" w:rsidR="002641D2" w:rsidRPr="00FA3F9C" w:rsidRDefault="002641D2" w:rsidP="008262B9">
            <w:pPr>
              <w:rPr>
                <w:rFonts w:ascii="Arial" w:eastAsia="Calibri" w:hAnsi="Arial" w:cs="Arial"/>
                <w:color w:val="000000"/>
                <w:sz w:val="24"/>
                <w:szCs w:val="24"/>
                <w:u w:color="000000"/>
              </w:rPr>
            </w:pPr>
            <w:r w:rsidRPr="00FA3F9C">
              <w:rPr>
                <w:rFonts w:ascii="Arial" w:eastAsia="Calibri" w:hAnsi="Arial" w:cs="Arial"/>
                <w:color w:val="000000"/>
                <w:sz w:val="24"/>
                <w:szCs w:val="24"/>
                <w:u w:color="000000"/>
              </w:rPr>
              <w:t>JJ</w:t>
            </w:r>
          </w:p>
        </w:tc>
      </w:tr>
    </w:tbl>
    <w:p w14:paraId="1BF16B24" w14:textId="77777777" w:rsidR="002641D2" w:rsidRPr="00FA3F9C" w:rsidRDefault="002641D2">
      <w:pPr>
        <w:pStyle w:val="Body"/>
        <w:widowControl w:val="0"/>
        <w:spacing w:after="0" w:line="240" w:lineRule="auto"/>
        <w:rPr>
          <w:rFonts w:ascii="Arial" w:hAnsi="Arial" w:cs="Arial"/>
          <w:sz w:val="24"/>
          <w:szCs w:val="24"/>
        </w:rPr>
      </w:pPr>
    </w:p>
    <w:p w14:paraId="508CB5DA" w14:textId="77777777" w:rsidR="002641D2" w:rsidRPr="00FA3F9C" w:rsidRDefault="002641D2" w:rsidP="00BE7C2A">
      <w:pPr>
        <w:pStyle w:val="Heading2"/>
      </w:pPr>
      <w:bookmarkStart w:id="119" w:name="_Toc106369802"/>
      <w:r w:rsidRPr="00FA3F9C">
        <w:t>Fenfluramine (</w:t>
      </w:r>
      <w:proofErr w:type="spellStart"/>
      <w:r w:rsidRPr="00FA3F9C">
        <w:t>Fintepla</w:t>
      </w:r>
      <w:proofErr w:type="spellEnd"/>
      <w:r w:rsidRPr="00FA3F9C">
        <w:t>)</w:t>
      </w:r>
      <w:bookmarkEnd w:id="119"/>
    </w:p>
    <w:p w14:paraId="41295DB6" w14:textId="77777777" w:rsidR="002641D2" w:rsidRPr="00FA3F9C" w:rsidRDefault="002641D2" w:rsidP="006F623F">
      <w:pPr>
        <w:spacing w:after="0"/>
        <w:jc w:val="center"/>
        <w:rPr>
          <w:rFonts w:ascii="Arial" w:hAnsi="Arial" w:cs="Arial"/>
          <w:sz w:val="24"/>
          <w:szCs w:val="24"/>
        </w:rPr>
      </w:pPr>
      <w:r w:rsidRPr="00FA3F9C">
        <w:rPr>
          <w:rFonts w:ascii="Arial" w:hAnsi="Arial" w:cs="Arial"/>
          <w:sz w:val="24"/>
          <w:szCs w:val="24"/>
        </w:rPr>
        <w:t>EBRx PA Criteria</w:t>
      </w:r>
    </w:p>
    <w:p w14:paraId="6AFCF012" w14:textId="77777777" w:rsidR="002641D2" w:rsidRPr="00FA3F9C" w:rsidRDefault="002641D2" w:rsidP="006F623F">
      <w:pPr>
        <w:spacing w:after="0"/>
        <w:rPr>
          <w:rFonts w:ascii="Arial" w:hAnsi="Arial" w:cs="Arial"/>
          <w:b/>
          <w:sz w:val="24"/>
          <w:szCs w:val="24"/>
          <w:u w:val="single"/>
        </w:rPr>
      </w:pPr>
    </w:p>
    <w:p w14:paraId="0492E465" w14:textId="77777777" w:rsidR="002641D2" w:rsidRPr="00FA3F9C" w:rsidRDefault="002641D2"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Treatment of seizures associated with Dravet syndrome in patients aged 2y+.</w:t>
      </w:r>
    </w:p>
    <w:tbl>
      <w:tblPr>
        <w:tblStyle w:val="TableGrid"/>
        <w:tblW w:w="0" w:type="auto"/>
        <w:tblLook w:val="04A0" w:firstRow="1" w:lastRow="0" w:firstColumn="1" w:lastColumn="0" w:noHBand="0" w:noVBand="1"/>
      </w:tblPr>
      <w:tblGrid>
        <w:gridCol w:w="8928"/>
        <w:gridCol w:w="2088"/>
      </w:tblGrid>
      <w:tr w:rsidR="002641D2" w:rsidRPr="00FA3F9C" w14:paraId="2F9F67AA" w14:textId="77777777" w:rsidTr="00571CAB">
        <w:tc>
          <w:tcPr>
            <w:tcW w:w="8928" w:type="dxa"/>
            <w:shd w:val="clear" w:color="auto" w:fill="000000"/>
          </w:tcPr>
          <w:p w14:paraId="1250A1EE" w14:textId="77777777" w:rsidR="002641D2" w:rsidRPr="00FA3F9C" w:rsidRDefault="002641D2"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88" w:type="dxa"/>
            <w:shd w:val="clear" w:color="auto" w:fill="000000"/>
          </w:tcPr>
          <w:p w14:paraId="3A60D385" w14:textId="77777777" w:rsidR="002641D2" w:rsidRPr="00FA3F9C" w:rsidRDefault="002641D2" w:rsidP="006F623F">
            <w:pPr>
              <w:jc w:val="center"/>
              <w:rPr>
                <w:rFonts w:ascii="Arial" w:hAnsi="Arial" w:cs="Arial"/>
                <w:b/>
                <w:sz w:val="24"/>
                <w:szCs w:val="24"/>
                <w:u w:val="single"/>
              </w:rPr>
            </w:pPr>
          </w:p>
        </w:tc>
      </w:tr>
      <w:tr w:rsidR="002641D2" w:rsidRPr="00FA3F9C" w14:paraId="1269FE38" w14:textId="77777777" w:rsidTr="00F337AE">
        <w:tc>
          <w:tcPr>
            <w:tcW w:w="11016" w:type="dxa"/>
            <w:gridSpan w:val="2"/>
          </w:tcPr>
          <w:p w14:paraId="1158B024" w14:textId="77777777" w:rsidR="002641D2" w:rsidRPr="00FA3F9C" w:rsidRDefault="002641D2" w:rsidP="006F623F">
            <w:pPr>
              <w:rPr>
                <w:rFonts w:ascii="Arial" w:hAnsi="Arial" w:cs="Arial"/>
                <w:sz w:val="24"/>
                <w:szCs w:val="24"/>
              </w:rPr>
            </w:pPr>
            <w:r w:rsidRPr="00FA3F9C">
              <w:rPr>
                <w:rFonts w:ascii="Arial" w:hAnsi="Arial" w:cs="Arial"/>
                <w:sz w:val="24"/>
                <w:szCs w:val="24"/>
              </w:rPr>
              <w:t>1. The patient must have the diagnosis of seizures associated with Dravet syndrome.</w:t>
            </w:r>
          </w:p>
        </w:tc>
      </w:tr>
      <w:tr w:rsidR="002641D2" w:rsidRPr="00FA3F9C" w14:paraId="49630574" w14:textId="77777777" w:rsidTr="00B1617E">
        <w:tc>
          <w:tcPr>
            <w:tcW w:w="11016" w:type="dxa"/>
            <w:gridSpan w:val="2"/>
          </w:tcPr>
          <w:p w14:paraId="074A531C" w14:textId="77777777" w:rsidR="002641D2" w:rsidRPr="00FA3F9C" w:rsidRDefault="002641D2" w:rsidP="006F623F">
            <w:pPr>
              <w:rPr>
                <w:rFonts w:ascii="Arial" w:hAnsi="Arial" w:cs="Arial"/>
                <w:sz w:val="24"/>
                <w:szCs w:val="24"/>
              </w:rPr>
            </w:pPr>
            <w:r w:rsidRPr="00FA3F9C">
              <w:rPr>
                <w:rFonts w:ascii="Arial" w:hAnsi="Arial" w:cs="Arial"/>
                <w:sz w:val="24"/>
                <w:szCs w:val="24"/>
              </w:rPr>
              <w:t xml:space="preserve">2. The patient must be </w:t>
            </w:r>
            <w:r w:rsidRPr="00FA3F9C">
              <w:rPr>
                <w:rFonts w:ascii="Arial" w:hAnsi="Arial" w:cs="Arial"/>
                <w:sz w:val="24"/>
                <w:szCs w:val="24"/>
                <w:u w:val="single"/>
              </w:rPr>
              <w:t>&gt;</w:t>
            </w:r>
            <w:r w:rsidRPr="00FA3F9C">
              <w:rPr>
                <w:rFonts w:ascii="Arial" w:hAnsi="Arial" w:cs="Arial"/>
                <w:sz w:val="24"/>
                <w:szCs w:val="24"/>
              </w:rPr>
              <w:t>2 years old.</w:t>
            </w:r>
          </w:p>
        </w:tc>
      </w:tr>
      <w:tr w:rsidR="002641D2" w:rsidRPr="00FA3F9C" w14:paraId="686253B4" w14:textId="77777777" w:rsidTr="0010789D">
        <w:tc>
          <w:tcPr>
            <w:tcW w:w="11016" w:type="dxa"/>
            <w:gridSpan w:val="2"/>
          </w:tcPr>
          <w:p w14:paraId="76D51A64" w14:textId="77777777" w:rsidR="002641D2" w:rsidRPr="00FA3F9C" w:rsidRDefault="002641D2" w:rsidP="006F623F">
            <w:pPr>
              <w:rPr>
                <w:rFonts w:ascii="Arial" w:hAnsi="Arial" w:cs="Arial"/>
                <w:sz w:val="24"/>
                <w:szCs w:val="24"/>
              </w:rPr>
            </w:pPr>
            <w:r w:rsidRPr="00FA3F9C">
              <w:rPr>
                <w:rFonts w:ascii="Arial" w:hAnsi="Arial" w:cs="Arial"/>
                <w:sz w:val="24"/>
                <w:szCs w:val="24"/>
              </w:rPr>
              <w:lastRenderedPageBreak/>
              <w:t xml:space="preserve">3. The patient must have at least one other antiepileptic (AEP) drug including clobazam or valproate (or both), </w:t>
            </w:r>
            <w:proofErr w:type="gramStart"/>
            <w:r w:rsidRPr="00FA3F9C">
              <w:rPr>
                <w:rFonts w:ascii="Arial" w:hAnsi="Arial" w:cs="Arial"/>
                <w:sz w:val="24"/>
                <w:szCs w:val="24"/>
              </w:rPr>
              <w:t>or</w:t>
            </w:r>
            <w:proofErr w:type="gramEnd"/>
            <w:r w:rsidRPr="00FA3F9C">
              <w:rPr>
                <w:rFonts w:ascii="Arial" w:hAnsi="Arial" w:cs="Arial"/>
                <w:sz w:val="24"/>
                <w:szCs w:val="24"/>
              </w:rPr>
              <w:t xml:space="preserve"> others such as levetiracetam, </w:t>
            </w:r>
            <w:proofErr w:type="spellStart"/>
            <w:r w:rsidRPr="00FA3F9C">
              <w:rPr>
                <w:rFonts w:ascii="Arial" w:hAnsi="Arial" w:cs="Arial"/>
                <w:sz w:val="24"/>
                <w:szCs w:val="24"/>
              </w:rPr>
              <w:t>stiripentol</w:t>
            </w:r>
            <w:proofErr w:type="spellEnd"/>
            <w:r w:rsidRPr="00FA3F9C">
              <w:rPr>
                <w:rFonts w:ascii="Arial" w:hAnsi="Arial" w:cs="Arial"/>
                <w:sz w:val="24"/>
                <w:szCs w:val="24"/>
              </w:rPr>
              <w:t>, topiramate.</w:t>
            </w:r>
          </w:p>
        </w:tc>
      </w:tr>
      <w:tr w:rsidR="002641D2" w:rsidRPr="00FA3F9C" w14:paraId="5FBA88AB" w14:textId="77777777" w:rsidTr="00DA57E0">
        <w:tc>
          <w:tcPr>
            <w:tcW w:w="11016" w:type="dxa"/>
            <w:gridSpan w:val="2"/>
          </w:tcPr>
          <w:p w14:paraId="1F321774" w14:textId="77777777" w:rsidR="002641D2" w:rsidRPr="00FA3F9C" w:rsidRDefault="002641D2" w:rsidP="006F623F">
            <w:pPr>
              <w:rPr>
                <w:rFonts w:ascii="Arial" w:hAnsi="Arial" w:cs="Arial"/>
                <w:sz w:val="24"/>
                <w:szCs w:val="24"/>
              </w:rPr>
            </w:pPr>
            <w:r w:rsidRPr="00FA3F9C">
              <w:rPr>
                <w:rFonts w:ascii="Arial" w:hAnsi="Arial" w:cs="Arial"/>
                <w:sz w:val="24"/>
                <w:szCs w:val="24"/>
              </w:rPr>
              <w:t>4. The patient must have no history or valvular heart disease or pulmonary hypertension</w:t>
            </w:r>
          </w:p>
        </w:tc>
      </w:tr>
      <w:tr w:rsidR="002641D2" w:rsidRPr="00FA3F9C" w14:paraId="068865D6" w14:textId="77777777" w:rsidTr="00DA57E0">
        <w:tc>
          <w:tcPr>
            <w:tcW w:w="11016" w:type="dxa"/>
            <w:gridSpan w:val="2"/>
          </w:tcPr>
          <w:p w14:paraId="1219E58F" w14:textId="77777777" w:rsidR="002641D2" w:rsidRPr="00FA3F9C" w:rsidRDefault="002641D2" w:rsidP="006F623F">
            <w:pPr>
              <w:rPr>
                <w:rFonts w:ascii="Arial" w:hAnsi="Arial" w:cs="Arial"/>
                <w:sz w:val="24"/>
                <w:szCs w:val="24"/>
              </w:rPr>
            </w:pPr>
            <w:r w:rsidRPr="00FA3F9C">
              <w:rPr>
                <w:rFonts w:ascii="Arial" w:hAnsi="Arial" w:cs="Arial"/>
                <w:sz w:val="24"/>
                <w:szCs w:val="24"/>
              </w:rPr>
              <w:t xml:space="preserve">5. The patient is NOT TAKING carbamazepine, oxcarbazepine, </w:t>
            </w:r>
            <w:proofErr w:type="spellStart"/>
            <w:r w:rsidRPr="00FA3F9C">
              <w:rPr>
                <w:rFonts w:ascii="Arial" w:hAnsi="Arial" w:cs="Arial"/>
                <w:sz w:val="24"/>
                <w:szCs w:val="24"/>
              </w:rPr>
              <w:t>eslicarbazepine</w:t>
            </w:r>
            <w:proofErr w:type="spellEnd"/>
            <w:r w:rsidRPr="00FA3F9C">
              <w:rPr>
                <w:rFonts w:ascii="Arial" w:hAnsi="Arial" w:cs="Arial"/>
                <w:sz w:val="24"/>
                <w:szCs w:val="24"/>
              </w:rPr>
              <w:t>, lamotrigine, or phenytoin.</w:t>
            </w:r>
          </w:p>
        </w:tc>
      </w:tr>
      <w:tr w:rsidR="002641D2" w:rsidRPr="00FA3F9C" w14:paraId="4D47DF23" w14:textId="77777777" w:rsidTr="00DA57E0">
        <w:tc>
          <w:tcPr>
            <w:tcW w:w="11016" w:type="dxa"/>
            <w:gridSpan w:val="2"/>
          </w:tcPr>
          <w:p w14:paraId="39B76FC6" w14:textId="77777777" w:rsidR="002641D2" w:rsidRPr="00FA3F9C" w:rsidRDefault="002641D2" w:rsidP="006F623F">
            <w:pPr>
              <w:rPr>
                <w:rFonts w:ascii="Arial" w:hAnsi="Arial" w:cs="Arial"/>
                <w:sz w:val="24"/>
                <w:szCs w:val="24"/>
              </w:rPr>
            </w:pPr>
            <w:r w:rsidRPr="00FA3F9C">
              <w:rPr>
                <w:rFonts w:ascii="Arial" w:hAnsi="Arial" w:cs="Arial"/>
                <w:sz w:val="24"/>
                <w:szCs w:val="24"/>
              </w:rPr>
              <w:t>Note:  Please note the seizure frequency in a week.</w:t>
            </w:r>
          </w:p>
        </w:tc>
      </w:tr>
      <w:tr w:rsidR="002641D2" w:rsidRPr="00FA3F9C" w14:paraId="3FA35942" w14:textId="77777777" w:rsidTr="00DA57E0">
        <w:tc>
          <w:tcPr>
            <w:tcW w:w="11016" w:type="dxa"/>
            <w:gridSpan w:val="2"/>
          </w:tcPr>
          <w:p w14:paraId="5948243F" w14:textId="77777777" w:rsidR="002641D2" w:rsidRPr="00FA3F9C" w:rsidRDefault="002641D2" w:rsidP="006F623F">
            <w:pPr>
              <w:rPr>
                <w:rFonts w:ascii="Arial" w:hAnsi="Arial" w:cs="Arial"/>
                <w:sz w:val="24"/>
                <w:szCs w:val="24"/>
              </w:rPr>
            </w:pPr>
            <w:r w:rsidRPr="00FA3F9C">
              <w:rPr>
                <w:rFonts w:ascii="Arial" w:hAnsi="Arial" w:cs="Arial"/>
                <w:sz w:val="24"/>
                <w:szCs w:val="24"/>
              </w:rPr>
              <w:t xml:space="preserve">If fulfills </w:t>
            </w:r>
            <w:proofErr w:type="gramStart"/>
            <w:r w:rsidRPr="00FA3F9C">
              <w:rPr>
                <w:rFonts w:ascii="Arial" w:hAnsi="Arial" w:cs="Arial"/>
                <w:sz w:val="24"/>
                <w:szCs w:val="24"/>
              </w:rPr>
              <w:t>all of</w:t>
            </w:r>
            <w:proofErr w:type="gramEnd"/>
            <w:r w:rsidRPr="00FA3F9C">
              <w:rPr>
                <w:rFonts w:ascii="Arial" w:hAnsi="Arial" w:cs="Arial"/>
                <w:sz w:val="24"/>
                <w:szCs w:val="24"/>
              </w:rPr>
              <w:t xml:space="preserve"> the above, the PA is good for 6 months.</w:t>
            </w:r>
          </w:p>
        </w:tc>
      </w:tr>
    </w:tbl>
    <w:p w14:paraId="78A400AE" w14:textId="77777777" w:rsidR="002641D2" w:rsidRPr="00FA3F9C" w:rsidRDefault="002641D2" w:rsidP="006F623F">
      <w:pPr>
        <w:spacing w:after="0"/>
        <w:rPr>
          <w:rFonts w:ascii="Arial" w:hAnsi="Arial" w:cs="Arial"/>
          <w:b/>
          <w:sz w:val="24"/>
          <w:szCs w:val="24"/>
          <w:u w:val="single"/>
        </w:rPr>
      </w:pPr>
    </w:p>
    <w:tbl>
      <w:tblPr>
        <w:tblStyle w:val="TableGrid"/>
        <w:tblW w:w="0" w:type="auto"/>
        <w:tblLook w:val="04A0" w:firstRow="1" w:lastRow="0" w:firstColumn="1" w:lastColumn="0" w:noHBand="0" w:noVBand="1"/>
      </w:tblPr>
      <w:tblGrid>
        <w:gridCol w:w="8928"/>
        <w:gridCol w:w="2088"/>
      </w:tblGrid>
      <w:tr w:rsidR="002641D2" w:rsidRPr="00FA3F9C" w14:paraId="1034109E" w14:textId="77777777" w:rsidTr="00571CAB">
        <w:tc>
          <w:tcPr>
            <w:tcW w:w="8928" w:type="dxa"/>
            <w:shd w:val="clear" w:color="auto" w:fill="000000"/>
          </w:tcPr>
          <w:p w14:paraId="46BB0CE5" w14:textId="77777777" w:rsidR="002641D2" w:rsidRPr="00FA3F9C" w:rsidRDefault="002641D2" w:rsidP="00571CAB">
            <w:pPr>
              <w:rPr>
                <w:rFonts w:ascii="Arial" w:hAnsi="Arial" w:cs="Arial"/>
                <w:b/>
                <w:sz w:val="24"/>
                <w:szCs w:val="24"/>
                <w:u w:val="single"/>
              </w:rPr>
            </w:pPr>
            <w:r w:rsidRPr="00FA3F9C">
              <w:rPr>
                <w:rFonts w:ascii="Arial" w:hAnsi="Arial" w:cs="Arial"/>
                <w:b/>
                <w:sz w:val="24"/>
                <w:szCs w:val="24"/>
                <w:u w:val="single"/>
              </w:rPr>
              <w:t>Criteria for continuation</w:t>
            </w:r>
          </w:p>
        </w:tc>
        <w:tc>
          <w:tcPr>
            <w:tcW w:w="2088" w:type="dxa"/>
            <w:shd w:val="clear" w:color="auto" w:fill="000000"/>
          </w:tcPr>
          <w:p w14:paraId="10EA866F" w14:textId="77777777" w:rsidR="002641D2" w:rsidRPr="00FA3F9C" w:rsidRDefault="002641D2" w:rsidP="00571CAB">
            <w:pPr>
              <w:jc w:val="center"/>
              <w:rPr>
                <w:rFonts w:ascii="Arial" w:hAnsi="Arial" w:cs="Arial"/>
                <w:b/>
                <w:sz w:val="24"/>
                <w:szCs w:val="24"/>
                <w:u w:val="single"/>
              </w:rPr>
            </w:pPr>
          </w:p>
        </w:tc>
      </w:tr>
      <w:tr w:rsidR="002641D2" w:rsidRPr="00FA3F9C" w14:paraId="75759D22" w14:textId="77777777" w:rsidTr="00FE7E94">
        <w:tc>
          <w:tcPr>
            <w:tcW w:w="11016" w:type="dxa"/>
            <w:gridSpan w:val="2"/>
          </w:tcPr>
          <w:p w14:paraId="386E2B08" w14:textId="77777777" w:rsidR="002641D2" w:rsidRPr="00FA3F9C" w:rsidRDefault="002641D2" w:rsidP="00571CAB">
            <w:pPr>
              <w:rPr>
                <w:rFonts w:ascii="Arial" w:hAnsi="Arial" w:cs="Arial"/>
                <w:sz w:val="24"/>
                <w:szCs w:val="24"/>
              </w:rPr>
            </w:pPr>
            <w:r w:rsidRPr="00FA3F9C">
              <w:rPr>
                <w:rFonts w:ascii="Arial" w:hAnsi="Arial" w:cs="Arial"/>
                <w:sz w:val="24"/>
                <w:szCs w:val="24"/>
              </w:rPr>
              <w:t>1. The patient should have on the profile at least one other AEP drug and be adherent. (</w:t>
            </w:r>
            <w:proofErr w:type="gramStart"/>
            <w:r w:rsidRPr="00FA3F9C">
              <w:rPr>
                <w:rFonts w:ascii="Arial" w:hAnsi="Arial" w:cs="Arial"/>
                <w:sz w:val="24"/>
                <w:szCs w:val="24"/>
              </w:rPr>
              <w:t>valproate</w:t>
            </w:r>
            <w:proofErr w:type="gramEnd"/>
            <w:r w:rsidRPr="00FA3F9C">
              <w:rPr>
                <w:rFonts w:ascii="Arial" w:hAnsi="Arial" w:cs="Arial"/>
                <w:sz w:val="24"/>
                <w:szCs w:val="24"/>
              </w:rPr>
              <w:t xml:space="preserve"> and/or clobazam)</w:t>
            </w:r>
          </w:p>
        </w:tc>
      </w:tr>
      <w:tr w:rsidR="002641D2" w:rsidRPr="00FA3F9C" w14:paraId="4DE2C03C" w14:textId="77777777" w:rsidTr="00E85040">
        <w:tc>
          <w:tcPr>
            <w:tcW w:w="11016" w:type="dxa"/>
            <w:gridSpan w:val="2"/>
          </w:tcPr>
          <w:p w14:paraId="3C1A0947" w14:textId="77777777" w:rsidR="002641D2" w:rsidRPr="00FA3F9C" w:rsidRDefault="002641D2" w:rsidP="00571CAB">
            <w:pPr>
              <w:rPr>
                <w:rFonts w:ascii="Arial" w:hAnsi="Arial" w:cs="Arial"/>
                <w:sz w:val="24"/>
                <w:szCs w:val="24"/>
              </w:rPr>
            </w:pPr>
            <w:r w:rsidRPr="00FA3F9C">
              <w:rPr>
                <w:rFonts w:ascii="Arial" w:hAnsi="Arial" w:cs="Arial"/>
                <w:sz w:val="24"/>
                <w:szCs w:val="24"/>
              </w:rPr>
              <w:t xml:space="preserve">2. the patient must have had a decrease in seizure frequency by at least 25% (arbitrary; in the trial the lowest dose showed a reduction by 32%) from the first request. (This is why it was important to note the </w:t>
            </w:r>
            <w:proofErr w:type="spellStart"/>
            <w:r w:rsidRPr="00FA3F9C">
              <w:rPr>
                <w:rFonts w:ascii="Arial" w:hAnsi="Arial" w:cs="Arial"/>
                <w:sz w:val="24"/>
                <w:szCs w:val="24"/>
              </w:rPr>
              <w:t>sz</w:t>
            </w:r>
            <w:proofErr w:type="spellEnd"/>
            <w:r w:rsidRPr="00FA3F9C">
              <w:rPr>
                <w:rFonts w:ascii="Arial" w:hAnsi="Arial" w:cs="Arial"/>
                <w:sz w:val="24"/>
                <w:szCs w:val="24"/>
              </w:rPr>
              <w:t xml:space="preserve"> frequency at the original request of this drug.)</w:t>
            </w:r>
          </w:p>
        </w:tc>
      </w:tr>
      <w:tr w:rsidR="002641D2" w:rsidRPr="00FA3F9C" w14:paraId="7EA1BB90" w14:textId="77777777" w:rsidTr="00AD0E38">
        <w:tc>
          <w:tcPr>
            <w:tcW w:w="11016" w:type="dxa"/>
            <w:gridSpan w:val="2"/>
          </w:tcPr>
          <w:p w14:paraId="0EF596AA" w14:textId="77777777" w:rsidR="002641D2" w:rsidRPr="00FA3F9C" w:rsidRDefault="002641D2" w:rsidP="00571CAB">
            <w:pPr>
              <w:rPr>
                <w:rFonts w:ascii="Arial" w:hAnsi="Arial" w:cs="Arial"/>
                <w:sz w:val="24"/>
                <w:szCs w:val="24"/>
              </w:rPr>
            </w:pPr>
            <w:r w:rsidRPr="00FA3F9C">
              <w:rPr>
                <w:rFonts w:ascii="Arial" w:hAnsi="Arial" w:cs="Arial"/>
                <w:sz w:val="24"/>
                <w:szCs w:val="24"/>
              </w:rPr>
              <w:t xml:space="preserve">If the continuation criteria are fulfilled, the PA is good for 12m.  </w:t>
            </w:r>
          </w:p>
        </w:tc>
      </w:tr>
    </w:tbl>
    <w:p w14:paraId="1DA59247" w14:textId="77777777" w:rsidR="002641D2" w:rsidRPr="00FA3F9C" w:rsidRDefault="002641D2" w:rsidP="006F623F">
      <w:pPr>
        <w:spacing w:after="0"/>
        <w:rPr>
          <w:rFonts w:ascii="Arial" w:hAnsi="Arial" w:cs="Arial"/>
          <w:b/>
          <w:sz w:val="24"/>
          <w:szCs w:val="24"/>
          <w:u w:val="single"/>
        </w:rPr>
      </w:pPr>
    </w:p>
    <w:p w14:paraId="73E97725" w14:textId="77777777" w:rsidR="002641D2" w:rsidRPr="00FA3F9C" w:rsidRDefault="002641D2" w:rsidP="006F623F">
      <w:pPr>
        <w:spacing w:after="0"/>
        <w:rPr>
          <w:rFonts w:ascii="Arial" w:hAnsi="Arial" w:cs="Arial"/>
          <w:b/>
          <w:sz w:val="24"/>
          <w:szCs w:val="24"/>
          <w:u w:val="single"/>
        </w:rPr>
      </w:pPr>
    </w:p>
    <w:tbl>
      <w:tblPr>
        <w:tblStyle w:val="TableGrid"/>
        <w:tblW w:w="0" w:type="auto"/>
        <w:shd w:val="clear" w:color="auto" w:fill="BFBFBF" w:themeFill="background1" w:themeFillShade="BF"/>
        <w:tblLook w:val="04A0" w:firstRow="1" w:lastRow="0" w:firstColumn="1" w:lastColumn="0" w:noHBand="0" w:noVBand="1"/>
      </w:tblPr>
      <w:tblGrid>
        <w:gridCol w:w="10998"/>
      </w:tblGrid>
      <w:tr w:rsidR="002641D2" w:rsidRPr="00FA3F9C" w14:paraId="58ADA546" w14:textId="77777777" w:rsidTr="00D82B6E">
        <w:tc>
          <w:tcPr>
            <w:tcW w:w="10998" w:type="dxa"/>
            <w:shd w:val="clear" w:color="auto" w:fill="BFBFBF" w:themeFill="background1" w:themeFillShade="BF"/>
          </w:tcPr>
          <w:p w14:paraId="5E8CBFF9" w14:textId="77777777" w:rsidR="002641D2" w:rsidRPr="00FA3F9C" w:rsidRDefault="002641D2" w:rsidP="00D82B6E">
            <w:pPr>
              <w:rPr>
                <w:rFonts w:ascii="Arial" w:hAnsi="Arial" w:cs="Arial"/>
                <w:sz w:val="24"/>
                <w:szCs w:val="24"/>
              </w:rPr>
            </w:pPr>
            <w:r w:rsidRPr="00FA3F9C">
              <w:rPr>
                <w:rFonts w:ascii="Arial" w:hAnsi="Arial" w:cs="Arial"/>
                <w:sz w:val="24"/>
                <w:szCs w:val="24"/>
              </w:rPr>
              <w:t xml:space="preserve">Note: Please note if the patient is taking </w:t>
            </w:r>
            <w:proofErr w:type="spellStart"/>
            <w:r w:rsidRPr="00FA3F9C">
              <w:rPr>
                <w:rFonts w:ascii="Arial" w:hAnsi="Arial" w:cs="Arial"/>
                <w:sz w:val="24"/>
                <w:szCs w:val="24"/>
              </w:rPr>
              <w:t>stiripentol</w:t>
            </w:r>
            <w:proofErr w:type="spellEnd"/>
            <w:r w:rsidRPr="00FA3F9C">
              <w:rPr>
                <w:rFonts w:ascii="Arial" w:hAnsi="Arial" w:cs="Arial"/>
                <w:sz w:val="24"/>
                <w:szCs w:val="24"/>
              </w:rPr>
              <w:t xml:space="preserve">.  It is a CYP450 </w:t>
            </w:r>
            <w:proofErr w:type="gramStart"/>
            <w:r w:rsidRPr="00FA3F9C">
              <w:rPr>
                <w:rFonts w:ascii="Arial" w:hAnsi="Arial" w:cs="Arial"/>
                <w:sz w:val="24"/>
                <w:szCs w:val="24"/>
              </w:rPr>
              <w:t>inhibitor</w:t>
            </w:r>
            <w:proofErr w:type="gramEnd"/>
            <w:r w:rsidRPr="00FA3F9C">
              <w:rPr>
                <w:rFonts w:ascii="Arial" w:hAnsi="Arial" w:cs="Arial"/>
                <w:sz w:val="24"/>
                <w:szCs w:val="24"/>
              </w:rPr>
              <w:t xml:space="preserve"> and the max dose is lower with concomitant use.</w:t>
            </w:r>
          </w:p>
        </w:tc>
      </w:tr>
    </w:tbl>
    <w:p w14:paraId="18AA44E6" w14:textId="77777777" w:rsidR="002641D2" w:rsidRPr="00FA3F9C" w:rsidRDefault="002641D2" w:rsidP="006F623F">
      <w:pPr>
        <w:spacing w:after="0"/>
        <w:rPr>
          <w:rFonts w:ascii="Arial" w:hAnsi="Arial" w:cs="Arial"/>
          <w:sz w:val="24"/>
          <w:szCs w:val="24"/>
        </w:rPr>
      </w:pPr>
    </w:p>
    <w:p w14:paraId="5721F68F" w14:textId="77777777" w:rsidR="002641D2" w:rsidRPr="00FA3F9C" w:rsidRDefault="002641D2" w:rsidP="006F623F">
      <w:pPr>
        <w:spacing w:after="0"/>
        <w:rPr>
          <w:rFonts w:ascii="Arial" w:hAnsi="Arial" w:cs="Arial"/>
          <w:sz w:val="24"/>
          <w:szCs w:val="24"/>
        </w:rPr>
      </w:pPr>
      <w:r w:rsidRPr="00FA3F9C">
        <w:rPr>
          <w:rFonts w:ascii="Arial" w:hAnsi="Arial" w:cs="Arial"/>
          <w:sz w:val="24"/>
          <w:szCs w:val="24"/>
        </w:rPr>
        <w:t xml:space="preserve">Quantity Limits: </w:t>
      </w:r>
    </w:p>
    <w:p w14:paraId="4CFC9EF8" w14:textId="77777777" w:rsidR="002641D2" w:rsidRPr="00FA3F9C" w:rsidRDefault="002641D2" w:rsidP="006F623F">
      <w:pPr>
        <w:spacing w:after="0"/>
        <w:rPr>
          <w:rFonts w:ascii="Arial" w:hAnsi="Arial" w:cs="Arial"/>
          <w:sz w:val="24"/>
          <w:szCs w:val="24"/>
        </w:rPr>
      </w:pPr>
    </w:p>
    <w:p w14:paraId="126B73D4" w14:textId="77777777" w:rsidR="002641D2" w:rsidRPr="00FA3F9C" w:rsidRDefault="002641D2"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284"/>
        <w:gridCol w:w="7470"/>
        <w:gridCol w:w="2538"/>
      </w:tblGrid>
      <w:tr w:rsidR="002641D2" w:rsidRPr="00FA3F9C" w14:paraId="69F40086" w14:textId="77777777" w:rsidTr="00FE491B">
        <w:tc>
          <w:tcPr>
            <w:tcW w:w="1008" w:type="dxa"/>
          </w:tcPr>
          <w:p w14:paraId="3F47366D" w14:textId="77777777" w:rsidR="002641D2" w:rsidRPr="00FA3F9C" w:rsidRDefault="002641D2" w:rsidP="006F623F">
            <w:pPr>
              <w:rPr>
                <w:rFonts w:ascii="Arial" w:hAnsi="Arial" w:cs="Arial"/>
                <w:sz w:val="24"/>
                <w:szCs w:val="24"/>
              </w:rPr>
            </w:pPr>
            <w:r w:rsidRPr="00FA3F9C">
              <w:rPr>
                <w:rFonts w:ascii="Arial" w:hAnsi="Arial" w:cs="Arial"/>
                <w:sz w:val="24"/>
                <w:szCs w:val="24"/>
              </w:rPr>
              <w:t>Date</w:t>
            </w:r>
          </w:p>
        </w:tc>
        <w:tc>
          <w:tcPr>
            <w:tcW w:w="7470" w:type="dxa"/>
          </w:tcPr>
          <w:p w14:paraId="29FFC618" w14:textId="77777777" w:rsidR="002641D2" w:rsidRPr="00FA3F9C" w:rsidRDefault="002641D2" w:rsidP="006F623F">
            <w:pPr>
              <w:rPr>
                <w:rFonts w:ascii="Arial" w:hAnsi="Arial" w:cs="Arial"/>
                <w:sz w:val="24"/>
                <w:szCs w:val="24"/>
              </w:rPr>
            </w:pPr>
            <w:r w:rsidRPr="00FA3F9C">
              <w:rPr>
                <w:rFonts w:ascii="Arial" w:hAnsi="Arial" w:cs="Arial"/>
                <w:sz w:val="24"/>
                <w:szCs w:val="24"/>
              </w:rPr>
              <w:t>What changed</w:t>
            </w:r>
          </w:p>
        </w:tc>
        <w:tc>
          <w:tcPr>
            <w:tcW w:w="2538" w:type="dxa"/>
          </w:tcPr>
          <w:p w14:paraId="545F6008" w14:textId="77777777" w:rsidR="002641D2" w:rsidRPr="00FA3F9C" w:rsidRDefault="002641D2" w:rsidP="006F623F">
            <w:pPr>
              <w:rPr>
                <w:rFonts w:ascii="Arial" w:hAnsi="Arial" w:cs="Arial"/>
                <w:sz w:val="24"/>
                <w:szCs w:val="24"/>
              </w:rPr>
            </w:pPr>
            <w:r w:rsidRPr="00FA3F9C">
              <w:rPr>
                <w:rFonts w:ascii="Arial" w:hAnsi="Arial" w:cs="Arial"/>
                <w:sz w:val="24"/>
                <w:szCs w:val="24"/>
              </w:rPr>
              <w:t>Pharmacist’s initials</w:t>
            </w:r>
          </w:p>
        </w:tc>
      </w:tr>
      <w:tr w:rsidR="002641D2" w:rsidRPr="00FA3F9C" w14:paraId="79F7890B" w14:textId="77777777" w:rsidTr="00FE491B">
        <w:tc>
          <w:tcPr>
            <w:tcW w:w="1008" w:type="dxa"/>
          </w:tcPr>
          <w:p w14:paraId="50C50AEA" w14:textId="77777777" w:rsidR="002641D2" w:rsidRPr="00FA3F9C" w:rsidRDefault="002641D2" w:rsidP="006F623F">
            <w:pPr>
              <w:rPr>
                <w:rFonts w:ascii="Arial" w:hAnsi="Arial" w:cs="Arial"/>
                <w:sz w:val="24"/>
                <w:szCs w:val="24"/>
              </w:rPr>
            </w:pPr>
            <w:r w:rsidRPr="00FA3F9C">
              <w:rPr>
                <w:rFonts w:ascii="Arial" w:hAnsi="Arial" w:cs="Arial"/>
                <w:sz w:val="24"/>
                <w:szCs w:val="24"/>
              </w:rPr>
              <w:t>8/20/2020</w:t>
            </w:r>
          </w:p>
        </w:tc>
        <w:tc>
          <w:tcPr>
            <w:tcW w:w="7470" w:type="dxa"/>
          </w:tcPr>
          <w:p w14:paraId="3240A4FA" w14:textId="77777777" w:rsidR="002641D2" w:rsidRPr="00FA3F9C" w:rsidRDefault="002641D2" w:rsidP="006F623F">
            <w:pPr>
              <w:rPr>
                <w:rFonts w:ascii="Arial" w:hAnsi="Arial" w:cs="Arial"/>
                <w:sz w:val="24"/>
                <w:szCs w:val="24"/>
              </w:rPr>
            </w:pPr>
            <w:r w:rsidRPr="00FA3F9C">
              <w:rPr>
                <w:rFonts w:ascii="Arial" w:hAnsi="Arial" w:cs="Arial"/>
                <w:sz w:val="24"/>
                <w:szCs w:val="24"/>
              </w:rPr>
              <w:t>I wrote the criteria.</w:t>
            </w:r>
          </w:p>
        </w:tc>
        <w:tc>
          <w:tcPr>
            <w:tcW w:w="2538" w:type="dxa"/>
          </w:tcPr>
          <w:p w14:paraId="7505C8DC" w14:textId="77777777" w:rsidR="002641D2" w:rsidRPr="00FA3F9C" w:rsidRDefault="002641D2" w:rsidP="006F623F">
            <w:pPr>
              <w:rPr>
                <w:rFonts w:ascii="Arial" w:hAnsi="Arial" w:cs="Arial"/>
                <w:sz w:val="24"/>
                <w:szCs w:val="24"/>
              </w:rPr>
            </w:pPr>
            <w:r w:rsidRPr="00FA3F9C">
              <w:rPr>
                <w:rFonts w:ascii="Arial" w:hAnsi="Arial" w:cs="Arial"/>
                <w:sz w:val="24"/>
                <w:szCs w:val="24"/>
              </w:rPr>
              <w:t>JJ</w:t>
            </w:r>
          </w:p>
        </w:tc>
      </w:tr>
      <w:tr w:rsidR="002641D2" w:rsidRPr="00FA3F9C" w14:paraId="60FA8544" w14:textId="77777777" w:rsidTr="00FE491B">
        <w:tc>
          <w:tcPr>
            <w:tcW w:w="1008" w:type="dxa"/>
          </w:tcPr>
          <w:p w14:paraId="28516535" w14:textId="77777777" w:rsidR="002641D2" w:rsidRPr="00FA3F9C" w:rsidRDefault="002641D2" w:rsidP="006F623F">
            <w:pPr>
              <w:rPr>
                <w:rFonts w:ascii="Arial" w:hAnsi="Arial" w:cs="Arial"/>
                <w:sz w:val="24"/>
                <w:szCs w:val="24"/>
              </w:rPr>
            </w:pPr>
            <w:r w:rsidRPr="00FA3F9C">
              <w:rPr>
                <w:rFonts w:ascii="Arial" w:hAnsi="Arial" w:cs="Arial"/>
                <w:sz w:val="24"/>
                <w:szCs w:val="24"/>
              </w:rPr>
              <w:t>3/31/21</w:t>
            </w:r>
          </w:p>
        </w:tc>
        <w:tc>
          <w:tcPr>
            <w:tcW w:w="7470" w:type="dxa"/>
          </w:tcPr>
          <w:p w14:paraId="55A45F9F" w14:textId="77777777" w:rsidR="002641D2" w:rsidRPr="00FA3F9C" w:rsidRDefault="002641D2" w:rsidP="006F623F">
            <w:pPr>
              <w:rPr>
                <w:rFonts w:ascii="Arial" w:hAnsi="Arial" w:cs="Arial"/>
                <w:sz w:val="24"/>
                <w:szCs w:val="24"/>
              </w:rPr>
            </w:pPr>
            <w:r w:rsidRPr="00FA3F9C">
              <w:rPr>
                <w:rFonts w:ascii="Arial" w:hAnsi="Arial" w:cs="Arial"/>
                <w:sz w:val="24"/>
                <w:szCs w:val="24"/>
              </w:rPr>
              <w:t>Applied EBRx criteria to UAS Plan.</w:t>
            </w:r>
          </w:p>
        </w:tc>
        <w:tc>
          <w:tcPr>
            <w:tcW w:w="2538" w:type="dxa"/>
          </w:tcPr>
          <w:p w14:paraId="1DF52789" w14:textId="77777777" w:rsidR="002641D2" w:rsidRPr="00FA3F9C" w:rsidRDefault="002641D2" w:rsidP="006F623F">
            <w:pPr>
              <w:rPr>
                <w:rFonts w:ascii="Arial" w:hAnsi="Arial" w:cs="Arial"/>
                <w:sz w:val="24"/>
                <w:szCs w:val="24"/>
              </w:rPr>
            </w:pPr>
            <w:r w:rsidRPr="00FA3F9C">
              <w:rPr>
                <w:rFonts w:ascii="Arial" w:hAnsi="Arial" w:cs="Arial"/>
                <w:sz w:val="24"/>
                <w:szCs w:val="24"/>
              </w:rPr>
              <w:t>JJ</w:t>
            </w:r>
          </w:p>
        </w:tc>
      </w:tr>
    </w:tbl>
    <w:p w14:paraId="05D75B06" w14:textId="77777777" w:rsidR="002641D2" w:rsidRPr="00FA3F9C" w:rsidRDefault="002641D2" w:rsidP="006F623F">
      <w:pPr>
        <w:spacing w:after="0"/>
        <w:rPr>
          <w:rFonts w:ascii="Arial" w:hAnsi="Arial" w:cs="Arial"/>
          <w:sz w:val="24"/>
          <w:szCs w:val="24"/>
        </w:rPr>
      </w:pPr>
    </w:p>
    <w:p w14:paraId="774F21FE" w14:textId="77777777" w:rsidR="002641D2" w:rsidRPr="00FA3F9C" w:rsidRDefault="002641D2" w:rsidP="00BE7C2A">
      <w:pPr>
        <w:pStyle w:val="Heading2"/>
      </w:pPr>
      <w:bookmarkStart w:id="120" w:name="_Toc106369803"/>
      <w:r w:rsidRPr="00FA3F9C">
        <w:t>Fentanyl Products</w:t>
      </w:r>
      <w:bookmarkEnd w:id="120"/>
    </w:p>
    <w:p w14:paraId="31D81665" w14:textId="5C7B5E3B" w:rsidR="002641D2" w:rsidRPr="00FA3F9C" w:rsidRDefault="005C142D">
      <w:pPr>
        <w:rPr>
          <w:rFonts w:ascii="Arial" w:hAnsi="Arial" w:cs="Arial"/>
          <w:sz w:val="24"/>
          <w:szCs w:val="24"/>
        </w:rPr>
      </w:pPr>
      <w:r w:rsidRPr="00FA3F9C">
        <w:rPr>
          <w:rFonts w:ascii="Arial" w:hAnsi="Arial" w:cs="Arial"/>
          <w:sz w:val="24"/>
          <w:szCs w:val="24"/>
        </w:rPr>
        <w:t>JJ</w:t>
      </w:r>
      <w:r w:rsidR="002641D2" w:rsidRPr="00FA3F9C">
        <w:rPr>
          <w:rFonts w:ascii="Arial" w:hAnsi="Arial" w:cs="Arial"/>
          <w:sz w:val="24"/>
          <w:szCs w:val="24"/>
        </w:rPr>
        <w:t>, Pharm.D. BCPS</w:t>
      </w:r>
    </w:p>
    <w:p w14:paraId="49DFE3C1" w14:textId="77777777" w:rsidR="002641D2" w:rsidRPr="00FA3F9C" w:rsidRDefault="002641D2">
      <w:pPr>
        <w:rPr>
          <w:rFonts w:ascii="Arial" w:hAnsi="Arial" w:cs="Arial"/>
          <w:sz w:val="24"/>
          <w:szCs w:val="24"/>
        </w:rPr>
      </w:pPr>
      <w:r w:rsidRPr="00FA3F9C">
        <w:rPr>
          <w:rFonts w:ascii="Arial" w:hAnsi="Arial" w:cs="Arial"/>
          <w:sz w:val="24"/>
          <w:szCs w:val="24"/>
        </w:rPr>
        <w:t>8/20/2020</w:t>
      </w:r>
    </w:p>
    <w:p w14:paraId="2D312C65" w14:textId="77777777" w:rsidR="002641D2" w:rsidRPr="00FA3F9C" w:rsidRDefault="002641D2">
      <w:pPr>
        <w:rPr>
          <w:rFonts w:ascii="Arial" w:hAnsi="Arial" w:cs="Arial"/>
          <w:sz w:val="24"/>
          <w:szCs w:val="24"/>
        </w:rPr>
      </w:pPr>
    </w:p>
    <w:tbl>
      <w:tblPr>
        <w:tblStyle w:val="TableGrid"/>
        <w:tblW w:w="0" w:type="auto"/>
        <w:tblLook w:val="04A0" w:firstRow="1" w:lastRow="0" w:firstColumn="1" w:lastColumn="0" w:noHBand="0" w:noVBand="1"/>
      </w:tblPr>
      <w:tblGrid>
        <w:gridCol w:w="2211"/>
        <w:gridCol w:w="1807"/>
        <w:gridCol w:w="1618"/>
        <w:gridCol w:w="1297"/>
        <w:gridCol w:w="1137"/>
        <w:gridCol w:w="1866"/>
        <w:gridCol w:w="1867"/>
        <w:gridCol w:w="1867"/>
      </w:tblGrid>
      <w:tr w:rsidR="002641D2" w:rsidRPr="00FA3F9C" w14:paraId="0241316B" w14:textId="77777777" w:rsidTr="005C1302">
        <w:tc>
          <w:tcPr>
            <w:tcW w:w="2312" w:type="dxa"/>
          </w:tcPr>
          <w:p w14:paraId="5280EAE5" w14:textId="77777777" w:rsidR="002641D2" w:rsidRPr="00FA3F9C" w:rsidRDefault="002641D2">
            <w:pPr>
              <w:rPr>
                <w:rFonts w:ascii="Arial" w:hAnsi="Arial" w:cs="Arial"/>
                <w:sz w:val="24"/>
                <w:szCs w:val="24"/>
              </w:rPr>
            </w:pPr>
          </w:p>
        </w:tc>
        <w:tc>
          <w:tcPr>
            <w:tcW w:w="3353" w:type="dxa"/>
            <w:gridSpan w:val="2"/>
          </w:tcPr>
          <w:p w14:paraId="36C0229E" w14:textId="77777777" w:rsidR="002641D2" w:rsidRPr="00FA3F9C" w:rsidRDefault="002641D2">
            <w:pPr>
              <w:rPr>
                <w:rFonts w:ascii="Arial" w:hAnsi="Arial" w:cs="Arial"/>
                <w:sz w:val="24"/>
                <w:szCs w:val="24"/>
              </w:rPr>
            </w:pPr>
          </w:p>
        </w:tc>
        <w:tc>
          <w:tcPr>
            <w:tcW w:w="2216" w:type="dxa"/>
            <w:gridSpan w:val="2"/>
          </w:tcPr>
          <w:p w14:paraId="03FCCF8F" w14:textId="77777777" w:rsidR="002641D2" w:rsidRPr="00FA3F9C" w:rsidRDefault="002641D2">
            <w:pPr>
              <w:rPr>
                <w:rFonts w:ascii="Arial" w:hAnsi="Arial" w:cs="Arial"/>
                <w:sz w:val="24"/>
                <w:szCs w:val="24"/>
              </w:rPr>
            </w:pPr>
            <w:r w:rsidRPr="00FA3F9C">
              <w:rPr>
                <w:rFonts w:ascii="Arial" w:hAnsi="Arial" w:cs="Arial"/>
                <w:sz w:val="24"/>
                <w:szCs w:val="24"/>
              </w:rPr>
              <w:t xml:space="preserve">AWP (8/20/2020) </w:t>
            </w:r>
            <w:proofErr w:type="spellStart"/>
            <w:r w:rsidRPr="00FA3F9C">
              <w:rPr>
                <w:rFonts w:ascii="Arial" w:hAnsi="Arial" w:cs="Arial"/>
                <w:sz w:val="24"/>
                <w:szCs w:val="24"/>
              </w:rPr>
              <w:t>ea</w:t>
            </w:r>
            <w:proofErr w:type="spellEnd"/>
          </w:p>
        </w:tc>
        <w:tc>
          <w:tcPr>
            <w:tcW w:w="2169" w:type="dxa"/>
          </w:tcPr>
          <w:p w14:paraId="14B3515B" w14:textId="77777777" w:rsidR="002641D2" w:rsidRPr="00FA3F9C" w:rsidRDefault="002641D2">
            <w:pPr>
              <w:rPr>
                <w:rFonts w:ascii="Arial" w:hAnsi="Arial" w:cs="Arial"/>
                <w:sz w:val="24"/>
                <w:szCs w:val="24"/>
              </w:rPr>
            </w:pPr>
          </w:p>
        </w:tc>
        <w:tc>
          <w:tcPr>
            <w:tcW w:w="2170" w:type="dxa"/>
          </w:tcPr>
          <w:p w14:paraId="3E44D093" w14:textId="77777777" w:rsidR="002641D2" w:rsidRPr="00FA3F9C" w:rsidRDefault="002641D2">
            <w:pPr>
              <w:rPr>
                <w:rFonts w:ascii="Arial" w:hAnsi="Arial" w:cs="Arial"/>
                <w:sz w:val="24"/>
                <w:szCs w:val="24"/>
              </w:rPr>
            </w:pPr>
          </w:p>
        </w:tc>
        <w:tc>
          <w:tcPr>
            <w:tcW w:w="2170" w:type="dxa"/>
          </w:tcPr>
          <w:p w14:paraId="710259F0" w14:textId="77777777" w:rsidR="002641D2" w:rsidRPr="00FA3F9C" w:rsidRDefault="002641D2">
            <w:pPr>
              <w:rPr>
                <w:rFonts w:ascii="Arial" w:hAnsi="Arial" w:cs="Arial"/>
                <w:sz w:val="24"/>
                <w:szCs w:val="24"/>
              </w:rPr>
            </w:pPr>
          </w:p>
        </w:tc>
      </w:tr>
      <w:tr w:rsidR="002641D2" w:rsidRPr="00FA3F9C" w14:paraId="29CFCB93" w14:textId="77777777" w:rsidTr="005C1302">
        <w:tc>
          <w:tcPr>
            <w:tcW w:w="2312" w:type="dxa"/>
          </w:tcPr>
          <w:p w14:paraId="1A1198A3" w14:textId="77777777" w:rsidR="002641D2" w:rsidRPr="00FA3F9C" w:rsidRDefault="002641D2">
            <w:pPr>
              <w:rPr>
                <w:rFonts w:ascii="Arial" w:hAnsi="Arial" w:cs="Arial"/>
                <w:sz w:val="24"/>
                <w:szCs w:val="24"/>
              </w:rPr>
            </w:pPr>
            <w:r w:rsidRPr="00FA3F9C">
              <w:rPr>
                <w:rFonts w:ascii="Arial" w:hAnsi="Arial" w:cs="Arial"/>
                <w:sz w:val="24"/>
                <w:szCs w:val="24"/>
              </w:rPr>
              <w:t>Injection</w:t>
            </w:r>
          </w:p>
        </w:tc>
        <w:tc>
          <w:tcPr>
            <w:tcW w:w="3353" w:type="dxa"/>
            <w:gridSpan w:val="2"/>
          </w:tcPr>
          <w:p w14:paraId="301952A0" w14:textId="77777777" w:rsidR="002641D2" w:rsidRPr="00FA3F9C" w:rsidRDefault="002641D2">
            <w:pPr>
              <w:rPr>
                <w:rFonts w:ascii="Arial" w:hAnsi="Arial" w:cs="Arial"/>
                <w:sz w:val="24"/>
                <w:szCs w:val="24"/>
              </w:rPr>
            </w:pPr>
            <w:proofErr w:type="spellStart"/>
            <w:r w:rsidRPr="00FA3F9C">
              <w:rPr>
                <w:rFonts w:ascii="Arial" w:hAnsi="Arial" w:cs="Arial"/>
                <w:sz w:val="24"/>
                <w:szCs w:val="24"/>
              </w:rPr>
              <w:t>Sublimaze</w:t>
            </w:r>
            <w:proofErr w:type="spellEnd"/>
            <w:r w:rsidRPr="00FA3F9C">
              <w:rPr>
                <w:rFonts w:ascii="Arial" w:hAnsi="Arial" w:cs="Arial"/>
                <w:sz w:val="24"/>
                <w:szCs w:val="24"/>
              </w:rPr>
              <w:t xml:space="preserve"> </w:t>
            </w:r>
          </w:p>
          <w:p w14:paraId="56839173" w14:textId="77777777" w:rsidR="002641D2" w:rsidRPr="00FA3F9C" w:rsidRDefault="002641D2">
            <w:pPr>
              <w:rPr>
                <w:rFonts w:ascii="Arial" w:hAnsi="Arial" w:cs="Arial"/>
                <w:sz w:val="24"/>
                <w:szCs w:val="24"/>
              </w:rPr>
            </w:pPr>
            <w:r w:rsidRPr="00FA3F9C">
              <w:rPr>
                <w:rFonts w:ascii="Arial" w:hAnsi="Arial" w:cs="Arial"/>
                <w:sz w:val="24"/>
                <w:szCs w:val="24"/>
              </w:rPr>
              <w:t>100mcg/2mL</w:t>
            </w:r>
          </w:p>
          <w:p w14:paraId="106FD401" w14:textId="77777777" w:rsidR="002641D2" w:rsidRPr="00FA3F9C" w:rsidRDefault="002641D2">
            <w:pPr>
              <w:rPr>
                <w:rFonts w:ascii="Arial" w:hAnsi="Arial" w:cs="Arial"/>
                <w:sz w:val="24"/>
                <w:szCs w:val="24"/>
              </w:rPr>
            </w:pPr>
            <w:r w:rsidRPr="00FA3F9C">
              <w:rPr>
                <w:rFonts w:ascii="Arial" w:hAnsi="Arial" w:cs="Arial"/>
                <w:sz w:val="24"/>
                <w:szCs w:val="24"/>
              </w:rPr>
              <w:t>250mcg/5mL</w:t>
            </w:r>
          </w:p>
        </w:tc>
        <w:tc>
          <w:tcPr>
            <w:tcW w:w="2216" w:type="dxa"/>
            <w:gridSpan w:val="2"/>
            <w:vMerge w:val="restart"/>
          </w:tcPr>
          <w:p w14:paraId="2D24DB11" w14:textId="77777777" w:rsidR="002641D2" w:rsidRPr="00FA3F9C" w:rsidRDefault="002641D2" w:rsidP="005C1302">
            <w:pPr>
              <w:jc w:val="center"/>
              <w:rPr>
                <w:rFonts w:ascii="Arial" w:hAnsi="Arial" w:cs="Arial"/>
                <w:sz w:val="24"/>
                <w:szCs w:val="24"/>
              </w:rPr>
            </w:pPr>
            <w:r w:rsidRPr="00FA3F9C">
              <w:rPr>
                <w:rFonts w:ascii="Arial" w:hAnsi="Arial" w:cs="Arial"/>
                <w:sz w:val="24"/>
                <w:szCs w:val="24"/>
              </w:rPr>
              <w:t>Hospital-administered</w:t>
            </w:r>
          </w:p>
        </w:tc>
        <w:tc>
          <w:tcPr>
            <w:tcW w:w="2169" w:type="dxa"/>
          </w:tcPr>
          <w:p w14:paraId="79F4F78F" w14:textId="77777777" w:rsidR="002641D2" w:rsidRPr="00FA3F9C" w:rsidRDefault="002641D2">
            <w:pPr>
              <w:rPr>
                <w:rFonts w:ascii="Arial" w:hAnsi="Arial" w:cs="Arial"/>
                <w:sz w:val="24"/>
                <w:szCs w:val="24"/>
              </w:rPr>
            </w:pPr>
          </w:p>
        </w:tc>
        <w:tc>
          <w:tcPr>
            <w:tcW w:w="2170" w:type="dxa"/>
          </w:tcPr>
          <w:p w14:paraId="45CA27BA" w14:textId="77777777" w:rsidR="002641D2" w:rsidRPr="00FA3F9C" w:rsidRDefault="002641D2">
            <w:pPr>
              <w:rPr>
                <w:rFonts w:ascii="Arial" w:hAnsi="Arial" w:cs="Arial"/>
                <w:sz w:val="24"/>
                <w:szCs w:val="24"/>
              </w:rPr>
            </w:pPr>
          </w:p>
        </w:tc>
        <w:tc>
          <w:tcPr>
            <w:tcW w:w="2170" w:type="dxa"/>
          </w:tcPr>
          <w:p w14:paraId="7762F14B" w14:textId="77777777" w:rsidR="002641D2" w:rsidRPr="00FA3F9C" w:rsidRDefault="002641D2">
            <w:pPr>
              <w:rPr>
                <w:rFonts w:ascii="Arial" w:hAnsi="Arial" w:cs="Arial"/>
                <w:sz w:val="24"/>
                <w:szCs w:val="24"/>
              </w:rPr>
            </w:pPr>
          </w:p>
        </w:tc>
      </w:tr>
      <w:tr w:rsidR="002641D2" w:rsidRPr="00FA3F9C" w14:paraId="3DCA5E9A" w14:textId="77777777" w:rsidTr="005C1302">
        <w:tc>
          <w:tcPr>
            <w:tcW w:w="2312" w:type="dxa"/>
          </w:tcPr>
          <w:p w14:paraId="23C18DA9" w14:textId="77777777" w:rsidR="002641D2" w:rsidRPr="00FA3F9C" w:rsidRDefault="002641D2">
            <w:pPr>
              <w:rPr>
                <w:rFonts w:ascii="Arial" w:hAnsi="Arial" w:cs="Arial"/>
                <w:sz w:val="24"/>
                <w:szCs w:val="24"/>
              </w:rPr>
            </w:pPr>
          </w:p>
        </w:tc>
        <w:tc>
          <w:tcPr>
            <w:tcW w:w="3353" w:type="dxa"/>
            <w:gridSpan w:val="2"/>
          </w:tcPr>
          <w:p w14:paraId="53645C44" w14:textId="77777777" w:rsidR="002641D2" w:rsidRPr="00FA3F9C" w:rsidRDefault="002641D2">
            <w:pPr>
              <w:rPr>
                <w:rFonts w:ascii="Arial" w:hAnsi="Arial" w:cs="Arial"/>
                <w:sz w:val="24"/>
                <w:szCs w:val="24"/>
              </w:rPr>
            </w:pPr>
            <w:r w:rsidRPr="00FA3F9C">
              <w:rPr>
                <w:rFonts w:ascii="Arial" w:hAnsi="Arial" w:cs="Arial"/>
                <w:sz w:val="24"/>
                <w:szCs w:val="24"/>
                <w:highlight w:val="yellow"/>
              </w:rPr>
              <w:t>Generic</w:t>
            </w:r>
          </w:p>
          <w:p w14:paraId="4C348EAB" w14:textId="77777777" w:rsidR="002641D2" w:rsidRPr="00FA3F9C" w:rsidRDefault="002641D2">
            <w:pPr>
              <w:rPr>
                <w:rFonts w:ascii="Arial" w:hAnsi="Arial" w:cs="Arial"/>
                <w:sz w:val="24"/>
                <w:szCs w:val="24"/>
              </w:rPr>
            </w:pPr>
            <w:r w:rsidRPr="00FA3F9C">
              <w:rPr>
                <w:rFonts w:ascii="Arial" w:hAnsi="Arial" w:cs="Arial"/>
                <w:sz w:val="24"/>
                <w:szCs w:val="24"/>
              </w:rPr>
              <w:t>100mcg/2mL</w:t>
            </w:r>
          </w:p>
          <w:p w14:paraId="17521A87" w14:textId="77777777" w:rsidR="002641D2" w:rsidRPr="00FA3F9C" w:rsidRDefault="002641D2">
            <w:pPr>
              <w:rPr>
                <w:rFonts w:ascii="Arial" w:hAnsi="Arial" w:cs="Arial"/>
                <w:sz w:val="24"/>
                <w:szCs w:val="24"/>
              </w:rPr>
            </w:pPr>
            <w:r w:rsidRPr="00FA3F9C">
              <w:rPr>
                <w:rFonts w:ascii="Arial" w:hAnsi="Arial" w:cs="Arial"/>
                <w:sz w:val="24"/>
                <w:szCs w:val="24"/>
              </w:rPr>
              <w:t>250mcg/5mL</w:t>
            </w:r>
          </w:p>
          <w:p w14:paraId="43D06FCE" w14:textId="77777777" w:rsidR="002641D2" w:rsidRPr="00FA3F9C" w:rsidRDefault="002641D2">
            <w:pPr>
              <w:rPr>
                <w:rFonts w:ascii="Arial" w:hAnsi="Arial" w:cs="Arial"/>
                <w:sz w:val="24"/>
                <w:szCs w:val="24"/>
              </w:rPr>
            </w:pPr>
            <w:r w:rsidRPr="00FA3F9C">
              <w:rPr>
                <w:rFonts w:ascii="Arial" w:hAnsi="Arial" w:cs="Arial"/>
                <w:sz w:val="24"/>
                <w:szCs w:val="24"/>
              </w:rPr>
              <w:t>500mcg/10mL</w:t>
            </w:r>
          </w:p>
          <w:p w14:paraId="2E5E059B" w14:textId="77777777" w:rsidR="002641D2" w:rsidRPr="00FA3F9C" w:rsidRDefault="002641D2">
            <w:pPr>
              <w:rPr>
                <w:rFonts w:ascii="Arial" w:hAnsi="Arial" w:cs="Arial"/>
                <w:sz w:val="24"/>
                <w:szCs w:val="24"/>
              </w:rPr>
            </w:pPr>
            <w:r w:rsidRPr="00FA3F9C">
              <w:rPr>
                <w:rFonts w:ascii="Arial" w:hAnsi="Arial" w:cs="Arial"/>
                <w:sz w:val="24"/>
                <w:szCs w:val="24"/>
              </w:rPr>
              <w:t>500mcg/50mL</w:t>
            </w:r>
          </w:p>
          <w:p w14:paraId="6809E7FE" w14:textId="77777777" w:rsidR="002641D2" w:rsidRPr="00FA3F9C" w:rsidRDefault="002641D2">
            <w:pPr>
              <w:rPr>
                <w:rFonts w:ascii="Arial" w:hAnsi="Arial" w:cs="Arial"/>
                <w:sz w:val="24"/>
                <w:szCs w:val="24"/>
              </w:rPr>
            </w:pPr>
            <w:r w:rsidRPr="00FA3F9C">
              <w:rPr>
                <w:rFonts w:ascii="Arial" w:hAnsi="Arial" w:cs="Arial"/>
                <w:sz w:val="24"/>
                <w:szCs w:val="24"/>
              </w:rPr>
              <w:t>1000mcg/20mL</w:t>
            </w:r>
          </w:p>
          <w:p w14:paraId="5F15EF90" w14:textId="77777777" w:rsidR="002641D2" w:rsidRPr="00FA3F9C" w:rsidRDefault="002641D2">
            <w:pPr>
              <w:rPr>
                <w:rFonts w:ascii="Arial" w:hAnsi="Arial" w:cs="Arial"/>
                <w:sz w:val="24"/>
                <w:szCs w:val="24"/>
              </w:rPr>
            </w:pPr>
            <w:r w:rsidRPr="00FA3F9C">
              <w:rPr>
                <w:rFonts w:ascii="Arial" w:hAnsi="Arial" w:cs="Arial"/>
                <w:sz w:val="24"/>
                <w:szCs w:val="24"/>
              </w:rPr>
              <w:t>1250mcg/250mL</w:t>
            </w:r>
          </w:p>
          <w:p w14:paraId="67943D8E" w14:textId="77777777" w:rsidR="002641D2" w:rsidRPr="00FA3F9C" w:rsidRDefault="002641D2">
            <w:pPr>
              <w:rPr>
                <w:rFonts w:ascii="Arial" w:hAnsi="Arial" w:cs="Arial"/>
                <w:sz w:val="24"/>
                <w:szCs w:val="24"/>
              </w:rPr>
            </w:pPr>
            <w:r w:rsidRPr="00FA3F9C">
              <w:rPr>
                <w:rFonts w:ascii="Arial" w:hAnsi="Arial" w:cs="Arial"/>
                <w:sz w:val="24"/>
                <w:szCs w:val="24"/>
              </w:rPr>
              <w:t>2500mcg/50mL</w:t>
            </w:r>
          </w:p>
        </w:tc>
        <w:tc>
          <w:tcPr>
            <w:tcW w:w="2216" w:type="dxa"/>
            <w:gridSpan w:val="2"/>
            <w:vMerge/>
          </w:tcPr>
          <w:p w14:paraId="3D0A4D0C" w14:textId="77777777" w:rsidR="002641D2" w:rsidRPr="00FA3F9C" w:rsidRDefault="002641D2">
            <w:pPr>
              <w:rPr>
                <w:rFonts w:ascii="Arial" w:hAnsi="Arial" w:cs="Arial"/>
                <w:sz w:val="24"/>
                <w:szCs w:val="24"/>
              </w:rPr>
            </w:pPr>
          </w:p>
        </w:tc>
        <w:tc>
          <w:tcPr>
            <w:tcW w:w="2169" w:type="dxa"/>
          </w:tcPr>
          <w:p w14:paraId="4F3AA4BE" w14:textId="77777777" w:rsidR="002641D2" w:rsidRPr="00FA3F9C" w:rsidRDefault="002641D2">
            <w:pPr>
              <w:rPr>
                <w:rFonts w:ascii="Arial" w:hAnsi="Arial" w:cs="Arial"/>
                <w:sz w:val="24"/>
                <w:szCs w:val="24"/>
              </w:rPr>
            </w:pPr>
          </w:p>
        </w:tc>
        <w:tc>
          <w:tcPr>
            <w:tcW w:w="2170" w:type="dxa"/>
          </w:tcPr>
          <w:p w14:paraId="17CEEFA2" w14:textId="77777777" w:rsidR="002641D2" w:rsidRPr="00FA3F9C" w:rsidRDefault="002641D2">
            <w:pPr>
              <w:rPr>
                <w:rFonts w:ascii="Arial" w:hAnsi="Arial" w:cs="Arial"/>
                <w:sz w:val="24"/>
                <w:szCs w:val="24"/>
              </w:rPr>
            </w:pPr>
          </w:p>
        </w:tc>
        <w:tc>
          <w:tcPr>
            <w:tcW w:w="2170" w:type="dxa"/>
          </w:tcPr>
          <w:p w14:paraId="78CBCED3" w14:textId="77777777" w:rsidR="002641D2" w:rsidRPr="00FA3F9C" w:rsidRDefault="002641D2">
            <w:pPr>
              <w:rPr>
                <w:rFonts w:ascii="Arial" w:hAnsi="Arial" w:cs="Arial"/>
                <w:sz w:val="24"/>
                <w:szCs w:val="24"/>
              </w:rPr>
            </w:pPr>
          </w:p>
        </w:tc>
      </w:tr>
      <w:tr w:rsidR="002641D2" w:rsidRPr="00FA3F9C" w14:paraId="1A99E0BC" w14:textId="77777777" w:rsidTr="005C1302">
        <w:tc>
          <w:tcPr>
            <w:tcW w:w="2312" w:type="dxa"/>
          </w:tcPr>
          <w:p w14:paraId="179C0DCB" w14:textId="77777777" w:rsidR="002641D2" w:rsidRPr="00FA3F9C" w:rsidRDefault="002641D2">
            <w:pPr>
              <w:rPr>
                <w:rFonts w:ascii="Arial" w:hAnsi="Arial" w:cs="Arial"/>
                <w:sz w:val="24"/>
                <w:szCs w:val="24"/>
              </w:rPr>
            </w:pPr>
            <w:r w:rsidRPr="00FA3F9C">
              <w:rPr>
                <w:rFonts w:ascii="Arial" w:hAnsi="Arial" w:cs="Arial"/>
                <w:sz w:val="24"/>
                <w:szCs w:val="24"/>
              </w:rPr>
              <w:t>Liquid, SL spray</w:t>
            </w:r>
          </w:p>
        </w:tc>
        <w:tc>
          <w:tcPr>
            <w:tcW w:w="3353" w:type="dxa"/>
            <w:gridSpan w:val="2"/>
          </w:tcPr>
          <w:p w14:paraId="58C9E209" w14:textId="77777777" w:rsidR="002641D2" w:rsidRPr="00FA3F9C" w:rsidRDefault="002641D2">
            <w:pPr>
              <w:rPr>
                <w:rFonts w:ascii="Arial" w:hAnsi="Arial" w:cs="Arial"/>
                <w:sz w:val="24"/>
                <w:szCs w:val="24"/>
              </w:rPr>
            </w:pPr>
            <w:proofErr w:type="spellStart"/>
            <w:r w:rsidRPr="00FA3F9C">
              <w:rPr>
                <w:rFonts w:ascii="Arial" w:hAnsi="Arial" w:cs="Arial"/>
                <w:sz w:val="24"/>
                <w:szCs w:val="24"/>
              </w:rPr>
              <w:t>Subsys</w:t>
            </w:r>
            <w:proofErr w:type="spellEnd"/>
          </w:p>
          <w:p w14:paraId="53F16370" w14:textId="77777777" w:rsidR="002641D2" w:rsidRPr="00FA3F9C" w:rsidRDefault="002641D2">
            <w:pPr>
              <w:rPr>
                <w:rFonts w:ascii="Arial" w:hAnsi="Arial" w:cs="Arial"/>
                <w:sz w:val="24"/>
                <w:szCs w:val="24"/>
              </w:rPr>
            </w:pPr>
            <w:r w:rsidRPr="00FA3F9C">
              <w:rPr>
                <w:rFonts w:ascii="Arial" w:hAnsi="Arial" w:cs="Arial"/>
                <w:sz w:val="24"/>
                <w:szCs w:val="24"/>
              </w:rPr>
              <w:t>100mcg (30s)</w:t>
            </w:r>
          </w:p>
          <w:p w14:paraId="6E80964D" w14:textId="77777777" w:rsidR="002641D2" w:rsidRPr="00FA3F9C" w:rsidRDefault="002641D2">
            <w:pPr>
              <w:rPr>
                <w:rFonts w:ascii="Arial" w:hAnsi="Arial" w:cs="Arial"/>
                <w:sz w:val="24"/>
                <w:szCs w:val="24"/>
              </w:rPr>
            </w:pPr>
            <w:r w:rsidRPr="00FA3F9C">
              <w:rPr>
                <w:rFonts w:ascii="Arial" w:hAnsi="Arial" w:cs="Arial"/>
                <w:sz w:val="24"/>
                <w:szCs w:val="24"/>
              </w:rPr>
              <w:t>200mcg</w:t>
            </w:r>
          </w:p>
          <w:p w14:paraId="56130746" w14:textId="77777777" w:rsidR="002641D2" w:rsidRPr="00FA3F9C" w:rsidRDefault="002641D2">
            <w:pPr>
              <w:rPr>
                <w:rFonts w:ascii="Arial" w:hAnsi="Arial" w:cs="Arial"/>
                <w:sz w:val="24"/>
                <w:szCs w:val="24"/>
              </w:rPr>
            </w:pPr>
            <w:r w:rsidRPr="00FA3F9C">
              <w:rPr>
                <w:rFonts w:ascii="Arial" w:hAnsi="Arial" w:cs="Arial"/>
                <w:sz w:val="24"/>
                <w:szCs w:val="24"/>
              </w:rPr>
              <w:t>400mcg</w:t>
            </w:r>
          </w:p>
          <w:p w14:paraId="330AF9A6" w14:textId="77777777" w:rsidR="002641D2" w:rsidRPr="00FA3F9C" w:rsidRDefault="002641D2">
            <w:pPr>
              <w:rPr>
                <w:rFonts w:ascii="Arial" w:hAnsi="Arial" w:cs="Arial"/>
                <w:sz w:val="24"/>
                <w:szCs w:val="24"/>
              </w:rPr>
            </w:pPr>
            <w:r w:rsidRPr="00FA3F9C">
              <w:rPr>
                <w:rFonts w:ascii="Arial" w:hAnsi="Arial" w:cs="Arial"/>
                <w:sz w:val="24"/>
                <w:szCs w:val="24"/>
              </w:rPr>
              <w:t>600mcg</w:t>
            </w:r>
          </w:p>
          <w:p w14:paraId="47181A63" w14:textId="77777777" w:rsidR="002641D2" w:rsidRPr="00FA3F9C" w:rsidRDefault="002641D2">
            <w:pPr>
              <w:rPr>
                <w:rFonts w:ascii="Arial" w:hAnsi="Arial" w:cs="Arial"/>
                <w:sz w:val="24"/>
                <w:szCs w:val="24"/>
              </w:rPr>
            </w:pPr>
            <w:r w:rsidRPr="00FA3F9C">
              <w:rPr>
                <w:rFonts w:ascii="Arial" w:hAnsi="Arial" w:cs="Arial"/>
                <w:sz w:val="24"/>
                <w:szCs w:val="24"/>
              </w:rPr>
              <w:t>800mcg</w:t>
            </w:r>
          </w:p>
        </w:tc>
        <w:tc>
          <w:tcPr>
            <w:tcW w:w="2216" w:type="dxa"/>
            <w:gridSpan w:val="2"/>
          </w:tcPr>
          <w:p w14:paraId="02B933F1" w14:textId="77777777" w:rsidR="002641D2" w:rsidRPr="00FA3F9C" w:rsidRDefault="002641D2">
            <w:pPr>
              <w:rPr>
                <w:rFonts w:ascii="Arial" w:hAnsi="Arial" w:cs="Arial"/>
                <w:sz w:val="24"/>
                <w:szCs w:val="24"/>
              </w:rPr>
            </w:pPr>
          </w:p>
          <w:p w14:paraId="160A4E37" w14:textId="77777777" w:rsidR="002641D2" w:rsidRPr="00FA3F9C" w:rsidRDefault="002641D2">
            <w:pPr>
              <w:rPr>
                <w:rFonts w:ascii="Arial" w:hAnsi="Arial" w:cs="Arial"/>
                <w:sz w:val="24"/>
                <w:szCs w:val="24"/>
              </w:rPr>
            </w:pPr>
            <w:r w:rsidRPr="00FA3F9C">
              <w:rPr>
                <w:rFonts w:ascii="Arial" w:hAnsi="Arial" w:cs="Arial"/>
                <w:sz w:val="24"/>
                <w:szCs w:val="24"/>
              </w:rPr>
              <w:t>$84.36</w:t>
            </w:r>
          </w:p>
          <w:p w14:paraId="24674729" w14:textId="77777777" w:rsidR="002641D2" w:rsidRPr="00FA3F9C" w:rsidRDefault="002641D2">
            <w:pPr>
              <w:rPr>
                <w:rFonts w:ascii="Arial" w:hAnsi="Arial" w:cs="Arial"/>
                <w:sz w:val="24"/>
                <w:szCs w:val="24"/>
              </w:rPr>
            </w:pPr>
            <w:r w:rsidRPr="00FA3F9C">
              <w:rPr>
                <w:rFonts w:ascii="Arial" w:hAnsi="Arial" w:cs="Arial"/>
                <w:sz w:val="24"/>
                <w:szCs w:val="24"/>
              </w:rPr>
              <w:t>$111.35</w:t>
            </w:r>
          </w:p>
          <w:p w14:paraId="2921BCB3" w14:textId="77777777" w:rsidR="002641D2" w:rsidRPr="00FA3F9C" w:rsidRDefault="002641D2">
            <w:pPr>
              <w:rPr>
                <w:rFonts w:ascii="Arial" w:hAnsi="Arial" w:cs="Arial"/>
                <w:sz w:val="24"/>
                <w:szCs w:val="24"/>
              </w:rPr>
            </w:pPr>
            <w:r w:rsidRPr="00FA3F9C">
              <w:rPr>
                <w:rFonts w:ascii="Arial" w:hAnsi="Arial" w:cs="Arial"/>
                <w:sz w:val="24"/>
                <w:szCs w:val="24"/>
              </w:rPr>
              <w:t>$168.82</w:t>
            </w:r>
          </w:p>
          <w:p w14:paraId="0E50D97A" w14:textId="77777777" w:rsidR="002641D2" w:rsidRPr="00FA3F9C" w:rsidRDefault="002641D2">
            <w:pPr>
              <w:rPr>
                <w:rFonts w:ascii="Arial" w:hAnsi="Arial" w:cs="Arial"/>
                <w:sz w:val="24"/>
                <w:szCs w:val="24"/>
              </w:rPr>
            </w:pPr>
            <w:r w:rsidRPr="00FA3F9C">
              <w:rPr>
                <w:rFonts w:ascii="Arial" w:hAnsi="Arial" w:cs="Arial"/>
                <w:sz w:val="24"/>
                <w:szCs w:val="24"/>
              </w:rPr>
              <w:t>$224.44</w:t>
            </w:r>
          </w:p>
          <w:p w14:paraId="4EB3C482" w14:textId="77777777" w:rsidR="002641D2" w:rsidRPr="00FA3F9C" w:rsidRDefault="002641D2">
            <w:pPr>
              <w:rPr>
                <w:rFonts w:ascii="Arial" w:hAnsi="Arial" w:cs="Arial"/>
                <w:sz w:val="24"/>
                <w:szCs w:val="24"/>
              </w:rPr>
            </w:pPr>
            <w:r w:rsidRPr="00FA3F9C">
              <w:rPr>
                <w:rFonts w:ascii="Arial" w:hAnsi="Arial" w:cs="Arial"/>
                <w:sz w:val="24"/>
                <w:szCs w:val="24"/>
              </w:rPr>
              <w:t>$280.45</w:t>
            </w:r>
          </w:p>
        </w:tc>
        <w:tc>
          <w:tcPr>
            <w:tcW w:w="2169" w:type="dxa"/>
          </w:tcPr>
          <w:p w14:paraId="618688FD" w14:textId="77777777" w:rsidR="002641D2" w:rsidRPr="00FA3F9C" w:rsidRDefault="002641D2">
            <w:pPr>
              <w:rPr>
                <w:rFonts w:ascii="Arial" w:hAnsi="Arial" w:cs="Arial"/>
                <w:sz w:val="24"/>
                <w:szCs w:val="24"/>
              </w:rPr>
            </w:pPr>
          </w:p>
        </w:tc>
        <w:tc>
          <w:tcPr>
            <w:tcW w:w="2170" w:type="dxa"/>
          </w:tcPr>
          <w:p w14:paraId="014242FB" w14:textId="77777777" w:rsidR="002641D2" w:rsidRPr="00FA3F9C" w:rsidRDefault="002641D2">
            <w:pPr>
              <w:rPr>
                <w:rFonts w:ascii="Arial" w:hAnsi="Arial" w:cs="Arial"/>
                <w:sz w:val="24"/>
                <w:szCs w:val="24"/>
              </w:rPr>
            </w:pPr>
          </w:p>
        </w:tc>
        <w:tc>
          <w:tcPr>
            <w:tcW w:w="2170" w:type="dxa"/>
          </w:tcPr>
          <w:p w14:paraId="66104E54" w14:textId="77777777" w:rsidR="002641D2" w:rsidRPr="00FA3F9C" w:rsidRDefault="002641D2">
            <w:pPr>
              <w:rPr>
                <w:rFonts w:ascii="Arial" w:hAnsi="Arial" w:cs="Arial"/>
                <w:sz w:val="24"/>
                <w:szCs w:val="24"/>
              </w:rPr>
            </w:pPr>
          </w:p>
        </w:tc>
      </w:tr>
      <w:tr w:rsidR="002641D2" w:rsidRPr="00FA3F9C" w14:paraId="2CBA9967" w14:textId="77777777" w:rsidTr="005C1302">
        <w:tc>
          <w:tcPr>
            <w:tcW w:w="2312" w:type="dxa"/>
          </w:tcPr>
          <w:p w14:paraId="1C4F40AD" w14:textId="77777777" w:rsidR="002641D2" w:rsidRPr="00FA3F9C" w:rsidRDefault="002641D2">
            <w:pPr>
              <w:rPr>
                <w:rFonts w:ascii="Arial" w:hAnsi="Arial" w:cs="Arial"/>
                <w:sz w:val="24"/>
                <w:szCs w:val="24"/>
              </w:rPr>
            </w:pPr>
            <w:r w:rsidRPr="00FA3F9C">
              <w:rPr>
                <w:rFonts w:ascii="Arial" w:hAnsi="Arial" w:cs="Arial"/>
                <w:sz w:val="24"/>
                <w:szCs w:val="24"/>
              </w:rPr>
              <w:t>Lozenge, oral buccal</w:t>
            </w:r>
          </w:p>
        </w:tc>
        <w:tc>
          <w:tcPr>
            <w:tcW w:w="3353" w:type="dxa"/>
            <w:gridSpan w:val="2"/>
          </w:tcPr>
          <w:p w14:paraId="2770DF0D" w14:textId="77777777" w:rsidR="002641D2" w:rsidRPr="00FA3F9C" w:rsidRDefault="002641D2">
            <w:pPr>
              <w:rPr>
                <w:rFonts w:ascii="Arial" w:hAnsi="Arial" w:cs="Arial"/>
                <w:sz w:val="24"/>
                <w:szCs w:val="24"/>
              </w:rPr>
            </w:pPr>
            <w:proofErr w:type="spellStart"/>
            <w:r w:rsidRPr="00FA3F9C">
              <w:rPr>
                <w:rFonts w:ascii="Arial" w:hAnsi="Arial" w:cs="Arial"/>
                <w:sz w:val="24"/>
                <w:szCs w:val="24"/>
              </w:rPr>
              <w:t>Actiq</w:t>
            </w:r>
            <w:proofErr w:type="spellEnd"/>
            <w:r w:rsidRPr="00FA3F9C">
              <w:rPr>
                <w:rFonts w:ascii="Arial" w:hAnsi="Arial" w:cs="Arial"/>
                <w:sz w:val="24"/>
                <w:szCs w:val="24"/>
              </w:rPr>
              <w:t xml:space="preserve"> &amp; </w:t>
            </w:r>
            <w:r w:rsidRPr="00FA3F9C">
              <w:rPr>
                <w:rFonts w:ascii="Arial" w:hAnsi="Arial" w:cs="Arial"/>
                <w:sz w:val="24"/>
                <w:szCs w:val="24"/>
                <w:highlight w:val="yellow"/>
              </w:rPr>
              <w:t>generic</w:t>
            </w:r>
          </w:p>
          <w:p w14:paraId="3029C406" w14:textId="77777777" w:rsidR="002641D2" w:rsidRPr="00FA3F9C" w:rsidRDefault="002641D2">
            <w:pPr>
              <w:rPr>
                <w:rFonts w:ascii="Arial" w:hAnsi="Arial" w:cs="Arial"/>
                <w:sz w:val="24"/>
                <w:szCs w:val="24"/>
              </w:rPr>
            </w:pPr>
            <w:r w:rsidRPr="00FA3F9C">
              <w:rPr>
                <w:rFonts w:ascii="Arial" w:hAnsi="Arial" w:cs="Arial"/>
                <w:sz w:val="24"/>
                <w:szCs w:val="24"/>
              </w:rPr>
              <w:t>200mcg (30s)</w:t>
            </w:r>
          </w:p>
          <w:p w14:paraId="4D51ECE6" w14:textId="77777777" w:rsidR="002641D2" w:rsidRPr="00FA3F9C" w:rsidRDefault="002641D2">
            <w:pPr>
              <w:rPr>
                <w:rFonts w:ascii="Arial" w:hAnsi="Arial" w:cs="Arial"/>
                <w:sz w:val="24"/>
                <w:szCs w:val="24"/>
              </w:rPr>
            </w:pPr>
            <w:r w:rsidRPr="00FA3F9C">
              <w:rPr>
                <w:rFonts w:ascii="Arial" w:hAnsi="Arial" w:cs="Arial"/>
                <w:sz w:val="24"/>
                <w:szCs w:val="24"/>
              </w:rPr>
              <w:t>400mcg</w:t>
            </w:r>
          </w:p>
          <w:p w14:paraId="5AFA21C6" w14:textId="77777777" w:rsidR="002641D2" w:rsidRPr="00FA3F9C" w:rsidRDefault="002641D2">
            <w:pPr>
              <w:rPr>
                <w:rFonts w:ascii="Arial" w:hAnsi="Arial" w:cs="Arial"/>
                <w:sz w:val="24"/>
                <w:szCs w:val="24"/>
              </w:rPr>
            </w:pPr>
            <w:r w:rsidRPr="00FA3F9C">
              <w:rPr>
                <w:rFonts w:ascii="Arial" w:hAnsi="Arial" w:cs="Arial"/>
                <w:sz w:val="24"/>
                <w:szCs w:val="24"/>
              </w:rPr>
              <w:t>600mcg</w:t>
            </w:r>
          </w:p>
          <w:p w14:paraId="48EE8A30" w14:textId="77777777" w:rsidR="002641D2" w:rsidRPr="00FA3F9C" w:rsidRDefault="002641D2">
            <w:pPr>
              <w:rPr>
                <w:rFonts w:ascii="Arial" w:hAnsi="Arial" w:cs="Arial"/>
                <w:sz w:val="24"/>
                <w:szCs w:val="24"/>
              </w:rPr>
            </w:pPr>
            <w:r w:rsidRPr="00FA3F9C">
              <w:rPr>
                <w:rFonts w:ascii="Arial" w:hAnsi="Arial" w:cs="Arial"/>
                <w:sz w:val="24"/>
                <w:szCs w:val="24"/>
              </w:rPr>
              <w:t>800mcg</w:t>
            </w:r>
          </w:p>
          <w:p w14:paraId="02382470" w14:textId="77777777" w:rsidR="002641D2" w:rsidRPr="00FA3F9C" w:rsidRDefault="002641D2">
            <w:pPr>
              <w:rPr>
                <w:rFonts w:ascii="Arial" w:hAnsi="Arial" w:cs="Arial"/>
                <w:sz w:val="24"/>
                <w:szCs w:val="24"/>
              </w:rPr>
            </w:pPr>
            <w:r w:rsidRPr="00FA3F9C">
              <w:rPr>
                <w:rFonts w:ascii="Arial" w:hAnsi="Arial" w:cs="Arial"/>
                <w:sz w:val="24"/>
                <w:szCs w:val="24"/>
              </w:rPr>
              <w:t>1200mcg</w:t>
            </w:r>
          </w:p>
          <w:p w14:paraId="3EDA9DBA" w14:textId="77777777" w:rsidR="002641D2" w:rsidRPr="00FA3F9C" w:rsidRDefault="002641D2">
            <w:pPr>
              <w:rPr>
                <w:rFonts w:ascii="Arial" w:hAnsi="Arial" w:cs="Arial"/>
                <w:sz w:val="24"/>
                <w:szCs w:val="24"/>
              </w:rPr>
            </w:pPr>
            <w:r w:rsidRPr="00FA3F9C">
              <w:rPr>
                <w:rFonts w:ascii="Arial" w:hAnsi="Arial" w:cs="Arial"/>
                <w:sz w:val="24"/>
                <w:szCs w:val="24"/>
              </w:rPr>
              <w:t>1600mcg</w:t>
            </w:r>
          </w:p>
        </w:tc>
        <w:tc>
          <w:tcPr>
            <w:tcW w:w="1069" w:type="dxa"/>
          </w:tcPr>
          <w:p w14:paraId="63E1B586" w14:textId="77777777" w:rsidR="002641D2" w:rsidRPr="00FA3F9C" w:rsidRDefault="002641D2">
            <w:pPr>
              <w:rPr>
                <w:rFonts w:ascii="Arial" w:hAnsi="Arial" w:cs="Arial"/>
                <w:sz w:val="24"/>
                <w:szCs w:val="24"/>
              </w:rPr>
            </w:pPr>
            <w:proofErr w:type="spellStart"/>
            <w:r w:rsidRPr="00FA3F9C">
              <w:rPr>
                <w:rFonts w:ascii="Arial" w:hAnsi="Arial" w:cs="Arial"/>
                <w:sz w:val="24"/>
                <w:szCs w:val="24"/>
              </w:rPr>
              <w:t>Actiq</w:t>
            </w:r>
            <w:proofErr w:type="spellEnd"/>
          </w:p>
          <w:p w14:paraId="64FDB510" w14:textId="77777777" w:rsidR="002641D2" w:rsidRPr="00FA3F9C" w:rsidRDefault="002641D2">
            <w:pPr>
              <w:rPr>
                <w:rFonts w:ascii="Arial" w:hAnsi="Arial" w:cs="Arial"/>
                <w:sz w:val="24"/>
                <w:szCs w:val="24"/>
              </w:rPr>
            </w:pPr>
            <w:r w:rsidRPr="00FA3F9C">
              <w:rPr>
                <w:rFonts w:ascii="Arial" w:hAnsi="Arial" w:cs="Arial"/>
                <w:sz w:val="24"/>
                <w:szCs w:val="24"/>
              </w:rPr>
              <w:t>$87.61</w:t>
            </w:r>
          </w:p>
          <w:p w14:paraId="7418096A" w14:textId="77777777" w:rsidR="002641D2" w:rsidRPr="00FA3F9C" w:rsidRDefault="002641D2">
            <w:pPr>
              <w:rPr>
                <w:rFonts w:ascii="Arial" w:hAnsi="Arial" w:cs="Arial"/>
                <w:sz w:val="24"/>
                <w:szCs w:val="24"/>
              </w:rPr>
            </w:pPr>
            <w:r w:rsidRPr="00FA3F9C">
              <w:rPr>
                <w:rFonts w:ascii="Arial" w:hAnsi="Arial" w:cs="Arial"/>
                <w:sz w:val="24"/>
                <w:szCs w:val="24"/>
              </w:rPr>
              <w:t>$110.89</w:t>
            </w:r>
          </w:p>
          <w:p w14:paraId="592E2935" w14:textId="77777777" w:rsidR="002641D2" w:rsidRPr="00FA3F9C" w:rsidRDefault="002641D2">
            <w:pPr>
              <w:rPr>
                <w:rFonts w:ascii="Arial" w:hAnsi="Arial" w:cs="Arial"/>
                <w:sz w:val="24"/>
                <w:szCs w:val="24"/>
              </w:rPr>
            </w:pPr>
            <w:r w:rsidRPr="00FA3F9C">
              <w:rPr>
                <w:rFonts w:ascii="Arial" w:hAnsi="Arial" w:cs="Arial"/>
                <w:sz w:val="24"/>
                <w:szCs w:val="24"/>
              </w:rPr>
              <w:t>$135.90</w:t>
            </w:r>
          </w:p>
          <w:p w14:paraId="5AEFC047" w14:textId="77777777" w:rsidR="002641D2" w:rsidRPr="00FA3F9C" w:rsidRDefault="002641D2">
            <w:pPr>
              <w:rPr>
                <w:rFonts w:ascii="Arial" w:hAnsi="Arial" w:cs="Arial"/>
                <w:sz w:val="24"/>
                <w:szCs w:val="24"/>
              </w:rPr>
            </w:pPr>
            <w:r w:rsidRPr="00FA3F9C">
              <w:rPr>
                <w:rFonts w:ascii="Arial" w:hAnsi="Arial" w:cs="Arial"/>
                <w:sz w:val="24"/>
                <w:szCs w:val="24"/>
              </w:rPr>
              <w:t>$160.86</w:t>
            </w:r>
          </w:p>
          <w:p w14:paraId="3AB03E75" w14:textId="77777777" w:rsidR="002641D2" w:rsidRPr="00FA3F9C" w:rsidRDefault="002641D2">
            <w:pPr>
              <w:rPr>
                <w:rFonts w:ascii="Arial" w:hAnsi="Arial" w:cs="Arial"/>
                <w:sz w:val="24"/>
                <w:szCs w:val="24"/>
              </w:rPr>
            </w:pPr>
            <w:r w:rsidRPr="00FA3F9C">
              <w:rPr>
                <w:rFonts w:ascii="Arial" w:hAnsi="Arial" w:cs="Arial"/>
                <w:sz w:val="24"/>
                <w:szCs w:val="24"/>
              </w:rPr>
              <w:t>$209.10</w:t>
            </w:r>
          </w:p>
          <w:p w14:paraId="1658E01B" w14:textId="77777777" w:rsidR="002641D2" w:rsidRPr="00FA3F9C" w:rsidRDefault="002641D2">
            <w:pPr>
              <w:rPr>
                <w:rFonts w:ascii="Arial" w:hAnsi="Arial" w:cs="Arial"/>
                <w:sz w:val="24"/>
                <w:szCs w:val="24"/>
              </w:rPr>
            </w:pPr>
            <w:r w:rsidRPr="00FA3F9C">
              <w:rPr>
                <w:rFonts w:ascii="Arial" w:hAnsi="Arial" w:cs="Arial"/>
                <w:sz w:val="24"/>
                <w:szCs w:val="24"/>
              </w:rPr>
              <w:t>$257.95</w:t>
            </w:r>
          </w:p>
        </w:tc>
        <w:tc>
          <w:tcPr>
            <w:tcW w:w="1147" w:type="dxa"/>
          </w:tcPr>
          <w:p w14:paraId="6A9A17DD" w14:textId="77777777" w:rsidR="002641D2" w:rsidRPr="00FA3F9C" w:rsidRDefault="002641D2">
            <w:pPr>
              <w:rPr>
                <w:rFonts w:ascii="Arial" w:hAnsi="Arial" w:cs="Arial"/>
                <w:sz w:val="24"/>
                <w:szCs w:val="24"/>
              </w:rPr>
            </w:pPr>
            <w:r w:rsidRPr="00FA3F9C">
              <w:rPr>
                <w:rFonts w:ascii="Arial" w:hAnsi="Arial" w:cs="Arial"/>
                <w:sz w:val="24"/>
                <w:szCs w:val="24"/>
              </w:rPr>
              <w:t>Generic</w:t>
            </w:r>
          </w:p>
          <w:p w14:paraId="349271FF" w14:textId="77777777" w:rsidR="002641D2" w:rsidRPr="00FA3F9C" w:rsidRDefault="002641D2">
            <w:pPr>
              <w:rPr>
                <w:rFonts w:ascii="Arial" w:hAnsi="Arial" w:cs="Arial"/>
                <w:sz w:val="24"/>
                <w:szCs w:val="24"/>
              </w:rPr>
            </w:pPr>
            <w:r w:rsidRPr="00FA3F9C">
              <w:rPr>
                <w:rFonts w:ascii="Arial" w:hAnsi="Arial" w:cs="Arial"/>
                <w:sz w:val="24"/>
                <w:szCs w:val="24"/>
              </w:rPr>
              <w:t>$18.80</w:t>
            </w:r>
          </w:p>
          <w:p w14:paraId="712C0F03" w14:textId="77777777" w:rsidR="002641D2" w:rsidRPr="00FA3F9C" w:rsidRDefault="002641D2">
            <w:pPr>
              <w:rPr>
                <w:rFonts w:ascii="Arial" w:hAnsi="Arial" w:cs="Arial"/>
                <w:sz w:val="24"/>
                <w:szCs w:val="24"/>
              </w:rPr>
            </w:pPr>
            <w:r w:rsidRPr="00FA3F9C">
              <w:rPr>
                <w:rFonts w:ascii="Arial" w:hAnsi="Arial" w:cs="Arial"/>
                <w:sz w:val="24"/>
                <w:szCs w:val="24"/>
              </w:rPr>
              <w:t>$23.82</w:t>
            </w:r>
          </w:p>
          <w:p w14:paraId="4248DBF4" w14:textId="77777777" w:rsidR="002641D2" w:rsidRPr="00FA3F9C" w:rsidRDefault="002641D2">
            <w:pPr>
              <w:rPr>
                <w:rFonts w:ascii="Arial" w:hAnsi="Arial" w:cs="Arial"/>
                <w:sz w:val="24"/>
                <w:szCs w:val="24"/>
              </w:rPr>
            </w:pPr>
            <w:r w:rsidRPr="00FA3F9C">
              <w:rPr>
                <w:rFonts w:ascii="Arial" w:hAnsi="Arial" w:cs="Arial"/>
                <w:sz w:val="24"/>
                <w:szCs w:val="24"/>
              </w:rPr>
              <w:t>$29.18</w:t>
            </w:r>
          </w:p>
          <w:p w14:paraId="002AEED8" w14:textId="77777777" w:rsidR="002641D2" w:rsidRPr="00FA3F9C" w:rsidRDefault="002641D2">
            <w:pPr>
              <w:rPr>
                <w:rFonts w:ascii="Arial" w:hAnsi="Arial" w:cs="Arial"/>
                <w:sz w:val="24"/>
                <w:szCs w:val="24"/>
              </w:rPr>
            </w:pPr>
            <w:r w:rsidRPr="00FA3F9C">
              <w:rPr>
                <w:rFonts w:ascii="Arial" w:hAnsi="Arial" w:cs="Arial"/>
                <w:sz w:val="24"/>
                <w:szCs w:val="24"/>
              </w:rPr>
              <w:t>$34.57</w:t>
            </w:r>
          </w:p>
          <w:p w14:paraId="0A1987B9" w14:textId="77777777" w:rsidR="002641D2" w:rsidRPr="00FA3F9C" w:rsidRDefault="002641D2">
            <w:pPr>
              <w:rPr>
                <w:rFonts w:ascii="Arial" w:hAnsi="Arial" w:cs="Arial"/>
                <w:sz w:val="24"/>
                <w:szCs w:val="24"/>
              </w:rPr>
            </w:pPr>
            <w:r w:rsidRPr="00FA3F9C">
              <w:rPr>
                <w:rFonts w:ascii="Arial" w:hAnsi="Arial" w:cs="Arial"/>
                <w:sz w:val="24"/>
                <w:szCs w:val="24"/>
              </w:rPr>
              <w:t>$44.95</w:t>
            </w:r>
          </w:p>
          <w:p w14:paraId="107880FB" w14:textId="77777777" w:rsidR="002641D2" w:rsidRPr="00FA3F9C" w:rsidRDefault="002641D2">
            <w:pPr>
              <w:rPr>
                <w:rFonts w:ascii="Arial" w:hAnsi="Arial" w:cs="Arial"/>
                <w:sz w:val="24"/>
                <w:szCs w:val="24"/>
              </w:rPr>
            </w:pPr>
            <w:r w:rsidRPr="00FA3F9C">
              <w:rPr>
                <w:rFonts w:ascii="Arial" w:hAnsi="Arial" w:cs="Arial"/>
                <w:sz w:val="24"/>
                <w:szCs w:val="24"/>
              </w:rPr>
              <w:t>$55.44</w:t>
            </w:r>
          </w:p>
        </w:tc>
        <w:tc>
          <w:tcPr>
            <w:tcW w:w="2169" w:type="dxa"/>
          </w:tcPr>
          <w:p w14:paraId="79F8C495" w14:textId="77777777" w:rsidR="002641D2" w:rsidRPr="00FA3F9C" w:rsidRDefault="002641D2">
            <w:pPr>
              <w:rPr>
                <w:rFonts w:ascii="Arial" w:hAnsi="Arial" w:cs="Arial"/>
                <w:sz w:val="24"/>
                <w:szCs w:val="24"/>
              </w:rPr>
            </w:pPr>
          </w:p>
        </w:tc>
        <w:tc>
          <w:tcPr>
            <w:tcW w:w="2170" w:type="dxa"/>
          </w:tcPr>
          <w:p w14:paraId="579A8DEA" w14:textId="77777777" w:rsidR="002641D2" w:rsidRPr="00FA3F9C" w:rsidRDefault="002641D2">
            <w:pPr>
              <w:rPr>
                <w:rFonts w:ascii="Arial" w:hAnsi="Arial" w:cs="Arial"/>
                <w:sz w:val="24"/>
                <w:szCs w:val="24"/>
              </w:rPr>
            </w:pPr>
          </w:p>
        </w:tc>
        <w:tc>
          <w:tcPr>
            <w:tcW w:w="2170" w:type="dxa"/>
          </w:tcPr>
          <w:p w14:paraId="5F431CF4" w14:textId="77777777" w:rsidR="002641D2" w:rsidRPr="00FA3F9C" w:rsidRDefault="002641D2">
            <w:pPr>
              <w:rPr>
                <w:rFonts w:ascii="Arial" w:hAnsi="Arial" w:cs="Arial"/>
                <w:sz w:val="24"/>
                <w:szCs w:val="24"/>
              </w:rPr>
            </w:pPr>
          </w:p>
        </w:tc>
      </w:tr>
      <w:tr w:rsidR="002641D2" w:rsidRPr="00FA3F9C" w14:paraId="2AFA6B94" w14:textId="77777777" w:rsidTr="005C1302">
        <w:trPr>
          <w:trHeight w:val="503"/>
        </w:trPr>
        <w:tc>
          <w:tcPr>
            <w:tcW w:w="2312" w:type="dxa"/>
            <w:vMerge w:val="restart"/>
          </w:tcPr>
          <w:p w14:paraId="0D9BD951" w14:textId="77777777" w:rsidR="002641D2" w:rsidRPr="00FA3F9C" w:rsidRDefault="002641D2" w:rsidP="005C1302">
            <w:pPr>
              <w:rPr>
                <w:rFonts w:ascii="Arial" w:hAnsi="Arial" w:cs="Arial"/>
                <w:sz w:val="24"/>
                <w:szCs w:val="24"/>
              </w:rPr>
            </w:pPr>
            <w:r w:rsidRPr="00FA3F9C">
              <w:rPr>
                <w:rFonts w:ascii="Arial" w:hAnsi="Arial" w:cs="Arial"/>
                <w:sz w:val="24"/>
                <w:szCs w:val="24"/>
              </w:rPr>
              <w:t>TD Patch</w:t>
            </w:r>
          </w:p>
        </w:tc>
        <w:tc>
          <w:tcPr>
            <w:tcW w:w="1731" w:type="dxa"/>
          </w:tcPr>
          <w:p w14:paraId="2EECA42F" w14:textId="77777777" w:rsidR="002641D2" w:rsidRPr="00FA3F9C" w:rsidRDefault="002641D2" w:rsidP="005C1302">
            <w:pPr>
              <w:rPr>
                <w:rFonts w:ascii="Arial" w:hAnsi="Arial" w:cs="Arial"/>
                <w:sz w:val="24"/>
                <w:szCs w:val="24"/>
              </w:rPr>
            </w:pPr>
            <w:r w:rsidRPr="00FA3F9C">
              <w:rPr>
                <w:rFonts w:ascii="Arial" w:hAnsi="Arial" w:cs="Arial"/>
                <w:sz w:val="24"/>
                <w:szCs w:val="24"/>
              </w:rPr>
              <w:t>Duragesic mcg</w:t>
            </w:r>
          </w:p>
          <w:p w14:paraId="47637BE9" w14:textId="77777777" w:rsidR="002641D2" w:rsidRPr="00FA3F9C" w:rsidRDefault="002641D2" w:rsidP="005C1302">
            <w:pPr>
              <w:rPr>
                <w:rFonts w:ascii="Arial" w:hAnsi="Arial" w:cs="Arial"/>
                <w:sz w:val="24"/>
                <w:szCs w:val="24"/>
              </w:rPr>
            </w:pPr>
            <w:r w:rsidRPr="00FA3F9C">
              <w:rPr>
                <w:rFonts w:ascii="Arial" w:hAnsi="Arial" w:cs="Arial"/>
                <w:sz w:val="24"/>
                <w:szCs w:val="24"/>
              </w:rPr>
              <w:t>12</w:t>
            </w:r>
          </w:p>
        </w:tc>
        <w:tc>
          <w:tcPr>
            <w:tcW w:w="1622" w:type="dxa"/>
          </w:tcPr>
          <w:p w14:paraId="4E957582" w14:textId="77777777" w:rsidR="002641D2" w:rsidRPr="00FA3F9C" w:rsidRDefault="002641D2" w:rsidP="005C1302">
            <w:pPr>
              <w:rPr>
                <w:rFonts w:ascii="Arial" w:hAnsi="Arial" w:cs="Arial"/>
                <w:sz w:val="24"/>
                <w:szCs w:val="24"/>
              </w:rPr>
            </w:pPr>
            <w:r w:rsidRPr="00FA3F9C">
              <w:rPr>
                <w:rFonts w:ascii="Arial" w:hAnsi="Arial" w:cs="Arial"/>
                <w:sz w:val="24"/>
                <w:szCs w:val="24"/>
                <w:highlight w:val="yellow"/>
              </w:rPr>
              <w:t>Generic</w:t>
            </w:r>
          </w:p>
          <w:p w14:paraId="56C9CA3A" w14:textId="77777777" w:rsidR="002641D2" w:rsidRPr="00FA3F9C" w:rsidRDefault="002641D2" w:rsidP="005C1302">
            <w:pPr>
              <w:rPr>
                <w:rFonts w:ascii="Arial" w:hAnsi="Arial" w:cs="Arial"/>
                <w:sz w:val="24"/>
                <w:szCs w:val="24"/>
              </w:rPr>
            </w:pPr>
            <w:r w:rsidRPr="00FA3F9C">
              <w:rPr>
                <w:rFonts w:ascii="Arial" w:hAnsi="Arial" w:cs="Arial"/>
                <w:sz w:val="24"/>
                <w:szCs w:val="24"/>
              </w:rPr>
              <w:t>12</w:t>
            </w:r>
          </w:p>
        </w:tc>
        <w:tc>
          <w:tcPr>
            <w:tcW w:w="1069" w:type="dxa"/>
          </w:tcPr>
          <w:p w14:paraId="165FF049" w14:textId="77777777" w:rsidR="002641D2" w:rsidRPr="00FA3F9C" w:rsidRDefault="002641D2" w:rsidP="005C1302">
            <w:pPr>
              <w:rPr>
                <w:rFonts w:ascii="Arial" w:hAnsi="Arial" w:cs="Arial"/>
                <w:sz w:val="24"/>
                <w:szCs w:val="24"/>
              </w:rPr>
            </w:pPr>
            <w:r w:rsidRPr="00FA3F9C">
              <w:rPr>
                <w:rFonts w:ascii="Arial" w:hAnsi="Arial" w:cs="Arial"/>
                <w:sz w:val="24"/>
                <w:szCs w:val="24"/>
              </w:rPr>
              <w:t>Duragesic</w:t>
            </w:r>
          </w:p>
          <w:p w14:paraId="7991D27E" w14:textId="77777777" w:rsidR="002641D2" w:rsidRPr="00FA3F9C" w:rsidRDefault="002641D2" w:rsidP="005C1302">
            <w:pPr>
              <w:rPr>
                <w:rFonts w:ascii="Arial" w:hAnsi="Arial" w:cs="Arial"/>
                <w:sz w:val="24"/>
                <w:szCs w:val="24"/>
              </w:rPr>
            </w:pPr>
            <w:r w:rsidRPr="00FA3F9C">
              <w:rPr>
                <w:rFonts w:ascii="Arial" w:hAnsi="Arial" w:cs="Arial"/>
                <w:sz w:val="24"/>
                <w:szCs w:val="24"/>
              </w:rPr>
              <w:t>$45.64</w:t>
            </w:r>
          </w:p>
        </w:tc>
        <w:tc>
          <w:tcPr>
            <w:tcW w:w="1147" w:type="dxa"/>
          </w:tcPr>
          <w:p w14:paraId="6A4531E5" w14:textId="77777777" w:rsidR="002641D2" w:rsidRPr="00FA3F9C" w:rsidRDefault="002641D2" w:rsidP="005C1302">
            <w:pPr>
              <w:rPr>
                <w:rFonts w:ascii="Arial" w:hAnsi="Arial" w:cs="Arial"/>
                <w:sz w:val="24"/>
                <w:szCs w:val="24"/>
              </w:rPr>
            </w:pPr>
            <w:r w:rsidRPr="00FA3F9C">
              <w:rPr>
                <w:rFonts w:ascii="Arial" w:hAnsi="Arial" w:cs="Arial"/>
                <w:sz w:val="24"/>
                <w:szCs w:val="24"/>
              </w:rPr>
              <w:t>Generic</w:t>
            </w:r>
          </w:p>
          <w:p w14:paraId="7B97FD6C" w14:textId="77777777" w:rsidR="002641D2" w:rsidRPr="00FA3F9C" w:rsidRDefault="002641D2" w:rsidP="005C1302">
            <w:pPr>
              <w:rPr>
                <w:rFonts w:ascii="Arial" w:hAnsi="Arial" w:cs="Arial"/>
                <w:sz w:val="24"/>
                <w:szCs w:val="24"/>
              </w:rPr>
            </w:pPr>
            <w:r w:rsidRPr="00FA3F9C">
              <w:rPr>
                <w:rFonts w:ascii="Arial" w:hAnsi="Arial" w:cs="Arial"/>
                <w:sz w:val="24"/>
                <w:szCs w:val="24"/>
              </w:rPr>
              <w:t>$20.30</w:t>
            </w:r>
          </w:p>
        </w:tc>
        <w:tc>
          <w:tcPr>
            <w:tcW w:w="2169" w:type="dxa"/>
            <w:vMerge w:val="restart"/>
          </w:tcPr>
          <w:p w14:paraId="10E21345" w14:textId="77777777" w:rsidR="002641D2" w:rsidRPr="00FA3F9C" w:rsidRDefault="002641D2" w:rsidP="005C1302">
            <w:pPr>
              <w:rPr>
                <w:rFonts w:ascii="Arial" w:hAnsi="Arial" w:cs="Arial"/>
                <w:sz w:val="24"/>
                <w:szCs w:val="24"/>
              </w:rPr>
            </w:pPr>
          </w:p>
        </w:tc>
        <w:tc>
          <w:tcPr>
            <w:tcW w:w="2170" w:type="dxa"/>
            <w:vMerge w:val="restart"/>
          </w:tcPr>
          <w:p w14:paraId="4C09FB6F" w14:textId="77777777" w:rsidR="002641D2" w:rsidRPr="00FA3F9C" w:rsidRDefault="002641D2" w:rsidP="005C1302">
            <w:pPr>
              <w:rPr>
                <w:rFonts w:ascii="Arial" w:hAnsi="Arial" w:cs="Arial"/>
                <w:sz w:val="24"/>
                <w:szCs w:val="24"/>
              </w:rPr>
            </w:pPr>
          </w:p>
        </w:tc>
        <w:tc>
          <w:tcPr>
            <w:tcW w:w="2170" w:type="dxa"/>
            <w:vMerge w:val="restart"/>
          </w:tcPr>
          <w:p w14:paraId="35FFA219" w14:textId="77777777" w:rsidR="002641D2" w:rsidRPr="00FA3F9C" w:rsidRDefault="002641D2" w:rsidP="005C1302">
            <w:pPr>
              <w:rPr>
                <w:rFonts w:ascii="Arial" w:hAnsi="Arial" w:cs="Arial"/>
                <w:sz w:val="24"/>
                <w:szCs w:val="24"/>
              </w:rPr>
            </w:pPr>
          </w:p>
        </w:tc>
      </w:tr>
      <w:tr w:rsidR="002641D2" w:rsidRPr="00FA3F9C" w14:paraId="51A46252" w14:textId="77777777" w:rsidTr="005C1302">
        <w:trPr>
          <w:trHeight w:val="206"/>
        </w:trPr>
        <w:tc>
          <w:tcPr>
            <w:tcW w:w="2312" w:type="dxa"/>
            <w:vMerge/>
          </w:tcPr>
          <w:p w14:paraId="63FDE614" w14:textId="77777777" w:rsidR="002641D2" w:rsidRPr="00FA3F9C" w:rsidRDefault="002641D2" w:rsidP="005C1302">
            <w:pPr>
              <w:rPr>
                <w:rFonts w:ascii="Arial" w:hAnsi="Arial" w:cs="Arial"/>
                <w:sz w:val="24"/>
                <w:szCs w:val="24"/>
              </w:rPr>
            </w:pPr>
          </w:p>
        </w:tc>
        <w:tc>
          <w:tcPr>
            <w:tcW w:w="1731" w:type="dxa"/>
          </w:tcPr>
          <w:p w14:paraId="1E707AE3" w14:textId="77777777" w:rsidR="002641D2" w:rsidRPr="00FA3F9C" w:rsidRDefault="002641D2" w:rsidP="005C1302">
            <w:pPr>
              <w:rPr>
                <w:rFonts w:ascii="Arial" w:hAnsi="Arial" w:cs="Arial"/>
                <w:sz w:val="24"/>
                <w:szCs w:val="24"/>
              </w:rPr>
            </w:pPr>
            <w:r w:rsidRPr="00FA3F9C">
              <w:rPr>
                <w:rFonts w:ascii="Arial" w:hAnsi="Arial" w:cs="Arial"/>
                <w:sz w:val="24"/>
                <w:szCs w:val="24"/>
              </w:rPr>
              <w:t>25</w:t>
            </w:r>
          </w:p>
        </w:tc>
        <w:tc>
          <w:tcPr>
            <w:tcW w:w="1622" w:type="dxa"/>
          </w:tcPr>
          <w:p w14:paraId="5C272656" w14:textId="77777777" w:rsidR="002641D2" w:rsidRPr="00FA3F9C" w:rsidRDefault="002641D2" w:rsidP="005C1302">
            <w:pPr>
              <w:rPr>
                <w:rFonts w:ascii="Arial" w:hAnsi="Arial" w:cs="Arial"/>
                <w:sz w:val="24"/>
                <w:szCs w:val="24"/>
              </w:rPr>
            </w:pPr>
            <w:r w:rsidRPr="00FA3F9C">
              <w:rPr>
                <w:rFonts w:ascii="Arial" w:hAnsi="Arial" w:cs="Arial"/>
                <w:sz w:val="24"/>
                <w:szCs w:val="24"/>
              </w:rPr>
              <w:t>25</w:t>
            </w:r>
          </w:p>
        </w:tc>
        <w:tc>
          <w:tcPr>
            <w:tcW w:w="1069" w:type="dxa"/>
          </w:tcPr>
          <w:p w14:paraId="64F6A335" w14:textId="77777777" w:rsidR="002641D2" w:rsidRPr="00FA3F9C" w:rsidRDefault="002641D2" w:rsidP="005C1302">
            <w:pPr>
              <w:rPr>
                <w:rFonts w:ascii="Arial" w:hAnsi="Arial" w:cs="Arial"/>
                <w:sz w:val="24"/>
                <w:szCs w:val="24"/>
              </w:rPr>
            </w:pPr>
            <w:r w:rsidRPr="00FA3F9C">
              <w:rPr>
                <w:rFonts w:ascii="Arial" w:hAnsi="Arial" w:cs="Arial"/>
                <w:sz w:val="24"/>
                <w:szCs w:val="24"/>
              </w:rPr>
              <w:t>$55.11</w:t>
            </w:r>
          </w:p>
        </w:tc>
        <w:tc>
          <w:tcPr>
            <w:tcW w:w="1147" w:type="dxa"/>
          </w:tcPr>
          <w:p w14:paraId="64E00CA8" w14:textId="77777777" w:rsidR="002641D2" w:rsidRPr="00FA3F9C" w:rsidRDefault="002641D2" w:rsidP="005C1302">
            <w:pPr>
              <w:rPr>
                <w:rFonts w:ascii="Arial" w:hAnsi="Arial" w:cs="Arial"/>
                <w:sz w:val="24"/>
                <w:szCs w:val="24"/>
              </w:rPr>
            </w:pPr>
            <w:r w:rsidRPr="00FA3F9C">
              <w:rPr>
                <w:rFonts w:ascii="Arial" w:hAnsi="Arial" w:cs="Arial"/>
                <w:sz w:val="24"/>
                <w:szCs w:val="24"/>
              </w:rPr>
              <w:t>$14.42</w:t>
            </w:r>
          </w:p>
        </w:tc>
        <w:tc>
          <w:tcPr>
            <w:tcW w:w="2169" w:type="dxa"/>
            <w:vMerge/>
          </w:tcPr>
          <w:p w14:paraId="02527229" w14:textId="77777777" w:rsidR="002641D2" w:rsidRPr="00FA3F9C" w:rsidRDefault="002641D2" w:rsidP="005C1302">
            <w:pPr>
              <w:rPr>
                <w:rFonts w:ascii="Arial" w:hAnsi="Arial" w:cs="Arial"/>
                <w:sz w:val="24"/>
                <w:szCs w:val="24"/>
              </w:rPr>
            </w:pPr>
          </w:p>
        </w:tc>
        <w:tc>
          <w:tcPr>
            <w:tcW w:w="2170" w:type="dxa"/>
            <w:vMerge/>
          </w:tcPr>
          <w:p w14:paraId="2FF23C4D" w14:textId="77777777" w:rsidR="002641D2" w:rsidRPr="00FA3F9C" w:rsidRDefault="002641D2" w:rsidP="005C1302">
            <w:pPr>
              <w:rPr>
                <w:rFonts w:ascii="Arial" w:hAnsi="Arial" w:cs="Arial"/>
                <w:sz w:val="24"/>
                <w:szCs w:val="24"/>
              </w:rPr>
            </w:pPr>
          </w:p>
        </w:tc>
        <w:tc>
          <w:tcPr>
            <w:tcW w:w="2170" w:type="dxa"/>
            <w:vMerge/>
          </w:tcPr>
          <w:p w14:paraId="7B0032A8" w14:textId="77777777" w:rsidR="002641D2" w:rsidRPr="00FA3F9C" w:rsidRDefault="002641D2" w:rsidP="005C1302">
            <w:pPr>
              <w:rPr>
                <w:rFonts w:ascii="Arial" w:hAnsi="Arial" w:cs="Arial"/>
                <w:sz w:val="24"/>
                <w:szCs w:val="24"/>
              </w:rPr>
            </w:pPr>
          </w:p>
        </w:tc>
      </w:tr>
      <w:tr w:rsidR="002641D2" w:rsidRPr="00FA3F9C" w14:paraId="7B2BA921" w14:textId="77777777" w:rsidTr="005C1302">
        <w:trPr>
          <w:trHeight w:val="215"/>
        </w:trPr>
        <w:tc>
          <w:tcPr>
            <w:tcW w:w="2312" w:type="dxa"/>
            <w:vMerge/>
          </w:tcPr>
          <w:p w14:paraId="2A5CD768" w14:textId="77777777" w:rsidR="002641D2" w:rsidRPr="00FA3F9C" w:rsidRDefault="002641D2" w:rsidP="005C1302">
            <w:pPr>
              <w:rPr>
                <w:rFonts w:ascii="Arial" w:hAnsi="Arial" w:cs="Arial"/>
                <w:sz w:val="24"/>
                <w:szCs w:val="24"/>
              </w:rPr>
            </w:pPr>
          </w:p>
        </w:tc>
        <w:tc>
          <w:tcPr>
            <w:tcW w:w="1731" w:type="dxa"/>
          </w:tcPr>
          <w:p w14:paraId="46C06EAC" w14:textId="77777777" w:rsidR="002641D2" w:rsidRPr="00FA3F9C" w:rsidRDefault="002641D2" w:rsidP="005C1302">
            <w:pPr>
              <w:rPr>
                <w:rFonts w:ascii="Arial" w:hAnsi="Arial" w:cs="Arial"/>
                <w:sz w:val="24"/>
                <w:szCs w:val="24"/>
              </w:rPr>
            </w:pPr>
          </w:p>
        </w:tc>
        <w:tc>
          <w:tcPr>
            <w:tcW w:w="1622" w:type="dxa"/>
          </w:tcPr>
          <w:p w14:paraId="5F6297AC" w14:textId="77777777" w:rsidR="002641D2" w:rsidRPr="00FA3F9C" w:rsidRDefault="002641D2" w:rsidP="005C1302">
            <w:pPr>
              <w:rPr>
                <w:rFonts w:ascii="Arial" w:hAnsi="Arial" w:cs="Arial"/>
                <w:sz w:val="24"/>
                <w:szCs w:val="24"/>
              </w:rPr>
            </w:pPr>
            <w:r w:rsidRPr="00FA3F9C">
              <w:rPr>
                <w:rFonts w:ascii="Arial" w:hAnsi="Arial" w:cs="Arial"/>
                <w:sz w:val="24"/>
                <w:szCs w:val="24"/>
              </w:rPr>
              <w:t>37.5</w:t>
            </w:r>
          </w:p>
        </w:tc>
        <w:tc>
          <w:tcPr>
            <w:tcW w:w="1069" w:type="dxa"/>
          </w:tcPr>
          <w:p w14:paraId="64617D7F" w14:textId="77777777" w:rsidR="002641D2" w:rsidRPr="00FA3F9C" w:rsidRDefault="002641D2" w:rsidP="005C1302">
            <w:pPr>
              <w:rPr>
                <w:rFonts w:ascii="Arial" w:hAnsi="Arial" w:cs="Arial"/>
                <w:sz w:val="24"/>
                <w:szCs w:val="24"/>
              </w:rPr>
            </w:pPr>
          </w:p>
        </w:tc>
        <w:tc>
          <w:tcPr>
            <w:tcW w:w="1147" w:type="dxa"/>
          </w:tcPr>
          <w:p w14:paraId="0B184D14" w14:textId="77777777" w:rsidR="002641D2" w:rsidRPr="00FA3F9C" w:rsidRDefault="002641D2" w:rsidP="005C1302">
            <w:pPr>
              <w:rPr>
                <w:rFonts w:ascii="Arial" w:hAnsi="Arial" w:cs="Arial"/>
                <w:sz w:val="24"/>
                <w:szCs w:val="24"/>
              </w:rPr>
            </w:pPr>
            <w:r w:rsidRPr="00FA3F9C">
              <w:rPr>
                <w:rFonts w:ascii="Arial" w:hAnsi="Arial" w:cs="Arial"/>
                <w:sz w:val="24"/>
                <w:szCs w:val="24"/>
              </w:rPr>
              <w:t>$65.31</w:t>
            </w:r>
          </w:p>
        </w:tc>
        <w:tc>
          <w:tcPr>
            <w:tcW w:w="2169" w:type="dxa"/>
            <w:vMerge/>
          </w:tcPr>
          <w:p w14:paraId="3E51A6DF" w14:textId="77777777" w:rsidR="002641D2" w:rsidRPr="00FA3F9C" w:rsidRDefault="002641D2" w:rsidP="005C1302">
            <w:pPr>
              <w:rPr>
                <w:rFonts w:ascii="Arial" w:hAnsi="Arial" w:cs="Arial"/>
                <w:sz w:val="24"/>
                <w:szCs w:val="24"/>
              </w:rPr>
            </w:pPr>
          </w:p>
        </w:tc>
        <w:tc>
          <w:tcPr>
            <w:tcW w:w="2170" w:type="dxa"/>
            <w:vMerge/>
          </w:tcPr>
          <w:p w14:paraId="5D7B921A" w14:textId="77777777" w:rsidR="002641D2" w:rsidRPr="00FA3F9C" w:rsidRDefault="002641D2" w:rsidP="005C1302">
            <w:pPr>
              <w:rPr>
                <w:rFonts w:ascii="Arial" w:hAnsi="Arial" w:cs="Arial"/>
                <w:sz w:val="24"/>
                <w:szCs w:val="24"/>
              </w:rPr>
            </w:pPr>
          </w:p>
        </w:tc>
        <w:tc>
          <w:tcPr>
            <w:tcW w:w="2170" w:type="dxa"/>
            <w:vMerge/>
          </w:tcPr>
          <w:p w14:paraId="68A0C829" w14:textId="77777777" w:rsidR="002641D2" w:rsidRPr="00FA3F9C" w:rsidRDefault="002641D2" w:rsidP="005C1302">
            <w:pPr>
              <w:rPr>
                <w:rFonts w:ascii="Arial" w:hAnsi="Arial" w:cs="Arial"/>
                <w:sz w:val="24"/>
                <w:szCs w:val="24"/>
              </w:rPr>
            </w:pPr>
          </w:p>
        </w:tc>
      </w:tr>
      <w:tr w:rsidR="002641D2" w:rsidRPr="00FA3F9C" w14:paraId="68BC1EE6" w14:textId="77777777" w:rsidTr="005C1302">
        <w:trPr>
          <w:trHeight w:val="275"/>
        </w:trPr>
        <w:tc>
          <w:tcPr>
            <w:tcW w:w="2312" w:type="dxa"/>
            <w:vMerge/>
          </w:tcPr>
          <w:p w14:paraId="550447D4" w14:textId="77777777" w:rsidR="002641D2" w:rsidRPr="00FA3F9C" w:rsidRDefault="002641D2" w:rsidP="005C1302">
            <w:pPr>
              <w:rPr>
                <w:rFonts w:ascii="Arial" w:hAnsi="Arial" w:cs="Arial"/>
                <w:sz w:val="24"/>
                <w:szCs w:val="24"/>
              </w:rPr>
            </w:pPr>
          </w:p>
        </w:tc>
        <w:tc>
          <w:tcPr>
            <w:tcW w:w="1731" w:type="dxa"/>
          </w:tcPr>
          <w:p w14:paraId="20447F23" w14:textId="77777777" w:rsidR="002641D2" w:rsidRPr="00FA3F9C" w:rsidRDefault="002641D2" w:rsidP="005C1302">
            <w:pPr>
              <w:rPr>
                <w:rFonts w:ascii="Arial" w:hAnsi="Arial" w:cs="Arial"/>
                <w:sz w:val="24"/>
                <w:szCs w:val="24"/>
              </w:rPr>
            </w:pPr>
            <w:r w:rsidRPr="00FA3F9C">
              <w:rPr>
                <w:rFonts w:ascii="Arial" w:hAnsi="Arial" w:cs="Arial"/>
                <w:sz w:val="24"/>
                <w:szCs w:val="24"/>
              </w:rPr>
              <w:t>50</w:t>
            </w:r>
          </w:p>
        </w:tc>
        <w:tc>
          <w:tcPr>
            <w:tcW w:w="1622" w:type="dxa"/>
          </w:tcPr>
          <w:p w14:paraId="7ECE2380" w14:textId="77777777" w:rsidR="002641D2" w:rsidRPr="00FA3F9C" w:rsidRDefault="002641D2" w:rsidP="005C1302">
            <w:pPr>
              <w:rPr>
                <w:rFonts w:ascii="Arial" w:hAnsi="Arial" w:cs="Arial"/>
                <w:sz w:val="24"/>
                <w:szCs w:val="24"/>
              </w:rPr>
            </w:pPr>
            <w:r w:rsidRPr="00FA3F9C">
              <w:rPr>
                <w:rFonts w:ascii="Arial" w:hAnsi="Arial" w:cs="Arial"/>
                <w:sz w:val="24"/>
                <w:szCs w:val="24"/>
              </w:rPr>
              <w:t>50</w:t>
            </w:r>
          </w:p>
        </w:tc>
        <w:tc>
          <w:tcPr>
            <w:tcW w:w="1069" w:type="dxa"/>
          </w:tcPr>
          <w:p w14:paraId="4534D1C5" w14:textId="77777777" w:rsidR="002641D2" w:rsidRPr="00FA3F9C" w:rsidRDefault="002641D2" w:rsidP="005C1302">
            <w:pPr>
              <w:rPr>
                <w:rFonts w:ascii="Arial" w:hAnsi="Arial" w:cs="Arial"/>
                <w:sz w:val="24"/>
                <w:szCs w:val="24"/>
              </w:rPr>
            </w:pPr>
            <w:r w:rsidRPr="00FA3F9C">
              <w:rPr>
                <w:rFonts w:ascii="Arial" w:hAnsi="Arial" w:cs="Arial"/>
                <w:sz w:val="24"/>
                <w:szCs w:val="24"/>
              </w:rPr>
              <w:t>$100.75</w:t>
            </w:r>
          </w:p>
        </w:tc>
        <w:tc>
          <w:tcPr>
            <w:tcW w:w="1147" w:type="dxa"/>
          </w:tcPr>
          <w:p w14:paraId="16605E8A" w14:textId="77777777" w:rsidR="002641D2" w:rsidRPr="00FA3F9C" w:rsidRDefault="002641D2" w:rsidP="005C1302">
            <w:pPr>
              <w:rPr>
                <w:rFonts w:ascii="Arial" w:hAnsi="Arial" w:cs="Arial"/>
                <w:sz w:val="24"/>
                <w:szCs w:val="24"/>
              </w:rPr>
            </w:pPr>
            <w:r w:rsidRPr="00FA3F9C">
              <w:rPr>
                <w:rFonts w:ascii="Arial" w:hAnsi="Arial" w:cs="Arial"/>
                <w:sz w:val="24"/>
                <w:szCs w:val="24"/>
              </w:rPr>
              <w:t>$26.36</w:t>
            </w:r>
          </w:p>
        </w:tc>
        <w:tc>
          <w:tcPr>
            <w:tcW w:w="2169" w:type="dxa"/>
            <w:vMerge/>
          </w:tcPr>
          <w:p w14:paraId="0A17A429" w14:textId="77777777" w:rsidR="002641D2" w:rsidRPr="00FA3F9C" w:rsidRDefault="002641D2" w:rsidP="005C1302">
            <w:pPr>
              <w:rPr>
                <w:rFonts w:ascii="Arial" w:hAnsi="Arial" w:cs="Arial"/>
                <w:sz w:val="24"/>
                <w:szCs w:val="24"/>
              </w:rPr>
            </w:pPr>
          </w:p>
        </w:tc>
        <w:tc>
          <w:tcPr>
            <w:tcW w:w="2170" w:type="dxa"/>
            <w:vMerge/>
          </w:tcPr>
          <w:p w14:paraId="48016C12" w14:textId="77777777" w:rsidR="002641D2" w:rsidRPr="00FA3F9C" w:rsidRDefault="002641D2" w:rsidP="005C1302">
            <w:pPr>
              <w:rPr>
                <w:rFonts w:ascii="Arial" w:hAnsi="Arial" w:cs="Arial"/>
                <w:sz w:val="24"/>
                <w:szCs w:val="24"/>
              </w:rPr>
            </w:pPr>
          </w:p>
        </w:tc>
        <w:tc>
          <w:tcPr>
            <w:tcW w:w="2170" w:type="dxa"/>
            <w:vMerge/>
          </w:tcPr>
          <w:p w14:paraId="799BCAB3" w14:textId="77777777" w:rsidR="002641D2" w:rsidRPr="00FA3F9C" w:rsidRDefault="002641D2" w:rsidP="005C1302">
            <w:pPr>
              <w:rPr>
                <w:rFonts w:ascii="Arial" w:hAnsi="Arial" w:cs="Arial"/>
                <w:sz w:val="24"/>
                <w:szCs w:val="24"/>
              </w:rPr>
            </w:pPr>
          </w:p>
        </w:tc>
      </w:tr>
      <w:tr w:rsidR="002641D2" w:rsidRPr="00FA3F9C" w14:paraId="367ED493" w14:textId="77777777" w:rsidTr="005C1302">
        <w:trPr>
          <w:trHeight w:val="275"/>
        </w:trPr>
        <w:tc>
          <w:tcPr>
            <w:tcW w:w="2312" w:type="dxa"/>
            <w:vMerge/>
          </w:tcPr>
          <w:p w14:paraId="13FA50B9" w14:textId="77777777" w:rsidR="002641D2" w:rsidRPr="00FA3F9C" w:rsidRDefault="002641D2" w:rsidP="005C1302">
            <w:pPr>
              <w:rPr>
                <w:rFonts w:ascii="Arial" w:hAnsi="Arial" w:cs="Arial"/>
                <w:sz w:val="24"/>
                <w:szCs w:val="24"/>
              </w:rPr>
            </w:pPr>
          </w:p>
        </w:tc>
        <w:tc>
          <w:tcPr>
            <w:tcW w:w="1731" w:type="dxa"/>
          </w:tcPr>
          <w:p w14:paraId="04F783A8" w14:textId="77777777" w:rsidR="002641D2" w:rsidRPr="00FA3F9C" w:rsidRDefault="002641D2" w:rsidP="005C1302">
            <w:pPr>
              <w:rPr>
                <w:rFonts w:ascii="Arial" w:hAnsi="Arial" w:cs="Arial"/>
                <w:sz w:val="24"/>
                <w:szCs w:val="24"/>
              </w:rPr>
            </w:pPr>
          </w:p>
        </w:tc>
        <w:tc>
          <w:tcPr>
            <w:tcW w:w="1622" w:type="dxa"/>
          </w:tcPr>
          <w:p w14:paraId="26826B38" w14:textId="77777777" w:rsidR="002641D2" w:rsidRPr="00FA3F9C" w:rsidRDefault="002641D2" w:rsidP="005C1302">
            <w:pPr>
              <w:rPr>
                <w:rFonts w:ascii="Arial" w:hAnsi="Arial" w:cs="Arial"/>
                <w:sz w:val="24"/>
                <w:szCs w:val="24"/>
              </w:rPr>
            </w:pPr>
            <w:r w:rsidRPr="00FA3F9C">
              <w:rPr>
                <w:rFonts w:ascii="Arial" w:hAnsi="Arial" w:cs="Arial"/>
                <w:sz w:val="24"/>
                <w:szCs w:val="24"/>
              </w:rPr>
              <w:t>62.5</w:t>
            </w:r>
          </w:p>
        </w:tc>
        <w:tc>
          <w:tcPr>
            <w:tcW w:w="1069" w:type="dxa"/>
          </w:tcPr>
          <w:p w14:paraId="74581D1B" w14:textId="77777777" w:rsidR="002641D2" w:rsidRPr="00FA3F9C" w:rsidRDefault="002641D2" w:rsidP="005C1302">
            <w:pPr>
              <w:rPr>
                <w:rFonts w:ascii="Arial" w:hAnsi="Arial" w:cs="Arial"/>
                <w:sz w:val="24"/>
                <w:szCs w:val="24"/>
              </w:rPr>
            </w:pPr>
          </w:p>
        </w:tc>
        <w:tc>
          <w:tcPr>
            <w:tcW w:w="1147" w:type="dxa"/>
          </w:tcPr>
          <w:p w14:paraId="736185DF" w14:textId="77777777" w:rsidR="002641D2" w:rsidRPr="00FA3F9C" w:rsidRDefault="002641D2" w:rsidP="005C1302">
            <w:pPr>
              <w:rPr>
                <w:rFonts w:ascii="Arial" w:hAnsi="Arial" w:cs="Arial"/>
                <w:sz w:val="24"/>
                <w:szCs w:val="24"/>
              </w:rPr>
            </w:pPr>
            <w:r w:rsidRPr="00FA3F9C">
              <w:rPr>
                <w:rFonts w:ascii="Arial" w:hAnsi="Arial" w:cs="Arial"/>
                <w:sz w:val="24"/>
                <w:szCs w:val="24"/>
              </w:rPr>
              <w:t>$94.91</w:t>
            </w:r>
          </w:p>
        </w:tc>
        <w:tc>
          <w:tcPr>
            <w:tcW w:w="2169" w:type="dxa"/>
            <w:vMerge/>
          </w:tcPr>
          <w:p w14:paraId="7F59BFF5" w14:textId="77777777" w:rsidR="002641D2" w:rsidRPr="00FA3F9C" w:rsidRDefault="002641D2" w:rsidP="005C1302">
            <w:pPr>
              <w:rPr>
                <w:rFonts w:ascii="Arial" w:hAnsi="Arial" w:cs="Arial"/>
                <w:sz w:val="24"/>
                <w:szCs w:val="24"/>
              </w:rPr>
            </w:pPr>
          </w:p>
        </w:tc>
        <w:tc>
          <w:tcPr>
            <w:tcW w:w="2170" w:type="dxa"/>
            <w:vMerge/>
          </w:tcPr>
          <w:p w14:paraId="31261543" w14:textId="77777777" w:rsidR="002641D2" w:rsidRPr="00FA3F9C" w:rsidRDefault="002641D2" w:rsidP="005C1302">
            <w:pPr>
              <w:rPr>
                <w:rFonts w:ascii="Arial" w:hAnsi="Arial" w:cs="Arial"/>
                <w:sz w:val="24"/>
                <w:szCs w:val="24"/>
              </w:rPr>
            </w:pPr>
          </w:p>
        </w:tc>
        <w:tc>
          <w:tcPr>
            <w:tcW w:w="2170" w:type="dxa"/>
            <w:vMerge/>
          </w:tcPr>
          <w:p w14:paraId="1D0A7D8A" w14:textId="77777777" w:rsidR="002641D2" w:rsidRPr="00FA3F9C" w:rsidRDefault="002641D2" w:rsidP="005C1302">
            <w:pPr>
              <w:rPr>
                <w:rFonts w:ascii="Arial" w:hAnsi="Arial" w:cs="Arial"/>
                <w:sz w:val="24"/>
                <w:szCs w:val="24"/>
              </w:rPr>
            </w:pPr>
          </w:p>
        </w:tc>
      </w:tr>
      <w:tr w:rsidR="002641D2" w:rsidRPr="00FA3F9C" w14:paraId="19391E14" w14:textId="77777777" w:rsidTr="005C1302">
        <w:trPr>
          <w:trHeight w:val="275"/>
        </w:trPr>
        <w:tc>
          <w:tcPr>
            <w:tcW w:w="2312" w:type="dxa"/>
            <w:vMerge/>
          </w:tcPr>
          <w:p w14:paraId="3AADE325" w14:textId="77777777" w:rsidR="002641D2" w:rsidRPr="00FA3F9C" w:rsidRDefault="002641D2" w:rsidP="005C1302">
            <w:pPr>
              <w:rPr>
                <w:rFonts w:ascii="Arial" w:hAnsi="Arial" w:cs="Arial"/>
                <w:sz w:val="24"/>
                <w:szCs w:val="24"/>
              </w:rPr>
            </w:pPr>
          </w:p>
        </w:tc>
        <w:tc>
          <w:tcPr>
            <w:tcW w:w="1731" w:type="dxa"/>
          </w:tcPr>
          <w:p w14:paraId="3BEFD0D1" w14:textId="77777777" w:rsidR="002641D2" w:rsidRPr="00FA3F9C" w:rsidRDefault="002641D2" w:rsidP="005C1302">
            <w:pPr>
              <w:rPr>
                <w:rFonts w:ascii="Arial" w:hAnsi="Arial" w:cs="Arial"/>
                <w:sz w:val="24"/>
                <w:szCs w:val="24"/>
              </w:rPr>
            </w:pPr>
            <w:r w:rsidRPr="00FA3F9C">
              <w:rPr>
                <w:rFonts w:ascii="Arial" w:hAnsi="Arial" w:cs="Arial"/>
                <w:sz w:val="24"/>
                <w:szCs w:val="24"/>
              </w:rPr>
              <w:t>75</w:t>
            </w:r>
          </w:p>
        </w:tc>
        <w:tc>
          <w:tcPr>
            <w:tcW w:w="1622" w:type="dxa"/>
          </w:tcPr>
          <w:p w14:paraId="7A2ABB9D" w14:textId="77777777" w:rsidR="002641D2" w:rsidRPr="00FA3F9C" w:rsidRDefault="002641D2" w:rsidP="005C1302">
            <w:pPr>
              <w:rPr>
                <w:rFonts w:ascii="Arial" w:hAnsi="Arial" w:cs="Arial"/>
                <w:sz w:val="24"/>
                <w:szCs w:val="24"/>
              </w:rPr>
            </w:pPr>
            <w:r w:rsidRPr="00FA3F9C">
              <w:rPr>
                <w:rFonts w:ascii="Arial" w:hAnsi="Arial" w:cs="Arial"/>
                <w:sz w:val="24"/>
                <w:szCs w:val="24"/>
              </w:rPr>
              <w:t>75</w:t>
            </w:r>
          </w:p>
        </w:tc>
        <w:tc>
          <w:tcPr>
            <w:tcW w:w="1069" w:type="dxa"/>
          </w:tcPr>
          <w:p w14:paraId="546C6022" w14:textId="77777777" w:rsidR="002641D2" w:rsidRPr="00FA3F9C" w:rsidRDefault="002641D2" w:rsidP="005C1302">
            <w:pPr>
              <w:rPr>
                <w:rFonts w:ascii="Arial" w:hAnsi="Arial" w:cs="Arial"/>
                <w:sz w:val="24"/>
                <w:szCs w:val="24"/>
              </w:rPr>
            </w:pPr>
            <w:r w:rsidRPr="00FA3F9C">
              <w:rPr>
                <w:rFonts w:ascii="Arial" w:hAnsi="Arial" w:cs="Arial"/>
                <w:sz w:val="24"/>
                <w:szCs w:val="24"/>
              </w:rPr>
              <w:t>$153.68</w:t>
            </w:r>
          </w:p>
        </w:tc>
        <w:tc>
          <w:tcPr>
            <w:tcW w:w="1147" w:type="dxa"/>
          </w:tcPr>
          <w:p w14:paraId="5CB0D9FB" w14:textId="77777777" w:rsidR="002641D2" w:rsidRPr="00FA3F9C" w:rsidRDefault="002641D2" w:rsidP="005C1302">
            <w:pPr>
              <w:rPr>
                <w:rFonts w:ascii="Arial" w:hAnsi="Arial" w:cs="Arial"/>
                <w:sz w:val="24"/>
                <w:szCs w:val="24"/>
              </w:rPr>
            </w:pPr>
            <w:r w:rsidRPr="00FA3F9C">
              <w:rPr>
                <w:rFonts w:ascii="Arial" w:hAnsi="Arial" w:cs="Arial"/>
                <w:sz w:val="24"/>
                <w:szCs w:val="24"/>
              </w:rPr>
              <w:t>$40.21</w:t>
            </w:r>
          </w:p>
        </w:tc>
        <w:tc>
          <w:tcPr>
            <w:tcW w:w="2169" w:type="dxa"/>
            <w:vMerge/>
          </w:tcPr>
          <w:p w14:paraId="07A76607" w14:textId="77777777" w:rsidR="002641D2" w:rsidRPr="00FA3F9C" w:rsidRDefault="002641D2" w:rsidP="005C1302">
            <w:pPr>
              <w:rPr>
                <w:rFonts w:ascii="Arial" w:hAnsi="Arial" w:cs="Arial"/>
                <w:sz w:val="24"/>
                <w:szCs w:val="24"/>
              </w:rPr>
            </w:pPr>
          </w:p>
        </w:tc>
        <w:tc>
          <w:tcPr>
            <w:tcW w:w="2170" w:type="dxa"/>
            <w:vMerge/>
          </w:tcPr>
          <w:p w14:paraId="3C01C6FA" w14:textId="77777777" w:rsidR="002641D2" w:rsidRPr="00FA3F9C" w:rsidRDefault="002641D2" w:rsidP="005C1302">
            <w:pPr>
              <w:rPr>
                <w:rFonts w:ascii="Arial" w:hAnsi="Arial" w:cs="Arial"/>
                <w:sz w:val="24"/>
                <w:szCs w:val="24"/>
              </w:rPr>
            </w:pPr>
          </w:p>
        </w:tc>
        <w:tc>
          <w:tcPr>
            <w:tcW w:w="2170" w:type="dxa"/>
            <w:vMerge/>
          </w:tcPr>
          <w:p w14:paraId="2B3B33A5" w14:textId="77777777" w:rsidR="002641D2" w:rsidRPr="00FA3F9C" w:rsidRDefault="002641D2" w:rsidP="005C1302">
            <w:pPr>
              <w:rPr>
                <w:rFonts w:ascii="Arial" w:hAnsi="Arial" w:cs="Arial"/>
                <w:sz w:val="24"/>
                <w:szCs w:val="24"/>
              </w:rPr>
            </w:pPr>
          </w:p>
        </w:tc>
      </w:tr>
      <w:tr w:rsidR="002641D2" w:rsidRPr="00FA3F9C" w14:paraId="5BEA047D" w14:textId="77777777" w:rsidTr="005C1302">
        <w:trPr>
          <w:trHeight w:val="275"/>
        </w:trPr>
        <w:tc>
          <w:tcPr>
            <w:tcW w:w="2312" w:type="dxa"/>
            <w:vMerge/>
          </w:tcPr>
          <w:p w14:paraId="3F43B6A3" w14:textId="77777777" w:rsidR="002641D2" w:rsidRPr="00FA3F9C" w:rsidRDefault="002641D2" w:rsidP="005C1302">
            <w:pPr>
              <w:rPr>
                <w:rFonts w:ascii="Arial" w:hAnsi="Arial" w:cs="Arial"/>
                <w:sz w:val="24"/>
                <w:szCs w:val="24"/>
              </w:rPr>
            </w:pPr>
          </w:p>
        </w:tc>
        <w:tc>
          <w:tcPr>
            <w:tcW w:w="1731" w:type="dxa"/>
          </w:tcPr>
          <w:p w14:paraId="23C26F19" w14:textId="77777777" w:rsidR="002641D2" w:rsidRPr="00FA3F9C" w:rsidRDefault="002641D2" w:rsidP="005C1302">
            <w:pPr>
              <w:rPr>
                <w:rFonts w:ascii="Arial" w:hAnsi="Arial" w:cs="Arial"/>
                <w:sz w:val="24"/>
                <w:szCs w:val="24"/>
              </w:rPr>
            </w:pPr>
          </w:p>
        </w:tc>
        <w:tc>
          <w:tcPr>
            <w:tcW w:w="1622" w:type="dxa"/>
          </w:tcPr>
          <w:p w14:paraId="752CCA6D" w14:textId="77777777" w:rsidR="002641D2" w:rsidRPr="00FA3F9C" w:rsidRDefault="002641D2" w:rsidP="005C1302">
            <w:pPr>
              <w:rPr>
                <w:rFonts w:ascii="Arial" w:hAnsi="Arial" w:cs="Arial"/>
                <w:sz w:val="24"/>
                <w:szCs w:val="24"/>
              </w:rPr>
            </w:pPr>
            <w:r w:rsidRPr="00FA3F9C">
              <w:rPr>
                <w:rFonts w:ascii="Arial" w:hAnsi="Arial" w:cs="Arial"/>
                <w:sz w:val="24"/>
                <w:szCs w:val="24"/>
              </w:rPr>
              <w:t>87.5</w:t>
            </w:r>
          </w:p>
        </w:tc>
        <w:tc>
          <w:tcPr>
            <w:tcW w:w="1069" w:type="dxa"/>
          </w:tcPr>
          <w:p w14:paraId="525EA837" w14:textId="77777777" w:rsidR="002641D2" w:rsidRPr="00FA3F9C" w:rsidRDefault="002641D2" w:rsidP="005C1302">
            <w:pPr>
              <w:rPr>
                <w:rFonts w:ascii="Arial" w:hAnsi="Arial" w:cs="Arial"/>
                <w:sz w:val="24"/>
                <w:szCs w:val="24"/>
              </w:rPr>
            </w:pPr>
          </w:p>
        </w:tc>
        <w:tc>
          <w:tcPr>
            <w:tcW w:w="1147" w:type="dxa"/>
          </w:tcPr>
          <w:p w14:paraId="1468201F" w14:textId="77777777" w:rsidR="002641D2" w:rsidRPr="00FA3F9C" w:rsidRDefault="002641D2" w:rsidP="005C1302">
            <w:pPr>
              <w:rPr>
                <w:rFonts w:ascii="Arial" w:hAnsi="Arial" w:cs="Arial"/>
                <w:sz w:val="24"/>
                <w:szCs w:val="24"/>
              </w:rPr>
            </w:pPr>
            <w:r w:rsidRPr="00FA3F9C">
              <w:rPr>
                <w:rFonts w:ascii="Arial" w:hAnsi="Arial" w:cs="Arial"/>
                <w:sz w:val="24"/>
                <w:szCs w:val="24"/>
              </w:rPr>
              <w:t>$129.22</w:t>
            </w:r>
          </w:p>
        </w:tc>
        <w:tc>
          <w:tcPr>
            <w:tcW w:w="2169" w:type="dxa"/>
            <w:vMerge/>
          </w:tcPr>
          <w:p w14:paraId="79A50C71" w14:textId="77777777" w:rsidR="002641D2" w:rsidRPr="00FA3F9C" w:rsidRDefault="002641D2" w:rsidP="005C1302">
            <w:pPr>
              <w:rPr>
                <w:rFonts w:ascii="Arial" w:hAnsi="Arial" w:cs="Arial"/>
                <w:sz w:val="24"/>
                <w:szCs w:val="24"/>
              </w:rPr>
            </w:pPr>
          </w:p>
        </w:tc>
        <w:tc>
          <w:tcPr>
            <w:tcW w:w="2170" w:type="dxa"/>
            <w:vMerge/>
          </w:tcPr>
          <w:p w14:paraId="4BDB3A52" w14:textId="77777777" w:rsidR="002641D2" w:rsidRPr="00FA3F9C" w:rsidRDefault="002641D2" w:rsidP="005C1302">
            <w:pPr>
              <w:rPr>
                <w:rFonts w:ascii="Arial" w:hAnsi="Arial" w:cs="Arial"/>
                <w:sz w:val="24"/>
                <w:szCs w:val="24"/>
              </w:rPr>
            </w:pPr>
          </w:p>
        </w:tc>
        <w:tc>
          <w:tcPr>
            <w:tcW w:w="2170" w:type="dxa"/>
            <w:vMerge/>
          </w:tcPr>
          <w:p w14:paraId="34592B97" w14:textId="77777777" w:rsidR="002641D2" w:rsidRPr="00FA3F9C" w:rsidRDefault="002641D2" w:rsidP="005C1302">
            <w:pPr>
              <w:rPr>
                <w:rFonts w:ascii="Arial" w:hAnsi="Arial" w:cs="Arial"/>
                <w:sz w:val="24"/>
                <w:szCs w:val="24"/>
              </w:rPr>
            </w:pPr>
          </w:p>
        </w:tc>
      </w:tr>
      <w:tr w:rsidR="002641D2" w:rsidRPr="00FA3F9C" w14:paraId="496939B4" w14:textId="77777777" w:rsidTr="005C1302">
        <w:trPr>
          <w:trHeight w:val="275"/>
        </w:trPr>
        <w:tc>
          <w:tcPr>
            <w:tcW w:w="2312" w:type="dxa"/>
            <w:vMerge/>
          </w:tcPr>
          <w:p w14:paraId="3BBB17F0" w14:textId="77777777" w:rsidR="002641D2" w:rsidRPr="00FA3F9C" w:rsidRDefault="002641D2" w:rsidP="005C1302">
            <w:pPr>
              <w:rPr>
                <w:rFonts w:ascii="Arial" w:hAnsi="Arial" w:cs="Arial"/>
                <w:sz w:val="24"/>
                <w:szCs w:val="24"/>
              </w:rPr>
            </w:pPr>
          </w:p>
        </w:tc>
        <w:tc>
          <w:tcPr>
            <w:tcW w:w="1731" w:type="dxa"/>
          </w:tcPr>
          <w:p w14:paraId="13921494" w14:textId="77777777" w:rsidR="002641D2" w:rsidRPr="00FA3F9C" w:rsidRDefault="002641D2" w:rsidP="005C1302">
            <w:pPr>
              <w:rPr>
                <w:rFonts w:ascii="Arial" w:hAnsi="Arial" w:cs="Arial"/>
                <w:sz w:val="24"/>
                <w:szCs w:val="24"/>
              </w:rPr>
            </w:pPr>
            <w:r w:rsidRPr="00FA3F9C">
              <w:rPr>
                <w:rFonts w:ascii="Arial" w:hAnsi="Arial" w:cs="Arial"/>
                <w:sz w:val="24"/>
                <w:szCs w:val="24"/>
              </w:rPr>
              <w:t>100</w:t>
            </w:r>
          </w:p>
        </w:tc>
        <w:tc>
          <w:tcPr>
            <w:tcW w:w="1622" w:type="dxa"/>
          </w:tcPr>
          <w:p w14:paraId="662C22B1" w14:textId="77777777" w:rsidR="002641D2" w:rsidRPr="00FA3F9C" w:rsidRDefault="002641D2" w:rsidP="005C1302">
            <w:pPr>
              <w:rPr>
                <w:rFonts w:ascii="Arial" w:hAnsi="Arial" w:cs="Arial"/>
                <w:sz w:val="24"/>
                <w:szCs w:val="24"/>
              </w:rPr>
            </w:pPr>
            <w:r w:rsidRPr="00FA3F9C">
              <w:rPr>
                <w:rFonts w:ascii="Arial" w:hAnsi="Arial" w:cs="Arial"/>
                <w:sz w:val="24"/>
                <w:szCs w:val="24"/>
              </w:rPr>
              <w:t>100</w:t>
            </w:r>
          </w:p>
        </w:tc>
        <w:tc>
          <w:tcPr>
            <w:tcW w:w="1069" w:type="dxa"/>
          </w:tcPr>
          <w:p w14:paraId="463BD198" w14:textId="77777777" w:rsidR="002641D2" w:rsidRPr="00FA3F9C" w:rsidRDefault="002641D2" w:rsidP="005C1302">
            <w:pPr>
              <w:rPr>
                <w:rFonts w:ascii="Arial" w:hAnsi="Arial" w:cs="Arial"/>
                <w:sz w:val="24"/>
                <w:szCs w:val="24"/>
              </w:rPr>
            </w:pPr>
            <w:r w:rsidRPr="00FA3F9C">
              <w:rPr>
                <w:rFonts w:ascii="Arial" w:hAnsi="Arial" w:cs="Arial"/>
                <w:sz w:val="24"/>
                <w:szCs w:val="24"/>
              </w:rPr>
              <w:t>$203.97</w:t>
            </w:r>
          </w:p>
        </w:tc>
        <w:tc>
          <w:tcPr>
            <w:tcW w:w="1147" w:type="dxa"/>
          </w:tcPr>
          <w:p w14:paraId="7FE48044" w14:textId="77777777" w:rsidR="002641D2" w:rsidRPr="00FA3F9C" w:rsidRDefault="002641D2" w:rsidP="005C1302">
            <w:pPr>
              <w:rPr>
                <w:rFonts w:ascii="Arial" w:hAnsi="Arial" w:cs="Arial"/>
                <w:sz w:val="24"/>
                <w:szCs w:val="24"/>
              </w:rPr>
            </w:pPr>
            <w:r w:rsidRPr="00FA3F9C">
              <w:rPr>
                <w:rFonts w:ascii="Arial" w:hAnsi="Arial" w:cs="Arial"/>
                <w:sz w:val="24"/>
                <w:szCs w:val="24"/>
              </w:rPr>
              <w:t>$53.36</w:t>
            </w:r>
          </w:p>
        </w:tc>
        <w:tc>
          <w:tcPr>
            <w:tcW w:w="2169" w:type="dxa"/>
            <w:vMerge/>
          </w:tcPr>
          <w:p w14:paraId="7C19BEEA" w14:textId="77777777" w:rsidR="002641D2" w:rsidRPr="00FA3F9C" w:rsidRDefault="002641D2" w:rsidP="005C1302">
            <w:pPr>
              <w:rPr>
                <w:rFonts w:ascii="Arial" w:hAnsi="Arial" w:cs="Arial"/>
                <w:sz w:val="24"/>
                <w:szCs w:val="24"/>
              </w:rPr>
            </w:pPr>
          </w:p>
        </w:tc>
        <w:tc>
          <w:tcPr>
            <w:tcW w:w="2170" w:type="dxa"/>
            <w:vMerge/>
          </w:tcPr>
          <w:p w14:paraId="02BE0DEC" w14:textId="77777777" w:rsidR="002641D2" w:rsidRPr="00FA3F9C" w:rsidRDefault="002641D2" w:rsidP="005C1302">
            <w:pPr>
              <w:rPr>
                <w:rFonts w:ascii="Arial" w:hAnsi="Arial" w:cs="Arial"/>
                <w:sz w:val="24"/>
                <w:szCs w:val="24"/>
              </w:rPr>
            </w:pPr>
          </w:p>
        </w:tc>
        <w:tc>
          <w:tcPr>
            <w:tcW w:w="2170" w:type="dxa"/>
            <w:vMerge/>
          </w:tcPr>
          <w:p w14:paraId="5028D466" w14:textId="77777777" w:rsidR="002641D2" w:rsidRPr="00FA3F9C" w:rsidRDefault="002641D2" w:rsidP="005C1302">
            <w:pPr>
              <w:rPr>
                <w:rFonts w:ascii="Arial" w:hAnsi="Arial" w:cs="Arial"/>
                <w:sz w:val="24"/>
                <w:szCs w:val="24"/>
              </w:rPr>
            </w:pPr>
          </w:p>
        </w:tc>
      </w:tr>
      <w:tr w:rsidR="002641D2" w:rsidRPr="00FA3F9C" w14:paraId="2452044F" w14:textId="77777777" w:rsidTr="005C1302">
        <w:tc>
          <w:tcPr>
            <w:tcW w:w="2312" w:type="dxa"/>
          </w:tcPr>
          <w:p w14:paraId="64D78767" w14:textId="77777777" w:rsidR="002641D2" w:rsidRPr="00FA3F9C" w:rsidRDefault="002641D2" w:rsidP="005C1302">
            <w:pPr>
              <w:rPr>
                <w:rFonts w:ascii="Arial" w:hAnsi="Arial" w:cs="Arial"/>
                <w:sz w:val="24"/>
                <w:szCs w:val="24"/>
              </w:rPr>
            </w:pPr>
            <w:r w:rsidRPr="00FA3F9C">
              <w:rPr>
                <w:rFonts w:ascii="Arial" w:hAnsi="Arial" w:cs="Arial"/>
                <w:sz w:val="24"/>
                <w:szCs w:val="24"/>
              </w:rPr>
              <w:t>Powder for compounding</w:t>
            </w:r>
          </w:p>
        </w:tc>
        <w:tc>
          <w:tcPr>
            <w:tcW w:w="3353" w:type="dxa"/>
            <w:gridSpan w:val="2"/>
          </w:tcPr>
          <w:p w14:paraId="3B727287" w14:textId="77777777" w:rsidR="002641D2" w:rsidRPr="00FA3F9C" w:rsidRDefault="002641D2" w:rsidP="005C1302">
            <w:pPr>
              <w:rPr>
                <w:rFonts w:ascii="Arial" w:hAnsi="Arial" w:cs="Arial"/>
                <w:sz w:val="24"/>
                <w:szCs w:val="24"/>
              </w:rPr>
            </w:pPr>
            <w:r w:rsidRPr="00FA3F9C">
              <w:rPr>
                <w:rFonts w:ascii="Arial" w:hAnsi="Arial" w:cs="Arial"/>
                <w:sz w:val="24"/>
                <w:szCs w:val="24"/>
              </w:rPr>
              <w:t>100% (1g)</w:t>
            </w:r>
          </w:p>
        </w:tc>
        <w:tc>
          <w:tcPr>
            <w:tcW w:w="2216" w:type="dxa"/>
            <w:gridSpan w:val="2"/>
          </w:tcPr>
          <w:p w14:paraId="30A08567" w14:textId="77777777" w:rsidR="002641D2" w:rsidRPr="00FA3F9C" w:rsidRDefault="002641D2" w:rsidP="005C1302">
            <w:pPr>
              <w:rPr>
                <w:rFonts w:ascii="Arial" w:hAnsi="Arial" w:cs="Arial"/>
                <w:sz w:val="24"/>
                <w:szCs w:val="24"/>
              </w:rPr>
            </w:pPr>
          </w:p>
        </w:tc>
        <w:tc>
          <w:tcPr>
            <w:tcW w:w="2169" w:type="dxa"/>
          </w:tcPr>
          <w:p w14:paraId="192A8A86" w14:textId="77777777" w:rsidR="002641D2" w:rsidRPr="00FA3F9C" w:rsidRDefault="002641D2" w:rsidP="005C1302">
            <w:pPr>
              <w:rPr>
                <w:rFonts w:ascii="Arial" w:hAnsi="Arial" w:cs="Arial"/>
                <w:sz w:val="24"/>
                <w:szCs w:val="24"/>
              </w:rPr>
            </w:pPr>
          </w:p>
        </w:tc>
        <w:tc>
          <w:tcPr>
            <w:tcW w:w="2170" w:type="dxa"/>
          </w:tcPr>
          <w:p w14:paraId="101102CF" w14:textId="77777777" w:rsidR="002641D2" w:rsidRPr="00FA3F9C" w:rsidRDefault="002641D2" w:rsidP="005C1302">
            <w:pPr>
              <w:rPr>
                <w:rFonts w:ascii="Arial" w:hAnsi="Arial" w:cs="Arial"/>
                <w:sz w:val="24"/>
                <w:szCs w:val="24"/>
              </w:rPr>
            </w:pPr>
          </w:p>
        </w:tc>
        <w:tc>
          <w:tcPr>
            <w:tcW w:w="2170" w:type="dxa"/>
          </w:tcPr>
          <w:p w14:paraId="77A587A7" w14:textId="77777777" w:rsidR="002641D2" w:rsidRPr="00FA3F9C" w:rsidRDefault="002641D2" w:rsidP="005C1302">
            <w:pPr>
              <w:rPr>
                <w:rFonts w:ascii="Arial" w:hAnsi="Arial" w:cs="Arial"/>
                <w:sz w:val="24"/>
                <w:szCs w:val="24"/>
              </w:rPr>
            </w:pPr>
          </w:p>
        </w:tc>
      </w:tr>
      <w:tr w:rsidR="002641D2" w:rsidRPr="00FA3F9C" w14:paraId="400561AA" w14:textId="77777777" w:rsidTr="005C1302">
        <w:tc>
          <w:tcPr>
            <w:tcW w:w="2312" w:type="dxa"/>
          </w:tcPr>
          <w:p w14:paraId="797C213D" w14:textId="77777777" w:rsidR="002641D2" w:rsidRPr="00FA3F9C" w:rsidRDefault="002641D2" w:rsidP="005C1302">
            <w:pPr>
              <w:rPr>
                <w:rFonts w:ascii="Arial" w:hAnsi="Arial" w:cs="Arial"/>
                <w:sz w:val="24"/>
                <w:szCs w:val="24"/>
              </w:rPr>
            </w:pPr>
            <w:r w:rsidRPr="00FA3F9C">
              <w:rPr>
                <w:rFonts w:ascii="Arial" w:hAnsi="Arial" w:cs="Arial"/>
                <w:sz w:val="24"/>
                <w:szCs w:val="24"/>
              </w:rPr>
              <w:t>Solution cartridge</w:t>
            </w:r>
          </w:p>
        </w:tc>
        <w:tc>
          <w:tcPr>
            <w:tcW w:w="3353" w:type="dxa"/>
            <w:gridSpan w:val="2"/>
          </w:tcPr>
          <w:p w14:paraId="2A14197F" w14:textId="77777777" w:rsidR="002641D2" w:rsidRPr="00FA3F9C" w:rsidRDefault="002641D2" w:rsidP="005C1302">
            <w:pPr>
              <w:rPr>
                <w:rFonts w:ascii="Arial" w:hAnsi="Arial" w:cs="Arial"/>
                <w:sz w:val="24"/>
                <w:szCs w:val="24"/>
              </w:rPr>
            </w:pPr>
          </w:p>
        </w:tc>
        <w:tc>
          <w:tcPr>
            <w:tcW w:w="2216" w:type="dxa"/>
            <w:gridSpan w:val="2"/>
          </w:tcPr>
          <w:p w14:paraId="6022EC2F" w14:textId="77777777" w:rsidR="002641D2" w:rsidRPr="00FA3F9C" w:rsidRDefault="002641D2" w:rsidP="005C1302">
            <w:pPr>
              <w:rPr>
                <w:rFonts w:ascii="Arial" w:hAnsi="Arial" w:cs="Arial"/>
                <w:sz w:val="24"/>
                <w:szCs w:val="24"/>
              </w:rPr>
            </w:pPr>
            <w:r w:rsidRPr="00FA3F9C">
              <w:rPr>
                <w:rFonts w:ascii="Arial" w:hAnsi="Arial" w:cs="Arial"/>
                <w:sz w:val="24"/>
                <w:szCs w:val="24"/>
              </w:rPr>
              <w:t>Hospital-administered</w:t>
            </w:r>
          </w:p>
        </w:tc>
        <w:tc>
          <w:tcPr>
            <w:tcW w:w="2169" w:type="dxa"/>
          </w:tcPr>
          <w:p w14:paraId="36CBB91E" w14:textId="77777777" w:rsidR="002641D2" w:rsidRPr="00FA3F9C" w:rsidRDefault="002641D2" w:rsidP="005C1302">
            <w:pPr>
              <w:rPr>
                <w:rFonts w:ascii="Arial" w:hAnsi="Arial" w:cs="Arial"/>
                <w:sz w:val="24"/>
                <w:szCs w:val="24"/>
              </w:rPr>
            </w:pPr>
          </w:p>
        </w:tc>
        <w:tc>
          <w:tcPr>
            <w:tcW w:w="2170" w:type="dxa"/>
          </w:tcPr>
          <w:p w14:paraId="408978E8" w14:textId="77777777" w:rsidR="002641D2" w:rsidRPr="00FA3F9C" w:rsidRDefault="002641D2" w:rsidP="005C1302">
            <w:pPr>
              <w:rPr>
                <w:rFonts w:ascii="Arial" w:hAnsi="Arial" w:cs="Arial"/>
                <w:sz w:val="24"/>
                <w:szCs w:val="24"/>
              </w:rPr>
            </w:pPr>
          </w:p>
        </w:tc>
        <w:tc>
          <w:tcPr>
            <w:tcW w:w="2170" w:type="dxa"/>
          </w:tcPr>
          <w:p w14:paraId="74F04148" w14:textId="77777777" w:rsidR="002641D2" w:rsidRPr="00FA3F9C" w:rsidRDefault="002641D2" w:rsidP="005C1302">
            <w:pPr>
              <w:rPr>
                <w:rFonts w:ascii="Arial" w:hAnsi="Arial" w:cs="Arial"/>
                <w:sz w:val="24"/>
                <w:szCs w:val="24"/>
              </w:rPr>
            </w:pPr>
          </w:p>
        </w:tc>
      </w:tr>
      <w:tr w:rsidR="002641D2" w:rsidRPr="00FA3F9C" w14:paraId="61B475F3" w14:textId="77777777" w:rsidTr="005C1302">
        <w:trPr>
          <w:trHeight w:val="215"/>
        </w:trPr>
        <w:tc>
          <w:tcPr>
            <w:tcW w:w="2312" w:type="dxa"/>
            <w:vMerge w:val="restart"/>
          </w:tcPr>
          <w:p w14:paraId="29809000" w14:textId="77777777" w:rsidR="002641D2" w:rsidRPr="00FA3F9C" w:rsidRDefault="002641D2" w:rsidP="005C1302">
            <w:pPr>
              <w:rPr>
                <w:rFonts w:ascii="Arial" w:hAnsi="Arial" w:cs="Arial"/>
                <w:sz w:val="24"/>
                <w:szCs w:val="24"/>
              </w:rPr>
            </w:pPr>
            <w:r w:rsidRPr="00FA3F9C">
              <w:rPr>
                <w:rFonts w:ascii="Arial" w:hAnsi="Arial" w:cs="Arial"/>
                <w:sz w:val="24"/>
                <w:szCs w:val="24"/>
              </w:rPr>
              <w:t>Solution, intranasal</w:t>
            </w:r>
          </w:p>
        </w:tc>
        <w:tc>
          <w:tcPr>
            <w:tcW w:w="3353" w:type="dxa"/>
            <w:gridSpan w:val="2"/>
          </w:tcPr>
          <w:p w14:paraId="4421104A" w14:textId="77777777" w:rsidR="002641D2" w:rsidRPr="00FA3F9C" w:rsidRDefault="002641D2" w:rsidP="005C1302">
            <w:pPr>
              <w:rPr>
                <w:rFonts w:ascii="Arial" w:hAnsi="Arial" w:cs="Arial"/>
                <w:sz w:val="24"/>
                <w:szCs w:val="24"/>
              </w:rPr>
            </w:pPr>
            <w:proofErr w:type="spellStart"/>
            <w:r w:rsidRPr="00FA3F9C">
              <w:rPr>
                <w:rFonts w:ascii="Arial" w:hAnsi="Arial" w:cs="Arial"/>
                <w:sz w:val="24"/>
                <w:szCs w:val="24"/>
              </w:rPr>
              <w:t>Lazanda</w:t>
            </w:r>
            <w:proofErr w:type="spellEnd"/>
            <w:r w:rsidRPr="00FA3F9C">
              <w:rPr>
                <w:rFonts w:ascii="Arial" w:hAnsi="Arial" w:cs="Arial"/>
                <w:sz w:val="24"/>
                <w:szCs w:val="24"/>
              </w:rPr>
              <w:t>, mcg/spray; delivers 8 sprays</w:t>
            </w:r>
          </w:p>
        </w:tc>
        <w:tc>
          <w:tcPr>
            <w:tcW w:w="2216" w:type="dxa"/>
            <w:gridSpan w:val="2"/>
          </w:tcPr>
          <w:p w14:paraId="437ABAE1" w14:textId="77777777" w:rsidR="002641D2" w:rsidRPr="00FA3F9C" w:rsidRDefault="002641D2" w:rsidP="005C1302">
            <w:pPr>
              <w:rPr>
                <w:rFonts w:ascii="Arial" w:hAnsi="Arial" w:cs="Arial"/>
                <w:sz w:val="24"/>
                <w:szCs w:val="24"/>
              </w:rPr>
            </w:pPr>
          </w:p>
        </w:tc>
        <w:tc>
          <w:tcPr>
            <w:tcW w:w="2169" w:type="dxa"/>
            <w:vMerge w:val="restart"/>
          </w:tcPr>
          <w:p w14:paraId="566014F7" w14:textId="77777777" w:rsidR="002641D2" w:rsidRPr="00FA3F9C" w:rsidRDefault="002641D2" w:rsidP="005C1302">
            <w:pPr>
              <w:rPr>
                <w:rFonts w:ascii="Arial" w:hAnsi="Arial" w:cs="Arial"/>
                <w:sz w:val="24"/>
                <w:szCs w:val="24"/>
              </w:rPr>
            </w:pPr>
          </w:p>
        </w:tc>
        <w:tc>
          <w:tcPr>
            <w:tcW w:w="2170" w:type="dxa"/>
            <w:vMerge w:val="restart"/>
          </w:tcPr>
          <w:p w14:paraId="3F112FA8" w14:textId="77777777" w:rsidR="002641D2" w:rsidRPr="00FA3F9C" w:rsidRDefault="002641D2" w:rsidP="005C1302">
            <w:pPr>
              <w:rPr>
                <w:rFonts w:ascii="Arial" w:hAnsi="Arial" w:cs="Arial"/>
                <w:sz w:val="24"/>
                <w:szCs w:val="24"/>
              </w:rPr>
            </w:pPr>
          </w:p>
        </w:tc>
        <w:tc>
          <w:tcPr>
            <w:tcW w:w="2170" w:type="dxa"/>
            <w:vMerge w:val="restart"/>
          </w:tcPr>
          <w:p w14:paraId="115E1767" w14:textId="77777777" w:rsidR="002641D2" w:rsidRPr="00FA3F9C" w:rsidRDefault="002641D2" w:rsidP="005C1302">
            <w:pPr>
              <w:rPr>
                <w:rFonts w:ascii="Arial" w:hAnsi="Arial" w:cs="Arial"/>
                <w:sz w:val="24"/>
                <w:szCs w:val="24"/>
              </w:rPr>
            </w:pPr>
          </w:p>
        </w:tc>
      </w:tr>
      <w:tr w:rsidR="002641D2" w:rsidRPr="00FA3F9C" w14:paraId="1B9A9258" w14:textId="77777777" w:rsidTr="005C1302">
        <w:trPr>
          <w:trHeight w:val="153"/>
        </w:trPr>
        <w:tc>
          <w:tcPr>
            <w:tcW w:w="2312" w:type="dxa"/>
            <w:vMerge/>
          </w:tcPr>
          <w:p w14:paraId="631DD992" w14:textId="77777777" w:rsidR="002641D2" w:rsidRPr="00FA3F9C" w:rsidRDefault="002641D2" w:rsidP="005C1302">
            <w:pPr>
              <w:rPr>
                <w:rFonts w:ascii="Arial" w:hAnsi="Arial" w:cs="Arial"/>
                <w:sz w:val="24"/>
                <w:szCs w:val="24"/>
              </w:rPr>
            </w:pPr>
          </w:p>
        </w:tc>
        <w:tc>
          <w:tcPr>
            <w:tcW w:w="3353" w:type="dxa"/>
            <w:gridSpan w:val="2"/>
          </w:tcPr>
          <w:p w14:paraId="0B309E45" w14:textId="77777777" w:rsidR="002641D2" w:rsidRPr="00FA3F9C" w:rsidRDefault="002641D2" w:rsidP="005C1302">
            <w:pPr>
              <w:rPr>
                <w:rFonts w:ascii="Arial" w:hAnsi="Arial" w:cs="Arial"/>
                <w:sz w:val="24"/>
                <w:szCs w:val="24"/>
              </w:rPr>
            </w:pPr>
            <w:r w:rsidRPr="00FA3F9C">
              <w:rPr>
                <w:rFonts w:ascii="Arial" w:hAnsi="Arial" w:cs="Arial"/>
                <w:sz w:val="24"/>
                <w:szCs w:val="24"/>
              </w:rPr>
              <w:t>100</w:t>
            </w:r>
          </w:p>
        </w:tc>
        <w:tc>
          <w:tcPr>
            <w:tcW w:w="2216" w:type="dxa"/>
            <w:gridSpan w:val="2"/>
          </w:tcPr>
          <w:p w14:paraId="63346394" w14:textId="77777777" w:rsidR="002641D2" w:rsidRPr="00FA3F9C" w:rsidRDefault="002641D2" w:rsidP="005C1302">
            <w:pPr>
              <w:rPr>
                <w:rFonts w:ascii="Arial" w:hAnsi="Arial" w:cs="Arial"/>
                <w:sz w:val="24"/>
                <w:szCs w:val="24"/>
              </w:rPr>
            </w:pPr>
            <w:r w:rsidRPr="00FA3F9C">
              <w:rPr>
                <w:rFonts w:ascii="Arial" w:hAnsi="Arial" w:cs="Arial"/>
                <w:sz w:val="24"/>
                <w:szCs w:val="24"/>
              </w:rPr>
              <w:t>$1,121.64</w:t>
            </w:r>
          </w:p>
        </w:tc>
        <w:tc>
          <w:tcPr>
            <w:tcW w:w="2169" w:type="dxa"/>
            <w:vMerge/>
          </w:tcPr>
          <w:p w14:paraId="6BDD0C8A" w14:textId="77777777" w:rsidR="002641D2" w:rsidRPr="00FA3F9C" w:rsidRDefault="002641D2" w:rsidP="005C1302">
            <w:pPr>
              <w:rPr>
                <w:rFonts w:ascii="Arial" w:hAnsi="Arial" w:cs="Arial"/>
                <w:sz w:val="24"/>
                <w:szCs w:val="24"/>
              </w:rPr>
            </w:pPr>
          </w:p>
        </w:tc>
        <w:tc>
          <w:tcPr>
            <w:tcW w:w="2170" w:type="dxa"/>
            <w:vMerge/>
          </w:tcPr>
          <w:p w14:paraId="1A36F9EE" w14:textId="77777777" w:rsidR="002641D2" w:rsidRPr="00FA3F9C" w:rsidRDefault="002641D2" w:rsidP="005C1302">
            <w:pPr>
              <w:rPr>
                <w:rFonts w:ascii="Arial" w:hAnsi="Arial" w:cs="Arial"/>
                <w:sz w:val="24"/>
                <w:szCs w:val="24"/>
              </w:rPr>
            </w:pPr>
          </w:p>
        </w:tc>
        <w:tc>
          <w:tcPr>
            <w:tcW w:w="2170" w:type="dxa"/>
            <w:vMerge/>
          </w:tcPr>
          <w:p w14:paraId="4A1ED33C" w14:textId="77777777" w:rsidR="002641D2" w:rsidRPr="00FA3F9C" w:rsidRDefault="002641D2" w:rsidP="005C1302">
            <w:pPr>
              <w:rPr>
                <w:rFonts w:ascii="Arial" w:hAnsi="Arial" w:cs="Arial"/>
                <w:sz w:val="24"/>
                <w:szCs w:val="24"/>
              </w:rPr>
            </w:pPr>
          </w:p>
        </w:tc>
      </w:tr>
      <w:tr w:rsidR="002641D2" w:rsidRPr="00FA3F9C" w14:paraId="30D85856" w14:textId="77777777" w:rsidTr="005C1302">
        <w:trPr>
          <w:trHeight w:val="161"/>
        </w:trPr>
        <w:tc>
          <w:tcPr>
            <w:tcW w:w="2312" w:type="dxa"/>
            <w:vMerge/>
          </w:tcPr>
          <w:p w14:paraId="13ED02E1" w14:textId="77777777" w:rsidR="002641D2" w:rsidRPr="00FA3F9C" w:rsidRDefault="002641D2" w:rsidP="005C1302">
            <w:pPr>
              <w:rPr>
                <w:rFonts w:ascii="Arial" w:hAnsi="Arial" w:cs="Arial"/>
                <w:sz w:val="24"/>
                <w:szCs w:val="24"/>
              </w:rPr>
            </w:pPr>
          </w:p>
        </w:tc>
        <w:tc>
          <w:tcPr>
            <w:tcW w:w="3353" w:type="dxa"/>
            <w:gridSpan w:val="2"/>
          </w:tcPr>
          <w:p w14:paraId="06941B1A" w14:textId="77777777" w:rsidR="002641D2" w:rsidRPr="00FA3F9C" w:rsidRDefault="002641D2" w:rsidP="005C1302">
            <w:pPr>
              <w:rPr>
                <w:rFonts w:ascii="Arial" w:hAnsi="Arial" w:cs="Arial"/>
                <w:sz w:val="24"/>
                <w:szCs w:val="24"/>
              </w:rPr>
            </w:pPr>
            <w:r w:rsidRPr="00FA3F9C">
              <w:rPr>
                <w:rFonts w:ascii="Arial" w:hAnsi="Arial" w:cs="Arial"/>
                <w:sz w:val="24"/>
                <w:szCs w:val="24"/>
              </w:rPr>
              <w:t>300</w:t>
            </w:r>
          </w:p>
        </w:tc>
        <w:tc>
          <w:tcPr>
            <w:tcW w:w="2216" w:type="dxa"/>
            <w:gridSpan w:val="2"/>
          </w:tcPr>
          <w:p w14:paraId="7AE0721C" w14:textId="77777777" w:rsidR="002641D2" w:rsidRPr="00FA3F9C" w:rsidRDefault="002641D2" w:rsidP="005C1302">
            <w:pPr>
              <w:rPr>
                <w:rFonts w:ascii="Arial" w:hAnsi="Arial" w:cs="Arial"/>
                <w:sz w:val="24"/>
                <w:szCs w:val="24"/>
              </w:rPr>
            </w:pPr>
            <w:r w:rsidRPr="00FA3F9C">
              <w:rPr>
                <w:rFonts w:ascii="Arial" w:hAnsi="Arial" w:cs="Arial"/>
                <w:sz w:val="24"/>
                <w:szCs w:val="24"/>
              </w:rPr>
              <w:t>$1566.48</w:t>
            </w:r>
          </w:p>
        </w:tc>
        <w:tc>
          <w:tcPr>
            <w:tcW w:w="2169" w:type="dxa"/>
            <w:vMerge/>
          </w:tcPr>
          <w:p w14:paraId="0F8688D2" w14:textId="77777777" w:rsidR="002641D2" w:rsidRPr="00FA3F9C" w:rsidRDefault="002641D2" w:rsidP="005C1302">
            <w:pPr>
              <w:rPr>
                <w:rFonts w:ascii="Arial" w:hAnsi="Arial" w:cs="Arial"/>
                <w:sz w:val="24"/>
                <w:szCs w:val="24"/>
              </w:rPr>
            </w:pPr>
          </w:p>
        </w:tc>
        <w:tc>
          <w:tcPr>
            <w:tcW w:w="2170" w:type="dxa"/>
            <w:vMerge/>
          </w:tcPr>
          <w:p w14:paraId="373BA274" w14:textId="77777777" w:rsidR="002641D2" w:rsidRPr="00FA3F9C" w:rsidRDefault="002641D2" w:rsidP="005C1302">
            <w:pPr>
              <w:rPr>
                <w:rFonts w:ascii="Arial" w:hAnsi="Arial" w:cs="Arial"/>
                <w:sz w:val="24"/>
                <w:szCs w:val="24"/>
              </w:rPr>
            </w:pPr>
          </w:p>
        </w:tc>
        <w:tc>
          <w:tcPr>
            <w:tcW w:w="2170" w:type="dxa"/>
            <w:vMerge/>
          </w:tcPr>
          <w:p w14:paraId="05D3FE88" w14:textId="77777777" w:rsidR="002641D2" w:rsidRPr="00FA3F9C" w:rsidRDefault="002641D2" w:rsidP="005C1302">
            <w:pPr>
              <w:rPr>
                <w:rFonts w:ascii="Arial" w:hAnsi="Arial" w:cs="Arial"/>
                <w:sz w:val="24"/>
                <w:szCs w:val="24"/>
              </w:rPr>
            </w:pPr>
          </w:p>
        </w:tc>
      </w:tr>
      <w:tr w:rsidR="002641D2" w:rsidRPr="00FA3F9C" w14:paraId="54939035" w14:textId="77777777" w:rsidTr="005C1302">
        <w:trPr>
          <w:trHeight w:val="153"/>
        </w:trPr>
        <w:tc>
          <w:tcPr>
            <w:tcW w:w="2312" w:type="dxa"/>
            <w:vMerge/>
          </w:tcPr>
          <w:p w14:paraId="76C1A62B" w14:textId="77777777" w:rsidR="002641D2" w:rsidRPr="00FA3F9C" w:rsidRDefault="002641D2" w:rsidP="005C1302">
            <w:pPr>
              <w:rPr>
                <w:rFonts w:ascii="Arial" w:hAnsi="Arial" w:cs="Arial"/>
                <w:sz w:val="24"/>
                <w:szCs w:val="24"/>
              </w:rPr>
            </w:pPr>
          </w:p>
        </w:tc>
        <w:tc>
          <w:tcPr>
            <w:tcW w:w="3353" w:type="dxa"/>
            <w:gridSpan w:val="2"/>
          </w:tcPr>
          <w:p w14:paraId="7E10B208" w14:textId="77777777" w:rsidR="002641D2" w:rsidRPr="00FA3F9C" w:rsidRDefault="002641D2" w:rsidP="005C1302">
            <w:pPr>
              <w:rPr>
                <w:rFonts w:ascii="Arial" w:hAnsi="Arial" w:cs="Arial"/>
                <w:sz w:val="24"/>
                <w:szCs w:val="24"/>
              </w:rPr>
            </w:pPr>
            <w:r w:rsidRPr="00FA3F9C">
              <w:rPr>
                <w:rFonts w:ascii="Arial" w:hAnsi="Arial" w:cs="Arial"/>
                <w:sz w:val="24"/>
                <w:szCs w:val="24"/>
              </w:rPr>
              <w:t xml:space="preserve">400 </w:t>
            </w:r>
          </w:p>
        </w:tc>
        <w:tc>
          <w:tcPr>
            <w:tcW w:w="2216" w:type="dxa"/>
            <w:gridSpan w:val="2"/>
          </w:tcPr>
          <w:p w14:paraId="618AEB31" w14:textId="77777777" w:rsidR="002641D2" w:rsidRPr="00FA3F9C" w:rsidRDefault="002641D2" w:rsidP="005C1302">
            <w:pPr>
              <w:rPr>
                <w:rFonts w:ascii="Arial" w:hAnsi="Arial" w:cs="Arial"/>
                <w:sz w:val="24"/>
                <w:szCs w:val="24"/>
              </w:rPr>
            </w:pPr>
            <w:r w:rsidRPr="00FA3F9C">
              <w:rPr>
                <w:rFonts w:ascii="Arial" w:hAnsi="Arial" w:cs="Arial"/>
                <w:sz w:val="24"/>
                <w:szCs w:val="24"/>
              </w:rPr>
              <w:t>$1788.60</w:t>
            </w:r>
          </w:p>
        </w:tc>
        <w:tc>
          <w:tcPr>
            <w:tcW w:w="2169" w:type="dxa"/>
            <w:vMerge/>
          </w:tcPr>
          <w:p w14:paraId="296DB49B" w14:textId="77777777" w:rsidR="002641D2" w:rsidRPr="00FA3F9C" w:rsidRDefault="002641D2" w:rsidP="005C1302">
            <w:pPr>
              <w:rPr>
                <w:rFonts w:ascii="Arial" w:hAnsi="Arial" w:cs="Arial"/>
                <w:sz w:val="24"/>
                <w:szCs w:val="24"/>
              </w:rPr>
            </w:pPr>
          </w:p>
        </w:tc>
        <w:tc>
          <w:tcPr>
            <w:tcW w:w="2170" w:type="dxa"/>
            <w:vMerge/>
          </w:tcPr>
          <w:p w14:paraId="70B6772C" w14:textId="77777777" w:rsidR="002641D2" w:rsidRPr="00FA3F9C" w:rsidRDefault="002641D2" w:rsidP="005C1302">
            <w:pPr>
              <w:rPr>
                <w:rFonts w:ascii="Arial" w:hAnsi="Arial" w:cs="Arial"/>
                <w:sz w:val="24"/>
                <w:szCs w:val="24"/>
              </w:rPr>
            </w:pPr>
          </w:p>
        </w:tc>
        <w:tc>
          <w:tcPr>
            <w:tcW w:w="2170" w:type="dxa"/>
            <w:vMerge/>
          </w:tcPr>
          <w:p w14:paraId="2306BD29" w14:textId="77777777" w:rsidR="002641D2" w:rsidRPr="00FA3F9C" w:rsidRDefault="002641D2" w:rsidP="005C1302">
            <w:pPr>
              <w:rPr>
                <w:rFonts w:ascii="Arial" w:hAnsi="Arial" w:cs="Arial"/>
                <w:sz w:val="24"/>
                <w:szCs w:val="24"/>
              </w:rPr>
            </w:pPr>
          </w:p>
        </w:tc>
      </w:tr>
      <w:tr w:rsidR="002641D2" w:rsidRPr="00FA3F9C" w14:paraId="4395D9F9" w14:textId="77777777" w:rsidTr="005C1302">
        <w:trPr>
          <w:trHeight w:val="124"/>
        </w:trPr>
        <w:tc>
          <w:tcPr>
            <w:tcW w:w="2312" w:type="dxa"/>
            <w:vMerge w:val="restart"/>
          </w:tcPr>
          <w:p w14:paraId="3C101194" w14:textId="77777777" w:rsidR="002641D2" w:rsidRPr="00FA3F9C" w:rsidRDefault="002641D2" w:rsidP="005C1302">
            <w:pPr>
              <w:rPr>
                <w:rFonts w:ascii="Arial" w:hAnsi="Arial" w:cs="Arial"/>
                <w:sz w:val="24"/>
                <w:szCs w:val="24"/>
              </w:rPr>
            </w:pPr>
            <w:r w:rsidRPr="00FA3F9C">
              <w:rPr>
                <w:rFonts w:ascii="Arial" w:hAnsi="Arial" w:cs="Arial"/>
                <w:sz w:val="24"/>
                <w:szCs w:val="24"/>
              </w:rPr>
              <w:t>Buccal tab</w:t>
            </w:r>
          </w:p>
        </w:tc>
        <w:tc>
          <w:tcPr>
            <w:tcW w:w="3353" w:type="dxa"/>
            <w:gridSpan w:val="2"/>
          </w:tcPr>
          <w:p w14:paraId="4F7F29D0" w14:textId="77777777" w:rsidR="002641D2" w:rsidRPr="00FA3F9C" w:rsidRDefault="002641D2" w:rsidP="005C1302">
            <w:pPr>
              <w:rPr>
                <w:rFonts w:ascii="Arial" w:hAnsi="Arial" w:cs="Arial"/>
                <w:sz w:val="24"/>
                <w:szCs w:val="24"/>
              </w:rPr>
            </w:pPr>
            <w:proofErr w:type="spellStart"/>
            <w:r w:rsidRPr="00FA3F9C">
              <w:rPr>
                <w:rFonts w:ascii="Arial" w:hAnsi="Arial" w:cs="Arial"/>
                <w:sz w:val="24"/>
                <w:szCs w:val="24"/>
              </w:rPr>
              <w:t>Fentora</w:t>
            </w:r>
            <w:proofErr w:type="spellEnd"/>
          </w:p>
        </w:tc>
        <w:tc>
          <w:tcPr>
            <w:tcW w:w="2216" w:type="dxa"/>
            <w:gridSpan w:val="2"/>
          </w:tcPr>
          <w:p w14:paraId="5C74029A" w14:textId="77777777" w:rsidR="002641D2" w:rsidRPr="00FA3F9C" w:rsidRDefault="002641D2" w:rsidP="005C1302">
            <w:pPr>
              <w:rPr>
                <w:rFonts w:ascii="Arial" w:hAnsi="Arial" w:cs="Arial"/>
                <w:sz w:val="24"/>
                <w:szCs w:val="24"/>
              </w:rPr>
            </w:pPr>
          </w:p>
        </w:tc>
        <w:tc>
          <w:tcPr>
            <w:tcW w:w="2169" w:type="dxa"/>
            <w:vMerge w:val="restart"/>
          </w:tcPr>
          <w:p w14:paraId="6994B951" w14:textId="77777777" w:rsidR="002641D2" w:rsidRPr="00FA3F9C" w:rsidRDefault="002641D2" w:rsidP="005C1302">
            <w:pPr>
              <w:rPr>
                <w:rFonts w:ascii="Arial" w:hAnsi="Arial" w:cs="Arial"/>
                <w:sz w:val="24"/>
                <w:szCs w:val="24"/>
              </w:rPr>
            </w:pPr>
          </w:p>
        </w:tc>
        <w:tc>
          <w:tcPr>
            <w:tcW w:w="2170" w:type="dxa"/>
            <w:vMerge w:val="restart"/>
          </w:tcPr>
          <w:p w14:paraId="09963D6F" w14:textId="77777777" w:rsidR="002641D2" w:rsidRPr="00FA3F9C" w:rsidRDefault="002641D2" w:rsidP="005C1302">
            <w:pPr>
              <w:rPr>
                <w:rFonts w:ascii="Arial" w:hAnsi="Arial" w:cs="Arial"/>
                <w:sz w:val="24"/>
                <w:szCs w:val="24"/>
              </w:rPr>
            </w:pPr>
          </w:p>
        </w:tc>
        <w:tc>
          <w:tcPr>
            <w:tcW w:w="2170" w:type="dxa"/>
            <w:vMerge w:val="restart"/>
          </w:tcPr>
          <w:p w14:paraId="63BF791B" w14:textId="77777777" w:rsidR="002641D2" w:rsidRPr="00FA3F9C" w:rsidRDefault="002641D2" w:rsidP="005C1302">
            <w:pPr>
              <w:rPr>
                <w:rFonts w:ascii="Arial" w:hAnsi="Arial" w:cs="Arial"/>
                <w:sz w:val="24"/>
                <w:szCs w:val="24"/>
              </w:rPr>
            </w:pPr>
          </w:p>
        </w:tc>
      </w:tr>
      <w:tr w:rsidR="002641D2" w:rsidRPr="00FA3F9C" w14:paraId="692742B7" w14:textId="77777777" w:rsidTr="005C1302">
        <w:trPr>
          <w:trHeight w:val="123"/>
        </w:trPr>
        <w:tc>
          <w:tcPr>
            <w:tcW w:w="2312" w:type="dxa"/>
            <w:vMerge/>
          </w:tcPr>
          <w:p w14:paraId="66D80523" w14:textId="77777777" w:rsidR="002641D2" w:rsidRPr="00FA3F9C" w:rsidRDefault="002641D2" w:rsidP="005C1302">
            <w:pPr>
              <w:rPr>
                <w:rFonts w:ascii="Arial" w:hAnsi="Arial" w:cs="Arial"/>
                <w:sz w:val="24"/>
                <w:szCs w:val="24"/>
              </w:rPr>
            </w:pPr>
          </w:p>
        </w:tc>
        <w:tc>
          <w:tcPr>
            <w:tcW w:w="3353" w:type="dxa"/>
            <w:gridSpan w:val="2"/>
          </w:tcPr>
          <w:p w14:paraId="084A0E33" w14:textId="77777777" w:rsidR="002641D2" w:rsidRPr="00FA3F9C" w:rsidRDefault="002641D2" w:rsidP="005C1302">
            <w:pPr>
              <w:rPr>
                <w:rFonts w:ascii="Arial" w:hAnsi="Arial" w:cs="Arial"/>
                <w:sz w:val="24"/>
                <w:szCs w:val="24"/>
              </w:rPr>
            </w:pPr>
            <w:r w:rsidRPr="00FA3F9C">
              <w:rPr>
                <w:rFonts w:ascii="Arial" w:hAnsi="Arial" w:cs="Arial"/>
                <w:sz w:val="24"/>
                <w:szCs w:val="24"/>
              </w:rPr>
              <w:t>100mcg</w:t>
            </w:r>
          </w:p>
        </w:tc>
        <w:tc>
          <w:tcPr>
            <w:tcW w:w="2216" w:type="dxa"/>
            <w:gridSpan w:val="2"/>
          </w:tcPr>
          <w:p w14:paraId="1C0F5F05" w14:textId="77777777" w:rsidR="002641D2" w:rsidRPr="00FA3F9C" w:rsidRDefault="002641D2" w:rsidP="005C1302">
            <w:pPr>
              <w:rPr>
                <w:rFonts w:ascii="Arial" w:hAnsi="Arial" w:cs="Arial"/>
                <w:sz w:val="24"/>
                <w:szCs w:val="24"/>
              </w:rPr>
            </w:pPr>
            <w:r w:rsidRPr="00FA3F9C">
              <w:rPr>
                <w:rFonts w:ascii="Arial" w:hAnsi="Arial" w:cs="Arial"/>
                <w:sz w:val="24"/>
                <w:szCs w:val="24"/>
              </w:rPr>
              <w:t>$68.71</w:t>
            </w:r>
          </w:p>
        </w:tc>
        <w:tc>
          <w:tcPr>
            <w:tcW w:w="2169" w:type="dxa"/>
            <w:vMerge/>
          </w:tcPr>
          <w:p w14:paraId="14BD07E7" w14:textId="77777777" w:rsidR="002641D2" w:rsidRPr="00FA3F9C" w:rsidRDefault="002641D2" w:rsidP="005C1302">
            <w:pPr>
              <w:rPr>
                <w:rFonts w:ascii="Arial" w:hAnsi="Arial" w:cs="Arial"/>
                <w:sz w:val="24"/>
                <w:szCs w:val="24"/>
              </w:rPr>
            </w:pPr>
          </w:p>
        </w:tc>
        <w:tc>
          <w:tcPr>
            <w:tcW w:w="2170" w:type="dxa"/>
            <w:vMerge/>
          </w:tcPr>
          <w:p w14:paraId="32E4EE87" w14:textId="77777777" w:rsidR="002641D2" w:rsidRPr="00FA3F9C" w:rsidRDefault="002641D2" w:rsidP="005C1302">
            <w:pPr>
              <w:rPr>
                <w:rFonts w:ascii="Arial" w:hAnsi="Arial" w:cs="Arial"/>
                <w:sz w:val="24"/>
                <w:szCs w:val="24"/>
              </w:rPr>
            </w:pPr>
          </w:p>
        </w:tc>
        <w:tc>
          <w:tcPr>
            <w:tcW w:w="2170" w:type="dxa"/>
            <w:vMerge/>
          </w:tcPr>
          <w:p w14:paraId="139F8112" w14:textId="77777777" w:rsidR="002641D2" w:rsidRPr="00FA3F9C" w:rsidRDefault="002641D2" w:rsidP="005C1302">
            <w:pPr>
              <w:rPr>
                <w:rFonts w:ascii="Arial" w:hAnsi="Arial" w:cs="Arial"/>
                <w:sz w:val="24"/>
                <w:szCs w:val="24"/>
              </w:rPr>
            </w:pPr>
          </w:p>
        </w:tc>
      </w:tr>
      <w:tr w:rsidR="002641D2" w:rsidRPr="00FA3F9C" w14:paraId="7FE17EE0" w14:textId="77777777" w:rsidTr="005C1302">
        <w:trPr>
          <w:trHeight w:val="123"/>
        </w:trPr>
        <w:tc>
          <w:tcPr>
            <w:tcW w:w="2312" w:type="dxa"/>
            <w:vMerge/>
          </w:tcPr>
          <w:p w14:paraId="223742A5" w14:textId="77777777" w:rsidR="002641D2" w:rsidRPr="00FA3F9C" w:rsidRDefault="002641D2" w:rsidP="005C1302">
            <w:pPr>
              <w:rPr>
                <w:rFonts w:ascii="Arial" w:hAnsi="Arial" w:cs="Arial"/>
                <w:sz w:val="24"/>
                <w:szCs w:val="24"/>
              </w:rPr>
            </w:pPr>
          </w:p>
        </w:tc>
        <w:tc>
          <w:tcPr>
            <w:tcW w:w="3353" w:type="dxa"/>
            <w:gridSpan w:val="2"/>
          </w:tcPr>
          <w:p w14:paraId="3D047774" w14:textId="77777777" w:rsidR="002641D2" w:rsidRPr="00FA3F9C" w:rsidRDefault="002641D2" w:rsidP="005C1302">
            <w:pPr>
              <w:rPr>
                <w:rFonts w:ascii="Arial" w:hAnsi="Arial" w:cs="Arial"/>
                <w:sz w:val="24"/>
                <w:szCs w:val="24"/>
              </w:rPr>
            </w:pPr>
            <w:r w:rsidRPr="00FA3F9C">
              <w:rPr>
                <w:rFonts w:ascii="Arial" w:hAnsi="Arial" w:cs="Arial"/>
                <w:sz w:val="24"/>
                <w:szCs w:val="24"/>
              </w:rPr>
              <w:t>200</w:t>
            </w:r>
          </w:p>
        </w:tc>
        <w:tc>
          <w:tcPr>
            <w:tcW w:w="2216" w:type="dxa"/>
            <w:gridSpan w:val="2"/>
          </w:tcPr>
          <w:p w14:paraId="6F6769DD" w14:textId="77777777" w:rsidR="002641D2" w:rsidRPr="00FA3F9C" w:rsidRDefault="002641D2" w:rsidP="005C1302">
            <w:pPr>
              <w:rPr>
                <w:rFonts w:ascii="Arial" w:hAnsi="Arial" w:cs="Arial"/>
                <w:sz w:val="24"/>
                <w:szCs w:val="24"/>
              </w:rPr>
            </w:pPr>
            <w:r w:rsidRPr="00FA3F9C">
              <w:rPr>
                <w:rFonts w:ascii="Arial" w:hAnsi="Arial" w:cs="Arial"/>
                <w:sz w:val="24"/>
                <w:szCs w:val="24"/>
              </w:rPr>
              <w:t>$86.82</w:t>
            </w:r>
          </w:p>
        </w:tc>
        <w:tc>
          <w:tcPr>
            <w:tcW w:w="2169" w:type="dxa"/>
            <w:vMerge/>
          </w:tcPr>
          <w:p w14:paraId="6D55437C" w14:textId="77777777" w:rsidR="002641D2" w:rsidRPr="00FA3F9C" w:rsidRDefault="002641D2" w:rsidP="005C1302">
            <w:pPr>
              <w:rPr>
                <w:rFonts w:ascii="Arial" w:hAnsi="Arial" w:cs="Arial"/>
                <w:sz w:val="24"/>
                <w:szCs w:val="24"/>
              </w:rPr>
            </w:pPr>
          </w:p>
        </w:tc>
        <w:tc>
          <w:tcPr>
            <w:tcW w:w="2170" w:type="dxa"/>
            <w:vMerge/>
          </w:tcPr>
          <w:p w14:paraId="7B0AE427" w14:textId="77777777" w:rsidR="002641D2" w:rsidRPr="00FA3F9C" w:rsidRDefault="002641D2" w:rsidP="005C1302">
            <w:pPr>
              <w:rPr>
                <w:rFonts w:ascii="Arial" w:hAnsi="Arial" w:cs="Arial"/>
                <w:sz w:val="24"/>
                <w:szCs w:val="24"/>
              </w:rPr>
            </w:pPr>
          </w:p>
        </w:tc>
        <w:tc>
          <w:tcPr>
            <w:tcW w:w="2170" w:type="dxa"/>
            <w:vMerge/>
          </w:tcPr>
          <w:p w14:paraId="6BDFB2F6" w14:textId="77777777" w:rsidR="002641D2" w:rsidRPr="00FA3F9C" w:rsidRDefault="002641D2" w:rsidP="005C1302">
            <w:pPr>
              <w:rPr>
                <w:rFonts w:ascii="Arial" w:hAnsi="Arial" w:cs="Arial"/>
                <w:sz w:val="24"/>
                <w:szCs w:val="24"/>
              </w:rPr>
            </w:pPr>
          </w:p>
        </w:tc>
      </w:tr>
      <w:tr w:rsidR="002641D2" w:rsidRPr="00FA3F9C" w14:paraId="5BA7025D" w14:textId="77777777" w:rsidTr="005C1302">
        <w:trPr>
          <w:trHeight w:val="123"/>
        </w:trPr>
        <w:tc>
          <w:tcPr>
            <w:tcW w:w="2312" w:type="dxa"/>
            <w:vMerge/>
          </w:tcPr>
          <w:p w14:paraId="08CD4CCB" w14:textId="77777777" w:rsidR="002641D2" w:rsidRPr="00FA3F9C" w:rsidRDefault="002641D2" w:rsidP="005C1302">
            <w:pPr>
              <w:rPr>
                <w:rFonts w:ascii="Arial" w:hAnsi="Arial" w:cs="Arial"/>
                <w:sz w:val="24"/>
                <w:szCs w:val="24"/>
              </w:rPr>
            </w:pPr>
          </w:p>
        </w:tc>
        <w:tc>
          <w:tcPr>
            <w:tcW w:w="3353" w:type="dxa"/>
            <w:gridSpan w:val="2"/>
          </w:tcPr>
          <w:p w14:paraId="4707AD23" w14:textId="77777777" w:rsidR="002641D2" w:rsidRPr="00FA3F9C" w:rsidRDefault="002641D2" w:rsidP="005C1302">
            <w:pPr>
              <w:rPr>
                <w:rFonts w:ascii="Arial" w:hAnsi="Arial" w:cs="Arial"/>
                <w:sz w:val="24"/>
                <w:szCs w:val="24"/>
              </w:rPr>
            </w:pPr>
            <w:r w:rsidRPr="00FA3F9C">
              <w:rPr>
                <w:rFonts w:ascii="Arial" w:hAnsi="Arial" w:cs="Arial"/>
                <w:sz w:val="24"/>
                <w:szCs w:val="24"/>
              </w:rPr>
              <w:t>400</w:t>
            </w:r>
          </w:p>
        </w:tc>
        <w:tc>
          <w:tcPr>
            <w:tcW w:w="2216" w:type="dxa"/>
            <w:gridSpan w:val="2"/>
          </w:tcPr>
          <w:p w14:paraId="0C89E3B2" w14:textId="77777777" w:rsidR="002641D2" w:rsidRPr="00FA3F9C" w:rsidRDefault="002641D2" w:rsidP="005C1302">
            <w:pPr>
              <w:rPr>
                <w:rFonts w:ascii="Arial" w:hAnsi="Arial" w:cs="Arial"/>
                <w:sz w:val="24"/>
                <w:szCs w:val="24"/>
              </w:rPr>
            </w:pPr>
            <w:r w:rsidRPr="00FA3F9C">
              <w:rPr>
                <w:rFonts w:ascii="Arial" w:hAnsi="Arial" w:cs="Arial"/>
                <w:sz w:val="24"/>
                <w:szCs w:val="24"/>
              </w:rPr>
              <w:t>$125.96</w:t>
            </w:r>
          </w:p>
        </w:tc>
        <w:tc>
          <w:tcPr>
            <w:tcW w:w="2169" w:type="dxa"/>
            <w:vMerge/>
          </w:tcPr>
          <w:p w14:paraId="20F0DE2F" w14:textId="77777777" w:rsidR="002641D2" w:rsidRPr="00FA3F9C" w:rsidRDefault="002641D2" w:rsidP="005C1302">
            <w:pPr>
              <w:rPr>
                <w:rFonts w:ascii="Arial" w:hAnsi="Arial" w:cs="Arial"/>
                <w:sz w:val="24"/>
                <w:szCs w:val="24"/>
              </w:rPr>
            </w:pPr>
          </w:p>
        </w:tc>
        <w:tc>
          <w:tcPr>
            <w:tcW w:w="2170" w:type="dxa"/>
            <w:vMerge/>
          </w:tcPr>
          <w:p w14:paraId="53888598" w14:textId="77777777" w:rsidR="002641D2" w:rsidRPr="00FA3F9C" w:rsidRDefault="002641D2" w:rsidP="005C1302">
            <w:pPr>
              <w:rPr>
                <w:rFonts w:ascii="Arial" w:hAnsi="Arial" w:cs="Arial"/>
                <w:sz w:val="24"/>
                <w:szCs w:val="24"/>
              </w:rPr>
            </w:pPr>
          </w:p>
        </w:tc>
        <w:tc>
          <w:tcPr>
            <w:tcW w:w="2170" w:type="dxa"/>
            <w:vMerge/>
          </w:tcPr>
          <w:p w14:paraId="3779EDDD" w14:textId="77777777" w:rsidR="002641D2" w:rsidRPr="00FA3F9C" w:rsidRDefault="002641D2" w:rsidP="005C1302">
            <w:pPr>
              <w:rPr>
                <w:rFonts w:ascii="Arial" w:hAnsi="Arial" w:cs="Arial"/>
                <w:sz w:val="24"/>
                <w:szCs w:val="24"/>
              </w:rPr>
            </w:pPr>
          </w:p>
        </w:tc>
      </w:tr>
      <w:tr w:rsidR="002641D2" w:rsidRPr="00FA3F9C" w14:paraId="59DD632E" w14:textId="77777777" w:rsidTr="005C1302">
        <w:trPr>
          <w:trHeight w:val="123"/>
        </w:trPr>
        <w:tc>
          <w:tcPr>
            <w:tcW w:w="2312" w:type="dxa"/>
            <w:vMerge/>
          </w:tcPr>
          <w:p w14:paraId="311283C6" w14:textId="77777777" w:rsidR="002641D2" w:rsidRPr="00FA3F9C" w:rsidRDefault="002641D2" w:rsidP="005C1302">
            <w:pPr>
              <w:rPr>
                <w:rFonts w:ascii="Arial" w:hAnsi="Arial" w:cs="Arial"/>
                <w:sz w:val="24"/>
                <w:szCs w:val="24"/>
              </w:rPr>
            </w:pPr>
          </w:p>
        </w:tc>
        <w:tc>
          <w:tcPr>
            <w:tcW w:w="3353" w:type="dxa"/>
            <w:gridSpan w:val="2"/>
          </w:tcPr>
          <w:p w14:paraId="2E56228A" w14:textId="77777777" w:rsidR="002641D2" w:rsidRPr="00FA3F9C" w:rsidRDefault="002641D2" w:rsidP="005C1302">
            <w:pPr>
              <w:rPr>
                <w:rFonts w:ascii="Arial" w:hAnsi="Arial" w:cs="Arial"/>
                <w:sz w:val="24"/>
                <w:szCs w:val="24"/>
              </w:rPr>
            </w:pPr>
            <w:r w:rsidRPr="00FA3F9C">
              <w:rPr>
                <w:rFonts w:ascii="Arial" w:hAnsi="Arial" w:cs="Arial"/>
                <w:sz w:val="24"/>
                <w:szCs w:val="24"/>
              </w:rPr>
              <w:t>600</w:t>
            </w:r>
          </w:p>
        </w:tc>
        <w:tc>
          <w:tcPr>
            <w:tcW w:w="2216" w:type="dxa"/>
            <w:gridSpan w:val="2"/>
          </w:tcPr>
          <w:p w14:paraId="3977D948" w14:textId="77777777" w:rsidR="002641D2" w:rsidRPr="00FA3F9C" w:rsidRDefault="002641D2" w:rsidP="005C1302">
            <w:pPr>
              <w:rPr>
                <w:rFonts w:ascii="Arial" w:hAnsi="Arial" w:cs="Arial"/>
                <w:sz w:val="24"/>
                <w:szCs w:val="24"/>
              </w:rPr>
            </w:pPr>
            <w:r w:rsidRPr="00FA3F9C">
              <w:rPr>
                <w:rFonts w:ascii="Arial" w:hAnsi="Arial" w:cs="Arial"/>
                <w:sz w:val="24"/>
                <w:szCs w:val="24"/>
              </w:rPr>
              <w:t>$163.54</w:t>
            </w:r>
          </w:p>
        </w:tc>
        <w:tc>
          <w:tcPr>
            <w:tcW w:w="2169" w:type="dxa"/>
            <w:vMerge/>
          </w:tcPr>
          <w:p w14:paraId="45D76E21" w14:textId="77777777" w:rsidR="002641D2" w:rsidRPr="00FA3F9C" w:rsidRDefault="002641D2" w:rsidP="005C1302">
            <w:pPr>
              <w:rPr>
                <w:rFonts w:ascii="Arial" w:hAnsi="Arial" w:cs="Arial"/>
                <w:sz w:val="24"/>
                <w:szCs w:val="24"/>
              </w:rPr>
            </w:pPr>
          </w:p>
        </w:tc>
        <w:tc>
          <w:tcPr>
            <w:tcW w:w="2170" w:type="dxa"/>
            <w:vMerge/>
          </w:tcPr>
          <w:p w14:paraId="74A8D30F" w14:textId="77777777" w:rsidR="002641D2" w:rsidRPr="00FA3F9C" w:rsidRDefault="002641D2" w:rsidP="005C1302">
            <w:pPr>
              <w:rPr>
                <w:rFonts w:ascii="Arial" w:hAnsi="Arial" w:cs="Arial"/>
                <w:sz w:val="24"/>
                <w:szCs w:val="24"/>
              </w:rPr>
            </w:pPr>
          </w:p>
        </w:tc>
        <w:tc>
          <w:tcPr>
            <w:tcW w:w="2170" w:type="dxa"/>
            <w:vMerge/>
          </w:tcPr>
          <w:p w14:paraId="0BB5D5F2" w14:textId="77777777" w:rsidR="002641D2" w:rsidRPr="00FA3F9C" w:rsidRDefault="002641D2" w:rsidP="005C1302">
            <w:pPr>
              <w:rPr>
                <w:rFonts w:ascii="Arial" w:hAnsi="Arial" w:cs="Arial"/>
                <w:sz w:val="24"/>
                <w:szCs w:val="24"/>
              </w:rPr>
            </w:pPr>
          </w:p>
        </w:tc>
      </w:tr>
      <w:tr w:rsidR="002641D2" w:rsidRPr="00FA3F9C" w14:paraId="76308E88" w14:textId="77777777" w:rsidTr="005C1302">
        <w:trPr>
          <w:trHeight w:val="123"/>
        </w:trPr>
        <w:tc>
          <w:tcPr>
            <w:tcW w:w="2312" w:type="dxa"/>
            <w:vMerge/>
          </w:tcPr>
          <w:p w14:paraId="1D32B361" w14:textId="77777777" w:rsidR="002641D2" w:rsidRPr="00FA3F9C" w:rsidRDefault="002641D2" w:rsidP="005C1302">
            <w:pPr>
              <w:rPr>
                <w:rFonts w:ascii="Arial" w:hAnsi="Arial" w:cs="Arial"/>
                <w:sz w:val="24"/>
                <w:szCs w:val="24"/>
              </w:rPr>
            </w:pPr>
          </w:p>
        </w:tc>
        <w:tc>
          <w:tcPr>
            <w:tcW w:w="3353" w:type="dxa"/>
            <w:gridSpan w:val="2"/>
          </w:tcPr>
          <w:p w14:paraId="3D1857A5" w14:textId="77777777" w:rsidR="002641D2" w:rsidRPr="00FA3F9C" w:rsidRDefault="002641D2" w:rsidP="005C1302">
            <w:pPr>
              <w:rPr>
                <w:rFonts w:ascii="Arial" w:hAnsi="Arial" w:cs="Arial"/>
                <w:sz w:val="24"/>
                <w:szCs w:val="24"/>
              </w:rPr>
            </w:pPr>
            <w:r w:rsidRPr="00FA3F9C">
              <w:rPr>
                <w:rFonts w:ascii="Arial" w:hAnsi="Arial" w:cs="Arial"/>
                <w:sz w:val="24"/>
                <w:szCs w:val="24"/>
              </w:rPr>
              <w:t>800</w:t>
            </w:r>
          </w:p>
        </w:tc>
        <w:tc>
          <w:tcPr>
            <w:tcW w:w="2216" w:type="dxa"/>
            <w:gridSpan w:val="2"/>
          </w:tcPr>
          <w:p w14:paraId="69E732C0" w14:textId="77777777" w:rsidR="002641D2" w:rsidRPr="00FA3F9C" w:rsidRDefault="002641D2" w:rsidP="005C1302">
            <w:pPr>
              <w:rPr>
                <w:rFonts w:ascii="Arial" w:hAnsi="Arial" w:cs="Arial"/>
                <w:sz w:val="24"/>
                <w:szCs w:val="24"/>
              </w:rPr>
            </w:pPr>
            <w:r w:rsidRPr="00FA3F9C">
              <w:rPr>
                <w:rFonts w:ascii="Arial" w:hAnsi="Arial" w:cs="Arial"/>
                <w:sz w:val="24"/>
                <w:szCs w:val="24"/>
              </w:rPr>
              <w:t>$201.48</w:t>
            </w:r>
          </w:p>
        </w:tc>
        <w:tc>
          <w:tcPr>
            <w:tcW w:w="2169" w:type="dxa"/>
            <w:vMerge/>
          </w:tcPr>
          <w:p w14:paraId="6592D979" w14:textId="77777777" w:rsidR="002641D2" w:rsidRPr="00FA3F9C" w:rsidRDefault="002641D2" w:rsidP="005C1302">
            <w:pPr>
              <w:rPr>
                <w:rFonts w:ascii="Arial" w:hAnsi="Arial" w:cs="Arial"/>
                <w:sz w:val="24"/>
                <w:szCs w:val="24"/>
              </w:rPr>
            </w:pPr>
          </w:p>
        </w:tc>
        <w:tc>
          <w:tcPr>
            <w:tcW w:w="2170" w:type="dxa"/>
            <w:vMerge/>
          </w:tcPr>
          <w:p w14:paraId="4DADDC1C" w14:textId="77777777" w:rsidR="002641D2" w:rsidRPr="00FA3F9C" w:rsidRDefault="002641D2" w:rsidP="005C1302">
            <w:pPr>
              <w:rPr>
                <w:rFonts w:ascii="Arial" w:hAnsi="Arial" w:cs="Arial"/>
                <w:sz w:val="24"/>
                <w:szCs w:val="24"/>
              </w:rPr>
            </w:pPr>
          </w:p>
        </w:tc>
        <w:tc>
          <w:tcPr>
            <w:tcW w:w="2170" w:type="dxa"/>
            <w:vMerge/>
          </w:tcPr>
          <w:p w14:paraId="21E20041" w14:textId="77777777" w:rsidR="002641D2" w:rsidRPr="00FA3F9C" w:rsidRDefault="002641D2" w:rsidP="005C1302">
            <w:pPr>
              <w:rPr>
                <w:rFonts w:ascii="Arial" w:hAnsi="Arial" w:cs="Arial"/>
                <w:sz w:val="24"/>
                <w:szCs w:val="24"/>
              </w:rPr>
            </w:pPr>
          </w:p>
        </w:tc>
      </w:tr>
      <w:tr w:rsidR="002641D2" w:rsidRPr="00FA3F9C" w14:paraId="122200D8" w14:textId="77777777" w:rsidTr="005C1302">
        <w:tc>
          <w:tcPr>
            <w:tcW w:w="2312" w:type="dxa"/>
          </w:tcPr>
          <w:p w14:paraId="3FD8FE34" w14:textId="77777777" w:rsidR="002641D2" w:rsidRPr="00FA3F9C" w:rsidRDefault="002641D2" w:rsidP="005C1302">
            <w:pPr>
              <w:rPr>
                <w:rFonts w:ascii="Arial" w:hAnsi="Arial" w:cs="Arial"/>
                <w:sz w:val="24"/>
                <w:szCs w:val="24"/>
              </w:rPr>
            </w:pPr>
            <w:r w:rsidRPr="00FA3F9C">
              <w:rPr>
                <w:rFonts w:ascii="Arial" w:hAnsi="Arial" w:cs="Arial"/>
                <w:sz w:val="24"/>
                <w:szCs w:val="24"/>
              </w:rPr>
              <w:t>SL tablet</w:t>
            </w:r>
          </w:p>
        </w:tc>
        <w:tc>
          <w:tcPr>
            <w:tcW w:w="3353" w:type="dxa"/>
            <w:gridSpan w:val="2"/>
          </w:tcPr>
          <w:p w14:paraId="029CE20B" w14:textId="77777777" w:rsidR="002641D2" w:rsidRPr="00FA3F9C" w:rsidRDefault="002641D2" w:rsidP="005C1302">
            <w:pPr>
              <w:rPr>
                <w:rFonts w:ascii="Arial" w:hAnsi="Arial" w:cs="Arial"/>
                <w:sz w:val="24"/>
                <w:szCs w:val="24"/>
              </w:rPr>
            </w:pPr>
            <w:proofErr w:type="spellStart"/>
            <w:r w:rsidRPr="00FA3F9C">
              <w:rPr>
                <w:rFonts w:ascii="Arial" w:hAnsi="Arial" w:cs="Arial"/>
                <w:sz w:val="24"/>
                <w:szCs w:val="24"/>
              </w:rPr>
              <w:t>Abstral</w:t>
            </w:r>
            <w:proofErr w:type="spellEnd"/>
          </w:p>
          <w:p w14:paraId="5798689B" w14:textId="77777777" w:rsidR="002641D2" w:rsidRPr="00FA3F9C" w:rsidRDefault="002641D2" w:rsidP="005C1302">
            <w:pPr>
              <w:rPr>
                <w:rFonts w:ascii="Arial" w:hAnsi="Arial" w:cs="Arial"/>
                <w:sz w:val="24"/>
                <w:szCs w:val="24"/>
              </w:rPr>
            </w:pPr>
            <w:r w:rsidRPr="00FA3F9C">
              <w:rPr>
                <w:rFonts w:ascii="Arial" w:hAnsi="Arial" w:cs="Arial"/>
                <w:sz w:val="24"/>
                <w:szCs w:val="24"/>
              </w:rPr>
              <w:t>100mcg,200,300,400,600,800</w:t>
            </w:r>
          </w:p>
        </w:tc>
        <w:tc>
          <w:tcPr>
            <w:tcW w:w="2216" w:type="dxa"/>
            <w:gridSpan w:val="2"/>
          </w:tcPr>
          <w:p w14:paraId="0CF1ED63" w14:textId="77777777" w:rsidR="002641D2" w:rsidRPr="00FA3F9C" w:rsidRDefault="002641D2" w:rsidP="005C1302">
            <w:pPr>
              <w:rPr>
                <w:rFonts w:ascii="Arial" w:hAnsi="Arial" w:cs="Arial"/>
                <w:sz w:val="24"/>
                <w:szCs w:val="24"/>
              </w:rPr>
            </w:pPr>
          </w:p>
        </w:tc>
        <w:tc>
          <w:tcPr>
            <w:tcW w:w="2169" w:type="dxa"/>
          </w:tcPr>
          <w:p w14:paraId="382CA8BC" w14:textId="77777777" w:rsidR="002641D2" w:rsidRPr="00FA3F9C" w:rsidRDefault="002641D2" w:rsidP="005C1302">
            <w:pPr>
              <w:rPr>
                <w:rFonts w:ascii="Arial" w:hAnsi="Arial" w:cs="Arial"/>
                <w:sz w:val="24"/>
                <w:szCs w:val="24"/>
              </w:rPr>
            </w:pPr>
          </w:p>
        </w:tc>
        <w:tc>
          <w:tcPr>
            <w:tcW w:w="2170" w:type="dxa"/>
          </w:tcPr>
          <w:p w14:paraId="24520FDC" w14:textId="77777777" w:rsidR="002641D2" w:rsidRPr="00FA3F9C" w:rsidRDefault="002641D2" w:rsidP="005C1302">
            <w:pPr>
              <w:rPr>
                <w:rFonts w:ascii="Arial" w:hAnsi="Arial" w:cs="Arial"/>
                <w:sz w:val="24"/>
                <w:szCs w:val="24"/>
              </w:rPr>
            </w:pPr>
          </w:p>
        </w:tc>
        <w:tc>
          <w:tcPr>
            <w:tcW w:w="2170" w:type="dxa"/>
          </w:tcPr>
          <w:p w14:paraId="7B374369" w14:textId="77777777" w:rsidR="002641D2" w:rsidRPr="00FA3F9C" w:rsidRDefault="002641D2" w:rsidP="005C1302">
            <w:pPr>
              <w:rPr>
                <w:rFonts w:ascii="Arial" w:hAnsi="Arial" w:cs="Arial"/>
                <w:sz w:val="24"/>
                <w:szCs w:val="24"/>
              </w:rPr>
            </w:pPr>
          </w:p>
        </w:tc>
      </w:tr>
    </w:tbl>
    <w:p w14:paraId="3D870EF3" w14:textId="77777777" w:rsidR="002641D2" w:rsidRPr="00FA3F9C" w:rsidRDefault="002641D2">
      <w:pPr>
        <w:rPr>
          <w:rFonts w:ascii="Arial" w:hAnsi="Arial" w:cs="Arial"/>
          <w:sz w:val="24"/>
          <w:szCs w:val="24"/>
        </w:rPr>
      </w:pPr>
    </w:p>
    <w:p w14:paraId="4429ABF9" w14:textId="77777777" w:rsidR="002641D2" w:rsidRPr="00FA3F9C" w:rsidRDefault="002641D2" w:rsidP="00BE7C2A">
      <w:pPr>
        <w:pStyle w:val="Heading2"/>
        <w:rPr>
          <w:lang w:val="es-ES"/>
        </w:rPr>
      </w:pPr>
      <w:bookmarkStart w:id="121" w:name="_Toc106369804"/>
      <w:proofErr w:type="spellStart"/>
      <w:r w:rsidRPr="00FA3F9C">
        <w:rPr>
          <w:lang w:val="es-ES"/>
        </w:rPr>
        <w:t>Fentanyl</w:t>
      </w:r>
      <w:proofErr w:type="spellEnd"/>
      <w:r w:rsidRPr="00FA3F9C">
        <w:rPr>
          <w:lang w:val="es-ES"/>
        </w:rPr>
        <w:t xml:space="preserve"> (</w:t>
      </w:r>
      <w:proofErr w:type="spellStart"/>
      <w:r w:rsidRPr="00FA3F9C">
        <w:rPr>
          <w:lang w:val="es-ES"/>
        </w:rPr>
        <w:t>Actiq</w:t>
      </w:r>
      <w:proofErr w:type="spellEnd"/>
      <w:r w:rsidRPr="00FA3F9C">
        <w:rPr>
          <w:lang w:val="es-ES"/>
        </w:rPr>
        <w:t>/</w:t>
      </w:r>
      <w:proofErr w:type="spellStart"/>
      <w:r w:rsidRPr="00FA3F9C">
        <w:rPr>
          <w:lang w:val="es-ES"/>
        </w:rPr>
        <w:t>Fentora</w:t>
      </w:r>
      <w:proofErr w:type="spellEnd"/>
      <w:r w:rsidRPr="00FA3F9C">
        <w:rPr>
          <w:lang w:val="es-ES"/>
        </w:rPr>
        <w:t>)</w:t>
      </w:r>
      <w:bookmarkEnd w:id="121"/>
    </w:p>
    <w:p w14:paraId="0DB73E5C" w14:textId="156B980E" w:rsidR="002641D2" w:rsidRDefault="002641D2" w:rsidP="009E4681">
      <w:pPr>
        <w:jc w:val="center"/>
        <w:rPr>
          <w:rFonts w:ascii="Arial" w:hAnsi="Arial" w:cs="Arial"/>
          <w:b/>
          <w:sz w:val="24"/>
          <w:szCs w:val="24"/>
        </w:rPr>
      </w:pPr>
      <w:r w:rsidRPr="00FA3F9C">
        <w:rPr>
          <w:rFonts w:ascii="Arial" w:hAnsi="Arial" w:cs="Arial"/>
          <w:b/>
          <w:sz w:val="24"/>
          <w:szCs w:val="24"/>
        </w:rPr>
        <w:t>(</w:t>
      </w:r>
      <w:proofErr w:type="spellStart"/>
      <w:r w:rsidRPr="00FA3F9C">
        <w:rPr>
          <w:rFonts w:ascii="Arial" w:hAnsi="Arial" w:cs="Arial"/>
          <w:b/>
          <w:sz w:val="24"/>
          <w:szCs w:val="24"/>
        </w:rPr>
        <w:t>Lazanda</w:t>
      </w:r>
      <w:proofErr w:type="spellEnd"/>
      <w:r w:rsidRPr="00FA3F9C">
        <w:rPr>
          <w:rFonts w:ascii="Arial" w:hAnsi="Arial" w:cs="Arial"/>
          <w:b/>
          <w:sz w:val="24"/>
          <w:szCs w:val="24"/>
        </w:rPr>
        <w:t xml:space="preserve"> Spray was excluded from coverage 5/15/12 as a new drug.)</w:t>
      </w:r>
    </w:p>
    <w:p w14:paraId="5BB506E2" w14:textId="0D4A448D" w:rsidR="00BE7C2A" w:rsidRPr="00222A23" w:rsidRDefault="00BE7C2A" w:rsidP="00BE7C2A">
      <w:pPr>
        <w:jc w:val="center"/>
        <w:rPr>
          <w:rFonts w:ascii="Arial" w:hAnsi="Arial" w:cs="Arial"/>
          <w:b/>
          <w:sz w:val="24"/>
          <w:szCs w:val="24"/>
        </w:rPr>
      </w:pPr>
      <w:proofErr w:type="spellStart"/>
      <w:r w:rsidRPr="00222A23">
        <w:rPr>
          <w:rFonts w:ascii="Arial" w:hAnsi="Arial" w:cs="Arial"/>
          <w:b/>
          <w:sz w:val="24"/>
          <w:szCs w:val="24"/>
        </w:rPr>
        <w:t>ERx</w:t>
      </w:r>
      <w:proofErr w:type="spellEnd"/>
      <w:r w:rsidRPr="00222A23">
        <w:rPr>
          <w:rFonts w:ascii="Arial" w:hAnsi="Arial" w:cs="Arial"/>
          <w:b/>
          <w:sz w:val="24"/>
          <w:szCs w:val="24"/>
        </w:rPr>
        <w:t xml:space="preserve"> PA Criteria </w:t>
      </w:r>
    </w:p>
    <w:p w14:paraId="49E00D2A" w14:textId="77777777" w:rsidR="002641D2" w:rsidRPr="00FA3F9C" w:rsidRDefault="002641D2" w:rsidP="0061466B">
      <w:pPr>
        <w:jc w:val="center"/>
        <w:rPr>
          <w:rFonts w:ascii="Arial" w:hAnsi="Arial" w:cs="Arial"/>
          <w:sz w:val="24"/>
          <w:szCs w:val="24"/>
        </w:rPr>
      </w:pPr>
      <w:r w:rsidRPr="00FA3F9C">
        <w:rPr>
          <w:rFonts w:ascii="Arial" w:hAnsi="Arial" w:cs="Arial"/>
          <w:sz w:val="24"/>
          <w:szCs w:val="24"/>
        </w:rPr>
        <w:t>(PA required only for quantity&gt;7.)</w:t>
      </w:r>
    </w:p>
    <w:p w14:paraId="3365D183" w14:textId="77777777" w:rsidR="002641D2" w:rsidRPr="00FA3F9C" w:rsidRDefault="002641D2" w:rsidP="009E4681">
      <w:pPr>
        <w:jc w:val="cente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90"/>
        <w:gridCol w:w="4280"/>
      </w:tblGrid>
      <w:tr w:rsidR="002641D2" w:rsidRPr="00FA3F9C" w14:paraId="60ED5A1D" w14:textId="77777777" w:rsidTr="00671B43">
        <w:tc>
          <w:tcPr>
            <w:tcW w:w="0" w:type="auto"/>
          </w:tcPr>
          <w:p w14:paraId="64234C7B" w14:textId="77777777" w:rsidR="002641D2" w:rsidRPr="00FA3F9C" w:rsidRDefault="002641D2" w:rsidP="009A6E67">
            <w:pPr>
              <w:rPr>
                <w:rFonts w:ascii="Arial" w:hAnsi="Arial" w:cs="Arial"/>
                <w:sz w:val="24"/>
                <w:szCs w:val="24"/>
              </w:rPr>
            </w:pPr>
            <w:r w:rsidRPr="00FA3F9C">
              <w:rPr>
                <w:rFonts w:ascii="Arial" w:hAnsi="Arial" w:cs="Arial"/>
                <w:sz w:val="24"/>
                <w:szCs w:val="24"/>
              </w:rPr>
              <w:t>1.  Does the patient have a diagnosis of cancer?</w:t>
            </w:r>
          </w:p>
        </w:tc>
        <w:tc>
          <w:tcPr>
            <w:tcW w:w="0" w:type="auto"/>
          </w:tcPr>
          <w:p w14:paraId="3939E5DF" w14:textId="77777777" w:rsidR="002641D2" w:rsidRPr="00FA3F9C" w:rsidRDefault="002641D2" w:rsidP="009A6E67">
            <w:pPr>
              <w:rPr>
                <w:rFonts w:ascii="Arial" w:hAnsi="Arial" w:cs="Arial"/>
                <w:sz w:val="24"/>
                <w:szCs w:val="24"/>
              </w:rPr>
            </w:pPr>
            <w:r w:rsidRPr="00FA3F9C">
              <w:rPr>
                <w:rFonts w:ascii="Arial" w:hAnsi="Arial" w:cs="Arial"/>
                <w:sz w:val="24"/>
                <w:szCs w:val="24"/>
              </w:rPr>
              <w:sym w:font="Symbol" w:char="F0F0"/>
            </w:r>
            <w:r w:rsidRPr="00FA3F9C">
              <w:rPr>
                <w:rFonts w:ascii="Arial" w:hAnsi="Arial" w:cs="Arial"/>
                <w:sz w:val="24"/>
                <w:szCs w:val="24"/>
              </w:rPr>
              <w:t xml:space="preserve"> Yes</w:t>
            </w:r>
            <w:r w:rsidRPr="00FA3F9C">
              <w:rPr>
                <w:rFonts w:ascii="Arial" w:hAnsi="Arial" w:cs="Arial"/>
                <w:sz w:val="24"/>
                <w:szCs w:val="24"/>
              </w:rPr>
              <w:tab/>
            </w:r>
            <w:r w:rsidRPr="00FA3F9C">
              <w:rPr>
                <w:rFonts w:ascii="Arial" w:hAnsi="Arial" w:cs="Arial"/>
                <w:sz w:val="24"/>
                <w:szCs w:val="24"/>
              </w:rPr>
              <w:tab/>
            </w:r>
            <w:r w:rsidRPr="00FA3F9C">
              <w:rPr>
                <w:rFonts w:ascii="Arial" w:hAnsi="Arial" w:cs="Arial"/>
                <w:sz w:val="24"/>
                <w:szCs w:val="24"/>
              </w:rPr>
              <w:sym w:font="Symbol" w:char="F0F0"/>
            </w:r>
            <w:r w:rsidRPr="00FA3F9C">
              <w:rPr>
                <w:rFonts w:ascii="Arial" w:hAnsi="Arial" w:cs="Arial"/>
                <w:sz w:val="24"/>
                <w:szCs w:val="24"/>
              </w:rPr>
              <w:t xml:space="preserve"> No</w:t>
            </w:r>
          </w:p>
          <w:p w14:paraId="7D347805" w14:textId="77777777" w:rsidR="002641D2" w:rsidRPr="00FA3F9C" w:rsidRDefault="002641D2" w:rsidP="009A6E67">
            <w:pPr>
              <w:rPr>
                <w:rFonts w:ascii="Arial" w:hAnsi="Arial" w:cs="Arial"/>
                <w:b/>
                <w:sz w:val="24"/>
                <w:szCs w:val="24"/>
              </w:rPr>
            </w:pPr>
            <w:r w:rsidRPr="00FA3F9C">
              <w:rPr>
                <w:rFonts w:ascii="Arial" w:hAnsi="Arial" w:cs="Arial"/>
                <w:b/>
                <w:sz w:val="24"/>
                <w:szCs w:val="24"/>
              </w:rPr>
              <w:t>If yes, go on to next question.  If no, stop and deny coverage.</w:t>
            </w:r>
          </w:p>
        </w:tc>
      </w:tr>
      <w:tr w:rsidR="002641D2" w:rsidRPr="00FA3F9C" w14:paraId="6FF32640" w14:textId="77777777" w:rsidTr="00671B43">
        <w:tc>
          <w:tcPr>
            <w:tcW w:w="0" w:type="auto"/>
          </w:tcPr>
          <w:p w14:paraId="0CA705F2" w14:textId="77777777" w:rsidR="002641D2" w:rsidRPr="00FA3F9C" w:rsidRDefault="002641D2" w:rsidP="009A6E67">
            <w:pPr>
              <w:rPr>
                <w:rFonts w:ascii="Arial" w:hAnsi="Arial" w:cs="Arial"/>
                <w:sz w:val="24"/>
                <w:szCs w:val="24"/>
              </w:rPr>
            </w:pPr>
            <w:r w:rsidRPr="00FA3F9C">
              <w:rPr>
                <w:rFonts w:ascii="Arial" w:hAnsi="Arial" w:cs="Arial"/>
                <w:sz w:val="24"/>
                <w:szCs w:val="24"/>
              </w:rPr>
              <w:lastRenderedPageBreak/>
              <w:t xml:space="preserve">2.  Is the patient opioid tolerant </w:t>
            </w:r>
          </w:p>
          <w:p w14:paraId="7E9BCE9B" w14:textId="77777777" w:rsidR="002641D2" w:rsidRPr="00FA3F9C" w:rsidRDefault="002641D2" w:rsidP="009A6E67">
            <w:pPr>
              <w:rPr>
                <w:rFonts w:ascii="Arial" w:hAnsi="Arial" w:cs="Arial"/>
                <w:sz w:val="24"/>
                <w:szCs w:val="24"/>
              </w:rPr>
            </w:pPr>
            <w:r w:rsidRPr="00FA3F9C">
              <w:rPr>
                <w:rFonts w:ascii="Arial" w:hAnsi="Arial" w:cs="Arial"/>
                <w:sz w:val="24"/>
                <w:szCs w:val="24"/>
              </w:rPr>
              <w:t>(</w:t>
            </w:r>
            <w:proofErr w:type="gramStart"/>
            <w:r w:rsidRPr="00FA3F9C">
              <w:rPr>
                <w:rFonts w:ascii="Arial" w:hAnsi="Arial" w:cs="Arial"/>
                <w:sz w:val="24"/>
                <w:szCs w:val="24"/>
              </w:rPr>
              <w:t>taking</w:t>
            </w:r>
            <w:proofErr w:type="gramEnd"/>
            <w:r w:rsidRPr="00FA3F9C">
              <w:rPr>
                <w:rFonts w:ascii="Arial" w:hAnsi="Arial" w:cs="Arial"/>
                <w:sz w:val="24"/>
                <w:szCs w:val="24"/>
              </w:rPr>
              <w:t xml:space="preserve"> at least 60 mg morphine per day, at least 25 mcg/hour of transdermal fentanyl, at least 30 mg oxycodone daily, at least 8mg oral hydromorphone daily, or an equianalgesic dose of another opioid for a week or longer)?</w:t>
            </w:r>
          </w:p>
        </w:tc>
        <w:tc>
          <w:tcPr>
            <w:tcW w:w="0" w:type="auto"/>
          </w:tcPr>
          <w:p w14:paraId="3A520B44" w14:textId="77777777" w:rsidR="002641D2" w:rsidRPr="00FA3F9C" w:rsidRDefault="002641D2" w:rsidP="009A6E67">
            <w:pPr>
              <w:rPr>
                <w:rFonts w:ascii="Arial" w:hAnsi="Arial" w:cs="Arial"/>
                <w:sz w:val="24"/>
                <w:szCs w:val="24"/>
              </w:rPr>
            </w:pPr>
            <w:r w:rsidRPr="00FA3F9C">
              <w:rPr>
                <w:rFonts w:ascii="Arial" w:hAnsi="Arial" w:cs="Arial"/>
                <w:sz w:val="24"/>
                <w:szCs w:val="24"/>
              </w:rPr>
              <w:sym w:font="Symbol" w:char="F0F0"/>
            </w:r>
            <w:r w:rsidRPr="00FA3F9C">
              <w:rPr>
                <w:rFonts w:ascii="Arial" w:hAnsi="Arial" w:cs="Arial"/>
                <w:sz w:val="24"/>
                <w:szCs w:val="24"/>
              </w:rPr>
              <w:t xml:space="preserve"> Yes</w:t>
            </w:r>
            <w:r w:rsidRPr="00FA3F9C">
              <w:rPr>
                <w:rFonts w:ascii="Arial" w:hAnsi="Arial" w:cs="Arial"/>
                <w:sz w:val="24"/>
                <w:szCs w:val="24"/>
              </w:rPr>
              <w:tab/>
            </w:r>
            <w:r w:rsidRPr="00FA3F9C">
              <w:rPr>
                <w:rFonts w:ascii="Arial" w:hAnsi="Arial" w:cs="Arial"/>
                <w:sz w:val="24"/>
                <w:szCs w:val="24"/>
              </w:rPr>
              <w:tab/>
            </w:r>
            <w:r w:rsidRPr="00FA3F9C">
              <w:rPr>
                <w:rFonts w:ascii="Arial" w:hAnsi="Arial" w:cs="Arial"/>
                <w:sz w:val="24"/>
                <w:szCs w:val="24"/>
              </w:rPr>
              <w:sym w:font="Symbol" w:char="F0F0"/>
            </w:r>
            <w:r w:rsidRPr="00FA3F9C">
              <w:rPr>
                <w:rFonts w:ascii="Arial" w:hAnsi="Arial" w:cs="Arial"/>
                <w:sz w:val="24"/>
                <w:szCs w:val="24"/>
              </w:rPr>
              <w:t xml:space="preserve"> No</w:t>
            </w:r>
          </w:p>
          <w:p w14:paraId="78870C63" w14:textId="77777777" w:rsidR="002641D2" w:rsidRPr="00FA3F9C" w:rsidRDefault="002641D2" w:rsidP="009A6E67">
            <w:pPr>
              <w:rPr>
                <w:rFonts w:ascii="Arial" w:hAnsi="Arial" w:cs="Arial"/>
                <w:b/>
                <w:sz w:val="24"/>
                <w:szCs w:val="24"/>
              </w:rPr>
            </w:pPr>
            <w:r w:rsidRPr="00FA3F9C">
              <w:rPr>
                <w:rFonts w:ascii="Arial" w:hAnsi="Arial" w:cs="Arial"/>
                <w:b/>
                <w:sz w:val="24"/>
                <w:szCs w:val="24"/>
              </w:rPr>
              <w:t>If yes, go on to next question.  If no, stop and deny coverage.</w:t>
            </w:r>
          </w:p>
        </w:tc>
      </w:tr>
      <w:tr w:rsidR="002641D2" w:rsidRPr="00FA3F9C" w14:paraId="12503707" w14:textId="77777777" w:rsidTr="00671B43">
        <w:tc>
          <w:tcPr>
            <w:tcW w:w="0" w:type="auto"/>
          </w:tcPr>
          <w:p w14:paraId="5E0F61DB" w14:textId="77777777" w:rsidR="002641D2" w:rsidRPr="00FA3F9C" w:rsidRDefault="002641D2" w:rsidP="009A6E67">
            <w:pPr>
              <w:rPr>
                <w:rFonts w:ascii="Arial" w:hAnsi="Arial" w:cs="Arial"/>
                <w:sz w:val="24"/>
                <w:szCs w:val="24"/>
              </w:rPr>
            </w:pPr>
            <w:r w:rsidRPr="00FA3F9C">
              <w:rPr>
                <w:rFonts w:ascii="Arial" w:hAnsi="Arial" w:cs="Arial"/>
                <w:sz w:val="24"/>
                <w:szCs w:val="24"/>
              </w:rPr>
              <w:t>3.  Has the patient received an MAO-I inhibitor within the past 14 days?</w:t>
            </w:r>
          </w:p>
        </w:tc>
        <w:tc>
          <w:tcPr>
            <w:tcW w:w="0" w:type="auto"/>
          </w:tcPr>
          <w:p w14:paraId="0F29EB19" w14:textId="77777777" w:rsidR="002641D2" w:rsidRPr="00FA3F9C" w:rsidRDefault="002641D2" w:rsidP="009A6E67">
            <w:pPr>
              <w:rPr>
                <w:rFonts w:ascii="Arial" w:hAnsi="Arial" w:cs="Arial"/>
                <w:sz w:val="24"/>
                <w:szCs w:val="24"/>
              </w:rPr>
            </w:pPr>
            <w:r w:rsidRPr="00FA3F9C">
              <w:rPr>
                <w:rFonts w:ascii="Arial" w:hAnsi="Arial" w:cs="Arial"/>
                <w:sz w:val="24"/>
                <w:szCs w:val="24"/>
              </w:rPr>
              <w:sym w:font="Symbol" w:char="F0F0"/>
            </w:r>
            <w:r w:rsidRPr="00FA3F9C">
              <w:rPr>
                <w:rFonts w:ascii="Arial" w:hAnsi="Arial" w:cs="Arial"/>
                <w:sz w:val="24"/>
                <w:szCs w:val="24"/>
              </w:rPr>
              <w:t xml:space="preserve"> Yes</w:t>
            </w:r>
            <w:r w:rsidRPr="00FA3F9C">
              <w:rPr>
                <w:rFonts w:ascii="Arial" w:hAnsi="Arial" w:cs="Arial"/>
                <w:sz w:val="24"/>
                <w:szCs w:val="24"/>
              </w:rPr>
              <w:tab/>
            </w:r>
            <w:r w:rsidRPr="00FA3F9C">
              <w:rPr>
                <w:rFonts w:ascii="Arial" w:hAnsi="Arial" w:cs="Arial"/>
                <w:sz w:val="24"/>
                <w:szCs w:val="24"/>
              </w:rPr>
              <w:tab/>
            </w:r>
            <w:r w:rsidRPr="00FA3F9C">
              <w:rPr>
                <w:rFonts w:ascii="Arial" w:hAnsi="Arial" w:cs="Arial"/>
                <w:sz w:val="24"/>
                <w:szCs w:val="24"/>
              </w:rPr>
              <w:sym w:font="Symbol" w:char="F0F0"/>
            </w:r>
            <w:r w:rsidRPr="00FA3F9C">
              <w:rPr>
                <w:rFonts w:ascii="Arial" w:hAnsi="Arial" w:cs="Arial"/>
                <w:sz w:val="24"/>
                <w:szCs w:val="24"/>
              </w:rPr>
              <w:t xml:space="preserve"> No</w:t>
            </w:r>
          </w:p>
          <w:p w14:paraId="562CDE12" w14:textId="77777777" w:rsidR="002641D2" w:rsidRPr="00FA3F9C" w:rsidRDefault="002641D2" w:rsidP="009A6E67">
            <w:pPr>
              <w:rPr>
                <w:rFonts w:ascii="Arial" w:hAnsi="Arial" w:cs="Arial"/>
                <w:b/>
                <w:sz w:val="24"/>
                <w:szCs w:val="24"/>
              </w:rPr>
            </w:pPr>
            <w:r w:rsidRPr="00FA3F9C">
              <w:rPr>
                <w:rFonts w:ascii="Arial" w:hAnsi="Arial" w:cs="Arial"/>
                <w:b/>
                <w:sz w:val="24"/>
                <w:szCs w:val="24"/>
              </w:rPr>
              <w:t xml:space="preserve">If yes, stop and deny coverage </w:t>
            </w:r>
            <w:proofErr w:type="gramStart"/>
            <w:r w:rsidRPr="00FA3F9C">
              <w:rPr>
                <w:rFonts w:ascii="Arial" w:hAnsi="Arial" w:cs="Arial"/>
                <w:b/>
                <w:sz w:val="24"/>
                <w:szCs w:val="24"/>
              </w:rPr>
              <w:t>at this time</w:t>
            </w:r>
            <w:proofErr w:type="gramEnd"/>
            <w:r w:rsidRPr="00FA3F9C">
              <w:rPr>
                <w:rFonts w:ascii="Arial" w:hAnsi="Arial" w:cs="Arial"/>
                <w:b/>
                <w:sz w:val="24"/>
                <w:szCs w:val="24"/>
              </w:rPr>
              <w:t xml:space="preserve">.  If no, go to next question. </w:t>
            </w:r>
          </w:p>
        </w:tc>
      </w:tr>
      <w:tr w:rsidR="002641D2" w:rsidRPr="00FA3F9C" w14:paraId="07A69FC5" w14:textId="77777777" w:rsidTr="00671B43">
        <w:tc>
          <w:tcPr>
            <w:tcW w:w="0" w:type="auto"/>
          </w:tcPr>
          <w:p w14:paraId="2A5BBCE5" w14:textId="77777777" w:rsidR="002641D2" w:rsidRPr="00FA3F9C" w:rsidRDefault="002641D2" w:rsidP="009A6E67">
            <w:pPr>
              <w:rPr>
                <w:rFonts w:ascii="Arial" w:hAnsi="Arial" w:cs="Arial"/>
                <w:sz w:val="24"/>
                <w:szCs w:val="24"/>
              </w:rPr>
            </w:pPr>
            <w:r w:rsidRPr="00FA3F9C">
              <w:rPr>
                <w:rFonts w:ascii="Arial" w:hAnsi="Arial" w:cs="Arial"/>
                <w:sz w:val="24"/>
                <w:szCs w:val="24"/>
              </w:rPr>
              <w:t>4.  Is the patient able to swallow oral tablets?</w:t>
            </w:r>
          </w:p>
        </w:tc>
        <w:tc>
          <w:tcPr>
            <w:tcW w:w="0" w:type="auto"/>
          </w:tcPr>
          <w:p w14:paraId="1C6A5D42" w14:textId="77777777" w:rsidR="002641D2" w:rsidRPr="00FA3F9C" w:rsidRDefault="002641D2" w:rsidP="009E4681">
            <w:pPr>
              <w:rPr>
                <w:rFonts w:ascii="Arial" w:hAnsi="Arial" w:cs="Arial"/>
                <w:sz w:val="24"/>
                <w:szCs w:val="24"/>
              </w:rPr>
            </w:pPr>
            <w:r w:rsidRPr="00FA3F9C">
              <w:rPr>
                <w:rFonts w:ascii="Arial" w:hAnsi="Arial" w:cs="Arial"/>
                <w:sz w:val="24"/>
                <w:szCs w:val="24"/>
              </w:rPr>
              <w:sym w:font="Symbol" w:char="F0F0"/>
            </w:r>
            <w:r w:rsidRPr="00FA3F9C">
              <w:rPr>
                <w:rFonts w:ascii="Arial" w:hAnsi="Arial" w:cs="Arial"/>
                <w:sz w:val="24"/>
                <w:szCs w:val="24"/>
              </w:rPr>
              <w:t xml:space="preserve"> Yes</w:t>
            </w:r>
            <w:r w:rsidRPr="00FA3F9C">
              <w:rPr>
                <w:rFonts w:ascii="Arial" w:hAnsi="Arial" w:cs="Arial"/>
                <w:sz w:val="24"/>
                <w:szCs w:val="24"/>
              </w:rPr>
              <w:tab/>
            </w:r>
            <w:r w:rsidRPr="00FA3F9C">
              <w:rPr>
                <w:rFonts w:ascii="Arial" w:hAnsi="Arial" w:cs="Arial"/>
                <w:sz w:val="24"/>
                <w:szCs w:val="24"/>
              </w:rPr>
              <w:tab/>
            </w:r>
            <w:r w:rsidRPr="00FA3F9C">
              <w:rPr>
                <w:rFonts w:ascii="Arial" w:hAnsi="Arial" w:cs="Arial"/>
                <w:sz w:val="24"/>
                <w:szCs w:val="24"/>
              </w:rPr>
              <w:sym w:font="Symbol" w:char="F0F0"/>
            </w:r>
            <w:r w:rsidRPr="00FA3F9C">
              <w:rPr>
                <w:rFonts w:ascii="Arial" w:hAnsi="Arial" w:cs="Arial"/>
                <w:sz w:val="24"/>
                <w:szCs w:val="24"/>
              </w:rPr>
              <w:t xml:space="preserve"> No</w:t>
            </w:r>
          </w:p>
          <w:p w14:paraId="37886C11" w14:textId="77777777" w:rsidR="002641D2" w:rsidRPr="00FA3F9C" w:rsidRDefault="002641D2" w:rsidP="009E4681">
            <w:pPr>
              <w:rPr>
                <w:rFonts w:ascii="Arial" w:hAnsi="Arial" w:cs="Arial"/>
                <w:sz w:val="24"/>
                <w:szCs w:val="24"/>
              </w:rPr>
            </w:pPr>
            <w:r w:rsidRPr="00FA3F9C">
              <w:rPr>
                <w:rFonts w:ascii="Arial" w:hAnsi="Arial" w:cs="Arial"/>
                <w:b/>
                <w:sz w:val="24"/>
                <w:szCs w:val="24"/>
              </w:rPr>
              <w:t xml:space="preserve">If yes, stop and deny coverage </w:t>
            </w:r>
            <w:proofErr w:type="gramStart"/>
            <w:r w:rsidRPr="00FA3F9C">
              <w:rPr>
                <w:rFonts w:ascii="Arial" w:hAnsi="Arial" w:cs="Arial"/>
                <w:b/>
                <w:sz w:val="24"/>
                <w:szCs w:val="24"/>
              </w:rPr>
              <w:t>at this time</w:t>
            </w:r>
            <w:proofErr w:type="gramEnd"/>
            <w:r w:rsidRPr="00FA3F9C">
              <w:rPr>
                <w:rFonts w:ascii="Arial" w:hAnsi="Arial" w:cs="Arial"/>
                <w:b/>
                <w:sz w:val="24"/>
                <w:szCs w:val="24"/>
              </w:rPr>
              <w:t>.  If no, go to the approval statement below.</w:t>
            </w:r>
          </w:p>
        </w:tc>
      </w:tr>
      <w:tr w:rsidR="002641D2" w:rsidRPr="00FA3F9C" w14:paraId="66024D4B" w14:textId="77777777" w:rsidTr="00671B43">
        <w:tc>
          <w:tcPr>
            <w:tcW w:w="0" w:type="auto"/>
            <w:gridSpan w:val="2"/>
          </w:tcPr>
          <w:p w14:paraId="1E4C0902" w14:textId="77777777" w:rsidR="002641D2" w:rsidRPr="00FA3F9C" w:rsidRDefault="002641D2" w:rsidP="009A6E67">
            <w:pPr>
              <w:rPr>
                <w:rFonts w:ascii="Arial" w:hAnsi="Arial" w:cs="Arial"/>
                <w:b/>
                <w:sz w:val="24"/>
                <w:szCs w:val="24"/>
              </w:rPr>
            </w:pPr>
            <w:r w:rsidRPr="00FA3F9C">
              <w:rPr>
                <w:rFonts w:ascii="Arial" w:hAnsi="Arial" w:cs="Arial"/>
                <w:b/>
                <w:sz w:val="24"/>
                <w:szCs w:val="24"/>
              </w:rPr>
              <w:t>If questions 1, 2, are answered “yes”, and question 3 &amp; 4 are answered “no”, then approve PA.</w:t>
            </w:r>
          </w:p>
        </w:tc>
      </w:tr>
      <w:tr w:rsidR="002641D2" w:rsidRPr="00FA3F9C" w14:paraId="4634F2E5" w14:textId="77777777" w:rsidTr="00671B43">
        <w:tc>
          <w:tcPr>
            <w:tcW w:w="0" w:type="auto"/>
            <w:gridSpan w:val="2"/>
          </w:tcPr>
          <w:p w14:paraId="015C1F99" w14:textId="77777777" w:rsidR="002641D2" w:rsidRPr="00FA3F9C" w:rsidRDefault="002641D2" w:rsidP="009A6E67">
            <w:pPr>
              <w:rPr>
                <w:rFonts w:ascii="Arial" w:hAnsi="Arial" w:cs="Arial"/>
                <w:sz w:val="24"/>
                <w:szCs w:val="24"/>
              </w:rPr>
            </w:pPr>
            <w:r w:rsidRPr="00FA3F9C">
              <w:rPr>
                <w:rFonts w:ascii="Arial" w:hAnsi="Arial" w:cs="Arial"/>
                <w:sz w:val="24"/>
                <w:szCs w:val="24"/>
              </w:rPr>
              <w:t>If approved for coverage, PA is good for 1 year.</w:t>
            </w:r>
          </w:p>
        </w:tc>
      </w:tr>
      <w:tr w:rsidR="002641D2" w:rsidRPr="00FA3F9C" w14:paraId="3E61A178" w14:textId="77777777" w:rsidTr="00671B43">
        <w:tc>
          <w:tcPr>
            <w:tcW w:w="0" w:type="auto"/>
            <w:gridSpan w:val="2"/>
          </w:tcPr>
          <w:p w14:paraId="78570B83" w14:textId="77777777" w:rsidR="002641D2" w:rsidRPr="00FA3F9C" w:rsidRDefault="002641D2" w:rsidP="009A6E67">
            <w:pPr>
              <w:rPr>
                <w:rFonts w:ascii="Arial" w:hAnsi="Arial" w:cs="Arial"/>
                <w:sz w:val="24"/>
                <w:szCs w:val="24"/>
              </w:rPr>
            </w:pPr>
            <w:r w:rsidRPr="00FA3F9C">
              <w:rPr>
                <w:rFonts w:ascii="Arial" w:hAnsi="Arial" w:cs="Arial"/>
                <w:sz w:val="24"/>
                <w:szCs w:val="24"/>
              </w:rPr>
              <w:t xml:space="preserve">Quantity limits: 90 units/30 days </w:t>
            </w:r>
          </w:p>
        </w:tc>
      </w:tr>
    </w:tbl>
    <w:p w14:paraId="427C3C41" w14:textId="77777777" w:rsidR="002641D2" w:rsidRPr="00FA3F9C" w:rsidRDefault="002641D2" w:rsidP="009E4681">
      <w:pPr>
        <w:rPr>
          <w:rFonts w:ascii="Arial" w:hAnsi="Arial" w:cs="Arial"/>
          <w:b/>
          <w:sz w:val="24"/>
          <w:szCs w:val="24"/>
        </w:rPr>
      </w:pPr>
      <w:r w:rsidRPr="00FA3F9C">
        <w:rPr>
          <w:rFonts w:ascii="Arial" w:hAnsi="Arial" w:cs="Arial"/>
          <w:b/>
          <w:sz w:val="24"/>
          <w:szCs w:val="24"/>
        </w:rPr>
        <w:t>References:</w:t>
      </w:r>
    </w:p>
    <w:p w14:paraId="33206447" w14:textId="77777777" w:rsidR="002641D2" w:rsidRPr="00FA3F9C" w:rsidRDefault="002641D2" w:rsidP="002641D2">
      <w:pPr>
        <w:numPr>
          <w:ilvl w:val="0"/>
          <w:numId w:val="218"/>
        </w:numPr>
        <w:spacing w:after="0" w:line="240" w:lineRule="auto"/>
        <w:rPr>
          <w:rFonts w:ascii="Arial" w:hAnsi="Arial" w:cs="Arial"/>
          <w:b/>
          <w:sz w:val="24"/>
          <w:szCs w:val="24"/>
        </w:rPr>
      </w:pPr>
      <w:proofErr w:type="spellStart"/>
      <w:r w:rsidRPr="00FA3F9C">
        <w:rPr>
          <w:rFonts w:ascii="Arial" w:hAnsi="Arial" w:cs="Arial"/>
          <w:b/>
          <w:sz w:val="24"/>
          <w:szCs w:val="24"/>
        </w:rPr>
        <w:t>Actiq</w:t>
      </w:r>
      <w:proofErr w:type="spellEnd"/>
      <w:r w:rsidRPr="00FA3F9C">
        <w:rPr>
          <w:rFonts w:ascii="Arial" w:hAnsi="Arial" w:cs="Arial"/>
          <w:b/>
          <w:sz w:val="24"/>
          <w:szCs w:val="24"/>
        </w:rPr>
        <w:t xml:space="preserve"> Package Insert. Current as of 11-13-06.</w:t>
      </w:r>
    </w:p>
    <w:p w14:paraId="7CB3C963" w14:textId="77777777" w:rsidR="002641D2" w:rsidRPr="00FA3F9C" w:rsidRDefault="002641D2" w:rsidP="002641D2">
      <w:pPr>
        <w:numPr>
          <w:ilvl w:val="0"/>
          <w:numId w:val="218"/>
        </w:numPr>
        <w:spacing w:after="0" w:line="240" w:lineRule="auto"/>
        <w:rPr>
          <w:rFonts w:ascii="Arial" w:hAnsi="Arial" w:cs="Arial"/>
          <w:b/>
          <w:sz w:val="24"/>
          <w:szCs w:val="24"/>
        </w:rPr>
      </w:pPr>
      <w:proofErr w:type="spellStart"/>
      <w:r w:rsidRPr="00FA3F9C">
        <w:rPr>
          <w:rFonts w:ascii="Arial" w:hAnsi="Arial" w:cs="Arial"/>
          <w:b/>
          <w:sz w:val="24"/>
          <w:szCs w:val="24"/>
        </w:rPr>
        <w:t>Coluzzi</w:t>
      </w:r>
      <w:proofErr w:type="spellEnd"/>
      <w:r w:rsidRPr="00FA3F9C">
        <w:rPr>
          <w:rFonts w:ascii="Arial" w:hAnsi="Arial" w:cs="Arial"/>
          <w:b/>
          <w:sz w:val="24"/>
          <w:szCs w:val="24"/>
        </w:rPr>
        <w:t xml:space="preserve"> PH, et al.  Breakthrough cancer pain:  a randomized trial comparing oral transmucosal fentanyl citrate (OTFC) and morphine sulfate immediate release (MSIR).  Pain. 2001; 91:123-130.</w:t>
      </w:r>
    </w:p>
    <w:p w14:paraId="1841D3C1" w14:textId="77777777" w:rsidR="002641D2" w:rsidRPr="00FA3F9C" w:rsidRDefault="002641D2" w:rsidP="0061466B">
      <w:pPr>
        <w:rPr>
          <w:rFonts w:ascii="Arial" w:hAnsi="Arial" w:cs="Arial"/>
          <w:b/>
          <w:sz w:val="24"/>
          <w:szCs w:val="24"/>
        </w:rPr>
      </w:pPr>
    </w:p>
    <w:p w14:paraId="30653F19" w14:textId="77777777" w:rsidR="002641D2" w:rsidRPr="00FA3F9C" w:rsidRDefault="002641D2" w:rsidP="0061466B">
      <w:pPr>
        <w:rPr>
          <w:rFonts w:ascii="Arial" w:hAnsi="Arial" w:cs="Arial"/>
          <w:b/>
          <w:sz w:val="24"/>
          <w:szCs w:val="24"/>
        </w:rPr>
      </w:pPr>
      <w:r w:rsidRPr="00FA3F9C">
        <w:rPr>
          <w:rFonts w:ascii="Arial" w:hAnsi="Arial" w:cs="Arial"/>
          <w:b/>
          <w:sz w:val="24"/>
          <w:szCs w:val="24"/>
        </w:rPr>
        <w:t xml:space="preserve">Notes:  No grandfathering. </w:t>
      </w:r>
    </w:p>
    <w:p w14:paraId="37326D76" w14:textId="77777777" w:rsidR="002641D2" w:rsidRPr="00FA3F9C" w:rsidRDefault="002641D2" w:rsidP="0061466B">
      <w:pPr>
        <w:rPr>
          <w:rFonts w:ascii="Arial" w:hAnsi="Arial" w:cs="Arial"/>
          <w:b/>
          <w:sz w:val="24"/>
          <w:szCs w:val="24"/>
        </w:rPr>
      </w:pPr>
    </w:p>
    <w:p w14:paraId="249E175E" w14:textId="77777777" w:rsidR="002641D2" w:rsidRPr="00FA3F9C" w:rsidRDefault="002641D2" w:rsidP="0061466B">
      <w:pPr>
        <w:rPr>
          <w:rFonts w:ascii="Arial" w:hAnsi="Arial" w:cs="Arial"/>
          <w:b/>
          <w:sz w:val="24"/>
          <w:szCs w:val="24"/>
        </w:rPr>
      </w:pPr>
      <w:r w:rsidRPr="00FA3F9C">
        <w:rPr>
          <w:rFonts w:ascii="Arial" w:hAnsi="Arial" w:cs="Arial"/>
          <w:b/>
          <w:sz w:val="24"/>
          <w:szCs w:val="24"/>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4476"/>
        <w:gridCol w:w="1908"/>
      </w:tblGrid>
      <w:tr w:rsidR="002641D2" w:rsidRPr="00FA3F9C" w14:paraId="1B698D8C" w14:textId="77777777" w:rsidTr="008006A4">
        <w:tc>
          <w:tcPr>
            <w:tcW w:w="3192" w:type="dxa"/>
          </w:tcPr>
          <w:p w14:paraId="5FF34045" w14:textId="77777777" w:rsidR="002641D2" w:rsidRPr="00FA3F9C" w:rsidRDefault="002641D2" w:rsidP="0061466B">
            <w:pPr>
              <w:rPr>
                <w:rFonts w:ascii="Arial" w:hAnsi="Arial" w:cs="Arial"/>
                <w:b/>
                <w:sz w:val="24"/>
                <w:szCs w:val="24"/>
              </w:rPr>
            </w:pPr>
            <w:r w:rsidRPr="00FA3F9C">
              <w:rPr>
                <w:rFonts w:ascii="Arial" w:hAnsi="Arial" w:cs="Arial"/>
                <w:b/>
                <w:sz w:val="24"/>
                <w:szCs w:val="24"/>
              </w:rPr>
              <w:lastRenderedPageBreak/>
              <w:t>Date</w:t>
            </w:r>
          </w:p>
        </w:tc>
        <w:tc>
          <w:tcPr>
            <w:tcW w:w="4476" w:type="dxa"/>
          </w:tcPr>
          <w:p w14:paraId="11F59014" w14:textId="77777777" w:rsidR="002641D2" w:rsidRPr="00FA3F9C" w:rsidRDefault="002641D2" w:rsidP="0061466B">
            <w:pPr>
              <w:rPr>
                <w:rFonts w:ascii="Arial" w:hAnsi="Arial" w:cs="Arial"/>
                <w:b/>
                <w:sz w:val="24"/>
                <w:szCs w:val="24"/>
              </w:rPr>
            </w:pPr>
            <w:r w:rsidRPr="00FA3F9C">
              <w:rPr>
                <w:rFonts w:ascii="Arial" w:hAnsi="Arial" w:cs="Arial"/>
                <w:b/>
                <w:sz w:val="24"/>
                <w:szCs w:val="24"/>
              </w:rPr>
              <w:t>What changed?</w:t>
            </w:r>
          </w:p>
        </w:tc>
        <w:tc>
          <w:tcPr>
            <w:tcW w:w="1908" w:type="dxa"/>
          </w:tcPr>
          <w:p w14:paraId="14A51028" w14:textId="77777777" w:rsidR="002641D2" w:rsidRPr="00FA3F9C" w:rsidRDefault="002641D2" w:rsidP="0061466B">
            <w:pPr>
              <w:rPr>
                <w:rFonts w:ascii="Arial" w:hAnsi="Arial" w:cs="Arial"/>
                <w:b/>
                <w:sz w:val="24"/>
                <w:szCs w:val="24"/>
              </w:rPr>
            </w:pPr>
            <w:r w:rsidRPr="00FA3F9C">
              <w:rPr>
                <w:rFonts w:ascii="Arial" w:hAnsi="Arial" w:cs="Arial"/>
                <w:b/>
                <w:sz w:val="24"/>
                <w:szCs w:val="24"/>
              </w:rPr>
              <w:t>Pharmacist’s initials</w:t>
            </w:r>
          </w:p>
        </w:tc>
      </w:tr>
      <w:tr w:rsidR="002641D2" w:rsidRPr="00FA3F9C" w14:paraId="62C7CF27" w14:textId="77777777" w:rsidTr="008006A4">
        <w:tc>
          <w:tcPr>
            <w:tcW w:w="3192" w:type="dxa"/>
          </w:tcPr>
          <w:p w14:paraId="3B68047C" w14:textId="77777777" w:rsidR="002641D2" w:rsidRPr="00FA3F9C" w:rsidRDefault="002641D2" w:rsidP="0061466B">
            <w:pPr>
              <w:rPr>
                <w:rFonts w:ascii="Arial" w:hAnsi="Arial" w:cs="Arial"/>
                <w:b/>
                <w:sz w:val="24"/>
                <w:szCs w:val="24"/>
              </w:rPr>
            </w:pPr>
            <w:r w:rsidRPr="00FA3F9C">
              <w:rPr>
                <w:rFonts w:ascii="Arial" w:hAnsi="Arial" w:cs="Arial"/>
                <w:b/>
                <w:sz w:val="24"/>
                <w:szCs w:val="24"/>
              </w:rPr>
              <w:t>2/6/07</w:t>
            </w:r>
          </w:p>
        </w:tc>
        <w:tc>
          <w:tcPr>
            <w:tcW w:w="4476" w:type="dxa"/>
          </w:tcPr>
          <w:p w14:paraId="2080CD9C" w14:textId="77777777" w:rsidR="002641D2" w:rsidRPr="00FA3F9C" w:rsidRDefault="002641D2" w:rsidP="0061466B">
            <w:pPr>
              <w:rPr>
                <w:rFonts w:ascii="Arial" w:hAnsi="Arial" w:cs="Arial"/>
                <w:b/>
                <w:sz w:val="24"/>
                <w:szCs w:val="24"/>
              </w:rPr>
            </w:pPr>
            <w:proofErr w:type="spellStart"/>
            <w:r w:rsidRPr="00FA3F9C">
              <w:rPr>
                <w:rFonts w:ascii="Arial" w:hAnsi="Arial" w:cs="Arial"/>
                <w:b/>
                <w:sz w:val="24"/>
                <w:szCs w:val="24"/>
              </w:rPr>
              <w:t>Actiq</w:t>
            </w:r>
            <w:proofErr w:type="spellEnd"/>
            <w:r w:rsidRPr="00FA3F9C">
              <w:rPr>
                <w:rFonts w:ascii="Arial" w:hAnsi="Arial" w:cs="Arial"/>
                <w:b/>
                <w:sz w:val="24"/>
                <w:szCs w:val="24"/>
              </w:rPr>
              <w:t xml:space="preserve"> criteria </w:t>
            </w:r>
            <w:proofErr w:type="gramStart"/>
            <w:r w:rsidRPr="00FA3F9C">
              <w:rPr>
                <w:rFonts w:ascii="Arial" w:hAnsi="Arial" w:cs="Arial"/>
                <w:b/>
                <w:sz w:val="24"/>
                <w:szCs w:val="24"/>
              </w:rPr>
              <w:t>written;</w:t>
            </w:r>
            <w:proofErr w:type="gramEnd"/>
            <w:r w:rsidRPr="00FA3F9C">
              <w:rPr>
                <w:rFonts w:ascii="Arial" w:hAnsi="Arial" w:cs="Arial"/>
                <w:b/>
                <w:sz w:val="24"/>
                <w:szCs w:val="24"/>
              </w:rPr>
              <w:t xml:space="preserve"> </w:t>
            </w:r>
            <w:proofErr w:type="spellStart"/>
            <w:r w:rsidRPr="00FA3F9C">
              <w:rPr>
                <w:rFonts w:ascii="Arial" w:hAnsi="Arial" w:cs="Arial"/>
                <w:b/>
                <w:sz w:val="24"/>
                <w:szCs w:val="24"/>
              </w:rPr>
              <w:t>Fentora</w:t>
            </w:r>
            <w:proofErr w:type="spellEnd"/>
            <w:r w:rsidRPr="00FA3F9C">
              <w:rPr>
                <w:rFonts w:ascii="Arial" w:hAnsi="Arial" w:cs="Arial"/>
                <w:b/>
                <w:sz w:val="24"/>
                <w:szCs w:val="24"/>
              </w:rPr>
              <w:t xml:space="preserve"> added.</w:t>
            </w:r>
          </w:p>
        </w:tc>
        <w:tc>
          <w:tcPr>
            <w:tcW w:w="1908" w:type="dxa"/>
          </w:tcPr>
          <w:p w14:paraId="085C94DE" w14:textId="77777777" w:rsidR="002641D2" w:rsidRPr="00FA3F9C" w:rsidRDefault="002641D2" w:rsidP="0061466B">
            <w:pPr>
              <w:rPr>
                <w:rFonts w:ascii="Arial" w:hAnsi="Arial" w:cs="Arial"/>
                <w:b/>
                <w:sz w:val="24"/>
                <w:szCs w:val="24"/>
              </w:rPr>
            </w:pPr>
            <w:r w:rsidRPr="00FA3F9C">
              <w:rPr>
                <w:rFonts w:ascii="Arial" w:hAnsi="Arial" w:cs="Arial"/>
                <w:b/>
                <w:sz w:val="24"/>
                <w:szCs w:val="24"/>
              </w:rPr>
              <w:t>JJ</w:t>
            </w:r>
          </w:p>
        </w:tc>
      </w:tr>
      <w:tr w:rsidR="002641D2" w:rsidRPr="00FA3F9C" w14:paraId="49AB748C" w14:textId="77777777" w:rsidTr="008006A4">
        <w:tc>
          <w:tcPr>
            <w:tcW w:w="3192" w:type="dxa"/>
          </w:tcPr>
          <w:p w14:paraId="26630873" w14:textId="77777777" w:rsidR="002641D2" w:rsidRPr="00FA3F9C" w:rsidRDefault="002641D2" w:rsidP="0061466B">
            <w:pPr>
              <w:rPr>
                <w:rFonts w:ascii="Arial" w:hAnsi="Arial" w:cs="Arial"/>
                <w:b/>
                <w:sz w:val="24"/>
                <w:szCs w:val="24"/>
              </w:rPr>
            </w:pPr>
          </w:p>
        </w:tc>
        <w:tc>
          <w:tcPr>
            <w:tcW w:w="4476" w:type="dxa"/>
          </w:tcPr>
          <w:p w14:paraId="4047F23A" w14:textId="77777777" w:rsidR="002641D2" w:rsidRPr="00FA3F9C" w:rsidRDefault="002641D2" w:rsidP="0061466B">
            <w:pPr>
              <w:rPr>
                <w:rFonts w:ascii="Arial" w:hAnsi="Arial" w:cs="Arial"/>
                <w:b/>
                <w:sz w:val="24"/>
                <w:szCs w:val="24"/>
              </w:rPr>
            </w:pPr>
          </w:p>
        </w:tc>
        <w:tc>
          <w:tcPr>
            <w:tcW w:w="1908" w:type="dxa"/>
          </w:tcPr>
          <w:p w14:paraId="23247BBB" w14:textId="77777777" w:rsidR="002641D2" w:rsidRPr="00FA3F9C" w:rsidRDefault="002641D2" w:rsidP="0061466B">
            <w:pPr>
              <w:rPr>
                <w:rFonts w:ascii="Arial" w:hAnsi="Arial" w:cs="Arial"/>
                <w:b/>
                <w:sz w:val="24"/>
                <w:szCs w:val="24"/>
              </w:rPr>
            </w:pPr>
          </w:p>
        </w:tc>
      </w:tr>
      <w:tr w:rsidR="002641D2" w:rsidRPr="00FA3F9C" w14:paraId="07AF155A" w14:textId="77777777" w:rsidTr="008006A4">
        <w:tc>
          <w:tcPr>
            <w:tcW w:w="3192" w:type="dxa"/>
          </w:tcPr>
          <w:p w14:paraId="51A300DD" w14:textId="77777777" w:rsidR="002641D2" w:rsidRPr="00FA3F9C" w:rsidRDefault="002641D2" w:rsidP="0061466B">
            <w:pPr>
              <w:rPr>
                <w:rFonts w:ascii="Arial" w:hAnsi="Arial" w:cs="Arial"/>
                <w:b/>
                <w:sz w:val="24"/>
                <w:szCs w:val="24"/>
              </w:rPr>
            </w:pPr>
          </w:p>
        </w:tc>
        <w:tc>
          <w:tcPr>
            <w:tcW w:w="4476" w:type="dxa"/>
          </w:tcPr>
          <w:p w14:paraId="75650E9A" w14:textId="77777777" w:rsidR="002641D2" w:rsidRPr="00FA3F9C" w:rsidRDefault="002641D2" w:rsidP="0061466B">
            <w:pPr>
              <w:rPr>
                <w:rFonts w:ascii="Arial" w:hAnsi="Arial" w:cs="Arial"/>
                <w:b/>
                <w:sz w:val="24"/>
                <w:szCs w:val="24"/>
              </w:rPr>
            </w:pPr>
          </w:p>
        </w:tc>
        <w:tc>
          <w:tcPr>
            <w:tcW w:w="1908" w:type="dxa"/>
          </w:tcPr>
          <w:p w14:paraId="40EE0E80" w14:textId="77777777" w:rsidR="002641D2" w:rsidRPr="00FA3F9C" w:rsidRDefault="002641D2" w:rsidP="0061466B">
            <w:pPr>
              <w:rPr>
                <w:rFonts w:ascii="Arial" w:hAnsi="Arial" w:cs="Arial"/>
                <w:b/>
                <w:sz w:val="24"/>
                <w:szCs w:val="24"/>
              </w:rPr>
            </w:pPr>
          </w:p>
        </w:tc>
      </w:tr>
    </w:tbl>
    <w:p w14:paraId="62D2D0CB" w14:textId="77777777" w:rsidR="002641D2" w:rsidRPr="00FA3F9C" w:rsidRDefault="002641D2" w:rsidP="0061466B">
      <w:pPr>
        <w:rPr>
          <w:rFonts w:ascii="Arial" w:hAnsi="Arial" w:cs="Arial"/>
          <w:b/>
          <w:sz w:val="24"/>
          <w:szCs w:val="24"/>
        </w:rPr>
      </w:pPr>
    </w:p>
    <w:p w14:paraId="4CA0F74D" w14:textId="77777777" w:rsidR="002641D2" w:rsidRPr="00FA3F9C" w:rsidRDefault="002641D2" w:rsidP="0061466B">
      <w:pPr>
        <w:rPr>
          <w:rFonts w:ascii="Arial" w:hAnsi="Arial" w:cs="Arial"/>
          <w:b/>
          <w:sz w:val="24"/>
          <w:szCs w:val="24"/>
        </w:rPr>
      </w:pPr>
    </w:p>
    <w:p w14:paraId="563C32F7" w14:textId="77777777" w:rsidR="002641D2" w:rsidRPr="00FA3F9C" w:rsidRDefault="002641D2" w:rsidP="00BE67F5">
      <w:pPr>
        <w:rPr>
          <w:rFonts w:ascii="Arial" w:hAnsi="Arial" w:cs="Arial"/>
          <w:b/>
          <w:sz w:val="24"/>
          <w:szCs w:val="24"/>
        </w:rPr>
      </w:pPr>
    </w:p>
    <w:p w14:paraId="5E7C2072" w14:textId="77777777" w:rsidR="002641D2" w:rsidRPr="00FA3F9C" w:rsidRDefault="002641D2" w:rsidP="00BE67F5">
      <w:pPr>
        <w:rPr>
          <w:rFonts w:ascii="Arial" w:hAnsi="Arial" w:cs="Arial"/>
          <w:b/>
          <w:sz w:val="24"/>
          <w:szCs w:val="24"/>
        </w:rPr>
      </w:pPr>
    </w:p>
    <w:p w14:paraId="21075747" w14:textId="1E01F623" w:rsidR="002641D2" w:rsidRDefault="002641D2" w:rsidP="00BE7C2A">
      <w:pPr>
        <w:pStyle w:val="Heading2"/>
      </w:pPr>
      <w:bookmarkStart w:id="122" w:name="_Toc106369805"/>
      <w:proofErr w:type="spellStart"/>
      <w:r w:rsidRPr="00FA3F9C">
        <w:t>Onsolis</w:t>
      </w:r>
      <w:proofErr w:type="spellEnd"/>
      <w:r w:rsidRPr="00FA3F9C">
        <w:t xml:space="preserve"> (fentanyl buccal film)</w:t>
      </w:r>
      <w:bookmarkEnd w:id="122"/>
    </w:p>
    <w:p w14:paraId="2A39909B" w14:textId="77777777" w:rsidR="00BE7C2A" w:rsidRPr="00FA3F9C" w:rsidRDefault="00BE7C2A" w:rsidP="00BE7C2A">
      <w:pPr>
        <w:spacing w:after="0"/>
        <w:jc w:val="center"/>
        <w:rPr>
          <w:rFonts w:ascii="Arial" w:hAnsi="Arial" w:cs="Arial"/>
          <w:b/>
          <w:sz w:val="24"/>
          <w:szCs w:val="24"/>
        </w:rPr>
      </w:pPr>
      <w:r w:rsidRPr="00FA3F9C">
        <w:rPr>
          <w:rFonts w:ascii="Arial" w:hAnsi="Arial" w:cs="Arial"/>
          <w:b/>
          <w:sz w:val="24"/>
          <w:szCs w:val="24"/>
        </w:rPr>
        <w:t>EBRx</w:t>
      </w:r>
      <w:r>
        <w:rPr>
          <w:rFonts w:ascii="Arial" w:hAnsi="Arial" w:cs="Arial"/>
          <w:b/>
          <w:sz w:val="24"/>
          <w:szCs w:val="24"/>
        </w:rPr>
        <w:t xml:space="preserve"> </w:t>
      </w:r>
      <w:r w:rsidRPr="00FA3F9C">
        <w:rPr>
          <w:rFonts w:ascii="Arial" w:hAnsi="Arial" w:cs="Arial"/>
          <w:b/>
          <w:sz w:val="24"/>
          <w:szCs w:val="24"/>
        </w:rPr>
        <w:t xml:space="preserve">Prior Authorization Criteria </w:t>
      </w:r>
    </w:p>
    <w:p w14:paraId="4C4C67DE" w14:textId="77777777" w:rsidR="00BE7C2A" w:rsidRPr="00FA3F9C" w:rsidRDefault="00BE7C2A" w:rsidP="00F44EAA">
      <w:pPr>
        <w:spacing w:after="0"/>
        <w:jc w:val="center"/>
        <w:rPr>
          <w:rFonts w:ascii="Arial" w:hAnsi="Arial" w:cs="Arial"/>
          <w:b/>
          <w:sz w:val="24"/>
          <w:szCs w:val="24"/>
        </w:rPr>
      </w:pPr>
    </w:p>
    <w:p w14:paraId="31ABFC03" w14:textId="77777777" w:rsidR="002641D2" w:rsidRPr="00FA3F9C" w:rsidRDefault="002641D2" w:rsidP="00F44EAA">
      <w:pPr>
        <w:spacing w:after="0"/>
        <w:jc w:val="center"/>
        <w:rPr>
          <w:rFonts w:ascii="Arial" w:hAnsi="Arial" w:cs="Arial"/>
          <w:b/>
          <w:sz w:val="24"/>
          <w:szCs w:val="24"/>
        </w:rPr>
      </w:pPr>
    </w:p>
    <w:tbl>
      <w:tblPr>
        <w:tblStyle w:val="TableGrid"/>
        <w:tblW w:w="10008" w:type="dxa"/>
        <w:tblLook w:val="04A0" w:firstRow="1" w:lastRow="0" w:firstColumn="1" w:lastColumn="0" w:noHBand="0" w:noVBand="1"/>
      </w:tblPr>
      <w:tblGrid>
        <w:gridCol w:w="9047"/>
        <w:gridCol w:w="961"/>
      </w:tblGrid>
      <w:tr w:rsidR="002641D2" w:rsidRPr="00FA3F9C" w14:paraId="1CFC3A00" w14:textId="77777777" w:rsidTr="001C6C24">
        <w:tc>
          <w:tcPr>
            <w:tcW w:w="0" w:type="auto"/>
          </w:tcPr>
          <w:p w14:paraId="2DEFC1ED" w14:textId="77777777" w:rsidR="002641D2" w:rsidRPr="00FA3F9C" w:rsidRDefault="002641D2" w:rsidP="00F44EAA">
            <w:pPr>
              <w:rPr>
                <w:rFonts w:ascii="Arial" w:hAnsi="Arial" w:cs="Arial"/>
                <w:sz w:val="24"/>
                <w:szCs w:val="24"/>
              </w:rPr>
            </w:pPr>
            <w:r w:rsidRPr="00FA3F9C">
              <w:rPr>
                <w:rFonts w:ascii="Arial" w:hAnsi="Arial" w:cs="Arial"/>
                <w:sz w:val="24"/>
                <w:szCs w:val="24"/>
              </w:rPr>
              <w:t>Does the patient have a diagnosis of cancer?</w:t>
            </w:r>
          </w:p>
        </w:tc>
        <w:tc>
          <w:tcPr>
            <w:tcW w:w="961" w:type="dxa"/>
          </w:tcPr>
          <w:p w14:paraId="61EF7BD6" w14:textId="77777777" w:rsidR="002641D2" w:rsidRPr="00FA3F9C" w:rsidRDefault="00500371" w:rsidP="00F44EAA">
            <w:pPr>
              <w:rPr>
                <w:rFonts w:ascii="Arial" w:hAnsi="Arial" w:cs="Arial"/>
                <w:sz w:val="24"/>
                <w:szCs w:val="24"/>
              </w:rPr>
            </w:pPr>
            <w:r>
              <w:rPr>
                <w:rFonts w:ascii="Arial" w:hAnsi="Arial" w:cs="Arial"/>
                <w:b/>
                <w:noProof/>
                <w:sz w:val="24"/>
                <w:szCs w:val="24"/>
              </w:rPr>
              <w:pict w14:anchorId="66B74D63">
                <v:rect id="_x0000_s1030" style="position:absolute;margin-left:-.1pt;margin-top:1.5pt;width:9pt;height:10.5pt;z-index:251666432;mso-position-horizontal-relative:text;mso-position-vertical-relative:text"/>
              </w:pict>
            </w:r>
            <w:r w:rsidR="002641D2" w:rsidRPr="00FA3F9C">
              <w:rPr>
                <w:rFonts w:ascii="Arial" w:hAnsi="Arial" w:cs="Arial"/>
                <w:sz w:val="24"/>
                <w:szCs w:val="24"/>
              </w:rPr>
              <w:t xml:space="preserve">     Yes</w:t>
            </w:r>
          </w:p>
          <w:p w14:paraId="3B6E994F" w14:textId="77777777" w:rsidR="002641D2" w:rsidRPr="00FA3F9C" w:rsidRDefault="00500371" w:rsidP="00F44EAA">
            <w:pPr>
              <w:rPr>
                <w:rFonts w:ascii="Arial" w:hAnsi="Arial" w:cs="Arial"/>
                <w:sz w:val="24"/>
                <w:szCs w:val="24"/>
              </w:rPr>
            </w:pPr>
            <w:r>
              <w:rPr>
                <w:rFonts w:ascii="Arial" w:hAnsi="Arial" w:cs="Arial"/>
                <w:b/>
                <w:noProof/>
                <w:sz w:val="24"/>
                <w:szCs w:val="24"/>
              </w:rPr>
              <w:pict w14:anchorId="2120B16C">
                <v:rect id="_x0000_s1031" style="position:absolute;margin-left:-.1pt;margin-top:.05pt;width:9pt;height:10.5pt;z-index:251667456"/>
              </w:pict>
            </w:r>
            <w:r w:rsidR="002641D2" w:rsidRPr="00FA3F9C">
              <w:rPr>
                <w:rFonts w:ascii="Arial" w:hAnsi="Arial" w:cs="Arial"/>
                <w:sz w:val="24"/>
                <w:szCs w:val="24"/>
              </w:rPr>
              <w:t xml:space="preserve">     No</w:t>
            </w:r>
          </w:p>
        </w:tc>
      </w:tr>
      <w:tr w:rsidR="002641D2" w:rsidRPr="00FA3F9C" w14:paraId="33C20B8A" w14:textId="77777777" w:rsidTr="001C6C24">
        <w:tc>
          <w:tcPr>
            <w:tcW w:w="0" w:type="auto"/>
          </w:tcPr>
          <w:p w14:paraId="1349E4B9" w14:textId="77777777" w:rsidR="002641D2" w:rsidRPr="00FA3F9C" w:rsidRDefault="002641D2" w:rsidP="00F44EAA">
            <w:pPr>
              <w:rPr>
                <w:rFonts w:ascii="Arial" w:hAnsi="Arial" w:cs="Arial"/>
                <w:sz w:val="24"/>
                <w:szCs w:val="24"/>
              </w:rPr>
            </w:pPr>
            <w:r w:rsidRPr="00FA3F9C">
              <w:rPr>
                <w:rFonts w:ascii="Arial" w:hAnsi="Arial" w:cs="Arial"/>
                <w:sz w:val="24"/>
                <w:szCs w:val="24"/>
              </w:rPr>
              <w:t xml:space="preserve">Is the patient currently taking a </w:t>
            </w:r>
            <w:proofErr w:type="gramStart"/>
            <w:r w:rsidRPr="00FA3F9C">
              <w:rPr>
                <w:rFonts w:ascii="Arial" w:hAnsi="Arial" w:cs="Arial"/>
                <w:sz w:val="24"/>
                <w:szCs w:val="24"/>
              </w:rPr>
              <w:t>long acting</w:t>
            </w:r>
            <w:proofErr w:type="gramEnd"/>
            <w:r w:rsidRPr="00FA3F9C">
              <w:rPr>
                <w:rFonts w:ascii="Arial" w:hAnsi="Arial" w:cs="Arial"/>
                <w:sz w:val="24"/>
                <w:szCs w:val="24"/>
              </w:rPr>
              <w:t xml:space="preserve"> opioid for maintenance pain control?</w:t>
            </w:r>
          </w:p>
        </w:tc>
        <w:tc>
          <w:tcPr>
            <w:tcW w:w="961" w:type="dxa"/>
          </w:tcPr>
          <w:p w14:paraId="14D85511" w14:textId="77777777" w:rsidR="002641D2" w:rsidRPr="00FA3F9C" w:rsidRDefault="00500371" w:rsidP="00F44EAA">
            <w:pPr>
              <w:rPr>
                <w:rFonts w:ascii="Arial" w:hAnsi="Arial" w:cs="Arial"/>
                <w:sz w:val="24"/>
                <w:szCs w:val="24"/>
              </w:rPr>
            </w:pPr>
            <w:r>
              <w:rPr>
                <w:rFonts w:ascii="Arial" w:hAnsi="Arial" w:cs="Arial"/>
                <w:b/>
                <w:noProof/>
                <w:sz w:val="24"/>
                <w:szCs w:val="24"/>
              </w:rPr>
              <w:pict w14:anchorId="7E4349A2">
                <v:rect id="_x0000_s1033" style="position:absolute;margin-left:-.1pt;margin-top:12.4pt;width:9pt;height:10.5pt;z-index:251669504;mso-position-horizontal-relative:text;mso-position-vertical-relative:text"/>
              </w:pict>
            </w:r>
            <w:r>
              <w:rPr>
                <w:rFonts w:ascii="Arial" w:hAnsi="Arial" w:cs="Arial"/>
                <w:b/>
                <w:noProof/>
                <w:sz w:val="24"/>
                <w:szCs w:val="24"/>
              </w:rPr>
              <w:pict w14:anchorId="766CBE0A">
                <v:rect id="_x0000_s1032" style="position:absolute;margin-left:-.1pt;margin-top:1.9pt;width:9pt;height:10.5pt;z-index:251668480;mso-position-horizontal-relative:text;mso-position-vertical-relative:text"/>
              </w:pict>
            </w:r>
            <w:r w:rsidR="002641D2" w:rsidRPr="00FA3F9C">
              <w:rPr>
                <w:rFonts w:ascii="Arial" w:hAnsi="Arial" w:cs="Arial"/>
                <w:sz w:val="24"/>
                <w:szCs w:val="24"/>
              </w:rPr>
              <w:t xml:space="preserve">     Yes</w:t>
            </w:r>
          </w:p>
          <w:p w14:paraId="4A442812" w14:textId="77777777" w:rsidR="002641D2" w:rsidRPr="00FA3F9C" w:rsidRDefault="002641D2" w:rsidP="00F44EAA">
            <w:pPr>
              <w:rPr>
                <w:rFonts w:ascii="Arial" w:hAnsi="Arial" w:cs="Arial"/>
                <w:sz w:val="24"/>
                <w:szCs w:val="24"/>
              </w:rPr>
            </w:pPr>
            <w:r w:rsidRPr="00FA3F9C">
              <w:rPr>
                <w:rFonts w:ascii="Arial" w:hAnsi="Arial" w:cs="Arial"/>
                <w:sz w:val="24"/>
                <w:szCs w:val="24"/>
              </w:rPr>
              <w:t xml:space="preserve">      No</w:t>
            </w:r>
          </w:p>
        </w:tc>
      </w:tr>
      <w:tr w:rsidR="002641D2" w:rsidRPr="00FA3F9C" w14:paraId="3E76B359" w14:textId="77777777" w:rsidTr="001C6C24">
        <w:tc>
          <w:tcPr>
            <w:tcW w:w="0" w:type="auto"/>
          </w:tcPr>
          <w:p w14:paraId="36416E2C" w14:textId="77777777" w:rsidR="002641D2" w:rsidRPr="00FA3F9C" w:rsidRDefault="002641D2" w:rsidP="00F44EAA">
            <w:pPr>
              <w:rPr>
                <w:rFonts w:ascii="Arial" w:hAnsi="Arial" w:cs="Arial"/>
                <w:sz w:val="24"/>
                <w:szCs w:val="24"/>
              </w:rPr>
            </w:pPr>
            <w:r w:rsidRPr="00FA3F9C">
              <w:rPr>
                <w:rFonts w:ascii="Arial" w:hAnsi="Arial" w:cs="Arial"/>
                <w:sz w:val="24"/>
                <w:szCs w:val="24"/>
              </w:rPr>
              <w:t>Is the patient opioid tolerant?</w:t>
            </w:r>
          </w:p>
        </w:tc>
        <w:tc>
          <w:tcPr>
            <w:tcW w:w="961" w:type="dxa"/>
          </w:tcPr>
          <w:p w14:paraId="072C5AF1" w14:textId="77777777" w:rsidR="002641D2" w:rsidRPr="00FA3F9C" w:rsidRDefault="00500371" w:rsidP="00F44EAA">
            <w:pPr>
              <w:rPr>
                <w:rFonts w:ascii="Arial" w:hAnsi="Arial" w:cs="Arial"/>
                <w:sz w:val="24"/>
                <w:szCs w:val="24"/>
              </w:rPr>
            </w:pPr>
            <w:r>
              <w:rPr>
                <w:rFonts w:ascii="Arial" w:hAnsi="Arial" w:cs="Arial"/>
                <w:noProof/>
                <w:sz w:val="24"/>
                <w:szCs w:val="24"/>
              </w:rPr>
              <w:pict w14:anchorId="44C37EF1">
                <v:rect id="_x0000_s1034" style="position:absolute;margin-left:-.1pt;margin-top:2.25pt;width:9pt;height:10.5pt;z-index:251670528;mso-position-horizontal-relative:text;mso-position-vertical-relative:text"/>
              </w:pict>
            </w:r>
            <w:r w:rsidR="002641D2" w:rsidRPr="00FA3F9C">
              <w:rPr>
                <w:rFonts w:ascii="Arial" w:hAnsi="Arial" w:cs="Arial"/>
                <w:sz w:val="24"/>
                <w:szCs w:val="24"/>
              </w:rPr>
              <w:t xml:space="preserve">      Yes</w:t>
            </w:r>
          </w:p>
          <w:p w14:paraId="4BA97191" w14:textId="77777777" w:rsidR="002641D2" w:rsidRPr="00FA3F9C" w:rsidRDefault="00500371" w:rsidP="00F44EAA">
            <w:pPr>
              <w:rPr>
                <w:rFonts w:ascii="Arial" w:hAnsi="Arial" w:cs="Arial"/>
                <w:sz w:val="24"/>
                <w:szCs w:val="24"/>
              </w:rPr>
            </w:pPr>
            <w:r>
              <w:rPr>
                <w:rFonts w:ascii="Arial" w:hAnsi="Arial" w:cs="Arial"/>
                <w:b/>
                <w:noProof/>
                <w:sz w:val="24"/>
                <w:szCs w:val="24"/>
              </w:rPr>
              <w:pict w14:anchorId="1AE9C064">
                <v:rect id="_x0000_s1035" style="position:absolute;margin-left:-.1pt;margin-top:-.7pt;width:9pt;height:10.5pt;z-index:251671552"/>
              </w:pict>
            </w:r>
            <w:r w:rsidR="002641D2" w:rsidRPr="00FA3F9C">
              <w:rPr>
                <w:rFonts w:ascii="Arial" w:hAnsi="Arial" w:cs="Arial"/>
                <w:sz w:val="24"/>
                <w:szCs w:val="24"/>
              </w:rPr>
              <w:t xml:space="preserve">      No</w:t>
            </w:r>
          </w:p>
        </w:tc>
      </w:tr>
      <w:tr w:rsidR="002641D2" w:rsidRPr="00FA3F9C" w14:paraId="56356127" w14:textId="77777777" w:rsidTr="001C6C24">
        <w:tc>
          <w:tcPr>
            <w:tcW w:w="0" w:type="auto"/>
          </w:tcPr>
          <w:p w14:paraId="6ACB37D8" w14:textId="77777777" w:rsidR="002641D2" w:rsidRPr="00FA3F9C" w:rsidRDefault="002641D2" w:rsidP="00F44EAA">
            <w:pPr>
              <w:rPr>
                <w:rFonts w:ascii="Arial" w:hAnsi="Arial" w:cs="Arial"/>
                <w:sz w:val="24"/>
                <w:szCs w:val="24"/>
              </w:rPr>
            </w:pPr>
            <w:r w:rsidRPr="00FA3F9C">
              <w:rPr>
                <w:rFonts w:ascii="Arial" w:hAnsi="Arial" w:cs="Arial"/>
                <w:sz w:val="24"/>
                <w:szCs w:val="24"/>
              </w:rPr>
              <w:t>Is the patient able to swallow tablets?</w:t>
            </w:r>
          </w:p>
        </w:tc>
        <w:tc>
          <w:tcPr>
            <w:tcW w:w="961" w:type="dxa"/>
          </w:tcPr>
          <w:p w14:paraId="112A437F" w14:textId="77777777" w:rsidR="002641D2" w:rsidRPr="00FA3F9C" w:rsidRDefault="00500371" w:rsidP="00F44EAA">
            <w:pPr>
              <w:rPr>
                <w:rFonts w:ascii="Arial" w:hAnsi="Arial" w:cs="Arial"/>
                <w:sz w:val="24"/>
                <w:szCs w:val="24"/>
              </w:rPr>
            </w:pPr>
            <w:r>
              <w:rPr>
                <w:rFonts w:ascii="Arial" w:hAnsi="Arial" w:cs="Arial"/>
                <w:b/>
                <w:noProof/>
                <w:sz w:val="24"/>
                <w:szCs w:val="24"/>
              </w:rPr>
              <w:pict w14:anchorId="148671D4">
                <v:rect id="_x0000_s1037" style="position:absolute;margin-left:-.1pt;margin-top:12.4pt;width:9pt;height:10.5pt;z-index:251673600;mso-position-horizontal-relative:text;mso-position-vertical-relative:text"/>
              </w:pict>
            </w:r>
            <w:r>
              <w:rPr>
                <w:rFonts w:ascii="Arial" w:hAnsi="Arial" w:cs="Arial"/>
                <w:b/>
                <w:noProof/>
                <w:sz w:val="24"/>
                <w:szCs w:val="24"/>
              </w:rPr>
              <w:pict w14:anchorId="04C9A005">
                <v:rect id="_x0000_s1036" style="position:absolute;margin-left:-.1pt;margin-top:1.9pt;width:9pt;height:10.5pt;z-index:251672576;mso-position-horizontal-relative:text;mso-position-vertical-relative:text"/>
              </w:pict>
            </w:r>
            <w:r w:rsidR="002641D2" w:rsidRPr="00FA3F9C">
              <w:rPr>
                <w:rFonts w:ascii="Arial" w:hAnsi="Arial" w:cs="Arial"/>
                <w:sz w:val="24"/>
                <w:szCs w:val="24"/>
              </w:rPr>
              <w:t xml:space="preserve">      Yes</w:t>
            </w:r>
          </w:p>
          <w:p w14:paraId="1D6C1384" w14:textId="77777777" w:rsidR="002641D2" w:rsidRPr="00FA3F9C" w:rsidRDefault="002641D2" w:rsidP="00F44EAA">
            <w:pPr>
              <w:rPr>
                <w:rFonts w:ascii="Arial" w:hAnsi="Arial" w:cs="Arial"/>
                <w:sz w:val="24"/>
                <w:szCs w:val="24"/>
              </w:rPr>
            </w:pPr>
            <w:r w:rsidRPr="00FA3F9C">
              <w:rPr>
                <w:rFonts w:ascii="Arial" w:hAnsi="Arial" w:cs="Arial"/>
                <w:sz w:val="24"/>
                <w:szCs w:val="24"/>
              </w:rPr>
              <w:t xml:space="preserve">      No</w:t>
            </w:r>
          </w:p>
        </w:tc>
      </w:tr>
      <w:tr w:rsidR="002641D2" w:rsidRPr="00FA3F9C" w14:paraId="15C8425D" w14:textId="77777777" w:rsidTr="001C6C24">
        <w:tc>
          <w:tcPr>
            <w:tcW w:w="0" w:type="auto"/>
          </w:tcPr>
          <w:p w14:paraId="58DD09D5" w14:textId="77777777" w:rsidR="002641D2" w:rsidRPr="00FA3F9C" w:rsidRDefault="002641D2" w:rsidP="00F44EAA">
            <w:pPr>
              <w:rPr>
                <w:rFonts w:ascii="Arial" w:hAnsi="Arial" w:cs="Arial"/>
                <w:sz w:val="24"/>
                <w:szCs w:val="24"/>
              </w:rPr>
            </w:pPr>
            <w:r w:rsidRPr="00FA3F9C">
              <w:rPr>
                <w:rFonts w:ascii="Arial" w:hAnsi="Arial" w:cs="Arial"/>
                <w:sz w:val="24"/>
                <w:szCs w:val="24"/>
              </w:rPr>
              <w:t>Is the patient unable to use other fentanyl buccal lozenges available without a Prior Authorization?</w:t>
            </w:r>
          </w:p>
          <w:p w14:paraId="32CF031A" w14:textId="77777777" w:rsidR="002641D2" w:rsidRPr="00FA3F9C" w:rsidRDefault="002641D2" w:rsidP="00F44EAA">
            <w:pPr>
              <w:rPr>
                <w:rFonts w:ascii="Arial" w:hAnsi="Arial" w:cs="Arial"/>
                <w:sz w:val="24"/>
                <w:szCs w:val="24"/>
              </w:rPr>
            </w:pPr>
            <w:r w:rsidRPr="00FA3F9C">
              <w:rPr>
                <w:rFonts w:ascii="Arial" w:hAnsi="Arial" w:cs="Arial"/>
                <w:sz w:val="24"/>
                <w:szCs w:val="24"/>
              </w:rPr>
              <w:lastRenderedPageBreak/>
              <w:t>Reason________________________________________________</w:t>
            </w:r>
          </w:p>
        </w:tc>
        <w:tc>
          <w:tcPr>
            <w:tcW w:w="961" w:type="dxa"/>
          </w:tcPr>
          <w:p w14:paraId="4AB6C44D" w14:textId="77777777" w:rsidR="002641D2" w:rsidRPr="00FA3F9C" w:rsidRDefault="00500371" w:rsidP="00F44EAA">
            <w:pPr>
              <w:rPr>
                <w:rFonts w:ascii="Arial" w:hAnsi="Arial" w:cs="Arial"/>
                <w:sz w:val="24"/>
                <w:szCs w:val="24"/>
              </w:rPr>
            </w:pPr>
            <w:r>
              <w:rPr>
                <w:rFonts w:ascii="Arial" w:hAnsi="Arial" w:cs="Arial"/>
                <w:b/>
                <w:noProof/>
                <w:sz w:val="24"/>
                <w:szCs w:val="24"/>
              </w:rPr>
              <w:lastRenderedPageBreak/>
              <w:pict w14:anchorId="460C96AA">
                <v:rect id="_x0000_s1039" style="position:absolute;margin-left:-.1pt;margin-top:12.05pt;width:9pt;height:10.5pt;z-index:251675648;mso-position-horizontal-relative:text;mso-position-vertical-relative:text"/>
              </w:pict>
            </w:r>
            <w:r>
              <w:rPr>
                <w:rFonts w:ascii="Arial" w:hAnsi="Arial" w:cs="Arial"/>
                <w:b/>
                <w:noProof/>
                <w:sz w:val="24"/>
                <w:szCs w:val="24"/>
              </w:rPr>
              <w:pict w14:anchorId="6BFCD019">
                <v:rect id="_x0000_s1038" style="position:absolute;margin-left:-.1pt;margin-top:1.55pt;width:9pt;height:10.5pt;z-index:251674624;mso-position-horizontal-relative:text;mso-position-vertical-relative:text"/>
              </w:pict>
            </w:r>
            <w:r w:rsidR="002641D2" w:rsidRPr="00FA3F9C">
              <w:rPr>
                <w:rFonts w:ascii="Arial" w:hAnsi="Arial" w:cs="Arial"/>
                <w:sz w:val="24"/>
                <w:szCs w:val="24"/>
              </w:rPr>
              <w:t xml:space="preserve">      Yes</w:t>
            </w:r>
          </w:p>
          <w:p w14:paraId="60959F3A" w14:textId="77777777" w:rsidR="002641D2" w:rsidRPr="00FA3F9C" w:rsidRDefault="002641D2" w:rsidP="00F44EAA">
            <w:pPr>
              <w:rPr>
                <w:rFonts w:ascii="Arial" w:hAnsi="Arial" w:cs="Arial"/>
                <w:sz w:val="24"/>
                <w:szCs w:val="24"/>
              </w:rPr>
            </w:pPr>
            <w:r w:rsidRPr="00FA3F9C">
              <w:rPr>
                <w:rFonts w:ascii="Arial" w:hAnsi="Arial" w:cs="Arial"/>
                <w:sz w:val="24"/>
                <w:szCs w:val="24"/>
              </w:rPr>
              <w:lastRenderedPageBreak/>
              <w:t xml:space="preserve">       No</w:t>
            </w:r>
          </w:p>
          <w:p w14:paraId="670A6B6E" w14:textId="77777777" w:rsidR="002641D2" w:rsidRPr="00FA3F9C" w:rsidRDefault="002641D2" w:rsidP="00F44EAA">
            <w:pPr>
              <w:rPr>
                <w:rFonts w:ascii="Arial" w:hAnsi="Arial" w:cs="Arial"/>
                <w:sz w:val="24"/>
                <w:szCs w:val="24"/>
              </w:rPr>
            </w:pPr>
          </w:p>
        </w:tc>
      </w:tr>
    </w:tbl>
    <w:p w14:paraId="3EA6B6BD" w14:textId="77777777" w:rsidR="002641D2" w:rsidRPr="00FA3F9C" w:rsidRDefault="002641D2" w:rsidP="00F44EAA">
      <w:pPr>
        <w:spacing w:after="0"/>
        <w:rPr>
          <w:rFonts w:ascii="Arial" w:hAnsi="Arial" w:cs="Arial"/>
          <w:sz w:val="24"/>
          <w:szCs w:val="24"/>
        </w:rPr>
      </w:pPr>
    </w:p>
    <w:p w14:paraId="1CBD390B" w14:textId="77777777" w:rsidR="002641D2" w:rsidRPr="00FA3F9C" w:rsidRDefault="002641D2" w:rsidP="00F44EAA">
      <w:pPr>
        <w:spacing w:after="0"/>
        <w:rPr>
          <w:rFonts w:ascii="Arial" w:hAnsi="Arial" w:cs="Arial"/>
          <w:sz w:val="24"/>
          <w:szCs w:val="24"/>
        </w:rPr>
      </w:pPr>
      <w:r w:rsidRPr="00FA3F9C">
        <w:rPr>
          <w:rFonts w:ascii="Arial" w:hAnsi="Arial" w:cs="Arial"/>
          <w:sz w:val="24"/>
          <w:szCs w:val="24"/>
        </w:rPr>
        <w:t xml:space="preserve">If yes to questions 1-3, and no to 4 and 5 (with a reasonable explanation of why other agents cannot be used), approve x6 months. </w:t>
      </w:r>
    </w:p>
    <w:p w14:paraId="345C66A4" w14:textId="77777777" w:rsidR="00BE7C2A" w:rsidRDefault="002641D2" w:rsidP="00BE7C2A">
      <w:pPr>
        <w:pStyle w:val="Heading2"/>
      </w:pPr>
      <w:bookmarkStart w:id="123" w:name="_Toc106369806"/>
      <w:r w:rsidRPr="00FA3F9C">
        <w:t>Fidaxomicin (</w:t>
      </w:r>
      <w:proofErr w:type="spellStart"/>
      <w:r w:rsidRPr="00FA3F9C">
        <w:t>Dificid</w:t>
      </w:r>
      <w:proofErr w:type="spellEnd"/>
      <w:r w:rsidRPr="00FA3F9C">
        <w:t>)</w:t>
      </w:r>
      <w:bookmarkEnd w:id="123"/>
      <w:r w:rsidRPr="00FA3F9C">
        <w:t xml:space="preserve"> </w:t>
      </w:r>
    </w:p>
    <w:p w14:paraId="1368B386" w14:textId="01B2686A" w:rsidR="002641D2" w:rsidRPr="00FA3F9C" w:rsidRDefault="002641D2" w:rsidP="00F10A6C">
      <w:pPr>
        <w:spacing w:after="0" w:line="240" w:lineRule="auto"/>
        <w:jc w:val="center"/>
        <w:rPr>
          <w:rFonts w:ascii="Arial" w:hAnsi="Arial" w:cs="Arial"/>
          <w:sz w:val="24"/>
          <w:szCs w:val="24"/>
        </w:rPr>
      </w:pPr>
      <w:r w:rsidRPr="00FA3F9C">
        <w:rPr>
          <w:rFonts w:ascii="Arial" w:hAnsi="Arial" w:cs="Arial"/>
          <w:sz w:val="24"/>
          <w:szCs w:val="24"/>
        </w:rPr>
        <w:t>200mg tablets, 40mg/mL oral suspension</w:t>
      </w:r>
    </w:p>
    <w:p w14:paraId="32BBCA36" w14:textId="77777777" w:rsidR="002641D2" w:rsidRPr="00FA3F9C" w:rsidRDefault="002641D2" w:rsidP="00F10A6C">
      <w:pPr>
        <w:spacing w:after="0" w:line="240" w:lineRule="auto"/>
        <w:jc w:val="center"/>
        <w:rPr>
          <w:rFonts w:ascii="Arial" w:hAnsi="Arial" w:cs="Arial"/>
          <w:sz w:val="24"/>
          <w:szCs w:val="24"/>
        </w:rPr>
      </w:pPr>
      <w:r w:rsidRPr="00FA3F9C">
        <w:rPr>
          <w:rFonts w:ascii="Arial" w:hAnsi="Arial" w:cs="Arial"/>
          <w:sz w:val="24"/>
          <w:szCs w:val="24"/>
        </w:rPr>
        <w:t>EBRx PA Criteria</w:t>
      </w:r>
    </w:p>
    <w:p w14:paraId="69494BBD" w14:textId="77777777" w:rsidR="002641D2" w:rsidRPr="00FA3F9C" w:rsidRDefault="002641D2" w:rsidP="00F10A6C">
      <w:pPr>
        <w:spacing w:after="0" w:line="240" w:lineRule="auto"/>
        <w:rPr>
          <w:rFonts w:ascii="Arial" w:hAnsi="Arial" w:cs="Arial"/>
          <w:b/>
          <w:sz w:val="24"/>
          <w:szCs w:val="24"/>
          <w:u w:val="single"/>
        </w:rPr>
      </w:pPr>
    </w:p>
    <w:p w14:paraId="3BEB6E7F" w14:textId="77777777" w:rsidR="002641D2" w:rsidRPr="00FA3F9C" w:rsidRDefault="002641D2" w:rsidP="00F10A6C">
      <w:pPr>
        <w:spacing w:after="0" w:line="240" w:lineRule="auto"/>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w:t>
      </w:r>
      <w:proofErr w:type="spellStart"/>
      <w:r w:rsidRPr="00FA3F9C">
        <w:rPr>
          <w:rFonts w:ascii="Arial" w:hAnsi="Arial" w:cs="Arial"/>
          <w:sz w:val="24"/>
          <w:szCs w:val="24"/>
        </w:rPr>
        <w:t>Clostridioides</w:t>
      </w:r>
      <w:proofErr w:type="spellEnd"/>
      <w:r w:rsidRPr="00FA3F9C">
        <w:rPr>
          <w:rFonts w:ascii="Arial" w:hAnsi="Arial" w:cs="Arial"/>
          <w:sz w:val="24"/>
          <w:szCs w:val="24"/>
        </w:rPr>
        <w:t xml:space="preserve"> (formerly Clostridium) difficile infection in adults and peds patients </w:t>
      </w:r>
      <w:r w:rsidRPr="00FA3F9C">
        <w:rPr>
          <w:rFonts w:ascii="Arial" w:hAnsi="Arial" w:cs="Arial"/>
          <w:sz w:val="24"/>
          <w:szCs w:val="24"/>
          <w:u w:val="single"/>
        </w:rPr>
        <w:t>&gt;</w:t>
      </w:r>
      <w:r w:rsidRPr="00FA3F9C">
        <w:rPr>
          <w:rFonts w:ascii="Arial" w:hAnsi="Arial" w:cs="Arial"/>
          <w:sz w:val="24"/>
          <w:szCs w:val="24"/>
        </w:rPr>
        <w:t>6 months old.</w:t>
      </w:r>
    </w:p>
    <w:tbl>
      <w:tblPr>
        <w:tblStyle w:val="TableGrid"/>
        <w:tblW w:w="0" w:type="auto"/>
        <w:tblLook w:val="04A0" w:firstRow="1" w:lastRow="0" w:firstColumn="1" w:lastColumn="0" w:noHBand="0" w:noVBand="1"/>
      </w:tblPr>
      <w:tblGrid>
        <w:gridCol w:w="8928"/>
        <w:gridCol w:w="2088"/>
      </w:tblGrid>
      <w:tr w:rsidR="002641D2" w:rsidRPr="00FA3F9C" w14:paraId="0C2EDD37" w14:textId="77777777" w:rsidTr="00571CAB">
        <w:tc>
          <w:tcPr>
            <w:tcW w:w="8928" w:type="dxa"/>
            <w:shd w:val="clear" w:color="auto" w:fill="000000"/>
          </w:tcPr>
          <w:p w14:paraId="51FAD9FF" w14:textId="77777777" w:rsidR="002641D2" w:rsidRPr="00FA3F9C" w:rsidRDefault="002641D2" w:rsidP="00F10A6C">
            <w:pPr>
              <w:rPr>
                <w:rFonts w:ascii="Arial" w:hAnsi="Arial" w:cs="Arial"/>
                <w:b/>
                <w:sz w:val="24"/>
                <w:szCs w:val="24"/>
                <w:u w:val="single"/>
              </w:rPr>
            </w:pPr>
            <w:r w:rsidRPr="00FA3F9C">
              <w:rPr>
                <w:rFonts w:ascii="Arial" w:hAnsi="Arial" w:cs="Arial"/>
                <w:b/>
                <w:sz w:val="24"/>
                <w:szCs w:val="24"/>
                <w:u w:val="single"/>
              </w:rPr>
              <w:t>Criteria for new users</w:t>
            </w:r>
          </w:p>
        </w:tc>
        <w:tc>
          <w:tcPr>
            <w:tcW w:w="2088" w:type="dxa"/>
            <w:shd w:val="clear" w:color="auto" w:fill="000000"/>
          </w:tcPr>
          <w:p w14:paraId="1F8A0001" w14:textId="77777777" w:rsidR="002641D2" w:rsidRPr="00FA3F9C" w:rsidRDefault="002641D2" w:rsidP="00F10A6C">
            <w:pPr>
              <w:jc w:val="center"/>
              <w:rPr>
                <w:rFonts w:ascii="Arial" w:hAnsi="Arial" w:cs="Arial"/>
                <w:b/>
                <w:sz w:val="24"/>
                <w:szCs w:val="24"/>
                <w:u w:val="single"/>
              </w:rPr>
            </w:pPr>
          </w:p>
        </w:tc>
      </w:tr>
      <w:tr w:rsidR="002641D2" w:rsidRPr="00FA3F9C" w14:paraId="1A3AEEC4" w14:textId="77777777" w:rsidTr="00F337AE">
        <w:tc>
          <w:tcPr>
            <w:tcW w:w="11016" w:type="dxa"/>
            <w:gridSpan w:val="2"/>
          </w:tcPr>
          <w:p w14:paraId="7CE938F4" w14:textId="77777777" w:rsidR="002641D2" w:rsidRPr="00FA3F9C" w:rsidRDefault="002641D2" w:rsidP="00F10A6C">
            <w:pPr>
              <w:rPr>
                <w:rFonts w:ascii="Arial" w:hAnsi="Arial" w:cs="Arial"/>
                <w:sz w:val="24"/>
                <w:szCs w:val="24"/>
              </w:rPr>
            </w:pPr>
            <w:r w:rsidRPr="00FA3F9C">
              <w:rPr>
                <w:rFonts w:ascii="Arial" w:hAnsi="Arial" w:cs="Arial"/>
                <w:sz w:val="24"/>
                <w:szCs w:val="24"/>
              </w:rPr>
              <w:t xml:space="preserve">1. The patient must have the diagnosis of C </w:t>
            </w:r>
            <w:proofErr w:type="spellStart"/>
            <w:r w:rsidRPr="00FA3F9C">
              <w:rPr>
                <w:rFonts w:ascii="Arial" w:hAnsi="Arial" w:cs="Arial"/>
                <w:sz w:val="24"/>
                <w:szCs w:val="24"/>
              </w:rPr>
              <w:t>Dif</w:t>
            </w:r>
            <w:proofErr w:type="spellEnd"/>
            <w:r w:rsidRPr="00FA3F9C">
              <w:rPr>
                <w:rFonts w:ascii="Arial" w:hAnsi="Arial" w:cs="Arial"/>
                <w:sz w:val="24"/>
                <w:szCs w:val="24"/>
              </w:rPr>
              <w:t xml:space="preserve"> infection.</w:t>
            </w:r>
          </w:p>
        </w:tc>
      </w:tr>
      <w:tr w:rsidR="002641D2" w:rsidRPr="00FA3F9C" w14:paraId="64E54392" w14:textId="77777777" w:rsidTr="00B1617E">
        <w:tc>
          <w:tcPr>
            <w:tcW w:w="11016" w:type="dxa"/>
            <w:gridSpan w:val="2"/>
          </w:tcPr>
          <w:p w14:paraId="61E68E12" w14:textId="77777777" w:rsidR="002641D2" w:rsidRPr="00FA3F9C" w:rsidRDefault="002641D2" w:rsidP="00F10A6C">
            <w:pPr>
              <w:rPr>
                <w:rFonts w:ascii="Arial" w:hAnsi="Arial" w:cs="Arial"/>
                <w:sz w:val="24"/>
                <w:szCs w:val="24"/>
              </w:rPr>
            </w:pPr>
            <w:r w:rsidRPr="00FA3F9C">
              <w:rPr>
                <w:rFonts w:ascii="Arial" w:hAnsi="Arial" w:cs="Arial"/>
                <w:sz w:val="24"/>
                <w:szCs w:val="24"/>
              </w:rPr>
              <w:t xml:space="preserve">2. The patient must still have the diagnosis of symptomatic C </w:t>
            </w:r>
            <w:proofErr w:type="spellStart"/>
            <w:r w:rsidRPr="00FA3F9C">
              <w:rPr>
                <w:rFonts w:ascii="Arial" w:hAnsi="Arial" w:cs="Arial"/>
                <w:sz w:val="24"/>
                <w:szCs w:val="24"/>
              </w:rPr>
              <w:t>Dif</w:t>
            </w:r>
            <w:proofErr w:type="spellEnd"/>
            <w:r w:rsidRPr="00FA3F9C">
              <w:rPr>
                <w:rFonts w:ascii="Arial" w:hAnsi="Arial" w:cs="Arial"/>
                <w:sz w:val="24"/>
                <w:szCs w:val="24"/>
              </w:rPr>
              <w:t xml:space="preserve"> infection after taking vancomycin oral 125mg QID for 10 days for an initial (severe or </w:t>
            </w:r>
            <w:proofErr w:type="spellStart"/>
            <w:r w:rsidRPr="00FA3F9C">
              <w:rPr>
                <w:rFonts w:ascii="Arial" w:hAnsi="Arial" w:cs="Arial"/>
                <w:sz w:val="24"/>
                <w:szCs w:val="24"/>
              </w:rPr>
              <w:t>non severe</w:t>
            </w:r>
            <w:proofErr w:type="spellEnd"/>
            <w:r w:rsidRPr="00FA3F9C">
              <w:rPr>
                <w:rFonts w:ascii="Arial" w:hAnsi="Arial" w:cs="Arial"/>
                <w:sz w:val="24"/>
                <w:szCs w:val="24"/>
              </w:rPr>
              <w:t>) episode, and after the 1</w:t>
            </w:r>
            <w:r w:rsidRPr="00FA3F9C">
              <w:rPr>
                <w:rFonts w:ascii="Arial" w:hAnsi="Arial" w:cs="Arial"/>
                <w:sz w:val="24"/>
                <w:szCs w:val="24"/>
                <w:vertAlign w:val="superscript"/>
              </w:rPr>
              <w:t>st</w:t>
            </w:r>
            <w:r w:rsidRPr="00FA3F9C">
              <w:rPr>
                <w:rFonts w:ascii="Arial" w:hAnsi="Arial" w:cs="Arial"/>
                <w:sz w:val="24"/>
                <w:szCs w:val="24"/>
              </w:rPr>
              <w:t xml:space="preserve"> recurrence of failing pulsed oral vancomycin 125mg QID for 10-14 days (second course) then 2 times per day for a week, then once daily for a week, and then every 2-3 days for 2-8 weeks.</w:t>
            </w:r>
          </w:p>
        </w:tc>
      </w:tr>
    </w:tbl>
    <w:p w14:paraId="4A5E1B9E" w14:textId="77777777" w:rsidR="002641D2" w:rsidRPr="00FA3F9C" w:rsidRDefault="002641D2" w:rsidP="00F10A6C">
      <w:pPr>
        <w:spacing w:after="0" w:line="240" w:lineRule="auto"/>
        <w:rPr>
          <w:rFonts w:ascii="Arial" w:hAnsi="Arial" w:cs="Arial"/>
          <w:sz w:val="24"/>
          <w:szCs w:val="24"/>
        </w:rPr>
      </w:pPr>
      <w:r w:rsidRPr="00FA3F9C">
        <w:rPr>
          <w:rFonts w:ascii="Arial" w:hAnsi="Arial" w:cs="Arial"/>
          <w:sz w:val="24"/>
          <w:szCs w:val="24"/>
        </w:rPr>
        <w:t>Quantity Limits: 200mg BID for 10 days or 20 tablets or the equivalent for suspension.</w:t>
      </w:r>
    </w:p>
    <w:p w14:paraId="1756659A" w14:textId="77777777" w:rsidR="002641D2" w:rsidRPr="00FA3F9C" w:rsidRDefault="002641D2" w:rsidP="00F10A6C">
      <w:pPr>
        <w:spacing w:after="0" w:line="240" w:lineRule="auto"/>
        <w:rPr>
          <w:rFonts w:ascii="Arial" w:hAnsi="Arial" w:cs="Arial"/>
          <w:sz w:val="24"/>
          <w:szCs w:val="24"/>
        </w:rPr>
      </w:pPr>
    </w:p>
    <w:p w14:paraId="68847951" w14:textId="77777777" w:rsidR="002641D2" w:rsidRPr="00FA3F9C" w:rsidRDefault="002641D2" w:rsidP="00F10A6C">
      <w:pPr>
        <w:spacing w:after="0" w:line="240" w:lineRule="auto"/>
        <w:rPr>
          <w:rFonts w:ascii="Arial" w:hAnsi="Arial" w:cs="Arial"/>
          <w:b/>
          <w:sz w:val="24"/>
          <w:szCs w:val="24"/>
          <w:u w:val="single"/>
        </w:rPr>
      </w:pPr>
      <w:r w:rsidRPr="00FA3F9C">
        <w:rPr>
          <w:rFonts w:ascii="Arial" w:hAnsi="Arial" w:cs="Arial"/>
          <w:b/>
          <w:sz w:val="24"/>
          <w:szCs w:val="24"/>
          <w:u w:val="single"/>
        </w:rPr>
        <w:t xml:space="preserve">References:  </w:t>
      </w:r>
    </w:p>
    <w:p w14:paraId="3D2F175B" w14:textId="77777777" w:rsidR="002641D2" w:rsidRPr="00FA3F9C" w:rsidRDefault="002641D2" w:rsidP="00F10A6C">
      <w:pPr>
        <w:spacing w:after="0" w:line="240" w:lineRule="auto"/>
        <w:rPr>
          <w:rFonts w:ascii="Arial" w:hAnsi="Arial" w:cs="Arial"/>
          <w:sz w:val="24"/>
          <w:szCs w:val="24"/>
        </w:rPr>
      </w:pPr>
      <w:r w:rsidRPr="00FA3F9C">
        <w:rPr>
          <w:rFonts w:ascii="Arial" w:hAnsi="Arial" w:cs="Arial"/>
          <w:sz w:val="24"/>
          <w:szCs w:val="24"/>
        </w:rPr>
        <w:t xml:space="preserve">1.  </w:t>
      </w:r>
      <w:r w:rsidRPr="00FA3F9C">
        <w:rPr>
          <w:rFonts w:ascii="Arial" w:hAnsi="Arial" w:cs="Arial"/>
          <w:color w:val="222222"/>
          <w:sz w:val="24"/>
          <w:szCs w:val="24"/>
          <w:shd w:val="clear" w:color="auto" w:fill="FFFFFF"/>
        </w:rPr>
        <w:t>McDonald, L. Clifford, et al. "Clinical practice guidelines for Clostridium difficile Infection in Adults and Children: 2017 update by the Infectious Diseases Society of America (IDSA) and Society for Healthcare Epidemiology of America (SHEA)." </w:t>
      </w:r>
      <w:r w:rsidRPr="00FA3F9C">
        <w:rPr>
          <w:rFonts w:ascii="Arial" w:hAnsi="Arial" w:cs="Arial"/>
          <w:i/>
          <w:iCs/>
          <w:color w:val="222222"/>
          <w:sz w:val="24"/>
          <w:szCs w:val="24"/>
          <w:shd w:val="clear" w:color="auto" w:fill="FFFFFF"/>
        </w:rPr>
        <w:t>Clinical Infectious Diseases</w:t>
      </w:r>
      <w:r w:rsidRPr="00FA3F9C">
        <w:rPr>
          <w:rFonts w:ascii="Arial" w:hAnsi="Arial" w:cs="Arial"/>
          <w:color w:val="222222"/>
          <w:sz w:val="24"/>
          <w:szCs w:val="24"/>
          <w:shd w:val="clear" w:color="auto" w:fill="FFFFFF"/>
        </w:rPr>
        <w:t> 66.7 (2018): e1-e48.</w:t>
      </w:r>
    </w:p>
    <w:p w14:paraId="529FCC5C" w14:textId="4BBB2BB1" w:rsidR="002641D2" w:rsidRPr="00FA3F9C" w:rsidRDefault="002641D2" w:rsidP="00F10A6C">
      <w:pPr>
        <w:spacing w:after="0" w:line="240" w:lineRule="auto"/>
        <w:rPr>
          <w:rFonts w:ascii="Arial" w:hAnsi="Arial" w:cs="Arial"/>
          <w:sz w:val="24"/>
          <w:szCs w:val="24"/>
        </w:rPr>
      </w:pPr>
      <w:r w:rsidRPr="00FA3F9C">
        <w:rPr>
          <w:rFonts w:ascii="Arial" w:hAnsi="Arial" w:cs="Arial"/>
          <w:sz w:val="24"/>
          <w:szCs w:val="24"/>
        </w:rPr>
        <w:t xml:space="preserve">2.  Louie TJ, et al.  Fidaxomicin versus vancomycin for clostridium difficile infection.  </w:t>
      </w:r>
      <w:hyperlink r:id="rId171" w:history="1">
        <w:r w:rsidRPr="00FA3F9C">
          <w:rPr>
            <w:rStyle w:val="Hyperlink"/>
            <w:rFonts w:ascii="Arial" w:hAnsi="Arial" w:cs="Arial"/>
            <w:sz w:val="24"/>
            <w:szCs w:val="24"/>
          </w:rPr>
          <w:t xml:space="preserve">N </w:t>
        </w:r>
        <w:proofErr w:type="spellStart"/>
        <w:r w:rsidRPr="00FA3F9C">
          <w:rPr>
            <w:rStyle w:val="Hyperlink"/>
            <w:rFonts w:ascii="Arial" w:hAnsi="Arial" w:cs="Arial"/>
            <w:sz w:val="24"/>
            <w:szCs w:val="24"/>
          </w:rPr>
          <w:t>Engl</w:t>
        </w:r>
        <w:proofErr w:type="spellEnd"/>
        <w:r w:rsidRPr="00FA3F9C">
          <w:rPr>
            <w:rStyle w:val="Hyperlink"/>
            <w:rFonts w:ascii="Arial" w:hAnsi="Arial" w:cs="Arial"/>
            <w:sz w:val="24"/>
            <w:szCs w:val="24"/>
          </w:rPr>
          <w:t xml:space="preserve"> J Med 2011;364:422-31.</w:t>
        </w:r>
      </w:hyperlink>
    </w:p>
    <w:p w14:paraId="576FB824" w14:textId="77777777" w:rsidR="002641D2" w:rsidRPr="00FA3F9C" w:rsidRDefault="002641D2" w:rsidP="00F10A6C">
      <w:pPr>
        <w:spacing w:after="0" w:line="240" w:lineRule="auto"/>
        <w:rPr>
          <w:rFonts w:ascii="Arial" w:hAnsi="Arial" w:cs="Arial"/>
          <w:sz w:val="24"/>
          <w:szCs w:val="24"/>
        </w:rPr>
      </w:pPr>
      <w:r w:rsidRPr="00FA3F9C">
        <w:rPr>
          <w:rFonts w:ascii="Arial" w:hAnsi="Arial" w:cs="Arial"/>
          <w:sz w:val="24"/>
          <w:szCs w:val="24"/>
        </w:rPr>
        <w:t xml:space="preserve">3.  </w:t>
      </w:r>
      <w:proofErr w:type="spellStart"/>
      <w:r w:rsidRPr="00FA3F9C">
        <w:rPr>
          <w:rFonts w:ascii="Arial" w:hAnsi="Arial" w:cs="Arial"/>
          <w:sz w:val="24"/>
          <w:szCs w:val="24"/>
        </w:rPr>
        <w:t>Dificid</w:t>
      </w:r>
      <w:proofErr w:type="spellEnd"/>
      <w:r w:rsidRPr="00FA3F9C">
        <w:rPr>
          <w:rFonts w:ascii="Arial" w:hAnsi="Arial" w:cs="Arial"/>
          <w:sz w:val="24"/>
          <w:szCs w:val="24"/>
        </w:rPr>
        <w:t xml:space="preserve"> package insert.  </w:t>
      </w:r>
      <w:hyperlink r:id="rId172" w:history="1">
        <w:r w:rsidRPr="00FA3F9C">
          <w:rPr>
            <w:rStyle w:val="Hyperlink"/>
            <w:rFonts w:ascii="Arial" w:hAnsi="Arial" w:cs="Arial"/>
            <w:sz w:val="24"/>
            <w:szCs w:val="24"/>
          </w:rPr>
          <w:t>http://www.dificid.com/upload/dificid.pdf</w:t>
        </w:r>
      </w:hyperlink>
      <w:r w:rsidRPr="00FA3F9C">
        <w:rPr>
          <w:rFonts w:ascii="Arial" w:hAnsi="Arial" w:cs="Arial"/>
          <w:sz w:val="24"/>
          <w:szCs w:val="24"/>
        </w:rPr>
        <w:t xml:space="preserve">  , accessed 7/12/2011.</w:t>
      </w:r>
    </w:p>
    <w:p w14:paraId="73F82B4B" w14:textId="77777777" w:rsidR="002641D2" w:rsidRPr="00FA3F9C" w:rsidRDefault="002641D2" w:rsidP="00F10A6C">
      <w:pPr>
        <w:spacing w:after="0" w:line="240" w:lineRule="auto"/>
        <w:rPr>
          <w:rFonts w:ascii="Arial" w:eastAsia="Times New Roman" w:hAnsi="Arial" w:cs="Arial"/>
          <w:sz w:val="24"/>
          <w:szCs w:val="24"/>
        </w:rPr>
      </w:pPr>
      <w:r w:rsidRPr="00222A23">
        <w:rPr>
          <w:rFonts w:ascii="Arial" w:hAnsi="Arial" w:cs="Arial"/>
          <w:sz w:val="24"/>
          <w:szCs w:val="24"/>
        </w:rPr>
        <w:t xml:space="preserve">4. </w:t>
      </w:r>
      <w:r w:rsidRPr="00222A23">
        <w:rPr>
          <w:rFonts w:ascii="Arial" w:eastAsia="Times New Roman" w:hAnsi="Arial" w:cs="Arial"/>
          <w:color w:val="222222"/>
          <w:sz w:val="24"/>
          <w:szCs w:val="24"/>
          <w:shd w:val="clear" w:color="auto" w:fill="FFFFFF"/>
        </w:rPr>
        <w:t xml:space="preserve">McDonald, L. Clifford, et al. </w:t>
      </w:r>
      <w:r w:rsidRPr="00FA3F9C">
        <w:rPr>
          <w:rFonts w:ascii="Arial" w:eastAsia="Times New Roman" w:hAnsi="Arial" w:cs="Arial"/>
          <w:color w:val="222222"/>
          <w:sz w:val="24"/>
          <w:szCs w:val="24"/>
          <w:shd w:val="clear" w:color="auto" w:fill="FFFFFF"/>
        </w:rPr>
        <w:t>"Clinical practice guidelines for Clostridium difficile infection in adults and children: 2017 update by the Infectious Diseases Society of America (IDSA) and Society for Healthcare Epidemiology of America (SHEA)." </w:t>
      </w:r>
      <w:r w:rsidRPr="00FA3F9C">
        <w:rPr>
          <w:rFonts w:ascii="Arial" w:eastAsia="Times New Roman" w:hAnsi="Arial" w:cs="Arial"/>
          <w:i/>
          <w:iCs/>
          <w:color w:val="222222"/>
          <w:sz w:val="24"/>
          <w:szCs w:val="24"/>
          <w:shd w:val="clear" w:color="auto" w:fill="FFFFFF"/>
        </w:rPr>
        <w:t>Clinical Infectious Diseases</w:t>
      </w:r>
      <w:r w:rsidRPr="00FA3F9C">
        <w:rPr>
          <w:rFonts w:ascii="Arial" w:eastAsia="Times New Roman" w:hAnsi="Arial" w:cs="Arial"/>
          <w:color w:val="222222"/>
          <w:sz w:val="24"/>
          <w:szCs w:val="24"/>
          <w:shd w:val="clear" w:color="auto" w:fill="FFFFFF"/>
        </w:rPr>
        <w:t> 66.7 (2018): e1-e48.</w:t>
      </w:r>
    </w:p>
    <w:p w14:paraId="12A1E3DF" w14:textId="77777777" w:rsidR="002641D2" w:rsidRPr="00FA3F9C" w:rsidRDefault="002641D2" w:rsidP="00F10A6C">
      <w:pPr>
        <w:spacing w:after="0" w:line="240" w:lineRule="auto"/>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1"/>
        <w:gridCol w:w="8318"/>
        <w:gridCol w:w="1590"/>
      </w:tblGrid>
      <w:tr w:rsidR="002641D2" w:rsidRPr="00FA3F9C" w14:paraId="1CD77786" w14:textId="77777777" w:rsidTr="00F10A6C">
        <w:tc>
          <w:tcPr>
            <w:tcW w:w="1132" w:type="dxa"/>
          </w:tcPr>
          <w:p w14:paraId="67AF8CCB" w14:textId="77777777" w:rsidR="002641D2" w:rsidRPr="00FA3F9C" w:rsidRDefault="002641D2" w:rsidP="00F10A6C">
            <w:pPr>
              <w:spacing w:after="0" w:line="240" w:lineRule="auto"/>
              <w:rPr>
                <w:rFonts w:ascii="Arial" w:hAnsi="Arial" w:cs="Arial"/>
                <w:sz w:val="24"/>
                <w:szCs w:val="24"/>
              </w:rPr>
            </w:pPr>
            <w:r w:rsidRPr="00FA3F9C">
              <w:rPr>
                <w:rFonts w:ascii="Arial" w:hAnsi="Arial" w:cs="Arial"/>
                <w:sz w:val="24"/>
                <w:szCs w:val="24"/>
              </w:rPr>
              <w:t>Date</w:t>
            </w:r>
          </w:p>
        </w:tc>
        <w:tc>
          <w:tcPr>
            <w:tcW w:w="8318" w:type="dxa"/>
          </w:tcPr>
          <w:p w14:paraId="54B93D15" w14:textId="77777777" w:rsidR="002641D2" w:rsidRPr="00FA3F9C" w:rsidRDefault="002641D2" w:rsidP="00F10A6C">
            <w:pPr>
              <w:spacing w:after="0" w:line="240" w:lineRule="auto"/>
              <w:rPr>
                <w:rFonts w:ascii="Arial" w:hAnsi="Arial" w:cs="Arial"/>
                <w:sz w:val="24"/>
                <w:szCs w:val="24"/>
              </w:rPr>
            </w:pPr>
            <w:r w:rsidRPr="00FA3F9C">
              <w:rPr>
                <w:rFonts w:ascii="Arial" w:hAnsi="Arial" w:cs="Arial"/>
                <w:sz w:val="24"/>
                <w:szCs w:val="24"/>
              </w:rPr>
              <w:t>What changed?</w:t>
            </w:r>
          </w:p>
        </w:tc>
        <w:tc>
          <w:tcPr>
            <w:tcW w:w="1458" w:type="dxa"/>
          </w:tcPr>
          <w:p w14:paraId="616939B3" w14:textId="77777777" w:rsidR="002641D2" w:rsidRPr="00FA3F9C" w:rsidRDefault="002641D2" w:rsidP="00F10A6C">
            <w:pPr>
              <w:spacing w:after="0" w:line="240" w:lineRule="auto"/>
              <w:rPr>
                <w:rFonts w:ascii="Arial" w:hAnsi="Arial" w:cs="Arial"/>
                <w:sz w:val="24"/>
                <w:szCs w:val="24"/>
              </w:rPr>
            </w:pPr>
            <w:r w:rsidRPr="00FA3F9C">
              <w:rPr>
                <w:rFonts w:ascii="Arial" w:hAnsi="Arial" w:cs="Arial"/>
                <w:sz w:val="24"/>
                <w:szCs w:val="24"/>
              </w:rPr>
              <w:t>Pharmacist’s initials</w:t>
            </w:r>
          </w:p>
        </w:tc>
      </w:tr>
      <w:tr w:rsidR="002641D2" w:rsidRPr="00FA3F9C" w14:paraId="4ADEA894" w14:textId="77777777" w:rsidTr="00F10A6C">
        <w:tc>
          <w:tcPr>
            <w:tcW w:w="1132" w:type="dxa"/>
          </w:tcPr>
          <w:p w14:paraId="11110DF3" w14:textId="77777777" w:rsidR="002641D2" w:rsidRPr="00FA3F9C" w:rsidRDefault="002641D2" w:rsidP="00F10A6C">
            <w:pPr>
              <w:spacing w:after="0" w:line="240" w:lineRule="auto"/>
              <w:rPr>
                <w:rFonts w:ascii="Arial" w:hAnsi="Arial" w:cs="Arial"/>
                <w:sz w:val="24"/>
                <w:szCs w:val="24"/>
              </w:rPr>
            </w:pPr>
            <w:r w:rsidRPr="00FA3F9C">
              <w:rPr>
                <w:rFonts w:ascii="Arial" w:hAnsi="Arial" w:cs="Arial"/>
                <w:sz w:val="24"/>
                <w:szCs w:val="24"/>
              </w:rPr>
              <w:t>10/11/11</w:t>
            </w:r>
          </w:p>
        </w:tc>
        <w:tc>
          <w:tcPr>
            <w:tcW w:w="8318" w:type="dxa"/>
          </w:tcPr>
          <w:p w14:paraId="5650D494" w14:textId="77777777" w:rsidR="002641D2" w:rsidRPr="00FA3F9C" w:rsidRDefault="002641D2" w:rsidP="00F10A6C">
            <w:pPr>
              <w:spacing w:after="0" w:line="240" w:lineRule="auto"/>
              <w:rPr>
                <w:rFonts w:ascii="Arial" w:hAnsi="Arial" w:cs="Arial"/>
                <w:sz w:val="24"/>
                <w:szCs w:val="24"/>
              </w:rPr>
            </w:pPr>
            <w:r w:rsidRPr="00FA3F9C">
              <w:rPr>
                <w:rFonts w:ascii="Arial" w:hAnsi="Arial" w:cs="Arial"/>
                <w:sz w:val="24"/>
                <w:szCs w:val="24"/>
              </w:rPr>
              <w:t>Criteria written</w:t>
            </w:r>
          </w:p>
        </w:tc>
        <w:tc>
          <w:tcPr>
            <w:tcW w:w="1458" w:type="dxa"/>
          </w:tcPr>
          <w:p w14:paraId="75F81F88" w14:textId="77777777" w:rsidR="002641D2" w:rsidRPr="00FA3F9C" w:rsidRDefault="002641D2" w:rsidP="00F10A6C">
            <w:pPr>
              <w:spacing w:after="0" w:line="240" w:lineRule="auto"/>
              <w:rPr>
                <w:rFonts w:ascii="Arial" w:hAnsi="Arial" w:cs="Arial"/>
                <w:sz w:val="24"/>
                <w:szCs w:val="24"/>
              </w:rPr>
            </w:pPr>
            <w:r w:rsidRPr="00FA3F9C">
              <w:rPr>
                <w:rFonts w:ascii="Arial" w:hAnsi="Arial" w:cs="Arial"/>
                <w:sz w:val="24"/>
                <w:szCs w:val="24"/>
              </w:rPr>
              <w:t>JJ</w:t>
            </w:r>
          </w:p>
        </w:tc>
      </w:tr>
      <w:tr w:rsidR="002641D2" w:rsidRPr="00FA3F9C" w14:paraId="35200C9D" w14:textId="77777777" w:rsidTr="00F10A6C">
        <w:tc>
          <w:tcPr>
            <w:tcW w:w="1132" w:type="dxa"/>
          </w:tcPr>
          <w:p w14:paraId="5AF61F7D" w14:textId="77777777" w:rsidR="002641D2" w:rsidRPr="00FA3F9C" w:rsidRDefault="002641D2" w:rsidP="00F10A6C">
            <w:pPr>
              <w:spacing w:after="0" w:line="240" w:lineRule="auto"/>
              <w:rPr>
                <w:rFonts w:ascii="Arial" w:hAnsi="Arial" w:cs="Arial"/>
                <w:sz w:val="24"/>
                <w:szCs w:val="24"/>
              </w:rPr>
            </w:pPr>
            <w:r w:rsidRPr="00FA3F9C">
              <w:rPr>
                <w:rFonts w:ascii="Arial" w:hAnsi="Arial" w:cs="Arial"/>
                <w:sz w:val="24"/>
                <w:szCs w:val="24"/>
              </w:rPr>
              <w:t>5/14/12</w:t>
            </w:r>
          </w:p>
        </w:tc>
        <w:tc>
          <w:tcPr>
            <w:tcW w:w="8318" w:type="dxa"/>
          </w:tcPr>
          <w:p w14:paraId="2F22E391" w14:textId="77777777" w:rsidR="002641D2" w:rsidRPr="00FA3F9C" w:rsidRDefault="002641D2" w:rsidP="00F10A6C">
            <w:pPr>
              <w:spacing w:after="0" w:line="240" w:lineRule="auto"/>
              <w:rPr>
                <w:rFonts w:ascii="Arial" w:hAnsi="Arial" w:cs="Arial"/>
                <w:sz w:val="24"/>
                <w:szCs w:val="24"/>
              </w:rPr>
            </w:pPr>
            <w:r w:rsidRPr="00FA3F9C">
              <w:rPr>
                <w:rFonts w:ascii="Arial" w:hAnsi="Arial" w:cs="Arial"/>
                <w:sz w:val="24"/>
                <w:szCs w:val="24"/>
              </w:rPr>
              <w:t xml:space="preserve">Revision </w:t>
            </w:r>
            <w:proofErr w:type="spellStart"/>
            <w:r w:rsidRPr="00FA3F9C">
              <w:rPr>
                <w:rFonts w:ascii="Arial" w:hAnsi="Arial" w:cs="Arial"/>
                <w:sz w:val="24"/>
                <w:szCs w:val="24"/>
              </w:rPr>
              <w:t>hx</w:t>
            </w:r>
            <w:proofErr w:type="spellEnd"/>
            <w:r w:rsidRPr="00FA3F9C">
              <w:rPr>
                <w:rFonts w:ascii="Arial" w:hAnsi="Arial" w:cs="Arial"/>
                <w:sz w:val="24"/>
                <w:szCs w:val="24"/>
              </w:rPr>
              <w:t xml:space="preserve"> table added</w:t>
            </w:r>
          </w:p>
        </w:tc>
        <w:tc>
          <w:tcPr>
            <w:tcW w:w="1458" w:type="dxa"/>
          </w:tcPr>
          <w:p w14:paraId="6880ED64" w14:textId="77777777" w:rsidR="002641D2" w:rsidRPr="00FA3F9C" w:rsidRDefault="002641D2" w:rsidP="00F10A6C">
            <w:pPr>
              <w:spacing w:after="0" w:line="240" w:lineRule="auto"/>
              <w:rPr>
                <w:rFonts w:ascii="Arial" w:hAnsi="Arial" w:cs="Arial"/>
                <w:sz w:val="24"/>
                <w:szCs w:val="24"/>
              </w:rPr>
            </w:pPr>
            <w:r w:rsidRPr="00FA3F9C">
              <w:rPr>
                <w:rFonts w:ascii="Arial" w:hAnsi="Arial" w:cs="Arial"/>
                <w:sz w:val="24"/>
                <w:szCs w:val="24"/>
              </w:rPr>
              <w:t>JJ</w:t>
            </w:r>
          </w:p>
        </w:tc>
      </w:tr>
      <w:tr w:rsidR="002641D2" w:rsidRPr="00FA3F9C" w14:paraId="086B7DD3" w14:textId="77777777" w:rsidTr="00F10A6C">
        <w:tc>
          <w:tcPr>
            <w:tcW w:w="1132" w:type="dxa"/>
          </w:tcPr>
          <w:p w14:paraId="2990C378" w14:textId="77777777" w:rsidR="002641D2" w:rsidRPr="00FA3F9C" w:rsidRDefault="002641D2" w:rsidP="00F10A6C">
            <w:pPr>
              <w:spacing w:after="0" w:line="240" w:lineRule="auto"/>
              <w:rPr>
                <w:rFonts w:ascii="Arial" w:hAnsi="Arial" w:cs="Arial"/>
                <w:sz w:val="24"/>
                <w:szCs w:val="24"/>
              </w:rPr>
            </w:pPr>
            <w:r w:rsidRPr="00FA3F9C">
              <w:rPr>
                <w:rFonts w:ascii="Arial" w:hAnsi="Arial" w:cs="Arial"/>
                <w:sz w:val="24"/>
                <w:szCs w:val="24"/>
              </w:rPr>
              <w:lastRenderedPageBreak/>
              <w:t>4/25/18</w:t>
            </w:r>
          </w:p>
        </w:tc>
        <w:tc>
          <w:tcPr>
            <w:tcW w:w="8318" w:type="dxa"/>
          </w:tcPr>
          <w:p w14:paraId="31A7A3AB" w14:textId="53E8DAED" w:rsidR="002641D2" w:rsidRPr="00FA3F9C" w:rsidRDefault="002641D2" w:rsidP="00F10A6C">
            <w:pPr>
              <w:spacing w:after="0" w:line="240" w:lineRule="auto"/>
              <w:rPr>
                <w:rFonts w:ascii="Arial" w:hAnsi="Arial" w:cs="Arial"/>
                <w:sz w:val="24"/>
                <w:szCs w:val="24"/>
              </w:rPr>
            </w:pPr>
            <w:r w:rsidRPr="00FA3F9C">
              <w:rPr>
                <w:rFonts w:ascii="Arial" w:hAnsi="Arial" w:cs="Arial"/>
                <w:sz w:val="24"/>
                <w:szCs w:val="24"/>
              </w:rPr>
              <w:t xml:space="preserve">I updated the criteria.  I removed the requirement to fail metronidazole, to have a mild-mod diagnosis of </w:t>
            </w:r>
            <w:proofErr w:type="spellStart"/>
            <w:r w:rsidRPr="00FA3F9C">
              <w:rPr>
                <w:rFonts w:ascii="Arial" w:hAnsi="Arial" w:cs="Arial"/>
                <w:sz w:val="24"/>
                <w:szCs w:val="24"/>
              </w:rPr>
              <w:t>Cdif</w:t>
            </w:r>
            <w:proofErr w:type="spellEnd"/>
            <w:r w:rsidRPr="00FA3F9C">
              <w:rPr>
                <w:rFonts w:ascii="Arial" w:hAnsi="Arial" w:cs="Arial"/>
                <w:sz w:val="24"/>
                <w:szCs w:val="24"/>
              </w:rPr>
              <w:t xml:space="preserve"> toxin +, and I added the reference where these guidelines came from.  I also removed the reference for the 2010 </w:t>
            </w:r>
            <w:proofErr w:type="spellStart"/>
            <w:r w:rsidRPr="00FA3F9C">
              <w:rPr>
                <w:rFonts w:ascii="Arial" w:hAnsi="Arial" w:cs="Arial"/>
                <w:sz w:val="24"/>
                <w:szCs w:val="24"/>
              </w:rPr>
              <w:t>Cdif</w:t>
            </w:r>
            <w:proofErr w:type="spellEnd"/>
            <w:r w:rsidRPr="00FA3F9C">
              <w:rPr>
                <w:rFonts w:ascii="Arial" w:hAnsi="Arial" w:cs="Arial"/>
                <w:sz w:val="24"/>
                <w:szCs w:val="24"/>
              </w:rPr>
              <w:t xml:space="preserve"> Guidelines. Cohen SH, et al.  Clinical Practice guidelines for clostridium difficile infection in adults:  2010 update by the society for Healthcare Epidemiology of America (SHEA) and the Infectious Diseases Society of America (IDSA). </w:t>
            </w:r>
            <w:hyperlink r:id="rId173" w:history="1">
              <w:r w:rsidRPr="00FA3F9C">
                <w:rPr>
                  <w:rStyle w:val="Hyperlink"/>
                  <w:rFonts w:ascii="Arial" w:hAnsi="Arial" w:cs="Arial"/>
                  <w:sz w:val="24"/>
                  <w:szCs w:val="24"/>
                </w:rPr>
                <w:t xml:space="preserve">Infect Control Hosp Epidemiol. 2010;31(5). </w:t>
              </w:r>
            </w:hyperlink>
            <w:r w:rsidRPr="00FA3F9C">
              <w:rPr>
                <w:rFonts w:ascii="Arial" w:hAnsi="Arial" w:cs="Arial"/>
                <w:sz w:val="24"/>
                <w:szCs w:val="24"/>
              </w:rPr>
              <w:t xml:space="preserve"> Available on the IDSA Website:  </w:t>
            </w:r>
            <w:hyperlink r:id="rId174" w:anchor="cd" w:history="1">
              <w:r w:rsidRPr="00FA3F9C">
                <w:rPr>
                  <w:rStyle w:val="Hyperlink"/>
                  <w:rFonts w:ascii="Arial" w:hAnsi="Arial" w:cs="Arial"/>
                  <w:sz w:val="24"/>
                  <w:szCs w:val="24"/>
                </w:rPr>
                <w:t>http://www.idsociety.org/content.aspx?id=4430#cd</w:t>
              </w:r>
            </w:hyperlink>
            <w:r w:rsidRPr="00FA3F9C">
              <w:rPr>
                <w:rFonts w:ascii="Arial" w:hAnsi="Arial" w:cs="Arial"/>
                <w:sz w:val="24"/>
                <w:szCs w:val="24"/>
              </w:rPr>
              <w:t xml:space="preserve"> , accessed 7/12/2011.</w:t>
            </w:r>
          </w:p>
        </w:tc>
        <w:tc>
          <w:tcPr>
            <w:tcW w:w="1458" w:type="dxa"/>
          </w:tcPr>
          <w:p w14:paraId="073E9F22" w14:textId="77777777" w:rsidR="002641D2" w:rsidRPr="00FA3F9C" w:rsidRDefault="002641D2" w:rsidP="00F10A6C">
            <w:pPr>
              <w:spacing w:after="0" w:line="240" w:lineRule="auto"/>
              <w:rPr>
                <w:rFonts w:ascii="Arial" w:hAnsi="Arial" w:cs="Arial"/>
                <w:sz w:val="24"/>
                <w:szCs w:val="24"/>
              </w:rPr>
            </w:pPr>
            <w:r w:rsidRPr="00FA3F9C">
              <w:rPr>
                <w:rFonts w:ascii="Arial" w:hAnsi="Arial" w:cs="Arial"/>
                <w:sz w:val="24"/>
                <w:szCs w:val="24"/>
              </w:rPr>
              <w:t>JJ</w:t>
            </w:r>
          </w:p>
        </w:tc>
      </w:tr>
      <w:tr w:rsidR="002641D2" w:rsidRPr="00FA3F9C" w14:paraId="0A7C3D04" w14:textId="77777777" w:rsidTr="00F10A6C">
        <w:tc>
          <w:tcPr>
            <w:tcW w:w="1132" w:type="dxa"/>
          </w:tcPr>
          <w:p w14:paraId="1EC6AA0C" w14:textId="77777777" w:rsidR="002641D2" w:rsidRPr="00FA3F9C" w:rsidRDefault="002641D2" w:rsidP="00F10A6C">
            <w:pPr>
              <w:spacing w:after="0" w:line="240" w:lineRule="auto"/>
              <w:rPr>
                <w:rFonts w:ascii="Arial" w:hAnsi="Arial" w:cs="Arial"/>
                <w:sz w:val="24"/>
                <w:szCs w:val="24"/>
              </w:rPr>
            </w:pPr>
            <w:r w:rsidRPr="00FA3F9C">
              <w:rPr>
                <w:rFonts w:ascii="Arial" w:hAnsi="Arial" w:cs="Arial"/>
                <w:sz w:val="24"/>
                <w:szCs w:val="24"/>
              </w:rPr>
              <w:t>3/30/21</w:t>
            </w:r>
          </w:p>
        </w:tc>
        <w:tc>
          <w:tcPr>
            <w:tcW w:w="8318" w:type="dxa"/>
          </w:tcPr>
          <w:p w14:paraId="46765025" w14:textId="77777777" w:rsidR="002641D2" w:rsidRPr="00FA3F9C" w:rsidRDefault="002641D2" w:rsidP="00F10A6C">
            <w:pPr>
              <w:spacing w:after="0" w:line="240" w:lineRule="auto"/>
              <w:rPr>
                <w:rFonts w:ascii="Arial" w:hAnsi="Arial" w:cs="Arial"/>
                <w:sz w:val="24"/>
                <w:szCs w:val="24"/>
              </w:rPr>
            </w:pPr>
            <w:r w:rsidRPr="00FA3F9C">
              <w:rPr>
                <w:rFonts w:ascii="Arial" w:hAnsi="Arial" w:cs="Arial"/>
                <w:sz w:val="24"/>
                <w:szCs w:val="24"/>
              </w:rPr>
              <w:t>I updated the criteria according to the 2017 SHEA/IDSA guidelines</w:t>
            </w:r>
          </w:p>
        </w:tc>
        <w:tc>
          <w:tcPr>
            <w:tcW w:w="1458" w:type="dxa"/>
          </w:tcPr>
          <w:p w14:paraId="43ED87B6" w14:textId="77777777" w:rsidR="002641D2" w:rsidRPr="00FA3F9C" w:rsidRDefault="002641D2" w:rsidP="00F10A6C">
            <w:pPr>
              <w:spacing w:after="0" w:line="240" w:lineRule="auto"/>
              <w:rPr>
                <w:rFonts w:ascii="Arial" w:hAnsi="Arial" w:cs="Arial"/>
                <w:sz w:val="24"/>
                <w:szCs w:val="24"/>
              </w:rPr>
            </w:pPr>
            <w:r w:rsidRPr="00FA3F9C">
              <w:rPr>
                <w:rFonts w:ascii="Arial" w:hAnsi="Arial" w:cs="Arial"/>
                <w:sz w:val="24"/>
                <w:szCs w:val="24"/>
              </w:rPr>
              <w:t>JJ</w:t>
            </w:r>
          </w:p>
        </w:tc>
      </w:tr>
    </w:tbl>
    <w:p w14:paraId="5B3D8B82" w14:textId="77777777" w:rsidR="002641D2" w:rsidRPr="00FA3F9C" w:rsidRDefault="002641D2">
      <w:pPr>
        <w:spacing w:after="0" w:line="240" w:lineRule="auto"/>
        <w:rPr>
          <w:rFonts w:ascii="Arial" w:hAnsi="Arial" w:cs="Arial"/>
          <w:sz w:val="24"/>
          <w:szCs w:val="24"/>
        </w:rPr>
      </w:pPr>
      <w:r w:rsidRPr="00FA3F9C">
        <w:rPr>
          <w:rFonts w:ascii="Arial" w:hAnsi="Arial" w:cs="Arial"/>
          <w:noProof/>
          <w:sz w:val="24"/>
          <w:szCs w:val="24"/>
        </w:rPr>
        <w:drawing>
          <wp:inline distT="0" distB="0" distL="0" distR="0" wp14:anchorId="631DD7E3" wp14:editId="0AEFFB41">
            <wp:extent cx="4978400" cy="3911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4983017" cy="3915228"/>
                    </a:xfrm>
                    <a:prstGeom prst="rect">
                      <a:avLst/>
                    </a:prstGeom>
                  </pic:spPr>
                </pic:pic>
              </a:graphicData>
            </a:graphic>
          </wp:inline>
        </w:drawing>
      </w:r>
    </w:p>
    <w:p w14:paraId="1CAC3765" w14:textId="77777777" w:rsidR="005E2908" w:rsidRDefault="002641D2" w:rsidP="005E2908">
      <w:pPr>
        <w:pStyle w:val="Heading2"/>
        <w:rPr>
          <w:lang w:val="es-ES"/>
        </w:rPr>
      </w:pPr>
      <w:bookmarkStart w:id="124" w:name="_Toc106369807"/>
      <w:proofErr w:type="spellStart"/>
      <w:r w:rsidRPr="00FA3F9C">
        <w:rPr>
          <w:lang w:val="es-ES"/>
        </w:rPr>
        <w:lastRenderedPageBreak/>
        <w:t>Fingolimod</w:t>
      </w:r>
      <w:proofErr w:type="spellEnd"/>
      <w:r w:rsidRPr="00FA3F9C">
        <w:rPr>
          <w:lang w:val="es-ES"/>
        </w:rPr>
        <w:t xml:space="preserve"> (</w:t>
      </w:r>
      <w:proofErr w:type="spellStart"/>
      <w:r w:rsidRPr="00FA3F9C">
        <w:rPr>
          <w:lang w:val="es-ES"/>
        </w:rPr>
        <w:t>Gilenya</w:t>
      </w:r>
      <w:proofErr w:type="spellEnd"/>
      <w:r w:rsidRPr="00FA3F9C">
        <w:rPr>
          <w:lang w:val="es-ES"/>
        </w:rPr>
        <w:t>®)</w:t>
      </w:r>
      <w:bookmarkEnd w:id="124"/>
      <w:r w:rsidRPr="00FA3F9C">
        <w:rPr>
          <w:lang w:val="es-ES"/>
        </w:rPr>
        <w:t xml:space="preserve"> </w:t>
      </w:r>
    </w:p>
    <w:p w14:paraId="4E77E763" w14:textId="58E3226B" w:rsidR="002641D2" w:rsidRPr="00FA3F9C" w:rsidRDefault="002641D2" w:rsidP="002A23A6">
      <w:pPr>
        <w:jc w:val="center"/>
        <w:rPr>
          <w:rFonts w:ascii="Arial" w:hAnsi="Arial" w:cs="Arial"/>
          <w:b/>
          <w:sz w:val="24"/>
          <w:szCs w:val="24"/>
          <w:lang w:val="es-ES"/>
        </w:rPr>
      </w:pPr>
      <w:proofErr w:type="spellStart"/>
      <w:r w:rsidRPr="00FA3F9C">
        <w:rPr>
          <w:rFonts w:ascii="Arial" w:hAnsi="Arial" w:cs="Arial"/>
          <w:b/>
          <w:sz w:val="24"/>
          <w:szCs w:val="24"/>
          <w:lang w:val="es-ES"/>
        </w:rPr>
        <w:t>tablets</w:t>
      </w:r>
      <w:proofErr w:type="spellEnd"/>
      <w:r w:rsidRPr="00FA3F9C">
        <w:rPr>
          <w:rFonts w:ascii="Arial" w:hAnsi="Arial" w:cs="Arial"/>
          <w:b/>
          <w:sz w:val="24"/>
          <w:szCs w:val="24"/>
          <w:lang w:val="es-ES"/>
        </w:rPr>
        <w:t xml:space="preserve"> </w:t>
      </w:r>
    </w:p>
    <w:p w14:paraId="68F4A0DF" w14:textId="77777777" w:rsidR="002641D2" w:rsidRPr="00FA3F9C" w:rsidRDefault="002641D2" w:rsidP="002A23A6">
      <w:pPr>
        <w:jc w:val="center"/>
        <w:rPr>
          <w:rFonts w:ascii="Arial" w:hAnsi="Arial" w:cs="Arial"/>
          <w:b/>
          <w:sz w:val="24"/>
          <w:szCs w:val="24"/>
          <w:lang w:val="es-ES"/>
        </w:rPr>
      </w:pPr>
      <w:r w:rsidRPr="00FA3F9C">
        <w:rPr>
          <w:rFonts w:ascii="Arial" w:hAnsi="Arial" w:cs="Arial"/>
          <w:b/>
          <w:sz w:val="24"/>
          <w:szCs w:val="24"/>
          <w:lang w:val="es-ES"/>
        </w:rPr>
        <w:t xml:space="preserve">EBRx PA </w:t>
      </w:r>
      <w:proofErr w:type="spellStart"/>
      <w:r w:rsidRPr="00FA3F9C">
        <w:rPr>
          <w:rFonts w:ascii="Arial" w:hAnsi="Arial" w:cs="Arial"/>
          <w:b/>
          <w:sz w:val="24"/>
          <w:szCs w:val="24"/>
          <w:lang w:val="es-ES"/>
        </w:rPr>
        <w:t>Criteria</w:t>
      </w:r>
      <w:proofErr w:type="spellEnd"/>
    </w:p>
    <w:p w14:paraId="0BCC7809" w14:textId="77777777" w:rsidR="002641D2" w:rsidRPr="00FA3F9C" w:rsidRDefault="002641D2" w:rsidP="00D4484F">
      <w:pPr>
        <w:rPr>
          <w:rFonts w:ascii="Arial" w:hAnsi="Arial" w:cs="Arial"/>
          <w:b/>
          <w:sz w:val="24"/>
          <w:szCs w:val="24"/>
          <w:u w:val="single"/>
          <w:lang w:val="es-ES"/>
        </w:rPr>
      </w:pPr>
    </w:p>
    <w:p w14:paraId="3E25AFC3" w14:textId="77777777" w:rsidR="002641D2" w:rsidRPr="00FA3F9C" w:rsidRDefault="002641D2" w:rsidP="00D4484F">
      <w:pPr>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relapsing multiple sclerosis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6"/>
        <w:gridCol w:w="1950"/>
      </w:tblGrid>
      <w:tr w:rsidR="002641D2" w:rsidRPr="00FA3F9C" w14:paraId="17DDB924" w14:textId="77777777" w:rsidTr="00166729">
        <w:tc>
          <w:tcPr>
            <w:tcW w:w="8346" w:type="dxa"/>
            <w:shd w:val="clear" w:color="auto" w:fill="000000"/>
          </w:tcPr>
          <w:p w14:paraId="46D4920C" w14:textId="77777777" w:rsidR="002641D2" w:rsidRPr="00FA3F9C" w:rsidRDefault="002641D2" w:rsidP="00166729">
            <w:pPr>
              <w:rPr>
                <w:rFonts w:ascii="Arial" w:hAnsi="Arial" w:cs="Arial"/>
                <w:b/>
                <w:sz w:val="24"/>
                <w:szCs w:val="24"/>
                <w:u w:val="single"/>
              </w:rPr>
            </w:pPr>
            <w:r w:rsidRPr="00FA3F9C">
              <w:rPr>
                <w:rFonts w:ascii="Arial" w:hAnsi="Arial" w:cs="Arial"/>
                <w:b/>
                <w:sz w:val="24"/>
                <w:szCs w:val="24"/>
                <w:u w:val="single"/>
              </w:rPr>
              <w:t>Criteria for new users</w:t>
            </w:r>
          </w:p>
        </w:tc>
        <w:tc>
          <w:tcPr>
            <w:tcW w:w="1950" w:type="dxa"/>
            <w:shd w:val="clear" w:color="auto" w:fill="000000"/>
          </w:tcPr>
          <w:p w14:paraId="63F3B7C4" w14:textId="77777777" w:rsidR="002641D2" w:rsidRPr="00FA3F9C" w:rsidRDefault="002641D2" w:rsidP="00166729">
            <w:pPr>
              <w:jc w:val="center"/>
              <w:rPr>
                <w:rFonts w:ascii="Arial" w:hAnsi="Arial" w:cs="Arial"/>
                <w:b/>
                <w:sz w:val="24"/>
                <w:szCs w:val="24"/>
                <w:u w:val="single"/>
              </w:rPr>
            </w:pPr>
          </w:p>
        </w:tc>
      </w:tr>
      <w:tr w:rsidR="002641D2" w:rsidRPr="00FA3F9C" w14:paraId="16BC2914" w14:textId="77777777" w:rsidTr="00166729">
        <w:tc>
          <w:tcPr>
            <w:tcW w:w="10296" w:type="dxa"/>
            <w:gridSpan w:val="2"/>
            <w:shd w:val="clear" w:color="auto" w:fill="auto"/>
          </w:tcPr>
          <w:p w14:paraId="301452E0" w14:textId="77777777" w:rsidR="002641D2" w:rsidRPr="00FA3F9C" w:rsidRDefault="002641D2" w:rsidP="002641D2">
            <w:pPr>
              <w:pStyle w:val="ListParagraph"/>
              <w:numPr>
                <w:ilvl w:val="0"/>
                <w:numId w:val="219"/>
              </w:numPr>
              <w:spacing w:after="0" w:line="240" w:lineRule="auto"/>
              <w:rPr>
                <w:rFonts w:ascii="Arial" w:hAnsi="Arial" w:cs="Arial"/>
                <w:sz w:val="24"/>
                <w:szCs w:val="24"/>
              </w:rPr>
            </w:pPr>
            <w:r w:rsidRPr="00FA3F9C">
              <w:rPr>
                <w:rFonts w:ascii="Arial" w:hAnsi="Arial" w:cs="Arial"/>
                <w:sz w:val="24"/>
                <w:szCs w:val="24"/>
              </w:rPr>
              <w:t>Patient must have the diagnosis of relapsing MS with highly active disease as indicated by the prescriber (high frequency of relapses, MRI changes).</w:t>
            </w:r>
          </w:p>
        </w:tc>
      </w:tr>
      <w:tr w:rsidR="002641D2" w:rsidRPr="00FA3F9C" w14:paraId="215DEDC6" w14:textId="77777777" w:rsidTr="00166729">
        <w:tc>
          <w:tcPr>
            <w:tcW w:w="10296" w:type="dxa"/>
            <w:gridSpan w:val="2"/>
            <w:shd w:val="clear" w:color="auto" w:fill="auto"/>
          </w:tcPr>
          <w:p w14:paraId="4B80A59A" w14:textId="77777777" w:rsidR="002641D2" w:rsidRPr="00FA3F9C" w:rsidRDefault="002641D2" w:rsidP="002641D2">
            <w:pPr>
              <w:pStyle w:val="ListParagraph"/>
              <w:numPr>
                <w:ilvl w:val="0"/>
                <w:numId w:val="219"/>
              </w:numPr>
              <w:spacing w:after="0" w:line="240" w:lineRule="auto"/>
              <w:rPr>
                <w:rFonts w:ascii="Arial" w:hAnsi="Arial" w:cs="Arial"/>
                <w:sz w:val="24"/>
                <w:szCs w:val="24"/>
              </w:rPr>
            </w:pPr>
            <w:r w:rsidRPr="00FA3F9C">
              <w:rPr>
                <w:rFonts w:ascii="Arial" w:hAnsi="Arial" w:cs="Arial"/>
                <w:sz w:val="24"/>
                <w:szCs w:val="24"/>
              </w:rPr>
              <w:t xml:space="preserve">Patient must be at low risk for progressive multifocal leukoencephalopathy (PML) including those who are antibody positive </w:t>
            </w:r>
            <w:proofErr w:type="gramStart"/>
            <w:r w:rsidRPr="00FA3F9C">
              <w:rPr>
                <w:rFonts w:ascii="Arial" w:hAnsi="Arial" w:cs="Arial"/>
                <w:sz w:val="24"/>
                <w:szCs w:val="24"/>
              </w:rPr>
              <w:t>as long as</w:t>
            </w:r>
            <w:proofErr w:type="gramEnd"/>
            <w:r w:rsidRPr="00FA3F9C">
              <w:rPr>
                <w:rFonts w:ascii="Arial" w:hAnsi="Arial" w:cs="Arial"/>
                <w:sz w:val="24"/>
                <w:szCs w:val="24"/>
              </w:rPr>
              <w:t xml:space="preserve"> the anti-JCV antibody index is below 0.9.</w:t>
            </w:r>
          </w:p>
        </w:tc>
      </w:tr>
      <w:tr w:rsidR="002641D2" w:rsidRPr="00FA3F9C" w14:paraId="21FC97D3" w14:textId="77777777" w:rsidTr="00166729">
        <w:tc>
          <w:tcPr>
            <w:tcW w:w="10296" w:type="dxa"/>
            <w:gridSpan w:val="2"/>
            <w:shd w:val="clear" w:color="auto" w:fill="auto"/>
          </w:tcPr>
          <w:p w14:paraId="2B777CD4" w14:textId="77777777" w:rsidR="002641D2" w:rsidRPr="00FA3F9C" w:rsidRDefault="002641D2" w:rsidP="002641D2">
            <w:pPr>
              <w:pStyle w:val="ListParagraph"/>
              <w:numPr>
                <w:ilvl w:val="0"/>
                <w:numId w:val="219"/>
              </w:numPr>
              <w:spacing w:after="0" w:line="240" w:lineRule="auto"/>
              <w:rPr>
                <w:rFonts w:ascii="Arial" w:hAnsi="Arial" w:cs="Arial"/>
                <w:sz w:val="24"/>
                <w:szCs w:val="24"/>
              </w:rPr>
            </w:pPr>
            <w:r w:rsidRPr="00FA3F9C">
              <w:rPr>
                <w:rFonts w:ascii="Arial" w:hAnsi="Arial" w:cs="Arial"/>
                <w:sz w:val="24"/>
                <w:szCs w:val="24"/>
              </w:rPr>
              <w:t>No concurrent therapy with other RRMS drug therapies.</w:t>
            </w:r>
          </w:p>
        </w:tc>
      </w:tr>
    </w:tbl>
    <w:p w14:paraId="72594614" w14:textId="77777777" w:rsidR="002641D2" w:rsidRPr="00FA3F9C" w:rsidRDefault="002641D2" w:rsidP="00D4484F">
      <w:pPr>
        <w:rPr>
          <w:rFonts w:ascii="Arial" w:hAnsi="Arial" w:cs="Arial"/>
          <w:b/>
          <w:sz w:val="24"/>
          <w:szCs w:val="24"/>
          <w:u w:val="single"/>
        </w:rPr>
      </w:pPr>
    </w:p>
    <w:p w14:paraId="65E25198" w14:textId="77777777" w:rsidR="002641D2" w:rsidRPr="00FA3F9C" w:rsidRDefault="002641D2" w:rsidP="00D4484F">
      <w:pPr>
        <w:rPr>
          <w:rFonts w:ascii="Arial" w:hAnsi="Arial" w:cs="Arial"/>
          <w:b/>
          <w:sz w:val="24"/>
          <w:szCs w:val="24"/>
          <w:u w:val="single"/>
        </w:rPr>
      </w:pPr>
      <w:r w:rsidRPr="00FA3F9C">
        <w:rPr>
          <w:rFonts w:ascii="Arial" w:hAnsi="Arial" w:cs="Arial"/>
          <w:b/>
          <w:sz w:val="24"/>
          <w:szCs w:val="24"/>
          <w:u w:val="single"/>
        </w:rPr>
        <w:t>Note: Dose is 0.5mg QD.</w:t>
      </w:r>
    </w:p>
    <w:p w14:paraId="36611673" w14:textId="77777777" w:rsidR="002641D2" w:rsidRPr="00FA3F9C" w:rsidRDefault="002641D2" w:rsidP="00D4484F">
      <w:pPr>
        <w:rPr>
          <w:rFonts w:ascii="Arial" w:hAnsi="Arial" w:cs="Arial"/>
          <w:b/>
          <w:sz w:val="24"/>
          <w:szCs w:val="24"/>
          <w:u w:val="single"/>
        </w:rPr>
      </w:pPr>
      <w:r w:rsidRPr="00FA3F9C">
        <w:rPr>
          <w:rFonts w:ascii="Arial" w:hAnsi="Arial" w:cs="Arial"/>
          <w:b/>
          <w:sz w:val="24"/>
          <w:szCs w:val="24"/>
          <w:u w:val="single"/>
        </w:rPr>
        <w:t>QL: 30/30; specialty drug.  No fills &gt;31 ds.</w:t>
      </w:r>
    </w:p>
    <w:p w14:paraId="45A718A3" w14:textId="77777777" w:rsidR="002641D2" w:rsidRPr="00FA3F9C" w:rsidRDefault="002641D2" w:rsidP="0015446A">
      <w:pPr>
        <w:rPr>
          <w:rFonts w:ascii="Arial" w:hAnsi="Arial" w:cs="Arial"/>
          <w:sz w:val="24"/>
          <w:szCs w:val="24"/>
        </w:rPr>
      </w:pPr>
    </w:p>
    <w:p w14:paraId="3668FD68" w14:textId="77777777" w:rsidR="002641D2" w:rsidRPr="00FA3F9C" w:rsidRDefault="002641D2" w:rsidP="00BD761B">
      <w:pPr>
        <w:jc w:val="right"/>
        <w:rPr>
          <w:rFonts w:ascii="Arial" w:hAnsi="Arial" w:cs="Arial"/>
          <w:sz w:val="24"/>
          <w:szCs w:val="24"/>
        </w:rPr>
      </w:pPr>
    </w:p>
    <w:p w14:paraId="74CE509A" w14:textId="77777777" w:rsidR="002641D2" w:rsidRPr="00FA3F9C" w:rsidRDefault="002641D2" w:rsidP="002A23A6">
      <w:pPr>
        <w:rPr>
          <w:rFonts w:ascii="Arial" w:hAnsi="Arial" w:cs="Arial"/>
          <w:sz w:val="24"/>
          <w:szCs w:val="24"/>
        </w:rPr>
      </w:pPr>
      <w:r w:rsidRPr="00FA3F9C">
        <w:rPr>
          <w:rFonts w:ascii="Arial" w:hAnsi="Arial" w:cs="Arial"/>
          <w:sz w:val="24"/>
          <w:szCs w:val="24"/>
        </w:rPr>
        <w:t xml:space="preserve">References:  </w:t>
      </w:r>
    </w:p>
    <w:p w14:paraId="29F70B46" w14:textId="77777777" w:rsidR="002641D2" w:rsidRPr="00FA3F9C" w:rsidRDefault="002641D2" w:rsidP="00D4484F">
      <w:pPr>
        <w:rPr>
          <w:rFonts w:ascii="Arial" w:hAnsi="Arial" w:cs="Arial"/>
          <w:sz w:val="24"/>
          <w:szCs w:val="24"/>
        </w:rPr>
      </w:pPr>
      <w:r w:rsidRPr="00FA3F9C">
        <w:rPr>
          <w:rFonts w:ascii="Arial" w:hAnsi="Arial" w:cs="Arial"/>
          <w:sz w:val="24"/>
          <w:szCs w:val="24"/>
        </w:rPr>
        <w:t xml:space="preserve">1.  PI.  </w:t>
      </w:r>
      <w:proofErr w:type="spellStart"/>
      <w:r w:rsidRPr="00FA3F9C">
        <w:rPr>
          <w:rFonts w:ascii="Arial" w:hAnsi="Arial" w:cs="Arial"/>
          <w:sz w:val="24"/>
          <w:szCs w:val="24"/>
        </w:rPr>
        <w:t>Gilenya</w:t>
      </w:r>
      <w:proofErr w:type="spellEnd"/>
      <w:r w:rsidRPr="00FA3F9C">
        <w:rPr>
          <w:rFonts w:ascii="Arial" w:hAnsi="Arial" w:cs="Arial"/>
          <w:sz w:val="24"/>
          <w:szCs w:val="24"/>
        </w:rPr>
        <w:t xml:space="preserve">.  </w:t>
      </w:r>
      <w:r w:rsidRPr="00FA3F9C">
        <w:rPr>
          <w:rFonts w:ascii="Arial" w:hAnsi="Arial" w:cs="Arial"/>
          <w:sz w:val="24"/>
          <w:szCs w:val="24"/>
        </w:rPr>
        <w:fldChar w:fldCharType="begin"/>
      </w:r>
      <w:r w:rsidRPr="00FA3F9C">
        <w:rPr>
          <w:rFonts w:ascii="Arial" w:hAnsi="Arial" w:cs="Arial"/>
          <w:sz w:val="24"/>
          <w:szCs w:val="24"/>
        </w:rPr>
        <w:instrText xml:space="preserve"> HYPERLINK "http://www.pharma.us.novartis.com/product/pi/pdf/gilenya.pdf Accessed 1/13/12.</w:instrText>
      </w:r>
    </w:p>
    <w:p w14:paraId="0578427E" w14:textId="77777777" w:rsidR="002641D2" w:rsidRPr="00FA3F9C" w:rsidRDefault="002641D2" w:rsidP="00D4484F">
      <w:pPr>
        <w:rPr>
          <w:rStyle w:val="Hyperlink"/>
          <w:rFonts w:ascii="Arial" w:hAnsi="Arial" w:cs="Arial"/>
          <w:sz w:val="24"/>
          <w:szCs w:val="24"/>
        </w:rPr>
      </w:pPr>
      <w:r w:rsidRPr="00FA3F9C">
        <w:rPr>
          <w:rFonts w:ascii="Arial" w:hAnsi="Arial" w:cs="Arial"/>
          <w:sz w:val="24"/>
          <w:szCs w:val="24"/>
        </w:rPr>
        <w:instrText xml:space="preserve">2" </w:instrText>
      </w:r>
      <w:r w:rsidRPr="00FA3F9C">
        <w:rPr>
          <w:rFonts w:ascii="Arial" w:hAnsi="Arial" w:cs="Arial"/>
          <w:sz w:val="24"/>
          <w:szCs w:val="24"/>
        </w:rPr>
        <w:fldChar w:fldCharType="separate"/>
      </w:r>
      <w:r w:rsidRPr="00FA3F9C">
        <w:rPr>
          <w:rStyle w:val="Hyperlink"/>
          <w:rFonts w:ascii="Arial" w:hAnsi="Arial" w:cs="Arial"/>
          <w:sz w:val="24"/>
          <w:szCs w:val="24"/>
        </w:rPr>
        <w:t>http://www.pharma.us.novartis.com/product/pi/pdf/gilenya.pdf Accessed 1/13/12.</w:t>
      </w:r>
    </w:p>
    <w:p w14:paraId="719B88E1" w14:textId="77777777" w:rsidR="002641D2" w:rsidRPr="00FA3F9C" w:rsidRDefault="002641D2" w:rsidP="00D4484F">
      <w:pPr>
        <w:autoSpaceDE w:val="0"/>
        <w:autoSpaceDN w:val="0"/>
        <w:adjustRightInd w:val="0"/>
        <w:rPr>
          <w:rFonts w:ascii="Arial" w:eastAsia="OTNEJMScalaSansLF" w:hAnsi="Arial" w:cs="Arial"/>
          <w:sz w:val="24"/>
          <w:szCs w:val="24"/>
        </w:rPr>
      </w:pPr>
      <w:r w:rsidRPr="00FA3F9C">
        <w:rPr>
          <w:rStyle w:val="Hyperlink"/>
          <w:rFonts w:ascii="Arial" w:hAnsi="Arial" w:cs="Arial"/>
          <w:sz w:val="24"/>
          <w:szCs w:val="24"/>
        </w:rPr>
        <w:t>2</w:t>
      </w:r>
      <w:r w:rsidRPr="00FA3F9C">
        <w:rPr>
          <w:rFonts w:ascii="Arial" w:hAnsi="Arial" w:cs="Arial"/>
          <w:sz w:val="24"/>
          <w:szCs w:val="24"/>
        </w:rPr>
        <w:fldChar w:fldCharType="end"/>
      </w:r>
      <w:r w:rsidRPr="00FA3F9C">
        <w:rPr>
          <w:rFonts w:ascii="Arial" w:hAnsi="Arial" w:cs="Arial"/>
          <w:sz w:val="24"/>
          <w:szCs w:val="24"/>
        </w:rPr>
        <w:t xml:space="preserve">.  Cohen JA, et al. </w:t>
      </w:r>
      <w:r w:rsidRPr="00FA3F9C">
        <w:rPr>
          <w:rFonts w:ascii="Arial" w:eastAsia="OTNEJMQuadraat" w:hAnsi="Arial" w:cs="Arial"/>
          <w:sz w:val="24"/>
          <w:szCs w:val="24"/>
        </w:rPr>
        <w:t>Oral Fingolimod or Intramuscular Interferon for Relapsing Multiple Sclerosis.</w:t>
      </w:r>
      <w:r w:rsidRPr="00FA3F9C">
        <w:rPr>
          <w:rFonts w:ascii="Arial" w:hAnsi="Arial" w:cs="Arial"/>
          <w:sz w:val="24"/>
          <w:szCs w:val="24"/>
        </w:rPr>
        <w:t xml:space="preserve"> </w:t>
      </w:r>
      <w:r w:rsidRPr="00FA3F9C">
        <w:rPr>
          <w:rFonts w:ascii="Arial" w:eastAsia="OTNEJMScalaSansLF" w:hAnsi="Arial" w:cs="Arial"/>
          <w:sz w:val="24"/>
          <w:szCs w:val="24"/>
        </w:rPr>
        <w:t xml:space="preserve">N </w:t>
      </w:r>
      <w:proofErr w:type="spellStart"/>
      <w:r w:rsidRPr="00FA3F9C">
        <w:rPr>
          <w:rFonts w:ascii="Arial" w:eastAsia="OTNEJMScalaSansLF" w:hAnsi="Arial" w:cs="Arial"/>
          <w:sz w:val="24"/>
          <w:szCs w:val="24"/>
        </w:rPr>
        <w:t>Engl</w:t>
      </w:r>
      <w:proofErr w:type="spellEnd"/>
      <w:r w:rsidRPr="00FA3F9C">
        <w:rPr>
          <w:rFonts w:ascii="Arial" w:eastAsia="OTNEJMScalaSansLF" w:hAnsi="Arial" w:cs="Arial"/>
          <w:sz w:val="24"/>
          <w:szCs w:val="24"/>
        </w:rPr>
        <w:t xml:space="preserve"> J Med 2010;362:402-15.</w:t>
      </w:r>
    </w:p>
    <w:p w14:paraId="76DF06E9" w14:textId="77777777" w:rsidR="002641D2" w:rsidRPr="00FA3F9C" w:rsidRDefault="002641D2" w:rsidP="00D4484F">
      <w:pPr>
        <w:autoSpaceDE w:val="0"/>
        <w:autoSpaceDN w:val="0"/>
        <w:adjustRightInd w:val="0"/>
        <w:rPr>
          <w:rFonts w:ascii="Arial" w:eastAsia="OTNEJMScalaSansLF" w:hAnsi="Arial" w:cs="Arial"/>
          <w:sz w:val="24"/>
          <w:szCs w:val="24"/>
        </w:rPr>
      </w:pPr>
      <w:r w:rsidRPr="00FA3F9C">
        <w:rPr>
          <w:rFonts w:ascii="Arial" w:eastAsia="OTNEJMScalaSansLF" w:hAnsi="Arial" w:cs="Arial"/>
          <w:sz w:val="24"/>
          <w:szCs w:val="24"/>
        </w:rPr>
        <w:t>3. Drug Effectiveness Review Project.  Disease-modifying drugs for MS.  Final Update 1 Report, August 2010.</w:t>
      </w:r>
    </w:p>
    <w:p w14:paraId="65191D7E" w14:textId="77777777" w:rsidR="002641D2" w:rsidRPr="00FA3F9C" w:rsidRDefault="002641D2" w:rsidP="00D4484F">
      <w:pPr>
        <w:pStyle w:val="ListParagraph"/>
        <w:ind w:left="0"/>
        <w:rPr>
          <w:rFonts w:ascii="Arial" w:eastAsia="Times New Roman" w:hAnsi="Arial" w:cs="Arial"/>
          <w:sz w:val="24"/>
          <w:szCs w:val="24"/>
        </w:rPr>
      </w:pPr>
      <w:r w:rsidRPr="00FA3F9C">
        <w:rPr>
          <w:rFonts w:ascii="Arial" w:eastAsia="OTNEJMScalaSansLF" w:hAnsi="Arial" w:cs="Arial"/>
          <w:sz w:val="24"/>
          <w:szCs w:val="24"/>
        </w:rPr>
        <w:t xml:space="preserve">4. </w:t>
      </w:r>
      <w:r w:rsidRPr="00FA3F9C">
        <w:rPr>
          <w:rFonts w:ascii="Arial" w:hAnsi="Arial" w:cs="Arial"/>
          <w:sz w:val="24"/>
          <w:szCs w:val="24"/>
        </w:rPr>
        <w:t xml:space="preserve">AAN.  Practice Guideline: Disease-modifying Therapies for Adults with multiple sclerosis.  American Academy of Neurology 4/24/2018. </w:t>
      </w:r>
      <w:hyperlink r:id="rId176" w:history="1">
        <w:r w:rsidRPr="00FA3F9C">
          <w:rPr>
            <w:rFonts w:ascii="Arial" w:eastAsia="Times New Roman" w:hAnsi="Arial" w:cs="Arial"/>
            <w:color w:val="0000FF"/>
            <w:sz w:val="24"/>
            <w:szCs w:val="24"/>
            <w:u w:val="single"/>
          </w:rPr>
          <w:t>https://www.aan.com/Guidelines/Home/GetGuidelineContent/900</w:t>
        </w:r>
      </w:hyperlink>
    </w:p>
    <w:p w14:paraId="0F8D4690" w14:textId="77777777" w:rsidR="002641D2" w:rsidRPr="00FA3F9C" w:rsidRDefault="002641D2" w:rsidP="00510458">
      <w:pPr>
        <w:rPr>
          <w:rFonts w:ascii="Arial" w:hAnsi="Arial" w:cs="Arial"/>
          <w:sz w:val="24"/>
          <w:szCs w:val="24"/>
        </w:rPr>
      </w:pPr>
      <w:r w:rsidRPr="00FA3F9C">
        <w:rPr>
          <w:rFonts w:ascii="Arial" w:hAnsi="Arial" w:cs="Arial"/>
          <w:sz w:val="24"/>
          <w:szCs w:val="24"/>
        </w:rPr>
        <w:lastRenderedPageBreak/>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7700"/>
        <w:gridCol w:w="1638"/>
      </w:tblGrid>
      <w:tr w:rsidR="002641D2" w:rsidRPr="00FA3F9C" w14:paraId="6FBA5D77" w14:textId="77777777" w:rsidTr="001D6859">
        <w:tc>
          <w:tcPr>
            <w:tcW w:w="958" w:type="dxa"/>
          </w:tcPr>
          <w:p w14:paraId="39D8C958" w14:textId="77777777" w:rsidR="002641D2" w:rsidRPr="00FA3F9C" w:rsidRDefault="002641D2" w:rsidP="00510458">
            <w:pPr>
              <w:rPr>
                <w:rFonts w:ascii="Arial" w:hAnsi="Arial" w:cs="Arial"/>
                <w:sz w:val="24"/>
                <w:szCs w:val="24"/>
              </w:rPr>
            </w:pPr>
            <w:r w:rsidRPr="00FA3F9C">
              <w:rPr>
                <w:rFonts w:ascii="Arial" w:hAnsi="Arial" w:cs="Arial"/>
                <w:sz w:val="24"/>
                <w:szCs w:val="24"/>
              </w:rPr>
              <w:t>Date</w:t>
            </w:r>
          </w:p>
        </w:tc>
        <w:tc>
          <w:tcPr>
            <w:tcW w:w="7700" w:type="dxa"/>
          </w:tcPr>
          <w:p w14:paraId="4CB1164D" w14:textId="77777777" w:rsidR="002641D2" w:rsidRPr="00FA3F9C" w:rsidRDefault="002641D2" w:rsidP="00510458">
            <w:pPr>
              <w:rPr>
                <w:rFonts w:ascii="Arial" w:hAnsi="Arial" w:cs="Arial"/>
                <w:sz w:val="24"/>
                <w:szCs w:val="24"/>
              </w:rPr>
            </w:pPr>
            <w:r w:rsidRPr="00FA3F9C">
              <w:rPr>
                <w:rFonts w:ascii="Arial" w:hAnsi="Arial" w:cs="Arial"/>
                <w:sz w:val="24"/>
                <w:szCs w:val="24"/>
              </w:rPr>
              <w:t>What changed?</w:t>
            </w:r>
          </w:p>
        </w:tc>
        <w:tc>
          <w:tcPr>
            <w:tcW w:w="1638" w:type="dxa"/>
          </w:tcPr>
          <w:p w14:paraId="40B15FF0" w14:textId="77777777" w:rsidR="002641D2" w:rsidRPr="00FA3F9C" w:rsidRDefault="002641D2" w:rsidP="00510458">
            <w:pPr>
              <w:rPr>
                <w:rFonts w:ascii="Arial" w:hAnsi="Arial" w:cs="Arial"/>
                <w:sz w:val="24"/>
                <w:szCs w:val="24"/>
              </w:rPr>
            </w:pPr>
            <w:r w:rsidRPr="00FA3F9C">
              <w:rPr>
                <w:rFonts w:ascii="Arial" w:hAnsi="Arial" w:cs="Arial"/>
                <w:sz w:val="24"/>
                <w:szCs w:val="24"/>
              </w:rPr>
              <w:t>Pharmacist’s initials</w:t>
            </w:r>
          </w:p>
        </w:tc>
      </w:tr>
      <w:tr w:rsidR="002641D2" w:rsidRPr="00FA3F9C" w14:paraId="3ECBB9E8" w14:textId="77777777" w:rsidTr="001D6859">
        <w:tc>
          <w:tcPr>
            <w:tcW w:w="958" w:type="dxa"/>
          </w:tcPr>
          <w:p w14:paraId="5BA091EB" w14:textId="77777777" w:rsidR="002641D2" w:rsidRPr="00FA3F9C" w:rsidRDefault="002641D2" w:rsidP="00510458">
            <w:pPr>
              <w:rPr>
                <w:rFonts w:ascii="Arial" w:hAnsi="Arial" w:cs="Arial"/>
                <w:sz w:val="24"/>
                <w:szCs w:val="24"/>
              </w:rPr>
            </w:pPr>
            <w:r w:rsidRPr="00FA3F9C">
              <w:rPr>
                <w:rFonts w:ascii="Arial" w:hAnsi="Arial" w:cs="Arial"/>
                <w:sz w:val="24"/>
                <w:szCs w:val="24"/>
              </w:rPr>
              <w:t>1/13/12</w:t>
            </w:r>
          </w:p>
        </w:tc>
        <w:tc>
          <w:tcPr>
            <w:tcW w:w="7700" w:type="dxa"/>
          </w:tcPr>
          <w:p w14:paraId="3A0ACF98" w14:textId="77777777" w:rsidR="002641D2" w:rsidRPr="00FA3F9C" w:rsidRDefault="002641D2" w:rsidP="00510458">
            <w:pPr>
              <w:rPr>
                <w:rFonts w:ascii="Arial" w:hAnsi="Arial" w:cs="Arial"/>
                <w:sz w:val="24"/>
                <w:szCs w:val="24"/>
              </w:rPr>
            </w:pPr>
            <w:r w:rsidRPr="00FA3F9C">
              <w:rPr>
                <w:rFonts w:ascii="Arial" w:hAnsi="Arial" w:cs="Arial"/>
                <w:sz w:val="24"/>
                <w:szCs w:val="24"/>
              </w:rPr>
              <w:t>Criteria written</w:t>
            </w:r>
          </w:p>
        </w:tc>
        <w:tc>
          <w:tcPr>
            <w:tcW w:w="1638" w:type="dxa"/>
          </w:tcPr>
          <w:p w14:paraId="4BCAD149" w14:textId="77777777" w:rsidR="002641D2" w:rsidRPr="00FA3F9C" w:rsidRDefault="002641D2" w:rsidP="00510458">
            <w:pPr>
              <w:rPr>
                <w:rFonts w:ascii="Arial" w:hAnsi="Arial" w:cs="Arial"/>
                <w:sz w:val="24"/>
                <w:szCs w:val="24"/>
              </w:rPr>
            </w:pPr>
            <w:r w:rsidRPr="00FA3F9C">
              <w:rPr>
                <w:rFonts w:ascii="Arial" w:hAnsi="Arial" w:cs="Arial"/>
                <w:sz w:val="24"/>
                <w:szCs w:val="24"/>
              </w:rPr>
              <w:t>JJ</w:t>
            </w:r>
          </w:p>
        </w:tc>
      </w:tr>
      <w:tr w:rsidR="002641D2" w:rsidRPr="00FA3F9C" w14:paraId="76479F5A" w14:textId="77777777" w:rsidTr="001D6859">
        <w:tc>
          <w:tcPr>
            <w:tcW w:w="958" w:type="dxa"/>
          </w:tcPr>
          <w:p w14:paraId="28A7D1B3" w14:textId="77777777" w:rsidR="002641D2" w:rsidRPr="00FA3F9C" w:rsidRDefault="002641D2" w:rsidP="00510458">
            <w:pPr>
              <w:rPr>
                <w:rFonts w:ascii="Arial" w:hAnsi="Arial" w:cs="Arial"/>
                <w:sz w:val="24"/>
                <w:szCs w:val="24"/>
              </w:rPr>
            </w:pPr>
            <w:r w:rsidRPr="00FA3F9C">
              <w:rPr>
                <w:rFonts w:ascii="Arial" w:hAnsi="Arial" w:cs="Arial"/>
                <w:sz w:val="24"/>
                <w:szCs w:val="24"/>
              </w:rPr>
              <w:t>5/14/12</w:t>
            </w:r>
          </w:p>
        </w:tc>
        <w:tc>
          <w:tcPr>
            <w:tcW w:w="7700" w:type="dxa"/>
          </w:tcPr>
          <w:p w14:paraId="49248064" w14:textId="77777777" w:rsidR="002641D2" w:rsidRPr="00FA3F9C" w:rsidRDefault="002641D2" w:rsidP="00510458">
            <w:pPr>
              <w:rPr>
                <w:rFonts w:ascii="Arial" w:hAnsi="Arial" w:cs="Arial"/>
                <w:sz w:val="24"/>
                <w:szCs w:val="24"/>
              </w:rPr>
            </w:pPr>
            <w:r w:rsidRPr="00FA3F9C">
              <w:rPr>
                <w:rFonts w:ascii="Arial" w:hAnsi="Arial" w:cs="Arial"/>
                <w:sz w:val="24"/>
                <w:szCs w:val="24"/>
              </w:rPr>
              <w:t xml:space="preserve">Revision </w:t>
            </w:r>
            <w:proofErr w:type="spellStart"/>
            <w:r w:rsidRPr="00FA3F9C">
              <w:rPr>
                <w:rFonts w:ascii="Arial" w:hAnsi="Arial" w:cs="Arial"/>
                <w:sz w:val="24"/>
                <w:szCs w:val="24"/>
              </w:rPr>
              <w:t>hx</w:t>
            </w:r>
            <w:proofErr w:type="spellEnd"/>
            <w:r w:rsidRPr="00FA3F9C">
              <w:rPr>
                <w:rFonts w:ascii="Arial" w:hAnsi="Arial" w:cs="Arial"/>
                <w:sz w:val="24"/>
                <w:szCs w:val="24"/>
              </w:rPr>
              <w:t xml:space="preserve"> table inserted</w:t>
            </w:r>
          </w:p>
        </w:tc>
        <w:tc>
          <w:tcPr>
            <w:tcW w:w="1638" w:type="dxa"/>
          </w:tcPr>
          <w:p w14:paraId="185E574B" w14:textId="77777777" w:rsidR="002641D2" w:rsidRPr="00FA3F9C" w:rsidRDefault="002641D2" w:rsidP="00510458">
            <w:pPr>
              <w:rPr>
                <w:rFonts w:ascii="Arial" w:hAnsi="Arial" w:cs="Arial"/>
                <w:sz w:val="24"/>
                <w:szCs w:val="24"/>
              </w:rPr>
            </w:pPr>
            <w:r w:rsidRPr="00FA3F9C">
              <w:rPr>
                <w:rFonts w:ascii="Arial" w:hAnsi="Arial" w:cs="Arial"/>
                <w:sz w:val="24"/>
                <w:szCs w:val="24"/>
              </w:rPr>
              <w:t>JJ</w:t>
            </w:r>
          </w:p>
        </w:tc>
      </w:tr>
      <w:tr w:rsidR="002641D2" w:rsidRPr="00FA3F9C" w14:paraId="6E313A68" w14:textId="77777777" w:rsidTr="001D6859">
        <w:tc>
          <w:tcPr>
            <w:tcW w:w="958" w:type="dxa"/>
          </w:tcPr>
          <w:p w14:paraId="34B927FF" w14:textId="77777777" w:rsidR="002641D2" w:rsidRPr="00FA3F9C" w:rsidRDefault="002641D2" w:rsidP="00510458">
            <w:pPr>
              <w:rPr>
                <w:rFonts w:ascii="Arial" w:hAnsi="Arial" w:cs="Arial"/>
                <w:sz w:val="24"/>
                <w:szCs w:val="24"/>
              </w:rPr>
            </w:pPr>
            <w:r w:rsidRPr="00FA3F9C">
              <w:rPr>
                <w:rFonts w:ascii="Arial" w:hAnsi="Arial" w:cs="Arial"/>
                <w:sz w:val="24"/>
                <w:szCs w:val="24"/>
              </w:rPr>
              <w:t>5/5/14</w:t>
            </w:r>
          </w:p>
        </w:tc>
        <w:tc>
          <w:tcPr>
            <w:tcW w:w="7700" w:type="dxa"/>
          </w:tcPr>
          <w:p w14:paraId="3E40357B" w14:textId="77777777" w:rsidR="002641D2" w:rsidRPr="00FA3F9C" w:rsidRDefault="002641D2" w:rsidP="00510458">
            <w:pPr>
              <w:rPr>
                <w:rFonts w:ascii="Arial" w:hAnsi="Arial" w:cs="Arial"/>
                <w:sz w:val="24"/>
                <w:szCs w:val="24"/>
              </w:rPr>
            </w:pPr>
            <w:r w:rsidRPr="00FA3F9C">
              <w:rPr>
                <w:rFonts w:ascii="Arial" w:hAnsi="Arial" w:cs="Arial"/>
                <w:sz w:val="24"/>
                <w:szCs w:val="24"/>
              </w:rPr>
              <w:t>QL of 1/1 added to fingolimod.</w:t>
            </w:r>
          </w:p>
        </w:tc>
        <w:tc>
          <w:tcPr>
            <w:tcW w:w="1638" w:type="dxa"/>
          </w:tcPr>
          <w:p w14:paraId="40509357" w14:textId="77777777" w:rsidR="002641D2" w:rsidRPr="00FA3F9C" w:rsidRDefault="002641D2" w:rsidP="00510458">
            <w:pPr>
              <w:rPr>
                <w:rFonts w:ascii="Arial" w:hAnsi="Arial" w:cs="Arial"/>
                <w:sz w:val="24"/>
                <w:szCs w:val="24"/>
              </w:rPr>
            </w:pPr>
            <w:r w:rsidRPr="00FA3F9C">
              <w:rPr>
                <w:rFonts w:ascii="Arial" w:hAnsi="Arial" w:cs="Arial"/>
                <w:sz w:val="24"/>
                <w:szCs w:val="24"/>
              </w:rPr>
              <w:t>JJ</w:t>
            </w:r>
          </w:p>
        </w:tc>
      </w:tr>
      <w:tr w:rsidR="002641D2" w:rsidRPr="00FA3F9C" w14:paraId="1854CAAD" w14:textId="77777777" w:rsidTr="001D6859">
        <w:tc>
          <w:tcPr>
            <w:tcW w:w="958" w:type="dxa"/>
          </w:tcPr>
          <w:p w14:paraId="719AA4C2" w14:textId="77777777" w:rsidR="002641D2" w:rsidRPr="00FA3F9C" w:rsidRDefault="002641D2" w:rsidP="001D6859">
            <w:pPr>
              <w:rPr>
                <w:rFonts w:ascii="Arial" w:hAnsi="Arial" w:cs="Arial"/>
                <w:sz w:val="24"/>
                <w:szCs w:val="24"/>
              </w:rPr>
            </w:pPr>
            <w:r w:rsidRPr="00FA3F9C">
              <w:rPr>
                <w:rFonts w:ascii="Arial" w:hAnsi="Arial" w:cs="Arial"/>
                <w:sz w:val="24"/>
                <w:szCs w:val="24"/>
              </w:rPr>
              <w:t>9/19/19</w:t>
            </w:r>
          </w:p>
        </w:tc>
        <w:tc>
          <w:tcPr>
            <w:tcW w:w="7700" w:type="dxa"/>
          </w:tcPr>
          <w:p w14:paraId="54AFA5C7" w14:textId="77777777" w:rsidR="002641D2" w:rsidRPr="00FA3F9C" w:rsidRDefault="002641D2" w:rsidP="001D6859">
            <w:pPr>
              <w:rPr>
                <w:rFonts w:ascii="Arial" w:hAnsi="Arial" w:cs="Arial"/>
                <w:sz w:val="24"/>
                <w:szCs w:val="24"/>
              </w:rPr>
            </w:pPr>
            <w:r w:rsidRPr="00FA3F9C">
              <w:rPr>
                <w:rFonts w:ascii="Arial" w:hAnsi="Arial" w:cs="Arial"/>
                <w:sz w:val="24"/>
                <w:szCs w:val="24"/>
              </w:rPr>
              <w:t>I changed the criteria to eliminate failure or intolerance to interferon or glatiramer. Added reference 4.</w:t>
            </w:r>
          </w:p>
        </w:tc>
        <w:tc>
          <w:tcPr>
            <w:tcW w:w="1638" w:type="dxa"/>
          </w:tcPr>
          <w:p w14:paraId="7177B482" w14:textId="77777777" w:rsidR="002641D2" w:rsidRPr="00FA3F9C" w:rsidRDefault="002641D2" w:rsidP="001D6859">
            <w:pPr>
              <w:rPr>
                <w:rFonts w:ascii="Arial" w:hAnsi="Arial" w:cs="Arial"/>
                <w:sz w:val="24"/>
                <w:szCs w:val="24"/>
              </w:rPr>
            </w:pPr>
            <w:r w:rsidRPr="00FA3F9C">
              <w:rPr>
                <w:rFonts w:ascii="Arial" w:hAnsi="Arial" w:cs="Arial"/>
                <w:sz w:val="24"/>
                <w:szCs w:val="24"/>
              </w:rPr>
              <w:t>JJ</w:t>
            </w:r>
          </w:p>
        </w:tc>
      </w:tr>
      <w:tr w:rsidR="002641D2" w:rsidRPr="00FA3F9C" w14:paraId="72D390B2" w14:textId="77777777" w:rsidTr="001D6859">
        <w:tc>
          <w:tcPr>
            <w:tcW w:w="958" w:type="dxa"/>
          </w:tcPr>
          <w:p w14:paraId="07F0149C" w14:textId="77777777" w:rsidR="002641D2" w:rsidRPr="00FA3F9C" w:rsidRDefault="002641D2" w:rsidP="001D6859">
            <w:pPr>
              <w:rPr>
                <w:rFonts w:ascii="Arial" w:hAnsi="Arial" w:cs="Arial"/>
                <w:sz w:val="24"/>
                <w:szCs w:val="24"/>
              </w:rPr>
            </w:pPr>
            <w:r w:rsidRPr="00FA3F9C">
              <w:rPr>
                <w:rFonts w:ascii="Arial" w:hAnsi="Arial" w:cs="Arial"/>
                <w:sz w:val="24"/>
                <w:szCs w:val="24"/>
              </w:rPr>
              <w:t>7/17/2020</w:t>
            </w:r>
          </w:p>
        </w:tc>
        <w:tc>
          <w:tcPr>
            <w:tcW w:w="7700" w:type="dxa"/>
          </w:tcPr>
          <w:p w14:paraId="20535C45" w14:textId="600EB2F7" w:rsidR="002641D2" w:rsidRPr="00FA3F9C" w:rsidRDefault="002641D2" w:rsidP="001D6859">
            <w:pPr>
              <w:rPr>
                <w:rFonts w:ascii="Arial" w:hAnsi="Arial" w:cs="Arial"/>
                <w:sz w:val="24"/>
                <w:szCs w:val="24"/>
              </w:rPr>
            </w:pPr>
            <w:r w:rsidRPr="00FA3F9C">
              <w:rPr>
                <w:rFonts w:ascii="Arial" w:hAnsi="Arial" w:cs="Arial"/>
                <w:sz w:val="24"/>
                <w:szCs w:val="24"/>
              </w:rPr>
              <w:t xml:space="preserve">Reviewed.  No changes.  Ran a test claim and EBD’s </w:t>
            </w:r>
            <w:proofErr w:type="spellStart"/>
            <w:r w:rsidRPr="00FA3F9C">
              <w:rPr>
                <w:rFonts w:ascii="Arial" w:hAnsi="Arial" w:cs="Arial"/>
                <w:sz w:val="24"/>
                <w:szCs w:val="24"/>
              </w:rPr>
              <w:t>MedAccess</w:t>
            </w:r>
            <w:proofErr w:type="spellEnd"/>
            <w:r w:rsidRPr="00FA3F9C">
              <w:rPr>
                <w:rFonts w:ascii="Arial" w:hAnsi="Arial" w:cs="Arial"/>
                <w:sz w:val="24"/>
                <w:szCs w:val="24"/>
              </w:rPr>
              <w:t xml:space="preserve"> said it </w:t>
            </w:r>
            <w:proofErr w:type="gramStart"/>
            <w:r w:rsidRPr="00FA3F9C">
              <w:rPr>
                <w:rFonts w:ascii="Arial" w:hAnsi="Arial" w:cs="Arial"/>
                <w:sz w:val="24"/>
                <w:szCs w:val="24"/>
              </w:rPr>
              <w:t>wasn’t</w:t>
            </w:r>
            <w:proofErr w:type="gramEnd"/>
            <w:r w:rsidRPr="00FA3F9C">
              <w:rPr>
                <w:rFonts w:ascii="Arial" w:hAnsi="Arial" w:cs="Arial"/>
                <w:sz w:val="24"/>
                <w:szCs w:val="24"/>
              </w:rPr>
              <w:t xml:space="preserve"> covered.  Emailed </w:t>
            </w:r>
            <w:r w:rsidR="00B700AB" w:rsidRPr="00FA3F9C">
              <w:rPr>
                <w:rFonts w:ascii="Arial" w:hAnsi="Arial" w:cs="Arial"/>
                <w:sz w:val="24"/>
                <w:szCs w:val="24"/>
              </w:rPr>
              <w:t>MB</w:t>
            </w:r>
            <w:r w:rsidRPr="00FA3F9C">
              <w:rPr>
                <w:rFonts w:ascii="Arial" w:hAnsi="Arial" w:cs="Arial"/>
                <w:sz w:val="24"/>
                <w:szCs w:val="24"/>
              </w:rPr>
              <w:t>.  Waiting on response.</w:t>
            </w:r>
          </w:p>
        </w:tc>
        <w:tc>
          <w:tcPr>
            <w:tcW w:w="1638" w:type="dxa"/>
          </w:tcPr>
          <w:p w14:paraId="3907945D" w14:textId="77777777" w:rsidR="002641D2" w:rsidRPr="00FA3F9C" w:rsidRDefault="002641D2" w:rsidP="001D6859">
            <w:pPr>
              <w:rPr>
                <w:rFonts w:ascii="Arial" w:hAnsi="Arial" w:cs="Arial"/>
                <w:sz w:val="24"/>
                <w:szCs w:val="24"/>
              </w:rPr>
            </w:pPr>
            <w:r w:rsidRPr="00FA3F9C">
              <w:rPr>
                <w:rFonts w:ascii="Arial" w:hAnsi="Arial" w:cs="Arial"/>
                <w:sz w:val="24"/>
                <w:szCs w:val="24"/>
              </w:rPr>
              <w:t>JJ</w:t>
            </w:r>
          </w:p>
        </w:tc>
      </w:tr>
      <w:tr w:rsidR="002641D2" w:rsidRPr="00FA3F9C" w14:paraId="7F0F3657" w14:textId="77777777" w:rsidTr="001D6859">
        <w:tc>
          <w:tcPr>
            <w:tcW w:w="958" w:type="dxa"/>
          </w:tcPr>
          <w:p w14:paraId="3962DF7F" w14:textId="77777777" w:rsidR="002641D2" w:rsidRPr="00FA3F9C" w:rsidRDefault="002641D2" w:rsidP="00510458">
            <w:pPr>
              <w:rPr>
                <w:rFonts w:ascii="Arial" w:hAnsi="Arial" w:cs="Arial"/>
                <w:sz w:val="24"/>
                <w:szCs w:val="24"/>
              </w:rPr>
            </w:pPr>
            <w:r w:rsidRPr="00FA3F9C">
              <w:rPr>
                <w:rFonts w:ascii="Arial" w:hAnsi="Arial" w:cs="Arial"/>
                <w:sz w:val="24"/>
                <w:szCs w:val="24"/>
              </w:rPr>
              <w:t>3/31/2021</w:t>
            </w:r>
          </w:p>
        </w:tc>
        <w:tc>
          <w:tcPr>
            <w:tcW w:w="7700" w:type="dxa"/>
          </w:tcPr>
          <w:p w14:paraId="2124D518" w14:textId="77777777" w:rsidR="002641D2" w:rsidRPr="00FA3F9C" w:rsidRDefault="002641D2" w:rsidP="00510458">
            <w:pPr>
              <w:rPr>
                <w:rFonts w:ascii="Arial" w:hAnsi="Arial" w:cs="Arial"/>
                <w:sz w:val="24"/>
                <w:szCs w:val="24"/>
              </w:rPr>
            </w:pPr>
            <w:r w:rsidRPr="00FA3F9C">
              <w:rPr>
                <w:rFonts w:ascii="Arial" w:hAnsi="Arial" w:cs="Arial"/>
                <w:sz w:val="24"/>
                <w:szCs w:val="24"/>
              </w:rPr>
              <w:t>Applied EBRx criteria to UAS Plan</w:t>
            </w:r>
          </w:p>
        </w:tc>
        <w:tc>
          <w:tcPr>
            <w:tcW w:w="1638" w:type="dxa"/>
          </w:tcPr>
          <w:p w14:paraId="1D0FB7E9" w14:textId="77777777" w:rsidR="002641D2" w:rsidRPr="00FA3F9C" w:rsidRDefault="002641D2" w:rsidP="00510458">
            <w:pPr>
              <w:rPr>
                <w:rFonts w:ascii="Arial" w:hAnsi="Arial" w:cs="Arial"/>
                <w:sz w:val="24"/>
                <w:szCs w:val="24"/>
              </w:rPr>
            </w:pPr>
            <w:r w:rsidRPr="00FA3F9C">
              <w:rPr>
                <w:rFonts w:ascii="Arial" w:hAnsi="Arial" w:cs="Arial"/>
                <w:sz w:val="24"/>
                <w:szCs w:val="24"/>
              </w:rPr>
              <w:t>JJ</w:t>
            </w:r>
          </w:p>
        </w:tc>
      </w:tr>
    </w:tbl>
    <w:p w14:paraId="05A49980" w14:textId="77777777" w:rsidR="002641D2" w:rsidRPr="00FA3F9C" w:rsidRDefault="002641D2" w:rsidP="00510458">
      <w:pPr>
        <w:rPr>
          <w:rFonts w:ascii="Arial" w:hAnsi="Arial" w:cs="Arial"/>
          <w:sz w:val="24"/>
          <w:szCs w:val="24"/>
        </w:rPr>
      </w:pPr>
    </w:p>
    <w:p w14:paraId="16A17A93" w14:textId="77777777" w:rsidR="002641D2" w:rsidRPr="00FA3F9C" w:rsidRDefault="002641D2" w:rsidP="00BD761B">
      <w:pPr>
        <w:jc w:val="right"/>
        <w:rPr>
          <w:rFonts w:ascii="Arial" w:hAnsi="Arial" w:cs="Arial"/>
          <w:sz w:val="24"/>
          <w:szCs w:val="24"/>
        </w:rPr>
      </w:pPr>
    </w:p>
    <w:p w14:paraId="4BE82049" w14:textId="77777777" w:rsidR="002641D2" w:rsidRPr="00FA3F9C" w:rsidRDefault="002641D2" w:rsidP="00BD761B">
      <w:pPr>
        <w:jc w:val="right"/>
        <w:rPr>
          <w:rFonts w:ascii="Arial" w:hAnsi="Arial" w:cs="Arial"/>
          <w:sz w:val="24"/>
          <w:szCs w:val="24"/>
        </w:rPr>
      </w:pPr>
    </w:p>
    <w:p w14:paraId="232B63EB" w14:textId="77777777" w:rsidR="002641D2" w:rsidRPr="00FA3F9C" w:rsidRDefault="002641D2" w:rsidP="00BD761B">
      <w:pPr>
        <w:jc w:val="right"/>
        <w:rPr>
          <w:rFonts w:ascii="Arial" w:hAnsi="Arial" w:cs="Arial"/>
          <w:sz w:val="24"/>
          <w:szCs w:val="24"/>
        </w:rPr>
      </w:pPr>
    </w:p>
    <w:p w14:paraId="52A4E837" w14:textId="77777777" w:rsidR="002641D2" w:rsidRPr="00FA3F9C" w:rsidRDefault="002641D2" w:rsidP="00BD761B">
      <w:pPr>
        <w:jc w:val="right"/>
        <w:rPr>
          <w:rFonts w:ascii="Arial" w:hAnsi="Arial" w:cs="Arial"/>
          <w:sz w:val="24"/>
          <w:szCs w:val="24"/>
        </w:rPr>
      </w:pPr>
    </w:p>
    <w:p w14:paraId="1B6D6884" w14:textId="77777777" w:rsidR="002641D2" w:rsidRPr="00FA3F9C" w:rsidRDefault="002641D2" w:rsidP="00BD761B">
      <w:pPr>
        <w:jc w:val="right"/>
        <w:rPr>
          <w:rFonts w:ascii="Arial" w:hAnsi="Arial" w:cs="Arial"/>
          <w:sz w:val="24"/>
          <w:szCs w:val="24"/>
        </w:rPr>
      </w:pPr>
    </w:p>
    <w:p w14:paraId="4F4F3DF5" w14:textId="77777777" w:rsidR="002641D2" w:rsidRPr="00FA3F9C" w:rsidRDefault="002641D2" w:rsidP="00BD761B">
      <w:pPr>
        <w:jc w:val="right"/>
        <w:rPr>
          <w:rFonts w:ascii="Arial" w:hAnsi="Arial" w:cs="Arial"/>
          <w:sz w:val="24"/>
          <w:szCs w:val="24"/>
        </w:rPr>
      </w:pPr>
    </w:p>
    <w:p w14:paraId="641EEC6D" w14:textId="2F8AAD96" w:rsidR="002641D2" w:rsidRDefault="002641D2" w:rsidP="005E2908">
      <w:pPr>
        <w:rPr>
          <w:rFonts w:ascii="Arial" w:hAnsi="Arial" w:cs="Arial"/>
          <w:sz w:val="24"/>
          <w:szCs w:val="24"/>
        </w:rPr>
      </w:pPr>
    </w:p>
    <w:p w14:paraId="76321893" w14:textId="77777777" w:rsidR="005E2908" w:rsidRPr="00FA3F9C" w:rsidRDefault="005E2908" w:rsidP="005E2908">
      <w:pPr>
        <w:rPr>
          <w:rFonts w:ascii="Arial" w:hAnsi="Arial" w:cs="Arial"/>
          <w:sz w:val="24"/>
          <w:szCs w:val="24"/>
        </w:rPr>
      </w:pPr>
    </w:p>
    <w:p w14:paraId="1160EE4A" w14:textId="77777777" w:rsidR="002641D2" w:rsidRPr="00FA3F9C" w:rsidRDefault="002641D2" w:rsidP="001B5EA3">
      <w:pPr>
        <w:rPr>
          <w:rFonts w:ascii="Arial" w:hAnsi="Arial" w:cs="Arial"/>
          <w:sz w:val="24"/>
          <w:szCs w:val="24"/>
        </w:rPr>
      </w:pPr>
    </w:p>
    <w:p w14:paraId="57EC51F9" w14:textId="77777777" w:rsidR="005E2908" w:rsidRDefault="002641D2" w:rsidP="005E2908">
      <w:pPr>
        <w:pStyle w:val="Heading2"/>
      </w:pPr>
      <w:bookmarkStart w:id="125" w:name="_Toc106369808"/>
      <w:proofErr w:type="spellStart"/>
      <w:r w:rsidRPr="00FA3F9C">
        <w:lastRenderedPageBreak/>
        <w:t>Galcanezumab</w:t>
      </w:r>
      <w:proofErr w:type="spellEnd"/>
      <w:r w:rsidRPr="00FA3F9C">
        <w:t xml:space="preserve"> (</w:t>
      </w:r>
      <w:proofErr w:type="spellStart"/>
      <w:r w:rsidRPr="00FA3F9C">
        <w:t>Emgality</w:t>
      </w:r>
      <w:proofErr w:type="spellEnd"/>
      <w:r w:rsidRPr="00FA3F9C">
        <w:t>)</w:t>
      </w:r>
      <w:bookmarkEnd w:id="125"/>
      <w:r w:rsidRPr="00FA3F9C">
        <w:t xml:space="preserve"> </w:t>
      </w:r>
    </w:p>
    <w:p w14:paraId="0C276FBE" w14:textId="7AE5AB5F" w:rsidR="002641D2" w:rsidRPr="00FA3F9C" w:rsidRDefault="002641D2" w:rsidP="003154F3">
      <w:pPr>
        <w:spacing w:after="0"/>
        <w:jc w:val="center"/>
        <w:rPr>
          <w:rFonts w:ascii="Arial" w:hAnsi="Arial" w:cs="Arial"/>
          <w:b/>
          <w:sz w:val="24"/>
          <w:szCs w:val="24"/>
        </w:rPr>
      </w:pPr>
      <w:r w:rsidRPr="00FA3F9C">
        <w:rPr>
          <w:rFonts w:ascii="Arial" w:hAnsi="Arial" w:cs="Arial"/>
          <w:b/>
          <w:sz w:val="24"/>
          <w:szCs w:val="24"/>
        </w:rPr>
        <w:t>120 mg autoinjector or prefilled syringe (carton of 1 or 2 prefilled pen or syringe)</w:t>
      </w:r>
    </w:p>
    <w:p w14:paraId="5FF6821F" w14:textId="77777777" w:rsidR="002641D2" w:rsidRPr="00FA3F9C" w:rsidRDefault="002641D2" w:rsidP="006F623F">
      <w:pPr>
        <w:spacing w:after="0"/>
        <w:jc w:val="center"/>
        <w:rPr>
          <w:rFonts w:ascii="Arial" w:hAnsi="Arial" w:cs="Arial"/>
          <w:b/>
          <w:sz w:val="24"/>
          <w:szCs w:val="24"/>
        </w:rPr>
      </w:pPr>
      <w:r w:rsidRPr="00FA3F9C">
        <w:rPr>
          <w:rFonts w:ascii="Arial" w:hAnsi="Arial" w:cs="Arial"/>
          <w:b/>
          <w:sz w:val="24"/>
          <w:szCs w:val="24"/>
        </w:rPr>
        <w:t>EBRx PA Criteria</w:t>
      </w:r>
    </w:p>
    <w:p w14:paraId="0EEABEA6" w14:textId="77777777" w:rsidR="002641D2" w:rsidRPr="00FA3F9C" w:rsidRDefault="002641D2" w:rsidP="006F623F">
      <w:pPr>
        <w:spacing w:after="0"/>
        <w:rPr>
          <w:rFonts w:ascii="Arial" w:hAnsi="Arial" w:cs="Arial"/>
          <w:sz w:val="24"/>
          <w:szCs w:val="24"/>
        </w:rPr>
      </w:pPr>
      <w:r w:rsidRPr="00FA3F9C">
        <w:rPr>
          <w:rFonts w:ascii="Arial" w:hAnsi="Arial" w:cs="Arial"/>
          <w:b/>
          <w:sz w:val="24"/>
          <w:szCs w:val="24"/>
          <w:u w:val="single"/>
        </w:rPr>
        <w:t>is FDA-approved to:</w:t>
      </w:r>
      <w:r w:rsidRPr="00FA3F9C">
        <w:rPr>
          <w:rFonts w:ascii="Arial" w:hAnsi="Arial" w:cs="Arial"/>
          <w:sz w:val="24"/>
          <w:szCs w:val="24"/>
        </w:rPr>
        <w:t xml:space="preserve"> </w:t>
      </w:r>
    </w:p>
    <w:p w14:paraId="5EA0A28C" w14:textId="77777777" w:rsidR="002641D2" w:rsidRPr="00FA3F9C" w:rsidRDefault="002641D2" w:rsidP="002641D2">
      <w:pPr>
        <w:pStyle w:val="ListParagraph"/>
        <w:numPr>
          <w:ilvl w:val="0"/>
          <w:numId w:val="220"/>
        </w:numPr>
        <w:spacing w:after="0" w:line="276" w:lineRule="auto"/>
        <w:rPr>
          <w:rFonts w:ascii="Arial" w:hAnsi="Arial" w:cs="Arial"/>
          <w:sz w:val="24"/>
          <w:szCs w:val="24"/>
        </w:rPr>
      </w:pPr>
      <w:r w:rsidRPr="00FA3F9C">
        <w:rPr>
          <w:rFonts w:ascii="Arial" w:hAnsi="Arial" w:cs="Arial"/>
          <w:sz w:val="24"/>
          <w:szCs w:val="24"/>
        </w:rPr>
        <w:t xml:space="preserve">preventive </w:t>
      </w:r>
      <w:proofErr w:type="spellStart"/>
      <w:r w:rsidRPr="00FA3F9C">
        <w:rPr>
          <w:rFonts w:ascii="Arial" w:hAnsi="Arial" w:cs="Arial"/>
          <w:sz w:val="24"/>
          <w:szCs w:val="24"/>
        </w:rPr>
        <w:t>tx</w:t>
      </w:r>
      <w:proofErr w:type="spellEnd"/>
      <w:r w:rsidRPr="00FA3F9C">
        <w:rPr>
          <w:rFonts w:ascii="Arial" w:hAnsi="Arial" w:cs="Arial"/>
          <w:sz w:val="24"/>
          <w:szCs w:val="24"/>
        </w:rPr>
        <w:t xml:space="preserve"> of migraine in adults (both chronic and episodic)</w:t>
      </w:r>
    </w:p>
    <w:p w14:paraId="5388B032" w14:textId="77777777" w:rsidR="002641D2" w:rsidRPr="00FA3F9C" w:rsidRDefault="002641D2" w:rsidP="002641D2">
      <w:pPr>
        <w:pStyle w:val="ListParagraph"/>
        <w:numPr>
          <w:ilvl w:val="0"/>
          <w:numId w:val="220"/>
        </w:numPr>
        <w:spacing w:after="0" w:line="276" w:lineRule="auto"/>
        <w:rPr>
          <w:rFonts w:ascii="Arial" w:hAnsi="Arial" w:cs="Arial"/>
          <w:sz w:val="24"/>
          <w:szCs w:val="24"/>
        </w:rPr>
      </w:pPr>
      <w:r w:rsidRPr="00FA3F9C">
        <w:rPr>
          <w:rFonts w:ascii="Arial" w:hAnsi="Arial" w:cs="Arial"/>
          <w:sz w:val="24"/>
          <w:szCs w:val="24"/>
        </w:rPr>
        <w:t>Cluster headache prevention in adults</w:t>
      </w:r>
    </w:p>
    <w:tbl>
      <w:tblPr>
        <w:tblStyle w:val="TableGrid"/>
        <w:tblW w:w="11028" w:type="dxa"/>
        <w:tblLook w:val="04A0" w:firstRow="1" w:lastRow="0" w:firstColumn="1" w:lastColumn="0" w:noHBand="0" w:noVBand="1"/>
      </w:tblPr>
      <w:tblGrid>
        <w:gridCol w:w="11028"/>
      </w:tblGrid>
      <w:tr w:rsidR="002641D2" w:rsidRPr="00FA3F9C" w14:paraId="492D243B" w14:textId="77777777" w:rsidTr="00D44740">
        <w:trPr>
          <w:trHeight w:val="268"/>
        </w:trPr>
        <w:tc>
          <w:tcPr>
            <w:tcW w:w="11028" w:type="dxa"/>
            <w:shd w:val="clear" w:color="auto" w:fill="000000"/>
          </w:tcPr>
          <w:p w14:paraId="3DDC581D" w14:textId="77777777" w:rsidR="002641D2" w:rsidRPr="00FA3F9C" w:rsidRDefault="002641D2" w:rsidP="0086393A">
            <w:pPr>
              <w:rPr>
                <w:rFonts w:ascii="Arial" w:hAnsi="Arial" w:cs="Arial"/>
                <w:b/>
                <w:sz w:val="24"/>
                <w:szCs w:val="24"/>
                <w:u w:val="single"/>
              </w:rPr>
            </w:pPr>
            <w:r w:rsidRPr="00FA3F9C">
              <w:rPr>
                <w:rFonts w:ascii="Arial" w:hAnsi="Arial" w:cs="Arial"/>
                <w:b/>
                <w:sz w:val="24"/>
                <w:szCs w:val="24"/>
                <w:u w:val="single"/>
              </w:rPr>
              <w:t>Initial Criteria:  MIGRAINE prophylaxis:</w:t>
            </w:r>
          </w:p>
        </w:tc>
      </w:tr>
      <w:tr w:rsidR="002641D2" w:rsidRPr="00FA3F9C" w14:paraId="4DA5C737" w14:textId="77777777" w:rsidTr="00D44740">
        <w:trPr>
          <w:trHeight w:val="253"/>
        </w:trPr>
        <w:tc>
          <w:tcPr>
            <w:tcW w:w="11028" w:type="dxa"/>
          </w:tcPr>
          <w:p w14:paraId="63D3C126" w14:textId="77777777" w:rsidR="002641D2" w:rsidRPr="00FA3F9C" w:rsidRDefault="002641D2" w:rsidP="002641D2">
            <w:pPr>
              <w:pStyle w:val="ListParagraph"/>
              <w:numPr>
                <w:ilvl w:val="0"/>
                <w:numId w:val="9"/>
              </w:numPr>
              <w:ind w:left="334" w:hanging="334"/>
              <w:rPr>
                <w:rFonts w:ascii="Arial" w:hAnsi="Arial" w:cs="Arial"/>
                <w:sz w:val="24"/>
                <w:szCs w:val="24"/>
              </w:rPr>
            </w:pPr>
            <w:r w:rsidRPr="00FA3F9C">
              <w:rPr>
                <w:rFonts w:ascii="Arial" w:hAnsi="Arial" w:cs="Arial"/>
                <w:sz w:val="24"/>
                <w:szCs w:val="24"/>
              </w:rPr>
              <w:t>Patient must be 18 years old or older.</w:t>
            </w:r>
          </w:p>
        </w:tc>
      </w:tr>
      <w:tr w:rsidR="002641D2" w:rsidRPr="00FA3F9C" w14:paraId="66BB8AD0" w14:textId="77777777" w:rsidTr="00D44740">
        <w:trPr>
          <w:trHeight w:val="253"/>
        </w:trPr>
        <w:tc>
          <w:tcPr>
            <w:tcW w:w="11028" w:type="dxa"/>
          </w:tcPr>
          <w:p w14:paraId="6BD85ED9" w14:textId="77777777" w:rsidR="002641D2" w:rsidRPr="00FA3F9C" w:rsidRDefault="002641D2" w:rsidP="002641D2">
            <w:pPr>
              <w:pStyle w:val="ListParagraph"/>
              <w:numPr>
                <w:ilvl w:val="0"/>
                <w:numId w:val="9"/>
              </w:numPr>
              <w:ind w:left="334" w:hanging="334"/>
              <w:rPr>
                <w:rFonts w:ascii="Arial" w:hAnsi="Arial" w:cs="Arial"/>
                <w:sz w:val="24"/>
                <w:szCs w:val="24"/>
              </w:rPr>
            </w:pPr>
            <w:r w:rsidRPr="00FA3F9C">
              <w:rPr>
                <w:rFonts w:ascii="Arial" w:hAnsi="Arial" w:cs="Arial"/>
                <w:sz w:val="24"/>
                <w:szCs w:val="24"/>
              </w:rPr>
              <w:t>Patient must have received diagnosis of migraine onset before age 50.</w:t>
            </w:r>
          </w:p>
        </w:tc>
      </w:tr>
      <w:tr w:rsidR="002641D2" w:rsidRPr="00FA3F9C" w14:paraId="42568C9D" w14:textId="77777777" w:rsidTr="00D44740">
        <w:trPr>
          <w:trHeight w:val="268"/>
        </w:trPr>
        <w:tc>
          <w:tcPr>
            <w:tcW w:w="11028" w:type="dxa"/>
          </w:tcPr>
          <w:p w14:paraId="43C941A0" w14:textId="77777777" w:rsidR="002641D2" w:rsidRPr="00FA3F9C" w:rsidRDefault="002641D2" w:rsidP="002641D2">
            <w:pPr>
              <w:pStyle w:val="ListParagraph"/>
              <w:numPr>
                <w:ilvl w:val="0"/>
                <w:numId w:val="9"/>
              </w:numPr>
              <w:ind w:left="334" w:hanging="334"/>
              <w:rPr>
                <w:rFonts w:ascii="Arial" w:hAnsi="Arial" w:cs="Arial"/>
                <w:sz w:val="24"/>
                <w:szCs w:val="24"/>
              </w:rPr>
            </w:pPr>
            <w:r w:rsidRPr="00FA3F9C">
              <w:rPr>
                <w:rFonts w:ascii="Arial" w:hAnsi="Arial" w:cs="Arial"/>
                <w:sz w:val="24"/>
                <w:szCs w:val="24"/>
              </w:rPr>
              <w:t>Patient must have tried and had an inadequate response to a trial of TWO preventative therapies:</w:t>
            </w:r>
          </w:p>
          <w:p w14:paraId="1AE77ED4" w14:textId="77777777" w:rsidR="002641D2" w:rsidRPr="00FA3F9C" w:rsidRDefault="002641D2" w:rsidP="004A57B3">
            <w:pPr>
              <w:pStyle w:val="ListParagraph"/>
              <w:ind w:left="668" w:hanging="334"/>
              <w:rPr>
                <w:rFonts w:ascii="Arial" w:hAnsi="Arial" w:cs="Arial"/>
                <w:sz w:val="24"/>
                <w:szCs w:val="24"/>
              </w:rPr>
            </w:pPr>
            <w:r w:rsidRPr="00FA3F9C">
              <w:rPr>
                <w:rFonts w:ascii="Arial" w:hAnsi="Arial" w:cs="Arial"/>
                <w:sz w:val="24"/>
                <w:szCs w:val="24"/>
              </w:rPr>
              <w:t>a. beta blocker- propranolol 80-240mg/day</w:t>
            </w:r>
          </w:p>
          <w:p w14:paraId="3DF94D7A" w14:textId="77777777" w:rsidR="002641D2" w:rsidRPr="00FA3F9C" w:rsidRDefault="002641D2" w:rsidP="004A57B3">
            <w:pPr>
              <w:pStyle w:val="ListParagraph"/>
              <w:ind w:left="668" w:hanging="334"/>
              <w:rPr>
                <w:rFonts w:ascii="Arial" w:hAnsi="Arial" w:cs="Arial"/>
                <w:sz w:val="24"/>
                <w:szCs w:val="24"/>
              </w:rPr>
            </w:pPr>
            <w:r w:rsidRPr="00FA3F9C">
              <w:rPr>
                <w:rFonts w:ascii="Arial" w:hAnsi="Arial" w:cs="Arial"/>
                <w:sz w:val="24"/>
                <w:szCs w:val="24"/>
              </w:rPr>
              <w:t xml:space="preserve">b. divalproex 500-1000mg/day, topiramate 100-200mg/day </w:t>
            </w:r>
          </w:p>
          <w:p w14:paraId="201E1F95" w14:textId="77777777" w:rsidR="002641D2" w:rsidRPr="00FA3F9C" w:rsidRDefault="002641D2" w:rsidP="004A57B3">
            <w:pPr>
              <w:pStyle w:val="ListParagraph"/>
              <w:ind w:left="668" w:hanging="334"/>
              <w:rPr>
                <w:rFonts w:ascii="Arial" w:hAnsi="Arial" w:cs="Arial"/>
                <w:sz w:val="24"/>
                <w:szCs w:val="24"/>
              </w:rPr>
            </w:pPr>
            <w:r w:rsidRPr="00FA3F9C">
              <w:rPr>
                <w:rFonts w:ascii="Arial" w:hAnsi="Arial" w:cs="Arial"/>
                <w:sz w:val="24"/>
                <w:szCs w:val="24"/>
              </w:rPr>
              <w:t xml:space="preserve">c. botulinum toxin A. </w:t>
            </w:r>
          </w:p>
          <w:p w14:paraId="3EAE5DF0" w14:textId="77777777" w:rsidR="002641D2" w:rsidRPr="00FA3F9C" w:rsidRDefault="002641D2" w:rsidP="004A57B3">
            <w:pPr>
              <w:ind w:left="334"/>
              <w:rPr>
                <w:rFonts w:ascii="Arial" w:hAnsi="Arial" w:cs="Arial"/>
                <w:sz w:val="24"/>
                <w:szCs w:val="24"/>
              </w:rPr>
            </w:pPr>
            <w:r w:rsidRPr="00FA3F9C">
              <w:rPr>
                <w:rFonts w:ascii="Arial" w:hAnsi="Arial" w:cs="Arial"/>
                <w:sz w:val="24"/>
                <w:szCs w:val="24"/>
              </w:rPr>
              <w:t>A trial consists of 2 or more months of claims per drug.</w:t>
            </w:r>
          </w:p>
        </w:tc>
      </w:tr>
      <w:tr w:rsidR="002641D2" w:rsidRPr="00FA3F9C" w14:paraId="4E879CF1" w14:textId="77777777" w:rsidTr="00D44740">
        <w:trPr>
          <w:trHeight w:val="268"/>
        </w:trPr>
        <w:tc>
          <w:tcPr>
            <w:tcW w:w="11028" w:type="dxa"/>
          </w:tcPr>
          <w:p w14:paraId="0D5D475E" w14:textId="77777777" w:rsidR="002641D2" w:rsidRPr="00FA3F9C" w:rsidRDefault="002641D2" w:rsidP="002641D2">
            <w:pPr>
              <w:pStyle w:val="ListParagraph"/>
              <w:numPr>
                <w:ilvl w:val="0"/>
                <w:numId w:val="9"/>
              </w:numPr>
              <w:ind w:left="334"/>
              <w:rPr>
                <w:rFonts w:ascii="Arial" w:hAnsi="Arial" w:cs="Arial"/>
                <w:sz w:val="24"/>
                <w:szCs w:val="24"/>
              </w:rPr>
            </w:pPr>
            <w:r w:rsidRPr="00FA3F9C">
              <w:rPr>
                <w:rFonts w:ascii="Arial" w:hAnsi="Arial" w:cs="Arial"/>
                <w:sz w:val="24"/>
                <w:szCs w:val="24"/>
              </w:rPr>
              <w:t>Patient must have had a trial of at least 2 different triptan fills on the profile within the previous year (or else be intolerant to triptans).</w:t>
            </w:r>
          </w:p>
        </w:tc>
      </w:tr>
      <w:tr w:rsidR="002641D2" w:rsidRPr="00FA3F9C" w14:paraId="6AEA485C" w14:textId="77777777" w:rsidTr="003154F3">
        <w:trPr>
          <w:trHeight w:val="287"/>
        </w:trPr>
        <w:tc>
          <w:tcPr>
            <w:tcW w:w="11028" w:type="dxa"/>
          </w:tcPr>
          <w:p w14:paraId="439CA171" w14:textId="77777777" w:rsidR="002641D2" w:rsidRPr="00FA3F9C" w:rsidRDefault="002641D2" w:rsidP="002641D2">
            <w:pPr>
              <w:pStyle w:val="ListParagraph"/>
              <w:numPr>
                <w:ilvl w:val="0"/>
                <w:numId w:val="9"/>
              </w:numPr>
              <w:ind w:left="334"/>
              <w:rPr>
                <w:rFonts w:ascii="Arial" w:hAnsi="Arial" w:cs="Arial"/>
                <w:sz w:val="24"/>
                <w:szCs w:val="24"/>
              </w:rPr>
            </w:pPr>
            <w:r w:rsidRPr="00FA3F9C">
              <w:rPr>
                <w:rFonts w:ascii="Arial" w:hAnsi="Arial" w:cs="Arial"/>
                <w:sz w:val="24"/>
                <w:szCs w:val="24"/>
              </w:rPr>
              <w:t>The prescriber must be a neurologist or headache specialist or be working with one regarding the prescribing for this patient.</w:t>
            </w:r>
          </w:p>
        </w:tc>
      </w:tr>
      <w:tr w:rsidR="002641D2" w:rsidRPr="00FA3F9C" w14:paraId="0D8E675C" w14:textId="77777777" w:rsidTr="003154F3">
        <w:trPr>
          <w:trHeight w:val="530"/>
        </w:trPr>
        <w:tc>
          <w:tcPr>
            <w:tcW w:w="11028" w:type="dxa"/>
          </w:tcPr>
          <w:p w14:paraId="38E6E93C" w14:textId="77777777" w:rsidR="002641D2" w:rsidRPr="00FA3F9C" w:rsidRDefault="002641D2" w:rsidP="002641D2">
            <w:pPr>
              <w:pStyle w:val="ListParagraph"/>
              <w:numPr>
                <w:ilvl w:val="0"/>
                <w:numId w:val="9"/>
              </w:numPr>
              <w:ind w:left="334"/>
              <w:rPr>
                <w:rFonts w:ascii="Arial" w:hAnsi="Arial" w:cs="Arial"/>
                <w:sz w:val="24"/>
                <w:szCs w:val="24"/>
              </w:rPr>
            </w:pPr>
            <w:r w:rsidRPr="00FA3F9C">
              <w:rPr>
                <w:rFonts w:ascii="Arial" w:hAnsi="Arial" w:cs="Arial"/>
                <w:sz w:val="24"/>
                <w:szCs w:val="24"/>
              </w:rPr>
              <w:t xml:space="preserve">If criteria 1 through 6 are fulfilled, approve </w:t>
            </w:r>
            <w:proofErr w:type="spellStart"/>
            <w:r w:rsidRPr="00FA3F9C">
              <w:rPr>
                <w:rFonts w:ascii="Arial" w:hAnsi="Arial" w:cs="Arial"/>
                <w:sz w:val="24"/>
                <w:szCs w:val="24"/>
              </w:rPr>
              <w:t>galcanezumab</w:t>
            </w:r>
            <w:proofErr w:type="spellEnd"/>
            <w:r w:rsidRPr="00FA3F9C">
              <w:rPr>
                <w:rFonts w:ascii="Arial" w:hAnsi="Arial" w:cs="Arial"/>
                <w:sz w:val="24"/>
                <w:szCs w:val="24"/>
              </w:rPr>
              <w:t xml:space="preserve"> 240mg once as a single loading dose, then 120mg once monthly.</w:t>
            </w:r>
          </w:p>
        </w:tc>
      </w:tr>
      <w:tr w:rsidR="002641D2" w:rsidRPr="00FA3F9C" w14:paraId="21050933" w14:textId="77777777" w:rsidTr="00964714">
        <w:trPr>
          <w:trHeight w:val="251"/>
        </w:trPr>
        <w:tc>
          <w:tcPr>
            <w:tcW w:w="11028" w:type="dxa"/>
            <w:shd w:val="clear" w:color="auto" w:fill="D9D9D9" w:themeFill="background1" w:themeFillShade="D9"/>
          </w:tcPr>
          <w:p w14:paraId="2B1FEF9E" w14:textId="77777777" w:rsidR="002641D2" w:rsidRPr="00FA3F9C" w:rsidRDefault="002641D2" w:rsidP="002641D2">
            <w:pPr>
              <w:pStyle w:val="ListParagraph"/>
              <w:numPr>
                <w:ilvl w:val="0"/>
                <w:numId w:val="90"/>
              </w:numPr>
              <w:rPr>
                <w:rFonts w:ascii="Arial" w:hAnsi="Arial" w:cs="Arial"/>
                <w:sz w:val="24"/>
                <w:szCs w:val="24"/>
              </w:rPr>
            </w:pPr>
            <w:r w:rsidRPr="00FA3F9C">
              <w:rPr>
                <w:rFonts w:ascii="Arial" w:hAnsi="Arial" w:cs="Arial"/>
                <w:sz w:val="24"/>
                <w:szCs w:val="24"/>
              </w:rPr>
              <w:t xml:space="preserve">If the above criteria are satisfied, the PA is good for 3 months.  </w:t>
            </w:r>
          </w:p>
          <w:p w14:paraId="033846E9" w14:textId="77777777" w:rsidR="002641D2" w:rsidRPr="00FA3F9C" w:rsidRDefault="002641D2" w:rsidP="002641D2">
            <w:pPr>
              <w:pStyle w:val="ListParagraph"/>
              <w:numPr>
                <w:ilvl w:val="0"/>
                <w:numId w:val="90"/>
              </w:numPr>
              <w:rPr>
                <w:rFonts w:ascii="Arial" w:hAnsi="Arial" w:cs="Arial"/>
                <w:sz w:val="24"/>
                <w:szCs w:val="24"/>
              </w:rPr>
            </w:pPr>
            <w:r w:rsidRPr="00FA3F9C">
              <w:rPr>
                <w:rFonts w:ascii="Arial" w:hAnsi="Arial" w:cs="Arial"/>
                <w:sz w:val="24"/>
                <w:szCs w:val="24"/>
              </w:rPr>
              <w:t>It will be imperative for the call pharmacist to record the number of stated migraine days per month in order to assess response and subsequent access to the drug.</w:t>
            </w:r>
          </w:p>
        </w:tc>
      </w:tr>
      <w:tr w:rsidR="002641D2" w:rsidRPr="00FA3F9C" w14:paraId="5624E97B" w14:textId="77777777" w:rsidTr="00A72E55">
        <w:trPr>
          <w:trHeight w:val="287"/>
        </w:trPr>
        <w:tc>
          <w:tcPr>
            <w:tcW w:w="11028" w:type="dxa"/>
            <w:shd w:val="clear" w:color="auto" w:fill="000000" w:themeFill="text1"/>
          </w:tcPr>
          <w:p w14:paraId="593EB7FA" w14:textId="77777777" w:rsidR="002641D2" w:rsidRPr="00FA3F9C" w:rsidRDefault="002641D2" w:rsidP="00964714">
            <w:pPr>
              <w:ind w:left="360"/>
              <w:rPr>
                <w:rFonts w:ascii="Arial" w:hAnsi="Arial" w:cs="Arial"/>
                <w:b/>
                <w:sz w:val="24"/>
                <w:szCs w:val="24"/>
                <w:u w:val="single"/>
              </w:rPr>
            </w:pPr>
            <w:r w:rsidRPr="00FA3F9C">
              <w:rPr>
                <w:rFonts w:ascii="Arial" w:hAnsi="Arial" w:cs="Arial"/>
                <w:b/>
                <w:sz w:val="24"/>
                <w:szCs w:val="24"/>
                <w:u w:val="single"/>
              </w:rPr>
              <w:t>Continuation for Migraine prophylaxis:</w:t>
            </w:r>
          </w:p>
        </w:tc>
      </w:tr>
      <w:tr w:rsidR="002641D2" w:rsidRPr="00FA3F9C" w14:paraId="54A3DA0C" w14:textId="77777777" w:rsidTr="00A72E55">
        <w:trPr>
          <w:trHeight w:val="287"/>
        </w:trPr>
        <w:tc>
          <w:tcPr>
            <w:tcW w:w="11028" w:type="dxa"/>
          </w:tcPr>
          <w:p w14:paraId="611DF098" w14:textId="77777777" w:rsidR="002641D2" w:rsidRPr="00FA3F9C" w:rsidRDefault="002641D2" w:rsidP="00964714">
            <w:pPr>
              <w:ind w:left="360"/>
              <w:rPr>
                <w:rFonts w:ascii="Arial" w:hAnsi="Arial" w:cs="Arial"/>
                <w:sz w:val="24"/>
                <w:szCs w:val="24"/>
              </w:rPr>
            </w:pPr>
            <w:r w:rsidRPr="00FA3F9C">
              <w:rPr>
                <w:rFonts w:ascii="Arial" w:hAnsi="Arial" w:cs="Arial"/>
                <w:sz w:val="24"/>
                <w:szCs w:val="24"/>
              </w:rPr>
              <w:t xml:space="preserve">1. To continue access to </w:t>
            </w:r>
            <w:proofErr w:type="spellStart"/>
            <w:r w:rsidRPr="00FA3F9C">
              <w:rPr>
                <w:rFonts w:ascii="Arial" w:hAnsi="Arial" w:cs="Arial"/>
                <w:sz w:val="24"/>
                <w:szCs w:val="24"/>
              </w:rPr>
              <w:t>galcanezumab</w:t>
            </w:r>
            <w:proofErr w:type="spellEnd"/>
            <w:r w:rsidRPr="00FA3F9C">
              <w:rPr>
                <w:rFonts w:ascii="Arial" w:hAnsi="Arial" w:cs="Arial"/>
                <w:sz w:val="24"/>
                <w:szCs w:val="24"/>
              </w:rPr>
              <w:t>, the patient must have filled at least 2-30 day fills in the last 90 days and less rescue medication.</w:t>
            </w:r>
          </w:p>
        </w:tc>
      </w:tr>
      <w:tr w:rsidR="002641D2" w:rsidRPr="00FA3F9C" w14:paraId="31FE6788" w14:textId="77777777" w:rsidTr="00964714">
        <w:trPr>
          <w:trHeight w:val="287"/>
        </w:trPr>
        <w:tc>
          <w:tcPr>
            <w:tcW w:w="11028" w:type="dxa"/>
            <w:shd w:val="clear" w:color="auto" w:fill="D9D9D9" w:themeFill="background1" w:themeFillShade="D9"/>
          </w:tcPr>
          <w:p w14:paraId="2CF0EE9A" w14:textId="77777777" w:rsidR="002641D2" w:rsidRPr="00FA3F9C" w:rsidRDefault="002641D2" w:rsidP="00964714">
            <w:pPr>
              <w:ind w:left="360"/>
              <w:rPr>
                <w:rFonts w:ascii="Arial" w:hAnsi="Arial" w:cs="Arial"/>
                <w:sz w:val="24"/>
                <w:szCs w:val="24"/>
              </w:rPr>
            </w:pPr>
            <w:r w:rsidRPr="00FA3F9C">
              <w:rPr>
                <w:rFonts w:ascii="Arial" w:hAnsi="Arial" w:cs="Arial"/>
                <w:sz w:val="24"/>
                <w:szCs w:val="24"/>
              </w:rPr>
              <w:t xml:space="preserve">If </w:t>
            </w:r>
            <w:proofErr w:type="gramStart"/>
            <w:r w:rsidRPr="00FA3F9C">
              <w:rPr>
                <w:rFonts w:ascii="Arial" w:hAnsi="Arial" w:cs="Arial"/>
                <w:sz w:val="24"/>
                <w:szCs w:val="24"/>
              </w:rPr>
              <w:t>both of the continuation</w:t>
            </w:r>
            <w:proofErr w:type="gramEnd"/>
            <w:r w:rsidRPr="00FA3F9C">
              <w:rPr>
                <w:rFonts w:ascii="Arial" w:hAnsi="Arial" w:cs="Arial"/>
                <w:sz w:val="24"/>
                <w:szCs w:val="24"/>
              </w:rPr>
              <w:t xml:space="preserve"> criteria were achieved, allow access for 6 months.  After 6 months, the patient must have shown at least 5 </w:t>
            </w:r>
            <w:proofErr w:type="spellStart"/>
            <w:r w:rsidRPr="00FA3F9C">
              <w:rPr>
                <w:rFonts w:ascii="Arial" w:hAnsi="Arial" w:cs="Arial"/>
                <w:sz w:val="24"/>
                <w:szCs w:val="24"/>
              </w:rPr>
              <w:t>galcanezumab</w:t>
            </w:r>
            <w:proofErr w:type="spellEnd"/>
            <w:r w:rsidRPr="00FA3F9C">
              <w:rPr>
                <w:rFonts w:ascii="Arial" w:hAnsi="Arial" w:cs="Arial"/>
                <w:sz w:val="24"/>
                <w:szCs w:val="24"/>
              </w:rPr>
              <w:t xml:space="preserve"> fills in the previous 6 months (since it is prophylactic) and </w:t>
            </w:r>
            <w:r w:rsidRPr="00FA3F9C">
              <w:rPr>
                <w:rFonts w:ascii="Arial" w:hAnsi="Arial" w:cs="Arial"/>
                <w:sz w:val="24"/>
                <w:szCs w:val="24"/>
                <w:highlight w:val="yellow"/>
              </w:rPr>
              <w:t>less consumption of rescue medication as evidenced by fewer triptan fills</w:t>
            </w:r>
            <w:r w:rsidRPr="00FA3F9C">
              <w:rPr>
                <w:rFonts w:ascii="Arial" w:hAnsi="Arial" w:cs="Arial"/>
                <w:sz w:val="24"/>
                <w:szCs w:val="24"/>
              </w:rPr>
              <w:t xml:space="preserve"> than before </w:t>
            </w:r>
            <w:proofErr w:type="spellStart"/>
            <w:r w:rsidRPr="00FA3F9C">
              <w:rPr>
                <w:rFonts w:ascii="Arial" w:hAnsi="Arial" w:cs="Arial"/>
                <w:sz w:val="24"/>
                <w:szCs w:val="24"/>
              </w:rPr>
              <w:t>galcanezumab</w:t>
            </w:r>
            <w:proofErr w:type="spellEnd"/>
            <w:r w:rsidRPr="00FA3F9C">
              <w:rPr>
                <w:rFonts w:ascii="Arial" w:hAnsi="Arial" w:cs="Arial"/>
                <w:sz w:val="24"/>
                <w:szCs w:val="24"/>
              </w:rPr>
              <w:t xml:space="preserve"> was accessed by the patient.</w:t>
            </w:r>
          </w:p>
        </w:tc>
      </w:tr>
    </w:tbl>
    <w:p w14:paraId="07D6A13B" w14:textId="77777777" w:rsidR="002641D2" w:rsidRPr="00FA3F9C" w:rsidRDefault="002641D2" w:rsidP="006F623F">
      <w:pPr>
        <w:spacing w:after="0"/>
        <w:rPr>
          <w:rFonts w:ascii="Arial" w:hAnsi="Arial" w:cs="Arial"/>
          <w:sz w:val="24"/>
          <w:szCs w:val="24"/>
        </w:rPr>
      </w:pPr>
      <w:r w:rsidRPr="00FA3F9C">
        <w:rPr>
          <w:rFonts w:ascii="Arial" w:hAnsi="Arial" w:cs="Arial"/>
          <w:sz w:val="24"/>
          <w:szCs w:val="24"/>
        </w:rPr>
        <w:t>Dose: 240mg as a single loading dose, then 120mg once monthly.</w:t>
      </w:r>
    </w:p>
    <w:p w14:paraId="4FF3F939" w14:textId="77777777" w:rsidR="002641D2" w:rsidRPr="00FA3F9C" w:rsidRDefault="002641D2" w:rsidP="006F623F">
      <w:pPr>
        <w:spacing w:after="0"/>
        <w:rPr>
          <w:rFonts w:ascii="Arial" w:hAnsi="Arial" w:cs="Arial"/>
          <w:sz w:val="24"/>
          <w:szCs w:val="24"/>
        </w:rPr>
      </w:pPr>
    </w:p>
    <w:tbl>
      <w:tblPr>
        <w:tblStyle w:val="TableGrid"/>
        <w:tblW w:w="0" w:type="auto"/>
        <w:tblLook w:val="04A0" w:firstRow="1" w:lastRow="0" w:firstColumn="1" w:lastColumn="0" w:noHBand="0" w:noVBand="1"/>
      </w:tblPr>
      <w:tblGrid>
        <w:gridCol w:w="10790"/>
      </w:tblGrid>
      <w:tr w:rsidR="002641D2" w:rsidRPr="00FA3F9C" w14:paraId="4C33B53F" w14:textId="77777777" w:rsidTr="00AD6F6A">
        <w:tc>
          <w:tcPr>
            <w:tcW w:w="10790" w:type="dxa"/>
            <w:shd w:val="clear" w:color="auto" w:fill="000000" w:themeFill="text1"/>
          </w:tcPr>
          <w:p w14:paraId="5DACE0AA" w14:textId="77777777" w:rsidR="002641D2" w:rsidRPr="00FA3F9C" w:rsidRDefault="002641D2" w:rsidP="006F623F">
            <w:pPr>
              <w:rPr>
                <w:rFonts w:ascii="Arial" w:hAnsi="Arial" w:cs="Arial"/>
                <w:b/>
                <w:sz w:val="24"/>
                <w:szCs w:val="24"/>
                <w:u w:val="single"/>
              </w:rPr>
            </w:pPr>
            <w:r w:rsidRPr="00FA3F9C">
              <w:rPr>
                <w:rFonts w:ascii="Arial" w:hAnsi="Arial" w:cs="Arial"/>
                <w:b/>
                <w:sz w:val="24"/>
                <w:szCs w:val="24"/>
                <w:u w:val="single"/>
              </w:rPr>
              <w:lastRenderedPageBreak/>
              <w:t>CLUSTER HEADACHE prophylaxis:</w:t>
            </w:r>
          </w:p>
        </w:tc>
      </w:tr>
      <w:tr w:rsidR="002641D2" w:rsidRPr="00FA3F9C" w14:paraId="4C389E99" w14:textId="77777777" w:rsidTr="00B80B81">
        <w:tc>
          <w:tcPr>
            <w:tcW w:w="10790" w:type="dxa"/>
            <w:tcBorders>
              <w:bottom w:val="single" w:sz="4" w:space="0" w:color="auto"/>
            </w:tcBorders>
          </w:tcPr>
          <w:p w14:paraId="76BD0368" w14:textId="77777777" w:rsidR="002641D2" w:rsidRPr="00FA3F9C" w:rsidRDefault="002641D2" w:rsidP="006F623F">
            <w:pPr>
              <w:rPr>
                <w:rFonts w:ascii="Arial" w:hAnsi="Arial" w:cs="Arial"/>
                <w:sz w:val="24"/>
                <w:szCs w:val="24"/>
              </w:rPr>
            </w:pPr>
            <w:r w:rsidRPr="00FA3F9C">
              <w:rPr>
                <w:rFonts w:ascii="Arial" w:hAnsi="Arial" w:cs="Arial"/>
                <w:sz w:val="24"/>
                <w:szCs w:val="24"/>
              </w:rPr>
              <w:t>1. The patient must have the diagnosis of cluster headache (approximately 1 headache every other day, at least 4 total attacks, and no more than 8 attacks per day during 7 consecutive days; the cluster headache period must have lasted at least 6 weeks)</w:t>
            </w:r>
          </w:p>
        </w:tc>
      </w:tr>
      <w:tr w:rsidR="002641D2" w:rsidRPr="00FA3F9C" w14:paraId="4D41DF99" w14:textId="77777777" w:rsidTr="00B80B81">
        <w:tc>
          <w:tcPr>
            <w:tcW w:w="10790" w:type="dxa"/>
            <w:shd w:val="clear" w:color="auto" w:fill="D9D9D9" w:themeFill="background1" w:themeFillShade="D9"/>
          </w:tcPr>
          <w:p w14:paraId="33292A20" w14:textId="77777777" w:rsidR="002641D2" w:rsidRPr="00FA3F9C" w:rsidRDefault="002641D2" w:rsidP="006F623F">
            <w:pPr>
              <w:rPr>
                <w:rFonts w:ascii="Arial" w:hAnsi="Arial" w:cs="Arial"/>
                <w:sz w:val="24"/>
                <w:szCs w:val="24"/>
              </w:rPr>
            </w:pPr>
            <w:r w:rsidRPr="00FA3F9C">
              <w:rPr>
                <w:rFonts w:ascii="Arial" w:hAnsi="Arial" w:cs="Arial"/>
                <w:sz w:val="24"/>
                <w:szCs w:val="24"/>
              </w:rPr>
              <w:t>If the criteria for cluster headache are satisfied, approve for 12 months.</w:t>
            </w:r>
          </w:p>
        </w:tc>
      </w:tr>
      <w:tr w:rsidR="002641D2" w:rsidRPr="00FA3F9C" w14:paraId="705DB5C9" w14:textId="77777777" w:rsidTr="00B80B81">
        <w:tc>
          <w:tcPr>
            <w:tcW w:w="10790" w:type="dxa"/>
            <w:shd w:val="clear" w:color="auto" w:fill="D9D9D9" w:themeFill="background1" w:themeFillShade="D9"/>
          </w:tcPr>
          <w:p w14:paraId="732BBF7B" w14:textId="77777777" w:rsidR="002641D2" w:rsidRPr="00FA3F9C" w:rsidRDefault="002641D2" w:rsidP="006F623F">
            <w:pPr>
              <w:rPr>
                <w:rFonts w:ascii="Arial" w:hAnsi="Arial" w:cs="Arial"/>
                <w:sz w:val="24"/>
                <w:szCs w:val="24"/>
              </w:rPr>
            </w:pPr>
            <w:r w:rsidRPr="00FA3F9C">
              <w:rPr>
                <w:rFonts w:ascii="Arial" w:hAnsi="Arial" w:cs="Arial"/>
                <w:sz w:val="24"/>
                <w:szCs w:val="24"/>
              </w:rPr>
              <w:t>Note:  Dosing for cluster HA is 300mg SC at onset and then QM until the end of the cluster period.</w:t>
            </w:r>
          </w:p>
        </w:tc>
      </w:tr>
    </w:tbl>
    <w:p w14:paraId="5613D3A2" w14:textId="77777777" w:rsidR="002641D2" w:rsidRPr="00FA3F9C" w:rsidRDefault="002641D2" w:rsidP="006F623F">
      <w:pPr>
        <w:spacing w:after="0"/>
        <w:rPr>
          <w:rFonts w:ascii="Arial" w:hAnsi="Arial" w:cs="Arial"/>
          <w:sz w:val="24"/>
          <w:szCs w:val="24"/>
        </w:rPr>
      </w:pPr>
    </w:p>
    <w:p w14:paraId="51AAD22E" w14:textId="77777777" w:rsidR="002641D2" w:rsidRPr="00FA3F9C" w:rsidRDefault="002641D2"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151"/>
        <w:gridCol w:w="7850"/>
        <w:gridCol w:w="1885"/>
      </w:tblGrid>
      <w:tr w:rsidR="002641D2" w:rsidRPr="00FA3F9C" w14:paraId="09AF54DD" w14:textId="77777777" w:rsidTr="008D7065">
        <w:tc>
          <w:tcPr>
            <w:tcW w:w="1055" w:type="dxa"/>
          </w:tcPr>
          <w:p w14:paraId="214E10DF" w14:textId="77777777" w:rsidR="002641D2" w:rsidRPr="00FA3F9C" w:rsidRDefault="002641D2" w:rsidP="006F623F">
            <w:pPr>
              <w:rPr>
                <w:rFonts w:ascii="Arial" w:hAnsi="Arial" w:cs="Arial"/>
                <w:sz w:val="24"/>
                <w:szCs w:val="24"/>
              </w:rPr>
            </w:pPr>
            <w:r w:rsidRPr="00FA3F9C">
              <w:rPr>
                <w:rFonts w:ascii="Arial" w:hAnsi="Arial" w:cs="Arial"/>
                <w:sz w:val="24"/>
                <w:szCs w:val="24"/>
              </w:rPr>
              <w:t>Date</w:t>
            </w:r>
          </w:p>
        </w:tc>
        <w:tc>
          <w:tcPr>
            <w:tcW w:w="7850" w:type="dxa"/>
          </w:tcPr>
          <w:p w14:paraId="4AE9EC8A" w14:textId="77777777" w:rsidR="002641D2" w:rsidRPr="00FA3F9C" w:rsidRDefault="002641D2" w:rsidP="006F623F">
            <w:pPr>
              <w:rPr>
                <w:rFonts w:ascii="Arial" w:hAnsi="Arial" w:cs="Arial"/>
                <w:sz w:val="24"/>
                <w:szCs w:val="24"/>
              </w:rPr>
            </w:pPr>
            <w:r w:rsidRPr="00FA3F9C">
              <w:rPr>
                <w:rFonts w:ascii="Arial" w:hAnsi="Arial" w:cs="Arial"/>
                <w:sz w:val="24"/>
                <w:szCs w:val="24"/>
              </w:rPr>
              <w:t>What changed</w:t>
            </w:r>
          </w:p>
        </w:tc>
        <w:tc>
          <w:tcPr>
            <w:tcW w:w="1885" w:type="dxa"/>
          </w:tcPr>
          <w:p w14:paraId="0B244673" w14:textId="77777777" w:rsidR="002641D2" w:rsidRPr="00FA3F9C" w:rsidRDefault="002641D2" w:rsidP="006F623F">
            <w:pPr>
              <w:rPr>
                <w:rFonts w:ascii="Arial" w:hAnsi="Arial" w:cs="Arial"/>
                <w:sz w:val="24"/>
                <w:szCs w:val="24"/>
              </w:rPr>
            </w:pPr>
            <w:r w:rsidRPr="00FA3F9C">
              <w:rPr>
                <w:rFonts w:ascii="Arial" w:hAnsi="Arial" w:cs="Arial"/>
                <w:sz w:val="24"/>
                <w:szCs w:val="24"/>
              </w:rPr>
              <w:t>Pharmacist’s initials</w:t>
            </w:r>
          </w:p>
        </w:tc>
      </w:tr>
      <w:tr w:rsidR="002641D2" w:rsidRPr="00FA3F9C" w14:paraId="11465E71" w14:textId="77777777" w:rsidTr="008D7065">
        <w:tc>
          <w:tcPr>
            <w:tcW w:w="1055" w:type="dxa"/>
          </w:tcPr>
          <w:p w14:paraId="265766C6" w14:textId="77777777" w:rsidR="002641D2" w:rsidRPr="00FA3F9C" w:rsidRDefault="002641D2" w:rsidP="006F623F">
            <w:pPr>
              <w:rPr>
                <w:rFonts w:ascii="Arial" w:hAnsi="Arial" w:cs="Arial"/>
                <w:sz w:val="24"/>
                <w:szCs w:val="24"/>
              </w:rPr>
            </w:pPr>
            <w:r w:rsidRPr="00FA3F9C">
              <w:rPr>
                <w:rFonts w:ascii="Arial" w:hAnsi="Arial" w:cs="Arial"/>
                <w:sz w:val="24"/>
                <w:szCs w:val="24"/>
              </w:rPr>
              <w:t>1/17/19</w:t>
            </w:r>
          </w:p>
        </w:tc>
        <w:tc>
          <w:tcPr>
            <w:tcW w:w="7850" w:type="dxa"/>
          </w:tcPr>
          <w:p w14:paraId="020E6E29" w14:textId="77777777" w:rsidR="002641D2" w:rsidRPr="00FA3F9C" w:rsidRDefault="002641D2" w:rsidP="006F623F">
            <w:pPr>
              <w:rPr>
                <w:rFonts w:ascii="Arial" w:hAnsi="Arial" w:cs="Arial"/>
                <w:sz w:val="24"/>
                <w:szCs w:val="24"/>
              </w:rPr>
            </w:pPr>
            <w:r w:rsidRPr="00FA3F9C">
              <w:rPr>
                <w:rFonts w:ascii="Arial" w:hAnsi="Arial" w:cs="Arial"/>
                <w:sz w:val="24"/>
                <w:szCs w:val="24"/>
              </w:rPr>
              <w:t>I wrote the criteria.</w:t>
            </w:r>
          </w:p>
        </w:tc>
        <w:tc>
          <w:tcPr>
            <w:tcW w:w="1885" w:type="dxa"/>
          </w:tcPr>
          <w:p w14:paraId="7EA4BF28" w14:textId="77777777" w:rsidR="002641D2" w:rsidRPr="00FA3F9C" w:rsidRDefault="002641D2" w:rsidP="006F623F">
            <w:pPr>
              <w:rPr>
                <w:rFonts w:ascii="Arial" w:hAnsi="Arial" w:cs="Arial"/>
                <w:sz w:val="24"/>
                <w:szCs w:val="24"/>
              </w:rPr>
            </w:pPr>
            <w:r w:rsidRPr="00FA3F9C">
              <w:rPr>
                <w:rFonts w:ascii="Arial" w:hAnsi="Arial" w:cs="Arial"/>
                <w:sz w:val="24"/>
                <w:szCs w:val="24"/>
              </w:rPr>
              <w:t>JJ</w:t>
            </w:r>
          </w:p>
        </w:tc>
      </w:tr>
      <w:tr w:rsidR="002641D2" w:rsidRPr="00FA3F9C" w14:paraId="127BE733" w14:textId="77777777" w:rsidTr="008D7065">
        <w:tc>
          <w:tcPr>
            <w:tcW w:w="1055" w:type="dxa"/>
          </w:tcPr>
          <w:p w14:paraId="53A1D7A9" w14:textId="77777777" w:rsidR="002641D2" w:rsidRPr="00FA3F9C" w:rsidRDefault="002641D2" w:rsidP="006F623F">
            <w:pPr>
              <w:rPr>
                <w:rFonts w:ascii="Arial" w:hAnsi="Arial" w:cs="Arial"/>
                <w:sz w:val="24"/>
                <w:szCs w:val="24"/>
              </w:rPr>
            </w:pPr>
            <w:r w:rsidRPr="00FA3F9C">
              <w:rPr>
                <w:rFonts w:ascii="Arial" w:hAnsi="Arial" w:cs="Arial"/>
                <w:sz w:val="24"/>
                <w:szCs w:val="24"/>
              </w:rPr>
              <w:t>4/9/21</w:t>
            </w:r>
          </w:p>
        </w:tc>
        <w:tc>
          <w:tcPr>
            <w:tcW w:w="7850" w:type="dxa"/>
          </w:tcPr>
          <w:p w14:paraId="02DB5A98" w14:textId="77777777" w:rsidR="002641D2" w:rsidRPr="00FA3F9C" w:rsidRDefault="002641D2" w:rsidP="006F623F">
            <w:pPr>
              <w:rPr>
                <w:rFonts w:ascii="Arial" w:hAnsi="Arial" w:cs="Arial"/>
                <w:sz w:val="24"/>
                <w:szCs w:val="24"/>
              </w:rPr>
            </w:pPr>
            <w:r w:rsidRPr="00FA3F9C">
              <w:rPr>
                <w:rFonts w:ascii="Arial" w:hAnsi="Arial" w:cs="Arial"/>
                <w:sz w:val="24"/>
                <w:szCs w:val="24"/>
              </w:rPr>
              <w:t>I added the cluster headache indication, defined the diagnosis per the clinical trial.</w:t>
            </w:r>
          </w:p>
        </w:tc>
        <w:tc>
          <w:tcPr>
            <w:tcW w:w="1885" w:type="dxa"/>
          </w:tcPr>
          <w:p w14:paraId="342F37C9" w14:textId="77777777" w:rsidR="002641D2" w:rsidRPr="00FA3F9C" w:rsidRDefault="002641D2" w:rsidP="006F623F">
            <w:pPr>
              <w:rPr>
                <w:rFonts w:ascii="Arial" w:hAnsi="Arial" w:cs="Arial"/>
                <w:sz w:val="24"/>
                <w:szCs w:val="24"/>
              </w:rPr>
            </w:pPr>
            <w:r w:rsidRPr="00FA3F9C">
              <w:rPr>
                <w:rFonts w:ascii="Arial" w:hAnsi="Arial" w:cs="Arial"/>
                <w:sz w:val="24"/>
                <w:szCs w:val="24"/>
              </w:rPr>
              <w:t>JJ</w:t>
            </w:r>
          </w:p>
        </w:tc>
      </w:tr>
      <w:tr w:rsidR="002641D2" w:rsidRPr="00FA3F9C" w14:paraId="3479EA32" w14:textId="77777777" w:rsidTr="008D7065">
        <w:tc>
          <w:tcPr>
            <w:tcW w:w="1055" w:type="dxa"/>
          </w:tcPr>
          <w:p w14:paraId="36615D74" w14:textId="77777777" w:rsidR="002641D2" w:rsidRPr="00FA3F9C" w:rsidRDefault="002641D2" w:rsidP="006F623F">
            <w:pPr>
              <w:rPr>
                <w:rFonts w:ascii="Arial" w:hAnsi="Arial" w:cs="Arial"/>
                <w:sz w:val="24"/>
                <w:szCs w:val="24"/>
              </w:rPr>
            </w:pPr>
            <w:r w:rsidRPr="00FA3F9C">
              <w:rPr>
                <w:rFonts w:ascii="Arial" w:hAnsi="Arial" w:cs="Arial"/>
                <w:sz w:val="24"/>
                <w:szCs w:val="24"/>
              </w:rPr>
              <w:t>10/12/21</w:t>
            </w:r>
          </w:p>
        </w:tc>
        <w:tc>
          <w:tcPr>
            <w:tcW w:w="7850" w:type="dxa"/>
          </w:tcPr>
          <w:p w14:paraId="504B0162" w14:textId="77777777" w:rsidR="002641D2" w:rsidRPr="00FA3F9C" w:rsidRDefault="002641D2" w:rsidP="006F623F">
            <w:pPr>
              <w:rPr>
                <w:rFonts w:ascii="Arial" w:hAnsi="Arial" w:cs="Arial"/>
                <w:sz w:val="24"/>
                <w:szCs w:val="24"/>
              </w:rPr>
            </w:pPr>
            <w:r w:rsidRPr="00FA3F9C">
              <w:rPr>
                <w:rFonts w:ascii="Arial" w:hAnsi="Arial" w:cs="Arial"/>
                <w:sz w:val="24"/>
                <w:szCs w:val="24"/>
              </w:rPr>
              <w:t xml:space="preserve">I updated the criteria.  I reviewed the criteria, omitted a minimum # of HAs/month, added step therapy with 2 preventive therapies and 2 triptan fills in the history.  ICER determined for preventive </w:t>
            </w:r>
            <w:proofErr w:type="spellStart"/>
            <w:r w:rsidRPr="00FA3F9C">
              <w:rPr>
                <w:rFonts w:ascii="Arial" w:hAnsi="Arial" w:cs="Arial"/>
                <w:sz w:val="24"/>
                <w:szCs w:val="24"/>
              </w:rPr>
              <w:t>tx</w:t>
            </w:r>
            <w:proofErr w:type="spellEnd"/>
            <w:r w:rsidRPr="00FA3F9C">
              <w:rPr>
                <w:rFonts w:ascii="Arial" w:hAnsi="Arial" w:cs="Arial"/>
                <w:sz w:val="24"/>
                <w:szCs w:val="24"/>
              </w:rPr>
              <w:t xml:space="preserve"> w/ </w:t>
            </w:r>
            <w:proofErr w:type="spellStart"/>
            <w:r w:rsidRPr="00FA3F9C">
              <w:rPr>
                <w:rFonts w:ascii="Arial" w:hAnsi="Arial" w:cs="Arial"/>
                <w:sz w:val="24"/>
                <w:szCs w:val="24"/>
              </w:rPr>
              <w:t>CGRAi</w:t>
            </w:r>
            <w:proofErr w:type="spellEnd"/>
            <w:r w:rsidRPr="00FA3F9C">
              <w:rPr>
                <w:rFonts w:ascii="Arial" w:hAnsi="Arial" w:cs="Arial"/>
                <w:sz w:val="24"/>
                <w:szCs w:val="24"/>
              </w:rPr>
              <w:t xml:space="preserve">, that triptan therapy for acute relief can be effective for many patients, thereby limiting any potential added benefit of preventive therapy and avoiding uncertain </w:t>
            </w:r>
            <w:proofErr w:type="gramStart"/>
            <w:r w:rsidRPr="00FA3F9C">
              <w:rPr>
                <w:rFonts w:ascii="Arial" w:hAnsi="Arial" w:cs="Arial"/>
                <w:sz w:val="24"/>
                <w:szCs w:val="24"/>
              </w:rPr>
              <w:t>long term</w:t>
            </w:r>
            <w:proofErr w:type="gramEnd"/>
            <w:r w:rsidRPr="00FA3F9C">
              <w:rPr>
                <w:rFonts w:ascii="Arial" w:hAnsi="Arial" w:cs="Arial"/>
                <w:sz w:val="24"/>
                <w:szCs w:val="24"/>
              </w:rPr>
              <w:t xml:space="preserve"> SEs as well as </w:t>
            </w:r>
            <w:proofErr w:type="spellStart"/>
            <w:r w:rsidRPr="00FA3F9C">
              <w:rPr>
                <w:rFonts w:ascii="Arial" w:hAnsi="Arial" w:cs="Arial"/>
                <w:sz w:val="24"/>
                <w:szCs w:val="24"/>
              </w:rPr>
              <w:t>CGRPi</w:t>
            </w:r>
            <w:proofErr w:type="spellEnd"/>
            <w:r w:rsidRPr="00FA3F9C">
              <w:rPr>
                <w:rFonts w:ascii="Arial" w:hAnsi="Arial" w:cs="Arial"/>
                <w:sz w:val="24"/>
                <w:szCs w:val="24"/>
              </w:rPr>
              <w:t xml:space="preserve"> costs.  ICER determined it is reasonable to require 2 or 3 prior preventive treatments PLUS a reasonable trial of triptans prior to covering </w:t>
            </w:r>
            <w:proofErr w:type="spellStart"/>
            <w:r w:rsidRPr="00FA3F9C">
              <w:rPr>
                <w:rFonts w:ascii="Arial" w:hAnsi="Arial" w:cs="Arial"/>
                <w:sz w:val="24"/>
                <w:szCs w:val="24"/>
              </w:rPr>
              <w:t>CGRPi</w:t>
            </w:r>
            <w:proofErr w:type="spellEnd"/>
            <w:r w:rsidRPr="00FA3F9C">
              <w:rPr>
                <w:rFonts w:ascii="Arial" w:hAnsi="Arial" w:cs="Arial"/>
                <w:sz w:val="24"/>
                <w:szCs w:val="24"/>
              </w:rPr>
              <w:t xml:space="preserve"> therapy.</w:t>
            </w:r>
          </w:p>
        </w:tc>
        <w:tc>
          <w:tcPr>
            <w:tcW w:w="1885" w:type="dxa"/>
          </w:tcPr>
          <w:p w14:paraId="6880E910" w14:textId="77777777" w:rsidR="002641D2" w:rsidRPr="00FA3F9C" w:rsidRDefault="002641D2" w:rsidP="006F623F">
            <w:pPr>
              <w:rPr>
                <w:rFonts w:ascii="Arial" w:hAnsi="Arial" w:cs="Arial"/>
                <w:sz w:val="24"/>
                <w:szCs w:val="24"/>
              </w:rPr>
            </w:pPr>
            <w:r w:rsidRPr="00FA3F9C">
              <w:rPr>
                <w:rFonts w:ascii="Arial" w:hAnsi="Arial" w:cs="Arial"/>
                <w:sz w:val="24"/>
                <w:szCs w:val="24"/>
              </w:rPr>
              <w:t>JJ</w:t>
            </w:r>
          </w:p>
        </w:tc>
      </w:tr>
    </w:tbl>
    <w:p w14:paraId="441A62C5" w14:textId="77777777" w:rsidR="002641D2" w:rsidRPr="00FA3F9C" w:rsidRDefault="002641D2" w:rsidP="00B80B81">
      <w:pPr>
        <w:spacing w:after="0"/>
        <w:rPr>
          <w:rFonts w:ascii="Arial" w:hAnsi="Arial" w:cs="Arial"/>
          <w:sz w:val="24"/>
          <w:szCs w:val="24"/>
        </w:rPr>
      </w:pPr>
      <w:r w:rsidRPr="00FA3F9C">
        <w:rPr>
          <w:rFonts w:ascii="Arial" w:hAnsi="Arial" w:cs="Arial"/>
          <w:sz w:val="24"/>
          <w:szCs w:val="24"/>
        </w:rPr>
        <w:t>Ref:</w:t>
      </w:r>
    </w:p>
    <w:p w14:paraId="434BFAE7" w14:textId="77777777" w:rsidR="002641D2" w:rsidRPr="00FA3F9C" w:rsidRDefault="002641D2" w:rsidP="002641D2">
      <w:pPr>
        <w:pStyle w:val="ListParagraph"/>
        <w:numPr>
          <w:ilvl w:val="0"/>
          <w:numId w:val="8"/>
        </w:numPr>
        <w:spacing w:after="0" w:line="276" w:lineRule="auto"/>
        <w:ind w:left="0" w:right="-180" w:firstLine="0"/>
        <w:rPr>
          <w:rFonts w:ascii="Arial" w:hAnsi="Arial" w:cs="Arial"/>
          <w:sz w:val="24"/>
          <w:szCs w:val="24"/>
        </w:rPr>
      </w:pPr>
      <w:proofErr w:type="spellStart"/>
      <w:r w:rsidRPr="00FA3F9C">
        <w:rPr>
          <w:rFonts w:ascii="Arial" w:hAnsi="Arial" w:cs="Arial"/>
          <w:color w:val="222222"/>
          <w:sz w:val="24"/>
          <w:szCs w:val="24"/>
          <w:shd w:val="clear" w:color="auto" w:fill="FFFFFF"/>
        </w:rPr>
        <w:t>Emgality</w:t>
      </w:r>
      <w:proofErr w:type="spellEnd"/>
      <w:r w:rsidRPr="00FA3F9C">
        <w:rPr>
          <w:rFonts w:ascii="Arial" w:hAnsi="Arial" w:cs="Arial"/>
          <w:color w:val="222222"/>
          <w:sz w:val="24"/>
          <w:szCs w:val="24"/>
          <w:shd w:val="clear" w:color="auto" w:fill="FFFFFF"/>
        </w:rPr>
        <w:t xml:space="preserve"> package insert. Accessed 1/17/19.</w:t>
      </w:r>
    </w:p>
    <w:p w14:paraId="54E559DE" w14:textId="77777777" w:rsidR="002641D2" w:rsidRPr="00FA3F9C" w:rsidRDefault="002641D2" w:rsidP="002641D2">
      <w:pPr>
        <w:pStyle w:val="ListParagraph"/>
        <w:numPr>
          <w:ilvl w:val="0"/>
          <w:numId w:val="8"/>
        </w:numPr>
        <w:spacing w:after="0" w:line="276" w:lineRule="auto"/>
        <w:ind w:left="0" w:right="-180" w:firstLine="0"/>
        <w:rPr>
          <w:rFonts w:ascii="Arial" w:hAnsi="Arial" w:cs="Arial"/>
          <w:sz w:val="24"/>
          <w:szCs w:val="24"/>
        </w:rPr>
      </w:pPr>
      <w:proofErr w:type="spellStart"/>
      <w:r w:rsidRPr="00FA3F9C">
        <w:rPr>
          <w:rFonts w:ascii="Arial" w:hAnsi="Arial" w:cs="Arial"/>
          <w:color w:val="222222"/>
          <w:sz w:val="24"/>
          <w:szCs w:val="24"/>
          <w:shd w:val="clear" w:color="auto" w:fill="FFFFFF"/>
        </w:rPr>
        <w:t>Katsarava</w:t>
      </w:r>
      <w:proofErr w:type="spellEnd"/>
      <w:r w:rsidRPr="00FA3F9C">
        <w:rPr>
          <w:rFonts w:ascii="Arial" w:hAnsi="Arial" w:cs="Arial"/>
          <w:color w:val="222222"/>
          <w:sz w:val="24"/>
          <w:szCs w:val="24"/>
          <w:shd w:val="clear" w:color="auto" w:fill="FFFFFF"/>
        </w:rPr>
        <w:t>, Zaza, et al. "Defining the differences between episodic migraine and chronic migraine." </w:t>
      </w:r>
      <w:r w:rsidRPr="00FA3F9C">
        <w:rPr>
          <w:rFonts w:ascii="Arial" w:hAnsi="Arial" w:cs="Arial"/>
          <w:i/>
          <w:iCs/>
          <w:color w:val="222222"/>
          <w:sz w:val="24"/>
          <w:szCs w:val="24"/>
          <w:shd w:val="clear" w:color="auto" w:fill="FFFFFF"/>
        </w:rPr>
        <w:t xml:space="preserve">Current pain and headache </w:t>
      </w:r>
      <w:proofErr w:type="gramStart"/>
      <w:r w:rsidRPr="00FA3F9C">
        <w:rPr>
          <w:rFonts w:ascii="Arial" w:hAnsi="Arial" w:cs="Arial"/>
          <w:i/>
          <w:iCs/>
          <w:color w:val="222222"/>
          <w:sz w:val="24"/>
          <w:szCs w:val="24"/>
          <w:shd w:val="clear" w:color="auto" w:fill="FFFFFF"/>
        </w:rPr>
        <w:t>reports</w:t>
      </w:r>
      <w:proofErr w:type="gramEnd"/>
      <w:r w:rsidRPr="00FA3F9C">
        <w:rPr>
          <w:rFonts w:ascii="Arial" w:hAnsi="Arial" w:cs="Arial"/>
          <w:color w:val="222222"/>
          <w:sz w:val="24"/>
          <w:szCs w:val="24"/>
          <w:shd w:val="clear" w:color="auto" w:fill="FFFFFF"/>
        </w:rPr>
        <w:t> 16.1 (2012): 86-92.</w:t>
      </w:r>
    </w:p>
    <w:p w14:paraId="7DB56D57" w14:textId="77777777" w:rsidR="002641D2" w:rsidRPr="00FA3F9C" w:rsidRDefault="002641D2" w:rsidP="002641D2">
      <w:pPr>
        <w:pStyle w:val="ListParagraph"/>
        <w:numPr>
          <w:ilvl w:val="0"/>
          <w:numId w:val="8"/>
        </w:numPr>
        <w:spacing w:after="0" w:line="240" w:lineRule="auto"/>
        <w:ind w:left="0" w:right="-180" w:firstLine="0"/>
        <w:rPr>
          <w:rFonts w:ascii="Arial" w:eastAsia="Times New Roman" w:hAnsi="Arial" w:cs="Arial"/>
          <w:sz w:val="24"/>
          <w:szCs w:val="24"/>
        </w:rPr>
      </w:pPr>
      <w:r w:rsidRPr="00FA3F9C">
        <w:rPr>
          <w:rFonts w:ascii="Arial" w:eastAsia="Times New Roman" w:hAnsi="Arial" w:cs="Arial"/>
          <w:color w:val="222222"/>
          <w:sz w:val="24"/>
          <w:szCs w:val="24"/>
          <w:shd w:val="clear" w:color="auto" w:fill="F8F8F8"/>
        </w:rPr>
        <w:t>ICER evidence report accessed 6/12/18.</w:t>
      </w:r>
    </w:p>
    <w:p w14:paraId="34309EB0" w14:textId="77777777" w:rsidR="002641D2" w:rsidRPr="00FA3F9C" w:rsidRDefault="002641D2" w:rsidP="002641D2">
      <w:pPr>
        <w:pStyle w:val="ListParagraph"/>
        <w:numPr>
          <w:ilvl w:val="0"/>
          <w:numId w:val="8"/>
        </w:numPr>
        <w:spacing w:after="0" w:line="240" w:lineRule="auto"/>
        <w:ind w:left="0" w:right="-180" w:firstLine="0"/>
        <w:rPr>
          <w:rFonts w:ascii="Arial" w:eastAsia="Times New Roman" w:hAnsi="Arial" w:cs="Arial"/>
          <w:sz w:val="24"/>
          <w:szCs w:val="24"/>
        </w:rPr>
      </w:pPr>
      <w:proofErr w:type="spellStart"/>
      <w:r w:rsidRPr="00FA3F9C">
        <w:rPr>
          <w:rFonts w:ascii="Arial" w:eastAsia="Times New Roman" w:hAnsi="Arial" w:cs="Arial"/>
          <w:color w:val="222222"/>
          <w:sz w:val="24"/>
          <w:szCs w:val="24"/>
          <w:shd w:val="clear" w:color="auto" w:fill="F8F8F8"/>
        </w:rPr>
        <w:t>Camporeale</w:t>
      </w:r>
      <w:proofErr w:type="spellEnd"/>
      <w:r w:rsidRPr="00FA3F9C">
        <w:rPr>
          <w:rFonts w:ascii="Arial" w:eastAsia="Times New Roman" w:hAnsi="Arial" w:cs="Arial"/>
          <w:color w:val="222222"/>
          <w:sz w:val="24"/>
          <w:szCs w:val="24"/>
          <w:shd w:val="clear" w:color="auto" w:fill="F8F8F8"/>
        </w:rPr>
        <w:t xml:space="preserve">, Angelo, et al. "A phase 3, long-term, open-label safety study of </w:t>
      </w:r>
      <w:proofErr w:type="spellStart"/>
      <w:r w:rsidRPr="00FA3F9C">
        <w:rPr>
          <w:rFonts w:ascii="Arial" w:eastAsia="Times New Roman" w:hAnsi="Arial" w:cs="Arial"/>
          <w:color w:val="222222"/>
          <w:sz w:val="24"/>
          <w:szCs w:val="24"/>
          <w:shd w:val="clear" w:color="auto" w:fill="F8F8F8"/>
        </w:rPr>
        <w:t>Galcanezumab</w:t>
      </w:r>
      <w:proofErr w:type="spellEnd"/>
      <w:r w:rsidRPr="00FA3F9C">
        <w:rPr>
          <w:rFonts w:ascii="Arial" w:eastAsia="Times New Roman" w:hAnsi="Arial" w:cs="Arial"/>
          <w:color w:val="222222"/>
          <w:sz w:val="24"/>
          <w:szCs w:val="24"/>
          <w:shd w:val="clear" w:color="auto" w:fill="F8F8F8"/>
        </w:rPr>
        <w:t xml:space="preserve"> in </w:t>
      </w:r>
      <w:proofErr w:type="gramStart"/>
      <w:r w:rsidRPr="00FA3F9C">
        <w:rPr>
          <w:rFonts w:ascii="Arial" w:eastAsia="Times New Roman" w:hAnsi="Arial" w:cs="Arial"/>
          <w:color w:val="222222"/>
          <w:sz w:val="24"/>
          <w:szCs w:val="24"/>
          <w:shd w:val="clear" w:color="auto" w:fill="F8F8F8"/>
        </w:rPr>
        <w:t>patients</w:t>
      </w:r>
      <w:proofErr w:type="gramEnd"/>
      <w:r w:rsidRPr="00FA3F9C">
        <w:rPr>
          <w:rFonts w:ascii="Arial" w:eastAsia="Times New Roman" w:hAnsi="Arial" w:cs="Arial"/>
          <w:color w:val="222222"/>
          <w:sz w:val="24"/>
          <w:szCs w:val="24"/>
          <w:shd w:val="clear" w:color="auto" w:fill="F8F8F8"/>
        </w:rPr>
        <w:t xml:space="preserve"> w/migraine." </w:t>
      </w:r>
      <w:r w:rsidRPr="00FA3F9C">
        <w:rPr>
          <w:rFonts w:ascii="Arial" w:eastAsia="Times New Roman" w:hAnsi="Arial" w:cs="Arial"/>
          <w:i/>
          <w:iCs/>
          <w:color w:val="222222"/>
          <w:sz w:val="24"/>
          <w:szCs w:val="24"/>
          <w:shd w:val="clear" w:color="auto" w:fill="F8F8F8"/>
        </w:rPr>
        <w:t>BMC neurology</w:t>
      </w:r>
      <w:r w:rsidRPr="00FA3F9C">
        <w:rPr>
          <w:rFonts w:ascii="Arial" w:eastAsia="Times New Roman" w:hAnsi="Arial" w:cs="Arial"/>
          <w:color w:val="222222"/>
          <w:sz w:val="24"/>
          <w:szCs w:val="24"/>
          <w:shd w:val="clear" w:color="auto" w:fill="F8F8F8"/>
        </w:rPr>
        <w:t> 18.1 (2018): 188.</w:t>
      </w:r>
    </w:p>
    <w:p w14:paraId="484497FC" w14:textId="77777777" w:rsidR="002641D2" w:rsidRPr="00FA3F9C" w:rsidRDefault="002641D2" w:rsidP="002641D2">
      <w:pPr>
        <w:pStyle w:val="ListParagraph"/>
        <w:numPr>
          <w:ilvl w:val="0"/>
          <w:numId w:val="8"/>
        </w:numPr>
        <w:spacing w:after="0" w:line="240" w:lineRule="auto"/>
        <w:ind w:left="0" w:firstLine="0"/>
        <w:rPr>
          <w:rFonts w:ascii="Arial" w:eastAsia="Times New Roman" w:hAnsi="Arial" w:cs="Arial"/>
          <w:sz w:val="24"/>
          <w:szCs w:val="24"/>
        </w:rPr>
      </w:pPr>
      <w:proofErr w:type="spellStart"/>
      <w:r w:rsidRPr="00FA3F9C">
        <w:rPr>
          <w:rFonts w:ascii="Arial" w:eastAsia="Times New Roman" w:hAnsi="Arial" w:cs="Arial"/>
          <w:color w:val="222222"/>
          <w:sz w:val="24"/>
          <w:szCs w:val="24"/>
          <w:shd w:val="clear" w:color="auto" w:fill="FFFFFF"/>
        </w:rPr>
        <w:t>Goadsby</w:t>
      </w:r>
      <w:proofErr w:type="spellEnd"/>
      <w:r w:rsidRPr="00FA3F9C">
        <w:rPr>
          <w:rFonts w:ascii="Arial" w:eastAsia="Times New Roman" w:hAnsi="Arial" w:cs="Arial"/>
          <w:color w:val="222222"/>
          <w:sz w:val="24"/>
          <w:szCs w:val="24"/>
          <w:shd w:val="clear" w:color="auto" w:fill="FFFFFF"/>
        </w:rPr>
        <w:t xml:space="preserve">, Peter J., et al. "Trial of </w:t>
      </w:r>
      <w:proofErr w:type="spellStart"/>
      <w:r w:rsidRPr="00FA3F9C">
        <w:rPr>
          <w:rFonts w:ascii="Arial" w:eastAsia="Times New Roman" w:hAnsi="Arial" w:cs="Arial"/>
          <w:color w:val="222222"/>
          <w:sz w:val="24"/>
          <w:szCs w:val="24"/>
          <w:shd w:val="clear" w:color="auto" w:fill="FFFFFF"/>
        </w:rPr>
        <w:t>galcanezumab</w:t>
      </w:r>
      <w:proofErr w:type="spellEnd"/>
      <w:r w:rsidRPr="00FA3F9C">
        <w:rPr>
          <w:rFonts w:ascii="Arial" w:eastAsia="Times New Roman" w:hAnsi="Arial" w:cs="Arial"/>
          <w:color w:val="222222"/>
          <w:sz w:val="24"/>
          <w:szCs w:val="24"/>
          <w:shd w:val="clear" w:color="auto" w:fill="FFFFFF"/>
        </w:rPr>
        <w:t xml:space="preserve"> in prevention of episodic cluster headache." </w:t>
      </w:r>
      <w:r w:rsidRPr="00FA3F9C">
        <w:rPr>
          <w:rFonts w:ascii="Arial" w:eastAsia="Times New Roman" w:hAnsi="Arial" w:cs="Arial"/>
          <w:i/>
          <w:iCs/>
          <w:color w:val="222222"/>
          <w:sz w:val="24"/>
          <w:szCs w:val="24"/>
          <w:shd w:val="clear" w:color="auto" w:fill="FFFFFF"/>
        </w:rPr>
        <w:t>New England Journal of Medicine</w:t>
      </w:r>
      <w:r w:rsidRPr="00FA3F9C">
        <w:rPr>
          <w:rFonts w:ascii="Arial" w:eastAsia="Times New Roman" w:hAnsi="Arial" w:cs="Arial"/>
          <w:color w:val="222222"/>
          <w:sz w:val="24"/>
          <w:szCs w:val="24"/>
          <w:shd w:val="clear" w:color="auto" w:fill="FFFFFF"/>
        </w:rPr>
        <w:t> 381.2 (2019): 132-141.</w:t>
      </w:r>
    </w:p>
    <w:p w14:paraId="0A87746B" w14:textId="77777777" w:rsidR="002641D2" w:rsidRPr="00FA3F9C" w:rsidRDefault="002641D2" w:rsidP="00B80B81">
      <w:pPr>
        <w:pStyle w:val="ListParagraph"/>
        <w:spacing w:after="0" w:line="240" w:lineRule="auto"/>
        <w:ind w:left="90" w:right="-180"/>
        <w:rPr>
          <w:rFonts w:ascii="Arial" w:eastAsia="Times New Roman" w:hAnsi="Arial" w:cs="Arial"/>
          <w:sz w:val="24"/>
          <w:szCs w:val="24"/>
        </w:rPr>
      </w:pPr>
    </w:p>
    <w:p w14:paraId="0989E67F" w14:textId="77777777" w:rsidR="002641D2" w:rsidRPr="00FA3F9C" w:rsidRDefault="002641D2" w:rsidP="003154F3">
      <w:pPr>
        <w:spacing w:after="0"/>
        <w:rPr>
          <w:rFonts w:ascii="Arial" w:hAnsi="Arial" w:cs="Arial"/>
          <w:sz w:val="24"/>
          <w:szCs w:val="24"/>
        </w:rPr>
      </w:pPr>
    </w:p>
    <w:p w14:paraId="097E19B0" w14:textId="77777777" w:rsidR="005E2908" w:rsidRDefault="002641D2" w:rsidP="005E2908">
      <w:pPr>
        <w:pStyle w:val="Heading2"/>
      </w:pPr>
      <w:bookmarkStart w:id="126" w:name="_Toc106369809"/>
      <w:proofErr w:type="spellStart"/>
      <w:r w:rsidRPr="00FA3F9C">
        <w:lastRenderedPageBreak/>
        <w:t>Gemtuzumab</w:t>
      </w:r>
      <w:proofErr w:type="spellEnd"/>
      <w:r w:rsidRPr="00FA3F9C">
        <w:t xml:space="preserve"> </w:t>
      </w:r>
      <w:proofErr w:type="spellStart"/>
      <w:r w:rsidRPr="00FA3F9C">
        <w:t>ozogamicin</w:t>
      </w:r>
      <w:proofErr w:type="spellEnd"/>
      <w:r w:rsidRPr="00FA3F9C">
        <w:t xml:space="preserve"> (</w:t>
      </w:r>
      <w:proofErr w:type="spellStart"/>
      <w:r w:rsidRPr="00FA3F9C">
        <w:t>Mylotarg</w:t>
      </w:r>
      <w:proofErr w:type="spellEnd"/>
      <w:r w:rsidRPr="00FA3F9C">
        <w:t>)</w:t>
      </w:r>
      <w:bookmarkEnd w:id="126"/>
      <w:r w:rsidRPr="00FA3F9C">
        <w:t xml:space="preserve"> </w:t>
      </w:r>
    </w:p>
    <w:p w14:paraId="59D4262F" w14:textId="15A58222" w:rsidR="002641D2" w:rsidRPr="005E2908" w:rsidRDefault="002641D2" w:rsidP="00091FAB">
      <w:pPr>
        <w:spacing w:after="0"/>
        <w:jc w:val="center"/>
        <w:rPr>
          <w:rFonts w:ascii="Arial" w:hAnsi="Arial" w:cs="Arial"/>
          <w:sz w:val="24"/>
          <w:szCs w:val="24"/>
          <w:lang w:val="es-ES"/>
        </w:rPr>
      </w:pPr>
      <w:r w:rsidRPr="005E2908">
        <w:rPr>
          <w:rFonts w:ascii="Arial" w:hAnsi="Arial" w:cs="Arial"/>
          <w:sz w:val="24"/>
          <w:szCs w:val="24"/>
          <w:lang w:val="es-ES"/>
        </w:rPr>
        <w:t xml:space="preserve">4.5 mg </w:t>
      </w:r>
      <w:proofErr w:type="spellStart"/>
      <w:r w:rsidRPr="005E2908">
        <w:rPr>
          <w:rFonts w:ascii="Arial" w:hAnsi="Arial" w:cs="Arial"/>
          <w:sz w:val="24"/>
          <w:szCs w:val="24"/>
          <w:lang w:val="es-ES"/>
        </w:rPr>
        <w:t>vials</w:t>
      </w:r>
      <w:proofErr w:type="spellEnd"/>
    </w:p>
    <w:p w14:paraId="3AC9C053" w14:textId="77777777" w:rsidR="002641D2" w:rsidRPr="005E2908" w:rsidRDefault="002641D2" w:rsidP="006F623F">
      <w:pPr>
        <w:spacing w:after="0"/>
        <w:jc w:val="center"/>
        <w:rPr>
          <w:rFonts w:ascii="Arial" w:hAnsi="Arial" w:cs="Arial"/>
          <w:sz w:val="24"/>
          <w:szCs w:val="24"/>
          <w:lang w:val="es-ES"/>
        </w:rPr>
      </w:pPr>
      <w:r w:rsidRPr="005E2908">
        <w:rPr>
          <w:rFonts w:ascii="Arial" w:hAnsi="Arial" w:cs="Arial"/>
          <w:sz w:val="24"/>
          <w:szCs w:val="24"/>
          <w:lang w:val="es-ES"/>
        </w:rPr>
        <w:t xml:space="preserve">EBRx PA </w:t>
      </w:r>
      <w:proofErr w:type="spellStart"/>
      <w:r w:rsidRPr="005E2908">
        <w:rPr>
          <w:rFonts w:ascii="Arial" w:hAnsi="Arial" w:cs="Arial"/>
          <w:sz w:val="24"/>
          <w:szCs w:val="24"/>
          <w:lang w:val="es-ES"/>
        </w:rPr>
        <w:t>Criteria</w:t>
      </w:r>
      <w:proofErr w:type="spellEnd"/>
    </w:p>
    <w:p w14:paraId="68E41587" w14:textId="77777777" w:rsidR="002641D2" w:rsidRPr="00FA3F9C" w:rsidRDefault="002641D2" w:rsidP="006F623F">
      <w:pPr>
        <w:spacing w:after="0"/>
        <w:jc w:val="center"/>
        <w:rPr>
          <w:rFonts w:ascii="Arial" w:hAnsi="Arial" w:cs="Arial"/>
          <w:sz w:val="24"/>
          <w:szCs w:val="24"/>
        </w:rPr>
      </w:pPr>
      <w:r w:rsidRPr="00FA3F9C">
        <w:rPr>
          <w:rFonts w:ascii="Arial" w:hAnsi="Arial" w:cs="Arial"/>
          <w:sz w:val="24"/>
          <w:szCs w:val="24"/>
        </w:rPr>
        <w:t>MEDICAL PRIOR AUTHORIZATION – EXCLUDED FROM PHARMACY</w:t>
      </w:r>
    </w:p>
    <w:p w14:paraId="111AD308" w14:textId="77777777" w:rsidR="002641D2" w:rsidRPr="00FA3F9C" w:rsidRDefault="002641D2" w:rsidP="006F623F">
      <w:pPr>
        <w:spacing w:after="0"/>
        <w:rPr>
          <w:rFonts w:ascii="Arial" w:hAnsi="Arial" w:cs="Arial"/>
          <w:b/>
          <w:sz w:val="24"/>
          <w:szCs w:val="24"/>
          <w:u w:val="single"/>
        </w:rPr>
      </w:pPr>
    </w:p>
    <w:p w14:paraId="4D1E9E77" w14:textId="77777777" w:rsidR="002641D2" w:rsidRPr="00FA3F9C" w:rsidRDefault="002641D2" w:rsidP="006F623F">
      <w:pPr>
        <w:spacing w:after="0"/>
        <w:rPr>
          <w:rFonts w:ascii="Arial" w:hAnsi="Arial" w:cs="Arial"/>
          <w:sz w:val="24"/>
          <w:szCs w:val="24"/>
        </w:rPr>
      </w:pPr>
      <w:r w:rsidRPr="00FA3F9C">
        <w:rPr>
          <w:rFonts w:ascii="Arial" w:hAnsi="Arial" w:cs="Arial"/>
          <w:b/>
          <w:sz w:val="24"/>
          <w:szCs w:val="24"/>
          <w:u w:val="single"/>
        </w:rPr>
        <w:t>is FDA-approved for:</w:t>
      </w:r>
    </w:p>
    <w:p w14:paraId="2AB21CCA" w14:textId="77777777" w:rsidR="002641D2" w:rsidRPr="00FA3F9C" w:rsidRDefault="002641D2" w:rsidP="002641D2">
      <w:pPr>
        <w:pStyle w:val="ListParagraph"/>
        <w:numPr>
          <w:ilvl w:val="0"/>
          <w:numId w:val="221"/>
        </w:numPr>
        <w:spacing w:after="0" w:line="276" w:lineRule="auto"/>
        <w:rPr>
          <w:rFonts w:ascii="Arial" w:hAnsi="Arial" w:cs="Arial"/>
          <w:sz w:val="24"/>
          <w:szCs w:val="24"/>
        </w:rPr>
      </w:pPr>
      <w:r w:rsidRPr="00FA3F9C">
        <w:rPr>
          <w:rFonts w:ascii="Arial" w:hAnsi="Arial" w:cs="Arial"/>
          <w:sz w:val="24"/>
          <w:szCs w:val="24"/>
        </w:rPr>
        <w:t xml:space="preserve">Treatment of </w:t>
      </w:r>
      <w:proofErr w:type="gramStart"/>
      <w:r w:rsidRPr="00FA3F9C">
        <w:rPr>
          <w:rFonts w:ascii="Arial" w:hAnsi="Arial" w:cs="Arial"/>
          <w:sz w:val="24"/>
          <w:szCs w:val="24"/>
        </w:rPr>
        <w:t>newly-diagnosed</w:t>
      </w:r>
      <w:proofErr w:type="gramEnd"/>
      <w:r w:rsidRPr="00FA3F9C">
        <w:rPr>
          <w:rFonts w:ascii="Arial" w:hAnsi="Arial" w:cs="Arial"/>
          <w:sz w:val="24"/>
          <w:szCs w:val="24"/>
        </w:rPr>
        <w:t xml:space="preserve"> CD33-positive acute myeloid leukemia (AML) </w:t>
      </w:r>
    </w:p>
    <w:p w14:paraId="0E0737E5" w14:textId="77777777" w:rsidR="002641D2" w:rsidRPr="00FA3F9C" w:rsidRDefault="002641D2" w:rsidP="002641D2">
      <w:pPr>
        <w:pStyle w:val="ListParagraph"/>
        <w:numPr>
          <w:ilvl w:val="1"/>
          <w:numId w:val="221"/>
        </w:numPr>
        <w:spacing w:after="0" w:line="276" w:lineRule="auto"/>
        <w:rPr>
          <w:rFonts w:ascii="Arial" w:hAnsi="Arial" w:cs="Arial"/>
          <w:sz w:val="24"/>
          <w:szCs w:val="24"/>
        </w:rPr>
      </w:pPr>
      <w:r w:rsidRPr="00FA3F9C">
        <w:rPr>
          <w:rFonts w:ascii="Arial" w:hAnsi="Arial" w:cs="Arial"/>
          <w:sz w:val="24"/>
          <w:szCs w:val="24"/>
        </w:rPr>
        <w:t>In combination with daunorubicin and cytarabine (</w:t>
      </w:r>
      <w:r w:rsidRPr="00FA3F9C">
        <w:rPr>
          <w:rFonts w:ascii="Arial" w:hAnsi="Arial" w:cs="Arial"/>
          <w:b/>
          <w:sz w:val="24"/>
          <w:szCs w:val="24"/>
          <w:highlight w:val="cyan"/>
        </w:rPr>
        <w:t>CURRENTLY ONLY COVERED INDICATION</w:t>
      </w:r>
      <w:r w:rsidRPr="00FA3F9C">
        <w:rPr>
          <w:rFonts w:ascii="Arial" w:hAnsi="Arial" w:cs="Arial"/>
          <w:sz w:val="24"/>
          <w:szCs w:val="24"/>
        </w:rPr>
        <w:t>)</w:t>
      </w:r>
    </w:p>
    <w:p w14:paraId="45F7FCBF" w14:textId="77777777" w:rsidR="002641D2" w:rsidRPr="00FA3F9C" w:rsidRDefault="002641D2" w:rsidP="00E75B9A">
      <w:pPr>
        <w:pStyle w:val="ListParagraph"/>
        <w:spacing w:after="0"/>
        <w:ind w:left="1440"/>
        <w:rPr>
          <w:rFonts w:ascii="Arial" w:hAnsi="Arial" w:cs="Arial"/>
          <w:sz w:val="24"/>
          <w:szCs w:val="24"/>
        </w:rPr>
      </w:pPr>
      <w:r w:rsidRPr="00FA3F9C">
        <w:rPr>
          <w:rFonts w:ascii="Arial" w:hAnsi="Arial" w:cs="Arial"/>
          <w:b/>
          <w:sz w:val="24"/>
          <w:szCs w:val="24"/>
          <w:u w:val="single"/>
        </w:rPr>
        <w:t xml:space="preserve">OR </w:t>
      </w:r>
    </w:p>
    <w:p w14:paraId="55A7F9D6" w14:textId="77777777" w:rsidR="002641D2" w:rsidRPr="00FA3F9C" w:rsidRDefault="002641D2" w:rsidP="002641D2">
      <w:pPr>
        <w:pStyle w:val="ListParagraph"/>
        <w:numPr>
          <w:ilvl w:val="1"/>
          <w:numId w:val="221"/>
        </w:numPr>
        <w:spacing w:after="0" w:line="276" w:lineRule="auto"/>
        <w:rPr>
          <w:rFonts w:ascii="Arial" w:hAnsi="Arial" w:cs="Arial"/>
          <w:sz w:val="24"/>
          <w:szCs w:val="24"/>
        </w:rPr>
      </w:pPr>
      <w:r w:rsidRPr="00FA3F9C">
        <w:rPr>
          <w:rFonts w:ascii="Arial" w:hAnsi="Arial" w:cs="Arial"/>
          <w:sz w:val="24"/>
          <w:szCs w:val="24"/>
        </w:rPr>
        <w:t xml:space="preserve">As monotherapy </w:t>
      </w:r>
      <w:r w:rsidRPr="00FA3F9C">
        <w:rPr>
          <w:rFonts w:ascii="Arial" w:hAnsi="Arial" w:cs="Arial"/>
          <w:sz w:val="24"/>
          <w:szCs w:val="24"/>
          <w:highlight w:val="yellow"/>
        </w:rPr>
        <w:t>NOT COVERED</w:t>
      </w:r>
      <w:r w:rsidRPr="00FA3F9C">
        <w:rPr>
          <w:rFonts w:ascii="Arial" w:hAnsi="Arial" w:cs="Arial"/>
          <w:sz w:val="24"/>
          <w:szCs w:val="24"/>
        </w:rPr>
        <w:t xml:space="preserve"> (see </w:t>
      </w:r>
      <w:proofErr w:type="spellStart"/>
      <w:r w:rsidRPr="00FA3F9C">
        <w:rPr>
          <w:rFonts w:ascii="Arial" w:hAnsi="Arial" w:cs="Arial"/>
          <w:sz w:val="24"/>
          <w:szCs w:val="24"/>
        </w:rPr>
        <w:t>venetoclax</w:t>
      </w:r>
      <w:proofErr w:type="spellEnd"/>
      <w:r w:rsidRPr="00FA3F9C">
        <w:rPr>
          <w:rFonts w:ascii="Arial" w:hAnsi="Arial" w:cs="Arial"/>
          <w:sz w:val="24"/>
          <w:szCs w:val="24"/>
        </w:rPr>
        <w:t xml:space="preserve">, </w:t>
      </w:r>
      <w:proofErr w:type="spellStart"/>
      <w:r w:rsidRPr="00FA3F9C">
        <w:rPr>
          <w:rFonts w:ascii="Arial" w:hAnsi="Arial" w:cs="Arial"/>
          <w:sz w:val="24"/>
          <w:szCs w:val="24"/>
        </w:rPr>
        <w:t>glasdegib</w:t>
      </w:r>
      <w:proofErr w:type="spellEnd"/>
      <w:r w:rsidRPr="00FA3F9C">
        <w:rPr>
          <w:rFonts w:ascii="Arial" w:hAnsi="Arial" w:cs="Arial"/>
          <w:sz w:val="24"/>
          <w:szCs w:val="24"/>
        </w:rPr>
        <w:t xml:space="preserve">) in older adults not suited for intensive chemotherapy, overall survival benefit over best supportive care (transfusion, hydroxyurea) was minimal (median 4.9 </w:t>
      </w:r>
      <w:proofErr w:type="spellStart"/>
      <w:r w:rsidRPr="00FA3F9C">
        <w:rPr>
          <w:rFonts w:ascii="Arial" w:hAnsi="Arial" w:cs="Arial"/>
          <w:sz w:val="24"/>
          <w:szCs w:val="24"/>
        </w:rPr>
        <w:t>mo</w:t>
      </w:r>
      <w:proofErr w:type="spellEnd"/>
      <w:r w:rsidRPr="00FA3F9C">
        <w:rPr>
          <w:rFonts w:ascii="Arial" w:hAnsi="Arial" w:cs="Arial"/>
          <w:sz w:val="24"/>
          <w:szCs w:val="24"/>
        </w:rPr>
        <w:t xml:space="preserve"> vs 3.6 </w:t>
      </w:r>
      <w:proofErr w:type="spellStart"/>
      <w:r w:rsidRPr="00FA3F9C">
        <w:rPr>
          <w:rFonts w:ascii="Arial" w:hAnsi="Arial" w:cs="Arial"/>
          <w:sz w:val="24"/>
          <w:szCs w:val="24"/>
        </w:rPr>
        <w:t>mo</w:t>
      </w:r>
      <w:proofErr w:type="spellEnd"/>
      <w:r w:rsidRPr="00FA3F9C">
        <w:rPr>
          <w:rFonts w:ascii="Arial" w:hAnsi="Arial" w:cs="Arial"/>
          <w:sz w:val="24"/>
          <w:szCs w:val="24"/>
        </w:rPr>
        <w:t xml:space="preserve">). Complete response (CR) rate with </w:t>
      </w:r>
      <w:proofErr w:type="spellStart"/>
      <w:r w:rsidRPr="00FA3F9C">
        <w:rPr>
          <w:rFonts w:ascii="Arial" w:hAnsi="Arial" w:cs="Arial"/>
          <w:sz w:val="24"/>
          <w:szCs w:val="24"/>
        </w:rPr>
        <w:t>gemtuzumab</w:t>
      </w:r>
      <w:proofErr w:type="spellEnd"/>
      <w:r w:rsidRPr="00FA3F9C">
        <w:rPr>
          <w:rFonts w:ascii="Arial" w:hAnsi="Arial" w:cs="Arial"/>
          <w:sz w:val="24"/>
          <w:szCs w:val="24"/>
        </w:rPr>
        <w:t xml:space="preserve"> was also low at 8.1%. Other therapies have longer overall survival and higher CR rates (</w:t>
      </w:r>
      <w:proofErr w:type="gramStart"/>
      <w:r w:rsidRPr="00FA3F9C">
        <w:rPr>
          <w:rFonts w:ascii="Arial" w:hAnsi="Arial" w:cs="Arial"/>
          <w:sz w:val="24"/>
          <w:szCs w:val="24"/>
        </w:rPr>
        <w:t>e.g.</w:t>
      </w:r>
      <w:proofErr w:type="gramEnd"/>
      <w:r w:rsidRPr="00FA3F9C">
        <w:rPr>
          <w:rFonts w:ascii="Arial" w:hAnsi="Arial" w:cs="Arial"/>
          <w:sz w:val="24"/>
          <w:szCs w:val="24"/>
        </w:rPr>
        <w:t xml:space="preserve"> decitabine or </w:t>
      </w:r>
      <w:proofErr w:type="spellStart"/>
      <w:r w:rsidRPr="00FA3F9C">
        <w:rPr>
          <w:rFonts w:ascii="Arial" w:hAnsi="Arial" w:cs="Arial"/>
          <w:sz w:val="24"/>
          <w:szCs w:val="24"/>
        </w:rPr>
        <w:t>azacitidine</w:t>
      </w:r>
      <w:proofErr w:type="spellEnd"/>
      <w:r w:rsidRPr="00FA3F9C">
        <w:rPr>
          <w:rFonts w:ascii="Arial" w:hAnsi="Arial" w:cs="Arial"/>
          <w:sz w:val="24"/>
          <w:szCs w:val="24"/>
        </w:rPr>
        <w:t xml:space="preserve"> with or without </w:t>
      </w:r>
      <w:proofErr w:type="spellStart"/>
      <w:r w:rsidRPr="00FA3F9C">
        <w:rPr>
          <w:rFonts w:ascii="Arial" w:hAnsi="Arial" w:cs="Arial"/>
          <w:sz w:val="24"/>
          <w:szCs w:val="24"/>
        </w:rPr>
        <w:t>venetoclax</w:t>
      </w:r>
      <w:proofErr w:type="spellEnd"/>
      <w:r w:rsidRPr="00FA3F9C">
        <w:rPr>
          <w:rFonts w:ascii="Arial" w:hAnsi="Arial" w:cs="Arial"/>
          <w:sz w:val="24"/>
          <w:szCs w:val="24"/>
        </w:rPr>
        <w:t xml:space="preserve">, </w:t>
      </w:r>
      <w:proofErr w:type="spellStart"/>
      <w:r w:rsidRPr="00FA3F9C">
        <w:rPr>
          <w:rFonts w:ascii="Arial" w:hAnsi="Arial" w:cs="Arial"/>
          <w:sz w:val="24"/>
          <w:szCs w:val="24"/>
        </w:rPr>
        <w:t>glasdegib</w:t>
      </w:r>
      <w:proofErr w:type="spellEnd"/>
      <w:r w:rsidRPr="00FA3F9C">
        <w:rPr>
          <w:rFonts w:ascii="Arial" w:hAnsi="Arial" w:cs="Arial"/>
          <w:sz w:val="24"/>
          <w:szCs w:val="24"/>
        </w:rPr>
        <w:t xml:space="preserve">). </w:t>
      </w:r>
    </w:p>
    <w:p w14:paraId="28286767" w14:textId="77777777" w:rsidR="002641D2" w:rsidRPr="00FA3F9C" w:rsidRDefault="002641D2" w:rsidP="00DA655F">
      <w:pPr>
        <w:spacing w:after="0" w:line="240" w:lineRule="auto"/>
        <w:ind w:left="1440"/>
        <w:rPr>
          <w:rFonts w:ascii="Arial" w:hAnsi="Arial" w:cs="Arial"/>
          <w:sz w:val="24"/>
          <w:szCs w:val="24"/>
        </w:rPr>
      </w:pPr>
      <w:r w:rsidRPr="00FA3F9C">
        <w:rPr>
          <w:rFonts w:ascii="Arial" w:hAnsi="Arial" w:cs="Arial"/>
          <w:sz w:val="24"/>
          <w:szCs w:val="24"/>
        </w:rPr>
        <w:t xml:space="preserve">Reference: </w:t>
      </w:r>
      <w:proofErr w:type="spellStart"/>
      <w:r w:rsidRPr="00FA3F9C">
        <w:rPr>
          <w:rFonts w:ascii="Arial" w:hAnsi="Arial" w:cs="Arial"/>
          <w:sz w:val="24"/>
          <w:szCs w:val="24"/>
        </w:rPr>
        <w:t>Amadori</w:t>
      </w:r>
      <w:proofErr w:type="spellEnd"/>
      <w:r w:rsidRPr="00FA3F9C">
        <w:rPr>
          <w:rFonts w:ascii="Arial" w:hAnsi="Arial" w:cs="Arial"/>
          <w:sz w:val="24"/>
          <w:szCs w:val="24"/>
        </w:rPr>
        <w:t xml:space="preserve"> S et al. </w:t>
      </w:r>
      <w:proofErr w:type="spellStart"/>
      <w:r w:rsidRPr="00FA3F9C">
        <w:rPr>
          <w:rFonts w:ascii="Arial" w:hAnsi="Arial" w:cs="Arial"/>
          <w:sz w:val="24"/>
          <w:szCs w:val="24"/>
        </w:rPr>
        <w:t>Gemtuzumab</w:t>
      </w:r>
      <w:proofErr w:type="spellEnd"/>
      <w:r w:rsidRPr="00FA3F9C">
        <w:rPr>
          <w:rFonts w:ascii="Arial" w:hAnsi="Arial" w:cs="Arial"/>
          <w:sz w:val="24"/>
          <w:szCs w:val="24"/>
        </w:rPr>
        <w:t xml:space="preserve"> </w:t>
      </w:r>
      <w:proofErr w:type="spellStart"/>
      <w:r w:rsidRPr="00FA3F9C">
        <w:rPr>
          <w:rFonts w:ascii="Arial" w:hAnsi="Arial" w:cs="Arial"/>
          <w:sz w:val="24"/>
          <w:szCs w:val="24"/>
        </w:rPr>
        <w:t>Ozogamicin</w:t>
      </w:r>
      <w:proofErr w:type="spellEnd"/>
      <w:r w:rsidRPr="00FA3F9C">
        <w:rPr>
          <w:rFonts w:ascii="Arial" w:hAnsi="Arial" w:cs="Arial"/>
          <w:sz w:val="24"/>
          <w:szCs w:val="24"/>
        </w:rPr>
        <w:t xml:space="preserve"> Versus Best Supportive Care in Older Patients </w:t>
      </w:r>
      <w:proofErr w:type="gramStart"/>
      <w:r w:rsidRPr="00FA3F9C">
        <w:rPr>
          <w:rFonts w:ascii="Arial" w:hAnsi="Arial" w:cs="Arial"/>
          <w:sz w:val="24"/>
          <w:szCs w:val="24"/>
        </w:rPr>
        <w:t>With</w:t>
      </w:r>
      <w:proofErr w:type="gramEnd"/>
      <w:r w:rsidRPr="00FA3F9C">
        <w:rPr>
          <w:rFonts w:ascii="Arial" w:hAnsi="Arial" w:cs="Arial"/>
          <w:sz w:val="24"/>
          <w:szCs w:val="24"/>
        </w:rPr>
        <w:t xml:space="preserve"> Newly Diagnosed Acute Myeloid Leukemia Unsuitable for Intensive Chemotherapy: Results of the Randomized Phase III EORTC-GIMEMA AML-19 Trial. J Clin Oncol. 2016 Mar 20;34(9):972-9. PMID 26811524</w:t>
      </w:r>
    </w:p>
    <w:p w14:paraId="31139A09" w14:textId="77777777" w:rsidR="002641D2" w:rsidRPr="00FA3F9C" w:rsidRDefault="002641D2" w:rsidP="002641D2">
      <w:pPr>
        <w:pStyle w:val="ListParagraph"/>
        <w:numPr>
          <w:ilvl w:val="0"/>
          <w:numId w:val="221"/>
        </w:numPr>
        <w:spacing w:after="0" w:line="276" w:lineRule="auto"/>
        <w:rPr>
          <w:rFonts w:ascii="Arial" w:hAnsi="Arial" w:cs="Arial"/>
          <w:sz w:val="24"/>
          <w:szCs w:val="24"/>
        </w:rPr>
      </w:pPr>
      <w:r w:rsidRPr="00FA3F9C">
        <w:rPr>
          <w:rFonts w:ascii="Arial" w:hAnsi="Arial" w:cs="Arial"/>
          <w:sz w:val="24"/>
          <w:szCs w:val="24"/>
        </w:rPr>
        <w:t xml:space="preserve">Treatment of relapsed or refractory CD33-positive AML in adults and in pediatric patients 2 years and older </w:t>
      </w:r>
      <w:r w:rsidRPr="00FA3F9C">
        <w:rPr>
          <w:rFonts w:ascii="Arial" w:hAnsi="Arial" w:cs="Arial"/>
          <w:sz w:val="24"/>
          <w:szCs w:val="24"/>
          <w:highlight w:val="yellow"/>
        </w:rPr>
        <w:t>NOT COVERED</w:t>
      </w:r>
      <w:r w:rsidRPr="00FA3F9C">
        <w:rPr>
          <w:rFonts w:ascii="Arial" w:hAnsi="Arial" w:cs="Arial"/>
          <w:sz w:val="24"/>
          <w:szCs w:val="24"/>
        </w:rPr>
        <w:t>. Data limited to a single arm, phase II trial (</w:t>
      </w:r>
      <w:proofErr w:type="spellStart"/>
      <w:r w:rsidRPr="00FA3F9C">
        <w:rPr>
          <w:rFonts w:ascii="Arial" w:hAnsi="Arial" w:cs="Arial"/>
          <w:sz w:val="24"/>
          <w:szCs w:val="24"/>
        </w:rPr>
        <w:t>Taksin</w:t>
      </w:r>
      <w:proofErr w:type="spellEnd"/>
      <w:r w:rsidRPr="00FA3F9C">
        <w:rPr>
          <w:rFonts w:ascii="Arial" w:hAnsi="Arial" w:cs="Arial"/>
          <w:sz w:val="24"/>
          <w:szCs w:val="24"/>
        </w:rPr>
        <w:t xml:space="preserve"> AL et al. High efficacy and safety profile of fractionated doses of </w:t>
      </w:r>
      <w:proofErr w:type="spellStart"/>
      <w:r w:rsidRPr="00FA3F9C">
        <w:rPr>
          <w:rFonts w:ascii="Arial" w:hAnsi="Arial" w:cs="Arial"/>
          <w:sz w:val="24"/>
          <w:szCs w:val="24"/>
        </w:rPr>
        <w:t>Mylotarg</w:t>
      </w:r>
      <w:proofErr w:type="spellEnd"/>
      <w:r w:rsidRPr="00FA3F9C">
        <w:rPr>
          <w:rFonts w:ascii="Arial" w:hAnsi="Arial" w:cs="Arial"/>
          <w:sz w:val="24"/>
          <w:szCs w:val="24"/>
        </w:rPr>
        <w:t xml:space="preserve"> as induction therapy in patients with relapsed acute myeloblastic leukemia: a prospective study of the alfa group. Leukemia. 2007 Jan;21(1):66-71. PMID 17051246)  </w:t>
      </w:r>
    </w:p>
    <w:p w14:paraId="580906E9" w14:textId="77777777" w:rsidR="002641D2" w:rsidRPr="00FA3F9C" w:rsidRDefault="002641D2" w:rsidP="00A2767E">
      <w:pPr>
        <w:spacing w:after="0"/>
        <w:rPr>
          <w:rFonts w:ascii="Arial" w:hAnsi="Arial" w:cs="Arial"/>
          <w:sz w:val="24"/>
          <w:szCs w:val="24"/>
          <w:highlight w:val="yellow"/>
        </w:rPr>
      </w:pPr>
    </w:p>
    <w:tbl>
      <w:tblPr>
        <w:tblStyle w:val="TableGrid"/>
        <w:tblW w:w="11028" w:type="dxa"/>
        <w:tblLook w:val="04A0" w:firstRow="1" w:lastRow="0" w:firstColumn="1" w:lastColumn="0" w:noHBand="0" w:noVBand="1"/>
      </w:tblPr>
      <w:tblGrid>
        <w:gridCol w:w="11028"/>
      </w:tblGrid>
      <w:tr w:rsidR="002641D2" w:rsidRPr="00FA3F9C" w14:paraId="5873A9EB" w14:textId="77777777" w:rsidTr="00D44740">
        <w:trPr>
          <w:trHeight w:val="268"/>
        </w:trPr>
        <w:tc>
          <w:tcPr>
            <w:tcW w:w="11028" w:type="dxa"/>
            <w:shd w:val="clear" w:color="auto" w:fill="000000"/>
          </w:tcPr>
          <w:p w14:paraId="6D5B08F6" w14:textId="77777777" w:rsidR="002641D2" w:rsidRPr="00FA3F9C" w:rsidRDefault="002641D2" w:rsidP="00571CAB">
            <w:pPr>
              <w:rPr>
                <w:rFonts w:ascii="Arial" w:hAnsi="Arial" w:cs="Arial"/>
                <w:b/>
                <w:sz w:val="24"/>
                <w:szCs w:val="24"/>
                <w:u w:val="single"/>
              </w:rPr>
            </w:pPr>
            <w:r w:rsidRPr="00FA3F9C">
              <w:rPr>
                <w:rFonts w:ascii="Arial" w:hAnsi="Arial" w:cs="Arial"/>
                <w:b/>
                <w:sz w:val="24"/>
                <w:szCs w:val="24"/>
                <w:u w:val="single"/>
              </w:rPr>
              <w:t>Criteria for new users</w:t>
            </w:r>
          </w:p>
        </w:tc>
      </w:tr>
      <w:tr w:rsidR="002641D2" w:rsidRPr="00FA3F9C" w14:paraId="7C0D3767" w14:textId="77777777" w:rsidTr="00D44740">
        <w:trPr>
          <w:trHeight w:val="253"/>
        </w:trPr>
        <w:tc>
          <w:tcPr>
            <w:tcW w:w="11028" w:type="dxa"/>
          </w:tcPr>
          <w:p w14:paraId="684A9394" w14:textId="77777777" w:rsidR="002641D2" w:rsidRPr="00FA3F9C" w:rsidRDefault="002641D2" w:rsidP="002641D2">
            <w:pPr>
              <w:pStyle w:val="ListParagraph"/>
              <w:numPr>
                <w:ilvl w:val="0"/>
                <w:numId w:val="136"/>
              </w:numPr>
              <w:rPr>
                <w:rFonts w:ascii="Arial" w:hAnsi="Arial" w:cs="Arial"/>
                <w:sz w:val="24"/>
                <w:szCs w:val="24"/>
              </w:rPr>
            </w:pPr>
            <w:r w:rsidRPr="00FA3F9C">
              <w:rPr>
                <w:rFonts w:ascii="Arial" w:hAnsi="Arial" w:cs="Arial"/>
                <w:sz w:val="24"/>
                <w:szCs w:val="24"/>
              </w:rPr>
              <w:t xml:space="preserve">The patient </w:t>
            </w:r>
            <w:r w:rsidRPr="00FA3F9C">
              <w:rPr>
                <w:rFonts w:ascii="Arial" w:hAnsi="Arial" w:cs="Arial"/>
                <w:b/>
                <w:sz w:val="24"/>
                <w:szCs w:val="24"/>
              </w:rPr>
              <w:t>must have</w:t>
            </w:r>
            <w:r w:rsidRPr="00FA3F9C">
              <w:rPr>
                <w:rFonts w:ascii="Arial" w:hAnsi="Arial" w:cs="Arial"/>
                <w:sz w:val="24"/>
                <w:szCs w:val="24"/>
              </w:rPr>
              <w:t xml:space="preserve"> a diagnosis of acute myeloid leukemia (AML) and fulfill </w:t>
            </w:r>
            <w:proofErr w:type="gramStart"/>
            <w:r w:rsidRPr="00FA3F9C">
              <w:rPr>
                <w:rFonts w:ascii="Arial" w:hAnsi="Arial" w:cs="Arial"/>
                <w:sz w:val="24"/>
                <w:szCs w:val="24"/>
              </w:rPr>
              <w:t>all of</w:t>
            </w:r>
            <w:proofErr w:type="gramEnd"/>
            <w:r w:rsidRPr="00FA3F9C">
              <w:rPr>
                <w:rFonts w:ascii="Arial" w:hAnsi="Arial" w:cs="Arial"/>
                <w:sz w:val="24"/>
                <w:szCs w:val="24"/>
              </w:rPr>
              <w:t xml:space="preserve"> the following criteria:</w:t>
            </w:r>
          </w:p>
          <w:p w14:paraId="100C9499" w14:textId="77777777" w:rsidR="002641D2" w:rsidRPr="00FA3F9C" w:rsidRDefault="002641D2" w:rsidP="002641D2">
            <w:pPr>
              <w:pStyle w:val="ListParagraph"/>
              <w:numPr>
                <w:ilvl w:val="0"/>
                <w:numId w:val="137"/>
              </w:numPr>
              <w:rPr>
                <w:rFonts w:ascii="Arial" w:hAnsi="Arial" w:cs="Arial"/>
                <w:sz w:val="24"/>
                <w:szCs w:val="24"/>
              </w:rPr>
            </w:pPr>
            <w:r w:rsidRPr="00FA3F9C">
              <w:rPr>
                <w:rFonts w:ascii="Arial" w:hAnsi="Arial" w:cs="Arial"/>
                <w:sz w:val="24"/>
                <w:szCs w:val="24"/>
              </w:rPr>
              <w:t>AML is previously untreated.</w:t>
            </w:r>
          </w:p>
          <w:p w14:paraId="4DAD6069" w14:textId="77777777" w:rsidR="002641D2" w:rsidRPr="00FA3F9C" w:rsidRDefault="002641D2" w:rsidP="002641D2">
            <w:pPr>
              <w:pStyle w:val="ListParagraph"/>
              <w:numPr>
                <w:ilvl w:val="0"/>
                <w:numId w:val="137"/>
              </w:numPr>
              <w:rPr>
                <w:rFonts w:ascii="Arial" w:hAnsi="Arial" w:cs="Arial"/>
                <w:sz w:val="24"/>
                <w:szCs w:val="24"/>
              </w:rPr>
            </w:pPr>
            <w:r w:rsidRPr="00FA3F9C">
              <w:rPr>
                <w:rFonts w:ascii="Arial" w:hAnsi="Arial" w:cs="Arial"/>
                <w:sz w:val="24"/>
                <w:szCs w:val="24"/>
              </w:rPr>
              <w:t>Pt does not have diagnosis of acute promyelocytic leukemia (aka APL or M3 AML)</w:t>
            </w:r>
          </w:p>
          <w:p w14:paraId="0F588A24" w14:textId="77777777" w:rsidR="002641D2" w:rsidRPr="00FA3F9C" w:rsidRDefault="002641D2" w:rsidP="002641D2">
            <w:pPr>
              <w:pStyle w:val="ListParagraph"/>
              <w:numPr>
                <w:ilvl w:val="0"/>
                <w:numId w:val="137"/>
              </w:numPr>
              <w:rPr>
                <w:rFonts w:ascii="Arial" w:hAnsi="Arial" w:cs="Arial"/>
                <w:sz w:val="24"/>
                <w:szCs w:val="24"/>
              </w:rPr>
            </w:pPr>
            <w:r w:rsidRPr="00FA3F9C">
              <w:rPr>
                <w:rFonts w:ascii="Arial" w:hAnsi="Arial" w:cs="Arial"/>
                <w:sz w:val="24"/>
                <w:szCs w:val="24"/>
              </w:rPr>
              <w:t xml:space="preserve">AML is not therapy related or myelodysplastic syndrome (MDS)-related </w:t>
            </w:r>
          </w:p>
          <w:p w14:paraId="52B8536E" w14:textId="77777777" w:rsidR="002641D2" w:rsidRPr="00FA3F9C" w:rsidRDefault="002641D2" w:rsidP="002641D2">
            <w:pPr>
              <w:pStyle w:val="ListParagraph"/>
              <w:numPr>
                <w:ilvl w:val="0"/>
                <w:numId w:val="137"/>
              </w:numPr>
              <w:rPr>
                <w:rFonts w:ascii="Arial" w:hAnsi="Arial" w:cs="Arial"/>
                <w:sz w:val="24"/>
                <w:szCs w:val="24"/>
              </w:rPr>
            </w:pPr>
            <w:r w:rsidRPr="00FA3F9C">
              <w:rPr>
                <w:rFonts w:ascii="Arial" w:hAnsi="Arial" w:cs="Arial"/>
                <w:sz w:val="24"/>
                <w:szCs w:val="24"/>
              </w:rPr>
              <w:t>Cytogenetic risk is favorable or intermediate (not poor risk; see below for definitions)</w:t>
            </w:r>
          </w:p>
          <w:p w14:paraId="04658053" w14:textId="77777777" w:rsidR="002641D2" w:rsidRPr="00FA3F9C" w:rsidRDefault="002641D2" w:rsidP="002641D2">
            <w:pPr>
              <w:pStyle w:val="ListParagraph"/>
              <w:numPr>
                <w:ilvl w:val="0"/>
                <w:numId w:val="137"/>
              </w:numPr>
              <w:rPr>
                <w:rFonts w:ascii="Arial" w:hAnsi="Arial" w:cs="Arial"/>
                <w:sz w:val="24"/>
                <w:szCs w:val="24"/>
              </w:rPr>
            </w:pPr>
            <w:r w:rsidRPr="00FA3F9C">
              <w:rPr>
                <w:rFonts w:ascii="Arial" w:hAnsi="Arial" w:cs="Arial"/>
                <w:sz w:val="24"/>
                <w:szCs w:val="24"/>
              </w:rPr>
              <w:t>AML blasts express CD33 (CD33-positive AML)</w:t>
            </w:r>
          </w:p>
          <w:p w14:paraId="44F8B011" w14:textId="77777777" w:rsidR="002641D2" w:rsidRPr="00FA3F9C" w:rsidRDefault="002641D2" w:rsidP="002641D2">
            <w:pPr>
              <w:pStyle w:val="ListParagraph"/>
              <w:numPr>
                <w:ilvl w:val="0"/>
                <w:numId w:val="137"/>
              </w:numPr>
              <w:rPr>
                <w:rFonts w:ascii="Arial" w:hAnsi="Arial" w:cs="Arial"/>
                <w:sz w:val="24"/>
                <w:szCs w:val="24"/>
              </w:rPr>
            </w:pPr>
            <w:r w:rsidRPr="00FA3F9C">
              <w:rPr>
                <w:rFonts w:ascii="Arial" w:hAnsi="Arial" w:cs="Arial"/>
                <w:sz w:val="24"/>
                <w:szCs w:val="24"/>
              </w:rPr>
              <w:t>ECOG 0-2</w:t>
            </w:r>
          </w:p>
          <w:p w14:paraId="138753B2" w14:textId="77777777" w:rsidR="002641D2" w:rsidRPr="00FA3F9C" w:rsidRDefault="002641D2" w:rsidP="002641D2">
            <w:pPr>
              <w:pStyle w:val="ListParagraph"/>
              <w:numPr>
                <w:ilvl w:val="0"/>
                <w:numId w:val="137"/>
              </w:numPr>
              <w:rPr>
                <w:rFonts w:ascii="Arial" w:hAnsi="Arial" w:cs="Arial"/>
                <w:sz w:val="24"/>
                <w:szCs w:val="24"/>
              </w:rPr>
            </w:pPr>
            <w:r w:rsidRPr="00FA3F9C">
              <w:rPr>
                <w:rFonts w:ascii="Arial" w:hAnsi="Arial" w:cs="Arial"/>
                <w:sz w:val="24"/>
                <w:szCs w:val="24"/>
              </w:rPr>
              <w:t>The patient does NOT have CNS involvement of AML</w:t>
            </w:r>
          </w:p>
          <w:p w14:paraId="49A28D22" w14:textId="77777777" w:rsidR="002641D2" w:rsidRPr="00FA3F9C" w:rsidRDefault="002641D2" w:rsidP="002641D2">
            <w:pPr>
              <w:pStyle w:val="ListParagraph"/>
              <w:numPr>
                <w:ilvl w:val="0"/>
                <w:numId w:val="137"/>
              </w:numPr>
              <w:rPr>
                <w:rFonts w:ascii="Arial" w:hAnsi="Arial" w:cs="Arial"/>
                <w:sz w:val="24"/>
                <w:szCs w:val="24"/>
              </w:rPr>
            </w:pPr>
            <w:r w:rsidRPr="00FA3F9C">
              <w:rPr>
                <w:rFonts w:ascii="Arial" w:hAnsi="Arial" w:cs="Arial"/>
                <w:sz w:val="24"/>
                <w:szCs w:val="24"/>
              </w:rPr>
              <w:lastRenderedPageBreak/>
              <w:t>The patient does NOT have liver or renal abnormalities defined as AST or ALT ≥ 2.5 x upper limit of normal (ULN), serum bilirubin ≥ 2 x ULN, OR serum creatinine ≥ 2.5 x ULN.</w:t>
            </w:r>
          </w:p>
        </w:tc>
      </w:tr>
      <w:tr w:rsidR="002641D2" w:rsidRPr="00FA3F9C" w14:paraId="5A730F99" w14:textId="77777777" w:rsidTr="00D44740">
        <w:trPr>
          <w:trHeight w:val="253"/>
        </w:trPr>
        <w:tc>
          <w:tcPr>
            <w:tcW w:w="11028" w:type="dxa"/>
          </w:tcPr>
          <w:p w14:paraId="22135365" w14:textId="77777777" w:rsidR="002641D2" w:rsidRPr="00FA3F9C" w:rsidRDefault="002641D2" w:rsidP="00D25708">
            <w:pPr>
              <w:rPr>
                <w:rFonts w:ascii="Arial" w:hAnsi="Arial" w:cs="Arial"/>
                <w:sz w:val="24"/>
                <w:szCs w:val="24"/>
              </w:rPr>
            </w:pPr>
            <w:r w:rsidRPr="00FA3F9C">
              <w:rPr>
                <w:rFonts w:ascii="Arial" w:hAnsi="Arial" w:cs="Arial"/>
                <w:sz w:val="24"/>
                <w:szCs w:val="24"/>
              </w:rPr>
              <w:lastRenderedPageBreak/>
              <w:t>If patient meets criteria above, approve medical PA for 4 months. Medication is excluded from pharmacy benefit.</w:t>
            </w:r>
            <w:r w:rsidRPr="00FA3F9C">
              <w:rPr>
                <w:rFonts w:ascii="Arial" w:hAnsi="Arial" w:cs="Arial"/>
                <w:b/>
                <w:sz w:val="24"/>
                <w:szCs w:val="24"/>
              </w:rPr>
              <w:t xml:space="preserve"> </w:t>
            </w:r>
            <w:r w:rsidRPr="00FA3F9C">
              <w:rPr>
                <w:rFonts w:ascii="Arial" w:hAnsi="Arial" w:cs="Arial"/>
                <w:b/>
                <w:sz w:val="24"/>
                <w:szCs w:val="24"/>
                <w:highlight w:val="yellow"/>
              </w:rPr>
              <w:t xml:space="preserve">For patients who do not achieve an adequate response during first induction cycle, no further </w:t>
            </w:r>
            <w:proofErr w:type="spellStart"/>
            <w:r w:rsidRPr="00FA3F9C">
              <w:rPr>
                <w:rFonts w:ascii="Arial" w:hAnsi="Arial" w:cs="Arial"/>
                <w:b/>
                <w:sz w:val="24"/>
                <w:szCs w:val="24"/>
                <w:highlight w:val="yellow"/>
              </w:rPr>
              <w:t>gemtuzumab</w:t>
            </w:r>
            <w:proofErr w:type="spellEnd"/>
            <w:r w:rsidRPr="00FA3F9C">
              <w:rPr>
                <w:rFonts w:ascii="Arial" w:hAnsi="Arial" w:cs="Arial"/>
                <w:b/>
                <w:sz w:val="24"/>
                <w:szCs w:val="24"/>
                <w:highlight w:val="yellow"/>
              </w:rPr>
              <w:t xml:space="preserve"> is indicated.</w:t>
            </w:r>
            <w:r w:rsidRPr="00FA3F9C">
              <w:rPr>
                <w:rFonts w:ascii="Arial" w:hAnsi="Arial" w:cs="Arial"/>
                <w:b/>
                <w:sz w:val="24"/>
                <w:szCs w:val="24"/>
              </w:rPr>
              <w:t xml:space="preserve"> Medication is approved ONLY in combination with cytarabine and daunorubicin.</w:t>
            </w:r>
          </w:p>
        </w:tc>
      </w:tr>
    </w:tbl>
    <w:p w14:paraId="0B2A4C7B" w14:textId="77777777" w:rsidR="002641D2" w:rsidRPr="00FA3F9C" w:rsidRDefault="002641D2" w:rsidP="006F623F">
      <w:pPr>
        <w:spacing w:after="0"/>
        <w:rPr>
          <w:rFonts w:ascii="Arial" w:hAnsi="Arial" w:cs="Arial"/>
          <w:b/>
          <w:sz w:val="24"/>
          <w:szCs w:val="24"/>
          <w:u w:val="single"/>
        </w:rPr>
      </w:pPr>
    </w:p>
    <w:p w14:paraId="70C4D3BC" w14:textId="77777777" w:rsidR="002641D2" w:rsidRPr="00FA3F9C" w:rsidRDefault="002641D2" w:rsidP="006F623F">
      <w:pPr>
        <w:spacing w:after="0"/>
        <w:rPr>
          <w:rFonts w:ascii="Arial" w:hAnsi="Arial" w:cs="Arial"/>
          <w:b/>
          <w:sz w:val="24"/>
          <w:szCs w:val="24"/>
          <w:u w:val="single"/>
        </w:rPr>
      </w:pPr>
    </w:p>
    <w:p w14:paraId="49FBD752" w14:textId="77777777" w:rsidR="002641D2" w:rsidRPr="00FA3F9C" w:rsidRDefault="002641D2" w:rsidP="006F623F">
      <w:pPr>
        <w:spacing w:after="0"/>
        <w:rPr>
          <w:rFonts w:ascii="Arial" w:hAnsi="Arial" w:cs="Arial"/>
          <w:sz w:val="24"/>
          <w:szCs w:val="24"/>
        </w:rPr>
      </w:pPr>
      <w:r w:rsidRPr="00FA3F9C">
        <w:rPr>
          <w:rFonts w:ascii="Arial" w:hAnsi="Arial" w:cs="Arial"/>
          <w:sz w:val="24"/>
          <w:szCs w:val="24"/>
        </w:rPr>
        <w:t>Dosing: IV:</w:t>
      </w:r>
    </w:p>
    <w:p w14:paraId="5D8040B9" w14:textId="77777777" w:rsidR="002641D2" w:rsidRPr="00FA3F9C" w:rsidRDefault="002641D2" w:rsidP="002641D2">
      <w:pPr>
        <w:pStyle w:val="ListParagraph"/>
        <w:numPr>
          <w:ilvl w:val="0"/>
          <w:numId w:val="222"/>
        </w:numPr>
        <w:spacing w:after="0" w:line="276" w:lineRule="auto"/>
        <w:rPr>
          <w:rFonts w:ascii="Arial" w:hAnsi="Arial" w:cs="Arial"/>
          <w:sz w:val="24"/>
          <w:szCs w:val="24"/>
        </w:rPr>
      </w:pPr>
      <w:r w:rsidRPr="00FA3F9C">
        <w:rPr>
          <w:rFonts w:ascii="Arial" w:hAnsi="Arial" w:cs="Arial"/>
          <w:b/>
          <w:sz w:val="24"/>
          <w:szCs w:val="24"/>
        </w:rPr>
        <w:t>Induction Cycle</w:t>
      </w:r>
      <w:r w:rsidRPr="00FA3F9C">
        <w:rPr>
          <w:rFonts w:ascii="Arial" w:hAnsi="Arial" w:cs="Arial"/>
          <w:sz w:val="24"/>
          <w:szCs w:val="24"/>
        </w:rPr>
        <w:t xml:space="preserve">: </w:t>
      </w:r>
      <w:proofErr w:type="spellStart"/>
      <w:r w:rsidRPr="00FA3F9C">
        <w:rPr>
          <w:rFonts w:ascii="Arial" w:hAnsi="Arial" w:cs="Arial"/>
          <w:sz w:val="24"/>
          <w:szCs w:val="24"/>
        </w:rPr>
        <w:t>gemtuzumab</w:t>
      </w:r>
      <w:proofErr w:type="spellEnd"/>
      <w:r w:rsidRPr="00FA3F9C">
        <w:rPr>
          <w:rFonts w:ascii="Arial" w:hAnsi="Arial" w:cs="Arial"/>
          <w:sz w:val="24"/>
          <w:szCs w:val="24"/>
        </w:rPr>
        <w:t xml:space="preserve"> 3 mg/m</w:t>
      </w:r>
      <w:r w:rsidRPr="00FA3F9C">
        <w:rPr>
          <w:rFonts w:ascii="Arial" w:hAnsi="Arial" w:cs="Arial"/>
          <w:sz w:val="24"/>
          <w:szCs w:val="24"/>
          <w:vertAlign w:val="superscript"/>
        </w:rPr>
        <w:t>2</w:t>
      </w:r>
      <w:r w:rsidRPr="00FA3F9C">
        <w:rPr>
          <w:rFonts w:ascii="Arial" w:hAnsi="Arial" w:cs="Arial"/>
          <w:sz w:val="24"/>
          <w:szCs w:val="24"/>
        </w:rPr>
        <w:t xml:space="preserve"> (</w:t>
      </w:r>
      <w:r w:rsidRPr="00FA3F9C">
        <w:rPr>
          <w:rFonts w:ascii="Arial" w:hAnsi="Arial" w:cs="Arial"/>
          <w:b/>
          <w:sz w:val="24"/>
          <w:szCs w:val="24"/>
        </w:rPr>
        <w:t>up to one 4.5 mg vial</w:t>
      </w:r>
      <w:r w:rsidRPr="00FA3F9C">
        <w:rPr>
          <w:rFonts w:ascii="Arial" w:hAnsi="Arial" w:cs="Arial"/>
          <w:sz w:val="24"/>
          <w:szCs w:val="24"/>
        </w:rPr>
        <w:t xml:space="preserve">) on Days 1, 4, and 7 in combination with daunorubicin (60 mg/m² on Days 1, 2, and 3) and cytarabine (200 mg/m² as continuous infusion for 7 days). </w:t>
      </w:r>
      <w:r w:rsidRPr="00FA3F9C">
        <w:rPr>
          <w:rFonts w:ascii="Arial" w:hAnsi="Arial" w:cs="Arial"/>
          <w:b/>
          <w:sz w:val="24"/>
          <w:szCs w:val="24"/>
          <w:highlight w:val="yellow"/>
        </w:rPr>
        <w:t xml:space="preserve">For patients who do not achieve an adequate response during first induction cycle, no further </w:t>
      </w:r>
      <w:proofErr w:type="spellStart"/>
      <w:r w:rsidRPr="00FA3F9C">
        <w:rPr>
          <w:rFonts w:ascii="Arial" w:hAnsi="Arial" w:cs="Arial"/>
          <w:b/>
          <w:sz w:val="24"/>
          <w:szCs w:val="24"/>
          <w:highlight w:val="yellow"/>
        </w:rPr>
        <w:t>gemtuzumab</w:t>
      </w:r>
      <w:proofErr w:type="spellEnd"/>
      <w:r w:rsidRPr="00FA3F9C">
        <w:rPr>
          <w:rFonts w:ascii="Arial" w:hAnsi="Arial" w:cs="Arial"/>
          <w:b/>
          <w:sz w:val="24"/>
          <w:szCs w:val="24"/>
          <w:highlight w:val="yellow"/>
        </w:rPr>
        <w:t xml:space="preserve"> is indicated.</w:t>
      </w:r>
    </w:p>
    <w:p w14:paraId="1C3FF48B" w14:textId="77777777" w:rsidR="002641D2" w:rsidRPr="00FA3F9C" w:rsidRDefault="002641D2" w:rsidP="002641D2">
      <w:pPr>
        <w:pStyle w:val="ListParagraph"/>
        <w:numPr>
          <w:ilvl w:val="0"/>
          <w:numId w:val="222"/>
        </w:numPr>
        <w:spacing w:after="0" w:line="276" w:lineRule="auto"/>
        <w:rPr>
          <w:rFonts w:ascii="Arial" w:hAnsi="Arial" w:cs="Arial"/>
          <w:sz w:val="24"/>
          <w:szCs w:val="24"/>
        </w:rPr>
      </w:pPr>
      <w:r w:rsidRPr="00FA3F9C">
        <w:rPr>
          <w:rFonts w:ascii="Arial" w:hAnsi="Arial" w:cs="Arial"/>
          <w:b/>
          <w:sz w:val="24"/>
          <w:szCs w:val="24"/>
        </w:rPr>
        <w:t>Consolidation Cycle (given x 2 cycles):</w:t>
      </w:r>
      <w:r w:rsidRPr="00FA3F9C">
        <w:rPr>
          <w:rFonts w:ascii="Arial" w:hAnsi="Arial" w:cs="Arial"/>
          <w:sz w:val="24"/>
          <w:szCs w:val="24"/>
        </w:rPr>
        <w:t xml:space="preserve"> </w:t>
      </w:r>
      <w:proofErr w:type="spellStart"/>
      <w:r w:rsidRPr="00FA3F9C">
        <w:rPr>
          <w:rFonts w:ascii="Arial" w:hAnsi="Arial" w:cs="Arial"/>
          <w:sz w:val="24"/>
          <w:szCs w:val="24"/>
        </w:rPr>
        <w:t>gemtuzumab</w:t>
      </w:r>
      <w:proofErr w:type="spellEnd"/>
      <w:r w:rsidRPr="00FA3F9C">
        <w:rPr>
          <w:rFonts w:ascii="Arial" w:hAnsi="Arial" w:cs="Arial"/>
          <w:sz w:val="24"/>
          <w:szCs w:val="24"/>
        </w:rPr>
        <w:t xml:space="preserve"> 3 mg/m</w:t>
      </w:r>
      <w:r w:rsidRPr="00FA3F9C">
        <w:rPr>
          <w:rFonts w:ascii="Arial" w:hAnsi="Arial" w:cs="Arial"/>
          <w:sz w:val="24"/>
          <w:szCs w:val="24"/>
          <w:vertAlign w:val="superscript"/>
        </w:rPr>
        <w:t>2</w:t>
      </w:r>
      <w:r w:rsidRPr="00FA3F9C">
        <w:rPr>
          <w:rFonts w:ascii="Arial" w:hAnsi="Arial" w:cs="Arial"/>
          <w:sz w:val="24"/>
          <w:szCs w:val="24"/>
        </w:rPr>
        <w:t xml:space="preserve"> (</w:t>
      </w:r>
      <w:r w:rsidRPr="00FA3F9C">
        <w:rPr>
          <w:rFonts w:ascii="Arial" w:hAnsi="Arial" w:cs="Arial"/>
          <w:b/>
          <w:sz w:val="24"/>
          <w:szCs w:val="24"/>
        </w:rPr>
        <w:t>up to one 4.5 mg vial</w:t>
      </w:r>
      <w:r w:rsidRPr="00FA3F9C">
        <w:rPr>
          <w:rFonts w:ascii="Arial" w:hAnsi="Arial" w:cs="Arial"/>
          <w:sz w:val="24"/>
          <w:szCs w:val="24"/>
        </w:rPr>
        <w:t>) on Day 1 in combination with daunorubicin (60 mg/m² for 1 day [first course] or 2 days [second course]) and cytarabine (1000 mg/m² per 12 h, infused over 2 h on days 1–4).</w:t>
      </w:r>
    </w:p>
    <w:p w14:paraId="5C952B39" w14:textId="77777777" w:rsidR="002641D2" w:rsidRPr="00FA3F9C" w:rsidRDefault="002641D2" w:rsidP="00A2767E">
      <w:pPr>
        <w:spacing w:after="0"/>
        <w:rPr>
          <w:rFonts w:ascii="Arial" w:hAnsi="Arial" w:cs="Arial"/>
          <w:sz w:val="24"/>
          <w:szCs w:val="24"/>
        </w:rPr>
      </w:pPr>
    </w:p>
    <w:p w14:paraId="61A8026C" w14:textId="77777777" w:rsidR="002641D2" w:rsidRPr="00FA3F9C" w:rsidRDefault="002641D2" w:rsidP="006F623F">
      <w:pPr>
        <w:spacing w:after="0"/>
        <w:rPr>
          <w:rFonts w:ascii="Arial" w:hAnsi="Arial" w:cs="Arial"/>
          <w:sz w:val="24"/>
          <w:szCs w:val="24"/>
        </w:rPr>
      </w:pPr>
    </w:p>
    <w:p w14:paraId="0571C57A" w14:textId="77777777" w:rsidR="002641D2" w:rsidRPr="00FA3F9C" w:rsidRDefault="002641D2" w:rsidP="006F623F">
      <w:pPr>
        <w:spacing w:after="0"/>
        <w:rPr>
          <w:rFonts w:ascii="Arial" w:hAnsi="Arial" w:cs="Arial"/>
          <w:sz w:val="24"/>
          <w:szCs w:val="24"/>
        </w:rPr>
      </w:pPr>
    </w:p>
    <w:p w14:paraId="78B17D6F" w14:textId="77777777" w:rsidR="002641D2" w:rsidRPr="00FA3F9C" w:rsidRDefault="002641D2" w:rsidP="006F623F">
      <w:pPr>
        <w:spacing w:after="0"/>
        <w:rPr>
          <w:rFonts w:ascii="Arial" w:hAnsi="Arial" w:cs="Arial"/>
          <w:noProof/>
          <w:sz w:val="24"/>
          <w:szCs w:val="24"/>
        </w:rPr>
      </w:pPr>
      <w:r w:rsidRPr="00FA3F9C">
        <w:rPr>
          <w:rFonts w:ascii="Arial" w:hAnsi="Arial" w:cs="Arial"/>
          <w:noProof/>
          <w:sz w:val="24"/>
          <w:szCs w:val="24"/>
        </w:rPr>
        <w:t>Risk stratification by genetics per NCCN Guidelines for Acute Myeloid Leukemia (Version 1.2020)</w:t>
      </w:r>
    </w:p>
    <w:p w14:paraId="4C25FA4B" w14:textId="77777777" w:rsidR="002641D2" w:rsidRPr="00FA3F9C" w:rsidRDefault="002641D2" w:rsidP="006F623F">
      <w:pPr>
        <w:spacing w:after="0"/>
        <w:rPr>
          <w:rFonts w:ascii="Arial" w:hAnsi="Arial" w:cs="Arial"/>
          <w:sz w:val="24"/>
          <w:szCs w:val="24"/>
        </w:rPr>
      </w:pPr>
      <w:r w:rsidRPr="00FA3F9C">
        <w:rPr>
          <w:rFonts w:ascii="Arial" w:hAnsi="Arial" w:cs="Arial"/>
          <w:noProof/>
          <w:sz w:val="24"/>
          <w:szCs w:val="24"/>
        </w:rPr>
        <w:lastRenderedPageBreak/>
        <w:drawing>
          <wp:inline distT="0" distB="0" distL="0" distR="0" wp14:anchorId="720F030D" wp14:editId="44F508F3">
            <wp:extent cx="6567777" cy="3102695"/>
            <wp:effectExtent l="0" t="0" r="508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7"/>
                    <a:srcRect l="11601" t="25159" r="61159" b="29093"/>
                    <a:stretch/>
                  </pic:blipFill>
                  <pic:spPr bwMode="auto">
                    <a:xfrm>
                      <a:off x="0" y="0"/>
                      <a:ext cx="6617602" cy="3126233"/>
                    </a:xfrm>
                    <a:prstGeom prst="rect">
                      <a:avLst/>
                    </a:prstGeom>
                    <a:ln>
                      <a:noFill/>
                    </a:ln>
                    <a:extLst>
                      <a:ext uri="{53640926-AAD7-44D8-BBD7-CCE9431645EC}">
                        <a14:shadowObscured xmlns:a14="http://schemas.microsoft.com/office/drawing/2010/main"/>
                      </a:ext>
                    </a:extLst>
                  </pic:spPr>
                </pic:pic>
              </a:graphicData>
            </a:graphic>
          </wp:inline>
        </w:drawing>
      </w:r>
    </w:p>
    <w:p w14:paraId="67FFE988" w14:textId="77777777" w:rsidR="002641D2" w:rsidRPr="00FA3F9C" w:rsidRDefault="002641D2" w:rsidP="006F623F">
      <w:pPr>
        <w:spacing w:after="0"/>
        <w:rPr>
          <w:rFonts w:ascii="Arial" w:hAnsi="Arial" w:cs="Arial"/>
          <w:sz w:val="24"/>
          <w:szCs w:val="24"/>
        </w:rPr>
      </w:pPr>
    </w:p>
    <w:p w14:paraId="5FAF01E3" w14:textId="77777777" w:rsidR="002641D2" w:rsidRPr="00FA3F9C" w:rsidRDefault="002641D2" w:rsidP="006F623F">
      <w:pPr>
        <w:spacing w:after="0"/>
        <w:rPr>
          <w:rFonts w:ascii="Arial" w:hAnsi="Arial" w:cs="Arial"/>
          <w:sz w:val="24"/>
          <w:szCs w:val="24"/>
        </w:rPr>
      </w:pPr>
    </w:p>
    <w:p w14:paraId="57E8487D" w14:textId="77777777" w:rsidR="002641D2" w:rsidRPr="00FA3F9C" w:rsidRDefault="002641D2"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284"/>
        <w:gridCol w:w="7663"/>
        <w:gridCol w:w="2072"/>
      </w:tblGrid>
      <w:tr w:rsidR="002641D2" w:rsidRPr="00FA3F9C" w14:paraId="441D2C52" w14:textId="77777777" w:rsidTr="001B4B5C">
        <w:tc>
          <w:tcPr>
            <w:tcW w:w="1055" w:type="dxa"/>
          </w:tcPr>
          <w:p w14:paraId="0531DA40" w14:textId="77777777" w:rsidR="002641D2" w:rsidRPr="00FA3F9C" w:rsidRDefault="002641D2" w:rsidP="006F623F">
            <w:pPr>
              <w:rPr>
                <w:rFonts w:ascii="Arial" w:hAnsi="Arial" w:cs="Arial"/>
                <w:sz w:val="24"/>
                <w:szCs w:val="24"/>
              </w:rPr>
            </w:pPr>
            <w:r w:rsidRPr="00FA3F9C">
              <w:rPr>
                <w:rFonts w:ascii="Arial" w:hAnsi="Arial" w:cs="Arial"/>
                <w:sz w:val="24"/>
                <w:szCs w:val="24"/>
              </w:rPr>
              <w:t>Date</w:t>
            </w:r>
          </w:p>
        </w:tc>
        <w:tc>
          <w:tcPr>
            <w:tcW w:w="7663" w:type="dxa"/>
          </w:tcPr>
          <w:p w14:paraId="648E7FDF" w14:textId="77777777" w:rsidR="002641D2" w:rsidRPr="00FA3F9C" w:rsidRDefault="002641D2" w:rsidP="006F623F">
            <w:pPr>
              <w:rPr>
                <w:rFonts w:ascii="Arial" w:hAnsi="Arial" w:cs="Arial"/>
                <w:sz w:val="24"/>
                <w:szCs w:val="24"/>
              </w:rPr>
            </w:pPr>
            <w:r w:rsidRPr="00FA3F9C">
              <w:rPr>
                <w:rFonts w:ascii="Arial" w:hAnsi="Arial" w:cs="Arial"/>
                <w:sz w:val="24"/>
                <w:szCs w:val="24"/>
              </w:rPr>
              <w:t>What changed</w:t>
            </w:r>
          </w:p>
        </w:tc>
        <w:tc>
          <w:tcPr>
            <w:tcW w:w="2072" w:type="dxa"/>
          </w:tcPr>
          <w:p w14:paraId="49CC77CF" w14:textId="77777777" w:rsidR="002641D2" w:rsidRPr="00FA3F9C" w:rsidRDefault="002641D2" w:rsidP="006F623F">
            <w:pPr>
              <w:rPr>
                <w:rFonts w:ascii="Arial" w:hAnsi="Arial" w:cs="Arial"/>
                <w:sz w:val="24"/>
                <w:szCs w:val="24"/>
              </w:rPr>
            </w:pPr>
            <w:r w:rsidRPr="00FA3F9C">
              <w:rPr>
                <w:rFonts w:ascii="Arial" w:hAnsi="Arial" w:cs="Arial"/>
                <w:sz w:val="24"/>
                <w:szCs w:val="24"/>
              </w:rPr>
              <w:t>Pharmacist’s initials</w:t>
            </w:r>
          </w:p>
        </w:tc>
      </w:tr>
      <w:tr w:rsidR="002641D2" w:rsidRPr="00FA3F9C" w14:paraId="791DDCE5" w14:textId="77777777" w:rsidTr="001B4B5C">
        <w:tc>
          <w:tcPr>
            <w:tcW w:w="1055" w:type="dxa"/>
          </w:tcPr>
          <w:p w14:paraId="2E3A23C0" w14:textId="77777777" w:rsidR="002641D2" w:rsidRPr="00FA3F9C" w:rsidRDefault="002641D2" w:rsidP="006F623F">
            <w:pPr>
              <w:rPr>
                <w:rFonts w:ascii="Arial" w:hAnsi="Arial" w:cs="Arial"/>
                <w:sz w:val="24"/>
                <w:szCs w:val="24"/>
              </w:rPr>
            </w:pPr>
            <w:r w:rsidRPr="00FA3F9C">
              <w:rPr>
                <w:rFonts w:ascii="Arial" w:hAnsi="Arial" w:cs="Arial"/>
                <w:sz w:val="24"/>
                <w:szCs w:val="24"/>
              </w:rPr>
              <w:t>2/21/18</w:t>
            </w:r>
          </w:p>
        </w:tc>
        <w:tc>
          <w:tcPr>
            <w:tcW w:w="7663" w:type="dxa"/>
          </w:tcPr>
          <w:p w14:paraId="077A4E0D" w14:textId="77777777" w:rsidR="002641D2" w:rsidRPr="00FA3F9C" w:rsidRDefault="002641D2" w:rsidP="00C839A3">
            <w:pPr>
              <w:rPr>
                <w:rFonts w:ascii="Arial" w:hAnsi="Arial" w:cs="Arial"/>
                <w:sz w:val="24"/>
                <w:szCs w:val="24"/>
              </w:rPr>
            </w:pPr>
            <w:r w:rsidRPr="00FA3F9C">
              <w:rPr>
                <w:rFonts w:ascii="Arial" w:hAnsi="Arial" w:cs="Arial"/>
                <w:sz w:val="24"/>
                <w:szCs w:val="24"/>
              </w:rPr>
              <w:t xml:space="preserve">I wrote the criteria. Current approval is only FOR TX OF </w:t>
            </w:r>
            <w:proofErr w:type="gramStart"/>
            <w:r w:rsidRPr="00FA3F9C">
              <w:rPr>
                <w:rFonts w:ascii="Arial" w:hAnsi="Arial" w:cs="Arial"/>
                <w:sz w:val="24"/>
                <w:szCs w:val="24"/>
              </w:rPr>
              <w:t>NEWLY-DIAGNOSED</w:t>
            </w:r>
            <w:proofErr w:type="gramEnd"/>
            <w:r w:rsidRPr="00FA3F9C">
              <w:rPr>
                <w:rFonts w:ascii="Arial" w:hAnsi="Arial" w:cs="Arial"/>
                <w:sz w:val="24"/>
                <w:szCs w:val="24"/>
              </w:rPr>
              <w:t xml:space="preserve"> CD33-positive AML in adults in combo with 3+7 regimen. Not covered for relapsed or refractory AML or newly diagnosed AML as monotherapy (excluded code 2,8).</w:t>
            </w:r>
          </w:p>
        </w:tc>
        <w:tc>
          <w:tcPr>
            <w:tcW w:w="2072" w:type="dxa"/>
          </w:tcPr>
          <w:p w14:paraId="7A10FF44" w14:textId="77777777" w:rsidR="002641D2" w:rsidRPr="00FA3F9C" w:rsidRDefault="002641D2" w:rsidP="006F623F">
            <w:pPr>
              <w:rPr>
                <w:rFonts w:ascii="Arial" w:hAnsi="Arial" w:cs="Arial"/>
                <w:sz w:val="24"/>
                <w:szCs w:val="24"/>
              </w:rPr>
            </w:pPr>
            <w:r w:rsidRPr="00FA3F9C">
              <w:rPr>
                <w:rFonts w:ascii="Arial" w:hAnsi="Arial" w:cs="Arial"/>
                <w:sz w:val="24"/>
                <w:szCs w:val="24"/>
              </w:rPr>
              <w:t>JK</w:t>
            </w:r>
          </w:p>
        </w:tc>
      </w:tr>
      <w:tr w:rsidR="002641D2" w:rsidRPr="00FA3F9C" w14:paraId="3FE8557A" w14:textId="77777777" w:rsidTr="001B4B5C">
        <w:tc>
          <w:tcPr>
            <w:tcW w:w="1055" w:type="dxa"/>
          </w:tcPr>
          <w:p w14:paraId="09B02D83" w14:textId="77777777" w:rsidR="002641D2" w:rsidRPr="00FA3F9C" w:rsidRDefault="002641D2" w:rsidP="006F623F">
            <w:pPr>
              <w:rPr>
                <w:rFonts w:ascii="Arial" w:hAnsi="Arial" w:cs="Arial"/>
                <w:sz w:val="24"/>
                <w:szCs w:val="24"/>
              </w:rPr>
            </w:pPr>
            <w:r w:rsidRPr="00FA3F9C">
              <w:rPr>
                <w:rFonts w:ascii="Arial" w:hAnsi="Arial" w:cs="Arial"/>
                <w:sz w:val="24"/>
                <w:szCs w:val="24"/>
              </w:rPr>
              <w:t>8/26/19</w:t>
            </w:r>
          </w:p>
        </w:tc>
        <w:tc>
          <w:tcPr>
            <w:tcW w:w="7663" w:type="dxa"/>
          </w:tcPr>
          <w:p w14:paraId="46CEB8DB" w14:textId="77777777" w:rsidR="002641D2" w:rsidRPr="00FA3F9C" w:rsidRDefault="002641D2" w:rsidP="00D25708">
            <w:pPr>
              <w:rPr>
                <w:rFonts w:ascii="Arial" w:hAnsi="Arial" w:cs="Arial"/>
                <w:sz w:val="24"/>
                <w:szCs w:val="24"/>
              </w:rPr>
            </w:pPr>
            <w:r w:rsidRPr="00FA3F9C">
              <w:rPr>
                <w:rFonts w:ascii="Arial" w:hAnsi="Arial" w:cs="Arial"/>
                <w:sz w:val="24"/>
                <w:szCs w:val="24"/>
              </w:rPr>
              <w:t xml:space="preserve">Criteria reviewed. Added to criteria that AML should not be APL, treatment or MDS related, or poor risk cytogenetics. This is likely going to be given inpatient. </w:t>
            </w:r>
          </w:p>
        </w:tc>
        <w:tc>
          <w:tcPr>
            <w:tcW w:w="2072" w:type="dxa"/>
          </w:tcPr>
          <w:p w14:paraId="0396813B" w14:textId="77777777" w:rsidR="002641D2" w:rsidRPr="00FA3F9C" w:rsidRDefault="002641D2" w:rsidP="006F623F">
            <w:pPr>
              <w:rPr>
                <w:rFonts w:ascii="Arial" w:hAnsi="Arial" w:cs="Arial"/>
                <w:sz w:val="24"/>
                <w:szCs w:val="24"/>
              </w:rPr>
            </w:pPr>
            <w:r w:rsidRPr="00FA3F9C">
              <w:rPr>
                <w:rFonts w:ascii="Arial" w:hAnsi="Arial" w:cs="Arial"/>
                <w:sz w:val="24"/>
                <w:szCs w:val="24"/>
              </w:rPr>
              <w:t>SK</w:t>
            </w:r>
          </w:p>
        </w:tc>
      </w:tr>
      <w:tr w:rsidR="002641D2" w:rsidRPr="00FA3F9C" w14:paraId="39F0EE26" w14:textId="77777777" w:rsidTr="001B4B5C">
        <w:tc>
          <w:tcPr>
            <w:tcW w:w="1055" w:type="dxa"/>
          </w:tcPr>
          <w:p w14:paraId="4F240721" w14:textId="77777777" w:rsidR="002641D2" w:rsidRPr="00FA3F9C" w:rsidRDefault="002641D2" w:rsidP="006F623F">
            <w:pPr>
              <w:rPr>
                <w:rFonts w:ascii="Arial" w:hAnsi="Arial" w:cs="Arial"/>
                <w:sz w:val="24"/>
                <w:szCs w:val="24"/>
              </w:rPr>
            </w:pPr>
            <w:r w:rsidRPr="00FA3F9C">
              <w:rPr>
                <w:rFonts w:ascii="Arial" w:hAnsi="Arial" w:cs="Arial"/>
                <w:sz w:val="24"/>
                <w:szCs w:val="24"/>
              </w:rPr>
              <w:t>2/10/2020</w:t>
            </w:r>
          </w:p>
        </w:tc>
        <w:tc>
          <w:tcPr>
            <w:tcW w:w="7663" w:type="dxa"/>
          </w:tcPr>
          <w:p w14:paraId="343266B7" w14:textId="77777777" w:rsidR="002641D2" w:rsidRPr="00FA3F9C" w:rsidRDefault="002641D2" w:rsidP="00D25708">
            <w:pPr>
              <w:rPr>
                <w:rFonts w:ascii="Arial" w:hAnsi="Arial" w:cs="Arial"/>
                <w:sz w:val="24"/>
                <w:szCs w:val="24"/>
              </w:rPr>
            </w:pPr>
            <w:r w:rsidRPr="00FA3F9C">
              <w:rPr>
                <w:rFonts w:ascii="Arial" w:hAnsi="Arial" w:cs="Arial"/>
                <w:sz w:val="24"/>
                <w:szCs w:val="24"/>
              </w:rPr>
              <w:t>Criteria reviewed. No change</w:t>
            </w:r>
          </w:p>
        </w:tc>
        <w:tc>
          <w:tcPr>
            <w:tcW w:w="2072" w:type="dxa"/>
          </w:tcPr>
          <w:p w14:paraId="0C9B3946" w14:textId="77777777" w:rsidR="002641D2" w:rsidRPr="00FA3F9C" w:rsidRDefault="002641D2" w:rsidP="006F623F">
            <w:pPr>
              <w:rPr>
                <w:rFonts w:ascii="Arial" w:hAnsi="Arial" w:cs="Arial"/>
                <w:sz w:val="24"/>
                <w:szCs w:val="24"/>
              </w:rPr>
            </w:pPr>
            <w:r w:rsidRPr="00FA3F9C">
              <w:rPr>
                <w:rFonts w:ascii="Arial" w:hAnsi="Arial" w:cs="Arial"/>
                <w:sz w:val="24"/>
                <w:szCs w:val="24"/>
              </w:rPr>
              <w:t>SK</w:t>
            </w:r>
          </w:p>
        </w:tc>
      </w:tr>
      <w:tr w:rsidR="002641D2" w:rsidRPr="00FA3F9C" w14:paraId="249FC391" w14:textId="77777777" w:rsidTr="001B4B5C">
        <w:tc>
          <w:tcPr>
            <w:tcW w:w="1055" w:type="dxa"/>
          </w:tcPr>
          <w:p w14:paraId="6AECF8BA" w14:textId="77777777" w:rsidR="002641D2" w:rsidRPr="00FA3F9C" w:rsidRDefault="002641D2" w:rsidP="006F623F">
            <w:pPr>
              <w:rPr>
                <w:rFonts w:ascii="Arial" w:hAnsi="Arial" w:cs="Arial"/>
                <w:sz w:val="24"/>
                <w:szCs w:val="24"/>
              </w:rPr>
            </w:pPr>
            <w:r w:rsidRPr="00FA3F9C">
              <w:rPr>
                <w:rFonts w:ascii="Arial" w:hAnsi="Arial" w:cs="Arial"/>
                <w:sz w:val="24"/>
                <w:szCs w:val="24"/>
              </w:rPr>
              <w:t>5/25/2021</w:t>
            </w:r>
          </w:p>
        </w:tc>
        <w:tc>
          <w:tcPr>
            <w:tcW w:w="7663" w:type="dxa"/>
          </w:tcPr>
          <w:p w14:paraId="200ED801" w14:textId="77777777" w:rsidR="002641D2" w:rsidRPr="00FA3F9C" w:rsidRDefault="002641D2" w:rsidP="00D25708">
            <w:pPr>
              <w:rPr>
                <w:rFonts w:ascii="Arial" w:hAnsi="Arial" w:cs="Arial"/>
                <w:sz w:val="24"/>
                <w:szCs w:val="24"/>
              </w:rPr>
            </w:pPr>
            <w:r w:rsidRPr="00FA3F9C">
              <w:rPr>
                <w:rFonts w:ascii="Arial" w:hAnsi="Arial" w:cs="Arial"/>
                <w:sz w:val="24"/>
                <w:szCs w:val="24"/>
              </w:rPr>
              <w:t xml:space="preserve">Criteria reviewed. No change. The covered indication is likely to be initiated inpatient. </w:t>
            </w:r>
          </w:p>
        </w:tc>
        <w:tc>
          <w:tcPr>
            <w:tcW w:w="2072" w:type="dxa"/>
          </w:tcPr>
          <w:p w14:paraId="74816F82" w14:textId="77777777" w:rsidR="002641D2" w:rsidRPr="00FA3F9C" w:rsidRDefault="002641D2" w:rsidP="006F623F">
            <w:pPr>
              <w:rPr>
                <w:rFonts w:ascii="Arial" w:hAnsi="Arial" w:cs="Arial"/>
                <w:sz w:val="24"/>
                <w:szCs w:val="24"/>
              </w:rPr>
            </w:pPr>
          </w:p>
        </w:tc>
      </w:tr>
    </w:tbl>
    <w:p w14:paraId="201E568A" w14:textId="77777777" w:rsidR="002641D2" w:rsidRPr="00FA3F9C" w:rsidRDefault="002641D2" w:rsidP="006F623F">
      <w:pPr>
        <w:spacing w:after="0"/>
        <w:rPr>
          <w:rFonts w:ascii="Arial" w:hAnsi="Arial" w:cs="Arial"/>
          <w:sz w:val="24"/>
          <w:szCs w:val="24"/>
        </w:rPr>
      </w:pPr>
    </w:p>
    <w:p w14:paraId="46EA9CD6" w14:textId="77777777" w:rsidR="002641D2" w:rsidRPr="00FA3F9C" w:rsidRDefault="002641D2" w:rsidP="006F623F">
      <w:pPr>
        <w:spacing w:after="0"/>
        <w:rPr>
          <w:rFonts w:ascii="Arial" w:hAnsi="Arial" w:cs="Arial"/>
          <w:sz w:val="24"/>
          <w:szCs w:val="24"/>
        </w:rPr>
      </w:pPr>
    </w:p>
    <w:p w14:paraId="318F9A21" w14:textId="77777777" w:rsidR="002641D2" w:rsidRPr="00FA3F9C" w:rsidRDefault="002641D2" w:rsidP="006F623F">
      <w:pPr>
        <w:spacing w:after="0"/>
        <w:rPr>
          <w:rFonts w:ascii="Arial" w:hAnsi="Arial" w:cs="Arial"/>
          <w:sz w:val="24"/>
          <w:szCs w:val="24"/>
        </w:rPr>
      </w:pPr>
      <w:r w:rsidRPr="00FA3F9C">
        <w:rPr>
          <w:rFonts w:ascii="Arial" w:hAnsi="Arial" w:cs="Arial"/>
          <w:sz w:val="24"/>
          <w:szCs w:val="24"/>
        </w:rPr>
        <w:t>Ref:</w:t>
      </w:r>
    </w:p>
    <w:p w14:paraId="6D18BC67" w14:textId="77777777" w:rsidR="002641D2" w:rsidRPr="00FA3F9C" w:rsidRDefault="002641D2" w:rsidP="002641D2">
      <w:pPr>
        <w:pStyle w:val="ListParagraph"/>
        <w:numPr>
          <w:ilvl w:val="0"/>
          <w:numId w:val="223"/>
        </w:numPr>
        <w:spacing w:after="0" w:line="276" w:lineRule="auto"/>
        <w:rPr>
          <w:rFonts w:ascii="Arial" w:hAnsi="Arial" w:cs="Arial"/>
          <w:color w:val="222222"/>
          <w:sz w:val="24"/>
          <w:szCs w:val="24"/>
          <w:shd w:val="clear" w:color="auto" w:fill="FFFFFF"/>
        </w:rPr>
      </w:pPr>
      <w:proofErr w:type="spellStart"/>
      <w:r w:rsidRPr="00FA3F9C">
        <w:rPr>
          <w:rFonts w:ascii="Arial" w:hAnsi="Arial" w:cs="Arial"/>
          <w:color w:val="222222"/>
          <w:sz w:val="24"/>
          <w:szCs w:val="24"/>
          <w:shd w:val="clear" w:color="auto" w:fill="FFFFFF"/>
        </w:rPr>
        <w:t>Castaigne</w:t>
      </w:r>
      <w:proofErr w:type="spellEnd"/>
      <w:r w:rsidRPr="00FA3F9C">
        <w:rPr>
          <w:rFonts w:ascii="Arial" w:hAnsi="Arial" w:cs="Arial"/>
          <w:color w:val="222222"/>
          <w:sz w:val="24"/>
          <w:szCs w:val="24"/>
          <w:shd w:val="clear" w:color="auto" w:fill="FFFFFF"/>
        </w:rPr>
        <w:t xml:space="preserve">, Sylvie, et al. "Effect of </w:t>
      </w:r>
      <w:proofErr w:type="spellStart"/>
      <w:r w:rsidRPr="00FA3F9C">
        <w:rPr>
          <w:rFonts w:ascii="Arial" w:hAnsi="Arial" w:cs="Arial"/>
          <w:color w:val="222222"/>
          <w:sz w:val="24"/>
          <w:szCs w:val="24"/>
          <w:shd w:val="clear" w:color="auto" w:fill="FFFFFF"/>
        </w:rPr>
        <w:t>gemtuzumab</w:t>
      </w:r>
      <w:proofErr w:type="spellEnd"/>
      <w:r w:rsidRPr="00FA3F9C">
        <w:rPr>
          <w:rFonts w:ascii="Arial" w:hAnsi="Arial" w:cs="Arial"/>
          <w:color w:val="222222"/>
          <w:sz w:val="24"/>
          <w:szCs w:val="24"/>
          <w:shd w:val="clear" w:color="auto" w:fill="FFFFFF"/>
        </w:rPr>
        <w:t xml:space="preserve"> </w:t>
      </w:r>
      <w:proofErr w:type="spellStart"/>
      <w:r w:rsidRPr="00FA3F9C">
        <w:rPr>
          <w:rFonts w:ascii="Arial" w:hAnsi="Arial" w:cs="Arial"/>
          <w:color w:val="222222"/>
          <w:sz w:val="24"/>
          <w:szCs w:val="24"/>
          <w:shd w:val="clear" w:color="auto" w:fill="FFFFFF"/>
        </w:rPr>
        <w:t>ozogamicin</w:t>
      </w:r>
      <w:proofErr w:type="spellEnd"/>
      <w:r w:rsidRPr="00FA3F9C">
        <w:rPr>
          <w:rFonts w:ascii="Arial" w:hAnsi="Arial" w:cs="Arial"/>
          <w:color w:val="222222"/>
          <w:sz w:val="24"/>
          <w:szCs w:val="24"/>
          <w:shd w:val="clear" w:color="auto" w:fill="FFFFFF"/>
        </w:rPr>
        <w:t xml:space="preserve"> on survival of adult patients with de-novo acute myeloid </w:t>
      </w:r>
      <w:proofErr w:type="spellStart"/>
      <w:r w:rsidRPr="00FA3F9C">
        <w:rPr>
          <w:rFonts w:ascii="Arial" w:hAnsi="Arial" w:cs="Arial"/>
          <w:color w:val="222222"/>
          <w:sz w:val="24"/>
          <w:szCs w:val="24"/>
          <w:shd w:val="clear" w:color="auto" w:fill="FFFFFF"/>
        </w:rPr>
        <w:t>leukaemia</w:t>
      </w:r>
      <w:proofErr w:type="spellEnd"/>
      <w:r w:rsidRPr="00FA3F9C">
        <w:rPr>
          <w:rFonts w:ascii="Arial" w:hAnsi="Arial" w:cs="Arial"/>
          <w:color w:val="222222"/>
          <w:sz w:val="24"/>
          <w:szCs w:val="24"/>
          <w:shd w:val="clear" w:color="auto" w:fill="FFFFFF"/>
        </w:rPr>
        <w:t xml:space="preserve"> (ALFA-0701): a </w:t>
      </w:r>
      <w:proofErr w:type="spellStart"/>
      <w:r w:rsidRPr="00FA3F9C">
        <w:rPr>
          <w:rFonts w:ascii="Arial" w:hAnsi="Arial" w:cs="Arial"/>
          <w:color w:val="222222"/>
          <w:sz w:val="24"/>
          <w:szCs w:val="24"/>
          <w:shd w:val="clear" w:color="auto" w:fill="FFFFFF"/>
        </w:rPr>
        <w:t>randomised</w:t>
      </w:r>
      <w:proofErr w:type="spellEnd"/>
      <w:r w:rsidRPr="00FA3F9C">
        <w:rPr>
          <w:rFonts w:ascii="Arial" w:hAnsi="Arial" w:cs="Arial"/>
          <w:color w:val="222222"/>
          <w:sz w:val="24"/>
          <w:szCs w:val="24"/>
          <w:shd w:val="clear" w:color="auto" w:fill="FFFFFF"/>
        </w:rPr>
        <w:t xml:space="preserve">, open-label, phase 3 study." The Lancet 379.9825 (2012): 1508-1516. PMID 22482940 </w:t>
      </w:r>
    </w:p>
    <w:p w14:paraId="6900A224" w14:textId="77777777" w:rsidR="002641D2" w:rsidRPr="00FA3F9C" w:rsidRDefault="002641D2" w:rsidP="002641D2">
      <w:pPr>
        <w:pStyle w:val="ListParagraph"/>
        <w:numPr>
          <w:ilvl w:val="0"/>
          <w:numId w:val="223"/>
        </w:numPr>
        <w:spacing w:after="0" w:line="276" w:lineRule="auto"/>
        <w:rPr>
          <w:rFonts w:ascii="Arial" w:hAnsi="Arial" w:cs="Arial"/>
          <w:sz w:val="24"/>
          <w:szCs w:val="24"/>
        </w:rPr>
      </w:pPr>
      <w:r w:rsidRPr="00FA3F9C">
        <w:rPr>
          <w:rFonts w:ascii="Arial" w:hAnsi="Arial" w:cs="Arial"/>
          <w:sz w:val="24"/>
          <w:szCs w:val="24"/>
        </w:rPr>
        <w:t xml:space="preserve">Lexicomp and </w:t>
      </w:r>
      <w:proofErr w:type="spellStart"/>
      <w:r w:rsidRPr="00FA3F9C">
        <w:rPr>
          <w:rFonts w:ascii="Arial" w:hAnsi="Arial" w:cs="Arial"/>
          <w:sz w:val="24"/>
          <w:szCs w:val="24"/>
        </w:rPr>
        <w:t>gemtuzumab</w:t>
      </w:r>
      <w:proofErr w:type="spellEnd"/>
      <w:r w:rsidRPr="00FA3F9C">
        <w:rPr>
          <w:rFonts w:ascii="Arial" w:hAnsi="Arial" w:cs="Arial"/>
          <w:sz w:val="24"/>
          <w:szCs w:val="24"/>
        </w:rPr>
        <w:t xml:space="preserve"> package insert accessed 7/23/19.</w:t>
      </w:r>
    </w:p>
    <w:p w14:paraId="5859407A" w14:textId="77777777" w:rsidR="002641D2" w:rsidRPr="00FA3F9C" w:rsidRDefault="002641D2" w:rsidP="00091FAB">
      <w:pPr>
        <w:spacing w:after="0"/>
        <w:rPr>
          <w:rFonts w:ascii="Arial" w:hAnsi="Arial" w:cs="Arial"/>
          <w:sz w:val="24"/>
          <w:szCs w:val="24"/>
        </w:rPr>
      </w:pPr>
    </w:p>
    <w:p w14:paraId="730B7CC2" w14:textId="77777777" w:rsidR="002641D2" w:rsidRPr="00FA3F9C" w:rsidRDefault="002641D2" w:rsidP="00091FAB">
      <w:pPr>
        <w:spacing w:after="0"/>
        <w:rPr>
          <w:rFonts w:ascii="Arial" w:hAnsi="Arial" w:cs="Arial"/>
          <w:sz w:val="24"/>
          <w:szCs w:val="24"/>
        </w:rPr>
      </w:pPr>
    </w:p>
    <w:p w14:paraId="1ABE02A9" w14:textId="77777777" w:rsidR="002641D2" w:rsidRPr="00FA3F9C" w:rsidRDefault="002641D2" w:rsidP="00091FAB">
      <w:pPr>
        <w:spacing w:after="0"/>
        <w:rPr>
          <w:rFonts w:ascii="Arial" w:hAnsi="Arial" w:cs="Arial"/>
          <w:sz w:val="24"/>
          <w:szCs w:val="24"/>
        </w:rPr>
      </w:pPr>
    </w:p>
    <w:p w14:paraId="0678BB54" w14:textId="77777777" w:rsidR="002641D2" w:rsidRPr="00FA3F9C" w:rsidRDefault="002641D2" w:rsidP="00091FAB">
      <w:pPr>
        <w:spacing w:after="0"/>
        <w:rPr>
          <w:rFonts w:ascii="Arial" w:hAnsi="Arial" w:cs="Arial"/>
          <w:sz w:val="24"/>
          <w:szCs w:val="24"/>
        </w:rPr>
      </w:pPr>
    </w:p>
    <w:p w14:paraId="60B74641" w14:textId="77777777" w:rsidR="002641D2" w:rsidRPr="00FA3F9C" w:rsidRDefault="002641D2" w:rsidP="00091FAB">
      <w:pPr>
        <w:spacing w:after="0"/>
        <w:rPr>
          <w:rFonts w:ascii="Arial" w:hAnsi="Arial" w:cs="Arial"/>
          <w:sz w:val="24"/>
          <w:szCs w:val="24"/>
        </w:rPr>
      </w:pPr>
    </w:p>
    <w:p w14:paraId="09F08873" w14:textId="77777777" w:rsidR="005E2908" w:rsidRDefault="002641D2" w:rsidP="005E2908">
      <w:pPr>
        <w:pStyle w:val="Heading2"/>
      </w:pPr>
      <w:bookmarkStart w:id="127" w:name="_Toc106369810"/>
      <w:proofErr w:type="spellStart"/>
      <w:r w:rsidRPr="00FA3F9C">
        <w:t>Gilteritinib</w:t>
      </w:r>
      <w:proofErr w:type="spellEnd"/>
      <w:r w:rsidRPr="00FA3F9C">
        <w:t xml:space="preserve"> (</w:t>
      </w:r>
      <w:proofErr w:type="spellStart"/>
      <w:r w:rsidRPr="00FA3F9C">
        <w:t>Xospata</w:t>
      </w:r>
      <w:proofErr w:type="spellEnd"/>
      <w:r w:rsidRPr="00FA3F9C">
        <w:t>)</w:t>
      </w:r>
      <w:bookmarkEnd w:id="127"/>
    </w:p>
    <w:p w14:paraId="305FA0BF" w14:textId="147FE7E9" w:rsidR="002641D2" w:rsidRPr="00FA3F9C" w:rsidRDefault="002641D2" w:rsidP="006F623F">
      <w:pPr>
        <w:spacing w:after="0"/>
        <w:jc w:val="center"/>
        <w:rPr>
          <w:rFonts w:ascii="Arial" w:hAnsi="Arial" w:cs="Arial"/>
          <w:sz w:val="24"/>
          <w:szCs w:val="24"/>
        </w:rPr>
      </w:pPr>
      <w:r w:rsidRPr="00FA3F9C">
        <w:rPr>
          <w:rFonts w:ascii="Arial" w:hAnsi="Arial" w:cs="Arial"/>
          <w:sz w:val="24"/>
          <w:szCs w:val="24"/>
        </w:rPr>
        <w:t xml:space="preserve"> 40 mg tablets</w:t>
      </w:r>
    </w:p>
    <w:p w14:paraId="5FA68BF6" w14:textId="77777777" w:rsidR="002641D2" w:rsidRPr="00FA3F9C" w:rsidRDefault="002641D2" w:rsidP="006F623F">
      <w:pPr>
        <w:spacing w:after="0"/>
        <w:jc w:val="center"/>
        <w:rPr>
          <w:rFonts w:ascii="Arial" w:hAnsi="Arial" w:cs="Arial"/>
          <w:sz w:val="24"/>
          <w:szCs w:val="24"/>
        </w:rPr>
      </w:pPr>
      <w:r w:rsidRPr="00FA3F9C">
        <w:rPr>
          <w:rFonts w:ascii="Arial" w:hAnsi="Arial" w:cs="Arial"/>
          <w:sz w:val="24"/>
          <w:szCs w:val="24"/>
        </w:rPr>
        <w:t>EBRx PA Criteria</w:t>
      </w:r>
    </w:p>
    <w:p w14:paraId="13544EA3" w14:textId="77777777" w:rsidR="002641D2" w:rsidRPr="00FA3F9C" w:rsidRDefault="002641D2" w:rsidP="006F623F">
      <w:pPr>
        <w:spacing w:after="0"/>
        <w:rPr>
          <w:rFonts w:ascii="Arial" w:hAnsi="Arial" w:cs="Arial"/>
          <w:b/>
          <w:sz w:val="24"/>
          <w:szCs w:val="24"/>
          <w:u w:val="single"/>
        </w:rPr>
      </w:pPr>
    </w:p>
    <w:p w14:paraId="245976C4" w14:textId="77777777" w:rsidR="002641D2" w:rsidRPr="00FA3F9C" w:rsidRDefault="002641D2"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w:t>
      </w:r>
    </w:p>
    <w:p w14:paraId="172E15D9" w14:textId="77777777" w:rsidR="002641D2" w:rsidRPr="00FA3F9C" w:rsidRDefault="002641D2" w:rsidP="006F623F">
      <w:pPr>
        <w:spacing w:after="0"/>
        <w:rPr>
          <w:rFonts w:ascii="Arial" w:hAnsi="Arial" w:cs="Arial"/>
          <w:sz w:val="24"/>
          <w:szCs w:val="24"/>
        </w:rPr>
      </w:pPr>
      <w:r w:rsidRPr="00FA3F9C">
        <w:rPr>
          <w:rFonts w:ascii="Arial" w:hAnsi="Arial" w:cs="Arial"/>
          <w:sz w:val="24"/>
          <w:szCs w:val="24"/>
        </w:rPr>
        <w:t>Treatment of adult patients who have relapsed or refractory acute myeloid leukemia (AML) with a FLT3 mutation as detected by an FDA-approved test.</w:t>
      </w:r>
    </w:p>
    <w:tbl>
      <w:tblPr>
        <w:tblStyle w:val="TableGrid"/>
        <w:tblW w:w="0" w:type="auto"/>
        <w:tblLook w:val="04A0" w:firstRow="1" w:lastRow="0" w:firstColumn="1" w:lastColumn="0" w:noHBand="0" w:noVBand="1"/>
      </w:tblPr>
      <w:tblGrid>
        <w:gridCol w:w="8928"/>
        <w:gridCol w:w="2088"/>
      </w:tblGrid>
      <w:tr w:rsidR="002641D2" w:rsidRPr="00FA3F9C" w14:paraId="19604393" w14:textId="77777777" w:rsidTr="00571CAB">
        <w:tc>
          <w:tcPr>
            <w:tcW w:w="8928" w:type="dxa"/>
            <w:shd w:val="clear" w:color="auto" w:fill="000000"/>
          </w:tcPr>
          <w:p w14:paraId="5E08D4BC" w14:textId="77777777" w:rsidR="002641D2" w:rsidRPr="00FA3F9C" w:rsidRDefault="002641D2"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88" w:type="dxa"/>
            <w:shd w:val="clear" w:color="auto" w:fill="000000"/>
          </w:tcPr>
          <w:p w14:paraId="13D62543" w14:textId="77777777" w:rsidR="002641D2" w:rsidRPr="00FA3F9C" w:rsidRDefault="002641D2" w:rsidP="006F623F">
            <w:pPr>
              <w:jc w:val="center"/>
              <w:rPr>
                <w:rFonts w:ascii="Arial" w:hAnsi="Arial" w:cs="Arial"/>
                <w:b/>
                <w:sz w:val="24"/>
                <w:szCs w:val="24"/>
                <w:u w:val="single"/>
              </w:rPr>
            </w:pPr>
          </w:p>
        </w:tc>
      </w:tr>
      <w:tr w:rsidR="002641D2" w:rsidRPr="00FA3F9C" w14:paraId="1A092FB0" w14:textId="77777777" w:rsidTr="00F337AE">
        <w:tc>
          <w:tcPr>
            <w:tcW w:w="11016" w:type="dxa"/>
            <w:gridSpan w:val="2"/>
          </w:tcPr>
          <w:p w14:paraId="1D0D15C7" w14:textId="77777777" w:rsidR="002641D2" w:rsidRPr="00FA3F9C" w:rsidRDefault="002641D2" w:rsidP="00F55543">
            <w:pPr>
              <w:rPr>
                <w:rFonts w:ascii="Arial" w:hAnsi="Arial" w:cs="Arial"/>
                <w:sz w:val="24"/>
                <w:szCs w:val="24"/>
              </w:rPr>
            </w:pPr>
            <w:r w:rsidRPr="00FA3F9C">
              <w:rPr>
                <w:rFonts w:ascii="Arial" w:hAnsi="Arial" w:cs="Arial"/>
                <w:sz w:val="24"/>
                <w:szCs w:val="24"/>
              </w:rPr>
              <w:t xml:space="preserve">1. Age </w:t>
            </w:r>
            <w:r w:rsidRPr="00FA3F9C">
              <w:rPr>
                <w:rFonts w:ascii="Arial" w:hAnsi="Arial" w:cs="Arial"/>
                <w:sz w:val="24"/>
                <w:szCs w:val="24"/>
                <w:u w:val="single"/>
              </w:rPr>
              <w:t>&gt;</w:t>
            </w:r>
            <w:r w:rsidRPr="00FA3F9C">
              <w:rPr>
                <w:rFonts w:ascii="Arial" w:hAnsi="Arial" w:cs="Arial"/>
                <w:sz w:val="24"/>
                <w:szCs w:val="24"/>
              </w:rPr>
              <w:t>18 y/o</w:t>
            </w:r>
          </w:p>
        </w:tc>
      </w:tr>
      <w:tr w:rsidR="002641D2" w:rsidRPr="00FA3F9C" w14:paraId="1159A78B" w14:textId="77777777" w:rsidTr="00B1617E">
        <w:tc>
          <w:tcPr>
            <w:tcW w:w="11016" w:type="dxa"/>
            <w:gridSpan w:val="2"/>
          </w:tcPr>
          <w:p w14:paraId="6D7735D9" w14:textId="77777777" w:rsidR="002641D2" w:rsidRPr="00FA3F9C" w:rsidRDefault="002641D2" w:rsidP="00161564">
            <w:pPr>
              <w:rPr>
                <w:rFonts w:ascii="Arial" w:hAnsi="Arial" w:cs="Arial"/>
                <w:sz w:val="24"/>
                <w:szCs w:val="24"/>
              </w:rPr>
            </w:pPr>
            <w:r w:rsidRPr="00FA3F9C">
              <w:rPr>
                <w:rFonts w:ascii="Arial" w:hAnsi="Arial" w:cs="Arial"/>
                <w:sz w:val="24"/>
                <w:szCs w:val="24"/>
              </w:rPr>
              <w:t xml:space="preserve">2. Diagnosis of either relapsed AML (loss of complete remission induced by previous therapy) or refractory AML (did not achieve a complete remission with anthracycline-containing therapy) </w:t>
            </w:r>
          </w:p>
        </w:tc>
      </w:tr>
      <w:tr w:rsidR="002641D2" w:rsidRPr="00FA3F9C" w14:paraId="584A5570" w14:textId="77777777" w:rsidTr="0010789D">
        <w:tc>
          <w:tcPr>
            <w:tcW w:w="11016" w:type="dxa"/>
            <w:gridSpan w:val="2"/>
          </w:tcPr>
          <w:p w14:paraId="377D2D94" w14:textId="77777777" w:rsidR="002641D2" w:rsidRPr="00FA3F9C" w:rsidRDefault="002641D2" w:rsidP="006F623F">
            <w:pPr>
              <w:rPr>
                <w:rFonts w:ascii="Arial" w:hAnsi="Arial" w:cs="Arial"/>
                <w:sz w:val="24"/>
                <w:szCs w:val="24"/>
              </w:rPr>
            </w:pPr>
            <w:r w:rsidRPr="00FA3F9C">
              <w:rPr>
                <w:rFonts w:ascii="Arial" w:hAnsi="Arial" w:cs="Arial"/>
                <w:sz w:val="24"/>
                <w:szCs w:val="24"/>
              </w:rPr>
              <w:t xml:space="preserve">3. Presence of a FLT3 mutation </w:t>
            </w:r>
          </w:p>
        </w:tc>
      </w:tr>
      <w:tr w:rsidR="002641D2" w:rsidRPr="00FA3F9C" w14:paraId="7D3633DC" w14:textId="77777777" w:rsidTr="0010789D">
        <w:tc>
          <w:tcPr>
            <w:tcW w:w="11016" w:type="dxa"/>
            <w:gridSpan w:val="2"/>
          </w:tcPr>
          <w:p w14:paraId="36BC9F40" w14:textId="77777777" w:rsidR="002641D2" w:rsidRPr="00FA3F9C" w:rsidRDefault="002641D2" w:rsidP="006F623F">
            <w:pPr>
              <w:rPr>
                <w:rFonts w:ascii="Arial" w:hAnsi="Arial" w:cs="Arial"/>
                <w:sz w:val="24"/>
                <w:szCs w:val="24"/>
              </w:rPr>
            </w:pPr>
            <w:r w:rsidRPr="00FA3F9C">
              <w:rPr>
                <w:rFonts w:ascii="Arial" w:hAnsi="Arial" w:cs="Arial"/>
                <w:sz w:val="24"/>
                <w:szCs w:val="24"/>
              </w:rPr>
              <w:t xml:space="preserve">4. </w:t>
            </w:r>
            <w:proofErr w:type="spellStart"/>
            <w:r w:rsidRPr="00FA3F9C">
              <w:rPr>
                <w:rFonts w:ascii="Arial" w:hAnsi="Arial" w:cs="Arial"/>
                <w:sz w:val="24"/>
                <w:szCs w:val="24"/>
              </w:rPr>
              <w:t>Gilteritinib</w:t>
            </w:r>
            <w:proofErr w:type="spellEnd"/>
            <w:r w:rsidRPr="00FA3F9C">
              <w:rPr>
                <w:rFonts w:ascii="Arial" w:hAnsi="Arial" w:cs="Arial"/>
                <w:sz w:val="24"/>
                <w:szCs w:val="24"/>
              </w:rPr>
              <w:t xml:space="preserve"> will be used as single agent</w:t>
            </w:r>
          </w:p>
        </w:tc>
      </w:tr>
      <w:tr w:rsidR="002641D2" w:rsidRPr="00FA3F9C" w14:paraId="2F2E3056" w14:textId="77777777" w:rsidTr="00F55543">
        <w:tc>
          <w:tcPr>
            <w:tcW w:w="11016" w:type="dxa"/>
            <w:gridSpan w:val="2"/>
            <w:shd w:val="clear" w:color="auto" w:fill="F2F2F2" w:themeFill="background1" w:themeFillShade="F2"/>
          </w:tcPr>
          <w:p w14:paraId="2370886B" w14:textId="77777777" w:rsidR="002641D2" w:rsidRPr="00FA3F9C" w:rsidRDefault="002641D2" w:rsidP="006F623F">
            <w:pPr>
              <w:rPr>
                <w:rFonts w:ascii="Arial" w:hAnsi="Arial" w:cs="Arial"/>
                <w:sz w:val="24"/>
                <w:szCs w:val="24"/>
              </w:rPr>
            </w:pPr>
            <w:r w:rsidRPr="00FA3F9C">
              <w:rPr>
                <w:rFonts w:ascii="Arial" w:hAnsi="Arial" w:cs="Arial"/>
                <w:sz w:val="24"/>
                <w:szCs w:val="24"/>
              </w:rPr>
              <w:t>If criteria are met, approve x 1 year</w:t>
            </w:r>
          </w:p>
        </w:tc>
      </w:tr>
    </w:tbl>
    <w:p w14:paraId="1A012750" w14:textId="77777777" w:rsidR="002641D2" w:rsidRPr="00FA3F9C" w:rsidRDefault="002641D2" w:rsidP="006F623F">
      <w:pPr>
        <w:spacing w:after="0"/>
        <w:rPr>
          <w:rFonts w:ascii="Arial" w:hAnsi="Arial" w:cs="Arial"/>
          <w:b/>
          <w:sz w:val="24"/>
          <w:szCs w:val="24"/>
          <w:u w:val="single"/>
        </w:rPr>
      </w:pPr>
    </w:p>
    <w:tbl>
      <w:tblPr>
        <w:tblStyle w:val="TableGrid"/>
        <w:tblW w:w="0" w:type="auto"/>
        <w:shd w:val="clear" w:color="auto" w:fill="BFBFBF" w:themeFill="background1" w:themeFillShade="BF"/>
        <w:tblLook w:val="04A0" w:firstRow="1" w:lastRow="0" w:firstColumn="1" w:lastColumn="0" w:noHBand="0" w:noVBand="1"/>
      </w:tblPr>
      <w:tblGrid>
        <w:gridCol w:w="10998"/>
      </w:tblGrid>
      <w:tr w:rsidR="002641D2" w:rsidRPr="00FA3F9C" w14:paraId="080A5B1A" w14:textId="77777777" w:rsidTr="00D82B6E">
        <w:tc>
          <w:tcPr>
            <w:tcW w:w="10998" w:type="dxa"/>
            <w:shd w:val="clear" w:color="auto" w:fill="BFBFBF" w:themeFill="background1" w:themeFillShade="BF"/>
          </w:tcPr>
          <w:p w14:paraId="394DFA42" w14:textId="77777777" w:rsidR="002641D2" w:rsidRPr="00FA3F9C" w:rsidRDefault="002641D2" w:rsidP="00D82B6E">
            <w:pPr>
              <w:rPr>
                <w:rFonts w:ascii="Arial" w:hAnsi="Arial" w:cs="Arial"/>
                <w:sz w:val="24"/>
                <w:szCs w:val="24"/>
              </w:rPr>
            </w:pPr>
            <w:r w:rsidRPr="00FA3F9C">
              <w:rPr>
                <w:rFonts w:ascii="Arial" w:hAnsi="Arial" w:cs="Arial"/>
                <w:sz w:val="24"/>
                <w:szCs w:val="24"/>
              </w:rPr>
              <w:t xml:space="preserve">Note: </w:t>
            </w:r>
          </w:p>
          <w:p w14:paraId="7F8699C7" w14:textId="77777777" w:rsidR="002641D2" w:rsidRPr="00FA3F9C" w:rsidRDefault="002641D2" w:rsidP="00D82B6E">
            <w:pPr>
              <w:rPr>
                <w:rFonts w:ascii="Arial" w:hAnsi="Arial" w:cs="Arial"/>
                <w:sz w:val="24"/>
                <w:szCs w:val="24"/>
              </w:rPr>
            </w:pPr>
            <w:r w:rsidRPr="00FA3F9C">
              <w:rPr>
                <w:rFonts w:ascii="Arial" w:hAnsi="Arial" w:cs="Arial"/>
                <w:sz w:val="24"/>
                <w:szCs w:val="24"/>
              </w:rPr>
              <w:t>Dose 120 mg once daily</w:t>
            </w:r>
          </w:p>
          <w:p w14:paraId="69C66565" w14:textId="77777777" w:rsidR="002641D2" w:rsidRPr="00FA3F9C" w:rsidRDefault="002641D2" w:rsidP="00D82B6E">
            <w:pPr>
              <w:rPr>
                <w:rFonts w:ascii="Arial" w:hAnsi="Arial" w:cs="Arial"/>
                <w:sz w:val="24"/>
                <w:szCs w:val="24"/>
              </w:rPr>
            </w:pPr>
          </w:p>
          <w:p w14:paraId="7B2CC880" w14:textId="77777777" w:rsidR="002641D2" w:rsidRPr="00FA3F9C" w:rsidRDefault="002641D2" w:rsidP="00C64ED2">
            <w:pPr>
              <w:rPr>
                <w:rFonts w:ascii="Arial" w:hAnsi="Arial" w:cs="Arial"/>
                <w:sz w:val="24"/>
                <w:szCs w:val="24"/>
              </w:rPr>
            </w:pPr>
            <w:proofErr w:type="spellStart"/>
            <w:r w:rsidRPr="00FA3F9C">
              <w:rPr>
                <w:rFonts w:ascii="Arial" w:hAnsi="Arial" w:cs="Arial"/>
                <w:sz w:val="24"/>
                <w:szCs w:val="24"/>
              </w:rPr>
              <w:lastRenderedPageBreak/>
              <w:t>Gilteritinib</w:t>
            </w:r>
            <w:proofErr w:type="spellEnd"/>
            <w:r w:rsidRPr="00FA3F9C">
              <w:rPr>
                <w:rFonts w:ascii="Arial" w:hAnsi="Arial" w:cs="Arial"/>
                <w:sz w:val="24"/>
                <w:szCs w:val="24"/>
              </w:rPr>
              <w:t xml:space="preserve"> was compared to traditional salvage chemotherapy in adults with relapsed or refractory FLT3-mutated AML. Chemotherapy arm included high intensity and low intensity regimen. The median duration of therapy was 5 months. Overall survival was improved in the </w:t>
            </w:r>
            <w:proofErr w:type="spellStart"/>
            <w:r w:rsidRPr="00FA3F9C">
              <w:rPr>
                <w:rFonts w:ascii="Arial" w:hAnsi="Arial" w:cs="Arial"/>
                <w:sz w:val="24"/>
                <w:szCs w:val="24"/>
              </w:rPr>
              <w:t>gilteritinib</w:t>
            </w:r>
            <w:proofErr w:type="spellEnd"/>
            <w:r w:rsidRPr="00FA3F9C">
              <w:rPr>
                <w:rFonts w:ascii="Arial" w:hAnsi="Arial" w:cs="Arial"/>
                <w:sz w:val="24"/>
                <w:szCs w:val="24"/>
              </w:rPr>
              <w:t xml:space="preserve"> group (median 9.3 </w:t>
            </w:r>
            <w:proofErr w:type="spellStart"/>
            <w:r w:rsidRPr="00FA3F9C">
              <w:rPr>
                <w:rFonts w:ascii="Arial" w:hAnsi="Arial" w:cs="Arial"/>
                <w:sz w:val="24"/>
                <w:szCs w:val="24"/>
              </w:rPr>
              <w:t>mo</w:t>
            </w:r>
            <w:proofErr w:type="spellEnd"/>
            <w:r w:rsidRPr="00FA3F9C">
              <w:rPr>
                <w:rFonts w:ascii="Arial" w:hAnsi="Arial" w:cs="Arial"/>
                <w:sz w:val="24"/>
                <w:szCs w:val="24"/>
              </w:rPr>
              <w:t xml:space="preserve"> vs 5.6 </w:t>
            </w:r>
            <w:proofErr w:type="spellStart"/>
            <w:r w:rsidRPr="00FA3F9C">
              <w:rPr>
                <w:rFonts w:ascii="Arial" w:hAnsi="Arial" w:cs="Arial"/>
                <w:sz w:val="24"/>
                <w:szCs w:val="24"/>
              </w:rPr>
              <w:t>mo</w:t>
            </w:r>
            <w:proofErr w:type="spellEnd"/>
            <w:r w:rsidRPr="00FA3F9C">
              <w:rPr>
                <w:rFonts w:ascii="Arial" w:hAnsi="Arial" w:cs="Arial"/>
                <w:sz w:val="24"/>
                <w:szCs w:val="24"/>
              </w:rPr>
              <w:t xml:space="preserve">). At 12 months, rate of overall survival was 37% vs 17%. </w:t>
            </w:r>
            <w:proofErr w:type="spellStart"/>
            <w:r w:rsidRPr="00FA3F9C">
              <w:rPr>
                <w:rFonts w:ascii="Arial" w:hAnsi="Arial" w:cs="Arial"/>
                <w:sz w:val="24"/>
                <w:szCs w:val="24"/>
              </w:rPr>
              <w:t>Gilteritinib</w:t>
            </w:r>
            <w:proofErr w:type="spellEnd"/>
            <w:r w:rsidRPr="00FA3F9C">
              <w:rPr>
                <w:rFonts w:ascii="Arial" w:hAnsi="Arial" w:cs="Arial"/>
                <w:sz w:val="24"/>
                <w:szCs w:val="24"/>
              </w:rPr>
              <w:t xml:space="preserve"> was superior to both high intensity and low intensity therapies. More patients in the </w:t>
            </w:r>
            <w:proofErr w:type="spellStart"/>
            <w:r w:rsidRPr="00FA3F9C">
              <w:rPr>
                <w:rFonts w:ascii="Arial" w:hAnsi="Arial" w:cs="Arial"/>
                <w:sz w:val="24"/>
                <w:szCs w:val="24"/>
              </w:rPr>
              <w:t>gilteritinib</w:t>
            </w:r>
            <w:proofErr w:type="spellEnd"/>
            <w:r w:rsidRPr="00FA3F9C">
              <w:rPr>
                <w:rFonts w:ascii="Arial" w:hAnsi="Arial" w:cs="Arial"/>
                <w:sz w:val="24"/>
                <w:szCs w:val="24"/>
              </w:rPr>
              <w:t xml:space="preserve"> were able to proceed to potentially curative stem cell transplant compared to chemotherapy (25.5% vs 15.3%).</w:t>
            </w:r>
          </w:p>
          <w:p w14:paraId="0014DD86" w14:textId="77777777" w:rsidR="002641D2" w:rsidRPr="00FA3F9C" w:rsidRDefault="002641D2" w:rsidP="00C64ED2">
            <w:pPr>
              <w:rPr>
                <w:rFonts w:ascii="Arial" w:hAnsi="Arial" w:cs="Arial"/>
                <w:sz w:val="24"/>
                <w:szCs w:val="24"/>
              </w:rPr>
            </w:pPr>
          </w:p>
          <w:p w14:paraId="3B831D72" w14:textId="77777777" w:rsidR="002641D2" w:rsidRPr="00FA3F9C" w:rsidRDefault="002641D2" w:rsidP="00C64ED2">
            <w:pPr>
              <w:rPr>
                <w:rFonts w:ascii="Arial" w:hAnsi="Arial" w:cs="Arial"/>
                <w:sz w:val="24"/>
                <w:szCs w:val="24"/>
              </w:rPr>
            </w:pPr>
            <w:r w:rsidRPr="00FA3F9C">
              <w:rPr>
                <w:rFonts w:ascii="Arial" w:hAnsi="Arial" w:cs="Arial"/>
                <w:sz w:val="24"/>
                <w:szCs w:val="24"/>
              </w:rPr>
              <w:t>Reference:</w:t>
            </w:r>
          </w:p>
          <w:p w14:paraId="300D67FF" w14:textId="77777777" w:rsidR="002641D2" w:rsidRPr="00FA3F9C" w:rsidRDefault="002641D2" w:rsidP="00C64ED2">
            <w:pPr>
              <w:rPr>
                <w:rFonts w:ascii="Arial" w:hAnsi="Arial" w:cs="Arial"/>
                <w:sz w:val="24"/>
                <w:szCs w:val="24"/>
              </w:rPr>
            </w:pPr>
            <w:proofErr w:type="spellStart"/>
            <w:r w:rsidRPr="00FA3F9C">
              <w:rPr>
                <w:rFonts w:ascii="Arial" w:hAnsi="Arial" w:cs="Arial"/>
                <w:sz w:val="24"/>
                <w:szCs w:val="24"/>
              </w:rPr>
              <w:t>Xospata</w:t>
            </w:r>
            <w:proofErr w:type="spellEnd"/>
            <w:r w:rsidRPr="00FA3F9C">
              <w:rPr>
                <w:rFonts w:ascii="Arial" w:hAnsi="Arial" w:cs="Arial"/>
                <w:sz w:val="24"/>
                <w:szCs w:val="24"/>
              </w:rPr>
              <w:t xml:space="preserve"> package insert. Astellas. May 2019. Accessed 6/19/19 at </w:t>
            </w:r>
            <w:hyperlink r:id="rId178" w:history="1">
              <w:r w:rsidRPr="00FA3F9C">
                <w:rPr>
                  <w:rStyle w:val="Hyperlink"/>
                  <w:rFonts w:ascii="Arial" w:hAnsi="Arial" w:cs="Arial"/>
                  <w:sz w:val="24"/>
                  <w:szCs w:val="24"/>
                </w:rPr>
                <w:t>https://astellas.us/docs/xospata.pdf</w:t>
              </w:r>
            </w:hyperlink>
            <w:r w:rsidRPr="00FA3F9C">
              <w:rPr>
                <w:rFonts w:ascii="Arial" w:hAnsi="Arial" w:cs="Arial"/>
                <w:sz w:val="24"/>
                <w:szCs w:val="24"/>
              </w:rPr>
              <w:t xml:space="preserve"> </w:t>
            </w:r>
          </w:p>
          <w:p w14:paraId="0D5B70FD" w14:textId="77777777" w:rsidR="002641D2" w:rsidRPr="00FA3F9C" w:rsidRDefault="002641D2" w:rsidP="007D221A">
            <w:pPr>
              <w:rPr>
                <w:rFonts w:ascii="Arial" w:hAnsi="Arial" w:cs="Arial"/>
                <w:sz w:val="24"/>
                <w:szCs w:val="24"/>
              </w:rPr>
            </w:pPr>
            <w:r w:rsidRPr="00FA3F9C">
              <w:rPr>
                <w:rFonts w:ascii="Arial" w:hAnsi="Arial" w:cs="Arial"/>
                <w:sz w:val="24"/>
                <w:szCs w:val="24"/>
              </w:rPr>
              <w:t xml:space="preserve">Perl AE et al. </w:t>
            </w:r>
            <w:proofErr w:type="spellStart"/>
            <w:r w:rsidRPr="00FA3F9C">
              <w:rPr>
                <w:rFonts w:ascii="Arial" w:hAnsi="Arial" w:cs="Arial"/>
                <w:sz w:val="24"/>
                <w:szCs w:val="24"/>
              </w:rPr>
              <w:t>Gilteritinib</w:t>
            </w:r>
            <w:proofErr w:type="spellEnd"/>
            <w:r w:rsidRPr="00FA3F9C">
              <w:rPr>
                <w:rFonts w:ascii="Arial" w:hAnsi="Arial" w:cs="Arial"/>
                <w:sz w:val="24"/>
                <w:szCs w:val="24"/>
              </w:rPr>
              <w:t xml:space="preserve"> or chemotherapy for relapsed or refractory FLT3-mutated AML. N </w:t>
            </w:r>
            <w:proofErr w:type="spellStart"/>
            <w:r w:rsidRPr="00FA3F9C">
              <w:rPr>
                <w:rFonts w:ascii="Arial" w:hAnsi="Arial" w:cs="Arial"/>
                <w:sz w:val="24"/>
                <w:szCs w:val="24"/>
              </w:rPr>
              <w:t>Engl</w:t>
            </w:r>
            <w:proofErr w:type="spellEnd"/>
            <w:r w:rsidRPr="00FA3F9C">
              <w:rPr>
                <w:rFonts w:ascii="Arial" w:hAnsi="Arial" w:cs="Arial"/>
                <w:sz w:val="24"/>
                <w:szCs w:val="24"/>
              </w:rPr>
              <w:t xml:space="preserve"> J Med 2019; 381:1728-1740. PMID 31665578 NCT02421939 </w:t>
            </w:r>
          </w:p>
        </w:tc>
      </w:tr>
    </w:tbl>
    <w:p w14:paraId="1055A8F9" w14:textId="77777777" w:rsidR="002641D2" w:rsidRPr="00FA3F9C" w:rsidRDefault="002641D2" w:rsidP="006F623F">
      <w:pPr>
        <w:spacing w:after="0"/>
        <w:rPr>
          <w:rFonts w:ascii="Arial" w:hAnsi="Arial" w:cs="Arial"/>
          <w:sz w:val="24"/>
          <w:szCs w:val="24"/>
        </w:rPr>
      </w:pPr>
    </w:p>
    <w:p w14:paraId="41401899" w14:textId="77777777" w:rsidR="002641D2" w:rsidRPr="00FA3F9C" w:rsidRDefault="002641D2" w:rsidP="006F623F">
      <w:pPr>
        <w:spacing w:after="0"/>
        <w:rPr>
          <w:rFonts w:ascii="Arial" w:hAnsi="Arial" w:cs="Arial"/>
          <w:sz w:val="24"/>
          <w:szCs w:val="24"/>
        </w:rPr>
      </w:pPr>
      <w:r w:rsidRPr="00FA3F9C">
        <w:rPr>
          <w:rFonts w:ascii="Arial" w:hAnsi="Arial" w:cs="Arial"/>
          <w:sz w:val="24"/>
          <w:szCs w:val="24"/>
        </w:rPr>
        <w:t>Quantity Limits: 90 tablets/30 days</w:t>
      </w:r>
    </w:p>
    <w:p w14:paraId="52FC6BA4" w14:textId="77777777" w:rsidR="002641D2" w:rsidRPr="00FA3F9C" w:rsidRDefault="002641D2" w:rsidP="006F623F">
      <w:pPr>
        <w:spacing w:after="0"/>
        <w:rPr>
          <w:rFonts w:ascii="Arial" w:hAnsi="Arial" w:cs="Arial"/>
          <w:sz w:val="24"/>
          <w:szCs w:val="24"/>
        </w:rPr>
      </w:pPr>
    </w:p>
    <w:p w14:paraId="38BA460D" w14:textId="77777777" w:rsidR="002641D2" w:rsidRPr="00FA3F9C" w:rsidRDefault="002641D2"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418"/>
        <w:gridCol w:w="7470"/>
        <w:gridCol w:w="2538"/>
      </w:tblGrid>
      <w:tr w:rsidR="002641D2" w:rsidRPr="00FA3F9C" w14:paraId="7CA43CAF" w14:textId="77777777" w:rsidTr="00FE491B">
        <w:tc>
          <w:tcPr>
            <w:tcW w:w="1008" w:type="dxa"/>
          </w:tcPr>
          <w:p w14:paraId="5D1E2189" w14:textId="77777777" w:rsidR="002641D2" w:rsidRPr="00FA3F9C" w:rsidRDefault="002641D2" w:rsidP="006F623F">
            <w:pPr>
              <w:rPr>
                <w:rFonts w:ascii="Arial" w:hAnsi="Arial" w:cs="Arial"/>
                <w:sz w:val="24"/>
                <w:szCs w:val="24"/>
              </w:rPr>
            </w:pPr>
            <w:r w:rsidRPr="00FA3F9C">
              <w:rPr>
                <w:rFonts w:ascii="Arial" w:hAnsi="Arial" w:cs="Arial"/>
                <w:sz w:val="24"/>
                <w:szCs w:val="24"/>
              </w:rPr>
              <w:t>Date</w:t>
            </w:r>
          </w:p>
        </w:tc>
        <w:tc>
          <w:tcPr>
            <w:tcW w:w="7470" w:type="dxa"/>
          </w:tcPr>
          <w:p w14:paraId="67F9632D" w14:textId="77777777" w:rsidR="002641D2" w:rsidRPr="00FA3F9C" w:rsidRDefault="002641D2" w:rsidP="006F623F">
            <w:pPr>
              <w:rPr>
                <w:rFonts w:ascii="Arial" w:hAnsi="Arial" w:cs="Arial"/>
                <w:sz w:val="24"/>
                <w:szCs w:val="24"/>
              </w:rPr>
            </w:pPr>
            <w:r w:rsidRPr="00FA3F9C">
              <w:rPr>
                <w:rFonts w:ascii="Arial" w:hAnsi="Arial" w:cs="Arial"/>
                <w:sz w:val="24"/>
                <w:szCs w:val="24"/>
              </w:rPr>
              <w:t>What changed</w:t>
            </w:r>
          </w:p>
        </w:tc>
        <w:tc>
          <w:tcPr>
            <w:tcW w:w="2538" w:type="dxa"/>
          </w:tcPr>
          <w:p w14:paraId="655EB074" w14:textId="77777777" w:rsidR="002641D2" w:rsidRPr="00FA3F9C" w:rsidRDefault="002641D2" w:rsidP="006F623F">
            <w:pPr>
              <w:rPr>
                <w:rFonts w:ascii="Arial" w:hAnsi="Arial" w:cs="Arial"/>
                <w:sz w:val="24"/>
                <w:szCs w:val="24"/>
              </w:rPr>
            </w:pPr>
            <w:r w:rsidRPr="00FA3F9C">
              <w:rPr>
                <w:rFonts w:ascii="Arial" w:hAnsi="Arial" w:cs="Arial"/>
                <w:sz w:val="24"/>
                <w:szCs w:val="24"/>
              </w:rPr>
              <w:t>Pharmacist’s initials</w:t>
            </w:r>
          </w:p>
        </w:tc>
      </w:tr>
      <w:tr w:rsidR="002641D2" w:rsidRPr="00FA3F9C" w14:paraId="295038CB" w14:textId="77777777" w:rsidTr="00FE491B">
        <w:tc>
          <w:tcPr>
            <w:tcW w:w="1008" w:type="dxa"/>
          </w:tcPr>
          <w:p w14:paraId="43B91104" w14:textId="77777777" w:rsidR="002641D2" w:rsidRPr="00FA3F9C" w:rsidRDefault="002641D2" w:rsidP="006F623F">
            <w:pPr>
              <w:rPr>
                <w:rFonts w:ascii="Arial" w:hAnsi="Arial" w:cs="Arial"/>
                <w:sz w:val="24"/>
                <w:szCs w:val="24"/>
              </w:rPr>
            </w:pPr>
            <w:r w:rsidRPr="00FA3F9C">
              <w:rPr>
                <w:rFonts w:ascii="Arial" w:hAnsi="Arial" w:cs="Arial"/>
                <w:sz w:val="24"/>
                <w:szCs w:val="24"/>
              </w:rPr>
              <w:t>6/19/19</w:t>
            </w:r>
          </w:p>
        </w:tc>
        <w:tc>
          <w:tcPr>
            <w:tcW w:w="7470" w:type="dxa"/>
          </w:tcPr>
          <w:p w14:paraId="2DCEA1A4" w14:textId="77777777" w:rsidR="002641D2" w:rsidRPr="00FA3F9C" w:rsidRDefault="002641D2" w:rsidP="006F623F">
            <w:pPr>
              <w:rPr>
                <w:rFonts w:ascii="Arial" w:hAnsi="Arial" w:cs="Arial"/>
                <w:sz w:val="24"/>
                <w:szCs w:val="24"/>
              </w:rPr>
            </w:pPr>
            <w:r w:rsidRPr="00FA3F9C">
              <w:rPr>
                <w:rFonts w:ascii="Arial" w:hAnsi="Arial" w:cs="Arial"/>
                <w:sz w:val="24"/>
                <w:szCs w:val="24"/>
              </w:rPr>
              <w:t>Criteria written</w:t>
            </w:r>
          </w:p>
        </w:tc>
        <w:tc>
          <w:tcPr>
            <w:tcW w:w="2538" w:type="dxa"/>
          </w:tcPr>
          <w:p w14:paraId="6B1BEC96" w14:textId="77777777" w:rsidR="002641D2" w:rsidRPr="00FA3F9C" w:rsidRDefault="002641D2" w:rsidP="006F623F">
            <w:pPr>
              <w:rPr>
                <w:rFonts w:ascii="Arial" w:hAnsi="Arial" w:cs="Arial"/>
                <w:sz w:val="24"/>
                <w:szCs w:val="24"/>
              </w:rPr>
            </w:pPr>
            <w:r w:rsidRPr="00FA3F9C">
              <w:rPr>
                <w:rFonts w:ascii="Arial" w:hAnsi="Arial" w:cs="Arial"/>
                <w:sz w:val="24"/>
                <w:szCs w:val="24"/>
              </w:rPr>
              <w:t>SK</w:t>
            </w:r>
          </w:p>
        </w:tc>
      </w:tr>
      <w:tr w:rsidR="002641D2" w:rsidRPr="00FA3F9C" w14:paraId="3CF6728E" w14:textId="77777777" w:rsidTr="00FE491B">
        <w:tc>
          <w:tcPr>
            <w:tcW w:w="1008" w:type="dxa"/>
          </w:tcPr>
          <w:p w14:paraId="059F98CB" w14:textId="77777777" w:rsidR="002641D2" w:rsidRPr="00FA3F9C" w:rsidRDefault="002641D2" w:rsidP="006F623F">
            <w:pPr>
              <w:rPr>
                <w:rFonts w:ascii="Arial" w:hAnsi="Arial" w:cs="Arial"/>
                <w:sz w:val="24"/>
                <w:szCs w:val="24"/>
              </w:rPr>
            </w:pPr>
            <w:r w:rsidRPr="00FA3F9C">
              <w:rPr>
                <w:rFonts w:ascii="Arial" w:hAnsi="Arial" w:cs="Arial"/>
                <w:sz w:val="24"/>
                <w:szCs w:val="24"/>
              </w:rPr>
              <w:t>11/25/19</w:t>
            </w:r>
          </w:p>
        </w:tc>
        <w:tc>
          <w:tcPr>
            <w:tcW w:w="7470" w:type="dxa"/>
          </w:tcPr>
          <w:p w14:paraId="56B55D71" w14:textId="77777777" w:rsidR="002641D2" w:rsidRPr="00FA3F9C" w:rsidRDefault="002641D2" w:rsidP="006F623F">
            <w:pPr>
              <w:rPr>
                <w:rFonts w:ascii="Arial" w:hAnsi="Arial" w:cs="Arial"/>
                <w:sz w:val="24"/>
                <w:szCs w:val="24"/>
              </w:rPr>
            </w:pPr>
            <w:r w:rsidRPr="00FA3F9C">
              <w:rPr>
                <w:rFonts w:ascii="Arial" w:hAnsi="Arial" w:cs="Arial"/>
                <w:sz w:val="24"/>
                <w:szCs w:val="24"/>
              </w:rPr>
              <w:t>Full study released. Added reference. Added that refractory AML requires prior treatment with anthracycline-containing therapy.</w:t>
            </w:r>
          </w:p>
        </w:tc>
        <w:tc>
          <w:tcPr>
            <w:tcW w:w="2538" w:type="dxa"/>
          </w:tcPr>
          <w:p w14:paraId="06CE8CA6" w14:textId="77777777" w:rsidR="002641D2" w:rsidRPr="00FA3F9C" w:rsidRDefault="002641D2" w:rsidP="006F623F">
            <w:pPr>
              <w:rPr>
                <w:rFonts w:ascii="Arial" w:hAnsi="Arial" w:cs="Arial"/>
                <w:sz w:val="24"/>
                <w:szCs w:val="24"/>
              </w:rPr>
            </w:pPr>
            <w:r w:rsidRPr="00FA3F9C">
              <w:rPr>
                <w:rFonts w:ascii="Arial" w:hAnsi="Arial" w:cs="Arial"/>
                <w:sz w:val="24"/>
                <w:szCs w:val="24"/>
              </w:rPr>
              <w:t>SK</w:t>
            </w:r>
          </w:p>
        </w:tc>
      </w:tr>
      <w:tr w:rsidR="002641D2" w:rsidRPr="00FA3F9C" w14:paraId="1EBE29A2" w14:textId="77777777" w:rsidTr="00FE491B">
        <w:tc>
          <w:tcPr>
            <w:tcW w:w="1008" w:type="dxa"/>
          </w:tcPr>
          <w:p w14:paraId="5595788B" w14:textId="77777777" w:rsidR="002641D2" w:rsidRPr="00FA3F9C" w:rsidRDefault="002641D2" w:rsidP="006F623F">
            <w:pPr>
              <w:rPr>
                <w:rFonts w:ascii="Arial" w:hAnsi="Arial" w:cs="Arial"/>
                <w:sz w:val="24"/>
                <w:szCs w:val="24"/>
              </w:rPr>
            </w:pPr>
            <w:r w:rsidRPr="00FA3F9C">
              <w:rPr>
                <w:rFonts w:ascii="Arial" w:hAnsi="Arial" w:cs="Arial"/>
                <w:sz w:val="24"/>
                <w:szCs w:val="24"/>
              </w:rPr>
              <w:t>12/29/2020</w:t>
            </w:r>
          </w:p>
        </w:tc>
        <w:tc>
          <w:tcPr>
            <w:tcW w:w="7470" w:type="dxa"/>
          </w:tcPr>
          <w:p w14:paraId="623E46DC" w14:textId="77777777" w:rsidR="002641D2" w:rsidRPr="00FA3F9C" w:rsidRDefault="002641D2" w:rsidP="006F623F">
            <w:pPr>
              <w:rPr>
                <w:rFonts w:ascii="Arial" w:hAnsi="Arial" w:cs="Arial"/>
                <w:sz w:val="24"/>
                <w:szCs w:val="24"/>
              </w:rPr>
            </w:pPr>
            <w:r w:rsidRPr="00FA3F9C">
              <w:rPr>
                <w:rFonts w:ascii="Arial" w:hAnsi="Arial" w:cs="Arial"/>
                <w:sz w:val="24"/>
                <w:szCs w:val="24"/>
              </w:rPr>
              <w:t>Criteria reviewed. No change</w:t>
            </w:r>
          </w:p>
        </w:tc>
        <w:tc>
          <w:tcPr>
            <w:tcW w:w="2538" w:type="dxa"/>
          </w:tcPr>
          <w:p w14:paraId="0A314203" w14:textId="77777777" w:rsidR="002641D2" w:rsidRPr="00FA3F9C" w:rsidRDefault="002641D2" w:rsidP="006F623F">
            <w:pPr>
              <w:rPr>
                <w:rFonts w:ascii="Arial" w:hAnsi="Arial" w:cs="Arial"/>
                <w:sz w:val="24"/>
                <w:szCs w:val="24"/>
              </w:rPr>
            </w:pPr>
            <w:r w:rsidRPr="00FA3F9C">
              <w:rPr>
                <w:rFonts w:ascii="Arial" w:hAnsi="Arial" w:cs="Arial"/>
                <w:sz w:val="24"/>
                <w:szCs w:val="24"/>
              </w:rPr>
              <w:t>SK</w:t>
            </w:r>
          </w:p>
        </w:tc>
      </w:tr>
    </w:tbl>
    <w:p w14:paraId="004FFCB4" w14:textId="77777777" w:rsidR="002641D2" w:rsidRPr="00FA3F9C" w:rsidRDefault="002641D2" w:rsidP="006F623F">
      <w:pPr>
        <w:spacing w:after="0"/>
        <w:rPr>
          <w:rFonts w:ascii="Arial" w:hAnsi="Arial" w:cs="Arial"/>
          <w:sz w:val="24"/>
          <w:szCs w:val="24"/>
        </w:rPr>
      </w:pPr>
    </w:p>
    <w:p w14:paraId="0EC25C2B" w14:textId="77777777" w:rsidR="005E2908" w:rsidRDefault="002641D2" w:rsidP="005E2908">
      <w:pPr>
        <w:pStyle w:val="Heading2"/>
      </w:pPr>
      <w:bookmarkStart w:id="128" w:name="_Toc106369811"/>
      <w:proofErr w:type="spellStart"/>
      <w:r w:rsidRPr="00FA3F9C">
        <w:t>Givosiran</w:t>
      </w:r>
      <w:proofErr w:type="spellEnd"/>
      <w:r w:rsidRPr="00FA3F9C">
        <w:t xml:space="preserve"> (</w:t>
      </w:r>
      <w:proofErr w:type="spellStart"/>
      <w:r w:rsidRPr="00FA3F9C">
        <w:t>Givlaari</w:t>
      </w:r>
      <w:proofErr w:type="spellEnd"/>
      <w:r w:rsidRPr="00FA3F9C">
        <w:t>)</w:t>
      </w:r>
      <w:bookmarkEnd w:id="128"/>
      <w:r w:rsidRPr="00FA3F9C">
        <w:t xml:space="preserve"> </w:t>
      </w:r>
    </w:p>
    <w:p w14:paraId="0F6A58DB" w14:textId="6EA36E10" w:rsidR="002641D2" w:rsidRPr="005E2908" w:rsidRDefault="002641D2" w:rsidP="006F623F">
      <w:pPr>
        <w:spacing w:after="0"/>
        <w:jc w:val="center"/>
        <w:rPr>
          <w:rFonts w:ascii="Arial" w:hAnsi="Arial" w:cs="Arial"/>
          <w:sz w:val="24"/>
          <w:szCs w:val="24"/>
          <w:lang w:val="fr-FR"/>
        </w:rPr>
      </w:pPr>
      <w:r w:rsidRPr="005E2908">
        <w:rPr>
          <w:rFonts w:ascii="Arial" w:hAnsi="Arial" w:cs="Arial"/>
          <w:sz w:val="24"/>
          <w:szCs w:val="24"/>
          <w:lang w:val="fr-FR"/>
        </w:rPr>
        <w:t>SC solution 189mg/</w:t>
      </w:r>
      <w:proofErr w:type="spellStart"/>
      <w:r w:rsidRPr="005E2908">
        <w:rPr>
          <w:rFonts w:ascii="Arial" w:hAnsi="Arial" w:cs="Arial"/>
          <w:sz w:val="24"/>
          <w:szCs w:val="24"/>
          <w:lang w:val="fr-FR"/>
        </w:rPr>
        <w:t>mL</w:t>
      </w:r>
      <w:proofErr w:type="spellEnd"/>
    </w:p>
    <w:p w14:paraId="7DDF880C" w14:textId="77777777" w:rsidR="002641D2" w:rsidRPr="005E2908" w:rsidRDefault="002641D2" w:rsidP="006F623F">
      <w:pPr>
        <w:spacing w:after="0"/>
        <w:jc w:val="center"/>
        <w:rPr>
          <w:rFonts w:ascii="Arial" w:hAnsi="Arial" w:cs="Arial"/>
          <w:sz w:val="24"/>
          <w:szCs w:val="24"/>
          <w:lang w:val="fr-FR"/>
        </w:rPr>
      </w:pPr>
      <w:r w:rsidRPr="005E2908">
        <w:rPr>
          <w:rFonts w:ascii="Arial" w:hAnsi="Arial" w:cs="Arial"/>
          <w:sz w:val="24"/>
          <w:szCs w:val="24"/>
          <w:lang w:val="fr-FR"/>
        </w:rPr>
        <w:t xml:space="preserve">EBRx PA </w:t>
      </w:r>
      <w:proofErr w:type="spellStart"/>
      <w:r w:rsidRPr="005E2908">
        <w:rPr>
          <w:rFonts w:ascii="Arial" w:hAnsi="Arial" w:cs="Arial"/>
          <w:sz w:val="24"/>
          <w:szCs w:val="24"/>
          <w:lang w:val="fr-FR"/>
        </w:rPr>
        <w:t>Criteria</w:t>
      </w:r>
      <w:proofErr w:type="spellEnd"/>
    </w:p>
    <w:p w14:paraId="037320EF" w14:textId="77777777" w:rsidR="002641D2" w:rsidRPr="00FA3F9C" w:rsidRDefault="002641D2" w:rsidP="006F623F">
      <w:pPr>
        <w:spacing w:after="0"/>
        <w:jc w:val="center"/>
        <w:rPr>
          <w:rFonts w:ascii="Arial" w:hAnsi="Arial" w:cs="Arial"/>
          <w:sz w:val="24"/>
          <w:szCs w:val="24"/>
        </w:rPr>
      </w:pPr>
      <w:r w:rsidRPr="00FA3F9C">
        <w:rPr>
          <w:rFonts w:ascii="Arial" w:hAnsi="Arial" w:cs="Arial"/>
          <w:sz w:val="24"/>
          <w:szCs w:val="24"/>
          <w:highlight w:val="yellow"/>
        </w:rPr>
        <w:t>Medical PA—This drug must be administered by a healthcare professional.</w:t>
      </w:r>
    </w:p>
    <w:p w14:paraId="72C32BF1" w14:textId="77777777" w:rsidR="002641D2" w:rsidRPr="00FA3F9C" w:rsidRDefault="002641D2" w:rsidP="006F623F">
      <w:pPr>
        <w:spacing w:after="0"/>
        <w:rPr>
          <w:rFonts w:ascii="Arial" w:hAnsi="Arial" w:cs="Arial"/>
          <w:b/>
          <w:sz w:val="24"/>
          <w:szCs w:val="24"/>
          <w:u w:val="single"/>
        </w:rPr>
      </w:pPr>
    </w:p>
    <w:p w14:paraId="4479A274" w14:textId="77777777" w:rsidR="002641D2" w:rsidRPr="00FA3F9C" w:rsidRDefault="002641D2"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Treatment of adults with acute hepatic porphyria.</w:t>
      </w:r>
    </w:p>
    <w:tbl>
      <w:tblPr>
        <w:tblStyle w:val="TableGrid"/>
        <w:tblW w:w="0" w:type="auto"/>
        <w:tblLook w:val="04A0" w:firstRow="1" w:lastRow="0" w:firstColumn="1" w:lastColumn="0" w:noHBand="0" w:noVBand="1"/>
      </w:tblPr>
      <w:tblGrid>
        <w:gridCol w:w="8928"/>
        <w:gridCol w:w="2088"/>
      </w:tblGrid>
      <w:tr w:rsidR="002641D2" w:rsidRPr="00FA3F9C" w14:paraId="6175BC32" w14:textId="77777777" w:rsidTr="00571CAB">
        <w:tc>
          <w:tcPr>
            <w:tcW w:w="8928" w:type="dxa"/>
            <w:shd w:val="clear" w:color="auto" w:fill="000000"/>
          </w:tcPr>
          <w:p w14:paraId="095A172F" w14:textId="77777777" w:rsidR="002641D2" w:rsidRPr="00FA3F9C" w:rsidRDefault="002641D2"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88" w:type="dxa"/>
            <w:shd w:val="clear" w:color="auto" w:fill="000000"/>
          </w:tcPr>
          <w:p w14:paraId="60380DC9" w14:textId="77777777" w:rsidR="002641D2" w:rsidRPr="00FA3F9C" w:rsidRDefault="002641D2" w:rsidP="006F623F">
            <w:pPr>
              <w:jc w:val="center"/>
              <w:rPr>
                <w:rFonts w:ascii="Arial" w:hAnsi="Arial" w:cs="Arial"/>
                <w:b/>
                <w:sz w:val="24"/>
                <w:szCs w:val="24"/>
                <w:u w:val="single"/>
              </w:rPr>
            </w:pPr>
          </w:p>
        </w:tc>
      </w:tr>
      <w:tr w:rsidR="002641D2" w:rsidRPr="00FA3F9C" w14:paraId="30A5B385" w14:textId="77777777" w:rsidTr="00F337AE">
        <w:tc>
          <w:tcPr>
            <w:tcW w:w="11016" w:type="dxa"/>
            <w:gridSpan w:val="2"/>
          </w:tcPr>
          <w:p w14:paraId="7CC1C4BE" w14:textId="77777777" w:rsidR="002641D2" w:rsidRPr="00FA3F9C" w:rsidRDefault="002641D2" w:rsidP="006F623F">
            <w:pPr>
              <w:rPr>
                <w:rFonts w:ascii="Arial" w:hAnsi="Arial" w:cs="Arial"/>
                <w:sz w:val="24"/>
                <w:szCs w:val="24"/>
              </w:rPr>
            </w:pPr>
            <w:r w:rsidRPr="00FA3F9C">
              <w:rPr>
                <w:rFonts w:ascii="Arial" w:hAnsi="Arial" w:cs="Arial"/>
                <w:sz w:val="24"/>
                <w:szCs w:val="24"/>
              </w:rPr>
              <w:t>1. The patient must have the diagnosis of acute hepatic porphyria.</w:t>
            </w:r>
          </w:p>
        </w:tc>
      </w:tr>
    </w:tbl>
    <w:p w14:paraId="5FE4D0F4" w14:textId="77777777" w:rsidR="002641D2" w:rsidRPr="00FA3F9C" w:rsidRDefault="002641D2" w:rsidP="006F623F">
      <w:pPr>
        <w:spacing w:after="0"/>
        <w:rPr>
          <w:rFonts w:ascii="Arial" w:hAnsi="Arial" w:cs="Arial"/>
          <w:sz w:val="24"/>
          <w:szCs w:val="24"/>
        </w:rPr>
      </w:pPr>
    </w:p>
    <w:p w14:paraId="68310019" w14:textId="77777777" w:rsidR="002641D2" w:rsidRPr="00FA3F9C" w:rsidRDefault="002641D2" w:rsidP="006F623F">
      <w:pPr>
        <w:spacing w:after="0"/>
        <w:rPr>
          <w:rFonts w:ascii="Arial" w:hAnsi="Arial" w:cs="Arial"/>
          <w:sz w:val="24"/>
          <w:szCs w:val="24"/>
        </w:rPr>
      </w:pPr>
      <w:r w:rsidRPr="00FA3F9C">
        <w:rPr>
          <w:rFonts w:ascii="Arial" w:hAnsi="Arial" w:cs="Arial"/>
          <w:sz w:val="24"/>
          <w:szCs w:val="24"/>
        </w:rPr>
        <w:t>Quantity Limits: 1 injection per claim</w:t>
      </w:r>
    </w:p>
    <w:p w14:paraId="3ADDA8A8" w14:textId="77777777" w:rsidR="002641D2" w:rsidRPr="00FA3F9C" w:rsidRDefault="002641D2" w:rsidP="006F623F">
      <w:pPr>
        <w:spacing w:after="0"/>
        <w:rPr>
          <w:rFonts w:ascii="Arial" w:hAnsi="Arial" w:cs="Arial"/>
          <w:sz w:val="24"/>
          <w:szCs w:val="24"/>
        </w:rPr>
      </w:pPr>
    </w:p>
    <w:p w14:paraId="649C0C3F" w14:textId="77777777" w:rsidR="002641D2" w:rsidRPr="00FA3F9C" w:rsidRDefault="002641D2" w:rsidP="006F623F">
      <w:pPr>
        <w:spacing w:after="0"/>
        <w:rPr>
          <w:rFonts w:ascii="Arial" w:hAnsi="Arial" w:cs="Arial"/>
          <w:sz w:val="24"/>
          <w:szCs w:val="24"/>
        </w:rPr>
      </w:pPr>
      <w:r w:rsidRPr="00FA3F9C">
        <w:rPr>
          <w:rFonts w:ascii="Arial" w:hAnsi="Arial" w:cs="Arial"/>
          <w:sz w:val="24"/>
          <w:szCs w:val="24"/>
        </w:rPr>
        <w:lastRenderedPageBreak/>
        <w:t>Revision History:</w:t>
      </w:r>
    </w:p>
    <w:tbl>
      <w:tblPr>
        <w:tblStyle w:val="TableGrid"/>
        <w:tblW w:w="0" w:type="auto"/>
        <w:tblLook w:val="04A0" w:firstRow="1" w:lastRow="0" w:firstColumn="1" w:lastColumn="0" w:noHBand="0" w:noVBand="1"/>
      </w:tblPr>
      <w:tblGrid>
        <w:gridCol w:w="1284"/>
        <w:gridCol w:w="7470"/>
        <w:gridCol w:w="2538"/>
      </w:tblGrid>
      <w:tr w:rsidR="002641D2" w:rsidRPr="00FA3F9C" w14:paraId="591AB9EA" w14:textId="77777777" w:rsidTr="00FE491B">
        <w:tc>
          <w:tcPr>
            <w:tcW w:w="1008" w:type="dxa"/>
          </w:tcPr>
          <w:p w14:paraId="518EB736" w14:textId="77777777" w:rsidR="002641D2" w:rsidRPr="00FA3F9C" w:rsidRDefault="002641D2" w:rsidP="006F623F">
            <w:pPr>
              <w:rPr>
                <w:rFonts w:ascii="Arial" w:hAnsi="Arial" w:cs="Arial"/>
                <w:sz w:val="24"/>
                <w:szCs w:val="24"/>
              </w:rPr>
            </w:pPr>
            <w:r w:rsidRPr="00FA3F9C">
              <w:rPr>
                <w:rFonts w:ascii="Arial" w:hAnsi="Arial" w:cs="Arial"/>
                <w:sz w:val="24"/>
                <w:szCs w:val="24"/>
              </w:rPr>
              <w:t>Date</w:t>
            </w:r>
          </w:p>
        </w:tc>
        <w:tc>
          <w:tcPr>
            <w:tcW w:w="7470" w:type="dxa"/>
          </w:tcPr>
          <w:p w14:paraId="6B1762CA" w14:textId="77777777" w:rsidR="002641D2" w:rsidRPr="00FA3F9C" w:rsidRDefault="002641D2" w:rsidP="006F623F">
            <w:pPr>
              <w:rPr>
                <w:rFonts w:ascii="Arial" w:hAnsi="Arial" w:cs="Arial"/>
                <w:sz w:val="24"/>
                <w:szCs w:val="24"/>
              </w:rPr>
            </w:pPr>
            <w:r w:rsidRPr="00FA3F9C">
              <w:rPr>
                <w:rFonts w:ascii="Arial" w:hAnsi="Arial" w:cs="Arial"/>
                <w:sz w:val="24"/>
                <w:szCs w:val="24"/>
              </w:rPr>
              <w:t>What changed</w:t>
            </w:r>
          </w:p>
        </w:tc>
        <w:tc>
          <w:tcPr>
            <w:tcW w:w="2538" w:type="dxa"/>
          </w:tcPr>
          <w:p w14:paraId="7B35C6DB" w14:textId="77777777" w:rsidR="002641D2" w:rsidRPr="00FA3F9C" w:rsidRDefault="002641D2" w:rsidP="006F623F">
            <w:pPr>
              <w:rPr>
                <w:rFonts w:ascii="Arial" w:hAnsi="Arial" w:cs="Arial"/>
                <w:sz w:val="24"/>
                <w:szCs w:val="24"/>
              </w:rPr>
            </w:pPr>
            <w:r w:rsidRPr="00FA3F9C">
              <w:rPr>
                <w:rFonts w:ascii="Arial" w:hAnsi="Arial" w:cs="Arial"/>
                <w:sz w:val="24"/>
                <w:szCs w:val="24"/>
              </w:rPr>
              <w:t>Pharmacist’s initials</w:t>
            </w:r>
          </w:p>
        </w:tc>
      </w:tr>
      <w:tr w:rsidR="002641D2" w:rsidRPr="00FA3F9C" w14:paraId="427D0351" w14:textId="77777777" w:rsidTr="00FE491B">
        <w:tc>
          <w:tcPr>
            <w:tcW w:w="1008" w:type="dxa"/>
          </w:tcPr>
          <w:p w14:paraId="715B37AC" w14:textId="77777777" w:rsidR="002641D2" w:rsidRPr="00FA3F9C" w:rsidRDefault="002641D2" w:rsidP="006F623F">
            <w:pPr>
              <w:rPr>
                <w:rFonts w:ascii="Arial" w:hAnsi="Arial" w:cs="Arial"/>
                <w:sz w:val="24"/>
                <w:szCs w:val="24"/>
              </w:rPr>
            </w:pPr>
            <w:r w:rsidRPr="00FA3F9C">
              <w:rPr>
                <w:rFonts w:ascii="Arial" w:hAnsi="Arial" w:cs="Arial"/>
                <w:sz w:val="24"/>
                <w:szCs w:val="24"/>
              </w:rPr>
              <w:t>3/18/2020</w:t>
            </w:r>
          </w:p>
        </w:tc>
        <w:tc>
          <w:tcPr>
            <w:tcW w:w="7470" w:type="dxa"/>
          </w:tcPr>
          <w:p w14:paraId="5373B061" w14:textId="77777777" w:rsidR="002641D2" w:rsidRPr="00FA3F9C" w:rsidRDefault="002641D2" w:rsidP="006F623F">
            <w:pPr>
              <w:rPr>
                <w:rFonts w:ascii="Arial" w:hAnsi="Arial" w:cs="Arial"/>
                <w:sz w:val="24"/>
                <w:szCs w:val="24"/>
              </w:rPr>
            </w:pPr>
            <w:r w:rsidRPr="00FA3F9C">
              <w:rPr>
                <w:rFonts w:ascii="Arial" w:hAnsi="Arial" w:cs="Arial"/>
                <w:sz w:val="24"/>
                <w:szCs w:val="24"/>
              </w:rPr>
              <w:t>I wrote the criteria.</w:t>
            </w:r>
          </w:p>
        </w:tc>
        <w:tc>
          <w:tcPr>
            <w:tcW w:w="2538" w:type="dxa"/>
          </w:tcPr>
          <w:p w14:paraId="18424C7D" w14:textId="77777777" w:rsidR="002641D2" w:rsidRPr="00FA3F9C" w:rsidRDefault="002641D2" w:rsidP="006F623F">
            <w:pPr>
              <w:rPr>
                <w:rFonts w:ascii="Arial" w:hAnsi="Arial" w:cs="Arial"/>
                <w:sz w:val="24"/>
                <w:szCs w:val="24"/>
              </w:rPr>
            </w:pPr>
            <w:r w:rsidRPr="00FA3F9C">
              <w:rPr>
                <w:rFonts w:ascii="Arial" w:hAnsi="Arial" w:cs="Arial"/>
                <w:sz w:val="24"/>
                <w:szCs w:val="24"/>
              </w:rPr>
              <w:t>JJ</w:t>
            </w:r>
          </w:p>
        </w:tc>
      </w:tr>
      <w:tr w:rsidR="002641D2" w:rsidRPr="00FA3F9C" w14:paraId="30368EC1" w14:textId="77777777" w:rsidTr="00FE491B">
        <w:tc>
          <w:tcPr>
            <w:tcW w:w="1008" w:type="dxa"/>
          </w:tcPr>
          <w:p w14:paraId="50F52533" w14:textId="77777777" w:rsidR="002641D2" w:rsidRPr="00FA3F9C" w:rsidRDefault="002641D2" w:rsidP="006F623F">
            <w:pPr>
              <w:rPr>
                <w:rFonts w:ascii="Arial" w:hAnsi="Arial" w:cs="Arial"/>
                <w:sz w:val="24"/>
                <w:szCs w:val="24"/>
              </w:rPr>
            </w:pPr>
          </w:p>
        </w:tc>
        <w:tc>
          <w:tcPr>
            <w:tcW w:w="7470" w:type="dxa"/>
          </w:tcPr>
          <w:p w14:paraId="67A0E925" w14:textId="77777777" w:rsidR="002641D2" w:rsidRPr="00FA3F9C" w:rsidRDefault="002641D2" w:rsidP="006F623F">
            <w:pPr>
              <w:rPr>
                <w:rFonts w:ascii="Arial" w:hAnsi="Arial" w:cs="Arial"/>
                <w:sz w:val="24"/>
                <w:szCs w:val="24"/>
              </w:rPr>
            </w:pPr>
          </w:p>
        </w:tc>
        <w:tc>
          <w:tcPr>
            <w:tcW w:w="2538" w:type="dxa"/>
          </w:tcPr>
          <w:p w14:paraId="231D258E" w14:textId="77777777" w:rsidR="002641D2" w:rsidRPr="00FA3F9C" w:rsidRDefault="002641D2" w:rsidP="006F623F">
            <w:pPr>
              <w:rPr>
                <w:rFonts w:ascii="Arial" w:hAnsi="Arial" w:cs="Arial"/>
                <w:sz w:val="24"/>
                <w:szCs w:val="24"/>
              </w:rPr>
            </w:pPr>
          </w:p>
        </w:tc>
      </w:tr>
    </w:tbl>
    <w:p w14:paraId="380F579B" w14:textId="77777777" w:rsidR="002641D2" w:rsidRPr="00FA3F9C" w:rsidRDefault="002641D2" w:rsidP="006F623F">
      <w:pPr>
        <w:spacing w:after="0"/>
        <w:rPr>
          <w:rFonts w:ascii="Arial" w:hAnsi="Arial" w:cs="Arial"/>
          <w:sz w:val="24"/>
          <w:szCs w:val="24"/>
        </w:rPr>
      </w:pPr>
    </w:p>
    <w:p w14:paraId="5D6B0E63" w14:textId="77777777" w:rsidR="002641D2" w:rsidRPr="00FA3F9C" w:rsidRDefault="002641D2" w:rsidP="005E2908">
      <w:pPr>
        <w:pStyle w:val="Heading2"/>
      </w:pPr>
      <w:bookmarkStart w:id="129" w:name="_Toc106369812"/>
      <w:proofErr w:type="spellStart"/>
      <w:r w:rsidRPr="00FA3F9C">
        <w:t>Glasdegib</w:t>
      </w:r>
      <w:proofErr w:type="spellEnd"/>
      <w:r w:rsidRPr="00FA3F9C">
        <w:t xml:space="preserve"> (</w:t>
      </w:r>
      <w:proofErr w:type="spellStart"/>
      <w:r w:rsidRPr="00FA3F9C">
        <w:t>Daurismo</w:t>
      </w:r>
      <w:proofErr w:type="spellEnd"/>
      <w:r w:rsidRPr="00FA3F9C">
        <w:t>)</w:t>
      </w:r>
      <w:bookmarkEnd w:id="129"/>
    </w:p>
    <w:p w14:paraId="6F13D529" w14:textId="77777777" w:rsidR="002641D2" w:rsidRPr="00FA3F9C" w:rsidRDefault="002641D2" w:rsidP="006F623F">
      <w:pPr>
        <w:spacing w:after="0"/>
        <w:jc w:val="center"/>
        <w:rPr>
          <w:rFonts w:ascii="Arial" w:hAnsi="Arial" w:cs="Arial"/>
          <w:sz w:val="24"/>
          <w:szCs w:val="24"/>
        </w:rPr>
      </w:pPr>
      <w:r w:rsidRPr="00FA3F9C">
        <w:rPr>
          <w:rFonts w:ascii="Arial" w:hAnsi="Arial" w:cs="Arial"/>
          <w:sz w:val="24"/>
          <w:szCs w:val="24"/>
        </w:rPr>
        <w:t>25 mg and 100 mg tablets</w:t>
      </w:r>
    </w:p>
    <w:p w14:paraId="66E586FE" w14:textId="77777777" w:rsidR="002641D2" w:rsidRPr="00FA3F9C" w:rsidRDefault="002641D2" w:rsidP="006F623F">
      <w:pPr>
        <w:spacing w:after="0"/>
        <w:jc w:val="center"/>
        <w:rPr>
          <w:rFonts w:ascii="Arial" w:hAnsi="Arial" w:cs="Arial"/>
          <w:sz w:val="24"/>
          <w:szCs w:val="24"/>
        </w:rPr>
      </w:pPr>
      <w:r w:rsidRPr="00FA3F9C">
        <w:rPr>
          <w:rFonts w:ascii="Arial" w:hAnsi="Arial" w:cs="Arial"/>
          <w:sz w:val="24"/>
          <w:szCs w:val="24"/>
        </w:rPr>
        <w:t>EBRx PA Criteria</w:t>
      </w:r>
    </w:p>
    <w:p w14:paraId="0E78BD48" w14:textId="77777777" w:rsidR="002641D2" w:rsidRPr="00FA3F9C" w:rsidRDefault="002641D2" w:rsidP="006F623F">
      <w:pPr>
        <w:spacing w:after="0"/>
        <w:rPr>
          <w:rFonts w:ascii="Arial" w:hAnsi="Arial" w:cs="Arial"/>
          <w:b/>
          <w:sz w:val="24"/>
          <w:szCs w:val="24"/>
          <w:u w:val="single"/>
        </w:rPr>
      </w:pPr>
    </w:p>
    <w:p w14:paraId="49022210" w14:textId="77777777" w:rsidR="002641D2" w:rsidRPr="00FA3F9C" w:rsidRDefault="002641D2" w:rsidP="006F623F">
      <w:pPr>
        <w:spacing w:after="0"/>
        <w:rPr>
          <w:rFonts w:ascii="Arial" w:hAnsi="Arial" w:cs="Arial"/>
          <w:sz w:val="24"/>
          <w:szCs w:val="24"/>
        </w:rPr>
      </w:pPr>
      <w:r w:rsidRPr="00FA3F9C">
        <w:rPr>
          <w:rFonts w:ascii="Arial" w:hAnsi="Arial" w:cs="Arial"/>
          <w:b/>
          <w:sz w:val="24"/>
          <w:szCs w:val="24"/>
          <w:u w:val="single"/>
        </w:rPr>
        <w:t>FDA-approved for:</w:t>
      </w:r>
      <w:r w:rsidRPr="00FA3F9C">
        <w:rPr>
          <w:rFonts w:ascii="Arial" w:hAnsi="Arial" w:cs="Arial"/>
          <w:sz w:val="24"/>
          <w:szCs w:val="24"/>
        </w:rPr>
        <w:t xml:space="preserve">  in combination with low-dose cytarabine, treatment of </w:t>
      </w:r>
      <w:proofErr w:type="gramStart"/>
      <w:r w:rsidRPr="00FA3F9C">
        <w:rPr>
          <w:rFonts w:ascii="Arial" w:hAnsi="Arial" w:cs="Arial"/>
          <w:sz w:val="24"/>
          <w:szCs w:val="24"/>
        </w:rPr>
        <w:t>newly-diagnosed</w:t>
      </w:r>
      <w:proofErr w:type="gramEnd"/>
      <w:r w:rsidRPr="00FA3F9C">
        <w:rPr>
          <w:rFonts w:ascii="Arial" w:hAnsi="Arial" w:cs="Arial"/>
          <w:sz w:val="24"/>
          <w:szCs w:val="24"/>
        </w:rPr>
        <w:t xml:space="preserve"> acute myeloid leukemia (AML) in adult patients who are </w:t>
      </w:r>
      <w:r w:rsidRPr="00FA3F9C">
        <w:rPr>
          <w:rFonts w:ascii="Arial" w:hAnsi="Arial" w:cs="Arial"/>
          <w:sz w:val="24"/>
          <w:szCs w:val="24"/>
          <w:u w:val="single"/>
        </w:rPr>
        <w:t>&gt;</w:t>
      </w:r>
      <w:r w:rsidRPr="00FA3F9C">
        <w:rPr>
          <w:rFonts w:ascii="Arial" w:hAnsi="Arial" w:cs="Arial"/>
          <w:sz w:val="24"/>
          <w:szCs w:val="24"/>
        </w:rPr>
        <w:t>75 years old or who have comorbidities that preclude use of intensive induction chemotherapy.</w:t>
      </w:r>
    </w:p>
    <w:p w14:paraId="71E18E69" w14:textId="77777777" w:rsidR="002641D2" w:rsidRPr="00FA3F9C" w:rsidRDefault="002641D2" w:rsidP="00713002">
      <w:pPr>
        <w:spacing w:after="0"/>
        <w:ind w:left="720"/>
        <w:rPr>
          <w:rFonts w:ascii="Arial" w:hAnsi="Arial" w:cs="Arial"/>
          <w:sz w:val="24"/>
          <w:szCs w:val="24"/>
        </w:rPr>
      </w:pPr>
    </w:p>
    <w:tbl>
      <w:tblPr>
        <w:tblStyle w:val="TableGrid"/>
        <w:tblW w:w="0" w:type="auto"/>
        <w:tblLook w:val="04A0" w:firstRow="1" w:lastRow="0" w:firstColumn="1" w:lastColumn="0" w:noHBand="0" w:noVBand="1"/>
      </w:tblPr>
      <w:tblGrid>
        <w:gridCol w:w="8928"/>
        <w:gridCol w:w="2088"/>
      </w:tblGrid>
      <w:tr w:rsidR="002641D2" w:rsidRPr="00FA3F9C" w14:paraId="598DB585" w14:textId="77777777" w:rsidTr="00571CAB">
        <w:tc>
          <w:tcPr>
            <w:tcW w:w="8928" w:type="dxa"/>
            <w:shd w:val="clear" w:color="auto" w:fill="000000"/>
          </w:tcPr>
          <w:p w14:paraId="752140BC" w14:textId="77777777" w:rsidR="002641D2" w:rsidRPr="00FA3F9C" w:rsidRDefault="002641D2"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88" w:type="dxa"/>
            <w:shd w:val="clear" w:color="auto" w:fill="000000"/>
          </w:tcPr>
          <w:p w14:paraId="17BD7066" w14:textId="77777777" w:rsidR="002641D2" w:rsidRPr="00FA3F9C" w:rsidRDefault="002641D2" w:rsidP="006F623F">
            <w:pPr>
              <w:jc w:val="center"/>
              <w:rPr>
                <w:rFonts w:ascii="Arial" w:hAnsi="Arial" w:cs="Arial"/>
                <w:b/>
                <w:sz w:val="24"/>
                <w:szCs w:val="24"/>
                <w:u w:val="single"/>
              </w:rPr>
            </w:pPr>
          </w:p>
        </w:tc>
      </w:tr>
      <w:tr w:rsidR="002641D2" w:rsidRPr="00FA3F9C" w14:paraId="50EB0E89" w14:textId="77777777" w:rsidTr="00F337AE">
        <w:tc>
          <w:tcPr>
            <w:tcW w:w="11016" w:type="dxa"/>
            <w:gridSpan w:val="2"/>
          </w:tcPr>
          <w:p w14:paraId="2C799F8F" w14:textId="77777777" w:rsidR="002641D2" w:rsidRPr="00FA3F9C" w:rsidRDefault="002641D2" w:rsidP="002641D2">
            <w:pPr>
              <w:pStyle w:val="ListParagraph"/>
              <w:numPr>
                <w:ilvl w:val="0"/>
                <w:numId w:val="224"/>
              </w:numPr>
              <w:ind w:left="245" w:hanging="245"/>
              <w:rPr>
                <w:rFonts w:ascii="Arial" w:hAnsi="Arial" w:cs="Arial"/>
                <w:sz w:val="24"/>
                <w:szCs w:val="24"/>
              </w:rPr>
            </w:pPr>
            <w:r w:rsidRPr="00FA3F9C">
              <w:rPr>
                <w:rFonts w:ascii="Arial" w:hAnsi="Arial" w:cs="Arial"/>
                <w:sz w:val="24"/>
                <w:szCs w:val="24"/>
              </w:rPr>
              <w:t>Diagnosis of acute myeloid leukemia (AML) with no prior treatment</w:t>
            </w:r>
          </w:p>
        </w:tc>
      </w:tr>
      <w:tr w:rsidR="002641D2" w:rsidRPr="00FA3F9C" w14:paraId="6DCDD602" w14:textId="77777777" w:rsidTr="00B1617E">
        <w:tc>
          <w:tcPr>
            <w:tcW w:w="11016" w:type="dxa"/>
            <w:gridSpan w:val="2"/>
          </w:tcPr>
          <w:p w14:paraId="64997296" w14:textId="77777777" w:rsidR="002641D2" w:rsidRPr="00FA3F9C" w:rsidRDefault="002641D2" w:rsidP="002641D2">
            <w:pPr>
              <w:pStyle w:val="ListParagraph"/>
              <w:numPr>
                <w:ilvl w:val="0"/>
                <w:numId w:val="224"/>
              </w:numPr>
              <w:ind w:left="245" w:hanging="245"/>
              <w:rPr>
                <w:rFonts w:ascii="Arial" w:hAnsi="Arial" w:cs="Arial"/>
                <w:sz w:val="24"/>
                <w:szCs w:val="24"/>
              </w:rPr>
            </w:pPr>
            <w:proofErr w:type="spellStart"/>
            <w:r w:rsidRPr="00FA3F9C">
              <w:rPr>
                <w:rFonts w:ascii="Arial" w:hAnsi="Arial" w:cs="Arial"/>
                <w:sz w:val="24"/>
                <w:szCs w:val="24"/>
              </w:rPr>
              <w:t>Glasdegib</w:t>
            </w:r>
            <w:proofErr w:type="spellEnd"/>
            <w:r w:rsidRPr="00FA3F9C">
              <w:rPr>
                <w:rFonts w:ascii="Arial" w:hAnsi="Arial" w:cs="Arial"/>
                <w:sz w:val="24"/>
                <w:szCs w:val="24"/>
              </w:rPr>
              <w:t xml:space="preserve"> will be used in combination with </w:t>
            </w:r>
            <w:proofErr w:type="gramStart"/>
            <w:r w:rsidRPr="00FA3F9C">
              <w:rPr>
                <w:rFonts w:ascii="Arial" w:hAnsi="Arial" w:cs="Arial"/>
                <w:sz w:val="24"/>
                <w:szCs w:val="24"/>
              </w:rPr>
              <w:t>low-dose</w:t>
            </w:r>
            <w:proofErr w:type="gramEnd"/>
            <w:r w:rsidRPr="00FA3F9C">
              <w:rPr>
                <w:rFonts w:ascii="Arial" w:hAnsi="Arial" w:cs="Arial"/>
                <w:sz w:val="24"/>
                <w:szCs w:val="24"/>
              </w:rPr>
              <w:t xml:space="preserve"> cytarabine</w:t>
            </w:r>
          </w:p>
        </w:tc>
      </w:tr>
      <w:tr w:rsidR="002641D2" w:rsidRPr="00FA3F9C" w14:paraId="3B397436" w14:textId="77777777" w:rsidTr="0010789D">
        <w:tc>
          <w:tcPr>
            <w:tcW w:w="11016" w:type="dxa"/>
            <w:gridSpan w:val="2"/>
          </w:tcPr>
          <w:p w14:paraId="0C97EBB0" w14:textId="77777777" w:rsidR="002641D2" w:rsidRPr="00FA3F9C" w:rsidRDefault="002641D2" w:rsidP="002641D2">
            <w:pPr>
              <w:pStyle w:val="ListParagraph"/>
              <w:numPr>
                <w:ilvl w:val="0"/>
                <w:numId w:val="224"/>
              </w:numPr>
              <w:ind w:left="245" w:hanging="245"/>
              <w:rPr>
                <w:rFonts w:ascii="Arial" w:hAnsi="Arial" w:cs="Arial"/>
                <w:sz w:val="24"/>
                <w:szCs w:val="24"/>
              </w:rPr>
            </w:pPr>
            <w:r w:rsidRPr="00FA3F9C">
              <w:rPr>
                <w:rFonts w:ascii="Arial" w:hAnsi="Arial" w:cs="Arial"/>
                <w:sz w:val="24"/>
                <w:szCs w:val="24"/>
              </w:rPr>
              <w:t xml:space="preserve">Age </w:t>
            </w:r>
            <w:r w:rsidRPr="00FA3F9C">
              <w:rPr>
                <w:rFonts w:ascii="Arial" w:hAnsi="Arial" w:cs="Arial"/>
                <w:sz w:val="24"/>
                <w:szCs w:val="24"/>
                <w:u w:val="single"/>
              </w:rPr>
              <w:t>&gt;</w:t>
            </w:r>
            <w:r w:rsidRPr="00FA3F9C">
              <w:rPr>
                <w:rFonts w:ascii="Arial" w:hAnsi="Arial" w:cs="Arial"/>
                <w:sz w:val="24"/>
                <w:szCs w:val="24"/>
              </w:rPr>
              <w:t xml:space="preserve"> 75 years OR presence of comorbidities that preclude use of intensive induction therapy (</w:t>
            </w:r>
            <w:proofErr w:type="gramStart"/>
            <w:r w:rsidRPr="00FA3F9C">
              <w:rPr>
                <w:rFonts w:ascii="Arial" w:hAnsi="Arial" w:cs="Arial"/>
                <w:sz w:val="24"/>
                <w:szCs w:val="24"/>
              </w:rPr>
              <w:t>e.g.</w:t>
            </w:r>
            <w:proofErr w:type="gramEnd"/>
            <w:r w:rsidRPr="00FA3F9C">
              <w:rPr>
                <w:rFonts w:ascii="Arial" w:hAnsi="Arial" w:cs="Arial"/>
                <w:sz w:val="24"/>
                <w:szCs w:val="24"/>
              </w:rPr>
              <w:t xml:space="preserve"> renal failure, severe cardiac disease, ECOG performance status = 2)</w:t>
            </w:r>
          </w:p>
        </w:tc>
      </w:tr>
      <w:tr w:rsidR="002641D2" w:rsidRPr="00FA3F9C" w14:paraId="0517917B" w14:textId="77777777" w:rsidTr="00DA57E0">
        <w:tc>
          <w:tcPr>
            <w:tcW w:w="11016" w:type="dxa"/>
            <w:gridSpan w:val="2"/>
          </w:tcPr>
          <w:p w14:paraId="262C1B14" w14:textId="77777777" w:rsidR="002641D2" w:rsidRPr="00FA3F9C" w:rsidRDefault="002641D2" w:rsidP="002641D2">
            <w:pPr>
              <w:pStyle w:val="ListParagraph"/>
              <w:numPr>
                <w:ilvl w:val="0"/>
                <w:numId w:val="224"/>
              </w:numPr>
              <w:ind w:left="245" w:hanging="245"/>
              <w:rPr>
                <w:rFonts w:ascii="Arial" w:hAnsi="Arial" w:cs="Arial"/>
                <w:sz w:val="24"/>
                <w:szCs w:val="24"/>
              </w:rPr>
            </w:pPr>
            <w:r w:rsidRPr="00FA3F9C">
              <w:rPr>
                <w:rFonts w:ascii="Arial" w:hAnsi="Arial" w:cs="Arial"/>
                <w:sz w:val="24"/>
                <w:szCs w:val="24"/>
              </w:rPr>
              <w:t>Patient is not a candidate for a hypomethylating agent (</w:t>
            </w:r>
            <w:proofErr w:type="spellStart"/>
            <w:r w:rsidRPr="00FA3F9C">
              <w:rPr>
                <w:rFonts w:ascii="Arial" w:hAnsi="Arial" w:cs="Arial"/>
                <w:sz w:val="24"/>
                <w:szCs w:val="24"/>
              </w:rPr>
              <w:t>azacitidine</w:t>
            </w:r>
            <w:proofErr w:type="spellEnd"/>
            <w:r w:rsidRPr="00FA3F9C">
              <w:rPr>
                <w:rFonts w:ascii="Arial" w:hAnsi="Arial" w:cs="Arial"/>
                <w:sz w:val="24"/>
                <w:szCs w:val="24"/>
              </w:rPr>
              <w:t>, decitabine)</w:t>
            </w:r>
          </w:p>
        </w:tc>
      </w:tr>
      <w:tr w:rsidR="002641D2" w:rsidRPr="00FA3F9C" w14:paraId="28978E18" w14:textId="77777777" w:rsidTr="00DA57E0">
        <w:tc>
          <w:tcPr>
            <w:tcW w:w="11016" w:type="dxa"/>
            <w:gridSpan w:val="2"/>
          </w:tcPr>
          <w:p w14:paraId="7434CC89" w14:textId="77777777" w:rsidR="002641D2" w:rsidRPr="00FA3F9C" w:rsidRDefault="002641D2" w:rsidP="00C127B2">
            <w:pPr>
              <w:rPr>
                <w:rFonts w:ascii="Arial" w:hAnsi="Arial" w:cs="Arial"/>
                <w:b/>
                <w:sz w:val="24"/>
                <w:szCs w:val="24"/>
              </w:rPr>
            </w:pPr>
            <w:r w:rsidRPr="00FA3F9C">
              <w:rPr>
                <w:rFonts w:ascii="Arial" w:hAnsi="Arial" w:cs="Arial"/>
                <w:b/>
                <w:sz w:val="24"/>
                <w:szCs w:val="24"/>
              </w:rPr>
              <w:t>If all 4 criteria fulfilled, approved for 6 months</w:t>
            </w:r>
          </w:p>
        </w:tc>
      </w:tr>
    </w:tbl>
    <w:p w14:paraId="5932FEF7" w14:textId="77777777" w:rsidR="002641D2" w:rsidRPr="00FA3F9C" w:rsidRDefault="002641D2" w:rsidP="006F623F">
      <w:pPr>
        <w:spacing w:after="0"/>
        <w:rPr>
          <w:rFonts w:ascii="Arial" w:hAnsi="Arial" w:cs="Arial"/>
          <w:sz w:val="24"/>
          <w:szCs w:val="24"/>
        </w:rPr>
      </w:pPr>
    </w:p>
    <w:tbl>
      <w:tblPr>
        <w:tblStyle w:val="TableGrid"/>
        <w:tblW w:w="0" w:type="auto"/>
        <w:tblLook w:val="04A0" w:firstRow="1" w:lastRow="0" w:firstColumn="1" w:lastColumn="0" w:noHBand="0" w:noVBand="1"/>
      </w:tblPr>
      <w:tblGrid>
        <w:gridCol w:w="8928"/>
        <w:gridCol w:w="2088"/>
      </w:tblGrid>
      <w:tr w:rsidR="002641D2" w:rsidRPr="00FA3F9C" w14:paraId="0E910471" w14:textId="77777777" w:rsidTr="00571CAB">
        <w:tc>
          <w:tcPr>
            <w:tcW w:w="8928" w:type="dxa"/>
            <w:shd w:val="clear" w:color="auto" w:fill="000000"/>
          </w:tcPr>
          <w:p w14:paraId="146C382E" w14:textId="77777777" w:rsidR="002641D2" w:rsidRPr="00FA3F9C" w:rsidRDefault="002641D2" w:rsidP="00571CAB">
            <w:pPr>
              <w:rPr>
                <w:rFonts w:ascii="Arial" w:hAnsi="Arial" w:cs="Arial"/>
                <w:b/>
                <w:sz w:val="24"/>
                <w:szCs w:val="24"/>
                <w:u w:val="single"/>
              </w:rPr>
            </w:pPr>
            <w:r w:rsidRPr="00FA3F9C">
              <w:rPr>
                <w:rFonts w:ascii="Arial" w:hAnsi="Arial" w:cs="Arial"/>
                <w:b/>
                <w:sz w:val="24"/>
                <w:szCs w:val="24"/>
                <w:u w:val="single"/>
              </w:rPr>
              <w:t>Criteria for continuation</w:t>
            </w:r>
          </w:p>
        </w:tc>
        <w:tc>
          <w:tcPr>
            <w:tcW w:w="2088" w:type="dxa"/>
            <w:shd w:val="clear" w:color="auto" w:fill="000000"/>
          </w:tcPr>
          <w:p w14:paraId="16B3E626" w14:textId="77777777" w:rsidR="002641D2" w:rsidRPr="00FA3F9C" w:rsidRDefault="002641D2" w:rsidP="00571CAB">
            <w:pPr>
              <w:jc w:val="center"/>
              <w:rPr>
                <w:rFonts w:ascii="Arial" w:hAnsi="Arial" w:cs="Arial"/>
                <w:b/>
                <w:sz w:val="24"/>
                <w:szCs w:val="24"/>
                <w:u w:val="single"/>
              </w:rPr>
            </w:pPr>
          </w:p>
        </w:tc>
      </w:tr>
      <w:tr w:rsidR="002641D2" w:rsidRPr="00FA3F9C" w14:paraId="58F4715E" w14:textId="77777777" w:rsidTr="00FE7E94">
        <w:tc>
          <w:tcPr>
            <w:tcW w:w="11016" w:type="dxa"/>
            <w:gridSpan w:val="2"/>
          </w:tcPr>
          <w:p w14:paraId="6C642536" w14:textId="77777777" w:rsidR="002641D2" w:rsidRPr="00FA3F9C" w:rsidRDefault="002641D2" w:rsidP="002641D2">
            <w:pPr>
              <w:pStyle w:val="ListParagraph"/>
              <w:numPr>
                <w:ilvl w:val="0"/>
                <w:numId w:val="226"/>
              </w:numPr>
              <w:ind w:left="335" w:hanging="270"/>
              <w:rPr>
                <w:rFonts w:ascii="Arial" w:hAnsi="Arial" w:cs="Arial"/>
                <w:sz w:val="24"/>
                <w:szCs w:val="24"/>
              </w:rPr>
            </w:pPr>
            <w:proofErr w:type="spellStart"/>
            <w:r w:rsidRPr="00FA3F9C">
              <w:rPr>
                <w:rFonts w:ascii="Arial" w:hAnsi="Arial" w:cs="Arial"/>
                <w:sz w:val="24"/>
                <w:szCs w:val="24"/>
              </w:rPr>
              <w:t>Glasdegib</w:t>
            </w:r>
            <w:proofErr w:type="spellEnd"/>
            <w:r w:rsidRPr="00FA3F9C">
              <w:rPr>
                <w:rFonts w:ascii="Arial" w:hAnsi="Arial" w:cs="Arial"/>
                <w:sz w:val="24"/>
                <w:szCs w:val="24"/>
              </w:rPr>
              <w:t xml:space="preserve"> is being used in combination with </w:t>
            </w:r>
            <w:proofErr w:type="gramStart"/>
            <w:r w:rsidRPr="00FA3F9C">
              <w:rPr>
                <w:rFonts w:ascii="Arial" w:hAnsi="Arial" w:cs="Arial"/>
                <w:sz w:val="24"/>
                <w:szCs w:val="24"/>
              </w:rPr>
              <w:t>low-dose</w:t>
            </w:r>
            <w:proofErr w:type="gramEnd"/>
            <w:r w:rsidRPr="00FA3F9C">
              <w:rPr>
                <w:rFonts w:ascii="Arial" w:hAnsi="Arial" w:cs="Arial"/>
                <w:sz w:val="24"/>
                <w:szCs w:val="24"/>
              </w:rPr>
              <w:t xml:space="preserve"> cytarabine</w:t>
            </w:r>
          </w:p>
        </w:tc>
      </w:tr>
      <w:tr w:rsidR="002641D2" w:rsidRPr="00FA3F9C" w14:paraId="11734BB9" w14:textId="77777777" w:rsidTr="00E85040">
        <w:tc>
          <w:tcPr>
            <w:tcW w:w="11016" w:type="dxa"/>
            <w:gridSpan w:val="2"/>
          </w:tcPr>
          <w:p w14:paraId="34ADFA97" w14:textId="77777777" w:rsidR="002641D2" w:rsidRPr="00FA3F9C" w:rsidRDefault="002641D2" w:rsidP="002641D2">
            <w:pPr>
              <w:pStyle w:val="ListParagraph"/>
              <w:numPr>
                <w:ilvl w:val="0"/>
                <w:numId w:val="226"/>
              </w:numPr>
              <w:ind w:left="335" w:hanging="270"/>
              <w:rPr>
                <w:rFonts w:ascii="Arial" w:hAnsi="Arial" w:cs="Arial"/>
                <w:sz w:val="24"/>
                <w:szCs w:val="24"/>
              </w:rPr>
            </w:pPr>
            <w:r w:rsidRPr="00FA3F9C">
              <w:rPr>
                <w:rFonts w:ascii="Arial" w:hAnsi="Arial" w:cs="Arial"/>
                <w:sz w:val="24"/>
                <w:szCs w:val="24"/>
              </w:rPr>
              <w:t>No unacceptable toxicity</w:t>
            </w:r>
          </w:p>
        </w:tc>
      </w:tr>
      <w:tr w:rsidR="002641D2" w:rsidRPr="00FA3F9C" w14:paraId="4235CE0E" w14:textId="77777777" w:rsidTr="00AD0E38">
        <w:tc>
          <w:tcPr>
            <w:tcW w:w="11016" w:type="dxa"/>
            <w:gridSpan w:val="2"/>
          </w:tcPr>
          <w:p w14:paraId="0F2CBC05" w14:textId="77777777" w:rsidR="002641D2" w:rsidRPr="00FA3F9C" w:rsidRDefault="002641D2" w:rsidP="00DD45D2">
            <w:pPr>
              <w:rPr>
                <w:rFonts w:ascii="Arial" w:hAnsi="Arial" w:cs="Arial"/>
                <w:sz w:val="24"/>
                <w:szCs w:val="24"/>
              </w:rPr>
            </w:pPr>
            <w:r w:rsidRPr="00FA3F9C">
              <w:rPr>
                <w:rFonts w:ascii="Arial" w:hAnsi="Arial" w:cs="Arial"/>
                <w:b/>
                <w:sz w:val="24"/>
                <w:szCs w:val="24"/>
              </w:rPr>
              <w:t xml:space="preserve">If </w:t>
            </w:r>
            <w:proofErr w:type="gramStart"/>
            <w:r w:rsidRPr="00FA3F9C">
              <w:rPr>
                <w:rFonts w:ascii="Arial" w:hAnsi="Arial" w:cs="Arial"/>
                <w:b/>
                <w:sz w:val="24"/>
                <w:szCs w:val="24"/>
              </w:rPr>
              <w:t>both of the continuation</w:t>
            </w:r>
            <w:proofErr w:type="gramEnd"/>
            <w:r w:rsidRPr="00FA3F9C">
              <w:rPr>
                <w:rFonts w:ascii="Arial" w:hAnsi="Arial" w:cs="Arial"/>
                <w:b/>
                <w:sz w:val="24"/>
                <w:szCs w:val="24"/>
              </w:rPr>
              <w:t xml:space="preserve"> criteria are fulfilled, approve for 6 months.</w:t>
            </w:r>
          </w:p>
        </w:tc>
      </w:tr>
    </w:tbl>
    <w:p w14:paraId="252EB871" w14:textId="77777777" w:rsidR="002641D2" w:rsidRPr="00FA3F9C" w:rsidRDefault="002641D2" w:rsidP="006F623F">
      <w:pPr>
        <w:spacing w:after="0"/>
        <w:rPr>
          <w:rFonts w:ascii="Arial" w:hAnsi="Arial" w:cs="Arial"/>
          <w:b/>
          <w:sz w:val="24"/>
          <w:szCs w:val="24"/>
          <w:u w:val="single"/>
        </w:rPr>
      </w:pPr>
    </w:p>
    <w:p w14:paraId="0C669A3A" w14:textId="77777777" w:rsidR="002641D2" w:rsidRPr="00FA3F9C" w:rsidRDefault="002641D2" w:rsidP="006F623F">
      <w:pPr>
        <w:spacing w:after="0"/>
        <w:rPr>
          <w:rFonts w:ascii="Arial" w:hAnsi="Arial" w:cs="Arial"/>
          <w:b/>
          <w:sz w:val="24"/>
          <w:szCs w:val="24"/>
          <w:u w:val="single"/>
        </w:rPr>
      </w:pPr>
    </w:p>
    <w:tbl>
      <w:tblPr>
        <w:tblStyle w:val="TableGrid"/>
        <w:tblW w:w="0" w:type="auto"/>
        <w:shd w:val="clear" w:color="auto" w:fill="BFBFBF" w:themeFill="background1" w:themeFillShade="BF"/>
        <w:tblLook w:val="04A0" w:firstRow="1" w:lastRow="0" w:firstColumn="1" w:lastColumn="0" w:noHBand="0" w:noVBand="1"/>
      </w:tblPr>
      <w:tblGrid>
        <w:gridCol w:w="10998"/>
      </w:tblGrid>
      <w:tr w:rsidR="002641D2" w:rsidRPr="00FA3F9C" w14:paraId="6BEF472D" w14:textId="77777777" w:rsidTr="00D82B6E">
        <w:tc>
          <w:tcPr>
            <w:tcW w:w="10998" w:type="dxa"/>
            <w:shd w:val="clear" w:color="auto" w:fill="BFBFBF" w:themeFill="background1" w:themeFillShade="BF"/>
          </w:tcPr>
          <w:p w14:paraId="57374802" w14:textId="77777777" w:rsidR="002641D2" w:rsidRPr="00FA3F9C" w:rsidRDefault="002641D2" w:rsidP="00717DA8">
            <w:pPr>
              <w:rPr>
                <w:rFonts w:ascii="Arial" w:hAnsi="Arial" w:cs="Arial"/>
                <w:sz w:val="24"/>
                <w:szCs w:val="24"/>
              </w:rPr>
            </w:pPr>
            <w:r w:rsidRPr="00FA3F9C">
              <w:rPr>
                <w:rFonts w:ascii="Arial" w:hAnsi="Arial" w:cs="Arial"/>
                <w:sz w:val="24"/>
                <w:szCs w:val="24"/>
              </w:rPr>
              <w:t xml:space="preserve">Note: </w:t>
            </w:r>
            <w:proofErr w:type="spellStart"/>
            <w:r w:rsidRPr="00FA3F9C">
              <w:rPr>
                <w:rFonts w:ascii="Arial" w:hAnsi="Arial" w:cs="Arial"/>
                <w:sz w:val="24"/>
                <w:szCs w:val="24"/>
              </w:rPr>
              <w:t>Glasdegib+low</w:t>
            </w:r>
            <w:proofErr w:type="spellEnd"/>
            <w:r w:rsidRPr="00FA3F9C">
              <w:rPr>
                <w:rFonts w:ascii="Arial" w:hAnsi="Arial" w:cs="Arial"/>
                <w:sz w:val="24"/>
                <w:szCs w:val="24"/>
              </w:rPr>
              <w:t xml:space="preserve"> dose cytarabine (LDAC) improved overall survival by 4 months compared with LDAC monotherapy in patients who were not candidates for intensive chemotherapy (median OS: 8.8 months vs 4.9 months)</w:t>
            </w:r>
            <w:r w:rsidRPr="00FA3F9C">
              <w:rPr>
                <w:rFonts w:ascii="Arial" w:hAnsi="Arial" w:cs="Arial"/>
                <w:sz w:val="24"/>
                <w:szCs w:val="24"/>
                <w:vertAlign w:val="superscript"/>
              </w:rPr>
              <w:t xml:space="preserve"> 1</w:t>
            </w:r>
            <w:r w:rsidRPr="00FA3F9C">
              <w:rPr>
                <w:rFonts w:ascii="Arial" w:hAnsi="Arial" w:cs="Arial"/>
                <w:sz w:val="24"/>
                <w:szCs w:val="24"/>
              </w:rPr>
              <w:t xml:space="preserve">. </w:t>
            </w:r>
            <w:proofErr w:type="spellStart"/>
            <w:r w:rsidRPr="00FA3F9C">
              <w:rPr>
                <w:rFonts w:ascii="Arial" w:hAnsi="Arial" w:cs="Arial"/>
                <w:sz w:val="24"/>
                <w:szCs w:val="24"/>
              </w:rPr>
              <w:t>Azacitidine</w:t>
            </w:r>
            <w:proofErr w:type="spellEnd"/>
            <w:r w:rsidRPr="00FA3F9C">
              <w:rPr>
                <w:rFonts w:ascii="Arial" w:hAnsi="Arial" w:cs="Arial"/>
                <w:sz w:val="24"/>
                <w:szCs w:val="24"/>
              </w:rPr>
              <w:t xml:space="preserve"> and decitabine are preferred agents per NCCN guidelines for this patient population and have shown improved overall survival compared with other treatments</w:t>
            </w:r>
            <w:r w:rsidRPr="00FA3F9C">
              <w:rPr>
                <w:rFonts w:ascii="Arial" w:hAnsi="Arial" w:cs="Arial"/>
                <w:sz w:val="24"/>
                <w:szCs w:val="24"/>
                <w:vertAlign w:val="superscript"/>
              </w:rPr>
              <w:t>2</w:t>
            </w:r>
            <w:r w:rsidRPr="00FA3F9C">
              <w:rPr>
                <w:rFonts w:ascii="Arial" w:hAnsi="Arial" w:cs="Arial"/>
                <w:sz w:val="24"/>
                <w:szCs w:val="24"/>
              </w:rPr>
              <w:t xml:space="preserve"> therefore patients should be considered for </w:t>
            </w:r>
            <w:proofErr w:type="spellStart"/>
            <w:r w:rsidRPr="00FA3F9C">
              <w:rPr>
                <w:rFonts w:ascii="Arial" w:hAnsi="Arial" w:cs="Arial"/>
                <w:sz w:val="24"/>
                <w:szCs w:val="24"/>
              </w:rPr>
              <w:t>azacitidine</w:t>
            </w:r>
            <w:proofErr w:type="spellEnd"/>
            <w:r w:rsidRPr="00FA3F9C">
              <w:rPr>
                <w:rFonts w:ascii="Arial" w:hAnsi="Arial" w:cs="Arial"/>
                <w:sz w:val="24"/>
                <w:szCs w:val="24"/>
              </w:rPr>
              <w:t xml:space="preserve">/decitabine first. </w:t>
            </w:r>
            <w:proofErr w:type="spellStart"/>
            <w:r w:rsidRPr="00FA3F9C">
              <w:rPr>
                <w:rFonts w:ascii="Arial" w:hAnsi="Arial" w:cs="Arial"/>
                <w:sz w:val="24"/>
                <w:szCs w:val="24"/>
              </w:rPr>
              <w:t>Glasdegib</w:t>
            </w:r>
            <w:proofErr w:type="spellEnd"/>
            <w:r w:rsidRPr="00FA3F9C">
              <w:rPr>
                <w:rFonts w:ascii="Arial" w:hAnsi="Arial" w:cs="Arial"/>
                <w:sz w:val="24"/>
                <w:szCs w:val="24"/>
              </w:rPr>
              <w:t xml:space="preserve"> has only been compared with LDAC at this time.</w:t>
            </w:r>
          </w:p>
          <w:p w14:paraId="7ED2639E" w14:textId="77777777" w:rsidR="002641D2" w:rsidRPr="00FA3F9C" w:rsidRDefault="002641D2" w:rsidP="00717DA8">
            <w:pPr>
              <w:rPr>
                <w:rFonts w:ascii="Arial" w:hAnsi="Arial" w:cs="Arial"/>
                <w:sz w:val="24"/>
                <w:szCs w:val="24"/>
              </w:rPr>
            </w:pPr>
          </w:p>
          <w:p w14:paraId="68449E01" w14:textId="77777777" w:rsidR="002641D2" w:rsidRPr="00FA3F9C" w:rsidRDefault="002641D2" w:rsidP="00717DA8">
            <w:pPr>
              <w:rPr>
                <w:rFonts w:ascii="Arial" w:hAnsi="Arial" w:cs="Arial"/>
                <w:sz w:val="24"/>
                <w:szCs w:val="24"/>
              </w:rPr>
            </w:pPr>
            <w:r w:rsidRPr="00FA3F9C">
              <w:rPr>
                <w:rFonts w:ascii="Arial" w:hAnsi="Arial" w:cs="Arial"/>
                <w:sz w:val="24"/>
                <w:szCs w:val="24"/>
              </w:rPr>
              <w:t>-Dose: 100 mg PO QD. Six months of therapy should be given to allow time for response. Dose reduction to 50 mg QD allowed for QTc prolongation and other grade 3 toxicity.</w:t>
            </w:r>
          </w:p>
          <w:p w14:paraId="2B6E8513" w14:textId="77777777" w:rsidR="002641D2" w:rsidRPr="00FA3F9C" w:rsidRDefault="002641D2" w:rsidP="00717DA8">
            <w:pPr>
              <w:rPr>
                <w:rFonts w:ascii="Arial" w:hAnsi="Arial" w:cs="Arial"/>
                <w:sz w:val="24"/>
                <w:szCs w:val="24"/>
              </w:rPr>
            </w:pPr>
            <w:r w:rsidRPr="00FA3F9C">
              <w:rPr>
                <w:rFonts w:ascii="Arial" w:hAnsi="Arial" w:cs="Arial"/>
                <w:sz w:val="24"/>
                <w:szCs w:val="24"/>
              </w:rPr>
              <w:t>-LDAC is given SC q 12 h for 10 days each month. LDAC is typically administered in clinic or at home by patient/ caregiver/home health agency.</w:t>
            </w:r>
          </w:p>
          <w:p w14:paraId="49F3F548" w14:textId="77777777" w:rsidR="002641D2" w:rsidRPr="00FA3F9C" w:rsidRDefault="002641D2" w:rsidP="00A54009">
            <w:pPr>
              <w:rPr>
                <w:rFonts w:ascii="Arial" w:hAnsi="Arial" w:cs="Arial"/>
                <w:sz w:val="24"/>
                <w:szCs w:val="24"/>
              </w:rPr>
            </w:pPr>
            <w:r w:rsidRPr="00FA3F9C">
              <w:rPr>
                <w:rFonts w:ascii="Arial" w:hAnsi="Arial" w:cs="Arial"/>
                <w:sz w:val="24"/>
                <w:szCs w:val="24"/>
              </w:rPr>
              <w:t>- Treatment is continued until relapse, progression of disease, or unacceptable toxicity.</w:t>
            </w:r>
          </w:p>
          <w:p w14:paraId="2F159AA8" w14:textId="77777777" w:rsidR="002641D2" w:rsidRPr="00FA3F9C" w:rsidRDefault="002641D2" w:rsidP="00F35B51">
            <w:pPr>
              <w:rPr>
                <w:rFonts w:ascii="Arial" w:hAnsi="Arial" w:cs="Arial"/>
                <w:sz w:val="24"/>
                <w:szCs w:val="24"/>
              </w:rPr>
            </w:pPr>
            <w:r w:rsidRPr="00FA3F9C">
              <w:rPr>
                <w:rFonts w:ascii="Arial" w:hAnsi="Arial" w:cs="Arial"/>
                <w:sz w:val="24"/>
                <w:szCs w:val="24"/>
              </w:rPr>
              <w:t>-</w:t>
            </w:r>
            <w:proofErr w:type="spellStart"/>
            <w:r w:rsidRPr="00FA3F9C">
              <w:rPr>
                <w:rFonts w:ascii="Arial" w:hAnsi="Arial" w:cs="Arial"/>
                <w:sz w:val="24"/>
                <w:szCs w:val="24"/>
              </w:rPr>
              <w:t>Glasdegib</w:t>
            </w:r>
            <w:proofErr w:type="spellEnd"/>
            <w:r w:rsidRPr="00FA3F9C">
              <w:rPr>
                <w:rFonts w:ascii="Arial" w:hAnsi="Arial" w:cs="Arial"/>
                <w:sz w:val="24"/>
                <w:szCs w:val="24"/>
              </w:rPr>
              <w:t xml:space="preserve"> monotherapy is NOT effective</w:t>
            </w:r>
            <w:r w:rsidRPr="00FA3F9C">
              <w:rPr>
                <w:rFonts w:ascii="Arial" w:hAnsi="Arial" w:cs="Arial"/>
                <w:sz w:val="24"/>
                <w:szCs w:val="24"/>
                <w:vertAlign w:val="superscript"/>
              </w:rPr>
              <w:t>3</w:t>
            </w:r>
            <w:r w:rsidRPr="00FA3F9C">
              <w:rPr>
                <w:rFonts w:ascii="Arial" w:hAnsi="Arial" w:cs="Arial"/>
                <w:sz w:val="24"/>
                <w:szCs w:val="24"/>
              </w:rPr>
              <w:t xml:space="preserve"> </w:t>
            </w:r>
          </w:p>
          <w:p w14:paraId="6ADAEE27" w14:textId="77777777" w:rsidR="002641D2" w:rsidRPr="00FA3F9C" w:rsidRDefault="002641D2" w:rsidP="00717DA8">
            <w:pPr>
              <w:rPr>
                <w:rFonts w:ascii="Arial" w:hAnsi="Arial" w:cs="Arial"/>
                <w:sz w:val="24"/>
                <w:szCs w:val="24"/>
              </w:rPr>
            </w:pPr>
          </w:p>
        </w:tc>
      </w:tr>
    </w:tbl>
    <w:p w14:paraId="558A70AC" w14:textId="77777777" w:rsidR="002641D2" w:rsidRPr="00FA3F9C" w:rsidRDefault="002641D2" w:rsidP="006F623F">
      <w:pPr>
        <w:spacing w:after="0"/>
        <w:rPr>
          <w:rFonts w:ascii="Arial" w:hAnsi="Arial" w:cs="Arial"/>
          <w:sz w:val="24"/>
          <w:szCs w:val="24"/>
        </w:rPr>
      </w:pPr>
      <w:r w:rsidRPr="00FA3F9C">
        <w:rPr>
          <w:rFonts w:ascii="Arial" w:hAnsi="Arial" w:cs="Arial"/>
          <w:sz w:val="24"/>
          <w:szCs w:val="24"/>
        </w:rPr>
        <w:lastRenderedPageBreak/>
        <w:t xml:space="preserve">Quantity Limits: </w:t>
      </w:r>
    </w:p>
    <w:p w14:paraId="3B1162E8" w14:textId="77777777" w:rsidR="002641D2" w:rsidRPr="00FA3F9C" w:rsidRDefault="002641D2" w:rsidP="006F623F">
      <w:pPr>
        <w:spacing w:after="0"/>
        <w:rPr>
          <w:rFonts w:ascii="Arial" w:hAnsi="Arial" w:cs="Arial"/>
          <w:sz w:val="24"/>
          <w:szCs w:val="24"/>
        </w:rPr>
      </w:pPr>
      <w:r w:rsidRPr="00FA3F9C">
        <w:rPr>
          <w:rFonts w:ascii="Arial" w:hAnsi="Arial" w:cs="Arial"/>
          <w:sz w:val="24"/>
          <w:szCs w:val="24"/>
        </w:rPr>
        <w:t>25 mg tablets: 60 tablets/30 days</w:t>
      </w:r>
    </w:p>
    <w:p w14:paraId="250C31C1" w14:textId="77777777" w:rsidR="002641D2" w:rsidRPr="00FA3F9C" w:rsidRDefault="002641D2" w:rsidP="006F623F">
      <w:pPr>
        <w:spacing w:after="0"/>
        <w:rPr>
          <w:rFonts w:ascii="Arial" w:hAnsi="Arial" w:cs="Arial"/>
          <w:sz w:val="24"/>
          <w:szCs w:val="24"/>
        </w:rPr>
      </w:pPr>
      <w:r w:rsidRPr="00FA3F9C">
        <w:rPr>
          <w:rFonts w:ascii="Arial" w:hAnsi="Arial" w:cs="Arial"/>
          <w:sz w:val="24"/>
          <w:szCs w:val="24"/>
        </w:rPr>
        <w:t>100 mg tablets: 30 tablets/30 days</w:t>
      </w:r>
    </w:p>
    <w:p w14:paraId="5FDD79ED" w14:textId="77777777" w:rsidR="002641D2" w:rsidRPr="00FA3F9C" w:rsidRDefault="002641D2" w:rsidP="006F623F">
      <w:pPr>
        <w:spacing w:after="0"/>
        <w:rPr>
          <w:rFonts w:ascii="Arial" w:hAnsi="Arial" w:cs="Arial"/>
          <w:sz w:val="24"/>
          <w:szCs w:val="24"/>
        </w:rPr>
      </w:pPr>
    </w:p>
    <w:p w14:paraId="4E9B5782" w14:textId="77777777" w:rsidR="002641D2" w:rsidRPr="00FA3F9C" w:rsidRDefault="002641D2"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151"/>
        <w:gridCol w:w="7470"/>
        <w:gridCol w:w="2538"/>
      </w:tblGrid>
      <w:tr w:rsidR="002641D2" w:rsidRPr="00FA3F9C" w14:paraId="35D4E625" w14:textId="77777777" w:rsidTr="00FE491B">
        <w:tc>
          <w:tcPr>
            <w:tcW w:w="1008" w:type="dxa"/>
          </w:tcPr>
          <w:p w14:paraId="3878EAF9" w14:textId="77777777" w:rsidR="002641D2" w:rsidRPr="00FA3F9C" w:rsidRDefault="002641D2" w:rsidP="006F623F">
            <w:pPr>
              <w:rPr>
                <w:rFonts w:ascii="Arial" w:hAnsi="Arial" w:cs="Arial"/>
                <w:sz w:val="24"/>
                <w:szCs w:val="24"/>
              </w:rPr>
            </w:pPr>
            <w:r w:rsidRPr="00FA3F9C">
              <w:rPr>
                <w:rFonts w:ascii="Arial" w:hAnsi="Arial" w:cs="Arial"/>
                <w:sz w:val="24"/>
                <w:szCs w:val="24"/>
              </w:rPr>
              <w:t>Date</w:t>
            </w:r>
          </w:p>
        </w:tc>
        <w:tc>
          <w:tcPr>
            <w:tcW w:w="7470" w:type="dxa"/>
          </w:tcPr>
          <w:p w14:paraId="11DB16A5" w14:textId="77777777" w:rsidR="002641D2" w:rsidRPr="00FA3F9C" w:rsidRDefault="002641D2" w:rsidP="006F623F">
            <w:pPr>
              <w:rPr>
                <w:rFonts w:ascii="Arial" w:hAnsi="Arial" w:cs="Arial"/>
                <w:sz w:val="24"/>
                <w:szCs w:val="24"/>
              </w:rPr>
            </w:pPr>
            <w:r w:rsidRPr="00FA3F9C">
              <w:rPr>
                <w:rFonts w:ascii="Arial" w:hAnsi="Arial" w:cs="Arial"/>
                <w:sz w:val="24"/>
                <w:szCs w:val="24"/>
              </w:rPr>
              <w:t>What changed</w:t>
            </w:r>
          </w:p>
        </w:tc>
        <w:tc>
          <w:tcPr>
            <w:tcW w:w="2538" w:type="dxa"/>
          </w:tcPr>
          <w:p w14:paraId="1D0076A9" w14:textId="77777777" w:rsidR="002641D2" w:rsidRPr="00FA3F9C" w:rsidRDefault="002641D2" w:rsidP="006F623F">
            <w:pPr>
              <w:rPr>
                <w:rFonts w:ascii="Arial" w:hAnsi="Arial" w:cs="Arial"/>
                <w:sz w:val="24"/>
                <w:szCs w:val="24"/>
              </w:rPr>
            </w:pPr>
            <w:r w:rsidRPr="00FA3F9C">
              <w:rPr>
                <w:rFonts w:ascii="Arial" w:hAnsi="Arial" w:cs="Arial"/>
                <w:sz w:val="24"/>
                <w:szCs w:val="24"/>
              </w:rPr>
              <w:t>Pharmacist’s initials</w:t>
            </w:r>
          </w:p>
        </w:tc>
      </w:tr>
      <w:tr w:rsidR="002641D2" w:rsidRPr="00FA3F9C" w14:paraId="1F472F08" w14:textId="77777777" w:rsidTr="00FE491B">
        <w:tc>
          <w:tcPr>
            <w:tcW w:w="1008" w:type="dxa"/>
          </w:tcPr>
          <w:p w14:paraId="438DEE7C" w14:textId="77777777" w:rsidR="002641D2" w:rsidRPr="00FA3F9C" w:rsidRDefault="002641D2" w:rsidP="0072773A">
            <w:pPr>
              <w:rPr>
                <w:rFonts w:ascii="Arial" w:hAnsi="Arial" w:cs="Arial"/>
                <w:sz w:val="24"/>
                <w:szCs w:val="24"/>
              </w:rPr>
            </w:pPr>
            <w:r w:rsidRPr="00FA3F9C">
              <w:rPr>
                <w:rFonts w:ascii="Arial" w:hAnsi="Arial" w:cs="Arial"/>
                <w:sz w:val="24"/>
                <w:szCs w:val="24"/>
              </w:rPr>
              <w:t>1/28/19</w:t>
            </w:r>
          </w:p>
        </w:tc>
        <w:tc>
          <w:tcPr>
            <w:tcW w:w="7470" w:type="dxa"/>
          </w:tcPr>
          <w:p w14:paraId="3702EB1B" w14:textId="77777777" w:rsidR="002641D2" w:rsidRPr="00FA3F9C" w:rsidRDefault="002641D2" w:rsidP="006F623F">
            <w:pPr>
              <w:rPr>
                <w:rFonts w:ascii="Arial" w:hAnsi="Arial" w:cs="Arial"/>
                <w:sz w:val="24"/>
                <w:szCs w:val="24"/>
              </w:rPr>
            </w:pPr>
            <w:r w:rsidRPr="00FA3F9C">
              <w:rPr>
                <w:rFonts w:ascii="Arial" w:hAnsi="Arial" w:cs="Arial"/>
                <w:sz w:val="24"/>
                <w:szCs w:val="24"/>
              </w:rPr>
              <w:t>Criteria written</w:t>
            </w:r>
          </w:p>
        </w:tc>
        <w:tc>
          <w:tcPr>
            <w:tcW w:w="2538" w:type="dxa"/>
          </w:tcPr>
          <w:p w14:paraId="06023F68" w14:textId="77777777" w:rsidR="002641D2" w:rsidRPr="00FA3F9C" w:rsidRDefault="002641D2" w:rsidP="006F623F">
            <w:pPr>
              <w:rPr>
                <w:rFonts w:ascii="Arial" w:hAnsi="Arial" w:cs="Arial"/>
                <w:sz w:val="24"/>
                <w:szCs w:val="24"/>
              </w:rPr>
            </w:pPr>
            <w:proofErr w:type="spellStart"/>
            <w:r w:rsidRPr="00FA3F9C">
              <w:rPr>
                <w:rFonts w:ascii="Arial" w:hAnsi="Arial" w:cs="Arial"/>
                <w:sz w:val="24"/>
                <w:szCs w:val="24"/>
              </w:rPr>
              <w:t>sk</w:t>
            </w:r>
            <w:proofErr w:type="spellEnd"/>
          </w:p>
        </w:tc>
      </w:tr>
      <w:tr w:rsidR="002641D2" w:rsidRPr="00FA3F9C" w14:paraId="1ABD1F3C" w14:textId="77777777" w:rsidTr="00FE491B">
        <w:tc>
          <w:tcPr>
            <w:tcW w:w="1008" w:type="dxa"/>
          </w:tcPr>
          <w:p w14:paraId="08E40CDE" w14:textId="77777777" w:rsidR="002641D2" w:rsidRPr="00FA3F9C" w:rsidRDefault="002641D2" w:rsidP="006F623F">
            <w:pPr>
              <w:rPr>
                <w:rFonts w:ascii="Arial" w:hAnsi="Arial" w:cs="Arial"/>
                <w:sz w:val="24"/>
                <w:szCs w:val="24"/>
              </w:rPr>
            </w:pPr>
            <w:r w:rsidRPr="00FA3F9C">
              <w:rPr>
                <w:rFonts w:ascii="Arial" w:hAnsi="Arial" w:cs="Arial"/>
                <w:sz w:val="24"/>
                <w:szCs w:val="24"/>
              </w:rPr>
              <w:t>6/11/19</w:t>
            </w:r>
          </w:p>
        </w:tc>
        <w:tc>
          <w:tcPr>
            <w:tcW w:w="7470" w:type="dxa"/>
          </w:tcPr>
          <w:p w14:paraId="2FCE54A6" w14:textId="77777777" w:rsidR="002641D2" w:rsidRPr="00FA3F9C" w:rsidRDefault="002641D2" w:rsidP="006F623F">
            <w:pPr>
              <w:rPr>
                <w:rFonts w:ascii="Arial" w:hAnsi="Arial" w:cs="Arial"/>
                <w:sz w:val="24"/>
                <w:szCs w:val="24"/>
              </w:rPr>
            </w:pPr>
            <w:r w:rsidRPr="00FA3F9C">
              <w:rPr>
                <w:rFonts w:ascii="Arial" w:hAnsi="Arial" w:cs="Arial"/>
                <w:sz w:val="24"/>
                <w:szCs w:val="24"/>
              </w:rPr>
              <w:t>Criteria reviewed-no changes indicated</w:t>
            </w:r>
          </w:p>
        </w:tc>
        <w:tc>
          <w:tcPr>
            <w:tcW w:w="2538" w:type="dxa"/>
          </w:tcPr>
          <w:p w14:paraId="19924065" w14:textId="77777777" w:rsidR="002641D2" w:rsidRPr="00FA3F9C" w:rsidRDefault="002641D2" w:rsidP="006F623F">
            <w:pPr>
              <w:rPr>
                <w:rFonts w:ascii="Arial" w:hAnsi="Arial" w:cs="Arial"/>
                <w:sz w:val="24"/>
                <w:szCs w:val="24"/>
              </w:rPr>
            </w:pPr>
            <w:proofErr w:type="spellStart"/>
            <w:r w:rsidRPr="00FA3F9C">
              <w:rPr>
                <w:rFonts w:ascii="Arial" w:hAnsi="Arial" w:cs="Arial"/>
                <w:sz w:val="24"/>
                <w:szCs w:val="24"/>
              </w:rPr>
              <w:t>Sk</w:t>
            </w:r>
            <w:proofErr w:type="spellEnd"/>
          </w:p>
        </w:tc>
      </w:tr>
      <w:tr w:rsidR="002641D2" w:rsidRPr="00FA3F9C" w14:paraId="0D848088" w14:textId="77777777" w:rsidTr="00FE491B">
        <w:tc>
          <w:tcPr>
            <w:tcW w:w="1008" w:type="dxa"/>
          </w:tcPr>
          <w:p w14:paraId="646411A5" w14:textId="77777777" w:rsidR="002641D2" w:rsidRPr="00FA3F9C" w:rsidRDefault="002641D2" w:rsidP="006F623F">
            <w:pPr>
              <w:rPr>
                <w:rFonts w:ascii="Arial" w:hAnsi="Arial" w:cs="Arial"/>
                <w:sz w:val="24"/>
                <w:szCs w:val="24"/>
              </w:rPr>
            </w:pPr>
            <w:r w:rsidRPr="00FA3F9C">
              <w:rPr>
                <w:rFonts w:ascii="Arial" w:hAnsi="Arial" w:cs="Arial"/>
                <w:sz w:val="24"/>
                <w:szCs w:val="24"/>
              </w:rPr>
              <w:t>7/7/2020</w:t>
            </w:r>
          </w:p>
        </w:tc>
        <w:tc>
          <w:tcPr>
            <w:tcW w:w="7470" w:type="dxa"/>
          </w:tcPr>
          <w:p w14:paraId="6E05C067" w14:textId="77777777" w:rsidR="002641D2" w:rsidRPr="00FA3F9C" w:rsidRDefault="002641D2" w:rsidP="00812A17">
            <w:pPr>
              <w:rPr>
                <w:rFonts w:ascii="Arial" w:hAnsi="Arial" w:cs="Arial"/>
                <w:sz w:val="24"/>
                <w:szCs w:val="24"/>
              </w:rPr>
            </w:pPr>
            <w:r w:rsidRPr="00FA3F9C">
              <w:rPr>
                <w:rFonts w:ascii="Arial" w:hAnsi="Arial" w:cs="Arial"/>
                <w:sz w:val="24"/>
                <w:szCs w:val="24"/>
              </w:rPr>
              <w:t>Criteria reviewed. No change to criteria.</w:t>
            </w:r>
          </w:p>
        </w:tc>
        <w:tc>
          <w:tcPr>
            <w:tcW w:w="2538" w:type="dxa"/>
          </w:tcPr>
          <w:p w14:paraId="6DB32AF9" w14:textId="77777777" w:rsidR="002641D2" w:rsidRPr="00FA3F9C" w:rsidRDefault="002641D2" w:rsidP="006F623F">
            <w:pPr>
              <w:rPr>
                <w:rFonts w:ascii="Arial" w:hAnsi="Arial" w:cs="Arial"/>
                <w:sz w:val="24"/>
                <w:szCs w:val="24"/>
              </w:rPr>
            </w:pPr>
            <w:r w:rsidRPr="00FA3F9C">
              <w:rPr>
                <w:rFonts w:ascii="Arial" w:hAnsi="Arial" w:cs="Arial"/>
                <w:sz w:val="24"/>
                <w:szCs w:val="24"/>
              </w:rPr>
              <w:t>SK</w:t>
            </w:r>
          </w:p>
        </w:tc>
      </w:tr>
      <w:tr w:rsidR="002641D2" w:rsidRPr="00FA3F9C" w14:paraId="4172C294" w14:textId="77777777" w:rsidTr="00FE491B">
        <w:tc>
          <w:tcPr>
            <w:tcW w:w="1008" w:type="dxa"/>
          </w:tcPr>
          <w:p w14:paraId="2F438E71" w14:textId="77777777" w:rsidR="002641D2" w:rsidRPr="00FA3F9C" w:rsidRDefault="002641D2" w:rsidP="006F623F">
            <w:pPr>
              <w:rPr>
                <w:rFonts w:ascii="Arial" w:hAnsi="Arial" w:cs="Arial"/>
                <w:sz w:val="24"/>
                <w:szCs w:val="24"/>
              </w:rPr>
            </w:pPr>
            <w:r w:rsidRPr="00FA3F9C">
              <w:rPr>
                <w:rFonts w:ascii="Arial" w:hAnsi="Arial" w:cs="Arial"/>
                <w:sz w:val="24"/>
                <w:szCs w:val="24"/>
              </w:rPr>
              <w:t>3/31/21</w:t>
            </w:r>
          </w:p>
        </w:tc>
        <w:tc>
          <w:tcPr>
            <w:tcW w:w="7470" w:type="dxa"/>
          </w:tcPr>
          <w:p w14:paraId="4DBC3EE5" w14:textId="77777777" w:rsidR="002641D2" w:rsidRPr="00FA3F9C" w:rsidRDefault="002641D2" w:rsidP="00812A17">
            <w:pPr>
              <w:rPr>
                <w:rFonts w:ascii="Arial" w:hAnsi="Arial" w:cs="Arial"/>
                <w:sz w:val="24"/>
                <w:szCs w:val="24"/>
              </w:rPr>
            </w:pPr>
            <w:r w:rsidRPr="00FA3F9C">
              <w:rPr>
                <w:rFonts w:ascii="Arial" w:hAnsi="Arial" w:cs="Arial"/>
                <w:sz w:val="24"/>
                <w:szCs w:val="24"/>
              </w:rPr>
              <w:t>Applied to UAS Plan</w:t>
            </w:r>
          </w:p>
        </w:tc>
        <w:tc>
          <w:tcPr>
            <w:tcW w:w="2538" w:type="dxa"/>
          </w:tcPr>
          <w:p w14:paraId="49C5B9B9" w14:textId="77777777" w:rsidR="002641D2" w:rsidRPr="00FA3F9C" w:rsidRDefault="002641D2" w:rsidP="006F623F">
            <w:pPr>
              <w:rPr>
                <w:rFonts w:ascii="Arial" w:hAnsi="Arial" w:cs="Arial"/>
                <w:sz w:val="24"/>
                <w:szCs w:val="24"/>
              </w:rPr>
            </w:pPr>
            <w:r w:rsidRPr="00FA3F9C">
              <w:rPr>
                <w:rFonts w:ascii="Arial" w:hAnsi="Arial" w:cs="Arial"/>
                <w:sz w:val="24"/>
                <w:szCs w:val="24"/>
              </w:rPr>
              <w:t>JJ</w:t>
            </w:r>
          </w:p>
        </w:tc>
      </w:tr>
      <w:tr w:rsidR="002641D2" w:rsidRPr="00FA3F9C" w14:paraId="01290A90" w14:textId="77777777" w:rsidTr="00FE491B">
        <w:tc>
          <w:tcPr>
            <w:tcW w:w="1008" w:type="dxa"/>
          </w:tcPr>
          <w:p w14:paraId="6A9F6F78" w14:textId="77777777" w:rsidR="002641D2" w:rsidRPr="00FA3F9C" w:rsidRDefault="002641D2" w:rsidP="006F623F">
            <w:pPr>
              <w:rPr>
                <w:rFonts w:ascii="Arial" w:hAnsi="Arial" w:cs="Arial"/>
                <w:sz w:val="24"/>
                <w:szCs w:val="24"/>
              </w:rPr>
            </w:pPr>
            <w:r w:rsidRPr="00FA3F9C">
              <w:rPr>
                <w:rFonts w:ascii="Arial" w:hAnsi="Arial" w:cs="Arial"/>
                <w:sz w:val="24"/>
                <w:szCs w:val="24"/>
              </w:rPr>
              <w:t>8/31/21</w:t>
            </w:r>
          </w:p>
        </w:tc>
        <w:tc>
          <w:tcPr>
            <w:tcW w:w="7470" w:type="dxa"/>
          </w:tcPr>
          <w:p w14:paraId="01844848" w14:textId="77777777" w:rsidR="002641D2" w:rsidRPr="00FA3F9C" w:rsidRDefault="002641D2" w:rsidP="00812A17">
            <w:pPr>
              <w:rPr>
                <w:rFonts w:ascii="Arial" w:hAnsi="Arial" w:cs="Arial"/>
                <w:sz w:val="24"/>
                <w:szCs w:val="24"/>
              </w:rPr>
            </w:pPr>
            <w:r w:rsidRPr="00FA3F9C">
              <w:rPr>
                <w:rFonts w:ascii="Arial" w:hAnsi="Arial" w:cs="Arial"/>
                <w:sz w:val="24"/>
                <w:szCs w:val="24"/>
              </w:rPr>
              <w:t>Criteria reviewed. No changes.</w:t>
            </w:r>
          </w:p>
        </w:tc>
        <w:tc>
          <w:tcPr>
            <w:tcW w:w="2538" w:type="dxa"/>
          </w:tcPr>
          <w:p w14:paraId="4AD5A508" w14:textId="77777777" w:rsidR="002641D2" w:rsidRPr="00FA3F9C" w:rsidRDefault="002641D2" w:rsidP="006F623F">
            <w:pPr>
              <w:rPr>
                <w:rFonts w:ascii="Arial" w:hAnsi="Arial" w:cs="Arial"/>
                <w:sz w:val="24"/>
                <w:szCs w:val="24"/>
              </w:rPr>
            </w:pPr>
            <w:r w:rsidRPr="00FA3F9C">
              <w:rPr>
                <w:rFonts w:ascii="Arial" w:hAnsi="Arial" w:cs="Arial"/>
                <w:sz w:val="24"/>
                <w:szCs w:val="24"/>
              </w:rPr>
              <w:t>SK</w:t>
            </w:r>
          </w:p>
        </w:tc>
      </w:tr>
    </w:tbl>
    <w:p w14:paraId="1E86EF69" w14:textId="77777777" w:rsidR="002641D2" w:rsidRPr="00FA3F9C" w:rsidRDefault="002641D2" w:rsidP="0011628C">
      <w:pPr>
        <w:spacing w:after="0"/>
        <w:rPr>
          <w:rFonts w:ascii="Arial" w:hAnsi="Arial" w:cs="Arial"/>
          <w:sz w:val="24"/>
          <w:szCs w:val="24"/>
        </w:rPr>
      </w:pPr>
      <w:r w:rsidRPr="00FA3F9C">
        <w:rPr>
          <w:rFonts w:ascii="Arial" w:hAnsi="Arial" w:cs="Arial"/>
          <w:sz w:val="24"/>
          <w:szCs w:val="24"/>
        </w:rPr>
        <w:t xml:space="preserve">References: </w:t>
      </w:r>
    </w:p>
    <w:p w14:paraId="399B525B" w14:textId="77777777" w:rsidR="002641D2" w:rsidRPr="00FA3F9C" w:rsidRDefault="002641D2" w:rsidP="002641D2">
      <w:pPr>
        <w:pStyle w:val="ListParagraph"/>
        <w:numPr>
          <w:ilvl w:val="0"/>
          <w:numId w:val="225"/>
        </w:numPr>
        <w:spacing w:after="200" w:line="276" w:lineRule="auto"/>
        <w:rPr>
          <w:rFonts w:ascii="Arial" w:hAnsi="Arial" w:cs="Arial"/>
          <w:sz w:val="24"/>
          <w:szCs w:val="24"/>
        </w:rPr>
      </w:pPr>
      <w:r w:rsidRPr="00FA3F9C">
        <w:rPr>
          <w:rFonts w:ascii="Arial" w:hAnsi="Arial" w:cs="Arial"/>
          <w:sz w:val="24"/>
          <w:szCs w:val="24"/>
          <w:shd w:val="clear" w:color="auto" w:fill="FFFFFF"/>
          <w:lang w:val="fr-FR"/>
        </w:rPr>
        <w:t xml:space="preserve">Cortes, Jorge E., et al. </w:t>
      </w:r>
      <w:r w:rsidRPr="00FA3F9C">
        <w:rPr>
          <w:rFonts w:ascii="Arial" w:hAnsi="Arial" w:cs="Arial"/>
          <w:sz w:val="24"/>
          <w:szCs w:val="24"/>
          <w:shd w:val="clear" w:color="auto" w:fill="FFFFFF"/>
        </w:rPr>
        <w:t xml:space="preserve">“Randomized Comparison of Low Dose Cytarabine with or without </w:t>
      </w:r>
      <w:proofErr w:type="spellStart"/>
      <w:r w:rsidRPr="00FA3F9C">
        <w:rPr>
          <w:rFonts w:ascii="Arial" w:hAnsi="Arial" w:cs="Arial"/>
          <w:sz w:val="24"/>
          <w:szCs w:val="24"/>
          <w:shd w:val="clear" w:color="auto" w:fill="FFFFFF"/>
        </w:rPr>
        <w:t>Glasdegib</w:t>
      </w:r>
      <w:proofErr w:type="spellEnd"/>
      <w:r w:rsidRPr="00FA3F9C">
        <w:rPr>
          <w:rFonts w:ascii="Arial" w:hAnsi="Arial" w:cs="Arial"/>
          <w:sz w:val="24"/>
          <w:szCs w:val="24"/>
          <w:shd w:val="clear" w:color="auto" w:fill="FFFFFF"/>
        </w:rPr>
        <w:t xml:space="preserve"> in Patients with Newly Diagnosed Acute Myeloid Leukemia or High-Risk Myelodysplastic Syndrome.” </w:t>
      </w:r>
      <w:r w:rsidRPr="00FA3F9C">
        <w:rPr>
          <w:rFonts w:ascii="Arial" w:hAnsi="Arial" w:cs="Arial"/>
          <w:i/>
          <w:iCs/>
          <w:sz w:val="24"/>
          <w:szCs w:val="24"/>
        </w:rPr>
        <w:t>Leukemia</w:t>
      </w:r>
      <w:r w:rsidRPr="00FA3F9C">
        <w:rPr>
          <w:rFonts w:ascii="Arial" w:hAnsi="Arial" w:cs="Arial"/>
          <w:sz w:val="24"/>
          <w:szCs w:val="24"/>
          <w:shd w:val="clear" w:color="auto" w:fill="FFFFFF"/>
        </w:rPr>
        <w:t>, 2018, doi:10.1038/s41375-018-0312-9.</w:t>
      </w:r>
    </w:p>
    <w:p w14:paraId="16B34FC8" w14:textId="77777777" w:rsidR="002641D2" w:rsidRPr="00FA3F9C" w:rsidRDefault="002641D2" w:rsidP="002641D2">
      <w:pPr>
        <w:pStyle w:val="ListParagraph"/>
        <w:numPr>
          <w:ilvl w:val="0"/>
          <w:numId w:val="225"/>
        </w:numPr>
        <w:spacing w:after="200" w:line="276" w:lineRule="auto"/>
        <w:rPr>
          <w:rFonts w:ascii="Arial" w:hAnsi="Arial" w:cs="Arial"/>
          <w:sz w:val="24"/>
          <w:szCs w:val="24"/>
        </w:rPr>
      </w:pPr>
      <w:r w:rsidRPr="00FA3F9C">
        <w:rPr>
          <w:rFonts w:ascii="Arial" w:hAnsi="Arial" w:cs="Arial"/>
          <w:i/>
          <w:sz w:val="24"/>
          <w:szCs w:val="24"/>
          <w:shd w:val="clear" w:color="auto" w:fill="FFFFFF"/>
        </w:rPr>
        <w:t xml:space="preserve">Guidelines for AML – NCCN. </w:t>
      </w:r>
      <w:hyperlink r:id="rId179" w:history="1">
        <w:r w:rsidRPr="00FA3F9C">
          <w:rPr>
            <w:rStyle w:val="Hyperlink"/>
            <w:rFonts w:ascii="Arial" w:hAnsi="Arial" w:cs="Arial"/>
            <w:sz w:val="24"/>
            <w:szCs w:val="24"/>
            <w:shd w:val="clear" w:color="auto" w:fill="FFFFFF"/>
          </w:rPr>
          <w:t>www.nccn.org/professionals/physician_gls/pdf/aml.pdf</w:t>
        </w:r>
      </w:hyperlink>
      <w:r w:rsidRPr="00FA3F9C">
        <w:rPr>
          <w:rFonts w:ascii="Arial" w:hAnsi="Arial" w:cs="Arial"/>
          <w:sz w:val="24"/>
          <w:szCs w:val="24"/>
          <w:shd w:val="clear" w:color="auto" w:fill="FFFFFF"/>
        </w:rPr>
        <w:t>.</w:t>
      </w:r>
    </w:p>
    <w:p w14:paraId="780857DC" w14:textId="77777777" w:rsidR="002641D2" w:rsidRPr="00FA3F9C" w:rsidRDefault="00500371" w:rsidP="002641D2">
      <w:pPr>
        <w:pStyle w:val="ListParagraph"/>
        <w:numPr>
          <w:ilvl w:val="0"/>
          <w:numId w:val="225"/>
        </w:numPr>
        <w:spacing w:after="0" w:line="240" w:lineRule="auto"/>
        <w:rPr>
          <w:rFonts w:ascii="Arial" w:hAnsi="Arial" w:cs="Arial"/>
          <w:sz w:val="24"/>
          <w:szCs w:val="24"/>
        </w:rPr>
      </w:pPr>
      <w:hyperlink r:id="rId180" w:history="1">
        <w:r w:rsidR="002641D2" w:rsidRPr="00FA3F9C">
          <w:rPr>
            <w:rStyle w:val="Hyperlink"/>
            <w:rFonts w:ascii="Arial" w:hAnsi="Arial" w:cs="Arial"/>
            <w:sz w:val="24"/>
            <w:szCs w:val="24"/>
          </w:rPr>
          <w:t>https://www.accessdata.fda.gov/drugsatfda_docs/nda/2018/210656Orig1s000MedR.pdf</w:t>
        </w:r>
      </w:hyperlink>
    </w:p>
    <w:p w14:paraId="0F5A1C19" w14:textId="77777777" w:rsidR="005E2908" w:rsidRDefault="005E2908" w:rsidP="002D3625">
      <w:pPr>
        <w:jc w:val="center"/>
        <w:rPr>
          <w:rFonts w:ascii="Arial" w:hAnsi="Arial" w:cs="Arial"/>
          <w:b/>
          <w:sz w:val="24"/>
          <w:szCs w:val="24"/>
        </w:rPr>
      </w:pPr>
    </w:p>
    <w:p w14:paraId="1E5126A3" w14:textId="4FB5DFDE" w:rsidR="002641D2" w:rsidRPr="00FA3F9C" w:rsidRDefault="002641D2" w:rsidP="005E2908">
      <w:pPr>
        <w:pStyle w:val="Heading2"/>
      </w:pPr>
      <w:bookmarkStart w:id="130" w:name="_Toc106369813"/>
      <w:r w:rsidRPr="00FA3F9C">
        <w:t>Glatiramer (</w:t>
      </w:r>
      <w:proofErr w:type="spellStart"/>
      <w:r w:rsidRPr="00FA3F9C">
        <w:t>Glatopa</w:t>
      </w:r>
      <w:proofErr w:type="spellEnd"/>
      <w:r w:rsidRPr="00FA3F9C">
        <w:t>)</w:t>
      </w:r>
      <w:bookmarkEnd w:id="130"/>
    </w:p>
    <w:p w14:paraId="2A43F117" w14:textId="77777777" w:rsidR="002641D2" w:rsidRPr="00FA3F9C" w:rsidRDefault="002641D2" w:rsidP="002D3625">
      <w:pPr>
        <w:jc w:val="center"/>
        <w:rPr>
          <w:rFonts w:ascii="Arial" w:hAnsi="Arial" w:cs="Arial"/>
          <w:b/>
          <w:sz w:val="24"/>
          <w:szCs w:val="24"/>
        </w:rPr>
      </w:pPr>
      <w:r w:rsidRPr="00FA3F9C">
        <w:rPr>
          <w:rFonts w:ascii="Arial" w:hAnsi="Arial" w:cs="Arial"/>
          <w:b/>
          <w:sz w:val="24"/>
          <w:szCs w:val="24"/>
        </w:rPr>
        <w:t>EBRx PA Criteria</w:t>
      </w:r>
    </w:p>
    <w:p w14:paraId="0B84C9D6" w14:textId="77777777" w:rsidR="002641D2" w:rsidRPr="00FA3F9C" w:rsidRDefault="002641D2" w:rsidP="002D3625">
      <w:pPr>
        <w:jc w:val="center"/>
        <w:rPr>
          <w:rFonts w:ascii="Arial" w:hAnsi="Arial" w:cs="Arial"/>
          <w:b/>
          <w:sz w:val="24"/>
          <w:szCs w:val="24"/>
        </w:rPr>
      </w:pPr>
    </w:p>
    <w:p w14:paraId="003FDF5A" w14:textId="77777777" w:rsidR="002641D2" w:rsidRPr="00FA3F9C" w:rsidRDefault="002641D2" w:rsidP="00662E12">
      <w:pPr>
        <w:rPr>
          <w:rFonts w:ascii="Arial" w:hAnsi="Arial" w:cs="Arial"/>
          <w:b/>
          <w:sz w:val="24"/>
          <w:szCs w:val="24"/>
        </w:rPr>
      </w:pPr>
      <w:r w:rsidRPr="00FA3F9C">
        <w:rPr>
          <w:rFonts w:ascii="Arial" w:hAnsi="Arial" w:cs="Arial"/>
          <w:b/>
          <w:sz w:val="24"/>
          <w:szCs w:val="24"/>
          <w:highlight w:val="yellow"/>
        </w:rPr>
        <w:t>***Note to PA Call Pharmacists:  Please put in PA at the NDC level.  To do this, change drug type from GPID to NDC 9</w:t>
      </w:r>
    </w:p>
    <w:p w14:paraId="2D68338C" w14:textId="77777777" w:rsidR="002641D2" w:rsidRPr="00FA3F9C" w:rsidRDefault="002641D2">
      <w:pPr>
        <w:rPr>
          <w:rFonts w:ascii="Arial" w:hAnsi="Arial" w:cs="Arial"/>
          <w:sz w:val="24"/>
          <w:szCs w:val="24"/>
        </w:rPr>
      </w:pPr>
    </w:p>
    <w:p w14:paraId="118E5004" w14:textId="77777777" w:rsidR="002641D2" w:rsidRPr="00FA3F9C" w:rsidRDefault="002641D2" w:rsidP="00EF71AC">
      <w:pPr>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relapsing multiple sclerosis</w:t>
      </w:r>
    </w:p>
    <w:tbl>
      <w:tblPr>
        <w:tblStyle w:val="TableGrid"/>
        <w:tblW w:w="0" w:type="auto"/>
        <w:tblLook w:val="04A0" w:firstRow="1" w:lastRow="0" w:firstColumn="1" w:lastColumn="0" w:noHBand="0" w:noVBand="1"/>
      </w:tblPr>
      <w:tblGrid>
        <w:gridCol w:w="8749"/>
        <w:gridCol w:w="2041"/>
      </w:tblGrid>
      <w:tr w:rsidR="002641D2" w:rsidRPr="00FA3F9C" w14:paraId="1070697A" w14:textId="77777777" w:rsidTr="00230490">
        <w:tc>
          <w:tcPr>
            <w:tcW w:w="8749" w:type="dxa"/>
            <w:shd w:val="clear" w:color="auto" w:fill="000000"/>
          </w:tcPr>
          <w:p w14:paraId="1BA05643" w14:textId="77777777" w:rsidR="002641D2" w:rsidRPr="00FA3F9C" w:rsidRDefault="002641D2" w:rsidP="00457F7B">
            <w:pPr>
              <w:rPr>
                <w:rFonts w:ascii="Arial" w:hAnsi="Arial" w:cs="Arial"/>
                <w:b/>
                <w:sz w:val="24"/>
                <w:szCs w:val="24"/>
                <w:u w:val="single"/>
              </w:rPr>
            </w:pPr>
            <w:r w:rsidRPr="00FA3F9C">
              <w:rPr>
                <w:rFonts w:ascii="Arial" w:hAnsi="Arial" w:cs="Arial"/>
                <w:b/>
                <w:sz w:val="24"/>
                <w:szCs w:val="24"/>
                <w:u w:val="single"/>
              </w:rPr>
              <w:t>Criteria for new users</w:t>
            </w:r>
          </w:p>
        </w:tc>
        <w:tc>
          <w:tcPr>
            <w:tcW w:w="2041" w:type="dxa"/>
            <w:shd w:val="clear" w:color="auto" w:fill="000000"/>
          </w:tcPr>
          <w:p w14:paraId="711A13A4" w14:textId="77777777" w:rsidR="002641D2" w:rsidRPr="00FA3F9C" w:rsidRDefault="002641D2" w:rsidP="00457F7B">
            <w:pPr>
              <w:jc w:val="center"/>
              <w:rPr>
                <w:rFonts w:ascii="Arial" w:hAnsi="Arial" w:cs="Arial"/>
                <w:b/>
                <w:sz w:val="24"/>
                <w:szCs w:val="24"/>
                <w:u w:val="single"/>
              </w:rPr>
            </w:pPr>
          </w:p>
        </w:tc>
      </w:tr>
      <w:tr w:rsidR="002641D2" w:rsidRPr="00FA3F9C" w14:paraId="4A790F29" w14:textId="77777777" w:rsidTr="00230490">
        <w:tc>
          <w:tcPr>
            <w:tcW w:w="10790" w:type="dxa"/>
            <w:gridSpan w:val="2"/>
          </w:tcPr>
          <w:p w14:paraId="438B1A34" w14:textId="77777777" w:rsidR="002641D2" w:rsidRPr="00FA3F9C" w:rsidRDefault="002641D2" w:rsidP="002641D2">
            <w:pPr>
              <w:pStyle w:val="ListParagraph"/>
              <w:numPr>
                <w:ilvl w:val="0"/>
                <w:numId w:val="219"/>
              </w:numPr>
              <w:rPr>
                <w:rFonts w:ascii="Arial" w:hAnsi="Arial" w:cs="Arial"/>
                <w:sz w:val="24"/>
                <w:szCs w:val="24"/>
              </w:rPr>
            </w:pPr>
            <w:r w:rsidRPr="00FA3F9C">
              <w:rPr>
                <w:rFonts w:ascii="Arial" w:hAnsi="Arial" w:cs="Arial"/>
                <w:sz w:val="24"/>
                <w:szCs w:val="24"/>
              </w:rPr>
              <w:t>Patient must have the diagnosis of relapsing MS with highly active disease as indicated by the prescriber (high frequency of relapses, MRI changes).</w:t>
            </w:r>
          </w:p>
        </w:tc>
      </w:tr>
      <w:tr w:rsidR="002641D2" w:rsidRPr="00FA3F9C" w14:paraId="4F6CADBE" w14:textId="77777777" w:rsidTr="00230490">
        <w:tc>
          <w:tcPr>
            <w:tcW w:w="10790" w:type="dxa"/>
            <w:gridSpan w:val="2"/>
          </w:tcPr>
          <w:p w14:paraId="214782AB" w14:textId="77777777" w:rsidR="002641D2" w:rsidRPr="00FA3F9C" w:rsidRDefault="002641D2" w:rsidP="002641D2">
            <w:pPr>
              <w:pStyle w:val="ListParagraph"/>
              <w:numPr>
                <w:ilvl w:val="0"/>
                <w:numId w:val="219"/>
              </w:numPr>
              <w:rPr>
                <w:rFonts w:ascii="Arial" w:hAnsi="Arial" w:cs="Arial"/>
                <w:sz w:val="24"/>
                <w:szCs w:val="24"/>
              </w:rPr>
            </w:pPr>
            <w:r w:rsidRPr="00FA3F9C">
              <w:rPr>
                <w:rFonts w:ascii="Arial" w:hAnsi="Arial" w:cs="Arial"/>
                <w:sz w:val="24"/>
                <w:szCs w:val="24"/>
              </w:rPr>
              <w:t>No concurrent therapy with immunosuppressive drugs</w:t>
            </w:r>
          </w:p>
        </w:tc>
      </w:tr>
      <w:tr w:rsidR="002641D2" w:rsidRPr="00FA3F9C" w14:paraId="44C02219" w14:textId="77777777" w:rsidTr="00230490">
        <w:tc>
          <w:tcPr>
            <w:tcW w:w="10790" w:type="dxa"/>
            <w:gridSpan w:val="2"/>
          </w:tcPr>
          <w:p w14:paraId="175220C7" w14:textId="77777777" w:rsidR="002641D2" w:rsidRPr="00FA3F9C" w:rsidRDefault="002641D2" w:rsidP="002641D2">
            <w:pPr>
              <w:pStyle w:val="ListParagraph"/>
              <w:numPr>
                <w:ilvl w:val="0"/>
                <w:numId w:val="219"/>
              </w:numPr>
              <w:rPr>
                <w:rFonts w:ascii="Arial" w:hAnsi="Arial" w:cs="Arial"/>
                <w:sz w:val="24"/>
                <w:szCs w:val="24"/>
              </w:rPr>
            </w:pPr>
            <w:r w:rsidRPr="00FA3F9C">
              <w:rPr>
                <w:rFonts w:ascii="Arial" w:hAnsi="Arial" w:cs="Arial"/>
                <w:sz w:val="24"/>
                <w:szCs w:val="24"/>
              </w:rPr>
              <w:t>No concurrent therapy with other RRMS drug therapies.</w:t>
            </w:r>
          </w:p>
        </w:tc>
      </w:tr>
    </w:tbl>
    <w:p w14:paraId="19E8EE94" w14:textId="77777777" w:rsidR="002641D2" w:rsidRPr="00FA3F9C" w:rsidRDefault="002641D2" w:rsidP="00EF71AC">
      <w:pPr>
        <w:rPr>
          <w:rFonts w:ascii="Arial" w:hAnsi="Arial" w:cs="Arial"/>
          <w:b/>
          <w:sz w:val="24"/>
          <w:szCs w:val="24"/>
          <w:u w:val="single"/>
        </w:rPr>
      </w:pPr>
    </w:p>
    <w:tbl>
      <w:tblPr>
        <w:tblStyle w:val="TableGrid"/>
        <w:tblW w:w="0" w:type="auto"/>
        <w:shd w:val="clear" w:color="auto" w:fill="BFBFBF" w:themeFill="background1" w:themeFillShade="BF"/>
        <w:tblLook w:val="04A0" w:firstRow="1" w:lastRow="0" w:firstColumn="1" w:lastColumn="0" w:noHBand="0" w:noVBand="1"/>
      </w:tblPr>
      <w:tblGrid>
        <w:gridCol w:w="10790"/>
      </w:tblGrid>
      <w:tr w:rsidR="002641D2" w:rsidRPr="00FA3F9C" w14:paraId="07338684" w14:textId="77777777" w:rsidTr="00230490">
        <w:tc>
          <w:tcPr>
            <w:tcW w:w="10790" w:type="dxa"/>
            <w:shd w:val="clear" w:color="auto" w:fill="BFBFBF" w:themeFill="background1" w:themeFillShade="BF"/>
          </w:tcPr>
          <w:p w14:paraId="181560E9" w14:textId="77777777" w:rsidR="002641D2" w:rsidRPr="00FA3F9C" w:rsidRDefault="002641D2" w:rsidP="00457F7B">
            <w:pPr>
              <w:rPr>
                <w:rFonts w:ascii="Arial" w:hAnsi="Arial" w:cs="Arial"/>
                <w:sz w:val="24"/>
                <w:szCs w:val="24"/>
              </w:rPr>
            </w:pPr>
            <w:r w:rsidRPr="00FA3F9C">
              <w:rPr>
                <w:rFonts w:ascii="Arial" w:hAnsi="Arial" w:cs="Arial"/>
                <w:sz w:val="24"/>
                <w:szCs w:val="24"/>
              </w:rPr>
              <w:t>Note: Dose is 20mg SC daily.</w:t>
            </w:r>
          </w:p>
        </w:tc>
      </w:tr>
    </w:tbl>
    <w:p w14:paraId="5EBC2E73" w14:textId="77777777" w:rsidR="002641D2" w:rsidRPr="00FA3F9C" w:rsidRDefault="002641D2" w:rsidP="00EF71AC">
      <w:pPr>
        <w:rPr>
          <w:rFonts w:ascii="Arial" w:hAnsi="Arial" w:cs="Arial"/>
          <w:sz w:val="24"/>
          <w:szCs w:val="24"/>
        </w:rPr>
      </w:pPr>
    </w:p>
    <w:p w14:paraId="744EC9F7" w14:textId="77777777" w:rsidR="002641D2" w:rsidRPr="00FA3F9C" w:rsidRDefault="002641D2" w:rsidP="00EF71AC">
      <w:pPr>
        <w:rPr>
          <w:rFonts w:ascii="Arial" w:hAnsi="Arial" w:cs="Arial"/>
          <w:sz w:val="24"/>
          <w:szCs w:val="24"/>
        </w:rPr>
      </w:pPr>
      <w:r w:rsidRPr="00FA3F9C">
        <w:rPr>
          <w:rFonts w:ascii="Arial" w:hAnsi="Arial" w:cs="Arial"/>
          <w:sz w:val="24"/>
          <w:szCs w:val="24"/>
        </w:rPr>
        <w:t xml:space="preserve">Quantity Limits: </w:t>
      </w:r>
    </w:p>
    <w:p w14:paraId="0DA700EB" w14:textId="77777777" w:rsidR="002641D2" w:rsidRPr="00FA3F9C" w:rsidRDefault="002641D2" w:rsidP="00EF71AC">
      <w:pPr>
        <w:rPr>
          <w:rFonts w:ascii="Arial" w:hAnsi="Arial" w:cs="Arial"/>
          <w:sz w:val="24"/>
          <w:szCs w:val="24"/>
        </w:rPr>
      </w:pPr>
    </w:p>
    <w:p w14:paraId="5ADAF855" w14:textId="77777777" w:rsidR="002641D2" w:rsidRPr="00FA3F9C" w:rsidRDefault="002641D2" w:rsidP="00EF71AC">
      <w:pPr>
        <w:rPr>
          <w:rFonts w:ascii="Arial" w:hAnsi="Arial" w:cs="Arial"/>
          <w:sz w:val="24"/>
          <w:szCs w:val="24"/>
        </w:rPr>
      </w:pPr>
      <w:r w:rsidRPr="00FA3F9C">
        <w:rPr>
          <w:rFonts w:ascii="Arial" w:hAnsi="Arial" w:cs="Arial"/>
          <w:sz w:val="24"/>
          <w:szCs w:val="24"/>
        </w:rPr>
        <w:t>References:</w:t>
      </w:r>
    </w:p>
    <w:p w14:paraId="1D75C13A" w14:textId="77777777" w:rsidR="002641D2" w:rsidRPr="00FA3F9C" w:rsidRDefault="002641D2" w:rsidP="002641D2">
      <w:pPr>
        <w:pStyle w:val="ListParagraph"/>
        <w:numPr>
          <w:ilvl w:val="0"/>
          <w:numId w:val="227"/>
        </w:numPr>
        <w:spacing w:after="0" w:line="276" w:lineRule="auto"/>
        <w:rPr>
          <w:rFonts w:ascii="Arial" w:hAnsi="Arial" w:cs="Arial"/>
          <w:sz w:val="24"/>
          <w:szCs w:val="24"/>
        </w:rPr>
      </w:pPr>
      <w:r w:rsidRPr="00FA3F9C">
        <w:rPr>
          <w:rFonts w:ascii="Arial" w:hAnsi="Arial" w:cs="Arial"/>
          <w:sz w:val="24"/>
          <w:szCs w:val="24"/>
        </w:rPr>
        <w:t>Lexicomp. Glatiramer.  Accessed 9/18/19.</w:t>
      </w:r>
    </w:p>
    <w:p w14:paraId="49829A92" w14:textId="77777777" w:rsidR="002641D2" w:rsidRPr="00FA3F9C" w:rsidRDefault="002641D2" w:rsidP="002641D2">
      <w:pPr>
        <w:pStyle w:val="ListParagraph"/>
        <w:numPr>
          <w:ilvl w:val="0"/>
          <w:numId w:val="227"/>
        </w:numPr>
        <w:spacing w:after="0" w:line="276" w:lineRule="auto"/>
        <w:rPr>
          <w:rFonts w:ascii="Arial" w:hAnsi="Arial" w:cs="Arial"/>
          <w:sz w:val="24"/>
          <w:szCs w:val="24"/>
        </w:rPr>
      </w:pPr>
      <w:r w:rsidRPr="00FA3F9C">
        <w:rPr>
          <w:rFonts w:ascii="Arial" w:hAnsi="Arial" w:cs="Arial"/>
          <w:sz w:val="24"/>
          <w:szCs w:val="24"/>
        </w:rPr>
        <w:t>UpToDate. DMT for RRMS. Accessed 9/18/19.</w:t>
      </w:r>
    </w:p>
    <w:p w14:paraId="3270BE56" w14:textId="77777777" w:rsidR="002641D2" w:rsidRPr="00FA3F9C" w:rsidRDefault="002641D2" w:rsidP="002641D2">
      <w:pPr>
        <w:pStyle w:val="ListParagraph"/>
        <w:numPr>
          <w:ilvl w:val="0"/>
          <w:numId w:val="227"/>
        </w:numPr>
        <w:spacing w:after="200" w:line="276" w:lineRule="auto"/>
        <w:rPr>
          <w:rFonts w:ascii="Arial" w:eastAsia="Times New Roman" w:hAnsi="Arial" w:cs="Arial"/>
          <w:sz w:val="24"/>
          <w:szCs w:val="24"/>
        </w:rPr>
      </w:pPr>
      <w:r w:rsidRPr="00FA3F9C">
        <w:rPr>
          <w:rFonts w:ascii="Arial" w:hAnsi="Arial" w:cs="Arial"/>
          <w:sz w:val="24"/>
          <w:szCs w:val="24"/>
        </w:rPr>
        <w:t xml:space="preserve">AAN.  Practice Guideline: Disease-modifying Therapies for Adults with multiple sclerosis.  American Academy of Neurology 4/24/2018. </w:t>
      </w:r>
      <w:hyperlink r:id="rId181" w:history="1">
        <w:r w:rsidRPr="00FA3F9C">
          <w:rPr>
            <w:rFonts w:ascii="Arial" w:eastAsia="Times New Roman" w:hAnsi="Arial" w:cs="Arial"/>
            <w:color w:val="0000FF"/>
            <w:sz w:val="24"/>
            <w:szCs w:val="24"/>
            <w:u w:val="single"/>
          </w:rPr>
          <w:t>https://www.aan.com/Guidelines/Home/GetGuidelineContent/900</w:t>
        </w:r>
      </w:hyperlink>
    </w:p>
    <w:p w14:paraId="2A42C747" w14:textId="77777777" w:rsidR="002641D2" w:rsidRPr="00FA3F9C" w:rsidRDefault="002641D2">
      <w:pPr>
        <w:rPr>
          <w:rFonts w:ascii="Arial" w:hAnsi="Arial" w:cs="Arial"/>
          <w:sz w:val="24"/>
          <w:szCs w:val="24"/>
        </w:rPr>
      </w:pPr>
    </w:p>
    <w:p w14:paraId="5EE3C70F" w14:textId="77777777" w:rsidR="002641D2" w:rsidRPr="00FA3F9C" w:rsidRDefault="002641D2">
      <w:pPr>
        <w:rPr>
          <w:rFonts w:ascii="Arial" w:hAnsi="Arial" w:cs="Arial"/>
          <w:sz w:val="24"/>
          <w:szCs w:val="24"/>
        </w:rPr>
      </w:pPr>
      <w:r w:rsidRPr="00FA3F9C">
        <w:rPr>
          <w:rFonts w:ascii="Arial" w:hAnsi="Arial" w:cs="Arial"/>
          <w:sz w:val="24"/>
          <w:szCs w:val="24"/>
        </w:rPr>
        <w:t>Revision History:</w:t>
      </w:r>
    </w:p>
    <w:tbl>
      <w:tblPr>
        <w:tblStyle w:val="TableGrid"/>
        <w:tblW w:w="0" w:type="auto"/>
        <w:tblInd w:w="468" w:type="dxa"/>
        <w:tblLook w:val="04A0" w:firstRow="1" w:lastRow="0" w:firstColumn="1" w:lastColumn="0" w:noHBand="0" w:noVBand="1"/>
      </w:tblPr>
      <w:tblGrid>
        <w:gridCol w:w="1382"/>
        <w:gridCol w:w="7565"/>
        <w:gridCol w:w="1417"/>
      </w:tblGrid>
      <w:tr w:rsidR="002641D2" w:rsidRPr="00FA3F9C" w14:paraId="48129E35" w14:textId="77777777" w:rsidTr="00B86ECB">
        <w:tc>
          <w:tcPr>
            <w:tcW w:w="1382" w:type="dxa"/>
          </w:tcPr>
          <w:p w14:paraId="6358633D" w14:textId="77777777" w:rsidR="002641D2" w:rsidRPr="00FA3F9C" w:rsidRDefault="002641D2">
            <w:pPr>
              <w:rPr>
                <w:rFonts w:ascii="Arial" w:hAnsi="Arial" w:cs="Arial"/>
                <w:sz w:val="24"/>
                <w:szCs w:val="24"/>
              </w:rPr>
            </w:pPr>
            <w:r w:rsidRPr="00FA3F9C">
              <w:rPr>
                <w:rFonts w:ascii="Arial" w:hAnsi="Arial" w:cs="Arial"/>
                <w:sz w:val="24"/>
                <w:szCs w:val="24"/>
              </w:rPr>
              <w:t>Date</w:t>
            </w:r>
          </w:p>
        </w:tc>
        <w:tc>
          <w:tcPr>
            <w:tcW w:w="7565" w:type="dxa"/>
          </w:tcPr>
          <w:p w14:paraId="50E3FE5D" w14:textId="77777777" w:rsidR="002641D2" w:rsidRPr="00FA3F9C" w:rsidRDefault="002641D2">
            <w:pPr>
              <w:rPr>
                <w:rFonts w:ascii="Arial" w:hAnsi="Arial" w:cs="Arial"/>
                <w:sz w:val="24"/>
                <w:szCs w:val="24"/>
              </w:rPr>
            </w:pPr>
            <w:r w:rsidRPr="00FA3F9C">
              <w:rPr>
                <w:rFonts w:ascii="Arial" w:hAnsi="Arial" w:cs="Arial"/>
                <w:sz w:val="24"/>
                <w:szCs w:val="24"/>
              </w:rPr>
              <w:t>Task</w:t>
            </w:r>
          </w:p>
        </w:tc>
        <w:tc>
          <w:tcPr>
            <w:tcW w:w="1375" w:type="dxa"/>
          </w:tcPr>
          <w:p w14:paraId="55A22281" w14:textId="77777777" w:rsidR="002641D2" w:rsidRPr="00FA3F9C" w:rsidRDefault="002641D2">
            <w:pPr>
              <w:rPr>
                <w:rFonts w:ascii="Arial" w:hAnsi="Arial" w:cs="Arial"/>
                <w:sz w:val="24"/>
                <w:szCs w:val="24"/>
              </w:rPr>
            </w:pPr>
            <w:r w:rsidRPr="00FA3F9C">
              <w:rPr>
                <w:rFonts w:ascii="Arial" w:hAnsi="Arial" w:cs="Arial"/>
                <w:sz w:val="24"/>
                <w:szCs w:val="24"/>
              </w:rPr>
              <w:t>Pharmacist</w:t>
            </w:r>
          </w:p>
        </w:tc>
      </w:tr>
      <w:tr w:rsidR="002641D2" w:rsidRPr="00FA3F9C" w14:paraId="2B47C88E" w14:textId="77777777" w:rsidTr="00B86ECB">
        <w:tc>
          <w:tcPr>
            <w:tcW w:w="1382" w:type="dxa"/>
          </w:tcPr>
          <w:p w14:paraId="0D4C2DF3" w14:textId="77777777" w:rsidR="002641D2" w:rsidRPr="00FA3F9C" w:rsidRDefault="002641D2" w:rsidP="00B859E8">
            <w:pPr>
              <w:rPr>
                <w:rFonts w:ascii="Arial" w:hAnsi="Arial" w:cs="Arial"/>
                <w:sz w:val="24"/>
                <w:szCs w:val="24"/>
              </w:rPr>
            </w:pPr>
            <w:r w:rsidRPr="00FA3F9C">
              <w:rPr>
                <w:rFonts w:ascii="Arial" w:hAnsi="Arial" w:cs="Arial"/>
                <w:sz w:val="24"/>
                <w:szCs w:val="24"/>
              </w:rPr>
              <w:t>5/20/14</w:t>
            </w:r>
          </w:p>
        </w:tc>
        <w:tc>
          <w:tcPr>
            <w:tcW w:w="7565" w:type="dxa"/>
          </w:tcPr>
          <w:p w14:paraId="3E8B7CD3" w14:textId="77777777" w:rsidR="002641D2" w:rsidRPr="00FA3F9C" w:rsidRDefault="002641D2" w:rsidP="00B859E8">
            <w:pPr>
              <w:rPr>
                <w:rFonts w:ascii="Arial" w:hAnsi="Arial" w:cs="Arial"/>
                <w:sz w:val="24"/>
                <w:szCs w:val="24"/>
              </w:rPr>
            </w:pPr>
            <w:r w:rsidRPr="00FA3F9C">
              <w:rPr>
                <w:rFonts w:ascii="Arial" w:hAnsi="Arial" w:cs="Arial"/>
                <w:sz w:val="24"/>
                <w:szCs w:val="24"/>
              </w:rPr>
              <w:t>JJ wrote PA according to AR Insurance Board minutes 1/30/14.</w:t>
            </w:r>
          </w:p>
        </w:tc>
        <w:tc>
          <w:tcPr>
            <w:tcW w:w="1375" w:type="dxa"/>
          </w:tcPr>
          <w:p w14:paraId="08407150" w14:textId="77777777" w:rsidR="002641D2" w:rsidRPr="00FA3F9C" w:rsidRDefault="002641D2">
            <w:pPr>
              <w:rPr>
                <w:rFonts w:ascii="Arial" w:hAnsi="Arial" w:cs="Arial"/>
                <w:sz w:val="24"/>
                <w:szCs w:val="24"/>
              </w:rPr>
            </w:pPr>
            <w:r w:rsidRPr="00FA3F9C">
              <w:rPr>
                <w:rFonts w:ascii="Arial" w:hAnsi="Arial" w:cs="Arial"/>
                <w:sz w:val="24"/>
                <w:szCs w:val="24"/>
              </w:rPr>
              <w:t>JJ</w:t>
            </w:r>
          </w:p>
        </w:tc>
      </w:tr>
      <w:tr w:rsidR="002641D2" w:rsidRPr="00FA3F9C" w14:paraId="07C43D9C" w14:textId="77777777" w:rsidTr="00B86ECB">
        <w:tc>
          <w:tcPr>
            <w:tcW w:w="1382" w:type="dxa"/>
          </w:tcPr>
          <w:p w14:paraId="7BE5B5CA" w14:textId="77777777" w:rsidR="002641D2" w:rsidRPr="00FA3F9C" w:rsidRDefault="002641D2" w:rsidP="006D2D8C">
            <w:pPr>
              <w:rPr>
                <w:rFonts w:ascii="Arial" w:hAnsi="Arial" w:cs="Arial"/>
                <w:sz w:val="24"/>
                <w:szCs w:val="24"/>
              </w:rPr>
            </w:pPr>
            <w:r w:rsidRPr="00FA3F9C">
              <w:rPr>
                <w:rFonts w:ascii="Arial" w:hAnsi="Arial" w:cs="Arial"/>
                <w:sz w:val="24"/>
                <w:szCs w:val="24"/>
              </w:rPr>
              <w:t>9/19/2019</w:t>
            </w:r>
          </w:p>
        </w:tc>
        <w:tc>
          <w:tcPr>
            <w:tcW w:w="7565" w:type="dxa"/>
          </w:tcPr>
          <w:p w14:paraId="367C0E27" w14:textId="77777777" w:rsidR="002641D2" w:rsidRPr="00FA3F9C" w:rsidRDefault="002641D2" w:rsidP="006D2D8C">
            <w:pPr>
              <w:rPr>
                <w:rFonts w:ascii="Arial" w:hAnsi="Arial" w:cs="Arial"/>
                <w:sz w:val="24"/>
                <w:szCs w:val="24"/>
              </w:rPr>
            </w:pPr>
            <w:r w:rsidRPr="00FA3F9C">
              <w:rPr>
                <w:rFonts w:ascii="Arial" w:hAnsi="Arial" w:cs="Arial"/>
                <w:sz w:val="24"/>
                <w:szCs w:val="24"/>
              </w:rPr>
              <w:t>I updated the criteria.  Added reference 3.</w:t>
            </w:r>
          </w:p>
        </w:tc>
        <w:tc>
          <w:tcPr>
            <w:tcW w:w="1375" w:type="dxa"/>
          </w:tcPr>
          <w:p w14:paraId="5037CD1A" w14:textId="77777777" w:rsidR="002641D2" w:rsidRPr="00FA3F9C" w:rsidRDefault="002641D2" w:rsidP="006D2D8C">
            <w:pPr>
              <w:rPr>
                <w:rFonts w:ascii="Arial" w:hAnsi="Arial" w:cs="Arial"/>
                <w:sz w:val="24"/>
                <w:szCs w:val="24"/>
              </w:rPr>
            </w:pPr>
            <w:r w:rsidRPr="00FA3F9C">
              <w:rPr>
                <w:rFonts w:ascii="Arial" w:hAnsi="Arial" w:cs="Arial"/>
                <w:sz w:val="24"/>
                <w:szCs w:val="24"/>
              </w:rPr>
              <w:t>JJ</w:t>
            </w:r>
          </w:p>
        </w:tc>
      </w:tr>
      <w:tr w:rsidR="002641D2" w:rsidRPr="00FA3F9C" w14:paraId="46675C7E" w14:textId="77777777" w:rsidTr="00B86ECB">
        <w:tc>
          <w:tcPr>
            <w:tcW w:w="1382" w:type="dxa"/>
          </w:tcPr>
          <w:p w14:paraId="0E7C3103" w14:textId="77777777" w:rsidR="002641D2" w:rsidRPr="00FA3F9C" w:rsidRDefault="002641D2" w:rsidP="006D2D8C">
            <w:pPr>
              <w:rPr>
                <w:rFonts w:ascii="Arial" w:hAnsi="Arial" w:cs="Arial"/>
                <w:sz w:val="24"/>
                <w:szCs w:val="24"/>
              </w:rPr>
            </w:pPr>
            <w:r w:rsidRPr="00FA3F9C">
              <w:rPr>
                <w:rFonts w:ascii="Arial" w:hAnsi="Arial" w:cs="Arial"/>
                <w:sz w:val="24"/>
                <w:szCs w:val="24"/>
              </w:rPr>
              <w:t>2/26/2020</w:t>
            </w:r>
          </w:p>
        </w:tc>
        <w:tc>
          <w:tcPr>
            <w:tcW w:w="7565" w:type="dxa"/>
          </w:tcPr>
          <w:p w14:paraId="4D71016D" w14:textId="77777777" w:rsidR="002641D2" w:rsidRPr="00FA3F9C" w:rsidRDefault="002641D2" w:rsidP="006D2D8C">
            <w:pPr>
              <w:rPr>
                <w:rFonts w:ascii="Arial" w:hAnsi="Arial" w:cs="Arial"/>
                <w:sz w:val="24"/>
                <w:szCs w:val="24"/>
              </w:rPr>
            </w:pPr>
            <w:r w:rsidRPr="00FA3F9C">
              <w:rPr>
                <w:rFonts w:ascii="Arial" w:hAnsi="Arial" w:cs="Arial"/>
                <w:sz w:val="24"/>
                <w:szCs w:val="24"/>
              </w:rPr>
              <w:t>I reviewed the criteria.  No changes.</w:t>
            </w:r>
          </w:p>
        </w:tc>
        <w:tc>
          <w:tcPr>
            <w:tcW w:w="1375" w:type="dxa"/>
          </w:tcPr>
          <w:p w14:paraId="03509B6D" w14:textId="77777777" w:rsidR="002641D2" w:rsidRPr="00FA3F9C" w:rsidRDefault="002641D2" w:rsidP="006D2D8C">
            <w:pPr>
              <w:rPr>
                <w:rFonts w:ascii="Arial" w:hAnsi="Arial" w:cs="Arial"/>
                <w:sz w:val="24"/>
                <w:szCs w:val="24"/>
              </w:rPr>
            </w:pPr>
            <w:r w:rsidRPr="00FA3F9C">
              <w:rPr>
                <w:rFonts w:ascii="Arial" w:hAnsi="Arial" w:cs="Arial"/>
                <w:sz w:val="24"/>
                <w:szCs w:val="24"/>
              </w:rPr>
              <w:t>JJ</w:t>
            </w:r>
          </w:p>
        </w:tc>
      </w:tr>
      <w:tr w:rsidR="002641D2" w:rsidRPr="00FA3F9C" w14:paraId="48857A6A" w14:textId="77777777" w:rsidTr="00B86ECB">
        <w:tc>
          <w:tcPr>
            <w:tcW w:w="1382" w:type="dxa"/>
          </w:tcPr>
          <w:p w14:paraId="06543AF3" w14:textId="77777777" w:rsidR="002641D2" w:rsidRPr="00FA3F9C" w:rsidRDefault="002641D2" w:rsidP="006D2D8C">
            <w:pPr>
              <w:rPr>
                <w:rFonts w:ascii="Arial" w:hAnsi="Arial" w:cs="Arial"/>
                <w:sz w:val="24"/>
                <w:szCs w:val="24"/>
              </w:rPr>
            </w:pPr>
            <w:r w:rsidRPr="00FA3F9C">
              <w:rPr>
                <w:rFonts w:ascii="Arial" w:hAnsi="Arial" w:cs="Arial"/>
                <w:sz w:val="24"/>
                <w:szCs w:val="24"/>
              </w:rPr>
              <w:t>7/17/2020</w:t>
            </w:r>
          </w:p>
        </w:tc>
        <w:tc>
          <w:tcPr>
            <w:tcW w:w="7565" w:type="dxa"/>
          </w:tcPr>
          <w:p w14:paraId="68663957" w14:textId="77777777" w:rsidR="002641D2" w:rsidRPr="00FA3F9C" w:rsidRDefault="002641D2" w:rsidP="006D2D8C">
            <w:pPr>
              <w:rPr>
                <w:rFonts w:ascii="Arial" w:hAnsi="Arial" w:cs="Arial"/>
                <w:sz w:val="24"/>
                <w:szCs w:val="24"/>
              </w:rPr>
            </w:pPr>
            <w:r w:rsidRPr="00FA3F9C">
              <w:rPr>
                <w:rFonts w:ascii="Arial" w:hAnsi="Arial" w:cs="Arial"/>
                <w:sz w:val="24"/>
                <w:szCs w:val="24"/>
              </w:rPr>
              <w:t>I reviewed.  Removed the requirement for low PML risk.  Not needed.</w:t>
            </w:r>
          </w:p>
        </w:tc>
        <w:tc>
          <w:tcPr>
            <w:tcW w:w="1375" w:type="dxa"/>
          </w:tcPr>
          <w:p w14:paraId="34B2C03C" w14:textId="77777777" w:rsidR="002641D2" w:rsidRPr="00FA3F9C" w:rsidRDefault="002641D2" w:rsidP="006D2D8C">
            <w:pPr>
              <w:rPr>
                <w:rFonts w:ascii="Arial" w:hAnsi="Arial" w:cs="Arial"/>
                <w:sz w:val="24"/>
                <w:szCs w:val="24"/>
              </w:rPr>
            </w:pPr>
            <w:r w:rsidRPr="00FA3F9C">
              <w:rPr>
                <w:rFonts w:ascii="Arial" w:hAnsi="Arial" w:cs="Arial"/>
                <w:sz w:val="24"/>
                <w:szCs w:val="24"/>
              </w:rPr>
              <w:t>JJ</w:t>
            </w:r>
          </w:p>
        </w:tc>
      </w:tr>
      <w:tr w:rsidR="002641D2" w:rsidRPr="00FA3F9C" w14:paraId="0A3F95DE" w14:textId="77777777" w:rsidTr="00B86ECB">
        <w:tc>
          <w:tcPr>
            <w:tcW w:w="1382" w:type="dxa"/>
          </w:tcPr>
          <w:p w14:paraId="43B60C53" w14:textId="77777777" w:rsidR="002641D2" w:rsidRPr="00FA3F9C" w:rsidRDefault="002641D2" w:rsidP="006D2D8C">
            <w:pPr>
              <w:rPr>
                <w:rFonts w:ascii="Arial" w:hAnsi="Arial" w:cs="Arial"/>
                <w:sz w:val="24"/>
                <w:szCs w:val="24"/>
              </w:rPr>
            </w:pPr>
            <w:r w:rsidRPr="00FA3F9C">
              <w:rPr>
                <w:rFonts w:ascii="Arial" w:hAnsi="Arial" w:cs="Arial"/>
                <w:sz w:val="24"/>
                <w:szCs w:val="24"/>
              </w:rPr>
              <w:t>3/31/21</w:t>
            </w:r>
          </w:p>
        </w:tc>
        <w:tc>
          <w:tcPr>
            <w:tcW w:w="7565" w:type="dxa"/>
          </w:tcPr>
          <w:p w14:paraId="3A03A17F" w14:textId="77777777" w:rsidR="002641D2" w:rsidRPr="00FA3F9C" w:rsidRDefault="002641D2" w:rsidP="006D2D8C">
            <w:pPr>
              <w:rPr>
                <w:rFonts w:ascii="Arial" w:hAnsi="Arial" w:cs="Arial"/>
                <w:sz w:val="24"/>
                <w:szCs w:val="24"/>
              </w:rPr>
            </w:pPr>
            <w:r w:rsidRPr="00FA3F9C">
              <w:rPr>
                <w:rFonts w:ascii="Arial" w:hAnsi="Arial" w:cs="Arial"/>
                <w:sz w:val="24"/>
                <w:szCs w:val="24"/>
              </w:rPr>
              <w:t>Applied EBRx criteria to UAS Plan.</w:t>
            </w:r>
          </w:p>
        </w:tc>
        <w:tc>
          <w:tcPr>
            <w:tcW w:w="1375" w:type="dxa"/>
          </w:tcPr>
          <w:p w14:paraId="38575AB5" w14:textId="77777777" w:rsidR="002641D2" w:rsidRPr="00FA3F9C" w:rsidRDefault="002641D2" w:rsidP="006D2D8C">
            <w:pPr>
              <w:rPr>
                <w:rFonts w:ascii="Arial" w:hAnsi="Arial" w:cs="Arial"/>
                <w:sz w:val="24"/>
                <w:szCs w:val="24"/>
              </w:rPr>
            </w:pPr>
            <w:r w:rsidRPr="00FA3F9C">
              <w:rPr>
                <w:rFonts w:ascii="Arial" w:hAnsi="Arial" w:cs="Arial"/>
                <w:sz w:val="24"/>
                <w:szCs w:val="24"/>
              </w:rPr>
              <w:t>JJ</w:t>
            </w:r>
          </w:p>
        </w:tc>
      </w:tr>
    </w:tbl>
    <w:p w14:paraId="44651D65" w14:textId="77777777" w:rsidR="002641D2" w:rsidRPr="00FA3F9C" w:rsidRDefault="002641D2">
      <w:pPr>
        <w:rPr>
          <w:rFonts w:ascii="Arial" w:hAnsi="Arial" w:cs="Arial"/>
          <w:sz w:val="24"/>
          <w:szCs w:val="24"/>
        </w:rPr>
      </w:pPr>
    </w:p>
    <w:p w14:paraId="76258AEC" w14:textId="77777777" w:rsidR="002641D2" w:rsidRPr="00FA3F9C" w:rsidRDefault="002641D2">
      <w:pPr>
        <w:rPr>
          <w:rFonts w:ascii="Arial" w:hAnsi="Arial" w:cs="Arial"/>
          <w:sz w:val="24"/>
          <w:szCs w:val="24"/>
        </w:rPr>
      </w:pPr>
    </w:p>
    <w:p w14:paraId="6597CCB2" w14:textId="77777777" w:rsidR="002641D2" w:rsidRPr="00FA3F9C" w:rsidRDefault="002641D2" w:rsidP="005E2908">
      <w:pPr>
        <w:pStyle w:val="Heading2"/>
        <w:rPr>
          <w:rFonts w:eastAsia="Calibri"/>
        </w:rPr>
      </w:pPr>
      <w:bookmarkStart w:id="131" w:name="_Toc106369814"/>
      <w:r w:rsidRPr="00FA3F9C">
        <w:rPr>
          <w:rFonts w:eastAsia="Calibri"/>
        </w:rPr>
        <w:t>Dexcom G6 Continuous Glucose Monitor</w:t>
      </w:r>
      <w:bookmarkEnd w:id="131"/>
    </w:p>
    <w:p w14:paraId="0B94B96F" w14:textId="77777777" w:rsidR="002641D2" w:rsidRPr="00FA3F9C" w:rsidRDefault="002641D2" w:rsidP="00A145B6">
      <w:pPr>
        <w:spacing w:line="240" w:lineRule="auto"/>
        <w:jc w:val="center"/>
        <w:rPr>
          <w:rFonts w:ascii="Arial" w:eastAsia="Calibri" w:hAnsi="Arial" w:cs="Arial"/>
          <w:sz w:val="24"/>
          <w:szCs w:val="24"/>
        </w:rPr>
      </w:pPr>
      <w:r w:rsidRPr="00FA3F9C">
        <w:rPr>
          <w:rFonts w:ascii="Arial" w:eastAsia="Calibri" w:hAnsi="Arial" w:cs="Arial"/>
          <w:sz w:val="24"/>
          <w:szCs w:val="24"/>
        </w:rPr>
        <w:t>EBRx PA Criteria</w:t>
      </w:r>
    </w:p>
    <w:p w14:paraId="639A98F6" w14:textId="77777777" w:rsidR="002641D2" w:rsidRPr="00FA3F9C" w:rsidRDefault="002641D2" w:rsidP="00A145B6">
      <w:pPr>
        <w:spacing w:line="240" w:lineRule="auto"/>
        <w:rPr>
          <w:rFonts w:ascii="Arial" w:eastAsia="Calibri" w:hAnsi="Arial" w:cs="Arial"/>
          <w:b/>
          <w:sz w:val="24"/>
          <w:szCs w:val="24"/>
          <w:u w:val="single"/>
        </w:rPr>
      </w:pPr>
      <w:r w:rsidRPr="00FA3F9C">
        <w:rPr>
          <w:rFonts w:ascii="Arial" w:eastAsia="Calibri" w:hAnsi="Arial" w:cs="Arial"/>
          <w:b/>
          <w:sz w:val="24"/>
          <w:szCs w:val="24"/>
          <w:u w:val="single"/>
        </w:rPr>
        <w:t xml:space="preserve"> </w:t>
      </w:r>
    </w:p>
    <w:p w14:paraId="3CEAF3B4" w14:textId="77777777" w:rsidR="002641D2" w:rsidRPr="00FA3F9C" w:rsidRDefault="002641D2" w:rsidP="00A145B6">
      <w:pPr>
        <w:spacing w:line="240" w:lineRule="auto"/>
        <w:rPr>
          <w:rFonts w:ascii="Arial" w:eastAsia="Calibri" w:hAnsi="Arial" w:cs="Arial"/>
          <w:sz w:val="24"/>
          <w:szCs w:val="24"/>
        </w:rPr>
      </w:pPr>
      <w:r w:rsidRPr="00FA3F9C">
        <w:rPr>
          <w:rFonts w:ascii="Arial" w:eastAsia="Calibri" w:hAnsi="Arial" w:cs="Arial"/>
          <w:b/>
          <w:sz w:val="24"/>
          <w:szCs w:val="24"/>
          <w:u w:val="single"/>
        </w:rPr>
        <w:t>is FDA-approved for:</w:t>
      </w:r>
      <w:r w:rsidRPr="00FA3F9C">
        <w:rPr>
          <w:rFonts w:ascii="Arial" w:eastAsia="Calibri" w:hAnsi="Arial" w:cs="Arial"/>
          <w:sz w:val="24"/>
          <w:szCs w:val="24"/>
        </w:rPr>
        <w:t xml:space="preserve"> continuous glucose monitoring in patients 2 years and older with diabetes. </w:t>
      </w:r>
    </w:p>
    <w:tbl>
      <w:tblPr>
        <w:tblW w:w="10880" w:type="dxa"/>
        <w:tblBorders>
          <w:top w:val="nil"/>
          <w:left w:val="nil"/>
          <w:bottom w:val="nil"/>
          <w:right w:val="nil"/>
          <w:insideH w:val="nil"/>
          <w:insideV w:val="nil"/>
        </w:tblBorders>
        <w:tblLayout w:type="fixed"/>
        <w:tblLook w:val="0600" w:firstRow="0" w:lastRow="0" w:firstColumn="0" w:lastColumn="0" w:noHBand="1" w:noVBand="1"/>
      </w:tblPr>
      <w:tblGrid>
        <w:gridCol w:w="7260"/>
        <w:gridCol w:w="3620"/>
      </w:tblGrid>
      <w:tr w:rsidR="002641D2" w:rsidRPr="00FA3F9C" w14:paraId="7C371BCC" w14:textId="77777777" w:rsidTr="00A145B6">
        <w:trPr>
          <w:trHeight w:val="249"/>
        </w:trPr>
        <w:tc>
          <w:tcPr>
            <w:tcW w:w="7260" w:type="dxa"/>
            <w:tcBorders>
              <w:top w:val="single" w:sz="8" w:space="0" w:color="000000"/>
              <w:left w:val="single" w:sz="8" w:space="0" w:color="000000"/>
              <w:bottom w:val="single" w:sz="8" w:space="0" w:color="000000"/>
              <w:right w:val="single" w:sz="8" w:space="0" w:color="000000"/>
            </w:tcBorders>
            <w:shd w:val="clear" w:color="auto" w:fill="000000"/>
            <w:tcMar>
              <w:top w:w="100" w:type="dxa"/>
              <w:left w:w="100" w:type="dxa"/>
              <w:bottom w:w="100" w:type="dxa"/>
              <w:right w:w="100" w:type="dxa"/>
            </w:tcMar>
          </w:tcPr>
          <w:p w14:paraId="1C940E2B" w14:textId="77777777" w:rsidR="002641D2" w:rsidRPr="00FA3F9C" w:rsidRDefault="002641D2" w:rsidP="00A145B6">
            <w:pPr>
              <w:spacing w:line="240" w:lineRule="auto"/>
              <w:rPr>
                <w:rFonts w:ascii="Arial" w:eastAsia="Calibri" w:hAnsi="Arial" w:cs="Arial"/>
                <w:b/>
                <w:color w:val="FFFFFF"/>
                <w:sz w:val="24"/>
                <w:szCs w:val="24"/>
                <w:u w:val="single"/>
              </w:rPr>
            </w:pPr>
            <w:r w:rsidRPr="00FA3F9C">
              <w:rPr>
                <w:rFonts w:ascii="Arial" w:eastAsia="Calibri" w:hAnsi="Arial" w:cs="Arial"/>
                <w:b/>
                <w:color w:val="FFFFFF"/>
                <w:sz w:val="24"/>
                <w:szCs w:val="24"/>
                <w:u w:val="single"/>
              </w:rPr>
              <w:t>Criteria for new users</w:t>
            </w:r>
          </w:p>
        </w:tc>
        <w:tc>
          <w:tcPr>
            <w:tcW w:w="3620" w:type="dxa"/>
            <w:tcBorders>
              <w:top w:val="single" w:sz="8" w:space="0" w:color="000000"/>
              <w:left w:val="nil"/>
              <w:bottom w:val="single" w:sz="8" w:space="0" w:color="000000"/>
              <w:right w:val="single" w:sz="8" w:space="0" w:color="000000"/>
            </w:tcBorders>
            <w:shd w:val="clear" w:color="auto" w:fill="000000"/>
            <w:tcMar>
              <w:top w:w="100" w:type="dxa"/>
              <w:left w:w="100" w:type="dxa"/>
              <w:bottom w:w="100" w:type="dxa"/>
              <w:right w:w="100" w:type="dxa"/>
            </w:tcMar>
          </w:tcPr>
          <w:p w14:paraId="76F04FED" w14:textId="77777777" w:rsidR="002641D2" w:rsidRPr="00FA3F9C" w:rsidRDefault="002641D2" w:rsidP="00A145B6">
            <w:pPr>
              <w:spacing w:line="240" w:lineRule="auto"/>
              <w:jc w:val="center"/>
              <w:rPr>
                <w:rFonts w:ascii="Arial" w:eastAsia="Calibri" w:hAnsi="Arial" w:cs="Arial"/>
                <w:b/>
                <w:sz w:val="24"/>
                <w:szCs w:val="24"/>
                <w:u w:val="single"/>
              </w:rPr>
            </w:pPr>
            <w:r w:rsidRPr="00FA3F9C">
              <w:rPr>
                <w:rFonts w:ascii="Arial" w:eastAsia="Calibri" w:hAnsi="Arial" w:cs="Arial"/>
                <w:b/>
                <w:sz w:val="24"/>
                <w:szCs w:val="24"/>
                <w:u w:val="single"/>
              </w:rPr>
              <w:t xml:space="preserve"> </w:t>
            </w:r>
          </w:p>
        </w:tc>
      </w:tr>
      <w:tr w:rsidR="002641D2" w:rsidRPr="00FA3F9C" w14:paraId="4D840388" w14:textId="77777777" w:rsidTr="00A145B6">
        <w:trPr>
          <w:trHeight w:val="215"/>
        </w:trPr>
        <w:tc>
          <w:tcPr>
            <w:tcW w:w="10880"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932661B" w14:textId="77777777" w:rsidR="002641D2" w:rsidRPr="00FA3F9C" w:rsidRDefault="002641D2" w:rsidP="00A145B6">
            <w:pPr>
              <w:spacing w:line="240" w:lineRule="auto"/>
              <w:rPr>
                <w:rFonts w:ascii="Arial" w:eastAsia="Calibri" w:hAnsi="Arial" w:cs="Arial"/>
                <w:b/>
                <w:sz w:val="24"/>
                <w:szCs w:val="24"/>
              </w:rPr>
            </w:pPr>
            <w:r w:rsidRPr="00FA3F9C">
              <w:rPr>
                <w:rFonts w:ascii="Arial" w:eastAsia="Calibri" w:hAnsi="Arial" w:cs="Arial"/>
                <w:sz w:val="24"/>
                <w:szCs w:val="24"/>
              </w:rPr>
              <w:t xml:space="preserve"> </w:t>
            </w:r>
            <w:r w:rsidRPr="00FA3F9C">
              <w:rPr>
                <w:rFonts w:ascii="Arial" w:eastAsia="Calibri" w:hAnsi="Arial" w:cs="Arial"/>
                <w:b/>
                <w:sz w:val="24"/>
                <w:szCs w:val="24"/>
                <w:u w:val="single"/>
              </w:rPr>
              <w:t>Pediatric/Adolescent Use</w:t>
            </w:r>
            <w:r w:rsidRPr="00FA3F9C">
              <w:rPr>
                <w:rFonts w:ascii="Arial" w:eastAsia="Calibri" w:hAnsi="Arial" w:cs="Arial"/>
                <w:b/>
                <w:sz w:val="24"/>
                <w:szCs w:val="24"/>
              </w:rPr>
              <w:t xml:space="preserve"> (ages 2-18):</w:t>
            </w:r>
          </w:p>
        </w:tc>
      </w:tr>
      <w:tr w:rsidR="002641D2" w:rsidRPr="00FA3F9C" w14:paraId="767A1907" w14:textId="77777777" w:rsidTr="00A145B6">
        <w:trPr>
          <w:trHeight w:val="251"/>
        </w:trPr>
        <w:tc>
          <w:tcPr>
            <w:tcW w:w="10880"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C885D8F" w14:textId="77777777" w:rsidR="002641D2" w:rsidRPr="00FA3F9C" w:rsidRDefault="002641D2" w:rsidP="00A145B6">
            <w:pPr>
              <w:spacing w:line="240" w:lineRule="auto"/>
              <w:rPr>
                <w:rFonts w:ascii="Arial" w:eastAsia="Calibri" w:hAnsi="Arial" w:cs="Arial"/>
                <w:sz w:val="24"/>
                <w:szCs w:val="24"/>
              </w:rPr>
            </w:pPr>
            <w:r w:rsidRPr="00FA3F9C">
              <w:rPr>
                <w:rFonts w:ascii="Arial" w:eastAsia="Calibri" w:hAnsi="Arial" w:cs="Arial"/>
                <w:sz w:val="24"/>
                <w:szCs w:val="24"/>
              </w:rPr>
              <w:t xml:space="preserve"> Must have Type 1 Diabetes documented by an Endocrinologist or PCP </w:t>
            </w:r>
            <w:r w:rsidRPr="00FA3F9C">
              <w:rPr>
                <w:rFonts w:ascii="Arial" w:eastAsia="Calibri" w:hAnsi="Arial" w:cs="Arial"/>
                <w:b/>
                <w:sz w:val="24"/>
                <w:szCs w:val="24"/>
              </w:rPr>
              <w:t>AND</w:t>
            </w:r>
          </w:p>
        </w:tc>
      </w:tr>
      <w:tr w:rsidR="002641D2" w:rsidRPr="00FA3F9C" w14:paraId="7F3F5CF5" w14:textId="77777777" w:rsidTr="00A145B6">
        <w:trPr>
          <w:trHeight w:val="485"/>
        </w:trPr>
        <w:tc>
          <w:tcPr>
            <w:tcW w:w="10880"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1F18D4" w14:textId="77777777" w:rsidR="002641D2" w:rsidRPr="00FA3F9C" w:rsidRDefault="002641D2" w:rsidP="002641D2">
            <w:pPr>
              <w:numPr>
                <w:ilvl w:val="0"/>
                <w:numId w:val="229"/>
              </w:numPr>
              <w:spacing w:after="0" w:line="240" w:lineRule="auto"/>
              <w:ind w:left="0"/>
              <w:rPr>
                <w:rFonts w:ascii="Arial" w:eastAsia="Calibri" w:hAnsi="Arial" w:cs="Arial"/>
                <w:sz w:val="24"/>
                <w:szCs w:val="24"/>
              </w:rPr>
            </w:pPr>
            <w:r w:rsidRPr="00FA3F9C">
              <w:rPr>
                <w:rFonts w:ascii="Arial" w:eastAsia="Calibri" w:hAnsi="Arial" w:cs="Arial"/>
                <w:sz w:val="24"/>
                <w:szCs w:val="24"/>
              </w:rPr>
              <w:t xml:space="preserve">Must meet </w:t>
            </w:r>
            <w:r w:rsidRPr="00FA3F9C">
              <w:rPr>
                <w:rFonts w:ascii="Arial" w:eastAsia="Calibri" w:hAnsi="Arial" w:cs="Arial"/>
                <w:b/>
                <w:sz w:val="24"/>
                <w:szCs w:val="24"/>
              </w:rPr>
              <w:t>ALL</w:t>
            </w:r>
            <w:r w:rsidRPr="00FA3F9C">
              <w:rPr>
                <w:rFonts w:ascii="Arial" w:eastAsia="Calibri" w:hAnsi="Arial" w:cs="Arial"/>
                <w:sz w:val="24"/>
                <w:szCs w:val="24"/>
              </w:rPr>
              <w:t xml:space="preserve"> criteria 1a, 1b, 1c, &amp; 1d: </w:t>
            </w:r>
          </w:p>
          <w:p w14:paraId="55085D73" w14:textId="77777777" w:rsidR="002641D2" w:rsidRPr="00FA3F9C" w:rsidRDefault="002641D2" w:rsidP="00A145B6">
            <w:pPr>
              <w:spacing w:line="240" w:lineRule="auto"/>
              <w:rPr>
                <w:rFonts w:ascii="Arial" w:eastAsia="Calibri" w:hAnsi="Arial" w:cs="Arial"/>
                <w:b/>
                <w:sz w:val="24"/>
                <w:szCs w:val="24"/>
              </w:rPr>
            </w:pPr>
            <w:r w:rsidRPr="00FA3F9C">
              <w:rPr>
                <w:rFonts w:ascii="Arial" w:eastAsia="Calibri" w:hAnsi="Arial" w:cs="Arial"/>
                <w:sz w:val="24"/>
                <w:szCs w:val="24"/>
              </w:rPr>
              <w:t xml:space="preserve">1a. Multiple daily insulin injections (3+) </w:t>
            </w:r>
            <w:r w:rsidRPr="00FA3F9C">
              <w:rPr>
                <w:rFonts w:ascii="Arial" w:eastAsia="Calibri" w:hAnsi="Arial" w:cs="Arial"/>
                <w:b/>
                <w:sz w:val="24"/>
                <w:szCs w:val="24"/>
              </w:rPr>
              <w:t>OR</w:t>
            </w:r>
            <w:r w:rsidRPr="00FA3F9C">
              <w:rPr>
                <w:rFonts w:ascii="Arial" w:eastAsia="Calibri" w:hAnsi="Arial" w:cs="Arial"/>
                <w:sz w:val="24"/>
                <w:szCs w:val="24"/>
              </w:rPr>
              <w:t xml:space="preserve"> insulin pump therapy with frequent dosage  adjustments </w:t>
            </w:r>
            <w:r w:rsidRPr="00FA3F9C">
              <w:rPr>
                <w:rFonts w:ascii="Arial" w:eastAsia="Calibri" w:hAnsi="Arial" w:cs="Arial"/>
                <w:b/>
                <w:sz w:val="24"/>
                <w:szCs w:val="24"/>
              </w:rPr>
              <w:t>OR</w:t>
            </w:r>
            <w:r w:rsidRPr="00FA3F9C">
              <w:rPr>
                <w:rFonts w:ascii="Arial" w:eastAsia="Calibri" w:hAnsi="Arial" w:cs="Arial"/>
                <w:sz w:val="24"/>
                <w:szCs w:val="24"/>
              </w:rPr>
              <w:t xml:space="preserve"> recurring (&gt;3 per month) episodes of severe hypoglycemia (54 mg/dL or below); </w:t>
            </w:r>
            <w:r w:rsidRPr="00FA3F9C">
              <w:rPr>
                <w:rFonts w:ascii="Arial" w:eastAsia="Calibri" w:hAnsi="Arial" w:cs="Arial"/>
                <w:b/>
                <w:sz w:val="24"/>
                <w:szCs w:val="24"/>
              </w:rPr>
              <w:t>AND</w:t>
            </w:r>
          </w:p>
          <w:p w14:paraId="3CF5D5DA" w14:textId="77777777" w:rsidR="002641D2" w:rsidRPr="00FA3F9C" w:rsidRDefault="002641D2" w:rsidP="00A145B6">
            <w:pPr>
              <w:spacing w:line="240" w:lineRule="auto"/>
              <w:rPr>
                <w:rFonts w:ascii="Arial" w:eastAsia="Calibri" w:hAnsi="Arial" w:cs="Arial"/>
                <w:b/>
                <w:sz w:val="24"/>
                <w:szCs w:val="24"/>
              </w:rPr>
            </w:pPr>
            <w:r w:rsidRPr="00FA3F9C">
              <w:rPr>
                <w:rFonts w:ascii="Arial" w:eastAsia="Calibri" w:hAnsi="Arial" w:cs="Arial"/>
                <w:sz w:val="24"/>
                <w:szCs w:val="24"/>
              </w:rPr>
              <w:t xml:space="preserve">1b. Documented average frequency of glucose testing 4 or more times per day during the previous two months; </w:t>
            </w:r>
            <w:r w:rsidRPr="00FA3F9C">
              <w:rPr>
                <w:rFonts w:ascii="Arial" w:eastAsia="Calibri" w:hAnsi="Arial" w:cs="Arial"/>
                <w:b/>
                <w:sz w:val="24"/>
                <w:szCs w:val="24"/>
              </w:rPr>
              <w:t>AND</w:t>
            </w:r>
          </w:p>
          <w:p w14:paraId="3E19D434" w14:textId="77777777" w:rsidR="002641D2" w:rsidRPr="00FA3F9C" w:rsidRDefault="002641D2" w:rsidP="00A145B6">
            <w:pPr>
              <w:spacing w:line="240" w:lineRule="auto"/>
              <w:rPr>
                <w:rFonts w:ascii="Arial" w:eastAsia="Calibri" w:hAnsi="Arial" w:cs="Arial"/>
                <w:b/>
                <w:sz w:val="24"/>
                <w:szCs w:val="24"/>
              </w:rPr>
            </w:pPr>
            <w:r w:rsidRPr="00FA3F9C">
              <w:rPr>
                <w:rFonts w:ascii="Arial" w:eastAsia="Calibri" w:hAnsi="Arial" w:cs="Arial"/>
                <w:sz w:val="24"/>
                <w:szCs w:val="24"/>
              </w:rPr>
              <w:t xml:space="preserve">1c. Must share Dexcom data with at least one caregiver, one provider and Plan’s Diabetes Management Program; </w:t>
            </w:r>
            <w:r w:rsidRPr="00FA3F9C">
              <w:rPr>
                <w:rFonts w:ascii="Arial" w:eastAsia="Calibri" w:hAnsi="Arial" w:cs="Arial"/>
                <w:b/>
                <w:sz w:val="24"/>
                <w:szCs w:val="24"/>
              </w:rPr>
              <w:t>AND</w:t>
            </w:r>
          </w:p>
          <w:p w14:paraId="7FEE97B8" w14:textId="77777777" w:rsidR="002641D2" w:rsidRPr="00FA3F9C" w:rsidRDefault="002641D2" w:rsidP="00A145B6">
            <w:pPr>
              <w:spacing w:line="240" w:lineRule="auto"/>
              <w:rPr>
                <w:rFonts w:ascii="Arial" w:eastAsia="Calibri" w:hAnsi="Arial" w:cs="Arial"/>
                <w:sz w:val="24"/>
                <w:szCs w:val="24"/>
              </w:rPr>
            </w:pPr>
            <w:r w:rsidRPr="00FA3F9C">
              <w:rPr>
                <w:rFonts w:ascii="Arial" w:eastAsia="Calibri" w:hAnsi="Arial" w:cs="Arial"/>
                <w:sz w:val="24"/>
                <w:szCs w:val="24"/>
              </w:rPr>
              <w:t xml:space="preserve">1d. Alerts must be </w:t>
            </w:r>
            <w:proofErr w:type="gramStart"/>
            <w:r w:rsidRPr="00FA3F9C">
              <w:rPr>
                <w:rFonts w:ascii="Arial" w:eastAsia="Calibri" w:hAnsi="Arial" w:cs="Arial"/>
                <w:sz w:val="24"/>
                <w:szCs w:val="24"/>
              </w:rPr>
              <w:t>turned on at all times</w:t>
            </w:r>
            <w:proofErr w:type="gramEnd"/>
            <w:r w:rsidRPr="00FA3F9C">
              <w:rPr>
                <w:rFonts w:ascii="Arial" w:eastAsia="Calibri" w:hAnsi="Arial" w:cs="Arial"/>
                <w:sz w:val="24"/>
                <w:szCs w:val="24"/>
              </w:rPr>
              <w:t>, subject to verification by healthcare provider or Plan’s Diabetes Management Program provider</w:t>
            </w:r>
          </w:p>
        </w:tc>
      </w:tr>
      <w:tr w:rsidR="002641D2" w:rsidRPr="00FA3F9C" w14:paraId="22999D5E" w14:textId="77777777" w:rsidTr="00A145B6">
        <w:trPr>
          <w:trHeight w:val="485"/>
        </w:trPr>
        <w:tc>
          <w:tcPr>
            <w:tcW w:w="10880"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DE3198" w14:textId="77777777" w:rsidR="002641D2" w:rsidRPr="00FA3F9C" w:rsidRDefault="002641D2" w:rsidP="00A145B6">
            <w:pPr>
              <w:spacing w:line="240" w:lineRule="auto"/>
              <w:rPr>
                <w:rFonts w:ascii="Arial" w:eastAsia="Calibri" w:hAnsi="Arial" w:cs="Arial"/>
                <w:b/>
                <w:sz w:val="24"/>
                <w:szCs w:val="24"/>
              </w:rPr>
            </w:pPr>
            <w:r w:rsidRPr="00FA3F9C">
              <w:rPr>
                <w:rFonts w:ascii="Arial" w:eastAsia="Calibri" w:hAnsi="Arial" w:cs="Arial"/>
                <w:b/>
                <w:sz w:val="24"/>
                <w:szCs w:val="24"/>
              </w:rPr>
              <w:t>OR</w:t>
            </w:r>
          </w:p>
          <w:p w14:paraId="3321612C" w14:textId="77777777" w:rsidR="002641D2" w:rsidRPr="00FA3F9C" w:rsidRDefault="002641D2" w:rsidP="002641D2">
            <w:pPr>
              <w:numPr>
                <w:ilvl w:val="0"/>
                <w:numId w:val="229"/>
              </w:numPr>
              <w:spacing w:after="0" w:line="240" w:lineRule="auto"/>
              <w:ind w:left="0"/>
              <w:rPr>
                <w:rFonts w:ascii="Arial" w:eastAsia="Calibri" w:hAnsi="Arial" w:cs="Arial"/>
                <w:sz w:val="24"/>
                <w:szCs w:val="24"/>
              </w:rPr>
            </w:pPr>
            <w:r w:rsidRPr="00FA3F9C">
              <w:rPr>
                <w:rFonts w:ascii="Arial" w:eastAsia="Calibri" w:hAnsi="Arial" w:cs="Arial"/>
                <w:sz w:val="24"/>
                <w:szCs w:val="24"/>
              </w:rPr>
              <w:t>Hospitalization and/or emergency department visit for severe hypoglycemia in the past 3 months</w:t>
            </w:r>
          </w:p>
        </w:tc>
      </w:tr>
      <w:tr w:rsidR="002641D2" w:rsidRPr="00FA3F9C" w14:paraId="26E73705" w14:textId="77777777" w:rsidTr="00A145B6">
        <w:trPr>
          <w:trHeight w:val="251"/>
        </w:trPr>
        <w:tc>
          <w:tcPr>
            <w:tcW w:w="10880"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A36E474" w14:textId="77777777" w:rsidR="002641D2" w:rsidRPr="00FA3F9C" w:rsidRDefault="002641D2" w:rsidP="00A145B6">
            <w:pPr>
              <w:spacing w:line="240" w:lineRule="auto"/>
              <w:rPr>
                <w:rFonts w:ascii="Arial" w:eastAsia="Calibri" w:hAnsi="Arial" w:cs="Arial"/>
                <w:b/>
                <w:sz w:val="24"/>
                <w:szCs w:val="24"/>
              </w:rPr>
            </w:pPr>
            <w:r w:rsidRPr="00FA3F9C">
              <w:rPr>
                <w:rFonts w:ascii="Arial" w:eastAsia="Calibri" w:hAnsi="Arial" w:cs="Arial"/>
                <w:b/>
                <w:sz w:val="24"/>
                <w:szCs w:val="24"/>
                <w:u w:val="single"/>
              </w:rPr>
              <w:lastRenderedPageBreak/>
              <w:t>Adult Use</w:t>
            </w:r>
            <w:r w:rsidRPr="00FA3F9C">
              <w:rPr>
                <w:rFonts w:ascii="Arial" w:eastAsia="Calibri" w:hAnsi="Arial" w:cs="Arial"/>
                <w:b/>
                <w:sz w:val="24"/>
                <w:szCs w:val="24"/>
              </w:rPr>
              <w:t xml:space="preserve"> (18 and older):</w:t>
            </w:r>
          </w:p>
        </w:tc>
      </w:tr>
      <w:tr w:rsidR="002641D2" w:rsidRPr="00FA3F9C" w14:paraId="389EE8FC" w14:textId="77777777" w:rsidTr="00A145B6">
        <w:trPr>
          <w:trHeight w:val="278"/>
        </w:trPr>
        <w:tc>
          <w:tcPr>
            <w:tcW w:w="10880"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F367E7B" w14:textId="77777777" w:rsidR="002641D2" w:rsidRPr="00FA3F9C" w:rsidRDefault="002641D2" w:rsidP="00A145B6">
            <w:pPr>
              <w:spacing w:line="240" w:lineRule="auto"/>
              <w:rPr>
                <w:rFonts w:ascii="Arial" w:eastAsia="Calibri" w:hAnsi="Arial" w:cs="Arial"/>
                <w:b/>
                <w:sz w:val="24"/>
                <w:szCs w:val="24"/>
              </w:rPr>
            </w:pPr>
            <w:r w:rsidRPr="00FA3F9C">
              <w:rPr>
                <w:rFonts w:ascii="Arial" w:eastAsia="Calibri" w:hAnsi="Arial" w:cs="Arial"/>
                <w:sz w:val="24"/>
                <w:szCs w:val="24"/>
              </w:rPr>
              <w:t xml:space="preserve">Must have Type 1 Diabetes documented by an Endocrinologist or PCP </w:t>
            </w:r>
            <w:r w:rsidRPr="00FA3F9C">
              <w:rPr>
                <w:rFonts w:ascii="Arial" w:eastAsia="Calibri" w:hAnsi="Arial" w:cs="Arial"/>
                <w:b/>
                <w:sz w:val="24"/>
                <w:szCs w:val="24"/>
              </w:rPr>
              <w:t>AND</w:t>
            </w:r>
          </w:p>
        </w:tc>
      </w:tr>
      <w:tr w:rsidR="002641D2" w:rsidRPr="00FA3F9C" w14:paraId="69835C1A" w14:textId="77777777" w:rsidTr="00A145B6">
        <w:trPr>
          <w:trHeight w:val="485"/>
        </w:trPr>
        <w:tc>
          <w:tcPr>
            <w:tcW w:w="10880"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5CDD25" w14:textId="77777777" w:rsidR="002641D2" w:rsidRPr="00FA3F9C" w:rsidRDefault="002641D2" w:rsidP="002641D2">
            <w:pPr>
              <w:numPr>
                <w:ilvl w:val="0"/>
                <w:numId w:val="229"/>
              </w:numPr>
              <w:spacing w:after="0" w:line="240" w:lineRule="auto"/>
              <w:ind w:left="0"/>
              <w:rPr>
                <w:rFonts w:ascii="Arial" w:eastAsia="Calibri" w:hAnsi="Arial" w:cs="Arial"/>
                <w:sz w:val="24"/>
                <w:szCs w:val="24"/>
              </w:rPr>
            </w:pPr>
            <w:r w:rsidRPr="00FA3F9C">
              <w:rPr>
                <w:rFonts w:ascii="Arial" w:eastAsia="Calibri" w:hAnsi="Arial" w:cs="Arial"/>
                <w:sz w:val="24"/>
                <w:szCs w:val="24"/>
              </w:rPr>
              <w:t xml:space="preserve">Must meet </w:t>
            </w:r>
            <w:r w:rsidRPr="00FA3F9C">
              <w:rPr>
                <w:rFonts w:ascii="Arial" w:eastAsia="Calibri" w:hAnsi="Arial" w:cs="Arial"/>
                <w:b/>
                <w:sz w:val="24"/>
                <w:szCs w:val="24"/>
              </w:rPr>
              <w:t>ALL</w:t>
            </w:r>
            <w:r w:rsidRPr="00FA3F9C">
              <w:rPr>
                <w:rFonts w:ascii="Arial" w:eastAsia="Calibri" w:hAnsi="Arial" w:cs="Arial"/>
                <w:sz w:val="24"/>
                <w:szCs w:val="24"/>
              </w:rPr>
              <w:t xml:space="preserve"> criteria 3a, 3b, 3c, 3d, &amp; 3e,</w:t>
            </w:r>
          </w:p>
          <w:p w14:paraId="5C9CA6DC" w14:textId="77777777" w:rsidR="002641D2" w:rsidRPr="00FA3F9C" w:rsidRDefault="002641D2" w:rsidP="00A145B6">
            <w:pPr>
              <w:spacing w:line="240" w:lineRule="auto"/>
              <w:rPr>
                <w:rFonts w:ascii="Arial" w:eastAsia="Calibri" w:hAnsi="Arial" w:cs="Arial"/>
                <w:b/>
                <w:sz w:val="24"/>
                <w:szCs w:val="24"/>
              </w:rPr>
            </w:pPr>
            <w:r w:rsidRPr="00FA3F9C">
              <w:rPr>
                <w:rFonts w:ascii="Arial" w:eastAsia="Calibri" w:hAnsi="Arial" w:cs="Arial"/>
                <w:sz w:val="24"/>
                <w:szCs w:val="24"/>
              </w:rPr>
              <w:t xml:space="preserve">3a. 3 or more injections daily for at least 6 months OR pump with frequent dosage adjustments for at least 6 months; </w:t>
            </w:r>
            <w:r w:rsidRPr="00FA3F9C">
              <w:rPr>
                <w:rFonts w:ascii="Arial" w:eastAsia="Calibri" w:hAnsi="Arial" w:cs="Arial"/>
                <w:b/>
                <w:sz w:val="24"/>
                <w:szCs w:val="24"/>
              </w:rPr>
              <w:t>AND</w:t>
            </w:r>
          </w:p>
          <w:p w14:paraId="00BA3EA3" w14:textId="77777777" w:rsidR="002641D2" w:rsidRPr="00FA3F9C" w:rsidRDefault="002641D2" w:rsidP="00A145B6">
            <w:pPr>
              <w:spacing w:line="240" w:lineRule="auto"/>
              <w:rPr>
                <w:rFonts w:ascii="Arial" w:eastAsia="Calibri" w:hAnsi="Arial" w:cs="Arial"/>
                <w:sz w:val="24"/>
                <w:szCs w:val="24"/>
              </w:rPr>
            </w:pPr>
            <w:r w:rsidRPr="00FA3F9C">
              <w:rPr>
                <w:rFonts w:ascii="Arial" w:eastAsia="Calibri" w:hAnsi="Arial" w:cs="Arial"/>
                <w:sz w:val="24"/>
                <w:szCs w:val="24"/>
              </w:rPr>
              <w:t>3b. Documented average frequency of glucose testing 4 or more times per day during the previous 2 months; AND</w:t>
            </w:r>
          </w:p>
          <w:p w14:paraId="0401983C" w14:textId="77777777" w:rsidR="002641D2" w:rsidRPr="00FA3F9C" w:rsidRDefault="002641D2" w:rsidP="00A145B6">
            <w:pPr>
              <w:spacing w:line="240" w:lineRule="auto"/>
              <w:rPr>
                <w:rFonts w:ascii="Arial" w:eastAsia="Calibri" w:hAnsi="Arial" w:cs="Arial"/>
                <w:sz w:val="24"/>
                <w:szCs w:val="24"/>
              </w:rPr>
            </w:pPr>
            <w:r w:rsidRPr="00FA3F9C">
              <w:rPr>
                <w:rFonts w:ascii="Arial" w:eastAsia="Calibri" w:hAnsi="Arial" w:cs="Arial"/>
                <w:sz w:val="24"/>
                <w:szCs w:val="24"/>
              </w:rPr>
              <w:t>3c. Must share Dexcom data with at least one healthcare provider and Plan’s Diabetes Management Program</w:t>
            </w:r>
          </w:p>
          <w:p w14:paraId="4C39DEEF" w14:textId="77777777" w:rsidR="002641D2" w:rsidRPr="00FA3F9C" w:rsidRDefault="002641D2" w:rsidP="00A145B6">
            <w:pPr>
              <w:spacing w:line="240" w:lineRule="auto"/>
              <w:rPr>
                <w:rFonts w:ascii="Arial" w:eastAsia="Calibri" w:hAnsi="Arial" w:cs="Arial"/>
                <w:sz w:val="24"/>
                <w:szCs w:val="24"/>
              </w:rPr>
            </w:pPr>
            <w:r w:rsidRPr="00FA3F9C">
              <w:rPr>
                <w:rFonts w:ascii="Arial" w:eastAsia="Calibri" w:hAnsi="Arial" w:cs="Arial"/>
                <w:sz w:val="24"/>
                <w:szCs w:val="24"/>
              </w:rPr>
              <w:t xml:space="preserve">3d. Alerts must be </w:t>
            </w:r>
            <w:proofErr w:type="gramStart"/>
            <w:r w:rsidRPr="00FA3F9C">
              <w:rPr>
                <w:rFonts w:ascii="Arial" w:eastAsia="Calibri" w:hAnsi="Arial" w:cs="Arial"/>
                <w:sz w:val="24"/>
                <w:szCs w:val="24"/>
              </w:rPr>
              <w:t>turned on at all times</w:t>
            </w:r>
            <w:proofErr w:type="gramEnd"/>
            <w:r w:rsidRPr="00FA3F9C">
              <w:rPr>
                <w:rFonts w:ascii="Arial" w:eastAsia="Calibri" w:hAnsi="Arial" w:cs="Arial"/>
                <w:sz w:val="24"/>
                <w:szCs w:val="24"/>
              </w:rPr>
              <w:t>, subject to verification by healthcare provider or Plan’s Diabetes Management Program provider</w:t>
            </w:r>
          </w:p>
          <w:p w14:paraId="632A5172" w14:textId="77777777" w:rsidR="002641D2" w:rsidRPr="00FA3F9C" w:rsidRDefault="002641D2" w:rsidP="00A145B6">
            <w:pPr>
              <w:spacing w:line="240" w:lineRule="auto"/>
              <w:rPr>
                <w:rFonts w:ascii="Arial" w:eastAsia="Calibri" w:hAnsi="Arial" w:cs="Arial"/>
                <w:sz w:val="24"/>
                <w:szCs w:val="24"/>
              </w:rPr>
            </w:pPr>
            <w:r w:rsidRPr="00FA3F9C">
              <w:rPr>
                <w:rFonts w:ascii="Arial" w:eastAsia="Calibri" w:hAnsi="Arial" w:cs="Arial"/>
                <w:sz w:val="24"/>
                <w:szCs w:val="24"/>
              </w:rPr>
              <w:t>3e. Participation in Plan’s Diabetes Management Program</w:t>
            </w:r>
          </w:p>
        </w:tc>
      </w:tr>
      <w:tr w:rsidR="002641D2" w:rsidRPr="00FA3F9C" w14:paraId="14CB308B" w14:textId="77777777" w:rsidTr="00A145B6">
        <w:trPr>
          <w:trHeight w:val="485"/>
        </w:trPr>
        <w:tc>
          <w:tcPr>
            <w:tcW w:w="10880"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713B8B" w14:textId="77777777" w:rsidR="002641D2" w:rsidRPr="00FA3F9C" w:rsidRDefault="002641D2" w:rsidP="00A145B6">
            <w:pPr>
              <w:spacing w:line="240" w:lineRule="auto"/>
              <w:rPr>
                <w:rFonts w:ascii="Arial" w:eastAsia="Calibri" w:hAnsi="Arial" w:cs="Arial"/>
                <w:b/>
                <w:sz w:val="24"/>
                <w:szCs w:val="24"/>
              </w:rPr>
            </w:pPr>
            <w:r w:rsidRPr="00FA3F9C">
              <w:rPr>
                <w:rFonts w:ascii="Arial" w:eastAsia="Calibri" w:hAnsi="Arial" w:cs="Arial"/>
                <w:b/>
                <w:sz w:val="24"/>
                <w:szCs w:val="24"/>
              </w:rPr>
              <w:t>OR</w:t>
            </w:r>
          </w:p>
          <w:p w14:paraId="66062520" w14:textId="77777777" w:rsidR="002641D2" w:rsidRPr="00FA3F9C" w:rsidRDefault="002641D2" w:rsidP="002641D2">
            <w:pPr>
              <w:numPr>
                <w:ilvl w:val="0"/>
                <w:numId w:val="229"/>
              </w:numPr>
              <w:spacing w:after="0" w:line="240" w:lineRule="auto"/>
              <w:ind w:left="0"/>
              <w:rPr>
                <w:rFonts w:ascii="Arial" w:hAnsi="Arial" w:cs="Arial"/>
                <w:sz w:val="24"/>
                <w:szCs w:val="24"/>
              </w:rPr>
            </w:pPr>
            <w:r w:rsidRPr="00FA3F9C">
              <w:rPr>
                <w:rFonts w:ascii="Arial" w:eastAsia="Times New Roman" w:hAnsi="Arial" w:cs="Arial"/>
                <w:sz w:val="24"/>
                <w:szCs w:val="24"/>
              </w:rPr>
              <w:t xml:space="preserve"> </w:t>
            </w:r>
            <w:r w:rsidRPr="00FA3F9C">
              <w:rPr>
                <w:rFonts w:ascii="Arial" w:eastAsia="Calibri" w:hAnsi="Arial" w:cs="Arial"/>
                <w:sz w:val="24"/>
                <w:szCs w:val="24"/>
              </w:rPr>
              <w:t>Hospitalization and/or emergency department visit for severe hypoglycemia (54 mg/dL or below) in past 3 months</w:t>
            </w:r>
          </w:p>
        </w:tc>
      </w:tr>
    </w:tbl>
    <w:p w14:paraId="5211F7E5" w14:textId="77777777" w:rsidR="002641D2" w:rsidRPr="00FA3F9C" w:rsidRDefault="002641D2" w:rsidP="00A145B6">
      <w:pPr>
        <w:spacing w:line="240" w:lineRule="auto"/>
        <w:rPr>
          <w:rFonts w:ascii="Arial" w:eastAsia="Calibri" w:hAnsi="Arial" w:cs="Arial"/>
          <w:b/>
          <w:sz w:val="24"/>
          <w:szCs w:val="24"/>
          <w:u w:val="single"/>
        </w:rPr>
      </w:pPr>
      <w:r w:rsidRPr="00FA3F9C">
        <w:rPr>
          <w:rFonts w:ascii="Arial" w:eastAsia="Calibri" w:hAnsi="Arial" w:cs="Arial"/>
          <w:b/>
          <w:sz w:val="24"/>
          <w:szCs w:val="24"/>
          <w:u w:val="single"/>
        </w:rPr>
        <w:t xml:space="preserve"> </w:t>
      </w:r>
    </w:p>
    <w:tbl>
      <w:tblPr>
        <w:tblW w:w="10880" w:type="dxa"/>
        <w:tblBorders>
          <w:top w:val="nil"/>
          <w:left w:val="nil"/>
          <w:bottom w:val="nil"/>
          <w:right w:val="nil"/>
          <w:insideH w:val="nil"/>
          <w:insideV w:val="nil"/>
        </w:tblBorders>
        <w:tblLayout w:type="fixed"/>
        <w:tblLook w:val="0600" w:firstRow="0" w:lastRow="0" w:firstColumn="0" w:lastColumn="0" w:noHBand="1" w:noVBand="1"/>
      </w:tblPr>
      <w:tblGrid>
        <w:gridCol w:w="7290"/>
        <w:gridCol w:w="3590"/>
      </w:tblGrid>
      <w:tr w:rsidR="002641D2" w:rsidRPr="00FA3F9C" w14:paraId="05304B44" w14:textId="77777777" w:rsidTr="00A145B6">
        <w:trPr>
          <w:trHeight w:val="249"/>
        </w:trPr>
        <w:tc>
          <w:tcPr>
            <w:tcW w:w="7290" w:type="dxa"/>
            <w:tcBorders>
              <w:top w:val="single" w:sz="8" w:space="0" w:color="000000"/>
              <w:left w:val="single" w:sz="8" w:space="0" w:color="000000"/>
              <w:bottom w:val="single" w:sz="8" w:space="0" w:color="000000"/>
              <w:right w:val="single" w:sz="8" w:space="0" w:color="000000"/>
            </w:tcBorders>
            <w:shd w:val="clear" w:color="auto" w:fill="000000"/>
            <w:tcMar>
              <w:top w:w="100" w:type="dxa"/>
              <w:left w:w="100" w:type="dxa"/>
              <w:bottom w:w="100" w:type="dxa"/>
              <w:right w:w="100" w:type="dxa"/>
            </w:tcMar>
          </w:tcPr>
          <w:p w14:paraId="165FFD43" w14:textId="77777777" w:rsidR="002641D2" w:rsidRPr="00FA3F9C" w:rsidRDefault="002641D2" w:rsidP="00A145B6">
            <w:pPr>
              <w:spacing w:line="240" w:lineRule="auto"/>
              <w:rPr>
                <w:rFonts w:ascii="Arial" w:eastAsia="Calibri" w:hAnsi="Arial" w:cs="Arial"/>
                <w:b/>
                <w:color w:val="FFFFFF"/>
                <w:sz w:val="24"/>
                <w:szCs w:val="24"/>
                <w:u w:val="single"/>
              </w:rPr>
            </w:pPr>
            <w:r w:rsidRPr="00FA3F9C">
              <w:rPr>
                <w:rFonts w:ascii="Arial" w:eastAsia="Calibri" w:hAnsi="Arial" w:cs="Arial"/>
                <w:b/>
                <w:color w:val="FFFFFF"/>
                <w:sz w:val="24"/>
                <w:szCs w:val="24"/>
                <w:u w:val="single"/>
              </w:rPr>
              <w:t>Criteria for continuation</w:t>
            </w:r>
          </w:p>
        </w:tc>
        <w:tc>
          <w:tcPr>
            <w:tcW w:w="3590" w:type="dxa"/>
            <w:tcBorders>
              <w:top w:val="single" w:sz="8" w:space="0" w:color="000000"/>
              <w:left w:val="nil"/>
              <w:bottom w:val="single" w:sz="8" w:space="0" w:color="000000"/>
              <w:right w:val="single" w:sz="8" w:space="0" w:color="000000"/>
            </w:tcBorders>
            <w:shd w:val="clear" w:color="auto" w:fill="000000"/>
            <w:tcMar>
              <w:top w:w="100" w:type="dxa"/>
              <w:left w:w="100" w:type="dxa"/>
              <w:bottom w:w="100" w:type="dxa"/>
              <w:right w:w="100" w:type="dxa"/>
            </w:tcMar>
          </w:tcPr>
          <w:p w14:paraId="7B83AA7C" w14:textId="77777777" w:rsidR="002641D2" w:rsidRPr="00FA3F9C" w:rsidRDefault="002641D2" w:rsidP="00A145B6">
            <w:pPr>
              <w:spacing w:line="240" w:lineRule="auto"/>
              <w:jc w:val="center"/>
              <w:rPr>
                <w:rFonts w:ascii="Arial" w:eastAsia="Calibri" w:hAnsi="Arial" w:cs="Arial"/>
                <w:b/>
                <w:sz w:val="24"/>
                <w:szCs w:val="24"/>
                <w:u w:val="single"/>
              </w:rPr>
            </w:pPr>
            <w:r w:rsidRPr="00FA3F9C">
              <w:rPr>
                <w:rFonts w:ascii="Arial" w:eastAsia="Calibri" w:hAnsi="Arial" w:cs="Arial"/>
                <w:b/>
                <w:sz w:val="24"/>
                <w:szCs w:val="24"/>
                <w:u w:val="single"/>
              </w:rPr>
              <w:t xml:space="preserve"> </w:t>
            </w:r>
          </w:p>
        </w:tc>
      </w:tr>
      <w:tr w:rsidR="002641D2" w:rsidRPr="00FA3F9C" w14:paraId="36ABFF1D" w14:textId="77777777" w:rsidTr="00A145B6">
        <w:trPr>
          <w:trHeight w:val="485"/>
        </w:trPr>
        <w:tc>
          <w:tcPr>
            <w:tcW w:w="10880"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8C418B1" w14:textId="77777777" w:rsidR="002641D2" w:rsidRPr="00FA3F9C" w:rsidRDefault="002641D2" w:rsidP="002641D2">
            <w:pPr>
              <w:numPr>
                <w:ilvl w:val="0"/>
                <w:numId w:val="228"/>
              </w:numPr>
              <w:spacing w:line="240" w:lineRule="auto"/>
              <w:rPr>
                <w:rFonts w:ascii="Arial" w:eastAsia="Calibri" w:hAnsi="Arial" w:cs="Arial"/>
                <w:sz w:val="24"/>
                <w:szCs w:val="24"/>
              </w:rPr>
            </w:pPr>
            <w:r w:rsidRPr="00FA3F9C">
              <w:rPr>
                <w:rFonts w:ascii="Arial" w:eastAsia="Calibri" w:hAnsi="Arial" w:cs="Arial"/>
                <w:sz w:val="24"/>
                <w:szCs w:val="24"/>
              </w:rPr>
              <w:t xml:space="preserve">Fulfillment of requirements from the previous year: </w:t>
            </w:r>
          </w:p>
          <w:p w14:paraId="05F3FF7E" w14:textId="77777777" w:rsidR="002641D2" w:rsidRPr="00FA3F9C" w:rsidRDefault="002641D2" w:rsidP="002641D2">
            <w:pPr>
              <w:numPr>
                <w:ilvl w:val="1"/>
                <w:numId w:val="228"/>
              </w:numPr>
              <w:spacing w:line="240" w:lineRule="auto"/>
              <w:rPr>
                <w:rFonts w:ascii="Arial" w:eastAsia="Calibri" w:hAnsi="Arial" w:cs="Arial"/>
                <w:sz w:val="24"/>
                <w:szCs w:val="24"/>
              </w:rPr>
            </w:pPr>
            <w:r w:rsidRPr="00FA3F9C">
              <w:rPr>
                <w:rFonts w:ascii="Arial" w:eastAsia="Times New Roman" w:hAnsi="Arial" w:cs="Arial"/>
                <w:sz w:val="24"/>
                <w:szCs w:val="24"/>
              </w:rPr>
              <w:t xml:space="preserve"> </w:t>
            </w:r>
            <w:r w:rsidRPr="00FA3F9C">
              <w:rPr>
                <w:rFonts w:ascii="Arial" w:eastAsia="Calibri" w:hAnsi="Arial" w:cs="Arial"/>
                <w:sz w:val="24"/>
                <w:szCs w:val="24"/>
              </w:rPr>
              <w:t>Pediatric/Adolescent : Requirements 1c &amp; 1d.</w:t>
            </w:r>
          </w:p>
          <w:p w14:paraId="7C9D394B" w14:textId="77777777" w:rsidR="002641D2" w:rsidRPr="00FA3F9C" w:rsidRDefault="002641D2" w:rsidP="002641D2">
            <w:pPr>
              <w:numPr>
                <w:ilvl w:val="1"/>
                <w:numId w:val="228"/>
              </w:numPr>
              <w:spacing w:line="240" w:lineRule="auto"/>
              <w:rPr>
                <w:rFonts w:ascii="Arial" w:eastAsia="Calibri" w:hAnsi="Arial" w:cs="Arial"/>
                <w:sz w:val="24"/>
                <w:szCs w:val="24"/>
              </w:rPr>
            </w:pPr>
            <w:r w:rsidRPr="00FA3F9C">
              <w:rPr>
                <w:rFonts w:ascii="Arial" w:eastAsia="Calibri" w:hAnsi="Arial" w:cs="Arial"/>
                <w:sz w:val="24"/>
                <w:szCs w:val="24"/>
              </w:rPr>
              <w:t>Adult : Requirements 3c, 3d, &amp; 3e.</w:t>
            </w:r>
          </w:p>
        </w:tc>
      </w:tr>
      <w:tr w:rsidR="002641D2" w:rsidRPr="00FA3F9C" w14:paraId="241DB7B1" w14:textId="77777777" w:rsidTr="00A145B6">
        <w:trPr>
          <w:trHeight w:val="233"/>
        </w:trPr>
        <w:tc>
          <w:tcPr>
            <w:tcW w:w="10880"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66C197" w14:textId="77777777" w:rsidR="002641D2" w:rsidRPr="00FA3F9C" w:rsidRDefault="002641D2" w:rsidP="002641D2">
            <w:pPr>
              <w:numPr>
                <w:ilvl w:val="0"/>
                <w:numId w:val="228"/>
              </w:numPr>
              <w:spacing w:line="240" w:lineRule="auto"/>
              <w:rPr>
                <w:rFonts w:ascii="Arial" w:eastAsia="Calibri" w:hAnsi="Arial" w:cs="Arial"/>
                <w:sz w:val="24"/>
                <w:szCs w:val="24"/>
              </w:rPr>
            </w:pPr>
            <w:r w:rsidRPr="00FA3F9C">
              <w:rPr>
                <w:rFonts w:ascii="Arial" w:eastAsia="Calibri" w:hAnsi="Arial" w:cs="Arial"/>
                <w:sz w:val="24"/>
                <w:szCs w:val="24"/>
              </w:rPr>
              <w:lastRenderedPageBreak/>
              <w:t>Sensor adherence (timely fills)</w:t>
            </w:r>
          </w:p>
        </w:tc>
      </w:tr>
      <w:tr w:rsidR="002641D2" w:rsidRPr="00FA3F9C" w14:paraId="215570B0" w14:textId="77777777" w:rsidTr="00A145B6">
        <w:trPr>
          <w:trHeight w:val="269"/>
        </w:trPr>
        <w:tc>
          <w:tcPr>
            <w:tcW w:w="10880"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1CC244" w14:textId="77777777" w:rsidR="002641D2" w:rsidRPr="00FA3F9C" w:rsidRDefault="002641D2" w:rsidP="002641D2">
            <w:pPr>
              <w:numPr>
                <w:ilvl w:val="0"/>
                <w:numId w:val="228"/>
              </w:numPr>
              <w:spacing w:line="240" w:lineRule="auto"/>
              <w:rPr>
                <w:rFonts w:ascii="Arial" w:eastAsia="Calibri" w:hAnsi="Arial" w:cs="Arial"/>
                <w:sz w:val="24"/>
                <w:szCs w:val="24"/>
              </w:rPr>
            </w:pPr>
            <w:r w:rsidRPr="00FA3F9C">
              <w:rPr>
                <w:rFonts w:ascii="Arial" w:eastAsia="Calibri" w:hAnsi="Arial" w:cs="Arial"/>
                <w:sz w:val="24"/>
                <w:szCs w:val="24"/>
              </w:rPr>
              <w:t>Patient that has been confirmed to have access to the CGM monitor/mobile app</w:t>
            </w:r>
          </w:p>
        </w:tc>
      </w:tr>
    </w:tbl>
    <w:p w14:paraId="65D0DC70" w14:textId="77777777" w:rsidR="002641D2" w:rsidRPr="00FA3F9C" w:rsidRDefault="002641D2" w:rsidP="00A145B6">
      <w:pPr>
        <w:spacing w:line="240" w:lineRule="auto"/>
        <w:rPr>
          <w:rFonts w:ascii="Arial" w:eastAsia="Calibri" w:hAnsi="Arial" w:cs="Arial"/>
          <w:b/>
          <w:sz w:val="24"/>
          <w:szCs w:val="24"/>
          <w:u w:val="single"/>
        </w:rPr>
      </w:pPr>
      <w:r w:rsidRPr="00FA3F9C">
        <w:rPr>
          <w:rFonts w:ascii="Arial" w:eastAsia="Calibri" w:hAnsi="Arial" w:cs="Arial"/>
          <w:b/>
          <w:sz w:val="24"/>
          <w:szCs w:val="24"/>
          <w:u w:val="single"/>
        </w:rPr>
        <w:t xml:space="preserve"> </w:t>
      </w:r>
    </w:p>
    <w:p w14:paraId="18A59FFD" w14:textId="77777777" w:rsidR="002641D2" w:rsidRPr="00FA3F9C" w:rsidRDefault="002641D2" w:rsidP="00A145B6">
      <w:pPr>
        <w:spacing w:line="240" w:lineRule="auto"/>
        <w:rPr>
          <w:rFonts w:ascii="Arial" w:eastAsia="Calibri" w:hAnsi="Arial" w:cs="Arial"/>
          <w:sz w:val="24"/>
          <w:szCs w:val="24"/>
        </w:rPr>
      </w:pPr>
      <w:r w:rsidRPr="00FA3F9C">
        <w:rPr>
          <w:rFonts w:ascii="Arial" w:eastAsia="Calibri" w:hAnsi="Arial" w:cs="Arial"/>
          <w:sz w:val="24"/>
          <w:szCs w:val="24"/>
        </w:rPr>
        <w:t xml:space="preserve"> Quantity Limits (per year): 1 Monitor &amp; 39 sensors (based on 1 sensor/10 days &amp; 3 sensors/pack)</w:t>
      </w:r>
    </w:p>
    <w:p w14:paraId="24F76495" w14:textId="77777777" w:rsidR="002641D2" w:rsidRPr="00FA3F9C" w:rsidRDefault="002641D2" w:rsidP="00A145B6">
      <w:pPr>
        <w:spacing w:line="240" w:lineRule="auto"/>
        <w:rPr>
          <w:rFonts w:ascii="Arial" w:eastAsia="Calibri" w:hAnsi="Arial" w:cs="Arial"/>
          <w:sz w:val="24"/>
          <w:szCs w:val="24"/>
        </w:rPr>
      </w:pPr>
      <w:r w:rsidRPr="00FA3F9C">
        <w:rPr>
          <w:rFonts w:ascii="Arial" w:eastAsia="Calibri" w:hAnsi="Arial" w:cs="Arial"/>
          <w:sz w:val="24"/>
          <w:szCs w:val="24"/>
        </w:rPr>
        <w:t xml:space="preserve"> </w:t>
      </w:r>
    </w:p>
    <w:p w14:paraId="41DA8065" w14:textId="77777777" w:rsidR="002641D2" w:rsidRPr="00FA3F9C" w:rsidRDefault="002641D2" w:rsidP="00A145B6">
      <w:pPr>
        <w:spacing w:line="240" w:lineRule="auto"/>
        <w:rPr>
          <w:rFonts w:ascii="Arial" w:eastAsia="Calibri" w:hAnsi="Arial" w:cs="Arial"/>
          <w:sz w:val="24"/>
          <w:szCs w:val="24"/>
        </w:rPr>
      </w:pPr>
      <w:r w:rsidRPr="00FA3F9C">
        <w:rPr>
          <w:rFonts w:ascii="Arial" w:eastAsia="Calibri" w:hAnsi="Arial" w:cs="Arial"/>
          <w:sz w:val="24"/>
          <w:szCs w:val="24"/>
        </w:rPr>
        <w:t>Revision History:</w:t>
      </w:r>
    </w:p>
    <w:tbl>
      <w:tblPr>
        <w:tblW w:w="10790" w:type="dxa"/>
        <w:tblBorders>
          <w:top w:val="nil"/>
          <w:left w:val="nil"/>
          <w:bottom w:val="nil"/>
          <w:right w:val="nil"/>
          <w:insideH w:val="nil"/>
          <w:insideV w:val="nil"/>
        </w:tblBorders>
        <w:tblLayout w:type="fixed"/>
        <w:tblLook w:val="0600" w:firstRow="0" w:lastRow="0" w:firstColumn="0" w:lastColumn="0" w:noHBand="1" w:noVBand="1"/>
      </w:tblPr>
      <w:tblGrid>
        <w:gridCol w:w="1160"/>
        <w:gridCol w:w="7290"/>
        <w:gridCol w:w="2340"/>
      </w:tblGrid>
      <w:tr w:rsidR="002641D2" w:rsidRPr="00FA3F9C" w14:paraId="3DD1876B" w14:textId="77777777" w:rsidTr="00661E4C">
        <w:trPr>
          <w:trHeight w:val="258"/>
        </w:trPr>
        <w:tc>
          <w:tcPr>
            <w:tcW w:w="11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7C7B7A" w14:textId="77777777" w:rsidR="002641D2" w:rsidRPr="00FA3F9C" w:rsidRDefault="002641D2" w:rsidP="00661E4C">
            <w:pPr>
              <w:spacing w:line="240" w:lineRule="auto"/>
              <w:rPr>
                <w:rFonts w:ascii="Arial" w:eastAsia="Calibri" w:hAnsi="Arial" w:cs="Arial"/>
                <w:sz w:val="24"/>
                <w:szCs w:val="24"/>
              </w:rPr>
            </w:pPr>
            <w:r w:rsidRPr="00FA3F9C">
              <w:rPr>
                <w:rFonts w:ascii="Arial" w:eastAsia="Calibri" w:hAnsi="Arial" w:cs="Arial"/>
                <w:sz w:val="24"/>
                <w:szCs w:val="24"/>
              </w:rPr>
              <w:t>Date</w:t>
            </w:r>
          </w:p>
        </w:tc>
        <w:tc>
          <w:tcPr>
            <w:tcW w:w="729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209A00E4" w14:textId="77777777" w:rsidR="002641D2" w:rsidRPr="00FA3F9C" w:rsidRDefault="002641D2" w:rsidP="00661E4C">
            <w:pPr>
              <w:spacing w:line="240" w:lineRule="auto"/>
              <w:rPr>
                <w:rFonts w:ascii="Arial" w:eastAsia="Calibri" w:hAnsi="Arial" w:cs="Arial"/>
                <w:sz w:val="24"/>
                <w:szCs w:val="24"/>
              </w:rPr>
            </w:pPr>
            <w:r w:rsidRPr="00FA3F9C">
              <w:rPr>
                <w:rFonts w:ascii="Arial" w:eastAsia="Calibri" w:hAnsi="Arial" w:cs="Arial"/>
                <w:sz w:val="24"/>
                <w:szCs w:val="24"/>
              </w:rPr>
              <w:t>What changed</w:t>
            </w:r>
          </w:p>
        </w:tc>
        <w:tc>
          <w:tcPr>
            <w:tcW w:w="234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4F20F12F" w14:textId="77777777" w:rsidR="002641D2" w:rsidRPr="00FA3F9C" w:rsidRDefault="002641D2" w:rsidP="00661E4C">
            <w:pPr>
              <w:spacing w:line="240" w:lineRule="auto"/>
              <w:rPr>
                <w:rFonts w:ascii="Arial" w:eastAsia="Calibri" w:hAnsi="Arial" w:cs="Arial"/>
                <w:sz w:val="24"/>
                <w:szCs w:val="24"/>
              </w:rPr>
            </w:pPr>
            <w:r w:rsidRPr="00FA3F9C">
              <w:rPr>
                <w:rFonts w:ascii="Arial" w:eastAsia="Calibri" w:hAnsi="Arial" w:cs="Arial"/>
                <w:sz w:val="24"/>
                <w:szCs w:val="24"/>
              </w:rPr>
              <w:t>Pharmacist’s initials</w:t>
            </w:r>
          </w:p>
        </w:tc>
      </w:tr>
      <w:tr w:rsidR="002641D2" w:rsidRPr="00FA3F9C" w14:paraId="6DB8E7A3" w14:textId="77777777" w:rsidTr="00661E4C">
        <w:trPr>
          <w:trHeight w:val="20"/>
        </w:trPr>
        <w:tc>
          <w:tcPr>
            <w:tcW w:w="116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44EA91" w14:textId="77777777" w:rsidR="002641D2" w:rsidRPr="00FA3F9C" w:rsidRDefault="002641D2" w:rsidP="00661E4C">
            <w:pPr>
              <w:spacing w:line="240" w:lineRule="auto"/>
              <w:rPr>
                <w:rFonts w:ascii="Arial" w:eastAsia="Calibri" w:hAnsi="Arial" w:cs="Arial"/>
                <w:sz w:val="24"/>
                <w:szCs w:val="24"/>
              </w:rPr>
            </w:pPr>
            <w:r w:rsidRPr="00FA3F9C">
              <w:rPr>
                <w:rFonts w:ascii="Arial" w:eastAsia="Calibri" w:hAnsi="Arial" w:cs="Arial"/>
                <w:sz w:val="24"/>
                <w:szCs w:val="24"/>
              </w:rPr>
              <w:t>6 /22/2020</w:t>
            </w:r>
          </w:p>
        </w:tc>
        <w:tc>
          <w:tcPr>
            <w:tcW w:w="72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0E77639" w14:textId="77777777" w:rsidR="002641D2" w:rsidRPr="00FA3F9C" w:rsidRDefault="002641D2" w:rsidP="00661E4C">
            <w:pPr>
              <w:spacing w:line="240" w:lineRule="auto"/>
              <w:rPr>
                <w:rFonts w:ascii="Arial" w:eastAsia="Calibri" w:hAnsi="Arial" w:cs="Arial"/>
                <w:sz w:val="24"/>
                <w:szCs w:val="24"/>
              </w:rPr>
            </w:pPr>
            <w:r w:rsidRPr="00FA3F9C">
              <w:rPr>
                <w:rFonts w:ascii="Arial" w:eastAsia="Calibri" w:hAnsi="Arial" w:cs="Arial"/>
                <w:sz w:val="24"/>
                <w:szCs w:val="24"/>
              </w:rPr>
              <w:t>Criteria were written.</w:t>
            </w:r>
          </w:p>
        </w:tc>
        <w:tc>
          <w:tcPr>
            <w:tcW w:w="23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AAF2F5D" w14:textId="25B1E181" w:rsidR="002641D2" w:rsidRPr="00FA3F9C" w:rsidRDefault="00B700AB" w:rsidP="00661E4C">
            <w:pPr>
              <w:spacing w:line="240" w:lineRule="auto"/>
              <w:rPr>
                <w:rFonts w:ascii="Arial" w:eastAsia="Calibri" w:hAnsi="Arial" w:cs="Arial"/>
                <w:sz w:val="24"/>
                <w:szCs w:val="24"/>
              </w:rPr>
            </w:pPr>
            <w:r w:rsidRPr="00FA3F9C">
              <w:rPr>
                <w:rFonts w:ascii="Arial" w:eastAsia="Calibri" w:hAnsi="Arial" w:cs="Arial"/>
                <w:sz w:val="24"/>
                <w:szCs w:val="24"/>
              </w:rPr>
              <w:t>OD</w:t>
            </w:r>
          </w:p>
        </w:tc>
      </w:tr>
      <w:tr w:rsidR="002641D2" w:rsidRPr="00FA3F9C" w14:paraId="35A6E275" w14:textId="77777777" w:rsidTr="00661E4C">
        <w:trPr>
          <w:trHeight w:val="53"/>
        </w:trPr>
        <w:tc>
          <w:tcPr>
            <w:tcW w:w="116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99B44C9" w14:textId="77777777" w:rsidR="002641D2" w:rsidRPr="00FA3F9C" w:rsidRDefault="002641D2" w:rsidP="00661E4C">
            <w:pPr>
              <w:spacing w:line="240" w:lineRule="auto"/>
              <w:rPr>
                <w:rFonts w:ascii="Arial" w:eastAsia="Calibri" w:hAnsi="Arial" w:cs="Arial"/>
                <w:sz w:val="24"/>
                <w:szCs w:val="24"/>
              </w:rPr>
            </w:pPr>
            <w:r w:rsidRPr="00FA3F9C">
              <w:rPr>
                <w:rFonts w:ascii="Arial" w:eastAsia="Calibri" w:hAnsi="Arial" w:cs="Arial"/>
                <w:sz w:val="24"/>
                <w:szCs w:val="24"/>
              </w:rPr>
              <w:t xml:space="preserve"> </w:t>
            </w:r>
          </w:p>
        </w:tc>
        <w:tc>
          <w:tcPr>
            <w:tcW w:w="72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4AAB481" w14:textId="77777777" w:rsidR="002641D2" w:rsidRPr="00FA3F9C" w:rsidRDefault="002641D2" w:rsidP="00661E4C">
            <w:pPr>
              <w:spacing w:line="240" w:lineRule="auto"/>
              <w:rPr>
                <w:rFonts w:ascii="Arial" w:eastAsia="Calibri" w:hAnsi="Arial" w:cs="Arial"/>
                <w:sz w:val="24"/>
                <w:szCs w:val="24"/>
              </w:rPr>
            </w:pPr>
            <w:r w:rsidRPr="00FA3F9C">
              <w:rPr>
                <w:rFonts w:ascii="Arial" w:eastAsia="Calibri" w:hAnsi="Arial" w:cs="Arial"/>
                <w:sz w:val="24"/>
                <w:szCs w:val="24"/>
              </w:rPr>
              <w:t xml:space="preserve"> </w:t>
            </w:r>
          </w:p>
        </w:tc>
        <w:tc>
          <w:tcPr>
            <w:tcW w:w="23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3DB7868" w14:textId="77777777" w:rsidR="002641D2" w:rsidRPr="00FA3F9C" w:rsidRDefault="002641D2" w:rsidP="00661E4C">
            <w:pPr>
              <w:spacing w:line="240" w:lineRule="auto"/>
              <w:rPr>
                <w:rFonts w:ascii="Arial" w:eastAsia="Calibri" w:hAnsi="Arial" w:cs="Arial"/>
                <w:sz w:val="24"/>
                <w:szCs w:val="24"/>
              </w:rPr>
            </w:pPr>
            <w:r w:rsidRPr="00FA3F9C">
              <w:rPr>
                <w:rFonts w:ascii="Arial" w:eastAsia="Calibri" w:hAnsi="Arial" w:cs="Arial"/>
                <w:sz w:val="24"/>
                <w:szCs w:val="24"/>
              </w:rPr>
              <w:t xml:space="preserve"> </w:t>
            </w:r>
          </w:p>
        </w:tc>
      </w:tr>
    </w:tbl>
    <w:p w14:paraId="5E4A7094" w14:textId="77777777" w:rsidR="002641D2" w:rsidRPr="00FA3F9C" w:rsidRDefault="002641D2" w:rsidP="00A145B6">
      <w:pPr>
        <w:spacing w:line="240" w:lineRule="auto"/>
        <w:rPr>
          <w:rFonts w:ascii="Arial" w:eastAsia="Calibri" w:hAnsi="Arial" w:cs="Arial"/>
          <w:sz w:val="24"/>
          <w:szCs w:val="24"/>
        </w:rPr>
      </w:pPr>
      <w:r w:rsidRPr="00FA3F9C">
        <w:rPr>
          <w:rFonts w:ascii="Arial" w:eastAsia="Calibri" w:hAnsi="Arial" w:cs="Arial"/>
          <w:sz w:val="24"/>
          <w:szCs w:val="24"/>
        </w:rPr>
        <w:t xml:space="preserve"> </w:t>
      </w:r>
    </w:p>
    <w:p w14:paraId="16DBF93E" w14:textId="3424CC62" w:rsidR="002641D2" w:rsidRPr="00FA3F9C" w:rsidRDefault="002641D2" w:rsidP="005E2908">
      <w:pPr>
        <w:pStyle w:val="Heading2"/>
      </w:pPr>
      <w:bookmarkStart w:id="132" w:name="_Toc106369815"/>
      <w:proofErr w:type="spellStart"/>
      <w:r w:rsidRPr="00FA3F9C">
        <w:t>Granisetron</w:t>
      </w:r>
      <w:proofErr w:type="spellEnd"/>
      <w:r w:rsidRPr="00FA3F9C">
        <w:t xml:space="preserve"> (</w:t>
      </w:r>
      <w:proofErr w:type="spellStart"/>
      <w:r w:rsidRPr="00FA3F9C">
        <w:t>Sancuso</w:t>
      </w:r>
      <w:proofErr w:type="spellEnd"/>
      <w:r w:rsidRPr="00FA3F9C">
        <w:t>)</w:t>
      </w:r>
      <w:bookmarkEnd w:id="132"/>
    </w:p>
    <w:p w14:paraId="0FF57074" w14:textId="77777777" w:rsidR="002641D2" w:rsidRPr="00FA3F9C" w:rsidRDefault="002641D2" w:rsidP="006F623F">
      <w:pPr>
        <w:spacing w:after="0"/>
        <w:jc w:val="center"/>
        <w:rPr>
          <w:rFonts w:ascii="Arial" w:hAnsi="Arial" w:cs="Arial"/>
          <w:sz w:val="24"/>
          <w:szCs w:val="24"/>
        </w:rPr>
      </w:pPr>
      <w:r w:rsidRPr="00FA3F9C">
        <w:rPr>
          <w:rFonts w:ascii="Arial" w:hAnsi="Arial" w:cs="Arial"/>
          <w:sz w:val="24"/>
          <w:szCs w:val="24"/>
        </w:rPr>
        <w:t>34.4 mg/patch (one patch delivers 3.1 mg/24 hours)</w:t>
      </w:r>
    </w:p>
    <w:p w14:paraId="55E7DD11" w14:textId="77777777" w:rsidR="002641D2" w:rsidRPr="00FA3F9C" w:rsidRDefault="002641D2" w:rsidP="006F623F">
      <w:pPr>
        <w:spacing w:after="0"/>
        <w:jc w:val="center"/>
        <w:rPr>
          <w:rFonts w:ascii="Arial" w:hAnsi="Arial" w:cs="Arial"/>
          <w:sz w:val="24"/>
          <w:szCs w:val="24"/>
        </w:rPr>
      </w:pPr>
      <w:r w:rsidRPr="00FA3F9C">
        <w:rPr>
          <w:rFonts w:ascii="Arial" w:hAnsi="Arial" w:cs="Arial"/>
          <w:sz w:val="24"/>
          <w:szCs w:val="24"/>
        </w:rPr>
        <w:t>EBRx PA Criteria</w:t>
      </w:r>
    </w:p>
    <w:p w14:paraId="3B18C798" w14:textId="77777777" w:rsidR="002641D2" w:rsidRPr="00FA3F9C" w:rsidRDefault="002641D2" w:rsidP="006F623F">
      <w:pPr>
        <w:spacing w:after="0"/>
        <w:rPr>
          <w:rFonts w:ascii="Arial" w:hAnsi="Arial" w:cs="Arial"/>
          <w:b/>
          <w:sz w:val="24"/>
          <w:szCs w:val="24"/>
          <w:u w:val="single"/>
        </w:rPr>
      </w:pPr>
    </w:p>
    <w:p w14:paraId="40ADD3B5" w14:textId="77777777" w:rsidR="002641D2" w:rsidRPr="00FA3F9C" w:rsidRDefault="002641D2"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w:t>
      </w:r>
    </w:p>
    <w:p w14:paraId="679F9726" w14:textId="77777777" w:rsidR="002641D2" w:rsidRPr="00FA3F9C" w:rsidRDefault="002641D2" w:rsidP="006F623F">
      <w:pPr>
        <w:spacing w:after="0"/>
        <w:rPr>
          <w:rFonts w:ascii="Arial" w:hAnsi="Arial" w:cs="Arial"/>
          <w:sz w:val="24"/>
          <w:szCs w:val="24"/>
        </w:rPr>
      </w:pPr>
      <w:r w:rsidRPr="00FA3F9C">
        <w:rPr>
          <w:rFonts w:ascii="Arial" w:hAnsi="Arial" w:cs="Arial"/>
          <w:sz w:val="24"/>
          <w:szCs w:val="24"/>
        </w:rPr>
        <w:t>Prevention of nausea and vomiting in patients receiving moderately and/or highly emetogenic chemotherapy for up to 5 consecutive days.</w:t>
      </w:r>
    </w:p>
    <w:p w14:paraId="7076892F" w14:textId="77777777" w:rsidR="002641D2" w:rsidRPr="00FA3F9C" w:rsidRDefault="002641D2" w:rsidP="006F623F">
      <w:pPr>
        <w:spacing w:after="0"/>
        <w:rPr>
          <w:rFonts w:ascii="Arial" w:hAnsi="Arial" w:cs="Arial"/>
          <w:sz w:val="24"/>
          <w:szCs w:val="24"/>
        </w:rPr>
      </w:pPr>
    </w:p>
    <w:tbl>
      <w:tblPr>
        <w:tblStyle w:val="TableGrid"/>
        <w:tblW w:w="0" w:type="auto"/>
        <w:tblLook w:val="04A0" w:firstRow="1" w:lastRow="0" w:firstColumn="1" w:lastColumn="0" w:noHBand="0" w:noVBand="1"/>
      </w:tblPr>
      <w:tblGrid>
        <w:gridCol w:w="8747"/>
        <w:gridCol w:w="2043"/>
      </w:tblGrid>
      <w:tr w:rsidR="002641D2" w:rsidRPr="00FA3F9C" w14:paraId="4F1C722B" w14:textId="77777777" w:rsidTr="00D939A8">
        <w:tc>
          <w:tcPr>
            <w:tcW w:w="8747" w:type="dxa"/>
            <w:shd w:val="clear" w:color="auto" w:fill="000000"/>
          </w:tcPr>
          <w:p w14:paraId="0E79BDFF" w14:textId="77777777" w:rsidR="002641D2" w:rsidRPr="00FA3F9C" w:rsidRDefault="002641D2"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43" w:type="dxa"/>
            <w:shd w:val="clear" w:color="auto" w:fill="000000"/>
          </w:tcPr>
          <w:p w14:paraId="6F7AA518" w14:textId="77777777" w:rsidR="002641D2" w:rsidRPr="00FA3F9C" w:rsidRDefault="002641D2" w:rsidP="006F623F">
            <w:pPr>
              <w:jc w:val="center"/>
              <w:rPr>
                <w:rFonts w:ascii="Arial" w:hAnsi="Arial" w:cs="Arial"/>
                <w:b/>
                <w:sz w:val="24"/>
                <w:szCs w:val="24"/>
                <w:u w:val="single"/>
              </w:rPr>
            </w:pPr>
          </w:p>
        </w:tc>
      </w:tr>
      <w:tr w:rsidR="002641D2" w:rsidRPr="00FA3F9C" w14:paraId="7AF8B392" w14:textId="77777777" w:rsidTr="00D939A8">
        <w:tc>
          <w:tcPr>
            <w:tcW w:w="10790" w:type="dxa"/>
            <w:gridSpan w:val="2"/>
          </w:tcPr>
          <w:p w14:paraId="1154BD8E" w14:textId="77777777" w:rsidR="002641D2" w:rsidRPr="00FA3F9C" w:rsidRDefault="002641D2" w:rsidP="002641D2">
            <w:pPr>
              <w:pStyle w:val="ListParagraph"/>
              <w:numPr>
                <w:ilvl w:val="0"/>
                <w:numId w:val="230"/>
              </w:numPr>
              <w:rPr>
                <w:rFonts w:ascii="Arial" w:hAnsi="Arial" w:cs="Arial"/>
                <w:sz w:val="24"/>
                <w:szCs w:val="24"/>
              </w:rPr>
            </w:pPr>
            <w:r w:rsidRPr="00FA3F9C">
              <w:rPr>
                <w:rFonts w:ascii="Arial" w:hAnsi="Arial" w:cs="Arial"/>
                <w:sz w:val="24"/>
                <w:szCs w:val="24"/>
              </w:rPr>
              <w:t>Must have a documented cancer diagnosis</w:t>
            </w:r>
          </w:p>
        </w:tc>
      </w:tr>
      <w:tr w:rsidR="002641D2" w:rsidRPr="00FA3F9C" w14:paraId="570CCCE1" w14:textId="77777777" w:rsidTr="00D939A8">
        <w:tc>
          <w:tcPr>
            <w:tcW w:w="10790" w:type="dxa"/>
            <w:gridSpan w:val="2"/>
          </w:tcPr>
          <w:p w14:paraId="320DD0B7" w14:textId="77777777" w:rsidR="002641D2" w:rsidRPr="00FA3F9C" w:rsidRDefault="002641D2" w:rsidP="002641D2">
            <w:pPr>
              <w:pStyle w:val="ListParagraph"/>
              <w:numPr>
                <w:ilvl w:val="0"/>
                <w:numId w:val="230"/>
              </w:numPr>
              <w:rPr>
                <w:rFonts w:ascii="Arial" w:hAnsi="Arial" w:cs="Arial"/>
                <w:sz w:val="24"/>
                <w:szCs w:val="24"/>
              </w:rPr>
            </w:pPr>
            <w:r w:rsidRPr="00FA3F9C">
              <w:rPr>
                <w:rFonts w:ascii="Arial" w:hAnsi="Arial" w:cs="Arial"/>
                <w:sz w:val="24"/>
                <w:szCs w:val="24"/>
              </w:rPr>
              <w:t>Must be receiving a moderately or highly emetogenic chemotherapy regimen</w:t>
            </w:r>
          </w:p>
        </w:tc>
      </w:tr>
      <w:tr w:rsidR="002641D2" w:rsidRPr="00FA3F9C" w14:paraId="63A93F08" w14:textId="77777777" w:rsidTr="00D939A8">
        <w:tc>
          <w:tcPr>
            <w:tcW w:w="10790" w:type="dxa"/>
            <w:gridSpan w:val="2"/>
          </w:tcPr>
          <w:p w14:paraId="211CA9C2" w14:textId="77777777" w:rsidR="002641D2" w:rsidRPr="00FA3F9C" w:rsidRDefault="002641D2" w:rsidP="002641D2">
            <w:pPr>
              <w:pStyle w:val="ListParagraph"/>
              <w:numPr>
                <w:ilvl w:val="0"/>
                <w:numId w:val="230"/>
              </w:numPr>
              <w:rPr>
                <w:rFonts w:ascii="Arial" w:hAnsi="Arial" w:cs="Arial"/>
                <w:sz w:val="24"/>
                <w:szCs w:val="24"/>
              </w:rPr>
            </w:pPr>
            <w:r w:rsidRPr="00FA3F9C">
              <w:rPr>
                <w:rFonts w:ascii="Arial" w:hAnsi="Arial" w:cs="Arial"/>
                <w:sz w:val="24"/>
                <w:szCs w:val="24"/>
              </w:rPr>
              <w:lastRenderedPageBreak/>
              <w:t>Must have previous failure of an oral 5HT antagonist given daily on a scheduled basis starting the day after chemotherapy and continuing at least 4 days OR palonosetron given 30-60 minutes prior to chemotherapy. [</w:t>
            </w:r>
            <w:r w:rsidRPr="00FA3F9C">
              <w:rPr>
                <w:rFonts w:ascii="Arial" w:hAnsi="Arial" w:cs="Arial"/>
                <w:sz w:val="24"/>
                <w:szCs w:val="24"/>
                <w:highlight w:val="cyan"/>
              </w:rPr>
              <w:t>CHART DOCUMENTATION REQUIRED</w:t>
            </w:r>
            <w:r w:rsidRPr="00FA3F9C">
              <w:rPr>
                <w:rFonts w:ascii="Arial" w:hAnsi="Arial" w:cs="Arial"/>
                <w:sz w:val="24"/>
                <w:szCs w:val="24"/>
              </w:rPr>
              <w:t>]</w:t>
            </w:r>
          </w:p>
        </w:tc>
      </w:tr>
      <w:tr w:rsidR="002641D2" w:rsidRPr="00FA3F9C" w14:paraId="3C204526" w14:textId="77777777" w:rsidTr="00D939A8">
        <w:tc>
          <w:tcPr>
            <w:tcW w:w="10790" w:type="dxa"/>
            <w:gridSpan w:val="2"/>
            <w:shd w:val="clear" w:color="auto" w:fill="F2F2F2" w:themeFill="background1" w:themeFillShade="F2"/>
          </w:tcPr>
          <w:p w14:paraId="6EE401A7" w14:textId="77777777" w:rsidR="002641D2" w:rsidRPr="00FA3F9C" w:rsidRDefault="002641D2" w:rsidP="00D939A8">
            <w:pPr>
              <w:rPr>
                <w:rFonts w:ascii="Arial" w:hAnsi="Arial" w:cs="Arial"/>
                <w:sz w:val="24"/>
                <w:szCs w:val="24"/>
              </w:rPr>
            </w:pPr>
            <w:r w:rsidRPr="00FA3F9C">
              <w:rPr>
                <w:rFonts w:ascii="Arial" w:hAnsi="Arial" w:cs="Arial"/>
                <w:sz w:val="24"/>
                <w:szCs w:val="24"/>
              </w:rPr>
              <w:t>If above criteria met, approve for 1 year</w:t>
            </w:r>
          </w:p>
        </w:tc>
      </w:tr>
      <w:tr w:rsidR="002641D2" w:rsidRPr="00FA3F9C" w14:paraId="369CE2AA" w14:textId="77777777" w:rsidTr="00D939A8">
        <w:tc>
          <w:tcPr>
            <w:tcW w:w="10790" w:type="dxa"/>
            <w:gridSpan w:val="2"/>
            <w:shd w:val="clear" w:color="auto" w:fill="F2F2F2" w:themeFill="background1" w:themeFillShade="F2"/>
          </w:tcPr>
          <w:p w14:paraId="3D09A8C8" w14:textId="77777777" w:rsidR="002641D2" w:rsidRPr="00FA3F9C" w:rsidRDefault="002641D2" w:rsidP="00D939A8">
            <w:pPr>
              <w:rPr>
                <w:rFonts w:ascii="Arial" w:hAnsi="Arial" w:cs="Arial"/>
                <w:sz w:val="24"/>
                <w:szCs w:val="24"/>
              </w:rPr>
            </w:pPr>
            <w:r w:rsidRPr="00FA3F9C">
              <w:rPr>
                <w:rFonts w:ascii="Arial" w:hAnsi="Arial" w:cs="Arial"/>
                <w:sz w:val="24"/>
                <w:szCs w:val="24"/>
              </w:rPr>
              <w:t>QL:  5 patches per 30 days</w:t>
            </w:r>
          </w:p>
        </w:tc>
      </w:tr>
      <w:tr w:rsidR="002641D2" w:rsidRPr="00FA3F9C" w14:paraId="5FAF1012" w14:textId="77777777" w:rsidTr="00D939A8">
        <w:tc>
          <w:tcPr>
            <w:tcW w:w="10790" w:type="dxa"/>
            <w:gridSpan w:val="2"/>
            <w:shd w:val="clear" w:color="auto" w:fill="D9D9D9" w:themeFill="background1" w:themeFillShade="D9"/>
          </w:tcPr>
          <w:p w14:paraId="3BB05DB6" w14:textId="77777777" w:rsidR="002641D2" w:rsidRPr="00FA3F9C" w:rsidRDefault="002641D2" w:rsidP="00D939A8">
            <w:pPr>
              <w:rPr>
                <w:rFonts w:ascii="Arial" w:hAnsi="Arial" w:cs="Arial"/>
                <w:sz w:val="24"/>
                <w:szCs w:val="24"/>
                <w:u w:val="single"/>
              </w:rPr>
            </w:pPr>
            <w:r w:rsidRPr="00FA3F9C">
              <w:rPr>
                <w:rFonts w:ascii="Arial" w:hAnsi="Arial" w:cs="Arial"/>
                <w:sz w:val="24"/>
                <w:szCs w:val="24"/>
                <w:u w:val="single"/>
              </w:rPr>
              <w:t>Dose:</w:t>
            </w:r>
          </w:p>
          <w:p w14:paraId="7807F3AB" w14:textId="77777777" w:rsidR="002641D2" w:rsidRPr="00FA3F9C" w:rsidRDefault="002641D2" w:rsidP="00D939A8">
            <w:pPr>
              <w:rPr>
                <w:rFonts w:ascii="Arial" w:hAnsi="Arial" w:cs="Arial"/>
                <w:sz w:val="24"/>
                <w:szCs w:val="24"/>
              </w:rPr>
            </w:pPr>
            <w:r w:rsidRPr="00FA3F9C">
              <w:rPr>
                <w:rFonts w:ascii="Arial" w:hAnsi="Arial" w:cs="Arial"/>
                <w:sz w:val="24"/>
                <w:szCs w:val="24"/>
              </w:rPr>
              <w:t xml:space="preserve">-Each patch contains 34.4 mg of </w:t>
            </w:r>
            <w:proofErr w:type="spellStart"/>
            <w:r w:rsidRPr="00FA3F9C">
              <w:rPr>
                <w:rFonts w:ascii="Arial" w:hAnsi="Arial" w:cs="Arial"/>
                <w:sz w:val="24"/>
                <w:szCs w:val="24"/>
              </w:rPr>
              <w:t>granisetron</w:t>
            </w:r>
            <w:proofErr w:type="spellEnd"/>
            <w:r w:rsidRPr="00FA3F9C">
              <w:rPr>
                <w:rFonts w:ascii="Arial" w:hAnsi="Arial" w:cs="Arial"/>
                <w:sz w:val="24"/>
                <w:szCs w:val="24"/>
              </w:rPr>
              <w:t xml:space="preserve"> which delivers 3.1 mg per 24 hours.</w:t>
            </w:r>
          </w:p>
          <w:p w14:paraId="641BDE2E" w14:textId="77777777" w:rsidR="002641D2" w:rsidRPr="00FA3F9C" w:rsidRDefault="002641D2" w:rsidP="00D939A8">
            <w:pPr>
              <w:rPr>
                <w:rFonts w:ascii="Arial" w:hAnsi="Arial" w:cs="Arial"/>
                <w:sz w:val="24"/>
                <w:szCs w:val="24"/>
              </w:rPr>
            </w:pPr>
            <w:r w:rsidRPr="00FA3F9C">
              <w:rPr>
                <w:rFonts w:ascii="Arial" w:hAnsi="Arial" w:cs="Arial"/>
                <w:sz w:val="24"/>
                <w:szCs w:val="24"/>
              </w:rPr>
              <w:t xml:space="preserve">-Apply a single patch to the upper outer arm a minimum of 24 hours before chemotherapy. The patch may be applied up to a maximum of 48 hours before chemotherapy as appropriate. Remove the patch a minimum of 24 hours after completion of chemotherapy. </w:t>
            </w:r>
          </w:p>
          <w:p w14:paraId="1C277CAE" w14:textId="77777777" w:rsidR="002641D2" w:rsidRPr="00FA3F9C" w:rsidRDefault="002641D2" w:rsidP="00D939A8">
            <w:pPr>
              <w:rPr>
                <w:rFonts w:ascii="Arial" w:hAnsi="Arial" w:cs="Arial"/>
                <w:sz w:val="24"/>
                <w:szCs w:val="24"/>
              </w:rPr>
            </w:pPr>
            <w:r w:rsidRPr="00FA3F9C">
              <w:rPr>
                <w:rFonts w:ascii="Arial" w:hAnsi="Arial" w:cs="Arial"/>
                <w:sz w:val="24"/>
                <w:szCs w:val="24"/>
              </w:rPr>
              <w:t>-The patch can be worn for up to 7 days depending on the duration of chemotherapy.</w:t>
            </w:r>
          </w:p>
          <w:p w14:paraId="31E6DD41" w14:textId="77777777" w:rsidR="002641D2" w:rsidRPr="00FA3F9C" w:rsidRDefault="002641D2" w:rsidP="00D939A8">
            <w:pPr>
              <w:rPr>
                <w:rFonts w:ascii="Arial" w:hAnsi="Arial" w:cs="Arial"/>
                <w:sz w:val="24"/>
                <w:szCs w:val="24"/>
              </w:rPr>
            </w:pPr>
          </w:p>
          <w:p w14:paraId="00C2C961" w14:textId="77777777" w:rsidR="002641D2" w:rsidRPr="00FA3F9C" w:rsidRDefault="002641D2" w:rsidP="00D939A8">
            <w:pPr>
              <w:rPr>
                <w:rFonts w:ascii="Arial" w:hAnsi="Arial" w:cs="Arial"/>
                <w:sz w:val="24"/>
                <w:szCs w:val="24"/>
                <w:u w:val="single"/>
              </w:rPr>
            </w:pPr>
            <w:r w:rsidRPr="00FA3F9C">
              <w:rPr>
                <w:rFonts w:ascii="Arial" w:hAnsi="Arial" w:cs="Arial"/>
                <w:sz w:val="24"/>
                <w:szCs w:val="24"/>
                <w:u w:val="single"/>
              </w:rPr>
              <w:t>Evidence:</w:t>
            </w:r>
          </w:p>
          <w:p w14:paraId="4BB43BA5" w14:textId="77777777" w:rsidR="002641D2" w:rsidRPr="00FA3F9C" w:rsidRDefault="002641D2" w:rsidP="00D939A8">
            <w:pPr>
              <w:rPr>
                <w:rFonts w:ascii="Arial" w:hAnsi="Arial" w:cs="Arial"/>
                <w:sz w:val="24"/>
                <w:szCs w:val="24"/>
              </w:rPr>
            </w:pPr>
            <w:r w:rsidRPr="00FA3F9C">
              <w:rPr>
                <w:rFonts w:ascii="Arial" w:hAnsi="Arial" w:cs="Arial"/>
                <w:sz w:val="24"/>
                <w:szCs w:val="24"/>
              </w:rPr>
              <w:t xml:space="preserve">A randomized, double-blind, double-dummy study compared </w:t>
            </w:r>
            <w:proofErr w:type="spellStart"/>
            <w:r w:rsidRPr="00FA3F9C">
              <w:rPr>
                <w:rFonts w:ascii="Arial" w:hAnsi="Arial" w:cs="Arial"/>
                <w:sz w:val="24"/>
                <w:szCs w:val="24"/>
              </w:rPr>
              <w:t>granisetron</w:t>
            </w:r>
            <w:proofErr w:type="spellEnd"/>
            <w:r w:rsidRPr="00FA3F9C">
              <w:rPr>
                <w:rFonts w:ascii="Arial" w:hAnsi="Arial" w:cs="Arial"/>
                <w:sz w:val="24"/>
                <w:szCs w:val="24"/>
              </w:rPr>
              <w:t xml:space="preserve"> patch to oral </w:t>
            </w:r>
            <w:proofErr w:type="spellStart"/>
            <w:r w:rsidRPr="00FA3F9C">
              <w:rPr>
                <w:rFonts w:ascii="Arial" w:hAnsi="Arial" w:cs="Arial"/>
                <w:sz w:val="24"/>
                <w:szCs w:val="24"/>
              </w:rPr>
              <w:t>granisetron</w:t>
            </w:r>
            <w:proofErr w:type="spellEnd"/>
            <w:r w:rsidRPr="00FA3F9C">
              <w:rPr>
                <w:rFonts w:ascii="Arial" w:hAnsi="Arial" w:cs="Arial"/>
                <w:sz w:val="24"/>
                <w:szCs w:val="24"/>
              </w:rPr>
              <w:t xml:space="preserve"> (given daily) in patients receiving multi-day chemotherapy (highly or moderately emetogenic) found the patch to be non-inferior to oral </w:t>
            </w:r>
            <w:proofErr w:type="spellStart"/>
            <w:r w:rsidRPr="00FA3F9C">
              <w:rPr>
                <w:rFonts w:ascii="Arial" w:hAnsi="Arial" w:cs="Arial"/>
                <w:sz w:val="24"/>
                <w:szCs w:val="24"/>
              </w:rPr>
              <w:t>granisetron</w:t>
            </w:r>
            <w:proofErr w:type="spellEnd"/>
            <w:r w:rsidRPr="00FA3F9C">
              <w:rPr>
                <w:rFonts w:ascii="Arial" w:hAnsi="Arial" w:cs="Arial"/>
                <w:sz w:val="24"/>
                <w:szCs w:val="24"/>
              </w:rPr>
              <w:t xml:space="preserve"> for prevention of chemotherapy-induced nausea and vomiting (CINV) during chemotherapy and within 24 </w:t>
            </w:r>
            <w:proofErr w:type="spellStart"/>
            <w:r w:rsidRPr="00FA3F9C">
              <w:rPr>
                <w:rFonts w:ascii="Arial" w:hAnsi="Arial" w:cs="Arial"/>
                <w:sz w:val="24"/>
                <w:szCs w:val="24"/>
              </w:rPr>
              <w:t>hrs</w:t>
            </w:r>
            <w:proofErr w:type="spellEnd"/>
            <w:r w:rsidRPr="00FA3F9C">
              <w:rPr>
                <w:rFonts w:ascii="Arial" w:hAnsi="Arial" w:cs="Arial"/>
                <w:sz w:val="24"/>
                <w:szCs w:val="24"/>
              </w:rPr>
              <w:t xml:space="preserve"> after last dose of chemotherapy.</w:t>
            </w:r>
            <w:r w:rsidRPr="00FA3F9C">
              <w:rPr>
                <w:rFonts w:ascii="Arial" w:hAnsi="Arial" w:cs="Arial"/>
                <w:sz w:val="24"/>
                <w:szCs w:val="24"/>
                <w:vertAlign w:val="superscript"/>
              </w:rPr>
              <w:t>1</w:t>
            </w:r>
          </w:p>
          <w:p w14:paraId="5C6105A1" w14:textId="77777777" w:rsidR="002641D2" w:rsidRPr="00FA3F9C" w:rsidRDefault="002641D2" w:rsidP="00D939A8">
            <w:pPr>
              <w:rPr>
                <w:rFonts w:ascii="Arial" w:hAnsi="Arial" w:cs="Arial"/>
                <w:sz w:val="24"/>
                <w:szCs w:val="24"/>
              </w:rPr>
            </w:pPr>
          </w:p>
          <w:p w14:paraId="1121CAE2" w14:textId="77777777" w:rsidR="002641D2" w:rsidRPr="00FA3F9C" w:rsidRDefault="002641D2" w:rsidP="00D939A8">
            <w:pPr>
              <w:rPr>
                <w:rFonts w:ascii="Arial" w:hAnsi="Arial" w:cs="Arial"/>
                <w:sz w:val="24"/>
                <w:szCs w:val="24"/>
              </w:rPr>
            </w:pPr>
            <w:r w:rsidRPr="00FA3F9C">
              <w:rPr>
                <w:rFonts w:ascii="Arial" w:hAnsi="Arial" w:cs="Arial"/>
                <w:sz w:val="24"/>
                <w:szCs w:val="24"/>
              </w:rPr>
              <w:t xml:space="preserve">Another trial compared </w:t>
            </w:r>
            <w:proofErr w:type="spellStart"/>
            <w:r w:rsidRPr="00FA3F9C">
              <w:rPr>
                <w:rFonts w:ascii="Arial" w:hAnsi="Arial" w:cs="Arial"/>
                <w:sz w:val="24"/>
                <w:szCs w:val="24"/>
              </w:rPr>
              <w:t>granisetron</w:t>
            </w:r>
            <w:proofErr w:type="spellEnd"/>
            <w:r w:rsidRPr="00FA3F9C">
              <w:rPr>
                <w:rFonts w:ascii="Arial" w:hAnsi="Arial" w:cs="Arial"/>
                <w:sz w:val="24"/>
                <w:szCs w:val="24"/>
              </w:rPr>
              <w:t xml:space="preserve"> patch to palonosetron in patients receiving moderately emetogenic chemotherapy and found the patch to be non-inferior to palonosetron for prevention of </w:t>
            </w:r>
            <w:r w:rsidRPr="00FA3F9C">
              <w:rPr>
                <w:rFonts w:ascii="Arial" w:hAnsi="Arial" w:cs="Arial"/>
                <w:i/>
                <w:sz w:val="24"/>
                <w:szCs w:val="24"/>
              </w:rPr>
              <w:t>acute</w:t>
            </w:r>
            <w:r w:rsidRPr="00FA3F9C">
              <w:rPr>
                <w:rFonts w:ascii="Arial" w:hAnsi="Arial" w:cs="Arial"/>
                <w:sz w:val="24"/>
                <w:szCs w:val="24"/>
              </w:rPr>
              <w:t xml:space="preserve"> CINV.</w:t>
            </w:r>
            <w:r w:rsidRPr="00FA3F9C">
              <w:rPr>
                <w:rFonts w:ascii="Arial" w:hAnsi="Arial" w:cs="Arial"/>
                <w:sz w:val="24"/>
                <w:szCs w:val="24"/>
                <w:vertAlign w:val="superscript"/>
              </w:rPr>
              <w:t>2</w:t>
            </w:r>
          </w:p>
          <w:p w14:paraId="5870E7F6" w14:textId="77777777" w:rsidR="002641D2" w:rsidRPr="00FA3F9C" w:rsidRDefault="002641D2" w:rsidP="00D939A8">
            <w:pPr>
              <w:rPr>
                <w:rFonts w:ascii="Arial" w:hAnsi="Arial" w:cs="Arial"/>
                <w:sz w:val="24"/>
                <w:szCs w:val="24"/>
              </w:rPr>
            </w:pPr>
          </w:p>
          <w:p w14:paraId="7E7FBA7B" w14:textId="77777777" w:rsidR="002641D2" w:rsidRPr="00FA3F9C" w:rsidRDefault="002641D2" w:rsidP="00892ACE">
            <w:pPr>
              <w:ind w:left="157" w:hanging="157"/>
              <w:rPr>
                <w:rFonts w:ascii="Arial" w:hAnsi="Arial" w:cs="Arial"/>
                <w:sz w:val="24"/>
                <w:szCs w:val="24"/>
              </w:rPr>
            </w:pPr>
            <w:r w:rsidRPr="00FA3F9C">
              <w:rPr>
                <w:rFonts w:ascii="Arial" w:hAnsi="Arial" w:cs="Arial"/>
                <w:sz w:val="24"/>
                <w:szCs w:val="24"/>
              </w:rPr>
              <w:t>References:</w:t>
            </w:r>
          </w:p>
          <w:p w14:paraId="0521F307" w14:textId="77777777" w:rsidR="002641D2" w:rsidRPr="00FA3F9C" w:rsidRDefault="002641D2" w:rsidP="002641D2">
            <w:pPr>
              <w:pStyle w:val="ListParagraph"/>
              <w:numPr>
                <w:ilvl w:val="0"/>
                <w:numId w:val="231"/>
              </w:numPr>
              <w:ind w:left="157" w:hanging="157"/>
              <w:rPr>
                <w:rFonts w:ascii="Arial" w:hAnsi="Arial" w:cs="Arial"/>
                <w:sz w:val="24"/>
                <w:szCs w:val="24"/>
              </w:rPr>
            </w:pPr>
            <w:r w:rsidRPr="00FA3F9C">
              <w:rPr>
                <w:rFonts w:ascii="Arial" w:hAnsi="Arial" w:cs="Arial"/>
                <w:sz w:val="24"/>
                <w:szCs w:val="24"/>
              </w:rPr>
              <w:t xml:space="preserve">Boccia RV et al. Efficacy and tolerability of transdermal </w:t>
            </w:r>
            <w:proofErr w:type="spellStart"/>
            <w:r w:rsidRPr="00FA3F9C">
              <w:rPr>
                <w:rFonts w:ascii="Arial" w:hAnsi="Arial" w:cs="Arial"/>
                <w:sz w:val="24"/>
                <w:szCs w:val="24"/>
              </w:rPr>
              <w:t>granisetron</w:t>
            </w:r>
            <w:proofErr w:type="spellEnd"/>
            <w:r w:rsidRPr="00FA3F9C">
              <w:rPr>
                <w:rFonts w:ascii="Arial" w:hAnsi="Arial" w:cs="Arial"/>
                <w:sz w:val="24"/>
                <w:szCs w:val="24"/>
              </w:rPr>
              <w:t xml:space="preserve"> for the control of chemotherapy-induced nausea and vomiting associated with moderately and highly emetogenic multi-day chemotherapy: a randomized, double-blind, phase III study. Support Care Cancer. 2011 Oct;19(10):1609-17. PMID 20835873</w:t>
            </w:r>
          </w:p>
          <w:p w14:paraId="02750E37" w14:textId="77777777" w:rsidR="002641D2" w:rsidRPr="00FA3F9C" w:rsidRDefault="002641D2" w:rsidP="002641D2">
            <w:pPr>
              <w:pStyle w:val="ListParagraph"/>
              <w:numPr>
                <w:ilvl w:val="0"/>
                <w:numId w:val="231"/>
              </w:numPr>
              <w:ind w:left="157" w:hanging="157"/>
              <w:rPr>
                <w:rFonts w:ascii="Arial" w:hAnsi="Arial" w:cs="Arial"/>
                <w:sz w:val="24"/>
                <w:szCs w:val="24"/>
              </w:rPr>
            </w:pPr>
            <w:proofErr w:type="spellStart"/>
            <w:r w:rsidRPr="00FA3F9C">
              <w:rPr>
                <w:rFonts w:ascii="Arial" w:hAnsi="Arial" w:cs="Arial"/>
                <w:sz w:val="24"/>
                <w:szCs w:val="24"/>
              </w:rPr>
              <w:t>Seol</w:t>
            </w:r>
            <w:proofErr w:type="spellEnd"/>
            <w:r w:rsidRPr="00FA3F9C">
              <w:rPr>
                <w:rFonts w:ascii="Arial" w:hAnsi="Arial" w:cs="Arial"/>
                <w:sz w:val="24"/>
                <w:szCs w:val="24"/>
              </w:rPr>
              <w:t xml:space="preserve"> YM et al. Transdermal </w:t>
            </w:r>
            <w:proofErr w:type="spellStart"/>
            <w:r w:rsidRPr="00FA3F9C">
              <w:rPr>
                <w:rFonts w:ascii="Arial" w:hAnsi="Arial" w:cs="Arial"/>
                <w:sz w:val="24"/>
                <w:szCs w:val="24"/>
              </w:rPr>
              <w:t>granisetron</w:t>
            </w:r>
            <w:proofErr w:type="spellEnd"/>
            <w:r w:rsidRPr="00FA3F9C">
              <w:rPr>
                <w:rFonts w:ascii="Arial" w:hAnsi="Arial" w:cs="Arial"/>
                <w:sz w:val="24"/>
                <w:szCs w:val="24"/>
              </w:rPr>
              <w:t xml:space="preserve"> versus palonosetron for prevention of chemotherapy-induced nausea and vomiting following moderately emetogenic chemotherapy: a multicenter, randomized, open-label, cross-over, active-controlled, and phase IV study. Support Care Cancer. 2016 Feb;24(2):945-952. PMID 26265119</w:t>
            </w:r>
          </w:p>
        </w:tc>
      </w:tr>
    </w:tbl>
    <w:p w14:paraId="5A08764E" w14:textId="77777777" w:rsidR="002641D2" w:rsidRPr="00FA3F9C" w:rsidRDefault="002641D2" w:rsidP="006F623F">
      <w:pPr>
        <w:spacing w:after="0"/>
        <w:rPr>
          <w:rFonts w:ascii="Arial" w:hAnsi="Arial" w:cs="Arial"/>
          <w:b/>
          <w:sz w:val="24"/>
          <w:szCs w:val="24"/>
          <w:u w:val="single"/>
        </w:rPr>
      </w:pPr>
    </w:p>
    <w:p w14:paraId="11AF712B" w14:textId="77777777" w:rsidR="002641D2" w:rsidRPr="00FA3F9C" w:rsidRDefault="002641D2" w:rsidP="006F623F">
      <w:pPr>
        <w:spacing w:after="0"/>
        <w:rPr>
          <w:rFonts w:ascii="Arial" w:hAnsi="Arial" w:cs="Arial"/>
          <w:sz w:val="24"/>
          <w:szCs w:val="24"/>
        </w:rPr>
      </w:pPr>
    </w:p>
    <w:p w14:paraId="12954881" w14:textId="77777777" w:rsidR="002641D2" w:rsidRPr="00FA3F9C" w:rsidRDefault="002641D2" w:rsidP="006F623F">
      <w:pPr>
        <w:spacing w:after="0"/>
        <w:rPr>
          <w:rFonts w:ascii="Arial" w:hAnsi="Arial" w:cs="Arial"/>
          <w:sz w:val="24"/>
          <w:szCs w:val="24"/>
        </w:rPr>
      </w:pPr>
    </w:p>
    <w:p w14:paraId="040B3417" w14:textId="77777777" w:rsidR="002641D2" w:rsidRPr="00FA3F9C" w:rsidRDefault="002641D2"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284"/>
        <w:gridCol w:w="7470"/>
        <w:gridCol w:w="2538"/>
      </w:tblGrid>
      <w:tr w:rsidR="002641D2" w:rsidRPr="00FA3F9C" w14:paraId="17B3D72D" w14:textId="77777777" w:rsidTr="00FE491B">
        <w:tc>
          <w:tcPr>
            <w:tcW w:w="1008" w:type="dxa"/>
          </w:tcPr>
          <w:p w14:paraId="3CDA04D0" w14:textId="77777777" w:rsidR="002641D2" w:rsidRPr="00FA3F9C" w:rsidRDefault="002641D2" w:rsidP="006F623F">
            <w:pPr>
              <w:rPr>
                <w:rFonts w:ascii="Arial" w:hAnsi="Arial" w:cs="Arial"/>
                <w:sz w:val="24"/>
                <w:szCs w:val="24"/>
              </w:rPr>
            </w:pPr>
            <w:r w:rsidRPr="00FA3F9C">
              <w:rPr>
                <w:rFonts w:ascii="Arial" w:hAnsi="Arial" w:cs="Arial"/>
                <w:sz w:val="24"/>
                <w:szCs w:val="24"/>
              </w:rPr>
              <w:t>Date</w:t>
            </w:r>
          </w:p>
        </w:tc>
        <w:tc>
          <w:tcPr>
            <w:tcW w:w="7470" w:type="dxa"/>
          </w:tcPr>
          <w:p w14:paraId="12F76AB8" w14:textId="77777777" w:rsidR="002641D2" w:rsidRPr="00FA3F9C" w:rsidRDefault="002641D2" w:rsidP="006F623F">
            <w:pPr>
              <w:rPr>
                <w:rFonts w:ascii="Arial" w:hAnsi="Arial" w:cs="Arial"/>
                <w:sz w:val="24"/>
                <w:szCs w:val="24"/>
              </w:rPr>
            </w:pPr>
            <w:r w:rsidRPr="00FA3F9C">
              <w:rPr>
                <w:rFonts w:ascii="Arial" w:hAnsi="Arial" w:cs="Arial"/>
                <w:sz w:val="24"/>
                <w:szCs w:val="24"/>
              </w:rPr>
              <w:t>What changed</w:t>
            </w:r>
          </w:p>
        </w:tc>
        <w:tc>
          <w:tcPr>
            <w:tcW w:w="2538" w:type="dxa"/>
          </w:tcPr>
          <w:p w14:paraId="38C5CF70" w14:textId="77777777" w:rsidR="002641D2" w:rsidRPr="00FA3F9C" w:rsidRDefault="002641D2" w:rsidP="006F623F">
            <w:pPr>
              <w:rPr>
                <w:rFonts w:ascii="Arial" w:hAnsi="Arial" w:cs="Arial"/>
                <w:sz w:val="24"/>
                <w:szCs w:val="24"/>
              </w:rPr>
            </w:pPr>
            <w:r w:rsidRPr="00FA3F9C">
              <w:rPr>
                <w:rFonts w:ascii="Arial" w:hAnsi="Arial" w:cs="Arial"/>
                <w:sz w:val="24"/>
                <w:szCs w:val="24"/>
              </w:rPr>
              <w:t>Pharmacist’s initials</w:t>
            </w:r>
          </w:p>
        </w:tc>
      </w:tr>
      <w:tr w:rsidR="002641D2" w:rsidRPr="00FA3F9C" w14:paraId="03417509" w14:textId="77777777" w:rsidTr="00FE491B">
        <w:tc>
          <w:tcPr>
            <w:tcW w:w="1008" w:type="dxa"/>
          </w:tcPr>
          <w:p w14:paraId="6952AADE" w14:textId="77777777" w:rsidR="002641D2" w:rsidRPr="00FA3F9C" w:rsidRDefault="002641D2" w:rsidP="006F623F">
            <w:pPr>
              <w:rPr>
                <w:rFonts w:ascii="Arial" w:hAnsi="Arial" w:cs="Arial"/>
                <w:sz w:val="24"/>
                <w:szCs w:val="24"/>
              </w:rPr>
            </w:pPr>
            <w:r w:rsidRPr="00FA3F9C">
              <w:rPr>
                <w:rFonts w:ascii="Arial" w:hAnsi="Arial" w:cs="Arial"/>
                <w:sz w:val="24"/>
                <w:szCs w:val="24"/>
              </w:rPr>
              <w:t>5/20/19</w:t>
            </w:r>
          </w:p>
        </w:tc>
        <w:tc>
          <w:tcPr>
            <w:tcW w:w="7470" w:type="dxa"/>
          </w:tcPr>
          <w:p w14:paraId="2371F877" w14:textId="77777777" w:rsidR="002641D2" w:rsidRPr="00FA3F9C" w:rsidRDefault="002641D2" w:rsidP="006F623F">
            <w:pPr>
              <w:rPr>
                <w:rFonts w:ascii="Arial" w:hAnsi="Arial" w:cs="Arial"/>
                <w:sz w:val="24"/>
                <w:szCs w:val="24"/>
              </w:rPr>
            </w:pPr>
            <w:r w:rsidRPr="00FA3F9C">
              <w:rPr>
                <w:rFonts w:ascii="Arial" w:hAnsi="Arial" w:cs="Arial"/>
                <w:sz w:val="24"/>
                <w:szCs w:val="24"/>
              </w:rPr>
              <w:t>Criteria written</w:t>
            </w:r>
          </w:p>
        </w:tc>
        <w:tc>
          <w:tcPr>
            <w:tcW w:w="2538" w:type="dxa"/>
          </w:tcPr>
          <w:p w14:paraId="6655C3B2" w14:textId="77777777" w:rsidR="002641D2" w:rsidRPr="00FA3F9C" w:rsidRDefault="002641D2" w:rsidP="006F623F">
            <w:pPr>
              <w:rPr>
                <w:rFonts w:ascii="Arial" w:hAnsi="Arial" w:cs="Arial"/>
                <w:sz w:val="24"/>
                <w:szCs w:val="24"/>
              </w:rPr>
            </w:pPr>
            <w:r w:rsidRPr="00FA3F9C">
              <w:rPr>
                <w:rFonts w:ascii="Arial" w:hAnsi="Arial" w:cs="Arial"/>
                <w:sz w:val="24"/>
                <w:szCs w:val="24"/>
              </w:rPr>
              <w:t>SK</w:t>
            </w:r>
          </w:p>
        </w:tc>
      </w:tr>
      <w:tr w:rsidR="002641D2" w:rsidRPr="00FA3F9C" w14:paraId="42AAF4AB" w14:textId="77777777" w:rsidTr="00FE491B">
        <w:tc>
          <w:tcPr>
            <w:tcW w:w="1008" w:type="dxa"/>
          </w:tcPr>
          <w:p w14:paraId="013386EE" w14:textId="77777777" w:rsidR="002641D2" w:rsidRPr="00FA3F9C" w:rsidRDefault="002641D2" w:rsidP="006F623F">
            <w:pPr>
              <w:rPr>
                <w:rFonts w:ascii="Arial" w:hAnsi="Arial" w:cs="Arial"/>
                <w:sz w:val="24"/>
                <w:szCs w:val="24"/>
              </w:rPr>
            </w:pPr>
            <w:r w:rsidRPr="00FA3F9C">
              <w:rPr>
                <w:rFonts w:ascii="Arial" w:hAnsi="Arial" w:cs="Arial"/>
                <w:sz w:val="24"/>
                <w:szCs w:val="24"/>
              </w:rPr>
              <w:t>11/25/19</w:t>
            </w:r>
          </w:p>
        </w:tc>
        <w:tc>
          <w:tcPr>
            <w:tcW w:w="7470" w:type="dxa"/>
          </w:tcPr>
          <w:p w14:paraId="30CC15D5" w14:textId="77777777" w:rsidR="002641D2" w:rsidRPr="00FA3F9C" w:rsidRDefault="002641D2" w:rsidP="00CD1BA4">
            <w:pPr>
              <w:rPr>
                <w:rFonts w:ascii="Arial" w:hAnsi="Arial" w:cs="Arial"/>
                <w:sz w:val="24"/>
                <w:szCs w:val="24"/>
              </w:rPr>
            </w:pPr>
            <w:r w:rsidRPr="00FA3F9C">
              <w:rPr>
                <w:rFonts w:ascii="Arial" w:hAnsi="Arial" w:cs="Arial"/>
                <w:sz w:val="24"/>
                <w:szCs w:val="24"/>
              </w:rPr>
              <w:t>Added requirement for chart documentation of failure of oral 5HT antagonist and/or palonosetron</w:t>
            </w:r>
          </w:p>
        </w:tc>
        <w:tc>
          <w:tcPr>
            <w:tcW w:w="2538" w:type="dxa"/>
          </w:tcPr>
          <w:p w14:paraId="206E4DCA" w14:textId="77777777" w:rsidR="002641D2" w:rsidRPr="00FA3F9C" w:rsidRDefault="002641D2" w:rsidP="006F623F">
            <w:pPr>
              <w:rPr>
                <w:rFonts w:ascii="Arial" w:hAnsi="Arial" w:cs="Arial"/>
                <w:sz w:val="24"/>
                <w:szCs w:val="24"/>
              </w:rPr>
            </w:pPr>
            <w:r w:rsidRPr="00FA3F9C">
              <w:rPr>
                <w:rFonts w:ascii="Arial" w:hAnsi="Arial" w:cs="Arial"/>
                <w:sz w:val="24"/>
                <w:szCs w:val="24"/>
              </w:rPr>
              <w:t>SK</w:t>
            </w:r>
          </w:p>
        </w:tc>
      </w:tr>
      <w:tr w:rsidR="002641D2" w:rsidRPr="00FA3F9C" w14:paraId="601F9EB3" w14:textId="77777777" w:rsidTr="00FE491B">
        <w:tc>
          <w:tcPr>
            <w:tcW w:w="1008" w:type="dxa"/>
          </w:tcPr>
          <w:p w14:paraId="337921BF" w14:textId="77777777" w:rsidR="002641D2" w:rsidRPr="00FA3F9C" w:rsidRDefault="002641D2" w:rsidP="006F623F">
            <w:pPr>
              <w:rPr>
                <w:rFonts w:ascii="Arial" w:hAnsi="Arial" w:cs="Arial"/>
                <w:sz w:val="24"/>
                <w:szCs w:val="24"/>
              </w:rPr>
            </w:pPr>
            <w:r w:rsidRPr="00FA3F9C">
              <w:rPr>
                <w:rFonts w:ascii="Arial" w:hAnsi="Arial" w:cs="Arial"/>
                <w:sz w:val="24"/>
                <w:szCs w:val="24"/>
              </w:rPr>
              <w:t>3/29/2021</w:t>
            </w:r>
          </w:p>
        </w:tc>
        <w:tc>
          <w:tcPr>
            <w:tcW w:w="7470" w:type="dxa"/>
          </w:tcPr>
          <w:p w14:paraId="49106178" w14:textId="77777777" w:rsidR="002641D2" w:rsidRPr="00FA3F9C" w:rsidRDefault="002641D2" w:rsidP="00CD1BA4">
            <w:pPr>
              <w:rPr>
                <w:rFonts w:ascii="Arial" w:hAnsi="Arial" w:cs="Arial"/>
                <w:sz w:val="24"/>
                <w:szCs w:val="24"/>
              </w:rPr>
            </w:pPr>
            <w:r w:rsidRPr="00FA3F9C">
              <w:rPr>
                <w:rFonts w:ascii="Arial" w:hAnsi="Arial" w:cs="Arial"/>
                <w:sz w:val="24"/>
                <w:szCs w:val="24"/>
              </w:rPr>
              <w:t>Criteria reviewed. No changes</w:t>
            </w:r>
          </w:p>
        </w:tc>
        <w:tc>
          <w:tcPr>
            <w:tcW w:w="2538" w:type="dxa"/>
          </w:tcPr>
          <w:p w14:paraId="14782492" w14:textId="77777777" w:rsidR="002641D2" w:rsidRPr="00FA3F9C" w:rsidRDefault="002641D2" w:rsidP="006F623F">
            <w:pPr>
              <w:rPr>
                <w:rFonts w:ascii="Arial" w:hAnsi="Arial" w:cs="Arial"/>
                <w:sz w:val="24"/>
                <w:szCs w:val="24"/>
              </w:rPr>
            </w:pPr>
            <w:r w:rsidRPr="00FA3F9C">
              <w:rPr>
                <w:rFonts w:ascii="Arial" w:hAnsi="Arial" w:cs="Arial"/>
                <w:sz w:val="24"/>
                <w:szCs w:val="24"/>
              </w:rPr>
              <w:t>SK</w:t>
            </w:r>
          </w:p>
        </w:tc>
      </w:tr>
    </w:tbl>
    <w:p w14:paraId="38181291" w14:textId="77777777" w:rsidR="002641D2" w:rsidRPr="00FA3F9C" w:rsidRDefault="002641D2" w:rsidP="006F623F">
      <w:pPr>
        <w:spacing w:after="0"/>
        <w:rPr>
          <w:rFonts w:ascii="Arial" w:hAnsi="Arial" w:cs="Arial"/>
          <w:sz w:val="24"/>
          <w:szCs w:val="24"/>
        </w:rPr>
      </w:pPr>
    </w:p>
    <w:p w14:paraId="4B72621D" w14:textId="77777777" w:rsidR="002641D2" w:rsidRPr="00FA3F9C" w:rsidRDefault="002641D2" w:rsidP="005E2908">
      <w:pPr>
        <w:pStyle w:val="Heading2"/>
      </w:pPr>
      <w:r w:rsidRPr="00FA3F9C">
        <w:br/>
      </w:r>
      <w:bookmarkStart w:id="133" w:name="_Toc106369816"/>
      <w:r w:rsidRPr="00FA3F9C">
        <w:t>Recombinant Human Growth Hormone (</w:t>
      </w:r>
      <w:proofErr w:type="spellStart"/>
      <w:r w:rsidRPr="00FA3F9C">
        <w:t>Norditropin</w:t>
      </w:r>
      <w:proofErr w:type="spellEnd"/>
      <w:r w:rsidRPr="00FA3F9C">
        <w:t>)</w:t>
      </w:r>
      <w:bookmarkEnd w:id="133"/>
      <w:r w:rsidRPr="00FA3F9C">
        <w:t xml:space="preserve"> </w:t>
      </w:r>
    </w:p>
    <w:p w14:paraId="7E2ACF38" w14:textId="77777777" w:rsidR="002641D2" w:rsidRPr="00FA3F9C" w:rsidRDefault="002641D2" w:rsidP="005A3DC2">
      <w:pPr>
        <w:pStyle w:val="Title"/>
        <w:jc w:val="center"/>
        <w:rPr>
          <w:rFonts w:ascii="Arial" w:hAnsi="Arial" w:cs="Arial"/>
          <w:color w:val="auto"/>
          <w:sz w:val="24"/>
          <w:szCs w:val="24"/>
          <w:lang w:val="en-US"/>
        </w:rPr>
      </w:pPr>
      <w:r w:rsidRPr="00FA3F9C">
        <w:rPr>
          <w:rFonts w:ascii="Arial" w:hAnsi="Arial" w:cs="Arial"/>
          <w:color w:val="auto"/>
          <w:sz w:val="24"/>
          <w:szCs w:val="24"/>
        </w:rPr>
        <w:t>EBRx P</w:t>
      </w:r>
      <w:r w:rsidRPr="00FA3F9C">
        <w:rPr>
          <w:rFonts w:ascii="Arial" w:hAnsi="Arial" w:cs="Arial"/>
          <w:color w:val="auto"/>
          <w:sz w:val="24"/>
          <w:szCs w:val="24"/>
          <w:lang w:val="en-US"/>
        </w:rPr>
        <w:t>A</w:t>
      </w:r>
      <w:r w:rsidRPr="00FA3F9C">
        <w:rPr>
          <w:rFonts w:ascii="Arial" w:hAnsi="Arial" w:cs="Arial"/>
          <w:color w:val="auto"/>
          <w:sz w:val="24"/>
          <w:szCs w:val="24"/>
        </w:rPr>
        <w:t xml:space="preserve"> Criteria</w:t>
      </w:r>
    </w:p>
    <w:p w14:paraId="4B5C8BA2" w14:textId="77777777" w:rsidR="002641D2" w:rsidRPr="00FA3F9C" w:rsidRDefault="002641D2" w:rsidP="00872B07">
      <w:pPr>
        <w:jc w:val="center"/>
        <w:rPr>
          <w:rFonts w:ascii="Arial" w:hAnsi="Arial" w:cs="Arial"/>
          <w:b/>
          <w:sz w:val="24"/>
          <w:szCs w:val="24"/>
        </w:rPr>
      </w:pPr>
      <w:r w:rsidRPr="00FA3F9C">
        <w:rPr>
          <w:rFonts w:ascii="Arial" w:hAnsi="Arial" w:cs="Arial"/>
          <w:b/>
          <w:sz w:val="24"/>
          <w:szCs w:val="24"/>
          <w:highlight w:val="lightGray"/>
        </w:rPr>
        <w:t>Gray</w:t>
      </w:r>
      <w:r w:rsidRPr="00FA3F9C">
        <w:rPr>
          <w:rFonts w:ascii="Arial" w:hAnsi="Arial" w:cs="Arial"/>
          <w:b/>
          <w:sz w:val="24"/>
          <w:szCs w:val="24"/>
        </w:rPr>
        <w:t xml:space="preserve"> indicates it is NOT COVERED.</w:t>
      </w:r>
    </w:p>
    <w:p w14:paraId="38659C18" w14:textId="77777777" w:rsidR="002641D2" w:rsidRPr="00FA3F9C" w:rsidRDefault="002641D2" w:rsidP="00872B07">
      <w:pPr>
        <w:jc w:val="center"/>
        <w:rPr>
          <w:rFonts w:ascii="Arial" w:hAnsi="Arial" w:cs="Arial"/>
          <w:b/>
          <w:sz w:val="24"/>
          <w:szCs w:val="24"/>
        </w:rPr>
      </w:pPr>
      <w:proofErr w:type="spellStart"/>
      <w:r w:rsidRPr="00FA3F9C">
        <w:rPr>
          <w:rFonts w:ascii="Arial" w:hAnsi="Arial" w:cs="Arial"/>
          <w:b/>
          <w:sz w:val="24"/>
          <w:szCs w:val="24"/>
        </w:rPr>
        <w:t>Norditropin</w:t>
      </w:r>
      <w:proofErr w:type="spellEnd"/>
      <w:r w:rsidRPr="00FA3F9C">
        <w:rPr>
          <w:rFonts w:ascii="Arial" w:hAnsi="Arial" w:cs="Arial"/>
          <w:b/>
          <w:sz w:val="24"/>
          <w:szCs w:val="24"/>
        </w:rPr>
        <w:t xml:space="preserve">--EBD, </w:t>
      </w:r>
      <w:r w:rsidRPr="00FA3F9C">
        <w:rPr>
          <w:rFonts w:ascii="Arial" w:hAnsi="Arial" w:cs="Arial"/>
          <w:b/>
          <w:sz w:val="24"/>
          <w:szCs w:val="24"/>
          <w:highlight w:val="lightGray"/>
        </w:rPr>
        <w:t xml:space="preserve">Genotropin, </w:t>
      </w:r>
      <w:proofErr w:type="spellStart"/>
      <w:r w:rsidRPr="00FA3F9C">
        <w:rPr>
          <w:rFonts w:ascii="Arial" w:hAnsi="Arial" w:cs="Arial"/>
          <w:b/>
          <w:sz w:val="24"/>
          <w:szCs w:val="24"/>
          <w:highlight w:val="lightGray"/>
        </w:rPr>
        <w:t>Nutropin</w:t>
      </w:r>
      <w:proofErr w:type="spellEnd"/>
      <w:r w:rsidRPr="00FA3F9C">
        <w:rPr>
          <w:rFonts w:ascii="Arial" w:hAnsi="Arial" w:cs="Arial"/>
          <w:b/>
          <w:sz w:val="24"/>
          <w:szCs w:val="24"/>
          <w:highlight w:val="lightGray"/>
        </w:rPr>
        <w:t xml:space="preserve">, </w:t>
      </w:r>
      <w:proofErr w:type="spellStart"/>
      <w:r w:rsidRPr="00FA3F9C">
        <w:rPr>
          <w:rFonts w:ascii="Arial" w:hAnsi="Arial" w:cs="Arial"/>
          <w:b/>
          <w:sz w:val="24"/>
          <w:szCs w:val="24"/>
          <w:highlight w:val="lightGray"/>
        </w:rPr>
        <w:t>Humatrope</w:t>
      </w:r>
      <w:proofErr w:type="spellEnd"/>
      <w:r w:rsidRPr="00FA3F9C">
        <w:rPr>
          <w:rFonts w:ascii="Arial" w:hAnsi="Arial" w:cs="Arial"/>
          <w:b/>
          <w:sz w:val="24"/>
          <w:szCs w:val="24"/>
          <w:highlight w:val="lightGray"/>
        </w:rPr>
        <w:t xml:space="preserve">, </w:t>
      </w:r>
      <w:proofErr w:type="spellStart"/>
      <w:r w:rsidRPr="00FA3F9C">
        <w:rPr>
          <w:rFonts w:ascii="Arial" w:hAnsi="Arial" w:cs="Arial"/>
          <w:b/>
          <w:sz w:val="24"/>
          <w:szCs w:val="24"/>
        </w:rPr>
        <w:t>Omnitrope</w:t>
      </w:r>
      <w:proofErr w:type="spellEnd"/>
      <w:r w:rsidRPr="00FA3F9C">
        <w:rPr>
          <w:rFonts w:ascii="Arial" w:hAnsi="Arial" w:cs="Arial"/>
          <w:b/>
          <w:sz w:val="24"/>
          <w:szCs w:val="24"/>
        </w:rPr>
        <w:t>--UAS</w:t>
      </w:r>
      <w:r w:rsidRPr="00FA3F9C">
        <w:rPr>
          <w:rFonts w:ascii="Arial" w:hAnsi="Arial" w:cs="Arial"/>
          <w:b/>
          <w:sz w:val="24"/>
          <w:szCs w:val="24"/>
          <w:highlight w:val="lightGray"/>
        </w:rPr>
        <w:t xml:space="preserve">, </w:t>
      </w:r>
      <w:proofErr w:type="spellStart"/>
      <w:r w:rsidRPr="00FA3F9C">
        <w:rPr>
          <w:rFonts w:ascii="Arial" w:hAnsi="Arial" w:cs="Arial"/>
          <w:b/>
          <w:sz w:val="24"/>
          <w:szCs w:val="24"/>
          <w:highlight w:val="lightGray"/>
        </w:rPr>
        <w:t>Serostim</w:t>
      </w:r>
      <w:proofErr w:type="spellEnd"/>
      <w:r w:rsidRPr="00FA3F9C">
        <w:rPr>
          <w:rFonts w:ascii="Arial" w:hAnsi="Arial" w:cs="Arial"/>
          <w:b/>
          <w:sz w:val="24"/>
          <w:szCs w:val="24"/>
          <w:highlight w:val="lightGray"/>
        </w:rPr>
        <w:t xml:space="preserve">, </w:t>
      </w:r>
      <w:proofErr w:type="spellStart"/>
      <w:r w:rsidRPr="00FA3F9C">
        <w:rPr>
          <w:rFonts w:ascii="Arial" w:hAnsi="Arial" w:cs="Arial"/>
          <w:b/>
          <w:sz w:val="24"/>
          <w:szCs w:val="24"/>
          <w:highlight w:val="lightGray"/>
        </w:rPr>
        <w:t>Saizen</w:t>
      </w:r>
      <w:proofErr w:type="spellEnd"/>
      <w:r w:rsidRPr="00FA3F9C">
        <w:rPr>
          <w:rFonts w:ascii="Arial" w:hAnsi="Arial" w:cs="Arial"/>
          <w:b/>
          <w:sz w:val="24"/>
          <w:szCs w:val="24"/>
          <w:highlight w:val="lightGray"/>
        </w:rPr>
        <w:t xml:space="preserve">, </w:t>
      </w:r>
      <w:proofErr w:type="spellStart"/>
      <w:r w:rsidRPr="00FA3F9C">
        <w:rPr>
          <w:rFonts w:ascii="Arial" w:hAnsi="Arial" w:cs="Arial"/>
          <w:b/>
          <w:sz w:val="24"/>
          <w:szCs w:val="24"/>
          <w:highlight w:val="lightGray"/>
        </w:rPr>
        <w:t>Tev-Tropin</w:t>
      </w:r>
      <w:proofErr w:type="spellEnd"/>
      <w:r w:rsidRPr="00FA3F9C">
        <w:rPr>
          <w:rFonts w:ascii="Arial" w:hAnsi="Arial" w:cs="Arial"/>
          <w:b/>
          <w:sz w:val="24"/>
          <w:szCs w:val="24"/>
          <w:highlight w:val="lightGray"/>
        </w:rPr>
        <w:t xml:space="preserve">, </w:t>
      </w:r>
      <w:proofErr w:type="spellStart"/>
      <w:r w:rsidRPr="00FA3F9C">
        <w:rPr>
          <w:rFonts w:ascii="Arial" w:hAnsi="Arial" w:cs="Arial"/>
          <w:b/>
          <w:sz w:val="24"/>
          <w:szCs w:val="24"/>
          <w:highlight w:val="lightGray"/>
        </w:rPr>
        <w:t>Zorbitive</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8"/>
        <w:gridCol w:w="2628"/>
      </w:tblGrid>
      <w:tr w:rsidR="002641D2" w:rsidRPr="00FA3F9C" w14:paraId="217F9854" w14:textId="77777777" w:rsidTr="00BD30E5">
        <w:trPr>
          <w:trHeight w:val="413"/>
        </w:trPr>
        <w:tc>
          <w:tcPr>
            <w:tcW w:w="8388" w:type="dxa"/>
            <w:shd w:val="clear" w:color="auto" w:fill="C6D9F1"/>
            <w:vAlign w:val="center"/>
          </w:tcPr>
          <w:p w14:paraId="2D22212F" w14:textId="77777777" w:rsidR="002641D2" w:rsidRPr="00FA3F9C" w:rsidRDefault="002641D2" w:rsidP="004E2250">
            <w:pPr>
              <w:spacing w:after="0" w:line="240" w:lineRule="auto"/>
              <w:jc w:val="center"/>
              <w:rPr>
                <w:rFonts w:ascii="Arial" w:hAnsi="Arial" w:cs="Arial"/>
                <w:sz w:val="24"/>
                <w:szCs w:val="24"/>
              </w:rPr>
            </w:pPr>
            <w:r w:rsidRPr="00FA3F9C">
              <w:rPr>
                <w:rFonts w:ascii="Arial" w:hAnsi="Arial" w:cs="Arial"/>
                <w:sz w:val="24"/>
                <w:szCs w:val="24"/>
              </w:rPr>
              <w:t>Indication</w:t>
            </w:r>
          </w:p>
        </w:tc>
        <w:tc>
          <w:tcPr>
            <w:tcW w:w="2628" w:type="dxa"/>
            <w:shd w:val="clear" w:color="auto" w:fill="C6D9F1"/>
            <w:vAlign w:val="bottom"/>
          </w:tcPr>
          <w:p w14:paraId="115FC119" w14:textId="77777777" w:rsidR="002641D2" w:rsidRPr="00FA3F9C" w:rsidRDefault="002641D2" w:rsidP="004E2250">
            <w:pPr>
              <w:spacing w:after="0" w:line="240" w:lineRule="auto"/>
              <w:jc w:val="center"/>
              <w:rPr>
                <w:rFonts w:ascii="Arial" w:hAnsi="Arial" w:cs="Arial"/>
                <w:b/>
                <w:sz w:val="24"/>
                <w:szCs w:val="24"/>
              </w:rPr>
            </w:pPr>
            <w:r w:rsidRPr="00FA3F9C">
              <w:rPr>
                <w:rFonts w:ascii="Arial" w:hAnsi="Arial" w:cs="Arial"/>
                <w:sz w:val="24"/>
                <w:szCs w:val="24"/>
              </w:rPr>
              <w:t>Drug</w:t>
            </w:r>
          </w:p>
        </w:tc>
      </w:tr>
      <w:tr w:rsidR="002641D2" w:rsidRPr="00FA3F9C" w14:paraId="745DCDC0" w14:textId="77777777" w:rsidTr="00BD30E5">
        <w:tc>
          <w:tcPr>
            <w:tcW w:w="8388" w:type="dxa"/>
          </w:tcPr>
          <w:p w14:paraId="3703837E" w14:textId="77777777" w:rsidR="002641D2" w:rsidRPr="00FA3F9C" w:rsidRDefault="002641D2" w:rsidP="004E2250">
            <w:pPr>
              <w:spacing w:after="0" w:line="240" w:lineRule="auto"/>
              <w:rPr>
                <w:rFonts w:ascii="Arial" w:hAnsi="Arial" w:cs="Arial"/>
                <w:b/>
                <w:sz w:val="24"/>
                <w:szCs w:val="24"/>
              </w:rPr>
            </w:pPr>
            <w:r w:rsidRPr="00FA3F9C">
              <w:rPr>
                <w:rFonts w:ascii="Arial" w:hAnsi="Arial" w:cs="Arial"/>
                <w:b/>
                <w:sz w:val="24"/>
                <w:szCs w:val="24"/>
              </w:rPr>
              <w:t>Pediatric:  Growth failure due to inadequate endogenous growth hormone (GH)secretion</w:t>
            </w:r>
          </w:p>
          <w:p w14:paraId="1CD83C5C" w14:textId="77777777" w:rsidR="002641D2" w:rsidRPr="00FA3F9C" w:rsidRDefault="002641D2" w:rsidP="002641D2">
            <w:pPr>
              <w:numPr>
                <w:ilvl w:val="0"/>
                <w:numId w:val="244"/>
              </w:numPr>
              <w:spacing w:after="0" w:line="240" w:lineRule="auto"/>
              <w:rPr>
                <w:rFonts w:ascii="Arial" w:hAnsi="Arial" w:cs="Arial"/>
                <w:b/>
                <w:sz w:val="24"/>
                <w:szCs w:val="24"/>
              </w:rPr>
            </w:pPr>
            <w:r w:rsidRPr="00FA3F9C">
              <w:rPr>
                <w:rFonts w:ascii="Arial" w:hAnsi="Arial" w:cs="Arial"/>
                <w:sz w:val="24"/>
                <w:szCs w:val="24"/>
              </w:rPr>
              <w:t>age &lt; 18</w:t>
            </w:r>
          </w:p>
          <w:p w14:paraId="2E90691E" w14:textId="77777777" w:rsidR="002641D2" w:rsidRPr="00FA3F9C" w:rsidRDefault="002641D2" w:rsidP="002641D2">
            <w:pPr>
              <w:numPr>
                <w:ilvl w:val="0"/>
                <w:numId w:val="244"/>
              </w:numPr>
              <w:spacing w:after="0" w:line="240" w:lineRule="auto"/>
              <w:rPr>
                <w:rFonts w:ascii="Arial" w:hAnsi="Arial" w:cs="Arial"/>
                <w:b/>
                <w:sz w:val="24"/>
                <w:szCs w:val="24"/>
              </w:rPr>
            </w:pPr>
            <w:r w:rsidRPr="00FA3F9C">
              <w:rPr>
                <w:rFonts w:ascii="Arial" w:hAnsi="Arial" w:cs="Arial"/>
                <w:sz w:val="24"/>
                <w:szCs w:val="24"/>
              </w:rPr>
              <w:t>short stature (height less than -2.25 SD for age based on sex specific standards)</w:t>
            </w:r>
          </w:p>
          <w:p w14:paraId="751D799D" w14:textId="77777777" w:rsidR="002641D2" w:rsidRPr="00FA3F9C" w:rsidRDefault="002641D2" w:rsidP="002641D2">
            <w:pPr>
              <w:numPr>
                <w:ilvl w:val="0"/>
                <w:numId w:val="235"/>
              </w:numPr>
              <w:spacing w:after="0" w:line="240" w:lineRule="auto"/>
              <w:rPr>
                <w:rFonts w:ascii="Arial" w:hAnsi="Arial" w:cs="Arial"/>
                <w:b/>
                <w:sz w:val="24"/>
                <w:szCs w:val="24"/>
              </w:rPr>
            </w:pPr>
            <w:r w:rsidRPr="00FA3F9C">
              <w:rPr>
                <w:rFonts w:ascii="Arial" w:hAnsi="Arial" w:cs="Arial"/>
                <w:sz w:val="24"/>
                <w:szCs w:val="24"/>
              </w:rPr>
              <w:t>must confirm GH deficiency with provocative GH stimulation test</w:t>
            </w:r>
          </w:p>
          <w:p w14:paraId="06CF7473" w14:textId="77777777" w:rsidR="002641D2" w:rsidRPr="00FA3F9C" w:rsidRDefault="002641D2" w:rsidP="002641D2">
            <w:pPr>
              <w:numPr>
                <w:ilvl w:val="0"/>
                <w:numId w:val="235"/>
              </w:numPr>
              <w:spacing w:after="0" w:line="240" w:lineRule="auto"/>
              <w:rPr>
                <w:rFonts w:ascii="Arial" w:hAnsi="Arial" w:cs="Arial"/>
                <w:b/>
                <w:sz w:val="24"/>
                <w:szCs w:val="24"/>
              </w:rPr>
            </w:pPr>
            <w:r w:rsidRPr="00FA3F9C">
              <w:rPr>
                <w:rFonts w:ascii="Arial" w:hAnsi="Arial" w:cs="Arial"/>
                <w:sz w:val="24"/>
                <w:szCs w:val="24"/>
              </w:rPr>
              <w:t xml:space="preserve">must have open epiphyses (confirm with x-ray of a long bone) </w:t>
            </w:r>
          </w:p>
          <w:p w14:paraId="5FB30F5B" w14:textId="77777777" w:rsidR="002641D2" w:rsidRPr="00FA3F9C" w:rsidRDefault="002641D2" w:rsidP="00BD30E5">
            <w:pPr>
              <w:spacing w:after="0" w:line="240" w:lineRule="auto"/>
              <w:rPr>
                <w:rFonts w:ascii="Arial" w:hAnsi="Arial" w:cs="Arial"/>
                <w:b/>
                <w:sz w:val="24"/>
                <w:szCs w:val="24"/>
              </w:rPr>
            </w:pPr>
            <w:r w:rsidRPr="00FA3F9C">
              <w:rPr>
                <w:rFonts w:ascii="Arial" w:hAnsi="Arial" w:cs="Arial"/>
                <w:b/>
                <w:i/>
                <w:sz w:val="24"/>
                <w:szCs w:val="24"/>
              </w:rPr>
              <w:t>Approve if patient meets above criteria</w:t>
            </w:r>
            <w:r w:rsidRPr="00FA3F9C">
              <w:rPr>
                <w:rFonts w:ascii="Arial" w:hAnsi="Arial" w:cs="Arial"/>
                <w:b/>
                <w:sz w:val="24"/>
                <w:szCs w:val="24"/>
              </w:rPr>
              <w:t xml:space="preserve"> </w:t>
            </w:r>
          </w:p>
          <w:p w14:paraId="7360FD02" w14:textId="77777777" w:rsidR="002641D2" w:rsidRPr="00FA3F9C" w:rsidRDefault="002641D2" w:rsidP="00BD30E5">
            <w:pPr>
              <w:spacing w:after="0" w:line="240" w:lineRule="auto"/>
              <w:rPr>
                <w:rFonts w:ascii="Arial" w:hAnsi="Arial" w:cs="Arial"/>
                <w:sz w:val="24"/>
                <w:szCs w:val="24"/>
              </w:rPr>
            </w:pPr>
            <w:r w:rsidRPr="00FA3F9C">
              <w:rPr>
                <w:rFonts w:ascii="Arial" w:hAnsi="Arial" w:cs="Arial"/>
                <w:sz w:val="24"/>
                <w:szCs w:val="24"/>
              </w:rPr>
              <w:t xml:space="preserve">*If </w:t>
            </w:r>
            <w:proofErr w:type="spellStart"/>
            <w:r w:rsidRPr="00FA3F9C">
              <w:rPr>
                <w:rFonts w:ascii="Arial" w:hAnsi="Arial" w:cs="Arial"/>
                <w:sz w:val="24"/>
                <w:szCs w:val="24"/>
              </w:rPr>
              <w:t>pt</w:t>
            </w:r>
            <w:proofErr w:type="spellEnd"/>
            <w:r w:rsidRPr="00FA3F9C">
              <w:rPr>
                <w:rFonts w:ascii="Arial" w:hAnsi="Arial" w:cs="Arial"/>
                <w:sz w:val="24"/>
                <w:szCs w:val="24"/>
              </w:rPr>
              <w:t xml:space="preserve"> is &gt;18 </w:t>
            </w:r>
            <w:proofErr w:type="spellStart"/>
            <w:r w:rsidRPr="00FA3F9C">
              <w:rPr>
                <w:rFonts w:ascii="Arial" w:hAnsi="Arial" w:cs="Arial"/>
                <w:sz w:val="24"/>
                <w:szCs w:val="24"/>
              </w:rPr>
              <w:t>yrs</w:t>
            </w:r>
            <w:proofErr w:type="spellEnd"/>
            <w:r w:rsidRPr="00FA3F9C">
              <w:rPr>
                <w:rFonts w:ascii="Arial" w:hAnsi="Arial" w:cs="Arial"/>
                <w:sz w:val="24"/>
                <w:szCs w:val="24"/>
              </w:rPr>
              <w:t>, please see adult criteria below</w:t>
            </w:r>
          </w:p>
        </w:tc>
        <w:tc>
          <w:tcPr>
            <w:tcW w:w="2628" w:type="dxa"/>
          </w:tcPr>
          <w:p w14:paraId="6AD72598" w14:textId="77777777" w:rsidR="002641D2" w:rsidRPr="00FA3F9C" w:rsidRDefault="002641D2" w:rsidP="00B405FF">
            <w:pPr>
              <w:spacing w:after="0" w:line="240" w:lineRule="auto"/>
              <w:rPr>
                <w:rFonts w:ascii="Arial" w:hAnsi="Arial" w:cs="Arial"/>
                <w:sz w:val="24"/>
                <w:szCs w:val="24"/>
              </w:rPr>
            </w:pPr>
            <w:r w:rsidRPr="00FA3F9C">
              <w:rPr>
                <w:rFonts w:ascii="Arial" w:hAnsi="Arial" w:cs="Arial"/>
                <w:sz w:val="24"/>
                <w:szCs w:val="24"/>
              </w:rPr>
              <w:sym w:font="Symbol" w:char="F0A0"/>
            </w:r>
            <w:r w:rsidRPr="00FA3F9C">
              <w:rPr>
                <w:rFonts w:ascii="Arial" w:hAnsi="Arial" w:cs="Arial"/>
                <w:sz w:val="24"/>
                <w:szCs w:val="24"/>
              </w:rPr>
              <w:t xml:space="preserve"> </w:t>
            </w:r>
            <w:proofErr w:type="spellStart"/>
            <w:r w:rsidRPr="00FA3F9C">
              <w:rPr>
                <w:rFonts w:ascii="Arial" w:hAnsi="Arial" w:cs="Arial"/>
                <w:sz w:val="24"/>
                <w:szCs w:val="24"/>
              </w:rPr>
              <w:t>Norditropin</w:t>
            </w:r>
            <w:proofErr w:type="spellEnd"/>
            <w:r w:rsidRPr="00FA3F9C">
              <w:rPr>
                <w:rFonts w:ascii="Arial" w:hAnsi="Arial" w:cs="Arial"/>
                <w:sz w:val="24"/>
                <w:szCs w:val="24"/>
              </w:rPr>
              <w:t>--EBD</w:t>
            </w:r>
          </w:p>
          <w:p w14:paraId="5ACA1966" w14:textId="77777777" w:rsidR="002641D2" w:rsidRPr="00FA3F9C" w:rsidRDefault="002641D2" w:rsidP="00BD30E5">
            <w:pPr>
              <w:spacing w:after="0" w:line="240" w:lineRule="auto"/>
              <w:rPr>
                <w:rFonts w:ascii="Arial" w:hAnsi="Arial" w:cs="Arial"/>
                <w:sz w:val="24"/>
                <w:szCs w:val="24"/>
                <w:highlight w:val="lightGray"/>
              </w:rPr>
            </w:pPr>
            <w:r w:rsidRPr="00FA3F9C">
              <w:rPr>
                <w:rFonts w:ascii="Arial" w:hAnsi="Arial" w:cs="Arial"/>
                <w:sz w:val="24"/>
                <w:szCs w:val="24"/>
                <w:highlight w:val="lightGray"/>
              </w:rPr>
              <w:sym w:font="Symbol" w:char="F0A0"/>
            </w:r>
            <w:r w:rsidRPr="00FA3F9C">
              <w:rPr>
                <w:rFonts w:ascii="Arial" w:hAnsi="Arial" w:cs="Arial"/>
                <w:sz w:val="24"/>
                <w:szCs w:val="24"/>
                <w:highlight w:val="lightGray"/>
              </w:rPr>
              <w:t>Genotropin</w:t>
            </w:r>
          </w:p>
          <w:p w14:paraId="163D4E86" w14:textId="77777777" w:rsidR="002641D2" w:rsidRPr="00FA3F9C" w:rsidRDefault="002641D2" w:rsidP="00BD30E5">
            <w:pPr>
              <w:spacing w:after="0" w:line="240" w:lineRule="auto"/>
              <w:rPr>
                <w:rFonts w:ascii="Arial" w:hAnsi="Arial" w:cs="Arial"/>
                <w:sz w:val="24"/>
                <w:szCs w:val="24"/>
                <w:highlight w:val="lightGray"/>
              </w:rPr>
            </w:pPr>
            <w:r w:rsidRPr="00FA3F9C">
              <w:rPr>
                <w:rFonts w:ascii="Arial" w:hAnsi="Arial" w:cs="Arial"/>
                <w:sz w:val="24"/>
                <w:szCs w:val="24"/>
                <w:highlight w:val="lightGray"/>
              </w:rPr>
              <w:sym w:font="Symbol" w:char="F0A0"/>
            </w:r>
            <w:r w:rsidRPr="00FA3F9C">
              <w:rPr>
                <w:rFonts w:ascii="Arial" w:hAnsi="Arial" w:cs="Arial"/>
                <w:sz w:val="24"/>
                <w:szCs w:val="24"/>
                <w:highlight w:val="lightGray"/>
              </w:rPr>
              <w:t xml:space="preserve"> </w:t>
            </w:r>
            <w:proofErr w:type="spellStart"/>
            <w:r w:rsidRPr="00FA3F9C">
              <w:rPr>
                <w:rFonts w:ascii="Arial" w:hAnsi="Arial" w:cs="Arial"/>
                <w:sz w:val="24"/>
                <w:szCs w:val="24"/>
                <w:highlight w:val="lightGray"/>
              </w:rPr>
              <w:t>Humatrope</w:t>
            </w:r>
            <w:proofErr w:type="spellEnd"/>
          </w:p>
          <w:p w14:paraId="48FA36CE" w14:textId="77777777" w:rsidR="002641D2" w:rsidRPr="00FA3F9C" w:rsidRDefault="002641D2" w:rsidP="00BD30E5">
            <w:pPr>
              <w:spacing w:after="0" w:line="240" w:lineRule="auto"/>
              <w:rPr>
                <w:rFonts w:ascii="Arial" w:hAnsi="Arial" w:cs="Arial"/>
                <w:sz w:val="24"/>
                <w:szCs w:val="24"/>
                <w:highlight w:val="lightGray"/>
              </w:rPr>
            </w:pPr>
            <w:r w:rsidRPr="00FA3F9C">
              <w:rPr>
                <w:rFonts w:ascii="Arial" w:hAnsi="Arial" w:cs="Arial"/>
                <w:sz w:val="24"/>
                <w:szCs w:val="24"/>
                <w:highlight w:val="lightGray"/>
              </w:rPr>
              <w:sym w:font="Symbol" w:char="F0A0"/>
            </w:r>
            <w:proofErr w:type="spellStart"/>
            <w:r w:rsidRPr="00FA3F9C">
              <w:rPr>
                <w:rFonts w:ascii="Arial" w:hAnsi="Arial" w:cs="Arial"/>
                <w:sz w:val="24"/>
                <w:szCs w:val="24"/>
                <w:highlight w:val="lightGray"/>
              </w:rPr>
              <w:t>Nutropin</w:t>
            </w:r>
            <w:proofErr w:type="spellEnd"/>
          </w:p>
          <w:p w14:paraId="42156BA8" w14:textId="77777777" w:rsidR="002641D2" w:rsidRPr="00FA3F9C" w:rsidRDefault="002641D2" w:rsidP="00BD30E5">
            <w:pPr>
              <w:spacing w:after="0" w:line="240" w:lineRule="auto"/>
              <w:rPr>
                <w:rFonts w:ascii="Arial" w:hAnsi="Arial" w:cs="Arial"/>
                <w:sz w:val="24"/>
                <w:szCs w:val="24"/>
              </w:rPr>
            </w:pPr>
            <w:r w:rsidRPr="00FA3F9C">
              <w:rPr>
                <w:rFonts w:ascii="Arial" w:hAnsi="Arial" w:cs="Arial"/>
                <w:sz w:val="24"/>
                <w:szCs w:val="24"/>
              </w:rPr>
              <w:sym w:font="Symbol" w:char="F0A0"/>
            </w:r>
            <w:proofErr w:type="spellStart"/>
            <w:r w:rsidRPr="00FA3F9C">
              <w:rPr>
                <w:rFonts w:ascii="Arial" w:hAnsi="Arial" w:cs="Arial"/>
                <w:sz w:val="24"/>
                <w:szCs w:val="24"/>
              </w:rPr>
              <w:t>Omnitrope</w:t>
            </w:r>
            <w:proofErr w:type="spellEnd"/>
            <w:r w:rsidRPr="00FA3F9C">
              <w:rPr>
                <w:rFonts w:ascii="Arial" w:hAnsi="Arial" w:cs="Arial"/>
                <w:sz w:val="24"/>
                <w:szCs w:val="24"/>
              </w:rPr>
              <w:t>--UAS</w:t>
            </w:r>
          </w:p>
          <w:p w14:paraId="4ACFD84F" w14:textId="77777777" w:rsidR="002641D2" w:rsidRPr="00FA3F9C" w:rsidRDefault="002641D2" w:rsidP="00BD30E5">
            <w:pPr>
              <w:spacing w:after="0" w:line="240" w:lineRule="auto"/>
              <w:rPr>
                <w:rFonts w:ascii="Arial" w:hAnsi="Arial" w:cs="Arial"/>
                <w:sz w:val="24"/>
                <w:szCs w:val="24"/>
                <w:highlight w:val="lightGray"/>
              </w:rPr>
            </w:pPr>
            <w:r w:rsidRPr="00FA3F9C">
              <w:rPr>
                <w:rFonts w:ascii="Arial" w:hAnsi="Arial" w:cs="Arial"/>
                <w:sz w:val="24"/>
                <w:szCs w:val="24"/>
                <w:highlight w:val="lightGray"/>
              </w:rPr>
              <w:sym w:font="Symbol" w:char="F0A0"/>
            </w:r>
            <w:proofErr w:type="spellStart"/>
            <w:r w:rsidRPr="00FA3F9C">
              <w:rPr>
                <w:rFonts w:ascii="Arial" w:hAnsi="Arial" w:cs="Arial"/>
                <w:sz w:val="24"/>
                <w:szCs w:val="24"/>
                <w:highlight w:val="lightGray"/>
              </w:rPr>
              <w:t>Saizen</w:t>
            </w:r>
            <w:proofErr w:type="spellEnd"/>
          </w:p>
          <w:p w14:paraId="22AA2518" w14:textId="77777777" w:rsidR="002641D2" w:rsidRPr="00FA3F9C" w:rsidRDefault="002641D2" w:rsidP="00BD30E5">
            <w:pPr>
              <w:spacing w:after="0" w:line="240" w:lineRule="auto"/>
              <w:rPr>
                <w:rFonts w:ascii="Arial" w:hAnsi="Arial" w:cs="Arial"/>
                <w:sz w:val="24"/>
                <w:szCs w:val="24"/>
              </w:rPr>
            </w:pPr>
            <w:r w:rsidRPr="00FA3F9C">
              <w:rPr>
                <w:rFonts w:ascii="Arial" w:hAnsi="Arial" w:cs="Arial"/>
                <w:sz w:val="24"/>
                <w:szCs w:val="24"/>
                <w:highlight w:val="lightGray"/>
              </w:rPr>
              <w:sym w:font="Symbol" w:char="F0A0"/>
            </w:r>
            <w:proofErr w:type="spellStart"/>
            <w:r w:rsidRPr="00FA3F9C">
              <w:rPr>
                <w:rFonts w:ascii="Arial" w:hAnsi="Arial" w:cs="Arial"/>
                <w:sz w:val="24"/>
                <w:szCs w:val="24"/>
                <w:highlight w:val="lightGray"/>
              </w:rPr>
              <w:t>Tev-Tropin</w:t>
            </w:r>
            <w:proofErr w:type="spellEnd"/>
          </w:p>
        </w:tc>
      </w:tr>
      <w:tr w:rsidR="002641D2" w:rsidRPr="00FA3F9C" w14:paraId="7DDCCC6F" w14:textId="77777777" w:rsidTr="003E1AA4">
        <w:tc>
          <w:tcPr>
            <w:tcW w:w="8388" w:type="dxa"/>
            <w:shd w:val="clear" w:color="auto" w:fill="BFBFBF"/>
          </w:tcPr>
          <w:p w14:paraId="4DAB3C41" w14:textId="77777777" w:rsidR="002641D2" w:rsidRPr="00FA3F9C" w:rsidRDefault="002641D2" w:rsidP="00CC57E4">
            <w:pPr>
              <w:spacing w:after="0" w:line="240" w:lineRule="auto"/>
              <w:rPr>
                <w:rFonts w:ascii="Arial" w:hAnsi="Arial" w:cs="Arial"/>
                <w:b/>
                <w:sz w:val="24"/>
                <w:szCs w:val="24"/>
              </w:rPr>
            </w:pPr>
            <w:r w:rsidRPr="00FA3F9C">
              <w:rPr>
                <w:rFonts w:ascii="Arial" w:hAnsi="Arial" w:cs="Arial"/>
                <w:b/>
                <w:sz w:val="24"/>
                <w:szCs w:val="24"/>
              </w:rPr>
              <w:t>Pediatric:  Short stature associated with Turner syndrome</w:t>
            </w:r>
          </w:p>
          <w:p w14:paraId="3D336D0B" w14:textId="77777777" w:rsidR="002641D2" w:rsidRPr="00FA3F9C" w:rsidRDefault="002641D2" w:rsidP="00DD3D2E">
            <w:pPr>
              <w:spacing w:after="0" w:line="240" w:lineRule="auto"/>
              <w:rPr>
                <w:rFonts w:ascii="Arial" w:hAnsi="Arial" w:cs="Arial"/>
                <w:b/>
                <w:i/>
                <w:sz w:val="24"/>
                <w:szCs w:val="24"/>
              </w:rPr>
            </w:pPr>
            <w:r w:rsidRPr="00FA3F9C">
              <w:rPr>
                <w:rFonts w:ascii="Arial" w:hAnsi="Arial" w:cs="Arial"/>
                <w:i/>
                <w:sz w:val="24"/>
                <w:szCs w:val="24"/>
              </w:rPr>
              <w:t>Not a covered benefit. Treatment in one trial increased final height by approximately six cm over an untreated control group. Despite this increase, the final height of treated women was still outside the normal range</w:t>
            </w:r>
          </w:p>
        </w:tc>
        <w:tc>
          <w:tcPr>
            <w:tcW w:w="2628" w:type="dxa"/>
            <w:shd w:val="clear" w:color="auto" w:fill="BFBFBF"/>
          </w:tcPr>
          <w:p w14:paraId="78EB1A41" w14:textId="77777777" w:rsidR="002641D2" w:rsidRPr="00FA3F9C" w:rsidRDefault="002641D2" w:rsidP="00BD30E5">
            <w:pPr>
              <w:spacing w:after="0" w:line="240" w:lineRule="auto"/>
              <w:rPr>
                <w:rFonts w:ascii="Arial" w:hAnsi="Arial" w:cs="Arial"/>
                <w:sz w:val="24"/>
                <w:szCs w:val="24"/>
              </w:rPr>
            </w:pPr>
            <w:r w:rsidRPr="00FA3F9C">
              <w:rPr>
                <w:rFonts w:ascii="Arial" w:hAnsi="Arial" w:cs="Arial"/>
                <w:sz w:val="24"/>
                <w:szCs w:val="24"/>
              </w:rPr>
              <w:sym w:font="Symbol" w:char="F0A0"/>
            </w:r>
            <w:r w:rsidRPr="00FA3F9C">
              <w:rPr>
                <w:rFonts w:ascii="Arial" w:hAnsi="Arial" w:cs="Arial"/>
                <w:sz w:val="24"/>
                <w:szCs w:val="24"/>
              </w:rPr>
              <w:t xml:space="preserve"> Genotropin</w:t>
            </w:r>
          </w:p>
          <w:p w14:paraId="6E5B38F4" w14:textId="77777777" w:rsidR="002641D2" w:rsidRPr="00FA3F9C" w:rsidRDefault="002641D2" w:rsidP="00BD30E5">
            <w:pPr>
              <w:spacing w:after="0" w:line="240" w:lineRule="auto"/>
              <w:rPr>
                <w:rFonts w:ascii="Arial" w:hAnsi="Arial" w:cs="Arial"/>
                <w:sz w:val="24"/>
                <w:szCs w:val="24"/>
              </w:rPr>
            </w:pPr>
            <w:r w:rsidRPr="00FA3F9C">
              <w:rPr>
                <w:rFonts w:ascii="Arial" w:hAnsi="Arial" w:cs="Arial"/>
                <w:sz w:val="24"/>
                <w:szCs w:val="24"/>
              </w:rPr>
              <w:sym w:font="Symbol" w:char="F0A0"/>
            </w:r>
            <w:r w:rsidRPr="00FA3F9C">
              <w:rPr>
                <w:rFonts w:ascii="Arial" w:hAnsi="Arial" w:cs="Arial"/>
                <w:sz w:val="24"/>
                <w:szCs w:val="24"/>
              </w:rPr>
              <w:t xml:space="preserve"> </w:t>
            </w:r>
            <w:proofErr w:type="spellStart"/>
            <w:r w:rsidRPr="00FA3F9C">
              <w:rPr>
                <w:rFonts w:ascii="Arial" w:hAnsi="Arial" w:cs="Arial"/>
                <w:sz w:val="24"/>
                <w:szCs w:val="24"/>
              </w:rPr>
              <w:t>Humatrope</w:t>
            </w:r>
            <w:proofErr w:type="spellEnd"/>
          </w:p>
          <w:p w14:paraId="3CA4E6E5" w14:textId="77777777" w:rsidR="002641D2" w:rsidRPr="00FA3F9C" w:rsidRDefault="002641D2" w:rsidP="00BD30E5">
            <w:pPr>
              <w:spacing w:after="0" w:line="240" w:lineRule="auto"/>
              <w:rPr>
                <w:rFonts w:ascii="Arial" w:hAnsi="Arial" w:cs="Arial"/>
                <w:sz w:val="24"/>
                <w:szCs w:val="24"/>
              </w:rPr>
            </w:pPr>
            <w:r w:rsidRPr="00FA3F9C">
              <w:rPr>
                <w:rFonts w:ascii="Arial" w:hAnsi="Arial" w:cs="Arial"/>
                <w:sz w:val="24"/>
                <w:szCs w:val="24"/>
              </w:rPr>
              <w:sym w:font="Symbol" w:char="F0A0"/>
            </w:r>
            <w:r w:rsidRPr="00FA3F9C">
              <w:rPr>
                <w:rFonts w:ascii="Arial" w:hAnsi="Arial" w:cs="Arial"/>
                <w:sz w:val="24"/>
                <w:szCs w:val="24"/>
              </w:rPr>
              <w:t xml:space="preserve"> </w:t>
            </w:r>
            <w:proofErr w:type="spellStart"/>
            <w:r w:rsidRPr="00FA3F9C">
              <w:rPr>
                <w:rFonts w:ascii="Arial" w:hAnsi="Arial" w:cs="Arial"/>
                <w:sz w:val="24"/>
                <w:szCs w:val="24"/>
              </w:rPr>
              <w:t>Norditropin</w:t>
            </w:r>
            <w:proofErr w:type="spellEnd"/>
          </w:p>
          <w:p w14:paraId="1D3ABB95" w14:textId="77777777" w:rsidR="002641D2" w:rsidRPr="00FA3F9C" w:rsidRDefault="002641D2" w:rsidP="00BD30E5">
            <w:pPr>
              <w:spacing w:after="0" w:line="240" w:lineRule="auto"/>
              <w:rPr>
                <w:rFonts w:ascii="Arial" w:hAnsi="Arial" w:cs="Arial"/>
                <w:sz w:val="24"/>
                <w:szCs w:val="24"/>
              </w:rPr>
            </w:pPr>
            <w:r w:rsidRPr="00FA3F9C">
              <w:rPr>
                <w:rFonts w:ascii="Arial" w:hAnsi="Arial" w:cs="Arial"/>
                <w:sz w:val="24"/>
                <w:szCs w:val="24"/>
              </w:rPr>
              <w:sym w:font="Symbol" w:char="F0A0"/>
            </w:r>
            <w:proofErr w:type="spellStart"/>
            <w:r w:rsidRPr="00FA3F9C">
              <w:rPr>
                <w:rFonts w:ascii="Arial" w:hAnsi="Arial" w:cs="Arial"/>
                <w:sz w:val="24"/>
                <w:szCs w:val="24"/>
              </w:rPr>
              <w:t>Nutropin</w:t>
            </w:r>
            <w:proofErr w:type="spellEnd"/>
          </w:p>
          <w:p w14:paraId="713AF52E" w14:textId="77777777" w:rsidR="002641D2" w:rsidRPr="00FA3F9C" w:rsidRDefault="002641D2" w:rsidP="00BD30E5">
            <w:pPr>
              <w:spacing w:after="0" w:line="240" w:lineRule="auto"/>
              <w:rPr>
                <w:rFonts w:ascii="Arial" w:hAnsi="Arial" w:cs="Arial"/>
                <w:sz w:val="24"/>
                <w:szCs w:val="24"/>
              </w:rPr>
            </w:pPr>
            <w:r w:rsidRPr="00FA3F9C">
              <w:rPr>
                <w:rFonts w:ascii="Arial" w:hAnsi="Arial" w:cs="Arial"/>
                <w:sz w:val="24"/>
                <w:szCs w:val="24"/>
              </w:rPr>
              <w:sym w:font="Symbol" w:char="F0A0"/>
            </w:r>
            <w:proofErr w:type="spellStart"/>
            <w:r w:rsidRPr="00FA3F9C">
              <w:rPr>
                <w:rFonts w:ascii="Arial" w:hAnsi="Arial" w:cs="Arial"/>
                <w:sz w:val="24"/>
                <w:szCs w:val="24"/>
              </w:rPr>
              <w:t>Omnitrope</w:t>
            </w:r>
            <w:proofErr w:type="spellEnd"/>
          </w:p>
        </w:tc>
      </w:tr>
      <w:tr w:rsidR="002641D2" w:rsidRPr="00FA3F9C" w14:paraId="59AB98CE" w14:textId="77777777" w:rsidTr="003E1AA4">
        <w:tc>
          <w:tcPr>
            <w:tcW w:w="8388" w:type="dxa"/>
            <w:shd w:val="clear" w:color="auto" w:fill="BFBFBF"/>
          </w:tcPr>
          <w:p w14:paraId="1A9BBFBA" w14:textId="77777777" w:rsidR="002641D2" w:rsidRPr="00FA3F9C" w:rsidRDefault="002641D2" w:rsidP="004E2250">
            <w:pPr>
              <w:spacing w:after="0" w:line="240" w:lineRule="auto"/>
              <w:rPr>
                <w:rFonts w:ascii="Arial" w:hAnsi="Arial" w:cs="Arial"/>
                <w:b/>
                <w:sz w:val="24"/>
                <w:szCs w:val="24"/>
              </w:rPr>
            </w:pPr>
            <w:r w:rsidRPr="00FA3F9C">
              <w:rPr>
                <w:rFonts w:ascii="Arial" w:hAnsi="Arial" w:cs="Arial"/>
                <w:b/>
                <w:sz w:val="24"/>
                <w:szCs w:val="24"/>
              </w:rPr>
              <w:lastRenderedPageBreak/>
              <w:t>Pediatric:  Growth failure in children born small for gestational age who fail to manifest catch-up growth by either 2 years of age(a) or by 2-4 years of age (b)</w:t>
            </w:r>
          </w:p>
          <w:p w14:paraId="641710B8" w14:textId="77777777" w:rsidR="002641D2" w:rsidRPr="00FA3F9C" w:rsidRDefault="002641D2" w:rsidP="001E3374">
            <w:pPr>
              <w:spacing w:after="0" w:line="240" w:lineRule="auto"/>
              <w:rPr>
                <w:rFonts w:ascii="Arial" w:hAnsi="Arial" w:cs="Arial"/>
                <w:i/>
                <w:sz w:val="24"/>
                <w:szCs w:val="24"/>
              </w:rPr>
            </w:pPr>
            <w:r w:rsidRPr="00FA3F9C">
              <w:rPr>
                <w:rFonts w:ascii="Arial" w:hAnsi="Arial" w:cs="Arial"/>
                <w:i/>
                <w:sz w:val="24"/>
                <w:szCs w:val="24"/>
              </w:rPr>
              <w:t xml:space="preserve">Not a covered benefit.  These children are not GHD and treatment with GH is likely to yield only modest gains in height.  Adult height will usually be below average despite therapy. </w:t>
            </w:r>
          </w:p>
        </w:tc>
        <w:tc>
          <w:tcPr>
            <w:tcW w:w="2628" w:type="dxa"/>
            <w:shd w:val="clear" w:color="auto" w:fill="BFBFBF"/>
          </w:tcPr>
          <w:p w14:paraId="63E94DFD" w14:textId="77777777" w:rsidR="002641D2" w:rsidRPr="00FA3F9C" w:rsidRDefault="002641D2" w:rsidP="00BD30E5">
            <w:pPr>
              <w:spacing w:after="0" w:line="240" w:lineRule="auto"/>
              <w:rPr>
                <w:rFonts w:ascii="Arial" w:hAnsi="Arial" w:cs="Arial"/>
                <w:sz w:val="24"/>
                <w:szCs w:val="24"/>
              </w:rPr>
            </w:pPr>
            <w:r w:rsidRPr="00FA3F9C">
              <w:rPr>
                <w:rFonts w:ascii="Arial" w:hAnsi="Arial" w:cs="Arial"/>
                <w:sz w:val="24"/>
                <w:szCs w:val="24"/>
              </w:rPr>
              <w:sym w:font="Symbol" w:char="F0A0"/>
            </w:r>
            <w:r w:rsidRPr="00FA3F9C">
              <w:rPr>
                <w:rFonts w:ascii="Arial" w:hAnsi="Arial" w:cs="Arial"/>
                <w:sz w:val="24"/>
                <w:szCs w:val="24"/>
              </w:rPr>
              <w:t xml:space="preserve"> Genotropin (a)</w:t>
            </w:r>
          </w:p>
          <w:p w14:paraId="0861D960" w14:textId="77777777" w:rsidR="002641D2" w:rsidRPr="00FA3F9C" w:rsidRDefault="002641D2" w:rsidP="00BD30E5">
            <w:pPr>
              <w:spacing w:after="0" w:line="240" w:lineRule="auto"/>
              <w:rPr>
                <w:rFonts w:ascii="Arial" w:hAnsi="Arial" w:cs="Arial"/>
                <w:sz w:val="24"/>
                <w:szCs w:val="24"/>
              </w:rPr>
            </w:pPr>
            <w:r w:rsidRPr="00FA3F9C">
              <w:rPr>
                <w:rFonts w:ascii="Arial" w:hAnsi="Arial" w:cs="Arial"/>
                <w:sz w:val="24"/>
                <w:szCs w:val="24"/>
              </w:rPr>
              <w:sym w:font="Symbol" w:char="F0A0"/>
            </w:r>
            <w:r w:rsidRPr="00FA3F9C">
              <w:rPr>
                <w:rFonts w:ascii="Arial" w:hAnsi="Arial" w:cs="Arial"/>
                <w:sz w:val="24"/>
                <w:szCs w:val="24"/>
              </w:rPr>
              <w:t xml:space="preserve"> </w:t>
            </w:r>
            <w:proofErr w:type="spellStart"/>
            <w:r w:rsidRPr="00FA3F9C">
              <w:rPr>
                <w:rFonts w:ascii="Arial" w:hAnsi="Arial" w:cs="Arial"/>
                <w:sz w:val="24"/>
                <w:szCs w:val="24"/>
              </w:rPr>
              <w:t>Humatrope</w:t>
            </w:r>
            <w:proofErr w:type="spellEnd"/>
            <w:r w:rsidRPr="00FA3F9C">
              <w:rPr>
                <w:rFonts w:ascii="Arial" w:hAnsi="Arial" w:cs="Arial"/>
                <w:sz w:val="24"/>
                <w:szCs w:val="24"/>
              </w:rPr>
              <w:t xml:space="preserve"> (b)</w:t>
            </w:r>
          </w:p>
          <w:p w14:paraId="2CDCF205" w14:textId="77777777" w:rsidR="002641D2" w:rsidRPr="00FA3F9C" w:rsidRDefault="002641D2" w:rsidP="00BD30E5">
            <w:pPr>
              <w:spacing w:after="0" w:line="240" w:lineRule="auto"/>
              <w:rPr>
                <w:rFonts w:ascii="Arial" w:hAnsi="Arial" w:cs="Arial"/>
                <w:sz w:val="24"/>
                <w:szCs w:val="24"/>
              </w:rPr>
            </w:pPr>
            <w:r w:rsidRPr="00FA3F9C">
              <w:rPr>
                <w:rFonts w:ascii="Arial" w:hAnsi="Arial" w:cs="Arial"/>
                <w:sz w:val="24"/>
                <w:szCs w:val="24"/>
              </w:rPr>
              <w:sym w:font="Symbol" w:char="F0A0"/>
            </w:r>
            <w:r w:rsidRPr="00FA3F9C">
              <w:rPr>
                <w:rFonts w:ascii="Arial" w:hAnsi="Arial" w:cs="Arial"/>
                <w:sz w:val="24"/>
                <w:szCs w:val="24"/>
              </w:rPr>
              <w:t xml:space="preserve"> </w:t>
            </w:r>
            <w:proofErr w:type="spellStart"/>
            <w:r w:rsidRPr="00FA3F9C">
              <w:rPr>
                <w:rFonts w:ascii="Arial" w:hAnsi="Arial" w:cs="Arial"/>
                <w:sz w:val="24"/>
                <w:szCs w:val="24"/>
              </w:rPr>
              <w:t>Norditropin</w:t>
            </w:r>
            <w:proofErr w:type="spellEnd"/>
            <w:r w:rsidRPr="00FA3F9C">
              <w:rPr>
                <w:rFonts w:ascii="Arial" w:hAnsi="Arial" w:cs="Arial"/>
                <w:sz w:val="24"/>
                <w:szCs w:val="24"/>
              </w:rPr>
              <w:t xml:space="preserve"> (b)</w:t>
            </w:r>
          </w:p>
          <w:p w14:paraId="333D81DC" w14:textId="77777777" w:rsidR="002641D2" w:rsidRPr="00FA3F9C" w:rsidRDefault="002641D2" w:rsidP="00BD30E5">
            <w:pPr>
              <w:spacing w:after="0" w:line="240" w:lineRule="auto"/>
              <w:rPr>
                <w:rFonts w:ascii="Arial" w:hAnsi="Arial" w:cs="Arial"/>
                <w:sz w:val="24"/>
                <w:szCs w:val="24"/>
              </w:rPr>
            </w:pPr>
            <w:r w:rsidRPr="00FA3F9C">
              <w:rPr>
                <w:rFonts w:ascii="Arial" w:hAnsi="Arial" w:cs="Arial"/>
                <w:sz w:val="24"/>
                <w:szCs w:val="24"/>
              </w:rPr>
              <w:sym w:font="Symbol" w:char="F0A0"/>
            </w:r>
            <w:r w:rsidRPr="00FA3F9C">
              <w:rPr>
                <w:rFonts w:ascii="Arial" w:hAnsi="Arial" w:cs="Arial"/>
                <w:sz w:val="24"/>
                <w:szCs w:val="24"/>
              </w:rPr>
              <w:t xml:space="preserve"> </w:t>
            </w:r>
            <w:proofErr w:type="spellStart"/>
            <w:r w:rsidRPr="00FA3F9C">
              <w:rPr>
                <w:rFonts w:ascii="Arial" w:hAnsi="Arial" w:cs="Arial"/>
                <w:sz w:val="24"/>
                <w:szCs w:val="24"/>
              </w:rPr>
              <w:t>Omnitrope</w:t>
            </w:r>
            <w:proofErr w:type="spellEnd"/>
            <w:r w:rsidRPr="00FA3F9C">
              <w:rPr>
                <w:rFonts w:ascii="Arial" w:hAnsi="Arial" w:cs="Arial"/>
                <w:sz w:val="24"/>
                <w:szCs w:val="24"/>
              </w:rPr>
              <w:t xml:space="preserve"> (a)</w:t>
            </w:r>
          </w:p>
        </w:tc>
      </w:tr>
      <w:tr w:rsidR="002641D2" w:rsidRPr="00FA3F9C" w14:paraId="319109AB" w14:textId="77777777" w:rsidTr="003E1AA4">
        <w:tc>
          <w:tcPr>
            <w:tcW w:w="8388" w:type="dxa"/>
            <w:shd w:val="clear" w:color="auto" w:fill="BFBFBF"/>
          </w:tcPr>
          <w:p w14:paraId="27120668" w14:textId="77777777" w:rsidR="002641D2" w:rsidRPr="00FA3F9C" w:rsidRDefault="002641D2" w:rsidP="004E2250">
            <w:pPr>
              <w:spacing w:after="0" w:line="240" w:lineRule="auto"/>
              <w:rPr>
                <w:rFonts w:ascii="Arial" w:hAnsi="Arial" w:cs="Arial"/>
                <w:b/>
                <w:sz w:val="24"/>
                <w:szCs w:val="24"/>
              </w:rPr>
            </w:pPr>
            <w:r w:rsidRPr="00FA3F9C">
              <w:rPr>
                <w:rFonts w:ascii="Arial" w:hAnsi="Arial" w:cs="Arial"/>
                <w:b/>
                <w:sz w:val="24"/>
                <w:szCs w:val="24"/>
              </w:rPr>
              <w:t>Pediatric: Idiopathic Short Stature (ISS)</w:t>
            </w:r>
          </w:p>
          <w:p w14:paraId="798C8903" w14:textId="77777777" w:rsidR="002641D2" w:rsidRPr="00FA3F9C" w:rsidRDefault="002641D2" w:rsidP="004E2250">
            <w:pPr>
              <w:spacing w:after="0" w:line="240" w:lineRule="auto"/>
              <w:rPr>
                <w:rFonts w:ascii="Arial" w:hAnsi="Arial" w:cs="Arial"/>
                <w:i/>
                <w:sz w:val="24"/>
                <w:szCs w:val="24"/>
              </w:rPr>
            </w:pPr>
            <w:r w:rsidRPr="00FA3F9C">
              <w:rPr>
                <w:rFonts w:ascii="Arial" w:hAnsi="Arial" w:cs="Arial"/>
                <w:i/>
                <w:sz w:val="24"/>
                <w:szCs w:val="24"/>
              </w:rPr>
              <w:t xml:space="preserve">Not a covered benefit.  These children are not GHD and when health related quality of life was studies, no significant improvement was found in GH treated children, nor was there any evidence that GH treatment impacts psychological adaptation or self-perception. </w:t>
            </w:r>
          </w:p>
          <w:p w14:paraId="1F713200" w14:textId="77777777" w:rsidR="002641D2" w:rsidRPr="00FA3F9C" w:rsidRDefault="002641D2" w:rsidP="00EF21E6">
            <w:pPr>
              <w:spacing w:after="0" w:line="240" w:lineRule="auto"/>
              <w:rPr>
                <w:rFonts w:ascii="Arial" w:hAnsi="Arial" w:cs="Arial"/>
                <w:i/>
                <w:sz w:val="24"/>
                <w:szCs w:val="24"/>
              </w:rPr>
            </w:pPr>
            <w:r w:rsidRPr="00FA3F9C">
              <w:rPr>
                <w:rFonts w:ascii="Arial" w:hAnsi="Arial" w:cs="Arial"/>
                <w:i/>
                <w:sz w:val="24"/>
                <w:szCs w:val="24"/>
              </w:rPr>
              <w:t xml:space="preserve">Results suggest that short-term height gains can range from none to approximately 0.7 SD over one year.  </w:t>
            </w:r>
          </w:p>
        </w:tc>
        <w:tc>
          <w:tcPr>
            <w:tcW w:w="2628" w:type="dxa"/>
            <w:shd w:val="clear" w:color="auto" w:fill="BFBFBF"/>
          </w:tcPr>
          <w:p w14:paraId="5497F1DB" w14:textId="77777777" w:rsidR="002641D2" w:rsidRPr="00FA3F9C" w:rsidRDefault="002641D2" w:rsidP="00EF21E6">
            <w:pPr>
              <w:spacing w:after="0" w:line="240" w:lineRule="auto"/>
              <w:rPr>
                <w:rFonts w:ascii="Arial" w:hAnsi="Arial" w:cs="Arial"/>
                <w:sz w:val="24"/>
                <w:szCs w:val="24"/>
              </w:rPr>
            </w:pPr>
            <w:r w:rsidRPr="00FA3F9C">
              <w:rPr>
                <w:rFonts w:ascii="Arial" w:hAnsi="Arial" w:cs="Arial"/>
                <w:sz w:val="24"/>
                <w:szCs w:val="24"/>
              </w:rPr>
              <w:sym w:font="Symbol" w:char="F0A0"/>
            </w:r>
            <w:r w:rsidRPr="00FA3F9C">
              <w:rPr>
                <w:rFonts w:ascii="Arial" w:hAnsi="Arial" w:cs="Arial"/>
                <w:sz w:val="24"/>
                <w:szCs w:val="24"/>
              </w:rPr>
              <w:t xml:space="preserve"> Genotropin </w:t>
            </w:r>
          </w:p>
          <w:p w14:paraId="64263FD0" w14:textId="77777777" w:rsidR="002641D2" w:rsidRPr="00FA3F9C" w:rsidRDefault="002641D2" w:rsidP="00EF21E6">
            <w:pPr>
              <w:spacing w:after="0" w:line="240" w:lineRule="auto"/>
              <w:rPr>
                <w:rFonts w:ascii="Arial" w:hAnsi="Arial" w:cs="Arial"/>
                <w:sz w:val="24"/>
                <w:szCs w:val="24"/>
              </w:rPr>
            </w:pPr>
            <w:r w:rsidRPr="00FA3F9C">
              <w:rPr>
                <w:rFonts w:ascii="Arial" w:hAnsi="Arial" w:cs="Arial"/>
                <w:sz w:val="24"/>
                <w:szCs w:val="24"/>
              </w:rPr>
              <w:sym w:font="Symbol" w:char="F0A0"/>
            </w:r>
            <w:r w:rsidRPr="00FA3F9C">
              <w:rPr>
                <w:rFonts w:ascii="Arial" w:hAnsi="Arial" w:cs="Arial"/>
                <w:sz w:val="24"/>
                <w:szCs w:val="24"/>
              </w:rPr>
              <w:t xml:space="preserve"> </w:t>
            </w:r>
            <w:proofErr w:type="spellStart"/>
            <w:r w:rsidRPr="00FA3F9C">
              <w:rPr>
                <w:rFonts w:ascii="Arial" w:hAnsi="Arial" w:cs="Arial"/>
                <w:sz w:val="24"/>
                <w:szCs w:val="24"/>
              </w:rPr>
              <w:t>Humatrope</w:t>
            </w:r>
            <w:proofErr w:type="spellEnd"/>
            <w:r w:rsidRPr="00FA3F9C">
              <w:rPr>
                <w:rFonts w:ascii="Arial" w:hAnsi="Arial" w:cs="Arial"/>
                <w:sz w:val="24"/>
                <w:szCs w:val="24"/>
              </w:rPr>
              <w:t xml:space="preserve"> </w:t>
            </w:r>
          </w:p>
          <w:p w14:paraId="2A6B05ED" w14:textId="77777777" w:rsidR="002641D2" w:rsidRPr="00FA3F9C" w:rsidRDefault="002641D2" w:rsidP="00EF21E6">
            <w:pPr>
              <w:spacing w:after="0" w:line="240" w:lineRule="auto"/>
              <w:rPr>
                <w:rFonts w:ascii="Arial" w:hAnsi="Arial" w:cs="Arial"/>
                <w:sz w:val="24"/>
                <w:szCs w:val="24"/>
              </w:rPr>
            </w:pPr>
            <w:r w:rsidRPr="00FA3F9C">
              <w:rPr>
                <w:rFonts w:ascii="Arial" w:hAnsi="Arial" w:cs="Arial"/>
                <w:sz w:val="24"/>
                <w:szCs w:val="24"/>
              </w:rPr>
              <w:sym w:font="Symbol" w:char="F0A0"/>
            </w:r>
            <w:r w:rsidRPr="00FA3F9C">
              <w:rPr>
                <w:rFonts w:ascii="Arial" w:hAnsi="Arial" w:cs="Arial"/>
                <w:sz w:val="24"/>
                <w:szCs w:val="24"/>
              </w:rPr>
              <w:t xml:space="preserve"> </w:t>
            </w:r>
            <w:proofErr w:type="spellStart"/>
            <w:r w:rsidRPr="00FA3F9C">
              <w:rPr>
                <w:rFonts w:ascii="Arial" w:hAnsi="Arial" w:cs="Arial"/>
                <w:sz w:val="24"/>
                <w:szCs w:val="24"/>
              </w:rPr>
              <w:t>Nutropin</w:t>
            </w:r>
            <w:proofErr w:type="spellEnd"/>
          </w:p>
          <w:p w14:paraId="66CF1622" w14:textId="77777777" w:rsidR="002641D2" w:rsidRPr="00FA3F9C" w:rsidRDefault="002641D2" w:rsidP="00EF21E6">
            <w:pPr>
              <w:spacing w:after="0" w:line="240" w:lineRule="auto"/>
              <w:rPr>
                <w:rFonts w:ascii="Arial" w:hAnsi="Arial" w:cs="Arial"/>
                <w:sz w:val="24"/>
                <w:szCs w:val="24"/>
              </w:rPr>
            </w:pPr>
            <w:r w:rsidRPr="00FA3F9C">
              <w:rPr>
                <w:rFonts w:ascii="Arial" w:hAnsi="Arial" w:cs="Arial"/>
                <w:sz w:val="24"/>
                <w:szCs w:val="24"/>
              </w:rPr>
              <w:sym w:font="Symbol" w:char="F0A0"/>
            </w:r>
            <w:r w:rsidRPr="00FA3F9C">
              <w:rPr>
                <w:rFonts w:ascii="Arial" w:hAnsi="Arial" w:cs="Arial"/>
                <w:sz w:val="24"/>
                <w:szCs w:val="24"/>
              </w:rPr>
              <w:t xml:space="preserve"> </w:t>
            </w:r>
            <w:proofErr w:type="spellStart"/>
            <w:r w:rsidRPr="00FA3F9C">
              <w:rPr>
                <w:rFonts w:ascii="Arial" w:hAnsi="Arial" w:cs="Arial"/>
                <w:sz w:val="24"/>
                <w:szCs w:val="24"/>
              </w:rPr>
              <w:t>Omnitrope</w:t>
            </w:r>
            <w:proofErr w:type="spellEnd"/>
            <w:r w:rsidRPr="00FA3F9C">
              <w:rPr>
                <w:rFonts w:ascii="Arial" w:hAnsi="Arial" w:cs="Arial"/>
                <w:sz w:val="24"/>
                <w:szCs w:val="24"/>
              </w:rPr>
              <w:t xml:space="preserve"> </w:t>
            </w:r>
          </w:p>
        </w:tc>
      </w:tr>
      <w:tr w:rsidR="002641D2" w:rsidRPr="00FA3F9C" w14:paraId="474A6A06" w14:textId="77777777" w:rsidTr="003E1AA4">
        <w:tc>
          <w:tcPr>
            <w:tcW w:w="8388" w:type="dxa"/>
            <w:shd w:val="clear" w:color="auto" w:fill="BFBFBF"/>
          </w:tcPr>
          <w:p w14:paraId="242CAD81" w14:textId="77777777" w:rsidR="002641D2" w:rsidRPr="00FA3F9C" w:rsidRDefault="002641D2" w:rsidP="0018438A">
            <w:pPr>
              <w:spacing w:after="0" w:line="240" w:lineRule="auto"/>
              <w:rPr>
                <w:rFonts w:ascii="Arial" w:hAnsi="Arial" w:cs="Arial"/>
                <w:b/>
                <w:sz w:val="24"/>
                <w:szCs w:val="24"/>
              </w:rPr>
            </w:pPr>
            <w:r w:rsidRPr="00FA3F9C">
              <w:rPr>
                <w:rFonts w:ascii="Arial" w:hAnsi="Arial" w:cs="Arial"/>
                <w:b/>
                <w:sz w:val="24"/>
                <w:szCs w:val="24"/>
              </w:rPr>
              <w:t>Pediatric:  Growth failure due to chronic renal insufficiency  up to time of renal transplant</w:t>
            </w:r>
          </w:p>
          <w:p w14:paraId="6108F32C" w14:textId="77777777" w:rsidR="002641D2" w:rsidRPr="00FA3F9C" w:rsidRDefault="002641D2" w:rsidP="006F5620">
            <w:pPr>
              <w:spacing w:after="0" w:line="240" w:lineRule="auto"/>
              <w:rPr>
                <w:rFonts w:ascii="Arial" w:hAnsi="Arial" w:cs="Arial"/>
                <w:i/>
                <w:sz w:val="24"/>
                <w:szCs w:val="24"/>
              </w:rPr>
            </w:pPr>
            <w:r w:rsidRPr="00FA3F9C">
              <w:rPr>
                <w:rFonts w:ascii="Arial" w:hAnsi="Arial" w:cs="Arial"/>
                <w:i/>
                <w:sz w:val="24"/>
                <w:szCs w:val="24"/>
              </w:rPr>
              <w:t>Not a covered benefit.  GH treatment increased height in children with CKD by about 4 cm after 1 year and by a further 2 cm after 2 years of treatment compared with no treatment.  Studies were too short to determine if continuing treatment resulted in an increase in final adult height.</w:t>
            </w:r>
          </w:p>
        </w:tc>
        <w:tc>
          <w:tcPr>
            <w:tcW w:w="2628" w:type="dxa"/>
            <w:shd w:val="clear" w:color="auto" w:fill="BFBFBF"/>
          </w:tcPr>
          <w:p w14:paraId="2F65B980" w14:textId="77777777" w:rsidR="002641D2" w:rsidRPr="00FA3F9C" w:rsidRDefault="002641D2" w:rsidP="00BD30E5">
            <w:pPr>
              <w:spacing w:after="0" w:line="240" w:lineRule="auto"/>
              <w:rPr>
                <w:rFonts w:ascii="Arial" w:hAnsi="Arial" w:cs="Arial"/>
                <w:sz w:val="24"/>
                <w:szCs w:val="24"/>
              </w:rPr>
            </w:pPr>
            <w:r w:rsidRPr="00FA3F9C">
              <w:rPr>
                <w:rFonts w:ascii="Arial" w:hAnsi="Arial" w:cs="Arial"/>
                <w:sz w:val="24"/>
                <w:szCs w:val="24"/>
              </w:rPr>
              <w:sym w:font="Symbol" w:char="F0A0"/>
            </w:r>
            <w:r w:rsidRPr="00FA3F9C">
              <w:rPr>
                <w:rFonts w:ascii="Arial" w:hAnsi="Arial" w:cs="Arial"/>
                <w:sz w:val="24"/>
                <w:szCs w:val="24"/>
              </w:rPr>
              <w:t xml:space="preserve"> </w:t>
            </w:r>
            <w:proofErr w:type="spellStart"/>
            <w:r w:rsidRPr="00FA3F9C">
              <w:rPr>
                <w:rFonts w:ascii="Arial" w:hAnsi="Arial" w:cs="Arial"/>
                <w:sz w:val="24"/>
                <w:szCs w:val="24"/>
              </w:rPr>
              <w:t>Nutropin</w:t>
            </w:r>
            <w:proofErr w:type="spellEnd"/>
          </w:p>
          <w:p w14:paraId="6C8A2728" w14:textId="77777777" w:rsidR="002641D2" w:rsidRPr="00FA3F9C" w:rsidRDefault="002641D2" w:rsidP="00BD30E5">
            <w:pPr>
              <w:spacing w:after="0" w:line="240" w:lineRule="auto"/>
              <w:rPr>
                <w:rFonts w:ascii="Arial" w:hAnsi="Arial" w:cs="Arial"/>
                <w:sz w:val="24"/>
                <w:szCs w:val="24"/>
              </w:rPr>
            </w:pPr>
          </w:p>
          <w:p w14:paraId="0B0D2A90" w14:textId="77777777" w:rsidR="002641D2" w:rsidRPr="00FA3F9C" w:rsidRDefault="002641D2" w:rsidP="00BD30E5">
            <w:pPr>
              <w:spacing w:after="0" w:line="240" w:lineRule="auto"/>
              <w:rPr>
                <w:rFonts w:ascii="Arial" w:hAnsi="Arial" w:cs="Arial"/>
                <w:sz w:val="24"/>
                <w:szCs w:val="24"/>
              </w:rPr>
            </w:pPr>
          </w:p>
          <w:p w14:paraId="132681B3" w14:textId="77777777" w:rsidR="002641D2" w:rsidRPr="00FA3F9C" w:rsidRDefault="002641D2" w:rsidP="00BD30E5">
            <w:pPr>
              <w:spacing w:after="0" w:line="240" w:lineRule="auto"/>
              <w:rPr>
                <w:rFonts w:ascii="Arial" w:hAnsi="Arial" w:cs="Arial"/>
                <w:sz w:val="24"/>
                <w:szCs w:val="24"/>
              </w:rPr>
            </w:pPr>
          </w:p>
        </w:tc>
      </w:tr>
      <w:tr w:rsidR="002641D2" w:rsidRPr="00FA3F9C" w14:paraId="1A3BE438" w14:textId="77777777" w:rsidTr="00BD30E5">
        <w:tc>
          <w:tcPr>
            <w:tcW w:w="8388" w:type="dxa"/>
          </w:tcPr>
          <w:p w14:paraId="0CD2324A" w14:textId="77777777" w:rsidR="002641D2" w:rsidRPr="00FA3F9C" w:rsidRDefault="002641D2" w:rsidP="004E2250">
            <w:pPr>
              <w:spacing w:after="0" w:line="240" w:lineRule="auto"/>
              <w:rPr>
                <w:rFonts w:ascii="Arial" w:hAnsi="Arial" w:cs="Arial"/>
                <w:b/>
                <w:sz w:val="24"/>
                <w:szCs w:val="24"/>
              </w:rPr>
            </w:pPr>
            <w:r w:rsidRPr="00FA3F9C">
              <w:rPr>
                <w:rFonts w:ascii="Arial" w:hAnsi="Arial" w:cs="Arial"/>
                <w:b/>
                <w:sz w:val="24"/>
                <w:szCs w:val="24"/>
              </w:rPr>
              <w:t>Pediatric:  Growth failure due to Prader Willi syndrome</w:t>
            </w:r>
          </w:p>
          <w:p w14:paraId="76DFE6A5" w14:textId="77777777" w:rsidR="002641D2" w:rsidRPr="00FA3F9C" w:rsidRDefault="002641D2" w:rsidP="002641D2">
            <w:pPr>
              <w:numPr>
                <w:ilvl w:val="0"/>
                <w:numId w:val="235"/>
              </w:numPr>
              <w:spacing w:after="0" w:line="240" w:lineRule="auto"/>
              <w:rPr>
                <w:rFonts w:ascii="Arial" w:hAnsi="Arial" w:cs="Arial"/>
                <w:b/>
                <w:sz w:val="24"/>
                <w:szCs w:val="24"/>
              </w:rPr>
            </w:pPr>
            <w:r w:rsidRPr="00FA3F9C">
              <w:rPr>
                <w:rFonts w:ascii="Arial" w:hAnsi="Arial" w:cs="Arial"/>
                <w:sz w:val="24"/>
                <w:szCs w:val="24"/>
              </w:rPr>
              <w:t xml:space="preserve">Open epiphyses  </w:t>
            </w:r>
          </w:p>
          <w:p w14:paraId="06A036C4" w14:textId="77777777" w:rsidR="002641D2" w:rsidRPr="00FA3F9C" w:rsidRDefault="002641D2" w:rsidP="002641D2">
            <w:pPr>
              <w:numPr>
                <w:ilvl w:val="1"/>
                <w:numId w:val="235"/>
              </w:numPr>
              <w:spacing w:after="0" w:line="240" w:lineRule="auto"/>
              <w:rPr>
                <w:rFonts w:ascii="Arial" w:hAnsi="Arial" w:cs="Arial"/>
                <w:b/>
                <w:sz w:val="24"/>
                <w:szCs w:val="24"/>
              </w:rPr>
            </w:pPr>
            <w:r w:rsidRPr="00FA3F9C">
              <w:rPr>
                <w:rFonts w:ascii="Arial" w:hAnsi="Arial" w:cs="Arial"/>
                <w:sz w:val="24"/>
                <w:szCs w:val="24"/>
              </w:rPr>
              <w:t xml:space="preserve">Confirm with x-ray of long bone upon initiation of therapy </w:t>
            </w:r>
          </w:p>
          <w:p w14:paraId="4B61A331" w14:textId="77777777" w:rsidR="002641D2" w:rsidRPr="00FA3F9C" w:rsidRDefault="002641D2" w:rsidP="002641D2">
            <w:pPr>
              <w:numPr>
                <w:ilvl w:val="1"/>
                <w:numId w:val="235"/>
              </w:numPr>
              <w:spacing w:after="0" w:line="240" w:lineRule="auto"/>
              <w:rPr>
                <w:rFonts w:ascii="Arial" w:hAnsi="Arial" w:cs="Arial"/>
                <w:b/>
                <w:sz w:val="24"/>
                <w:szCs w:val="24"/>
              </w:rPr>
            </w:pPr>
            <w:r w:rsidRPr="00FA3F9C">
              <w:rPr>
                <w:rFonts w:ascii="Arial" w:hAnsi="Arial" w:cs="Arial"/>
                <w:sz w:val="24"/>
                <w:szCs w:val="24"/>
              </w:rPr>
              <w:t xml:space="preserve">If 18-25 </w:t>
            </w:r>
            <w:proofErr w:type="spellStart"/>
            <w:r w:rsidRPr="00FA3F9C">
              <w:rPr>
                <w:rFonts w:ascii="Arial" w:hAnsi="Arial" w:cs="Arial"/>
                <w:sz w:val="24"/>
                <w:szCs w:val="24"/>
              </w:rPr>
              <w:t>yrs</w:t>
            </w:r>
            <w:proofErr w:type="spellEnd"/>
            <w:r w:rsidRPr="00FA3F9C">
              <w:rPr>
                <w:rFonts w:ascii="Arial" w:hAnsi="Arial" w:cs="Arial"/>
                <w:sz w:val="24"/>
                <w:szCs w:val="24"/>
              </w:rPr>
              <w:t xml:space="preserve">, must have yearly x-ray to verify open epiphyses as epiphyses usually close around this time </w:t>
            </w:r>
          </w:p>
          <w:p w14:paraId="7BBE6C28" w14:textId="77777777" w:rsidR="002641D2" w:rsidRPr="00FA3F9C" w:rsidRDefault="002641D2" w:rsidP="002641D2">
            <w:pPr>
              <w:numPr>
                <w:ilvl w:val="0"/>
                <w:numId w:val="235"/>
              </w:numPr>
              <w:spacing w:after="0" w:line="240" w:lineRule="auto"/>
              <w:rPr>
                <w:rFonts w:ascii="Arial" w:hAnsi="Arial" w:cs="Arial"/>
                <w:b/>
                <w:sz w:val="24"/>
                <w:szCs w:val="24"/>
              </w:rPr>
            </w:pPr>
            <w:r w:rsidRPr="00FA3F9C">
              <w:rPr>
                <w:rFonts w:ascii="Arial" w:hAnsi="Arial" w:cs="Arial"/>
                <w:sz w:val="24"/>
                <w:szCs w:val="24"/>
              </w:rPr>
              <w:t>Diagnosis of Prader Willi syndrome from DNA testing</w:t>
            </w:r>
          </w:p>
          <w:p w14:paraId="5348472C" w14:textId="77777777" w:rsidR="002641D2" w:rsidRPr="00FA3F9C" w:rsidRDefault="002641D2" w:rsidP="002641D2">
            <w:pPr>
              <w:numPr>
                <w:ilvl w:val="0"/>
                <w:numId w:val="235"/>
              </w:numPr>
              <w:spacing w:after="0" w:line="240" w:lineRule="auto"/>
              <w:rPr>
                <w:rFonts w:ascii="Arial" w:hAnsi="Arial" w:cs="Arial"/>
                <w:b/>
                <w:sz w:val="24"/>
                <w:szCs w:val="24"/>
              </w:rPr>
            </w:pPr>
            <w:r w:rsidRPr="00FA3F9C">
              <w:rPr>
                <w:rFonts w:ascii="Arial" w:hAnsi="Arial" w:cs="Arial"/>
                <w:sz w:val="24"/>
                <w:szCs w:val="24"/>
              </w:rPr>
              <w:t>must NOT have h/o severe respiratory impairment or upper airway obstruction</w:t>
            </w:r>
          </w:p>
          <w:p w14:paraId="16DF3A94" w14:textId="77777777" w:rsidR="002641D2" w:rsidRPr="00FA3F9C" w:rsidRDefault="002641D2" w:rsidP="002641D2">
            <w:pPr>
              <w:numPr>
                <w:ilvl w:val="0"/>
                <w:numId w:val="235"/>
              </w:numPr>
              <w:spacing w:after="0" w:line="240" w:lineRule="auto"/>
              <w:rPr>
                <w:rFonts w:ascii="Arial" w:hAnsi="Arial" w:cs="Arial"/>
                <w:b/>
                <w:sz w:val="24"/>
                <w:szCs w:val="24"/>
              </w:rPr>
            </w:pPr>
            <w:r w:rsidRPr="00FA3F9C">
              <w:rPr>
                <w:rFonts w:ascii="Arial" w:hAnsi="Arial" w:cs="Arial"/>
                <w:sz w:val="24"/>
                <w:szCs w:val="24"/>
              </w:rPr>
              <w:t xml:space="preserve">must NOT have sleep apnea </w:t>
            </w:r>
          </w:p>
          <w:p w14:paraId="0CD70035" w14:textId="77777777" w:rsidR="002641D2" w:rsidRPr="00FA3F9C" w:rsidRDefault="002641D2" w:rsidP="002641D2">
            <w:pPr>
              <w:numPr>
                <w:ilvl w:val="0"/>
                <w:numId w:val="235"/>
              </w:numPr>
              <w:spacing w:after="0" w:line="240" w:lineRule="auto"/>
              <w:rPr>
                <w:rFonts w:ascii="Arial" w:hAnsi="Arial" w:cs="Arial"/>
                <w:color w:val="000000"/>
                <w:sz w:val="24"/>
                <w:szCs w:val="24"/>
              </w:rPr>
            </w:pPr>
            <w:r w:rsidRPr="00FA3F9C">
              <w:rPr>
                <w:rFonts w:ascii="Arial" w:hAnsi="Arial" w:cs="Arial"/>
                <w:color w:val="000000"/>
                <w:sz w:val="24"/>
                <w:szCs w:val="24"/>
              </w:rPr>
              <w:t xml:space="preserve">must Not be severely obese (&gt;225% IBW) </w:t>
            </w:r>
          </w:p>
          <w:p w14:paraId="2F2FACD3" w14:textId="77777777" w:rsidR="002641D2" w:rsidRPr="00FA3F9C" w:rsidRDefault="002641D2" w:rsidP="00341D34">
            <w:pPr>
              <w:spacing w:after="0" w:line="240" w:lineRule="auto"/>
              <w:rPr>
                <w:rFonts w:ascii="Arial" w:hAnsi="Arial" w:cs="Arial"/>
                <w:sz w:val="24"/>
                <w:szCs w:val="24"/>
              </w:rPr>
            </w:pPr>
            <w:r w:rsidRPr="00FA3F9C">
              <w:rPr>
                <w:rFonts w:ascii="Arial" w:hAnsi="Arial" w:cs="Arial"/>
                <w:sz w:val="24"/>
                <w:szCs w:val="24"/>
              </w:rPr>
              <w:t>Initial Approval: 1 year</w:t>
            </w:r>
          </w:p>
          <w:p w14:paraId="5305DDA3" w14:textId="77777777" w:rsidR="002641D2" w:rsidRPr="00FA3F9C" w:rsidRDefault="002641D2" w:rsidP="006F5620">
            <w:pPr>
              <w:spacing w:after="0" w:line="240" w:lineRule="auto"/>
              <w:rPr>
                <w:rFonts w:ascii="Arial" w:hAnsi="Arial" w:cs="Arial"/>
                <w:sz w:val="24"/>
                <w:szCs w:val="24"/>
              </w:rPr>
            </w:pPr>
            <w:r w:rsidRPr="00FA3F9C">
              <w:rPr>
                <w:rFonts w:ascii="Arial" w:hAnsi="Arial" w:cs="Arial"/>
                <w:sz w:val="24"/>
                <w:szCs w:val="24"/>
              </w:rPr>
              <w:t>Reauthorization:  Pt must continue to meet above criteria</w:t>
            </w:r>
          </w:p>
        </w:tc>
        <w:tc>
          <w:tcPr>
            <w:tcW w:w="2628" w:type="dxa"/>
          </w:tcPr>
          <w:p w14:paraId="23149EE4" w14:textId="77777777" w:rsidR="002641D2" w:rsidRPr="00FA3F9C" w:rsidRDefault="002641D2" w:rsidP="00BD30E5">
            <w:pPr>
              <w:spacing w:after="0" w:line="240" w:lineRule="auto"/>
              <w:rPr>
                <w:rFonts w:ascii="Arial" w:hAnsi="Arial" w:cs="Arial"/>
                <w:sz w:val="24"/>
                <w:szCs w:val="24"/>
                <w:highlight w:val="lightGray"/>
              </w:rPr>
            </w:pPr>
            <w:r w:rsidRPr="00FA3F9C">
              <w:rPr>
                <w:rFonts w:ascii="Arial" w:hAnsi="Arial" w:cs="Arial"/>
                <w:sz w:val="24"/>
                <w:szCs w:val="24"/>
                <w:highlight w:val="lightGray"/>
              </w:rPr>
              <w:sym w:font="Symbol" w:char="F0A0"/>
            </w:r>
            <w:r w:rsidRPr="00FA3F9C">
              <w:rPr>
                <w:rFonts w:ascii="Arial" w:hAnsi="Arial" w:cs="Arial"/>
                <w:sz w:val="24"/>
                <w:szCs w:val="24"/>
                <w:highlight w:val="lightGray"/>
              </w:rPr>
              <w:t xml:space="preserve"> Genotropin</w:t>
            </w:r>
          </w:p>
          <w:p w14:paraId="69206126" w14:textId="77777777" w:rsidR="002641D2" w:rsidRPr="00FA3F9C" w:rsidRDefault="002641D2" w:rsidP="00BD30E5">
            <w:pPr>
              <w:spacing w:after="0" w:line="240" w:lineRule="auto"/>
              <w:rPr>
                <w:rFonts w:ascii="Arial" w:hAnsi="Arial" w:cs="Arial"/>
                <w:sz w:val="24"/>
                <w:szCs w:val="24"/>
                <w:highlight w:val="lightGray"/>
              </w:rPr>
            </w:pPr>
            <w:r w:rsidRPr="00FA3F9C">
              <w:rPr>
                <w:rFonts w:ascii="Arial" w:hAnsi="Arial" w:cs="Arial"/>
                <w:sz w:val="24"/>
                <w:szCs w:val="24"/>
              </w:rPr>
              <w:sym w:font="Symbol" w:char="F0A0"/>
            </w:r>
            <w:r w:rsidRPr="00FA3F9C">
              <w:rPr>
                <w:rFonts w:ascii="Arial" w:hAnsi="Arial" w:cs="Arial"/>
                <w:sz w:val="24"/>
                <w:szCs w:val="24"/>
              </w:rPr>
              <w:t xml:space="preserve"> </w:t>
            </w:r>
            <w:proofErr w:type="spellStart"/>
            <w:r w:rsidRPr="00FA3F9C">
              <w:rPr>
                <w:rFonts w:ascii="Arial" w:hAnsi="Arial" w:cs="Arial"/>
                <w:sz w:val="24"/>
                <w:szCs w:val="24"/>
              </w:rPr>
              <w:t>Omnitrope</w:t>
            </w:r>
            <w:proofErr w:type="spellEnd"/>
            <w:r w:rsidRPr="00FA3F9C">
              <w:rPr>
                <w:rFonts w:ascii="Arial" w:hAnsi="Arial" w:cs="Arial"/>
                <w:sz w:val="24"/>
                <w:szCs w:val="24"/>
              </w:rPr>
              <w:t>--UAS</w:t>
            </w:r>
          </w:p>
        </w:tc>
      </w:tr>
      <w:tr w:rsidR="002641D2" w:rsidRPr="00FA3F9C" w14:paraId="79AF6191" w14:textId="77777777" w:rsidTr="003E1AA4">
        <w:tc>
          <w:tcPr>
            <w:tcW w:w="8388" w:type="dxa"/>
            <w:shd w:val="clear" w:color="auto" w:fill="BFBFBF"/>
          </w:tcPr>
          <w:p w14:paraId="06AF0406" w14:textId="77777777" w:rsidR="002641D2" w:rsidRPr="00FA3F9C" w:rsidRDefault="002641D2" w:rsidP="00D909F6">
            <w:pPr>
              <w:spacing w:after="0" w:line="240" w:lineRule="auto"/>
              <w:rPr>
                <w:rFonts w:ascii="Arial" w:hAnsi="Arial" w:cs="Arial"/>
                <w:b/>
                <w:sz w:val="24"/>
                <w:szCs w:val="24"/>
              </w:rPr>
            </w:pPr>
            <w:r w:rsidRPr="00FA3F9C">
              <w:rPr>
                <w:rFonts w:ascii="Arial" w:hAnsi="Arial" w:cs="Arial"/>
                <w:b/>
                <w:sz w:val="24"/>
                <w:szCs w:val="24"/>
              </w:rPr>
              <w:t>Pediatric:  Short stature or growth failure associated with short stature homeobox gene (SHOX) deficiency</w:t>
            </w:r>
          </w:p>
          <w:p w14:paraId="033A1F31" w14:textId="77777777" w:rsidR="002641D2" w:rsidRPr="00FA3F9C" w:rsidRDefault="002641D2" w:rsidP="00D909F6">
            <w:pPr>
              <w:spacing w:after="0" w:line="240" w:lineRule="auto"/>
              <w:rPr>
                <w:rFonts w:ascii="Arial" w:hAnsi="Arial" w:cs="Arial"/>
                <w:bCs/>
                <w:sz w:val="24"/>
                <w:szCs w:val="24"/>
              </w:rPr>
            </w:pPr>
          </w:p>
          <w:p w14:paraId="67CB5970" w14:textId="77777777" w:rsidR="002641D2" w:rsidRPr="00FA3F9C" w:rsidRDefault="002641D2" w:rsidP="006F5620">
            <w:pPr>
              <w:rPr>
                <w:rFonts w:ascii="Arial" w:hAnsi="Arial" w:cs="Arial"/>
                <w:i/>
                <w:sz w:val="24"/>
                <w:szCs w:val="24"/>
              </w:rPr>
            </w:pPr>
            <w:r w:rsidRPr="00FA3F9C">
              <w:rPr>
                <w:rFonts w:ascii="Arial" w:hAnsi="Arial" w:cs="Arial"/>
                <w:i/>
                <w:sz w:val="24"/>
                <w:szCs w:val="24"/>
              </w:rPr>
              <w:t>Not a covered benefit.  While RCT have shown significant increase in height over 2 years with GH treatment vs placebo</w:t>
            </w:r>
            <w:r w:rsidRPr="00FA3F9C">
              <w:rPr>
                <w:rFonts w:ascii="Arial" w:hAnsi="Arial" w:cs="Arial"/>
                <w:i/>
                <w:sz w:val="24"/>
                <w:szCs w:val="24"/>
                <w:vertAlign w:val="superscript"/>
              </w:rPr>
              <w:t>7</w:t>
            </w:r>
            <w:r w:rsidRPr="00FA3F9C">
              <w:rPr>
                <w:rFonts w:ascii="Arial" w:hAnsi="Arial" w:cs="Arial"/>
                <w:i/>
                <w:sz w:val="24"/>
                <w:szCs w:val="24"/>
              </w:rPr>
              <w:t xml:space="preserve">, there are no good studies demonstrating if normal adult height is achieved.  </w:t>
            </w:r>
          </w:p>
        </w:tc>
        <w:tc>
          <w:tcPr>
            <w:tcW w:w="2628" w:type="dxa"/>
            <w:shd w:val="clear" w:color="auto" w:fill="BFBFBF"/>
          </w:tcPr>
          <w:p w14:paraId="7F331832" w14:textId="77777777" w:rsidR="002641D2" w:rsidRPr="00FA3F9C" w:rsidRDefault="002641D2" w:rsidP="00BD30E5">
            <w:pPr>
              <w:spacing w:after="0" w:line="240" w:lineRule="auto"/>
              <w:rPr>
                <w:rFonts w:ascii="Arial" w:hAnsi="Arial" w:cs="Arial"/>
                <w:sz w:val="24"/>
                <w:szCs w:val="24"/>
              </w:rPr>
            </w:pPr>
            <w:r w:rsidRPr="00FA3F9C">
              <w:rPr>
                <w:rFonts w:ascii="Arial" w:hAnsi="Arial" w:cs="Arial"/>
                <w:sz w:val="24"/>
                <w:szCs w:val="24"/>
              </w:rPr>
              <w:lastRenderedPageBreak/>
              <w:sym w:font="Symbol" w:char="F0A0"/>
            </w:r>
            <w:r w:rsidRPr="00FA3F9C">
              <w:rPr>
                <w:rFonts w:ascii="Arial" w:hAnsi="Arial" w:cs="Arial"/>
                <w:sz w:val="24"/>
                <w:szCs w:val="24"/>
              </w:rPr>
              <w:t xml:space="preserve"> </w:t>
            </w:r>
            <w:proofErr w:type="spellStart"/>
            <w:r w:rsidRPr="00FA3F9C">
              <w:rPr>
                <w:rFonts w:ascii="Arial" w:hAnsi="Arial" w:cs="Arial"/>
                <w:sz w:val="24"/>
                <w:szCs w:val="24"/>
              </w:rPr>
              <w:t>Humatrope</w:t>
            </w:r>
            <w:proofErr w:type="spellEnd"/>
          </w:p>
          <w:p w14:paraId="66342654" w14:textId="77777777" w:rsidR="002641D2" w:rsidRPr="00FA3F9C" w:rsidRDefault="002641D2" w:rsidP="00BD30E5">
            <w:pPr>
              <w:spacing w:after="0" w:line="240" w:lineRule="auto"/>
              <w:rPr>
                <w:rFonts w:ascii="Arial" w:hAnsi="Arial" w:cs="Arial"/>
                <w:b/>
                <w:sz w:val="24"/>
                <w:szCs w:val="24"/>
              </w:rPr>
            </w:pPr>
          </w:p>
        </w:tc>
      </w:tr>
      <w:tr w:rsidR="002641D2" w:rsidRPr="00FA3F9C" w14:paraId="1EFC5948" w14:textId="77777777" w:rsidTr="003E1AA4">
        <w:tc>
          <w:tcPr>
            <w:tcW w:w="8388" w:type="dxa"/>
            <w:shd w:val="clear" w:color="auto" w:fill="BFBFBF"/>
          </w:tcPr>
          <w:p w14:paraId="583EFDF2" w14:textId="77777777" w:rsidR="002641D2" w:rsidRPr="00FA3F9C" w:rsidRDefault="002641D2" w:rsidP="00D909F6">
            <w:pPr>
              <w:spacing w:after="0" w:line="240" w:lineRule="auto"/>
              <w:rPr>
                <w:rFonts w:ascii="Arial" w:hAnsi="Arial" w:cs="Arial"/>
                <w:b/>
                <w:sz w:val="24"/>
                <w:szCs w:val="24"/>
              </w:rPr>
            </w:pPr>
            <w:r w:rsidRPr="00FA3F9C">
              <w:rPr>
                <w:rFonts w:ascii="Arial" w:hAnsi="Arial" w:cs="Arial"/>
                <w:b/>
                <w:sz w:val="24"/>
                <w:szCs w:val="24"/>
              </w:rPr>
              <w:t>Pediatric:  Short stature associated with Noonan syndrome</w:t>
            </w:r>
          </w:p>
          <w:p w14:paraId="03A119F0" w14:textId="77777777" w:rsidR="002641D2" w:rsidRPr="00FA3F9C" w:rsidRDefault="002641D2" w:rsidP="0021725D">
            <w:pPr>
              <w:spacing w:after="0" w:line="240" w:lineRule="auto"/>
              <w:rPr>
                <w:rFonts w:ascii="Arial" w:hAnsi="Arial" w:cs="Arial"/>
                <w:sz w:val="24"/>
                <w:szCs w:val="24"/>
              </w:rPr>
            </w:pPr>
            <w:r w:rsidRPr="00FA3F9C">
              <w:rPr>
                <w:rFonts w:ascii="Arial" w:hAnsi="Arial" w:cs="Arial"/>
                <w:sz w:val="24"/>
                <w:szCs w:val="24"/>
              </w:rPr>
              <w:t xml:space="preserve">Not a covered benefit.  While a clinical trial showed an initial increase in height standard deviation score, the accelerating effect of GH on bone maturation seemed to compromise the final height prognosis </w:t>
            </w:r>
          </w:p>
        </w:tc>
        <w:tc>
          <w:tcPr>
            <w:tcW w:w="2628" w:type="dxa"/>
            <w:shd w:val="clear" w:color="auto" w:fill="BFBFBF"/>
          </w:tcPr>
          <w:p w14:paraId="566CCAAD" w14:textId="77777777" w:rsidR="002641D2" w:rsidRPr="00FA3F9C" w:rsidRDefault="002641D2" w:rsidP="00BD30E5">
            <w:pPr>
              <w:spacing w:after="0" w:line="240" w:lineRule="auto"/>
              <w:rPr>
                <w:rFonts w:ascii="Arial" w:hAnsi="Arial" w:cs="Arial"/>
                <w:sz w:val="24"/>
                <w:szCs w:val="24"/>
              </w:rPr>
            </w:pPr>
            <w:r w:rsidRPr="00FA3F9C">
              <w:rPr>
                <w:rFonts w:ascii="Arial" w:hAnsi="Arial" w:cs="Arial"/>
                <w:sz w:val="24"/>
                <w:szCs w:val="24"/>
              </w:rPr>
              <w:sym w:font="Symbol" w:char="F0A0"/>
            </w:r>
            <w:r w:rsidRPr="00FA3F9C">
              <w:rPr>
                <w:rFonts w:ascii="Arial" w:hAnsi="Arial" w:cs="Arial"/>
                <w:sz w:val="24"/>
                <w:szCs w:val="24"/>
              </w:rPr>
              <w:t xml:space="preserve"> </w:t>
            </w:r>
            <w:proofErr w:type="spellStart"/>
            <w:r w:rsidRPr="00FA3F9C">
              <w:rPr>
                <w:rFonts w:ascii="Arial" w:hAnsi="Arial" w:cs="Arial"/>
                <w:sz w:val="24"/>
                <w:szCs w:val="24"/>
              </w:rPr>
              <w:t>Norditropin</w:t>
            </w:r>
            <w:proofErr w:type="spellEnd"/>
          </w:p>
          <w:p w14:paraId="26A83B6C" w14:textId="77777777" w:rsidR="002641D2" w:rsidRPr="00FA3F9C" w:rsidRDefault="002641D2" w:rsidP="00BD30E5">
            <w:pPr>
              <w:spacing w:after="0" w:line="240" w:lineRule="auto"/>
              <w:rPr>
                <w:rFonts w:ascii="Arial" w:hAnsi="Arial" w:cs="Arial"/>
                <w:sz w:val="24"/>
                <w:szCs w:val="24"/>
              </w:rPr>
            </w:pPr>
          </w:p>
        </w:tc>
      </w:tr>
      <w:tr w:rsidR="002641D2" w:rsidRPr="00FA3F9C" w14:paraId="490D97CA" w14:textId="77777777" w:rsidTr="00BD30E5">
        <w:tc>
          <w:tcPr>
            <w:tcW w:w="8388" w:type="dxa"/>
          </w:tcPr>
          <w:p w14:paraId="51F9D7BA" w14:textId="77777777" w:rsidR="002641D2" w:rsidRPr="00FA3F9C" w:rsidRDefault="002641D2" w:rsidP="0018438A">
            <w:pPr>
              <w:spacing w:after="0" w:line="240" w:lineRule="auto"/>
              <w:rPr>
                <w:rFonts w:ascii="Arial" w:hAnsi="Arial" w:cs="Arial"/>
                <w:b/>
                <w:sz w:val="24"/>
                <w:szCs w:val="24"/>
              </w:rPr>
            </w:pPr>
            <w:r w:rsidRPr="00FA3F9C">
              <w:rPr>
                <w:rFonts w:ascii="Arial" w:hAnsi="Arial" w:cs="Arial"/>
                <w:b/>
                <w:sz w:val="24"/>
                <w:szCs w:val="24"/>
              </w:rPr>
              <w:t xml:space="preserve">Adult:  GH deficiency of either childhood or </w:t>
            </w:r>
            <w:proofErr w:type="gramStart"/>
            <w:r w:rsidRPr="00FA3F9C">
              <w:rPr>
                <w:rFonts w:ascii="Arial" w:hAnsi="Arial" w:cs="Arial"/>
                <w:b/>
                <w:sz w:val="24"/>
                <w:szCs w:val="24"/>
              </w:rPr>
              <w:t>adult onset</w:t>
            </w:r>
            <w:proofErr w:type="gramEnd"/>
            <w:r w:rsidRPr="00FA3F9C">
              <w:rPr>
                <w:rFonts w:ascii="Arial" w:hAnsi="Arial" w:cs="Arial"/>
                <w:b/>
                <w:sz w:val="24"/>
                <w:szCs w:val="24"/>
              </w:rPr>
              <w:t xml:space="preserve"> etiology </w:t>
            </w:r>
          </w:p>
          <w:p w14:paraId="78D5D9BA" w14:textId="77777777" w:rsidR="002641D2" w:rsidRPr="00FA3F9C" w:rsidRDefault="002641D2" w:rsidP="0018438A">
            <w:pPr>
              <w:spacing w:after="0" w:line="240" w:lineRule="auto"/>
              <w:rPr>
                <w:rFonts w:ascii="Arial" w:hAnsi="Arial" w:cs="Arial"/>
                <w:b/>
                <w:sz w:val="24"/>
                <w:szCs w:val="24"/>
              </w:rPr>
            </w:pPr>
          </w:p>
          <w:p w14:paraId="3F0EA8A2" w14:textId="77777777" w:rsidR="002641D2" w:rsidRPr="00FA3F9C" w:rsidRDefault="002641D2" w:rsidP="0018438A">
            <w:pPr>
              <w:spacing w:after="0" w:line="240" w:lineRule="auto"/>
              <w:rPr>
                <w:rFonts w:ascii="Arial" w:hAnsi="Arial" w:cs="Arial"/>
                <w:b/>
                <w:i/>
                <w:sz w:val="24"/>
                <w:szCs w:val="24"/>
              </w:rPr>
            </w:pPr>
            <w:r w:rsidRPr="00FA3F9C">
              <w:rPr>
                <w:rFonts w:ascii="Arial" w:hAnsi="Arial" w:cs="Arial"/>
                <w:b/>
                <w:i/>
                <w:sz w:val="24"/>
                <w:szCs w:val="24"/>
              </w:rPr>
              <w:t>Childhood etiology</w:t>
            </w:r>
          </w:p>
          <w:p w14:paraId="306836A1" w14:textId="77777777" w:rsidR="002641D2" w:rsidRPr="00FA3F9C" w:rsidRDefault="002641D2" w:rsidP="002641D2">
            <w:pPr>
              <w:numPr>
                <w:ilvl w:val="0"/>
                <w:numId w:val="247"/>
              </w:numPr>
              <w:spacing w:after="0" w:line="240" w:lineRule="auto"/>
              <w:rPr>
                <w:rFonts w:ascii="Arial" w:hAnsi="Arial" w:cs="Arial"/>
                <w:sz w:val="24"/>
                <w:szCs w:val="24"/>
              </w:rPr>
            </w:pPr>
            <w:r w:rsidRPr="00FA3F9C">
              <w:rPr>
                <w:rFonts w:ascii="Arial" w:hAnsi="Arial" w:cs="Arial"/>
                <w:sz w:val="24"/>
                <w:szCs w:val="24"/>
                <w:u w:val="single"/>
              </w:rPr>
              <w:t>Open epiphyses</w:t>
            </w:r>
            <w:r w:rsidRPr="00FA3F9C">
              <w:rPr>
                <w:rFonts w:ascii="Arial" w:hAnsi="Arial" w:cs="Arial"/>
                <w:sz w:val="24"/>
                <w:szCs w:val="24"/>
              </w:rPr>
              <w:t xml:space="preserve"> (usually close between 18-25 </w:t>
            </w:r>
            <w:proofErr w:type="spellStart"/>
            <w:r w:rsidRPr="00FA3F9C">
              <w:rPr>
                <w:rFonts w:ascii="Arial" w:hAnsi="Arial" w:cs="Arial"/>
                <w:sz w:val="24"/>
                <w:szCs w:val="24"/>
              </w:rPr>
              <w:t>yrs</w:t>
            </w:r>
            <w:proofErr w:type="spellEnd"/>
            <w:r w:rsidRPr="00FA3F9C">
              <w:rPr>
                <w:rFonts w:ascii="Arial" w:hAnsi="Arial" w:cs="Arial"/>
                <w:sz w:val="24"/>
                <w:szCs w:val="24"/>
              </w:rPr>
              <w:t>)</w:t>
            </w:r>
          </w:p>
          <w:p w14:paraId="290487EB" w14:textId="77777777" w:rsidR="002641D2" w:rsidRPr="00FA3F9C" w:rsidRDefault="002641D2" w:rsidP="002641D2">
            <w:pPr>
              <w:numPr>
                <w:ilvl w:val="1"/>
                <w:numId w:val="248"/>
              </w:numPr>
              <w:spacing w:after="0" w:line="240" w:lineRule="auto"/>
              <w:ind w:left="1080" w:firstLine="0"/>
              <w:rPr>
                <w:rFonts w:ascii="Arial" w:hAnsi="Arial" w:cs="Arial"/>
                <w:sz w:val="24"/>
                <w:szCs w:val="24"/>
              </w:rPr>
            </w:pPr>
            <w:r w:rsidRPr="00FA3F9C">
              <w:rPr>
                <w:rFonts w:ascii="Arial" w:hAnsi="Arial" w:cs="Arial"/>
                <w:sz w:val="24"/>
                <w:szCs w:val="24"/>
              </w:rPr>
              <w:t xml:space="preserve">Confirmed GH deficiency </w:t>
            </w:r>
          </w:p>
          <w:p w14:paraId="2DDF1C83" w14:textId="77777777" w:rsidR="002641D2" w:rsidRPr="00FA3F9C" w:rsidRDefault="002641D2" w:rsidP="002641D2">
            <w:pPr>
              <w:numPr>
                <w:ilvl w:val="1"/>
                <w:numId w:val="248"/>
              </w:numPr>
              <w:spacing w:after="0" w:line="240" w:lineRule="auto"/>
              <w:ind w:left="1440"/>
              <w:rPr>
                <w:rFonts w:ascii="Arial" w:hAnsi="Arial" w:cs="Arial"/>
                <w:sz w:val="24"/>
                <w:szCs w:val="24"/>
              </w:rPr>
            </w:pPr>
            <w:r w:rsidRPr="00FA3F9C">
              <w:rPr>
                <w:rFonts w:ascii="Arial" w:hAnsi="Arial" w:cs="Arial"/>
                <w:sz w:val="24"/>
                <w:szCs w:val="24"/>
              </w:rPr>
              <w:t xml:space="preserve">X-ray of long bone shows open epiphyses (pts must have yearly x-ray to confirm epiphyses still open during this time) </w:t>
            </w:r>
          </w:p>
          <w:p w14:paraId="635594C5" w14:textId="77777777" w:rsidR="002641D2" w:rsidRPr="00FA3F9C" w:rsidRDefault="002641D2" w:rsidP="00FE11FD">
            <w:pPr>
              <w:spacing w:after="0" w:line="240" w:lineRule="auto"/>
              <w:ind w:firstLine="720"/>
              <w:rPr>
                <w:rFonts w:ascii="Arial" w:hAnsi="Arial" w:cs="Arial"/>
                <w:sz w:val="24"/>
                <w:szCs w:val="24"/>
              </w:rPr>
            </w:pPr>
            <w:r w:rsidRPr="00FA3F9C">
              <w:rPr>
                <w:rFonts w:ascii="Arial" w:hAnsi="Arial" w:cs="Arial"/>
                <w:sz w:val="24"/>
                <w:szCs w:val="24"/>
              </w:rPr>
              <w:t>Initial Approval: 1 year</w:t>
            </w:r>
          </w:p>
          <w:p w14:paraId="653938D5" w14:textId="77777777" w:rsidR="002641D2" w:rsidRPr="00FA3F9C" w:rsidRDefault="002641D2" w:rsidP="00FE11FD">
            <w:pPr>
              <w:spacing w:after="0" w:line="240" w:lineRule="auto"/>
              <w:ind w:firstLine="720"/>
              <w:rPr>
                <w:rFonts w:ascii="Arial" w:hAnsi="Arial" w:cs="Arial"/>
                <w:sz w:val="24"/>
                <w:szCs w:val="24"/>
              </w:rPr>
            </w:pPr>
            <w:r w:rsidRPr="00FA3F9C">
              <w:rPr>
                <w:rFonts w:ascii="Arial" w:hAnsi="Arial" w:cs="Arial"/>
                <w:sz w:val="24"/>
                <w:szCs w:val="24"/>
              </w:rPr>
              <w:t xml:space="preserve">Reauthorization: must continue to provide evidence of open epiphyses </w:t>
            </w:r>
          </w:p>
          <w:p w14:paraId="5F463977" w14:textId="77777777" w:rsidR="002641D2" w:rsidRPr="00FA3F9C" w:rsidRDefault="002641D2" w:rsidP="002641D2">
            <w:pPr>
              <w:numPr>
                <w:ilvl w:val="0"/>
                <w:numId w:val="247"/>
              </w:numPr>
              <w:spacing w:after="0" w:line="240" w:lineRule="auto"/>
              <w:rPr>
                <w:rFonts w:ascii="Arial" w:hAnsi="Arial" w:cs="Arial"/>
                <w:sz w:val="24"/>
                <w:szCs w:val="24"/>
                <w:u w:val="single"/>
              </w:rPr>
            </w:pPr>
            <w:r w:rsidRPr="00FA3F9C">
              <w:rPr>
                <w:rFonts w:ascii="Arial" w:hAnsi="Arial" w:cs="Arial"/>
                <w:sz w:val="24"/>
                <w:szCs w:val="24"/>
                <w:u w:val="single"/>
              </w:rPr>
              <w:t>Closed epiphyses</w:t>
            </w:r>
          </w:p>
          <w:p w14:paraId="24176E43" w14:textId="77777777" w:rsidR="002641D2" w:rsidRPr="00FA3F9C" w:rsidRDefault="002641D2" w:rsidP="002641D2">
            <w:pPr>
              <w:numPr>
                <w:ilvl w:val="0"/>
                <w:numId w:val="234"/>
              </w:numPr>
              <w:spacing w:after="0" w:line="240" w:lineRule="auto"/>
              <w:rPr>
                <w:rFonts w:ascii="Arial" w:hAnsi="Arial" w:cs="Arial"/>
                <w:b/>
                <w:sz w:val="24"/>
                <w:szCs w:val="24"/>
              </w:rPr>
            </w:pPr>
            <w:r w:rsidRPr="00FA3F9C">
              <w:rPr>
                <w:rFonts w:ascii="Arial" w:hAnsi="Arial" w:cs="Arial"/>
                <w:sz w:val="24"/>
                <w:szCs w:val="24"/>
              </w:rPr>
              <w:t>must confirm GH deficiency with provocative GH stimulation test [A child’s GH stim test would need to be &lt;10ng/mL to represent deficiency.]</w:t>
            </w:r>
          </w:p>
          <w:p w14:paraId="31EDC6A0" w14:textId="77777777" w:rsidR="002641D2" w:rsidRPr="00FA3F9C" w:rsidRDefault="002641D2" w:rsidP="002641D2">
            <w:pPr>
              <w:numPr>
                <w:ilvl w:val="0"/>
                <w:numId w:val="234"/>
              </w:numPr>
              <w:spacing w:after="0" w:line="240" w:lineRule="auto"/>
              <w:rPr>
                <w:rFonts w:ascii="Arial" w:hAnsi="Arial" w:cs="Arial"/>
                <w:sz w:val="24"/>
                <w:szCs w:val="24"/>
              </w:rPr>
            </w:pPr>
            <w:r w:rsidRPr="00FA3F9C">
              <w:rPr>
                <w:rFonts w:ascii="Arial" w:hAnsi="Arial" w:cs="Arial"/>
                <w:sz w:val="24"/>
                <w:szCs w:val="24"/>
              </w:rPr>
              <w:t xml:space="preserve">If a transition patient (receiving GH when &lt;18), </w:t>
            </w:r>
            <w:proofErr w:type="spellStart"/>
            <w:r w:rsidRPr="00FA3F9C">
              <w:rPr>
                <w:rFonts w:ascii="Arial" w:hAnsi="Arial" w:cs="Arial"/>
                <w:sz w:val="24"/>
                <w:szCs w:val="24"/>
              </w:rPr>
              <w:t>pt</w:t>
            </w:r>
            <w:proofErr w:type="spellEnd"/>
            <w:r w:rsidRPr="00FA3F9C">
              <w:rPr>
                <w:rFonts w:ascii="Arial" w:hAnsi="Arial" w:cs="Arial"/>
                <w:sz w:val="24"/>
                <w:szCs w:val="24"/>
              </w:rPr>
              <w:t xml:space="preserve"> must have been off GH at least one month before GH test to determine if true GHD persists</w:t>
            </w:r>
          </w:p>
          <w:p w14:paraId="09E9AA24" w14:textId="77777777" w:rsidR="002641D2" w:rsidRPr="00FA3F9C" w:rsidRDefault="002641D2" w:rsidP="002641D2">
            <w:pPr>
              <w:numPr>
                <w:ilvl w:val="0"/>
                <w:numId w:val="234"/>
              </w:numPr>
              <w:spacing w:after="0" w:line="240" w:lineRule="auto"/>
              <w:rPr>
                <w:rFonts w:ascii="Arial" w:hAnsi="Arial" w:cs="Arial"/>
                <w:sz w:val="24"/>
                <w:szCs w:val="24"/>
              </w:rPr>
            </w:pPr>
            <w:r w:rsidRPr="00FA3F9C">
              <w:rPr>
                <w:rFonts w:ascii="Arial" w:hAnsi="Arial" w:cs="Arial"/>
                <w:sz w:val="24"/>
                <w:szCs w:val="24"/>
              </w:rPr>
              <w:t xml:space="preserve">Must score ≥ 11 on “Quality of Life Assessment of Growth Hormone Deficiency in Adults” questionnaire during GH-free period </w:t>
            </w:r>
          </w:p>
          <w:p w14:paraId="6430DB87" w14:textId="77777777" w:rsidR="002641D2" w:rsidRPr="00FA3F9C" w:rsidRDefault="002641D2" w:rsidP="00FE11FD">
            <w:pPr>
              <w:spacing w:after="0" w:line="240" w:lineRule="auto"/>
              <w:ind w:firstLine="720"/>
              <w:rPr>
                <w:rFonts w:ascii="Arial" w:hAnsi="Arial" w:cs="Arial"/>
                <w:sz w:val="24"/>
                <w:szCs w:val="24"/>
              </w:rPr>
            </w:pPr>
            <w:r w:rsidRPr="00FA3F9C">
              <w:rPr>
                <w:rFonts w:ascii="Arial" w:hAnsi="Arial" w:cs="Arial"/>
                <w:sz w:val="24"/>
                <w:szCs w:val="24"/>
              </w:rPr>
              <w:t>Initial Approval: 1 year</w:t>
            </w:r>
          </w:p>
          <w:p w14:paraId="4162A994" w14:textId="77777777" w:rsidR="002641D2" w:rsidRPr="00FA3F9C" w:rsidRDefault="002641D2" w:rsidP="00FE11FD">
            <w:pPr>
              <w:spacing w:after="0" w:line="240" w:lineRule="auto"/>
              <w:ind w:left="720"/>
              <w:rPr>
                <w:rFonts w:ascii="Arial" w:hAnsi="Arial" w:cs="Arial"/>
                <w:sz w:val="24"/>
                <w:szCs w:val="24"/>
              </w:rPr>
            </w:pPr>
            <w:r w:rsidRPr="00FA3F9C">
              <w:rPr>
                <w:rFonts w:ascii="Arial" w:hAnsi="Arial" w:cs="Arial"/>
                <w:sz w:val="24"/>
                <w:szCs w:val="24"/>
              </w:rPr>
              <w:t>Reauthorization:  Score on “Quality of Life Assessment of Growth Hormone Deficiency in Adults” questionnaire must have increased by ≥ 7 points.</w:t>
            </w:r>
          </w:p>
          <w:p w14:paraId="01105CF3" w14:textId="77777777" w:rsidR="002641D2" w:rsidRPr="00FA3F9C" w:rsidRDefault="002641D2" w:rsidP="00FE11FD">
            <w:pPr>
              <w:spacing w:after="0" w:line="240" w:lineRule="auto"/>
              <w:rPr>
                <w:rFonts w:ascii="Arial" w:hAnsi="Arial" w:cs="Arial"/>
                <w:sz w:val="24"/>
                <w:szCs w:val="24"/>
              </w:rPr>
            </w:pPr>
          </w:p>
          <w:p w14:paraId="6BCA8302" w14:textId="77777777" w:rsidR="002641D2" w:rsidRPr="00FA3F9C" w:rsidRDefault="002641D2" w:rsidP="008C3B83">
            <w:pPr>
              <w:spacing w:after="0" w:line="240" w:lineRule="auto"/>
              <w:rPr>
                <w:rFonts w:ascii="Arial" w:hAnsi="Arial" w:cs="Arial"/>
                <w:b/>
                <w:i/>
                <w:sz w:val="24"/>
                <w:szCs w:val="24"/>
              </w:rPr>
            </w:pPr>
            <w:r w:rsidRPr="00FA3F9C">
              <w:rPr>
                <w:rFonts w:ascii="Arial" w:hAnsi="Arial" w:cs="Arial"/>
                <w:b/>
                <w:i/>
                <w:sz w:val="24"/>
                <w:szCs w:val="24"/>
              </w:rPr>
              <w:lastRenderedPageBreak/>
              <w:t xml:space="preserve">Adult onset </w:t>
            </w:r>
          </w:p>
          <w:p w14:paraId="5310CE6D" w14:textId="77777777" w:rsidR="002641D2" w:rsidRPr="00FA3F9C" w:rsidRDefault="002641D2" w:rsidP="002641D2">
            <w:pPr>
              <w:numPr>
                <w:ilvl w:val="0"/>
                <w:numId w:val="249"/>
              </w:numPr>
              <w:spacing w:after="0" w:line="240" w:lineRule="auto"/>
              <w:rPr>
                <w:rFonts w:ascii="Arial" w:hAnsi="Arial" w:cs="Arial"/>
                <w:sz w:val="24"/>
                <w:szCs w:val="24"/>
                <w:u w:val="single"/>
              </w:rPr>
            </w:pPr>
            <w:r w:rsidRPr="00FA3F9C">
              <w:rPr>
                <w:rFonts w:ascii="Arial" w:hAnsi="Arial" w:cs="Arial"/>
                <w:sz w:val="24"/>
                <w:szCs w:val="24"/>
                <w:u w:val="single"/>
              </w:rPr>
              <w:t xml:space="preserve">Idiopathic: </w:t>
            </w:r>
          </w:p>
          <w:p w14:paraId="46CC03CA" w14:textId="77777777" w:rsidR="002641D2" w:rsidRPr="00FA3F9C" w:rsidRDefault="002641D2" w:rsidP="002641D2">
            <w:pPr>
              <w:numPr>
                <w:ilvl w:val="1"/>
                <w:numId w:val="245"/>
              </w:numPr>
              <w:spacing w:after="0" w:line="240" w:lineRule="auto"/>
              <w:rPr>
                <w:rFonts w:ascii="Arial" w:hAnsi="Arial" w:cs="Arial"/>
                <w:sz w:val="24"/>
                <w:szCs w:val="24"/>
              </w:rPr>
            </w:pPr>
            <w:r w:rsidRPr="00FA3F9C">
              <w:rPr>
                <w:rFonts w:ascii="Arial" w:hAnsi="Arial" w:cs="Arial"/>
                <w:sz w:val="24"/>
                <w:szCs w:val="24"/>
              </w:rPr>
              <w:t>Must confirm GH deficiency with TWO provocative GH stimulation tests because idiopathic GHD in adults is very rare [A positive GHD stim test would be &lt;5ng/</w:t>
            </w:r>
            <w:proofErr w:type="spellStart"/>
            <w:r w:rsidRPr="00FA3F9C">
              <w:rPr>
                <w:rFonts w:ascii="Arial" w:hAnsi="Arial" w:cs="Arial"/>
                <w:sz w:val="24"/>
                <w:szCs w:val="24"/>
              </w:rPr>
              <w:t>mL.</w:t>
            </w:r>
            <w:proofErr w:type="spellEnd"/>
            <w:r w:rsidRPr="00FA3F9C">
              <w:rPr>
                <w:rFonts w:ascii="Arial" w:hAnsi="Arial" w:cs="Arial"/>
                <w:sz w:val="24"/>
                <w:szCs w:val="24"/>
              </w:rPr>
              <w:t>]</w:t>
            </w:r>
          </w:p>
          <w:p w14:paraId="1BBA2E35" w14:textId="77777777" w:rsidR="002641D2" w:rsidRPr="00FA3F9C" w:rsidRDefault="002641D2" w:rsidP="002641D2">
            <w:pPr>
              <w:numPr>
                <w:ilvl w:val="0"/>
                <w:numId w:val="249"/>
              </w:numPr>
              <w:spacing w:after="0" w:line="240" w:lineRule="auto"/>
              <w:rPr>
                <w:rFonts w:ascii="Arial" w:hAnsi="Arial" w:cs="Arial"/>
                <w:sz w:val="24"/>
                <w:szCs w:val="24"/>
                <w:u w:val="single"/>
              </w:rPr>
            </w:pPr>
            <w:r w:rsidRPr="00FA3F9C">
              <w:rPr>
                <w:rFonts w:ascii="Arial" w:hAnsi="Arial" w:cs="Arial"/>
                <w:sz w:val="24"/>
                <w:szCs w:val="24"/>
                <w:u w:val="single"/>
              </w:rPr>
              <w:t>Acquired:</w:t>
            </w:r>
          </w:p>
          <w:p w14:paraId="508B6837" w14:textId="77777777" w:rsidR="002641D2" w:rsidRPr="00FA3F9C" w:rsidRDefault="002641D2" w:rsidP="002641D2">
            <w:pPr>
              <w:numPr>
                <w:ilvl w:val="1"/>
                <w:numId w:val="245"/>
              </w:numPr>
              <w:spacing w:after="0" w:line="240" w:lineRule="auto"/>
              <w:rPr>
                <w:rFonts w:ascii="Arial" w:hAnsi="Arial" w:cs="Arial"/>
                <w:sz w:val="24"/>
                <w:szCs w:val="24"/>
              </w:rPr>
            </w:pPr>
            <w:r w:rsidRPr="00FA3F9C">
              <w:rPr>
                <w:rFonts w:ascii="Arial" w:hAnsi="Arial" w:cs="Arial"/>
                <w:sz w:val="24"/>
                <w:szCs w:val="24"/>
              </w:rPr>
              <w:t xml:space="preserve">If </w:t>
            </w:r>
            <w:proofErr w:type="spellStart"/>
            <w:r w:rsidRPr="00FA3F9C">
              <w:rPr>
                <w:rFonts w:ascii="Arial" w:hAnsi="Arial" w:cs="Arial"/>
                <w:sz w:val="24"/>
                <w:szCs w:val="24"/>
              </w:rPr>
              <w:t>pt</w:t>
            </w:r>
            <w:proofErr w:type="spellEnd"/>
            <w:r w:rsidRPr="00FA3F9C">
              <w:rPr>
                <w:rFonts w:ascii="Arial" w:hAnsi="Arial" w:cs="Arial"/>
                <w:sz w:val="24"/>
                <w:szCs w:val="24"/>
              </w:rPr>
              <w:t xml:space="preserve"> has a diagnosis of structural hypothalamic/pituitary disease, surgery or irradiation to pituitary, or head trauma then only one provocative GH stimulation test is necessary. A GH stim test would need to be &lt;5ng/mL to be positive; </w:t>
            </w:r>
            <w:proofErr w:type="gramStart"/>
            <w:r w:rsidRPr="00FA3F9C">
              <w:rPr>
                <w:rFonts w:ascii="Arial" w:hAnsi="Arial" w:cs="Arial"/>
                <w:sz w:val="24"/>
                <w:szCs w:val="24"/>
              </w:rPr>
              <w:t>also</w:t>
            </w:r>
            <w:proofErr w:type="gramEnd"/>
            <w:r w:rsidRPr="00FA3F9C">
              <w:rPr>
                <w:rFonts w:ascii="Arial" w:hAnsi="Arial" w:cs="Arial"/>
                <w:sz w:val="24"/>
                <w:szCs w:val="24"/>
              </w:rPr>
              <w:t xml:space="preserve"> a </w:t>
            </w:r>
            <w:proofErr w:type="spellStart"/>
            <w:r w:rsidRPr="00FA3F9C">
              <w:rPr>
                <w:rFonts w:ascii="Arial" w:hAnsi="Arial" w:cs="Arial"/>
                <w:sz w:val="24"/>
                <w:szCs w:val="24"/>
              </w:rPr>
              <w:t>panhypopituitary</w:t>
            </w:r>
            <w:proofErr w:type="spellEnd"/>
            <w:r w:rsidRPr="00FA3F9C">
              <w:rPr>
                <w:rFonts w:ascii="Arial" w:hAnsi="Arial" w:cs="Arial"/>
                <w:sz w:val="24"/>
                <w:szCs w:val="24"/>
              </w:rPr>
              <w:t xml:space="preserve"> patient would have other drugs representative of </w:t>
            </w:r>
            <w:proofErr w:type="spellStart"/>
            <w:r w:rsidRPr="00FA3F9C">
              <w:rPr>
                <w:rFonts w:ascii="Arial" w:hAnsi="Arial" w:cs="Arial"/>
                <w:sz w:val="24"/>
                <w:szCs w:val="24"/>
              </w:rPr>
              <w:t>panhypopituitaryism</w:t>
            </w:r>
            <w:proofErr w:type="spellEnd"/>
            <w:r w:rsidRPr="00FA3F9C">
              <w:rPr>
                <w:rFonts w:ascii="Arial" w:hAnsi="Arial" w:cs="Arial"/>
                <w:sz w:val="24"/>
                <w:szCs w:val="24"/>
              </w:rPr>
              <w:t>.]</w:t>
            </w:r>
          </w:p>
          <w:p w14:paraId="0F29F255" w14:textId="77777777" w:rsidR="002641D2" w:rsidRPr="00FA3F9C" w:rsidRDefault="002641D2" w:rsidP="009376F1">
            <w:pPr>
              <w:spacing w:after="0" w:line="240" w:lineRule="auto"/>
              <w:rPr>
                <w:rFonts w:ascii="Arial" w:hAnsi="Arial" w:cs="Arial"/>
                <w:sz w:val="24"/>
                <w:szCs w:val="24"/>
              </w:rPr>
            </w:pPr>
            <w:r w:rsidRPr="00FA3F9C">
              <w:rPr>
                <w:rFonts w:ascii="Arial" w:hAnsi="Arial" w:cs="Arial"/>
                <w:sz w:val="24"/>
                <w:szCs w:val="24"/>
              </w:rPr>
              <w:t>Initial Approval: 1 year</w:t>
            </w:r>
          </w:p>
          <w:p w14:paraId="57424D04" w14:textId="77777777" w:rsidR="002641D2" w:rsidRPr="00FA3F9C" w:rsidRDefault="002641D2" w:rsidP="009376F1">
            <w:pPr>
              <w:spacing w:after="0" w:line="240" w:lineRule="auto"/>
              <w:rPr>
                <w:rFonts w:ascii="Arial" w:hAnsi="Arial" w:cs="Arial"/>
                <w:sz w:val="24"/>
                <w:szCs w:val="24"/>
              </w:rPr>
            </w:pPr>
            <w:r w:rsidRPr="00FA3F9C">
              <w:rPr>
                <w:rFonts w:ascii="Arial" w:hAnsi="Arial" w:cs="Arial"/>
                <w:sz w:val="24"/>
                <w:szCs w:val="24"/>
              </w:rPr>
              <w:t xml:space="preserve">Reauthorization:  Score on “Quality of Life Assessment of Growth Hormone Deficiency in Adults” questionnaire must have increased by ≥ 7 points. </w:t>
            </w:r>
          </w:p>
        </w:tc>
        <w:tc>
          <w:tcPr>
            <w:tcW w:w="2628" w:type="dxa"/>
          </w:tcPr>
          <w:p w14:paraId="25917DC1" w14:textId="77777777" w:rsidR="002641D2" w:rsidRPr="00FA3F9C" w:rsidRDefault="002641D2" w:rsidP="00B405FF">
            <w:pPr>
              <w:spacing w:after="0" w:line="240" w:lineRule="auto"/>
              <w:rPr>
                <w:rFonts w:ascii="Arial" w:hAnsi="Arial" w:cs="Arial"/>
                <w:sz w:val="24"/>
                <w:szCs w:val="24"/>
              </w:rPr>
            </w:pPr>
            <w:r w:rsidRPr="00FA3F9C">
              <w:rPr>
                <w:rFonts w:ascii="Arial" w:hAnsi="Arial" w:cs="Arial"/>
                <w:sz w:val="24"/>
                <w:szCs w:val="24"/>
              </w:rPr>
              <w:lastRenderedPageBreak/>
              <w:sym w:font="Symbol" w:char="F0A0"/>
            </w:r>
            <w:r w:rsidRPr="00FA3F9C">
              <w:rPr>
                <w:rFonts w:ascii="Arial" w:hAnsi="Arial" w:cs="Arial"/>
                <w:sz w:val="24"/>
                <w:szCs w:val="24"/>
              </w:rPr>
              <w:t xml:space="preserve"> </w:t>
            </w:r>
            <w:proofErr w:type="spellStart"/>
            <w:r w:rsidRPr="00FA3F9C">
              <w:rPr>
                <w:rFonts w:ascii="Arial" w:hAnsi="Arial" w:cs="Arial"/>
                <w:sz w:val="24"/>
                <w:szCs w:val="24"/>
              </w:rPr>
              <w:t>Norditropin</w:t>
            </w:r>
            <w:proofErr w:type="spellEnd"/>
            <w:r w:rsidRPr="00FA3F9C">
              <w:rPr>
                <w:rFonts w:ascii="Arial" w:hAnsi="Arial" w:cs="Arial"/>
                <w:sz w:val="24"/>
                <w:szCs w:val="24"/>
              </w:rPr>
              <w:t>--EBD</w:t>
            </w:r>
          </w:p>
          <w:p w14:paraId="59920CC9" w14:textId="77777777" w:rsidR="002641D2" w:rsidRPr="00FA3F9C" w:rsidRDefault="002641D2" w:rsidP="00BD30E5">
            <w:pPr>
              <w:spacing w:after="0" w:line="240" w:lineRule="auto"/>
              <w:rPr>
                <w:rFonts w:ascii="Arial" w:hAnsi="Arial" w:cs="Arial"/>
                <w:sz w:val="24"/>
                <w:szCs w:val="24"/>
                <w:highlight w:val="lightGray"/>
              </w:rPr>
            </w:pPr>
            <w:r w:rsidRPr="00FA3F9C">
              <w:rPr>
                <w:rFonts w:ascii="Arial" w:hAnsi="Arial" w:cs="Arial"/>
                <w:sz w:val="24"/>
                <w:szCs w:val="24"/>
                <w:highlight w:val="lightGray"/>
              </w:rPr>
              <w:sym w:font="Symbol" w:char="F0A0"/>
            </w:r>
            <w:r w:rsidRPr="00FA3F9C">
              <w:rPr>
                <w:rFonts w:ascii="Arial" w:hAnsi="Arial" w:cs="Arial"/>
                <w:sz w:val="24"/>
                <w:szCs w:val="24"/>
                <w:highlight w:val="lightGray"/>
              </w:rPr>
              <w:t>Genotropin</w:t>
            </w:r>
          </w:p>
          <w:p w14:paraId="53015349" w14:textId="77777777" w:rsidR="002641D2" w:rsidRPr="00FA3F9C" w:rsidRDefault="002641D2" w:rsidP="00BD30E5">
            <w:pPr>
              <w:spacing w:after="0" w:line="240" w:lineRule="auto"/>
              <w:rPr>
                <w:rFonts w:ascii="Arial" w:hAnsi="Arial" w:cs="Arial"/>
                <w:sz w:val="24"/>
                <w:szCs w:val="24"/>
                <w:highlight w:val="lightGray"/>
              </w:rPr>
            </w:pPr>
            <w:r w:rsidRPr="00FA3F9C">
              <w:rPr>
                <w:rFonts w:ascii="Arial" w:hAnsi="Arial" w:cs="Arial"/>
                <w:sz w:val="24"/>
                <w:szCs w:val="24"/>
                <w:highlight w:val="lightGray"/>
              </w:rPr>
              <w:sym w:font="Symbol" w:char="F0A0"/>
            </w:r>
            <w:r w:rsidRPr="00FA3F9C">
              <w:rPr>
                <w:rFonts w:ascii="Arial" w:hAnsi="Arial" w:cs="Arial"/>
                <w:sz w:val="24"/>
                <w:szCs w:val="24"/>
                <w:highlight w:val="lightGray"/>
              </w:rPr>
              <w:t xml:space="preserve"> </w:t>
            </w:r>
            <w:proofErr w:type="spellStart"/>
            <w:r w:rsidRPr="00FA3F9C">
              <w:rPr>
                <w:rFonts w:ascii="Arial" w:hAnsi="Arial" w:cs="Arial"/>
                <w:sz w:val="24"/>
                <w:szCs w:val="24"/>
                <w:highlight w:val="lightGray"/>
              </w:rPr>
              <w:t>Humatrope</w:t>
            </w:r>
            <w:proofErr w:type="spellEnd"/>
          </w:p>
          <w:p w14:paraId="74E4F04F" w14:textId="77777777" w:rsidR="002641D2" w:rsidRPr="00FA3F9C" w:rsidRDefault="002641D2" w:rsidP="00BD30E5">
            <w:pPr>
              <w:spacing w:after="0" w:line="240" w:lineRule="auto"/>
              <w:rPr>
                <w:rFonts w:ascii="Arial" w:hAnsi="Arial" w:cs="Arial"/>
                <w:sz w:val="24"/>
                <w:szCs w:val="24"/>
                <w:highlight w:val="lightGray"/>
              </w:rPr>
            </w:pPr>
            <w:r w:rsidRPr="00FA3F9C">
              <w:rPr>
                <w:rFonts w:ascii="Arial" w:hAnsi="Arial" w:cs="Arial"/>
                <w:sz w:val="24"/>
                <w:szCs w:val="24"/>
                <w:highlight w:val="lightGray"/>
              </w:rPr>
              <w:sym w:font="Symbol" w:char="F0A0"/>
            </w:r>
            <w:proofErr w:type="spellStart"/>
            <w:r w:rsidRPr="00FA3F9C">
              <w:rPr>
                <w:rFonts w:ascii="Arial" w:hAnsi="Arial" w:cs="Arial"/>
                <w:sz w:val="24"/>
                <w:szCs w:val="24"/>
                <w:highlight w:val="lightGray"/>
              </w:rPr>
              <w:t>Nutropin</w:t>
            </w:r>
            <w:proofErr w:type="spellEnd"/>
          </w:p>
          <w:p w14:paraId="0DE3E9E8" w14:textId="77777777" w:rsidR="002641D2" w:rsidRPr="00FA3F9C" w:rsidRDefault="002641D2" w:rsidP="00BD30E5">
            <w:pPr>
              <w:spacing w:after="0" w:line="240" w:lineRule="auto"/>
              <w:rPr>
                <w:rFonts w:ascii="Arial" w:hAnsi="Arial" w:cs="Arial"/>
                <w:sz w:val="24"/>
                <w:szCs w:val="24"/>
              </w:rPr>
            </w:pPr>
            <w:r w:rsidRPr="00FA3F9C">
              <w:rPr>
                <w:rFonts w:ascii="Arial" w:hAnsi="Arial" w:cs="Arial"/>
                <w:sz w:val="24"/>
                <w:szCs w:val="24"/>
              </w:rPr>
              <w:sym w:font="Symbol" w:char="F0A0"/>
            </w:r>
            <w:proofErr w:type="spellStart"/>
            <w:r w:rsidRPr="00FA3F9C">
              <w:rPr>
                <w:rFonts w:ascii="Arial" w:hAnsi="Arial" w:cs="Arial"/>
                <w:sz w:val="24"/>
                <w:szCs w:val="24"/>
              </w:rPr>
              <w:t>Omnitrope</w:t>
            </w:r>
            <w:proofErr w:type="spellEnd"/>
            <w:r w:rsidRPr="00FA3F9C">
              <w:rPr>
                <w:rFonts w:ascii="Arial" w:hAnsi="Arial" w:cs="Arial"/>
                <w:sz w:val="24"/>
                <w:szCs w:val="24"/>
              </w:rPr>
              <w:t>--UAS</w:t>
            </w:r>
          </w:p>
          <w:p w14:paraId="7B912FA3" w14:textId="77777777" w:rsidR="002641D2" w:rsidRPr="00FA3F9C" w:rsidRDefault="002641D2" w:rsidP="00BD30E5">
            <w:pPr>
              <w:spacing w:after="0" w:line="240" w:lineRule="auto"/>
              <w:rPr>
                <w:rFonts w:ascii="Arial" w:hAnsi="Arial" w:cs="Arial"/>
                <w:sz w:val="24"/>
                <w:szCs w:val="24"/>
              </w:rPr>
            </w:pPr>
            <w:r w:rsidRPr="00FA3F9C">
              <w:rPr>
                <w:rFonts w:ascii="Arial" w:hAnsi="Arial" w:cs="Arial"/>
                <w:sz w:val="24"/>
                <w:szCs w:val="24"/>
                <w:highlight w:val="lightGray"/>
              </w:rPr>
              <w:sym w:font="Symbol" w:char="F0A0"/>
            </w:r>
            <w:proofErr w:type="spellStart"/>
            <w:r w:rsidRPr="00FA3F9C">
              <w:rPr>
                <w:rFonts w:ascii="Arial" w:hAnsi="Arial" w:cs="Arial"/>
                <w:sz w:val="24"/>
                <w:szCs w:val="24"/>
                <w:highlight w:val="lightGray"/>
              </w:rPr>
              <w:t>Saizen</w:t>
            </w:r>
            <w:proofErr w:type="spellEnd"/>
          </w:p>
          <w:p w14:paraId="0BDD6F90" w14:textId="77777777" w:rsidR="002641D2" w:rsidRPr="00FA3F9C" w:rsidRDefault="002641D2" w:rsidP="00BD30E5">
            <w:pPr>
              <w:spacing w:after="0" w:line="240" w:lineRule="auto"/>
              <w:rPr>
                <w:rFonts w:ascii="Arial" w:hAnsi="Arial" w:cs="Arial"/>
                <w:sz w:val="24"/>
                <w:szCs w:val="24"/>
              </w:rPr>
            </w:pPr>
          </w:p>
        </w:tc>
      </w:tr>
      <w:tr w:rsidR="002641D2" w:rsidRPr="00FA3F9C" w14:paraId="6CF0896F" w14:textId="77777777" w:rsidTr="00BD30E5">
        <w:tc>
          <w:tcPr>
            <w:tcW w:w="8388" w:type="dxa"/>
          </w:tcPr>
          <w:p w14:paraId="29850E3B" w14:textId="77777777" w:rsidR="002641D2" w:rsidRPr="00FA3F9C" w:rsidRDefault="002641D2" w:rsidP="0018438A">
            <w:pPr>
              <w:spacing w:after="0" w:line="240" w:lineRule="auto"/>
              <w:rPr>
                <w:rFonts w:ascii="Arial" w:hAnsi="Arial" w:cs="Arial"/>
                <w:b/>
                <w:sz w:val="24"/>
                <w:szCs w:val="24"/>
              </w:rPr>
            </w:pPr>
          </w:p>
        </w:tc>
        <w:tc>
          <w:tcPr>
            <w:tcW w:w="2628" w:type="dxa"/>
          </w:tcPr>
          <w:p w14:paraId="707FABD9" w14:textId="77777777" w:rsidR="002641D2" w:rsidRPr="00FA3F9C" w:rsidRDefault="002641D2" w:rsidP="00BD30E5">
            <w:pPr>
              <w:spacing w:after="0" w:line="240" w:lineRule="auto"/>
              <w:rPr>
                <w:rFonts w:ascii="Arial" w:hAnsi="Arial" w:cs="Arial"/>
                <w:sz w:val="24"/>
                <w:szCs w:val="24"/>
              </w:rPr>
            </w:pPr>
          </w:p>
        </w:tc>
      </w:tr>
      <w:tr w:rsidR="002641D2" w:rsidRPr="00FA3F9C" w14:paraId="4C2C9C02" w14:textId="77777777" w:rsidTr="00BD30E5">
        <w:trPr>
          <w:trHeight w:val="728"/>
        </w:trPr>
        <w:tc>
          <w:tcPr>
            <w:tcW w:w="8388" w:type="dxa"/>
          </w:tcPr>
          <w:p w14:paraId="62D54CDA" w14:textId="77777777" w:rsidR="002641D2" w:rsidRPr="00FA3F9C" w:rsidRDefault="002641D2" w:rsidP="004E2250">
            <w:pPr>
              <w:spacing w:after="0" w:line="240" w:lineRule="auto"/>
              <w:rPr>
                <w:rFonts w:ascii="Arial" w:hAnsi="Arial" w:cs="Arial"/>
                <w:b/>
                <w:sz w:val="24"/>
                <w:szCs w:val="24"/>
              </w:rPr>
            </w:pPr>
            <w:r w:rsidRPr="00FA3F9C">
              <w:rPr>
                <w:rFonts w:ascii="Arial" w:hAnsi="Arial" w:cs="Arial"/>
                <w:b/>
                <w:sz w:val="24"/>
                <w:szCs w:val="24"/>
              </w:rPr>
              <w:t>Adult:  Short Bowel Syndrome</w:t>
            </w:r>
          </w:p>
          <w:p w14:paraId="2BF225D5" w14:textId="77777777" w:rsidR="002641D2" w:rsidRPr="00FA3F9C" w:rsidRDefault="002641D2" w:rsidP="002641D2">
            <w:pPr>
              <w:numPr>
                <w:ilvl w:val="0"/>
                <w:numId w:val="233"/>
              </w:numPr>
              <w:spacing w:after="0" w:line="240" w:lineRule="auto"/>
              <w:rPr>
                <w:rFonts w:ascii="Arial" w:hAnsi="Arial" w:cs="Arial"/>
                <w:sz w:val="24"/>
                <w:szCs w:val="24"/>
              </w:rPr>
            </w:pPr>
            <w:r w:rsidRPr="00FA3F9C">
              <w:rPr>
                <w:rFonts w:ascii="Arial" w:hAnsi="Arial" w:cs="Arial"/>
                <w:sz w:val="24"/>
                <w:szCs w:val="24"/>
              </w:rPr>
              <w:t xml:space="preserve">Must be receiving parenteral nutrition and have an optimized diet </w:t>
            </w:r>
          </w:p>
          <w:p w14:paraId="03A21FAB" w14:textId="77777777" w:rsidR="002641D2" w:rsidRPr="00FA3F9C" w:rsidRDefault="002641D2" w:rsidP="002641D2">
            <w:pPr>
              <w:numPr>
                <w:ilvl w:val="0"/>
                <w:numId w:val="233"/>
              </w:numPr>
              <w:spacing w:after="0" w:line="240" w:lineRule="auto"/>
              <w:rPr>
                <w:rFonts w:ascii="Arial" w:hAnsi="Arial" w:cs="Arial"/>
                <w:sz w:val="24"/>
                <w:szCs w:val="24"/>
              </w:rPr>
            </w:pPr>
            <w:r w:rsidRPr="00FA3F9C">
              <w:rPr>
                <w:rFonts w:ascii="Arial" w:hAnsi="Arial" w:cs="Arial"/>
                <w:sz w:val="24"/>
                <w:szCs w:val="24"/>
              </w:rPr>
              <w:t xml:space="preserve">Must be receiving glutamine concurrently </w:t>
            </w:r>
          </w:p>
          <w:p w14:paraId="7DA59AF0" w14:textId="77777777" w:rsidR="002641D2" w:rsidRPr="00FA3F9C" w:rsidRDefault="002641D2" w:rsidP="0021725D">
            <w:pPr>
              <w:spacing w:after="0" w:line="240" w:lineRule="auto"/>
              <w:rPr>
                <w:rFonts w:ascii="Arial" w:hAnsi="Arial" w:cs="Arial"/>
                <w:sz w:val="24"/>
                <w:szCs w:val="24"/>
              </w:rPr>
            </w:pPr>
            <w:r w:rsidRPr="00FA3F9C">
              <w:rPr>
                <w:rFonts w:ascii="Arial" w:hAnsi="Arial" w:cs="Arial"/>
                <w:sz w:val="24"/>
                <w:szCs w:val="24"/>
              </w:rPr>
              <w:t xml:space="preserve">Initial Approval: 3 months </w:t>
            </w:r>
          </w:p>
          <w:p w14:paraId="5535F5C1" w14:textId="77777777" w:rsidR="002641D2" w:rsidRPr="00FA3F9C" w:rsidRDefault="002641D2" w:rsidP="002C43B1">
            <w:pPr>
              <w:spacing w:after="0" w:line="240" w:lineRule="auto"/>
              <w:rPr>
                <w:rFonts w:ascii="Arial" w:hAnsi="Arial" w:cs="Arial"/>
                <w:sz w:val="24"/>
                <w:szCs w:val="24"/>
              </w:rPr>
            </w:pPr>
            <w:r w:rsidRPr="00FA3F9C">
              <w:rPr>
                <w:rFonts w:ascii="Arial" w:hAnsi="Arial" w:cs="Arial"/>
                <w:sz w:val="24"/>
                <w:szCs w:val="24"/>
              </w:rPr>
              <w:t xml:space="preserve">Reauthorization: </w:t>
            </w:r>
            <w:proofErr w:type="spellStart"/>
            <w:r w:rsidRPr="00FA3F9C">
              <w:rPr>
                <w:rFonts w:ascii="Arial" w:hAnsi="Arial" w:cs="Arial"/>
                <w:sz w:val="24"/>
                <w:szCs w:val="24"/>
              </w:rPr>
              <w:t>tx</w:t>
            </w:r>
            <w:proofErr w:type="spellEnd"/>
            <w:r w:rsidRPr="00FA3F9C">
              <w:rPr>
                <w:rFonts w:ascii="Arial" w:hAnsi="Arial" w:cs="Arial"/>
                <w:sz w:val="24"/>
                <w:szCs w:val="24"/>
              </w:rPr>
              <w:t xml:space="preserve"> must have resulted in the elimination of 1 or more days of TPN infusion</w:t>
            </w:r>
          </w:p>
        </w:tc>
        <w:tc>
          <w:tcPr>
            <w:tcW w:w="2628" w:type="dxa"/>
          </w:tcPr>
          <w:p w14:paraId="1221BDAA" w14:textId="77777777" w:rsidR="002641D2" w:rsidRPr="00FA3F9C" w:rsidRDefault="002641D2" w:rsidP="00BD30E5">
            <w:pPr>
              <w:spacing w:after="0" w:line="240" w:lineRule="auto"/>
              <w:rPr>
                <w:rFonts w:ascii="Arial" w:hAnsi="Arial" w:cs="Arial"/>
                <w:sz w:val="24"/>
                <w:szCs w:val="24"/>
              </w:rPr>
            </w:pPr>
            <w:r w:rsidRPr="00FA3F9C">
              <w:rPr>
                <w:rFonts w:ascii="Arial" w:hAnsi="Arial" w:cs="Arial"/>
                <w:sz w:val="24"/>
                <w:szCs w:val="24"/>
                <w:highlight w:val="lightGray"/>
              </w:rPr>
              <w:sym w:font="Symbol" w:char="F0A0"/>
            </w:r>
            <w:r w:rsidRPr="00FA3F9C">
              <w:rPr>
                <w:rFonts w:ascii="Arial" w:hAnsi="Arial" w:cs="Arial"/>
                <w:sz w:val="24"/>
                <w:szCs w:val="24"/>
                <w:highlight w:val="lightGray"/>
              </w:rPr>
              <w:t xml:space="preserve"> </w:t>
            </w:r>
            <w:proofErr w:type="spellStart"/>
            <w:r w:rsidRPr="00FA3F9C">
              <w:rPr>
                <w:rFonts w:ascii="Arial" w:hAnsi="Arial" w:cs="Arial"/>
                <w:sz w:val="24"/>
                <w:szCs w:val="24"/>
                <w:highlight w:val="lightGray"/>
              </w:rPr>
              <w:t>Zorbtive</w:t>
            </w:r>
            <w:proofErr w:type="spellEnd"/>
          </w:p>
          <w:p w14:paraId="3375E05A" w14:textId="77777777" w:rsidR="002641D2" w:rsidRPr="00FA3F9C" w:rsidRDefault="002641D2" w:rsidP="00BD30E5">
            <w:pPr>
              <w:spacing w:after="0" w:line="240" w:lineRule="auto"/>
              <w:rPr>
                <w:rFonts w:ascii="Arial" w:hAnsi="Arial" w:cs="Arial"/>
                <w:sz w:val="24"/>
                <w:szCs w:val="24"/>
              </w:rPr>
            </w:pPr>
          </w:p>
        </w:tc>
      </w:tr>
      <w:tr w:rsidR="002641D2" w:rsidRPr="00FA3F9C" w14:paraId="6C5B4405" w14:textId="77777777" w:rsidTr="00BD30E5">
        <w:trPr>
          <w:trHeight w:val="728"/>
        </w:trPr>
        <w:tc>
          <w:tcPr>
            <w:tcW w:w="8388" w:type="dxa"/>
          </w:tcPr>
          <w:p w14:paraId="6669E539" w14:textId="77777777" w:rsidR="002641D2" w:rsidRPr="00FA3F9C" w:rsidRDefault="002641D2" w:rsidP="00360075">
            <w:pPr>
              <w:spacing w:after="0" w:line="240" w:lineRule="auto"/>
              <w:rPr>
                <w:rFonts w:ascii="Arial" w:hAnsi="Arial" w:cs="Arial"/>
                <w:b/>
                <w:sz w:val="24"/>
                <w:szCs w:val="24"/>
              </w:rPr>
            </w:pPr>
            <w:r w:rsidRPr="00FA3F9C">
              <w:rPr>
                <w:rFonts w:ascii="Arial" w:hAnsi="Arial" w:cs="Arial"/>
                <w:b/>
                <w:sz w:val="24"/>
                <w:szCs w:val="24"/>
              </w:rPr>
              <w:t>Adult:  HIV with wasting or cachexia with concomitant antiretroviral therapy</w:t>
            </w:r>
          </w:p>
          <w:p w14:paraId="078B9626" w14:textId="77777777" w:rsidR="002641D2" w:rsidRPr="00FA3F9C" w:rsidRDefault="002641D2" w:rsidP="002641D2">
            <w:pPr>
              <w:numPr>
                <w:ilvl w:val="0"/>
                <w:numId w:val="233"/>
              </w:numPr>
              <w:spacing w:after="0" w:line="240" w:lineRule="auto"/>
              <w:rPr>
                <w:rFonts w:ascii="Arial" w:hAnsi="Arial" w:cs="Arial"/>
                <w:sz w:val="24"/>
                <w:szCs w:val="24"/>
              </w:rPr>
            </w:pPr>
            <w:r w:rsidRPr="00FA3F9C">
              <w:rPr>
                <w:rFonts w:ascii="Arial" w:hAnsi="Arial" w:cs="Arial"/>
                <w:sz w:val="24"/>
                <w:szCs w:val="24"/>
              </w:rPr>
              <w:t>Must be receiving concurrent HAART therapy</w:t>
            </w:r>
          </w:p>
          <w:p w14:paraId="110BEC80" w14:textId="77777777" w:rsidR="002641D2" w:rsidRPr="00FA3F9C" w:rsidRDefault="002641D2" w:rsidP="002641D2">
            <w:pPr>
              <w:numPr>
                <w:ilvl w:val="0"/>
                <w:numId w:val="233"/>
              </w:numPr>
              <w:spacing w:after="0" w:line="240" w:lineRule="auto"/>
              <w:rPr>
                <w:rFonts w:ascii="Arial" w:hAnsi="Arial" w:cs="Arial"/>
                <w:sz w:val="24"/>
                <w:szCs w:val="24"/>
              </w:rPr>
            </w:pPr>
            <w:r w:rsidRPr="00FA3F9C">
              <w:rPr>
                <w:rFonts w:ascii="Arial" w:hAnsi="Arial" w:cs="Arial"/>
                <w:sz w:val="24"/>
                <w:szCs w:val="24"/>
                <w:u w:val="single"/>
              </w:rPr>
              <w:t>&gt;</w:t>
            </w:r>
            <w:r w:rsidRPr="00FA3F9C">
              <w:rPr>
                <w:rFonts w:ascii="Arial" w:hAnsi="Arial" w:cs="Arial"/>
                <w:sz w:val="24"/>
                <w:szCs w:val="24"/>
              </w:rPr>
              <w:t>10% unintentional weight loss or low BMI (&lt;20kg/m</w:t>
            </w:r>
            <w:r w:rsidRPr="00FA3F9C">
              <w:rPr>
                <w:rFonts w:ascii="Arial" w:hAnsi="Arial" w:cs="Arial"/>
                <w:sz w:val="24"/>
                <w:szCs w:val="24"/>
                <w:vertAlign w:val="superscript"/>
              </w:rPr>
              <w:t>2</w:t>
            </w:r>
            <w:r w:rsidRPr="00FA3F9C">
              <w:rPr>
                <w:rFonts w:ascii="Arial" w:hAnsi="Arial" w:cs="Arial"/>
                <w:sz w:val="24"/>
                <w:szCs w:val="24"/>
              </w:rPr>
              <w:t>) or body weight &lt;90% of IBW</w:t>
            </w:r>
          </w:p>
          <w:p w14:paraId="117CA2ED" w14:textId="77777777" w:rsidR="002641D2" w:rsidRPr="00FA3F9C" w:rsidRDefault="002641D2" w:rsidP="002641D2">
            <w:pPr>
              <w:numPr>
                <w:ilvl w:val="0"/>
                <w:numId w:val="233"/>
              </w:numPr>
              <w:spacing w:after="0" w:line="240" w:lineRule="auto"/>
              <w:rPr>
                <w:rFonts w:ascii="Arial" w:hAnsi="Arial" w:cs="Arial"/>
                <w:b/>
                <w:sz w:val="24"/>
                <w:szCs w:val="24"/>
              </w:rPr>
            </w:pPr>
            <w:r w:rsidRPr="00FA3F9C">
              <w:rPr>
                <w:rFonts w:ascii="Arial" w:hAnsi="Arial" w:cs="Arial"/>
                <w:sz w:val="24"/>
                <w:szCs w:val="24"/>
              </w:rPr>
              <w:t>Exclude if fasting blood glucose &gt;121 mg/dL , malignancy, or active AIDS-defining opportunistic infection</w:t>
            </w:r>
          </w:p>
          <w:p w14:paraId="758308F4" w14:textId="77777777" w:rsidR="002641D2" w:rsidRPr="00FA3F9C" w:rsidRDefault="002641D2" w:rsidP="00F252F8">
            <w:pPr>
              <w:spacing w:after="0" w:line="240" w:lineRule="auto"/>
              <w:rPr>
                <w:rFonts w:ascii="Arial" w:hAnsi="Arial" w:cs="Arial"/>
                <w:sz w:val="24"/>
                <w:szCs w:val="24"/>
              </w:rPr>
            </w:pPr>
            <w:r w:rsidRPr="00FA3F9C">
              <w:rPr>
                <w:rFonts w:ascii="Arial" w:hAnsi="Arial" w:cs="Arial"/>
                <w:sz w:val="24"/>
                <w:szCs w:val="24"/>
              </w:rPr>
              <w:t xml:space="preserve">Initial Approval:  3 months </w:t>
            </w:r>
          </w:p>
          <w:p w14:paraId="3EFB74F2" w14:textId="77777777" w:rsidR="002641D2" w:rsidRPr="00FA3F9C" w:rsidRDefault="002641D2" w:rsidP="00F252F8">
            <w:pPr>
              <w:spacing w:after="0" w:line="240" w:lineRule="auto"/>
              <w:rPr>
                <w:rFonts w:ascii="Arial" w:hAnsi="Arial" w:cs="Arial"/>
                <w:b/>
                <w:sz w:val="24"/>
                <w:szCs w:val="24"/>
              </w:rPr>
            </w:pPr>
            <w:r w:rsidRPr="00FA3F9C">
              <w:rPr>
                <w:rFonts w:ascii="Arial" w:hAnsi="Arial" w:cs="Arial"/>
                <w:sz w:val="24"/>
                <w:szCs w:val="24"/>
              </w:rPr>
              <w:t xml:space="preserve">Reauthorization: </w:t>
            </w:r>
            <w:proofErr w:type="spellStart"/>
            <w:r w:rsidRPr="00FA3F9C">
              <w:rPr>
                <w:rFonts w:ascii="Arial" w:hAnsi="Arial" w:cs="Arial"/>
                <w:sz w:val="24"/>
                <w:szCs w:val="24"/>
              </w:rPr>
              <w:t>pt</w:t>
            </w:r>
            <w:proofErr w:type="spellEnd"/>
            <w:r w:rsidRPr="00FA3F9C">
              <w:rPr>
                <w:rFonts w:ascii="Arial" w:hAnsi="Arial" w:cs="Arial"/>
                <w:sz w:val="24"/>
                <w:szCs w:val="24"/>
              </w:rPr>
              <w:t xml:space="preserve"> must have ≥ 3kg weight gain or increased exercise capacity </w:t>
            </w:r>
          </w:p>
        </w:tc>
        <w:tc>
          <w:tcPr>
            <w:tcW w:w="2628" w:type="dxa"/>
          </w:tcPr>
          <w:p w14:paraId="4FC24EF1" w14:textId="77777777" w:rsidR="002641D2" w:rsidRPr="00FA3F9C" w:rsidRDefault="002641D2" w:rsidP="00BD30E5">
            <w:pPr>
              <w:rPr>
                <w:rFonts w:ascii="Arial" w:hAnsi="Arial" w:cs="Arial"/>
                <w:sz w:val="24"/>
                <w:szCs w:val="24"/>
              </w:rPr>
            </w:pPr>
            <w:r w:rsidRPr="00FA3F9C">
              <w:rPr>
                <w:rFonts w:ascii="Arial" w:hAnsi="Arial" w:cs="Arial"/>
                <w:sz w:val="24"/>
                <w:szCs w:val="24"/>
                <w:highlight w:val="lightGray"/>
              </w:rPr>
              <w:sym w:font="Symbol" w:char="F0A0"/>
            </w:r>
            <w:proofErr w:type="spellStart"/>
            <w:r w:rsidRPr="00FA3F9C">
              <w:rPr>
                <w:rFonts w:ascii="Arial" w:hAnsi="Arial" w:cs="Arial"/>
                <w:sz w:val="24"/>
                <w:szCs w:val="24"/>
                <w:highlight w:val="lightGray"/>
              </w:rPr>
              <w:t>Serostim</w:t>
            </w:r>
            <w:proofErr w:type="spellEnd"/>
          </w:p>
        </w:tc>
      </w:tr>
    </w:tbl>
    <w:p w14:paraId="044D772B" w14:textId="77777777" w:rsidR="002641D2" w:rsidRPr="00FA3F9C" w:rsidRDefault="00500371" w:rsidP="0013632C">
      <w:pPr>
        <w:rPr>
          <w:rFonts w:ascii="Arial" w:hAnsi="Arial" w:cs="Arial"/>
          <w:sz w:val="24"/>
          <w:szCs w:val="24"/>
        </w:rPr>
      </w:pPr>
      <w:r>
        <w:rPr>
          <w:rFonts w:ascii="Arial" w:hAnsi="Arial" w:cs="Arial"/>
          <w:noProof/>
          <w:sz w:val="24"/>
          <w:szCs w:val="24"/>
        </w:rPr>
        <w:lastRenderedPageBreak/>
        <w:pict w14:anchorId="4357F748">
          <v:shape id="Text Box 2" o:spid="_x0000_s1040" type="#_x0000_t202" style="position:absolute;margin-left:328.5pt;margin-top:13.6pt;width:3in;height:81.85pt;z-index:251677696;visibility:visible;mso-wrap-edited:f;mso-width-percent:400;mso-position-horizontal-relative:text;mso-position-vertical-relative:text;mso-width-percent:400;mso-width-relative:margin;mso-height-relative:margin" strokecolor="white">
            <v:textbox>
              <w:txbxContent>
                <w:p w14:paraId="20B66358" w14:textId="77777777" w:rsidR="002641D2" w:rsidRPr="008D6ED7" w:rsidRDefault="002641D2" w:rsidP="0039169A">
                  <w:pPr>
                    <w:rPr>
                      <w:b/>
                    </w:rPr>
                  </w:pPr>
                  <w:r>
                    <w:rPr>
                      <w:b/>
                    </w:rPr>
                    <w:t>DENY if any of the following:</w:t>
                  </w:r>
                </w:p>
                <w:p w14:paraId="100DE6D0" w14:textId="77777777" w:rsidR="002641D2" w:rsidRDefault="002641D2" w:rsidP="002641D2">
                  <w:pPr>
                    <w:numPr>
                      <w:ilvl w:val="0"/>
                      <w:numId w:val="236"/>
                    </w:numPr>
                    <w:autoSpaceDE w:val="0"/>
                    <w:autoSpaceDN w:val="0"/>
                    <w:adjustRightInd w:val="0"/>
                    <w:spacing w:after="0" w:line="240" w:lineRule="auto"/>
                    <w:rPr>
                      <w:rFonts w:cs="Calibri"/>
                    </w:rPr>
                  </w:pPr>
                  <w:r>
                    <w:rPr>
                      <w:rFonts w:cs="Calibri"/>
                    </w:rPr>
                    <w:t>Active malignancy OR malignancy in the past year</w:t>
                  </w:r>
                </w:p>
                <w:p w14:paraId="005C63C0" w14:textId="77777777" w:rsidR="002641D2" w:rsidRDefault="002641D2" w:rsidP="002641D2">
                  <w:pPr>
                    <w:numPr>
                      <w:ilvl w:val="0"/>
                      <w:numId w:val="236"/>
                    </w:numPr>
                    <w:autoSpaceDE w:val="0"/>
                    <w:autoSpaceDN w:val="0"/>
                    <w:adjustRightInd w:val="0"/>
                    <w:spacing w:after="0" w:line="240" w:lineRule="auto"/>
                    <w:rPr>
                      <w:rFonts w:cs="Calibri"/>
                    </w:rPr>
                  </w:pPr>
                  <w:r>
                    <w:rPr>
                      <w:rFonts w:cs="Calibri"/>
                    </w:rPr>
                    <w:t xml:space="preserve">Age &gt; 65 </w:t>
                  </w:r>
                  <w:proofErr w:type="spellStart"/>
                  <w:r>
                    <w:rPr>
                      <w:rFonts w:cs="Calibri"/>
                    </w:rPr>
                    <w:t>yrs</w:t>
                  </w:r>
                  <w:proofErr w:type="spellEnd"/>
                </w:p>
                <w:p w14:paraId="736B7A57" w14:textId="77777777" w:rsidR="002641D2" w:rsidRDefault="002641D2"/>
              </w:txbxContent>
            </v:textbox>
          </v:shape>
        </w:pict>
      </w:r>
      <w:r w:rsidR="002641D2" w:rsidRPr="00FA3F9C">
        <w:rPr>
          <w:rFonts w:ascii="Arial" w:hAnsi="Arial" w:cs="Arial"/>
          <w:sz w:val="24"/>
          <w:szCs w:val="24"/>
        </w:rPr>
        <w:br/>
      </w:r>
      <w:r w:rsidR="002641D2" w:rsidRPr="00FA3F9C">
        <w:rPr>
          <w:rFonts w:ascii="Arial" w:hAnsi="Arial" w:cs="Arial"/>
          <w:b/>
          <w:sz w:val="24"/>
          <w:szCs w:val="24"/>
        </w:rPr>
        <w:t>GH will not be approved for the following uses:</w:t>
      </w:r>
      <w:r w:rsidR="002641D2" w:rsidRPr="00FA3F9C">
        <w:rPr>
          <w:rFonts w:ascii="Arial" w:hAnsi="Arial" w:cs="Arial"/>
          <w:sz w:val="24"/>
          <w:szCs w:val="24"/>
        </w:rPr>
        <w:br/>
        <w:t>1.  Kids:  Idiopathic short stature (</w:t>
      </w:r>
      <w:proofErr w:type="spellStart"/>
      <w:r w:rsidR="002641D2" w:rsidRPr="00FA3F9C">
        <w:rPr>
          <w:rFonts w:ascii="Arial" w:hAnsi="Arial" w:cs="Arial"/>
          <w:sz w:val="24"/>
          <w:szCs w:val="24"/>
        </w:rPr>
        <w:t>nonGH</w:t>
      </w:r>
      <w:proofErr w:type="spellEnd"/>
      <w:r w:rsidR="002641D2" w:rsidRPr="00FA3F9C">
        <w:rPr>
          <w:rFonts w:ascii="Arial" w:hAnsi="Arial" w:cs="Arial"/>
          <w:sz w:val="24"/>
          <w:szCs w:val="24"/>
        </w:rPr>
        <w:t xml:space="preserve"> deficient short stature)</w:t>
      </w:r>
    </w:p>
    <w:p w14:paraId="2AE17022" w14:textId="77777777" w:rsidR="002641D2" w:rsidRPr="00FA3F9C" w:rsidRDefault="002641D2" w:rsidP="0013632C">
      <w:pPr>
        <w:rPr>
          <w:rFonts w:ascii="Arial" w:hAnsi="Arial" w:cs="Arial"/>
          <w:sz w:val="24"/>
          <w:szCs w:val="24"/>
        </w:rPr>
      </w:pPr>
      <w:r w:rsidRPr="00FA3F9C">
        <w:rPr>
          <w:rFonts w:ascii="Arial" w:hAnsi="Arial" w:cs="Arial"/>
          <w:sz w:val="24"/>
          <w:szCs w:val="24"/>
        </w:rPr>
        <w:t>2.  Enhancement of athletic performance</w:t>
      </w:r>
    </w:p>
    <w:p w14:paraId="25979514" w14:textId="77777777" w:rsidR="002641D2" w:rsidRPr="00FA3F9C" w:rsidRDefault="002641D2" w:rsidP="00FD0839">
      <w:pPr>
        <w:rPr>
          <w:rFonts w:ascii="Arial" w:hAnsi="Arial" w:cs="Arial"/>
          <w:sz w:val="24"/>
          <w:szCs w:val="24"/>
        </w:rPr>
      </w:pPr>
      <w:r w:rsidRPr="00FA3F9C">
        <w:rPr>
          <w:rFonts w:ascii="Arial" w:hAnsi="Arial" w:cs="Arial"/>
          <w:sz w:val="24"/>
          <w:szCs w:val="24"/>
        </w:rPr>
        <w:t>3.  Aging or age-related conditions</w:t>
      </w:r>
    </w:p>
    <w:p w14:paraId="433EFA1B" w14:textId="77777777" w:rsidR="002641D2" w:rsidRPr="00FA3F9C" w:rsidRDefault="002641D2" w:rsidP="00FD0839">
      <w:pPr>
        <w:rPr>
          <w:rFonts w:ascii="Arial" w:hAnsi="Arial" w:cs="Arial"/>
          <w:sz w:val="24"/>
          <w:szCs w:val="24"/>
          <w:lang w:val="fr-FR"/>
        </w:rPr>
      </w:pPr>
      <w:r w:rsidRPr="00FA3F9C">
        <w:rPr>
          <w:rFonts w:ascii="Arial" w:hAnsi="Arial" w:cs="Arial"/>
          <w:sz w:val="24"/>
          <w:szCs w:val="24"/>
          <w:lang w:val="fr-FR"/>
        </w:rPr>
        <w:t xml:space="preserve">4. </w:t>
      </w:r>
      <w:proofErr w:type="spellStart"/>
      <w:r w:rsidRPr="00FA3F9C">
        <w:rPr>
          <w:rFonts w:ascii="Arial" w:hAnsi="Arial" w:cs="Arial"/>
          <w:sz w:val="24"/>
          <w:szCs w:val="24"/>
          <w:lang w:val="fr-FR"/>
        </w:rPr>
        <w:t>Down’s</w:t>
      </w:r>
      <w:proofErr w:type="spellEnd"/>
      <w:r w:rsidRPr="00FA3F9C">
        <w:rPr>
          <w:rFonts w:ascii="Arial" w:hAnsi="Arial" w:cs="Arial"/>
          <w:sz w:val="24"/>
          <w:szCs w:val="24"/>
          <w:lang w:val="fr-FR"/>
        </w:rPr>
        <w:t xml:space="preserve"> Syndrome</w:t>
      </w:r>
    </w:p>
    <w:p w14:paraId="620DAF7B" w14:textId="77777777" w:rsidR="002641D2" w:rsidRPr="00FA3F9C" w:rsidRDefault="002641D2" w:rsidP="00FD0839">
      <w:pPr>
        <w:rPr>
          <w:rFonts w:ascii="Arial" w:hAnsi="Arial" w:cs="Arial"/>
          <w:sz w:val="24"/>
          <w:szCs w:val="24"/>
          <w:lang w:val="fr-FR"/>
        </w:rPr>
      </w:pPr>
      <w:r w:rsidRPr="00FA3F9C">
        <w:rPr>
          <w:rFonts w:ascii="Arial" w:hAnsi="Arial" w:cs="Arial"/>
          <w:sz w:val="24"/>
          <w:szCs w:val="24"/>
          <w:lang w:val="fr-FR"/>
        </w:rPr>
        <w:t xml:space="preserve">5. </w:t>
      </w:r>
      <w:proofErr w:type="spellStart"/>
      <w:r w:rsidRPr="00FA3F9C">
        <w:rPr>
          <w:rFonts w:ascii="Arial" w:hAnsi="Arial" w:cs="Arial"/>
          <w:sz w:val="24"/>
          <w:szCs w:val="24"/>
          <w:lang w:val="fr-FR"/>
        </w:rPr>
        <w:t>Fanconi’s</w:t>
      </w:r>
      <w:proofErr w:type="spellEnd"/>
      <w:r w:rsidRPr="00FA3F9C">
        <w:rPr>
          <w:rFonts w:ascii="Arial" w:hAnsi="Arial" w:cs="Arial"/>
          <w:sz w:val="24"/>
          <w:szCs w:val="24"/>
          <w:lang w:val="fr-FR"/>
        </w:rPr>
        <w:t xml:space="preserve"> syndrome</w:t>
      </w:r>
    </w:p>
    <w:p w14:paraId="4211DB13" w14:textId="77777777" w:rsidR="002641D2" w:rsidRPr="00FA3F9C" w:rsidRDefault="002641D2" w:rsidP="00FD0839">
      <w:pPr>
        <w:rPr>
          <w:rFonts w:ascii="Arial" w:hAnsi="Arial" w:cs="Arial"/>
          <w:sz w:val="24"/>
          <w:szCs w:val="24"/>
          <w:lang w:val="fr-FR"/>
        </w:rPr>
      </w:pPr>
      <w:r w:rsidRPr="00FA3F9C">
        <w:rPr>
          <w:rFonts w:ascii="Arial" w:hAnsi="Arial" w:cs="Arial"/>
          <w:sz w:val="24"/>
          <w:szCs w:val="24"/>
          <w:lang w:val="fr-FR"/>
        </w:rPr>
        <w:t>6. Bloom syndrome</w:t>
      </w:r>
    </w:p>
    <w:p w14:paraId="420E3621" w14:textId="77777777" w:rsidR="002641D2" w:rsidRPr="00FA3F9C" w:rsidRDefault="002641D2" w:rsidP="00FD0839">
      <w:pPr>
        <w:rPr>
          <w:rFonts w:ascii="Arial" w:hAnsi="Arial" w:cs="Arial"/>
          <w:sz w:val="24"/>
          <w:szCs w:val="24"/>
          <w:lang w:val="fr-FR"/>
        </w:rPr>
      </w:pPr>
    </w:p>
    <w:p w14:paraId="363F5BBE" w14:textId="77777777" w:rsidR="002641D2" w:rsidRPr="00FA3F9C" w:rsidRDefault="002641D2" w:rsidP="00A64640">
      <w:pPr>
        <w:autoSpaceDE w:val="0"/>
        <w:autoSpaceDN w:val="0"/>
        <w:adjustRightInd w:val="0"/>
        <w:spacing w:after="0" w:line="240" w:lineRule="auto"/>
        <w:rPr>
          <w:rFonts w:ascii="Arial" w:hAnsi="Arial" w:cs="Arial"/>
          <w:b/>
          <w:sz w:val="24"/>
          <w:szCs w:val="24"/>
          <w:lang w:val="fr-FR"/>
        </w:rPr>
      </w:pPr>
    </w:p>
    <w:p w14:paraId="37AF5400" w14:textId="77777777" w:rsidR="002641D2" w:rsidRPr="00FA3F9C" w:rsidRDefault="002641D2" w:rsidP="008D6ED7">
      <w:pPr>
        <w:rPr>
          <w:rFonts w:ascii="Arial" w:hAnsi="Arial" w:cs="Arial"/>
          <w:b/>
          <w:sz w:val="24"/>
          <w:szCs w:val="24"/>
        </w:rPr>
      </w:pPr>
      <w:r w:rsidRPr="00FA3F9C">
        <w:rPr>
          <w:rFonts w:ascii="Arial" w:hAnsi="Arial" w:cs="Arial"/>
          <w:b/>
          <w:sz w:val="24"/>
          <w:szCs w:val="24"/>
        </w:rPr>
        <w:t>Pediatric:  GH deficiency</w:t>
      </w:r>
    </w:p>
    <w:p w14:paraId="5C3664E2" w14:textId="77777777" w:rsidR="002641D2" w:rsidRPr="00FA3F9C" w:rsidRDefault="002641D2" w:rsidP="002641D2">
      <w:pPr>
        <w:numPr>
          <w:ilvl w:val="0"/>
          <w:numId w:val="241"/>
        </w:numPr>
        <w:spacing w:after="0" w:line="240" w:lineRule="auto"/>
        <w:rPr>
          <w:rFonts w:ascii="Arial" w:hAnsi="Arial" w:cs="Arial"/>
          <w:b/>
          <w:sz w:val="24"/>
          <w:szCs w:val="24"/>
        </w:rPr>
      </w:pPr>
      <w:r w:rsidRPr="00FA3F9C">
        <w:rPr>
          <w:rFonts w:ascii="Arial" w:hAnsi="Arial" w:cs="Arial"/>
          <w:sz w:val="24"/>
          <w:szCs w:val="24"/>
        </w:rPr>
        <w:t>Short stature is defined by height SD score &lt; -2.25, and associated with growth rates unlikely to permit attainment of adult height in normal range</w:t>
      </w:r>
    </w:p>
    <w:p w14:paraId="2DC9069F" w14:textId="77777777" w:rsidR="002641D2" w:rsidRPr="00FA3F9C" w:rsidRDefault="002641D2" w:rsidP="002641D2">
      <w:pPr>
        <w:numPr>
          <w:ilvl w:val="0"/>
          <w:numId w:val="241"/>
        </w:numPr>
        <w:spacing w:after="0" w:line="240" w:lineRule="auto"/>
        <w:rPr>
          <w:rFonts w:ascii="Arial" w:hAnsi="Arial" w:cs="Arial"/>
          <w:sz w:val="24"/>
          <w:szCs w:val="24"/>
        </w:rPr>
      </w:pPr>
      <w:r w:rsidRPr="00FA3F9C">
        <w:rPr>
          <w:rFonts w:ascii="Arial" w:hAnsi="Arial" w:cs="Arial"/>
          <w:sz w:val="24"/>
          <w:szCs w:val="24"/>
        </w:rPr>
        <w:t xml:space="preserve">Hypothalamus secretes GH-releasing hormone (GHRH), which stimulates the pituitary to secrete GH. Somatostatin is secreted by the hypothalamus to inhibit GH secretion. When GH pulses are secreted into the blood, then </w:t>
      </w:r>
      <w:proofErr w:type="spellStart"/>
      <w:r w:rsidRPr="00FA3F9C">
        <w:rPr>
          <w:rFonts w:ascii="Arial" w:hAnsi="Arial" w:cs="Arial"/>
          <w:sz w:val="24"/>
          <w:szCs w:val="24"/>
        </w:rPr>
        <w:t>insulinlike</w:t>
      </w:r>
      <w:proofErr w:type="spellEnd"/>
      <w:r w:rsidRPr="00FA3F9C">
        <w:rPr>
          <w:rFonts w:ascii="Arial" w:hAnsi="Arial" w:cs="Arial"/>
          <w:sz w:val="24"/>
          <w:szCs w:val="24"/>
        </w:rPr>
        <w:t xml:space="preserve"> growth factor (IGF)-1 is released. GHD may result from disruption of the GH axis at numerous places—in the higher brain, the hypothalamus, or the pituitary gland.</w:t>
      </w:r>
    </w:p>
    <w:p w14:paraId="140FD768" w14:textId="77777777" w:rsidR="002641D2" w:rsidRPr="00FA3F9C" w:rsidRDefault="002641D2" w:rsidP="002641D2">
      <w:pPr>
        <w:numPr>
          <w:ilvl w:val="0"/>
          <w:numId w:val="239"/>
        </w:numPr>
        <w:spacing w:after="0" w:line="240" w:lineRule="auto"/>
        <w:rPr>
          <w:rFonts w:ascii="Arial" w:hAnsi="Arial" w:cs="Arial"/>
          <w:b/>
          <w:sz w:val="24"/>
          <w:szCs w:val="24"/>
        </w:rPr>
      </w:pPr>
      <w:r w:rsidRPr="00FA3F9C">
        <w:rPr>
          <w:rFonts w:ascii="Arial" w:hAnsi="Arial" w:cs="Arial"/>
          <w:sz w:val="24"/>
          <w:szCs w:val="24"/>
        </w:rPr>
        <w:t xml:space="preserve">Therapy should be discontinued when patient has reached satisfactory adult height, when epiphyses have fused, or when patient ceases to respond.  </w:t>
      </w:r>
    </w:p>
    <w:p w14:paraId="3EC77BDC" w14:textId="77777777" w:rsidR="002641D2" w:rsidRPr="00FA3F9C" w:rsidRDefault="002641D2" w:rsidP="002641D2">
      <w:pPr>
        <w:numPr>
          <w:ilvl w:val="0"/>
          <w:numId w:val="239"/>
        </w:numPr>
        <w:spacing w:after="0" w:line="240" w:lineRule="auto"/>
        <w:rPr>
          <w:rFonts w:ascii="Arial" w:hAnsi="Arial" w:cs="Arial"/>
          <w:b/>
          <w:sz w:val="24"/>
          <w:szCs w:val="24"/>
        </w:rPr>
      </w:pPr>
      <w:r w:rsidRPr="00FA3F9C">
        <w:rPr>
          <w:rFonts w:ascii="Arial" w:hAnsi="Arial" w:cs="Arial"/>
          <w:sz w:val="24"/>
          <w:szCs w:val="24"/>
        </w:rPr>
        <w:t>Catch-up growth for children treated early is excellent, with a normal final height attained.</w:t>
      </w:r>
      <w:r w:rsidRPr="00FA3F9C">
        <w:rPr>
          <w:rFonts w:ascii="Arial" w:hAnsi="Arial" w:cs="Arial"/>
          <w:sz w:val="24"/>
          <w:szCs w:val="24"/>
          <w:vertAlign w:val="superscript"/>
        </w:rPr>
        <w:t>11</w:t>
      </w:r>
    </w:p>
    <w:p w14:paraId="05E780EA" w14:textId="77777777" w:rsidR="002641D2" w:rsidRPr="00FA3F9C" w:rsidRDefault="002641D2" w:rsidP="002641D2">
      <w:pPr>
        <w:numPr>
          <w:ilvl w:val="0"/>
          <w:numId w:val="239"/>
        </w:numPr>
        <w:spacing w:after="0" w:line="240" w:lineRule="auto"/>
        <w:rPr>
          <w:rFonts w:ascii="Arial" w:hAnsi="Arial" w:cs="Arial"/>
          <w:b/>
          <w:sz w:val="24"/>
          <w:szCs w:val="24"/>
        </w:rPr>
      </w:pPr>
      <w:r w:rsidRPr="00FA3F9C">
        <w:rPr>
          <w:rFonts w:ascii="Arial" w:hAnsi="Arial" w:cs="Arial"/>
          <w:sz w:val="24"/>
          <w:szCs w:val="24"/>
        </w:rPr>
        <w:t xml:space="preserve">A final height of 30cm can be expected on average, but this is affected by variables such as birthweight, age at start of treatment, extent of deficiency, duration of treatment, frequency of GH injections, height at start of treatment, and height at the start of puberty. </w:t>
      </w:r>
      <w:r w:rsidRPr="00FA3F9C">
        <w:rPr>
          <w:rFonts w:ascii="Arial" w:hAnsi="Arial" w:cs="Arial"/>
          <w:sz w:val="24"/>
          <w:szCs w:val="24"/>
          <w:vertAlign w:val="superscript"/>
        </w:rPr>
        <w:t>11</w:t>
      </w:r>
    </w:p>
    <w:p w14:paraId="1D494A41" w14:textId="77777777" w:rsidR="002641D2" w:rsidRPr="00FA3F9C" w:rsidRDefault="002641D2" w:rsidP="0042682B">
      <w:pPr>
        <w:ind w:left="810"/>
        <w:rPr>
          <w:rFonts w:ascii="Arial" w:hAnsi="Arial" w:cs="Arial"/>
          <w:sz w:val="24"/>
          <w:szCs w:val="24"/>
        </w:rPr>
      </w:pPr>
    </w:p>
    <w:p w14:paraId="1FB270C3" w14:textId="77777777" w:rsidR="002641D2" w:rsidRPr="00FA3F9C" w:rsidRDefault="002641D2" w:rsidP="00130287">
      <w:pPr>
        <w:rPr>
          <w:rFonts w:ascii="Arial" w:hAnsi="Arial" w:cs="Arial"/>
          <w:b/>
          <w:sz w:val="24"/>
          <w:szCs w:val="24"/>
        </w:rPr>
      </w:pPr>
      <w:r w:rsidRPr="00FA3F9C">
        <w:rPr>
          <w:rFonts w:ascii="Arial" w:hAnsi="Arial" w:cs="Arial"/>
          <w:b/>
          <w:sz w:val="24"/>
          <w:szCs w:val="24"/>
        </w:rPr>
        <w:t>Pediatric: Turner Syndrome (TS)</w:t>
      </w:r>
    </w:p>
    <w:p w14:paraId="1B9CB7D1" w14:textId="77777777" w:rsidR="002641D2" w:rsidRPr="00FA3F9C" w:rsidRDefault="002641D2" w:rsidP="002641D2">
      <w:pPr>
        <w:numPr>
          <w:ilvl w:val="0"/>
          <w:numId w:val="246"/>
        </w:numPr>
        <w:spacing w:after="0" w:line="240" w:lineRule="auto"/>
        <w:ind w:left="720"/>
        <w:rPr>
          <w:rFonts w:ascii="Arial" w:hAnsi="Arial" w:cs="Arial"/>
          <w:sz w:val="24"/>
          <w:szCs w:val="24"/>
        </w:rPr>
      </w:pPr>
      <w:r w:rsidRPr="00FA3F9C">
        <w:rPr>
          <w:rFonts w:ascii="Arial" w:hAnsi="Arial" w:cs="Arial"/>
          <w:sz w:val="24"/>
          <w:szCs w:val="24"/>
        </w:rPr>
        <w:lastRenderedPageBreak/>
        <w:t xml:space="preserve">TS is the cause of short stature in girls and primary amenorrhea in young women that is usually caused by loss of part or </w:t>
      </w:r>
      <w:proofErr w:type="gramStart"/>
      <w:r w:rsidRPr="00FA3F9C">
        <w:rPr>
          <w:rFonts w:ascii="Arial" w:hAnsi="Arial" w:cs="Arial"/>
          <w:sz w:val="24"/>
          <w:szCs w:val="24"/>
        </w:rPr>
        <w:t>all of</w:t>
      </w:r>
      <w:proofErr w:type="gramEnd"/>
      <w:r w:rsidRPr="00FA3F9C">
        <w:rPr>
          <w:rFonts w:ascii="Arial" w:hAnsi="Arial" w:cs="Arial"/>
          <w:sz w:val="24"/>
          <w:szCs w:val="24"/>
        </w:rPr>
        <w:t xml:space="preserve"> an X chromosome GH is initiated once height is below the 5</w:t>
      </w:r>
      <w:r w:rsidRPr="00FA3F9C">
        <w:rPr>
          <w:rFonts w:ascii="Arial" w:hAnsi="Arial" w:cs="Arial"/>
          <w:sz w:val="24"/>
          <w:szCs w:val="24"/>
          <w:vertAlign w:val="superscript"/>
        </w:rPr>
        <w:t>th</w:t>
      </w:r>
      <w:r w:rsidRPr="00FA3F9C">
        <w:rPr>
          <w:rFonts w:ascii="Arial" w:hAnsi="Arial" w:cs="Arial"/>
          <w:sz w:val="24"/>
          <w:szCs w:val="24"/>
        </w:rPr>
        <w:t xml:space="preserve"> percentile for age, which usually occurs between 2-5 yrs. </w:t>
      </w:r>
    </w:p>
    <w:p w14:paraId="664491A2" w14:textId="77777777" w:rsidR="002641D2" w:rsidRPr="00FA3F9C" w:rsidRDefault="002641D2" w:rsidP="002641D2">
      <w:pPr>
        <w:numPr>
          <w:ilvl w:val="0"/>
          <w:numId w:val="246"/>
        </w:numPr>
        <w:spacing w:after="0" w:line="240" w:lineRule="auto"/>
        <w:ind w:left="720"/>
        <w:rPr>
          <w:rFonts w:ascii="Arial" w:hAnsi="Arial" w:cs="Arial"/>
          <w:sz w:val="24"/>
          <w:szCs w:val="24"/>
        </w:rPr>
      </w:pPr>
      <w:r w:rsidRPr="00FA3F9C">
        <w:rPr>
          <w:rFonts w:ascii="Arial" w:hAnsi="Arial" w:cs="Arial"/>
          <w:sz w:val="24"/>
          <w:szCs w:val="24"/>
        </w:rPr>
        <w:t xml:space="preserve">Treatment with GH is stopped once epiphyseal fusion occurs, satisfactory height is obtained, or little potential for growth remains (bone age ≥14 </w:t>
      </w:r>
      <w:proofErr w:type="spellStart"/>
      <w:r w:rsidRPr="00FA3F9C">
        <w:rPr>
          <w:rFonts w:ascii="Arial" w:hAnsi="Arial" w:cs="Arial"/>
          <w:sz w:val="24"/>
          <w:szCs w:val="24"/>
        </w:rPr>
        <w:t>yr</w:t>
      </w:r>
      <w:proofErr w:type="spellEnd"/>
      <w:r w:rsidRPr="00FA3F9C">
        <w:rPr>
          <w:rFonts w:ascii="Arial" w:hAnsi="Arial" w:cs="Arial"/>
          <w:sz w:val="24"/>
          <w:szCs w:val="24"/>
        </w:rPr>
        <w:t xml:space="preserve"> and growth velocity &lt;2cm/year)</w:t>
      </w:r>
      <w:r w:rsidRPr="00FA3F9C">
        <w:rPr>
          <w:rFonts w:ascii="Arial" w:hAnsi="Arial" w:cs="Arial"/>
          <w:sz w:val="24"/>
          <w:szCs w:val="24"/>
          <w:vertAlign w:val="superscript"/>
        </w:rPr>
        <w:t>12</w:t>
      </w:r>
    </w:p>
    <w:p w14:paraId="6F93E358" w14:textId="77777777" w:rsidR="002641D2" w:rsidRPr="00FA3F9C" w:rsidRDefault="002641D2" w:rsidP="002641D2">
      <w:pPr>
        <w:numPr>
          <w:ilvl w:val="0"/>
          <w:numId w:val="246"/>
        </w:numPr>
        <w:tabs>
          <w:tab w:val="left" w:pos="720"/>
        </w:tabs>
        <w:spacing w:after="0" w:line="240" w:lineRule="auto"/>
        <w:ind w:left="720"/>
        <w:rPr>
          <w:rFonts w:ascii="Arial" w:hAnsi="Arial" w:cs="Arial"/>
          <w:sz w:val="24"/>
          <w:szCs w:val="24"/>
        </w:rPr>
      </w:pPr>
      <w:r w:rsidRPr="00FA3F9C">
        <w:rPr>
          <w:rFonts w:ascii="Arial" w:hAnsi="Arial" w:cs="Arial"/>
          <w:sz w:val="24"/>
          <w:szCs w:val="24"/>
        </w:rPr>
        <w:t>Short stature seen in TS is caused by SHOX gene haploinsufficiency, leading most children to have an avg adult stature 20cm shorter than their target height</w:t>
      </w:r>
      <w:r w:rsidRPr="00FA3F9C">
        <w:rPr>
          <w:rFonts w:ascii="Arial" w:hAnsi="Arial" w:cs="Arial"/>
          <w:sz w:val="24"/>
          <w:szCs w:val="24"/>
          <w:vertAlign w:val="superscript"/>
        </w:rPr>
        <w:t>12</w:t>
      </w:r>
    </w:p>
    <w:p w14:paraId="17858B9A" w14:textId="77777777" w:rsidR="002641D2" w:rsidRPr="00FA3F9C" w:rsidRDefault="002641D2" w:rsidP="002641D2">
      <w:pPr>
        <w:numPr>
          <w:ilvl w:val="0"/>
          <w:numId w:val="246"/>
        </w:numPr>
        <w:spacing w:after="0" w:line="240" w:lineRule="auto"/>
        <w:ind w:left="1080" w:hanging="720"/>
        <w:rPr>
          <w:rFonts w:ascii="Arial" w:hAnsi="Arial" w:cs="Arial"/>
          <w:sz w:val="24"/>
          <w:szCs w:val="24"/>
        </w:rPr>
      </w:pPr>
      <w:r w:rsidRPr="00FA3F9C">
        <w:rPr>
          <w:rFonts w:ascii="Arial" w:hAnsi="Arial" w:cs="Arial"/>
          <w:sz w:val="24"/>
          <w:szCs w:val="24"/>
        </w:rPr>
        <w:t xml:space="preserve">Girls with TS generally have normal GH levels </w:t>
      </w:r>
      <w:r w:rsidRPr="00FA3F9C">
        <w:rPr>
          <w:rFonts w:ascii="Arial" w:hAnsi="Arial" w:cs="Arial"/>
          <w:sz w:val="24"/>
          <w:szCs w:val="24"/>
          <w:vertAlign w:val="superscript"/>
        </w:rPr>
        <w:t>12</w:t>
      </w:r>
    </w:p>
    <w:p w14:paraId="79494452" w14:textId="77777777" w:rsidR="002641D2" w:rsidRPr="00FA3F9C" w:rsidRDefault="002641D2" w:rsidP="002641D2">
      <w:pPr>
        <w:numPr>
          <w:ilvl w:val="0"/>
          <w:numId w:val="246"/>
        </w:numPr>
        <w:spacing w:after="0" w:line="240" w:lineRule="auto"/>
        <w:ind w:left="720"/>
        <w:rPr>
          <w:rFonts w:ascii="Arial" w:hAnsi="Arial" w:cs="Arial"/>
          <w:sz w:val="24"/>
          <w:szCs w:val="24"/>
        </w:rPr>
      </w:pPr>
      <w:r w:rsidRPr="00FA3F9C">
        <w:rPr>
          <w:rFonts w:ascii="Arial" w:hAnsi="Arial" w:cs="Arial"/>
          <w:sz w:val="24"/>
          <w:szCs w:val="24"/>
        </w:rPr>
        <w:t>“Recombinant human growth hormone (</w:t>
      </w:r>
      <w:proofErr w:type="spellStart"/>
      <w:r w:rsidRPr="00FA3F9C">
        <w:rPr>
          <w:rFonts w:ascii="Arial" w:hAnsi="Arial" w:cs="Arial"/>
          <w:sz w:val="24"/>
          <w:szCs w:val="24"/>
        </w:rPr>
        <w:t>hGH</w:t>
      </w:r>
      <w:proofErr w:type="spellEnd"/>
      <w:r w:rsidRPr="00FA3F9C">
        <w:rPr>
          <w:rFonts w:ascii="Arial" w:hAnsi="Arial" w:cs="Arial"/>
          <w:sz w:val="24"/>
          <w:szCs w:val="24"/>
        </w:rPr>
        <w:t>) doses between 0.3 to 0.375 mg/kg/</w:t>
      </w:r>
      <w:proofErr w:type="spellStart"/>
      <w:r w:rsidRPr="00FA3F9C">
        <w:rPr>
          <w:rFonts w:ascii="Arial" w:hAnsi="Arial" w:cs="Arial"/>
          <w:sz w:val="24"/>
          <w:szCs w:val="24"/>
        </w:rPr>
        <w:t>wk</w:t>
      </w:r>
      <w:proofErr w:type="spellEnd"/>
      <w:r w:rsidRPr="00FA3F9C">
        <w:rPr>
          <w:rFonts w:ascii="Arial" w:hAnsi="Arial" w:cs="Arial"/>
          <w:sz w:val="24"/>
          <w:szCs w:val="24"/>
        </w:rPr>
        <w:t xml:space="preserve"> increase short-term growth in girls with Turner syndrome by approximately three (two) cm in the first (second) year of treatment. Treatment in one trial increased final height by approximately six cm over an untreated control group. Despite this increase, the final height of treated women was still outside the normal range. Additional trials of the effects of </w:t>
      </w:r>
      <w:proofErr w:type="spellStart"/>
      <w:r w:rsidRPr="00FA3F9C">
        <w:rPr>
          <w:rFonts w:ascii="Arial" w:hAnsi="Arial" w:cs="Arial"/>
          <w:sz w:val="24"/>
          <w:szCs w:val="24"/>
        </w:rPr>
        <w:t>hGH</w:t>
      </w:r>
      <w:proofErr w:type="spellEnd"/>
      <w:r w:rsidRPr="00FA3F9C">
        <w:rPr>
          <w:rFonts w:ascii="Arial" w:hAnsi="Arial" w:cs="Arial"/>
          <w:sz w:val="24"/>
          <w:szCs w:val="24"/>
        </w:rPr>
        <w:t xml:space="preserve"> carried out with control groups until final height is achieved would allow better informed decisions about whether the benefits of </w:t>
      </w:r>
      <w:proofErr w:type="spellStart"/>
      <w:r w:rsidRPr="00FA3F9C">
        <w:rPr>
          <w:rFonts w:ascii="Arial" w:hAnsi="Arial" w:cs="Arial"/>
          <w:sz w:val="24"/>
          <w:szCs w:val="24"/>
        </w:rPr>
        <w:t>hGH</w:t>
      </w:r>
      <w:proofErr w:type="spellEnd"/>
      <w:r w:rsidRPr="00FA3F9C">
        <w:rPr>
          <w:rFonts w:ascii="Arial" w:hAnsi="Arial" w:cs="Arial"/>
          <w:sz w:val="24"/>
          <w:szCs w:val="24"/>
        </w:rPr>
        <w:t xml:space="preserve"> treatment outweigh the requirement of treatment over several years at considerable cost.” –Cochrane Review</w:t>
      </w:r>
      <w:r w:rsidRPr="00FA3F9C">
        <w:rPr>
          <w:rFonts w:ascii="Arial" w:hAnsi="Arial" w:cs="Arial"/>
          <w:sz w:val="24"/>
          <w:szCs w:val="24"/>
          <w:vertAlign w:val="superscript"/>
        </w:rPr>
        <w:t>2</w:t>
      </w:r>
    </w:p>
    <w:p w14:paraId="0ACEF288" w14:textId="77777777" w:rsidR="002641D2" w:rsidRPr="00FA3F9C" w:rsidRDefault="002641D2" w:rsidP="002C2422">
      <w:pPr>
        <w:ind w:left="720"/>
        <w:rPr>
          <w:rFonts w:ascii="Arial" w:hAnsi="Arial" w:cs="Arial"/>
          <w:b/>
          <w:sz w:val="24"/>
          <w:szCs w:val="24"/>
        </w:rPr>
      </w:pPr>
    </w:p>
    <w:p w14:paraId="403AFEE2" w14:textId="77777777" w:rsidR="002641D2" w:rsidRPr="00FA3F9C" w:rsidRDefault="002641D2" w:rsidP="004A5E0A">
      <w:pPr>
        <w:rPr>
          <w:rFonts w:ascii="Arial" w:hAnsi="Arial" w:cs="Arial"/>
          <w:b/>
          <w:sz w:val="24"/>
          <w:szCs w:val="24"/>
        </w:rPr>
      </w:pPr>
      <w:r w:rsidRPr="00FA3F9C">
        <w:rPr>
          <w:rFonts w:ascii="Arial" w:hAnsi="Arial" w:cs="Arial"/>
          <w:b/>
          <w:sz w:val="24"/>
          <w:szCs w:val="24"/>
        </w:rPr>
        <w:t>Pediatric: Small for Gestational Age</w:t>
      </w:r>
    </w:p>
    <w:p w14:paraId="3250F5C6" w14:textId="77777777" w:rsidR="002641D2" w:rsidRPr="00FA3F9C" w:rsidRDefault="002641D2" w:rsidP="002641D2">
      <w:pPr>
        <w:numPr>
          <w:ilvl w:val="0"/>
          <w:numId w:val="246"/>
        </w:numPr>
        <w:spacing w:after="0" w:line="240" w:lineRule="auto"/>
        <w:ind w:left="720"/>
        <w:rPr>
          <w:rFonts w:ascii="Arial" w:hAnsi="Arial" w:cs="Arial"/>
          <w:sz w:val="24"/>
          <w:szCs w:val="24"/>
        </w:rPr>
      </w:pPr>
      <w:r w:rsidRPr="00FA3F9C">
        <w:rPr>
          <w:rFonts w:ascii="Arial" w:hAnsi="Arial" w:cs="Arial"/>
          <w:sz w:val="24"/>
          <w:szCs w:val="24"/>
        </w:rPr>
        <w:t xml:space="preserve">The mechanism underlying postnatal growth failure in children who fail to catch up in growth by age 2 is poorly understood, but an irreversible deficit in cell number, inadequate calorie intake during the first years of life, and abnormalities in GH secretion have been hypothesized.  Classic GH deficiency is rarely found. </w:t>
      </w:r>
    </w:p>
    <w:p w14:paraId="66F18651" w14:textId="77777777" w:rsidR="002641D2" w:rsidRPr="00FA3F9C" w:rsidRDefault="002641D2" w:rsidP="002641D2">
      <w:pPr>
        <w:numPr>
          <w:ilvl w:val="0"/>
          <w:numId w:val="246"/>
        </w:numPr>
        <w:spacing w:after="0" w:line="240" w:lineRule="auto"/>
        <w:ind w:left="720"/>
        <w:rPr>
          <w:rFonts w:ascii="Arial" w:hAnsi="Arial" w:cs="Arial"/>
          <w:sz w:val="24"/>
          <w:szCs w:val="24"/>
        </w:rPr>
      </w:pPr>
      <w:r w:rsidRPr="00FA3F9C">
        <w:rPr>
          <w:rFonts w:ascii="Arial" w:hAnsi="Arial" w:cs="Arial"/>
          <w:sz w:val="24"/>
          <w:szCs w:val="24"/>
        </w:rPr>
        <w:t>Most children catch up in growth during the first 6-12 months in life.  If they have not caught up by age 2, they are unlikely to do so later.</w:t>
      </w:r>
    </w:p>
    <w:p w14:paraId="5ABAC603" w14:textId="77777777" w:rsidR="002641D2" w:rsidRPr="00FA3F9C" w:rsidRDefault="002641D2" w:rsidP="002641D2">
      <w:pPr>
        <w:numPr>
          <w:ilvl w:val="0"/>
          <w:numId w:val="246"/>
        </w:numPr>
        <w:spacing w:after="0" w:line="240" w:lineRule="auto"/>
        <w:ind w:left="720"/>
        <w:rPr>
          <w:rFonts w:ascii="Arial" w:hAnsi="Arial" w:cs="Arial"/>
          <w:sz w:val="24"/>
          <w:szCs w:val="24"/>
        </w:rPr>
      </w:pPr>
      <w:r w:rsidRPr="00FA3F9C">
        <w:rPr>
          <w:rFonts w:ascii="Arial" w:hAnsi="Arial" w:cs="Arial"/>
          <w:sz w:val="24"/>
          <w:szCs w:val="24"/>
        </w:rPr>
        <w:t>Growth hormone treatment is likely to yield only modest gains in height compared with no treatment (an increase in adult height of approximately 6 cm, provided the treatment is begun early and continued for at least seven years). Adult height will usually be below average despite therapy.</w:t>
      </w:r>
    </w:p>
    <w:p w14:paraId="4A4B5335" w14:textId="77777777" w:rsidR="002641D2" w:rsidRPr="00FA3F9C" w:rsidRDefault="002641D2" w:rsidP="00130287">
      <w:pPr>
        <w:rPr>
          <w:rFonts w:ascii="Arial" w:hAnsi="Arial" w:cs="Arial"/>
          <w:b/>
          <w:sz w:val="24"/>
          <w:szCs w:val="24"/>
        </w:rPr>
      </w:pPr>
    </w:p>
    <w:p w14:paraId="46C3E43B" w14:textId="77777777" w:rsidR="002641D2" w:rsidRPr="00FA3F9C" w:rsidRDefault="002641D2" w:rsidP="00130287">
      <w:pPr>
        <w:rPr>
          <w:rFonts w:ascii="Arial" w:hAnsi="Arial" w:cs="Arial"/>
          <w:b/>
          <w:sz w:val="24"/>
          <w:szCs w:val="24"/>
        </w:rPr>
      </w:pPr>
      <w:r w:rsidRPr="00FA3F9C">
        <w:rPr>
          <w:rFonts w:ascii="Arial" w:hAnsi="Arial" w:cs="Arial"/>
          <w:b/>
          <w:sz w:val="24"/>
          <w:szCs w:val="24"/>
        </w:rPr>
        <w:t>Pediatric: Growth failure due to CRI up to time of renal transplant</w:t>
      </w:r>
    </w:p>
    <w:p w14:paraId="64178C50" w14:textId="77777777" w:rsidR="002641D2" w:rsidRPr="00FA3F9C" w:rsidRDefault="002641D2" w:rsidP="002641D2">
      <w:pPr>
        <w:numPr>
          <w:ilvl w:val="0"/>
          <w:numId w:val="246"/>
        </w:numPr>
        <w:spacing w:after="0" w:line="240" w:lineRule="auto"/>
        <w:ind w:left="720"/>
        <w:rPr>
          <w:rFonts w:ascii="Arial" w:hAnsi="Arial" w:cs="Arial"/>
          <w:sz w:val="24"/>
          <w:szCs w:val="24"/>
        </w:rPr>
      </w:pPr>
      <w:r w:rsidRPr="00FA3F9C">
        <w:rPr>
          <w:rFonts w:ascii="Arial" w:hAnsi="Arial" w:cs="Arial"/>
          <w:sz w:val="24"/>
          <w:szCs w:val="24"/>
        </w:rPr>
        <w:t xml:space="preserve">Growth retardation is a common problem in children with chronic kidney disease (CKD) and is due to abnormalities in the GH-IGF axis.  </w:t>
      </w:r>
    </w:p>
    <w:p w14:paraId="766ED3F1" w14:textId="77777777" w:rsidR="002641D2" w:rsidRPr="00FA3F9C" w:rsidRDefault="002641D2" w:rsidP="002641D2">
      <w:pPr>
        <w:numPr>
          <w:ilvl w:val="0"/>
          <w:numId w:val="246"/>
        </w:numPr>
        <w:spacing w:after="0" w:line="240" w:lineRule="auto"/>
        <w:ind w:left="720"/>
        <w:rPr>
          <w:rFonts w:ascii="Arial" w:hAnsi="Arial" w:cs="Arial"/>
          <w:sz w:val="24"/>
          <w:szCs w:val="24"/>
        </w:rPr>
      </w:pPr>
      <w:r w:rsidRPr="00FA3F9C">
        <w:rPr>
          <w:rFonts w:ascii="Arial" w:hAnsi="Arial" w:cs="Arial"/>
          <w:sz w:val="24"/>
          <w:szCs w:val="24"/>
        </w:rPr>
        <w:t xml:space="preserve">“This review of 16 studies enrolling 809 children found that </w:t>
      </w:r>
      <w:proofErr w:type="spellStart"/>
      <w:r w:rsidRPr="00FA3F9C">
        <w:rPr>
          <w:rFonts w:ascii="Arial" w:hAnsi="Arial" w:cs="Arial"/>
          <w:sz w:val="24"/>
          <w:szCs w:val="24"/>
        </w:rPr>
        <w:t>rhGH</w:t>
      </w:r>
      <w:proofErr w:type="spellEnd"/>
      <w:r w:rsidRPr="00FA3F9C">
        <w:rPr>
          <w:rFonts w:ascii="Arial" w:hAnsi="Arial" w:cs="Arial"/>
          <w:sz w:val="24"/>
          <w:szCs w:val="24"/>
        </w:rPr>
        <w:t xml:space="preserve"> increased height in children with CKD by about 4 cm after 1 year and by a further 2 cm after 2 years of treatment compared with no treatment.  Studies were too short to determine if continuing treatment resulted in an increase in final adult height.” – Cochrane Review</w:t>
      </w:r>
    </w:p>
    <w:p w14:paraId="14C5C08F" w14:textId="77777777" w:rsidR="002641D2" w:rsidRPr="00FA3F9C" w:rsidRDefault="002641D2" w:rsidP="002C2422">
      <w:pPr>
        <w:ind w:left="720"/>
        <w:rPr>
          <w:rFonts w:ascii="Arial" w:hAnsi="Arial" w:cs="Arial"/>
          <w:b/>
          <w:sz w:val="24"/>
          <w:szCs w:val="24"/>
        </w:rPr>
      </w:pPr>
    </w:p>
    <w:p w14:paraId="0178F91B" w14:textId="77777777" w:rsidR="002641D2" w:rsidRPr="00FA3F9C" w:rsidRDefault="002641D2" w:rsidP="002C2422">
      <w:pPr>
        <w:ind w:left="720"/>
        <w:rPr>
          <w:rFonts w:ascii="Arial" w:hAnsi="Arial" w:cs="Arial"/>
          <w:b/>
          <w:sz w:val="24"/>
          <w:szCs w:val="24"/>
        </w:rPr>
      </w:pPr>
    </w:p>
    <w:p w14:paraId="18F93B68" w14:textId="77777777" w:rsidR="002641D2" w:rsidRPr="00FA3F9C" w:rsidRDefault="002641D2" w:rsidP="00130287">
      <w:pPr>
        <w:rPr>
          <w:rFonts w:ascii="Arial" w:hAnsi="Arial" w:cs="Arial"/>
          <w:b/>
          <w:sz w:val="24"/>
          <w:szCs w:val="24"/>
        </w:rPr>
      </w:pPr>
      <w:r w:rsidRPr="00FA3F9C">
        <w:rPr>
          <w:rFonts w:ascii="Arial" w:hAnsi="Arial" w:cs="Arial"/>
          <w:b/>
          <w:sz w:val="24"/>
          <w:szCs w:val="24"/>
        </w:rPr>
        <w:t>Pediatric: Prader-Willi Syndrome (PWS)</w:t>
      </w:r>
    </w:p>
    <w:p w14:paraId="2C68B9E8" w14:textId="77777777" w:rsidR="002641D2" w:rsidRPr="00FA3F9C" w:rsidRDefault="002641D2" w:rsidP="002641D2">
      <w:pPr>
        <w:numPr>
          <w:ilvl w:val="0"/>
          <w:numId w:val="246"/>
        </w:numPr>
        <w:spacing w:after="0" w:line="240" w:lineRule="auto"/>
        <w:ind w:left="720"/>
        <w:rPr>
          <w:rFonts w:ascii="Arial" w:hAnsi="Arial" w:cs="Arial"/>
          <w:sz w:val="24"/>
          <w:szCs w:val="24"/>
        </w:rPr>
      </w:pPr>
      <w:r w:rsidRPr="00FA3F9C">
        <w:rPr>
          <w:rFonts w:ascii="Arial" w:hAnsi="Arial" w:cs="Arial"/>
          <w:sz w:val="24"/>
          <w:szCs w:val="24"/>
        </w:rPr>
        <w:t>genetic disorder characterized by excessive appetite, severe hypotonia, emotional problems and delays in development</w:t>
      </w:r>
    </w:p>
    <w:p w14:paraId="48B0D64E" w14:textId="77777777" w:rsidR="002641D2" w:rsidRPr="00FA3F9C" w:rsidRDefault="002641D2" w:rsidP="002641D2">
      <w:pPr>
        <w:numPr>
          <w:ilvl w:val="0"/>
          <w:numId w:val="246"/>
        </w:numPr>
        <w:spacing w:after="0" w:line="240" w:lineRule="auto"/>
        <w:ind w:left="720"/>
        <w:rPr>
          <w:rFonts w:ascii="Arial" w:hAnsi="Arial" w:cs="Arial"/>
          <w:sz w:val="24"/>
          <w:szCs w:val="24"/>
        </w:rPr>
      </w:pPr>
      <w:r w:rsidRPr="00FA3F9C">
        <w:rPr>
          <w:rFonts w:ascii="Arial" w:hAnsi="Arial" w:cs="Arial"/>
          <w:sz w:val="24"/>
          <w:szCs w:val="24"/>
        </w:rPr>
        <w:t xml:space="preserve">Most patients have hypothalamic-pituitary dysfunction, with abnormal growth hormone secretion and </w:t>
      </w:r>
      <w:proofErr w:type="spellStart"/>
      <w:r w:rsidRPr="00FA3F9C">
        <w:rPr>
          <w:rFonts w:ascii="Arial" w:hAnsi="Arial" w:cs="Arial"/>
          <w:sz w:val="24"/>
          <w:szCs w:val="24"/>
        </w:rPr>
        <w:t>hypogonadotrophic</w:t>
      </w:r>
      <w:proofErr w:type="spellEnd"/>
      <w:r w:rsidRPr="00FA3F9C">
        <w:rPr>
          <w:rFonts w:ascii="Arial" w:hAnsi="Arial" w:cs="Arial"/>
          <w:sz w:val="24"/>
          <w:szCs w:val="24"/>
        </w:rPr>
        <w:t xml:space="preserve"> hypogonadism.</w:t>
      </w:r>
      <w:r w:rsidRPr="00FA3F9C">
        <w:rPr>
          <w:rFonts w:ascii="Arial" w:hAnsi="Arial" w:cs="Arial"/>
          <w:sz w:val="24"/>
          <w:szCs w:val="24"/>
          <w:vertAlign w:val="superscript"/>
        </w:rPr>
        <w:t>4</w:t>
      </w:r>
    </w:p>
    <w:p w14:paraId="431A4870" w14:textId="77777777" w:rsidR="002641D2" w:rsidRPr="00FA3F9C" w:rsidRDefault="002641D2" w:rsidP="002641D2">
      <w:pPr>
        <w:numPr>
          <w:ilvl w:val="0"/>
          <w:numId w:val="246"/>
        </w:numPr>
        <w:spacing w:after="0" w:line="240" w:lineRule="auto"/>
        <w:ind w:left="720"/>
        <w:rPr>
          <w:rFonts w:ascii="Arial" w:hAnsi="Arial" w:cs="Arial"/>
          <w:sz w:val="24"/>
          <w:szCs w:val="24"/>
        </w:rPr>
      </w:pPr>
      <w:r w:rsidRPr="00FA3F9C">
        <w:rPr>
          <w:rFonts w:ascii="Arial" w:hAnsi="Arial" w:cs="Arial"/>
          <w:sz w:val="24"/>
          <w:szCs w:val="24"/>
        </w:rPr>
        <w:t>Treatment with GH is associated with a significant decrease in fat% and improved HDL/LDL ratio in prepubertal children.</w:t>
      </w:r>
    </w:p>
    <w:p w14:paraId="6259C79A" w14:textId="77777777" w:rsidR="002641D2" w:rsidRPr="00FA3F9C" w:rsidRDefault="002641D2" w:rsidP="002641D2">
      <w:pPr>
        <w:numPr>
          <w:ilvl w:val="1"/>
          <w:numId w:val="246"/>
        </w:numPr>
        <w:spacing w:after="0" w:line="240" w:lineRule="auto"/>
        <w:ind w:left="1440"/>
        <w:rPr>
          <w:rFonts w:ascii="Arial" w:hAnsi="Arial" w:cs="Arial"/>
          <w:sz w:val="24"/>
          <w:szCs w:val="24"/>
        </w:rPr>
      </w:pPr>
      <w:r w:rsidRPr="00FA3F9C">
        <w:rPr>
          <w:rFonts w:ascii="Arial" w:hAnsi="Arial" w:cs="Arial"/>
          <w:sz w:val="24"/>
          <w:szCs w:val="24"/>
        </w:rPr>
        <w:t>From randomized control trial measuring surrogate endpoints (no clinical outcomes) in 85 infants and prepubertal children (6mo-3yrs) of GH vs. placebo</w:t>
      </w:r>
      <w:r w:rsidRPr="00FA3F9C">
        <w:rPr>
          <w:rFonts w:ascii="Arial" w:hAnsi="Arial" w:cs="Arial"/>
          <w:sz w:val="24"/>
          <w:szCs w:val="24"/>
          <w:vertAlign w:val="superscript"/>
        </w:rPr>
        <w:t>13</w:t>
      </w:r>
      <w:r w:rsidRPr="00FA3F9C">
        <w:rPr>
          <w:rFonts w:ascii="Arial" w:hAnsi="Arial" w:cs="Arial"/>
          <w:sz w:val="24"/>
          <w:szCs w:val="24"/>
        </w:rPr>
        <w:t xml:space="preserve"> </w:t>
      </w:r>
    </w:p>
    <w:p w14:paraId="294B53C3" w14:textId="77777777" w:rsidR="002641D2" w:rsidRPr="00FA3F9C" w:rsidRDefault="002641D2" w:rsidP="002641D2">
      <w:pPr>
        <w:numPr>
          <w:ilvl w:val="2"/>
          <w:numId w:val="246"/>
        </w:numPr>
        <w:spacing w:after="0" w:line="240" w:lineRule="auto"/>
        <w:ind w:hanging="900"/>
        <w:rPr>
          <w:rFonts w:ascii="Arial" w:hAnsi="Arial" w:cs="Arial"/>
          <w:sz w:val="24"/>
          <w:szCs w:val="24"/>
        </w:rPr>
      </w:pPr>
      <w:r w:rsidRPr="00FA3F9C">
        <w:rPr>
          <w:rFonts w:ascii="Arial" w:hAnsi="Arial" w:cs="Arial"/>
          <w:sz w:val="24"/>
          <w:szCs w:val="24"/>
        </w:rPr>
        <w:t>Decline in fat % (p&lt;0.001)during 24 months of study</w:t>
      </w:r>
    </w:p>
    <w:p w14:paraId="49D91A22" w14:textId="77777777" w:rsidR="002641D2" w:rsidRPr="00FA3F9C" w:rsidRDefault="002641D2" w:rsidP="002641D2">
      <w:pPr>
        <w:numPr>
          <w:ilvl w:val="2"/>
          <w:numId w:val="246"/>
        </w:numPr>
        <w:spacing w:after="0" w:line="240" w:lineRule="auto"/>
        <w:ind w:hanging="900"/>
        <w:rPr>
          <w:rFonts w:ascii="Arial" w:hAnsi="Arial" w:cs="Arial"/>
          <w:sz w:val="24"/>
          <w:szCs w:val="24"/>
        </w:rPr>
      </w:pPr>
      <w:r w:rsidRPr="00FA3F9C">
        <w:rPr>
          <w:rFonts w:ascii="Arial" w:hAnsi="Arial" w:cs="Arial"/>
          <w:sz w:val="24"/>
          <w:szCs w:val="24"/>
        </w:rPr>
        <w:t>Improved HDL/LDL ratio (p=0.04)</w:t>
      </w:r>
    </w:p>
    <w:p w14:paraId="28CC7055" w14:textId="77777777" w:rsidR="002641D2" w:rsidRPr="00FA3F9C" w:rsidRDefault="002641D2" w:rsidP="002641D2">
      <w:pPr>
        <w:numPr>
          <w:ilvl w:val="2"/>
          <w:numId w:val="246"/>
        </w:numPr>
        <w:spacing w:after="0" w:line="240" w:lineRule="auto"/>
        <w:ind w:hanging="900"/>
        <w:rPr>
          <w:rFonts w:ascii="Arial" w:hAnsi="Arial" w:cs="Arial"/>
          <w:sz w:val="24"/>
          <w:szCs w:val="24"/>
        </w:rPr>
      </w:pPr>
      <w:r w:rsidRPr="00FA3F9C">
        <w:rPr>
          <w:rFonts w:ascii="Arial" w:hAnsi="Arial" w:cs="Arial"/>
          <w:sz w:val="24"/>
          <w:szCs w:val="24"/>
        </w:rPr>
        <w:t>No significant changes seen in BP or fasting glucose</w:t>
      </w:r>
    </w:p>
    <w:p w14:paraId="45FE2886" w14:textId="77777777" w:rsidR="002641D2" w:rsidRPr="00FA3F9C" w:rsidRDefault="002641D2" w:rsidP="002641D2">
      <w:pPr>
        <w:numPr>
          <w:ilvl w:val="0"/>
          <w:numId w:val="246"/>
        </w:numPr>
        <w:spacing w:after="0" w:line="240" w:lineRule="auto"/>
        <w:ind w:left="1080" w:hanging="720"/>
        <w:rPr>
          <w:rFonts w:ascii="Arial" w:hAnsi="Arial" w:cs="Arial"/>
          <w:sz w:val="24"/>
          <w:szCs w:val="24"/>
        </w:rPr>
      </w:pPr>
      <w:r w:rsidRPr="00FA3F9C">
        <w:rPr>
          <w:rFonts w:ascii="Arial" w:hAnsi="Arial" w:cs="Arial"/>
          <w:sz w:val="24"/>
          <w:szCs w:val="24"/>
        </w:rPr>
        <w:t>Treatment with GH prevents deterioration of certain cognitive skills</w:t>
      </w:r>
    </w:p>
    <w:p w14:paraId="426566A2" w14:textId="77777777" w:rsidR="002641D2" w:rsidRPr="00FA3F9C" w:rsidRDefault="002641D2" w:rsidP="002641D2">
      <w:pPr>
        <w:numPr>
          <w:ilvl w:val="1"/>
          <w:numId w:val="246"/>
        </w:numPr>
        <w:spacing w:after="0" w:line="240" w:lineRule="auto"/>
        <w:ind w:hanging="1080"/>
        <w:rPr>
          <w:rFonts w:ascii="Arial" w:hAnsi="Arial" w:cs="Arial"/>
          <w:sz w:val="24"/>
          <w:szCs w:val="24"/>
        </w:rPr>
      </w:pPr>
      <w:r w:rsidRPr="00FA3F9C">
        <w:rPr>
          <w:rFonts w:ascii="Arial" w:hAnsi="Arial" w:cs="Arial"/>
          <w:sz w:val="24"/>
          <w:szCs w:val="24"/>
        </w:rPr>
        <w:t>From randomized controlled trial of 50 prepubertal children (3.5-14yrs) of GH vs. placebo</w:t>
      </w:r>
      <w:r w:rsidRPr="00FA3F9C">
        <w:rPr>
          <w:rFonts w:ascii="Arial" w:hAnsi="Arial" w:cs="Arial"/>
          <w:sz w:val="24"/>
          <w:szCs w:val="24"/>
          <w:vertAlign w:val="superscript"/>
        </w:rPr>
        <w:t>14</w:t>
      </w:r>
    </w:p>
    <w:p w14:paraId="471F3968" w14:textId="77777777" w:rsidR="002641D2" w:rsidRPr="00FA3F9C" w:rsidRDefault="002641D2" w:rsidP="002641D2">
      <w:pPr>
        <w:numPr>
          <w:ilvl w:val="2"/>
          <w:numId w:val="246"/>
        </w:numPr>
        <w:spacing w:after="0" w:line="240" w:lineRule="auto"/>
        <w:ind w:left="2160" w:hanging="180"/>
        <w:rPr>
          <w:rFonts w:ascii="Arial" w:hAnsi="Arial" w:cs="Arial"/>
          <w:sz w:val="24"/>
          <w:szCs w:val="24"/>
        </w:rPr>
      </w:pPr>
      <w:r w:rsidRPr="00FA3F9C">
        <w:rPr>
          <w:rFonts w:ascii="Arial" w:hAnsi="Arial" w:cs="Arial"/>
          <w:sz w:val="24"/>
          <w:szCs w:val="24"/>
        </w:rPr>
        <w:t>Baseline tests of vocabulary, similarity, and block design measured for both groups and found to be similar</w:t>
      </w:r>
    </w:p>
    <w:p w14:paraId="13EA1B7B" w14:textId="77777777" w:rsidR="002641D2" w:rsidRPr="00FA3F9C" w:rsidRDefault="002641D2" w:rsidP="002641D2">
      <w:pPr>
        <w:numPr>
          <w:ilvl w:val="2"/>
          <w:numId w:val="246"/>
        </w:numPr>
        <w:spacing w:after="0" w:line="240" w:lineRule="auto"/>
        <w:ind w:left="2160" w:hanging="180"/>
        <w:rPr>
          <w:rFonts w:ascii="Arial" w:hAnsi="Arial" w:cs="Arial"/>
          <w:sz w:val="24"/>
          <w:szCs w:val="24"/>
        </w:rPr>
      </w:pPr>
      <w:r w:rsidRPr="00FA3F9C">
        <w:rPr>
          <w:rFonts w:ascii="Arial" w:hAnsi="Arial" w:cs="Arial"/>
          <w:sz w:val="24"/>
          <w:szCs w:val="24"/>
        </w:rPr>
        <w:t>While there was no significant change (increase or decrease) in cognitive function for the GH treated group, the placebo group had a decrease in cognitive functioning on the similarities (p=0.04) and vocabulary tests (p=0.03) at 2 years</w:t>
      </w:r>
    </w:p>
    <w:p w14:paraId="172D0937" w14:textId="77777777" w:rsidR="002641D2" w:rsidRPr="00FA3F9C" w:rsidRDefault="002641D2" w:rsidP="002641D2">
      <w:pPr>
        <w:numPr>
          <w:ilvl w:val="2"/>
          <w:numId w:val="246"/>
        </w:numPr>
        <w:spacing w:after="0" w:line="240" w:lineRule="auto"/>
        <w:ind w:left="2160" w:hanging="180"/>
        <w:rPr>
          <w:rFonts w:ascii="Arial" w:hAnsi="Arial" w:cs="Arial"/>
          <w:sz w:val="24"/>
          <w:szCs w:val="24"/>
        </w:rPr>
      </w:pPr>
      <w:r w:rsidRPr="00FA3F9C">
        <w:rPr>
          <w:rFonts w:ascii="Arial" w:hAnsi="Arial" w:cs="Arial"/>
          <w:sz w:val="24"/>
          <w:szCs w:val="24"/>
        </w:rPr>
        <w:t xml:space="preserve">After two years, all participants received GH and all subjects analyzed again after 4 years, at which time there was a significant cognitive improvement in similarities (p=0.01) and block design (p=0.03) tests compared to baseline scores. </w:t>
      </w:r>
    </w:p>
    <w:p w14:paraId="35C73A0E" w14:textId="77777777" w:rsidR="002641D2" w:rsidRPr="00FA3F9C" w:rsidRDefault="002641D2" w:rsidP="002641D2">
      <w:pPr>
        <w:numPr>
          <w:ilvl w:val="0"/>
          <w:numId w:val="246"/>
        </w:numPr>
        <w:spacing w:after="0" w:line="240" w:lineRule="auto"/>
        <w:ind w:left="720"/>
        <w:rPr>
          <w:rFonts w:ascii="Arial" w:hAnsi="Arial" w:cs="Arial"/>
          <w:sz w:val="24"/>
          <w:szCs w:val="24"/>
        </w:rPr>
      </w:pPr>
      <w:r w:rsidRPr="00FA3F9C">
        <w:rPr>
          <w:rFonts w:ascii="Arial" w:hAnsi="Arial" w:cs="Arial"/>
          <w:sz w:val="24"/>
          <w:szCs w:val="24"/>
        </w:rPr>
        <w:t>Per AACE guidelines</w:t>
      </w:r>
      <w:r w:rsidRPr="00FA3F9C">
        <w:rPr>
          <w:rFonts w:ascii="Arial" w:hAnsi="Arial" w:cs="Arial"/>
          <w:sz w:val="24"/>
          <w:szCs w:val="24"/>
          <w:vertAlign w:val="superscript"/>
        </w:rPr>
        <w:t>1</w:t>
      </w:r>
      <w:r w:rsidRPr="00FA3F9C">
        <w:rPr>
          <w:rFonts w:ascii="Arial" w:hAnsi="Arial" w:cs="Arial"/>
          <w:sz w:val="24"/>
          <w:szCs w:val="24"/>
        </w:rPr>
        <w:t xml:space="preserve">, “GH results in appreciable acceleration of growth, decrease in fat mass, increase in lean body mass, and increase in the ratio of </w:t>
      </w:r>
      <w:proofErr w:type="gramStart"/>
      <w:r w:rsidRPr="00FA3F9C">
        <w:rPr>
          <w:rFonts w:ascii="Arial" w:hAnsi="Arial" w:cs="Arial"/>
          <w:sz w:val="24"/>
          <w:szCs w:val="24"/>
        </w:rPr>
        <w:t>lean to</w:t>
      </w:r>
      <w:proofErr w:type="gramEnd"/>
      <w:r w:rsidRPr="00FA3F9C">
        <w:rPr>
          <w:rFonts w:ascii="Arial" w:hAnsi="Arial" w:cs="Arial"/>
          <w:sz w:val="24"/>
          <w:szCs w:val="24"/>
        </w:rPr>
        <w:t xml:space="preserve"> fat tissue.  Some studies report an improvement in physical activity and agility.  The data show substantial improvement in near final </w:t>
      </w:r>
      <w:proofErr w:type="gramStart"/>
      <w:r w:rsidRPr="00FA3F9C">
        <w:rPr>
          <w:rFonts w:ascii="Arial" w:hAnsi="Arial" w:cs="Arial"/>
          <w:sz w:val="24"/>
          <w:szCs w:val="24"/>
        </w:rPr>
        <w:t>adults</w:t>
      </w:r>
      <w:proofErr w:type="gramEnd"/>
      <w:r w:rsidRPr="00FA3F9C">
        <w:rPr>
          <w:rFonts w:ascii="Arial" w:hAnsi="Arial" w:cs="Arial"/>
          <w:sz w:val="24"/>
          <w:szCs w:val="24"/>
        </w:rPr>
        <w:t xml:space="preserve"> height after GH treatment”</w:t>
      </w:r>
    </w:p>
    <w:p w14:paraId="370AF1F8" w14:textId="77777777" w:rsidR="002641D2" w:rsidRPr="00FA3F9C" w:rsidRDefault="002641D2" w:rsidP="00130287">
      <w:pPr>
        <w:ind w:left="1080"/>
        <w:rPr>
          <w:rFonts w:ascii="Arial" w:hAnsi="Arial" w:cs="Arial"/>
          <w:sz w:val="24"/>
          <w:szCs w:val="24"/>
        </w:rPr>
      </w:pPr>
    </w:p>
    <w:p w14:paraId="39F18A7D" w14:textId="77777777" w:rsidR="002641D2" w:rsidRPr="00FA3F9C" w:rsidRDefault="002641D2" w:rsidP="00DD663E">
      <w:pPr>
        <w:rPr>
          <w:rFonts w:ascii="Arial" w:hAnsi="Arial" w:cs="Arial"/>
          <w:b/>
          <w:sz w:val="24"/>
          <w:szCs w:val="24"/>
        </w:rPr>
      </w:pPr>
      <w:r w:rsidRPr="00FA3F9C">
        <w:rPr>
          <w:rFonts w:ascii="Arial" w:hAnsi="Arial" w:cs="Arial"/>
          <w:b/>
          <w:sz w:val="24"/>
          <w:szCs w:val="24"/>
        </w:rPr>
        <w:t>Pediatric: Short stature or growth failure associated with short stature homeobox gene (SHOX) deficiency</w:t>
      </w:r>
    </w:p>
    <w:p w14:paraId="025ABD9F" w14:textId="77777777" w:rsidR="002641D2" w:rsidRPr="00FA3F9C" w:rsidRDefault="002641D2" w:rsidP="002641D2">
      <w:pPr>
        <w:numPr>
          <w:ilvl w:val="0"/>
          <w:numId w:val="246"/>
        </w:numPr>
        <w:spacing w:after="0" w:line="240" w:lineRule="auto"/>
        <w:ind w:left="720"/>
        <w:rPr>
          <w:rFonts w:ascii="Arial" w:hAnsi="Arial" w:cs="Arial"/>
          <w:b/>
          <w:sz w:val="24"/>
          <w:szCs w:val="24"/>
        </w:rPr>
      </w:pPr>
      <w:r w:rsidRPr="00FA3F9C">
        <w:rPr>
          <w:rFonts w:ascii="Arial" w:hAnsi="Arial" w:cs="Arial"/>
          <w:sz w:val="24"/>
          <w:szCs w:val="24"/>
        </w:rPr>
        <w:t>“The SHOX gene encodes a transcription factor responsible for a significant proportion of long-bone growth.  Patients with mutations or deletions of SHOX (including those with TS) have variable degrees of GH impairment.</w:t>
      </w:r>
    </w:p>
    <w:p w14:paraId="6E2938ED" w14:textId="77777777" w:rsidR="002641D2" w:rsidRPr="00FA3F9C" w:rsidRDefault="002641D2" w:rsidP="002641D2">
      <w:pPr>
        <w:numPr>
          <w:ilvl w:val="0"/>
          <w:numId w:val="246"/>
        </w:numPr>
        <w:spacing w:after="0" w:line="240" w:lineRule="auto"/>
        <w:ind w:left="720"/>
        <w:rPr>
          <w:rFonts w:ascii="Arial" w:hAnsi="Arial" w:cs="Arial"/>
          <w:b/>
          <w:sz w:val="24"/>
          <w:szCs w:val="24"/>
        </w:rPr>
      </w:pPr>
      <w:r w:rsidRPr="00FA3F9C">
        <w:rPr>
          <w:rFonts w:ascii="Arial" w:hAnsi="Arial" w:cs="Arial"/>
          <w:sz w:val="24"/>
          <w:szCs w:val="24"/>
        </w:rPr>
        <w:t>While RCT have shown significant increase in height over 2 years with GH treatment vs placebo</w:t>
      </w:r>
      <w:r w:rsidRPr="00FA3F9C">
        <w:rPr>
          <w:rFonts w:ascii="Arial" w:hAnsi="Arial" w:cs="Arial"/>
          <w:sz w:val="24"/>
          <w:szCs w:val="24"/>
          <w:vertAlign w:val="superscript"/>
        </w:rPr>
        <w:t>7</w:t>
      </w:r>
      <w:r w:rsidRPr="00FA3F9C">
        <w:rPr>
          <w:rFonts w:ascii="Arial" w:hAnsi="Arial" w:cs="Arial"/>
          <w:sz w:val="24"/>
          <w:szCs w:val="24"/>
        </w:rPr>
        <w:t xml:space="preserve">, there are no good studies demonstrating if normal adult height is achieved.  </w:t>
      </w:r>
    </w:p>
    <w:p w14:paraId="3E79D6D5" w14:textId="77777777" w:rsidR="002641D2" w:rsidRPr="00FA3F9C" w:rsidRDefault="002641D2" w:rsidP="002641D2">
      <w:pPr>
        <w:numPr>
          <w:ilvl w:val="0"/>
          <w:numId w:val="246"/>
        </w:numPr>
        <w:spacing w:after="0" w:line="240" w:lineRule="auto"/>
        <w:ind w:left="720"/>
        <w:rPr>
          <w:rFonts w:ascii="Arial" w:hAnsi="Arial" w:cs="Arial"/>
          <w:b/>
          <w:sz w:val="24"/>
          <w:szCs w:val="24"/>
        </w:rPr>
      </w:pPr>
      <w:r w:rsidRPr="00FA3F9C">
        <w:rPr>
          <w:rFonts w:ascii="Arial" w:hAnsi="Arial" w:cs="Arial"/>
          <w:sz w:val="24"/>
          <w:szCs w:val="24"/>
        </w:rPr>
        <w:lastRenderedPageBreak/>
        <w:t>mutations in the SHOX gene are responsible for up to 4 percent of cases of apparent "idiopathic" short stature</w:t>
      </w:r>
    </w:p>
    <w:p w14:paraId="63338829" w14:textId="77777777" w:rsidR="002641D2" w:rsidRPr="00FA3F9C" w:rsidRDefault="002641D2" w:rsidP="00543AA9">
      <w:pPr>
        <w:ind w:left="720"/>
        <w:rPr>
          <w:rFonts w:ascii="Arial" w:hAnsi="Arial" w:cs="Arial"/>
          <w:b/>
          <w:sz w:val="24"/>
          <w:szCs w:val="24"/>
        </w:rPr>
      </w:pPr>
    </w:p>
    <w:p w14:paraId="4AFB847B" w14:textId="77777777" w:rsidR="002641D2" w:rsidRPr="00FA3F9C" w:rsidRDefault="002641D2" w:rsidP="00DD663E">
      <w:pPr>
        <w:spacing w:after="0" w:line="240" w:lineRule="auto"/>
        <w:rPr>
          <w:rFonts w:ascii="Arial" w:hAnsi="Arial" w:cs="Arial"/>
          <w:b/>
          <w:sz w:val="24"/>
          <w:szCs w:val="24"/>
        </w:rPr>
      </w:pPr>
      <w:r w:rsidRPr="00FA3F9C">
        <w:rPr>
          <w:rFonts w:ascii="Arial" w:hAnsi="Arial" w:cs="Arial"/>
          <w:b/>
          <w:sz w:val="24"/>
          <w:szCs w:val="24"/>
        </w:rPr>
        <w:t>Pediatric: Pediatric:  Short stature associated with Noonan syndrome</w:t>
      </w:r>
    </w:p>
    <w:p w14:paraId="2E1638A1" w14:textId="77777777" w:rsidR="002641D2" w:rsidRPr="00FA3F9C" w:rsidRDefault="002641D2" w:rsidP="002641D2">
      <w:pPr>
        <w:numPr>
          <w:ilvl w:val="0"/>
          <w:numId w:val="246"/>
        </w:numPr>
        <w:spacing w:after="0" w:line="240" w:lineRule="auto"/>
        <w:ind w:left="720"/>
        <w:rPr>
          <w:rFonts w:ascii="Arial" w:hAnsi="Arial" w:cs="Arial"/>
          <w:b/>
          <w:sz w:val="24"/>
          <w:szCs w:val="24"/>
        </w:rPr>
      </w:pPr>
      <w:r w:rsidRPr="00FA3F9C">
        <w:rPr>
          <w:rFonts w:ascii="Arial" w:hAnsi="Arial" w:cs="Arial"/>
          <w:sz w:val="24"/>
          <w:szCs w:val="24"/>
        </w:rPr>
        <w:t>relatively common autosomal dominant disorder that causes GH resistance</w:t>
      </w:r>
    </w:p>
    <w:p w14:paraId="25873914" w14:textId="77777777" w:rsidR="002641D2" w:rsidRPr="00FA3F9C" w:rsidRDefault="002641D2" w:rsidP="002641D2">
      <w:pPr>
        <w:numPr>
          <w:ilvl w:val="0"/>
          <w:numId w:val="246"/>
        </w:numPr>
        <w:spacing w:after="0" w:line="240" w:lineRule="auto"/>
        <w:ind w:left="720"/>
        <w:rPr>
          <w:rFonts w:ascii="Arial" w:hAnsi="Arial" w:cs="Arial"/>
          <w:sz w:val="24"/>
          <w:szCs w:val="24"/>
        </w:rPr>
      </w:pPr>
      <w:r w:rsidRPr="00FA3F9C">
        <w:rPr>
          <w:rFonts w:ascii="Arial" w:hAnsi="Arial" w:cs="Arial"/>
          <w:sz w:val="24"/>
          <w:szCs w:val="24"/>
        </w:rPr>
        <w:t>Noonan syndrome (NS) is characterized by short stature, typical facial dysmorphology and congenital heart defects</w:t>
      </w:r>
    </w:p>
    <w:p w14:paraId="4FA57DC5" w14:textId="77777777" w:rsidR="002641D2" w:rsidRPr="00FA3F9C" w:rsidRDefault="002641D2" w:rsidP="002641D2">
      <w:pPr>
        <w:numPr>
          <w:ilvl w:val="0"/>
          <w:numId w:val="246"/>
        </w:numPr>
        <w:spacing w:after="0" w:line="240" w:lineRule="auto"/>
        <w:ind w:left="720"/>
        <w:rPr>
          <w:rFonts w:ascii="Arial" w:hAnsi="Arial" w:cs="Arial"/>
          <w:sz w:val="24"/>
          <w:szCs w:val="24"/>
        </w:rPr>
      </w:pPr>
      <w:r w:rsidRPr="00FA3F9C">
        <w:rPr>
          <w:rFonts w:ascii="Arial" w:hAnsi="Arial" w:cs="Arial"/>
          <w:sz w:val="24"/>
          <w:szCs w:val="24"/>
        </w:rPr>
        <w:t xml:space="preserve">While there are a few clinical trials that show increase in height, only one had a placebo group.  This trial found that while there was an initial increase in height standard deviation score, the accelerating effect of GH on bone maturation seemed to compromise the final height prognosis. </w:t>
      </w:r>
      <w:r w:rsidRPr="00FA3F9C">
        <w:rPr>
          <w:rFonts w:ascii="Arial" w:hAnsi="Arial" w:cs="Arial"/>
          <w:sz w:val="24"/>
          <w:szCs w:val="24"/>
          <w:vertAlign w:val="superscript"/>
        </w:rPr>
        <w:t>15</w:t>
      </w:r>
    </w:p>
    <w:p w14:paraId="1AD6CFAD" w14:textId="77777777" w:rsidR="002641D2" w:rsidRPr="00FA3F9C" w:rsidRDefault="002641D2" w:rsidP="00130287">
      <w:pPr>
        <w:rPr>
          <w:rFonts w:ascii="Arial" w:hAnsi="Arial" w:cs="Arial"/>
          <w:b/>
          <w:sz w:val="24"/>
          <w:szCs w:val="24"/>
        </w:rPr>
      </w:pPr>
    </w:p>
    <w:p w14:paraId="3DE9E2E9" w14:textId="77777777" w:rsidR="002641D2" w:rsidRPr="00FA3F9C" w:rsidRDefault="002641D2" w:rsidP="00130287">
      <w:pPr>
        <w:rPr>
          <w:rFonts w:ascii="Arial" w:hAnsi="Arial" w:cs="Arial"/>
          <w:b/>
          <w:sz w:val="24"/>
          <w:szCs w:val="24"/>
        </w:rPr>
      </w:pPr>
      <w:r w:rsidRPr="00FA3F9C">
        <w:rPr>
          <w:rFonts w:ascii="Arial" w:hAnsi="Arial" w:cs="Arial"/>
          <w:b/>
          <w:sz w:val="24"/>
          <w:szCs w:val="24"/>
        </w:rPr>
        <w:t>Pediatric: Idiopathic Short Stature</w:t>
      </w:r>
    </w:p>
    <w:p w14:paraId="50B2CDEC" w14:textId="77777777" w:rsidR="002641D2" w:rsidRPr="00FA3F9C" w:rsidRDefault="002641D2" w:rsidP="002641D2">
      <w:pPr>
        <w:numPr>
          <w:ilvl w:val="0"/>
          <w:numId w:val="246"/>
        </w:numPr>
        <w:spacing w:after="0" w:line="240" w:lineRule="auto"/>
        <w:ind w:left="720"/>
        <w:rPr>
          <w:rFonts w:ascii="Arial" w:hAnsi="Arial" w:cs="Arial"/>
          <w:b/>
          <w:sz w:val="24"/>
          <w:szCs w:val="24"/>
        </w:rPr>
      </w:pPr>
      <w:r w:rsidRPr="00FA3F9C">
        <w:rPr>
          <w:rFonts w:ascii="Arial" w:hAnsi="Arial" w:cs="Arial"/>
          <w:sz w:val="24"/>
          <w:szCs w:val="24"/>
        </w:rPr>
        <w:t>“Results suggest that short-term height gains can range from none to approximately 0.7 SD over one year.  One study reported health related quality of life and showed no significant improvement in GH treated children compared with those in the control group, whist another found no significant evidence that GH treatment impacts psychological adaptation or self-perception in children with ISS.”  --Cochrane Review</w:t>
      </w:r>
      <w:r w:rsidRPr="00FA3F9C">
        <w:rPr>
          <w:rFonts w:ascii="Arial" w:hAnsi="Arial" w:cs="Arial"/>
          <w:sz w:val="24"/>
          <w:szCs w:val="24"/>
          <w:vertAlign w:val="superscript"/>
        </w:rPr>
        <w:t>5</w:t>
      </w:r>
    </w:p>
    <w:p w14:paraId="7692C94C" w14:textId="77777777" w:rsidR="002641D2" w:rsidRPr="00FA3F9C" w:rsidRDefault="002641D2" w:rsidP="00130287">
      <w:pPr>
        <w:rPr>
          <w:rFonts w:ascii="Arial" w:hAnsi="Arial" w:cs="Arial"/>
          <w:sz w:val="24"/>
          <w:szCs w:val="24"/>
        </w:rPr>
      </w:pPr>
    </w:p>
    <w:p w14:paraId="78415E65" w14:textId="77777777" w:rsidR="002641D2" w:rsidRPr="00FA3F9C" w:rsidRDefault="002641D2" w:rsidP="00130287">
      <w:pPr>
        <w:ind w:left="1080"/>
        <w:rPr>
          <w:rFonts w:ascii="Arial" w:hAnsi="Arial" w:cs="Arial"/>
          <w:sz w:val="24"/>
          <w:szCs w:val="24"/>
        </w:rPr>
      </w:pPr>
    </w:p>
    <w:p w14:paraId="7ECF3735" w14:textId="77777777" w:rsidR="002641D2" w:rsidRPr="00FA3F9C" w:rsidRDefault="002641D2" w:rsidP="00130287">
      <w:pPr>
        <w:rPr>
          <w:rFonts w:ascii="Arial" w:hAnsi="Arial" w:cs="Arial"/>
          <w:b/>
          <w:sz w:val="24"/>
          <w:szCs w:val="24"/>
        </w:rPr>
      </w:pPr>
      <w:r w:rsidRPr="00FA3F9C">
        <w:rPr>
          <w:rFonts w:ascii="Arial" w:hAnsi="Arial" w:cs="Arial"/>
          <w:b/>
          <w:sz w:val="24"/>
          <w:szCs w:val="24"/>
        </w:rPr>
        <w:t xml:space="preserve">Adult:  GH deficiency of either childhood or </w:t>
      </w:r>
      <w:proofErr w:type="gramStart"/>
      <w:r w:rsidRPr="00FA3F9C">
        <w:rPr>
          <w:rFonts w:ascii="Arial" w:hAnsi="Arial" w:cs="Arial"/>
          <w:b/>
          <w:sz w:val="24"/>
          <w:szCs w:val="24"/>
        </w:rPr>
        <w:t>adult onset</w:t>
      </w:r>
      <w:proofErr w:type="gramEnd"/>
      <w:r w:rsidRPr="00FA3F9C">
        <w:rPr>
          <w:rFonts w:ascii="Arial" w:hAnsi="Arial" w:cs="Arial"/>
          <w:b/>
          <w:sz w:val="24"/>
          <w:szCs w:val="24"/>
        </w:rPr>
        <w:t xml:space="preserve"> etiology </w:t>
      </w:r>
    </w:p>
    <w:p w14:paraId="6E85E975" w14:textId="77777777" w:rsidR="002641D2" w:rsidRPr="00FA3F9C" w:rsidRDefault="002641D2" w:rsidP="002641D2">
      <w:pPr>
        <w:numPr>
          <w:ilvl w:val="0"/>
          <w:numId w:val="240"/>
        </w:numPr>
        <w:spacing w:after="0" w:line="240" w:lineRule="auto"/>
        <w:rPr>
          <w:rFonts w:ascii="Arial" w:hAnsi="Arial" w:cs="Arial"/>
          <w:sz w:val="24"/>
          <w:szCs w:val="24"/>
        </w:rPr>
      </w:pPr>
      <w:r w:rsidRPr="00FA3F9C">
        <w:rPr>
          <w:rFonts w:ascii="Arial" w:hAnsi="Arial" w:cs="Arial"/>
          <w:sz w:val="24"/>
          <w:szCs w:val="24"/>
        </w:rPr>
        <w:t>“Idiopathic GHD in adults is very rare, and stringent criteria are necessary to make this diagnosis.  Because in the absence of suggestive clinical circumstances there is a significant false-positive error rate in the response to a single GH stimulation test, we suggest the use of two tests before making this diagnosis.” Endocrine Society  Clinical Practice guideline 2011</w:t>
      </w:r>
    </w:p>
    <w:p w14:paraId="225A1B6D" w14:textId="77777777" w:rsidR="002641D2" w:rsidRPr="00FA3F9C" w:rsidRDefault="002641D2" w:rsidP="002641D2">
      <w:pPr>
        <w:numPr>
          <w:ilvl w:val="0"/>
          <w:numId w:val="238"/>
        </w:numPr>
        <w:autoSpaceDE w:val="0"/>
        <w:autoSpaceDN w:val="0"/>
        <w:adjustRightInd w:val="0"/>
        <w:spacing w:after="0" w:line="240" w:lineRule="auto"/>
        <w:ind w:left="1080" w:hanging="720"/>
        <w:rPr>
          <w:rFonts w:ascii="Arial" w:hAnsi="Arial" w:cs="Arial"/>
          <w:sz w:val="24"/>
          <w:szCs w:val="24"/>
        </w:rPr>
      </w:pPr>
      <w:r w:rsidRPr="00FA3F9C">
        <w:rPr>
          <w:rFonts w:ascii="Arial" w:hAnsi="Arial" w:cs="Arial"/>
          <w:sz w:val="24"/>
          <w:szCs w:val="24"/>
        </w:rPr>
        <w:t>Larger doses of somatropin may be required for women taking oral estrogen replacement</w:t>
      </w:r>
    </w:p>
    <w:p w14:paraId="75DAEA0E" w14:textId="77777777" w:rsidR="002641D2" w:rsidRPr="00FA3F9C" w:rsidRDefault="002641D2" w:rsidP="002641D2">
      <w:pPr>
        <w:numPr>
          <w:ilvl w:val="0"/>
          <w:numId w:val="238"/>
        </w:numPr>
        <w:autoSpaceDE w:val="0"/>
        <w:autoSpaceDN w:val="0"/>
        <w:adjustRightInd w:val="0"/>
        <w:spacing w:after="0" w:line="240" w:lineRule="auto"/>
        <w:rPr>
          <w:rFonts w:ascii="Arial" w:hAnsi="Arial" w:cs="Arial"/>
          <w:sz w:val="24"/>
          <w:szCs w:val="24"/>
        </w:rPr>
      </w:pPr>
      <w:r w:rsidRPr="00FA3F9C">
        <w:rPr>
          <w:rFonts w:ascii="Arial" w:hAnsi="Arial" w:cs="Arial"/>
          <w:sz w:val="24"/>
          <w:szCs w:val="24"/>
        </w:rPr>
        <w:t xml:space="preserve">Adults with GHD may have reduced lean body mass, increased fat mass, decreased bone mass, reduced physical and cardiac performance, and an abnormal lipid profile. </w:t>
      </w:r>
      <w:r w:rsidRPr="00FA3F9C">
        <w:rPr>
          <w:rFonts w:ascii="Arial" w:hAnsi="Arial" w:cs="Arial"/>
          <w:sz w:val="24"/>
          <w:szCs w:val="24"/>
          <w:vertAlign w:val="superscript"/>
        </w:rPr>
        <w:t xml:space="preserve">11 </w:t>
      </w:r>
    </w:p>
    <w:p w14:paraId="6A520389" w14:textId="77777777" w:rsidR="002641D2" w:rsidRPr="00FA3F9C" w:rsidRDefault="002641D2" w:rsidP="002641D2">
      <w:pPr>
        <w:numPr>
          <w:ilvl w:val="0"/>
          <w:numId w:val="238"/>
        </w:numPr>
        <w:autoSpaceDE w:val="0"/>
        <w:autoSpaceDN w:val="0"/>
        <w:adjustRightInd w:val="0"/>
        <w:spacing w:after="0" w:line="240" w:lineRule="auto"/>
        <w:rPr>
          <w:rFonts w:ascii="Arial" w:hAnsi="Arial" w:cs="Arial"/>
          <w:sz w:val="24"/>
          <w:szCs w:val="24"/>
        </w:rPr>
      </w:pPr>
      <w:r w:rsidRPr="00FA3F9C">
        <w:rPr>
          <w:rFonts w:ascii="Arial" w:hAnsi="Arial" w:cs="Arial"/>
          <w:sz w:val="24"/>
          <w:szCs w:val="24"/>
        </w:rPr>
        <w:t xml:space="preserve">Short term (4 month) improvements have been seen in lean body mass, exercise capacity, and muscle strength. In some studies, QoL measures (energy, mood, physical mobility) improved with treatment. </w:t>
      </w:r>
      <w:r w:rsidRPr="00FA3F9C">
        <w:rPr>
          <w:rFonts w:ascii="Arial" w:hAnsi="Arial" w:cs="Arial"/>
          <w:sz w:val="24"/>
          <w:szCs w:val="24"/>
          <w:vertAlign w:val="superscript"/>
        </w:rPr>
        <w:t>11</w:t>
      </w:r>
    </w:p>
    <w:p w14:paraId="675E80B3" w14:textId="77777777" w:rsidR="002641D2" w:rsidRPr="00FA3F9C" w:rsidRDefault="002641D2" w:rsidP="002641D2">
      <w:pPr>
        <w:numPr>
          <w:ilvl w:val="0"/>
          <w:numId w:val="238"/>
        </w:numPr>
        <w:autoSpaceDE w:val="0"/>
        <w:autoSpaceDN w:val="0"/>
        <w:adjustRightInd w:val="0"/>
        <w:spacing w:before="100" w:beforeAutospacing="1" w:after="0" w:afterAutospacing="1" w:line="240" w:lineRule="auto"/>
        <w:rPr>
          <w:rFonts w:ascii="Arial" w:hAnsi="Arial" w:cs="Arial"/>
          <w:sz w:val="24"/>
          <w:szCs w:val="24"/>
        </w:rPr>
      </w:pPr>
      <w:r w:rsidRPr="00FA3F9C">
        <w:rPr>
          <w:rFonts w:ascii="Arial" w:eastAsia="Times New Roman" w:hAnsi="Arial" w:cs="Arial"/>
          <w:sz w:val="24"/>
          <w:szCs w:val="24"/>
        </w:rPr>
        <w:t xml:space="preserve">The NICE Guidelines require adults to have an impaired QoL due to the GHD.  This is judged using the “Quality of Life Assessment of Growth Hormone Deficiency in Adults” questionnaire.  A person should score at least 11 to initiate treated and be evaluate after 9 months.  If the score has not improved by 7 points, therapy should be discontinued. </w:t>
      </w:r>
    </w:p>
    <w:p w14:paraId="2F7C3C61" w14:textId="77777777" w:rsidR="002641D2" w:rsidRPr="00FA3F9C" w:rsidRDefault="002641D2" w:rsidP="00130287">
      <w:pPr>
        <w:rPr>
          <w:rFonts w:ascii="Arial" w:hAnsi="Arial" w:cs="Arial"/>
          <w:b/>
          <w:sz w:val="24"/>
          <w:szCs w:val="24"/>
        </w:rPr>
      </w:pPr>
      <w:r w:rsidRPr="00FA3F9C">
        <w:rPr>
          <w:rFonts w:ascii="Arial" w:hAnsi="Arial" w:cs="Arial"/>
          <w:b/>
          <w:sz w:val="24"/>
          <w:szCs w:val="24"/>
        </w:rPr>
        <w:lastRenderedPageBreak/>
        <w:t>Adult:  Short Bowel Syndrome</w:t>
      </w:r>
    </w:p>
    <w:p w14:paraId="4C25178D" w14:textId="77777777" w:rsidR="002641D2" w:rsidRPr="00FA3F9C" w:rsidRDefault="002641D2" w:rsidP="002641D2">
      <w:pPr>
        <w:numPr>
          <w:ilvl w:val="0"/>
          <w:numId w:val="238"/>
        </w:numPr>
        <w:autoSpaceDE w:val="0"/>
        <w:autoSpaceDN w:val="0"/>
        <w:adjustRightInd w:val="0"/>
        <w:spacing w:after="0" w:line="240" w:lineRule="auto"/>
        <w:rPr>
          <w:rFonts w:ascii="Arial" w:hAnsi="Arial" w:cs="Arial"/>
          <w:b/>
          <w:sz w:val="24"/>
          <w:szCs w:val="24"/>
        </w:rPr>
      </w:pPr>
      <w:r w:rsidRPr="00FA3F9C">
        <w:rPr>
          <w:rFonts w:ascii="Arial" w:hAnsi="Arial" w:cs="Arial"/>
          <w:sz w:val="24"/>
          <w:szCs w:val="24"/>
        </w:rPr>
        <w:t>Short bowel syndrome is a malabsorption disorder caused by the surgical removal of the small intestine, or by the complete dysfunction of a large segment of bowel</w:t>
      </w:r>
    </w:p>
    <w:p w14:paraId="46054C8C" w14:textId="77777777" w:rsidR="002641D2" w:rsidRPr="00FA3F9C" w:rsidRDefault="002641D2" w:rsidP="002641D2">
      <w:pPr>
        <w:numPr>
          <w:ilvl w:val="0"/>
          <w:numId w:val="238"/>
        </w:numPr>
        <w:spacing w:after="0" w:line="240" w:lineRule="auto"/>
        <w:rPr>
          <w:rFonts w:ascii="Arial" w:hAnsi="Arial" w:cs="Arial"/>
          <w:sz w:val="24"/>
          <w:szCs w:val="24"/>
        </w:rPr>
      </w:pPr>
      <w:r w:rsidRPr="00FA3F9C">
        <w:rPr>
          <w:rFonts w:ascii="Arial" w:hAnsi="Arial" w:cs="Arial"/>
          <w:sz w:val="24"/>
          <w:szCs w:val="24"/>
        </w:rPr>
        <w:t>The rational for treating short bowel patients with human recombinant growth hormone and/or glutamine is the  hope of reducing parenteral nutrition dependency</w:t>
      </w:r>
    </w:p>
    <w:p w14:paraId="545665E8" w14:textId="77777777" w:rsidR="002641D2" w:rsidRPr="00FA3F9C" w:rsidRDefault="002641D2" w:rsidP="002641D2">
      <w:pPr>
        <w:numPr>
          <w:ilvl w:val="0"/>
          <w:numId w:val="238"/>
        </w:numPr>
        <w:spacing w:after="0" w:line="240" w:lineRule="auto"/>
        <w:rPr>
          <w:rFonts w:ascii="Arial" w:hAnsi="Arial" w:cs="Arial"/>
          <w:sz w:val="24"/>
          <w:szCs w:val="24"/>
        </w:rPr>
      </w:pPr>
      <w:r w:rsidRPr="00FA3F9C">
        <w:rPr>
          <w:rFonts w:ascii="Arial" w:hAnsi="Arial" w:cs="Arial"/>
          <w:sz w:val="24"/>
          <w:szCs w:val="24"/>
        </w:rPr>
        <w:t xml:space="preserve">Studies have shown that GH with or without glutamine appears to increase weight, lean body mass, energy absorption, and nitrogen absorption, however, the benefits of treatment </w:t>
      </w:r>
      <w:proofErr w:type="gramStart"/>
      <w:r w:rsidRPr="00FA3F9C">
        <w:rPr>
          <w:rFonts w:ascii="Arial" w:hAnsi="Arial" w:cs="Arial"/>
          <w:sz w:val="24"/>
          <w:szCs w:val="24"/>
        </w:rPr>
        <w:t>don’t</w:t>
      </w:r>
      <w:proofErr w:type="gramEnd"/>
      <w:r w:rsidRPr="00FA3F9C">
        <w:rPr>
          <w:rFonts w:ascii="Arial" w:hAnsi="Arial" w:cs="Arial"/>
          <w:sz w:val="24"/>
          <w:szCs w:val="24"/>
        </w:rPr>
        <w:t xml:space="preserve"> continue after treatment is stopped. </w:t>
      </w:r>
      <w:r w:rsidRPr="00FA3F9C">
        <w:rPr>
          <w:rFonts w:ascii="Arial" w:hAnsi="Arial" w:cs="Arial"/>
          <w:sz w:val="24"/>
          <w:szCs w:val="24"/>
          <w:vertAlign w:val="superscript"/>
        </w:rPr>
        <w:t>16</w:t>
      </w:r>
    </w:p>
    <w:p w14:paraId="11906753" w14:textId="77777777" w:rsidR="002641D2" w:rsidRPr="00FA3F9C" w:rsidRDefault="002641D2" w:rsidP="002641D2">
      <w:pPr>
        <w:numPr>
          <w:ilvl w:val="0"/>
          <w:numId w:val="238"/>
        </w:numPr>
        <w:spacing w:after="0" w:line="240" w:lineRule="auto"/>
        <w:rPr>
          <w:rFonts w:ascii="Arial" w:hAnsi="Arial" w:cs="Arial"/>
          <w:sz w:val="24"/>
          <w:szCs w:val="24"/>
        </w:rPr>
      </w:pPr>
      <w:r w:rsidRPr="00FA3F9C">
        <w:rPr>
          <w:rFonts w:ascii="Arial" w:hAnsi="Arial" w:cs="Arial"/>
          <w:sz w:val="24"/>
          <w:szCs w:val="24"/>
        </w:rPr>
        <w:t>One RCT looked at the effect of GH on parenteral nutrition requirements</w:t>
      </w:r>
      <w:r w:rsidRPr="00FA3F9C">
        <w:rPr>
          <w:rFonts w:ascii="Arial" w:hAnsi="Arial" w:cs="Arial"/>
          <w:sz w:val="24"/>
          <w:szCs w:val="24"/>
          <w:vertAlign w:val="superscript"/>
        </w:rPr>
        <w:t>8</w:t>
      </w:r>
    </w:p>
    <w:p w14:paraId="6BD8A029" w14:textId="77777777" w:rsidR="002641D2" w:rsidRPr="00FA3F9C" w:rsidRDefault="002641D2" w:rsidP="002641D2">
      <w:pPr>
        <w:numPr>
          <w:ilvl w:val="1"/>
          <w:numId w:val="238"/>
        </w:numPr>
        <w:spacing w:after="0" w:line="240" w:lineRule="auto"/>
        <w:rPr>
          <w:rFonts w:ascii="Arial" w:hAnsi="Arial" w:cs="Arial"/>
          <w:sz w:val="24"/>
          <w:szCs w:val="24"/>
        </w:rPr>
      </w:pPr>
      <w:r w:rsidRPr="00FA3F9C">
        <w:rPr>
          <w:rFonts w:ascii="Arial" w:hAnsi="Arial" w:cs="Arial"/>
          <w:sz w:val="24"/>
          <w:szCs w:val="24"/>
        </w:rPr>
        <w:t xml:space="preserve">Prospective, double-blind, randomized, </w:t>
      </w:r>
      <w:proofErr w:type="gramStart"/>
      <w:r w:rsidRPr="00FA3F9C">
        <w:rPr>
          <w:rFonts w:ascii="Arial" w:hAnsi="Arial" w:cs="Arial"/>
          <w:sz w:val="24"/>
          <w:szCs w:val="24"/>
        </w:rPr>
        <w:t>placebo controlled</w:t>
      </w:r>
      <w:proofErr w:type="gramEnd"/>
      <w:r w:rsidRPr="00FA3F9C">
        <w:rPr>
          <w:rFonts w:ascii="Arial" w:hAnsi="Arial" w:cs="Arial"/>
          <w:sz w:val="24"/>
          <w:szCs w:val="24"/>
        </w:rPr>
        <w:t xml:space="preserve"> trial of 41 adults randomized to either: GH + glutamine placebo, GH placebo + glutamine, or GH +glutamine . All pts had dietary optimization. </w:t>
      </w:r>
    </w:p>
    <w:p w14:paraId="708529E5" w14:textId="77777777" w:rsidR="002641D2" w:rsidRPr="00FA3F9C" w:rsidRDefault="002641D2" w:rsidP="002641D2">
      <w:pPr>
        <w:numPr>
          <w:ilvl w:val="1"/>
          <w:numId w:val="238"/>
        </w:numPr>
        <w:spacing w:after="0" w:line="240" w:lineRule="auto"/>
        <w:rPr>
          <w:rFonts w:ascii="Arial" w:hAnsi="Arial" w:cs="Arial"/>
          <w:sz w:val="24"/>
          <w:szCs w:val="24"/>
        </w:rPr>
      </w:pPr>
      <w:r w:rsidRPr="00FA3F9C">
        <w:rPr>
          <w:rFonts w:ascii="Arial" w:hAnsi="Arial" w:cs="Arial"/>
          <w:sz w:val="24"/>
          <w:szCs w:val="24"/>
        </w:rPr>
        <w:t xml:space="preserve">only patients taking human growth hormone with glutamine maintained statistically significant parenteral nutrition reductions at </w:t>
      </w:r>
      <w:proofErr w:type="gramStart"/>
      <w:r w:rsidRPr="00FA3F9C">
        <w:rPr>
          <w:rFonts w:ascii="Arial" w:hAnsi="Arial" w:cs="Arial"/>
          <w:sz w:val="24"/>
          <w:szCs w:val="24"/>
        </w:rPr>
        <w:t>3 month</w:t>
      </w:r>
      <w:proofErr w:type="gramEnd"/>
      <w:r w:rsidRPr="00FA3F9C">
        <w:rPr>
          <w:rFonts w:ascii="Arial" w:hAnsi="Arial" w:cs="Arial"/>
          <w:sz w:val="24"/>
          <w:szCs w:val="24"/>
        </w:rPr>
        <w:t xml:space="preserve"> follow-up (p&lt;0.005)</w:t>
      </w:r>
    </w:p>
    <w:p w14:paraId="3FA530B3" w14:textId="77777777" w:rsidR="002641D2" w:rsidRPr="00FA3F9C" w:rsidRDefault="002641D2" w:rsidP="002641D2">
      <w:pPr>
        <w:numPr>
          <w:ilvl w:val="1"/>
          <w:numId w:val="238"/>
        </w:numPr>
        <w:spacing w:after="0" w:line="240" w:lineRule="auto"/>
        <w:rPr>
          <w:rFonts w:ascii="Arial" w:hAnsi="Arial" w:cs="Arial"/>
          <w:sz w:val="24"/>
          <w:szCs w:val="24"/>
        </w:rPr>
      </w:pPr>
      <w:r w:rsidRPr="00FA3F9C">
        <w:rPr>
          <w:rFonts w:ascii="Arial" w:hAnsi="Arial" w:cs="Arial"/>
          <w:sz w:val="24"/>
          <w:szCs w:val="24"/>
        </w:rPr>
        <w:t xml:space="preserve">GH + glutamine + diet reduced and maintained average PN </w:t>
      </w:r>
      <w:proofErr w:type="spellStart"/>
      <w:r w:rsidRPr="00FA3F9C">
        <w:rPr>
          <w:rFonts w:ascii="Arial" w:hAnsi="Arial" w:cs="Arial"/>
          <w:sz w:val="24"/>
          <w:szCs w:val="24"/>
        </w:rPr>
        <w:t>infustion</w:t>
      </w:r>
      <w:proofErr w:type="spellEnd"/>
      <w:r w:rsidRPr="00FA3F9C">
        <w:rPr>
          <w:rFonts w:ascii="Arial" w:hAnsi="Arial" w:cs="Arial"/>
          <w:sz w:val="24"/>
          <w:szCs w:val="24"/>
        </w:rPr>
        <w:t xml:space="preserve"> time to only 1-2 x per week over the course of the study (down from previous schedule of 5-6 days/week)</w:t>
      </w:r>
    </w:p>
    <w:p w14:paraId="3F4A1C44" w14:textId="77777777" w:rsidR="002641D2" w:rsidRPr="00FA3F9C" w:rsidRDefault="002641D2" w:rsidP="002641D2">
      <w:pPr>
        <w:numPr>
          <w:ilvl w:val="0"/>
          <w:numId w:val="238"/>
        </w:numPr>
        <w:spacing w:after="0" w:line="240" w:lineRule="auto"/>
        <w:rPr>
          <w:rFonts w:ascii="Arial" w:hAnsi="Arial" w:cs="Arial"/>
          <w:sz w:val="24"/>
          <w:szCs w:val="24"/>
        </w:rPr>
      </w:pPr>
      <w:r w:rsidRPr="00FA3F9C">
        <w:rPr>
          <w:rFonts w:ascii="Arial" w:hAnsi="Arial" w:cs="Arial"/>
          <w:sz w:val="24"/>
          <w:szCs w:val="24"/>
        </w:rPr>
        <w:t xml:space="preserve">A study by </w:t>
      </w:r>
      <w:proofErr w:type="spellStart"/>
      <w:r w:rsidRPr="00FA3F9C">
        <w:rPr>
          <w:rFonts w:ascii="Arial" w:hAnsi="Arial" w:cs="Arial"/>
          <w:sz w:val="24"/>
          <w:szCs w:val="24"/>
        </w:rPr>
        <w:t>Rovera</w:t>
      </w:r>
      <w:proofErr w:type="spellEnd"/>
      <w:r w:rsidRPr="00FA3F9C">
        <w:rPr>
          <w:rFonts w:ascii="Arial" w:hAnsi="Arial" w:cs="Arial"/>
          <w:sz w:val="24"/>
          <w:szCs w:val="24"/>
        </w:rPr>
        <w:t xml:space="preserve"> et al. has demonstrated that the single most important factor to enhance quality of life in PN-dependent patients is the elimination of 1 or more days required for nutrient infusion</w:t>
      </w:r>
      <w:r w:rsidRPr="00FA3F9C">
        <w:rPr>
          <w:rFonts w:ascii="Arial" w:hAnsi="Arial" w:cs="Arial"/>
          <w:sz w:val="24"/>
          <w:szCs w:val="24"/>
          <w:vertAlign w:val="superscript"/>
        </w:rPr>
        <w:t>17</w:t>
      </w:r>
    </w:p>
    <w:p w14:paraId="192B435C" w14:textId="77777777" w:rsidR="002641D2" w:rsidRPr="00FA3F9C" w:rsidRDefault="002641D2" w:rsidP="00130287">
      <w:pPr>
        <w:spacing w:after="0" w:line="240" w:lineRule="auto"/>
        <w:ind w:left="720"/>
        <w:rPr>
          <w:rFonts w:ascii="Arial" w:hAnsi="Arial" w:cs="Arial"/>
          <w:b/>
          <w:sz w:val="24"/>
          <w:szCs w:val="24"/>
        </w:rPr>
      </w:pPr>
    </w:p>
    <w:p w14:paraId="2BC3CE0E" w14:textId="77777777" w:rsidR="002641D2" w:rsidRPr="00FA3F9C" w:rsidRDefault="002641D2" w:rsidP="00130287">
      <w:pPr>
        <w:spacing w:after="0" w:line="240" w:lineRule="auto"/>
        <w:rPr>
          <w:rFonts w:ascii="Arial" w:hAnsi="Arial" w:cs="Arial"/>
          <w:b/>
          <w:sz w:val="24"/>
          <w:szCs w:val="24"/>
        </w:rPr>
      </w:pPr>
      <w:r w:rsidRPr="00FA3F9C">
        <w:rPr>
          <w:rFonts w:ascii="Arial" w:hAnsi="Arial" w:cs="Arial"/>
          <w:b/>
          <w:sz w:val="24"/>
          <w:szCs w:val="24"/>
        </w:rPr>
        <w:t>Adult :  HIV with wasting or cachexia with concomitant antiretroviral therapy</w:t>
      </w:r>
    </w:p>
    <w:p w14:paraId="11C4BA51" w14:textId="77777777" w:rsidR="002641D2" w:rsidRPr="00FA3F9C" w:rsidRDefault="002641D2" w:rsidP="002641D2">
      <w:pPr>
        <w:numPr>
          <w:ilvl w:val="0"/>
          <w:numId w:val="237"/>
        </w:numPr>
        <w:spacing w:after="0" w:line="240" w:lineRule="auto"/>
        <w:ind w:left="1080"/>
        <w:rPr>
          <w:rFonts w:ascii="Arial" w:hAnsi="Arial" w:cs="Arial"/>
          <w:sz w:val="24"/>
          <w:szCs w:val="24"/>
        </w:rPr>
      </w:pPr>
      <w:r w:rsidRPr="00FA3F9C">
        <w:rPr>
          <w:rFonts w:ascii="Arial" w:hAnsi="Arial" w:cs="Arial"/>
          <w:sz w:val="24"/>
          <w:szCs w:val="24"/>
        </w:rPr>
        <w:t xml:space="preserve">Wasting is defined as a ≥10% involuntary weight loss.  It is designated an AIDS-defining condition and an independent predictor of mortality.  </w:t>
      </w:r>
    </w:p>
    <w:p w14:paraId="432C76FD" w14:textId="77777777" w:rsidR="002641D2" w:rsidRPr="00FA3F9C" w:rsidRDefault="002641D2" w:rsidP="002641D2">
      <w:pPr>
        <w:numPr>
          <w:ilvl w:val="0"/>
          <w:numId w:val="237"/>
        </w:numPr>
        <w:spacing w:after="0" w:line="240" w:lineRule="auto"/>
        <w:ind w:left="1080"/>
        <w:rPr>
          <w:rFonts w:ascii="Arial" w:hAnsi="Arial" w:cs="Arial"/>
          <w:sz w:val="24"/>
          <w:szCs w:val="24"/>
        </w:rPr>
      </w:pPr>
      <w:r w:rsidRPr="00FA3F9C">
        <w:rPr>
          <w:rFonts w:ascii="Arial" w:hAnsi="Arial" w:cs="Arial"/>
          <w:sz w:val="24"/>
          <w:szCs w:val="24"/>
        </w:rPr>
        <w:t>Treatment options include nutritional advice, exercise, testosterone (for men, although low doses have been studied in women), appetite-stimulating drugs, and growth hormone</w:t>
      </w:r>
    </w:p>
    <w:p w14:paraId="1BDD9F47" w14:textId="77777777" w:rsidR="002641D2" w:rsidRPr="00FA3F9C" w:rsidRDefault="002641D2" w:rsidP="002641D2">
      <w:pPr>
        <w:numPr>
          <w:ilvl w:val="0"/>
          <w:numId w:val="237"/>
        </w:numPr>
        <w:spacing w:after="0" w:line="240" w:lineRule="auto"/>
        <w:ind w:left="1080"/>
        <w:rPr>
          <w:rFonts w:ascii="Arial" w:hAnsi="Arial" w:cs="Arial"/>
          <w:sz w:val="24"/>
          <w:szCs w:val="24"/>
        </w:rPr>
      </w:pPr>
      <w:r w:rsidRPr="00FA3F9C">
        <w:rPr>
          <w:rFonts w:ascii="Arial" w:hAnsi="Arial" w:cs="Arial"/>
          <w:sz w:val="24"/>
          <w:szCs w:val="24"/>
        </w:rPr>
        <w:t xml:space="preserve"> A meta-analysis of 18 studies concluded that GH may have advantages over testosterone and anabolic steroids in terms of improvements in functional capacity and QOL.</w:t>
      </w:r>
      <w:r w:rsidRPr="00FA3F9C">
        <w:rPr>
          <w:rFonts w:ascii="Arial" w:hAnsi="Arial" w:cs="Arial"/>
          <w:sz w:val="24"/>
          <w:szCs w:val="24"/>
          <w:vertAlign w:val="superscript"/>
        </w:rPr>
        <w:t>18</w:t>
      </w:r>
    </w:p>
    <w:p w14:paraId="203438B1" w14:textId="77777777" w:rsidR="002641D2" w:rsidRPr="00FA3F9C" w:rsidRDefault="002641D2" w:rsidP="002641D2">
      <w:pPr>
        <w:numPr>
          <w:ilvl w:val="1"/>
          <w:numId w:val="237"/>
        </w:numPr>
        <w:spacing w:after="0" w:line="240" w:lineRule="auto"/>
        <w:rPr>
          <w:rFonts w:ascii="Arial" w:hAnsi="Arial" w:cs="Arial"/>
          <w:sz w:val="24"/>
          <w:szCs w:val="24"/>
        </w:rPr>
      </w:pPr>
      <w:r w:rsidRPr="00FA3F9C">
        <w:rPr>
          <w:rFonts w:ascii="Arial" w:hAnsi="Arial" w:cs="Arial"/>
          <w:sz w:val="24"/>
          <w:szCs w:val="24"/>
        </w:rPr>
        <w:t>Work output was reported in 2 studies</w:t>
      </w:r>
    </w:p>
    <w:p w14:paraId="0E6FA63C" w14:textId="77777777" w:rsidR="002641D2" w:rsidRPr="00FA3F9C" w:rsidRDefault="002641D2" w:rsidP="002641D2">
      <w:pPr>
        <w:numPr>
          <w:ilvl w:val="2"/>
          <w:numId w:val="237"/>
        </w:numPr>
        <w:spacing w:after="0" w:line="240" w:lineRule="auto"/>
        <w:rPr>
          <w:rFonts w:ascii="Arial" w:hAnsi="Arial" w:cs="Arial"/>
          <w:sz w:val="24"/>
          <w:szCs w:val="24"/>
        </w:rPr>
      </w:pPr>
      <w:r w:rsidRPr="00FA3F9C">
        <w:rPr>
          <w:rFonts w:ascii="Arial" w:hAnsi="Arial" w:cs="Arial"/>
          <w:sz w:val="24"/>
          <w:szCs w:val="24"/>
        </w:rPr>
        <w:t>Improvement of 0.97KJ at 12 weeks vs. improvement of 0.20KJ in the placebo group (p=0.039)</w:t>
      </w:r>
    </w:p>
    <w:p w14:paraId="6C490DA8" w14:textId="77777777" w:rsidR="002641D2" w:rsidRPr="00FA3F9C" w:rsidRDefault="002641D2" w:rsidP="002641D2">
      <w:pPr>
        <w:numPr>
          <w:ilvl w:val="2"/>
          <w:numId w:val="237"/>
        </w:numPr>
        <w:spacing w:after="0" w:line="240" w:lineRule="auto"/>
        <w:rPr>
          <w:rFonts w:ascii="Arial" w:hAnsi="Arial" w:cs="Arial"/>
          <w:sz w:val="24"/>
          <w:szCs w:val="24"/>
        </w:rPr>
      </w:pPr>
      <w:r w:rsidRPr="00FA3F9C">
        <w:rPr>
          <w:rFonts w:ascii="Arial" w:hAnsi="Arial" w:cs="Arial"/>
          <w:sz w:val="24"/>
          <w:szCs w:val="24"/>
        </w:rPr>
        <w:t>Median improvement of 2.60KJ at 12 weeks vs. median decrease of 0.25KJ in placebo grp (p&lt;0.01)</w:t>
      </w:r>
    </w:p>
    <w:p w14:paraId="499DD945" w14:textId="77777777" w:rsidR="002641D2" w:rsidRPr="00FA3F9C" w:rsidRDefault="002641D2" w:rsidP="002641D2">
      <w:pPr>
        <w:numPr>
          <w:ilvl w:val="1"/>
          <w:numId w:val="237"/>
        </w:numPr>
        <w:spacing w:after="0" w:line="240" w:lineRule="auto"/>
        <w:rPr>
          <w:rFonts w:ascii="Arial" w:hAnsi="Arial" w:cs="Arial"/>
          <w:sz w:val="24"/>
          <w:szCs w:val="24"/>
        </w:rPr>
      </w:pPr>
      <w:r w:rsidRPr="00FA3F9C">
        <w:rPr>
          <w:rFonts w:ascii="Arial" w:hAnsi="Arial" w:cs="Arial"/>
          <w:sz w:val="24"/>
          <w:szCs w:val="24"/>
        </w:rPr>
        <w:t>QOL was reported in 3 studies</w:t>
      </w:r>
    </w:p>
    <w:p w14:paraId="47A513FE" w14:textId="77777777" w:rsidR="002641D2" w:rsidRPr="00FA3F9C" w:rsidRDefault="002641D2" w:rsidP="002641D2">
      <w:pPr>
        <w:numPr>
          <w:ilvl w:val="2"/>
          <w:numId w:val="237"/>
        </w:numPr>
        <w:spacing w:after="0" w:line="240" w:lineRule="auto"/>
        <w:rPr>
          <w:rFonts w:ascii="Arial" w:hAnsi="Arial" w:cs="Arial"/>
          <w:sz w:val="24"/>
          <w:szCs w:val="24"/>
        </w:rPr>
      </w:pPr>
      <w:r w:rsidRPr="00FA3F9C">
        <w:rPr>
          <w:rFonts w:ascii="Arial" w:hAnsi="Arial" w:cs="Arial"/>
          <w:sz w:val="24"/>
          <w:szCs w:val="24"/>
        </w:rPr>
        <w:t>Using BACRI scale, GH treatment group reported significant increase in QOL at week 12 (p=0.029 for QOD dosing and 0.039 for QD dosing)</w:t>
      </w:r>
    </w:p>
    <w:p w14:paraId="22FCCEA4" w14:textId="77777777" w:rsidR="002641D2" w:rsidRPr="00FA3F9C" w:rsidRDefault="002641D2" w:rsidP="002641D2">
      <w:pPr>
        <w:numPr>
          <w:ilvl w:val="2"/>
          <w:numId w:val="237"/>
        </w:numPr>
        <w:spacing w:after="0" w:line="240" w:lineRule="auto"/>
        <w:rPr>
          <w:rFonts w:ascii="Arial" w:hAnsi="Arial" w:cs="Arial"/>
          <w:sz w:val="24"/>
          <w:szCs w:val="24"/>
        </w:rPr>
      </w:pPr>
      <w:r w:rsidRPr="00FA3F9C">
        <w:rPr>
          <w:rFonts w:ascii="Arial" w:hAnsi="Arial" w:cs="Arial"/>
          <w:sz w:val="24"/>
          <w:szCs w:val="24"/>
        </w:rPr>
        <w:t>Using HIV-PARSE in another study, no significant difference was found in QOL</w:t>
      </w:r>
    </w:p>
    <w:p w14:paraId="57903B79" w14:textId="77777777" w:rsidR="002641D2" w:rsidRPr="00FA3F9C" w:rsidRDefault="002641D2" w:rsidP="002641D2">
      <w:pPr>
        <w:numPr>
          <w:ilvl w:val="2"/>
          <w:numId w:val="237"/>
        </w:numPr>
        <w:spacing w:after="0" w:line="240" w:lineRule="auto"/>
        <w:rPr>
          <w:rFonts w:ascii="Arial" w:hAnsi="Arial" w:cs="Arial"/>
          <w:sz w:val="24"/>
          <w:szCs w:val="24"/>
        </w:rPr>
      </w:pPr>
      <w:r w:rsidRPr="00FA3F9C">
        <w:rPr>
          <w:rFonts w:ascii="Arial" w:hAnsi="Arial" w:cs="Arial"/>
          <w:sz w:val="24"/>
          <w:szCs w:val="24"/>
        </w:rPr>
        <w:lastRenderedPageBreak/>
        <w:t>In the 3</w:t>
      </w:r>
      <w:r w:rsidRPr="00FA3F9C">
        <w:rPr>
          <w:rFonts w:ascii="Arial" w:hAnsi="Arial" w:cs="Arial"/>
          <w:sz w:val="24"/>
          <w:szCs w:val="24"/>
          <w:vertAlign w:val="superscript"/>
        </w:rPr>
        <w:t>rd</w:t>
      </w:r>
      <w:r w:rsidRPr="00FA3F9C">
        <w:rPr>
          <w:rFonts w:ascii="Arial" w:hAnsi="Arial" w:cs="Arial"/>
          <w:sz w:val="24"/>
          <w:szCs w:val="24"/>
        </w:rPr>
        <w:t xml:space="preserve"> study, 4 treatment groups were compared (GH + IGF, GH alone, IGF alone, or placebo) The MOS-HIV  scale detected a significant increase in total QOL at 12 weeks in the GH group alone p=0.02).  This study also found a significant </w:t>
      </w:r>
      <w:proofErr w:type="spellStart"/>
      <w:r w:rsidRPr="00FA3F9C">
        <w:rPr>
          <w:rFonts w:ascii="Arial" w:hAnsi="Arial" w:cs="Arial"/>
          <w:sz w:val="24"/>
          <w:szCs w:val="24"/>
        </w:rPr>
        <w:t>correclation</w:t>
      </w:r>
      <w:proofErr w:type="spellEnd"/>
      <w:r w:rsidRPr="00FA3F9C">
        <w:rPr>
          <w:rFonts w:ascii="Arial" w:hAnsi="Arial" w:cs="Arial"/>
          <w:sz w:val="24"/>
          <w:szCs w:val="24"/>
        </w:rPr>
        <w:t xml:space="preserve"> between change in LBM and change in QOL (p=0.003). </w:t>
      </w:r>
    </w:p>
    <w:p w14:paraId="53467F40" w14:textId="77777777" w:rsidR="002641D2" w:rsidRPr="00FA3F9C" w:rsidRDefault="002641D2" w:rsidP="00076432">
      <w:r w:rsidRPr="00FA3F9C">
        <w:t xml:space="preserve">Testing overview: </w:t>
      </w:r>
    </w:p>
    <w:p w14:paraId="528CA279" w14:textId="77777777" w:rsidR="002641D2" w:rsidRPr="00FA3F9C" w:rsidRDefault="00500371" w:rsidP="002641D2">
      <w:pPr>
        <w:numPr>
          <w:ilvl w:val="0"/>
          <w:numId w:val="242"/>
        </w:numPr>
        <w:spacing w:before="100" w:beforeAutospacing="1" w:after="100" w:afterAutospacing="1" w:line="240" w:lineRule="auto"/>
        <w:rPr>
          <w:rFonts w:ascii="Arial" w:hAnsi="Arial" w:cs="Arial"/>
          <w:sz w:val="24"/>
          <w:szCs w:val="24"/>
        </w:rPr>
      </w:pPr>
      <w:hyperlink r:id="rId182" w:anchor="anc-1914503342" w:history="1">
        <w:r w:rsidR="002641D2" w:rsidRPr="00FA3F9C">
          <w:rPr>
            <w:rStyle w:val="Hyperlink"/>
            <w:rFonts w:ascii="Arial" w:hAnsi="Arial" w:cs="Arial"/>
            <w:sz w:val="24"/>
            <w:szCs w:val="24"/>
          </w:rPr>
          <w:t>growth hormone stimulation tests</w:t>
        </w:r>
      </w:hyperlink>
    </w:p>
    <w:p w14:paraId="7841EF32" w14:textId="77777777" w:rsidR="002641D2" w:rsidRPr="00FA3F9C" w:rsidRDefault="002641D2" w:rsidP="002641D2">
      <w:pPr>
        <w:numPr>
          <w:ilvl w:val="1"/>
          <w:numId w:val="242"/>
        </w:numPr>
        <w:spacing w:before="100" w:beforeAutospacing="1" w:after="100" w:afterAutospacing="1" w:line="240" w:lineRule="auto"/>
        <w:rPr>
          <w:rFonts w:ascii="Arial" w:hAnsi="Arial" w:cs="Arial"/>
          <w:sz w:val="24"/>
          <w:szCs w:val="24"/>
        </w:rPr>
      </w:pPr>
      <w:r w:rsidRPr="00FA3F9C">
        <w:rPr>
          <w:rFonts w:ascii="Arial" w:hAnsi="Arial" w:cs="Arial"/>
          <w:sz w:val="24"/>
          <w:szCs w:val="24"/>
        </w:rPr>
        <w:t>insulin tolerance test</w:t>
      </w:r>
    </w:p>
    <w:p w14:paraId="148238F1" w14:textId="77777777" w:rsidR="002641D2" w:rsidRPr="00FA3F9C" w:rsidRDefault="002641D2" w:rsidP="002641D2">
      <w:pPr>
        <w:numPr>
          <w:ilvl w:val="1"/>
          <w:numId w:val="242"/>
        </w:numPr>
        <w:spacing w:before="100" w:beforeAutospacing="1" w:after="100" w:afterAutospacing="1" w:line="240" w:lineRule="auto"/>
        <w:rPr>
          <w:rFonts w:ascii="Arial" w:hAnsi="Arial" w:cs="Arial"/>
          <w:sz w:val="24"/>
          <w:szCs w:val="24"/>
        </w:rPr>
      </w:pPr>
      <w:r w:rsidRPr="00FA3F9C">
        <w:rPr>
          <w:rFonts w:ascii="Arial" w:hAnsi="Arial" w:cs="Arial"/>
          <w:sz w:val="24"/>
          <w:szCs w:val="24"/>
        </w:rPr>
        <w:t>growth hormone releasing hormone (GHRH)-arginine test</w:t>
      </w:r>
    </w:p>
    <w:p w14:paraId="62CF3F0E" w14:textId="77777777" w:rsidR="002641D2" w:rsidRPr="00FA3F9C" w:rsidRDefault="002641D2" w:rsidP="002641D2">
      <w:pPr>
        <w:numPr>
          <w:ilvl w:val="1"/>
          <w:numId w:val="242"/>
        </w:numPr>
        <w:spacing w:before="100" w:beforeAutospacing="1" w:after="100" w:afterAutospacing="1" w:line="240" w:lineRule="auto"/>
        <w:rPr>
          <w:rFonts w:ascii="Arial" w:hAnsi="Arial" w:cs="Arial"/>
          <w:sz w:val="24"/>
          <w:szCs w:val="24"/>
        </w:rPr>
      </w:pPr>
      <w:r w:rsidRPr="00FA3F9C">
        <w:rPr>
          <w:rFonts w:ascii="Arial" w:hAnsi="Arial" w:cs="Arial"/>
          <w:sz w:val="24"/>
          <w:szCs w:val="24"/>
        </w:rPr>
        <w:t>GHRH plus GH-releasing peptide-6 (GHRP-6) test</w:t>
      </w:r>
    </w:p>
    <w:p w14:paraId="43B2DD31" w14:textId="77777777" w:rsidR="002641D2" w:rsidRPr="00FA3F9C" w:rsidRDefault="002641D2" w:rsidP="002641D2">
      <w:pPr>
        <w:numPr>
          <w:ilvl w:val="1"/>
          <w:numId w:val="242"/>
        </w:numPr>
        <w:spacing w:before="100" w:beforeAutospacing="1" w:after="100" w:afterAutospacing="1" w:line="240" w:lineRule="auto"/>
        <w:rPr>
          <w:rFonts w:ascii="Arial" w:hAnsi="Arial" w:cs="Arial"/>
          <w:sz w:val="24"/>
          <w:szCs w:val="24"/>
        </w:rPr>
      </w:pPr>
      <w:r w:rsidRPr="00FA3F9C">
        <w:rPr>
          <w:rFonts w:ascii="Arial" w:hAnsi="Arial" w:cs="Arial"/>
          <w:sz w:val="24"/>
          <w:szCs w:val="24"/>
        </w:rPr>
        <w:t>glucagon stimulation test</w:t>
      </w:r>
    </w:p>
    <w:p w14:paraId="3FDC8A3A" w14:textId="77777777" w:rsidR="002641D2" w:rsidRPr="00FA3F9C" w:rsidRDefault="00500371" w:rsidP="00076432">
      <w:pPr>
        <w:rPr>
          <w:rFonts w:ascii="Arial" w:hAnsi="Arial" w:cs="Arial"/>
          <w:sz w:val="24"/>
          <w:szCs w:val="24"/>
        </w:rPr>
      </w:pPr>
      <w:hyperlink r:id="rId183" w:anchor="anc-448402675" w:history="1">
        <w:r w:rsidR="002641D2" w:rsidRPr="00FA3F9C">
          <w:rPr>
            <w:rStyle w:val="Hyperlink"/>
            <w:rFonts w:ascii="Arial" w:hAnsi="Arial" w:cs="Arial"/>
            <w:sz w:val="24"/>
            <w:szCs w:val="24"/>
          </w:rPr>
          <w:t>insulin-like growth factor I</w:t>
        </w:r>
      </w:hyperlink>
    </w:p>
    <w:p w14:paraId="0AAF9C5B" w14:textId="77777777" w:rsidR="002641D2" w:rsidRPr="00FA3F9C" w:rsidRDefault="002641D2" w:rsidP="00076432">
      <w:pPr>
        <w:rPr>
          <w:rFonts w:ascii="Arial" w:hAnsi="Arial" w:cs="Arial"/>
        </w:rPr>
      </w:pPr>
      <w:r w:rsidRPr="00FA3F9C">
        <w:rPr>
          <w:rFonts w:ascii="Arial" w:hAnsi="Arial" w:cs="Arial"/>
        </w:rPr>
        <w:t xml:space="preserve">Blood tests: </w:t>
      </w:r>
    </w:p>
    <w:p w14:paraId="0E0DF4E7" w14:textId="77777777" w:rsidR="002641D2" w:rsidRPr="00FA3F9C" w:rsidRDefault="002641D2" w:rsidP="002641D2">
      <w:pPr>
        <w:numPr>
          <w:ilvl w:val="0"/>
          <w:numId w:val="243"/>
        </w:numPr>
        <w:spacing w:before="100" w:beforeAutospacing="1" w:after="100" w:afterAutospacing="1" w:line="240" w:lineRule="auto"/>
        <w:rPr>
          <w:rFonts w:ascii="Arial" w:hAnsi="Arial" w:cs="Arial"/>
          <w:sz w:val="24"/>
          <w:szCs w:val="24"/>
        </w:rPr>
      </w:pPr>
      <w:bookmarkStart w:id="134" w:name="anc-1914503342"/>
      <w:bookmarkEnd w:id="134"/>
      <w:r w:rsidRPr="00FA3F9C">
        <w:rPr>
          <w:rFonts w:ascii="Arial" w:hAnsi="Arial" w:cs="Arial"/>
          <w:sz w:val="24"/>
          <w:szCs w:val="24"/>
        </w:rPr>
        <w:t>growth hormone (GH) stimulation tests</w:t>
      </w:r>
    </w:p>
    <w:p w14:paraId="4878EAFA" w14:textId="77777777" w:rsidR="002641D2" w:rsidRPr="00FA3F9C" w:rsidRDefault="002641D2" w:rsidP="002641D2">
      <w:pPr>
        <w:numPr>
          <w:ilvl w:val="1"/>
          <w:numId w:val="243"/>
        </w:numPr>
        <w:spacing w:before="100" w:beforeAutospacing="1" w:after="100" w:afterAutospacing="1" w:line="240" w:lineRule="auto"/>
        <w:rPr>
          <w:rFonts w:ascii="Arial" w:hAnsi="Arial" w:cs="Arial"/>
          <w:sz w:val="24"/>
          <w:szCs w:val="24"/>
        </w:rPr>
      </w:pPr>
      <w:r w:rsidRPr="00FA3F9C">
        <w:rPr>
          <w:rStyle w:val="Strong"/>
          <w:rFonts w:ascii="Arial" w:hAnsi="Arial" w:cs="Arial"/>
          <w:sz w:val="24"/>
          <w:szCs w:val="24"/>
        </w:rPr>
        <w:t>Endocrine Society (ES) recommendations in adults</w:t>
      </w:r>
    </w:p>
    <w:p w14:paraId="61DB6756" w14:textId="77777777" w:rsidR="002641D2" w:rsidRPr="00FA3F9C" w:rsidRDefault="002641D2" w:rsidP="002641D2">
      <w:pPr>
        <w:numPr>
          <w:ilvl w:val="2"/>
          <w:numId w:val="243"/>
        </w:numPr>
        <w:spacing w:before="100" w:beforeAutospacing="1" w:after="100" w:afterAutospacing="1" w:line="240" w:lineRule="auto"/>
        <w:rPr>
          <w:rFonts w:ascii="Arial" w:hAnsi="Arial" w:cs="Arial"/>
          <w:sz w:val="24"/>
          <w:szCs w:val="24"/>
        </w:rPr>
      </w:pPr>
      <w:r w:rsidRPr="00FA3F9C">
        <w:rPr>
          <w:rFonts w:ascii="Arial" w:hAnsi="Arial" w:cs="Arial"/>
          <w:sz w:val="24"/>
          <w:szCs w:val="24"/>
        </w:rPr>
        <w:t>consider using 2 GH stimulation tests due to significant false-positive error rate of test</w:t>
      </w:r>
    </w:p>
    <w:p w14:paraId="39184B60" w14:textId="77777777" w:rsidR="002641D2" w:rsidRPr="00FA3F9C" w:rsidRDefault="002641D2" w:rsidP="002641D2">
      <w:pPr>
        <w:numPr>
          <w:ilvl w:val="2"/>
          <w:numId w:val="243"/>
        </w:numPr>
        <w:spacing w:before="100" w:beforeAutospacing="1" w:after="100" w:afterAutospacing="1" w:line="240" w:lineRule="auto"/>
        <w:rPr>
          <w:rFonts w:ascii="Arial" w:hAnsi="Arial" w:cs="Arial"/>
          <w:sz w:val="24"/>
          <w:szCs w:val="24"/>
        </w:rPr>
      </w:pPr>
      <w:r w:rsidRPr="00FA3F9C">
        <w:rPr>
          <w:rFonts w:ascii="Arial" w:hAnsi="Arial" w:cs="Arial"/>
          <w:sz w:val="24"/>
          <w:szCs w:val="24"/>
        </w:rPr>
        <w:t>insulin tolerance test (ITT) and growth hormone releasing hormone (GHRH)-arginine test have sufficient sensitivity and specificity to establish diagnosis (</w:t>
      </w:r>
      <w:hyperlink r:id="rId184" w:anchor="ESgrade" w:history="1">
        <w:r w:rsidRPr="00FA3F9C">
          <w:rPr>
            <w:rStyle w:val="Hyperlink"/>
            <w:rFonts w:ascii="Arial" w:hAnsi="Arial" w:cs="Arial"/>
            <w:sz w:val="24"/>
            <w:szCs w:val="24"/>
          </w:rPr>
          <w:t>ES Grade 1++++</w:t>
        </w:r>
      </w:hyperlink>
      <w:r w:rsidRPr="00FA3F9C">
        <w:rPr>
          <w:rFonts w:ascii="Arial" w:hAnsi="Arial" w:cs="Arial"/>
          <w:sz w:val="24"/>
          <w:szCs w:val="24"/>
        </w:rPr>
        <w:t>)</w:t>
      </w:r>
    </w:p>
    <w:p w14:paraId="74106263" w14:textId="77777777" w:rsidR="002641D2" w:rsidRPr="00FA3F9C" w:rsidRDefault="002641D2" w:rsidP="002641D2">
      <w:pPr>
        <w:numPr>
          <w:ilvl w:val="3"/>
          <w:numId w:val="243"/>
        </w:numPr>
        <w:spacing w:before="100" w:beforeAutospacing="1" w:after="100" w:afterAutospacing="1" w:line="240" w:lineRule="auto"/>
        <w:rPr>
          <w:rFonts w:ascii="Arial" w:hAnsi="Arial" w:cs="Arial"/>
          <w:sz w:val="24"/>
          <w:szCs w:val="24"/>
        </w:rPr>
      </w:pPr>
      <w:r w:rsidRPr="00FA3F9C">
        <w:rPr>
          <w:rFonts w:ascii="Arial" w:hAnsi="Arial" w:cs="Arial"/>
          <w:sz w:val="24"/>
          <w:szCs w:val="24"/>
        </w:rPr>
        <w:t>ITT</w:t>
      </w:r>
    </w:p>
    <w:p w14:paraId="339B58DE" w14:textId="77777777" w:rsidR="002641D2" w:rsidRPr="00FA3F9C" w:rsidRDefault="002641D2" w:rsidP="002641D2">
      <w:pPr>
        <w:numPr>
          <w:ilvl w:val="4"/>
          <w:numId w:val="243"/>
        </w:numPr>
        <w:spacing w:before="100" w:beforeAutospacing="1" w:after="100" w:afterAutospacing="1" w:line="240" w:lineRule="auto"/>
        <w:rPr>
          <w:rFonts w:ascii="Arial" w:hAnsi="Arial" w:cs="Arial"/>
          <w:sz w:val="24"/>
          <w:szCs w:val="24"/>
        </w:rPr>
      </w:pPr>
      <w:r w:rsidRPr="00FA3F9C">
        <w:rPr>
          <w:rFonts w:ascii="Arial" w:hAnsi="Arial" w:cs="Arial"/>
          <w:sz w:val="24"/>
          <w:szCs w:val="24"/>
        </w:rPr>
        <w:t>considered "gold standard"</w:t>
      </w:r>
    </w:p>
    <w:p w14:paraId="69ACFB83" w14:textId="77777777" w:rsidR="002641D2" w:rsidRPr="00FA3F9C" w:rsidRDefault="002641D2" w:rsidP="002641D2">
      <w:pPr>
        <w:numPr>
          <w:ilvl w:val="4"/>
          <w:numId w:val="243"/>
        </w:numPr>
        <w:spacing w:before="100" w:beforeAutospacing="1" w:after="100" w:afterAutospacing="1" w:line="240" w:lineRule="auto"/>
        <w:rPr>
          <w:rFonts w:ascii="Arial" w:hAnsi="Arial" w:cs="Arial"/>
          <w:sz w:val="24"/>
          <w:szCs w:val="24"/>
        </w:rPr>
      </w:pPr>
      <w:r w:rsidRPr="00FA3F9C">
        <w:rPr>
          <w:rFonts w:ascii="Arial" w:hAnsi="Arial" w:cs="Arial"/>
          <w:sz w:val="24"/>
          <w:szCs w:val="24"/>
        </w:rPr>
        <w:t>use caution in patients with seizure disorders or cardiovascular disease</w:t>
      </w:r>
    </w:p>
    <w:p w14:paraId="2C39B9A4" w14:textId="77777777" w:rsidR="002641D2" w:rsidRPr="00FA3F9C" w:rsidRDefault="002641D2" w:rsidP="002641D2">
      <w:pPr>
        <w:numPr>
          <w:ilvl w:val="4"/>
          <w:numId w:val="243"/>
        </w:numPr>
        <w:spacing w:before="100" w:beforeAutospacing="1" w:after="100" w:afterAutospacing="1" w:line="240" w:lineRule="auto"/>
        <w:rPr>
          <w:rFonts w:ascii="Arial" w:hAnsi="Arial" w:cs="Arial"/>
          <w:sz w:val="24"/>
          <w:szCs w:val="24"/>
        </w:rPr>
      </w:pPr>
      <w:r w:rsidRPr="00FA3F9C">
        <w:rPr>
          <w:rFonts w:ascii="Arial" w:hAnsi="Arial" w:cs="Arial"/>
          <w:sz w:val="24"/>
          <w:szCs w:val="24"/>
        </w:rPr>
        <w:t>careful monitoring required in all patients</w:t>
      </w:r>
    </w:p>
    <w:p w14:paraId="3D939561" w14:textId="77777777" w:rsidR="002641D2" w:rsidRPr="00FA3F9C" w:rsidRDefault="002641D2" w:rsidP="002641D2">
      <w:pPr>
        <w:numPr>
          <w:ilvl w:val="3"/>
          <w:numId w:val="243"/>
        </w:numPr>
        <w:spacing w:before="100" w:beforeAutospacing="1" w:after="100" w:afterAutospacing="1" w:line="240" w:lineRule="auto"/>
        <w:rPr>
          <w:rFonts w:ascii="Arial" w:hAnsi="Arial" w:cs="Arial"/>
          <w:sz w:val="24"/>
          <w:szCs w:val="24"/>
        </w:rPr>
      </w:pPr>
      <w:r w:rsidRPr="00FA3F9C">
        <w:rPr>
          <w:rFonts w:ascii="Arial" w:hAnsi="Arial" w:cs="Arial"/>
          <w:sz w:val="24"/>
          <w:szCs w:val="24"/>
        </w:rPr>
        <w:t xml:space="preserve">GHRH-arginine testing </w:t>
      </w:r>
    </w:p>
    <w:p w14:paraId="61D68B0B" w14:textId="77777777" w:rsidR="002641D2" w:rsidRPr="00FA3F9C" w:rsidRDefault="002641D2" w:rsidP="002641D2">
      <w:pPr>
        <w:numPr>
          <w:ilvl w:val="4"/>
          <w:numId w:val="243"/>
        </w:numPr>
        <w:spacing w:before="100" w:beforeAutospacing="1" w:after="100" w:afterAutospacing="1" w:line="240" w:lineRule="auto"/>
        <w:rPr>
          <w:rFonts w:ascii="Arial" w:hAnsi="Arial" w:cs="Arial"/>
          <w:sz w:val="24"/>
          <w:szCs w:val="24"/>
        </w:rPr>
      </w:pPr>
      <w:r w:rsidRPr="00FA3F9C">
        <w:rPr>
          <w:rFonts w:ascii="Arial" w:hAnsi="Arial" w:cs="Arial"/>
          <w:sz w:val="24"/>
          <w:szCs w:val="24"/>
        </w:rPr>
        <w:t>may show false-normal GH response in patients with clearly established, recent (within 10 years) hypothalamic causes of suspected growth hormone deficiency (GHD) (such as irradiation of hypothalamic-pituitary region)</w:t>
      </w:r>
    </w:p>
    <w:p w14:paraId="7EA118E8" w14:textId="77777777" w:rsidR="002641D2" w:rsidRPr="00FA3F9C" w:rsidRDefault="002641D2" w:rsidP="002641D2">
      <w:pPr>
        <w:numPr>
          <w:ilvl w:val="4"/>
          <w:numId w:val="243"/>
        </w:numPr>
        <w:spacing w:before="100" w:beforeAutospacing="1" w:after="100" w:afterAutospacing="1" w:line="240" w:lineRule="auto"/>
        <w:rPr>
          <w:rFonts w:ascii="Arial" w:hAnsi="Arial" w:cs="Arial"/>
          <w:sz w:val="24"/>
          <w:szCs w:val="24"/>
        </w:rPr>
      </w:pPr>
      <w:r w:rsidRPr="00FA3F9C">
        <w:rPr>
          <w:rFonts w:ascii="Arial" w:hAnsi="Arial" w:cs="Arial"/>
          <w:sz w:val="24"/>
          <w:szCs w:val="24"/>
        </w:rPr>
        <w:t>GHRH unavailable in United States</w:t>
      </w:r>
    </w:p>
    <w:p w14:paraId="05457C6A" w14:textId="77777777" w:rsidR="002641D2" w:rsidRPr="00FA3F9C" w:rsidRDefault="002641D2" w:rsidP="002641D2">
      <w:pPr>
        <w:numPr>
          <w:ilvl w:val="2"/>
          <w:numId w:val="243"/>
        </w:numPr>
        <w:spacing w:before="100" w:beforeAutospacing="1" w:after="100" w:afterAutospacing="1" w:line="240" w:lineRule="auto"/>
        <w:rPr>
          <w:rFonts w:ascii="Arial" w:hAnsi="Arial" w:cs="Arial"/>
          <w:sz w:val="24"/>
          <w:szCs w:val="24"/>
        </w:rPr>
      </w:pPr>
      <w:r w:rsidRPr="00FA3F9C">
        <w:rPr>
          <w:rFonts w:ascii="Arial" w:hAnsi="Arial" w:cs="Arial"/>
          <w:sz w:val="24"/>
          <w:szCs w:val="24"/>
        </w:rPr>
        <w:t>glucagon stimulation test can be used when GHRH is not available and ITT is contraindicated or not practical (</w:t>
      </w:r>
      <w:hyperlink r:id="rId185" w:anchor="ESgrade" w:history="1">
        <w:r w:rsidRPr="00FA3F9C">
          <w:rPr>
            <w:rStyle w:val="Hyperlink"/>
            <w:rFonts w:ascii="Arial" w:hAnsi="Arial" w:cs="Arial"/>
            <w:sz w:val="24"/>
            <w:szCs w:val="24"/>
          </w:rPr>
          <w:t>ES Grade 2++</w:t>
        </w:r>
      </w:hyperlink>
      <w:r w:rsidRPr="00FA3F9C">
        <w:rPr>
          <w:rFonts w:ascii="Arial" w:hAnsi="Arial" w:cs="Arial"/>
          <w:sz w:val="24"/>
          <w:szCs w:val="24"/>
        </w:rPr>
        <w:t>)</w:t>
      </w:r>
    </w:p>
    <w:p w14:paraId="55C292FF" w14:textId="77777777" w:rsidR="002641D2" w:rsidRPr="00FA3F9C" w:rsidRDefault="002641D2" w:rsidP="002641D2">
      <w:pPr>
        <w:numPr>
          <w:ilvl w:val="3"/>
          <w:numId w:val="243"/>
        </w:numPr>
        <w:spacing w:before="100" w:beforeAutospacing="1" w:after="100" w:afterAutospacing="1" w:line="240" w:lineRule="auto"/>
        <w:rPr>
          <w:rFonts w:ascii="Arial" w:hAnsi="Arial" w:cs="Arial"/>
          <w:sz w:val="24"/>
          <w:szCs w:val="24"/>
        </w:rPr>
      </w:pPr>
      <w:r w:rsidRPr="00FA3F9C">
        <w:rPr>
          <w:rFonts w:ascii="Arial" w:hAnsi="Arial" w:cs="Arial"/>
          <w:sz w:val="24"/>
          <w:szCs w:val="24"/>
        </w:rPr>
        <w:t>monitor GH for ≥ 3 hours due to delayed release</w:t>
      </w:r>
    </w:p>
    <w:p w14:paraId="248E2C16" w14:textId="77777777" w:rsidR="002641D2" w:rsidRPr="00FA3F9C" w:rsidRDefault="002641D2" w:rsidP="002641D2">
      <w:pPr>
        <w:numPr>
          <w:ilvl w:val="3"/>
          <w:numId w:val="243"/>
        </w:numPr>
        <w:spacing w:before="100" w:beforeAutospacing="1" w:after="100" w:afterAutospacing="1" w:line="240" w:lineRule="auto"/>
        <w:rPr>
          <w:rFonts w:ascii="Arial" w:hAnsi="Arial" w:cs="Arial"/>
          <w:sz w:val="24"/>
          <w:szCs w:val="24"/>
        </w:rPr>
      </w:pPr>
      <w:r w:rsidRPr="00FA3F9C">
        <w:rPr>
          <w:rFonts w:ascii="Arial" w:hAnsi="Arial" w:cs="Arial"/>
          <w:sz w:val="24"/>
          <w:szCs w:val="24"/>
        </w:rPr>
        <w:t>monitor for delayed hypoglycemia due to secondary stimulation of endogenous insulin release</w:t>
      </w:r>
    </w:p>
    <w:p w14:paraId="7D3E0D99" w14:textId="77777777" w:rsidR="002641D2" w:rsidRPr="00FA3F9C" w:rsidRDefault="002641D2" w:rsidP="002641D2">
      <w:pPr>
        <w:numPr>
          <w:ilvl w:val="3"/>
          <w:numId w:val="243"/>
        </w:numPr>
        <w:spacing w:before="100" w:beforeAutospacing="1" w:after="100" w:afterAutospacing="1" w:line="240" w:lineRule="auto"/>
        <w:rPr>
          <w:rFonts w:ascii="Arial" w:hAnsi="Arial" w:cs="Arial"/>
          <w:sz w:val="24"/>
          <w:szCs w:val="24"/>
        </w:rPr>
      </w:pPr>
      <w:r w:rsidRPr="00FA3F9C">
        <w:rPr>
          <w:rFonts w:ascii="Arial" w:hAnsi="Arial" w:cs="Arial"/>
          <w:sz w:val="24"/>
          <w:szCs w:val="24"/>
        </w:rPr>
        <w:t>obesity may blunt GH response</w:t>
      </w:r>
    </w:p>
    <w:p w14:paraId="509C9CF8" w14:textId="77777777" w:rsidR="002641D2" w:rsidRPr="00FA3F9C" w:rsidRDefault="002641D2" w:rsidP="002641D2">
      <w:pPr>
        <w:numPr>
          <w:ilvl w:val="2"/>
          <w:numId w:val="243"/>
        </w:numPr>
        <w:spacing w:before="100" w:beforeAutospacing="1" w:after="100" w:afterAutospacing="1" w:line="240" w:lineRule="auto"/>
        <w:rPr>
          <w:rFonts w:ascii="Arial" w:hAnsi="Arial" w:cs="Arial"/>
          <w:sz w:val="24"/>
          <w:szCs w:val="24"/>
        </w:rPr>
      </w:pPr>
      <w:r w:rsidRPr="00FA3F9C">
        <w:rPr>
          <w:rFonts w:ascii="Arial" w:hAnsi="Arial" w:cs="Arial"/>
          <w:sz w:val="24"/>
          <w:szCs w:val="24"/>
        </w:rPr>
        <w:lastRenderedPageBreak/>
        <w:t>growth hormone stimulation tests optional if deficiencies in ≥ 3 pituitary axes (</w:t>
      </w:r>
      <w:hyperlink r:id="rId186" w:anchor="ESgrade" w:history="1">
        <w:r w:rsidRPr="00FA3F9C">
          <w:rPr>
            <w:rStyle w:val="Hyperlink"/>
            <w:rFonts w:ascii="Arial" w:hAnsi="Arial" w:cs="Arial"/>
            <w:sz w:val="24"/>
            <w:szCs w:val="24"/>
          </w:rPr>
          <w:t>ES Grade 1+++</w:t>
        </w:r>
      </w:hyperlink>
      <w:r w:rsidRPr="00FA3F9C">
        <w:rPr>
          <w:rFonts w:ascii="Arial" w:hAnsi="Arial" w:cs="Arial"/>
          <w:sz w:val="24"/>
          <w:szCs w:val="24"/>
        </w:rPr>
        <w:t>)</w:t>
      </w:r>
    </w:p>
    <w:p w14:paraId="233EAFA3" w14:textId="77777777" w:rsidR="002641D2" w:rsidRPr="00FA3F9C" w:rsidRDefault="002641D2" w:rsidP="002641D2">
      <w:pPr>
        <w:numPr>
          <w:ilvl w:val="3"/>
          <w:numId w:val="243"/>
        </w:numPr>
        <w:spacing w:before="100" w:beforeAutospacing="1" w:after="100" w:afterAutospacing="1" w:line="240" w:lineRule="auto"/>
        <w:rPr>
          <w:rFonts w:ascii="Arial" w:hAnsi="Arial" w:cs="Arial"/>
          <w:sz w:val="24"/>
          <w:szCs w:val="24"/>
        </w:rPr>
      </w:pPr>
      <w:r w:rsidRPr="00FA3F9C">
        <w:rPr>
          <w:rFonts w:ascii="Arial" w:hAnsi="Arial" w:cs="Arial"/>
          <w:sz w:val="24"/>
          <w:szCs w:val="24"/>
        </w:rPr>
        <w:t>this situation strongly suggests GHD</w:t>
      </w:r>
    </w:p>
    <w:p w14:paraId="36E4B604" w14:textId="77777777" w:rsidR="002641D2" w:rsidRPr="00FA3F9C" w:rsidRDefault="002641D2" w:rsidP="002641D2">
      <w:pPr>
        <w:numPr>
          <w:ilvl w:val="3"/>
          <w:numId w:val="243"/>
        </w:numPr>
        <w:spacing w:before="100" w:beforeAutospacing="1" w:after="100" w:afterAutospacing="1" w:line="240" w:lineRule="auto"/>
        <w:rPr>
          <w:rFonts w:ascii="Arial" w:hAnsi="Arial" w:cs="Arial"/>
          <w:sz w:val="24"/>
          <w:szCs w:val="24"/>
        </w:rPr>
      </w:pPr>
      <w:r w:rsidRPr="00FA3F9C">
        <w:rPr>
          <w:rFonts w:ascii="Arial" w:hAnsi="Arial" w:cs="Arial"/>
          <w:sz w:val="24"/>
          <w:szCs w:val="24"/>
        </w:rPr>
        <w:t>presence of ≥ 3 other pituitary hormone deficiencies with low serum insulin-like growth factor I level may be as specific as any GH stimulation test</w:t>
      </w:r>
    </w:p>
    <w:p w14:paraId="7F277AF6" w14:textId="77777777" w:rsidR="002641D2" w:rsidRPr="00FA3F9C" w:rsidRDefault="002641D2" w:rsidP="002641D2">
      <w:pPr>
        <w:numPr>
          <w:ilvl w:val="3"/>
          <w:numId w:val="243"/>
        </w:numPr>
        <w:spacing w:before="100" w:beforeAutospacing="1" w:after="100" w:afterAutospacing="1" w:line="240" w:lineRule="auto"/>
        <w:rPr>
          <w:rFonts w:ascii="Arial" w:hAnsi="Arial" w:cs="Arial"/>
          <w:sz w:val="24"/>
          <w:szCs w:val="24"/>
        </w:rPr>
      </w:pPr>
      <w:r w:rsidRPr="00FA3F9C">
        <w:rPr>
          <w:rFonts w:ascii="Arial" w:hAnsi="Arial" w:cs="Arial"/>
          <w:sz w:val="24"/>
          <w:szCs w:val="24"/>
        </w:rPr>
        <w:t>some insurers may require results of GH stimulation test</w:t>
      </w:r>
    </w:p>
    <w:p w14:paraId="28A52275" w14:textId="77777777" w:rsidR="002641D2" w:rsidRPr="00FA3F9C" w:rsidRDefault="002641D2" w:rsidP="007D4154">
      <w:pPr>
        <w:spacing w:before="100" w:beforeAutospacing="1" w:after="100" w:afterAutospacing="1" w:line="240" w:lineRule="auto"/>
        <w:rPr>
          <w:rFonts w:ascii="Arial" w:eastAsia="Times New Roman" w:hAnsi="Arial" w:cs="Arial"/>
          <w:b/>
          <w:sz w:val="24"/>
          <w:szCs w:val="24"/>
        </w:rPr>
      </w:pPr>
      <w:r w:rsidRPr="00FA3F9C">
        <w:rPr>
          <w:rFonts w:ascii="Arial" w:eastAsia="Times New Roman" w:hAnsi="Arial" w:cs="Arial"/>
          <w:b/>
          <w:sz w:val="24"/>
          <w:szCs w:val="24"/>
        </w:rPr>
        <w:t>References</w:t>
      </w:r>
    </w:p>
    <w:p w14:paraId="6227BC57" w14:textId="77777777" w:rsidR="002641D2" w:rsidRPr="00FA3F9C" w:rsidRDefault="002641D2" w:rsidP="002641D2">
      <w:pPr>
        <w:numPr>
          <w:ilvl w:val="1"/>
          <w:numId w:val="232"/>
        </w:numPr>
        <w:spacing w:before="100" w:beforeAutospacing="1" w:after="100" w:afterAutospacing="1" w:line="240" w:lineRule="auto"/>
        <w:rPr>
          <w:rFonts w:ascii="Arial" w:eastAsia="Times New Roman" w:hAnsi="Arial" w:cs="Arial"/>
          <w:sz w:val="24"/>
          <w:szCs w:val="24"/>
        </w:rPr>
      </w:pPr>
      <w:r w:rsidRPr="00FA3F9C">
        <w:rPr>
          <w:rFonts w:ascii="Arial" w:eastAsia="Times New Roman" w:hAnsi="Arial" w:cs="Arial"/>
          <w:sz w:val="24"/>
          <w:szCs w:val="24"/>
        </w:rPr>
        <w:t xml:space="preserve">American Association of Clinical Endocrinologists (AACE) Growth Hormone Task Force, “AACE Medical Guidelines for Clinical Practice for Growth Hormone Use in Adults and Children – 2003 Update”, </w:t>
      </w:r>
      <w:proofErr w:type="spellStart"/>
      <w:r w:rsidRPr="00FA3F9C">
        <w:rPr>
          <w:rFonts w:ascii="Arial" w:eastAsia="Times New Roman" w:hAnsi="Arial" w:cs="Arial"/>
          <w:i/>
          <w:sz w:val="24"/>
          <w:szCs w:val="24"/>
        </w:rPr>
        <w:t>Endocr</w:t>
      </w:r>
      <w:proofErr w:type="spellEnd"/>
      <w:r w:rsidRPr="00FA3F9C">
        <w:rPr>
          <w:rFonts w:ascii="Arial" w:eastAsia="Times New Roman" w:hAnsi="Arial" w:cs="Arial"/>
          <w:i/>
          <w:sz w:val="24"/>
          <w:szCs w:val="24"/>
        </w:rPr>
        <w:t xml:space="preserve"> </w:t>
      </w:r>
      <w:proofErr w:type="spellStart"/>
      <w:r w:rsidRPr="00FA3F9C">
        <w:rPr>
          <w:rFonts w:ascii="Arial" w:eastAsia="Times New Roman" w:hAnsi="Arial" w:cs="Arial"/>
          <w:i/>
          <w:sz w:val="24"/>
          <w:szCs w:val="24"/>
        </w:rPr>
        <w:t>Pract</w:t>
      </w:r>
      <w:proofErr w:type="spellEnd"/>
      <w:r w:rsidRPr="00FA3F9C">
        <w:rPr>
          <w:rFonts w:ascii="Arial" w:eastAsia="Times New Roman" w:hAnsi="Arial" w:cs="Arial"/>
          <w:sz w:val="24"/>
          <w:szCs w:val="24"/>
        </w:rPr>
        <w:t xml:space="preserve">, 2003, 9(1):64-76. </w:t>
      </w:r>
    </w:p>
    <w:p w14:paraId="29714DA4" w14:textId="77777777" w:rsidR="002641D2" w:rsidRPr="00FA3F9C" w:rsidRDefault="00500371" w:rsidP="002641D2">
      <w:pPr>
        <w:numPr>
          <w:ilvl w:val="1"/>
          <w:numId w:val="232"/>
        </w:numPr>
        <w:spacing w:before="100" w:beforeAutospacing="1" w:after="100" w:afterAutospacing="1" w:line="240" w:lineRule="auto"/>
        <w:rPr>
          <w:rFonts w:ascii="Arial" w:eastAsia="Times New Roman" w:hAnsi="Arial" w:cs="Arial"/>
          <w:color w:val="000000"/>
          <w:sz w:val="24"/>
          <w:szCs w:val="24"/>
        </w:rPr>
      </w:pPr>
      <w:hyperlink r:id="rId187" w:history="1">
        <w:r w:rsidR="002641D2" w:rsidRPr="00FA3F9C">
          <w:rPr>
            <w:rStyle w:val="Hyperlink"/>
            <w:rFonts w:ascii="Arial" w:hAnsi="Arial" w:cs="Arial"/>
            <w:color w:val="000000"/>
            <w:sz w:val="24"/>
            <w:szCs w:val="24"/>
            <w:lang w:val="fr-FR"/>
          </w:rPr>
          <w:t>Cave CB</w:t>
        </w:r>
      </w:hyperlink>
      <w:r w:rsidR="002641D2" w:rsidRPr="00FA3F9C">
        <w:rPr>
          <w:rFonts w:ascii="Arial" w:hAnsi="Arial" w:cs="Arial"/>
          <w:color w:val="000000"/>
          <w:sz w:val="24"/>
          <w:szCs w:val="24"/>
          <w:lang w:val="fr-FR"/>
        </w:rPr>
        <w:t xml:space="preserve">, </w:t>
      </w:r>
      <w:hyperlink r:id="rId188" w:history="1">
        <w:r w:rsidR="002641D2" w:rsidRPr="00FA3F9C">
          <w:rPr>
            <w:rStyle w:val="Hyperlink"/>
            <w:rFonts w:ascii="Arial" w:hAnsi="Arial" w:cs="Arial"/>
            <w:color w:val="000000"/>
            <w:sz w:val="24"/>
            <w:szCs w:val="24"/>
            <w:lang w:val="fr-FR"/>
          </w:rPr>
          <w:t>Bryant J</w:t>
        </w:r>
      </w:hyperlink>
      <w:r w:rsidR="002641D2" w:rsidRPr="00FA3F9C">
        <w:rPr>
          <w:rFonts w:ascii="Arial" w:hAnsi="Arial" w:cs="Arial"/>
          <w:color w:val="000000"/>
          <w:sz w:val="24"/>
          <w:szCs w:val="24"/>
          <w:lang w:val="fr-FR"/>
        </w:rPr>
        <w:t xml:space="preserve">, </w:t>
      </w:r>
      <w:hyperlink r:id="rId189" w:history="1">
        <w:r w:rsidR="002641D2" w:rsidRPr="00FA3F9C">
          <w:rPr>
            <w:rStyle w:val="Hyperlink"/>
            <w:rFonts w:ascii="Arial" w:hAnsi="Arial" w:cs="Arial"/>
            <w:color w:val="000000"/>
            <w:sz w:val="24"/>
            <w:szCs w:val="24"/>
            <w:lang w:val="fr-FR"/>
          </w:rPr>
          <w:t>Milne R</w:t>
        </w:r>
      </w:hyperlink>
      <w:r w:rsidR="002641D2" w:rsidRPr="00FA3F9C">
        <w:rPr>
          <w:rFonts w:ascii="Arial" w:hAnsi="Arial" w:cs="Arial"/>
          <w:color w:val="000000"/>
          <w:sz w:val="24"/>
          <w:szCs w:val="24"/>
          <w:lang w:val="fr-FR"/>
        </w:rPr>
        <w:t xml:space="preserve">. </w:t>
      </w:r>
      <w:r w:rsidR="002641D2" w:rsidRPr="00FA3F9C">
        <w:rPr>
          <w:rFonts w:ascii="Arial" w:hAnsi="Arial" w:cs="Arial"/>
          <w:color w:val="000000"/>
          <w:sz w:val="24"/>
          <w:szCs w:val="24"/>
        </w:rPr>
        <w:t xml:space="preserve">Recombinant growth hormone in children and adolescents with Turner syndrome. </w:t>
      </w:r>
      <w:hyperlink r:id="rId190" w:tooltip="Cochrane database of systematic reviews (Online)." w:history="1">
        <w:r w:rsidR="002641D2" w:rsidRPr="00FA3F9C">
          <w:rPr>
            <w:rStyle w:val="Hyperlink"/>
            <w:rFonts w:ascii="Arial" w:hAnsi="Arial" w:cs="Arial"/>
            <w:color w:val="000000"/>
            <w:sz w:val="24"/>
            <w:szCs w:val="24"/>
          </w:rPr>
          <w:t>Cochrane Database Systematic Reviews</w:t>
        </w:r>
      </w:hyperlink>
      <w:r w:rsidR="002641D2" w:rsidRPr="00FA3F9C">
        <w:rPr>
          <w:rFonts w:ascii="Arial" w:hAnsi="Arial" w:cs="Arial"/>
          <w:color w:val="000000"/>
          <w:sz w:val="24"/>
          <w:szCs w:val="24"/>
        </w:rPr>
        <w:t xml:space="preserve"> 2003;(3):CD003887</w:t>
      </w:r>
    </w:p>
    <w:p w14:paraId="7ABC65F7" w14:textId="77777777" w:rsidR="002641D2" w:rsidRPr="00FA3F9C" w:rsidRDefault="00500371" w:rsidP="002641D2">
      <w:pPr>
        <w:numPr>
          <w:ilvl w:val="1"/>
          <w:numId w:val="232"/>
        </w:numPr>
        <w:spacing w:before="100" w:beforeAutospacing="1" w:after="100" w:afterAutospacing="1" w:line="240" w:lineRule="auto"/>
        <w:rPr>
          <w:rFonts w:ascii="Arial" w:eastAsia="Times New Roman" w:hAnsi="Arial" w:cs="Arial"/>
          <w:color w:val="000000"/>
          <w:sz w:val="24"/>
          <w:szCs w:val="24"/>
        </w:rPr>
      </w:pPr>
      <w:hyperlink r:id="rId191" w:history="1">
        <w:proofErr w:type="spellStart"/>
        <w:r w:rsidR="002641D2" w:rsidRPr="00FA3F9C">
          <w:rPr>
            <w:rStyle w:val="Hyperlink"/>
            <w:rFonts w:ascii="Arial" w:hAnsi="Arial" w:cs="Arial"/>
            <w:color w:val="000000"/>
            <w:sz w:val="24"/>
            <w:szCs w:val="24"/>
          </w:rPr>
          <w:t>Vimalachandra</w:t>
        </w:r>
        <w:proofErr w:type="spellEnd"/>
        <w:r w:rsidR="002641D2" w:rsidRPr="00FA3F9C">
          <w:rPr>
            <w:rStyle w:val="Hyperlink"/>
            <w:rFonts w:ascii="Arial" w:hAnsi="Arial" w:cs="Arial"/>
            <w:color w:val="000000"/>
            <w:sz w:val="24"/>
            <w:szCs w:val="24"/>
          </w:rPr>
          <w:t xml:space="preserve"> D</w:t>
        </w:r>
      </w:hyperlink>
      <w:r w:rsidR="002641D2" w:rsidRPr="00FA3F9C">
        <w:rPr>
          <w:rFonts w:ascii="Arial" w:hAnsi="Arial" w:cs="Arial"/>
          <w:color w:val="000000"/>
          <w:sz w:val="24"/>
          <w:szCs w:val="24"/>
        </w:rPr>
        <w:t xml:space="preserve">, </w:t>
      </w:r>
      <w:hyperlink r:id="rId192" w:history="1">
        <w:r w:rsidR="002641D2" w:rsidRPr="00FA3F9C">
          <w:rPr>
            <w:rStyle w:val="Hyperlink"/>
            <w:rFonts w:ascii="Arial" w:hAnsi="Arial" w:cs="Arial"/>
            <w:color w:val="000000"/>
            <w:sz w:val="24"/>
            <w:szCs w:val="24"/>
          </w:rPr>
          <w:t>Hodson EM</w:t>
        </w:r>
      </w:hyperlink>
      <w:r w:rsidR="002641D2" w:rsidRPr="00FA3F9C">
        <w:rPr>
          <w:rFonts w:ascii="Arial" w:hAnsi="Arial" w:cs="Arial"/>
          <w:color w:val="000000"/>
          <w:sz w:val="24"/>
          <w:szCs w:val="24"/>
        </w:rPr>
        <w:t xml:space="preserve">, </w:t>
      </w:r>
      <w:hyperlink r:id="rId193" w:history="1">
        <w:r w:rsidR="002641D2" w:rsidRPr="00FA3F9C">
          <w:rPr>
            <w:rStyle w:val="Hyperlink"/>
            <w:rFonts w:ascii="Arial" w:hAnsi="Arial" w:cs="Arial"/>
            <w:color w:val="000000"/>
            <w:sz w:val="24"/>
            <w:szCs w:val="24"/>
          </w:rPr>
          <w:t>Willis NS</w:t>
        </w:r>
      </w:hyperlink>
      <w:r w:rsidR="002641D2" w:rsidRPr="00FA3F9C">
        <w:rPr>
          <w:rFonts w:ascii="Arial" w:hAnsi="Arial" w:cs="Arial"/>
          <w:color w:val="000000"/>
          <w:sz w:val="24"/>
          <w:szCs w:val="24"/>
        </w:rPr>
        <w:t xml:space="preserve">, </w:t>
      </w:r>
      <w:hyperlink r:id="rId194" w:history="1">
        <w:r w:rsidR="002641D2" w:rsidRPr="00FA3F9C">
          <w:rPr>
            <w:rStyle w:val="Hyperlink"/>
            <w:rFonts w:ascii="Arial" w:hAnsi="Arial" w:cs="Arial"/>
            <w:color w:val="000000"/>
            <w:sz w:val="24"/>
            <w:szCs w:val="24"/>
          </w:rPr>
          <w:t>Craig JC</w:t>
        </w:r>
      </w:hyperlink>
      <w:r w:rsidR="002641D2" w:rsidRPr="00FA3F9C">
        <w:rPr>
          <w:rFonts w:ascii="Arial" w:hAnsi="Arial" w:cs="Arial"/>
          <w:color w:val="000000"/>
          <w:sz w:val="24"/>
          <w:szCs w:val="24"/>
        </w:rPr>
        <w:t xml:space="preserve">, </w:t>
      </w:r>
      <w:hyperlink r:id="rId195" w:history="1">
        <w:r w:rsidR="002641D2" w:rsidRPr="00FA3F9C">
          <w:rPr>
            <w:rStyle w:val="Hyperlink"/>
            <w:rFonts w:ascii="Arial" w:hAnsi="Arial" w:cs="Arial"/>
            <w:color w:val="000000"/>
            <w:sz w:val="24"/>
            <w:szCs w:val="24"/>
          </w:rPr>
          <w:t>Cowell C</w:t>
        </w:r>
      </w:hyperlink>
      <w:r w:rsidR="002641D2" w:rsidRPr="00FA3F9C">
        <w:rPr>
          <w:rFonts w:ascii="Arial" w:hAnsi="Arial" w:cs="Arial"/>
          <w:color w:val="000000"/>
          <w:sz w:val="24"/>
          <w:szCs w:val="24"/>
        </w:rPr>
        <w:t xml:space="preserve">, </w:t>
      </w:r>
      <w:hyperlink r:id="rId196" w:history="1">
        <w:r w:rsidR="002641D2" w:rsidRPr="00FA3F9C">
          <w:rPr>
            <w:rStyle w:val="Hyperlink"/>
            <w:rFonts w:ascii="Arial" w:hAnsi="Arial" w:cs="Arial"/>
            <w:color w:val="000000"/>
            <w:sz w:val="24"/>
            <w:szCs w:val="24"/>
          </w:rPr>
          <w:t>Knight JF</w:t>
        </w:r>
      </w:hyperlink>
      <w:r w:rsidR="002641D2" w:rsidRPr="00FA3F9C">
        <w:rPr>
          <w:rFonts w:ascii="Arial" w:hAnsi="Arial" w:cs="Arial"/>
          <w:color w:val="000000"/>
          <w:sz w:val="24"/>
          <w:szCs w:val="24"/>
        </w:rPr>
        <w:t>.</w:t>
      </w:r>
      <w:r w:rsidR="002641D2" w:rsidRPr="00FA3F9C">
        <w:rPr>
          <w:rFonts w:ascii="Arial" w:hAnsi="Arial" w:cs="Arial"/>
          <w:sz w:val="24"/>
          <w:szCs w:val="24"/>
        </w:rPr>
        <w:t xml:space="preserve"> Growth hormone for children with chronic kidney disease. </w:t>
      </w:r>
      <w:hyperlink r:id="rId197" w:tooltip="Cochrane database of systematic reviews (Online)." w:history="1">
        <w:r w:rsidR="002641D2" w:rsidRPr="00FA3F9C">
          <w:rPr>
            <w:rStyle w:val="Hyperlink"/>
            <w:rFonts w:ascii="Arial" w:hAnsi="Arial" w:cs="Arial"/>
            <w:color w:val="000000"/>
            <w:sz w:val="24"/>
            <w:szCs w:val="24"/>
          </w:rPr>
          <w:t>Cochrane Database Syst Reviews</w:t>
        </w:r>
      </w:hyperlink>
      <w:r w:rsidR="002641D2" w:rsidRPr="00FA3F9C">
        <w:rPr>
          <w:rFonts w:ascii="Arial" w:hAnsi="Arial" w:cs="Arial"/>
          <w:color w:val="000000"/>
          <w:sz w:val="24"/>
          <w:szCs w:val="24"/>
        </w:rPr>
        <w:t xml:space="preserve"> </w:t>
      </w:r>
      <w:r w:rsidR="002641D2" w:rsidRPr="00FA3F9C">
        <w:rPr>
          <w:rFonts w:ascii="Arial" w:hAnsi="Arial" w:cs="Arial"/>
          <w:sz w:val="24"/>
          <w:szCs w:val="24"/>
        </w:rPr>
        <w:t>2006 Jul 19;(3):CD003264.</w:t>
      </w:r>
    </w:p>
    <w:p w14:paraId="28A0A952" w14:textId="79D83921" w:rsidR="002641D2" w:rsidRPr="00FA3F9C" w:rsidRDefault="002641D2" w:rsidP="002641D2">
      <w:pPr>
        <w:numPr>
          <w:ilvl w:val="1"/>
          <w:numId w:val="232"/>
        </w:numPr>
        <w:spacing w:before="100" w:beforeAutospacing="1" w:after="100" w:afterAutospacing="1" w:line="240" w:lineRule="auto"/>
        <w:rPr>
          <w:rFonts w:ascii="Arial" w:eastAsia="Times New Roman" w:hAnsi="Arial" w:cs="Arial"/>
          <w:color w:val="000000"/>
          <w:sz w:val="24"/>
          <w:szCs w:val="24"/>
        </w:rPr>
      </w:pPr>
      <w:r w:rsidRPr="00FA3F9C">
        <w:rPr>
          <w:rFonts w:ascii="Arial" w:hAnsi="Arial" w:cs="Arial"/>
          <w:sz w:val="24"/>
          <w:szCs w:val="24"/>
        </w:rPr>
        <w:t xml:space="preserve">Craig ME, </w:t>
      </w:r>
      <w:r w:rsidR="002F3083">
        <w:rPr>
          <w:rFonts w:ascii="Arial" w:hAnsi="Arial" w:cs="Arial"/>
          <w:sz w:val="24"/>
          <w:szCs w:val="24"/>
        </w:rPr>
        <w:t>JJ</w:t>
      </w:r>
      <w:r w:rsidRPr="00FA3F9C">
        <w:rPr>
          <w:rFonts w:ascii="Arial" w:hAnsi="Arial" w:cs="Arial"/>
          <w:sz w:val="24"/>
          <w:szCs w:val="24"/>
        </w:rPr>
        <w:t xml:space="preserve"> AM, Cowell CT. </w:t>
      </w:r>
      <w:r w:rsidRPr="00FA3F9C">
        <w:rPr>
          <w:rStyle w:val="maintitle3"/>
          <w:rFonts w:ascii="Arial" w:hAnsi="Arial" w:cs="Arial"/>
          <w:color w:val="000000"/>
          <w:sz w:val="24"/>
          <w:szCs w:val="24"/>
          <w:lang w:val="en"/>
          <w:specVanish w:val="0"/>
        </w:rPr>
        <w:t>Recombinant growth hormone in Prader-Willi Syndrome.</w:t>
      </w:r>
      <w:r w:rsidRPr="00FA3F9C">
        <w:rPr>
          <w:rFonts w:ascii="Arial" w:hAnsi="Arial" w:cs="Arial"/>
          <w:sz w:val="24"/>
          <w:szCs w:val="24"/>
        </w:rPr>
        <w:t xml:space="preserve"> Cochrane Database of Systematic Reviews 2003;(1): CD004100</w:t>
      </w:r>
    </w:p>
    <w:p w14:paraId="368C7A8B" w14:textId="77777777" w:rsidR="002641D2" w:rsidRPr="00FA3F9C" w:rsidRDefault="00500371" w:rsidP="002641D2">
      <w:pPr>
        <w:numPr>
          <w:ilvl w:val="1"/>
          <w:numId w:val="232"/>
        </w:numPr>
        <w:spacing w:before="100" w:beforeAutospacing="1" w:after="100" w:afterAutospacing="1" w:line="240" w:lineRule="auto"/>
        <w:rPr>
          <w:rFonts w:ascii="Arial" w:eastAsia="Times New Roman" w:hAnsi="Arial" w:cs="Arial"/>
          <w:color w:val="000000"/>
          <w:sz w:val="24"/>
          <w:szCs w:val="24"/>
        </w:rPr>
      </w:pPr>
      <w:hyperlink r:id="rId198" w:history="1">
        <w:r w:rsidR="002641D2" w:rsidRPr="00FA3F9C">
          <w:rPr>
            <w:rStyle w:val="Hyperlink"/>
            <w:rFonts w:ascii="Arial" w:hAnsi="Arial" w:cs="Arial"/>
            <w:color w:val="000000"/>
            <w:sz w:val="24"/>
            <w:szCs w:val="24"/>
            <w:lang w:val="fr-FR"/>
          </w:rPr>
          <w:t>Bryant J</w:t>
        </w:r>
      </w:hyperlink>
      <w:r w:rsidR="002641D2" w:rsidRPr="00FA3F9C">
        <w:rPr>
          <w:rFonts w:ascii="Arial" w:hAnsi="Arial" w:cs="Arial"/>
          <w:color w:val="000000"/>
          <w:sz w:val="24"/>
          <w:szCs w:val="24"/>
          <w:lang w:val="fr-FR"/>
        </w:rPr>
        <w:t xml:space="preserve">, </w:t>
      </w:r>
      <w:hyperlink r:id="rId199" w:history="1">
        <w:r w:rsidR="002641D2" w:rsidRPr="00FA3F9C">
          <w:rPr>
            <w:rStyle w:val="Hyperlink"/>
            <w:rFonts w:ascii="Arial" w:hAnsi="Arial" w:cs="Arial"/>
            <w:color w:val="000000"/>
            <w:sz w:val="24"/>
            <w:szCs w:val="24"/>
            <w:lang w:val="fr-FR"/>
          </w:rPr>
          <w:t>Baxter L</w:t>
        </w:r>
      </w:hyperlink>
      <w:r w:rsidR="002641D2" w:rsidRPr="00FA3F9C">
        <w:rPr>
          <w:rFonts w:ascii="Arial" w:hAnsi="Arial" w:cs="Arial"/>
          <w:color w:val="000000"/>
          <w:sz w:val="24"/>
          <w:szCs w:val="24"/>
          <w:lang w:val="fr-FR"/>
        </w:rPr>
        <w:t xml:space="preserve">, </w:t>
      </w:r>
      <w:hyperlink r:id="rId200" w:history="1">
        <w:r w:rsidR="002641D2" w:rsidRPr="00FA3F9C">
          <w:rPr>
            <w:rStyle w:val="Hyperlink"/>
            <w:rFonts w:ascii="Arial" w:hAnsi="Arial" w:cs="Arial"/>
            <w:color w:val="000000"/>
            <w:sz w:val="24"/>
            <w:szCs w:val="24"/>
            <w:lang w:val="fr-FR"/>
          </w:rPr>
          <w:t>Cave CB</w:t>
        </w:r>
      </w:hyperlink>
      <w:r w:rsidR="002641D2" w:rsidRPr="00FA3F9C">
        <w:rPr>
          <w:rFonts w:ascii="Arial" w:hAnsi="Arial" w:cs="Arial"/>
          <w:color w:val="000000"/>
          <w:sz w:val="24"/>
          <w:szCs w:val="24"/>
          <w:lang w:val="fr-FR"/>
        </w:rPr>
        <w:t xml:space="preserve">, </w:t>
      </w:r>
      <w:hyperlink r:id="rId201" w:history="1">
        <w:r w:rsidR="002641D2" w:rsidRPr="00FA3F9C">
          <w:rPr>
            <w:rStyle w:val="Hyperlink"/>
            <w:rFonts w:ascii="Arial" w:hAnsi="Arial" w:cs="Arial"/>
            <w:color w:val="000000"/>
            <w:sz w:val="24"/>
            <w:szCs w:val="24"/>
            <w:lang w:val="fr-FR"/>
          </w:rPr>
          <w:t>Milne R</w:t>
        </w:r>
      </w:hyperlink>
      <w:r w:rsidR="002641D2" w:rsidRPr="00FA3F9C">
        <w:rPr>
          <w:rFonts w:ascii="Arial" w:hAnsi="Arial" w:cs="Arial"/>
          <w:color w:val="000000"/>
          <w:sz w:val="24"/>
          <w:szCs w:val="24"/>
          <w:lang w:val="fr-FR"/>
        </w:rPr>
        <w:t>.</w:t>
      </w:r>
      <w:r w:rsidR="002641D2" w:rsidRPr="00FA3F9C">
        <w:rPr>
          <w:rFonts w:ascii="Arial" w:hAnsi="Arial" w:cs="Arial"/>
          <w:sz w:val="24"/>
          <w:szCs w:val="24"/>
          <w:lang w:val="fr-FR"/>
        </w:rPr>
        <w:t xml:space="preserve"> </w:t>
      </w:r>
      <w:r w:rsidR="002641D2" w:rsidRPr="00FA3F9C">
        <w:rPr>
          <w:rFonts w:ascii="Arial" w:hAnsi="Arial" w:cs="Arial"/>
          <w:sz w:val="24"/>
          <w:szCs w:val="24"/>
        </w:rPr>
        <w:t xml:space="preserve">Recombinant growth hormone for idiopathic short stature in children and adolescents. </w:t>
      </w:r>
      <w:r w:rsidR="002641D2" w:rsidRPr="00FA3F9C">
        <w:rPr>
          <w:rFonts w:ascii="Arial" w:hAnsi="Arial" w:cs="Arial"/>
          <w:color w:val="000000"/>
          <w:sz w:val="24"/>
          <w:szCs w:val="24"/>
        </w:rPr>
        <w:t xml:space="preserve">Cochrane Database of Systematic Reviews </w:t>
      </w:r>
      <w:r w:rsidR="002641D2" w:rsidRPr="00FA3F9C">
        <w:rPr>
          <w:rFonts w:ascii="Arial" w:hAnsi="Arial" w:cs="Arial"/>
          <w:sz w:val="24"/>
          <w:szCs w:val="24"/>
        </w:rPr>
        <w:t>2007 Jul 18;(3):CD004440.</w:t>
      </w:r>
    </w:p>
    <w:p w14:paraId="4645F279" w14:textId="77777777" w:rsidR="002641D2" w:rsidRPr="00FA3F9C" w:rsidRDefault="00500371" w:rsidP="002641D2">
      <w:pPr>
        <w:numPr>
          <w:ilvl w:val="1"/>
          <w:numId w:val="232"/>
        </w:numPr>
        <w:spacing w:before="100" w:beforeAutospacing="1" w:after="100" w:afterAutospacing="1" w:line="240" w:lineRule="auto"/>
        <w:rPr>
          <w:rFonts w:ascii="Arial" w:eastAsia="Times New Roman" w:hAnsi="Arial" w:cs="Arial"/>
          <w:color w:val="000000"/>
          <w:sz w:val="24"/>
          <w:szCs w:val="24"/>
        </w:rPr>
      </w:pPr>
      <w:hyperlink r:id="rId202" w:history="1">
        <w:proofErr w:type="spellStart"/>
        <w:r w:rsidR="002641D2" w:rsidRPr="00FA3F9C">
          <w:rPr>
            <w:rStyle w:val="Hyperlink"/>
            <w:rFonts w:ascii="Arial" w:hAnsi="Arial" w:cs="Arial"/>
            <w:color w:val="000000"/>
            <w:sz w:val="24"/>
            <w:szCs w:val="24"/>
          </w:rPr>
          <w:t>Molitch</w:t>
        </w:r>
        <w:proofErr w:type="spellEnd"/>
        <w:r w:rsidR="002641D2" w:rsidRPr="00FA3F9C">
          <w:rPr>
            <w:rStyle w:val="Hyperlink"/>
            <w:rFonts w:ascii="Arial" w:hAnsi="Arial" w:cs="Arial"/>
            <w:color w:val="000000"/>
            <w:sz w:val="24"/>
            <w:szCs w:val="24"/>
          </w:rPr>
          <w:t xml:space="preserve"> ME</w:t>
        </w:r>
      </w:hyperlink>
      <w:r w:rsidR="002641D2" w:rsidRPr="00FA3F9C">
        <w:rPr>
          <w:rFonts w:ascii="Arial" w:hAnsi="Arial" w:cs="Arial"/>
          <w:color w:val="000000"/>
          <w:sz w:val="24"/>
          <w:szCs w:val="24"/>
        </w:rPr>
        <w:t xml:space="preserve">, </w:t>
      </w:r>
      <w:hyperlink r:id="rId203" w:history="1">
        <w:r w:rsidR="002641D2" w:rsidRPr="00FA3F9C">
          <w:rPr>
            <w:rStyle w:val="Hyperlink"/>
            <w:rFonts w:ascii="Arial" w:hAnsi="Arial" w:cs="Arial"/>
            <w:color w:val="000000"/>
            <w:sz w:val="24"/>
            <w:szCs w:val="24"/>
          </w:rPr>
          <w:t>Clemmons DR</w:t>
        </w:r>
      </w:hyperlink>
      <w:r w:rsidR="002641D2" w:rsidRPr="00FA3F9C">
        <w:rPr>
          <w:rFonts w:ascii="Arial" w:hAnsi="Arial" w:cs="Arial"/>
          <w:color w:val="000000"/>
          <w:sz w:val="24"/>
          <w:szCs w:val="24"/>
        </w:rPr>
        <w:t xml:space="preserve">, </w:t>
      </w:r>
      <w:hyperlink r:id="rId204" w:history="1">
        <w:proofErr w:type="spellStart"/>
        <w:r w:rsidR="002641D2" w:rsidRPr="00FA3F9C">
          <w:rPr>
            <w:rStyle w:val="Hyperlink"/>
            <w:rFonts w:ascii="Arial" w:hAnsi="Arial" w:cs="Arial"/>
            <w:color w:val="000000"/>
            <w:sz w:val="24"/>
            <w:szCs w:val="24"/>
          </w:rPr>
          <w:t>Malozowski</w:t>
        </w:r>
        <w:proofErr w:type="spellEnd"/>
        <w:r w:rsidR="002641D2" w:rsidRPr="00FA3F9C">
          <w:rPr>
            <w:rStyle w:val="Hyperlink"/>
            <w:rFonts w:ascii="Arial" w:hAnsi="Arial" w:cs="Arial"/>
            <w:color w:val="000000"/>
            <w:sz w:val="24"/>
            <w:szCs w:val="24"/>
          </w:rPr>
          <w:t xml:space="preserve"> S</w:t>
        </w:r>
      </w:hyperlink>
      <w:r w:rsidR="002641D2" w:rsidRPr="00FA3F9C">
        <w:rPr>
          <w:rFonts w:ascii="Arial" w:hAnsi="Arial" w:cs="Arial"/>
          <w:color w:val="000000"/>
          <w:sz w:val="24"/>
          <w:szCs w:val="24"/>
        </w:rPr>
        <w:t xml:space="preserve">, </w:t>
      </w:r>
      <w:hyperlink r:id="rId205" w:history="1">
        <w:r w:rsidR="002641D2" w:rsidRPr="00FA3F9C">
          <w:rPr>
            <w:rStyle w:val="Hyperlink"/>
            <w:rFonts w:ascii="Arial" w:hAnsi="Arial" w:cs="Arial"/>
            <w:color w:val="000000"/>
            <w:sz w:val="24"/>
            <w:szCs w:val="24"/>
          </w:rPr>
          <w:t>Merriam GR</w:t>
        </w:r>
      </w:hyperlink>
      <w:r w:rsidR="002641D2" w:rsidRPr="00FA3F9C">
        <w:rPr>
          <w:rFonts w:ascii="Arial" w:hAnsi="Arial" w:cs="Arial"/>
          <w:color w:val="000000"/>
          <w:sz w:val="24"/>
          <w:szCs w:val="24"/>
        </w:rPr>
        <w:t xml:space="preserve">, </w:t>
      </w:r>
      <w:hyperlink r:id="rId206" w:history="1">
        <w:r w:rsidR="002641D2" w:rsidRPr="00FA3F9C">
          <w:rPr>
            <w:rStyle w:val="Hyperlink"/>
            <w:rFonts w:ascii="Arial" w:hAnsi="Arial" w:cs="Arial"/>
            <w:color w:val="000000"/>
            <w:sz w:val="24"/>
            <w:szCs w:val="24"/>
          </w:rPr>
          <w:t>Vance ML</w:t>
        </w:r>
      </w:hyperlink>
      <w:r w:rsidR="002641D2" w:rsidRPr="00FA3F9C">
        <w:rPr>
          <w:rFonts w:ascii="Arial" w:hAnsi="Arial" w:cs="Arial"/>
          <w:color w:val="000000"/>
          <w:sz w:val="24"/>
          <w:szCs w:val="24"/>
        </w:rPr>
        <w:t xml:space="preserve">; </w:t>
      </w:r>
      <w:hyperlink r:id="rId207" w:history="1">
        <w:r w:rsidR="002641D2" w:rsidRPr="00FA3F9C">
          <w:rPr>
            <w:rStyle w:val="Hyperlink"/>
            <w:rFonts w:ascii="Arial" w:hAnsi="Arial" w:cs="Arial"/>
            <w:color w:val="000000"/>
            <w:sz w:val="24"/>
            <w:szCs w:val="24"/>
          </w:rPr>
          <w:t>Endocrine Society</w:t>
        </w:r>
      </w:hyperlink>
      <w:r w:rsidR="002641D2" w:rsidRPr="00FA3F9C">
        <w:rPr>
          <w:rFonts w:ascii="Arial" w:hAnsi="Arial" w:cs="Arial"/>
          <w:color w:val="000000"/>
          <w:sz w:val="24"/>
          <w:szCs w:val="24"/>
        </w:rPr>
        <w:t xml:space="preserve">. </w:t>
      </w:r>
      <w:r w:rsidR="002641D2" w:rsidRPr="00FA3F9C">
        <w:rPr>
          <w:rStyle w:val="highlight"/>
          <w:rFonts w:ascii="Arial" w:hAnsi="Arial" w:cs="Arial"/>
          <w:color w:val="000000"/>
          <w:sz w:val="24"/>
          <w:szCs w:val="24"/>
        </w:rPr>
        <w:t>Evaluation</w:t>
      </w:r>
      <w:r w:rsidR="002641D2" w:rsidRPr="00FA3F9C">
        <w:rPr>
          <w:rFonts w:ascii="Arial" w:hAnsi="Arial" w:cs="Arial"/>
          <w:color w:val="000000"/>
          <w:sz w:val="24"/>
          <w:szCs w:val="24"/>
        </w:rPr>
        <w:t xml:space="preserve"> and </w:t>
      </w:r>
      <w:r w:rsidR="002641D2" w:rsidRPr="00FA3F9C">
        <w:rPr>
          <w:rStyle w:val="highlight"/>
          <w:rFonts w:ascii="Arial" w:hAnsi="Arial" w:cs="Arial"/>
          <w:color w:val="000000"/>
          <w:sz w:val="24"/>
          <w:szCs w:val="24"/>
        </w:rPr>
        <w:t>treatment</w:t>
      </w:r>
      <w:r w:rsidR="002641D2" w:rsidRPr="00FA3F9C">
        <w:rPr>
          <w:rFonts w:ascii="Arial" w:hAnsi="Arial" w:cs="Arial"/>
          <w:color w:val="000000"/>
          <w:sz w:val="24"/>
          <w:szCs w:val="24"/>
        </w:rPr>
        <w:t xml:space="preserve"> of </w:t>
      </w:r>
      <w:r w:rsidR="002641D2" w:rsidRPr="00FA3F9C">
        <w:rPr>
          <w:rStyle w:val="highlight"/>
          <w:rFonts w:ascii="Arial" w:hAnsi="Arial" w:cs="Arial"/>
          <w:color w:val="000000"/>
          <w:sz w:val="24"/>
          <w:szCs w:val="24"/>
        </w:rPr>
        <w:t>adult</w:t>
      </w:r>
      <w:r w:rsidR="002641D2" w:rsidRPr="00FA3F9C">
        <w:rPr>
          <w:rFonts w:ascii="Arial" w:hAnsi="Arial" w:cs="Arial"/>
          <w:color w:val="000000"/>
          <w:sz w:val="24"/>
          <w:szCs w:val="24"/>
        </w:rPr>
        <w:t xml:space="preserve"> </w:t>
      </w:r>
      <w:r w:rsidR="002641D2" w:rsidRPr="00FA3F9C">
        <w:rPr>
          <w:rStyle w:val="highlight"/>
          <w:rFonts w:ascii="Arial" w:hAnsi="Arial" w:cs="Arial"/>
          <w:color w:val="000000"/>
          <w:sz w:val="24"/>
          <w:szCs w:val="24"/>
        </w:rPr>
        <w:t>growth hormone</w:t>
      </w:r>
      <w:r w:rsidR="002641D2" w:rsidRPr="00FA3F9C">
        <w:rPr>
          <w:rFonts w:ascii="Arial" w:hAnsi="Arial" w:cs="Arial"/>
          <w:color w:val="000000"/>
          <w:sz w:val="24"/>
          <w:szCs w:val="24"/>
        </w:rPr>
        <w:t xml:space="preserve"> </w:t>
      </w:r>
      <w:r w:rsidR="002641D2" w:rsidRPr="00FA3F9C">
        <w:rPr>
          <w:rStyle w:val="highlight"/>
          <w:rFonts w:ascii="Arial" w:hAnsi="Arial" w:cs="Arial"/>
          <w:color w:val="000000"/>
          <w:sz w:val="24"/>
          <w:szCs w:val="24"/>
        </w:rPr>
        <w:t>deficiency</w:t>
      </w:r>
      <w:r w:rsidR="002641D2" w:rsidRPr="00FA3F9C">
        <w:rPr>
          <w:rFonts w:ascii="Arial" w:hAnsi="Arial" w:cs="Arial"/>
          <w:color w:val="000000"/>
          <w:sz w:val="24"/>
          <w:szCs w:val="24"/>
        </w:rPr>
        <w:t xml:space="preserve">: an Endocrine Society clinical practice guideline. </w:t>
      </w:r>
      <w:hyperlink r:id="rId208" w:tooltip="The Journal of clinical endocrinology and metabolism." w:history="1">
        <w:r w:rsidR="002641D2" w:rsidRPr="00FA3F9C">
          <w:rPr>
            <w:rStyle w:val="Hyperlink"/>
            <w:rFonts w:ascii="Arial" w:hAnsi="Arial" w:cs="Arial"/>
            <w:i/>
            <w:color w:val="000000"/>
            <w:sz w:val="24"/>
            <w:szCs w:val="24"/>
          </w:rPr>
          <w:t xml:space="preserve">J Clin Endocrinol </w:t>
        </w:r>
        <w:proofErr w:type="spellStart"/>
        <w:r w:rsidR="002641D2" w:rsidRPr="00FA3F9C">
          <w:rPr>
            <w:rStyle w:val="Hyperlink"/>
            <w:rFonts w:ascii="Arial" w:hAnsi="Arial" w:cs="Arial"/>
            <w:i/>
            <w:color w:val="000000"/>
            <w:sz w:val="24"/>
            <w:szCs w:val="24"/>
          </w:rPr>
          <w:t>Metab</w:t>
        </w:r>
        <w:proofErr w:type="spellEnd"/>
        <w:r w:rsidR="002641D2" w:rsidRPr="00FA3F9C">
          <w:rPr>
            <w:rStyle w:val="Hyperlink"/>
            <w:rFonts w:ascii="Arial" w:hAnsi="Arial" w:cs="Arial"/>
            <w:i/>
            <w:color w:val="000000"/>
            <w:sz w:val="24"/>
            <w:szCs w:val="24"/>
          </w:rPr>
          <w:t>.</w:t>
        </w:r>
      </w:hyperlink>
      <w:r w:rsidR="002641D2" w:rsidRPr="00FA3F9C">
        <w:rPr>
          <w:rFonts w:ascii="Arial" w:hAnsi="Arial" w:cs="Arial"/>
          <w:color w:val="000000"/>
          <w:sz w:val="24"/>
          <w:szCs w:val="24"/>
        </w:rPr>
        <w:t xml:space="preserve"> 2011 Jun;96(6):1587-609.</w:t>
      </w:r>
    </w:p>
    <w:p w14:paraId="0473ECD8" w14:textId="77777777" w:rsidR="002641D2" w:rsidRPr="00FA3F9C" w:rsidRDefault="002641D2" w:rsidP="002641D2">
      <w:pPr>
        <w:numPr>
          <w:ilvl w:val="1"/>
          <w:numId w:val="232"/>
        </w:numPr>
        <w:spacing w:before="100" w:beforeAutospacing="1" w:after="100" w:afterAutospacing="1" w:line="240" w:lineRule="auto"/>
        <w:rPr>
          <w:rFonts w:ascii="Arial" w:eastAsia="Times New Roman" w:hAnsi="Arial" w:cs="Arial"/>
          <w:color w:val="000000"/>
          <w:sz w:val="24"/>
          <w:szCs w:val="24"/>
        </w:rPr>
      </w:pPr>
      <w:r w:rsidRPr="00FA3F9C">
        <w:rPr>
          <w:rFonts w:ascii="Arial" w:hAnsi="Arial" w:cs="Arial"/>
          <w:sz w:val="24"/>
          <w:szCs w:val="24"/>
        </w:rPr>
        <w:t xml:space="preserve">Blum WF, Crowe BJ, Quigley CA, et al, “Growth Hormone is Effective in Treatment of Short Stature Associated </w:t>
      </w:r>
      <w:proofErr w:type="gramStart"/>
      <w:r w:rsidRPr="00FA3F9C">
        <w:rPr>
          <w:rFonts w:ascii="Arial" w:hAnsi="Arial" w:cs="Arial"/>
          <w:sz w:val="24"/>
          <w:szCs w:val="24"/>
        </w:rPr>
        <w:t>With</w:t>
      </w:r>
      <w:proofErr w:type="gramEnd"/>
      <w:r w:rsidRPr="00FA3F9C">
        <w:rPr>
          <w:rFonts w:ascii="Arial" w:hAnsi="Arial" w:cs="Arial"/>
          <w:sz w:val="24"/>
          <w:szCs w:val="24"/>
        </w:rPr>
        <w:t xml:space="preserve"> SHOX Deficiency: Two-year Results of a Randomized, Controlled, Multi-Center Trial,” </w:t>
      </w:r>
      <w:r w:rsidRPr="00FA3F9C">
        <w:rPr>
          <w:rFonts w:ascii="Arial" w:hAnsi="Arial" w:cs="Arial"/>
          <w:i/>
          <w:iCs/>
          <w:sz w:val="24"/>
          <w:szCs w:val="24"/>
        </w:rPr>
        <w:t xml:space="preserve">J Clin Endocrinol </w:t>
      </w:r>
      <w:proofErr w:type="spellStart"/>
      <w:r w:rsidRPr="00FA3F9C">
        <w:rPr>
          <w:rFonts w:ascii="Arial" w:hAnsi="Arial" w:cs="Arial"/>
          <w:i/>
          <w:iCs/>
          <w:sz w:val="24"/>
          <w:szCs w:val="24"/>
        </w:rPr>
        <w:t>Metab</w:t>
      </w:r>
      <w:proofErr w:type="spellEnd"/>
      <w:r w:rsidRPr="00FA3F9C">
        <w:rPr>
          <w:rFonts w:ascii="Arial" w:hAnsi="Arial" w:cs="Arial"/>
          <w:sz w:val="24"/>
          <w:szCs w:val="24"/>
        </w:rPr>
        <w:t>, 2007, 92(1):219-28</w:t>
      </w:r>
    </w:p>
    <w:p w14:paraId="6E51C89F" w14:textId="77777777" w:rsidR="002641D2" w:rsidRPr="00FA3F9C" w:rsidRDefault="00500371" w:rsidP="002641D2">
      <w:pPr>
        <w:numPr>
          <w:ilvl w:val="1"/>
          <w:numId w:val="232"/>
        </w:numPr>
        <w:spacing w:before="100" w:beforeAutospacing="1" w:after="100" w:afterAutospacing="1" w:line="240" w:lineRule="auto"/>
        <w:rPr>
          <w:rFonts w:ascii="Arial" w:eastAsia="Times New Roman" w:hAnsi="Arial" w:cs="Arial"/>
          <w:color w:val="000000"/>
          <w:sz w:val="24"/>
          <w:szCs w:val="24"/>
        </w:rPr>
      </w:pPr>
      <w:hyperlink r:id="rId209" w:history="1">
        <w:r w:rsidR="002641D2" w:rsidRPr="00FA3F9C">
          <w:rPr>
            <w:rStyle w:val="Hyperlink"/>
            <w:rFonts w:ascii="Arial" w:hAnsi="Arial" w:cs="Arial"/>
            <w:color w:val="000000"/>
            <w:sz w:val="24"/>
            <w:szCs w:val="24"/>
          </w:rPr>
          <w:t>Byrne TA</w:t>
        </w:r>
      </w:hyperlink>
      <w:r w:rsidR="002641D2" w:rsidRPr="00FA3F9C">
        <w:rPr>
          <w:rFonts w:ascii="Arial" w:hAnsi="Arial" w:cs="Arial"/>
          <w:color w:val="000000"/>
          <w:sz w:val="24"/>
          <w:szCs w:val="24"/>
        </w:rPr>
        <w:t xml:space="preserve">, </w:t>
      </w:r>
      <w:hyperlink r:id="rId210" w:history="1">
        <w:r w:rsidR="002641D2" w:rsidRPr="00FA3F9C">
          <w:rPr>
            <w:rStyle w:val="Hyperlink"/>
            <w:rFonts w:ascii="Arial" w:hAnsi="Arial" w:cs="Arial"/>
            <w:color w:val="000000"/>
            <w:sz w:val="24"/>
            <w:szCs w:val="24"/>
          </w:rPr>
          <w:t>Wilmore DW</w:t>
        </w:r>
      </w:hyperlink>
      <w:r w:rsidR="002641D2" w:rsidRPr="00FA3F9C">
        <w:rPr>
          <w:rFonts w:ascii="Arial" w:hAnsi="Arial" w:cs="Arial"/>
          <w:color w:val="000000"/>
          <w:sz w:val="24"/>
          <w:szCs w:val="24"/>
        </w:rPr>
        <w:t xml:space="preserve">, </w:t>
      </w:r>
      <w:hyperlink r:id="rId211" w:history="1">
        <w:proofErr w:type="spellStart"/>
        <w:r w:rsidR="002641D2" w:rsidRPr="00FA3F9C">
          <w:rPr>
            <w:rStyle w:val="Hyperlink"/>
            <w:rFonts w:ascii="Arial" w:hAnsi="Arial" w:cs="Arial"/>
            <w:color w:val="000000"/>
            <w:sz w:val="24"/>
            <w:szCs w:val="24"/>
          </w:rPr>
          <w:t>Iyer</w:t>
        </w:r>
        <w:proofErr w:type="spellEnd"/>
        <w:r w:rsidR="002641D2" w:rsidRPr="00FA3F9C">
          <w:rPr>
            <w:rStyle w:val="Hyperlink"/>
            <w:rFonts w:ascii="Arial" w:hAnsi="Arial" w:cs="Arial"/>
            <w:color w:val="000000"/>
            <w:sz w:val="24"/>
            <w:szCs w:val="24"/>
          </w:rPr>
          <w:t xml:space="preserve"> K</w:t>
        </w:r>
      </w:hyperlink>
      <w:r w:rsidR="002641D2" w:rsidRPr="00FA3F9C">
        <w:rPr>
          <w:rFonts w:ascii="Arial" w:hAnsi="Arial" w:cs="Arial"/>
          <w:color w:val="000000"/>
          <w:sz w:val="24"/>
          <w:szCs w:val="24"/>
        </w:rPr>
        <w:t xml:space="preserve">, </w:t>
      </w:r>
      <w:hyperlink r:id="rId212" w:history="1">
        <w:proofErr w:type="spellStart"/>
        <w:r w:rsidR="002641D2" w:rsidRPr="00FA3F9C">
          <w:rPr>
            <w:rStyle w:val="Hyperlink"/>
            <w:rFonts w:ascii="Arial" w:hAnsi="Arial" w:cs="Arial"/>
            <w:color w:val="000000"/>
            <w:sz w:val="24"/>
            <w:szCs w:val="24"/>
          </w:rPr>
          <w:t>Dibaise</w:t>
        </w:r>
        <w:proofErr w:type="spellEnd"/>
        <w:r w:rsidR="002641D2" w:rsidRPr="00FA3F9C">
          <w:rPr>
            <w:rStyle w:val="Hyperlink"/>
            <w:rFonts w:ascii="Arial" w:hAnsi="Arial" w:cs="Arial"/>
            <w:color w:val="000000"/>
            <w:sz w:val="24"/>
            <w:szCs w:val="24"/>
          </w:rPr>
          <w:t xml:space="preserve"> J</w:t>
        </w:r>
      </w:hyperlink>
      <w:r w:rsidR="002641D2" w:rsidRPr="00FA3F9C">
        <w:rPr>
          <w:rFonts w:ascii="Arial" w:hAnsi="Arial" w:cs="Arial"/>
          <w:color w:val="000000"/>
          <w:sz w:val="24"/>
          <w:szCs w:val="24"/>
        </w:rPr>
        <w:t xml:space="preserve">, </w:t>
      </w:r>
      <w:hyperlink r:id="rId213" w:history="1">
        <w:r w:rsidR="002641D2" w:rsidRPr="00FA3F9C">
          <w:rPr>
            <w:rStyle w:val="Hyperlink"/>
            <w:rFonts w:ascii="Arial" w:hAnsi="Arial" w:cs="Arial"/>
            <w:color w:val="000000"/>
            <w:sz w:val="24"/>
            <w:szCs w:val="24"/>
          </w:rPr>
          <w:t>Clancy K</w:t>
        </w:r>
      </w:hyperlink>
      <w:r w:rsidR="002641D2" w:rsidRPr="00FA3F9C">
        <w:rPr>
          <w:rFonts w:ascii="Arial" w:hAnsi="Arial" w:cs="Arial"/>
          <w:color w:val="000000"/>
          <w:sz w:val="24"/>
          <w:szCs w:val="24"/>
        </w:rPr>
        <w:t xml:space="preserve">, </w:t>
      </w:r>
      <w:hyperlink r:id="rId214" w:history="1">
        <w:r w:rsidR="002641D2" w:rsidRPr="00FA3F9C">
          <w:rPr>
            <w:rStyle w:val="Hyperlink"/>
            <w:rFonts w:ascii="Arial" w:hAnsi="Arial" w:cs="Arial"/>
            <w:color w:val="000000"/>
            <w:sz w:val="24"/>
            <w:szCs w:val="24"/>
          </w:rPr>
          <w:t>Robinson MK</w:t>
        </w:r>
      </w:hyperlink>
      <w:r w:rsidR="002641D2" w:rsidRPr="00FA3F9C">
        <w:rPr>
          <w:rFonts w:ascii="Arial" w:hAnsi="Arial" w:cs="Arial"/>
          <w:color w:val="000000"/>
          <w:sz w:val="24"/>
          <w:szCs w:val="24"/>
        </w:rPr>
        <w:t xml:space="preserve">, </w:t>
      </w:r>
      <w:hyperlink r:id="rId215" w:history="1">
        <w:r w:rsidR="002641D2" w:rsidRPr="00FA3F9C">
          <w:rPr>
            <w:rStyle w:val="Hyperlink"/>
            <w:rFonts w:ascii="Arial" w:hAnsi="Arial" w:cs="Arial"/>
            <w:color w:val="000000"/>
            <w:sz w:val="24"/>
            <w:szCs w:val="24"/>
          </w:rPr>
          <w:t>Chang P</w:t>
        </w:r>
      </w:hyperlink>
      <w:r w:rsidR="002641D2" w:rsidRPr="00FA3F9C">
        <w:rPr>
          <w:rFonts w:ascii="Arial" w:hAnsi="Arial" w:cs="Arial"/>
          <w:color w:val="000000"/>
          <w:sz w:val="24"/>
          <w:szCs w:val="24"/>
        </w:rPr>
        <w:t xml:space="preserve">, </w:t>
      </w:r>
      <w:hyperlink r:id="rId216" w:history="1">
        <w:proofErr w:type="spellStart"/>
        <w:r w:rsidR="002641D2" w:rsidRPr="00FA3F9C">
          <w:rPr>
            <w:rStyle w:val="Hyperlink"/>
            <w:rFonts w:ascii="Arial" w:hAnsi="Arial" w:cs="Arial"/>
            <w:color w:val="000000"/>
            <w:sz w:val="24"/>
            <w:szCs w:val="24"/>
          </w:rPr>
          <w:t>Gertner</w:t>
        </w:r>
        <w:proofErr w:type="spellEnd"/>
        <w:r w:rsidR="002641D2" w:rsidRPr="00FA3F9C">
          <w:rPr>
            <w:rStyle w:val="Hyperlink"/>
            <w:rFonts w:ascii="Arial" w:hAnsi="Arial" w:cs="Arial"/>
            <w:color w:val="000000"/>
            <w:sz w:val="24"/>
            <w:szCs w:val="24"/>
          </w:rPr>
          <w:t xml:space="preserve"> JM</w:t>
        </w:r>
      </w:hyperlink>
      <w:r w:rsidR="002641D2" w:rsidRPr="00FA3F9C">
        <w:rPr>
          <w:rFonts w:ascii="Arial" w:hAnsi="Arial" w:cs="Arial"/>
          <w:color w:val="000000"/>
          <w:sz w:val="24"/>
          <w:szCs w:val="24"/>
        </w:rPr>
        <w:t xml:space="preserve">, </w:t>
      </w:r>
      <w:hyperlink r:id="rId217" w:history="1">
        <w:proofErr w:type="spellStart"/>
        <w:r w:rsidR="002641D2" w:rsidRPr="00FA3F9C">
          <w:rPr>
            <w:rStyle w:val="Hyperlink"/>
            <w:rFonts w:ascii="Arial" w:hAnsi="Arial" w:cs="Arial"/>
            <w:color w:val="000000"/>
            <w:sz w:val="24"/>
            <w:szCs w:val="24"/>
          </w:rPr>
          <w:t>Lautz</w:t>
        </w:r>
        <w:proofErr w:type="spellEnd"/>
        <w:r w:rsidR="002641D2" w:rsidRPr="00FA3F9C">
          <w:rPr>
            <w:rStyle w:val="Hyperlink"/>
            <w:rFonts w:ascii="Arial" w:hAnsi="Arial" w:cs="Arial"/>
            <w:color w:val="000000"/>
            <w:sz w:val="24"/>
            <w:szCs w:val="24"/>
          </w:rPr>
          <w:t xml:space="preserve"> D</w:t>
        </w:r>
      </w:hyperlink>
      <w:r w:rsidR="002641D2" w:rsidRPr="00FA3F9C">
        <w:rPr>
          <w:rFonts w:ascii="Arial" w:hAnsi="Arial" w:cs="Arial"/>
          <w:color w:val="000000"/>
          <w:sz w:val="24"/>
          <w:szCs w:val="24"/>
        </w:rPr>
        <w:t>. Growth hormone, glutamine, and an optimal diet reduces parenteral nutrition in patients with short bowel syndrome: a prospective, randomized, placebo-controlled, double-blind clinical trial.</w:t>
      </w:r>
      <w:r w:rsidR="002641D2" w:rsidRPr="00FA3F9C">
        <w:rPr>
          <w:rFonts w:ascii="Arial" w:hAnsi="Arial" w:cs="Arial"/>
          <w:sz w:val="24"/>
          <w:szCs w:val="24"/>
        </w:rPr>
        <w:t xml:space="preserve"> </w:t>
      </w:r>
      <w:hyperlink r:id="rId218" w:tooltip="Annals of surgery." w:history="1">
        <w:r w:rsidR="002641D2" w:rsidRPr="00FA3F9C">
          <w:rPr>
            <w:rStyle w:val="Hyperlink"/>
            <w:rFonts w:ascii="Arial" w:hAnsi="Arial" w:cs="Arial"/>
            <w:i/>
            <w:color w:val="000000"/>
            <w:sz w:val="24"/>
            <w:szCs w:val="24"/>
          </w:rPr>
          <w:t>Ann Surg</w:t>
        </w:r>
        <w:r w:rsidR="002641D2" w:rsidRPr="00FA3F9C">
          <w:rPr>
            <w:rStyle w:val="Hyperlink"/>
            <w:rFonts w:ascii="Arial" w:hAnsi="Arial" w:cs="Arial"/>
            <w:color w:val="000000"/>
            <w:sz w:val="24"/>
            <w:szCs w:val="24"/>
          </w:rPr>
          <w:t>.</w:t>
        </w:r>
      </w:hyperlink>
      <w:r w:rsidR="002641D2" w:rsidRPr="00FA3F9C">
        <w:rPr>
          <w:rFonts w:ascii="Arial" w:hAnsi="Arial" w:cs="Arial"/>
          <w:color w:val="000000"/>
          <w:sz w:val="24"/>
          <w:szCs w:val="24"/>
        </w:rPr>
        <w:t xml:space="preserve"> </w:t>
      </w:r>
      <w:r w:rsidR="002641D2" w:rsidRPr="00FA3F9C">
        <w:rPr>
          <w:rFonts w:ascii="Arial" w:hAnsi="Arial" w:cs="Arial"/>
          <w:sz w:val="24"/>
          <w:szCs w:val="24"/>
        </w:rPr>
        <w:t xml:space="preserve">2005 Nov;242(5):655-61. </w:t>
      </w:r>
      <w:r w:rsidR="002641D2" w:rsidRPr="00FA3F9C">
        <w:rPr>
          <w:rFonts w:ascii="Arial" w:eastAsia="Times New Roman" w:hAnsi="Arial" w:cs="Arial"/>
          <w:sz w:val="24"/>
          <w:szCs w:val="24"/>
        </w:rPr>
        <w:t>PMID:16244538</w:t>
      </w:r>
    </w:p>
    <w:p w14:paraId="528A77C4" w14:textId="77777777" w:rsidR="002641D2" w:rsidRPr="00FA3F9C" w:rsidRDefault="00500371" w:rsidP="002641D2">
      <w:pPr>
        <w:numPr>
          <w:ilvl w:val="1"/>
          <w:numId w:val="232"/>
        </w:numPr>
        <w:spacing w:before="100" w:beforeAutospacing="1" w:after="100" w:afterAutospacing="1" w:line="240" w:lineRule="auto"/>
        <w:rPr>
          <w:rFonts w:ascii="Arial" w:eastAsia="Times New Roman" w:hAnsi="Arial" w:cs="Arial"/>
          <w:color w:val="000000"/>
          <w:sz w:val="24"/>
          <w:szCs w:val="24"/>
        </w:rPr>
      </w:pPr>
      <w:hyperlink r:id="rId219" w:history="1">
        <w:proofErr w:type="spellStart"/>
        <w:r w:rsidR="002641D2" w:rsidRPr="00FA3F9C">
          <w:rPr>
            <w:rStyle w:val="Hyperlink"/>
            <w:rFonts w:ascii="Arial" w:hAnsi="Arial" w:cs="Arial"/>
            <w:color w:val="000000"/>
            <w:sz w:val="24"/>
            <w:szCs w:val="24"/>
          </w:rPr>
          <w:t>Wanke</w:t>
        </w:r>
        <w:proofErr w:type="spellEnd"/>
        <w:r w:rsidR="002641D2" w:rsidRPr="00FA3F9C">
          <w:rPr>
            <w:rStyle w:val="Hyperlink"/>
            <w:rFonts w:ascii="Arial" w:hAnsi="Arial" w:cs="Arial"/>
            <w:color w:val="000000"/>
            <w:sz w:val="24"/>
            <w:szCs w:val="24"/>
          </w:rPr>
          <w:t xml:space="preserve"> C</w:t>
        </w:r>
      </w:hyperlink>
      <w:r w:rsidR="002641D2" w:rsidRPr="00FA3F9C">
        <w:rPr>
          <w:rFonts w:ascii="Arial" w:hAnsi="Arial" w:cs="Arial"/>
          <w:color w:val="000000"/>
          <w:sz w:val="24"/>
          <w:szCs w:val="24"/>
        </w:rPr>
        <w:t xml:space="preserve">, </w:t>
      </w:r>
      <w:hyperlink r:id="rId220" w:history="1">
        <w:r w:rsidR="002641D2" w:rsidRPr="00FA3F9C">
          <w:rPr>
            <w:rStyle w:val="Hyperlink"/>
            <w:rFonts w:ascii="Arial" w:hAnsi="Arial" w:cs="Arial"/>
            <w:color w:val="000000"/>
            <w:sz w:val="24"/>
            <w:szCs w:val="24"/>
          </w:rPr>
          <w:t>Kotler D</w:t>
        </w:r>
      </w:hyperlink>
      <w:r w:rsidR="002641D2" w:rsidRPr="00FA3F9C">
        <w:rPr>
          <w:rFonts w:ascii="Arial" w:hAnsi="Arial" w:cs="Arial"/>
          <w:color w:val="000000"/>
          <w:sz w:val="24"/>
          <w:szCs w:val="24"/>
        </w:rPr>
        <w:t xml:space="preserve">; </w:t>
      </w:r>
      <w:hyperlink r:id="rId221" w:history="1">
        <w:r w:rsidR="002641D2" w:rsidRPr="00FA3F9C">
          <w:rPr>
            <w:rStyle w:val="highlight"/>
            <w:rFonts w:ascii="Arial" w:hAnsi="Arial" w:cs="Arial"/>
            <w:color w:val="000000"/>
            <w:sz w:val="24"/>
            <w:szCs w:val="24"/>
          </w:rPr>
          <w:t>HIV</w:t>
        </w:r>
        <w:r w:rsidR="002641D2" w:rsidRPr="00FA3F9C">
          <w:rPr>
            <w:rStyle w:val="Hyperlink"/>
            <w:rFonts w:ascii="Arial" w:hAnsi="Arial" w:cs="Arial"/>
            <w:color w:val="000000"/>
            <w:sz w:val="24"/>
            <w:szCs w:val="24"/>
          </w:rPr>
          <w:t xml:space="preserve"> </w:t>
        </w:r>
        <w:r w:rsidR="002641D2" w:rsidRPr="00FA3F9C">
          <w:rPr>
            <w:rStyle w:val="highlight"/>
            <w:rFonts w:ascii="Arial" w:hAnsi="Arial" w:cs="Arial"/>
            <w:color w:val="000000"/>
            <w:sz w:val="24"/>
            <w:szCs w:val="24"/>
          </w:rPr>
          <w:t>Wasting</w:t>
        </w:r>
        <w:r w:rsidR="002641D2" w:rsidRPr="00FA3F9C">
          <w:rPr>
            <w:rStyle w:val="Hyperlink"/>
            <w:rFonts w:ascii="Arial" w:hAnsi="Arial" w:cs="Arial"/>
            <w:color w:val="000000"/>
            <w:sz w:val="24"/>
            <w:szCs w:val="24"/>
          </w:rPr>
          <w:t xml:space="preserve"> </w:t>
        </w:r>
        <w:r w:rsidR="002641D2" w:rsidRPr="00FA3F9C">
          <w:rPr>
            <w:rStyle w:val="highlight"/>
            <w:rFonts w:ascii="Arial" w:hAnsi="Arial" w:cs="Arial"/>
            <w:color w:val="000000"/>
            <w:sz w:val="24"/>
            <w:szCs w:val="24"/>
          </w:rPr>
          <w:t>Collaborative</w:t>
        </w:r>
        <w:r w:rsidR="002641D2" w:rsidRPr="00FA3F9C">
          <w:rPr>
            <w:rStyle w:val="Hyperlink"/>
            <w:rFonts w:ascii="Arial" w:hAnsi="Arial" w:cs="Arial"/>
            <w:color w:val="000000"/>
            <w:sz w:val="24"/>
            <w:szCs w:val="24"/>
          </w:rPr>
          <w:t xml:space="preserve"> Consensus Committee</w:t>
        </w:r>
      </w:hyperlink>
      <w:r w:rsidR="002641D2" w:rsidRPr="00FA3F9C">
        <w:rPr>
          <w:rFonts w:ascii="Arial" w:hAnsi="Arial" w:cs="Arial"/>
          <w:color w:val="000000"/>
          <w:sz w:val="24"/>
          <w:szCs w:val="24"/>
        </w:rPr>
        <w:t xml:space="preserve">. Collaborative recommendations: the approach to diagnosis and treatment of HIV wasting. </w:t>
      </w:r>
      <w:hyperlink r:id="rId222" w:tooltip="Journal of acquired immune deficiency syndromes (1999)." w:history="1">
        <w:r w:rsidR="002641D2" w:rsidRPr="00FA3F9C">
          <w:rPr>
            <w:rStyle w:val="Hyperlink"/>
            <w:rFonts w:ascii="Arial" w:hAnsi="Arial" w:cs="Arial"/>
            <w:i/>
            <w:color w:val="000000"/>
            <w:sz w:val="24"/>
            <w:szCs w:val="24"/>
          </w:rPr>
          <w:t xml:space="preserve">J </w:t>
        </w:r>
        <w:proofErr w:type="spellStart"/>
        <w:r w:rsidR="002641D2" w:rsidRPr="00FA3F9C">
          <w:rPr>
            <w:rStyle w:val="Hyperlink"/>
            <w:rFonts w:ascii="Arial" w:hAnsi="Arial" w:cs="Arial"/>
            <w:i/>
            <w:color w:val="000000"/>
            <w:sz w:val="24"/>
            <w:szCs w:val="24"/>
          </w:rPr>
          <w:t>Acquir</w:t>
        </w:r>
        <w:proofErr w:type="spellEnd"/>
        <w:r w:rsidR="002641D2" w:rsidRPr="00FA3F9C">
          <w:rPr>
            <w:rStyle w:val="Hyperlink"/>
            <w:rFonts w:ascii="Arial" w:hAnsi="Arial" w:cs="Arial"/>
            <w:i/>
            <w:color w:val="000000"/>
            <w:sz w:val="24"/>
            <w:szCs w:val="24"/>
          </w:rPr>
          <w:t xml:space="preserve"> Immune </w:t>
        </w:r>
        <w:proofErr w:type="spellStart"/>
        <w:r w:rsidR="002641D2" w:rsidRPr="00FA3F9C">
          <w:rPr>
            <w:rStyle w:val="Hyperlink"/>
            <w:rFonts w:ascii="Arial" w:hAnsi="Arial" w:cs="Arial"/>
            <w:i/>
            <w:color w:val="000000"/>
            <w:sz w:val="24"/>
            <w:szCs w:val="24"/>
          </w:rPr>
          <w:t>Defic</w:t>
        </w:r>
        <w:proofErr w:type="spellEnd"/>
        <w:r w:rsidR="002641D2" w:rsidRPr="00FA3F9C">
          <w:rPr>
            <w:rStyle w:val="Hyperlink"/>
            <w:rFonts w:ascii="Arial" w:hAnsi="Arial" w:cs="Arial"/>
            <w:i/>
            <w:color w:val="000000"/>
            <w:sz w:val="24"/>
            <w:szCs w:val="24"/>
          </w:rPr>
          <w:t xml:space="preserve"> </w:t>
        </w:r>
        <w:proofErr w:type="spellStart"/>
        <w:r w:rsidR="002641D2" w:rsidRPr="00FA3F9C">
          <w:rPr>
            <w:rStyle w:val="Hyperlink"/>
            <w:rFonts w:ascii="Arial" w:hAnsi="Arial" w:cs="Arial"/>
            <w:i/>
            <w:color w:val="000000"/>
            <w:sz w:val="24"/>
            <w:szCs w:val="24"/>
          </w:rPr>
          <w:t>Syndr</w:t>
        </w:r>
        <w:proofErr w:type="spellEnd"/>
        <w:r w:rsidR="002641D2" w:rsidRPr="00FA3F9C">
          <w:rPr>
            <w:rStyle w:val="Hyperlink"/>
            <w:rFonts w:ascii="Arial" w:hAnsi="Arial" w:cs="Arial"/>
            <w:color w:val="000000"/>
            <w:sz w:val="24"/>
            <w:szCs w:val="24"/>
          </w:rPr>
          <w:t>.</w:t>
        </w:r>
      </w:hyperlink>
      <w:r w:rsidR="002641D2" w:rsidRPr="00FA3F9C">
        <w:rPr>
          <w:rFonts w:ascii="Arial" w:hAnsi="Arial" w:cs="Arial"/>
          <w:color w:val="000000"/>
          <w:sz w:val="24"/>
          <w:szCs w:val="24"/>
        </w:rPr>
        <w:t xml:space="preserve"> 2004 Dec 1;37 Suppl 5:S284-8.</w:t>
      </w:r>
    </w:p>
    <w:p w14:paraId="25218BB9" w14:textId="77777777" w:rsidR="002641D2" w:rsidRPr="00FA3F9C" w:rsidRDefault="002641D2" w:rsidP="002641D2">
      <w:pPr>
        <w:numPr>
          <w:ilvl w:val="1"/>
          <w:numId w:val="232"/>
        </w:numPr>
        <w:spacing w:before="100" w:beforeAutospacing="1" w:after="100" w:afterAutospacing="1" w:line="240" w:lineRule="auto"/>
        <w:rPr>
          <w:rFonts w:ascii="Arial" w:eastAsia="Times New Roman" w:hAnsi="Arial" w:cs="Arial"/>
          <w:color w:val="000000"/>
          <w:sz w:val="24"/>
          <w:szCs w:val="24"/>
        </w:rPr>
      </w:pPr>
      <w:r w:rsidRPr="00FA3F9C">
        <w:rPr>
          <w:rFonts w:ascii="Arial" w:hAnsi="Arial" w:cs="Arial"/>
          <w:sz w:val="24"/>
          <w:szCs w:val="24"/>
          <w:lang w:val="fr-FR"/>
        </w:rPr>
        <w:lastRenderedPageBreak/>
        <w:t xml:space="preserve">Moyle G, </w:t>
      </w:r>
      <w:proofErr w:type="spellStart"/>
      <w:r w:rsidRPr="00FA3F9C">
        <w:rPr>
          <w:rFonts w:ascii="Arial" w:hAnsi="Arial" w:cs="Arial"/>
          <w:sz w:val="24"/>
          <w:szCs w:val="24"/>
          <w:lang w:val="fr-FR"/>
        </w:rPr>
        <w:t>Daar</w:t>
      </w:r>
      <w:proofErr w:type="spellEnd"/>
      <w:r w:rsidRPr="00FA3F9C">
        <w:rPr>
          <w:rFonts w:ascii="Arial" w:hAnsi="Arial" w:cs="Arial"/>
          <w:sz w:val="24"/>
          <w:szCs w:val="24"/>
          <w:lang w:val="fr-FR"/>
        </w:rPr>
        <w:t xml:space="preserve"> E, </w:t>
      </w:r>
      <w:proofErr w:type="spellStart"/>
      <w:r w:rsidRPr="00FA3F9C">
        <w:rPr>
          <w:rFonts w:ascii="Arial" w:hAnsi="Arial" w:cs="Arial"/>
          <w:sz w:val="24"/>
          <w:szCs w:val="24"/>
          <w:lang w:val="fr-FR"/>
        </w:rPr>
        <w:t>Gertner</w:t>
      </w:r>
      <w:proofErr w:type="spellEnd"/>
      <w:r w:rsidRPr="00FA3F9C">
        <w:rPr>
          <w:rFonts w:ascii="Arial" w:hAnsi="Arial" w:cs="Arial"/>
          <w:sz w:val="24"/>
          <w:szCs w:val="24"/>
          <w:lang w:val="fr-FR"/>
        </w:rPr>
        <w:t xml:space="preserve"> JM, et al. </w:t>
      </w:r>
      <w:r w:rsidRPr="00FA3F9C">
        <w:rPr>
          <w:rFonts w:ascii="Arial" w:hAnsi="Arial" w:cs="Arial"/>
          <w:sz w:val="24"/>
          <w:szCs w:val="24"/>
        </w:rPr>
        <w:t xml:space="preserve">Growth hormone improves lean body mass, physical performance, and quality of life in subjects with </w:t>
      </w:r>
      <w:proofErr w:type="spellStart"/>
      <w:r w:rsidRPr="00FA3F9C">
        <w:rPr>
          <w:rFonts w:ascii="Arial" w:hAnsi="Arial" w:cs="Arial"/>
          <w:sz w:val="24"/>
          <w:szCs w:val="24"/>
        </w:rPr>
        <w:t>HIVassociated</w:t>
      </w:r>
      <w:proofErr w:type="spellEnd"/>
      <w:r w:rsidRPr="00FA3F9C">
        <w:rPr>
          <w:rFonts w:ascii="Arial" w:eastAsia="Times New Roman" w:hAnsi="Arial" w:cs="Arial"/>
          <w:color w:val="000000"/>
          <w:sz w:val="24"/>
          <w:szCs w:val="24"/>
        </w:rPr>
        <w:t xml:space="preserve"> </w:t>
      </w:r>
      <w:r w:rsidRPr="00FA3F9C">
        <w:rPr>
          <w:rFonts w:ascii="Arial" w:hAnsi="Arial" w:cs="Arial"/>
          <w:sz w:val="24"/>
          <w:szCs w:val="24"/>
        </w:rPr>
        <w:t xml:space="preserve">weight loss or wasting on highly active antiretroviral therapy. </w:t>
      </w:r>
      <w:r w:rsidRPr="00FA3F9C">
        <w:rPr>
          <w:rFonts w:ascii="Arial" w:hAnsi="Arial" w:cs="Arial"/>
          <w:i/>
          <w:iCs/>
          <w:sz w:val="24"/>
          <w:szCs w:val="24"/>
        </w:rPr>
        <w:t xml:space="preserve">J </w:t>
      </w:r>
      <w:proofErr w:type="spellStart"/>
      <w:r w:rsidRPr="00FA3F9C">
        <w:rPr>
          <w:rFonts w:ascii="Arial" w:hAnsi="Arial" w:cs="Arial"/>
          <w:i/>
          <w:iCs/>
          <w:sz w:val="24"/>
          <w:szCs w:val="24"/>
        </w:rPr>
        <w:t>Acquir</w:t>
      </w:r>
      <w:proofErr w:type="spellEnd"/>
      <w:r w:rsidRPr="00FA3F9C">
        <w:rPr>
          <w:rFonts w:ascii="Arial" w:hAnsi="Arial" w:cs="Arial"/>
          <w:i/>
          <w:iCs/>
          <w:sz w:val="24"/>
          <w:szCs w:val="24"/>
        </w:rPr>
        <w:t xml:space="preserve"> Immune </w:t>
      </w:r>
      <w:proofErr w:type="spellStart"/>
      <w:r w:rsidRPr="00FA3F9C">
        <w:rPr>
          <w:rFonts w:ascii="Arial" w:hAnsi="Arial" w:cs="Arial"/>
          <w:i/>
          <w:iCs/>
          <w:sz w:val="24"/>
          <w:szCs w:val="24"/>
        </w:rPr>
        <w:t>Defic</w:t>
      </w:r>
      <w:proofErr w:type="spellEnd"/>
      <w:r w:rsidRPr="00FA3F9C">
        <w:rPr>
          <w:rFonts w:ascii="Arial" w:hAnsi="Arial" w:cs="Arial"/>
          <w:i/>
          <w:iCs/>
          <w:sz w:val="24"/>
          <w:szCs w:val="24"/>
        </w:rPr>
        <w:t xml:space="preserve"> </w:t>
      </w:r>
      <w:proofErr w:type="spellStart"/>
      <w:r w:rsidRPr="00FA3F9C">
        <w:rPr>
          <w:rFonts w:ascii="Arial" w:hAnsi="Arial" w:cs="Arial"/>
          <w:i/>
          <w:iCs/>
          <w:sz w:val="24"/>
          <w:szCs w:val="24"/>
        </w:rPr>
        <w:t>Syndr</w:t>
      </w:r>
      <w:proofErr w:type="spellEnd"/>
      <w:r w:rsidRPr="00FA3F9C">
        <w:rPr>
          <w:rFonts w:ascii="Arial" w:hAnsi="Arial" w:cs="Arial"/>
          <w:sz w:val="24"/>
          <w:szCs w:val="24"/>
        </w:rPr>
        <w:t>. 2004;35:367–375</w:t>
      </w:r>
    </w:p>
    <w:p w14:paraId="12F9F2CE" w14:textId="77777777" w:rsidR="002641D2" w:rsidRPr="00FA3F9C" w:rsidRDefault="002641D2" w:rsidP="002641D2">
      <w:pPr>
        <w:numPr>
          <w:ilvl w:val="1"/>
          <w:numId w:val="232"/>
        </w:numPr>
        <w:spacing w:before="100" w:beforeAutospacing="1" w:after="100" w:afterAutospacing="1" w:line="240" w:lineRule="auto"/>
        <w:rPr>
          <w:rFonts w:ascii="Arial" w:eastAsia="Times New Roman" w:hAnsi="Arial" w:cs="Arial"/>
          <w:color w:val="000000"/>
          <w:sz w:val="24"/>
          <w:szCs w:val="24"/>
        </w:rPr>
      </w:pPr>
      <w:proofErr w:type="spellStart"/>
      <w:r w:rsidRPr="00FA3F9C">
        <w:rPr>
          <w:rFonts w:ascii="Arial" w:hAnsi="Arial" w:cs="Arial"/>
          <w:sz w:val="24"/>
          <w:szCs w:val="24"/>
        </w:rPr>
        <w:t>Dattani</w:t>
      </w:r>
      <w:proofErr w:type="spellEnd"/>
      <w:r w:rsidRPr="00FA3F9C">
        <w:rPr>
          <w:rFonts w:ascii="Arial" w:hAnsi="Arial" w:cs="Arial"/>
          <w:sz w:val="24"/>
          <w:szCs w:val="24"/>
        </w:rPr>
        <w:t xml:space="preserve"> M, </w:t>
      </w:r>
      <w:proofErr w:type="spellStart"/>
      <w:r w:rsidRPr="00FA3F9C">
        <w:rPr>
          <w:rFonts w:ascii="Arial" w:hAnsi="Arial" w:cs="Arial"/>
          <w:sz w:val="24"/>
          <w:szCs w:val="24"/>
        </w:rPr>
        <w:t>Preece</w:t>
      </w:r>
      <w:proofErr w:type="spellEnd"/>
      <w:r w:rsidRPr="00FA3F9C">
        <w:rPr>
          <w:rFonts w:ascii="Arial" w:hAnsi="Arial" w:cs="Arial"/>
          <w:sz w:val="24"/>
          <w:szCs w:val="24"/>
        </w:rPr>
        <w:t xml:space="preserve"> M.  Growth hormone deficiency and related disorders: insights into causation, diagnosis, and treatment.  </w:t>
      </w:r>
      <w:r w:rsidRPr="00FA3F9C">
        <w:rPr>
          <w:rFonts w:ascii="Arial" w:hAnsi="Arial" w:cs="Arial"/>
          <w:i/>
          <w:sz w:val="24"/>
          <w:szCs w:val="24"/>
        </w:rPr>
        <w:t>The Lancet</w:t>
      </w:r>
      <w:r w:rsidRPr="00FA3F9C">
        <w:rPr>
          <w:rFonts w:ascii="Arial" w:hAnsi="Arial" w:cs="Arial"/>
          <w:sz w:val="24"/>
          <w:szCs w:val="24"/>
        </w:rPr>
        <w:t>, 2004; (363):1977-1987.</w:t>
      </w:r>
    </w:p>
    <w:p w14:paraId="19E47DF6" w14:textId="77777777" w:rsidR="002641D2" w:rsidRPr="00FA3F9C" w:rsidRDefault="002641D2" w:rsidP="002641D2">
      <w:pPr>
        <w:numPr>
          <w:ilvl w:val="1"/>
          <w:numId w:val="232"/>
        </w:numPr>
        <w:spacing w:before="100" w:beforeAutospacing="1" w:after="100" w:afterAutospacing="1" w:line="240" w:lineRule="auto"/>
        <w:rPr>
          <w:rFonts w:ascii="Arial" w:eastAsia="Times New Roman" w:hAnsi="Arial" w:cs="Arial"/>
          <w:color w:val="000000"/>
          <w:sz w:val="24"/>
          <w:szCs w:val="24"/>
        </w:rPr>
      </w:pPr>
      <w:proofErr w:type="spellStart"/>
      <w:r w:rsidRPr="00FA3F9C">
        <w:rPr>
          <w:rFonts w:ascii="Arial" w:hAnsi="Arial" w:cs="Arial"/>
          <w:sz w:val="24"/>
          <w:szCs w:val="24"/>
        </w:rPr>
        <w:t>Bondy</w:t>
      </w:r>
      <w:proofErr w:type="spellEnd"/>
      <w:r w:rsidRPr="00FA3F9C">
        <w:rPr>
          <w:rFonts w:ascii="Arial" w:hAnsi="Arial" w:cs="Arial"/>
          <w:sz w:val="24"/>
          <w:szCs w:val="24"/>
        </w:rPr>
        <w:t xml:space="preserve"> CA.  Care of girls and women with Turner Syndrome: a guideline of the turner syndrome study group.  </w:t>
      </w:r>
      <w:r w:rsidRPr="00FA3F9C">
        <w:rPr>
          <w:rFonts w:ascii="Arial" w:hAnsi="Arial" w:cs="Arial"/>
          <w:i/>
          <w:sz w:val="24"/>
          <w:szCs w:val="24"/>
        </w:rPr>
        <w:t>Journal of Clinical Endocrinology &amp; Metabolism</w:t>
      </w:r>
      <w:r w:rsidRPr="00FA3F9C">
        <w:rPr>
          <w:rFonts w:ascii="Arial" w:hAnsi="Arial" w:cs="Arial"/>
          <w:sz w:val="24"/>
          <w:szCs w:val="24"/>
        </w:rPr>
        <w:t xml:space="preserve">, 2007; 92(1):10-25.  </w:t>
      </w:r>
    </w:p>
    <w:p w14:paraId="6DC117E3" w14:textId="77777777" w:rsidR="002641D2" w:rsidRPr="00FA3F9C" w:rsidRDefault="002641D2" w:rsidP="002641D2">
      <w:pPr>
        <w:numPr>
          <w:ilvl w:val="1"/>
          <w:numId w:val="232"/>
        </w:numPr>
        <w:spacing w:before="100" w:beforeAutospacing="1" w:after="100" w:afterAutospacing="1" w:line="240" w:lineRule="auto"/>
        <w:rPr>
          <w:rFonts w:ascii="Arial" w:eastAsia="Times New Roman" w:hAnsi="Arial" w:cs="Arial"/>
          <w:color w:val="000000"/>
          <w:sz w:val="24"/>
          <w:szCs w:val="24"/>
        </w:rPr>
      </w:pPr>
      <w:r w:rsidRPr="00FA3F9C">
        <w:rPr>
          <w:rFonts w:ascii="Arial" w:hAnsi="Arial" w:cs="Arial"/>
          <w:sz w:val="24"/>
          <w:szCs w:val="24"/>
          <w:lang w:val="es-ES"/>
        </w:rPr>
        <w:t xml:space="preserve">De </w:t>
      </w:r>
      <w:proofErr w:type="spellStart"/>
      <w:r w:rsidRPr="00FA3F9C">
        <w:rPr>
          <w:rFonts w:ascii="Arial" w:hAnsi="Arial" w:cs="Arial"/>
          <w:sz w:val="24"/>
          <w:szCs w:val="24"/>
          <w:lang w:val="es-ES"/>
        </w:rPr>
        <w:t>Lind</w:t>
      </w:r>
      <w:proofErr w:type="spellEnd"/>
      <w:r w:rsidRPr="00FA3F9C">
        <w:rPr>
          <w:rFonts w:ascii="Arial" w:hAnsi="Arial" w:cs="Arial"/>
          <w:sz w:val="24"/>
          <w:szCs w:val="24"/>
          <w:lang w:val="es-ES"/>
        </w:rPr>
        <w:t xml:space="preserve"> van </w:t>
      </w:r>
      <w:proofErr w:type="spellStart"/>
      <w:r w:rsidRPr="00FA3F9C">
        <w:rPr>
          <w:rFonts w:ascii="Arial" w:hAnsi="Arial" w:cs="Arial"/>
          <w:sz w:val="24"/>
          <w:szCs w:val="24"/>
          <w:lang w:val="es-ES"/>
        </w:rPr>
        <w:t>Wijngaarden</w:t>
      </w:r>
      <w:proofErr w:type="spellEnd"/>
      <w:r w:rsidRPr="00FA3F9C">
        <w:rPr>
          <w:rFonts w:ascii="Arial" w:hAnsi="Arial" w:cs="Arial"/>
          <w:sz w:val="24"/>
          <w:szCs w:val="24"/>
          <w:lang w:val="es-ES"/>
        </w:rPr>
        <w:t xml:space="preserve"> RFA, </w:t>
      </w:r>
      <w:proofErr w:type="spellStart"/>
      <w:r w:rsidRPr="00FA3F9C">
        <w:rPr>
          <w:rFonts w:ascii="Arial" w:hAnsi="Arial" w:cs="Arial"/>
          <w:sz w:val="24"/>
          <w:szCs w:val="24"/>
          <w:lang w:val="es-ES"/>
        </w:rPr>
        <w:t>Cianflone</w:t>
      </w:r>
      <w:proofErr w:type="spellEnd"/>
      <w:r w:rsidRPr="00FA3F9C">
        <w:rPr>
          <w:rFonts w:ascii="Arial" w:hAnsi="Arial" w:cs="Arial"/>
          <w:sz w:val="24"/>
          <w:szCs w:val="24"/>
          <w:lang w:val="es-ES"/>
        </w:rPr>
        <w:t xml:space="preserve"> Katherine, Gao Y, et al. </w:t>
      </w:r>
      <w:r w:rsidRPr="00FA3F9C">
        <w:rPr>
          <w:rFonts w:ascii="Arial" w:hAnsi="Arial" w:cs="Arial"/>
          <w:sz w:val="24"/>
          <w:szCs w:val="24"/>
        </w:rPr>
        <w:t xml:space="preserve">Cardiovascular and metabolic risk profile and acylation-stimulating protein levels in children with </w:t>
      </w:r>
      <w:proofErr w:type="spellStart"/>
      <w:r w:rsidRPr="00FA3F9C">
        <w:rPr>
          <w:rFonts w:ascii="Arial" w:hAnsi="Arial" w:cs="Arial"/>
          <w:sz w:val="24"/>
          <w:szCs w:val="24"/>
        </w:rPr>
        <w:t>prader-willi</w:t>
      </w:r>
      <w:proofErr w:type="spellEnd"/>
      <w:r w:rsidRPr="00FA3F9C">
        <w:rPr>
          <w:rFonts w:ascii="Arial" w:hAnsi="Arial" w:cs="Arial"/>
          <w:sz w:val="24"/>
          <w:szCs w:val="24"/>
        </w:rPr>
        <w:t xml:space="preserve"> syndrome and effect of growth hormone treatment.  </w:t>
      </w:r>
      <w:r w:rsidRPr="00FA3F9C">
        <w:rPr>
          <w:rFonts w:ascii="Arial" w:hAnsi="Arial" w:cs="Arial"/>
          <w:i/>
          <w:sz w:val="24"/>
          <w:szCs w:val="24"/>
        </w:rPr>
        <w:t xml:space="preserve">J Clin Endocrinol </w:t>
      </w:r>
      <w:proofErr w:type="spellStart"/>
      <w:r w:rsidRPr="00FA3F9C">
        <w:rPr>
          <w:rFonts w:ascii="Arial" w:hAnsi="Arial" w:cs="Arial"/>
          <w:i/>
          <w:sz w:val="24"/>
          <w:szCs w:val="24"/>
        </w:rPr>
        <w:t>Metab</w:t>
      </w:r>
      <w:proofErr w:type="spellEnd"/>
      <w:r w:rsidRPr="00FA3F9C">
        <w:rPr>
          <w:rFonts w:ascii="Arial" w:hAnsi="Arial" w:cs="Arial"/>
          <w:sz w:val="24"/>
          <w:szCs w:val="24"/>
        </w:rPr>
        <w:t>, 2010;95(4):1758-1766</w:t>
      </w:r>
    </w:p>
    <w:p w14:paraId="23BE5148" w14:textId="77777777" w:rsidR="002641D2" w:rsidRPr="00FA3F9C" w:rsidRDefault="002641D2" w:rsidP="002641D2">
      <w:pPr>
        <w:numPr>
          <w:ilvl w:val="1"/>
          <w:numId w:val="232"/>
        </w:numPr>
        <w:spacing w:before="100" w:beforeAutospacing="1" w:after="100" w:afterAutospacing="1" w:line="240" w:lineRule="auto"/>
        <w:rPr>
          <w:rFonts w:ascii="Arial" w:eastAsia="Times New Roman" w:hAnsi="Arial" w:cs="Arial"/>
          <w:color w:val="000000"/>
          <w:sz w:val="24"/>
          <w:szCs w:val="24"/>
        </w:rPr>
      </w:pPr>
      <w:proofErr w:type="spellStart"/>
      <w:r w:rsidRPr="00FA3F9C">
        <w:rPr>
          <w:rFonts w:ascii="Arial" w:hAnsi="Arial" w:cs="Arial"/>
          <w:sz w:val="24"/>
          <w:szCs w:val="24"/>
        </w:rPr>
        <w:t>Siemensma</w:t>
      </w:r>
      <w:proofErr w:type="spellEnd"/>
      <w:r w:rsidRPr="00FA3F9C">
        <w:rPr>
          <w:rFonts w:ascii="Arial" w:hAnsi="Arial" w:cs="Arial"/>
          <w:sz w:val="24"/>
          <w:szCs w:val="24"/>
        </w:rPr>
        <w:t xml:space="preserve"> EPC, et al.  Beneficial effects of growth hormone treatment on cognition in children with </w:t>
      </w:r>
      <w:proofErr w:type="spellStart"/>
      <w:r w:rsidRPr="00FA3F9C">
        <w:rPr>
          <w:rFonts w:ascii="Arial" w:hAnsi="Arial" w:cs="Arial"/>
          <w:sz w:val="24"/>
          <w:szCs w:val="24"/>
        </w:rPr>
        <w:t>prader-willi</w:t>
      </w:r>
      <w:proofErr w:type="spellEnd"/>
      <w:r w:rsidRPr="00FA3F9C">
        <w:rPr>
          <w:rFonts w:ascii="Arial" w:hAnsi="Arial" w:cs="Arial"/>
          <w:sz w:val="24"/>
          <w:szCs w:val="24"/>
        </w:rPr>
        <w:t xml:space="preserve"> syndrome: a randomized controlled trial and longitudinal study.  </w:t>
      </w:r>
      <w:r w:rsidRPr="00FA3F9C">
        <w:rPr>
          <w:rFonts w:ascii="Arial" w:hAnsi="Arial" w:cs="Arial"/>
          <w:i/>
          <w:sz w:val="24"/>
          <w:szCs w:val="24"/>
        </w:rPr>
        <w:t xml:space="preserve">J Clin Endocrinol </w:t>
      </w:r>
      <w:proofErr w:type="spellStart"/>
      <w:r w:rsidRPr="00FA3F9C">
        <w:rPr>
          <w:rFonts w:ascii="Arial" w:hAnsi="Arial" w:cs="Arial"/>
          <w:i/>
          <w:sz w:val="24"/>
          <w:szCs w:val="24"/>
        </w:rPr>
        <w:t>Metab</w:t>
      </w:r>
      <w:proofErr w:type="spellEnd"/>
      <w:r w:rsidRPr="00FA3F9C">
        <w:rPr>
          <w:rFonts w:ascii="Arial" w:hAnsi="Arial" w:cs="Arial"/>
          <w:sz w:val="24"/>
          <w:szCs w:val="24"/>
        </w:rPr>
        <w:t xml:space="preserve">, 2012; 97(7).  </w:t>
      </w:r>
    </w:p>
    <w:p w14:paraId="57410DB3" w14:textId="77777777" w:rsidR="002641D2" w:rsidRPr="00FA3F9C" w:rsidRDefault="002641D2" w:rsidP="002641D2">
      <w:pPr>
        <w:numPr>
          <w:ilvl w:val="1"/>
          <w:numId w:val="232"/>
        </w:numPr>
        <w:spacing w:before="100" w:beforeAutospacing="1" w:after="100" w:afterAutospacing="1" w:line="240" w:lineRule="auto"/>
        <w:rPr>
          <w:rFonts w:ascii="Arial" w:eastAsia="Times New Roman" w:hAnsi="Arial" w:cs="Arial"/>
          <w:color w:val="000000"/>
          <w:sz w:val="24"/>
          <w:szCs w:val="24"/>
        </w:rPr>
      </w:pPr>
      <w:proofErr w:type="spellStart"/>
      <w:r w:rsidRPr="00FA3F9C">
        <w:rPr>
          <w:rFonts w:ascii="Arial" w:eastAsia="Times New Roman" w:hAnsi="Arial" w:cs="Arial"/>
          <w:color w:val="000000"/>
          <w:sz w:val="24"/>
          <w:szCs w:val="24"/>
        </w:rPr>
        <w:t>Noordam</w:t>
      </w:r>
      <w:proofErr w:type="spellEnd"/>
      <w:r w:rsidRPr="00FA3F9C">
        <w:rPr>
          <w:rFonts w:ascii="Arial" w:eastAsia="Times New Roman" w:hAnsi="Arial" w:cs="Arial"/>
          <w:color w:val="000000"/>
          <w:sz w:val="24"/>
          <w:szCs w:val="24"/>
        </w:rPr>
        <w:t xml:space="preserve"> C, et al.  Growth hormone treatment in children with </w:t>
      </w:r>
      <w:proofErr w:type="spellStart"/>
      <w:r w:rsidRPr="00FA3F9C">
        <w:rPr>
          <w:rFonts w:ascii="Arial" w:eastAsia="Times New Roman" w:hAnsi="Arial" w:cs="Arial"/>
          <w:color w:val="000000"/>
          <w:sz w:val="24"/>
          <w:szCs w:val="24"/>
        </w:rPr>
        <w:t>noonan’s</w:t>
      </w:r>
      <w:proofErr w:type="spellEnd"/>
      <w:r w:rsidRPr="00FA3F9C">
        <w:rPr>
          <w:rFonts w:ascii="Arial" w:eastAsia="Times New Roman" w:hAnsi="Arial" w:cs="Arial"/>
          <w:color w:val="000000"/>
          <w:sz w:val="24"/>
          <w:szCs w:val="24"/>
        </w:rPr>
        <w:t xml:space="preserve"> syndrome: </w:t>
      </w:r>
      <w:proofErr w:type="gramStart"/>
      <w:r w:rsidRPr="00FA3F9C">
        <w:rPr>
          <w:rFonts w:ascii="Arial" w:eastAsia="Times New Roman" w:hAnsi="Arial" w:cs="Arial"/>
          <w:color w:val="000000"/>
          <w:sz w:val="24"/>
          <w:szCs w:val="24"/>
        </w:rPr>
        <w:t>four year</w:t>
      </w:r>
      <w:proofErr w:type="gramEnd"/>
      <w:r w:rsidRPr="00FA3F9C">
        <w:rPr>
          <w:rFonts w:ascii="Arial" w:eastAsia="Times New Roman" w:hAnsi="Arial" w:cs="Arial"/>
          <w:color w:val="000000"/>
          <w:sz w:val="24"/>
          <w:szCs w:val="24"/>
        </w:rPr>
        <w:t xml:space="preserve"> results of a partly controlled trial.  </w:t>
      </w:r>
      <w:r w:rsidRPr="00FA3F9C">
        <w:rPr>
          <w:rFonts w:ascii="Arial" w:eastAsia="Times New Roman" w:hAnsi="Arial" w:cs="Arial"/>
          <w:i/>
          <w:color w:val="000000"/>
          <w:sz w:val="24"/>
          <w:szCs w:val="24"/>
        </w:rPr>
        <w:t xml:space="preserve">Acta </w:t>
      </w:r>
      <w:proofErr w:type="spellStart"/>
      <w:r w:rsidRPr="00FA3F9C">
        <w:rPr>
          <w:rFonts w:ascii="Arial" w:eastAsia="Times New Roman" w:hAnsi="Arial" w:cs="Arial"/>
          <w:i/>
          <w:color w:val="000000"/>
          <w:sz w:val="24"/>
          <w:szCs w:val="24"/>
        </w:rPr>
        <w:t>Paediatr</w:t>
      </w:r>
      <w:proofErr w:type="spellEnd"/>
      <w:r w:rsidRPr="00FA3F9C">
        <w:rPr>
          <w:rFonts w:ascii="Arial" w:eastAsia="Times New Roman" w:hAnsi="Arial" w:cs="Arial"/>
          <w:color w:val="000000"/>
          <w:sz w:val="24"/>
          <w:szCs w:val="24"/>
        </w:rPr>
        <w:t>, 2001; 90:889-894.</w:t>
      </w:r>
    </w:p>
    <w:p w14:paraId="75B75DFF" w14:textId="77777777" w:rsidR="002641D2" w:rsidRPr="00FA3F9C" w:rsidRDefault="002641D2" w:rsidP="002641D2">
      <w:pPr>
        <w:numPr>
          <w:ilvl w:val="1"/>
          <w:numId w:val="232"/>
        </w:numPr>
        <w:spacing w:before="100" w:beforeAutospacing="1" w:after="100" w:afterAutospacing="1"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 xml:space="preserve">Wales PW, Nasr A, de Silva N, Yamada J. Human growth hormone and glutamine for patients with short bowel syndrome.  </w:t>
      </w:r>
      <w:r w:rsidRPr="00FA3F9C">
        <w:rPr>
          <w:rFonts w:ascii="Arial" w:eastAsia="Times New Roman" w:hAnsi="Arial" w:cs="Arial"/>
          <w:i/>
          <w:iCs/>
          <w:color w:val="000000"/>
          <w:sz w:val="24"/>
          <w:szCs w:val="24"/>
        </w:rPr>
        <w:t xml:space="preserve">Cochrane Database of Systematic Reviews </w:t>
      </w:r>
      <w:r w:rsidRPr="00FA3F9C">
        <w:rPr>
          <w:rFonts w:ascii="Arial" w:eastAsia="Times New Roman" w:hAnsi="Arial" w:cs="Arial"/>
          <w:color w:val="000000"/>
          <w:sz w:val="24"/>
          <w:szCs w:val="24"/>
        </w:rPr>
        <w:t>2010, Issue 6.</w:t>
      </w:r>
    </w:p>
    <w:p w14:paraId="169DF4E7" w14:textId="77777777" w:rsidR="002641D2" w:rsidRPr="00FA3F9C" w:rsidRDefault="002641D2" w:rsidP="002641D2">
      <w:pPr>
        <w:numPr>
          <w:ilvl w:val="1"/>
          <w:numId w:val="232"/>
        </w:numPr>
        <w:spacing w:before="100" w:beforeAutospacing="1" w:after="100" w:afterAutospacing="1" w:line="240" w:lineRule="auto"/>
        <w:rPr>
          <w:rFonts w:ascii="Arial" w:eastAsia="Times New Roman" w:hAnsi="Arial" w:cs="Arial"/>
          <w:color w:val="000000"/>
          <w:sz w:val="24"/>
          <w:szCs w:val="24"/>
        </w:rPr>
      </w:pPr>
      <w:proofErr w:type="spellStart"/>
      <w:r w:rsidRPr="00FA3F9C">
        <w:rPr>
          <w:rFonts w:ascii="Arial" w:eastAsia="Times New Roman" w:hAnsi="Arial" w:cs="Arial"/>
          <w:color w:val="000000"/>
          <w:sz w:val="24"/>
          <w:szCs w:val="24"/>
        </w:rPr>
        <w:t>Rovera</w:t>
      </w:r>
      <w:proofErr w:type="spellEnd"/>
      <w:r w:rsidRPr="00FA3F9C">
        <w:rPr>
          <w:rFonts w:ascii="Arial" w:eastAsia="Times New Roman" w:hAnsi="Arial" w:cs="Arial"/>
          <w:color w:val="000000"/>
          <w:sz w:val="24"/>
          <w:szCs w:val="24"/>
        </w:rPr>
        <w:t xml:space="preserve"> GM, Anderson S, </w:t>
      </w:r>
      <w:proofErr w:type="spellStart"/>
      <w:r w:rsidRPr="00FA3F9C">
        <w:rPr>
          <w:rFonts w:ascii="Arial" w:eastAsia="Times New Roman" w:hAnsi="Arial" w:cs="Arial"/>
          <w:color w:val="000000"/>
          <w:sz w:val="24"/>
          <w:szCs w:val="24"/>
        </w:rPr>
        <w:t>Camelio</w:t>
      </w:r>
      <w:proofErr w:type="spellEnd"/>
      <w:r w:rsidRPr="00FA3F9C">
        <w:rPr>
          <w:rFonts w:ascii="Arial" w:eastAsia="Times New Roman" w:hAnsi="Arial" w:cs="Arial"/>
          <w:color w:val="000000"/>
          <w:sz w:val="24"/>
          <w:szCs w:val="24"/>
        </w:rPr>
        <w:t xml:space="preserve"> N, et al.  Enhancing outcome in patients receiving long term TPN.  </w:t>
      </w:r>
      <w:r w:rsidRPr="00FA3F9C">
        <w:rPr>
          <w:rFonts w:ascii="Arial" w:eastAsia="Times New Roman" w:hAnsi="Arial" w:cs="Arial"/>
          <w:i/>
          <w:color w:val="000000"/>
          <w:sz w:val="24"/>
          <w:szCs w:val="24"/>
        </w:rPr>
        <w:t xml:space="preserve">Clin </w:t>
      </w:r>
      <w:proofErr w:type="spellStart"/>
      <w:r w:rsidRPr="00FA3F9C">
        <w:rPr>
          <w:rFonts w:ascii="Arial" w:eastAsia="Times New Roman" w:hAnsi="Arial" w:cs="Arial"/>
          <w:i/>
          <w:color w:val="000000"/>
          <w:sz w:val="24"/>
          <w:szCs w:val="24"/>
        </w:rPr>
        <w:t>Nutr</w:t>
      </w:r>
      <w:proofErr w:type="spellEnd"/>
      <w:r w:rsidRPr="00FA3F9C">
        <w:rPr>
          <w:rFonts w:ascii="Arial" w:eastAsia="Times New Roman" w:hAnsi="Arial" w:cs="Arial"/>
          <w:color w:val="000000"/>
          <w:sz w:val="24"/>
          <w:szCs w:val="24"/>
        </w:rPr>
        <w:t xml:space="preserve">. 2000;19:2. </w:t>
      </w:r>
    </w:p>
    <w:p w14:paraId="44C8FFBC" w14:textId="77777777" w:rsidR="002641D2" w:rsidRPr="00FA3F9C" w:rsidRDefault="002641D2" w:rsidP="002641D2">
      <w:pPr>
        <w:numPr>
          <w:ilvl w:val="1"/>
          <w:numId w:val="232"/>
        </w:numPr>
        <w:spacing w:before="100" w:beforeAutospacing="1" w:after="100" w:afterAutospacing="1"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 xml:space="preserve">Moyle et al.  Efficacy of selected treatments of HIV wasting: a systematic review and meta-analysis.  </w:t>
      </w:r>
      <w:r w:rsidRPr="00FA3F9C">
        <w:rPr>
          <w:rFonts w:ascii="Arial" w:eastAsia="Times New Roman" w:hAnsi="Arial" w:cs="Arial"/>
          <w:i/>
          <w:color w:val="000000"/>
          <w:sz w:val="24"/>
          <w:szCs w:val="24"/>
        </w:rPr>
        <w:t xml:space="preserve">J </w:t>
      </w:r>
      <w:proofErr w:type="spellStart"/>
      <w:r w:rsidRPr="00FA3F9C">
        <w:rPr>
          <w:rFonts w:ascii="Arial" w:eastAsia="Times New Roman" w:hAnsi="Arial" w:cs="Arial"/>
          <w:i/>
          <w:color w:val="000000"/>
          <w:sz w:val="24"/>
          <w:szCs w:val="24"/>
        </w:rPr>
        <w:t>Acquir</w:t>
      </w:r>
      <w:proofErr w:type="spellEnd"/>
      <w:r w:rsidRPr="00FA3F9C">
        <w:rPr>
          <w:rFonts w:ascii="Arial" w:eastAsia="Times New Roman" w:hAnsi="Arial" w:cs="Arial"/>
          <w:i/>
          <w:color w:val="000000"/>
          <w:sz w:val="24"/>
          <w:szCs w:val="24"/>
        </w:rPr>
        <w:t xml:space="preserve"> Immune </w:t>
      </w:r>
      <w:proofErr w:type="spellStart"/>
      <w:r w:rsidRPr="00FA3F9C">
        <w:rPr>
          <w:rFonts w:ascii="Arial" w:eastAsia="Times New Roman" w:hAnsi="Arial" w:cs="Arial"/>
          <w:i/>
          <w:color w:val="000000"/>
          <w:sz w:val="24"/>
          <w:szCs w:val="24"/>
        </w:rPr>
        <w:t>Defic</w:t>
      </w:r>
      <w:proofErr w:type="spellEnd"/>
      <w:r w:rsidRPr="00FA3F9C">
        <w:rPr>
          <w:rFonts w:ascii="Arial" w:eastAsia="Times New Roman" w:hAnsi="Arial" w:cs="Arial"/>
          <w:i/>
          <w:color w:val="000000"/>
          <w:sz w:val="24"/>
          <w:szCs w:val="24"/>
        </w:rPr>
        <w:t xml:space="preserve"> </w:t>
      </w:r>
      <w:proofErr w:type="spellStart"/>
      <w:r w:rsidRPr="00FA3F9C">
        <w:rPr>
          <w:rFonts w:ascii="Arial" w:eastAsia="Times New Roman" w:hAnsi="Arial" w:cs="Arial"/>
          <w:i/>
          <w:color w:val="000000"/>
          <w:sz w:val="24"/>
          <w:szCs w:val="24"/>
        </w:rPr>
        <w:t>Syndr</w:t>
      </w:r>
      <w:proofErr w:type="spellEnd"/>
      <w:r w:rsidRPr="00FA3F9C">
        <w:rPr>
          <w:rFonts w:ascii="Arial" w:eastAsia="Times New Roman" w:hAnsi="Arial" w:cs="Arial"/>
          <w:color w:val="000000"/>
          <w:sz w:val="24"/>
          <w:szCs w:val="24"/>
        </w:rPr>
        <w:t xml:space="preserve">, 2004; 37(5):s262-s267.  </w:t>
      </w:r>
    </w:p>
    <w:p w14:paraId="6E07A384" w14:textId="77777777" w:rsidR="002641D2" w:rsidRPr="00FA3F9C" w:rsidRDefault="002641D2" w:rsidP="00C44CCC">
      <w:pPr>
        <w:rPr>
          <w:rFonts w:ascii="Arial" w:hAnsi="Arial" w:cs="Arial"/>
          <w:b/>
          <w:sz w:val="24"/>
          <w:szCs w:val="24"/>
        </w:rPr>
      </w:pPr>
      <w:r w:rsidRPr="00FA3F9C">
        <w:rPr>
          <w:rFonts w:ascii="Arial" w:hAnsi="Arial" w:cs="Arial"/>
          <w:b/>
          <w:sz w:val="24"/>
          <w:szCs w:val="24"/>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8010"/>
        <w:gridCol w:w="1548"/>
      </w:tblGrid>
      <w:tr w:rsidR="002641D2" w:rsidRPr="00FA3F9C" w14:paraId="04A9CAA4" w14:textId="77777777" w:rsidTr="00453CB7">
        <w:tc>
          <w:tcPr>
            <w:tcW w:w="1458" w:type="dxa"/>
            <w:shd w:val="clear" w:color="auto" w:fill="auto"/>
          </w:tcPr>
          <w:p w14:paraId="3618DF16" w14:textId="77777777" w:rsidR="002641D2" w:rsidRPr="00FA3F9C" w:rsidRDefault="002641D2" w:rsidP="00453CB7">
            <w:pPr>
              <w:spacing w:before="100" w:beforeAutospacing="1" w:after="100" w:afterAutospacing="1" w:line="240" w:lineRule="auto"/>
              <w:jc w:val="center"/>
              <w:rPr>
                <w:rFonts w:ascii="Arial" w:eastAsia="Times New Roman" w:hAnsi="Arial" w:cs="Arial"/>
                <w:b/>
                <w:color w:val="000000"/>
                <w:sz w:val="24"/>
                <w:szCs w:val="24"/>
              </w:rPr>
            </w:pPr>
            <w:r w:rsidRPr="00FA3F9C">
              <w:rPr>
                <w:rFonts w:ascii="Arial" w:eastAsia="Times New Roman" w:hAnsi="Arial" w:cs="Arial"/>
                <w:b/>
                <w:color w:val="000000"/>
                <w:sz w:val="24"/>
                <w:szCs w:val="24"/>
              </w:rPr>
              <w:t>Date</w:t>
            </w:r>
          </w:p>
        </w:tc>
        <w:tc>
          <w:tcPr>
            <w:tcW w:w="8010" w:type="dxa"/>
            <w:shd w:val="clear" w:color="auto" w:fill="auto"/>
          </w:tcPr>
          <w:p w14:paraId="73332AA0" w14:textId="77777777" w:rsidR="002641D2" w:rsidRPr="00FA3F9C" w:rsidRDefault="002641D2" w:rsidP="00453CB7">
            <w:pPr>
              <w:spacing w:before="100" w:beforeAutospacing="1" w:after="100" w:afterAutospacing="1" w:line="240" w:lineRule="auto"/>
              <w:jc w:val="center"/>
              <w:rPr>
                <w:rFonts w:ascii="Arial" w:eastAsia="Times New Roman" w:hAnsi="Arial" w:cs="Arial"/>
                <w:b/>
                <w:color w:val="000000"/>
                <w:sz w:val="24"/>
                <w:szCs w:val="24"/>
              </w:rPr>
            </w:pPr>
            <w:r w:rsidRPr="00FA3F9C">
              <w:rPr>
                <w:rFonts w:ascii="Arial" w:eastAsia="Times New Roman" w:hAnsi="Arial" w:cs="Arial"/>
                <w:b/>
                <w:color w:val="000000"/>
                <w:sz w:val="24"/>
                <w:szCs w:val="24"/>
              </w:rPr>
              <w:t>Changes</w:t>
            </w:r>
          </w:p>
        </w:tc>
        <w:tc>
          <w:tcPr>
            <w:tcW w:w="1548" w:type="dxa"/>
            <w:shd w:val="clear" w:color="auto" w:fill="auto"/>
          </w:tcPr>
          <w:p w14:paraId="0CF741F3" w14:textId="77777777" w:rsidR="002641D2" w:rsidRPr="00FA3F9C" w:rsidRDefault="002641D2" w:rsidP="00453CB7">
            <w:pPr>
              <w:spacing w:before="100" w:beforeAutospacing="1" w:after="100" w:afterAutospacing="1" w:line="240" w:lineRule="auto"/>
              <w:jc w:val="center"/>
              <w:rPr>
                <w:rFonts w:ascii="Arial" w:eastAsia="Times New Roman" w:hAnsi="Arial" w:cs="Arial"/>
                <w:b/>
                <w:color w:val="000000"/>
                <w:sz w:val="24"/>
                <w:szCs w:val="24"/>
              </w:rPr>
            </w:pPr>
            <w:r w:rsidRPr="00FA3F9C">
              <w:rPr>
                <w:rFonts w:ascii="Arial" w:eastAsia="Times New Roman" w:hAnsi="Arial" w:cs="Arial"/>
                <w:b/>
                <w:color w:val="000000"/>
                <w:sz w:val="24"/>
                <w:szCs w:val="24"/>
              </w:rPr>
              <w:t>Pharmacist</w:t>
            </w:r>
          </w:p>
        </w:tc>
      </w:tr>
      <w:tr w:rsidR="002641D2" w:rsidRPr="00FA3F9C" w14:paraId="06DBD2F6" w14:textId="77777777" w:rsidTr="00453CB7">
        <w:tc>
          <w:tcPr>
            <w:tcW w:w="1458" w:type="dxa"/>
            <w:shd w:val="clear" w:color="auto" w:fill="auto"/>
          </w:tcPr>
          <w:p w14:paraId="00CFB45F" w14:textId="77777777" w:rsidR="002641D2" w:rsidRPr="00FA3F9C" w:rsidRDefault="002641D2" w:rsidP="00453CB7">
            <w:pPr>
              <w:spacing w:before="100" w:beforeAutospacing="1" w:after="100" w:afterAutospacing="1" w:line="240" w:lineRule="auto"/>
              <w:jc w:val="center"/>
              <w:rPr>
                <w:rFonts w:ascii="Arial" w:eastAsia="Times New Roman" w:hAnsi="Arial" w:cs="Arial"/>
                <w:color w:val="000000"/>
                <w:sz w:val="24"/>
                <w:szCs w:val="24"/>
              </w:rPr>
            </w:pPr>
            <w:r w:rsidRPr="00FA3F9C">
              <w:rPr>
                <w:rFonts w:ascii="Arial" w:eastAsia="Times New Roman" w:hAnsi="Arial" w:cs="Arial"/>
                <w:color w:val="000000"/>
                <w:sz w:val="24"/>
                <w:szCs w:val="24"/>
              </w:rPr>
              <w:t>7/5/2012</w:t>
            </w:r>
          </w:p>
        </w:tc>
        <w:tc>
          <w:tcPr>
            <w:tcW w:w="8010" w:type="dxa"/>
            <w:shd w:val="clear" w:color="auto" w:fill="auto"/>
          </w:tcPr>
          <w:p w14:paraId="3B475C3B" w14:textId="77777777" w:rsidR="002641D2" w:rsidRPr="00FA3F9C" w:rsidRDefault="002641D2" w:rsidP="00453CB7">
            <w:pPr>
              <w:spacing w:before="100" w:beforeAutospacing="1" w:after="100" w:afterAutospacing="1"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 xml:space="preserve">Document Created </w:t>
            </w:r>
          </w:p>
        </w:tc>
        <w:tc>
          <w:tcPr>
            <w:tcW w:w="1548" w:type="dxa"/>
            <w:shd w:val="clear" w:color="auto" w:fill="auto"/>
          </w:tcPr>
          <w:p w14:paraId="3BAA145C" w14:textId="77777777" w:rsidR="002641D2" w:rsidRPr="00FA3F9C" w:rsidRDefault="002641D2" w:rsidP="00453CB7">
            <w:pPr>
              <w:spacing w:before="100" w:beforeAutospacing="1" w:after="100" w:afterAutospacing="1" w:line="240" w:lineRule="auto"/>
              <w:jc w:val="center"/>
              <w:rPr>
                <w:rFonts w:ascii="Arial" w:eastAsia="Times New Roman" w:hAnsi="Arial" w:cs="Arial"/>
                <w:color w:val="000000"/>
                <w:sz w:val="24"/>
                <w:szCs w:val="24"/>
              </w:rPr>
            </w:pPr>
            <w:r w:rsidRPr="00FA3F9C">
              <w:rPr>
                <w:rFonts w:ascii="Arial" w:eastAsia="Times New Roman" w:hAnsi="Arial" w:cs="Arial"/>
                <w:color w:val="000000"/>
                <w:sz w:val="24"/>
                <w:szCs w:val="24"/>
              </w:rPr>
              <w:t>CK</w:t>
            </w:r>
          </w:p>
        </w:tc>
      </w:tr>
      <w:tr w:rsidR="002641D2" w:rsidRPr="00FA3F9C" w14:paraId="01841467" w14:textId="77777777" w:rsidTr="00453CB7">
        <w:tc>
          <w:tcPr>
            <w:tcW w:w="1458" w:type="dxa"/>
            <w:shd w:val="clear" w:color="auto" w:fill="auto"/>
          </w:tcPr>
          <w:p w14:paraId="3A38CA0F" w14:textId="77777777" w:rsidR="002641D2" w:rsidRPr="00FA3F9C" w:rsidRDefault="002641D2" w:rsidP="00453CB7">
            <w:pPr>
              <w:spacing w:before="100" w:beforeAutospacing="1" w:after="100" w:afterAutospacing="1" w:line="240" w:lineRule="auto"/>
              <w:jc w:val="center"/>
              <w:rPr>
                <w:rFonts w:ascii="Arial" w:eastAsia="Times New Roman" w:hAnsi="Arial" w:cs="Arial"/>
                <w:color w:val="000000"/>
                <w:sz w:val="24"/>
                <w:szCs w:val="24"/>
              </w:rPr>
            </w:pPr>
            <w:r w:rsidRPr="00FA3F9C">
              <w:rPr>
                <w:rFonts w:ascii="Arial" w:eastAsia="Times New Roman" w:hAnsi="Arial" w:cs="Arial"/>
                <w:color w:val="000000"/>
                <w:sz w:val="24"/>
                <w:szCs w:val="24"/>
              </w:rPr>
              <w:t>7/30/12</w:t>
            </w:r>
          </w:p>
        </w:tc>
        <w:tc>
          <w:tcPr>
            <w:tcW w:w="8010" w:type="dxa"/>
            <w:shd w:val="clear" w:color="auto" w:fill="auto"/>
          </w:tcPr>
          <w:p w14:paraId="2FAC7F1C" w14:textId="77777777" w:rsidR="002641D2" w:rsidRPr="00FA3F9C" w:rsidRDefault="002641D2" w:rsidP="00453CB7">
            <w:pPr>
              <w:spacing w:before="100" w:beforeAutospacing="1" w:after="100" w:afterAutospacing="1"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Document updated to include committee agreement and shows gray that indicates not covered.</w:t>
            </w:r>
          </w:p>
        </w:tc>
        <w:tc>
          <w:tcPr>
            <w:tcW w:w="1548" w:type="dxa"/>
            <w:shd w:val="clear" w:color="auto" w:fill="auto"/>
          </w:tcPr>
          <w:p w14:paraId="079530F6" w14:textId="77777777" w:rsidR="002641D2" w:rsidRPr="00FA3F9C" w:rsidRDefault="002641D2" w:rsidP="00453CB7">
            <w:pPr>
              <w:spacing w:before="100" w:beforeAutospacing="1" w:after="100" w:afterAutospacing="1" w:line="240" w:lineRule="auto"/>
              <w:jc w:val="center"/>
              <w:rPr>
                <w:rFonts w:ascii="Arial" w:eastAsia="Times New Roman" w:hAnsi="Arial" w:cs="Arial"/>
                <w:color w:val="000000"/>
                <w:sz w:val="24"/>
                <w:szCs w:val="24"/>
              </w:rPr>
            </w:pPr>
            <w:r w:rsidRPr="00FA3F9C">
              <w:rPr>
                <w:rFonts w:ascii="Arial" w:eastAsia="Times New Roman" w:hAnsi="Arial" w:cs="Arial"/>
                <w:color w:val="000000"/>
                <w:sz w:val="24"/>
                <w:szCs w:val="24"/>
              </w:rPr>
              <w:t>JJ</w:t>
            </w:r>
          </w:p>
        </w:tc>
      </w:tr>
      <w:tr w:rsidR="002641D2" w:rsidRPr="00FA3F9C" w14:paraId="04234691" w14:textId="77777777" w:rsidTr="00453CB7">
        <w:tc>
          <w:tcPr>
            <w:tcW w:w="1458" w:type="dxa"/>
            <w:shd w:val="clear" w:color="auto" w:fill="auto"/>
          </w:tcPr>
          <w:p w14:paraId="430F6E63" w14:textId="77777777" w:rsidR="002641D2" w:rsidRPr="00FA3F9C" w:rsidRDefault="002641D2" w:rsidP="00453CB7">
            <w:pPr>
              <w:spacing w:before="100" w:beforeAutospacing="1" w:after="100" w:afterAutospacing="1" w:line="240" w:lineRule="auto"/>
              <w:jc w:val="center"/>
              <w:rPr>
                <w:rFonts w:ascii="Arial" w:eastAsia="Times New Roman" w:hAnsi="Arial" w:cs="Arial"/>
                <w:color w:val="000000"/>
                <w:sz w:val="24"/>
                <w:szCs w:val="24"/>
              </w:rPr>
            </w:pPr>
            <w:r w:rsidRPr="00FA3F9C">
              <w:rPr>
                <w:rFonts w:ascii="Arial" w:eastAsia="Times New Roman" w:hAnsi="Arial" w:cs="Arial"/>
                <w:color w:val="000000"/>
                <w:sz w:val="24"/>
                <w:szCs w:val="24"/>
              </w:rPr>
              <w:t>2-28-2017</w:t>
            </w:r>
          </w:p>
        </w:tc>
        <w:tc>
          <w:tcPr>
            <w:tcW w:w="8010" w:type="dxa"/>
            <w:shd w:val="clear" w:color="auto" w:fill="auto"/>
          </w:tcPr>
          <w:p w14:paraId="420AA3EF" w14:textId="77777777" w:rsidR="002641D2" w:rsidRPr="00FA3F9C" w:rsidRDefault="002641D2" w:rsidP="00453CB7">
            <w:pPr>
              <w:spacing w:before="100" w:beforeAutospacing="1" w:after="100" w:afterAutospacing="1"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I ungrayed part of the document regarding adults and kids with closed epiphyses.  They will need to have GH stimulation tests to confirm their diagnoses.</w:t>
            </w:r>
          </w:p>
        </w:tc>
        <w:tc>
          <w:tcPr>
            <w:tcW w:w="1548" w:type="dxa"/>
            <w:shd w:val="clear" w:color="auto" w:fill="auto"/>
          </w:tcPr>
          <w:p w14:paraId="2D3FD035" w14:textId="77777777" w:rsidR="002641D2" w:rsidRPr="00FA3F9C" w:rsidRDefault="002641D2" w:rsidP="00453CB7">
            <w:pPr>
              <w:spacing w:before="100" w:beforeAutospacing="1" w:after="100" w:afterAutospacing="1" w:line="240" w:lineRule="auto"/>
              <w:jc w:val="center"/>
              <w:rPr>
                <w:rFonts w:ascii="Arial" w:eastAsia="Times New Roman" w:hAnsi="Arial" w:cs="Arial"/>
                <w:color w:val="000000"/>
                <w:sz w:val="24"/>
                <w:szCs w:val="24"/>
              </w:rPr>
            </w:pPr>
            <w:r w:rsidRPr="00FA3F9C">
              <w:rPr>
                <w:rFonts w:ascii="Arial" w:eastAsia="Times New Roman" w:hAnsi="Arial" w:cs="Arial"/>
                <w:color w:val="000000"/>
                <w:sz w:val="24"/>
                <w:szCs w:val="24"/>
              </w:rPr>
              <w:t>JJ</w:t>
            </w:r>
          </w:p>
        </w:tc>
      </w:tr>
      <w:tr w:rsidR="002641D2" w:rsidRPr="00FA3F9C" w14:paraId="51B1D230" w14:textId="77777777" w:rsidTr="00453CB7">
        <w:tc>
          <w:tcPr>
            <w:tcW w:w="1458" w:type="dxa"/>
            <w:shd w:val="clear" w:color="auto" w:fill="auto"/>
          </w:tcPr>
          <w:p w14:paraId="5856DCD3" w14:textId="77777777" w:rsidR="002641D2" w:rsidRPr="00FA3F9C" w:rsidRDefault="002641D2" w:rsidP="00453CB7">
            <w:pPr>
              <w:spacing w:before="100" w:beforeAutospacing="1" w:after="100" w:afterAutospacing="1" w:line="240" w:lineRule="auto"/>
              <w:jc w:val="center"/>
              <w:rPr>
                <w:rFonts w:ascii="Arial" w:eastAsia="Times New Roman" w:hAnsi="Arial" w:cs="Arial"/>
                <w:color w:val="000000"/>
                <w:sz w:val="24"/>
                <w:szCs w:val="24"/>
              </w:rPr>
            </w:pPr>
            <w:r w:rsidRPr="00FA3F9C">
              <w:rPr>
                <w:rFonts w:ascii="Arial" w:eastAsia="Times New Roman" w:hAnsi="Arial" w:cs="Arial"/>
                <w:color w:val="000000"/>
                <w:sz w:val="24"/>
                <w:szCs w:val="24"/>
              </w:rPr>
              <w:t>3/10/2021</w:t>
            </w:r>
          </w:p>
        </w:tc>
        <w:tc>
          <w:tcPr>
            <w:tcW w:w="8010" w:type="dxa"/>
            <w:shd w:val="clear" w:color="auto" w:fill="auto"/>
          </w:tcPr>
          <w:p w14:paraId="176274AE" w14:textId="77777777" w:rsidR="002641D2" w:rsidRPr="00FA3F9C" w:rsidRDefault="002641D2" w:rsidP="00453CB7">
            <w:pPr>
              <w:spacing w:before="100" w:beforeAutospacing="1" w:after="100" w:afterAutospacing="1"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 xml:space="preserve">I reformatted to be clear </w:t>
            </w:r>
            <w:proofErr w:type="spellStart"/>
            <w:r w:rsidRPr="00FA3F9C">
              <w:rPr>
                <w:rFonts w:ascii="Arial" w:eastAsia="Times New Roman" w:hAnsi="Arial" w:cs="Arial"/>
                <w:color w:val="000000"/>
                <w:sz w:val="24"/>
                <w:szCs w:val="24"/>
              </w:rPr>
              <w:t>Norditropin</w:t>
            </w:r>
            <w:proofErr w:type="spellEnd"/>
            <w:r w:rsidRPr="00FA3F9C">
              <w:rPr>
                <w:rFonts w:ascii="Arial" w:eastAsia="Times New Roman" w:hAnsi="Arial" w:cs="Arial"/>
                <w:color w:val="000000"/>
                <w:sz w:val="24"/>
                <w:szCs w:val="24"/>
              </w:rPr>
              <w:t xml:space="preserve"> is the exclusive GH product for EBD.  No other changes.</w:t>
            </w:r>
          </w:p>
        </w:tc>
        <w:tc>
          <w:tcPr>
            <w:tcW w:w="1548" w:type="dxa"/>
            <w:shd w:val="clear" w:color="auto" w:fill="auto"/>
          </w:tcPr>
          <w:p w14:paraId="3722EB83" w14:textId="77777777" w:rsidR="002641D2" w:rsidRPr="00FA3F9C" w:rsidRDefault="002641D2" w:rsidP="00453CB7">
            <w:pPr>
              <w:spacing w:before="100" w:beforeAutospacing="1" w:after="100" w:afterAutospacing="1" w:line="240" w:lineRule="auto"/>
              <w:jc w:val="center"/>
              <w:rPr>
                <w:rFonts w:ascii="Arial" w:eastAsia="Times New Roman" w:hAnsi="Arial" w:cs="Arial"/>
                <w:color w:val="000000"/>
                <w:sz w:val="24"/>
                <w:szCs w:val="24"/>
              </w:rPr>
            </w:pPr>
            <w:r w:rsidRPr="00FA3F9C">
              <w:rPr>
                <w:rFonts w:ascii="Arial" w:eastAsia="Times New Roman" w:hAnsi="Arial" w:cs="Arial"/>
                <w:color w:val="000000"/>
                <w:sz w:val="24"/>
                <w:szCs w:val="24"/>
              </w:rPr>
              <w:t>JJ</w:t>
            </w:r>
          </w:p>
        </w:tc>
      </w:tr>
      <w:tr w:rsidR="002641D2" w:rsidRPr="00FA3F9C" w14:paraId="5D0D59E9" w14:textId="77777777" w:rsidTr="00453CB7">
        <w:tc>
          <w:tcPr>
            <w:tcW w:w="1458" w:type="dxa"/>
            <w:shd w:val="clear" w:color="auto" w:fill="auto"/>
          </w:tcPr>
          <w:p w14:paraId="2DD94DDC" w14:textId="77777777" w:rsidR="002641D2" w:rsidRPr="00FA3F9C" w:rsidRDefault="002641D2" w:rsidP="00453CB7">
            <w:pPr>
              <w:spacing w:before="100" w:beforeAutospacing="1" w:after="100" w:afterAutospacing="1" w:line="240" w:lineRule="auto"/>
              <w:jc w:val="center"/>
              <w:rPr>
                <w:rFonts w:ascii="Arial" w:eastAsia="Times New Roman" w:hAnsi="Arial" w:cs="Arial"/>
                <w:color w:val="000000"/>
                <w:sz w:val="24"/>
                <w:szCs w:val="24"/>
              </w:rPr>
            </w:pPr>
            <w:r w:rsidRPr="00FA3F9C">
              <w:rPr>
                <w:rFonts w:ascii="Arial" w:eastAsia="Times New Roman" w:hAnsi="Arial" w:cs="Arial"/>
                <w:color w:val="000000"/>
                <w:sz w:val="24"/>
                <w:szCs w:val="24"/>
              </w:rPr>
              <w:t>3/30/21</w:t>
            </w:r>
          </w:p>
        </w:tc>
        <w:tc>
          <w:tcPr>
            <w:tcW w:w="8010" w:type="dxa"/>
            <w:shd w:val="clear" w:color="auto" w:fill="auto"/>
          </w:tcPr>
          <w:p w14:paraId="048CC346" w14:textId="77777777" w:rsidR="002641D2" w:rsidRPr="00FA3F9C" w:rsidRDefault="002641D2" w:rsidP="00453CB7">
            <w:pPr>
              <w:spacing w:before="100" w:beforeAutospacing="1" w:after="100" w:afterAutospacing="1"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I applied these criteria to UAS Plan (</w:t>
            </w:r>
            <w:proofErr w:type="spellStart"/>
            <w:r w:rsidRPr="00FA3F9C">
              <w:rPr>
                <w:rFonts w:ascii="Arial" w:eastAsia="Times New Roman" w:hAnsi="Arial" w:cs="Arial"/>
                <w:color w:val="000000"/>
                <w:sz w:val="24"/>
                <w:szCs w:val="24"/>
              </w:rPr>
              <w:t>Omnitropin</w:t>
            </w:r>
            <w:proofErr w:type="spellEnd"/>
            <w:r w:rsidRPr="00FA3F9C">
              <w:rPr>
                <w:rFonts w:ascii="Arial" w:eastAsia="Times New Roman" w:hAnsi="Arial" w:cs="Arial"/>
                <w:color w:val="000000"/>
                <w:sz w:val="24"/>
                <w:szCs w:val="24"/>
              </w:rPr>
              <w:t xml:space="preserve">). </w:t>
            </w:r>
          </w:p>
        </w:tc>
        <w:tc>
          <w:tcPr>
            <w:tcW w:w="1548" w:type="dxa"/>
            <w:shd w:val="clear" w:color="auto" w:fill="auto"/>
          </w:tcPr>
          <w:p w14:paraId="272BF972" w14:textId="77777777" w:rsidR="002641D2" w:rsidRPr="00FA3F9C" w:rsidRDefault="002641D2" w:rsidP="00453CB7">
            <w:pPr>
              <w:spacing w:before="100" w:beforeAutospacing="1" w:after="100" w:afterAutospacing="1" w:line="240" w:lineRule="auto"/>
              <w:jc w:val="center"/>
              <w:rPr>
                <w:rFonts w:ascii="Arial" w:eastAsia="Times New Roman" w:hAnsi="Arial" w:cs="Arial"/>
                <w:color w:val="000000"/>
                <w:sz w:val="24"/>
                <w:szCs w:val="24"/>
              </w:rPr>
            </w:pPr>
            <w:r w:rsidRPr="00FA3F9C">
              <w:rPr>
                <w:rFonts w:ascii="Arial" w:eastAsia="Times New Roman" w:hAnsi="Arial" w:cs="Arial"/>
                <w:color w:val="000000"/>
                <w:sz w:val="24"/>
                <w:szCs w:val="24"/>
              </w:rPr>
              <w:t>JJ</w:t>
            </w:r>
          </w:p>
        </w:tc>
      </w:tr>
    </w:tbl>
    <w:p w14:paraId="643F3521" w14:textId="77777777" w:rsidR="002641D2" w:rsidRPr="00FA3F9C" w:rsidRDefault="002641D2" w:rsidP="004E2FD1">
      <w:pPr>
        <w:spacing w:before="100" w:beforeAutospacing="1" w:after="100" w:afterAutospacing="1" w:line="240" w:lineRule="auto"/>
        <w:ind w:left="1440"/>
        <w:rPr>
          <w:rFonts w:ascii="Arial" w:eastAsia="Times New Roman" w:hAnsi="Arial" w:cs="Arial"/>
          <w:color w:val="000000"/>
          <w:sz w:val="24"/>
          <w:szCs w:val="24"/>
        </w:rPr>
      </w:pPr>
    </w:p>
    <w:p w14:paraId="03EAA5AF" w14:textId="77777777" w:rsidR="002641D2" w:rsidRPr="00FA3F9C" w:rsidRDefault="002641D2" w:rsidP="00A83AED">
      <w:pPr>
        <w:spacing w:after="0" w:line="240" w:lineRule="auto"/>
        <w:jc w:val="center"/>
        <w:rPr>
          <w:rFonts w:ascii="Arial" w:eastAsia="Times New Roman" w:hAnsi="Arial" w:cs="Arial"/>
          <w:b/>
          <w:sz w:val="24"/>
          <w:szCs w:val="24"/>
        </w:rPr>
      </w:pPr>
      <w:bookmarkStart w:id="135" w:name="_Toc106369817"/>
      <w:r w:rsidRPr="005E2908">
        <w:rPr>
          <w:rStyle w:val="Heading2Char"/>
          <w:rFonts w:eastAsiaTheme="minorHAnsi"/>
        </w:rPr>
        <w:t>Factors for Hemophilia</w:t>
      </w:r>
      <w:bookmarkEnd w:id="135"/>
      <w:r w:rsidRPr="00FA3F9C">
        <w:rPr>
          <w:rFonts w:ascii="Arial" w:eastAsia="Times New Roman" w:hAnsi="Arial" w:cs="Arial"/>
          <w:b/>
          <w:sz w:val="24"/>
          <w:szCs w:val="24"/>
        </w:rPr>
        <w:t xml:space="preserve">—Currently all the factors are covered per EBRx </w:t>
      </w:r>
      <w:proofErr w:type="gramStart"/>
      <w:r w:rsidRPr="00FA3F9C">
        <w:rPr>
          <w:rFonts w:ascii="Arial" w:eastAsia="Times New Roman" w:hAnsi="Arial" w:cs="Arial"/>
          <w:b/>
          <w:sz w:val="24"/>
          <w:szCs w:val="24"/>
        </w:rPr>
        <w:t>as long as</w:t>
      </w:r>
      <w:proofErr w:type="gramEnd"/>
      <w:r w:rsidRPr="00FA3F9C">
        <w:rPr>
          <w:rFonts w:ascii="Arial" w:eastAsia="Times New Roman" w:hAnsi="Arial" w:cs="Arial"/>
          <w:b/>
          <w:sz w:val="24"/>
          <w:szCs w:val="24"/>
        </w:rPr>
        <w:t xml:space="preserve"> they have the correct diagnosis for the drug they are trying to access.  This is the only criteria for now.</w:t>
      </w:r>
    </w:p>
    <w:tbl>
      <w:tblPr>
        <w:tblStyle w:val="TableGrid"/>
        <w:tblW w:w="13495" w:type="dxa"/>
        <w:jc w:val="center"/>
        <w:tblLayout w:type="fixed"/>
        <w:tblLook w:val="04A0" w:firstRow="1" w:lastRow="0" w:firstColumn="1" w:lastColumn="0" w:noHBand="0" w:noVBand="1"/>
      </w:tblPr>
      <w:tblGrid>
        <w:gridCol w:w="2425"/>
        <w:gridCol w:w="2737"/>
        <w:gridCol w:w="236"/>
        <w:gridCol w:w="4227"/>
        <w:gridCol w:w="2186"/>
        <w:gridCol w:w="725"/>
        <w:gridCol w:w="959"/>
      </w:tblGrid>
      <w:tr w:rsidR="002641D2" w:rsidRPr="00FA3F9C" w14:paraId="0348B9EE" w14:textId="77777777" w:rsidTr="008310B0">
        <w:trPr>
          <w:jc w:val="center"/>
        </w:trPr>
        <w:tc>
          <w:tcPr>
            <w:tcW w:w="2425" w:type="dxa"/>
            <w:tcBorders>
              <w:bottom w:val="single" w:sz="4" w:space="0" w:color="auto"/>
            </w:tcBorders>
            <w:shd w:val="clear" w:color="auto" w:fill="A6A6A6" w:themeFill="background1" w:themeFillShade="A6"/>
          </w:tcPr>
          <w:p w14:paraId="5BE2CA1E" w14:textId="77777777" w:rsidR="002641D2" w:rsidRPr="00FA3F9C" w:rsidRDefault="002641D2" w:rsidP="0015714C">
            <w:pPr>
              <w:rPr>
                <w:rFonts w:ascii="Arial" w:eastAsia="Times New Roman" w:hAnsi="Arial" w:cs="Arial"/>
                <w:b/>
                <w:sz w:val="24"/>
                <w:szCs w:val="24"/>
              </w:rPr>
            </w:pPr>
            <w:r w:rsidRPr="00FA3F9C">
              <w:rPr>
                <w:rFonts w:ascii="Arial" w:eastAsia="Times New Roman" w:hAnsi="Arial" w:cs="Arial"/>
                <w:b/>
                <w:sz w:val="24"/>
                <w:szCs w:val="24"/>
              </w:rPr>
              <w:t>Brand</w:t>
            </w:r>
          </w:p>
        </w:tc>
        <w:tc>
          <w:tcPr>
            <w:tcW w:w="2737" w:type="dxa"/>
            <w:tcBorders>
              <w:bottom w:val="single" w:sz="4" w:space="0" w:color="auto"/>
            </w:tcBorders>
            <w:shd w:val="clear" w:color="auto" w:fill="A6A6A6" w:themeFill="background1" w:themeFillShade="A6"/>
          </w:tcPr>
          <w:p w14:paraId="2670CCCC" w14:textId="77777777" w:rsidR="002641D2" w:rsidRPr="00FA3F9C" w:rsidRDefault="002641D2" w:rsidP="0015714C">
            <w:pPr>
              <w:rPr>
                <w:rFonts w:ascii="Arial" w:eastAsia="Times New Roman" w:hAnsi="Arial" w:cs="Arial"/>
                <w:b/>
                <w:sz w:val="24"/>
                <w:szCs w:val="24"/>
              </w:rPr>
            </w:pPr>
            <w:r w:rsidRPr="00FA3F9C">
              <w:rPr>
                <w:rFonts w:ascii="Arial" w:eastAsia="Times New Roman" w:hAnsi="Arial" w:cs="Arial"/>
                <w:b/>
                <w:sz w:val="24"/>
                <w:szCs w:val="24"/>
              </w:rPr>
              <w:t>Indication</w:t>
            </w:r>
          </w:p>
        </w:tc>
        <w:tc>
          <w:tcPr>
            <w:tcW w:w="236" w:type="dxa"/>
            <w:tcBorders>
              <w:bottom w:val="single" w:sz="4" w:space="0" w:color="auto"/>
            </w:tcBorders>
            <w:shd w:val="clear" w:color="auto" w:fill="A6A6A6" w:themeFill="background1" w:themeFillShade="A6"/>
          </w:tcPr>
          <w:p w14:paraId="506D772A" w14:textId="77777777" w:rsidR="002641D2" w:rsidRPr="00FA3F9C" w:rsidRDefault="002641D2" w:rsidP="0015714C">
            <w:pPr>
              <w:rPr>
                <w:rFonts w:ascii="Arial" w:eastAsia="Times New Roman" w:hAnsi="Arial" w:cs="Arial"/>
                <w:b/>
                <w:sz w:val="24"/>
                <w:szCs w:val="24"/>
              </w:rPr>
            </w:pPr>
          </w:p>
        </w:tc>
        <w:tc>
          <w:tcPr>
            <w:tcW w:w="4227" w:type="dxa"/>
            <w:tcBorders>
              <w:bottom w:val="single" w:sz="4" w:space="0" w:color="auto"/>
            </w:tcBorders>
            <w:shd w:val="clear" w:color="auto" w:fill="A6A6A6" w:themeFill="background1" w:themeFillShade="A6"/>
          </w:tcPr>
          <w:p w14:paraId="128163EC" w14:textId="77777777" w:rsidR="002641D2" w:rsidRPr="00FA3F9C" w:rsidRDefault="002641D2" w:rsidP="0015714C">
            <w:pPr>
              <w:rPr>
                <w:rFonts w:ascii="Arial" w:eastAsia="Times New Roman" w:hAnsi="Arial" w:cs="Arial"/>
                <w:b/>
                <w:sz w:val="24"/>
                <w:szCs w:val="24"/>
              </w:rPr>
            </w:pPr>
            <w:r w:rsidRPr="00FA3F9C">
              <w:rPr>
                <w:rFonts w:ascii="Arial" w:eastAsia="Times New Roman" w:hAnsi="Arial" w:cs="Arial"/>
                <w:b/>
                <w:sz w:val="24"/>
                <w:szCs w:val="24"/>
              </w:rPr>
              <w:t>Dosing</w:t>
            </w:r>
          </w:p>
        </w:tc>
        <w:tc>
          <w:tcPr>
            <w:tcW w:w="2186" w:type="dxa"/>
            <w:tcBorders>
              <w:bottom w:val="single" w:sz="4" w:space="0" w:color="auto"/>
            </w:tcBorders>
            <w:shd w:val="clear" w:color="auto" w:fill="A6A6A6" w:themeFill="background1" w:themeFillShade="A6"/>
          </w:tcPr>
          <w:p w14:paraId="08E30A29" w14:textId="77777777" w:rsidR="002641D2" w:rsidRPr="00FA3F9C" w:rsidRDefault="002641D2" w:rsidP="0015714C">
            <w:pPr>
              <w:rPr>
                <w:rFonts w:ascii="Arial" w:eastAsia="Times New Roman" w:hAnsi="Arial" w:cs="Arial"/>
                <w:b/>
                <w:sz w:val="24"/>
                <w:szCs w:val="24"/>
              </w:rPr>
            </w:pPr>
            <w:r w:rsidRPr="00FA3F9C">
              <w:rPr>
                <w:rFonts w:ascii="Arial" w:eastAsia="Times New Roman" w:hAnsi="Arial" w:cs="Arial"/>
                <w:b/>
                <w:sz w:val="24"/>
                <w:szCs w:val="24"/>
              </w:rPr>
              <w:t>Supplied As (units)</w:t>
            </w:r>
          </w:p>
        </w:tc>
        <w:tc>
          <w:tcPr>
            <w:tcW w:w="725" w:type="dxa"/>
            <w:tcBorders>
              <w:bottom w:val="single" w:sz="4" w:space="0" w:color="auto"/>
            </w:tcBorders>
            <w:shd w:val="clear" w:color="auto" w:fill="A6A6A6" w:themeFill="background1" w:themeFillShade="A6"/>
          </w:tcPr>
          <w:p w14:paraId="09098DEE" w14:textId="77777777" w:rsidR="002641D2" w:rsidRPr="00FA3F9C" w:rsidRDefault="002641D2" w:rsidP="0015714C">
            <w:pPr>
              <w:rPr>
                <w:rFonts w:ascii="Arial" w:eastAsia="Times New Roman" w:hAnsi="Arial" w:cs="Arial"/>
                <w:b/>
                <w:sz w:val="24"/>
                <w:szCs w:val="24"/>
              </w:rPr>
            </w:pPr>
            <w:r w:rsidRPr="00FA3F9C">
              <w:rPr>
                <w:rFonts w:ascii="Arial" w:eastAsia="Times New Roman" w:hAnsi="Arial" w:cs="Arial"/>
                <w:b/>
                <w:sz w:val="24"/>
                <w:szCs w:val="24"/>
              </w:rPr>
              <w:t>Unit Cost</w:t>
            </w:r>
          </w:p>
        </w:tc>
        <w:tc>
          <w:tcPr>
            <w:tcW w:w="959" w:type="dxa"/>
            <w:tcBorders>
              <w:bottom w:val="single" w:sz="4" w:space="0" w:color="auto"/>
            </w:tcBorders>
            <w:shd w:val="clear" w:color="auto" w:fill="A6A6A6" w:themeFill="background1" w:themeFillShade="A6"/>
          </w:tcPr>
          <w:p w14:paraId="4E969E6E" w14:textId="77777777" w:rsidR="002641D2" w:rsidRPr="00FA3F9C" w:rsidRDefault="002641D2" w:rsidP="0015714C">
            <w:pPr>
              <w:rPr>
                <w:rFonts w:ascii="Arial" w:eastAsia="Times New Roman" w:hAnsi="Arial" w:cs="Arial"/>
                <w:b/>
                <w:sz w:val="24"/>
                <w:szCs w:val="24"/>
              </w:rPr>
            </w:pPr>
            <w:r w:rsidRPr="00FA3F9C">
              <w:rPr>
                <w:rFonts w:ascii="Arial" w:eastAsia="Times New Roman" w:hAnsi="Arial" w:cs="Arial"/>
                <w:b/>
                <w:sz w:val="24"/>
                <w:szCs w:val="24"/>
              </w:rPr>
              <w:t>Vial Cost</w:t>
            </w:r>
          </w:p>
        </w:tc>
      </w:tr>
      <w:tr w:rsidR="002641D2" w:rsidRPr="00FA3F9C" w14:paraId="4CD4508A" w14:textId="77777777" w:rsidTr="008310B0">
        <w:trPr>
          <w:jc w:val="center"/>
        </w:trPr>
        <w:tc>
          <w:tcPr>
            <w:tcW w:w="2425" w:type="dxa"/>
            <w:shd w:val="clear" w:color="auto" w:fill="000000"/>
          </w:tcPr>
          <w:p w14:paraId="18119C61" w14:textId="77777777" w:rsidR="002641D2" w:rsidRPr="00FA3F9C" w:rsidRDefault="002641D2" w:rsidP="008740F4">
            <w:pPr>
              <w:rPr>
                <w:rFonts w:ascii="Arial" w:eastAsia="Times New Roman" w:hAnsi="Arial" w:cs="Arial"/>
                <w:sz w:val="24"/>
                <w:szCs w:val="24"/>
              </w:rPr>
            </w:pPr>
            <w:r w:rsidRPr="00FA3F9C">
              <w:rPr>
                <w:rFonts w:ascii="Arial" w:eastAsia="Times New Roman" w:hAnsi="Arial" w:cs="Arial"/>
                <w:sz w:val="24"/>
                <w:szCs w:val="24"/>
              </w:rPr>
              <w:t>Factor IX Human</w:t>
            </w:r>
          </w:p>
        </w:tc>
        <w:tc>
          <w:tcPr>
            <w:tcW w:w="11070" w:type="dxa"/>
            <w:gridSpan w:val="6"/>
            <w:shd w:val="clear" w:color="auto" w:fill="000000"/>
          </w:tcPr>
          <w:p w14:paraId="76A90290" w14:textId="77777777" w:rsidR="002641D2" w:rsidRPr="00FA3F9C" w:rsidRDefault="002641D2" w:rsidP="008740F4">
            <w:pPr>
              <w:rPr>
                <w:rFonts w:ascii="Arial" w:hAnsi="Arial" w:cs="Arial"/>
                <w:color w:val="000000"/>
                <w:sz w:val="24"/>
                <w:szCs w:val="24"/>
              </w:rPr>
            </w:pPr>
          </w:p>
        </w:tc>
      </w:tr>
      <w:tr w:rsidR="002641D2" w:rsidRPr="00FA3F9C" w14:paraId="110646E7" w14:textId="77777777" w:rsidTr="008310B0">
        <w:trPr>
          <w:jc w:val="center"/>
        </w:trPr>
        <w:tc>
          <w:tcPr>
            <w:tcW w:w="2425" w:type="dxa"/>
            <w:shd w:val="clear" w:color="auto" w:fill="FFCC99"/>
          </w:tcPr>
          <w:p w14:paraId="08228C49" w14:textId="77777777" w:rsidR="002641D2" w:rsidRPr="00FA3F9C" w:rsidRDefault="002641D2" w:rsidP="0015714C">
            <w:pPr>
              <w:rPr>
                <w:rFonts w:ascii="Arial" w:eastAsia="Times New Roman" w:hAnsi="Arial" w:cs="Arial"/>
                <w:sz w:val="24"/>
                <w:szCs w:val="24"/>
              </w:rPr>
            </w:pPr>
            <w:proofErr w:type="spellStart"/>
            <w:r w:rsidRPr="00FA3F9C">
              <w:rPr>
                <w:rFonts w:ascii="Arial" w:eastAsia="Times New Roman" w:hAnsi="Arial" w:cs="Arial"/>
                <w:sz w:val="24"/>
                <w:szCs w:val="24"/>
              </w:rPr>
              <w:t>AlphaNine</w:t>
            </w:r>
            <w:proofErr w:type="spellEnd"/>
            <w:r w:rsidRPr="00FA3F9C">
              <w:rPr>
                <w:rFonts w:ascii="Arial" w:eastAsia="Times New Roman" w:hAnsi="Arial" w:cs="Arial"/>
                <w:sz w:val="24"/>
                <w:szCs w:val="24"/>
              </w:rPr>
              <w:t xml:space="preserve"> SD</w:t>
            </w:r>
          </w:p>
        </w:tc>
        <w:tc>
          <w:tcPr>
            <w:tcW w:w="2737" w:type="dxa"/>
            <w:shd w:val="clear" w:color="auto" w:fill="FFCC99"/>
          </w:tcPr>
          <w:p w14:paraId="306C914E" w14:textId="77777777" w:rsidR="002641D2" w:rsidRPr="00FA3F9C" w:rsidRDefault="002641D2" w:rsidP="00C34F9F">
            <w:pPr>
              <w:rPr>
                <w:rFonts w:ascii="Arial" w:eastAsia="Times New Roman" w:hAnsi="Arial" w:cs="Arial"/>
                <w:sz w:val="24"/>
                <w:szCs w:val="24"/>
              </w:rPr>
            </w:pPr>
            <w:r w:rsidRPr="00FA3F9C">
              <w:rPr>
                <w:rFonts w:ascii="Arial" w:eastAsia="Times New Roman" w:hAnsi="Arial" w:cs="Arial"/>
                <w:sz w:val="24"/>
                <w:szCs w:val="24"/>
              </w:rPr>
              <w:t xml:space="preserve">*Hemophilia B (congenital factor IX def or Christmas </w:t>
            </w:r>
            <w:proofErr w:type="spellStart"/>
            <w:r w:rsidRPr="00FA3F9C">
              <w:rPr>
                <w:rFonts w:ascii="Arial" w:eastAsia="Times New Roman" w:hAnsi="Arial" w:cs="Arial"/>
                <w:sz w:val="24"/>
                <w:szCs w:val="24"/>
              </w:rPr>
              <w:t>dz</w:t>
            </w:r>
            <w:proofErr w:type="spellEnd"/>
            <w:r w:rsidRPr="00FA3F9C">
              <w:rPr>
                <w:rFonts w:ascii="Arial" w:eastAsia="Times New Roman" w:hAnsi="Arial" w:cs="Arial"/>
                <w:sz w:val="24"/>
                <w:szCs w:val="24"/>
              </w:rPr>
              <w:t>)</w:t>
            </w:r>
          </w:p>
        </w:tc>
        <w:tc>
          <w:tcPr>
            <w:tcW w:w="236" w:type="dxa"/>
            <w:shd w:val="clear" w:color="auto" w:fill="FFCC99"/>
          </w:tcPr>
          <w:p w14:paraId="500F2D6F" w14:textId="77777777" w:rsidR="002641D2" w:rsidRPr="00FA3F9C" w:rsidRDefault="002641D2" w:rsidP="0015714C">
            <w:pPr>
              <w:rPr>
                <w:rFonts w:ascii="Arial" w:eastAsia="Times New Roman" w:hAnsi="Arial" w:cs="Arial"/>
                <w:sz w:val="24"/>
                <w:szCs w:val="24"/>
              </w:rPr>
            </w:pPr>
          </w:p>
        </w:tc>
        <w:tc>
          <w:tcPr>
            <w:tcW w:w="4227" w:type="dxa"/>
            <w:shd w:val="clear" w:color="auto" w:fill="FFCC99"/>
          </w:tcPr>
          <w:p w14:paraId="714EDBD4" w14:textId="77777777" w:rsidR="002641D2" w:rsidRPr="00FA3F9C" w:rsidRDefault="002641D2" w:rsidP="0015714C">
            <w:pPr>
              <w:rPr>
                <w:rFonts w:ascii="Arial" w:eastAsia="Times New Roman" w:hAnsi="Arial" w:cs="Arial"/>
                <w:sz w:val="24"/>
                <w:szCs w:val="24"/>
              </w:rPr>
            </w:pPr>
            <w:r w:rsidRPr="00FA3F9C">
              <w:rPr>
                <w:rFonts w:ascii="Arial" w:eastAsia="Times New Roman" w:hAnsi="Arial" w:cs="Arial"/>
                <w:sz w:val="24"/>
                <w:szCs w:val="24"/>
              </w:rPr>
              <w:t>15 to 30 units/kg/dose twice weekly*</w:t>
            </w:r>
          </w:p>
          <w:p w14:paraId="7954526B" w14:textId="77777777" w:rsidR="002641D2" w:rsidRPr="00FA3F9C" w:rsidRDefault="002641D2" w:rsidP="0015714C">
            <w:pPr>
              <w:rPr>
                <w:rFonts w:ascii="Arial" w:eastAsia="Times New Roman" w:hAnsi="Arial" w:cs="Arial"/>
                <w:sz w:val="24"/>
                <w:szCs w:val="24"/>
              </w:rPr>
            </w:pPr>
            <w:r w:rsidRPr="00FA3F9C">
              <w:rPr>
                <w:rFonts w:ascii="Arial" w:eastAsia="Times New Roman" w:hAnsi="Arial" w:cs="Arial"/>
                <w:sz w:val="24"/>
                <w:szCs w:val="24"/>
              </w:rPr>
              <w:t>25 to 40 units/kg/dose twice weekly*</w:t>
            </w:r>
          </w:p>
          <w:p w14:paraId="32EABD32" w14:textId="77777777" w:rsidR="002641D2" w:rsidRPr="00FA3F9C" w:rsidRDefault="002641D2" w:rsidP="0015714C">
            <w:pPr>
              <w:rPr>
                <w:rFonts w:ascii="Arial" w:eastAsia="Times New Roman" w:hAnsi="Arial" w:cs="Arial"/>
                <w:sz w:val="24"/>
                <w:szCs w:val="24"/>
              </w:rPr>
            </w:pPr>
            <w:r w:rsidRPr="00FA3F9C">
              <w:rPr>
                <w:rFonts w:ascii="Arial" w:eastAsia="Times New Roman" w:hAnsi="Arial" w:cs="Arial"/>
                <w:sz w:val="24"/>
                <w:szCs w:val="24"/>
              </w:rPr>
              <w:t>40 to 100 units/kg/dose 2 to 3 times weekly*</w:t>
            </w:r>
          </w:p>
        </w:tc>
        <w:tc>
          <w:tcPr>
            <w:tcW w:w="2186" w:type="dxa"/>
            <w:shd w:val="clear" w:color="auto" w:fill="FFCC99"/>
          </w:tcPr>
          <w:p w14:paraId="7268F769" w14:textId="77777777" w:rsidR="002641D2" w:rsidRPr="00FA3F9C" w:rsidRDefault="002641D2" w:rsidP="0015714C">
            <w:pPr>
              <w:rPr>
                <w:rFonts w:ascii="Arial" w:hAnsi="Arial" w:cs="Arial"/>
                <w:color w:val="000000"/>
                <w:sz w:val="24"/>
                <w:szCs w:val="24"/>
              </w:rPr>
            </w:pPr>
            <w:r w:rsidRPr="00FA3F9C">
              <w:rPr>
                <w:rFonts w:ascii="Arial" w:hAnsi="Arial" w:cs="Arial"/>
                <w:color w:val="000000"/>
                <w:sz w:val="24"/>
                <w:szCs w:val="24"/>
              </w:rPr>
              <w:t xml:space="preserve">500 </w:t>
            </w:r>
          </w:p>
          <w:p w14:paraId="3FE86597" w14:textId="77777777" w:rsidR="002641D2" w:rsidRPr="00FA3F9C" w:rsidRDefault="002641D2" w:rsidP="0015714C">
            <w:pPr>
              <w:rPr>
                <w:rFonts w:ascii="Arial" w:hAnsi="Arial" w:cs="Arial"/>
                <w:color w:val="000000"/>
                <w:sz w:val="24"/>
                <w:szCs w:val="24"/>
              </w:rPr>
            </w:pPr>
            <w:r w:rsidRPr="00FA3F9C">
              <w:rPr>
                <w:rFonts w:ascii="Arial" w:hAnsi="Arial" w:cs="Arial"/>
                <w:color w:val="000000"/>
                <w:sz w:val="24"/>
                <w:szCs w:val="24"/>
              </w:rPr>
              <w:t xml:space="preserve">1000 </w:t>
            </w:r>
          </w:p>
          <w:p w14:paraId="518E21CE" w14:textId="77777777" w:rsidR="002641D2" w:rsidRPr="00FA3F9C" w:rsidRDefault="002641D2" w:rsidP="007A5473">
            <w:pPr>
              <w:rPr>
                <w:rFonts w:ascii="Arial" w:eastAsia="Times New Roman" w:hAnsi="Arial" w:cs="Arial"/>
                <w:sz w:val="24"/>
                <w:szCs w:val="24"/>
              </w:rPr>
            </w:pPr>
            <w:r w:rsidRPr="00FA3F9C">
              <w:rPr>
                <w:rFonts w:ascii="Arial" w:hAnsi="Arial" w:cs="Arial"/>
                <w:color w:val="000000"/>
                <w:sz w:val="24"/>
                <w:szCs w:val="24"/>
              </w:rPr>
              <w:t>1500</w:t>
            </w:r>
          </w:p>
        </w:tc>
        <w:tc>
          <w:tcPr>
            <w:tcW w:w="725" w:type="dxa"/>
            <w:shd w:val="clear" w:color="auto" w:fill="FFCC99"/>
          </w:tcPr>
          <w:p w14:paraId="54B3AE68" w14:textId="77777777" w:rsidR="002641D2" w:rsidRPr="00FA3F9C" w:rsidRDefault="002641D2" w:rsidP="0015714C">
            <w:pPr>
              <w:rPr>
                <w:rFonts w:ascii="Arial" w:hAnsi="Arial" w:cs="Arial"/>
                <w:color w:val="000000"/>
                <w:sz w:val="24"/>
                <w:szCs w:val="24"/>
              </w:rPr>
            </w:pPr>
            <w:r w:rsidRPr="00FA3F9C">
              <w:rPr>
                <w:rFonts w:ascii="Arial" w:hAnsi="Arial" w:cs="Arial"/>
                <w:color w:val="000000"/>
                <w:sz w:val="24"/>
                <w:szCs w:val="24"/>
              </w:rPr>
              <w:t>$1.58</w:t>
            </w:r>
          </w:p>
          <w:p w14:paraId="0C36AC11" w14:textId="77777777" w:rsidR="002641D2" w:rsidRPr="00FA3F9C" w:rsidRDefault="002641D2" w:rsidP="0015714C">
            <w:pPr>
              <w:rPr>
                <w:rFonts w:ascii="Arial" w:hAnsi="Arial" w:cs="Arial"/>
                <w:color w:val="000000"/>
                <w:sz w:val="24"/>
                <w:szCs w:val="24"/>
              </w:rPr>
            </w:pPr>
            <w:r w:rsidRPr="00FA3F9C">
              <w:rPr>
                <w:rFonts w:ascii="Arial" w:hAnsi="Arial" w:cs="Arial"/>
                <w:color w:val="000000"/>
                <w:sz w:val="24"/>
                <w:szCs w:val="24"/>
              </w:rPr>
              <w:t>$1.58</w:t>
            </w:r>
          </w:p>
          <w:p w14:paraId="2873CB50" w14:textId="77777777" w:rsidR="002641D2" w:rsidRPr="00FA3F9C" w:rsidRDefault="002641D2" w:rsidP="0015714C">
            <w:pPr>
              <w:rPr>
                <w:rFonts w:ascii="Arial" w:hAnsi="Arial" w:cs="Arial"/>
                <w:color w:val="000000"/>
                <w:sz w:val="24"/>
                <w:szCs w:val="24"/>
              </w:rPr>
            </w:pPr>
            <w:r w:rsidRPr="00FA3F9C">
              <w:rPr>
                <w:rFonts w:ascii="Arial" w:hAnsi="Arial" w:cs="Arial"/>
                <w:color w:val="000000"/>
                <w:sz w:val="24"/>
                <w:szCs w:val="24"/>
              </w:rPr>
              <w:t>$1.58</w:t>
            </w:r>
          </w:p>
        </w:tc>
        <w:tc>
          <w:tcPr>
            <w:tcW w:w="959" w:type="dxa"/>
            <w:shd w:val="clear" w:color="auto" w:fill="FFCC99"/>
          </w:tcPr>
          <w:p w14:paraId="7D4B8C4F" w14:textId="77777777" w:rsidR="002641D2" w:rsidRPr="00FA3F9C" w:rsidRDefault="002641D2" w:rsidP="008740F4">
            <w:pPr>
              <w:rPr>
                <w:rFonts w:ascii="Arial" w:hAnsi="Arial" w:cs="Arial"/>
                <w:color w:val="000000"/>
                <w:sz w:val="24"/>
                <w:szCs w:val="24"/>
              </w:rPr>
            </w:pPr>
            <w:r w:rsidRPr="00FA3F9C">
              <w:rPr>
                <w:rFonts w:ascii="Arial" w:hAnsi="Arial" w:cs="Arial"/>
                <w:color w:val="000000"/>
                <w:sz w:val="24"/>
                <w:szCs w:val="24"/>
              </w:rPr>
              <w:t>$790</w:t>
            </w:r>
          </w:p>
          <w:p w14:paraId="5652A124" w14:textId="77777777" w:rsidR="002641D2" w:rsidRPr="00FA3F9C" w:rsidRDefault="002641D2" w:rsidP="008740F4">
            <w:pPr>
              <w:rPr>
                <w:rFonts w:ascii="Arial" w:hAnsi="Arial" w:cs="Arial"/>
                <w:color w:val="000000"/>
                <w:sz w:val="24"/>
                <w:szCs w:val="24"/>
              </w:rPr>
            </w:pPr>
            <w:r w:rsidRPr="00FA3F9C">
              <w:rPr>
                <w:rFonts w:ascii="Arial" w:hAnsi="Arial" w:cs="Arial"/>
                <w:color w:val="000000"/>
                <w:sz w:val="24"/>
                <w:szCs w:val="24"/>
              </w:rPr>
              <w:t>$1,580</w:t>
            </w:r>
          </w:p>
          <w:p w14:paraId="3AFCD864" w14:textId="77777777" w:rsidR="002641D2" w:rsidRPr="00FA3F9C" w:rsidRDefault="002641D2" w:rsidP="008740F4">
            <w:pPr>
              <w:rPr>
                <w:rFonts w:ascii="Arial" w:hAnsi="Arial" w:cs="Arial"/>
                <w:color w:val="000000"/>
                <w:sz w:val="24"/>
                <w:szCs w:val="24"/>
              </w:rPr>
            </w:pPr>
            <w:r w:rsidRPr="00FA3F9C">
              <w:rPr>
                <w:rFonts w:ascii="Arial" w:hAnsi="Arial" w:cs="Arial"/>
                <w:color w:val="000000"/>
                <w:sz w:val="24"/>
                <w:szCs w:val="24"/>
              </w:rPr>
              <w:t>$2,370</w:t>
            </w:r>
          </w:p>
        </w:tc>
      </w:tr>
      <w:tr w:rsidR="002641D2" w:rsidRPr="00FA3F9C" w14:paraId="4BF1961D" w14:textId="77777777" w:rsidTr="008310B0">
        <w:trPr>
          <w:jc w:val="center"/>
        </w:trPr>
        <w:tc>
          <w:tcPr>
            <w:tcW w:w="2425" w:type="dxa"/>
            <w:tcBorders>
              <w:bottom w:val="single" w:sz="4" w:space="0" w:color="auto"/>
            </w:tcBorders>
            <w:shd w:val="clear" w:color="auto" w:fill="FFCC99"/>
          </w:tcPr>
          <w:p w14:paraId="38DAC5D7" w14:textId="77777777" w:rsidR="002641D2" w:rsidRPr="00FA3F9C" w:rsidRDefault="002641D2" w:rsidP="003026F9">
            <w:pPr>
              <w:rPr>
                <w:rFonts w:ascii="Arial" w:hAnsi="Arial" w:cs="Arial"/>
                <w:i/>
                <w:iCs/>
                <w:color w:val="000000"/>
                <w:sz w:val="24"/>
                <w:szCs w:val="24"/>
              </w:rPr>
            </w:pPr>
            <w:proofErr w:type="spellStart"/>
            <w:r w:rsidRPr="00FA3F9C">
              <w:rPr>
                <w:rFonts w:ascii="Arial" w:eastAsia="Times New Roman" w:hAnsi="Arial" w:cs="Arial"/>
                <w:sz w:val="24"/>
                <w:szCs w:val="24"/>
              </w:rPr>
              <w:t>Mononine</w:t>
            </w:r>
            <w:proofErr w:type="spellEnd"/>
          </w:p>
        </w:tc>
        <w:tc>
          <w:tcPr>
            <w:tcW w:w="2737" w:type="dxa"/>
            <w:tcBorders>
              <w:bottom w:val="single" w:sz="4" w:space="0" w:color="auto"/>
            </w:tcBorders>
            <w:shd w:val="clear" w:color="auto" w:fill="FFCC99"/>
          </w:tcPr>
          <w:p w14:paraId="3BE48C3E" w14:textId="77777777" w:rsidR="002641D2" w:rsidRPr="00FA3F9C" w:rsidRDefault="002641D2" w:rsidP="003026F9">
            <w:pPr>
              <w:rPr>
                <w:rFonts w:ascii="Arial" w:eastAsia="Times New Roman" w:hAnsi="Arial" w:cs="Arial"/>
                <w:sz w:val="24"/>
                <w:szCs w:val="24"/>
              </w:rPr>
            </w:pPr>
            <w:r w:rsidRPr="00FA3F9C">
              <w:rPr>
                <w:rFonts w:ascii="Arial" w:eastAsia="Times New Roman" w:hAnsi="Arial" w:cs="Arial"/>
                <w:sz w:val="24"/>
                <w:szCs w:val="24"/>
              </w:rPr>
              <w:t>*</w:t>
            </w:r>
            <w:proofErr w:type="gramStart"/>
            <w:r w:rsidRPr="00FA3F9C">
              <w:rPr>
                <w:rFonts w:ascii="Arial" w:eastAsia="Times New Roman" w:hAnsi="Arial" w:cs="Arial"/>
                <w:sz w:val="24"/>
                <w:szCs w:val="24"/>
              </w:rPr>
              <w:t>hemophilia</w:t>
            </w:r>
            <w:proofErr w:type="gramEnd"/>
            <w:r w:rsidRPr="00FA3F9C">
              <w:rPr>
                <w:rFonts w:ascii="Arial" w:eastAsia="Times New Roman" w:hAnsi="Arial" w:cs="Arial"/>
                <w:sz w:val="24"/>
                <w:szCs w:val="24"/>
              </w:rPr>
              <w:t xml:space="preserve"> B (congenital factor IX def or Christmas </w:t>
            </w:r>
            <w:proofErr w:type="spellStart"/>
            <w:r w:rsidRPr="00FA3F9C">
              <w:rPr>
                <w:rFonts w:ascii="Arial" w:eastAsia="Times New Roman" w:hAnsi="Arial" w:cs="Arial"/>
                <w:sz w:val="24"/>
                <w:szCs w:val="24"/>
              </w:rPr>
              <w:t>dz</w:t>
            </w:r>
            <w:proofErr w:type="spellEnd"/>
            <w:r w:rsidRPr="00FA3F9C">
              <w:rPr>
                <w:rFonts w:ascii="Arial" w:eastAsia="Times New Roman" w:hAnsi="Arial" w:cs="Arial"/>
                <w:sz w:val="24"/>
                <w:szCs w:val="24"/>
              </w:rPr>
              <w:t>)</w:t>
            </w:r>
          </w:p>
        </w:tc>
        <w:tc>
          <w:tcPr>
            <w:tcW w:w="236" w:type="dxa"/>
            <w:tcBorders>
              <w:bottom w:val="single" w:sz="4" w:space="0" w:color="auto"/>
            </w:tcBorders>
            <w:shd w:val="clear" w:color="auto" w:fill="FFCC99"/>
          </w:tcPr>
          <w:p w14:paraId="49E4F6C5" w14:textId="77777777" w:rsidR="002641D2" w:rsidRPr="00FA3F9C" w:rsidRDefault="002641D2" w:rsidP="003026F9">
            <w:pPr>
              <w:rPr>
                <w:rFonts w:ascii="Arial" w:eastAsia="Times New Roman" w:hAnsi="Arial" w:cs="Arial"/>
                <w:sz w:val="24"/>
                <w:szCs w:val="24"/>
              </w:rPr>
            </w:pPr>
          </w:p>
        </w:tc>
        <w:tc>
          <w:tcPr>
            <w:tcW w:w="4227" w:type="dxa"/>
            <w:tcBorders>
              <w:bottom w:val="single" w:sz="4" w:space="0" w:color="auto"/>
            </w:tcBorders>
            <w:shd w:val="clear" w:color="auto" w:fill="FFCC99"/>
          </w:tcPr>
          <w:p w14:paraId="6FDBD202" w14:textId="77777777" w:rsidR="002641D2" w:rsidRPr="00FA3F9C" w:rsidRDefault="002641D2" w:rsidP="003026F9">
            <w:pPr>
              <w:rPr>
                <w:rFonts w:ascii="Arial" w:eastAsia="Times New Roman" w:hAnsi="Arial" w:cs="Arial"/>
                <w:sz w:val="24"/>
                <w:szCs w:val="24"/>
              </w:rPr>
            </w:pPr>
            <w:r w:rsidRPr="00FA3F9C">
              <w:rPr>
                <w:rFonts w:ascii="Arial" w:eastAsia="Times New Roman" w:hAnsi="Arial" w:cs="Arial"/>
                <w:sz w:val="24"/>
                <w:szCs w:val="24"/>
              </w:rPr>
              <w:t>15 to 30 units/kg/dose twice weekly*</w:t>
            </w:r>
          </w:p>
          <w:p w14:paraId="5F148CE3" w14:textId="77777777" w:rsidR="002641D2" w:rsidRPr="00FA3F9C" w:rsidRDefault="002641D2" w:rsidP="003026F9">
            <w:pPr>
              <w:rPr>
                <w:rFonts w:ascii="Arial" w:eastAsia="Times New Roman" w:hAnsi="Arial" w:cs="Arial"/>
                <w:sz w:val="24"/>
                <w:szCs w:val="24"/>
              </w:rPr>
            </w:pPr>
            <w:r w:rsidRPr="00FA3F9C">
              <w:rPr>
                <w:rFonts w:ascii="Arial" w:eastAsia="Times New Roman" w:hAnsi="Arial" w:cs="Arial"/>
                <w:sz w:val="24"/>
                <w:szCs w:val="24"/>
              </w:rPr>
              <w:t>25 to 40 units/kg/dose twice weekly*</w:t>
            </w:r>
          </w:p>
          <w:p w14:paraId="326DCB8A" w14:textId="77777777" w:rsidR="002641D2" w:rsidRPr="00FA3F9C" w:rsidRDefault="002641D2" w:rsidP="003026F9">
            <w:pPr>
              <w:rPr>
                <w:rFonts w:ascii="Arial" w:eastAsia="Times New Roman" w:hAnsi="Arial" w:cs="Arial"/>
                <w:sz w:val="24"/>
                <w:szCs w:val="24"/>
              </w:rPr>
            </w:pPr>
            <w:r w:rsidRPr="00FA3F9C">
              <w:rPr>
                <w:rFonts w:ascii="Arial" w:eastAsia="Times New Roman" w:hAnsi="Arial" w:cs="Arial"/>
                <w:sz w:val="24"/>
                <w:szCs w:val="24"/>
              </w:rPr>
              <w:t>40 to 100 units/kg/dose 2 to 3 times weekly*</w:t>
            </w:r>
          </w:p>
        </w:tc>
        <w:tc>
          <w:tcPr>
            <w:tcW w:w="2186" w:type="dxa"/>
            <w:tcBorders>
              <w:bottom w:val="single" w:sz="4" w:space="0" w:color="auto"/>
            </w:tcBorders>
            <w:shd w:val="clear" w:color="auto" w:fill="FFCC99"/>
          </w:tcPr>
          <w:p w14:paraId="39263643" w14:textId="77777777" w:rsidR="002641D2" w:rsidRPr="00FA3F9C" w:rsidRDefault="002641D2" w:rsidP="003026F9">
            <w:pPr>
              <w:rPr>
                <w:rFonts w:ascii="Arial" w:hAnsi="Arial" w:cs="Arial"/>
                <w:color w:val="000000"/>
                <w:sz w:val="24"/>
                <w:szCs w:val="24"/>
              </w:rPr>
            </w:pPr>
            <w:r w:rsidRPr="00FA3F9C">
              <w:rPr>
                <w:rFonts w:ascii="Arial" w:hAnsi="Arial" w:cs="Arial"/>
                <w:color w:val="000000"/>
                <w:sz w:val="24"/>
                <w:szCs w:val="24"/>
              </w:rPr>
              <w:t>250</w:t>
            </w:r>
          </w:p>
          <w:p w14:paraId="09FC8CF9" w14:textId="77777777" w:rsidR="002641D2" w:rsidRPr="00FA3F9C" w:rsidRDefault="002641D2" w:rsidP="003026F9">
            <w:pPr>
              <w:rPr>
                <w:rFonts w:ascii="Arial" w:hAnsi="Arial" w:cs="Arial"/>
                <w:color w:val="000000"/>
                <w:sz w:val="24"/>
                <w:szCs w:val="24"/>
              </w:rPr>
            </w:pPr>
            <w:r w:rsidRPr="00FA3F9C">
              <w:rPr>
                <w:rFonts w:ascii="Arial" w:hAnsi="Arial" w:cs="Arial"/>
                <w:color w:val="000000"/>
                <w:sz w:val="24"/>
                <w:szCs w:val="24"/>
              </w:rPr>
              <w:t xml:space="preserve">500 </w:t>
            </w:r>
          </w:p>
          <w:p w14:paraId="38B8DDC3" w14:textId="77777777" w:rsidR="002641D2" w:rsidRPr="00FA3F9C" w:rsidRDefault="002641D2" w:rsidP="007A5473">
            <w:pPr>
              <w:rPr>
                <w:rFonts w:ascii="Arial" w:eastAsia="Times New Roman" w:hAnsi="Arial" w:cs="Arial"/>
                <w:sz w:val="24"/>
                <w:szCs w:val="24"/>
              </w:rPr>
            </w:pPr>
            <w:r w:rsidRPr="00FA3F9C">
              <w:rPr>
                <w:rFonts w:ascii="Arial" w:hAnsi="Arial" w:cs="Arial"/>
                <w:color w:val="000000"/>
                <w:sz w:val="24"/>
                <w:szCs w:val="24"/>
              </w:rPr>
              <w:t xml:space="preserve">1000 </w:t>
            </w:r>
          </w:p>
        </w:tc>
        <w:tc>
          <w:tcPr>
            <w:tcW w:w="725" w:type="dxa"/>
            <w:tcBorders>
              <w:bottom w:val="single" w:sz="4" w:space="0" w:color="auto"/>
            </w:tcBorders>
            <w:shd w:val="clear" w:color="auto" w:fill="FFCC99"/>
          </w:tcPr>
          <w:p w14:paraId="27204940" w14:textId="77777777" w:rsidR="002641D2" w:rsidRPr="00FA3F9C" w:rsidRDefault="002641D2" w:rsidP="003026F9">
            <w:pPr>
              <w:rPr>
                <w:rFonts w:ascii="Arial" w:hAnsi="Arial" w:cs="Arial"/>
                <w:color w:val="000000"/>
                <w:sz w:val="24"/>
                <w:szCs w:val="24"/>
              </w:rPr>
            </w:pPr>
            <w:r w:rsidRPr="00FA3F9C">
              <w:rPr>
                <w:rFonts w:ascii="Arial" w:hAnsi="Arial" w:cs="Arial"/>
                <w:color w:val="000000"/>
                <w:sz w:val="24"/>
                <w:szCs w:val="24"/>
              </w:rPr>
              <w:t>$1.20</w:t>
            </w:r>
          </w:p>
          <w:p w14:paraId="1CA6D3B3" w14:textId="77777777" w:rsidR="002641D2" w:rsidRPr="00FA3F9C" w:rsidRDefault="002641D2" w:rsidP="003026F9">
            <w:pPr>
              <w:rPr>
                <w:rFonts w:ascii="Arial" w:hAnsi="Arial" w:cs="Arial"/>
                <w:color w:val="000000"/>
                <w:sz w:val="24"/>
                <w:szCs w:val="24"/>
              </w:rPr>
            </w:pPr>
            <w:r w:rsidRPr="00FA3F9C">
              <w:rPr>
                <w:rFonts w:ascii="Arial" w:hAnsi="Arial" w:cs="Arial"/>
                <w:color w:val="000000"/>
                <w:sz w:val="24"/>
                <w:szCs w:val="24"/>
              </w:rPr>
              <w:t>$1.20</w:t>
            </w:r>
          </w:p>
          <w:p w14:paraId="47143D63" w14:textId="77777777" w:rsidR="002641D2" w:rsidRPr="00FA3F9C" w:rsidRDefault="002641D2" w:rsidP="003026F9">
            <w:pPr>
              <w:rPr>
                <w:rFonts w:ascii="Arial" w:hAnsi="Arial" w:cs="Arial"/>
                <w:color w:val="000000"/>
                <w:sz w:val="24"/>
                <w:szCs w:val="24"/>
              </w:rPr>
            </w:pPr>
            <w:r w:rsidRPr="00FA3F9C">
              <w:rPr>
                <w:rFonts w:ascii="Arial" w:hAnsi="Arial" w:cs="Arial"/>
                <w:color w:val="000000"/>
                <w:sz w:val="24"/>
                <w:szCs w:val="24"/>
              </w:rPr>
              <w:t>$1.52</w:t>
            </w:r>
          </w:p>
        </w:tc>
        <w:tc>
          <w:tcPr>
            <w:tcW w:w="959" w:type="dxa"/>
            <w:tcBorders>
              <w:bottom w:val="single" w:sz="4" w:space="0" w:color="auto"/>
            </w:tcBorders>
            <w:shd w:val="clear" w:color="auto" w:fill="FFCC99"/>
          </w:tcPr>
          <w:p w14:paraId="6E83E41E" w14:textId="77777777" w:rsidR="002641D2" w:rsidRPr="00FA3F9C" w:rsidRDefault="002641D2" w:rsidP="008740F4">
            <w:pPr>
              <w:rPr>
                <w:rFonts w:ascii="Arial" w:hAnsi="Arial" w:cs="Arial"/>
                <w:color w:val="000000"/>
                <w:sz w:val="24"/>
                <w:szCs w:val="24"/>
              </w:rPr>
            </w:pPr>
            <w:r w:rsidRPr="00FA3F9C">
              <w:rPr>
                <w:rFonts w:ascii="Arial" w:hAnsi="Arial" w:cs="Arial"/>
                <w:color w:val="000000"/>
                <w:sz w:val="24"/>
                <w:szCs w:val="24"/>
              </w:rPr>
              <w:t>$300</w:t>
            </w:r>
          </w:p>
          <w:p w14:paraId="54D334FB" w14:textId="77777777" w:rsidR="002641D2" w:rsidRPr="00FA3F9C" w:rsidRDefault="002641D2" w:rsidP="008740F4">
            <w:pPr>
              <w:rPr>
                <w:rFonts w:ascii="Arial" w:hAnsi="Arial" w:cs="Arial"/>
                <w:color w:val="000000"/>
                <w:sz w:val="24"/>
                <w:szCs w:val="24"/>
              </w:rPr>
            </w:pPr>
            <w:r w:rsidRPr="00FA3F9C">
              <w:rPr>
                <w:rFonts w:ascii="Arial" w:hAnsi="Arial" w:cs="Arial"/>
                <w:color w:val="000000"/>
                <w:sz w:val="24"/>
                <w:szCs w:val="24"/>
              </w:rPr>
              <w:t>$600</w:t>
            </w:r>
          </w:p>
          <w:p w14:paraId="45A4522E" w14:textId="77777777" w:rsidR="002641D2" w:rsidRPr="00FA3F9C" w:rsidRDefault="002641D2" w:rsidP="008740F4">
            <w:pPr>
              <w:rPr>
                <w:rFonts w:ascii="Arial" w:hAnsi="Arial" w:cs="Arial"/>
                <w:color w:val="000000"/>
                <w:sz w:val="24"/>
                <w:szCs w:val="24"/>
              </w:rPr>
            </w:pPr>
            <w:r w:rsidRPr="00FA3F9C">
              <w:rPr>
                <w:rFonts w:ascii="Arial" w:hAnsi="Arial" w:cs="Arial"/>
                <w:color w:val="000000"/>
                <w:sz w:val="24"/>
                <w:szCs w:val="24"/>
              </w:rPr>
              <w:t>$1,520</w:t>
            </w:r>
          </w:p>
        </w:tc>
      </w:tr>
      <w:tr w:rsidR="002641D2" w:rsidRPr="00FA3F9C" w14:paraId="01BEC30F" w14:textId="77777777" w:rsidTr="008310B0">
        <w:trPr>
          <w:jc w:val="center"/>
        </w:trPr>
        <w:tc>
          <w:tcPr>
            <w:tcW w:w="2425" w:type="dxa"/>
            <w:shd w:val="clear" w:color="auto" w:fill="000000"/>
          </w:tcPr>
          <w:p w14:paraId="0E18A37D" w14:textId="77777777" w:rsidR="002641D2" w:rsidRPr="00FA3F9C" w:rsidRDefault="002641D2" w:rsidP="008740F4">
            <w:pPr>
              <w:rPr>
                <w:rFonts w:ascii="Arial" w:eastAsia="Times New Roman" w:hAnsi="Arial" w:cs="Arial"/>
                <w:sz w:val="24"/>
                <w:szCs w:val="24"/>
              </w:rPr>
            </w:pPr>
            <w:r w:rsidRPr="00FA3F9C">
              <w:rPr>
                <w:rFonts w:ascii="Arial" w:eastAsia="Times New Roman" w:hAnsi="Arial" w:cs="Arial"/>
                <w:sz w:val="24"/>
                <w:szCs w:val="24"/>
              </w:rPr>
              <w:t>Factor IX Recombinant</w:t>
            </w:r>
          </w:p>
        </w:tc>
        <w:tc>
          <w:tcPr>
            <w:tcW w:w="11070" w:type="dxa"/>
            <w:gridSpan w:val="6"/>
            <w:shd w:val="clear" w:color="auto" w:fill="000000"/>
          </w:tcPr>
          <w:p w14:paraId="6244BACA" w14:textId="77777777" w:rsidR="002641D2" w:rsidRPr="00FA3F9C" w:rsidRDefault="002641D2" w:rsidP="008740F4">
            <w:pPr>
              <w:rPr>
                <w:rFonts w:ascii="Arial" w:eastAsia="Times New Roman" w:hAnsi="Arial" w:cs="Arial"/>
                <w:sz w:val="24"/>
                <w:szCs w:val="24"/>
              </w:rPr>
            </w:pPr>
          </w:p>
        </w:tc>
      </w:tr>
      <w:tr w:rsidR="002641D2" w:rsidRPr="00FA3F9C" w14:paraId="48CCBC04" w14:textId="77777777" w:rsidTr="008310B0">
        <w:trPr>
          <w:jc w:val="center"/>
        </w:trPr>
        <w:tc>
          <w:tcPr>
            <w:tcW w:w="2425" w:type="dxa"/>
            <w:shd w:val="clear" w:color="auto" w:fill="CCFFFF"/>
          </w:tcPr>
          <w:p w14:paraId="0E4DCA9A" w14:textId="77777777" w:rsidR="002641D2" w:rsidRPr="00FA3F9C" w:rsidRDefault="002641D2" w:rsidP="003026F9">
            <w:pPr>
              <w:rPr>
                <w:rFonts w:ascii="Arial" w:eastAsia="Times New Roman" w:hAnsi="Arial" w:cs="Arial"/>
                <w:sz w:val="24"/>
                <w:szCs w:val="24"/>
              </w:rPr>
            </w:pPr>
            <w:proofErr w:type="spellStart"/>
            <w:r w:rsidRPr="00FA3F9C">
              <w:rPr>
                <w:rFonts w:ascii="Arial" w:eastAsia="Times New Roman" w:hAnsi="Arial" w:cs="Arial"/>
                <w:sz w:val="24"/>
                <w:szCs w:val="24"/>
              </w:rPr>
              <w:t>BeneFIX</w:t>
            </w:r>
            <w:proofErr w:type="spellEnd"/>
            <w:r w:rsidRPr="00FA3F9C">
              <w:rPr>
                <w:rFonts w:ascii="Arial" w:eastAsia="Times New Roman" w:hAnsi="Arial" w:cs="Arial"/>
                <w:color w:val="000000"/>
                <w:sz w:val="24"/>
                <w:szCs w:val="24"/>
              </w:rPr>
              <w:t> </w:t>
            </w:r>
          </w:p>
        </w:tc>
        <w:tc>
          <w:tcPr>
            <w:tcW w:w="2737" w:type="dxa"/>
            <w:shd w:val="clear" w:color="auto" w:fill="CCFFFF"/>
          </w:tcPr>
          <w:p w14:paraId="5962399B" w14:textId="77777777" w:rsidR="002641D2" w:rsidRPr="00FA3F9C" w:rsidRDefault="002641D2" w:rsidP="00C34F9F">
            <w:pPr>
              <w:rPr>
                <w:rFonts w:ascii="Arial" w:eastAsia="Times New Roman" w:hAnsi="Arial" w:cs="Arial"/>
                <w:sz w:val="24"/>
                <w:szCs w:val="24"/>
              </w:rPr>
            </w:pPr>
            <w:r w:rsidRPr="00FA3F9C">
              <w:rPr>
                <w:rFonts w:ascii="Arial" w:eastAsia="Times New Roman" w:hAnsi="Arial" w:cs="Arial"/>
                <w:sz w:val="24"/>
                <w:szCs w:val="24"/>
              </w:rPr>
              <w:t xml:space="preserve">* </w:t>
            </w:r>
            <w:proofErr w:type="gramStart"/>
            <w:r w:rsidRPr="00FA3F9C">
              <w:rPr>
                <w:rFonts w:ascii="Arial" w:eastAsia="Times New Roman" w:hAnsi="Arial" w:cs="Arial"/>
                <w:sz w:val="24"/>
                <w:szCs w:val="24"/>
              </w:rPr>
              <w:t>hemophilia</w:t>
            </w:r>
            <w:proofErr w:type="gramEnd"/>
            <w:r w:rsidRPr="00FA3F9C">
              <w:rPr>
                <w:rFonts w:ascii="Arial" w:eastAsia="Times New Roman" w:hAnsi="Arial" w:cs="Arial"/>
                <w:sz w:val="24"/>
                <w:szCs w:val="24"/>
              </w:rPr>
              <w:t xml:space="preserve"> B (congenital factor IX def or Christmas </w:t>
            </w:r>
            <w:proofErr w:type="spellStart"/>
            <w:r w:rsidRPr="00FA3F9C">
              <w:rPr>
                <w:rFonts w:ascii="Arial" w:eastAsia="Times New Roman" w:hAnsi="Arial" w:cs="Arial"/>
                <w:sz w:val="24"/>
                <w:szCs w:val="24"/>
              </w:rPr>
              <w:t>dz</w:t>
            </w:r>
            <w:proofErr w:type="spellEnd"/>
            <w:r w:rsidRPr="00FA3F9C">
              <w:rPr>
                <w:rFonts w:ascii="Arial" w:eastAsia="Times New Roman" w:hAnsi="Arial" w:cs="Arial"/>
                <w:sz w:val="24"/>
                <w:szCs w:val="24"/>
              </w:rPr>
              <w:t>); ^hemophilia B</w:t>
            </w:r>
          </w:p>
        </w:tc>
        <w:tc>
          <w:tcPr>
            <w:tcW w:w="236" w:type="dxa"/>
            <w:shd w:val="clear" w:color="auto" w:fill="CCFFFF"/>
          </w:tcPr>
          <w:p w14:paraId="2848E0FA" w14:textId="77777777" w:rsidR="002641D2" w:rsidRPr="00FA3F9C" w:rsidRDefault="002641D2" w:rsidP="003026F9">
            <w:pPr>
              <w:rPr>
                <w:rFonts w:ascii="Arial" w:eastAsia="Times New Roman" w:hAnsi="Arial" w:cs="Arial"/>
                <w:sz w:val="24"/>
                <w:szCs w:val="24"/>
              </w:rPr>
            </w:pPr>
          </w:p>
        </w:tc>
        <w:tc>
          <w:tcPr>
            <w:tcW w:w="4227" w:type="dxa"/>
            <w:shd w:val="clear" w:color="auto" w:fill="CCFFFF"/>
          </w:tcPr>
          <w:p w14:paraId="0EEB9F5B" w14:textId="77777777" w:rsidR="002641D2" w:rsidRPr="00FA3F9C" w:rsidRDefault="002641D2" w:rsidP="003026F9">
            <w:pPr>
              <w:rPr>
                <w:rFonts w:ascii="Arial" w:eastAsia="Times New Roman" w:hAnsi="Arial" w:cs="Arial"/>
                <w:sz w:val="24"/>
                <w:szCs w:val="24"/>
              </w:rPr>
            </w:pPr>
          </w:p>
        </w:tc>
        <w:tc>
          <w:tcPr>
            <w:tcW w:w="2186" w:type="dxa"/>
            <w:shd w:val="clear" w:color="auto" w:fill="CCFFFF"/>
          </w:tcPr>
          <w:p w14:paraId="004D12F2" w14:textId="77777777" w:rsidR="002641D2" w:rsidRPr="00FA3F9C" w:rsidRDefault="002641D2" w:rsidP="0041304F">
            <w:pPr>
              <w:rPr>
                <w:rFonts w:ascii="Arial" w:hAnsi="Arial" w:cs="Arial"/>
                <w:color w:val="000000"/>
                <w:sz w:val="24"/>
                <w:szCs w:val="24"/>
              </w:rPr>
            </w:pPr>
            <w:r w:rsidRPr="00FA3F9C">
              <w:rPr>
                <w:rFonts w:ascii="Arial" w:hAnsi="Arial" w:cs="Arial"/>
                <w:color w:val="000000"/>
                <w:sz w:val="24"/>
                <w:szCs w:val="24"/>
              </w:rPr>
              <w:t xml:space="preserve">250 </w:t>
            </w:r>
          </w:p>
          <w:p w14:paraId="27DC79D3" w14:textId="77777777" w:rsidR="002641D2" w:rsidRPr="00FA3F9C" w:rsidRDefault="002641D2" w:rsidP="0041304F">
            <w:pPr>
              <w:rPr>
                <w:rFonts w:ascii="Arial" w:hAnsi="Arial" w:cs="Arial"/>
                <w:color w:val="000000"/>
                <w:sz w:val="24"/>
                <w:szCs w:val="24"/>
              </w:rPr>
            </w:pPr>
            <w:r w:rsidRPr="00FA3F9C">
              <w:rPr>
                <w:rFonts w:ascii="Arial" w:hAnsi="Arial" w:cs="Arial"/>
                <w:color w:val="000000"/>
                <w:sz w:val="24"/>
                <w:szCs w:val="24"/>
              </w:rPr>
              <w:t xml:space="preserve">500 </w:t>
            </w:r>
          </w:p>
          <w:p w14:paraId="503A5810" w14:textId="77777777" w:rsidR="002641D2" w:rsidRPr="00FA3F9C" w:rsidRDefault="002641D2" w:rsidP="0041304F">
            <w:pPr>
              <w:rPr>
                <w:rFonts w:ascii="Arial" w:hAnsi="Arial" w:cs="Arial"/>
                <w:color w:val="000000"/>
                <w:sz w:val="24"/>
                <w:szCs w:val="24"/>
              </w:rPr>
            </w:pPr>
            <w:r w:rsidRPr="00FA3F9C">
              <w:rPr>
                <w:rFonts w:ascii="Arial" w:hAnsi="Arial" w:cs="Arial"/>
                <w:color w:val="000000"/>
                <w:sz w:val="24"/>
                <w:szCs w:val="24"/>
              </w:rPr>
              <w:t xml:space="preserve">1000 </w:t>
            </w:r>
          </w:p>
          <w:p w14:paraId="69513FD1" w14:textId="77777777" w:rsidR="002641D2" w:rsidRPr="00FA3F9C" w:rsidRDefault="002641D2" w:rsidP="007A5473">
            <w:pPr>
              <w:rPr>
                <w:rFonts w:ascii="Arial" w:eastAsia="Times New Roman" w:hAnsi="Arial" w:cs="Arial"/>
                <w:sz w:val="24"/>
                <w:szCs w:val="24"/>
              </w:rPr>
            </w:pPr>
            <w:r w:rsidRPr="00FA3F9C">
              <w:rPr>
                <w:rFonts w:ascii="Arial" w:hAnsi="Arial" w:cs="Arial"/>
                <w:color w:val="000000"/>
                <w:sz w:val="24"/>
                <w:szCs w:val="24"/>
              </w:rPr>
              <w:t>2000</w:t>
            </w:r>
          </w:p>
        </w:tc>
        <w:tc>
          <w:tcPr>
            <w:tcW w:w="725" w:type="dxa"/>
            <w:shd w:val="clear" w:color="auto" w:fill="CCFFFF"/>
          </w:tcPr>
          <w:p w14:paraId="6D0A253E" w14:textId="77777777" w:rsidR="002641D2" w:rsidRPr="00FA3F9C" w:rsidRDefault="002641D2" w:rsidP="003026F9">
            <w:pPr>
              <w:rPr>
                <w:rFonts w:ascii="Arial" w:eastAsia="Times New Roman" w:hAnsi="Arial" w:cs="Arial"/>
                <w:color w:val="000000"/>
                <w:sz w:val="24"/>
                <w:szCs w:val="24"/>
              </w:rPr>
            </w:pPr>
            <w:r w:rsidRPr="00FA3F9C">
              <w:rPr>
                <w:rFonts w:ascii="Arial" w:eastAsia="Times New Roman" w:hAnsi="Arial" w:cs="Arial"/>
                <w:color w:val="000000"/>
                <w:sz w:val="24"/>
                <w:szCs w:val="24"/>
              </w:rPr>
              <w:t>$1.64</w:t>
            </w:r>
          </w:p>
          <w:p w14:paraId="3943A014" w14:textId="77777777" w:rsidR="002641D2" w:rsidRPr="00FA3F9C" w:rsidRDefault="002641D2" w:rsidP="003026F9">
            <w:pPr>
              <w:rPr>
                <w:rFonts w:ascii="Arial" w:eastAsia="Times New Roman" w:hAnsi="Arial" w:cs="Arial"/>
                <w:color w:val="000000"/>
                <w:sz w:val="24"/>
                <w:szCs w:val="24"/>
              </w:rPr>
            </w:pPr>
            <w:r w:rsidRPr="00FA3F9C">
              <w:rPr>
                <w:rFonts w:ascii="Arial" w:eastAsia="Times New Roman" w:hAnsi="Arial" w:cs="Arial"/>
                <w:color w:val="000000"/>
                <w:sz w:val="24"/>
                <w:szCs w:val="24"/>
              </w:rPr>
              <w:t>$1.64</w:t>
            </w:r>
          </w:p>
          <w:p w14:paraId="7260F01C" w14:textId="77777777" w:rsidR="002641D2" w:rsidRPr="00FA3F9C" w:rsidRDefault="002641D2" w:rsidP="003026F9">
            <w:pPr>
              <w:rPr>
                <w:rFonts w:ascii="Arial" w:eastAsia="Times New Roman" w:hAnsi="Arial" w:cs="Arial"/>
                <w:color w:val="000000"/>
                <w:sz w:val="24"/>
                <w:szCs w:val="24"/>
              </w:rPr>
            </w:pPr>
            <w:r w:rsidRPr="00FA3F9C">
              <w:rPr>
                <w:rFonts w:ascii="Arial" w:eastAsia="Times New Roman" w:hAnsi="Arial" w:cs="Arial"/>
                <w:color w:val="000000"/>
                <w:sz w:val="24"/>
                <w:szCs w:val="24"/>
              </w:rPr>
              <w:t>$1.64</w:t>
            </w:r>
          </w:p>
          <w:p w14:paraId="0BE86201" w14:textId="77777777" w:rsidR="002641D2" w:rsidRPr="00FA3F9C" w:rsidRDefault="002641D2" w:rsidP="003026F9">
            <w:pPr>
              <w:rPr>
                <w:rFonts w:ascii="Arial" w:eastAsia="Times New Roman" w:hAnsi="Arial" w:cs="Arial"/>
                <w:sz w:val="24"/>
                <w:szCs w:val="24"/>
              </w:rPr>
            </w:pPr>
            <w:r w:rsidRPr="00FA3F9C">
              <w:rPr>
                <w:rFonts w:ascii="Arial" w:eastAsia="Times New Roman" w:hAnsi="Arial" w:cs="Arial"/>
                <w:color w:val="000000"/>
                <w:sz w:val="24"/>
                <w:szCs w:val="24"/>
              </w:rPr>
              <w:t>$1.64</w:t>
            </w:r>
          </w:p>
        </w:tc>
        <w:tc>
          <w:tcPr>
            <w:tcW w:w="959" w:type="dxa"/>
            <w:shd w:val="clear" w:color="auto" w:fill="CCFFFF"/>
          </w:tcPr>
          <w:p w14:paraId="6D046F57" w14:textId="77777777" w:rsidR="002641D2" w:rsidRPr="00FA3F9C" w:rsidRDefault="002641D2" w:rsidP="008740F4">
            <w:pPr>
              <w:rPr>
                <w:rFonts w:ascii="Arial" w:eastAsia="Times New Roman" w:hAnsi="Arial" w:cs="Arial"/>
                <w:sz w:val="24"/>
                <w:szCs w:val="24"/>
              </w:rPr>
            </w:pPr>
            <w:r w:rsidRPr="00FA3F9C">
              <w:rPr>
                <w:rFonts w:ascii="Arial" w:eastAsia="Times New Roman" w:hAnsi="Arial" w:cs="Arial"/>
                <w:sz w:val="24"/>
                <w:szCs w:val="24"/>
              </w:rPr>
              <w:t>$410</w:t>
            </w:r>
          </w:p>
          <w:p w14:paraId="5E305889" w14:textId="77777777" w:rsidR="002641D2" w:rsidRPr="00FA3F9C" w:rsidRDefault="002641D2" w:rsidP="008740F4">
            <w:pPr>
              <w:rPr>
                <w:rFonts w:ascii="Arial" w:eastAsia="Times New Roman" w:hAnsi="Arial" w:cs="Arial"/>
                <w:sz w:val="24"/>
                <w:szCs w:val="24"/>
              </w:rPr>
            </w:pPr>
            <w:r w:rsidRPr="00FA3F9C">
              <w:rPr>
                <w:rFonts w:ascii="Arial" w:eastAsia="Times New Roman" w:hAnsi="Arial" w:cs="Arial"/>
                <w:sz w:val="24"/>
                <w:szCs w:val="24"/>
              </w:rPr>
              <w:t>$820</w:t>
            </w:r>
          </w:p>
          <w:p w14:paraId="7FC16A64" w14:textId="77777777" w:rsidR="002641D2" w:rsidRPr="00FA3F9C" w:rsidRDefault="002641D2" w:rsidP="008740F4">
            <w:pPr>
              <w:rPr>
                <w:rFonts w:ascii="Arial" w:eastAsia="Times New Roman" w:hAnsi="Arial" w:cs="Arial"/>
                <w:sz w:val="24"/>
                <w:szCs w:val="24"/>
              </w:rPr>
            </w:pPr>
            <w:r w:rsidRPr="00FA3F9C">
              <w:rPr>
                <w:rFonts w:ascii="Arial" w:eastAsia="Times New Roman" w:hAnsi="Arial" w:cs="Arial"/>
                <w:sz w:val="24"/>
                <w:szCs w:val="24"/>
              </w:rPr>
              <w:t>$1,640</w:t>
            </w:r>
          </w:p>
          <w:p w14:paraId="3A1B6A60" w14:textId="77777777" w:rsidR="002641D2" w:rsidRPr="00FA3F9C" w:rsidRDefault="002641D2" w:rsidP="008740F4">
            <w:pPr>
              <w:rPr>
                <w:rFonts w:ascii="Arial" w:eastAsia="Times New Roman" w:hAnsi="Arial" w:cs="Arial"/>
                <w:sz w:val="24"/>
                <w:szCs w:val="24"/>
              </w:rPr>
            </w:pPr>
            <w:r w:rsidRPr="00FA3F9C">
              <w:rPr>
                <w:rFonts w:ascii="Arial" w:eastAsia="Times New Roman" w:hAnsi="Arial" w:cs="Arial"/>
                <w:sz w:val="24"/>
                <w:szCs w:val="24"/>
              </w:rPr>
              <w:t>$3,280</w:t>
            </w:r>
          </w:p>
        </w:tc>
      </w:tr>
      <w:tr w:rsidR="002641D2" w:rsidRPr="00FA3F9C" w14:paraId="2CDAC08C" w14:textId="77777777" w:rsidTr="008310B0">
        <w:trPr>
          <w:jc w:val="center"/>
        </w:trPr>
        <w:tc>
          <w:tcPr>
            <w:tcW w:w="2425" w:type="dxa"/>
            <w:shd w:val="clear" w:color="auto" w:fill="CCFFFF"/>
          </w:tcPr>
          <w:p w14:paraId="7155C8CE" w14:textId="77777777" w:rsidR="002641D2" w:rsidRPr="00FA3F9C" w:rsidRDefault="002641D2" w:rsidP="003026F9">
            <w:pPr>
              <w:rPr>
                <w:rFonts w:ascii="Arial" w:eastAsia="Times New Roman" w:hAnsi="Arial" w:cs="Arial"/>
                <w:sz w:val="24"/>
                <w:szCs w:val="24"/>
              </w:rPr>
            </w:pPr>
            <w:proofErr w:type="spellStart"/>
            <w:r w:rsidRPr="00FA3F9C">
              <w:rPr>
                <w:rFonts w:ascii="Arial" w:eastAsia="Times New Roman" w:hAnsi="Arial" w:cs="Arial"/>
                <w:sz w:val="24"/>
                <w:szCs w:val="24"/>
              </w:rPr>
              <w:t>Ixinity</w:t>
            </w:r>
            <w:proofErr w:type="spellEnd"/>
          </w:p>
        </w:tc>
        <w:tc>
          <w:tcPr>
            <w:tcW w:w="2737" w:type="dxa"/>
            <w:shd w:val="clear" w:color="auto" w:fill="CCFFFF"/>
          </w:tcPr>
          <w:p w14:paraId="0305817F" w14:textId="77777777" w:rsidR="002641D2" w:rsidRPr="00FA3F9C" w:rsidRDefault="002641D2" w:rsidP="003026F9">
            <w:pPr>
              <w:rPr>
                <w:rFonts w:ascii="Arial" w:eastAsia="Times New Roman" w:hAnsi="Arial" w:cs="Arial"/>
                <w:sz w:val="24"/>
                <w:szCs w:val="24"/>
              </w:rPr>
            </w:pPr>
            <w:r w:rsidRPr="00FA3F9C">
              <w:rPr>
                <w:rFonts w:ascii="Arial" w:eastAsia="Times New Roman" w:hAnsi="Arial" w:cs="Arial"/>
                <w:sz w:val="24"/>
                <w:szCs w:val="24"/>
              </w:rPr>
              <w:t xml:space="preserve">* </w:t>
            </w:r>
            <w:proofErr w:type="gramStart"/>
            <w:r w:rsidRPr="00FA3F9C">
              <w:rPr>
                <w:rFonts w:ascii="Arial" w:eastAsia="Times New Roman" w:hAnsi="Arial" w:cs="Arial"/>
                <w:sz w:val="24"/>
                <w:szCs w:val="24"/>
              </w:rPr>
              <w:t>hemophilia</w:t>
            </w:r>
            <w:proofErr w:type="gramEnd"/>
            <w:r w:rsidRPr="00FA3F9C">
              <w:rPr>
                <w:rFonts w:ascii="Arial" w:eastAsia="Times New Roman" w:hAnsi="Arial" w:cs="Arial"/>
                <w:sz w:val="24"/>
                <w:szCs w:val="24"/>
              </w:rPr>
              <w:t xml:space="preserve"> B (congenital factor IX </w:t>
            </w:r>
            <w:r w:rsidRPr="00FA3F9C">
              <w:rPr>
                <w:rFonts w:ascii="Arial" w:eastAsia="Times New Roman" w:hAnsi="Arial" w:cs="Arial"/>
                <w:sz w:val="24"/>
                <w:szCs w:val="24"/>
              </w:rPr>
              <w:lastRenderedPageBreak/>
              <w:t xml:space="preserve">def or Christmas </w:t>
            </w:r>
            <w:proofErr w:type="spellStart"/>
            <w:r w:rsidRPr="00FA3F9C">
              <w:rPr>
                <w:rFonts w:ascii="Arial" w:eastAsia="Times New Roman" w:hAnsi="Arial" w:cs="Arial"/>
                <w:sz w:val="24"/>
                <w:szCs w:val="24"/>
              </w:rPr>
              <w:t>dz</w:t>
            </w:r>
            <w:proofErr w:type="spellEnd"/>
            <w:r w:rsidRPr="00FA3F9C">
              <w:rPr>
                <w:rFonts w:ascii="Arial" w:eastAsia="Times New Roman" w:hAnsi="Arial" w:cs="Arial"/>
                <w:sz w:val="24"/>
                <w:szCs w:val="24"/>
              </w:rPr>
              <w:t>); ^hemophilia B</w:t>
            </w:r>
          </w:p>
        </w:tc>
        <w:tc>
          <w:tcPr>
            <w:tcW w:w="236" w:type="dxa"/>
            <w:shd w:val="clear" w:color="auto" w:fill="CCFFFF"/>
          </w:tcPr>
          <w:p w14:paraId="0545A5F4" w14:textId="77777777" w:rsidR="002641D2" w:rsidRPr="00FA3F9C" w:rsidRDefault="002641D2" w:rsidP="003026F9">
            <w:pPr>
              <w:rPr>
                <w:rFonts w:ascii="Arial" w:eastAsia="Times New Roman" w:hAnsi="Arial" w:cs="Arial"/>
                <w:sz w:val="24"/>
                <w:szCs w:val="24"/>
              </w:rPr>
            </w:pPr>
          </w:p>
        </w:tc>
        <w:tc>
          <w:tcPr>
            <w:tcW w:w="4227" w:type="dxa"/>
            <w:shd w:val="clear" w:color="auto" w:fill="CCFFFF"/>
          </w:tcPr>
          <w:p w14:paraId="5BFC39B0" w14:textId="77777777" w:rsidR="002641D2" w:rsidRPr="00FA3F9C" w:rsidRDefault="002641D2" w:rsidP="003026F9">
            <w:pPr>
              <w:rPr>
                <w:rFonts w:ascii="Arial" w:eastAsia="Times New Roman" w:hAnsi="Arial" w:cs="Arial"/>
                <w:sz w:val="24"/>
                <w:szCs w:val="24"/>
              </w:rPr>
            </w:pPr>
          </w:p>
        </w:tc>
        <w:tc>
          <w:tcPr>
            <w:tcW w:w="2186" w:type="dxa"/>
            <w:shd w:val="clear" w:color="auto" w:fill="CCFFFF"/>
          </w:tcPr>
          <w:p w14:paraId="763E00AC" w14:textId="77777777" w:rsidR="002641D2" w:rsidRPr="00FA3F9C" w:rsidRDefault="002641D2" w:rsidP="0041304F">
            <w:pPr>
              <w:rPr>
                <w:rFonts w:ascii="Arial" w:hAnsi="Arial" w:cs="Arial"/>
                <w:color w:val="000000"/>
                <w:sz w:val="24"/>
                <w:szCs w:val="24"/>
              </w:rPr>
            </w:pPr>
            <w:r w:rsidRPr="00FA3F9C">
              <w:rPr>
                <w:rFonts w:ascii="Arial" w:hAnsi="Arial" w:cs="Arial"/>
                <w:color w:val="000000"/>
                <w:sz w:val="24"/>
                <w:szCs w:val="24"/>
              </w:rPr>
              <w:t xml:space="preserve">500 </w:t>
            </w:r>
          </w:p>
          <w:p w14:paraId="43ACBF0B" w14:textId="77777777" w:rsidR="002641D2" w:rsidRPr="00FA3F9C" w:rsidRDefault="002641D2" w:rsidP="0041304F">
            <w:pPr>
              <w:rPr>
                <w:rFonts w:ascii="Arial" w:hAnsi="Arial" w:cs="Arial"/>
                <w:color w:val="000000"/>
                <w:sz w:val="24"/>
                <w:szCs w:val="24"/>
              </w:rPr>
            </w:pPr>
            <w:r w:rsidRPr="00FA3F9C">
              <w:rPr>
                <w:rFonts w:ascii="Arial" w:hAnsi="Arial" w:cs="Arial"/>
                <w:color w:val="000000"/>
                <w:sz w:val="24"/>
                <w:szCs w:val="24"/>
              </w:rPr>
              <w:t xml:space="preserve">1000 </w:t>
            </w:r>
          </w:p>
          <w:p w14:paraId="5529ECE0" w14:textId="77777777" w:rsidR="002641D2" w:rsidRPr="00FA3F9C" w:rsidRDefault="002641D2" w:rsidP="007A5473">
            <w:pPr>
              <w:rPr>
                <w:rFonts w:ascii="Arial" w:eastAsia="Times New Roman" w:hAnsi="Arial" w:cs="Arial"/>
                <w:sz w:val="24"/>
                <w:szCs w:val="24"/>
              </w:rPr>
            </w:pPr>
            <w:r w:rsidRPr="00FA3F9C">
              <w:rPr>
                <w:rFonts w:ascii="Arial" w:eastAsia="Times New Roman" w:hAnsi="Arial" w:cs="Arial"/>
                <w:sz w:val="24"/>
                <w:szCs w:val="24"/>
              </w:rPr>
              <w:t>1500</w:t>
            </w:r>
          </w:p>
        </w:tc>
        <w:tc>
          <w:tcPr>
            <w:tcW w:w="725" w:type="dxa"/>
            <w:shd w:val="clear" w:color="auto" w:fill="CCFFFF"/>
          </w:tcPr>
          <w:p w14:paraId="44712C16" w14:textId="77777777" w:rsidR="002641D2" w:rsidRPr="00FA3F9C" w:rsidRDefault="002641D2" w:rsidP="003026F9">
            <w:pPr>
              <w:rPr>
                <w:rFonts w:ascii="Arial" w:eastAsia="Times New Roman" w:hAnsi="Arial" w:cs="Arial"/>
                <w:color w:val="000000"/>
                <w:sz w:val="24"/>
                <w:szCs w:val="24"/>
              </w:rPr>
            </w:pPr>
            <w:r w:rsidRPr="00FA3F9C">
              <w:rPr>
                <w:rFonts w:ascii="Arial" w:eastAsia="Times New Roman" w:hAnsi="Arial" w:cs="Arial"/>
                <w:color w:val="000000"/>
                <w:sz w:val="24"/>
                <w:szCs w:val="24"/>
              </w:rPr>
              <w:t>$1.78</w:t>
            </w:r>
          </w:p>
          <w:p w14:paraId="44B5123F" w14:textId="77777777" w:rsidR="002641D2" w:rsidRPr="00FA3F9C" w:rsidRDefault="002641D2" w:rsidP="003026F9">
            <w:pPr>
              <w:rPr>
                <w:rFonts w:ascii="Arial" w:eastAsia="Times New Roman" w:hAnsi="Arial" w:cs="Arial"/>
                <w:color w:val="000000"/>
                <w:sz w:val="24"/>
                <w:szCs w:val="24"/>
              </w:rPr>
            </w:pPr>
            <w:r w:rsidRPr="00FA3F9C">
              <w:rPr>
                <w:rFonts w:ascii="Arial" w:eastAsia="Times New Roman" w:hAnsi="Arial" w:cs="Arial"/>
                <w:color w:val="000000"/>
                <w:sz w:val="24"/>
                <w:szCs w:val="24"/>
              </w:rPr>
              <w:lastRenderedPageBreak/>
              <w:t>$1.78</w:t>
            </w:r>
          </w:p>
          <w:p w14:paraId="7189D4F3" w14:textId="77777777" w:rsidR="002641D2" w:rsidRPr="00FA3F9C" w:rsidRDefault="002641D2" w:rsidP="003026F9">
            <w:pPr>
              <w:rPr>
                <w:rFonts w:ascii="Arial" w:eastAsia="Times New Roman" w:hAnsi="Arial" w:cs="Arial"/>
                <w:color w:val="000000"/>
                <w:sz w:val="24"/>
                <w:szCs w:val="24"/>
              </w:rPr>
            </w:pPr>
            <w:r w:rsidRPr="00FA3F9C">
              <w:rPr>
                <w:rFonts w:ascii="Arial" w:eastAsia="Times New Roman" w:hAnsi="Arial" w:cs="Arial"/>
                <w:color w:val="000000"/>
                <w:sz w:val="24"/>
                <w:szCs w:val="24"/>
              </w:rPr>
              <w:t>$1.78</w:t>
            </w:r>
          </w:p>
        </w:tc>
        <w:tc>
          <w:tcPr>
            <w:tcW w:w="959" w:type="dxa"/>
            <w:shd w:val="clear" w:color="auto" w:fill="CCFFFF"/>
          </w:tcPr>
          <w:p w14:paraId="4FBB54DB" w14:textId="77777777" w:rsidR="002641D2" w:rsidRPr="00FA3F9C" w:rsidRDefault="002641D2" w:rsidP="008740F4">
            <w:pPr>
              <w:rPr>
                <w:rFonts w:ascii="Arial" w:eastAsia="Times New Roman" w:hAnsi="Arial" w:cs="Arial"/>
                <w:sz w:val="24"/>
                <w:szCs w:val="24"/>
              </w:rPr>
            </w:pPr>
            <w:r w:rsidRPr="00FA3F9C">
              <w:rPr>
                <w:rFonts w:ascii="Arial" w:eastAsia="Times New Roman" w:hAnsi="Arial" w:cs="Arial"/>
                <w:sz w:val="24"/>
                <w:szCs w:val="24"/>
              </w:rPr>
              <w:lastRenderedPageBreak/>
              <w:t>$890</w:t>
            </w:r>
          </w:p>
          <w:p w14:paraId="60B322A8" w14:textId="77777777" w:rsidR="002641D2" w:rsidRPr="00FA3F9C" w:rsidRDefault="002641D2" w:rsidP="008740F4">
            <w:pPr>
              <w:rPr>
                <w:rFonts w:ascii="Arial" w:eastAsia="Times New Roman" w:hAnsi="Arial" w:cs="Arial"/>
                <w:sz w:val="24"/>
                <w:szCs w:val="24"/>
              </w:rPr>
            </w:pPr>
            <w:r w:rsidRPr="00FA3F9C">
              <w:rPr>
                <w:rFonts w:ascii="Arial" w:eastAsia="Times New Roman" w:hAnsi="Arial" w:cs="Arial"/>
                <w:sz w:val="24"/>
                <w:szCs w:val="24"/>
              </w:rPr>
              <w:t>$1,780</w:t>
            </w:r>
          </w:p>
          <w:p w14:paraId="534583B6" w14:textId="77777777" w:rsidR="002641D2" w:rsidRPr="00FA3F9C" w:rsidRDefault="002641D2" w:rsidP="008740F4">
            <w:pPr>
              <w:rPr>
                <w:rFonts w:ascii="Arial" w:eastAsia="Times New Roman" w:hAnsi="Arial" w:cs="Arial"/>
                <w:sz w:val="24"/>
                <w:szCs w:val="24"/>
              </w:rPr>
            </w:pPr>
            <w:r w:rsidRPr="00FA3F9C">
              <w:rPr>
                <w:rFonts w:ascii="Arial" w:eastAsia="Times New Roman" w:hAnsi="Arial" w:cs="Arial"/>
                <w:sz w:val="24"/>
                <w:szCs w:val="24"/>
              </w:rPr>
              <w:t>$267</w:t>
            </w:r>
          </w:p>
        </w:tc>
      </w:tr>
      <w:tr w:rsidR="002641D2" w:rsidRPr="00FA3F9C" w14:paraId="00B85F29" w14:textId="77777777" w:rsidTr="008310B0">
        <w:trPr>
          <w:jc w:val="center"/>
        </w:trPr>
        <w:tc>
          <w:tcPr>
            <w:tcW w:w="2425" w:type="dxa"/>
            <w:tcBorders>
              <w:bottom w:val="single" w:sz="4" w:space="0" w:color="auto"/>
            </w:tcBorders>
            <w:shd w:val="clear" w:color="auto" w:fill="CCFFFF"/>
          </w:tcPr>
          <w:p w14:paraId="5F19961F" w14:textId="77777777" w:rsidR="002641D2" w:rsidRPr="00FA3F9C" w:rsidRDefault="002641D2" w:rsidP="003026F9">
            <w:pPr>
              <w:rPr>
                <w:rFonts w:ascii="Arial" w:eastAsia="Times New Roman" w:hAnsi="Arial" w:cs="Arial"/>
                <w:sz w:val="24"/>
                <w:szCs w:val="24"/>
              </w:rPr>
            </w:pPr>
            <w:proofErr w:type="spellStart"/>
            <w:r w:rsidRPr="00FA3F9C">
              <w:rPr>
                <w:rFonts w:ascii="Arial" w:eastAsia="Times New Roman" w:hAnsi="Arial" w:cs="Arial"/>
                <w:sz w:val="24"/>
                <w:szCs w:val="24"/>
              </w:rPr>
              <w:t>Rixubis</w:t>
            </w:r>
            <w:proofErr w:type="spellEnd"/>
          </w:p>
          <w:p w14:paraId="73A1063D" w14:textId="77777777" w:rsidR="002641D2" w:rsidRPr="00FA3F9C" w:rsidRDefault="002641D2" w:rsidP="003026F9">
            <w:pPr>
              <w:rPr>
                <w:rFonts w:ascii="Arial" w:eastAsia="Times New Roman" w:hAnsi="Arial" w:cs="Arial"/>
                <w:sz w:val="24"/>
                <w:szCs w:val="24"/>
              </w:rPr>
            </w:pPr>
          </w:p>
        </w:tc>
        <w:tc>
          <w:tcPr>
            <w:tcW w:w="2737" w:type="dxa"/>
            <w:tcBorders>
              <w:bottom w:val="single" w:sz="4" w:space="0" w:color="auto"/>
            </w:tcBorders>
            <w:shd w:val="clear" w:color="auto" w:fill="CCFFFF"/>
          </w:tcPr>
          <w:p w14:paraId="03795058" w14:textId="77777777" w:rsidR="002641D2" w:rsidRPr="00FA3F9C" w:rsidRDefault="002641D2" w:rsidP="0041304F">
            <w:pPr>
              <w:rPr>
                <w:rFonts w:ascii="Arial" w:eastAsia="Times New Roman" w:hAnsi="Arial" w:cs="Arial"/>
                <w:sz w:val="24"/>
                <w:szCs w:val="24"/>
              </w:rPr>
            </w:pPr>
            <w:r w:rsidRPr="00FA3F9C">
              <w:rPr>
                <w:rFonts w:ascii="Arial" w:eastAsia="Times New Roman" w:hAnsi="Arial" w:cs="Arial"/>
                <w:sz w:val="24"/>
                <w:szCs w:val="24"/>
              </w:rPr>
              <w:t>#</w:t>
            </w:r>
            <w:proofErr w:type="gramStart"/>
            <w:r w:rsidRPr="00FA3F9C">
              <w:rPr>
                <w:rFonts w:ascii="Arial" w:eastAsia="Times New Roman" w:hAnsi="Arial" w:cs="Arial"/>
                <w:sz w:val="24"/>
                <w:szCs w:val="24"/>
              </w:rPr>
              <w:t>hemophilia</w:t>
            </w:r>
            <w:proofErr w:type="gramEnd"/>
            <w:r w:rsidRPr="00FA3F9C">
              <w:rPr>
                <w:rFonts w:ascii="Arial" w:eastAsia="Times New Roman" w:hAnsi="Arial" w:cs="Arial"/>
                <w:sz w:val="24"/>
                <w:szCs w:val="24"/>
              </w:rPr>
              <w:t xml:space="preserve"> B</w:t>
            </w:r>
          </w:p>
        </w:tc>
        <w:tc>
          <w:tcPr>
            <w:tcW w:w="236" w:type="dxa"/>
            <w:tcBorders>
              <w:bottom w:val="single" w:sz="4" w:space="0" w:color="auto"/>
            </w:tcBorders>
            <w:shd w:val="clear" w:color="auto" w:fill="CCFFFF"/>
          </w:tcPr>
          <w:p w14:paraId="600BEEF2" w14:textId="77777777" w:rsidR="002641D2" w:rsidRPr="00FA3F9C" w:rsidRDefault="002641D2" w:rsidP="0041304F">
            <w:pPr>
              <w:rPr>
                <w:rFonts w:ascii="Arial" w:eastAsia="Times New Roman" w:hAnsi="Arial" w:cs="Arial"/>
                <w:sz w:val="24"/>
                <w:szCs w:val="24"/>
              </w:rPr>
            </w:pPr>
          </w:p>
        </w:tc>
        <w:tc>
          <w:tcPr>
            <w:tcW w:w="4227" w:type="dxa"/>
            <w:tcBorders>
              <w:bottom w:val="single" w:sz="4" w:space="0" w:color="auto"/>
            </w:tcBorders>
            <w:shd w:val="clear" w:color="auto" w:fill="CCFFFF"/>
          </w:tcPr>
          <w:p w14:paraId="44DAB5D8" w14:textId="77777777" w:rsidR="002641D2" w:rsidRPr="00FA3F9C" w:rsidRDefault="002641D2" w:rsidP="0041304F">
            <w:pPr>
              <w:rPr>
                <w:rFonts w:ascii="Arial" w:eastAsia="Times New Roman" w:hAnsi="Arial" w:cs="Arial"/>
                <w:sz w:val="24"/>
                <w:szCs w:val="24"/>
              </w:rPr>
            </w:pPr>
            <w:r w:rsidRPr="00FA3F9C">
              <w:rPr>
                <w:rFonts w:ascii="Arial" w:eastAsia="Times New Roman" w:hAnsi="Arial" w:cs="Arial"/>
                <w:sz w:val="24"/>
                <w:szCs w:val="24"/>
              </w:rPr>
              <w:t>40 to 60 (80 in children) units/kg twice weekly; may titrate dose depending upon age, bleeding pattern, and physical activity</w:t>
            </w:r>
          </w:p>
        </w:tc>
        <w:tc>
          <w:tcPr>
            <w:tcW w:w="2186" w:type="dxa"/>
            <w:tcBorders>
              <w:bottom w:val="single" w:sz="4" w:space="0" w:color="auto"/>
            </w:tcBorders>
            <w:shd w:val="clear" w:color="auto" w:fill="CCFFFF"/>
          </w:tcPr>
          <w:p w14:paraId="157F09F2" w14:textId="77777777" w:rsidR="002641D2" w:rsidRPr="00FA3F9C" w:rsidRDefault="002641D2" w:rsidP="003026F9">
            <w:pPr>
              <w:rPr>
                <w:rFonts w:ascii="Arial" w:eastAsia="Times New Roman" w:hAnsi="Arial" w:cs="Arial"/>
                <w:sz w:val="24"/>
                <w:szCs w:val="24"/>
              </w:rPr>
            </w:pPr>
          </w:p>
        </w:tc>
        <w:tc>
          <w:tcPr>
            <w:tcW w:w="725" w:type="dxa"/>
            <w:tcBorders>
              <w:bottom w:val="single" w:sz="4" w:space="0" w:color="auto"/>
            </w:tcBorders>
            <w:shd w:val="clear" w:color="auto" w:fill="CCFFFF"/>
          </w:tcPr>
          <w:p w14:paraId="45AD40A9" w14:textId="77777777" w:rsidR="002641D2" w:rsidRPr="00FA3F9C" w:rsidRDefault="002641D2" w:rsidP="003026F9">
            <w:pPr>
              <w:rPr>
                <w:rFonts w:ascii="Arial" w:eastAsia="Times New Roman" w:hAnsi="Arial" w:cs="Arial"/>
                <w:sz w:val="24"/>
                <w:szCs w:val="24"/>
              </w:rPr>
            </w:pPr>
          </w:p>
        </w:tc>
        <w:tc>
          <w:tcPr>
            <w:tcW w:w="959" w:type="dxa"/>
            <w:tcBorders>
              <w:bottom w:val="single" w:sz="4" w:space="0" w:color="auto"/>
            </w:tcBorders>
            <w:shd w:val="clear" w:color="auto" w:fill="CCFFFF"/>
          </w:tcPr>
          <w:p w14:paraId="229672A1" w14:textId="77777777" w:rsidR="002641D2" w:rsidRPr="00FA3F9C" w:rsidRDefault="002641D2" w:rsidP="003026F9">
            <w:pPr>
              <w:rPr>
                <w:rFonts w:ascii="Arial" w:eastAsia="Times New Roman" w:hAnsi="Arial" w:cs="Arial"/>
                <w:sz w:val="24"/>
                <w:szCs w:val="24"/>
              </w:rPr>
            </w:pPr>
          </w:p>
        </w:tc>
      </w:tr>
      <w:tr w:rsidR="002641D2" w:rsidRPr="00FA3F9C" w14:paraId="4E5ECC5F" w14:textId="77777777" w:rsidTr="008310B0">
        <w:trPr>
          <w:jc w:val="center"/>
        </w:trPr>
        <w:tc>
          <w:tcPr>
            <w:tcW w:w="13495" w:type="dxa"/>
            <w:gridSpan w:val="7"/>
            <w:shd w:val="clear" w:color="auto" w:fill="000000"/>
          </w:tcPr>
          <w:p w14:paraId="3C27651D" w14:textId="77777777" w:rsidR="002641D2" w:rsidRPr="00FA3F9C" w:rsidRDefault="002641D2" w:rsidP="008740F4">
            <w:pPr>
              <w:rPr>
                <w:rFonts w:ascii="Arial" w:eastAsia="Times New Roman" w:hAnsi="Arial" w:cs="Arial"/>
                <w:sz w:val="24"/>
                <w:szCs w:val="24"/>
              </w:rPr>
            </w:pPr>
            <w:r w:rsidRPr="00FA3F9C">
              <w:rPr>
                <w:rFonts w:ascii="Arial" w:eastAsia="Times New Roman" w:hAnsi="Arial" w:cs="Arial"/>
                <w:sz w:val="24"/>
                <w:szCs w:val="24"/>
              </w:rPr>
              <w:t xml:space="preserve">Factor IX Recombinant factor IX-Fc fusion </w:t>
            </w:r>
          </w:p>
        </w:tc>
      </w:tr>
      <w:tr w:rsidR="002641D2" w:rsidRPr="00FA3F9C" w14:paraId="400A1353" w14:textId="77777777" w:rsidTr="008310B0">
        <w:trPr>
          <w:jc w:val="center"/>
        </w:trPr>
        <w:tc>
          <w:tcPr>
            <w:tcW w:w="2425" w:type="dxa"/>
            <w:tcBorders>
              <w:bottom w:val="single" w:sz="4" w:space="0" w:color="auto"/>
            </w:tcBorders>
            <w:shd w:val="clear" w:color="auto" w:fill="CCFF66"/>
          </w:tcPr>
          <w:p w14:paraId="25D33EB7" w14:textId="77777777" w:rsidR="002641D2" w:rsidRPr="00FA3F9C" w:rsidRDefault="002641D2" w:rsidP="003026F9">
            <w:pPr>
              <w:rPr>
                <w:rFonts w:ascii="Arial" w:eastAsia="Times New Roman" w:hAnsi="Arial" w:cs="Arial"/>
                <w:sz w:val="24"/>
                <w:szCs w:val="24"/>
              </w:rPr>
            </w:pPr>
            <w:proofErr w:type="spellStart"/>
            <w:r w:rsidRPr="00FA3F9C">
              <w:rPr>
                <w:rFonts w:ascii="Arial" w:eastAsia="Times New Roman" w:hAnsi="Arial" w:cs="Arial"/>
                <w:sz w:val="24"/>
                <w:szCs w:val="24"/>
              </w:rPr>
              <w:t>Alprolix</w:t>
            </w:r>
            <w:proofErr w:type="spellEnd"/>
            <w:r w:rsidRPr="00FA3F9C">
              <w:rPr>
                <w:rFonts w:ascii="Arial" w:eastAsia="Times New Roman" w:hAnsi="Arial" w:cs="Arial"/>
                <w:sz w:val="24"/>
                <w:szCs w:val="24"/>
              </w:rPr>
              <w:t xml:space="preserve"> (fusion of factor IX to a monomeric human immunoglobulin Fc domain (</w:t>
            </w:r>
            <w:proofErr w:type="spellStart"/>
            <w:r w:rsidRPr="00FA3F9C">
              <w:rPr>
                <w:rFonts w:ascii="Arial" w:eastAsia="Times New Roman" w:hAnsi="Arial" w:cs="Arial"/>
                <w:sz w:val="24"/>
                <w:szCs w:val="24"/>
              </w:rPr>
              <w:t>rFIXFc</w:t>
            </w:r>
            <w:proofErr w:type="spellEnd"/>
            <w:r w:rsidRPr="00FA3F9C">
              <w:rPr>
                <w:rFonts w:ascii="Arial" w:eastAsia="Times New Roman" w:hAnsi="Arial" w:cs="Arial"/>
                <w:sz w:val="24"/>
                <w:szCs w:val="24"/>
              </w:rPr>
              <w:t>); t 1/2 =54-90h</w:t>
            </w:r>
          </w:p>
        </w:tc>
        <w:tc>
          <w:tcPr>
            <w:tcW w:w="2737" w:type="dxa"/>
            <w:tcBorders>
              <w:bottom w:val="single" w:sz="4" w:space="0" w:color="auto"/>
            </w:tcBorders>
            <w:shd w:val="clear" w:color="auto" w:fill="CCFF66"/>
          </w:tcPr>
          <w:p w14:paraId="3419C308" w14:textId="77777777" w:rsidR="002641D2" w:rsidRPr="00FA3F9C" w:rsidRDefault="002641D2" w:rsidP="003026F9">
            <w:pPr>
              <w:rPr>
                <w:rFonts w:ascii="Arial" w:eastAsia="Times New Roman" w:hAnsi="Arial" w:cs="Arial"/>
                <w:sz w:val="24"/>
                <w:szCs w:val="24"/>
              </w:rPr>
            </w:pPr>
            <w:r w:rsidRPr="00FA3F9C">
              <w:rPr>
                <w:rFonts w:ascii="Arial" w:eastAsia="Times New Roman" w:hAnsi="Arial" w:cs="Arial"/>
                <w:sz w:val="24"/>
                <w:szCs w:val="24"/>
              </w:rPr>
              <w:t>#</w:t>
            </w:r>
            <w:proofErr w:type="gramStart"/>
            <w:r w:rsidRPr="00FA3F9C">
              <w:rPr>
                <w:rFonts w:ascii="Arial" w:eastAsia="Times New Roman" w:hAnsi="Arial" w:cs="Arial"/>
                <w:sz w:val="24"/>
                <w:szCs w:val="24"/>
              </w:rPr>
              <w:t>hemophilia</w:t>
            </w:r>
            <w:proofErr w:type="gramEnd"/>
            <w:r w:rsidRPr="00FA3F9C">
              <w:rPr>
                <w:rFonts w:ascii="Arial" w:eastAsia="Times New Roman" w:hAnsi="Arial" w:cs="Arial"/>
                <w:sz w:val="24"/>
                <w:szCs w:val="24"/>
              </w:rPr>
              <w:t xml:space="preserve"> B</w:t>
            </w:r>
          </w:p>
        </w:tc>
        <w:tc>
          <w:tcPr>
            <w:tcW w:w="236" w:type="dxa"/>
            <w:tcBorders>
              <w:bottom w:val="single" w:sz="4" w:space="0" w:color="auto"/>
            </w:tcBorders>
            <w:shd w:val="clear" w:color="auto" w:fill="CCFF66"/>
          </w:tcPr>
          <w:p w14:paraId="5B5BC77F" w14:textId="77777777" w:rsidR="002641D2" w:rsidRPr="00FA3F9C" w:rsidRDefault="002641D2" w:rsidP="003026F9">
            <w:pPr>
              <w:rPr>
                <w:rFonts w:ascii="Arial" w:eastAsia="Times New Roman" w:hAnsi="Arial" w:cs="Arial"/>
                <w:sz w:val="24"/>
                <w:szCs w:val="24"/>
              </w:rPr>
            </w:pPr>
          </w:p>
        </w:tc>
        <w:tc>
          <w:tcPr>
            <w:tcW w:w="4227" w:type="dxa"/>
            <w:tcBorders>
              <w:bottom w:val="single" w:sz="4" w:space="0" w:color="auto"/>
            </w:tcBorders>
            <w:shd w:val="clear" w:color="auto" w:fill="CCFF66"/>
          </w:tcPr>
          <w:p w14:paraId="6B0138D0" w14:textId="77777777" w:rsidR="002641D2" w:rsidRPr="00FA3F9C" w:rsidRDefault="002641D2" w:rsidP="003026F9">
            <w:pPr>
              <w:rPr>
                <w:rFonts w:ascii="Arial" w:eastAsia="Times New Roman" w:hAnsi="Arial" w:cs="Arial"/>
                <w:sz w:val="24"/>
                <w:szCs w:val="24"/>
              </w:rPr>
            </w:pPr>
            <w:r w:rsidRPr="00FA3F9C">
              <w:rPr>
                <w:rFonts w:ascii="Arial" w:eastAsia="Times New Roman" w:hAnsi="Arial" w:cs="Arial"/>
                <w:sz w:val="24"/>
                <w:szCs w:val="24"/>
              </w:rPr>
              <w:t>50 units/kg once weekly or 100 units/kg once every 10 days; adjust dose based on individual response</w:t>
            </w:r>
          </w:p>
        </w:tc>
        <w:tc>
          <w:tcPr>
            <w:tcW w:w="2186" w:type="dxa"/>
            <w:tcBorders>
              <w:bottom w:val="single" w:sz="4" w:space="0" w:color="auto"/>
            </w:tcBorders>
            <w:shd w:val="clear" w:color="auto" w:fill="CCFF66"/>
          </w:tcPr>
          <w:p w14:paraId="28ED700F" w14:textId="77777777" w:rsidR="002641D2" w:rsidRPr="00FA3F9C" w:rsidRDefault="002641D2" w:rsidP="00E475CF">
            <w:pPr>
              <w:rPr>
                <w:rFonts w:ascii="Arial" w:eastAsia="Times New Roman" w:hAnsi="Arial" w:cs="Arial"/>
                <w:color w:val="000000"/>
                <w:sz w:val="24"/>
                <w:szCs w:val="24"/>
              </w:rPr>
            </w:pPr>
            <w:r w:rsidRPr="00FA3F9C">
              <w:rPr>
                <w:rFonts w:ascii="Arial" w:eastAsia="Times New Roman" w:hAnsi="Arial" w:cs="Arial"/>
                <w:color w:val="000000"/>
                <w:sz w:val="24"/>
                <w:szCs w:val="24"/>
              </w:rPr>
              <w:t xml:space="preserve">500 </w:t>
            </w:r>
          </w:p>
          <w:p w14:paraId="37F0C9E3" w14:textId="77777777" w:rsidR="002641D2" w:rsidRPr="00FA3F9C" w:rsidRDefault="002641D2" w:rsidP="00E475CF">
            <w:pPr>
              <w:rPr>
                <w:rFonts w:ascii="Arial" w:eastAsia="Times New Roman" w:hAnsi="Arial" w:cs="Arial"/>
                <w:color w:val="000000"/>
                <w:sz w:val="24"/>
                <w:szCs w:val="24"/>
              </w:rPr>
            </w:pPr>
            <w:r w:rsidRPr="00FA3F9C">
              <w:rPr>
                <w:rFonts w:ascii="Arial" w:eastAsia="Times New Roman" w:hAnsi="Arial" w:cs="Arial"/>
                <w:color w:val="000000"/>
                <w:sz w:val="24"/>
                <w:szCs w:val="24"/>
              </w:rPr>
              <w:t xml:space="preserve">1000 </w:t>
            </w:r>
          </w:p>
          <w:p w14:paraId="2B7DEC86" w14:textId="77777777" w:rsidR="002641D2" w:rsidRPr="00FA3F9C" w:rsidRDefault="002641D2" w:rsidP="00E475CF">
            <w:pPr>
              <w:rPr>
                <w:rFonts w:ascii="Arial" w:eastAsia="Times New Roman" w:hAnsi="Arial" w:cs="Arial"/>
                <w:color w:val="000000"/>
                <w:sz w:val="24"/>
                <w:szCs w:val="24"/>
              </w:rPr>
            </w:pPr>
            <w:r w:rsidRPr="00FA3F9C">
              <w:rPr>
                <w:rFonts w:ascii="Arial" w:eastAsia="Times New Roman" w:hAnsi="Arial" w:cs="Arial"/>
                <w:color w:val="000000"/>
                <w:sz w:val="24"/>
                <w:szCs w:val="24"/>
              </w:rPr>
              <w:t>2000</w:t>
            </w:r>
          </w:p>
          <w:p w14:paraId="18E7891A" w14:textId="77777777" w:rsidR="002641D2" w:rsidRPr="00FA3F9C" w:rsidRDefault="002641D2" w:rsidP="007A5473">
            <w:pPr>
              <w:rPr>
                <w:rFonts w:ascii="Arial" w:hAnsi="Arial" w:cs="Arial"/>
                <w:color w:val="000000"/>
                <w:sz w:val="24"/>
                <w:szCs w:val="24"/>
              </w:rPr>
            </w:pPr>
            <w:r w:rsidRPr="00FA3F9C">
              <w:rPr>
                <w:rFonts w:ascii="Arial" w:eastAsia="Times New Roman" w:hAnsi="Arial" w:cs="Arial"/>
                <w:color w:val="000000"/>
                <w:sz w:val="24"/>
                <w:szCs w:val="24"/>
              </w:rPr>
              <w:t>3000</w:t>
            </w:r>
          </w:p>
        </w:tc>
        <w:tc>
          <w:tcPr>
            <w:tcW w:w="725" w:type="dxa"/>
            <w:tcBorders>
              <w:bottom w:val="single" w:sz="4" w:space="0" w:color="auto"/>
            </w:tcBorders>
            <w:shd w:val="clear" w:color="auto" w:fill="CCFF66"/>
          </w:tcPr>
          <w:p w14:paraId="05837BAC" w14:textId="77777777" w:rsidR="002641D2" w:rsidRPr="00FA3F9C" w:rsidRDefault="002641D2" w:rsidP="00E475CF">
            <w:pPr>
              <w:rPr>
                <w:rFonts w:ascii="Arial" w:eastAsia="Times New Roman" w:hAnsi="Arial" w:cs="Arial"/>
                <w:color w:val="000000"/>
                <w:sz w:val="24"/>
                <w:szCs w:val="24"/>
              </w:rPr>
            </w:pPr>
            <w:r w:rsidRPr="00FA3F9C">
              <w:rPr>
                <w:rFonts w:ascii="Arial" w:eastAsia="Times New Roman" w:hAnsi="Arial" w:cs="Arial"/>
                <w:color w:val="000000"/>
                <w:sz w:val="24"/>
                <w:szCs w:val="24"/>
              </w:rPr>
              <w:t>$3.42</w:t>
            </w:r>
          </w:p>
          <w:p w14:paraId="202C2511" w14:textId="77777777" w:rsidR="002641D2" w:rsidRPr="00FA3F9C" w:rsidRDefault="002641D2" w:rsidP="00E475CF">
            <w:pPr>
              <w:rPr>
                <w:rFonts w:ascii="Arial" w:eastAsia="Times New Roman" w:hAnsi="Arial" w:cs="Arial"/>
                <w:color w:val="000000"/>
                <w:sz w:val="24"/>
                <w:szCs w:val="24"/>
              </w:rPr>
            </w:pPr>
            <w:r w:rsidRPr="00FA3F9C">
              <w:rPr>
                <w:rFonts w:ascii="Arial" w:eastAsia="Times New Roman" w:hAnsi="Arial" w:cs="Arial"/>
                <w:color w:val="000000"/>
                <w:sz w:val="24"/>
                <w:szCs w:val="24"/>
              </w:rPr>
              <w:t>$3.42</w:t>
            </w:r>
          </w:p>
          <w:p w14:paraId="5896BDC3" w14:textId="77777777" w:rsidR="002641D2" w:rsidRPr="00FA3F9C" w:rsidRDefault="002641D2" w:rsidP="00E475CF">
            <w:pPr>
              <w:rPr>
                <w:rFonts w:ascii="Arial" w:eastAsia="Times New Roman" w:hAnsi="Arial" w:cs="Arial"/>
                <w:color w:val="000000"/>
                <w:sz w:val="24"/>
                <w:szCs w:val="24"/>
              </w:rPr>
            </w:pPr>
            <w:r w:rsidRPr="00FA3F9C">
              <w:rPr>
                <w:rFonts w:ascii="Arial" w:eastAsia="Times New Roman" w:hAnsi="Arial" w:cs="Arial"/>
                <w:color w:val="000000"/>
                <w:sz w:val="24"/>
                <w:szCs w:val="24"/>
              </w:rPr>
              <w:t>$3.42</w:t>
            </w:r>
          </w:p>
          <w:p w14:paraId="29FAD1B6" w14:textId="77777777" w:rsidR="002641D2" w:rsidRPr="00FA3F9C" w:rsidRDefault="002641D2" w:rsidP="003026F9">
            <w:pPr>
              <w:rPr>
                <w:rFonts w:ascii="Arial" w:eastAsia="Times New Roman" w:hAnsi="Arial" w:cs="Arial"/>
                <w:color w:val="000000"/>
                <w:sz w:val="24"/>
                <w:szCs w:val="24"/>
              </w:rPr>
            </w:pPr>
            <w:r w:rsidRPr="00FA3F9C">
              <w:rPr>
                <w:rFonts w:ascii="Arial" w:eastAsia="Times New Roman" w:hAnsi="Arial" w:cs="Arial"/>
                <w:color w:val="000000"/>
                <w:sz w:val="24"/>
                <w:szCs w:val="24"/>
              </w:rPr>
              <w:t>$3.42</w:t>
            </w:r>
          </w:p>
        </w:tc>
        <w:tc>
          <w:tcPr>
            <w:tcW w:w="959" w:type="dxa"/>
            <w:tcBorders>
              <w:bottom w:val="single" w:sz="4" w:space="0" w:color="auto"/>
            </w:tcBorders>
            <w:shd w:val="clear" w:color="auto" w:fill="CCFF66"/>
          </w:tcPr>
          <w:p w14:paraId="164BEDDD" w14:textId="77777777" w:rsidR="002641D2" w:rsidRPr="00FA3F9C" w:rsidRDefault="002641D2" w:rsidP="00E475CF">
            <w:pPr>
              <w:rPr>
                <w:rFonts w:ascii="Arial" w:eastAsia="Times New Roman" w:hAnsi="Arial" w:cs="Arial"/>
                <w:sz w:val="24"/>
                <w:szCs w:val="24"/>
              </w:rPr>
            </w:pPr>
            <w:r w:rsidRPr="00FA3F9C">
              <w:rPr>
                <w:rFonts w:ascii="Arial" w:eastAsia="Times New Roman" w:hAnsi="Arial" w:cs="Arial"/>
                <w:sz w:val="24"/>
                <w:szCs w:val="24"/>
              </w:rPr>
              <w:t>$1,710</w:t>
            </w:r>
          </w:p>
          <w:p w14:paraId="79F0FA58" w14:textId="77777777" w:rsidR="002641D2" w:rsidRPr="00FA3F9C" w:rsidRDefault="002641D2" w:rsidP="00E475CF">
            <w:pPr>
              <w:rPr>
                <w:rFonts w:ascii="Arial" w:eastAsia="Times New Roman" w:hAnsi="Arial" w:cs="Arial"/>
                <w:sz w:val="24"/>
                <w:szCs w:val="24"/>
              </w:rPr>
            </w:pPr>
            <w:r w:rsidRPr="00FA3F9C">
              <w:rPr>
                <w:rFonts w:ascii="Arial" w:eastAsia="Times New Roman" w:hAnsi="Arial" w:cs="Arial"/>
                <w:sz w:val="24"/>
                <w:szCs w:val="24"/>
              </w:rPr>
              <w:t>$3,420</w:t>
            </w:r>
          </w:p>
          <w:p w14:paraId="2CC0F19D" w14:textId="77777777" w:rsidR="002641D2" w:rsidRPr="00FA3F9C" w:rsidRDefault="002641D2" w:rsidP="00E475CF">
            <w:pPr>
              <w:rPr>
                <w:rFonts w:ascii="Arial" w:eastAsia="Times New Roman" w:hAnsi="Arial" w:cs="Arial"/>
                <w:sz w:val="24"/>
                <w:szCs w:val="24"/>
              </w:rPr>
            </w:pPr>
            <w:r w:rsidRPr="00FA3F9C">
              <w:rPr>
                <w:rFonts w:ascii="Arial" w:eastAsia="Times New Roman" w:hAnsi="Arial" w:cs="Arial"/>
                <w:sz w:val="24"/>
                <w:szCs w:val="24"/>
              </w:rPr>
              <w:t>$6,840</w:t>
            </w:r>
          </w:p>
          <w:p w14:paraId="0101E064" w14:textId="77777777" w:rsidR="002641D2" w:rsidRPr="00FA3F9C" w:rsidRDefault="002641D2" w:rsidP="008740F4">
            <w:pPr>
              <w:rPr>
                <w:rFonts w:ascii="Arial" w:eastAsia="Times New Roman" w:hAnsi="Arial" w:cs="Arial"/>
                <w:sz w:val="24"/>
                <w:szCs w:val="24"/>
              </w:rPr>
            </w:pPr>
            <w:r w:rsidRPr="00FA3F9C">
              <w:rPr>
                <w:rFonts w:ascii="Arial" w:eastAsia="Times New Roman" w:hAnsi="Arial" w:cs="Arial"/>
                <w:sz w:val="24"/>
                <w:szCs w:val="24"/>
              </w:rPr>
              <w:t>$10,260</w:t>
            </w:r>
          </w:p>
        </w:tc>
      </w:tr>
      <w:tr w:rsidR="002641D2" w:rsidRPr="00FA3F9C" w14:paraId="1B0587F2" w14:textId="77777777" w:rsidTr="008310B0">
        <w:trPr>
          <w:jc w:val="center"/>
        </w:trPr>
        <w:tc>
          <w:tcPr>
            <w:tcW w:w="13495" w:type="dxa"/>
            <w:gridSpan w:val="7"/>
            <w:tcBorders>
              <w:bottom w:val="single" w:sz="4" w:space="0" w:color="auto"/>
            </w:tcBorders>
            <w:shd w:val="clear" w:color="auto" w:fill="000000"/>
          </w:tcPr>
          <w:p w14:paraId="5D943D6E" w14:textId="77777777" w:rsidR="002641D2" w:rsidRPr="00FA3F9C" w:rsidRDefault="002641D2" w:rsidP="00073323">
            <w:pPr>
              <w:jc w:val="both"/>
              <w:rPr>
                <w:rFonts w:ascii="Arial" w:eastAsia="Times New Roman" w:hAnsi="Arial" w:cs="Arial"/>
                <w:sz w:val="24"/>
                <w:szCs w:val="24"/>
              </w:rPr>
            </w:pPr>
            <w:r w:rsidRPr="00FA3F9C">
              <w:rPr>
                <w:rFonts w:ascii="Arial" w:eastAsia="Times New Roman" w:hAnsi="Arial" w:cs="Arial"/>
                <w:sz w:val="24"/>
                <w:szCs w:val="24"/>
              </w:rPr>
              <w:t>Factor IX Recombinant, Albumin Fusion Protein—for Hemophilia B (congenital factor IX def); t1/2=102h</w:t>
            </w:r>
          </w:p>
        </w:tc>
      </w:tr>
      <w:tr w:rsidR="002641D2" w:rsidRPr="00FA3F9C" w14:paraId="68D88500" w14:textId="77777777" w:rsidTr="008310B0">
        <w:trPr>
          <w:jc w:val="center"/>
        </w:trPr>
        <w:tc>
          <w:tcPr>
            <w:tcW w:w="2425" w:type="dxa"/>
            <w:tcBorders>
              <w:bottom w:val="single" w:sz="4" w:space="0" w:color="auto"/>
            </w:tcBorders>
            <w:shd w:val="clear" w:color="auto" w:fill="CCFF66"/>
          </w:tcPr>
          <w:p w14:paraId="3E3D005E" w14:textId="77777777" w:rsidR="002641D2" w:rsidRPr="00FA3F9C" w:rsidRDefault="002641D2" w:rsidP="003026F9">
            <w:pPr>
              <w:rPr>
                <w:rFonts w:ascii="Arial" w:eastAsia="Times New Roman" w:hAnsi="Arial" w:cs="Arial"/>
                <w:sz w:val="24"/>
                <w:szCs w:val="24"/>
              </w:rPr>
            </w:pPr>
            <w:proofErr w:type="spellStart"/>
            <w:r w:rsidRPr="00FA3F9C">
              <w:rPr>
                <w:rFonts w:ascii="Arial" w:eastAsia="Times New Roman" w:hAnsi="Arial" w:cs="Arial"/>
                <w:sz w:val="24"/>
                <w:szCs w:val="24"/>
              </w:rPr>
              <w:t>Idelvion</w:t>
            </w:r>
            <w:proofErr w:type="spellEnd"/>
          </w:p>
        </w:tc>
        <w:tc>
          <w:tcPr>
            <w:tcW w:w="2737" w:type="dxa"/>
            <w:tcBorders>
              <w:bottom w:val="single" w:sz="4" w:space="0" w:color="auto"/>
            </w:tcBorders>
            <w:shd w:val="clear" w:color="auto" w:fill="CCFF66"/>
          </w:tcPr>
          <w:p w14:paraId="4543EB7E" w14:textId="77777777" w:rsidR="002641D2" w:rsidRPr="00FA3F9C" w:rsidRDefault="002641D2" w:rsidP="003026F9">
            <w:pPr>
              <w:rPr>
                <w:rFonts w:ascii="Arial" w:eastAsia="Times New Roman" w:hAnsi="Arial" w:cs="Arial"/>
                <w:sz w:val="24"/>
                <w:szCs w:val="24"/>
              </w:rPr>
            </w:pPr>
            <w:r w:rsidRPr="00FA3F9C">
              <w:rPr>
                <w:rFonts w:ascii="Arial" w:eastAsia="Times New Roman" w:hAnsi="Arial" w:cs="Arial"/>
                <w:sz w:val="24"/>
                <w:szCs w:val="24"/>
              </w:rPr>
              <w:t>*^#hemophilia B</w:t>
            </w:r>
          </w:p>
        </w:tc>
        <w:tc>
          <w:tcPr>
            <w:tcW w:w="236" w:type="dxa"/>
            <w:tcBorders>
              <w:bottom w:val="single" w:sz="4" w:space="0" w:color="auto"/>
            </w:tcBorders>
            <w:shd w:val="clear" w:color="auto" w:fill="CCFF66"/>
          </w:tcPr>
          <w:p w14:paraId="59AE1657" w14:textId="77777777" w:rsidR="002641D2" w:rsidRPr="00FA3F9C" w:rsidRDefault="002641D2" w:rsidP="003026F9">
            <w:pPr>
              <w:rPr>
                <w:rFonts w:ascii="Arial" w:eastAsia="Times New Roman" w:hAnsi="Arial" w:cs="Arial"/>
                <w:sz w:val="24"/>
                <w:szCs w:val="24"/>
              </w:rPr>
            </w:pPr>
          </w:p>
        </w:tc>
        <w:tc>
          <w:tcPr>
            <w:tcW w:w="4227" w:type="dxa"/>
            <w:tcBorders>
              <w:bottom w:val="single" w:sz="4" w:space="0" w:color="auto"/>
            </w:tcBorders>
            <w:shd w:val="clear" w:color="auto" w:fill="CCFF66"/>
          </w:tcPr>
          <w:p w14:paraId="069BF215" w14:textId="77777777" w:rsidR="002641D2" w:rsidRPr="00FA3F9C" w:rsidRDefault="002641D2" w:rsidP="003026F9">
            <w:pPr>
              <w:rPr>
                <w:rFonts w:ascii="Arial" w:eastAsia="Times New Roman" w:hAnsi="Arial" w:cs="Arial"/>
                <w:sz w:val="24"/>
                <w:szCs w:val="24"/>
              </w:rPr>
            </w:pPr>
            <w:r w:rsidRPr="00FA3F9C">
              <w:rPr>
                <w:rFonts w:ascii="Arial" w:eastAsia="Times New Roman" w:hAnsi="Arial" w:cs="Arial"/>
                <w:sz w:val="24"/>
                <w:szCs w:val="24"/>
              </w:rPr>
              <w:t>25 to 40 (55 in children) units/kg once every 7 days; if well controlled may switch to 50 to 75 units/kg once every 14 days.</w:t>
            </w:r>
          </w:p>
        </w:tc>
        <w:tc>
          <w:tcPr>
            <w:tcW w:w="2186" w:type="dxa"/>
            <w:tcBorders>
              <w:bottom w:val="single" w:sz="4" w:space="0" w:color="auto"/>
            </w:tcBorders>
            <w:shd w:val="clear" w:color="auto" w:fill="CCFF66"/>
          </w:tcPr>
          <w:p w14:paraId="27A2C761" w14:textId="77777777" w:rsidR="002641D2" w:rsidRPr="00FA3F9C" w:rsidRDefault="002641D2" w:rsidP="0041304F">
            <w:pPr>
              <w:rPr>
                <w:rFonts w:ascii="Arial" w:hAnsi="Arial" w:cs="Arial"/>
                <w:color w:val="000000"/>
                <w:sz w:val="24"/>
                <w:szCs w:val="24"/>
              </w:rPr>
            </w:pPr>
            <w:r w:rsidRPr="00FA3F9C">
              <w:rPr>
                <w:rFonts w:ascii="Arial" w:hAnsi="Arial" w:cs="Arial"/>
                <w:color w:val="000000"/>
                <w:sz w:val="24"/>
                <w:szCs w:val="24"/>
              </w:rPr>
              <w:t xml:space="preserve">250 </w:t>
            </w:r>
          </w:p>
          <w:p w14:paraId="2AC78D1C" w14:textId="77777777" w:rsidR="002641D2" w:rsidRPr="00FA3F9C" w:rsidRDefault="002641D2" w:rsidP="0041304F">
            <w:pPr>
              <w:rPr>
                <w:rFonts w:ascii="Arial" w:hAnsi="Arial" w:cs="Arial"/>
                <w:color w:val="000000"/>
                <w:sz w:val="24"/>
                <w:szCs w:val="24"/>
              </w:rPr>
            </w:pPr>
            <w:r w:rsidRPr="00FA3F9C">
              <w:rPr>
                <w:rFonts w:ascii="Arial" w:hAnsi="Arial" w:cs="Arial"/>
                <w:color w:val="000000"/>
                <w:sz w:val="24"/>
                <w:szCs w:val="24"/>
              </w:rPr>
              <w:t>500</w:t>
            </w:r>
          </w:p>
          <w:p w14:paraId="447D3FD7" w14:textId="77777777" w:rsidR="002641D2" w:rsidRPr="00FA3F9C" w:rsidRDefault="002641D2" w:rsidP="0041304F">
            <w:pPr>
              <w:rPr>
                <w:rFonts w:ascii="Arial" w:hAnsi="Arial" w:cs="Arial"/>
                <w:color w:val="000000"/>
                <w:sz w:val="24"/>
                <w:szCs w:val="24"/>
              </w:rPr>
            </w:pPr>
            <w:r w:rsidRPr="00FA3F9C">
              <w:rPr>
                <w:rFonts w:ascii="Arial" w:hAnsi="Arial" w:cs="Arial"/>
                <w:color w:val="000000"/>
                <w:sz w:val="24"/>
                <w:szCs w:val="24"/>
              </w:rPr>
              <w:t xml:space="preserve">1000 </w:t>
            </w:r>
          </w:p>
          <w:p w14:paraId="1406FEB0" w14:textId="77777777" w:rsidR="002641D2" w:rsidRPr="00FA3F9C" w:rsidRDefault="002641D2" w:rsidP="007A5473">
            <w:pPr>
              <w:rPr>
                <w:rFonts w:ascii="Arial" w:eastAsia="Times New Roman" w:hAnsi="Arial" w:cs="Arial"/>
                <w:sz w:val="24"/>
                <w:szCs w:val="24"/>
              </w:rPr>
            </w:pPr>
            <w:r w:rsidRPr="00FA3F9C">
              <w:rPr>
                <w:rFonts w:ascii="Arial" w:hAnsi="Arial" w:cs="Arial"/>
                <w:color w:val="000000"/>
                <w:sz w:val="24"/>
                <w:szCs w:val="24"/>
              </w:rPr>
              <w:t>2000</w:t>
            </w:r>
          </w:p>
        </w:tc>
        <w:tc>
          <w:tcPr>
            <w:tcW w:w="725" w:type="dxa"/>
            <w:tcBorders>
              <w:bottom w:val="single" w:sz="4" w:space="0" w:color="auto"/>
            </w:tcBorders>
            <w:shd w:val="clear" w:color="auto" w:fill="CCFF66"/>
          </w:tcPr>
          <w:p w14:paraId="6B6568C5" w14:textId="77777777" w:rsidR="002641D2" w:rsidRPr="00FA3F9C" w:rsidRDefault="002641D2" w:rsidP="003026F9">
            <w:pPr>
              <w:rPr>
                <w:rFonts w:ascii="Arial" w:eastAsia="Times New Roman" w:hAnsi="Arial" w:cs="Arial"/>
                <w:color w:val="000000"/>
                <w:sz w:val="24"/>
                <w:szCs w:val="24"/>
              </w:rPr>
            </w:pPr>
            <w:r w:rsidRPr="00FA3F9C">
              <w:rPr>
                <w:rFonts w:ascii="Arial" w:eastAsia="Times New Roman" w:hAnsi="Arial" w:cs="Arial"/>
                <w:color w:val="000000"/>
                <w:sz w:val="24"/>
                <w:szCs w:val="24"/>
              </w:rPr>
              <w:t>$5.10</w:t>
            </w:r>
          </w:p>
          <w:p w14:paraId="2C714EAB" w14:textId="77777777" w:rsidR="002641D2" w:rsidRPr="00FA3F9C" w:rsidRDefault="002641D2" w:rsidP="003026F9">
            <w:pPr>
              <w:rPr>
                <w:rFonts w:ascii="Arial" w:eastAsia="Times New Roman" w:hAnsi="Arial" w:cs="Arial"/>
                <w:color w:val="000000"/>
                <w:sz w:val="24"/>
                <w:szCs w:val="24"/>
              </w:rPr>
            </w:pPr>
            <w:r w:rsidRPr="00FA3F9C">
              <w:rPr>
                <w:rFonts w:ascii="Arial" w:eastAsia="Times New Roman" w:hAnsi="Arial" w:cs="Arial"/>
                <w:color w:val="000000"/>
                <w:sz w:val="24"/>
                <w:szCs w:val="24"/>
              </w:rPr>
              <w:t>$5.10</w:t>
            </w:r>
          </w:p>
          <w:p w14:paraId="11E3CEC4" w14:textId="77777777" w:rsidR="002641D2" w:rsidRPr="00FA3F9C" w:rsidRDefault="002641D2" w:rsidP="003026F9">
            <w:pPr>
              <w:rPr>
                <w:rFonts w:ascii="Arial" w:eastAsia="Times New Roman" w:hAnsi="Arial" w:cs="Arial"/>
                <w:color w:val="000000"/>
                <w:sz w:val="24"/>
                <w:szCs w:val="24"/>
              </w:rPr>
            </w:pPr>
            <w:r w:rsidRPr="00FA3F9C">
              <w:rPr>
                <w:rFonts w:ascii="Arial" w:eastAsia="Times New Roman" w:hAnsi="Arial" w:cs="Arial"/>
                <w:color w:val="000000"/>
                <w:sz w:val="24"/>
                <w:szCs w:val="24"/>
              </w:rPr>
              <w:t>$5.10</w:t>
            </w:r>
          </w:p>
          <w:p w14:paraId="6B7FE41B" w14:textId="77777777" w:rsidR="002641D2" w:rsidRPr="00FA3F9C" w:rsidRDefault="002641D2" w:rsidP="003026F9">
            <w:pPr>
              <w:rPr>
                <w:rFonts w:ascii="Arial" w:eastAsia="Times New Roman" w:hAnsi="Arial" w:cs="Arial"/>
                <w:sz w:val="24"/>
                <w:szCs w:val="24"/>
              </w:rPr>
            </w:pPr>
            <w:r w:rsidRPr="00FA3F9C">
              <w:rPr>
                <w:rFonts w:ascii="Arial" w:eastAsia="Times New Roman" w:hAnsi="Arial" w:cs="Arial"/>
                <w:color w:val="000000"/>
                <w:sz w:val="24"/>
                <w:szCs w:val="24"/>
              </w:rPr>
              <w:t>$5.10</w:t>
            </w:r>
          </w:p>
        </w:tc>
        <w:tc>
          <w:tcPr>
            <w:tcW w:w="959" w:type="dxa"/>
            <w:tcBorders>
              <w:bottom w:val="single" w:sz="4" w:space="0" w:color="auto"/>
            </w:tcBorders>
            <w:shd w:val="clear" w:color="auto" w:fill="CCFF66"/>
          </w:tcPr>
          <w:p w14:paraId="245ED4C6" w14:textId="77777777" w:rsidR="002641D2" w:rsidRPr="00FA3F9C" w:rsidRDefault="002641D2" w:rsidP="008740F4">
            <w:pPr>
              <w:rPr>
                <w:rFonts w:ascii="Arial" w:eastAsia="Times New Roman" w:hAnsi="Arial" w:cs="Arial"/>
                <w:sz w:val="24"/>
                <w:szCs w:val="24"/>
              </w:rPr>
            </w:pPr>
            <w:r w:rsidRPr="00FA3F9C">
              <w:rPr>
                <w:rFonts w:ascii="Arial" w:eastAsia="Times New Roman" w:hAnsi="Arial" w:cs="Arial"/>
                <w:sz w:val="24"/>
                <w:szCs w:val="24"/>
              </w:rPr>
              <w:t>$1,275</w:t>
            </w:r>
          </w:p>
          <w:p w14:paraId="6515783C" w14:textId="77777777" w:rsidR="002641D2" w:rsidRPr="00FA3F9C" w:rsidRDefault="002641D2" w:rsidP="008740F4">
            <w:pPr>
              <w:rPr>
                <w:rFonts w:ascii="Arial" w:eastAsia="Times New Roman" w:hAnsi="Arial" w:cs="Arial"/>
                <w:sz w:val="24"/>
                <w:szCs w:val="24"/>
              </w:rPr>
            </w:pPr>
            <w:r w:rsidRPr="00FA3F9C">
              <w:rPr>
                <w:rFonts w:ascii="Arial" w:eastAsia="Times New Roman" w:hAnsi="Arial" w:cs="Arial"/>
                <w:sz w:val="24"/>
                <w:szCs w:val="24"/>
              </w:rPr>
              <w:t>$2,550</w:t>
            </w:r>
          </w:p>
          <w:p w14:paraId="03B27A81" w14:textId="77777777" w:rsidR="002641D2" w:rsidRPr="00FA3F9C" w:rsidRDefault="002641D2" w:rsidP="008740F4">
            <w:pPr>
              <w:rPr>
                <w:rFonts w:ascii="Arial" w:eastAsia="Times New Roman" w:hAnsi="Arial" w:cs="Arial"/>
                <w:sz w:val="24"/>
                <w:szCs w:val="24"/>
              </w:rPr>
            </w:pPr>
            <w:r w:rsidRPr="00FA3F9C">
              <w:rPr>
                <w:rFonts w:ascii="Arial" w:eastAsia="Times New Roman" w:hAnsi="Arial" w:cs="Arial"/>
                <w:sz w:val="24"/>
                <w:szCs w:val="24"/>
              </w:rPr>
              <w:t>$5,100</w:t>
            </w:r>
          </w:p>
          <w:p w14:paraId="71125F22" w14:textId="77777777" w:rsidR="002641D2" w:rsidRPr="00FA3F9C" w:rsidRDefault="002641D2" w:rsidP="008740F4">
            <w:pPr>
              <w:rPr>
                <w:rFonts w:ascii="Arial" w:eastAsia="Times New Roman" w:hAnsi="Arial" w:cs="Arial"/>
                <w:sz w:val="24"/>
                <w:szCs w:val="24"/>
              </w:rPr>
            </w:pPr>
            <w:r w:rsidRPr="00FA3F9C">
              <w:rPr>
                <w:rFonts w:ascii="Arial" w:eastAsia="Times New Roman" w:hAnsi="Arial" w:cs="Arial"/>
                <w:sz w:val="24"/>
                <w:szCs w:val="24"/>
              </w:rPr>
              <w:t>$10,200</w:t>
            </w:r>
          </w:p>
        </w:tc>
      </w:tr>
      <w:tr w:rsidR="002641D2" w:rsidRPr="00FA3F9C" w14:paraId="3EEBC405" w14:textId="77777777" w:rsidTr="008310B0">
        <w:trPr>
          <w:jc w:val="center"/>
        </w:trPr>
        <w:tc>
          <w:tcPr>
            <w:tcW w:w="13495" w:type="dxa"/>
            <w:gridSpan w:val="7"/>
            <w:tcBorders>
              <w:bottom w:val="single" w:sz="4" w:space="0" w:color="auto"/>
            </w:tcBorders>
            <w:shd w:val="clear" w:color="auto" w:fill="000000" w:themeFill="text1"/>
          </w:tcPr>
          <w:p w14:paraId="55732F55" w14:textId="77777777" w:rsidR="002641D2" w:rsidRPr="00FA3F9C" w:rsidRDefault="002641D2" w:rsidP="00273328">
            <w:pPr>
              <w:rPr>
                <w:rFonts w:ascii="Arial" w:eastAsia="Times New Roman" w:hAnsi="Arial" w:cs="Arial"/>
                <w:sz w:val="24"/>
                <w:szCs w:val="24"/>
              </w:rPr>
            </w:pPr>
            <w:r w:rsidRPr="00FA3F9C">
              <w:rPr>
                <w:rFonts w:ascii="Arial" w:eastAsia="Times New Roman" w:hAnsi="Arial" w:cs="Arial"/>
                <w:sz w:val="24"/>
                <w:szCs w:val="24"/>
              </w:rPr>
              <w:t xml:space="preserve">Factor IX DNA Recombinant, Pegylated; t ½=85h single dose, 110h after multiple QW doses.  </w:t>
            </w:r>
          </w:p>
        </w:tc>
      </w:tr>
      <w:tr w:rsidR="002641D2" w:rsidRPr="00FA3F9C" w14:paraId="5EDE9099" w14:textId="77777777" w:rsidTr="008310B0">
        <w:trPr>
          <w:jc w:val="center"/>
        </w:trPr>
        <w:tc>
          <w:tcPr>
            <w:tcW w:w="2425" w:type="dxa"/>
            <w:tcBorders>
              <w:bottom w:val="single" w:sz="4" w:space="0" w:color="auto"/>
            </w:tcBorders>
            <w:shd w:val="clear" w:color="auto" w:fill="CCFF66"/>
          </w:tcPr>
          <w:p w14:paraId="75CBBC1F" w14:textId="77777777" w:rsidR="002641D2" w:rsidRPr="00FA3F9C" w:rsidRDefault="002641D2" w:rsidP="003026F9">
            <w:pPr>
              <w:rPr>
                <w:rFonts w:ascii="Arial" w:eastAsia="Times New Roman" w:hAnsi="Arial" w:cs="Arial"/>
                <w:sz w:val="24"/>
                <w:szCs w:val="24"/>
              </w:rPr>
            </w:pPr>
            <w:proofErr w:type="spellStart"/>
            <w:r w:rsidRPr="00FA3F9C">
              <w:rPr>
                <w:rFonts w:ascii="Arial" w:eastAsia="Times New Roman" w:hAnsi="Arial" w:cs="Arial"/>
                <w:sz w:val="24"/>
                <w:szCs w:val="24"/>
              </w:rPr>
              <w:t>Rebinyn</w:t>
            </w:r>
            <w:proofErr w:type="spellEnd"/>
            <w:r w:rsidRPr="00FA3F9C">
              <w:rPr>
                <w:rFonts w:ascii="Arial" w:eastAsia="Times New Roman" w:hAnsi="Arial" w:cs="Arial"/>
                <w:sz w:val="24"/>
                <w:szCs w:val="24"/>
              </w:rPr>
              <w:t>-- FOR IV INFUSION ONLY</w:t>
            </w:r>
          </w:p>
        </w:tc>
        <w:tc>
          <w:tcPr>
            <w:tcW w:w="2737" w:type="dxa"/>
            <w:tcBorders>
              <w:bottom w:val="single" w:sz="4" w:space="0" w:color="auto"/>
            </w:tcBorders>
            <w:shd w:val="clear" w:color="auto" w:fill="CCFF66"/>
          </w:tcPr>
          <w:p w14:paraId="23FCD5F8" w14:textId="77777777" w:rsidR="002641D2" w:rsidRPr="00FA3F9C" w:rsidRDefault="002641D2" w:rsidP="003026F9">
            <w:pPr>
              <w:rPr>
                <w:rFonts w:ascii="Arial" w:eastAsia="Times New Roman" w:hAnsi="Arial" w:cs="Arial"/>
                <w:sz w:val="24"/>
                <w:szCs w:val="24"/>
              </w:rPr>
            </w:pPr>
            <w:r w:rsidRPr="00FA3F9C">
              <w:rPr>
                <w:rFonts w:ascii="Arial" w:eastAsia="Times New Roman" w:hAnsi="Arial" w:cs="Arial"/>
                <w:sz w:val="24"/>
                <w:szCs w:val="24"/>
              </w:rPr>
              <w:t>*^Hemophilia B</w:t>
            </w:r>
          </w:p>
        </w:tc>
        <w:tc>
          <w:tcPr>
            <w:tcW w:w="236" w:type="dxa"/>
            <w:tcBorders>
              <w:bottom w:val="single" w:sz="4" w:space="0" w:color="auto"/>
            </w:tcBorders>
            <w:shd w:val="clear" w:color="auto" w:fill="CCFF66"/>
          </w:tcPr>
          <w:p w14:paraId="35A9435E" w14:textId="77777777" w:rsidR="002641D2" w:rsidRPr="00FA3F9C" w:rsidRDefault="002641D2" w:rsidP="003026F9">
            <w:pPr>
              <w:rPr>
                <w:rFonts w:ascii="Arial" w:eastAsia="Times New Roman" w:hAnsi="Arial" w:cs="Arial"/>
                <w:sz w:val="24"/>
                <w:szCs w:val="24"/>
              </w:rPr>
            </w:pPr>
          </w:p>
        </w:tc>
        <w:tc>
          <w:tcPr>
            <w:tcW w:w="4227" w:type="dxa"/>
            <w:tcBorders>
              <w:bottom w:val="single" w:sz="4" w:space="0" w:color="auto"/>
            </w:tcBorders>
            <w:shd w:val="clear" w:color="auto" w:fill="CCFF66"/>
          </w:tcPr>
          <w:p w14:paraId="398A306F" w14:textId="77777777" w:rsidR="002641D2" w:rsidRPr="00FA3F9C" w:rsidRDefault="002641D2" w:rsidP="003026F9">
            <w:pPr>
              <w:rPr>
                <w:rFonts w:ascii="Arial" w:eastAsia="Times New Roman" w:hAnsi="Arial" w:cs="Arial"/>
                <w:sz w:val="24"/>
                <w:szCs w:val="24"/>
              </w:rPr>
            </w:pPr>
            <w:r w:rsidRPr="00FA3F9C">
              <w:rPr>
                <w:rFonts w:ascii="Arial" w:eastAsia="Times New Roman" w:hAnsi="Arial" w:cs="Arial"/>
                <w:sz w:val="24"/>
                <w:szCs w:val="24"/>
              </w:rPr>
              <w:t>On-demand treatment:  40-80 IU/kg</w:t>
            </w:r>
          </w:p>
          <w:p w14:paraId="0570F083" w14:textId="77777777" w:rsidR="002641D2" w:rsidRPr="00FA3F9C" w:rsidRDefault="002641D2" w:rsidP="007A5473">
            <w:pPr>
              <w:rPr>
                <w:rFonts w:ascii="Arial" w:eastAsia="Times New Roman" w:hAnsi="Arial" w:cs="Arial"/>
                <w:sz w:val="24"/>
                <w:szCs w:val="24"/>
              </w:rPr>
            </w:pPr>
            <w:r w:rsidRPr="00FA3F9C">
              <w:rPr>
                <w:rFonts w:ascii="Arial" w:eastAsia="Times New Roman" w:hAnsi="Arial" w:cs="Arial"/>
                <w:sz w:val="24"/>
                <w:szCs w:val="24"/>
              </w:rPr>
              <w:t>Perioperative prophylaxis:  40 IU/kg single dose, 80 IU/kg, then 40 IU/kg prn perioperatively in 1-3d intervals.</w:t>
            </w:r>
          </w:p>
        </w:tc>
        <w:tc>
          <w:tcPr>
            <w:tcW w:w="2186" w:type="dxa"/>
            <w:tcBorders>
              <w:bottom w:val="single" w:sz="4" w:space="0" w:color="auto"/>
            </w:tcBorders>
            <w:shd w:val="clear" w:color="auto" w:fill="CCFF66"/>
          </w:tcPr>
          <w:p w14:paraId="58C7916D" w14:textId="77777777" w:rsidR="002641D2" w:rsidRPr="00FA3F9C" w:rsidRDefault="002641D2" w:rsidP="0041304F">
            <w:pPr>
              <w:rPr>
                <w:rFonts w:ascii="Arial" w:hAnsi="Arial" w:cs="Arial"/>
                <w:color w:val="000000"/>
                <w:sz w:val="24"/>
                <w:szCs w:val="24"/>
              </w:rPr>
            </w:pPr>
            <w:r w:rsidRPr="00FA3F9C">
              <w:rPr>
                <w:rFonts w:ascii="Arial" w:hAnsi="Arial" w:cs="Arial"/>
                <w:color w:val="000000"/>
                <w:sz w:val="24"/>
                <w:szCs w:val="24"/>
              </w:rPr>
              <w:t>500</w:t>
            </w:r>
          </w:p>
          <w:p w14:paraId="7B22F981" w14:textId="77777777" w:rsidR="002641D2" w:rsidRPr="00FA3F9C" w:rsidRDefault="002641D2" w:rsidP="0041304F">
            <w:pPr>
              <w:rPr>
                <w:rFonts w:ascii="Arial" w:hAnsi="Arial" w:cs="Arial"/>
                <w:color w:val="000000"/>
                <w:sz w:val="24"/>
                <w:szCs w:val="24"/>
              </w:rPr>
            </w:pPr>
            <w:r w:rsidRPr="00FA3F9C">
              <w:rPr>
                <w:rFonts w:ascii="Arial" w:hAnsi="Arial" w:cs="Arial"/>
                <w:color w:val="000000"/>
                <w:sz w:val="24"/>
                <w:szCs w:val="24"/>
              </w:rPr>
              <w:t>1000</w:t>
            </w:r>
          </w:p>
          <w:p w14:paraId="07CAD42F" w14:textId="77777777" w:rsidR="002641D2" w:rsidRPr="00FA3F9C" w:rsidRDefault="002641D2" w:rsidP="0041304F">
            <w:pPr>
              <w:rPr>
                <w:rFonts w:ascii="Arial" w:hAnsi="Arial" w:cs="Arial"/>
                <w:color w:val="000000"/>
                <w:sz w:val="24"/>
                <w:szCs w:val="24"/>
              </w:rPr>
            </w:pPr>
            <w:r w:rsidRPr="00FA3F9C">
              <w:rPr>
                <w:rFonts w:ascii="Arial" w:hAnsi="Arial" w:cs="Arial"/>
                <w:color w:val="000000"/>
                <w:sz w:val="24"/>
                <w:szCs w:val="24"/>
              </w:rPr>
              <w:t>2000</w:t>
            </w:r>
          </w:p>
        </w:tc>
        <w:tc>
          <w:tcPr>
            <w:tcW w:w="725" w:type="dxa"/>
            <w:tcBorders>
              <w:bottom w:val="single" w:sz="4" w:space="0" w:color="auto"/>
            </w:tcBorders>
            <w:shd w:val="clear" w:color="auto" w:fill="CCFF66"/>
          </w:tcPr>
          <w:p w14:paraId="0B3ACE8B" w14:textId="77777777" w:rsidR="002641D2" w:rsidRPr="00FA3F9C" w:rsidRDefault="002641D2" w:rsidP="003026F9">
            <w:pPr>
              <w:rPr>
                <w:rFonts w:ascii="Arial" w:eastAsia="Times New Roman" w:hAnsi="Arial" w:cs="Arial"/>
                <w:color w:val="000000"/>
                <w:sz w:val="24"/>
                <w:szCs w:val="24"/>
              </w:rPr>
            </w:pPr>
            <w:r w:rsidRPr="00FA3F9C">
              <w:rPr>
                <w:rFonts w:ascii="Arial" w:eastAsia="Times New Roman" w:hAnsi="Arial" w:cs="Arial"/>
                <w:color w:val="000000"/>
                <w:sz w:val="24"/>
                <w:szCs w:val="24"/>
              </w:rPr>
              <w:t>$4.80</w:t>
            </w:r>
          </w:p>
          <w:p w14:paraId="6A125833" w14:textId="77777777" w:rsidR="002641D2" w:rsidRPr="00FA3F9C" w:rsidRDefault="002641D2" w:rsidP="003026F9">
            <w:pPr>
              <w:rPr>
                <w:rFonts w:ascii="Arial" w:eastAsia="Times New Roman" w:hAnsi="Arial" w:cs="Arial"/>
                <w:color w:val="000000"/>
                <w:sz w:val="24"/>
                <w:szCs w:val="24"/>
              </w:rPr>
            </w:pPr>
            <w:r w:rsidRPr="00FA3F9C">
              <w:rPr>
                <w:rFonts w:ascii="Arial" w:eastAsia="Times New Roman" w:hAnsi="Arial" w:cs="Arial"/>
                <w:color w:val="000000"/>
                <w:sz w:val="24"/>
                <w:szCs w:val="24"/>
              </w:rPr>
              <w:t>$4.80</w:t>
            </w:r>
          </w:p>
          <w:p w14:paraId="5CCE9516" w14:textId="77777777" w:rsidR="002641D2" w:rsidRPr="00FA3F9C" w:rsidRDefault="002641D2" w:rsidP="003026F9">
            <w:pPr>
              <w:rPr>
                <w:rFonts w:ascii="Arial" w:eastAsia="Times New Roman" w:hAnsi="Arial" w:cs="Arial"/>
                <w:color w:val="000000"/>
                <w:sz w:val="24"/>
                <w:szCs w:val="24"/>
              </w:rPr>
            </w:pPr>
            <w:r w:rsidRPr="00FA3F9C">
              <w:rPr>
                <w:rFonts w:ascii="Arial" w:eastAsia="Times New Roman" w:hAnsi="Arial" w:cs="Arial"/>
                <w:color w:val="000000"/>
                <w:sz w:val="24"/>
                <w:szCs w:val="24"/>
              </w:rPr>
              <w:t>$4.80</w:t>
            </w:r>
          </w:p>
        </w:tc>
        <w:tc>
          <w:tcPr>
            <w:tcW w:w="959" w:type="dxa"/>
            <w:tcBorders>
              <w:bottom w:val="single" w:sz="4" w:space="0" w:color="auto"/>
            </w:tcBorders>
            <w:shd w:val="clear" w:color="auto" w:fill="CCFF66"/>
          </w:tcPr>
          <w:p w14:paraId="7C3A50CB" w14:textId="77777777" w:rsidR="002641D2" w:rsidRPr="00FA3F9C" w:rsidRDefault="002641D2" w:rsidP="008740F4">
            <w:pPr>
              <w:rPr>
                <w:rFonts w:ascii="Arial" w:eastAsia="Times New Roman" w:hAnsi="Arial" w:cs="Arial"/>
                <w:sz w:val="24"/>
                <w:szCs w:val="24"/>
              </w:rPr>
            </w:pPr>
            <w:r w:rsidRPr="00FA3F9C">
              <w:rPr>
                <w:rFonts w:ascii="Arial" w:eastAsia="Times New Roman" w:hAnsi="Arial" w:cs="Arial"/>
                <w:sz w:val="24"/>
                <w:szCs w:val="24"/>
              </w:rPr>
              <w:t>$2400</w:t>
            </w:r>
          </w:p>
          <w:p w14:paraId="643A79D9" w14:textId="77777777" w:rsidR="002641D2" w:rsidRPr="00FA3F9C" w:rsidRDefault="002641D2" w:rsidP="008740F4">
            <w:pPr>
              <w:rPr>
                <w:rFonts w:ascii="Arial" w:eastAsia="Times New Roman" w:hAnsi="Arial" w:cs="Arial"/>
                <w:sz w:val="24"/>
                <w:szCs w:val="24"/>
              </w:rPr>
            </w:pPr>
            <w:r w:rsidRPr="00FA3F9C">
              <w:rPr>
                <w:rFonts w:ascii="Arial" w:eastAsia="Times New Roman" w:hAnsi="Arial" w:cs="Arial"/>
                <w:sz w:val="24"/>
                <w:szCs w:val="24"/>
              </w:rPr>
              <w:t>$4800</w:t>
            </w:r>
          </w:p>
          <w:p w14:paraId="32616EA5" w14:textId="77777777" w:rsidR="002641D2" w:rsidRPr="00FA3F9C" w:rsidRDefault="002641D2" w:rsidP="008740F4">
            <w:pPr>
              <w:rPr>
                <w:rFonts w:ascii="Arial" w:eastAsia="Times New Roman" w:hAnsi="Arial" w:cs="Arial"/>
                <w:sz w:val="24"/>
                <w:szCs w:val="24"/>
              </w:rPr>
            </w:pPr>
            <w:r w:rsidRPr="00FA3F9C">
              <w:rPr>
                <w:rFonts w:ascii="Arial" w:eastAsia="Times New Roman" w:hAnsi="Arial" w:cs="Arial"/>
                <w:sz w:val="24"/>
                <w:szCs w:val="24"/>
              </w:rPr>
              <w:t>$9600</w:t>
            </w:r>
          </w:p>
        </w:tc>
      </w:tr>
      <w:tr w:rsidR="002641D2" w:rsidRPr="00FA3F9C" w14:paraId="2822AEF6" w14:textId="77777777" w:rsidTr="008310B0">
        <w:trPr>
          <w:jc w:val="center"/>
        </w:trPr>
        <w:tc>
          <w:tcPr>
            <w:tcW w:w="2425" w:type="dxa"/>
            <w:tcBorders>
              <w:bottom w:val="single" w:sz="4" w:space="0" w:color="auto"/>
            </w:tcBorders>
            <w:shd w:val="clear" w:color="auto" w:fill="000000"/>
          </w:tcPr>
          <w:p w14:paraId="1B5E2390" w14:textId="77777777" w:rsidR="002641D2" w:rsidRPr="00FA3F9C" w:rsidRDefault="002641D2" w:rsidP="008740F4">
            <w:pPr>
              <w:rPr>
                <w:rFonts w:ascii="Arial" w:eastAsia="Times New Roman" w:hAnsi="Arial" w:cs="Arial"/>
                <w:sz w:val="24"/>
                <w:szCs w:val="24"/>
              </w:rPr>
            </w:pPr>
            <w:r w:rsidRPr="00FA3F9C">
              <w:rPr>
                <w:rFonts w:ascii="Arial" w:eastAsia="Times New Roman" w:hAnsi="Arial" w:cs="Arial"/>
                <w:sz w:val="24"/>
                <w:szCs w:val="24"/>
              </w:rPr>
              <w:lastRenderedPageBreak/>
              <w:t>Factor VIII and Von Willebrand Factor</w:t>
            </w:r>
          </w:p>
        </w:tc>
        <w:tc>
          <w:tcPr>
            <w:tcW w:w="11070" w:type="dxa"/>
            <w:gridSpan w:val="6"/>
            <w:tcBorders>
              <w:bottom w:val="single" w:sz="4" w:space="0" w:color="auto"/>
            </w:tcBorders>
            <w:shd w:val="clear" w:color="auto" w:fill="000000"/>
          </w:tcPr>
          <w:p w14:paraId="058706F6" w14:textId="77777777" w:rsidR="002641D2" w:rsidRPr="00FA3F9C" w:rsidRDefault="002641D2" w:rsidP="008740F4">
            <w:pPr>
              <w:rPr>
                <w:rFonts w:ascii="Arial" w:eastAsia="Times New Roman" w:hAnsi="Arial" w:cs="Arial"/>
                <w:sz w:val="24"/>
                <w:szCs w:val="24"/>
              </w:rPr>
            </w:pPr>
          </w:p>
        </w:tc>
      </w:tr>
      <w:tr w:rsidR="002641D2" w:rsidRPr="00FA3F9C" w14:paraId="3B1FA879" w14:textId="77777777" w:rsidTr="008310B0">
        <w:trPr>
          <w:jc w:val="center"/>
        </w:trPr>
        <w:tc>
          <w:tcPr>
            <w:tcW w:w="2425" w:type="dxa"/>
            <w:tcBorders>
              <w:bottom w:val="single" w:sz="4" w:space="0" w:color="auto"/>
            </w:tcBorders>
            <w:shd w:val="clear" w:color="auto" w:fill="FF99CC"/>
          </w:tcPr>
          <w:p w14:paraId="559ED18F" w14:textId="77777777" w:rsidR="002641D2" w:rsidRPr="00FA3F9C" w:rsidRDefault="002641D2" w:rsidP="003026F9">
            <w:pPr>
              <w:rPr>
                <w:rFonts w:ascii="Arial" w:eastAsia="Times New Roman" w:hAnsi="Arial" w:cs="Arial"/>
                <w:sz w:val="24"/>
                <w:szCs w:val="24"/>
              </w:rPr>
            </w:pPr>
            <w:proofErr w:type="spellStart"/>
            <w:r w:rsidRPr="00FA3F9C">
              <w:rPr>
                <w:rFonts w:ascii="Arial" w:eastAsia="Times New Roman" w:hAnsi="Arial" w:cs="Arial"/>
                <w:sz w:val="24"/>
                <w:szCs w:val="24"/>
              </w:rPr>
              <w:t>Alphanate</w:t>
            </w:r>
            <w:proofErr w:type="spellEnd"/>
          </w:p>
        </w:tc>
        <w:tc>
          <w:tcPr>
            <w:tcW w:w="2737" w:type="dxa"/>
            <w:tcBorders>
              <w:bottom w:val="single" w:sz="4" w:space="0" w:color="auto"/>
            </w:tcBorders>
            <w:shd w:val="clear" w:color="auto" w:fill="FF99CC"/>
          </w:tcPr>
          <w:p w14:paraId="48DA2BA6" w14:textId="77777777" w:rsidR="002641D2" w:rsidRPr="00FA3F9C" w:rsidRDefault="002641D2" w:rsidP="0041304F">
            <w:pPr>
              <w:rPr>
                <w:rFonts w:ascii="Arial" w:eastAsia="Times New Roman" w:hAnsi="Arial" w:cs="Arial"/>
                <w:sz w:val="24"/>
                <w:szCs w:val="24"/>
              </w:rPr>
            </w:pPr>
            <w:r w:rsidRPr="00FA3F9C">
              <w:rPr>
                <w:rFonts w:ascii="Arial" w:eastAsia="Times New Roman" w:hAnsi="Arial" w:cs="Arial"/>
                <w:sz w:val="24"/>
                <w:szCs w:val="24"/>
              </w:rPr>
              <w:t>*</w:t>
            </w:r>
            <w:proofErr w:type="gramStart"/>
            <w:r w:rsidRPr="00FA3F9C">
              <w:rPr>
                <w:rFonts w:ascii="Arial" w:eastAsia="Times New Roman" w:hAnsi="Arial" w:cs="Arial"/>
                <w:sz w:val="24"/>
                <w:szCs w:val="24"/>
              </w:rPr>
              <w:t>hemophilia</w:t>
            </w:r>
            <w:proofErr w:type="gramEnd"/>
            <w:r w:rsidRPr="00FA3F9C">
              <w:rPr>
                <w:rFonts w:ascii="Arial" w:eastAsia="Times New Roman" w:hAnsi="Arial" w:cs="Arial"/>
                <w:sz w:val="24"/>
                <w:szCs w:val="24"/>
              </w:rPr>
              <w:t xml:space="preserve"> A (factor VIII def)</w:t>
            </w:r>
          </w:p>
        </w:tc>
        <w:tc>
          <w:tcPr>
            <w:tcW w:w="236" w:type="dxa"/>
            <w:tcBorders>
              <w:bottom w:val="single" w:sz="4" w:space="0" w:color="auto"/>
            </w:tcBorders>
            <w:shd w:val="clear" w:color="auto" w:fill="FF99CC"/>
          </w:tcPr>
          <w:p w14:paraId="74C94AD4" w14:textId="77777777" w:rsidR="002641D2" w:rsidRPr="00FA3F9C" w:rsidRDefault="002641D2" w:rsidP="0041304F">
            <w:pPr>
              <w:rPr>
                <w:rFonts w:ascii="Arial" w:eastAsia="Times New Roman" w:hAnsi="Arial" w:cs="Arial"/>
                <w:sz w:val="24"/>
                <w:szCs w:val="24"/>
              </w:rPr>
            </w:pPr>
          </w:p>
        </w:tc>
        <w:tc>
          <w:tcPr>
            <w:tcW w:w="4227" w:type="dxa"/>
            <w:tcBorders>
              <w:bottom w:val="single" w:sz="4" w:space="0" w:color="auto"/>
            </w:tcBorders>
            <w:shd w:val="clear" w:color="auto" w:fill="FF99CC"/>
          </w:tcPr>
          <w:p w14:paraId="6948AAD0" w14:textId="77777777" w:rsidR="002641D2" w:rsidRPr="00FA3F9C" w:rsidRDefault="002641D2" w:rsidP="0041304F">
            <w:pPr>
              <w:rPr>
                <w:rFonts w:ascii="Arial" w:eastAsia="Times New Roman" w:hAnsi="Arial" w:cs="Arial"/>
                <w:sz w:val="24"/>
                <w:szCs w:val="24"/>
              </w:rPr>
            </w:pPr>
            <w:r w:rsidRPr="00FA3F9C">
              <w:rPr>
                <w:rFonts w:ascii="Arial" w:eastAsia="Times New Roman" w:hAnsi="Arial" w:cs="Arial"/>
                <w:sz w:val="24"/>
                <w:szCs w:val="24"/>
              </w:rPr>
              <w:t>15 to 30 units/kg/dose twice weekly (Peds)</w:t>
            </w:r>
          </w:p>
          <w:p w14:paraId="23CDDAE3" w14:textId="77777777" w:rsidR="002641D2" w:rsidRPr="00FA3F9C" w:rsidRDefault="002641D2" w:rsidP="0041304F">
            <w:pPr>
              <w:rPr>
                <w:rFonts w:ascii="Arial" w:eastAsia="Times New Roman" w:hAnsi="Arial" w:cs="Arial"/>
                <w:sz w:val="24"/>
                <w:szCs w:val="24"/>
              </w:rPr>
            </w:pPr>
            <w:r w:rsidRPr="00FA3F9C">
              <w:rPr>
                <w:rFonts w:ascii="Arial" w:eastAsia="Times New Roman" w:hAnsi="Arial" w:cs="Arial"/>
                <w:sz w:val="24"/>
                <w:szCs w:val="24"/>
              </w:rPr>
              <w:t>25 to 40 units/kg/dose twice weekly (Peds)</w:t>
            </w:r>
          </w:p>
          <w:p w14:paraId="2B52EA77" w14:textId="77777777" w:rsidR="002641D2" w:rsidRPr="00FA3F9C" w:rsidRDefault="002641D2" w:rsidP="0041304F">
            <w:pPr>
              <w:rPr>
                <w:rFonts w:ascii="Arial" w:eastAsia="Times New Roman" w:hAnsi="Arial" w:cs="Arial"/>
                <w:sz w:val="24"/>
                <w:szCs w:val="24"/>
              </w:rPr>
            </w:pPr>
            <w:r w:rsidRPr="00FA3F9C">
              <w:rPr>
                <w:rFonts w:ascii="Arial" w:eastAsia="Times New Roman" w:hAnsi="Arial" w:cs="Arial"/>
                <w:sz w:val="24"/>
                <w:szCs w:val="24"/>
              </w:rPr>
              <w:t>40 to 100 units/kg/dose 2 to 3 times weekly (Peds)</w:t>
            </w:r>
          </w:p>
        </w:tc>
        <w:tc>
          <w:tcPr>
            <w:tcW w:w="2186" w:type="dxa"/>
            <w:tcBorders>
              <w:bottom w:val="single" w:sz="4" w:space="0" w:color="auto"/>
            </w:tcBorders>
            <w:shd w:val="clear" w:color="auto" w:fill="FF99CC"/>
          </w:tcPr>
          <w:p w14:paraId="26F9B352" w14:textId="77777777" w:rsidR="002641D2" w:rsidRPr="00FA3F9C" w:rsidRDefault="002641D2" w:rsidP="0041304F">
            <w:pPr>
              <w:rPr>
                <w:rFonts w:ascii="Arial" w:hAnsi="Arial" w:cs="Arial"/>
                <w:color w:val="000000"/>
                <w:sz w:val="24"/>
                <w:szCs w:val="24"/>
              </w:rPr>
            </w:pPr>
            <w:r w:rsidRPr="00FA3F9C">
              <w:rPr>
                <w:rFonts w:ascii="Arial" w:hAnsi="Arial" w:cs="Arial"/>
                <w:color w:val="000000"/>
                <w:sz w:val="24"/>
                <w:szCs w:val="24"/>
              </w:rPr>
              <w:t>250</w:t>
            </w:r>
          </w:p>
          <w:p w14:paraId="54610D55" w14:textId="77777777" w:rsidR="002641D2" w:rsidRPr="00FA3F9C" w:rsidRDefault="002641D2" w:rsidP="0041304F">
            <w:pPr>
              <w:rPr>
                <w:rFonts w:ascii="Arial" w:hAnsi="Arial" w:cs="Arial"/>
                <w:color w:val="000000"/>
                <w:sz w:val="24"/>
                <w:szCs w:val="24"/>
              </w:rPr>
            </w:pPr>
            <w:r w:rsidRPr="00FA3F9C">
              <w:rPr>
                <w:rFonts w:ascii="Arial" w:hAnsi="Arial" w:cs="Arial"/>
                <w:color w:val="000000"/>
                <w:sz w:val="24"/>
                <w:szCs w:val="24"/>
              </w:rPr>
              <w:t xml:space="preserve">500 </w:t>
            </w:r>
          </w:p>
          <w:p w14:paraId="2A4946BA" w14:textId="77777777" w:rsidR="002641D2" w:rsidRPr="00FA3F9C" w:rsidRDefault="002641D2" w:rsidP="0041304F">
            <w:pPr>
              <w:rPr>
                <w:rFonts w:ascii="Arial" w:hAnsi="Arial" w:cs="Arial"/>
                <w:color w:val="000000"/>
                <w:sz w:val="24"/>
                <w:szCs w:val="24"/>
              </w:rPr>
            </w:pPr>
            <w:r w:rsidRPr="00FA3F9C">
              <w:rPr>
                <w:rFonts w:ascii="Arial" w:hAnsi="Arial" w:cs="Arial"/>
                <w:color w:val="000000"/>
                <w:sz w:val="24"/>
                <w:szCs w:val="24"/>
              </w:rPr>
              <w:t xml:space="preserve">1000 </w:t>
            </w:r>
          </w:p>
          <w:p w14:paraId="582B2709" w14:textId="77777777" w:rsidR="002641D2" w:rsidRPr="00FA3F9C" w:rsidRDefault="002641D2" w:rsidP="0041304F">
            <w:pPr>
              <w:rPr>
                <w:rFonts w:ascii="Arial" w:hAnsi="Arial" w:cs="Arial"/>
                <w:color w:val="000000"/>
                <w:sz w:val="24"/>
                <w:szCs w:val="24"/>
              </w:rPr>
            </w:pPr>
            <w:r w:rsidRPr="00FA3F9C">
              <w:rPr>
                <w:rFonts w:ascii="Arial" w:hAnsi="Arial" w:cs="Arial"/>
                <w:color w:val="000000"/>
                <w:sz w:val="24"/>
                <w:szCs w:val="24"/>
              </w:rPr>
              <w:t xml:space="preserve">1500 </w:t>
            </w:r>
          </w:p>
          <w:p w14:paraId="0A855977" w14:textId="77777777" w:rsidR="002641D2" w:rsidRPr="00FA3F9C" w:rsidRDefault="002641D2" w:rsidP="007A5473">
            <w:pPr>
              <w:rPr>
                <w:rFonts w:ascii="Arial" w:eastAsia="Times New Roman" w:hAnsi="Arial" w:cs="Arial"/>
                <w:sz w:val="24"/>
                <w:szCs w:val="24"/>
              </w:rPr>
            </w:pPr>
            <w:r w:rsidRPr="00FA3F9C">
              <w:rPr>
                <w:rFonts w:ascii="Arial" w:hAnsi="Arial" w:cs="Arial"/>
                <w:color w:val="000000"/>
                <w:sz w:val="24"/>
                <w:szCs w:val="24"/>
              </w:rPr>
              <w:t xml:space="preserve">2000 </w:t>
            </w:r>
          </w:p>
        </w:tc>
        <w:tc>
          <w:tcPr>
            <w:tcW w:w="725" w:type="dxa"/>
            <w:tcBorders>
              <w:bottom w:val="single" w:sz="4" w:space="0" w:color="auto"/>
            </w:tcBorders>
            <w:shd w:val="clear" w:color="auto" w:fill="FF99CC"/>
          </w:tcPr>
          <w:p w14:paraId="38C5F1DD" w14:textId="77777777" w:rsidR="002641D2" w:rsidRPr="00FA3F9C" w:rsidRDefault="002641D2" w:rsidP="003026F9">
            <w:pPr>
              <w:rPr>
                <w:rFonts w:ascii="Arial" w:eastAsia="Times New Roman" w:hAnsi="Arial" w:cs="Arial"/>
                <w:color w:val="000000"/>
                <w:sz w:val="24"/>
                <w:szCs w:val="24"/>
              </w:rPr>
            </w:pPr>
            <w:r w:rsidRPr="00FA3F9C">
              <w:rPr>
                <w:rFonts w:ascii="Arial" w:eastAsia="Times New Roman" w:hAnsi="Arial" w:cs="Arial"/>
                <w:color w:val="000000"/>
                <w:sz w:val="24"/>
                <w:szCs w:val="24"/>
              </w:rPr>
              <w:t>$1.38</w:t>
            </w:r>
          </w:p>
          <w:p w14:paraId="1CDC77A4" w14:textId="77777777" w:rsidR="002641D2" w:rsidRPr="00FA3F9C" w:rsidRDefault="002641D2" w:rsidP="002F1CD0">
            <w:pPr>
              <w:rPr>
                <w:rFonts w:ascii="Arial" w:eastAsia="Times New Roman" w:hAnsi="Arial" w:cs="Arial"/>
                <w:color w:val="000000"/>
                <w:sz w:val="24"/>
                <w:szCs w:val="24"/>
              </w:rPr>
            </w:pPr>
            <w:r w:rsidRPr="00FA3F9C">
              <w:rPr>
                <w:rFonts w:ascii="Arial" w:eastAsia="Times New Roman" w:hAnsi="Arial" w:cs="Arial"/>
                <w:color w:val="000000"/>
                <w:sz w:val="24"/>
                <w:szCs w:val="24"/>
              </w:rPr>
              <w:t>$1.38</w:t>
            </w:r>
          </w:p>
          <w:p w14:paraId="50E68593" w14:textId="77777777" w:rsidR="002641D2" w:rsidRPr="00FA3F9C" w:rsidRDefault="002641D2" w:rsidP="002F1CD0">
            <w:pPr>
              <w:rPr>
                <w:rFonts w:ascii="Arial" w:eastAsia="Times New Roman" w:hAnsi="Arial" w:cs="Arial"/>
                <w:color w:val="000000"/>
                <w:sz w:val="24"/>
                <w:szCs w:val="24"/>
              </w:rPr>
            </w:pPr>
            <w:r w:rsidRPr="00FA3F9C">
              <w:rPr>
                <w:rFonts w:ascii="Arial" w:eastAsia="Times New Roman" w:hAnsi="Arial" w:cs="Arial"/>
                <w:color w:val="000000"/>
                <w:sz w:val="24"/>
                <w:szCs w:val="24"/>
              </w:rPr>
              <w:t>$1.38</w:t>
            </w:r>
          </w:p>
          <w:p w14:paraId="369F3EAE" w14:textId="77777777" w:rsidR="002641D2" w:rsidRPr="00FA3F9C" w:rsidRDefault="002641D2" w:rsidP="002F1CD0">
            <w:pPr>
              <w:rPr>
                <w:rFonts w:ascii="Arial" w:eastAsia="Times New Roman" w:hAnsi="Arial" w:cs="Arial"/>
                <w:color w:val="000000"/>
                <w:sz w:val="24"/>
                <w:szCs w:val="24"/>
              </w:rPr>
            </w:pPr>
            <w:r w:rsidRPr="00FA3F9C">
              <w:rPr>
                <w:rFonts w:ascii="Arial" w:eastAsia="Times New Roman" w:hAnsi="Arial" w:cs="Arial"/>
                <w:color w:val="000000"/>
                <w:sz w:val="24"/>
                <w:szCs w:val="24"/>
              </w:rPr>
              <w:t>$1.38</w:t>
            </w:r>
          </w:p>
          <w:p w14:paraId="163470BB" w14:textId="77777777" w:rsidR="002641D2" w:rsidRPr="00FA3F9C" w:rsidRDefault="002641D2" w:rsidP="003026F9">
            <w:pPr>
              <w:rPr>
                <w:rFonts w:ascii="Arial" w:eastAsia="Times New Roman" w:hAnsi="Arial" w:cs="Arial"/>
                <w:color w:val="000000"/>
                <w:sz w:val="24"/>
                <w:szCs w:val="24"/>
              </w:rPr>
            </w:pPr>
            <w:r w:rsidRPr="00FA3F9C">
              <w:rPr>
                <w:rFonts w:ascii="Arial" w:eastAsia="Times New Roman" w:hAnsi="Arial" w:cs="Arial"/>
                <w:color w:val="000000"/>
                <w:sz w:val="24"/>
                <w:szCs w:val="24"/>
              </w:rPr>
              <w:t>$1.38</w:t>
            </w:r>
          </w:p>
        </w:tc>
        <w:tc>
          <w:tcPr>
            <w:tcW w:w="959" w:type="dxa"/>
            <w:tcBorders>
              <w:bottom w:val="single" w:sz="4" w:space="0" w:color="auto"/>
            </w:tcBorders>
            <w:shd w:val="clear" w:color="auto" w:fill="FF99CC"/>
          </w:tcPr>
          <w:p w14:paraId="74D56F67" w14:textId="77777777" w:rsidR="002641D2" w:rsidRPr="00FA3F9C" w:rsidRDefault="002641D2" w:rsidP="008740F4">
            <w:pPr>
              <w:rPr>
                <w:rFonts w:ascii="Arial" w:eastAsia="Times New Roman" w:hAnsi="Arial" w:cs="Arial"/>
                <w:sz w:val="24"/>
                <w:szCs w:val="24"/>
              </w:rPr>
            </w:pPr>
          </w:p>
        </w:tc>
      </w:tr>
      <w:tr w:rsidR="002641D2" w:rsidRPr="00FA3F9C" w14:paraId="5881165B" w14:textId="77777777" w:rsidTr="008310B0">
        <w:trPr>
          <w:jc w:val="center"/>
        </w:trPr>
        <w:tc>
          <w:tcPr>
            <w:tcW w:w="2425" w:type="dxa"/>
            <w:tcBorders>
              <w:bottom w:val="single" w:sz="4" w:space="0" w:color="auto"/>
            </w:tcBorders>
            <w:shd w:val="clear" w:color="auto" w:fill="FF99CC"/>
          </w:tcPr>
          <w:p w14:paraId="488EECB8" w14:textId="77777777" w:rsidR="002641D2" w:rsidRPr="00FA3F9C" w:rsidRDefault="002641D2" w:rsidP="003026F9">
            <w:pPr>
              <w:rPr>
                <w:rFonts w:ascii="Arial" w:eastAsia="Times New Roman" w:hAnsi="Arial" w:cs="Arial"/>
                <w:sz w:val="24"/>
                <w:szCs w:val="24"/>
              </w:rPr>
            </w:pPr>
            <w:r w:rsidRPr="00FA3F9C">
              <w:rPr>
                <w:rFonts w:ascii="Arial" w:eastAsia="Times New Roman" w:hAnsi="Arial" w:cs="Arial"/>
                <w:sz w:val="24"/>
                <w:szCs w:val="24"/>
              </w:rPr>
              <w:t>Humate-P</w:t>
            </w:r>
          </w:p>
        </w:tc>
        <w:tc>
          <w:tcPr>
            <w:tcW w:w="2737" w:type="dxa"/>
            <w:tcBorders>
              <w:bottom w:val="single" w:sz="4" w:space="0" w:color="auto"/>
            </w:tcBorders>
            <w:shd w:val="clear" w:color="auto" w:fill="FF99CC"/>
          </w:tcPr>
          <w:p w14:paraId="2E1C229D" w14:textId="77777777" w:rsidR="002641D2" w:rsidRPr="00FA3F9C" w:rsidRDefault="002641D2" w:rsidP="0041304F">
            <w:pPr>
              <w:rPr>
                <w:rFonts w:ascii="Arial" w:eastAsia="Times New Roman" w:hAnsi="Arial" w:cs="Arial"/>
                <w:sz w:val="24"/>
                <w:szCs w:val="24"/>
              </w:rPr>
            </w:pPr>
            <w:r w:rsidRPr="00FA3F9C">
              <w:rPr>
                <w:rFonts w:ascii="Arial" w:eastAsia="Times New Roman" w:hAnsi="Arial" w:cs="Arial"/>
                <w:sz w:val="24"/>
                <w:szCs w:val="24"/>
              </w:rPr>
              <w:t>*</w:t>
            </w:r>
            <w:proofErr w:type="gramStart"/>
            <w:r w:rsidRPr="00FA3F9C">
              <w:rPr>
                <w:rFonts w:ascii="Arial" w:eastAsia="Times New Roman" w:hAnsi="Arial" w:cs="Arial"/>
                <w:sz w:val="24"/>
                <w:szCs w:val="24"/>
              </w:rPr>
              <w:t>hemophilia</w:t>
            </w:r>
            <w:proofErr w:type="gramEnd"/>
            <w:r w:rsidRPr="00FA3F9C">
              <w:rPr>
                <w:rFonts w:ascii="Arial" w:eastAsia="Times New Roman" w:hAnsi="Arial" w:cs="Arial"/>
                <w:sz w:val="24"/>
                <w:szCs w:val="24"/>
              </w:rPr>
              <w:t xml:space="preserve"> A</w:t>
            </w:r>
          </w:p>
        </w:tc>
        <w:tc>
          <w:tcPr>
            <w:tcW w:w="236" w:type="dxa"/>
            <w:tcBorders>
              <w:bottom w:val="single" w:sz="4" w:space="0" w:color="auto"/>
            </w:tcBorders>
            <w:shd w:val="clear" w:color="auto" w:fill="FF99CC"/>
          </w:tcPr>
          <w:p w14:paraId="0868BDBA" w14:textId="77777777" w:rsidR="002641D2" w:rsidRPr="00FA3F9C" w:rsidRDefault="002641D2" w:rsidP="0041304F">
            <w:pPr>
              <w:rPr>
                <w:rFonts w:ascii="Arial" w:eastAsia="Times New Roman" w:hAnsi="Arial" w:cs="Arial"/>
                <w:sz w:val="24"/>
                <w:szCs w:val="24"/>
              </w:rPr>
            </w:pPr>
          </w:p>
        </w:tc>
        <w:tc>
          <w:tcPr>
            <w:tcW w:w="4227" w:type="dxa"/>
            <w:tcBorders>
              <w:bottom w:val="single" w:sz="4" w:space="0" w:color="auto"/>
            </w:tcBorders>
            <w:shd w:val="clear" w:color="auto" w:fill="FF99CC"/>
          </w:tcPr>
          <w:p w14:paraId="35433022" w14:textId="77777777" w:rsidR="002641D2" w:rsidRPr="00FA3F9C" w:rsidRDefault="002641D2" w:rsidP="0041304F">
            <w:pPr>
              <w:rPr>
                <w:rFonts w:ascii="Arial" w:eastAsia="Times New Roman" w:hAnsi="Arial" w:cs="Arial"/>
                <w:sz w:val="24"/>
                <w:szCs w:val="24"/>
              </w:rPr>
            </w:pPr>
          </w:p>
        </w:tc>
        <w:tc>
          <w:tcPr>
            <w:tcW w:w="2186" w:type="dxa"/>
            <w:tcBorders>
              <w:bottom w:val="single" w:sz="4" w:space="0" w:color="auto"/>
            </w:tcBorders>
            <w:shd w:val="clear" w:color="auto" w:fill="FF99CC"/>
          </w:tcPr>
          <w:p w14:paraId="6D9A5E97" w14:textId="77777777" w:rsidR="002641D2" w:rsidRPr="00FA3F9C" w:rsidRDefault="002641D2" w:rsidP="0041304F">
            <w:pPr>
              <w:rPr>
                <w:rFonts w:ascii="Arial" w:hAnsi="Arial" w:cs="Arial"/>
                <w:color w:val="000000"/>
                <w:sz w:val="24"/>
                <w:szCs w:val="24"/>
              </w:rPr>
            </w:pPr>
            <w:r w:rsidRPr="00FA3F9C">
              <w:rPr>
                <w:rFonts w:ascii="Arial" w:hAnsi="Arial" w:cs="Arial"/>
                <w:color w:val="000000"/>
                <w:sz w:val="24"/>
                <w:szCs w:val="24"/>
              </w:rPr>
              <w:t>250/600</w:t>
            </w:r>
          </w:p>
          <w:p w14:paraId="562BC9AE" w14:textId="77777777" w:rsidR="002641D2" w:rsidRPr="00FA3F9C" w:rsidRDefault="002641D2" w:rsidP="0041304F">
            <w:pPr>
              <w:rPr>
                <w:rFonts w:ascii="Arial" w:hAnsi="Arial" w:cs="Arial"/>
                <w:color w:val="000000"/>
                <w:sz w:val="24"/>
                <w:szCs w:val="24"/>
              </w:rPr>
            </w:pPr>
            <w:r w:rsidRPr="00FA3F9C">
              <w:rPr>
                <w:rFonts w:ascii="Arial" w:hAnsi="Arial" w:cs="Arial"/>
                <w:color w:val="000000"/>
                <w:sz w:val="24"/>
                <w:szCs w:val="24"/>
              </w:rPr>
              <w:t>500/1200</w:t>
            </w:r>
          </w:p>
          <w:p w14:paraId="68E4F7BE" w14:textId="77777777" w:rsidR="002641D2" w:rsidRPr="00FA3F9C" w:rsidRDefault="002641D2" w:rsidP="0041304F">
            <w:pPr>
              <w:rPr>
                <w:rFonts w:ascii="Arial" w:hAnsi="Arial" w:cs="Arial"/>
                <w:color w:val="000000"/>
                <w:sz w:val="24"/>
                <w:szCs w:val="24"/>
              </w:rPr>
            </w:pPr>
            <w:r w:rsidRPr="00FA3F9C">
              <w:rPr>
                <w:rFonts w:ascii="Arial" w:hAnsi="Arial" w:cs="Arial"/>
                <w:color w:val="000000"/>
                <w:sz w:val="24"/>
                <w:szCs w:val="24"/>
              </w:rPr>
              <w:t>1000/2400</w:t>
            </w:r>
          </w:p>
        </w:tc>
        <w:tc>
          <w:tcPr>
            <w:tcW w:w="725" w:type="dxa"/>
            <w:tcBorders>
              <w:bottom w:val="single" w:sz="4" w:space="0" w:color="auto"/>
            </w:tcBorders>
            <w:shd w:val="clear" w:color="auto" w:fill="FF99CC"/>
          </w:tcPr>
          <w:p w14:paraId="33012491" w14:textId="77777777" w:rsidR="002641D2" w:rsidRPr="00FA3F9C" w:rsidRDefault="002641D2" w:rsidP="003026F9">
            <w:pPr>
              <w:rPr>
                <w:rFonts w:ascii="Arial" w:eastAsia="Times New Roman" w:hAnsi="Arial" w:cs="Arial"/>
                <w:color w:val="000000"/>
                <w:sz w:val="24"/>
                <w:szCs w:val="24"/>
              </w:rPr>
            </w:pPr>
            <w:r w:rsidRPr="00FA3F9C">
              <w:rPr>
                <w:rFonts w:ascii="Arial" w:eastAsia="Times New Roman" w:hAnsi="Arial" w:cs="Arial"/>
                <w:color w:val="000000"/>
                <w:sz w:val="24"/>
                <w:szCs w:val="24"/>
              </w:rPr>
              <w:t>1.40</w:t>
            </w:r>
          </w:p>
          <w:p w14:paraId="4DE4A1C5" w14:textId="77777777" w:rsidR="002641D2" w:rsidRPr="00FA3F9C" w:rsidRDefault="002641D2" w:rsidP="003026F9">
            <w:pPr>
              <w:rPr>
                <w:rFonts w:ascii="Arial" w:eastAsia="Times New Roman" w:hAnsi="Arial" w:cs="Arial"/>
                <w:color w:val="000000"/>
                <w:sz w:val="24"/>
                <w:szCs w:val="24"/>
              </w:rPr>
            </w:pPr>
            <w:r w:rsidRPr="00FA3F9C">
              <w:rPr>
                <w:rFonts w:ascii="Arial" w:eastAsia="Times New Roman" w:hAnsi="Arial" w:cs="Arial"/>
                <w:color w:val="000000"/>
                <w:sz w:val="24"/>
                <w:szCs w:val="24"/>
              </w:rPr>
              <w:t>1.40</w:t>
            </w:r>
          </w:p>
        </w:tc>
        <w:tc>
          <w:tcPr>
            <w:tcW w:w="959" w:type="dxa"/>
            <w:tcBorders>
              <w:bottom w:val="single" w:sz="4" w:space="0" w:color="auto"/>
            </w:tcBorders>
            <w:shd w:val="clear" w:color="auto" w:fill="FF99CC"/>
          </w:tcPr>
          <w:p w14:paraId="571EED43" w14:textId="77777777" w:rsidR="002641D2" w:rsidRPr="00FA3F9C" w:rsidRDefault="002641D2" w:rsidP="008740F4">
            <w:pPr>
              <w:rPr>
                <w:rFonts w:ascii="Arial" w:eastAsia="Times New Roman" w:hAnsi="Arial" w:cs="Arial"/>
                <w:sz w:val="24"/>
                <w:szCs w:val="24"/>
              </w:rPr>
            </w:pPr>
          </w:p>
        </w:tc>
      </w:tr>
      <w:tr w:rsidR="002641D2" w:rsidRPr="00FA3F9C" w14:paraId="0DA24BB2" w14:textId="77777777" w:rsidTr="008310B0">
        <w:trPr>
          <w:jc w:val="center"/>
        </w:trPr>
        <w:tc>
          <w:tcPr>
            <w:tcW w:w="2425" w:type="dxa"/>
            <w:tcBorders>
              <w:bottom w:val="single" w:sz="4" w:space="0" w:color="auto"/>
            </w:tcBorders>
            <w:shd w:val="clear" w:color="auto" w:fill="FF99CC"/>
          </w:tcPr>
          <w:p w14:paraId="6B4373ED" w14:textId="77777777" w:rsidR="002641D2" w:rsidRPr="00FA3F9C" w:rsidRDefault="002641D2" w:rsidP="003026F9">
            <w:pPr>
              <w:rPr>
                <w:rFonts w:ascii="Arial" w:eastAsia="Times New Roman" w:hAnsi="Arial" w:cs="Arial"/>
                <w:sz w:val="24"/>
                <w:szCs w:val="24"/>
              </w:rPr>
            </w:pPr>
            <w:proofErr w:type="spellStart"/>
            <w:r w:rsidRPr="00FA3F9C">
              <w:rPr>
                <w:rFonts w:ascii="Arial" w:eastAsia="Times New Roman" w:hAnsi="Arial" w:cs="Arial"/>
                <w:sz w:val="24"/>
                <w:szCs w:val="24"/>
              </w:rPr>
              <w:t>Wilate</w:t>
            </w:r>
            <w:proofErr w:type="spellEnd"/>
          </w:p>
        </w:tc>
        <w:tc>
          <w:tcPr>
            <w:tcW w:w="2737" w:type="dxa"/>
            <w:tcBorders>
              <w:bottom w:val="single" w:sz="4" w:space="0" w:color="auto"/>
            </w:tcBorders>
            <w:shd w:val="clear" w:color="auto" w:fill="FF99CC"/>
          </w:tcPr>
          <w:p w14:paraId="15C34742" w14:textId="77777777" w:rsidR="002641D2" w:rsidRPr="00FA3F9C" w:rsidRDefault="002641D2" w:rsidP="0041304F">
            <w:pPr>
              <w:rPr>
                <w:rFonts w:ascii="Arial" w:eastAsia="Times New Roman" w:hAnsi="Arial" w:cs="Arial"/>
                <w:sz w:val="24"/>
                <w:szCs w:val="24"/>
              </w:rPr>
            </w:pPr>
            <w:r w:rsidRPr="00FA3F9C">
              <w:rPr>
                <w:rFonts w:ascii="Arial" w:eastAsia="Times New Roman" w:hAnsi="Arial" w:cs="Arial"/>
                <w:sz w:val="24"/>
                <w:szCs w:val="24"/>
              </w:rPr>
              <w:t>*</w:t>
            </w:r>
            <w:proofErr w:type="gramStart"/>
            <w:r w:rsidRPr="00FA3F9C">
              <w:rPr>
                <w:rFonts w:ascii="Arial" w:eastAsia="Times New Roman" w:hAnsi="Arial" w:cs="Arial"/>
                <w:sz w:val="24"/>
                <w:szCs w:val="24"/>
              </w:rPr>
              <w:t>von</w:t>
            </w:r>
            <w:proofErr w:type="gramEnd"/>
            <w:r w:rsidRPr="00FA3F9C">
              <w:rPr>
                <w:rFonts w:ascii="Arial" w:eastAsia="Times New Roman" w:hAnsi="Arial" w:cs="Arial"/>
                <w:sz w:val="24"/>
                <w:szCs w:val="24"/>
              </w:rPr>
              <w:t xml:space="preserve"> Willebrand disease</w:t>
            </w:r>
          </w:p>
        </w:tc>
        <w:tc>
          <w:tcPr>
            <w:tcW w:w="236" w:type="dxa"/>
            <w:tcBorders>
              <w:bottom w:val="single" w:sz="4" w:space="0" w:color="auto"/>
            </w:tcBorders>
            <w:shd w:val="clear" w:color="auto" w:fill="FF99CC"/>
          </w:tcPr>
          <w:p w14:paraId="7F9161B3" w14:textId="77777777" w:rsidR="002641D2" w:rsidRPr="00FA3F9C" w:rsidRDefault="002641D2" w:rsidP="0041304F">
            <w:pPr>
              <w:rPr>
                <w:rFonts w:ascii="Arial" w:eastAsia="Times New Roman" w:hAnsi="Arial" w:cs="Arial"/>
                <w:sz w:val="24"/>
                <w:szCs w:val="24"/>
              </w:rPr>
            </w:pPr>
          </w:p>
        </w:tc>
        <w:tc>
          <w:tcPr>
            <w:tcW w:w="4227" w:type="dxa"/>
            <w:tcBorders>
              <w:bottom w:val="single" w:sz="4" w:space="0" w:color="auto"/>
            </w:tcBorders>
            <w:shd w:val="clear" w:color="auto" w:fill="FF99CC"/>
          </w:tcPr>
          <w:p w14:paraId="075E0F1C" w14:textId="77777777" w:rsidR="002641D2" w:rsidRPr="00FA3F9C" w:rsidRDefault="002641D2" w:rsidP="0041304F">
            <w:pPr>
              <w:rPr>
                <w:rFonts w:ascii="Arial" w:eastAsia="Times New Roman" w:hAnsi="Arial" w:cs="Arial"/>
                <w:sz w:val="24"/>
                <w:szCs w:val="24"/>
              </w:rPr>
            </w:pPr>
          </w:p>
        </w:tc>
        <w:tc>
          <w:tcPr>
            <w:tcW w:w="2186" w:type="dxa"/>
            <w:tcBorders>
              <w:bottom w:val="single" w:sz="4" w:space="0" w:color="auto"/>
            </w:tcBorders>
            <w:shd w:val="clear" w:color="auto" w:fill="FF99CC"/>
          </w:tcPr>
          <w:p w14:paraId="3E765B0C" w14:textId="77777777" w:rsidR="002641D2" w:rsidRPr="00FA3F9C" w:rsidRDefault="002641D2" w:rsidP="0041304F">
            <w:pPr>
              <w:rPr>
                <w:rFonts w:ascii="Arial" w:hAnsi="Arial" w:cs="Arial"/>
                <w:color w:val="000000"/>
                <w:sz w:val="24"/>
                <w:szCs w:val="24"/>
              </w:rPr>
            </w:pPr>
            <w:r w:rsidRPr="00FA3F9C">
              <w:rPr>
                <w:rFonts w:ascii="Arial" w:hAnsi="Arial" w:cs="Arial"/>
                <w:color w:val="000000"/>
                <w:sz w:val="24"/>
                <w:szCs w:val="24"/>
              </w:rPr>
              <w:t>500-500</w:t>
            </w:r>
          </w:p>
          <w:p w14:paraId="5D8FA5D6" w14:textId="77777777" w:rsidR="002641D2" w:rsidRPr="00FA3F9C" w:rsidRDefault="002641D2" w:rsidP="0041304F">
            <w:pPr>
              <w:rPr>
                <w:rFonts w:ascii="Arial" w:hAnsi="Arial" w:cs="Arial"/>
                <w:color w:val="000000"/>
                <w:sz w:val="24"/>
                <w:szCs w:val="24"/>
              </w:rPr>
            </w:pPr>
            <w:r w:rsidRPr="00FA3F9C">
              <w:rPr>
                <w:rFonts w:ascii="Arial" w:hAnsi="Arial" w:cs="Arial"/>
                <w:color w:val="000000"/>
                <w:sz w:val="24"/>
                <w:szCs w:val="24"/>
              </w:rPr>
              <w:t>1000-1000</w:t>
            </w:r>
          </w:p>
        </w:tc>
        <w:tc>
          <w:tcPr>
            <w:tcW w:w="725" w:type="dxa"/>
            <w:tcBorders>
              <w:bottom w:val="single" w:sz="4" w:space="0" w:color="auto"/>
            </w:tcBorders>
            <w:shd w:val="clear" w:color="auto" w:fill="FF99CC"/>
          </w:tcPr>
          <w:p w14:paraId="6AD9F1B5" w14:textId="77777777" w:rsidR="002641D2" w:rsidRPr="00FA3F9C" w:rsidRDefault="002641D2" w:rsidP="003026F9">
            <w:pPr>
              <w:rPr>
                <w:rFonts w:ascii="Arial" w:eastAsia="Times New Roman" w:hAnsi="Arial" w:cs="Arial"/>
                <w:color w:val="000000"/>
                <w:sz w:val="24"/>
                <w:szCs w:val="24"/>
              </w:rPr>
            </w:pPr>
            <w:r w:rsidRPr="00FA3F9C">
              <w:rPr>
                <w:rFonts w:ascii="Arial" w:eastAsia="Times New Roman" w:hAnsi="Arial" w:cs="Arial"/>
                <w:color w:val="000000"/>
                <w:sz w:val="24"/>
                <w:szCs w:val="24"/>
              </w:rPr>
              <w:t>1.56</w:t>
            </w:r>
          </w:p>
          <w:p w14:paraId="461AAD55" w14:textId="77777777" w:rsidR="002641D2" w:rsidRPr="00FA3F9C" w:rsidRDefault="002641D2" w:rsidP="002F1CD0">
            <w:pPr>
              <w:rPr>
                <w:rFonts w:ascii="Arial" w:eastAsia="Times New Roman" w:hAnsi="Arial" w:cs="Arial"/>
                <w:color w:val="000000"/>
                <w:sz w:val="24"/>
                <w:szCs w:val="24"/>
              </w:rPr>
            </w:pPr>
            <w:r w:rsidRPr="00FA3F9C">
              <w:rPr>
                <w:rFonts w:ascii="Arial" w:eastAsia="Times New Roman" w:hAnsi="Arial" w:cs="Arial"/>
                <w:color w:val="000000"/>
                <w:sz w:val="24"/>
                <w:szCs w:val="24"/>
              </w:rPr>
              <w:t>1.56</w:t>
            </w:r>
          </w:p>
        </w:tc>
        <w:tc>
          <w:tcPr>
            <w:tcW w:w="959" w:type="dxa"/>
            <w:tcBorders>
              <w:bottom w:val="single" w:sz="4" w:space="0" w:color="auto"/>
            </w:tcBorders>
            <w:shd w:val="clear" w:color="auto" w:fill="FF99CC"/>
          </w:tcPr>
          <w:p w14:paraId="08786408" w14:textId="77777777" w:rsidR="002641D2" w:rsidRPr="00FA3F9C" w:rsidRDefault="002641D2" w:rsidP="008740F4">
            <w:pPr>
              <w:rPr>
                <w:rFonts w:ascii="Arial" w:eastAsia="Times New Roman" w:hAnsi="Arial" w:cs="Arial"/>
                <w:sz w:val="24"/>
                <w:szCs w:val="24"/>
              </w:rPr>
            </w:pPr>
          </w:p>
        </w:tc>
      </w:tr>
      <w:tr w:rsidR="002641D2" w:rsidRPr="00FA3F9C" w14:paraId="08974E5B" w14:textId="77777777" w:rsidTr="008310B0">
        <w:trPr>
          <w:jc w:val="center"/>
        </w:trPr>
        <w:tc>
          <w:tcPr>
            <w:tcW w:w="2425" w:type="dxa"/>
            <w:shd w:val="clear" w:color="auto" w:fill="000000"/>
          </w:tcPr>
          <w:p w14:paraId="263E9567" w14:textId="77777777" w:rsidR="002641D2" w:rsidRPr="00FA3F9C" w:rsidRDefault="002641D2" w:rsidP="00C22EB3">
            <w:pPr>
              <w:rPr>
                <w:rFonts w:ascii="Arial" w:eastAsia="Times New Roman" w:hAnsi="Arial" w:cs="Arial"/>
                <w:sz w:val="24"/>
                <w:szCs w:val="24"/>
              </w:rPr>
            </w:pPr>
            <w:r w:rsidRPr="00FA3F9C">
              <w:rPr>
                <w:rFonts w:ascii="Arial" w:eastAsia="Times New Roman" w:hAnsi="Arial" w:cs="Arial"/>
                <w:sz w:val="24"/>
                <w:szCs w:val="24"/>
              </w:rPr>
              <w:t>Factor VIII (Recombinant)</w:t>
            </w:r>
          </w:p>
        </w:tc>
        <w:tc>
          <w:tcPr>
            <w:tcW w:w="11070" w:type="dxa"/>
            <w:gridSpan w:val="6"/>
            <w:shd w:val="clear" w:color="auto" w:fill="000000"/>
          </w:tcPr>
          <w:p w14:paraId="49F64A90" w14:textId="77777777" w:rsidR="002641D2" w:rsidRPr="00FA3F9C" w:rsidRDefault="002641D2" w:rsidP="00C22EB3">
            <w:pPr>
              <w:rPr>
                <w:rFonts w:ascii="Arial" w:eastAsia="Times New Roman" w:hAnsi="Arial" w:cs="Arial"/>
                <w:sz w:val="24"/>
                <w:szCs w:val="24"/>
              </w:rPr>
            </w:pPr>
          </w:p>
        </w:tc>
      </w:tr>
      <w:tr w:rsidR="002641D2" w:rsidRPr="00FA3F9C" w14:paraId="4FA0E192" w14:textId="77777777" w:rsidTr="008310B0">
        <w:trPr>
          <w:jc w:val="center"/>
        </w:trPr>
        <w:tc>
          <w:tcPr>
            <w:tcW w:w="2425" w:type="dxa"/>
            <w:shd w:val="clear" w:color="auto" w:fill="66CCFF"/>
          </w:tcPr>
          <w:p w14:paraId="2FA5BCF2" w14:textId="77777777" w:rsidR="002641D2" w:rsidRPr="00FA3F9C" w:rsidRDefault="002641D2" w:rsidP="003026F9">
            <w:pPr>
              <w:rPr>
                <w:rFonts w:ascii="Arial" w:eastAsia="Times New Roman" w:hAnsi="Arial" w:cs="Arial"/>
                <w:sz w:val="24"/>
                <w:szCs w:val="24"/>
              </w:rPr>
            </w:pPr>
            <w:proofErr w:type="spellStart"/>
            <w:r w:rsidRPr="00FA3F9C">
              <w:rPr>
                <w:rFonts w:ascii="Arial" w:eastAsia="Times New Roman" w:hAnsi="Arial" w:cs="Arial"/>
                <w:sz w:val="24"/>
                <w:szCs w:val="24"/>
              </w:rPr>
              <w:t>Advate</w:t>
            </w:r>
            <w:proofErr w:type="spellEnd"/>
          </w:p>
        </w:tc>
        <w:tc>
          <w:tcPr>
            <w:tcW w:w="2737" w:type="dxa"/>
            <w:shd w:val="clear" w:color="auto" w:fill="66CCFF"/>
          </w:tcPr>
          <w:p w14:paraId="044E591F" w14:textId="77777777" w:rsidR="002641D2" w:rsidRPr="00FA3F9C" w:rsidRDefault="002641D2" w:rsidP="0041304F">
            <w:pPr>
              <w:rPr>
                <w:rFonts w:ascii="Arial" w:eastAsia="Times New Roman" w:hAnsi="Arial" w:cs="Arial"/>
                <w:color w:val="000000"/>
                <w:sz w:val="24"/>
                <w:szCs w:val="24"/>
              </w:rPr>
            </w:pPr>
            <w:r w:rsidRPr="00FA3F9C">
              <w:rPr>
                <w:rFonts w:ascii="Arial" w:eastAsia="Times New Roman" w:hAnsi="Arial" w:cs="Arial"/>
                <w:color w:val="000000"/>
                <w:sz w:val="24"/>
                <w:szCs w:val="24"/>
              </w:rPr>
              <w:t>*^# hemophilia A</w:t>
            </w:r>
          </w:p>
        </w:tc>
        <w:tc>
          <w:tcPr>
            <w:tcW w:w="236" w:type="dxa"/>
            <w:shd w:val="clear" w:color="auto" w:fill="66CCFF"/>
          </w:tcPr>
          <w:p w14:paraId="4CBDBF7F" w14:textId="77777777" w:rsidR="002641D2" w:rsidRPr="00FA3F9C" w:rsidRDefault="002641D2" w:rsidP="0041304F">
            <w:pPr>
              <w:rPr>
                <w:rFonts w:ascii="Arial" w:eastAsia="Times New Roman" w:hAnsi="Arial" w:cs="Arial"/>
                <w:color w:val="000000"/>
                <w:sz w:val="24"/>
                <w:szCs w:val="24"/>
              </w:rPr>
            </w:pPr>
          </w:p>
        </w:tc>
        <w:tc>
          <w:tcPr>
            <w:tcW w:w="4227" w:type="dxa"/>
            <w:shd w:val="clear" w:color="auto" w:fill="66CCFF"/>
          </w:tcPr>
          <w:p w14:paraId="26683EAF" w14:textId="77777777" w:rsidR="002641D2" w:rsidRPr="00FA3F9C" w:rsidRDefault="002641D2" w:rsidP="0041304F">
            <w:pPr>
              <w:rPr>
                <w:rFonts w:ascii="Arial" w:eastAsia="Times New Roman" w:hAnsi="Arial" w:cs="Arial"/>
                <w:sz w:val="24"/>
                <w:szCs w:val="24"/>
              </w:rPr>
            </w:pPr>
            <w:r w:rsidRPr="00FA3F9C">
              <w:rPr>
                <w:rFonts w:ascii="Arial" w:eastAsia="Times New Roman" w:hAnsi="Arial" w:cs="Arial"/>
                <w:color w:val="000000"/>
                <w:sz w:val="24"/>
                <w:szCs w:val="24"/>
              </w:rPr>
              <w:t>20 to 40 units/kg every other day (3 to 4 times weekly). Alternatively, an every-third-day dosing regimen may be used to target factor VIII trough levels of ≥1%</w:t>
            </w:r>
          </w:p>
        </w:tc>
        <w:tc>
          <w:tcPr>
            <w:tcW w:w="2186" w:type="dxa"/>
            <w:shd w:val="clear" w:color="auto" w:fill="66CCFF"/>
          </w:tcPr>
          <w:p w14:paraId="0839875C" w14:textId="77777777" w:rsidR="002641D2" w:rsidRPr="00FA3F9C" w:rsidRDefault="002641D2" w:rsidP="0041304F">
            <w:pPr>
              <w:rPr>
                <w:rFonts w:ascii="Arial" w:hAnsi="Arial" w:cs="Arial"/>
                <w:color w:val="000000"/>
                <w:sz w:val="24"/>
                <w:szCs w:val="24"/>
              </w:rPr>
            </w:pPr>
            <w:r w:rsidRPr="00FA3F9C">
              <w:rPr>
                <w:rFonts w:ascii="Arial" w:hAnsi="Arial" w:cs="Arial"/>
                <w:color w:val="000000"/>
                <w:sz w:val="24"/>
                <w:szCs w:val="24"/>
              </w:rPr>
              <w:t xml:space="preserve">250 </w:t>
            </w:r>
          </w:p>
          <w:p w14:paraId="220A8859" w14:textId="77777777" w:rsidR="002641D2" w:rsidRPr="00FA3F9C" w:rsidRDefault="002641D2" w:rsidP="0041304F">
            <w:pPr>
              <w:rPr>
                <w:rFonts w:ascii="Arial" w:hAnsi="Arial" w:cs="Arial"/>
                <w:color w:val="000000"/>
                <w:sz w:val="24"/>
                <w:szCs w:val="24"/>
              </w:rPr>
            </w:pPr>
            <w:r w:rsidRPr="00FA3F9C">
              <w:rPr>
                <w:rFonts w:ascii="Arial" w:hAnsi="Arial" w:cs="Arial"/>
                <w:color w:val="000000"/>
                <w:sz w:val="24"/>
                <w:szCs w:val="24"/>
              </w:rPr>
              <w:t xml:space="preserve">500 </w:t>
            </w:r>
          </w:p>
          <w:p w14:paraId="091D9374" w14:textId="77777777" w:rsidR="002641D2" w:rsidRPr="00FA3F9C" w:rsidRDefault="002641D2" w:rsidP="0041304F">
            <w:pPr>
              <w:rPr>
                <w:rFonts w:ascii="Arial" w:hAnsi="Arial" w:cs="Arial"/>
                <w:color w:val="000000"/>
                <w:sz w:val="24"/>
                <w:szCs w:val="24"/>
              </w:rPr>
            </w:pPr>
            <w:r w:rsidRPr="00FA3F9C">
              <w:rPr>
                <w:rFonts w:ascii="Arial" w:hAnsi="Arial" w:cs="Arial"/>
                <w:color w:val="000000"/>
                <w:sz w:val="24"/>
                <w:szCs w:val="24"/>
              </w:rPr>
              <w:t xml:space="preserve">1000 </w:t>
            </w:r>
          </w:p>
          <w:p w14:paraId="4EAE89CE" w14:textId="77777777" w:rsidR="002641D2" w:rsidRPr="00FA3F9C" w:rsidRDefault="002641D2" w:rsidP="0041304F">
            <w:pPr>
              <w:rPr>
                <w:rFonts w:ascii="Arial" w:hAnsi="Arial" w:cs="Arial"/>
                <w:color w:val="000000"/>
                <w:sz w:val="24"/>
                <w:szCs w:val="24"/>
              </w:rPr>
            </w:pPr>
            <w:r w:rsidRPr="00FA3F9C">
              <w:rPr>
                <w:rFonts w:ascii="Arial" w:hAnsi="Arial" w:cs="Arial"/>
                <w:color w:val="000000"/>
                <w:sz w:val="24"/>
                <w:szCs w:val="24"/>
              </w:rPr>
              <w:t>2000</w:t>
            </w:r>
          </w:p>
          <w:p w14:paraId="18E97450" w14:textId="77777777" w:rsidR="002641D2" w:rsidRPr="00FA3F9C" w:rsidRDefault="002641D2" w:rsidP="0041304F">
            <w:pPr>
              <w:rPr>
                <w:rFonts w:ascii="Arial" w:hAnsi="Arial" w:cs="Arial"/>
                <w:color w:val="000000"/>
                <w:sz w:val="24"/>
                <w:szCs w:val="24"/>
              </w:rPr>
            </w:pPr>
            <w:r w:rsidRPr="00FA3F9C">
              <w:rPr>
                <w:rFonts w:ascii="Arial" w:hAnsi="Arial" w:cs="Arial"/>
                <w:color w:val="000000"/>
                <w:sz w:val="24"/>
                <w:szCs w:val="24"/>
              </w:rPr>
              <w:t>3000</w:t>
            </w:r>
          </w:p>
          <w:p w14:paraId="4F1FD7AF" w14:textId="77777777" w:rsidR="002641D2" w:rsidRPr="00FA3F9C" w:rsidRDefault="002641D2" w:rsidP="007A5473">
            <w:pPr>
              <w:rPr>
                <w:rFonts w:ascii="Arial" w:hAnsi="Arial" w:cs="Arial"/>
                <w:color w:val="000000"/>
                <w:sz w:val="24"/>
                <w:szCs w:val="24"/>
              </w:rPr>
            </w:pPr>
            <w:r w:rsidRPr="00FA3F9C">
              <w:rPr>
                <w:rFonts w:ascii="Arial" w:hAnsi="Arial" w:cs="Arial"/>
                <w:color w:val="000000"/>
                <w:sz w:val="24"/>
                <w:szCs w:val="24"/>
              </w:rPr>
              <w:t xml:space="preserve">4000 </w:t>
            </w:r>
          </w:p>
        </w:tc>
        <w:tc>
          <w:tcPr>
            <w:tcW w:w="725" w:type="dxa"/>
            <w:shd w:val="clear" w:color="auto" w:fill="66CCFF"/>
          </w:tcPr>
          <w:p w14:paraId="13A23E60" w14:textId="77777777" w:rsidR="002641D2" w:rsidRPr="00FA3F9C" w:rsidRDefault="002641D2" w:rsidP="003026F9">
            <w:pPr>
              <w:rPr>
                <w:rFonts w:ascii="Arial" w:eastAsia="Times New Roman" w:hAnsi="Arial" w:cs="Arial"/>
                <w:color w:val="000000"/>
                <w:sz w:val="24"/>
                <w:szCs w:val="24"/>
              </w:rPr>
            </w:pPr>
            <w:r w:rsidRPr="00FA3F9C">
              <w:rPr>
                <w:rFonts w:ascii="Arial" w:eastAsia="Times New Roman" w:hAnsi="Arial" w:cs="Arial"/>
                <w:color w:val="000000"/>
                <w:sz w:val="24"/>
                <w:szCs w:val="24"/>
              </w:rPr>
              <w:t>$1.82</w:t>
            </w:r>
          </w:p>
          <w:p w14:paraId="523FAEA2" w14:textId="77777777" w:rsidR="002641D2" w:rsidRPr="00FA3F9C" w:rsidRDefault="002641D2" w:rsidP="003026F9">
            <w:pPr>
              <w:rPr>
                <w:rFonts w:ascii="Arial" w:eastAsia="Times New Roman" w:hAnsi="Arial" w:cs="Arial"/>
                <w:color w:val="000000"/>
                <w:sz w:val="24"/>
                <w:szCs w:val="24"/>
              </w:rPr>
            </w:pPr>
            <w:r w:rsidRPr="00FA3F9C">
              <w:rPr>
                <w:rFonts w:ascii="Arial" w:eastAsia="Times New Roman" w:hAnsi="Arial" w:cs="Arial"/>
                <w:color w:val="000000"/>
                <w:sz w:val="24"/>
                <w:szCs w:val="24"/>
              </w:rPr>
              <w:t>$1.82</w:t>
            </w:r>
          </w:p>
          <w:p w14:paraId="701B5ACF" w14:textId="77777777" w:rsidR="002641D2" w:rsidRPr="00FA3F9C" w:rsidRDefault="002641D2" w:rsidP="003026F9">
            <w:pPr>
              <w:rPr>
                <w:rFonts w:ascii="Arial" w:eastAsia="Times New Roman" w:hAnsi="Arial" w:cs="Arial"/>
                <w:color w:val="000000"/>
                <w:sz w:val="24"/>
                <w:szCs w:val="24"/>
              </w:rPr>
            </w:pPr>
            <w:r w:rsidRPr="00FA3F9C">
              <w:rPr>
                <w:rFonts w:ascii="Arial" w:eastAsia="Times New Roman" w:hAnsi="Arial" w:cs="Arial"/>
                <w:color w:val="000000"/>
                <w:sz w:val="24"/>
                <w:szCs w:val="24"/>
              </w:rPr>
              <w:t>$1.82</w:t>
            </w:r>
          </w:p>
          <w:p w14:paraId="6477AEDC" w14:textId="77777777" w:rsidR="002641D2" w:rsidRPr="00FA3F9C" w:rsidRDefault="002641D2" w:rsidP="003026F9">
            <w:pPr>
              <w:rPr>
                <w:rFonts w:ascii="Arial" w:eastAsia="Times New Roman" w:hAnsi="Arial" w:cs="Arial"/>
                <w:color w:val="000000"/>
                <w:sz w:val="24"/>
                <w:szCs w:val="24"/>
              </w:rPr>
            </w:pPr>
            <w:r w:rsidRPr="00FA3F9C">
              <w:rPr>
                <w:rFonts w:ascii="Arial" w:eastAsia="Times New Roman" w:hAnsi="Arial" w:cs="Arial"/>
                <w:color w:val="000000"/>
                <w:sz w:val="24"/>
                <w:szCs w:val="24"/>
              </w:rPr>
              <w:t>$1.82</w:t>
            </w:r>
          </w:p>
          <w:p w14:paraId="5E7C0AE8" w14:textId="77777777" w:rsidR="002641D2" w:rsidRPr="00FA3F9C" w:rsidRDefault="002641D2" w:rsidP="003026F9">
            <w:pPr>
              <w:rPr>
                <w:rFonts w:ascii="Arial" w:eastAsia="Times New Roman" w:hAnsi="Arial" w:cs="Arial"/>
                <w:color w:val="000000"/>
                <w:sz w:val="24"/>
                <w:szCs w:val="24"/>
              </w:rPr>
            </w:pPr>
            <w:r w:rsidRPr="00FA3F9C">
              <w:rPr>
                <w:rFonts w:ascii="Arial" w:eastAsia="Times New Roman" w:hAnsi="Arial" w:cs="Arial"/>
                <w:color w:val="000000"/>
                <w:sz w:val="24"/>
                <w:szCs w:val="24"/>
              </w:rPr>
              <w:t>$1.82</w:t>
            </w:r>
          </w:p>
          <w:p w14:paraId="57BB5014" w14:textId="77777777" w:rsidR="002641D2" w:rsidRPr="00FA3F9C" w:rsidRDefault="002641D2" w:rsidP="003026F9">
            <w:pPr>
              <w:rPr>
                <w:rFonts w:ascii="Arial" w:eastAsia="Times New Roman" w:hAnsi="Arial" w:cs="Arial"/>
                <w:color w:val="000000"/>
                <w:sz w:val="24"/>
                <w:szCs w:val="24"/>
              </w:rPr>
            </w:pPr>
            <w:r w:rsidRPr="00FA3F9C">
              <w:rPr>
                <w:rFonts w:ascii="Arial" w:eastAsia="Times New Roman" w:hAnsi="Arial" w:cs="Arial"/>
                <w:color w:val="000000"/>
                <w:sz w:val="24"/>
                <w:szCs w:val="24"/>
              </w:rPr>
              <w:t>$1.82</w:t>
            </w:r>
          </w:p>
        </w:tc>
        <w:tc>
          <w:tcPr>
            <w:tcW w:w="959" w:type="dxa"/>
            <w:shd w:val="clear" w:color="auto" w:fill="66CCFF"/>
          </w:tcPr>
          <w:p w14:paraId="47FBFB63" w14:textId="77777777" w:rsidR="002641D2" w:rsidRPr="00FA3F9C" w:rsidRDefault="002641D2" w:rsidP="00C22EB3">
            <w:pPr>
              <w:rPr>
                <w:rFonts w:ascii="Arial" w:eastAsia="Times New Roman" w:hAnsi="Arial" w:cs="Arial"/>
                <w:sz w:val="24"/>
                <w:szCs w:val="24"/>
              </w:rPr>
            </w:pPr>
            <w:r w:rsidRPr="00FA3F9C">
              <w:rPr>
                <w:rFonts w:ascii="Arial" w:eastAsia="Times New Roman" w:hAnsi="Arial" w:cs="Arial"/>
                <w:sz w:val="24"/>
                <w:szCs w:val="24"/>
              </w:rPr>
              <w:t>$455</w:t>
            </w:r>
          </w:p>
          <w:p w14:paraId="28E7E2ED" w14:textId="77777777" w:rsidR="002641D2" w:rsidRPr="00FA3F9C" w:rsidRDefault="002641D2" w:rsidP="00C22EB3">
            <w:pPr>
              <w:rPr>
                <w:rFonts w:ascii="Arial" w:eastAsia="Times New Roman" w:hAnsi="Arial" w:cs="Arial"/>
                <w:sz w:val="24"/>
                <w:szCs w:val="24"/>
              </w:rPr>
            </w:pPr>
            <w:r w:rsidRPr="00FA3F9C">
              <w:rPr>
                <w:rFonts w:ascii="Arial" w:eastAsia="Times New Roman" w:hAnsi="Arial" w:cs="Arial"/>
                <w:sz w:val="24"/>
                <w:szCs w:val="24"/>
              </w:rPr>
              <w:t>$910</w:t>
            </w:r>
          </w:p>
          <w:p w14:paraId="62F96F65" w14:textId="77777777" w:rsidR="002641D2" w:rsidRPr="00FA3F9C" w:rsidRDefault="002641D2" w:rsidP="00C22EB3">
            <w:pPr>
              <w:rPr>
                <w:rFonts w:ascii="Arial" w:eastAsia="Times New Roman" w:hAnsi="Arial" w:cs="Arial"/>
                <w:sz w:val="24"/>
                <w:szCs w:val="24"/>
              </w:rPr>
            </w:pPr>
            <w:r w:rsidRPr="00FA3F9C">
              <w:rPr>
                <w:rFonts w:ascii="Arial" w:eastAsia="Times New Roman" w:hAnsi="Arial" w:cs="Arial"/>
                <w:sz w:val="24"/>
                <w:szCs w:val="24"/>
              </w:rPr>
              <w:t>$1,820</w:t>
            </w:r>
          </w:p>
          <w:p w14:paraId="1633529B" w14:textId="77777777" w:rsidR="002641D2" w:rsidRPr="00FA3F9C" w:rsidRDefault="002641D2" w:rsidP="00C22EB3">
            <w:pPr>
              <w:rPr>
                <w:rFonts w:ascii="Arial" w:eastAsia="Times New Roman" w:hAnsi="Arial" w:cs="Arial"/>
                <w:sz w:val="24"/>
                <w:szCs w:val="24"/>
              </w:rPr>
            </w:pPr>
            <w:r w:rsidRPr="00FA3F9C">
              <w:rPr>
                <w:rFonts w:ascii="Arial" w:eastAsia="Times New Roman" w:hAnsi="Arial" w:cs="Arial"/>
                <w:sz w:val="24"/>
                <w:szCs w:val="24"/>
              </w:rPr>
              <w:t>$3,640</w:t>
            </w:r>
          </w:p>
          <w:p w14:paraId="49F4C0C7" w14:textId="77777777" w:rsidR="002641D2" w:rsidRPr="00FA3F9C" w:rsidRDefault="002641D2" w:rsidP="00C22EB3">
            <w:pPr>
              <w:rPr>
                <w:rFonts w:ascii="Arial" w:eastAsia="Times New Roman" w:hAnsi="Arial" w:cs="Arial"/>
                <w:sz w:val="24"/>
                <w:szCs w:val="24"/>
              </w:rPr>
            </w:pPr>
            <w:r w:rsidRPr="00FA3F9C">
              <w:rPr>
                <w:rFonts w:ascii="Arial" w:eastAsia="Times New Roman" w:hAnsi="Arial" w:cs="Arial"/>
                <w:sz w:val="24"/>
                <w:szCs w:val="24"/>
              </w:rPr>
              <w:t>$5,460</w:t>
            </w:r>
          </w:p>
          <w:p w14:paraId="4D945C2C" w14:textId="77777777" w:rsidR="002641D2" w:rsidRPr="00FA3F9C" w:rsidRDefault="002641D2" w:rsidP="00C22EB3">
            <w:pPr>
              <w:rPr>
                <w:rFonts w:ascii="Arial" w:eastAsia="Times New Roman" w:hAnsi="Arial" w:cs="Arial"/>
                <w:sz w:val="24"/>
                <w:szCs w:val="24"/>
              </w:rPr>
            </w:pPr>
            <w:r w:rsidRPr="00FA3F9C">
              <w:rPr>
                <w:rFonts w:ascii="Arial" w:eastAsia="Times New Roman" w:hAnsi="Arial" w:cs="Arial"/>
                <w:sz w:val="24"/>
                <w:szCs w:val="24"/>
              </w:rPr>
              <w:t>$7,280</w:t>
            </w:r>
          </w:p>
        </w:tc>
      </w:tr>
      <w:tr w:rsidR="002641D2" w:rsidRPr="00FA3F9C" w14:paraId="0F5067D0" w14:textId="77777777" w:rsidTr="008310B0">
        <w:trPr>
          <w:jc w:val="center"/>
        </w:trPr>
        <w:tc>
          <w:tcPr>
            <w:tcW w:w="2425" w:type="dxa"/>
            <w:shd w:val="clear" w:color="auto" w:fill="66CCFF"/>
          </w:tcPr>
          <w:p w14:paraId="69FA72DB" w14:textId="77777777" w:rsidR="002641D2" w:rsidRPr="00FA3F9C" w:rsidRDefault="002641D2" w:rsidP="00725E44">
            <w:pPr>
              <w:rPr>
                <w:rFonts w:ascii="Arial" w:eastAsia="Times New Roman" w:hAnsi="Arial" w:cs="Arial"/>
                <w:sz w:val="24"/>
                <w:szCs w:val="24"/>
              </w:rPr>
            </w:pPr>
            <w:proofErr w:type="spellStart"/>
            <w:r w:rsidRPr="00FA3F9C">
              <w:rPr>
                <w:rFonts w:ascii="Arial" w:eastAsia="Times New Roman" w:hAnsi="Arial" w:cs="Arial"/>
                <w:sz w:val="24"/>
                <w:szCs w:val="24"/>
              </w:rPr>
              <w:t>Afstyla</w:t>
            </w:r>
            <w:proofErr w:type="spellEnd"/>
            <w:r w:rsidRPr="00FA3F9C">
              <w:rPr>
                <w:rFonts w:ascii="Arial" w:eastAsia="Times New Roman" w:hAnsi="Arial" w:cs="Arial"/>
                <w:sz w:val="24"/>
                <w:szCs w:val="24"/>
              </w:rPr>
              <w:t xml:space="preserve"> Kit</w:t>
            </w:r>
          </w:p>
        </w:tc>
        <w:tc>
          <w:tcPr>
            <w:tcW w:w="2737" w:type="dxa"/>
            <w:shd w:val="clear" w:color="auto" w:fill="66CCFF"/>
          </w:tcPr>
          <w:p w14:paraId="48152D13" w14:textId="77777777" w:rsidR="002641D2" w:rsidRPr="00FA3F9C" w:rsidRDefault="002641D2" w:rsidP="00725E44">
            <w:pPr>
              <w:rPr>
                <w:rFonts w:ascii="Arial" w:eastAsia="Times New Roman" w:hAnsi="Arial" w:cs="Arial"/>
                <w:sz w:val="24"/>
                <w:szCs w:val="24"/>
              </w:rPr>
            </w:pPr>
            <w:r w:rsidRPr="00FA3F9C">
              <w:rPr>
                <w:rFonts w:ascii="Arial" w:eastAsia="Times New Roman" w:hAnsi="Arial" w:cs="Arial"/>
                <w:color w:val="000000"/>
                <w:sz w:val="24"/>
                <w:szCs w:val="24"/>
              </w:rPr>
              <w:t>*^# hemophilia A</w:t>
            </w:r>
          </w:p>
        </w:tc>
        <w:tc>
          <w:tcPr>
            <w:tcW w:w="236" w:type="dxa"/>
            <w:shd w:val="clear" w:color="auto" w:fill="66CCFF"/>
          </w:tcPr>
          <w:p w14:paraId="6F6F12DB" w14:textId="77777777" w:rsidR="002641D2" w:rsidRPr="00FA3F9C" w:rsidRDefault="002641D2" w:rsidP="00725E44">
            <w:pPr>
              <w:rPr>
                <w:rFonts w:ascii="Arial" w:eastAsia="Times New Roman" w:hAnsi="Arial" w:cs="Arial"/>
                <w:sz w:val="24"/>
                <w:szCs w:val="24"/>
              </w:rPr>
            </w:pPr>
          </w:p>
        </w:tc>
        <w:tc>
          <w:tcPr>
            <w:tcW w:w="4227" w:type="dxa"/>
            <w:shd w:val="clear" w:color="auto" w:fill="66CCFF"/>
          </w:tcPr>
          <w:p w14:paraId="13335D6A" w14:textId="77777777" w:rsidR="002641D2" w:rsidRPr="00FA3F9C" w:rsidRDefault="002641D2" w:rsidP="00725E44">
            <w:pPr>
              <w:rPr>
                <w:rFonts w:ascii="Arial" w:eastAsia="Times New Roman" w:hAnsi="Arial" w:cs="Arial"/>
                <w:sz w:val="24"/>
                <w:szCs w:val="24"/>
              </w:rPr>
            </w:pPr>
            <w:r w:rsidRPr="00FA3F9C">
              <w:rPr>
                <w:rFonts w:ascii="Arial" w:eastAsia="Times New Roman" w:hAnsi="Arial" w:cs="Arial"/>
                <w:sz w:val="24"/>
                <w:szCs w:val="24"/>
              </w:rPr>
              <w:t>20-50 IU/kg 2 to 3 times weekly</w:t>
            </w:r>
          </w:p>
        </w:tc>
        <w:tc>
          <w:tcPr>
            <w:tcW w:w="2186" w:type="dxa"/>
            <w:shd w:val="clear" w:color="auto" w:fill="66CCFF"/>
          </w:tcPr>
          <w:p w14:paraId="349356BE" w14:textId="77777777" w:rsidR="002641D2" w:rsidRPr="00FA3F9C" w:rsidRDefault="002641D2" w:rsidP="00725E44">
            <w:pPr>
              <w:rPr>
                <w:rFonts w:ascii="Arial" w:hAnsi="Arial" w:cs="Arial"/>
                <w:color w:val="000000"/>
                <w:sz w:val="24"/>
                <w:szCs w:val="24"/>
              </w:rPr>
            </w:pPr>
            <w:r w:rsidRPr="00FA3F9C">
              <w:rPr>
                <w:rFonts w:ascii="Arial" w:hAnsi="Arial" w:cs="Arial"/>
                <w:color w:val="000000"/>
                <w:sz w:val="24"/>
                <w:szCs w:val="24"/>
              </w:rPr>
              <w:t xml:space="preserve">250 </w:t>
            </w:r>
          </w:p>
          <w:p w14:paraId="13738973" w14:textId="77777777" w:rsidR="002641D2" w:rsidRPr="00FA3F9C" w:rsidRDefault="002641D2" w:rsidP="00725E44">
            <w:pPr>
              <w:rPr>
                <w:rFonts w:ascii="Arial" w:hAnsi="Arial" w:cs="Arial"/>
                <w:color w:val="000000"/>
                <w:sz w:val="24"/>
                <w:szCs w:val="24"/>
              </w:rPr>
            </w:pPr>
            <w:r w:rsidRPr="00FA3F9C">
              <w:rPr>
                <w:rFonts w:ascii="Arial" w:hAnsi="Arial" w:cs="Arial"/>
                <w:color w:val="000000"/>
                <w:sz w:val="24"/>
                <w:szCs w:val="24"/>
              </w:rPr>
              <w:t>500</w:t>
            </w:r>
          </w:p>
          <w:p w14:paraId="526CACC2" w14:textId="77777777" w:rsidR="002641D2" w:rsidRPr="00FA3F9C" w:rsidRDefault="002641D2" w:rsidP="00725E44">
            <w:pPr>
              <w:rPr>
                <w:rFonts w:ascii="Arial" w:hAnsi="Arial" w:cs="Arial"/>
                <w:color w:val="000000"/>
                <w:sz w:val="24"/>
                <w:szCs w:val="24"/>
              </w:rPr>
            </w:pPr>
            <w:r w:rsidRPr="00FA3F9C">
              <w:rPr>
                <w:rFonts w:ascii="Arial" w:hAnsi="Arial" w:cs="Arial"/>
                <w:color w:val="000000"/>
                <w:sz w:val="24"/>
                <w:szCs w:val="24"/>
              </w:rPr>
              <w:lastRenderedPageBreak/>
              <w:t>1000</w:t>
            </w:r>
          </w:p>
          <w:p w14:paraId="2E2C8038" w14:textId="77777777" w:rsidR="002641D2" w:rsidRPr="00FA3F9C" w:rsidRDefault="002641D2" w:rsidP="00725E44">
            <w:pPr>
              <w:rPr>
                <w:rFonts w:ascii="Arial" w:hAnsi="Arial" w:cs="Arial"/>
                <w:color w:val="000000"/>
                <w:sz w:val="24"/>
                <w:szCs w:val="24"/>
              </w:rPr>
            </w:pPr>
            <w:r w:rsidRPr="00FA3F9C">
              <w:rPr>
                <w:rFonts w:ascii="Arial" w:hAnsi="Arial" w:cs="Arial"/>
                <w:color w:val="000000"/>
                <w:sz w:val="24"/>
                <w:szCs w:val="24"/>
              </w:rPr>
              <w:t xml:space="preserve">1500 </w:t>
            </w:r>
          </w:p>
          <w:p w14:paraId="7C3FB3D7" w14:textId="77777777" w:rsidR="002641D2" w:rsidRPr="00FA3F9C" w:rsidRDefault="002641D2" w:rsidP="00725E44">
            <w:pPr>
              <w:rPr>
                <w:rFonts w:ascii="Arial" w:hAnsi="Arial" w:cs="Arial"/>
                <w:color w:val="000000"/>
                <w:sz w:val="24"/>
                <w:szCs w:val="24"/>
              </w:rPr>
            </w:pPr>
            <w:r w:rsidRPr="00FA3F9C">
              <w:rPr>
                <w:rFonts w:ascii="Arial" w:hAnsi="Arial" w:cs="Arial"/>
                <w:color w:val="000000"/>
                <w:sz w:val="24"/>
                <w:szCs w:val="24"/>
              </w:rPr>
              <w:t xml:space="preserve">2000 </w:t>
            </w:r>
          </w:p>
          <w:p w14:paraId="32E33498" w14:textId="77777777" w:rsidR="002641D2" w:rsidRPr="00FA3F9C" w:rsidRDefault="002641D2" w:rsidP="00725E44">
            <w:pPr>
              <w:rPr>
                <w:rFonts w:ascii="Arial" w:hAnsi="Arial" w:cs="Arial"/>
                <w:color w:val="000000"/>
                <w:sz w:val="24"/>
                <w:szCs w:val="24"/>
              </w:rPr>
            </w:pPr>
            <w:r w:rsidRPr="00FA3F9C">
              <w:rPr>
                <w:rFonts w:ascii="Arial" w:hAnsi="Arial" w:cs="Arial"/>
                <w:color w:val="000000"/>
                <w:sz w:val="24"/>
                <w:szCs w:val="24"/>
              </w:rPr>
              <w:t>2500</w:t>
            </w:r>
          </w:p>
          <w:p w14:paraId="51657DDD" w14:textId="77777777" w:rsidR="002641D2" w:rsidRPr="00FA3F9C" w:rsidRDefault="002641D2" w:rsidP="007A5473">
            <w:pPr>
              <w:rPr>
                <w:rFonts w:ascii="Arial" w:hAnsi="Arial" w:cs="Arial"/>
                <w:color w:val="000000"/>
                <w:sz w:val="24"/>
                <w:szCs w:val="24"/>
              </w:rPr>
            </w:pPr>
            <w:r w:rsidRPr="00FA3F9C">
              <w:rPr>
                <w:rFonts w:ascii="Arial" w:hAnsi="Arial" w:cs="Arial"/>
                <w:color w:val="000000"/>
                <w:sz w:val="24"/>
                <w:szCs w:val="24"/>
              </w:rPr>
              <w:t>3000</w:t>
            </w:r>
          </w:p>
        </w:tc>
        <w:tc>
          <w:tcPr>
            <w:tcW w:w="725" w:type="dxa"/>
            <w:shd w:val="clear" w:color="auto" w:fill="66CCFF"/>
          </w:tcPr>
          <w:p w14:paraId="3D9A6E89" w14:textId="77777777" w:rsidR="002641D2" w:rsidRPr="00FA3F9C" w:rsidRDefault="002641D2" w:rsidP="00725E44">
            <w:pPr>
              <w:rPr>
                <w:rFonts w:ascii="Arial" w:hAnsi="Arial" w:cs="Arial"/>
                <w:color w:val="000000"/>
                <w:sz w:val="24"/>
                <w:szCs w:val="24"/>
              </w:rPr>
            </w:pPr>
            <w:r w:rsidRPr="00FA3F9C">
              <w:rPr>
                <w:rFonts w:ascii="Arial" w:hAnsi="Arial" w:cs="Arial"/>
                <w:color w:val="000000"/>
                <w:sz w:val="24"/>
                <w:szCs w:val="24"/>
              </w:rPr>
              <w:lastRenderedPageBreak/>
              <w:t>1.98</w:t>
            </w:r>
          </w:p>
          <w:p w14:paraId="688F6325" w14:textId="77777777" w:rsidR="002641D2" w:rsidRPr="00FA3F9C" w:rsidRDefault="002641D2" w:rsidP="00725E44">
            <w:pPr>
              <w:rPr>
                <w:rFonts w:ascii="Arial" w:hAnsi="Arial" w:cs="Arial"/>
                <w:color w:val="000000"/>
                <w:sz w:val="24"/>
                <w:szCs w:val="24"/>
              </w:rPr>
            </w:pPr>
            <w:r w:rsidRPr="00FA3F9C">
              <w:rPr>
                <w:rFonts w:ascii="Arial" w:hAnsi="Arial" w:cs="Arial"/>
                <w:color w:val="000000"/>
                <w:sz w:val="24"/>
                <w:szCs w:val="24"/>
              </w:rPr>
              <w:t>1.98</w:t>
            </w:r>
          </w:p>
          <w:p w14:paraId="5FDB796D" w14:textId="77777777" w:rsidR="002641D2" w:rsidRPr="00FA3F9C" w:rsidRDefault="002641D2" w:rsidP="00725E44">
            <w:pPr>
              <w:rPr>
                <w:rFonts w:ascii="Arial" w:hAnsi="Arial" w:cs="Arial"/>
                <w:color w:val="000000"/>
                <w:sz w:val="24"/>
                <w:szCs w:val="24"/>
              </w:rPr>
            </w:pPr>
            <w:r w:rsidRPr="00FA3F9C">
              <w:rPr>
                <w:rFonts w:ascii="Arial" w:hAnsi="Arial" w:cs="Arial"/>
                <w:color w:val="000000"/>
                <w:sz w:val="24"/>
                <w:szCs w:val="24"/>
              </w:rPr>
              <w:lastRenderedPageBreak/>
              <w:t>1.98</w:t>
            </w:r>
          </w:p>
          <w:p w14:paraId="01CE3586" w14:textId="77777777" w:rsidR="002641D2" w:rsidRPr="00FA3F9C" w:rsidRDefault="002641D2" w:rsidP="00725E44">
            <w:pPr>
              <w:rPr>
                <w:rFonts w:ascii="Arial" w:hAnsi="Arial" w:cs="Arial"/>
                <w:color w:val="000000"/>
                <w:sz w:val="24"/>
                <w:szCs w:val="24"/>
              </w:rPr>
            </w:pPr>
            <w:r w:rsidRPr="00FA3F9C">
              <w:rPr>
                <w:rFonts w:ascii="Arial" w:hAnsi="Arial" w:cs="Arial"/>
                <w:color w:val="000000"/>
                <w:sz w:val="24"/>
                <w:szCs w:val="24"/>
              </w:rPr>
              <w:t>1.98</w:t>
            </w:r>
          </w:p>
          <w:p w14:paraId="5EE810DF" w14:textId="77777777" w:rsidR="002641D2" w:rsidRPr="00FA3F9C" w:rsidRDefault="002641D2" w:rsidP="00725E44">
            <w:pPr>
              <w:rPr>
                <w:rFonts w:ascii="Arial" w:hAnsi="Arial" w:cs="Arial"/>
                <w:color w:val="000000"/>
                <w:sz w:val="24"/>
                <w:szCs w:val="24"/>
              </w:rPr>
            </w:pPr>
            <w:r w:rsidRPr="00FA3F9C">
              <w:rPr>
                <w:rFonts w:ascii="Arial" w:hAnsi="Arial" w:cs="Arial"/>
                <w:color w:val="000000"/>
                <w:sz w:val="24"/>
                <w:szCs w:val="24"/>
              </w:rPr>
              <w:t>1.98</w:t>
            </w:r>
          </w:p>
          <w:p w14:paraId="07DC27E3" w14:textId="77777777" w:rsidR="002641D2" w:rsidRPr="00FA3F9C" w:rsidRDefault="002641D2" w:rsidP="00725E44">
            <w:pPr>
              <w:rPr>
                <w:rFonts w:ascii="Arial" w:hAnsi="Arial" w:cs="Arial"/>
                <w:color w:val="000000"/>
                <w:sz w:val="24"/>
                <w:szCs w:val="24"/>
              </w:rPr>
            </w:pPr>
            <w:r w:rsidRPr="00FA3F9C">
              <w:rPr>
                <w:rFonts w:ascii="Arial" w:hAnsi="Arial" w:cs="Arial"/>
                <w:color w:val="000000"/>
                <w:sz w:val="24"/>
                <w:szCs w:val="24"/>
              </w:rPr>
              <w:t>1.98</w:t>
            </w:r>
          </w:p>
          <w:p w14:paraId="23F2F706" w14:textId="77777777" w:rsidR="002641D2" w:rsidRPr="00FA3F9C" w:rsidRDefault="002641D2" w:rsidP="00725E44">
            <w:pPr>
              <w:rPr>
                <w:rFonts w:ascii="Arial" w:hAnsi="Arial" w:cs="Arial"/>
                <w:color w:val="000000"/>
                <w:sz w:val="24"/>
                <w:szCs w:val="24"/>
              </w:rPr>
            </w:pPr>
            <w:r w:rsidRPr="00FA3F9C">
              <w:rPr>
                <w:rFonts w:ascii="Arial" w:hAnsi="Arial" w:cs="Arial"/>
                <w:color w:val="000000"/>
                <w:sz w:val="24"/>
                <w:szCs w:val="24"/>
              </w:rPr>
              <w:t>1.98</w:t>
            </w:r>
          </w:p>
        </w:tc>
        <w:tc>
          <w:tcPr>
            <w:tcW w:w="959" w:type="dxa"/>
            <w:shd w:val="clear" w:color="auto" w:fill="66CCFF"/>
          </w:tcPr>
          <w:p w14:paraId="3AFB6690" w14:textId="77777777" w:rsidR="002641D2" w:rsidRPr="00FA3F9C" w:rsidRDefault="002641D2" w:rsidP="00725E44">
            <w:pPr>
              <w:rPr>
                <w:rFonts w:ascii="Arial" w:hAnsi="Arial" w:cs="Arial"/>
                <w:color w:val="000000"/>
                <w:sz w:val="24"/>
                <w:szCs w:val="24"/>
              </w:rPr>
            </w:pPr>
            <w:r w:rsidRPr="00FA3F9C">
              <w:rPr>
                <w:rFonts w:ascii="Arial" w:hAnsi="Arial" w:cs="Arial"/>
                <w:color w:val="000000"/>
                <w:sz w:val="24"/>
                <w:szCs w:val="24"/>
              </w:rPr>
              <w:lastRenderedPageBreak/>
              <w:t>$495</w:t>
            </w:r>
          </w:p>
          <w:p w14:paraId="599A83CB" w14:textId="77777777" w:rsidR="002641D2" w:rsidRPr="00FA3F9C" w:rsidRDefault="002641D2" w:rsidP="00725E44">
            <w:pPr>
              <w:rPr>
                <w:rFonts w:ascii="Arial" w:hAnsi="Arial" w:cs="Arial"/>
                <w:color w:val="000000"/>
                <w:sz w:val="24"/>
                <w:szCs w:val="24"/>
              </w:rPr>
            </w:pPr>
            <w:r w:rsidRPr="00FA3F9C">
              <w:rPr>
                <w:rFonts w:ascii="Arial" w:hAnsi="Arial" w:cs="Arial"/>
                <w:color w:val="000000"/>
                <w:sz w:val="24"/>
                <w:szCs w:val="24"/>
              </w:rPr>
              <w:t>$990</w:t>
            </w:r>
          </w:p>
          <w:p w14:paraId="17BEE8A7" w14:textId="77777777" w:rsidR="002641D2" w:rsidRPr="00FA3F9C" w:rsidRDefault="002641D2" w:rsidP="00725E44">
            <w:pPr>
              <w:rPr>
                <w:rFonts w:ascii="Arial" w:hAnsi="Arial" w:cs="Arial"/>
                <w:color w:val="000000"/>
                <w:sz w:val="24"/>
                <w:szCs w:val="24"/>
              </w:rPr>
            </w:pPr>
            <w:r w:rsidRPr="00FA3F9C">
              <w:rPr>
                <w:rFonts w:ascii="Arial" w:hAnsi="Arial" w:cs="Arial"/>
                <w:color w:val="000000"/>
                <w:sz w:val="24"/>
                <w:szCs w:val="24"/>
              </w:rPr>
              <w:lastRenderedPageBreak/>
              <w:t>$1980</w:t>
            </w:r>
          </w:p>
          <w:p w14:paraId="11F00358" w14:textId="77777777" w:rsidR="002641D2" w:rsidRPr="00FA3F9C" w:rsidRDefault="002641D2" w:rsidP="00725E44">
            <w:pPr>
              <w:rPr>
                <w:rFonts w:ascii="Arial" w:hAnsi="Arial" w:cs="Arial"/>
                <w:color w:val="000000"/>
                <w:sz w:val="24"/>
                <w:szCs w:val="24"/>
              </w:rPr>
            </w:pPr>
            <w:r w:rsidRPr="00FA3F9C">
              <w:rPr>
                <w:rFonts w:ascii="Arial" w:hAnsi="Arial" w:cs="Arial"/>
                <w:color w:val="000000"/>
                <w:sz w:val="24"/>
                <w:szCs w:val="24"/>
              </w:rPr>
              <w:t>$2970</w:t>
            </w:r>
          </w:p>
          <w:p w14:paraId="3FBD150B" w14:textId="77777777" w:rsidR="002641D2" w:rsidRPr="00FA3F9C" w:rsidRDefault="002641D2" w:rsidP="00725E44">
            <w:pPr>
              <w:rPr>
                <w:rFonts w:ascii="Arial" w:hAnsi="Arial" w:cs="Arial"/>
                <w:color w:val="000000"/>
                <w:sz w:val="24"/>
                <w:szCs w:val="24"/>
              </w:rPr>
            </w:pPr>
            <w:r w:rsidRPr="00FA3F9C">
              <w:rPr>
                <w:rFonts w:ascii="Arial" w:hAnsi="Arial" w:cs="Arial"/>
                <w:color w:val="000000"/>
                <w:sz w:val="24"/>
                <w:szCs w:val="24"/>
              </w:rPr>
              <w:t>$3960</w:t>
            </w:r>
          </w:p>
          <w:p w14:paraId="53DD2B2D" w14:textId="77777777" w:rsidR="002641D2" w:rsidRPr="00FA3F9C" w:rsidRDefault="002641D2" w:rsidP="00725E44">
            <w:pPr>
              <w:rPr>
                <w:rFonts w:ascii="Arial" w:hAnsi="Arial" w:cs="Arial"/>
                <w:color w:val="000000"/>
                <w:sz w:val="24"/>
                <w:szCs w:val="24"/>
              </w:rPr>
            </w:pPr>
            <w:r w:rsidRPr="00FA3F9C">
              <w:rPr>
                <w:rFonts w:ascii="Arial" w:hAnsi="Arial" w:cs="Arial"/>
                <w:color w:val="000000"/>
                <w:sz w:val="24"/>
                <w:szCs w:val="24"/>
              </w:rPr>
              <w:t>$4950</w:t>
            </w:r>
          </w:p>
          <w:p w14:paraId="66CE3191" w14:textId="77777777" w:rsidR="002641D2" w:rsidRPr="00FA3F9C" w:rsidRDefault="002641D2" w:rsidP="00725E44">
            <w:pPr>
              <w:rPr>
                <w:rFonts w:ascii="Arial" w:hAnsi="Arial" w:cs="Arial"/>
                <w:color w:val="000000"/>
                <w:sz w:val="24"/>
                <w:szCs w:val="24"/>
              </w:rPr>
            </w:pPr>
            <w:r w:rsidRPr="00FA3F9C">
              <w:rPr>
                <w:rFonts w:ascii="Arial" w:hAnsi="Arial" w:cs="Arial"/>
                <w:color w:val="000000"/>
                <w:sz w:val="24"/>
                <w:szCs w:val="24"/>
              </w:rPr>
              <w:t>$5940</w:t>
            </w:r>
          </w:p>
        </w:tc>
      </w:tr>
      <w:tr w:rsidR="002641D2" w:rsidRPr="00FA3F9C" w14:paraId="55DE8DE7" w14:textId="77777777" w:rsidTr="008310B0">
        <w:trPr>
          <w:jc w:val="center"/>
        </w:trPr>
        <w:tc>
          <w:tcPr>
            <w:tcW w:w="2425" w:type="dxa"/>
            <w:shd w:val="clear" w:color="auto" w:fill="66CCFF"/>
          </w:tcPr>
          <w:p w14:paraId="1AAB4BC4" w14:textId="77777777" w:rsidR="002641D2" w:rsidRPr="00FA3F9C" w:rsidRDefault="002641D2" w:rsidP="003026F9">
            <w:pPr>
              <w:rPr>
                <w:rFonts w:ascii="Arial" w:eastAsia="Times New Roman" w:hAnsi="Arial" w:cs="Arial"/>
                <w:sz w:val="24"/>
                <w:szCs w:val="24"/>
              </w:rPr>
            </w:pPr>
            <w:proofErr w:type="spellStart"/>
            <w:r w:rsidRPr="00FA3F9C">
              <w:rPr>
                <w:rFonts w:ascii="Arial" w:eastAsia="Times New Roman" w:hAnsi="Arial" w:cs="Arial"/>
                <w:iCs/>
                <w:color w:val="000000"/>
                <w:sz w:val="24"/>
                <w:szCs w:val="24"/>
              </w:rPr>
              <w:lastRenderedPageBreak/>
              <w:t>Helixate</w:t>
            </w:r>
            <w:proofErr w:type="spellEnd"/>
          </w:p>
        </w:tc>
        <w:tc>
          <w:tcPr>
            <w:tcW w:w="2737" w:type="dxa"/>
            <w:shd w:val="clear" w:color="auto" w:fill="66CCFF"/>
          </w:tcPr>
          <w:p w14:paraId="38865055" w14:textId="77777777" w:rsidR="002641D2" w:rsidRPr="00FA3F9C" w:rsidRDefault="002641D2" w:rsidP="0041304F">
            <w:pPr>
              <w:rPr>
                <w:rFonts w:ascii="Arial" w:eastAsia="Times New Roman" w:hAnsi="Arial" w:cs="Arial"/>
                <w:sz w:val="24"/>
                <w:szCs w:val="24"/>
              </w:rPr>
            </w:pPr>
            <w:r w:rsidRPr="00FA3F9C">
              <w:rPr>
                <w:rFonts w:ascii="Arial" w:eastAsia="Times New Roman" w:hAnsi="Arial" w:cs="Arial"/>
                <w:color w:val="000000"/>
                <w:sz w:val="24"/>
                <w:szCs w:val="24"/>
              </w:rPr>
              <w:t xml:space="preserve">*^# hemophilia A; </w:t>
            </w:r>
            <w:proofErr w:type="gramStart"/>
            <w:r w:rsidRPr="00FA3F9C">
              <w:rPr>
                <w:rFonts w:ascii="Arial" w:eastAsia="Times New Roman" w:hAnsi="Arial" w:cs="Arial"/>
                <w:color w:val="000000"/>
                <w:sz w:val="24"/>
                <w:szCs w:val="24"/>
              </w:rPr>
              <w:t>also</w:t>
            </w:r>
            <w:proofErr w:type="gramEnd"/>
            <w:r w:rsidRPr="00FA3F9C">
              <w:rPr>
                <w:rFonts w:ascii="Arial" w:eastAsia="Times New Roman" w:hAnsi="Arial" w:cs="Arial"/>
                <w:color w:val="000000"/>
                <w:sz w:val="24"/>
                <w:szCs w:val="24"/>
              </w:rPr>
              <w:t xml:space="preserve"> to reduce risk of joint damage in children w/o preexisting joint damage</w:t>
            </w:r>
          </w:p>
        </w:tc>
        <w:tc>
          <w:tcPr>
            <w:tcW w:w="236" w:type="dxa"/>
            <w:shd w:val="clear" w:color="auto" w:fill="66CCFF"/>
          </w:tcPr>
          <w:p w14:paraId="13C49437" w14:textId="77777777" w:rsidR="002641D2" w:rsidRPr="00FA3F9C" w:rsidRDefault="002641D2" w:rsidP="0041304F">
            <w:pPr>
              <w:rPr>
                <w:rFonts w:ascii="Arial" w:eastAsia="Times New Roman" w:hAnsi="Arial" w:cs="Arial"/>
                <w:sz w:val="24"/>
                <w:szCs w:val="24"/>
              </w:rPr>
            </w:pPr>
          </w:p>
        </w:tc>
        <w:tc>
          <w:tcPr>
            <w:tcW w:w="4227" w:type="dxa"/>
            <w:shd w:val="clear" w:color="auto" w:fill="66CCFF"/>
          </w:tcPr>
          <w:p w14:paraId="7776B275" w14:textId="77777777" w:rsidR="002641D2" w:rsidRPr="00FA3F9C" w:rsidRDefault="002641D2" w:rsidP="0041304F">
            <w:pPr>
              <w:rPr>
                <w:rFonts w:ascii="Arial" w:eastAsia="Times New Roman" w:hAnsi="Arial" w:cs="Arial"/>
                <w:sz w:val="24"/>
                <w:szCs w:val="24"/>
              </w:rPr>
            </w:pPr>
            <w:r w:rsidRPr="00FA3F9C">
              <w:rPr>
                <w:rFonts w:ascii="Arial" w:eastAsia="Times New Roman" w:hAnsi="Arial" w:cs="Arial"/>
                <w:sz w:val="24"/>
                <w:szCs w:val="24"/>
              </w:rPr>
              <w:t>25 units/kg 3 times weekly</w:t>
            </w:r>
          </w:p>
        </w:tc>
        <w:tc>
          <w:tcPr>
            <w:tcW w:w="2186" w:type="dxa"/>
            <w:shd w:val="clear" w:color="auto" w:fill="66CCFF"/>
          </w:tcPr>
          <w:p w14:paraId="1FA9205A" w14:textId="77777777" w:rsidR="002641D2" w:rsidRPr="00FA3F9C" w:rsidRDefault="002641D2" w:rsidP="0041304F">
            <w:pPr>
              <w:rPr>
                <w:rFonts w:ascii="Arial" w:eastAsia="Times New Roman" w:hAnsi="Arial" w:cs="Arial"/>
                <w:color w:val="000000"/>
                <w:sz w:val="24"/>
                <w:szCs w:val="24"/>
              </w:rPr>
            </w:pPr>
            <w:r w:rsidRPr="00FA3F9C">
              <w:rPr>
                <w:rFonts w:ascii="Arial" w:eastAsia="Times New Roman" w:hAnsi="Arial" w:cs="Arial"/>
                <w:color w:val="000000"/>
                <w:sz w:val="24"/>
                <w:szCs w:val="24"/>
              </w:rPr>
              <w:t xml:space="preserve">250 </w:t>
            </w:r>
          </w:p>
          <w:p w14:paraId="364ADB43" w14:textId="77777777" w:rsidR="002641D2" w:rsidRPr="00FA3F9C" w:rsidRDefault="002641D2" w:rsidP="0041304F">
            <w:pPr>
              <w:rPr>
                <w:rFonts w:ascii="Arial" w:eastAsia="Times New Roman" w:hAnsi="Arial" w:cs="Arial"/>
                <w:color w:val="000000"/>
                <w:sz w:val="24"/>
                <w:szCs w:val="24"/>
              </w:rPr>
            </w:pPr>
            <w:r w:rsidRPr="00FA3F9C">
              <w:rPr>
                <w:rFonts w:ascii="Arial" w:eastAsia="Times New Roman" w:hAnsi="Arial" w:cs="Arial"/>
                <w:color w:val="000000"/>
                <w:sz w:val="24"/>
                <w:szCs w:val="24"/>
              </w:rPr>
              <w:t xml:space="preserve">500 </w:t>
            </w:r>
          </w:p>
          <w:p w14:paraId="70CA6683" w14:textId="77777777" w:rsidR="002641D2" w:rsidRPr="00FA3F9C" w:rsidRDefault="002641D2" w:rsidP="0041304F">
            <w:pPr>
              <w:rPr>
                <w:rFonts w:ascii="Arial" w:eastAsia="Times New Roman" w:hAnsi="Arial" w:cs="Arial"/>
                <w:color w:val="000000"/>
                <w:sz w:val="24"/>
                <w:szCs w:val="24"/>
              </w:rPr>
            </w:pPr>
            <w:r w:rsidRPr="00FA3F9C">
              <w:rPr>
                <w:rFonts w:ascii="Arial" w:eastAsia="Times New Roman" w:hAnsi="Arial" w:cs="Arial"/>
                <w:color w:val="000000"/>
                <w:sz w:val="24"/>
                <w:szCs w:val="24"/>
              </w:rPr>
              <w:t>1000</w:t>
            </w:r>
          </w:p>
          <w:p w14:paraId="1FCBB33E" w14:textId="77777777" w:rsidR="002641D2" w:rsidRPr="00FA3F9C" w:rsidRDefault="002641D2" w:rsidP="0041304F">
            <w:pPr>
              <w:rPr>
                <w:rFonts w:ascii="Arial" w:eastAsia="Times New Roman" w:hAnsi="Arial" w:cs="Arial"/>
                <w:color w:val="000000"/>
                <w:sz w:val="24"/>
                <w:szCs w:val="24"/>
              </w:rPr>
            </w:pPr>
            <w:r w:rsidRPr="00FA3F9C">
              <w:rPr>
                <w:rFonts w:ascii="Arial" w:eastAsia="Times New Roman" w:hAnsi="Arial" w:cs="Arial"/>
                <w:color w:val="000000"/>
                <w:sz w:val="24"/>
                <w:szCs w:val="24"/>
              </w:rPr>
              <w:t xml:space="preserve">2000 </w:t>
            </w:r>
          </w:p>
          <w:p w14:paraId="64A80A8B" w14:textId="77777777" w:rsidR="002641D2" w:rsidRPr="00FA3F9C" w:rsidRDefault="002641D2" w:rsidP="007A5473">
            <w:pPr>
              <w:rPr>
                <w:rFonts w:ascii="Arial" w:hAnsi="Arial" w:cs="Arial"/>
                <w:color w:val="000000"/>
                <w:sz w:val="24"/>
                <w:szCs w:val="24"/>
              </w:rPr>
            </w:pPr>
            <w:r w:rsidRPr="00FA3F9C">
              <w:rPr>
                <w:rFonts w:ascii="Arial" w:eastAsia="Times New Roman" w:hAnsi="Arial" w:cs="Arial"/>
                <w:color w:val="000000"/>
                <w:sz w:val="24"/>
                <w:szCs w:val="24"/>
              </w:rPr>
              <w:t xml:space="preserve">3000 </w:t>
            </w:r>
          </w:p>
        </w:tc>
        <w:tc>
          <w:tcPr>
            <w:tcW w:w="725" w:type="dxa"/>
            <w:shd w:val="clear" w:color="auto" w:fill="66CCFF"/>
          </w:tcPr>
          <w:p w14:paraId="1DA9591B" w14:textId="77777777" w:rsidR="002641D2" w:rsidRPr="00FA3F9C" w:rsidRDefault="002641D2" w:rsidP="003026F9">
            <w:pPr>
              <w:rPr>
                <w:rFonts w:ascii="Arial" w:eastAsia="Times New Roman" w:hAnsi="Arial" w:cs="Arial"/>
                <w:color w:val="000000"/>
                <w:sz w:val="24"/>
                <w:szCs w:val="24"/>
              </w:rPr>
            </w:pPr>
            <w:r w:rsidRPr="00FA3F9C">
              <w:rPr>
                <w:rFonts w:ascii="Arial" w:eastAsia="Times New Roman" w:hAnsi="Arial" w:cs="Arial"/>
                <w:color w:val="000000"/>
                <w:sz w:val="24"/>
                <w:szCs w:val="24"/>
              </w:rPr>
              <w:t>$1.76</w:t>
            </w:r>
          </w:p>
          <w:p w14:paraId="04CC15C9" w14:textId="77777777" w:rsidR="002641D2" w:rsidRPr="00FA3F9C" w:rsidRDefault="002641D2" w:rsidP="003026F9">
            <w:pPr>
              <w:rPr>
                <w:rFonts w:ascii="Arial" w:eastAsia="Times New Roman" w:hAnsi="Arial" w:cs="Arial"/>
                <w:color w:val="000000"/>
                <w:sz w:val="24"/>
                <w:szCs w:val="24"/>
              </w:rPr>
            </w:pPr>
            <w:r w:rsidRPr="00FA3F9C">
              <w:rPr>
                <w:rFonts w:ascii="Arial" w:eastAsia="Times New Roman" w:hAnsi="Arial" w:cs="Arial"/>
                <w:color w:val="000000"/>
                <w:sz w:val="24"/>
                <w:szCs w:val="24"/>
              </w:rPr>
              <w:t>$1.76</w:t>
            </w:r>
          </w:p>
          <w:p w14:paraId="246C839B" w14:textId="77777777" w:rsidR="002641D2" w:rsidRPr="00FA3F9C" w:rsidRDefault="002641D2" w:rsidP="003026F9">
            <w:pPr>
              <w:rPr>
                <w:rFonts w:ascii="Arial" w:eastAsia="Times New Roman" w:hAnsi="Arial" w:cs="Arial"/>
                <w:color w:val="000000"/>
                <w:sz w:val="24"/>
                <w:szCs w:val="24"/>
              </w:rPr>
            </w:pPr>
            <w:r w:rsidRPr="00FA3F9C">
              <w:rPr>
                <w:rFonts w:ascii="Arial" w:eastAsia="Times New Roman" w:hAnsi="Arial" w:cs="Arial"/>
                <w:color w:val="000000"/>
                <w:sz w:val="24"/>
                <w:szCs w:val="24"/>
              </w:rPr>
              <w:t>$1.76</w:t>
            </w:r>
          </w:p>
          <w:p w14:paraId="7201A500" w14:textId="77777777" w:rsidR="002641D2" w:rsidRPr="00FA3F9C" w:rsidRDefault="002641D2" w:rsidP="003026F9">
            <w:pPr>
              <w:rPr>
                <w:rFonts w:ascii="Arial" w:eastAsia="Times New Roman" w:hAnsi="Arial" w:cs="Arial"/>
                <w:color w:val="000000"/>
                <w:sz w:val="24"/>
                <w:szCs w:val="24"/>
              </w:rPr>
            </w:pPr>
            <w:r w:rsidRPr="00FA3F9C">
              <w:rPr>
                <w:rFonts w:ascii="Arial" w:eastAsia="Times New Roman" w:hAnsi="Arial" w:cs="Arial"/>
                <w:color w:val="000000"/>
                <w:sz w:val="24"/>
                <w:szCs w:val="24"/>
              </w:rPr>
              <w:t>$1.56</w:t>
            </w:r>
          </w:p>
          <w:p w14:paraId="4423ED15" w14:textId="77777777" w:rsidR="002641D2" w:rsidRPr="00FA3F9C" w:rsidRDefault="002641D2" w:rsidP="003026F9">
            <w:pPr>
              <w:rPr>
                <w:rFonts w:ascii="Arial" w:eastAsia="Times New Roman" w:hAnsi="Arial" w:cs="Arial"/>
                <w:color w:val="000000"/>
                <w:sz w:val="24"/>
                <w:szCs w:val="24"/>
              </w:rPr>
            </w:pPr>
            <w:r w:rsidRPr="00FA3F9C">
              <w:rPr>
                <w:rFonts w:ascii="Arial" w:eastAsia="Times New Roman" w:hAnsi="Arial" w:cs="Arial"/>
                <w:color w:val="000000"/>
                <w:sz w:val="24"/>
                <w:szCs w:val="24"/>
              </w:rPr>
              <w:t>$1.76</w:t>
            </w:r>
          </w:p>
        </w:tc>
        <w:tc>
          <w:tcPr>
            <w:tcW w:w="959" w:type="dxa"/>
            <w:shd w:val="clear" w:color="auto" w:fill="66CCFF"/>
          </w:tcPr>
          <w:p w14:paraId="314B10AD" w14:textId="77777777" w:rsidR="002641D2" w:rsidRPr="00FA3F9C" w:rsidRDefault="002641D2" w:rsidP="00AE1453">
            <w:pPr>
              <w:rPr>
                <w:rFonts w:ascii="Arial" w:eastAsia="Times New Roman" w:hAnsi="Arial" w:cs="Arial"/>
                <w:sz w:val="24"/>
                <w:szCs w:val="24"/>
              </w:rPr>
            </w:pPr>
            <w:r w:rsidRPr="00FA3F9C">
              <w:rPr>
                <w:rFonts w:ascii="Arial" w:eastAsia="Times New Roman" w:hAnsi="Arial" w:cs="Arial"/>
                <w:sz w:val="24"/>
                <w:szCs w:val="24"/>
              </w:rPr>
              <w:t>$440</w:t>
            </w:r>
          </w:p>
          <w:p w14:paraId="27CB92B8" w14:textId="77777777" w:rsidR="002641D2" w:rsidRPr="00FA3F9C" w:rsidRDefault="002641D2" w:rsidP="00AE1453">
            <w:pPr>
              <w:rPr>
                <w:rFonts w:ascii="Arial" w:eastAsia="Times New Roman" w:hAnsi="Arial" w:cs="Arial"/>
                <w:sz w:val="24"/>
                <w:szCs w:val="24"/>
              </w:rPr>
            </w:pPr>
            <w:r w:rsidRPr="00FA3F9C">
              <w:rPr>
                <w:rFonts w:ascii="Arial" w:eastAsia="Times New Roman" w:hAnsi="Arial" w:cs="Arial"/>
                <w:sz w:val="24"/>
                <w:szCs w:val="24"/>
              </w:rPr>
              <w:t>$880</w:t>
            </w:r>
          </w:p>
          <w:p w14:paraId="47C85677" w14:textId="77777777" w:rsidR="002641D2" w:rsidRPr="00FA3F9C" w:rsidRDefault="002641D2" w:rsidP="00AE1453">
            <w:pPr>
              <w:rPr>
                <w:rFonts w:ascii="Arial" w:eastAsia="Times New Roman" w:hAnsi="Arial" w:cs="Arial"/>
                <w:sz w:val="24"/>
                <w:szCs w:val="24"/>
              </w:rPr>
            </w:pPr>
            <w:r w:rsidRPr="00FA3F9C">
              <w:rPr>
                <w:rFonts w:ascii="Arial" w:eastAsia="Times New Roman" w:hAnsi="Arial" w:cs="Arial"/>
                <w:sz w:val="24"/>
                <w:szCs w:val="24"/>
              </w:rPr>
              <w:t>$1,760</w:t>
            </w:r>
          </w:p>
          <w:p w14:paraId="6BA9E0DB" w14:textId="77777777" w:rsidR="002641D2" w:rsidRPr="00FA3F9C" w:rsidRDefault="002641D2" w:rsidP="00AE1453">
            <w:pPr>
              <w:rPr>
                <w:rFonts w:ascii="Arial" w:eastAsia="Times New Roman" w:hAnsi="Arial" w:cs="Arial"/>
                <w:sz w:val="24"/>
                <w:szCs w:val="24"/>
              </w:rPr>
            </w:pPr>
            <w:r w:rsidRPr="00FA3F9C">
              <w:rPr>
                <w:rFonts w:ascii="Arial" w:eastAsia="Times New Roman" w:hAnsi="Arial" w:cs="Arial"/>
                <w:sz w:val="24"/>
                <w:szCs w:val="24"/>
              </w:rPr>
              <w:t>$3,120</w:t>
            </w:r>
          </w:p>
          <w:p w14:paraId="6F24124A" w14:textId="77777777" w:rsidR="002641D2" w:rsidRPr="00FA3F9C" w:rsidRDefault="002641D2" w:rsidP="00AE1453">
            <w:pPr>
              <w:rPr>
                <w:rFonts w:ascii="Arial" w:eastAsia="Times New Roman" w:hAnsi="Arial" w:cs="Arial"/>
                <w:sz w:val="24"/>
                <w:szCs w:val="24"/>
              </w:rPr>
            </w:pPr>
            <w:r w:rsidRPr="00FA3F9C">
              <w:rPr>
                <w:rFonts w:ascii="Arial" w:eastAsia="Times New Roman" w:hAnsi="Arial" w:cs="Arial"/>
                <w:sz w:val="24"/>
                <w:szCs w:val="24"/>
              </w:rPr>
              <w:t>$5,280</w:t>
            </w:r>
          </w:p>
        </w:tc>
      </w:tr>
      <w:tr w:rsidR="002641D2" w:rsidRPr="00FA3F9C" w14:paraId="1D0B8BB1" w14:textId="77777777" w:rsidTr="008310B0">
        <w:trPr>
          <w:jc w:val="center"/>
        </w:trPr>
        <w:tc>
          <w:tcPr>
            <w:tcW w:w="2425" w:type="dxa"/>
            <w:shd w:val="clear" w:color="auto" w:fill="66CCFF"/>
          </w:tcPr>
          <w:p w14:paraId="55F6BBD8" w14:textId="77777777" w:rsidR="002641D2" w:rsidRPr="00FA3F9C" w:rsidRDefault="002641D2" w:rsidP="003026F9">
            <w:pPr>
              <w:rPr>
                <w:rFonts w:ascii="Arial" w:eastAsia="Times New Roman" w:hAnsi="Arial" w:cs="Arial"/>
                <w:sz w:val="24"/>
                <w:szCs w:val="24"/>
              </w:rPr>
            </w:pPr>
            <w:proofErr w:type="spellStart"/>
            <w:r w:rsidRPr="00FA3F9C">
              <w:rPr>
                <w:rFonts w:ascii="Arial" w:eastAsia="Times New Roman" w:hAnsi="Arial" w:cs="Arial"/>
                <w:iCs/>
                <w:color w:val="000000"/>
                <w:sz w:val="24"/>
                <w:szCs w:val="24"/>
              </w:rPr>
              <w:t>Kogenate</w:t>
            </w:r>
            <w:proofErr w:type="spellEnd"/>
          </w:p>
        </w:tc>
        <w:tc>
          <w:tcPr>
            <w:tcW w:w="2737" w:type="dxa"/>
            <w:shd w:val="clear" w:color="auto" w:fill="66CCFF"/>
          </w:tcPr>
          <w:p w14:paraId="75914101" w14:textId="77777777" w:rsidR="002641D2" w:rsidRPr="00FA3F9C" w:rsidRDefault="002641D2" w:rsidP="0041304F">
            <w:pPr>
              <w:rPr>
                <w:rFonts w:ascii="Arial" w:eastAsia="Times New Roman" w:hAnsi="Arial" w:cs="Arial"/>
                <w:sz w:val="24"/>
                <w:szCs w:val="24"/>
              </w:rPr>
            </w:pPr>
            <w:r w:rsidRPr="00FA3F9C">
              <w:rPr>
                <w:rFonts w:ascii="Arial" w:eastAsia="Times New Roman" w:hAnsi="Arial" w:cs="Arial"/>
                <w:color w:val="000000"/>
                <w:sz w:val="24"/>
                <w:szCs w:val="24"/>
              </w:rPr>
              <w:t xml:space="preserve">*^# hemophilia A; </w:t>
            </w:r>
            <w:proofErr w:type="gramStart"/>
            <w:r w:rsidRPr="00FA3F9C">
              <w:rPr>
                <w:rFonts w:ascii="Arial" w:eastAsia="Times New Roman" w:hAnsi="Arial" w:cs="Arial"/>
                <w:color w:val="000000"/>
                <w:sz w:val="24"/>
                <w:szCs w:val="24"/>
              </w:rPr>
              <w:t>also</w:t>
            </w:r>
            <w:proofErr w:type="gramEnd"/>
            <w:r w:rsidRPr="00FA3F9C">
              <w:rPr>
                <w:rFonts w:ascii="Arial" w:eastAsia="Times New Roman" w:hAnsi="Arial" w:cs="Arial"/>
                <w:color w:val="000000"/>
                <w:sz w:val="24"/>
                <w:szCs w:val="24"/>
              </w:rPr>
              <w:t xml:space="preserve"> to reduce risk of joint damage in children w/o preexisting joint damage</w:t>
            </w:r>
          </w:p>
        </w:tc>
        <w:tc>
          <w:tcPr>
            <w:tcW w:w="236" w:type="dxa"/>
            <w:shd w:val="clear" w:color="auto" w:fill="66CCFF"/>
          </w:tcPr>
          <w:p w14:paraId="6077C703" w14:textId="77777777" w:rsidR="002641D2" w:rsidRPr="00FA3F9C" w:rsidRDefault="002641D2" w:rsidP="0041304F">
            <w:pPr>
              <w:rPr>
                <w:rFonts w:ascii="Arial" w:eastAsia="Times New Roman" w:hAnsi="Arial" w:cs="Arial"/>
                <w:sz w:val="24"/>
                <w:szCs w:val="24"/>
              </w:rPr>
            </w:pPr>
          </w:p>
        </w:tc>
        <w:tc>
          <w:tcPr>
            <w:tcW w:w="4227" w:type="dxa"/>
            <w:shd w:val="clear" w:color="auto" w:fill="66CCFF"/>
          </w:tcPr>
          <w:p w14:paraId="6E1A9D79" w14:textId="77777777" w:rsidR="002641D2" w:rsidRPr="00FA3F9C" w:rsidRDefault="002641D2" w:rsidP="0041304F">
            <w:pPr>
              <w:rPr>
                <w:rFonts w:ascii="Arial" w:eastAsia="Times New Roman" w:hAnsi="Arial" w:cs="Arial"/>
                <w:sz w:val="24"/>
                <w:szCs w:val="24"/>
              </w:rPr>
            </w:pPr>
            <w:r w:rsidRPr="00FA3F9C">
              <w:rPr>
                <w:rFonts w:ascii="Arial" w:eastAsia="Times New Roman" w:hAnsi="Arial" w:cs="Arial"/>
                <w:sz w:val="24"/>
                <w:szCs w:val="24"/>
              </w:rPr>
              <w:t>25 units/kg 3 times weekly</w:t>
            </w:r>
          </w:p>
        </w:tc>
        <w:tc>
          <w:tcPr>
            <w:tcW w:w="2186" w:type="dxa"/>
            <w:shd w:val="clear" w:color="auto" w:fill="66CCFF"/>
          </w:tcPr>
          <w:p w14:paraId="0E180D91" w14:textId="77777777" w:rsidR="002641D2" w:rsidRPr="00FA3F9C" w:rsidRDefault="002641D2" w:rsidP="00B82024">
            <w:pPr>
              <w:rPr>
                <w:rFonts w:ascii="Arial" w:eastAsia="Times New Roman" w:hAnsi="Arial" w:cs="Arial"/>
                <w:color w:val="000000"/>
                <w:sz w:val="24"/>
                <w:szCs w:val="24"/>
              </w:rPr>
            </w:pPr>
            <w:r w:rsidRPr="00FA3F9C">
              <w:rPr>
                <w:rFonts w:ascii="Arial" w:eastAsia="Times New Roman" w:hAnsi="Arial" w:cs="Arial"/>
                <w:color w:val="000000"/>
                <w:sz w:val="24"/>
                <w:szCs w:val="24"/>
              </w:rPr>
              <w:t xml:space="preserve">250 </w:t>
            </w:r>
          </w:p>
          <w:p w14:paraId="4BCD28A6" w14:textId="77777777" w:rsidR="002641D2" w:rsidRPr="00FA3F9C" w:rsidRDefault="002641D2" w:rsidP="00B82024">
            <w:pPr>
              <w:rPr>
                <w:rFonts w:ascii="Arial" w:eastAsia="Times New Roman" w:hAnsi="Arial" w:cs="Arial"/>
                <w:color w:val="000000"/>
                <w:sz w:val="24"/>
                <w:szCs w:val="24"/>
              </w:rPr>
            </w:pPr>
            <w:r w:rsidRPr="00FA3F9C">
              <w:rPr>
                <w:rFonts w:ascii="Arial" w:eastAsia="Times New Roman" w:hAnsi="Arial" w:cs="Arial"/>
                <w:color w:val="000000"/>
                <w:sz w:val="24"/>
                <w:szCs w:val="24"/>
              </w:rPr>
              <w:t xml:space="preserve">500 </w:t>
            </w:r>
          </w:p>
          <w:p w14:paraId="189D5242" w14:textId="77777777" w:rsidR="002641D2" w:rsidRPr="00FA3F9C" w:rsidRDefault="002641D2" w:rsidP="00B82024">
            <w:pPr>
              <w:rPr>
                <w:rFonts w:ascii="Arial" w:eastAsia="Times New Roman" w:hAnsi="Arial" w:cs="Arial"/>
                <w:color w:val="000000"/>
                <w:sz w:val="24"/>
                <w:szCs w:val="24"/>
              </w:rPr>
            </w:pPr>
            <w:r w:rsidRPr="00FA3F9C">
              <w:rPr>
                <w:rFonts w:ascii="Arial" w:eastAsia="Times New Roman" w:hAnsi="Arial" w:cs="Arial"/>
                <w:color w:val="000000"/>
                <w:sz w:val="24"/>
                <w:szCs w:val="24"/>
              </w:rPr>
              <w:t>1000</w:t>
            </w:r>
          </w:p>
          <w:p w14:paraId="66695B4E" w14:textId="77777777" w:rsidR="002641D2" w:rsidRPr="00FA3F9C" w:rsidRDefault="002641D2" w:rsidP="00B82024">
            <w:pPr>
              <w:rPr>
                <w:rFonts w:ascii="Arial" w:eastAsia="Times New Roman" w:hAnsi="Arial" w:cs="Arial"/>
                <w:color w:val="000000"/>
                <w:sz w:val="24"/>
                <w:szCs w:val="24"/>
              </w:rPr>
            </w:pPr>
            <w:r w:rsidRPr="00FA3F9C">
              <w:rPr>
                <w:rFonts w:ascii="Arial" w:eastAsia="Times New Roman" w:hAnsi="Arial" w:cs="Arial"/>
                <w:color w:val="000000"/>
                <w:sz w:val="24"/>
                <w:szCs w:val="24"/>
              </w:rPr>
              <w:t>2000</w:t>
            </w:r>
          </w:p>
          <w:p w14:paraId="72E0BB6A" w14:textId="77777777" w:rsidR="002641D2" w:rsidRPr="00FA3F9C" w:rsidRDefault="002641D2" w:rsidP="007A5473">
            <w:pPr>
              <w:rPr>
                <w:rFonts w:ascii="Arial" w:hAnsi="Arial" w:cs="Arial"/>
                <w:color w:val="000000"/>
                <w:sz w:val="24"/>
                <w:szCs w:val="24"/>
              </w:rPr>
            </w:pPr>
            <w:r w:rsidRPr="00FA3F9C">
              <w:rPr>
                <w:rFonts w:ascii="Arial" w:eastAsia="Times New Roman" w:hAnsi="Arial" w:cs="Arial"/>
                <w:color w:val="000000"/>
                <w:sz w:val="24"/>
                <w:szCs w:val="24"/>
              </w:rPr>
              <w:t>3000</w:t>
            </w:r>
          </w:p>
        </w:tc>
        <w:tc>
          <w:tcPr>
            <w:tcW w:w="725" w:type="dxa"/>
            <w:shd w:val="clear" w:color="auto" w:fill="66CCFF"/>
          </w:tcPr>
          <w:p w14:paraId="3282C9EB" w14:textId="77777777" w:rsidR="002641D2" w:rsidRPr="00FA3F9C" w:rsidRDefault="002641D2" w:rsidP="00B82024">
            <w:pPr>
              <w:rPr>
                <w:rFonts w:ascii="Arial" w:eastAsia="Times New Roman" w:hAnsi="Arial" w:cs="Arial"/>
                <w:color w:val="000000"/>
                <w:sz w:val="24"/>
                <w:szCs w:val="24"/>
              </w:rPr>
            </w:pPr>
            <w:r w:rsidRPr="00FA3F9C">
              <w:rPr>
                <w:rFonts w:ascii="Arial" w:eastAsia="Times New Roman" w:hAnsi="Arial" w:cs="Arial"/>
                <w:color w:val="000000"/>
                <w:sz w:val="24"/>
                <w:szCs w:val="24"/>
              </w:rPr>
              <w:t>$1.75</w:t>
            </w:r>
          </w:p>
          <w:p w14:paraId="5E891250" w14:textId="77777777" w:rsidR="002641D2" w:rsidRPr="00FA3F9C" w:rsidRDefault="002641D2" w:rsidP="00B82024">
            <w:pPr>
              <w:rPr>
                <w:rFonts w:ascii="Arial" w:eastAsia="Times New Roman" w:hAnsi="Arial" w:cs="Arial"/>
                <w:color w:val="000000"/>
                <w:sz w:val="24"/>
                <w:szCs w:val="24"/>
              </w:rPr>
            </w:pPr>
            <w:r w:rsidRPr="00FA3F9C">
              <w:rPr>
                <w:rFonts w:ascii="Arial" w:eastAsia="Times New Roman" w:hAnsi="Arial" w:cs="Arial"/>
                <w:color w:val="000000"/>
                <w:sz w:val="24"/>
                <w:szCs w:val="24"/>
              </w:rPr>
              <w:t>$1.75</w:t>
            </w:r>
          </w:p>
          <w:p w14:paraId="4B906E03" w14:textId="77777777" w:rsidR="002641D2" w:rsidRPr="00FA3F9C" w:rsidRDefault="002641D2" w:rsidP="00B82024">
            <w:pPr>
              <w:rPr>
                <w:rFonts w:ascii="Arial" w:eastAsia="Times New Roman" w:hAnsi="Arial" w:cs="Arial"/>
                <w:color w:val="000000"/>
                <w:sz w:val="24"/>
                <w:szCs w:val="24"/>
              </w:rPr>
            </w:pPr>
            <w:r w:rsidRPr="00FA3F9C">
              <w:rPr>
                <w:rFonts w:ascii="Arial" w:eastAsia="Times New Roman" w:hAnsi="Arial" w:cs="Arial"/>
                <w:color w:val="000000"/>
                <w:sz w:val="24"/>
                <w:szCs w:val="24"/>
              </w:rPr>
              <w:t>$1.75</w:t>
            </w:r>
          </w:p>
          <w:p w14:paraId="7ED958F4" w14:textId="77777777" w:rsidR="002641D2" w:rsidRPr="00FA3F9C" w:rsidRDefault="002641D2" w:rsidP="00B82024">
            <w:pPr>
              <w:rPr>
                <w:rFonts w:ascii="Arial" w:eastAsia="Times New Roman" w:hAnsi="Arial" w:cs="Arial"/>
                <w:color w:val="000000"/>
                <w:sz w:val="24"/>
                <w:szCs w:val="24"/>
              </w:rPr>
            </w:pPr>
            <w:r w:rsidRPr="00FA3F9C">
              <w:rPr>
                <w:rFonts w:ascii="Arial" w:eastAsia="Times New Roman" w:hAnsi="Arial" w:cs="Arial"/>
                <w:color w:val="000000"/>
                <w:sz w:val="24"/>
                <w:szCs w:val="24"/>
              </w:rPr>
              <w:t>$1.75</w:t>
            </w:r>
          </w:p>
          <w:p w14:paraId="7336901C" w14:textId="77777777" w:rsidR="002641D2" w:rsidRPr="00FA3F9C" w:rsidRDefault="002641D2" w:rsidP="00B82024">
            <w:pPr>
              <w:rPr>
                <w:rFonts w:ascii="Arial" w:eastAsia="Times New Roman" w:hAnsi="Arial" w:cs="Arial"/>
                <w:color w:val="000000"/>
                <w:sz w:val="24"/>
                <w:szCs w:val="24"/>
              </w:rPr>
            </w:pPr>
            <w:r w:rsidRPr="00FA3F9C">
              <w:rPr>
                <w:rFonts w:ascii="Arial" w:eastAsia="Times New Roman" w:hAnsi="Arial" w:cs="Arial"/>
                <w:color w:val="000000"/>
                <w:sz w:val="24"/>
                <w:szCs w:val="24"/>
              </w:rPr>
              <w:t>$1.75</w:t>
            </w:r>
          </w:p>
        </w:tc>
        <w:tc>
          <w:tcPr>
            <w:tcW w:w="959" w:type="dxa"/>
            <w:shd w:val="clear" w:color="auto" w:fill="66CCFF"/>
          </w:tcPr>
          <w:p w14:paraId="0F436B99" w14:textId="77777777" w:rsidR="002641D2" w:rsidRPr="00FA3F9C" w:rsidRDefault="002641D2" w:rsidP="00AE1453">
            <w:pPr>
              <w:rPr>
                <w:rFonts w:ascii="Arial" w:eastAsia="Times New Roman" w:hAnsi="Arial" w:cs="Arial"/>
                <w:sz w:val="24"/>
                <w:szCs w:val="24"/>
              </w:rPr>
            </w:pPr>
            <w:r w:rsidRPr="00FA3F9C">
              <w:rPr>
                <w:rFonts w:ascii="Arial" w:eastAsia="Times New Roman" w:hAnsi="Arial" w:cs="Arial"/>
                <w:sz w:val="24"/>
                <w:szCs w:val="24"/>
              </w:rPr>
              <w:t>$438</w:t>
            </w:r>
          </w:p>
          <w:p w14:paraId="288395F0" w14:textId="77777777" w:rsidR="002641D2" w:rsidRPr="00FA3F9C" w:rsidRDefault="002641D2" w:rsidP="00AE1453">
            <w:pPr>
              <w:rPr>
                <w:rFonts w:ascii="Arial" w:eastAsia="Times New Roman" w:hAnsi="Arial" w:cs="Arial"/>
                <w:sz w:val="24"/>
                <w:szCs w:val="24"/>
              </w:rPr>
            </w:pPr>
            <w:r w:rsidRPr="00FA3F9C">
              <w:rPr>
                <w:rFonts w:ascii="Arial" w:eastAsia="Times New Roman" w:hAnsi="Arial" w:cs="Arial"/>
                <w:sz w:val="24"/>
                <w:szCs w:val="24"/>
              </w:rPr>
              <w:t>$875</w:t>
            </w:r>
          </w:p>
          <w:p w14:paraId="5B1BEB5B" w14:textId="77777777" w:rsidR="002641D2" w:rsidRPr="00FA3F9C" w:rsidRDefault="002641D2" w:rsidP="00AE1453">
            <w:pPr>
              <w:rPr>
                <w:rFonts w:ascii="Arial" w:eastAsia="Times New Roman" w:hAnsi="Arial" w:cs="Arial"/>
                <w:sz w:val="24"/>
                <w:szCs w:val="24"/>
              </w:rPr>
            </w:pPr>
            <w:r w:rsidRPr="00FA3F9C">
              <w:rPr>
                <w:rFonts w:ascii="Arial" w:eastAsia="Times New Roman" w:hAnsi="Arial" w:cs="Arial"/>
                <w:sz w:val="24"/>
                <w:szCs w:val="24"/>
              </w:rPr>
              <w:t>$1,750</w:t>
            </w:r>
          </w:p>
          <w:p w14:paraId="5920F3B9" w14:textId="77777777" w:rsidR="002641D2" w:rsidRPr="00FA3F9C" w:rsidRDefault="002641D2" w:rsidP="00AE1453">
            <w:pPr>
              <w:rPr>
                <w:rFonts w:ascii="Arial" w:eastAsia="Times New Roman" w:hAnsi="Arial" w:cs="Arial"/>
                <w:sz w:val="24"/>
                <w:szCs w:val="24"/>
              </w:rPr>
            </w:pPr>
            <w:r w:rsidRPr="00FA3F9C">
              <w:rPr>
                <w:rFonts w:ascii="Arial" w:eastAsia="Times New Roman" w:hAnsi="Arial" w:cs="Arial"/>
                <w:sz w:val="24"/>
                <w:szCs w:val="24"/>
              </w:rPr>
              <w:t>$3,500</w:t>
            </w:r>
          </w:p>
          <w:p w14:paraId="6032EF19" w14:textId="77777777" w:rsidR="002641D2" w:rsidRPr="00FA3F9C" w:rsidRDefault="002641D2" w:rsidP="00AE1453">
            <w:pPr>
              <w:rPr>
                <w:rFonts w:ascii="Arial" w:eastAsia="Times New Roman" w:hAnsi="Arial" w:cs="Arial"/>
                <w:sz w:val="24"/>
                <w:szCs w:val="24"/>
              </w:rPr>
            </w:pPr>
            <w:r w:rsidRPr="00FA3F9C">
              <w:rPr>
                <w:rFonts w:ascii="Arial" w:eastAsia="Times New Roman" w:hAnsi="Arial" w:cs="Arial"/>
                <w:sz w:val="24"/>
                <w:szCs w:val="24"/>
              </w:rPr>
              <w:t>$5,250</w:t>
            </w:r>
          </w:p>
        </w:tc>
      </w:tr>
      <w:tr w:rsidR="002641D2" w:rsidRPr="00FA3F9C" w14:paraId="24BE31E9" w14:textId="77777777" w:rsidTr="008310B0">
        <w:trPr>
          <w:jc w:val="center"/>
        </w:trPr>
        <w:tc>
          <w:tcPr>
            <w:tcW w:w="2425" w:type="dxa"/>
            <w:shd w:val="clear" w:color="auto" w:fill="66CCFF"/>
          </w:tcPr>
          <w:p w14:paraId="5EFAD792" w14:textId="77777777" w:rsidR="002641D2" w:rsidRPr="00FA3F9C" w:rsidRDefault="002641D2" w:rsidP="003026F9">
            <w:pPr>
              <w:rPr>
                <w:rFonts w:ascii="Arial" w:eastAsia="Times New Roman" w:hAnsi="Arial" w:cs="Arial"/>
                <w:sz w:val="24"/>
                <w:szCs w:val="24"/>
              </w:rPr>
            </w:pPr>
            <w:proofErr w:type="spellStart"/>
            <w:r w:rsidRPr="00FA3F9C">
              <w:rPr>
                <w:rFonts w:ascii="Arial" w:eastAsia="Times New Roman" w:hAnsi="Arial" w:cs="Arial"/>
                <w:iCs/>
                <w:color w:val="000000"/>
                <w:sz w:val="24"/>
                <w:szCs w:val="24"/>
              </w:rPr>
              <w:t>Kovaltry</w:t>
            </w:r>
            <w:proofErr w:type="spellEnd"/>
          </w:p>
        </w:tc>
        <w:tc>
          <w:tcPr>
            <w:tcW w:w="2737" w:type="dxa"/>
            <w:shd w:val="clear" w:color="auto" w:fill="66CCFF"/>
          </w:tcPr>
          <w:p w14:paraId="582CE6D0" w14:textId="77777777" w:rsidR="002641D2" w:rsidRPr="00FA3F9C" w:rsidRDefault="002641D2" w:rsidP="0041304F">
            <w:pPr>
              <w:rPr>
                <w:rFonts w:ascii="Arial" w:eastAsia="Times New Roman" w:hAnsi="Arial" w:cs="Arial"/>
                <w:sz w:val="24"/>
                <w:szCs w:val="24"/>
              </w:rPr>
            </w:pPr>
            <w:r w:rsidRPr="00FA3F9C">
              <w:rPr>
                <w:rFonts w:ascii="Arial" w:eastAsia="Times New Roman" w:hAnsi="Arial" w:cs="Arial"/>
                <w:color w:val="000000"/>
                <w:sz w:val="24"/>
                <w:szCs w:val="24"/>
              </w:rPr>
              <w:t>*^# hemophilia A</w:t>
            </w:r>
          </w:p>
        </w:tc>
        <w:tc>
          <w:tcPr>
            <w:tcW w:w="236" w:type="dxa"/>
            <w:shd w:val="clear" w:color="auto" w:fill="66CCFF"/>
          </w:tcPr>
          <w:p w14:paraId="4D9F8D2F" w14:textId="77777777" w:rsidR="002641D2" w:rsidRPr="00FA3F9C" w:rsidRDefault="002641D2" w:rsidP="0041304F">
            <w:pPr>
              <w:rPr>
                <w:rFonts w:ascii="Arial" w:eastAsia="Times New Roman" w:hAnsi="Arial" w:cs="Arial"/>
                <w:sz w:val="24"/>
                <w:szCs w:val="24"/>
              </w:rPr>
            </w:pPr>
          </w:p>
        </w:tc>
        <w:tc>
          <w:tcPr>
            <w:tcW w:w="4227" w:type="dxa"/>
            <w:shd w:val="clear" w:color="auto" w:fill="66CCFF"/>
          </w:tcPr>
          <w:p w14:paraId="7CF812D2" w14:textId="77777777" w:rsidR="002641D2" w:rsidRPr="00FA3F9C" w:rsidRDefault="002641D2" w:rsidP="0041304F">
            <w:pPr>
              <w:rPr>
                <w:rFonts w:ascii="Arial" w:eastAsia="Times New Roman" w:hAnsi="Arial" w:cs="Arial"/>
                <w:sz w:val="24"/>
                <w:szCs w:val="24"/>
              </w:rPr>
            </w:pPr>
            <w:r w:rsidRPr="00FA3F9C">
              <w:rPr>
                <w:rFonts w:ascii="Arial" w:eastAsia="Times New Roman" w:hAnsi="Arial" w:cs="Arial"/>
                <w:sz w:val="24"/>
                <w:szCs w:val="24"/>
              </w:rPr>
              <w:t>20 to 40 units/kg 2 or 3 times weekly</w:t>
            </w:r>
          </w:p>
        </w:tc>
        <w:tc>
          <w:tcPr>
            <w:tcW w:w="2186" w:type="dxa"/>
            <w:shd w:val="clear" w:color="auto" w:fill="66CCFF"/>
          </w:tcPr>
          <w:p w14:paraId="53F6FED2" w14:textId="77777777" w:rsidR="002641D2" w:rsidRPr="00FA3F9C" w:rsidRDefault="002641D2" w:rsidP="00B82024">
            <w:pPr>
              <w:rPr>
                <w:rFonts w:ascii="Arial" w:hAnsi="Arial" w:cs="Arial"/>
                <w:color w:val="000000"/>
                <w:sz w:val="24"/>
                <w:szCs w:val="24"/>
              </w:rPr>
            </w:pPr>
          </w:p>
        </w:tc>
        <w:tc>
          <w:tcPr>
            <w:tcW w:w="725" w:type="dxa"/>
            <w:shd w:val="clear" w:color="auto" w:fill="66CCFF"/>
          </w:tcPr>
          <w:p w14:paraId="459A93EF" w14:textId="77777777" w:rsidR="002641D2" w:rsidRPr="00FA3F9C" w:rsidRDefault="002641D2" w:rsidP="003026F9">
            <w:pPr>
              <w:rPr>
                <w:rFonts w:ascii="Arial" w:eastAsia="Times New Roman" w:hAnsi="Arial" w:cs="Arial"/>
                <w:color w:val="000000"/>
                <w:sz w:val="24"/>
                <w:szCs w:val="24"/>
              </w:rPr>
            </w:pPr>
          </w:p>
        </w:tc>
        <w:tc>
          <w:tcPr>
            <w:tcW w:w="959" w:type="dxa"/>
            <w:shd w:val="clear" w:color="auto" w:fill="66CCFF"/>
          </w:tcPr>
          <w:p w14:paraId="562A02E7" w14:textId="77777777" w:rsidR="002641D2" w:rsidRPr="00FA3F9C" w:rsidRDefault="002641D2" w:rsidP="003026F9">
            <w:pPr>
              <w:rPr>
                <w:rFonts w:ascii="Arial" w:eastAsia="Times New Roman" w:hAnsi="Arial" w:cs="Arial"/>
                <w:sz w:val="24"/>
                <w:szCs w:val="24"/>
              </w:rPr>
            </w:pPr>
          </w:p>
        </w:tc>
      </w:tr>
      <w:tr w:rsidR="002641D2" w:rsidRPr="00FA3F9C" w14:paraId="49E99B42" w14:textId="77777777" w:rsidTr="008310B0">
        <w:trPr>
          <w:jc w:val="center"/>
        </w:trPr>
        <w:tc>
          <w:tcPr>
            <w:tcW w:w="2425" w:type="dxa"/>
            <w:shd w:val="clear" w:color="auto" w:fill="66CCFF"/>
          </w:tcPr>
          <w:p w14:paraId="2F8D70E4" w14:textId="77777777" w:rsidR="002641D2" w:rsidRPr="00FA3F9C" w:rsidRDefault="002641D2" w:rsidP="003026F9">
            <w:pPr>
              <w:rPr>
                <w:rFonts w:ascii="Arial" w:eastAsia="Times New Roman" w:hAnsi="Arial" w:cs="Arial"/>
                <w:sz w:val="24"/>
                <w:szCs w:val="24"/>
              </w:rPr>
            </w:pPr>
            <w:proofErr w:type="spellStart"/>
            <w:r w:rsidRPr="00FA3F9C">
              <w:rPr>
                <w:rFonts w:ascii="Arial" w:eastAsia="Times New Roman" w:hAnsi="Arial" w:cs="Arial"/>
                <w:iCs/>
                <w:color w:val="000000"/>
                <w:sz w:val="24"/>
                <w:szCs w:val="24"/>
              </w:rPr>
              <w:t>Novoeight</w:t>
            </w:r>
            <w:proofErr w:type="spellEnd"/>
          </w:p>
        </w:tc>
        <w:tc>
          <w:tcPr>
            <w:tcW w:w="2737" w:type="dxa"/>
            <w:shd w:val="clear" w:color="auto" w:fill="66CCFF"/>
          </w:tcPr>
          <w:p w14:paraId="6030ABF9" w14:textId="77777777" w:rsidR="002641D2" w:rsidRPr="00FA3F9C" w:rsidRDefault="002641D2" w:rsidP="0041304F">
            <w:pPr>
              <w:rPr>
                <w:rFonts w:ascii="Arial" w:eastAsia="Times New Roman" w:hAnsi="Arial" w:cs="Arial"/>
                <w:sz w:val="24"/>
                <w:szCs w:val="24"/>
              </w:rPr>
            </w:pPr>
            <w:r w:rsidRPr="00FA3F9C">
              <w:rPr>
                <w:rFonts w:ascii="Arial" w:eastAsia="Times New Roman" w:hAnsi="Arial" w:cs="Arial"/>
                <w:color w:val="000000"/>
                <w:sz w:val="24"/>
                <w:szCs w:val="24"/>
              </w:rPr>
              <w:t>*^# hemophilia A</w:t>
            </w:r>
          </w:p>
        </w:tc>
        <w:tc>
          <w:tcPr>
            <w:tcW w:w="236" w:type="dxa"/>
            <w:shd w:val="clear" w:color="auto" w:fill="66CCFF"/>
          </w:tcPr>
          <w:p w14:paraId="464264CB" w14:textId="77777777" w:rsidR="002641D2" w:rsidRPr="00FA3F9C" w:rsidRDefault="002641D2" w:rsidP="0041304F">
            <w:pPr>
              <w:rPr>
                <w:rFonts w:ascii="Arial" w:eastAsia="Times New Roman" w:hAnsi="Arial" w:cs="Arial"/>
                <w:sz w:val="24"/>
                <w:szCs w:val="24"/>
              </w:rPr>
            </w:pPr>
          </w:p>
        </w:tc>
        <w:tc>
          <w:tcPr>
            <w:tcW w:w="4227" w:type="dxa"/>
            <w:shd w:val="clear" w:color="auto" w:fill="66CCFF"/>
          </w:tcPr>
          <w:p w14:paraId="7C21AAD1" w14:textId="77777777" w:rsidR="002641D2" w:rsidRPr="00FA3F9C" w:rsidRDefault="002641D2" w:rsidP="0041304F">
            <w:pPr>
              <w:rPr>
                <w:rFonts w:ascii="Arial" w:eastAsia="Times New Roman" w:hAnsi="Arial" w:cs="Arial"/>
                <w:sz w:val="24"/>
                <w:szCs w:val="24"/>
              </w:rPr>
            </w:pPr>
            <w:r w:rsidRPr="00FA3F9C">
              <w:rPr>
                <w:rFonts w:ascii="Arial" w:eastAsia="Times New Roman" w:hAnsi="Arial" w:cs="Arial"/>
                <w:sz w:val="24"/>
                <w:szCs w:val="24"/>
              </w:rPr>
              <w:t>20 to 50 units/kg 3 times weekly or 20 to 40 units/kg every other day</w:t>
            </w:r>
          </w:p>
        </w:tc>
        <w:tc>
          <w:tcPr>
            <w:tcW w:w="2186" w:type="dxa"/>
            <w:shd w:val="clear" w:color="auto" w:fill="66CCFF"/>
          </w:tcPr>
          <w:p w14:paraId="32A3036C" w14:textId="77777777" w:rsidR="002641D2" w:rsidRPr="00FA3F9C" w:rsidRDefault="002641D2" w:rsidP="00B82024">
            <w:pPr>
              <w:rPr>
                <w:rFonts w:ascii="Arial" w:eastAsia="Times New Roman" w:hAnsi="Arial" w:cs="Arial"/>
                <w:color w:val="000000"/>
                <w:sz w:val="24"/>
                <w:szCs w:val="24"/>
              </w:rPr>
            </w:pPr>
            <w:r w:rsidRPr="00FA3F9C">
              <w:rPr>
                <w:rFonts w:ascii="Arial" w:eastAsia="Times New Roman" w:hAnsi="Arial" w:cs="Arial"/>
                <w:color w:val="000000"/>
                <w:sz w:val="24"/>
                <w:szCs w:val="24"/>
              </w:rPr>
              <w:t xml:space="preserve">250 </w:t>
            </w:r>
          </w:p>
          <w:p w14:paraId="32C70480" w14:textId="77777777" w:rsidR="002641D2" w:rsidRPr="00FA3F9C" w:rsidRDefault="002641D2" w:rsidP="00B82024">
            <w:pPr>
              <w:rPr>
                <w:rFonts w:ascii="Arial" w:eastAsia="Times New Roman" w:hAnsi="Arial" w:cs="Arial"/>
                <w:color w:val="000000"/>
                <w:sz w:val="24"/>
                <w:szCs w:val="24"/>
              </w:rPr>
            </w:pPr>
            <w:r w:rsidRPr="00FA3F9C">
              <w:rPr>
                <w:rFonts w:ascii="Arial" w:eastAsia="Times New Roman" w:hAnsi="Arial" w:cs="Arial"/>
                <w:color w:val="000000"/>
                <w:sz w:val="24"/>
                <w:szCs w:val="24"/>
              </w:rPr>
              <w:t xml:space="preserve">500 </w:t>
            </w:r>
          </w:p>
          <w:p w14:paraId="18047A2B" w14:textId="77777777" w:rsidR="002641D2" w:rsidRPr="00FA3F9C" w:rsidRDefault="002641D2" w:rsidP="00B82024">
            <w:pPr>
              <w:rPr>
                <w:rFonts w:ascii="Arial" w:eastAsia="Times New Roman" w:hAnsi="Arial" w:cs="Arial"/>
                <w:color w:val="000000"/>
                <w:sz w:val="24"/>
                <w:szCs w:val="24"/>
              </w:rPr>
            </w:pPr>
            <w:r w:rsidRPr="00FA3F9C">
              <w:rPr>
                <w:rFonts w:ascii="Arial" w:eastAsia="Times New Roman" w:hAnsi="Arial" w:cs="Arial"/>
                <w:color w:val="000000"/>
                <w:sz w:val="24"/>
                <w:szCs w:val="24"/>
              </w:rPr>
              <w:t xml:space="preserve">1000 </w:t>
            </w:r>
          </w:p>
          <w:p w14:paraId="7ECF8B06" w14:textId="77777777" w:rsidR="002641D2" w:rsidRPr="00FA3F9C" w:rsidRDefault="002641D2" w:rsidP="00B82024">
            <w:pPr>
              <w:rPr>
                <w:rFonts w:ascii="Arial" w:eastAsia="Times New Roman" w:hAnsi="Arial" w:cs="Arial"/>
                <w:color w:val="000000"/>
                <w:sz w:val="24"/>
                <w:szCs w:val="24"/>
              </w:rPr>
            </w:pPr>
            <w:r w:rsidRPr="00FA3F9C">
              <w:rPr>
                <w:rFonts w:ascii="Arial" w:eastAsia="Times New Roman" w:hAnsi="Arial" w:cs="Arial"/>
                <w:color w:val="000000"/>
                <w:sz w:val="24"/>
                <w:szCs w:val="24"/>
              </w:rPr>
              <w:t xml:space="preserve">1500 </w:t>
            </w:r>
          </w:p>
          <w:p w14:paraId="7B15695A" w14:textId="77777777" w:rsidR="002641D2" w:rsidRPr="00FA3F9C" w:rsidRDefault="002641D2" w:rsidP="00B82024">
            <w:pPr>
              <w:rPr>
                <w:rFonts w:ascii="Arial" w:eastAsia="Times New Roman" w:hAnsi="Arial" w:cs="Arial"/>
                <w:color w:val="000000"/>
                <w:sz w:val="24"/>
                <w:szCs w:val="24"/>
              </w:rPr>
            </w:pPr>
            <w:r w:rsidRPr="00FA3F9C">
              <w:rPr>
                <w:rFonts w:ascii="Arial" w:eastAsia="Times New Roman" w:hAnsi="Arial" w:cs="Arial"/>
                <w:color w:val="000000"/>
                <w:sz w:val="24"/>
                <w:szCs w:val="24"/>
              </w:rPr>
              <w:t xml:space="preserve">2000 </w:t>
            </w:r>
          </w:p>
          <w:p w14:paraId="7F778B6A" w14:textId="77777777" w:rsidR="002641D2" w:rsidRPr="00FA3F9C" w:rsidRDefault="002641D2" w:rsidP="007A5473">
            <w:pPr>
              <w:rPr>
                <w:rFonts w:ascii="Arial" w:hAnsi="Arial" w:cs="Arial"/>
                <w:color w:val="000000"/>
                <w:sz w:val="24"/>
                <w:szCs w:val="24"/>
              </w:rPr>
            </w:pPr>
            <w:r w:rsidRPr="00FA3F9C">
              <w:rPr>
                <w:rFonts w:ascii="Arial" w:eastAsia="Times New Roman" w:hAnsi="Arial" w:cs="Arial"/>
                <w:color w:val="000000"/>
                <w:sz w:val="24"/>
                <w:szCs w:val="24"/>
              </w:rPr>
              <w:t xml:space="preserve">3000 </w:t>
            </w:r>
          </w:p>
        </w:tc>
        <w:tc>
          <w:tcPr>
            <w:tcW w:w="725" w:type="dxa"/>
            <w:shd w:val="clear" w:color="auto" w:fill="66CCFF"/>
          </w:tcPr>
          <w:p w14:paraId="282C6D1A" w14:textId="77777777" w:rsidR="002641D2" w:rsidRPr="00FA3F9C" w:rsidRDefault="002641D2" w:rsidP="003026F9">
            <w:pPr>
              <w:rPr>
                <w:rFonts w:ascii="Arial" w:eastAsia="Times New Roman" w:hAnsi="Arial" w:cs="Arial"/>
                <w:color w:val="000000"/>
                <w:sz w:val="24"/>
                <w:szCs w:val="24"/>
              </w:rPr>
            </w:pPr>
            <w:r w:rsidRPr="00FA3F9C">
              <w:rPr>
                <w:rFonts w:ascii="Arial" w:eastAsia="Times New Roman" w:hAnsi="Arial" w:cs="Arial"/>
                <w:color w:val="000000"/>
                <w:sz w:val="24"/>
                <w:szCs w:val="24"/>
              </w:rPr>
              <w:t>$1.98</w:t>
            </w:r>
          </w:p>
          <w:p w14:paraId="4B624135" w14:textId="77777777" w:rsidR="002641D2" w:rsidRPr="00FA3F9C" w:rsidRDefault="002641D2" w:rsidP="003026F9">
            <w:pPr>
              <w:rPr>
                <w:rFonts w:ascii="Arial" w:eastAsia="Times New Roman" w:hAnsi="Arial" w:cs="Arial"/>
                <w:color w:val="000000"/>
                <w:sz w:val="24"/>
                <w:szCs w:val="24"/>
              </w:rPr>
            </w:pPr>
            <w:r w:rsidRPr="00FA3F9C">
              <w:rPr>
                <w:rFonts w:ascii="Arial" w:eastAsia="Times New Roman" w:hAnsi="Arial" w:cs="Arial"/>
                <w:color w:val="000000"/>
                <w:sz w:val="24"/>
                <w:szCs w:val="24"/>
              </w:rPr>
              <w:t>$1.98</w:t>
            </w:r>
          </w:p>
          <w:p w14:paraId="136C6207" w14:textId="77777777" w:rsidR="002641D2" w:rsidRPr="00FA3F9C" w:rsidRDefault="002641D2" w:rsidP="003026F9">
            <w:pPr>
              <w:rPr>
                <w:rFonts w:ascii="Arial" w:eastAsia="Times New Roman" w:hAnsi="Arial" w:cs="Arial"/>
                <w:color w:val="000000"/>
                <w:sz w:val="24"/>
                <w:szCs w:val="24"/>
              </w:rPr>
            </w:pPr>
            <w:r w:rsidRPr="00FA3F9C">
              <w:rPr>
                <w:rFonts w:ascii="Arial" w:eastAsia="Times New Roman" w:hAnsi="Arial" w:cs="Arial"/>
                <w:color w:val="000000"/>
                <w:sz w:val="24"/>
                <w:szCs w:val="24"/>
              </w:rPr>
              <w:t>$1.98</w:t>
            </w:r>
          </w:p>
          <w:p w14:paraId="3FF95CDE" w14:textId="77777777" w:rsidR="002641D2" w:rsidRPr="00FA3F9C" w:rsidRDefault="002641D2" w:rsidP="003026F9">
            <w:pPr>
              <w:rPr>
                <w:rFonts w:ascii="Arial" w:eastAsia="Times New Roman" w:hAnsi="Arial" w:cs="Arial"/>
                <w:color w:val="000000"/>
                <w:sz w:val="24"/>
                <w:szCs w:val="24"/>
              </w:rPr>
            </w:pPr>
            <w:r w:rsidRPr="00FA3F9C">
              <w:rPr>
                <w:rFonts w:ascii="Arial" w:eastAsia="Times New Roman" w:hAnsi="Arial" w:cs="Arial"/>
                <w:color w:val="000000"/>
                <w:sz w:val="24"/>
                <w:szCs w:val="24"/>
              </w:rPr>
              <w:lastRenderedPageBreak/>
              <w:t>$1.98</w:t>
            </w:r>
          </w:p>
          <w:p w14:paraId="5C6C7E93" w14:textId="77777777" w:rsidR="002641D2" w:rsidRPr="00FA3F9C" w:rsidRDefault="002641D2" w:rsidP="003026F9">
            <w:pPr>
              <w:rPr>
                <w:rFonts w:ascii="Arial" w:eastAsia="Times New Roman" w:hAnsi="Arial" w:cs="Arial"/>
                <w:color w:val="000000"/>
                <w:sz w:val="24"/>
                <w:szCs w:val="24"/>
              </w:rPr>
            </w:pPr>
            <w:r w:rsidRPr="00FA3F9C">
              <w:rPr>
                <w:rFonts w:ascii="Arial" w:eastAsia="Times New Roman" w:hAnsi="Arial" w:cs="Arial"/>
                <w:color w:val="000000"/>
                <w:sz w:val="24"/>
                <w:szCs w:val="24"/>
              </w:rPr>
              <w:t>$1.98</w:t>
            </w:r>
          </w:p>
          <w:p w14:paraId="4940A3A5" w14:textId="77777777" w:rsidR="002641D2" w:rsidRPr="00FA3F9C" w:rsidRDefault="002641D2" w:rsidP="003026F9">
            <w:pPr>
              <w:rPr>
                <w:rFonts w:ascii="Arial" w:eastAsia="Times New Roman" w:hAnsi="Arial" w:cs="Arial"/>
                <w:color w:val="000000"/>
                <w:sz w:val="24"/>
                <w:szCs w:val="24"/>
              </w:rPr>
            </w:pPr>
            <w:r w:rsidRPr="00FA3F9C">
              <w:rPr>
                <w:rFonts w:ascii="Arial" w:eastAsia="Times New Roman" w:hAnsi="Arial" w:cs="Arial"/>
                <w:color w:val="000000"/>
                <w:sz w:val="24"/>
                <w:szCs w:val="24"/>
              </w:rPr>
              <w:t>$1.98</w:t>
            </w:r>
          </w:p>
        </w:tc>
        <w:tc>
          <w:tcPr>
            <w:tcW w:w="959" w:type="dxa"/>
            <w:shd w:val="clear" w:color="auto" w:fill="66CCFF"/>
          </w:tcPr>
          <w:p w14:paraId="4FD2CD67" w14:textId="77777777" w:rsidR="002641D2" w:rsidRPr="00FA3F9C" w:rsidRDefault="002641D2" w:rsidP="00AE1453">
            <w:pPr>
              <w:rPr>
                <w:rFonts w:ascii="Arial" w:eastAsia="Times New Roman" w:hAnsi="Arial" w:cs="Arial"/>
                <w:sz w:val="24"/>
                <w:szCs w:val="24"/>
              </w:rPr>
            </w:pPr>
            <w:r w:rsidRPr="00FA3F9C">
              <w:rPr>
                <w:rFonts w:ascii="Arial" w:eastAsia="Times New Roman" w:hAnsi="Arial" w:cs="Arial"/>
                <w:sz w:val="24"/>
                <w:szCs w:val="24"/>
              </w:rPr>
              <w:lastRenderedPageBreak/>
              <w:t>$495</w:t>
            </w:r>
          </w:p>
          <w:p w14:paraId="651EC7CD" w14:textId="77777777" w:rsidR="002641D2" w:rsidRPr="00FA3F9C" w:rsidRDefault="002641D2" w:rsidP="00AE1453">
            <w:pPr>
              <w:rPr>
                <w:rFonts w:ascii="Arial" w:eastAsia="Times New Roman" w:hAnsi="Arial" w:cs="Arial"/>
                <w:sz w:val="24"/>
                <w:szCs w:val="24"/>
              </w:rPr>
            </w:pPr>
            <w:r w:rsidRPr="00FA3F9C">
              <w:rPr>
                <w:rFonts w:ascii="Arial" w:eastAsia="Times New Roman" w:hAnsi="Arial" w:cs="Arial"/>
                <w:sz w:val="24"/>
                <w:szCs w:val="24"/>
              </w:rPr>
              <w:t>$990</w:t>
            </w:r>
          </w:p>
          <w:p w14:paraId="68E3E613" w14:textId="77777777" w:rsidR="002641D2" w:rsidRPr="00FA3F9C" w:rsidRDefault="002641D2" w:rsidP="00AE1453">
            <w:pPr>
              <w:rPr>
                <w:rFonts w:ascii="Arial" w:eastAsia="Times New Roman" w:hAnsi="Arial" w:cs="Arial"/>
                <w:sz w:val="24"/>
                <w:szCs w:val="24"/>
              </w:rPr>
            </w:pPr>
            <w:r w:rsidRPr="00FA3F9C">
              <w:rPr>
                <w:rFonts w:ascii="Arial" w:eastAsia="Times New Roman" w:hAnsi="Arial" w:cs="Arial"/>
                <w:sz w:val="24"/>
                <w:szCs w:val="24"/>
              </w:rPr>
              <w:t>$1,980</w:t>
            </w:r>
          </w:p>
          <w:p w14:paraId="09FE689B" w14:textId="77777777" w:rsidR="002641D2" w:rsidRPr="00FA3F9C" w:rsidRDefault="002641D2" w:rsidP="00AE1453">
            <w:pPr>
              <w:rPr>
                <w:rFonts w:ascii="Arial" w:eastAsia="Times New Roman" w:hAnsi="Arial" w:cs="Arial"/>
                <w:sz w:val="24"/>
                <w:szCs w:val="24"/>
              </w:rPr>
            </w:pPr>
            <w:r w:rsidRPr="00FA3F9C">
              <w:rPr>
                <w:rFonts w:ascii="Arial" w:eastAsia="Times New Roman" w:hAnsi="Arial" w:cs="Arial"/>
                <w:sz w:val="24"/>
                <w:szCs w:val="24"/>
              </w:rPr>
              <w:t>$2,970</w:t>
            </w:r>
          </w:p>
          <w:p w14:paraId="7FFFC5E4" w14:textId="77777777" w:rsidR="002641D2" w:rsidRPr="00FA3F9C" w:rsidRDefault="002641D2" w:rsidP="00AE1453">
            <w:pPr>
              <w:rPr>
                <w:rFonts w:ascii="Arial" w:eastAsia="Times New Roman" w:hAnsi="Arial" w:cs="Arial"/>
                <w:sz w:val="24"/>
                <w:szCs w:val="24"/>
              </w:rPr>
            </w:pPr>
            <w:r w:rsidRPr="00FA3F9C">
              <w:rPr>
                <w:rFonts w:ascii="Arial" w:eastAsia="Times New Roman" w:hAnsi="Arial" w:cs="Arial"/>
                <w:sz w:val="24"/>
                <w:szCs w:val="24"/>
              </w:rPr>
              <w:t>$3,960</w:t>
            </w:r>
          </w:p>
          <w:p w14:paraId="1257B5E4" w14:textId="77777777" w:rsidR="002641D2" w:rsidRPr="00FA3F9C" w:rsidRDefault="002641D2" w:rsidP="00AE1453">
            <w:pPr>
              <w:rPr>
                <w:rFonts w:ascii="Arial" w:eastAsia="Times New Roman" w:hAnsi="Arial" w:cs="Arial"/>
                <w:sz w:val="24"/>
                <w:szCs w:val="24"/>
              </w:rPr>
            </w:pPr>
            <w:r w:rsidRPr="00FA3F9C">
              <w:rPr>
                <w:rFonts w:ascii="Arial" w:eastAsia="Times New Roman" w:hAnsi="Arial" w:cs="Arial"/>
                <w:sz w:val="24"/>
                <w:szCs w:val="24"/>
              </w:rPr>
              <w:t>$5,940</w:t>
            </w:r>
          </w:p>
        </w:tc>
      </w:tr>
      <w:tr w:rsidR="002641D2" w:rsidRPr="00FA3F9C" w14:paraId="334BE6F4" w14:textId="77777777" w:rsidTr="008310B0">
        <w:trPr>
          <w:jc w:val="center"/>
        </w:trPr>
        <w:tc>
          <w:tcPr>
            <w:tcW w:w="2425" w:type="dxa"/>
            <w:shd w:val="clear" w:color="auto" w:fill="66CCFF"/>
          </w:tcPr>
          <w:p w14:paraId="21F60BFE" w14:textId="77777777" w:rsidR="002641D2" w:rsidRPr="00FA3F9C" w:rsidRDefault="002641D2" w:rsidP="003026F9">
            <w:pPr>
              <w:rPr>
                <w:rFonts w:ascii="Arial" w:eastAsia="Times New Roman" w:hAnsi="Arial" w:cs="Arial"/>
                <w:sz w:val="24"/>
                <w:szCs w:val="24"/>
              </w:rPr>
            </w:pPr>
            <w:proofErr w:type="spellStart"/>
            <w:r w:rsidRPr="00FA3F9C">
              <w:rPr>
                <w:rFonts w:ascii="Arial" w:eastAsia="Times New Roman" w:hAnsi="Arial" w:cs="Arial"/>
                <w:iCs/>
                <w:color w:val="000000"/>
                <w:sz w:val="24"/>
                <w:szCs w:val="24"/>
              </w:rPr>
              <w:t>Nuwiq</w:t>
            </w:r>
            <w:proofErr w:type="spellEnd"/>
          </w:p>
        </w:tc>
        <w:tc>
          <w:tcPr>
            <w:tcW w:w="2737" w:type="dxa"/>
            <w:shd w:val="clear" w:color="auto" w:fill="66CCFF"/>
          </w:tcPr>
          <w:p w14:paraId="7736E104" w14:textId="77777777" w:rsidR="002641D2" w:rsidRPr="00FA3F9C" w:rsidRDefault="002641D2" w:rsidP="003026F9">
            <w:pPr>
              <w:rPr>
                <w:rFonts w:ascii="Arial" w:eastAsia="Times New Roman" w:hAnsi="Arial" w:cs="Arial"/>
                <w:sz w:val="24"/>
                <w:szCs w:val="24"/>
              </w:rPr>
            </w:pPr>
            <w:r w:rsidRPr="00FA3F9C">
              <w:rPr>
                <w:rFonts w:ascii="Arial" w:eastAsia="Times New Roman" w:hAnsi="Arial" w:cs="Arial"/>
                <w:color w:val="000000"/>
                <w:sz w:val="24"/>
                <w:szCs w:val="24"/>
              </w:rPr>
              <w:t>*^# hemophilia A</w:t>
            </w:r>
          </w:p>
        </w:tc>
        <w:tc>
          <w:tcPr>
            <w:tcW w:w="236" w:type="dxa"/>
            <w:shd w:val="clear" w:color="auto" w:fill="66CCFF"/>
          </w:tcPr>
          <w:p w14:paraId="0F635D2D" w14:textId="77777777" w:rsidR="002641D2" w:rsidRPr="00FA3F9C" w:rsidRDefault="002641D2" w:rsidP="003026F9">
            <w:pPr>
              <w:rPr>
                <w:rFonts w:ascii="Arial" w:eastAsia="Times New Roman" w:hAnsi="Arial" w:cs="Arial"/>
                <w:sz w:val="24"/>
                <w:szCs w:val="24"/>
              </w:rPr>
            </w:pPr>
          </w:p>
        </w:tc>
        <w:tc>
          <w:tcPr>
            <w:tcW w:w="4227" w:type="dxa"/>
            <w:shd w:val="clear" w:color="auto" w:fill="66CCFF"/>
          </w:tcPr>
          <w:p w14:paraId="71FA5199" w14:textId="77777777" w:rsidR="002641D2" w:rsidRPr="00FA3F9C" w:rsidRDefault="002641D2" w:rsidP="003026F9">
            <w:pPr>
              <w:rPr>
                <w:rFonts w:ascii="Arial" w:eastAsia="Times New Roman" w:hAnsi="Arial" w:cs="Arial"/>
                <w:sz w:val="24"/>
                <w:szCs w:val="24"/>
              </w:rPr>
            </w:pPr>
            <w:r w:rsidRPr="00FA3F9C">
              <w:rPr>
                <w:rFonts w:ascii="Arial" w:eastAsia="Times New Roman" w:hAnsi="Arial" w:cs="Arial"/>
                <w:sz w:val="24"/>
                <w:szCs w:val="24"/>
              </w:rPr>
              <w:t>30 to 40 units/kg every other day</w:t>
            </w:r>
          </w:p>
        </w:tc>
        <w:tc>
          <w:tcPr>
            <w:tcW w:w="2186" w:type="dxa"/>
            <w:shd w:val="clear" w:color="auto" w:fill="66CCFF"/>
          </w:tcPr>
          <w:p w14:paraId="2B195B03" w14:textId="77777777" w:rsidR="002641D2" w:rsidRPr="00FA3F9C" w:rsidRDefault="002641D2" w:rsidP="00B82024">
            <w:pPr>
              <w:rPr>
                <w:rFonts w:ascii="Arial" w:eastAsia="Times New Roman" w:hAnsi="Arial" w:cs="Arial"/>
                <w:sz w:val="24"/>
                <w:szCs w:val="24"/>
              </w:rPr>
            </w:pPr>
            <w:r w:rsidRPr="00FA3F9C">
              <w:rPr>
                <w:rFonts w:ascii="Arial" w:eastAsia="Times New Roman" w:hAnsi="Arial" w:cs="Arial"/>
                <w:sz w:val="24"/>
                <w:szCs w:val="24"/>
              </w:rPr>
              <w:t>250</w:t>
            </w:r>
          </w:p>
          <w:p w14:paraId="06C54275" w14:textId="77777777" w:rsidR="002641D2" w:rsidRPr="00FA3F9C" w:rsidRDefault="002641D2" w:rsidP="00B82024">
            <w:pPr>
              <w:rPr>
                <w:rFonts w:ascii="Arial" w:eastAsia="Times New Roman" w:hAnsi="Arial" w:cs="Arial"/>
                <w:sz w:val="24"/>
                <w:szCs w:val="24"/>
              </w:rPr>
            </w:pPr>
            <w:r w:rsidRPr="00FA3F9C">
              <w:rPr>
                <w:rFonts w:ascii="Arial" w:eastAsia="Times New Roman" w:hAnsi="Arial" w:cs="Arial"/>
                <w:sz w:val="24"/>
                <w:szCs w:val="24"/>
              </w:rPr>
              <w:t xml:space="preserve">500 </w:t>
            </w:r>
          </w:p>
          <w:p w14:paraId="5893371A" w14:textId="77777777" w:rsidR="002641D2" w:rsidRPr="00FA3F9C" w:rsidRDefault="002641D2" w:rsidP="00B82024">
            <w:pPr>
              <w:rPr>
                <w:rFonts w:ascii="Arial" w:eastAsia="Times New Roman" w:hAnsi="Arial" w:cs="Arial"/>
                <w:sz w:val="24"/>
                <w:szCs w:val="24"/>
              </w:rPr>
            </w:pPr>
            <w:r w:rsidRPr="00FA3F9C">
              <w:rPr>
                <w:rFonts w:ascii="Arial" w:eastAsia="Times New Roman" w:hAnsi="Arial" w:cs="Arial"/>
                <w:sz w:val="24"/>
                <w:szCs w:val="24"/>
              </w:rPr>
              <w:t xml:space="preserve">1000 </w:t>
            </w:r>
          </w:p>
          <w:p w14:paraId="22B5CDEB" w14:textId="77777777" w:rsidR="002641D2" w:rsidRPr="00FA3F9C" w:rsidRDefault="002641D2" w:rsidP="007A5473">
            <w:pPr>
              <w:rPr>
                <w:rFonts w:ascii="Arial" w:eastAsia="Times New Roman" w:hAnsi="Arial" w:cs="Arial"/>
                <w:sz w:val="24"/>
                <w:szCs w:val="24"/>
              </w:rPr>
            </w:pPr>
            <w:r w:rsidRPr="00FA3F9C">
              <w:rPr>
                <w:rFonts w:ascii="Arial" w:eastAsia="Times New Roman" w:hAnsi="Arial" w:cs="Arial"/>
                <w:sz w:val="24"/>
                <w:szCs w:val="24"/>
              </w:rPr>
              <w:t xml:space="preserve">2000 </w:t>
            </w:r>
          </w:p>
        </w:tc>
        <w:tc>
          <w:tcPr>
            <w:tcW w:w="725" w:type="dxa"/>
            <w:shd w:val="clear" w:color="auto" w:fill="66CCFF"/>
          </w:tcPr>
          <w:p w14:paraId="33A9724F" w14:textId="77777777" w:rsidR="002641D2" w:rsidRPr="00FA3F9C" w:rsidRDefault="002641D2" w:rsidP="003026F9">
            <w:pPr>
              <w:rPr>
                <w:rFonts w:ascii="Arial" w:eastAsia="Times New Roman" w:hAnsi="Arial" w:cs="Arial"/>
                <w:color w:val="000000"/>
                <w:sz w:val="24"/>
                <w:szCs w:val="24"/>
              </w:rPr>
            </w:pPr>
            <w:r w:rsidRPr="00FA3F9C">
              <w:rPr>
                <w:rFonts w:ascii="Arial" w:eastAsia="Times New Roman" w:hAnsi="Arial" w:cs="Arial"/>
                <w:color w:val="000000"/>
                <w:sz w:val="24"/>
                <w:szCs w:val="24"/>
              </w:rPr>
              <w:t>$2.03</w:t>
            </w:r>
          </w:p>
          <w:p w14:paraId="0693148C" w14:textId="77777777" w:rsidR="002641D2" w:rsidRPr="00FA3F9C" w:rsidRDefault="002641D2" w:rsidP="003026F9">
            <w:pPr>
              <w:rPr>
                <w:rFonts w:ascii="Arial" w:eastAsia="Times New Roman" w:hAnsi="Arial" w:cs="Arial"/>
                <w:color w:val="000000"/>
                <w:sz w:val="24"/>
                <w:szCs w:val="24"/>
              </w:rPr>
            </w:pPr>
            <w:r w:rsidRPr="00FA3F9C">
              <w:rPr>
                <w:rFonts w:ascii="Arial" w:eastAsia="Times New Roman" w:hAnsi="Arial" w:cs="Arial"/>
                <w:color w:val="000000"/>
                <w:sz w:val="24"/>
                <w:szCs w:val="24"/>
              </w:rPr>
              <w:t>$2.03</w:t>
            </w:r>
          </w:p>
          <w:p w14:paraId="5387FC26" w14:textId="77777777" w:rsidR="002641D2" w:rsidRPr="00FA3F9C" w:rsidRDefault="002641D2" w:rsidP="003026F9">
            <w:pPr>
              <w:rPr>
                <w:rFonts w:ascii="Arial" w:eastAsia="Times New Roman" w:hAnsi="Arial" w:cs="Arial"/>
                <w:color w:val="000000"/>
                <w:sz w:val="24"/>
                <w:szCs w:val="24"/>
              </w:rPr>
            </w:pPr>
            <w:r w:rsidRPr="00FA3F9C">
              <w:rPr>
                <w:rFonts w:ascii="Arial" w:eastAsia="Times New Roman" w:hAnsi="Arial" w:cs="Arial"/>
                <w:color w:val="000000"/>
                <w:sz w:val="24"/>
                <w:szCs w:val="24"/>
              </w:rPr>
              <w:t>$2.03</w:t>
            </w:r>
          </w:p>
          <w:p w14:paraId="22E12DF9" w14:textId="77777777" w:rsidR="002641D2" w:rsidRPr="00FA3F9C" w:rsidRDefault="002641D2" w:rsidP="003026F9">
            <w:pPr>
              <w:rPr>
                <w:rFonts w:ascii="Arial" w:eastAsia="Times New Roman" w:hAnsi="Arial" w:cs="Arial"/>
                <w:sz w:val="24"/>
                <w:szCs w:val="24"/>
              </w:rPr>
            </w:pPr>
            <w:r w:rsidRPr="00FA3F9C">
              <w:rPr>
                <w:rFonts w:ascii="Arial" w:eastAsia="Times New Roman" w:hAnsi="Arial" w:cs="Arial"/>
                <w:color w:val="000000"/>
                <w:sz w:val="24"/>
                <w:szCs w:val="24"/>
              </w:rPr>
              <w:t>$2.03</w:t>
            </w:r>
          </w:p>
        </w:tc>
        <w:tc>
          <w:tcPr>
            <w:tcW w:w="959" w:type="dxa"/>
            <w:shd w:val="clear" w:color="auto" w:fill="66CCFF"/>
          </w:tcPr>
          <w:p w14:paraId="33AD8013" w14:textId="77777777" w:rsidR="002641D2" w:rsidRPr="00FA3F9C" w:rsidRDefault="002641D2" w:rsidP="00AE1453">
            <w:pPr>
              <w:rPr>
                <w:rFonts w:ascii="Arial" w:eastAsia="Times New Roman" w:hAnsi="Arial" w:cs="Arial"/>
                <w:sz w:val="24"/>
                <w:szCs w:val="24"/>
              </w:rPr>
            </w:pPr>
            <w:r w:rsidRPr="00FA3F9C">
              <w:rPr>
                <w:rFonts w:ascii="Arial" w:eastAsia="Times New Roman" w:hAnsi="Arial" w:cs="Arial"/>
                <w:sz w:val="24"/>
                <w:szCs w:val="24"/>
              </w:rPr>
              <w:t>$508</w:t>
            </w:r>
          </w:p>
          <w:p w14:paraId="221731D8" w14:textId="77777777" w:rsidR="002641D2" w:rsidRPr="00FA3F9C" w:rsidRDefault="002641D2" w:rsidP="00AE1453">
            <w:pPr>
              <w:rPr>
                <w:rFonts w:ascii="Arial" w:eastAsia="Times New Roman" w:hAnsi="Arial" w:cs="Arial"/>
                <w:sz w:val="24"/>
                <w:szCs w:val="24"/>
              </w:rPr>
            </w:pPr>
            <w:r w:rsidRPr="00FA3F9C">
              <w:rPr>
                <w:rFonts w:ascii="Arial" w:eastAsia="Times New Roman" w:hAnsi="Arial" w:cs="Arial"/>
                <w:sz w:val="24"/>
                <w:szCs w:val="24"/>
              </w:rPr>
              <w:t>$1,015</w:t>
            </w:r>
          </w:p>
          <w:p w14:paraId="6EDFF63F" w14:textId="77777777" w:rsidR="002641D2" w:rsidRPr="00FA3F9C" w:rsidRDefault="002641D2" w:rsidP="00AE1453">
            <w:pPr>
              <w:rPr>
                <w:rFonts w:ascii="Arial" w:eastAsia="Times New Roman" w:hAnsi="Arial" w:cs="Arial"/>
                <w:sz w:val="24"/>
                <w:szCs w:val="24"/>
              </w:rPr>
            </w:pPr>
            <w:r w:rsidRPr="00FA3F9C">
              <w:rPr>
                <w:rFonts w:ascii="Arial" w:eastAsia="Times New Roman" w:hAnsi="Arial" w:cs="Arial"/>
                <w:sz w:val="24"/>
                <w:szCs w:val="24"/>
              </w:rPr>
              <w:t>$2,030</w:t>
            </w:r>
          </w:p>
          <w:p w14:paraId="20F6B35E" w14:textId="77777777" w:rsidR="002641D2" w:rsidRPr="00FA3F9C" w:rsidRDefault="002641D2" w:rsidP="00AE1453">
            <w:pPr>
              <w:rPr>
                <w:rFonts w:ascii="Arial" w:eastAsia="Times New Roman" w:hAnsi="Arial" w:cs="Arial"/>
                <w:sz w:val="24"/>
                <w:szCs w:val="24"/>
              </w:rPr>
            </w:pPr>
            <w:r w:rsidRPr="00FA3F9C">
              <w:rPr>
                <w:rFonts w:ascii="Arial" w:eastAsia="Times New Roman" w:hAnsi="Arial" w:cs="Arial"/>
                <w:sz w:val="24"/>
                <w:szCs w:val="24"/>
              </w:rPr>
              <w:t>$4,060</w:t>
            </w:r>
          </w:p>
        </w:tc>
      </w:tr>
      <w:tr w:rsidR="002641D2" w:rsidRPr="00FA3F9C" w14:paraId="63A1596B" w14:textId="77777777" w:rsidTr="008310B0">
        <w:trPr>
          <w:jc w:val="center"/>
        </w:trPr>
        <w:tc>
          <w:tcPr>
            <w:tcW w:w="2425" w:type="dxa"/>
            <w:shd w:val="clear" w:color="auto" w:fill="66CCFF"/>
          </w:tcPr>
          <w:p w14:paraId="01E7F543" w14:textId="77777777" w:rsidR="002641D2" w:rsidRPr="00FA3F9C" w:rsidRDefault="002641D2" w:rsidP="003026F9">
            <w:pPr>
              <w:rPr>
                <w:rFonts w:ascii="Arial" w:eastAsia="Times New Roman" w:hAnsi="Arial" w:cs="Arial"/>
                <w:iCs/>
                <w:color w:val="000000"/>
                <w:sz w:val="24"/>
                <w:szCs w:val="24"/>
              </w:rPr>
            </w:pPr>
            <w:proofErr w:type="spellStart"/>
            <w:r w:rsidRPr="00FA3F9C">
              <w:rPr>
                <w:rFonts w:ascii="Arial" w:eastAsia="Times New Roman" w:hAnsi="Arial" w:cs="Arial"/>
                <w:iCs/>
                <w:color w:val="000000"/>
                <w:sz w:val="24"/>
                <w:szCs w:val="24"/>
              </w:rPr>
              <w:t>Recombinate</w:t>
            </w:r>
            <w:proofErr w:type="spellEnd"/>
          </w:p>
        </w:tc>
        <w:tc>
          <w:tcPr>
            <w:tcW w:w="2737" w:type="dxa"/>
            <w:shd w:val="clear" w:color="auto" w:fill="66CCFF"/>
          </w:tcPr>
          <w:p w14:paraId="3AB8BDEB" w14:textId="77777777" w:rsidR="002641D2" w:rsidRPr="00FA3F9C" w:rsidRDefault="002641D2" w:rsidP="003026F9">
            <w:pPr>
              <w:rPr>
                <w:rFonts w:ascii="Arial" w:eastAsia="Times New Roman" w:hAnsi="Arial" w:cs="Arial"/>
                <w:sz w:val="24"/>
                <w:szCs w:val="24"/>
              </w:rPr>
            </w:pPr>
            <w:r w:rsidRPr="00FA3F9C">
              <w:rPr>
                <w:rFonts w:ascii="Arial" w:eastAsia="Times New Roman" w:hAnsi="Arial" w:cs="Arial"/>
                <w:color w:val="000000"/>
                <w:sz w:val="24"/>
                <w:szCs w:val="24"/>
              </w:rPr>
              <w:t>*^# hemophilia A</w:t>
            </w:r>
          </w:p>
        </w:tc>
        <w:tc>
          <w:tcPr>
            <w:tcW w:w="236" w:type="dxa"/>
            <w:shd w:val="clear" w:color="auto" w:fill="66CCFF"/>
          </w:tcPr>
          <w:p w14:paraId="5C5AAB27" w14:textId="77777777" w:rsidR="002641D2" w:rsidRPr="00FA3F9C" w:rsidRDefault="002641D2" w:rsidP="003026F9">
            <w:pPr>
              <w:rPr>
                <w:rFonts w:ascii="Arial" w:eastAsia="Times New Roman" w:hAnsi="Arial" w:cs="Arial"/>
                <w:sz w:val="24"/>
                <w:szCs w:val="24"/>
              </w:rPr>
            </w:pPr>
          </w:p>
        </w:tc>
        <w:tc>
          <w:tcPr>
            <w:tcW w:w="4227" w:type="dxa"/>
            <w:shd w:val="clear" w:color="auto" w:fill="66CCFF"/>
          </w:tcPr>
          <w:p w14:paraId="1D64CC4A" w14:textId="77777777" w:rsidR="002641D2" w:rsidRPr="00FA3F9C" w:rsidRDefault="002641D2" w:rsidP="003026F9">
            <w:pPr>
              <w:rPr>
                <w:rFonts w:ascii="Arial" w:eastAsia="Times New Roman" w:hAnsi="Arial" w:cs="Arial"/>
                <w:sz w:val="24"/>
                <w:szCs w:val="24"/>
              </w:rPr>
            </w:pPr>
          </w:p>
        </w:tc>
        <w:tc>
          <w:tcPr>
            <w:tcW w:w="2186" w:type="dxa"/>
            <w:shd w:val="clear" w:color="auto" w:fill="66CCFF"/>
          </w:tcPr>
          <w:p w14:paraId="3EFDF38C" w14:textId="77777777" w:rsidR="002641D2" w:rsidRPr="00FA3F9C" w:rsidRDefault="002641D2" w:rsidP="00B82024">
            <w:pPr>
              <w:rPr>
                <w:rFonts w:ascii="Arial" w:eastAsia="Times New Roman" w:hAnsi="Arial" w:cs="Arial"/>
                <w:sz w:val="24"/>
                <w:szCs w:val="24"/>
              </w:rPr>
            </w:pPr>
            <w:r w:rsidRPr="00FA3F9C">
              <w:rPr>
                <w:rFonts w:ascii="Arial" w:eastAsia="Times New Roman" w:hAnsi="Arial" w:cs="Arial"/>
                <w:sz w:val="24"/>
                <w:szCs w:val="24"/>
              </w:rPr>
              <w:t>220-400</w:t>
            </w:r>
          </w:p>
          <w:p w14:paraId="2F751255" w14:textId="77777777" w:rsidR="002641D2" w:rsidRPr="00FA3F9C" w:rsidRDefault="002641D2" w:rsidP="00B82024">
            <w:pPr>
              <w:rPr>
                <w:rFonts w:ascii="Arial" w:eastAsia="Times New Roman" w:hAnsi="Arial" w:cs="Arial"/>
                <w:sz w:val="24"/>
                <w:szCs w:val="24"/>
              </w:rPr>
            </w:pPr>
            <w:r w:rsidRPr="00FA3F9C">
              <w:rPr>
                <w:rFonts w:ascii="Arial" w:eastAsia="Times New Roman" w:hAnsi="Arial" w:cs="Arial"/>
                <w:sz w:val="24"/>
                <w:szCs w:val="24"/>
              </w:rPr>
              <w:t>401-800</w:t>
            </w:r>
          </w:p>
          <w:p w14:paraId="394D23DE" w14:textId="77777777" w:rsidR="002641D2" w:rsidRPr="00FA3F9C" w:rsidRDefault="002641D2" w:rsidP="00B82024">
            <w:pPr>
              <w:rPr>
                <w:rFonts w:ascii="Arial" w:eastAsia="Times New Roman" w:hAnsi="Arial" w:cs="Arial"/>
                <w:sz w:val="24"/>
                <w:szCs w:val="24"/>
              </w:rPr>
            </w:pPr>
            <w:r w:rsidRPr="00FA3F9C">
              <w:rPr>
                <w:rFonts w:ascii="Arial" w:eastAsia="Times New Roman" w:hAnsi="Arial" w:cs="Arial"/>
                <w:sz w:val="24"/>
                <w:szCs w:val="24"/>
              </w:rPr>
              <w:t>801-1240</w:t>
            </w:r>
          </w:p>
          <w:p w14:paraId="5F65BF15" w14:textId="77777777" w:rsidR="002641D2" w:rsidRPr="00FA3F9C" w:rsidRDefault="002641D2" w:rsidP="00B82024">
            <w:pPr>
              <w:rPr>
                <w:rFonts w:ascii="Arial" w:eastAsia="Times New Roman" w:hAnsi="Arial" w:cs="Arial"/>
                <w:sz w:val="24"/>
                <w:szCs w:val="24"/>
              </w:rPr>
            </w:pPr>
            <w:r w:rsidRPr="00FA3F9C">
              <w:rPr>
                <w:rFonts w:ascii="Arial" w:eastAsia="Times New Roman" w:hAnsi="Arial" w:cs="Arial"/>
                <w:sz w:val="24"/>
                <w:szCs w:val="24"/>
              </w:rPr>
              <w:t>1241-1800</w:t>
            </w:r>
          </w:p>
          <w:p w14:paraId="5D6074C0" w14:textId="77777777" w:rsidR="002641D2" w:rsidRPr="00FA3F9C" w:rsidRDefault="002641D2" w:rsidP="00B82024">
            <w:pPr>
              <w:rPr>
                <w:rFonts w:ascii="Arial" w:eastAsia="Times New Roman" w:hAnsi="Arial" w:cs="Arial"/>
                <w:sz w:val="24"/>
                <w:szCs w:val="24"/>
              </w:rPr>
            </w:pPr>
            <w:r w:rsidRPr="00FA3F9C">
              <w:rPr>
                <w:rFonts w:ascii="Arial" w:eastAsia="Times New Roman" w:hAnsi="Arial" w:cs="Arial"/>
                <w:sz w:val="24"/>
                <w:szCs w:val="24"/>
              </w:rPr>
              <w:t>1801-2400</w:t>
            </w:r>
          </w:p>
        </w:tc>
        <w:tc>
          <w:tcPr>
            <w:tcW w:w="725" w:type="dxa"/>
            <w:shd w:val="clear" w:color="auto" w:fill="66CCFF"/>
          </w:tcPr>
          <w:p w14:paraId="586BC7B5" w14:textId="77777777" w:rsidR="002641D2" w:rsidRPr="00FA3F9C" w:rsidRDefault="002641D2" w:rsidP="003026F9">
            <w:pPr>
              <w:rPr>
                <w:rFonts w:ascii="Arial" w:eastAsia="Times New Roman" w:hAnsi="Arial" w:cs="Arial"/>
                <w:color w:val="000000"/>
                <w:sz w:val="24"/>
                <w:szCs w:val="24"/>
              </w:rPr>
            </w:pPr>
            <w:r w:rsidRPr="00FA3F9C">
              <w:rPr>
                <w:rFonts w:ascii="Arial" w:eastAsia="Times New Roman" w:hAnsi="Arial" w:cs="Arial"/>
                <w:color w:val="000000"/>
                <w:sz w:val="24"/>
                <w:szCs w:val="24"/>
              </w:rPr>
              <w:t>1.82</w:t>
            </w:r>
          </w:p>
        </w:tc>
        <w:tc>
          <w:tcPr>
            <w:tcW w:w="959" w:type="dxa"/>
            <w:shd w:val="clear" w:color="auto" w:fill="66CCFF"/>
          </w:tcPr>
          <w:p w14:paraId="39D9626A" w14:textId="77777777" w:rsidR="002641D2" w:rsidRPr="00FA3F9C" w:rsidRDefault="002641D2" w:rsidP="00AE1453">
            <w:pPr>
              <w:rPr>
                <w:rFonts w:ascii="Arial" w:eastAsia="Times New Roman" w:hAnsi="Arial" w:cs="Arial"/>
                <w:sz w:val="24"/>
                <w:szCs w:val="24"/>
              </w:rPr>
            </w:pPr>
          </w:p>
        </w:tc>
      </w:tr>
      <w:tr w:rsidR="002641D2" w:rsidRPr="00FA3F9C" w14:paraId="774B2D68" w14:textId="77777777" w:rsidTr="008310B0">
        <w:trPr>
          <w:jc w:val="center"/>
        </w:trPr>
        <w:tc>
          <w:tcPr>
            <w:tcW w:w="2425" w:type="dxa"/>
            <w:tcBorders>
              <w:bottom w:val="single" w:sz="4" w:space="0" w:color="auto"/>
            </w:tcBorders>
            <w:shd w:val="clear" w:color="auto" w:fill="66CCFF"/>
          </w:tcPr>
          <w:p w14:paraId="3FF040B4" w14:textId="77777777" w:rsidR="002641D2" w:rsidRPr="00FA3F9C" w:rsidRDefault="002641D2" w:rsidP="003026F9">
            <w:pPr>
              <w:rPr>
                <w:rFonts w:ascii="Arial" w:eastAsia="Times New Roman" w:hAnsi="Arial" w:cs="Arial"/>
                <w:sz w:val="24"/>
                <w:szCs w:val="24"/>
              </w:rPr>
            </w:pPr>
            <w:proofErr w:type="spellStart"/>
            <w:r w:rsidRPr="00FA3F9C">
              <w:rPr>
                <w:rFonts w:ascii="Arial" w:eastAsia="Times New Roman" w:hAnsi="Arial" w:cs="Arial"/>
                <w:iCs/>
                <w:color w:val="000000"/>
                <w:sz w:val="24"/>
                <w:szCs w:val="24"/>
              </w:rPr>
              <w:t>Xyntha</w:t>
            </w:r>
            <w:proofErr w:type="spellEnd"/>
            <w:r w:rsidRPr="00FA3F9C">
              <w:rPr>
                <w:rFonts w:ascii="Arial" w:eastAsia="Times New Roman" w:hAnsi="Arial" w:cs="Arial"/>
                <w:iCs/>
                <w:color w:val="000000"/>
                <w:sz w:val="24"/>
                <w:szCs w:val="24"/>
              </w:rPr>
              <w:t>*</w:t>
            </w:r>
          </w:p>
        </w:tc>
        <w:tc>
          <w:tcPr>
            <w:tcW w:w="2737" w:type="dxa"/>
            <w:tcBorders>
              <w:bottom w:val="single" w:sz="4" w:space="0" w:color="auto"/>
            </w:tcBorders>
            <w:shd w:val="clear" w:color="auto" w:fill="66CCFF"/>
          </w:tcPr>
          <w:p w14:paraId="7EEF0344" w14:textId="77777777" w:rsidR="002641D2" w:rsidRPr="00FA3F9C" w:rsidRDefault="002641D2" w:rsidP="003026F9">
            <w:pPr>
              <w:rPr>
                <w:rFonts w:ascii="Arial" w:eastAsia="Times New Roman" w:hAnsi="Arial" w:cs="Arial"/>
                <w:sz w:val="24"/>
                <w:szCs w:val="24"/>
              </w:rPr>
            </w:pPr>
            <w:r w:rsidRPr="00FA3F9C">
              <w:rPr>
                <w:rFonts w:ascii="Arial" w:eastAsia="Times New Roman" w:hAnsi="Arial" w:cs="Arial"/>
                <w:color w:val="000000"/>
                <w:sz w:val="24"/>
                <w:szCs w:val="24"/>
              </w:rPr>
              <w:t>*^# hemophilia A</w:t>
            </w:r>
          </w:p>
        </w:tc>
        <w:tc>
          <w:tcPr>
            <w:tcW w:w="236" w:type="dxa"/>
            <w:tcBorders>
              <w:bottom w:val="single" w:sz="4" w:space="0" w:color="auto"/>
            </w:tcBorders>
            <w:shd w:val="clear" w:color="auto" w:fill="66CCFF"/>
          </w:tcPr>
          <w:p w14:paraId="325D4BA7" w14:textId="77777777" w:rsidR="002641D2" w:rsidRPr="00FA3F9C" w:rsidRDefault="002641D2" w:rsidP="003026F9">
            <w:pPr>
              <w:rPr>
                <w:rFonts w:ascii="Arial" w:eastAsia="Times New Roman" w:hAnsi="Arial" w:cs="Arial"/>
                <w:sz w:val="24"/>
                <w:szCs w:val="24"/>
              </w:rPr>
            </w:pPr>
          </w:p>
        </w:tc>
        <w:tc>
          <w:tcPr>
            <w:tcW w:w="4227" w:type="dxa"/>
            <w:tcBorders>
              <w:bottom w:val="single" w:sz="4" w:space="0" w:color="auto"/>
            </w:tcBorders>
            <w:shd w:val="clear" w:color="auto" w:fill="66CCFF"/>
          </w:tcPr>
          <w:p w14:paraId="402C1A90" w14:textId="77777777" w:rsidR="002641D2" w:rsidRPr="00FA3F9C" w:rsidRDefault="002641D2" w:rsidP="003026F9">
            <w:pPr>
              <w:rPr>
                <w:rFonts w:ascii="Arial" w:eastAsia="Times New Roman" w:hAnsi="Arial" w:cs="Arial"/>
                <w:sz w:val="24"/>
                <w:szCs w:val="24"/>
              </w:rPr>
            </w:pPr>
            <w:r w:rsidRPr="00FA3F9C">
              <w:rPr>
                <w:rFonts w:ascii="Arial" w:eastAsia="Times New Roman" w:hAnsi="Arial" w:cs="Arial"/>
                <w:sz w:val="24"/>
                <w:szCs w:val="24"/>
              </w:rPr>
              <w:t>Treatment experienced patients: 25 to 35 units/kg 3 times weekly</w:t>
            </w:r>
          </w:p>
        </w:tc>
        <w:tc>
          <w:tcPr>
            <w:tcW w:w="2186" w:type="dxa"/>
            <w:tcBorders>
              <w:bottom w:val="single" w:sz="4" w:space="0" w:color="auto"/>
            </w:tcBorders>
            <w:shd w:val="clear" w:color="auto" w:fill="66CCFF"/>
          </w:tcPr>
          <w:p w14:paraId="7703D86E" w14:textId="77777777" w:rsidR="002641D2" w:rsidRPr="00FA3F9C" w:rsidRDefault="002641D2" w:rsidP="00B82024">
            <w:pPr>
              <w:rPr>
                <w:rFonts w:ascii="Arial" w:eastAsia="Times New Roman" w:hAnsi="Arial" w:cs="Arial"/>
                <w:sz w:val="24"/>
                <w:szCs w:val="24"/>
              </w:rPr>
            </w:pPr>
            <w:r w:rsidRPr="00FA3F9C">
              <w:rPr>
                <w:rFonts w:ascii="Arial" w:eastAsia="Times New Roman" w:hAnsi="Arial" w:cs="Arial"/>
                <w:sz w:val="24"/>
                <w:szCs w:val="24"/>
              </w:rPr>
              <w:t xml:space="preserve">250 </w:t>
            </w:r>
          </w:p>
          <w:p w14:paraId="6992F728" w14:textId="77777777" w:rsidR="002641D2" w:rsidRPr="00FA3F9C" w:rsidRDefault="002641D2" w:rsidP="00B82024">
            <w:pPr>
              <w:rPr>
                <w:rFonts w:ascii="Arial" w:eastAsia="Times New Roman" w:hAnsi="Arial" w:cs="Arial"/>
                <w:sz w:val="24"/>
                <w:szCs w:val="24"/>
              </w:rPr>
            </w:pPr>
            <w:r w:rsidRPr="00FA3F9C">
              <w:rPr>
                <w:rFonts w:ascii="Arial" w:eastAsia="Times New Roman" w:hAnsi="Arial" w:cs="Arial"/>
                <w:sz w:val="24"/>
                <w:szCs w:val="24"/>
              </w:rPr>
              <w:t xml:space="preserve">500 </w:t>
            </w:r>
          </w:p>
          <w:p w14:paraId="4620BBD5" w14:textId="77777777" w:rsidR="002641D2" w:rsidRPr="00FA3F9C" w:rsidRDefault="002641D2" w:rsidP="00B82024">
            <w:pPr>
              <w:rPr>
                <w:rFonts w:ascii="Arial" w:eastAsia="Times New Roman" w:hAnsi="Arial" w:cs="Arial"/>
                <w:sz w:val="24"/>
                <w:szCs w:val="24"/>
              </w:rPr>
            </w:pPr>
            <w:r w:rsidRPr="00FA3F9C">
              <w:rPr>
                <w:rFonts w:ascii="Arial" w:eastAsia="Times New Roman" w:hAnsi="Arial" w:cs="Arial"/>
                <w:sz w:val="24"/>
                <w:szCs w:val="24"/>
              </w:rPr>
              <w:t>1000</w:t>
            </w:r>
          </w:p>
          <w:p w14:paraId="70D2AF58" w14:textId="77777777" w:rsidR="002641D2" w:rsidRPr="00FA3F9C" w:rsidRDefault="002641D2" w:rsidP="007A5473">
            <w:pPr>
              <w:rPr>
                <w:rFonts w:ascii="Arial" w:eastAsia="Times New Roman" w:hAnsi="Arial" w:cs="Arial"/>
                <w:sz w:val="24"/>
                <w:szCs w:val="24"/>
              </w:rPr>
            </w:pPr>
            <w:r w:rsidRPr="00FA3F9C">
              <w:rPr>
                <w:rFonts w:ascii="Arial" w:eastAsia="Times New Roman" w:hAnsi="Arial" w:cs="Arial"/>
                <w:sz w:val="24"/>
                <w:szCs w:val="24"/>
              </w:rPr>
              <w:t xml:space="preserve">2000 </w:t>
            </w:r>
          </w:p>
        </w:tc>
        <w:tc>
          <w:tcPr>
            <w:tcW w:w="725" w:type="dxa"/>
            <w:tcBorders>
              <w:bottom w:val="single" w:sz="4" w:space="0" w:color="auto"/>
            </w:tcBorders>
            <w:shd w:val="clear" w:color="auto" w:fill="66CCFF"/>
          </w:tcPr>
          <w:p w14:paraId="5D9DC26C" w14:textId="77777777" w:rsidR="002641D2" w:rsidRPr="00FA3F9C" w:rsidRDefault="002641D2" w:rsidP="003026F9">
            <w:pPr>
              <w:rPr>
                <w:rFonts w:ascii="Arial" w:eastAsia="Times New Roman" w:hAnsi="Arial" w:cs="Arial"/>
                <w:color w:val="000000"/>
                <w:sz w:val="24"/>
                <w:szCs w:val="24"/>
              </w:rPr>
            </w:pPr>
            <w:r w:rsidRPr="00FA3F9C">
              <w:rPr>
                <w:rFonts w:ascii="Arial" w:eastAsia="Times New Roman" w:hAnsi="Arial" w:cs="Arial"/>
                <w:color w:val="000000"/>
                <w:sz w:val="24"/>
                <w:szCs w:val="24"/>
              </w:rPr>
              <w:t>$1.82</w:t>
            </w:r>
          </w:p>
          <w:p w14:paraId="08388207" w14:textId="77777777" w:rsidR="002641D2" w:rsidRPr="00FA3F9C" w:rsidRDefault="002641D2" w:rsidP="003026F9">
            <w:pPr>
              <w:rPr>
                <w:rFonts w:ascii="Arial" w:eastAsia="Times New Roman" w:hAnsi="Arial" w:cs="Arial"/>
                <w:color w:val="000000"/>
                <w:sz w:val="24"/>
                <w:szCs w:val="24"/>
              </w:rPr>
            </w:pPr>
            <w:r w:rsidRPr="00FA3F9C">
              <w:rPr>
                <w:rFonts w:ascii="Arial" w:eastAsia="Times New Roman" w:hAnsi="Arial" w:cs="Arial"/>
                <w:color w:val="000000"/>
                <w:sz w:val="24"/>
                <w:szCs w:val="24"/>
              </w:rPr>
              <w:t>$1.82</w:t>
            </w:r>
          </w:p>
          <w:p w14:paraId="7AE10362" w14:textId="77777777" w:rsidR="002641D2" w:rsidRPr="00FA3F9C" w:rsidRDefault="002641D2" w:rsidP="003026F9">
            <w:pPr>
              <w:rPr>
                <w:rFonts w:ascii="Arial" w:eastAsia="Times New Roman" w:hAnsi="Arial" w:cs="Arial"/>
                <w:color w:val="000000"/>
                <w:sz w:val="24"/>
                <w:szCs w:val="24"/>
              </w:rPr>
            </w:pPr>
            <w:r w:rsidRPr="00FA3F9C">
              <w:rPr>
                <w:rFonts w:ascii="Arial" w:eastAsia="Times New Roman" w:hAnsi="Arial" w:cs="Arial"/>
                <w:color w:val="000000"/>
                <w:sz w:val="24"/>
                <w:szCs w:val="24"/>
              </w:rPr>
              <w:t>$1.82</w:t>
            </w:r>
          </w:p>
          <w:p w14:paraId="254BB353" w14:textId="77777777" w:rsidR="002641D2" w:rsidRPr="00FA3F9C" w:rsidRDefault="002641D2" w:rsidP="003026F9">
            <w:pPr>
              <w:rPr>
                <w:rFonts w:ascii="Arial" w:eastAsia="Times New Roman" w:hAnsi="Arial" w:cs="Arial"/>
                <w:sz w:val="24"/>
                <w:szCs w:val="24"/>
              </w:rPr>
            </w:pPr>
            <w:r w:rsidRPr="00FA3F9C">
              <w:rPr>
                <w:rFonts w:ascii="Arial" w:eastAsia="Times New Roman" w:hAnsi="Arial" w:cs="Arial"/>
                <w:color w:val="000000"/>
                <w:sz w:val="24"/>
                <w:szCs w:val="24"/>
              </w:rPr>
              <w:t>$1.82</w:t>
            </w:r>
          </w:p>
        </w:tc>
        <w:tc>
          <w:tcPr>
            <w:tcW w:w="959" w:type="dxa"/>
            <w:tcBorders>
              <w:bottom w:val="single" w:sz="4" w:space="0" w:color="auto"/>
            </w:tcBorders>
            <w:shd w:val="clear" w:color="auto" w:fill="66CCFF"/>
          </w:tcPr>
          <w:p w14:paraId="642B4035" w14:textId="77777777" w:rsidR="002641D2" w:rsidRPr="00FA3F9C" w:rsidRDefault="002641D2" w:rsidP="00AE1453">
            <w:pPr>
              <w:rPr>
                <w:rFonts w:ascii="Arial" w:eastAsia="Times New Roman" w:hAnsi="Arial" w:cs="Arial"/>
                <w:sz w:val="24"/>
                <w:szCs w:val="24"/>
              </w:rPr>
            </w:pPr>
            <w:r w:rsidRPr="00FA3F9C">
              <w:rPr>
                <w:rFonts w:ascii="Arial" w:eastAsia="Times New Roman" w:hAnsi="Arial" w:cs="Arial"/>
                <w:sz w:val="24"/>
                <w:szCs w:val="24"/>
              </w:rPr>
              <w:t>$455</w:t>
            </w:r>
          </w:p>
          <w:p w14:paraId="6A4B0EE9" w14:textId="77777777" w:rsidR="002641D2" w:rsidRPr="00FA3F9C" w:rsidRDefault="002641D2" w:rsidP="00AE1453">
            <w:pPr>
              <w:rPr>
                <w:rFonts w:ascii="Arial" w:eastAsia="Times New Roman" w:hAnsi="Arial" w:cs="Arial"/>
                <w:sz w:val="24"/>
                <w:szCs w:val="24"/>
              </w:rPr>
            </w:pPr>
            <w:r w:rsidRPr="00FA3F9C">
              <w:rPr>
                <w:rFonts w:ascii="Arial" w:eastAsia="Times New Roman" w:hAnsi="Arial" w:cs="Arial"/>
                <w:sz w:val="24"/>
                <w:szCs w:val="24"/>
              </w:rPr>
              <w:t>$910</w:t>
            </w:r>
          </w:p>
          <w:p w14:paraId="5C8802CB" w14:textId="77777777" w:rsidR="002641D2" w:rsidRPr="00FA3F9C" w:rsidRDefault="002641D2" w:rsidP="00AE1453">
            <w:pPr>
              <w:rPr>
                <w:rFonts w:ascii="Arial" w:eastAsia="Times New Roman" w:hAnsi="Arial" w:cs="Arial"/>
                <w:sz w:val="24"/>
                <w:szCs w:val="24"/>
              </w:rPr>
            </w:pPr>
            <w:r w:rsidRPr="00FA3F9C">
              <w:rPr>
                <w:rFonts w:ascii="Arial" w:eastAsia="Times New Roman" w:hAnsi="Arial" w:cs="Arial"/>
                <w:sz w:val="24"/>
                <w:szCs w:val="24"/>
              </w:rPr>
              <w:t>$1,820</w:t>
            </w:r>
          </w:p>
          <w:p w14:paraId="68E01324" w14:textId="77777777" w:rsidR="002641D2" w:rsidRPr="00FA3F9C" w:rsidRDefault="002641D2" w:rsidP="00AE1453">
            <w:pPr>
              <w:rPr>
                <w:rFonts w:ascii="Arial" w:eastAsia="Times New Roman" w:hAnsi="Arial" w:cs="Arial"/>
                <w:sz w:val="24"/>
                <w:szCs w:val="24"/>
              </w:rPr>
            </w:pPr>
            <w:r w:rsidRPr="00FA3F9C">
              <w:rPr>
                <w:rFonts w:ascii="Arial" w:eastAsia="Times New Roman" w:hAnsi="Arial" w:cs="Arial"/>
                <w:sz w:val="24"/>
                <w:szCs w:val="24"/>
              </w:rPr>
              <w:t>$3,640</w:t>
            </w:r>
          </w:p>
        </w:tc>
      </w:tr>
      <w:tr w:rsidR="002641D2" w:rsidRPr="00FA3F9C" w14:paraId="79469223" w14:textId="77777777" w:rsidTr="008310B0">
        <w:trPr>
          <w:jc w:val="center"/>
        </w:trPr>
        <w:tc>
          <w:tcPr>
            <w:tcW w:w="2425" w:type="dxa"/>
            <w:tcBorders>
              <w:bottom w:val="single" w:sz="4" w:space="0" w:color="auto"/>
            </w:tcBorders>
            <w:shd w:val="clear" w:color="auto" w:fill="66CCFF"/>
          </w:tcPr>
          <w:p w14:paraId="1A19ED1D" w14:textId="77777777" w:rsidR="002641D2" w:rsidRPr="00FA3F9C" w:rsidRDefault="002641D2" w:rsidP="003026F9">
            <w:pPr>
              <w:rPr>
                <w:rFonts w:ascii="Arial" w:eastAsia="Times New Roman" w:hAnsi="Arial" w:cs="Arial"/>
                <w:iCs/>
                <w:color w:val="000000"/>
                <w:sz w:val="24"/>
                <w:szCs w:val="24"/>
              </w:rPr>
            </w:pPr>
            <w:proofErr w:type="spellStart"/>
            <w:r w:rsidRPr="00FA3F9C">
              <w:rPr>
                <w:rFonts w:ascii="Arial" w:eastAsia="Times New Roman" w:hAnsi="Arial" w:cs="Arial"/>
                <w:iCs/>
                <w:color w:val="000000"/>
                <w:sz w:val="24"/>
                <w:szCs w:val="24"/>
              </w:rPr>
              <w:t>Obizur</w:t>
            </w:r>
            <w:proofErr w:type="spellEnd"/>
          </w:p>
        </w:tc>
        <w:tc>
          <w:tcPr>
            <w:tcW w:w="2737" w:type="dxa"/>
            <w:tcBorders>
              <w:bottom w:val="single" w:sz="4" w:space="0" w:color="auto"/>
            </w:tcBorders>
            <w:shd w:val="clear" w:color="auto" w:fill="66CCFF"/>
          </w:tcPr>
          <w:p w14:paraId="6FAA2E99" w14:textId="77777777" w:rsidR="002641D2" w:rsidRPr="00FA3F9C" w:rsidRDefault="002641D2" w:rsidP="003026F9">
            <w:pPr>
              <w:rPr>
                <w:rFonts w:ascii="Arial" w:eastAsia="Times New Roman" w:hAnsi="Arial" w:cs="Arial"/>
                <w:color w:val="000000"/>
                <w:sz w:val="24"/>
                <w:szCs w:val="24"/>
              </w:rPr>
            </w:pPr>
            <w:r w:rsidRPr="00FA3F9C">
              <w:rPr>
                <w:rFonts w:ascii="Arial" w:eastAsia="Times New Roman" w:hAnsi="Arial" w:cs="Arial"/>
                <w:color w:val="000000"/>
                <w:sz w:val="24"/>
                <w:szCs w:val="24"/>
              </w:rPr>
              <w:t>Only for adults w/ acquired hemophilia A</w:t>
            </w:r>
          </w:p>
        </w:tc>
        <w:tc>
          <w:tcPr>
            <w:tcW w:w="236" w:type="dxa"/>
            <w:tcBorders>
              <w:bottom w:val="single" w:sz="4" w:space="0" w:color="auto"/>
            </w:tcBorders>
            <w:shd w:val="clear" w:color="auto" w:fill="66CCFF"/>
          </w:tcPr>
          <w:p w14:paraId="6ECAA535" w14:textId="77777777" w:rsidR="002641D2" w:rsidRPr="00FA3F9C" w:rsidRDefault="002641D2" w:rsidP="003026F9">
            <w:pPr>
              <w:rPr>
                <w:rFonts w:ascii="Arial" w:eastAsia="Times New Roman" w:hAnsi="Arial" w:cs="Arial"/>
                <w:sz w:val="24"/>
                <w:szCs w:val="24"/>
              </w:rPr>
            </w:pPr>
          </w:p>
        </w:tc>
        <w:tc>
          <w:tcPr>
            <w:tcW w:w="4227" w:type="dxa"/>
            <w:tcBorders>
              <w:bottom w:val="single" w:sz="4" w:space="0" w:color="auto"/>
            </w:tcBorders>
            <w:shd w:val="clear" w:color="auto" w:fill="66CCFF"/>
          </w:tcPr>
          <w:p w14:paraId="6F30C562" w14:textId="77777777" w:rsidR="002641D2" w:rsidRPr="00FA3F9C" w:rsidRDefault="002641D2" w:rsidP="003026F9">
            <w:pPr>
              <w:rPr>
                <w:rFonts w:ascii="Arial" w:eastAsia="Times New Roman" w:hAnsi="Arial" w:cs="Arial"/>
                <w:sz w:val="24"/>
                <w:szCs w:val="24"/>
              </w:rPr>
            </w:pPr>
          </w:p>
        </w:tc>
        <w:tc>
          <w:tcPr>
            <w:tcW w:w="2186" w:type="dxa"/>
            <w:tcBorders>
              <w:bottom w:val="single" w:sz="4" w:space="0" w:color="auto"/>
            </w:tcBorders>
            <w:shd w:val="clear" w:color="auto" w:fill="66CCFF"/>
          </w:tcPr>
          <w:p w14:paraId="3D11266E" w14:textId="77777777" w:rsidR="002641D2" w:rsidRPr="00FA3F9C" w:rsidRDefault="002641D2" w:rsidP="00B82024">
            <w:pPr>
              <w:rPr>
                <w:rFonts w:ascii="Arial" w:eastAsia="Times New Roman" w:hAnsi="Arial" w:cs="Arial"/>
                <w:sz w:val="24"/>
                <w:szCs w:val="24"/>
              </w:rPr>
            </w:pPr>
          </w:p>
        </w:tc>
        <w:tc>
          <w:tcPr>
            <w:tcW w:w="725" w:type="dxa"/>
            <w:tcBorders>
              <w:bottom w:val="single" w:sz="4" w:space="0" w:color="auto"/>
            </w:tcBorders>
            <w:shd w:val="clear" w:color="auto" w:fill="66CCFF"/>
          </w:tcPr>
          <w:p w14:paraId="55FC1E1B" w14:textId="77777777" w:rsidR="002641D2" w:rsidRPr="00FA3F9C" w:rsidRDefault="002641D2" w:rsidP="003026F9">
            <w:pPr>
              <w:rPr>
                <w:rFonts w:ascii="Arial" w:eastAsia="Times New Roman" w:hAnsi="Arial" w:cs="Arial"/>
                <w:color w:val="000000"/>
                <w:sz w:val="24"/>
                <w:szCs w:val="24"/>
              </w:rPr>
            </w:pPr>
          </w:p>
        </w:tc>
        <w:tc>
          <w:tcPr>
            <w:tcW w:w="959" w:type="dxa"/>
            <w:tcBorders>
              <w:bottom w:val="single" w:sz="4" w:space="0" w:color="auto"/>
            </w:tcBorders>
            <w:shd w:val="clear" w:color="auto" w:fill="66CCFF"/>
          </w:tcPr>
          <w:p w14:paraId="441BCAF9" w14:textId="77777777" w:rsidR="002641D2" w:rsidRPr="00FA3F9C" w:rsidRDefault="002641D2" w:rsidP="00AE1453">
            <w:pPr>
              <w:rPr>
                <w:rFonts w:ascii="Arial" w:eastAsia="Times New Roman" w:hAnsi="Arial" w:cs="Arial"/>
                <w:sz w:val="24"/>
                <w:szCs w:val="24"/>
              </w:rPr>
            </w:pPr>
          </w:p>
        </w:tc>
      </w:tr>
      <w:tr w:rsidR="002641D2" w:rsidRPr="00FA3F9C" w14:paraId="20832474" w14:textId="77777777" w:rsidTr="008310B0">
        <w:trPr>
          <w:jc w:val="center"/>
        </w:trPr>
        <w:tc>
          <w:tcPr>
            <w:tcW w:w="2425" w:type="dxa"/>
            <w:tcBorders>
              <w:bottom w:val="single" w:sz="4" w:space="0" w:color="auto"/>
            </w:tcBorders>
            <w:shd w:val="clear" w:color="auto" w:fill="000000" w:themeFill="text1"/>
          </w:tcPr>
          <w:p w14:paraId="23614732" w14:textId="77777777" w:rsidR="002641D2" w:rsidRPr="00FA3F9C" w:rsidRDefault="002641D2" w:rsidP="003026F9">
            <w:pPr>
              <w:rPr>
                <w:rFonts w:ascii="Arial" w:eastAsia="Times New Roman" w:hAnsi="Arial" w:cs="Arial"/>
                <w:iCs/>
                <w:color w:val="FFFFFF" w:themeColor="background1"/>
                <w:sz w:val="24"/>
                <w:szCs w:val="24"/>
              </w:rPr>
            </w:pPr>
            <w:r w:rsidRPr="00FA3F9C">
              <w:rPr>
                <w:rFonts w:ascii="Arial" w:eastAsia="Times New Roman" w:hAnsi="Arial" w:cs="Arial"/>
                <w:iCs/>
                <w:color w:val="FFFFFF" w:themeColor="background1"/>
                <w:sz w:val="24"/>
                <w:szCs w:val="24"/>
              </w:rPr>
              <w:t>Longer lasting products</w:t>
            </w:r>
          </w:p>
        </w:tc>
        <w:tc>
          <w:tcPr>
            <w:tcW w:w="2737" w:type="dxa"/>
            <w:tcBorders>
              <w:bottom w:val="single" w:sz="4" w:space="0" w:color="auto"/>
            </w:tcBorders>
            <w:shd w:val="clear" w:color="auto" w:fill="000000" w:themeFill="text1"/>
          </w:tcPr>
          <w:p w14:paraId="65F51404" w14:textId="77777777" w:rsidR="002641D2" w:rsidRPr="00FA3F9C" w:rsidRDefault="002641D2" w:rsidP="003026F9">
            <w:pPr>
              <w:rPr>
                <w:rFonts w:ascii="Arial" w:eastAsia="Times New Roman" w:hAnsi="Arial" w:cs="Arial"/>
                <w:color w:val="FFFFFF" w:themeColor="background1"/>
                <w:sz w:val="24"/>
                <w:szCs w:val="24"/>
              </w:rPr>
            </w:pPr>
          </w:p>
        </w:tc>
        <w:tc>
          <w:tcPr>
            <w:tcW w:w="236" w:type="dxa"/>
            <w:tcBorders>
              <w:bottom w:val="single" w:sz="4" w:space="0" w:color="auto"/>
            </w:tcBorders>
            <w:shd w:val="clear" w:color="auto" w:fill="000000" w:themeFill="text1"/>
          </w:tcPr>
          <w:p w14:paraId="060DC8E7" w14:textId="77777777" w:rsidR="002641D2" w:rsidRPr="00FA3F9C" w:rsidRDefault="002641D2" w:rsidP="003026F9">
            <w:pPr>
              <w:rPr>
                <w:rFonts w:ascii="Arial" w:eastAsia="Times New Roman" w:hAnsi="Arial" w:cs="Arial"/>
                <w:sz w:val="24"/>
                <w:szCs w:val="24"/>
              </w:rPr>
            </w:pPr>
          </w:p>
        </w:tc>
        <w:tc>
          <w:tcPr>
            <w:tcW w:w="4227" w:type="dxa"/>
            <w:tcBorders>
              <w:bottom w:val="single" w:sz="4" w:space="0" w:color="auto"/>
            </w:tcBorders>
            <w:shd w:val="clear" w:color="auto" w:fill="000000" w:themeFill="text1"/>
          </w:tcPr>
          <w:p w14:paraId="59E10B86" w14:textId="77777777" w:rsidR="002641D2" w:rsidRPr="00FA3F9C" w:rsidRDefault="002641D2" w:rsidP="003026F9">
            <w:pPr>
              <w:rPr>
                <w:rFonts w:ascii="Arial" w:eastAsia="Times New Roman" w:hAnsi="Arial" w:cs="Arial"/>
                <w:sz w:val="24"/>
                <w:szCs w:val="24"/>
              </w:rPr>
            </w:pPr>
          </w:p>
        </w:tc>
        <w:tc>
          <w:tcPr>
            <w:tcW w:w="2186" w:type="dxa"/>
            <w:tcBorders>
              <w:bottom w:val="single" w:sz="4" w:space="0" w:color="auto"/>
            </w:tcBorders>
            <w:shd w:val="clear" w:color="auto" w:fill="000000" w:themeFill="text1"/>
          </w:tcPr>
          <w:p w14:paraId="29840A11" w14:textId="77777777" w:rsidR="002641D2" w:rsidRPr="00FA3F9C" w:rsidRDefault="002641D2" w:rsidP="00B82024">
            <w:pPr>
              <w:rPr>
                <w:rFonts w:ascii="Arial" w:eastAsia="Times New Roman" w:hAnsi="Arial" w:cs="Arial"/>
                <w:sz w:val="24"/>
                <w:szCs w:val="24"/>
              </w:rPr>
            </w:pPr>
          </w:p>
        </w:tc>
        <w:tc>
          <w:tcPr>
            <w:tcW w:w="725" w:type="dxa"/>
            <w:tcBorders>
              <w:bottom w:val="single" w:sz="4" w:space="0" w:color="auto"/>
            </w:tcBorders>
            <w:shd w:val="clear" w:color="auto" w:fill="000000" w:themeFill="text1"/>
          </w:tcPr>
          <w:p w14:paraId="498307B7" w14:textId="77777777" w:rsidR="002641D2" w:rsidRPr="00FA3F9C" w:rsidRDefault="002641D2" w:rsidP="003026F9">
            <w:pPr>
              <w:rPr>
                <w:rFonts w:ascii="Arial" w:eastAsia="Times New Roman" w:hAnsi="Arial" w:cs="Arial"/>
                <w:color w:val="000000"/>
                <w:sz w:val="24"/>
                <w:szCs w:val="24"/>
              </w:rPr>
            </w:pPr>
          </w:p>
        </w:tc>
        <w:tc>
          <w:tcPr>
            <w:tcW w:w="959" w:type="dxa"/>
            <w:tcBorders>
              <w:bottom w:val="single" w:sz="4" w:space="0" w:color="auto"/>
            </w:tcBorders>
            <w:shd w:val="clear" w:color="auto" w:fill="000000" w:themeFill="text1"/>
          </w:tcPr>
          <w:p w14:paraId="42CBD3A4" w14:textId="77777777" w:rsidR="002641D2" w:rsidRPr="00FA3F9C" w:rsidRDefault="002641D2" w:rsidP="00AE1453">
            <w:pPr>
              <w:rPr>
                <w:rFonts w:ascii="Arial" w:eastAsia="Times New Roman" w:hAnsi="Arial" w:cs="Arial"/>
                <w:sz w:val="24"/>
                <w:szCs w:val="24"/>
              </w:rPr>
            </w:pPr>
          </w:p>
        </w:tc>
      </w:tr>
      <w:tr w:rsidR="002641D2" w:rsidRPr="00FA3F9C" w14:paraId="66759A2D" w14:textId="77777777" w:rsidTr="008310B0">
        <w:trPr>
          <w:jc w:val="center"/>
        </w:trPr>
        <w:tc>
          <w:tcPr>
            <w:tcW w:w="2425" w:type="dxa"/>
            <w:tcBorders>
              <w:bottom w:val="single" w:sz="4" w:space="0" w:color="auto"/>
            </w:tcBorders>
            <w:shd w:val="clear" w:color="auto" w:fill="FFC000"/>
          </w:tcPr>
          <w:p w14:paraId="621A42DE" w14:textId="77777777" w:rsidR="002641D2" w:rsidRPr="00FA3F9C" w:rsidRDefault="002641D2" w:rsidP="003026F9">
            <w:pPr>
              <w:rPr>
                <w:rFonts w:ascii="Arial" w:eastAsia="Times New Roman" w:hAnsi="Arial" w:cs="Arial"/>
                <w:iCs/>
                <w:color w:val="000000"/>
                <w:sz w:val="24"/>
                <w:szCs w:val="24"/>
              </w:rPr>
            </w:pPr>
            <w:r w:rsidRPr="00FA3F9C">
              <w:rPr>
                <w:rFonts w:ascii="Arial" w:eastAsia="Times New Roman" w:hAnsi="Arial" w:cs="Arial"/>
                <w:iCs/>
                <w:color w:val="000000"/>
                <w:sz w:val="24"/>
                <w:szCs w:val="24"/>
              </w:rPr>
              <w:t>Eloctate (see below)</w:t>
            </w:r>
          </w:p>
          <w:p w14:paraId="2484187D" w14:textId="77777777" w:rsidR="002641D2" w:rsidRPr="00FA3F9C" w:rsidRDefault="002641D2" w:rsidP="003026F9">
            <w:pPr>
              <w:rPr>
                <w:rFonts w:ascii="Arial" w:eastAsia="Times New Roman" w:hAnsi="Arial" w:cs="Arial"/>
                <w:iCs/>
                <w:color w:val="000000"/>
                <w:sz w:val="24"/>
                <w:szCs w:val="24"/>
              </w:rPr>
            </w:pPr>
            <w:r w:rsidRPr="00FA3F9C">
              <w:rPr>
                <w:rFonts w:ascii="Arial" w:eastAsia="Times New Roman" w:hAnsi="Arial" w:cs="Arial"/>
                <w:iCs/>
                <w:color w:val="000000"/>
                <w:sz w:val="24"/>
                <w:szCs w:val="24"/>
              </w:rPr>
              <w:lastRenderedPageBreak/>
              <w:t>Recombinant; Fc fusion</w:t>
            </w:r>
          </w:p>
        </w:tc>
        <w:tc>
          <w:tcPr>
            <w:tcW w:w="2737" w:type="dxa"/>
            <w:tcBorders>
              <w:bottom w:val="single" w:sz="4" w:space="0" w:color="auto"/>
            </w:tcBorders>
            <w:shd w:val="clear" w:color="auto" w:fill="FFC000"/>
          </w:tcPr>
          <w:p w14:paraId="7AAC4514" w14:textId="77777777" w:rsidR="002641D2" w:rsidRPr="00FA3F9C" w:rsidRDefault="002641D2" w:rsidP="003026F9">
            <w:pPr>
              <w:rPr>
                <w:rFonts w:ascii="Arial" w:eastAsia="Times New Roman" w:hAnsi="Arial" w:cs="Arial"/>
                <w:color w:val="000000"/>
                <w:sz w:val="24"/>
                <w:szCs w:val="24"/>
              </w:rPr>
            </w:pPr>
          </w:p>
        </w:tc>
        <w:tc>
          <w:tcPr>
            <w:tcW w:w="236" w:type="dxa"/>
            <w:tcBorders>
              <w:bottom w:val="single" w:sz="4" w:space="0" w:color="auto"/>
            </w:tcBorders>
            <w:shd w:val="clear" w:color="auto" w:fill="FFC000"/>
          </w:tcPr>
          <w:p w14:paraId="3DE31005" w14:textId="77777777" w:rsidR="002641D2" w:rsidRPr="00FA3F9C" w:rsidRDefault="002641D2" w:rsidP="003026F9">
            <w:pPr>
              <w:rPr>
                <w:rFonts w:ascii="Arial" w:eastAsia="Times New Roman" w:hAnsi="Arial" w:cs="Arial"/>
                <w:sz w:val="24"/>
                <w:szCs w:val="24"/>
              </w:rPr>
            </w:pPr>
          </w:p>
        </w:tc>
        <w:tc>
          <w:tcPr>
            <w:tcW w:w="4227" w:type="dxa"/>
            <w:tcBorders>
              <w:bottom w:val="single" w:sz="4" w:space="0" w:color="auto"/>
            </w:tcBorders>
            <w:shd w:val="clear" w:color="auto" w:fill="FFC000"/>
          </w:tcPr>
          <w:p w14:paraId="4AEA5E1E" w14:textId="77777777" w:rsidR="002641D2" w:rsidRPr="00FA3F9C" w:rsidRDefault="002641D2" w:rsidP="003026F9">
            <w:pPr>
              <w:rPr>
                <w:rFonts w:ascii="Arial" w:eastAsia="Times New Roman" w:hAnsi="Arial" w:cs="Arial"/>
                <w:sz w:val="24"/>
                <w:szCs w:val="24"/>
              </w:rPr>
            </w:pPr>
          </w:p>
        </w:tc>
        <w:tc>
          <w:tcPr>
            <w:tcW w:w="2186" w:type="dxa"/>
            <w:tcBorders>
              <w:bottom w:val="single" w:sz="4" w:space="0" w:color="auto"/>
            </w:tcBorders>
            <w:shd w:val="clear" w:color="auto" w:fill="FFC000"/>
          </w:tcPr>
          <w:p w14:paraId="1C29779F" w14:textId="77777777" w:rsidR="002641D2" w:rsidRPr="00FA3F9C" w:rsidRDefault="002641D2" w:rsidP="00B82024">
            <w:pPr>
              <w:rPr>
                <w:rFonts w:ascii="Arial" w:eastAsia="Times New Roman" w:hAnsi="Arial" w:cs="Arial"/>
                <w:sz w:val="24"/>
                <w:szCs w:val="24"/>
              </w:rPr>
            </w:pPr>
          </w:p>
        </w:tc>
        <w:tc>
          <w:tcPr>
            <w:tcW w:w="725" w:type="dxa"/>
            <w:tcBorders>
              <w:bottom w:val="single" w:sz="4" w:space="0" w:color="auto"/>
            </w:tcBorders>
            <w:shd w:val="clear" w:color="auto" w:fill="FFC000"/>
          </w:tcPr>
          <w:p w14:paraId="7DDED69D" w14:textId="77777777" w:rsidR="002641D2" w:rsidRPr="00FA3F9C" w:rsidRDefault="002641D2" w:rsidP="003026F9">
            <w:pPr>
              <w:rPr>
                <w:rFonts w:ascii="Arial" w:eastAsia="Times New Roman" w:hAnsi="Arial" w:cs="Arial"/>
                <w:color w:val="000000"/>
                <w:sz w:val="24"/>
                <w:szCs w:val="24"/>
              </w:rPr>
            </w:pPr>
          </w:p>
        </w:tc>
        <w:tc>
          <w:tcPr>
            <w:tcW w:w="959" w:type="dxa"/>
            <w:tcBorders>
              <w:bottom w:val="single" w:sz="4" w:space="0" w:color="auto"/>
            </w:tcBorders>
            <w:shd w:val="clear" w:color="auto" w:fill="FFC000"/>
          </w:tcPr>
          <w:p w14:paraId="68DC4CA7" w14:textId="77777777" w:rsidR="002641D2" w:rsidRPr="00FA3F9C" w:rsidRDefault="002641D2" w:rsidP="00AE1453">
            <w:pPr>
              <w:rPr>
                <w:rFonts w:ascii="Arial" w:eastAsia="Times New Roman" w:hAnsi="Arial" w:cs="Arial"/>
                <w:sz w:val="24"/>
                <w:szCs w:val="24"/>
              </w:rPr>
            </w:pPr>
          </w:p>
        </w:tc>
      </w:tr>
      <w:tr w:rsidR="002641D2" w:rsidRPr="00FA3F9C" w14:paraId="232073C9" w14:textId="77777777" w:rsidTr="008310B0">
        <w:trPr>
          <w:jc w:val="center"/>
        </w:trPr>
        <w:tc>
          <w:tcPr>
            <w:tcW w:w="2425" w:type="dxa"/>
            <w:tcBorders>
              <w:bottom w:val="single" w:sz="4" w:space="0" w:color="auto"/>
            </w:tcBorders>
            <w:shd w:val="clear" w:color="auto" w:fill="FFC000"/>
          </w:tcPr>
          <w:p w14:paraId="48A8A5AF" w14:textId="77777777" w:rsidR="002641D2" w:rsidRPr="00FA3F9C" w:rsidRDefault="002641D2" w:rsidP="003026F9">
            <w:pPr>
              <w:rPr>
                <w:rFonts w:ascii="Arial" w:eastAsia="Times New Roman" w:hAnsi="Arial" w:cs="Arial"/>
                <w:iCs/>
                <w:color w:val="000000"/>
                <w:sz w:val="24"/>
                <w:szCs w:val="24"/>
              </w:rPr>
            </w:pPr>
            <w:proofErr w:type="spellStart"/>
            <w:r w:rsidRPr="00FA3F9C">
              <w:rPr>
                <w:rFonts w:ascii="Arial" w:eastAsia="Times New Roman" w:hAnsi="Arial" w:cs="Arial"/>
                <w:iCs/>
                <w:color w:val="000000"/>
                <w:sz w:val="24"/>
                <w:szCs w:val="24"/>
              </w:rPr>
              <w:t>Afstyla</w:t>
            </w:r>
            <w:proofErr w:type="spellEnd"/>
          </w:p>
          <w:p w14:paraId="08E915A7" w14:textId="77777777" w:rsidR="002641D2" w:rsidRPr="00FA3F9C" w:rsidRDefault="002641D2" w:rsidP="003026F9">
            <w:pPr>
              <w:rPr>
                <w:rFonts w:ascii="Arial" w:eastAsia="Times New Roman" w:hAnsi="Arial" w:cs="Arial"/>
                <w:iCs/>
                <w:color w:val="000000"/>
                <w:sz w:val="24"/>
                <w:szCs w:val="24"/>
              </w:rPr>
            </w:pPr>
            <w:r w:rsidRPr="00FA3F9C">
              <w:rPr>
                <w:rFonts w:ascii="Arial" w:eastAsia="Times New Roman" w:hAnsi="Arial" w:cs="Arial"/>
                <w:iCs/>
                <w:color w:val="000000"/>
                <w:sz w:val="24"/>
                <w:szCs w:val="24"/>
              </w:rPr>
              <w:t>Recombinant; single chain</w:t>
            </w:r>
          </w:p>
        </w:tc>
        <w:tc>
          <w:tcPr>
            <w:tcW w:w="2737" w:type="dxa"/>
            <w:tcBorders>
              <w:bottom w:val="single" w:sz="4" w:space="0" w:color="auto"/>
            </w:tcBorders>
            <w:shd w:val="clear" w:color="auto" w:fill="FFC000"/>
          </w:tcPr>
          <w:p w14:paraId="70F04A6F" w14:textId="77777777" w:rsidR="002641D2" w:rsidRPr="00FA3F9C" w:rsidRDefault="002641D2" w:rsidP="003026F9">
            <w:pPr>
              <w:rPr>
                <w:rFonts w:ascii="Arial" w:eastAsia="Times New Roman" w:hAnsi="Arial" w:cs="Arial"/>
                <w:color w:val="000000"/>
                <w:sz w:val="24"/>
                <w:szCs w:val="24"/>
              </w:rPr>
            </w:pPr>
          </w:p>
        </w:tc>
        <w:tc>
          <w:tcPr>
            <w:tcW w:w="236" w:type="dxa"/>
            <w:tcBorders>
              <w:bottom w:val="single" w:sz="4" w:space="0" w:color="auto"/>
            </w:tcBorders>
            <w:shd w:val="clear" w:color="auto" w:fill="FFC000"/>
          </w:tcPr>
          <w:p w14:paraId="4D6468F4" w14:textId="77777777" w:rsidR="002641D2" w:rsidRPr="00FA3F9C" w:rsidRDefault="002641D2" w:rsidP="003026F9">
            <w:pPr>
              <w:rPr>
                <w:rFonts w:ascii="Arial" w:eastAsia="Times New Roman" w:hAnsi="Arial" w:cs="Arial"/>
                <w:sz w:val="24"/>
                <w:szCs w:val="24"/>
              </w:rPr>
            </w:pPr>
          </w:p>
        </w:tc>
        <w:tc>
          <w:tcPr>
            <w:tcW w:w="4227" w:type="dxa"/>
            <w:tcBorders>
              <w:bottom w:val="single" w:sz="4" w:space="0" w:color="auto"/>
            </w:tcBorders>
            <w:shd w:val="clear" w:color="auto" w:fill="FFC000"/>
          </w:tcPr>
          <w:p w14:paraId="201B3062" w14:textId="77777777" w:rsidR="002641D2" w:rsidRPr="00FA3F9C" w:rsidRDefault="002641D2" w:rsidP="003026F9">
            <w:pPr>
              <w:rPr>
                <w:rFonts w:ascii="Arial" w:eastAsia="Times New Roman" w:hAnsi="Arial" w:cs="Arial"/>
                <w:sz w:val="24"/>
                <w:szCs w:val="24"/>
              </w:rPr>
            </w:pPr>
          </w:p>
        </w:tc>
        <w:tc>
          <w:tcPr>
            <w:tcW w:w="2186" w:type="dxa"/>
            <w:tcBorders>
              <w:bottom w:val="single" w:sz="4" w:space="0" w:color="auto"/>
            </w:tcBorders>
            <w:shd w:val="clear" w:color="auto" w:fill="FFC000"/>
          </w:tcPr>
          <w:p w14:paraId="4E1BEDFA" w14:textId="77777777" w:rsidR="002641D2" w:rsidRPr="00FA3F9C" w:rsidRDefault="002641D2" w:rsidP="00B82024">
            <w:pPr>
              <w:rPr>
                <w:rFonts w:ascii="Arial" w:eastAsia="Times New Roman" w:hAnsi="Arial" w:cs="Arial"/>
                <w:sz w:val="24"/>
                <w:szCs w:val="24"/>
              </w:rPr>
            </w:pPr>
          </w:p>
        </w:tc>
        <w:tc>
          <w:tcPr>
            <w:tcW w:w="725" w:type="dxa"/>
            <w:tcBorders>
              <w:bottom w:val="single" w:sz="4" w:space="0" w:color="auto"/>
            </w:tcBorders>
            <w:shd w:val="clear" w:color="auto" w:fill="FFC000"/>
          </w:tcPr>
          <w:p w14:paraId="20856983" w14:textId="77777777" w:rsidR="002641D2" w:rsidRPr="00FA3F9C" w:rsidRDefault="002641D2" w:rsidP="003026F9">
            <w:pPr>
              <w:rPr>
                <w:rFonts w:ascii="Arial" w:eastAsia="Times New Roman" w:hAnsi="Arial" w:cs="Arial"/>
                <w:color w:val="000000"/>
                <w:sz w:val="24"/>
                <w:szCs w:val="24"/>
              </w:rPr>
            </w:pPr>
          </w:p>
        </w:tc>
        <w:tc>
          <w:tcPr>
            <w:tcW w:w="959" w:type="dxa"/>
            <w:tcBorders>
              <w:bottom w:val="single" w:sz="4" w:space="0" w:color="auto"/>
            </w:tcBorders>
            <w:shd w:val="clear" w:color="auto" w:fill="FFC000"/>
          </w:tcPr>
          <w:p w14:paraId="392D8A53" w14:textId="77777777" w:rsidR="002641D2" w:rsidRPr="00FA3F9C" w:rsidRDefault="002641D2" w:rsidP="00AE1453">
            <w:pPr>
              <w:rPr>
                <w:rFonts w:ascii="Arial" w:eastAsia="Times New Roman" w:hAnsi="Arial" w:cs="Arial"/>
                <w:sz w:val="24"/>
                <w:szCs w:val="24"/>
              </w:rPr>
            </w:pPr>
          </w:p>
        </w:tc>
      </w:tr>
      <w:tr w:rsidR="002641D2" w:rsidRPr="00FA3F9C" w14:paraId="45103AE7" w14:textId="77777777" w:rsidTr="008310B0">
        <w:trPr>
          <w:jc w:val="center"/>
        </w:trPr>
        <w:tc>
          <w:tcPr>
            <w:tcW w:w="2425" w:type="dxa"/>
            <w:tcBorders>
              <w:bottom w:val="single" w:sz="4" w:space="0" w:color="auto"/>
            </w:tcBorders>
            <w:shd w:val="clear" w:color="auto" w:fill="FFC000"/>
          </w:tcPr>
          <w:p w14:paraId="2F06B37F" w14:textId="77777777" w:rsidR="002641D2" w:rsidRPr="00FA3F9C" w:rsidRDefault="002641D2" w:rsidP="003026F9">
            <w:pPr>
              <w:rPr>
                <w:rFonts w:ascii="Arial" w:eastAsia="Times New Roman" w:hAnsi="Arial" w:cs="Arial"/>
                <w:iCs/>
                <w:color w:val="000000"/>
                <w:sz w:val="24"/>
                <w:szCs w:val="24"/>
              </w:rPr>
            </w:pPr>
            <w:proofErr w:type="spellStart"/>
            <w:r w:rsidRPr="00FA3F9C">
              <w:rPr>
                <w:rFonts w:ascii="Arial" w:eastAsia="Times New Roman" w:hAnsi="Arial" w:cs="Arial"/>
                <w:iCs/>
                <w:color w:val="000000"/>
                <w:sz w:val="24"/>
                <w:szCs w:val="24"/>
              </w:rPr>
              <w:t>Adynovate</w:t>
            </w:r>
            <w:proofErr w:type="spellEnd"/>
          </w:p>
          <w:p w14:paraId="2F20E1EF" w14:textId="77777777" w:rsidR="002641D2" w:rsidRPr="00FA3F9C" w:rsidRDefault="002641D2" w:rsidP="003026F9">
            <w:pPr>
              <w:rPr>
                <w:rFonts w:ascii="Arial" w:eastAsia="Times New Roman" w:hAnsi="Arial" w:cs="Arial"/>
                <w:iCs/>
                <w:color w:val="000000"/>
                <w:sz w:val="24"/>
                <w:szCs w:val="24"/>
              </w:rPr>
            </w:pPr>
            <w:r w:rsidRPr="00FA3F9C">
              <w:rPr>
                <w:rFonts w:ascii="Arial" w:eastAsia="Times New Roman" w:hAnsi="Arial" w:cs="Arial"/>
                <w:iCs/>
                <w:color w:val="000000"/>
                <w:sz w:val="24"/>
                <w:szCs w:val="24"/>
              </w:rPr>
              <w:t>Recombinant’ PEGylated</w:t>
            </w:r>
          </w:p>
        </w:tc>
        <w:tc>
          <w:tcPr>
            <w:tcW w:w="2737" w:type="dxa"/>
            <w:tcBorders>
              <w:bottom w:val="single" w:sz="4" w:space="0" w:color="auto"/>
            </w:tcBorders>
            <w:shd w:val="clear" w:color="auto" w:fill="FFC000"/>
          </w:tcPr>
          <w:p w14:paraId="1B885CA7" w14:textId="77777777" w:rsidR="002641D2" w:rsidRPr="00FA3F9C" w:rsidRDefault="002641D2" w:rsidP="003026F9">
            <w:pPr>
              <w:rPr>
                <w:rFonts w:ascii="Arial" w:eastAsia="Times New Roman" w:hAnsi="Arial" w:cs="Arial"/>
                <w:color w:val="000000"/>
                <w:sz w:val="24"/>
                <w:szCs w:val="24"/>
              </w:rPr>
            </w:pPr>
          </w:p>
        </w:tc>
        <w:tc>
          <w:tcPr>
            <w:tcW w:w="236" w:type="dxa"/>
            <w:tcBorders>
              <w:bottom w:val="single" w:sz="4" w:space="0" w:color="auto"/>
            </w:tcBorders>
            <w:shd w:val="clear" w:color="auto" w:fill="FFC000"/>
          </w:tcPr>
          <w:p w14:paraId="59572970" w14:textId="77777777" w:rsidR="002641D2" w:rsidRPr="00FA3F9C" w:rsidRDefault="002641D2" w:rsidP="003026F9">
            <w:pPr>
              <w:rPr>
                <w:rFonts w:ascii="Arial" w:eastAsia="Times New Roman" w:hAnsi="Arial" w:cs="Arial"/>
                <w:sz w:val="24"/>
                <w:szCs w:val="24"/>
              </w:rPr>
            </w:pPr>
          </w:p>
        </w:tc>
        <w:tc>
          <w:tcPr>
            <w:tcW w:w="4227" w:type="dxa"/>
            <w:tcBorders>
              <w:bottom w:val="single" w:sz="4" w:space="0" w:color="auto"/>
            </w:tcBorders>
            <w:shd w:val="clear" w:color="auto" w:fill="FFC000"/>
          </w:tcPr>
          <w:p w14:paraId="7FDDA56B" w14:textId="77777777" w:rsidR="002641D2" w:rsidRPr="00FA3F9C" w:rsidRDefault="002641D2" w:rsidP="003026F9">
            <w:pPr>
              <w:rPr>
                <w:rFonts w:ascii="Arial" w:eastAsia="Times New Roman" w:hAnsi="Arial" w:cs="Arial"/>
                <w:sz w:val="24"/>
                <w:szCs w:val="24"/>
              </w:rPr>
            </w:pPr>
          </w:p>
        </w:tc>
        <w:tc>
          <w:tcPr>
            <w:tcW w:w="2186" w:type="dxa"/>
            <w:tcBorders>
              <w:bottom w:val="single" w:sz="4" w:space="0" w:color="auto"/>
            </w:tcBorders>
            <w:shd w:val="clear" w:color="auto" w:fill="FFC000"/>
          </w:tcPr>
          <w:p w14:paraId="7520041C" w14:textId="77777777" w:rsidR="002641D2" w:rsidRPr="00FA3F9C" w:rsidRDefault="002641D2" w:rsidP="00B82024">
            <w:pPr>
              <w:rPr>
                <w:rFonts w:ascii="Arial" w:eastAsia="Times New Roman" w:hAnsi="Arial" w:cs="Arial"/>
                <w:sz w:val="24"/>
                <w:szCs w:val="24"/>
              </w:rPr>
            </w:pPr>
          </w:p>
        </w:tc>
        <w:tc>
          <w:tcPr>
            <w:tcW w:w="725" w:type="dxa"/>
            <w:tcBorders>
              <w:bottom w:val="single" w:sz="4" w:space="0" w:color="auto"/>
            </w:tcBorders>
            <w:shd w:val="clear" w:color="auto" w:fill="FFC000"/>
          </w:tcPr>
          <w:p w14:paraId="684AAB51" w14:textId="77777777" w:rsidR="002641D2" w:rsidRPr="00FA3F9C" w:rsidRDefault="002641D2" w:rsidP="003026F9">
            <w:pPr>
              <w:rPr>
                <w:rFonts w:ascii="Arial" w:eastAsia="Times New Roman" w:hAnsi="Arial" w:cs="Arial"/>
                <w:color w:val="000000"/>
                <w:sz w:val="24"/>
                <w:szCs w:val="24"/>
              </w:rPr>
            </w:pPr>
          </w:p>
        </w:tc>
        <w:tc>
          <w:tcPr>
            <w:tcW w:w="959" w:type="dxa"/>
            <w:tcBorders>
              <w:bottom w:val="single" w:sz="4" w:space="0" w:color="auto"/>
            </w:tcBorders>
            <w:shd w:val="clear" w:color="auto" w:fill="FFC000"/>
          </w:tcPr>
          <w:p w14:paraId="139B3A17" w14:textId="77777777" w:rsidR="002641D2" w:rsidRPr="00FA3F9C" w:rsidRDefault="002641D2" w:rsidP="00AE1453">
            <w:pPr>
              <w:rPr>
                <w:rFonts w:ascii="Arial" w:eastAsia="Times New Roman" w:hAnsi="Arial" w:cs="Arial"/>
                <w:sz w:val="24"/>
                <w:szCs w:val="24"/>
              </w:rPr>
            </w:pPr>
          </w:p>
        </w:tc>
      </w:tr>
      <w:tr w:rsidR="002641D2" w:rsidRPr="00FA3F9C" w14:paraId="72C5B5DB" w14:textId="77777777" w:rsidTr="008310B0">
        <w:trPr>
          <w:jc w:val="center"/>
        </w:trPr>
        <w:tc>
          <w:tcPr>
            <w:tcW w:w="2425" w:type="dxa"/>
            <w:tcBorders>
              <w:bottom w:val="single" w:sz="4" w:space="0" w:color="auto"/>
            </w:tcBorders>
            <w:shd w:val="clear" w:color="auto" w:fill="FFC000"/>
          </w:tcPr>
          <w:p w14:paraId="1AB092C0" w14:textId="77777777" w:rsidR="002641D2" w:rsidRPr="00FA3F9C" w:rsidRDefault="002641D2" w:rsidP="003026F9">
            <w:pPr>
              <w:rPr>
                <w:rFonts w:ascii="Arial" w:eastAsia="Times New Roman" w:hAnsi="Arial" w:cs="Arial"/>
                <w:iCs/>
                <w:color w:val="000000"/>
                <w:sz w:val="24"/>
                <w:szCs w:val="24"/>
              </w:rPr>
            </w:pPr>
            <w:proofErr w:type="spellStart"/>
            <w:r w:rsidRPr="00FA3F9C">
              <w:rPr>
                <w:rFonts w:ascii="Arial" w:eastAsia="Times New Roman" w:hAnsi="Arial" w:cs="Arial"/>
                <w:iCs/>
                <w:color w:val="000000"/>
                <w:sz w:val="24"/>
                <w:szCs w:val="24"/>
              </w:rPr>
              <w:t>Esperoct</w:t>
            </w:r>
            <w:proofErr w:type="spellEnd"/>
          </w:p>
          <w:p w14:paraId="02FA99A2" w14:textId="77777777" w:rsidR="002641D2" w:rsidRPr="00FA3F9C" w:rsidRDefault="002641D2" w:rsidP="003026F9">
            <w:pPr>
              <w:rPr>
                <w:rFonts w:ascii="Arial" w:eastAsia="Times New Roman" w:hAnsi="Arial" w:cs="Arial"/>
                <w:iCs/>
                <w:color w:val="000000"/>
                <w:sz w:val="24"/>
                <w:szCs w:val="24"/>
              </w:rPr>
            </w:pPr>
            <w:r w:rsidRPr="00FA3F9C">
              <w:rPr>
                <w:rFonts w:ascii="Arial" w:eastAsia="Times New Roman" w:hAnsi="Arial" w:cs="Arial"/>
                <w:iCs/>
                <w:color w:val="000000"/>
                <w:sz w:val="24"/>
                <w:szCs w:val="24"/>
              </w:rPr>
              <w:t xml:space="preserve">Recombinant, </w:t>
            </w:r>
            <w:proofErr w:type="spellStart"/>
            <w:r w:rsidRPr="00FA3F9C">
              <w:rPr>
                <w:rFonts w:ascii="Arial" w:eastAsia="Times New Roman" w:hAnsi="Arial" w:cs="Arial"/>
                <w:iCs/>
                <w:color w:val="000000"/>
                <w:sz w:val="24"/>
                <w:szCs w:val="24"/>
              </w:rPr>
              <w:t>glycoPEGylated</w:t>
            </w:r>
            <w:proofErr w:type="spellEnd"/>
          </w:p>
        </w:tc>
        <w:tc>
          <w:tcPr>
            <w:tcW w:w="2737" w:type="dxa"/>
            <w:tcBorders>
              <w:bottom w:val="single" w:sz="4" w:space="0" w:color="auto"/>
            </w:tcBorders>
            <w:shd w:val="clear" w:color="auto" w:fill="FFC000"/>
          </w:tcPr>
          <w:p w14:paraId="62E49312" w14:textId="77777777" w:rsidR="002641D2" w:rsidRPr="00FA3F9C" w:rsidRDefault="002641D2" w:rsidP="003026F9">
            <w:pPr>
              <w:rPr>
                <w:rFonts w:ascii="Arial" w:eastAsia="Times New Roman" w:hAnsi="Arial" w:cs="Arial"/>
                <w:color w:val="000000"/>
                <w:sz w:val="24"/>
                <w:szCs w:val="24"/>
              </w:rPr>
            </w:pPr>
          </w:p>
        </w:tc>
        <w:tc>
          <w:tcPr>
            <w:tcW w:w="236" w:type="dxa"/>
            <w:tcBorders>
              <w:bottom w:val="single" w:sz="4" w:space="0" w:color="auto"/>
            </w:tcBorders>
            <w:shd w:val="clear" w:color="auto" w:fill="FFC000"/>
          </w:tcPr>
          <w:p w14:paraId="75EB14B8" w14:textId="77777777" w:rsidR="002641D2" w:rsidRPr="00FA3F9C" w:rsidRDefault="002641D2" w:rsidP="003026F9">
            <w:pPr>
              <w:rPr>
                <w:rFonts w:ascii="Arial" w:eastAsia="Times New Roman" w:hAnsi="Arial" w:cs="Arial"/>
                <w:sz w:val="24"/>
                <w:szCs w:val="24"/>
              </w:rPr>
            </w:pPr>
          </w:p>
        </w:tc>
        <w:tc>
          <w:tcPr>
            <w:tcW w:w="4227" w:type="dxa"/>
            <w:tcBorders>
              <w:bottom w:val="single" w:sz="4" w:space="0" w:color="auto"/>
            </w:tcBorders>
            <w:shd w:val="clear" w:color="auto" w:fill="FFC000"/>
          </w:tcPr>
          <w:p w14:paraId="5686DF5D" w14:textId="77777777" w:rsidR="002641D2" w:rsidRPr="00FA3F9C" w:rsidRDefault="002641D2" w:rsidP="003026F9">
            <w:pPr>
              <w:rPr>
                <w:rFonts w:ascii="Arial" w:eastAsia="Times New Roman" w:hAnsi="Arial" w:cs="Arial"/>
                <w:sz w:val="24"/>
                <w:szCs w:val="24"/>
              </w:rPr>
            </w:pPr>
          </w:p>
        </w:tc>
        <w:tc>
          <w:tcPr>
            <w:tcW w:w="2186" w:type="dxa"/>
            <w:tcBorders>
              <w:bottom w:val="single" w:sz="4" w:space="0" w:color="auto"/>
            </w:tcBorders>
            <w:shd w:val="clear" w:color="auto" w:fill="FFC000"/>
          </w:tcPr>
          <w:p w14:paraId="0F33CAD4" w14:textId="77777777" w:rsidR="002641D2" w:rsidRPr="00FA3F9C" w:rsidRDefault="002641D2" w:rsidP="00B82024">
            <w:pPr>
              <w:rPr>
                <w:rFonts w:ascii="Arial" w:eastAsia="Times New Roman" w:hAnsi="Arial" w:cs="Arial"/>
                <w:sz w:val="24"/>
                <w:szCs w:val="24"/>
              </w:rPr>
            </w:pPr>
          </w:p>
        </w:tc>
        <w:tc>
          <w:tcPr>
            <w:tcW w:w="725" w:type="dxa"/>
            <w:tcBorders>
              <w:bottom w:val="single" w:sz="4" w:space="0" w:color="auto"/>
            </w:tcBorders>
            <w:shd w:val="clear" w:color="auto" w:fill="FFC000"/>
          </w:tcPr>
          <w:p w14:paraId="50F8EAE6" w14:textId="77777777" w:rsidR="002641D2" w:rsidRPr="00FA3F9C" w:rsidRDefault="002641D2" w:rsidP="003026F9">
            <w:pPr>
              <w:rPr>
                <w:rFonts w:ascii="Arial" w:eastAsia="Times New Roman" w:hAnsi="Arial" w:cs="Arial"/>
                <w:color w:val="000000"/>
                <w:sz w:val="24"/>
                <w:szCs w:val="24"/>
              </w:rPr>
            </w:pPr>
          </w:p>
        </w:tc>
        <w:tc>
          <w:tcPr>
            <w:tcW w:w="959" w:type="dxa"/>
            <w:tcBorders>
              <w:bottom w:val="single" w:sz="4" w:space="0" w:color="auto"/>
            </w:tcBorders>
            <w:shd w:val="clear" w:color="auto" w:fill="FFC000"/>
          </w:tcPr>
          <w:p w14:paraId="7858691F" w14:textId="77777777" w:rsidR="002641D2" w:rsidRPr="00FA3F9C" w:rsidRDefault="002641D2" w:rsidP="00AE1453">
            <w:pPr>
              <w:rPr>
                <w:rFonts w:ascii="Arial" w:eastAsia="Times New Roman" w:hAnsi="Arial" w:cs="Arial"/>
                <w:sz w:val="24"/>
                <w:szCs w:val="24"/>
              </w:rPr>
            </w:pPr>
          </w:p>
        </w:tc>
      </w:tr>
      <w:tr w:rsidR="002641D2" w:rsidRPr="00500371" w14:paraId="65BF9F73" w14:textId="77777777" w:rsidTr="008310B0">
        <w:trPr>
          <w:jc w:val="center"/>
        </w:trPr>
        <w:tc>
          <w:tcPr>
            <w:tcW w:w="13495" w:type="dxa"/>
            <w:gridSpan w:val="7"/>
            <w:tcBorders>
              <w:bottom w:val="single" w:sz="4" w:space="0" w:color="auto"/>
            </w:tcBorders>
            <w:shd w:val="clear" w:color="auto" w:fill="000000"/>
          </w:tcPr>
          <w:p w14:paraId="25DE8C78" w14:textId="77777777" w:rsidR="002641D2" w:rsidRPr="00FA3F9C" w:rsidRDefault="002641D2" w:rsidP="00AE1453">
            <w:pPr>
              <w:rPr>
                <w:rFonts w:ascii="Arial" w:eastAsia="Times New Roman" w:hAnsi="Arial" w:cs="Arial"/>
                <w:sz w:val="24"/>
                <w:szCs w:val="24"/>
                <w:lang w:val="fr-FR"/>
              </w:rPr>
            </w:pPr>
            <w:proofErr w:type="spellStart"/>
            <w:r w:rsidRPr="00FA3F9C">
              <w:rPr>
                <w:rFonts w:ascii="Arial" w:eastAsia="Times New Roman" w:hAnsi="Arial" w:cs="Arial"/>
                <w:iCs/>
                <w:color w:val="FFFFFF" w:themeColor="background1"/>
                <w:sz w:val="24"/>
                <w:szCs w:val="24"/>
                <w:lang w:val="fr-FR"/>
              </w:rPr>
              <w:t>Antihemophilic</w:t>
            </w:r>
            <w:proofErr w:type="spellEnd"/>
            <w:r w:rsidRPr="00FA3F9C">
              <w:rPr>
                <w:rFonts w:ascii="Arial" w:eastAsia="Times New Roman" w:hAnsi="Arial" w:cs="Arial"/>
                <w:iCs/>
                <w:color w:val="FFFFFF" w:themeColor="background1"/>
                <w:sz w:val="24"/>
                <w:szCs w:val="24"/>
                <w:lang w:val="fr-FR"/>
              </w:rPr>
              <w:t xml:space="preserve"> </w:t>
            </w:r>
            <w:proofErr w:type="spellStart"/>
            <w:r w:rsidRPr="00FA3F9C">
              <w:rPr>
                <w:rFonts w:ascii="Arial" w:eastAsia="Times New Roman" w:hAnsi="Arial" w:cs="Arial"/>
                <w:iCs/>
                <w:color w:val="FFFFFF" w:themeColor="background1"/>
                <w:sz w:val="24"/>
                <w:szCs w:val="24"/>
                <w:lang w:val="fr-FR"/>
              </w:rPr>
              <w:t>Factors</w:t>
            </w:r>
            <w:proofErr w:type="spellEnd"/>
            <w:r w:rsidRPr="00FA3F9C">
              <w:rPr>
                <w:rFonts w:ascii="Arial" w:eastAsia="Times New Roman" w:hAnsi="Arial" w:cs="Arial"/>
                <w:iCs/>
                <w:color w:val="FFFFFF" w:themeColor="background1"/>
                <w:sz w:val="24"/>
                <w:szCs w:val="24"/>
                <w:lang w:val="fr-FR"/>
              </w:rPr>
              <w:t xml:space="preserve"> (Recombinant [</w:t>
            </w:r>
            <w:proofErr w:type="spellStart"/>
            <w:r w:rsidRPr="00FA3F9C">
              <w:rPr>
                <w:rFonts w:ascii="Arial" w:eastAsia="Times New Roman" w:hAnsi="Arial" w:cs="Arial"/>
                <w:iCs/>
                <w:color w:val="FFFFFF" w:themeColor="background1"/>
                <w:sz w:val="24"/>
                <w:szCs w:val="24"/>
                <w:lang w:val="fr-FR"/>
              </w:rPr>
              <w:t>Fc</w:t>
            </w:r>
            <w:proofErr w:type="spellEnd"/>
            <w:r w:rsidRPr="00FA3F9C">
              <w:rPr>
                <w:rFonts w:ascii="Arial" w:eastAsia="Times New Roman" w:hAnsi="Arial" w:cs="Arial"/>
                <w:iCs/>
                <w:color w:val="FFFFFF" w:themeColor="background1"/>
                <w:sz w:val="24"/>
                <w:szCs w:val="24"/>
                <w:lang w:val="fr-FR"/>
              </w:rPr>
              <w:t xml:space="preserve"> Fusion </w:t>
            </w:r>
            <w:proofErr w:type="spellStart"/>
            <w:r w:rsidRPr="00FA3F9C">
              <w:rPr>
                <w:rFonts w:ascii="Arial" w:eastAsia="Times New Roman" w:hAnsi="Arial" w:cs="Arial"/>
                <w:iCs/>
                <w:color w:val="FFFFFF" w:themeColor="background1"/>
                <w:sz w:val="24"/>
                <w:szCs w:val="24"/>
                <w:lang w:val="fr-FR"/>
              </w:rPr>
              <w:t>Protein</w:t>
            </w:r>
            <w:proofErr w:type="spellEnd"/>
            <w:r w:rsidRPr="00FA3F9C">
              <w:rPr>
                <w:rFonts w:ascii="Arial" w:eastAsia="Times New Roman" w:hAnsi="Arial" w:cs="Arial"/>
                <w:iCs/>
                <w:color w:val="FFFFFF" w:themeColor="background1"/>
                <w:sz w:val="24"/>
                <w:szCs w:val="24"/>
                <w:lang w:val="fr-FR"/>
              </w:rPr>
              <w:t>])</w:t>
            </w:r>
          </w:p>
        </w:tc>
      </w:tr>
      <w:tr w:rsidR="002641D2" w:rsidRPr="00FA3F9C" w14:paraId="03C2E18B" w14:textId="77777777" w:rsidTr="008310B0">
        <w:trPr>
          <w:jc w:val="center"/>
        </w:trPr>
        <w:tc>
          <w:tcPr>
            <w:tcW w:w="2425" w:type="dxa"/>
            <w:tcBorders>
              <w:bottom w:val="single" w:sz="4" w:space="0" w:color="auto"/>
            </w:tcBorders>
            <w:shd w:val="clear" w:color="auto" w:fill="CC99FF"/>
          </w:tcPr>
          <w:p w14:paraId="0354E00A" w14:textId="77777777" w:rsidR="002641D2" w:rsidRPr="00FA3F9C" w:rsidRDefault="002641D2" w:rsidP="003026F9">
            <w:pPr>
              <w:rPr>
                <w:rFonts w:ascii="Arial" w:eastAsia="Times New Roman" w:hAnsi="Arial" w:cs="Arial"/>
                <w:sz w:val="24"/>
                <w:szCs w:val="24"/>
              </w:rPr>
            </w:pPr>
            <w:r w:rsidRPr="00FA3F9C">
              <w:rPr>
                <w:rFonts w:ascii="Arial" w:eastAsia="Times New Roman" w:hAnsi="Arial" w:cs="Arial"/>
                <w:sz w:val="24"/>
                <w:szCs w:val="24"/>
              </w:rPr>
              <w:t>Eloctate</w:t>
            </w:r>
          </w:p>
          <w:p w14:paraId="6A238A44" w14:textId="77777777" w:rsidR="002641D2" w:rsidRPr="00FA3F9C" w:rsidRDefault="002641D2" w:rsidP="003026F9">
            <w:pPr>
              <w:rPr>
                <w:rFonts w:ascii="Arial" w:eastAsia="Times New Roman" w:hAnsi="Arial" w:cs="Arial"/>
                <w:i/>
                <w:iCs/>
                <w:color w:val="000000"/>
                <w:sz w:val="24"/>
                <w:szCs w:val="24"/>
              </w:rPr>
            </w:pPr>
            <w:r w:rsidRPr="00FA3F9C">
              <w:rPr>
                <w:rFonts w:ascii="Arial" w:eastAsia="Times New Roman" w:hAnsi="Arial" w:cs="Arial"/>
                <w:sz w:val="24"/>
                <w:szCs w:val="24"/>
                <w:highlight w:val="yellow"/>
              </w:rPr>
              <w:t>(</w:t>
            </w:r>
            <w:proofErr w:type="gramStart"/>
            <w:r w:rsidRPr="00FA3F9C">
              <w:rPr>
                <w:rFonts w:ascii="Arial" w:eastAsia="Times New Roman" w:hAnsi="Arial" w:cs="Arial"/>
                <w:sz w:val="24"/>
                <w:szCs w:val="24"/>
                <w:highlight w:val="yellow"/>
              </w:rPr>
              <w:t>long</w:t>
            </w:r>
            <w:proofErr w:type="gramEnd"/>
            <w:r w:rsidRPr="00FA3F9C">
              <w:rPr>
                <w:rFonts w:ascii="Arial" w:eastAsia="Times New Roman" w:hAnsi="Arial" w:cs="Arial"/>
                <w:sz w:val="24"/>
                <w:szCs w:val="24"/>
                <w:highlight w:val="yellow"/>
              </w:rPr>
              <w:t xml:space="preserve"> acting)</w:t>
            </w:r>
          </w:p>
        </w:tc>
        <w:tc>
          <w:tcPr>
            <w:tcW w:w="2737" w:type="dxa"/>
            <w:tcBorders>
              <w:bottom w:val="single" w:sz="4" w:space="0" w:color="auto"/>
            </w:tcBorders>
            <w:shd w:val="clear" w:color="auto" w:fill="CC99FF"/>
          </w:tcPr>
          <w:p w14:paraId="707C3A1B" w14:textId="77777777" w:rsidR="002641D2" w:rsidRPr="00FA3F9C" w:rsidRDefault="002641D2" w:rsidP="003026F9">
            <w:pPr>
              <w:rPr>
                <w:rFonts w:ascii="Arial" w:eastAsia="Times New Roman" w:hAnsi="Arial" w:cs="Arial"/>
                <w:sz w:val="24"/>
                <w:szCs w:val="24"/>
              </w:rPr>
            </w:pPr>
            <w:r w:rsidRPr="00FA3F9C">
              <w:rPr>
                <w:rFonts w:ascii="Arial" w:eastAsia="Times New Roman" w:hAnsi="Arial" w:cs="Arial"/>
                <w:sz w:val="24"/>
                <w:szCs w:val="24"/>
              </w:rPr>
              <w:t>*^# hemophilia A; not for VW disease</w:t>
            </w:r>
          </w:p>
        </w:tc>
        <w:tc>
          <w:tcPr>
            <w:tcW w:w="236" w:type="dxa"/>
            <w:tcBorders>
              <w:bottom w:val="single" w:sz="4" w:space="0" w:color="auto"/>
            </w:tcBorders>
            <w:shd w:val="clear" w:color="auto" w:fill="CC99FF"/>
          </w:tcPr>
          <w:p w14:paraId="68CE01C3" w14:textId="77777777" w:rsidR="002641D2" w:rsidRPr="00FA3F9C" w:rsidRDefault="002641D2" w:rsidP="003026F9">
            <w:pPr>
              <w:rPr>
                <w:rFonts w:ascii="Arial" w:eastAsia="Times New Roman" w:hAnsi="Arial" w:cs="Arial"/>
                <w:sz w:val="24"/>
                <w:szCs w:val="24"/>
              </w:rPr>
            </w:pPr>
          </w:p>
        </w:tc>
        <w:tc>
          <w:tcPr>
            <w:tcW w:w="4227" w:type="dxa"/>
            <w:tcBorders>
              <w:bottom w:val="single" w:sz="4" w:space="0" w:color="auto"/>
            </w:tcBorders>
            <w:shd w:val="clear" w:color="auto" w:fill="CC99FF"/>
          </w:tcPr>
          <w:p w14:paraId="42267BAB" w14:textId="77777777" w:rsidR="002641D2" w:rsidRPr="00FA3F9C" w:rsidRDefault="002641D2" w:rsidP="003026F9">
            <w:pPr>
              <w:rPr>
                <w:rFonts w:ascii="Arial" w:eastAsia="Times New Roman" w:hAnsi="Arial" w:cs="Arial"/>
                <w:sz w:val="24"/>
                <w:szCs w:val="24"/>
              </w:rPr>
            </w:pPr>
            <w:r w:rsidRPr="00FA3F9C">
              <w:rPr>
                <w:rFonts w:ascii="Arial" w:eastAsia="Times New Roman" w:hAnsi="Arial" w:cs="Arial"/>
                <w:sz w:val="24"/>
                <w:szCs w:val="24"/>
              </w:rPr>
              <w:t>50 units/kg every 4 days; may adjust within the range of 25 to 65 units/kg at 3- to 5-day intervals based on patient response</w:t>
            </w:r>
          </w:p>
        </w:tc>
        <w:tc>
          <w:tcPr>
            <w:tcW w:w="2186" w:type="dxa"/>
            <w:tcBorders>
              <w:bottom w:val="single" w:sz="4" w:space="0" w:color="auto"/>
            </w:tcBorders>
            <w:shd w:val="clear" w:color="auto" w:fill="CC99FF"/>
          </w:tcPr>
          <w:p w14:paraId="59632330" w14:textId="77777777" w:rsidR="002641D2" w:rsidRPr="00FA3F9C" w:rsidRDefault="002641D2" w:rsidP="004D31C8">
            <w:pPr>
              <w:rPr>
                <w:rFonts w:ascii="Arial" w:hAnsi="Arial" w:cs="Arial"/>
                <w:color w:val="000000"/>
                <w:sz w:val="24"/>
                <w:szCs w:val="24"/>
              </w:rPr>
            </w:pPr>
            <w:r w:rsidRPr="00FA3F9C">
              <w:rPr>
                <w:rFonts w:ascii="Arial" w:hAnsi="Arial" w:cs="Arial"/>
                <w:color w:val="000000"/>
                <w:sz w:val="24"/>
                <w:szCs w:val="24"/>
              </w:rPr>
              <w:t xml:space="preserve">250 </w:t>
            </w:r>
          </w:p>
          <w:p w14:paraId="4B49E0FF" w14:textId="77777777" w:rsidR="002641D2" w:rsidRPr="00FA3F9C" w:rsidRDefault="002641D2" w:rsidP="004D31C8">
            <w:pPr>
              <w:rPr>
                <w:rFonts w:ascii="Arial" w:hAnsi="Arial" w:cs="Arial"/>
                <w:color w:val="000000"/>
                <w:sz w:val="24"/>
                <w:szCs w:val="24"/>
              </w:rPr>
            </w:pPr>
            <w:r w:rsidRPr="00FA3F9C">
              <w:rPr>
                <w:rFonts w:ascii="Arial" w:hAnsi="Arial" w:cs="Arial"/>
                <w:color w:val="000000"/>
                <w:sz w:val="24"/>
                <w:szCs w:val="24"/>
              </w:rPr>
              <w:t>500</w:t>
            </w:r>
          </w:p>
          <w:p w14:paraId="6C497A70" w14:textId="77777777" w:rsidR="002641D2" w:rsidRPr="00FA3F9C" w:rsidRDefault="002641D2" w:rsidP="004D31C8">
            <w:pPr>
              <w:rPr>
                <w:rFonts w:ascii="Arial" w:hAnsi="Arial" w:cs="Arial"/>
                <w:color w:val="000000"/>
                <w:sz w:val="24"/>
                <w:szCs w:val="24"/>
              </w:rPr>
            </w:pPr>
            <w:r w:rsidRPr="00FA3F9C">
              <w:rPr>
                <w:rFonts w:ascii="Arial" w:hAnsi="Arial" w:cs="Arial"/>
                <w:color w:val="000000"/>
                <w:sz w:val="24"/>
                <w:szCs w:val="24"/>
              </w:rPr>
              <w:t>750</w:t>
            </w:r>
          </w:p>
          <w:p w14:paraId="59EB18CA" w14:textId="77777777" w:rsidR="002641D2" w:rsidRPr="00FA3F9C" w:rsidRDefault="002641D2" w:rsidP="004D31C8">
            <w:pPr>
              <w:rPr>
                <w:rFonts w:ascii="Arial" w:hAnsi="Arial" w:cs="Arial"/>
                <w:color w:val="000000"/>
                <w:sz w:val="24"/>
                <w:szCs w:val="24"/>
              </w:rPr>
            </w:pPr>
            <w:r w:rsidRPr="00FA3F9C">
              <w:rPr>
                <w:rFonts w:ascii="Arial" w:hAnsi="Arial" w:cs="Arial"/>
                <w:color w:val="000000"/>
                <w:sz w:val="24"/>
                <w:szCs w:val="24"/>
              </w:rPr>
              <w:t>1000</w:t>
            </w:r>
          </w:p>
          <w:p w14:paraId="2B22F233" w14:textId="77777777" w:rsidR="002641D2" w:rsidRPr="00FA3F9C" w:rsidRDefault="002641D2" w:rsidP="004D31C8">
            <w:pPr>
              <w:rPr>
                <w:rFonts w:ascii="Arial" w:hAnsi="Arial" w:cs="Arial"/>
                <w:color w:val="000000"/>
                <w:sz w:val="24"/>
                <w:szCs w:val="24"/>
              </w:rPr>
            </w:pPr>
            <w:r w:rsidRPr="00FA3F9C">
              <w:rPr>
                <w:rFonts w:ascii="Arial" w:hAnsi="Arial" w:cs="Arial"/>
                <w:color w:val="000000"/>
                <w:sz w:val="24"/>
                <w:szCs w:val="24"/>
              </w:rPr>
              <w:t xml:space="preserve">1500 </w:t>
            </w:r>
          </w:p>
          <w:p w14:paraId="76B248D2" w14:textId="77777777" w:rsidR="002641D2" w:rsidRPr="00FA3F9C" w:rsidRDefault="002641D2" w:rsidP="004D31C8">
            <w:pPr>
              <w:rPr>
                <w:rFonts w:ascii="Arial" w:hAnsi="Arial" w:cs="Arial"/>
                <w:color w:val="000000"/>
                <w:sz w:val="24"/>
                <w:szCs w:val="24"/>
              </w:rPr>
            </w:pPr>
            <w:r w:rsidRPr="00FA3F9C">
              <w:rPr>
                <w:rFonts w:ascii="Arial" w:hAnsi="Arial" w:cs="Arial"/>
                <w:color w:val="000000"/>
                <w:sz w:val="24"/>
                <w:szCs w:val="24"/>
              </w:rPr>
              <w:t>2000</w:t>
            </w:r>
          </w:p>
          <w:p w14:paraId="30A08645" w14:textId="77777777" w:rsidR="002641D2" w:rsidRPr="00FA3F9C" w:rsidRDefault="002641D2" w:rsidP="007A5473">
            <w:pPr>
              <w:rPr>
                <w:rFonts w:ascii="Arial" w:eastAsia="Times New Roman" w:hAnsi="Arial" w:cs="Arial"/>
                <w:sz w:val="24"/>
                <w:szCs w:val="24"/>
              </w:rPr>
            </w:pPr>
            <w:r w:rsidRPr="00FA3F9C">
              <w:rPr>
                <w:rFonts w:ascii="Arial" w:hAnsi="Arial" w:cs="Arial"/>
                <w:color w:val="000000"/>
                <w:sz w:val="24"/>
                <w:szCs w:val="24"/>
              </w:rPr>
              <w:t>3000</w:t>
            </w:r>
          </w:p>
        </w:tc>
        <w:tc>
          <w:tcPr>
            <w:tcW w:w="725" w:type="dxa"/>
            <w:tcBorders>
              <w:bottom w:val="single" w:sz="4" w:space="0" w:color="auto"/>
            </w:tcBorders>
            <w:shd w:val="clear" w:color="auto" w:fill="CC99FF"/>
          </w:tcPr>
          <w:p w14:paraId="194BC0C9" w14:textId="77777777" w:rsidR="002641D2" w:rsidRPr="00FA3F9C" w:rsidRDefault="002641D2" w:rsidP="004D31C8">
            <w:pPr>
              <w:rPr>
                <w:rFonts w:ascii="Arial" w:eastAsia="Times New Roman" w:hAnsi="Arial" w:cs="Arial"/>
                <w:color w:val="000000"/>
                <w:sz w:val="24"/>
                <w:szCs w:val="24"/>
              </w:rPr>
            </w:pPr>
            <w:r w:rsidRPr="00FA3F9C">
              <w:rPr>
                <w:rFonts w:ascii="Arial" w:eastAsia="Times New Roman" w:hAnsi="Arial" w:cs="Arial"/>
                <w:color w:val="000000"/>
                <w:sz w:val="24"/>
                <w:szCs w:val="24"/>
              </w:rPr>
              <w:t>$2.38</w:t>
            </w:r>
          </w:p>
          <w:p w14:paraId="0A2FAFF2" w14:textId="77777777" w:rsidR="002641D2" w:rsidRPr="00FA3F9C" w:rsidRDefault="002641D2" w:rsidP="004D31C8">
            <w:pPr>
              <w:rPr>
                <w:rFonts w:ascii="Arial" w:eastAsia="Times New Roman" w:hAnsi="Arial" w:cs="Arial"/>
                <w:color w:val="000000"/>
                <w:sz w:val="24"/>
                <w:szCs w:val="24"/>
              </w:rPr>
            </w:pPr>
            <w:r w:rsidRPr="00FA3F9C">
              <w:rPr>
                <w:rFonts w:ascii="Arial" w:eastAsia="Times New Roman" w:hAnsi="Arial" w:cs="Arial"/>
                <w:color w:val="000000"/>
                <w:sz w:val="24"/>
                <w:szCs w:val="24"/>
              </w:rPr>
              <w:t>$2.38</w:t>
            </w:r>
          </w:p>
          <w:p w14:paraId="627D90FB" w14:textId="77777777" w:rsidR="002641D2" w:rsidRPr="00FA3F9C" w:rsidRDefault="002641D2" w:rsidP="004D31C8">
            <w:pPr>
              <w:rPr>
                <w:rFonts w:ascii="Arial" w:eastAsia="Times New Roman" w:hAnsi="Arial" w:cs="Arial"/>
                <w:color w:val="000000"/>
                <w:sz w:val="24"/>
                <w:szCs w:val="24"/>
              </w:rPr>
            </w:pPr>
            <w:r w:rsidRPr="00FA3F9C">
              <w:rPr>
                <w:rFonts w:ascii="Arial" w:eastAsia="Times New Roman" w:hAnsi="Arial" w:cs="Arial"/>
                <w:color w:val="000000"/>
                <w:sz w:val="24"/>
                <w:szCs w:val="24"/>
              </w:rPr>
              <w:t>$2.38</w:t>
            </w:r>
          </w:p>
          <w:p w14:paraId="062FE4A0" w14:textId="77777777" w:rsidR="002641D2" w:rsidRPr="00FA3F9C" w:rsidRDefault="002641D2" w:rsidP="004D31C8">
            <w:pPr>
              <w:rPr>
                <w:rFonts w:ascii="Arial" w:eastAsia="Times New Roman" w:hAnsi="Arial" w:cs="Arial"/>
                <w:color w:val="000000"/>
                <w:sz w:val="24"/>
                <w:szCs w:val="24"/>
              </w:rPr>
            </w:pPr>
            <w:r w:rsidRPr="00FA3F9C">
              <w:rPr>
                <w:rFonts w:ascii="Arial" w:eastAsia="Times New Roman" w:hAnsi="Arial" w:cs="Arial"/>
                <w:color w:val="000000"/>
                <w:sz w:val="24"/>
                <w:szCs w:val="24"/>
              </w:rPr>
              <w:t>$2.38</w:t>
            </w:r>
          </w:p>
          <w:p w14:paraId="76626FC4" w14:textId="77777777" w:rsidR="002641D2" w:rsidRPr="00FA3F9C" w:rsidRDefault="002641D2" w:rsidP="004D31C8">
            <w:pPr>
              <w:rPr>
                <w:rFonts w:ascii="Arial" w:eastAsia="Times New Roman" w:hAnsi="Arial" w:cs="Arial"/>
                <w:color w:val="000000"/>
                <w:sz w:val="24"/>
                <w:szCs w:val="24"/>
              </w:rPr>
            </w:pPr>
            <w:r w:rsidRPr="00FA3F9C">
              <w:rPr>
                <w:rFonts w:ascii="Arial" w:eastAsia="Times New Roman" w:hAnsi="Arial" w:cs="Arial"/>
                <w:color w:val="000000"/>
                <w:sz w:val="24"/>
                <w:szCs w:val="24"/>
              </w:rPr>
              <w:t>$2.38</w:t>
            </w:r>
          </w:p>
          <w:p w14:paraId="3966A166" w14:textId="77777777" w:rsidR="002641D2" w:rsidRPr="00FA3F9C" w:rsidRDefault="002641D2" w:rsidP="004D31C8">
            <w:pPr>
              <w:rPr>
                <w:rFonts w:ascii="Arial" w:eastAsia="Times New Roman" w:hAnsi="Arial" w:cs="Arial"/>
                <w:color w:val="000000"/>
                <w:sz w:val="24"/>
                <w:szCs w:val="24"/>
              </w:rPr>
            </w:pPr>
            <w:r w:rsidRPr="00FA3F9C">
              <w:rPr>
                <w:rFonts w:ascii="Arial" w:eastAsia="Times New Roman" w:hAnsi="Arial" w:cs="Arial"/>
                <w:color w:val="000000"/>
                <w:sz w:val="24"/>
                <w:szCs w:val="24"/>
              </w:rPr>
              <w:t>$2.38</w:t>
            </w:r>
          </w:p>
          <w:p w14:paraId="314A8ED0" w14:textId="77777777" w:rsidR="002641D2" w:rsidRPr="00FA3F9C" w:rsidRDefault="002641D2" w:rsidP="003026F9">
            <w:pPr>
              <w:rPr>
                <w:rFonts w:ascii="Arial" w:eastAsia="Times New Roman" w:hAnsi="Arial" w:cs="Arial"/>
                <w:color w:val="000000"/>
                <w:sz w:val="24"/>
                <w:szCs w:val="24"/>
              </w:rPr>
            </w:pPr>
            <w:r w:rsidRPr="00FA3F9C">
              <w:rPr>
                <w:rFonts w:ascii="Arial" w:eastAsia="Times New Roman" w:hAnsi="Arial" w:cs="Arial"/>
                <w:color w:val="000000"/>
                <w:sz w:val="24"/>
                <w:szCs w:val="24"/>
              </w:rPr>
              <w:t>$2.38</w:t>
            </w:r>
          </w:p>
        </w:tc>
        <w:tc>
          <w:tcPr>
            <w:tcW w:w="959" w:type="dxa"/>
            <w:tcBorders>
              <w:bottom w:val="single" w:sz="4" w:space="0" w:color="auto"/>
            </w:tcBorders>
            <w:shd w:val="clear" w:color="auto" w:fill="CC99FF"/>
          </w:tcPr>
          <w:p w14:paraId="1455835A" w14:textId="77777777" w:rsidR="002641D2" w:rsidRPr="00FA3F9C" w:rsidRDefault="002641D2" w:rsidP="004D31C8">
            <w:pPr>
              <w:rPr>
                <w:rFonts w:ascii="Arial" w:eastAsia="Times New Roman" w:hAnsi="Arial" w:cs="Arial"/>
                <w:sz w:val="24"/>
                <w:szCs w:val="24"/>
              </w:rPr>
            </w:pPr>
            <w:r w:rsidRPr="00FA3F9C">
              <w:rPr>
                <w:rFonts w:ascii="Arial" w:eastAsia="Times New Roman" w:hAnsi="Arial" w:cs="Arial"/>
                <w:sz w:val="24"/>
                <w:szCs w:val="24"/>
              </w:rPr>
              <w:t>$595</w:t>
            </w:r>
          </w:p>
          <w:p w14:paraId="2F9CD99B" w14:textId="77777777" w:rsidR="002641D2" w:rsidRPr="00FA3F9C" w:rsidRDefault="002641D2" w:rsidP="004D31C8">
            <w:pPr>
              <w:rPr>
                <w:rFonts w:ascii="Arial" w:eastAsia="Times New Roman" w:hAnsi="Arial" w:cs="Arial"/>
                <w:sz w:val="24"/>
                <w:szCs w:val="24"/>
              </w:rPr>
            </w:pPr>
            <w:r w:rsidRPr="00FA3F9C">
              <w:rPr>
                <w:rFonts w:ascii="Arial" w:eastAsia="Times New Roman" w:hAnsi="Arial" w:cs="Arial"/>
                <w:sz w:val="24"/>
                <w:szCs w:val="24"/>
              </w:rPr>
              <w:t>$1,190</w:t>
            </w:r>
          </w:p>
          <w:p w14:paraId="2F54D4D8" w14:textId="77777777" w:rsidR="002641D2" w:rsidRPr="00FA3F9C" w:rsidRDefault="002641D2" w:rsidP="004D31C8">
            <w:pPr>
              <w:rPr>
                <w:rFonts w:ascii="Arial" w:eastAsia="Times New Roman" w:hAnsi="Arial" w:cs="Arial"/>
                <w:sz w:val="24"/>
                <w:szCs w:val="24"/>
              </w:rPr>
            </w:pPr>
            <w:r w:rsidRPr="00FA3F9C">
              <w:rPr>
                <w:rFonts w:ascii="Arial" w:eastAsia="Times New Roman" w:hAnsi="Arial" w:cs="Arial"/>
                <w:sz w:val="24"/>
                <w:szCs w:val="24"/>
              </w:rPr>
              <w:t>$1,785</w:t>
            </w:r>
          </w:p>
          <w:p w14:paraId="64762B86" w14:textId="77777777" w:rsidR="002641D2" w:rsidRPr="00FA3F9C" w:rsidRDefault="002641D2" w:rsidP="004D31C8">
            <w:pPr>
              <w:rPr>
                <w:rFonts w:ascii="Arial" w:eastAsia="Times New Roman" w:hAnsi="Arial" w:cs="Arial"/>
                <w:sz w:val="24"/>
                <w:szCs w:val="24"/>
              </w:rPr>
            </w:pPr>
            <w:r w:rsidRPr="00FA3F9C">
              <w:rPr>
                <w:rFonts w:ascii="Arial" w:eastAsia="Times New Roman" w:hAnsi="Arial" w:cs="Arial"/>
                <w:sz w:val="24"/>
                <w:szCs w:val="24"/>
              </w:rPr>
              <w:t>$2,380</w:t>
            </w:r>
          </w:p>
          <w:p w14:paraId="24709158" w14:textId="77777777" w:rsidR="002641D2" w:rsidRPr="00FA3F9C" w:rsidRDefault="002641D2" w:rsidP="004D31C8">
            <w:pPr>
              <w:rPr>
                <w:rFonts w:ascii="Arial" w:eastAsia="Times New Roman" w:hAnsi="Arial" w:cs="Arial"/>
                <w:sz w:val="24"/>
                <w:szCs w:val="24"/>
              </w:rPr>
            </w:pPr>
            <w:r w:rsidRPr="00FA3F9C">
              <w:rPr>
                <w:rFonts w:ascii="Arial" w:eastAsia="Times New Roman" w:hAnsi="Arial" w:cs="Arial"/>
                <w:sz w:val="24"/>
                <w:szCs w:val="24"/>
              </w:rPr>
              <w:t>$3,570</w:t>
            </w:r>
          </w:p>
          <w:p w14:paraId="0D849265" w14:textId="77777777" w:rsidR="002641D2" w:rsidRPr="00FA3F9C" w:rsidRDefault="002641D2" w:rsidP="004D31C8">
            <w:pPr>
              <w:rPr>
                <w:rFonts w:ascii="Arial" w:eastAsia="Times New Roman" w:hAnsi="Arial" w:cs="Arial"/>
                <w:sz w:val="24"/>
                <w:szCs w:val="24"/>
              </w:rPr>
            </w:pPr>
            <w:r w:rsidRPr="00FA3F9C">
              <w:rPr>
                <w:rFonts w:ascii="Arial" w:eastAsia="Times New Roman" w:hAnsi="Arial" w:cs="Arial"/>
                <w:sz w:val="24"/>
                <w:szCs w:val="24"/>
              </w:rPr>
              <w:t>$4,760</w:t>
            </w:r>
          </w:p>
          <w:p w14:paraId="31F0F3BA" w14:textId="77777777" w:rsidR="002641D2" w:rsidRPr="00FA3F9C" w:rsidRDefault="002641D2" w:rsidP="00AE1453">
            <w:pPr>
              <w:rPr>
                <w:rFonts w:ascii="Arial" w:eastAsia="Times New Roman" w:hAnsi="Arial" w:cs="Arial"/>
                <w:sz w:val="24"/>
                <w:szCs w:val="24"/>
              </w:rPr>
            </w:pPr>
            <w:r w:rsidRPr="00FA3F9C">
              <w:rPr>
                <w:rFonts w:ascii="Arial" w:eastAsia="Times New Roman" w:hAnsi="Arial" w:cs="Arial"/>
                <w:sz w:val="24"/>
                <w:szCs w:val="24"/>
              </w:rPr>
              <w:t>$7,140</w:t>
            </w:r>
          </w:p>
        </w:tc>
      </w:tr>
      <w:tr w:rsidR="002641D2" w:rsidRPr="00FA3F9C" w14:paraId="7A08A99F" w14:textId="77777777" w:rsidTr="008310B0">
        <w:trPr>
          <w:jc w:val="center"/>
        </w:trPr>
        <w:tc>
          <w:tcPr>
            <w:tcW w:w="2425" w:type="dxa"/>
            <w:shd w:val="clear" w:color="auto" w:fill="000000"/>
          </w:tcPr>
          <w:p w14:paraId="66534319" w14:textId="77777777" w:rsidR="002641D2" w:rsidRPr="00FA3F9C" w:rsidRDefault="002641D2" w:rsidP="003026F9">
            <w:pPr>
              <w:rPr>
                <w:rFonts w:ascii="Arial" w:eastAsia="Times New Roman" w:hAnsi="Arial" w:cs="Arial"/>
                <w:iCs/>
                <w:color w:val="FFFFFF" w:themeColor="background1"/>
                <w:sz w:val="24"/>
                <w:szCs w:val="24"/>
              </w:rPr>
            </w:pPr>
            <w:r w:rsidRPr="00FA3F9C">
              <w:rPr>
                <w:rFonts w:ascii="Arial" w:eastAsia="Times New Roman" w:hAnsi="Arial" w:cs="Arial"/>
                <w:iCs/>
                <w:color w:val="FFFFFF" w:themeColor="background1"/>
                <w:sz w:val="24"/>
                <w:szCs w:val="24"/>
              </w:rPr>
              <w:t xml:space="preserve">Von Willebrand </w:t>
            </w:r>
          </w:p>
        </w:tc>
        <w:tc>
          <w:tcPr>
            <w:tcW w:w="2737" w:type="dxa"/>
            <w:shd w:val="clear" w:color="auto" w:fill="000000"/>
          </w:tcPr>
          <w:p w14:paraId="2341F95D" w14:textId="77777777" w:rsidR="002641D2" w:rsidRPr="00FA3F9C" w:rsidRDefault="002641D2" w:rsidP="003026F9">
            <w:pPr>
              <w:rPr>
                <w:rFonts w:ascii="Arial" w:eastAsia="Times New Roman" w:hAnsi="Arial" w:cs="Arial"/>
                <w:sz w:val="24"/>
                <w:szCs w:val="24"/>
              </w:rPr>
            </w:pPr>
          </w:p>
        </w:tc>
        <w:tc>
          <w:tcPr>
            <w:tcW w:w="236" w:type="dxa"/>
            <w:shd w:val="clear" w:color="auto" w:fill="000000"/>
          </w:tcPr>
          <w:p w14:paraId="3508321D" w14:textId="77777777" w:rsidR="002641D2" w:rsidRPr="00FA3F9C" w:rsidRDefault="002641D2" w:rsidP="003026F9">
            <w:pPr>
              <w:rPr>
                <w:rFonts w:ascii="Arial" w:eastAsia="Times New Roman" w:hAnsi="Arial" w:cs="Arial"/>
                <w:sz w:val="24"/>
                <w:szCs w:val="24"/>
              </w:rPr>
            </w:pPr>
          </w:p>
        </w:tc>
        <w:tc>
          <w:tcPr>
            <w:tcW w:w="4227" w:type="dxa"/>
            <w:shd w:val="clear" w:color="auto" w:fill="000000"/>
          </w:tcPr>
          <w:p w14:paraId="16774766" w14:textId="77777777" w:rsidR="002641D2" w:rsidRPr="00FA3F9C" w:rsidRDefault="002641D2" w:rsidP="003026F9">
            <w:pPr>
              <w:rPr>
                <w:rFonts w:ascii="Arial" w:eastAsia="Times New Roman" w:hAnsi="Arial" w:cs="Arial"/>
                <w:sz w:val="24"/>
                <w:szCs w:val="24"/>
              </w:rPr>
            </w:pPr>
          </w:p>
        </w:tc>
        <w:tc>
          <w:tcPr>
            <w:tcW w:w="2186" w:type="dxa"/>
            <w:shd w:val="clear" w:color="auto" w:fill="000000"/>
          </w:tcPr>
          <w:p w14:paraId="78FAC4C1" w14:textId="77777777" w:rsidR="002641D2" w:rsidRPr="00FA3F9C" w:rsidRDefault="002641D2" w:rsidP="00B82024">
            <w:pPr>
              <w:rPr>
                <w:rFonts w:ascii="Arial" w:eastAsia="Times New Roman" w:hAnsi="Arial" w:cs="Arial"/>
                <w:sz w:val="24"/>
                <w:szCs w:val="24"/>
              </w:rPr>
            </w:pPr>
          </w:p>
        </w:tc>
        <w:tc>
          <w:tcPr>
            <w:tcW w:w="725" w:type="dxa"/>
            <w:shd w:val="clear" w:color="auto" w:fill="000000"/>
          </w:tcPr>
          <w:p w14:paraId="475B22DD" w14:textId="77777777" w:rsidR="002641D2" w:rsidRPr="00FA3F9C" w:rsidRDefault="002641D2" w:rsidP="003026F9">
            <w:pPr>
              <w:rPr>
                <w:rFonts w:ascii="Arial" w:eastAsia="Times New Roman" w:hAnsi="Arial" w:cs="Arial"/>
                <w:color w:val="000000"/>
                <w:sz w:val="24"/>
                <w:szCs w:val="24"/>
              </w:rPr>
            </w:pPr>
          </w:p>
        </w:tc>
        <w:tc>
          <w:tcPr>
            <w:tcW w:w="959" w:type="dxa"/>
            <w:shd w:val="clear" w:color="auto" w:fill="000000"/>
          </w:tcPr>
          <w:p w14:paraId="0E5550C7" w14:textId="77777777" w:rsidR="002641D2" w:rsidRPr="00FA3F9C" w:rsidRDefault="002641D2" w:rsidP="00AE1453">
            <w:pPr>
              <w:rPr>
                <w:rFonts w:ascii="Arial" w:eastAsia="Times New Roman" w:hAnsi="Arial" w:cs="Arial"/>
                <w:sz w:val="24"/>
                <w:szCs w:val="24"/>
              </w:rPr>
            </w:pPr>
          </w:p>
        </w:tc>
      </w:tr>
      <w:tr w:rsidR="002641D2" w:rsidRPr="00FA3F9C" w14:paraId="05D8AC87" w14:textId="77777777" w:rsidTr="005E15FB">
        <w:trPr>
          <w:jc w:val="center"/>
        </w:trPr>
        <w:tc>
          <w:tcPr>
            <w:tcW w:w="2425" w:type="dxa"/>
            <w:tcBorders>
              <w:bottom w:val="single" w:sz="4" w:space="0" w:color="auto"/>
            </w:tcBorders>
            <w:shd w:val="clear" w:color="auto" w:fill="FFFF66"/>
          </w:tcPr>
          <w:p w14:paraId="396035F8" w14:textId="77777777" w:rsidR="002641D2" w:rsidRPr="00FA3F9C" w:rsidRDefault="002641D2" w:rsidP="003026F9">
            <w:pPr>
              <w:rPr>
                <w:rFonts w:ascii="Arial" w:eastAsia="Times New Roman" w:hAnsi="Arial" w:cs="Arial"/>
                <w:iCs/>
                <w:color w:val="000000"/>
                <w:sz w:val="24"/>
                <w:szCs w:val="24"/>
              </w:rPr>
            </w:pPr>
            <w:proofErr w:type="spellStart"/>
            <w:r w:rsidRPr="00FA3F9C">
              <w:rPr>
                <w:rFonts w:ascii="Arial" w:eastAsia="Times New Roman" w:hAnsi="Arial" w:cs="Arial"/>
                <w:iCs/>
                <w:color w:val="000000"/>
                <w:sz w:val="24"/>
                <w:szCs w:val="24"/>
              </w:rPr>
              <w:t>Vonvendi</w:t>
            </w:r>
            <w:proofErr w:type="spellEnd"/>
            <w:r w:rsidRPr="00FA3F9C">
              <w:rPr>
                <w:rFonts w:ascii="Arial" w:eastAsia="Times New Roman" w:hAnsi="Arial" w:cs="Arial"/>
                <w:iCs/>
                <w:color w:val="000000"/>
                <w:sz w:val="24"/>
                <w:szCs w:val="24"/>
              </w:rPr>
              <w:t xml:space="preserve"> </w:t>
            </w:r>
          </w:p>
        </w:tc>
        <w:tc>
          <w:tcPr>
            <w:tcW w:w="2737" w:type="dxa"/>
            <w:tcBorders>
              <w:bottom w:val="single" w:sz="4" w:space="0" w:color="auto"/>
            </w:tcBorders>
            <w:shd w:val="clear" w:color="auto" w:fill="FFFF66"/>
          </w:tcPr>
          <w:p w14:paraId="3B0332A7" w14:textId="77777777" w:rsidR="002641D2" w:rsidRPr="00FA3F9C" w:rsidRDefault="002641D2" w:rsidP="003026F9">
            <w:pPr>
              <w:rPr>
                <w:rFonts w:ascii="Arial" w:eastAsia="Times New Roman" w:hAnsi="Arial" w:cs="Arial"/>
                <w:sz w:val="24"/>
                <w:szCs w:val="24"/>
              </w:rPr>
            </w:pPr>
            <w:r w:rsidRPr="00FA3F9C">
              <w:rPr>
                <w:rFonts w:ascii="Arial" w:eastAsia="Times New Roman" w:hAnsi="Arial" w:cs="Arial"/>
                <w:sz w:val="24"/>
                <w:szCs w:val="24"/>
              </w:rPr>
              <w:t xml:space="preserve">* </w:t>
            </w:r>
            <w:proofErr w:type="gramStart"/>
            <w:r w:rsidRPr="00FA3F9C">
              <w:rPr>
                <w:rFonts w:ascii="Arial" w:eastAsia="Times New Roman" w:hAnsi="Arial" w:cs="Arial"/>
                <w:sz w:val="24"/>
                <w:szCs w:val="24"/>
              </w:rPr>
              <w:t>von</w:t>
            </w:r>
            <w:proofErr w:type="gramEnd"/>
            <w:r w:rsidRPr="00FA3F9C">
              <w:rPr>
                <w:rFonts w:ascii="Arial" w:eastAsia="Times New Roman" w:hAnsi="Arial" w:cs="Arial"/>
                <w:sz w:val="24"/>
                <w:szCs w:val="24"/>
              </w:rPr>
              <w:t xml:space="preserve"> Willebrand disease</w:t>
            </w:r>
          </w:p>
        </w:tc>
        <w:tc>
          <w:tcPr>
            <w:tcW w:w="236" w:type="dxa"/>
            <w:tcBorders>
              <w:bottom w:val="single" w:sz="4" w:space="0" w:color="auto"/>
            </w:tcBorders>
            <w:shd w:val="clear" w:color="auto" w:fill="FFFF66"/>
          </w:tcPr>
          <w:p w14:paraId="04BAF60E" w14:textId="77777777" w:rsidR="002641D2" w:rsidRPr="00FA3F9C" w:rsidRDefault="002641D2" w:rsidP="003026F9">
            <w:pPr>
              <w:rPr>
                <w:rFonts w:ascii="Arial" w:eastAsia="Times New Roman" w:hAnsi="Arial" w:cs="Arial"/>
                <w:sz w:val="24"/>
                <w:szCs w:val="24"/>
              </w:rPr>
            </w:pPr>
          </w:p>
        </w:tc>
        <w:tc>
          <w:tcPr>
            <w:tcW w:w="4227" w:type="dxa"/>
            <w:tcBorders>
              <w:bottom w:val="single" w:sz="4" w:space="0" w:color="auto"/>
            </w:tcBorders>
            <w:shd w:val="clear" w:color="auto" w:fill="FFFF66"/>
          </w:tcPr>
          <w:p w14:paraId="137E3235" w14:textId="77777777" w:rsidR="002641D2" w:rsidRPr="00FA3F9C" w:rsidRDefault="002641D2" w:rsidP="00E475CF">
            <w:pPr>
              <w:rPr>
                <w:rFonts w:ascii="Arial" w:hAnsi="Arial" w:cs="Arial"/>
                <w:sz w:val="24"/>
                <w:szCs w:val="24"/>
              </w:rPr>
            </w:pPr>
            <w:r w:rsidRPr="00FA3F9C">
              <w:rPr>
                <w:rFonts w:ascii="Arial" w:hAnsi="Arial" w:cs="Arial"/>
                <w:sz w:val="24"/>
                <w:szCs w:val="24"/>
              </w:rPr>
              <w:t>Initial: 40 to 80 units/kg</w:t>
            </w:r>
          </w:p>
          <w:p w14:paraId="6B58DACA" w14:textId="77777777" w:rsidR="002641D2" w:rsidRPr="00FA3F9C" w:rsidRDefault="002641D2" w:rsidP="003026F9">
            <w:pPr>
              <w:rPr>
                <w:rFonts w:ascii="Arial" w:eastAsia="Times New Roman" w:hAnsi="Arial" w:cs="Arial"/>
                <w:sz w:val="24"/>
                <w:szCs w:val="24"/>
              </w:rPr>
            </w:pPr>
            <w:r w:rsidRPr="00FA3F9C">
              <w:rPr>
                <w:rFonts w:ascii="Arial" w:hAnsi="Arial" w:cs="Arial"/>
                <w:sz w:val="24"/>
                <w:szCs w:val="24"/>
              </w:rPr>
              <w:t>Subsequent: 40 to 60 units/kg every 8-24 hours</w:t>
            </w:r>
          </w:p>
        </w:tc>
        <w:tc>
          <w:tcPr>
            <w:tcW w:w="2186" w:type="dxa"/>
            <w:tcBorders>
              <w:bottom w:val="single" w:sz="4" w:space="0" w:color="auto"/>
            </w:tcBorders>
            <w:shd w:val="clear" w:color="auto" w:fill="FFFF66"/>
          </w:tcPr>
          <w:p w14:paraId="4ACE78C9" w14:textId="77777777" w:rsidR="002641D2" w:rsidRPr="00FA3F9C" w:rsidRDefault="002641D2" w:rsidP="00E475CF">
            <w:pPr>
              <w:rPr>
                <w:rFonts w:ascii="Arial" w:eastAsia="Times New Roman" w:hAnsi="Arial" w:cs="Arial"/>
                <w:sz w:val="24"/>
                <w:szCs w:val="24"/>
              </w:rPr>
            </w:pPr>
            <w:r w:rsidRPr="00FA3F9C">
              <w:rPr>
                <w:rFonts w:ascii="Arial" w:eastAsia="Times New Roman" w:hAnsi="Arial" w:cs="Arial"/>
                <w:sz w:val="24"/>
                <w:szCs w:val="24"/>
              </w:rPr>
              <w:t xml:space="preserve">650 </w:t>
            </w:r>
          </w:p>
          <w:p w14:paraId="6DFC852B" w14:textId="77777777" w:rsidR="002641D2" w:rsidRPr="00FA3F9C" w:rsidRDefault="002641D2" w:rsidP="007A5473">
            <w:pPr>
              <w:rPr>
                <w:rFonts w:ascii="Arial" w:eastAsia="Times New Roman" w:hAnsi="Arial" w:cs="Arial"/>
                <w:sz w:val="24"/>
                <w:szCs w:val="24"/>
              </w:rPr>
            </w:pPr>
            <w:r w:rsidRPr="00FA3F9C">
              <w:rPr>
                <w:rFonts w:ascii="Arial" w:eastAsia="Times New Roman" w:hAnsi="Arial" w:cs="Arial"/>
                <w:sz w:val="24"/>
                <w:szCs w:val="24"/>
              </w:rPr>
              <w:t xml:space="preserve">1300 </w:t>
            </w:r>
          </w:p>
        </w:tc>
        <w:tc>
          <w:tcPr>
            <w:tcW w:w="725" w:type="dxa"/>
            <w:tcBorders>
              <w:bottom w:val="single" w:sz="4" w:space="0" w:color="auto"/>
            </w:tcBorders>
            <w:shd w:val="clear" w:color="auto" w:fill="FFFF66"/>
          </w:tcPr>
          <w:p w14:paraId="0B8DADC6" w14:textId="77777777" w:rsidR="002641D2" w:rsidRPr="00FA3F9C" w:rsidRDefault="002641D2" w:rsidP="003026F9">
            <w:pPr>
              <w:rPr>
                <w:rFonts w:ascii="Arial" w:eastAsia="Times New Roman" w:hAnsi="Arial" w:cs="Arial"/>
                <w:color w:val="000000"/>
                <w:sz w:val="24"/>
                <w:szCs w:val="24"/>
              </w:rPr>
            </w:pPr>
            <w:r w:rsidRPr="00FA3F9C">
              <w:rPr>
                <w:rFonts w:ascii="Arial" w:eastAsia="Times New Roman" w:hAnsi="Arial" w:cs="Arial"/>
                <w:color w:val="000000"/>
                <w:sz w:val="24"/>
                <w:szCs w:val="24"/>
              </w:rPr>
              <w:t>$2.38</w:t>
            </w:r>
          </w:p>
        </w:tc>
        <w:tc>
          <w:tcPr>
            <w:tcW w:w="959" w:type="dxa"/>
            <w:tcBorders>
              <w:bottom w:val="single" w:sz="4" w:space="0" w:color="auto"/>
            </w:tcBorders>
            <w:shd w:val="clear" w:color="auto" w:fill="FFFF66"/>
          </w:tcPr>
          <w:p w14:paraId="55502ED0" w14:textId="77777777" w:rsidR="002641D2" w:rsidRPr="00FA3F9C" w:rsidRDefault="002641D2" w:rsidP="00AE1453">
            <w:pPr>
              <w:rPr>
                <w:rFonts w:ascii="Arial" w:eastAsia="Times New Roman" w:hAnsi="Arial" w:cs="Arial"/>
                <w:sz w:val="24"/>
                <w:szCs w:val="24"/>
              </w:rPr>
            </w:pPr>
            <w:r w:rsidRPr="00FA3F9C">
              <w:rPr>
                <w:rFonts w:ascii="Arial" w:eastAsia="Times New Roman" w:hAnsi="Arial" w:cs="Arial"/>
                <w:sz w:val="24"/>
                <w:szCs w:val="24"/>
              </w:rPr>
              <w:t>$1547</w:t>
            </w:r>
          </w:p>
          <w:p w14:paraId="0020D003" w14:textId="77777777" w:rsidR="002641D2" w:rsidRPr="00FA3F9C" w:rsidRDefault="002641D2" w:rsidP="00AE1453">
            <w:pPr>
              <w:rPr>
                <w:rFonts w:ascii="Arial" w:eastAsia="Times New Roman" w:hAnsi="Arial" w:cs="Arial"/>
                <w:sz w:val="24"/>
                <w:szCs w:val="24"/>
              </w:rPr>
            </w:pPr>
            <w:r w:rsidRPr="00FA3F9C">
              <w:rPr>
                <w:rFonts w:ascii="Arial" w:eastAsia="Times New Roman" w:hAnsi="Arial" w:cs="Arial"/>
                <w:sz w:val="24"/>
                <w:szCs w:val="24"/>
              </w:rPr>
              <w:t>$3094</w:t>
            </w:r>
          </w:p>
        </w:tc>
      </w:tr>
      <w:tr w:rsidR="002641D2" w:rsidRPr="00FA3F9C" w14:paraId="5298057F" w14:textId="77777777" w:rsidTr="005E15FB">
        <w:trPr>
          <w:jc w:val="center"/>
        </w:trPr>
        <w:tc>
          <w:tcPr>
            <w:tcW w:w="2425" w:type="dxa"/>
            <w:tcBorders>
              <w:bottom w:val="single" w:sz="4" w:space="0" w:color="auto"/>
            </w:tcBorders>
            <w:shd w:val="clear" w:color="auto" w:fill="000000" w:themeFill="text1"/>
          </w:tcPr>
          <w:p w14:paraId="645F7BAD" w14:textId="77777777" w:rsidR="002641D2" w:rsidRPr="00FA3F9C" w:rsidRDefault="002641D2" w:rsidP="003026F9">
            <w:pPr>
              <w:rPr>
                <w:rFonts w:ascii="Arial" w:eastAsia="Times New Roman" w:hAnsi="Arial" w:cs="Arial"/>
                <w:iCs/>
                <w:color w:val="000000"/>
                <w:sz w:val="24"/>
                <w:szCs w:val="24"/>
              </w:rPr>
            </w:pPr>
            <w:r w:rsidRPr="00FA3F9C">
              <w:rPr>
                <w:rFonts w:ascii="Arial" w:eastAsia="Times New Roman" w:hAnsi="Arial" w:cs="Arial"/>
                <w:iCs/>
                <w:sz w:val="24"/>
                <w:szCs w:val="24"/>
              </w:rPr>
              <w:t xml:space="preserve">Factor </w:t>
            </w:r>
            <w:proofErr w:type="spellStart"/>
            <w:r w:rsidRPr="00FA3F9C">
              <w:rPr>
                <w:rFonts w:ascii="Arial" w:eastAsia="Times New Roman" w:hAnsi="Arial" w:cs="Arial"/>
                <w:iCs/>
                <w:sz w:val="24"/>
                <w:szCs w:val="24"/>
              </w:rPr>
              <w:t>VIIa</w:t>
            </w:r>
            <w:proofErr w:type="spellEnd"/>
            <w:r w:rsidRPr="00FA3F9C">
              <w:rPr>
                <w:rFonts w:ascii="Arial" w:eastAsia="Times New Roman" w:hAnsi="Arial" w:cs="Arial"/>
                <w:iCs/>
                <w:sz w:val="24"/>
                <w:szCs w:val="24"/>
              </w:rPr>
              <w:t xml:space="preserve"> recombinant</w:t>
            </w:r>
          </w:p>
        </w:tc>
        <w:tc>
          <w:tcPr>
            <w:tcW w:w="2737" w:type="dxa"/>
            <w:tcBorders>
              <w:bottom w:val="single" w:sz="4" w:space="0" w:color="auto"/>
            </w:tcBorders>
            <w:shd w:val="clear" w:color="auto" w:fill="000000" w:themeFill="text1"/>
          </w:tcPr>
          <w:p w14:paraId="3E1892BF" w14:textId="77777777" w:rsidR="002641D2" w:rsidRPr="00FA3F9C" w:rsidRDefault="002641D2" w:rsidP="003026F9">
            <w:pPr>
              <w:rPr>
                <w:rFonts w:ascii="Arial" w:eastAsia="Times New Roman" w:hAnsi="Arial" w:cs="Arial"/>
                <w:sz w:val="24"/>
                <w:szCs w:val="24"/>
              </w:rPr>
            </w:pPr>
          </w:p>
        </w:tc>
        <w:tc>
          <w:tcPr>
            <w:tcW w:w="236" w:type="dxa"/>
            <w:tcBorders>
              <w:bottom w:val="single" w:sz="4" w:space="0" w:color="auto"/>
            </w:tcBorders>
            <w:shd w:val="clear" w:color="auto" w:fill="000000" w:themeFill="text1"/>
          </w:tcPr>
          <w:p w14:paraId="4FC2767D" w14:textId="77777777" w:rsidR="002641D2" w:rsidRPr="00FA3F9C" w:rsidRDefault="002641D2" w:rsidP="003026F9">
            <w:pPr>
              <w:rPr>
                <w:rFonts w:ascii="Arial" w:eastAsia="Times New Roman" w:hAnsi="Arial" w:cs="Arial"/>
                <w:sz w:val="24"/>
                <w:szCs w:val="24"/>
              </w:rPr>
            </w:pPr>
          </w:p>
        </w:tc>
        <w:tc>
          <w:tcPr>
            <w:tcW w:w="4227" w:type="dxa"/>
            <w:tcBorders>
              <w:bottom w:val="single" w:sz="4" w:space="0" w:color="auto"/>
            </w:tcBorders>
            <w:shd w:val="clear" w:color="auto" w:fill="000000" w:themeFill="text1"/>
          </w:tcPr>
          <w:p w14:paraId="72486FBA" w14:textId="77777777" w:rsidR="002641D2" w:rsidRPr="00FA3F9C" w:rsidRDefault="002641D2" w:rsidP="00E475CF">
            <w:pPr>
              <w:rPr>
                <w:rFonts w:ascii="Arial" w:hAnsi="Arial" w:cs="Arial"/>
                <w:sz w:val="24"/>
                <w:szCs w:val="24"/>
              </w:rPr>
            </w:pPr>
          </w:p>
        </w:tc>
        <w:tc>
          <w:tcPr>
            <w:tcW w:w="2186" w:type="dxa"/>
            <w:tcBorders>
              <w:bottom w:val="single" w:sz="4" w:space="0" w:color="auto"/>
            </w:tcBorders>
            <w:shd w:val="clear" w:color="auto" w:fill="000000" w:themeFill="text1"/>
          </w:tcPr>
          <w:p w14:paraId="5FF31600" w14:textId="77777777" w:rsidR="002641D2" w:rsidRPr="00FA3F9C" w:rsidRDefault="002641D2" w:rsidP="00E475CF">
            <w:pPr>
              <w:rPr>
                <w:rFonts w:ascii="Arial" w:eastAsia="Times New Roman" w:hAnsi="Arial" w:cs="Arial"/>
                <w:sz w:val="24"/>
                <w:szCs w:val="24"/>
              </w:rPr>
            </w:pPr>
          </w:p>
        </w:tc>
        <w:tc>
          <w:tcPr>
            <w:tcW w:w="725" w:type="dxa"/>
            <w:tcBorders>
              <w:bottom w:val="single" w:sz="4" w:space="0" w:color="auto"/>
            </w:tcBorders>
            <w:shd w:val="clear" w:color="auto" w:fill="000000" w:themeFill="text1"/>
          </w:tcPr>
          <w:p w14:paraId="0B9FD957" w14:textId="77777777" w:rsidR="002641D2" w:rsidRPr="00FA3F9C" w:rsidRDefault="002641D2" w:rsidP="003026F9">
            <w:pPr>
              <w:rPr>
                <w:rFonts w:ascii="Arial" w:eastAsia="Times New Roman" w:hAnsi="Arial" w:cs="Arial"/>
                <w:color w:val="000000"/>
                <w:sz w:val="24"/>
                <w:szCs w:val="24"/>
              </w:rPr>
            </w:pPr>
          </w:p>
        </w:tc>
        <w:tc>
          <w:tcPr>
            <w:tcW w:w="959" w:type="dxa"/>
            <w:tcBorders>
              <w:bottom w:val="single" w:sz="4" w:space="0" w:color="auto"/>
            </w:tcBorders>
            <w:shd w:val="clear" w:color="auto" w:fill="000000" w:themeFill="text1"/>
          </w:tcPr>
          <w:p w14:paraId="0E61A232" w14:textId="77777777" w:rsidR="002641D2" w:rsidRPr="00FA3F9C" w:rsidRDefault="002641D2" w:rsidP="00AE1453">
            <w:pPr>
              <w:rPr>
                <w:rFonts w:ascii="Arial" w:eastAsia="Times New Roman" w:hAnsi="Arial" w:cs="Arial"/>
                <w:sz w:val="24"/>
                <w:szCs w:val="24"/>
              </w:rPr>
            </w:pPr>
          </w:p>
        </w:tc>
      </w:tr>
      <w:tr w:rsidR="002641D2" w:rsidRPr="00FA3F9C" w14:paraId="2ACB8D3D" w14:textId="77777777" w:rsidTr="005E15FB">
        <w:trPr>
          <w:jc w:val="center"/>
        </w:trPr>
        <w:tc>
          <w:tcPr>
            <w:tcW w:w="2425" w:type="dxa"/>
            <w:shd w:val="clear" w:color="auto" w:fill="C5E0B3" w:themeFill="accent6" w:themeFillTint="66"/>
          </w:tcPr>
          <w:p w14:paraId="2D17AEDB" w14:textId="77777777" w:rsidR="002641D2" w:rsidRPr="00FA3F9C" w:rsidRDefault="002641D2" w:rsidP="003026F9">
            <w:pPr>
              <w:rPr>
                <w:rFonts w:ascii="Arial" w:eastAsia="Times New Roman" w:hAnsi="Arial" w:cs="Arial"/>
                <w:iCs/>
                <w:color w:val="000000"/>
                <w:sz w:val="24"/>
                <w:szCs w:val="24"/>
              </w:rPr>
            </w:pPr>
            <w:proofErr w:type="spellStart"/>
            <w:r w:rsidRPr="00FA3F9C">
              <w:rPr>
                <w:rFonts w:ascii="Arial" w:eastAsia="Times New Roman" w:hAnsi="Arial" w:cs="Arial"/>
                <w:iCs/>
                <w:color w:val="000000"/>
                <w:sz w:val="24"/>
                <w:szCs w:val="24"/>
              </w:rPr>
              <w:lastRenderedPageBreak/>
              <w:t>NovoSeven</w:t>
            </w:r>
            <w:proofErr w:type="spellEnd"/>
            <w:r w:rsidRPr="00FA3F9C">
              <w:rPr>
                <w:rFonts w:ascii="Arial" w:eastAsia="Times New Roman" w:hAnsi="Arial" w:cs="Arial"/>
                <w:iCs/>
                <w:color w:val="000000"/>
                <w:sz w:val="24"/>
                <w:szCs w:val="24"/>
              </w:rPr>
              <w:t xml:space="preserve"> RT</w:t>
            </w:r>
          </w:p>
        </w:tc>
        <w:tc>
          <w:tcPr>
            <w:tcW w:w="2737" w:type="dxa"/>
            <w:shd w:val="clear" w:color="auto" w:fill="C5E0B3" w:themeFill="accent6" w:themeFillTint="66"/>
          </w:tcPr>
          <w:p w14:paraId="009BD99C" w14:textId="77777777" w:rsidR="002641D2" w:rsidRPr="00FA3F9C" w:rsidRDefault="002641D2" w:rsidP="002641D2">
            <w:pPr>
              <w:pStyle w:val="ListParagraph"/>
              <w:numPr>
                <w:ilvl w:val="0"/>
                <w:numId w:val="250"/>
              </w:numPr>
              <w:rPr>
                <w:rFonts w:ascii="Arial" w:eastAsia="Times New Roman" w:hAnsi="Arial" w:cs="Arial"/>
                <w:sz w:val="24"/>
                <w:szCs w:val="24"/>
              </w:rPr>
            </w:pPr>
            <w:r w:rsidRPr="00FA3F9C">
              <w:rPr>
                <w:rFonts w:ascii="Arial" w:eastAsia="Times New Roman" w:hAnsi="Arial" w:cs="Arial"/>
                <w:sz w:val="24"/>
                <w:szCs w:val="24"/>
              </w:rPr>
              <w:t>Congenital factor VII deficiency</w:t>
            </w:r>
          </w:p>
          <w:p w14:paraId="75F7E52C" w14:textId="77777777" w:rsidR="002641D2" w:rsidRPr="00FA3F9C" w:rsidRDefault="002641D2" w:rsidP="002641D2">
            <w:pPr>
              <w:pStyle w:val="ListParagraph"/>
              <w:numPr>
                <w:ilvl w:val="0"/>
                <w:numId w:val="250"/>
              </w:numPr>
              <w:rPr>
                <w:rFonts w:ascii="Arial" w:eastAsia="Times New Roman" w:hAnsi="Arial" w:cs="Arial"/>
                <w:sz w:val="24"/>
                <w:szCs w:val="24"/>
              </w:rPr>
            </w:pPr>
            <w:r w:rsidRPr="00FA3F9C">
              <w:rPr>
                <w:rFonts w:ascii="Arial" w:eastAsia="Times New Roman" w:hAnsi="Arial" w:cs="Arial"/>
                <w:sz w:val="24"/>
                <w:szCs w:val="24"/>
              </w:rPr>
              <w:t xml:space="preserve">Glanzmann </w:t>
            </w:r>
            <w:proofErr w:type="spellStart"/>
            <w:r w:rsidRPr="00FA3F9C">
              <w:rPr>
                <w:rFonts w:ascii="Arial" w:eastAsia="Times New Roman" w:hAnsi="Arial" w:cs="Arial"/>
                <w:sz w:val="24"/>
                <w:szCs w:val="24"/>
              </w:rPr>
              <w:t>thrombasthemia</w:t>
            </w:r>
            <w:proofErr w:type="spellEnd"/>
            <w:r w:rsidRPr="00FA3F9C">
              <w:rPr>
                <w:rFonts w:ascii="Arial" w:eastAsia="Times New Roman" w:hAnsi="Arial" w:cs="Arial"/>
                <w:sz w:val="24"/>
                <w:szCs w:val="24"/>
              </w:rPr>
              <w:t xml:space="preserve"> w/ refractoriness to platelet transfusions (w/ or w/o platelet antibodies)</w:t>
            </w:r>
          </w:p>
          <w:p w14:paraId="421FCF55" w14:textId="77777777" w:rsidR="002641D2" w:rsidRPr="00FA3F9C" w:rsidRDefault="002641D2" w:rsidP="002641D2">
            <w:pPr>
              <w:pStyle w:val="ListParagraph"/>
              <w:numPr>
                <w:ilvl w:val="0"/>
                <w:numId w:val="250"/>
              </w:numPr>
              <w:rPr>
                <w:rFonts w:ascii="Arial" w:eastAsia="Times New Roman" w:hAnsi="Arial" w:cs="Arial"/>
                <w:sz w:val="24"/>
                <w:szCs w:val="24"/>
              </w:rPr>
            </w:pPr>
            <w:r w:rsidRPr="00FA3F9C">
              <w:rPr>
                <w:rFonts w:ascii="Arial" w:eastAsia="Times New Roman" w:hAnsi="Arial" w:cs="Arial"/>
                <w:sz w:val="24"/>
                <w:szCs w:val="24"/>
              </w:rPr>
              <w:t xml:space="preserve">Hemophilia (A or B) </w:t>
            </w:r>
            <w:r w:rsidRPr="00FA3F9C">
              <w:rPr>
                <w:rFonts w:ascii="Arial" w:eastAsia="Times New Roman" w:hAnsi="Arial" w:cs="Arial"/>
                <w:sz w:val="24"/>
                <w:szCs w:val="24"/>
                <w:highlight w:val="yellow"/>
              </w:rPr>
              <w:t>with inhibitors</w:t>
            </w:r>
            <w:r w:rsidRPr="00FA3F9C">
              <w:rPr>
                <w:rFonts w:ascii="Arial" w:eastAsia="Times New Roman" w:hAnsi="Arial" w:cs="Arial"/>
                <w:sz w:val="24"/>
                <w:szCs w:val="24"/>
              </w:rPr>
              <w:t>:</w:t>
            </w:r>
          </w:p>
          <w:p w14:paraId="5961C91E" w14:textId="77777777" w:rsidR="002641D2" w:rsidRPr="00FA3F9C" w:rsidRDefault="002641D2" w:rsidP="002641D2">
            <w:pPr>
              <w:pStyle w:val="ListParagraph"/>
              <w:numPr>
                <w:ilvl w:val="1"/>
                <w:numId w:val="250"/>
              </w:numPr>
              <w:ind w:left="698"/>
              <w:rPr>
                <w:rFonts w:ascii="Arial" w:eastAsia="Times New Roman" w:hAnsi="Arial" w:cs="Arial"/>
                <w:sz w:val="24"/>
                <w:szCs w:val="24"/>
              </w:rPr>
            </w:pPr>
            <w:r w:rsidRPr="00FA3F9C">
              <w:rPr>
                <w:rFonts w:ascii="Arial" w:eastAsia="Times New Roman" w:hAnsi="Arial" w:cs="Arial"/>
                <w:sz w:val="24"/>
                <w:szCs w:val="24"/>
              </w:rPr>
              <w:t>Bleeding episodes</w:t>
            </w:r>
          </w:p>
          <w:p w14:paraId="176D6A8E" w14:textId="77777777" w:rsidR="002641D2" w:rsidRPr="00FA3F9C" w:rsidRDefault="002641D2" w:rsidP="002641D2">
            <w:pPr>
              <w:pStyle w:val="ListParagraph"/>
              <w:numPr>
                <w:ilvl w:val="1"/>
                <w:numId w:val="250"/>
              </w:numPr>
              <w:ind w:left="698"/>
              <w:rPr>
                <w:rFonts w:ascii="Arial" w:eastAsia="Times New Roman" w:hAnsi="Arial" w:cs="Arial"/>
                <w:sz w:val="24"/>
                <w:szCs w:val="24"/>
              </w:rPr>
            </w:pPr>
            <w:r w:rsidRPr="00FA3F9C">
              <w:rPr>
                <w:rFonts w:ascii="Arial" w:eastAsia="Times New Roman" w:hAnsi="Arial" w:cs="Arial"/>
                <w:sz w:val="24"/>
                <w:szCs w:val="24"/>
              </w:rPr>
              <w:t>Perioperative management</w:t>
            </w:r>
          </w:p>
        </w:tc>
        <w:tc>
          <w:tcPr>
            <w:tcW w:w="236" w:type="dxa"/>
            <w:shd w:val="clear" w:color="auto" w:fill="C5E0B3" w:themeFill="accent6" w:themeFillTint="66"/>
          </w:tcPr>
          <w:p w14:paraId="5B9D7737" w14:textId="77777777" w:rsidR="002641D2" w:rsidRPr="00FA3F9C" w:rsidRDefault="002641D2" w:rsidP="003026F9">
            <w:pPr>
              <w:rPr>
                <w:rFonts w:ascii="Arial" w:eastAsia="Times New Roman" w:hAnsi="Arial" w:cs="Arial"/>
                <w:sz w:val="24"/>
                <w:szCs w:val="24"/>
              </w:rPr>
            </w:pPr>
          </w:p>
        </w:tc>
        <w:tc>
          <w:tcPr>
            <w:tcW w:w="4227" w:type="dxa"/>
            <w:shd w:val="clear" w:color="auto" w:fill="C5E0B3" w:themeFill="accent6" w:themeFillTint="66"/>
          </w:tcPr>
          <w:p w14:paraId="42F36A92" w14:textId="77777777" w:rsidR="002641D2" w:rsidRPr="00FA3F9C" w:rsidRDefault="002641D2" w:rsidP="00E475CF">
            <w:pPr>
              <w:rPr>
                <w:rFonts w:ascii="Arial" w:hAnsi="Arial" w:cs="Arial"/>
                <w:sz w:val="24"/>
                <w:szCs w:val="24"/>
              </w:rPr>
            </w:pPr>
            <w:r w:rsidRPr="00FA3F9C">
              <w:rPr>
                <w:rFonts w:ascii="Arial" w:hAnsi="Arial" w:cs="Arial"/>
                <w:sz w:val="24"/>
                <w:szCs w:val="24"/>
              </w:rPr>
              <w:t>Bleeding episodes: 70-90 mcg/kg/dose q2-3h until hemostasis</w:t>
            </w:r>
          </w:p>
          <w:p w14:paraId="0F4C4AF8" w14:textId="77777777" w:rsidR="002641D2" w:rsidRPr="00FA3F9C" w:rsidRDefault="002641D2" w:rsidP="00E475CF">
            <w:pPr>
              <w:rPr>
                <w:rFonts w:ascii="Arial" w:hAnsi="Arial" w:cs="Arial"/>
                <w:sz w:val="24"/>
                <w:szCs w:val="24"/>
              </w:rPr>
            </w:pPr>
            <w:proofErr w:type="spellStart"/>
            <w:r w:rsidRPr="00FA3F9C">
              <w:rPr>
                <w:rFonts w:ascii="Arial" w:hAnsi="Arial" w:cs="Arial"/>
                <w:sz w:val="24"/>
                <w:szCs w:val="24"/>
              </w:rPr>
              <w:t>Periop</w:t>
            </w:r>
            <w:proofErr w:type="spellEnd"/>
            <w:r w:rsidRPr="00FA3F9C">
              <w:rPr>
                <w:rFonts w:ascii="Arial" w:hAnsi="Arial" w:cs="Arial"/>
                <w:sz w:val="24"/>
                <w:szCs w:val="24"/>
              </w:rPr>
              <w:t xml:space="preserve">: 70-90 mcg/kg/dose before </w:t>
            </w:r>
            <w:proofErr w:type="spellStart"/>
            <w:r w:rsidRPr="00FA3F9C">
              <w:rPr>
                <w:rFonts w:ascii="Arial" w:hAnsi="Arial" w:cs="Arial"/>
                <w:sz w:val="24"/>
                <w:szCs w:val="24"/>
              </w:rPr>
              <w:t>sgy</w:t>
            </w:r>
            <w:proofErr w:type="spellEnd"/>
            <w:r w:rsidRPr="00FA3F9C">
              <w:rPr>
                <w:rFonts w:ascii="Arial" w:hAnsi="Arial" w:cs="Arial"/>
                <w:sz w:val="24"/>
                <w:szCs w:val="24"/>
              </w:rPr>
              <w:t>; repeat q2-3h for duration of surgery until hemostasis</w:t>
            </w:r>
          </w:p>
        </w:tc>
        <w:tc>
          <w:tcPr>
            <w:tcW w:w="2186" w:type="dxa"/>
            <w:shd w:val="clear" w:color="auto" w:fill="C5E0B3" w:themeFill="accent6" w:themeFillTint="66"/>
          </w:tcPr>
          <w:p w14:paraId="7CE4BD18" w14:textId="77777777" w:rsidR="002641D2" w:rsidRPr="00FA3F9C" w:rsidRDefault="002641D2" w:rsidP="00E475CF">
            <w:pPr>
              <w:rPr>
                <w:rFonts w:ascii="Arial" w:eastAsia="Times New Roman" w:hAnsi="Arial" w:cs="Arial"/>
                <w:sz w:val="24"/>
                <w:szCs w:val="24"/>
              </w:rPr>
            </w:pPr>
            <w:r w:rsidRPr="00FA3F9C">
              <w:rPr>
                <w:rFonts w:ascii="Arial" w:eastAsia="Times New Roman" w:hAnsi="Arial" w:cs="Arial"/>
                <w:sz w:val="24"/>
                <w:szCs w:val="24"/>
              </w:rPr>
              <w:t>Per vial:</w:t>
            </w:r>
          </w:p>
          <w:p w14:paraId="6E3739FA" w14:textId="77777777" w:rsidR="002641D2" w:rsidRPr="00FA3F9C" w:rsidRDefault="002641D2" w:rsidP="00E475CF">
            <w:pPr>
              <w:rPr>
                <w:rFonts w:ascii="Arial" w:eastAsia="Times New Roman" w:hAnsi="Arial" w:cs="Arial"/>
                <w:sz w:val="24"/>
                <w:szCs w:val="24"/>
              </w:rPr>
            </w:pPr>
            <w:r w:rsidRPr="00FA3F9C">
              <w:rPr>
                <w:rFonts w:ascii="Arial" w:eastAsia="Times New Roman" w:hAnsi="Arial" w:cs="Arial"/>
                <w:sz w:val="24"/>
                <w:szCs w:val="24"/>
              </w:rPr>
              <w:t>1mg</w:t>
            </w:r>
          </w:p>
          <w:p w14:paraId="57B81A30" w14:textId="77777777" w:rsidR="002641D2" w:rsidRPr="00FA3F9C" w:rsidRDefault="002641D2" w:rsidP="00E475CF">
            <w:pPr>
              <w:rPr>
                <w:rFonts w:ascii="Arial" w:eastAsia="Times New Roman" w:hAnsi="Arial" w:cs="Arial"/>
                <w:sz w:val="24"/>
                <w:szCs w:val="24"/>
              </w:rPr>
            </w:pPr>
            <w:r w:rsidRPr="00FA3F9C">
              <w:rPr>
                <w:rFonts w:ascii="Arial" w:eastAsia="Times New Roman" w:hAnsi="Arial" w:cs="Arial"/>
                <w:sz w:val="24"/>
                <w:szCs w:val="24"/>
              </w:rPr>
              <w:t>2mg</w:t>
            </w:r>
          </w:p>
          <w:p w14:paraId="4CD192B5" w14:textId="77777777" w:rsidR="002641D2" w:rsidRPr="00FA3F9C" w:rsidRDefault="002641D2" w:rsidP="00E475CF">
            <w:pPr>
              <w:rPr>
                <w:rFonts w:ascii="Arial" w:eastAsia="Times New Roman" w:hAnsi="Arial" w:cs="Arial"/>
                <w:sz w:val="24"/>
                <w:szCs w:val="24"/>
              </w:rPr>
            </w:pPr>
            <w:r w:rsidRPr="00FA3F9C">
              <w:rPr>
                <w:rFonts w:ascii="Arial" w:eastAsia="Times New Roman" w:hAnsi="Arial" w:cs="Arial"/>
                <w:sz w:val="24"/>
                <w:szCs w:val="24"/>
              </w:rPr>
              <w:t>5mg</w:t>
            </w:r>
          </w:p>
          <w:p w14:paraId="1EF5F97B" w14:textId="77777777" w:rsidR="002641D2" w:rsidRPr="00FA3F9C" w:rsidRDefault="002641D2" w:rsidP="00E475CF">
            <w:pPr>
              <w:rPr>
                <w:rFonts w:ascii="Arial" w:eastAsia="Times New Roman" w:hAnsi="Arial" w:cs="Arial"/>
                <w:sz w:val="24"/>
                <w:szCs w:val="24"/>
              </w:rPr>
            </w:pPr>
            <w:r w:rsidRPr="00FA3F9C">
              <w:rPr>
                <w:rFonts w:ascii="Arial" w:eastAsia="Times New Roman" w:hAnsi="Arial" w:cs="Arial"/>
                <w:sz w:val="24"/>
                <w:szCs w:val="24"/>
              </w:rPr>
              <w:t>8mg</w:t>
            </w:r>
          </w:p>
        </w:tc>
        <w:tc>
          <w:tcPr>
            <w:tcW w:w="725" w:type="dxa"/>
            <w:shd w:val="clear" w:color="auto" w:fill="C5E0B3" w:themeFill="accent6" w:themeFillTint="66"/>
          </w:tcPr>
          <w:p w14:paraId="5D70A159" w14:textId="77777777" w:rsidR="002641D2" w:rsidRPr="00FA3F9C" w:rsidRDefault="002641D2" w:rsidP="003026F9">
            <w:pPr>
              <w:rPr>
                <w:rFonts w:ascii="Arial" w:eastAsia="Times New Roman" w:hAnsi="Arial" w:cs="Arial"/>
                <w:color w:val="000000"/>
                <w:sz w:val="24"/>
                <w:szCs w:val="24"/>
              </w:rPr>
            </w:pPr>
            <w:r w:rsidRPr="00FA3F9C">
              <w:rPr>
                <w:rFonts w:ascii="Arial" w:eastAsia="Times New Roman" w:hAnsi="Arial" w:cs="Arial"/>
                <w:color w:val="000000"/>
                <w:sz w:val="24"/>
                <w:szCs w:val="24"/>
              </w:rPr>
              <w:t>$2.80</w:t>
            </w:r>
          </w:p>
        </w:tc>
        <w:tc>
          <w:tcPr>
            <w:tcW w:w="959" w:type="dxa"/>
            <w:shd w:val="clear" w:color="auto" w:fill="C5E0B3" w:themeFill="accent6" w:themeFillTint="66"/>
          </w:tcPr>
          <w:p w14:paraId="44EABFFA" w14:textId="77777777" w:rsidR="002641D2" w:rsidRPr="00FA3F9C" w:rsidRDefault="002641D2" w:rsidP="00AE1453">
            <w:pPr>
              <w:rPr>
                <w:rFonts w:ascii="Arial" w:eastAsia="Times New Roman" w:hAnsi="Arial" w:cs="Arial"/>
                <w:sz w:val="24"/>
                <w:szCs w:val="24"/>
              </w:rPr>
            </w:pPr>
            <w:r w:rsidRPr="00FA3F9C">
              <w:rPr>
                <w:rFonts w:ascii="Arial" w:eastAsia="Times New Roman" w:hAnsi="Arial" w:cs="Arial"/>
                <w:sz w:val="24"/>
                <w:szCs w:val="24"/>
              </w:rPr>
              <w:t>$2800</w:t>
            </w:r>
          </w:p>
          <w:p w14:paraId="7CD3C231" w14:textId="77777777" w:rsidR="002641D2" w:rsidRPr="00FA3F9C" w:rsidRDefault="002641D2" w:rsidP="00AE1453">
            <w:pPr>
              <w:rPr>
                <w:rFonts w:ascii="Arial" w:eastAsia="Times New Roman" w:hAnsi="Arial" w:cs="Arial"/>
                <w:sz w:val="24"/>
                <w:szCs w:val="24"/>
              </w:rPr>
            </w:pPr>
            <w:r w:rsidRPr="00FA3F9C">
              <w:rPr>
                <w:rFonts w:ascii="Arial" w:eastAsia="Times New Roman" w:hAnsi="Arial" w:cs="Arial"/>
                <w:sz w:val="24"/>
                <w:szCs w:val="24"/>
              </w:rPr>
              <w:t>$5600</w:t>
            </w:r>
          </w:p>
          <w:p w14:paraId="62CDD2FA" w14:textId="77777777" w:rsidR="002641D2" w:rsidRPr="00FA3F9C" w:rsidRDefault="002641D2" w:rsidP="00AE1453">
            <w:pPr>
              <w:rPr>
                <w:rFonts w:ascii="Arial" w:eastAsia="Times New Roman" w:hAnsi="Arial" w:cs="Arial"/>
                <w:sz w:val="24"/>
                <w:szCs w:val="24"/>
              </w:rPr>
            </w:pPr>
            <w:r w:rsidRPr="00FA3F9C">
              <w:rPr>
                <w:rFonts w:ascii="Arial" w:eastAsia="Times New Roman" w:hAnsi="Arial" w:cs="Arial"/>
                <w:sz w:val="24"/>
                <w:szCs w:val="24"/>
              </w:rPr>
              <w:t>$14000</w:t>
            </w:r>
          </w:p>
          <w:p w14:paraId="0D23A05B" w14:textId="77777777" w:rsidR="002641D2" w:rsidRPr="00FA3F9C" w:rsidRDefault="002641D2" w:rsidP="00AE1453">
            <w:pPr>
              <w:rPr>
                <w:rFonts w:ascii="Arial" w:eastAsia="Times New Roman" w:hAnsi="Arial" w:cs="Arial"/>
                <w:sz w:val="24"/>
                <w:szCs w:val="24"/>
              </w:rPr>
            </w:pPr>
            <w:r w:rsidRPr="00FA3F9C">
              <w:rPr>
                <w:rFonts w:ascii="Arial" w:eastAsia="Times New Roman" w:hAnsi="Arial" w:cs="Arial"/>
                <w:sz w:val="24"/>
                <w:szCs w:val="24"/>
              </w:rPr>
              <w:t>$22400</w:t>
            </w:r>
          </w:p>
        </w:tc>
      </w:tr>
      <w:tr w:rsidR="002641D2" w:rsidRPr="00FA3F9C" w14:paraId="76F4FBA6" w14:textId="77777777" w:rsidTr="005E15FB">
        <w:trPr>
          <w:jc w:val="center"/>
        </w:trPr>
        <w:tc>
          <w:tcPr>
            <w:tcW w:w="2425" w:type="dxa"/>
            <w:shd w:val="clear" w:color="auto" w:fill="C5E0B3" w:themeFill="accent6" w:themeFillTint="66"/>
          </w:tcPr>
          <w:p w14:paraId="5DF63041" w14:textId="77777777" w:rsidR="002641D2" w:rsidRPr="00FA3F9C" w:rsidRDefault="002641D2" w:rsidP="003026F9">
            <w:pPr>
              <w:rPr>
                <w:rFonts w:ascii="Arial" w:eastAsia="Times New Roman" w:hAnsi="Arial" w:cs="Arial"/>
                <w:iCs/>
                <w:color w:val="000000"/>
                <w:sz w:val="24"/>
                <w:szCs w:val="24"/>
              </w:rPr>
            </w:pPr>
            <w:proofErr w:type="spellStart"/>
            <w:r w:rsidRPr="00FA3F9C">
              <w:rPr>
                <w:rFonts w:ascii="Arial" w:eastAsia="Times New Roman" w:hAnsi="Arial" w:cs="Arial"/>
                <w:iCs/>
                <w:color w:val="000000"/>
                <w:sz w:val="24"/>
                <w:szCs w:val="24"/>
              </w:rPr>
              <w:t>SevenFact</w:t>
            </w:r>
            <w:proofErr w:type="spellEnd"/>
            <w:r w:rsidRPr="00FA3F9C">
              <w:rPr>
                <w:rFonts w:ascii="Arial" w:eastAsia="Times New Roman" w:hAnsi="Arial" w:cs="Arial"/>
                <w:iCs/>
                <w:color w:val="000000"/>
                <w:sz w:val="24"/>
                <w:szCs w:val="24"/>
              </w:rPr>
              <w:t xml:space="preserve"> (</w:t>
            </w:r>
            <w:proofErr w:type="spellStart"/>
            <w:r w:rsidRPr="00FA3F9C">
              <w:rPr>
                <w:rFonts w:ascii="Arial" w:eastAsia="Times New Roman" w:hAnsi="Arial" w:cs="Arial"/>
                <w:iCs/>
                <w:color w:val="000000"/>
                <w:sz w:val="24"/>
                <w:szCs w:val="24"/>
              </w:rPr>
              <w:t>coag</w:t>
            </w:r>
            <w:proofErr w:type="spellEnd"/>
            <w:r w:rsidRPr="00FA3F9C">
              <w:rPr>
                <w:rFonts w:ascii="Arial" w:eastAsia="Times New Roman" w:hAnsi="Arial" w:cs="Arial"/>
                <w:iCs/>
                <w:color w:val="000000"/>
                <w:sz w:val="24"/>
                <w:szCs w:val="24"/>
              </w:rPr>
              <w:t xml:space="preserve"> </w:t>
            </w:r>
            <w:proofErr w:type="spellStart"/>
            <w:r w:rsidRPr="00FA3F9C">
              <w:rPr>
                <w:rFonts w:ascii="Arial" w:eastAsia="Times New Roman" w:hAnsi="Arial" w:cs="Arial"/>
                <w:iCs/>
                <w:color w:val="000000"/>
                <w:sz w:val="24"/>
                <w:szCs w:val="24"/>
              </w:rPr>
              <w:t>VIIa</w:t>
            </w:r>
            <w:proofErr w:type="spellEnd"/>
            <w:r w:rsidRPr="00FA3F9C">
              <w:rPr>
                <w:rFonts w:ascii="Arial" w:eastAsia="Times New Roman" w:hAnsi="Arial" w:cs="Arial"/>
                <w:iCs/>
                <w:color w:val="000000"/>
                <w:sz w:val="24"/>
                <w:szCs w:val="24"/>
              </w:rPr>
              <w:t>, recomb-JNCW</w:t>
            </w:r>
          </w:p>
        </w:tc>
        <w:tc>
          <w:tcPr>
            <w:tcW w:w="2737" w:type="dxa"/>
            <w:shd w:val="clear" w:color="auto" w:fill="C5E0B3" w:themeFill="accent6" w:themeFillTint="66"/>
          </w:tcPr>
          <w:p w14:paraId="48A61850" w14:textId="77777777" w:rsidR="002641D2" w:rsidRPr="00FA3F9C" w:rsidRDefault="002641D2" w:rsidP="002641D2">
            <w:pPr>
              <w:pStyle w:val="ListParagraph"/>
              <w:numPr>
                <w:ilvl w:val="0"/>
                <w:numId w:val="251"/>
              </w:numPr>
              <w:rPr>
                <w:rFonts w:ascii="Arial" w:eastAsia="Times New Roman" w:hAnsi="Arial" w:cs="Arial"/>
                <w:sz w:val="24"/>
                <w:szCs w:val="24"/>
              </w:rPr>
            </w:pPr>
            <w:r w:rsidRPr="00FA3F9C">
              <w:rPr>
                <w:rFonts w:ascii="Arial" w:eastAsia="Times New Roman" w:hAnsi="Arial" w:cs="Arial"/>
                <w:sz w:val="24"/>
                <w:szCs w:val="24"/>
              </w:rPr>
              <w:t xml:space="preserve">Hemophilia (A or B) </w:t>
            </w:r>
            <w:r w:rsidRPr="00FA3F9C">
              <w:rPr>
                <w:rFonts w:ascii="Arial" w:eastAsia="Times New Roman" w:hAnsi="Arial" w:cs="Arial"/>
                <w:sz w:val="24"/>
                <w:szCs w:val="24"/>
                <w:highlight w:val="yellow"/>
              </w:rPr>
              <w:t>with inhibitors</w:t>
            </w:r>
            <w:r w:rsidRPr="00FA3F9C">
              <w:rPr>
                <w:rFonts w:ascii="Arial" w:eastAsia="Times New Roman" w:hAnsi="Arial" w:cs="Arial"/>
                <w:sz w:val="24"/>
                <w:szCs w:val="24"/>
              </w:rPr>
              <w:t>:</w:t>
            </w:r>
          </w:p>
          <w:p w14:paraId="26FF81B7" w14:textId="77777777" w:rsidR="002641D2" w:rsidRPr="00FA3F9C" w:rsidRDefault="002641D2" w:rsidP="002641D2">
            <w:pPr>
              <w:pStyle w:val="ListParagraph"/>
              <w:numPr>
                <w:ilvl w:val="1"/>
                <w:numId w:val="251"/>
              </w:numPr>
              <w:ind w:left="698"/>
              <w:rPr>
                <w:rFonts w:ascii="Arial" w:eastAsia="Times New Roman" w:hAnsi="Arial" w:cs="Arial"/>
                <w:sz w:val="24"/>
                <w:szCs w:val="24"/>
              </w:rPr>
            </w:pPr>
            <w:r w:rsidRPr="00FA3F9C">
              <w:rPr>
                <w:rFonts w:ascii="Arial" w:eastAsia="Times New Roman" w:hAnsi="Arial" w:cs="Arial"/>
                <w:sz w:val="24"/>
                <w:szCs w:val="24"/>
              </w:rPr>
              <w:t>Bleeding episodes</w:t>
            </w:r>
          </w:p>
        </w:tc>
        <w:tc>
          <w:tcPr>
            <w:tcW w:w="236" w:type="dxa"/>
            <w:shd w:val="clear" w:color="auto" w:fill="C5E0B3" w:themeFill="accent6" w:themeFillTint="66"/>
          </w:tcPr>
          <w:p w14:paraId="33201C5A" w14:textId="77777777" w:rsidR="002641D2" w:rsidRPr="00FA3F9C" w:rsidRDefault="002641D2" w:rsidP="003026F9">
            <w:pPr>
              <w:rPr>
                <w:rFonts w:ascii="Arial" w:eastAsia="Times New Roman" w:hAnsi="Arial" w:cs="Arial"/>
                <w:sz w:val="24"/>
                <w:szCs w:val="24"/>
              </w:rPr>
            </w:pPr>
          </w:p>
        </w:tc>
        <w:tc>
          <w:tcPr>
            <w:tcW w:w="4227" w:type="dxa"/>
            <w:shd w:val="clear" w:color="auto" w:fill="C5E0B3" w:themeFill="accent6" w:themeFillTint="66"/>
          </w:tcPr>
          <w:p w14:paraId="71EC7E7C" w14:textId="77777777" w:rsidR="002641D2" w:rsidRPr="00FA3F9C" w:rsidRDefault="002641D2" w:rsidP="00E475CF">
            <w:pPr>
              <w:rPr>
                <w:rFonts w:ascii="Arial" w:hAnsi="Arial" w:cs="Arial"/>
                <w:sz w:val="24"/>
                <w:szCs w:val="24"/>
              </w:rPr>
            </w:pPr>
            <w:proofErr w:type="gramStart"/>
            <w:r w:rsidRPr="00FA3F9C">
              <w:rPr>
                <w:rFonts w:ascii="Arial" w:hAnsi="Arial" w:cs="Arial"/>
                <w:sz w:val="24"/>
                <w:szCs w:val="24"/>
              </w:rPr>
              <w:t>Mild-mod</w:t>
            </w:r>
            <w:proofErr w:type="gramEnd"/>
            <w:r w:rsidRPr="00FA3F9C">
              <w:rPr>
                <w:rFonts w:ascii="Arial" w:hAnsi="Arial" w:cs="Arial"/>
                <w:sz w:val="24"/>
                <w:szCs w:val="24"/>
              </w:rPr>
              <w:t>: 75mcg/kg q3h until hemostasis OR initial dose of 225mcg/kg and if hemostasis is not achieved w/in 9h, give 75mcg/kg q3h until hemostasis.</w:t>
            </w:r>
          </w:p>
          <w:p w14:paraId="18BD5A6D" w14:textId="77777777" w:rsidR="002641D2" w:rsidRPr="00FA3F9C" w:rsidRDefault="002641D2" w:rsidP="00E475CF">
            <w:pPr>
              <w:rPr>
                <w:rFonts w:ascii="Arial" w:hAnsi="Arial" w:cs="Arial"/>
                <w:sz w:val="24"/>
                <w:szCs w:val="24"/>
              </w:rPr>
            </w:pPr>
            <w:r w:rsidRPr="00FA3F9C">
              <w:rPr>
                <w:rFonts w:ascii="Arial" w:hAnsi="Arial" w:cs="Arial"/>
                <w:sz w:val="24"/>
                <w:szCs w:val="24"/>
              </w:rPr>
              <w:t>Severe: initial dose 225mcg/kg, then 6h later if needed give 75mcg/kg q2h until hemostasis.</w:t>
            </w:r>
          </w:p>
        </w:tc>
        <w:tc>
          <w:tcPr>
            <w:tcW w:w="2186" w:type="dxa"/>
            <w:shd w:val="clear" w:color="auto" w:fill="C5E0B3" w:themeFill="accent6" w:themeFillTint="66"/>
          </w:tcPr>
          <w:p w14:paraId="3342D958" w14:textId="77777777" w:rsidR="002641D2" w:rsidRPr="00FA3F9C" w:rsidRDefault="002641D2" w:rsidP="00E475CF">
            <w:pPr>
              <w:rPr>
                <w:rFonts w:ascii="Arial" w:eastAsia="Times New Roman" w:hAnsi="Arial" w:cs="Arial"/>
                <w:sz w:val="24"/>
                <w:szCs w:val="24"/>
              </w:rPr>
            </w:pPr>
            <w:r w:rsidRPr="00FA3F9C">
              <w:rPr>
                <w:rFonts w:ascii="Arial" w:eastAsia="Times New Roman" w:hAnsi="Arial" w:cs="Arial"/>
                <w:sz w:val="24"/>
                <w:szCs w:val="24"/>
              </w:rPr>
              <w:t>1mg is $2,748.</w:t>
            </w:r>
          </w:p>
        </w:tc>
        <w:tc>
          <w:tcPr>
            <w:tcW w:w="725" w:type="dxa"/>
            <w:shd w:val="clear" w:color="auto" w:fill="C5E0B3" w:themeFill="accent6" w:themeFillTint="66"/>
          </w:tcPr>
          <w:p w14:paraId="2698E554" w14:textId="77777777" w:rsidR="002641D2" w:rsidRPr="00FA3F9C" w:rsidRDefault="002641D2" w:rsidP="003026F9">
            <w:pPr>
              <w:rPr>
                <w:rFonts w:ascii="Arial" w:eastAsia="Times New Roman" w:hAnsi="Arial" w:cs="Arial"/>
                <w:color w:val="000000"/>
                <w:sz w:val="24"/>
                <w:szCs w:val="24"/>
              </w:rPr>
            </w:pPr>
            <w:r w:rsidRPr="00FA3F9C">
              <w:rPr>
                <w:rFonts w:ascii="Arial" w:eastAsia="Times New Roman" w:hAnsi="Arial" w:cs="Arial"/>
                <w:color w:val="000000"/>
                <w:sz w:val="24"/>
                <w:szCs w:val="24"/>
              </w:rPr>
              <w:t>$2.75</w:t>
            </w:r>
          </w:p>
        </w:tc>
        <w:tc>
          <w:tcPr>
            <w:tcW w:w="959" w:type="dxa"/>
            <w:shd w:val="clear" w:color="auto" w:fill="C5E0B3" w:themeFill="accent6" w:themeFillTint="66"/>
          </w:tcPr>
          <w:p w14:paraId="52A2919E" w14:textId="77777777" w:rsidR="002641D2" w:rsidRPr="00FA3F9C" w:rsidRDefault="002641D2" w:rsidP="00AE1453">
            <w:pPr>
              <w:rPr>
                <w:rFonts w:ascii="Arial" w:eastAsia="Times New Roman" w:hAnsi="Arial" w:cs="Arial"/>
                <w:sz w:val="24"/>
                <w:szCs w:val="24"/>
              </w:rPr>
            </w:pPr>
            <w:r w:rsidRPr="00FA3F9C">
              <w:rPr>
                <w:rFonts w:ascii="Arial" w:eastAsia="Times New Roman" w:hAnsi="Arial" w:cs="Arial"/>
                <w:sz w:val="24"/>
                <w:szCs w:val="24"/>
              </w:rPr>
              <w:t>$2750</w:t>
            </w:r>
          </w:p>
          <w:p w14:paraId="41B94CE4" w14:textId="77777777" w:rsidR="002641D2" w:rsidRPr="00FA3F9C" w:rsidRDefault="002641D2" w:rsidP="00AE1453">
            <w:pPr>
              <w:rPr>
                <w:rFonts w:ascii="Arial" w:eastAsia="Times New Roman" w:hAnsi="Arial" w:cs="Arial"/>
                <w:sz w:val="24"/>
                <w:szCs w:val="24"/>
              </w:rPr>
            </w:pPr>
            <w:r w:rsidRPr="00FA3F9C">
              <w:rPr>
                <w:rFonts w:ascii="Arial" w:eastAsia="Times New Roman" w:hAnsi="Arial" w:cs="Arial"/>
                <w:sz w:val="24"/>
                <w:szCs w:val="24"/>
              </w:rPr>
              <w:t>$5500</w:t>
            </w:r>
          </w:p>
          <w:p w14:paraId="7CC78F48" w14:textId="77777777" w:rsidR="002641D2" w:rsidRPr="00FA3F9C" w:rsidRDefault="002641D2" w:rsidP="00AE1453">
            <w:pPr>
              <w:rPr>
                <w:rFonts w:ascii="Arial" w:eastAsia="Times New Roman" w:hAnsi="Arial" w:cs="Arial"/>
                <w:sz w:val="24"/>
                <w:szCs w:val="24"/>
              </w:rPr>
            </w:pPr>
            <w:r w:rsidRPr="00FA3F9C">
              <w:rPr>
                <w:rFonts w:ascii="Arial" w:eastAsia="Times New Roman" w:hAnsi="Arial" w:cs="Arial"/>
                <w:sz w:val="24"/>
                <w:szCs w:val="24"/>
              </w:rPr>
              <w:t>$13740</w:t>
            </w:r>
          </w:p>
          <w:p w14:paraId="0ED0AFCD" w14:textId="77777777" w:rsidR="002641D2" w:rsidRPr="00FA3F9C" w:rsidRDefault="002641D2" w:rsidP="00AE1453">
            <w:pPr>
              <w:rPr>
                <w:rFonts w:ascii="Arial" w:eastAsia="Times New Roman" w:hAnsi="Arial" w:cs="Arial"/>
                <w:sz w:val="24"/>
                <w:szCs w:val="24"/>
              </w:rPr>
            </w:pPr>
            <w:r w:rsidRPr="00FA3F9C">
              <w:rPr>
                <w:rFonts w:ascii="Arial" w:eastAsia="Times New Roman" w:hAnsi="Arial" w:cs="Arial"/>
                <w:sz w:val="24"/>
                <w:szCs w:val="24"/>
              </w:rPr>
              <w:t>$21984</w:t>
            </w:r>
          </w:p>
        </w:tc>
      </w:tr>
    </w:tbl>
    <w:p w14:paraId="2F6707A4" w14:textId="77777777" w:rsidR="002641D2" w:rsidRPr="00FA3F9C" w:rsidRDefault="002641D2" w:rsidP="00A20C66">
      <w:pPr>
        <w:pStyle w:val="headinganchor"/>
        <w:spacing w:before="0" w:beforeAutospacing="0" w:after="0" w:afterAutospacing="0" w:line="282" w:lineRule="atLeast"/>
        <w:rPr>
          <w:rFonts w:ascii="Arial" w:hAnsi="Arial" w:cs="Arial"/>
          <w:color w:val="000000"/>
          <w:sz w:val="24"/>
          <w:szCs w:val="24"/>
        </w:rPr>
      </w:pPr>
      <w:r w:rsidRPr="00FA3F9C">
        <w:rPr>
          <w:rStyle w:val="h1"/>
          <w:rFonts w:ascii="Arial" w:hAnsi="Arial" w:cs="Arial"/>
          <w:b/>
          <w:bCs/>
          <w:color w:val="000000"/>
          <w:sz w:val="24"/>
          <w:szCs w:val="24"/>
        </w:rPr>
        <w:t>DEFINITIONS</w:t>
      </w:r>
      <w:r w:rsidRPr="00FA3F9C">
        <w:rPr>
          <w:rStyle w:val="headingendmark"/>
          <w:rFonts w:ascii="Arial" w:hAnsi="Arial" w:cs="Arial"/>
          <w:color w:val="000000"/>
          <w:sz w:val="24"/>
          <w:szCs w:val="24"/>
        </w:rPr>
        <w:t> — </w:t>
      </w:r>
      <w:r w:rsidRPr="00FA3F9C">
        <w:rPr>
          <w:rFonts w:ascii="Arial" w:hAnsi="Arial" w:cs="Arial"/>
          <w:color w:val="000000"/>
          <w:sz w:val="24"/>
          <w:szCs w:val="24"/>
        </w:rPr>
        <w:t>Hemophilia typically refers to an inherited bleeding disorder caused by deficiency of coagulation factor VIII (hemophilia A), factor IX (hemophilia B or Christmas disease), or factor XI (hemophilia C or Rosenthal syndrome).</w:t>
      </w:r>
    </w:p>
    <w:p w14:paraId="1E9CEDA1" w14:textId="77777777" w:rsidR="002641D2" w:rsidRPr="00FA3F9C" w:rsidRDefault="002641D2" w:rsidP="00A20C66">
      <w:pPr>
        <w:pStyle w:val="bulletindent1"/>
        <w:spacing w:before="0" w:beforeAutospacing="0" w:after="0" w:afterAutospacing="0" w:line="282" w:lineRule="atLeast"/>
        <w:rPr>
          <w:rFonts w:ascii="Arial" w:hAnsi="Arial" w:cs="Arial"/>
          <w:color w:val="000000"/>
          <w:sz w:val="24"/>
          <w:szCs w:val="24"/>
        </w:rPr>
      </w:pPr>
      <w:r w:rsidRPr="00FA3F9C">
        <w:rPr>
          <w:rStyle w:val="glyph"/>
          <w:rFonts w:ascii="Arial" w:hAnsi="Arial" w:cs="Arial"/>
          <w:color w:val="000000"/>
          <w:sz w:val="24"/>
          <w:szCs w:val="24"/>
        </w:rPr>
        <w:t>●</w:t>
      </w:r>
      <w:r w:rsidRPr="00FA3F9C">
        <w:rPr>
          <w:rStyle w:val="Strong"/>
          <w:rFonts w:ascii="Arial" w:hAnsi="Arial" w:cs="Arial"/>
          <w:color w:val="000000"/>
          <w:sz w:val="24"/>
          <w:szCs w:val="24"/>
        </w:rPr>
        <w:t>Acquired factor deficiencies</w:t>
      </w:r>
      <w:r w:rsidRPr="00FA3F9C">
        <w:rPr>
          <w:rStyle w:val="apple-converted-space"/>
          <w:rFonts w:ascii="Arial" w:hAnsi="Arial" w:cs="Arial"/>
          <w:color w:val="000000"/>
          <w:sz w:val="24"/>
          <w:szCs w:val="24"/>
        </w:rPr>
        <w:t> </w:t>
      </w:r>
      <w:r w:rsidRPr="00FA3F9C">
        <w:rPr>
          <w:rFonts w:ascii="Arial" w:hAnsi="Arial" w:cs="Arial"/>
          <w:color w:val="000000"/>
          <w:sz w:val="24"/>
          <w:szCs w:val="24"/>
        </w:rPr>
        <w:t>– Acquired coagulation factor deficiencies caused by an autoantibody (often to factor VIII) are sometimes referred to as acquired hemophilia. The terms "acquired factor inhibitor" or "acquired factor deficiency" are preferable to avoid potential mislabeling the patient as having hemophilia A or B. Management of these conditions is discussed separately. (See</w:t>
      </w:r>
      <w:r w:rsidRPr="00FA3F9C">
        <w:rPr>
          <w:rStyle w:val="apple-converted-space"/>
          <w:rFonts w:ascii="Arial" w:hAnsi="Arial" w:cs="Arial"/>
          <w:color w:val="000000"/>
          <w:sz w:val="24"/>
          <w:szCs w:val="24"/>
        </w:rPr>
        <w:t> </w:t>
      </w:r>
      <w:hyperlink r:id="rId223" w:history="1">
        <w:r w:rsidRPr="00FA3F9C">
          <w:rPr>
            <w:rStyle w:val="Hyperlink"/>
            <w:rFonts w:ascii="Arial" w:hAnsi="Arial" w:cs="Arial"/>
            <w:color w:val="00905A"/>
            <w:sz w:val="24"/>
            <w:szCs w:val="24"/>
          </w:rPr>
          <w:t>"Acquired inhibitors of coagulation"</w:t>
        </w:r>
      </w:hyperlink>
      <w:r w:rsidRPr="00FA3F9C">
        <w:rPr>
          <w:rFonts w:ascii="Arial" w:hAnsi="Arial" w:cs="Arial"/>
          <w:color w:val="000000"/>
          <w:sz w:val="24"/>
          <w:szCs w:val="24"/>
        </w:rPr>
        <w:t>.)</w:t>
      </w:r>
    </w:p>
    <w:p w14:paraId="0555052B" w14:textId="77777777" w:rsidR="002641D2" w:rsidRPr="00FA3F9C" w:rsidRDefault="002641D2" w:rsidP="00A20C66">
      <w:pPr>
        <w:pStyle w:val="bulletindent1"/>
        <w:spacing w:before="0" w:beforeAutospacing="0" w:after="0" w:afterAutospacing="0" w:line="282" w:lineRule="atLeast"/>
        <w:rPr>
          <w:rFonts w:ascii="Arial" w:hAnsi="Arial" w:cs="Arial"/>
          <w:color w:val="000000"/>
          <w:sz w:val="24"/>
          <w:szCs w:val="24"/>
        </w:rPr>
      </w:pPr>
      <w:r w:rsidRPr="00FA3F9C">
        <w:rPr>
          <w:rStyle w:val="glyph"/>
          <w:rFonts w:ascii="Arial" w:hAnsi="Arial" w:cs="Arial"/>
          <w:color w:val="000000"/>
          <w:sz w:val="24"/>
          <w:szCs w:val="24"/>
        </w:rPr>
        <w:t>●</w:t>
      </w:r>
      <w:r w:rsidRPr="00FA3F9C">
        <w:rPr>
          <w:rStyle w:val="Strong"/>
          <w:rFonts w:ascii="Arial" w:hAnsi="Arial" w:cs="Arial"/>
          <w:color w:val="000000"/>
          <w:sz w:val="24"/>
          <w:szCs w:val="24"/>
        </w:rPr>
        <w:t>Inhibitors</w:t>
      </w:r>
      <w:r w:rsidRPr="00FA3F9C">
        <w:rPr>
          <w:rStyle w:val="apple-converted-space"/>
          <w:rFonts w:ascii="Arial" w:hAnsi="Arial" w:cs="Arial"/>
          <w:color w:val="000000"/>
          <w:sz w:val="24"/>
          <w:szCs w:val="24"/>
        </w:rPr>
        <w:t> </w:t>
      </w:r>
      <w:r w:rsidRPr="00FA3F9C">
        <w:rPr>
          <w:rFonts w:ascii="Arial" w:hAnsi="Arial" w:cs="Arial"/>
          <w:color w:val="000000"/>
          <w:sz w:val="24"/>
          <w:szCs w:val="24"/>
        </w:rPr>
        <w:t>– In hemophilia, inhibitor refers to an autoantibody that typically forms in response to infused factor. Inhibitors are most common in individuals with very low baseline factor levels. (See</w:t>
      </w:r>
      <w:r w:rsidRPr="00FA3F9C">
        <w:rPr>
          <w:rStyle w:val="apple-converted-space"/>
          <w:rFonts w:ascii="Arial" w:hAnsi="Arial" w:cs="Arial"/>
          <w:color w:val="000000"/>
          <w:sz w:val="24"/>
          <w:szCs w:val="24"/>
        </w:rPr>
        <w:t> </w:t>
      </w:r>
      <w:hyperlink r:id="rId224" w:history="1">
        <w:r w:rsidRPr="00FA3F9C">
          <w:rPr>
            <w:rStyle w:val="Hyperlink"/>
            <w:rFonts w:ascii="Arial" w:hAnsi="Arial" w:cs="Arial"/>
            <w:color w:val="00905A"/>
            <w:sz w:val="24"/>
            <w:szCs w:val="24"/>
          </w:rPr>
          <w:t>"Factor VIII and factor IX inhibitors in patients with hemophilia"</w:t>
        </w:r>
      </w:hyperlink>
      <w:r w:rsidRPr="00FA3F9C">
        <w:rPr>
          <w:rFonts w:ascii="Arial" w:hAnsi="Arial" w:cs="Arial"/>
          <w:color w:val="000000"/>
          <w:sz w:val="24"/>
          <w:szCs w:val="24"/>
        </w:rPr>
        <w:t>.)</w:t>
      </w:r>
    </w:p>
    <w:p w14:paraId="29B407A2" w14:textId="77777777" w:rsidR="002641D2" w:rsidRPr="00FA3F9C" w:rsidRDefault="002641D2" w:rsidP="00A20C66">
      <w:pPr>
        <w:pStyle w:val="bulletindent1"/>
        <w:spacing w:before="0" w:beforeAutospacing="0" w:after="0" w:afterAutospacing="0" w:line="282" w:lineRule="atLeast"/>
        <w:rPr>
          <w:rFonts w:ascii="Arial" w:hAnsi="Arial" w:cs="Arial"/>
          <w:color w:val="000000"/>
          <w:sz w:val="24"/>
          <w:szCs w:val="24"/>
        </w:rPr>
      </w:pPr>
      <w:r w:rsidRPr="00FA3F9C">
        <w:rPr>
          <w:rStyle w:val="glyph"/>
          <w:rFonts w:ascii="Arial" w:hAnsi="Arial" w:cs="Arial"/>
          <w:color w:val="000000"/>
          <w:sz w:val="24"/>
          <w:szCs w:val="24"/>
        </w:rPr>
        <w:lastRenderedPageBreak/>
        <w:t>●</w:t>
      </w:r>
      <w:r w:rsidRPr="00FA3F9C">
        <w:rPr>
          <w:rStyle w:val="Strong"/>
          <w:rFonts w:ascii="Arial" w:hAnsi="Arial" w:cs="Arial"/>
          <w:color w:val="000000"/>
          <w:sz w:val="24"/>
          <w:szCs w:val="24"/>
        </w:rPr>
        <w:t>Severity</w:t>
      </w:r>
      <w:r w:rsidRPr="00FA3F9C">
        <w:rPr>
          <w:rStyle w:val="apple-converted-space"/>
          <w:rFonts w:ascii="Arial" w:hAnsi="Arial" w:cs="Arial"/>
          <w:color w:val="000000"/>
          <w:sz w:val="24"/>
          <w:szCs w:val="24"/>
        </w:rPr>
        <w:t> </w:t>
      </w:r>
      <w:r w:rsidRPr="00FA3F9C">
        <w:rPr>
          <w:rFonts w:ascii="Arial" w:hAnsi="Arial" w:cs="Arial"/>
          <w:color w:val="000000"/>
          <w:sz w:val="24"/>
          <w:szCs w:val="24"/>
        </w:rPr>
        <w:t>– Hemophilia is characterized as mild, moderate, or severe, based on the residual or baseline factor activity level (also referred to as "factor level"); this is expressed as a percent of normal or in international units</w:t>
      </w:r>
      <w:r w:rsidRPr="00FA3F9C">
        <w:rPr>
          <w:rStyle w:val="apple-converted-space"/>
          <w:rFonts w:ascii="Arial" w:hAnsi="Arial" w:cs="Arial"/>
          <w:color w:val="000000"/>
          <w:sz w:val="24"/>
          <w:szCs w:val="24"/>
        </w:rPr>
        <w:t> </w:t>
      </w:r>
      <w:r w:rsidRPr="00FA3F9C">
        <w:rPr>
          <w:rStyle w:val="nowrap"/>
          <w:rFonts w:ascii="Arial" w:hAnsi="Arial" w:cs="Arial"/>
          <w:color w:val="000000"/>
          <w:sz w:val="24"/>
          <w:szCs w:val="24"/>
        </w:rPr>
        <w:t>(IU)/mL</w:t>
      </w:r>
      <w:r w:rsidRPr="00FA3F9C">
        <w:rPr>
          <w:rStyle w:val="apple-converted-space"/>
          <w:rFonts w:ascii="Arial" w:hAnsi="Arial" w:cs="Arial"/>
          <w:color w:val="000000"/>
          <w:sz w:val="24"/>
          <w:szCs w:val="24"/>
        </w:rPr>
        <w:t> </w:t>
      </w:r>
      <w:r w:rsidRPr="00FA3F9C">
        <w:rPr>
          <w:rFonts w:ascii="Arial" w:hAnsi="Arial" w:cs="Arial"/>
          <w:color w:val="000000"/>
          <w:sz w:val="24"/>
          <w:szCs w:val="24"/>
        </w:rPr>
        <w:t>[</w:t>
      </w:r>
      <w:hyperlink r:id="rId225" w:history="1">
        <w:r w:rsidRPr="00FA3F9C">
          <w:rPr>
            <w:rStyle w:val="Hyperlink"/>
            <w:rFonts w:ascii="Arial" w:hAnsi="Arial" w:cs="Arial"/>
            <w:color w:val="00905A"/>
            <w:sz w:val="24"/>
            <w:szCs w:val="24"/>
          </w:rPr>
          <w:t>1</w:t>
        </w:r>
      </w:hyperlink>
      <w:r w:rsidRPr="00FA3F9C">
        <w:rPr>
          <w:rFonts w:ascii="Arial" w:hAnsi="Arial" w:cs="Arial"/>
          <w:color w:val="000000"/>
          <w:sz w:val="24"/>
          <w:szCs w:val="24"/>
        </w:rPr>
        <w:t>]. Factor levels typically correlate with the degree of bleeding symptoms [</w:t>
      </w:r>
      <w:hyperlink r:id="rId226" w:history="1">
        <w:r w:rsidRPr="00FA3F9C">
          <w:rPr>
            <w:rStyle w:val="Hyperlink"/>
            <w:rFonts w:ascii="Arial" w:hAnsi="Arial" w:cs="Arial"/>
            <w:color w:val="00905A"/>
            <w:sz w:val="24"/>
            <w:szCs w:val="24"/>
          </w:rPr>
          <w:t>2,3</w:t>
        </w:r>
      </w:hyperlink>
      <w:r w:rsidRPr="00FA3F9C">
        <w:rPr>
          <w:rFonts w:ascii="Arial" w:hAnsi="Arial" w:cs="Arial"/>
          <w:color w:val="000000"/>
          <w:sz w:val="24"/>
          <w:szCs w:val="24"/>
        </w:rPr>
        <w:t>].</w:t>
      </w:r>
    </w:p>
    <w:p w14:paraId="7A95907D" w14:textId="77777777" w:rsidR="002641D2" w:rsidRPr="00FA3F9C" w:rsidRDefault="002641D2" w:rsidP="00A20C66">
      <w:pPr>
        <w:pStyle w:val="bulletindent2"/>
        <w:spacing w:before="0" w:beforeAutospacing="0" w:after="0" w:afterAutospacing="0" w:line="282" w:lineRule="atLeast"/>
        <w:rPr>
          <w:rFonts w:ascii="Arial" w:hAnsi="Arial" w:cs="Arial"/>
          <w:color w:val="000000"/>
          <w:sz w:val="24"/>
          <w:szCs w:val="24"/>
        </w:rPr>
      </w:pPr>
      <w:r w:rsidRPr="00FA3F9C">
        <w:rPr>
          <w:rStyle w:val="glyph"/>
          <w:rFonts w:ascii="Arial" w:hAnsi="Arial" w:cs="Arial"/>
          <w:color w:val="000000"/>
          <w:sz w:val="24"/>
          <w:szCs w:val="24"/>
        </w:rPr>
        <w:t>•</w:t>
      </w:r>
      <w:r w:rsidRPr="00FA3F9C">
        <w:rPr>
          <w:rStyle w:val="Strong"/>
          <w:rFonts w:ascii="Arial" w:hAnsi="Arial" w:cs="Arial"/>
          <w:color w:val="000000"/>
          <w:sz w:val="24"/>
          <w:szCs w:val="24"/>
        </w:rPr>
        <w:t>Severe hemophilia</w:t>
      </w:r>
      <w:r w:rsidRPr="00FA3F9C">
        <w:rPr>
          <w:rStyle w:val="apple-converted-space"/>
          <w:rFonts w:ascii="Arial" w:hAnsi="Arial" w:cs="Arial"/>
          <w:color w:val="000000"/>
          <w:sz w:val="24"/>
          <w:szCs w:val="24"/>
        </w:rPr>
        <w:t> </w:t>
      </w:r>
      <w:r w:rsidRPr="00FA3F9C">
        <w:rPr>
          <w:rFonts w:ascii="Arial" w:hAnsi="Arial" w:cs="Arial"/>
          <w:color w:val="000000"/>
          <w:sz w:val="24"/>
          <w:szCs w:val="24"/>
        </w:rPr>
        <w:t>– Severe hemophilia is defined as &lt;1% factor activity, which corresponds to &lt;0.01</w:t>
      </w:r>
      <w:r w:rsidRPr="00FA3F9C">
        <w:rPr>
          <w:rStyle w:val="apple-converted-space"/>
          <w:rFonts w:ascii="Arial" w:hAnsi="Arial" w:cs="Arial"/>
          <w:color w:val="000000"/>
          <w:sz w:val="24"/>
          <w:szCs w:val="24"/>
        </w:rPr>
        <w:t> </w:t>
      </w:r>
      <w:r w:rsidRPr="00FA3F9C">
        <w:rPr>
          <w:rStyle w:val="nowrap"/>
          <w:rFonts w:ascii="Arial" w:hAnsi="Arial" w:cs="Arial"/>
          <w:color w:val="000000"/>
          <w:sz w:val="24"/>
          <w:szCs w:val="24"/>
        </w:rPr>
        <w:t>IU/</w:t>
      </w:r>
      <w:proofErr w:type="spellStart"/>
      <w:r w:rsidRPr="00FA3F9C">
        <w:rPr>
          <w:rStyle w:val="nowrap"/>
          <w:rFonts w:ascii="Arial" w:hAnsi="Arial" w:cs="Arial"/>
          <w:color w:val="000000"/>
          <w:sz w:val="24"/>
          <w:szCs w:val="24"/>
        </w:rPr>
        <w:t>mL</w:t>
      </w:r>
      <w:r w:rsidRPr="00FA3F9C">
        <w:rPr>
          <w:rFonts w:ascii="Arial" w:hAnsi="Arial" w:cs="Arial"/>
          <w:color w:val="000000"/>
          <w:sz w:val="24"/>
          <w:szCs w:val="24"/>
        </w:rPr>
        <w:t>.</w:t>
      </w:r>
      <w:proofErr w:type="spellEnd"/>
    </w:p>
    <w:p w14:paraId="56D505EB" w14:textId="77777777" w:rsidR="002641D2" w:rsidRPr="00FA3F9C" w:rsidRDefault="002641D2" w:rsidP="00A20C66">
      <w:pPr>
        <w:pStyle w:val="bulletindent2"/>
        <w:spacing w:before="0" w:beforeAutospacing="0" w:after="0" w:afterAutospacing="0" w:line="282" w:lineRule="atLeast"/>
        <w:rPr>
          <w:rFonts w:ascii="Arial" w:hAnsi="Arial" w:cs="Arial"/>
          <w:color w:val="000000"/>
          <w:sz w:val="24"/>
          <w:szCs w:val="24"/>
        </w:rPr>
      </w:pPr>
      <w:r w:rsidRPr="00FA3F9C">
        <w:rPr>
          <w:rStyle w:val="glyph"/>
          <w:rFonts w:ascii="Arial" w:hAnsi="Arial" w:cs="Arial"/>
          <w:color w:val="000000"/>
          <w:sz w:val="24"/>
          <w:szCs w:val="24"/>
        </w:rPr>
        <w:t>•</w:t>
      </w:r>
      <w:r w:rsidRPr="00FA3F9C">
        <w:rPr>
          <w:rStyle w:val="Strong"/>
          <w:rFonts w:ascii="Arial" w:hAnsi="Arial" w:cs="Arial"/>
          <w:color w:val="000000"/>
          <w:sz w:val="24"/>
          <w:szCs w:val="24"/>
        </w:rPr>
        <w:t>Moderate hemophilia</w:t>
      </w:r>
      <w:r w:rsidRPr="00FA3F9C">
        <w:rPr>
          <w:rStyle w:val="apple-converted-space"/>
          <w:rFonts w:ascii="Arial" w:hAnsi="Arial" w:cs="Arial"/>
          <w:color w:val="000000"/>
          <w:sz w:val="24"/>
          <w:szCs w:val="24"/>
        </w:rPr>
        <w:t> </w:t>
      </w:r>
      <w:r w:rsidRPr="00FA3F9C">
        <w:rPr>
          <w:rFonts w:ascii="Arial" w:hAnsi="Arial" w:cs="Arial"/>
          <w:color w:val="000000"/>
          <w:sz w:val="24"/>
          <w:szCs w:val="24"/>
        </w:rPr>
        <w:t>– Moderate hemophilia is defined as a factor activity level ≥1% of normal and &lt;5% of normal, corresponding to ≥0.01 and &lt;0.05</w:t>
      </w:r>
      <w:r w:rsidRPr="00FA3F9C">
        <w:rPr>
          <w:rStyle w:val="apple-converted-space"/>
          <w:rFonts w:ascii="Arial" w:hAnsi="Arial" w:cs="Arial"/>
          <w:color w:val="000000"/>
          <w:sz w:val="24"/>
          <w:szCs w:val="24"/>
        </w:rPr>
        <w:t> </w:t>
      </w:r>
      <w:r w:rsidRPr="00FA3F9C">
        <w:rPr>
          <w:rStyle w:val="nowrap"/>
          <w:rFonts w:ascii="Arial" w:hAnsi="Arial" w:cs="Arial"/>
          <w:color w:val="000000"/>
          <w:sz w:val="24"/>
          <w:szCs w:val="24"/>
        </w:rPr>
        <w:t>IU/</w:t>
      </w:r>
      <w:proofErr w:type="spellStart"/>
      <w:r w:rsidRPr="00FA3F9C">
        <w:rPr>
          <w:rStyle w:val="nowrap"/>
          <w:rFonts w:ascii="Arial" w:hAnsi="Arial" w:cs="Arial"/>
          <w:color w:val="000000"/>
          <w:sz w:val="24"/>
          <w:szCs w:val="24"/>
        </w:rPr>
        <w:t>mL</w:t>
      </w:r>
      <w:r w:rsidRPr="00FA3F9C">
        <w:rPr>
          <w:rFonts w:ascii="Arial" w:hAnsi="Arial" w:cs="Arial"/>
          <w:color w:val="000000"/>
          <w:sz w:val="24"/>
          <w:szCs w:val="24"/>
        </w:rPr>
        <w:t>.</w:t>
      </w:r>
      <w:proofErr w:type="spellEnd"/>
    </w:p>
    <w:p w14:paraId="4550E19C" w14:textId="77777777" w:rsidR="002641D2" w:rsidRPr="00FA3F9C" w:rsidRDefault="002641D2" w:rsidP="00745345">
      <w:pPr>
        <w:pStyle w:val="bulletindent2"/>
        <w:spacing w:before="0" w:beforeAutospacing="0" w:after="0" w:afterAutospacing="0" w:line="282" w:lineRule="atLeast"/>
        <w:rPr>
          <w:rFonts w:ascii="Arial" w:hAnsi="Arial" w:cs="Arial"/>
          <w:color w:val="000000"/>
          <w:sz w:val="24"/>
          <w:szCs w:val="24"/>
        </w:rPr>
      </w:pPr>
      <w:r w:rsidRPr="00FA3F9C">
        <w:rPr>
          <w:rStyle w:val="glyph"/>
          <w:rFonts w:ascii="Arial" w:hAnsi="Arial" w:cs="Arial"/>
          <w:color w:val="000000"/>
          <w:sz w:val="24"/>
          <w:szCs w:val="24"/>
        </w:rPr>
        <w:t>•</w:t>
      </w:r>
      <w:r w:rsidRPr="00FA3F9C">
        <w:rPr>
          <w:rStyle w:val="Strong"/>
          <w:rFonts w:ascii="Arial" w:hAnsi="Arial" w:cs="Arial"/>
          <w:color w:val="000000"/>
          <w:sz w:val="24"/>
          <w:szCs w:val="24"/>
        </w:rPr>
        <w:t>Mild hemophilia</w:t>
      </w:r>
      <w:r w:rsidRPr="00FA3F9C">
        <w:rPr>
          <w:rStyle w:val="apple-converted-space"/>
          <w:rFonts w:ascii="Arial" w:hAnsi="Arial" w:cs="Arial"/>
          <w:color w:val="000000"/>
          <w:sz w:val="24"/>
          <w:szCs w:val="24"/>
        </w:rPr>
        <w:t> </w:t>
      </w:r>
      <w:r w:rsidRPr="00FA3F9C">
        <w:rPr>
          <w:rFonts w:ascii="Arial" w:hAnsi="Arial" w:cs="Arial"/>
          <w:color w:val="000000"/>
          <w:sz w:val="24"/>
          <w:szCs w:val="24"/>
        </w:rPr>
        <w:t>– Mild hemophilia is defined as a factor activity level ≥5% of normal and &lt;40% of normal (≥0.05 and &lt;0.40</w:t>
      </w:r>
      <w:r w:rsidRPr="00FA3F9C">
        <w:rPr>
          <w:rStyle w:val="apple-converted-space"/>
          <w:rFonts w:ascii="Arial" w:hAnsi="Arial" w:cs="Arial"/>
          <w:color w:val="000000"/>
          <w:sz w:val="24"/>
          <w:szCs w:val="24"/>
        </w:rPr>
        <w:t> </w:t>
      </w:r>
      <w:r w:rsidRPr="00FA3F9C">
        <w:rPr>
          <w:rStyle w:val="nowrap"/>
          <w:rFonts w:ascii="Arial" w:hAnsi="Arial" w:cs="Arial"/>
          <w:color w:val="000000"/>
          <w:sz w:val="24"/>
          <w:szCs w:val="24"/>
        </w:rPr>
        <w:t>IU/mL)</w:t>
      </w:r>
      <w:r w:rsidRPr="00FA3F9C">
        <w:rPr>
          <w:rFonts w:ascii="Arial" w:hAnsi="Arial" w:cs="Arial"/>
          <w:color w:val="000000"/>
          <w:sz w:val="24"/>
          <w:szCs w:val="24"/>
        </w:rPr>
        <w:t>.</w:t>
      </w:r>
    </w:p>
    <w:p w14:paraId="4AEC0453" w14:textId="77777777" w:rsidR="002641D2" w:rsidRPr="00FA3F9C" w:rsidRDefault="002641D2" w:rsidP="00745345">
      <w:pPr>
        <w:pStyle w:val="bulletindent2"/>
        <w:spacing w:before="0" w:beforeAutospacing="0" w:after="0" w:afterAutospacing="0" w:line="282" w:lineRule="atLeast"/>
        <w:rPr>
          <w:rFonts w:ascii="Arial" w:hAnsi="Arial" w:cs="Arial"/>
          <w:color w:val="000000"/>
          <w:sz w:val="24"/>
          <w:szCs w:val="24"/>
        </w:rPr>
      </w:pPr>
    </w:p>
    <w:p w14:paraId="5B6EB825" w14:textId="77777777" w:rsidR="002641D2" w:rsidRPr="00FA3F9C" w:rsidRDefault="002641D2" w:rsidP="00745345">
      <w:pPr>
        <w:pStyle w:val="bulletindent2"/>
        <w:spacing w:before="0" w:beforeAutospacing="0" w:after="0" w:afterAutospacing="0" w:line="282" w:lineRule="atLeast"/>
        <w:rPr>
          <w:rFonts w:ascii="Arial" w:hAnsi="Arial" w:cs="Arial"/>
          <w:color w:val="000000"/>
          <w:sz w:val="24"/>
          <w:szCs w:val="24"/>
        </w:rPr>
      </w:pPr>
      <w:r w:rsidRPr="00FA3F9C">
        <w:rPr>
          <w:rFonts w:ascii="Arial" w:hAnsi="Arial" w:cs="Arial"/>
          <w:color w:val="000000"/>
          <w:sz w:val="24"/>
          <w:szCs w:val="24"/>
        </w:rPr>
        <w:t>Revision history:</w:t>
      </w:r>
    </w:p>
    <w:tbl>
      <w:tblPr>
        <w:tblStyle w:val="TableGrid"/>
        <w:tblW w:w="0" w:type="auto"/>
        <w:tblLook w:val="04A0" w:firstRow="1" w:lastRow="0" w:firstColumn="1" w:lastColumn="0" w:noHBand="0" w:noVBand="1"/>
      </w:tblPr>
      <w:tblGrid>
        <w:gridCol w:w="1017"/>
        <w:gridCol w:w="10622"/>
        <w:gridCol w:w="2031"/>
      </w:tblGrid>
      <w:tr w:rsidR="002641D2" w:rsidRPr="00FA3F9C" w14:paraId="5DECFE6F" w14:textId="77777777" w:rsidTr="00F215E7">
        <w:tc>
          <w:tcPr>
            <w:tcW w:w="985" w:type="dxa"/>
          </w:tcPr>
          <w:p w14:paraId="419B5508" w14:textId="77777777" w:rsidR="002641D2" w:rsidRPr="00FA3F9C" w:rsidRDefault="002641D2" w:rsidP="00745345">
            <w:pPr>
              <w:pStyle w:val="bulletindent2"/>
              <w:spacing w:before="0" w:beforeAutospacing="0" w:after="0" w:afterAutospacing="0" w:line="282" w:lineRule="atLeast"/>
              <w:rPr>
                <w:rFonts w:ascii="Arial" w:hAnsi="Arial" w:cs="Arial"/>
                <w:color w:val="000000"/>
                <w:sz w:val="24"/>
                <w:szCs w:val="24"/>
              </w:rPr>
            </w:pPr>
            <w:r w:rsidRPr="00FA3F9C">
              <w:rPr>
                <w:rFonts w:ascii="Arial" w:hAnsi="Arial" w:cs="Arial"/>
                <w:color w:val="000000"/>
                <w:sz w:val="24"/>
                <w:szCs w:val="24"/>
              </w:rPr>
              <w:t>Date</w:t>
            </w:r>
          </w:p>
        </w:tc>
        <w:tc>
          <w:tcPr>
            <w:tcW w:w="11340" w:type="dxa"/>
          </w:tcPr>
          <w:p w14:paraId="7F19FBD4" w14:textId="77777777" w:rsidR="002641D2" w:rsidRPr="00FA3F9C" w:rsidRDefault="002641D2" w:rsidP="00745345">
            <w:pPr>
              <w:pStyle w:val="bulletindent2"/>
              <w:spacing w:before="0" w:beforeAutospacing="0" w:after="0" w:afterAutospacing="0" w:line="282" w:lineRule="atLeast"/>
              <w:rPr>
                <w:rFonts w:ascii="Arial" w:hAnsi="Arial" w:cs="Arial"/>
                <w:color w:val="000000"/>
                <w:sz w:val="24"/>
                <w:szCs w:val="24"/>
              </w:rPr>
            </w:pPr>
            <w:r w:rsidRPr="00FA3F9C">
              <w:rPr>
                <w:rFonts w:ascii="Arial" w:hAnsi="Arial" w:cs="Arial"/>
                <w:color w:val="000000"/>
                <w:sz w:val="24"/>
                <w:szCs w:val="24"/>
              </w:rPr>
              <w:t>What changed?</w:t>
            </w:r>
          </w:p>
        </w:tc>
        <w:tc>
          <w:tcPr>
            <w:tcW w:w="2065" w:type="dxa"/>
          </w:tcPr>
          <w:p w14:paraId="22DEF1BF" w14:textId="77777777" w:rsidR="002641D2" w:rsidRPr="00FA3F9C" w:rsidRDefault="002641D2" w:rsidP="00745345">
            <w:pPr>
              <w:pStyle w:val="bulletindent2"/>
              <w:spacing w:before="0" w:beforeAutospacing="0" w:after="0" w:afterAutospacing="0" w:line="282" w:lineRule="atLeast"/>
              <w:rPr>
                <w:rFonts w:ascii="Arial" w:hAnsi="Arial" w:cs="Arial"/>
                <w:color w:val="000000"/>
                <w:sz w:val="24"/>
                <w:szCs w:val="24"/>
              </w:rPr>
            </w:pPr>
            <w:r w:rsidRPr="00FA3F9C">
              <w:rPr>
                <w:rFonts w:ascii="Arial" w:hAnsi="Arial" w:cs="Arial"/>
                <w:color w:val="000000"/>
                <w:sz w:val="24"/>
                <w:szCs w:val="24"/>
              </w:rPr>
              <w:t>Pharmacist’s initials</w:t>
            </w:r>
          </w:p>
        </w:tc>
      </w:tr>
      <w:tr w:rsidR="002641D2" w:rsidRPr="00FA3F9C" w14:paraId="4F403BAC" w14:textId="77777777" w:rsidTr="00F215E7">
        <w:tc>
          <w:tcPr>
            <w:tcW w:w="985" w:type="dxa"/>
          </w:tcPr>
          <w:p w14:paraId="67E9BE31" w14:textId="77777777" w:rsidR="002641D2" w:rsidRPr="00FA3F9C" w:rsidRDefault="002641D2" w:rsidP="00745345">
            <w:pPr>
              <w:pStyle w:val="bulletindent2"/>
              <w:spacing w:before="0" w:beforeAutospacing="0" w:after="0" w:afterAutospacing="0" w:line="282" w:lineRule="atLeast"/>
              <w:rPr>
                <w:rFonts w:ascii="Arial" w:hAnsi="Arial" w:cs="Arial"/>
                <w:color w:val="000000"/>
                <w:sz w:val="24"/>
                <w:szCs w:val="24"/>
              </w:rPr>
            </w:pPr>
            <w:r w:rsidRPr="00FA3F9C">
              <w:rPr>
                <w:rFonts w:ascii="Arial" w:hAnsi="Arial" w:cs="Arial"/>
                <w:color w:val="000000"/>
                <w:sz w:val="24"/>
                <w:szCs w:val="24"/>
              </w:rPr>
              <w:t>4/12/21</w:t>
            </w:r>
          </w:p>
        </w:tc>
        <w:tc>
          <w:tcPr>
            <w:tcW w:w="11340" w:type="dxa"/>
          </w:tcPr>
          <w:p w14:paraId="0D323DCA" w14:textId="77777777" w:rsidR="002641D2" w:rsidRPr="00FA3F9C" w:rsidRDefault="002641D2" w:rsidP="00745345">
            <w:pPr>
              <w:pStyle w:val="bulletindent2"/>
              <w:spacing w:before="0" w:beforeAutospacing="0" w:after="0" w:afterAutospacing="0" w:line="282" w:lineRule="atLeast"/>
              <w:rPr>
                <w:rFonts w:ascii="Arial" w:hAnsi="Arial" w:cs="Arial"/>
                <w:color w:val="000000"/>
                <w:sz w:val="24"/>
                <w:szCs w:val="24"/>
              </w:rPr>
            </w:pPr>
            <w:r w:rsidRPr="00FA3F9C">
              <w:rPr>
                <w:rFonts w:ascii="Arial" w:hAnsi="Arial" w:cs="Arial"/>
                <w:color w:val="000000"/>
                <w:sz w:val="24"/>
                <w:szCs w:val="24"/>
              </w:rPr>
              <w:t xml:space="preserve">I added this revision history.  Applied EBRx criteria to UAS Plan.  The criteria are simply to make sure the drug is being used for the approved indication.  </w:t>
            </w:r>
          </w:p>
        </w:tc>
        <w:tc>
          <w:tcPr>
            <w:tcW w:w="2065" w:type="dxa"/>
          </w:tcPr>
          <w:p w14:paraId="5B7915A5" w14:textId="77777777" w:rsidR="002641D2" w:rsidRPr="00FA3F9C" w:rsidRDefault="002641D2" w:rsidP="00745345">
            <w:pPr>
              <w:pStyle w:val="bulletindent2"/>
              <w:spacing w:before="0" w:beforeAutospacing="0" w:after="0" w:afterAutospacing="0" w:line="282" w:lineRule="atLeast"/>
              <w:rPr>
                <w:rFonts w:ascii="Arial" w:hAnsi="Arial" w:cs="Arial"/>
                <w:color w:val="000000"/>
                <w:sz w:val="24"/>
                <w:szCs w:val="24"/>
              </w:rPr>
            </w:pPr>
            <w:r w:rsidRPr="00FA3F9C">
              <w:rPr>
                <w:rFonts w:ascii="Arial" w:hAnsi="Arial" w:cs="Arial"/>
                <w:color w:val="000000"/>
                <w:sz w:val="24"/>
                <w:szCs w:val="24"/>
              </w:rPr>
              <w:t>JJ</w:t>
            </w:r>
          </w:p>
        </w:tc>
      </w:tr>
      <w:tr w:rsidR="002641D2" w:rsidRPr="00FA3F9C" w14:paraId="47CC23CC" w14:textId="77777777" w:rsidTr="00F215E7">
        <w:tc>
          <w:tcPr>
            <w:tcW w:w="985" w:type="dxa"/>
          </w:tcPr>
          <w:p w14:paraId="6E3E226D" w14:textId="77777777" w:rsidR="002641D2" w:rsidRPr="00FA3F9C" w:rsidRDefault="002641D2" w:rsidP="00745345">
            <w:pPr>
              <w:pStyle w:val="bulletindent2"/>
              <w:spacing w:before="0" w:beforeAutospacing="0" w:after="0" w:afterAutospacing="0" w:line="282" w:lineRule="atLeast"/>
              <w:rPr>
                <w:rFonts w:ascii="Arial" w:hAnsi="Arial" w:cs="Arial"/>
                <w:color w:val="000000"/>
                <w:sz w:val="24"/>
                <w:szCs w:val="24"/>
              </w:rPr>
            </w:pPr>
          </w:p>
        </w:tc>
        <w:tc>
          <w:tcPr>
            <w:tcW w:w="11340" w:type="dxa"/>
          </w:tcPr>
          <w:p w14:paraId="60BBB3D8" w14:textId="77777777" w:rsidR="002641D2" w:rsidRPr="00FA3F9C" w:rsidRDefault="002641D2" w:rsidP="00745345">
            <w:pPr>
              <w:pStyle w:val="bulletindent2"/>
              <w:spacing w:before="0" w:beforeAutospacing="0" w:after="0" w:afterAutospacing="0" w:line="282" w:lineRule="atLeast"/>
              <w:rPr>
                <w:rFonts w:ascii="Arial" w:hAnsi="Arial" w:cs="Arial"/>
                <w:color w:val="000000"/>
                <w:sz w:val="24"/>
                <w:szCs w:val="24"/>
              </w:rPr>
            </w:pPr>
          </w:p>
        </w:tc>
        <w:tc>
          <w:tcPr>
            <w:tcW w:w="2065" w:type="dxa"/>
          </w:tcPr>
          <w:p w14:paraId="1BEF563D" w14:textId="77777777" w:rsidR="002641D2" w:rsidRPr="00FA3F9C" w:rsidRDefault="002641D2" w:rsidP="00745345">
            <w:pPr>
              <w:pStyle w:val="bulletindent2"/>
              <w:spacing w:before="0" w:beforeAutospacing="0" w:after="0" w:afterAutospacing="0" w:line="282" w:lineRule="atLeast"/>
              <w:rPr>
                <w:rFonts w:ascii="Arial" w:hAnsi="Arial" w:cs="Arial"/>
                <w:color w:val="000000"/>
                <w:sz w:val="24"/>
                <w:szCs w:val="24"/>
              </w:rPr>
            </w:pPr>
          </w:p>
        </w:tc>
      </w:tr>
    </w:tbl>
    <w:p w14:paraId="7D862771" w14:textId="77777777" w:rsidR="002641D2" w:rsidRPr="00FA3F9C" w:rsidRDefault="002641D2" w:rsidP="00745345">
      <w:pPr>
        <w:pStyle w:val="bulletindent2"/>
        <w:spacing w:before="0" w:beforeAutospacing="0" w:after="0" w:afterAutospacing="0" w:line="282" w:lineRule="atLeast"/>
        <w:rPr>
          <w:rFonts w:ascii="Arial" w:hAnsi="Arial" w:cs="Arial"/>
          <w:color w:val="000000"/>
          <w:sz w:val="24"/>
          <w:szCs w:val="24"/>
        </w:rPr>
      </w:pPr>
    </w:p>
    <w:p w14:paraId="75806CE0" w14:textId="77777777" w:rsidR="002641D2" w:rsidRPr="00FA3F9C" w:rsidRDefault="002641D2" w:rsidP="006F623F">
      <w:pPr>
        <w:spacing w:after="0"/>
        <w:jc w:val="center"/>
        <w:rPr>
          <w:rFonts w:ascii="Arial" w:hAnsi="Arial" w:cs="Arial"/>
          <w:sz w:val="24"/>
          <w:szCs w:val="24"/>
        </w:rPr>
      </w:pPr>
    </w:p>
    <w:p w14:paraId="1D6C84FE" w14:textId="77777777" w:rsidR="005E2908" w:rsidRDefault="002641D2" w:rsidP="005E2908">
      <w:pPr>
        <w:pStyle w:val="Heading2"/>
      </w:pPr>
      <w:bookmarkStart w:id="136" w:name="_Toc106369818"/>
      <w:r w:rsidRPr="00FA3F9C">
        <w:t xml:space="preserve">Antihemophilic factor (RECOMB </w:t>
      </w:r>
      <w:proofErr w:type="spellStart"/>
      <w:r w:rsidRPr="00FA3F9C">
        <w:t>Porc</w:t>
      </w:r>
      <w:proofErr w:type="spellEnd"/>
      <w:r w:rsidRPr="00FA3F9C">
        <w:t>)</w:t>
      </w:r>
      <w:bookmarkEnd w:id="136"/>
      <w:r w:rsidRPr="00FA3F9C">
        <w:t xml:space="preserve"> </w:t>
      </w:r>
    </w:p>
    <w:p w14:paraId="38B877FC" w14:textId="22EA6595" w:rsidR="005E2908" w:rsidRPr="00FA3F9C" w:rsidRDefault="002641D2" w:rsidP="005E2908">
      <w:pPr>
        <w:spacing w:after="0"/>
        <w:jc w:val="center"/>
        <w:rPr>
          <w:rFonts w:ascii="Arial" w:hAnsi="Arial" w:cs="Arial"/>
          <w:sz w:val="24"/>
          <w:szCs w:val="24"/>
        </w:rPr>
      </w:pPr>
      <w:r w:rsidRPr="00FA3F9C">
        <w:rPr>
          <w:rFonts w:ascii="Arial" w:hAnsi="Arial" w:cs="Arial"/>
          <w:sz w:val="24"/>
          <w:szCs w:val="24"/>
        </w:rPr>
        <w:t>RPF VIII for injection 500 units</w:t>
      </w:r>
    </w:p>
    <w:p w14:paraId="251AF66B" w14:textId="1547D4C8" w:rsidR="002641D2" w:rsidRDefault="002641D2" w:rsidP="006C6558">
      <w:pPr>
        <w:spacing w:after="0"/>
        <w:jc w:val="center"/>
        <w:rPr>
          <w:rFonts w:ascii="Arial" w:hAnsi="Arial" w:cs="Arial"/>
          <w:sz w:val="24"/>
          <w:szCs w:val="24"/>
        </w:rPr>
      </w:pPr>
      <w:r w:rsidRPr="00FA3F9C">
        <w:rPr>
          <w:rFonts w:ascii="Arial" w:hAnsi="Arial" w:cs="Arial"/>
          <w:sz w:val="24"/>
          <w:szCs w:val="24"/>
        </w:rPr>
        <w:t>(Factor 8)</w:t>
      </w:r>
    </w:p>
    <w:p w14:paraId="387F7477" w14:textId="77777777" w:rsidR="005E2908" w:rsidRPr="00FA3F9C" w:rsidRDefault="005E2908" w:rsidP="005E2908">
      <w:pPr>
        <w:spacing w:after="0"/>
        <w:jc w:val="center"/>
        <w:rPr>
          <w:rFonts w:ascii="Arial" w:hAnsi="Arial" w:cs="Arial"/>
          <w:sz w:val="24"/>
          <w:szCs w:val="24"/>
        </w:rPr>
      </w:pPr>
      <w:r w:rsidRPr="00FA3F9C">
        <w:rPr>
          <w:rFonts w:ascii="Arial" w:hAnsi="Arial" w:cs="Arial"/>
          <w:sz w:val="24"/>
          <w:szCs w:val="24"/>
        </w:rPr>
        <w:t>EBRx PA Criteria</w:t>
      </w:r>
    </w:p>
    <w:p w14:paraId="7FBAB35A" w14:textId="77777777" w:rsidR="005E2908" w:rsidRPr="00FA3F9C" w:rsidRDefault="005E2908" w:rsidP="006C6558">
      <w:pPr>
        <w:spacing w:after="0"/>
        <w:jc w:val="center"/>
        <w:rPr>
          <w:rFonts w:ascii="Arial" w:hAnsi="Arial" w:cs="Arial"/>
          <w:b/>
          <w:sz w:val="24"/>
          <w:szCs w:val="24"/>
          <w:u w:val="single"/>
        </w:rPr>
      </w:pPr>
    </w:p>
    <w:p w14:paraId="166C1BB3" w14:textId="77777777" w:rsidR="002641D2" w:rsidRPr="00FA3F9C" w:rsidRDefault="002641D2" w:rsidP="006F623F">
      <w:pPr>
        <w:spacing w:after="0"/>
        <w:rPr>
          <w:rFonts w:ascii="Arial" w:hAnsi="Arial" w:cs="Arial"/>
          <w:b/>
          <w:sz w:val="24"/>
          <w:szCs w:val="24"/>
          <w:u w:val="single"/>
        </w:rPr>
      </w:pPr>
    </w:p>
    <w:p w14:paraId="4C6F57AD" w14:textId="77777777" w:rsidR="002641D2" w:rsidRPr="00FA3F9C" w:rsidRDefault="002641D2" w:rsidP="006F623F">
      <w:pPr>
        <w:spacing w:after="0"/>
        <w:rPr>
          <w:rFonts w:ascii="Arial" w:hAnsi="Arial" w:cs="Arial"/>
          <w:b/>
          <w:sz w:val="24"/>
          <w:szCs w:val="24"/>
          <w:u w:val="single"/>
        </w:rPr>
      </w:pPr>
    </w:p>
    <w:p w14:paraId="668363C8" w14:textId="77777777" w:rsidR="002641D2" w:rsidRPr="00FA3F9C" w:rsidRDefault="002641D2" w:rsidP="006F623F">
      <w:pPr>
        <w:spacing w:after="0"/>
        <w:rPr>
          <w:rFonts w:ascii="Arial" w:hAnsi="Arial" w:cs="Arial"/>
          <w:sz w:val="24"/>
          <w:szCs w:val="24"/>
        </w:rPr>
      </w:pPr>
      <w:r w:rsidRPr="00FA3F9C">
        <w:rPr>
          <w:rFonts w:ascii="Arial" w:hAnsi="Arial" w:cs="Arial"/>
          <w:b/>
          <w:sz w:val="24"/>
          <w:szCs w:val="24"/>
          <w:u w:val="single"/>
        </w:rPr>
        <w:t xml:space="preserve">is FDA-approved for:  </w:t>
      </w:r>
      <w:r w:rsidRPr="00FA3F9C">
        <w:rPr>
          <w:rFonts w:ascii="Arial" w:hAnsi="Arial" w:cs="Arial"/>
          <w:sz w:val="24"/>
          <w:szCs w:val="24"/>
        </w:rPr>
        <w:t>the treatment of bleeding episodes in adults with acquired hemophilia A.</w:t>
      </w:r>
    </w:p>
    <w:p w14:paraId="5997EAFD" w14:textId="77777777" w:rsidR="002641D2" w:rsidRPr="00FA3F9C" w:rsidRDefault="002641D2" w:rsidP="006F623F">
      <w:pPr>
        <w:spacing w:after="0"/>
        <w:rPr>
          <w:rFonts w:ascii="Arial" w:hAnsi="Arial" w:cs="Arial"/>
          <w:sz w:val="24"/>
          <w:szCs w:val="24"/>
        </w:rPr>
      </w:pPr>
    </w:p>
    <w:p w14:paraId="341EC500" w14:textId="77777777" w:rsidR="002641D2" w:rsidRPr="00FA3F9C" w:rsidRDefault="002641D2" w:rsidP="006F623F">
      <w:pPr>
        <w:spacing w:after="0"/>
        <w:rPr>
          <w:rFonts w:ascii="Arial" w:hAnsi="Arial" w:cs="Arial"/>
          <w:sz w:val="24"/>
          <w:szCs w:val="24"/>
        </w:rPr>
      </w:pPr>
      <w:r w:rsidRPr="00FA3F9C">
        <w:rPr>
          <w:rFonts w:ascii="Arial" w:hAnsi="Arial" w:cs="Arial"/>
          <w:sz w:val="24"/>
          <w:szCs w:val="24"/>
        </w:rPr>
        <w:t>NOTE:  NOT indicated for treatment of congenital hemophilia A or von Willebrand disease.</w:t>
      </w:r>
    </w:p>
    <w:tbl>
      <w:tblPr>
        <w:tblStyle w:val="TableGrid"/>
        <w:tblW w:w="0" w:type="auto"/>
        <w:tblLook w:val="04A0" w:firstRow="1" w:lastRow="0" w:firstColumn="1" w:lastColumn="0" w:noHBand="0" w:noVBand="1"/>
      </w:tblPr>
      <w:tblGrid>
        <w:gridCol w:w="8928"/>
        <w:gridCol w:w="2088"/>
      </w:tblGrid>
      <w:tr w:rsidR="002641D2" w:rsidRPr="00FA3F9C" w14:paraId="4189F653" w14:textId="77777777" w:rsidTr="00FE491B">
        <w:tc>
          <w:tcPr>
            <w:tcW w:w="8928" w:type="dxa"/>
          </w:tcPr>
          <w:p w14:paraId="1B7869B8" w14:textId="77777777" w:rsidR="002641D2" w:rsidRPr="00FA3F9C" w:rsidRDefault="002641D2" w:rsidP="006F623F">
            <w:pPr>
              <w:jc w:val="center"/>
              <w:rPr>
                <w:rFonts w:ascii="Arial" w:hAnsi="Arial" w:cs="Arial"/>
                <w:b/>
                <w:sz w:val="24"/>
                <w:szCs w:val="24"/>
                <w:u w:val="single"/>
              </w:rPr>
            </w:pPr>
            <w:r w:rsidRPr="00FA3F9C">
              <w:rPr>
                <w:rFonts w:ascii="Arial" w:hAnsi="Arial" w:cs="Arial"/>
                <w:b/>
                <w:sz w:val="24"/>
                <w:szCs w:val="24"/>
                <w:u w:val="single"/>
              </w:rPr>
              <w:t>Criteria</w:t>
            </w:r>
          </w:p>
        </w:tc>
        <w:tc>
          <w:tcPr>
            <w:tcW w:w="2088" w:type="dxa"/>
          </w:tcPr>
          <w:p w14:paraId="757C6DB7" w14:textId="77777777" w:rsidR="002641D2" w:rsidRPr="00FA3F9C" w:rsidRDefault="002641D2" w:rsidP="006F623F">
            <w:pPr>
              <w:jc w:val="center"/>
              <w:rPr>
                <w:rFonts w:ascii="Arial" w:hAnsi="Arial" w:cs="Arial"/>
                <w:b/>
                <w:sz w:val="24"/>
                <w:szCs w:val="24"/>
                <w:u w:val="single"/>
              </w:rPr>
            </w:pPr>
          </w:p>
        </w:tc>
      </w:tr>
      <w:tr w:rsidR="002641D2" w:rsidRPr="00FA3F9C" w14:paraId="57788554" w14:textId="77777777" w:rsidTr="006C6558">
        <w:trPr>
          <w:trHeight w:val="269"/>
        </w:trPr>
        <w:tc>
          <w:tcPr>
            <w:tcW w:w="8928" w:type="dxa"/>
          </w:tcPr>
          <w:p w14:paraId="64BB96E8" w14:textId="77777777" w:rsidR="002641D2" w:rsidRPr="00FA3F9C" w:rsidRDefault="002641D2" w:rsidP="006F623F">
            <w:pPr>
              <w:rPr>
                <w:rFonts w:ascii="Arial" w:hAnsi="Arial" w:cs="Arial"/>
                <w:sz w:val="24"/>
                <w:szCs w:val="24"/>
              </w:rPr>
            </w:pPr>
            <w:r w:rsidRPr="00FA3F9C">
              <w:rPr>
                <w:rFonts w:ascii="Arial" w:hAnsi="Arial" w:cs="Arial"/>
                <w:sz w:val="24"/>
                <w:szCs w:val="24"/>
              </w:rPr>
              <w:t>1.  The patient must have bleeding.</w:t>
            </w:r>
          </w:p>
        </w:tc>
        <w:tc>
          <w:tcPr>
            <w:tcW w:w="2088" w:type="dxa"/>
          </w:tcPr>
          <w:p w14:paraId="0B992A6F" w14:textId="77777777" w:rsidR="002641D2" w:rsidRPr="00FA3F9C" w:rsidRDefault="002641D2" w:rsidP="006F623F">
            <w:pPr>
              <w:rPr>
                <w:rFonts w:ascii="Arial" w:hAnsi="Arial" w:cs="Arial"/>
                <w:sz w:val="24"/>
                <w:szCs w:val="24"/>
              </w:rPr>
            </w:pPr>
            <w:r w:rsidRPr="00FA3F9C">
              <w:rPr>
                <w:rFonts w:ascii="Arial" w:hAnsi="Arial" w:cs="Arial"/>
                <w:sz w:val="24"/>
                <w:szCs w:val="24"/>
              </w:rPr>
              <w:sym w:font="Wingdings" w:char="F0A8"/>
            </w:r>
            <w:r w:rsidRPr="00FA3F9C">
              <w:rPr>
                <w:rFonts w:ascii="Arial" w:hAnsi="Arial" w:cs="Arial"/>
                <w:sz w:val="24"/>
                <w:szCs w:val="24"/>
              </w:rPr>
              <w:t xml:space="preserve">Yes             </w:t>
            </w:r>
            <w:r w:rsidRPr="00FA3F9C">
              <w:rPr>
                <w:rFonts w:ascii="Arial" w:hAnsi="Arial" w:cs="Arial"/>
                <w:sz w:val="24"/>
                <w:szCs w:val="24"/>
              </w:rPr>
              <w:sym w:font="Wingdings" w:char="F0A8"/>
            </w:r>
            <w:r w:rsidRPr="00FA3F9C">
              <w:rPr>
                <w:rFonts w:ascii="Arial" w:hAnsi="Arial" w:cs="Arial"/>
                <w:sz w:val="24"/>
                <w:szCs w:val="24"/>
              </w:rPr>
              <w:t>No</w:t>
            </w:r>
          </w:p>
          <w:p w14:paraId="0DFDAA3C" w14:textId="77777777" w:rsidR="002641D2" w:rsidRPr="00FA3F9C" w:rsidRDefault="002641D2" w:rsidP="006F623F">
            <w:pPr>
              <w:rPr>
                <w:rFonts w:ascii="Arial" w:hAnsi="Arial" w:cs="Arial"/>
                <w:sz w:val="24"/>
                <w:szCs w:val="24"/>
              </w:rPr>
            </w:pPr>
          </w:p>
        </w:tc>
      </w:tr>
      <w:tr w:rsidR="002641D2" w:rsidRPr="00FA3F9C" w14:paraId="0B1FACD6" w14:textId="77777777" w:rsidTr="00FE491B">
        <w:tc>
          <w:tcPr>
            <w:tcW w:w="8928" w:type="dxa"/>
          </w:tcPr>
          <w:p w14:paraId="459FD6EF" w14:textId="77777777" w:rsidR="002641D2" w:rsidRPr="00FA3F9C" w:rsidRDefault="002641D2" w:rsidP="006F623F">
            <w:pPr>
              <w:rPr>
                <w:rFonts w:ascii="Arial" w:hAnsi="Arial" w:cs="Arial"/>
                <w:sz w:val="24"/>
                <w:szCs w:val="24"/>
              </w:rPr>
            </w:pPr>
            <w:r w:rsidRPr="00FA3F9C">
              <w:rPr>
                <w:rFonts w:ascii="Arial" w:hAnsi="Arial" w:cs="Arial"/>
                <w:sz w:val="24"/>
                <w:szCs w:val="24"/>
              </w:rPr>
              <w:lastRenderedPageBreak/>
              <w:t>2.  The patient must have the diagnosis of ACQUIRED hemophilia A.</w:t>
            </w:r>
          </w:p>
        </w:tc>
        <w:tc>
          <w:tcPr>
            <w:tcW w:w="2088" w:type="dxa"/>
          </w:tcPr>
          <w:p w14:paraId="20056C7D" w14:textId="77777777" w:rsidR="002641D2" w:rsidRPr="00FA3F9C" w:rsidRDefault="002641D2" w:rsidP="006F623F">
            <w:pPr>
              <w:rPr>
                <w:rFonts w:ascii="Arial" w:hAnsi="Arial" w:cs="Arial"/>
                <w:sz w:val="24"/>
                <w:szCs w:val="24"/>
              </w:rPr>
            </w:pPr>
            <w:r w:rsidRPr="00FA3F9C">
              <w:rPr>
                <w:rFonts w:ascii="Arial" w:hAnsi="Arial" w:cs="Arial"/>
                <w:sz w:val="24"/>
                <w:szCs w:val="24"/>
              </w:rPr>
              <w:sym w:font="Wingdings" w:char="F0A8"/>
            </w:r>
            <w:r w:rsidRPr="00FA3F9C">
              <w:rPr>
                <w:rFonts w:ascii="Arial" w:hAnsi="Arial" w:cs="Arial"/>
                <w:sz w:val="24"/>
                <w:szCs w:val="24"/>
              </w:rPr>
              <w:t xml:space="preserve">Yes             </w:t>
            </w:r>
            <w:r w:rsidRPr="00FA3F9C">
              <w:rPr>
                <w:rFonts w:ascii="Arial" w:hAnsi="Arial" w:cs="Arial"/>
                <w:sz w:val="24"/>
                <w:szCs w:val="24"/>
              </w:rPr>
              <w:sym w:font="Wingdings" w:char="F0A8"/>
            </w:r>
            <w:r w:rsidRPr="00FA3F9C">
              <w:rPr>
                <w:rFonts w:ascii="Arial" w:hAnsi="Arial" w:cs="Arial"/>
                <w:sz w:val="24"/>
                <w:szCs w:val="24"/>
              </w:rPr>
              <w:t>No</w:t>
            </w:r>
          </w:p>
        </w:tc>
      </w:tr>
    </w:tbl>
    <w:p w14:paraId="593654C6" w14:textId="77777777" w:rsidR="002641D2" w:rsidRPr="00FA3F9C" w:rsidRDefault="002641D2" w:rsidP="006F623F">
      <w:pPr>
        <w:spacing w:after="0"/>
        <w:rPr>
          <w:rFonts w:ascii="Arial" w:hAnsi="Arial" w:cs="Arial"/>
          <w:sz w:val="24"/>
          <w:szCs w:val="24"/>
        </w:rPr>
      </w:pPr>
    </w:p>
    <w:p w14:paraId="145F1144" w14:textId="77777777" w:rsidR="002641D2" w:rsidRPr="00FA3F9C" w:rsidRDefault="002641D2"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284"/>
        <w:gridCol w:w="7470"/>
        <w:gridCol w:w="2538"/>
      </w:tblGrid>
      <w:tr w:rsidR="002641D2" w:rsidRPr="00FA3F9C" w14:paraId="28CDAC6E" w14:textId="77777777" w:rsidTr="00FE491B">
        <w:tc>
          <w:tcPr>
            <w:tcW w:w="1008" w:type="dxa"/>
          </w:tcPr>
          <w:p w14:paraId="1E260F4F" w14:textId="77777777" w:rsidR="002641D2" w:rsidRPr="00FA3F9C" w:rsidRDefault="002641D2" w:rsidP="006F623F">
            <w:pPr>
              <w:rPr>
                <w:rFonts w:ascii="Arial" w:hAnsi="Arial" w:cs="Arial"/>
                <w:sz w:val="24"/>
                <w:szCs w:val="24"/>
              </w:rPr>
            </w:pPr>
            <w:r w:rsidRPr="00FA3F9C">
              <w:rPr>
                <w:rFonts w:ascii="Arial" w:hAnsi="Arial" w:cs="Arial"/>
                <w:sz w:val="24"/>
                <w:szCs w:val="24"/>
              </w:rPr>
              <w:t>Date</w:t>
            </w:r>
          </w:p>
        </w:tc>
        <w:tc>
          <w:tcPr>
            <w:tcW w:w="7470" w:type="dxa"/>
          </w:tcPr>
          <w:p w14:paraId="3526069E" w14:textId="77777777" w:rsidR="002641D2" w:rsidRPr="00FA3F9C" w:rsidRDefault="002641D2" w:rsidP="006F623F">
            <w:pPr>
              <w:rPr>
                <w:rFonts w:ascii="Arial" w:hAnsi="Arial" w:cs="Arial"/>
                <w:sz w:val="24"/>
                <w:szCs w:val="24"/>
              </w:rPr>
            </w:pPr>
            <w:r w:rsidRPr="00FA3F9C">
              <w:rPr>
                <w:rFonts w:ascii="Arial" w:hAnsi="Arial" w:cs="Arial"/>
                <w:sz w:val="24"/>
                <w:szCs w:val="24"/>
              </w:rPr>
              <w:t>What changed</w:t>
            </w:r>
          </w:p>
        </w:tc>
        <w:tc>
          <w:tcPr>
            <w:tcW w:w="2538" w:type="dxa"/>
          </w:tcPr>
          <w:p w14:paraId="0ED8A8BA" w14:textId="77777777" w:rsidR="002641D2" w:rsidRPr="00FA3F9C" w:rsidRDefault="002641D2" w:rsidP="006F623F">
            <w:pPr>
              <w:rPr>
                <w:rFonts w:ascii="Arial" w:hAnsi="Arial" w:cs="Arial"/>
                <w:sz w:val="24"/>
                <w:szCs w:val="24"/>
              </w:rPr>
            </w:pPr>
            <w:r w:rsidRPr="00FA3F9C">
              <w:rPr>
                <w:rFonts w:ascii="Arial" w:hAnsi="Arial" w:cs="Arial"/>
                <w:sz w:val="24"/>
                <w:szCs w:val="24"/>
              </w:rPr>
              <w:t>Pharmacist’s initials</w:t>
            </w:r>
          </w:p>
        </w:tc>
      </w:tr>
      <w:tr w:rsidR="002641D2" w:rsidRPr="00FA3F9C" w14:paraId="32D7C4F9" w14:textId="77777777" w:rsidTr="00FE491B">
        <w:tc>
          <w:tcPr>
            <w:tcW w:w="1008" w:type="dxa"/>
          </w:tcPr>
          <w:p w14:paraId="755CCF06" w14:textId="77777777" w:rsidR="002641D2" w:rsidRPr="00FA3F9C" w:rsidRDefault="002641D2" w:rsidP="006F623F">
            <w:pPr>
              <w:rPr>
                <w:rFonts w:ascii="Arial" w:hAnsi="Arial" w:cs="Arial"/>
                <w:sz w:val="24"/>
                <w:szCs w:val="24"/>
              </w:rPr>
            </w:pPr>
            <w:r w:rsidRPr="00FA3F9C">
              <w:rPr>
                <w:rFonts w:ascii="Arial" w:hAnsi="Arial" w:cs="Arial"/>
                <w:sz w:val="24"/>
                <w:szCs w:val="24"/>
              </w:rPr>
              <w:t>2/26/15</w:t>
            </w:r>
          </w:p>
        </w:tc>
        <w:tc>
          <w:tcPr>
            <w:tcW w:w="7470" w:type="dxa"/>
          </w:tcPr>
          <w:p w14:paraId="047F1BEF" w14:textId="77777777" w:rsidR="002641D2" w:rsidRPr="00FA3F9C" w:rsidRDefault="002641D2" w:rsidP="006F623F">
            <w:pPr>
              <w:rPr>
                <w:rFonts w:ascii="Arial" w:hAnsi="Arial" w:cs="Arial"/>
                <w:sz w:val="24"/>
                <w:szCs w:val="24"/>
              </w:rPr>
            </w:pPr>
            <w:r w:rsidRPr="00FA3F9C">
              <w:rPr>
                <w:rFonts w:ascii="Arial" w:hAnsi="Arial" w:cs="Arial"/>
                <w:sz w:val="24"/>
                <w:szCs w:val="24"/>
              </w:rPr>
              <w:t>I wrote the criteria.</w:t>
            </w:r>
          </w:p>
        </w:tc>
        <w:tc>
          <w:tcPr>
            <w:tcW w:w="2538" w:type="dxa"/>
          </w:tcPr>
          <w:p w14:paraId="1B5F51F4" w14:textId="77777777" w:rsidR="002641D2" w:rsidRPr="00FA3F9C" w:rsidRDefault="002641D2" w:rsidP="006F623F">
            <w:pPr>
              <w:rPr>
                <w:rFonts w:ascii="Arial" w:hAnsi="Arial" w:cs="Arial"/>
                <w:sz w:val="24"/>
                <w:szCs w:val="24"/>
              </w:rPr>
            </w:pPr>
            <w:r w:rsidRPr="00FA3F9C">
              <w:rPr>
                <w:rFonts w:ascii="Arial" w:hAnsi="Arial" w:cs="Arial"/>
                <w:sz w:val="24"/>
                <w:szCs w:val="24"/>
              </w:rPr>
              <w:t>JJ</w:t>
            </w:r>
          </w:p>
        </w:tc>
      </w:tr>
      <w:tr w:rsidR="002641D2" w:rsidRPr="00FA3F9C" w14:paraId="49EDEAF9" w14:textId="77777777" w:rsidTr="00FE491B">
        <w:tc>
          <w:tcPr>
            <w:tcW w:w="1008" w:type="dxa"/>
          </w:tcPr>
          <w:p w14:paraId="1AAC5B4D" w14:textId="77777777" w:rsidR="002641D2" w:rsidRPr="00FA3F9C" w:rsidRDefault="002641D2" w:rsidP="006F623F">
            <w:pPr>
              <w:rPr>
                <w:rFonts w:ascii="Arial" w:hAnsi="Arial" w:cs="Arial"/>
                <w:sz w:val="24"/>
                <w:szCs w:val="24"/>
              </w:rPr>
            </w:pPr>
            <w:r w:rsidRPr="00FA3F9C">
              <w:rPr>
                <w:rFonts w:ascii="Arial" w:hAnsi="Arial" w:cs="Arial"/>
                <w:sz w:val="24"/>
                <w:szCs w:val="24"/>
              </w:rPr>
              <w:t>10/5/2020</w:t>
            </w:r>
          </w:p>
        </w:tc>
        <w:tc>
          <w:tcPr>
            <w:tcW w:w="7470" w:type="dxa"/>
          </w:tcPr>
          <w:p w14:paraId="61376074" w14:textId="77777777" w:rsidR="002641D2" w:rsidRPr="00FA3F9C" w:rsidRDefault="002641D2" w:rsidP="006F623F">
            <w:pPr>
              <w:rPr>
                <w:rFonts w:ascii="Arial" w:hAnsi="Arial" w:cs="Arial"/>
                <w:sz w:val="24"/>
                <w:szCs w:val="24"/>
              </w:rPr>
            </w:pPr>
            <w:r w:rsidRPr="00FA3F9C">
              <w:rPr>
                <w:rFonts w:ascii="Arial" w:hAnsi="Arial" w:cs="Arial"/>
                <w:sz w:val="24"/>
                <w:szCs w:val="24"/>
              </w:rPr>
              <w:t xml:space="preserve">I combined </w:t>
            </w:r>
            <w:proofErr w:type="gramStart"/>
            <w:r w:rsidRPr="00FA3F9C">
              <w:rPr>
                <w:rFonts w:ascii="Arial" w:hAnsi="Arial" w:cs="Arial"/>
                <w:sz w:val="24"/>
                <w:szCs w:val="24"/>
              </w:rPr>
              <w:t>this criteria</w:t>
            </w:r>
            <w:proofErr w:type="gramEnd"/>
            <w:r w:rsidRPr="00FA3F9C">
              <w:rPr>
                <w:rFonts w:ascii="Arial" w:hAnsi="Arial" w:cs="Arial"/>
                <w:sz w:val="24"/>
                <w:szCs w:val="24"/>
              </w:rPr>
              <w:t xml:space="preserve"> with the other hemophilia factor criteria.</w:t>
            </w:r>
          </w:p>
        </w:tc>
        <w:tc>
          <w:tcPr>
            <w:tcW w:w="2538" w:type="dxa"/>
          </w:tcPr>
          <w:p w14:paraId="247C26EC" w14:textId="77777777" w:rsidR="002641D2" w:rsidRPr="00FA3F9C" w:rsidRDefault="002641D2" w:rsidP="006F623F">
            <w:pPr>
              <w:rPr>
                <w:rFonts w:ascii="Arial" w:hAnsi="Arial" w:cs="Arial"/>
                <w:sz w:val="24"/>
                <w:szCs w:val="24"/>
              </w:rPr>
            </w:pPr>
            <w:r w:rsidRPr="00FA3F9C">
              <w:rPr>
                <w:rFonts w:ascii="Arial" w:hAnsi="Arial" w:cs="Arial"/>
                <w:sz w:val="24"/>
                <w:szCs w:val="24"/>
              </w:rPr>
              <w:t>JJ</w:t>
            </w:r>
          </w:p>
        </w:tc>
      </w:tr>
    </w:tbl>
    <w:p w14:paraId="475C37FC" w14:textId="77777777" w:rsidR="002641D2" w:rsidRPr="00FA3F9C" w:rsidRDefault="002641D2" w:rsidP="006F623F">
      <w:pPr>
        <w:spacing w:after="0"/>
        <w:rPr>
          <w:rFonts w:ascii="Arial" w:hAnsi="Arial" w:cs="Arial"/>
          <w:sz w:val="24"/>
          <w:szCs w:val="24"/>
        </w:rPr>
      </w:pPr>
    </w:p>
    <w:p w14:paraId="1624EDAF" w14:textId="223081C2" w:rsidR="005E2908" w:rsidRDefault="002641D2" w:rsidP="005E2908">
      <w:pPr>
        <w:pStyle w:val="Heading2"/>
      </w:pPr>
      <w:bookmarkStart w:id="137" w:name="_Toc106369819"/>
      <w:r w:rsidRPr="00FA3F9C">
        <w:t xml:space="preserve">Hydroxyprogesterone Caproate </w:t>
      </w:r>
      <w:r w:rsidR="005E2908">
        <w:t>(Makena)</w:t>
      </w:r>
      <w:bookmarkEnd w:id="137"/>
    </w:p>
    <w:p w14:paraId="44C289B3" w14:textId="4B68FFAA" w:rsidR="002641D2" w:rsidRDefault="002641D2" w:rsidP="001D4056">
      <w:pPr>
        <w:jc w:val="center"/>
        <w:rPr>
          <w:rFonts w:ascii="Arial" w:hAnsi="Arial" w:cs="Arial"/>
          <w:sz w:val="24"/>
          <w:szCs w:val="24"/>
        </w:rPr>
      </w:pPr>
      <w:r w:rsidRPr="00FA3F9C">
        <w:rPr>
          <w:rFonts w:ascii="Arial" w:hAnsi="Arial" w:cs="Arial"/>
          <w:sz w:val="24"/>
          <w:szCs w:val="24"/>
        </w:rPr>
        <w:t>IM in oil 1.25g/5mL (250mg/mL)</w:t>
      </w:r>
    </w:p>
    <w:p w14:paraId="1CA6F09A" w14:textId="77777777" w:rsidR="005E2908" w:rsidRPr="00FA3F9C" w:rsidRDefault="005E2908" w:rsidP="005E2908">
      <w:pPr>
        <w:spacing w:after="0"/>
        <w:jc w:val="center"/>
        <w:rPr>
          <w:rFonts w:ascii="Arial" w:hAnsi="Arial" w:cs="Arial"/>
          <w:sz w:val="24"/>
          <w:szCs w:val="24"/>
        </w:rPr>
      </w:pPr>
      <w:r w:rsidRPr="00FA3F9C">
        <w:rPr>
          <w:rFonts w:ascii="Arial" w:hAnsi="Arial" w:cs="Arial"/>
          <w:sz w:val="24"/>
          <w:szCs w:val="24"/>
        </w:rPr>
        <w:t>EBRx PA Criteria</w:t>
      </w:r>
    </w:p>
    <w:p w14:paraId="09805E1B" w14:textId="77777777" w:rsidR="005E2908" w:rsidRPr="00FA3F9C" w:rsidRDefault="005E2908" w:rsidP="001D4056">
      <w:pPr>
        <w:jc w:val="center"/>
        <w:rPr>
          <w:rFonts w:ascii="Arial" w:hAnsi="Arial" w:cs="Arial"/>
          <w:sz w:val="24"/>
          <w:szCs w:val="24"/>
        </w:rPr>
      </w:pPr>
    </w:p>
    <w:p w14:paraId="762964AD" w14:textId="77777777" w:rsidR="002641D2" w:rsidRPr="00FA3F9C" w:rsidRDefault="002641D2" w:rsidP="006F623F">
      <w:pPr>
        <w:spacing w:after="0"/>
        <w:jc w:val="center"/>
        <w:rPr>
          <w:rFonts w:ascii="Arial" w:hAnsi="Arial" w:cs="Arial"/>
          <w:sz w:val="24"/>
          <w:szCs w:val="24"/>
        </w:rPr>
      </w:pPr>
    </w:p>
    <w:p w14:paraId="2D083A15" w14:textId="77777777" w:rsidR="002641D2" w:rsidRPr="00FA3F9C" w:rsidRDefault="002641D2" w:rsidP="006F623F">
      <w:pPr>
        <w:spacing w:after="0"/>
        <w:rPr>
          <w:rFonts w:ascii="Arial" w:hAnsi="Arial" w:cs="Arial"/>
          <w:b/>
          <w:sz w:val="24"/>
          <w:szCs w:val="24"/>
          <w:u w:val="single"/>
        </w:rPr>
      </w:pPr>
    </w:p>
    <w:p w14:paraId="2FA90D93" w14:textId="77777777" w:rsidR="002641D2" w:rsidRPr="00FA3F9C" w:rsidRDefault="002641D2" w:rsidP="001D4056">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w:t>
      </w:r>
    </w:p>
    <w:p w14:paraId="037A80FF" w14:textId="77777777" w:rsidR="002641D2" w:rsidRPr="00FA3F9C" w:rsidRDefault="002641D2" w:rsidP="001D4056">
      <w:pPr>
        <w:spacing w:after="0"/>
        <w:rPr>
          <w:rFonts w:ascii="Arial" w:hAnsi="Arial" w:cs="Arial"/>
          <w:sz w:val="24"/>
          <w:szCs w:val="24"/>
        </w:rPr>
      </w:pPr>
      <w:r w:rsidRPr="00FA3F9C">
        <w:rPr>
          <w:rFonts w:ascii="Arial" w:hAnsi="Arial" w:cs="Arial"/>
          <w:sz w:val="24"/>
          <w:szCs w:val="24"/>
        </w:rPr>
        <w:t>1.  Preterm birth; to reduce the risk of preterm birth in women with a singleton pregnancy and who have a history of singleton spontaneous preterm birth.  Use is not intended for women with multiple gestations or other risk factors for preterm birth.</w:t>
      </w:r>
    </w:p>
    <w:p w14:paraId="0DB359C8" w14:textId="77777777" w:rsidR="002641D2" w:rsidRPr="00FA3F9C" w:rsidRDefault="002641D2" w:rsidP="001D4056">
      <w:pPr>
        <w:spacing w:after="0"/>
        <w:rPr>
          <w:rFonts w:ascii="Arial" w:eastAsia="Times New Roman" w:hAnsi="Arial" w:cs="Arial"/>
          <w:sz w:val="24"/>
          <w:szCs w:val="24"/>
        </w:rPr>
      </w:pPr>
      <w:r w:rsidRPr="00FA3F9C">
        <w:rPr>
          <w:rFonts w:ascii="Arial" w:hAnsi="Arial" w:cs="Arial"/>
          <w:sz w:val="24"/>
          <w:szCs w:val="24"/>
        </w:rPr>
        <w:t xml:space="preserve">2. </w:t>
      </w:r>
      <w:r w:rsidRPr="00FA3F9C">
        <w:rPr>
          <w:rFonts w:ascii="Arial" w:eastAsia="Times New Roman" w:hAnsi="Arial" w:cs="Arial"/>
          <w:sz w:val="24"/>
          <w:szCs w:val="24"/>
        </w:rPr>
        <w:t>in non-pregnant women: for the treatment of advanced adenocarcinoma of the uterine corpus (Stage III or IV</w:t>
      </w:r>
      <w:proofErr w:type="gramStart"/>
      <w:r w:rsidRPr="00FA3F9C">
        <w:rPr>
          <w:rFonts w:ascii="Arial" w:eastAsia="Times New Roman" w:hAnsi="Arial" w:cs="Arial"/>
          <w:sz w:val="24"/>
          <w:szCs w:val="24"/>
        </w:rPr>
        <w:t>);</w:t>
      </w:r>
      <w:proofErr w:type="gramEnd"/>
      <w:r w:rsidRPr="00FA3F9C">
        <w:rPr>
          <w:rFonts w:ascii="Arial" w:eastAsia="Times New Roman" w:hAnsi="Arial" w:cs="Arial"/>
          <w:sz w:val="24"/>
          <w:szCs w:val="24"/>
        </w:rPr>
        <w:t xml:space="preserve"> </w:t>
      </w:r>
    </w:p>
    <w:p w14:paraId="34880867" w14:textId="77777777" w:rsidR="002641D2" w:rsidRPr="00FA3F9C" w:rsidRDefault="002641D2" w:rsidP="001D4056">
      <w:pPr>
        <w:spacing w:after="0"/>
        <w:rPr>
          <w:rFonts w:ascii="Arial" w:eastAsia="Times New Roman" w:hAnsi="Arial" w:cs="Arial"/>
          <w:sz w:val="24"/>
          <w:szCs w:val="24"/>
        </w:rPr>
      </w:pPr>
      <w:r w:rsidRPr="00FA3F9C">
        <w:rPr>
          <w:rFonts w:ascii="Arial" w:eastAsia="Times New Roman" w:hAnsi="Arial" w:cs="Arial"/>
          <w:sz w:val="24"/>
          <w:szCs w:val="24"/>
        </w:rPr>
        <w:t xml:space="preserve">3.  in the management of amenorrhea (primary and secondary) and abnormal uterine bleeding due to hormonal imbalance in the absence of organic pathology, such as submucous fibroids or uterine </w:t>
      </w:r>
      <w:proofErr w:type="gramStart"/>
      <w:r w:rsidRPr="00FA3F9C">
        <w:rPr>
          <w:rFonts w:ascii="Arial" w:eastAsia="Times New Roman" w:hAnsi="Arial" w:cs="Arial"/>
          <w:sz w:val="24"/>
          <w:szCs w:val="24"/>
        </w:rPr>
        <w:t>cancer;</w:t>
      </w:r>
      <w:proofErr w:type="gramEnd"/>
      <w:r w:rsidRPr="00FA3F9C">
        <w:rPr>
          <w:rFonts w:ascii="Arial" w:eastAsia="Times New Roman" w:hAnsi="Arial" w:cs="Arial"/>
          <w:sz w:val="24"/>
          <w:szCs w:val="24"/>
        </w:rPr>
        <w:t xml:space="preserve"> </w:t>
      </w:r>
    </w:p>
    <w:p w14:paraId="61B71A7A" w14:textId="77777777" w:rsidR="002641D2" w:rsidRPr="00FA3F9C" w:rsidRDefault="002641D2" w:rsidP="001D4056">
      <w:pPr>
        <w:spacing w:after="0"/>
        <w:rPr>
          <w:rFonts w:ascii="Arial" w:eastAsia="Times New Roman" w:hAnsi="Arial" w:cs="Arial"/>
          <w:sz w:val="24"/>
          <w:szCs w:val="24"/>
        </w:rPr>
      </w:pPr>
      <w:r w:rsidRPr="00FA3F9C">
        <w:rPr>
          <w:rFonts w:ascii="Arial" w:eastAsia="Times New Roman" w:hAnsi="Arial" w:cs="Arial"/>
          <w:sz w:val="24"/>
          <w:szCs w:val="24"/>
        </w:rPr>
        <w:t xml:space="preserve">4.  as a test for endogenous estrogen production and </w:t>
      </w:r>
      <w:proofErr w:type="gramStart"/>
      <w:r w:rsidRPr="00FA3F9C">
        <w:rPr>
          <w:rFonts w:ascii="Arial" w:eastAsia="Times New Roman" w:hAnsi="Arial" w:cs="Arial"/>
          <w:sz w:val="24"/>
          <w:szCs w:val="24"/>
        </w:rPr>
        <w:t>for the production of</w:t>
      </w:r>
      <w:proofErr w:type="gramEnd"/>
      <w:r w:rsidRPr="00FA3F9C">
        <w:rPr>
          <w:rFonts w:ascii="Arial" w:eastAsia="Times New Roman" w:hAnsi="Arial" w:cs="Arial"/>
          <w:sz w:val="24"/>
          <w:szCs w:val="24"/>
        </w:rPr>
        <w:t xml:space="preserve"> secretory endometrium and desquamation.</w:t>
      </w:r>
    </w:p>
    <w:p w14:paraId="487FA9F7" w14:textId="77777777" w:rsidR="002641D2" w:rsidRPr="00FA3F9C" w:rsidRDefault="002641D2" w:rsidP="006F623F">
      <w:pPr>
        <w:spacing w:after="0"/>
        <w:rPr>
          <w:rFonts w:ascii="Arial" w:hAnsi="Arial" w:cs="Arial"/>
          <w:sz w:val="24"/>
          <w:szCs w:val="24"/>
        </w:rPr>
      </w:pPr>
    </w:p>
    <w:tbl>
      <w:tblPr>
        <w:tblStyle w:val="TableGrid"/>
        <w:tblW w:w="0" w:type="auto"/>
        <w:tblLook w:val="04A0" w:firstRow="1" w:lastRow="0" w:firstColumn="1" w:lastColumn="0" w:noHBand="0" w:noVBand="1"/>
      </w:tblPr>
      <w:tblGrid>
        <w:gridCol w:w="11016"/>
      </w:tblGrid>
      <w:tr w:rsidR="002641D2" w:rsidRPr="00FA3F9C" w14:paraId="24038440" w14:textId="77777777" w:rsidTr="0050376E">
        <w:tc>
          <w:tcPr>
            <w:tcW w:w="11016" w:type="dxa"/>
            <w:shd w:val="clear" w:color="auto" w:fill="000000"/>
          </w:tcPr>
          <w:p w14:paraId="64A834EE" w14:textId="77777777" w:rsidR="002641D2" w:rsidRPr="00FA3F9C" w:rsidRDefault="002641D2" w:rsidP="006F623F">
            <w:pPr>
              <w:jc w:val="center"/>
              <w:rPr>
                <w:rFonts w:ascii="Arial" w:hAnsi="Arial" w:cs="Arial"/>
                <w:b/>
                <w:sz w:val="24"/>
                <w:szCs w:val="24"/>
                <w:u w:val="single"/>
              </w:rPr>
            </w:pPr>
            <w:r w:rsidRPr="00FA3F9C">
              <w:rPr>
                <w:rFonts w:ascii="Arial" w:hAnsi="Arial" w:cs="Arial"/>
                <w:b/>
                <w:sz w:val="24"/>
                <w:szCs w:val="24"/>
                <w:u w:val="single"/>
              </w:rPr>
              <w:t>Criteria for new users seeking hydroxyprogesterone caproate IM in oil for prevention of preterm birth</w:t>
            </w:r>
          </w:p>
        </w:tc>
      </w:tr>
      <w:tr w:rsidR="002641D2" w:rsidRPr="00FA3F9C" w14:paraId="1F8D938D" w14:textId="77777777" w:rsidTr="00F337AE">
        <w:tc>
          <w:tcPr>
            <w:tcW w:w="11016" w:type="dxa"/>
          </w:tcPr>
          <w:p w14:paraId="35F55368" w14:textId="77777777" w:rsidR="002641D2" w:rsidRPr="00FA3F9C" w:rsidRDefault="002641D2" w:rsidP="006F623F">
            <w:pPr>
              <w:rPr>
                <w:rFonts w:ascii="Arial" w:hAnsi="Arial" w:cs="Arial"/>
                <w:sz w:val="24"/>
                <w:szCs w:val="24"/>
              </w:rPr>
            </w:pPr>
            <w:r w:rsidRPr="00FA3F9C">
              <w:rPr>
                <w:rFonts w:ascii="Arial" w:hAnsi="Arial" w:cs="Arial"/>
                <w:sz w:val="24"/>
                <w:szCs w:val="24"/>
              </w:rPr>
              <w:t xml:space="preserve">1.  Patient must be pregnant with a singleton pregnancy </w:t>
            </w:r>
          </w:p>
        </w:tc>
      </w:tr>
      <w:tr w:rsidR="002641D2" w:rsidRPr="00FA3F9C" w14:paraId="768D3D32" w14:textId="77777777" w:rsidTr="00B1617E">
        <w:tc>
          <w:tcPr>
            <w:tcW w:w="11016" w:type="dxa"/>
          </w:tcPr>
          <w:p w14:paraId="156248BD" w14:textId="77777777" w:rsidR="002641D2" w:rsidRPr="00FA3F9C" w:rsidRDefault="002641D2" w:rsidP="006F623F">
            <w:pPr>
              <w:rPr>
                <w:rFonts w:ascii="Arial" w:hAnsi="Arial" w:cs="Arial"/>
                <w:sz w:val="24"/>
                <w:szCs w:val="24"/>
              </w:rPr>
            </w:pPr>
            <w:r w:rsidRPr="00FA3F9C">
              <w:rPr>
                <w:rFonts w:ascii="Arial" w:hAnsi="Arial" w:cs="Arial"/>
                <w:sz w:val="24"/>
                <w:szCs w:val="24"/>
              </w:rPr>
              <w:t>2.  Patient must have a history of singleton spontaneous preterm birth</w:t>
            </w:r>
          </w:p>
        </w:tc>
      </w:tr>
      <w:tr w:rsidR="002641D2" w:rsidRPr="00FA3F9C" w14:paraId="5623C174" w14:textId="77777777" w:rsidTr="0010789D">
        <w:tc>
          <w:tcPr>
            <w:tcW w:w="11016" w:type="dxa"/>
          </w:tcPr>
          <w:p w14:paraId="23718C65" w14:textId="77777777" w:rsidR="002641D2" w:rsidRPr="00FA3F9C" w:rsidRDefault="002641D2" w:rsidP="006F623F">
            <w:pPr>
              <w:rPr>
                <w:rFonts w:ascii="Arial" w:hAnsi="Arial" w:cs="Arial"/>
                <w:sz w:val="24"/>
                <w:szCs w:val="24"/>
              </w:rPr>
            </w:pPr>
          </w:p>
        </w:tc>
      </w:tr>
      <w:tr w:rsidR="002641D2" w:rsidRPr="00FA3F9C" w14:paraId="77969154" w14:textId="77777777" w:rsidTr="00DA57E0">
        <w:tc>
          <w:tcPr>
            <w:tcW w:w="11016" w:type="dxa"/>
          </w:tcPr>
          <w:p w14:paraId="34C152E9" w14:textId="77777777" w:rsidR="002641D2" w:rsidRPr="00FA3F9C" w:rsidRDefault="002641D2" w:rsidP="006F623F">
            <w:pPr>
              <w:rPr>
                <w:rFonts w:ascii="Arial" w:hAnsi="Arial" w:cs="Arial"/>
                <w:sz w:val="24"/>
                <w:szCs w:val="24"/>
              </w:rPr>
            </w:pPr>
            <w:r w:rsidRPr="00FA3F9C">
              <w:rPr>
                <w:rFonts w:ascii="Arial" w:hAnsi="Arial" w:cs="Arial"/>
                <w:sz w:val="24"/>
                <w:szCs w:val="24"/>
              </w:rPr>
              <w:t>NOTE:  Dose is 250mg once weekly for 22 weeks beginning at 16 weeks, 0 days and lasting until 37 weeks gestation or until delivery, whichever comes first.</w:t>
            </w:r>
          </w:p>
        </w:tc>
      </w:tr>
    </w:tbl>
    <w:p w14:paraId="665237CD" w14:textId="77777777" w:rsidR="002641D2" w:rsidRPr="00FA3F9C" w:rsidRDefault="002641D2" w:rsidP="006F623F">
      <w:pPr>
        <w:spacing w:after="0"/>
        <w:rPr>
          <w:rFonts w:ascii="Arial" w:hAnsi="Arial" w:cs="Arial"/>
          <w:b/>
          <w:sz w:val="24"/>
          <w:szCs w:val="24"/>
          <w:u w:val="single"/>
        </w:rPr>
      </w:pPr>
    </w:p>
    <w:tbl>
      <w:tblPr>
        <w:tblStyle w:val="TableGrid"/>
        <w:tblW w:w="0" w:type="auto"/>
        <w:tblLook w:val="04A0" w:firstRow="1" w:lastRow="0" w:firstColumn="1" w:lastColumn="0" w:noHBand="0" w:noVBand="1"/>
      </w:tblPr>
      <w:tblGrid>
        <w:gridCol w:w="11016"/>
      </w:tblGrid>
      <w:tr w:rsidR="002641D2" w:rsidRPr="00FA3F9C" w14:paraId="08F6CBBB" w14:textId="77777777" w:rsidTr="000D07EE">
        <w:tc>
          <w:tcPr>
            <w:tcW w:w="11016" w:type="dxa"/>
            <w:shd w:val="clear" w:color="auto" w:fill="000000"/>
          </w:tcPr>
          <w:p w14:paraId="7B33B013" w14:textId="77777777" w:rsidR="002641D2" w:rsidRPr="00FA3F9C" w:rsidRDefault="002641D2" w:rsidP="00571CAB">
            <w:pPr>
              <w:jc w:val="center"/>
              <w:rPr>
                <w:rFonts w:ascii="Arial" w:hAnsi="Arial" w:cs="Arial"/>
                <w:b/>
                <w:sz w:val="24"/>
                <w:szCs w:val="24"/>
                <w:u w:val="single"/>
              </w:rPr>
            </w:pPr>
            <w:r w:rsidRPr="00FA3F9C">
              <w:rPr>
                <w:rFonts w:ascii="Arial" w:hAnsi="Arial" w:cs="Arial"/>
                <w:b/>
                <w:sz w:val="24"/>
                <w:szCs w:val="24"/>
                <w:u w:val="single"/>
              </w:rPr>
              <w:lastRenderedPageBreak/>
              <w:t>Criteria for non-pregnant women for the treatment of advanced adenocarcinoma of the uterine corpus, State III or IV</w:t>
            </w:r>
          </w:p>
        </w:tc>
      </w:tr>
      <w:tr w:rsidR="002641D2" w:rsidRPr="00FA3F9C" w14:paraId="37DC9BFD" w14:textId="77777777" w:rsidTr="00FE7E94">
        <w:tc>
          <w:tcPr>
            <w:tcW w:w="11016" w:type="dxa"/>
          </w:tcPr>
          <w:p w14:paraId="7EF27E1A" w14:textId="77777777" w:rsidR="002641D2" w:rsidRPr="00FA3F9C" w:rsidRDefault="002641D2" w:rsidP="00571CAB">
            <w:pPr>
              <w:rPr>
                <w:rFonts w:ascii="Arial" w:hAnsi="Arial" w:cs="Arial"/>
                <w:sz w:val="24"/>
                <w:szCs w:val="24"/>
              </w:rPr>
            </w:pPr>
            <w:r w:rsidRPr="00FA3F9C">
              <w:rPr>
                <w:rFonts w:ascii="Arial" w:hAnsi="Arial" w:cs="Arial"/>
                <w:sz w:val="24"/>
                <w:szCs w:val="24"/>
              </w:rPr>
              <w:t>1. Patient must be non-pregnant and have the diagnosis of advanced stage III or IV adenocarcinoma of the uterine corpus.</w:t>
            </w:r>
          </w:p>
        </w:tc>
      </w:tr>
      <w:tr w:rsidR="002641D2" w:rsidRPr="00FA3F9C" w14:paraId="64342CCD" w14:textId="77777777" w:rsidTr="00E85040">
        <w:tc>
          <w:tcPr>
            <w:tcW w:w="11016" w:type="dxa"/>
          </w:tcPr>
          <w:p w14:paraId="25590C28" w14:textId="77777777" w:rsidR="002641D2" w:rsidRPr="00FA3F9C" w:rsidRDefault="002641D2" w:rsidP="001D4056">
            <w:pPr>
              <w:rPr>
                <w:rFonts w:ascii="Arial" w:hAnsi="Arial" w:cs="Arial"/>
                <w:sz w:val="24"/>
                <w:szCs w:val="24"/>
              </w:rPr>
            </w:pPr>
            <w:r w:rsidRPr="00FA3F9C">
              <w:rPr>
                <w:rFonts w:ascii="Arial" w:hAnsi="Arial" w:cs="Arial"/>
                <w:sz w:val="24"/>
                <w:szCs w:val="24"/>
              </w:rPr>
              <w:t>NOTE:  The dose is 1g or more (1-7g/week), stopped when relapse occurs or after 12 weeks with no objective response.</w:t>
            </w:r>
          </w:p>
        </w:tc>
      </w:tr>
    </w:tbl>
    <w:p w14:paraId="40A79F3F" w14:textId="77777777" w:rsidR="002641D2" w:rsidRPr="00FA3F9C" w:rsidRDefault="002641D2" w:rsidP="006F623F">
      <w:pPr>
        <w:spacing w:after="0"/>
        <w:rPr>
          <w:rFonts w:ascii="Arial" w:hAnsi="Arial" w:cs="Arial"/>
          <w:b/>
          <w:sz w:val="24"/>
          <w:szCs w:val="24"/>
          <w:u w:val="single"/>
        </w:rPr>
      </w:pPr>
    </w:p>
    <w:tbl>
      <w:tblPr>
        <w:tblStyle w:val="TableGrid"/>
        <w:tblW w:w="0" w:type="auto"/>
        <w:tblLook w:val="04A0" w:firstRow="1" w:lastRow="0" w:firstColumn="1" w:lastColumn="0" w:noHBand="0" w:noVBand="1"/>
      </w:tblPr>
      <w:tblGrid>
        <w:gridCol w:w="11016"/>
      </w:tblGrid>
      <w:tr w:rsidR="002641D2" w:rsidRPr="00FA3F9C" w14:paraId="654DD4F9" w14:textId="77777777" w:rsidTr="00071E7E">
        <w:tc>
          <w:tcPr>
            <w:tcW w:w="11016" w:type="dxa"/>
            <w:shd w:val="clear" w:color="auto" w:fill="000000"/>
          </w:tcPr>
          <w:p w14:paraId="79950781" w14:textId="77777777" w:rsidR="002641D2" w:rsidRPr="00FA3F9C" w:rsidRDefault="002641D2" w:rsidP="001D4056">
            <w:pPr>
              <w:rPr>
                <w:rFonts w:ascii="Arial" w:hAnsi="Arial" w:cs="Arial"/>
                <w:b/>
                <w:sz w:val="24"/>
                <w:szCs w:val="24"/>
                <w:u w:val="single"/>
              </w:rPr>
            </w:pPr>
            <w:r w:rsidRPr="00FA3F9C">
              <w:rPr>
                <w:rFonts w:ascii="Arial" w:hAnsi="Arial" w:cs="Arial"/>
                <w:b/>
                <w:sz w:val="24"/>
                <w:szCs w:val="24"/>
                <w:u w:val="single"/>
              </w:rPr>
              <w:t>Criteria for amenorrhea and/or abnormal uterine bleeding</w:t>
            </w:r>
          </w:p>
        </w:tc>
      </w:tr>
      <w:tr w:rsidR="002641D2" w:rsidRPr="00FA3F9C" w14:paraId="1F62AF47" w14:textId="77777777" w:rsidTr="00020858">
        <w:tc>
          <w:tcPr>
            <w:tcW w:w="11016" w:type="dxa"/>
          </w:tcPr>
          <w:p w14:paraId="75F0510F" w14:textId="77777777" w:rsidR="002641D2" w:rsidRPr="00FA3F9C" w:rsidRDefault="002641D2" w:rsidP="00020858">
            <w:pPr>
              <w:rPr>
                <w:rFonts w:ascii="Arial" w:hAnsi="Arial" w:cs="Arial"/>
                <w:sz w:val="24"/>
                <w:szCs w:val="24"/>
              </w:rPr>
            </w:pPr>
            <w:r w:rsidRPr="00FA3F9C">
              <w:rPr>
                <w:rFonts w:ascii="Arial" w:hAnsi="Arial" w:cs="Arial"/>
                <w:sz w:val="24"/>
                <w:szCs w:val="24"/>
              </w:rPr>
              <w:t>1.  Patient must be premenopausal and have amenorrhea and/or abnormal uterine bleeding cyclically.</w:t>
            </w:r>
          </w:p>
        </w:tc>
      </w:tr>
      <w:tr w:rsidR="002641D2" w:rsidRPr="00FA3F9C" w14:paraId="7B04A0E8" w14:textId="77777777" w:rsidTr="00020858">
        <w:tc>
          <w:tcPr>
            <w:tcW w:w="11016" w:type="dxa"/>
          </w:tcPr>
          <w:p w14:paraId="27EAEFF7" w14:textId="77777777" w:rsidR="002641D2" w:rsidRPr="00FA3F9C" w:rsidRDefault="002641D2" w:rsidP="00020858">
            <w:pPr>
              <w:rPr>
                <w:rFonts w:ascii="Arial" w:hAnsi="Arial" w:cs="Arial"/>
                <w:sz w:val="24"/>
                <w:szCs w:val="24"/>
              </w:rPr>
            </w:pPr>
            <w:r w:rsidRPr="00FA3F9C">
              <w:rPr>
                <w:rFonts w:ascii="Arial" w:hAnsi="Arial" w:cs="Arial"/>
                <w:sz w:val="24"/>
                <w:szCs w:val="24"/>
              </w:rPr>
              <w:t>NOTE:  The dose is 375mg IM once monthly for a maximum of 4 cycles.</w:t>
            </w:r>
          </w:p>
        </w:tc>
      </w:tr>
    </w:tbl>
    <w:p w14:paraId="7B9DDDBD" w14:textId="77777777" w:rsidR="002641D2" w:rsidRPr="00FA3F9C" w:rsidRDefault="002641D2" w:rsidP="006F623F">
      <w:pPr>
        <w:spacing w:after="0"/>
        <w:rPr>
          <w:rFonts w:ascii="Arial" w:hAnsi="Arial" w:cs="Arial"/>
          <w:sz w:val="24"/>
          <w:szCs w:val="24"/>
        </w:rPr>
      </w:pPr>
    </w:p>
    <w:p w14:paraId="7250866E" w14:textId="77777777" w:rsidR="002641D2" w:rsidRPr="00FA3F9C" w:rsidRDefault="002641D2" w:rsidP="006F623F">
      <w:pPr>
        <w:spacing w:after="0"/>
        <w:rPr>
          <w:rFonts w:ascii="Arial" w:hAnsi="Arial" w:cs="Arial"/>
          <w:sz w:val="24"/>
          <w:szCs w:val="24"/>
        </w:rPr>
      </w:pPr>
      <w:r w:rsidRPr="00FA3F9C">
        <w:rPr>
          <w:rFonts w:ascii="Arial" w:hAnsi="Arial" w:cs="Arial"/>
          <w:sz w:val="24"/>
          <w:szCs w:val="24"/>
        </w:rPr>
        <w:t xml:space="preserve">Quantity Limits: </w:t>
      </w:r>
    </w:p>
    <w:p w14:paraId="16422406" w14:textId="77777777" w:rsidR="002641D2" w:rsidRPr="00FA3F9C" w:rsidRDefault="002641D2" w:rsidP="006F623F">
      <w:pPr>
        <w:spacing w:after="0"/>
        <w:rPr>
          <w:rFonts w:ascii="Arial" w:hAnsi="Arial" w:cs="Arial"/>
          <w:sz w:val="24"/>
          <w:szCs w:val="24"/>
        </w:rPr>
      </w:pPr>
    </w:p>
    <w:p w14:paraId="026CA99D" w14:textId="77777777" w:rsidR="002641D2" w:rsidRPr="00FA3F9C" w:rsidRDefault="002641D2"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418"/>
        <w:gridCol w:w="7470"/>
        <w:gridCol w:w="2538"/>
      </w:tblGrid>
      <w:tr w:rsidR="002641D2" w:rsidRPr="00FA3F9C" w14:paraId="3B71B73A" w14:textId="77777777" w:rsidTr="00FE491B">
        <w:tc>
          <w:tcPr>
            <w:tcW w:w="1008" w:type="dxa"/>
          </w:tcPr>
          <w:p w14:paraId="1DB39EB0" w14:textId="77777777" w:rsidR="002641D2" w:rsidRPr="00FA3F9C" w:rsidRDefault="002641D2" w:rsidP="006F623F">
            <w:pPr>
              <w:rPr>
                <w:rFonts w:ascii="Arial" w:hAnsi="Arial" w:cs="Arial"/>
                <w:sz w:val="24"/>
                <w:szCs w:val="24"/>
              </w:rPr>
            </w:pPr>
            <w:r w:rsidRPr="00FA3F9C">
              <w:rPr>
                <w:rFonts w:ascii="Arial" w:hAnsi="Arial" w:cs="Arial"/>
                <w:sz w:val="24"/>
                <w:szCs w:val="24"/>
              </w:rPr>
              <w:t>Date</w:t>
            </w:r>
          </w:p>
        </w:tc>
        <w:tc>
          <w:tcPr>
            <w:tcW w:w="7470" w:type="dxa"/>
          </w:tcPr>
          <w:p w14:paraId="0EDB97B1" w14:textId="77777777" w:rsidR="002641D2" w:rsidRPr="00FA3F9C" w:rsidRDefault="002641D2" w:rsidP="006F623F">
            <w:pPr>
              <w:rPr>
                <w:rFonts w:ascii="Arial" w:hAnsi="Arial" w:cs="Arial"/>
                <w:sz w:val="24"/>
                <w:szCs w:val="24"/>
              </w:rPr>
            </w:pPr>
            <w:r w:rsidRPr="00FA3F9C">
              <w:rPr>
                <w:rFonts w:ascii="Arial" w:hAnsi="Arial" w:cs="Arial"/>
                <w:sz w:val="24"/>
                <w:szCs w:val="24"/>
              </w:rPr>
              <w:t>What changed</w:t>
            </w:r>
          </w:p>
        </w:tc>
        <w:tc>
          <w:tcPr>
            <w:tcW w:w="2538" w:type="dxa"/>
          </w:tcPr>
          <w:p w14:paraId="19570BF0" w14:textId="77777777" w:rsidR="002641D2" w:rsidRPr="00FA3F9C" w:rsidRDefault="002641D2" w:rsidP="006F623F">
            <w:pPr>
              <w:rPr>
                <w:rFonts w:ascii="Arial" w:hAnsi="Arial" w:cs="Arial"/>
                <w:sz w:val="24"/>
                <w:szCs w:val="24"/>
              </w:rPr>
            </w:pPr>
            <w:r w:rsidRPr="00FA3F9C">
              <w:rPr>
                <w:rFonts w:ascii="Arial" w:hAnsi="Arial" w:cs="Arial"/>
                <w:sz w:val="24"/>
                <w:szCs w:val="24"/>
              </w:rPr>
              <w:t>Pharmacist’s initials</w:t>
            </w:r>
          </w:p>
        </w:tc>
      </w:tr>
      <w:tr w:rsidR="002641D2" w:rsidRPr="00FA3F9C" w14:paraId="0D5B7E47" w14:textId="77777777" w:rsidTr="00FE491B">
        <w:tc>
          <w:tcPr>
            <w:tcW w:w="1008" w:type="dxa"/>
          </w:tcPr>
          <w:p w14:paraId="148EF906" w14:textId="77777777" w:rsidR="002641D2" w:rsidRPr="00FA3F9C" w:rsidRDefault="002641D2" w:rsidP="006F623F">
            <w:pPr>
              <w:rPr>
                <w:rFonts w:ascii="Arial" w:hAnsi="Arial" w:cs="Arial"/>
                <w:sz w:val="24"/>
                <w:szCs w:val="24"/>
              </w:rPr>
            </w:pPr>
            <w:r w:rsidRPr="00FA3F9C">
              <w:rPr>
                <w:rFonts w:ascii="Arial" w:hAnsi="Arial" w:cs="Arial"/>
                <w:sz w:val="24"/>
                <w:szCs w:val="24"/>
              </w:rPr>
              <w:t>12/14/2016</w:t>
            </w:r>
          </w:p>
        </w:tc>
        <w:tc>
          <w:tcPr>
            <w:tcW w:w="7470" w:type="dxa"/>
          </w:tcPr>
          <w:p w14:paraId="4BF4238F" w14:textId="77777777" w:rsidR="002641D2" w:rsidRPr="00FA3F9C" w:rsidRDefault="002641D2" w:rsidP="006F623F">
            <w:pPr>
              <w:rPr>
                <w:rFonts w:ascii="Arial" w:hAnsi="Arial" w:cs="Arial"/>
                <w:sz w:val="24"/>
                <w:szCs w:val="24"/>
              </w:rPr>
            </w:pPr>
            <w:r w:rsidRPr="00FA3F9C">
              <w:rPr>
                <w:rFonts w:ascii="Arial" w:hAnsi="Arial" w:cs="Arial"/>
                <w:sz w:val="24"/>
                <w:szCs w:val="24"/>
              </w:rPr>
              <w:t>I wrote the criteria.  I omitted the last FDA approval due to this use will not likely go through the pharmacy benefit and would likely occur in the hospital or a doctor’s office.</w:t>
            </w:r>
          </w:p>
        </w:tc>
        <w:tc>
          <w:tcPr>
            <w:tcW w:w="2538" w:type="dxa"/>
          </w:tcPr>
          <w:p w14:paraId="7005109E" w14:textId="6E929238" w:rsidR="002641D2" w:rsidRPr="00FA3F9C" w:rsidRDefault="002641D2" w:rsidP="006F623F">
            <w:pPr>
              <w:rPr>
                <w:rFonts w:ascii="Arial" w:hAnsi="Arial" w:cs="Arial"/>
                <w:sz w:val="24"/>
                <w:szCs w:val="24"/>
              </w:rPr>
            </w:pPr>
            <w:r w:rsidRPr="00FA3F9C">
              <w:rPr>
                <w:rFonts w:ascii="Arial" w:hAnsi="Arial" w:cs="Arial"/>
                <w:sz w:val="24"/>
                <w:szCs w:val="24"/>
              </w:rPr>
              <w:t xml:space="preserve">J </w:t>
            </w:r>
            <w:r w:rsidR="002F3083">
              <w:rPr>
                <w:rFonts w:ascii="Arial" w:hAnsi="Arial" w:cs="Arial"/>
                <w:sz w:val="24"/>
                <w:szCs w:val="24"/>
              </w:rPr>
              <w:t>JJ</w:t>
            </w:r>
          </w:p>
        </w:tc>
      </w:tr>
      <w:tr w:rsidR="002641D2" w:rsidRPr="00FA3F9C" w14:paraId="037661D3" w14:textId="77777777" w:rsidTr="00FE491B">
        <w:tc>
          <w:tcPr>
            <w:tcW w:w="1008" w:type="dxa"/>
          </w:tcPr>
          <w:p w14:paraId="0A082D75" w14:textId="77777777" w:rsidR="002641D2" w:rsidRPr="00FA3F9C" w:rsidRDefault="002641D2" w:rsidP="006F623F">
            <w:pPr>
              <w:rPr>
                <w:rFonts w:ascii="Arial" w:hAnsi="Arial" w:cs="Arial"/>
                <w:sz w:val="24"/>
                <w:szCs w:val="24"/>
              </w:rPr>
            </w:pPr>
          </w:p>
        </w:tc>
        <w:tc>
          <w:tcPr>
            <w:tcW w:w="7470" w:type="dxa"/>
          </w:tcPr>
          <w:p w14:paraId="76C495CD" w14:textId="77777777" w:rsidR="002641D2" w:rsidRPr="00FA3F9C" w:rsidRDefault="002641D2" w:rsidP="006F623F">
            <w:pPr>
              <w:rPr>
                <w:rFonts w:ascii="Arial" w:hAnsi="Arial" w:cs="Arial"/>
                <w:sz w:val="24"/>
                <w:szCs w:val="24"/>
              </w:rPr>
            </w:pPr>
          </w:p>
        </w:tc>
        <w:tc>
          <w:tcPr>
            <w:tcW w:w="2538" w:type="dxa"/>
          </w:tcPr>
          <w:p w14:paraId="6EB3D16E" w14:textId="77777777" w:rsidR="002641D2" w:rsidRPr="00FA3F9C" w:rsidRDefault="002641D2" w:rsidP="006F623F">
            <w:pPr>
              <w:rPr>
                <w:rFonts w:ascii="Arial" w:hAnsi="Arial" w:cs="Arial"/>
                <w:sz w:val="24"/>
                <w:szCs w:val="24"/>
              </w:rPr>
            </w:pPr>
          </w:p>
        </w:tc>
      </w:tr>
    </w:tbl>
    <w:p w14:paraId="6F938EAD" w14:textId="77777777" w:rsidR="002641D2" w:rsidRPr="00FA3F9C" w:rsidRDefault="002641D2" w:rsidP="006F623F">
      <w:pPr>
        <w:spacing w:after="0"/>
        <w:rPr>
          <w:rFonts w:ascii="Arial" w:hAnsi="Arial" w:cs="Arial"/>
          <w:sz w:val="24"/>
          <w:szCs w:val="24"/>
        </w:rPr>
      </w:pPr>
    </w:p>
    <w:p w14:paraId="30850582" w14:textId="77777777" w:rsidR="002641D2" w:rsidRPr="00FA3F9C" w:rsidRDefault="002641D2" w:rsidP="005E2908">
      <w:pPr>
        <w:pStyle w:val="Heading2"/>
      </w:pPr>
      <w:bookmarkStart w:id="138" w:name="_Toc106369820"/>
      <w:r w:rsidRPr="00FA3F9C">
        <w:t>Ibrutinib (Imbruvica)</w:t>
      </w:r>
      <w:bookmarkEnd w:id="138"/>
      <w:r w:rsidRPr="00FA3F9C">
        <w:t xml:space="preserve"> </w:t>
      </w:r>
    </w:p>
    <w:p w14:paraId="7A31094A" w14:textId="77777777" w:rsidR="002641D2" w:rsidRPr="00FA3F9C" w:rsidRDefault="002641D2" w:rsidP="008B48E4">
      <w:pPr>
        <w:spacing w:after="0"/>
        <w:jc w:val="center"/>
        <w:rPr>
          <w:rFonts w:ascii="Arial" w:hAnsi="Arial" w:cs="Arial"/>
          <w:sz w:val="24"/>
          <w:szCs w:val="24"/>
        </w:rPr>
      </w:pPr>
      <w:r w:rsidRPr="00FA3F9C">
        <w:rPr>
          <w:rFonts w:ascii="Arial" w:hAnsi="Arial" w:cs="Arial"/>
          <w:sz w:val="24"/>
          <w:szCs w:val="24"/>
        </w:rPr>
        <w:t>70, 140mg capsules</w:t>
      </w:r>
    </w:p>
    <w:p w14:paraId="463E5D82" w14:textId="77777777" w:rsidR="002641D2" w:rsidRPr="00FA3F9C" w:rsidRDefault="002641D2" w:rsidP="002C6AE2">
      <w:pPr>
        <w:spacing w:after="0"/>
        <w:jc w:val="center"/>
        <w:rPr>
          <w:rFonts w:ascii="Arial" w:hAnsi="Arial" w:cs="Arial"/>
          <w:sz w:val="24"/>
          <w:szCs w:val="24"/>
        </w:rPr>
      </w:pPr>
      <w:r w:rsidRPr="00FA3F9C">
        <w:rPr>
          <w:rFonts w:ascii="Arial" w:hAnsi="Arial" w:cs="Arial"/>
          <w:sz w:val="24"/>
          <w:szCs w:val="24"/>
        </w:rPr>
        <w:t xml:space="preserve"> 140, 280, 420, 560 mg tablets </w:t>
      </w:r>
    </w:p>
    <w:p w14:paraId="6196275B" w14:textId="77777777" w:rsidR="002641D2" w:rsidRPr="00FA3F9C" w:rsidRDefault="002641D2" w:rsidP="002C6AE2">
      <w:pPr>
        <w:spacing w:after="0"/>
        <w:jc w:val="center"/>
        <w:rPr>
          <w:rFonts w:ascii="Arial" w:hAnsi="Arial" w:cs="Arial"/>
          <w:sz w:val="24"/>
          <w:szCs w:val="24"/>
        </w:rPr>
      </w:pPr>
      <w:r w:rsidRPr="00FA3F9C">
        <w:rPr>
          <w:rFonts w:ascii="Arial" w:hAnsi="Arial" w:cs="Arial"/>
          <w:sz w:val="24"/>
          <w:szCs w:val="24"/>
        </w:rPr>
        <w:t>EBRx PA Criteria</w:t>
      </w:r>
    </w:p>
    <w:p w14:paraId="5870B3CF" w14:textId="77777777" w:rsidR="002641D2" w:rsidRPr="00FA3F9C" w:rsidRDefault="002641D2" w:rsidP="008B48E4">
      <w:pPr>
        <w:spacing w:after="0"/>
        <w:jc w:val="center"/>
        <w:rPr>
          <w:rFonts w:ascii="Arial" w:hAnsi="Arial" w:cs="Arial"/>
          <w:sz w:val="24"/>
          <w:szCs w:val="24"/>
        </w:rPr>
      </w:pPr>
    </w:p>
    <w:p w14:paraId="76AEFFA9" w14:textId="77777777" w:rsidR="002641D2" w:rsidRPr="00FA3F9C" w:rsidRDefault="002641D2" w:rsidP="005E1FAA">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w:t>
      </w:r>
    </w:p>
    <w:p w14:paraId="3292F314" w14:textId="77777777" w:rsidR="002641D2" w:rsidRPr="00FA3F9C" w:rsidRDefault="002641D2" w:rsidP="002641D2">
      <w:pPr>
        <w:pStyle w:val="Normal1"/>
        <w:numPr>
          <w:ilvl w:val="0"/>
          <w:numId w:val="175"/>
        </w:numPr>
        <w:spacing w:line="276" w:lineRule="auto"/>
        <w:ind w:left="270" w:hanging="180"/>
        <w:contextualSpacing/>
        <w:rPr>
          <w:rFonts w:ascii="Arial" w:hAnsi="Arial" w:cs="Arial"/>
        </w:rPr>
      </w:pPr>
      <w:r w:rsidRPr="00FA3F9C">
        <w:rPr>
          <w:rFonts w:ascii="Arial" w:eastAsia="Calibri" w:hAnsi="Arial" w:cs="Arial"/>
        </w:rPr>
        <w:t>Treatment of adults with mantle cell lymphoma (MCL) who have received at least 1 prior therapy (accelerated approval)</w:t>
      </w:r>
    </w:p>
    <w:p w14:paraId="4A840355" w14:textId="77777777" w:rsidR="002641D2" w:rsidRPr="00FA3F9C" w:rsidRDefault="002641D2" w:rsidP="002641D2">
      <w:pPr>
        <w:pStyle w:val="Normal1"/>
        <w:numPr>
          <w:ilvl w:val="0"/>
          <w:numId w:val="175"/>
        </w:numPr>
        <w:spacing w:line="276" w:lineRule="auto"/>
        <w:ind w:left="270" w:hanging="180"/>
        <w:contextualSpacing/>
        <w:rPr>
          <w:rFonts w:ascii="Arial" w:hAnsi="Arial" w:cs="Arial"/>
        </w:rPr>
      </w:pPr>
      <w:r w:rsidRPr="00FA3F9C">
        <w:rPr>
          <w:rFonts w:ascii="Arial" w:eastAsia="Calibri" w:hAnsi="Arial" w:cs="Arial"/>
        </w:rPr>
        <w:t xml:space="preserve">Chronic lymphocytic leukemia (CLL)/small lymphocytic lymphoma (SLL) </w:t>
      </w:r>
    </w:p>
    <w:p w14:paraId="4580AF24" w14:textId="77777777" w:rsidR="002641D2" w:rsidRPr="00FA3F9C" w:rsidRDefault="002641D2" w:rsidP="002641D2">
      <w:pPr>
        <w:pStyle w:val="Normal1"/>
        <w:numPr>
          <w:ilvl w:val="0"/>
          <w:numId w:val="175"/>
        </w:numPr>
        <w:spacing w:line="276" w:lineRule="auto"/>
        <w:ind w:left="270" w:hanging="180"/>
        <w:contextualSpacing/>
        <w:rPr>
          <w:rFonts w:ascii="Arial" w:hAnsi="Arial" w:cs="Arial"/>
        </w:rPr>
      </w:pPr>
      <w:r w:rsidRPr="00FA3F9C">
        <w:rPr>
          <w:rFonts w:ascii="Arial" w:eastAsia="Calibri" w:hAnsi="Arial" w:cs="Arial"/>
        </w:rPr>
        <w:t>Treatment of CLL/SLL patients with 17p deletion.</w:t>
      </w:r>
    </w:p>
    <w:p w14:paraId="74CBDB0E" w14:textId="77777777" w:rsidR="002641D2" w:rsidRPr="00FA3F9C" w:rsidRDefault="002641D2" w:rsidP="002641D2">
      <w:pPr>
        <w:pStyle w:val="Normal1"/>
        <w:numPr>
          <w:ilvl w:val="0"/>
          <w:numId w:val="175"/>
        </w:numPr>
        <w:spacing w:line="276" w:lineRule="auto"/>
        <w:ind w:left="270" w:hanging="180"/>
        <w:contextualSpacing/>
        <w:rPr>
          <w:rFonts w:ascii="Arial" w:hAnsi="Arial" w:cs="Arial"/>
        </w:rPr>
      </w:pPr>
      <w:r w:rsidRPr="00FA3F9C">
        <w:rPr>
          <w:rFonts w:ascii="Arial" w:eastAsia="Calibri" w:hAnsi="Arial" w:cs="Arial"/>
        </w:rPr>
        <w:t xml:space="preserve">Treatment of </w:t>
      </w:r>
      <w:proofErr w:type="spellStart"/>
      <w:r w:rsidRPr="00FA3F9C">
        <w:rPr>
          <w:rFonts w:ascii="Arial" w:eastAsia="Calibri" w:hAnsi="Arial" w:cs="Arial"/>
        </w:rPr>
        <w:t>Waldenstrom</w:t>
      </w:r>
      <w:proofErr w:type="spellEnd"/>
      <w:r w:rsidRPr="00FA3F9C">
        <w:rPr>
          <w:rFonts w:ascii="Arial" w:eastAsia="Calibri" w:hAnsi="Arial" w:cs="Arial"/>
        </w:rPr>
        <w:t xml:space="preserve"> macroglobulinemia</w:t>
      </w:r>
    </w:p>
    <w:p w14:paraId="4B9FA644" w14:textId="77777777" w:rsidR="002641D2" w:rsidRPr="00FA3F9C" w:rsidRDefault="002641D2" w:rsidP="002641D2">
      <w:pPr>
        <w:pStyle w:val="Normal1"/>
        <w:numPr>
          <w:ilvl w:val="0"/>
          <w:numId w:val="175"/>
        </w:numPr>
        <w:spacing w:line="276" w:lineRule="auto"/>
        <w:ind w:left="270" w:hanging="180"/>
        <w:contextualSpacing/>
        <w:rPr>
          <w:rFonts w:ascii="Arial" w:hAnsi="Arial" w:cs="Arial"/>
        </w:rPr>
      </w:pPr>
      <w:r w:rsidRPr="00FA3F9C">
        <w:rPr>
          <w:rFonts w:ascii="Arial" w:eastAsia="Calibri" w:hAnsi="Arial" w:cs="Arial"/>
        </w:rPr>
        <w:lastRenderedPageBreak/>
        <w:t>Marginal zone lymphoma (MZL) who require systemic therapy and have received at least one prior anti-CD20-based therapy (accelerated approval)</w:t>
      </w:r>
      <w:r w:rsidRPr="00FA3F9C">
        <w:rPr>
          <w:rFonts w:ascii="Arial" w:eastAsia="Calibri" w:hAnsi="Arial" w:cs="Arial"/>
          <w:b/>
        </w:rPr>
        <w:t>—</w:t>
      </w:r>
      <w:r w:rsidRPr="00FA3F9C">
        <w:rPr>
          <w:rFonts w:ascii="Arial" w:eastAsia="Calibri" w:hAnsi="Arial" w:cs="Arial"/>
          <w:b/>
          <w:highlight w:val="yellow"/>
        </w:rPr>
        <w:t>NOT A COVERED USE FOR EBRX</w:t>
      </w:r>
      <w:r w:rsidRPr="00FA3F9C">
        <w:rPr>
          <w:rFonts w:ascii="Arial" w:eastAsia="Calibri" w:hAnsi="Arial" w:cs="Arial"/>
          <w:b/>
        </w:rPr>
        <w:t xml:space="preserve"> </w:t>
      </w:r>
      <w:r w:rsidRPr="00FA3F9C">
        <w:rPr>
          <w:rFonts w:ascii="Arial" w:eastAsia="Calibri" w:hAnsi="Arial" w:cs="Arial"/>
        </w:rPr>
        <w:t>Data is limited to single arm trial only</w:t>
      </w:r>
    </w:p>
    <w:p w14:paraId="46BA540C" w14:textId="77777777" w:rsidR="002641D2" w:rsidRPr="00FA3F9C" w:rsidRDefault="002641D2" w:rsidP="002641D2">
      <w:pPr>
        <w:pStyle w:val="Normal1"/>
        <w:numPr>
          <w:ilvl w:val="0"/>
          <w:numId w:val="175"/>
        </w:numPr>
        <w:spacing w:line="276" w:lineRule="auto"/>
        <w:ind w:left="270" w:hanging="180"/>
        <w:contextualSpacing/>
        <w:rPr>
          <w:rFonts w:ascii="Arial" w:hAnsi="Arial" w:cs="Arial"/>
        </w:rPr>
      </w:pPr>
      <w:r w:rsidRPr="00FA3F9C">
        <w:rPr>
          <w:rFonts w:ascii="Arial" w:hAnsi="Arial" w:cs="Arial"/>
          <w:color w:val="000000" w:themeColor="text1"/>
          <w14:textOutline w14:w="13462" w14:cap="flat" w14:cmpd="sng" w14:algn="ctr">
            <w14:noFill/>
            <w14:prstDash w14:val="solid"/>
            <w14:round/>
          </w14:textOutline>
        </w:rPr>
        <w:t>Chronic graft versus host disease after failure of one or more lines of systemic therapy</w:t>
      </w:r>
    </w:p>
    <w:tbl>
      <w:tblPr>
        <w:tblStyle w:val="TableGrid"/>
        <w:tblW w:w="0" w:type="auto"/>
        <w:tblLook w:val="04A0" w:firstRow="1" w:lastRow="0" w:firstColumn="1" w:lastColumn="0" w:noHBand="0" w:noVBand="1"/>
      </w:tblPr>
      <w:tblGrid>
        <w:gridCol w:w="8745"/>
        <w:gridCol w:w="2045"/>
      </w:tblGrid>
      <w:tr w:rsidR="002641D2" w:rsidRPr="00FA3F9C" w14:paraId="05ABC23A" w14:textId="77777777" w:rsidTr="002C6AE2">
        <w:tc>
          <w:tcPr>
            <w:tcW w:w="8745" w:type="dxa"/>
            <w:shd w:val="clear" w:color="auto" w:fill="000000"/>
          </w:tcPr>
          <w:p w14:paraId="753725ED" w14:textId="77777777" w:rsidR="002641D2" w:rsidRPr="00FA3F9C" w:rsidRDefault="002641D2" w:rsidP="000E79CF">
            <w:pPr>
              <w:rPr>
                <w:rFonts w:ascii="Arial" w:hAnsi="Arial" w:cs="Arial"/>
                <w:b/>
                <w:sz w:val="24"/>
                <w:szCs w:val="24"/>
                <w:u w:val="single"/>
              </w:rPr>
            </w:pPr>
            <w:r w:rsidRPr="00FA3F9C">
              <w:rPr>
                <w:rFonts w:ascii="Arial" w:hAnsi="Arial" w:cs="Arial"/>
                <w:b/>
                <w:sz w:val="24"/>
                <w:szCs w:val="24"/>
                <w:u w:val="single"/>
              </w:rPr>
              <w:t>CLL or SLL:  Criteria for new users</w:t>
            </w:r>
          </w:p>
        </w:tc>
        <w:tc>
          <w:tcPr>
            <w:tcW w:w="2045" w:type="dxa"/>
            <w:shd w:val="clear" w:color="auto" w:fill="000000"/>
          </w:tcPr>
          <w:p w14:paraId="5FB6DF92" w14:textId="77777777" w:rsidR="002641D2" w:rsidRPr="00FA3F9C" w:rsidRDefault="002641D2" w:rsidP="000E79CF">
            <w:pPr>
              <w:jc w:val="center"/>
              <w:rPr>
                <w:rFonts w:ascii="Arial" w:hAnsi="Arial" w:cs="Arial"/>
                <w:b/>
                <w:sz w:val="24"/>
                <w:szCs w:val="24"/>
                <w:u w:val="single"/>
              </w:rPr>
            </w:pPr>
          </w:p>
        </w:tc>
      </w:tr>
      <w:tr w:rsidR="002641D2" w:rsidRPr="00FA3F9C" w14:paraId="20AEBD32" w14:textId="77777777" w:rsidTr="002C6AE2">
        <w:trPr>
          <w:trHeight w:val="323"/>
        </w:trPr>
        <w:tc>
          <w:tcPr>
            <w:tcW w:w="10790" w:type="dxa"/>
            <w:gridSpan w:val="2"/>
          </w:tcPr>
          <w:p w14:paraId="2946EAE9" w14:textId="77777777" w:rsidR="002641D2" w:rsidRPr="00FA3F9C" w:rsidRDefault="002641D2" w:rsidP="002C6AE2">
            <w:pPr>
              <w:rPr>
                <w:rFonts w:ascii="Arial" w:hAnsi="Arial" w:cs="Arial"/>
                <w:sz w:val="24"/>
                <w:szCs w:val="24"/>
              </w:rPr>
            </w:pPr>
            <w:r w:rsidRPr="00FA3F9C">
              <w:rPr>
                <w:rFonts w:ascii="Arial" w:hAnsi="Arial" w:cs="Arial"/>
                <w:sz w:val="24"/>
                <w:szCs w:val="24"/>
              </w:rPr>
              <w:t>1.  Diagnosis of CLL or SLL</w:t>
            </w:r>
          </w:p>
        </w:tc>
      </w:tr>
      <w:tr w:rsidR="002641D2" w:rsidRPr="00FA3F9C" w14:paraId="2000A5CB" w14:textId="77777777" w:rsidTr="002C6AE2">
        <w:trPr>
          <w:trHeight w:val="341"/>
        </w:trPr>
        <w:tc>
          <w:tcPr>
            <w:tcW w:w="10790" w:type="dxa"/>
            <w:gridSpan w:val="2"/>
          </w:tcPr>
          <w:p w14:paraId="6A9CE4C1" w14:textId="77777777" w:rsidR="002641D2" w:rsidRPr="00FA3F9C" w:rsidRDefault="002641D2" w:rsidP="002C6AE2">
            <w:pPr>
              <w:rPr>
                <w:rFonts w:ascii="Arial" w:hAnsi="Arial" w:cs="Arial"/>
                <w:sz w:val="24"/>
                <w:szCs w:val="24"/>
              </w:rPr>
            </w:pPr>
            <w:r w:rsidRPr="00FA3F9C">
              <w:rPr>
                <w:rFonts w:ascii="Arial" w:hAnsi="Arial" w:cs="Arial"/>
                <w:sz w:val="24"/>
                <w:szCs w:val="24"/>
              </w:rPr>
              <w:t>2.  Presence of indication for treatment [including but not limited to the following: symptomatic disease (fatigue, night sweats, weight loss, fever without infection), threatened end-organ function, progressive bulky disease (spleen &gt;6 cm below costal margin or lymph nodes &gt;10 cm), progressive anemia or thrombocytopenia, symptomatic splenomegaly, rapidly increasing lymphocyte count]</w:t>
            </w:r>
          </w:p>
        </w:tc>
      </w:tr>
      <w:tr w:rsidR="002641D2" w:rsidRPr="00FA3F9C" w14:paraId="1877EC2E" w14:textId="77777777" w:rsidTr="002C6AE2">
        <w:trPr>
          <w:trHeight w:val="350"/>
        </w:trPr>
        <w:tc>
          <w:tcPr>
            <w:tcW w:w="10790" w:type="dxa"/>
            <w:gridSpan w:val="2"/>
          </w:tcPr>
          <w:p w14:paraId="53E522E1" w14:textId="77777777" w:rsidR="002641D2" w:rsidRPr="00FA3F9C" w:rsidRDefault="002641D2" w:rsidP="0067293D">
            <w:pPr>
              <w:rPr>
                <w:rFonts w:ascii="Arial" w:hAnsi="Arial" w:cs="Arial"/>
                <w:sz w:val="24"/>
                <w:szCs w:val="24"/>
              </w:rPr>
            </w:pPr>
            <w:r w:rsidRPr="00FA3F9C">
              <w:rPr>
                <w:rFonts w:ascii="Arial" w:hAnsi="Arial" w:cs="Arial"/>
                <w:sz w:val="24"/>
                <w:szCs w:val="24"/>
              </w:rPr>
              <w:t>3.  At the initial request, the patient must be ECOG performance status 0-2.</w:t>
            </w:r>
          </w:p>
        </w:tc>
      </w:tr>
      <w:tr w:rsidR="002641D2" w:rsidRPr="00FA3F9C" w14:paraId="2E881734" w14:textId="77777777" w:rsidTr="002C6AE2">
        <w:trPr>
          <w:trHeight w:val="332"/>
        </w:trPr>
        <w:tc>
          <w:tcPr>
            <w:tcW w:w="10790" w:type="dxa"/>
            <w:gridSpan w:val="2"/>
          </w:tcPr>
          <w:p w14:paraId="4BAC5D67" w14:textId="77777777" w:rsidR="002641D2" w:rsidRPr="00FA3F9C" w:rsidRDefault="002641D2" w:rsidP="0067293D">
            <w:pPr>
              <w:rPr>
                <w:rFonts w:ascii="Arial" w:hAnsi="Arial" w:cs="Arial"/>
                <w:sz w:val="24"/>
                <w:szCs w:val="24"/>
              </w:rPr>
            </w:pPr>
            <w:r w:rsidRPr="00FA3F9C">
              <w:rPr>
                <w:rFonts w:ascii="Arial" w:hAnsi="Arial" w:cs="Arial"/>
                <w:sz w:val="24"/>
                <w:szCs w:val="24"/>
              </w:rPr>
              <w:t>4. Patient should not have been previously treated with a BTK inhibitor (</w:t>
            </w:r>
            <w:proofErr w:type="gramStart"/>
            <w:r w:rsidRPr="00FA3F9C">
              <w:rPr>
                <w:rFonts w:ascii="Arial" w:hAnsi="Arial" w:cs="Arial"/>
                <w:sz w:val="24"/>
                <w:szCs w:val="24"/>
              </w:rPr>
              <w:t>e.g.</w:t>
            </w:r>
            <w:proofErr w:type="gramEnd"/>
            <w:r w:rsidRPr="00FA3F9C">
              <w:rPr>
                <w:rFonts w:ascii="Arial" w:hAnsi="Arial" w:cs="Arial"/>
                <w:sz w:val="24"/>
                <w:szCs w:val="24"/>
              </w:rPr>
              <w:t xml:space="preserve"> acalabrutinib, ibrutinib, </w:t>
            </w:r>
            <w:proofErr w:type="spellStart"/>
            <w:r w:rsidRPr="00FA3F9C">
              <w:rPr>
                <w:rFonts w:ascii="Arial" w:hAnsi="Arial" w:cs="Arial"/>
                <w:sz w:val="24"/>
                <w:szCs w:val="24"/>
              </w:rPr>
              <w:t>zanubrutinib</w:t>
            </w:r>
            <w:proofErr w:type="spellEnd"/>
            <w:r w:rsidRPr="00FA3F9C">
              <w:rPr>
                <w:rFonts w:ascii="Arial" w:hAnsi="Arial" w:cs="Arial"/>
                <w:sz w:val="24"/>
                <w:szCs w:val="24"/>
              </w:rPr>
              <w:t>)</w:t>
            </w:r>
          </w:p>
        </w:tc>
      </w:tr>
      <w:tr w:rsidR="002641D2" w:rsidRPr="00FA3F9C" w14:paraId="1595FAE3" w14:textId="77777777" w:rsidTr="001758F8">
        <w:trPr>
          <w:trHeight w:val="332"/>
        </w:trPr>
        <w:tc>
          <w:tcPr>
            <w:tcW w:w="10790" w:type="dxa"/>
            <w:gridSpan w:val="2"/>
            <w:shd w:val="clear" w:color="auto" w:fill="F2F2F2" w:themeFill="background1" w:themeFillShade="F2"/>
          </w:tcPr>
          <w:p w14:paraId="35EEF71D" w14:textId="77777777" w:rsidR="002641D2" w:rsidRPr="00FA3F9C" w:rsidRDefault="002641D2" w:rsidP="0067293D">
            <w:pPr>
              <w:rPr>
                <w:rFonts w:ascii="Arial" w:hAnsi="Arial" w:cs="Arial"/>
                <w:sz w:val="24"/>
                <w:szCs w:val="24"/>
              </w:rPr>
            </w:pPr>
            <w:r w:rsidRPr="00FA3F9C">
              <w:rPr>
                <w:rFonts w:ascii="Arial" w:hAnsi="Arial" w:cs="Arial"/>
                <w:sz w:val="24"/>
                <w:szCs w:val="24"/>
              </w:rPr>
              <w:t>If above criteria are fulfilled, approve x 1 year</w:t>
            </w:r>
          </w:p>
          <w:p w14:paraId="2B8AE97B" w14:textId="77777777" w:rsidR="002641D2" w:rsidRPr="00FA3F9C" w:rsidRDefault="002641D2" w:rsidP="0067293D">
            <w:pPr>
              <w:rPr>
                <w:rFonts w:ascii="Arial" w:hAnsi="Arial" w:cs="Arial"/>
                <w:sz w:val="24"/>
                <w:szCs w:val="24"/>
              </w:rPr>
            </w:pPr>
            <w:r w:rsidRPr="00FA3F9C">
              <w:rPr>
                <w:rFonts w:ascii="Arial" w:hAnsi="Arial" w:cs="Arial"/>
                <w:sz w:val="24"/>
                <w:szCs w:val="24"/>
              </w:rPr>
              <w:t>Dose: 420 mg daily</w:t>
            </w:r>
          </w:p>
          <w:p w14:paraId="0B2BD446" w14:textId="77777777" w:rsidR="002641D2" w:rsidRPr="00FA3F9C" w:rsidRDefault="002641D2" w:rsidP="001758F8">
            <w:pPr>
              <w:rPr>
                <w:rFonts w:ascii="Arial" w:hAnsi="Arial" w:cs="Arial"/>
                <w:sz w:val="24"/>
                <w:szCs w:val="24"/>
              </w:rPr>
            </w:pPr>
            <w:r w:rsidRPr="00FA3F9C">
              <w:rPr>
                <w:rFonts w:ascii="Arial" w:hAnsi="Arial" w:cs="Arial"/>
                <w:sz w:val="24"/>
                <w:szCs w:val="24"/>
              </w:rPr>
              <w:t xml:space="preserve">QL: </w:t>
            </w:r>
          </w:p>
          <w:p w14:paraId="2B7B4AF0" w14:textId="77777777" w:rsidR="002641D2" w:rsidRPr="00FA3F9C" w:rsidRDefault="002641D2" w:rsidP="002641D2">
            <w:pPr>
              <w:pStyle w:val="ListParagraph"/>
              <w:numPr>
                <w:ilvl w:val="0"/>
                <w:numId w:val="255"/>
              </w:numPr>
              <w:rPr>
                <w:rFonts w:ascii="Arial" w:hAnsi="Arial" w:cs="Arial"/>
                <w:sz w:val="24"/>
                <w:szCs w:val="24"/>
              </w:rPr>
            </w:pPr>
            <w:r w:rsidRPr="00FA3F9C">
              <w:rPr>
                <w:rFonts w:ascii="Arial" w:hAnsi="Arial" w:cs="Arial"/>
                <w:sz w:val="24"/>
                <w:szCs w:val="24"/>
              </w:rPr>
              <w:t>3/1 for capsules or 1/1 tablets</w:t>
            </w:r>
          </w:p>
          <w:p w14:paraId="33F693EF" w14:textId="77777777" w:rsidR="002641D2" w:rsidRPr="00FA3F9C" w:rsidRDefault="002641D2" w:rsidP="002641D2">
            <w:pPr>
              <w:pStyle w:val="ListParagraph"/>
              <w:numPr>
                <w:ilvl w:val="0"/>
                <w:numId w:val="255"/>
              </w:numPr>
              <w:rPr>
                <w:rFonts w:ascii="Arial" w:hAnsi="Arial" w:cs="Arial"/>
                <w:sz w:val="24"/>
                <w:szCs w:val="24"/>
              </w:rPr>
            </w:pPr>
            <w:r w:rsidRPr="00FA3F9C">
              <w:rPr>
                <w:rFonts w:ascii="Arial" w:hAnsi="Arial" w:cs="Arial"/>
                <w:sz w:val="24"/>
                <w:szCs w:val="24"/>
              </w:rPr>
              <w:t xml:space="preserve">If dose is reduced to 140 mg or 280 mg daily, prefer capsules due to cost  </w:t>
            </w:r>
          </w:p>
        </w:tc>
      </w:tr>
    </w:tbl>
    <w:p w14:paraId="35C69FBF" w14:textId="77777777" w:rsidR="002641D2" w:rsidRPr="00FA3F9C" w:rsidRDefault="002641D2" w:rsidP="008B48E4">
      <w:pPr>
        <w:spacing w:after="0"/>
        <w:rPr>
          <w:rFonts w:ascii="Arial" w:hAnsi="Arial" w:cs="Arial"/>
          <w:b/>
          <w:sz w:val="24"/>
          <w:szCs w:val="24"/>
          <w:u w:val="single"/>
        </w:rPr>
      </w:pPr>
    </w:p>
    <w:tbl>
      <w:tblPr>
        <w:tblStyle w:val="TableGrid"/>
        <w:tblW w:w="0" w:type="auto"/>
        <w:shd w:val="clear" w:color="auto" w:fill="BFBFBF" w:themeFill="background1" w:themeFillShade="BF"/>
        <w:tblLook w:val="04A0" w:firstRow="1" w:lastRow="0" w:firstColumn="1" w:lastColumn="0" w:noHBand="0" w:noVBand="1"/>
      </w:tblPr>
      <w:tblGrid>
        <w:gridCol w:w="10790"/>
      </w:tblGrid>
      <w:tr w:rsidR="002641D2" w:rsidRPr="00FA3F9C" w14:paraId="223DD925" w14:textId="77777777" w:rsidTr="00150A1D">
        <w:trPr>
          <w:trHeight w:val="80"/>
        </w:trPr>
        <w:tc>
          <w:tcPr>
            <w:tcW w:w="10790" w:type="dxa"/>
            <w:shd w:val="clear" w:color="auto" w:fill="BFBFBF" w:themeFill="background1" w:themeFillShade="BF"/>
          </w:tcPr>
          <w:p w14:paraId="1FEB2E97" w14:textId="77777777" w:rsidR="002641D2" w:rsidRPr="00FA3F9C" w:rsidRDefault="002641D2" w:rsidP="000E79CF">
            <w:pPr>
              <w:rPr>
                <w:rFonts w:ascii="Arial" w:hAnsi="Arial" w:cs="Arial"/>
                <w:sz w:val="24"/>
                <w:szCs w:val="24"/>
              </w:rPr>
            </w:pPr>
            <w:r w:rsidRPr="00FA3F9C">
              <w:rPr>
                <w:rFonts w:ascii="Arial" w:hAnsi="Arial" w:cs="Arial"/>
                <w:sz w:val="24"/>
                <w:szCs w:val="24"/>
              </w:rPr>
              <w:t xml:space="preserve">Note:   </w:t>
            </w:r>
          </w:p>
          <w:p w14:paraId="1C672648" w14:textId="77777777" w:rsidR="002641D2" w:rsidRPr="00FA3F9C" w:rsidRDefault="002641D2" w:rsidP="002C6AE2">
            <w:pPr>
              <w:rPr>
                <w:rFonts w:ascii="Arial" w:hAnsi="Arial" w:cs="Arial"/>
                <w:sz w:val="24"/>
                <w:szCs w:val="24"/>
              </w:rPr>
            </w:pPr>
            <w:r w:rsidRPr="00FA3F9C">
              <w:rPr>
                <w:rFonts w:ascii="Arial" w:hAnsi="Arial" w:cs="Arial"/>
                <w:sz w:val="24"/>
                <w:szCs w:val="24"/>
              </w:rPr>
              <w:t>IN FIRST LINE SETTING, ibrutinib improved overall survival compared with chlorambucil in older patients (</w:t>
            </w:r>
            <w:r w:rsidRPr="00FA3F9C">
              <w:rPr>
                <w:rFonts w:ascii="Arial" w:hAnsi="Arial" w:cs="Arial"/>
                <w:sz w:val="24"/>
                <w:szCs w:val="24"/>
                <w:u w:val="single"/>
              </w:rPr>
              <w:t>&gt;</w:t>
            </w:r>
            <w:r w:rsidRPr="00FA3F9C">
              <w:rPr>
                <w:rFonts w:ascii="Arial" w:hAnsi="Arial" w:cs="Arial"/>
                <w:sz w:val="24"/>
                <w:szCs w:val="24"/>
              </w:rPr>
              <w:t xml:space="preserve">65y) with CLL (2-year OS: 98% with ibrutinib and 85% with chlorambucil; HR 0.16 95% CI, 0.05-0.56; p=0.001). Another study compared ibrutinib + rituximab to fludarabine-based therapy in younger patients and found an improvement in OS (HR 0.168, 95% CI 0.053-0.538; p=0.0003) with few </w:t>
            </w:r>
            <w:proofErr w:type="gramStart"/>
            <w:r w:rsidRPr="00FA3F9C">
              <w:rPr>
                <w:rFonts w:ascii="Arial" w:hAnsi="Arial" w:cs="Arial"/>
                <w:sz w:val="24"/>
                <w:szCs w:val="24"/>
              </w:rPr>
              <w:t>grade</w:t>
            </w:r>
            <w:proofErr w:type="gramEnd"/>
            <w:r w:rsidRPr="00FA3F9C">
              <w:rPr>
                <w:rFonts w:ascii="Arial" w:hAnsi="Arial" w:cs="Arial"/>
                <w:sz w:val="24"/>
                <w:szCs w:val="24"/>
              </w:rPr>
              <w:t xml:space="preserve"> 3/4 adverse events in the </w:t>
            </w:r>
            <w:proofErr w:type="spellStart"/>
            <w:r w:rsidRPr="00FA3F9C">
              <w:rPr>
                <w:rFonts w:ascii="Arial" w:hAnsi="Arial" w:cs="Arial"/>
                <w:sz w:val="24"/>
                <w:szCs w:val="24"/>
              </w:rPr>
              <w:t>ibrutinib+rituximab</w:t>
            </w:r>
            <w:proofErr w:type="spellEnd"/>
            <w:r w:rsidRPr="00FA3F9C">
              <w:rPr>
                <w:rFonts w:ascii="Arial" w:hAnsi="Arial" w:cs="Arial"/>
                <w:sz w:val="24"/>
                <w:szCs w:val="24"/>
              </w:rPr>
              <w:t xml:space="preserve"> arm. A third study compared ibrutinib to </w:t>
            </w:r>
            <w:proofErr w:type="spellStart"/>
            <w:r w:rsidRPr="00FA3F9C">
              <w:rPr>
                <w:rFonts w:ascii="Arial" w:hAnsi="Arial" w:cs="Arial"/>
                <w:sz w:val="24"/>
                <w:szCs w:val="24"/>
              </w:rPr>
              <w:t>ibrutinib+rituximab</w:t>
            </w:r>
            <w:proofErr w:type="spellEnd"/>
            <w:r w:rsidRPr="00FA3F9C">
              <w:rPr>
                <w:rFonts w:ascii="Arial" w:hAnsi="Arial" w:cs="Arial"/>
                <w:sz w:val="24"/>
                <w:szCs w:val="24"/>
              </w:rPr>
              <w:t xml:space="preserve"> and </w:t>
            </w:r>
            <w:proofErr w:type="spellStart"/>
            <w:r w:rsidRPr="00FA3F9C">
              <w:rPr>
                <w:rFonts w:ascii="Arial" w:hAnsi="Arial" w:cs="Arial"/>
                <w:sz w:val="24"/>
                <w:szCs w:val="24"/>
              </w:rPr>
              <w:t>ibrutinib+rituximab+bendamustine</w:t>
            </w:r>
            <w:proofErr w:type="spellEnd"/>
            <w:r w:rsidRPr="00FA3F9C">
              <w:rPr>
                <w:rFonts w:ascii="Arial" w:hAnsi="Arial" w:cs="Arial"/>
                <w:sz w:val="24"/>
                <w:szCs w:val="24"/>
              </w:rPr>
              <w:t xml:space="preserve"> in older patients and found similar overall OS for each arm with conclusion that ibrutinib monotherapy is as good as ibrutinib plus rituximab and ibrutinib+rituximab+bendamustine.</w:t>
            </w:r>
            <w:r w:rsidRPr="00FA3F9C">
              <w:rPr>
                <w:rFonts w:ascii="Arial" w:hAnsi="Arial" w:cs="Arial"/>
                <w:sz w:val="24"/>
                <w:szCs w:val="24"/>
                <w:vertAlign w:val="superscript"/>
              </w:rPr>
              <w:t>1,2,3</w:t>
            </w:r>
            <w:r w:rsidRPr="00FA3F9C">
              <w:rPr>
                <w:rFonts w:ascii="Arial" w:hAnsi="Arial" w:cs="Arial"/>
                <w:sz w:val="24"/>
                <w:szCs w:val="24"/>
              </w:rPr>
              <w:t xml:space="preserve"> </w:t>
            </w:r>
          </w:p>
          <w:p w14:paraId="3C346050" w14:textId="77777777" w:rsidR="002641D2" w:rsidRPr="00FA3F9C" w:rsidRDefault="002641D2" w:rsidP="002C6AE2">
            <w:pPr>
              <w:rPr>
                <w:rFonts w:ascii="Arial" w:hAnsi="Arial" w:cs="Arial"/>
                <w:sz w:val="24"/>
                <w:szCs w:val="24"/>
              </w:rPr>
            </w:pPr>
          </w:p>
          <w:p w14:paraId="405FB3D4" w14:textId="77777777" w:rsidR="002641D2" w:rsidRPr="00FA3F9C" w:rsidRDefault="002641D2" w:rsidP="002C6AE2">
            <w:pPr>
              <w:rPr>
                <w:rFonts w:ascii="Arial" w:hAnsi="Arial" w:cs="Arial"/>
                <w:sz w:val="24"/>
                <w:szCs w:val="24"/>
              </w:rPr>
            </w:pPr>
            <w:r w:rsidRPr="00FA3F9C">
              <w:rPr>
                <w:rFonts w:ascii="Arial" w:hAnsi="Arial" w:cs="Arial"/>
                <w:sz w:val="24"/>
                <w:szCs w:val="24"/>
              </w:rPr>
              <w:t>IN PREVIOUSLY TREATED PATIENTS, ibrutinib improved overall survival compared with ofatumumab (12-month OS: 90% vs 81%; HR 0.43; 95% CI 0.24-0.79; p=0.005)</w:t>
            </w:r>
            <w:r w:rsidRPr="00FA3F9C">
              <w:rPr>
                <w:rFonts w:ascii="Arial" w:hAnsi="Arial" w:cs="Arial"/>
                <w:sz w:val="24"/>
                <w:szCs w:val="24"/>
                <w:vertAlign w:val="superscript"/>
              </w:rPr>
              <w:t>4</w:t>
            </w:r>
            <w:r w:rsidRPr="00FA3F9C">
              <w:rPr>
                <w:rFonts w:ascii="Arial" w:hAnsi="Arial" w:cs="Arial"/>
                <w:sz w:val="24"/>
                <w:szCs w:val="24"/>
              </w:rPr>
              <w:t xml:space="preserve">. Ibrutinib + </w:t>
            </w:r>
            <w:proofErr w:type="spellStart"/>
            <w:r w:rsidRPr="00FA3F9C">
              <w:rPr>
                <w:rFonts w:ascii="Arial" w:hAnsi="Arial" w:cs="Arial"/>
                <w:sz w:val="24"/>
                <w:szCs w:val="24"/>
              </w:rPr>
              <w:t>bendamustine</w:t>
            </w:r>
            <w:proofErr w:type="spellEnd"/>
            <w:r w:rsidRPr="00FA3F9C">
              <w:rPr>
                <w:rFonts w:ascii="Arial" w:hAnsi="Arial" w:cs="Arial"/>
                <w:sz w:val="24"/>
                <w:szCs w:val="24"/>
              </w:rPr>
              <w:t xml:space="preserve"> + rituximab also has been shown to improve OS compared with bendamustine+rituximab.</w:t>
            </w:r>
            <w:r w:rsidRPr="00FA3F9C">
              <w:rPr>
                <w:rFonts w:ascii="Arial" w:hAnsi="Arial" w:cs="Arial"/>
                <w:sz w:val="24"/>
                <w:szCs w:val="24"/>
                <w:vertAlign w:val="superscript"/>
              </w:rPr>
              <w:t>5</w:t>
            </w:r>
          </w:p>
          <w:p w14:paraId="3282B2E5" w14:textId="77777777" w:rsidR="002641D2" w:rsidRPr="00FA3F9C" w:rsidRDefault="002641D2" w:rsidP="00CD28DE">
            <w:pPr>
              <w:rPr>
                <w:rFonts w:ascii="Arial" w:hAnsi="Arial" w:cs="Arial"/>
                <w:sz w:val="24"/>
                <w:szCs w:val="24"/>
              </w:rPr>
            </w:pPr>
          </w:p>
          <w:p w14:paraId="5B15BDBA" w14:textId="77777777" w:rsidR="002641D2" w:rsidRPr="00FA3F9C" w:rsidRDefault="002641D2" w:rsidP="00CD28DE">
            <w:pPr>
              <w:rPr>
                <w:rFonts w:ascii="Arial" w:hAnsi="Arial" w:cs="Arial"/>
                <w:sz w:val="24"/>
                <w:szCs w:val="24"/>
              </w:rPr>
            </w:pPr>
            <w:r w:rsidRPr="00FA3F9C">
              <w:rPr>
                <w:rFonts w:ascii="Arial" w:hAnsi="Arial" w:cs="Arial"/>
                <w:sz w:val="24"/>
                <w:szCs w:val="24"/>
              </w:rPr>
              <w:t>Dose: 420 mg once daily until progression of disease</w:t>
            </w:r>
          </w:p>
          <w:p w14:paraId="6C1C6DCC" w14:textId="77777777" w:rsidR="002641D2" w:rsidRPr="00FA3F9C" w:rsidRDefault="002641D2" w:rsidP="005F3550">
            <w:pPr>
              <w:rPr>
                <w:rFonts w:ascii="Arial" w:hAnsi="Arial" w:cs="Arial"/>
                <w:sz w:val="24"/>
                <w:szCs w:val="24"/>
              </w:rPr>
            </w:pPr>
          </w:p>
          <w:p w14:paraId="19AD1429" w14:textId="77777777" w:rsidR="002641D2" w:rsidRPr="00FA3F9C" w:rsidRDefault="002641D2" w:rsidP="00500AD5">
            <w:r w:rsidRPr="00FA3F9C">
              <w:t>REFERENCES:</w:t>
            </w:r>
          </w:p>
          <w:p w14:paraId="1FEB35D9" w14:textId="77777777" w:rsidR="002641D2" w:rsidRPr="00FA3F9C" w:rsidRDefault="002641D2" w:rsidP="00500AD5">
            <w:pPr>
              <w:rPr>
                <w:rFonts w:eastAsia="Times New Roman"/>
              </w:rPr>
            </w:pPr>
            <w:r w:rsidRPr="00FA3F9C">
              <w:t xml:space="preserve">1.  </w:t>
            </w:r>
            <w:r w:rsidRPr="00FA3F9C">
              <w:rPr>
                <w:rFonts w:eastAsia="Times New Roman"/>
                <w:color w:val="222222"/>
              </w:rPr>
              <w:t>Burger, Jan A., et al. "Ibrutinib as initial therapy for patients with chronic lymphocytic leukemia." </w:t>
            </w:r>
            <w:r w:rsidRPr="00FA3F9C">
              <w:rPr>
                <w:rFonts w:eastAsia="Times New Roman"/>
                <w:i/>
                <w:iCs/>
                <w:color w:val="222222"/>
              </w:rPr>
              <w:t xml:space="preserve">NEJM </w:t>
            </w:r>
            <w:r w:rsidRPr="00FA3F9C">
              <w:rPr>
                <w:rFonts w:eastAsia="Times New Roman"/>
                <w:color w:val="222222"/>
              </w:rPr>
              <w:t>373.25 (2015): 2425-2437.</w:t>
            </w:r>
          </w:p>
          <w:p w14:paraId="1D7D8E37" w14:textId="77777777" w:rsidR="002641D2" w:rsidRPr="00FA3F9C" w:rsidRDefault="002641D2" w:rsidP="00500AD5">
            <w:pPr>
              <w:rPr>
                <w:b/>
              </w:rPr>
            </w:pPr>
            <w:r w:rsidRPr="00FA3F9C">
              <w:t xml:space="preserve">2. ASH abstract 132 (2018). A Randomized </w:t>
            </w:r>
            <w:r w:rsidRPr="00FA3F9C">
              <w:rPr>
                <w:spacing w:val="-7"/>
              </w:rPr>
              <w:t xml:space="preserve">Phase III Study of Ibrutinib (PCI-32765)-Based Therapy Vs. Standard Fludarabine, Cyclophosphamide, and Rituximab (FCR) Chemoimmunotherapy in Untreated Younger Patients with Chronic Lymphocytic Leukemia (CLL): A Trial of the ECOG-ACRIN Cancer Research Group (E1912). </w:t>
            </w:r>
            <w:r w:rsidRPr="00FA3F9C">
              <w:t xml:space="preserve"> </w:t>
            </w:r>
            <w:hyperlink r:id="rId227" w:history="1">
              <w:r w:rsidRPr="00FA3F9C">
                <w:rPr>
                  <w:rStyle w:val="Hyperlink"/>
                  <w:rFonts w:ascii="Arial" w:hAnsi="Arial" w:cs="Arial"/>
                  <w:sz w:val="24"/>
                  <w:szCs w:val="24"/>
                </w:rPr>
                <w:t>http://www.bloodjournal.org/content/132/Suppl_1/LBA-4</w:t>
              </w:r>
            </w:hyperlink>
            <w:r w:rsidRPr="00FA3F9C">
              <w:t>. (Accessed 3/27/19) NCT02048813</w:t>
            </w:r>
          </w:p>
          <w:p w14:paraId="74C59949" w14:textId="77777777" w:rsidR="002641D2" w:rsidRPr="00FA3F9C" w:rsidRDefault="002641D2" w:rsidP="00500AD5">
            <w:pPr>
              <w:rPr>
                <w:b/>
              </w:rPr>
            </w:pPr>
            <w:r w:rsidRPr="00FA3F9C">
              <w:t xml:space="preserve">3. </w:t>
            </w:r>
            <w:proofErr w:type="spellStart"/>
            <w:r w:rsidRPr="00FA3F9C">
              <w:t>Woyach</w:t>
            </w:r>
            <w:proofErr w:type="spellEnd"/>
            <w:r w:rsidRPr="00FA3F9C">
              <w:t xml:space="preserve"> JA et al. Ibrutinib regimens versus chemoimmunotherapy in older patients with untreated CLL. NEJM 2018;379(26):2517-2528. NCT01886872 PMID 30501481</w:t>
            </w:r>
          </w:p>
          <w:p w14:paraId="5B968665" w14:textId="77777777" w:rsidR="002641D2" w:rsidRPr="00FA3F9C" w:rsidRDefault="002641D2" w:rsidP="00500AD5">
            <w:pPr>
              <w:rPr>
                <w:rFonts w:eastAsia="Calibri"/>
                <w:color w:val="222222"/>
              </w:rPr>
            </w:pPr>
            <w:r w:rsidRPr="00FA3F9C">
              <w:t xml:space="preserve">4. </w:t>
            </w:r>
            <w:r w:rsidRPr="00FA3F9C">
              <w:rPr>
                <w:rFonts w:eastAsia="Calibri"/>
                <w:color w:val="222222"/>
              </w:rPr>
              <w:t>Byrd, John C., et al. "Ibrutinib versus ofatumumab in previously treated chronic lymphoid leukemia." </w:t>
            </w:r>
            <w:r w:rsidRPr="00FA3F9C">
              <w:rPr>
                <w:rFonts w:eastAsia="Calibri"/>
                <w:i/>
                <w:color w:val="222222"/>
              </w:rPr>
              <w:t>NEJM</w:t>
            </w:r>
            <w:r w:rsidRPr="00FA3F9C">
              <w:rPr>
                <w:rFonts w:eastAsia="Calibri"/>
                <w:color w:val="222222"/>
              </w:rPr>
              <w:t> 371.3 (2014): 213-223.</w:t>
            </w:r>
          </w:p>
          <w:p w14:paraId="38AEBAB7" w14:textId="77777777" w:rsidR="002641D2" w:rsidRPr="00FA3F9C" w:rsidRDefault="002641D2" w:rsidP="00500AD5">
            <w:pPr>
              <w:rPr>
                <w:rFonts w:eastAsia="Calibri"/>
              </w:rPr>
            </w:pPr>
            <w:r w:rsidRPr="00FA3F9C">
              <w:rPr>
                <w:rFonts w:eastAsia="Calibri"/>
              </w:rPr>
              <w:t xml:space="preserve">5.  </w:t>
            </w:r>
            <w:hyperlink r:id="rId228" w:history="1">
              <w:r w:rsidRPr="00FA3F9C">
                <w:rPr>
                  <w:rFonts w:eastAsia="Times New Roman"/>
                </w:rPr>
                <w:t>Fraser G</w:t>
              </w:r>
            </w:hyperlink>
            <w:r w:rsidRPr="00FA3F9C">
              <w:rPr>
                <w:rFonts w:eastAsia="Times New Roman"/>
              </w:rPr>
              <w:t xml:space="preserve"> et al. </w:t>
            </w:r>
            <w:r w:rsidRPr="00FA3F9C">
              <w:rPr>
                <w:rFonts w:eastAsia="Times New Roman"/>
                <w:bCs/>
                <w:kern w:val="36"/>
              </w:rPr>
              <w:t xml:space="preserve">Updated results from the phase 3 HELIOS study of ibrutinib, </w:t>
            </w:r>
            <w:proofErr w:type="spellStart"/>
            <w:r w:rsidRPr="00FA3F9C">
              <w:rPr>
                <w:rFonts w:eastAsia="Times New Roman"/>
                <w:bCs/>
                <w:kern w:val="36"/>
              </w:rPr>
              <w:t>bendamustine</w:t>
            </w:r>
            <w:proofErr w:type="spellEnd"/>
            <w:r w:rsidRPr="00FA3F9C">
              <w:rPr>
                <w:rFonts w:eastAsia="Times New Roman"/>
                <w:bCs/>
                <w:kern w:val="36"/>
              </w:rPr>
              <w:t xml:space="preserve">, and rituximab in relapsed chronic lymphocytic leukemia/small lymphocytic lymphoma. </w:t>
            </w:r>
            <w:hyperlink r:id="rId229" w:tooltip="Leukemia." w:history="1">
              <w:r w:rsidRPr="00FA3F9C">
                <w:rPr>
                  <w:rFonts w:eastAsia="Times New Roman"/>
                </w:rPr>
                <w:t>Leukemia.</w:t>
              </w:r>
            </w:hyperlink>
            <w:r w:rsidRPr="00FA3F9C">
              <w:rPr>
                <w:rFonts w:eastAsia="Times New Roman"/>
              </w:rPr>
              <w:t xml:space="preserve"> 2018 Oct 12. </w:t>
            </w:r>
            <w:proofErr w:type="spellStart"/>
            <w:r w:rsidRPr="00FA3F9C">
              <w:rPr>
                <w:rFonts w:eastAsia="Times New Roman"/>
              </w:rPr>
              <w:t>doi</w:t>
            </w:r>
            <w:proofErr w:type="spellEnd"/>
            <w:r w:rsidRPr="00FA3F9C">
              <w:rPr>
                <w:rFonts w:eastAsia="Times New Roman"/>
              </w:rPr>
              <w:t>: 10.1038/s41375-018-0276-9. [</w:t>
            </w:r>
            <w:proofErr w:type="spellStart"/>
            <w:r w:rsidRPr="00FA3F9C">
              <w:rPr>
                <w:rFonts w:eastAsia="Times New Roman"/>
              </w:rPr>
              <w:t>Epub</w:t>
            </w:r>
            <w:proofErr w:type="spellEnd"/>
            <w:r w:rsidRPr="00FA3F9C">
              <w:rPr>
                <w:rFonts w:eastAsia="Times New Roman"/>
              </w:rPr>
              <w:t xml:space="preserve"> ahead of print] </w:t>
            </w:r>
            <w:r w:rsidRPr="00FA3F9C">
              <w:rPr>
                <w:rFonts w:eastAsia="Calibri"/>
              </w:rPr>
              <w:t>NCT00611090 PMID 30315239</w:t>
            </w:r>
          </w:p>
        </w:tc>
      </w:tr>
    </w:tbl>
    <w:p w14:paraId="39C0320A" w14:textId="77777777" w:rsidR="002641D2" w:rsidRPr="00FA3F9C" w:rsidRDefault="002641D2" w:rsidP="008B48E4">
      <w:pPr>
        <w:spacing w:after="0"/>
        <w:rPr>
          <w:rFonts w:ascii="Arial" w:hAnsi="Arial" w:cs="Arial"/>
          <w:sz w:val="24"/>
          <w:szCs w:val="24"/>
        </w:rPr>
      </w:pPr>
    </w:p>
    <w:p w14:paraId="1D4C7C0E" w14:textId="77777777" w:rsidR="002641D2" w:rsidRPr="00FA3F9C" w:rsidRDefault="002641D2" w:rsidP="008B48E4">
      <w:pPr>
        <w:spacing w:after="0"/>
        <w:rPr>
          <w:rFonts w:ascii="Arial" w:hAnsi="Arial" w:cs="Arial"/>
          <w:sz w:val="24"/>
          <w:szCs w:val="24"/>
        </w:rPr>
      </w:pPr>
    </w:p>
    <w:tbl>
      <w:tblPr>
        <w:tblStyle w:val="TableGrid"/>
        <w:tblW w:w="0" w:type="auto"/>
        <w:tblLook w:val="04A0" w:firstRow="1" w:lastRow="0" w:firstColumn="1" w:lastColumn="0" w:noHBand="0" w:noVBand="1"/>
      </w:tblPr>
      <w:tblGrid>
        <w:gridCol w:w="8746"/>
        <w:gridCol w:w="2044"/>
      </w:tblGrid>
      <w:tr w:rsidR="002641D2" w:rsidRPr="00FA3F9C" w14:paraId="719A50E3" w14:textId="77777777" w:rsidTr="00BB5F56">
        <w:tc>
          <w:tcPr>
            <w:tcW w:w="8746" w:type="dxa"/>
            <w:shd w:val="clear" w:color="auto" w:fill="000000"/>
          </w:tcPr>
          <w:p w14:paraId="1A3FF76F" w14:textId="77777777" w:rsidR="002641D2" w:rsidRPr="00FA3F9C" w:rsidRDefault="002641D2" w:rsidP="00BB5F56">
            <w:pPr>
              <w:rPr>
                <w:rFonts w:ascii="Arial" w:hAnsi="Arial" w:cs="Arial"/>
                <w:b/>
                <w:sz w:val="24"/>
                <w:szCs w:val="24"/>
                <w:u w:val="single"/>
              </w:rPr>
            </w:pPr>
            <w:r w:rsidRPr="00FA3F9C">
              <w:rPr>
                <w:rFonts w:ascii="Arial" w:hAnsi="Arial" w:cs="Arial"/>
                <w:b/>
                <w:sz w:val="24"/>
                <w:szCs w:val="24"/>
                <w:u w:val="single"/>
              </w:rPr>
              <w:t>Mantle Cell Lymphoma</w:t>
            </w:r>
          </w:p>
        </w:tc>
        <w:tc>
          <w:tcPr>
            <w:tcW w:w="2044" w:type="dxa"/>
            <w:shd w:val="clear" w:color="auto" w:fill="000000"/>
          </w:tcPr>
          <w:p w14:paraId="230428B4" w14:textId="77777777" w:rsidR="002641D2" w:rsidRPr="00FA3F9C" w:rsidRDefault="002641D2" w:rsidP="00BB5F56">
            <w:pPr>
              <w:jc w:val="center"/>
              <w:rPr>
                <w:rFonts w:ascii="Arial" w:hAnsi="Arial" w:cs="Arial"/>
                <w:b/>
                <w:sz w:val="24"/>
                <w:szCs w:val="24"/>
                <w:u w:val="single"/>
              </w:rPr>
            </w:pPr>
          </w:p>
        </w:tc>
      </w:tr>
      <w:tr w:rsidR="002641D2" w:rsidRPr="00FA3F9C" w14:paraId="4370A849" w14:textId="77777777" w:rsidTr="00BB5F56">
        <w:tc>
          <w:tcPr>
            <w:tcW w:w="10790" w:type="dxa"/>
            <w:gridSpan w:val="2"/>
            <w:vAlign w:val="center"/>
          </w:tcPr>
          <w:p w14:paraId="481E09F4" w14:textId="77777777" w:rsidR="002641D2" w:rsidRPr="00FA3F9C" w:rsidRDefault="002641D2" w:rsidP="002641D2">
            <w:pPr>
              <w:pStyle w:val="ListParagraph"/>
              <w:numPr>
                <w:ilvl w:val="0"/>
                <w:numId w:val="174"/>
              </w:numPr>
              <w:spacing w:line="276" w:lineRule="auto"/>
              <w:ind w:left="249" w:hanging="249"/>
              <w:rPr>
                <w:rFonts w:ascii="Arial" w:hAnsi="Arial" w:cs="Arial"/>
                <w:sz w:val="24"/>
                <w:szCs w:val="24"/>
              </w:rPr>
            </w:pPr>
            <w:r w:rsidRPr="00FA3F9C">
              <w:rPr>
                <w:rFonts w:ascii="Arial" w:hAnsi="Arial" w:cs="Arial"/>
                <w:sz w:val="24"/>
                <w:szCs w:val="24"/>
              </w:rPr>
              <w:t>Diagnosis of relapsed or refractory mantle cell lymphoma</w:t>
            </w:r>
          </w:p>
        </w:tc>
      </w:tr>
      <w:tr w:rsidR="002641D2" w:rsidRPr="00FA3F9C" w14:paraId="74396DF1" w14:textId="77777777" w:rsidTr="00BB5F56">
        <w:tc>
          <w:tcPr>
            <w:tcW w:w="10790" w:type="dxa"/>
            <w:gridSpan w:val="2"/>
            <w:vAlign w:val="center"/>
          </w:tcPr>
          <w:p w14:paraId="53F4DFC5" w14:textId="77777777" w:rsidR="002641D2" w:rsidRPr="00FA3F9C" w:rsidRDefault="002641D2" w:rsidP="002641D2">
            <w:pPr>
              <w:pStyle w:val="ListParagraph"/>
              <w:numPr>
                <w:ilvl w:val="0"/>
                <w:numId w:val="174"/>
              </w:numPr>
              <w:spacing w:line="276" w:lineRule="auto"/>
              <w:ind w:left="249" w:hanging="249"/>
              <w:rPr>
                <w:rFonts w:ascii="Arial" w:hAnsi="Arial" w:cs="Arial"/>
                <w:sz w:val="24"/>
                <w:szCs w:val="24"/>
              </w:rPr>
            </w:pPr>
            <w:r w:rsidRPr="00FA3F9C">
              <w:rPr>
                <w:rFonts w:ascii="Arial" w:hAnsi="Arial" w:cs="Arial"/>
                <w:sz w:val="24"/>
                <w:szCs w:val="24"/>
              </w:rPr>
              <w:t>At least one prior rituximab-containing regimen</w:t>
            </w:r>
          </w:p>
        </w:tc>
      </w:tr>
      <w:tr w:rsidR="002641D2" w:rsidRPr="00FA3F9C" w14:paraId="3E7D4BB1" w14:textId="77777777" w:rsidTr="00BB5F56">
        <w:tc>
          <w:tcPr>
            <w:tcW w:w="10790" w:type="dxa"/>
            <w:gridSpan w:val="2"/>
            <w:vAlign w:val="center"/>
          </w:tcPr>
          <w:p w14:paraId="5A3BAD89" w14:textId="77777777" w:rsidR="002641D2" w:rsidRPr="00FA3F9C" w:rsidRDefault="002641D2" w:rsidP="002641D2">
            <w:pPr>
              <w:pStyle w:val="ListParagraph"/>
              <w:numPr>
                <w:ilvl w:val="0"/>
                <w:numId w:val="174"/>
              </w:numPr>
              <w:spacing w:line="276" w:lineRule="auto"/>
              <w:ind w:left="249" w:hanging="249"/>
              <w:rPr>
                <w:rFonts w:ascii="Arial" w:hAnsi="Arial" w:cs="Arial"/>
                <w:sz w:val="24"/>
                <w:szCs w:val="24"/>
              </w:rPr>
            </w:pPr>
            <w:r w:rsidRPr="00FA3F9C">
              <w:rPr>
                <w:rFonts w:ascii="Arial" w:hAnsi="Arial" w:cs="Arial"/>
                <w:sz w:val="24"/>
                <w:szCs w:val="24"/>
              </w:rPr>
              <w:t>Ibrutinib will be used as single agent</w:t>
            </w:r>
          </w:p>
        </w:tc>
      </w:tr>
      <w:tr w:rsidR="002641D2" w:rsidRPr="00FA3F9C" w14:paraId="31888C90" w14:textId="77777777" w:rsidTr="00BB5F56">
        <w:tc>
          <w:tcPr>
            <w:tcW w:w="10790" w:type="dxa"/>
            <w:gridSpan w:val="2"/>
            <w:shd w:val="clear" w:color="auto" w:fill="F2F2F2" w:themeFill="background1" w:themeFillShade="F2"/>
            <w:vAlign w:val="center"/>
          </w:tcPr>
          <w:p w14:paraId="67CDA6DB" w14:textId="77777777" w:rsidR="002641D2" w:rsidRPr="00FA3F9C" w:rsidRDefault="002641D2" w:rsidP="00BB5F56">
            <w:pPr>
              <w:rPr>
                <w:rFonts w:ascii="Arial" w:hAnsi="Arial" w:cs="Arial"/>
                <w:sz w:val="24"/>
                <w:szCs w:val="24"/>
              </w:rPr>
            </w:pPr>
            <w:r w:rsidRPr="00FA3F9C">
              <w:rPr>
                <w:rFonts w:ascii="Arial" w:hAnsi="Arial" w:cs="Arial"/>
                <w:sz w:val="24"/>
                <w:szCs w:val="24"/>
              </w:rPr>
              <w:t>If above criteria are fulfilled, approve x 1 year</w:t>
            </w:r>
          </w:p>
          <w:p w14:paraId="57870C6E" w14:textId="77777777" w:rsidR="002641D2" w:rsidRPr="00FA3F9C" w:rsidRDefault="002641D2" w:rsidP="001758F8">
            <w:pPr>
              <w:rPr>
                <w:rFonts w:ascii="Arial" w:hAnsi="Arial" w:cs="Arial"/>
                <w:sz w:val="24"/>
                <w:szCs w:val="24"/>
              </w:rPr>
            </w:pPr>
            <w:r w:rsidRPr="00FA3F9C">
              <w:rPr>
                <w:rFonts w:ascii="Arial" w:hAnsi="Arial" w:cs="Arial"/>
                <w:sz w:val="24"/>
                <w:szCs w:val="24"/>
              </w:rPr>
              <w:t>Dose: 560 mg daily</w:t>
            </w:r>
          </w:p>
          <w:p w14:paraId="72F4AEE0" w14:textId="77777777" w:rsidR="002641D2" w:rsidRPr="00FA3F9C" w:rsidRDefault="002641D2" w:rsidP="00FC699C">
            <w:pPr>
              <w:rPr>
                <w:rFonts w:ascii="Arial" w:hAnsi="Arial" w:cs="Arial"/>
                <w:sz w:val="24"/>
                <w:szCs w:val="24"/>
                <w:u w:val="single"/>
              </w:rPr>
            </w:pPr>
            <w:r w:rsidRPr="00FA3F9C">
              <w:rPr>
                <w:rFonts w:ascii="Arial" w:hAnsi="Arial" w:cs="Arial"/>
                <w:sz w:val="24"/>
                <w:szCs w:val="24"/>
                <w:u w:val="single"/>
              </w:rPr>
              <w:t xml:space="preserve">QL: </w:t>
            </w:r>
          </w:p>
          <w:p w14:paraId="2FE5BC31" w14:textId="77777777" w:rsidR="002641D2" w:rsidRPr="00FA3F9C" w:rsidRDefault="002641D2" w:rsidP="002641D2">
            <w:pPr>
              <w:pStyle w:val="ListParagraph"/>
              <w:numPr>
                <w:ilvl w:val="0"/>
                <w:numId w:val="256"/>
              </w:numPr>
              <w:spacing w:line="276" w:lineRule="auto"/>
              <w:rPr>
                <w:rFonts w:ascii="Arial" w:hAnsi="Arial" w:cs="Arial"/>
                <w:sz w:val="24"/>
                <w:szCs w:val="24"/>
              </w:rPr>
            </w:pPr>
            <w:r w:rsidRPr="00FA3F9C">
              <w:rPr>
                <w:rFonts w:ascii="Arial" w:hAnsi="Arial" w:cs="Arial"/>
                <w:sz w:val="24"/>
                <w:szCs w:val="24"/>
                <w:highlight w:val="cyan"/>
              </w:rPr>
              <w:t>Do not allow use of capsules (4 x 120 mg) due to significant increase in AWP compared to 1 of the 560 mg tablets.</w:t>
            </w:r>
          </w:p>
          <w:p w14:paraId="1B715E2C" w14:textId="77777777" w:rsidR="002641D2" w:rsidRPr="00FA3F9C" w:rsidRDefault="002641D2" w:rsidP="002641D2">
            <w:pPr>
              <w:pStyle w:val="ListParagraph"/>
              <w:numPr>
                <w:ilvl w:val="0"/>
                <w:numId w:val="256"/>
              </w:numPr>
              <w:spacing w:line="276" w:lineRule="auto"/>
              <w:rPr>
                <w:rFonts w:ascii="Arial" w:hAnsi="Arial" w:cs="Arial"/>
                <w:sz w:val="24"/>
                <w:szCs w:val="24"/>
              </w:rPr>
            </w:pPr>
            <w:r w:rsidRPr="00FA3F9C">
              <w:rPr>
                <w:rFonts w:ascii="Arial" w:hAnsi="Arial" w:cs="Arial"/>
                <w:sz w:val="24"/>
                <w:szCs w:val="24"/>
              </w:rPr>
              <w:t>If dose reduced to 420 mg daily, tablets or capsules may be used</w:t>
            </w:r>
          </w:p>
          <w:p w14:paraId="67368491" w14:textId="77777777" w:rsidR="002641D2" w:rsidRPr="00FA3F9C" w:rsidRDefault="002641D2" w:rsidP="002641D2">
            <w:pPr>
              <w:pStyle w:val="ListParagraph"/>
              <w:numPr>
                <w:ilvl w:val="0"/>
                <w:numId w:val="256"/>
              </w:numPr>
              <w:spacing w:line="276" w:lineRule="auto"/>
              <w:rPr>
                <w:rFonts w:ascii="Arial" w:hAnsi="Arial" w:cs="Arial"/>
                <w:sz w:val="24"/>
                <w:szCs w:val="24"/>
              </w:rPr>
            </w:pPr>
            <w:r w:rsidRPr="00FA3F9C">
              <w:rPr>
                <w:rFonts w:ascii="Arial" w:hAnsi="Arial" w:cs="Arial"/>
                <w:sz w:val="24"/>
                <w:szCs w:val="24"/>
              </w:rPr>
              <w:t xml:space="preserve">If dose is reduced to 140 mg or 280 mg daily, prefer capsules due to cost  </w:t>
            </w:r>
          </w:p>
        </w:tc>
      </w:tr>
      <w:tr w:rsidR="002641D2" w:rsidRPr="00FA3F9C" w14:paraId="7A648BBA" w14:textId="77777777" w:rsidTr="00BB5F56">
        <w:tc>
          <w:tcPr>
            <w:tcW w:w="10790" w:type="dxa"/>
            <w:gridSpan w:val="2"/>
            <w:shd w:val="clear" w:color="auto" w:fill="BFBFBF" w:themeFill="background1" w:themeFillShade="BF"/>
            <w:vAlign w:val="center"/>
          </w:tcPr>
          <w:p w14:paraId="5E853AA4" w14:textId="77777777" w:rsidR="002641D2" w:rsidRPr="00FA3F9C" w:rsidRDefault="002641D2" w:rsidP="00BB5F56">
            <w:pPr>
              <w:rPr>
                <w:rFonts w:ascii="Arial" w:hAnsi="Arial" w:cs="Arial"/>
                <w:sz w:val="24"/>
                <w:szCs w:val="24"/>
              </w:rPr>
            </w:pPr>
            <w:r w:rsidRPr="00FA3F9C">
              <w:rPr>
                <w:rFonts w:ascii="Arial" w:hAnsi="Arial" w:cs="Arial"/>
                <w:sz w:val="24"/>
                <w:szCs w:val="24"/>
              </w:rPr>
              <w:t>Evidence:</w:t>
            </w:r>
          </w:p>
          <w:p w14:paraId="3827869C" w14:textId="77777777" w:rsidR="002641D2" w:rsidRPr="00FA3F9C" w:rsidRDefault="002641D2" w:rsidP="00A95CE7">
            <w:pPr>
              <w:rPr>
                <w:rFonts w:ascii="Arial" w:hAnsi="Arial" w:cs="Arial"/>
                <w:sz w:val="24"/>
                <w:szCs w:val="24"/>
              </w:rPr>
            </w:pPr>
            <w:r w:rsidRPr="00FA3F9C">
              <w:rPr>
                <w:rFonts w:ascii="Arial" w:hAnsi="Arial" w:cs="Arial"/>
                <w:sz w:val="24"/>
                <w:szCs w:val="24"/>
              </w:rPr>
              <w:t xml:space="preserve">Ibrutinib vs </w:t>
            </w:r>
            <w:proofErr w:type="spellStart"/>
            <w:r w:rsidRPr="00FA3F9C">
              <w:rPr>
                <w:rFonts w:ascii="Arial" w:hAnsi="Arial" w:cs="Arial"/>
                <w:sz w:val="24"/>
                <w:szCs w:val="24"/>
              </w:rPr>
              <w:t>temsirolimus</w:t>
            </w:r>
            <w:proofErr w:type="spellEnd"/>
            <w:r w:rsidRPr="00FA3F9C">
              <w:rPr>
                <w:rFonts w:ascii="Arial" w:hAnsi="Arial" w:cs="Arial"/>
                <w:sz w:val="24"/>
                <w:szCs w:val="24"/>
              </w:rPr>
              <w:t xml:space="preserve"> in relapsed/refractory mantle cell lymphoma:</w:t>
            </w:r>
            <w:r w:rsidRPr="00FA3F9C">
              <w:rPr>
                <w:rFonts w:ascii="Arial" w:hAnsi="Arial" w:cs="Arial"/>
                <w:sz w:val="24"/>
                <w:szCs w:val="24"/>
                <w:vertAlign w:val="superscript"/>
              </w:rPr>
              <w:t>1,2,3</w:t>
            </w:r>
            <w:r w:rsidRPr="00FA3F9C">
              <w:rPr>
                <w:rFonts w:ascii="Arial" w:hAnsi="Arial" w:cs="Arial"/>
                <w:sz w:val="24"/>
                <w:szCs w:val="24"/>
              </w:rPr>
              <w:t xml:space="preserve"> </w:t>
            </w:r>
          </w:p>
          <w:p w14:paraId="5F63F120" w14:textId="77777777" w:rsidR="002641D2" w:rsidRPr="00FA3F9C" w:rsidRDefault="002641D2" w:rsidP="00A95CE7">
            <w:pPr>
              <w:rPr>
                <w:rFonts w:ascii="Arial" w:hAnsi="Arial" w:cs="Arial"/>
                <w:sz w:val="24"/>
                <w:szCs w:val="24"/>
              </w:rPr>
            </w:pPr>
            <w:r w:rsidRPr="00FA3F9C">
              <w:rPr>
                <w:rFonts w:ascii="Arial" w:hAnsi="Arial" w:cs="Arial"/>
                <w:sz w:val="24"/>
                <w:szCs w:val="24"/>
              </w:rPr>
              <w:lastRenderedPageBreak/>
              <w:t xml:space="preserve">-Ibrutinib improved several QOL parameter compared to </w:t>
            </w:r>
            <w:proofErr w:type="spellStart"/>
            <w:r w:rsidRPr="00FA3F9C">
              <w:rPr>
                <w:rFonts w:ascii="Arial" w:hAnsi="Arial" w:cs="Arial"/>
                <w:sz w:val="24"/>
                <w:szCs w:val="24"/>
              </w:rPr>
              <w:t>temsirolimus</w:t>
            </w:r>
            <w:proofErr w:type="spellEnd"/>
            <w:r w:rsidRPr="00FA3F9C">
              <w:rPr>
                <w:rFonts w:ascii="Arial" w:hAnsi="Arial" w:cs="Arial"/>
                <w:sz w:val="24"/>
                <w:szCs w:val="24"/>
              </w:rPr>
              <w:t xml:space="preserve"> as follows.</w:t>
            </w:r>
          </w:p>
          <w:p w14:paraId="18264C64" w14:textId="77777777" w:rsidR="002641D2" w:rsidRPr="00FA3F9C" w:rsidRDefault="002641D2" w:rsidP="00D150AA">
            <w:pPr>
              <w:ind w:left="520"/>
              <w:rPr>
                <w:rFonts w:ascii="Arial" w:hAnsi="Arial" w:cs="Arial"/>
                <w:sz w:val="24"/>
                <w:szCs w:val="24"/>
              </w:rPr>
            </w:pPr>
            <w:r w:rsidRPr="00FA3F9C">
              <w:rPr>
                <w:rFonts w:ascii="Arial" w:hAnsi="Arial" w:cs="Arial"/>
                <w:sz w:val="24"/>
                <w:szCs w:val="24"/>
              </w:rPr>
              <w:t xml:space="preserve">-Clinically significant increase in FACT-Lymphoma subscale in 62% of ibrutinib patients (versus 36% in </w:t>
            </w:r>
            <w:proofErr w:type="spellStart"/>
            <w:r w:rsidRPr="00FA3F9C">
              <w:rPr>
                <w:rFonts w:ascii="Arial" w:hAnsi="Arial" w:cs="Arial"/>
                <w:sz w:val="24"/>
                <w:szCs w:val="24"/>
              </w:rPr>
              <w:t>temsirolimus</w:t>
            </w:r>
            <w:proofErr w:type="spellEnd"/>
            <w:r w:rsidRPr="00FA3F9C">
              <w:rPr>
                <w:rFonts w:ascii="Arial" w:hAnsi="Arial" w:cs="Arial"/>
                <w:sz w:val="24"/>
                <w:szCs w:val="24"/>
              </w:rPr>
              <w:t xml:space="preserve"> arm)</w:t>
            </w:r>
          </w:p>
          <w:p w14:paraId="104D6429" w14:textId="77777777" w:rsidR="002641D2" w:rsidRPr="00FA3F9C" w:rsidRDefault="002641D2" w:rsidP="00D150AA">
            <w:pPr>
              <w:ind w:left="520"/>
              <w:rPr>
                <w:rFonts w:ascii="Arial" w:hAnsi="Arial" w:cs="Arial"/>
                <w:sz w:val="24"/>
                <w:szCs w:val="24"/>
              </w:rPr>
            </w:pPr>
            <w:r w:rsidRPr="00FA3F9C">
              <w:rPr>
                <w:rFonts w:ascii="Arial" w:hAnsi="Arial" w:cs="Arial"/>
                <w:sz w:val="24"/>
                <w:szCs w:val="24"/>
              </w:rPr>
              <w:t xml:space="preserve">-Clinically significant increase in FACT-Lymphoma Total score in 66% of ibrutinib patients (versus 48% in </w:t>
            </w:r>
            <w:proofErr w:type="spellStart"/>
            <w:r w:rsidRPr="00FA3F9C">
              <w:rPr>
                <w:rFonts w:ascii="Arial" w:hAnsi="Arial" w:cs="Arial"/>
                <w:sz w:val="24"/>
                <w:szCs w:val="24"/>
              </w:rPr>
              <w:t>temsirolimus</w:t>
            </w:r>
            <w:proofErr w:type="spellEnd"/>
            <w:r w:rsidRPr="00FA3F9C">
              <w:rPr>
                <w:rFonts w:ascii="Arial" w:hAnsi="Arial" w:cs="Arial"/>
                <w:sz w:val="24"/>
                <w:szCs w:val="24"/>
              </w:rPr>
              <w:t xml:space="preserve"> arm)</w:t>
            </w:r>
          </w:p>
          <w:p w14:paraId="0408257B" w14:textId="77777777" w:rsidR="002641D2" w:rsidRPr="00FA3F9C" w:rsidRDefault="002641D2" w:rsidP="00D150AA">
            <w:pPr>
              <w:ind w:left="520"/>
              <w:rPr>
                <w:rFonts w:ascii="Arial" w:hAnsi="Arial" w:cs="Arial"/>
                <w:sz w:val="24"/>
                <w:szCs w:val="24"/>
              </w:rPr>
            </w:pPr>
            <w:r w:rsidRPr="00FA3F9C">
              <w:rPr>
                <w:rFonts w:ascii="Arial" w:hAnsi="Arial" w:cs="Arial"/>
                <w:sz w:val="24"/>
                <w:szCs w:val="24"/>
              </w:rPr>
              <w:t xml:space="preserve">-Time to worsening of FACT-Lymphoma subscale: median not reached for ibrutinib group vs 9.7 </w:t>
            </w:r>
            <w:proofErr w:type="spellStart"/>
            <w:r w:rsidRPr="00FA3F9C">
              <w:rPr>
                <w:rFonts w:ascii="Arial" w:hAnsi="Arial" w:cs="Arial"/>
                <w:sz w:val="24"/>
                <w:szCs w:val="24"/>
              </w:rPr>
              <w:t>mo</w:t>
            </w:r>
            <w:proofErr w:type="spellEnd"/>
            <w:r w:rsidRPr="00FA3F9C">
              <w:rPr>
                <w:rFonts w:ascii="Arial" w:hAnsi="Arial" w:cs="Arial"/>
                <w:sz w:val="24"/>
                <w:szCs w:val="24"/>
              </w:rPr>
              <w:t xml:space="preserve"> in </w:t>
            </w:r>
            <w:proofErr w:type="spellStart"/>
            <w:r w:rsidRPr="00FA3F9C">
              <w:rPr>
                <w:rFonts w:ascii="Arial" w:hAnsi="Arial" w:cs="Arial"/>
                <w:sz w:val="24"/>
                <w:szCs w:val="24"/>
              </w:rPr>
              <w:t>temsirolimus</w:t>
            </w:r>
            <w:proofErr w:type="spellEnd"/>
            <w:r w:rsidRPr="00FA3F9C">
              <w:rPr>
                <w:rFonts w:ascii="Arial" w:hAnsi="Arial" w:cs="Arial"/>
                <w:sz w:val="24"/>
                <w:szCs w:val="24"/>
              </w:rPr>
              <w:t xml:space="preserve"> group; p&lt;0.0001)</w:t>
            </w:r>
          </w:p>
          <w:p w14:paraId="47929615" w14:textId="77777777" w:rsidR="002641D2" w:rsidRPr="00FA3F9C" w:rsidRDefault="002641D2" w:rsidP="00A95CE7">
            <w:pPr>
              <w:rPr>
                <w:rFonts w:ascii="Arial" w:hAnsi="Arial" w:cs="Arial"/>
                <w:sz w:val="24"/>
                <w:szCs w:val="24"/>
              </w:rPr>
            </w:pPr>
            <w:r w:rsidRPr="00FA3F9C">
              <w:rPr>
                <w:rFonts w:ascii="Arial" w:hAnsi="Arial" w:cs="Arial"/>
                <w:sz w:val="24"/>
                <w:szCs w:val="24"/>
              </w:rPr>
              <w:t xml:space="preserve">-There was a trend to improved median OS in ibrutinib arm: 30 </w:t>
            </w:r>
            <w:proofErr w:type="spellStart"/>
            <w:r w:rsidRPr="00FA3F9C">
              <w:rPr>
                <w:rFonts w:ascii="Arial" w:hAnsi="Arial" w:cs="Arial"/>
                <w:sz w:val="24"/>
                <w:szCs w:val="24"/>
              </w:rPr>
              <w:t>mo</w:t>
            </w:r>
            <w:proofErr w:type="spellEnd"/>
            <w:r w:rsidRPr="00FA3F9C">
              <w:rPr>
                <w:rFonts w:ascii="Arial" w:hAnsi="Arial" w:cs="Arial"/>
                <w:sz w:val="24"/>
                <w:szCs w:val="24"/>
              </w:rPr>
              <w:t xml:space="preserve"> (ibrutinib) vs 23 </w:t>
            </w:r>
            <w:proofErr w:type="spellStart"/>
            <w:r w:rsidRPr="00FA3F9C">
              <w:rPr>
                <w:rFonts w:ascii="Arial" w:hAnsi="Arial" w:cs="Arial"/>
                <w:sz w:val="24"/>
                <w:szCs w:val="24"/>
              </w:rPr>
              <w:t>mo</w:t>
            </w:r>
            <w:proofErr w:type="spellEnd"/>
            <w:r w:rsidRPr="00FA3F9C">
              <w:rPr>
                <w:rFonts w:ascii="Arial" w:hAnsi="Arial" w:cs="Arial"/>
                <w:sz w:val="24"/>
                <w:szCs w:val="24"/>
              </w:rPr>
              <w:t xml:space="preserve"> (</w:t>
            </w:r>
            <w:proofErr w:type="spellStart"/>
            <w:r w:rsidRPr="00FA3F9C">
              <w:rPr>
                <w:rFonts w:ascii="Arial" w:hAnsi="Arial" w:cs="Arial"/>
                <w:sz w:val="24"/>
                <w:szCs w:val="24"/>
              </w:rPr>
              <w:t>temsirolimus</w:t>
            </w:r>
            <w:proofErr w:type="spellEnd"/>
            <w:r w:rsidRPr="00FA3F9C">
              <w:rPr>
                <w:rFonts w:ascii="Arial" w:hAnsi="Arial" w:cs="Arial"/>
                <w:sz w:val="24"/>
                <w:szCs w:val="24"/>
              </w:rPr>
              <w:t xml:space="preserve">) (HR 0.74 [95% CI 0.54–1.02]; P = 0.0621)—32% pf </w:t>
            </w:r>
            <w:proofErr w:type="spellStart"/>
            <w:r w:rsidRPr="00FA3F9C">
              <w:rPr>
                <w:rFonts w:ascii="Arial" w:hAnsi="Arial" w:cs="Arial"/>
                <w:sz w:val="24"/>
                <w:szCs w:val="24"/>
              </w:rPr>
              <w:t>temsirolimus</w:t>
            </w:r>
            <w:proofErr w:type="spellEnd"/>
            <w:r w:rsidRPr="00FA3F9C">
              <w:rPr>
                <w:rFonts w:ascii="Arial" w:hAnsi="Arial" w:cs="Arial"/>
                <w:sz w:val="24"/>
                <w:szCs w:val="24"/>
              </w:rPr>
              <w:t xml:space="preserve"> patients received subsequent ibrutinib after progression of disease which may have affected results.</w:t>
            </w:r>
          </w:p>
          <w:p w14:paraId="5D947885" w14:textId="77777777" w:rsidR="002641D2" w:rsidRPr="00FA3F9C" w:rsidRDefault="002641D2" w:rsidP="00BB5F56">
            <w:pPr>
              <w:rPr>
                <w:rFonts w:ascii="Arial" w:hAnsi="Arial" w:cs="Arial"/>
                <w:sz w:val="24"/>
                <w:szCs w:val="24"/>
              </w:rPr>
            </w:pPr>
          </w:p>
          <w:p w14:paraId="23E07ECE" w14:textId="77777777" w:rsidR="002641D2" w:rsidRPr="00FA3F9C" w:rsidRDefault="002641D2" w:rsidP="00BB5F56">
            <w:pPr>
              <w:rPr>
                <w:rFonts w:ascii="Arial" w:hAnsi="Arial" w:cs="Arial"/>
                <w:sz w:val="24"/>
                <w:szCs w:val="24"/>
              </w:rPr>
            </w:pPr>
            <w:r w:rsidRPr="00FA3F9C">
              <w:rPr>
                <w:rFonts w:ascii="Arial" w:hAnsi="Arial" w:cs="Arial"/>
                <w:sz w:val="24"/>
                <w:szCs w:val="24"/>
              </w:rPr>
              <w:t>Dose: 560 mg once daily until disease progression</w:t>
            </w:r>
          </w:p>
          <w:p w14:paraId="766D5B4E" w14:textId="77777777" w:rsidR="002641D2" w:rsidRPr="00FA3F9C" w:rsidRDefault="002641D2" w:rsidP="00BB5F56">
            <w:pPr>
              <w:rPr>
                <w:rFonts w:ascii="Arial" w:hAnsi="Arial" w:cs="Arial"/>
                <w:sz w:val="24"/>
                <w:szCs w:val="24"/>
              </w:rPr>
            </w:pPr>
          </w:p>
          <w:p w14:paraId="5C54C18F" w14:textId="77777777" w:rsidR="002641D2" w:rsidRPr="00FA3F9C" w:rsidRDefault="002641D2" w:rsidP="00BB5F56">
            <w:pPr>
              <w:rPr>
                <w:rFonts w:ascii="Arial" w:hAnsi="Arial" w:cs="Arial"/>
                <w:sz w:val="24"/>
                <w:szCs w:val="24"/>
              </w:rPr>
            </w:pPr>
            <w:r w:rsidRPr="00FA3F9C">
              <w:rPr>
                <w:rFonts w:ascii="Arial" w:hAnsi="Arial" w:cs="Arial"/>
                <w:sz w:val="24"/>
                <w:szCs w:val="24"/>
              </w:rPr>
              <w:t>Reference:</w:t>
            </w:r>
          </w:p>
          <w:p w14:paraId="3A927F77" w14:textId="77777777" w:rsidR="002641D2" w:rsidRPr="00FA3F9C" w:rsidRDefault="002641D2" w:rsidP="00A95CE7">
            <w:pPr>
              <w:ind w:left="180" w:hanging="180"/>
              <w:rPr>
                <w:rFonts w:ascii="Arial" w:hAnsi="Arial" w:cs="Arial"/>
                <w:sz w:val="24"/>
                <w:szCs w:val="24"/>
              </w:rPr>
            </w:pPr>
            <w:r w:rsidRPr="00FA3F9C">
              <w:rPr>
                <w:rFonts w:ascii="Arial" w:hAnsi="Arial" w:cs="Arial"/>
                <w:sz w:val="24"/>
                <w:szCs w:val="24"/>
              </w:rPr>
              <w:t xml:space="preserve">1. </w:t>
            </w:r>
            <w:proofErr w:type="spellStart"/>
            <w:r w:rsidRPr="00FA3F9C">
              <w:rPr>
                <w:rFonts w:ascii="Arial" w:hAnsi="Arial" w:cs="Arial"/>
                <w:sz w:val="24"/>
                <w:szCs w:val="24"/>
              </w:rPr>
              <w:t>Dreyling</w:t>
            </w:r>
            <w:proofErr w:type="spellEnd"/>
            <w:r w:rsidRPr="00FA3F9C">
              <w:rPr>
                <w:rFonts w:ascii="Arial" w:hAnsi="Arial" w:cs="Arial"/>
                <w:sz w:val="24"/>
                <w:szCs w:val="24"/>
              </w:rPr>
              <w:t xml:space="preserve"> M et al. Ibrutinib versus </w:t>
            </w:r>
            <w:proofErr w:type="spellStart"/>
            <w:r w:rsidRPr="00FA3F9C">
              <w:rPr>
                <w:rFonts w:ascii="Arial" w:hAnsi="Arial" w:cs="Arial"/>
                <w:sz w:val="24"/>
                <w:szCs w:val="24"/>
              </w:rPr>
              <w:t>temsirolimus</w:t>
            </w:r>
            <w:proofErr w:type="spellEnd"/>
            <w:r w:rsidRPr="00FA3F9C">
              <w:rPr>
                <w:rFonts w:ascii="Arial" w:hAnsi="Arial" w:cs="Arial"/>
                <w:sz w:val="24"/>
                <w:szCs w:val="24"/>
              </w:rPr>
              <w:t xml:space="preserve"> in patients with relapsed or refractory mantle-cell lymphoma: an international, </w:t>
            </w:r>
            <w:proofErr w:type="spellStart"/>
            <w:r w:rsidRPr="00FA3F9C">
              <w:rPr>
                <w:rFonts w:ascii="Arial" w:hAnsi="Arial" w:cs="Arial"/>
                <w:sz w:val="24"/>
                <w:szCs w:val="24"/>
              </w:rPr>
              <w:t>randomised</w:t>
            </w:r>
            <w:proofErr w:type="spellEnd"/>
            <w:r w:rsidRPr="00FA3F9C">
              <w:rPr>
                <w:rFonts w:ascii="Arial" w:hAnsi="Arial" w:cs="Arial"/>
                <w:sz w:val="24"/>
                <w:szCs w:val="24"/>
              </w:rPr>
              <w:t xml:space="preserve">, open-label, phase 3 study. Lancet. 2016 Feb 20;387(10020):770-8. </w:t>
            </w:r>
            <w:proofErr w:type="spellStart"/>
            <w:r w:rsidRPr="00FA3F9C">
              <w:rPr>
                <w:rFonts w:ascii="Arial" w:hAnsi="Arial" w:cs="Arial"/>
                <w:sz w:val="24"/>
                <w:szCs w:val="24"/>
              </w:rPr>
              <w:t>doi</w:t>
            </w:r>
            <w:proofErr w:type="spellEnd"/>
            <w:r w:rsidRPr="00FA3F9C">
              <w:rPr>
                <w:rFonts w:ascii="Arial" w:hAnsi="Arial" w:cs="Arial"/>
                <w:sz w:val="24"/>
                <w:szCs w:val="24"/>
              </w:rPr>
              <w:t xml:space="preserve">: 10.1016/S0140-6736(15)00667-4. </w:t>
            </w:r>
            <w:proofErr w:type="spellStart"/>
            <w:r w:rsidRPr="00FA3F9C">
              <w:rPr>
                <w:rFonts w:ascii="Arial" w:hAnsi="Arial" w:cs="Arial"/>
                <w:sz w:val="24"/>
                <w:szCs w:val="24"/>
              </w:rPr>
              <w:t>Epub</w:t>
            </w:r>
            <w:proofErr w:type="spellEnd"/>
            <w:r w:rsidRPr="00FA3F9C">
              <w:rPr>
                <w:rFonts w:ascii="Arial" w:hAnsi="Arial" w:cs="Arial"/>
                <w:sz w:val="24"/>
                <w:szCs w:val="24"/>
              </w:rPr>
              <w:t xml:space="preserve"> 2015 Dec 7. PMID 26673811</w:t>
            </w:r>
          </w:p>
          <w:p w14:paraId="2130BD04" w14:textId="77777777" w:rsidR="002641D2" w:rsidRPr="00FA3F9C" w:rsidRDefault="002641D2" w:rsidP="00A95CE7">
            <w:pPr>
              <w:ind w:left="180" w:hanging="180"/>
              <w:rPr>
                <w:rFonts w:ascii="Arial" w:hAnsi="Arial" w:cs="Arial"/>
                <w:sz w:val="24"/>
                <w:szCs w:val="24"/>
              </w:rPr>
            </w:pPr>
            <w:r w:rsidRPr="00FA3F9C">
              <w:rPr>
                <w:rFonts w:ascii="Arial" w:hAnsi="Arial" w:cs="Arial"/>
                <w:sz w:val="24"/>
                <w:szCs w:val="24"/>
              </w:rPr>
              <w:t xml:space="preserve">2. Rule S et al. Ibrutinib versus </w:t>
            </w:r>
            <w:proofErr w:type="spellStart"/>
            <w:r w:rsidRPr="00FA3F9C">
              <w:rPr>
                <w:rFonts w:ascii="Arial" w:hAnsi="Arial" w:cs="Arial"/>
                <w:sz w:val="24"/>
                <w:szCs w:val="24"/>
              </w:rPr>
              <w:t>temsirolimus</w:t>
            </w:r>
            <w:proofErr w:type="spellEnd"/>
            <w:r w:rsidRPr="00FA3F9C">
              <w:rPr>
                <w:rFonts w:ascii="Arial" w:hAnsi="Arial" w:cs="Arial"/>
                <w:sz w:val="24"/>
                <w:szCs w:val="24"/>
              </w:rPr>
              <w:t xml:space="preserve">: 3-year follow-up of patients with previously treated mantle cell lymphoma from the phase 3, international, randomized, open-label RAY study. Leukemia. 2018 Aug;32(8):1799-1803. </w:t>
            </w:r>
            <w:proofErr w:type="spellStart"/>
            <w:r w:rsidRPr="00FA3F9C">
              <w:rPr>
                <w:rFonts w:ascii="Arial" w:hAnsi="Arial" w:cs="Arial"/>
                <w:sz w:val="24"/>
                <w:szCs w:val="24"/>
              </w:rPr>
              <w:t>doi</w:t>
            </w:r>
            <w:proofErr w:type="spellEnd"/>
            <w:r w:rsidRPr="00FA3F9C">
              <w:rPr>
                <w:rFonts w:ascii="Arial" w:hAnsi="Arial" w:cs="Arial"/>
                <w:sz w:val="24"/>
                <w:szCs w:val="24"/>
              </w:rPr>
              <w:t xml:space="preserve">: 10.1038/s41375-018-0023-2. </w:t>
            </w:r>
            <w:proofErr w:type="spellStart"/>
            <w:r w:rsidRPr="00FA3F9C">
              <w:rPr>
                <w:rFonts w:ascii="Arial" w:hAnsi="Arial" w:cs="Arial"/>
                <w:sz w:val="24"/>
                <w:szCs w:val="24"/>
              </w:rPr>
              <w:t>Epub</w:t>
            </w:r>
            <w:proofErr w:type="spellEnd"/>
            <w:r w:rsidRPr="00FA3F9C">
              <w:rPr>
                <w:rFonts w:ascii="Arial" w:hAnsi="Arial" w:cs="Arial"/>
                <w:sz w:val="24"/>
                <w:szCs w:val="24"/>
              </w:rPr>
              <w:t xml:space="preserve"> 2018 Feb 2. PMID 29572505</w:t>
            </w:r>
          </w:p>
          <w:p w14:paraId="65D0128D" w14:textId="77777777" w:rsidR="002641D2" w:rsidRPr="00FA3F9C" w:rsidRDefault="002641D2" w:rsidP="00A95CE7">
            <w:pPr>
              <w:ind w:left="180" w:hanging="180"/>
              <w:rPr>
                <w:rFonts w:ascii="Arial" w:hAnsi="Arial" w:cs="Arial"/>
                <w:sz w:val="24"/>
                <w:szCs w:val="24"/>
              </w:rPr>
            </w:pPr>
            <w:r w:rsidRPr="00FA3F9C">
              <w:rPr>
                <w:rFonts w:ascii="Arial" w:hAnsi="Arial" w:cs="Arial"/>
                <w:sz w:val="24"/>
                <w:szCs w:val="24"/>
              </w:rPr>
              <w:t xml:space="preserve">3. Hess G et al. Health-related quality of life data from a phase 3, international, randomized, open-label, multicenter study in patients with previously treated mantle cell lymphoma treated with ibrutinib versus </w:t>
            </w:r>
            <w:proofErr w:type="spellStart"/>
            <w:r w:rsidRPr="00FA3F9C">
              <w:rPr>
                <w:rFonts w:ascii="Arial" w:hAnsi="Arial" w:cs="Arial"/>
                <w:sz w:val="24"/>
                <w:szCs w:val="24"/>
              </w:rPr>
              <w:t>temsirolimus</w:t>
            </w:r>
            <w:proofErr w:type="spellEnd"/>
            <w:r w:rsidRPr="00FA3F9C">
              <w:rPr>
                <w:rFonts w:ascii="Arial" w:hAnsi="Arial" w:cs="Arial"/>
                <w:sz w:val="24"/>
                <w:szCs w:val="24"/>
              </w:rPr>
              <w:t xml:space="preserve">. Leuk Lymphoma. 2017 Dec;58(12):2824-2832. </w:t>
            </w:r>
            <w:proofErr w:type="spellStart"/>
            <w:r w:rsidRPr="00FA3F9C">
              <w:rPr>
                <w:rFonts w:ascii="Arial" w:hAnsi="Arial" w:cs="Arial"/>
                <w:sz w:val="24"/>
                <w:szCs w:val="24"/>
              </w:rPr>
              <w:t>doi</w:t>
            </w:r>
            <w:proofErr w:type="spellEnd"/>
            <w:r w:rsidRPr="00FA3F9C">
              <w:rPr>
                <w:rFonts w:ascii="Arial" w:hAnsi="Arial" w:cs="Arial"/>
                <w:sz w:val="24"/>
                <w:szCs w:val="24"/>
              </w:rPr>
              <w:t xml:space="preserve">: 10.1080/10428194.2017.1326034. </w:t>
            </w:r>
            <w:proofErr w:type="spellStart"/>
            <w:r w:rsidRPr="00FA3F9C">
              <w:rPr>
                <w:rFonts w:ascii="Arial" w:hAnsi="Arial" w:cs="Arial"/>
                <w:sz w:val="24"/>
                <w:szCs w:val="24"/>
              </w:rPr>
              <w:t>Epub</w:t>
            </w:r>
            <w:proofErr w:type="spellEnd"/>
            <w:r w:rsidRPr="00FA3F9C">
              <w:rPr>
                <w:rFonts w:ascii="Arial" w:hAnsi="Arial" w:cs="Arial"/>
                <w:sz w:val="24"/>
                <w:szCs w:val="24"/>
              </w:rPr>
              <w:t xml:space="preserve"> 2017 May 30. PMID 28556689</w:t>
            </w:r>
          </w:p>
        </w:tc>
      </w:tr>
    </w:tbl>
    <w:p w14:paraId="7E515CF9" w14:textId="77777777" w:rsidR="002641D2" w:rsidRPr="00FA3F9C" w:rsidRDefault="002641D2" w:rsidP="008B48E4">
      <w:pPr>
        <w:spacing w:after="0"/>
        <w:rPr>
          <w:rFonts w:ascii="Arial" w:hAnsi="Arial" w:cs="Arial"/>
          <w:sz w:val="24"/>
          <w:szCs w:val="24"/>
        </w:rPr>
      </w:pPr>
    </w:p>
    <w:p w14:paraId="1268A6C9" w14:textId="77777777" w:rsidR="002641D2" w:rsidRPr="00FA3F9C" w:rsidRDefault="002641D2" w:rsidP="008B48E4">
      <w:pPr>
        <w:spacing w:after="0"/>
        <w:rPr>
          <w:rFonts w:ascii="Arial" w:hAnsi="Arial" w:cs="Arial"/>
          <w:sz w:val="24"/>
          <w:szCs w:val="24"/>
        </w:rPr>
      </w:pPr>
    </w:p>
    <w:p w14:paraId="53D316E7" w14:textId="77777777" w:rsidR="002641D2" w:rsidRPr="00FA3F9C" w:rsidRDefault="002641D2" w:rsidP="008B48E4">
      <w:pPr>
        <w:spacing w:after="0"/>
        <w:rPr>
          <w:rFonts w:ascii="Arial" w:hAnsi="Arial" w:cs="Arial"/>
          <w:sz w:val="24"/>
          <w:szCs w:val="24"/>
        </w:rPr>
      </w:pPr>
    </w:p>
    <w:tbl>
      <w:tblPr>
        <w:tblStyle w:val="TableGrid"/>
        <w:tblW w:w="0" w:type="auto"/>
        <w:tblLook w:val="04A0" w:firstRow="1" w:lastRow="0" w:firstColumn="1" w:lastColumn="0" w:noHBand="0" w:noVBand="1"/>
      </w:tblPr>
      <w:tblGrid>
        <w:gridCol w:w="8746"/>
        <w:gridCol w:w="2044"/>
      </w:tblGrid>
      <w:tr w:rsidR="002641D2" w:rsidRPr="00FA3F9C" w14:paraId="0134FC21" w14:textId="77777777" w:rsidTr="002C6AE2">
        <w:tc>
          <w:tcPr>
            <w:tcW w:w="8746" w:type="dxa"/>
            <w:shd w:val="clear" w:color="auto" w:fill="000000"/>
          </w:tcPr>
          <w:p w14:paraId="64228A5C" w14:textId="77777777" w:rsidR="002641D2" w:rsidRPr="00FA3F9C" w:rsidRDefault="002641D2" w:rsidP="002C6AE2">
            <w:pPr>
              <w:rPr>
                <w:rFonts w:ascii="Arial" w:hAnsi="Arial" w:cs="Arial"/>
                <w:b/>
                <w:sz w:val="24"/>
                <w:szCs w:val="24"/>
                <w:u w:val="single"/>
              </w:rPr>
            </w:pPr>
            <w:r w:rsidRPr="00FA3F9C">
              <w:rPr>
                <w:rFonts w:ascii="Arial" w:hAnsi="Arial" w:cs="Arial"/>
                <w:b/>
                <w:sz w:val="24"/>
                <w:szCs w:val="24"/>
                <w:u w:val="single"/>
              </w:rPr>
              <w:t>GVHD:  Criteria for new users</w:t>
            </w:r>
          </w:p>
        </w:tc>
        <w:tc>
          <w:tcPr>
            <w:tcW w:w="2044" w:type="dxa"/>
            <w:shd w:val="clear" w:color="auto" w:fill="000000"/>
          </w:tcPr>
          <w:p w14:paraId="1C22E196" w14:textId="77777777" w:rsidR="002641D2" w:rsidRPr="00FA3F9C" w:rsidRDefault="002641D2" w:rsidP="002C6AE2">
            <w:pPr>
              <w:jc w:val="center"/>
              <w:rPr>
                <w:rFonts w:ascii="Arial" w:hAnsi="Arial" w:cs="Arial"/>
                <w:b/>
                <w:sz w:val="24"/>
                <w:szCs w:val="24"/>
                <w:u w:val="single"/>
              </w:rPr>
            </w:pPr>
          </w:p>
        </w:tc>
      </w:tr>
      <w:tr w:rsidR="002641D2" w:rsidRPr="00FA3F9C" w14:paraId="25DEDA8F" w14:textId="77777777" w:rsidTr="002C6AE2">
        <w:tc>
          <w:tcPr>
            <w:tcW w:w="10790" w:type="dxa"/>
            <w:gridSpan w:val="2"/>
            <w:vAlign w:val="center"/>
          </w:tcPr>
          <w:p w14:paraId="68B94026" w14:textId="77777777" w:rsidR="002641D2" w:rsidRPr="00FA3F9C" w:rsidRDefault="002641D2" w:rsidP="002C6AE2">
            <w:pPr>
              <w:rPr>
                <w:rFonts w:ascii="Arial" w:hAnsi="Arial" w:cs="Arial"/>
                <w:sz w:val="24"/>
                <w:szCs w:val="24"/>
              </w:rPr>
            </w:pPr>
            <w:r w:rsidRPr="00FA3F9C">
              <w:rPr>
                <w:rFonts w:ascii="Arial" w:hAnsi="Arial" w:cs="Arial"/>
                <w:sz w:val="24"/>
                <w:szCs w:val="24"/>
              </w:rPr>
              <w:t xml:space="preserve">1.  Must have a diagnosis of </w:t>
            </w:r>
            <w:r w:rsidRPr="00FA3F9C">
              <w:rPr>
                <w:rFonts w:ascii="Arial" w:hAnsi="Arial" w:cs="Arial"/>
                <w:sz w:val="24"/>
                <w:szCs w:val="24"/>
                <w:u w:val="single"/>
              </w:rPr>
              <w:t>CHRONIC</w:t>
            </w:r>
            <w:r w:rsidRPr="00FA3F9C">
              <w:rPr>
                <w:rFonts w:ascii="Arial" w:hAnsi="Arial" w:cs="Arial"/>
                <w:sz w:val="24"/>
                <w:szCs w:val="24"/>
              </w:rPr>
              <w:t xml:space="preserve"> graft versus host disease (GVHD) after allogeneic hematopoietic cell transplant</w:t>
            </w:r>
          </w:p>
        </w:tc>
      </w:tr>
      <w:tr w:rsidR="002641D2" w:rsidRPr="00FA3F9C" w14:paraId="71AA5EE1" w14:textId="77777777" w:rsidTr="002C6AE2">
        <w:tc>
          <w:tcPr>
            <w:tcW w:w="10790" w:type="dxa"/>
            <w:gridSpan w:val="2"/>
            <w:vAlign w:val="center"/>
          </w:tcPr>
          <w:p w14:paraId="71735C57" w14:textId="77777777" w:rsidR="002641D2" w:rsidRPr="00FA3F9C" w:rsidRDefault="002641D2" w:rsidP="005E1FAA">
            <w:pPr>
              <w:rPr>
                <w:rFonts w:ascii="Arial" w:hAnsi="Arial" w:cs="Arial"/>
                <w:sz w:val="24"/>
                <w:szCs w:val="24"/>
              </w:rPr>
            </w:pPr>
            <w:r w:rsidRPr="00FA3F9C">
              <w:rPr>
                <w:rFonts w:ascii="Arial" w:hAnsi="Arial" w:cs="Arial"/>
                <w:sz w:val="24"/>
                <w:szCs w:val="24"/>
              </w:rPr>
              <w:t xml:space="preserve">2.  Patient had inadequate response to previous treatment of </w:t>
            </w:r>
            <w:r w:rsidRPr="00FA3F9C">
              <w:rPr>
                <w:rFonts w:ascii="Arial" w:hAnsi="Arial" w:cs="Arial"/>
                <w:sz w:val="24"/>
                <w:szCs w:val="24"/>
                <w:u w:val="single"/>
              </w:rPr>
              <w:t>CHRONIC</w:t>
            </w:r>
            <w:r w:rsidRPr="00FA3F9C">
              <w:rPr>
                <w:rFonts w:ascii="Arial" w:hAnsi="Arial" w:cs="Arial"/>
                <w:sz w:val="24"/>
                <w:szCs w:val="24"/>
              </w:rPr>
              <w:t xml:space="preserve"> GVHD which included a corticosteroid, a calcineurin inhibitor (cyclosporine or tacrolimus), and one other systemic therapy </w:t>
            </w:r>
            <w:r w:rsidRPr="00FA3F9C">
              <w:rPr>
                <w:rFonts w:ascii="Arial" w:hAnsi="Arial" w:cs="Arial"/>
                <w:sz w:val="24"/>
                <w:szCs w:val="24"/>
              </w:rPr>
              <w:lastRenderedPageBreak/>
              <w:t>(options include but are not limited to the following: rituximab, mycophenolate, sirolimus, methotrexate, hydroxychloroquine, imatinib, bortezomib, extracorporeal photopheresis, PUVA photochemotherapy).</w:t>
            </w:r>
          </w:p>
        </w:tc>
      </w:tr>
      <w:tr w:rsidR="002641D2" w:rsidRPr="00FA3F9C" w14:paraId="1DF52479" w14:textId="77777777" w:rsidTr="002C6AE2">
        <w:tc>
          <w:tcPr>
            <w:tcW w:w="10790" w:type="dxa"/>
            <w:gridSpan w:val="2"/>
            <w:shd w:val="clear" w:color="auto" w:fill="F2F2F2" w:themeFill="background1" w:themeFillShade="F2"/>
            <w:vAlign w:val="center"/>
          </w:tcPr>
          <w:p w14:paraId="3006BF85" w14:textId="77777777" w:rsidR="002641D2" w:rsidRPr="00FA3F9C" w:rsidRDefault="002641D2" w:rsidP="002C6AE2">
            <w:pPr>
              <w:rPr>
                <w:rFonts w:ascii="Arial" w:hAnsi="Arial" w:cs="Arial"/>
                <w:sz w:val="24"/>
                <w:szCs w:val="24"/>
              </w:rPr>
            </w:pPr>
            <w:r w:rsidRPr="00FA3F9C">
              <w:rPr>
                <w:rFonts w:ascii="Arial" w:hAnsi="Arial" w:cs="Arial"/>
                <w:sz w:val="24"/>
                <w:szCs w:val="24"/>
              </w:rPr>
              <w:lastRenderedPageBreak/>
              <w:t>If above criteria are fulfilled, approve x 1 year</w:t>
            </w:r>
          </w:p>
          <w:p w14:paraId="0DEE2CCF" w14:textId="77777777" w:rsidR="002641D2" w:rsidRPr="00FA3F9C" w:rsidRDefault="002641D2" w:rsidP="001758F8">
            <w:pPr>
              <w:rPr>
                <w:rFonts w:ascii="Arial" w:hAnsi="Arial" w:cs="Arial"/>
                <w:sz w:val="24"/>
                <w:szCs w:val="24"/>
              </w:rPr>
            </w:pPr>
            <w:r w:rsidRPr="00FA3F9C">
              <w:rPr>
                <w:rFonts w:ascii="Arial" w:hAnsi="Arial" w:cs="Arial"/>
                <w:sz w:val="24"/>
                <w:szCs w:val="24"/>
              </w:rPr>
              <w:t>Dose: 420 mg daily</w:t>
            </w:r>
          </w:p>
          <w:p w14:paraId="0539AC5D" w14:textId="77777777" w:rsidR="002641D2" w:rsidRPr="00FA3F9C" w:rsidRDefault="002641D2" w:rsidP="001758F8">
            <w:pPr>
              <w:rPr>
                <w:rFonts w:ascii="Arial" w:hAnsi="Arial" w:cs="Arial"/>
                <w:sz w:val="24"/>
                <w:szCs w:val="24"/>
              </w:rPr>
            </w:pPr>
            <w:r w:rsidRPr="00FA3F9C">
              <w:rPr>
                <w:rFonts w:ascii="Arial" w:hAnsi="Arial" w:cs="Arial"/>
                <w:sz w:val="24"/>
                <w:szCs w:val="24"/>
              </w:rPr>
              <w:t xml:space="preserve">QL: </w:t>
            </w:r>
          </w:p>
          <w:p w14:paraId="109610E1" w14:textId="77777777" w:rsidR="002641D2" w:rsidRPr="00FA3F9C" w:rsidRDefault="002641D2" w:rsidP="002641D2">
            <w:pPr>
              <w:pStyle w:val="ListParagraph"/>
              <w:numPr>
                <w:ilvl w:val="0"/>
                <w:numId w:val="257"/>
              </w:numPr>
              <w:spacing w:line="276" w:lineRule="auto"/>
              <w:rPr>
                <w:rFonts w:ascii="Arial" w:hAnsi="Arial" w:cs="Arial"/>
                <w:sz w:val="24"/>
                <w:szCs w:val="24"/>
              </w:rPr>
            </w:pPr>
            <w:r w:rsidRPr="00FA3F9C">
              <w:rPr>
                <w:rFonts w:ascii="Arial" w:hAnsi="Arial" w:cs="Arial"/>
                <w:sz w:val="24"/>
                <w:szCs w:val="24"/>
              </w:rPr>
              <w:t>3/1 for capsules or 30/30 tablets</w:t>
            </w:r>
          </w:p>
          <w:p w14:paraId="681237D7" w14:textId="77777777" w:rsidR="002641D2" w:rsidRPr="00FA3F9C" w:rsidRDefault="002641D2" w:rsidP="002641D2">
            <w:pPr>
              <w:pStyle w:val="ListParagraph"/>
              <w:numPr>
                <w:ilvl w:val="0"/>
                <w:numId w:val="257"/>
              </w:numPr>
              <w:spacing w:line="276" w:lineRule="auto"/>
              <w:rPr>
                <w:rFonts w:ascii="Arial" w:hAnsi="Arial" w:cs="Arial"/>
                <w:sz w:val="24"/>
                <w:szCs w:val="24"/>
              </w:rPr>
            </w:pPr>
            <w:r w:rsidRPr="00FA3F9C">
              <w:rPr>
                <w:rFonts w:ascii="Arial" w:hAnsi="Arial" w:cs="Arial"/>
                <w:sz w:val="24"/>
                <w:szCs w:val="24"/>
              </w:rPr>
              <w:t xml:space="preserve">If dose is reduced to 140 mg or 280 mg daily, prefer capsules due to cost  </w:t>
            </w:r>
          </w:p>
        </w:tc>
      </w:tr>
      <w:tr w:rsidR="002641D2" w:rsidRPr="00FA3F9C" w14:paraId="28896F01" w14:textId="77777777" w:rsidTr="002C6AE2">
        <w:tc>
          <w:tcPr>
            <w:tcW w:w="10790" w:type="dxa"/>
            <w:gridSpan w:val="2"/>
            <w:shd w:val="clear" w:color="auto" w:fill="BFBFBF" w:themeFill="background1" w:themeFillShade="BF"/>
            <w:vAlign w:val="center"/>
          </w:tcPr>
          <w:p w14:paraId="608508FA" w14:textId="77777777" w:rsidR="002641D2" w:rsidRPr="00FA3F9C" w:rsidRDefault="002641D2" w:rsidP="002C6AE2">
            <w:pPr>
              <w:rPr>
                <w:rFonts w:ascii="Arial" w:hAnsi="Arial" w:cs="Arial"/>
                <w:sz w:val="24"/>
                <w:szCs w:val="24"/>
              </w:rPr>
            </w:pPr>
            <w:r w:rsidRPr="00FA3F9C">
              <w:rPr>
                <w:rFonts w:ascii="Arial" w:hAnsi="Arial" w:cs="Arial"/>
                <w:sz w:val="24"/>
                <w:szCs w:val="24"/>
              </w:rPr>
              <w:t>Evidence:</w:t>
            </w:r>
          </w:p>
          <w:p w14:paraId="6AB6428C" w14:textId="77777777" w:rsidR="002641D2" w:rsidRPr="00FA3F9C" w:rsidRDefault="002641D2" w:rsidP="00E703F0">
            <w:pPr>
              <w:rPr>
                <w:rFonts w:ascii="Arial" w:hAnsi="Arial" w:cs="Arial"/>
                <w:sz w:val="24"/>
                <w:szCs w:val="24"/>
              </w:rPr>
            </w:pPr>
            <w:r w:rsidRPr="00FA3F9C">
              <w:rPr>
                <w:rFonts w:ascii="Arial" w:hAnsi="Arial" w:cs="Arial"/>
                <w:sz w:val="24"/>
                <w:szCs w:val="24"/>
              </w:rPr>
              <w:t>Ibrutinib was studied in a single arm trial including patients who had received 1-3 prior therapies for chronic GVHD (</w:t>
            </w:r>
            <w:proofErr w:type="spellStart"/>
            <w:r w:rsidRPr="00FA3F9C">
              <w:rPr>
                <w:rFonts w:ascii="Arial" w:hAnsi="Arial" w:cs="Arial"/>
                <w:sz w:val="24"/>
                <w:szCs w:val="24"/>
              </w:rPr>
              <w:t>cGVHD</w:t>
            </w:r>
            <w:proofErr w:type="spellEnd"/>
            <w:r w:rsidRPr="00FA3F9C">
              <w:rPr>
                <w:rFonts w:ascii="Arial" w:hAnsi="Arial" w:cs="Arial"/>
                <w:sz w:val="24"/>
                <w:szCs w:val="24"/>
              </w:rPr>
              <w:t>). Overall response rate was 67% including a 27% complete response rate. Of all responders, 71% maintained response for &gt;20 weeks. Steroid dose in responders was decreased by at least half on average.</w:t>
            </w:r>
            <w:r w:rsidRPr="00FA3F9C">
              <w:rPr>
                <w:rFonts w:ascii="Arial" w:hAnsi="Arial" w:cs="Arial"/>
                <w:sz w:val="24"/>
                <w:szCs w:val="24"/>
                <w:vertAlign w:val="superscript"/>
              </w:rPr>
              <w:t>1</w:t>
            </w:r>
            <w:r w:rsidRPr="00FA3F9C">
              <w:rPr>
                <w:rFonts w:ascii="Arial" w:hAnsi="Arial" w:cs="Arial"/>
                <w:sz w:val="24"/>
                <w:szCs w:val="24"/>
              </w:rPr>
              <w:t xml:space="preserve"> Response was defined per 2014 NIH response criteria which is based mostly on </w:t>
            </w:r>
            <w:r w:rsidRPr="00FA3F9C">
              <w:rPr>
                <w:rFonts w:ascii="Arial" w:hAnsi="Arial" w:cs="Arial"/>
                <w:sz w:val="24"/>
                <w:szCs w:val="24"/>
                <w:u w:val="single"/>
              </w:rPr>
              <w:t>symptom grading</w:t>
            </w:r>
            <w:r w:rsidRPr="00FA3F9C">
              <w:rPr>
                <w:rFonts w:ascii="Arial" w:hAnsi="Arial" w:cs="Arial"/>
                <w:sz w:val="24"/>
                <w:szCs w:val="24"/>
              </w:rPr>
              <w:t>.</w:t>
            </w:r>
            <w:r w:rsidRPr="00FA3F9C">
              <w:rPr>
                <w:rFonts w:ascii="Arial" w:hAnsi="Arial" w:cs="Arial"/>
                <w:sz w:val="24"/>
                <w:szCs w:val="24"/>
                <w:vertAlign w:val="superscript"/>
              </w:rPr>
              <w:t>2</w:t>
            </w:r>
          </w:p>
          <w:p w14:paraId="6D23EBFE" w14:textId="77777777" w:rsidR="002641D2" w:rsidRPr="00FA3F9C" w:rsidRDefault="002641D2" w:rsidP="00E703F0">
            <w:pPr>
              <w:rPr>
                <w:rFonts w:ascii="Arial" w:hAnsi="Arial" w:cs="Arial"/>
                <w:sz w:val="24"/>
                <w:szCs w:val="24"/>
              </w:rPr>
            </w:pPr>
          </w:p>
          <w:p w14:paraId="16216823" w14:textId="77777777" w:rsidR="002641D2" w:rsidRPr="00FA3F9C" w:rsidRDefault="002641D2" w:rsidP="002D1D8C">
            <w:pPr>
              <w:ind w:left="69" w:hanging="159"/>
              <w:rPr>
                <w:rFonts w:ascii="Arial" w:hAnsi="Arial" w:cs="Arial"/>
                <w:sz w:val="24"/>
                <w:szCs w:val="24"/>
              </w:rPr>
            </w:pPr>
            <w:r w:rsidRPr="00FA3F9C">
              <w:rPr>
                <w:rFonts w:ascii="Arial" w:hAnsi="Arial" w:cs="Arial"/>
                <w:sz w:val="24"/>
                <w:szCs w:val="24"/>
              </w:rPr>
              <w:t>References:</w:t>
            </w:r>
          </w:p>
          <w:p w14:paraId="1AA4B9BE" w14:textId="77777777" w:rsidR="002641D2" w:rsidRPr="00FA3F9C" w:rsidRDefault="002641D2" w:rsidP="002641D2">
            <w:pPr>
              <w:pStyle w:val="ListParagraph"/>
              <w:numPr>
                <w:ilvl w:val="0"/>
                <w:numId w:val="253"/>
              </w:numPr>
              <w:spacing w:line="276" w:lineRule="auto"/>
              <w:ind w:left="69" w:hanging="159"/>
              <w:rPr>
                <w:rFonts w:ascii="Arial" w:hAnsi="Arial" w:cs="Arial"/>
                <w:sz w:val="24"/>
                <w:szCs w:val="24"/>
              </w:rPr>
            </w:pPr>
            <w:r w:rsidRPr="00FA3F9C">
              <w:rPr>
                <w:rFonts w:ascii="Arial" w:hAnsi="Arial" w:cs="Arial"/>
                <w:sz w:val="24"/>
                <w:szCs w:val="24"/>
              </w:rPr>
              <w:t>Miklos D et al. Ibrutinib for chronic graft-versus-host disease after failure of prior therapy. Blood. 2017 Nov 23;130(21):2243-2250. PMID 28924018 NCT02195869</w:t>
            </w:r>
          </w:p>
          <w:p w14:paraId="3C767C40" w14:textId="77777777" w:rsidR="002641D2" w:rsidRPr="00FA3F9C" w:rsidRDefault="002641D2" w:rsidP="002641D2">
            <w:pPr>
              <w:pStyle w:val="ListParagraph"/>
              <w:numPr>
                <w:ilvl w:val="0"/>
                <w:numId w:val="253"/>
              </w:numPr>
              <w:spacing w:line="276" w:lineRule="auto"/>
              <w:ind w:left="69" w:hanging="159"/>
              <w:rPr>
                <w:rFonts w:ascii="Arial" w:hAnsi="Arial" w:cs="Arial"/>
                <w:sz w:val="24"/>
                <w:szCs w:val="24"/>
              </w:rPr>
            </w:pPr>
            <w:r w:rsidRPr="00FA3F9C">
              <w:rPr>
                <w:rFonts w:ascii="Arial" w:hAnsi="Arial" w:cs="Arial"/>
                <w:sz w:val="24"/>
                <w:szCs w:val="24"/>
              </w:rPr>
              <w:t>Lee SJ et al. Measuring therapeutic response in chronic graft-versus-host disease. National Institutes of Health consensus development project on criteria for clinical trials in chronic graft-versus-host disease: IV. The 2014 Response Criteria Working Group report. Biol Blood Marrow Transplant. 2015 Jun;21(6):984-99. PMID 25796139</w:t>
            </w:r>
          </w:p>
        </w:tc>
      </w:tr>
    </w:tbl>
    <w:p w14:paraId="3B744557" w14:textId="77777777" w:rsidR="002641D2" w:rsidRPr="00FA3F9C" w:rsidRDefault="002641D2" w:rsidP="008B48E4">
      <w:pPr>
        <w:spacing w:after="0"/>
        <w:rPr>
          <w:rFonts w:ascii="Arial" w:hAnsi="Arial" w:cs="Arial"/>
          <w:b/>
          <w:sz w:val="24"/>
          <w:szCs w:val="24"/>
          <w:u w:val="single"/>
        </w:rPr>
      </w:pPr>
    </w:p>
    <w:tbl>
      <w:tblPr>
        <w:tblStyle w:val="TableGrid"/>
        <w:tblW w:w="0" w:type="auto"/>
        <w:tblLook w:val="04A0" w:firstRow="1" w:lastRow="0" w:firstColumn="1" w:lastColumn="0" w:noHBand="0" w:noVBand="1"/>
      </w:tblPr>
      <w:tblGrid>
        <w:gridCol w:w="8746"/>
        <w:gridCol w:w="2044"/>
      </w:tblGrid>
      <w:tr w:rsidR="002641D2" w:rsidRPr="00FA3F9C" w14:paraId="0229861C" w14:textId="77777777" w:rsidTr="008E553D">
        <w:tc>
          <w:tcPr>
            <w:tcW w:w="8746" w:type="dxa"/>
            <w:shd w:val="clear" w:color="auto" w:fill="000000"/>
          </w:tcPr>
          <w:p w14:paraId="7694FB7C" w14:textId="77777777" w:rsidR="002641D2" w:rsidRPr="00FA3F9C" w:rsidRDefault="002641D2" w:rsidP="008E553D">
            <w:pPr>
              <w:rPr>
                <w:rFonts w:ascii="Arial" w:hAnsi="Arial" w:cs="Arial"/>
                <w:b/>
                <w:sz w:val="24"/>
                <w:szCs w:val="24"/>
                <w:u w:val="single"/>
              </w:rPr>
            </w:pPr>
            <w:proofErr w:type="spellStart"/>
            <w:r w:rsidRPr="00FA3F9C">
              <w:rPr>
                <w:rFonts w:ascii="Arial" w:hAnsi="Arial" w:cs="Arial"/>
                <w:b/>
                <w:sz w:val="24"/>
                <w:szCs w:val="24"/>
                <w:u w:val="single"/>
              </w:rPr>
              <w:t>Waldenstrom</w:t>
            </w:r>
            <w:proofErr w:type="spellEnd"/>
            <w:r w:rsidRPr="00FA3F9C">
              <w:rPr>
                <w:rFonts w:ascii="Arial" w:hAnsi="Arial" w:cs="Arial"/>
                <w:b/>
                <w:sz w:val="24"/>
                <w:szCs w:val="24"/>
                <w:u w:val="single"/>
              </w:rPr>
              <w:t xml:space="preserve"> Macroglobulinemia</w:t>
            </w:r>
          </w:p>
        </w:tc>
        <w:tc>
          <w:tcPr>
            <w:tcW w:w="2044" w:type="dxa"/>
            <w:shd w:val="clear" w:color="auto" w:fill="000000"/>
          </w:tcPr>
          <w:p w14:paraId="4C80BEEE" w14:textId="77777777" w:rsidR="002641D2" w:rsidRPr="00FA3F9C" w:rsidRDefault="002641D2" w:rsidP="008E553D">
            <w:pPr>
              <w:jc w:val="center"/>
              <w:rPr>
                <w:rFonts w:ascii="Arial" w:hAnsi="Arial" w:cs="Arial"/>
                <w:b/>
                <w:sz w:val="24"/>
                <w:szCs w:val="24"/>
                <w:u w:val="single"/>
              </w:rPr>
            </w:pPr>
          </w:p>
        </w:tc>
      </w:tr>
      <w:tr w:rsidR="002641D2" w:rsidRPr="00FA3F9C" w14:paraId="4498D275" w14:textId="77777777" w:rsidTr="008E553D">
        <w:tc>
          <w:tcPr>
            <w:tcW w:w="10790" w:type="dxa"/>
            <w:gridSpan w:val="2"/>
            <w:vAlign w:val="center"/>
          </w:tcPr>
          <w:p w14:paraId="0E0A84E4" w14:textId="77777777" w:rsidR="002641D2" w:rsidRPr="00FA3F9C" w:rsidRDefault="002641D2" w:rsidP="002641D2">
            <w:pPr>
              <w:pStyle w:val="ListParagraph"/>
              <w:numPr>
                <w:ilvl w:val="0"/>
                <w:numId w:val="254"/>
              </w:numPr>
              <w:spacing w:line="276" w:lineRule="auto"/>
              <w:rPr>
                <w:rFonts w:ascii="Arial" w:hAnsi="Arial" w:cs="Arial"/>
                <w:sz w:val="24"/>
                <w:szCs w:val="24"/>
              </w:rPr>
            </w:pPr>
            <w:r w:rsidRPr="00FA3F9C">
              <w:rPr>
                <w:rFonts w:ascii="Arial" w:hAnsi="Arial" w:cs="Arial"/>
                <w:sz w:val="24"/>
                <w:szCs w:val="24"/>
              </w:rPr>
              <w:t xml:space="preserve">Diagnosis of </w:t>
            </w:r>
            <w:proofErr w:type="spellStart"/>
            <w:r w:rsidRPr="00FA3F9C">
              <w:rPr>
                <w:rFonts w:ascii="Arial" w:hAnsi="Arial" w:cs="Arial"/>
                <w:sz w:val="24"/>
                <w:szCs w:val="24"/>
              </w:rPr>
              <w:t>Waldenstrom</w:t>
            </w:r>
            <w:proofErr w:type="spellEnd"/>
            <w:r w:rsidRPr="00FA3F9C">
              <w:rPr>
                <w:rFonts w:ascii="Arial" w:hAnsi="Arial" w:cs="Arial"/>
                <w:sz w:val="24"/>
                <w:szCs w:val="24"/>
              </w:rPr>
              <w:t xml:space="preserve"> macroglobulinemia</w:t>
            </w:r>
          </w:p>
        </w:tc>
      </w:tr>
      <w:tr w:rsidR="002641D2" w:rsidRPr="00FA3F9C" w14:paraId="53468E32" w14:textId="77777777" w:rsidTr="008E553D">
        <w:tc>
          <w:tcPr>
            <w:tcW w:w="10790" w:type="dxa"/>
            <w:gridSpan w:val="2"/>
            <w:vAlign w:val="center"/>
          </w:tcPr>
          <w:p w14:paraId="35CEA2C1" w14:textId="77777777" w:rsidR="002641D2" w:rsidRPr="00FA3F9C" w:rsidRDefault="002641D2" w:rsidP="002641D2">
            <w:pPr>
              <w:pStyle w:val="ListParagraph"/>
              <w:numPr>
                <w:ilvl w:val="0"/>
                <w:numId w:val="254"/>
              </w:numPr>
              <w:spacing w:line="276" w:lineRule="auto"/>
              <w:ind w:left="249" w:hanging="249"/>
              <w:rPr>
                <w:rFonts w:ascii="Arial" w:hAnsi="Arial" w:cs="Arial"/>
                <w:sz w:val="24"/>
                <w:szCs w:val="24"/>
              </w:rPr>
            </w:pPr>
            <w:r w:rsidRPr="00FA3F9C">
              <w:rPr>
                <w:rFonts w:ascii="Arial" w:hAnsi="Arial" w:cs="Arial"/>
                <w:sz w:val="24"/>
                <w:szCs w:val="24"/>
              </w:rPr>
              <w:t xml:space="preserve">Indication for treatment (neuropathy, </w:t>
            </w:r>
            <w:proofErr w:type="spellStart"/>
            <w:r w:rsidRPr="00FA3F9C">
              <w:rPr>
                <w:rFonts w:ascii="Arial" w:hAnsi="Arial" w:cs="Arial"/>
                <w:sz w:val="24"/>
                <w:szCs w:val="24"/>
              </w:rPr>
              <w:t>hyperviscosity</w:t>
            </w:r>
            <w:proofErr w:type="spellEnd"/>
            <w:r w:rsidRPr="00FA3F9C">
              <w:rPr>
                <w:rFonts w:ascii="Arial" w:hAnsi="Arial" w:cs="Arial"/>
                <w:sz w:val="24"/>
                <w:szCs w:val="24"/>
              </w:rPr>
              <w:t xml:space="preserve">, organomegaly, amyloidosis, cold agglutinin disease, </w:t>
            </w:r>
            <w:proofErr w:type="spellStart"/>
            <w:r w:rsidRPr="00FA3F9C">
              <w:rPr>
                <w:rFonts w:ascii="Arial" w:hAnsi="Arial" w:cs="Arial"/>
                <w:sz w:val="24"/>
                <w:szCs w:val="24"/>
              </w:rPr>
              <w:t>cryogloblinemia</w:t>
            </w:r>
            <w:proofErr w:type="spellEnd"/>
            <w:r w:rsidRPr="00FA3F9C">
              <w:rPr>
                <w:rFonts w:ascii="Arial" w:hAnsi="Arial" w:cs="Arial"/>
                <w:sz w:val="24"/>
                <w:szCs w:val="24"/>
              </w:rPr>
              <w:t xml:space="preserve">, </w:t>
            </w:r>
            <w:proofErr w:type="spellStart"/>
            <w:r w:rsidRPr="00FA3F9C">
              <w:rPr>
                <w:rFonts w:ascii="Arial" w:hAnsi="Arial" w:cs="Arial"/>
                <w:sz w:val="24"/>
                <w:szCs w:val="24"/>
              </w:rPr>
              <w:t>cytopenias</w:t>
            </w:r>
            <w:proofErr w:type="spellEnd"/>
            <w:r w:rsidRPr="00FA3F9C">
              <w:rPr>
                <w:rFonts w:ascii="Arial" w:hAnsi="Arial" w:cs="Arial"/>
                <w:sz w:val="24"/>
                <w:szCs w:val="24"/>
              </w:rPr>
              <w:t>, bulky adenopathy)</w:t>
            </w:r>
          </w:p>
        </w:tc>
      </w:tr>
      <w:tr w:rsidR="002641D2" w:rsidRPr="00FA3F9C" w14:paraId="603B3F5D" w14:textId="77777777" w:rsidTr="008E553D">
        <w:tc>
          <w:tcPr>
            <w:tcW w:w="10790" w:type="dxa"/>
            <w:gridSpan w:val="2"/>
            <w:vAlign w:val="center"/>
          </w:tcPr>
          <w:p w14:paraId="54C9E3F6" w14:textId="77777777" w:rsidR="002641D2" w:rsidRPr="00FA3F9C" w:rsidRDefault="002641D2" w:rsidP="002641D2">
            <w:pPr>
              <w:pStyle w:val="ListParagraph"/>
              <w:numPr>
                <w:ilvl w:val="0"/>
                <w:numId w:val="254"/>
              </w:numPr>
              <w:spacing w:line="276" w:lineRule="auto"/>
              <w:ind w:left="249" w:hanging="249"/>
              <w:rPr>
                <w:rFonts w:ascii="Arial" w:hAnsi="Arial" w:cs="Arial"/>
                <w:sz w:val="24"/>
                <w:szCs w:val="24"/>
              </w:rPr>
            </w:pPr>
            <w:r w:rsidRPr="00FA3F9C">
              <w:rPr>
                <w:rFonts w:ascii="Arial" w:hAnsi="Arial" w:cs="Arial"/>
                <w:sz w:val="24"/>
                <w:szCs w:val="24"/>
              </w:rPr>
              <w:t>Ibrutinib will be used in combination with rituximab</w:t>
            </w:r>
          </w:p>
        </w:tc>
      </w:tr>
      <w:tr w:rsidR="002641D2" w:rsidRPr="00FA3F9C" w14:paraId="7E3E7ECA" w14:textId="77777777" w:rsidTr="008E553D">
        <w:tc>
          <w:tcPr>
            <w:tcW w:w="10790" w:type="dxa"/>
            <w:gridSpan w:val="2"/>
            <w:shd w:val="clear" w:color="auto" w:fill="F2F2F2" w:themeFill="background1" w:themeFillShade="F2"/>
            <w:vAlign w:val="center"/>
          </w:tcPr>
          <w:p w14:paraId="5BFABB4F" w14:textId="77777777" w:rsidR="002641D2" w:rsidRPr="00FA3F9C" w:rsidRDefault="002641D2" w:rsidP="008E553D">
            <w:pPr>
              <w:rPr>
                <w:rFonts w:ascii="Arial" w:hAnsi="Arial" w:cs="Arial"/>
                <w:sz w:val="24"/>
                <w:szCs w:val="24"/>
              </w:rPr>
            </w:pPr>
            <w:r w:rsidRPr="00FA3F9C">
              <w:rPr>
                <w:rFonts w:ascii="Arial" w:hAnsi="Arial" w:cs="Arial"/>
                <w:sz w:val="24"/>
                <w:szCs w:val="24"/>
              </w:rPr>
              <w:t>If above criteria are fulfilled, approve x 1 year</w:t>
            </w:r>
          </w:p>
          <w:p w14:paraId="3CF0AE73" w14:textId="77777777" w:rsidR="002641D2" w:rsidRPr="00FA3F9C" w:rsidRDefault="002641D2" w:rsidP="001758F8">
            <w:pPr>
              <w:rPr>
                <w:rFonts w:ascii="Arial" w:hAnsi="Arial" w:cs="Arial"/>
                <w:sz w:val="24"/>
                <w:szCs w:val="24"/>
              </w:rPr>
            </w:pPr>
            <w:r w:rsidRPr="00FA3F9C">
              <w:rPr>
                <w:rFonts w:ascii="Arial" w:hAnsi="Arial" w:cs="Arial"/>
                <w:sz w:val="24"/>
                <w:szCs w:val="24"/>
              </w:rPr>
              <w:t>Dose: 420 mg daily</w:t>
            </w:r>
          </w:p>
          <w:p w14:paraId="78614911" w14:textId="77777777" w:rsidR="002641D2" w:rsidRPr="00FA3F9C" w:rsidRDefault="002641D2" w:rsidP="001758F8">
            <w:pPr>
              <w:rPr>
                <w:rFonts w:ascii="Arial" w:hAnsi="Arial" w:cs="Arial"/>
                <w:sz w:val="24"/>
                <w:szCs w:val="24"/>
              </w:rPr>
            </w:pPr>
            <w:r w:rsidRPr="00FA3F9C">
              <w:rPr>
                <w:rFonts w:ascii="Arial" w:hAnsi="Arial" w:cs="Arial"/>
                <w:sz w:val="24"/>
                <w:szCs w:val="24"/>
              </w:rPr>
              <w:t xml:space="preserve">QL: </w:t>
            </w:r>
          </w:p>
          <w:p w14:paraId="473D0278" w14:textId="77777777" w:rsidR="002641D2" w:rsidRPr="00FA3F9C" w:rsidRDefault="002641D2" w:rsidP="002641D2">
            <w:pPr>
              <w:pStyle w:val="ListParagraph"/>
              <w:numPr>
                <w:ilvl w:val="0"/>
                <w:numId w:val="258"/>
              </w:numPr>
              <w:spacing w:line="276" w:lineRule="auto"/>
              <w:rPr>
                <w:rFonts w:ascii="Arial" w:hAnsi="Arial" w:cs="Arial"/>
                <w:sz w:val="24"/>
                <w:szCs w:val="24"/>
              </w:rPr>
            </w:pPr>
            <w:r w:rsidRPr="00FA3F9C">
              <w:rPr>
                <w:rFonts w:ascii="Arial" w:hAnsi="Arial" w:cs="Arial"/>
                <w:sz w:val="24"/>
                <w:szCs w:val="24"/>
              </w:rPr>
              <w:lastRenderedPageBreak/>
              <w:t>3/1 for capsules or 30/30 tablets</w:t>
            </w:r>
          </w:p>
          <w:p w14:paraId="0A9481A6" w14:textId="77777777" w:rsidR="002641D2" w:rsidRPr="00FA3F9C" w:rsidRDefault="002641D2" w:rsidP="002641D2">
            <w:pPr>
              <w:pStyle w:val="ListParagraph"/>
              <w:numPr>
                <w:ilvl w:val="0"/>
                <w:numId w:val="258"/>
              </w:numPr>
              <w:spacing w:line="276" w:lineRule="auto"/>
              <w:rPr>
                <w:rFonts w:ascii="Arial" w:hAnsi="Arial" w:cs="Arial"/>
                <w:sz w:val="24"/>
                <w:szCs w:val="24"/>
              </w:rPr>
            </w:pPr>
            <w:r w:rsidRPr="00FA3F9C">
              <w:rPr>
                <w:rFonts w:ascii="Arial" w:hAnsi="Arial" w:cs="Arial"/>
                <w:sz w:val="24"/>
                <w:szCs w:val="24"/>
              </w:rPr>
              <w:t xml:space="preserve">If dose is reduced to 140 mg or 280 mg daily, prefer capsules due to cost  </w:t>
            </w:r>
          </w:p>
        </w:tc>
      </w:tr>
      <w:tr w:rsidR="002641D2" w:rsidRPr="00FA3F9C" w14:paraId="36F3EE6D" w14:textId="77777777" w:rsidTr="008E553D">
        <w:tc>
          <w:tcPr>
            <w:tcW w:w="10790" w:type="dxa"/>
            <w:gridSpan w:val="2"/>
            <w:shd w:val="clear" w:color="auto" w:fill="BFBFBF" w:themeFill="background1" w:themeFillShade="BF"/>
            <w:vAlign w:val="center"/>
          </w:tcPr>
          <w:p w14:paraId="3E930225" w14:textId="77777777" w:rsidR="002641D2" w:rsidRPr="00FA3F9C" w:rsidRDefault="002641D2" w:rsidP="008E553D">
            <w:pPr>
              <w:rPr>
                <w:rFonts w:ascii="Arial" w:hAnsi="Arial" w:cs="Arial"/>
                <w:sz w:val="24"/>
                <w:szCs w:val="24"/>
              </w:rPr>
            </w:pPr>
            <w:r w:rsidRPr="00FA3F9C">
              <w:rPr>
                <w:rFonts w:ascii="Arial" w:hAnsi="Arial" w:cs="Arial"/>
                <w:sz w:val="24"/>
                <w:szCs w:val="24"/>
              </w:rPr>
              <w:lastRenderedPageBreak/>
              <w:t>Evidence:</w:t>
            </w:r>
          </w:p>
          <w:p w14:paraId="28C61B89" w14:textId="77777777" w:rsidR="002641D2" w:rsidRPr="00FA3F9C" w:rsidRDefault="002641D2" w:rsidP="00E703F0">
            <w:pPr>
              <w:rPr>
                <w:rFonts w:ascii="Arial" w:hAnsi="Arial" w:cs="Arial"/>
                <w:sz w:val="24"/>
                <w:szCs w:val="24"/>
              </w:rPr>
            </w:pPr>
            <w:r w:rsidRPr="00FA3F9C">
              <w:rPr>
                <w:rFonts w:ascii="Arial" w:hAnsi="Arial" w:cs="Arial"/>
                <w:sz w:val="24"/>
                <w:szCs w:val="24"/>
              </w:rPr>
              <w:t>Ibrutinib given with rituximab was superior to rituximab alone for progression free survival (30-month PFS: 82% vs 28%). Overall survival was not statistically superior (94% vs 92%</w:t>
            </w:r>
            <w:proofErr w:type="gramStart"/>
            <w:r w:rsidRPr="00FA3F9C">
              <w:rPr>
                <w:rFonts w:ascii="Arial" w:hAnsi="Arial" w:cs="Arial"/>
                <w:sz w:val="24"/>
                <w:szCs w:val="24"/>
              </w:rPr>
              <w:t>), but</w:t>
            </w:r>
            <w:proofErr w:type="gramEnd"/>
            <w:r w:rsidRPr="00FA3F9C">
              <w:rPr>
                <w:rFonts w:ascii="Arial" w:hAnsi="Arial" w:cs="Arial"/>
                <w:sz w:val="24"/>
                <w:szCs w:val="24"/>
              </w:rPr>
              <w:t xml:space="preserve"> may have been confounded due to 40% of control patients crossing over to receive ibrutinib.  Other benefits included less IgM flare (8% vs 47%), less IgM flare requiring plasmapheresis (0% vs 16%), more improvement of anemia (73% vs 41%), and trends toward improvement in quality of life.</w:t>
            </w:r>
          </w:p>
          <w:p w14:paraId="531B254B" w14:textId="77777777" w:rsidR="002641D2" w:rsidRPr="00FA3F9C" w:rsidRDefault="002641D2" w:rsidP="00E703F0">
            <w:pPr>
              <w:rPr>
                <w:rFonts w:ascii="Arial" w:hAnsi="Arial" w:cs="Arial"/>
                <w:sz w:val="24"/>
                <w:szCs w:val="24"/>
              </w:rPr>
            </w:pPr>
          </w:p>
          <w:p w14:paraId="537295DF" w14:textId="77777777" w:rsidR="002641D2" w:rsidRPr="00FA3F9C" w:rsidRDefault="002641D2" w:rsidP="00E703F0">
            <w:pPr>
              <w:rPr>
                <w:rFonts w:ascii="Arial" w:hAnsi="Arial" w:cs="Arial"/>
                <w:sz w:val="24"/>
                <w:szCs w:val="24"/>
              </w:rPr>
            </w:pPr>
            <w:r w:rsidRPr="00FA3F9C">
              <w:rPr>
                <w:rFonts w:ascii="Arial" w:hAnsi="Arial" w:cs="Arial"/>
                <w:sz w:val="24"/>
                <w:szCs w:val="24"/>
              </w:rPr>
              <w:t>Dose: 420 mg once daily until disease progression</w:t>
            </w:r>
          </w:p>
          <w:p w14:paraId="6DEC6DDE" w14:textId="77777777" w:rsidR="002641D2" w:rsidRPr="00FA3F9C" w:rsidRDefault="002641D2" w:rsidP="00E703F0">
            <w:pPr>
              <w:rPr>
                <w:rFonts w:ascii="Arial" w:hAnsi="Arial" w:cs="Arial"/>
                <w:sz w:val="24"/>
                <w:szCs w:val="24"/>
              </w:rPr>
            </w:pPr>
          </w:p>
          <w:p w14:paraId="223FC008" w14:textId="77777777" w:rsidR="002641D2" w:rsidRPr="00FA3F9C" w:rsidRDefault="002641D2" w:rsidP="00E703F0">
            <w:pPr>
              <w:rPr>
                <w:rFonts w:ascii="Arial" w:hAnsi="Arial" w:cs="Arial"/>
                <w:sz w:val="24"/>
                <w:szCs w:val="24"/>
              </w:rPr>
            </w:pPr>
            <w:r w:rsidRPr="00FA3F9C">
              <w:rPr>
                <w:rFonts w:ascii="Arial" w:hAnsi="Arial" w:cs="Arial"/>
                <w:sz w:val="24"/>
                <w:szCs w:val="24"/>
              </w:rPr>
              <w:t>Reference:</w:t>
            </w:r>
          </w:p>
          <w:p w14:paraId="02B6B96B" w14:textId="77777777" w:rsidR="002641D2" w:rsidRPr="00FA3F9C" w:rsidRDefault="002641D2" w:rsidP="002641D2">
            <w:pPr>
              <w:pStyle w:val="ListParagraph"/>
              <w:numPr>
                <w:ilvl w:val="0"/>
                <w:numId w:val="252"/>
              </w:numPr>
              <w:ind w:left="250" w:hanging="180"/>
              <w:rPr>
                <w:rFonts w:ascii="Arial" w:eastAsia="Times New Roman" w:hAnsi="Arial" w:cs="Arial"/>
                <w:sz w:val="24"/>
                <w:szCs w:val="24"/>
              </w:rPr>
            </w:pPr>
            <w:proofErr w:type="spellStart"/>
            <w:r w:rsidRPr="00FA3F9C">
              <w:rPr>
                <w:rFonts w:ascii="Arial" w:eastAsia="Times New Roman" w:hAnsi="Arial" w:cs="Arial"/>
                <w:color w:val="000000"/>
                <w:sz w:val="24"/>
                <w:szCs w:val="24"/>
              </w:rPr>
              <w:t>Dimopoulos</w:t>
            </w:r>
            <w:proofErr w:type="spellEnd"/>
            <w:r w:rsidRPr="00FA3F9C">
              <w:rPr>
                <w:rFonts w:ascii="Arial" w:eastAsia="Times New Roman" w:hAnsi="Arial" w:cs="Arial"/>
                <w:color w:val="000000"/>
                <w:sz w:val="24"/>
                <w:szCs w:val="24"/>
              </w:rPr>
              <w:t xml:space="preserve"> MA et al. Phase 3 Trial of Ibrutinib plus Rituximab in </w:t>
            </w:r>
            <w:proofErr w:type="spellStart"/>
            <w:r w:rsidRPr="00FA3F9C">
              <w:rPr>
                <w:rFonts w:ascii="Arial" w:eastAsia="Times New Roman" w:hAnsi="Arial" w:cs="Arial"/>
                <w:color w:val="000000"/>
                <w:sz w:val="24"/>
                <w:szCs w:val="24"/>
              </w:rPr>
              <w:t>Waldenstrom’s</w:t>
            </w:r>
            <w:proofErr w:type="spellEnd"/>
            <w:r w:rsidRPr="00FA3F9C">
              <w:rPr>
                <w:rFonts w:ascii="Arial" w:eastAsia="Times New Roman" w:hAnsi="Arial" w:cs="Arial"/>
                <w:color w:val="000000"/>
                <w:sz w:val="24"/>
                <w:szCs w:val="24"/>
              </w:rPr>
              <w:t xml:space="preserve"> Macroglobulinemia. N </w:t>
            </w:r>
            <w:proofErr w:type="spellStart"/>
            <w:r w:rsidRPr="00FA3F9C">
              <w:rPr>
                <w:rFonts w:ascii="Arial" w:eastAsia="Times New Roman" w:hAnsi="Arial" w:cs="Arial"/>
                <w:color w:val="000000"/>
                <w:sz w:val="24"/>
                <w:szCs w:val="24"/>
              </w:rPr>
              <w:t>Engl</w:t>
            </w:r>
            <w:proofErr w:type="spellEnd"/>
            <w:r w:rsidRPr="00FA3F9C">
              <w:rPr>
                <w:rFonts w:ascii="Arial" w:eastAsia="Times New Roman" w:hAnsi="Arial" w:cs="Arial"/>
                <w:color w:val="000000"/>
                <w:sz w:val="24"/>
                <w:szCs w:val="24"/>
              </w:rPr>
              <w:t xml:space="preserve"> J Med 2018; 378:2399-2410.</w:t>
            </w:r>
          </w:p>
        </w:tc>
      </w:tr>
    </w:tbl>
    <w:p w14:paraId="470E9A0D" w14:textId="77777777" w:rsidR="002641D2" w:rsidRPr="00FA3F9C" w:rsidRDefault="002641D2" w:rsidP="008B48E4">
      <w:pPr>
        <w:spacing w:after="0"/>
        <w:rPr>
          <w:rFonts w:ascii="Arial" w:hAnsi="Arial" w:cs="Arial"/>
          <w:b/>
          <w:sz w:val="24"/>
          <w:szCs w:val="24"/>
          <w:u w:val="single"/>
        </w:rPr>
      </w:pPr>
    </w:p>
    <w:p w14:paraId="1638B606" w14:textId="77777777" w:rsidR="002641D2" w:rsidRPr="00FA3F9C" w:rsidRDefault="002641D2" w:rsidP="008B48E4">
      <w:pPr>
        <w:spacing w:after="0"/>
        <w:rPr>
          <w:rFonts w:ascii="Arial" w:hAnsi="Arial" w:cs="Arial"/>
          <w:sz w:val="24"/>
          <w:szCs w:val="24"/>
        </w:rPr>
      </w:pPr>
      <w:r w:rsidRPr="00FA3F9C">
        <w:rPr>
          <w:rFonts w:ascii="Arial" w:hAnsi="Arial" w:cs="Arial"/>
          <w:sz w:val="24"/>
          <w:szCs w:val="24"/>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7740"/>
        <w:gridCol w:w="1728"/>
      </w:tblGrid>
      <w:tr w:rsidR="002641D2" w:rsidRPr="00FA3F9C" w14:paraId="3FB3EA32" w14:textId="77777777" w:rsidTr="000E79CF">
        <w:trPr>
          <w:trHeight w:val="332"/>
        </w:trPr>
        <w:tc>
          <w:tcPr>
            <w:tcW w:w="865" w:type="dxa"/>
          </w:tcPr>
          <w:p w14:paraId="18ABBABB" w14:textId="77777777" w:rsidR="002641D2" w:rsidRPr="00FA3F9C" w:rsidRDefault="002641D2" w:rsidP="000E79CF">
            <w:pPr>
              <w:spacing w:after="0" w:line="240" w:lineRule="auto"/>
              <w:rPr>
                <w:rFonts w:ascii="Arial" w:hAnsi="Arial" w:cs="Arial"/>
                <w:sz w:val="24"/>
                <w:szCs w:val="24"/>
              </w:rPr>
            </w:pPr>
            <w:r w:rsidRPr="00FA3F9C">
              <w:rPr>
                <w:rFonts w:ascii="Arial" w:hAnsi="Arial" w:cs="Arial"/>
                <w:sz w:val="24"/>
                <w:szCs w:val="24"/>
              </w:rPr>
              <w:t>Date</w:t>
            </w:r>
          </w:p>
        </w:tc>
        <w:tc>
          <w:tcPr>
            <w:tcW w:w="7740" w:type="dxa"/>
          </w:tcPr>
          <w:p w14:paraId="0F275467" w14:textId="77777777" w:rsidR="002641D2" w:rsidRPr="00FA3F9C" w:rsidRDefault="002641D2" w:rsidP="000E79CF">
            <w:pPr>
              <w:spacing w:after="0" w:line="240" w:lineRule="auto"/>
              <w:rPr>
                <w:rFonts w:ascii="Arial" w:hAnsi="Arial" w:cs="Arial"/>
                <w:sz w:val="24"/>
                <w:szCs w:val="24"/>
              </w:rPr>
            </w:pPr>
            <w:r w:rsidRPr="00FA3F9C">
              <w:rPr>
                <w:rFonts w:ascii="Arial" w:hAnsi="Arial" w:cs="Arial"/>
                <w:sz w:val="24"/>
                <w:szCs w:val="24"/>
              </w:rPr>
              <w:t>What Changed?</w:t>
            </w:r>
          </w:p>
        </w:tc>
        <w:tc>
          <w:tcPr>
            <w:tcW w:w="1728" w:type="dxa"/>
          </w:tcPr>
          <w:p w14:paraId="72DDBD4B" w14:textId="77777777" w:rsidR="002641D2" w:rsidRPr="00FA3F9C" w:rsidRDefault="002641D2" w:rsidP="000E79CF">
            <w:pPr>
              <w:spacing w:after="0" w:line="240" w:lineRule="auto"/>
              <w:rPr>
                <w:rFonts w:ascii="Arial" w:hAnsi="Arial" w:cs="Arial"/>
                <w:sz w:val="24"/>
                <w:szCs w:val="24"/>
              </w:rPr>
            </w:pPr>
            <w:r w:rsidRPr="00FA3F9C">
              <w:rPr>
                <w:rFonts w:ascii="Arial" w:hAnsi="Arial" w:cs="Arial"/>
                <w:sz w:val="24"/>
                <w:szCs w:val="24"/>
              </w:rPr>
              <w:t>Pharmacist’s initials</w:t>
            </w:r>
          </w:p>
        </w:tc>
      </w:tr>
      <w:tr w:rsidR="002641D2" w:rsidRPr="00FA3F9C" w14:paraId="2282183D" w14:textId="77777777" w:rsidTr="000E79CF">
        <w:trPr>
          <w:trHeight w:val="260"/>
        </w:trPr>
        <w:tc>
          <w:tcPr>
            <w:tcW w:w="865" w:type="dxa"/>
          </w:tcPr>
          <w:p w14:paraId="742C550E" w14:textId="77777777" w:rsidR="002641D2" w:rsidRPr="00FA3F9C" w:rsidRDefault="002641D2" w:rsidP="000E79CF">
            <w:pPr>
              <w:spacing w:after="0" w:line="240" w:lineRule="auto"/>
              <w:rPr>
                <w:rFonts w:ascii="Arial" w:hAnsi="Arial" w:cs="Arial"/>
                <w:sz w:val="24"/>
                <w:szCs w:val="24"/>
              </w:rPr>
            </w:pPr>
            <w:r w:rsidRPr="00FA3F9C">
              <w:rPr>
                <w:rFonts w:ascii="Arial" w:hAnsi="Arial" w:cs="Arial"/>
                <w:sz w:val="24"/>
                <w:szCs w:val="24"/>
              </w:rPr>
              <w:t>6/10/14</w:t>
            </w:r>
          </w:p>
        </w:tc>
        <w:tc>
          <w:tcPr>
            <w:tcW w:w="7740" w:type="dxa"/>
          </w:tcPr>
          <w:p w14:paraId="63C7F292" w14:textId="77777777" w:rsidR="002641D2" w:rsidRPr="00FA3F9C" w:rsidRDefault="002641D2" w:rsidP="000E79CF">
            <w:pPr>
              <w:spacing w:after="0" w:line="240" w:lineRule="auto"/>
              <w:rPr>
                <w:rFonts w:ascii="Arial" w:hAnsi="Arial" w:cs="Arial"/>
                <w:sz w:val="24"/>
                <w:szCs w:val="24"/>
              </w:rPr>
            </w:pPr>
            <w:r w:rsidRPr="00FA3F9C">
              <w:rPr>
                <w:rFonts w:ascii="Arial" w:hAnsi="Arial" w:cs="Arial"/>
                <w:sz w:val="24"/>
                <w:szCs w:val="24"/>
              </w:rPr>
              <w:t>JJ created PA criteria</w:t>
            </w:r>
          </w:p>
        </w:tc>
        <w:tc>
          <w:tcPr>
            <w:tcW w:w="1728" w:type="dxa"/>
          </w:tcPr>
          <w:p w14:paraId="08B1A7E1" w14:textId="77777777" w:rsidR="002641D2" w:rsidRPr="00FA3F9C" w:rsidRDefault="002641D2" w:rsidP="000E79CF">
            <w:pPr>
              <w:spacing w:after="0" w:line="240" w:lineRule="auto"/>
              <w:rPr>
                <w:rFonts w:ascii="Arial" w:hAnsi="Arial" w:cs="Arial"/>
                <w:sz w:val="24"/>
                <w:szCs w:val="24"/>
              </w:rPr>
            </w:pPr>
            <w:r w:rsidRPr="00FA3F9C">
              <w:rPr>
                <w:rFonts w:ascii="Arial" w:hAnsi="Arial" w:cs="Arial"/>
                <w:sz w:val="24"/>
                <w:szCs w:val="24"/>
              </w:rPr>
              <w:t>JJ</w:t>
            </w:r>
          </w:p>
        </w:tc>
      </w:tr>
      <w:tr w:rsidR="002641D2" w:rsidRPr="00FA3F9C" w14:paraId="60CF4990" w14:textId="77777777" w:rsidTr="000E79CF">
        <w:trPr>
          <w:trHeight w:val="467"/>
        </w:trPr>
        <w:tc>
          <w:tcPr>
            <w:tcW w:w="865" w:type="dxa"/>
          </w:tcPr>
          <w:p w14:paraId="73E8AA28" w14:textId="77777777" w:rsidR="002641D2" w:rsidRPr="00FA3F9C" w:rsidRDefault="002641D2" w:rsidP="000E79CF">
            <w:pPr>
              <w:spacing w:after="0" w:line="240" w:lineRule="auto"/>
              <w:rPr>
                <w:rFonts w:ascii="Arial" w:hAnsi="Arial" w:cs="Arial"/>
                <w:sz w:val="24"/>
                <w:szCs w:val="24"/>
              </w:rPr>
            </w:pPr>
            <w:r w:rsidRPr="00FA3F9C">
              <w:rPr>
                <w:rFonts w:ascii="Arial" w:hAnsi="Arial" w:cs="Arial"/>
                <w:sz w:val="24"/>
                <w:szCs w:val="24"/>
              </w:rPr>
              <w:t>10/8/14</w:t>
            </w:r>
          </w:p>
        </w:tc>
        <w:tc>
          <w:tcPr>
            <w:tcW w:w="7740" w:type="dxa"/>
          </w:tcPr>
          <w:p w14:paraId="3FD4C41B" w14:textId="77777777" w:rsidR="002641D2" w:rsidRPr="00FA3F9C" w:rsidRDefault="002641D2" w:rsidP="000E79CF">
            <w:pPr>
              <w:spacing w:after="0" w:line="240" w:lineRule="auto"/>
              <w:rPr>
                <w:rFonts w:ascii="Arial" w:hAnsi="Arial" w:cs="Arial"/>
                <w:sz w:val="24"/>
                <w:szCs w:val="24"/>
              </w:rPr>
            </w:pPr>
            <w:r w:rsidRPr="00FA3F9C">
              <w:rPr>
                <w:rFonts w:ascii="Arial" w:hAnsi="Arial" w:cs="Arial"/>
                <w:sz w:val="24"/>
                <w:szCs w:val="24"/>
              </w:rPr>
              <w:t>JJ changed the ECOG to allow 0 to 2 as per a search looking for all ibrutinib clinical trials in CLL.  There were no patients less medically fit than 2s included in the trials.  They were excluded.  Added a reference.</w:t>
            </w:r>
          </w:p>
        </w:tc>
        <w:tc>
          <w:tcPr>
            <w:tcW w:w="1728" w:type="dxa"/>
          </w:tcPr>
          <w:p w14:paraId="60741826" w14:textId="77777777" w:rsidR="002641D2" w:rsidRPr="00FA3F9C" w:rsidRDefault="002641D2" w:rsidP="000E79CF">
            <w:pPr>
              <w:spacing w:after="0" w:line="240" w:lineRule="auto"/>
              <w:rPr>
                <w:rFonts w:ascii="Arial" w:hAnsi="Arial" w:cs="Arial"/>
                <w:sz w:val="24"/>
                <w:szCs w:val="24"/>
              </w:rPr>
            </w:pPr>
            <w:r w:rsidRPr="00FA3F9C">
              <w:rPr>
                <w:rFonts w:ascii="Arial" w:hAnsi="Arial" w:cs="Arial"/>
                <w:sz w:val="24"/>
                <w:szCs w:val="24"/>
              </w:rPr>
              <w:t>JJ</w:t>
            </w:r>
          </w:p>
        </w:tc>
      </w:tr>
      <w:tr w:rsidR="002641D2" w:rsidRPr="00FA3F9C" w14:paraId="5884618E" w14:textId="77777777" w:rsidTr="000E79CF">
        <w:trPr>
          <w:trHeight w:val="620"/>
        </w:trPr>
        <w:tc>
          <w:tcPr>
            <w:tcW w:w="865" w:type="dxa"/>
          </w:tcPr>
          <w:p w14:paraId="0B45F866" w14:textId="77777777" w:rsidR="002641D2" w:rsidRPr="00FA3F9C" w:rsidRDefault="002641D2" w:rsidP="000E79CF">
            <w:pPr>
              <w:spacing w:after="0" w:line="240" w:lineRule="auto"/>
              <w:rPr>
                <w:rFonts w:ascii="Arial" w:hAnsi="Arial" w:cs="Arial"/>
                <w:sz w:val="24"/>
                <w:szCs w:val="24"/>
              </w:rPr>
            </w:pPr>
            <w:r w:rsidRPr="00FA3F9C">
              <w:rPr>
                <w:rFonts w:ascii="Arial" w:hAnsi="Arial" w:cs="Arial"/>
                <w:sz w:val="24"/>
                <w:szCs w:val="24"/>
              </w:rPr>
              <w:t>3/9/15</w:t>
            </w:r>
          </w:p>
        </w:tc>
        <w:tc>
          <w:tcPr>
            <w:tcW w:w="7740" w:type="dxa"/>
          </w:tcPr>
          <w:p w14:paraId="165727CA" w14:textId="77777777" w:rsidR="002641D2" w:rsidRPr="00FA3F9C" w:rsidRDefault="002641D2" w:rsidP="000E79CF">
            <w:pPr>
              <w:spacing w:after="0" w:line="240" w:lineRule="auto"/>
              <w:rPr>
                <w:rFonts w:ascii="Arial" w:hAnsi="Arial" w:cs="Arial"/>
                <w:sz w:val="24"/>
                <w:szCs w:val="24"/>
              </w:rPr>
            </w:pPr>
            <w:r w:rsidRPr="00FA3F9C">
              <w:rPr>
                <w:rFonts w:ascii="Arial" w:hAnsi="Arial" w:cs="Arial"/>
                <w:sz w:val="24"/>
                <w:szCs w:val="24"/>
              </w:rPr>
              <w:t xml:space="preserve">JJ added the note after searching PubMed and finding no clinical trials.  The PI for Imbruvica has one trial in WM patients that was single armed (no comparisons) and measured the numbers of pts who achieved complete and partial responses.  </w:t>
            </w:r>
          </w:p>
        </w:tc>
        <w:tc>
          <w:tcPr>
            <w:tcW w:w="1728" w:type="dxa"/>
          </w:tcPr>
          <w:p w14:paraId="289E35D8" w14:textId="77777777" w:rsidR="002641D2" w:rsidRPr="00FA3F9C" w:rsidRDefault="002641D2" w:rsidP="000E79CF">
            <w:pPr>
              <w:spacing w:after="0" w:line="240" w:lineRule="auto"/>
              <w:rPr>
                <w:rFonts w:ascii="Arial" w:hAnsi="Arial" w:cs="Arial"/>
                <w:sz w:val="24"/>
                <w:szCs w:val="24"/>
              </w:rPr>
            </w:pPr>
            <w:r w:rsidRPr="00FA3F9C">
              <w:rPr>
                <w:rFonts w:ascii="Arial" w:hAnsi="Arial" w:cs="Arial"/>
                <w:sz w:val="24"/>
                <w:szCs w:val="24"/>
              </w:rPr>
              <w:t>JJ</w:t>
            </w:r>
          </w:p>
        </w:tc>
      </w:tr>
      <w:tr w:rsidR="002641D2" w:rsidRPr="00FA3F9C" w14:paraId="357F7139" w14:textId="77777777" w:rsidTr="000E79CF">
        <w:tc>
          <w:tcPr>
            <w:tcW w:w="865" w:type="dxa"/>
          </w:tcPr>
          <w:p w14:paraId="699F665D" w14:textId="77777777" w:rsidR="002641D2" w:rsidRPr="00FA3F9C" w:rsidRDefault="002641D2" w:rsidP="000E79CF">
            <w:pPr>
              <w:spacing w:after="0" w:line="240" w:lineRule="auto"/>
              <w:rPr>
                <w:rFonts w:ascii="Arial" w:hAnsi="Arial" w:cs="Arial"/>
                <w:sz w:val="24"/>
                <w:szCs w:val="24"/>
              </w:rPr>
            </w:pPr>
            <w:r w:rsidRPr="00FA3F9C">
              <w:rPr>
                <w:rFonts w:ascii="Arial" w:hAnsi="Arial" w:cs="Arial"/>
                <w:sz w:val="24"/>
                <w:szCs w:val="24"/>
              </w:rPr>
              <w:t>6/8/16</w:t>
            </w:r>
          </w:p>
        </w:tc>
        <w:tc>
          <w:tcPr>
            <w:tcW w:w="7740" w:type="dxa"/>
          </w:tcPr>
          <w:p w14:paraId="2326FF90" w14:textId="77777777" w:rsidR="002641D2" w:rsidRPr="00FA3F9C" w:rsidRDefault="002641D2" w:rsidP="000E79CF">
            <w:pPr>
              <w:spacing w:after="0" w:line="240" w:lineRule="auto"/>
              <w:rPr>
                <w:rFonts w:ascii="Arial" w:hAnsi="Arial" w:cs="Arial"/>
                <w:sz w:val="24"/>
                <w:szCs w:val="24"/>
              </w:rPr>
            </w:pPr>
            <w:r w:rsidRPr="00FA3F9C">
              <w:rPr>
                <w:rFonts w:ascii="Arial" w:hAnsi="Arial" w:cs="Arial"/>
                <w:sz w:val="24"/>
                <w:szCs w:val="24"/>
              </w:rPr>
              <w:t>I changed the PA criteria to allow 1</w:t>
            </w:r>
            <w:r w:rsidRPr="00FA3F9C">
              <w:rPr>
                <w:rFonts w:ascii="Arial" w:hAnsi="Arial" w:cs="Arial"/>
                <w:sz w:val="24"/>
                <w:szCs w:val="24"/>
                <w:vertAlign w:val="superscript"/>
              </w:rPr>
              <w:t>st</w:t>
            </w:r>
            <w:r w:rsidRPr="00FA3F9C">
              <w:rPr>
                <w:rFonts w:ascii="Arial" w:hAnsi="Arial" w:cs="Arial"/>
                <w:sz w:val="24"/>
                <w:szCs w:val="24"/>
              </w:rPr>
              <w:t xml:space="preserve"> line therapy after DCWG 5/24/16. Added references 4-6.</w:t>
            </w:r>
          </w:p>
        </w:tc>
        <w:tc>
          <w:tcPr>
            <w:tcW w:w="1728" w:type="dxa"/>
          </w:tcPr>
          <w:p w14:paraId="2A2701DE" w14:textId="77777777" w:rsidR="002641D2" w:rsidRPr="00FA3F9C" w:rsidRDefault="002641D2" w:rsidP="000E79CF">
            <w:pPr>
              <w:spacing w:after="0" w:line="240" w:lineRule="auto"/>
              <w:rPr>
                <w:rFonts w:ascii="Arial" w:hAnsi="Arial" w:cs="Arial"/>
                <w:sz w:val="24"/>
                <w:szCs w:val="24"/>
              </w:rPr>
            </w:pPr>
            <w:r w:rsidRPr="00FA3F9C">
              <w:rPr>
                <w:rFonts w:ascii="Arial" w:hAnsi="Arial" w:cs="Arial"/>
                <w:sz w:val="24"/>
                <w:szCs w:val="24"/>
              </w:rPr>
              <w:t>JJ</w:t>
            </w:r>
          </w:p>
        </w:tc>
      </w:tr>
      <w:tr w:rsidR="002641D2" w:rsidRPr="00FA3F9C" w14:paraId="72242932" w14:textId="77777777" w:rsidTr="000E79CF">
        <w:tc>
          <w:tcPr>
            <w:tcW w:w="865" w:type="dxa"/>
          </w:tcPr>
          <w:p w14:paraId="75276DCC" w14:textId="77777777" w:rsidR="002641D2" w:rsidRPr="00FA3F9C" w:rsidRDefault="002641D2" w:rsidP="000E79CF">
            <w:pPr>
              <w:spacing w:after="0" w:line="240" w:lineRule="auto"/>
              <w:rPr>
                <w:rFonts w:ascii="Arial" w:hAnsi="Arial" w:cs="Arial"/>
                <w:sz w:val="24"/>
                <w:szCs w:val="24"/>
              </w:rPr>
            </w:pPr>
            <w:r w:rsidRPr="00FA3F9C">
              <w:rPr>
                <w:rFonts w:ascii="Arial" w:hAnsi="Arial" w:cs="Arial"/>
                <w:sz w:val="24"/>
                <w:szCs w:val="24"/>
              </w:rPr>
              <w:t>3/29/2017</w:t>
            </w:r>
          </w:p>
        </w:tc>
        <w:tc>
          <w:tcPr>
            <w:tcW w:w="7740" w:type="dxa"/>
          </w:tcPr>
          <w:p w14:paraId="04AC2000" w14:textId="77777777" w:rsidR="002641D2" w:rsidRPr="00FA3F9C" w:rsidRDefault="002641D2" w:rsidP="000E79CF">
            <w:pPr>
              <w:spacing w:after="0" w:line="240" w:lineRule="auto"/>
              <w:rPr>
                <w:rFonts w:ascii="Arial" w:hAnsi="Arial" w:cs="Arial"/>
                <w:sz w:val="24"/>
                <w:szCs w:val="24"/>
              </w:rPr>
            </w:pPr>
            <w:r w:rsidRPr="00FA3F9C">
              <w:rPr>
                <w:rFonts w:ascii="Arial" w:hAnsi="Arial" w:cs="Arial"/>
                <w:sz w:val="24"/>
                <w:szCs w:val="24"/>
              </w:rPr>
              <w:t>I rewrote the criteria.</w:t>
            </w:r>
          </w:p>
        </w:tc>
        <w:tc>
          <w:tcPr>
            <w:tcW w:w="1728" w:type="dxa"/>
          </w:tcPr>
          <w:p w14:paraId="5A546143" w14:textId="77777777" w:rsidR="002641D2" w:rsidRPr="00FA3F9C" w:rsidRDefault="002641D2" w:rsidP="000E79CF">
            <w:pPr>
              <w:spacing w:after="0" w:line="240" w:lineRule="auto"/>
              <w:rPr>
                <w:rFonts w:ascii="Arial" w:hAnsi="Arial" w:cs="Arial"/>
                <w:sz w:val="24"/>
                <w:szCs w:val="24"/>
              </w:rPr>
            </w:pPr>
            <w:r w:rsidRPr="00FA3F9C">
              <w:rPr>
                <w:rFonts w:ascii="Arial" w:hAnsi="Arial" w:cs="Arial"/>
                <w:sz w:val="24"/>
                <w:szCs w:val="24"/>
              </w:rPr>
              <w:t>JJ</w:t>
            </w:r>
          </w:p>
        </w:tc>
      </w:tr>
      <w:tr w:rsidR="002641D2" w:rsidRPr="00FA3F9C" w14:paraId="19703580" w14:textId="77777777" w:rsidTr="000E79CF">
        <w:tc>
          <w:tcPr>
            <w:tcW w:w="865" w:type="dxa"/>
          </w:tcPr>
          <w:p w14:paraId="704D458B" w14:textId="77777777" w:rsidR="002641D2" w:rsidRPr="00FA3F9C" w:rsidRDefault="002641D2" w:rsidP="000E79CF">
            <w:pPr>
              <w:spacing w:after="0" w:line="240" w:lineRule="auto"/>
              <w:rPr>
                <w:rFonts w:ascii="Arial" w:hAnsi="Arial" w:cs="Arial"/>
                <w:sz w:val="24"/>
                <w:szCs w:val="24"/>
              </w:rPr>
            </w:pPr>
            <w:r w:rsidRPr="00FA3F9C">
              <w:rPr>
                <w:rFonts w:ascii="Arial" w:hAnsi="Arial" w:cs="Arial"/>
                <w:sz w:val="24"/>
                <w:szCs w:val="24"/>
              </w:rPr>
              <w:t>8/30/17</w:t>
            </w:r>
          </w:p>
        </w:tc>
        <w:tc>
          <w:tcPr>
            <w:tcW w:w="7740" w:type="dxa"/>
          </w:tcPr>
          <w:p w14:paraId="5F71D25E" w14:textId="77777777" w:rsidR="002641D2" w:rsidRPr="00FA3F9C" w:rsidRDefault="002641D2" w:rsidP="000E79CF">
            <w:pPr>
              <w:spacing w:after="0" w:line="240" w:lineRule="auto"/>
              <w:rPr>
                <w:rFonts w:ascii="Arial" w:hAnsi="Arial" w:cs="Arial"/>
                <w:sz w:val="24"/>
                <w:szCs w:val="24"/>
              </w:rPr>
            </w:pPr>
            <w:r w:rsidRPr="00FA3F9C">
              <w:rPr>
                <w:rFonts w:ascii="Arial" w:hAnsi="Arial" w:cs="Arial"/>
                <w:sz w:val="24"/>
                <w:szCs w:val="24"/>
              </w:rPr>
              <w:t>I added reference 8.  I also added the criteria for the indication for GVHD.</w:t>
            </w:r>
          </w:p>
        </w:tc>
        <w:tc>
          <w:tcPr>
            <w:tcW w:w="1728" w:type="dxa"/>
          </w:tcPr>
          <w:p w14:paraId="2CA03724" w14:textId="77777777" w:rsidR="002641D2" w:rsidRPr="00FA3F9C" w:rsidRDefault="002641D2" w:rsidP="000E79CF">
            <w:pPr>
              <w:spacing w:after="0" w:line="240" w:lineRule="auto"/>
              <w:rPr>
                <w:rFonts w:ascii="Arial" w:hAnsi="Arial" w:cs="Arial"/>
                <w:sz w:val="24"/>
                <w:szCs w:val="24"/>
              </w:rPr>
            </w:pPr>
            <w:r w:rsidRPr="00FA3F9C">
              <w:rPr>
                <w:rFonts w:ascii="Arial" w:hAnsi="Arial" w:cs="Arial"/>
                <w:sz w:val="24"/>
                <w:szCs w:val="24"/>
              </w:rPr>
              <w:t>JJ</w:t>
            </w:r>
          </w:p>
        </w:tc>
      </w:tr>
      <w:tr w:rsidR="002641D2" w:rsidRPr="00FA3F9C" w14:paraId="400F8D49" w14:textId="77777777" w:rsidTr="000E79CF">
        <w:tc>
          <w:tcPr>
            <w:tcW w:w="865" w:type="dxa"/>
          </w:tcPr>
          <w:p w14:paraId="00C125AD" w14:textId="77777777" w:rsidR="002641D2" w:rsidRPr="00FA3F9C" w:rsidRDefault="002641D2" w:rsidP="000E79CF">
            <w:pPr>
              <w:spacing w:after="0" w:line="240" w:lineRule="auto"/>
              <w:rPr>
                <w:rFonts w:ascii="Arial" w:hAnsi="Arial" w:cs="Arial"/>
                <w:sz w:val="24"/>
                <w:szCs w:val="24"/>
              </w:rPr>
            </w:pPr>
            <w:r w:rsidRPr="00FA3F9C">
              <w:rPr>
                <w:rFonts w:ascii="Arial" w:hAnsi="Arial" w:cs="Arial"/>
                <w:sz w:val="24"/>
                <w:szCs w:val="24"/>
              </w:rPr>
              <w:lastRenderedPageBreak/>
              <w:t>3/13/18</w:t>
            </w:r>
          </w:p>
        </w:tc>
        <w:tc>
          <w:tcPr>
            <w:tcW w:w="7740" w:type="dxa"/>
          </w:tcPr>
          <w:p w14:paraId="0CCF1DD7" w14:textId="77777777" w:rsidR="002641D2" w:rsidRPr="00FA3F9C" w:rsidRDefault="002641D2" w:rsidP="000E79CF">
            <w:pPr>
              <w:spacing w:after="0" w:line="240" w:lineRule="auto"/>
              <w:rPr>
                <w:rFonts w:ascii="Arial" w:hAnsi="Arial" w:cs="Arial"/>
                <w:sz w:val="24"/>
                <w:szCs w:val="24"/>
              </w:rPr>
            </w:pPr>
            <w:r w:rsidRPr="00FA3F9C">
              <w:rPr>
                <w:rFonts w:ascii="Arial" w:hAnsi="Arial" w:cs="Arial"/>
                <w:sz w:val="24"/>
                <w:szCs w:val="24"/>
              </w:rPr>
              <w:t>I deleted the criteria to be “treatment naïve” or “have received ONLY 1 prior therapy” because after reviewing the baseline characteristics of the trial comparing ibrutinib vs ofatumumab in previously treated CLL, over 50% had received &gt;3 prior lines of therapy.</w:t>
            </w:r>
          </w:p>
        </w:tc>
        <w:tc>
          <w:tcPr>
            <w:tcW w:w="1728" w:type="dxa"/>
          </w:tcPr>
          <w:p w14:paraId="00B8793B" w14:textId="3C8F028B" w:rsidR="002641D2" w:rsidRPr="00FA3F9C" w:rsidRDefault="005C142D" w:rsidP="000E79CF">
            <w:pPr>
              <w:spacing w:after="0" w:line="240" w:lineRule="auto"/>
              <w:rPr>
                <w:rFonts w:ascii="Arial" w:hAnsi="Arial" w:cs="Arial"/>
                <w:sz w:val="24"/>
                <w:szCs w:val="24"/>
              </w:rPr>
            </w:pPr>
            <w:r w:rsidRPr="00FA3F9C">
              <w:rPr>
                <w:rFonts w:ascii="Arial" w:hAnsi="Arial" w:cs="Arial"/>
                <w:sz w:val="24"/>
                <w:szCs w:val="24"/>
              </w:rPr>
              <w:t>JJ</w:t>
            </w:r>
          </w:p>
        </w:tc>
      </w:tr>
      <w:tr w:rsidR="002641D2" w:rsidRPr="00FA3F9C" w14:paraId="31712481" w14:textId="77777777" w:rsidTr="000E79CF">
        <w:tc>
          <w:tcPr>
            <w:tcW w:w="865" w:type="dxa"/>
          </w:tcPr>
          <w:p w14:paraId="2FABF83C" w14:textId="77777777" w:rsidR="002641D2" w:rsidRPr="00FA3F9C" w:rsidRDefault="002641D2" w:rsidP="000E79CF">
            <w:pPr>
              <w:spacing w:after="0" w:line="240" w:lineRule="auto"/>
              <w:rPr>
                <w:rFonts w:ascii="Arial" w:hAnsi="Arial" w:cs="Arial"/>
                <w:sz w:val="24"/>
                <w:szCs w:val="24"/>
              </w:rPr>
            </w:pPr>
            <w:r w:rsidRPr="00FA3F9C">
              <w:rPr>
                <w:rFonts w:ascii="Arial" w:hAnsi="Arial" w:cs="Arial"/>
                <w:sz w:val="24"/>
                <w:szCs w:val="24"/>
              </w:rPr>
              <w:t>12/14/18</w:t>
            </w:r>
          </w:p>
        </w:tc>
        <w:tc>
          <w:tcPr>
            <w:tcW w:w="7740" w:type="dxa"/>
          </w:tcPr>
          <w:p w14:paraId="735EE0CC" w14:textId="77777777" w:rsidR="002641D2" w:rsidRPr="00FA3F9C" w:rsidRDefault="002641D2" w:rsidP="000E79CF">
            <w:pPr>
              <w:spacing w:after="0" w:line="240" w:lineRule="auto"/>
              <w:rPr>
                <w:rFonts w:ascii="Arial" w:hAnsi="Arial" w:cs="Arial"/>
                <w:sz w:val="24"/>
                <w:szCs w:val="24"/>
              </w:rPr>
            </w:pPr>
            <w:r w:rsidRPr="00FA3F9C">
              <w:rPr>
                <w:rFonts w:ascii="Arial" w:hAnsi="Arial" w:cs="Arial"/>
                <w:sz w:val="24"/>
                <w:szCs w:val="24"/>
              </w:rPr>
              <w:t>I added the other dosage strengths 70, 280, 420, 560mg.</w:t>
            </w:r>
          </w:p>
        </w:tc>
        <w:tc>
          <w:tcPr>
            <w:tcW w:w="1728" w:type="dxa"/>
          </w:tcPr>
          <w:p w14:paraId="19E2EB7F" w14:textId="15961549" w:rsidR="002641D2" w:rsidRPr="00FA3F9C" w:rsidRDefault="005C142D" w:rsidP="000E79CF">
            <w:pPr>
              <w:spacing w:after="0" w:line="240" w:lineRule="auto"/>
              <w:rPr>
                <w:rFonts w:ascii="Arial" w:hAnsi="Arial" w:cs="Arial"/>
                <w:sz w:val="24"/>
                <w:szCs w:val="24"/>
              </w:rPr>
            </w:pPr>
            <w:r w:rsidRPr="00FA3F9C">
              <w:rPr>
                <w:rFonts w:ascii="Arial" w:hAnsi="Arial" w:cs="Arial"/>
                <w:sz w:val="24"/>
                <w:szCs w:val="24"/>
              </w:rPr>
              <w:t>JJ</w:t>
            </w:r>
          </w:p>
        </w:tc>
      </w:tr>
      <w:tr w:rsidR="002641D2" w:rsidRPr="00FA3F9C" w14:paraId="446F4095" w14:textId="77777777" w:rsidTr="000E79CF">
        <w:tc>
          <w:tcPr>
            <w:tcW w:w="865" w:type="dxa"/>
          </w:tcPr>
          <w:p w14:paraId="5C9239A2" w14:textId="77777777" w:rsidR="002641D2" w:rsidRPr="00FA3F9C" w:rsidRDefault="002641D2" w:rsidP="000E79CF">
            <w:pPr>
              <w:spacing w:after="0" w:line="240" w:lineRule="auto"/>
              <w:rPr>
                <w:rFonts w:ascii="Arial" w:hAnsi="Arial" w:cs="Arial"/>
                <w:sz w:val="24"/>
                <w:szCs w:val="24"/>
              </w:rPr>
            </w:pPr>
            <w:r w:rsidRPr="00FA3F9C">
              <w:rPr>
                <w:rFonts w:ascii="Arial" w:hAnsi="Arial" w:cs="Arial"/>
                <w:sz w:val="24"/>
                <w:szCs w:val="24"/>
              </w:rPr>
              <w:t>1/24/19</w:t>
            </w:r>
          </w:p>
        </w:tc>
        <w:tc>
          <w:tcPr>
            <w:tcW w:w="7740" w:type="dxa"/>
          </w:tcPr>
          <w:p w14:paraId="70B9F4B5" w14:textId="77777777" w:rsidR="002641D2" w:rsidRPr="00FA3F9C" w:rsidRDefault="002641D2" w:rsidP="00941169">
            <w:pPr>
              <w:spacing w:after="0" w:line="240" w:lineRule="auto"/>
              <w:rPr>
                <w:rFonts w:ascii="Arial" w:hAnsi="Arial" w:cs="Arial"/>
                <w:sz w:val="24"/>
                <w:szCs w:val="24"/>
              </w:rPr>
            </w:pPr>
            <w:r w:rsidRPr="00FA3F9C">
              <w:rPr>
                <w:rFonts w:ascii="Arial" w:hAnsi="Arial" w:cs="Arial"/>
                <w:sz w:val="24"/>
                <w:szCs w:val="24"/>
              </w:rPr>
              <w:t xml:space="preserve">Updated CLL/SLL criteria; added requirement that for first line treatment, </w:t>
            </w:r>
            <w:proofErr w:type="spellStart"/>
            <w:r w:rsidRPr="00FA3F9C">
              <w:rPr>
                <w:rFonts w:ascii="Arial" w:hAnsi="Arial" w:cs="Arial"/>
                <w:sz w:val="24"/>
                <w:szCs w:val="24"/>
              </w:rPr>
              <w:t>pt</w:t>
            </w:r>
            <w:proofErr w:type="spellEnd"/>
            <w:r w:rsidRPr="00FA3F9C">
              <w:rPr>
                <w:rFonts w:ascii="Arial" w:hAnsi="Arial" w:cs="Arial"/>
                <w:sz w:val="24"/>
                <w:szCs w:val="24"/>
              </w:rPr>
              <w:t xml:space="preserve"> must NOT be a candidate for purine-based treatment. Added that previous acalabrutinib is not allowed.</w:t>
            </w:r>
          </w:p>
        </w:tc>
        <w:tc>
          <w:tcPr>
            <w:tcW w:w="1728" w:type="dxa"/>
          </w:tcPr>
          <w:p w14:paraId="28EDC36F" w14:textId="77777777" w:rsidR="002641D2" w:rsidRPr="00FA3F9C" w:rsidRDefault="002641D2" w:rsidP="000E79CF">
            <w:pPr>
              <w:spacing w:after="0" w:line="240" w:lineRule="auto"/>
              <w:rPr>
                <w:rFonts w:ascii="Arial" w:hAnsi="Arial" w:cs="Arial"/>
                <w:sz w:val="24"/>
                <w:szCs w:val="24"/>
              </w:rPr>
            </w:pPr>
            <w:r w:rsidRPr="00FA3F9C">
              <w:rPr>
                <w:rFonts w:ascii="Arial" w:hAnsi="Arial" w:cs="Arial"/>
                <w:sz w:val="24"/>
                <w:szCs w:val="24"/>
              </w:rPr>
              <w:t>ALM, SK</w:t>
            </w:r>
          </w:p>
        </w:tc>
      </w:tr>
      <w:tr w:rsidR="002641D2" w:rsidRPr="00FA3F9C" w14:paraId="481F5659" w14:textId="77777777" w:rsidTr="000E79CF">
        <w:tc>
          <w:tcPr>
            <w:tcW w:w="865" w:type="dxa"/>
          </w:tcPr>
          <w:p w14:paraId="7B0D6400" w14:textId="77777777" w:rsidR="002641D2" w:rsidRPr="00FA3F9C" w:rsidRDefault="002641D2" w:rsidP="000E79CF">
            <w:pPr>
              <w:spacing w:after="0" w:line="240" w:lineRule="auto"/>
              <w:rPr>
                <w:rFonts w:ascii="Arial" w:hAnsi="Arial" w:cs="Arial"/>
                <w:sz w:val="24"/>
                <w:szCs w:val="24"/>
              </w:rPr>
            </w:pPr>
            <w:r w:rsidRPr="00FA3F9C">
              <w:rPr>
                <w:rFonts w:ascii="Arial" w:hAnsi="Arial" w:cs="Arial"/>
                <w:sz w:val="24"/>
                <w:szCs w:val="24"/>
              </w:rPr>
              <w:t>1/31/19</w:t>
            </w:r>
          </w:p>
        </w:tc>
        <w:tc>
          <w:tcPr>
            <w:tcW w:w="7740" w:type="dxa"/>
          </w:tcPr>
          <w:p w14:paraId="4BC245F7" w14:textId="77777777" w:rsidR="002641D2" w:rsidRPr="00FA3F9C" w:rsidRDefault="002641D2" w:rsidP="00941169">
            <w:pPr>
              <w:spacing w:after="0" w:line="240" w:lineRule="auto"/>
              <w:rPr>
                <w:rFonts w:ascii="Arial" w:hAnsi="Arial" w:cs="Arial"/>
                <w:sz w:val="24"/>
                <w:szCs w:val="24"/>
              </w:rPr>
            </w:pPr>
            <w:r w:rsidRPr="00FA3F9C">
              <w:rPr>
                <w:rFonts w:ascii="Arial" w:hAnsi="Arial" w:cs="Arial"/>
                <w:sz w:val="24"/>
                <w:szCs w:val="24"/>
              </w:rPr>
              <w:t>For CLL/SLL criteria, added that first line treatment is also appropriate for patients with deletion 17p. These patients do not respond well to chemotherapy.</w:t>
            </w:r>
          </w:p>
        </w:tc>
        <w:tc>
          <w:tcPr>
            <w:tcW w:w="1728" w:type="dxa"/>
          </w:tcPr>
          <w:p w14:paraId="7702F935" w14:textId="77777777" w:rsidR="002641D2" w:rsidRPr="00FA3F9C" w:rsidRDefault="002641D2" w:rsidP="000E79CF">
            <w:pPr>
              <w:spacing w:after="0" w:line="240" w:lineRule="auto"/>
              <w:rPr>
                <w:rFonts w:ascii="Arial" w:hAnsi="Arial" w:cs="Arial"/>
                <w:sz w:val="24"/>
                <w:szCs w:val="24"/>
              </w:rPr>
            </w:pPr>
            <w:proofErr w:type="spellStart"/>
            <w:r w:rsidRPr="00FA3F9C">
              <w:rPr>
                <w:rFonts w:ascii="Arial" w:hAnsi="Arial" w:cs="Arial"/>
                <w:sz w:val="24"/>
                <w:szCs w:val="24"/>
              </w:rPr>
              <w:t>Sk</w:t>
            </w:r>
            <w:proofErr w:type="spellEnd"/>
          </w:p>
        </w:tc>
      </w:tr>
      <w:tr w:rsidR="002641D2" w:rsidRPr="00FA3F9C" w14:paraId="1440E6A1" w14:textId="77777777" w:rsidTr="000E79CF">
        <w:tc>
          <w:tcPr>
            <w:tcW w:w="865" w:type="dxa"/>
          </w:tcPr>
          <w:p w14:paraId="754063FA" w14:textId="77777777" w:rsidR="002641D2" w:rsidRPr="00FA3F9C" w:rsidRDefault="002641D2" w:rsidP="000E79CF">
            <w:pPr>
              <w:spacing w:after="0" w:line="240" w:lineRule="auto"/>
              <w:rPr>
                <w:rFonts w:ascii="Arial" w:hAnsi="Arial" w:cs="Arial"/>
                <w:sz w:val="24"/>
                <w:szCs w:val="24"/>
              </w:rPr>
            </w:pPr>
            <w:r w:rsidRPr="00FA3F9C">
              <w:rPr>
                <w:rFonts w:ascii="Arial" w:hAnsi="Arial" w:cs="Arial"/>
                <w:sz w:val="24"/>
                <w:szCs w:val="24"/>
              </w:rPr>
              <w:t>5/20/19</w:t>
            </w:r>
          </w:p>
        </w:tc>
        <w:tc>
          <w:tcPr>
            <w:tcW w:w="7740" w:type="dxa"/>
          </w:tcPr>
          <w:p w14:paraId="4248713F" w14:textId="77777777" w:rsidR="002641D2" w:rsidRPr="00FA3F9C" w:rsidRDefault="002641D2" w:rsidP="002C6AE2">
            <w:pPr>
              <w:spacing w:after="0" w:line="240" w:lineRule="auto"/>
              <w:rPr>
                <w:rFonts w:ascii="Arial" w:hAnsi="Arial" w:cs="Arial"/>
                <w:sz w:val="24"/>
                <w:szCs w:val="24"/>
              </w:rPr>
            </w:pPr>
            <w:r w:rsidRPr="00FA3F9C">
              <w:rPr>
                <w:rFonts w:ascii="Arial" w:hAnsi="Arial" w:cs="Arial"/>
                <w:sz w:val="24"/>
                <w:szCs w:val="24"/>
              </w:rPr>
              <w:t xml:space="preserve">Criteria reviewed: revised chronic GVHD criteria, simplified CLL criteria based on new data. Added criteria for </w:t>
            </w:r>
            <w:proofErr w:type="spellStart"/>
            <w:r w:rsidRPr="00FA3F9C">
              <w:rPr>
                <w:rFonts w:ascii="Arial" w:hAnsi="Arial" w:cs="Arial"/>
                <w:sz w:val="24"/>
                <w:szCs w:val="24"/>
              </w:rPr>
              <w:t>waldenstrom</w:t>
            </w:r>
            <w:proofErr w:type="spellEnd"/>
            <w:r w:rsidRPr="00FA3F9C">
              <w:rPr>
                <w:rFonts w:ascii="Arial" w:hAnsi="Arial" w:cs="Arial"/>
                <w:sz w:val="24"/>
                <w:szCs w:val="24"/>
              </w:rPr>
              <w:t xml:space="preserve"> Macroglobulinemia (new indication)</w:t>
            </w:r>
          </w:p>
        </w:tc>
        <w:tc>
          <w:tcPr>
            <w:tcW w:w="1728" w:type="dxa"/>
          </w:tcPr>
          <w:p w14:paraId="702D4870" w14:textId="77777777" w:rsidR="002641D2" w:rsidRPr="00FA3F9C" w:rsidRDefault="002641D2" w:rsidP="000E79CF">
            <w:pPr>
              <w:spacing w:after="0" w:line="240" w:lineRule="auto"/>
              <w:rPr>
                <w:rFonts w:ascii="Arial" w:hAnsi="Arial" w:cs="Arial"/>
                <w:sz w:val="24"/>
                <w:szCs w:val="24"/>
              </w:rPr>
            </w:pPr>
            <w:proofErr w:type="spellStart"/>
            <w:r w:rsidRPr="00FA3F9C">
              <w:rPr>
                <w:rFonts w:ascii="Arial" w:hAnsi="Arial" w:cs="Arial"/>
                <w:sz w:val="24"/>
                <w:szCs w:val="24"/>
              </w:rPr>
              <w:t>Sk</w:t>
            </w:r>
            <w:proofErr w:type="spellEnd"/>
          </w:p>
        </w:tc>
      </w:tr>
      <w:tr w:rsidR="002641D2" w:rsidRPr="00FA3F9C" w14:paraId="334A13B1" w14:textId="77777777" w:rsidTr="000E79CF">
        <w:tc>
          <w:tcPr>
            <w:tcW w:w="865" w:type="dxa"/>
          </w:tcPr>
          <w:p w14:paraId="18DC5E5F" w14:textId="77777777" w:rsidR="002641D2" w:rsidRPr="00FA3F9C" w:rsidRDefault="002641D2" w:rsidP="000E79CF">
            <w:pPr>
              <w:spacing w:after="0" w:line="240" w:lineRule="auto"/>
              <w:rPr>
                <w:rFonts w:ascii="Arial" w:hAnsi="Arial" w:cs="Arial"/>
                <w:sz w:val="24"/>
                <w:szCs w:val="24"/>
              </w:rPr>
            </w:pPr>
            <w:r w:rsidRPr="00FA3F9C">
              <w:rPr>
                <w:rFonts w:ascii="Arial" w:hAnsi="Arial" w:cs="Arial"/>
                <w:sz w:val="24"/>
                <w:szCs w:val="24"/>
              </w:rPr>
              <w:t>11/25/19</w:t>
            </w:r>
          </w:p>
        </w:tc>
        <w:tc>
          <w:tcPr>
            <w:tcW w:w="7740" w:type="dxa"/>
          </w:tcPr>
          <w:p w14:paraId="591D189C" w14:textId="77777777" w:rsidR="002641D2" w:rsidRPr="00FA3F9C" w:rsidRDefault="002641D2" w:rsidP="002C6AE2">
            <w:pPr>
              <w:spacing w:after="0" w:line="240" w:lineRule="auto"/>
              <w:rPr>
                <w:rFonts w:ascii="Arial" w:hAnsi="Arial" w:cs="Arial"/>
                <w:sz w:val="24"/>
                <w:szCs w:val="24"/>
              </w:rPr>
            </w:pPr>
            <w:r w:rsidRPr="00FA3F9C">
              <w:rPr>
                <w:rFonts w:ascii="Arial" w:hAnsi="Arial" w:cs="Arial"/>
                <w:sz w:val="24"/>
                <w:szCs w:val="24"/>
              </w:rPr>
              <w:t xml:space="preserve">Criteria reviewed. Added criteria for mantle cell lymphoma. </w:t>
            </w:r>
          </w:p>
        </w:tc>
        <w:tc>
          <w:tcPr>
            <w:tcW w:w="1728" w:type="dxa"/>
          </w:tcPr>
          <w:p w14:paraId="4C45F80E" w14:textId="77777777" w:rsidR="002641D2" w:rsidRPr="00FA3F9C" w:rsidRDefault="002641D2" w:rsidP="000E79CF">
            <w:pPr>
              <w:spacing w:after="0" w:line="240" w:lineRule="auto"/>
              <w:rPr>
                <w:rFonts w:ascii="Arial" w:hAnsi="Arial" w:cs="Arial"/>
                <w:sz w:val="24"/>
                <w:szCs w:val="24"/>
              </w:rPr>
            </w:pPr>
            <w:proofErr w:type="spellStart"/>
            <w:r w:rsidRPr="00FA3F9C">
              <w:rPr>
                <w:rFonts w:ascii="Arial" w:hAnsi="Arial" w:cs="Arial"/>
                <w:sz w:val="24"/>
                <w:szCs w:val="24"/>
              </w:rPr>
              <w:t>Sk</w:t>
            </w:r>
            <w:proofErr w:type="spellEnd"/>
          </w:p>
        </w:tc>
      </w:tr>
      <w:tr w:rsidR="002641D2" w:rsidRPr="00FA3F9C" w14:paraId="5DCF036F" w14:textId="77777777" w:rsidTr="000E79CF">
        <w:tc>
          <w:tcPr>
            <w:tcW w:w="865" w:type="dxa"/>
          </w:tcPr>
          <w:p w14:paraId="3BE248A4" w14:textId="77777777" w:rsidR="002641D2" w:rsidRPr="00FA3F9C" w:rsidRDefault="002641D2" w:rsidP="000E79CF">
            <w:pPr>
              <w:spacing w:after="0" w:line="240" w:lineRule="auto"/>
              <w:rPr>
                <w:rFonts w:ascii="Arial" w:hAnsi="Arial" w:cs="Arial"/>
                <w:sz w:val="24"/>
                <w:szCs w:val="24"/>
              </w:rPr>
            </w:pPr>
            <w:r w:rsidRPr="00FA3F9C">
              <w:rPr>
                <w:rFonts w:ascii="Arial" w:hAnsi="Arial" w:cs="Arial"/>
                <w:sz w:val="24"/>
                <w:szCs w:val="24"/>
              </w:rPr>
              <w:t>8/21/2020</w:t>
            </w:r>
          </w:p>
        </w:tc>
        <w:tc>
          <w:tcPr>
            <w:tcW w:w="7740" w:type="dxa"/>
          </w:tcPr>
          <w:p w14:paraId="73097F29" w14:textId="77777777" w:rsidR="002641D2" w:rsidRPr="00FA3F9C" w:rsidRDefault="002641D2" w:rsidP="002C6AE2">
            <w:pPr>
              <w:spacing w:after="0" w:line="240" w:lineRule="auto"/>
              <w:rPr>
                <w:rFonts w:ascii="Arial" w:hAnsi="Arial" w:cs="Arial"/>
                <w:sz w:val="24"/>
                <w:szCs w:val="24"/>
              </w:rPr>
            </w:pPr>
            <w:r w:rsidRPr="00FA3F9C">
              <w:rPr>
                <w:rFonts w:ascii="Arial" w:hAnsi="Arial" w:cs="Arial"/>
                <w:sz w:val="24"/>
                <w:szCs w:val="24"/>
              </w:rPr>
              <w:t>Criteria reviewed. No change</w:t>
            </w:r>
          </w:p>
        </w:tc>
        <w:tc>
          <w:tcPr>
            <w:tcW w:w="1728" w:type="dxa"/>
          </w:tcPr>
          <w:p w14:paraId="4E6041F4" w14:textId="77777777" w:rsidR="002641D2" w:rsidRPr="00FA3F9C" w:rsidRDefault="002641D2" w:rsidP="000E79CF">
            <w:pPr>
              <w:spacing w:after="0" w:line="240" w:lineRule="auto"/>
              <w:rPr>
                <w:rFonts w:ascii="Arial" w:hAnsi="Arial" w:cs="Arial"/>
                <w:sz w:val="24"/>
                <w:szCs w:val="24"/>
              </w:rPr>
            </w:pPr>
            <w:r w:rsidRPr="00FA3F9C">
              <w:rPr>
                <w:rFonts w:ascii="Arial" w:hAnsi="Arial" w:cs="Arial"/>
                <w:sz w:val="24"/>
                <w:szCs w:val="24"/>
              </w:rPr>
              <w:t>SK</w:t>
            </w:r>
          </w:p>
        </w:tc>
      </w:tr>
      <w:tr w:rsidR="002641D2" w:rsidRPr="00FA3F9C" w14:paraId="514E7930" w14:textId="77777777" w:rsidTr="000E79CF">
        <w:tc>
          <w:tcPr>
            <w:tcW w:w="865" w:type="dxa"/>
          </w:tcPr>
          <w:p w14:paraId="69C39256" w14:textId="77777777" w:rsidR="002641D2" w:rsidRPr="00FA3F9C" w:rsidRDefault="002641D2" w:rsidP="000E79CF">
            <w:pPr>
              <w:spacing w:after="0" w:line="240" w:lineRule="auto"/>
              <w:rPr>
                <w:rFonts w:ascii="Arial" w:hAnsi="Arial" w:cs="Arial"/>
                <w:sz w:val="24"/>
                <w:szCs w:val="24"/>
              </w:rPr>
            </w:pPr>
            <w:r w:rsidRPr="00FA3F9C">
              <w:rPr>
                <w:rFonts w:ascii="Arial" w:hAnsi="Arial" w:cs="Arial"/>
                <w:sz w:val="24"/>
                <w:szCs w:val="24"/>
              </w:rPr>
              <w:t>4/2/21</w:t>
            </w:r>
          </w:p>
        </w:tc>
        <w:tc>
          <w:tcPr>
            <w:tcW w:w="7740" w:type="dxa"/>
          </w:tcPr>
          <w:p w14:paraId="0ED1E55B" w14:textId="77777777" w:rsidR="002641D2" w:rsidRPr="00FA3F9C" w:rsidRDefault="002641D2" w:rsidP="002C6AE2">
            <w:pPr>
              <w:spacing w:after="0" w:line="240" w:lineRule="auto"/>
              <w:rPr>
                <w:rFonts w:ascii="Arial" w:hAnsi="Arial" w:cs="Arial"/>
                <w:sz w:val="24"/>
                <w:szCs w:val="24"/>
              </w:rPr>
            </w:pPr>
            <w:r w:rsidRPr="00FA3F9C">
              <w:rPr>
                <w:rFonts w:ascii="Arial" w:hAnsi="Arial" w:cs="Arial"/>
                <w:sz w:val="24"/>
                <w:szCs w:val="24"/>
              </w:rPr>
              <w:t>Applied EBRx criteria to UAS Plan.</w:t>
            </w:r>
          </w:p>
        </w:tc>
        <w:tc>
          <w:tcPr>
            <w:tcW w:w="1728" w:type="dxa"/>
          </w:tcPr>
          <w:p w14:paraId="25588E0E" w14:textId="77777777" w:rsidR="002641D2" w:rsidRPr="00FA3F9C" w:rsidRDefault="002641D2" w:rsidP="000E79CF">
            <w:pPr>
              <w:spacing w:after="0" w:line="240" w:lineRule="auto"/>
              <w:rPr>
                <w:rFonts w:ascii="Arial" w:hAnsi="Arial" w:cs="Arial"/>
                <w:sz w:val="24"/>
                <w:szCs w:val="24"/>
              </w:rPr>
            </w:pPr>
            <w:r w:rsidRPr="00FA3F9C">
              <w:rPr>
                <w:rFonts w:ascii="Arial" w:hAnsi="Arial" w:cs="Arial"/>
                <w:sz w:val="24"/>
                <w:szCs w:val="24"/>
              </w:rPr>
              <w:t>JJ</w:t>
            </w:r>
          </w:p>
        </w:tc>
      </w:tr>
      <w:tr w:rsidR="002641D2" w:rsidRPr="00FA3F9C" w14:paraId="76B8C7D8" w14:textId="77777777" w:rsidTr="000E79CF">
        <w:tc>
          <w:tcPr>
            <w:tcW w:w="865" w:type="dxa"/>
          </w:tcPr>
          <w:p w14:paraId="4A8C18ED" w14:textId="77777777" w:rsidR="002641D2" w:rsidRPr="00FA3F9C" w:rsidRDefault="002641D2" w:rsidP="000E79CF">
            <w:pPr>
              <w:spacing w:after="0" w:line="240" w:lineRule="auto"/>
              <w:rPr>
                <w:rFonts w:ascii="Arial" w:hAnsi="Arial" w:cs="Arial"/>
                <w:sz w:val="24"/>
                <w:szCs w:val="24"/>
              </w:rPr>
            </w:pPr>
            <w:r w:rsidRPr="00FA3F9C">
              <w:rPr>
                <w:rFonts w:ascii="Arial" w:hAnsi="Arial" w:cs="Arial"/>
                <w:sz w:val="24"/>
                <w:szCs w:val="24"/>
              </w:rPr>
              <w:t>8/19/21</w:t>
            </w:r>
          </w:p>
        </w:tc>
        <w:tc>
          <w:tcPr>
            <w:tcW w:w="7740" w:type="dxa"/>
          </w:tcPr>
          <w:p w14:paraId="7BA52AEA" w14:textId="77777777" w:rsidR="002641D2" w:rsidRPr="00FA3F9C" w:rsidRDefault="002641D2" w:rsidP="002C6AE2">
            <w:pPr>
              <w:spacing w:after="0" w:line="240" w:lineRule="auto"/>
              <w:rPr>
                <w:rFonts w:ascii="Arial" w:hAnsi="Arial" w:cs="Arial"/>
                <w:sz w:val="24"/>
                <w:szCs w:val="24"/>
              </w:rPr>
            </w:pPr>
            <w:r w:rsidRPr="00FA3F9C">
              <w:rPr>
                <w:rFonts w:ascii="Arial" w:hAnsi="Arial" w:cs="Arial"/>
                <w:sz w:val="24"/>
                <w:szCs w:val="24"/>
              </w:rPr>
              <w:t>Updated with new capsule/tablet preferences per 8/19/2021 EBRx P&amp;T meeting</w:t>
            </w:r>
          </w:p>
        </w:tc>
        <w:tc>
          <w:tcPr>
            <w:tcW w:w="1728" w:type="dxa"/>
          </w:tcPr>
          <w:p w14:paraId="0A6C45A7" w14:textId="77777777" w:rsidR="002641D2" w:rsidRPr="00FA3F9C" w:rsidRDefault="002641D2" w:rsidP="000E79CF">
            <w:pPr>
              <w:spacing w:after="0" w:line="240" w:lineRule="auto"/>
              <w:rPr>
                <w:rFonts w:ascii="Arial" w:hAnsi="Arial" w:cs="Arial"/>
                <w:sz w:val="24"/>
                <w:szCs w:val="24"/>
              </w:rPr>
            </w:pPr>
            <w:r w:rsidRPr="00FA3F9C">
              <w:rPr>
                <w:rFonts w:ascii="Arial" w:hAnsi="Arial" w:cs="Arial"/>
                <w:sz w:val="24"/>
                <w:szCs w:val="24"/>
              </w:rPr>
              <w:t>SK</w:t>
            </w:r>
          </w:p>
        </w:tc>
      </w:tr>
      <w:tr w:rsidR="002641D2" w:rsidRPr="00FA3F9C" w14:paraId="0EF5DA74" w14:textId="77777777" w:rsidTr="000E79CF">
        <w:tc>
          <w:tcPr>
            <w:tcW w:w="865" w:type="dxa"/>
          </w:tcPr>
          <w:p w14:paraId="29D7A1CE" w14:textId="77777777" w:rsidR="002641D2" w:rsidRPr="00FA3F9C" w:rsidRDefault="002641D2" w:rsidP="000E79CF">
            <w:pPr>
              <w:spacing w:after="0" w:line="240" w:lineRule="auto"/>
              <w:rPr>
                <w:rFonts w:ascii="Arial" w:hAnsi="Arial" w:cs="Arial"/>
                <w:sz w:val="24"/>
                <w:szCs w:val="24"/>
              </w:rPr>
            </w:pPr>
            <w:r w:rsidRPr="00FA3F9C">
              <w:rPr>
                <w:rFonts w:ascii="Arial" w:hAnsi="Arial" w:cs="Arial"/>
                <w:sz w:val="24"/>
                <w:szCs w:val="24"/>
              </w:rPr>
              <w:t>10/27/2021</w:t>
            </w:r>
          </w:p>
        </w:tc>
        <w:tc>
          <w:tcPr>
            <w:tcW w:w="7740" w:type="dxa"/>
          </w:tcPr>
          <w:p w14:paraId="50672AE2" w14:textId="77777777" w:rsidR="002641D2" w:rsidRPr="00FA3F9C" w:rsidRDefault="002641D2" w:rsidP="002C6AE2">
            <w:pPr>
              <w:spacing w:after="0" w:line="240" w:lineRule="auto"/>
              <w:rPr>
                <w:rFonts w:ascii="Arial" w:hAnsi="Arial" w:cs="Arial"/>
                <w:sz w:val="24"/>
                <w:szCs w:val="24"/>
              </w:rPr>
            </w:pPr>
            <w:r w:rsidRPr="00FA3F9C">
              <w:rPr>
                <w:rFonts w:ascii="Arial" w:hAnsi="Arial" w:cs="Arial"/>
                <w:sz w:val="24"/>
                <w:szCs w:val="24"/>
              </w:rPr>
              <w:t>Criteria reviewed. No change</w:t>
            </w:r>
          </w:p>
        </w:tc>
        <w:tc>
          <w:tcPr>
            <w:tcW w:w="1728" w:type="dxa"/>
          </w:tcPr>
          <w:p w14:paraId="20E51225" w14:textId="77777777" w:rsidR="002641D2" w:rsidRPr="00FA3F9C" w:rsidRDefault="002641D2" w:rsidP="000E79CF">
            <w:pPr>
              <w:spacing w:after="0" w:line="240" w:lineRule="auto"/>
              <w:rPr>
                <w:rFonts w:ascii="Arial" w:hAnsi="Arial" w:cs="Arial"/>
                <w:sz w:val="24"/>
                <w:szCs w:val="24"/>
              </w:rPr>
            </w:pPr>
            <w:r w:rsidRPr="00FA3F9C">
              <w:rPr>
                <w:rFonts w:ascii="Arial" w:hAnsi="Arial" w:cs="Arial"/>
                <w:sz w:val="24"/>
                <w:szCs w:val="24"/>
              </w:rPr>
              <w:t>SK</w:t>
            </w:r>
          </w:p>
        </w:tc>
      </w:tr>
    </w:tbl>
    <w:p w14:paraId="08CA52C9" w14:textId="77777777" w:rsidR="002641D2" w:rsidRPr="00FA3F9C" w:rsidRDefault="002641D2" w:rsidP="008B48E4">
      <w:pPr>
        <w:spacing w:after="0"/>
        <w:rPr>
          <w:rFonts w:ascii="Arial" w:hAnsi="Arial" w:cs="Arial"/>
          <w:sz w:val="24"/>
          <w:szCs w:val="24"/>
        </w:rPr>
      </w:pPr>
    </w:p>
    <w:p w14:paraId="54D696CD" w14:textId="77777777" w:rsidR="002641D2" w:rsidRPr="00FA3F9C" w:rsidRDefault="002641D2">
      <w:pPr>
        <w:rPr>
          <w:rFonts w:ascii="Arial" w:hAnsi="Arial" w:cs="Arial"/>
          <w:sz w:val="24"/>
          <w:szCs w:val="24"/>
        </w:rPr>
      </w:pPr>
    </w:p>
    <w:p w14:paraId="5B4CA500" w14:textId="77777777" w:rsidR="002641D2" w:rsidRPr="00FA3F9C" w:rsidRDefault="002641D2" w:rsidP="005E2908">
      <w:pPr>
        <w:pStyle w:val="Heading2"/>
      </w:pPr>
      <w:bookmarkStart w:id="139" w:name="_Toc106369821"/>
      <w:proofErr w:type="spellStart"/>
      <w:r w:rsidRPr="00FA3F9C">
        <w:t>Icosapent</w:t>
      </w:r>
      <w:proofErr w:type="spellEnd"/>
      <w:r w:rsidRPr="00FA3F9C">
        <w:t xml:space="preserve"> (</w:t>
      </w:r>
      <w:proofErr w:type="spellStart"/>
      <w:r w:rsidRPr="00FA3F9C">
        <w:t>Vascepa</w:t>
      </w:r>
      <w:proofErr w:type="spellEnd"/>
      <w:r w:rsidRPr="00FA3F9C">
        <w:t>)</w:t>
      </w:r>
      <w:bookmarkEnd w:id="139"/>
    </w:p>
    <w:p w14:paraId="2662DD33" w14:textId="77777777" w:rsidR="002641D2" w:rsidRPr="00FA3F9C" w:rsidRDefault="002641D2" w:rsidP="006F623F">
      <w:pPr>
        <w:spacing w:after="0"/>
        <w:jc w:val="center"/>
        <w:rPr>
          <w:rFonts w:ascii="Arial" w:hAnsi="Arial" w:cs="Arial"/>
          <w:b/>
          <w:sz w:val="24"/>
          <w:szCs w:val="24"/>
        </w:rPr>
      </w:pPr>
      <w:r w:rsidRPr="00FA3F9C">
        <w:rPr>
          <w:rFonts w:ascii="Arial" w:hAnsi="Arial" w:cs="Arial"/>
          <w:b/>
          <w:sz w:val="24"/>
          <w:szCs w:val="24"/>
        </w:rPr>
        <w:t>EBRx PA Criteria</w:t>
      </w:r>
    </w:p>
    <w:p w14:paraId="39CCAC18" w14:textId="77777777" w:rsidR="002641D2" w:rsidRPr="00FA3F9C" w:rsidRDefault="002641D2" w:rsidP="006F623F">
      <w:pPr>
        <w:spacing w:after="0"/>
        <w:rPr>
          <w:rFonts w:ascii="Arial" w:hAnsi="Arial" w:cs="Arial"/>
          <w:b/>
          <w:sz w:val="24"/>
          <w:szCs w:val="24"/>
          <w:u w:val="single"/>
        </w:rPr>
      </w:pPr>
    </w:p>
    <w:p w14:paraId="7BF2E1E4" w14:textId="77777777" w:rsidR="002641D2" w:rsidRPr="00FA3F9C" w:rsidRDefault="002641D2" w:rsidP="005D580D">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w:t>
      </w:r>
    </w:p>
    <w:p w14:paraId="2FD0EB7A" w14:textId="77777777" w:rsidR="002641D2" w:rsidRPr="00FA3F9C" w:rsidRDefault="002641D2" w:rsidP="006B1443">
      <w:pPr>
        <w:spacing w:after="0"/>
        <w:rPr>
          <w:rFonts w:ascii="Arial" w:eastAsia="Times New Roman" w:hAnsi="Arial" w:cs="Arial"/>
          <w:sz w:val="24"/>
          <w:szCs w:val="24"/>
        </w:rPr>
      </w:pPr>
      <w:proofErr w:type="spellStart"/>
      <w:r w:rsidRPr="00FA3F9C">
        <w:rPr>
          <w:rFonts w:ascii="Arial" w:eastAsia="Times New Roman" w:hAnsi="Arial" w:cs="Arial"/>
          <w:sz w:val="24"/>
          <w:szCs w:val="24"/>
        </w:rPr>
        <w:t>Vascepa</w:t>
      </w:r>
      <w:proofErr w:type="spellEnd"/>
      <w:r w:rsidRPr="00FA3F9C">
        <w:rPr>
          <w:rFonts w:ascii="Arial" w:eastAsia="Times New Roman" w:hAnsi="Arial" w:cs="Arial"/>
          <w:sz w:val="24"/>
          <w:szCs w:val="24"/>
        </w:rPr>
        <w:t xml:space="preserve"> is an ethyl ester of </w:t>
      </w:r>
      <w:proofErr w:type="spellStart"/>
      <w:r w:rsidRPr="00FA3F9C">
        <w:rPr>
          <w:rFonts w:ascii="Arial" w:eastAsia="Times New Roman" w:hAnsi="Arial" w:cs="Arial"/>
          <w:sz w:val="24"/>
          <w:szCs w:val="24"/>
        </w:rPr>
        <w:t>eicosapentaenoic</w:t>
      </w:r>
      <w:proofErr w:type="spellEnd"/>
      <w:r w:rsidRPr="00FA3F9C">
        <w:rPr>
          <w:rFonts w:ascii="Arial" w:eastAsia="Times New Roman" w:hAnsi="Arial" w:cs="Arial"/>
          <w:sz w:val="24"/>
          <w:szCs w:val="24"/>
        </w:rPr>
        <w:t xml:space="preserve"> acid (EPA) indicated:</w:t>
      </w:r>
    </w:p>
    <w:p w14:paraId="7CE686B3" w14:textId="77777777" w:rsidR="002641D2" w:rsidRPr="00FA3F9C" w:rsidRDefault="002641D2" w:rsidP="002641D2">
      <w:pPr>
        <w:pStyle w:val="ListParagraph"/>
        <w:numPr>
          <w:ilvl w:val="0"/>
          <w:numId w:val="260"/>
        </w:numPr>
        <w:spacing w:after="0" w:line="276" w:lineRule="auto"/>
        <w:rPr>
          <w:rFonts w:ascii="Arial" w:hAnsi="Arial" w:cs="Arial"/>
          <w:sz w:val="24"/>
          <w:szCs w:val="24"/>
        </w:rPr>
      </w:pPr>
      <w:r w:rsidRPr="00FA3F9C">
        <w:rPr>
          <w:rFonts w:ascii="Arial" w:eastAsia="Times New Roman" w:hAnsi="Arial" w:cs="Arial"/>
          <w:sz w:val="24"/>
          <w:szCs w:val="24"/>
        </w:rPr>
        <w:t xml:space="preserve">as an adjunct to diet to reduce triglyceride (TG) levels in adult patients with severe (≥ 500 mg/dL) hypertriglyceridemia. Limitations of Use: •The effect of VASCEPA on the risk for pancreatitis in patients with severe hypertriglyceridemia has not been determined. </w:t>
      </w:r>
      <w:r w:rsidRPr="00FA3F9C">
        <w:rPr>
          <w:rFonts w:ascii="Arial" w:eastAsia="Times New Roman" w:hAnsi="Arial" w:cs="Arial"/>
          <w:sz w:val="24"/>
          <w:szCs w:val="24"/>
          <w:highlight w:val="yellow"/>
        </w:rPr>
        <w:t>NOT COVERED</w:t>
      </w:r>
    </w:p>
    <w:p w14:paraId="32CA89FF" w14:textId="77777777" w:rsidR="002641D2" w:rsidRPr="00FA3F9C" w:rsidRDefault="002641D2" w:rsidP="002641D2">
      <w:pPr>
        <w:pStyle w:val="ListParagraph"/>
        <w:numPr>
          <w:ilvl w:val="0"/>
          <w:numId w:val="260"/>
        </w:numPr>
        <w:spacing w:after="0" w:line="276" w:lineRule="auto"/>
        <w:rPr>
          <w:rFonts w:ascii="Arial" w:hAnsi="Arial" w:cs="Arial"/>
          <w:sz w:val="24"/>
          <w:szCs w:val="24"/>
        </w:rPr>
      </w:pPr>
      <w:r w:rsidRPr="00FA3F9C">
        <w:rPr>
          <w:rFonts w:ascii="Arial" w:hAnsi="Arial" w:cs="Arial"/>
          <w:sz w:val="24"/>
          <w:szCs w:val="24"/>
        </w:rPr>
        <w:lastRenderedPageBreak/>
        <w:t>As an adjunct to maximally tolerated statin therapy to reduce the risk of myocardial infarction, stroke, coronary revascularization, and unstable angina requiring hospitalization in adults with elevated triglyceride levels (&gt;150mg/dL) and</w:t>
      </w:r>
    </w:p>
    <w:p w14:paraId="1F1CD6FA" w14:textId="77777777" w:rsidR="002641D2" w:rsidRPr="00FA3F9C" w:rsidRDefault="002641D2" w:rsidP="002641D2">
      <w:pPr>
        <w:pStyle w:val="ListParagraph"/>
        <w:numPr>
          <w:ilvl w:val="1"/>
          <w:numId w:val="260"/>
        </w:numPr>
        <w:spacing w:after="0" w:line="276" w:lineRule="auto"/>
        <w:rPr>
          <w:rFonts w:ascii="Arial" w:hAnsi="Arial" w:cs="Arial"/>
          <w:sz w:val="24"/>
          <w:szCs w:val="24"/>
        </w:rPr>
      </w:pPr>
      <w:r w:rsidRPr="00FA3F9C">
        <w:rPr>
          <w:rFonts w:ascii="Arial" w:hAnsi="Arial" w:cs="Arial"/>
          <w:sz w:val="24"/>
          <w:szCs w:val="24"/>
        </w:rPr>
        <w:t>Established cardiovascular disease or</w:t>
      </w:r>
    </w:p>
    <w:p w14:paraId="306FF868" w14:textId="77777777" w:rsidR="002641D2" w:rsidRPr="00FA3F9C" w:rsidRDefault="002641D2" w:rsidP="002641D2">
      <w:pPr>
        <w:pStyle w:val="ListParagraph"/>
        <w:numPr>
          <w:ilvl w:val="1"/>
          <w:numId w:val="260"/>
        </w:numPr>
        <w:spacing w:after="0" w:line="276" w:lineRule="auto"/>
        <w:rPr>
          <w:rFonts w:ascii="Arial" w:hAnsi="Arial" w:cs="Arial"/>
          <w:sz w:val="24"/>
          <w:szCs w:val="24"/>
        </w:rPr>
      </w:pPr>
      <w:r w:rsidRPr="00FA3F9C">
        <w:rPr>
          <w:rFonts w:ascii="Arial" w:hAnsi="Arial" w:cs="Arial"/>
          <w:sz w:val="24"/>
          <w:szCs w:val="24"/>
        </w:rPr>
        <w:t>T2DM + 2 or more additional CV disease risk factors.</w:t>
      </w:r>
    </w:p>
    <w:tbl>
      <w:tblPr>
        <w:tblStyle w:val="TableGrid"/>
        <w:tblW w:w="0" w:type="auto"/>
        <w:tblLook w:val="04A0" w:firstRow="1" w:lastRow="0" w:firstColumn="1" w:lastColumn="0" w:noHBand="0" w:noVBand="1"/>
      </w:tblPr>
      <w:tblGrid>
        <w:gridCol w:w="8748"/>
        <w:gridCol w:w="2042"/>
      </w:tblGrid>
      <w:tr w:rsidR="002641D2" w:rsidRPr="00FA3F9C" w14:paraId="019380AF" w14:textId="77777777" w:rsidTr="005D580D">
        <w:tc>
          <w:tcPr>
            <w:tcW w:w="8748" w:type="dxa"/>
            <w:shd w:val="clear" w:color="auto" w:fill="000000"/>
          </w:tcPr>
          <w:p w14:paraId="5299817A" w14:textId="77777777" w:rsidR="002641D2" w:rsidRPr="00FA3F9C" w:rsidRDefault="002641D2"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42" w:type="dxa"/>
            <w:shd w:val="clear" w:color="auto" w:fill="000000"/>
          </w:tcPr>
          <w:p w14:paraId="6608FB09" w14:textId="77777777" w:rsidR="002641D2" w:rsidRPr="00FA3F9C" w:rsidRDefault="002641D2" w:rsidP="006F623F">
            <w:pPr>
              <w:jc w:val="center"/>
              <w:rPr>
                <w:rFonts w:ascii="Arial" w:hAnsi="Arial" w:cs="Arial"/>
                <w:b/>
                <w:sz w:val="24"/>
                <w:szCs w:val="24"/>
                <w:u w:val="single"/>
              </w:rPr>
            </w:pPr>
          </w:p>
        </w:tc>
      </w:tr>
      <w:tr w:rsidR="002641D2" w:rsidRPr="00FA3F9C" w14:paraId="00DB62A9" w14:textId="77777777" w:rsidTr="005D580D">
        <w:tc>
          <w:tcPr>
            <w:tcW w:w="10790" w:type="dxa"/>
            <w:gridSpan w:val="2"/>
          </w:tcPr>
          <w:p w14:paraId="12BC6915" w14:textId="77777777" w:rsidR="002641D2" w:rsidRPr="00FA3F9C" w:rsidRDefault="002641D2" w:rsidP="006F623F">
            <w:pPr>
              <w:rPr>
                <w:rFonts w:ascii="Arial" w:hAnsi="Arial" w:cs="Arial"/>
                <w:sz w:val="24"/>
                <w:szCs w:val="24"/>
              </w:rPr>
            </w:pPr>
            <w:r w:rsidRPr="00FA3F9C">
              <w:rPr>
                <w:rFonts w:ascii="Arial" w:hAnsi="Arial" w:cs="Arial"/>
                <w:sz w:val="24"/>
                <w:szCs w:val="24"/>
              </w:rPr>
              <w:t xml:space="preserve">1. Patient must be </w:t>
            </w:r>
            <w:r w:rsidRPr="00FA3F9C">
              <w:rPr>
                <w:rFonts w:ascii="Arial" w:hAnsi="Arial" w:cs="Arial"/>
                <w:sz w:val="24"/>
                <w:szCs w:val="24"/>
                <w:u w:val="single"/>
              </w:rPr>
              <w:t>&gt;</w:t>
            </w:r>
            <w:r w:rsidRPr="00FA3F9C">
              <w:rPr>
                <w:rFonts w:ascii="Arial" w:hAnsi="Arial" w:cs="Arial"/>
                <w:sz w:val="24"/>
                <w:szCs w:val="24"/>
              </w:rPr>
              <w:t xml:space="preserve">45 years old with established cardiovascular disease (coronary artery disease, cerebrovascular or carotid disease, peripheral artery disease) </w:t>
            </w:r>
          </w:p>
          <w:p w14:paraId="61180440" w14:textId="77777777" w:rsidR="002641D2" w:rsidRPr="00FA3F9C" w:rsidRDefault="002641D2" w:rsidP="006F623F">
            <w:pPr>
              <w:rPr>
                <w:rFonts w:ascii="Arial" w:hAnsi="Arial" w:cs="Arial"/>
                <w:b/>
                <w:sz w:val="24"/>
                <w:szCs w:val="24"/>
                <w:u w:val="single"/>
              </w:rPr>
            </w:pPr>
            <w:r w:rsidRPr="00FA3F9C">
              <w:rPr>
                <w:rFonts w:ascii="Arial" w:hAnsi="Arial" w:cs="Arial"/>
                <w:b/>
                <w:sz w:val="24"/>
                <w:szCs w:val="24"/>
                <w:u w:val="single"/>
              </w:rPr>
              <w:t>OR</w:t>
            </w:r>
          </w:p>
          <w:p w14:paraId="7167E460" w14:textId="77777777" w:rsidR="002641D2" w:rsidRPr="00FA3F9C" w:rsidRDefault="002641D2" w:rsidP="006F623F">
            <w:pPr>
              <w:rPr>
                <w:rFonts w:ascii="Arial" w:hAnsi="Arial" w:cs="Arial"/>
                <w:sz w:val="24"/>
                <w:szCs w:val="24"/>
              </w:rPr>
            </w:pPr>
            <w:r w:rsidRPr="00FA3F9C">
              <w:rPr>
                <w:rFonts w:ascii="Arial" w:hAnsi="Arial" w:cs="Arial"/>
                <w:sz w:val="24"/>
                <w:szCs w:val="24"/>
              </w:rPr>
              <w:t xml:space="preserve">Patient must be </w:t>
            </w:r>
            <w:r w:rsidRPr="00FA3F9C">
              <w:rPr>
                <w:rFonts w:ascii="Arial" w:hAnsi="Arial" w:cs="Arial"/>
                <w:sz w:val="24"/>
                <w:szCs w:val="24"/>
                <w:u w:val="single"/>
              </w:rPr>
              <w:t>&gt;</w:t>
            </w:r>
            <w:r w:rsidRPr="00FA3F9C">
              <w:rPr>
                <w:rFonts w:ascii="Arial" w:hAnsi="Arial" w:cs="Arial"/>
                <w:sz w:val="24"/>
                <w:szCs w:val="24"/>
              </w:rPr>
              <w:t xml:space="preserve">50 years old </w:t>
            </w:r>
            <w:r w:rsidRPr="00FA3F9C">
              <w:rPr>
                <w:rFonts w:ascii="Arial" w:hAnsi="Arial" w:cs="Arial"/>
                <w:sz w:val="24"/>
                <w:szCs w:val="24"/>
                <w:u w:val="single"/>
              </w:rPr>
              <w:t>and</w:t>
            </w:r>
            <w:r w:rsidRPr="00FA3F9C">
              <w:rPr>
                <w:rFonts w:ascii="Arial" w:hAnsi="Arial" w:cs="Arial"/>
                <w:sz w:val="24"/>
                <w:szCs w:val="24"/>
              </w:rPr>
              <w:t xml:space="preserve"> with diabetes mellitus (requiring drug treatment) </w:t>
            </w:r>
            <w:r w:rsidRPr="00FA3F9C">
              <w:rPr>
                <w:rFonts w:ascii="Arial" w:hAnsi="Arial" w:cs="Arial"/>
                <w:b/>
                <w:sz w:val="24"/>
                <w:szCs w:val="24"/>
                <w:u w:val="single"/>
              </w:rPr>
              <w:t>plus</w:t>
            </w:r>
            <w:r w:rsidRPr="00FA3F9C">
              <w:rPr>
                <w:rFonts w:ascii="Arial" w:hAnsi="Arial" w:cs="Arial"/>
                <w:sz w:val="24"/>
                <w:szCs w:val="24"/>
              </w:rPr>
              <w:t xml:space="preserve"> at least one of these additional risk factors:</w:t>
            </w:r>
          </w:p>
          <w:p w14:paraId="39B12638" w14:textId="77777777" w:rsidR="002641D2" w:rsidRPr="00FA3F9C" w:rsidRDefault="002641D2" w:rsidP="002641D2">
            <w:pPr>
              <w:pStyle w:val="ListParagraph"/>
              <w:numPr>
                <w:ilvl w:val="0"/>
                <w:numId w:val="259"/>
              </w:numPr>
              <w:rPr>
                <w:rFonts w:ascii="Arial" w:hAnsi="Arial" w:cs="Arial"/>
                <w:sz w:val="24"/>
                <w:szCs w:val="24"/>
              </w:rPr>
            </w:pPr>
            <w:r w:rsidRPr="00FA3F9C">
              <w:rPr>
                <w:rFonts w:ascii="Arial" w:hAnsi="Arial" w:cs="Arial"/>
                <w:sz w:val="24"/>
                <w:szCs w:val="24"/>
              </w:rPr>
              <w:t xml:space="preserve">Men </w:t>
            </w:r>
            <w:r w:rsidRPr="00FA3F9C">
              <w:rPr>
                <w:rFonts w:ascii="Arial" w:hAnsi="Arial" w:cs="Arial"/>
                <w:sz w:val="24"/>
                <w:szCs w:val="24"/>
                <w:u w:val="single"/>
              </w:rPr>
              <w:t>&gt;</w:t>
            </w:r>
            <w:r w:rsidRPr="00FA3F9C">
              <w:rPr>
                <w:rFonts w:ascii="Arial" w:hAnsi="Arial" w:cs="Arial"/>
                <w:sz w:val="24"/>
                <w:szCs w:val="24"/>
              </w:rPr>
              <w:t xml:space="preserve">age 55 or women </w:t>
            </w:r>
            <w:r w:rsidRPr="00FA3F9C">
              <w:rPr>
                <w:rFonts w:ascii="Arial" w:hAnsi="Arial" w:cs="Arial"/>
                <w:sz w:val="24"/>
                <w:szCs w:val="24"/>
                <w:u w:val="single"/>
              </w:rPr>
              <w:t>&gt;</w:t>
            </w:r>
            <w:r w:rsidRPr="00FA3F9C">
              <w:rPr>
                <w:rFonts w:ascii="Arial" w:hAnsi="Arial" w:cs="Arial"/>
                <w:sz w:val="24"/>
                <w:szCs w:val="24"/>
              </w:rPr>
              <w:t>65</w:t>
            </w:r>
          </w:p>
          <w:p w14:paraId="5C14092F" w14:textId="77777777" w:rsidR="002641D2" w:rsidRPr="00FA3F9C" w:rsidRDefault="002641D2" w:rsidP="002641D2">
            <w:pPr>
              <w:pStyle w:val="ListParagraph"/>
              <w:numPr>
                <w:ilvl w:val="0"/>
                <w:numId w:val="259"/>
              </w:numPr>
              <w:rPr>
                <w:rFonts w:ascii="Arial" w:hAnsi="Arial" w:cs="Arial"/>
                <w:sz w:val="24"/>
                <w:szCs w:val="24"/>
              </w:rPr>
            </w:pPr>
            <w:r w:rsidRPr="00FA3F9C">
              <w:rPr>
                <w:rFonts w:ascii="Arial" w:hAnsi="Arial" w:cs="Arial"/>
                <w:sz w:val="24"/>
                <w:szCs w:val="24"/>
              </w:rPr>
              <w:t xml:space="preserve">Hypertension (BP </w:t>
            </w:r>
            <w:r w:rsidRPr="00FA3F9C">
              <w:rPr>
                <w:rFonts w:ascii="Arial" w:hAnsi="Arial" w:cs="Arial"/>
                <w:sz w:val="24"/>
                <w:szCs w:val="24"/>
                <w:u w:val="single"/>
              </w:rPr>
              <w:t>&gt;</w:t>
            </w:r>
            <w:r w:rsidRPr="00FA3F9C">
              <w:rPr>
                <w:rFonts w:ascii="Arial" w:hAnsi="Arial" w:cs="Arial"/>
                <w:sz w:val="24"/>
                <w:szCs w:val="24"/>
              </w:rPr>
              <w:t xml:space="preserve">140 mmHg systolic OR </w:t>
            </w:r>
            <w:r w:rsidRPr="00FA3F9C">
              <w:rPr>
                <w:rFonts w:ascii="Arial" w:hAnsi="Arial" w:cs="Arial"/>
                <w:sz w:val="24"/>
                <w:szCs w:val="24"/>
                <w:u w:val="single"/>
              </w:rPr>
              <w:t>&gt;</w:t>
            </w:r>
            <w:r w:rsidRPr="00FA3F9C">
              <w:rPr>
                <w:rFonts w:ascii="Arial" w:hAnsi="Arial" w:cs="Arial"/>
                <w:sz w:val="24"/>
                <w:szCs w:val="24"/>
              </w:rPr>
              <w:t>90mmHg diastolic), or on antihypertensive medication</w:t>
            </w:r>
          </w:p>
          <w:p w14:paraId="07B13DEC" w14:textId="77777777" w:rsidR="002641D2" w:rsidRPr="00FA3F9C" w:rsidRDefault="002641D2" w:rsidP="002641D2">
            <w:pPr>
              <w:pStyle w:val="ListParagraph"/>
              <w:numPr>
                <w:ilvl w:val="0"/>
                <w:numId w:val="259"/>
              </w:numPr>
              <w:rPr>
                <w:rFonts w:ascii="Arial" w:hAnsi="Arial" w:cs="Arial"/>
                <w:sz w:val="24"/>
                <w:szCs w:val="24"/>
              </w:rPr>
            </w:pPr>
            <w:r w:rsidRPr="00FA3F9C">
              <w:rPr>
                <w:rFonts w:ascii="Arial" w:hAnsi="Arial" w:cs="Arial"/>
                <w:sz w:val="24"/>
                <w:szCs w:val="24"/>
              </w:rPr>
              <w:t xml:space="preserve">HDL-C </w:t>
            </w:r>
            <w:r w:rsidRPr="00FA3F9C">
              <w:rPr>
                <w:rFonts w:ascii="Arial" w:hAnsi="Arial" w:cs="Arial"/>
                <w:sz w:val="24"/>
                <w:szCs w:val="24"/>
                <w:u w:val="single"/>
              </w:rPr>
              <w:t>&lt;</w:t>
            </w:r>
            <w:r w:rsidRPr="00FA3F9C">
              <w:rPr>
                <w:rFonts w:ascii="Arial" w:hAnsi="Arial" w:cs="Arial"/>
                <w:sz w:val="24"/>
                <w:szCs w:val="24"/>
              </w:rPr>
              <w:t xml:space="preserve">40mg/dL for men or </w:t>
            </w:r>
            <w:r w:rsidRPr="00FA3F9C">
              <w:rPr>
                <w:rFonts w:ascii="Arial" w:hAnsi="Arial" w:cs="Arial"/>
                <w:sz w:val="24"/>
                <w:szCs w:val="24"/>
                <w:u w:val="single"/>
              </w:rPr>
              <w:t>&lt;</w:t>
            </w:r>
            <w:r w:rsidRPr="00FA3F9C">
              <w:rPr>
                <w:rFonts w:ascii="Arial" w:hAnsi="Arial" w:cs="Arial"/>
                <w:sz w:val="24"/>
                <w:szCs w:val="24"/>
              </w:rPr>
              <w:t>50mg/dL for women</w:t>
            </w:r>
          </w:p>
          <w:p w14:paraId="35A14527" w14:textId="77777777" w:rsidR="002641D2" w:rsidRPr="00FA3F9C" w:rsidRDefault="002641D2" w:rsidP="002641D2">
            <w:pPr>
              <w:pStyle w:val="ListParagraph"/>
              <w:numPr>
                <w:ilvl w:val="0"/>
                <w:numId w:val="259"/>
              </w:numPr>
              <w:rPr>
                <w:rFonts w:ascii="Arial" w:hAnsi="Arial" w:cs="Arial"/>
                <w:sz w:val="24"/>
                <w:szCs w:val="24"/>
              </w:rPr>
            </w:pPr>
            <w:r w:rsidRPr="00FA3F9C">
              <w:rPr>
                <w:rFonts w:ascii="Arial" w:hAnsi="Arial" w:cs="Arial"/>
                <w:sz w:val="24"/>
                <w:szCs w:val="24"/>
              </w:rPr>
              <w:t>Hs-CRP&gt;3 mg/L</w:t>
            </w:r>
          </w:p>
          <w:p w14:paraId="06E6A869" w14:textId="77777777" w:rsidR="002641D2" w:rsidRPr="00FA3F9C" w:rsidRDefault="002641D2" w:rsidP="002641D2">
            <w:pPr>
              <w:pStyle w:val="ListParagraph"/>
              <w:numPr>
                <w:ilvl w:val="0"/>
                <w:numId w:val="259"/>
              </w:numPr>
              <w:rPr>
                <w:rFonts w:ascii="Arial" w:hAnsi="Arial" w:cs="Arial"/>
                <w:sz w:val="24"/>
                <w:szCs w:val="24"/>
              </w:rPr>
            </w:pPr>
            <w:r w:rsidRPr="00FA3F9C">
              <w:rPr>
                <w:rFonts w:ascii="Arial" w:hAnsi="Arial" w:cs="Arial"/>
                <w:sz w:val="24"/>
                <w:szCs w:val="24"/>
              </w:rPr>
              <w:t>Renal dysfunction: Creatinine clearance &gt;30 and &lt;60mL/min</w:t>
            </w:r>
          </w:p>
          <w:p w14:paraId="59D7834F" w14:textId="77777777" w:rsidR="002641D2" w:rsidRPr="00FA3F9C" w:rsidRDefault="002641D2" w:rsidP="002641D2">
            <w:pPr>
              <w:pStyle w:val="ListParagraph"/>
              <w:numPr>
                <w:ilvl w:val="0"/>
                <w:numId w:val="259"/>
              </w:numPr>
              <w:rPr>
                <w:rFonts w:ascii="Arial" w:hAnsi="Arial" w:cs="Arial"/>
                <w:sz w:val="24"/>
                <w:szCs w:val="24"/>
              </w:rPr>
            </w:pPr>
            <w:r w:rsidRPr="00FA3F9C">
              <w:rPr>
                <w:rFonts w:ascii="Arial" w:hAnsi="Arial" w:cs="Arial"/>
                <w:sz w:val="24"/>
                <w:szCs w:val="24"/>
              </w:rPr>
              <w:t xml:space="preserve">Retinopathy, defined as any: non-proliferative retinopathy, </w:t>
            </w:r>
            <w:proofErr w:type="spellStart"/>
            <w:r w:rsidRPr="00FA3F9C">
              <w:rPr>
                <w:rFonts w:ascii="Arial" w:hAnsi="Arial" w:cs="Arial"/>
                <w:sz w:val="24"/>
                <w:szCs w:val="24"/>
              </w:rPr>
              <w:t>preproliferative</w:t>
            </w:r>
            <w:proofErr w:type="spellEnd"/>
            <w:r w:rsidRPr="00FA3F9C">
              <w:rPr>
                <w:rFonts w:ascii="Arial" w:hAnsi="Arial" w:cs="Arial"/>
                <w:sz w:val="24"/>
                <w:szCs w:val="24"/>
              </w:rPr>
              <w:t xml:space="preserve"> retinopathy, proliferative retinopathy, maculopathy, advanced diabetic eye disease or a history of </w:t>
            </w:r>
            <w:proofErr w:type="gramStart"/>
            <w:r w:rsidRPr="00FA3F9C">
              <w:rPr>
                <w:rFonts w:ascii="Arial" w:hAnsi="Arial" w:cs="Arial"/>
                <w:sz w:val="24"/>
                <w:szCs w:val="24"/>
              </w:rPr>
              <w:t>photocoagulation;</w:t>
            </w:r>
            <w:proofErr w:type="gramEnd"/>
          </w:p>
          <w:p w14:paraId="3BD54C42" w14:textId="77777777" w:rsidR="002641D2" w:rsidRPr="00FA3F9C" w:rsidRDefault="002641D2" w:rsidP="002641D2">
            <w:pPr>
              <w:pStyle w:val="ListParagraph"/>
              <w:numPr>
                <w:ilvl w:val="0"/>
                <w:numId w:val="259"/>
              </w:numPr>
              <w:rPr>
                <w:rFonts w:ascii="Arial" w:hAnsi="Arial" w:cs="Arial"/>
                <w:sz w:val="24"/>
                <w:szCs w:val="24"/>
              </w:rPr>
            </w:pPr>
            <w:r w:rsidRPr="00FA3F9C">
              <w:rPr>
                <w:rFonts w:ascii="Arial" w:hAnsi="Arial" w:cs="Arial"/>
                <w:sz w:val="24"/>
                <w:szCs w:val="24"/>
              </w:rPr>
              <w:t xml:space="preserve">Micro- or macroalbuminuria. Microalbuminuria is defined as either a positive </w:t>
            </w:r>
            <w:proofErr w:type="spellStart"/>
            <w:r w:rsidRPr="00FA3F9C">
              <w:rPr>
                <w:rFonts w:ascii="Arial" w:hAnsi="Arial" w:cs="Arial"/>
                <w:sz w:val="24"/>
                <w:szCs w:val="24"/>
              </w:rPr>
              <w:t>micral</w:t>
            </w:r>
            <w:proofErr w:type="spellEnd"/>
            <w:r w:rsidRPr="00FA3F9C">
              <w:rPr>
                <w:rFonts w:ascii="Arial" w:hAnsi="Arial" w:cs="Arial"/>
                <w:sz w:val="24"/>
                <w:szCs w:val="24"/>
              </w:rPr>
              <w:t xml:space="preserve"> or other strip test, an albumin /creatinine ratio ≥2.5 mg/mmol or an albumin excretion r ate on timed collection ≥20 mg/min all on at least two successive occasions; macroalbuminuria, defined as </w:t>
            </w:r>
            <w:proofErr w:type="spellStart"/>
            <w:r w:rsidRPr="00FA3F9C">
              <w:rPr>
                <w:rFonts w:ascii="Arial" w:hAnsi="Arial" w:cs="Arial"/>
                <w:sz w:val="24"/>
                <w:szCs w:val="24"/>
              </w:rPr>
              <w:t>albustix</w:t>
            </w:r>
            <w:proofErr w:type="spellEnd"/>
            <w:r w:rsidRPr="00FA3F9C">
              <w:rPr>
                <w:rFonts w:ascii="Arial" w:hAnsi="Arial" w:cs="Arial"/>
                <w:sz w:val="24"/>
                <w:szCs w:val="24"/>
              </w:rPr>
              <w:t xml:space="preserve"> or other dipstick evidence of gross proteinuria, an album in/creatinine ratio ≥25 mg/mmol or an albumin excretion rate on timed collection ≥200 mg/min all on at least two successive occasions; </w:t>
            </w:r>
          </w:p>
        </w:tc>
      </w:tr>
      <w:tr w:rsidR="002641D2" w:rsidRPr="00FA3F9C" w14:paraId="5FC12E12" w14:textId="77777777" w:rsidTr="005D580D">
        <w:tc>
          <w:tcPr>
            <w:tcW w:w="10790" w:type="dxa"/>
            <w:gridSpan w:val="2"/>
          </w:tcPr>
          <w:p w14:paraId="7B64A955" w14:textId="77777777" w:rsidR="002641D2" w:rsidRPr="00FA3F9C" w:rsidRDefault="002641D2" w:rsidP="006F623F">
            <w:pPr>
              <w:rPr>
                <w:rFonts w:ascii="Arial" w:hAnsi="Arial" w:cs="Arial"/>
                <w:sz w:val="24"/>
                <w:szCs w:val="24"/>
              </w:rPr>
            </w:pPr>
            <w:r w:rsidRPr="00FA3F9C">
              <w:rPr>
                <w:rFonts w:ascii="Arial" w:hAnsi="Arial" w:cs="Arial"/>
                <w:sz w:val="24"/>
                <w:szCs w:val="24"/>
              </w:rPr>
              <w:t>2. Patient must have a fasting triglyceride level of 200 to 499 mg/dL.</w:t>
            </w:r>
          </w:p>
        </w:tc>
      </w:tr>
      <w:tr w:rsidR="002641D2" w:rsidRPr="00FA3F9C" w14:paraId="5F0C8AD2" w14:textId="77777777" w:rsidTr="005D580D">
        <w:tc>
          <w:tcPr>
            <w:tcW w:w="10790" w:type="dxa"/>
            <w:gridSpan w:val="2"/>
          </w:tcPr>
          <w:p w14:paraId="1111483A" w14:textId="77777777" w:rsidR="002641D2" w:rsidRPr="00FA3F9C" w:rsidRDefault="002641D2" w:rsidP="006F623F">
            <w:pPr>
              <w:rPr>
                <w:rFonts w:ascii="Arial" w:hAnsi="Arial" w:cs="Arial"/>
                <w:sz w:val="24"/>
                <w:szCs w:val="24"/>
              </w:rPr>
            </w:pPr>
            <w:r w:rsidRPr="00FA3F9C">
              <w:rPr>
                <w:rFonts w:ascii="Arial" w:hAnsi="Arial" w:cs="Arial"/>
                <w:sz w:val="24"/>
                <w:szCs w:val="24"/>
              </w:rPr>
              <w:t xml:space="preserve">3. Patient must have </w:t>
            </w:r>
            <w:proofErr w:type="gramStart"/>
            <w:r w:rsidRPr="00FA3F9C">
              <w:rPr>
                <w:rFonts w:ascii="Arial" w:hAnsi="Arial" w:cs="Arial"/>
                <w:sz w:val="24"/>
                <w:szCs w:val="24"/>
              </w:rPr>
              <w:t>a</w:t>
            </w:r>
            <w:proofErr w:type="gramEnd"/>
            <w:r w:rsidRPr="00FA3F9C">
              <w:rPr>
                <w:rFonts w:ascii="Arial" w:hAnsi="Arial" w:cs="Arial"/>
                <w:sz w:val="24"/>
                <w:szCs w:val="24"/>
              </w:rPr>
              <w:t xml:space="preserve"> LDL cholesterol level of 41 to 100mg/dL.</w:t>
            </w:r>
          </w:p>
        </w:tc>
      </w:tr>
      <w:tr w:rsidR="002641D2" w:rsidRPr="00FA3F9C" w14:paraId="6A92BF4F" w14:textId="77777777" w:rsidTr="005D580D">
        <w:tc>
          <w:tcPr>
            <w:tcW w:w="10790" w:type="dxa"/>
            <w:gridSpan w:val="2"/>
          </w:tcPr>
          <w:p w14:paraId="7F368B81" w14:textId="77777777" w:rsidR="002641D2" w:rsidRPr="00FA3F9C" w:rsidRDefault="002641D2" w:rsidP="006F623F">
            <w:pPr>
              <w:rPr>
                <w:rFonts w:ascii="Arial" w:hAnsi="Arial" w:cs="Arial"/>
                <w:sz w:val="24"/>
                <w:szCs w:val="24"/>
              </w:rPr>
            </w:pPr>
            <w:r w:rsidRPr="00FA3F9C">
              <w:rPr>
                <w:rFonts w:ascii="Arial" w:hAnsi="Arial" w:cs="Arial"/>
                <w:sz w:val="24"/>
                <w:szCs w:val="24"/>
              </w:rPr>
              <w:t>4. Patient must be receiving a stable dose of a statin (with or without ezetimibe) for at least 4 weeks</w:t>
            </w:r>
          </w:p>
        </w:tc>
      </w:tr>
      <w:tr w:rsidR="002641D2" w:rsidRPr="00FA3F9C" w14:paraId="2531C740" w14:textId="77777777" w:rsidTr="005D580D">
        <w:tblPrEx>
          <w:shd w:val="clear" w:color="auto" w:fill="BFBFBF" w:themeFill="background1" w:themeFillShade="BF"/>
        </w:tblPrEx>
        <w:tc>
          <w:tcPr>
            <w:tcW w:w="10790" w:type="dxa"/>
            <w:gridSpan w:val="2"/>
            <w:shd w:val="clear" w:color="auto" w:fill="BFBFBF" w:themeFill="background1" w:themeFillShade="BF"/>
          </w:tcPr>
          <w:p w14:paraId="1AC225D3" w14:textId="77777777" w:rsidR="002641D2" w:rsidRPr="00FA3F9C" w:rsidRDefault="002641D2" w:rsidP="00D82B6E">
            <w:pPr>
              <w:rPr>
                <w:rFonts w:ascii="Arial" w:hAnsi="Arial" w:cs="Arial"/>
                <w:sz w:val="24"/>
                <w:szCs w:val="24"/>
              </w:rPr>
            </w:pPr>
            <w:r w:rsidRPr="00FA3F9C">
              <w:rPr>
                <w:rFonts w:ascii="Arial" w:hAnsi="Arial" w:cs="Arial"/>
                <w:sz w:val="24"/>
                <w:szCs w:val="24"/>
              </w:rPr>
              <w:t xml:space="preserve">Note: </w:t>
            </w:r>
            <w:proofErr w:type="spellStart"/>
            <w:r w:rsidRPr="00FA3F9C">
              <w:rPr>
                <w:rFonts w:ascii="Arial" w:hAnsi="Arial" w:cs="Arial"/>
                <w:sz w:val="24"/>
                <w:szCs w:val="24"/>
              </w:rPr>
              <w:t>Vascepa</w:t>
            </w:r>
            <w:proofErr w:type="spellEnd"/>
            <w:r w:rsidRPr="00FA3F9C">
              <w:rPr>
                <w:rFonts w:ascii="Arial" w:hAnsi="Arial" w:cs="Arial"/>
                <w:sz w:val="24"/>
                <w:szCs w:val="24"/>
              </w:rPr>
              <w:t xml:space="preserve"> comes in 0.5g and 1g capsules.  The dose is 2g BID with meals.</w:t>
            </w:r>
          </w:p>
        </w:tc>
      </w:tr>
    </w:tbl>
    <w:p w14:paraId="01B5B38D" w14:textId="77777777" w:rsidR="002641D2" w:rsidRPr="00FA3F9C" w:rsidRDefault="002641D2" w:rsidP="006F623F">
      <w:pPr>
        <w:spacing w:after="0"/>
        <w:rPr>
          <w:rFonts w:ascii="Arial" w:hAnsi="Arial" w:cs="Arial"/>
          <w:sz w:val="24"/>
          <w:szCs w:val="24"/>
        </w:rPr>
      </w:pPr>
      <w:r w:rsidRPr="00FA3F9C">
        <w:rPr>
          <w:rFonts w:ascii="Arial" w:hAnsi="Arial" w:cs="Arial"/>
          <w:sz w:val="24"/>
          <w:szCs w:val="24"/>
        </w:rPr>
        <w:t xml:space="preserve">Quantity Limits: For 1g capsules: 120/30d, for 0.5g capsules: 240/30d.  The 1g capsules should be used </w:t>
      </w:r>
      <w:proofErr w:type="gramStart"/>
      <w:r w:rsidRPr="00FA3F9C">
        <w:rPr>
          <w:rFonts w:ascii="Arial" w:hAnsi="Arial" w:cs="Arial"/>
          <w:sz w:val="24"/>
          <w:szCs w:val="24"/>
        </w:rPr>
        <w:t>if at all possible</w:t>
      </w:r>
      <w:proofErr w:type="gramEnd"/>
      <w:r w:rsidRPr="00FA3F9C">
        <w:rPr>
          <w:rFonts w:ascii="Arial" w:hAnsi="Arial" w:cs="Arial"/>
          <w:sz w:val="24"/>
          <w:szCs w:val="24"/>
        </w:rPr>
        <w:t xml:space="preserve"> due to dose optimization (the 0.5g capsules are more expensive for making a 4g dose than the 1g capsules.)</w:t>
      </w:r>
    </w:p>
    <w:p w14:paraId="32B5DEC6" w14:textId="77777777" w:rsidR="002641D2" w:rsidRPr="00FA3F9C" w:rsidRDefault="002641D2" w:rsidP="006F623F">
      <w:pPr>
        <w:spacing w:after="0"/>
        <w:rPr>
          <w:rFonts w:ascii="Arial" w:hAnsi="Arial" w:cs="Arial"/>
          <w:sz w:val="24"/>
          <w:szCs w:val="24"/>
        </w:rPr>
      </w:pPr>
    </w:p>
    <w:p w14:paraId="06300E67" w14:textId="77777777" w:rsidR="002641D2" w:rsidRPr="00FA3F9C" w:rsidRDefault="002641D2" w:rsidP="006F623F">
      <w:pPr>
        <w:spacing w:after="0"/>
        <w:rPr>
          <w:rFonts w:ascii="Arial" w:hAnsi="Arial" w:cs="Arial"/>
          <w:sz w:val="24"/>
          <w:szCs w:val="24"/>
        </w:rPr>
      </w:pPr>
      <w:r w:rsidRPr="00FA3F9C">
        <w:rPr>
          <w:rFonts w:ascii="Arial" w:hAnsi="Arial" w:cs="Arial"/>
          <w:sz w:val="24"/>
          <w:szCs w:val="24"/>
        </w:rPr>
        <w:lastRenderedPageBreak/>
        <w:t>Revision History:</w:t>
      </w:r>
    </w:p>
    <w:tbl>
      <w:tblPr>
        <w:tblStyle w:val="TableGrid"/>
        <w:tblW w:w="0" w:type="auto"/>
        <w:tblLook w:val="04A0" w:firstRow="1" w:lastRow="0" w:firstColumn="1" w:lastColumn="0" w:noHBand="0" w:noVBand="1"/>
      </w:tblPr>
      <w:tblGrid>
        <w:gridCol w:w="1017"/>
        <w:gridCol w:w="7719"/>
        <w:gridCol w:w="2065"/>
      </w:tblGrid>
      <w:tr w:rsidR="002641D2" w:rsidRPr="00FA3F9C" w14:paraId="309EB322" w14:textId="77777777" w:rsidTr="006B1443">
        <w:tc>
          <w:tcPr>
            <w:tcW w:w="1006" w:type="dxa"/>
          </w:tcPr>
          <w:p w14:paraId="7CA53FEF" w14:textId="77777777" w:rsidR="002641D2" w:rsidRPr="00FA3F9C" w:rsidRDefault="002641D2" w:rsidP="006F623F">
            <w:pPr>
              <w:rPr>
                <w:rFonts w:ascii="Arial" w:hAnsi="Arial" w:cs="Arial"/>
                <w:sz w:val="24"/>
                <w:szCs w:val="24"/>
              </w:rPr>
            </w:pPr>
            <w:r w:rsidRPr="00FA3F9C">
              <w:rPr>
                <w:rFonts w:ascii="Arial" w:hAnsi="Arial" w:cs="Arial"/>
                <w:sz w:val="24"/>
                <w:szCs w:val="24"/>
              </w:rPr>
              <w:t>Date</w:t>
            </w:r>
          </w:p>
        </w:tc>
        <w:tc>
          <w:tcPr>
            <w:tcW w:w="7719" w:type="dxa"/>
          </w:tcPr>
          <w:p w14:paraId="6A92AEB4" w14:textId="77777777" w:rsidR="002641D2" w:rsidRPr="00FA3F9C" w:rsidRDefault="002641D2" w:rsidP="006F623F">
            <w:pPr>
              <w:rPr>
                <w:rFonts w:ascii="Arial" w:hAnsi="Arial" w:cs="Arial"/>
                <w:sz w:val="24"/>
                <w:szCs w:val="24"/>
              </w:rPr>
            </w:pPr>
            <w:r w:rsidRPr="00FA3F9C">
              <w:rPr>
                <w:rFonts w:ascii="Arial" w:hAnsi="Arial" w:cs="Arial"/>
                <w:sz w:val="24"/>
                <w:szCs w:val="24"/>
              </w:rPr>
              <w:t>What changed</w:t>
            </w:r>
          </w:p>
        </w:tc>
        <w:tc>
          <w:tcPr>
            <w:tcW w:w="2065" w:type="dxa"/>
          </w:tcPr>
          <w:p w14:paraId="18452B66" w14:textId="77777777" w:rsidR="002641D2" w:rsidRPr="00FA3F9C" w:rsidRDefault="002641D2" w:rsidP="006F623F">
            <w:pPr>
              <w:rPr>
                <w:rFonts w:ascii="Arial" w:hAnsi="Arial" w:cs="Arial"/>
                <w:sz w:val="24"/>
                <w:szCs w:val="24"/>
              </w:rPr>
            </w:pPr>
            <w:r w:rsidRPr="00FA3F9C">
              <w:rPr>
                <w:rFonts w:ascii="Arial" w:hAnsi="Arial" w:cs="Arial"/>
                <w:sz w:val="24"/>
                <w:szCs w:val="24"/>
              </w:rPr>
              <w:t>Pharmacist’s initials</w:t>
            </w:r>
          </w:p>
        </w:tc>
      </w:tr>
      <w:tr w:rsidR="002641D2" w:rsidRPr="00FA3F9C" w14:paraId="3F4E020A" w14:textId="77777777" w:rsidTr="006B1443">
        <w:tc>
          <w:tcPr>
            <w:tcW w:w="1006" w:type="dxa"/>
          </w:tcPr>
          <w:p w14:paraId="534AF957" w14:textId="77777777" w:rsidR="002641D2" w:rsidRPr="00FA3F9C" w:rsidRDefault="002641D2" w:rsidP="006F623F">
            <w:pPr>
              <w:rPr>
                <w:rFonts w:ascii="Arial" w:hAnsi="Arial" w:cs="Arial"/>
                <w:sz w:val="24"/>
                <w:szCs w:val="24"/>
              </w:rPr>
            </w:pPr>
            <w:r w:rsidRPr="00FA3F9C">
              <w:rPr>
                <w:rFonts w:ascii="Arial" w:hAnsi="Arial" w:cs="Arial"/>
                <w:sz w:val="24"/>
                <w:szCs w:val="24"/>
              </w:rPr>
              <w:t>1/15/19</w:t>
            </w:r>
          </w:p>
        </w:tc>
        <w:tc>
          <w:tcPr>
            <w:tcW w:w="7719" w:type="dxa"/>
          </w:tcPr>
          <w:p w14:paraId="7E4C5E36" w14:textId="77777777" w:rsidR="002641D2" w:rsidRPr="00FA3F9C" w:rsidRDefault="002641D2" w:rsidP="006F623F">
            <w:pPr>
              <w:rPr>
                <w:rFonts w:ascii="Arial" w:hAnsi="Arial" w:cs="Arial"/>
                <w:sz w:val="24"/>
                <w:szCs w:val="24"/>
              </w:rPr>
            </w:pPr>
            <w:r w:rsidRPr="00FA3F9C">
              <w:rPr>
                <w:rFonts w:ascii="Arial" w:hAnsi="Arial" w:cs="Arial"/>
                <w:sz w:val="24"/>
                <w:szCs w:val="24"/>
              </w:rPr>
              <w:t>I wrote the criteria.</w:t>
            </w:r>
          </w:p>
        </w:tc>
        <w:tc>
          <w:tcPr>
            <w:tcW w:w="2065" w:type="dxa"/>
          </w:tcPr>
          <w:p w14:paraId="52C73521" w14:textId="640FF13E" w:rsidR="002641D2" w:rsidRPr="00FA3F9C" w:rsidRDefault="005C142D" w:rsidP="006F623F">
            <w:pPr>
              <w:rPr>
                <w:rFonts w:ascii="Arial" w:hAnsi="Arial" w:cs="Arial"/>
                <w:sz w:val="24"/>
                <w:szCs w:val="24"/>
              </w:rPr>
            </w:pPr>
            <w:r w:rsidRPr="00FA3F9C">
              <w:rPr>
                <w:rFonts w:ascii="Arial" w:hAnsi="Arial" w:cs="Arial"/>
                <w:sz w:val="24"/>
                <w:szCs w:val="24"/>
              </w:rPr>
              <w:t>JJ</w:t>
            </w:r>
          </w:p>
        </w:tc>
      </w:tr>
      <w:tr w:rsidR="002641D2" w:rsidRPr="00FA3F9C" w14:paraId="603CEEA4" w14:textId="77777777" w:rsidTr="006B1443">
        <w:tc>
          <w:tcPr>
            <w:tcW w:w="1006" w:type="dxa"/>
          </w:tcPr>
          <w:p w14:paraId="2EB10550" w14:textId="77777777" w:rsidR="002641D2" w:rsidRPr="00FA3F9C" w:rsidRDefault="002641D2" w:rsidP="006F623F">
            <w:pPr>
              <w:rPr>
                <w:rFonts w:ascii="Arial" w:hAnsi="Arial" w:cs="Arial"/>
                <w:sz w:val="24"/>
                <w:szCs w:val="24"/>
              </w:rPr>
            </w:pPr>
            <w:r w:rsidRPr="00FA3F9C">
              <w:rPr>
                <w:rFonts w:ascii="Arial" w:hAnsi="Arial" w:cs="Arial"/>
                <w:sz w:val="24"/>
                <w:szCs w:val="24"/>
              </w:rPr>
              <w:t>4/22/21</w:t>
            </w:r>
          </w:p>
        </w:tc>
        <w:tc>
          <w:tcPr>
            <w:tcW w:w="7719" w:type="dxa"/>
          </w:tcPr>
          <w:p w14:paraId="58259312" w14:textId="77777777" w:rsidR="002641D2" w:rsidRPr="00FA3F9C" w:rsidRDefault="002641D2" w:rsidP="006F623F">
            <w:pPr>
              <w:rPr>
                <w:rFonts w:ascii="Arial" w:hAnsi="Arial" w:cs="Arial"/>
                <w:sz w:val="24"/>
                <w:szCs w:val="24"/>
              </w:rPr>
            </w:pPr>
            <w:r w:rsidRPr="00FA3F9C">
              <w:rPr>
                <w:rFonts w:ascii="Arial" w:hAnsi="Arial" w:cs="Arial"/>
                <w:sz w:val="24"/>
                <w:szCs w:val="24"/>
              </w:rPr>
              <w:t xml:space="preserve">Dr. Josh O’Neill called to ask about the data supporting reduction in pancreatitis with </w:t>
            </w:r>
            <w:proofErr w:type="spellStart"/>
            <w:r w:rsidRPr="00FA3F9C">
              <w:rPr>
                <w:rFonts w:ascii="Arial" w:hAnsi="Arial" w:cs="Arial"/>
                <w:sz w:val="24"/>
                <w:szCs w:val="24"/>
              </w:rPr>
              <w:t>Vascepa</w:t>
            </w:r>
            <w:proofErr w:type="spellEnd"/>
            <w:r w:rsidRPr="00FA3F9C">
              <w:rPr>
                <w:rFonts w:ascii="Arial" w:hAnsi="Arial" w:cs="Arial"/>
                <w:sz w:val="24"/>
                <w:szCs w:val="24"/>
              </w:rPr>
              <w:t xml:space="preserve">.  My search did not reveal any supporting trials.  I then searched FDA and found this:  “11. Labeling a disclaimer is included in the </w:t>
            </w:r>
            <w:r w:rsidRPr="00FA3F9C">
              <w:rPr>
                <w:rFonts w:ascii="Arial" w:hAnsi="Arial" w:cs="Arial"/>
                <w:sz w:val="24"/>
                <w:szCs w:val="24"/>
                <w:highlight w:val="yellow"/>
              </w:rPr>
              <w:t xml:space="preserve">labeling that points out the lack of evidence that treatment with </w:t>
            </w:r>
            <w:proofErr w:type="spellStart"/>
            <w:r w:rsidRPr="00FA3F9C">
              <w:rPr>
                <w:rFonts w:ascii="Arial" w:hAnsi="Arial" w:cs="Arial"/>
                <w:sz w:val="24"/>
                <w:szCs w:val="24"/>
                <w:highlight w:val="yellow"/>
              </w:rPr>
              <w:t>Vascepa</w:t>
            </w:r>
            <w:proofErr w:type="spellEnd"/>
            <w:r w:rsidRPr="00FA3F9C">
              <w:rPr>
                <w:rFonts w:ascii="Arial" w:hAnsi="Arial" w:cs="Arial"/>
                <w:sz w:val="24"/>
                <w:szCs w:val="24"/>
                <w:highlight w:val="yellow"/>
              </w:rPr>
              <w:t xml:space="preserve"> reduces the risk for pancreatitis in patients with severe hypertriglyceridemia</w:t>
            </w:r>
            <w:r w:rsidRPr="00FA3F9C">
              <w:rPr>
                <w:rFonts w:ascii="Arial" w:hAnsi="Arial" w:cs="Arial"/>
                <w:sz w:val="24"/>
                <w:szCs w:val="24"/>
              </w:rPr>
              <w:t xml:space="preserve">. Given the relative rarity of hypertriglyceridemia-induced pancreatitis, the Division has never required an applicant to demonstrate a statistically significant reduction in the incidence of pancreatitis before granting approval of a TG-lowering drug for the treatment of severe hypertriglyceridemia.”  The FDA evidently is not going to require that drugs must show this clinical endpoint </w:t>
            </w:r>
            <w:proofErr w:type="gramStart"/>
            <w:r w:rsidRPr="00FA3F9C">
              <w:rPr>
                <w:rFonts w:ascii="Arial" w:hAnsi="Arial" w:cs="Arial"/>
                <w:sz w:val="24"/>
                <w:szCs w:val="24"/>
              </w:rPr>
              <w:t>as long as</w:t>
            </w:r>
            <w:proofErr w:type="gramEnd"/>
            <w:r w:rsidRPr="00FA3F9C">
              <w:rPr>
                <w:rFonts w:ascii="Arial" w:hAnsi="Arial" w:cs="Arial"/>
                <w:sz w:val="24"/>
                <w:szCs w:val="24"/>
              </w:rPr>
              <w:t xml:space="preserve"> they include a disclaimer in their package insert. I also provided the reference (#2.).  I also updated the FDA-approval to be current and ref #3.  To date UAS does not PA this drug.</w:t>
            </w:r>
          </w:p>
        </w:tc>
        <w:tc>
          <w:tcPr>
            <w:tcW w:w="2065" w:type="dxa"/>
          </w:tcPr>
          <w:p w14:paraId="3487FE8B" w14:textId="77777777" w:rsidR="002641D2" w:rsidRPr="00FA3F9C" w:rsidRDefault="002641D2" w:rsidP="006F623F">
            <w:pPr>
              <w:rPr>
                <w:rFonts w:ascii="Arial" w:hAnsi="Arial" w:cs="Arial"/>
                <w:sz w:val="24"/>
                <w:szCs w:val="24"/>
              </w:rPr>
            </w:pPr>
            <w:r w:rsidRPr="00FA3F9C">
              <w:rPr>
                <w:rFonts w:ascii="Arial" w:hAnsi="Arial" w:cs="Arial"/>
                <w:sz w:val="24"/>
                <w:szCs w:val="24"/>
              </w:rPr>
              <w:t>JJ</w:t>
            </w:r>
          </w:p>
        </w:tc>
      </w:tr>
    </w:tbl>
    <w:p w14:paraId="1C9BE2BF" w14:textId="77777777" w:rsidR="002641D2" w:rsidRPr="00FA3F9C" w:rsidRDefault="002641D2" w:rsidP="006F623F">
      <w:pPr>
        <w:spacing w:after="0"/>
        <w:rPr>
          <w:rFonts w:ascii="Arial" w:hAnsi="Arial" w:cs="Arial"/>
          <w:sz w:val="24"/>
          <w:szCs w:val="24"/>
        </w:rPr>
      </w:pPr>
    </w:p>
    <w:p w14:paraId="235672B5" w14:textId="77777777" w:rsidR="002641D2" w:rsidRPr="00FA3F9C" w:rsidRDefault="002641D2" w:rsidP="006F623F">
      <w:pPr>
        <w:spacing w:after="0"/>
        <w:rPr>
          <w:rFonts w:ascii="Arial" w:hAnsi="Arial" w:cs="Arial"/>
          <w:sz w:val="24"/>
          <w:szCs w:val="24"/>
        </w:rPr>
      </w:pPr>
    </w:p>
    <w:p w14:paraId="467B61DF" w14:textId="77777777" w:rsidR="002641D2" w:rsidRPr="00FA3F9C" w:rsidRDefault="002641D2" w:rsidP="006F623F">
      <w:pPr>
        <w:spacing w:after="0"/>
        <w:rPr>
          <w:rFonts w:ascii="Arial" w:hAnsi="Arial" w:cs="Arial"/>
          <w:sz w:val="24"/>
          <w:szCs w:val="24"/>
        </w:rPr>
      </w:pPr>
      <w:r w:rsidRPr="00FA3F9C">
        <w:rPr>
          <w:rFonts w:ascii="Arial" w:hAnsi="Arial" w:cs="Arial"/>
          <w:sz w:val="24"/>
          <w:szCs w:val="24"/>
        </w:rPr>
        <w:t>References:</w:t>
      </w:r>
    </w:p>
    <w:p w14:paraId="066672DE" w14:textId="77777777" w:rsidR="002641D2" w:rsidRPr="00FA3F9C" w:rsidRDefault="002641D2" w:rsidP="005D580D">
      <w:pPr>
        <w:rPr>
          <w:rFonts w:ascii="Arial" w:hAnsi="Arial" w:cs="Arial"/>
          <w:sz w:val="24"/>
          <w:szCs w:val="24"/>
        </w:rPr>
      </w:pPr>
      <w:r w:rsidRPr="00FA3F9C">
        <w:rPr>
          <w:rFonts w:ascii="Arial" w:hAnsi="Arial" w:cs="Arial"/>
          <w:sz w:val="24"/>
          <w:szCs w:val="24"/>
        </w:rPr>
        <w:t xml:space="preserve">1. </w:t>
      </w:r>
      <w:r w:rsidRPr="00FA3F9C">
        <w:rPr>
          <w:rFonts w:ascii="Arial" w:eastAsia="Times New Roman" w:hAnsi="Arial" w:cs="Arial"/>
          <w:color w:val="222222"/>
          <w:sz w:val="24"/>
          <w:szCs w:val="24"/>
          <w:shd w:val="clear" w:color="auto" w:fill="F8F8F8"/>
        </w:rPr>
        <w:t xml:space="preserve">Bhatt, Deepak L., et al. "Cardiovascular risk reduction with </w:t>
      </w:r>
      <w:proofErr w:type="spellStart"/>
      <w:r w:rsidRPr="00FA3F9C">
        <w:rPr>
          <w:rFonts w:ascii="Arial" w:eastAsia="Times New Roman" w:hAnsi="Arial" w:cs="Arial"/>
          <w:color w:val="222222"/>
          <w:sz w:val="24"/>
          <w:szCs w:val="24"/>
          <w:shd w:val="clear" w:color="auto" w:fill="F8F8F8"/>
        </w:rPr>
        <w:t>icosapent</w:t>
      </w:r>
      <w:proofErr w:type="spellEnd"/>
      <w:r w:rsidRPr="00FA3F9C">
        <w:rPr>
          <w:rFonts w:ascii="Arial" w:eastAsia="Times New Roman" w:hAnsi="Arial" w:cs="Arial"/>
          <w:color w:val="222222"/>
          <w:sz w:val="24"/>
          <w:szCs w:val="24"/>
          <w:shd w:val="clear" w:color="auto" w:fill="F8F8F8"/>
        </w:rPr>
        <w:t xml:space="preserve"> ethyl for hypertriglyceridemia." </w:t>
      </w:r>
      <w:r w:rsidRPr="00FA3F9C">
        <w:rPr>
          <w:rFonts w:ascii="Arial" w:eastAsia="Times New Roman" w:hAnsi="Arial" w:cs="Arial"/>
          <w:i/>
          <w:iCs/>
          <w:color w:val="222222"/>
          <w:sz w:val="24"/>
          <w:szCs w:val="24"/>
          <w:shd w:val="clear" w:color="auto" w:fill="F8F8F8"/>
        </w:rPr>
        <w:t>New England Journal of Medicine</w:t>
      </w:r>
      <w:r w:rsidRPr="00FA3F9C">
        <w:rPr>
          <w:rFonts w:ascii="Arial" w:eastAsia="Times New Roman" w:hAnsi="Arial" w:cs="Arial"/>
          <w:color w:val="222222"/>
          <w:sz w:val="24"/>
          <w:szCs w:val="24"/>
          <w:shd w:val="clear" w:color="auto" w:fill="F8F8F8"/>
        </w:rPr>
        <w:t> 380.1 (2019): 11-22.</w:t>
      </w:r>
      <w:r w:rsidRPr="00FA3F9C">
        <w:rPr>
          <w:rFonts w:ascii="Arial" w:hAnsi="Arial" w:cs="Arial"/>
          <w:sz w:val="24"/>
          <w:szCs w:val="24"/>
        </w:rPr>
        <w:t xml:space="preserve"> </w:t>
      </w:r>
      <w:r w:rsidRPr="00FA3F9C">
        <w:rPr>
          <w:rFonts w:ascii="Arial" w:hAnsi="Arial" w:cs="Arial"/>
          <w:noProof/>
          <w:sz w:val="24"/>
          <w:szCs w:val="24"/>
        </w:rPr>
        <w:drawing>
          <wp:inline distT="0" distB="0" distL="0" distR="0" wp14:anchorId="1DE5FE8A" wp14:editId="1B62B7A6">
            <wp:extent cx="3214468" cy="168257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stretch>
                      <a:fillRect/>
                    </a:stretch>
                  </pic:blipFill>
                  <pic:spPr>
                    <a:xfrm>
                      <a:off x="0" y="0"/>
                      <a:ext cx="3258837" cy="1705797"/>
                    </a:xfrm>
                    <a:prstGeom prst="rect">
                      <a:avLst/>
                    </a:prstGeom>
                  </pic:spPr>
                </pic:pic>
              </a:graphicData>
            </a:graphic>
          </wp:inline>
        </w:drawing>
      </w:r>
    </w:p>
    <w:p w14:paraId="235173BC" w14:textId="77777777" w:rsidR="002641D2" w:rsidRPr="00FA3F9C" w:rsidRDefault="002641D2" w:rsidP="003C044C">
      <w:pPr>
        <w:spacing w:after="0"/>
        <w:rPr>
          <w:rFonts w:ascii="Arial" w:eastAsia="Times New Roman" w:hAnsi="Arial" w:cs="Arial"/>
          <w:sz w:val="24"/>
          <w:szCs w:val="24"/>
        </w:rPr>
      </w:pPr>
    </w:p>
    <w:p w14:paraId="06D1B8E9" w14:textId="77777777" w:rsidR="002641D2" w:rsidRPr="00FA3F9C" w:rsidRDefault="002641D2" w:rsidP="003C044C">
      <w:pPr>
        <w:spacing w:after="0"/>
        <w:rPr>
          <w:rFonts w:ascii="Arial" w:eastAsia="Times New Roman" w:hAnsi="Arial" w:cs="Arial"/>
          <w:sz w:val="24"/>
          <w:szCs w:val="24"/>
        </w:rPr>
      </w:pPr>
      <w:r w:rsidRPr="00FA3F9C">
        <w:rPr>
          <w:rFonts w:ascii="Arial" w:eastAsia="Times New Roman" w:hAnsi="Arial" w:cs="Arial"/>
          <w:sz w:val="24"/>
          <w:szCs w:val="24"/>
        </w:rPr>
        <w:t xml:space="preserve">2. </w:t>
      </w:r>
      <w:hyperlink r:id="rId231" w:history="1">
        <w:r w:rsidRPr="00FA3F9C">
          <w:rPr>
            <w:rStyle w:val="Hyperlink"/>
            <w:rFonts w:ascii="Arial" w:eastAsia="Times New Roman" w:hAnsi="Arial" w:cs="Arial"/>
            <w:sz w:val="24"/>
            <w:szCs w:val="24"/>
          </w:rPr>
          <w:t>https://www.accessdata.fda.gov/drugsatfda_docs/nda/2012/202057Orig1s000SumR.pdf</w:t>
        </w:r>
      </w:hyperlink>
      <w:r w:rsidRPr="00FA3F9C">
        <w:rPr>
          <w:rFonts w:ascii="Arial" w:eastAsia="Times New Roman" w:hAnsi="Arial" w:cs="Arial"/>
          <w:sz w:val="24"/>
          <w:szCs w:val="24"/>
        </w:rPr>
        <w:t xml:space="preserve">  See page 8 of 9.</w:t>
      </w:r>
    </w:p>
    <w:p w14:paraId="36AF6C4E" w14:textId="3D083FF2" w:rsidR="002641D2" w:rsidRPr="00FA3F9C" w:rsidRDefault="002641D2" w:rsidP="003C044C">
      <w:pPr>
        <w:spacing w:after="0"/>
        <w:rPr>
          <w:rFonts w:ascii="Arial" w:eastAsia="Times New Roman" w:hAnsi="Arial" w:cs="Arial"/>
          <w:sz w:val="24"/>
          <w:szCs w:val="24"/>
        </w:rPr>
      </w:pPr>
      <w:r w:rsidRPr="00FA3F9C">
        <w:rPr>
          <w:rFonts w:ascii="Arial" w:eastAsia="Times New Roman" w:hAnsi="Arial" w:cs="Arial"/>
          <w:sz w:val="24"/>
          <w:szCs w:val="24"/>
        </w:rPr>
        <w:t xml:space="preserve">3. </w:t>
      </w:r>
      <w:proofErr w:type="spellStart"/>
      <w:r w:rsidRPr="00FA3F9C">
        <w:rPr>
          <w:rFonts w:ascii="Arial" w:eastAsia="Times New Roman" w:hAnsi="Arial" w:cs="Arial"/>
          <w:sz w:val="24"/>
          <w:szCs w:val="24"/>
        </w:rPr>
        <w:t>Vascepa</w:t>
      </w:r>
      <w:proofErr w:type="spellEnd"/>
      <w:r w:rsidRPr="00FA3F9C">
        <w:rPr>
          <w:rFonts w:ascii="Arial" w:eastAsia="Times New Roman" w:hAnsi="Arial" w:cs="Arial"/>
          <w:sz w:val="24"/>
          <w:szCs w:val="24"/>
        </w:rPr>
        <w:t xml:space="preserve"> PI.  Accessed 4/22/21.  </w:t>
      </w:r>
      <w:hyperlink r:id="rId232" w:history="1">
        <w:r w:rsidRPr="00FA3F9C">
          <w:rPr>
            <w:rStyle w:val="Hyperlink"/>
            <w:rFonts w:ascii="Arial" w:eastAsia="Times New Roman" w:hAnsi="Arial" w:cs="Arial"/>
            <w:sz w:val="24"/>
            <w:szCs w:val="24"/>
          </w:rPr>
          <w:t>file:///Users/</w:t>
        </w:r>
        <w:r w:rsidR="002F3083">
          <w:rPr>
            <w:rStyle w:val="Hyperlink"/>
            <w:rFonts w:ascii="Arial" w:eastAsia="Times New Roman" w:hAnsi="Arial" w:cs="Arial"/>
            <w:sz w:val="24"/>
            <w:szCs w:val="24"/>
          </w:rPr>
          <w:t>JJ</w:t>
        </w:r>
        <w:r w:rsidRPr="00FA3F9C">
          <w:rPr>
            <w:rStyle w:val="Hyperlink"/>
            <w:rFonts w:ascii="Arial" w:eastAsia="Times New Roman" w:hAnsi="Arial" w:cs="Arial"/>
            <w:sz w:val="24"/>
            <w:szCs w:val="24"/>
          </w:rPr>
          <w:t>jillt/Downloads/20200723_9c1a2828-1583-4414-ab22-a60480e8e508.pdf</w:t>
        </w:r>
      </w:hyperlink>
    </w:p>
    <w:p w14:paraId="02DAC5E1" w14:textId="77777777" w:rsidR="002641D2" w:rsidRPr="00FA3F9C" w:rsidRDefault="002641D2" w:rsidP="003C044C">
      <w:pPr>
        <w:spacing w:after="0"/>
        <w:rPr>
          <w:rFonts w:ascii="Arial" w:eastAsia="Times New Roman" w:hAnsi="Arial" w:cs="Arial"/>
          <w:sz w:val="24"/>
          <w:szCs w:val="24"/>
        </w:rPr>
      </w:pPr>
    </w:p>
    <w:p w14:paraId="7D9F5149" w14:textId="77777777" w:rsidR="002641D2" w:rsidRPr="00FA3F9C" w:rsidRDefault="002641D2" w:rsidP="005E2908">
      <w:pPr>
        <w:pStyle w:val="Heading2"/>
      </w:pPr>
      <w:bookmarkStart w:id="140" w:name="_Toc106369822"/>
      <w:proofErr w:type="spellStart"/>
      <w:r w:rsidRPr="00FA3F9C">
        <w:t>Idelalisib</w:t>
      </w:r>
      <w:proofErr w:type="spellEnd"/>
      <w:r w:rsidRPr="00FA3F9C">
        <w:t xml:space="preserve"> (</w:t>
      </w:r>
      <w:proofErr w:type="spellStart"/>
      <w:r w:rsidRPr="00FA3F9C">
        <w:t>Zydelig</w:t>
      </w:r>
      <w:proofErr w:type="spellEnd"/>
      <w:r w:rsidRPr="00FA3F9C">
        <w:t>)</w:t>
      </w:r>
      <w:bookmarkEnd w:id="140"/>
    </w:p>
    <w:p w14:paraId="63FE6570" w14:textId="77777777" w:rsidR="002641D2" w:rsidRPr="00FA3F9C" w:rsidRDefault="002641D2" w:rsidP="00EC3E69">
      <w:pPr>
        <w:spacing w:after="0"/>
        <w:jc w:val="center"/>
        <w:rPr>
          <w:rFonts w:ascii="Arial" w:hAnsi="Arial" w:cs="Arial"/>
          <w:sz w:val="24"/>
          <w:szCs w:val="24"/>
        </w:rPr>
      </w:pPr>
      <w:r w:rsidRPr="00FA3F9C">
        <w:rPr>
          <w:rFonts w:ascii="Arial" w:hAnsi="Arial" w:cs="Arial"/>
          <w:sz w:val="24"/>
          <w:szCs w:val="24"/>
        </w:rPr>
        <w:t xml:space="preserve">100mg &amp; 150mg tablets </w:t>
      </w:r>
    </w:p>
    <w:p w14:paraId="318666B6" w14:textId="77777777" w:rsidR="002641D2" w:rsidRPr="00FA3F9C" w:rsidRDefault="002641D2" w:rsidP="00EC3E69">
      <w:pPr>
        <w:spacing w:after="0"/>
        <w:jc w:val="center"/>
        <w:rPr>
          <w:rFonts w:ascii="Arial" w:hAnsi="Arial" w:cs="Arial"/>
          <w:sz w:val="24"/>
          <w:szCs w:val="24"/>
        </w:rPr>
      </w:pPr>
      <w:r w:rsidRPr="00FA3F9C">
        <w:rPr>
          <w:rFonts w:ascii="Arial" w:hAnsi="Arial" w:cs="Arial"/>
          <w:sz w:val="24"/>
          <w:szCs w:val="24"/>
        </w:rPr>
        <w:t>EBRx PA Criteria</w:t>
      </w:r>
    </w:p>
    <w:p w14:paraId="0C1F129C" w14:textId="77777777" w:rsidR="002641D2" w:rsidRPr="00FA3F9C" w:rsidRDefault="002641D2" w:rsidP="006F623F">
      <w:pPr>
        <w:spacing w:after="0"/>
        <w:jc w:val="center"/>
        <w:rPr>
          <w:rFonts w:ascii="Arial" w:hAnsi="Arial" w:cs="Arial"/>
          <w:sz w:val="24"/>
          <w:szCs w:val="24"/>
        </w:rPr>
      </w:pPr>
    </w:p>
    <w:p w14:paraId="1F19B0E2" w14:textId="77777777" w:rsidR="002641D2" w:rsidRPr="00FA3F9C" w:rsidRDefault="002641D2" w:rsidP="006F623F">
      <w:pPr>
        <w:spacing w:after="0"/>
        <w:rPr>
          <w:rFonts w:ascii="Arial" w:hAnsi="Arial" w:cs="Arial"/>
          <w:b/>
          <w:sz w:val="24"/>
          <w:szCs w:val="24"/>
          <w:u w:val="single"/>
        </w:rPr>
      </w:pPr>
      <w:r w:rsidRPr="00FA3F9C">
        <w:rPr>
          <w:rFonts w:ascii="Arial" w:hAnsi="Arial" w:cs="Arial"/>
          <w:b/>
          <w:sz w:val="24"/>
          <w:szCs w:val="24"/>
          <w:u w:val="single"/>
        </w:rPr>
        <w:t>FDA approved for:</w:t>
      </w:r>
    </w:p>
    <w:p w14:paraId="37A38925" w14:textId="77777777" w:rsidR="002641D2" w:rsidRPr="00FA3F9C" w:rsidRDefault="002641D2" w:rsidP="002641D2">
      <w:pPr>
        <w:pStyle w:val="ListParagraph"/>
        <w:numPr>
          <w:ilvl w:val="0"/>
          <w:numId w:val="261"/>
        </w:numPr>
        <w:spacing w:after="0" w:line="276" w:lineRule="auto"/>
        <w:rPr>
          <w:rFonts w:ascii="Arial" w:hAnsi="Arial" w:cs="Arial"/>
          <w:sz w:val="24"/>
          <w:szCs w:val="24"/>
        </w:rPr>
      </w:pPr>
      <w:r w:rsidRPr="00FA3F9C">
        <w:rPr>
          <w:rFonts w:ascii="Arial" w:hAnsi="Arial" w:cs="Arial"/>
          <w:sz w:val="24"/>
          <w:szCs w:val="24"/>
        </w:rPr>
        <w:t xml:space="preserve">Relapsed chronic lymphocytic leukemia (CLL), in combination with rituximab, in patients for whom rituximab alone would be considered appropriate therapy due to other co-morbidities. </w:t>
      </w:r>
    </w:p>
    <w:p w14:paraId="17D12F61" w14:textId="77777777" w:rsidR="002641D2" w:rsidRPr="00FA3F9C" w:rsidRDefault="002641D2" w:rsidP="006F623F">
      <w:pPr>
        <w:spacing w:after="0"/>
        <w:rPr>
          <w:rFonts w:ascii="Arial" w:hAnsi="Arial" w:cs="Arial"/>
          <w:b/>
          <w:sz w:val="24"/>
          <w:szCs w:val="24"/>
          <w:u w:val="single"/>
        </w:rPr>
      </w:pPr>
    </w:p>
    <w:tbl>
      <w:tblPr>
        <w:tblStyle w:val="TableGrid"/>
        <w:tblW w:w="0" w:type="auto"/>
        <w:tblLook w:val="04A0" w:firstRow="1" w:lastRow="0" w:firstColumn="1" w:lastColumn="0" w:noHBand="0" w:noVBand="1"/>
      </w:tblPr>
      <w:tblGrid>
        <w:gridCol w:w="10638"/>
      </w:tblGrid>
      <w:tr w:rsidR="002641D2" w:rsidRPr="00FA3F9C" w14:paraId="33B207F9" w14:textId="77777777" w:rsidTr="00D0230F">
        <w:tc>
          <w:tcPr>
            <w:tcW w:w="10638" w:type="dxa"/>
            <w:shd w:val="clear" w:color="auto" w:fill="000000" w:themeFill="text1"/>
          </w:tcPr>
          <w:p w14:paraId="4F135509" w14:textId="77777777" w:rsidR="002641D2" w:rsidRPr="00FA3F9C" w:rsidRDefault="002641D2" w:rsidP="00D0230F">
            <w:pPr>
              <w:rPr>
                <w:rFonts w:ascii="Arial" w:hAnsi="Arial" w:cs="Arial"/>
                <w:b/>
                <w:sz w:val="24"/>
                <w:szCs w:val="24"/>
                <w:u w:val="single"/>
              </w:rPr>
            </w:pPr>
            <w:r w:rsidRPr="00FA3F9C">
              <w:rPr>
                <w:rFonts w:ascii="Arial" w:hAnsi="Arial" w:cs="Arial"/>
                <w:b/>
                <w:sz w:val="24"/>
                <w:szCs w:val="24"/>
                <w:u w:val="single"/>
              </w:rPr>
              <w:t xml:space="preserve">Criteria </w:t>
            </w:r>
          </w:p>
        </w:tc>
      </w:tr>
      <w:tr w:rsidR="002641D2" w:rsidRPr="00FA3F9C" w14:paraId="29D40093" w14:textId="77777777" w:rsidTr="00D0230F">
        <w:tc>
          <w:tcPr>
            <w:tcW w:w="10638" w:type="dxa"/>
          </w:tcPr>
          <w:p w14:paraId="4FE89CCB" w14:textId="77777777" w:rsidR="002641D2" w:rsidRPr="00FA3F9C" w:rsidRDefault="002641D2" w:rsidP="007031F6">
            <w:pPr>
              <w:rPr>
                <w:rFonts w:ascii="Arial" w:hAnsi="Arial" w:cs="Arial"/>
                <w:sz w:val="24"/>
                <w:szCs w:val="24"/>
              </w:rPr>
            </w:pPr>
            <w:r w:rsidRPr="00FA3F9C">
              <w:rPr>
                <w:rFonts w:ascii="Arial" w:hAnsi="Arial" w:cs="Arial"/>
                <w:sz w:val="24"/>
                <w:szCs w:val="24"/>
              </w:rPr>
              <w:t xml:space="preserve">1. The patient must have the diagnosis of </w:t>
            </w:r>
            <w:r w:rsidRPr="00FA3F9C">
              <w:rPr>
                <w:rFonts w:ascii="Arial" w:hAnsi="Arial" w:cs="Arial"/>
                <w:sz w:val="24"/>
                <w:szCs w:val="24"/>
                <w:u w:val="single"/>
              </w:rPr>
              <w:t>relapsed</w:t>
            </w:r>
            <w:r w:rsidRPr="00FA3F9C">
              <w:rPr>
                <w:rFonts w:ascii="Arial" w:hAnsi="Arial" w:cs="Arial"/>
                <w:sz w:val="24"/>
                <w:szCs w:val="24"/>
              </w:rPr>
              <w:t xml:space="preserve"> chronic lymphocytic (CLL).</w:t>
            </w:r>
          </w:p>
        </w:tc>
      </w:tr>
      <w:tr w:rsidR="002641D2" w:rsidRPr="00FA3F9C" w14:paraId="7A85B3C7" w14:textId="77777777" w:rsidTr="00D0230F">
        <w:tc>
          <w:tcPr>
            <w:tcW w:w="10638" w:type="dxa"/>
          </w:tcPr>
          <w:p w14:paraId="4526BF4D" w14:textId="77777777" w:rsidR="002641D2" w:rsidRPr="00FA3F9C" w:rsidRDefault="002641D2" w:rsidP="00730C25">
            <w:pPr>
              <w:rPr>
                <w:rFonts w:ascii="Arial" w:hAnsi="Arial" w:cs="Arial"/>
                <w:sz w:val="24"/>
                <w:szCs w:val="24"/>
              </w:rPr>
            </w:pPr>
            <w:r w:rsidRPr="00FA3F9C">
              <w:rPr>
                <w:rFonts w:ascii="Arial" w:hAnsi="Arial" w:cs="Arial"/>
                <w:sz w:val="24"/>
                <w:szCs w:val="24"/>
              </w:rPr>
              <w:t xml:space="preserve">2. </w:t>
            </w:r>
            <w:proofErr w:type="spellStart"/>
            <w:r w:rsidRPr="00FA3F9C">
              <w:rPr>
                <w:rFonts w:ascii="Arial" w:hAnsi="Arial" w:cs="Arial"/>
                <w:sz w:val="24"/>
                <w:szCs w:val="24"/>
              </w:rPr>
              <w:t>Idelalisib</w:t>
            </w:r>
            <w:proofErr w:type="spellEnd"/>
            <w:r w:rsidRPr="00FA3F9C">
              <w:rPr>
                <w:rFonts w:ascii="Arial" w:hAnsi="Arial" w:cs="Arial"/>
                <w:sz w:val="24"/>
                <w:szCs w:val="24"/>
              </w:rPr>
              <w:t xml:space="preserve"> will be given concurrently with rituximab</w:t>
            </w:r>
          </w:p>
        </w:tc>
      </w:tr>
      <w:tr w:rsidR="002641D2" w:rsidRPr="00FA3F9C" w14:paraId="47F825F5" w14:textId="77777777" w:rsidTr="003F0B3E">
        <w:tc>
          <w:tcPr>
            <w:tcW w:w="10638" w:type="dxa"/>
            <w:shd w:val="clear" w:color="auto" w:fill="F2F2F2" w:themeFill="background1" w:themeFillShade="F2"/>
          </w:tcPr>
          <w:p w14:paraId="764ECC15" w14:textId="77777777" w:rsidR="002641D2" w:rsidRPr="00FA3F9C" w:rsidRDefault="002641D2" w:rsidP="000503BF">
            <w:pPr>
              <w:rPr>
                <w:rFonts w:ascii="Arial" w:hAnsi="Arial" w:cs="Arial"/>
                <w:sz w:val="24"/>
                <w:szCs w:val="24"/>
              </w:rPr>
            </w:pPr>
            <w:r w:rsidRPr="00FA3F9C">
              <w:rPr>
                <w:rFonts w:ascii="Arial" w:hAnsi="Arial" w:cs="Arial"/>
                <w:sz w:val="24"/>
                <w:szCs w:val="24"/>
              </w:rPr>
              <w:t>If above criteria are met, approve x 12 months</w:t>
            </w:r>
          </w:p>
        </w:tc>
      </w:tr>
    </w:tbl>
    <w:p w14:paraId="15D50A3D" w14:textId="77777777" w:rsidR="002641D2" w:rsidRPr="00FA3F9C" w:rsidRDefault="002641D2" w:rsidP="000503BF">
      <w:pPr>
        <w:spacing w:after="0"/>
        <w:rPr>
          <w:rFonts w:ascii="Arial" w:hAnsi="Arial" w:cs="Arial"/>
          <w:b/>
          <w:sz w:val="24"/>
          <w:szCs w:val="24"/>
          <w:u w:val="single"/>
        </w:rPr>
      </w:pPr>
    </w:p>
    <w:tbl>
      <w:tblPr>
        <w:tblStyle w:val="TableGrid"/>
        <w:tblW w:w="0" w:type="auto"/>
        <w:shd w:val="clear" w:color="auto" w:fill="BFBFBF" w:themeFill="background1" w:themeFillShade="BF"/>
        <w:tblLook w:val="04A0" w:firstRow="1" w:lastRow="0" w:firstColumn="1" w:lastColumn="0" w:noHBand="0" w:noVBand="1"/>
      </w:tblPr>
      <w:tblGrid>
        <w:gridCol w:w="10998"/>
      </w:tblGrid>
      <w:tr w:rsidR="002641D2" w:rsidRPr="00FA3F9C" w14:paraId="33D88A68" w14:textId="77777777" w:rsidTr="000503BF">
        <w:tc>
          <w:tcPr>
            <w:tcW w:w="10998" w:type="dxa"/>
            <w:shd w:val="clear" w:color="auto" w:fill="BFBFBF" w:themeFill="background1" w:themeFillShade="BF"/>
          </w:tcPr>
          <w:p w14:paraId="28F67EA8" w14:textId="77777777" w:rsidR="002641D2" w:rsidRPr="00FA3F9C" w:rsidRDefault="002641D2" w:rsidP="006F623F">
            <w:pPr>
              <w:rPr>
                <w:rFonts w:ascii="Arial" w:hAnsi="Arial" w:cs="Arial"/>
                <w:sz w:val="24"/>
                <w:szCs w:val="24"/>
              </w:rPr>
            </w:pPr>
            <w:r w:rsidRPr="00FA3F9C">
              <w:rPr>
                <w:rFonts w:ascii="Arial" w:hAnsi="Arial" w:cs="Arial"/>
                <w:sz w:val="24"/>
                <w:szCs w:val="24"/>
              </w:rPr>
              <w:t>Dosing for relapsed CLL or SLL is 150mg BID until disease progression or unacceptable toxicity.</w:t>
            </w:r>
          </w:p>
          <w:p w14:paraId="1365CB3A" w14:textId="77777777" w:rsidR="002641D2" w:rsidRPr="00FA3F9C" w:rsidRDefault="002641D2" w:rsidP="006F623F">
            <w:pPr>
              <w:rPr>
                <w:rFonts w:ascii="Arial" w:hAnsi="Arial" w:cs="Arial"/>
                <w:sz w:val="24"/>
                <w:szCs w:val="24"/>
              </w:rPr>
            </w:pPr>
          </w:p>
          <w:p w14:paraId="43321B87" w14:textId="77777777" w:rsidR="002641D2" w:rsidRPr="00FA3F9C" w:rsidRDefault="002641D2" w:rsidP="00D0230F">
            <w:pPr>
              <w:rPr>
                <w:rFonts w:ascii="Arial" w:hAnsi="Arial" w:cs="Arial"/>
                <w:sz w:val="24"/>
                <w:szCs w:val="24"/>
              </w:rPr>
            </w:pPr>
            <w:proofErr w:type="spellStart"/>
            <w:r w:rsidRPr="00FA3F9C">
              <w:rPr>
                <w:rFonts w:ascii="Arial" w:hAnsi="Arial" w:cs="Arial"/>
                <w:sz w:val="24"/>
                <w:szCs w:val="24"/>
              </w:rPr>
              <w:t>Idelalisib+rituximab</w:t>
            </w:r>
            <w:proofErr w:type="spellEnd"/>
            <w:r w:rsidRPr="00FA3F9C">
              <w:rPr>
                <w:rFonts w:ascii="Arial" w:hAnsi="Arial" w:cs="Arial"/>
                <w:sz w:val="24"/>
                <w:szCs w:val="24"/>
              </w:rPr>
              <w:t xml:space="preserve"> improved overall survival compared to rituximab alone in patients with relapsed CLL. OS at 12 months was 92% vs 80%, HR for death was 0.28; p=0.02.  Serious AEs occurred in 40% of </w:t>
            </w:r>
            <w:proofErr w:type="spellStart"/>
            <w:r w:rsidRPr="00FA3F9C">
              <w:rPr>
                <w:rFonts w:ascii="Arial" w:hAnsi="Arial" w:cs="Arial"/>
                <w:sz w:val="24"/>
                <w:szCs w:val="24"/>
              </w:rPr>
              <w:t>idelalisib+rituximab</w:t>
            </w:r>
            <w:proofErr w:type="spellEnd"/>
            <w:r w:rsidRPr="00FA3F9C">
              <w:rPr>
                <w:rFonts w:ascii="Arial" w:hAnsi="Arial" w:cs="Arial"/>
                <w:sz w:val="24"/>
                <w:szCs w:val="24"/>
              </w:rPr>
              <w:t xml:space="preserve"> vs 35% in </w:t>
            </w:r>
            <w:proofErr w:type="spellStart"/>
            <w:r w:rsidRPr="00FA3F9C">
              <w:rPr>
                <w:rFonts w:ascii="Arial" w:hAnsi="Arial" w:cs="Arial"/>
                <w:sz w:val="24"/>
                <w:szCs w:val="24"/>
              </w:rPr>
              <w:t>ritux+placebo</w:t>
            </w:r>
            <w:proofErr w:type="spellEnd"/>
            <w:r w:rsidRPr="00FA3F9C">
              <w:rPr>
                <w:rFonts w:ascii="Arial" w:hAnsi="Arial" w:cs="Arial"/>
                <w:sz w:val="24"/>
                <w:szCs w:val="24"/>
              </w:rPr>
              <w:t>.</w:t>
            </w:r>
          </w:p>
          <w:p w14:paraId="7456F15E" w14:textId="77777777" w:rsidR="002641D2" w:rsidRPr="00FA3F9C" w:rsidRDefault="002641D2" w:rsidP="00D0230F">
            <w:pPr>
              <w:rPr>
                <w:rFonts w:ascii="Arial" w:hAnsi="Arial" w:cs="Arial"/>
                <w:sz w:val="24"/>
                <w:szCs w:val="24"/>
              </w:rPr>
            </w:pPr>
          </w:p>
          <w:p w14:paraId="46768F7F" w14:textId="77777777" w:rsidR="002641D2" w:rsidRPr="00FA3F9C" w:rsidRDefault="002641D2" w:rsidP="00D0230F">
            <w:pPr>
              <w:rPr>
                <w:rFonts w:ascii="Arial" w:hAnsi="Arial" w:cs="Arial"/>
                <w:sz w:val="24"/>
                <w:szCs w:val="24"/>
              </w:rPr>
            </w:pPr>
            <w:r w:rsidRPr="00FA3F9C">
              <w:rPr>
                <w:rFonts w:ascii="Arial" w:hAnsi="Arial" w:cs="Arial"/>
                <w:sz w:val="24"/>
                <w:szCs w:val="24"/>
              </w:rPr>
              <w:t>References:</w:t>
            </w:r>
          </w:p>
          <w:p w14:paraId="4D6BC7CA" w14:textId="77777777" w:rsidR="002641D2" w:rsidRPr="00FA3F9C" w:rsidRDefault="002641D2" w:rsidP="002641D2">
            <w:pPr>
              <w:pStyle w:val="Default"/>
              <w:numPr>
                <w:ilvl w:val="0"/>
                <w:numId w:val="262"/>
              </w:numPr>
              <w:rPr>
                <w:rFonts w:ascii="Arial" w:hAnsi="Arial" w:cs="Arial"/>
                <w:color w:val="auto"/>
              </w:rPr>
            </w:pPr>
            <w:proofErr w:type="spellStart"/>
            <w:r w:rsidRPr="00FA3F9C">
              <w:rPr>
                <w:rFonts w:ascii="Arial" w:hAnsi="Arial" w:cs="Arial"/>
                <w:color w:val="auto"/>
                <w:lang w:val="fr-FR"/>
              </w:rPr>
              <w:t>Furman</w:t>
            </w:r>
            <w:proofErr w:type="spellEnd"/>
            <w:r w:rsidRPr="00FA3F9C">
              <w:rPr>
                <w:rFonts w:ascii="Arial" w:hAnsi="Arial" w:cs="Arial"/>
                <w:color w:val="auto"/>
                <w:lang w:val="fr-FR"/>
              </w:rPr>
              <w:t xml:space="preserve"> RR, </w:t>
            </w:r>
            <w:proofErr w:type="spellStart"/>
            <w:r w:rsidRPr="00FA3F9C">
              <w:rPr>
                <w:rFonts w:ascii="Arial" w:hAnsi="Arial" w:cs="Arial"/>
                <w:color w:val="auto"/>
                <w:lang w:val="fr-FR"/>
              </w:rPr>
              <w:t>Sharman</w:t>
            </w:r>
            <w:proofErr w:type="spellEnd"/>
            <w:r w:rsidRPr="00FA3F9C">
              <w:rPr>
                <w:rFonts w:ascii="Arial" w:hAnsi="Arial" w:cs="Arial"/>
                <w:color w:val="auto"/>
                <w:lang w:val="fr-FR"/>
              </w:rPr>
              <w:t xml:space="preserve"> JP, Coutre SE, </w:t>
            </w:r>
            <w:proofErr w:type="spellStart"/>
            <w:r w:rsidRPr="00FA3F9C">
              <w:rPr>
                <w:rFonts w:ascii="Arial" w:hAnsi="Arial" w:cs="Arial"/>
                <w:color w:val="auto"/>
                <w:lang w:val="fr-FR"/>
              </w:rPr>
              <w:t>Cheson</w:t>
            </w:r>
            <w:proofErr w:type="spellEnd"/>
            <w:r w:rsidRPr="00FA3F9C">
              <w:rPr>
                <w:rFonts w:ascii="Arial" w:hAnsi="Arial" w:cs="Arial"/>
                <w:color w:val="auto"/>
                <w:lang w:val="fr-FR"/>
              </w:rPr>
              <w:t xml:space="preserve"> BD, et al.  </w:t>
            </w:r>
            <w:proofErr w:type="spellStart"/>
            <w:r w:rsidRPr="00FA3F9C">
              <w:rPr>
                <w:rFonts w:ascii="Arial" w:hAnsi="Arial" w:cs="Arial"/>
                <w:color w:val="auto"/>
              </w:rPr>
              <w:t>Idelalisib</w:t>
            </w:r>
            <w:proofErr w:type="spellEnd"/>
            <w:r w:rsidRPr="00FA3F9C">
              <w:rPr>
                <w:rFonts w:ascii="Arial" w:hAnsi="Arial" w:cs="Arial"/>
                <w:color w:val="auto"/>
              </w:rPr>
              <w:t xml:space="preserve"> and Rituximab in Relapsed Chronic Lymphocytic Leukemia. N </w:t>
            </w:r>
            <w:proofErr w:type="spellStart"/>
            <w:r w:rsidRPr="00FA3F9C">
              <w:rPr>
                <w:rFonts w:ascii="Arial" w:hAnsi="Arial" w:cs="Arial"/>
                <w:color w:val="auto"/>
              </w:rPr>
              <w:t>Engl</w:t>
            </w:r>
            <w:proofErr w:type="spellEnd"/>
            <w:r w:rsidRPr="00FA3F9C">
              <w:rPr>
                <w:rFonts w:ascii="Arial" w:hAnsi="Arial" w:cs="Arial"/>
                <w:color w:val="auto"/>
              </w:rPr>
              <w:t xml:space="preserve"> J Med 2014;370:997-1007. PMID 24450857 NCT01539512</w:t>
            </w:r>
          </w:p>
          <w:p w14:paraId="3ADC6341" w14:textId="77777777" w:rsidR="002641D2" w:rsidRPr="00FA3F9C" w:rsidRDefault="002641D2" w:rsidP="002641D2">
            <w:pPr>
              <w:pStyle w:val="ListParagraph"/>
              <w:numPr>
                <w:ilvl w:val="0"/>
                <w:numId w:val="262"/>
              </w:numPr>
              <w:rPr>
                <w:rFonts w:ascii="Arial" w:hAnsi="Arial" w:cs="Arial"/>
                <w:sz w:val="24"/>
                <w:szCs w:val="24"/>
              </w:rPr>
            </w:pPr>
            <w:r w:rsidRPr="00FA3F9C">
              <w:rPr>
                <w:rFonts w:ascii="Arial" w:hAnsi="Arial" w:cs="Arial"/>
                <w:sz w:val="24"/>
                <w:szCs w:val="24"/>
              </w:rPr>
              <w:t>NCCN guidelines for CLL.  http://www.nccn.org/professionals/physician_gls/pdf/nhl.pdf  Accessed 6/25/19.</w:t>
            </w:r>
          </w:p>
        </w:tc>
      </w:tr>
    </w:tbl>
    <w:p w14:paraId="154290CD" w14:textId="77777777" w:rsidR="002641D2" w:rsidRPr="00FA3F9C" w:rsidRDefault="002641D2" w:rsidP="006F623F">
      <w:pPr>
        <w:spacing w:after="0"/>
        <w:rPr>
          <w:rFonts w:ascii="Arial" w:hAnsi="Arial" w:cs="Arial"/>
          <w:sz w:val="24"/>
          <w:szCs w:val="24"/>
        </w:rPr>
      </w:pPr>
      <w:r w:rsidRPr="00FA3F9C">
        <w:rPr>
          <w:rFonts w:ascii="Arial" w:hAnsi="Arial" w:cs="Arial"/>
          <w:sz w:val="24"/>
          <w:szCs w:val="24"/>
        </w:rPr>
        <w:t xml:space="preserve">Quantity Limits: 60/30d per fill.  </w:t>
      </w:r>
    </w:p>
    <w:p w14:paraId="35B9B3DB" w14:textId="77777777" w:rsidR="002641D2" w:rsidRPr="00FA3F9C" w:rsidRDefault="002641D2" w:rsidP="006F623F">
      <w:pPr>
        <w:pStyle w:val="Default"/>
        <w:rPr>
          <w:rFonts w:ascii="Arial" w:hAnsi="Arial" w:cs="Arial"/>
        </w:rPr>
      </w:pPr>
    </w:p>
    <w:p w14:paraId="3035B8EB" w14:textId="77777777" w:rsidR="002641D2" w:rsidRPr="00FA3F9C" w:rsidRDefault="002641D2" w:rsidP="006F623F">
      <w:pPr>
        <w:pStyle w:val="Default"/>
        <w:rPr>
          <w:rFonts w:ascii="Arial" w:hAnsi="Arial" w:cs="Arial"/>
          <w:color w:val="auto"/>
        </w:rPr>
      </w:pPr>
    </w:p>
    <w:p w14:paraId="1803D97A" w14:textId="77777777" w:rsidR="002641D2" w:rsidRPr="00FA3F9C" w:rsidRDefault="002641D2" w:rsidP="006F623F">
      <w:pPr>
        <w:spacing w:after="0"/>
        <w:rPr>
          <w:rFonts w:ascii="Arial" w:hAnsi="Arial" w:cs="Arial"/>
          <w:sz w:val="24"/>
          <w:szCs w:val="24"/>
        </w:rPr>
      </w:pPr>
    </w:p>
    <w:p w14:paraId="66BAE972" w14:textId="77777777" w:rsidR="002641D2" w:rsidRPr="00FA3F9C" w:rsidRDefault="002641D2"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284"/>
        <w:gridCol w:w="8640"/>
        <w:gridCol w:w="1590"/>
      </w:tblGrid>
      <w:tr w:rsidR="002641D2" w:rsidRPr="00FA3F9C" w14:paraId="4D0FA1A5" w14:textId="77777777" w:rsidTr="00B20E4D">
        <w:tc>
          <w:tcPr>
            <w:tcW w:w="1008" w:type="dxa"/>
          </w:tcPr>
          <w:p w14:paraId="2B9AA93C" w14:textId="77777777" w:rsidR="002641D2" w:rsidRPr="00FA3F9C" w:rsidRDefault="002641D2" w:rsidP="006F623F">
            <w:pPr>
              <w:rPr>
                <w:rFonts w:ascii="Arial" w:hAnsi="Arial" w:cs="Arial"/>
                <w:sz w:val="24"/>
                <w:szCs w:val="24"/>
              </w:rPr>
            </w:pPr>
            <w:r w:rsidRPr="00FA3F9C">
              <w:rPr>
                <w:rFonts w:ascii="Arial" w:hAnsi="Arial" w:cs="Arial"/>
                <w:sz w:val="24"/>
                <w:szCs w:val="24"/>
              </w:rPr>
              <w:t>Date</w:t>
            </w:r>
          </w:p>
        </w:tc>
        <w:tc>
          <w:tcPr>
            <w:tcW w:w="8640" w:type="dxa"/>
          </w:tcPr>
          <w:p w14:paraId="675B2F12" w14:textId="77777777" w:rsidR="002641D2" w:rsidRPr="00FA3F9C" w:rsidRDefault="002641D2" w:rsidP="006F623F">
            <w:pPr>
              <w:rPr>
                <w:rFonts w:ascii="Arial" w:hAnsi="Arial" w:cs="Arial"/>
                <w:sz w:val="24"/>
                <w:szCs w:val="24"/>
              </w:rPr>
            </w:pPr>
            <w:r w:rsidRPr="00FA3F9C">
              <w:rPr>
                <w:rFonts w:ascii="Arial" w:hAnsi="Arial" w:cs="Arial"/>
                <w:sz w:val="24"/>
                <w:szCs w:val="24"/>
              </w:rPr>
              <w:t>What changed</w:t>
            </w:r>
          </w:p>
        </w:tc>
        <w:tc>
          <w:tcPr>
            <w:tcW w:w="1368" w:type="dxa"/>
          </w:tcPr>
          <w:p w14:paraId="3029C24C" w14:textId="77777777" w:rsidR="002641D2" w:rsidRPr="00FA3F9C" w:rsidRDefault="002641D2" w:rsidP="006F623F">
            <w:pPr>
              <w:rPr>
                <w:rFonts w:ascii="Arial" w:hAnsi="Arial" w:cs="Arial"/>
                <w:sz w:val="24"/>
                <w:szCs w:val="24"/>
              </w:rPr>
            </w:pPr>
            <w:r w:rsidRPr="00FA3F9C">
              <w:rPr>
                <w:rFonts w:ascii="Arial" w:hAnsi="Arial" w:cs="Arial"/>
                <w:sz w:val="24"/>
                <w:szCs w:val="24"/>
              </w:rPr>
              <w:t>Pharmacist’s initials</w:t>
            </w:r>
          </w:p>
        </w:tc>
      </w:tr>
      <w:tr w:rsidR="002641D2" w:rsidRPr="00FA3F9C" w14:paraId="440947F3" w14:textId="77777777" w:rsidTr="00B20E4D">
        <w:tc>
          <w:tcPr>
            <w:tcW w:w="1008" w:type="dxa"/>
          </w:tcPr>
          <w:p w14:paraId="6BB90E15" w14:textId="77777777" w:rsidR="002641D2" w:rsidRPr="00FA3F9C" w:rsidRDefault="002641D2" w:rsidP="006F623F">
            <w:pPr>
              <w:rPr>
                <w:rFonts w:ascii="Arial" w:hAnsi="Arial" w:cs="Arial"/>
                <w:sz w:val="24"/>
                <w:szCs w:val="24"/>
              </w:rPr>
            </w:pPr>
            <w:r w:rsidRPr="00FA3F9C">
              <w:rPr>
                <w:rFonts w:ascii="Arial" w:hAnsi="Arial" w:cs="Arial"/>
                <w:sz w:val="24"/>
                <w:szCs w:val="24"/>
              </w:rPr>
              <w:t>2/20/15</w:t>
            </w:r>
          </w:p>
        </w:tc>
        <w:tc>
          <w:tcPr>
            <w:tcW w:w="8640" w:type="dxa"/>
          </w:tcPr>
          <w:p w14:paraId="355E1EFC" w14:textId="77777777" w:rsidR="002641D2" w:rsidRPr="00FA3F9C" w:rsidRDefault="002641D2" w:rsidP="006F623F">
            <w:pPr>
              <w:rPr>
                <w:rFonts w:ascii="Arial" w:hAnsi="Arial" w:cs="Arial"/>
                <w:sz w:val="24"/>
                <w:szCs w:val="24"/>
              </w:rPr>
            </w:pPr>
            <w:r w:rsidRPr="00FA3F9C">
              <w:rPr>
                <w:rFonts w:ascii="Arial" w:hAnsi="Arial" w:cs="Arial"/>
                <w:sz w:val="24"/>
                <w:szCs w:val="24"/>
              </w:rPr>
              <w:t>I wrote the criteria.</w:t>
            </w:r>
          </w:p>
        </w:tc>
        <w:tc>
          <w:tcPr>
            <w:tcW w:w="1368" w:type="dxa"/>
          </w:tcPr>
          <w:p w14:paraId="76D77DFD" w14:textId="77777777" w:rsidR="002641D2" w:rsidRPr="00FA3F9C" w:rsidRDefault="002641D2" w:rsidP="006F623F">
            <w:pPr>
              <w:rPr>
                <w:rFonts w:ascii="Arial" w:hAnsi="Arial" w:cs="Arial"/>
                <w:sz w:val="24"/>
                <w:szCs w:val="24"/>
              </w:rPr>
            </w:pPr>
            <w:r w:rsidRPr="00FA3F9C">
              <w:rPr>
                <w:rFonts w:ascii="Arial" w:hAnsi="Arial" w:cs="Arial"/>
                <w:sz w:val="24"/>
                <w:szCs w:val="24"/>
              </w:rPr>
              <w:t>JJ</w:t>
            </w:r>
          </w:p>
        </w:tc>
      </w:tr>
      <w:tr w:rsidR="002641D2" w:rsidRPr="00FA3F9C" w14:paraId="3000542C" w14:textId="77777777" w:rsidTr="00B20E4D">
        <w:tc>
          <w:tcPr>
            <w:tcW w:w="1008" w:type="dxa"/>
          </w:tcPr>
          <w:p w14:paraId="331A04A1" w14:textId="77777777" w:rsidR="002641D2" w:rsidRPr="00FA3F9C" w:rsidRDefault="002641D2" w:rsidP="006F623F">
            <w:pPr>
              <w:rPr>
                <w:rFonts w:ascii="Arial" w:hAnsi="Arial" w:cs="Arial"/>
                <w:sz w:val="24"/>
                <w:szCs w:val="24"/>
              </w:rPr>
            </w:pPr>
            <w:r w:rsidRPr="00FA3F9C">
              <w:rPr>
                <w:rFonts w:ascii="Arial" w:hAnsi="Arial" w:cs="Arial"/>
                <w:sz w:val="24"/>
                <w:szCs w:val="24"/>
              </w:rPr>
              <w:t>3/1/16</w:t>
            </w:r>
          </w:p>
        </w:tc>
        <w:tc>
          <w:tcPr>
            <w:tcW w:w="8640" w:type="dxa"/>
          </w:tcPr>
          <w:p w14:paraId="083055AE" w14:textId="77777777" w:rsidR="002641D2" w:rsidRPr="00FA3F9C" w:rsidRDefault="002641D2" w:rsidP="00B20E4D">
            <w:pPr>
              <w:rPr>
                <w:rFonts w:ascii="Arial" w:hAnsi="Arial" w:cs="Arial"/>
                <w:sz w:val="24"/>
                <w:szCs w:val="24"/>
              </w:rPr>
            </w:pPr>
            <w:r w:rsidRPr="00FA3F9C">
              <w:rPr>
                <w:rFonts w:ascii="Arial" w:hAnsi="Arial" w:cs="Arial"/>
                <w:sz w:val="24"/>
                <w:szCs w:val="24"/>
              </w:rPr>
              <w:t xml:space="preserve">AM and I re-looked at the data for follicular lymphoma.  For </w:t>
            </w:r>
            <w:proofErr w:type="spellStart"/>
            <w:r w:rsidRPr="00FA3F9C">
              <w:rPr>
                <w:rFonts w:ascii="Arial" w:hAnsi="Arial" w:cs="Arial"/>
                <w:sz w:val="24"/>
                <w:szCs w:val="24"/>
              </w:rPr>
              <w:t>idelalisib</w:t>
            </w:r>
            <w:proofErr w:type="spellEnd"/>
            <w:r w:rsidRPr="00FA3F9C">
              <w:rPr>
                <w:rFonts w:ascii="Arial" w:hAnsi="Arial" w:cs="Arial"/>
                <w:sz w:val="24"/>
                <w:szCs w:val="24"/>
              </w:rPr>
              <w:t xml:space="preserve"> in follicular non-</w:t>
            </w:r>
            <w:proofErr w:type="spellStart"/>
            <w:proofErr w:type="gramStart"/>
            <w:r w:rsidRPr="00FA3F9C">
              <w:rPr>
                <w:rFonts w:ascii="Arial" w:hAnsi="Arial" w:cs="Arial"/>
                <w:sz w:val="24"/>
                <w:szCs w:val="24"/>
              </w:rPr>
              <w:t>Hodkins</w:t>
            </w:r>
            <w:proofErr w:type="spellEnd"/>
            <w:proofErr w:type="gramEnd"/>
            <w:r w:rsidRPr="00FA3F9C">
              <w:rPr>
                <w:rFonts w:ascii="Arial" w:hAnsi="Arial" w:cs="Arial"/>
                <w:sz w:val="24"/>
                <w:szCs w:val="24"/>
              </w:rPr>
              <w:t xml:space="preserve"> lymphoma, to date (3/1/16), there are no comparative data to show </w:t>
            </w:r>
            <w:proofErr w:type="spellStart"/>
            <w:r w:rsidRPr="00FA3F9C">
              <w:rPr>
                <w:rFonts w:ascii="Arial" w:hAnsi="Arial" w:cs="Arial"/>
                <w:sz w:val="24"/>
                <w:szCs w:val="24"/>
              </w:rPr>
              <w:t>idelalisib</w:t>
            </w:r>
            <w:proofErr w:type="spellEnd"/>
            <w:r w:rsidRPr="00FA3F9C">
              <w:rPr>
                <w:rFonts w:ascii="Arial" w:hAnsi="Arial" w:cs="Arial"/>
                <w:sz w:val="24"/>
                <w:szCs w:val="24"/>
              </w:rPr>
              <w:t xml:space="preserve"> is superior to any other drug.  The National Comprehensive Cancer Network (NCCN) has not established a standard of care nor do the existing trials inform this decision.  NCCN suggests clinical trial, local radiation therapy, or </w:t>
            </w:r>
            <w:proofErr w:type="spellStart"/>
            <w:r w:rsidRPr="00FA3F9C">
              <w:rPr>
                <w:rFonts w:ascii="Arial" w:hAnsi="Arial" w:cs="Arial"/>
                <w:sz w:val="24"/>
                <w:szCs w:val="24"/>
              </w:rPr>
              <w:t>bendamustine+rituximab</w:t>
            </w:r>
            <w:proofErr w:type="spellEnd"/>
            <w:r w:rsidRPr="00FA3F9C">
              <w:rPr>
                <w:rFonts w:ascii="Arial" w:hAnsi="Arial" w:cs="Arial"/>
                <w:sz w:val="24"/>
                <w:szCs w:val="24"/>
              </w:rPr>
              <w:t xml:space="preserve"> (category 1), or RCHOP, or RCVP, all as category 1 regimens but may not have progression free survival or overall survival superiority data to support their use either.</w:t>
            </w:r>
          </w:p>
          <w:p w14:paraId="4153A8BC" w14:textId="77777777" w:rsidR="002641D2" w:rsidRPr="00FA3F9C" w:rsidRDefault="002641D2" w:rsidP="00B20E4D">
            <w:pPr>
              <w:rPr>
                <w:rFonts w:ascii="Arial" w:hAnsi="Arial" w:cs="Arial"/>
                <w:sz w:val="24"/>
                <w:szCs w:val="24"/>
              </w:rPr>
            </w:pPr>
          </w:p>
          <w:p w14:paraId="417D1ACD" w14:textId="77777777" w:rsidR="002641D2" w:rsidRPr="00FA3F9C" w:rsidRDefault="002641D2" w:rsidP="00B20E4D">
            <w:pPr>
              <w:rPr>
                <w:rFonts w:ascii="Arial" w:hAnsi="Arial" w:cs="Arial"/>
                <w:sz w:val="24"/>
                <w:szCs w:val="24"/>
              </w:rPr>
            </w:pPr>
            <w:r w:rsidRPr="00FA3F9C">
              <w:rPr>
                <w:rFonts w:ascii="Arial" w:hAnsi="Arial" w:cs="Arial"/>
                <w:sz w:val="24"/>
                <w:szCs w:val="24"/>
              </w:rPr>
              <w:t xml:space="preserve">The one single arm trial published in 2014 was the last clinical trial published for </w:t>
            </w:r>
            <w:proofErr w:type="spellStart"/>
            <w:r w:rsidRPr="00FA3F9C">
              <w:rPr>
                <w:rFonts w:ascii="Arial" w:hAnsi="Arial" w:cs="Arial"/>
                <w:sz w:val="24"/>
                <w:szCs w:val="24"/>
              </w:rPr>
              <w:t>idelalisib</w:t>
            </w:r>
            <w:proofErr w:type="spellEnd"/>
            <w:r w:rsidRPr="00FA3F9C">
              <w:rPr>
                <w:rFonts w:ascii="Arial" w:hAnsi="Arial" w:cs="Arial"/>
                <w:sz w:val="24"/>
                <w:szCs w:val="24"/>
              </w:rPr>
              <w:t>.  The FDA approved the drug under accelerated approval.  The manufacturer’s package insert also does not include further data to inform the comparative efficacy question.</w:t>
            </w:r>
          </w:p>
          <w:p w14:paraId="7779F087" w14:textId="77777777" w:rsidR="002641D2" w:rsidRPr="00FA3F9C" w:rsidRDefault="002641D2" w:rsidP="00B20E4D">
            <w:pPr>
              <w:rPr>
                <w:rFonts w:ascii="Arial" w:hAnsi="Arial" w:cs="Arial"/>
                <w:sz w:val="24"/>
                <w:szCs w:val="24"/>
              </w:rPr>
            </w:pPr>
            <w:r w:rsidRPr="00FA3F9C">
              <w:rPr>
                <w:rFonts w:ascii="Arial" w:hAnsi="Arial" w:cs="Arial"/>
                <w:sz w:val="24"/>
                <w:szCs w:val="24"/>
              </w:rPr>
              <w:t>References:</w:t>
            </w:r>
          </w:p>
          <w:p w14:paraId="1C0D64E1" w14:textId="77777777" w:rsidR="002641D2" w:rsidRPr="00FA3F9C" w:rsidRDefault="002641D2" w:rsidP="00B20E4D">
            <w:pPr>
              <w:rPr>
                <w:rFonts w:ascii="Arial" w:hAnsi="Arial" w:cs="Arial"/>
                <w:sz w:val="24"/>
                <w:szCs w:val="24"/>
              </w:rPr>
            </w:pPr>
            <w:r w:rsidRPr="00FA3F9C">
              <w:rPr>
                <w:rFonts w:ascii="Arial" w:hAnsi="Arial" w:cs="Arial"/>
                <w:sz w:val="24"/>
                <w:szCs w:val="24"/>
              </w:rPr>
              <w:t xml:space="preserve">1.  </w:t>
            </w:r>
            <w:hyperlink r:id="rId233" w:history="1">
              <w:r w:rsidRPr="00FA3F9C">
                <w:rPr>
                  <w:rStyle w:val="Hyperlink"/>
                  <w:rFonts w:ascii="Arial" w:hAnsi="Arial" w:cs="Arial"/>
                  <w:sz w:val="24"/>
                  <w:szCs w:val="24"/>
                </w:rPr>
                <w:t>http://zydelig.com/include/media/pdf/full-prescribing-information.pdf</w:t>
              </w:r>
            </w:hyperlink>
            <w:r w:rsidRPr="00FA3F9C">
              <w:rPr>
                <w:rFonts w:ascii="Arial" w:hAnsi="Arial" w:cs="Arial"/>
                <w:sz w:val="24"/>
                <w:szCs w:val="24"/>
              </w:rPr>
              <w:t xml:space="preserve"> Accessed 3/1/16.</w:t>
            </w:r>
          </w:p>
          <w:p w14:paraId="48E3CCB3" w14:textId="77777777" w:rsidR="002641D2" w:rsidRPr="00FA3F9C" w:rsidRDefault="002641D2" w:rsidP="00B20E4D">
            <w:pPr>
              <w:rPr>
                <w:rFonts w:ascii="Arial" w:hAnsi="Arial" w:cs="Arial"/>
                <w:sz w:val="24"/>
                <w:szCs w:val="24"/>
              </w:rPr>
            </w:pPr>
            <w:r w:rsidRPr="00500AD5">
              <w:rPr>
                <w:rFonts w:ascii="Arial" w:hAnsi="Arial" w:cs="Arial"/>
                <w:sz w:val="24"/>
                <w:szCs w:val="24"/>
                <w:lang w:val="fr-FR"/>
              </w:rPr>
              <w:t>2.  NCCN.org.  Non-</w:t>
            </w:r>
            <w:proofErr w:type="spellStart"/>
            <w:r w:rsidRPr="00500AD5">
              <w:rPr>
                <w:rFonts w:ascii="Arial" w:hAnsi="Arial" w:cs="Arial"/>
                <w:sz w:val="24"/>
                <w:szCs w:val="24"/>
                <w:lang w:val="fr-FR"/>
              </w:rPr>
              <w:t>Hodkin’s</w:t>
            </w:r>
            <w:proofErr w:type="spellEnd"/>
            <w:r w:rsidRPr="00500AD5">
              <w:rPr>
                <w:rFonts w:ascii="Arial" w:hAnsi="Arial" w:cs="Arial"/>
                <w:sz w:val="24"/>
                <w:szCs w:val="24"/>
                <w:lang w:val="fr-FR"/>
              </w:rPr>
              <w:t xml:space="preserve"> </w:t>
            </w:r>
            <w:proofErr w:type="spellStart"/>
            <w:r w:rsidRPr="00500AD5">
              <w:rPr>
                <w:rFonts w:ascii="Arial" w:hAnsi="Arial" w:cs="Arial"/>
                <w:sz w:val="24"/>
                <w:szCs w:val="24"/>
                <w:lang w:val="fr-FR"/>
              </w:rPr>
              <w:t>Lymphoma</w:t>
            </w:r>
            <w:proofErr w:type="spellEnd"/>
            <w:r w:rsidRPr="00500AD5">
              <w:rPr>
                <w:rFonts w:ascii="Arial" w:hAnsi="Arial" w:cs="Arial"/>
                <w:sz w:val="24"/>
                <w:szCs w:val="24"/>
                <w:lang w:val="fr-FR"/>
              </w:rPr>
              <w:t xml:space="preserve">.  </w:t>
            </w:r>
            <w:r w:rsidRPr="00FA3F9C">
              <w:rPr>
                <w:rFonts w:ascii="Arial" w:hAnsi="Arial" w:cs="Arial"/>
                <w:sz w:val="24"/>
                <w:szCs w:val="24"/>
              </w:rPr>
              <w:t xml:space="preserve">Accessed 3/1/16.  </w:t>
            </w:r>
            <w:hyperlink r:id="rId234" w:history="1">
              <w:r w:rsidRPr="00FA3F9C">
                <w:rPr>
                  <w:rStyle w:val="Hyperlink"/>
                  <w:rFonts w:ascii="Arial" w:hAnsi="Arial" w:cs="Arial"/>
                  <w:sz w:val="24"/>
                  <w:szCs w:val="24"/>
                </w:rPr>
                <w:t>http://www.nccn.org/professionals/physician_gls/pdf/nhl.pdf</w:t>
              </w:r>
            </w:hyperlink>
          </w:p>
          <w:p w14:paraId="6630DB5F" w14:textId="77777777" w:rsidR="002641D2" w:rsidRPr="00FA3F9C" w:rsidRDefault="002641D2" w:rsidP="006F623F">
            <w:pPr>
              <w:rPr>
                <w:rFonts w:ascii="Arial" w:eastAsia="Times New Roman" w:hAnsi="Arial" w:cs="Arial"/>
                <w:sz w:val="24"/>
                <w:szCs w:val="24"/>
              </w:rPr>
            </w:pPr>
            <w:r w:rsidRPr="00500AD5">
              <w:rPr>
                <w:rFonts w:ascii="Arial" w:hAnsi="Arial" w:cs="Arial"/>
                <w:sz w:val="24"/>
                <w:szCs w:val="24"/>
                <w:lang w:val="fr-FR"/>
              </w:rPr>
              <w:t xml:space="preserve">3.  </w:t>
            </w:r>
            <w:proofErr w:type="spellStart"/>
            <w:r w:rsidRPr="00500AD5">
              <w:rPr>
                <w:rFonts w:ascii="Arial" w:hAnsi="Arial" w:cs="Arial"/>
                <w:sz w:val="24"/>
                <w:szCs w:val="24"/>
                <w:lang w:val="fr-FR"/>
              </w:rPr>
              <w:t>Gopal</w:t>
            </w:r>
            <w:proofErr w:type="spellEnd"/>
            <w:r w:rsidRPr="00500AD5">
              <w:rPr>
                <w:rFonts w:ascii="Arial" w:hAnsi="Arial" w:cs="Arial"/>
                <w:sz w:val="24"/>
                <w:szCs w:val="24"/>
                <w:lang w:val="fr-FR"/>
              </w:rPr>
              <w:t xml:space="preserve"> AK, </w:t>
            </w:r>
            <w:proofErr w:type="spellStart"/>
            <w:r w:rsidRPr="00500AD5">
              <w:rPr>
                <w:rFonts w:ascii="Arial" w:hAnsi="Arial" w:cs="Arial"/>
                <w:sz w:val="24"/>
                <w:szCs w:val="24"/>
                <w:lang w:val="fr-FR"/>
              </w:rPr>
              <w:t>Kahl</w:t>
            </w:r>
            <w:proofErr w:type="spellEnd"/>
            <w:r w:rsidRPr="00500AD5">
              <w:rPr>
                <w:rFonts w:ascii="Arial" w:hAnsi="Arial" w:cs="Arial"/>
                <w:sz w:val="24"/>
                <w:szCs w:val="24"/>
                <w:lang w:val="fr-FR"/>
              </w:rPr>
              <w:t xml:space="preserve"> BS, et al.  </w:t>
            </w:r>
            <w:r w:rsidRPr="00FA3F9C">
              <w:rPr>
                <w:rFonts w:ascii="Arial" w:eastAsia="Times New Roman" w:hAnsi="Arial" w:cs="Arial"/>
                <w:sz w:val="24"/>
                <w:szCs w:val="24"/>
              </w:rPr>
              <w:t xml:space="preserve">PI3Kδ Inhibition by </w:t>
            </w:r>
            <w:proofErr w:type="spellStart"/>
            <w:r w:rsidRPr="00FA3F9C">
              <w:rPr>
                <w:rFonts w:ascii="Arial" w:eastAsia="Times New Roman" w:hAnsi="Arial" w:cs="Arial"/>
                <w:sz w:val="24"/>
                <w:szCs w:val="24"/>
              </w:rPr>
              <w:t>Idelalisib</w:t>
            </w:r>
            <w:proofErr w:type="spellEnd"/>
            <w:r w:rsidRPr="00FA3F9C">
              <w:rPr>
                <w:rFonts w:ascii="Arial" w:eastAsia="Times New Roman" w:hAnsi="Arial" w:cs="Arial"/>
                <w:sz w:val="24"/>
                <w:szCs w:val="24"/>
              </w:rPr>
              <w:t xml:space="preserve"> in Patients with Relapsed Indolent Lymphoma. N </w:t>
            </w:r>
            <w:proofErr w:type="spellStart"/>
            <w:r w:rsidRPr="00FA3F9C">
              <w:rPr>
                <w:rFonts w:ascii="Arial" w:eastAsia="Times New Roman" w:hAnsi="Arial" w:cs="Arial"/>
                <w:sz w:val="24"/>
                <w:szCs w:val="24"/>
              </w:rPr>
              <w:t>Engl</w:t>
            </w:r>
            <w:proofErr w:type="spellEnd"/>
            <w:r w:rsidRPr="00FA3F9C">
              <w:rPr>
                <w:rFonts w:ascii="Arial" w:eastAsia="Times New Roman" w:hAnsi="Arial" w:cs="Arial"/>
                <w:sz w:val="24"/>
                <w:szCs w:val="24"/>
              </w:rPr>
              <w:t xml:space="preserve"> J Med 2014;370:1008-18.</w:t>
            </w:r>
          </w:p>
        </w:tc>
        <w:tc>
          <w:tcPr>
            <w:tcW w:w="1368" w:type="dxa"/>
          </w:tcPr>
          <w:p w14:paraId="7B5CBE60" w14:textId="77777777" w:rsidR="002641D2" w:rsidRPr="00FA3F9C" w:rsidRDefault="002641D2" w:rsidP="006F623F">
            <w:pPr>
              <w:rPr>
                <w:rFonts w:ascii="Arial" w:hAnsi="Arial" w:cs="Arial"/>
                <w:sz w:val="24"/>
                <w:szCs w:val="24"/>
              </w:rPr>
            </w:pPr>
            <w:r w:rsidRPr="00FA3F9C">
              <w:rPr>
                <w:rFonts w:ascii="Arial" w:hAnsi="Arial" w:cs="Arial"/>
                <w:sz w:val="24"/>
                <w:szCs w:val="24"/>
              </w:rPr>
              <w:t>JJ</w:t>
            </w:r>
          </w:p>
        </w:tc>
      </w:tr>
      <w:tr w:rsidR="002641D2" w:rsidRPr="00FA3F9C" w14:paraId="4E266C27" w14:textId="77777777" w:rsidTr="00B20E4D">
        <w:tc>
          <w:tcPr>
            <w:tcW w:w="1008" w:type="dxa"/>
          </w:tcPr>
          <w:p w14:paraId="17A9FA06" w14:textId="77777777" w:rsidR="002641D2" w:rsidRPr="00FA3F9C" w:rsidRDefault="002641D2" w:rsidP="006F623F">
            <w:pPr>
              <w:rPr>
                <w:rFonts w:ascii="Arial" w:hAnsi="Arial" w:cs="Arial"/>
                <w:sz w:val="24"/>
                <w:szCs w:val="24"/>
              </w:rPr>
            </w:pPr>
            <w:r w:rsidRPr="00FA3F9C">
              <w:rPr>
                <w:rFonts w:ascii="Arial" w:hAnsi="Arial" w:cs="Arial"/>
                <w:sz w:val="24"/>
                <w:szCs w:val="24"/>
              </w:rPr>
              <w:t>7/18/19</w:t>
            </w:r>
          </w:p>
        </w:tc>
        <w:tc>
          <w:tcPr>
            <w:tcW w:w="8640" w:type="dxa"/>
          </w:tcPr>
          <w:p w14:paraId="6EE96A14" w14:textId="77777777" w:rsidR="002641D2" w:rsidRPr="00FA3F9C" w:rsidRDefault="002641D2" w:rsidP="009A1399">
            <w:pPr>
              <w:rPr>
                <w:rFonts w:ascii="Arial" w:hAnsi="Arial" w:cs="Arial"/>
                <w:sz w:val="24"/>
                <w:szCs w:val="24"/>
              </w:rPr>
            </w:pPr>
            <w:r w:rsidRPr="00FA3F9C">
              <w:rPr>
                <w:rFonts w:ascii="Arial" w:hAnsi="Arial" w:cs="Arial"/>
                <w:sz w:val="24"/>
                <w:szCs w:val="24"/>
              </w:rPr>
              <w:t xml:space="preserve">Criteria reviewed. Require use of </w:t>
            </w:r>
            <w:proofErr w:type="spellStart"/>
            <w:r w:rsidRPr="00FA3F9C">
              <w:rPr>
                <w:rFonts w:ascii="Arial" w:hAnsi="Arial" w:cs="Arial"/>
                <w:sz w:val="24"/>
                <w:szCs w:val="24"/>
              </w:rPr>
              <w:t>idelalisib</w:t>
            </w:r>
            <w:proofErr w:type="spellEnd"/>
            <w:r w:rsidRPr="00FA3F9C">
              <w:rPr>
                <w:rFonts w:ascii="Arial" w:hAnsi="Arial" w:cs="Arial"/>
                <w:sz w:val="24"/>
                <w:szCs w:val="24"/>
              </w:rPr>
              <w:t xml:space="preserve"> with rituximab. No other significant changes</w:t>
            </w:r>
          </w:p>
        </w:tc>
        <w:tc>
          <w:tcPr>
            <w:tcW w:w="1368" w:type="dxa"/>
          </w:tcPr>
          <w:p w14:paraId="0B97806C" w14:textId="77777777" w:rsidR="002641D2" w:rsidRPr="00FA3F9C" w:rsidRDefault="002641D2" w:rsidP="006F623F">
            <w:pPr>
              <w:rPr>
                <w:rFonts w:ascii="Arial" w:hAnsi="Arial" w:cs="Arial"/>
                <w:sz w:val="24"/>
                <w:szCs w:val="24"/>
              </w:rPr>
            </w:pPr>
            <w:proofErr w:type="spellStart"/>
            <w:r w:rsidRPr="00FA3F9C">
              <w:rPr>
                <w:rFonts w:ascii="Arial" w:hAnsi="Arial" w:cs="Arial"/>
                <w:sz w:val="24"/>
                <w:szCs w:val="24"/>
              </w:rPr>
              <w:t>Sk</w:t>
            </w:r>
            <w:proofErr w:type="spellEnd"/>
          </w:p>
        </w:tc>
      </w:tr>
      <w:tr w:rsidR="002641D2" w:rsidRPr="00FA3F9C" w14:paraId="644C1FC7" w14:textId="77777777" w:rsidTr="00B20E4D">
        <w:tc>
          <w:tcPr>
            <w:tcW w:w="1008" w:type="dxa"/>
          </w:tcPr>
          <w:p w14:paraId="330FE17F" w14:textId="77777777" w:rsidR="002641D2" w:rsidRPr="00FA3F9C" w:rsidRDefault="002641D2" w:rsidP="006F623F">
            <w:pPr>
              <w:rPr>
                <w:rFonts w:ascii="Arial" w:hAnsi="Arial" w:cs="Arial"/>
                <w:sz w:val="24"/>
                <w:szCs w:val="24"/>
              </w:rPr>
            </w:pPr>
            <w:r w:rsidRPr="00FA3F9C">
              <w:rPr>
                <w:rFonts w:ascii="Arial" w:hAnsi="Arial" w:cs="Arial"/>
                <w:sz w:val="24"/>
                <w:szCs w:val="24"/>
              </w:rPr>
              <w:t>1/29/2020</w:t>
            </w:r>
          </w:p>
        </w:tc>
        <w:tc>
          <w:tcPr>
            <w:tcW w:w="8640" w:type="dxa"/>
          </w:tcPr>
          <w:p w14:paraId="034A8A00" w14:textId="77777777" w:rsidR="002641D2" w:rsidRPr="00FA3F9C" w:rsidRDefault="002641D2" w:rsidP="009A1399">
            <w:pPr>
              <w:rPr>
                <w:rFonts w:ascii="Arial" w:hAnsi="Arial" w:cs="Arial"/>
                <w:sz w:val="24"/>
                <w:szCs w:val="24"/>
              </w:rPr>
            </w:pPr>
            <w:r w:rsidRPr="00FA3F9C">
              <w:rPr>
                <w:rFonts w:ascii="Arial" w:hAnsi="Arial" w:cs="Arial"/>
                <w:sz w:val="24"/>
                <w:szCs w:val="24"/>
              </w:rPr>
              <w:t>Criteria reviewed. No change.</w:t>
            </w:r>
          </w:p>
        </w:tc>
        <w:tc>
          <w:tcPr>
            <w:tcW w:w="1368" w:type="dxa"/>
          </w:tcPr>
          <w:p w14:paraId="5D9CD2B4" w14:textId="77777777" w:rsidR="002641D2" w:rsidRPr="00FA3F9C" w:rsidRDefault="002641D2" w:rsidP="006F623F">
            <w:pPr>
              <w:rPr>
                <w:rFonts w:ascii="Arial" w:hAnsi="Arial" w:cs="Arial"/>
                <w:sz w:val="24"/>
                <w:szCs w:val="24"/>
              </w:rPr>
            </w:pPr>
            <w:r w:rsidRPr="00FA3F9C">
              <w:rPr>
                <w:rFonts w:ascii="Arial" w:hAnsi="Arial" w:cs="Arial"/>
                <w:sz w:val="24"/>
                <w:szCs w:val="24"/>
              </w:rPr>
              <w:t>SK</w:t>
            </w:r>
          </w:p>
        </w:tc>
      </w:tr>
      <w:tr w:rsidR="002641D2" w:rsidRPr="00FA3F9C" w14:paraId="44FBB1A9" w14:textId="77777777" w:rsidTr="00B20E4D">
        <w:tc>
          <w:tcPr>
            <w:tcW w:w="1008" w:type="dxa"/>
          </w:tcPr>
          <w:p w14:paraId="576C04B6" w14:textId="77777777" w:rsidR="002641D2" w:rsidRPr="00FA3F9C" w:rsidRDefault="002641D2" w:rsidP="006F623F">
            <w:pPr>
              <w:rPr>
                <w:rFonts w:ascii="Arial" w:hAnsi="Arial" w:cs="Arial"/>
                <w:sz w:val="24"/>
                <w:szCs w:val="24"/>
              </w:rPr>
            </w:pPr>
            <w:r w:rsidRPr="00FA3F9C">
              <w:rPr>
                <w:rFonts w:ascii="Arial" w:hAnsi="Arial" w:cs="Arial"/>
                <w:sz w:val="24"/>
                <w:szCs w:val="24"/>
              </w:rPr>
              <w:t>3/29/2021</w:t>
            </w:r>
          </w:p>
        </w:tc>
        <w:tc>
          <w:tcPr>
            <w:tcW w:w="8640" w:type="dxa"/>
          </w:tcPr>
          <w:p w14:paraId="65FD97C7" w14:textId="77777777" w:rsidR="002641D2" w:rsidRPr="00FA3F9C" w:rsidRDefault="002641D2" w:rsidP="009A1399">
            <w:pPr>
              <w:rPr>
                <w:rFonts w:ascii="Arial" w:hAnsi="Arial" w:cs="Arial"/>
                <w:sz w:val="24"/>
                <w:szCs w:val="24"/>
              </w:rPr>
            </w:pPr>
            <w:r w:rsidRPr="00FA3F9C">
              <w:rPr>
                <w:rFonts w:ascii="Arial" w:hAnsi="Arial" w:cs="Arial"/>
                <w:sz w:val="24"/>
                <w:szCs w:val="24"/>
              </w:rPr>
              <w:t>Criteria reviewed. No change. Found no further data for follicular lymphoma</w:t>
            </w:r>
          </w:p>
        </w:tc>
        <w:tc>
          <w:tcPr>
            <w:tcW w:w="1368" w:type="dxa"/>
          </w:tcPr>
          <w:p w14:paraId="4CB48914" w14:textId="77777777" w:rsidR="002641D2" w:rsidRPr="00FA3F9C" w:rsidRDefault="002641D2" w:rsidP="006F623F">
            <w:pPr>
              <w:rPr>
                <w:rFonts w:ascii="Arial" w:hAnsi="Arial" w:cs="Arial"/>
                <w:sz w:val="24"/>
                <w:szCs w:val="24"/>
              </w:rPr>
            </w:pPr>
            <w:r w:rsidRPr="00FA3F9C">
              <w:rPr>
                <w:rFonts w:ascii="Arial" w:hAnsi="Arial" w:cs="Arial"/>
                <w:sz w:val="24"/>
                <w:szCs w:val="24"/>
              </w:rPr>
              <w:t>SK</w:t>
            </w:r>
          </w:p>
        </w:tc>
      </w:tr>
      <w:tr w:rsidR="002641D2" w:rsidRPr="00FA3F9C" w14:paraId="30C944B7" w14:textId="77777777" w:rsidTr="00B20E4D">
        <w:tc>
          <w:tcPr>
            <w:tcW w:w="1008" w:type="dxa"/>
          </w:tcPr>
          <w:p w14:paraId="06DB81BB" w14:textId="77777777" w:rsidR="002641D2" w:rsidRPr="00FA3F9C" w:rsidRDefault="002641D2" w:rsidP="006F623F">
            <w:pPr>
              <w:rPr>
                <w:rFonts w:ascii="Arial" w:hAnsi="Arial" w:cs="Arial"/>
                <w:sz w:val="24"/>
                <w:szCs w:val="24"/>
              </w:rPr>
            </w:pPr>
            <w:r w:rsidRPr="00FA3F9C">
              <w:rPr>
                <w:rFonts w:ascii="Arial" w:hAnsi="Arial" w:cs="Arial"/>
                <w:sz w:val="24"/>
                <w:szCs w:val="24"/>
              </w:rPr>
              <w:t>4/19/2022</w:t>
            </w:r>
          </w:p>
        </w:tc>
        <w:tc>
          <w:tcPr>
            <w:tcW w:w="8640" w:type="dxa"/>
          </w:tcPr>
          <w:p w14:paraId="2E0C948A" w14:textId="77777777" w:rsidR="002641D2" w:rsidRPr="00FA3F9C" w:rsidRDefault="002641D2" w:rsidP="00C656FE">
            <w:pPr>
              <w:rPr>
                <w:rFonts w:ascii="Arial" w:hAnsi="Arial" w:cs="Arial"/>
                <w:sz w:val="24"/>
                <w:szCs w:val="24"/>
              </w:rPr>
            </w:pPr>
            <w:r w:rsidRPr="00FA3F9C">
              <w:rPr>
                <w:rFonts w:ascii="Arial" w:hAnsi="Arial" w:cs="Arial"/>
                <w:sz w:val="24"/>
                <w:szCs w:val="24"/>
              </w:rPr>
              <w:t>1. Removed the following indications from FDA approvals (</w:t>
            </w:r>
            <w:proofErr w:type="spellStart"/>
            <w:r w:rsidRPr="00FA3F9C">
              <w:rPr>
                <w:rFonts w:ascii="Arial" w:hAnsi="Arial" w:cs="Arial"/>
                <w:sz w:val="24"/>
                <w:szCs w:val="24"/>
              </w:rPr>
              <w:t>mfr</w:t>
            </w:r>
            <w:proofErr w:type="spellEnd"/>
            <w:r w:rsidRPr="00FA3F9C">
              <w:rPr>
                <w:rFonts w:ascii="Arial" w:hAnsi="Arial" w:cs="Arial"/>
                <w:sz w:val="24"/>
                <w:szCs w:val="24"/>
              </w:rPr>
              <w:t xml:space="preserve"> withdrew FDA approval)</w:t>
            </w:r>
          </w:p>
          <w:p w14:paraId="33AB2F0D" w14:textId="77777777" w:rsidR="002641D2" w:rsidRPr="00FA3F9C" w:rsidRDefault="002641D2" w:rsidP="002641D2">
            <w:pPr>
              <w:pStyle w:val="ListParagraph"/>
              <w:numPr>
                <w:ilvl w:val="0"/>
                <w:numId w:val="261"/>
              </w:numPr>
              <w:rPr>
                <w:rFonts w:ascii="Arial" w:hAnsi="Arial" w:cs="Arial"/>
                <w:sz w:val="24"/>
                <w:szCs w:val="24"/>
              </w:rPr>
            </w:pPr>
            <w:r w:rsidRPr="00FA3F9C">
              <w:rPr>
                <w:rFonts w:ascii="Arial" w:hAnsi="Arial" w:cs="Arial"/>
                <w:sz w:val="24"/>
                <w:szCs w:val="24"/>
              </w:rPr>
              <w:t xml:space="preserve">Relapsed follicular B-cell non-Hodgkin lymphoma (FL) in patients who have received at least two prior systemic therapies. </w:t>
            </w:r>
            <w:r w:rsidRPr="00FA3F9C">
              <w:rPr>
                <w:rFonts w:ascii="Arial" w:hAnsi="Arial" w:cs="Arial"/>
                <w:sz w:val="24"/>
                <w:szCs w:val="24"/>
                <w:highlight w:val="yellow"/>
              </w:rPr>
              <w:t>NOT COVERED</w:t>
            </w:r>
            <w:r w:rsidRPr="00FA3F9C">
              <w:rPr>
                <w:rFonts w:ascii="Arial" w:hAnsi="Arial" w:cs="Arial"/>
                <w:sz w:val="24"/>
                <w:szCs w:val="24"/>
              </w:rPr>
              <w:t xml:space="preserve"> </w:t>
            </w:r>
            <w:r w:rsidRPr="00FA3F9C">
              <w:rPr>
                <w:rFonts w:ascii="Arial" w:hAnsi="Arial" w:cs="Arial"/>
                <w:sz w:val="24"/>
                <w:szCs w:val="24"/>
              </w:rPr>
              <w:lastRenderedPageBreak/>
              <w:t xml:space="preserve">Data is limited to single arm, non-comparative trial (reference: Gopal AK et al.  </w:t>
            </w:r>
            <w:r w:rsidRPr="00FA3F9C">
              <w:rPr>
                <w:rFonts w:ascii="Arial" w:eastAsia="Times New Roman" w:hAnsi="Arial" w:cs="Arial"/>
                <w:sz w:val="24"/>
                <w:szCs w:val="24"/>
              </w:rPr>
              <w:t xml:space="preserve">N </w:t>
            </w:r>
            <w:proofErr w:type="spellStart"/>
            <w:r w:rsidRPr="00FA3F9C">
              <w:rPr>
                <w:rFonts w:ascii="Arial" w:eastAsia="Times New Roman" w:hAnsi="Arial" w:cs="Arial"/>
                <w:sz w:val="24"/>
                <w:szCs w:val="24"/>
              </w:rPr>
              <w:t>Engl</w:t>
            </w:r>
            <w:proofErr w:type="spellEnd"/>
            <w:r w:rsidRPr="00FA3F9C">
              <w:rPr>
                <w:rFonts w:ascii="Arial" w:eastAsia="Times New Roman" w:hAnsi="Arial" w:cs="Arial"/>
                <w:sz w:val="24"/>
                <w:szCs w:val="24"/>
              </w:rPr>
              <w:t xml:space="preserve"> J Med 2014;370:1008-18. PMID 24450858)</w:t>
            </w:r>
          </w:p>
          <w:p w14:paraId="4938D30C" w14:textId="77777777" w:rsidR="002641D2" w:rsidRPr="00FA3F9C" w:rsidRDefault="002641D2" w:rsidP="002641D2">
            <w:pPr>
              <w:pStyle w:val="ListParagraph"/>
              <w:numPr>
                <w:ilvl w:val="0"/>
                <w:numId w:val="261"/>
              </w:numPr>
              <w:rPr>
                <w:rFonts w:ascii="Arial" w:hAnsi="Arial" w:cs="Arial"/>
                <w:sz w:val="24"/>
                <w:szCs w:val="24"/>
              </w:rPr>
            </w:pPr>
            <w:r w:rsidRPr="00FA3F9C">
              <w:rPr>
                <w:rFonts w:ascii="Arial" w:hAnsi="Arial" w:cs="Arial"/>
                <w:sz w:val="24"/>
                <w:szCs w:val="24"/>
              </w:rPr>
              <w:t>Relapsed small lymphocytic lymphoma (SLL) in patients who have received at least two prior systemic therapies</w:t>
            </w:r>
          </w:p>
          <w:p w14:paraId="24055E95" w14:textId="77777777" w:rsidR="002641D2" w:rsidRPr="00FA3F9C" w:rsidRDefault="002641D2" w:rsidP="007031F6">
            <w:pPr>
              <w:rPr>
                <w:rFonts w:ascii="Arial" w:hAnsi="Arial" w:cs="Arial"/>
                <w:sz w:val="24"/>
                <w:szCs w:val="24"/>
              </w:rPr>
            </w:pPr>
            <w:r w:rsidRPr="00FA3F9C">
              <w:rPr>
                <w:rFonts w:ascii="Arial" w:hAnsi="Arial" w:cs="Arial"/>
                <w:sz w:val="24"/>
                <w:szCs w:val="24"/>
              </w:rPr>
              <w:t>2. In criteria, changed required diagnosis to CLL or SLL to only CLL to reflect indication change.</w:t>
            </w:r>
          </w:p>
          <w:p w14:paraId="7D0A5131" w14:textId="77777777" w:rsidR="002641D2" w:rsidRPr="00FA3F9C" w:rsidRDefault="002641D2" w:rsidP="009A1399">
            <w:pPr>
              <w:rPr>
                <w:rFonts w:ascii="Arial" w:hAnsi="Arial" w:cs="Arial"/>
                <w:sz w:val="24"/>
                <w:szCs w:val="24"/>
              </w:rPr>
            </w:pPr>
          </w:p>
        </w:tc>
        <w:tc>
          <w:tcPr>
            <w:tcW w:w="1368" w:type="dxa"/>
          </w:tcPr>
          <w:p w14:paraId="0FD9C78E" w14:textId="77777777" w:rsidR="002641D2" w:rsidRPr="00FA3F9C" w:rsidRDefault="002641D2" w:rsidP="006F623F">
            <w:pPr>
              <w:rPr>
                <w:rFonts w:ascii="Arial" w:hAnsi="Arial" w:cs="Arial"/>
                <w:sz w:val="24"/>
                <w:szCs w:val="24"/>
              </w:rPr>
            </w:pPr>
            <w:r w:rsidRPr="00FA3F9C">
              <w:rPr>
                <w:rFonts w:ascii="Arial" w:hAnsi="Arial" w:cs="Arial"/>
                <w:sz w:val="24"/>
                <w:szCs w:val="24"/>
              </w:rPr>
              <w:lastRenderedPageBreak/>
              <w:t>SK</w:t>
            </w:r>
          </w:p>
        </w:tc>
      </w:tr>
    </w:tbl>
    <w:p w14:paraId="345DE7D0" w14:textId="77777777" w:rsidR="002641D2" w:rsidRPr="00FA3F9C" w:rsidRDefault="002641D2" w:rsidP="006F623F">
      <w:pPr>
        <w:spacing w:after="0"/>
        <w:rPr>
          <w:rFonts w:ascii="Arial" w:hAnsi="Arial" w:cs="Arial"/>
          <w:sz w:val="24"/>
          <w:szCs w:val="24"/>
        </w:rPr>
      </w:pPr>
    </w:p>
    <w:p w14:paraId="3147F85A" w14:textId="77777777" w:rsidR="002641D2" w:rsidRPr="00FA3F9C" w:rsidRDefault="002641D2" w:rsidP="005E2908">
      <w:pPr>
        <w:pStyle w:val="Heading2"/>
      </w:pPr>
      <w:bookmarkStart w:id="141" w:name="_Toc106369823"/>
      <w:r w:rsidRPr="00FA3F9C">
        <w:t>Immune Globulins</w:t>
      </w:r>
      <w:bookmarkEnd w:id="141"/>
    </w:p>
    <w:p w14:paraId="310F62D9" w14:textId="77777777" w:rsidR="002641D2" w:rsidRPr="00FA3F9C" w:rsidRDefault="002641D2" w:rsidP="00114679">
      <w:pPr>
        <w:spacing w:after="0"/>
        <w:jc w:val="center"/>
        <w:rPr>
          <w:rFonts w:ascii="Arial" w:hAnsi="Arial" w:cs="Arial"/>
          <w:sz w:val="24"/>
          <w:szCs w:val="24"/>
        </w:rPr>
      </w:pPr>
      <w:r w:rsidRPr="00FA3F9C">
        <w:rPr>
          <w:rFonts w:ascii="Arial" w:hAnsi="Arial" w:cs="Arial"/>
          <w:sz w:val="24"/>
          <w:szCs w:val="24"/>
        </w:rPr>
        <w:t>EBRx PA Criteria</w:t>
      </w:r>
    </w:p>
    <w:p w14:paraId="364FE39E" w14:textId="77777777" w:rsidR="002641D2" w:rsidRPr="00FA3F9C" w:rsidRDefault="002641D2" w:rsidP="006F623F">
      <w:pPr>
        <w:spacing w:after="0"/>
        <w:jc w:val="center"/>
        <w:rPr>
          <w:rFonts w:ascii="Arial" w:hAnsi="Arial" w:cs="Arial"/>
          <w:sz w:val="24"/>
          <w:szCs w:val="24"/>
        </w:rPr>
      </w:pPr>
    </w:p>
    <w:p w14:paraId="31DBF47F" w14:textId="77777777" w:rsidR="002641D2" w:rsidRPr="00FA3F9C" w:rsidRDefault="002641D2" w:rsidP="006F623F">
      <w:pPr>
        <w:spacing w:after="0"/>
        <w:jc w:val="center"/>
        <w:rPr>
          <w:rFonts w:ascii="Arial" w:hAnsi="Arial" w:cs="Arial"/>
          <w:sz w:val="24"/>
          <w:szCs w:val="24"/>
        </w:rPr>
      </w:pPr>
      <w:r w:rsidRPr="00FA3F9C">
        <w:rPr>
          <w:rFonts w:ascii="Arial" w:hAnsi="Arial" w:cs="Arial"/>
          <w:sz w:val="24"/>
          <w:szCs w:val="24"/>
        </w:rPr>
        <w:t>Immune globulin gamma (IGG)-KLHW (</w:t>
      </w:r>
      <w:proofErr w:type="spellStart"/>
      <w:r w:rsidRPr="00FA3F9C">
        <w:rPr>
          <w:rFonts w:ascii="Arial" w:hAnsi="Arial" w:cs="Arial"/>
          <w:sz w:val="24"/>
          <w:szCs w:val="24"/>
        </w:rPr>
        <w:t>Xembify</w:t>
      </w:r>
      <w:proofErr w:type="spellEnd"/>
      <w:r w:rsidRPr="00FA3F9C">
        <w:rPr>
          <w:rFonts w:ascii="Arial" w:hAnsi="Arial" w:cs="Arial"/>
          <w:sz w:val="24"/>
          <w:szCs w:val="24"/>
        </w:rPr>
        <w:t>)*</w:t>
      </w:r>
    </w:p>
    <w:p w14:paraId="5E3F8CA5" w14:textId="77777777" w:rsidR="002641D2" w:rsidRPr="00FA3F9C" w:rsidRDefault="002641D2" w:rsidP="00CB3148">
      <w:pPr>
        <w:spacing w:after="0"/>
        <w:jc w:val="center"/>
        <w:rPr>
          <w:rFonts w:ascii="Arial" w:hAnsi="Arial" w:cs="Arial"/>
          <w:sz w:val="24"/>
          <w:szCs w:val="24"/>
        </w:rPr>
      </w:pPr>
      <w:proofErr w:type="spellStart"/>
      <w:r w:rsidRPr="00FA3F9C">
        <w:rPr>
          <w:rFonts w:ascii="Arial" w:hAnsi="Arial" w:cs="Arial"/>
          <w:sz w:val="24"/>
          <w:szCs w:val="24"/>
        </w:rPr>
        <w:t>Hyqvia</w:t>
      </w:r>
      <w:proofErr w:type="spellEnd"/>
      <w:r w:rsidRPr="00FA3F9C">
        <w:rPr>
          <w:rFonts w:ascii="Arial" w:hAnsi="Arial" w:cs="Arial"/>
          <w:sz w:val="24"/>
          <w:szCs w:val="24"/>
        </w:rPr>
        <w:t xml:space="preserve"> Kit (IGG/hyaluronidase, recombinant)</w:t>
      </w:r>
    </w:p>
    <w:p w14:paraId="47036DFB" w14:textId="77777777" w:rsidR="002641D2" w:rsidRPr="00FA3F9C" w:rsidRDefault="002641D2" w:rsidP="00CB3148">
      <w:pPr>
        <w:spacing w:after="0"/>
        <w:jc w:val="center"/>
        <w:rPr>
          <w:rFonts w:ascii="Arial" w:hAnsi="Arial" w:cs="Arial"/>
          <w:sz w:val="24"/>
          <w:szCs w:val="24"/>
        </w:rPr>
      </w:pPr>
      <w:proofErr w:type="spellStart"/>
      <w:r w:rsidRPr="00FA3F9C">
        <w:rPr>
          <w:rFonts w:ascii="Arial" w:hAnsi="Arial" w:cs="Arial"/>
          <w:sz w:val="24"/>
          <w:szCs w:val="24"/>
        </w:rPr>
        <w:t>Bivigam</w:t>
      </w:r>
      <w:proofErr w:type="spellEnd"/>
    </w:p>
    <w:p w14:paraId="699F206E" w14:textId="77777777" w:rsidR="002641D2" w:rsidRPr="00FA3F9C" w:rsidRDefault="002641D2" w:rsidP="00CB3148">
      <w:pPr>
        <w:spacing w:after="0"/>
        <w:jc w:val="center"/>
        <w:rPr>
          <w:rFonts w:ascii="Arial" w:hAnsi="Arial" w:cs="Arial"/>
          <w:sz w:val="24"/>
          <w:szCs w:val="24"/>
        </w:rPr>
      </w:pPr>
      <w:proofErr w:type="spellStart"/>
      <w:r w:rsidRPr="00FA3F9C">
        <w:rPr>
          <w:rFonts w:ascii="Arial" w:hAnsi="Arial" w:cs="Arial"/>
          <w:sz w:val="24"/>
          <w:szCs w:val="24"/>
        </w:rPr>
        <w:t>Flebogamma</w:t>
      </w:r>
      <w:proofErr w:type="spellEnd"/>
    </w:p>
    <w:p w14:paraId="18AC0B88" w14:textId="77777777" w:rsidR="002641D2" w:rsidRPr="00FA3F9C" w:rsidRDefault="002641D2" w:rsidP="00CB3148">
      <w:pPr>
        <w:spacing w:after="0"/>
        <w:jc w:val="center"/>
        <w:rPr>
          <w:rFonts w:ascii="Arial" w:hAnsi="Arial" w:cs="Arial"/>
          <w:sz w:val="24"/>
          <w:szCs w:val="24"/>
        </w:rPr>
      </w:pPr>
      <w:proofErr w:type="spellStart"/>
      <w:r w:rsidRPr="00FA3F9C">
        <w:rPr>
          <w:rFonts w:ascii="Arial" w:hAnsi="Arial" w:cs="Arial"/>
          <w:sz w:val="24"/>
          <w:szCs w:val="24"/>
        </w:rPr>
        <w:t>Gammagard</w:t>
      </w:r>
      <w:proofErr w:type="spellEnd"/>
      <w:r w:rsidRPr="00FA3F9C">
        <w:rPr>
          <w:rFonts w:ascii="Arial" w:hAnsi="Arial" w:cs="Arial"/>
          <w:sz w:val="24"/>
          <w:szCs w:val="24"/>
        </w:rPr>
        <w:t>*</w:t>
      </w:r>
    </w:p>
    <w:p w14:paraId="1B4325A4" w14:textId="77777777" w:rsidR="002641D2" w:rsidRPr="00FA3F9C" w:rsidRDefault="002641D2" w:rsidP="00CB3148">
      <w:pPr>
        <w:spacing w:after="0"/>
        <w:jc w:val="center"/>
        <w:rPr>
          <w:rFonts w:ascii="Arial" w:hAnsi="Arial" w:cs="Arial"/>
          <w:sz w:val="24"/>
          <w:szCs w:val="24"/>
        </w:rPr>
      </w:pPr>
      <w:proofErr w:type="spellStart"/>
      <w:r w:rsidRPr="00FA3F9C">
        <w:rPr>
          <w:rFonts w:ascii="Arial" w:hAnsi="Arial" w:cs="Arial"/>
          <w:sz w:val="24"/>
          <w:szCs w:val="24"/>
        </w:rPr>
        <w:t>Gammaked</w:t>
      </w:r>
      <w:proofErr w:type="spellEnd"/>
    </w:p>
    <w:p w14:paraId="7A07D81F" w14:textId="77777777" w:rsidR="002641D2" w:rsidRPr="00FA3F9C" w:rsidRDefault="002641D2" w:rsidP="00CB3148">
      <w:pPr>
        <w:spacing w:after="0"/>
        <w:jc w:val="center"/>
        <w:rPr>
          <w:rFonts w:ascii="Arial" w:hAnsi="Arial" w:cs="Arial"/>
          <w:sz w:val="24"/>
          <w:szCs w:val="24"/>
        </w:rPr>
      </w:pPr>
      <w:proofErr w:type="spellStart"/>
      <w:r w:rsidRPr="00FA3F9C">
        <w:rPr>
          <w:rFonts w:ascii="Arial" w:hAnsi="Arial" w:cs="Arial"/>
          <w:sz w:val="24"/>
          <w:szCs w:val="24"/>
        </w:rPr>
        <w:t>Gammaplex</w:t>
      </w:r>
      <w:proofErr w:type="spellEnd"/>
      <w:r w:rsidRPr="00FA3F9C">
        <w:rPr>
          <w:rFonts w:ascii="Arial" w:hAnsi="Arial" w:cs="Arial"/>
          <w:sz w:val="24"/>
          <w:szCs w:val="24"/>
        </w:rPr>
        <w:t>*</w:t>
      </w:r>
    </w:p>
    <w:p w14:paraId="19FB0B69" w14:textId="77777777" w:rsidR="002641D2" w:rsidRPr="00FA3F9C" w:rsidRDefault="002641D2" w:rsidP="00CB3148">
      <w:pPr>
        <w:spacing w:after="0"/>
        <w:jc w:val="center"/>
        <w:rPr>
          <w:rFonts w:ascii="Arial" w:hAnsi="Arial" w:cs="Arial"/>
          <w:sz w:val="24"/>
          <w:szCs w:val="24"/>
        </w:rPr>
      </w:pPr>
      <w:proofErr w:type="spellStart"/>
      <w:r w:rsidRPr="00FA3F9C">
        <w:rPr>
          <w:rFonts w:ascii="Arial" w:hAnsi="Arial" w:cs="Arial"/>
          <w:sz w:val="24"/>
          <w:szCs w:val="24"/>
        </w:rPr>
        <w:t>Gamunex</w:t>
      </w:r>
      <w:proofErr w:type="spellEnd"/>
      <w:r w:rsidRPr="00FA3F9C">
        <w:rPr>
          <w:rFonts w:ascii="Arial" w:hAnsi="Arial" w:cs="Arial"/>
          <w:sz w:val="24"/>
          <w:szCs w:val="24"/>
        </w:rPr>
        <w:t>-C</w:t>
      </w:r>
    </w:p>
    <w:p w14:paraId="4EF16F38" w14:textId="77777777" w:rsidR="002641D2" w:rsidRPr="00FA3F9C" w:rsidRDefault="002641D2" w:rsidP="00CB3148">
      <w:pPr>
        <w:spacing w:after="0"/>
        <w:jc w:val="center"/>
        <w:rPr>
          <w:rFonts w:ascii="Arial" w:hAnsi="Arial" w:cs="Arial"/>
          <w:sz w:val="24"/>
          <w:szCs w:val="24"/>
        </w:rPr>
      </w:pPr>
      <w:proofErr w:type="spellStart"/>
      <w:r w:rsidRPr="00FA3F9C">
        <w:rPr>
          <w:rFonts w:ascii="Arial" w:hAnsi="Arial" w:cs="Arial"/>
          <w:sz w:val="24"/>
          <w:szCs w:val="24"/>
        </w:rPr>
        <w:t>Hizentra</w:t>
      </w:r>
      <w:proofErr w:type="spellEnd"/>
      <w:r w:rsidRPr="00FA3F9C">
        <w:rPr>
          <w:rFonts w:ascii="Arial" w:hAnsi="Arial" w:cs="Arial"/>
          <w:sz w:val="24"/>
          <w:szCs w:val="24"/>
        </w:rPr>
        <w:t>*</w:t>
      </w:r>
    </w:p>
    <w:p w14:paraId="1F449A67" w14:textId="77777777" w:rsidR="002641D2" w:rsidRPr="00FA3F9C" w:rsidRDefault="002641D2" w:rsidP="00CB3148">
      <w:pPr>
        <w:spacing w:after="0"/>
        <w:jc w:val="center"/>
        <w:rPr>
          <w:rFonts w:ascii="Arial" w:hAnsi="Arial" w:cs="Arial"/>
          <w:sz w:val="24"/>
          <w:szCs w:val="24"/>
        </w:rPr>
      </w:pPr>
      <w:proofErr w:type="spellStart"/>
      <w:r w:rsidRPr="00FA3F9C">
        <w:rPr>
          <w:rFonts w:ascii="Arial" w:hAnsi="Arial" w:cs="Arial"/>
          <w:sz w:val="24"/>
          <w:szCs w:val="24"/>
        </w:rPr>
        <w:t>Octagam</w:t>
      </w:r>
      <w:proofErr w:type="spellEnd"/>
    </w:p>
    <w:p w14:paraId="25E419D7" w14:textId="77777777" w:rsidR="002641D2" w:rsidRPr="00FA3F9C" w:rsidRDefault="002641D2" w:rsidP="00CB3148">
      <w:pPr>
        <w:spacing w:after="0"/>
        <w:jc w:val="center"/>
        <w:rPr>
          <w:rFonts w:ascii="Arial" w:hAnsi="Arial" w:cs="Arial"/>
          <w:sz w:val="24"/>
          <w:szCs w:val="24"/>
        </w:rPr>
      </w:pPr>
      <w:proofErr w:type="spellStart"/>
      <w:r w:rsidRPr="00FA3F9C">
        <w:rPr>
          <w:rFonts w:ascii="Arial" w:hAnsi="Arial" w:cs="Arial"/>
          <w:sz w:val="24"/>
          <w:szCs w:val="24"/>
        </w:rPr>
        <w:t>Privigen</w:t>
      </w:r>
      <w:proofErr w:type="spellEnd"/>
    </w:p>
    <w:p w14:paraId="3AC01E54" w14:textId="77777777" w:rsidR="002641D2" w:rsidRPr="00FA3F9C" w:rsidRDefault="002641D2" w:rsidP="00CB3148">
      <w:pPr>
        <w:spacing w:after="0"/>
        <w:jc w:val="center"/>
        <w:rPr>
          <w:rFonts w:ascii="Arial" w:hAnsi="Arial" w:cs="Arial"/>
          <w:sz w:val="24"/>
          <w:szCs w:val="24"/>
        </w:rPr>
      </w:pPr>
      <w:proofErr w:type="spellStart"/>
      <w:r w:rsidRPr="00FA3F9C">
        <w:rPr>
          <w:rFonts w:ascii="Arial" w:hAnsi="Arial" w:cs="Arial"/>
          <w:sz w:val="24"/>
          <w:szCs w:val="24"/>
        </w:rPr>
        <w:t>Garimune</w:t>
      </w:r>
      <w:proofErr w:type="spellEnd"/>
      <w:r w:rsidRPr="00FA3F9C">
        <w:rPr>
          <w:rFonts w:ascii="Arial" w:hAnsi="Arial" w:cs="Arial"/>
          <w:sz w:val="24"/>
          <w:szCs w:val="24"/>
        </w:rPr>
        <w:t xml:space="preserve"> NF</w:t>
      </w:r>
    </w:p>
    <w:p w14:paraId="77585275" w14:textId="77777777" w:rsidR="002641D2" w:rsidRPr="00FA3F9C" w:rsidRDefault="002641D2" w:rsidP="00CB3148">
      <w:pPr>
        <w:spacing w:after="0"/>
        <w:jc w:val="center"/>
        <w:rPr>
          <w:rFonts w:ascii="Arial" w:hAnsi="Arial" w:cs="Arial"/>
          <w:sz w:val="24"/>
          <w:szCs w:val="24"/>
        </w:rPr>
      </w:pPr>
      <w:proofErr w:type="spellStart"/>
      <w:r w:rsidRPr="00FA3F9C">
        <w:rPr>
          <w:rFonts w:ascii="Arial" w:hAnsi="Arial" w:cs="Arial"/>
          <w:sz w:val="24"/>
          <w:szCs w:val="24"/>
        </w:rPr>
        <w:t>Gammagard</w:t>
      </w:r>
      <w:proofErr w:type="spellEnd"/>
      <w:r w:rsidRPr="00FA3F9C">
        <w:rPr>
          <w:rFonts w:ascii="Arial" w:hAnsi="Arial" w:cs="Arial"/>
          <w:sz w:val="24"/>
          <w:szCs w:val="24"/>
        </w:rPr>
        <w:t xml:space="preserve"> S/D</w:t>
      </w:r>
    </w:p>
    <w:p w14:paraId="12603975" w14:textId="77777777" w:rsidR="002641D2" w:rsidRPr="00FA3F9C" w:rsidRDefault="002641D2" w:rsidP="00CB3148">
      <w:pPr>
        <w:spacing w:after="0"/>
        <w:jc w:val="center"/>
        <w:rPr>
          <w:rFonts w:ascii="Arial" w:hAnsi="Arial" w:cs="Arial"/>
          <w:sz w:val="24"/>
          <w:szCs w:val="24"/>
        </w:rPr>
      </w:pPr>
      <w:proofErr w:type="spellStart"/>
      <w:r w:rsidRPr="00FA3F9C">
        <w:rPr>
          <w:rFonts w:ascii="Arial" w:hAnsi="Arial" w:cs="Arial"/>
          <w:sz w:val="24"/>
          <w:szCs w:val="24"/>
        </w:rPr>
        <w:t>Gammagard</w:t>
      </w:r>
      <w:proofErr w:type="spellEnd"/>
      <w:r w:rsidRPr="00FA3F9C">
        <w:rPr>
          <w:rFonts w:ascii="Arial" w:hAnsi="Arial" w:cs="Arial"/>
          <w:sz w:val="24"/>
          <w:szCs w:val="24"/>
        </w:rPr>
        <w:t xml:space="preserve"> S/D less IgA</w:t>
      </w:r>
    </w:p>
    <w:p w14:paraId="10890729" w14:textId="77777777" w:rsidR="002641D2" w:rsidRPr="00FA3F9C" w:rsidRDefault="002641D2" w:rsidP="006F623F">
      <w:pPr>
        <w:spacing w:after="0"/>
        <w:jc w:val="center"/>
        <w:rPr>
          <w:rFonts w:ascii="Arial" w:hAnsi="Arial" w:cs="Arial"/>
          <w:sz w:val="24"/>
          <w:szCs w:val="24"/>
        </w:rPr>
      </w:pPr>
    </w:p>
    <w:p w14:paraId="73E47892" w14:textId="77777777" w:rsidR="002641D2" w:rsidRPr="00FA3F9C" w:rsidRDefault="002641D2" w:rsidP="006F623F">
      <w:pPr>
        <w:spacing w:after="0"/>
        <w:rPr>
          <w:rFonts w:ascii="Arial" w:hAnsi="Arial" w:cs="Arial"/>
          <w:b/>
          <w:sz w:val="24"/>
          <w:szCs w:val="24"/>
          <w:u w:val="single"/>
        </w:rPr>
      </w:pPr>
    </w:p>
    <w:p w14:paraId="1EF28096" w14:textId="77777777" w:rsidR="002641D2" w:rsidRPr="00FA3F9C" w:rsidRDefault="002641D2"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Indicated for treatment of Primary Humoral Immunodeficiency (PI) in patients 2 years of age or older. This includes but is not limited to, congenital agammaglobulinemia, common variable immunodeficiency, X-linked agammaglobulinemia, </w:t>
      </w:r>
      <w:proofErr w:type="spellStart"/>
      <w:r w:rsidRPr="00FA3F9C">
        <w:rPr>
          <w:rFonts w:ascii="Arial" w:hAnsi="Arial" w:cs="Arial"/>
          <w:sz w:val="24"/>
          <w:szCs w:val="24"/>
        </w:rPr>
        <w:t>Wiskott</w:t>
      </w:r>
      <w:proofErr w:type="spellEnd"/>
      <w:r w:rsidRPr="00FA3F9C">
        <w:rPr>
          <w:rFonts w:ascii="Arial" w:hAnsi="Arial" w:cs="Arial"/>
          <w:sz w:val="24"/>
          <w:szCs w:val="24"/>
        </w:rPr>
        <w:t>-Aldrich syndrome, and severe combined immunodeficiencies.</w:t>
      </w:r>
    </w:p>
    <w:p w14:paraId="583BC498" w14:textId="77777777" w:rsidR="002641D2" w:rsidRPr="00FA3F9C" w:rsidRDefault="002641D2" w:rsidP="006F623F">
      <w:pPr>
        <w:spacing w:after="0"/>
        <w:rPr>
          <w:rFonts w:ascii="Arial" w:hAnsi="Arial" w:cs="Arial"/>
          <w:sz w:val="24"/>
          <w:szCs w:val="24"/>
        </w:rPr>
      </w:pPr>
    </w:p>
    <w:p w14:paraId="07F1EDB7" w14:textId="77777777" w:rsidR="002641D2" w:rsidRPr="00FA3F9C" w:rsidRDefault="002641D2" w:rsidP="00CB3148">
      <w:pPr>
        <w:spacing w:after="0"/>
        <w:rPr>
          <w:rFonts w:ascii="Arial" w:hAnsi="Arial" w:cs="Arial"/>
          <w:b/>
          <w:sz w:val="24"/>
          <w:szCs w:val="24"/>
          <w:u w:val="single"/>
        </w:rPr>
      </w:pPr>
      <w:r w:rsidRPr="00FA3F9C">
        <w:rPr>
          <w:rFonts w:ascii="Arial" w:hAnsi="Arial" w:cs="Arial"/>
          <w:b/>
          <w:sz w:val="24"/>
          <w:szCs w:val="24"/>
          <w:u w:val="single"/>
        </w:rPr>
        <w:lastRenderedPageBreak/>
        <w:t>*FDA-approved for SC injection.</w:t>
      </w:r>
    </w:p>
    <w:p w14:paraId="67392792" w14:textId="77777777" w:rsidR="002641D2" w:rsidRPr="00FA3F9C" w:rsidRDefault="002641D2" w:rsidP="006F623F">
      <w:pPr>
        <w:spacing w:after="0"/>
        <w:rPr>
          <w:rFonts w:ascii="Arial" w:hAnsi="Arial" w:cs="Arial"/>
          <w:sz w:val="24"/>
          <w:szCs w:val="24"/>
        </w:rPr>
      </w:pPr>
    </w:p>
    <w:tbl>
      <w:tblPr>
        <w:tblStyle w:val="TableGrid"/>
        <w:tblW w:w="0" w:type="auto"/>
        <w:tblLook w:val="04A0" w:firstRow="1" w:lastRow="0" w:firstColumn="1" w:lastColumn="0" w:noHBand="0" w:noVBand="1"/>
      </w:tblPr>
      <w:tblGrid>
        <w:gridCol w:w="8928"/>
        <w:gridCol w:w="2088"/>
      </w:tblGrid>
      <w:tr w:rsidR="002641D2" w:rsidRPr="00FA3F9C" w14:paraId="7F911157" w14:textId="77777777" w:rsidTr="00571CAB">
        <w:tc>
          <w:tcPr>
            <w:tcW w:w="8928" w:type="dxa"/>
            <w:shd w:val="clear" w:color="auto" w:fill="000000"/>
          </w:tcPr>
          <w:p w14:paraId="16AFFEAF" w14:textId="77777777" w:rsidR="002641D2" w:rsidRPr="00FA3F9C" w:rsidRDefault="002641D2"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88" w:type="dxa"/>
            <w:shd w:val="clear" w:color="auto" w:fill="000000"/>
          </w:tcPr>
          <w:p w14:paraId="78CA2F9A" w14:textId="77777777" w:rsidR="002641D2" w:rsidRPr="00FA3F9C" w:rsidRDefault="002641D2" w:rsidP="006F623F">
            <w:pPr>
              <w:jc w:val="center"/>
              <w:rPr>
                <w:rFonts w:ascii="Arial" w:hAnsi="Arial" w:cs="Arial"/>
                <w:b/>
                <w:sz w:val="24"/>
                <w:szCs w:val="24"/>
                <w:u w:val="single"/>
              </w:rPr>
            </w:pPr>
          </w:p>
        </w:tc>
      </w:tr>
      <w:tr w:rsidR="002641D2" w:rsidRPr="00FA3F9C" w14:paraId="4202F99A" w14:textId="77777777" w:rsidTr="00F337AE">
        <w:tc>
          <w:tcPr>
            <w:tcW w:w="11016" w:type="dxa"/>
            <w:gridSpan w:val="2"/>
          </w:tcPr>
          <w:p w14:paraId="7B53341B" w14:textId="77777777" w:rsidR="002641D2" w:rsidRPr="00FA3F9C" w:rsidRDefault="002641D2" w:rsidP="006F623F">
            <w:pPr>
              <w:rPr>
                <w:rFonts w:ascii="Arial" w:hAnsi="Arial" w:cs="Arial"/>
                <w:sz w:val="24"/>
                <w:szCs w:val="24"/>
              </w:rPr>
            </w:pPr>
            <w:r w:rsidRPr="00FA3F9C">
              <w:rPr>
                <w:rFonts w:ascii="Arial" w:hAnsi="Arial" w:cs="Arial"/>
                <w:sz w:val="24"/>
                <w:szCs w:val="24"/>
              </w:rPr>
              <w:t xml:space="preserve">1. The patient must be </w:t>
            </w:r>
            <w:r w:rsidRPr="00FA3F9C">
              <w:rPr>
                <w:rFonts w:ascii="Arial" w:hAnsi="Arial" w:cs="Arial"/>
                <w:sz w:val="24"/>
                <w:szCs w:val="24"/>
                <w:u w:val="single"/>
              </w:rPr>
              <w:t>&gt;</w:t>
            </w:r>
            <w:r w:rsidRPr="00FA3F9C">
              <w:rPr>
                <w:rFonts w:ascii="Arial" w:hAnsi="Arial" w:cs="Arial"/>
                <w:sz w:val="24"/>
                <w:szCs w:val="24"/>
              </w:rPr>
              <w:t>2y old.</w:t>
            </w:r>
          </w:p>
        </w:tc>
      </w:tr>
      <w:tr w:rsidR="002641D2" w:rsidRPr="00FA3F9C" w14:paraId="19CA081C" w14:textId="77777777" w:rsidTr="00B1617E">
        <w:tc>
          <w:tcPr>
            <w:tcW w:w="11016" w:type="dxa"/>
            <w:gridSpan w:val="2"/>
          </w:tcPr>
          <w:p w14:paraId="072E6449" w14:textId="77777777" w:rsidR="002641D2" w:rsidRPr="00FA3F9C" w:rsidRDefault="002641D2" w:rsidP="006F623F">
            <w:pPr>
              <w:rPr>
                <w:rFonts w:ascii="Arial" w:hAnsi="Arial" w:cs="Arial"/>
                <w:sz w:val="24"/>
                <w:szCs w:val="24"/>
              </w:rPr>
            </w:pPr>
            <w:r w:rsidRPr="00FA3F9C">
              <w:rPr>
                <w:rFonts w:ascii="Arial" w:hAnsi="Arial" w:cs="Arial"/>
                <w:sz w:val="24"/>
                <w:szCs w:val="24"/>
              </w:rPr>
              <w:t xml:space="preserve">2. The patient must have the diagnosis of congenital agammaglobulinemia, common variable immunodeficiency, X-linked agammaglobulinemia, </w:t>
            </w:r>
            <w:proofErr w:type="spellStart"/>
            <w:r w:rsidRPr="00FA3F9C">
              <w:rPr>
                <w:rFonts w:ascii="Arial" w:hAnsi="Arial" w:cs="Arial"/>
                <w:sz w:val="24"/>
                <w:szCs w:val="24"/>
              </w:rPr>
              <w:t>Wiskott</w:t>
            </w:r>
            <w:proofErr w:type="spellEnd"/>
            <w:r w:rsidRPr="00FA3F9C">
              <w:rPr>
                <w:rFonts w:ascii="Arial" w:hAnsi="Arial" w:cs="Arial"/>
                <w:sz w:val="24"/>
                <w:szCs w:val="24"/>
              </w:rPr>
              <w:t>-Aldrich syndrome, or severe combined immunodeficiencies.</w:t>
            </w:r>
          </w:p>
        </w:tc>
      </w:tr>
      <w:tr w:rsidR="002641D2" w:rsidRPr="00FA3F9C" w14:paraId="50E37595" w14:textId="77777777" w:rsidTr="00B1617E">
        <w:tc>
          <w:tcPr>
            <w:tcW w:w="11016" w:type="dxa"/>
            <w:gridSpan w:val="2"/>
          </w:tcPr>
          <w:p w14:paraId="76A5C780" w14:textId="77777777" w:rsidR="002641D2" w:rsidRPr="00FA3F9C" w:rsidRDefault="002641D2" w:rsidP="006F623F">
            <w:pPr>
              <w:rPr>
                <w:rFonts w:ascii="Arial" w:hAnsi="Arial" w:cs="Arial"/>
                <w:sz w:val="24"/>
                <w:szCs w:val="24"/>
              </w:rPr>
            </w:pPr>
          </w:p>
        </w:tc>
      </w:tr>
    </w:tbl>
    <w:p w14:paraId="4122A72D" w14:textId="77777777" w:rsidR="002641D2" w:rsidRPr="00FA3F9C" w:rsidRDefault="002641D2" w:rsidP="006F623F">
      <w:pPr>
        <w:spacing w:after="0"/>
        <w:rPr>
          <w:rFonts w:ascii="Arial" w:hAnsi="Arial" w:cs="Arial"/>
          <w:b/>
          <w:sz w:val="24"/>
          <w:szCs w:val="24"/>
          <w:u w:val="single"/>
        </w:rPr>
      </w:pPr>
    </w:p>
    <w:p w14:paraId="69743F37" w14:textId="77777777" w:rsidR="002641D2" w:rsidRPr="00FA3F9C" w:rsidRDefault="002641D2" w:rsidP="006F623F">
      <w:pPr>
        <w:spacing w:after="0"/>
        <w:rPr>
          <w:rFonts w:ascii="Arial" w:hAnsi="Arial" w:cs="Arial"/>
          <w:sz w:val="24"/>
          <w:szCs w:val="24"/>
        </w:rPr>
      </w:pPr>
    </w:p>
    <w:p w14:paraId="2BAA00F7" w14:textId="77777777" w:rsidR="002641D2" w:rsidRPr="00FA3F9C" w:rsidRDefault="002641D2"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151"/>
        <w:gridCol w:w="7430"/>
        <w:gridCol w:w="2531"/>
      </w:tblGrid>
      <w:tr w:rsidR="002641D2" w:rsidRPr="00FA3F9C" w14:paraId="3CC98E67" w14:textId="77777777" w:rsidTr="00CB3148">
        <w:tc>
          <w:tcPr>
            <w:tcW w:w="1055" w:type="dxa"/>
          </w:tcPr>
          <w:p w14:paraId="33F3D15B" w14:textId="77777777" w:rsidR="002641D2" w:rsidRPr="00FA3F9C" w:rsidRDefault="002641D2" w:rsidP="006F623F">
            <w:pPr>
              <w:rPr>
                <w:rFonts w:ascii="Arial" w:hAnsi="Arial" w:cs="Arial"/>
                <w:sz w:val="24"/>
                <w:szCs w:val="24"/>
              </w:rPr>
            </w:pPr>
            <w:r w:rsidRPr="00FA3F9C">
              <w:rPr>
                <w:rFonts w:ascii="Arial" w:hAnsi="Arial" w:cs="Arial"/>
                <w:sz w:val="24"/>
                <w:szCs w:val="24"/>
              </w:rPr>
              <w:t>Date</w:t>
            </w:r>
          </w:p>
        </w:tc>
        <w:tc>
          <w:tcPr>
            <w:tcW w:w="7430" w:type="dxa"/>
          </w:tcPr>
          <w:p w14:paraId="2BB370CB" w14:textId="77777777" w:rsidR="002641D2" w:rsidRPr="00FA3F9C" w:rsidRDefault="002641D2" w:rsidP="006F623F">
            <w:pPr>
              <w:rPr>
                <w:rFonts w:ascii="Arial" w:hAnsi="Arial" w:cs="Arial"/>
                <w:sz w:val="24"/>
                <w:szCs w:val="24"/>
              </w:rPr>
            </w:pPr>
            <w:r w:rsidRPr="00FA3F9C">
              <w:rPr>
                <w:rFonts w:ascii="Arial" w:hAnsi="Arial" w:cs="Arial"/>
                <w:sz w:val="24"/>
                <w:szCs w:val="24"/>
              </w:rPr>
              <w:t>What changed</w:t>
            </w:r>
          </w:p>
        </w:tc>
        <w:tc>
          <w:tcPr>
            <w:tcW w:w="2531" w:type="dxa"/>
          </w:tcPr>
          <w:p w14:paraId="1DFAE255" w14:textId="77777777" w:rsidR="002641D2" w:rsidRPr="00FA3F9C" w:rsidRDefault="002641D2" w:rsidP="006F623F">
            <w:pPr>
              <w:rPr>
                <w:rFonts w:ascii="Arial" w:hAnsi="Arial" w:cs="Arial"/>
                <w:sz w:val="24"/>
                <w:szCs w:val="24"/>
              </w:rPr>
            </w:pPr>
            <w:r w:rsidRPr="00FA3F9C">
              <w:rPr>
                <w:rFonts w:ascii="Arial" w:hAnsi="Arial" w:cs="Arial"/>
                <w:sz w:val="24"/>
                <w:szCs w:val="24"/>
              </w:rPr>
              <w:t>Pharmacist’s initials</w:t>
            </w:r>
          </w:p>
        </w:tc>
      </w:tr>
      <w:tr w:rsidR="002641D2" w:rsidRPr="00FA3F9C" w14:paraId="3E564DEB" w14:textId="77777777" w:rsidTr="00CB3148">
        <w:tc>
          <w:tcPr>
            <w:tcW w:w="1055" w:type="dxa"/>
          </w:tcPr>
          <w:p w14:paraId="1B68CFC0" w14:textId="77777777" w:rsidR="002641D2" w:rsidRPr="00FA3F9C" w:rsidRDefault="002641D2" w:rsidP="00CB3148">
            <w:pPr>
              <w:rPr>
                <w:rFonts w:ascii="Arial" w:hAnsi="Arial" w:cs="Arial"/>
                <w:sz w:val="24"/>
                <w:szCs w:val="24"/>
              </w:rPr>
            </w:pPr>
            <w:r w:rsidRPr="00FA3F9C">
              <w:rPr>
                <w:rFonts w:ascii="Arial" w:hAnsi="Arial" w:cs="Arial"/>
                <w:sz w:val="24"/>
                <w:szCs w:val="24"/>
              </w:rPr>
              <w:t>5/6/15</w:t>
            </w:r>
          </w:p>
        </w:tc>
        <w:tc>
          <w:tcPr>
            <w:tcW w:w="7430" w:type="dxa"/>
          </w:tcPr>
          <w:p w14:paraId="1EF6B36C" w14:textId="77777777" w:rsidR="002641D2" w:rsidRPr="00FA3F9C" w:rsidRDefault="002641D2" w:rsidP="00CB3148">
            <w:pPr>
              <w:rPr>
                <w:rFonts w:ascii="Arial" w:hAnsi="Arial" w:cs="Arial"/>
                <w:sz w:val="24"/>
                <w:szCs w:val="24"/>
              </w:rPr>
            </w:pPr>
            <w:r w:rsidRPr="00FA3F9C">
              <w:rPr>
                <w:rFonts w:ascii="Arial" w:hAnsi="Arial" w:cs="Arial"/>
                <w:sz w:val="24"/>
                <w:szCs w:val="24"/>
              </w:rPr>
              <w:t xml:space="preserve">I wrote the PA with David </w:t>
            </w:r>
            <w:proofErr w:type="spellStart"/>
            <w:r w:rsidRPr="00FA3F9C">
              <w:rPr>
                <w:rFonts w:ascii="Arial" w:hAnsi="Arial" w:cs="Arial"/>
                <w:sz w:val="24"/>
                <w:szCs w:val="24"/>
              </w:rPr>
              <w:t>Keisner’s</w:t>
            </w:r>
            <w:proofErr w:type="spellEnd"/>
            <w:r w:rsidRPr="00FA3F9C">
              <w:rPr>
                <w:rFonts w:ascii="Arial" w:hAnsi="Arial" w:cs="Arial"/>
                <w:sz w:val="24"/>
                <w:szCs w:val="24"/>
              </w:rPr>
              <w:t xml:space="preserve"> guidance/intention.</w:t>
            </w:r>
          </w:p>
        </w:tc>
        <w:tc>
          <w:tcPr>
            <w:tcW w:w="2531" w:type="dxa"/>
          </w:tcPr>
          <w:p w14:paraId="794DF253" w14:textId="77777777" w:rsidR="002641D2" w:rsidRPr="00FA3F9C" w:rsidRDefault="002641D2" w:rsidP="00CB3148">
            <w:pPr>
              <w:rPr>
                <w:rFonts w:ascii="Arial" w:hAnsi="Arial" w:cs="Arial"/>
                <w:sz w:val="24"/>
                <w:szCs w:val="24"/>
              </w:rPr>
            </w:pPr>
            <w:r w:rsidRPr="00FA3F9C">
              <w:rPr>
                <w:rFonts w:ascii="Arial" w:hAnsi="Arial" w:cs="Arial"/>
                <w:sz w:val="24"/>
                <w:szCs w:val="24"/>
              </w:rPr>
              <w:t>JJ</w:t>
            </w:r>
          </w:p>
        </w:tc>
      </w:tr>
      <w:tr w:rsidR="002641D2" w:rsidRPr="00FA3F9C" w14:paraId="7B0F58F0" w14:textId="77777777" w:rsidTr="00CB3148">
        <w:tc>
          <w:tcPr>
            <w:tcW w:w="1055" w:type="dxa"/>
          </w:tcPr>
          <w:p w14:paraId="0FF7FC47" w14:textId="77777777" w:rsidR="002641D2" w:rsidRPr="00FA3F9C" w:rsidRDefault="002641D2" w:rsidP="006F623F">
            <w:pPr>
              <w:rPr>
                <w:rFonts w:ascii="Arial" w:hAnsi="Arial" w:cs="Arial"/>
                <w:sz w:val="24"/>
                <w:szCs w:val="24"/>
              </w:rPr>
            </w:pPr>
            <w:r w:rsidRPr="00FA3F9C">
              <w:rPr>
                <w:rFonts w:ascii="Arial" w:hAnsi="Arial" w:cs="Arial"/>
                <w:sz w:val="24"/>
                <w:szCs w:val="24"/>
              </w:rPr>
              <w:t>12/16/19</w:t>
            </w:r>
          </w:p>
        </w:tc>
        <w:tc>
          <w:tcPr>
            <w:tcW w:w="7430" w:type="dxa"/>
          </w:tcPr>
          <w:p w14:paraId="3795E358" w14:textId="77777777" w:rsidR="002641D2" w:rsidRPr="00FA3F9C" w:rsidRDefault="002641D2" w:rsidP="006F623F">
            <w:pPr>
              <w:rPr>
                <w:rFonts w:ascii="Arial" w:hAnsi="Arial" w:cs="Arial"/>
                <w:sz w:val="24"/>
                <w:szCs w:val="24"/>
              </w:rPr>
            </w:pPr>
            <w:r w:rsidRPr="00FA3F9C">
              <w:rPr>
                <w:rFonts w:ascii="Arial" w:hAnsi="Arial" w:cs="Arial"/>
                <w:sz w:val="24"/>
                <w:szCs w:val="24"/>
              </w:rPr>
              <w:t>I updated the criteria.</w:t>
            </w:r>
          </w:p>
        </w:tc>
        <w:tc>
          <w:tcPr>
            <w:tcW w:w="2531" w:type="dxa"/>
          </w:tcPr>
          <w:p w14:paraId="0C3F7F9D" w14:textId="612E201A" w:rsidR="002641D2" w:rsidRPr="00FA3F9C" w:rsidRDefault="005C142D" w:rsidP="006F623F">
            <w:pPr>
              <w:rPr>
                <w:rFonts w:ascii="Arial" w:hAnsi="Arial" w:cs="Arial"/>
                <w:sz w:val="24"/>
                <w:szCs w:val="24"/>
              </w:rPr>
            </w:pPr>
            <w:r w:rsidRPr="00FA3F9C">
              <w:rPr>
                <w:rFonts w:ascii="Arial" w:hAnsi="Arial" w:cs="Arial"/>
                <w:sz w:val="24"/>
                <w:szCs w:val="24"/>
              </w:rPr>
              <w:t>JJ</w:t>
            </w:r>
          </w:p>
        </w:tc>
      </w:tr>
      <w:tr w:rsidR="002641D2" w:rsidRPr="00FA3F9C" w14:paraId="5A527407" w14:textId="77777777" w:rsidTr="00CB3148">
        <w:tc>
          <w:tcPr>
            <w:tcW w:w="1055" w:type="dxa"/>
          </w:tcPr>
          <w:p w14:paraId="16D3E427" w14:textId="77777777" w:rsidR="002641D2" w:rsidRPr="00FA3F9C" w:rsidRDefault="002641D2" w:rsidP="006F623F">
            <w:pPr>
              <w:rPr>
                <w:rFonts w:ascii="Arial" w:hAnsi="Arial" w:cs="Arial"/>
                <w:sz w:val="24"/>
                <w:szCs w:val="24"/>
              </w:rPr>
            </w:pPr>
          </w:p>
        </w:tc>
        <w:tc>
          <w:tcPr>
            <w:tcW w:w="7430" w:type="dxa"/>
          </w:tcPr>
          <w:p w14:paraId="59E47479" w14:textId="77777777" w:rsidR="002641D2" w:rsidRPr="00FA3F9C" w:rsidRDefault="002641D2" w:rsidP="006F623F">
            <w:pPr>
              <w:rPr>
                <w:rFonts w:ascii="Arial" w:hAnsi="Arial" w:cs="Arial"/>
                <w:sz w:val="24"/>
                <w:szCs w:val="24"/>
              </w:rPr>
            </w:pPr>
          </w:p>
        </w:tc>
        <w:tc>
          <w:tcPr>
            <w:tcW w:w="2531" w:type="dxa"/>
          </w:tcPr>
          <w:p w14:paraId="2C552AAA" w14:textId="77777777" w:rsidR="002641D2" w:rsidRPr="00FA3F9C" w:rsidRDefault="002641D2" w:rsidP="006F623F">
            <w:pPr>
              <w:rPr>
                <w:rFonts w:ascii="Arial" w:hAnsi="Arial" w:cs="Arial"/>
                <w:sz w:val="24"/>
                <w:szCs w:val="24"/>
              </w:rPr>
            </w:pPr>
          </w:p>
        </w:tc>
      </w:tr>
    </w:tbl>
    <w:p w14:paraId="283A1A32" w14:textId="77777777" w:rsidR="002641D2" w:rsidRPr="00FA3F9C" w:rsidRDefault="002641D2" w:rsidP="006F623F">
      <w:pPr>
        <w:spacing w:after="0"/>
        <w:rPr>
          <w:rFonts w:ascii="Arial" w:hAnsi="Arial" w:cs="Arial"/>
          <w:sz w:val="24"/>
          <w:szCs w:val="24"/>
        </w:rPr>
      </w:pPr>
    </w:p>
    <w:p w14:paraId="5DE5959C" w14:textId="410D2D4A" w:rsidR="002641D2" w:rsidRPr="00FA3F9C" w:rsidRDefault="002641D2" w:rsidP="005E2908">
      <w:pPr>
        <w:spacing w:after="0"/>
        <w:rPr>
          <w:rFonts w:ascii="Arial" w:hAnsi="Arial" w:cs="Arial"/>
          <w:sz w:val="24"/>
          <w:szCs w:val="24"/>
        </w:rPr>
      </w:pPr>
    </w:p>
    <w:p w14:paraId="090B841B" w14:textId="77777777" w:rsidR="005E2908" w:rsidRDefault="002641D2" w:rsidP="005E2908">
      <w:pPr>
        <w:pStyle w:val="Heading2"/>
      </w:pPr>
      <w:bookmarkStart w:id="142" w:name="_Toc106369824"/>
      <w:proofErr w:type="spellStart"/>
      <w:r w:rsidRPr="00FA3F9C">
        <w:t>Iloprost</w:t>
      </w:r>
      <w:proofErr w:type="spellEnd"/>
      <w:r w:rsidRPr="00FA3F9C">
        <w:t xml:space="preserve"> (</w:t>
      </w:r>
      <w:proofErr w:type="spellStart"/>
      <w:r w:rsidRPr="00FA3F9C">
        <w:t>Ventavis</w:t>
      </w:r>
      <w:proofErr w:type="spellEnd"/>
      <w:r w:rsidRPr="00FA3F9C">
        <w:t>)</w:t>
      </w:r>
      <w:bookmarkEnd w:id="142"/>
    </w:p>
    <w:p w14:paraId="4BA96E2B" w14:textId="624841A7" w:rsidR="002641D2" w:rsidRPr="00FA3F9C" w:rsidRDefault="002641D2" w:rsidP="006F623F">
      <w:pPr>
        <w:spacing w:after="0"/>
        <w:jc w:val="center"/>
        <w:rPr>
          <w:rFonts w:ascii="Arial" w:hAnsi="Arial" w:cs="Arial"/>
          <w:sz w:val="24"/>
          <w:szCs w:val="24"/>
        </w:rPr>
      </w:pPr>
      <w:r w:rsidRPr="00FA3F9C">
        <w:rPr>
          <w:rFonts w:ascii="Arial" w:hAnsi="Arial" w:cs="Arial"/>
          <w:sz w:val="24"/>
          <w:szCs w:val="24"/>
        </w:rPr>
        <w:t xml:space="preserve"> solution for Inhalation</w:t>
      </w:r>
    </w:p>
    <w:p w14:paraId="3DF4420F" w14:textId="7B60CE9F" w:rsidR="002641D2" w:rsidRDefault="002641D2" w:rsidP="006F623F">
      <w:pPr>
        <w:spacing w:after="0"/>
        <w:jc w:val="center"/>
        <w:rPr>
          <w:rFonts w:ascii="Arial" w:hAnsi="Arial" w:cs="Arial"/>
          <w:sz w:val="24"/>
          <w:szCs w:val="24"/>
        </w:rPr>
      </w:pPr>
      <w:r w:rsidRPr="00FA3F9C">
        <w:rPr>
          <w:rFonts w:ascii="Arial" w:hAnsi="Arial" w:cs="Arial"/>
          <w:sz w:val="24"/>
          <w:szCs w:val="24"/>
        </w:rPr>
        <w:t>10 mcg/mL (1mL), 20 mcg/mL (1mL)</w:t>
      </w:r>
    </w:p>
    <w:p w14:paraId="78EDAF9C" w14:textId="77777777" w:rsidR="005E2908" w:rsidRPr="00FA3F9C" w:rsidRDefault="005E2908" w:rsidP="005E2908">
      <w:pPr>
        <w:spacing w:after="0"/>
        <w:jc w:val="center"/>
        <w:rPr>
          <w:rFonts w:ascii="Arial" w:hAnsi="Arial" w:cs="Arial"/>
          <w:sz w:val="24"/>
          <w:szCs w:val="24"/>
        </w:rPr>
      </w:pPr>
      <w:r w:rsidRPr="00FA3F9C">
        <w:rPr>
          <w:rFonts w:ascii="Arial" w:hAnsi="Arial" w:cs="Arial"/>
          <w:sz w:val="24"/>
          <w:szCs w:val="24"/>
        </w:rPr>
        <w:t>EBRx PA Criteria</w:t>
      </w:r>
    </w:p>
    <w:p w14:paraId="4BE3B042" w14:textId="77777777" w:rsidR="005E2908" w:rsidRPr="00FA3F9C" w:rsidRDefault="005E2908" w:rsidP="006F623F">
      <w:pPr>
        <w:spacing w:after="0"/>
        <w:jc w:val="center"/>
        <w:rPr>
          <w:rFonts w:ascii="Arial" w:hAnsi="Arial" w:cs="Arial"/>
          <w:sz w:val="24"/>
          <w:szCs w:val="24"/>
        </w:rPr>
      </w:pPr>
    </w:p>
    <w:p w14:paraId="5E971C81" w14:textId="77777777" w:rsidR="002641D2" w:rsidRPr="00FA3F9C" w:rsidRDefault="002641D2" w:rsidP="003E49EF">
      <w:pPr>
        <w:spacing w:after="0"/>
        <w:rPr>
          <w:rFonts w:ascii="Arial" w:hAnsi="Arial" w:cs="Arial"/>
          <w:sz w:val="24"/>
          <w:szCs w:val="24"/>
        </w:rPr>
      </w:pPr>
    </w:p>
    <w:p w14:paraId="662D5FA5" w14:textId="77777777" w:rsidR="002641D2" w:rsidRPr="00FA3F9C" w:rsidRDefault="002641D2" w:rsidP="006F623F">
      <w:pPr>
        <w:spacing w:after="0"/>
        <w:rPr>
          <w:rFonts w:ascii="Arial" w:hAnsi="Arial" w:cs="Arial"/>
          <w:b/>
          <w:sz w:val="24"/>
          <w:szCs w:val="24"/>
          <w:u w:val="single"/>
        </w:rPr>
      </w:pPr>
      <w:proofErr w:type="spellStart"/>
      <w:r w:rsidRPr="00FA3F9C">
        <w:rPr>
          <w:rFonts w:ascii="Arial" w:hAnsi="Arial" w:cs="Arial"/>
          <w:b/>
          <w:sz w:val="24"/>
          <w:szCs w:val="24"/>
          <w:u w:val="single"/>
        </w:rPr>
        <w:t>Ventavis</w:t>
      </w:r>
      <w:proofErr w:type="spellEnd"/>
      <w:r w:rsidRPr="00FA3F9C">
        <w:rPr>
          <w:rFonts w:ascii="Arial" w:hAnsi="Arial" w:cs="Arial"/>
          <w:b/>
          <w:sz w:val="24"/>
          <w:szCs w:val="24"/>
          <w:u w:val="single"/>
        </w:rPr>
        <w:t xml:space="preserve"> is FDA-approved for: treatment of PAH (WHO Group I) in patients with NYHA class III or IV symptoms to improve exercise tolerance, symptoms, and diminish clinical deterioration.  </w:t>
      </w:r>
    </w:p>
    <w:tbl>
      <w:tblPr>
        <w:tblStyle w:val="TableGrid"/>
        <w:tblW w:w="0" w:type="auto"/>
        <w:tblLook w:val="04A0" w:firstRow="1" w:lastRow="0" w:firstColumn="1" w:lastColumn="0" w:noHBand="0" w:noVBand="1"/>
      </w:tblPr>
      <w:tblGrid>
        <w:gridCol w:w="9378"/>
        <w:gridCol w:w="1638"/>
      </w:tblGrid>
      <w:tr w:rsidR="002641D2" w:rsidRPr="00FA3F9C" w14:paraId="4FF54E93" w14:textId="77777777" w:rsidTr="003E49EF">
        <w:tc>
          <w:tcPr>
            <w:tcW w:w="9378" w:type="dxa"/>
          </w:tcPr>
          <w:p w14:paraId="75BB3486" w14:textId="77777777" w:rsidR="002641D2" w:rsidRPr="00FA3F9C" w:rsidRDefault="002641D2" w:rsidP="006F623F">
            <w:pPr>
              <w:jc w:val="center"/>
              <w:rPr>
                <w:rFonts w:ascii="Arial" w:hAnsi="Arial" w:cs="Arial"/>
                <w:b/>
                <w:sz w:val="24"/>
                <w:szCs w:val="24"/>
                <w:u w:val="single"/>
              </w:rPr>
            </w:pPr>
            <w:r w:rsidRPr="00FA3F9C">
              <w:rPr>
                <w:rFonts w:ascii="Arial" w:hAnsi="Arial" w:cs="Arial"/>
                <w:b/>
                <w:sz w:val="24"/>
                <w:szCs w:val="24"/>
                <w:u w:val="single"/>
              </w:rPr>
              <w:t>Criteria</w:t>
            </w:r>
          </w:p>
        </w:tc>
        <w:tc>
          <w:tcPr>
            <w:tcW w:w="1638" w:type="dxa"/>
          </w:tcPr>
          <w:p w14:paraId="29DAF4FD" w14:textId="77777777" w:rsidR="002641D2" w:rsidRPr="00FA3F9C" w:rsidRDefault="002641D2" w:rsidP="006F623F">
            <w:pPr>
              <w:jc w:val="center"/>
              <w:rPr>
                <w:rFonts w:ascii="Arial" w:hAnsi="Arial" w:cs="Arial"/>
                <w:b/>
                <w:sz w:val="24"/>
                <w:szCs w:val="24"/>
                <w:u w:val="single"/>
              </w:rPr>
            </w:pPr>
          </w:p>
        </w:tc>
      </w:tr>
      <w:tr w:rsidR="002641D2" w:rsidRPr="00FA3F9C" w14:paraId="3A99F619" w14:textId="77777777" w:rsidTr="003E49EF">
        <w:tc>
          <w:tcPr>
            <w:tcW w:w="9378" w:type="dxa"/>
          </w:tcPr>
          <w:p w14:paraId="10D42DE1" w14:textId="77777777" w:rsidR="002641D2" w:rsidRPr="00FA3F9C" w:rsidRDefault="002641D2" w:rsidP="006F623F">
            <w:pPr>
              <w:rPr>
                <w:rFonts w:ascii="Arial" w:hAnsi="Arial" w:cs="Arial"/>
                <w:sz w:val="24"/>
                <w:szCs w:val="24"/>
              </w:rPr>
            </w:pPr>
            <w:r w:rsidRPr="00FA3F9C">
              <w:rPr>
                <w:rFonts w:ascii="Arial" w:hAnsi="Arial" w:cs="Arial"/>
                <w:sz w:val="24"/>
                <w:szCs w:val="24"/>
              </w:rPr>
              <w:t>1.  The patient must have the diagnosis of pulmonary artery hypertension (Group 1), WHO functional class IV</w:t>
            </w:r>
          </w:p>
          <w:p w14:paraId="36F0C75D" w14:textId="77777777" w:rsidR="002641D2" w:rsidRPr="00FA3F9C" w:rsidRDefault="002641D2" w:rsidP="006F623F">
            <w:pPr>
              <w:rPr>
                <w:rFonts w:ascii="Arial" w:hAnsi="Arial" w:cs="Arial"/>
                <w:sz w:val="24"/>
                <w:szCs w:val="24"/>
              </w:rPr>
            </w:pPr>
            <w:r w:rsidRPr="00FA3F9C">
              <w:rPr>
                <w:rFonts w:ascii="Arial" w:hAnsi="Arial" w:cs="Arial"/>
                <w:sz w:val="24"/>
                <w:szCs w:val="24"/>
              </w:rPr>
              <w:t>AND</w:t>
            </w:r>
          </w:p>
          <w:p w14:paraId="4E1CFE38" w14:textId="77777777" w:rsidR="002641D2" w:rsidRPr="00FA3F9C" w:rsidRDefault="002641D2" w:rsidP="006F623F">
            <w:pPr>
              <w:rPr>
                <w:rFonts w:ascii="Arial" w:hAnsi="Arial" w:cs="Arial"/>
                <w:sz w:val="24"/>
                <w:szCs w:val="24"/>
              </w:rPr>
            </w:pPr>
            <w:r w:rsidRPr="00FA3F9C">
              <w:rPr>
                <w:rFonts w:ascii="Arial" w:hAnsi="Arial" w:cs="Arial"/>
                <w:sz w:val="24"/>
                <w:szCs w:val="24"/>
              </w:rPr>
              <w:t>either still be symptomatic despite taking a PDE5 inhibitor (sildenafil),</w:t>
            </w:r>
          </w:p>
        </w:tc>
        <w:tc>
          <w:tcPr>
            <w:tcW w:w="1638" w:type="dxa"/>
          </w:tcPr>
          <w:p w14:paraId="49519677" w14:textId="77777777" w:rsidR="002641D2" w:rsidRPr="00FA3F9C" w:rsidRDefault="002641D2" w:rsidP="006F623F">
            <w:pPr>
              <w:rPr>
                <w:rFonts w:ascii="Arial" w:hAnsi="Arial" w:cs="Arial"/>
                <w:sz w:val="24"/>
                <w:szCs w:val="24"/>
              </w:rPr>
            </w:pPr>
            <w:r w:rsidRPr="00FA3F9C">
              <w:rPr>
                <w:rFonts w:ascii="Arial" w:hAnsi="Arial" w:cs="Arial"/>
                <w:sz w:val="24"/>
                <w:szCs w:val="24"/>
              </w:rPr>
              <w:sym w:font="Wingdings" w:char="F0A8"/>
            </w:r>
            <w:r w:rsidRPr="00FA3F9C">
              <w:rPr>
                <w:rFonts w:ascii="Arial" w:hAnsi="Arial" w:cs="Arial"/>
                <w:sz w:val="24"/>
                <w:szCs w:val="24"/>
              </w:rPr>
              <w:t xml:space="preserve">Yes             </w:t>
            </w:r>
            <w:r w:rsidRPr="00FA3F9C">
              <w:rPr>
                <w:rFonts w:ascii="Arial" w:hAnsi="Arial" w:cs="Arial"/>
                <w:sz w:val="24"/>
                <w:szCs w:val="24"/>
              </w:rPr>
              <w:sym w:font="Wingdings" w:char="F0A8"/>
            </w:r>
            <w:r w:rsidRPr="00FA3F9C">
              <w:rPr>
                <w:rFonts w:ascii="Arial" w:hAnsi="Arial" w:cs="Arial"/>
                <w:sz w:val="24"/>
                <w:szCs w:val="24"/>
              </w:rPr>
              <w:t>No</w:t>
            </w:r>
          </w:p>
          <w:p w14:paraId="5A063130" w14:textId="77777777" w:rsidR="002641D2" w:rsidRPr="00FA3F9C" w:rsidRDefault="002641D2" w:rsidP="006F623F">
            <w:pPr>
              <w:rPr>
                <w:rFonts w:ascii="Arial" w:hAnsi="Arial" w:cs="Arial"/>
                <w:sz w:val="24"/>
                <w:szCs w:val="24"/>
              </w:rPr>
            </w:pPr>
          </w:p>
        </w:tc>
      </w:tr>
      <w:tr w:rsidR="002641D2" w:rsidRPr="00FA3F9C" w14:paraId="634F9DB0" w14:textId="77777777" w:rsidTr="003E49EF">
        <w:tc>
          <w:tcPr>
            <w:tcW w:w="9378" w:type="dxa"/>
          </w:tcPr>
          <w:p w14:paraId="3F82F9FE" w14:textId="77777777" w:rsidR="002641D2" w:rsidRPr="00FA3F9C" w:rsidRDefault="002641D2" w:rsidP="006F623F">
            <w:pPr>
              <w:rPr>
                <w:rFonts w:ascii="Arial" w:hAnsi="Arial" w:cs="Arial"/>
                <w:sz w:val="24"/>
                <w:szCs w:val="24"/>
              </w:rPr>
            </w:pPr>
            <w:r w:rsidRPr="00FA3F9C">
              <w:rPr>
                <w:rFonts w:ascii="Arial" w:hAnsi="Arial" w:cs="Arial"/>
                <w:sz w:val="24"/>
                <w:szCs w:val="24"/>
              </w:rPr>
              <w:t>OR</w:t>
            </w:r>
          </w:p>
        </w:tc>
        <w:tc>
          <w:tcPr>
            <w:tcW w:w="1638" w:type="dxa"/>
          </w:tcPr>
          <w:p w14:paraId="1EBD681B" w14:textId="77777777" w:rsidR="002641D2" w:rsidRPr="00FA3F9C" w:rsidRDefault="002641D2" w:rsidP="006F623F">
            <w:pPr>
              <w:rPr>
                <w:rFonts w:ascii="Arial" w:hAnsi="Arial" w:cs="Arial"/>
                <w:sz w:val="24"/>
                <w:szCs w:val="24"/>
              </w:rPr>
            </w:pPr>
          </w:p>
        </w:tc>
      </w:tr>
      <w:tr w:rsidR="002641D2" w:rsidRPr="00FA3F9C" w14:paraId="2FB894A8" w14:textId="77777777" w:rsidTr="003E49EF">
        <w:tc>
          <w:tcPr>
            <w:tcW w:w="9378" w:type="dxa"/>
          </w:tcPr>
          <w:p w14:paraId="00614687" w14:textId="77777777" w:rsidR="002641D2" w:rsidRPr="00FA3F9C" w:rsidRDefault="002641D2" w:rsidP="006F623F">
            <w:pPr>
              <w:rPr>
                <w:rFonts w:ascii="Arial" w:hAnsi="Arial" w:cs="Arial"/>
                <w:sz w:val="24"/>
                <w:szCs w:val="24"/>
              </w:rPr>
            </w:pPr>
            <w:r w:rsidRPr="00FA3F9C">
              <w:rPr>
                <w:rFonts w:ascii="Arial" w:hAnsi="Arial" w:cs="Arial"/>
                <w:sz w:val="24"/>
                <w:szCs w:val="24"/>
              </w:rPr>
              <w:lastRenderedPageBreak/>
              <w:t>2.  The patient must have the diagnosis of PAH Group 5 after treating underlying causes.</w:t>
            </w:r>
          </w:p>
        </w:tc>
        <w:tc>
          <w:tcPr>
            <w:tcW w:w="1638" w:type="dxa"/>
          </w:tcPr>
          <w:p w14:paraId="2EDB5780" w14:textId="77777777" w:rsidR="002641D2" w:rsidRPr="00FA3F9C" w:rsidRDefault="002641D2" w:rsidP="006F623F">
            <w:pPr>
              <w:rPr>
                <w:rFonts w:ascii="Arial" w:hAnsi="Arial" w:cs="Arial"/>
                <w:sz w:val="24"/>
                <w:szCs w:val="24"/>
              </w:rPr>
            </w:pPr>
            <w:r w:rsidRPr="00FA3F9C">
              <w:rPr>
                <w:rFonts w:ascii="Arial" w:hAnsi="Arial" w:cs="Arial"/>
                <w:sz w:val="24"/>
                <w:szCs w:val="24"/>
              </w:rPr>
              <w:sym w:font="Wingdings" w:char="F0A8"/>
            </w:r>
            <w:r w:rsidRPr="00FA3F9C">
              <w:rPr>
                <w:rFonts w:ascii="Arial" w:hAnsi="Arial" w:cs="Arial"/>
                <w:sz w:val="24"/>
                <w:szCs w:val="24"/>
              </w:rPr>
              <w:t xml:space="preserve">Yes             </w:t>
            </w:r>
            <w:r w:rsidRPr="00FA3F9C">
              <w:rPr>
                <w:rFonts w:ascii="Arial" w:hAnsi="Arial" w:cs="Arial"/>
                <w:sz w:val="24"/>
                <w:szCs w:val="24"/>
              </w:rPr>
              <w:sym w:font="Wingdings" w:char="F0A8"/>
            </w:r>
            <w:r w:rsidRPr="00FA3F9C">
              <w:rPr>
                <w:rFonts w:ascii="Arial" w:hAnsi="Arial" w:cs="Arial"/>
                <w:sz w:val="24"/>
                <w:szCs w:val="24"/>
              </w:rPr>
              <w:t>No</w:t>
            </w:r>
          </w:p>
        </w:tc>
      </w:tr>
    </w:tbl>
    <w:p w14:paraId="572BBA03" w14:textId="77777777" w:rsidR="002641D2" w:rsidRPr="00FA3F9C" w:rsidRDefault="002641D2" w:rsidP="006F623F">
      <w:pPr>
        <w:spacing w:after="0"/>
        <w:rPr>
          <w:rFonts w:ascii="Arial" w:hAnsi="Arial" w:cs="Arial"/>
          <w:b/>
          <w:sz w:val="24"/>
          <w:szCs w:val="24"/>
          <w:u w:val="single"/>
        </w:rPr>
      </w:pPr>
    </w:p>
    <w:tbl>
      <w:tblPr>
        <w:tblStyle w:val="TableGrid"/>
        <w:tblW w:w="0" w:type="auto"/>
        <w:shd w:val="clear" w:color="auto" w:fill="BFBFBF" w:themeFill="background1" w:themeFillShade="BF"/>
        <w:tblLook w:val="04A0" w:firstRow="1" w:lastRow="0" w:firstColumn="1" w:lastColumn="0" w:noHBand="0" w:noVBand="1"/>
      </w:tblPr>
      <w:tblGrid>
        <w:gridCol w:w="10998"/>
      </w:tblGrid>
      <w:tr w:rsidR="002641D2" w:rsidRPr="00FA3F9C" w14:paraId="677B6790" w14:textId="77777777" w:rsidTr="003E49EF">
        <w:tc>
          <w:tcPr>
            <w:tcW w:w="10998" w:type="dxa"/>
            <w:shd w:val="clear" w:color="auto" w:fill="BFBFBF" w:themeFill="background1" w:themeFillShade="BF"/>
          </w:tcPr>
          <w:p w14:paraId="438BDBC8" w14:textId="77777777" w:rsidR="002641D2" w:rsidRPr="00FA3F9C" w:rsidRDefault="002641D2" w:rsidP="00E266F0">
            <w:pPr>
              <w:tabs>
                <w:tab w:val="left" w:pos="5907"/>
              </w:tabs>
              <w:rPr>
                <w:rFonts w:ascii="Arial" w:hAnsi="Arial" w:cs="Arial"/>
                <w:sz w:val="24"/>
                <w:szCs w:val="24"/>
              </w:rPr>
            </w:pPr>
            <w:r w:rsidRPr="00FA3F9C">
              <w:rPr>
                <w:rFonts w:ascii="Arial" w:hAnsi="Arial" w:cs="Arial"/>
                <w:sz w:val="24"/>
                <w:szCs w:val="24"/>
              </w:rPr>
              <w:t xml:space="preserve">Dosing is 2.5mcg/dose; increase to 5mcg/dose.  Administer 6-9 times daily (dosing at intervals &gt;2h while awake according to need and tolerability.  Max dose is 45 mcg (5mcg/dose 9 times daily).  Not studied in renal impairment.  For hepatic impairment, consider changing dosing interval to every 3-4 hours.  </w:t>
            </w:r>
          </w:p>
        </w:tc>
      </w:tr>
    </w:tbl>
    <w:p w14:paraId="0440EC56" w14:textId="77777777" w:rsidR="002641D2" w:rsidRPr="00FA3F9C" w:rsidRDefault="002641D2" w:rsidP="006F623F">
      <w:pPr>
        <w:spacing w:after="0"/>
        <w:rPr>
          <w:rFonts w:ascii="Arial" w:hAnsi="Arial" w:cs="Arial"/>
          <w:sz w:val="24"/>
          <w:szCs w:val="24"/>
        </w:rPr>
      </w:pPr>
    </w:p>
    <w:p w14:paraId="49B75DBB" w14:textId="77777777" w:rsidR="002641D2" w:rsidRPr="00FA3F9C" w:rsidRDefault="002641D2" w:rsidP="006F623F">
      <w:pPr>
        <w:pStyle w:val="Default"/>
        <w:rPr>
          <w:rFonts w:ascii="Arial" w:hAnsi="Arial" w:cs="Arial"/>
        </w:rPr>
      </w:pPr>
    </w:p>
    <w:p w14:paraId="1A93BB82" w14:textId="77777777" w:rsidR="002641D2" w:rsidRPr="00FA3F9C" w:rsidRDefault="002641D2" w:rsidP="006F623F">
      <w:pPr>
        <w:spacing w:after="0"/>
        <w:rPr>
          <w:rFonts w:ascii="Arial" w:hAnsi="Arial" w:cs="Arial"/>
          <w:sz w:val="24"/>
          <w:szCs w:val="24"/>
        </w:rPr>
      </w:pPr>
    </w:p>
    <w:p w14:paraId="308D2545" w14:textId="77777777" w:rsidR="002641D2" w:rsidRPr="00FA3F9C" w:rsidRDefault="002641D2"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008"/>
        <w:gridCol w:w="7470"/>
        <w:gridCol w:w="2538"/>
      </w:tblGrid>
      <w:tr w:rsidR="002641D2" w:rsidRPr="00FA3F9C" w14:paraId="1871F2EC" w14:textId="77777777" w:rsidTr="00FE491B">
        <w:tc>
          <w:tcPr>
            <w:tcW w:w="1008" w:type="dxa"/>
          </w:tcPr>
          <w:p w14:paraId="31DBA700" w14:textId="77777777" w:rsidR="002641D2" w:rsidRPr="00FA3F9C" w:rsidRDefault="002641D2" w:rsidP="006F623F">
            <w:pPr>
              <w:rPr>
                <w:rFonts w:ascii="Arial" w:hAnsi="Arial" w:cs="Arial"/>
                <w:sz w:val="24"/>
                <w:szCs w:val="24"/>
              </w:rPr>
            </w:pPr>
            <w:r w:rsidRPr="00FA3F9C">
              <w:rPr>
                <w:rFonts w:ascii="Arial" w:hAnsi="Arial" w:cs="Arial"/>
                <w:sz w:val="24"/>
                <w:szCs w:val="24"/>
              </w:rPr>
              <w:t>Date</w:t>
            </w:r>
          </w:p>
        </w:tc>
        <w:tc>
          <w:tcPr>
            <w:tcW w:w="7470" w:type="dxa"/>
          </w:tcPr>
          <w:p w14:paraId="52A28A28" w14:textId="77777777" w:rsidR="002641D2" w:rsidRPr="00FA3F9C" w:rsidRDefault="002641D2" w:rsidP="006F623F">
            <w:pPr>
              <w:rPr>
                <w:rFonts w:ascii="Arial" w:hAnsi="Arial" w:cs="Arial"/>
                <w:sz w:val="24"/>
                <w:szCs w:val="24"/>
              </w:rPr>
            </w:pPr>
            <w:r w:rsidRPr="00FA3F9C">
              <w:rPr>
                <w:rFonts w:ascii="Arial" w:hAnsi="Arial" w:cs="Arial"/>
                <w:sz w:val="24"/>
                <w:szCs w:val="24"/>
              </w:rPr>
              <w:t>What changed</w:t>
            </w:r>
          </w:p>
        </w:tc>
        <w:tc>
          <w:tcPr>
            <w:tcW w:w="2538" w:type="dxa"/>
          </w:tcPr>
          <w:p w14:paraId="409B1498" w14:textId="77777777" w:rsidR="002641D2" w:rsidRPr="00FA3F9C" w:rsidRDefault="002641D2" w:rsidP="006F623F">
            <w:pPr>
              <w:rPr>
                <w:rFonts w:ascii="Arial" w:hAnsi="Arial" w:cs="Arial"/>
                <w:sz w:val="24"/>
                <w:szCs w:val="24"/>
              </w:rPr>
            </w:pPr>
            <w:r w:rsidRPr="00FA3F9C">
              <w:rPr>
                <w:rFonts w:ascii="Arial" w:hAnsi="Arial" w:cs="Arial"/>
                <w:sz w:val="24"/>
                <w:szCs w:val="24"/>
              </w:rPr>
              <w:t>Pharmacist’s initials</w:t>
            </w:r>
          </w:p>
        </w:tc>
      </w:tr>
      <w:tr w:rsidR="002641D2" w:rsidRPr="00FA3F9C" w14:paraId="4414FC48" w14:textId="77777777" w:rsidTr="00FE491B">
        <w:tc>
          <w:tcPr>
            <w:tcW w:w="1008" w:type="dxa"/>
          </w:tcPr>
          <w:p w14:paraId="66810A32" w14:textId="77777777" w:rsidR="002641D2" w:rsidRPr="00FA3F9C" w:rsidRDefault="002641D2" w:rsidP="006F623F">
            <w:pPr>
              <w:rPr>
                <w:rFonts w:ascii="Arial" w:hAnsi="Arial" w:cs="Arial"/>
                <w:sz w:val="24"/>
                <w:szCs w:val="24"/>
              </w:rPr>
            </w:pPr>
            <w:r w:rsidRPr="00FA3F9C">
              <w:rPr>
                <w:rFonts w:ascii="Arial" w:hAnsi="Arial" w:cs="Arial"/>
                <w:sz w:val="24"/>
                <w:szCs w:val="24"/>
              </w:rPr>
              <w:t>2/6/15</w:t>
            </w:r>
          </w:p>
        </w:tc>
        <w:tc>
          <w:tcPr>
            <w:tcW w:w="7470" w:type="dxa"/>
          </w:tcPr>
          <w:p w14:paraId="7F70FE6C" w14:textId="77777777" w:rsidR="002641D2" w:rsidRPr="00FA3F9C" w:rsidRDefault="002641D2" w:rsidP="006F623F">
            <w:pPr>
              <w:rPr>
                <w:rFonts w:ascii="Arial" w:hAnsi="Arial" w:cs="Arial"/>
                <w:sz w:val="24"/>
                <w:szCs w:val="24"/>
              </w:rPr>
            </w:pPr>
            <w:r w:rsidRPr="00FA3F9C">
              <w:rPr>
                <w:rFonts w:ascii="Arial" w:hAnsi="Arial" w:cs="Arial"/>
                <w:sz w:val="24"/>
                <w:szCs w:val="24"/>
              </w:rPr>
              <w:t>I wrote the criteria.</w:t>
            </w:r>
          </w:p>
        </w:tc>
        <w:tc>
          <w:tcPr>
            <w:tcW w:w="2538" w:type="dxa"/>
          </w:tcPr>
          <w:p w14:paraId="2CDD6268" w14:textId="77777777" w:rsidR="002641D2" w:rsidRPr="00FA3F9C" w:rsidRDefault="002641D2" w:rsidP="006F623F">
            <w:pPr>
              <w:rPr>
                <w:rFonts w:ascii="Arial" w:hAnsi="Arial" w:cs="Arial"/>
                <w:sz w:val="24"/>
                <w:szCs w:val="24"/>
              </w:rPr>
            </w:pPr>
            <w:r w:rsidRPr="00FA3F9C">
              <w:rPr>
                <w:rFonts w:ascii="Arial" w:hAnsi="Arial" w:cs="Arial"/>
                <w:sz w:val="24"/>
                <w:szCs w:val="24"/>
              </w:rPr>
              <w:t>JJ</w:t>
            </w:r>
          </w:p>
        </w:tc>
      </w:tr>
      <w:tr w:rsidR="002641D2" w:rsidRPr="00FA3F9C" w14:paraId="7BED42C4" w14:textId="77777777" w:rsidTr="00FE491B">
        <w:tc>
          <w:tcPr>
            <w:tcW w:w="1008" w:type="dxa"/>
          </w:tcPr>
          <w:p w14:paraId="741F4173" w14:textId="77777777" w:rsidR="002641D2" w:rsidRPr="00FA3F9C" w:rsidRDefault="002641D2" w:rsidP="006F623F">
            <w:pPr>
              <w:rPr>
                <w:rFonts w:ascii="Arial" w:hAnsi="Arial" w:cs="Arial"/>
                <w:sz w:val="24"/>
                <w:szCs w:val="24"/>
              </w:rPr>
            </w:pPr>
          </w:p>
        </w:tc>
        <w:tc>
          <w:tcPr>
            <w:tcW w:w="7470" w:type="dxa"/>
          </w:tcPr>
          <w:p w14:paraId="6E1EDD2C" w14:textId="77777777" w:rsidR="002641D2" w:rsidRPr="00FA3F9C" w:rsidRDefault="002641D2" w:rsidP="006F623F">
            <w:pPr>
              <w:rPr>
                <w:rFonts w:ascii="Arial" w:hAnsi="Arial" w:cs="Arial"/>
                <w:sz w:val="24"/>
                <w:szCs w:val="24"/>
              </w:rPr>
            </w:pPr>
          </w:p>
        </w:tc>
        <w:tc>
          <w:tcPr>
            <w:tcW w:w="2538" w:type="dxa"/>
          </w:tcPr>
          <w:p w14:paraId="3117DFB0" w14:textId="77777777" w:rsidR="002641D2" w:rsidRPr="00FA3F9C" w:rsidRDefault="002641D2" w:rsidP="006F623F">
            <w:pPr>
              <w:rPr>
                <w:rFonts w:ascii="Arial" w:hAnsi="Arial" w:cs="Arial"/>
                <w:sz w:val="24"/>
                <w:szCs w:val="24"/>
              </w:rPr>
            </w:pPr>
          </w:p>
        </w:tc>
      </w:tr>
    </w:tbl>
    <w:p w14:paraId="5827659E" w14:textId="77777777" w:rsidR="002641D2" w:rsidRPr="00FA3F9C" w:rsidRDefault="002641D2" w:rsidP="006F623F">
      <w:pPr>
        <w:spacing w:after="0"/>
        <w:rPr>
          <w:rFonts w:ascii="Arial" w:hAnsi="Arial" w:cs="Arial"/>
          <w:sz w:val="24"/>
          <w:szCs w:val="24"/>
        </w:rPr>
      </w:pPr>
    </w:p>
    <w:p w14:paraId="7A724785" w14:textId="77777777" w:rsidR="002641D2" w:rsidRPr="00FA3F9C" w:rsidRDefault="002641D2" w:rsidP="006F623F">
      <w:pPr>
        <w:spacing w:after="0"/>
        <w:rPr>
          <w:rFonts w:ascii="Arial" w:hAnsi="Arial" w:cs="Arial"/>
          <w:sz w:val="24"/>
          <w:szCs w:val="24"/>
        </w:rPr>
      </w:pPr>
    </w:p>
    <w:p w14:paraId="0D2EB374" w14:textId="77777777" w:rsidR="002641D2" w:rsidRPr="00FA3F9C" w:rsidRDefault="002641D2" w:rsidP="006F623F">
      <w:pPr>
        <w:spacing w:after="0"/>
        <w:rPr>
          <w:rFonts w:ascii="Arial" w:hAnsi="Arial" w:cs="Arial"/>
          <w:sz w:val="24"/>
          <w:szCs w:val="24"/>
        </w:rPr>
      </w:pPr>
      <w:r w:rsidRPr="00FA3F9C">
        <w:rPr>
          <w:rFonts w:ascii="Arial" w:hAnsi="Arial" w:cs="Arial"/>
          <w:sz w:val="24"/>
          <w:szCs w:val="24"/>
        </w:rPr>
        <w:t>Addendum:</w:t>
      </w:r>
    </w:p>
    <w:tbl>
      <w:tblPr>
        <w:tblStyle w:val="TableGrid"/>
        <w:tblW w:w="0" w:type="auto"/>
        <w:tblLook w:val="04A0" w:firstRow="1" w:lastRow="0" w:firstColumn="1" w:lastColumn="0" w:noHBand="0" w:noVBand="1"/>
      </w:tblPr>
      <w:tblGrid>
        <w:gridCol w:w="1832"/>
        <w:gridCol w:w="1788"/>
        <w:gridCol w:w="2055"/>
        <w:gridCol w:w="1918"/>
        <w:gridCol w:w="1999"/>
        <w:gridCol w:w="2097"/>
        <w:gridCol w:w="1981"/>
      </w:tblGrid>
      <w:tr w:rsidR="002641D2" w:rsidRPr="00FA3F9C" w14:paraId="4D74A5E6" w14:textId="77777777" w:rsidTr="003926F2">
        <w:tc>
          <w:tcPr>
            <w:tcW w:w="14616" w:type="dxa"/>
            <w:gridSpan w:val="7"/>
          </w:tcPr>
          <w:p w14:paraId="53A71F9D" w14:textId="77777777" w:rsidR="002641D2" w:rsidRPr="00FA3F9C" w:rsidRDefault="002641D2"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Diagnostic Criteria and WHO categorization of PH</w:t>
            </w:r>
          </w:p>
        </w:tc>
      </w:tr>
      <w:tr w:rsidR="002641D2" w:rsidRPr="00FA3F9C" w14:paraId="395710D7" w14:textId="77777777" w:rsidTr="003926F2">
        <w:tc>
          <w:tcPr>
            <w:tcW w:w="2088" w:type="dxa"/>
          </w:tcPr>
          <w:p w14:paraId="0F0D368F" w14:textId="77777777" w:rsidR="002641D2" w:rsidRPr="00FA3F9C" w:rsidRDefault="002641D2" w:rsidP="003926F2">
            <w:pPr>
              <w:widowControl w:val="0"/>
              <w:autoSpaceDE w:val="0"/>
              <w:autoSpaceDN w:val="0"/>
              <w:adjustRightInd w:val="0"/>
              <w:rPr>
                <w:rFonts w:ascii="Arial" w:hAnsi="Arial" w:cs="Arial"/>
                <w:b/>
                <w:color w:val="231F20"/>
                <w:sz w:val="24"/>
                <w:szCs w:val="24"/>
              </w:rPr>
            </w:pPr>
          </w:p>
        </w:tc>
        <w:tc>
          <w:tcPr>
            <w:tcW w:w="2088" w:type="dxa"/>
          </w:tcPr>
          <w:p w14:paraId="08F2C2CD" w14:textId="77777777" w:rsidR="002641D2" w:rsidRPr="00FA3F9C" w:rsidRDefault="002641D2"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All Groups</w:t>
            </w:r>
          </w:p>
        </w:tc>
        <w:tc>
          <w:tcPr>
            <w:tcW w:w="2088" w:type="dxa"/>
          </w:tcPr>
          <w:p w14:paraId="6427E473" w14:textId="77777777" w:rsidR="002641D2" w:rsidRPr="00FA3F9C" w:rsidRDefault="002641D2"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Group 1</w:t>
            </w:r>
          </w:p>
        </w:tc>
        <w:tc>
          <w:tcPr>
            <w:tcW w:w="2088" w:type="dxa"/>
          </w:tcPr>
          <w:p w14:paraId="6973EF89" w14:textId="77777777" w:rsidR="002641D2" w:rsidRPr="00FA3F9C" w:rsidRDefault="002641D2"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Group 2</w:t>
            </w:r>
          </w:p>
        </w:tc>
        <w:tc>
          <w:tcPr>
            <w:tcW w:w="2088" w:type="dxa"/>
          </w:tcPr>
          <w:p w14:paraId="1FB939DB" w14:textId="77777777" w:rsidR="002641D2" w:rsidRPr="00FA3F9C" w:rsidRDefault="002641D2"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Group 3</w:t>
            </w:r>
          </w:p>
        </w:tc>
        <w:tc>
          <w:tcPr>
            <w:tcW w:w="2088" w:type="dxa"/>
          </w:tcPr>
          <w:p w14:paraId="1FED4D4B" w14:textId="77777777" w:rsidR="002641D2" w:rsidRPr="00FA3F9C" w:rsidRDefault="002641D2"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Group 4</w:t>
            </w:r>
          </w:p>
        </w:tc>
        <w:tc>
          <w:tcPr>
            <w:tcW w:w="2088" w:type="dxa"/>
          </w:tcPr>
          <w:p w14:paraId="6DBAFBB4" w14:textId="77777777" w:rsidR="002641D2" w:rsidRPr="00FA3F9C" w:rsidRDefault="002641D2"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Group 5</w:t>
            </w:r>
          </w:p>
        </w:tc>
      </w:tr>
      <w:tr w:rsidR="002641D2" w:rsidRPr="00FA3F9C" w14:paraId="6650C1FE" w14:textId="77777777" w:rsidTr="003926F2">
        <w:tc>
          <w:tcPr>
            <w:tcW w:w="2088" w:type="dxa"/>
          </w:tcPr>
          <w:p w14:paraId="5C2DEA09" w14:textId="77777777" w:rsidR="002641D2" w:rsidRPr="00FA3F9C" w:rsidRDefault="002641D2"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Description</w:t>
            </w:r>
          </w:p>
        </w:tc>
        <w:tc>
          <w:tcPr>
            <w:tcW w:w="2088" w:type="dxa"/>
          </w:tcPr>
          <w:p w14:paraId="6878449E" w14:textId="77777777" w:rsidR="002641D2" w:rsidRPr="00FA3F9C" w:rsidRDefault="002641D2"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Elevated PAP</w:t>
            </w:r>
          </w:p>
        </w:tc>
        <w:tc>
          <w:tcPr>
            <w:tcW w:w="2088" w:type="dxa"/>
          </w:tcPr>
          <w:p w14:paraId="68ED4A12" w14:textId="77777777" w:rsidR="002641D2" w:rsidRPr="00FA3F9C" w:rsidRDefault="002641D2"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Pulmonary arterial hypertension</w:t>
            </w:r>
          </w:p>
        </w:tc>
        <w:tc>
          <w:tcPr>
            <w:tcW w:w="2088" w:type="dxa"/>
          </w:tcPr>
          <w:p w14:paraId="723F8B39" w14:textId="77777777" w:rsidR="002641D2" w:rsidRPr="00FA3F9C" w:rsidRDefault="002641D2"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Pulmonary venous hypertension</w:t>
            </w:r>
          </w:p>
        </w:tc>
        <w:tc>
          <w:tcPr>
            <w:tcW w:w="2088" w:type="dxa"/>
          </w:tcPr>
          <w:p w14:paraId="0ACCFF20" w14:textId="77777777" w:rsidR="002641D2" w:rsidRPr="00FA3F9C" w:rsidRDefault="002641D2"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PH due to hypoxemia</w:t>
            </w:r>
          </w:p>
        </w:tc>
        <w:tc>
          <w:tcPr>
            <w:tcW w:w="2088" w:type="dxa"/>
          </w:tcPr>
          <w:p w14:paraId="75641403" w14:textId="77777777" w:rsidR="002641D2" w:rsidRPr="00FA3F9C" w:rsidRDefault="002641D2"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Chronic thromboembolic PH</w:t>
            </w:r>
          </w:p>
        </w:tc>
        <w:tc>
          <w:tcPr>
            <w:tcW w:w="2088" w:type="dxa"/>
          </w:tcPr>
          <w:p w14:paraId="1B60A96F" w14:textId="77777777" w:rsidR="002641D2" w:rsidRPr="00FA3F9C" w:rsidRDefault="002641D2"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Miscellaneous or multifactorial PH</w:t>
            </w:r>
          </w:p>
        </w:tc>
      </w:tr>
      <w:tr w:rsidR="002641D2" w:rsidRPr="00FA3F9C" w14:paraId="4B8863F1" w14:textId="77777777" w:rsidTr="003926F2">
        <w:tc>
          <w:tcPr>
            <w:tcW w:w="2088" w:type="dxa"/>
          </w:tcPr>
          <w:p w14:paraId="432F0FBB" w14:textId="77777777" w:rsidR="002641D2" w:rsidRPr="00FA3F9C" w:rsidRDefault="002641D2"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Estimated prevalence</w:t>
            </w:r>
          </w:p>
        </w:tc>
        <w:tc>
          <w:tcPr>
            <w:tcW w:w="2088" w:type="dxa"/>
          </w:tcPr>
          <w:p w14:paraId="7F7B4655" w14:textId="77777777" w:rsidR="002641D2" w:rsidRPr="00FA3F9C" w:rsidRDefault="002641D2"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Up to 10-20% of the general population</w:t>
            </w:r>
          </w:p>
        </w:tc>
        <w:tc>
          <w:tcPr>
            <w:tcW w:w="2088" w:type="dxa"/>
          </w:tcPr>
          <w:p w14:paraId="37461D12" w14:textId="77777777" w:rsidR="002641D2" w:rsidRPr="00FA3F9C" w:rsidRDefault="002641D2"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15 cases/1,000,000 overall; 6 cases per 1mil for idiopathic PAH</w:t>
            </w:r>
          </w:p>
        </w:tc>
        <w:tc>
          <w:tcPr>
            <w:tcW w:w="2088" w:type="dxa"/>
          </w:tcPr>
          <w:p w14:paraId="17D60E7D" w14:textId="77777777" w:rsidR="002641D2" w:rsidRPr="00FA3F9C" w:rsidRDefault="002641D2"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&gt;3-4 mil in US</w:t>
            </w:r>
          </w:p>
        </w:tc>
        <w:tc>
          <w:tcPr>
            <w:tcW w:w="2088" w:type="dxa"/>
          </w:tcPr>
          <w:p w14:paraId="09F687D0" w14:textId="77777777" w:rsidR="002641D2" w:rsidRPr="00FA3F9C" w:rsidRDefault="002641D2"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20% in COPD pts w/ a prior hospitalization for COPD</w:t>
            </w:r>
          </w:p>
        </w:tc>
        <w:tc>
          <w:tcPr>
            <w:tcW w:w="2088" w:type="dxa"/>
          </w:tcPr>
          <w:p w14:paraId="51C4E518" w14:textId="77777777" w:rsidR="002641D2" w:rsidRPr="00FA3F9C" w:rsidRDefault="002641D2"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0.5-2% (up to 3.8%) in survivors of acute PE</w:t>
            </w:r>
          </w:p>
        </w:tc>
        <w:tc>
          <w:tcPr>
            <w:tcW w:w="2088" w:type="dxa"/>
          </w:tcPr>
          <w:p w14:paraId="09959BD8" w14:textId="77777777" w:rsidR="002641D2" w:rsidRPr="00FA3F9C" w:rsidRDefault="002641D2"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Unclear</w:t>
            </w:r>
          </w:p>
        </w:tc>
      </w:tr>
      <w:tr w:rsidR="002641D2" w:rsidRPr="00FA3F9C" w14:paraId="1EF6B871" w14:textId="77777777" w:rsidTr="003926F2">
        <w:tc>
          <w:tcPr>
            <w:tcW w:w="2088" w:type="dxa"/>
          </w:tcPr>
          <w:p w14:paraId="4A6EF06A" w14:textId="77777777" w:rsidR="002641D2" w:rsidRPr="00FA3F9C" w:rsidRDefault="002641D2"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Diagnostic criteria</w:t>
            </w:r>
          </w:p>
        </w:tc>
        <w:tc>
          <w:tcPr>
            <w:tcW w:w="12528" w:type="dxa"/>
            <w:gridSpan w:val="6"/>
          </w:tcPr>
          <w:p w14:paraId="1D09E083" w14:textId="77777777" w:rsidR="002641D2" w:rsidRPr="00FA3F9C" w:rsidRDefault="002641D2" w:rsidP="003926F2">
            <w:pPr>
              <w:widowControl w:val="0"/>
              <w:autoSpaceDE w:val="0"/>
              <w:autoSpaceDN w:val="0"/>
              <w:adjustRightInd w:val="0"/>
              <w:rPr>
                <w:rFonts w:ascii="Arial" w:hAnsi="Arial" w:cs="Arial"/>
                <w:b/>
                <w:color w:val="231F20"/>
                <w:sz w:val="24"/>
                <w:szCs w:val="24"/>
              </w:rPr>
            </w:pPr>
          </w:p>
        </w:tc>
      </w:tr>
      <w:tr w:rsidR="002641D2" w:rsidRPr="00FA3F9C" w14:paraId="6B02E6E7" w14:textId="77777777" w:rsidTr="003926F2">
        <w:tc>
          <w:tcPr>
            <w:tcW w:w="2088" w:type="dxa"/>
          </w:tcPr>
          <w:p w14:paraId="7A0E7906" w14:textId="77777777" w:rsidR="002641D2" w:rsidRPr="00FA3F9C" w:rsidRDefault="002641D2"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 xml:space="preserve">Mean PA pressure, </w:t>
            </w:r>
            <w:r w:rsidRPr="00FA3F9C">
              <w:rPr>
                <w:rFonts w:ascii="Arial" w:hAnsi="Arial" w:cs="Arial"/>
                <w:b/>
                <w:color w:val="231F20"/>
                <w:sz w:val="24"/>
                <w:szCs w:val="24"/>
              </w:rPr>
              <w:lastRenderedPageBreak/>
              <w:t>mmHg</w:t>
            </w:r>
          </w:p>
        </w:tc>
        <w:tc>
          <w:tcPr>
            <w:tcW w:w="2088" w:type="dxa"/>
          </w:tcPr>
          <w:p w14:paraId="1845E14E" w14:textId="77777777" w:rsidR="002641D2" w:rsidRPr="00FA3F9C" w:rsidRDefault="002641D2"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u w:val="single"/>
              </w:rPr>
              <w:lastRenderedPageBreak/>
              <w:t>&gt;</w:t>
            </w:r>
            <w:r w:rsidRPr="00FA3F9C">
              <w:rPr>
                <w:rFonts w:ascii="Arial" w:hAnsi="Arial" w:cs="Arial"/>
                <w:b/>
                <w:color w:val="231F20"/>
                <w:sz w:val="24"/>
                <w:szCs w:val="24"/>
              </w:rPr>
              <w:t>25</w:t>
            </w:r>
          </w:p>
        </w:tc>
        <w:tc>
          <w:tcPr>
            <w:tcW w:w="2088" w:type="dxa"/>
          </w:tcPr>
          <w:p w14:paraId="4BE12635" w14:textId="77777777" w:rsidR="002641D2" w:rsidRPr="00FA3F9C" w:rsidRDefault="002641D2"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u w:val="single"/>
              </w:rPr>
              <w:t>&gt;</w:t>
            </w:r>
            <w:r w:rsidRPr="00FA3F9C">
              <w:rPr>
                <w:rFonts w:ascii="Arial" w:hAnsi="Arial" w:cs="Arial"/>
                <w:b/>
                <w:color w:val="231F20"/>
                <w:sz w:val="24"/>
                <w:szCs w:val="24"/>
              </w:rPr>
              <w:t>25</w:t>
            </w:r>
          </w:p>
        </w:tc>
        <w:tc>
          <w:tcPr>
            <w:tcW w:w="2088" w:type="dxa"/>
          </w:tcPr>
          <w:p w14:paraId="178393ED" w14:textId="77777777" w:rsidR="002641D2" w:rsidRPr="00FA3F9C" w:rsidRDefault="002641D2" w:rsidP="003926F2">
            <w:pPr>
              <w:rPr>
                <w:rFonts w:ascii="Arial" w:hAnsi="Arial" w:cs="Arial"/>
                <w:sz w:val="24"/>
                <w:szCs w:val="24"/>
              </w:rPr>
            </w:pPr>
            <w:r w:rsidRPr="00FA3F9C">
              <w:rPr>
                <w:rFonts w:ascii="Arial" w:hAnsi="Arial" w:cs="Arial"/>
                <w:b/>
                <w:color w:val="231F20"/>
                <w:sz w:val="24"/>
                <w:szCs w:val="24"/>
                <w:u w:val="single"/>
              </w:rPr>
              <w:t>&gt;</w:t>
            </w:r>
            <w:r w:rsidRPr="00FA3F9C">
              <w:rPr>
                <w:rFonts w:ascii="Arial" w:hAnsi="Arial" w:cs="Arial"/>
                <w:b/>
                <w:color w:val="231F20"/>
                <w:sz w:val="24"/>
                <w:szCs w:val="24"/>
              </w:rPr>
              <w:t>25</w:t>
            </w:r>
          </w:p>
        </w:tc>
        <w:tc>
          <w:tcPr>
            <w:tcW w:w="2088" w:type="dxa"/>
          </w:tcPr>
          <w:p w14:paraId="2DCEA851" w14:textId="77777777" w:rsidR="002641D2" w:rsidRPr="00FA3F9C" w:rsidRDefault="002641D2" w:rsidP="003926F2">
            <w:pPr>
              <w:rPr>
                <w:rFonts w:ascii="Arial" w:hAnsi="Arial" w:cs="Arial"/>
                <w:sz w:val="24"/>
                <w:szCs w:val="24"/>
              </w:rPr>
            </w:pPr>
            <w:r w:rsidRPr="00FA3F9C">
              <w:rPr>
                <w:rFonts w:ascii="Arial" w:hAnsi="Arial" w:cs="Arial"/>
                <w:b/>
                <w:color w:val="231F20"/>
                <w:sz w:val="24"/>
                <w:szCs w:val="24"/>
                <w:u w:val="single"/>
              </w:rPr>
              <w:t>&gt;</w:t>
            </w:r>
            <w:r w:rsidRPr="00FA3F9C">
              <w:rPr>
                <w:rFonts w:ascii="Arial" w:hAnsi="Arial" w:cs="Arial"/>
                <w:b/>
                <w:color w:val="231F20"/>
                <w:sz w:val="24"/>
                <w:szCs w:val="24"/>
              </w:rPr>
              <w:t>25</w:t>
            </w:r>
          </w:p>
        </w:tc>
        <w:tc>
          <w:tcPr>
            <w:tcW w:w="2088" w:type="dxa"/>
          </w:tcPr>
          <w:p w14:paraId="6C1BEE42" w14:textId="77777777" w:rsidR="002641D2" w:rsidRPr="00FA3F9C" w:rsidRDefault="002641D2" w:rsidP="003926F2">
            <w:pPr>
              <w:rPr>
                <w:rFonts w:ascii="Arial" w:hAnsi="Arial" w:cs="Arial"/>
                <w:sz w:val="24"/>
                <w:szCs w:val="24"/>
              </w:rPr>
            </w:pPr>
            <w:r w:rsidRPr="00FA3F9C">
              <w:rPr>
                <w:rFonts w:ascii="Arial" w:hAnsi="Arial" w:cs="Arial"/>
                <w:b/>
                <w:color w:val="231F20"/>
                <w:sz w:val="24"/>
                <w:szCs w:val="24"/>
                <w:u w:val="single"/>
              </w:rPr>
              <w:t>&gt;</w:t>
            </w:r>
            <w:r w:rsidRPr="00FA3F9C">
              <w:rPr>
                <w:rFonts w:ascii="Arial" w:hAnsi="Arial" w:cs="Arial"/>
                <w:b/>
                <w:color w:val="231F20"/>
                <w:sz w:val="24"/>
                <w:szCs w:val="24"/>
              </w:rPr>
              <w:t>25</w:t>
            </w:r>
          </w:p>
        </w:tc>
        <w:tc>
          <w:tcPr>
            <w:tcW w:w="2088" w:type="dxa"/>
          </w:tcPr>
          <w:p w14:paraId="06905B15" w14:textId="77777777" w:rsidR="002641D2" w:rsidRPr="00FA3F9C" w:rsidRDefault="002641D2" w:rsidP="003926F2">
            <w:pPr>
              <w:rPr>
                <w:rFonts w:ascii="Arial" w:hAnsi="Arial" w:cs="Arial"/>
                <w:sz w:val="24"/>
                <w:szCs w:val="24"/>
              </w:rPr>
            </w:pPr>
            <w:r w:rsidRPr="00FA3F9C">
              <w:rPr>
                <w:rFonts w:ascii="Arial" w:hAnsi="Arial" w:cs="Arial"/>
                <w:b/>
                <w:color w:val="231F20"/>
                <w:sz w:val="24"/>
                <w:szCs w:val="24"/>
                <w:u w:val="single"/>
              </w:rPr>
              <w:t>&gt;</w:t>
            </w:r>
            <w:r w:rsidRPr="00FA3F9C">
              <w:rPr>
                <w:rFonts w:ascii="Arial" w:hAnsi="Arial" w:cs="Arial"/>
                <w:b/>
                <w:color w:val="231F20"/>
                <w:sz w:val="24"/>
                <w:szCs w:val="24"/>
              </w:rPr>
              <w:t>25</w:t>
            </w:r>
          </w:p>
        </w:tc>
      </w:tr>
      <w:tr w:rsidR="002641D2" w:rsidRPr="00FA3F9C" w14:paraId="1573A91A" w14:textId="77777777" w:rsidTr="003926F2">
        <w:tc>
          <w:tcPr>
            <w:tcW w:w="2088" w:type="dxa"/>
          </w:tcPr>
          <w:p w14:paraId="6961278C" w14:textId="77777777" w:rsidR="002641D2" w:rsidRPr="00FA3F9C" w:rsidRDefault="002641D2"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PCWP or LVEDP, mmHg</w:t>
            </w:r>
          </w:p>
        </w:tc>
        <w:tc>
          <w:tcPr>
            <w:tcW w:w="2088" w:type="dxa"/>
          </w:tcPr>
          <w:p w14:paraId="4F371AF9" w14:textId="77777777" w:rsidR="002641D2" w:rsidRPr="00FA3F9C" w:rsidRDefault="002641D2" w:rsidP="003926F2">
            <w:pPr>
              <w:widowControl w:val="0"/>
              <w:autoSpaceDE w:val="0"/>
              <w:autoSpaceDN w:val="0"/>
              <w:adjustRightInd w:val="0"/>
              <w:rPr>
                <w:rFonts w:ascii="Arial" w:hAnsi="Arial" w:cs="Arial"/>
                <w:b/>
                <w:color w:val="231F20"/>
                <w:sz w:val="24"/>
                <w:szCs w:val="24"/>
              </w:rPr>
            </w:pPr>
          </w:p>
        </w:tc>
        <w:tc>
          <w:tcPr>
            <w:tcW w:w="2088" w:type="dxa"/>
          </w:tcPr>
          <w:p w14:paraId="101298A1" w14:textId="77777777" w:rsidR="002641D2" w:rsidRPr="00FA3F9C" w:rsidRDefault="002641D2"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u w:val="single"/>
              </w:rPr>
              <w:t>&lt;</w:t>
            </w:r>
            <w:r w:rsidRPr="00FA3F9C">
              <w:rPr>
                <w:rFonts w:ascii="Arial" w:hAnsi="Arial" w:cs="Arial"/>
                <w:b/>
                <w:color w:val="231F20"/>
                <w:sz w:val="24"/>
                <w:szCs w:val="24"/>
              </w:rPr>
              <w:t>15</w:t>
            </w:r>
          </w:p>
        </w:tc>
        <w:tc>
          <w:tcPr>
            <w:tcW w:w="2088" w:type="dxa"/>
          </w:tcPr>
          <w:p w14:paraId="3476079F" w14:textId="77777777" w:rsidR="002641D2" w:rsidRPr="00FA3F9C" w:rsidRDefault="002641D2"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highlight w:val="yellow"/>
              </w:rPr>
              <w:t>&gt;15</w:t>
            </w:r>
          </w:p>
        </w:tc>
        <w:tc>
          <w:tcPr>
            <w:tcW w:w="2088" w:type="dxa"/>
          </w:tcPr>
          <w:p w14:paraId="2F0F1BE8" w14:textId="77777777" w:rsidR="002641D2" w:rsidRPr="00FA3F9C" w:rsidRDefault="002641D2" w:rsidP="003926F2">
            <w:pPr>
              <w:rPr>
                <w:rFonts w:ascii="Arial" w:hAnsi="Arial" w:cs="Arial"/>
                <w:sz w:val="24"/>
                <w:szCs w:val="24"/>
              </w:rPr>
            </w:pPr>
            <w:r w:rsidRPr="00FA3F9C">
              <w:rPr>
                <w:rFonts w:ascii="Arial" w:hAnsi="Arial" w:cs="Arial"/>
                <w:b/>
                <w:color w:val="231F20"/>
                <w:sz w:val="24"/>
                <w:szCs w:val="24"/>
                <w:u w:val="single"/>
              </w:rPr>
              <w:t>&lt;</w:t>
            </w:r>
            <w:r w:rsidRPr="00FA3F9C">
              <w:rPr>
                <w:rFonts w:ascii="Arial" w:hAnsi="Arial" w:cs="Arial"/>
                <w:b/>
                <w:color w:val="231F20"/>
                <w:sz w:val="24"/>
                <w:szCs w:val="24"/>
              </w:rPr>
              <w:t>15</w:t>
            </w:r>
          </w:p>
        </w:tc>
        <w:tc>
          <w:tcPr>
            <w:tcW w:w="2088" w:type="dxa"/>
          </w:tcPr>
          <w:p w14:paraId="71AE4F25" w14:textId="77777777" w:rsidR="002641D2" w:rsidRPr="00FA3F9C" w:rsidRDefault="002641D2" w:rsidP="003926F2">
            <w:pPr>
              <w:rPr>
                <w:rFonts w:ascii="Arial" w:hAnsi="Arial" w:cs="Arial"/>
                <w:sz w:val="24"/>
                <w:szCs w:val="24"/>
              </w:rPr>
            </w:pPr>
            <w:r w:rsidRPr="00FA3F9C">
              <w:rPr>
                <w:rFonts w:ascii="Arial" w:hAnsi="Arial" w:cs="Arial"/>
                <w:b/>
                <w:color w:val="231F20"/>
                <w:sz w:val="24"/>
                <w:szCs w:val="24"/>
                <w:u w:val="single"/>
              </w:rPr>
              <w:t>&lt;</w:t>
            </w:r>
            <w:r w:rsidRPr="00FA3F9C">
              <w:rPr>
                <w:rFonts w:ascii="Arial" w:hAnsi="Arial" w:cs="Arial"/>
                <w:b/>
                <w:color w:val="231F20"/>
                <w:sz w:val="24"/>
                <w:szCs w:val="24"/>
              </w:rPr>
              <w:t>15</w:t>
            </w:r>
          </w:p>
        </w:tc>
        <w:tc>
          <w:tcPr>
            <w:tcW w:w="2088" w:type="dxa"/>
          </w:tcPr>
          <w:p w14:paraId="471F43AA" w14:textId="77777777" w:rsidR="002641D2" w:rsidRPr="00FA3F9C" w:rsidRDefault="002641D2" w:rsidP="003926F2">
            <w:pPr>
              <w:rPr>
                <w:rFonts w:ascii="Arial" w:hAnsi="Arial" w:cs="Arial"/>
                <w:sz w:val="24"/>
                <w:szCs w:val="24"/>
              </w:rPr>
            </w:pPr>
            <w:r w:rsidRPr="00FA3F9C">
              <w:rPr>
                <w:rFonts w:ascii="Arial" w:hAnsi="Arial" w:cs="Arial"/>
                <w:b/>
                <w:color w:val="231F20"/>
                <w:sz w:val="24"/>
                <w:szCs w:val="24"/>
                <w:u w:val="single"/>
              </w:rPr>
              <w:t>&lt;</w:t>
            </w:r>
            <w:r w:rsidRPr="00FA3F9C">
              <w:rPr>
                <w:rFonts w:ascii="Arial" w:hAnsi="Arial" w:cs="Arial"/>
                <w:b/>
                <w:color w:val="231F20"/>
                <w:sz w:val="24"/>
                <w:szCs w:val="24"/>
              </w:rPr>
              <w:t>15</w:t>
            </w:r>
          </w:p>
        </w:tc>
      </w:tr>
      <w:tr w:rsidR="002641D2" w:rsidRPr="00FA3F9C" w14:paraId="72A932B0" w14:textId="77777777" w:rsidTr="003926F2">
        <w:tc>
          <w:tcPr>
            <w:tcW w:w="2088" w:type="dxa"/>
          </w:tcPr>
          <w:p w14:paraId="112B03D8" w14:textId="77777777" w:rsidR="002641D2" w:rsidRPr="00FA3F9C" w:rsidRDefault="002641D2"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PVR, dynes/s/cm</w:t>
            </w:r>
          </w:p>
        </w:tc>
        <w:tc>
          <w:tcPr>
            <w:tcW w:w="2088" w:type="dxa"/>
          </w:tcPr>
          <w:p w14:paraId="3A3F2E31" w14:textId="77777777" w:rsidR="002641D2" w:rsidRPr="00FA3F9C" w:rsidRDefault="002641D2" w:rsidP="003926F2">
            <w:pPr>
              <w:widowControl w:val="0"/>
              <w:autoSpaceDE w:val="0"/>
              <w:autoSpaceDN w:val="0"/>
              <w:adjustRightInd w:val="0"/>
              <w:rPr>
                <w:rFonts w:ascii="Arial" w:hAnsi="Arial" w:cs="Arial"/>
                <w:b/>
                <w:color w:val="231F20"/>
                <w:sz w:val="24"/>
                <w:szCs w:val="24"/>
              </w:rPr>
            </w:pPr>
          </w:p>
        </w:tc>
        <w:tc>
          <w:tcPr>
            <w:tcW w:w="2088" w:type="dxa"/>
          </w:tcPr>
          <w:p w14:paraId="24DBD489" w14:textId="77777777" w:rsidR="002641D2" w:rsidRPr="00FA3F9C" w:rsidRDefault="002641D2" w:rsidP="003926F2">
            <w:pPr>
              <w:widowControl w:val="0"/>
              <w:autoSpaceDE w:val="0"/>
              <w:autoSpaceDN w:val="0"/>
              <w:adjustRightInd w:val="0"/>
              <w:rPr>
                <w:rFonts w:ascii="Arial" w:hAnsi="Arial" w:cs="Arial"/>
                <w:color w:val="231F20"/>
                <w:sz w:val="24"/>
                <w:szCs w:val="24"/>
              </w:rPr>
            </w:pPr>
            <w:r w:rsidRPr="00FA3F9C">
              <w:rPr>
                <w:rFonts w:ascii="Arial" w:hAnsi="Arial" w:cs="Arial"/>
                <w:color w:val="231F20"/>
                <w:sz w:val="24"/>
                <w:szCs w:val="24"/>
              </w:rPr>
              <w:t>&gt;240</w:t>
            </w:r>
          </w:p>
        </w:tc>
        <w:tc>
          <w:tcPr>
            <w:tcW w:w="2088" w:type="dxa"/>
          </w:tcPr>
          <w:p w14:paraId="2075513B" w14:textId="77777777" w:rsidR="002641D2" w:rsidRPr="00FA3F9C" w:rsidRDefault="002641D2" w:rsidP="003926F2">
            <w:pPr>
              <w:widowControl w:val="0"/>
              <w:autoSpaceDE w:val="0"/>
              <w:autoSpaceDN w:val="0"/>
              <w:adjustRightInd w:val="0"/>
              <w:rPr>
                <w:rFonts w:ascii="Arial" w:hAnsi="Arial" w:cs="Arial"/>
                <w:b/>
                <w:color w:val="231F20"/>
                <w:sz w:val="24"/>
                <w:szCs w:val="24"/>
                <w:highlight w:val="yellow"/>
              </w:rPr>
            </w:pPr>
          </w:p>
        </w:tc>
        <w:tc>
          <w:tcPr>
            <w:tcW w:w="2088" w:type="dxa"/>
          </w:tcPr>
          <w:p w14:paraId="4FBA0685" w14:textId="77777777" w:rsidR="002641D2" w:rsidRPr="00FA3F9C" w:rsidRDefault="002641D2" w:rsidP="003926F2">
            <w:pPr>
              <w:rPr>
                <w:rFonts w:ascii="Arial" w:hAnsi="Arial" w:cs="Arial"/>
                <w:sz w:val="24"/>
                <w:szCs w:val="24"/>
              </w:rPr>
            </w:pPr>
            <w:r w:rsidRPr="00FA3F9C">
              <w:rPr>
                <w:rFonts w:ascii="Arial" w:hAnsi="Arial" w:cs="Arial"/>
                <w:color w:val="231F20"/>
                <w:sz w:val="24"/>
                <w:szCs w:val="24"/>
              </w:rPr>
              <w:t>&gt;240</w:t>
            </w:r>
          </w:p>
        </w:tc>
        <w:tc>
          <w:tcPr>
            <w:tcW w:w="2088" w:type="dxa"/>
          </w:tcPr>
          <w:p w14:paraId="2E98FE19" w14:textId="77777777" w:rsidR="002641D2" w:rsidRPr="00FA3F9C" w:rsidRDefault="002641D2" w:rsidP="003926F2">
            <w:pPr>
              <w:rPr>
                <w:rFonts w:ascii="Arial" w:hAnsi="Arial" w:cs="Arial"/>
                <w:sz w:val="24"/>
                <w:szCs w:val="24"/>
              </w:rPr>
            </w:pPr>
            <w:r w:rsidRPr="00FA3F9C">
              <w:rPr>
                <w:rFonts w:ascii="Arial" w:hAnsi="Arial" w:cs="Arial"/>
                <w:color w:val="231F20"/>
                <w:sz w:val="24"/>
                <w:szCs w:val="24"/>
              </w:rPr>
              <w:t>&gt;240</w:t>
            </w:r>
          </w:p>
        </w:tc>
        <w:tc>
          <w:tcPr>
            <w:tcW w:w="2088" w:type="dxa"/>
          </w:tcPr>
          <w:p w14:paraId="3E58E07F" w14:textId="77777777" w:rsidR="002641D2" w:rsidRPr="00FA3F9C" w:rsidRDefault="002641D2" w:rsidP="003926F2">
            <w:pPr>
              <w:rPr>
                <w:rFonts w:ascii="Arial" w:hAnsi="Arial" w:cs="Arial"/>
                <w:sz w:val="24"/>
                <w:szCs w:val="24"/>
              </w:rPr>
            </w:pPr>
            <w:r w:rsidRPr="00FA3F9C">
              <w:rPr>
                <w:rFonts w:ascii="Arial" w:hAnsi="Arial" w:cs="Arial"/>
                <w:color w:val="231F20"/>
                <w:sz w:val="24"/>
                <w:szCs w:val="24"/>
              </w:rPr>
              <w:t>&gt;240</w:t>
            </w:r>
          </w:p>
        </w:tc>
      </w:tr>
    </w:tbl>
    <w:p w14:paraId="600A7FDF" w14:textId="77777777" w:rsidR="002641D2" w:rsidRPr="00FA3F9C" w:rsidRDefault="002641D2" w:rsidP="006F623F">
      <w:pPr>
        <w:spacing w:after="0"/>
        <w:rPr>
          <w:rFonts w:ascii="Arial" w:hAnsi="Arial" w:cs="Arial"/>
          <w:sz w:val="24"/>
          <w:szCs w:val="24"/>
        </w:rPr>
      </w:pPr>
    </w:p>
    <w:p w14:paraId="792E062E" w14:textId="77777777" w:rsidR="002641D2" w:rsidRPr="00FA3F9C" w:rsidRDefault="002641D2" w:rsidP="005E2908">
      <w:pPr>
        <w:pStyle w:val="Heading2"/>
      </w:pPr>
      <w:bookmarkStart w:id="143" w:name="_Toc106369825"/>
      <w:proofErr w:type="spellStart"/>
      <w:r w:rsidRPr="00FA3F9C">
        <w:t>Imiglucerase</w:t>
      </w:r>
      <w:proofErr w:type="spellEnd"/>
      <w:r w:rsidRPr="00FA3F9C">
        <w:t xml:space="preserve"> (Cerezyme)</w:t>
      </w:r>
      <w:bookmarkEnd w:id="143"/>
    </w:p>
    <w:p w14:paraId="75B01828" w14:textId="77777777" w:rsidR="002641D2" w:rsidRPr="00FA3F9C" w:rsidRDefault="002641D2" w:rsidP="0091213D">
      <w:pPr>
        <w:spacing w:after="0"/>
        <w:jc w:val="center"/>
        <w:rPr>
          <w:rFonts w:ascii="Arial" w:hAnsi="Arial" w:cs="Arial"/>
          <w:sz w:val="24"/>
          <w:szCs w:val="24"/>
        </w:rPr>
      </w:pPr>
      <w:r w:rsidRPr="00FA3F9C">
        <w:rPr>
          <w:rFonts w:ascii="Arial" w:hAnsi="Arial" w:cs="Arial"/>
          <w:sz w:val="24"/>
          <w:szCs w:val="24"/>
        </w:rPr>
        <w:t>EBRx PA Criteria</w:t>
      </w:r>
    </w:p>
    <w:p w14:paraId="7F9BA3B3" w14:textId="77777777" w:rsidR="002641D2" w:rsidRPr="00FA3F9C" w:rsidRDefault="002641D2" w:rsidP="0091213D">
      <w:pPr>
        <w:spacing w:after="0"/>
        <w:rPr>
          <w:rFonts w:ascii="Arial" w:hAnsi="Arial" w:cs="Arial"/>
          <w:b/>
          <w:sz w:val="24"/>
          <w:szCs w:val="24"/>
          <w:u w:val="single"/>
        </w:rPr>
      </w:pPr>
    </w:p>
    <w:p w14:paraId="10E3FCE5" w14:textId="77777777" w:rsidR="002641D2" w:rsidRPr="00FA3F9C" w:rsidRDefault="002641D2" w:rsidP="0091213D">
      <w:pPr>
        <w:spacing w:after="0"/>
        <w:rPr>
          <w:rFonts w:ascii="Arial" w:hAnsi="Arial" w:cs="Arial"/>
          <w:sz w:val="24"/>
          <w:szCs w:val="24"/>
        </w:rPr>
      </w:pPr>
      <w:proofErr w:type="spellStart"/>
      <w:r w:rsidRPr="00FA3F9C">
        <w:rPr>
          <w:rFonts w:ascii="Arial" w:hAnsi="Arial" w:cs="Arial"/>
          <w:b/>
          <w:sz w:val="24"/>
          <w:szCs w:val="24"/>
          <w:u w:val="single"/>
        </w:rPr>
        <w:t>Imiglucerase</w:t>
      </w:r>
      <w:proofErr w:type="spellEnd"/>
      <w:r w:rsidRPr="00FA3F9C">
        <w:rPr>
          <w:rFonts w:ascii="Arial" w:hAnsi="Arial" w:cs="Arial"/>
          <w:b/>
          <w:sz w:val="24"/>
          <w:szCs w:val="24"/>
          <w:u w:val="single"/>
        </w:rPr>
        <w:t xml:space="preserve"> is FDA-approved for:</w:t>
      </w:r>
      <w:r w:rsidRPr="00FA3F9C">
        <w:rPr>
          <w:rFonts w:ascii="Arial" w:hAnsi="Arial" w:cs="Arial"/>
          <w:sz w:val="24"/>
          <w:szCs w:val="24"/>
        </w:rPr>
        <w:t xml:space="preserve">  </w:t>
      </w:r>
      <w:proofErr w:type="gramStart"/>
      <w:r w:rsidRPr="00FA3F9C">
        <w:rPr>
          <w:rFonts w:ascii="Arial" w:hAnsi="Arial" w:cs="Arial"/>
          <w:sz w:val="24"/>
          <w:szCs w:val="24"/>
        </w:rPr>
        <w:t>Long</w:t>
      </w:r>
      <w:proofErr w:type="gramEnd"/>
      <w:r w:rsidRPr="00FA3F9C">
        <w:rPr>
          <w:rFonts w:ascii="Arial" w:hAnsi="Arial" w:cs="Arial"/>
          <w:sz w:val="24"/>
          <w:szCs w:val="24"/>
        </w:rPr>
        <w:t xml:space="preserve"> term enzyme replacement therapy for patients with type 1 Gaucher disease that results in at least one of the following; anemia, bone disease, hepatomegaly or splenomegaly, and thrombocytopenia</w:t>
      </w:r>
    </w:p>
    <w:tbl>
      <w:tblPr>
        <w:tblStyle w:val="TableGrid"/>
        <w:tblW w:w="0" w:type="auto"/>
        <w:tblLook w:val="04A0" w:firstRow="1" w:lastRow="0" w:firstColumn="1" w:lastColumn="0" w:noHBand="0" w:noVBand="1"/>
      </w:tblPr>
      <w:tblGrid>
        <w:gridCol w:w="8928"/>
        <w:gridCol w:w="2088"/>
      </w:tblGrid>
      <w:tr w:rsidR="002641D2" w:rsidRPr="00FA3F9C" w14:paraId="28772C8D" w14:textId="77777777" w:rsidTr="004F3D86">
        <w:tc>
          <w:tcPr>
            <w:tcW w:w="8928" w:type="dxa"/>
            <w:shd w:val="clear" w:color="auto" w:fill="000000"/>
          </w:tcPr>
          <w:p w14:paraId="1569A234" w14:textId="77777777" w:rsidR="002641D2" w:rsidRPr="00FA3F9C" w:rsidRDefault="002641D2" w:rsidP="004F3D86">
            <w:pPr>
              <w:rPr>
                <w:rFonts w:ascii="Arial" w:hAnsi="Arial" w:cs="Arial"/>
                <w:b/>
                <w:sz w:val="24"/>
                <w:szCs w:val="24"/>
                <w:u w:val="single"/>
              </w:rPr>
            </w:pPr>
            <w:r w:rsidRPr="00FA3F9C">
              <w:rPr>
                <w:rFonts w:ascii="Arial" w:hAnsi="Arial" w:cs="Arial"/>
                <w:b/>
                <w:sz w:val="24"/>
                <w:szCs w:val="24"/>
                <w:u w:val="single"/>
              </w:rPr>
              <w:t>Criteria for new users</w:t>
            </w:r>
          </w:p>
        </w:tc>
        <w:tc>
          <w:tcPr>
            <w:tcW w:w="2088" w:type="dxa"/>
            <w:shd w:val="clear" w:color="auto" w:fill="000000"/>
          </w:tcPr>
          <w:p w14:paraId="10806389" w14:textId="77777777" w:rsidR="002641D2" w:rsidRPr="00FA3F9C" w:rsidRDefault="002641D2" w:rsidP="004F3D86">
            <w:pPr>
              <w:jc w:val="center"/>
              <w:rPr>
                <w:rFonts w:ascii="Arial" w:hAnsi="Arial" w:cs="Arial"/>
                <w:b/>
                <w:sz w:val="24"/>
                <w:szCs w:val="24"/>
                <w:u w:val="single"/>
              </w:rPr>
            </w:pPr>
          </w:p>
        </w:tc>
      </w:tr>
      <w:tr w:rsidR="002641D2" w:rsidRPr="00FA3F9C" w14:paraId="169D13A7" w14:textId="77777777" w:rsidTr="004F3D86">
        <w:tc>
          <w:tcPr>
            <w:tcW w:w="11016" w:type="dxa"/>
            <w:gridSpan w:val="2"/>
          </w:tcPr>
          <w:p w14:paraId="7EF4F662" w14:textId="77777777" w:rsidR="002641D2" w:rsidRPr="00FA3F9C" w:rsidRDefault="002641D2" w:rsidP="004F3D86">
            <w:pPr>
              <w:rPr>
                <w:rFonts w:ascii="Arial" w:hAnsi="Arial" w:cs="Arial"/>
                <w:sz w:val="24"/>
                <w:szCs w:val="24"/>
              </w:rPr>
            </w:pPr>
            <w:r w:rsidRPr="00FA3F9C">
              <w:rPr>
                <w:rFonts w:ascii="Arial" w:hAnsi="Arial" w:cs="Arial"/>
                <w:sz w:val="24"/>
                <w:szCs w:val="24"/>
              </w:rPr>
              <w:t>1. Patient must have the diagnosis of type 1 Gaucher disease diagnosed by mutation analysis. (</w:t>
            </w:r>
            <w:r w:rsidRPr="00FA3F9C">
              <w:rPr>
                <w:rFonts w:ascii="Arial" w:hAnsi="Arial" w:cs="Arial"/>
                <w:b/>
                <w:sz w:val="24"/>
                <w:szCs w:val="24"/>
              </w:rPr>
              <w:t>The patient must lack central nervous system involvement</w:t>
            </w:r>
            <w:r w:rsidRPr="00FA3F9C">
              <w:rPr>
                <w:rFonts w:ascii="Arial" w:hAnsi="Arial" w:cs="Arial"/>
                <w:sz w:val="24"/>
                <w:szCs w:val="24"/>
              </w:rPr>
              <w:t>.  This is what distinguishes type 1 from types 2 &amp; 3.)</w:t>
            </w:r>
          </w:p>
        </w:tc>
      </w:tr>
      <w:tr w:rsidR="002641D2" w:rsidRPr="00FA3F9C" w14:paraId="767E9CF5" w14:textId="77777777" w:rsidTr="004F3D86">
        <w:tc>
          <w:tcPr>
            <w:tcW w:w="11016" w:type="dxa"/>
            <w:gridSpan w:val="2"/>
          </w:tcPr>
          <w:p w14:paraId="23079F7F" w14:textId="77777777" w:rsidR="002641D2" w:rsidRPr="00FA3F9C" w:rsidRDefault="002641D2" w:rsidP="004F3D86">
            <w:pPr>
              <w:rPr>
                <w:rFonts w:ascii="Arial" w:hAnsi="Arial" w:cs="Arial"/>
                <w:sz w:val="24"/>
                <w:szCs w:val="24"/>
              </w:rPr>
            </w:pPr>
            <w:r w:rsidRPr="00FA3F9C">
              <w:rPr>
                <w:rFonts w:ascii="Arial" w:hAnsi="Arial" w:cs="Arial"/>
                <w:sz w:val="24"/>
                <w:szCs w:val="24"/>
              </w:rPr>
              <w:t>2. The patient must be symptomatic (anemia, bone disease, hepatomegaly, splenomegaly, or thrombocytopenia)</w:t>
            </w:r>
          </w:p>
        </w:tc>
      </w:tr>
      <w:tr w:rsidR="002641D2" w:rsidRPr="00FA3F9C" w14:paraId="402864F0" w14:textId="77777777" w:rsidTr="004F3D86">
        <w:tc>
          <w:tcPr>
            <w:tcW w:w="11016" w:type="dxa"/>
            <w:gridSpan w:val="2"/>
          </w:tcPr>
          <w:p w14:paraId="72584A54" w14:textId="77777777" w:rsidR="002641D2" w:rsidRPr="00FA3F9C" w:rsidRDefault="002641D2" w:rsidP="004F3D86">
            <w:pPr>
              <w:rPr>
                <w:rFonts w:ascii="Arial" w:hAnsi="Arial" w:cs="Arial"/>
                <w:sz w:val="24"/>
                <w:szCs w:val="24"/>
              </w:rPr>
            </w:pPr>
            <w:r w:rsidRPr="00FA3F9C">
              <w:rPr>
                <w:rFonts w:ascii="Arial" w:hAnsi="Arial" w:cs="Arial"/>
                <w:sz w:val="24"/>
                <w:szCs w:val="24"/>
              </w:rPr>
              <w:t>3. The patient is not receiving concurrent substrate-</w:t>
            </w:r>
            <w:proofErr w:type="spellStart"/>
            <w:r w:rsidRPr="00FA3F9C">
              <w:rPr>
                <w:rFonts w:ascii="Arial" w:hAnsi="Arial" w:cs="Arial"/>
                <w:sz w:val="24"/>
                <w:szCs w:val="24"/>
              </w:rPr>
              <w:t>reduciton</w:t>
            </w:r>
            <w:proofErr w:type="spellEnd"/>
            <w:r w:rsidRPr="00FA3F9C">
              <w:rPr>
                <w:rFonts w:ascii="Arial" w:hAnsi="Arial" w:cs="Arial"/>
                <w:sz w:val="24"/>
                <w:szCs w:val="24"/>
              </w:rPr>
              <w:t xml:space="preserve"> therapy (eliglustat or </w:t>
            </w:r>
            <w:proofErr w:type="spellStart"/>
            <w:r w:rsidRPr="00FA3F9C">
              <w:rPr>
                <w:rFonts w:ascii="Arial" w:hAnsi="Arial" w:cs="Arial"/>
                <w:sz w:val="24"/>
                <w:szCs w:val="24"/>
              </w:rPr>
              <w:t>miglustat</w:t>
            </w:r>
            <w:proofErr w:type="spellEnd"/>
            <w:r w:rsidRPr="00FA3F9C">
              <w:rPr>
                <w:rFonts w:ascii="Arial" w:hAnsi="Arial" w:cs="Arial"/>
                <w:sz w:val="24"/>
                <w:szCs w:val="24"/>
              </w:rPr>
              <w:t>).</w:t>
            </w:r>
          </w:p>
        </w:tc>
      </w:tr>
      <w:tr w:rsidR="002641D2" w:rsidRPr="00FA3F9C" w14:paraId="0768DA15" w14:textId="77777777" w:rsidTr="004F3D86">
        <w:tc>
          <w:tcPr>
            <w:tcW w:w="11016" w:type="dxa"/>
            <w:gridSpan w:val="2"/>
          </w:tcPr>
          <w:p w14:paraId="68B51EBB" w14:textId="77777777" w:rsidR="002641D2" w:rsidRPr="00FA3F9C" w:rsidRDefault="002641D2" w:rsidP="004F3D86">
            <w:pPr>
              <w:rPr>
                <w:rFonts w:ascii="Arial" w:hAnsi="Arial" w:cs="Arial"/>
                <w:sz w:val="24"/>
                <w:szCs w:val="24"/>
              </w:rPr>
            </w:pPr>
            <w:r w:rsidRPr="00FA3F9C">
              <w:rPr>
                <w:rFonts w:ascii="Arial" w:hAnsi="Arial" w:cs="Arial"/>
                <w:sz w:val="24"/>
                <w:szCs w:val="24"/>
              </w:rPr>
              <w:t>If all the criteria are satisfied, the PA is valid for 12 months.</w:t>
            </w:r>
          </w:p>
        </w:tc>
      </w:tr>
    </w:tbl>
    <w:p w14:paraId="5C830B8E" w14:textId="77777777" w:rsidR="002641D2" w:rsidRPr="00FA3F9C" w:rsidRDefault="002641D2" w:rsidP="0091213D">
      <w:pPr>
        <w:spacing w:after="0"/>
        <w:rPr>
          <w:rFonts w:ascii="Arial" w:hAnsi="Arial" w:cs="Arial"/>
          <w:b/>
          <w:sz w:val="24"/>
          <w:szCs w:val="24"/>
          <w:u w:val="single"/>
        </w:rPr>
      </w:pPr>
    </w:p>
    <w:tbl>
      <w:tblPr>
        <w:tblStyle w:val="TableGrid"/>
        <w:tblW w:w="0" w:type="auto"/>
        <w:shd w:val="clear" w:color="auto" w:fill="BFBFBF" w:themeFill="background1" w:themeFillShade="BF"/>
        <w:tblLook w:val="04A0" w:firstRow="1" w:lastRow="0" w:firstColumn="1" w:lastColumn="0" w:noHBand="0" w:noVBand="1"/>
      </w:tblPr>
      <w:tblGrid>
        <w:gridCol w:w="10998"/>
      </w:tblGrid>
      <w:tr w:rsidR="002641D2" w:rsidRPr="00FA3F9C" w14:paraId="59288ECF" w14:textId="77777777" w:rsidTr="004F3D86">
        <w:tc>
          <w:tcPr>
            <w:tcW w:w="10998" w:type="dxa"/>
            <w:shd w:val="clear" w:color="auto" w:fill="BFBFBF" w:themeFill="background1" w:themeFillShade="BF"/>
          </w:tcPr>
          <w:p w14:paraId="2A5F1BB5" w14:textId="77777777" w:rsidR="002641D2" w:rsidRPr="00FA3F9C" w:rsidRDefault="002641D2" w:rsidP="004F3D86">
            <w:pPr>
              <w:rPr>
                <w:rFonts w:ascii="Arial" w:hAnsi="Arial" w:cs="Arial"/>
                <w:sz w:val="24"/>
                <w:szCs w:val="24"/>
              </w:rPr>
            </w:pPr>
            <w:r w:rsidRPr="00FA3F9C">
              <w:rPr>
                <w:rFonts w:ascii="Arial" w:hAnsi="Arial" w:cs="Arial"/>
                <w:sz w:val="24"/>
                <w:szCs w:val="24"/>
              </w:rPr>
              <w:t xml:space="preserve">Note: </w:t>
            </w:r>
            <w:r w:rsidRPr="00FA3F9C">
              <w:rPr>
                <w:rFonts w:ascii="Arial" w:hAnsi="Arial" w:cs="Arial"/>
                <w:sz w:val="24"/>
                <w:szCs w:val="24"/>
                <w:highlight w:val="yellow"/>
              </w:rPr>
              <w:t>Dose is 30-60 IU/kg q2weeks.</w:t>
            </w:r>
            <w:r w:rsidRPr="00FA3F9C">
              <w:rPr>
                <w:rFonts w:ascii="Arial" w:hAnsi="Arial" w:cs="Arial"/>
                <w:sz w:val="24"/>
                <w:szCs w:val="24"/>
              </w:rPr>
              <w:t xml:space="preserve">  Long term outcomes with ERT with </w:t>
            </w:r>
            <w:proofErr w:type="spellStart"/>
            <w:r w:rsidRPr="00FA3F9C">
              <w:rPr>
                <w:rFonts w:ascii="Arial" w:hAnsi="Arial" w:cs="Arial"/>
                <w:sz w:val="24"/>
                <w:szCs w:val="24"/>
              </w:rPr>
              <w:t>imiglucerase</w:t>
            </w:r>
            <w:proofErr w:type="spellEnd"/>
            <w:r w:rsidRPr="00FA3F9C">
              <w:rPr>
                <w:rFonts w:ascii="Arial" w:hAnsi="Arial" w:cs="Arial"/>
                <w:sz w:val="24"/>
                <w:szCs w:val="24"/>
              </w:rPr>
              <w:t xml:space="preserve"> at two centers using low-dose (median dose 15-30 U/</w:t>
            </w:r>
            <w:proofErr w:type="spellStart"/>
            <w:r w:rsidRPr="00FA3F9C">
              <w:rPr>
                <w:rFonts w:ascii="Arial" w:hAnsi="Arial" w:cs="Arial"/>
                <w:sz w:val="24"/>
                <w:szCs w:val="24"/>
              </w:rPr>
              <w:t>gh</w:t>
            </w:r>
            <w:proofErr w:type="spellEnd"/>
            <w:r w:rsidRPr="00FA3F9C">
              <w:rPr>
                <w:rFonts w:ascii="Arial" w:hAnsi="Arial" w:cs="Arial"/>
                <w:sz w:val="24"/>
                <w:szCs w:val="24"/>
              </w:rPr>
              <w:t xml:space="preserve"> q4w) and high-dose (median dose 80 u/kg q4w) were compared retrospectively.  Improvement in hemoglobin, platelet count, and hepatosplenomegaly was not significantly different between cohorts.  </w:t>
            </w:r>
          </w:p>
          <w:p w14:paraId="1DB6AF6B" w14:textId="77777777" w:rsidR="002641D2" w:rsidRPr="00FA3F9C" w:rsidRDefault="002641D2" w:rsidP="004F3D86">
            <w:pPr>
              <w:rPr>
                <w:rFonts w:ascii="Arial" w:hAnsi="Arial" w:cs="Arial"/>
                <w:sz w:val="24"/>
                <w:szCs w:val="24"/>
              </w:rPr>
            </w:pPr>
          </w:p>
          <w:p w14:paraId="04746C59" w14:textId="77777777" w:rsidR="002641D2" w:rsidRPr="00FA3F9C" w:rsidRDefault="002641D2" w:rsidP="004F3D86">
            <w:pPr>
              <w:rPr>
                <w:rFonts w:ascii="Arial" w:hAnsi="Arial" w:cs="Arial"/>
                <w:sz w:val="24"/>
                <w:szCs w:val="24"/>
              </w:rPr>
            </w:pPr>
            <w:r w:rsidRPr="00FA3F9C">
              <w:rPr>
                <w:rFonts w:ascii="Arial" w:hAnsi="Arial" w:cs="Arial"/>
                <w:sz w:val="24"/>
                <w:szCs w:val="24"/>
              </w:rPr>
              <w:t xml:space="preserve">For </w:t>
            </w:r>
            <w:proofErr w:type="spellStart"/>
            <w:r w:rsidRPr="00FA3F9C">
              <w:rPr>
                <w:rFonts w:ascii="Arial" w:hAnsi="Arial" w:cs="Arial"/>
                <w:sz w:val="24"/>
                <w:szCs w:val="24"/>
              </w:rPr>
              <w:t>nonneuronopathic</w:t>
            </w:r>
            <w:proofErr w:type="spellEnd"/>
            <w:r w:rsidRPr="00FA3F9C">
              <w:rPr>
                <w:rFonts w:ascii="Arial" w:hAnsi="Arial" w:cs="Arial"/>
                <w:sz w:val="24"/>
                <w:szCs w:val="24"/>
              </w:rPr>
              <w:t xml:space="preserve"> (GD1), all the ERTs are approximately equivalent in efficacy.  Response to treatment varies from patient to patient, but analysis of data from the </w:t>
            </w:r>
            <w:proofErr w:type="spellStart"/>
            <w:r w:rsidRPr="00FA3F9C">
              <w:rPr>
                <w:rFonts w:ascii="Arial" w:hAnsi="Arial" w:cs="Arial"/>
                <w:sz w:val="24"/>
                <w:szCs w:val="24"/>
              </w:rPr>
              <w:t>Caucher</w:t>
            </w:r>
            <w:proofErr w:type="spellEnd"/>
            <w:r w:rsidRPr="00FA3F9C">
              <w:rPr>
                <w:rFonts w:ascii="Arial" w:hAnsi="Arial" w:cs="Arial"/>
                <w:sz w:val="24"/>
                <w:szCs w:val="24"/>
              </w:rPr>
              <w:t xml:space="preserve"> Registry and GD treatment centers demonstrates certain trends for </w:t>
            </w:r>
            <w:proofErr w:type="spellStart"/>
            <w:r w:rsidRPr="00FA3F9C">
              <w:rPr>
                <w:rFonts w:ascii="Arial" w:hAnsi="Arial" w:cs="Arial"/>
                <w:sz w:val="24"/>
                <w:szCs w:val="24"/>
              </w:rPr>
              <w:t>imiglucerase</w:t>
            </w:r>
            <w:proofErr w:type="spellEnd"/>
            <w:r w:rsidRPr="00FA3F9C">
              <w:rPr>
                <w:rFonts w:ascii="Arial" w:hAnsi="Arial" w:cs="Arial"/>
                <w:sz w:val="24"/>
                <w:szCs w:val="24"/>
              </w:rPr>
              <w:t xml:space="preserve"> and </w:t>
            </w:r>
            <w:proofErr w:type="spellStart"/>
            <w:r w:rsidRPr="00FA3F9C">
              <w:rPr>
                <w:rFonts w:ascii="Arial" w:hAnsi="Arial" w:cs="Arial"/>
                <w:sz w:val="24"/>
                <w:szCs w:val="24"/>
              </w:rPr>
              <w:t>alglucerase</w:t>
            </w:r>
            <w:proofErr w:type="spellEnd"/>
            <w:r w:rsidRPr="00FA3F9C">
              <w:rPr>
                <w:rFonts w:ascii="Arial" w:hAnsi="Arial" w:cs="Arial"/>
                <w:sz w:val="24"/>
                <w:szCs w:val="24"/>
              </w:rPr>
              <w:t xml:space="preserve"> in GD1 disease.</w:t>
            </w:r>
          </w:p>
          <w:p w14:paraId="016D48F5" w14:textId="77777777" w:rsidR="002641D2" w:rsidRPr="00FA3F9C" w:rsidRDefault="002641D2" w:rsidP="004F3D86">
            <w:pPr>
              <w:rPr>
                <w:rFonts w:ascii="Arial" w:hAnsi="Arial" w:cs="Arial"/>
                <w:sz w:val="24"/>
                <w:szCs w:val="24"/>
              </w:rPr>
            </w:pPr>
          </w:p>
          <w:p w14:paraId="5894A270" w14:textId="77777777" w:rsidR="002641D2" w:rsidRPr="00FA3F9C" w:rsidRDefault="002641D2" w:rsidP="004F3D86">
            <w:pPr>
              <w:rPr>
                <w:rFonts w:ascii="Arial" w:hAnsi="Arial" w:cs="Arial"/>
                <w:sz w:val="24"/>
                <w:szCs w:val="24"/>
              </w:rPr>
            </w:pPr>
            <w:r w:rsidRPr="00FA3F9C">
              <w:rPr>
                <w:rFonts w:ascii="Arial" w:hAnsi="Arial" w:cs="Arial"/>
                <w:sz w:val="24"/>
                <w:szCs w:val="24"/>
              </w:rPr>
              <w:t xml:space="preserve">The alternative </w:t>
            </w:r>
            <w:proofErr w:type="spellStart"/>
            <w:r w:rsidRPr="00FA3F9C">
              <w:rPr>
                <w:rFonts w:ascii="Arial" w:hAnsi="Arial" w:cs="Arial"/>
                <w:sz w:val="24"/>
                <w:szCs w:val="24"/>
              </w:rPr>
              <w:t>therpay</w:t>
            </w:r>
            <w:proofErr w:type="spellEnd"/>
            <w:r w:rsidRPr="00FA3F9C">
              <w:rPr>
                <w:rFonts w:ascii="Arial" w:hAnsi="Arial" w:cs="Arial"/>
                <w:sz w:val="24"/>
                <w:szCs w:val="24"/>
              </w:rPr>
              <w:t xml:space="preserve"> is substrate-reduction therapy (SRT) (</w:t>
            </w:r>
            <w:proofErr w:type="spellStart"/>
            <w:r w:rsidRPr="00FA3F9C">
              <w:rPr>
                <w:rFonts w:ascii="Arial" w:hAnsi="Arial" w:cs="Arial"/>
                <w:sz w:val="24"/>
                <w:szCs w:val="24"/>
              </w:rPr>
              <w:t>i.e</w:t>
            </w:r>
            <w:proofErr w:type="spellEnd"/>
            <w:r w:rsidRPr="00FA3F9C">
              <w:rPr>
                <w:rFonts w:ascii="Arial" w:hAnsi="Arial" w:cs="Arial"/>
                <w:sz w:val="24"/>
                <w:szCs w:val="24"/>
              </w:rPr>
              <w:t xml:space="preserve"> eliglustat, </w:t>
            </w:r>
            <w:proofErr w:type="spellStart"/>
            <w:r w:rsidRPr="00FA3F9C">
              <w:rPr>
                <w:rFonts w:ascii="Arial" w:hAnsi="Arial" w:cs="Arial"/>
                <w:sz w:val="24"/>
                <w:szCs w:val="24"/>
              </w:rPr>
              <w:t>miglustat</w:t>
            </w:r>
            <w:proofErr w:type="spellEnd"/>
            <w:r w:rsidRPr="00FA3F9C">
              <w:rPr>
                <w:rFonts w:ascii="Arial" w:hAnsi="Arial" w:cs="Arial"/>
                <w:sz w:val="24"/>
                <w:szCs w:val="24"/>
              </w:rPr>
              <w:t xml:space="preserve">). Eliglustat is approved for a broader use than </w:t>
            </w:r>
            <w:proofErr w:type="spellStart"/>
            <w:r w:rsidRPr="00FA3F9C">
              <w:rPr>
                <w:rFonts w:ascii="Arial" w:hAnsi="Arial" w:cs="Arial"/>
                <w:sz w:val="24"/>
                <w:szCs w:val="24"/>
              </w:rPr>
              <w:t>miglustat</w:t>
            </w:r>
            <w:proofErr w:type="spellEnd"/>
            <w:r w:rsidRPr="00FA3F9C">
              <w:rPr>
                <w:rFonts w:ascii="Arial" w:hAnsi="Arial" w:cs="Arial"/>
                <w:sz w:val="24"/>
                <w:szCs w:val="24"/>
              </w:rPr>
              <w:t xml:space="preserve">.  </w:t>
            </w:r>
            <w:proofErr w:type="spellStart"/>
            <w:r w:rsidRPr="00FA3F9C">
              <w:rPr>
                <w:rFonts w:ascii="Arial" w:hAnsi="Arial" w:cs="Arial"/>
                <w:sz w:val="24"/>
                <w:szCs w:val="24"/>
              </w:rPr>
              <w:t>Miglustat</w:t>
            </w:r>
            <w:proofErr w:type="spellEnd"/>
            <w:r w:rsidRPr="00FA3F9C">
              <w:rPr>
                <w:rFonts w:ascii="Arial" w:hAnsi="Arial" w:cs="Arial"/>
                <w:sz w:val="24"/>
                <w:szCs w:val="24"/>
              </w:rPr>
              <w:t xml:space="preserve"> is restricted to adults with GD who are </w:t>
            </w:r>
            <w:r w:rsidRPr="00FA3F9C">
              <w:rPr>
                <w:rFonts w:ascii="Arial" w:hAnsi="Arial" w:cs="Arial"/>
                <w:sz w:val="24"/>
                <w:szCs w:val="24"/>
              </w:rPr>
              <w:lastRenderedPageBreak/>
              <w:t xml:space="preserve">medically unable to receive ERT.  Eliglustat was non inferior to </w:t>
            </w:r>
            <w:proofErr w:type="spellStart"/>
            <w:r w:rsidRPr="00FA3F9C">
              <w:rPr>
                <w:rFonts w:ascii="Arial" w:hAnsi="Arial" w:cs="Arial"/>
                <w:sz w:val="24"/>
                <w:szCs w:val="24"/>
              </w:rPr>
              <w:t>imiglucerase</w:t>
            </w:r>
            <w:proofErr w:type="spellEnd"/>
            <w:r w:rsidRPr="00FA3F9C">
              <w:rPr>
                <w:rFonts w:ascii="Arial" w:hAnsi="Arial" w:cs="Arial"/>
                <w:sz w:val="24"/>
                <w:szCs w:val="24"/>
              </w:rPr>
              <w:t xml:space="preserve"> for the composite endpoint of decreased hematologic measurements (Hb and </w:t>
            </w:r>
            <w:proofErr w:type="spellStart"/>
            <w:r w:rsidRPr="00FA3F9C">
              <w:rPr>
                <w:rFonts w:ascii="Arial" w:hAnsi="Arial" w:cs="Arial"/>
                <w:sz w:val="24"/>
                <w:szCs w:val="24"/>
              </w:rPr>
              <w:t>plt</w:t>
            </w:r>
            <w:proofErr w:type="spellEnd"/>
            <w:r w:rsidRPr="00FA3F9C">
              <w:rPr>
                <w:rFonts w:ascii="Arial" w:hAnsi="Arial" w:cs="Arial"/>
                <w:sz w:val="24"/>
                <w:szCs w:val="24"/>
              </w:rPr>
              <w:t xml:space="preserve"> count) and increased organ volume (spleen and liver)  </w:t>
            </w:r>
          </w:p>
        </w:tc>
      </w:tr>
    </w:tbl>
    <w:p w14:paraId="03FB84A1" w14:textId="77777777" w:rsidR="002641D2" w:rsidRPr="00FA3F9C" w:rsidRDefault="002641D2" w:rsidP="0091213D">
      <w:pPr>
        <w:spacing w:after="0"/>
        <w:rPr>
          <w:rFonts w:ascii="Arial" w:hAnsi="Arial" w:cs="Arial"/>
          <w:sz w:val="24"/>
          <w:szCs w:val="24"/>
        </w:rPr>
      </w:pPr>
    </w:p>
    <w:p w14:paraId="631BB767" w14:textId="77777777" w:rsidR="002641D2" w:rsidRPr="00FA3F9C" w:rsidRDefault="002641D2" w:rsidP="0091213D">
      <w:pPr>
        <w:spacing w:after="0"/>
        <w:rPr>
          <w:rFonts w:ascii="Arial" w:hAnsi="Arial" w:cs="Arial"/>
          <w:sz w:val="24"/>
          <w:szCs w:val="24"/>
        </w:rPr>
      </w:pPr>
      <w:r w:rsidRPr="00FA3F9C">
        <w:rPr>
          <w:rFonts w:ascii="Arial" w:hAnsi="Arial" w:cs="Arial"/>
          <w:sz w:val="24"/>
          <w:szCs w:val="24"/>
          <w:highlight w:val="yellow"/>
        </w:rPr>
        <w:t>Quantity Limits: Dose of 60IU/kg q2w.</w:t>
      </w:r>
    </w:p>
    <w:p w14:paraId="3957DCFC" w14:textId="77777777" w:rsidR="002641D2" w:rsidRPr="00FA3F9C" w:rsidRDefault="002641D2" w:rsidP="0091213D">
      <w:pPr>
        <w:spacing w:after="0"/>
        <w:rPr>
          <w:rFonts w:ascii="Arial" w:hAnsi="Arial" w:cs="Arial"/>
          <w:sz w:val="24"/>
          <w:szCs w:val="24"/>
        </w:rPr>
      </w:pPr>
    </w:p>
    <w:p w14:paraId="7AC57EF8" w14:textId="77777777" w:rsidR="002641D2" w:rsidRPr="00FA3F9C" w:rsidRDefault="002641D2" w:rsidP="00CD1EAC">
      <w:pPr>
        <w:spacing w:after="0" w:line="240" w:lineRule="auto"/>
        <w:rPr>
          <w:rFonts w:ascii="Arial" w:hAnsi="Arial" w:cs="Arial"/>
          <w:b/>
          <w:sz w:val="24"/>
          <w:szCs w:val="24"/>
        </w:rPr>
      </w:pPr>
      <w:r w:rsidRPr="00FA3F9C">
        <w:rPr>
          <w:rFonts w:ascii="Arial" w:hAnsi="Arial" w:cs="Arial"/>
          <w:b/>
          <w:sz w:val="24"/>
          <w:szCs w:val="24"/>
        </w:rPr>
        <w:t>References:</w:t>
      </w:r>
    </w:p>
    <w:p w14:paraId="05A4DE9E" w14:textId="77777777" w:rsidR="002641D2" w:rsidRPr="00FA3F9C" w:rsidRDefault="002641D2" w:rsidP="00CD1EAC">
      <w:pPr>
        <w:spacing w:after="0"/>
        <w:rPr>
          <w:rFonts w:ascii="Arial" w:hAnsi="Arial" w:cs="Arial"/>
          <w:sz w:val="24"/>
          <w:szCs w:val="24"/>
        </w:rPr>
      </w:pPr>
      <w:r w:rsidRPr="00FA3F9C">
        <w:rPr>
          <w:rFonts w:ascii="Arial" w:hAnsi="Arial" w:cs="Arial"/>
          <w:sz w:val="24"/>
          <w:szCs w:val="24"/>
        </w:rPr>
        <w:t xml:space="preserve">1. </w:t>
      </w:r>
      <w:proofErr w:type="spellStart"/>
      <w:r w:rsidRPr="00FA3F9C">
        <w:rPr>
          <w:rFonts w:ascii="Arial" w:hAnsi="Arial" w:cs="Arial"/>
          <w:sz w:val="24"/>
          <w:szCs w:val="24"/>
        </w:rPr>
        <w:t>Charrow</w:t>
      </w:r>
      <w:proofErr w:type="spellEnd"/>
      <w:r w:rsidRPr="00FA3F9C">
        <w:rPr>
          <w:rFonts w:ascii="Arial" w:hAnsi="Arial" w:cs="Arial"/>
          <w:sz w:val="24"/>
          <w:szCs w:val="24"/>
        </w:rPr>
        <w:t xml:space="preserve"> J, Andersson HC, Kaplan P, et al, “Enzyme Replacement Therapy and Monitoring for Children </w:t>
      </w:r>
      <w:proofErr w:type="gramStart"/>
      <w:r w:rsidRPr="00FA3F9C">
        <w:rPr>
          <w:rFonts w:ascii="Arial" w:hAnsi="Arial" w:cs="Arial"/>
          <w:sz w:val="24"/>
          <w:szCs w:val="24"/>
        </w:rPr>
        <w:t>With</w:t>
      </w:r>
      <w:proofErr w:type="gramEnd"/>
      <w:r w:rsidRPr="00FA3F9C">
        <w:rPr>
          <w:rFonts w:ascii="Arial" w:hAnsi="Arial" w:cs="Arial"/>
          <w:sz w:val="24"/>
          <w:szCs w:val="24"/>
        </w:rPr>
        <w:t xml:space="preserve"> Type 1 Gaucher Disease: Consensus Recommendations,” </w:t>
      </w:r>
      <w:r w:rsidRPr="00FA3F9C">
        <w:rPr>
          <w:rFonts w:ascii="Arial" w:hAnsi="Arial" w:cs="Arial"/>
          <w:i/>
          <w:iCs/>
          <w:sz w:val="24"/>
          <w:szCs w:val="24"/>
        </w:rPr>
        <w:t xml:space="preserve">J </w:t>
      </w:r>
      <w:proofErr w:type="spellStart"/>
      <w:r w:rsidRPr="00FA3F9C">
        <w:rPr>
          <w:rFonts w:ascii="Arial" w:hAnsi="Arial" w:cs="Arial"/>
          <w:i/>
          <w:iCs/>
          <w:sz w:val="24"/>
          <w:szCs w:val="24"/>
        </w:rPr>
        <w:t>Pediatr</w:t>
      </w:r>
      <w:proofErr w:type="spellEnd"/>
      <w:r w:rsidRPr="00FA3F9C">
        <w:rPr>
          <w:rFonts w:ascii="Arial" w:hAnsi="Arial" w:cs="Arial"/>
          <w:sz w:val="24"/>
          <w:szCs w:val="24"/>
        </w:rPr>
        <w:t xml:space="preserve">, 2004, 144(1):112-20. </w:t>
      </w:r>
    </w:p>
    <w:p w14:paraId="20FD03E1" w14:textId="77777777" w:rsidR="002641D2" w:rsidRPr="00FA3F9C" w:rsidRDefault="002641D2" w:rsidP="00CD1EAC">
      <w:pPr>
        <w:spacing w:after="0"/>
        <w:rPr>
          <w:rFonts w:ascii="Arial" w:eastAsia="Times New Roman" w:hAnsi="Arial" w:cs="Arial"/>
          <w:sz w:val="24"/>
          <w:szCs w:val="24"/>
        </w:rPr>
      </w:pPr>
      <w:r w:rsidRPr="00FA3F9C">
        <w:rPr>
          <w:rFonts w:ascii="Arial" w:hAnsi="Arial" w:cs="Arial"/>
          <w:sz w:val="24"/>
          <w:szCs w:val="24"/>
        </w:rPr>
        <w:t>2. B</w:t>
      </w:r>
      <w:r w:rsidRPr="00FA3F9C">
        <w:rPr>
          <w:rFonts w:ascii="Arial" w:eastAsia="Times New Roman" w:hAnsi="Arial" w:cs="Arial"/>
          <w:sz w:val="24"/>
          <w:szCs w:val="24"/>
        </w:rPr>
        <w:t xml:space="preserve">arton NW, Brady RO, </w:t>
      </w:r>
      <w:proofErr w:type="spellStart"/>
      <w:r w:rsidRPr="00FA3F9C">
        <w:rPr>
          <w:rFonts w:ascii="Arial" w:eastAsia="Times New Roman" w:hAnsi="Arial" w:cs="Arial"/>
          <w:sz w:val="24"/>
          <w:szCs w:val="24"/>
        </w:rPr>
        <w:t>Dambrosia</w:t>
      </w:r>
      <w:proofErr w:type="spellEnd"/>
      <w:r w:rsidRPr="00FA3F9C">
        <w:rPr>
          <w:rFonts w:ascii="Arial" w:eastAsia="Times New Roman" w:hAnsi="Arial" w:cs="Arial"/>
          <w:sz w:val="24"/>
          <w:szCs w:val="24"/>
        </w:rPr>
        <w:t xml:space="preserve"> JM, et al, “Replacement Therapy for Inherited Enzyme Deficiency - Macrophage-Targeted Glucocerebrosidase for Gaucher's Disease,” </w:t>
      </w:r>
      <w:r w:rsidRPr="00FA3F9C">
        <w:rPr>
          <w:rFonts w:ascii="Arial" w:eastAsia="Times New Roman" w:hAnsi="Arial" w:cs="Arial"/>
          <w:i/>
          <w:iCs/>
          <w:sz w:val="24"/>
          <w:szCs w:val="24"/>
        </w:rPr>
        <w:t xml:space="preserve">N </w:t>
      </w:r>
      <w:proofErr w:type="spellStart"/>
      <w:r w:rsidRPr="00FA3F9C">
        <w:rPr>
          <w:rFonts w:ascii="Arial" w:eastAsia="Times New Roman" w:hAnsi="Arial" w:cs="Arial"/>
          <w:i/>
          <w:iCs/>
          <w:sz w:val="24"/>
          <w:szCs w:val="24"/>
        </w:rPr>
        <w:t>Engl</w:t>
      </w:r>
      <w:proofErr w:type="spellEnd"/>
      <w:r w:rsidRPr="00FA3F9C">
        <w:rPr>
          <w:rFonts w:ascii="Arial" w:eastAsia="Times New Roman" w:hAnsi="Arial" w:cs="Arial"/>
          <w:i/>
          <w:iCs/>
          <w:sz w:val="24"/>
          <w:szCs w:val="24"/>
        </w:rPr>
        <w:t xml:space="preserve"> J Med</w:t>
      </w:r>
      <w:r w:rsidRPr="00FA3F9C">
        <w:rPr>
          <w:rFonts w:ascii="Arial" w:eastAsia="Times New Roman" w:hAnsi="Arial" w:cs="Arial"/>
          <w:sz w:val="24"/>
          <w:szCs w:val="24"/>
        </w:rPr>
        <w:t xml:space="preserve">, 1991, 324(21):1464-70. </w:t>
      </w:r>
    </w:p>
    <w:p w14:paraId="258A9639" w14:textId="77777777" w:rsidR="002641D2" w:rsidRPr="00FA3F9C" w:rsidRDefault="002641D2" w:rsidP="00CD1EAC">
      <w:pPr>
        <w:spacing w:after="0"/>
        <w:rPr>
          <w:rFonts w:ascii="Arial" w:eastAsia="Times New Roman" w:hAnsi="Arial" w:cs="Arial"/>
          <w:sz w:val="24"/>
          <w:szCs w:val="24"/>
        </w:rPr>
      </w:pPr>
      <w:r w:rsidRPr="00FA3F9C">
        <w:rPr>
          <w:rFonts w:ascii="Arial" w:eastAsia="Times New Roman" w:hAnsi="Arial" w:cs="Arial"/>
          <w:sz w:val="24"/>
          <w:szCs w:val="24"/>
        </w:rPr>
        <w:t>3. Whittington R and Goa KL, “</w:t>
      </w:r>
      <w:proofErr w:type="spellStart"/>
      <w:r w:rsidRPr="00FA3F9C">
        <w:rPr>
          <w:rFonts w:ascii="Arial" w:eastAsia="Times New Roman" w:hAnsi="Arial" w:cs="Arial"/>
          <w:sz w:val="24"/>
          <w:szCs w:val="24"/>
        </w:rPr>
        <w:t>Alglucerase</w:t>
      </w:r>
      <w:proofErr w:type="spellEnd"/>
      <w:r w:rsidRPr="00FA3F9C">
        <w:rPr>
          <w:rFonts w:ascii="Arial" w:eastAsia="Times New Roman" w:hAnsi="Arial" w:cs="Arial"/>
          <w:sz w:val="24"/>
          <w:szCs w:val="24"/>
        </w:rPr>
        <w:t xml:space="preserve">: A Review of Its Therapeutic Use in Gaucher's Disease,” </w:t>
      </w:r>
      <w:r w:rsidRPr="00FA3F9C">
        <w:rPr>
          <w:rFonts w:ascii="Arial" w:eastAsia="Times New Roman" w:hAnsi="Arial" w:cs="Arial"/>
          <w:i/>
          <w:iCs/>
          <w:sz w:val="24"/>
          <w:szCs w:val="24"/>
        </w:rPr>
        <w:t>Drugs</w:t>
      </w:r>
      <w:r w:rsidRPr="00FA3F9C">
        <w:rPr>
          <w:rFonts w:ascii="Arial" w:eastAsia="Times New Roman" w:hAnsi="Arial" w:cs="Arial"/>
          <w:sz w:val="24"/>
          <w:szCs w:val="24"/>
        </w:rPr>
        <w:t xml:space="preserve">, 1992, 44(1):72-93. </w:t>
      </w:r>
    </w:p>
    <w:p w14:paraId="50B1C71F" w14:textId="77777777" w:rsidR="002641D2" w:rsidRPr="00FA3F9C" w:rsidRDefault="002641D2" w:rsidP="00CD1EAC">
      <w:pPr>
        <w:spacing w:after="0"/>
        <w:rPr>
          <w:rFonts w:ascii="Arial" w:eastAsia="Times New Roman" w:hAnsi="Arial" w:cs="Arial"/>
          <w:sz w:val="24"/>
          <w:szCs w:val="24"/>
        </w:rPr>
      </w:pPr>
      <w:r w:rsidRPr="00FA3F9C">
        <w:rPr>
          <w:rFonts w:ascii="Arial" w:eastAsia="Times New Roman" w:hAnsi="Arial" w:cs="Arial"/>
          <w:sz w:val="24"/>
          <w:szCs w:val="24"/>
        </w:rPr>
        <w:t>4. UpToDate. Gaucher disease: Treatment. Accessed 8/11/2020.</w:t>
      </w:r>
    </w:p>
    <w:p w14:paraId="4F30D5DD" w14:textId="77777777" w:rsidR="002641D2" w:rsidRPr="00FA3F9C" w:rsidRDefault="002641D2" w:rsidP="0091213D">
      <w:pPr>
        <w:spacing w:after="0"/>
        <w:rPr>
          <w:rFonts w:ascii="Arial" w:hAnsi="Arial" w:cs="Arial"/>
          <w:sz w:val="24"/>
          <w:szCs w:val="24"/>
        </w:rPr>
      </w:pPr>
    </w:p>
    <w:p w14:paraId="1F8964D1" w14:textId="77777777" w:rsidR="002641D2" w:rsidRPr="00FA3F9C" w:rsidRDefault="002641D2" w:rsidP="0091213D">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284"/>
        <w:gridCol w:w="7470"/>
        <w:gridCol w:w="2538"/>
      </w:tblGrid>
      <w:tr w:rsidR="002641D2" w:rsidRPr="00FA3F9C" w14:paraId="60580F41" w14:textId="77777777" w:rsidTr="004F3D86">
        <w:tc>
          <w:tcPr>
            <w:tcW w:w="1008" w:type="dxa"/>
          </w:tcPr>
          <w:p w14:paraId="74ED5E1E" w14:textId="77777777" w:rsidR="002641D2" w:rsidRPr="00FA3F9C" w:rsidRDefault="002641D2" w:rsidP="004F3D86">
            <w:pPr>
              <w:rPr>
                <w:rFonts w:ascii="Arial" w:hAnsi="Arial" w:cs="Arial"/>
                <w:sz w:val="24"/>
                <w:szCs w:val="24"/>
              </w:rPr>
            </w:pPr>
            <w:r w:rsidRPr="00FA3F9C">
              <w:rPr>
                <w:rFonts w:ascii="Arial" w:hAnsi="Arial" w:cs="Arial"/>
                <w:sz w:val="24"/>
                <w:szCs w:val="24"/>
              </w:rPr>
              <w:t>Date</w:t>
            </w:r>
          </w:p>
        </w:tc>
        <w:tc>
          <w:tcPr>
            <w:tcW w:w="7470" w:type="dxa"/>
          </w:tcPr>
          <w:p w14:paraId="5140ADF1" w14:textId="77777777" w:rsidR="002641D2" w:rsidRPr="00FA3F9C" w:rsidRDefault="002641D2" w:rsidP="004F3D86">
            <w:pPr>
              <w:rPr>
                <w:rFonts w:ascii="Arial" w:hAnsi="Arial" w:cs="Arial"/>
                <w:sz w:val="24"/>
                <w:szCs w:val="24"/>
              </w:rPr>
            </w:pPr>
            <w:r w:rsidRPr="00FA3F9C">
              <w:rPr>
                <w:rFonts w:ascii="Arial" w:hAnsi="Arial" w:cs="Arial"/>
                <w:sz w:val="24"/>
                <w:szCs w:val="24"/>
              </w:rPr>
              <w:t>What changed</w:t>
            </w:r>
          </w:p>
        </w:tc>
        <w:tc>
          <w:tcPr>
            <w:tcW w:w="2538" w:type="dxa"/>
          </w:tcPr>
          <w:p w14:paraId="395DD8EF" w14:textId="77777777" w:rsidR="002641D2" w:rsidRPr="00FA3F9C" w:rsidRDefault="002641D2" w:rsidP="004F3D86">
            <w:pPr>
              <w:rPr>
                <w:rFonts w:ascii="Arial" w:hAnsi="Arial" w:cs="Arial"/>
                <w:sz w:val="24"/>
                <w:szCs w:val="24"/>
              </w:rPr>
            </w:pPr>
            <w:r w:rsidRPr="00FA3F9C">
              <w:rPr>
                <w:rFonts w:ascii="Arial" w:hAnsi="Arial" w:cs="Arial"/>
                <w:sz w:val="24"/>
                <w:szCs w:val="24"/>
              </w:rPr>
              <w:t>Pharmacist’s initials</w:t>
            </w:r>
          </w:p>
        </w:tc>
      </w:tr>
      <w:tr w:rsidR="002641D2" w:rsidRPr="00FA3F9C" w14:paraId="23C11CEB" w14:textId="77777777" w:rsidTr="004F3D86">
        <w:tc>
          <w:tcPr>
            <w:tcW w:w="1008" w:type="dxa"/>
          </w:tcPr>
          <w:p w14:paraId="2D4E26ED" w14:textId="77777777" w:rsidR="002641D2" w:rsidRPr="00FA3F9C" w:rsidRDefault="002641D2" w:rsidP="004F3D86">
            <w:pPr>
              <w:rPr>
                <w:rFonts w:ascii="Arial" w:hAnsi="Arial" w:cs="Arial"/>
                <w:sz w:val="24"/>
                <w:szCs w:val="24"/>
              </w:rPr>
            </w:pPr>
            <w:r w:rsidRPr="00FA3F9C">
              <w:rPr>
                <w:rFonts w:ascii="Arial" w:hAnsi="Arial" w:cs="Arial"/>
                <w:sz w:val="24"/>
                <w:szCs w:val="24"/>
              </w:rPr>
              <w:t>10/19/11</w:t>
            </w:r>
          </w:p>
        </w:tc>
        <w:tc>
          <w:tcPr>
            <w:tcW w:w="7470" w:type="dxa"/>
          </w:tcPr>
          <w:p w14:paraId="2A3824AC" w14:textId="77777777" w:rsidR="002641D2" w:rsidRPr="00FA3F9C" w:rsidRDefault="002641D2" w:rsidP="004F3D86">
            <w:pPr>
              <w:rPr>
                <w:rFonts w:ascii="Arial" w:hAnsi="Arial" w:cs="Arial"/>
                <w:sz w:val="24"/>
                <w:szCs w:val="24"/>
              </w:rPr>
            </w:pPr>
            <w:r w:rsidRPr="00FA3F9C">
              <w:rPr>
                <w:rFonts w:ascii="Arial" w:hAnsi="Arial" w:cs="Arial"/>
                <w:sz w:val="24"/>
                <w:szCs w:val="24"/>
              </w:rPr>
              <w:t xml:space="preserve">I wrote the criteria for </w:t>
            </w:r>
            <w:proofErr w:type="spellStart"/>
            <w:r w:rsidRPr="00FA3F9C">
              <w:rPr>
                <w:rFonts w:ascii="Arial" w:hAnsi="Arial" w:cs="Arial"/>
                <w:sz w:val="24"/>
                <w:szCs w:val="24"/>
              </w:rPr>
              <w:t>imiglucerase</w:t>
            </w:r>
            <w:proofErr w:type="spellEnd"/>
            <w:r w:rsidRPr="00FA3F9C">
              <w:rPr>
                <w:rFonts w:ascii="Arial" w:hAnsi="Arial" w:cs="Arial"/>
                <w:sz w:val="24"/>
                <w:szCs w:val="24"/>
              </w:rPr>
              <w:t xml:space="preserve">, </w:t>
            </w:r>
            <w:proofErr w:type="spellStart"/>
            <w:r w:rsidRPr="00FA3F9C">
              <w:rPr>
                <w:rFonts w:ascii="Arial" w:hAnsi="Arial" w:cs="Arial"/>
                <w:sz w:val="24"/>
                <w:szCs w:val="24"/>
              </w:rPr>
              <w:t>alglucerase</w:t>
            </w:r>
            <w:proofErr w:type="spellEnd"/>
            <w:r w:rsidRPr="00FA3F9C">
              <w:rPr>
                <w:rFonts w:ascii="Arial" w:hAnsi="Arial" w:cs="Arial"/>
                <w:sz w:val="24"/>
                <w:szCs w:val="24"/>
              </w:rPr>
              <w:t>.</w:t>
            </w:r>
          </w:p>
        </w:tc>
        <w:tc>
          <w:tcPr>
            <w:tcW w:w="2538" w:type="dxa"/>
          </w:tcPr>
          <w:p w14:paraId="46E39467" w14:textId="77777777" w:rsidR="002641D2" w:rsidRPr="00FA3F9C" w:rsidRDefault="002641D2" w:rsidP="004F3D86">
            <w:pPr>
              <w:rPr>
                <w:rFonts w:ascii="Arial" w:hAnsi="Arial" w:cs="Arial"/>
                <w:sz w:val="24"/>
                <w:szCs w:val="24"/>
              </w:rPr>
            </w:pPr>
            <w:r w:rsidRPr="00FA3F9C">
              <w:rPr>
                <w:rFonts w:ascii="Arial" w:hAnsi="Arial" w:cs="Arial"/>
                <w:sz w:val="24"/>
                <w:szCs w:val="24"/>
              </w:rPr>
              <w:t>JJ</w:t>
            </w:r>
          </w:p>
        </w:tc>
      </w:tr>
      <w:tr w:rsidR="002641D2" w:rsidRPr="00FA3F9C" w14:paraId="5FD583B3" w14:textId="77777777" w:rsidTr="004F3D86">
        <w:tc>
          <w:tcPr>
            <w:tcW w:w="1008" w:type="dxa"/>
          </w:tcPr>
          <w:p w14:paraId="427F339F" w14:textId="77777777" w:rsidR="002641D2" w:rsidRPr="00FA3F9C" w:rsidRDefault="002641D2" w:rsidP="004F3D86">
            <w:pPr>
              <w:rPr>
                <w:rFonts w:ascii="Arial" w:hAnsi="Arial" w:cs="Arial"/>
                <w:sz w:val="24"/>
                <w:szCs w:val="24"/>
              </w:rPr>
            </w:pPr>
            <w:r w:rsidRPr="00FA3F9C">
              <w:rPr>
                <w:rFonts w:ascii="Arial" w:hAnsi="Arial" w:cs="Arial"/>
                <w:sz w:val="24"/>
                <w:szCs w:val="24"/>
              </w:rPr>
              <w:t>8/11/2020</w:t>
            </w:r>
          </w:p>
        </w:tc>
        <w:tc>
          <w:tcPr>
            <w:tcW w:w="7470" w:type="dxa"/>
          </w:tcPr>
          <w:p w14:paraId="24EC22D8" w14:textId="77777777" w:rsidR="002641D2" w:rsidRPr="00FA3F9C" w:rsidRDefault="002641D2" w:rsidP="004F3D86">
            <w:pPr>
              <w:rPr>
                <w:rFonts w:ascii="Arial" w:hAnsi="Arial" w:cs="Arial"/>
                <w:sz w:val="24"/>
                <w:szCs w:val="24"/>
              </w:rPr>
            </w:pPr>
            <w:r w:rsidRPr="00FA3F9C">
              <w:rPr>
                <w:rFonts w:ascii="Arial" w:hAnsi="Arial" w:cs="Arial"/>
                <w:sz w:val="24"/>
                <w:szCs w:val="24"/>
              </w:rPr>
              <w:t xml:space="preserve">I revised the criteria with better definitions, required the </w:t>
            </w:r>
            <w:proofErr w:type="spellStart"/>
            <w:r w:rsidRPr="00FA3F9C">
              <w:rPr>
                <w:rFonts w:ascii="Arial" w:hAnsi="Arial" w:cs="Arial"/>
                <w:sz w:val="24"/>
                <w:szCs w:val="24"/>
              </w:rPr>
              <w:t>pt</w:t>
            </w:r>
            <w:proofErr w:type="spellEnd"/>
            <w:r w:rsidRPr="00FA3F9C">
              <w:rPr>
                <w:rFonts w:ascii="Arial" w:hAnsi="Arial" w:cs="Arial"/>
                <w:sz w:val="24"/>
                <w:szCs w:val="24"/>
              </w:rPr>
              <w:t xml:space="preserve"> to be symptomatic, and put in a QL for dosing due to no better outcomes with the higher dose.  I also wrote that they could not receive combination ERT+SRT.(no data)</w:t>
            </w:r>
          </w:p>
        </w:tc>
        <w:tc>
          <w:tcPr>
            <w:tcW w:w="2538" w:type="dxa"/>
          </w:tcPr>
          <w:p w14:paraId="12018845" w14:textId="77777777" w:rsidR="002641D2" w:rsidRPr="00FA3F9C" w:rsidRDefault="002641D2" w:rsidP="004F3D86">
            <w:pPr>
              <w:rPr>
                <w:rFonts w:ascii="Arial" w:hAnsi="Arial" w:cs="Arial"/>
                <w:sz w:val="24"/>
                <w:szCs w:val="24"/>
              </w:rPr>
            </w:pPr>
            <w:r w:rsidRPr="00FA3F9C">
              <w:rPr>
                <w:rFonts w:ascii="Arial" w:hAnsi="Arial" w:cs="Arial"/>
                <w:sz w:val="24"/>
                <w:szCs w:val="24"/>
              </w:rPr>
              <w:t>JJ</w:t>
            </w:r>
          </w:p>
        </w:tc>
      </w:tr>
      <w:tr w:rsidR="002641D2" w:rsidRPr="00FA3F9C" w14:paraId="4B6D66C1" w14:textId="77777777" w:rsidTr="004F3D86">
        <w:tc>
          <w:tcPr>
            <w:tcW w:w="1008" w:type="dxa"/>
          </w:tcPr>
          <w:p w14:paraId="1D2A528E" w14:textId="77777777" w:rsidR="002641D2" w:rsidRPr="00FA3F9C" w:rsidRDefault="002641D2" w:rsidP="004F3D86">
            <w:pPr>
              <w:rPr>
                <w:rFonts w:ascii="Arial" w:hAnsi="Arial" w:cs="Arial"/>
                <w:sz w:val="24"/>
                <w:szCs w:val="24"/>
              </w:rPr>
            </w:pPr>
            <w:r w:rsidRPr="00FA3F9C">
              <w:rPr>
                <w:rFonts w:ascii="Arial" w:hAnsi="Arial" w:cs="Arial"/>
                <w:sz w:val="24"/>
                <w:szCs w:val="24"/>
              </w:rPr>
              <w:t>4/1/21</w:t>
            </w:r>
          </w:p>
        </w:tc>
        <w:tc>
          <w:tcPr>
            <w:tcW w:w="7470" w:type="dxa"/>
          </w:tcPr>
          <w:p w14:paraId="7BADD3F8" w14:textId="77777777" w:rsidR="002641D2" w:rsidRPr="00FA3F9C" w:rsidRDefault="002641D2" w:rsidP="004F3D86">
            <w:pPr>
              <w:rPr>
                <w:rFonts w:ascii="Arial" w:hAnsi="Arial" w:cs="Arial"/>
                <w:sz w:val="24"/>
                <w:szCs w:val="24"/>
              </w:rPr>
            </w:pPr>
            <w:r w:rsidRPr="00FA3F9C">
              <w:rPr>
                <w:rFonts w:ascii="Arial" w:hAnsi="Arial" w:cs="Arial"/>
                <w:sz w:val="24"/>
                <w:szCs w:val="24"/>
              </w:rPr>
              <w:t>Applied EBRx criteria to UAS Plan.</w:t>
            </w:r>
          </w:p>
        </w:tc>
        <w:tc>
          <w:tcPr>
            <w:tcW w:w="2538" w:type="dxa"/>
          </w:tcPr>
          <w:p w14:paraId="56A9CEBF" w14:textId="77777777" w:rsidR="002641D2" w:rsidRPr="00FA3F9C" w:rsidRDefault="002641D2" w:rsidP="004F3D86">
            <w:pPr>
              <w:rPr>
                <w:rFonts w:ascii="Arial" w:hAnsi="Arial" w:cs="Arial"/>
                <w:sz w:val="24"/>
                <w:szCs w:val="24"/>
              </w:rPr>
            </w:pPr>
            <w:r w:rsidRPr="00FA3F9C">
              <w:rPr>
                <w:rFonts w:ascii="Arial" w:hAnsi="Arial" w:cs="Arial"/>
                <w:sz w:val="24"/>
                <w:szCs w:val="24"/>
              </w:rPr>
              <w:t>JJ</w:t>
            </w:r>
          </w:p>
        </w:tc>
      </w:tr>
    </w:tbl>
    <w:p w14:paraId="3F0BCD22" w14:textId="77777777" w:rsidR="002641D2" w:rsidRPr="00FA3F9C" w:rsidRDefault="002641D2" w:rsidP="0091213D">
      <w:pPr>
        <w:spacing w:after="0"/>
        <w:rPr>
          <w:rFonts w:ascii="Arial" w:hAnsi="Arial" w:cs="Arial"/>
          <w:sz w:val="24"/>
          <w:szCs w:val="24"/>
        </w:rPr>
      </w:pPr>
    </w:p>
    <w:p w14:paraId="42C97515" w14:textId="77777777" w:rsidR="002641D2" w:rsidRPr="00FA3F9C" w:rsidRDefault="002641D2" w:rsidP="00C04A80">
      <w:pPr>
        <w:spacing w:after="0"/>
        <w:rPr>
          <w:rFonts w:ascii="Arial" w:hAnsi="Arial" w:cs="Arial"/>
          <w:sz w:val="24"/>
          <w:szCs w:val="24"/>
        </w:rPr>
      </w:pPr>
    </w:p>
    <w:p w14:paraId="1D464260" w14:textId="77777777" w:rsidR="002641D2" w:rsidRPr="00FA3F9C" w:rsidRDefault="002641D2" w:rsidP="005E2908">
      <w:pPr>
        <w:pStyle w:val="Heading2"/>
      </w:pPr>
      <w:bookmarkStart w:id="144" w:name="_Toc106369826"/>
      <w:r w:rsidRPr="00FA3F9C">
        <w:t>Targeted Immune Modulators</w:t>
      </w:r>
      <w:bookmarkEnd w:id="144"/>
    </w:p>
    <w:p w14:paraId="2B6D1599" w14:textId="08EA2CF1" w:rsidR="002641D2" w:rsidRDefault="002641D2">
      <w:pPr>
        <w:jc w:val="center"/>
        <w:rPr>
          <w:rFonts w:ascii="Arial" w:hAnsi="Arial" w:cs="Arial"/>
          <w:b/>
          <w:sz w:val="24"/>
          <w:szCs w:val="24"/>
        </w:rPr>
      </w:pPr>
      <w:r w:rsidRPr="00FA3F9C">
        <w:rPr>
          <w:rFonts w:ascii="Arial" w:hAnsi="Arial" w:cs="Arial"/>
          <w:b/>
          <w:sz w:val="24"/>
          <w:szCs w:val="24"/>
        </w:rPr>
        <w:t>If approved, the PA will be good for 1 year</w:t>
      </w:r>
    </w:p>
    <w:p w14:paraId="744A5321" w14:textId="22E1D362" w:rsidR="005E2908" w:rsidRPr="00FA3F9C" w:rsidRDefault="005E2908" w:rsidP="005E2908">
      <w:pPr>
        <w:jc w:val="center"/>
        <w:rPr>
          <w:rFonts w:ascii="Arial" w:hAnsi="Arial" w:cs="Arial"/>
          <w:b/>
          <w:sz w:val="24"/>
          <w:szCs w:val="24"/>
        </w:rPr>
      </w:pPr>
      <w:r w:rsidRPr="00FA3F9C">
        <w:rPr>
          <w:rFonts w:ascii="Arial" w:hAnsi="Arial" w:cs="Arial"/>
          <w:b/>
          <w:sz w:val="24"/>
          <w:szCs w:val="24"/>
        </w:rPr>
        <w:t>EBRx PA criteria</w:t>
      </w:r>
    </w:p>
    <w:p w14:paraId="1ACAE1EF" w14:textId="77777777" w:rsidR="005E2908" w:rsidRPr="00FA3F9C" w:rsidRDefault="005E2908" w:rsidP="005E2908">
      <w:pPr>
        <w:rPr>
          <w:rFonts w:ascii="Arial" w:hAnsi="Arial" w:cs="Arial"/>
          <w:b/>
          <w:sz w:val="24"/>
          <w:szCs w:val="24"/>
        </w:rPr>
      </w:pPr>
    </w:p>
    <w:p w14:paraId="12E25551" w14:textId="77777777" w:rsidR="002641D2" w:rsidRPr="00FA3F9C" w:rsidRDefault="002641D2">
      <w:pPr>
        <w:jc w:val="center"/>
        <w:rPr>
          <w:rFonts w:ascii="Arial" w:hAnsi="Arial" w:cs="Arial"/>
          <w:sz w:val="24"/>
          <w:szCs w:val="24"/>
        </w:rPr>
      </w:pPr>
    </w:p>
    <w:p w14:paraId="0FEFC9E3" w14:textId="77777777" w:rsidR="002641D2" w:rsidRPr="00FA3F9C" w:rsidRDefault="002641D2" w:rsidP="00F559CB">
      <w:pPr>
        <w:rPr>
          <w:rFonts w:ascii="Arial" w:hAnsi="Arial" w:cs="Arial"/>
          <w:b/>
          <w:sz w:val="24"/>
          <w:szCs w:val="24"/>
        </w:rPr>
      </w:pPr>
      <w:r w:rsidRPr="00FA3F9C">
        <w:rPr>
          <w:rFonts w:ascii="Arial" w:hAnsi="Arial" w:cs="Arial"/>
          <w:sz w:val="24"/>
          <w:szCs w:val="24"/>
          <w:highlight w:val="yellow"/>
        </w:rPr>
        <w:lastRenderedPageBreak/>
        <w:t>Note (8/19/2021):</w:t>
      </w:r>
      <w:r w:rsidRPr="00FA3F9C">
        <w:rPr>
          <w:rFonts w:ascii="Arial" w:hAnsi="Arial" w:cs="Arial"/>
          <w:sz w:val="24"/>
          <w:szCs w:val="24"/>
        </w:rPr>
        <w:t xml:space="preserve"> The Emergency Use Authorization (EUA) for </w:t>
      </w:r>
      <w:proofErr w:type="spellStart"/>
      <w:r w:rsidRPr="00FA3F9C">
        <w:rPr>
          <w:rFonts w:ascii="Arial" w:hAnsi="Arial" w:cs="Arial"/>
          <w:sz w:val="24"/>
          <w:szCs w:val="24"/>
        </w:rPr>
        <w:t>bariticinib</w:t>
      </w:r>
      <w:proofErr w:type="spellEnd"/>
      <w:r w:rsidRPr="00FA3F9C">
        <w:rPr>
          <w:rFonts w:ascii="Arial" w:hAnsi="Arial" w:cs="Arial"/>
          <w:sz w:val="24"/>
          <w:szCs w:val="24"/>
        </w:rPr>
        <w:t xml:space="preserve"> for treatment of COVID-19 allows use ONLY for hospitalized patients. Therefore, EBRx will not cover this use on the pharmacy benefit. See EUA information at the following link: </w:t>
      </w:r>
      <w:hyperlink r:id="rId235" w:history="1">
        <w:r w:rsidRPr="00FA3F9C">
          <w:rPr>
            <w:rStyle w:val="Hyperlink"/>
            <w:rFonts w:ascii="Arial" w:hAnsi="Arial" w:cs="Arial"/>
            <w:sz w:val="24"/>
            <w:szCs w:val="24"/>
          </w:rPr>
          <w:t>https://www.fda.gov/media/143823/download</w:t>
        </w:r>
      </w:hyperlink>
      <w:r w:rsidRPr="00FA3F9C">
        <w:rPr>
          <w:rFonts w:ascii="Arial" w:hAnsi="Arial" w:cs="Arial"/>
          <w:sz w:val="24"/>
          <w:szCs w:val="24"/>
        </w:rPr>
        <w:t xml:space="preserve"> </w:t>
      </w:r>
    </w:p>
    <w:p w14:paraId="7D20CB8C" w14:textId="77777777" w:rsidR="002641D2" w:rsidRPr="00FA3F9C" w:rsidRDefault="002641D2" w:rsidP="00C56636">
      <w:pPr>
        <w:jc w:val="center"/>
        <w:rPr>
          <w:rFonts w:ascii="Arial" w:hAnsi="Arial" w:cs="Arial"/>
          <w:b/>
          <w:sz w:val="24"/>
          <w:szCs w:val="24"/>
        </w:rPr>
      </w:pPr>
    </w:p>
    <w:tbl>
      <w:tblPr>
        <w:tblW w:w="1089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455"/>
        <w:gridCol w:w="2453"/>
        <w:gridCol w:w="1842"/>
        <w:gridCol w:w="2160"/>
      </w:tblGrid>
      <w:tr w:rsidR="002641D2" w:rsidRPr="00FA3F9C" w14:paraId="6C787BD9" w14:textId="77777777" w:rsidTr="00817E10">
        <w:tc>
          <w:tcPr>
            <w:tcW w:w="10890" w:type="dxa"/>
            <w:gridSpan w:val="5"/>
            <w:tcBorders>
              <w:top w:val="thickThinSmallGap" w:sz="24" w:space="0" w:color="auto"/>
              <w:left w:val="thickThinSmallGap" w:sz="24" w:space="0" w:color="auto"/>
              <w:bottom w:val="thinThickSmallGap" w:sz="24" w:space="0" w:color="auto"/>
              <w:right w:val="thinThickSmallGap" w:sz="24" w:space="0" w:color="auto"/>
            </w:tcBorders>
            <w:shd w:val="clear" w:color="auto" w:fill="auto"/>
          </w:tcPr>
          <w:p w14:paraId="6E2DC200" w14:textId="77777777" w:rsidR="002641D2" w:rsidRPr="00FA3F9C" w:rsidRDefault="002641D2" w:rsidP="00817E10">
            <w:pPr>
              <w:rPr>
                <w:rFonts w:ascii="Arial" w:hAnsi="Arial" w:cs="Arial"/>
                <w:b/>
                <w:sz w:val="24"/>
                <w:szCs w:val="24"/>
              </w:rPr>
            </w:pPr>
            <w:r w:rsidRPr="00FA3F9C">
              <w:rPr>
                <w:rFonts w:ascii="Arial" w:hAnsi="Arial" w:cs="Arial"/>
                <w:b/>
                <w:sz w:val="24"/>
                <w:szCs w:val="24"/>
              </w:rPr>
              <w:t>Rheumatoid Arthritis—PA updated 4/22/21JJ</w:t>
            </w:r>
          </w:p>
        </w:tc>
      </w:tr>
      <w:tr w:rsidR="002641D2" w:rsidRPr="00FA3F9C" w14:paraId="64B26600" w14:textId="77777777" w:rsidTr="00817E10">
        <w:tc>
          <w:tcPr>
            <w:tcW w:w="1980" w:type="dxa"/>
            <w:tcBorders>
              <w:top w:val="thinThickSmallGap" w:sz="24" w:space="0" w:color="auto"/>
            </w:tcBorders>
            <w:shd w:val="clear" w:color="auto" w:fill="auto"/>
          </w:tcPr>
          <w:p w14:paraId="65342BCA" w14:textId="77777777" w:rsidR="002641D2" w:rsidRPr="00FA3F9C" w:rsidRDefault="002641D2" w:rsidP="00817E10">
            <w:pPr>
              <w:jc w:val="center"/>
              <w:rPr>
                <w:rFonts w:ascii="Arial" w:hAnsi="Arial" w:cs="Arial"/>
                <w:b/>
                <w:sz w:val="24"/>
                <w:szCs w:val="24"/>
              </w:rPr>
            </w:pPr>
          </w:p>
        </w:tc>
        <w:tc>
          <w:tcPr>
            <w:tcW w:w="2455" w:type="dxa"/>
            <w:tcBorders>
              <w:top w:val="thinThickSmallGap" w:sz="24" w:space="0" w:color="auto"/>
            </w:tcBorders>
            <w:shd w:val="clear" w:color="auto" w:fill="auto"/>
          </w:tcPr>
          <w:p w14:paraId="1D80DD3F" w14:textId="77777777" w:rsidR="002641D2" w:rsidRPr="00FA3F9C" w:rsidRDefault="002641D2" w:rsidP="00817E10">
            <w:pPr>
              <w:jc w:val="center"/>
              <w:rPr>
                <w:rFonts w:ascii="Arial" w:hAnsi="Arial" w:cs="Arial"/>
                <w:b/>
                <w:sz w:val="24"/>
                <w:szCs w:val="24"/>
              </w:rPr>
            </w:pPr>
            <w:proofErr w:type="spellStart"/>
            <w:r w:rsidRPr="00FA3F9C">
              <w:rPr>
                <w:rFonts w:ascii="Arial" w:hAnsi="Arial" w:cs="Arial"/>
                <w:b/>
                <w:sz w:val="24"/>
                <w:szCs w:val="24"/>
              </w:rPr>
              <w:t>csDMARD</w:t>
            </w:r>
            <w:proofErr w:type="spellEnd"/>
          </w:p>
          <w:p w14:paraId="73B46CD6" w14:textId="77777777" w:rsidR="002641D2" w:rsidRPr="00FA3F9C" w:rsidRDefault="002641D2" w:rsidP="00817E10">
            <w:pPr>
              <w:jc w:val="center"/>
              <w:rPr>
                <w:rFonts w:ascii="Arial" w:hAnsi="Arial" w:cs="Arial"/>
                <w:b/>
                <w:sz w:val="24"/>
                <w:szCs w:val="24"/>
              </w:rPr>
            </w:pPr>
            <w:r w:rsidRPr="00FA3F9C">
              <w:rPr>
                <w:rFonts w:ascii="Arial" w:hAnsi="Arial" w:cs="Arial"/>
                <w:b/>
                <w:sz w:val="24"/>
                <w:szCs w:val="24"/>
              </w:rPr>
              <w:t>(</w:t>
            </w:r>
            <w:proofErr w:type="gramStart"/>
            <w:r w:rsidRPr="00FA3F9C">
              <w:rPr>
                <w:rFonts w:ascii="Arial" w:hAnsi="Arial" w:cs="Arial"/>
                <w:b/>
                <w:sz w:val="24"/>
                <w:szCs w:val="24"/>
              </w:rPr>
              <w:t>conventional</w:t>
            </w:r>
            <w:proofErr w:type="gramEnd"/>
            <w:r w:rsidRPr="00FA3F9C">
              <w:rPr>
                <w:rFonts w:ascii="Arial" w:hAnsi="Arial" w:cs="Arial"/>
                <w:b/>
                <w:sz w:val="24"/>
                <w:szCs w:val="24"/>
              </w:rPr>
              <w:t xml:space="preserve"> synthetic)</w:t>
            </w:r>
          </w:p>
        </w:tc>
        <w:tc>
          <w:tcPr>
            <w:tcW w:w="2453" w:type="dxa"/>
            <w:tcBorders>
              <w:top w:val="thinThickSmallGap" w:sz="24" w:space="0" w:color="auto"/>
            </w:tcBorders>
            <w:shd w:val="clear" w:color="auto" w:fill="auto"/>
          </w:tcPr>
          <w:p w14:paraId="6BC03B5C" w14:textId="77777777" w:rsidR="002641D2" w:rsidRPr="00FA3F9C" w:rsidRDefault="002641D2" w:rsidP="00817E10">
            <w:pPr>
              <w:jc w:val="center"/>
              <w:rPr>
                <w:rFonts w:ascii="Arial" w:hAnsi="Arial" w:cs="Arial"/>
                <w:b/>
                <w:sz w:val="24"/>
                <w:szCs w:val="24"/>
              </w:rPr>
            </w:pPr>
            <w:proofErr w:type="spellStart"/>
            <w:r w:rsidRPr="00FA3F9C">
              <w:rPr>
                <w:rFonts w:ascii="Arial" w:hAnsi="Arial" w:cs="Arial"/>
                <w:b/>
                <w:sz w:val="24"/>
                <w:szCs w:val="24"/>
              </w:rPr>
              <w:t>tsDMARD</w:t>
            </w:r>
            <w:proofErr w:type="spellEnd"/>
          </w:p>
          <w:p w14:paraId="48B22EBC" w14:textId="77777777" w:rsidR="002641D2" w:rsidRPr="00FA3F9C" w:rsidRDefault="002641D2" w:rsidP="00817E10">
            <w:pPr>
              <w:jc w:val="center"/>
              <w:rPr>
                <w:rFonts w:ascii="Arial" w:hAnsi="Arial" w:cs="Arial"/>
                <w:b/>
                <w:sz w:val="24"/>
                <w:szCs w:val="24"/>
              </w:rPr>
            </w:pPr>
            <w:r w:rsidRPr="00FA3F9C">
              <w:rPr>
                <w:rFonts w:ascii="Arial" w:hAnsi="Arial" w:cs="Arial"/>
                <w:b/>
                <w:sz w:val="24"/>
                <w:szCs w:val="24"/>
              </w:rPr>
              <w:t>(</w:t>
            </w:r>
            <w:proofErr w:type="gramStart"/>
            <w:r w:rsidRPr="00FA3F9C">
              <w:rPr>
                <w:rFonts w:ascii="Arial" w:hAnsi="Arial" w:cs="Arial"/>
                <w:b/>
                <w:sz w:val="24"/>
                <w:szCs w:val="24"/>
              </w:rPr>
              <w:t>targeted</w:t>
            </w:r>
            <w:proofErr w:type="gramEnd"/>
            <w:r w:rsidRPr="00FA3F9C">
              <w:rPr>
                <w:rFonts w:ascii="Arial" w:hAnsi="Arial" w:cs="Arial"/>
                <w:b/>
                <w:sz w:val="24"/>
                <w:szCs w:val="24"/>
              </w:rPr>
              <w:t xml:space="preserve"> synthetic)</w:t>
            </w:r>
          </w:p>
        </w:tc>
        <w:tc>
          <w:tcPr>
            <w:tcW w:w="4002" w:type="dxa"/>
            <w:gridSpan w:val="2"/>
            <w:tcBorders>
              <w:top w:val="thinThickSmallGap" w:sz="24" w:space="0" w:color="auto"/>
            </w:tcBorders>
            <w:shd w:val="clear" w:color="auto" w:fill="auto"/>
          </w:tcPr>
          <w:p w14:paraId="76B7B4F1" w14:textId="77777777" w:rsidR="002641D2" w:rsidRPr="00FA3F9C" w:rsidRDefault="002641D2" w:rsidP="00817E10">
            <w:pPr>
              <w:jc w:val="center"/>
              <w:rPr>
                <w:rFonts w:ascii="Arial" w:hAnsi="Arial" w:cs="Arial"/>
                <w:b/>
                <w:sz w:val="24"/>
                <w:szCs w:val="24"/>
              </w:rPr>
            </w:pPr>
            <w:proofErr w:type="spellStart"/>
            <w:r w:rsidRPr="00FA3F9C">
              <w:rPr>
                <w:rFonts w:ascii="Arial" w:hAnsi="Arial" w:cs="Arial"/>
                <w:b/>
                <w:sz w:val="24"/>
                <w:szCs w:val="24"/>
              </w:rPr>
              <w:t>boDMARD</w:t>
            </w:r>
            <w:proofErr w:type="spellEnd"/>
          </w:p>
          <w:p w14:paraId="00A568CE" w14:textId="77777777" w:rsidR="002641D2" w:rsidRPr="00FA3F9C" w:rsidRDefault="002641D2" w:rsidP="00817E10">
            <w:pPr>
              <w:jc w:val="center"/>
              <w:rPr>
                <w:rFonts w:ascii="Arial" w:hAnsi="Arial" w:cs="Arial"/>
                <w:b/>
                <w:sz w:val="24"/>
                <w:szCs w:val="24"/>
              </w:rPr>
            </w:pPr>
            <w:r w:rsidRPr="00FA3F9C">
              <w:rPr>
                <w:rFonts w:ascii="Arial" w:hAnsi="Arial" w:cs="Arial"/>
                <w:b/>
                <w:sz w:val="24"/>
                <w:szCs w:val="24"/>
              </w:rPr>
              <w:t>(</w:t>
            </w:r>
            <w:proofErr w:type="gramStart"/>
            <w:r w:rsidRPr="00FA3F9C">
              <w:rPr>
                <w:rFonts w:ascii="Arial" w:hAnsi="Arial" w:cs="Arial"/>
                <w:b/>
                <w:sz w:val="24"/>
                <w:szCs w:val="24"/>
              </w:rPr>
              <w:t>biologic</w:t>
            </w:r>
            <w:proofErr w:type="gramEnd"/>
            <w:r w:rsidRPr="00FA3F9C">
              <w:rPr>
                <w:rFonts w:ascii="Arial" w:hAnsi="Arial" w:cs="Arial"/>
                <w:b/>
                <w:sz w:val="24"/>
                <w:szCs w:val="24"/>
              </w:rPr>
              <w:t xml:space="preserve"> originator)</w:t>
            </w:r>
          </w:p>
        </w:tc>
      </w:tr>
      <w:tr w:rsidR="002641D2" w:rsidRPr="00500371" w14:paraId="3946A7A5" w14:textId="77777777" w:rsidTr="00817E10">
        <w:tc>
          <w:tcPr>
            <w:tcW w:w="1980" w:type="dxa"/>
            <w:shd w:val="clear" w:color="auto" w:fill="auto"/>
          </w:tcPr>
          <w:p w14:paraId="2AFFEC90" w14:textId="77777777" w:rsidR="002641D2" w:rsidRPr="00FA3F9C" w:rsidRDefault="002641D2" w:rsidP="00817E10">
            <w:pPr>
              <w:jc w:val="center"/>
              <w:rPr>
                <w:rFonts w:ascii="Arial" w:hAnsi="Arial" w:cs="Arial"/>
                <w:b/>
                <w:sz w:val="24"/>
                <w:szCs w:val="24"/>
              </w:rPr>
            </w:pPr>
          </w:p>
        </w:tc>
        <w:tc>
          <w:tcPr>
            <w:tcW w:w="2455" w:type="dxa"/>
            <w:shd w:val="clear" w:color="auto" w:fill="auto"/>
          </w:tcPr>
          <w:p w14:paraId="37231818" w14:textId="77777777" w:rsidR="002641D2" w:rsidRPr="00FA3F9C" w:rsidRDefault="002641D2" w:rsidP="00817E10">
            <w:pPr>
              <w:jc w:val="center"/>
              <w:rPr>
                <w:rFonts w:ascii="Arial" w:hAnsi="Arial" w:cs="Arial"/>
                <w:b/>
                <w:sz w:val="24"/>
                <w:szCs w:val="24"/>
              </w:rPr>
            </w:pPr>
            <w:r w:rsidRPr="00FA3F9C">
              <w:rPr>
                <w:rFonts w:ascii="Arial" w:hAnsi="Arial" w:cs="Arial"/>
                <w:b/>
                <w:sz w:val="24"/>
                <w:szCs w:val="24"/>
              </w:rPr>
              <w:t>Methotrexate</w:t>
            </w:r>
          </w:p>
          <w:p w14:paraId="58602B02" w14:textId="77777777" w:rsidR="002641D2" w:rsidRPr="00FA3F9C" w:rsidRDefault="002641D2" w:rsidP="00817E10">
            <w:pPr>
              <w:jc w:val="center"/>
              <w:rPr>
                <w:rFonts w:ascii="Arial" w:hAnsi="Arial" w:cs="Arial"/>
                <w:b/>
                <w:sz w:val="24"/>
                <w:szCs w:val="24"/>
              </w:rPr>
            </w:pPr>
            <w:r w:rsidRPr="00FA3F9C">
              <w:rPr>
                <w:rFonts w:ascii="Arial" w:hAnsi="Arial" w:cs="Arial"/>
                <w:b/>
                <w:sz w:val="24"/>
                <w:szCs w:val="24"/>
              </w:rPr>
              <w:t>Sulfasalazine</w:t>
            </w:r>
          </w:p>
          <w:p w14:paraId="7C5EC0D7" w14:textId="77777777" w:rsidR="002641D2" w:rsidRPr="00FA3F9C" w:rsidRDefault="002641D2" w:rsidP="00817E10">
            <w:pPr>
              <w:jc w:val="center"/>
              <w:rPr>
                <w:rFonts w:ascii="Arial" w:hAnsi="Arial" w:cs="Arial"/>
                <w:b/>
                <w:sz w:val="24"/>
                <w:szCs w:val="24"/>
              </w:rPr>
            </w:pPr>
            <w:r w:rsidRPr="00FA3F9C">
              <w:rPr>
                <w:rFonts w:ascii="Arial" w:hAnsi="Arial" w:cs="Arial"/>
                <w:b/>
                <w:sz w:val="24"/>
                <w:szCs w:val="24"/>
              </w:rPr>
              <w:t>Leflunomide</w:t>
            </w:r>
          </w:p>
        </w:tc>
        <w:tc>
          <w:tcPr>
            <w:tcW w:w="2453" w:type="dxa"/>
            <w:shd w:val="clear" w:color="auto" w:fill="auto"/>
          </w:tcPr>
          <w:p w14:paraId="5A19057E" w14:textId="77777777" w:rsidR="002641D2" w:rsidRPr="00FA3F9C" w:rsidRDefault="002641D2" w:rsidP="00817E10">
            <w:pPr>
              <w:jc w:val="center"/>
              <w:rPr>
                <w:rFonts w:ascii="Arial" w:hAnsi="Arial" w:cs="Arial"/>
                <w:b/>
                <w:sz w:val="24"/>
                <w:szCs w:val="24"/>
              </w:rPr>
            </w:pPr>
            <w:r w:rsidRPr="00FA3F9C">
              <w:rPr>
                <w:rFonts w:ascii="Arial" w:hAnsi="Arial" w:cs="Arial"/>
                <w:b/>
                <w:sz w:val="24"/>
                <w:szCs w:val="24"/>
              </w:rPr>
              <w:t>Tofacitinib</w:t>
            </w:r>
          </w:p>
          <w:p w14:paraId="0CF4A9B0" w14:textId="77777777" w:rsidR="002641D2" w:rsidRPr="00FA3F9C" w:rsidRDefault="002641D2" w:rsidP="00817E10">
            <w:pPr>
              <w:jc w:val="center"/>
              <w:rPr>
                <w:rFonts w:ascii="Arial" w:hAnsi="Arial" w:cs="Arial"/>
                <w:b/>
                <w:sz w:val="24"/>
                <w:szCs w:val="24"/>
              </w:rPr>
            </w:pPr>
            <w:proofErr w:type="spellStart"/>
            <w:r w:rsidRPr="00FA3F9C">
              <w:rPr>
                <w:rFonts w:ascii="Arial" w:hAnsi="Arial" w:cs="Arial"/>
                <w:b/>
                <w:sz w:val="24"/>
                <w:szCs w:val="24"/>
              </w:rPr>
              <w:t>Baricitinib</w:t>
            </w:r>
            <w:proofErr w:type="spellEnd"/>
          </w:p>
          <w:p w14:paraId="211E8288" w14:textId="77777777" w:rsidR="002641D2" w:rsidRPr="00FA3F9C" w:rsidRDefault="002641D2" w:rsidP="00817E10">
            <w:pPr>
              <w:jc w:val="center"/>
              <w:rPr>
                <w:rFonts w:ascii="Arial" w:hAnsi="Arial" w:cs="Arial"/>
                <w:b/>
                <w:sz w:val="24"/>
                <w:szCs w:val="24"/>
              </w:rPr>
            </w:pPr>
            <w:r w:rsidRPr="00FA3F9C">
              <w:rPr>
                <w:rFonts w:ascii="Arial" w:hAnsi="Arial" w:cs="Arial"/>
                <w:b/>
                <w:sz w:val="24"/>
                <w:szCs w:val="24"/>
              </w:rPr>
              <w:t>(</w:t>
            </w:r>
            <w:proofErr w:type="gramStart"/>
            <w:r w:rsidRPr="00FA3F9C">
              <w:rPr>
                <w:rFonts w:ascii="Arial" w:hAnsi="Arial" w:cs="Arial"/>
                <w:b/>
                <w:sz w:val="24"/>
                <w:szCs w:val="24"/>
              </w:rPr>
              <w:t>targets</w:t>
            </w:r>
            <w:proofErr w:type="gramEnd"/>
            <w:r w:rsidRPr="00FA3F9C">
              <w:rPr>
                <w:rFonts w:ascii="Arial" w:hAnsi="Arial" w:cs="Arial"/>
                <w:b/>
                <w:sz w:val="24"/>
                <w:szCs w:val="24"/>
              </w:rPr>
              <w:t xml:space="preserve"> JAK)</w:t>
            </w:r>
          </w:p>
          <w:p w14:paraId="2A825AB9" w14:textId="77777777" w:rsidR="002641D2" w:rsidRPr="00FA3F9C" w:rsidRDefault="002641D2" w:rsidP="00817E10">
            <w:pPr>
              <w:jc w:val="center"/>
              <w:rPr>
                <w:rFonts w:ascii="Arial" w:hAnsi="Arial" w:cs="Arial"/>
                <w:b/>
                <w:sz w:val="24"/>
                <w:szCs w:val="24"/>
              </w:rPr>
            </w:pPr>
          </w:p>
        </w:tc>
        <w:tc>
          <w:tcPr>
            <w:tcW w:w="1842" w:type="dxa"/>
            <w:shd w:val="clear" w:color="auto" w:fill="auto"/>
          </w:tcPr>
          <w:p w14:paraId="65DF3157" w14:textId="77777777" w:rsidR="002641D2" w:rsidRPr="00FA3F9C" w:rsidRDefault="002641D2" w:rsidP="00817E10">
            <w:pPr>
              <w:jc w:val="center"/>
              <w:rPr>
                <w:rFonts w:ascii="Arial" w:hAnsi="Arial" w:cs="Arial"/>
                <w:b/>
                <w:sz w:val="24"/>
                <w:szCs w:val="24"/>
              </w:rPr>
            </w:pPr>
            <w:r w:rsidRPr="00FA3F9C">
              <w:rPr>
                <w:rFonts w:ascii="Arial" w:hAnsi="Arial" w:cs="Arial"/>
                <w:b/>
                <w:sz w:val="24"/>
                <w:szCs w:val="24"/>
              </w:rPr>
              <w:t>Adalimumab</w:t>
            </w:r>
          </w:p>
          <w:p w14:paraId="3E74B10B" w14:textId="77777777" w:rsidR="002641D2" w:rsidRPr="00FA3F9C" w:rsidRDefault="002641D2" w:rsidP="00817E10">
            <w:pPr>
              <w:jc w:val="center"/>
              <w:rPr>
                <w:rFonts w:ascii="Arial" w:hAnsi="Arial" w:cs="Arial"/>
                <w:b/>
                <w:sz w:val="24"/>
                <w:szCs w:val="24"/>
              </w:rPr>
            </w:pPr>
            <w:r w:rsidRPr="00FA3F9C">
              <w:rPr>
                <w:rFonts w:ascii="Arial" w:hAnsi="Arial" w:cs="Arial"/>
                <w:b/>
                <w:sz w:val="24"/>
                <w:szCs w:val="24"/>
              </w:rPr>
              <w:t>Certolizumab</w:t>
            </w:r>
          </w:p>
          <w:p w14:paraId="1DB8D60E" w14:textId="77777777" w:rsidR="002641D2" w:rsidRPr="00FA3F9C" w:rsidRDefault="002641D2" w:rsidP="00817E10">
            <w:pPr>
              <w:jc w:val="center"/>
              <w:rPr>
                <w:rFonts w:ascii="Arial" w:hAnsi="Arial" w:cs="Arial"/>
                <w:b/>
                <w:sz w:val="24"/>
                <w:szCs w:val="24"/>
              </w:rPr>
            </w:pPr>
            <w:r w:rsidRPr="00FA3F9C">
              <w:rPr>
                <w:rFonts w:ascii="Arial" w:hAnsi="Arial" w:cs="Arial"/>
                <w:b/>
                <w:sz w:val="24"/>
                <w:szCs w:val="24"/>
              </w:rPr>
              <w:t>Etanercept</w:t>
            </w:r>
          </w:p>
          <w:p w14:paraId="56F88F82" w14:textId="77777777" w:rsidR="002641D2" w:rsidRPr="00FA3F9C" w:rsidRDefault="002641D2" w:rsidP="00817E10">
            <w:pPr>
              <w:jc w:val="center"/>
              <w:rPr>
                <w:rFonts w:ascii="Arial" w:hAnsi="Arial" w:cs="Arial"/>
                <w:b/>
                <w:sz w:val="24"/>
                <w:szCs w:val="24"/>
              </w:rPr>
            </w:pPr>
            <w:r w:rsidRPr="00FA3F9C">
              <w:rPr>
                <w:rFonts w:ascii="Arial" w:hAnsi="Arial" w:cs="Arial"/>
                <w:b/>
                <w:sz w:val="24"/>
                <w:szCs w:val="24"/>
              </w:rPr>
              <w:t>Golimumab</w:t>
            </w:r>
          </w:p>
          <w:p w14:paraId="18A63F74" w14:textId="77777777" w:rsidR="002641D2" w:rsidRPr="00FA3F9C" w:rsidRDefault="002641D2" w:rsidP="00817E10">
            <w:pPr>
              <w:jc w:val="center"/>
              <w:rPr>
                <w:rFonts w:ascii="Arial" w:hAnsi="Arial" w:cs="Arial"/>
                <w:b/>
                <w:sz w:val="24"/>
                <w:szCs w:val="24"/>
              </w:rPr>
            </w:pPr>
            <w:r w:rsidRPr="00FA3F9C">
              <w:rPr>
                <w:rFonts w:ascii="Arial" w:hAnsi="Arial" w:cs="Arial"/>
                <w:b/>
                <w:sz w:val="24"/>
                <w:szCs w:val="24"/>
              </w:rPr>
              <w:t>Upadacitinib</w:t>
            </w:r>
          </w:p>
          <w:p w14:paraId="3CDCF4B8" w14:textId="77777777" w:rsidR="002641D2" w:rsidRPr="00FA3F9C" w:rsidRDefault="002641D2" w:rsidP="00817E10">
            <w:pPr>
              <w:jc w:val="center"/>
              <w:rPr>
                <w:rFonts w:ascii="Arial" w:hAnsi="Arial" w:cs="Arial"/>
                <w:b/>
                <w:sz w:val="24"/>
                <w:szCs w:val="24"/>
              </w:rPr>
            </w:pPr>
            <w:r w:rsidRPr="00FA3F9C">
              <w:rPr>
                <w:rFonts w:ascii="Arial" w:hAnsi="Arial" w:cs="Arial"/>
                <w:b/>
                <w:sz w:val="24"/>
                <w:szCs w:val="24"/>
              </w:rPr>
              <w:t>Sarilumab</w:t>
            </w:r>
          </w:p>
        </w:tc>
        <w:tc>
          <w:tcPr>
            <w:tcW w:w="2160" w:type="dxa"/>
            <w:shd w:val="clear" w:color="auto" w:fill="auto"/>
          </w:tcPr>
          <w:p w14:paraId="03A51DCD" w14:textId="77777777" w:rsidR="002641D2" w:rsidRPr="00FA3F9C" w:rsidRDefault="002641D2" w:rsidP="00817E10">
            <w:pPr>
              <w:jc w:val="center"/>
              <w:rPr>
                <w:rFonts w:ascii="Arial" w:hAnsi="Arial" w:cs="Arial"/>
                <w:b/>
                <w:sz w:val="24"/>
                <w:szCs w:val="24"/>
                <w:lang w:val="es-ES"/>
              </w:rPr>
            </w:pPr>
            <w:proofErr w:type="spellStart"/>
            <w:r w:rsidRPr="00FA3F9C">
              <w:rPr>
                <w:rFonts w:ascii="Arial" w:hAnsi="Arial" w:cs="Arial"/>
                <w:b/>
                <w:sz w:val="24"/>
                <w:szCs w:val="24"/>
                <w:lang w:val="es-ES"/>
              </w:rPr>
              <w:t>Infliximab</w:t>
            </w:r>
            <w:proofErr w:type="spellEnd"/>
            <w:r w:rsidRPr="00FA3F9C">
              <w:rPr>
                <w:rFonts w:ascii="Arial" w:hAnsi="Arial" w:cs="Arial"/>
                <w:b/>
                <w:sz w:val="24"/>
                <w:szCs w:val="24"/>
                <w:lang w:val="es-ES"/>
              </w:rPr>
              <w:t xml:space="preserve"> </w:t>
            </w:r>
          </w:p>
          <w:p w14:paraId="7074E49D" w14:textId="77777777" w:rsidR="002641D2" w:rsidRPr="00FA3F9C" w:rsidRDefault="002641D2" w:rsidP="00817E10">
            <w:pPr>
              <w:jc w:val="center"/>
              <w:rPr>
                <w:rFonts w:ascii="Arial" w:hAnsi="Arial" w:cs="Arial"/>
                <w:b/>
                <w:sz w:val="24"/>
                <w:szCs w:val="24"/>
                <w:lang w:val="es-ES"/>
              </w:rPr>
            </w:pPr>
            <w:proofErr w:type="spellStart"/>
            <w:r w:rsidRPr="00FA3F9C">
              <w:rPr>
                <w:rFonts w:ascii="Arial" w:hAnsi="Arial" w:cs="Arial"/>
                <w:b/>
                <w:sz w:val="24"/>
                <w:szCs w:val="24"/>
                <w:lang w:val="es-ES"/>
              </w:rPr>
              <w:t>Abatacept</w:t>
            </w:r>
            <w:proofErr w:type="spellEnd"/>
          </w:p>
          <w:p w14:paraId="4F733C24" w14:textId="77777777" w:rsidR="002641D2" w:rsidRPr="00FA3F9C" w:rsidRDefault="002641D2" w:rsidP="00817E10">
            <w:pPr>
              <w:jc w:val="center"/>
              <w:rPr>
                <w:rFonts w:ascii="Arial" w:hAnsi="Arial" w:cs="Arial"/>
                <w:b/>
                <w:sz w:val="24"/>
                <w:szCs w:val="24"/>
                <w:lang w:val="es-ES"/>
              </w:rPr>
            </w:pPr>
            <w:proofErr w:type="spellStart"/>
            <w:r w:rsidRPr="00FA3F9C">
              <w:rPr>
                <w:rFonts w:ascii="Arial" w:hAnsi="Arial" w:cs="Arial"/>
                <w:b/>
                <w:sz w:val="24"/>
                <w:szCs w:val="24"/>
                <w:lang w:val="es-ES"/>
              </w:rPr>
              <w:t>Rituximab</w:t>
            </w:r>
            <w:proofErr w:type="spellEnd"/>
            <w:r w:rsidRPr="00FA3F9C">
              <w:rPr>
                <w:rFonts w:ascii="Arial" w:hAnsi="Arial" w:cs="Arial"/>
                <w:b/>
                <w:sz w:val="24"/>
                <w:szCs w:val="24"/>
                <w:lang w:val="es-ES"/>
              </w:rPr>
              <w:t>*</w:t>
            </w:r>
          </w:p>
          <w:p w14:paraId="12D71A81" w14:textId="77777777" w:rsidR="002641D2" w:rsidRPr="00FA3F9C" w:rsidRDefault="002641D2" w:rsidP="00817E10">
            <w:pPr>
              <w:jc w:val="center"/>
              <w:rPr>
                <w:rFonts w:ascii="Arial" w:hAnsi="Arial" w:cs="Arial"/>
                <w:b/>
                <w:sz w:val="24"/>
                <w:szCs w:val="24"/>
                <w:lang w:val="es-ES"/>
              </w:rPr>
            </w:pPr>
            <w:proofErr w:type="spellStart"/>
            <w:r w:rsidRPr="00FA3F9C">
              <w:rPr>
                <w:rFonts w:ascii="Arial" w:hAnsi="Arial" w:cs="Arial"/>
                <w:b/>
                <w:sz w:val="24"/>
                <w:szCs w:val="24"/>
                <w:lang w:val="es-ES"/>
              </w:rPr>
              <w:t>Tocilizumab</w:t>
            </w:r>
            <w:proofErr w:type="spellEnd"/>
          </w:p>
          <w:p w14:paraId="61209024" w14:textId="77777777" w:rsidR="002641D2" w:rsidRPr="00FA3F9C" w:rsidRDefault="002641D2" w:rsidP="00817E10">
            <w:pPr>
              <w:jc w:val="center"/>
              <w:rPr>
                <w:rFonts w:ascii="Arial" w:hAnsi="Arial" w:cs="Arial"/>
                <w:b/>
                <w:sz w:val="24"/>
                <w:szCs w:val="24"/>
                <w:lang w:val="es-ES"/>
              </w:rPr>
            </w:pPr>
            <w:proofErr w:type="spellStart"/>
            <w:r w:rsidRPr="00FA3F9C">
              <w:rPr>
                <w:rFonts w:ascii="Arial" w:hAnsi="Arial" w:cs="Arial"/>
                <w:b/>
                <w:sz w:val="24"/>
                <w:szCs w:val="24"/>
                <w:lang w:val="es-ES"/>
              </w:rPr>
              <w:t>Anakinra</w:t>
            </w:r>
            <w:proofErr w:type="spellEnd"/>
          </w:p>
        </w:tc>
      </w:tr>
      <w:tr w:rsidR="002641D2" w:rsidRPr="00FA3F9C" w14:paraId="44D7C24E" w14:textId="77777777" w:rsidTr="00817E10">
        <w:tc>
          <w:tcPr>
            <w:tcW w:w="10890" w:type="dxa"/>
            <w:gridSpan w:val="5"/>
            <w:tcBorders>
              <w:bottom w:val="single" w:sz="4" w:space="0" w:color="auto"/>
            </w:tcBorders>
            <w:shd w:val="clear" w:color="auto" w:fill="auto"/>
          </w:tcPr>
          <w:p w14:paraId="669A345D" w14:textId="77777777" w:rsidR="002641D2" w:rsidRPr="00FA3F9C" w:rsidRDefault="002641D2" w:rsidP="00817E10">
            <w:pPr>
              <w:rPr>
                <w:rFonts w:ascii="Arial" w:hAnsi="Arial" w:cs="Arial"/>
                <w:sz w:val="24"/>
                <w:szCs w:val="24"/>
              </w:rPr>
            </w:pPr>
            <w:r w:rsidRPr="00FA3F9C">
              <w:rPr>
                <w:rFonts w:ascii="Arial" w:hAnsi="Arial" w:cs="Arial"/>
                <w:b/>
                <w:sz w:val="24"/>
                <w:szCs w:val="24"/>
              </w:rPr>
              <w:t>1.  The patient must have the diagnosis of rheumatoid arthritis.</w:t>
            </w:r>
          </w:p>
        </w:tc>
      </w:tr>
      <w:tr w:rsidR="002641D2" w:rsidRPr="00FA3F9C" w14:paraId="2CA52953" w14:textId="77777777" w:rsidTr="00817E10">
        <w:tc>
          <w:tcPr>
            <w:tcW w:w="10890" w:type="dxa"/>
            <w:gridSpan w:val="5"/>
            <w:shd w:val="clear" w:color="auto" w:fill="BFBFBF"/>
          </w:tcPr>
          <w:p w14:paraId="2446011B" w14:textId="77777777" w:rsidR="002641D2" w:rsidRPr="00FA3F9C" w:rsidRDefault="002641D2" w:rsidP="00817E10">
            <w:pPr>
              <w:rPr>
                <w:rFonts w:ascii="Arial" w:hAnsi="Arial" w:cs="Arial"/>
                <w:b/>
                <w:sz w:val="24"/>
                <w:szCs w:val="24"/>
              </w:rPr>
            </w:pPr>
            <w:r w:rsidRPr="00FA3F9C">
              <w:rPr>
                <w:rFonts w:ascii="Arial" w:hAnsi="Arial" w:cs="Arial"/>
                <w:b/>
                <w:sz w:val="24"/>
                <w:szCs w:val="24"/>
              </w:rPr>
              <w:t>Early RA (diagnosis less than 6 months ago and still symptomatic):</w:t>
            </w:r>
          </w:p>
        </w:tc>
      </w:tr>
      <w:tr w:rsidR="002641D2" w:rsidRPr="00FA3F9C" w14:paraId="44ACA02A" w14:textId="77777777" w:rsidTr="00817E10">
        <w:tc>
          <w:tcPr>
            <w:tcW w:w="10890" w:type="dxa"/>
            <w:gridSpan w:val="5"/>
            <w:tcBorders>
              <w:bottom w:val="single" w:sz="4" w:space="0" w:color="auto"/>
            </w:tcBorders>
            <w:shd w:val="clear" w:color="auto" w:fill="auto"/>
          </w:tcPr>
          <w:p w14:paraId="572F17B0" w14:textId="77777777" w:rsidR="002641D2" w:rsidRPr="00FA3F9C" w:rsidRDefault="002641D2" w:rsidP="00984DDE">
            <w:pPr>
              <w:ind w:left="250"/>
              <w:rPr>
                <w:rFonts w:ascii="Arial" w:hAnsi="Arial" w:cs="Arial"/>
                <w:b/>
                <w:sz w:val="24"/>
                <w:szCs w:val="24"/>
              </w:rPr>
            </w:pPr>
            <w:r w:rsidRPr="00FA3F9C">
              <w:rPr>
                <w:rFonts w:ascii="Arial" w:hAnsi="Arial" w:cs="Arial"/>
                <w:b/>
                <w:sz w:val="24"/>
                <w:szCs w:val="24"/>
              </w:rPr>
              <w:t>1a.  If the patient has had the diagnosis of rheumatoid arthritis for 6 months or less, and who are symptomatic with RA symptoms, the patient must reach the optimal dose of methotrexate 25-30 mg weekly and maintain this dose for at least 8 weeks TOGETHER WITH another DMARD (MTX-hydroxychloroquine-sulfasalazine 2-4g/d). (Or else, the patient must have a contraindication to MTX.</w:t>
            </w:r>
          </w:p>
        </w:tc>
      </w:tr>
      <w:tr w:rsidR="002641D2" w:rsidRPr="00FA3F9C" w14:paraId="08742781" w14:textId="77777777" w:rsidTr="00817E10">
        <w:tc>
          <w:tcPr>
            <w:tcW w:w="10890" w:type="dxa"/>
            <w:gridSpan w:val="5"/>
            <w:shd w:val="clear" w:color="auto" w:fill="BFBFBF"/>
          </w:tcPr>
          <w:p w14:paraId="2D89544F" w14:textId="77777777" w:rsidR="002641D2" w:rsidRPr="00FA3F9C" w:rsidRDefault="002641D2" w:rsidP="00817E10">
            <w:pPr>
              <w:rPr>
                <w:rFonts w:ascii="Arial" w:hAnsi="Arial" w:cs="Arial"/>
                <w:sz w:val="24"/>
                <w:szCs w:val="24"/>
              </w:rPr>
            </w:pPr>
            <w:r w:rsidRPr="00FA3F9C">
              <w:rPr>
                <w:rFonts w:ascii="Arial" w:hAnsi="Arial" w:cs="Arial"/>
                <w:b/>
                <w:sz w:val="24"/>
                <w:szCs w:val="24"/>
              </w:rPr>
              <w:t xml:space="preserve">Established RA  </w:t>
            </w:r>
          </w:p>
        </w:tc>
      </w:tr>
      <w:tr w:rsidR="002641D2" w:rsidRPr="00FA3F9C" w14:paraId="34F5B640" w14:textId="77777777" w:rsidTr="00817E10">
        <w:tc>
          <w:tcPr>
            <w:tcW w:w="10890" w:type="dxa"/>
            <w:gridSpan w:val="5"/>
            <w:tcBorders>
              <w:bottom w:val="single" w:sz="4" w:space="0" w:color="auto"/>
            </w:tcBorders>
            <w:shd w:val="clear" w:color="auto" w:fill="auto"/>
          </w:tcPr>
          <w:p w14:paraId="6B1C3A4E" w14:textId="77777777" w:rsidR="002641D2" w:rsidRPr="00FA3F9C" w:rsidRDefault="002641D2" w:rsidP="00984DDE">
            <w:pPr>
              <w:ind w:left="250"/>
              <w:rPr>
                <w:rFonts w:ascii="Arial" w:hAnsi="Arial" w:cs="Arial"/>
                <w:b/>
                <w:sz w:val="24"/>
                <w:szCs w:val="24"/>
              </w:rPr>
            </w:pPr>
            <w:r w:rsidRPr="00FA3F9C">
              <w:rPr>
                <w:rFonts w:ascii="Arial" w:hAnsi="Arial" w:cs="Arial"/>
                <w:b/>
                <w:sz w:val="24"/>
                <w:szCs w:val="24"/>
              </w:rPr>
              <w:lastRenderedPageBreak/>
              <w:t>1b.  The patient with established RA and with moderate or high disease activity must use combination MTX 25-30mg weekly and another DMARD (MTX-hydroxychloroquine-sulfasalazine 2-4g/d) and maintain the combination for at least 8 weeks, unless MTX is contraindicated.  If MTX is contraindicated, other combination DMARD therapy should be used.</w:t>
            </w:r>
          </w:p>
        </w:tc>
      </w:tr>
      <w:tr w:rsidR="002641D2" w:rsidRPr="00FA3F9C" w14:paraId="0D473708" w14:textId="77777777" w:rsidTr="00817E10">
        <w:tc>
          <w:tcPr>
            <w:tcW w:w="10890" w:type="dxa"/>
            <w:gridSpan w:val="5"/>
            <w:shd w:val="clear" w:color="auto" w:fill="D9D9D9"/>
          </w:tcPr>
          <w:p w14:paraId="515D8F17" w14:textId="77777777" w:rsidR="002641D2" w:rsidRPr="00FA3F9C" w:rsidRDefault="002641D2" w:rsidP="00817E10">
            <w:pPr>
              <w:jc w:val="center"/>
              <w:rPr>
                <w:rFonts w:ascii="Arial" w:hAnsi="Arial" w:cs="Arial"/>
                <w:sz w:val="24"/>
                <w:szCs w:val="24"/>
              </w:rPr>
            </w:pPr>
          </w:p>
        </w:tc>
      </w:tr>
      <w:tr w:rsidR="002641D2" w:rsidRPr="00FA3F9C" w14:paraId="08BFFF0E" w14:textId="77777777" w:rsidTr="00817E10">
        <w:tc>
          <w:tcPr>
            <w:tcW w:w="10890" w:type="dxa"/>
            <w:gridSpan w:val="5"/>
            <w:shd w:val="clear" w:color="auto" w:fill="auto"/>
          </w:tcPr>
          <w:p w14:paraId="0016E0F0" w14:textId="77777777" w:rsidR="002641D2" w:rsidRPr="00FA3F9C" w:rsidRDefault="002641D2" w:rsidP="00817E10">
            <w:pPr>
              <w:rPr>
                <w:rFonts w:ascii="Arial" w:hAnsi="Arial" w:cs="Arial"/>
                <w:sz w:val="24"/>
                <w:szCs w:val="24"/>
              </w:rPr>
            </w:pPr>
            <w:r w:rsidRPr="00FA3F9C">
              <w:rPr>
                <w:rFonts w:ascii="Arial" w:hAnsi="Arial" w:cs="Arial"/>
                <w:b/>
                <w:sz w:val="24"/>
                <w:szCs w:val="24"/>
              </w:rPr>
              <w:t>2.  For either early RA or established, two different TNF inhibitors must be tried consecutively (not concurrently) for at least 8 weeks each before tofacitinib is a covered drug.</w:t>
            </w:r>
          </w:p>
        </w:tc>
      </w:tr>
      <w:tr w:rsidR="002641D2" w:rsidRPr="00FA3F9C" w14:paraId="7EB05EF3" w14:textId="77777777" w:rsidTr="00817E10">
        <w:tc>
          <w:tcPr>
            <w:tcW w:w="10890" w:type="dxa"/>
            <w:gridSpan w:val="5"/>
            <w:shd w:val="clear" w:color="auto" w:fill="auto"/>
          </w:tcPr>
          <w:p w14:paraId="48A8617A" w14:textId="77777777" w:rsidR="002641D2" w:rsidRPr="00FA3F9C" w:rsidRDefault="002641D2" w:rsidP="00817E10">
            <w:pPr>
              <w:rPr>
                <w:rFonts w:ascii="Arial" w:hAnsi="Arial" w:cs="Arial"/>
                <w:sz w:val="24"/>
                <w:szCs w:val="24"/>
              </w:rPr>
            </w:pPr>
            <w:r w:rsidRPr="00FA3F9C">
              <w:rPr>
                <w:rFonts w:ascii="Arial" w:hAnsi="Arial" w:cs="Arial"/>
                <w:b/>
                <w:sz w:val="24"/>
                <w:szCs w:val="24"/>
              </w:rPr>
              <w:t>3.  Patients with a previously treated lymphoproliferative disorder, rituximab should be used over TNF inhibitor.</w:t>
            </w:r>
          </w:p>
        </w:tc>
      </w:tr>
      <w:tr w:rsidR="002641D2" w:rsidRPr="00FA3F9C" w14:paraId="013B5C9C" w14:textId="77777777" w:rsidTr="00817E10">
        <w:tc>
          <w:tcPr>
            <w:tcW w:w="10890" w:type="dxa"/>
            <w:gridSpan w:val="5"/>
            <w:shd w:val="clear" w:color="auto" w:fill="auto"/>
          </w:tcPr>
          <w:p w14:paraId="4F3791E7" w14:textId="77777777" w:rsidR="002641D2" w:rsidRPr="00FA3F9C" w:rsidRDefault="002641D2" w:rsidP="00817E10">
            <w:pPr>
              <w:rPr>
                <w:rFonts w:ascii="Arial" w:hAnsi="Arial" w:cs="Arial"/>
                <w:b/>
                <w:sz w:val="24"/>
                <w:szCs w:val="24"/>
              </w:rPr>
            </w:pPr>
            <w:r w:rsidRPr="00FA3F9C">
              <w:rPr>
                <w:rFonts w:ascii="Arial" w:hAnsi="Arial" w:cs="Arial"/>
                <w:b/>
                <w:sz w:val="24"/>
                <w:szCs w:val="24"/>
              </w:rPr>
              <w:t xml:space="preserve">Notes:  </w:t>
            </w:r>
          </w:p>
          <w:p w14:paraId="21E52E0D" w14:textId="77777777" w:rsidR="002641D2" w:rsidRPr="00FA3F9C" w:rsidRDefault="002641D2" w:rsidP="00817E10">
            <w:pPr>
              <w:ind w:left="720"/>
              <w:rPr>
                <w:rFonts w:ascii="Arial" w:hAnsi="Arial" w:cs="Arial"/>
                <w:b/>
                <w:sz w:val="24"/>
                <w:szCs w:val="24"/>
              </w:rPr>
            </w:pPr>
            <w:r w:rsidRPr="00FA3F9C">
              <w:rPr>
                <w:rFonts w:ascii="Arial" w:hAnsi="Arial" w:cs="Arial"/>
                <w:b/>
                <w:sz w:val="24"/>
                <w:szCs w:val="24"/>
              </w:rPr>
              <w:t>a. Biologic DMARDs should all be used in combination with DMARD unless contraindicated.</w:t>
            </w:r>
          </w:p>
          <w:p w14:paraId="7024681C" w14:textId="77777777" w:rsidR="002641D2" w:rsidRPr="00FA3F9C" w:rsidRDefault="002641D2" w:rsidP="00817E10">
            <w:pPr>
              <w:ind w:left="720"/>
              <w:rPr>
                <w:rFonts w:ascii="Arial" w:hAnsi="Arial" w:cs="Arial"/>
                <w:b/>
                <w:sz w:val="24"/>
                <w:szCs w:val="24"/>
              </w:rPr>
            </w:pPr>
            <w:r w:rsidRPr="00FA3F9C">
              <w:rPr>
                <w:rFonts w:ascii="Arial" w:hAnsi="Arial" w:cs="Arial"/>
                <w:b/>
                <w:sz w:val="24"/>
                <w:szCs w:val="24"/>
              </w:rPr>
              <w:t xml:space="preserve">b. Combination </w:t>
            </w:r>
            <w:proofErr w:type="spellStart"/>
            <w:r w:rsidRPr="00FA3F9C">
              <w:rPr>
                <w:rFonts w:ascii="Arial" w:hAnsi="Arial" w:cs="Arial"/>
                <w:b/>
                <w:sz w:val="24"/>
                <w:szCs w:val="24"/>
              </w:rPr>
              <w:t>TNFi</w:t>
            </w:r>
            <w:proofErr w:type="spellEnd"/>
            <w:r w:rsidRPr="00FA3F9C">
              <w:rPr>
                <w:rFonts w:ascii="Arial" w:hAnsi="Arial" w:cs="Arial"/>
                <w:b/>
                <w:sz w:val="24"/>
                <w:szCs w:val="24"/>
              </w:rPr>
              <w:t xml:space="preserve"> is not covered.</w:t>
            </w:r>
          </w:p>
          <w:p w14:paraId="3FBAEDA3" w14:textId="77777777" w:rsidR="002641D2" w:rsidRPr="00FA3F9C" w:rsidRDefault="002641D2" w:rsidP="00817E10">
            <w:pPr>
              <w:ind w:left="720"/>
              <w:rPr>
                <w:rFonts w:ascii="Arial" w:hAnsi="Arial" w:cs="Arial"/>
                <w:b/>
                <w:sz w:val="24"/>
                <w:szCs w:val="24"/>
              </w:rPr>
            </w:pPr>
            <w:r w:rsidRPr="00FA3F9C">
              <w:rPr>
                <w:rFonts w:ascii="Arial" w:hAnsi="Arial" w:cs="Arial"/>
                <w:b/>
                <w:sz w:val="24"/>
                <w:szCs w:val="24"/>
              </w:rPr>
              <w:t xml:space="preserve">c. Combination </w:t>
            </w:r>
            <w:proofErr w:type="spellStart"/>
            <w:r w:rsidRPr="00FA3F9C">
              <w:rPr>
                <w:rFonts w:ascii="Arial" w:hAnsi="Arial" w:cs="Arial"/>
                <w:b/>
                <w:sz w:val="24"/>
                <w:szCs w:val="24"/>
              </w:rPr>
              <w:t>TNFi</w:t>
            </w:r>
            <w:proofErr w:type="spellEnd"/>
            <w:r w:rsidRPr="00FA3F9C">
              <w:rPr>
                <w:rFonts w:ascii="Arial" w:hAnsi="Arial" w:cs="Arial"/>
                <w:b/>
                <w:sz w:val="24"/>
                <w:szCs w:val="24"/>
              </w:rPr>
              <w:t xml:space="preserve"> and other biologic is not a covered combination.</w:t>
            </w:r>
          </w:p>
        </w:tc>
      </w:tr>
      <w:tr w:rsidR="002641D2" w:rsidRPr="00FA3F9C" w14:paraId="432846E6" w14:textId="77777777" w:rsidTr="00817E10">
        <w:tc>
          <w:tcPr>
            <w:tcW w:w="10890" w:type="dxa"/>
            <w:gridSpan w:val="5"/>
            <w:shd w:val="clear" w:color="auto" w:fill="auto"/>
          </w:tcPr>
          <w:p w14:paraId="5D5C90B5" w14:textId="77777777" w:rsidR="002641D2" w:rsidRPr="00FA3F9C" w:rsidRDefault="002641D2" w:rsidP="00817E10">
            <w:pPr>
              <w:rPr>
                <w:rFonts w:ascii="Arial" w:hAnsi="Arial" w:cs="Arial"/>
                <w:sz w:val="24"/>
                <w:szCs w:val="24"/>
              </w:rPr>
            </w:pPr>
          </w:p>
        </w:tc>
      </w:tr>
      <w:tr w:rsidR="002641D2" w:rsidRPr="00FA3F9C" w14:paraId="2F04755E" w14:textId="77777777" w:rsidTr="00817E10">
        <w:tc>
          <w:tcPr>
            <w:tcW w:w="10890" w:type="dxa"/>
            <w:gridSpan w:val="5"/>
            <w:shd w:val="clear" w:color="auto" w:fill="auto"/>
          </w:tcPr>
          <w:p w14:paraId="7B34AE02" w14:textId="77777777" w:rsidR="002641D2" w:rsidRPr="00FA3F9C" w:rsidRDefault="002641D2" w:rsidP="00817E10">
            <w:pPr>
              <w:rPr>
                <w:rFonts w:ascii="Arial" w:hAnsi="Arial" w:cs="Arial"/>
                <w:sz w:val="24"/>
                <w:szCs w:val="24"/>
              </w:rPr>
            </w:pPr>
            <w:r w:rsidRPr="00FA3F9C">
              <w:rPr>
                <w:rFonts w:ascii="Arial" w:hAnsi="Arial" w:cs="Arial"/>
                <w:b/>
                <w:sz w:val="24"/>
                <w:szCs w:val="24"/>
              </w:rPr>
              <w:t>*FOR RITUXIMAB</w:t>
            </w:r>
          </w:p>
        </w:tc>
      </w:tr>
      <w:tr w:rsidR="002641D2" w:rsidRPr="00FA3F9C" w14:paraId="72D7F145" w14:textId="77777777" w:rsidTr="00817E10">
        <w:tc>
          <w:tcPr>
            <w:tcW w:w="10890" w:type="dxa"/>
            <w:gridSpan w:val="5"/>
            <w:shd w:val="clear" w:color="auto" w:fill="auto"/>
          </w:tcPr>
          <w:p w14:paraId="59176DB0" w14:textId="77777777" w:rsidR="002641D2" w:rsidRPr="00FA3F9C" w:rsidRDefault="002641D2" w:rsidP="00A8198A">
            <w:pPr>
              <w:rPr>
                <w:rFonts w:ascii="Arial" w:hAnsi="Arial" w:cs="Arial"/>
                <w:sz w:val="24"/>
                <w:szCs w:val="24"/>
              </w:rPr>
            </w:pPr>
            <w:r w:rsidRPr="00FA3F9C">
              <w:rPr>
                <w:rFonts w:ascii="Arial" w:hAnsi="Arial" w:cs="Arial"/>
                <w:b/>
                <w:sz w:val="24"/>
                <w:szCs w:val="24"/>
              </w:rPr>
              <w:t xml:space="preserve">NOTE:  Rituximab is reserved for patients who have responded poorly to TNF blockers and not for </w:t>
            </w:r>
            <w:proofErr w:type="spellStart"/>
            <w:r w:rsidRPr="00FA3F9C">
              <w:rPr>
                <w:rFonts w:ascii="Arial" w:hAnsi="Arial" w:cs="Arial"/>
                <w:b/>
                <w:sz w:val="24"/>
                <w:szCs w:val="24"/>
              </w:rPr>
              <w:t>csDMARDs</w:t>
            </w:r>
            <w:proofErr w:type="spellEnd"/>
            <w:r w:rsidRPr="00FA3F9C">
              <w:rPr>
                <w:rFonts w:ascii="Arial" w:hAnsi="Arial" w:cs="Arial"/>
                <w:b/>
                <w:sz w:val="24"/>
                <w:szCs w:val="24"/>
              </w:rPr>
              <w:t xml:space="preserve">.  </w:t>
            </w:r>
          </w:p>
        </w:tc>
      </w:tr>
      <w:tr w:rsidR="002641D2" w:rsidRPr="00FA3F9C" w14:paraId="4F514FB2" w14:textId="77777777" w:rsidTr="00817E10">
        <w:tc>
          <w:tcPr>
            <w:tcW w:w="10890" w:type="dxa"/>
            <w:gridSpan w:val="5"/>
            <w:shd w:val="clear" w:color="auto" w:fill="auto"/>
          </w:tcPr>
          <w:p w14:paraId="614FD954" w14:textId="77777777" w:rsidR="002641D2" w:rsidRPr="00FA3F9C" w:rsidRDefault="002641D2" w:rsidP="00817E10">
            <w:pPr>
              <w:rPr>
                <w:rFonts w:ascii="Arial" w:hAnsi="Arial" w:cs="Arial"/>
                <w:b/>
                <w:sz w:val="24"/>
                <w:szCs w:val="24"/>
              </w:rPr>
            </w:pPr>
            <w:r w:rsidRPr="00FA3F9C">
              <w:rPr>
                <w:rFonts w:ascii="Arial" w:hAnsi="Arial" w:cs="Arial"/>
                <w:b/>
                <w:sz w:val="24"/>
                <w:szCs w:val="24"/>
              </w:rPr>
              <w:t xml:space="preserve">4.  Does the patient have contraindications to other agents (recent history of lymphoma, latent tuberculosis with contraindications to the use of chemoprophylaxis, living in a TB-endemic region, or a previous history of demyelinating disease?  (If so, rituximab may be used as 2nd line therapy after </w:t>
            </w:r>
            <w:proofErr w:type="spellStart"/>
            <w:r w:rsidRPr="00FA3F9C">
              <w:rPr>
                <w:rFonts w:ascii="Arial" w:hAnsi="Arial" w:cs="Arial"/>
                <w:b/>
                <w:sz w:val="24"/>
                <w:szCs w:val="24"/>
              </w:rPr>
              <w:t>csDMARDs</w:t>
            </w:r>
            <w:proofErr w:type="spellEnd"/>
            <w:r w:rsidRPr="00FA3F9C">
              <w:rPr>
                <w:rFonts w:ascii="Arial" w:hAnsi="Arial" w:cs="Arial"/>
                <w:b/>
                <w:sz w:val="24"/>
                <w:szCs w:val="24"/>
              </w:rPr>
              <w:t>.)</w:t>
            </w:r>
          </w:p>
        </w:tc>
      </w:tr>
    </w:tbl>
    <w:p w14:paraId="7D6B33E1" w14:textId="77777777" w:rsidR="002641D2" w:rsidRPr="00FA3F9C" w:rsidRDefault="002641D2" w:rsidP="00C56636">
      <w:pPr>
        <w:jc w:val="center"/>
        <w:rPr>
          <w:rFonts w:ascii="Arial" w:hAnsi="Arial" w:cs="Arial"/>
          <w:b/>
          <w:sz w:val="24"/>
          <w:szCs w:val="24"/>
        </w:rPr>
      </w:pPr>
    </w:p>
    <w:p w14:paraId="14B2453D" w14:textId="77777777" w:rsidR="002641D2" w:rsidRPr="00FA3F9C" w:rsidRDefault="002641D2" w:rsidP="00A8198A">
      <w:pPr>
        <w:widowControl w:val="0"/>
        <w:autoSpaceDE w:val="0"/>
        <w:autoSpaceDN w:val="0"/>
        <w:adjustRightInd w:val="0"/>
        <w:ind w:left="-1080" w:right="-1170"/>
        <w:rPr>
          <w:rFonts w:ascii="Arial" w:hAnsi="Arial" w:cs="Arial"/>
          <w:b/>
          <w:bCs/>
          <w:sz w:val="24"/>
          <w:szCs w:val="24"/>
        </w:rPr>
      </w:pPr>
      <w:r w:rsidRPr="00FA3F9C">
        <w:rPr>
          <w:rFonts w:ascii="Arial" w:hAnsi="Arial" w:cs="Arial"/>
          <w:b/>
          <w:bCs/>
          <w:sz w:val="24"/>
          <w:szCs w:val="24"/>
        </w:rPr>
        <w:lastRenderedPageBreak/>
        <w:t>*TNF inhibitors: adalimumab, certolizumab pegol, etanercept, golimumab, infliximab, biosimilars (as approved according to a thorough approval process, such as by EMA and/or FDA).</w:t>
      </w:r>
    </w:p>
    <w:p w14:paraId="1616EA70" w14:textId="77777777" w:rsidR="002641D2" w:rsidRPr="00FA3F9C" w:rsidRDefault="002641D2" w:rsidP="00A8198A">
      <w:pPr>
        <w:widowControl w:val="0"/>
        <w:autoSpaceDE w:val="0"/>
        <w:autoSpaceDN w:val="0"/>
        <w:adjustRightInd w:val="0"/>
        <w:ind w:left="-1080" w:right="-1170"/>
        <w:rPr>
          <w:rFonts w:ascii="Arial" w:hAnsi="Arial" w:cs="Arial"/>
          <w:b/>
          <w:bCs/>
          <w:sz w:val="24"/>
          <w:szCs w:val="24"/>
        </w:rPr>
      </w:pPr>
      <w:r w:rsidRPr="00FA3F9C">
        <w:rPr>
          <w:rFonts w:ascii="Arial" w:hAnsi="Arial" w:cs="Arial"/>
          <w:b/>
          <w:bCs/>
          <w:sz w:val="24"/>
          <w:szCs w:val="24"/>
        </w:rPr>
        <w:t>†The ‘certain circumstances’, which include history of lymphoma or a demyelinating disease, are detailed in the accompanying text.</w:t>
      </w:r>
      <w:r w:rsidRPr="00FA3F9C">
        <w:rPr>
          <w:rFonts w:ascii="Arial" w:hAnsi="Arial" w:cs="Arial"/>
          <w:b/>
          <w:bCs/>
          <w:sz w:val="24"/>
          <w:szCs w:val="24"/>
          <w:vertAlign w:val="superscript"/>
        </w:rPr>
        <w:t>1</w:t>
      </w:r>
    </w:p>
    <w:p w14:paraId="082C83C9" w14:textId="77777777" w:rsidR="002641D2" w:rsidRPr="00FA3F9C" w:rsidRDefault="002641D2" w:rsidP="00A8198A">
      <w:pPr>
        <w:widowControl w:val="0"/>
        <w:autoSpaceDE w:val="0"/>
        <w:autoSpaceDN w:val="0"/>
        <w:adjustRightInd w:val="0"/>
        <w:ind w:left="-1080" w:right="-1170"/>
        <w:rPr>
          <w:rFonts w:ascii="Arial" w:hAnsi="Arial" w:cs="Arial"/>
          <w:b/>
          <w:bCs/>
          <w:sz w:val="24"/>
          <w:szCs w:val="24"/>
        </w:rPr>
      </w:pPr>
      <w:r w:rsidRPr="00FA3F9C">
        <w:rPr>
          <w:rFonts w:ascii="Arial" w:hAnsi="Arial" w:cs="Arial"/>
          <w:b/>
          <w:bCs/>
          <w:sz w:val="24"/>
          <w:szCs w:val="24"/>
        </w:rPr>
        <w:t>‡Tapering is seen as either dose reduction or prolongation of intervals between applications.</w:t>
      </w:r>
    </w:p>
    <w:p w14:paraId="2EC8793B" w14:textId="77777777" w:rsidR="002641D2" w:rsidRPr="00FA3F9C" w:rsidRDefault="002641D2" w:rsidP="00A8198A">
      <w:pPr>
        <w:widowControl w:val="0"/>
        <w:autoSpaceDE w:val="0"/>
        <w:autoSpaceDN w:val="0"/>
        <w:adjustRightInd w:val="0"/>
        <w:ind w:left="-1080" w:right="-1170"/>
        <w:rPr>
          <w:rFonts w:ascii="Arial" w:hAnsi="Arial" w:cs="Arial"/>
          <w:b/>
          <w:bCs/>
          <w:sz w:val="24"/>
          <w:szCs w:val="24"/>
        </w:rPr>
      </w:pPr>
      <w:r w:rsidRPr="00FA3F9C">
        <w:rPr>
          <w:rFonts w:ascii="Arial" w:hAnsi="Arial" w:cs="Arial"/>
          <w:b/>
          <w:bCs/>
          <w:sz w:val="24"/>
          <w:szCs w:val="24"/>
        </w:rPr>
        <w:t>§Most data are available for TNF inhibitors, but it is assumed that dose reduction or interval expansion is also pertinent to biological agents with another mode of action.</w:t>
      </w:r>
    </w:p>
    <w:p w14:paraId="5BDFA3A6" w14:textId="77777777" w:rsidR="002641D2" w:rsidRPr="00FA3F9C" w:rsidRDefault="002641D2" w:rsidP="00A8198A">
      <w:pPr>
        <w:widowControl w:val="0"/>
        <w:autoSpaceDE w:val="0"/>
        <w:autoSpaceDN w:val="0"/>
        <w:adjustRightInd w:val="0"/>
        <w:ind w:left="-1080" w:right="-1170"/>
        <w:rPr>
          <w:rFonts w:ascii="Arial" w:hAnsi="Arial" w:cs="Arial"/>
          <w:b/>
          <w:bCs/>
          <w:sz w:val="24"/>
          <w:szCs w:val="24"/>
        </w:rPr>
      </w:pPr>
      <w:r w:rsidRPr="00FA3F9C">
        <w:rPr>
          <w:rFonts w:ascii="Arial" w:hAnsi="Arial" w:cs="Arial"/>
          <w:b/>
          <w:bCs/>
          <w:sz w:val="24"/>
          <w:szCs w:val="24"/>
        </w:rPr>
        <w:t>DMARD, disease-modifying antirheumatic drug; EMA, European Medical Agency; EULAR, European League against Rheumatism; FDA, Food and Drug Administration; MTX,</w:t>
      </w:r>
    </w:p>
    <w:p w14:paraId="2D9601A1" w14:textId="77777777" w:rsidR="002641D2" w:rsidRPr="00FA3F9C" w:rsidRDefault="002641D2" w:rsidP="00A8198A">
      <w:pPr>
        <w:ind w:left="-1080" w:right="-1170"/>
        <w:rPr>
          <w:rFonts w:ascii="Arial" w:hAnsi="Arial" w:cs="Arial"/>
          <w:b/>
          <w:bCs/>
          <w:sz w:val="24"/>
          <w:szCs w:val="24"/>
        </w:rPr>
      </w:pPr>
      <w:r w:rsidRPr="00FA3F9C">
        <w:rPr>
          <w:rFonts w:ascii="Arial" w:hAnsi="Arial" w:cs="Arial"/>
          <w:b/>
          <w:bCs/>
          <w:sz w:val="24"/>
          <w:szCs w:val="24"/>
        </w:rPr>
        <w:t xml:space="preserve">methotrexate; RA, rheumatoid arthritis; TNF, </w:t>
      </w:r>
      <w:proofErr w:type="spellStart"/>
      <w:r w:rsidRPr="00FA3F9C">
        <w:rPr>
          <w:rFonts w:ascii="Arial" w:hAnsi="Arial" w:cs="Arial"/>
          <w:b/>
          <w:bCs/>
          <w:sz w:val="24"/>
          <w:szCs w:val="24"/>
        </w:rPr>
        <w:t>tumour</w:t>
      </w:r>
      <w:proofErr w:type="spellEnd"/>
      <w:r w:rsidRPr="00FA3F9C">
        <w:rPr>
          <w:rFonts w:ascii="Arial" w:hAnsi="Arial" w:cs="Arial"/>
          <w:b/>
          <w:bCs/>
          <w:sz w:val="24"/>
          <w:szCs w:val="24"/>
        </w:rPr>
        <w:t xml:space="preserve"> necrosis factor.</w:t>
      </w:r>
    </w:p>
    <w:p w14:paraId="6EC94DA9" w14:textId="77777777" w:rsidR="002641D2" w:rsidRPr="00FA3F9C" w:rsidRDefault="002641D2" w:rsidP="00A8198A">
      <w:pPr>
        <w:ind w:left="-1080" w:right="-1170"/>
        <w:rPr>
          <w:rFonts w:ascii="Arial" w:hAnsi="Arial" w:cs="Arial"/>
          <w:b/>
          <w:sz w:val="24"/>
          <w:szCs w:val="24"/>
        </w:rPr>
      </w:pPr>
    </w:p>
    <w:p w14:paraId="3BB533DF" w14:textId="77777777" w:rsidR="002641D2" w:rsidRPr="00FA3F9C" w:rsidRDefault="002641D2" w:rsidP="00A8198A">
      <w:pPr>
        <w:ind w:left="-1080" w:right="-1170"/>
        <w:rPr>
          <w:rFonts w:ascii="Arial" w:hAnsi="Arial" w:cs="Arial"/>
          <w:sz w:val="24"/>
          <w:szCs w:val="24"/>
        </w:rPr>
      </w:pPr>
      <w:r w:rsidRPr="00FA3F9C">
        <w:rPr>
          <w:rFonts w:ascii="Arial" w:hAnsi="Arial" w:cs="Arial"/>
          <w:sz w:val="24"/>
          <w:szCs w:val="24"/>
        </w:rPr>
        <w:t>References:</w:t>
      </w:r>
    </w:p>
    <w:p w14:paraId="3193C602" w14:textId="77777777" w:rsidR="002641D2" w:rsidRPr="00FA3F9C" w:rsidRDefault="002641D2" w:rsidP="00A8198A">
      <w:pPr>
        <w:ind w:left="-1080" w:right="-1170"/>
        <w:rPr>
          <w:rFonts w:ascii="Arial" w:hAnsi="Arial" w:cs="Arial"/>
          <w:sz w:val="24"/>
          <w:szCs w:val="24"/>
        </w:rPr>
      </w:pPr>
      <w:r w:rsidRPr="00FA3F9C">
        <w:rPr>
          <w:rFonts w:ascii="Arial" w:hAnsi="Arial" w:cs="Arial"/>
          <w:sz w:val="24"/>
          <w:szCs w:val="24"/>
        </w:rPr>
        <w:t xml:space="preserve">1.  Smolen JS, </w:t>
      </w:r>
      <w:proofErr w:type="spellStart"/>
      <w:r w:rsidRPr="00FA3F9C">
        <w:rPr>
          <w:rFonts w:ascii="Arial" w:hAnsi="Arial" w:cs="Arial"/>
          <w:sz w:val="24"/>
          <w:szCs w:val="24"/>
        </w:rPr>
        <w:t>Landewe</w:t>
      </w:r>
      <w:proofErr w:type="spellEnd"/>
      <w:r w:rsidRPr="00FA3F9C">
        <w:rPr>
          <w:rFonts w:ascii="Arial" w:hAnsi="Arial" w:cs="Arial"/>
          <w:sz w:val="24"/>
          <w:szCs w:val="24"/>
        </w:rPr>
        <w:t xml:space="preserve"> R, </w:t>
      </w:r>
      <w:proofErr w:type="spellStart"/>
      <w:r w:rsidRPr="00FA3F9C">
        <w:rPr>
          <w:rFonts w:ascii="Arial" w:hAnsi="Arial" w:cs="Arial"/>
          <w:sz w:val="24"/>
          <w:szCs w:val="24"/>
        </w:rPr>
        <w:t>Breedveld</w:t>
      </w:r>
      <w:proofErr w:type="spellEnd"/>
      <w:r w:rsidRPr="00FA3F9C">
        <w:rPr>
          <w:rFonts w:ascii="Arial" w:hAnsi="Arial" w:cs="Arial"/>
          <w:sz w:val="24"/>
          <w:szCs w:val="24"/>
        </w:rPr>
        <w:t xml:space="preserve"> FC, et al.  EULAR recommendations for the management of RA with synthetic and biological DMARDs:  2013 update.  Ann Rheum Dis. 2014;73:492-509.</w:t>
      </w:r>
    </w:p>
    <w:p w14:paraId="0D2005F5" w14:textId="77777777" w:rsidR="002641D2" w:rsidRPr="00FA3F9C" w:rsidRDefault="002641D2" w:rsidP="00A8198A">
      <w:pPr>
        <w:ind w:left="-1080" w:right="-1170"/>
        <w:rPr>
          <w:rFonts w:ascii="Arial" w:hAnsi="Arial" w:cs="Arial"/>
          <w:sz w:val="24"/>
          <w:szCs w:val="24"/>
        </w:rPr>
      </w:pPr>
      <w:r w:rsidRPr="00FA3F9C">
        <w:rPr>
          <w:rFonts w:ascii="Arial" w:hAnsi="Arial" w:cs="Arial"/>
          <w:sz w:val="24"/>
          <w:szCs w:val="24"/>
        </w:rPr>
        <w:t>2.  Moreland LW, O’Dell JR, et al.  A randomized comparative effectiveness study of triple therapy versus etanercept plus methotrexate in early aggressive RA.  TEAR Trial.  Arthritis &amp; Rheumatism. 2012;64(9):2824-2835.</w:t>
      </w:r>
    </w:p>
    <w:p w14:paraId="20914992" w14:textId="77777777" w:rsidR="002641D2" w:rsidRPr="00FA3F9C" w:rsidRDefault="002641D2" w:rsidP="00A8198A">
      <w:pPr>
        <w:ind w:left="-1080" w:right="-1170"/>
        <w:rPr>
          <w:rFonts w:ascii="Arial" w:hAnsi="Arial" w:cs="Arial"/>
          <w:sz w:val="24"/>
          <w:szCs w:val="24"/>
        </w:rPr>
      </w:pPr>
      <w:r w:rsidRPr="00FA3F9C">
        <w:rPr>
          <w:rFonts w:ascii="Arial" w:hAnsi="Arial" w:cs="Arial"/>
          <w:sz w:val="24"/>
          <w:szCs w:val="24"/>
        </w:rPr>
        <w:t xml:space="preserve">3.  O’Dell JR, </w:t>
      </w:r>
      <w:proofErr w:type="spellStart"/>
      <w:r w:rsidRPr="00FA3F9C">
        <w:rPr>
          <w:rFonts w:ascii="Arial" w:hAnsi="Arial" w:cs="Arial"/>
          <w:sz w:val="24"/>
          <w:szCs w:val="24"/>
        </w:rPr>
        <w:t>Mikuls</w:t>
      </w:r>
      <w:proofErr w:type="spellEnd"/>
      <w:r w:rsidRPr="00FA3F9C">
        <w:rPr>
          <w:rFonts w:ascii="Arial" w:hAnsi="Arial" w:cs="Arial"/>
          <w:sz w:val="24"/>
          <w:szCs w:val="24"/>
        </w:rPr>
        <w:t xml:space="preserve"> TR, et al.  Therapies for active RA after methotrexate failure.  N </w:t>
      </w:r>
      <w:proofErr w:type="spellStart"/>
      <w:r w:rsidRPr="00FA3F9C">
        <w:rPr>
          <w:rFonts w:ascii="Arial" w:hAnsi="Arial" w:cs="Arial"/>
          <w:sz w:val="24"/>
          <w:szCs w:val="24"/>
        </w:rPr>
        <w:t>Engl</w:t>
      </w:r>
      <w:proofErr w:type="spellEnd"/>
      <w:r w:rsidRPr="00FA3F9C">
        <w:rPr>
          <w:rFonts w:ascii="Arial" w:hAnsi="Arial" w:cs="Arial"/>
          <w:sz w:val="24"/>
          <w:szCs w:val="24"/>
        </w:rPr>
        <w:t xml:space="preserve"> J Med. 2013;369:307-18.</w:t>
      </w:r>
    </w:p>
    <w:p w14:paraId="00C0170C" w14:textId="77777777" w:rsidR="002641D2" w:rsidRPr="00FA3F9C" w:rsidRDefault="002641D2" w:rsidP="00A8198A">
      <w:pPr>
        <w:ind w:left="-1080" w:right="-1170"/>
        <w:rPr>
          <w:rFonts w:ascii="Arial" w:hAnsi="Arial" w:cs="Arial"/>
          <w:sz w:val="24"/>
          <w:szCs w:val="24"/>
        </w:rPr>
      </w:pPr>
      <w:r w:rsidRPr="00FA3F9C">
        <w:rPr>
          <w:rFonts w:ascii="Arial" w:hAnsi="Arial" w:cs="Arial"/>
          <w:sz w:val="24"/>
          <w:szCs w:val="24"/>
        </w:rPr>
        <w:t xml:space="preserve">4.  Van Vollenhoven RF, </w:t>
      </w:r>
      <w:proofErr w:type="spellStart"/>
      <w:r w:rsidRPr="00FA3F9C">
        <w:rPr>
          <w:rFonts w:ascii="Arial" w:hAnsi="Arial" w:cs="Arial"/>
          <w:sz w:val="24"/>
          <w:szCs w:val="24"/>
        </w:rPr>
        <w:t>Ernestam</w:t>
      </w:r>
      <w:proofErr w:type="spellEnd"/>
      <w:r w:rsidRPr="00FA3F9C">
        <w:rPr>
          <w:rFonts w:ascii="Arial" w:hAnsi="Arial" w:cs="Arial"/>
          <w:sz w:val="24"/>
          <w:szCs w:val="24"/>
        </w:rPr>
        <w:t xml:space="preserve"> S, </w:t>
      </w:r>
      <w:proofErr w:type="spellStart"/>
      <w:r w:rsidRPr="00FA3F9C">
        <w:rPr>
          <w:rFonts w:ascii="Arial" w:hAnsi="Arial" w:cs="Arial"/>
          <w:sz w:val="24"/>
          <w:szCs w:val="24"/>
        </w:rPr>
        <w:t>Geborek</w:t>
      </w:r>
      <w:proofErr w:type="spellEnd"/>
      <w:r w:rsidRPr="00FA3F9C">
        <w:rPr>
          <w:rFonts w:ascii="Arial" w:hAnsi="Arial" w:cs="Arial"/>
          <w:sz w:val="24"/>
          <w:szCs w:val="24"/>
        </w:rPr>
        <w:t xml:space="preserve"> P, et al.  Addition of infliximab compared with addition of sulfasalazine and hydroxychloroquine to methotrexate in patients with early RA (</w:t>
      </w:r>
      <w:proofErr w:type="spellStart"/>
      <w:r w:rsidRPr="00FA3F9C">
        <w:rPr>
          <w:rFonts w:ascii="Arial" w:hAnsi="Arial" w:cs="Arial"/>
          <w:sz w:val="24"/>
          <w:szCs w:val="24"/>
        </w:rPr>
        <w:t>Swefot</w:t>
      </w:r>
      <w:proofErr w:type="spellEnd"/>
      <w:r w:rsidRPr="00FA3F9C">
        <w:rPr>
          <w:rFonts w:ascii="Arial" w:hAnsi="Arial" w:cs="Arial"/>
          <w:sz w:val="24"/>
          <w:szCs w:val="24"/>
        </w:rPr>
        <w:t xml:space="preserve"> trial):  1-y results of a randomized trial.  Lancet. 2009;374:459-66.</w:t>
      </w:r>
    </w:p>
    <w:p w14:paraId="6440D2E4" w14:textId="77777777" w:rsidR="002641D2" w:rsidRPr="00FA3F9C" w:rsidRDefault="002641D2" w:rsidP="00A8198A">
      <w:pPr>
        <w:ind w:left="-1080" w:right="-1170"/>
        <w:rPr>
          <w:rFonts w:ascii="Arial" w:hAnsi="Arial" w:cs="Arial"/>
          <w:sz w:val="24"/>
          <w:szCs w:val="24"/>
        </w:rPr>
      </w:pPr>
      <w:r w:rsidRPr="00FA3F9C">
        <w:rPr>
          <w:rFonts w:ascii="Arial" w:hAnsi="Arial" w:cs="Arial"/>
          <w:sz w:val="24"/>
          <w:szCs w:val="24"/>
        </w:rPr>
        <w:t xml:space="preserve">5.  Van Vollenhoven RF, </w:t>
      </w:r>
      <w:proofErr w:type="spellStart"/>
      <w:r w:rsidRPr="00FA3F9C">
        <w:rPr>
          <w:rFonts w:ascii="Arial" w:hAnsi="Arial" w:cs="Arial"/>
          <w:sz w:val="24"/>
          <w:szCs w:val="24"/>
        </w:rPr>
        <w:t>Geborek</w:t>
      </w:r>
      <w:proofErr w:type="spellEnd"/>
      <w:r w:rsidRPr="00FA3F9C">
        <w:rPr>
          <w:rFonts w:ascii="Arial" w:hAnsi="Arial" w:cs="Arial"/>
          <w:sz w:val="24"/>
          <w:szCs w:val="24"/>
        </w:rPr>
        <w:t xml:space="preserve"> P, </w:t>
      </w:r>
      <w:proofErr w:type="spellStart"/>
      <w:r w:rsidRPr="00FA3F9C">
        <w:rPr>
          <w:rFonts w:ascii="Arial" w:hAnsi="Arial" w:cs="Arial"/>
          <w:sz w:val="24"/>
          <w:szCs w:val="24"/>
        </w:rPr>
        <w:t>Forslind</w:t>
      </w:r>
      <w:proofErr w:type="spellEnd"/>
      <w:r w:rsidRPr="00FA3F9C">
        <w:rPr>
          <w:rFonts w:ascii="Arial" w:hAnsi="Arial" w:cs="Arial"/>
          <w:sz w:val="24"/>
          <w:szCs w:val="24"/>
        </w:rPr>
        <w:t xml:space="preserve"> K, et al.  Conventional combination treatment versus biological treatment in methotrexate-refractory early RA:  2 y follow-up of the </w:t>
      </w:r>
      <w:proofErr w:type="spellStart"/>
      <w:r w:rsidRPr="00FA3F9C">
        <w:rPr>
          <w:rFonts w:ascii="Arial" w:hAnsi="Arial" w:cs="Arial"/>
          <w:sz w:val="24"/>
          <w:szCs w:val="24"/>
        </w:rPr>
        <w:t>randomised</w:t>
      </w:r>
      <w:proofErr w:type="spellEnd"/>
      <w:r w:rsidRPr="00FA3F9C">
        <w:rPr>
          <w:rFonts w:ascii="Arial" w:hAnsi="Arial" w:cs="Arial"/>
          <w:sz w:val="24"/>
          <w:szCs w:val="24"/>
        </w:rPr>
        <w:t xml:space="preserve">, non-blinded, parallel-group </w:t>
      </w:r>
      <w:proofErr w:type="spellStart"/>
      <w:r w:rsidRPr="00FA3F9C">
        <w:rPr>
          <w:rFonts w:ascii="Arial" w:hAnsi="Arial" w:cs="Arial"/>
          <w:sz w:val="24"/>
          <w:szCs w:val="24"/>
        </w:rPr>
        <w:t>Swefot</w:t>
      </w:r>
      <w:proofErr w:type="spellEnd"/>
      <w:r w:rsidRPr="00FA3F9C">
        <w:rPr>
          <w:rFonts w:ascii="Arial" w:hAnsi="Arial" w:cs="Arial"/>
          <w:sz w:val="24"/>
          <w:szCs w:val="24"/>
        </w:rPr>
        <w:t xml:space="preserve"> trial.  Lancet. 2012;379:1712-20.</w:t>
      </w:r>
    </w:p>
    <w:p w14:paraId="25E76320" w14:textId="77777777" w:rsidR="002641D2" w:rsidRPr="00FA3F9C" w:rsidRDefault="002641D2" w:rsidP="00A8198A">
      <w:pPr>
        <w:ind w:left="-1080" w:right="-1170"/>
        <w:rPr>
          <w:rFonts w:ascii="Arial" w:hAnsi="Arial" w:cs="Arial"/>
          <w:sz w:val="24"/>
          <w:szCs w:val="24"/>
        </w:rPr>
      </w:pPr>
      <w:r w:rsidRPr="00FA3F9C">
        <w:rPr>
          <w:rFonts w:ascii="Arial" w:hAnsi="Arial" w:cs="Arial"/>
          <w:sz w:val="24"/>
          <w:szCs w:val="24"/>
        </w:rPr>
        <w:t xml:space="preserve">6.  </w:t>
      </w:r>
      <w:proofErr w:type="spellStart"/>
      <w:r w:rsidRPr="00FA3F9C">
        <w:rPr>
          <w:rFonts w:ascii="Arial" w:hAnsi="Arial" w:cs="Arial"/>
          <w:sz w:val="24"/>
          <w:szCs w:val="24"/>
        </w:rPr>
        <w:t>Bathon</w:t>
      </w:r>
      <w:proofErr w:type="spellEnd"/>
      <w:r w:rsidRPr="00FA3F9C">
        <w:rPr>
          <w:rFonts w:ascii="Arial" w:hAnsi="Arial" w:cs="Arial"/>
          <w:sz w:val="24"/>
          <w:szCs w:val="24"/>
        </w:rPr>
        <w:t xml:space="preserve"> JM, McMahon DJ.  Making rational treatment decisions in RA when methotrexate fails.  N </w:t>
      </w:r>
      <w:proofErr w:type="spellStart"/>
      <w:r w:rsidRPr="00FA3F9C">
        <w:rPr>
          <w:rFonts w:ascii="Arial" w:hAnsi="Arial" w:cs="Arial"/>
          <w:sz w:val="24"/>
          <w:szCs w:val="24"/>
        </w:rPr>
        <w:t>Engl</w:t>
      </w:r>
      <w:proofErr w:type="spellEnd"/>
      <w:r w:rsidRPr="00FA3F9C">
        <w:rPr>
          <w:rFonts w:ascii="Arial" w:hAnsi="Arial" w:cs="Arial"/>
          <w:sz w:val="24"/>
          <w:szCs w:val="24"/>
        </w:rPr>
        <w:t xml:space="preserve"> J Med. 369;4:384-85.</w:t>
      </w:r>
    </w:p>
    <w:p w14:paraId="38D28FF4" w14:textId="77777777" w:rsidR="002641D2" w:rsidRPr="00FA3F9C" w:rsidRDefault="002641D2" w:rsidP="00A8198A">
      <w:pPr>
        <w:ind w:left="-1080"/>
        <w:rPr>
          <w:rFonts w:ascii="Arial" w:hAnsi="Arial" w:cs="Arial"/>
          <w:b/>
          <w:sz w:val="24"/>
          <w:szCs w:val="24"/>
        </w:rPr>
      </w:pPr>
      <w:r w:rsidRPr="00FA3F9C">
        <w:rPr>
          <w:rFonts w:ascii="Arial" w:hAnsi="Arial" w:cs="Arial"/>
          <w:sz w:val="24"/>
          <w:szCs w:val="24"/>
          <w:highlight w:val="yellow"/>
        </w:rPr>
        <w:t xml:space="preserve">7. </w:t>
      </w:r>
      <w:r w:rsidRPr="00FA3F9C">
        <w:rPr>
          <w:rFonts w:ascii="Arial" w:hAnsi="Arial" w:cs="Arial"/>
          <w:color w:val="222222"/>
          <w:sz w:val="24"/>
          <w:szCs w:val="24"/>
          <w:highlight w:val="yellow"/>
          <w:shd w:val="clear" w:color="auto" w:fill="F8F8F8"/>
        </w:rPr>
        <w:t xml:space="preserve"> Singh, </w:t>
      </w:r>
      <w:proofErr w:type="spellStart"/>
      <w:r w:rsidRPr="00FA3F9C">
        <w:rPr>
          <w:rFonts w:ascii="Arial" w:hAnsi="Arial" w:cs="Arial"/>
          <w:color w:val="222222"/>
          <w:sz w:val="24"/>
          <w:szCs w:val="24"/>
          <w:highlight w:val="yellow"/>
          <w:shd w:val="clear" w:color="auto" w:fill="F8F8F8"/>
        </w:rPr>
        <w:t>Jasvinder</w:t>
      </w:r>
      <w:proofErr w:type="spellEnd"/>
      <w:r w:rsidRPr="00FA3F9C">
        <w:rPr>
          <w:rFonts w:ascii="Arial" w:hAnsi="Arial" w:cs="Arial"/>
          <w:color w:val="222222"/>
          <w:sz w:val="24"/>
          <w:szCs w:val="24"/>
          <w:highlight w:val="yellow"/>
          <w:shd w:val="clear" w:color="auto" w:fill="F8F8F8"/>
        </w:rPr>
        <w:t xml:space="preserve"> A., et al. "2015 American College of Rheumatology guideline for the treatment of rheumatoid arthritis." </w:t>
      </w:r>
      <w:r w:rsidRPr="00FA3F9C">
        <w:rPr>
          <w:rFonts w:ascii="Arial" w:hAnsi="Arial" w:cs="Arial"/>
          <w:i/>
          <w:iCs/>
          <w:color w:val="222222"/>
          <w:sz w:val="24"/>
          <w:szCs w:val="24"/>
          <w:highlight w:val="yellow"/>
          <w:shd w:val="clear" w:color="auto" w:fill="F8F8F8"/>
        </w:rPr>
        <w:t>Arthritis &amp; rheumatology</w:t>
      </w:r>
      <w:r w:rsidRPr="00FA3F9C">
        <w:rPr>
          <w:rFonts w:ascii="Arial" w:hAnsi="Arial" w:cs="Arial"/>
          <w:color w:val="222222"/>
          <w:sz w:val="24"/>
          <w:szCs w:val="24"/>
          <w:highlight w:val="yellow"/>
          <w:shd w:val="clear" w:color="auto" w:fill="F8F8F8"/>
        </w:rPr>
        <w:t> 68.1 (2016): 1-26.</w:t>
      </w:r>
    </w:p>
    <w:p w14:paraId="00E94881" w14:textId="77777777" w:rsidR="002641D2" w:rsidRPr="00FA3F9C" w:rsidRDefault="002641D2" w:rsidP="00C56636">
      <w:pPr>
        <w:jc w:val="center"/>
        <w:rPr>
          <w:rFonts w:ascii="Arial" w:hAnsi="Arial" w:cs="Arial"/>
          <w:b/>
          <w:sz w:val="24"/>
          <w:szCs w:val="24"/>
        </w:rPr>
      </w:pPr>
    </w:p>
    <w:tbl>
      <w:tblPr>
        <w:tblW w:w="1089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7830"/>
        <w:gridCol w:w="1980"/>
      </w:tblGrid>
      <w:tr w:rsidR="002641D2" w:rsidRPr="00FA3F9C" w14:paraId="7A23C9E8" w14:textId="77777777" w:rsidTr="00817E10">
        <w:tc>
          <w:tcPr>
            <w:tcW w:w="1080" w:type="dxa"/>
            <w:shd w:val="clear" w:color="auto" w:fill="auto"/>
          </w:tcPr>
          <w:p w14:paraId="108F2D92" w14:textId="77777777" w:rsidR="002641D2" w:rsidRPr="00FA3F9C" w:rsidRDefault="002641D2" w:rsidP="00817E10">
            <w:pPr>
              <w:jc w:val="center"/>
              <w:rPr>
                <w:rFonts w:ascii="Arial" w:hAnsi="Arial" w:cs="Arial"/>
                <w:b/>
                <w:sz w:val="24"/>
                <w:szCs w:val="24"/>
              </w:rPr>
            </w:pPr>
            <w:r w:rsidRPr="00FA3F9C">
              <w:rPr>
                <w:rFonts w:ascii="Arial" w:hAnsi="Arial" w:cs="Arial"/>
                <w:b/>
                <w:sz w:val="24"/>
                <w:szCs w:val="24"/>
              </w:rPr>
              <w:t>Date</w:t>
            </w:r>
          </w:p>
        </w:tc>
        <w:tc>
          <w:tcPr>
            <w:tcW w:w="7830" w:type="dxa"/>
            <w:shd w:val="clear" w:color="auto" w:fill="auto"/>
          </w:tcPr>
          <w:p w14:paraId="5FD3F010" w14:textId="77777777" w:rsidR="002641D2" w:rsidRPr="00FA3F9C" w:rsidRDefault="002641D2" w:rsidP="00817E10">
            <w:pPr>
              <w:jc w:val="center"/>
              <w:rPr>
                <w:rFonts w:ascii="Arial" w:hAnsi="Arial" w:cs="Arial"/>
                <w:b/>
                <w:sz w:val="24"/>
                <w:szCs w:val="24"/>
              </w:rPr>
            </w:pPr>
            <w:r w:rsidRPr="00FA3F9C">
              <w:rPr>
                <w:rFonts w:ascii="Arial" w:hAnsi="Arial" w:cs="Arial"/>
                <w:b/>
                <w:sz w:val="24"/>
                <w:szCs w:val="24"/>
              </w:rPr>
              <w:t>Update</w:t>
            </w:r>
          </w:p>
        </w:tc>
        <w:tc>
          <w:tcPr>
            <w:tcW w:w="1980" w:type="dxa"/>
            <w:shd w:val="clear" w:color="auto" w:fill="auto"/>
          </w:tcPr>
          <w:p w14:paraId="60AD79BA" w14:textId="77777777" w:rsidR="002641D2" w:rsidRPr="00FA3F9C" w:rsidRDefault="002641D2" w:rsidP="00817E10">
            <w:pPr>
              <w:jc w:val="center"/>
              <w:rPr>
                <w:rFonts w:ascii="Arial" w:hAnsi="Arial" w:cs="Arial"/>
                <w:b/>
                <w:sz w:val="24"/>
                <w:szCs w:val="24"/>
              </w:rPr>
            </w:pPr>
            <w:r w:rsidRPr="00FA3F9C">
              <w:rPr>
                <w:rFonts w:ascii="Arial" w:hAnsi="Arial" w:cs="Arial"/>
                <w:b/>
                <w:sz w:val="24"/>
                <w:szCs w:val="24"/>
              </w:rPr>
              <w:t>Pharmacist’s initials</w:t>
            </w:r>
          </w:p>
        </w:tc>
      </w:tr>
      <w:tr w:rsidR="002641D2" w:rsidRPr="00FA3F9C" w14:paraId="7B1D1BBB" w14:textId="77777777" w:rsidTr="00817E10">
        <w:tc>
          <w:tcPr>
            <w:tcW w:w="1080" w:type="dxa"/>
            <w:shd w:val="clear" w:color="auto" w:fill="auto"/>
          </w:tcPr>
          <w:p w14:paraId="4A05B45A" w14:textId="77777777" w:rsidR="002641D2" w:rsidRPr="00FA3F9C" w:rsidRDefault="002641D2" w:rsidP="00817E10">
            <w:pPr>
              <w:rPr>
                <w:rFonts w:ascii="Arial" w:hAnsi="Arial" w:cs="Arial"/>
                <w:b/>
                <w:sz w:val="24"/>
                <w:szCs w:val="24"/>
              </w:rPr>
            </w:pPr>
            <w:r w:rsidRPr="00FA3F9C">
              <w:rPr>
                <w:rFonts w:ascii="Arial" w:hAnsi="Arial" w:cs="Arial"/>
                <w:b/>
                <w:sz w:val="24"/>
                <w:szCs w:val="24"/>
              </w:rPr>
              <w:t>4/22/14</w:t>
            </w:r>
          </w:p>
        </w:tc>
        <w:tc>
          <w:tcPr>
            <w:tcW w:w="7830" w:type="dxa"/>
            <w:shd w:val="clear" w:color="auto" w:fill="auto"/>
          </w:tcPr>
          <w:p w14:paraId="57E4D043" w14:textId="77777777" w:rsidR="002641D2" w:rsidRPr="00FA3F9C" w:rsidRDefault="002641D2" w:rsidP="00817E10">
            <w:pPr>
              <w:rPr>
                <w:rFonts w:ascii="Arial" w:hAnsi="Arial" w:cs="Arial"/>
                <w:b/>
                <w:sz w:val="24"/>
                <w:szCs w:val="24"/>
              </w:rPr>
            </w:pPr>
            <w:r w:rsidRPr="00FA3F9C">
              <w:rPr>
                <w:rFonts w:ascii="Arial" w:hAnsi="Arial" w:cs="Arial"/>
                <w:b/>
                <w:sz w:val="24"/>
                <w:szCs w:val="24"/>
              </w:rPr>
              <w:t>RA criteria were updated to require combination DMARD prior to access to biologics</w:t>
            </w:r>
          </w:p>
        </w:tc>
        <w:tc>
          <w:tcPr>
            <w:tcW w:w="1980" w:type="dxa"/>
            <w:shd w:val="clear" w:color="auto" w:fill="auto"/>
          </w:tcPr>
          <w:p w14:paraId="001685F1" w14:textId="77777777" w:rsidR="002641D2" w:rsidRPr="00FA3F9C" w:rsidRDefault="002641D2" w:rsidP="00817E10">
            <w:pPr>
              <w:rPr>
                <w:rFonts w:ascii="Arial" w:hAnsi="Arial" w:cs="Arial"/>
                <w:b/>
                <w:sz w:val="24"/>
                <w:szCs w:val="24"/>
              </w:rPr>
            </w:pPr>
            <w:r w:rsidRPr="00FA3F9C">
              <w:rPr>
                <w:rFonts w:ascii="Arial" w:hAnsi="Arial" w:cs="Arial"/>
                <w:b/>
                <w:sz w:val="24"/>
                <w:szCs w:val="24"/>
              </w:rPr>
              <w:t>JJ</w:t>
            </w:r>
          </w:p>
        </w:tc>
      </w:tr>
      <w:tr w:rsidR="002641D2" w:rsidRPr="00FA3F9C" w14:paraId="5E03584C" w14:textId="77777777" w:rsidTr="00817E10">
        <w:tc>
          <w:tcPr>
            <w:tcW w:w="1080" w:type="dxa"/>
            <w:shd w:val="clear" w:color="auto" w:fill="auto"/>
          </w:tcPr>
          <w:p w14:paraId="26BDC315" w14:textId="77777777" w:rsidR="002641D2" w:rsidRPr="00FA3F9C" w:rsidRDefault="002641D2" w:rsidP="00A8198A">
            <w:pPr>
              <w:rPr>
                <w:rFonts w:ascii="Arial" w:hAnsi="Arial" w:cs="Arial"/>
                <w:b/>
                <w:sz w:val="24"/>
                <w:szCs w:val="24"/>
              </w:rPr>
            </w:pPr>
            <w:r w:rsidRPr="00FA3F9C">
              <w:rPr>
                <w:rFonts w:ascii="Arial" w:hAnsi="Arial" w:cs="Arial"/>
                <w:b/>
                <w:sz w:val="24"/>
                <w:szCs w:val="24"/>
              </w:rPr>
              <w:t>6/24/18</w:t>
            </w:r>
          </w:p>
        </w:tc>
        <w:tc>
          <w:tcPr>
            <w:tcW w:w="7830" w:type="dxa"/>
            <w:shd w:val="clear" w:color="auto" w:fill="auto"/>
          </w:tcPr>
          <w:p w14:paraId="58F1BE57" w14:textId="77777777" w:rsidR="002641D2" w:rsidRPr="00FA3F9C" w:rsidRDefault="002641D2" w:rsidP="00817E10">
            <w:pPr>
              <w:rPr>
                <w:rFonts w:ascii="Arial" w:hAnsi="Arial" w:cs="Arial"/>
                <w:b/>
                <w:sz w:val="24"/>
                <w:szCs w:val="24"/>
              </w:rPr>
            </w:pPr>
            <w:r w:rsidRPr="00FA3F9C">
              <w:rPr>
                <w:rFonts w:ascii="Arial" w:hAnsi="Arial" w:cs="Arial"/>
                <w:b/>
                <w:sz w:val="24"/>
                <w:szCs w:val="24"/>
              </w:rPr>
              <w:t>I updated the criteria to incorporate the 2015 ACR Guidelines.  I added ref 7.</w:t>
            </w:r>
          </w:p>
        </w:tc>
        <w:tc>
          <w:tcPr>
            <w:tcW w:w="1980" w:type="dxa"/>
            <w:shd w:val="clear" w:color="auto" w:fill="auto"/>
          </w:tcPr>
          <w:p w14:paraId="4D1FF4E8" w14:textId="77777777" w:rsidR="002641D2" w:rsidRPr="00FA3F9C" w:rsidRDefault="002641D2" w:rsidP="00817E10">
            <w:pPr>
              <w:rPr>
                <w:rFonts w:ascii="Arial" w:hAnsi="Arial" w:cs="Arial"/>
                <w:b/>
                <w:sz w:val="24"/>
                <w:szCs w:val="24"/>
              </w:rPr>
            </w:pPr>
            <w:r w:rsidRPr="00FA3F9C">
              <w:rPr>
                <w:rFonts w:ascii="Arial" w:hAnsi="Arial" w:cs="Arial"/>
                <w:b/>
                <w:sz w:val="24"/>
                <w:szCs w:val="24"/>
              </w:rPr>
              <w:t>JJ</w:t>
            </w:r>
          </w:p>
        </w:tc>
      </w:tr>
      <w:tr w:rsidR="002641D2" w:rsidRPr="00FA3F9C" w14:paraId="15F0C83B" w14:textId="77777777" w:rsidTr="00817E10">
        <w:tc>
          <w:tcPr>
            <w:tcW w:w="1080" w:type="dxa"/>
            <w:shd w:val="clear" w:color="auto" w:fill="auto"/>
          </w:tcPr>
          <w:p w14:paraId="415F4AA7" w14:textId="77777777" w:rsidR="002641D2" w:rsidRPr="00FA3F9C" w:rsidRDefault="002641D2" w:rsidP="00A8198A">
            <w:pPr>
              <w:rPr>
                <w:rFonts w:ascii="Arial" w:hAnsi="Arial" w:cs="Arial"/>
                <w:b/>
                <w:sz w:val="24"/>
                <w:szCs w:val="24"/>
              </w:rPr>
            </w:pPr>
            <w:r w:rsidRPr="00FA3F9C">
              <w:rPr>
                <w:rFonts w:ascii="Arial" w:hAnsi="Arial" w:cs="Arial"/>
                <w:b/>
                <w:sz w:val="24"/>
                <w:szCs w:val="24"/>
              </w:rPr>
              <w:t>4/22/21</w:t>
            </w:r>
          </w:p>
        </w:tc>
        <w:tc>
          <w:tcPr>
            <w:tcW w:w="7830" w:type="dxa"/>
            <w:shd w:val="clear" w:color="auto" w:fill="auto"/>
          </w:tcPr>
          <w:p w14:paraId="7FBFC9D9" w14:textId="77777777" w:rsidR="002641D2" w:rsidRPr="00FA3F9C" w:rsidRDefault="002641D2" w:rsidP="00817E10">
            <w:pPr>
              <w:rPr>
                <w:rFonts w:ascii="Arial" w:hAnsi="Arial" w:cs="Arial"/>
                <w:b/>
                <w:sz w:val="24"/>
                <w:szCs w:val="24"/>
              </w:rPr>
            </w:pPr>
            <w:r w:rsidRPr="00FA3F9C">
              <w:rPr>
                <w:rFonts w:ascii="Arial" w:hAnsi="Arial" w:cs="Arial"/>
                <w:b/>
                <w:sz w:val="24"/>
                <w:szCs w:val="24"/>
              </w:rPr>
              <w:t xml:space="preserve">I added </w:t>
            </w:r>
            <w:proofErr w:type="spellStart"/>
            <w:r w:rsidRPr="00FA3F9C">
              <w:rPr>
                <w:rFonts w:ascii="Arial" w:hAnsi="Arial" w:cs="Arial"/>
                <w:b/>
                <w:sz w:val="24"/>
                <w:szCs w:val="24"/>
              </w:rPr>
              <w:t>upadacitinib</w:t>
            </w:r>
            <w:proofErr w:type="spellEnd"/>
            <w:r w:rsidRPr="00FA3F9C">
              <w:rPr>
                <w:rFonts w:ascii="Arial" w:hAnsi="Arial" w:cs="Arial"/>
                <w:b/>
                <w:sz w:val="24"/>
                <w:szCs w:val="24"/>
              </w:rPr>
              <w:t xml:space="preserve"> and sarilumab to the RA criteria.  UAS uses MI standard therapy for this PA, not the above criteria.</w:t>
            </w:r>
          </w:p>
        </w:tc>
        <w:tc>
          <w:tcPr>
            <w:tcW w:w="1980" w:type="dxa"/>
            <w:shd w:val="clear" w:color="auto" w:fill="auto"/>
          </w:tcPr>
          <w:p w14:paraId="7BAF7A39" w14:textId="77777777" w:rsidR="002641D2" w:rsidRPr="00FA3F9C" w:rsidRDefault="002641D2" w:rsidP="00817E10">
            <w:pPr>
              <w:rPr>
                <w:rFonts w:ascii="Arial" w:hAnsi="Arial" w:cs="Arial"/>
                <w:b/>
                <w:sz w:val="24"/>
                <w:szCs w:val="24"/>
              </w:rPr>
            </w:pPr>
            <w:r w:rsidRPr="00FA3F9C">
              <w:rPr>
                <w:rFonts w:ascii="Arial" w:hAnsi="Arial" w:cs="Arial"/>
                <w:b/>
                <w:sz w:val="24"/>
                <w:szCs w:val="24"/>
              </w:rPr>
              <w:t>JJ</w:t>
            </w:r>
          </w:p>
        </w:tc>
      </w:tr>
    </w:tbl>
    <w:p w14:paraId="513E4C16" w14:textId="77777777" w:rsidR="002641D2" w:rsidRPr="00FA3F9C" w:rsidRDefault="002641D2" w:rsidP="00817E10">
      <w:pPr>
        <w:rPr>
          <w:rFonts w:ascii="Arial" w:hAnsi="Arial" w:cs="Arial"/>
          <w:vanish/>
          <w:sz w:val="24"/>
          <w:szCs w:val="24"/>
        </w:rPr>
      </w:pPr>
    </w:p>
    <w:tbl>
      <w:tblPr>
        <w:tblW w:w="10980" w:type="dxa"/>
        <w:tblInd w:w="-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0"/>
        <w:gridCol w:w="2610"/>
        <w:gridCol w:w="2700"/>
        <w:gridCol w:w="1080"/>
        <w:gridCol w:w="1710"/>
        <w:gridCol w:w="90"/>
      </w:tblGrid>
      <w:tr w:rsidR="002641D2" w:rsidRPr="00FA3F9C" w14:paraId="50828614" w14:textId="77777777" w:rsidTr="00C00451">
        <w:tc>
          <w:tcPr>
            <w:tcW w:w="10980" w:type="dxa"/>
            <w:gridSpan w:val="6"/>
            <w:tcBorders>
              <w:top w:val="thinThickSmallGap" w:sz="24" w:space="0" w:color="auto"/>
              <w:left w:val="thinThickSmallGap" w:sz="24" w:space="0" w:color="auto"/>
              <w:bottom w:val="thinThickSmallGap" w:sz="24" w:space="0" w:color="auto"/>
              <w:right w:val="thinThickSmallGap" w:sz="24" w:space="0" w:color="auto"/>
            </w:tcBorders>
          </w:tcPr>
          <w:p w14:paraId="5DF9BADD" w14:textId="77777777" w:rsidR="002641D2" w:rsidRPr="00FA3F9C" w:rsidRDefault="002641D2">
            <w:pPr>
              <w:rPr>
                <w:rFonts w:ascii="Arial" w:hAnsi="Arial" w:cs="Arial"/>
                <w:sz w:val="24"/>
                <w:szCs w:val="24"/>
              </w:rPr>
            </w:pPr>
            <w:r w:rsidRPr="00FA3F9C">
              <w:rPr>
                <w:rFonts w:ascii="Arial" w:hAnsi="Arial" w:cs="Arial"/>
                <w:b/>
                <w:sz w:val="24"/>
                <w:szCs w:val="24"/>
              </w:rPr>
              <w:t>Juvenile Idiopathic Arthritis (previously known as JRA)</w:t>
            </w:r>
          </w:p>
        </w:tc>
      </w:tr>
      <w:tr w:rsidR="002641D2" w:rsidRPr="00FA3F9C" w14:paraId="575249E7" w14:textId="77777777" w:rsidTr="00C00451">
        <w:tc>
          <w:tcPr>
            <w:tcW w:w="10980" w:type="dxa"/>
            <w:gridSpan w:val="6"/>
            <w:tcBorders>
              <w:top w:val="thinThickSmallGap" w:sz="24" w:space="0" w:color="auto"/>
            </w:tcBorders>
            <w:shd w:val="pct20" w:color="auto" w:fill="auto"/>
          </w:tcPr>
          <w:p w14:paraId="3A5E8648" w14:textId="77777777" w:rsidR="002641D2" w:rsidRPr="00FA3F9C" w:rsidRDefault="002641D2" w:rsidP="008200A4">
            <w:pPr>
              <w:rPr>
                <w:rFonts w:ascii="Arial" w:hAnsi="Arial" w:cs="Arial"/>
                <w:sz w:val="24"/>
                <w:szCs w:val="24"/>
              </w:rPr>
            </w:pPr>
            <w:r w:rsidRPr="00FA3F9C">
              <w:rPr>
                <w:rFonts w:ascii="Arial" w:hAnsi="Arial" w:cs="Arial"/>
                <w:sz w:val="24"/>
                <w:szCs w:val="24"/>
              </w:rPr>
              <w:t>⁭ Etanercept (Enbrel</w:t>
            </w:r>
            <w:r w:rsidRPr="00FA3F9C">
              <w:rPr>
                <w:rFonts w:ascii="Arial" w:hAnsi="Arial" w:cs="Arial"/>
                <w:sz w:val="24"/>
                <w:szCs w:val="24"/>
                <w:vertAlign w:val="superscript"/>
              </w:rPr>
              <w:t>®</w:t>
            </w:r>
            <w:r w:rsidRPr="00FA3F9C">
              <w:rPr>
                <w:rFonts w:ascii="Arial" w:hAnsi="Arial" w:cs="Arial"/>
                <w:sz w:val="24"/>
                <w:szCs w:val="24"/>
              </w:rPr>
              <w:t>)-</w:t>
            </w:r>
            <w:proofErr w:type="spellStart"/>
            <w:r w:rsidRPr="00FA3F9C">
              <w:rPr>
                <w:rFonts w:ascii="Arial" w:hAnsi="Arial" w:cs="Arial"/>
                <w:sz w:val="24"/>
                <w:szCs w:val="24"/>
              </w:rPr>
              <w:t>TNFaI</w:t>
            </w:r>
            <w:proofErr w:type="spellEnd"/>
            <w:r w:rsidRPr="00FA3F9C">
              <w:rPr>
                <w:rFonts w:ascii="Arial" w:hAnsi="Arial" w:cs="Arial"/>
                <w:sz w:val="24"/>
                <w:szCs w:val="24"/>
              </w:rPr>
              <w:t>,   ⁭ Adalimumab (Humira</w:t>
            </w:r>
            <w:r w:rsidRPr="00FA3F9C">
              <w:rPr>
                <w:rFonts w:ascii="Arial" w:hAnsi="Arial" w:cs="Arial"/>
                <w:sz w:val="24"/>
                <w:szCs w:val="24"/>
                <w:vertAlign w:val="superscript"/>
              </w:rPr>
              <w:t>®</w:t>
            </w:r>
            <w:r w:rsidRPr="00FA3F9C">
              <w:rPr>
                <w:rFonts w:ascii="Arial" w:hAnsi="Arial" w:cs="Arial"/>
                <w:sz w:val="24"/>
                <w:szCs w:val="24"/>
              </w:rPr>
              <w:t>)-</w:t>
            </w:r>
            <w:proofErr w:type="spellStart"/>
            <w:r w:rsidRPr="00FA3F9C">
              <w:rPr>
                <w:rFonts w:ascii="Arial" w:hAnsi="Arial" w:cs="Arial"/>
                <w:sz w:val="24"/>
                <w:szCs w:val="24"/>
              </w:rPr>
              <w:t>TNFaI</w:t>
            </w:r>
            <w:proofErr w:type="spellEnd"/>
            <w:r w:rsidRPr="00FA3F9C">
              <w:rPr>
                <w:rFonts w:ascii="Arial" w:hAnsi="Arial" w:cs="Arial"/>
                <w:sz w:val="24"/>
                <w:szCs w:val="24"/>
              </w:rPr>
              <w:t>,   ⁭ *Infliximab (Remicade</w:t>
            </w:r>
            <w:r w:rsidRPr="00FA3F9C">
              <w:rPr>
                <w:rFonts w:ascii="Arial" w:hAnsi="Arial" w:cs="Arial"/>
                <w:sz w:val="24"/>
                <w:szCs w:val="24"/>
                <w:vertAlign w:val="superscript"/>
              </w:rPr>
              <w:t>®</w:t>
            </w:r>
            <w:r w:rsidRPr="00FA3F9C">
              <w:rPr>
                <w:rFonts w:ascii="Arial" w:hAnsi="Arial" w:cs="Arial"/>
                <w:sz w:val="24"/>
                <w:szCs w:val="24"/>
              </w:rPr>
              <w:t>)-</w:t>
            </w:r>
            <w:proofErr w:type="spellStart"/>
            <w:r w:rsidRPr="00FA3F9C">
              <w:rPr>
                <w:rFonts w:ascii="Arial" w:hAnsi="Arial" w:cs="Arial"/>
                <w:sz w:val="24"/>
                <w:szCs w:val="24"/>
              </w:rPr>
              <w:t>TNFaI</w:t>
            </w:r>
            <w:proofErr w:type="spellEnd"/>
            <w:r w:rsidRPr="00FA3F9C">
              <w:rPr>
                <w:rFonts w:ascii="Arial" w:hAnsi="Arial" w:cs="Arial"/>
                <w:sz w:val="24"/>
                <w:szCs w:val="24"/>
              </w:rPr>
              <w:t xml:space="preserve"> --must be used w/ methotrexate, ⁭ anakinra (Kineret), ⁭ infliximab-</w:t>
            </w:r>
            <w:proofErr w:type="spellStart"/>
            <w:r w:rsidRPr="00FA3F9C">
              <w:rPr>
                <w:rFonts w:ascii="Arial" w:hAnsi="Arial" w:cs="Arial"/>
                <w:sz w:val="24"/>
                <w:szCs w:val="24"/>
              </w:rPr>
              <w:t>abda</w:t>
            </w:r>
            <w:proofErr w:type="spellEnd"/>
            <w:r w:rsidRPr="00FA3F9C">
              <w:rPr>
                <w:rFonts w:ascii="Arial" w:hAnsi="Arial" w:cs="Arial"/>
                <w:sz w:val="24"/>
                <w:szCs w:val="24"/>
              </w:rPr>
              <w:t xml:space="preserve"> (</w:t>
            </w:r>
            <w:proofErr w:type="spellStart"/>
            <w:r w:rsidRPr="00FA3F9C">
              <w:rPr>
                <w:rFonts w:ascii="Arial" w:hAnsi="Arial" w:cs="Arial"/>
                <w:sz w:val="24"/>
                <w:szCs w:val="24"/>
              </w:rPr>
              <w:t>Renflexis</w:t>
            </w:r>
            <w:proofErr w:type="spellEnd"/>
            <w:r w:rsidRPr="00FA3F9C">
              <w:rPr>
                <w:rFonts w:ascii="Arial" w:hAnsi="Arial" w:cs="Arial"/>
                <w:sz w:val="24"/>
                <w:szCs w:val="24"/>
              </w:rPr>
              <w:t>)</w:t>
            </w:r>
          </w:p>
        </w:tc>
      </w:tr>
      <w:tr w:rsidR="002641D2" w:rsidRPr="00FA3F9C" w14:paraId="7FD337AE" w14:textId="77777777" w:rsidTr="00C967BC">
        <w:tc>
          <w:tcPr>
            <w:tcW w:w="9180" w:type="dxa"/>
            <w:gridSpan w:val="4"/>
          </w:tcPr>
          <w:p w14:paraId="0AEA0348" w14:textId="77777777" w:rsidR="002641D2" w:rsidRPr="00FA3F9C" w:rsidRDefault="002641D2" w:rsidP="002641D2">
            <w:pPr>
              <w:numPr>
                <w:ilvl w:val="0"/>
                <w:numId w:val="263"/>
              </w:numPr>
              <w:spacing w:after="0" w:line="240" w:lineRule="auto"/>
              <w:rPr>
                <w:rFonts w:ascii="Arial" w:hAnsi="Arial" w:cs="Arial"/>
                <w:sz w:val="24"/>
                <w:szCs w:val="24"/>
              </w:rPr>
            </w:pPr>
            <w:r w:rsidRPr="00FA3F9C">
              <w:rPr>
                <w:rFonts w:ascii="Arial" w:hAnsi="Arial" w:cs="Arial"/>
                <w:sz w:val="24"/>
                <w:szCs w:val="24"/>
              </w:rPr>
              <w:t>Does the patient have the diagnosis of juvenile idiopathic arthritis?</w:t>
            </w:r>
          </w:p>
        </w:tc>
        <w:tc>
          <w:tcPr>
            <w:tcW w:w="1800" w:type="dxa"/>
            <w:gridSpan w:val="2"/>
          </w:tcPr>
          <w:p w14:paraId="4E8C84E6" w14:textId="77777777" w:rsidR="002641D2" w:rsidRPr="00FA3F9C" w:rsidRDefault="002641D2" w:rsidP="008200A4">
            <w:pPr>
              <w:jc w:val="center"/>
              <w:rPr>
                <w:rFonts w:ascii="Arial" w:hAnsi="Arial" w:cs="Arial"/>
                <w:sz w:val="24"/>
                <w:szCs w:val="24"/>
              </w:rPr>
            </w:pPr>
            <w:r w:rsidRPr="00FA3F9C">
              <w:rPr>
                <w:rFonts w:ascii="Arial" w:hAnsi="Arial" w:cs="Arial"/>
                <w:sz w:val="24"/>
                <w:szCs w:val="24"/>
              </w:rPr>
              <w:t>⁭ Yes  ⁭ No</w:t>
            </w:r>
          </w:p>
        </w:tc>
      </w:tr>
      <w:tr w:rsidR="002641D2" w:rsidRPr="00FA3F9C" w14:paraId="76A7198F" w14:textId="77777777" w:rsidTr="00C967BC">
        <w:tc>
          <w:tcPr>
            <w:tcW w:w="9180" w:type="dxa"/>
            <w:gridSpan w:val="4"/>
          </w:tcPr>
          <w:p w14:paraId="650BFD07" w14:textId="77777777" w:rsidR="002641D2" w:rsidRPr="00FA3F9C" w:rsidRDefault="002641D2" w:rsidP="002641D2">
            <w:pPr>
              <w:numPr>
                <w:ilvl w:val="0"/>
                <w:numId w:val="263"/>
              </w:numPr>
              <w:spacing w:after="0" w:line="240" w:lineRule="auto"/>
              <w:rPr>
                <w:rFonts w:ascii="Arial" w:hAnsi="Arial" w:cs="Arial"/>
                <w:sz w:val="24"/>
                <w:szCs w:val="24"/>
              </w:rPr>
            </w:pPr>
            <w:r w:rsidRPr="00FA3F9C">
              <w:rPr>
                <w:rFonts w:ascii="Arial" w:hAnsi="Arial" w:cs="Arial"/>
                <w:sz w:val="24"/>
                <w:szCs w:val="24"/>
              </w:rPr>
              <w:t>Has the patient received glucocorticoid joint injections and at least 3 months of methotrexate or leflunomide at the maximum tolerated typical dose?</w:t>
            </w:r>
          </w:p>
          <w:p w14:paraId="17F6E843" w14:textId="77777777" w:rsidR="002641D2" w:rsidRPr="00FA3F9C" w:rsidRDefault="002641D2" w:rsidP="00DF4070">
            <w:pPr>
              <w:ind w:left="720"/>
              <w:rPr>
                <w:rFonts w:ascii="Arial" w:hAnsi="Arial" w:cs="Arial"/>
                <w:sz w:val="24"/>
                <w:szCs w:val="24"/>
              </w:rPr>
            </w:pPr>
            <w:r w:rsidRPr="00FA3F9C">
              <w:rPr>
                <w:rFonts w:ascii="Arial" w:hAnsi="Arial" w:cs="Arial"/>
                <w:sz w:val="24"/>
                <w:szCs w:val="24"/>
              </w:rPr>
              <w:t>OR</w:t>
            </w:r>
          </w:p>
          <w:p w14:paraId="76390956" w14:textId="77777777" w:rsidR="002641D2" w:rsidRPr="00FA3F9C" w:rsidRDefault="002641D2" w:rsidP="00CC3AE4">
            <w:pPr>
              <w:ind w:left="720"/>
              <w:rPr>
                <w:rFonts w:ascii="Arial" w:hAnsi="Arial" w:cs="Arial"/>
                <w:sz w:val="24"/>
                <w:szCs w:val="24"/>
              </w:rPr>
            </w:pPr>
            <w:r w:rsidRPr="00FA3F9C">
              <w:rPr>
                <w:rFonts w:ascii="Arial" w:hAnsi="Arial" w:cs="Arial"/>
                <w:sz w:val="24"/>
                <w:szCs w:val="24"/>
              </w:rPr>
              <w:t xml:space="preserve">Has the patient, specifically with </w:t>
            </w:r>
            <w:proofErr w:type="spellStart"/>
            <w:r w:rsidRPr="00FA3F9C">
              <w:rPr>
                <w:rFonts w:ascii="Arial" w:hAnsi="Arial" w:cs="Arial"/>
                <w:sz w:val="24"/>
                <w:szCs w:val="24"/>
              </w:rPr>
              <w:t>enthesitis</w:t>
            </w:r>
            <w:proofErr w:type="spellEnd"/>
            <w:r w:rsidRPr="00FA3F9C">
              <w:rPr>
                <w:rFonts w:ascii="Arial" w:hAnsi="Arial" w:cs="Arial"/>
                <w:sz w:val="24"/>
                <w:szCs w:val="24"/>
              </w:rPr>
              <w:t xml:space="preserve"> </w:t>
            </w:r>
            <w:r w:rsidRPr="00FA3F9C">
              <w:rPr>
                <w:rFonts w:ascii="Arial" w:hAnsi="Arial" w:cs="Arial"/>
                <w:b/>
                <w:sz w:val="24"/>
                <w:szCs w:val="24"/>
              </w:rPr>
              <w:t>(inflammation where tendons or ligaments connect with the bone)</w:t>
            </w:r>
            <w:r w:rsidRPr="00FA3F9C">
              <w:rPr>
                <w:rFonts w:ascii="Arial" w:hAnsi="Arial" w:cs="Arial"/>
                <w:sz w:val="24"/>
                <w:szCs w:val="24"/>
              </w:rPr>
              <w:t>-related arthritis, received glucocorticoid joint injections and an adequate trial of sulfasalazine?</w:t>
            </w:r>
          </w:p>
          <w:p w14:paraId="05280E86" w14:textId="77777777" w:rsidR="002641D2" w:rsidRPr="00FA3F9C" w:rsidRDefault="002641D2" w:rsidP="00CC3AE4">
            <w:pPr>
              <w:ind w:left="720"/>
              <w:rPr>
                <w:rFonts w:ascii="Arial" w:hAnsi="Arial" w:cs="Arial"/>
                <w:sz w:val="24"/>
                <w:szCs w:val="24"/>
              </w:rPr>
            </w:pPr>
            <w:r w:rsidRPr="00FA3F9C">
              <w:rPr>
                <w:rFonts w:ascii="Arial" w:hAnsi="Arial" w:cs="Arial"/>
                <w:sz w:val="24"/>
                <w:szCs w:val="24"/>
              </w:rPr>
              <w:t xml:space="preserve">OR </w:t>
            </w:r>
          </w:p>
          <w:p w14:paraId="6CC1DBE8" w14:textId="77777777" w:rsidR="002641D2" w:rsidRPr="00FA3F9C" w:rsidRDefault="002641D2" w:rsidP="00CC3AE4">
            <w:pPr>
              <w:ind w:left="720"/>
              <w:rPr>
                <w:rFonts w:ascii="Arial" w:hAnsi="Arial" w:cs="Arial"/>
                <w:sz w:val="24"/>
                <w:szCs w:val="24"/>
              </w:rPr>
            </w:pPr>
            <w:r w:rsidRPr="00FA3F9C">
              <w:rPr>
                <w:rFonts w:ascii="Arial" w:hAnsi="Arial" w:cs="Arial"/>
                <w:sz w:val="24"/>
                <w:szCs w:val="24"/>
              </w:rPr>
              <w:t>Has the patient received an adequate trial of NSAIDS and have sacroiliac arthritis?</w:t>
            </w:r>
          </w:p>
        </w:tc>
        <w:tc>
          <w:tcPr>
            <w:tcW w:w="1800" w:type="dxa"/>
            <w:gridSpan w:val="2"/>
          </w:tcPr>
          <w:p w14:paraId="641E3A15" w14:textId="77777777" w:rsidR="002641D2" w:rsidRPr="00FA3F9C" w:rsidRDefault="002641D2" w:rsidP="008200A4">
            <w:pPr>
              <w:jc w:val="center"/>
              <w:rPr>
                <w:rFonts w:ascii="Arial" w:hAnsi="Arial" w:cs="Arial"/>
                <w:sz w:val="24"/>
                <w:szCs w:val="24"/>
              </w:rPr>
            </w:pPr>
            <w:r w:rsidRPr="00FA3F9C">
              <w:rPr>
                <w:rFonts w:ascii="Arial" w:hAnsi="Arial" w:cs="Arial"/>
                <w:sz w:val="24"/>
                <w:szCs w:val="24"/>
              </w:rPr>
              <w:t>⁭ Yes  ⁭ No</w:t>
            </w:r>
          </w:p>
        </w:tc>
      </w:tr>
      <w:tr w:rsidR="002641D2" w:rsidRPr="00FA3F9C" w14:paraId="1735E896" w14:textId="77777777" w:rsidTr="00C967BC">
        <w:tc>
          <w:tcPr>
            <w:tcW w:w="9180" w:type="dxa"/>
            <w:gridSpan w:val="4"/>
            <w:shd w:val="pct20" w:color="auto" w:fill="auto"/>
          </w:tcPr>
          <w:p w14:paraId="038C6C4D" w14:textId="77777777" w:rsidR="002641D2" w:rsidRPr="00FA3F9C" w:rsidRDefault="002641D2" w:rsidP="008200A4">
            <w:pPr>
              <w:ind w:left="360"/>
              <w:rPr>
                <w:rFonts w:ascii="Arial" w:hAnsi="Arial" w:cs="Arial"/>
                <w:sz w:val="24"/>
                <w:szCs w:val="24"/>
              </w:rPr>
            </w:pPr>
            <w:r w:rsidRPr="00FA3F9C">
              <w:rPr>
                <w:rFonts w:ascii="Arial" w:hAnsi="Arial" w:cs="Arial"/>
                <w:sz w:val="24"/>
                <w:szCs w:val="24"/>
              </w:rPr>
              <w:lastRenderedPageBreak/>
              <w:t>Abatacept (Orencia</w:t>
            </w:r>
            <w:r w:rsidRPr="00FA3F9C">
              <w:rPr>
                <w:rFonts w:ascii="Arial" w:hAnsi="Arial" w:cs="Arial"/>
                <w:sz w:val="24"/>
                <w:szCs w:val="24"/>
                <w:vertAlign w:val="superscript"/>
              </w:rPr>
              <w:t>®</w:t>
            </w:r>
            <w:r w:rsidRPr="00FA3F9C">
              <w:rPr>
                <w:rFonts w:ascii="Arial" w:hAnsi="Arial" w:cs="Arial"/>
                <w:sz w:val="24"/>
                <w:szCs w:val="24"/>
              </w:rPr>
              <w:t>) Criteria (should apply the above criteria as well as the following:)</w:t>
            </w:r>
          </w:p>
        </w:tc>
        <w:tc>
          <w:tcPr>
            <w:tcW w:w="1800" w:type="dxa"/>
            <w:gridSpan w:val="2"/>
            <w:shd w:val="pct20" w:color="auto" w:fill="auto"/>
          </w:tcPr>
          <w:p w14:paraId="3D23886F" w14:textId="77777777" w:rsidR="002641D2" w:rsidRPr="00FA3F9C" w:rsidRDefault="002641D2" w:rsidP="00CC3AE4">
            <w:pPr>
              <w:rPr>
                <w:rFonts w:ascii="Arial" w:hAnsi="Arial" w:cs="Arial"/>
                <w:sz w:val="24"/>
                <w:szCs w:val="24"/>
              </w:rPr>
            </w:pPr>
          </w:p>
        </w:tc>
      </w:tr>
      <w:tr w:rsidR="002641D2" w:rsidRPr="00FA3F9C" w14:paraId="2DAFFC63" w14:textId="77777777" w:rsidTr="00C967BC">
        <w:tc>
          <w:tcPr>
            <w:tcW w:w="9180" w:type="dxa"/>
            <w:gridSpan w:val="4"/>
            <w:tcBorders>
              <w:bottom w:val="single" w:sz="4" w:space="0" w:color="auto"/>
            </w:tcBorders>
          </w:tcPr>
          <w:p w14:paraId="0A28894E" w14:textId="77777777" w:rsidR="002641D2" w:rsidRPr="00FA3F9C" w:rsidRDefault="002641D2" w:rsidP="008200A4">
            <w:pPr>
              <w:ind w:left="360"/>
              <w:rPr>
                <w:rFonts w:ascii="Arial" w:hAnsi="Arial" w:cs="Arial"/>
                <w:sz w:val="24"/>
                <w:szCs w:val="24"/>
              </w:rPr>
            </w:pPr>
            <w:r w:rsidRPr="00FA3F9C">
              <w:rPr>
                <w:rFonts w:ascii="Arial" w:hAnsi="Arial" w:cs="Arial"/>
                <w:sz w:val="24"/>
                <w:szCs w:val="24"/>
              </w:rPr>
              <w:t xml:space="preserve">3.  Has the JIA patient received more than one </w:t>
            </w:r>
            <w:proofErr w:type="spellStart"/>
            <w:r w:rsidRPr="00FA3F9C">
              <w:rPr>
                <w:rFonts w:ascii="Arial" w:hAnsi="Arial" w:cs="Arial"/>
                <w:sz w:val="24"/>
                <w:szCs w:val="24"/>
              </w:rPr>
              <w:t>TNFaI</w:t>
            </w:r>
            <w:proofErr w:type="spellEnd"/>
            <w:r w:rsidRPr="00FA3F9C">
              <w:rPr>
                <w:rFonts w:ascii="Arial" w:hAnsi="Arial" w:cs="Arial"/>
                <w:sz w:val="24"/>
                <w:szCs w:val="24"/>
              </w:rPr>
              <w:t xml:space="preserve"> sequentially and is now seeking to switch therapy due to high disease activity?</w:t>
            </w:r>
          </w:p>
        </w:tc>
        <w:tc>
          <w:tcPr>
            <w:tcW w:w="1800" w:type="dxa"/>
            <w:gridSpan w:val="2"/>
            <w:tcBorders>
              <w:bottom w:val="single" w:sz="4" w:space="0" w:color="auto"/>
            </w:tcBorders>
          </w:tcPr>
          <w:p w14:paraId="50281B66" w14:textId="77777777" w:rsidR="002641D2" w:rsidRPr="00FA3F9C" w:rsidRDefault="002641D2" w:rsidP="008200A4">
            <w:pPr>
              <w:jc w:val="center"/>
              <w:rPr>
                <w:rFonts w:ascii="Arial" w:hAnsi="Arial" w:cs="Arial"/>
                <w:sz w:val="24"/>
                <w:szCs w:val="24"/>
              </w:rPr>
            </w:pPr>
            <w:r w:rsidRPr="00FA3F9C">
              <w:rPr>
                <w:rFonts w:ascii="Arial" w:hAnsi="Arial" w:cs="Arial"/>
                <w:sz w:val="24"/>
                <w:szCs w:val="24"/>
              </w:rPr>
              <w:t>⁭ Yes  ⁭ No</w:t>
            </w:r>
          </w:p>
        </w:tc>
      </w:tr>
      <w:tr w:rsidR="002641D2" w:rsidRPr="00FA3F9C" w14:paraId="1912B976" w14:textId="77777777" w:rsidTr="00C967BC">
        <w:tc>
          <w:tcPr>
            <w:tcW w:w="9180" w:type="dxa"/>
            <w:gridSpan w:val="4"/>
            <w:shd w:val="pct20" w:color="auto" w:fill="auto"/>
          </w:tcPr>
          <w:p w14:paraId="53721DC2" w14:textId="77777777" w:rsidR="002641D2" w:rsidRPr="00FA3F9C" w:rsidRDefault="002641D2" w:rsidP="008200A4">
            <w:pPr>
              <w:ind w:left="360"/>
              <w:rPr>
                <w:rFonts w:ascii="Arial" w:hAnsi="Arial" w:cs="Arial"/>
                <w:sz w:val="24"/>
                <w:szCs w:val="24"/>
              </w:rPr>
            </w:pPr>
            <w:r w:rsidRPr="00FA3F9C">
              <w:rPr>
                <w:rFonts w:ascii="Arial" w:hAnsi="Arial" w:cs="Arial"/>
                <w:sz w:val="24"/>
                <w:szCs w:val="24"/>
              </w:rPr>
              <w:t>Rituximab (Rituxan</w:t>
            </w:r>
            <w:r w:rsidRPr="00FA3F9C">
              <w:rPr>
                <w:rFonts w:ascii="Arial" w:hAnsi="Arial" w:cs="Arial"/>
                <w:sz w:val="24"/>
                <w:szCs w:val="24"/>
                <w:vertAlign w:val="superscript"/>
              </w:rPr>
              <w:t>®</w:t>
            </w:r>
            <w:r w:rsidRPr="00FA3F9C">
              <w:rPr>
                <w:rFonts w:ascii="Arial" w:hAnsi="Arial" w:cs="Arial"/>
                <w:sz w:val="24"/>
                <w:szCs w:val="24"/>
              </w:rPr>
              <w:t>) Criteria (should have fulfilled the above criteria 1-3 and the following:)</w:t>
            </w:r>
          </w:p>
        </w:tc>
        <w:tc>
          <w:tcPr>
            <w:tcW w:w="1800" w:type="dxa"/>
            <w:gridSpan w:val="2"/>
            <w:shd w:val="pct20" w:color="auto" w:fill="auto"/>
          </w:tcPr>
          <w:p w14:paraId="5BEC735E" w14:textId="77777777" w:rsidR="002641D2" w:rsidRPr="00FA3F9C" w:rsidRDefault="002641D2" w:rsidP="009D77CE">
            <w:pPr>
              <w:rPr>
                <w:rFonts w:ascii="Arial" w:hAnsi="Arial" w:cs="Arial"/>
                <w:sz w:val="24"/>
                <w:szCs w:val="24"/>
              </w:rPr>
            </w:pPr>
          </w:p>
        </w:tc>
      </w:tr>
      <w:tr w:rsidR="002641D2" w:rsidRPr="00FA3F9C" w14:paraId="0DDDCD63" w14:textId="77777777" w:rsidTr="00C967BC">
        <w:tc>
          <w:tcPr>
            <w:tcW w:w="9180" w:type="dxa"/>
            <w:gridSpan w:val="4"/>
          </w:tcPr>
          <w:p w14:paraId="7E61B550" w14:textId="77777777" w:rsidR="002641D2" w:rsidRPr="00FA3F9C" w:rsidRDefault="002641D2" w:rsidP="002641D2">
            <w:pPr>
              <w:numPr>
                <w:ilvl w:val="0"/>
                <w:numId w:val="269"/>
              </w:numPr>
              <w:spacing w:after="0" w:line="240" w:lineRule="auto"/>
              <w:rPr>
                <w:rFonts w:ascii="Arial" w:hAnsi="Arial" w:cs="Arial"/>
                <w:sz w:val="24"/>
                <w:szCs w:val="24"/>
              </w:rPr>
            </w:pPr>
            <w:r w:rsidRPr="00FA3F9C">
              <w:rPr>
                <w:rFonts w:ascii="Arial" w:hAnsi="Arial" w:cs="Arial"/>
                <w:sz w:val="24"/>
                <w:szCs w:val="24"/>
              </w:rPr>
              <w:t xml:space="preserve">Has the JIA patient received more than one </w:t>
            </w:r>
            <w:proofErr w:type="spellStart"/>
            <w:r w:rsidRPr="00FA3F9C">
              <w:rPr>
                <w:rFonts w:ascii="Arial" w:hAnsi="Arial" w:cs="Arial"/>
                <w:sz w:val="24"/>
                <w:szCs w:val="24"/>
              </w:rPr>
              <w:t>TNFaI</w:t>
            </w:r>
            <w:proofErr w:type="spellEnd"/>
            <w:r w:rsidRPr="00FA3F9C">
              <w:rPr>
                <w:rFonts w:ascii="Arial" w:hAnsi="Arial" w:cs="Arial"/>
                <w:sz w:val="24"/>
                <w:szCs w:val="24"/>
              </w:rPr>
              <w:t xml:space="preserve"> sequentially, then abatacept, and still have high disease activity, AND test positive for RF?</w:t>
            </w:r>
          </w:p>
        </w:tc>
        <w:tc>
          <w:tcPr>
            <w:tcW w:w="1800" w:type="dxa"/>
            <w:gridSpan w:val="2"/>
          </w:tcPr>
          <w:p w14:paraId="0575A8EA" w14:textId="77777777" w:rsidR="002641D2" w:rsidRPr="00FA3F9C" w:rsidRDefault="002641D2" w:rsidP="008200A4">
            <w:pPr>
              <w:jc w:val="center"/>
              <w:rPr>
                <w:rFonts w:ascii="Arial" w:hAnsi="Arial" w:cs="Arial"/>
                <w:sz w:val="24"/>
                <w:szCs w:val="24"/>
              </w:rPr>
            </w:pPr>
            <w:r w:rsidRPr="00FA3F9C">
              <w:rPr>
                <w:rFonts w:ascii="Arial" w:hAnsi="Arial" w:cs="Arial"/>
                <w:sz w:val="24"/>
                <w:szCs w:val="24"/>
              </w:rPr>
              <w:t>⁭ Yes  ⁭ No</w:t>
            </w:r>
          </w:p>
        </w:tc>
      </w:tr>
      <w:tr w:rsidR="002641D2" w:rsidRPr="00FA3F9C" w14:paraId="20C29CEC" w14:textId="77777777" w:rsidTr="00C00451">
        <w:tc>
          <w:tcPr>
            <w:tcW w:w="10980" w:type="dxa"/>
            <w:gridSpan w:val="6"/>
          </w:tcPr>
          <w:p w14:paraId="111D012C" w14:textId="77777777" w:rsidR="002641D2" w:rsidRPr="00FA3F9C" w:rsidRDefault="002641D2" w:rsidP="00314E47">
            <w:pPr>
              <w:rPr>
                <w:rFonts w:ascii="Arial" w:hAnsi="Arial" w:cs="Arial"/>
                <w:sz w:val="24"/>
                <w:szCs w:val="24"/>
              </w:rPr>
            </w:pPr>
            <w:r w:rsidRPr="00FA3F9C">
              <w:rPr>
                <w:rFonts w:ascii="Arial" w:hAnsi="Arial" w:cs="Arial"/>
                <w:sz w:val="24"/>
                <w:szCs w:val="24"/>
              </w:rPr>
              <w:t xml:space="preserve">*Infliximab must be used with methotrexate due to the recognized potential for MTX </w:t>
            </w:r>
            <w:r w:rsidRPr="00FA3F9C">
              <w:rPr>
                <w:rFonts w:ascii="Arial" w:hAnsi="Arial" w:cs="Arial"/>
                <w:color w:val="231F20"/>
                <w:sz w:val="24"/>
                <w:szCs w:val="24"/>
              </w:rPr>
              <w:t>to reduce the incidence of neutralizing antibodies to infliximab and consistent with the labeling of infliximab.</w:t>
            </w:r>
          </w:p>
        </w:tc>
      </w:tr>
      <w:tr w:rsidR="002641D2" w:rsidRPr="00FA3F9C" w14:paraId="72F076AD" w14:textId="77777777" w:rsidTr="00C00451">
        <w:tc>
          <w:tcPr>
            <w:tcW w:w="10980" w:type="dxa"/>
            <w:gridSpan w:val="6"/>
          </w:tcPr>
          <w:p w14:paraId="650ADC74" w14:textId="77777777" w:rsidR="002641D2" w:rsidRPr="00FA3F9C" w:rsidRDefault="002641D2" w:rsidP="008200A4">
            <w:pPr>
              <w:autoSpaceDE w:val="0"/>
              <w:autoSpaceDN w:val="0"/>
              <w:adjustRightInd w:val="0"/>
              <w:rPr>
                <w:rFonts w:ascii="Arial" w:hAnsi="Arial" w:cs="Arial"/>
                <w:bCs/>
                <w:color w:val="231F20"/>
                <w:sz w:val="24"/>
                <w:szCs w:val="24"/>
              </w:rPr>
            </w:pPr>
            <w:proofErr w:type="spellStart"/>
            <w:r w:rsidRPr="00FA3F9C">
              <w:rPr>
                <w:rFonts w:ascii="Arial" w:hAnsi="Arial" w:cs="Arial"/>
                <w:sz w:val="24"/>
                <w:szCs w:val="24"/>
              </w:rPr>
              <w:t>Beukelman</w:t>
            </w:r>
            <w:proofErr w:type="spellEnd"/>
            <w:r w:rsidRPr="00FA3F9C">
              <w:rPr>
                <w:rFonts w:ascii="Arial" w:hAnsi="Arial" w:cs="Arial"/>
                <w:sz w:val="24"/>
                <w:szCs w:val="24"/>
              </w:rPr>
              <w:t xml:space="preserve"> T, Patkar NM, Saag KG, </w:t>
            </w:r>
            <w:proofErr w:type="spellStart"/>
            <w:r w:rsidRPr="00FA3F9C">
              <w:rPr>
                <w:rFonts w:ascii="Arial" w:hAnsi="Arial" w:cs="Arial"/>
                <w:sz w:val="24"/>
                <w:szCs w:val="24"/>
              </w:rPr>
              <w:t>Toleson</w:t>
            </w:r>
            <w:proofErr w:type="spellEnd"/>
            <w:r w:rsidRPr="00FA3F9C">
              <w:rPr>
                <w:rFonts w:ascii="Arial" w:hAnsi="Arial" w:cs="Arial"/>
                <w:sz w:val="24"/>
                <w:szCs w:val="24"/>
              </w:rPr>
              <w:t xml:space="preserve">-Rinehart S, et al.  </w:t>
            </w:r>
            <w:r w:rsidRPr="00FA3F9C">
              <w:rPr>
                <w:rFonts w:ascii="Arial" w:hAnsi="Arial" w:cs="Arial"/>
                <w:bCs/>
                <w:color w:val="231F20"/>
                <w:sz w:val="24"/>
                <w:szCs w:val="24"/>
              </w:rPr>
              <w:t>2011 American College of Rheumatology Recommendations for the Treatment of Juvenile</w:t>
            </w:r>
          </w:p>
          <w:p w14:paraId="6CB83C5C" w14:textId="77777777" w:rsidR="002641D2" w:rsidRPr="00FA3F9C" w:rsidRDefault="002641D2" w:rsidP="008200A4">
            <w:pPr>
              <w:autoSpaceDE w:val="0"/>
              <w:autoSpaceDN w:val="0"/>
              <w:adjustRightInd w:val="0"/>
              <w:rPr>
                <w:rFonts w:ascii="Arial" w:hAnsi="Arial" w:cs="Arial"/>
                <w:sz w:val="24"/>
                <w:szCs w:val="24"/>
              </w:rPr>
            </w:pPr>
            <w:r w:rsidRPr="00FA3F9C">
              <w:rPr>
                <w:rFonts w:ascii="Arial" w:hAnsi="Arial" w:cs="Arial"/>
                <w:bCs/>
                <w:color w:val="231F20"/>
                <w:sz w:val="24"/>
                <w:szCs w:val="24"/>
              </w:rPr>
              <w:t xml:space="preserve">Idiopathic Arthritis: Initiation and Safety Monitoring of Therapeutic Agents for the Treatment of Arthritis and Systemic Features.  </w:t>
            </w:r>
            <w:r w:rsidRPr="00FA3F9C">
              <w:rPr>
                <w:rFonts w:ascii="Arial" w:hAnsi="Arial" w:cs="Arial"/>
                <w:i/>
                <w:color w:val="231F20"/>
                <w:sz w:val="24"/>
                <w:szCs w:val="24"/>
              </w:rPr>
              <w:t>Arthritis Care &amp; Research</w:t>
            </w:r>
            <w:r w:rsidRPr="00FA3F9C">
              <w:rPr>
                <w:rFonts w:ascii="Arial" w:hAnsi="Arial" w:cs="Arial"/>
                <w:color w:val="231F20"/>
                <w:sz w:val="24"/>
                <w:szCs w:val="24"/>
              </w:rPr>
              <w:t>.  2011(April);63(4):465–482.</w:t>
            </w:r>
          </w:p>
        </w:tc>
      </w:tr>
      <w:tr w:rsidR="002641D2" w:rsidRPr="00FA3F9C" w14:paraId="0DFE1279" w14:textId="77777777" w:rsidTr="00C00451">
        <w:tc>
          <w:tcPr>
            <w:tcW w:w="10980" w:type="dxa"/>
            <w:gridSpan w:val="6"/>
            <w:tcBorders>
              <w:top w:val="thinThickSmallGap" w:sz="24" w:space="0" w:color="auto"/>
              <w:left w:val="thinThickSmallGap" w:sz="24" w:space="0" w:color="auto"/>
              <w:bottom w:val="thinThickSmallGap" w:sz="24" w:space="0" w:color="auto"/>
              <w:right w:val="thinThickSmallGap" w:sz="24" w:space="0" w:color="auto"/>
            </w:tcBorders>
          </w:tcPr>
          <w:p w14:paraId="0E05C25D" w14:textId="77777777" w:rsidR="002641D2" w:rsidRPr="00FA3F9C" w:rsidRDefault="002641D2">
            <w:pPr>
              <w:rPr>
                <w:rFonts w:ascii="Arial" w:hAnsi="Arial" w:cs="Arial"/>
                <w:sz w:val="24"/>
                <w:szCs w:val="24"/>
              </w:rPr>
            </w:pPr>
            <w:r w:rsidRPr="00FA3F9C">
              <w:rPr>
                <w:rFonts w:ascii="Arial" w:hAnsi="Arial" w:cs="Arial"/>
                <w:b/>
                <w:sz w:val="24"/>
                <w:szCs w:val="24"/>
              </w:rPr>
              <w:t>Ankylosing Spondylitis</w:t>
            </w:r>
          </w:p>
        </w:tc>
      </w:tr>
      <w:tr w:rsidR="002641D2" w:rsidRPr="00FA3F9C" w14:paraId="0A556D3A" w14:textId="77777777" w:rsidTr="00C00451">
        <w:tc>
          <w:tcPr>
            <w:tcW w:w="10980" w:type="dxa"/>
            <w:gridSpan w:val="6"/>
            <w:tcBorders>
              <w:top w:val="thinThickSmallGap" w:sz="24" w:space="0" w:color="auto"/>
            </w:tcBorders>
            <w:shd w:val="clear" w:color="auto" w:fill="D9D9D9"/>
          </w:tcPr>
          <w:p w14:paraId="671777A2" w14:textId="77777777" w:rsidR="002641D2" w:rsidRPr="00FA3F9C" w:rsidRDefault="002641D2" w:rsidP="00ED67F1">
            <w:pPr>
              <w:rPr>
                <w:rFonts w:ascii="Arial" w:hAnsi="Arial" w:cs="Arial"/>
                <w:sz w:val="24"/>
                <w:szCs w:val="24"/>
              </w:rPr>
            </w:pPr>
            <w:r w:rsidRPr="00FA3F9C">
              <w:rPr>
                <w:rFonts w:ascii="Arial" w:hAnsi="Arial" w:cs="Arial"/>
                <w:sz w:val="24"/>
                <w:szCs w:val="24"/>
              </w:rPr>
              <w:t>⁭ Adalimumab (Humira</w:t>
            </w:r>
            <w:r w:rsidRPr="00FA3F9C">
              <w:rPr>
                <w:rFonts w:ascii="Arial" w:hAnsi="Arial" w:cs="Arial"/>
                <w:sz w:val="24"/>
                <w:szCs w:val="24"/>
                <w:vertAlign w:val="superscript"/>
              </w:rPr>
              <w:t>®</w:t>
            </w:r>
            <w:r w:rsidRPr="00FA3F9C">
              <w:rPr>
                <w:rFonts w:ascii="Arial" w:hAnsi="Arial" w:cs="Arial"/>
                <w:sz w:val="24"/>
                <w:szCs w:val="24"/>
              </w:rPr>
              <w:t>)     ⁭ Etanercept (Enbrel</w:t>
            </w:r>
            <w:r w:rsidRPr="00FA3F9C">
              <w:rPr>
                <w:rFonts w:ascii="Arial" w:hAnsi="Arial" w:cs="Arial"/>
                <w:sz w:val="24"/>
                <w:szCs w:val="24"/>
                <w:vertAlign w:val="superscript"/>
              </w:rPr>
              <w:t>®</w:t>
            </w:r>
            <w:r w:rsidRPr="00FA3F9C">
              <w:rPr>
                <w:rFonts w:ascii="Arial" w:hAnsi="Arial" w:cs="Arial"/>
                <w:sz w:val="24"/>
                <w:szCs w:val="24"/>
              </w:rPr>
              <w:t>)        ⁭ Golimumab (Simponi</w:t>
            </w:r>
            <w:r w:rsidRPr="00FA3F9C">
              <w:rPr>
                <w:rFonts w:ascii="Arial" w:hAnsi="Arial" w:cs="Arial"/>
                <w:sz w:val="24"/>
                <w:szCs w:val="24"/>
                <w:vertAlign w:val="superscript"/>
              </w:rPr>
              <w:t>®</w:t>
            </w:r>
            <w:r w:rsidRPr="00FA3F9C">
              <w:rPr>
                <w:rFonts w:ascii="Arial" w:hAnsi="Arial" w:cs="Arial"/>
                <w:sz w:val="24"/>
                <w:szCs w:val="24"/>
              </w:rPr>
              <w:t>)€      ⁭Certolizumab (Cimzia</w:t>
            </w:r>
            <w:r w:rsidRPr="00FA3F9C">
              <w:rPr>
                <w:rFonts w:ascii="Arial" w:hAnsi="Arial" w:cs="Arial"/>
                <w:sz w:val="24"/>
                <w:szCs w:val="24"/>
                <w:vertAlign w:val="superscript"/>
              </w:rPr>
              <w:t>®</w:t>
            </w:r>
            <w:r w:rsidRPr="00FA3F9C">
              <w:rPr>
                <w:rFonts w:ascii="Arial" w:hAnsi="Arial" w:cs="Arial"/>
                <w:sz w:val="24"/>
                <w:szCs w:val="24"/>
              </w:rPr>
              <w:t xml:space="preserve">)  ⁭ </w:t>
            </w:r>
            <w:proofErr w:type="spellStart"/>
            <w:r w:rsidRPr="00FA3F9C">
              <w:rPr>
                <w:rFonts w:ascii="Arial" w:hAnsi="Arial" w:cs="Arial"/>
                <w:sz w:val="24"/>
                <w:szCs w:val="24"/>
              </w:rPr>
              <w:t>Secukinumab</w:t>
            </w:r>
            <w:proofErr w:type="spellEnd"/>
            <w:r w:rsidRPr="00FA3F9C">
              <w:rPr>
                <w:rFonts w:ascii="Arial" w:hAnsi="Arial" w:cs="Arial"/>
                <w:sz w:val="24"/>
                <w:szCs w:val="24"/>
              </w:rPr>
              <w:t xml:space="preserve"> (Cosentyx</w:t>
            </w:r>
            <w:r w:rsidRPr="00FA3F9C">
              <w:rPr>
                <w:rFonts w:ascii="Arial" w:hAnsi="Arial" w:cs="Arial"/>
                <w:sz w:val="24"/>
                <w:szCs w:val="24"/>
                <w:vertAlign w:val="superscript"/>
              </w:rPr>
              <w:t>®</w:t>
            </w:r>
            <w:r w:rsidRPr="00FA3F9C">
              <w:rPr>
                <w:rFonts w:ascii="Arial" w:hAnsi="Arial" w:cs="Arial"/>
                <w:sz w:val="24"/>
                <w:szCs w:val="24"/>
              </w:rPr>
              <w:t>)     ⁭ Infliximab (Remicade</w:t>
            </w:r>
            <w:r w:rsidRPr="00FA3F9C">
              <w:rPr>
                <w:rFonts w:ascii="Arial" w:hAnsi="Arial" w:cs="Arial"/>
                <w:sz w:val="24"/>
                <w:szCs w:val="24"/>
                <w:vertAlign w:val="superscript"/>
              </w:rPr>
              <w:t>®</w:t>
            </w:r>
            <w:r w:rsidRPr="00FA3F9C">
              <w:rPr>
                <w:rFonts w:ascii="Arial" w:hAnsi="Arial" w:cs="Arial"/>
                <w:sz w:val="24"/>
                <w:szCs w:val="24"/>
              </w:rPr>
              <w:t>)—no new starts; only allow if currently receiving.</w:t>
            </w:r>
          </w:p>
        </w:tc>
      </w:tr>
      <w:tr w:rsidR="002641D2" w:rsidRPr="00FA3F9C" w14:paraId="1C1E9D82" w14:textId="77777777" w:rsidTr="00C967BC">
        <w:tc>
          <w:tcPr>
            <w:tcW w:w="9180" w:type="dxa"/>
            <w:gridSpan w:val="4"/>
          </w:tcPr>
          <w:p w14:paraId="0A4C08B7" w14:textId="77777777" w:rsidR="002641D2" w:rsidRPr="00FA3F9C" w:rsidRDefault="002641D2" w:rsidP="002641D2">
            <w:pPr>
              <w:numPr>
                <w:ilvl w:val="0"/>
                <w:numId w:val="264"/>
              </w:numPr>
              <w:spacing w:after="0" w:line="240" w:lineRule="auto"/>
              <w:rPr>
                <w:rFonts w:ascii="Arial" w:hAnsi="Arial" w:cs="Arial"/>
                <w:sz w:val="24"/>
                <w:szCs w:val="24"/>
              </w:rPr>
            </w:pPr>
            <w:r w:rsidRPr="00FA3F9C">
              <w:rPr>
                <w:rFonts w:ascii="Arial" w:hAnsi="Arial" w:cs="Arial"/>
                <w:sz w:val="24"/>
                <w:szCs w:val="24"/>
              </w:rPr>
              <w:t>Does the patient have the diagnosis of active ankylosing spondylitis?</w:t>
            </w:r>
          </w:p>
        </w:tc>
        <w:tc>
          <w:tcPr>
            <w:tcW w:w="1800" w:type="dxa"/>
            <w:gridSpan w:val="2"/>
          </w:tcPr>
          <w:p w14:paraId="21F70244" w14:textId="77777777" w:rsidR="002641D2" w:rsidRPr="00FA3F9C" w:rsidRDefault="002641D2" w:rsidP="00B04F17">
            <w:pPr>
              <w:jc w:val="center"/>
              <w:rPr>
                <w:rFonts w:ascii="Arial" w:hAnsi="Arial" w:cs="Arial"/>
                <w:sz w:val="24"/>
                <w:szCs w:val="24"/>
              </w:rPr>
            </w:pPr>
            <w:r w:rsidRPr="00FA3F9C">
              <w:rPr>
                <w:rFonts w:ascii="Arial" w:hAnsi="Arial" w:cs="Arial"/>
                <w:sz w:val="24"/>
                <w:szCs w:val="24"/>
              </w:rPr>
              <w:t>⁭ Yes  ⁭ No</w:t>
            </w:r>
          </w:p>
        </w:tc>
      </w:tr>
      <w:tr w:rsidR="002641D2" w:rsidRPr="00FA3F9C" w14:paraId="581061EE" w14:textId="77777777" w:rsidTr="00C967BC">
        <w:tc>
          <w:tcPr>
            <w:tcW w:w="9180" w:type="dxa"/>
            <w:gridSpan w:val="4"/>
          </w:tcPr>
          <w:p w14:paraId="5D8D3D8C" w14:textId="77777777" w:rsidR="002641D2" w:rsidRPr="00FA3F9C" w:rsidRDefault="002641D2" w:rsidP="002641D2">
            <w:pPr>
              <w:numPr>
                <w:ilvl w:val="0"/>
                <w:numId w:val="264"/>
              </w:numPr>
              <w:spacing w:after="0" w:line="240" w:lineRule="auto"/>
              <w:rPr>
                <w:rFonts w:ascii="Arial" w:hAnsi="Arial" w:cs="Arial"/>
                <w:sz w:val="24"/>
                <w:szCs w:val="24"/>
              </w:rPr>
            </w:pPr>
            <w:r w:rsidRPr="00FA3F9C">
              <w:rPr>
                <w:rFonts w:ascii="Arial" w:hAnsi="Arial" w:cs="Arial"/>
                <w:sz w:val="24"/>
                <w:szCs w:val="24"/>
              </w:rPr>
              <w:t>Has the patient failed a trial of 2 NSAIDS? Sequential NSAID trials should be 1 month in length and be optimally dosed.</w:t>
            </w:r>
          </w:p>
        </w:tc>
        <w:tc>
          <w:tcPr>
            <w:tcW w:w="1800" w:type="dxa"/>
            <w:gridSpan w:val="2"/>
          </w:tcPr>
          <w:p w14:paraId="0E7EFBFA" w14:textId="77777777" w:rsidR="002641D2" w:rsidRPr="00FA3F9C" w:rsidRDefault="002641D2" w:rsidP="00B04F17">
            <w:pPr>
              <w:jc w:val="center"/>
              <w:rPr>
                <w:rFonts w:ascii="Arial" w:hAnsi="Arial" w:cs="Arial"/>
                <w:sz w:val="24"/>
                <w:szCs w:val="24"/>
              </w:rPr>
            </w:pPr>
            <w:r w:rsidRPr="00FA3F9C">
              <w:rPr>
                <w:rFonts w:ascii="Arial" w:hAnsi="Arial" w:cs="Arial"/>
                <w:sz w:val="24"/>
                <w:szCs w:val="24"/>
              </w:rPr>
              <w:t>⁭ Yes  ⁭ No</w:t>
            </w:r>
          </w:p>
          <w:p w14:paraId="389570AD" w14:textId="77777777" w:rsidR="002641D2" w:rsidRPr="00FA3F9C" w:rsidRDefault="002641D2" w:rsidP="00B04F17">
            <w:pPr>
              <w:jc w:val="center"/>
              <w:rPr>
                <w:rFonts w:ascii="Arial" w:hAnsi="Arial" w:cs="Arial"/>
                <w:sz w:val="24"/>
                <w:szCs w:val="24"/>
              </w:rPr>
            </w:pPr>
          </w:p>
        </w:tc>
      </w:tr>
      <w:tr w:rsidR="002641D2" w:rsidRPr="00FA3F9C" w14:paraId="4D811959" w14:textId="77777777" w:rsidTr="00C00451">
        <w:tc>
          <w:tcPr>
            <w:tcW w:w="10980" w:type="dxa"/>
            <w:gridSpan w:val="6"/>
          </w:tcPr>
          <w:p w14:paraId="0789D370" w14:textId="77777777" w:rsidR="002641D2" w:rsidRPr="00FA3F9C" w:rsidRDefault="002641D2" w:rsidP="006D21FE">
            <w:pPr>
              <w:rPr>
                <w:rFonts w:ascii="Arial" w:hAnsi="Arial" w:cs="Arial"/>
                <w:b/>
                <w:sz w:val="24"/>
                <w:szCs w:val="24"/>
              </w:rPr>
            </w:pPr>
            <w:r w:rsidRPr="00FA3F9C">
              <w:rPr>
                <w:rFonts w:ascii="Arial" w:hAnsi="Arial" w:cs="Arial"/>
                <w:b/>
                <w:sz w:val="24"/>
                <w:szCs w:val="24"/>
              </w:rPr>
              <w:t xml:space="preserve">Note:  </w:t>
            </w:r>
            <w:r w:rsidRPr="00FA3F9C">
              <w:rPr>
                <w:rFonts w:ascii="Arial" w:hAnsi="Arial" w:cs="Arial"/>
                <w:sz w:val="24"/>
                <w:szCs w:val="24"/>
              </w:rPr>
              <w:t xml:space="preserve">Initial PA should be good for 3 months.  After physician confirms the patient’s positive response, </w:t>
            </w:r>
            <w:r w:rsidRPr="00FA3F9C">
              <w:rPr>
                <w:rFonts w:ascii="Arial" w:hAnsi="Arial" w:cs="Arial"/>
                <w:sz w:val="24"/>
                <w:szCs w:val="24"/>
                <w:lang w:val="en"/>
              </w:rPr>
              <w:t xml:space="preserve">defined as a reduction of the BASDAI‡ to 50% of the pre-treatment value, or a reduction of </w:t>
            </w:r>
            <w:r w:rsidRPr="00FA3F9C">
              <w:rPr>
                <w:rFonts w:ascii="Arial" w:hAnsi="Arial" w:cs="Arial"/>
                <w:sz w:val="24"/>
                <w:szCs w:val="24"/>
                <w:u w:val="single"/>
                <w:lang w:val="en"/>
              </w:rPr>
              <w:lastRenderedPageBreak/>
              <w:t>&gt;</w:t>
            </w:r>
            <w:r w:rsidRPr="00FA3F9C">
              <w:rPr>
                <w:rFonts w:ascii="Arial" w:hAnsi="Arial" w:cs="Arial"/>
                <w:sz w:val="24"/>
                <w:szCs w:val="24"/>
                <w:lang w:val="en"/>
              </w:rPr>
              <w:t>2 units, together with a reduction of the spinal pain VAS by 2 cm or more, the patient would be eligible for re-approval.</w:t>
            </w:r>
          </w:p>
        </w:tc>
      </w:tr>
      <w:tr w:rsidR="002641D2" w:rsidRPr="00FA3F9C" w14:paraId="277CFB2D" w14:textId="77777777" w:rsidTr="00C00451">
        <w:tc>
          <w:tcPr>
            <w:tcW w:w="10980" w:type="dxa"/>
            <w:gridSpan w:val="6"/>
          </w:tcPr>
          <w:p w14:paraId="6CB644DE" w14:textId="77777777" w:rsidR="002641D2" w:rsidRPr="00FA3F9C" w:rsidRDefault="002641D2" w:rsidP="006D21FE">
            <w:pPr>
              <w:pStyle w:val="NormalWeb"/>
              <w:rPr>
                <w:rFonts w:ascii="Arial" w:hAnsi="Arial" w:cs="Arial"/>
                <w:sz w:val="24"/>
                <w:szCs w:val="24"/>
                <w:lang w:val="en"/>
              </w:rPr>
            </w:pPr>
            <w:r w:rsidRPr="00FA3F9C">
              <w:rPr>
                <w:rFonts w:ascii="Arial" w:hAnsi="Arial" w:cs="Arial"/>
                <w:sz w:val="24"/>
                <w:szCs w:val="24"/>
              </w:rPr>
              <w:lastRenderedPageBreak/>
              <w:t xml:space="preserve">‡BASDAI is </w:t>
            </w:r>
            <w:r w:rsidRPr="00FA3F9C">
              <w:rPr>
                <w:rFonts w:ascii="Arial" w:hAnsi="Arial" w:cs="Arial"/>
                <w:b/>
                <w:bCs/>
                <w:sz w:val="24"/>
                <w:szCs w:val="24"/>
                <w:lang w:val="en"/>
              </w:rPr>
              <w:t xml:space="preserve">Bath Ankylosing Spondylitis Disease Activity Index, a scale of </w:t>
            </w:r>
            <w:r w:rsidRPr="00FA3F9C">
              <w:rPr>
                <w:rFonts w:ascii="Arial" w:hAnsi="Arial" w:cs="Arial"/>
                <w:sz w:val="24"/>
                <w:szCs w:val="24"/>
                <w:lang w:val="en"/>
              </w:rPr>
              <w:t xml:space="preserve">measuring discomfort, pain, and fatigue (1 being no problem and 10 being the worst problem) in response to 6 questions asked of the patient pertaining to the 5 major symptoms of AS, </w:t>
            </w:r>
            <w:hyperlink r:id="rId236" w:tooltip="Fatigue (medical)" w:history="1">
              <w:r w:rsidRPr="00FA3F9C">
                <w:rPr>
                  <w:rFonts w:ascii="Arial" w:hAnsi="Arial" w:cs="Arial"/>
                  <w:sz w:val="24"/>
                  <w:szCs w:val="24"/>
                  <w:u w:val="single"/>
                  <w:lang w:val="en"/>
                </w:rPr>
                <w:t>Fatigue</w:t>
              </w:r>
            </w:hyperlink>
            <w:r w:rsidRPr="00FA3F9C">
              <w:rPr>
                <w:rFonts w:ascii="Arial" w:hAnsi="Arial" w:cs="Arial"/>
                <w:sz w:val="24"/>
                <w:szCs w:val="24"/>
                <w:lang w:val="en"/>
              </w:rPr>
              <w:t xml:space="preserve">, </w:t>
            </w:r>
            <w:hyperlink r:id="rId237" w:anchor="Pain" w:tooltip="Back pain" w:history="1">
              <w:r w:rsidRPr="00FA3F9C">
                <w:rPr>
                  <w:rFonts w:ascii="Arial" w:hAnsi="Arial" w:cs="Arial"/>
                  <w:sz w:val="24"/>
                  <w:szCs w:val="24"/>
                  <w:u w:val="single"/>
                  <w:lang w:val="en"/>
                </w:rPr>
                <w:t>Spinal pain</w:t>
              </w:r>
            </w:hyperlink>
            <w:r w:rsidRPr="00FA3F9C">
              <w:rPr>
                <w:rFonts w:ascii="Arial" w:hAnsi="Arial" w:cs="Arial"/>
                <w:sz w:val="24"/>
                <w:szCs w:val="24"/>
                <w:lang w:val="en"/>
              </w:rPr>
              <w:t xml:space="preserve">, </w:t>
            </w:r>
            <w:hyperlink r:id="rId238" w:tooltip="Arthralgia" w:history="1">
              <w:r w:rsidRPr="00FA3F9C">
                <w:rPr>
                  <w:rFonts w:ascii="Arial" w:hAnsi="Arial" w:cs="Arial"/>
                  <w:sz w:val="24"/>
                  <w:szCs w:val="24"/>
                  <w:u w:val="single"/>
                  <w:lang w:val="en"/>
                </w:rPr>
                <w:t>Arthralgia</w:t>
              </w:r>
            </w:hyperlink>
            <w:r w:rsidRPr="00FA3F9C">
              <w:rPr>
                <w:rFonts w:ascii="Arial" w:hAnsi="Arial" w:cs="Arial"/>
                <w:sz w:val="24"/>
                <w:szCs w:val="24"/>
                <w:lang w:val="en"/>
              </w:rPr>
              <w:t xml:space="preserve">, </w:t>
            </w:r>
            <w:hyperlink r:id="rId239" w:tooltip="Enthesitis" w:history="1">
              <w:proofErr w:type="spellStart"/>
              <w:r w:rsidRPr="00FA3F9C">
                <w:rPr>
                  <w:rFonts w:ascii="Arial" w:hAnsi="Arial" w:cs="Arial"/>
                  <w:sz w:val="24"/>
                  <w:szCs w:val="24"/>
                  <w:u w:val="single"/>
                  <w:lang w:val="en"/>
                </w:rPr>
                <w:t>Enthesitis</w:t>
              </w:r>
              <w:proofErr w:type="spellEnd"/>
            </w:hyperlink>
            <w:r w:rsidRPr="00FA3F9C">
              <w:rPr>
                <w:rFonts w:ascii="Arial" w:hAnsi="Arial" w:cs="Arial"/>
                <w:sz w:val="24"/>
                <w:szCs w:val="24"/>
                <w:lang w:val="en"/>
              </w:rPr>
              <w:t xml:space="preserve">, or inflammation of </w:t>
            </w:r>
            <w:hyperlink r:id="rId240" w:tooltip="Tendon" w:history="1">
              <w:r w:rsidRPr="00FA3F9C">
                <w:rPr>
                  <w:rFonts w:ascii="Arial" w:hAnsi="Arial" w:cs="Arial"/>
                  <w:sz w:val="24"/>
                  <w:szCs w:val="24"/>
                  <w:u w:val="single"/>
                  <w:lang w:val="en"/>
                </w:rPr>
                <w:t>tendons</w:t>
              </w:r>
            </w:hyperlink>
            <w:r w:rsidRPr="00FA3F9C">
              <w:rPr>
                <w:rFonts w:ascii="Arial" w:hAnsi="Arial" w:cs="Arial"/>
                <w:sz w:val="24"/>
                <w:szCs w:val="24"/>
                <w:lang w:val="en"/>
              </w:rPr>
              <w:t xml:space="preserve"> and </w:t>
            </w:r>
            <w:hyperlink r:id="rId241" w:tooltip="Ligament" w:history="1">
              <w:r w:rsidRPr="00FA3F9C">
                <w:rPr>
                  <w:rFonts w:ascii="Arial" w:hAnsi="Arial" w:cs="Arial"/>
                  <w:sz w:val="24"/>
                  <w:szCs w:val="24"/>
                  <w:u w:val="single"/>
                  <w:lang w:val="en"/>
                </w:rPr>
                <w:t>ligaments</w:t>
              </w:r>
            </w:hyperlink>
            <w:r w:rsidRPr="00FA3F9C">
              <w:rPr>
                <w:rFonts w:ascii="Arial" w:hAnsi="Arial" w:cs="Arial"/>
                <w:sz w:val="24"/>
                <w:szCs w:val="24"/>
                <w:lang w:val="en"/>
              </w:rPr>
              <w:t xml:space="preserve">, </w:t>
            </w:r>
            <w:hyperlink r:id="rId242" w:tooltip="Joint stiffness" w:history="1">
              <w:r w:rsidRPr="00FA3F9C">
                <w:rPr>
                  <w:rFonts w:ascii="Arial" w:hAnsi="Arial" w:cs="Arial"/>
                  <w:sz w:val="24"/>
                  <w:szCs w:val="24"/>
                  <w:u w:val="single"/>
                  <w:lang w:val="en"/>
                </w:rPr>
                <w:t>Morning stiffness</w:t>
              </w:r>
            </w:hyperlink>
            <w:r w:rsidRPr="00FA3F9C">
              <w:rPr>
                <w:rFonts w:ascii="Arial" w:hAnsi="Arial" w:cs="Arial"/>
                <w:sz w:val="24"/>
                <w:szCs w:val="24"/>
                <w:lang w:val="en"/>
              </w:rPr>
              <w:t xml:space="preserve"> duration, Morning stiffness severity.  To give each symptom equal weighting, the average of the two scores relating to morning stiffness is taken. The resulting 0 to 50 score is divided by 5 to give a final 0 – 10 BASDAI score.  Scores of </w:t>
            </w:r>
            <w:r w:rsidRPr="00FA3F9C">
              <w:rPr>
                <w:rFonts w:ascii="Arial" w:hAnsi="Arial" w:cs="Arial"/>
                <w:sz w:val="24"/>
                <w:szCs w:val="24"/>
                <w:u w:val="single"/>
                <w:lang w:val="en"/>
              </w:rPr>
              <w:t>&gt;</w:t>
            </w:r>
            <w:r w:rsidRPr="00FA3F9C">
              <w:rPr>
                <w:rFonts w:ascii="Arial" w:hAnsi="Arial" w:cs="Arial"/>
                <w:sz w:val="24"/>
                <w:szCs w:val="24"/>
                <w:lang w:val="en"/>
              </w:rPr>
              <w:t xml:space="preserve">4 suggest suboptimal control of disease, and those patients are usually good candidates for a change in medical therapy, may benefit by treatment with </w:t>
            </w:r>
            <w:hyperlink r:id="rId243" w:tooltip="Biologic medical product" w:history="1">
              <w:r w:rsidRPr="00FA3F9C">
                <w:rPr>
                  <w:rFonts w:ascii="Arial" w:hAnsi="Arial" w:cs="Arial"/>
                  <w:sz w:val="24"/>
                  <w:szCs w:val="24"/>
                  <w:u w:val="single"/>
                  <w:lang w:val="en"/>
                </w:rPr>
                <w:t>biologic therapies</w:t>
              </w:r>
            </w:hyperlink>
            <w:r w:rsidRPr="00FA3F9C">
              <w:rPr>
                <w:rFonts w:ascii="Arial" w:hAnsi="Arial" w:cs="Arial"/>
                <w:sz w:val="24"/>
                <w:szCs w:val="24"/>
                <w:lang w:val="en"/>
              </w:rPr>
              <w:t>.</w:t>
            </w:r>
          </w:p>
        </w:tc>
      </w:tr>
      <w:tr w:rsidR="002641D2" w:rsidRPr="00FA3F9C" w14:paraId="71CDEEFB" w14:textId="77777777" w:rsidTr="00C00451">
        <w:tc>
          <w:tcPr>
            <w:tcW w:w="10980" w:type="dxa"/>
            <w:gridSpan w:val="6"/>
          </w:tcPr>
          <w:p w14:paraId="00BCB103" w14:textId="77777777" w:rsidR="002641D2" w:rsidRPr="00FA3F9C" w:rsidRDefault="002641D2" w:rsidP="00711162">
            <w:pPr>
              <w:pStyle w:val="NormalWeb"/>
              <w:spacing w:before="0" w:beforeAutospacing="0" w:after="0" w:afterAutospacing="0"/>
              <w:rPr>
                <w:rFonts w:ascii="Arial" w:hAnsi="Arial" w:cs="Arial"/>
                <w:sz w:val="24"/>
                <w:szCs w:val="24"/>
              </w:rPr>
            </w:pPr>
            <w:r w:rsidRPr="00FA3F9C">
              <w:rPr>
                <w:rFonts w:ascii="Arial" w:hAnsi="Arial" w:cs="Arial"/>
                <w:sz w:val="24"/>
                <w:szCs w:val="24"/>
              </w:rPr>
              <w:t xml:space="preserve">References:  </w:t>
            </w:r>
          </w:p>
          <w:p w14:paraId="61DF7463" w14:textId="77777777" w:rsidR="002641D2" w:rsidRPr="00FA3F9C" w:rsidRDefault="002641D2" w:rsidP="00711162">
            <w:pPr>
              <w:pStyle w:val="NormalWeb"/>
              <w:spacing w:before="0" w:beforeAutospacing="0" w:after="0" w:afterAutospacing="0"/>
              <w:rPr>
                <w:rFonts w:ascii="Arial" w:hAnsi="Arial" w:cs="Arial"/>
                <w:sz w:val="24"/>
                <w:szCs w:val="24"/>
              </w:rPr>
            </w:pPr>
            <w:r w:rsidRPr="00FA3F9C">
              <w:rPr>
                <w:rFonts w:ascii="Arial" w:hAnsi="Arial" w:cs="Arial"/>
                <w:sz w:val="24"/>
                <w:szCs w:val="24"/>
              </w:rPr>
              <w:t xml:space="preserve">1.  NICE guidelines:  Adalimumab, etanercept and infliximab for ankylosing spondylitis.  May 2008.  </w:t>
            </w:r>
            <w:hyperlink r:id="rId244" w:history="1">
              <w:r w:rsidRPr="00FA3F9C">
                <w:rPr>
                  <w:rStyle w:val="Hyperlink"/>
                  <w:rFonts w:ascii="Arial" w:hAnsi="Arial" w:cs="Arial"/>
                  <w:sz w:val="24"/>
                  <w:szCs w:val="24"/>
                </w:rPr>
                <w:t>http://publications.nice.org.uk/adalimumab-etanercept-and-infliximab-for-ankylosing-spondylitis-ta143/evidence-and-interpretation</w:t>
              </w:r>
            </w:hyperlink>
            <w:r w:rsidRPr="00FA3F9C">
              <w:rPr>
                <w:rFonts w:ascii="Arial" w:hAnsi="Arial" w:cs="Arial"/>
                <w:sz w:val="24"/>
                <w:szCs w:val="24"/>
              </w:rPr>
              <w:t xml:space="preserve"> </w:t>
            </w:r>
          </w:p>
          <w:p w14:paraId="5480F1ED" w14:textId="77777777" w:rsidR="002641D2" w:rsidRPr="00FA3F9C" w:rsidRDefault="002641D2" w:rsidP="00711162">
            <w:pPr>
              <w:pStyle w:val="NormalWeb"/>
              <w:spacing w:before="0" w:beforeAutospacing="0" w:after="0" w:afterAutospacing="0"/>
              <w:rPr>
                <w:rFonts w:ascii="Arial" w:hAnsi="Arial" w:cs="Arial"/>
                <w:sz w:val="24"/>
                <w:szCs w:val="24"/>
              </w:rPr>
            </w:pPr>
            <w:r w:rsidRPr="00FA3F9C">
              <w:rPr>
                <w:rFonts w:ascii="Arial" w:hAnsi="Arial" w:cs="Arial"/>
                <w:sz w:val="24"/>
                <w:szCs w:val="24"/>
              </w:rPr>
              <w:t>2.  €DERP. Report on Targeted Immune Modulators Update 3/8/12.</w:t>
            </w:r>
          </w:p>
        </w:tc>
      </w:tr>
      <w:tr w:rsidR="002641D2" w:rsidRPr="00FA3F9C" w14:paraId="72DF8968" w14:textId="77777777" w:rsidTr="00C00451">
        <w:tc>
          <w:tcPr>
            <w:tcW w:w="10980" w:type="dxa"/>
            <w:gridSpan w:val="6"/>
            <w:tcBorders>
              <w:top w:val="thinThickSmallGap" w:sz="24" w:space="0" w:color="auto"/>
              <w:left w:val="thinThickSmallGap" w:sz="24" w:space="0" w:color="auto"/>
              <w:bottom w:val="thinThickSmallGap" w:sz="24" w:space="0" w:color="auto"/>
              <w:right w:val="thinThickSmallGap" w:sz="24" w:space="0" w:color="auto"/>
            </w:tcBorders>
          </w:tcPr>
          <w:p w14:paraId="045603E1" w14:textId="77777777" w:rsidR="002641D2" w:rsidRPr="00FA3F9C" w:rsidRDefault="002641D2">
            <w:pPr>
              <w:rPr>
                <w:rFonts w:ascii="Arial" w:hAnsi="Arial" w:cs="Arial"/>
                <w:b/>
                <w:sz w:val="24"/>
                <w:szCs w:val="24"/>
              </w:rPr>
            </w:pPr>
            <w:r w:rsidRPr="00FA3F9C">
              <w:rPr>
                <w:rFonts w:ascii="Arial" w:hAnsi="Arial" w:cs="Arial"/>
                <w:b/>
                <w:sz w:val="24"/>
                <w:szCs w:val="24"/>
              </w:rPr>
              <w:t>Psoriatic Arthritis</w:t>
            </w:r>
          </w:p>
        </w:tc>
      </w:tr>
      <w:tr w:rsidR="002641D2" w:rsidRPr="00FA3F9C" w14:paraId="563E91E1" w14:textId="77777777" w:rsidTr="00C00451">
        <w:tc>
          <w:tcPr>
            <w:tcW w:w="10980" w:type="dxa"/>
            <w:gridSpan w:val="6"/>
            <w:tcBorders>
              <w:top w:val="thinThickSmallGap" w:sz="24" w:space="0" w:color="auto"/>
            </w:tcBorders>
          </w:tcPr>
          <w:p w14:paraId="04A73D3E" w14:textId="77777777" w:rsidR="002641D2" w:rsidRPr="00FA3F9C" w:rsidRDefault="002641D2" w:rsidP="007401CD">
            <w:pPr>
              <w:rPr>
                <w:rFonts w:ascii="Arial" w:hAnsi="Arial" w:cs="Arial"/>
                <w:sz w:val="24"/>
                <w:szCs w:val="24"/>
              </w:rPr>
            </w:pPr>
            <w:r w:rsidRPr="00FA3F9C">
              <w:rPr>
                <w:rFonts w:ascii="Arial" w:hAnsi="Arial" w:cs="Arial"/>
                <w:sz w:val="24"/>
                <w:szCs w:val="24"/>
              </w:rPr>
              <w:t>⁭ Adalimumab (Humira</w:t>
            </w:r>
            <w:r w:rsidRPr="00FA3F9C">
              <w:rPr>
                <w:rFonts w:ascii="Arial" w:hAnsi="Arial" w:cs="Arial"/>
                <w:sz w:val="24"/>
                <w:szCs w:val="24"/>
                <w:vertAlign w:val="superscript"/>
              </w:rPr>
              <w:t>®</w:t>
            </w:r>
            <w:r w:rsidRPr="00FA3F9C">
              <w:rPr>
                <w:rFonts w:ascii="Arial" w:hAnsi="Arial" w:cs="Arial"/>
                <w:sz w:val="24"/>
                <w:szCs w:val="24"/>
              </w:rPr>
              <w:t>)   ⁭ Etanercept (Enbrel</w:t>
            </w:r>
            <w:r w:rsidRPr="00FA3F9C">
              <w:rPr>
                <w:rFonts w:ascii="Arial" w:hAnsi="Arial" w:cs="Arial"/>
                <w:sz w:val="24"/>
                <w:szCs w:val="24"/>
                <w:vertAlign w:val="superscript"/>
              </w:rPr>
              <w:t>®</w:t>
            </w:r>
            <w:r w:rsidRPr="00FA3F9C">
              <w:rPr>
                <w:rFonts w:ascii="Arial" w:hAnsi="Arial" w:cs="Arial"/>
                <w:sz w:val="24"/>
                <w:szCs w:val="24"/>
              </w:rPr>
              <w:t>)    ⁭ Infliximab (Remicade</w:t>
            </w:r>
            <w:r w:rsidRPr="00FA3F9C">
              <w:rPr>
                <w:rFonts w:ascii="Arial" w:hAnsi="Arial" w:cs="Arial"/>
                <w:sz w:val="24"/>
                <w:szCs w:val="24"/>
                <w:vertAlign w:val="superscript"/>
              </w:rPr>
              <w:t>®</w:t>
            </w:r>
            <w:r w:rsidRPr="00FA3F9C">
              <w:rPr>
                <w:rFonts w:ascii="Arial" w:hAnsi="Arial" w:cs="Arial"/>
                <w:sz w:val="24"/>
                <w:szCs w:val="24"/>
              </w:rPr>
              <w:t>)   ⁭ infliximab-</w:t>
            </w:r>
            <w:proofErr w:type="spellStart"/>
            <w:r w:rsidRPr="00FA3F9C">
              <w:rPr>
                <w:rFonts w:ascii="Arial" w:hAnsi="Arial" w:cs="Arial"/>
                <w:sz w:val="24"/>
                <w:szCs w:val="24"/>
              </w:rPr>
              <w:t>abda</w:t>
            </w:r>
            <w:proofErr w:type="spellEnd"/>
            <w:r w:rsidRPr="00FA3F9C">
              <w:rPr>
                <w:rFonts w:ascii="Arial" w:hAnsi="Arial" w:cs="Arial"/>
                <w:sz w:val="24"/>
                <w:szCs w:val="24"/>
              </w:rPr>
              <w:t xml:space="preserve"> (</w:t>
            </w:r>
            <w:proofErr w:type="spellStart"/>
            <w:r w:rsidRPr="00FA3F9C">
              <w:rPr>
                <w:rFonts w:ascii="Arial" w:hAnsi="Arial" w:cs="Arial"/>
                <w:sz w:val="24"/>
                <w:szCs w:val="24"/>
              </w:rPr>
              <w:t>Renflexis</w:t>
            </w:r>
            <w:proofErr w:type="spellEnd"/>
            <w:r w:rsidRPr="00FA3F9C">
              <w:rPr>
                <w:rFonts w:ascii="Arial" w:hAnsi="Arial" w:cs="Arial"/>
                <w:sz w:val="24"/>
                <w:szCs w:val="24"/>
              </w:rPr>
              <w:t>) ⁭ Golimumab (Simponi</w:t>
            </w:r>
            <w:r w:rsidRPr="00FA3F9C">
              <w:rPr>
                <w:rFonts w:ascii="Arial" w:hAnsi="Arial" w:cs="Arial"/>
                <w:sz w:val="24"/>
                <w:szCs w:val="24"/>
                <w:vertAlign w:val="superscript"/>
              </w:rPr>
              <w:t>®</w:t>
            </w:r>
            <w:r w:rsidRPr="00FA3F9C">
              <w:rPr>
                <w:rFonts w:ascii="Arial" w:hAnsi="Arial" w:cs="Arial"/>
                <w:sz w:val="24"/>
                <w:szCs w:val="24"/>
              </w:rPr>
              <w:t>)  ⁭Certolizumab (Cimzia</w:t>
            </w:r>
            <w:r w:rsidRPr="00FA3F9C">
              <w:rPr>
                <w:rFonts w:ascii="Arial" w:hAnsi="Arial" w:cs="Arial"/>
                <w:sz w:val="24"/>
                <w:szCs w:val="24"/>
                <w:vertAlign w:val="superscript"/>
              </w:rPr>
              <w:t>®</w:t>
            </w:r>
            <w:r w:rsidRPr="00FA3F9C">
              <w:rPr>
                <w:rFonts w:ascii="Arial" w:hAnsi="Arial" w:cs="Arial"/>
                <w:sz w:val="24"/>
                <w:szCs w:val="24"/>
              </w:rPr>
              <w:t xml:space="preserve">)    ⁭Abatacept (Orencia)   ⁭ </w:t>
            </w:r>
            <w:proofErr w:type="spellStart"/>
            <w:r w:rsidRPr="00FA3F9C">
              <w:rPr>
                <w:rFonts w:ascii="Arial" w:hAnsi="Arial" w:cs="Arial"/>
                <w:sz w:val="24"/>
                <w:szCs w:val="24"/>
              </w:rPr>
              <w:t>Secukinumab</w:t>
            </w:r>
            <w:proofErr w:type="spellEnd"/>
            <w:r w:rsidRPr="00FA3F9C">
              <w:rPr>
                <w:rFonts w:ascii="Arial" w:hAnsi="Arial" w:cs="Arial"/>
                <w:sz w:val="24"/>
                <w:szCs w:val="24"/>
              </w:rPr>
              <w:t xml:space="preserve"> (Cosentyx</w:t>
            </w:r>
            <w:r w:rsidRPr="00FA3F9C">
              <w:rPr>
                <w:rFonts w:ascii="Arial" w:hAnsi="Arial" w:cs="Arial"/>
                <w:sz w:val="24"/>
                <w:szCs w:val="24"/>
                <w:vertAlign w:val="superscript"/>
              </w:rPr>
              <w:t>®</w:t>
            </w:r>
            <w:r w:rsidRPr="00FA3F9C">
              <w:rPr>
                <w:rFonts w:ascii="Arial" w:hAnsi="Arial" w:cs="Arial"/>
                <w:sz w:val="24"/>
                <w:szCs w:val="24"/>
              </w:rPr>
              <w:t>)     ***Ustekinumab (Stelara)—Please go to the EBD PA criteria “Ustekinumab” for criteria</w:t>
            </w:r>
          </w:p>
          <w:p w14:paraId="1EE51AB7" w14:textId="77777777" w:rsidR="002641D2" w:rsidRPr="00FA3F9C" w:rsidRDefault="002641D2" w:rsidP="007401CD">
            <w:pPr>
              <w:rPr>
                <w:rFonts w:ascii="Arial" w:hAnsi="Arial" w:cs="Arial"/>
                <w:sz w:val="24"/>
                <w:szCs w:val="24"/>
              </w:rPr>
            </w:pPr>
            <w:r w:rsidRPr="00FA3F9C">
              <w:rPr>
                <w:rFonts w:ascii="Arial" w:hAnsi="Arial" w:cs="Arial"/>
                <w:sz w:val="24"/>
                <w:szCs w:val="24"/>
              </w:rPr>
              <w:t>Upadacitinib (</w:t>
            </w:r>
            <w:proofErr w:type="spellStart"/>
            <w:r w:rsidRPr="00FA3F9C">
              <w:rPr>
                <w:rFonts w:ascii="Arial" w:hAnsi="Arial" w:cs="Arial"/>
                <w:sz w:val="24"/>
                <w:szCs w:val="24"/>
              </w:rPr>
              <w:t>Rinvoq</w:t>
            </w:r>
            <w:proofErr w:type="spellEnd"/>
            <w:r w:rsidRPr="00FA3F9C">
              <w:rPr>
                <w:rFonts w:ascii="Arial" w:hAnsi="Arial" w:cs="Arial"/>
                <w:sz w:val="24"/>
                <w:szCs w:val="24"/>
              </w:rPr>
              <w:t>)—FDA-approved 12/15/21 as 2</w:t>
            </w:r>
            <w:r w:rsidRPr="00FA3F9C">
              <w:rPr>
                <w:rFonts w:ascii="Arial" w:hAnsi="Arial" w:cs="Arial"/>
                <w:sz w:val="24"/>
                <w:szCs w:val="24"/>
                <w:vertAlign w:val="superscript"/>
              </w:rPr>
              <w:t>nd</w:t>
            </w:r>
            <w:r w:rsidRPr="00FA3F9C">
              <w:rPr>
                <w:rFonts w:ascii="Arial" w:hAnsi="Arial" w:cs="Arial"/>
                <w:sz w:val="24"/>
                <w:szCs w:val="24"/>
              </w:rPr>
              <w:t xml:space="preserve"> line to </w:t>
            </w:r>
            <w:proofErr w:type="spellStart"/>
            <w:r w:rsidRPr="00FA3F9C">
              <w:rPr>
                <w:rFonts w:ascii="Arial" w:hAnsi="Arial" w:cs="Arial"/>
                <w:sz w:val="24"/>
                <w:szCs w:val="24"/>
              </w:rPr>
              <w:t>TNFi</w:t>
            </w:r>
            <w:proofErr w:type="spellEnd"/>
            <w:r w:rsidRPr="00FA3F9C">
              <w:rPr>
                <w:rFonts w:ascii="Arial" w:hAnsi="Arial" w:cs="Arial"/>
                <w:sz w:val="24"/>
                <w:szCs w:val="24"/>
              </w:rPr>
              <w:t>.</w:t>
            </w:r>
          </w:p>
        </w:tc>
      </w:tr>
      <w:tr w:rsidR="002641D2" w:rsidRPr="00FA3F9C" w14:paraId="7F3B9D58" w14:textId="77777777" w:rsidTr="0025598E">
        <w:tc>
          <w:tcPr>
            <w:tcW w:w="10980" w:type="dxa"/>
            <w:gridSpan w:val="6"/>
          </w:tcPr>
          <w:p w14:paraId="396F55CE" w14:textId="77777777" w:rsidR="002641D2" w:rsidRPr="00FA3F9C" w:rsidRDefault="002641D2" w:rsidP="002641D2">
            <w:pPr>
              <w:numPr>
                <w:ilvl w:val="0"/>
                <w:numId w:val="265"/>
              </w:numPr>
              <w:spacing w:after="0" w:line="240" w:lineRule="auto"/>
              <w:ind w:left="335"/>
              <w:rPr>
                <w:rFonts w:ascii="Arial" w:hAnsi="Arial" w:cs="Arial"/>
                <w:sz w:val="24"/>
                <w:szCs w:val="24"/>
              </w:rPr>
            </w:pPr>
            <w:r w:rsidRPr="00FA3F9C">
              <w:rPr>
                <w:rFonts w:ascii="Arial" w:hAnsi="Arial" w:cs="Arial"/>
                <w:sz w:val="24"/>
                <w:szCs w:val="24"/>
              </w:rPr>
              <w:t>The patient must have a diagnosis of psoriatic arthritis.</w:t>
            </w:r>
          </w:p>
        </w:tc>
      </w:tr>
      <w:tr w:rsidR="002641D2" w:rsidRPr="00FA3F9C" w14:paraId="60A2336C" w14:textId="77777777" w:rsidTr="0025598E">
        <w:tc>
          <w:tcPr>
            <w:tcW w:w="10980" w:type="dxa"/>
            <w:gridSpan w:val="6"/>
          </w:tcPr>
          <w:p w14:paraId="2D102D2F" w14:textId="77777777" w:rsidR="002641D2" w:rsidRPr="00FA3F9C" w:rsidRDefault="002641D2" w:rsidP="002641D2">
            <w:pPr>
              <w:numPr>
                <w:ilvl w:val="0"/>
                <w:numId w:val="265"/>
              </w:numPr>
              <w:spacing w:after="0" w:line="240" w:lineRule="auto"/>
              <w:ind w:left="335"/>
              <w:rPr>
                <w:rFonts w:ascii="Arial" w:hAnsi="Arial" w:cs="Arial"/>
                <w:sz w:val="24"/>
                <w:szCs w:val="24"/>
              </w:rPr>
            </w:pPr>
            <w:r w:rsidRPr="00FA3F9C">
              <w:rPr>
                <w:rFonts w:ascii="Arial" w:hAnsi="Arial" w:cs="Arial"/>
                <w:sz w:val="24"/>
                <w:szCs w:val="24"/>
              </w:rPr>
              <w:t>The patient must have failed a trial of 2 NSAIDS. Each trial should be 1 month in length.</w:t>
            </w:r>
          </w:p>
        </w:tc>
      </w:tr>
      <w:tr w:rsidR="002641D2" w:rsidRPr="00FA3F9C" w14:paraId="720102E8" w14:textId="77777777" w:rsidTr="0025598E">
        <w:tc>
          <w:tcPr>
            <w:tcW w:w="10980" w:type="dxa"/>
            <w:gridSpan w:val="6"/>
          </w:tcPr>
          <w:p w14:paraId="499B9DC9" w14:textId="77777777" w:rsidR="002641D2" w:rsidRPr="00FA3F9C" w:rsidRDefault="002641D2" w:rsidP="002641D2">
            <w:pPr>
              <w:numPr>
                <w:ilvl w:val="0"/>
                <w:numId w:val="265"/>
              </w:numPr>
              <w:spacing w:after="0" w:line="240" w:lineRule="auto"/>
              <w:ind w:left="335"/>
              <w:rPr>
                <w:rFonts w:ascii="Arial" w:hAnsi="Arial" w:cs="Arial"/>
                <w:sz w:val="24"/>
                <w:szCs w:val="24"/>
              </w:rPr>
            </w:pPr>
            <w:r w:rsidRPr="00FA3F9C">
              <w:rPr>
                <w:rFonts w:ascii="Arial" w:hAnsi="Arial" w:cs="Arial"/>
                <w:sz w:val="24"/>
                <w:szCs w:val="24"/>
              </w:rPr>
              <w:t>The patient must have failed 3 months of a DMARD therapy (examples: methotrexate, sulfasalazine, penicillamine, azathioprine, leflunomide).</w:t>
            </w:r>
          </w:p>
        </w:tc>
      </w:tr>
      <w:tr w:rsidR="002641D2" w:rsidRPr="00FA3F9C" w14:paraId="4DFC3914" w14:textId="77777777" w:rsidTr="0025598E">
        <w:tc>
          <w:tcPr>
            <w:tcW w:w="10980" w:type="dxa"/>
            <w:gridSpan w:val="6"/>
          </w:tcPr>
          <w:p w14:paraId="2BD964C9" w14:textId="77777777" w:rsidR="002641D2" w:rsidRPr="00FA3F9C" w:rsidRDefault="002641D2" w:rsidP="002641D2">
            <w:pPr>
              <w:numPr>
                <w:ilvl w:val="0"/>
                <w:numId w:val="265"/>
              </w:numPr>
              <w:spacing w:after="0" w:line="240" w:lineRule="auto"/>
              <w:ind w:left="335"/>
              <w:rPr>
                <w:rFonts w:ascii="Arial" w:hAnsi="Arial" w:cs="Arial"/>
                <w:sz w:val="24"/>
                <w:szCs w:val="24"/>
              </w:rPr>
            </w:pPr>
            <w:r w:rsidRPr="00FA3F9C">
              <w:rPr>
                <w:rFonts w:ascii="Arial" w:hAnsi="Arial" w:cs="Arial"/>
                <w:sz w:val="24"/>
                <w:szCs w:val="24"/>
              </w:rPr>
              <w:t xml:space="preserve">If seeking </w:t>
            </w:r>
            <w:proofErr w:type="spellStart"/>
            <w:r w:rsidRPr="00FA3F9C">
              <w:rPr>
                <w:rFonts w:ascii="Arial" w:hAnsi="Arial" w:cs="Arial"/>
                <w:sz w:val="24"/>
                <w:szCs w:val="24"/>
              </w:rPr>
              <w:t>upadacitinib</w:t>
            </w:r>
            <w:proofErr w:type="spellEnd"/>
            <w:r w:rsidRPr="00FA3F9C">
              <w:rPr>
                <w:rFonts w:ascii="Arial" w:hAnsi="Arial" w:cs="Arial"/>
                <w:sz w:val="24"/>
                <w:szCs w:val="24"/>
              </w:rPr>
              <w:t xml:space="preserve">, the patient must have failed one of the EBRx covered </w:t>
            </w:r>
            <w:proofErr w:type="spellStart"/>
            <w:r w:rsidRPr="00FA3F9C">
              <w:rPr>
                <w:rFonts w:ascii="Arial" w:hAnsi="Arial" w:cs="Arial"/>
                <w:sz w:val="24"/>
                <w:szCs w:val="24"/>
              </w:rPr>
              <w:t>TNFi</w:t>
            </w:r>
            <w:proofErr w:type="spellEnd"/>
            <w:r w:rsidRPr="00FA3F9C">
              <w:rPr>
                <w:rFonts w:ascii="Arial" w:hAnsi="Arial" w:cs="Arial"/>
                <w:sz w:val="24"/>
                <w:szCs w:val="24"/>
              </w:rPr>
              <w:t>.</w:t>
            </w:r>
          </w:p>
        </w:tc>
      </w:tr>
      <w:tr w:rsidR="002641D2" w:rsidRPr="00FA3F9C" w14:paraId="21DD78E5" w14:textId="77777777" w:rsidTr="00C00451">
        <w:tc>
          <w:tcPr>
            <w:tcW w:w="10980" w:type="dxa"/>
            <w:gridSpan w:val="6"/>
          </w:tcPr>
          <w:p w14:paraId="602687BC" w14:textId="77777777" w:rsidR="002641D2" w:rsidRPr="00FA3F9C" w:rsidRDefault="002641D2" w:rsidP="00B04F17">
            <w:pPr>
              <w:rPr>
                <w:rFonts w:ascii="Arial" w:hAnsi="Arial" w:cs="Arial"/>
                <w:sz w:val="24"/>
                <w:szCs w:val="24"/>
              </w:rPr>
            </w:pPr>
            <w:r w:rsidRPr="00FA3F9C">
              <w:rPr>
                <w:rFonts w:ascii="Arial" w:hAnsi="Arial" w:cs="Arial"/>
                <w:sz w:val="24"/>
                <w:szCs w:val="24"/>
              </w:rPr>
              <w:t>References:</w:t>
            </w:r>
          </w:p>
          <w:p w14:paraId="41321E79" w14:textId="77777777" w:rsidR="002641D2" w:rsidRPr="00FA3F9C" w:rsidRDefault="002641D2" w:rsidP="00B04F17">
            <w:pPr>
              <w:rPr>
                <w:rFonts w:ascii="Arial" w:hAnsi="Arial" w:cs="Arial"/>
                <w:sz w:val="24"/>
                <w:szCs w:val="24"/>
              </w:rPr>
            </w:pPr>
            <w:r w:rsidRPr="00FA3F9C">
              <w:rPr>
                <w:rFonts w:ascii="Arial" w:hAnsi="Arial" w:cs="Arial"/>
                <w:sz w:val="24"/>
                <w:szCs w:val="24"/>
              </w:rPr>
              <w:t>1.  DERP. Report on Targeted Immune Modulators Update 3/8/12.</w:t>
            </w:r>
          </w:p>
          <w:p w14:paraId="3AC7E65E" w14:textId="77777777" w:rsidR="002641D2" w:rsidRPr="00FA3F9C" w:rsidRDefault="002641D2" w:rsidP="00AC1F29">
            <w:pPr>
              <w:rPr>
                <w:rFonts w:ascii="Arial" w:hAnsi="Arial" w:cs="Arial"/>
                <w:sz w:val="24"/>
                <w:szCs w:val="24"/>
              </w:rPr>
            </w:pPr>
            <w:r w:rsidRPr="00FA3F9C">
              <w:rPr>
                <w:rFonts w:ascii="Arial" w:hAnsi="Arial" w:cs="Arial"/>
                <w:sz w:val="24"/>
                <w:szCs w:val="24"/>
              </w:rPr>
              <w:lastRenderedPageBreak/>
              <w:t xml:space="preserve">2.  Treatment of Psoriatic Arthritis.  UpToDate. </w:t>
            </w:r>
            <w:hyperlink r:id="rId245" w:anchor="H18" w:history="1">
              <w:r w:rsidRPr="00FA3F9C">
                <w:rPr>
                  <w:rStyle w:val="Hyperlink"/>
                  <w:rFonts w:ascii="Arial" w:hAnsi="Arial" w:cs="Arial"/>
                  <w:sz w:val="24"/>
                  <w:szCs w:val="24"/>
                </w:rPr>
                <w:t>http://www.uptodate.com/contents/treatment-of-psoriatic-arthritis?source=search_result&amp;search=psoriatic+arthritis&amp;selectedTitle=2%7E105#H18</w:t>
              </w:r>
            </w:hyperlink>
            <w:r w:rsidRPr="00FA3F9C">
              <w:rPr>
                <w:rFonts w:ascii="Arial" w:hAnsi="Arial" w:cs="Arial"/>
                <w:sz w:val="24"/>
                <w:szCs w:val="24"/>
              </w:rPr>
              <w:t xml:space="preserve"> .  Accessed 7/3/12.</w:t>
            </w:r>
          </w:p>
        </w:tc>
      </w:tr>
      <w:tr w:rsidR="002641D2" w:rsidRPr="00FA3F9C" w14:paraId="18CF20F5" w14:textId="77777777" w:rsidTr="00C00451">
        <w:tc>
          <w:tcPr>
            <w:tcW w:w="10980" w:type="dxa"/>
            <w:gridSpan w:val="6"/>
          </w:tcPr>
          <w:p w14:paraId="4873AD60" w14:textId="77777777" w:rsidR="002641D2" w:rsidRPr="00FA3F9C" w:rsidRDefault="002641D2" w:rsidP="00B04F17">
            <w:pPr>
              <w:rPr>
                <w:rFonts w:ascii="Arial" w:hAnsi="Arial" w:cs="Arial"/>
                <w:sz w:val="24"/>
                <w:szCs w:val="24"/>
              </w:rPr>
            </w:pPr>
          </w:p>
        </w:tc>
      </w:tr>
      <w:tr w:rsidR="002641D2" w:rsidRPr="00FA3F9C" w14:paraId="173FC029" w14:textId="77777777" w:rsidTr="00C00451">
        <w:tc>
          <w:tcPr>
            <w:tcW w:w="10980" w:type="dxa"/>
            <w:gridSpan w:val="6"/>
            <w:tcBorders>
              <w:top w:val="thinThickSmallGap" w:sz="24" w:space="0" w:color="auto"/>
              <w:left w:val="thinThickSmallGap" w:sz="24" w:space="0" w:color="auto"/>
              <w:bottom w:val="thinThickSmallGap" w:sz="24" w:space="0" w:color="auto"/>
              <w:right w:val="thinThickSmallGap" w:sz="24" w:space="0" w:color="auto"/>
            </w:tcBorders>
          </w:tcPr>
          <w:p w14:paraId="5D300BC1" w14:textId="77777777" w:rsidR="002641D2" w:rsidRPr="00FA3F9C" w:rsidRDefault="002641D2">
            <w:pPr>
              <w:rPr>
                <w:rFonts w:ascii="Arial" w:hAnsi="Arial" w:cs="Arial"/>
                <w:sz w:val="24"/>
                <w:szCs w:val="24"/>
              </w:rPr>
            </w:pPr>
            <w:r w:rsidRPr="00FA3F9C">
              <w:rPr>
                <w:rFonts w:ascii="Arial" w:hAnsi="Arial" w:cs="Arial"/>
                <w:b/>
                <w:sz w:val="24"/>
                <w:szCs w:val="24"/>
              </w:rPr>
              <w:t>Plaque Psoriasis—currently must step through adalimumab and etanercept</w:t>
            </w:r>
          </w:p>
        </w:tc>
      </w:tr>
      <w:tr w:rsidR="002641D2" w:rsidRPr="00FA3F9C" w14:paraId="6591A76F" w14:textId="77777777" w:rsidTr="000B6431">
        <w:tc>
          <w:tcPr>
            <w:tcW w:w="2790" w:type="dxa"/>
            <w:tcBorders>
              <w:top w:val="thinThickSmallGap" w:sz="24" w:space="0" w:color="auto"/>
            </w:tcBorders>
          </w:tcPr>
          <w:p w14:paraId="03BB9E98" w14:textId="77777777" w:rsidR="002641D2" w:rsidRPr="00FA3F9C" w:rsidRDefault="002641D2" w:rsidP="00635E21">
            <w:pPr>
              <w:rPr>
                <w:rFonts w:ascii="Arial" w:hAnsi="Arial" w:cs="Arial"/>
                <w:sz w:val="24"/>
                <w:szCs w:val="24"/>
              </w:rPr>
            </w:pPr>
            <w:r w:rsidRPr="00FA3F9C">
              <w:rPr>
                <w:rFonts w:ascii="Arial" w:hAnsi="Arial" w:cs="Arial"/>
                <w:sz w:val="24"/>
                <w:szCs w:val="24"/>
              </w:rPr>
              <w:t>TNF inhibitors:</w:t>
            </w:r>
          </w:p>
          <w:p w14:paraId="4FBFDB73" w14:textId="77777777" w:rsidR="002641D2" w:rsidRPr="00FA3F9C" w:rsidRDefault="002641D2" w:rsidP="00635E21">
            <w:pPr>
              <w:rPr>
                <w:rFonts w:ascii="Arial" w:hAnsi="Arial" w:cs="Arial"/>
                <w:sz w:val="24"/>
                <w:szCs w:val="24"/>
              </w:rPr>
            </w:pPr>
            <w:r w:rsidRPr="00FA3F9C">
              <w:rPr>
                <w:rFonts w:ascii="Arial" w:hAnsi="Arial" w:cs="Arial"/>
                <w:sz w:val="24"/>
                <w:szCs w:val="24"/>
              </w:rPr>
              <w:t>⁭ Adalimumab (Humira</w:t>
            </w:r>
            <w:r w:rsidRPr="00FA3F9C">
              <w:rPr>
                <w:rFonts w:ascii="Arial" w:hAnsi="Arial" w:cs="Arial"/>
                <w:sz w:val="24"/>
                <w:szCs w:val="24"/>
                <w:vertAlign w:val="superscript"/>
              </w:rPr>
              <w:t>®</w:t>
            </w:r>
            <w:r w:rsidRPr="00FA3F9C">
              <w:rPr>
                <w:rFonts w:ascii="Arial" w:hAnsi="Arial" w:cs="Arial"/>
                <w:sz w:val="24"/>
                <w:szCs w:val="24"/>
              </w:rPr>
              <w:t xml:space="preserve">)       </w:t>
            </w:r>
          </w:p>
          <w:p w14:paraId="0E52A764" w14:textId="77777777" w:rsidR="002641D2" w:rsidRPr="00FA3F9C" w:rsidRDefault="002641D2" w:rsidP="00635E21">
            <w:pPr>
              <w:rPr>
                <w:rFonts w:ascii="Arial" w:hAnsi="Arial" w:cs="Arial"/>
                <w:sz w:val="24"/>
                <w:szCs w:val="24"/>
              </w:rPr>
            </w:pPr>
            <w:r w:rsidRPr="00FA3F9C">
              <w:rPr>
                <w:rFonts w:ascii="Arial" w:hAnsi="Arial" w:cs="Arial"/>
                <w:sz w:val="24"/>
                <w:szCs w:val="24"/>
              </w:rPr>
              <w:t>⁭ Etanercept (Enbrel</w:t>
            </w:r>
            <w:r w:rsidRPr="00FA3F9C">
              <w:rPr>
                <w:rFonts w:ascii="Arial" w:hAnsi="Arial" w:cs="Arial"/>
                <w:sz w:val="24"/>
                <w:szCs w:val="24"/>
                <w:vertAlign w:val="superscript"/>
              </w:rPr>
              <w:t>®</w:t>
            </w:r>
            <w:r w:rsidRPr="00FA3F9C">
              <w:rPr>
                <w:rFonts w:ascii="Arial" w:hAnsi="Arial" w:cs="Arial"/>
                <w:sz w:val="24"/>
                <w:szCs w:val="24"/>
              </w:rPr>
              <w:t xml:space="preserve">)         </w:t>
            </w:r>
          </w:p>
          <w:p w14:paraId="13EC6E4A" w14:textId="77777777" w:rsidR="002641D2" w:rsidRPr="00FA3F9C" w:rsidRDefault="002641D2" w:rsidP="00635E21">
            <w:pPr>
              <w:rPr>
                <w:rFonts w:ascii="Arial" w:hAnsi="Arial" w:cs="Arial"/>
                <w:sz w:val="24"/>
                <w:szCs w:val="24"/>
                <w:lang w:val="es-ES"/>
              </w:rPr>
            </w:pPr>
            <w:r w:rsidRPr="00FA3F9C">
              <w:rPr>
                <w:rFonts w:ascii="Arial" w:hAnsi="Arial" w:cs="Arial"/>
                <w:sz w:val="24"/>
                <w:szCs w:val="24"/>
                <w:lang w:val="es-ES"/>
              </w:rPr>
              <w:t xml:space="preserve">⁭ </w:t>
            </w:r>
            <w:proofErr w:type="spellStart"/>
            <w:r w:rsidRPr="00FA3F9C">
              <w:rPr>
                <w:rFonts w:ascii="Arial" w:hAnsi="Arial" w:cs="Arial"/>
                <w:sz w:val="24"/>
                <w:szCs w:val="24"/>
                <w:lang w:val="es-ES"/>
              </w:rPr>
              <w:t>Infliximab</w:t>
            </w:r>
            <w:proofErr w:type="spellEnd"/>
            <w:r w:rsidRPr="00FA3F9C">
              <w:rPr>
                <w:rFonts w:ascii="Arial" w:hAnsi="Arial" w:cs="Arial"/>
                <w:sz w:val="24"/>
                <w:szCs w:val="24"/>
                <w:lang w:val="es-ES"/>
              </w:rPr>
              <w:t xml:space="preserve"> (</w:t>
            </w:r>
            <w:proofErr w:type="spellStart"/>
            <w:r w:rsidRPr="00FA3F9C">
              <w:rPr>
                <w:rFonts w:ascii="Arial" w:hAnsi="Arial" w:cs="Arial"/>
                <w:sz w:val="24"/>
                <w:szCs w:val="24"/>
                <w:lang w:val="es-ES"/>
              </w:rPr>
              <w:t>Remicade</w:t>
            </w:r>
            <w:proofErr w:type="spellEnd"/>
            <w:r w:rsidRPr="00FA3F9C">
              <w:rPr>
                <w:rFonts w:ascii="Arial" w:hAnsi="Arial" w:cs="Arial"/>
                <w:sz w:val="24"/>
                <w:szCs w:val="24"/>
                <w:vertAlign w:val="superscript"/>
                <w:lang w:val="es-ES"/>
              </w:rPr>
              <w:t>®</w:t>
            </w:r>
            <w:r w:rsidRPr="00FA3F9C">
              <w:rPr>
                <w:rFonts w:ascii="Arial" w:hAnsi="Arial" w:cs="Arial"/>
                <w:sz w:val="24"/>
                <w:szCs w:val="24"/>
                <w:lang w:val="es-ES"/>
              </w:rPr>
              <w:t xml:space="preserve">)   </w:t>
            </w:r>
          </w:p>
          <w:p w14:paraId="704FC0E1" w14:textId="77777777" w:rsidR="002641D2" w:rsidRPr="00FA3F9C" w:rsidRDefault="002641D2" w:rsidP="00635E21">
            <w:pPr>
              <w:rPr>
                <w:rFonts w:ascii="Arial" w:hAnsi="Arial" w:cs="Arial"/>
                <w:sz w:val="24"/>
                <w:szCs w:val="24"/>
                <w:lang w:val="es-ES"/>
              </w:rPr>
            </w:pPr>
            <w:r w:rsidRPr="00FA3F9C">
              <w:rPr>
                <w:rFonts w:ascii="Arial" w:hAnsi="Arial" w:cs="Arial"/>
                <w:sz w:val="24"/>
                <w:szCs w:val="24"/>
                <w:lang w:val="es-ES"/>
              </w:rPr>
              <w:t xml:space="preserve">⁭ </w:t>
            </w:r>
            <w:proofErr w:type="spellStart"/>
            <w:r w:rsidRPr="00FA3F9C">
              <w:rPr>
                <w:rFonts w:ascii="Arial" w:hAnsi="Arial" w:cs="Arial"/>
                <w:sz w:val="24"/>
                <w:szCs w:val="24"/>
                <w:lang w:val="es-ES"/>
              </w:rPr>
              <w:t>infliximab-abda</w:t>
            </w:r>
            <w:proofErr w:type="spellEnd"/>
            <w:r w:rsidRPr="00FA3F9C">
              <w:rPr>
                <w:rFonts w:ascii="Arial" w:hAnsi="Arial" w:cs="Arial"/>
                <w:sz w:val="24"/>
                <w:szCs w:val="24"/>
                <w:lang w:val="es-ES"/>
              </w:rPr>
              <w:t xml:space="preserve"> (</w:t>
            </w:r>
            <w:proofErr w:type="spellStart"/>
            <w:r w:rsidRPr="00FA3F9C">
              <w:rPr>
                <w:rFonts w:ascii="Arial" w:hAnsi="Arial" w:cs="Arial"/>
                <w:sz w:val="24"/>
                <w:szCs w:val="24"/>
                <w:lang w:val="es-ES"/>
              </w:rPr>
              <w:t>Renflexis</w:t>
            </w:r>
            <w:proofErr w:type="spellEnd"/>
            <w:r w:rsidRPr="00FA3F9C">
              <w:rPr>
                <w:rFonts w:ascii="Arial" w:hAnsi="Arial" w:cs="Arial"/>
                <w:sz w:val="24"/>
                <w:szCs w:val="24"/>
                <w:lang w:val="es-ES"/>
              </w:rPr>
              <w:t xml:space="preserve">) </w:t>
            </w:r>
          </w:p>
        </w:tc>
        <w:tc>
          <w:tcPr>
            <w:tcW w:w="2610" w:type="dxa"/>
            <w:tcBorders>
              <w:top w:val="thinThickSmallGap" w:sz="24" w:space="0" w:color="auto"/>
            </w:tcBorders>
          </w:tcPr>
          <w:p w14:paraId="3EA77A30" w14:textId="77777777" w:rsidR="002641D2" w:rsidRPr="00FA3F9C" w:rsidRDefault="002641D2" w:rsidP="000210BF">
            <w:pPr>
              <w:rPr>
                <w:rFonts w:ascii="Arial" w:hAnsi="Arial" w:cs="Arial"/>
                <w:sz w:val="24"/>
                <w:szCs w:val="24"/>
                <w:lang w:val="es-ES"/>
              </w:rPr>
            </w:pPr>
            <w:r w:rsidRPr="00FA3F9C">
              <w:rPr>
                <w:rFonts w:ascii="Arial" w:hAnsi="Arial" w:cs="Arial"/>
                <w:sz w:val="24"/>
                <w:szCs w:val="24"/>
                <w:lang w:val="es-ES"/>
              </w:rPr>
              <w:t xml:space="preserve">  IL-17 </w:t>
            </w:r>
            <w:proofErr w:type="spellStart"/>
            <w:r w:rsidRPr="00FA3F9C">
              <w:rPr>
                <w:rFonts w:ascii="Arial" w:hAnsi="Arial" w:cs="Arial"/>
                <w:sz w:val="24"/>
                <w:szCs w:val="24"/>
                <w:lang w:val="es-ES"/>
              </w:rPr>
              <w:t>inhibitors</w:t>
            </w:r>
            <w:proofErr w:type="spellEnd"/>
            <w:r w:rsidRPr="00FA3F9C">
              <w:rPr>
                <w:rFonts w:ascii="Arial" w:hAnsi="Arial" w:cs="Arial"/>
                <w:sz w:val="24"/>
                <w:szCs w:val="24"/>
                <w:lang w:val="es-ES"/>
              </w:rPr>
              <w:t>:</w:t>
            </w:r>
          </w:p>
          <w:p w14:paraId="3A07666B" w14:textId="77777777" w:rsidR="002641D2" w:rsidRPr="00FA3F9C" w:rsidRDefault="002641D2" w:rsidP="000210BF">
            <w:pPr>
              <w:rPr>
                <w:rFonts w:ascii="Arial" w:hAnsi="Arial" w:cs="Arial"/>
                <w:sz w:val="24"/>
                <w:szCs w:val="24"/>
                <w:lang w:val="es-ES"/>
              </w:rPr>
            </w:pPr>
            <w:r w:rsidRPr="00FA3F9C">
              <w:rPr>
                <w:rFonts w:ascii="Arial" w:hAnsi="Arial" w:cs="Arial"/>
                <w:sz w:val="24"/>
                <w:szCs w:val="24"/>
                <w:lang w:val="es-ES"/>
              </w:rPr>
              <w:t xml:space="preserve">⁭ </w:t>
            </w:r>
            <w:proofErr w:type="spellStart"/>
            <w:r w:rsidRPr="00FA3F9C">
              <w:rPr>
                <w:rFonts w:ascii="Arial" w:hAnsi="Arial" w:cs="Arial"/>
                <w:sz w:val="24"/>
                <w:szCs w:val="24"/>
                <w:lang w:val="es-ES"/>
              </w:rPr>
              <w:t>Secukinumab</w:t>
            </w:r>
            <w:proofErr w:type="spellEnd"/>
            <w:r w:rsidRPr="00FA3F9C">
              <w:rPr>
                <w:rFonts w:ascii="Arial" w:hAnsi="Arial" w:cs="Arial"/>
                <w:sz w:val="24"/>
                <w:szCs w:val="24"/>
                <w:lang w:val="es-ES"/>
              </w:rPr>
              <w:t xml:space="preserve"> (</w:t>
            </w:r>
            <w:proofErr w:type="spellStart"/>
            <w:r w:rsidRPr="00FA3F9C">
              <w:rPr>
                <w:rFonts w:ascii="Arial" w:hAnsi="Arial" w:cs="Arial"/>
                <w:sz w:val="24"/>
                <w:szCs w:val="24"/>
                <w:lang w:val="es-ES"/>
              </w:rPr>
              <w:t>Cosentyx</w:t>
            </w:r>
            <w:proofErr w:type="spellEnd"/>
            <w:r w:rsidRPr="00FA3F9C">
              <w:rPr>
                <w:rFonts w:ascii="Arial" w:hAnsi="Arial" w:cs="Arial"/>
                <w:sz w:val="24"/>
                <w:szCs w:val="24"/>
                <w:vertAlign w:val="superscript"/>
                <w:lang w:val="es-ES"/>
              </w:rPr>
              <w:t>®</w:t>
            </w:r>
            <w:r w:rsidRPr="00FA3F9C">
              <w:rPr>
                <w:rFonts w:ascii="Arial" w:hAnsi="Arial" w:cs="Arial"/>
                <w:sz w:val="24"/>
                <w:szCs w:val="24"/>
                <w:lang w:val="es-ES"/>
              </w:rPr>
              <w:t>)</w:t>
            </w:r>
          </w:p>
          <w:p w14:paraId="48F0EEB0" w14:textId="77777777" w:rsidR="002641D2" w:rsidRPr="00FA3F9C" w:rsidRDefault="002641D2" w:rsidP="000B6431">
            <w:pPr>
              <w:rPr>
                <w:rFonts w:ascii="Arial" w:hAnsi="Arial" w:cs="Arial"/>
                <w:sz w:val="24"/>
                <w:szCs w:val="24"/>
                <w:lang w:val="es-ES"/>
              </w:rPr>
            </w:pPr>
            <w:r w:rsidRPr="00FA3F9C">
              <w:rPr>
                <w:rFonts w:ascii="Arial" w:hAnsi="Arial" w:cs="Arial"/>
                <w:sz w:val="24"/>
                <w:szCs w:val="24"/>
                <w:lang w:val="es-ES"/>
              </w:rPr>
              <w:t xml:space="preserve">⁭ </w:t>
            </w:r>
            <w:proofErr w:type="spellStart"/>
            <w:r w:rsidRPr="00FA3F9C">
              <w:rPr>
                <w:rFonts w:ascii="Arial" w:hAnsi="Arial" w:cs="Arial"/>
                <w:sz w:val="24"/>
                <w:szCs w:val="24"/>
                <w:lang w:val="es-ES"/>
              </w:rPr>
              <w:t>Ixekinumab</w:t>
            </w:r>
            <w:proofErr w:type="spellEnd"/>
            <w:r w:rsidRPr="00FA3F9C">
              <w:rPr>
                <w:rFonts w:ascii="Arial" w:hAnsi="Arial" w:cs="Arial"/>
                <w:sz w:val="24"/>
                <w:szCs w:val="24"/>
                <w:lang w:val="es-ES"/>
              </w:rPr>
              <w:t xml:space="preserve"> (</w:t>
            </w:r>
            <w:proofErr w:type="spellStart"/>
            <w:r w:rsidRPr="00FA3F9C">
              <w:rPr>
                <w:rFonts w:ascii="Arial" w:hAnsi="Arial" w:cs="Arial"/>
                <w:sz w:val="24"/>
                <w:szCs w:val="24"/>
                <w:lang w:val="es-ES"/>
              </w:rPr>
              <w:t>Taltz</w:t>
            </w:r>
            <w:proofErr w:type="spellEnd"/>
            <w:r w:rsidRPr="00FA3F9C">
              <w:rPr>
                <w:rFonts w:ascii="Arial" w:hAnsi="Arial" w:cs="Arial"/>
                <w:sz w:val="24"/>
                <w:szCs w:val="24"/>
                <w:vertAlign w:val="superscript"/>
                <w:lang w:val="es-ES"/>
              </w:rPr>
              <w:t>®</w:t>
            </w:r>
            <w:r w:rsidRPr="00FA3F9C">
              <w:rPr>
                <w:rFonts w:ascii="Arial" w:hAnsi="Arial" w:cs="Arial"/>
                <w:sz w:val="24"/>
                <w:szCs w:val="24"/>
                <w:lang w:val="es-ES"/>
              </w:rPr>
              <w:t xml:space="preserve">)   </w:t>
            </w:r>
          </w:p>
          <w:p w14:paraId="5E01AB48" w14:textId="77777777" w:rsidR="002641D2" w:rsidRPr="00FA3F9C" w:rsidRDefault="002641D2" w:rsidP="000B6431">
            <w:pPr>
              <w:rPr>
                <w:rFonts w:ascii="Arial" w:hAnsi="Arial" w:cs="Arial"/>
                <w:sz w:val="24"/>
                <w:szCs w:val="24"/>
              </w:rPr>
            </w:pPr>
            <w:r w:rsidRPr="00FA3F9C">
              <w:rPr>
                <w:rFonts w:ascii="Arial" w:hAnsi="Arial" w:cs="Arial"/>
                <w:sz w:val="24"/>
                <w:szCs w:val="24"/>
              </w:rPr>
              <w:t xml:space="preserve">⁭ </w:t>
            </w:r>
            <w:proofErr w:type="spellStart"/>
            <w:r w:rsidRPr="00FA3F9C">
              <w:rPr>
                <w:rFonts w:ascii="Arial" w:hAnsi="Arial" w:cs="Arial"/>
                <w:sz w:val="24"/>
                <w:szCs w:val="24"/>
              </w:rPr>
              <w:t>Brodalumab</w:t>
            </w:r>
            <w:proofErr w:type="spellEnd"/>
            <w:r w:rsidRPr="00FA3F9C">
              <w:rPr>
                <w:rFonts w:ascii="Arial" w:hAnsi="Arial" w:cs="Arial"/>
                <w:sz w:val="24"/>
                <w:szCs w:val="24"/>
              </w:rPr>
              <w:t xml:space="preserve"> (</w:t>
            </w:r>
            <w:proofErr w:type="spellStart"/>
            <w:r w:rsidRPr="00FA3F9C">
              <w:rPr>
                <w:rFonts w:ascii="Arial" w:hAnsi="Arial" w:cs="Arial"/>
                <w:sz w:val="24"/>
                <w:szCs w:val="24"/>
              </w:rPr>
              <w:t>Siliq</w:t>
            </w:r>
            <w:proofErr w:type="spellEnd"/>
            <w:r w:rsidRPr="00FA3F9C">
              <w:rPr>
                <w:rFonts w:ascii="Arial" w:hAnsi="Arial" w:cs="Arial"/>
                <w:sz w:val="24"/>
                <w:szCs w:val="24"/>
                <w:vertAlign w:val="superscript"/>
              </w:rPr>
              <w:t>®</w:t>
            </w:r>
            <w:r w:rsidRPr="00FA3F9C">
              <w:rPr>
                <w:rFonts w:ascii="Arial" w:hAnsi="Arial" w:cs="Arial"/>
                <w:sz w:val="24"/>
                <w:szCs w:val="24"/>
              </w:rPr>
              <w:t xml:space="preserve">)  </w:t>
            </w:r>
          </w:p>
        </w:tc>
        <w:tc>
          <w:tcPr>
            <w:tcW w:w="2700" w:type="dxa"/>
            <w:tcBorders>
              <w:top w:val="thinThickSmallGap" w:sz="24" w:space="0" w:color="auto"/>
            </w:tcBorders>
          </w:tcPr>
          <w:p w14:paraId="0114BEBB" w14:textId="77777777" w:rsidR="002641D2" w:rsidRPr="00FA3F9C" w:rsidRDefault="002641D2" w:rsidP="000210BF">
            <w:pPr>
              <w:rPr>
                <w:rFonts w:ascii="Arial" w:hAnsi="Arial" w:cs="Arial"/>
                <w:sz w:val="24"/>
                <w:szCs w:val="24"/>
              </w:rPr>
            </w:pPr>
            <w:r w:rsidRPr="00FA3F9C">
              <w:rPr>
                <w:rFonts w:ascii="Arial" w:hAnsi="Arial" w:cs="Arial"/>
                <w:sz w:val="24"/>
                <w:szCs w:val="24"/>
              </w:rPr>
              <w:t xml:space="preserve">IL-12/23 inhibitors: </w:t>
            </w:r>
          </w:p>
          <w:p w14:paraId="13E5A9AF" w14:textId="77777777" w:rsidR="002641D2" w:rsidRPr="00FA3F9C" w:rsidRDefault="002641D2" w:rsidP="000210BF">
            <w:pPr>
              <w:rPr>
                <w:rFonts w:ascii="Arial" w:hAnsi="Arial" w:cs="Arial"/>
                <w:sz w:val="24"/>
                <w:szCs w:val="24"/>
              </w:rPr>
            </w:pPr>
            <w:r w:rsidRPr="00FA3F9C">
              <w:rPr>
                <w:rFonts w:ascii="Arial" w:hAnsi="Arial" w:cs="Arial"/>
                <w:sz w:val="24"/>
                <w:szCs w:val="24"/>
              </w:rPr>
              <w:t>*** Ustekinumab (Stelara</w:t>
            </w:r>
            <w:r w:rsidRPr="00FA3F9C">
              <w:rPr>
                <w:rFonts w:ascii="Arial" w:hAnsi="Arial" w:cs="Arial"/>
                <w:sz w:val="24"/>
                <w:szCs w:val="24"/>
                <w:vertAlign w:val="superscript"/>
              </w:rPr>
              <w:t>®</w:t>
            </w:r>
            <w:r w:rsidRPr="00FA3F9C">
              <w:rPr>
                <w:rFonts w:ascii="Arial" w:hAnsi="Arial" w:cs="Arial"/>
                <w:sz w:val="24"/>
                <w:szCs w:val="24"/>
              </w:rPr>
              <w:t>)—Please go to EBD PA criteria for “Ustekinumab” for criteria</w:t>
            </w:r>
          </w:p>
        </w:tc>
        <w:tc>
          <w:tcPr>
            <w:tcW w:w="2880" w:type="dxa"/>
            <w:gridSpan w:val="3"/>
            <w:tcBorders>
              <w:top w:val="thinThickSmallGap" w:sz="24" w:space="0" w:color="auto"/>
            </w:tcBorders>
          </w:tcPr>
          <w:p w14:paraId="6CAB5652" w14:textId="77777777" w:rsidR="002641D2" w:rsidRPr="00FA3F9C" w:rsidRDefault="002641D2" w:rsidP="000210BF">
            <w:pPr>
              <w:rPr>
                <w:rFonts w:ascii="Arial" w:hAnsi="Arial" w:cs="Arial"/>
                <w:sz w:val="24"/>
                <w:szCs w:val="24"/>
              </w:rPr>
            </w:pPr>
            <w:r w:rsidRPr="00FA3F9C">
              <w:rPr>
                <w:rFonts w:ascii="Arial" w:hAnsi="Arial" w:cs="Arial"/>
                <w:sz w:val="24"/>
                <w:szCs w:val="24"/>
              </w:rPr>
              <w:t>IL-23 inhibitor:</w:t>
            </w:r>
          </w:p>
          <w:p w14:paraId="041B7287" w14:textId="77777777" w:rsidR="002641D2" w:rsidRPr="00FA3F9C" w:rsidRDefault="002641D2" w:rsidP="000210BF">
            <w:pPr>
              <w:rPr>
                <w:rFonts w:ascii="Arial" w:hAnsi="Arial" w:cs="Arial"/>
                <w:sz w:val="24"/>
                <w:szCs w:val="24"/>
              </w:rPr>
            </w:pPr>
            <w:r w:rsidRPr="00FA3F9C">
              <w:rPr>
                <w:rFonts w:ascii="Arial" w:hAnsi="Arial" w:cs="Arial"/>
                <w:sz w:val="24"/>
                <w:szCs w:val="24"/>
              </w:rPr>
              <w:t xml:space="preserve">⁭ </w:t>
            </w:r>
            <w:proofErr w:type="spellStart"/>
            <w:r w:rsidRPr="00FA3F9C">
              <w:rPr>
                <w:rFonts w:ascii="Arial" w:hAnsi="Arial" w:cs="Arial"/>
                <w:sz w:val="24"/>
                <w:szCs w:val="24"/>
              </w:rPr>
              <w:t>Guselkumab</w:t>
            </w:r>
            <w:proofErr w:type="spellEnd"/>
            <w:r w:rsidRPr="00FA3F9C">
              <w:rPr>
                <w:rFonts w:ascii="Arial" w:hAnsi="Arial" w:cs="Arial"/>
                <w:sz w:val="24"/>
                <w:szCs w:val="24"/>
              </w:rPr>
              <w:t xml:space="preserve"> (Tremfya</w:t>
            </w:r>
            <w:r w:rsidRPr="00FA3F9C">
              <w:rPr>
                <w:rFonts w:ascii="Arial" w:hAnsi="Arial" w:cs="Arial"/>
                <w:sz w:val="24"/>
                <w:szCs w:val="24"/>
                <w:vertAlign w:val="superscript"/>
              </w:rPr>
              <w:t>®</w:t>
            </w:r>
            <w:r w:rsidRPr="00FA3F9C">
              <w:rPr>
                <w:rFonts w:ascii="Arial" w:hAnsi="Arial" w:cs="Arial"/>
                <w:sz w:val="24"/>
                <w:szCs w:val="24"/>
              </w:rPr>
              <w:t xml:space="preserve">)  </w:t>
            </w:r>
          </w:p>
          <w:p w14:paraId="2C05621C" w14:textId="77777777" w:rsidR="002641D2" w:rsidRPr="00FA3F9C" w:rsidRDefault="002641D2" w:rsidP="000210BF">
            <w:pPr>
              <w:rPr>
                <w:rFonts w:ascii="Arial" w:hAnsi="Arial" w:cs="Arial"/>
                <w:sz w:val="24"/>
                <w:szCs w:val="24"/>
              </w:rPr>
            </w:pPr>
            <w:r w:rsidRPr="00FA3F9C">
              <w:rPr>
                <w:rFonts w:ascii="Arial" w:hAnsi="Arial" w:cs="Arial"/>
                <w:sz w:val="24"/>
                <w:szCs w:val="24"/>
              </w:rPr>
              <w:t>⁭ Risankizumab (</w:t>
            </w:r>
            <w:proofErr w:type="spellStart"/>
            <w:r w:rsidRPr="00FA3F9C">
              <w:rPr>
                <w:rFonts w:ascii="Arial" w:hAnsi="Arial" w:cs="Arial"/>
                <w:sz w:val="24"/>
                <w:szCs w:val="24"/>
              </w:rPr>
              <w:t>Skyrizi</w:t>
            </w:r>
            <w:proofErr w:type="spellEnd"/>
            <w:r w:rsidRPr="00FA3F9C">
              <w:rPr>
                <w:rFonts w:ascii="Arial" w:hAnsi="Arial" w:cs="Arial"/>
                <w:sz w:val="24"/>
                <w:szCs w:val="24"/>
                <w:vertAlign w:val="superscript"/>
              </w:rPr>
              <w:t>®</w:t>
            </w:r>
            <w:r w:rsidRPr="00FA3F9C">
              <w:rPr>
                <w:rFonts w:ascii="Arial" w:hAnsi="Arial" w:cs="Arial"/>
                <w:sz w:val="24"/>
                <w:szCs w:val="24"/>
              </w:rPr>
              <w:t xml:space="preserve">)     </w:t>
            </w:r>
          </w:p>
        </w:tc>
      </w:tr>
      <w:tr w:rsidR="002641D2" w:rsidRPr="00FA3F9C" w14:paraId="3736F827" w14:textId="77777777" w:rsidTr="00752D0D">
        <w:tc>
          <w:tcPr>
            <w:tcW w:w="10980" w:type="dxa"/>
            <w:gridSpan w:val="6"/>
          </w:tcPr>
          <w:p w14:paraId="1FD1304F" w14:textId="77777777" w:rsidR="002641D2" w:rsidRPr="00FA3F9C" w:rsidRDefault="002641D2" w:rsidP="002641D2">
            <w:pPr>
              <w:numPr>
                <w:ilvl w:val="0"/>
                <w:numId w:val="266"/>
              </w:numPr>
              <w:spacing w:after="0" w:line="240" w:lineRule="auto"/>
              <w:rPr>
                <w:rFonts w:ascii="Arial" w:hAnsi="Arial" w:cs="Arial"/>
                <w:sz w:val="24"/>
                <w:szCs w:val="24"/>
              </w:rPr>
            </w:pPr>
            <w:r w:rsidRPr="00FA3F9C">
              <w:rPr>
                <w:rFonts w:ascii="Arial" w:hAnsi="Arial" w:cs="Arial"/>
                <w:sz w:val="24"/>
                <w:szCs w:val="24"/>
              </w:rPr>
              <w:t>If the patient ALSO HAS the diagnosis of psoriatic arthritis, approve the biologic without requiring “fail first therapy”.</w:t>
            </w:r>
          </w:p>
        </w:tc>
      </w:tr>
      <w:tr w:rsidR="002641D2" w:rsidRPr="00FA3F9C" w14:paraId="2DD80829" w14:textId="77777777" w:rsidTr="00752D0D">
        <w:tc>
          <w:tcPr>
            <w:tcW w:w="10980" w:type="dxa"/>
            <w:gridSpan w:val="6"/>
          </w:tcPr>
          <w:p w14:paraId="52DAC583" w14:textId="77777777" w:rsidR="002641D2" w:rsidRPr="00FA3F9C" w:rsidRDefault="002641D2" w:rsidP="002641D2">
            <w:pPr>
              <w:numPr>
                <w:ilvl w:val="0"/>
                <w:numId w:val="266"/>
              </w:numPr>
              <w:spacing w:after="0" w:line="240" w:lineRule="auto"/>
              <w:rPr>
                <w:rFonts w:ascii="Arial" w:hAnsi="Arial" w:cs="Arial"/>
                <w:sz w:val="24"/>
                <w:szCs w:val="24"/>
              </w:rPr>
            </w:pPr>
            <w:r w:rsidRPr="00FA3F9C">
              <w:rPr>
                <w:rFonts w:ascii="Arial" w:hAnsi="Arial" w:cs="Arial"/>
                <w:sz w:val="24"/>
                <w:szCs w:val="24"/>
              </w:rPr>
              <w:t xml:space="preserve">Otherwise, the patient must have a diagnosis of moderate to severe (affecting </w:t>
            </w:r>
            <w:r w:rsidRPr="00FA3F9C">
              <w:rPr>
                <w:rFonts w:ascii="Arial" w:hAnsi="Arial" w:cs="Arial"/>
                <w:sz w:val="24"/>
                <w:szCs w:val="24"/>
                <w:u w:val="single"/>
              </w:rPr>
              <w:t>&gt;</w:t>
            </w:r>
            <w:r w:rsidRPr="00FA3F9C">
              <w:rPr>
                <w:rFonts w:ascii="Arial" w:hAnsi="Arial" w:cs="Arial"/>
                <w:sz w:val="24"/>
                <w:szCs w:val="24"/>
              </w:rPr>
              <w:t>5% BSA) plaque psoriasis.</w:t>
            </w:r>
          </w:p>
        </w:tc>
      </w:tr>
      <w:tr w:rsidR="002641D2" w:rsidRPr="00FA3F9C" w14:paraId="397F592D" w14:textId="77777777" w:rsidTr="00752D0D">
        <w:tc>
          <w:tcPr>
            <w:tcW w:w="10980" w:type="dxa"/>
            <w:gridSpan w:val="6"/>
          </w:tcPr>
          <w:p w14:paraId="53BDD101" w14:textId="77777777" w:rsidR="002641D2" w:rsidRPr="00FA3F9C" w:rsidRDefault="002641D2" w:rsidP="002641D2">
            <w:pPr>
              <w:numPr>
                <w:ilvl w:val="0"/>
                <w:numId w:val="266"/>
              </w:numPr>
              <w:spacing w:after="0" w:line="240" w:lineRule="auto"/>
              <w:rPr>
                <w:rFonts w:ascii="Arial" w:hAnsi="Arial" w:cs="Arial"/>
                <w:sz w:val="24"/>
                <w:szCs w:val="24"/>
              </w:rPr>
            </w:pPr>
            <w:r w:rsidRPr="00FA3F9C">
              <w:rPr>
                <w:rFonts w:ascii="Arial" w:hAnsi="Arial" w:cs="Arial"/>
                <w:sz w:val="24"/>
                <w:szCs w:val="24"/>
              </w:rPr>
              <w:t>The patient must have failed 3 consecutive months of systemic or topical, non-biologic therapy including these options:</w:t>
            </w:r>
          </w:p>
          <w:p w14:paraId="3407F179" w14:textId="77777777" w:rsidR="002641D2" w:rsidRPr="00FA3F9C" w:rsidRDefault="002641D2" w:rsidP="002641D2">
            <w:pPr>
              <w:numPr>
                <w:ilvl w:val="0"/>
                <w:numId w:val="18"/>
              </w:numPr>
              <w:spacing w:after="0" w:line="240" w:lineRule="auto"/>
              <w:rPr>
                <w:rFonts w:ascii="Arial" w:hAnsi="Arial" w:cs="Arial"/>
                <w:sz w:val="24"/>
                <w:szCs w:val="24"/>
              </w:rPr>
            </w:pPr>
            <w:r w:rsidRPr="00FA3F9C">
              <w:rPr>
                <w:rFonts w:ascii="Arial" w:hAnsi="Arial" w:cs="Arial"/>
                <w:sz w:val="24"/>
                <w:szCs w:val="24"/>
              </w:rPr>
              <w:t>systemic therapy: methotrexate or cyclosporine or acitretin systemic therapy</w:t>
            </w:r>
          </w:p>
          <w:p w14:paraId="2FC78E31" w14:textId="77777777" w:rsidR="002641D2" w:rsidRPr="00FA3F9C" w:rsidRDefault="002641D2" w:rsidP="002641D2">
            <w:pPr>
              <w:numPr>
                <w:ilvl w:val="0"/>
                <w:numId w:val="18"/>
              </w:numPr>
              <w:spacing w:after="0" w:line="240" w:lineRule="auto"/>
              <w:rPr>
                <w:rFonts w:ascii="Arial" w:hAnsi="Arial" w:cs="Arial"/>
                <w:sz w:val="24"/>
                <w:szCs w:val="24"/>
              </w:rPr>
            </w:pPr>
            <w:r w:rsidRPr="00FA3F9C">
              <w:rPr>
                <w:rFonts w:ascii="Arial" w:hAnsi="Arial" w:cs="Arial"/>
                <w:sz w:val="24"/>
                <w:szCs w:val="24"/>
              </w:rPr>
              <w:t xml:space="preserve">phototherapy (broadband ultraviolet B (UVB), narrowband UVB, and psoralen with ultraviolet A (PUVA) </w:t>
            </w:r>
          </w:p>
          <w:p w14:paraId="15A6C279" w14:textId="77777777" w:rsidR="002641D2" w:rsidRPr="00FA3F9C" w:rsidRDefault="002641D2" w:rsidP="002641D2">
            <w:pPr>
              <w:numPr>
                <w:ilvl w:val="0"/>
                <w:numId w:val="18"/>
              </w:numPr>
              <w:spacing w:after="0" w:line="240" w:lineRule="auto"/>
              <w:rPr>
                <w:rFonts w:ascii="Arial" w:hAnsi="Arial" w:cs="Arial"/>
                <w:sz w:val="24"/>
                <w:szCs w:val="24"/>
              </w:rPr>
            </w:pPr>
            <w:r w:rsidRPr="00FA3F9C">
              <w:rPr>
                <w:rFonts w:ascii="Arial" w:hAnsi="Arial" w:cs="Arial"/>
                <w:sz w:val="24"/>
                <w:szCs w:val="24"/>
              </w:rPr>
              <w:t xml:space="preserve">topical treatments (calcineurin inhibitors (tacrolimus or </w:t>
            </w:r>
            <w:proofErr w:type="spellStart"/>
            <w:r w:rsidRPr="00FA3F9C">
              <w:rPr>
                <w:rFonts w:ascii="Arial" w:hAnsi="Arial" w:cs="Arial"/>
                <w:sz w:val="24"/>
                <w:szCs w:val="24"/>
              </w:rPr>
              <w:t>pimecrolimus</w:t>
            </w:r>
            <w:proofErr w:type="spellEnd"/>
            <w:r w:rsidRPr="00FA3F9C">
              <w:rPr>
                <w:rFonts w:ascii="Arial" w:hAnsi="Arial" w:cs="Arial"/>
                <w:sz w:val="24"/>
                <w:szCs w:val="24"/>
              </w:rPr>
              <w:t>), topical corticosteroids, vitamin D analogs (calcipotriene), topical retinoids (tazarotene))</w:t>
            </w:r>
          </w:p>
        </w:tc>
      </w:tr>
      <w:tr w:rsidR="002641D2" w:rsidRPr="00FA3F9C" w14:paraId="6701A3CF" w14:textId="77777777" w:rsidTr="00752D0D">
        <w:tc>
          <w:tcPr>
            <w:tcW w:w="10980" w:type="dxa"/>
            <w:gridSpan w:val="6"/>
          </w:tcPr>
          <w:p w14:paraId="658CD62F" w14:textId="77777777" w:rsidR="002641D2" w:rsidRPr="00FA3F9C" w:rsidRDefault="002641D2" w:rsidP="00C967BC">
            <w:pPr>
              <w:ind w:left="360"/>
              <w:rPr>
                <w:rFonts w:ascii="Arial" w:hAnsi="Arial" w:cs="Arial"/>
                <w:sz w:val="24"/>
                <w:szCs w:val="24"/>
              </w:rPr>
            </w:pPr>
            <w:r w:rsidRPr="00FA3F9C">
              <w:rPr>
                <w:rFonts w:ascii="Arial" w:hAnsi="Arial" w:cs="Arial"/>
                <w:sz w:val="24"/>
                <w:szCs w:val="24"/>
              </w:rPr>
              <w:t>If yes to 1., then approve.  If yes to 2 &amp; 3 above, approve.</w:t>
            </w:r>
          </w:p>
        </w:tc>
      </w:tr>
      <w:tr w:rsidR="002641D2" w:rsidRPr="00FA3F9C" w14:paraId="35472F4A" w14:textId="77777777" w:rsidTr="00752D0D">
        <w:tc>
          <w:tcPr>
            <w:tcW w:w="10980" w:type="dxa"/>
            <w:gridSpan w:val="6"/>
          </w:tcPr>
          <w:p w14:paraId="44F63B21" w14:textId="77777777" w:rsidR="002641D2" w:rsidRPr="00FA3F9C" w:rsidRDefault="002641D2" w:rsidP="00C967BC">
            <w:pPr>
              <w:ind w:left="360"/>
              <w:rPr>
                <w:rFonts w:ascii="Arial" w:hAnsi="Arial" w:cs="Arial"/>
                <w:sz w:val="24"/>
                <w:szCs w:val="24"/>
              </w:rPr>
            </w:pPr>
            <w:r w:rsidRPr="00FA3F9C">
              <w:rPr>
                <w:rFonts w:ascii="Arial" w:hAnsi="Arial" w:cs="Arial"/>
                <w:sz w:val="24"/>
                <w:szCs w:val="24"/>
              </w:rPr>
              <w:t>Approved PA will expire in 12 months.</w:t>
            </w:r>
          </w:p>
        </w:tc>
      </w:tr>
      <w:tr w:rsidR="002641D2" w:rsidRPr="00FA3F9C" w14:paraId="6FE51319" w14:textId="77777777" w:rsidTr="00752D0D">
        <w:tc>
          <w:tcPr>
            <w:tcW w:w="10980" w:type="dxa"/>
            <w:gridSpan w:val="6"/>
          </w:tcPr>
          <w:p w14:paraId="06EDFC9C" w14:textId="77777777" w:rsidR="002641D2" w:rsidRPr="00FA3F9C" w:rsidRDefault="002641D2" w:rsidP="00C967BC">
            <w:pPr>
              <w:rPr>
                <w:rFonts w:ascii="Arial" w:hAnsi="Arial" w:cs="Arial"/>
                <w:sz w:val="24"/>
                <w:szCs w:val="24"/>
              </w:rPr>
            </w:pPr>
            <w:r w:rsidRPr="00FA3F9C">
              <w:rPr>
                <w:rFonts w:ascii="Arial" w:hAnsi="Arial" w:cs="Arial"/>
                <w:sz w:val="24"/>
                <w:szCs w:val="24"/>
              </w:rPr>
              <w:t>References:</w:t>
            </w:r>
          </w:p>
          <w:p w14:paraId="73008E29" w14:textId="77777777" w:rsidR="002641D2" w:rsidRPr="00FA3F9C" w:rsidRDefault="002641D2" w:rsidP="00C967BC">
            <w:pPr>
              <w:rPr>
                <w:rFonts w:ascii="Arial" w:hAnsi="Arial" w:cs="Arial"/>
                <w:sz w:val="24"/>
                <w:szCs w:val="24"/>
              </w:rPr>
            </w:pPr>
            <w:r w:rsidRPr="00FA3F9C">
              <w:rPr>
                <w:rFonts w:ascii="Arial" w:hAnsi="Arial" w:cs="Arial"/>
                <w:sz w:val="24"/>
                <w:szCs w:val="24"/>
              </w:rPr>
              <w:lastRenderedPageBreak/>
              <w:t>1. 2018 American Academy of Dermatology (AAD)Psoriasis Guidelines. [Update is being prepared for 2018.]</w:t>
            </w:r>
          </w:p>
          <w:p w14:paraId="775AC283" w14:textId="77777777" w:rsidR="002641D2" w:rsidRPr="00FA3F9C" w:rsidRDefault="002641D2" w:rsidP="00C967BC">
            <w:pPr>
              <w:rPr>
                <w:rFonts w:ascii="Arial" w:hAnsi="Arial" w:cs="Arial"/>
                <w:sz w:val="24"/>
                <w:szCs w:val="24"/>
              </w:rPr>
            </w:pPr>
            <w:r w:rsidRPr="00FA3F9C">
              <w:rPr>
                <w:rFonts w:ascii="Arial" w:hAnsi="Arial" w:cs="Arial"/>
                <w:sz w:val="24"/>
                <w:szCs w:val="24"/>
              </w:rPr>
              <w:t xml:space="preserve">2. ICER report 2018, Psoriasis. </w:t>
            </w:r>
            <w:hyperlink r:id="rId246" w:history="1">
              <w:r w:rsidRPr="00FA3F9C">
                <w:rPr>
                  <w:rStyle w:val="Hyperlink"/>
                  <w:rFonts w:ascii="Arial" w:hAnsi="Arial" w:cs="Arial"/>
                  <w:sz w:val="24"/>
                  <w:szCs w:val="24"/>
                </w:rPr>
                <w:t>https://icer-review.org/wp-content/uploads/2017/11/ICER_Psoriasis_Update_Draft_Report_04272018.pdf</w:t>
              </w:r>
            </w:hyperlink>
          </w:p>
        </w:tc>
      </w:tr>
      <w:tr w:rsidR="002641D2" w:rsidRPr="00FA3F9C" w14:paraId="11CC22E4" w14:textId="77777777" w:rsidTr="00C00451">
        <w:tc>
          <w:tcPr>
            <w:tcW w:w="10980" w:type="dxa"/>
            <w:gridSpan w:val="6"/>
            <w:tcBorders>
              <w:top w:val="thinThickSmallGap" w:sz="24" w:space="0" w:color="auto"/>
              <w:left w:val="thinThickSmallGap" w:sz="24" w:space="0" w:color="auto"/>
              <w:bottom w:val="thinThickSmallGap" w:sz="24" w:space="0" w:color="auto"/>
              <w:right w:val="thinThickSmallGap" w:sz="24" w:space="0" w:color="auto"/>
            </w:tcBorders>
          </w:tcPr>
          <w:p w14:paraId="421A9B7F" w14:textId="77777777" w:rsidR="002641D2" w:rsidRPr="00FA3F9C" w:rsidRDefault="002641D2" w:rsidP="00C967BC">
            <w:pPr>
              <w:rPr>
                <w:rFonts w:ascii="Arial" w:hAnsi="Arial" w:cs="Arial"/>
                <w:sz w:val="24"/>
                <w:szCs w:val="24"/>
              </w:rPr>
            </w:pPr>
            <w:r w:rsidRPr="00FA3F9C">
              <w:rPr>
                <w:rFonts w:ascii="Arial" w:hAnsi="Arial" w:cs="Arial"/>
                <w:b/>
                <w:sz w:val="24"/>
                <w:szCs w:val="24"/>
              </w:rPr>
              <w:lastRenderedPageBreak/>
              <w:t>Crohn’s Disease</w:t>
            </w:r>
          </w:p>
        </w:tc>
      </w:tr>
      <w:tr w:rsidR="002641D2" w:rsidRPr="00FA3F9C" w14:paraId="195BBAF2" w14:textId="77777777" w:rsidTr="00C00451">
        <w:tc>
          <w:tcPr>
            <w:tcW w:w="10980" w:type="dxa"/>
            <w:gridSpan w:val="6"/>
            <w:tcBorders>
              <w:top w:val="thinThickSmallGap" w:sz="24" w:space="0" w:color="auto"/>
            </w:tcBorders>
            <w:shd w:val="pct20" w:color="auto" w:fill="auto"/>
          </w:tcPr>
          <w:p w14:paraId="5F6350CE" w14:textId="77777777" w:rsidR="002641D2" w:rsidRPr="00FA3F9C" w:rsidRDefault="002641D2" w:rsidP="00C967BC">
            <w:pPr>
              <w:rPr>
                <w:rFonts w:ascii="Arial" w:hAnsi="Arial" w:cs="Arial"/>
                <w:sz w:val="24"/>
                <w:szCs w:val="24"/>
                <w:lang w:val="es-ES"/>
              </w:rPr>
            </w:pPr>
            <w:r w:rsidRPr="00FA3F9C">
              <w:rPr>
                <w:rFonts w:ascii="Arial" w:hAnsi="Arial" w:cs="Arial"/>
                <w:sz w:val="24"/>
                <w:szCs w:val="24"/>
                <w:lang w:val="es-ES"/>
              </w:rPr>
              <w:t xml:space="preserve">⁭ </w:t>
            </w:r>
            <w:proofErr w:type="spellStart"/>
            <w:r w:rsidRPr="00FA3F9C">
              <w:rPr>
                <w:rFonts w:ascii="Arial" w:hAnsi="Arial" w:cs="Arial"/>
                <w:sz w:val="24"/>
                <w:szCs w:val="24"/>
                <w:lang w:val="es-ES"/>
              </w:rPr>
              <w:t>Adalimumab</w:t>
            </w:r>
            <w:proofErr w:type="spellEnd"/>
            <w:r w:rsidRPr="00FA3F9C">
              <w:rPr>
                <w:rFonts w:ascii="Arial" w:hAnsi="Arial" w:cs="Arial"/>
                <w:sz w:val="24"/>
                <w:szCs w:val="24"/>
                <w:lang w:val="es-ES"/>
              </w:rPr>
              <w:t xml:space="preserve"> (</w:t>
            </w:r>
            <w:proofErr w:type="spellStart"/>
            <w:r w:rsidRPr="00FA3F9C">
              <w:rPr>
                <w:rFonts w:ascii="Arial" w:hAnsi="Arial" w:cs="Arial"/>
                <w:sz w:val="24"/>
                <w:szCs w:val="24"/>
                <w:lang w:val="es-ES"/>
              </w:rPr>
              <w:t>Humira</w:t>
            </w:r>
            <w:proofErr w:type="spellEnd"/>
            <w:r w:rsidRPr="00FA3F9C">
              <w:rPr>
                <w:rFonts w:ascii="Arial" w:hAnsi="Arial" w:cs="Arial"/>
                <w:sz w:val="24"/>
                <w:szCs w:val="24"/>
                <w:vertAlign w:val="superscript"/>
                <w:lang w:val="es-ES"/>
              </w:rPr>
              <w:t>®</w:t>
            </w:r>
            <w:r w:rsidRPr="00FA3F9C">
              <w:rPr>
                <w:rFonts w:ascii="Arial" w:hAnsi="Arial" w:cs="Arial"/>
                <w:sz w:val="24"/>
                <w:szCs w:val="24"/>
                <w:lang w:val="es-ES"/>
              </w:rPr>
              <w:t xml:space="preserve">) </w:t>
            </w:r>
          </w:p>
          <w:p w14:paraId="001FCFB9" w14:textId="77777777" w:rsidR="002641D2" w:rsidRPr="00FA3F9C" w:rsidRDefault="002641D2" w:rsidP="00C967BC">
            <w:pPr>
              <w:rPr>
                <w:rFonts w:ascii="Arial" w:hAnsi="Arial" w:cs="Arial"/>
                <w:sz w:val="24"/>
                <w:szCs w:val="24"/>
                <w:lang w:val="es-ES"/>
              </w:rPr>
            </w:pPr>
            <w:r w:rsidRPr="00FA3F9C">
              <w:rPr>
                <w:rFonts w:ascii="Arial" w:hAnsi="Arial" w:cs="Arial"/>
                <w:sz w:val="24"/>
                <w:szCs w:val="24"/>
                <w:lang w:val="es-ES"/>
              </w:rPr>
              <w:t xml:space="preserve">⁭ </w:t>
            </w:r>
            <w:proofErr w:type="spellStart"/>
            <w:r w:rsidRPr="00FA3F9C">
              <w:rPr>
                <w:rFonts w:ascii="Arial" w:hAnsi="Arial" w:cs="Arial"/>
                <w:sz w:val="24"/>
                <w:szCs w:val="24"/>
                <w:lang w:val="es-ES"/>
              </w:rPr>
              <w:t>Certolizumab</w:t>
            </w:r>
            <w:proofErr w:type="spellEnd"/>
            <w:r w:rsidRPr="00FA3F9C">
              <w:rPr>
                <w:rFonts w:ascii="Arial" w:hAnsi="Arial" w:cs="Arial"/>
                <w:sz w:val="24"/>
                <w:szCs w:val="24"/>
                <w:lang w:val="es-ES"/>
              </w:rPr>
              <w:t xml:space="preserve"> </w:t>
            </w:r>
            <w:proofErr w:type="spellStart"/>
            <w:r w:rsidRPr="00FA3F9C">
              <w:rPr>
                <w:rFonts w:ascii="Arial" w:hAnsi="Arial" w:cs="Arial"/>
                <w:sz w:val="24"/>
                <w:szCs w:val="24"/>
                <w:lang w:val="es-ES"/>
              </w:rPr>
              <w:t>pegol</w:t>
            </w:r>
            <w:proofErr w:type="spellEnd"/>
            <w:r w:rsidRPr="00FA3F9C">
              <w:rPr>
                <w:rFonts w:ascii="Arial" w:hAnsi="Arial" w:cs="Arial"/>
                <w:sz w:val="24"/>
                <w:szCs w:val="24"/>
                <w:lang w:val="es-ES"/>
              </w:rPr>
              <w:t xml:space="preserve"> (</w:t>
            </w:r>
            <w:proofErr w:type="spellStart"/>
            <w:r w:rsidRPr="00FA3F9C">
              <w:rPr>
                <w:rFonts w:ascii="Arial" w:hAnsi="Arial" w:cs="Arial"/>
                <w:sz w:val="24"/>
                <w:szCs w:val="24"/>
                <w:lang w:val="es-ES"/>
              </w:rPr>
              <w:t>Cimzia</w:t>
            </w:r>
            <w:proofErr w:type="spellEnd"/>
            <w:r w:rsidRPr="00FA3F9C">
              <w:rPr>
                <w:rFonts w:ascii="Arial" w:hAnsi="Arial" w:cs="Arial"/>
                <w:sz w:val="24"/>
                <w:szCs w:val="24"/>
                <w:vertAlign w:val="superscript"/>
                <w:lang w:val="es-ES"/>
              </w:rPr>
              <w:t>®</w:t>
            </w:r>
            <w:r w:rsidRPr="00FA3F9C">
              <w:rPr>
                <w:rFonts w:ascii="Arial" w:hAnsi="Arial" w:cs="Arial"/>
                <w:sz w:val="24"/>
                <w:szCs w:val="24"/>
                <w:lang w:val="es-ES"/>
              </w:rPr>
              <w:t xml:space="preserve">) </w:t>
            </w:r>
          </w:p>
          <w:p w14:paraId="5F709A5C" w14:textId="77777777" w:rsidR="002641D2" w:rsidRPr="00FA3F9C" w:rsidRDefault="002641D2" w:rsidP="00C967BC">
            <w:pPr>
              <w:rPr>
                <w:rFonts w:ascii="Arial" w:hAnsi="Arial" w:cs="Arial"/>
                <w:sz w:val="24"/>
                <w:szCs w:val="24"/>
                <w:lang w:val="es-ES"/>
              </w:rPr>
            </w:pPr>
            <w:r w:rsidRPr="00FA3F9C">
              <w:rPr>
                <w:rFonts w:ascii="Arial" w:hAnsi="Arial" w:cs="Arial"/>
                <w:sz w:val="24"/>
                <w:szCs w:val="24"/>
                <w:lang w:val="es-ES"/>
              </w:rPr>
              <w:t xml:space="preserve">⁭ </w:t>
            </w:r>
            <w:proofErr w:type="spellStart"/>
            <w:r w:rsidRPr="00FA3F9C">
              <w:rPr>
                <w:rFonts w:ascii="Arial" w:hAnsi="Arial" w:cs="Arial"/>
                <w:sz w:val="24"/>
                <w:szCs w:val="24"/>
                <w:lang w:val="es-ES"/>
              </w:rPr>
              <w:t>Infliximab</w:t>
            </w:r>
            <w:proofErr w:type="spellEnd"/>
            <w:r w:rsidRPr="00FA3F9C">
              <w:rPr>
                <w:rFonts w:ascii="Arial" w:hAnsi="Arial" w:cs="Arial"/>
                <w:sz w:val="24"/>
                <w:szCs w:val="24"/>
                <w:lang w:val="es-ES"/>
              </w:rPr>
              <w:t xml:space="preserve"> (</w:t>
            </w:r>
            <w:proofErr w:type="spellStart"/>
            <w:r w:rsidRPr="00FA3F9C">
              <w:rPr>
                <w:rFonts w:ascii="Arial" w:hAnsi="Arial" w:cs="Arial"/>
                <w:sz w:val="24"/>
                <w:szCs w:val="24"/>
                <w:lang w:val="es-ES"/>
              </w:rPr>
              <w:t>Remicade</w:t>
            </w:r>
            <w:proofErr w:type="spellEnd"/>
            <w:r w:rsidRPr="00FA3F9C">
              <w:rPr>
                <w:rFonts w:ascii="Arial" w:hAnsi="Arial" w:cs="Arial"/>
                <w:sz w:val="24"/>
                <w:szCs w:val="24"/>
                <w:vertAlign w:val="superscript"/>
                <w:lang w:val="es-ES"/>
              </w:rPr>
              <w:t>®</w:t>
            </w:r>
            <w:r w:rsidRPr="00FA3F9C">
              <w:rPr>
                <w:rFonts w:ascii="Arial" w:hAnsi="Arial" w:cs="Arial"/>
                <w:sz w:val="24"/>
                <w:szCs w:val="24"/>
                <w:lang w:val="es-ES"/>
              </w:rPr>
              <w:t>)</w:t>
            </w:r>
          </w:p>
          <w:p w14:paraId="7DDEB76D" w14:textId="77777777" w:rsidR="002641D2" w:rsidRPr="00FA3F9C" w:rsidRDefault="002641D2" w:rsidP="00C967BC">
            <w:pPr>
              <w:rPr>
                <w:rFonts w:ascii="Arial" w:hAnsi="Arial" w:cs="Arial"/>
                <w:sz w:val="24"/>
                <w:szCs w:val="24"/>
                <w:lang w:val="es-ES"/>
              </w:rPr>
            </w:pPr>
            <w:r w:rsidRPr="00FA3F9C">
              <w:rPr>
                <w:rFonts w:ascii="Arial" w:hAnsi="Arial" w:cs="Arial"/>
                <w:sz w:val="24"/>
                <w:szCs w:val="24"/>
                <w:lang w:val="es-ES"/>
              </w:rPr>
              <w:t xml:space="preserve">⁭ </w:t>
            </w:r>
            <w:proofErr w:type="spellStart"/>
            <w:r w:rsidRPr="00FA3F9C">
              <w:rPr>
                <w:rFonts w:ascii="Arial" w:hAnsi="Arial" w:cs="Arial"/>
                <w:sz w:val="24"/>
                <w:szCs w:val="24"/>
                <w:lang w:val="es-ES"/>
              </w:rPr>
              <w:t>infliximab-abda</w:t>
            </w:r>
            <w:proofErr w:type="spellEnd"/>
            <w:r w:rsidRPr="00FA3F9C">
              <w:rPr>
                <w:rFonts w:ascii="Arial" w:hAnsi="Arial" w:cs="Arial"/>
                <w:sz w:val="24"/>
                <w:szCs w:val="24"/>
                <w:lang w:val="es-ES"/>
              </w:rPr>
              <w:t xml:space="preserve"> (</w:t>
            </w:r>
            <w:proofErr w:type="spellStart"/>
            <w:r w:rsidRPr="00FA3F9C">
              <w:rPr>
                <w:rFonts w:ascii="Arial" w:hAnsi="Arial" w:cs="Arial"/>
                <w:sz w:val="24"/>
                <w:szCs w:val="24"/>
                <w:lang w:val="es-ES"/>
              </w:rPr>
              <w:t>Renflexis</w:t>
            </w:r>
            <w:proofErr w:type="spellEnd"/>
            <w:r w:rsidRPr="00FA3F9C">
              <w:rPr>
                <w:rFonts w:ascii="Arial" w:hAnsi="Arial" w:cs="Arial"/>
                <w:sz w:val="24"/>
                <w:szCs w:val="24"/>
                <w:vertAlign w:val="superscript"/>
                <w:lang w:val="es-ES"/>
              </w:rPr>
              <w:t>®</w:t>
            </w:r>
            <w:r w:rsidRPr="00FA3F9C">
              <w:rPr>
                <w:rFonts w:ascii="Arial" w:hAnsi="Arial" w:cs="Arial"/>
                <w:sz w:val="24"/>
                <w:szCs w:val="24"/>
                <w:lang w:val="es-ES"/>
              </w:rPr>
              <w:t>)</w:t>
            </w:r>
          </w:p>
          <w:p w14:paraId="642FD06C" w14:textId="77777777" w:rsidR="002641D2" w:rsidRPr="00FA3F9C" w:rsidRDefault="002641D2" w:rsidP="00C967BC">
            <w:pPr>
              <w:rPr>
                <w:rFonts w:ascii="Arial" w:hAnsi="Arial" w:cs="Arial"/>
                <w:sz w:val="24"/>
                <w:szCs w:val="24"/>
              </w:rPr>
            </w:pPr>
            <w:r w:rsidRPr="00FA3F9C">
              <w:rPr>
                <w:rFonts w:ascii="Arial" w:hAnsi="Arial" w:cs="Arial"/>
                <w:sz w:val="24"/>
                <w:szCs w:val="24"/>
              </w:rPr>
              <w:t>⁭ infliximab-</w:t>
            </w:r>
            <w:proofErr w:type="spellStart"/>
            <w:r w:rsidRPr="00FA3F9C">
              <w:rPr>
                <w:rFonts w:ascii="Arial" w:hAnsi="Arial" w:cs="Arial"/>
                <w:sz w:val="24"/>
                <w:szCs w:val="24"/>
              </w:rPr>
              <w:t>abda</w:t>
            </w:r>
            <w:proofErr w:type="spellEnd"/>
            <w:r w:rsidRPr="00FA3F9C">
              <w:rPr>
                <w:rFonts w:ascii="Arial" w:hAnsi="Arial" w:cs="Arial"/>
                <w:sz w:val="24"/>
                <w:szCs w:val="24"/>
              </w:rPr>
              <w:t xml:space="preserve"> (</w:t>
            </w:r>
            <w:proofErr w:type="spellStart"/>
            <w:r w:rsidRPr="00FA3F9C">
              <w:rPr>
                <w:rFonts w:ascii="Arial" w:hAnsi="Arial" w:cs="Arial"/>
                <w:sz w:val="24"/>
                <w:szCs w:val="24"/>
              </w:rPr>
              <w:t>Inflectra</w:t>
            </w:r>
            <w:proofErr w:type="spellEnd"/>
            <w:r w:rsidRPr="00FA3F9C">
              <w:rPr>
                <w:rFonts w:ascii="Arial" w:hAnsi="Arial" w:cs="Arial"/>
                <w:sz w:val="24"/>
                <w:szCs w:val="24"/>
                <w:vertAlign w:val="superscript"/>
              </w:rPr>
              <w:t>®</w:t>
            </w:r>
            <w:r w:rsidRPr="00FA3F9C">
              <w:rPr>
                <w:rFonts w:ascii="Arial" w:hAnsi="Arial" w:cs="Arial"/>
                <w:sz w:val="24"/>
                <w:szCs w:val="24"/>
              </w:rPr>
              <w:t>)</w:t>
            </w:r>
          </w:p>
        </w:tc>
      </w:tr>
      <w:tr w:rsidR="002641D2" w:rsidRPr="00FA3F9C" w14:paraId="2742BA60" w14:textId="77777777" w:rsidTr="00752D0D">
        <w:tc>
          <w:tcPr>
            <w:tcW w:w="10980" w:type="dxa"/>
            <w:gridSpan w:val="6"/>
          </w:tcPr>
          <w:p w14:paraId="6F1F851E" w14:textId="77777777" w:rsidR="002641D2" w:rsidRPr="00FA3F9C" w:rsidRDefault="002641D2" w:rsidP="002641D2">
            <w:pPr>
              <w:numPr>
                <w:ilvl w:val="0"/>
                <w:numId w:val="267"/>
              </w:numPr>
              <w:spacing w:after="0" w:line="240" w:lineRule="auto"/>
              <w:rPr>
                <w:rFonts w:ascii="Arial" w:hAnsi="Arial" w:cs="Arial"/>
                <w:sz w:val="24"/>
                <w:szCs w:val="24"/>
              </w:rPr>
            </w:pPr>
            <w:r w:rsidRPr="00FA3F9C">
              <w:rPr>
                <w:rFonts w:ascii="Arial" w:hAnsi="Arial" w:cs="Arial"/>
                <w:sz w:val="24"/>
                <w:szCs w:val="24"/>
              </w:rPr>
              <w:t>The patient must have a diagnosis of Crohn’s disease.</w:t>
            </w:r>
          </w:p>
        </w:tc>
      </w:tr>
      <w:tr w:rsidR="002641D2" w:rsidRPr="00FA3F9C" w14:paraId="10F3011F" w14:textId="77777777" w:rsidTr="00752D0D">
        <w:tc>
          <w:tcPr>
            <w:tcW w:w="10980" w:type="dxa"/>
            <w:gridSpan w:val="6"/>
          </w:tcPr>
          <w:p w14:paraId="45F4ACB2" w14:textId="77777777" w:rsidR="002641D2" w:rsidRPr="00FA3F9C" w:rsidRDefault="002641D2" w:rsidP="002641D2">
            <w:pPr>
              <w:numPr>
                <w:ilvl w:val="0"/>
                <w:numId w:val="267"/>
              </w:numPr>
              <w:spacing w:after="0" w:line="240" w:lineRule="auto"/>
              <w:rPr>
                <w:rFonts w:ascii="Arial" w:hAnsi="Arial" w:cs="Arial"/>
                <w:sz w:val="24"/>
                <w:szCs w:val="24"/>
              </w:rPr>
            </w:pPr>
            <w:r w:rsidRPr="00FA3F9C">
              <w:rPr>
                <w:rFonts w:ascii="Arial" w:hAnsi="Arial" w:cs="Arial"/>
                <w:sz w:val="24"/>
                <w:szCs w:val="24"/>
              </w:rPr>
              <w:t xml:space="preserve">The patient must either be corticosteroid-dependent (with CDAI score &gt;220) </w:t>
            </w:r>
          </w:p>
          <w:p w14:paraId="56920EDD" w14:textId="77777777" w:rsidR="002641D2" w:rsidRPr="00FA3F9C" w:rsidRDefault="002641D2" w:rsidP="00C967BC">
            <w:pPr>
              <w:ind w:left="360"/>
              <w:rPr>
                <w:rFonts w:ascii="Arial" w:hAnsi="Arial" w:cs="Arial"/>
                <w:sz w:val="24"/>
                <w:szCs w:val="24"/>
              </w:rPr>
            </w:pPr>
            <w:r w:rsidRPr="00FA3F9C">
              <w:rPr>
                <w:rFonts w:ascii="Arial" w:hAnsi="Arial" w:cs="Arial"/>
                <w:sz w:val="24"/>
                <w:szCs w:val="24"/>
              </w:rPr>
              <w:t>OR be considered for a second course of systemic corticosteroids w/in 12 months</w:t>
            </w:r>
          </w:p>
          <w:p w14:paraId="3C512B32" w14:textId="77777777" w:rsidR="002641D2" w:rsidRPr="00FA3F9C" w:rsidRDefault="002641D2" w:rsidP="00C967BC">
            <w:pPr>
              <w:ind w:left="360"/>
              <w:rPr>
                <w:rFonts w:ascii="Arial" w:hAnsi="Arial" w:cs="Arial"/>
                <w:sz w:val="24"/>
                <w:szCs w:val="24"/>
              </w:rPr>
            </w:pPr>
            <w:r w:rsidRPr="00FA3F9C">
              <w:rPr>
                <w:rFonts w:ascii="Arial" w:hAnsi="Arial" w:cs="Arial"/>
                <w:sz w:val="24"/>
                <w:szCs w:val="24"/>
              </w:rPr>
              <w:t xml:space="preserve">OR  </w:t>
            </w:r>
            <w:proofErr w:type="gramStart"/>
            <w:r w:rsidRPr="00FA3F9C">
              <w:rPr>
                <w:rFonts w:ascii="Arial" w:hAnsi="Arial" w:cs="Arial"/>
                <w:sz w:val="24"/>
                <w:szCs w:val="24"/>
              </w:rPr>
              <w:t>Not</w:t>
            </w:r>
            <w:proofErr w:type="gramEnd"/>
            <w:r w:rsidRPr="00FA3F9C">
              <w:rPr>
                <w:rFonts w:ascii="Arial" w:hAnsi="Arial" w:cs="Arial"/>
                <w:sz w:val="24"/>
                <w:szCs w:val="24"/>
              </w:rPr>
              <w:t xml:space="preserve"> had a response to at least 4w of either mesalamine (at a dose of </w:t>
            </w:r>
            <w:r w:rsidRPr="00FA3F9C">
              <w:rPr>
                <w:rFonts w:ascii="Arial" w:hAnsi="Arial" w:cs="Arial"/>
                <w:sz w:val="24"/>
                <w:szCs w:val="24"/>
                <w:u w:val="single"/>
              </w:rPr>
              <w:t>&gt;</w:t>
            </w:r>
            <w:r w:rsidRPr="00FA3F9C">
              <w:rPr>
                <w:rFonts w:ascii="Arial" w:hAnsi="Arial" w:cs="Arial"/>
                <w:sz w:val="24"/>
                <w:szCs w:val="24"/>
              </w:rPr>
              <w:t xml:space="preserve">2.4g/d) or budesonide (at a dose of </w:t>
            </w:r>
            <w:r w:rsidRPr="00FA3F9C">
              <w:rPr>
                <w:rFonts w:ascii="Arial" w:hAnsi="Arial" w:cs="Arial"/>
                <w:sz w:val="24"/>
                <w:szCs w:val="24"/>
                <w:u w:val="single"/>
              </w:rPr>
              <w:t>&gt;</w:t>
            </w:r>
            <w:r w:rsidRPr="00FA3F9C">
              <w:rPr>
                <w:rFonts w:ascii="Arial" w:hAnsi="Arial" w:cs="Arial"/>
                <w:sz w:val="24"/>
                <w:szCs w:val="24"/>
              </w:rPr>
              <w:t>6 mg/day).</w:t>
            </w:r>
          </w:p>
        </w:tc>
      </w:tr>
      <w:tr w:rsidR="002641D2" w:rsidRPr="00FA3F9C" w14:paraId="5AF621FE" w14:textId="77777777" w:rsidTr="00752D0D">
        <w:tc>
          <w:tcPr>
            <w:tcW w:w="10980" w:type="dxa"/>
            <w:gridSpan w:val="6"/>
          </w:tcPr>
          <w:p w14:paraId="557EC193" w14:textId="77777777" w:rsidR="002641D2" w:rsidRPr="00FA3F9C" w:rsidRDefault="002641D2" w:rsidP="002641D2">
            <w:pPr>
              <w:numPr>
                <w:ilvl w:val="0"/>
                <w:numId w:val="267"/>
              </w:numPr>
              <w:spacing w:after="0" w:line="240" w:lineRule="auto"/>
              <w:rPr>
                <w:rFonts w:ascii="Arial" w:hAnsi="Arial" w:cs="Arial"/>
                <w:sz w:val="24"/>
                <w:szCs w:val="24"/>
              </w:rPr>
            </w:pPr>
            <w:r w:rsidRPr="00FA3F9C">
              <w:rPr>
                <w:rFonts w:ascii="Arial" w:hAnsi="Arial" w:cs="Arial"/>
                <w:sz w:val="24"/>
                <w:szCs w:val="24"/>
              </w:rPr>
              <w:t xml:space="preserve">If items 1-2 are “yes” and the patient has severe, active </w:t>
            </w:r>
            <w:proofErr w:type="spellStart"/>
            <w:r w:rsidRPr="00FA3F9C">
              <w:rPr>
                <w:rFonts w:ascii="Arial" w:hAnsi="Arial" w:cs="Arial"/>
                <w:sz w:val="24"/>
                <w:szCs w:val="24"/>
              </w:rPr>
              <w:t>Crohns</w:t>
            </w:r>
            <w:proofErr w:type="spellEnd"/>
            <w:r w:rsidRPr="00FA3F9C">
              <w:rPr>
                <w:rFonts w:ascii="Arial" w:hAnsi="Arial" w:cs="Arial"/>
                <w:sz w:val="24"/>
                <w:szCs w:val="24"/>
              </w:rPr>
              <w:t xml:space="preserve"> disease (as opposed to fistulizing), then approval of infliximab 5mg/kg IV infusion may be approved.  </w:t>
            </w:r>
            <w:proofErr w:type="spellStart"/>
            <w:r w:rsidRPr="00FA3F9C">
              <w:rPr>
                <w:rFonts w:ascii="Arial" w:hAnsi="Arial" w:cs="Arial"/>
                <w:sz w:val="24"/>
                <w:szCs w:val="24"/>
              </w:rPr>
              <w:t>Readministration</w:t>
            </w:r>
            <w:proofErr w:type="spellEnd"/>
            <w:r w:rsidRPr="00FA3F9C">
              <w:rPr>
                <w:rFonts w:ascii="Arial" w:hAnsi="Arial" w:cs="Arial"/>
                <w:sz w:val="24"/>
                <w:szCs w:val="24"/>
              </w:rPr>
              <w:t xml:space="preserve"> of 5mg/kg may be approved if disease recurs (and not before 2 weeks after the original dose).  In patients not responding within 2 weeks to the initial infusion, NO FURTHER INFLIXIMAB SHOULD BE USED AS THE RESPONSE IS UNLIKELY.</w:t>
            </w:r>
          </w:p>
          <w:p w14:paraId="7AD510E5" w14:textId="77777777" w:rsidR="002641D2" w:rsidRPr="00FA3F9C" w:rsidRDefault="002641D2" w:rsidP="00C967BC">
            <w:pPr>
              <w:rPr>
                <w:rFonts w:ascii="Arial" w:hAnsi="Arial" w:cs="Arial"/>
                <w:sz w:val="24"/>
                <w:szCs w:val="24"/>
              </w:rPr>
            </w:pPr>
            <w:r w:rsidRPr="00FA3F9C">
              <w:rPr>
                <w:rFonts w:ascii="Arial" w:hAnsi="Arial" w:cs="Arial"/>
                <w:sz w:val="24"/>
                <w:szCs w:val="24"/>
              </w:rPr>
              <w:t>Alternatively, adalimumab  80-160mg SC followed by 40mg SC at week 2 may be approved.</w:t>
            </w:r>
          </w:p>
        </w:tc>
      </w:tr>
      <w:tr w:rsidR="002641D2" w:rsidRPr="00FA3F9C" w14:paraId="4D4D852C" w14:textId="77777777" w:rsidTr="00752D0D">
        <w:tc>
          <w:tcPr>
            <w:tcW w:w="10980" w:type="dxa"/>
            <w:gridSpan w:val="6"/>
          </w:tcPr>
          <w:p w14:paraId="2F82F068" w14:textId="77777777" w:rsidR="002641D2" w:rsidRPr="00FA3F9C" w:rsidRDefault="002641D2" w:rsidP="002641D2">
            <w:pPr>
              <w:numPr>
                <w:ilvl w:val="0"/>
                <w:numId w:val="267"/>
              </w:numPr>
              <w:spacing w:after="0" w:line="240" w:lineRule="auto"/>
              <w:rPr>
                <w:rFonts w:ascii="Arial" w:hAnsi="Arial" w:cs="Arial"/>
                <w:sz w:val="24"/>
                <w:szCs w:val="24"/>
              </w:rPr>
            </w:pPr>
            <w:r w:rsidRPr="00FA3F9C">
              <w:rPr>
                <w:rFonts w:ascii="Arial" w:hAnsi="Arial" w:cs="Arial"/>
                <w:sz w:val="24"/>
                <w:szCs w:val="24"/>
              </w:rPr>
              <w:t>If items 1-2 are “yes” and the patient has fistulizing, active Crohn’s disease, then additional doses of 5mg/kg should be approved for weeks 2 and 6 after the original infusion.  If the patient does not respond after these 3 doses, no additional treatment with infliximab should be given.</w:t>
            </w:r>
          </w:p>
        </w:tc>
      </w:tr>
      <w:tr w:rsidR="002641D2" w:rsidRPr="00FA3F9C" w14:paraId="7A28404E" w14:textId="77777777" w:rsidTr="00752D0D">
        <w:tc>
          <w:tcPr>
            <w:tcW w:w="10980" w:type="dxa"/>
            <w:gridSpan w:val="6"/>
            <w:shd w:val="pct20" w:color="auto" w:fill="auto"/>
          </w:tcPr>
          <w:p w14:paraId="31FAB616" w14:textId="77777777" w:rsidR="002641D2" w:rsidRPr="00FA3F9C" w:rsidRDefault="002641D2" w:rsidP="00C967BC">
            <w:pPr>
              <w:rPr>
                <w:rFonts w:ascii="Arial" w:hAnsi="Arial" w:cs="Arial"/>
                <w:sz w:val="24"/>
                <w:szCs w:val="24"/>
              </w:rPr>
            </w:pPr>
            <w:r w:rsidRPr="00FA3F9C">
              <w:rPr>
                <w:rFonts w:ascii="Arial" w:hAnsi="Arial" w:cs="Arial"/>
                <w:sz w:val="24"/>
                <w:szCs w:val="24"/>
              </w:rPr>
              <w:lastRenderedPageBreak/>
              <w:t>⁭ Natalizumab (Tysabri) (Patient should satisfy the above criteria as well as the one below.)</w:t>
            </w:r>
          </w:p>
        </w:tc>
      </w:tr>
      <w:tr w:rsidR="002641D2" w:rsidRPr="00FA3F9C" w14:paraId="7F839F53" w14:textId="77777777" w:rsidTr="00752D0D">
        <w:tc>
          <w:tcPr>
            <w:tcW w:w="10980" w:type="dxa"/>
            <w:gridSpan w:val="6"/>
          </w:tcPr>
          <w:p w14:paraId="7537FA20" w14:textId="77777777" w:rsidR="002641D2" w:rsidRPr="00FA3F9C" w:rsidRDefault="002641D2" w:rsidP="00C967BC">
            <w:pPr>
              <w:ind w:left="720" w:hanging="360"/>
              <w:rPr>
                <w:rFonts w:ascii="Arial" w:hAnsi="Arial" w:cs="Arial"/>
                <w:sz w:val="24"/>
                <w:szCs w:val="24"/>
              </w:rPr>
            </w:pPr>
            <w:r w:rsidRPr="00FA3F9C">
              <w:rPr>
                <w:rFonts w:ascii="Arial" w:hAnsi="Arial" w:cs="Arial"/>
                <w:sz w:val="24"/>
                <w:szCs w:val="24"/>
              </w:rPr>
              <w:t>3.    The patient must have a diagnosis of Crohn’s disease AND an inadequate response to or unable to tolerate conventional CD therapies and anti-TNF therapy.</w:t>
            </w:r>
          </w:p>
        </w:tc>
      </w:tr>
      <w:tr w:rsidR="002641D2" w:rsidRPr="00FA3F9C" w14:paraId="2D7C8AC5" w14:textId="77777777" w:rsidTr="00752D0D">
        <w:tc>
          <w:tcPr>
            <w:tcW w:w="10980" w:type="dxa"/>
            <w:gridSpan w:val="6"/>
          </w:tcPr>
          <w:p w14:paraId="77841D2C" w14:textId="77777777" w:rsidR="002641D2" w:rsidRPr="00FA3F9C" w:rsidRDefault="002641D2" w:rsidP="00C967BC">
            <w:pPr>
              <w:ind w:left="360" w:hanging="360"/>
              <w:rPr>
                <w:rFonts w:ascii="Arial" w:hAnsi="Arial" w:cs="Arial"/>
                <w:sz w:val="24"/>
                <w:szCs w:val="24"/>
              </w:rPr>
            </w:pPr>
            <w:r w:rsidRPr="00FA3F9C">
              <w:rPr>
                <w:rFonts w:ascii="Arial" w:hAnsi="Arial" w:cs="Arial"/>
                <w:sz w:val="24"/>
                <w:szCs w:val="24"/>
              </w:rPr>
              <w:t xml:space="preserve">References:  </w:t>
            </w:r>
          </w:p>
          <w:p w14:paraId="22602217" w14:textId="77777777" w:rsidR="002641D2" w:rsidRPr="00FA3F9C" w:rsidRDefault="002641D2" w:rsidP="00C967BC">
            <w:pPr>
              <w:ind w:left="360" w:hanging="360"/>
              <w:rPr>
                <w:rFonts w:ascii="Arial" w:eastAsia="MinionPro-Regular" w:hAnsi="Arial" w:cs="Arial"/>
                <w:sz w:val="24"/>
                <w:szCs w:val="24"/>
              </w:rPr>
            </w:pPr>
            <w:r w:rsidRPr="00FA3F9C">
              <w:rPr>
                <w:rFonts w:ascii="Arial" w:hAnsi="Arial" w:cs="Arial"/>
                <w:sz w:val="24"/>
                <w:szCs w:val="24"/>
              </w:rPr>
              <w:t xml:space="preserve">1.   Lichtenstein GR, </w:t>
            </w:r>
            <w:proofErr w:type="spellStart"/>
            <w:r w:rsidRPr="00FA3F9C">
              <w:rPr>
                <w:rFonts w:ascii="Arial" w:hAnsi="Arial" w:cs="Arial"/>
                <w:sz w:val="24"/>
                <w:szCs w:val="24"/>
              </w:rPr>
              <w:t>Hanauer</w:t>
            </w:r>
            <w:proofErr w:type="spellEnd"/>
            <w:r w:rsidRPr="00FA3F9C">
              <w:rPr>
                <w:rFonts w:ascii="Arial" w:hAnsi="Arial" w:cs="Arial"/>
                <w:sz w:val="24"/>
                <w:szCs w:val="24"/>
              </w:rPr>
              <w:t xml:space="preserve"> SB, </w:t>
            </w:r>
            <w:proofErr w:type="spellStart"/>
            <w:r w:rsidRPr="00FA3F9C">
              <w:rPr>
                <w:rFonts w:ascii="Arial" w:hAnsi="Arial" w:cs="Arial"/>
                <w:sz w:val="24"/>
                <w:szCs w:val="24"/>
              </w:rPr>
              <w:t>Sandborn</w:t>
            </w:r>
            <w:proofErr w:type="spellEnd"/>
            <w:r w:rsidRPr="00FA3F9C">
              <w:rPr>
                <w:rFonts w:ascii="Arial" w:hAnsi="Arial" w:cs="Arial"/>
                <w:sz w:val="24"/>
                <w:szCs w:val="24"/>
              </w:rPr>
              <w:t xml:space="preserve"> WJ.  ACG Practice Guidelines.  Management of Crohn’s Disease in Adults.  </w:t>
            </w:r>
            <w:r w:rsidRPr="00FA3F9C">
              <w:rPr>
                <w:rFonts w:ascii="Arial" w:hAnsi="Arial" w:cs="Arial"/>
                <w:i/>
                <w:iCs/>
                <w:sz w:val="24"/>
                <w:szCs w:val="24"/>
              </w:rPr>
              <w:t xml:space="preserve">Am J Gastroenterol. </w:t>
            </w:r>
            <w:r w:rsidRPr="00FA3F9C">
              <w:rPr>
                <w:rFonts w:ascii="Arial" w:hAnsi="Arial" w:cs="Arial"/>
                <w:iCs/>
                <w:sz w:val="24"/>
                <w:szCs w:val="24"/>
              </w:rPr>
              <w:t xml:space="preserve">2009.  </w:t>
            </w:r>
            <w:r w:rsidRPr="00FA3F9C">
              <w:rPr>
                <w:rFonts w:ascii="Arial" w:hAnsi="Arial" w:cs="Arial"/>
                <w:i/>
                <w:iCs/>
                <w:sz w:val="24"/>
                <w:szCs w:val="24"/>
              </w:rPr>
              <w:t xml:space="preserve">Am J Gastroenterol </w:t>
            </w:r>
            <w:r w:rsidRPr="00FA3F9C">
              <w:rPr>
                <w:rFonts w:ascii="Arial" w:eastAsia="MinionPro-Regular" w:hAnsi="Arial" w:cs="Arial"/>
                <w:sz w:val="24"/>
                <w:szCs w:val="24"/>
              </w:rPr>
              <w:t xml:space="preserve">advance online publication, 6 January 2009; </w:t>
            </w:r>
            <w:proofErr w:type="spellStart"/>
            <w:r w:rsidRPr="00FA3F9C">
              <w:rPr>
                <w:rFonts w:ascii="Arial" w:eastAsia="MinionPro-Regular" w:hAnsi="Arial" w:cs="Arial"/>
                <w:sz w:val="24"/>
                <w:szCs w:val="24"/>
              </w:rPr>
              <w:t>doi</w:t>
            </w:r>
            <w:proofErr w:type="spellEnd"/>
            <w:r w:rsidRPr="00FA3F9C">
              <w:rPr>
                <w:rFonts w:ascii="Arial" w:eastAsia="MinionPro-Regular" w:hAnsi="Arial" w:cs="Arial"/>
                <w:sz w:val="24"/>
                <w:szCs w:val="24"/>
              </w:rPr>
              <w:t>: 10.1038/ajg.2008.168.</w:t>
            </w:r>
          </w:p>
          <w:p w14:paraId="5D087EA2" w14:textId="77777777" w:rsidR="002641D2" w:rsidRPr="00FA3F9C" w:rsidRDefault="002641D2" w:rsidP="00C967BC">
            <w:pPr>
              <w:ind w:left="360" w:hanging="360"/>
              <w:rPr>
                <w:rFonts w:ascii="Arial" w:eastAsia="MinionPro-Regular" w:hAnsi="Arial" w:cs="Arial"/>
                <w:sz w:val="24"/>
                <w:szCs w:val="24"/>
              </w:rPr>
            </w:pPr>
            <w:r w:rsidRPr="00FA3F9C">
              <w:rPr>
                <w:rFonts w:ascii="Arial" w:eastAsia="MinionPro-Regular" w:hAnsi="Arial" w:cs="Arial"/>
                <w:sz w:val="24"/>
                <w:szCs w:val="24"/>
              </w:rPr>
              <w:t xml:space="preserve">2.  </w:t>
            </w:r>
            <w:proofErr w:type="spellStart"/>
            <w:r w:rsidRPr="00FA3F9C">
              <w:rPr>
                <w:rFonts w:ascii="Arial" w:eastAsia="MinionPro-Regular" w:hAnsi="Arial" w:cs="Arial"/>
                <w:sz w:val="24"/>
                <w:szCs w:val="24"/>
              </w:rPr>
              <w:t>Colombel</w:t>
            </w:r>
            <w:proofErr w:type="spellEnd"/>
            <w:r w:rsidRPr="00FA3F9C">
              <w:rPr>
                <w:rFonts w:ascii="Arial" w:eastAsia="MinionPro-Regular" w:hAnsi="Arial" w:cs="Arial"/>
                <w:sz w:val="24"/>
                <w:szCs w:val="24"/>
              </w:rPr>
              <w:t xml:space="preserve"> JF, </w:t>
            </w:r>
            <w:proofErr w:type="spellStart"/>
            <w:r w:rsidRPr="00FA3F9C">
              <w:rPr>
                <w:rFonts w:ascii="Arial" w:eastAsia="MinionPro-Regular" w:hAnsi="Arial" w:cs="Arial"/>
                <w:sz w:val="24"/>
                <w:szCs w:val="24"/>
              </w:rPr>
              <w:t>Sandborn</w:t>
            </w:r>
            <w:proofErr w:type="spellEnd"/>
            <w:r w:rsidRPr="00FA3F9C">
              <w:rPr>
                <w:rFonts w:ascii="Arial" w:eastAsia="MinionPro-Regular" w:hAnsi="Arial" w:cs="Arial"/>
                <w:sz w:val="24"/>
                <w:szCs w:val="24"/>
              </w:rPr>
              <w:t xml:space="preserve"> WJ, et al.  Infliximab, azathioprine, or combination therapy for Crohn’s disease.  N </w:t>
            </w:r>
            <w:proofErr w:type="spellStart"/>
            <w:r w:rsidRPr="00FA3F9C">
              <w:rPr>
                <w:rFonts w:ascii="Arial" w:eastAsia="MinionPro-Regular" w:hAnsi="Arial" w:cs="Arial"/>
                <w:sz w:val="24"/>
                <w:szCs w:val="24"/>
              </w:rPr>
              <w:t>Engl</w:t>
            </w:r>
            <w:proofErr w:type="spellEnd"/>
            <w:r w:rsidRPr="00FA3F9C">
              <w:rPr>
                <w:rFonts w:ascii="Arial" w:eastAsia="MinionPro-Regular" w:hAnsi="Arial" w:cs="Arial"/>
                <w:sz w:val="24"/>
                <w:szCs w:val="24"/>
              </w:rPr>
              <w:t xml:space="preserve"> J Med. 2010;362:1383-95.</w:t>
            </w:r>
          </w:p>
          <w:p w14:paraId="29EEE21F" w14:textId="77777777" w:rsidR="002641D2" w:rsidRPr="00FA3F9C" w:rsidRDefault="002641D2" w:rsidP="00C967BC">
            <w:pPr>
              <w:ind w:left="360" w:hanging="360"/>
              <w:rPr>
                <w:rFonts w:ascii="Arial" w:eastAsia="MinionPro-Regular" w:hAnsi="Arial" w:cs="Arial"/>
                <w:sz w:val="24"/>
                <w:szCs w:val="24"/>
              </w:rPr>
            </w:pPr>
            <w:r w:rsidRPr="00FA3F9C">
              <w:rPr>
                <w:rFonts w:ascii="Arial" w:eastAsia="MinionPro-Regular" w:hAnsi="Arial" w:cs="Arial"/>
                <w:sz w:val="24"/>
                <w:szCs w:val="24"/>
              </w:rPr>
              <w:t xml:space="preserve">3.  </w:t>
            </w:r>
            <w:proofErr w:type="spellStart"/>
            <w:r w:rsidRPr="00FA3F9C">
              <w:rPr>
                <w:rFonts w:ascii="Arial" w:eastAsia="MinionPro-Regular" w:hAnsi="Arial" w:cs="Arial"/>
                <w:sz w:val="24"/>
                <w:szCs w:val="24"/>
              </w:rPr>
              <w:t>Terdiman</w:t>
            </w:r>
            <w:proofErr w:type="spellEnd"/>
            <w:r w:rsidRPr="00FA3F9C">
              <w:rPr>
                <w:rFonts w:ascii="Arial" w:eastAsia="MinionPro-Regular" w:hAnsi="Arial" w:cs="Arial"/>
                <w:sz w:val="24"/>
                <w:szCs w:val="24"/>
              </w:rPr>
              <w:t xml:space="preserve"> JP, </w:t>
            </w:r>
            <w:proofErr w:type="spellStart"/>
            <w:r w:rsidRPr="00FA3F9C">
              <w:rPr>
                <w:rFonts w:ascii="Arial" w:eastAsia="MinionPro-Regular" w:hAnsi="Arial" w:cs="Arial"/>
                <w:sz w:val="24"/>
                <w:szCs w:val="24"/>
              </w:rPr>
              <w:t>Gruss</w:t>
            </w:r>
            <w:proofErr w:type="spellEnd"/>
            <w:r w:rsidRPr="00FA3F9C">
              <w:rPr>
                <w:rFonts w:ascii="Arial" w:eastAsia="MinionPro-Regular" w:hAnsi="Arial" w:cs="Arial"/>
                <w:sz w:val="24"/>
                <w:szCs w:val="24"/>
              </w:rPr>
              <w:t xml:space="preserve"> CB, et al.  AGA Institute guideline on the use of thiopurines, methotrexate, and anti-</w:t>
            </w:r>
            <w:proofErr w:type="spellStart"/>
            <w:r w:rsidRPr="00FA3F9C">
              <w:rPr>
                <w:rFonts w:ascii="Arial" w:eastAsia="MinionPro-Regular" w:hAnsi="Arial" w:cs="Arial"/>
                <w:sz w:val="24"/>
                <w:szCs w:val="24"/>
              </w:rPr>
              <w:t>TNFalpha</w:t>
            </w:r>
            <w:proofErr w:type="spellEnd"/>
            <w:r w:rsidRPr="00FA3F9C">
              <w:rPr>
                <w:rFonts w:ascii="Arial" w:eastAsia="MinionPro-Regular" w:hAnsi="Arial" w:cs="Arial"/>
                <w:sz w:val="24"/>
                <w:szCs w:val="24"/>
              </w:rPr>
              <w:t xml:space="preserve"> biologic drugs for the induction and maintenance of remission in inflammatory CD.  Gastroenterology. 2013;145:1459-63.</w:t>
            </w:r>
          </w:p>
          <w:p w14:paraId="4C658DDC" w14:textId="77777777" w:rsidR="002641D2" w:rsidRPr="00FA3F9C" w:rsidRDefault="002641D2" w:rsidP="00C967BC">
            <w:pPr>
              <w:ind w:left="360" w:hanging="360"/>
              <w:rPr>
                <w:rFonts w:ascii="Arial" w:hAnsi="Arial" w:cs="Arial"/>
                <w:color w:val="000000"/>
                <w:sz w:val="24"/>
                <w:szCs w:val="24"/>
              </w:rPr>
            </w:pPr>
            <w:r w:rsidRPr="00FA3F9C">
              <w:rPr>
                <w:rFonts w:ascii="Arial" w:eastAsia="MinionPro-Regular" w:hAnsi="Arial" w:cs="Arial"/>
                <w:sz w:val="24"/>
                <w:szCs w:val="24"/>
              </w:rPr>
              <w:t xml:space="preserve">4.  Garnett WR, </w:t>
            </w:r>
            <w:proofErr w:type="spellStart"/>
            <w:r w:rsidRPr="00FA3F9C">
              <w:rPr>
                <w:rFonts w:ascii="Arial" w:eastAsia="MinionPro-Regular" w:hAnsi="Arial" w:cs="Arial"/>
                <w:sz w:val="24"/>
                <w:szCs w:val="24"/>
              </w:rPr>
              <w:t>Yunker</w:t>
            </w:r>
            <w:proofErr w:type="spellEnd"/>
            <w:r w:rsidRPr="00FA3F9C">
              <w:rPr>
                <w:rFonts w:ascii="Arial" w:eastAsia="MinionPro-Regular" w:hAnsi="Arial" w:cs="Arial"/>
                <w:sz w:val="24"/>
                <w:szCs w:val="24"/>
              </w:rPr>
              <w:t xml:space="preserve"> N.  T</w:t>
            </w:r>
            <w:r w:rsidRPr="00FA3F9C">
              <w:rPr>
                <w:rFonts w:ascii="Arial" w:hAnsi="Arial" w:cs="Arial"/>
                <w:bCs/>
                <w:color w:val="000000"/>
                <w:sz w:val="24"/>
                <w:szCs w:val="24"/>
              </w:rPr>
              <w:t>reatment of Crohn's Disease with Infliximab.  Am J Health Syst Pharm. 2001;58(4).</w:t>
            </w:r>
          </w:p>
          <w:p w14:paraId="6F001F83" w14:textId="77777777" w:rsidR="002641D2" w:rsidRPr="00FA3F9C" w:rsidRDefault="002641D2" w:rsidP="00C967BC">
            <w:pPr>
              <w:ind w:left="360" w:hanging="360"/>
              <w:rPr>
                <w:rFonts w:ascii="Arial" w:eastAsia="MinionPro-Regular" w:hAnsi="Arial" w:cs="Arial"/>
                <w:sz w:val="24"/>
                <w:szCs w:val="24"/>
              </w:rPr>
            </w:pPr>
          </w:p>
          <w:p w14:paraId="72C5E8B0" w14:textId="77777777" w:rsidR="002641D2" w:rsidRPr="00FA3F9C" w:rsidRDefault="002641D2" w:rsidP="00C967BC">
            <w:pPr>
              <w:ind w:left="360" w:hanging="360"/>
              <w:rPr>
                <w:rFonts w:ascii="Arial" w:hAnsi="Arial" w:cs="Arial"/>
                <w:sz w:val="24"/>
                <w:szCs w:val="24"/>
              </w:rPr>
            </w:pPr>
            <w:r w:rsidRPr="00FA3F9C">
              <w:rPr>
                <w:rFonts w:ascii="Arial" w:eastAsia="MinionPro-Regular" w:hAnsi="Arial" w:cs="Arial"/>
                <w:sz w:val="24"/>
                <w:szCs w:val="24"/>
              </w:rPr>
              <w:t xml:space="preserve">Note:  CDAI is Crohn’s Disease Activity Index.  &gt;450 is severe.  200-449 is moderate. 150-199 is quiescent disease.  &lt;150 is in remission.  </w:t>
            </w:r>
          </w:p>
        </w:tc>
      </w:tr>
      <w:tr w:rsidR="002641D2" w:rsidRPr="00FA3F9C" w14:paraId="5FE3DFDE" w14:textId="77777777" w:rsidTr="00C00451">
        <w:tc>
          <w:tcPr>
            <w:tcW w:w="10980" w:type="dxa"/>
            <w:gridSpan w:val="6"/>
            <w:tcBorders>
              <w:top w:val="thinThickSmallGap" w:sz="24" w:space="0" w:color="auto"/>
              <w:left w:val="thinThickSmallGap" w:sz="24" w:space="0" w:color="auto"/>
              <w:bottom w:val="thinThickSmallGap" w:sz="24" w:space="0" w:color="auto"/>
              <w:right w:val="thinThickSmallGap" w:sz="24" w:space="0" w:color="auto"/>
            </w:tcBorders>
          </w:tcPr>
          <w:p w14:paraId="1DE47186" w14:textId="77777777" w:rsidR="002641D2" w:rsidRPr="00FA3F9C" w:rsidRDefault="002641D2" w:rsidP="00C967BC">
            <w:pPr>
              <w:rPr>
                <w:rFonts w:ascii="Arial" w:hAnsi="Arial" w:cs="Arial"/>
                <w:sz w:val="24"/>
                <w:szCs w:val="24"/>
              </w:rPr>
            </w:pPr>
            <w:r w:rsidRPr="00FA3F9C">
              <w:rPr>
                <w:rFonts w:ascii="Arial" w:hAnsi="Arial" w:cs="Arial"/>
                <w:b/>
                <w:sz w:val="24"/>
                <w:szCs w:val="24"/>
              </w:rPr>
              <w:t>Ulcerative Colitis</w:t>
            </w:r>
          </w:p>
        </w:tc>
      </w:tr>
      <w:tr w:rsidR="002641D2" w:rsidRPr="00FA3F9C" w14:paraId="40F0BA1F" w14:textId="77777777" w:rsidTr="00C00451">
        <w:tc>
          <w:tcPr>
            <w:tcW w:w="10980" w:type="dxa"/>
            <w:gridSpan w:val="6"/>
            <w:tcBorders>
              <w:top w:val="thinThickSmallGap" w:sz="24" w:space="0" w:color="auto"/>
            </w:tcBorders>
            <w:shd w:val="clear" w:color="auto" w:fill="BFBFBF"/>
          </w:tcPr>
          <w:p w14:paraId="44103EB6" w14:textId="77777777" w:rsidR="002641D2" w:rsidRPr="00FA3F9C" w:rsidRDefault="002641D2" w:rsidP="00C967BC">
            <w:pPr>
              <w:rPr>
                <w:rFonts w:ascii="Arial" w:hAnsi="Arial" w:cs="Arial"/>
                <w:sz w:val="24"/>
                <w:szCs w:val="24"/>
                <w:lang w:val="es-ES"/>
              </w:rPr>
            </w:pPr>
            <w:r w:rsidRPr="00FA3F9C">
              <w:rPr>
                <w:rFonts w:ascii="Arial" w:hAnsi="Arial" w:cs="Arial"/>
                <w:sz w:val="24"/>
                <w:szCs w:val="24"/>
                <w:lang w:val="es-ES"/>
              </w:rPr>
              <w:t xml:space="preserve">⁭ </w:t>
            </w:r>
            <w:proofErr w:type="spellStart"/>
            <w:r w:rsidRPr="00FA3F9C">
              <w:rPr>
                <w:rFonts w:ascii="Arial" w:hAnsi="Arial" w:cs="Arial"/>
                <w:sz w:val="24"/>
                <w:szCs w:val="24"/>
                <w:lang w:val="es-ES"/>
              </w:rPr>
              <w:t>Infliximab</w:t>
            </w:r>
            <w:proofErr w:type="spellEnd"/>
            <w:r w:rsidRPr="00FA3F9C">
              <w:rPr>
                <w:rFonts w:ascii="Arial" w:hAnsi="Arial" w:cs="Arial"/>
                <w:sz w:val="24"/>
                <w:szCs w:val="24"/>
                <w:lang w:val="es-ES"/>
              </w:rPr>
              <w:t xml:space="preserve"> (</w:t>
            </w:r>
            <w:proofErr w:type="spellStart"/>
            <w:r w:rsidRPr="00FA3F9C">
              <w:rPr>
                <w:rFonts w:ascii="Arial" w:hAnsi="Arial" w:cs="Arial"/>
                <w:sz w:val="24"/>
                <w:szCs w:val="24"/>
                <w:lang w:val="es-ES"/>
              </w:rPr>
              <w:t>Remicade</w:t>
            </w:r>
            <w:proofErr w:type="spellEnd"/>
            <w:r w:rsidRPr="00FA3F9C">
              <w:rPr>
                <w:rFonts w:ascii="Arial" w:hAnsi="Arial" w:cs="Arial"/>
                <w:sz w:val="24"/>
                <w:szCs w:val="24"/>
                <w:vertAlign w:val="superscript"/>
                <w:lang w:val="es-ES"/>
              </w:rPr>
              <w:t>®</w:t>
            </w:r>
            <w:r w:rsidRPr="00FA3F9C">
              <w:rPr>
                <w:rFonts w:ascii="Arial" w:hAnsi="Arial" w:cs="Arial"/>
                <w:sz w:val="24"/>
                <w:szCs w:val="24"/>
                <w:lang w:val="es-ES"/>
              </w:rPr>
              <w:t xml:space="preserve">) </w:t>
            </w:r>
          </w:p>
          <w:p w14:paraId="3E4297A5" w14:textId="77777777" w:rsidR="002641D2" w:rsidRPr="00FA3F9C" w:rsidRDefault="002641D2" w:rsidP="00C967BC">
            <w:pPr>
              <w:rPr>
                <w:rFonts w:ascii="Arial" w:hAnsi="Arial" w:cs="Arial"/>
                <w:sz w:val="24"/>
                <w:szCs w:val="24"/>
                <w:lang w:val="es-ES"/>
              </w:rPr>
            </w:pPr>
            <w:r w:rsidRPr="00FA3F9C">
              <w:rPr>
                <w:rFonts w:ascii="Arial" w:hAnsi="Arial" w:cs="Arial"/>
                <w:sz w:val="24"/>
                <w:szCs w:val="24"/>
                <w:lang w:val="es-ES"/>
              </w:rPr>
              <w:t xml:space="preserve">⁭ </w:t>
            </w:r>
            <w:proofErr w:type="spellStart"/>
            <w:r w:rsidRPr="00FA3F9C">
              <w:rPr>
                <w:rFonts w:ascii="Arial" w:hAnsi="Arial" w:cs="Arial"/>
                <w:sz w:val="24"/>
                <w:szCs w:val="24"/>
                <w:lang w:val="es-ES"/>
              </w:rPr>
              <w:t>infliximab-abda</w:t>
            </w:r>
            <w:proofErr w:type="spellEnd"/>
            <w:r w:rsidRPr="00FA3F9C">
              <w:rPr>
                <w:rFonts w:ascii="Arial" w:hAnsi="Arial" w:cs="Arial"/>
                <w:sz w:val="24"/>
                <w:szCs w:val="24"/>
                <w:lang w:val="es-ES"/>
              </w:rPr>
              <w:t xml:space="preserve"> (</w:t>
            </w:r>
            <w:proofErr w:type="spellStart"/>
            <w:r w:rsidRPr="00FA3F9C">
              <w:rPr>
                <w:rFonts w:ascii="Arial" w:hAnsi="Arial" w:cs="Arial"/>
                <w:sz w:val="24"/>
                <w:szCs w:val="24"/>
                <w:lang w:val="es-ES"/>
              </w:rPr>
              <w:t>Renflexis</w:t>
            </w:r>
            <w:proofErr w:type="spellEnd"/>
            <w:r w:rsidRPr="00FA3F9C">
              <w:rPr>
                <w:rFonts w:ascii="Arial" w:hAnsi="Arial" w:cs="Arial"/>
                <w:sz w:val="24"/>
                <w:szCs w:val="24"/>
                <w:lang w:val="es-ES"/>
              </w:rPr>
              <w:t>)</w:t>
            </w:r>
          </w:p>
          <w:p w14:paraId="1BC07261" w14:textId="77777777" w:rsidR="002641D2" w:rsidRPr="00FA3F9C" w:rsidRDefault="002641D2" w:rsidP="00C967BC">
            <w:pPr>
              <w:rPr>
                <w:rFonts w:ascii="Arial" w:hAnsi="Arial" w:cs="Arial"/>
                <w:sz w:val="24"/>
                <w:szCs w:val="24"/>
              </w:rPr>
            </w:pPr>
            <w:r w:rsidRPr="00FA3F9C">
              <w:rPr>
                <w:rFonts w:ascii="Arial" w:hAnsi="Arial" w:cs="Arial"/>
                <w:sz w:val="24"/>
                <w:szCs w:val="24"/>
              </w:rPr>
              <w:t>⁭ infliximab-</w:t>
            </w:r>
            <w:proofErr w:type="spellStart"/>
            <w:r w:rsidRPr="00FA3F9C">
              <w:rPr>
                <w:rFonts w:ascii="Arial" w:hAnsi="Arial" w:cs="Arial"/>
                <w:sz w:val="24"/>
                <w:szCs w:val="24"/>
              </w:rPr>
              <w:t>abda</w:t>
            </w:r>
            <w:proofErr w:type="spellEnd"/>
            <w:r w:rsidRPr="00FA3F9C">
              <w:rPr>
                <w:rFonts w:ascii="Arial" w:hAnsi="Arial" w:cs="Arial"/>
                <w:sz w:val="24"/>
                <w:szCs w:val="24"/>
              </w:rPr>
              <w:t xml:space="preserve"> (</w:t>
            </w:r>
            <w:proofErr w:type="spellStart"/>
            <w:r w:rsidRPr="00FA3F9C">
              <w:rPr>
                <w:rFonts w:ascii="Arial" w:hAnsi="Arial" w:cs="Arial"/>
                <w:sz w:val="24"/>
                <w:szCs w:val="24"/>
              </w:rPr>
              <w:t>Inflectra</w:t>
            </w:r>
            <w:proofErr w:type="spellEnd"/>
            <w:r w:rsidRPr="00FA3F9C">
              <w:rPr>
                <w:rFonts w:ascii="Arial" w:hAnsi="Arial" w:cs="Arial"/>
                <w:sz w:val="24"/>
                <w:szCs w:val="24"/>
                <w:vertAlign w:val="superscript"/>
              </w:rPr>
              <w:t>®</w:t>
            </w:r>
            <w:r w:rsidRPr="00FA3F9C">
              <w:rPr>
                <w:rFonts w:ascii="Arial" w:hAnsi="Arial" w:cs="Arial"/>
                <w:sz w:val="24"/>
                <w:szCs w:val="24"/>
              </w:rPr>
              <w:t>)</w:t>
            </w:r>
          </w:p>
        </w:tc>
      </w:tr>
      <w:tr w:rsidR="002641D2" w:rsidRPr="00FA3F9C" w14:paraId="04A2AF3E" w14:textId="77777777" w:rsidTr="0025598E">
        <w:trPr>
          <w:gridAfter w:val="1"/>
          <w:wAfter w:w="90" w:type="dxa"/>
        </w:trPr>
        <w:tc>
          <w:tcPr>
            <w:tcW w:w="10890" w:type="dxa"/>
            <w:gridSpan w:val="5"/>
          </w:tcPr>
          <w:p w14:paraId="6E210AA8" w14:textId="77777777" w:rsidR="002641D2" w:rsidRPr="00FA3F9C" w:rsidRDefault="002641D2" w:rsidP="002641D2">
            <w:pPr>
              <w:numPr>
                <w:ilvl w:val="0"/>
                <w:numId w:val="268"/>
              </w:numPr>
              <w:spacing w:after="0" w:line="240" w:lineRule="auto"/>
              <w:rPr>
                <w:rFonts w:ascii="Arial" w:hAnsi="Arial" w:cs="Arial"/>
                <w:sz w:val="24"/>
                <w:szCs w:val="24"/>
              </w:rPr>
            </w:pPr>
            <w:r w:rsidRPr="00FA3F9C">
              <w:rPr>
                <w:rFonts w:ascii="Arial" w:hAnsi="Arial" w:cs="Arial"/>
                <w:sz w:val="24"/>
                <w:szCs w:val="24"/>
              </w:rPr>
              <w:t>The patient must have the diagnosis of ulcerative colitis</w:t>
            </w:r>
          </w:p>
        </w:tc>
      </w:tr>
      <w:tr w:rsidR="002641D2" w:rsidRPr="00FA3F9C" w14:paraId="06F9EFAD" w14:textId="77777777" w:rsidTr="0025598E">
        <w:trPr>
          <w:gridAfter w:val="1"/>
          <w:wAfter w:w="90" w:type="dxa"/>
        </w:trPr>
        <w:tc>
          <w:tcPr>
            <w:tcW w:w="10890" w:type="dxa"/>
            <w:gridSpan w:val="5"/>
          </w:tcPr>
          <w:p w14:paraId="702999B0" w14:textId="77777777" w:rsidR="002641D2" w:rsidRPr="00FA3F9C" w:rsidRDefault="002641D2" w:rsidP="002641D2">
            <w:pPr>
              <w:numPr>
                <w:ilvl w:val="0"/>
                <w:numId w:val="268"/>
              </w:numPr>
              <w:spacing w:after="0" w:line="240" w:lineRule="auto"/>
              <w:rPr>
                <w:rFonts w:ascii="Arial" w:hAnsi="Arial" w:cs="Arial"/>
                <w:sz w:val="24"/>
                <w:szCs w:val="24"/>
              </w:rPr>
            </w:pPr>
            <w:r w:rsidRPr="00FA3F9C">
              <w:rPr>
                <w:rFonts w:ascii="Arial" w:hAnsi="Arial" w:cs="Arial"/>
                <w:sz w:val="24"/>
                <w:szCs w:val="24"/>
              </w:rPr>
              <w:t xml:space="preserve">The patient must have failed </w:t>
            </w:r>
            <w:r w:rsidRPr="00FA3F9C">
              <w:rPr>
                <w:rFonts w:ascii="Arial" w:hAnsi="Arial" w:cs="Arial"/>
                <w:sz w:val="24"/>
                <w:szCs w:val="24"/>
                <w:u w:val="single"/>
              </w:rPr>
              <w:t>&gt;</w:t>
            </w:r>
            <w:r w:rsidRPr="00FA3F9C">
              <w:rPr>
                <w:rFonts w:ascii="Arial" w:hAnsi="Arial" w:cs="Arial"/>
                <w:sz w:val="24"/>
                <w:szCs w:val="24"/>
              </w:rPr>
              <w:t xml:space="preserve">3 months of mesalamine or sulfasalazine or glucocorticoids? </w:t>
            </w:r>
          </w:p>
        </w:tc>
      </w:tr>
      <w:tr w:rsidR="002641D2" w:rsidRPr="00FA3F9C" w14:paraId="01DF27DE" w14:textId="77777777" w:rsidTr="0025598E">
        <w:trPr>
          <w:gridAfter w:val="1"/>
          <w:wAfter w:w="90" w:type="dxa"/>
        </w:trPr>
        <w:tc>
          <w:tcPr>
            <w:tcW w:w="10890" w:type="dxa"/>
            <w:gridSpan w:val="5"/>
          </w:tcPr>
          <w:p w14:paraId="3D6C6157" w14:textId="77777777" w:rsidR="002641D2" w:rsidRPr="00FA3F9C" w:rsidRDefault="002641D2" w:rsidP="002641D2">
            <w:pPr>
              <w:numPr>
                <w:ilvl w:val="0"/>
                <w:numId w:val="268"/>
              </w:numPr>
              <w:spacing w:after="0" w:line="240" w:lineRule="auto"/>
              <w:rPr>
                <w:rFonts w:ascii="Arial" w:hAnsi="Arial" w:cs="Arial"/>
                <w:sz w:val="24"/>
                <w:szCs w:val="24"/>
              </w:rPr>
            </w:pPr>
            <w:r w:rsidRPr="00FA3F9C">
              <w:rPr>
                <w:rFonts w:ascii="Arial" w:hAnsi="Arial" w:cs="Arial"/>
                <w:sz w:val="24"/>
                <w:szCs w:val="24"/>
              </w:rPr>
              <w:lastRenderedPageBreak/>
              <w:t xml:space="preserve">The patient </w:t>
            </w:r>
            <w:proofErr w:type="gramStart"/>
            <w:r w:rsidRPr="00FA3F9C">
              <w:rPr>
                <w:rFonts w:ascii="Arial" w:hAnsi="Arial" w:cs="Arial"/>
                <w:sz w:val="24"/>
                <w:szCs w:val="24"/>
              </w:rPr>
              <w:t>have</w:t>
            </w:r>
            <w:proofErr w:type="gramEnd"/>
            <w:r w:rsidRPr="00FA3F9C">
              <w:rPr>
                <w:rFonts w:ascii="Arial" w:hAnsi="Arial" w:cs="Arial"/>
                <w:sz w:val="24"/>
                <w:szCs w:val="24"/>
              </w:rPr>
              <w:t xml:space="preserve"> moderate to severe disease (characterized by steroid dependence).</w:t>
            </w:r>
          </w:p>
        </w:tc>
      </w:tr>
    </w:tbl>
    <w:p w14:paraId="69091A48" w14:textId="77777777" w:rsidR="002641D2" w:rsidRPr="00FA3F9C" w:rsidRDefault="002641D2" w:rsidP="00A8198A">
      <w:pPr>
        <w:ind w:left="-1170"/>
        <w:rPr>
          <w:rFonts w:ascii="Arial" w:hAnsi="Arial" w:cs="Arial"/>
          <w:sz w:val="24"/>
          <w:szCs w:val="24"/>
        </w:rPr>
      </w:pPr>
      <w:r w:rsidRPr="00FA3F9C">
        <w:rPr>
          <w:rFonts w:ascii="Arial" w:hAnsi="Arial" w:cs="Arial"/>
          <w:sz w:val="24"/>
          <w:szCs w:val="24"/>
        </w:rPr>
        <w:t>General References:</w:t>
      </w:r>
    </w:p>
    <w:p w14:paraId="1D422390" w14:textId="77777777" w:rsidR="002641D2" w:rsidRPr="00FA3F9C" w:rsidRDefault="002641D2" w:rsidP="00A8198A">
      <w:pPr>
        <w:ind w:left="-1170"/>
        <w:rPr>
          <w:rFonts w:ascii="Arial" w:hAnsi="Arial" w:cs="Arial"/>
          <w:sz w:val="24"/>
          <w:szCs w:val="24"/>
        </w:rPr>
      </w:pPr>
      <w:r w:rsidRPr="00FA3F9C">
        <w:rPr>
          <w:rFonts w:ascii="Arial" w:hAnsi="Arial" w:cs="Arial"/>
          <w:sz w:val="24"/>
          <w:szCs w:val="24"/>
        </w:rPr>
        <w:t xml:space="preserve">1.  Drug Effectiveness Review Project.  Targeted Immune Modulators Update 3/8/12.  </w:t>
      </w:r>
    </w:p>
    <w:p w14:paraId="0D5B08E8" w14:textId="77777777" w:rsidR="002641D2" w:rsidRPr="00FA3F9C" w:rsidRDefault="002641D2" w:rsidP="00A8198A">
      <w:pPr>
        <w:ind w:left="-900" w:right="-1170" w:hanging="270"/>
        <w:rPr>
          <w:rFonts w:ascii="Arial" w:eastAsia="MinionPro-Regular" w:hAnsi="Arial" w:cs="Arial"/>
          <w:sz w:val="24"/>
          <w:szCs w:val="24"/>
        </w:rPr>
      </w:pPr>
      <w:r w:rsidRPr="00FA3F9C">
        <w:rPr>
          <w:rFonts w:ascii="Arial" w:hAnsi="Arial" w:cs="Arial"/>
          <w:sz w:val="24"/>
          <w:szCs w:val="24"/>
        </w:rPr>
        <w:t xml:space="preserve">2.  Kornbluth A, Sachar DB, The Practice Parameters Committee of the American College of Gastroenterology.  Ulcerative Colitis practice guidelines in adults:  ACG, Practice Parameters Committee.  </w:t>
      </w:r>
      <w:r w:rsidRPr="00FA3F9C">
        <w:rPr>
          <w:rFonts w:ascii="Arial" w:hAnsi="Arial" w:cs="Arial"/>
          <w:i/>
          <w:iCs/>
          <w:sz w:val="24"/>
          <w:szCs w:val="24"/>
        </w:rPr>
        <w:t xml:space="preserve">Am J Gastroenterol </w:t>
      </w:r>
      <w:r w:rsidRPr="00FA3F9C">
        <w:rPr>
          <w:rFonts w:ascii="Arial" w:eastAsia="MinionPro-Regular" w:hAnsi="Arial" w:cs="Arial"/>
          <w:sz w:val="24"/>
          <w:szCs w:val="24"/>
        </w:rPr>
        <w:t>2010; 105:501–523.</w:t>
      </w:r>
    </w:p>
    <w:p w14:paraId="78716B98" w14:textId="77777777" w:rsidR="002641D2" w:rsidRPr="00FA3F9C" w:rsidRDefault="002641D2" w:rsidP="00FE5EAE">
      <w:pPr>
        <w:ind w:left="270" w:hanging="270"/>
        <w:rPr>
          <w:rFonts w:ascii="Arial" w:eastAsia="MinionPro-Regular" w:hAnsi="Arial" w:cs="Arial"/>
          <w:sz w:val="24"/>
          <w:szCs w:val="24"/>
        </w:rPr>
      </w:pPr>
    </w:p>
    <w:tbl>
      <w:tblPr>
        <w:tblW w:w="10980" w:type="dxa"/>
        <w:tblInd w:w="-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0"/>
      </w:tblGrid>
      <w:tr w:rsidR="002641D2" w:rsidRPr="00FA3F9C" w14:paraId="65BE50EB" w14:textId="77777777" w:rsidTr="00BE6294">
        <w:tc>
          <w:tcPr>
            <w:tcW w:w="10980" w:type="dxa"/>
            <w:tcBorders>
              <w:top w:val="thinThickSmallGap" w:sz="24" w:space="0" w:color="auto"/>
              <w:left w:val="thinThickSmallGap" w:sz="24" w:space="0" w:color="auto"/>
              <w:bottom w:val="thinThickSmallGap" w:sz="24" w:space="0" w:color="auto"/>
              <w:right w:val="thinThickSmallGap" w:sz="24" w:space="0" w:color="auto"/>
            </w:tcBorders>
          </w:tcPr>
          <w:p w14:paraId="323992B7" w14:textId="77777777" w:rsidR="002641D2" w:rsidRPr="00FA3F9C" w:rsidRDefault="002641D2" w:rsidP="00BE6294">
            <w:pPr>
              <w:rPr>
                <w:rFonts w:ascii="Arial" w:hAnsi="Arial" w:cs="Arial"/>
                <w:sz w:val="24"/>
                <w:szCs w:val="24"/>
              </w:rPr>
            </w:pPr>
            <w:r w:rsidRPr="00FA3F9C">
              <w:rPr>
                <w:rFonts w:ascii="Arial" w:hAnsi="Arial" w:cs="Arial"/>
                <w:b/>
                <w:sz w:val="24"/>
                <w:szCs w:val="24"/>
              </w:rPr>
              <w:t>Hidradenitis suppurativa</w:t>
            </w:r>
          </w:p>
        </w:tc>
      </w:tr>
      <w:tr w:rsidR="002641D2" w:rsidRPr="00FA3F9C" w14:paraId="32EF7662" w14:textId="77777777" w:rsidTr="00BE6294">
        <w:tc>
          <w:tcPr>
            <w:tcW w:w="10980" w:type="dxa"/>
            <w:tcBorders>
              <w:top w:val="thinThickSmallGap" w:sz="24" w:space="0" w:color="auto"/>
            </w:tcBorders>
            <w:shd w:val="clear" w:color="auto" w:fill="BFBFBF"/>
          </w:tcPr>
          <w:p w14:paraId="51332A6D" w14:textId="77777777" w:rsidR="002641D2" w:rsidRPr="00FA3F9C" w:rsidRDefault="002641D2" w:rsidP="00BE6294">
            <w:pPr>
              <w:rPr>
                <w:rFonts w:ascii="Arial" w:hAnsi="Arial" w:cs="Arial"/>
                <w:sz w:val="24"/>
                <w:szCs w:val="24"/>
              </w:rPr>
            </w:pPr>
            <w:r w:rsidRPr="00FA3F9C">
              <w:rPr>
                <w:rFonts w:ascii="Arial" w:hAnsi="Arial" w:cs="Arial"/>
                <w:sz w:val="24"/>
                <w:szCs w:val="24"/>
              </w:rPr>
              <w:t>⁭ Adalimumab (Humira</w:t>
            </w:r>
            <w:r w:rsidRPr="00FA3F9C">
              <w:rPr>
                <w:rFonts w:ascii="Arial" w:hAnsi="Arial" w:cs="Arial"/>
                <w:sz w:val="24"/>
                <w:szCs w:val="24"/>
                <w:vertAlign w:val="superscript"/>
              </w:rPr>
              <w:t>®</w:t>
            </w:r>
            <w:r w:rsidRPr="00FA3F9C">
              <w:rPr>
                <w:rFonts w:ascii="Arial" w:hAnsi="Arial" w:cs="Arial"/>
                <w:sz w:val="24"/>
                <w:szCs w:val="24"/>
              </w:rPr>
              <w:t>)</w:t>
            </w:r>
          </w:p>
        </w:tc>
      </w:tr>
      <w:tr w:rsidR="002641D2" w:rsidRPr="00FA3F9C" w14:paraId="5B4B9A98" w14:textId="77777777" w:rsidTr="00BE6294">
        <w:tc>
          <w:tcPr>
            <w:tcW w:w="10980" w:type="dxa"/>
          </w:tcPr>
          <w:p w14:paraId="279D5ED3" w14:textId="77777777" w:rsidR="002641D2" w:rsidRPr="00FA3F9C" w:rsidRDefault="002641D2" w:rsidP="00BE6294">
            <w:pPr>
              <w:rPr>
                <w:rFonts w:ascii="Arial" w:hAnsi="Arial" w:cs="Arial"/>
                <w:sz w:val="24"/>
                <w:szCs w:val="24"/>
              </w:rPr>
            </w:pPr>
            <w:r w:rsidRPr="00FA3F9C">
              <w:rPr>
                <w:rFonts w:ascii="Arial" w:hAnsi="Arial" w:cs="Arial"/>
                <w:sz w:val="24"/>
                <w:szCs w:val="24"/>
              </w:rPr>
              <w:t>1.  The patient must have the diagnosis of moderate-severe hidradenitis suppurativa (HS) as defined by a total abscess and inflammatory-nodule count of at least 3 lesions in at least two distinct anatomic areas. At least one area must be at least Hurley Stage II or III.*</w:t>
            </w:r>
          </w:p>
        </w:tc>
      </w:tr>
      <w:tr w:rsidR="002641D2" w:rsidRPr="00FA3F9C" w14:paraId="27EB817E" w14:textId="77777777" w:rsidTr="00BE6294">
        <w:tc>
          <w:tcPr>
            <w:tcW w:w="10980" w:type="dxa"/>
          </w:tcPr>
          <w:p w14:paraId="7E76A02B" w14:textId="77777777" w:rsidR="002641D2" w:rsidRPr="00FA3F9C" w:rsidRDefault="002641D2" w:rsidP="00BE6294">
            <w:pPr>
              <w:rPr>
                <w:rFonts w:ascii="Arial" w:hAnsi="Arial" w:cs="Arial"/>
                <w:sz w:val="24"/>
                <w:szCs w:val="24"/>
              </w:rPr>
            </w:pPr>
            <w:r w:rsidRPr="00FA3F9C">
              <w:rPr>
                <w:rFonts w:ascii="Arial" w:hAnsi="Arial" w:cs="Arial"/>
                <w:sz w:val="24"/>
                <w:szCs w:val="24"/>
              </w:rPr>
              <w:t xml:space="preserve">2.  The patient must also have had an inadequate response to </w:t>
            </w:r>
            <w:r w:rsidRPr="00FA3F9C">
              <w:rPr>
                <w:rFonts w:ascii="Arial" w:hAnsi="Arial" w:cs="Arial"/>
                <w:sz w:val="24"/>
                <w:szCs w:val="24"/>
                <w:u w:val="single"/>
              </w:rPr>
              <w:t>&gt;</w:t>
            </w:r>
            <w:r w:rsidRPr="00FA3F9C">
              <w:rPr>
                <w:rFonts w:ascii="Arial" w:hAnsi="Arial" w:cs="Arial"/>
                <w:sz w:val="24"/>
                <w:szCs w:val="24"/>
              </w:rPr>
              <w:t>90 days continuous duration of an oral antibiotic for the treatment of their HS in the past 180 days.</w:t>
            </w:r>
          </w:p>
        </w:tc>
      </w:tr>
      <w:tr w:rsidR="002641D2" w:rsidRPr="00FA3F9C" w14:paraId="1BEC8640" w14:textId="77777777" w:rsidTr="00BE6294">
        <w:tc>
          <w:tcPr>
            <w:tcW w:w="10980" w:type="dxa"/>
          </w:tcPr>
          <w:p w14:paraId="10D37998" w14:textId="77777777" w:rsidR="002641D2" w:rsidRPr="00FA3F9C" w:rsidRDefault="002641D2" w:rsidP="00BE6294">
            <w:pPr>
              <w:rPr>
                <w:rFonts w:ascii="Arial" w:hAnsi="Arial" w:cs="Arial"/>
                <w:sz w:val="24"/>
                <w:szCs w:val="24"/>
              </w:rPr>
            </w:pPr>
            <w:r w:rsidRPr="00FA3F9C">
              <w:rPr>
                <w:rFonts w:ascii="Arial" w:hAnsi="Arial" w:cs="Arial"/>
                <w:sz w:val="24"/>
                <w:szCs w:val="24"/>
              </w:rPr>
              <w:t>3. The patient must have tried chlorhexidine gluconate, triclosan, benzoyl peroxide, and dilute bleach in bathwater.</w:t>
            </w:r>
          </w:p>
        </w:tc>
      </w:tr>
      <w:tr w:rsidR="002641D2" w:rsidRPr="00FA3F9C" w14:paraId="49872AB9" w14:textId="77777777" w:rsidTr="00D7121B">
        <w:tc>
          <w:tcPr>
            <w:tcW w:w="10980" w:type="dxa"/>
            <w:tcBorders>
              <w:bottom w:val="single" w:sz="4" w:space="0" w:color="auto"/>
            </w:tcBorders>
          </w:tcPr>
          <w:p w14:paraId="5BE70A68" w14:textId="77777777" w:rsidR="002641D2" w:rsidRPr="00FA3F9C" w:rsidRDefault="002641D2" w:rsidP="00BE6294">
            <w:pPr>
              <w:rPr>
                <w:rFonts w:ascii="Arial" w:hAnsi="Arial" w:cs="Arial"/>
                <w:sz w:val="24"/>
                <w:szCs w:val="24"/>
              </w:rPr>
            </w:pPr>
            <w:r w:rsidRPr="00FA3F9C">
              <w:rPr>
                <w:rFonts w:ascii="Arial" w:hAnsi="Arial" w:cs="Arial"/>
                <w:sz w:val="24"/>
                <w:szCs w:val="24"/>
              </w:rPr>
              <w:t>If approved, PA is good for 3 months, then the patient must satisfy continuation criteria.</w:t>
            </w:r>
          </w:p>
        </w:tc>
      </w:tr>
      <w:tr w:rsidR="002641D2" w:rsidRPr="00FA3F9C" w14:paraId="373B96DD" w14:textId="77777777" w:rsidTr="00D7121B">
        <w:tc>
          <w:tcPr>
            <w:tcW w:w="10980" w:type="dxa"/>
            <w:shd w:val="clear" w:color="auto" w:fill="D9D9D9"/>
          </w:tcPr>
          <w:p w14:paraId="617EC71C" w14:textId="77777777" w:rsidR="002641D2" w:rsidRPr="00FA3F9C" w:rsidRDefault="002641D2" w:rsidP="00BE6294">
            <w:pPr>
              <w:rPr>
                <w:rFonts w:ascii="Arial" w:hAnsi="Arial" w:cs="Arial"/>
                <w:sz w:val="24"/>
                <w:szCs w:val="24"/>
              </w:rPr>
            </w:pPr>
            <w:r w:rsidRPr="00FA3F9C">
              <w:rPr>
                <w:rFonts w:ascii="Arial" w:hAnsi="Arial" w:cs="Arial"/>
                <w:sz w:val="24"/>
                <w:szCs w:val="24"/>
              </w:rPr>
              <w:t xml:space="preserve">*Hurley Staging:  </w:t>
            </w:r>
          </w:p>
          <w:p w14:paraId="57A95716" w14:textId="77777777" w:rsidR="002641D2" w:rsidRPr="00FA3F9C" w:rsidRDefault="002641D2" w:rsidP="002641D2">
            <w:pPr>
              <w:numPr>
                <w:ilvl w:val="0"/>
                <w:numId w:val="270"/>
              </w:numPr>
              <w:spacing w:after="0" w:line="240" w:lineRule="auto"/>
              <w:ind w:left="335" w:hanging="270"/>
              <w:rPr>
                <w:rFonts w:ascii="Arial" w:hAnsi="Arial" w:cs="Arial"/>
                <w:sz w:val="24"/>
                <w:szCs w:val="24"/>
              </w:rPr>
            </w:pPr>
            <w:r w:rsidRPr="00FA3F9C">
              <w:rPr>
                <w:rFonts w:ascii="Arial" w:hAnsi="Arial" w:cs="Arial"/>
                <w:sz w:val="24"/>
                <w:szCs w:val="24"/>
              </w:rPr>
              <w:t xml:space="preserve">Stage I:  abscess formation, single or multiple, without sinus tracts and </w:t>
            </w:r>
            <w:proofErr w:type="spellStart"/>
            <w:r w:rsidRPr="00FA3F9C">
              <w:rPr>
                <w:rFonts w:ascii="Arial" w:hAnsi="Arial" w:cs="Arial"/>
                <w:sz w:val="24"/>
                <w:szCs w:val="24"/>
              </w:rPr>
              <w:t>cicatrization</w:t>
            </w:r>
            <w:proofErr w:type="spellEnd"/>
            <w:r w:rsidRPr="00FA3F9C">
              <w:rPr>
                <w:rFonts w:ascii="Arial" w:hAnsi="Arial" w:cs="Arial"/>
                <w:sz w:val="24"/>
                <w:szCs w:val="24"/>
              </w:rPr>
              <w:t xml:space="preserve"> (scarring). </w:t>
            </w:r>
          </w:p>
          <w:p w14:paraId="167EBFA3" w14:textId="77777777" w:rsidR="002641D2" w:rsidRPr="00FA3F9C" w:rsidRDefault="002641D2" w:rsidP="002641D2">
            <w:pPr>
              <w:numPr>
                <w:ilvl w:val="0"/>
                <w:numId w:val="270"/>
              </w:numPr>
              <w:spacing w:after="0" w:line="240" w:lineRule="auto"/>
              <w:ind w:left="335" w:hanging="270"/>
              <w:rPr>
                <w:rFonts w:ascii="Arial" w:hAnsi="Arial" w:cs="Arial"/>
                <w:sz w:val="24"/>
                <w:szCs w:val="24"/>
              </w:rPr>
            </w:pPr>
            <w:r w:rsidRPr="00FA3F9C">
              <w:rPr>
                <w:rFonts w:ascii="Arial" w:hAnsi="Arial" w:cs="Arial"/>
                <w:sz w:val="24"/>
                <w:szCs w:val="24"/>
              </w:rPr>
              <w:t xml:space="preserve">Stage II: One or more widely separated recurrent abscesses with tract formation and </w:t>
            </w:r>
            <w:proofErr w:type="spellStart"/>
            <w:r w:rsidRPr="00FA3F9C">
              <w:rPr>
                <w:rFonts w:ascii="Arial" w:hAnsi="Arial" w:cs="Arial"/>
                <w:sz w:val="24"/>
                <w:szCs w:val="24"/>
              </w:rPr>
              <w:t>cicatrization</w:t>
            </w:r>
            <w:proofErr w:type="spellEnd"/>
            <w:r w:rsidRPr="00FA3F9C">
              <w:rPr>
                <w:rFonts w:ascii="Arial" w:hAnsi="Arial" w:cs="Arial"/>
                <w:sz w:val="24"/>
                <w:szCs w:val="24"/>
              </w:rPr>
              <w:t xml:space="preserve"> (scars). </w:t>
            </w:r>
          </w:p>
          <w:p w14:paraId="178A7F1F" w14:textId="77777777" w:rsidR="002641D2" w:rsidRPr="00FA3F9C" w:rsidRDefault="002641D2" w:rsidP="002641D2">
            <w:pPr>
              <w:numPr>
                <w:ilvl w:val="0"/>
                <w:numId w:val="270"/>
              </w:numPr>
              <w:spacing w:after="0" w:line="240" w:lineRule="auto"/>
              <w:ind w:left="335" w:hanging="270"/>
              <w:rPr>
                <w:rFonts w:ascii="Arial" w:hAnsi="Arial" w:cs="Arial"/>
                <w:sz w:val="24"/>
                <w:szCs w:val="24"/>
              </w:rPr>
            </w:pPr>
            <w:r w:rsidRPr="00FA3F9C">
              <w:rPr>
                <w:rFonts w:ascii="Arial" w:hAnsi="Arial" w:cs="Arial"/>
                <w:sz w:val="24"/>
                <w:szCs w:val="24"/>
              </w:rPr>
              <w:t>Stage III: Multiple interconnected tracts and abscesses across the entire area, with diffuse or near diffuse involvement.</w:t>
            </w:r>
          </w:p>
        </w:tc>
      </w:tr>
      <w:tr w:rsidR="002641D2" w:rsidRPr="00FA3F9C" w14:paraId="1077F9B1" w14:textId="77777777" w:rsidTr="00BE6294">
        <w:tc>
          <w:tcPr>
            <w:tcW w:w="10980" w:type="dxa"/>
            <w:shd w:val="clear" w:color="auto" w:fill="000000"/>
          </w:tcPr>
          <w:p w14:paraId="04176485" w14:textId="77777777" w:rsidR="002641D2" w:rsidRPr="00FA3F9C" w:rsidRDefault="002641D2" w:rsidP="00BE6294">
            <w:pPr>
              <w:rPr>
                <w:rFonts w:ascii="Arial" w:hAnsi="Arial" w:cs="Arial"/>
                <w:sz w:val="24"/>
                <w:szCs w:val="24"/>
              </w:rPr>
            </w:pPr>
            <w:r w:rsidRPr="00FA3F9C">
              <w:rPr>
                <w:rFonts w:ascii="Arial" w:hAnsi="Arial" w:cs="Arial"/>
                <w:sz w:val="24"/>
                <w:szCs w:val="24"/>
              </w:rPr>
              <w:t>Continuation Criteria</w:t>
            </w:r>
          </w:p>
        </w:tc>
      </w:tr>
      <w:tr w:rsidR="002641D2" w:rsidRPr="00FA3F9C" w14:paraId="143DEA94" w14:textId="77777777" w:rsidTr="00EE2E8D">
        <w:tc>
          <w:tcPr>
            <w:tcW w:w="10980" w:type="dxa"/>
          </w:tcPr>
          <w:p w14:paraId="65B2B7B1" w14:textId="77777777" w:rsidR="002641D2" w:rsidRPr="00FA3F9C" w:rsidRDefault="002641D2" w:rsidP="00BE6294">
            <w:pPr>
              <w:rPr>
                <w:rFonts w:ascii="Arial" w:hAnsi="Arial" w:cs="Arial"/>
                <w:sz w:val="24"/>
                <w:szCs w:val="24"/>
              </w:rPr>
            </w:pPr>
            <w:r w:rsidRPr="00FA3F9C">
              <w:rPr>
                <w:rFonts w:ascii="Arial" w:hAnsi="Arial" w:cs="Arial"/>
                <w:sz w:val="24"/>
                <w:szCs w:val="24"/>
              </w:rPr>
              <w:lastRenderedPageBreak/>
              <w:t>1.  After 3 months of therapy the patient must have at least a 50% reduction from baseline in the total abscess and inflammation-nodule count, and with no increase in the abscess or draining-fistula count.</w:t>
            </w:r>
          </w:p>
        </w:tc>
      </w:tr>
      <w:tr w:rsidR="002641D2" w:rsidRPr="00FA3F9C" w14:paraId="55B4659D" w14:textId="77777777" w:rsidTr="00EE2E8D">
        <w:tc>
          <w:tcPr>
            <w:tcW w:w="10980" w:type="dxa"/>
          </w:tcPr>
          <w:p w14:paraId="265CEB1C" w14:textId="77777777" w:rsidR="002641D2" w:rsidRPr="00FA3F9C" w:rsidRDefault="002641D2" w:rsidP="00BE6294">
            <w:pPr>
              <w:rPr>
                <w:rFonts w:ascii="Arial" w:hAnsi="Arial" w:cs="Arial"/>
                <w:sz w:val="24"/>
                <w:szCs w:val="24"/>
              </w:rPr>
            </w:pPr>
            <w:r w:rsidRPr="00FA3F9C">
              <w:rPr>
                <w:rFonts w:ascii="Arial" w:hAnsi="Arial" w:cs="Arial"/>
                <w:sz w:val="24"/>
                <w:szCs w:val="24"/>
              </w:rPr>
              <w:t xml:space="preserve">If approved, PA is good for 12 months.  </w:t>
            </w:r>
          </w:p>
        </w:tc>
      </w:tr>
    </w:tbl>
    <w:p w14:paraId="04AB2D14" w14:textId="77777777" w:rsidR="002641D2" w:rsidRPr="00FA3F9C" w:rsidRDefault="002641D2" w:rsidP="00A8198A">
      <w:pPr>
        <w:ind w:left="-1080" w:right="-1170"/>
        <w:rPr>
          <w:rFonts w:ascii="Arial" w:hAnsi="Arial" w:cs="Arial"/>
          <w:sz w:val="24"/>
          <w:szCs w:val="24"/>
        </w:rPr>
      </w:pPr>
      <w:r w:rsidRPr="00FA3F9C">
        <w:rPr>
          <w:rFonts w:ascii="Arial" w:hAnsi="Arial" w:cs="Arial"/>
          <w:color w:val="222222"/>
          <w:sz w:val="24"/>
          <w:szCs w:val="24"/>
          <w:shd w:val="clear" w:color="auto" w:fill="FFFFFF"/>
          <w:lang w:val="fr-FR"/>
        </w:rPr>
        <w:t xml:space="preserve">1.  Kimball, Alexa B., et al. </w:t>
      </w:r>
      <w:r w:rsidRPr="00FA3F9C">
        <w:rPr>
          <w:rFonts w:ascii="Arial" w:hAnsi="Arial" w:cs="Arial"/>
          <w:color w:val="222222"/>
          <w:sz w:val="24"/>
          <w:szCs w:val="24"/>
          <w:shd w:val="clear" w:color="auto" w:fill="FFFFFF"/>
        </w:rPr>
        <w:t>"Two phase 3 trials of adalimumab for hidradenitis suppurativa." </w:t>
      </w:r>
      <w:r w:rsidRPr="00FA3F9C">
        <w:rPr>
          <w:rFonts w:ascii="Arial" w:hAnsi="Arial" w:cs="Arial"/>
          <w:i/>
          <w:iCs/>
          <w:color w:val="222222"/>
          <w:sz w:val="24"/>
          <w:szCs w:val="24"/>
          <w:shd w:val="clear" w:color="auto" w:fill="FFFFFF"/>
        </w:rPr>
        <w:t>New England Journal of Medicine</w:t>
      </w:r>
      <w:r w:rsidRPr="00FA3F9C">
        <w:rPr>
          <w:rFonts w:ascii="Arial" w:hAnsi="Arial" w:cs="Arial"/>
          <w:color w:val="222222"/>
          <w:sz w:val="24"/>
          <w:szCs w:val="24"/>
          <w:shd w:val="clear" w:color="auto" w:fill="FFFFFF"/>
        </w:rPr>
        <w:t> 375.5 (2016): 422-434.</w:t>
      </w:r>
    </w:p>
    <w:p w14:paraId="35ED011A" w14:textId="77777777" w:rsidR="002641D2" w:rsidRPr="00FA3F9C" w:rsidRDefault="002641D2" w:rsidP="00BE6294">
      <w:pPr>
        <w:rPr>
          <w:rFonts w:ascii="Arial" w:hAnsi="Arial" w:cs="Arial"/>
          <w:sz w:val="24"/>
          <w:szCs w:val="24"/>
        </w:rPr>
      </w:pPr>
    </w:p>
    <w:p w14:paraId="60501C0F" w14:textId="77777777" w:rsidR="002641D2" w:rsidRPr="00FA3F9C" w:rsidRDefault="002641D2" w:rsidP="00BE6294">
      <w:pPr>
        <w:rPr>
          <w:rFonts w:ascii="Arial" w:hAnsi="Arial" w:cs="Arial"/>
          <w:sz w:val="24"/>
          <w:szCs w:val="24"/>
        </w:rPr>
      </w:pPr>
    </w:p>
    <w:tbl>
      <w:tblPr>
        <w:tblW w:w="10980" w:type="dxa"/>
        <w:tblInd w:w="-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0"/>
      </w:tblGrid>
      <w:tr w:rsidR="002641D2" w:rsidRPr="00FA3F9C" w14:paraId="56406984" w14:textId="77777777" w:rsidTr="006B1E38">
        <w:tc>
          <w:tcPr>
            <w:tcW w:w="10980" w:type="dxa"/>
            <w:tcBorders>
              <w:top w:val="thinThickSmallGap" w:sz="24" w:space="0" w:color="auto"/>
              <w:left w:val="thinThickSmallGap" w:sz="24" w:space="0" w:color="auto"/>
              <w:bottom w:val="thinThickSmallGap" w:sz="24" w:space="0" w:color="auto"/>
              <w:right w:val="thinThickSmallGap" w:sz="24" w:space="0" w:color="auto"/>
            </w:tcBorders>
          </w:tcPr>
          <w:p w14:paraId="7C514E93" w14:textId="77777777" w:rsidR="002641D2" w:rsidRPr="00FA3F9C" w:rsidRDefault="002641D2" w:rsidP="006B1E38">
            <w:pPr>
              <w:rPr>
                <w:rFonts w:ascii="Arial" w:hAnsi="Arial" w:cs="Arial"/>
                <w:sz w:val="24"/>
                <w:szCs w:val="24"/>
              </w:rPr>
            </w:pPr>
            <w:r w:rsidRPr="00FA3F9C">
              <w:rPr>
                <w:rFonts w:ascii="Arial" w:hAnsi="Arial" w:cs="Arial"/>
                <w:b/>
                <w:sz w:val="24"/>
                <w:szCs w:val="24"/>
              </w:rPr>
              <w:t xml:space="preserve">Noninfectious uveitis </w:t>
            </w:r>
          </w:p>
        </w:tc>
      </w:tr>
      <w:tr w:rsidR="002641D2" w:rsidRPr="00FA3F9C" w14:paraId="6EDFFEED" w14:textId="77777777" w:rsidTr="006B1E38">
        <w:tc>
          <w:tcPr>
            <w:tcW w:w="10980" w:type="dxa"/>
            <w:tcBorders>
              <w:top w:val="thinThickSmallGap" w:sz="24" w:space="0" w:color="auto"/>
            </w:tcBorders>
            <w:shd w:val="clear" w:color="auto" w:fill="BFBFBF"/>
          </w:tcPr>
          <w:p w14:paraId="001CE092" w14:textId="77777777" w:rsidR="002641D2" w:rsidRPr="00FA3F9C" w:rsidRDefault="002641D2" w:rsidP="006B1E38">
            <w:pPr>
              <w:rPr>
                <w:rFonts w:ascii="Arial" w:hAnsi="Arial" w:cs="Arial"/>
                <w:sz w:val="24"/>
                <w:szCs w:val="24"/>
              </w:rPr>
            </w:pPr>
            <w:r w:rsidRPr="00FA3F9C">
              <w:rPr>
                <w:rFonts w:ascii="Arial" w:hAnsi="Arial" w:cs="Arial"/>
                <w:sz w:val="24"/>
                <w:szCs w:val="24"/>
              </w:rPr>
              <w:t>⁭ Adalimumab (Humira</w:t>
            </w:r>
            <w:r w:rsidRPr="00FA3F9C">
              <w:rPr>
                <w:rFonts w:ascii="Arial" w:hAnsi="Arial" w:cs="Arial"/>
                <w:sz w:val="24"/>
                <w:szCs w:val="24"/>
                <w:vertAlign w:val="superscript"/>
              </w:rPr>
              <w:t>®</w:t>
            </w:r>
            <w:r w:rsidRPr="00FA3F9C">
              <w:rPr>
                <w:rFonts w:ascii="Arial" w:hAnsi="Arial" w:cs="Arial"/>
                <w:sz w:val="24"/>
                <w:szCs w:val="24"/>
              </w:rPr>
              <w:t>), ⁭ etanercept (Enbrel)</w:t>
            </w:r>
          </w:p>
        </w:tc>
      </w:tr>
      <w:tr w:rsidR="002641D2" w:rsidRPr="00FA3F9C" w14:paraId="1DE889C8" w14:textId="77777777" w:rsidTr="006B1E38">
        <w:tc>
          <w:tcPr>
            <w:tcW w:w="10980" w:type="dxa"/>
          </w:tcPr>
          <w:p w14:paraId="2243CBA7" w14:textId="77777777" w:rsidR="002641D2" w:rsidRPr="00FA3F9C" w:rsidRDefault="002641D2" w:rsidP="006B1E38">
            <w:pPr>
              <w:rPr>
                <w:rFonts w:ascii="Arial" w:hAnsi="Arial" w:cs="Arial"/>
                <w:sz w:val="24"/>
                <w:szCs w:val="24"/>
              </w:rPr>
            </w:pPr>
            <w:r w:rsidRPr="00FA3F9C">
              <w:rPr>
                <w:rFonts w:ascii="Arial" w:hAnsi="Arial" w:cs="Arial"/>
                <w:sz w:val="24"/>
                <w:szCs w:val="24"/>
              </w:rPr>
              <w:t>1.  The patient must have the diagnosis of noninfectious uveitis.</w:t>
            </w:r>
          </w:p>
        </w:tc>
      </w:tr>
      <w:tr w:rsidR="002641D2" w:rsidRPr="00FA3F9C" w14:paraId="2F76CFA7" w14:textId="77777777" w:rsidTr="006B1E38">
        <w:tc>
          <w:tcPr>
            <w:tcW w:w="10980" w:type="dxa"/>
          </w:tcPr>
          <w:p w14:paraId="7CFA7566" w14:textId="77777777" w:rsidR="002641D2" w:rsidRPr="00FA3F9C" w:rsidRDefault="002641D2" w:rsidP="006B1E38">
            <w:pPr>
              <w:rPr>
                <w:rFonts w:ascii="Arial" w:hAnsi="Arial" w:cs="Arial"/>
                <w:sz w:val="24"/>
                <w:szCs w:val="24"/>
              </w:rPr>
            </w:pPr>
            <w:r w:rsidRPr="00FA3F9C">
              <w:rPr>
                <w:rFonts w:ascii="Arial" w:hAnsi="Arial" w:cs="Arial"/>
                <w:sz w:val="24"/>
                <w:szCs w:val="24"/>
              </w:rPr>
              <w:t xml:space="preserve">2.  The patient must also have had an inadequate response to locally administered ophthalmic corticosteroid drops (prednisolone acetate 1% or </w:t>
            </w:r>
            <w:proofErr w:type="spellStart"/>
            <w:r w:rsidRPr="00FA3F9C">
              <w:rPr>
                <w:rFonts w:ascii="Arial" w:hAnsi="Arial" w:cs="Arial"/>
                <w:sz w:val="24"/>
                <w:szCs w:val="24"/>
              </w:rPr>
              <w:t>difluprednate</w:t>
            </w:r>
            <w:proofErr w:type="spellEnd"/>
            <w:r w:rsidRPr="00FA3F9C">
              <w:rPr>
                <w:rFonts w:ascii="Arial" w:hAnsi="Arial" w:cs="Arial"/>
                <w:sz w:val="24"/>
                <w:szCs w:val="24"/>
              </w:rPr>
              <w:t xml:space="preserve"> 0.05%, or periocular </w:t>
            </w:r>
            <w:proofErr w:type="spellStart"/>
            <w:r w:rsidRPr="00FA3F9C">
              <w:rPr>
                <w:rFonts w:ascii="Arial" w:hAnsi="Arial" w:cs="Arial"/>
                <w:sz w:val="24"/>
                <w:szCs w:val="24"/>
              </w:rPr>
              <w:t>inj</w:t>
            </w:r>
            <w:proofErr w:type="spellEnd"/>
            <w:r w:rsidRPr="00FA3F9C">
              <w:rPr>
                <w:rFonts w:ascii="Arial" w:hAnsi="Arial" w:cs="Arial"/>
                <w:sz w:val="24"/>
                <w:szCs w:val="24"/>
              </w:rPr>
              <w:t xml:space="preserve"> of glucocorticoid such as triamcinolone or dexamethasone.</w:t>
            </w:r>
          </w:p>
        </w:tc>
      </w:tr>
      <w:tr w:rsidR="002641D2" w:rsidRPr="00FA3F9C" w14:paraId="027ABCB2" w14:textId="77777777" w:rsidTr="006B1E38">
        <w:tc>
          <w:tcPr>
            <w:tcW w:w="10980" w:type="dxa"/>
          </w:tcPr>
          <w:p w14:paraId="7C090E69" w14:textId="77777777" w:rsidR="002641D2" w:rsidRPr="00FA3F9C" w:rsidRDefault="002641D2" w:rsidP="006B1E38">
            <w:pPr>
              <w:rPr>
                <w:rFonts w:ascii="Arial" w:hAnsi="Arial" w:cs="Arial"/>
                <w:sz w:val="24"/>
                <w:szCs w:val="24"/>
              </w:rPr>
            </w:pPr>
            <w:r w:rsidRPr="00FA3F9C">
              <w:rPr>
                <w:rFonts w:ascii="Arial" w:hAnsi="Arial" w:cs="Arial"/>
                <w:sz w:val="24"/>
                <w:szCs w:val="24"/>
              </w:rPr>
              <w:t>3. The patient must have had an inadequate response to systemic glucocorticoid therapy.</w:t>
            </w:r>
          </w:p>
        </w:tc>
      </w:tr>
      <w:tr w:rsidR="002641D2" w:rsidRPr="00FA3F9C" w14:paraId="257E9F19" w14:textId="77777777" w:rsidTr="006B1E38">
        <w:tc>
          <w:tcPr>
            <w:tcW w:w="10980" w:type="dxa"/>
          </w:tcPr>
          <w:p w14:paraId="39A5B788" w14:textId="77777777" w:rsidR="002641D2" w:rsidRPr="00FA3F9C" w:rsidRDefault="002641D2" w:rsidP="006B1E38">
            <w:pPr>
              <w:rPr>
                <w:rFonts w:ascii="Arial" w:hAnsi="Arial" w:cs="Arial"/>
                <w:sz w:val="24"/>
                <w:szCs w:val="24"/>
              </w:rPr>
            </w:pPr>
            <w:r w:rsidRPr="00FA3F9C">
              <w:rPr>
                <w:rFonts w:ascii="Arial" w:hAnsi="Arial" w:cs="Arial"/>
                <w:sz w:val="24"/>
                <w:szCs w:val="24"/>
              </w:rPr>
              <w:t>4. The patient must have had an inadequate response to cyclosporine and methotrexate, combined.</w:t>
            </w:r>
          </w:p>
        </w:tc>
      </w:tr>
      <w:tr w:rsidR="002641D2" w:rsidRPr="00FA3F9C" w14:paraId="6F53CF6B" w14:textId="77777777" w:rsidTr="006B1E38">
        <w:tc>
          <w:tcPr>
            <w:tcW w:w="10980" w:type="dxa"/>
            <w:tcBorders>
              <w:bottom w:val="single" w:sz="4" w:space="0" w:color="auto"/>
            </w:tcBorders>
          </w:tcPr>
          <w:p w14:paraId="05AA3F87" w14:textId="77777777" w:rsidR="002641D2" w:rsidRPr="00FA3F9C" w:rsidRDefault="002641D2" w:rsidP="006B1E38">
            <w:pPr>
              <w:rPr>
                <w:rFonts w:ascii="Arial" w:hAnsi="Arial" w:cs="Arial"/>
                <w:sz w:val="24"/>
                <w:szCs w:val="24"/>
              </w:rPr>
            </w:pPr>
            <w:r w:rsidRPr="00FA3F9C">
              <w:rPr>
                <w:rFonts w:ascii="Arial" w:hAnsi="Arial" w:cs="Arial"/>
                <w:sz w:val="24"/>
                <w:szCs w:val="24"/>
              </w:rPr>
              <w:t>If approved, PA is good for 12 months.</w:t>
            </w:r>
          </w:p>
        </w:tc>
      </w:tr>
      <w:tr w:rsidR="002641D2" w:rsidRPr="00FA3F9C" w14:paraId="7BDAAA82" w14:textId="77777777" w:rsidTr="006B1E38">
        <w:tc>
          <w:tcPr>
            <w:tcW w:w="10980" w:type="dxa"/>
            <w:shd w:val="clear" w:color="auto" w:fill="D9D9D9"/>
          </w:tcPr>
          <w:p w14:paraId="7D49309B" w14:textId="77777777" w:rsidR="002641D2" w:rsidRPr="00FA3F9C" w:rsidRDefault="002641D2" w:rsidP="004E24B1">
            <w:pPr>
              <w:rPr>
                <w:rFonts w:ascii="Arial" w:hAnsi="Arial" w:cs="Arial"/>
                <w:sz w:val="24"/>
                <w:szCs w:val="24"/>
              </w:rPr>
            </w:pPr>
          </w:p>
        </w:tc>
      </w:tr>
      <w:tr w:rsidR="002641D2" w:rsidRPr="00FA3F9C" w14:paraId="4B2704AD" w14:textId="77777777" w:rsidTr="006B1E38">
        <w:tc>
          <w:tcPr>
            <w:tcW w:w="10980" w:type="dxa"/>
            <w:shd w:val="clear" w:color="auto" w:fill="000000"/>
          </w:tcPr>
          <w:p w14:paraId="0ECC3557" w14:textId="77777777" w:rsidR="002641D2" w:rsidRPr="00FA3F9C" w:rsidRDefault="002641D2" w:rsidP="006B1E38">
            <w:pPr>
              <w:rPr>
                <w:rFonts w:ascii="Arial" w:hAnsi="Arial" w:cs="Arial"/>
                <w:sz w:val="24"/>
                <w:szCs w:val="24"/>
              </w:rPr>
            </w:pPr>
            <w:r w:rsidRPr="00FA3F9C">
              <w:rPr>
                <w:rFonts w:ascii="Arial" w:hAnsi="Arial" w:cs="Arial"/>
                <w:sz w:val="24"/>
                <w:szCs w:val="24"/>
              </w:rPr>
              <w:t>Continuation Criteria</w:t>
            </w:r>
          </w:p>
        </w:tc>
      </w:tr>
      <w:tr w:rsidR="002641D2" w:rsidRPr="00FA3F9C" w14:paraId="03E6F2BF" w14:textId="77777777" w:rsidTr="006B1E38">
        <w:tc>
          <w:tcPr>
            <w:tcW w:w="10980" w:type="dxa"/>
          </w:tcPr>
          <w:p w14:paraId="32EB31EC" w14:textId="77777777" w:rsidR="002641D2" w:rsidRPr="00FA3F9C" w:rsidRDefault="002641D2" w:rsidP="006B1E38">
            <w:pPr>
              <w:rPr>
                <w:rFonts w:ascii="Arial" w:hAnsi="Arial" w:cs="Arial"/>
                <w:sz w:val="24"/>
                <w:szCs w:val="24"/>
              </w:rPr>
            </w:pPr>
            <w:r w:rsidRPr="00FA3F9C">
              <w:rPr>
                <w:rFonts w:ascii="Arial" w:hAnsi="Arial" w:cs="Arial"/>
                <w:sz w:val="24"/>
                <w:szCs w:val="24"/>
              </w:rPr>
              <w:t>1.  After 3 months of therapy the patient must have at least a 50% reduction from baseline in the total abscess and inflammation-nodule count, and with no increase in the abscess or draining-fistula count.</w:t>
            </w:r>
          </w:p>
        </w:tc>
      </w:tr>
      <w:tr w:rsidR="002641D2" w:rsidRPr="00FA3F9C" w14:paraId="37CE3951" w14:textId="77777777" w:rsidTr="006B1E38">
        <w:tc>
          <w:tcPr>
            <w:tcW w:w="10980" w:type="dxa"/>
          </w:tcPr>
          <w:p w14:paraId="4DFB2BDA" w14:textId="77777777" w:rsidR="002641D2" w:rsidRPr="00FA3F9C" w:rsidRDefault="002641D2" w:rsidP="006B1E38">
            <w:pPr>
              <w:rPr>
                <w:rFonts w:ascii="Arial" w:hAnsi="Arial" w:cs="Arial"/>
                <w:sz w:val="24"/>
                <w:szCs w:val="24"/>
              </w:rPr>
            </w:pPr>
            <w:r w:rsidRPr="00FA3F9C">
              <w:rPr>
                <w:rFonts w:ascii="Arial" w:hAnsi="Arial" w:cs="Arial"/>
                <w:sz w:val="24"/>
                <w:szCs w:val="24"/>
              </w:rPr>
              <w:lastRenderedPageBreak/>
              <w:t xml:space="preserve">If approved, PA is good for 12 months.  </w:t>
            </w:r>
          </w:p>
        </w:tc>
      </w:tr>
    </w:tbl>
    <w:p w14:paraId="7D799A36" w14:textId="77777777" w:rsidR="002641D2" w:rsidRPr="00FA3F9C" w:rsidRDefault="002641D2" w:rsidP="004E24B1">
      <w:pPr>
        <w:ind w:left="-990"/>
        <w:rPr>
          <w:rFonts w:ascii="Arial" w:hAnsi="Arial" w:cs="Arial"/>
          <w:sz w:val="24"/>
          <w:szCs w:val="24"/>
        </w:rPr>
      </w:pPr>
      <w:r w:rsidRPr="00FA3F9C">
        <w:rPr>
          <w:rFonts w:ascii="Arial" w:hAnsi="Arial" w:cs="Arial"/>
          <w:sz w:val="24"/>
          <w:szCs w:val="24"/>
        </w:rPr>
        <w:t>Ref for uveitis:</w:t>
      </w:r>
    </w:p>
    <w:p w14:paraId="3D1DF5E4" w14:textId="77777777" w:rsidR="002641D2" w:rsidRPr="00FA3F9C" w:rsidRDefault="002641D2" w:rsidP="004E24B1">
      <w:pPr>
        <w:ind w:left="-990"/>
        <w:rPr>
          <w:rFonts w:ascii="Arial" w:hAnsi="Arial" w:cs="Arial"/>
          <w:sz w:val="24"/>
          <w:szCs w:val="24"/>
        </w:rPr>
      </w:pPr>
      <w:r w:rsidRPr="00FA3F9C">
        <w:rPr>
          <w:rFonts w:ascii="Arial" w:hAnsi="Arial" w:cs="Arial"/>
          <w:sz w:val="24"/>
          <w:szCs w:val="24"/>
        </w:rPr>
        <w:t>1. UpToDate, “Uveitis: Treatment”, accessed 9/4/18.</w:t>
      </w:r>
    </w:p>
    <w:p w14:paraId="416EF170" w14:textId="77777777" w:rsidR="002641D2" w:rsidRPr="00FA3F9C" w:rsidRDefault="002641D2" w:rsidP="004E24B1">
      <w:pPr>
        <w:ind w:left="-990"/>
        <w:rPr>
          <w:rFonts w:ascii="Arial" w:hAnsi="Arial" w:cs="Arial"/>
          <w:sz w:val="24"/>
          <w:szCs w:val="24"/>
        </w:rPr>
      </w:pPr>
      <w:r w:rsidRPr="00FA3F9C">
        <w:rPr>
          <w:rFonts w:ascii="Arial" w:hAnsi="Arial" w:cs="Arial"/>
          <w:sz w:val="24"/>
          <w:szCs w:val="24"/>
          <w:lang w:val="fr-FR"/>
        </w:rPr>
        <w:t xml:space="preserve">2. </w:t>
      </w:r>
      <w:r w:rsidRPr="00FA3F9C">
        <w:rPr>
          <w:rFonts w:ascii="Arial" w:hAnsi="Arial" w:cs="Arial"/>
          <w:color w:val="222222"/>
          <w:sz w:val="24"/>
          <w:szCs w:val="24"/>
          <w:shd w:val="clear" w:color="auto" w:fill="F8F8F8"/>
          <w:lang w:val="fr-FR"/>
        </w:rPr>
        <w:t xml:space="preserve">Jaffe, Glenn J., et al. </w:t>
      </w:r>
      <w:r w:rsidRPr="00FA3F9C">
        <w:rPr>
          <w:rFonts w:ascii="Arial" w:hAnsi="Arial" w:cs="Arial"/>
          <w:color w:val="222222"/>
          <w:sz w:val="24"/>
          <w:szCs w:val="24"/>
          <w:shd w:val="clear" w:color="auto" w:fill="F8F8F8"/>
        </w:rPr>
        <w:t>"Adalimumab in patients with active noninfectious uveitis." </w:t>
      </w:r>
      <w:r w:rsidRPr="00FA3F9C">
        <w:rPr>
          <w:rFonts w:ascii="Arial" w:hAnsi="Arial" w:cs="Arial"/>
          <w:i/>
          <w:iCs/>
          <w:color w:val="222222"/>
          <w:sz w:val="24"/>
          <w:szCs w:val="24"/>
          <w:shd w:val="clear" w:color="auto" w:fill="F8F8F8"/>
        </w:rPr>
        <w:t>New England Journal of Medicine</w:t>
      </w:r>
      <w:r w:rsidRPr="00FA3F9C">
        <w:rPr>
          <w:rFonts w:ascii="Arial" w:hAnsi="Arial" w:cs="Arial"/>
          <w:color w:val="222222"/>
          <w:sz w:val="24"/>
          <w:szCs w:val="24"/>
          <w:shd w:val="clear" w:color="auto" w:fill="F8F8F8"/>
        </w:rPr>
        <w:t> 375.10 (2016): 932-943.</w:t>
      </w:r>
    </w:p>
    <w:p w14:paraId="583125B6" w14:textId="77777777" w:rsidR="002641D2" w:rsidRPr="00FA3F9C" w:rsidRDefault="002641D2" w:rsidP="004E24B1">
      <w:pPr>
        <w:ind w:left="-990"/>
        <w:rPr>
          <w:rFonts w:ascii="Arial" w:hAnsi="Arial" w:cs="Arial"/>
          <w:sz w:val="24"/>
          <w:szCs w:val="24"/>
        </w:rPr>
      </w:pPr>
    </w:p>
    <w:p w14:paraId="708090A7" w14:textId="77777777" w:rsidR="002641D2" w:rsidRPr="00FA3F9C" w:rsidRDefault="002641D2" w:rsidP="00BE6294">
      <w:pPr>
        <w:rPr>
          <w:rFonts w:ascii="Arial" w:hAnsi="Arial" w:cs="Arial"/>
          <w:sz w:val="24"/>
          <w:szCs w:val="24"/>
        </w:rPr>
      </w:pPr>
    </w:p>
    <w:p w14:paraId="0F3A5932" w14:textId="77777777" w:rsidR="002641D2" w:rsidRPr="00FA3F9C" w:rsidRDefault="002641D2" w:rsidP="00A8198A">
      <w:pPr>
        <w:ind w:left="-1080"/>
        <w:rPr>
          <w:rFonts w:ascii="Arial" w:hAnsi="Arial" w:cs="Arial"/>
          <w:sz w:val="24"/>
          <w:szCs w:val="24"/>
        </w:rPr>
      </w:pPr>
      <w:r w:rsidRPr="00FA3F9C">
        <w:rPr>
          <w:rFonts w:ascii="Arial" w:hAnsi="Arial" w:cs="Arial"/>
          <w:sz w:val="24"/>
          <w:szCs w:val="24"/>
        </w:rPr>
        <w:t>General References:</w:t>
      </w:r>
    </w:p>
    <w:p w14:paraId="4C7C96D3" w14:textId="77777777" w:rsidR="002641D2" w:rsidRPr="00FA3F9C" w:rsidRDefault="002641D2" w:rsidP="00A8198A">
      <w:pPr>
        <w:ind w:left="-1080"/>
        <w:rPr>
          <w:rFonts w:ascii="Arial" w:hAnsi="Arial" w:cs="Arial"/>
          <w:sz w:val="24"/>
          <w:szCs w:val="24"/>
        </w:rPr>
      </w:pPr>
      <w:r w:rsidRPr="00FA3F9C">
        <w:rPr>
          <w:rFonts w:ascii="Arial" w:hAnsi="Arial" w:cs="Arial"/>
          <w:sz w:val="24"/>
          <w:szCs w:val="24"/>
        </w:rPr>
        <w:t xml:space="preserve">1.  Drug Effectiveness Review Project.  Targeted Immune Modulators Update 3/8/12.  </w:t>
      </w:r>
    </w:p>
    <w:p w14:paraId="62B2F750" w14:textId="77777777" w:rsidR="002641D2" w:rsidRPr="00FA3F9C" w:rsidRDefault="002641D2" w:rsidP="00A8198A">
      <w:pPr>
        <w:ind w:left="-1080" w:right="-1170"/>
        <w:rPr>
          <w:rFonts w:ascii="Arial" w:eastAsia="MinionPro-Regular" w:hAnsi="Arial" w:cs="Arial"/>
          <w:sz w:val="24"/>
          <w:szCs w:val="24"/>
        </w:rPr>
      </w:pPr>
      <w:r w:rsidRPr="00FA3F9C">
        <w:rPr>
          <w:rFonts w:ascii="Arial" w:hAnsi="Arial" w:cs="Arial"/>
          <w:sz w:val="24"/>
          <w:szCs w:val="24"/>
        </w:rPr>
        <w:t xml:space="preserve">2.  Kornbluth A, Sachar DB, The Practice Parameters Committee of the American College of Gastroenterology.  Ulcerative Colitis practice guidelines in adults:  ACG, Practice Parameters Committee.  </w:t>
      </w:r>
      <w:r w:rsidRPr="00FA3F9C">
        <w:rPr>
          <w:rFonts w:ascii="Arial" w:hAnsi="Arial" w:cs="Arial"/>
          <w:i/>
          <w:iCs/>
          <w:sz w:val="24"/>
          <w:szCs w:val="24"/>
        </w:rPr>
        <w:t xml:space="preserve">Am J Gastroenterol </w:t>
      </w:r>
      <w:r w:rsidRPr="00FA3F9C">
        <w:rPr>
          <w:rFonts w:ascii="Arial" w:eastAsia="MinionPro-Regular" w:hAnsi="Arial" w:cs="Arial"/>
          <w:sz w:val="24"/>
          <w:szCs w:val="24"/>
        </w:rPr>
        <w:t>2010; 105:501–523.</w:t>
      </w:r>
    </w:p>
    <w:p w14:paraId="06C6B007" w14:textId="77777777" w:rsidR="002641D2" w:rsidRPr="00FA3F9C" w:rsidRDefault="002641D2" w:rsidP="00A8198A">
      <w:pPr>
        <w:ind w:left="-900" w:hanging="270"/>
        <w:rPr>
          <w:rFonts w:ascii="Arial" w:eastAsia="MinionPro-Regular" w:hAnsi="Arial" w:cs="Arial"/>
          <w:sz w:val="24"/>
          <w:szCs w:val="24"/>
        </w:rPr>
      </w:pPr>
    </w:p>
    <w:tbl>
      <w:tblPr>
        <w:tblW w:w="10980" w:type="dxa"/>
        <w:tblInd w:w="-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1"/>
        <w:gridCol w:w="8041"/>
        <w:gridCol w:w="1788"/>
      </w:tblGrid>
      <w:tr w:rsidR="002641D2" w:rsidRPr="00FA3F9C" w14:paraId="4E178FA0" w14:textId="77777777" w:rsidTr="00681B0D">
        <w:tc>
          <w:tcPr>
            <w:tcW w:w="810" w:type="dxa"/>
          </w:tcPr>
          <w:p w14:paraId="0F5BA89B" w14:textId="77777777" w:rsidR="002641D2" w:rsidRPr="00FA3F9C" w:rsidRDefault="002641D2" w:rsidP="00FE5EAE">
            <w:pPr>
              <w:rPr>
                <w:rFonts w:ascii="Arial" w:hAnsi="Arial" w:cs="Arial"/>
                <w:sz w:val="24"/>
                <w:szCs w:val="24"/>
              </w:rPr>
            </w:pPr>
            <w:r w:rsidRPr="00FA3F9C">
              <w:rPr>
                <w:rFonts w:ascii="Arial" w:hAnsi="Arial" w:cs="Arial"/>
                <w:sz w:val="24"/>
                <w:szCs w:val="24"/>
              </w:rPr>
              <w:t>Date</w:t>
            </w:r>
          </w:p>
        </w:tc>
        <w:tc>
          <w:tcPr>
            <w:tcW w:w="8370" w:type="dxa"/>
          </w:tcPr>
          <w:p w14:paraId="4A5FEE4B" w14:textId="77777777" w:rsidR="002641D2" w:rsidRPr="00FA3F9C" w:rsidRDefault="002641D2" w:rsidP="00FE5EAE">
            <w:pPr>
              <w:rPr>
                <w:rFonts w:ascii="Arial" w:hAnsi="Arial" w:cs="Arial"/>
                <w:sz w:val="24"/>
                <w:szCs w:val="24"/>
              </w:rPr>
            </w:pPr>
            <w:r w:rsidRPr="00FA3F9C">
              <w:rPr>
                <w:rFonts w:ascii="Arial" w:hAnsi="Arial" w:cs="Arial"/>
                <w:sz w:val="24"/>
                <w:szCs w:val="24"/>
              </w:rPr>
              <w:t>What Changed?</w:t>
            </w:r>
          </w:p>
        </w:tc>
        <w:tc>
          <w:tcPr>
            <w:tcW w:w="1800" w:type="dxa"/>
          </w:tcPr>
          <w:p w14:paraId="5D457E9F" w14:textId="77777777" w:rsidR="002641D2" w:rsidRPr="00FA3F9C" w:rsidRDefault="002641D2" w:rsidP="00FE5EAE">
            <w:pPr>
              <w:rPr>
                <w:rFonts w:ascii="Arial" w:hAnsi="Arial" w:cs="Arial"/>
                <w:sz w:val="24"/>
                <w:szCs w:val="24"/>
              </w:rPr>
            </w:pPr>
            <w:r w:rsidRPr="00FA3F9C">
              <w:rPr>
                <w:rFonts w:ascii="Arial" w:hAnsi="Arial" w:cs="Arial"/>
                <w:sz w:val="24"/>
                <w:szCs w:val="24"/>
              </w:rPr>
              <w:t>Pharmacist’s Initials</w:t>
            </w:r>
          </w:p>
        </w:tc>
      </w:tr>
      <w:tr w:rsidR="002641D2" w:rsidRPr="00FA3F9C" w14:paraId="303A294D" w14:textId="77777777" w:rsidTr="00681B0D">
        <w:tc>
          <w:tcPr>
            <w:tcW w:w="810" w:type="dxa"/>
          </w:tcPr>
          <w:p w14:paraId="78EDBC3F" w14:textId="77777777" w:rsidR="002641D2" w:rsidRPr="00FA3F9C" w:rsidRDefault="002641D2" w:rsidP="007F604B">
            <w:pPr>
              <w:rPr>
                <w:rFonts w:ascii="Arial" w:hAnsi="Arial" w:cs="Arial"/>
                <w:sz w:val="24"/>
                <w:szCs w:val="24"/>
              </w:rPr>
            </w:pPr>
            <w:r w:rsidRPr="00FA3F9C">
              <w:rPr>
                <w:rFonts w:ascii="Arial" w:hAnsi="Arial" w:cs="Arial"/>
                <w:sz w:val="24"/>
                <w:szCs w:val="24"/>
              </w:rPr>
              <w:t>7/5/12</w:t>
            </w:r>
          </w:p>
        </w:tc>
        <w:tc>
          <w:tcPr>
            <w:tcW w:w="8370" w:type="dxa"/>
          </w:tcPr>
          <w:p w14:paraId="535BB5E5" w14:textId="77777777" w:rsidR="002641D2" w:rsidRPr="00FA3F9C" w:rsidRDefault="002641D2" w:rsidP="00B63087">
            <w:pPr>
              <w:rPr>
                <w:rFonts w:ascii="Arial" w:hAnsi="Arial" w:cs="Arial"/>
                <w:sz w:val="24"/>
                <w:szCs w:val="24"/>
              </w:rPr>
            </w:pPr>
            <w:r w:rsidRPr="00FA3F9C">
              <w:rPr>
                <w:rFonts w:ascii="Arial" w:hAnsi="Arial" w:cs="Arial"/>
                <w:sz w:val="24"/>
                <w:szCs w:val="24"/>
              </w:rPr>
              <w:t>Complete revision.  If needed, please see the previous version of Immune Modulator criteria in “Old Criteria” on the EBRx, EBD PA Criteria Folder</w:t>
            </w:r>
          </w:p>
        </w:tc>
        <w:tc>
          <w:tcPr>
            <w:tcW w:w="1800" w:type="dxa"/>
          </w:tcPr>
          <w:p w14:paraId="005DF986" w14:textId="77777777" w:rsidR="002641D2" w:rsidRPr="00FA3F9C" w:rsidRDefault="002641D2" w:rsidP="00FE5EAE">
            <w:pPr>
              <w:rPr>
                <w:rFonts w:ascii="Arial" w:hAnsi="Arial" w:cs="Arial"/>
                <w:sz w:val="24"/>
                <w:szCs w:val="24"/>
              </w:rPr>
            </w:pPr>
            <w:r w:rsidRPr="00FA3F9C">
              <w:rPr>
                <w:rFonts w:ascii="Arial" w:hAnsi="Arial" w:cs="Arial"/>
                <w:sz w:val="24"/>
                <w:szCs w:val="24"/>
              </w:rPr>
              <w:t>JJ</w:t>
            </w:r>
          </w:p>
        </w:tc>
      </w:tr>
      <w:tr w:rsidR="002641D2" w:rsidRPr="00FA3F9C" w14:paraId="3FCBCEA7" w14:textId="77777777" w:rsidTr="00681B0D">
        <w:tc>
          <w:tcPr>
            <w:tcW w:w="810" w:type="dxa"/>
          </w:tcPr>
          <w:p w14:paraId="424F3B7A" w14:textId="77777777" w:rsidR="002641D2" w:rsidRPr="00FA3F9C" w:rsidRDefault="002641D2" w:rsidP="00FE5EAE">
            <w:pPr>
              <w:rPr>
                <w:rFonts w:ascii="Arial" w:hAnsi="Arial" w:cs="Arial"/>
                <w:sz w:val="24"/>
                <w:szCs w:val="24"/>
              </w:rPr>
            </w:pPr>
            <w:r w:rsidRPr="00FA3F9C">
              <w:rPr>
                <w:rFonts w:ascii="Arial" w:hAnsi="Arial" w:cs="Arial"/>
                <w:sz w:val="24"/>
                <w:szCs w:val="24"/>
              </w:rPr>
              <w:t>7/30/12</w:t>
            </w:r>
          </w:p>
        </w:tc>
        <w:tc>
          <w:tcPr>
            <w:tcW w:w="8370" w:type="dxa"/>
          </w:tcPr>
          <w:p w14:paraId="74A98AA3" w14:textId="77777777" w:rsidR="002641D2" w:rsidRPr="00FA3F9C" w:rsidRDefault="002641D2" w:rsidP="00FE5EAE">
            <w:pPr>
              <w:rPr>
                <w:rFonts w:ascii="Arial" w:hAnsi="Arial" w:cs="Arial"/>
                <w:sz w:val="24"/>
                <w:szCs w:val="24"/>
              </w:rPr>
            </w:pPr>
            <w:r w:rsidRPr="00FA3F9C">
              <w:rPr>
                <w:rFonts w:ascii="Arial" w:hAnsi="Arial" w:cs="Arial"/>
                <w:sz w:val="24"/>
                <w:szCs w:val="24"/>
              </w:rPr>
              <w:t xml:space="preserve">Added a </w:t>
            </w:r>
            <w:proofErr w:type="gramStart"/>
            <w:r w:rsidRPr="00FA3F9C">
              <w:rPr>
                <w:rFonts w:ascii="Arial" w:hAnsi="Arial" w:cs="Arial"/>
                <w:sz w:val="24"/>
                <w:szCs w:val="24"/>
              </w:rPr>
              <w:t>1 year</w:t>
            </w:r>
            <w:proofErr w:type="gramEnd"/>
            <w:r w:rsidRPr="00FA3F9C">
              <w:rPr>
                <w:rFonts w:ascii="Arial" w:hAnsi="Arial" w:cs="Arial"/>
                <w:sz w:val="24"/>
                <w:szCs w:val="24"/>
              </w:rPr>
              <w:t xml:space="preserve"> approval; reapproval duration.  Added under UC the requirement for the diagnosis of UC.</w:t>
            </w:r>
          </w:p>
        </w:tc>
        <w:tc>
          <w:tcPr>
            <w:tcW w:w="1800" w:type="dxa"/>
          </w:tcPr>
          <w:p w14:paraId="27388ED2" w14:textId="77777777" w:rsidR="002641D2" w:rsidRPr="00FA3F9C" w:rsidRDefault="002641D2" w:rsidP="00FE5EAE">
            <w:pPr>
              <w:rPr>
                <w:rFonts w:ascii="Arial" w:hAnsi="Arial" w:cs="Arial"/>
                <w:sz w:val="24"/>
                <w:szCs w:val="24"/>
              </w:rPr>
            </w:pPr>
            <w:r w:rsidRPr="00FA3F9C">
              <w:rPr>
                <w:rFonts w:ascii="Arial" w:hAnsi="Arial" w:cs="Arial"/>
                <w:sz w:val="24"/>
                <w:szCs w:val="24"/>
              </w:rPr>
              <w:t>JJ</w:t>
            </w:r>
          </w:p>
        </w:tc>
      </w:tr>
      <w:tr w:rsidR="002641D2" w:rsidRPr="00FA3F9C" w14:paraId="00ED4EF5" w14:textId="77777777" w:rsidTr="00681B0D">
        <w:tc>
          <w:tcPr>
            <w:tcW w:w="810" w:type="dxa"/>
          </w:tcPr>
          <w:p w14:paraId="08C3B7A2" w14:textId="77777777" w:rsidR="002641D2" w:rsidRPr="00FA3F9C" w:rsidRDefault="002641D2" w:rsidP="00FE5EAE">
            <w:pPr>
              <w:rPr>
                <w:rFonts w:ascii="Arial" w:hAnsi="Arial" w:cs="Arial"/>
                <w:sz w:val="24"/>
                <w:szCs w:val="24"/>
              </w:rPr>
            </w:pPr>
            <w:r w:rsidRPr="00FA3F9C">
              <w:rPr>
                <w:rFonts w:ascii="Arial" w:hAnsi="Arial" w:cs="Arial"/>
                <w:sz w:val="24"/>
                <w:szCs w:val="24"/>
              </w:rPr>
              <w:t>3/4/14</w:t>
            </w:r>
          </w:p>
        </w:tc>
        <w:tc>
          <w:tcPr>
            <w:tcW w:w="8370" w:type="dxa"/>
          </w:tcPr>
          <w:p w14:paraId="576888F5" w14:textId="77777777" w:rsidR="002641D2" w:rsidRPr="00FA3F9C" w:rsidRDefault="002641D2" w:rsidP="00764124">
            <w:pPr>
              <w:rPr>
                <w:rFonts w:ascii="Arial" w:hAnsi="Arial" w:cs="Arial"/>
                <w:sz w:val="24"/>
                <w:szCs w:val="24"/>
              </w:rPr>
            </w:pPr>
            <w:r w:rsidRPr="00FA3F9C">
              <w:rPr>
                <w:rFonts w:ascii="Arial" w:hAnsi="Arial" w:cs="Arial"/>
                <w:sz w:val="24"/>
                <w:szCs w:val="24"/>
              </w:rPr>
              <w:t xml:space="preserve">Changed the CD approval allowing those with severe, active CD to get access to either infliximab or adalimumab as induction therapy.  </w:t>
            </w:r>
          </w:p>
          <w:p w14:paraId="605B074D" w14:textId="77777777" w:rsidR="002641D2" w:rsidRPr="00FA3F9C" w:rsidRDefault="002641D2" w:rsidP="00764124">
            <w:pPr>
              <w:rPr>
                <w:rFonts w:ascii="Arial" w:hAnsi="Arial" w:cs="Arial"/>
                <w:sz w:val="24"/>
                <w:szCs w:val="24"/>
              </w:rPr>
            </w:pPr>
            <w:r w:rsidRPr="00FA3F9C">
              <w:rPr>
                <w:rFonts w:ascii="Arial" w:hAnsi="Arial" w:cs="Arial"/>
                <w:sz w:val="24"/>
                <w:szCs w:val="24"/>
              </w:rPr>
              <w:t xml:space="preserve">It also allows access to infliximab for active, fistulizing CD.  </w:t>
            </w:r>
          </w:p>
          <w:p w14:paraId="1F340F2F" w14:textId="77777777" w:rsidR="002641D2" w:rsidRPr="00FA3F9C" w:rsidRDefault="002641D2" w:rsidP="00764124">
            <w:pPr>
              <w:rPr>
                <w:rFonts w:ascii="Arial" w:hAnsi="Arial" w:cs="Arial"/>
                <w:sz w:val="24"/>
                <w:szCs w:val="24"/>
              </w:rPr>
            </w:pPr>
            <w:r w:rsidRPr="00FA3F9C">
              <w:rPr>
                <w:rFonts w:ascii="Arial" w:hAnsi="Arial" w:cs="Arial"/>
                <w:sz w:val="24"/>
                <w:szCs w:val="24"/>
              </w:rPr>
              <w:lastRenderedPageBreak/>
              <w:t>Maintenance therapy should be encouraged with azathioprine or 6MP (standard of care (SOC)) as there are no comparative trials for maintenance therapy using SOC vs infliximab or vs adalimumab and due to TNFs high costs and the likelihood a high number of people would achieve maintenance therapy with SOC, the SOC should be used for maintenance therapy.</w:t>
            </w:r>
          </w:p>
        </w:tc>
        <w:tc>
          <w:tcPr>
            <w:tcW w:w="1800" w:type="dxa"/>
          </w:tcPr>
          <w:p w14:paraId="2B373B5E" w14:textId="77777777" w:rsidR="002641D2" w:rsidRPr="00FA3F9C" w:rsidRDefault="002641D2" w:rsidP="00FE5EAE">
            <w:pPr>
              <w:rPr>
                <w:rFonts w:ascii="Arial" w:hAnsi="Arial" w:cs="Arial"/>
                <w:sz w:val="24"/>
                <w:szCs w:val="24"/>
              </w:rPr>
            </w:pPr>
            <w:r w:rsidRPr="00FA3F9C">
              <w:rPr>
                <w:rFonts w:ascii="Arial" w:hAnsi="Arial" w:cs="Arial"/>
                <w:sz w:val="24"/>
                <w:szCs w:val="24"/>
              </w:rPr>
              <w:lastRenderedPageBreak/>
              <w:t>JJ</w:t>
            </w:r>
          </w:p>
        </w:tc>
      </w:tr>
      <w:tr w:rsidR="002641D2" w:rsidRPr="00FA3F9C" w14:paraId="70BBD978" w14:textId="77777777" w:rsidTr="00681B0D">
        <w:tc>
          <w:tcPr>
            <w:tcW w:w="810" w:type="dxa"/>
          </w:tcPr>
          <w:p w14:paraId="2AFABD42" w14:textId="77777777" w:rsidR="002641D2" w:rsidRPr="00FA3F9C" w:rsidRDefault="002641D2" w:rsidP="00FE5EAE">
            <w:pPr>
              <w:rPr>
                <w:rFonts w:ascii="Arial" w:hAnsi="Arial" w:cs="Arial"/>
                <w:sz w:val="24"/>
                <w:szCs w:val="24"/>
              </w:rPr>
            </w:pPr>
            <w:r w:rsidRPr="00FA3F9C">
              <w:rPr>
                <w:rFonts w:ascii="Arial" w:hAnsi="Arial" w:cs="Arial"/>
                <w:sz w:val="24"/>
                <w:szCs w:val="24"/>
              </w:rPr>
              <w:t>12/4/14</w:t>
            </w:r>
          </w:p>
        </w:tc>
        <w:tc>
          <w:tcPr>
            <w:tcW w:w="8370" w:type="dxa"/>
          </w:tcPr>
          <w:p w14:paraId="703B65EA" w14:textId="77777777" w:rsidR="002641D2" w:rsidRPr="00FA3F9C" w:rsidRDefault="002641D2" w:rsidP="00764124">
            <w:pPr>
              <w:rPr>
                <w:rFonts w:ascii="Arial" w:hAnsi="Arial" w:cs="Arial"/>
                <w:sz w:val="24"/>
                <w:szCs w:val="24"/>
              </w:rPr>
            </w:pPr>
            <w:r w:rsidRPr="00FA3F9C">
              <w:rPr>
                <w:rFonts w:ascii="Arial" w:hAnsi="Arial" w:cs="Arial"/>
                <w:sz w:val="24"/>
                <w:szCs w:val="24"/>
              </w:rPr>
              <w:t xml:space="preserve">I put in a note for those seeking approval for </w:t>
            </w:r>
            <w:proofErr w:type="spellStart"/>
            <w:r w:rsidRPr="00FA3F9C">
              <w:rPr>
                <w:rFonts w:ascii="Arial" w:hAnsi="Arial" w:cs="Arial"/>
                <w:sz w:val="24"/>
                <w:szCs w:val="24"/>
              </w:rPr>
              <w:t>ustekinumab</w:t>
            </w:r>
            <w:proofErr w:type="spellEnd"/>
            <w:r w:rsidRPr="00FA3F9C">
              <w:rPr>
                <w:rFonts w:ascii="Arial" w:hAnsi="Arial" w:cs="Arial"/>
                <w:sz w:val="24"/>
                <w:szCs w:val="24"/>
              </w:rPr>
              <w:t xml:space="preserve"> (Stelara) for both plaque psoriasis and for psoriatic arthritis to please see the individual criteria for this drug (not within the immune modulator criteria).</w:t>
            </w:r>
          </w:p>
        </w:tc>
        <w:tc>
          <w:tcPr>
            <w:tcW w:w="1800" w:type="dxa"/>
          </w:tcPr>
          <w:p w14:paraId="31C1BEA7" w14:textId="77777777" w:rsidR="002641D2" w:rsidRPr="00FA3F9C" w:rsidRDefault="002641D2" w:rsidP="00FE5EAE">
            <w:pPr>
              <w:rPr>
                <w:rFonts w:ascii="Arial" w:hAnsi="Arial" w:cs="Arial"/>
                <w:sz w:val="24"/>
                <w:szCs w:val="24"/>
              </w:rPr>
            </w:pPr>
            <w:r w:rsidRPr="00FA3F9C">
              <w:rPr>
                <w:rFonts w:ascii="Arial" w:hAnsi="Arial" w:cs="Arial"/>
                <w:sz w:val="24"/>
                <w:szCs w:val="24"/>
              </w:rPr>
              <w:t>JJ</w:t>
            </w:r>
          </w:p>
        </w:tc>
      </w:tr>
      <w:tr w:rsidR="002641D2" w:rsidRPr="00FA3F9C" w14:paraId="036A4A80" w14:textId="77777777" w:rsidTr="00681B0D">
        <w:tc>
          <w:tcPr>
            <w:tcW w:w="810" w:type="dxa"/>
          </w:tcPr>
          <w:p w14:paraId="7192B166" w14:textId="77777777" w:rsidR="002641D2" w:rsidRPr="00FA3F9C" w:rsidRDefault="002641D2" w:rsidP="00FE5EAE">
            <w:pPr>
              <w:rPr>
                <w:rFonts w:ascii="Arial" w:hAnsi="Arial" w:cs="Arial"/>
                <w:sz w:val="24"/>
                <w:szCs w:val="24"/>
              </w:rPr>
            </w:pPr>
            <w:r w:rsidRPr="00FA3F9C">
              <w:rPr>
                <w:rFonts w:ascii="Arial" w:hAnsi="Arial" w:cs="Arial"/>
                <w:sz w:val="24"/>
                <w:szCs w:val="24"/>
              </w:rPr>
              <w:t>5/13/15</w:t>
            </w:r>
          </w:p>
        </w:tc>
        <w:tc>
          <w:tcPr>
            <w:tcW w:w="8370" w:type="dxa"/>
          </w:tcPr>
          <w:p w14:paraId="23AC89F9" w14:textId="77777777" w:rsidR="002641D2" w:rsidRPr="00FA3F9C" w:rsidRDefault="002641D2" w:rsidP="00764124">
            <w:pPr>
              <w:rPr>
                <w:rFonts w:ascii="Arial" w:hAnsi="Arial" w:cs="Arial"/>
                <w:sz w:val="24"/>
                <w:szCs w:val="24"/>
              </w:rPr>
            </w:pPr>
            <w:r w:rsidRPr="00FA3F9C">
              <w:rPr>
                <w:rFonts w:ascii="Arial" w:hAnsi="Arial" w:cs="Arial"/>
                <w:sz w:val="24"/>
                <w:szCs w:val="24"/>
              </w:rPr>
              <w:t>I added certolizumab (Cimzia) to ankylosing spondylitis and psoriatic arthritis.</w:t>
            </w:r>
          </w:p>
        </w:tc>
        <w:tc>
          <w:tcPr>
            <w:tcW w:w="1800" w:type="dxa"/>
          </w:tcPr>
          <w:p w14:paraId="2D35C8EF" w14:textId="77777777" w:rsidR="002641D2" w:rsidRPr="00FA3F9C" w:rsidRDefault="002641D2" w:rsidP="00FE5EAE">
            <w:pPr>
              <w:rPr>
                <w:rFonts w:ascii="Arial" w:hAnsi="Arial" w:cs="Arial"/>
                <w:sz w:val="24"/>
                <w:szCs w:val="24"/>
              </w:rPr>
            </w:pPr>
            <w:r w:rsidRPr="00FA3F9C">
              <w:rPr>
                <w:rFonts w:ascii="Arial" w:hAnsi="Arial" w:cs="Arial"/>
                <w:sz w:val="24"/>
                <w:szCs w:val="24"/>
              </w:rPr>
              <w:t>JJ</w:t>
            </w:r>
          </w:p>
        </w:tc>
      </w:tr>
      <w:tr w:rsidR="002641D2" w:rsidRPr="00FA3F9C" w14:paraId="79287E43" w14:textId="77777777" w:rsidTr="00681B0D">
        <w:tc>
          <w:tcPr>
            <w:tcW w:w="810" w:type="dxa"/>
          </w:tcPr>
          <w:p w14:paraId="1FB8C387" w14:textId="77777777" w:rsidR="002641D2" w:rsidRPr="00FA3F9C" w:rsidRDefault="002641D2" w:rsidP="00FE5EAE">
            <w:pPr>
              <w:rPr>
                <w:rFonts w:ascii="Arial" w:hAnsi="Arial" w:cs="Arial"/>
                <w:sz w:val="24"/>
                <w:szCs w:val="24"/>
              </w:rPr>
            </w:pPr>
            <w:r w:rsidRPr="00FA3F9C">
              <w:rPr>
                <w:rFonts w:ascii="Arial" w:hAnsi="Arial" w:cs="Arial"/>
                <w:sz w:val="24"/>
                <w:szCs w:val="24"/>
              </w:rPr>
              <w:t>2/23/17</w:t>
            </w:r>
          </w:p>
        </w:tc>
        <w:tc>
          <w:tcPr>
            <w:tcW w:w="8370" w:type="dxa"/>
          </w:tcPr>
          <w:p w14:paraId="0E31E045" w14:textId="77777777" w:rsidR="002641D2" w:rsidRPr="00FA3F9C" w:rsidRDefault="002641D2" w:rsidP="00764124">
            <w:pPr>
              <w:rPr>
                <w:rFonts w:ascii="Arial" w:hAnsi="Arial" w:cs="Arial"/>
                <w:sz w:val="24"/>
                <w:szCs w:val="24"/>
              </w:rPr>
            </w:pPr>
            <w:r w:rsidRPr="00FA3F9C">
              <w:rPr>
                <w:rFonts w:ascii="Arial" w:hAnsi="Arial" w:cs="Arial"/>
                <w:sz w:val="24"/>
                <w:szCs w:val="24"/>
              </w:rPr>
              <w:t>I added hidradenitis suppurativa as an approved indication for adalimumab with the criteria for initial and continuation.</w:t>
            </w:r>
          </w:p>
        </w:tc>
        <w:tc>
          <w:tcPr>
            <w:tcW w:w="1800" w:type="dxa"/>
          </w:tcPr>
          <w:p w14:paraId="2A7582D2" w14:textId="77777777" w:rsidR="002641D2" w:rsidRPr="00FA3F9C" w:rsidRDefault="002641D2" w:rsidP="00FE5EAE">
            <w:pPr>
              <w:rPr>
                <w:rFonts w:ascii="Arial" w:hAnsi="Arial" w:cs="Arial"/>
                <w:sz w:val="24"/>
                <w:szCs w:val="24"/>
              </w:rPr>
            </w:pPr>
            <w:r w:rsidRPr="00FA3F9C">
              <w:rPr>
                <w:rFonts w:ascii="Arial" w:hAnsi="Arial" w:cs="Arial"/>
                <w:sz w:val="24"/>
                <w:szCs w:val="24"/>
              </w:rPr>
              <w:t>JJ</w:t>
            </w:r>
          </w:p>
        </w:tc>
      </w:tr>
      <w:tr w:rsidR="002641D2" w:rsidRPr="00FA3F9C" w14:paraId="2B7AC344" w14:textId="77777777" w:rsidTr="00681B0D">
        <w:tc>
          <w:tcPr>
            <w:tcW w:w="810" w:type="dxa"/>
          </w:tcPr>
          <w:p w14:paraId="2180D796" w14:textId="77777777" w:rsidR="002641D2" w:rsidRPr="00FA3F9C" w:rsidRDefault="002641D2" w:rsidP="00FE5EAE">
            <w:pPr>
              <w:rPr>
                <w:rFonts w:ascii="Arial" w:hAnsi="Arial" w:cs="Arial"/>
                <w:sz w:val="24"/>
                <w:szCs w:val="24"/>
              </w:rPr>
            </w:pPr>
            <w:r w:rsidRPr="00FA3F9C">
              <w:rPr>
                <w:rFonts w:ascii="Arial" w:hAnsi="Arial" w:cs="Arial"/>
                <w:sz w:val="24"/>
                <w:szCs w:val="24"/>
              </w:rPr>
              <w:t>2/20/18</w:t>
            </w:r>
          </w:p>
        </w:tc>
        <w:tc>
          <w:tcPr>
            <w:tcW w:w="8370" w:type="dxa"/>
          </w:tcPr>
          <w:p w14:paraId="66DB6A16" w14:textId="77777777" w:rsidR="002641D2" w:rsidRPr="00FA3F9C" w:rsidRDefault="002641D2" w:rsidP="00764124">
            <w:pPr>
              <w:rPr>
                <w:rFonts w:ascii="Arial" w:hAnsi="Arial" w:cs="Arial"/>
                <w:sz w:val="24"/>
                <w:szCs w:val="24"/>
              </w:rPr>
            </w:pPr>
            <w:r w:rsidRPr="00FA3F9C">
              <w:rPr>
                <w:rFonts w:ascii="Arial" w:hAnsi="Arial" w:cs="Arial"/>
                <w:sz w:val="24"/>
                <w:szCs w:val="24"/>
              </w:rPr>
              <w:t>I added infliximab-</w:t>
            </w:r>
            <w:proofErr w:type="spellStart"/>
            <w:r w:rsidRPr="00FA3F9C">
              <w:rPr>
                <w:rFonts w:ascii="Arial" w:hAnsi="Arial" w:cs="Arial"/>
                <w:sz w:val="24"/>
                <w:szCs w:val="24"/>
              </w:rPr>
              <w:t>abda</w:t>
            </w:r>
            <w:proofErr w:type="spellEnd"/>
            <w:r w:rsidRPr="00FA3F9C">
              <w:rPr>
                <w:rFonts w:ascii="Arial" w:hAnsi="Arial" w:cs="Arial"/>
                <w:sz w:val="24"/>
                <w:szCs w:val="24"/>
              </w:rPr>
              <w:t xml:space="preserve"> (</w:t>
            </w:r>
            <w:proofErr w:type="spellStart"/>
            <w:r w:rsidRPr="00FA3F9C">
              <w:rPr>
                <w:rFonts w:ascii="Arial" w:hAnsi="Arial" w:cs="Arial"/>
                <w:sz w:val="24"/>
                <w:szCs w:val="24"/>
              </w:rPr>
              <w:t>Renflexis</w:t>
            </w:r>
            <w:proofErr w:type="spellEnd"/>
            <w:r w:rsidRPr="00FA3F9C">
              <w:rPr>
                <w:rFonts w:ascii="Arial" w:hAnsi="Arial" w:cs="Arial"/>
                <w:sz w:val="24"/>
                <w:szCs w:val="24"/>
              </w:rPr>
              <w:t>) to the criteria where Remicade also is.</w:t>
            </w:r>
          </w:p>
        </w:tc>
        <w:tc>
          <w:tcPr>
            <w:tcW w:w="1800" w:type="dxa"/>
          </w:tcPr>
          <w:p w14:paraId="0A81AA9B" w14:textId="77777777" w:rsidR="002641D2" w:rsidRPr="00FA3F9C" w:rsidRDefault="002641D2" w:rsidP="00FE5EAE">
            <w:pPr>
              <w:rPr>
                <w:rFonts w:ascii="Arial" w:hAnsi="Arial" w:cs="Arial"/>
                <w:sz w:val="24"/>
                <w:szCs w:val="24"/>
              </w:rPr>
            </w:pPr>
            <w:r w:rsidRPr="00FA3F9C">
              <w:rPr>
                <w:rFonts w:ascii="Arial" w:hAnsi="Arial" w:cs="Arial"/>
                <w:sz w:val="24"/>
                <w:szCs w:val="24"/>
              </w:rPr>
              <w:t>JJ</w:t>
            </w:r>
          </w:p>
        </w:tc>
      </w:tr>
      <w:tr w:rsidR="002641D2" w:rsidRPr="00FA3F9C" w14:paraId="6D326CBB" w14:textId="77777777" w:rsidTr="00681B0D">
        <w:tc>
          <w:tcPr>
            <w:tcW w:w="810" w:type="dxa"/>
          </w:tcPr>
          <w:p w14:paraId="1FA1E212" w14:textId="77777777" w:rsidR="002641D2" w:rsidRPr="00FA3F9C" w:rsidRDefault="002641D2" w:rsidP="00FE5EAE">
            <w:pPr>
              <w:rPr>
                <w:rFonts w:ascii="Arial" w:hAnsi="Arial" w:cs="Arial"/>
                <w:sz w:val="24"/>
                <w:szCs w:val="24"/>
              </w:rPr>
            </w:pPr>
            <w:r w:rsidRPr="00FA3F9C">
              <w:rPr>
                <w:rFonts w:ascii="Arial" w:hAnsi="Arial" w:cs="Arial"/>
                <w:sz w:val="24"/>
                <w:szCs w:val="24"/>
              </w:rPr>
              <w:t>7/25/18</w:t>
            </w:r>
          </w:p>
        </w:tc>
        <w:tc>
          <w:tcPr>
            <w:tcW w:w="8370" w:type="dxa"/>
          </w:tcPr>
          <w:p w14:paraId="206A8244" w14:textId="77777777" w:rsidR="002641D2" w:rsidRPr="00FA3F9C" w:rsidRDefault="002641D2" w:rsidP="00B2345C">
            <w:pPr>
              <w:rPr>
                <w:rFonts w:ascii="Arial" w:hAnsi="Arial" w:cs="Arial"/>
                <w:sz w:val="24"/>
                <w:szCs w:val="24"/>
              </w:rPr>
            </w:pPr>
            <w:r w:rsidRPr="00FA3F9C">
              <w:rPr>
                <w:rFonts w:ascii="Arial" w:hAnsi="Arial" w:cs="Arial"/>
                <w:sz w:val="24"/>
                <w:szCs w:val="24"/>
              </w:rPr>
              <w:t xml:space="preserve">Added </w:t>
            </w:r>
            <w:proofErr w:type="spellStart"/>
            <w:r w:rsidRPr="00FA3F9C">
              <w:rPr>
                <w:rFonts w:ascii="Arial" w:hAnsi="Arial" w:cs="Arial"/>
                <w:sz w:val="24"/>
                <w:szCs w:val="24"/>
              </w:rPr>
              <w:t>baricitinib</w:t>
            </w:r>
            <w:proofErr w:type="spellEnd"/>
            <w:r w:rsidRPr="00FA3F9C">
              <w:rPr>
                <w:rFonts w:ascii="Arial" w:hAnsi="Arial" w:cs="Arial"/>
                <w:sz w:val="24"/>
                <w:szCs w:val="24"/>
              </w:rPr>
              <w:t xml:space="preserve"> (Olumiant) to RA </w:t>
            </w:r>
            <w:proofErr w:type="spellStart"/>
            <w:r w:rsidRPr="00FA3F9C">
              <w:rPr>
                <w:rFonts w:ascii="Arial" w:hAnsi="Arial" w:cs="Arial"/>
                <w:sz w:val="24"/>
                <w:szCs w:val="24"/>
              </w:rPr>
              <w:t>tsDMARD</w:t>
            </w:r>
            <w:proofErr w:type="spellEnd"/>
            <w:r w:rsidRPr="00FA3F9C">
              <w:rPr>
                <w:rFonts w:ascii="Arial" w:hAnsi="Arial" w:cs="Arial"/>
                <w:sz w:val="24"/>
                <w:szCs w:val="24"/>
              </w:rPr>
              <w:t xml:space="preserve"> list. </w:t>
            </w:r>
          </w:p>
        </w:tc>
        <w:tc>
          <w:tcPr>
            <w:tcW w:w="1800" w:type="dxa"/>
          </w:tcPr>
          <w:p w14:paraId="3114273F" w14:textId="77777777" w:rsidR="002641D2" w:rsidRPr="00FA3F9C" w:rsidRDefault="002641D2" w:rsidP="00FE5EAE">
            <w:pPr>
              <w:rPr>
                <w:rFonts w:ascii="Arial" w:hAnsi="Arial" w:cs="Arial"/>
                <w:sz w:val="24"/>
                <w:szCs w:val="24"/>
              </w:rPr>
            </w:pPr>
            <w:r w:rsidRPr="00FA3F9C">
              <w:rPr>
                <w:rFonts w:ascii="Arial" w:hAnsi="Arial" w:cs="Arial"/>
                <w:sz w:val="24"/>
                <w:szCs w:val="24"/>
              </w:rPr>
              <w:t>ALM</w:t>
            </w:r>
          </w:p>
        </w:tc>
      </w:tr>
      <w:tr w:rsidR="002641D2" w:rsidRPr="00FA3F9C" w14:paraId="594C210D" w14:textId="77777777" w:rsidTr="00681B0D">
        <w:tc>
          <w:tcPr>
            <w:tcW w:w="810" w:type="dxa"/>
          </w:tcPr>
          <w:p w14:paraId="428241C3" w14:textId="77777777" w:rsidR="002641D2" w:rsidRPr="00FA3F9C" w:rsidRDefault="002641D2" w:rsidP="00FE5EAE">
            <w:pPr>
              <w:rPr>
                <w:rFonts w:ascii="Arial" w:hAnsi="Arial" w:cs="Arial"/>
                <w:sz w:val="24"/>
                <w:szCs w:val="24"/>
              </w:rPr>
            </w:pPr>
            <w:r w:rsidRPr="00FA3F9C">
              <w:rPr>
                <w:rFonts w:ascii="Arial" w:hAnsi="Arial" w:cs="Arial"/>
                <w:sz w:val="24"/>
                <w:szCs w:val="24"/>
              </w:rPr>
              <w:t>9/4/18</w:t>
            </w:r>
          </w:p>
        </w:tc>
        <w:tc>
          <w:tcPr>
            <w:tcW w:w="8370" w:type="dxa"/>
          </w:tcPr>
          <w:p w14:paraId="1A21AB30" w14:textId="77777777" w:rsidR="002641D2" w:rsidRPr="00FA3F9C" w:rsidRDefault="002641D2" w:rsidP="00B2345C">
            <w:pPr>
              <w:rPr>
                <w:rFonts w:ascii="Arial" w:hAnsi="Arial" w:cs="Arial"/>
                <w:sz w:val="24"/>
                <w:szCs w:val="24"/>
              </w:rPr>
            </w:pPr>
            <w:r w:rsidRPr="00FA3F9C">
              <w:rPr>
                <w:rFonts w:ascii="Arial" w:hAnsi="Arial" w:cs="Arial"/>
                <w:sz w:val="24"/>
                <w:szCs w:val="24"/>
              </w:rPr>
              <w:t>I added adalimumab and etanercept as a covered drug with criteria for noninfectious uveitis.</w:t>
            </w:r>
          </w:p>
        </w:tc>
        <w:tc>
          <w:tcPr>
            <w:tcW w:w="1800" w:type="dxa"/>
          </w:tcPr>
          <w:p w14:paraId="18B0FFA5" w14:textId="77777777" w:rsidR="002641D2" w:rsidRPr="00FA3F9C" w:rsidRDefault="002641D2" w:rsidP="00FE5EAE">
            <w:pPr>
              <w:rPr>
                <w:rFonts w:ascii="Arial" w:hAnsi="Arial" w:cs="Arial"/>
                <w:sz w:val="24"/>
                <w:szCs w:val="24"/>
              </w:rPr>
            </w:pPr>
            <w:r w:rsidRPr="00FA3F9C">
              <w:rPr>
                <w:rFonts w:ascii="Arial" w:hAnsi="Arial" w:cs="Arial"/>
                <w:sz w:val="24"/>
                <w:szCs w:val="24"/>
              </w:rPr>
              <w:t>JJ</w:t>
            </w:r>
          </w:p>
        </w:tc>
      </w:tr>
      <w:tr w:rsidR="002641D2" w:rsidRPr="00FA3F9C" w14:paraId="2C6386F9" w14:textId="77777777" w:rsidTr="00681B0D">
        <w:tc>
          <w:tcPr>
            <w:tcW w:w="810" w:type="dxa"/>
          </w:tcPr>
          <w:p w14:paraId="589CCDD5" w14:textId="77777777" w:rsidR="002641D2" w:rsidRPr="00FA3F9C" w:rsidRDefault="002641D2" w:rsidP="00FE5EAE">
            <w:pPr>
              <w:rPr>
                <w:rFonts w:ascii="Arial" w:hAnsi="Arial" w:cs="Arial"/>
                <w:sz w:val="24"/>
                <w:szCs w:val="24"/>
              </w:rPr>
            </w:pPr>
            <w:r w:rsidRPr="00FA3F9C">
              <w:rPr>
                <w:rFonts w:ascii="Arial" w:hAnsi="Arial" w:cs="Arial"/>
                <w:sz w:val="24"/>
                <w:szCs w:val="24"/>
              </w:rPr>
              <w:t>6/3/19</w:t>
            </w:r>
          </w:p>
        </w:tc>
        <w:tc>
          <w:tcPr>
            <w:tcW w:w="8370" w:type="dxa"/>
          </w:tcPr>
          <w:p w14:paraId="1291439E" w14:textId="77777777" w:rsidR="002641D2" w:rsidRPr="00FA3F9C" w:rsidRDefault="002641D2" w:rsidP="00B2345C">
            <w:pPr>
              <w:rPr>
                <w:rFonts w:ascii="Arial" w:hAnsi="Arial" w:cs="Arial"/>
                <w:sz w:val="24"/>
                <w:szCs w:val="24"/>
              </w:rPr>
            </w:pPr>
            <w:r w:rsidRPr="00FA3F9C">
              <w:rPr>
                <w:rFonts w:ascii="Arial" w:hAnsi="Arial" w:cs="Arial"/>
                <w:sz w:val="24"/>
                <w:szCs w:val="24"/>
              </w:rPr>
              <w:t xml:space="preserve">I added </w:t>
            </w:r>
            <w:proofErr w:type="spellStart"/>
            <w:r w:rsidRPr="00FA3F9C">
              <w:rPr>
                <w:rFonts w:ascii="Arial" w:hAnsi="Arial" w:cs="Arial"/>
                <w:sz w:val="24"/>
                <w:szCs w:val="24"/>
              </w:rPr>
              <w:t>risankizumab</w:t>
            </w:r>
            <w:proofErr w:type="spellEnd"/>
            <w:r w:rsidRPr="00FA3F9C">
              <w:rPr>
                <w:rFonts w:ascii="Arial" w:hAnsi="Arial" w:cs="Arial"/>
                <w:sz w:val="24"/>
                <w:szCs w:val="24"/>
              </w:rPr>
              <w:t xml:space="preserve"> to the plaque psoriasis section; must step through adalimumab and etanercept</w:t>
            </w:r>
          </w:p>
        </w:tc>
        <w:tc>
          <w:tcPr>
            <w:tcW w:w="1800" w:type="dxa"/>
          </w:tcPr>
          <w:p w14:paraId="69DBB2B4" w14:textId="77777777" w:rsidR="002641D2" w:rsidRPr="00FA3F9C" w:rsidRDefault="002641D2" w:rsidP="00FE5EAE">
            <w:pPr>
              <w:rPr>
                <w:rFonts w:ascii="Arial" w:hAnsi="Arial" w:cs="Arial"/>
                <w:sz w:val="24"/>
                <w:szCs w:val="24"/>
              </w:rPr>
            </w:pPr>
            <w:r w:rsidRPr="00FA3F9C">
              <w:rPr>
                <w:rFonts w:ascii="Arial" w:hAnsi="Arial" w:cs="Arial"/>
                <w:sz w:val="24"/>
                <w:szCs w:val="24"/>
              </w:rPr>
              <w:t>JJ</w:t>
            </w:r>
          </w:p>
        </w:tc>
      </w:tr>
      <w:tr w:rsidR="002641D2" w:rsidRPr="00FA3F9C" w14:paraId="0F7DB24D" w14:textId="77777777" w:rsidTr="00681B0D">
        <w:tc>
          <w:tcPr>
            <w:tcW w:w="810" w:type="dxa"/>
          </w:tcPr>
          <w:p w14:paraId="013DC14C" w14:textId="77777777" w:rsidR="002641D2" w:rsidRPr="00FA3F9C" w:rsidRDefault="002641D2" w:rsidP="00FE5EAE">
            <w:pPr>
              <w:rPr>
                <w:rFonts w:ascii="Arial" w:hAnsi="Arial" w:cs="Arial"/>
                <w:sz w:val="24"/>
                <w:szCs w:val="24"/>
              </w:rPr>
            </w:pPr>
            <w:r w:rsidRPr="00FA3F9C">
              <w:rPr>
                <w:rFonts w:ascii="Arial" w:hAnsi="Arial" w:cs="Arial"/>
                <w:sz w:val="24"/>
                <w:szCs w:val="24"/>
              </w:rPr>
              <w:t>5/13/21</w:t>
            </w:r>
          </w:p>
        </w:tc>
        <w:tc>
          <w:tcPr>
            <w:tcW w:w="8370" w:type="dxa"/>
          </w:tcPr>
          <w:p w14:paraId="392D34FC" w14:textId="77777777" w:rsidR="002641D2" w:rsidRPr="00FA3F9C" w:rsidRDefault="002641D2" w:rsidP="00B2345C">
            <w:pPr>
              <w:rPr>
                <w:rFonts w:ascii="Arial" w:hAnsi="Arial" w:cs="Arial"/>
                <w:sz w:val="24"/>
                <w:szCs w:val="24"/>
              </w:rPr>
            </w:pPr>
            <w:r w:rsidRPr="00FA3F9C">
              <w:rPr>
                <w:rFonts w:ascii="Arial" w:hAnsi="Arial" w:cs="Arial"/>
                <w:sz w:val="24"/>
                <w:szCs w:val="24"/>
              </w:rPr>
              <w:t>Added note that for plaque psoriasis, the use of topical or systemic agents must be for 3 consecutive months</w:t>
            </w:r>
          </w:p>
        </w:tc>
        <w:tc>
          <w:tcPr>
            <w:tcW w:w="1800" w:type="dxa"/>
          </w:tcPr>
          <w:p w14:paraId="1656801E" w14:textId="77777777" w:rsidR="002641D2" w:rsidRPr="00FA3F9C" w:rsidRDefault="002641D2" w:rsidP="00FE5EAE">
            <w:pPr>
              <w:rPr>
                <w:rFonts w:ascii="Arial" w:hAnsi="Arial" w:cs="Arial"/>
                <w:sz w:val="24"/>
                <w:szCs w:val="24"/>
              </w:rPr>
            </w:pPr>
            <w:r w:rsidRPr="00FA3F9C">
              <w:rPr>
                <w:rFonts w:ascii="Arial" w:hAnsi="Arial" w:cs="Arial"/>
                <w:sz w:val="24"/>
                <w:szCs w:val="24"/>
              </w:rPr>
              <w:t>CP</w:t>
            </w:r>
          </w:p>
        </w:tc>
      </w:tr>
      <w:tr w:rsidR="002641D2" w:rsidRPr="00FA3F9C" w14:paraId="4E16B7B4" w14:textId="77777777" w:rsidTr="00681B0D">
        <w:tc>
          <w:tcPr>
            <w:tcW w:w="810" w:type="dxa"/>
          </w:tcPr>
          <w:p w14:paraId="642DFEAD" w14:textId="77777777" w:rsidR="002641D2" w:rsidRPr="00FA3F9C" w:rsidRDefault="002641D2" w:rsidP="00FE5EAE">
            <w:pPr>
              <w:rPr>
                <w:rFonts w:ascii="Arial" w:hAnsi="Arial" w:cs="Arial"/>
                <w:sz w:val="24"/>
                <w:szCs w:val="24"/>
              </w:rPr>
            </w:pPr>
            <w:r w:rsidRPr="00FA3F9C">
              <w:rPr>
                <w:rFonts w:ascii="Arial" w:hAnsi="Arial" w:cs="Arial"/>
                <w:sz w:val="24"/>
                <w:szCs w:val="24"/>
              </w:rPr>
              <w:t>8/19/21</w:t>
            </w:r>
          </w:p>
        </w:tc>
        <w:tc>
          <w:tcPr>
            <w:tcW w:w="8370" w:type="dxa"/>
          </w:tcPr>
          <w:p w14:paraId="5390105B" w14:textId="77777777" w:rsidR="002641D2" w:rsidRPr="00FA3F9C" w:rsidRDefault="002641D2" w:rsidP="00F559CB">
            <w:pPr>
              <w:rPr>
                <w:rFonts w:ascii="Arial" w:hAnsi="Arial" w:cs="Arial"/>
                <w:sz w:val="24"/>
                <w:szCs w:val="24"/>
              </w:rPr>
            </w:pPr>
            <w:r w:rsidRPr="00FA3F9C">
              <w:rPr>
                <w:rFonts w:ascii="Arial" w:hAnsi="Arial" w:cs="Arial"/>
                <w:sz w:val="24"/>
                <w:szCs w:val="24"/>
              </w:rPr>
              <w:t xml:space="preserve">Added note that </w:t>
            </w:r>
            <w:proofErr w:type="spellStart"/>
            <w:r w:rsidRPr="00FA3F9C">
              <w:rPr>
                <w:rFonts w:ascii="Arial" w:hAnsi="Arial" w:cs="Arial"/>
                <w:sz w:val="24"/>
                <w:szCs w:val="24"/>
              </w:rPr>
              <w:t>baricitinib</w:t>
            </w:r>
            <w:proofErr w:type="spellEnd"/>
            <w:r w:rsidRPr="00FA3F9C">
              <w:rPr>
                <w:rFonts w:ascii="Arial" w:hAnsi="Arial" w:cs="Arial"/>
                <w:sz w:val="24"/>
                <w:szCs w:val="24"/>
              </w:rPr>
              <w:t xml:space="preserve"> is not covered for treatment of COVID as use is only covered for hospitalized patients on oxygen/vented/ECMO.</w:t>
            </w:r>
          </w:p>
        </w:tc>
        <w:tc>
          <w:tcPr>
            <w:tcW w:w="1800" w:type="dxa"/>
          </w:tcPr>
          <w:p w14:paraId="58D06745" w14:textId="77777777" w:rsidR="002641D2" w:rsidRPr="00FA3F9C" w:rsidRDefault="002641D2" w:rsidP="00FE5EAE">
            <w:pPr>
              <w:rPr>
                <w:rFonts w:ascii="Arial" w:hAnsi="Arial" w:cs="Arial"/>
                <w:sz w:val="24"/>
                <w:szCs w:val="24"/>
              </w:rPr>
            </w:pPr>
            <w:r w:rsidRPr="00FA3F9C">
              <w:rPr>
                <w:rFonts w:ascii="Arial" w:hAnsi="Arial" w:cs="Arial"/>
                <w:sz w:val="24"/>
                <w:szCs w:val="24"/>
              </w:rPr>
              <w:t>SK</w:t>
            </w:r>
          </w:p>
        </w:tc>
      </w:tr>
      <w:tr w:rsidR="002641D2" w:rsidRPr="00FA3F9C" w14:paraId="459C0D01" w14:textId="77777777" w:rsidTr="00681B0D">
        <w:tc>
          <w:tcPr>
            <w:tcW w:w="810" w:type="dxa"/>
          </w:tcPr>
          <w:p w14:paraId="589254F9" w14:textId="77777777" w:rsidR="002641D2" w:rsidRPr="00FA3F9C" w:rsidRDefault="002641D2" w:rsidP="00FE5EAE">
            <w:pPr>
              <w:rPr>
                <w:rFonts w:ascii="Arial" w:hAnsi="Arial" w:cs="Arial"/>
                <w:sz w:val="24"/>
                <w:szCs w:val="24"/>
              </w:rPr>
            </w:pPr>
            <w:r w:rsidRPr="00FA3F9C">
              <w:rPr>
                <w:rFonts w:ascii="Arial" w:hAnsi="Arial" w:cs="Arial"/>
                <w:sz w:val="24"/>
                <w:szCs w:val="24"/>
              </w:rPr>
              <w:lastRenderedPageBreak/>
              <w:t>12/16/21</w:t>
            </w:r>
          </w:p>
        </w:tc>
        <w:tc>
          <w:tcPr>
            <w:tcW w:w="8370" w:type="dxa"/>
          </w:tcPr>
          <w:p w14:paraId="00D2B378" w14:textId="77777777" w:rsidR="002641D2" w:rsidRPr="00FA3F9C" w:rsidRDefault="002641D2" w:rsidP="00F559CB">
            <w:pPr>
              <w:rPr>
                <w:rFonts w:ascii="Arial" w:hAnsi="Arial" w:cs="Arial"/>
                <w:sz w:val="24"/>
                <w:szCs w:val="24"/>
              </w:rPr>
            </w:pPr>
            <w:r w:rsidRPr="00FA3F9C">
              <w:rPr>
                <w:rFonts w:ascii="Arial" w:hAnsi="Arial" w:cs="Arial"/>
                <w:sz w:val="24"/>
                <w:szCs w:val="24"/>
              </w:rPr>
              <w:t xml:space="preserve">Added </w:t>
            </w:r>
            <w:proofErr w:type="spellStart"/>
            <w:r w:rsidRPr="00FA3F9C">
              <w:rPr>
                <w:rFonts w:ascii="Arial" w:hAnsi="Arial" w:cs="Arial"/>
                <w:sz w:val="24"/>
                <w:szCs w:val="24"/>
              </w:rPr>
              <w:t>upadacitinib</w:t>
            </w:r>
            <w:proofErr w:type="spellEnd"/>
            <w:r w:rsidRPr="00FA3F9C">
              <w:rPr>
                <w:rFonts w:ascii="Arial" w:hAnsi="Arial" w:cs="Arial"/>
                <w:sz w:val="24"/>
                <w:szCs w:val="24"/>
              </w:rPr>
              <w:t xml:space="preserve"> (</w:t>
            </w:r>
            <w:proofErr w:type="spellStart"/>
            <w:r w:rsidRPr="00FA3F9C">
              <w:rPr>
                <w:rFonts w:ascii="Arial" w:hAnsi="Arial" w:cs="Arial"/>
                <w:sz w:val="24"/>
                <w:szCs w:val="24"/>
              </w:rPr>
              <w:t>Rinvoq</w:t>
            </w:r>
            <w:proofErr w:type="spellEnd"/>
            <w:r w:rsidRPr="00FA3F9C">
              <w:rPr>
                <w:rFonts w:ascii="Arial" w:hAnsi="Arial" w:cs="Arial"/>
                <w:sz w:val="24"/>
                <w:szCs w:val="24"/>
              </w:rPr>
              <w:t>) as a treatment option (2</w:t>
            </w:r>
            <w:r w:rsidRPr="00FA3F9C">
              <w:rPr>
                <w:rFonts w:ascii="Arial" w:hAnsi="Arial" w:cs="Arial"/>
                <w:sz w:val="24"/>
                <w:szCs w:val="24"/>
                <w:vertAlign w:val="superscript"/>
              </w:rPr>
              <w:t>nd</w:t>
            </w:r>
            <w:r w:rsidRPr="00FA3F9C">
              <w:rPr>
                <w:rFonts w:ascii="Arial" w:hAnsi="Arial" w:cs="Arial"/>
                <w:sz w:val="24"/>
                <w:szCs w:val="24"/>
              </w:rPr>
              <w:t xml:space="preserve"> line) after at least 1 </w:t>
            </w:r>
            <w:proofErr w:type="spellStart"/>
            <w:r w:rsidRPr="00FA3F9C">
              <w:rPr>
                <w:rFonts w:ascii="Arial" w:hAnsi="Arial" w:cs="Arial"/>
                <w:sz w:val="24"/>
                <w:szCs w:val="24"/>
              </w:rPr>
              <w:t>TNFi</w:t>
            </w:r>
            <w:proofErr w:type="spellEnd"/>
            <w:r w:rsidRPr="00FA3F9C">
              <w:rPr>
                <w:rFonts w:ascii="Arial" w:hAnsi="Arial" w:cs="Arial"/>
                <w:sz w:val="24"/>
                <w:szCs w:val="24"/>
              </w:rPr>
              <w:t>. FDA-approved 12/15/21.</w:t>
            </w:r>
          </w:p>
        </w:tc>
        <w:tc>
          <w:tcPr>
            <w:tcW w:w="1800" w:type="dxa"/>
          </w:tcPr>
          <w:p w14:paraId="2E3BC25C" w14:textId="77777777" w:rsidR="002641D2" w:rsidRPr="00FA3F9C" w:rsidRDefault="002641D2" w:rsidP="00FE5EAE">
            <w:pPr>
              <w:rPr>
                <w:rFonts w:ascii="Arial" w:hAnsi="Arial" w:cs="Arial"/>
                <w:sz w:val="24"/>
                <w:szCs w:val="24"/>
              </w:rPr>
            </w:pPr>
            <w:r w:rsidRPr="00FA3F9C">
              <w:rPr>
                <w:rFonts w:ascii="Arial" w:hAnsi="Arial" w:cs="Arial"/>
                <w:sz w:val="24"/>
                <w:szCs w:val="24"/>
              </w:rPr>
              <w:t>JJ</w:t>
            </w:r>
          </w:p>
        </w:tc>
      </w:tr>
    </w:tbl>
    <w:p w14:paraId="0EABAC95" w14:textId="77777777" w:rsidR="002641D2" w:rsidRPr="00FA3F9C" w:rsidRDefault="002641D2" w:rsidP="00FE5EAE">
      <w:pPr>
        <w:ind w:left="270" w:hanging="270"/>
        <w:rPr>
          <w:rFonts w:ascii="Arial" w:hAnsi="Arial" w:cs="Arial"/>
          <w:sz w:val="24"/>
          <w:szCs w:val="24"/>
        </w:rPr>
      </w:pPr>
    </w:p>
    <w:p w14:paraId="6D9B2EFC" w14:textId="77777777" w:rsidR="002641D2" w:rsidRPr="00FA3F9C" w:rsidRDefault="002641D2" w:rsidP="006C522D">
      <w:pPr>
        <w:pStyle w:val="Heading2"/>
      </w:pPr>
      <w:bookmarkStart w:id="145" w:name="_Toc106369827"/>
      <w:proofErr w:type="spellStart"/>
      <w:r w:rsidRPr="00FA3F9C">
        <w:t>Inebilizumab</w:t>
      </w:r>
      <w:proofErr w:type="spellEnd"/>
      <w:r w:rsidRPr="00FA3F9C">
        <w:t xml:space="preserve"> (</w:t>
      </w:r>
      <w:proofErr w:type="spellStart"/>
      <w:r w:rsidRPr="00FA3F9C">
        <w:t>Uplinza</w:t>
      </w:r>
      <w:proofErr w:type="spellEnd"/>
      <w:r w:rsidRPr="00FA3F9C">
        <w:t>)</w:t>
      </w:r>
      <w:bookmarkEnd w:id="145"/>
    </w:p>
    <w:p w14:paraId="756668AA" w14:textId="77777777" w:rsidR="002641D2" w:rsidRPr="00FA3F9C" w:rsidRDefault="002641D2" w:rsidP="006F623F">
      <w:pPr>
        <w:spacing w:after="0"/>
        <w:jc w:val="center"/>
        <w:rPr>
          <w:rFonts w:ascii="Arial" w:hAnsi="Arial" w:cs="Arial"/>
          <w:sz w:val="24"/>
          <w:szCs w:val="24"/>
        </w:rPr>
      </w:pPr>
      <w:r w:rsidRPr="00FA3F9C">
        <w:rPr>
          <w:rFonts w:ascii="Arial" w:hAnsi="Arial" w:cs="Arial"/>
          <w:sz w:val="24"/>
          <w:szCs w:val="24"/>
        </w:rPr>
        <w:t>IV infusion</w:t>
      </w:r>
    </w:p>
    <w:p w14:paraId="74CA29FB" w14:textId="77777777" w:rsidR="002641D2" w:rsidRPr="00FA3F9C" w:rsidRDefault="002641D2" w:rsidP="006F623F">
      <w:pPr>
        <w:spacing w:after="0"/>
        <w:jc w:val="center"/>
        <w:rPr>
          <w:rFonts w:ascii="Arial" w:hAnsi="Arial" w:cs="Arial"/>
          <w:sz w:val="24"/>
          <w:szCs w:val="24"/>
        </w:rPr>
      </w:pPr>
      <w:r w:rsidRPr="00FA3F9C">
        <w:rPr>
          <w:rFonts w:ascii="Arial" w:hAnsi="Arial" w:cs="Arial"/>
          <w:sz w:val="24"/>
          <w:szCs w:val="24"/>
        </w:rPr>
        <w:t>EBRx PA Criteria</w:t>
      </w:r>
    </w:p>
    <w:p w14:paraId="0AB97580" w14:textId="77777777" w:rsidR="002641D2" w:rsidRPr="00FA3F9C" w:rsidRDefault="002641D2" w:rsidP="006F623F">
      <w:pPr>
        <w:spacing w:after="0"/>
        <w:rPr>
          <w:rFonts w:ascii="Arial" w:hAnsi="Arial" w:cs="Arial"/>
          <w:b/>
          <w:sz w:val="24"/>
          <w:szCs w:val="24"/>
          <w:u w:val="single"/>
        </w:rPr>
      </w:pPr>
    </w:p>
    <w:p w14:paraId="07DD77F6" w14:textId="77777777" w:rsidR="002641D2" w:rsidRPr="00FA3F9C" w:rsidRDefault="002641D2"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treatment of neuromyelitis </w:t>
      </w:r>
      <w:proofErr w:type="spellStart"/>
      <w:r w:rsidRPr="00FA3F9C">
        <w:rPr>
          <w:rFonts w:ascii="Arial" w:hAnsi="Arial" w:cs="Arial"/>
          <w:sz w:val="24"/>
          <w:szCs w:val="24"/>
        </w:rPr>
        <w:t>optica</w:t>
      </w:r>
      <w:proofErr w:type="spellEnd"/>
      <w:r w:rsidRPr="00FA3F9C">
        <w:rPr>
          <w:rFonts w:ascii="Arial" w:hAnsi="Arial" w:cs="Arial"/>
          <w:sz w:val="24"/>
          <w:szCs w:val="24"/>
        </w:rPr>
        <w:t xml:space="preserve"> spectrum disorder (NMOSD) in adults who are anti-aquaporin-4 (AQP4) antibody positive.</w:t>
      </w:r>
    </w:p>
    <w:tbl>
      <w:tblPr>
        <w:tblStyle w:val="TableGrid"/>
        <w:tblW w:w="0" w:type="auto"/>
        <w:tblLook w:val="04A0" w:firstRow="1" w:lastRow="0" w:firstColumn="1" w:lastColumn="0" w:noHBand="0" w:noVBand="1"/>
      </w:tblPr>
      <w:tblGrid>
        <w:gridCol w:w="8928"/>
        <w:gridCol w:w="2088"/>
      </w:tblGrid>
      <w:tr w:rsidR="002641D2" w:rsidRPr="00FA3F9C" w14:paraId="5A593342" w14:textId="77777777" w:rsidTr="00571CAB">
        <w:tc>
          <w:tcPr>
            <w:tcW w:w="8928" w:type="dxa"/>
            <w:shd w:val="clear" w:color="auto" w:fill="000000"/>
          </w:tcPr>
          <w:p w14:paraId="564FBE48" w14:textId="77777777" w:rsidR="002641D2" w:rsidRPr="00FA3F9C" w:rsidRDefault="002641D2"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88" w:type="dxa"/>
            <w:shd w:val="clear" w:color="auto" w:fill="000000"/>
          </w:tcPr>
          <w:p w14:paraId="4C43A68C" w14:textId="77777777" w:rsidR="002641D2" w:rsidRPr="00FA3F9C" w:rsidRDefault="002641D2" w:rsidP="006F623F">
            <w:pPr>
              <w:jc w:val="center"/>
              <w:rPr>
                <w:rFonts w:ascii="Arial" w:hAnsi="Arial" w:cs="Arial"/>
                <w:b/>
                <w:sz w:val="24"/>
                <w:szCs w:val="24"/>
                <w:u w:val="single"/>
              </w:rPr>
            </w:pPr>
          </w:p>
        </w:tc>
      </w:tr>
      <w:tr w:rsidR="002641D2" w:rsidRPr="00FA3F9C" w14:paraId="29C55C41" w14:textId="77777777" w:rsidTr="00F337AE">
        <w:tc>
          <w:tcPr>
            <w:tcW w:w="11016" w:type="dxa"/>
            <w:gridSpan w:val="2"/>
          </w:tcPr>
          <w:p w14:paraId="2B10421F" w14:textId="77777777" w:rsidR="002641D2" w:rsidRPr="00FA3F9C" w:rsidRDefault="002641D2" w:rsidP="002641D2">
            <w:pPr>
              <w:pStyle w:val="ListParagraph"/>
              <w:numPr>
                <w:ilvl w:val="0"/>
                <w:numId w:val="271"/>
              </w:numPr>
              <w:rPr>
                <w:rFonts w:ascii="Arial" w:hAnsi="Arial" w:cs="Arial"/>
                <w:sz w:val="24"/>
                <w:szCs w:val="24"/>
              </w:rPr>
            </w:pPr>
            <w:r w:rsidRPr="00FA3F9C">
              <w:rPr>
                <w:rFonts w:ascii="Arial" w:hAnsi="Arial" w:cs="Arial"/>
                <w:sz w:val="24"/>
                <w:szCs w:val="24"/>
              </w:rPr>
              <w:t xml:space="preserve">Patient must have the diagnosis of neuromyelitis </w:t>
            </w:r>
            <w:proofErr w:type="spellStart"/>
            <w:r w:rsidRPr="00FA3F9C">
              <w:rPr>
                <w:rFonts w:ascii="Arial" w:hAnsi="Arial" w:cs="Arial"/>
                <w:sz w:val="24"/>
                <w:szCs w:val="24"/>
              </w:rPr>
              <w:t>optica</w:t>
            </w:r>
            <w:proofErr w:type="spellEnd"/>
            <w:r w:rsidRPr="00FA3F9C">
              <w:rPr>
                <w:rFonts w:ascii="Arial" w:hAnsi="Arial" w:cs="Arial"/>
                <w:sz w:val="24"/>
                <w:szCs w:val="24"/>
              </w:rPr>
              <w:t xml:space="preserve"> spectrum disorder.</w:t>
            </w:r>
          </w:p>
        </w:tc>
      </w:tr>
      <w:tr w:rsidR="002641D2" w:rsidRPr="00FA3F9C" w14:paraId="70C99461" w14:textId="77777777" w:rsidTr="00B1617E">
        <w:tc>
          <w:tcPr>
            <w:tcW w:w="11016" w:type="dxa"/>
            <w:gridSpan w:val="2"/>
          </w:tcPr>
          <w:p w14:paraId="1370FDE9" w14:textId="77777777" w:rsidR="002641D2" w:rsidRPr="00FA3F9C" w:rsidRDefault="002641D2" w:rsidP="002641D2">
            <w:pPr>
              <w:pStyle w:val="ListParagraph"/>
              <w:numPr>
                <w:ilvl w:val="0"/>
                <w:numId w:val="271"/>
              </w:numPr>
              <w:rPr>
                <w:rFonts w:ascii="Arial" w:hAnsi="Arial" w:cs="Arial"/>
                <w:sz w:val="24"/>
                <w:szCs w:val="24"/>
              </w:rPr>
            </w:pPr>
            <w:r w:rsidRPr="00FA3F9C">
              <w:rPr>
                <w:rFonts w:ascii="Arial" w:hAnsi="Arial" w:cs="Arial"/>
                <w:sz w:val="24"/>
                <w:szCs w:val="24"/>
              </w:rPr>
              <w:t>Patient must be anti-aquaporin-4 antibody positive</w:t>
            </w:r>
          </w:p>
        </w:tc>
      </w:tr>
      <w:tr w:rsidR="002641D2" w:rsidRPr="00FA3F9C" w14:paraId="56A1BDEF" w14:textId="77777777" w:rsidTr="0010789D">
        <w:tc>
          <w:tcPr>
            <w:tcW w:w="11016" w:type="dxa"/>
            <w:gridSpan w:val="2"/>
          </w:tcPr>
          <w:p w14:paraId="004E4B0C" w14:textId="77777777" w:rsidR="002641D2" w:rsidRPr="00FA3F9C" w:rsidRDefault="002641D2" w:rsidP="002641D2">
            <w:pPr>
              <w:pStyle w:val="ListParagraph"/>
              <w:numPr>
                <w:ilvl w:val="0"/>
                <w:numId w:val="271"/>
              </w:numPr>
              <w:rPr>
                <w:rFonts w:ascii="Arial" w:hAnsi="Arial" w:cs="Arial"/>
                <w:sz w:val="24"/>
                <w:szCs w:val="24"/>
              </w:rPr>
            </w:pPr>
            <w:r w:rsidRPr="00FA3F9C">
              <w:rPr>
                <w:rFonts w:ascii="Arial" w:hAnsi="Arial" w:cs="Arial"/>
                <w:sz w:val="24"/>
                <w:szCs w:val="24"/>
              </w:rPr>
              <w:t xml:space="preserve">Patient must NOT have </w:t>
            </w:r>
            <w:proofErr w:type="gramStart"/>
            <w:r w:rsidRPr="00FA3F9C">
              <w:rPr>
                <w:rFonts w:ascii="Arial" w:hAnsi="Arial" w:cs="Arial"/>
                <w:sz w:val="24"/>
                <w:szCs w:val="24"/>
              </w:rPr>
              <w:t>overlapping</w:t>
            </w:r>
            <w:proofErr w:type="gramEnd"/>
            <w:r w:rsidRPr="00FA3F9C">
              <w:rPr>
                <w:rFonts w:ascii="Arial" w:hAnsi="Arial" w:cs="Arial"/>
                <w:sz w:val="24"/>
                <w:szCs w:val="24"/>
              </w:rPr>
              <w:t xml:space="preserve"> </w:t>
            </w:r>
            <w:proofErr w:type="spellStart"/>
            <w:r w:rsidRPr="00FA3F9C">
              <w:rPr>
                <w:rFonts w:ascii="Arial" w:hAnsi="Arial" w:cs="Arial"/>
                <w:sz w:val="24"/>
                <w:szCs w:val="24"/>
              </w:rPr>
              <w:t>days</w:t>
            </w:r>
            <w:proofErr w:type="spellEnd"/>
            <w:r w:rsidRPr="00FA3F9C">
              <w:rPr>
                <w:rFonts w:ascii="Arial" w:hAnsi="Arial" w:cs="Arial"/>
                <w:sz w:val="24"/>
                <w:szCs w:val="24"/>
              </w:rPr>
              <w:t xml:space="preserve"> supply with eculizumab.</w:t>
            </w:r>
          </w:p>
        </w:tc>
      </w:tr>
      <w:tr w:rsidR="002641D2" w:rsidRPr="00FA3F9C" w14:paraId="29147899" w14:textId="77777777" w:rsidTr="00DA57E0">
        <w:tc>
          <w:tcPr>
            <w:tcW w:w="11016" w:type="dxa"/>
            <w:gridSpan w:val="2"/>
          </w:tcPr>
          <w:p w14:paraId="16006AF8" w14:textId="77777777" w:rsidR="002641D2" w:rsidRPr="00FA3F9C" w:rsidRDefault="002641D2" w:rsidP="002641D2">
            <w:pPr>
              <w:pStyle w:val="ListParagraph"/>
              <w:numPr>
                <w:ilvl w:val="0"/>
                <w:numId w:val="271"/>
              </w:numPr>
              <w:rPr>
                <w:rFonts w:ascii="Arial" w:hAnsi="Arial" w:cs="Arial"/>
                <w:sz w:val="24"/>
                <w:szCs w:val="24"/>
              </w:rPr>
            </w:pPr>
            <w:r w:rsidRPr="00FA3F9C">
              <w:rPr>
                <w:rFonts w:ascii="Arial" w:hAnsi="Arial" w:cs="Arial"/>
                <w:sz w:val="24"/>
                <w:szCs w:val="24"/>
              </w:rPr>
              <w:t>Patient must NOT have active hepatitis B infection or active or untreated latent tuberculosis.</w:t>
            </w:r>
          </w:p>
        </w:tc>
      </w:tr>
      <w:tr w:rsidR="002641D2" w:rsidRPr="00FA3F9C" w14:paraId="292E87FD" w14:textId="77777777" w:rsidTr="00DA57E0">
        <w:tc>
          <w:tcPr>
            <w:tcW w:w="11016" w:type="dxa"/>
            <w:gridSpan w:val="2"/>
          </w:tcPr>
          <w:p w14:paraId="11634A85" w14:textId="77777777" w:rsidR="002641D2" w:rsidRPr="00FA3F9C" w:rsidRDefault="002641D2" w:rsidP="003D6B4B">
            <w:pPr>
              <w:rPr>
                <w:rFonts w:ascii="Arial" w:hAnsi="Arial" w:cs="Arial"/>
                <w:sz w:val="24"/>
                <w:szCs w:val="24"/>
              </w:rPr>
            </w:pPr>
            <w:r w:rsidRPr="00FA3F9C">
              <w:rPr>
                <w:rFonts w:ascii="Arial" w:hAnsi="Arial" w:cs="Arial"/>
                <w:sz w:val="24"/>
                <w:szCs w:val="24"/>
              </w:rPr>
              <w:t>If all the above are satisfied, the PA is good for 12 months.</w:t>
            </w:r>
          </w:p>
        </w:tc>
      </w:tr>
    </w:tbl>
    <w:p w14:paraId="7923CD2C" w14:textId="77777777" w:rsidR="002641D2" w:rsidRPr="00FA3F9C" w:rsidRDefault="002641D2" w:rsidP="006F623F">
      <w:pPr>
        <w:spacing w:after="0"/>
        <w:rPr>
          <w:rFonts w:ascii="Arial" w:hAnsi="Arial" w:cs="Arial"/>
          <w:b/>
          <w:sz w:val="24"/>
          <w:szCs w:val="24"/>
          <w:u w:val="single"/>
        </w:rPr>
      </w:pPr>
    </w:p>
    <w:tbl>
      <w:tblPr>
        <w:tblStyle w:val="TableGrid"/>
        <w:tblW w:w="0" w:type="auto"/>
        <w:tblLook w:val="04A0" w:firstRow="1" w:lastRow="0" w:firstColumn="1" w:lastColumn="0" w:noHBand="0" w:noVBand="1"/>
      </w:tblPr>
      <w:tblGrid>
        <w:gridCol w:w="8748"/>
        <w:gridCol w:w="2042"/>
      </w:tblGrid>
      <w:tr w:rsidR="002641D2" w:rsidRPr="00FA3F9C" w14:paraId="50669109" w14:textId="77777777" w:rsidTr="003D6B4B">
        <w:tc>
          <w:tcPr>
            <w:tcW w:w="8748" w:type="dxa"/>
            <w:shd w:val="clear" w:color="auto" w:fill="000000"/>
          </w:tcPr>
          <w:p w14:paraId="6D831023" w14:textId="77777777" w:rsidR="002641D2" w:rsidRPr="00FA3F9C" w:rsidRDefault="002641D2" w:rsidP="00571CAB">
            <w:pPr>
              <w:rPr>
                <w:rFonts w:ascii="Arial" w:hAnsi="Arial" w:cs="Arial"/>
                <w:b/>
                <w:sz w:val="24"/>
                <w:szCs w:val="24"/>
                <w:u w:val="single"/>
              </w:rPr>
            </w:pPr>
            <w:r w:rsidRPr="00FA3F9C">
              <w:rPr>
                <w:rFonts w:ascii="Arial" w:hAnsi="Arial" w:cs="Arial"/>
                <w:b/>
                <w:sz w:val="24"/>
                <w:szCs w:val="24"/>
                <w:u w:val="single"/>
              </w:rPr>
              <w:t>Criteria for continuation</w:t>
            </w:r>
          </w:p>
        </w:tc>
        <w:tc>
          <w:tcPr>
            <w:tcW w:w="2042" w:type="dxa"/>
            <w:shd w:val="clear" w:color="auto" w:fill="000000"/>
          </w:tcPr>
          <w:p w14:paraId="580EF1FE" w14:textId="77777777" w:rsidR="002641D2" w:rsidRPr="00FA3F9C" w:rsidRDefault="002641D2" w:rsidP="00571CAB">
            <w:pPr>
              <w:jc w:val="center"/>
              <w:rPr>
                <w:rFonts w:ascii="Arial" w:hAnsi="Arial" w:cs="Arial"/>
                <w:b/>
                <w:sz w:val="24"/>
                <w:szCs w:val="24"/>
                <w:u w:val="single"/>
              </w:rPr>
            </w:pPr>
          </w:p>
        </w:tc>
      </w:tr>
      <w:tr w:rsidR="002641D2" w:rsidRPr="00FA3F9C" w14:paraId="170699D1" w14:textId="77777777" w:rsidTr="003D6B4B">
        <w:tc>
          <w:tcPr>
            <w:tcW w:w="10790" w:type="dxa"/>
            <w:gridSpan w:val="2"/>
          </w:tcPr>
          <w:p w14:paraId="09D6F877" w14:textId="77777777" w:rsidR="002641D2" w:rsidRPr="00FA3F9C" w:rsidRDefault="002641D2" w:rsidP="002641D2">
            <w:pPr>
              <w:pStyle w:val="ListParagraph"/>
              <w:numPr>
                <w:ilvl w:val="0"/>
                <w:numId w:val="273"/>
              </w:numPr>
              <w:rPr>
                <w:rFonts w:ascii="Arial" w:hAnsi="Arial" w:cs="Arial"/>
                <w:sz w:val="24"/>
                <w:szCs w:val="24"/>
              </w:rPr>
            </w:pPr>
            <w:r w:rsidRPr="00FA3F9C">
              <w:rPr>
                <w:rFonts w:ascii="Arial" w:hAnsi="Arial" w:cs="Arial"/>
                <w:sz w:val="24"/>
                <w:szCs w:val="24"/>
              </w:rPr>
              <w:t xml:space="preserve">The patient must have fewer attacks on </w:t>
            </w:r>
            <w:proofErr w:type="spellStart"/>
            <w:r w:rsidRPr="00FA3F9C">
              <w:rPr>
                <w:rFonts w:ascii="Arial" w:hAnsi="Arial" w:cs="Arial"/>
                <w:sz w:val="24"/>
                <w:szCs w:val="24"/>
              </w:rPr>
              <w:t>inebilizumab</w:t>
            </w:r>
            <w:proofErr w:type="spellEnd"/>
            <w:r w:rsidRPr="00FA3F9C">
              <w:rPr>
                <w:rFonts w:ascii="Arial" w:hAnsi="Arial" w:cs="Arial"/>
                <w:sz w:val="24"/>
                <w:szCs w:val="24"/>
              </w:rPr>
              <w:t xml:space="preserve"> than before treatment.</w:t>
            </w:r>
          </w:p>
        </w:tc>
      </w:tr>
      <w:tr w:rsidR="002641D2" w:rsidRPr="00FA3F9C" w14:paraId="1D6B4E0C" w14:textId="77777777" w:rsidTr="003D6B4B">
        <w:tc>
          <w:tcPr>
            <w:tcW w:w="10790" w:type="dxa"/>
            <w:gridSpan w:val="2"/>
          </w:tcPr>
          <w:p w14:paraId="73479D52" w14:textId="77777777" w:rsidR="002641D2" w:rsidRPr="00FA3F9C" w:rsidRDefault="002641D2" w:rsidP="00571CAB">
            <w:pPr>
              <w:rPr>
                <w:rFonts w:ascii="Arial" w:hAnsi="Arial" w:cs="Arial"/>
                <w:sz w:val="24"/>
                <w:szCs w:val="24"/>
              </w:rPr>
            </w:pPr>
            <w:r w:rsidRPr="00FA3F9C">
              <w:rPr>
                <w:rFonts w:ascii="Arial" w:hAnsi="Arial" w:cs="Arial"/>
                <w:sz w:val="24"/>
                <w:szCs w:val="24"/>
              </w:rPr>
              <w:t>If so, approve for 12 months.  If not, do not approve.</w:t>
            </w:r>
          </w:p>
        </w:tc>
      </w:tr>
    </w:tbl>
    <w:p w14:paraId="389DF48E" w14:textId="77777777" w:rsidR="002641D2" w:rsidRPr="00FA3F9C" w:rsidRDefault="002641D2" w:rsidP="006F623F">
      <w:pPr>
        <w:spacing w:after="0"/>
        <w:rPr>
          <w:rFonts w:ascii="Arial" w:hAnsi="Arial" w:cs="Arial"/>
          <w:b/>
          <w:sz w:val="24"/>
          <w:szCs w:val="24"/>
          <w:u w:val="single"/>
        </w:rPr>
      </w:pPr>
    </w:p>
    <w:p w14:paraId="1EBBCF65" w14:textId="77777777" w:rsidR="002641D2" w:rsidRPr="00FA3F9C" w:rsidRDefault="002641D2" w:rsidP="006F623F">
      <w:pPr>
        <w:spacing w:after="0"/>
        <w:rPr>
          <w:rFonts w:ascii="Arial" w:hAnsi="Arial" w:cs="Arial"/>
          <w:b/>
          <w:sz w:val="24"/>
          <w:szCs w:val="24"/>
          <w:u w:val="single"/>
        </w:rPr>
      </w:pPr>
    </w:p>
    <w:tbl>
      <w:tblPr>
        <w:tblStyle w:val="TableGrid"/>
        <w:tblW w:w="0" w:type="auto"/>
        <w:shd w:val="clear" w:color="auto" w:fill="BFBFBF" w:themeFill="background1" w:themeFillShade="BF"/>
        <w:tblLook w:val="04A0" w:firstRow="1" w:lastRow="0" w:firstColumn="1" w:lastColumn="0" w:noHBand="0" w:noVBand="1"/>
      </w:tblPr>
      <w:tblGrid>
        <w:gridCol w:w="10998"/>
      </w:tblGrid>
      <w:tr w:rsidR="002641D2" w:rsidRPr="00FA3F9C" w14:paraId="4FEC0BEA" w14:textId="77777777" w:rsidTr="00D82B6E">
        <w:tc>
          <w:tcPr>
            <w:tcW w:w="10998" w:type="dxa"/>
            <w:shd w:val="clear" w:color="auto" w:fill="BFBFBF" w:themeFill="background1" w:themeFillShade="BF"/>
          </w:tcPr>
          <w:p w14:paraId="26100712" w14:textId="77777777" w:rsidR="002641D2" w:rsidRPr="00FA3F9C" w:rsidRDefault="002641D2" w:rsidP="00D82B6E">
            <w:pPr>
              <w:rPr>
                <w:rFonts w:ascii="Arial" w:hAnsi="Arial" w:cs="Arial"/>
                <w:sz w:val="24"/>
                <w:szCs w:val="24"/>
              </w:rPr>
            </w:pPr>
            <w:r w:rsidRPr="00FA3F9C">
              <w:rPr>
                <w:rFonts w:ascii="Arial" w:hAnsi="Arial" w:cs="Arial"/>
                <w:sz w:val="24"/>
                <w:szCs w:val="24"/>
              </w:rPr>
              <w:t>Note: AWP (7/2020) annual drug cost $471,600.</w:t>
            </w:r>
          </w:p>
        </w:tc>
      </w:tr>
    </w:tbl>
    <w:p w14:paraId="2D91E9B3" w14:textId="77777777" w:rsidR="002641D2" w:rsidRPr="00FA3F9C" w:rsidRDefault="002641D2" w:rsidP="006F623F">
      <w:pPr>
        <w:spacing w:after="0"/>
        <w:rPr>
          <w:rFonts w:ascii="Arial" w:hAnsi="Arial" w:cs="Arial"/>
          <w:sz w:val="24"/>
          <w:szCs w:val="24"/>
        </w:rPr>
      </w:pPr>
    </w:p>
    <w:p w14:paraId="51BF3BC3" w14:textId="77777777" w:rsidR="002641D2" w:rsidRPr="00FA3F9C" w:rsidRDefault="002641D2" w:rsidP="006F623F">
      <w:pPr>
        <w:spacing w:after="0"/>
        <w:rPr>
          <w:rFonts w:ascii="Arial" w:hAnsi="Arial" w:cs="Arial"/>
          <w:sz w:val="24"/>
          <w:szCs w:val="24"/>
        </w:rPr>
      </w:pPr>
    </w:p>
    <w:p w14:paraId="30648979" w14:textId="77777777" w:rsidR="002641D2" w:rsidRPr="00FA3F9C" w:rsidRDefault="002641D2"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284"/>
        <w:gridCol w:w="7146"/>
        <w:gridCol w:w="2477"/>
      </w:tblGrid>
      <w:tr w:rsidR="002641D2" w:rsidRPr="00FA3F9C" w14:paraId="20A6AE21" w14:textId="77777777" w:rsidTr="003D6B4B">
        <w:tc>
          <w:tcPr>
            <w:tcW w:w="1167" w:type="dxa"/>
          </w:tcPr>
          <w:p w14:paraId="1BFAB46F" w14:textId="77777777" w:rsidR="002641D2" w:rsidRPr="00FA3F9C" w:rsidRDefault="002641D2" w:rsidP="006F623F">
            <w:pPr>
              <w:rPr>
                <w:rFonts w:ascii="Arial" w:hAnsi="Arial" w:cs="Arial"/>
                <w:sz w:val="24"/>
                <w:szCs w:val="24"/>
              </w:rPr>
            </w:pPr>
            <w:r w:rsidRPr="00FA3F9C">
              <w:rPr>
                <w:rFonts w:ascii="Arial" w:hAnsi="Arial" w:cs="Arial"/>
                <w:sz w:val="24"/>
                <w:szCs w:val="24"/>
              </w:rPr>
              <w:t>Date</w:t>
            </w:r>
          </w:p>
        </w:tc>
        <w:tc>
          <w:tcPr>
            <w:tcW w:w="7146" w:type="dxa"/>
          </w:tcPr>
          <w:p w14:paraId="7BE8D91E" w14:textId="77777777" w:rsidR="002641D2" w:rsidRPr="00FA3F9C" w:rsidRDefault="002641D2" w:rsidP="006F623F">
            <w:pPr>
              <w:rPr>
                <w:rFonts w:ascii="Arial" w:hAnsi="Arial" w:cs="Arial"/>
                <w:sz w:val="24"/>
                <w:szCs w:val="24"/>
              </w:rPr>
            </w:pPr>
            <w:r w:rsidRPr="00FA3F9C">
              <w:rPr>
                <w:rFonts w:ascii="Arial" w:hAnsi="Arial" w:cs="Arial"/>
                <w:sz w:val="24"/>
                <w:szCs w:val="24"/>
              </w:rPr>
              <w:t>What changed</w:t>
            </w:r>
          </w:p>
        </w:tc>
        <w:tc>
          <w:tcPr>
            <w:tcW w:w="2477" w:type="dxa"/>
          </w:tcPr>
          <w:p w14:paraId="2EDE4916" w14:textId="77777777" w:rsidR="002641D2" w:rsidRPr="00FA3F9C" w:rsidRDefault="002641D2" w:rsidP="006F623F">
            <w:pPr>
              <w:rPr>
                <w:rFonts w:ascii="Arial" w:hAnsi="Arial" w:cs="Arial"/>
                <w:sz w:val="24"/>
                <w:szCs w:val="24"/>
              </w:rPr>
            </w:pPr>
            <w:r w:rsidRPr="00FA3F9C">
              <w:rPr>
                <w:rFonts w:ascii="Arial" w:hAnsi="Arial" w:cs="Arial"/>
                <w:sz w:val="24"/>
                <w:szCs w:val="24"/>
              </w:rPr>
              <w:t>Pharmacist’s initials</w:t>
            </w:r>
          </w:p>
        </w:tc>
      </w:tr>
      <w:tr w:rsidR="002641D2" w:rsidRPr="00FA3F9C" w14:paraId="37E67DD4" w14:textId="77777777" w:rsidTr="003D6B4B">
        <w:tc>
          <w:tcPr>
            <w:tcW w:w="1167" w:type="dxa"/>
          </w:tcPr>
          <w:p w14:paraId="3572F95D" w14:textId="77777777" w:rsidR="002641D2" w:rsidRPr="00FA3F9C" w:rsidRDefault="002641D2" w:rsidP="006F623F">
            <w:pPr>
              <w:rPr>
                <w:rFonts w:ascii="Arial" w:hAnsi="Arial" w:cs="Arial"/>
                <w:sz w:val="24"/>
                <w:szCs w:val="24"/>
              </w:rPr>
            </w:pPr>
            <w:r w:rsidRPr="00FA3F9C">
              <w:rPr>
                <w:rFonts w:ascii="Arial" w:hAnsi="Arial" w:cs="Arial"/>
                <w:sz w:val="24"/>
                <w:szCs w:val="24"/>
              </w:rPr>
              <w:t>7/29/2020</w:t>
            </w:r>
          </w:p>
        </w:tc>
        <w:tc>
          <w:tcPr>
            <w:tcW w:w="7146" w:type="dxa"/>
          </w:tcPr>
          <w:p w14:paraId="16D5224E" w14:textId="77777777" w:rsidR="002641D2" w:rsidRPr="00FA3F9C" w:rsidRDefault="002641D2" w:rsidP="006F623F">
            <w:pPr>
              <w:rPr>
                <w:rFonts w:ascii="Arial" w:hAnsi="Arial" w:cs="Arial"/>
                <w:sz w:val="24"/>
                <w:szCs w:val="24"/>
              </w:rPr>
            </w:pPr>
            <w:r w:rsidRPr="00FA3F9C">
              <w:rPr>
                <w:rFonts w:ascii="Arial" w:hAnsi="Arial" w:cs="Arial"/>
                <w:sz w:val="24"/>
                <w:szCs w:val="24"/>
              </w:rPr>
              <w:t xml:space="preserve">I wrote the criteria. Compared to placebo at 6.5 months, 12% </w:t>
            </w:r>
            <w:proofErr w:type="spellStart"/>
            <w:r w:rsidRPr="00FA3F9C">
              <w:rPr>
                <w:rFonts w:ascii="Arial" w:hAnsi="Arial" w:cs="Arial"/>
                <w:sz w:val="24"/>
                <w:szCs w:val="24"/>
              </w:rPr>
              <w:t>ineb</w:t>
            </w:r>
            <w:proofErr w:type="spellEnd"/>
            <w:r w:rsidRPr="00FA3F9C">
              <w:rPr>
                <w:rFonts w:ascii="Arial" w:hAnsi="Arial" w:cs="Arial"/>
                <w:sz w:val="24"/>
                <w:szCs w:val="24"/>
              </w:rPr>
              <w:t xml:space="preserve"> vs 39%Plac had NMOSD attacks.</w:t>
            </w:r>
          </w:p>
        </w:tc>
        <w:tc>
          <w:tcPr>
            <w:tcW w:w="2477" w:type="dxa"/>
          </w:tcPr>
          <w:p w14:paraId="0991C2B0" w14:textId="27BD20ED" w:rsidR="002641D2" w:rsidRPr="00FA3F9C" w:rsidRDefault="005C142D" w:rsidP="006F623F">
            <w:pPr>
              <w:rPr>
                <w:rFonts w:ascii="Arial" w:hAnsi="Arial" w:cs="Arial"/>
                <w:sz w:val="24"/>
                <w:szCs w:val="24"/>
              </w:rPr>
            </w:pPr>
            <w:r w:rsidRPr="00FA3F9C">
              <w:rPr>
                <w:rFonts w:ascii="Arial" w:hAnsi="Arial" w:cs="Arial"/>
                <w:sz w:val="24"/>
                <w:szCs w:val="24"/>
              </w:rPr>
              <w:t>JJ</w:t>
            </w:r>
          </w:p>
        </w:tc>
      </w:tr>
    </w:tbl>
    <w:p w14:paraId="20760815" w14:textId="77777777" w:rsidR="002641D2" w:rsidRPr="00FA3F9C" w:rsidRDefault="002641D2" w:rsidP="006F623F">
      <w:pPr>
        <w:spacing w:after="0"/>
        <w:rPr>
          <w:rFonts w:ascii="Arial" w:hAnsi="Arial" w:cs="Arial"/>
          <w:sz w:val="24"/>
          <w:szCs w:val="24"/>
        </w:rPr>
      </w:pPr>
    </w:p>
    <w:p w14:paraId="6B20CDD7" w14:textId="77777777" w:rsidR="002641D2" w:rsidRPr="00FA3F9C" w:rsidRDefault="002641D2" w:rsidP="003D6B4B">
      <w:pPr>
        <w:rPr>
          <w:rFonts w:ascii="Arial" w:hAnsi="Arial" w:cs="Arial"/>
          <w:sz w:val="24"/>
          <w:szCs w:val="24"/>
        </w:rPr>
      </w:pPr>
      <w:r w:rsidRPr="00FA3F9C">
        <w:rPr>
          <w:rFonts w:ascii="Arial" w:hAnsi="Arial" w:cs="Arial"/>
          <w:sz w:val="24"/>
          <w:szCs w:val="24"/>
        </w:rPr>
        <w:t>References:</w:t>
      </w:r>
    </w:p>
    <w:p w14:paraId="6485A47E" w14:textId="77777777" w:rsidR="002641D2" w:rsidRPr="00FA3F9C" w:rsidRDefault="002641D2" w:rsidP="002641D2">
      <w:pPr>
        <w:pStyle w:val="ListParagraph"/>
        <w:numPr>
          <w:ilvl w:val="0"/>
          <w:numId w:val="272"/>
        </w:numPr>
        <w:spacing w:after="0" w:line="240" w:lineRule="auto"/>
        <w:rPr>
          <w:rFonts w:ascii="Arial" w:hAnsi="Arial" w:cs="Arial"/>
          <w:sz w:val="24"/>
          <w:szCs w:val="24"/>
        </w:rPr>
      </w:pPr>
      <w:r w:rsidRPr="00FA3F9C">
        <w:rPr>
          <w:rFonts w:ascii="Arial" w:hAnsi="Arial" w:cs="Arial"/>
          <w:sz w:val="24"/>
          <w:szCs w:val="24"/>
        </w:rPr>
        <w:lastRenderedPageBreak/>
        <w:t>UpToDate. NMOSD.  Accessed 7/20/2020.</w:t>
      </w:r>
    </w:p>
    <w:p w14:paraId="76046B7C" w14:textId="77777777" w:rsidR="002641D2" w:rsidRPr="00FA3F9C" w:rsidRDefault="002641D2" w:rsidP="002641D2">
      <w:pPr>
        <w:pStyle w:val="ListParagraph"/>
        <w:numPr>
          <w:ilvl w:val="0"/>
          <w:numId w:val="272"/>
        </w:numPr>
        <w:spacing w:after="0" w:line="240" w:lineRule="auto"/>
        <w:rPr>
          <w:rFonts w:ascii="Arial" w:eastAsia="Times New Roman" w:hAnsi="Arial" w:cs="Arial"/>
          <w:sz w:val="24"/>
          <w:szCs w:val="24"/>
        </w:rPr>
      </w:pPr>
      <w:r w:rsidRPr="00FA3F9C">
        <w:rPr>
          <w:rFonts w:ascii="Arial" w:eastAsia="Times New Roman" w:hAnsi="Arial" w:cs="Arial"/>
          <w:color w:val="222222"/>
          <w:sz w:val="24"/>
          <w:szCs w:val="24"/>
          <w:shd w:val="clear" w:color="auto" w:fill="F8F8F8"/>
        </w:rPr>
        <w:t>Cree, Bruce AC, et al. "</w:t>
      </w:r>
      <w:proofErr w:type="spellStart"/>
      <w:r w:rsidRPr="00FA3F9C">
        <w:rPr>
          <w:rFonts w:ascii="Arial" w:eastAsia="Times New Roman" w:hAnsi="Arial" w:cs="Arial"/>
          <w:color w:val="222222"/>
          <w:sz w:val="24"/>
          <w:szCs w:val="24"/>
          <w:shd w:val="clear" w:color="auto" w:fill="F8F8F8"/>
        </w:rPr>
        <w:t>Inebilizumab</w:t>
      </w:r>
      <w:proofErr w:type="spellEnd"/>
      <w:r w:rsidRPr="00FA3F9C">
        <w:rPr>
          <w:rFonts w:ascii="Arial" w:eastAsia="Times New Roman" w:hAnsi="Arial" w:cs="Arial"/>
          <w:color w:val="222222"/>
          <w:sz w:val="24"/>
          <w:szCs w:val="24"/>
          <w:shd w:val="clear" w:color="auto" w:fill="F8F8F8"/>
        </w:rPr>
        <w:t xml:space="preserve"> for the treatment of neuromyelitis </w:t>
      </w:r>
      <w:proofErr w:type="spellStart"/>
      <w:r w:rsidRPr="00FA3F9C">
        <w:rPr>
          <w:rFonts w:ascii="Arial" w:eastAsia="Times New Roman" w:hAnsi="Arial" w:cs="Arial"/>
          <w:color w:val="222222"/>
          <w:sz w:val="24"/>
          <w:szCs w:val="24"/>
          <w:shd w:val="clear" w:color="auto" w:fill="F8F8F8"/>
        </w:rPr>
        <w:t>optica</w:t>
      </w:r>
      <w:proofErr w:type="spellEnd"/>
      <w:r w:rsidRPr="00FA3F9C">
        <w:rPr>
          <w:rFonts w:ascii="Arial" w:eastAsia="Times New Roman" w:hAnsi="Arial" w:cs="Arial"/>
          <w:color w:val="222222"/>
          <w:sz w:val="24"/>
          <w:szCs w:val="24"/>
          <w:shd w:val="clear" w:color="auto" w:fill="F8F8F8"/>
        </w:rPr>
        <w:t xml:space="preserve"> spectrum disorder (N-</w:t>
      </w:r>
      <w:proofErr w:type="spellStart"/>
      <w:r w:rsidRPr="00FA3F9C">
        <w:rPr>
          <w:rFonts w:ascii="Arial" w:eastAsia="Times New Roman" w:hAnsi="Arial" w:cs="Arial"/>
          <w:color w:val="222222"/>
          <w:sz w:val="24"/>
          <w:szCs w:val="24"/>
          <w:shd w:val="clear" w:color="auto" w:fill="F8F8F8"/>
        </w:rPr>
        <w:t>MOmentum</w:t>
      </w:r>
      <w:proofErr w:type="spellEnd"/>
      <w:r w:rsidRPr="00FA3F9C">
        <w:rPr>
          <w:rFonts w:ascii="Arial" w:eastAsia="Times New Roman" w:hAnsi="Arial" w:cs="Arial"/>
          <w:color w:val="222222"/>
          <w:sz w:val="24"/>
          <w:szCs w:val="24"/>
          <w:shd w:val="clear" w:color="auto" w:fill="F8F8F8"/>
        </w:rPr>
        <w:t xml:space="preserve">): a double-blind, </w:t>
      </w:r>
      <w:proofErr w:type="spellStart"/>
      <w:r w:rsidRPr="00FA3F9C">
        <w:rPr>
          <w:rFonts w:ascii="Arial" w:eastAsia="Times New Roman" w:hAnsi="Arial" w:cs="Arial"/>
          <w:color w:val="222222"/>
          <w:sz w:val="24"/>
          <w:szCs w:val="24"/>
          <w:shd w:val="clear" w:color="auto" w:fill="F8F8F8"/>
        </w:rPr>
        <w:t>randomised</w:t>
      </w:r>
      <w:proofErr w:type="spellEnd"/>
      <w:r w:rsidRPr="00FA3F9C">
        <w:rPr>
          <w:rFonts w:ascii="Arial" w:eastAsia="Times New Roman" w:hAnsi="Arial" w:cs="Arial"/>
          <w:color w:val="222222"/>
          <w:sz w:val="24"/>
          <w:szCs w:val="24"/>
          <w:shd w:val="clear" w:color="auto" w:fill="F8F8F8"/>
        </w:rPr>
        <w:t xml:space="preserve"> placebo-controlled phase 2/3 trial." </w:t>
      </w:r>
      <w:r w:rsidRPr="00FA3F9C">
        <w:rPr>
          <w:rFonts w:ascii="Arial" w:eastAsia="Times New Roman" w:hAnsi="Arial" w:cs="Arial"/>
          <w:i/>
          <w:iCs/>
          <w:color w:val="222222"/>
          <w:sz w:val="24"/>
          <w:szCs w:val="24"/>
          <w:shd w:val="clear" w:color="auto" w:fill="F8F8F8"/>
        </w:rPr>
        <w:t>The Lancet</w:t>
      </w:r>
      <w:r w:rsidRPr="00FA3F9C">
        <w:rPr>
          <w:rFonts w:ascii="Arial" w:eastAsia="Times New Roman" w:hAnsi="Arial" w:cs="Arial"/>
          <w:color w:val="222222"/>
          <w:sz w:val="24"/>
          <w:szCs w:val="24"/>
          <w:shd w:val="clear" w:color="auto" w:fill="F8F8F8"/>
        </w:rPr>
        <w:t> 394.10206 (2019): 1352-1363.</w:t>
      </w:r>
    </w:p>
    <w:p w14:paraId="229C5B9A" w14:textId="77777777" w:rsidR="002641D2" w:rsidRPr="00FA3F9C" w:rsidRDefault="002641D2" w:rsidP="002641D2">
      <w:pPr>
        <w:pStyle w:val="ListParagraph"/>
        <w:numPr>
          <w:ilvl w:val="0"/>
          <w:numId w:val="272"/>
        </w:numPr>
        <w:spacing w:after="0" w:line="240" w:lineRule="auto"/>
        <w:rPr>
          <w:rFonts w:ascii="Arial" w:eastAsia="Times New Roman" w:hAnsi="Arial" w:cs="Arial"/>
          <w:sz w:val="24"/>
          <w:szCs w:val="24"/>
        </w:rPr>
      </w:pPr>
      <w:proofErr w:type="spellStart"/>
      <w:r w:rsidRPr="00FA3F9C">
        <w:rPr>
          <w:rFonts w:ascii="Arial" w:eastAsia="Times New Roman" w:hAnsi="Arial" w:cs="Arial"/>
          <w:color w:val="222222"/>
          <w:sz w:val="24"/>
          <w:szCs w:val="24"/>
          <w:shd w:val="clear" w:color="auto" w:fill="F8F8F8"/>
        </w:rPr>
        <w:t>Xue</w:t>
      </w:r>
      <w:proofErr w:type="spellEnd"/>
      <w:r w:rsidRPr="00FA3F9C">
        <w:rPr>
          <w:rFonts w:ascii="Arial" w:eastAsia="Times New Roman" w:hAnsi="Arial" w:cs="Arial"/>
          <w:color w:val="222222"/>
          <w:sz w:val="24"/>
          <w:szCs w:val="24"/>
          <w:shd w:val="clear" w:color="auto" w:fill="F8F8F8"/>
        </w:rPr>
        <w:t>, Tao, et al. "Efficacy and Safety of Monoclonal Antibody Therapy in Neuromyelitis Optica Spectrum Disorders: Evidence from Randomized Controlled Trials." </w:t>
      </w:r>
      <w:r w:rsidRPr="00FA3F9C">
        <w:rPr>
          <w:rFonts w:ascii="Arial" w:eastAsia="Times New Roman" w:hAnsi="Arial" w:cs="Arial"/>
          <w:i/>
          <w:iCs/>
          <w:color w:val="222222"/>
          <w:sz w:val="24"/>
          <w:szCs w:val="24"/>
          <w:shd w:val="clear" w:color="auto" w:fill="F8F8F8"/>
        </w:rPr>
        <w:t>Multiple Sclerosis and Related Disorders</w:t>
      </w:r>
      <w:r w:rsidRPr="00FA3F9C">
        <w:rPr>
          <w:rFonts w:ascii="Arial" w:eastAsia="Times New Roman" w:hAnsi="Arial" w:cs="Arial"/>
          <w:color w:val="222222"/>
          <w:sz w:val="24"/>
          <w:szCs w:val="24"/>
          <w:shd w:val="clear" w:color="auto" w:fill="F8F8F8"/>
        </w:rPr>
        <w:t> (August 2020): 102166.</w:t>
      </w:r>
    </w:p>
    <w:p w14:paraId="6372D79E" w14:textId="77777777" w:rsidR="002641D2" w:rsidRPr="00FA3F9C" w:rsidRDefault="002641D2" w:rsidP="006F623F">
      <w:pPr>
        <w:spacing w:after="0"/>
        <w:rPr>
          <w:rFonts w:ascii="Arial" w:hAnsi="Arial" w:cs="Arial"/>
          <w:sz w:val="24"/>
          <w:szCs w:val="24"/>
        </w:rPr>
      </w:pPr>
    </w:p>
    <w:p w14:paraId="2620C647" w14:textId="2F1A7289" w:rsidR="002641D2" w:rsidRPr="00222A23" w:rsidRDefault="002641D2" w:rsidP="002A1632">
      <w:pPr>
        <w:pStyle w:val="Heading2"/>
        <w:rPr>
          <w:lang w:val="es-ES"/>
        </w:rPr>
      </w:pPr>
      <w:bookmarkStart w:id="146" w:name="_Toc106369828"/>
      <w:proofErr w:type="spellStart"/>
      <w:r w:rsidRPr="00222A23">
        <w:rPr>
          <w:lang w:val="es-ES"/>
        </w:rPr>
        <w:t>Interferon</w:t>
      </w:r>
      <w:proofErr w:type="spellEnd"/>
      <w:r w:rsidRPr="00222A23">
        <w:rPr>
          <w:lang w:val="es-ES"/>
        </w:rPr>
        <w:t xml:space="preserve"> Beta-1a (</w:t>
      </w:r>
      <w:proofErr w:type="spellStart"/>
      <w:r w:rsidRPr="00222A23">
        <w:rPr>
          <w:lang w:val="es-ES"/>
        </w:rPr>
        <w:t>Rebif</w:t>
      </w:r>
      <w:proofErr w:type="spellEnd"/>
      <w:r w:rsidRPr="00222A23">
        <w:rPr>
          <w:lang w:val="es-ES"/>
        </w:rPr>
        <w:t>)</w:t>
      </w:r>
      <w:bookmarkEnd w:id="146"/>
    </w:p>
    <w:p w14:paraId="5263627D" w14:textId="77777777" w:rsidR="002641D2" w:rsidRPr="00222A23" w:rsidRDefault="002641D2" w:rsidP="006F623F">
      <w:pPr>
        <w:spacing w:after="0"/>
        <w:jc w:val="center"/>
        <w:rPr>
          <w:rFonts w:ascii="Arial" w:hAnsi="Arial" w:cs="Arial"/>
          <w:sz w:val="24"/>
          <w:szCs w:val="24"/>
          <w:lang w:val="es-ES"/>
        </w:rPr>
      </w:pPr>
      <w:r w:rsidRPr="00222A23">
        <w:rPr>
          <w:rFonts w:ascii="Arial" w:hAnsi="Arial" w:cs="Arial"/>
          <w:sz w:val="24"/>
          <w:szCs w:val="24"/>
          <w:lang w:val="es-ES"/>
        </w:rPr>
        <w:t xml:space="preserve">EBRx PA </w:t>
      </w:r>
      <w:proofErr w:type="spellStart"/>
      <w:r w:rsidRPr="00222A23">
        <w:rPr>
          <w:rFonts w:ascii="Arial" w:hAnsi="Arial" w:cs="Arial"/>
          <w:sz w:val="24"/>
          <w:szCs w:val="24"/>
          <w:lang w:val="es-ES"/>
        </w:rPr>
        <w:t>Criteria</w:t>
      </w:r>
      <w:proofErr w:type="spellEnd"/>
    </w:p>
    <w:p w14:paraId="49C6474D" w14:textId="77777777" w:rsidR="002641D2" w:rsidRPr="00222A23" w:rsidRDefault="002641D2" w:rsidP="006F623F">
      <w:pPr>
        <w:spacing w:after="0"/>
        <w:rPr>
          <w:rFonts w:ascii="Arial" w:hAnsi="Arial" w:cs="Arial"/>
          <w:b/>
          <w:sz w:val="24"/>
          <w:szCs w:val="24"/>
          <w:u w:val="single"/>
          <w:lang w:val="es-ES"/>
        </w:rPr>
      </w:pPr>
    </w:p>
    <w:p w14:paraId="56AA3268" w14:textId="77777777" w:rsidR="002641D2" w:rsidRPr="00FA3F9C" w:rsidRDefault="002641D2"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w:t>
      </w:r>
    </w:p>
    <w:p w14:paraId="5A5CAD07" w14:textId="77777777" w:rsidR="002641D2" w:rsidRPr="00FA3F9C" w:rsidRDefault="002641D2" w:rsidP="002641D2">
      <w:pPr>
        <w:pStyle w:val="ListParagraph"/>
        <w:numPr>
          <w:ilvl w:val="0"/>
          <w:numId w:val="274"/>
        </w:numPr>
        <w:spacing w:after="0" w:line="276" w:lineRule="auto"/>
        <w:rPr>
          <w:rFonts w:ascii="Arial" w:hAnsi="Arial" w:cs="Arial"/>
          <w:sz w:val="24"/>
          <w:szCs w:val="24"/>
        </w:rPr>
      </w:pPr>
      <w:r w:rsidRPr="00FA3F9C">
        <w:rPr>
          <w:rFonts w:ascii="Arial" w:hAnsi="Arial" w:cs="Arial"/>
          <w:sz w:val="24"/>
          <w:szCs w:val="24"/>
        </w:rPr>
        <w:t>Multiple sclerosis, relapsing: treatment of relapsing MS including clinically isolated syndrome, relapsing-remitting disease, and active secondary progressive disease.</w:t>
      </w:r>
    </w:p>
    <w:tbl>
      <w:tblPr>
        <w:tblStyle w:val="TableGrid"/>
        <w:tblW w:w="0" w:type="auto"/>
        <w:tblLook w:val="04A0" w:firstRow="1" w:lastRow="0" w:firstColumn="1" w:lastColumn="0" w:noHBand="0" w:noVBand="1"/>
      </w:tblPr>
      <w:tblGrid>
        <w:gridCol w:w="8928"/>
        <w:gridCol w:w="2088"/>
      </w:tblGrid>
      <w:tr w:rsidR="002641D2" w:rsidRPr="00FA3F9C" w14:paraId="5A429839" w14:textId="77777777" w:rsidTr="00571CAB">
        <w:tc>
          <w:tcPr>
            <w:tcW w:w="8928" w:type="dxa"/>
            <w:shd w:val="clear" w:color="auto" w:fill="000000"/>
          </w:tcPr>
          <w:p w14:paraId="3066B8F0" w14:textId="77777777" w:rsidR="002641D2" w:rsidRPr="00FA3F9C" w:rsidRDefault="002641D2"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88" w:type="dxa"/>
            <w:shd w:val="clear" w:color="auto" w:fill="000000"/>
          </w:tcPr>
          <w:p w14:paraId="6FD1AF65" w14:textId="77777777" w:rsidR="002641D2" w:rsidRPr="00FA3F9C" w:rsidRDefault="002641D2" w:rsidP="006F623F">
            <w:pPr>
              <w:jc w:val="center"/>
              <w:rPr>
                <w:rFonts w:ascii="Arial" w:hAnsi="Arial" w:cs="Arial"/>
                <w:b/>
                <w:sz w:val="24"/>
                <w:szCs w:val="24"/>
                <w:u w:val="single"/>
              </w:rPr>
            </w:pPr>
          </w:p>
        </w:tc>
      </w:tr>
      <w:tr w:rsidR="002641D2" w:rsidRPr="00FA3F9C" w14:paraId="0E7181D9" w14:textId="77777777" w:rsidTr="00F337AE">
        <w:tc>
          <w:tcPr>
            <w:tcW w:w="11016" w:type="dxa"/>
            <w:gridSpan w:val="2"/>
          </w:tcPr>
          <w:p w14:paraId="47D69727" w14:textId="77777777" w:rsidR="002641D2" w:rsidRPr="00FA3F9C" w:rsidRDefault="002641D2" w:rsidP="006F623F">
            <w:pPr>
              <w:rPr>
                <w:rFonts w:ascii="Arial" w:hAnsi="Arial" w:cs="Arial"/>
                <w:sz w:val="24"/>
                <w:szCs w:val="24"/>
              </w:rPr>
            </w:pPr>
            <w:r w:rsidRPr="00FA3F9C">
              <w:rPr>
                <w:rFonts w:ascii="Arial" w:hAnsi="Arial" w:cs="Arial"/>
                <w:sz w:val="24"/>
                <w:szCs w:val="24"/>
              </w:rPr>
              <w:t>1. The patient must have the diagnosis of relapsing multiple sclerosis</w:t>
            </w:r>
          </w:p>
        </w:tc>
      </w:tr>
    </w:tbl>
    <w:p w14:paraId="338F0AAB" w14:textId="77777777" w:rsidR="002641D2" w:rsidRPr="00FA3F9C" w:rsidRDefault="002641D2" w:rsidP="006F623F">
      <w:pPr>
        <w:spacing w:after="0"/>
        <w:rPr>
          <w:rFonts w:ascii="Arial" w:hAnsi="Arial" w:cs="Arial"/>
          <w:b/>
          <w:sz w:val="24"/>
          <w:szCs w:val="24"/>
          <w:u w:val="single"/>
        </w:rPr>
      </w:pPr>
    </w:p>
    <w:p w14:paraId="11991BBD" w14:textId="77777777" w:rsidR="002641D2" w:rsidRPr="00FA3F9C" w:rsidRDefault="002641D2" w:rsidP="006F623F">
      <w:pPr>
        <w:spacing w:after="0"/>
        <w:rPr>
          <w:rFonts w:ascii="Arial" w:hAnsi="Arial" w:cs="Arial"/>
          <w:b/>
          <w:sz w:val="24"/>
          <w:szCs w:val="24"/>
          <w:u w:val="single"/>
        </w:rPr>
      </w:pPr>
    </w:p>
    <w:tbl>
      <w:tblPr>
        <w:tblStyle w:val="TableGrid"/>
        <w:tblW w:w="0" w:type="auto"/>
        <w:shd w:val="clear" w:color="auto" w:fill="BFBFBF" w:themeFill="background1" w:themeFillShade="BF"/>
        <w:tblLook w:val="04A0" w:firstRow="1" w:lastRow="0" w:firstColumn="1" w:lastColumn="0" w:noHBand="0" w:noVBand="1"/>
      </w:tblPr>
      <w:tblGrid>
        <w:gridCol w:w="5215"/>
        <w:gridCol w:w="5575"/>
      </w:tblGrid>
      <w:tr w:rsidR="002641D2" w:rsidRPr="00FA3F9C" w14:paraId="55E006CC" w14:textId="77777777" w:rsidTr="005F2FC4">
        <w:tc>
          <w:tcPr>
            <w:tcW w:w="5215" w:type="dxa"/>
            <w:shd w:val="clear" w:color="auto" w:fill="BFBFBF" w:themeFill="background1" w:themeFillShade="BF"/>
          </w:tcPr>
          <w:p w14:paraId="39C9DE6D" w14:textId="77777777" w:rsidR="002641D2" w:rsidRPr="00FA3F9C" w:rsidRDefault="002641D2" w:rsidP="00F8451A">
            <w:pPr>
              <w:pStyle w:val="ListParagraph"/>
              <w:ind w:left="0"/>
              <w:rPr>
                <w:rFonts w:ascii="Arial" w:hAnsi="Arial" w:cs="Arial"/>
                <w:sz w:val="24"/>
                <w:szCs w:val="24"/>
              </w:rPr>
            </w:pPr>
            <w:r w:rsidRPr="00FA3F9C">
              <w:rPr>
                <w:rFonts w:ascii="Arial" w:hAnsi="Arial" w:cs="Arial"/>
                <w:sz w:val="24"/>
                <w:szCs w:val="24"/>
              </w:rPr>
              <w:t>Rebif (subcutaneous)</w:t>
            </w:r>
          </w:p>
        </w:tc>
        <w:tc>
          <w:tcPr>
            <w:tcW w:w="5575" w:type="dxa"/>
            <w:shd w:val="clear" w:color="auto" w:fill="BFBFBF" w:themeFill="background1" w:themeFillShade="BF"/>
          </w:tcPr>
          <w:p w14:paraId="1066E15A" w14:textId="77777777" w:rsidR="002641D2" w:rsidRPr="00FA3F9C" w:rsidRDefault="002641D2" w:rsidP="00F8451A">
            <w:pPr>
              <w:pStyle w:val="ListParagraph"/>
              <w:ind w:left="0"/>
              <w:rPr>
                <w:rFonts w:ascii="Arial" w:hAnsi="Arial" w:cs="Arial"/>
                <w:sz w:val="24"/>
                <w:szCs w:val="24"/>
              </w:rPr>
            </w:pPr>
            <w:r w:rsidRPr="00FA3F9C">
              <w:rPr>
                <w:rFonts w:ascii="Arial" w:hAnsi="Arial" w:cs="Arial"/>
                <w:sz w:val="24"/>
                <w:szCs w:val="24"/>
              </w:rPr>
              <w:t>Avonex (intramuscular)</w:t>
            </w:r>
          </w:p>
        </w:tc>
      </w:tr>
      <w:tr w:rsidR="002641D2" w:rsidRPr="00FA3F9C" w14:paraId="5B48D58B" w14:textId="77777777" w:rsidTr="005F2FC4">
        <w:tc>
          <w:tcPr>
            <w:tcW w:w="5215" w:type="dxa"/>
            <w:shd w:val="clear" w:color="auto" w:fill="BFBFBF" w:themeFill="background1" w:themeFillShade="BF"/>
          </w:tcPr>
          <w:p w14:paraId="0E71966E" w14:textId="77777777" w:rsidR="002641D2" w:rsidRPr="00FA3F9C" w:rsidRDefault="002641D2" w:rsidP="00F8451A">
            <w:pPr>
              <w:pStyle w:val="ListParagraph"/>
              <w:ind w:left="0"/>
              <w:rPr>
                <w:rFonts w:ascii="Arial" w:hAnsi="Arial" w:cs="Arial"/>
                <w:sz w:val="24"/>
                <w:szCs w:val="24"/>
              </w:rPr>
            </w:pPr>
            <w:r w:rsidRPr="00FA3F9C">
              <w:rPr>
                <w:rFonts w:ascii="Arial" w:hAnsi="Arial" w:cs="Arial"/>
                <w:sz w:val="24"/>
                <w:szCs w:val="24"/>
              </w:rPr>
              <w:t>Note:  DOSES:</w:t>
            </w:r>
          </w:p>
          <w:p w14:paraId="36A4B707" w14:textId="77777777" w:rsidR="002641D2" w:rsidRPr="00FA3F9C" w:rsidRDefault="002641D2" w:rsidP="00F8451A">
            <w:pPr>
              <w:pStyle w:val="ListParagraph"/>
              <w:rPr>
                <w:rFonts w:ascii="Arial" w:hAnsi="Arial" w:cs="Arial"/>
                <w:sz w:val="24"/>
                <w:szCs w:val="24"/>
              </w:rPr>
            </w:pPr>
            <w:r w:rsidRPr="00FA3F9C">
              <w:rPr>
                <w:rFonts w:ascii="Arial" w:hAnsi="Arial" w:cs="Arial"/>
                <w:sz w:val="24"/>
                <w:szCs w:val="24"/>
              </w:rPr>
              <w:t>For target dose of 44mcg:</w:t>
            </w:r>
          </w:p>
          <w:p w14:paraId="680E62CE" w14:textId="77777777" w:rsidR="002641D2" w:rsidRPr="00FA3F9C" w:rsidRDefault="002641D2" w:rsidP="00F8451A">
            <w:pPr>
              <w:pStyle w:val="ListParagraph"/>
              <w:rPr>
                <w:rFonts w:ascii="Arial" w:hAnsi="Arial" w:cs="Arial"/>
                <w:sz w:val="24"/>
                <w:szCs w:val="24"/>
              </w:rPr>
            </w:pPr>
            <w:r w:rsidRPr="00FA3F9C">
              <w:rPr>
                <w:rFonts w:ascii="Arial" w:hAnsi="Arial" w:cs="Arial"/>
                <w:sz w:val="24"/>
                <w:szCs w:val="24"/>
              </w:rPr>
              <w:tab/>
              <w:t>Initially:  8.8mcg 3 times/w for 2 w, then</w:t>
            </w:r>
          </w:p>
          <w:p w14:paraId="0AF15BD2" w14:textId="77777777" w:rsidR="002641D2" w:rsidRPr="00FA3F9C" w:rsidRDefault="002641D2" w:rsidP="00F8451A">
            <w:pPr>
              <w:pStyle w:val="ListParagraph"/>
              <w:rPr>
                <w:rFonts w:ascii="Arial" w:hAnsi="Arial" w:cs="Arial"/>
                <w:sz w:val="24"/>
                <w:szCs w:val="24"/>
              </w:rPr>
            </w:pPr>
            <w:r w:rsidRPr="00FA3F9C">
              <w:rPr>
                <w:rFonts w:ascii="Arial" w:hAnsi="Arial" w:cs="Arial"/>
                <w:sz w:val="24"/>
                <w:szCs w:val="24"/>
              </w:rPr>
              <w:tab/>
              <w:t>Titration:  22 mcg 3 times/w for 2 w, then</w:t>
            </w:r>
          </w:p>
          <w:p w14:paraId="685C38BD" w14:textId="77777777" w:rsidR="002641D2" w:rsidRPr="00FA3F9C" w:rsidRDefault="002641D2" w:rsidP="00F8451A">
            <w:pPr>
              <w:pStyle w:val="ListParagraph"/>
              <w:rPr>
                <w:rFonts w:ascii="Arial" w:hAnsi="Arial" w:cs="Arial"/>
                <w:sz w:val="24"/>
                <w:szCs w:val="24"/>
              </w:rPr>
            </w:pPr>
            <w:r w:rsidRPr="00FA3F9C">
              <w:rPr>
                <w:rFonts w:ascii="Arial" w:hAnsi="Arial" w:cs="Arial"/>
                <w:sz w:val="24"/>
                <w:szCs w:val="24"/>
              </w:rPr>
              <w:tab/>
              <w:t>Finally:  44mcg 3 times/w</w:t>
            </w:r>
          </w:p>
          <w:p w14:paraId="34F9A65E" w14:textId="77777777" w:rsidR="002641D2" w:rsidRPr="00FA3F9C" w:rsidRDefault="002641D2" w:rsidP="00F8451A">
            <w:pPr>
              <w:pStyle w:val="ListParagraph"/>
              <w:rPr>
                <w:rFonts w:ascii="Arial" w:hAnsi="Arial" w:cs="Arial"/>
                <w:sz w:val="24"/>
                <w:szCs w:val="24"/>
              </w:rPr>
            </w:pPr>
            <w:r w:rsidRPr="00FA3F9C">
              <w:rPr>
                <w:rFonts w:ascii="Arial" w:hAnsi="Arial" w:cs="Arial"/>
                <w:sz w:val="24"/>
                <w:szCs w:val="24"/>
              </w:rPr>
              <w:tab/>
            </w:r>
          </w:p>
          <w:p w14:paraId="687039B7" w14:textId="77777777" w:rsidR="002641D2" w:rsidRPr="00FA3F9C" w:rsidRDefault="002641D2" w:rsidP="00F8451A">
            <w:pPr>
              <w:rPr>
                <w:rFonts w:ascii="Arial" w:hAnsi="Arial" w:cs="Arial"/>
                <w:sz w:val="24"/>
                <w:szCs w:val="24"/>
              </w:rPr>
            </w:pPr>
            <w:r w:rsidRPr="00FA3F9C">
              <w:rPr>
                <w:rFonts w:ascii="Arial" w:hAnsi="Arial" w:cs="Arial"/>
                <w:sz w:val="24"/>
                <w:szCs w:val="24"/>
              </w:rPr>
              <w:tab/>
              <w:t>For target dose of 22mcg:</w:t>
            </w:r>
          </w:p>
          <w:p w14:paraId="34630BF4" w14:textId="77777777" w:rsidR="002641D2" w:rsidRPr="00FA3F9C" w:rsidRDefault="002641D2" w:rsidP="00F8451A">
            <w:pPr>
              <w:rPr>
                <w:rFonts w:ascii="Arial" w:hAnsi="Arial" w:cs="Arial"/>
                <w:sz w:val="24"/>
                <w:szCs w:val="24"/>
              </w:rPr>
            </w:pPr>
            <w:r w:rsidRPr="00FA3F9C">
              <w:rPr>
                <w:rFonts w:ascii="Arial" w:hAnsi="Arial" w:cs="Arial"/>
                <w:sz w:val="24"/>
                <w:szCs w:val="24"/>
              </w:rPr>
              <w:tab/>
            </w:r>
            <w:r w:rsidRPr="00FA3F9C">
              <w:rPr>
                <w:rFonts w:ascii="Arial" w:hAnsi="Arial" w:cs="Arial"/>
                <w:sz w:val="24"/>
                <w:szCs w:val="24"/>
              </w:rPr>
              <w:tab/>
              <w:t>Initially:  4.4 mcg 3 times/w for 2 w, then</w:t>
            </w:r>
          </w:p>
          <w:p w14:paraId="56CE6DC0" w14:textId="77777777" w:rsidR="002641D2" w:rsidRPr="00FA3F9C" w:rsidRDefault="002641D2" w:rsidP="00F8451A">
            <w:pPr>
              <w:rPr>
                <w:rFonts w:ascii="Arial" w:hAnsi="Arial" w:cs="Arial"/>
                <w:sz w:val="24"/>
                <w:szCs w:val="24"/>
              </w:rPr>
            </w:pPr>
            <w:r w:rsidRPr="00FA3F9C">
              <w:rPr>
                <w:rFonts w:ascii="Arial" w:hAnsi="Arial" w:cs="Arial"/>
                <w:sz w:val="24"/>
                <w:szCs w:val="24"/>
              </w:rPr>
              <w:tab/>
            </w:r>
            <w:r w:rsidRPr="00FA3F9C">
              <w:rPr>
                <w:rFonts w:ascii="Arial" w:hAnsi="Arial" w:cs="Arial"/>
                <w:sz w:val="24"/>
                <w:szCs w:val="24"/>
              </w:rPr>
              <w:tab/>
              <w:t>Titration:  11 mcg 3 tim3s/w for 2 w, then</w:t>
            </w:r>
          </w:p>
          <w:p w14:paraId="48553DFC" w14:textId="77777777" w:rsidR="002641D2" w:rsidRPr="00FA3F9C" w:rsidRDefault="002641D2" w:rsidP="00D82B6E">
            <w:pPr>
              <w:rPr>
                <w:rFonts w:ascii="Arial" w:hAnsi="Arial" w:cs="Arial"/>
                <w:sz w:val="24"/>
                <w:szCs w:val="24"/>
              </w:rPr>
            </w:pPr>
            <w:r w:rsidRPr="00FA3F9C">
              <w:rPr>
                <w:rFonts w:ascii="Arial" w:hAnsi="Arial" w:cs="Arial"/>
                <w:sz w:val="24"/>
                <w:szCs w:val="24"/>
              </w:rPr>
              <w:tab/>
            </w:r>
            <w:r w:rsidRPr="00FA3F9C">
              <w:rPr>
                <w:rFonts w:ascii="Arial" w:hAnsi="Arial" w:cs="Arial"/>
                <w:sz w:val="24"/>
                <w:szCs w:val="24"/>
              </w:rPr>
              <w:tab/>
              <w:t>Finally:  22 mcg 3 times/w</w:t>
            </w:r>
          </w:p>
        </w:tc>
        <w:tc>
          <w:tcPr>
            <w:tcW w:w="5575" w:type="dxa"/>
            <w:shd w:val="clear" w:color="auto" w:fill="BFBFBF" w:themeFill="background1" w:themeFillShade="BF"/>
          </w:tcPr>
          <w:p w14:paraId="0937C138" w14:textId="77777777" w:rsidR="002641D2" w:rsidRPr="00FA3F9C" w:rsidRDefault="002641D2" w:rsidP="00F8451A">
            <w:pPr>
              <w:pStyle w:val="ListParagraph"/>
              <w:ind w:left="0"/>
              <w:rPr>
                <w:rFonts w:ascii="Arial" w:hAnsi="Arial" w:cs="Arial"/>
                <w:sz w:val="24"/>
                <w:szCs w:val="24"/>
              </w:rPr>
            </w:pPr>
            <w:r w:rsidRPr="00FA3F9C">
              <w:rPr>
                <w:rFonts w:ascii="Arial" w:hAnsi="Arial" w:cs="Arial"/>
                <w:sz w:val="24"/>
                <w:szCs w:val="24"/>
              </w:rPr>
              <w:t>Note:  DOSES:</w:t>
            </w:r>
          </w:p>
          <w:p w14:paraId="3AFC3E90" w14:textId="77777777" w:rsidR="002641D2" w:rsidRPr="00FA3F9C" w:rsidRDefault="002641D2" w:rsidP="00F8451A">
            <w:pPr>
              <w:pStyle w:val="ListParagraph"/>
              <w:ind w:left="0"/>
              <w:rPr>
                <w:rFonts w:ascii="Arial" w:hAnsi="Arial" w:cs="Arial"/>
                <w:sz w:val="24"/>
                <w:szCs w:val="24"/>
              </w:rPr>
            </w:pPr>
            <w:r w:rsidRPr="00FA3F9C">
              <w:rPr>
                <w:rFonts w:ascii="Arial" w:hAnsi="Arial" w:cs="Arial"/>
                <w:sz w:val="24"/>
                <w:szCs w:val="24"/>
              </w:rPr>
              <w:t xml:space="preserve">  For target dose of 30mcg once weekly:</w:t>
            </w:r>
          </w:p>
          <w:p w14:paraId="79F8DD25" w14:textId="77777777" w:rsidR="002641D2" w:rsidRPr="00FA3F9C" w:rsidRDefault="002641D2" w:rsidP="00F8451A">
            <w:pPr>
              <w:pStyle w:val="ListParagraph"/>
              <w:ind w:left="0"/>
              <w:rPr>
                <w:rFonts w:ascii="Arial" w:hAnsi="Arial" w:cs="Arial"/>
                <w:sz w:val="24"/>
                <w:szCs w:val="24"/>
              </w:rPr>
            </w:pPr>
            <w:r w:rsidRPr="00FA3F9C">
              <w:rPr>
                <w:rFonts w:ascii="Arial" w:hAnsi="Arial" w:cs="Arial"/>
                <w:sz w:val="24"/>
                <w:szCs w:val="24"/>
              </w:rPr>
              <w:t xml:space="preserve">     Initial 7.5mcg (week 1), then increase dose in increments of 7.5mcg QW (weeks 2-4) up to 30mcg QW.</w:t>
            </w:r>
          </w:p>
        </w:tc>
      </w:tr>
    </w:tbl>
    <w:p w14:paraId="14350E24" w14:textId="77777777" w:rsidR="002641D2" w:rsidRPr="00FA3F9C" w:rsidRDefault="002641D2" w:rsidP="006F623F">
      <w:pPr>
        <w:spacing w:after="0"/>
        <w:rPr>
          <w:rFonts w:ascii="Arial" w:hAnsi="Arial" w:cs="Arial"/>
          <w:sz w:val="24"/>
          <w:szCs w:val="24"/>
        </w:rPr>
      </w:pPr>
    </w:p>
    <w:p w14:paraId="526C29FC" w14:textId="77777777" w:rsidR="002641D2" w:rsidRPr="00FA3F9C" w:rsidRDefault="002641D2" w:rsidP="006F623F">
      <w:pPr>
        <w:spacing w:after="0"/>
        <w:rPr>
          <w:rFonts w:ascii="Arial" w:hAnsi="Arial" w:cs="Arial"/>
          <w:sz w:val="24"/>
          <w:szCs w:val="24"/>
        </w:rPr>
      </w:pPr>
    </w:p>
    <w:p w14:paraId="1A937726" w14:textId="77777777" w:rsidR="002641D2" w:rsidRPr="00FA3F9C" w:rsidRDefault="002641D2"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418"/>
        <w:gridCol w:w="7357"/>
        <w:gridCol w:w="2155"/>
      </w:tblGrid>
      <w:tr w:rsidR="002641D2" w:rsidRPr="00FA3F9C" w14:paraId="0FD9652D" w14:textId="77777777" w:rsidTr="005F2FC4">
        <w:tc>
          <w:tcPr>
            <w:tcW w:w="1278" w:type="dxa"/>
          </w:tcPr>
          <w:p w14:paraId="264EB50A" w14:textId="77777777" w:rsidR="002641D2" w:rsidRPr="00FA3F9C" w:rsidRDefault="002641D2" w:rsidP="006F623F">
            <w:pPr>
              <w:rPr>
                <w:rFonts w:ascii="Arial" w:hAnsi="Arial" w:cs="Arial"/>
                <w:sz w:val="24"/>
                <w:szCs w:val="24"/>
              </w:rPr>
            </w:pPr>
            <w:r w:rsidRPr="00FA3F9C">
              <w:rPr>
                <w:rFonts w:ascii="Arial" w:hAnsi="Arial" w:cs="Arial"/>
                <w:sz w:val="24"/>
                <w:szCs w:val="24"/>
              </w:rPr>
              <w:t>Date</w:t>
            </w:r>
          </w:p>
        </w:tc>
        <w:tc>
          <w:tcPr>
            <w:tcW w:w="7357" w:type="dxa"/>
          </w:tcPr>
          <w:p w14:paraId="3483F801" w14:textId="77777777" w:rsidR="002641D2" w:rsidRPr="00FA3F9C" w:rsidRDefault="002641D2" w:rsidP="006F623F">
            <w:pPr>
              <w:rPr>
                <w:rFonts w:ascii="Arial" w:hAnsi="Arial" w:cs="Arial"/>
                <w:sz w:val="24"/>
                <w:szCs w:val="24"/>
              </w:rPr>
            </w:pPr>
            <w:r w:rsidRPr="00FA3F9C">
              <w:rPr>
                <w:rFonts w:ascii="Arial" w:hAnsi="Arial" w:cs="Arial"/>
                <w:sz w:val="24"/>
                <w:szCs w:val="24"/>
              </w:rPr>
              <w:t>What changed</w:t>
            </w:r>
          </w:p>
        </w:tc>
        <w:tc>
          <w:tcPr>
            <w:tcW w:w="2155" w:type="dxa"/>
          </w:tcPr>
          <w:p w14:paraId="45CE211E" w14:textId="77777777" w:rsidR="002641D2" w:rsidRPr="00FA3F9C" w:rsidRDefault="002641D2" w:rsidP="006F623F">
            <w:pPr>
              <w:rPr>
                <w:rFonts w:ascii="Arial" w:hAnsi="Arial" w:cs="Arial"/>
                <w:sz w:val="24"/>
                <w:szCs w:val="24"/>
              </w:rPr>
            </w:pPr>
            <w:r w:rsidRPr="00FA3F9C">
              <w:rPr>
                <w:rFonts w:ascii="Arial" w:hAnsi="Arial" w:cs="Arial"/>
                <w:sz w:val="24"/>
                <w:szCs w:val="24"/>
              </w:rPr>
              <w:t>Pharmacist’s initials</w:t>
            </w:r>
          </w:p>
        </w:tc>
      </w:tr>
      <w:tr w:rsidR="002641D2" w:rsidRPr="00FA3F9C" w14:paraId="25CFA703" w14:textId="77777777" w:rsidTr="005F2FC4">
        <w:tc>
          <w:tcPr>
            <w:tcW w:w="1278" w:type="dxa"/>
          </w:tcPr>
          <w:p w14:paraId="220B2AB1" w14:textId="77777777" w:rsidR="002641D2" w:rsidRPr="00FA3F9C" w:rsidRDefault="002641D2" w:rsidP="00F8451A">
            <w:pPr>
              <w:rPr>
                <w:rFonts w:ascii="Arial" w:hAnsi="Arial" w:cs="Arial"/>
                <w:sz w:val="24"/>
                <w:szCs w:val="24"/>
              </w:rPr>
            </w:pPr>
            <w:r w:rsidRPr="00FA3F9C">
              <w:rPr>
                <w:rFonts w:ascii="Arial" w:hAnsi="Arial" w:cs="Arial"/>
                <w:sz w:val="24"/>
                <w:szCs w:val="24"/>
              </w:rPr>
              <w:t>5/5/14</w:t>
            </w:r>
          </w:p>
        </w:tc>
        <w:tc>
          <w:tcPr>
            <w:tcW w:w="7357" w:type="dxa"/>
          </w:tcPr>
          <w:p w14:paraId="21719CBF" w14:textId="77777777" w:rsidR="002641D2" w:rsidRPr="00FA3F9C" w:rsidRDefault="002641D2" w:rsidP="00F8451A">
            <w:pPr>
              <w:rPr>
                <w:rFonts w:ascii="Arial" w:hAnsi="Arial" w:cs="Arial"/>
                <w:sz w:val="24"/>
                <w:szCs w:val="24"/>
              </w:rPr>
            </w:pPr>
            <w:r w:rsidRPr="00FA3F9C">
              <w:rPr>
                <w:rFonts w:ascii="Arial" w:hAnsi="Arial" w:cs="Arial"/>
                <w:sz w:val="24"/>
                <w:szCs w:val="24"/>
              </w:rPr>
              <w:t>JJ wrote PA.  (Previously, there was a PA with the same criteria in an Excel sheet that included Rebif.  This is simply more explicit.)</w:t>
            </w:r>
          </w:p>
        </w:tc>
        <w:tc>
          <w:tcPr>
            <w:tcW w:w="2155" w:type="dxa"/>
          </w:tcPr>
          <w:p w14:paraId="1E971A10" w14:textId="77777777" w:rsidR="002641D2" w:rsidRPr="00FA3F9C" w:rsidRDefault="002641D2" w:rsidP="00F8451A">
            <w:pPr>
              <w:rPr>
                <w:rFonts w:ascii="Arial" w:hAnsi="Arial" w:cs="Arial"/>
                <w:sz w:val="24"/>
                <w:szCs w:val="24"/>
              </w:rPr>
            </w:pPr>
            <w:r w:rsidRPr="00FA3F9C">
              <w:rPr>
                <w:rFonts w:ascii="Arial" w:hAnsi="Arial" w:cs="Arial"/>
                <w:sz w:val="24"/>
                <w:szCs w:val="24"/>
              </w:rPr>
              <w:t>JJ</w:t>
            </w:r>
          </w:p>
        </w:tc>
      </w:tr>
      <w:tr w:rsidR="002641D2" w:rsidRPr="00FA3F9C" w14:paraId="128712CB" w14:textId="77777777" w:rsidTr="005F2FC4">
        <w:tc>
          <w:tcPr>
            <w:tcW w:w="1278" w:type="dxa"/>
          </w:tcPr>
          <w:p w14:paraId="2A46F7B5" w14:textId="77777777" w:rsidR="002641D2" w:rsidRPr="00FA3F9C" w:rsidRDefault="002641D2" w:rsidP="006F623F">
            <w:pPr>
              <w:rPr>
                <w:rFonts w:ascii="Arial" w:hAnsi="Arial" w:cs="Arial"/>
                <w:sz w:val="24"/>
                <w:szCs w:val="24"/>
              </w:rPr>
            </w:pPr>
            <w:r w:rsidRPr="00FA3F9C">
              <w:rPr>
                <w:rFonts w:ascii="Arial" w:hAnsi="Arial" w:cs="Arial"/>
                <w:sz w:val="24"/>
                <w:szCs w:val="24"/>
              </w:rPr>
              <w:t>10/18/2019</w:t>
            </w:r>
          </w:p>
        </w:tc>
        <w:tc>
          <w:tcPr>
            <w:tcW w:w="7357" w:type="dxa"/>
          </w:tcPr>
          <w:p w14:paraId="7F999784" w14:textId="77777777" w:rsidR="002641D2" w:rsidRPr="00FA3F9C" w:rsidRDefault="002641D2" w:rsidP="006F623F">
            <w:pPr>
              <w:rPr>
                <w:rFonts w:ascii="Arial" w:hAnsi="Arial" w:cs="Arial"/>
                <w:sz w:val="24"/>
                <w:szCs w:val="24"/>
              </w:rPr>
            </w:pPr>
            <w:r w:rsidRPr="00FA3F9C">
              <w:rPr>
                <w:rFonts w:ascii="Arial" w:hAnsi="Arial" w:cs="Arial"/>
                <w:sz w:val="24"/>
                <w:szCs w:val="24"/>
              </w:rPr>
              <w:t>I reviewed the criteria.  No changes</w:t>
            </w:r>
          </w:p>
        </w:tc>
        <w:tc>
          <w:tcPr>
            <w:tcW w:w="2155" w:type="dxa"/>
          </w:tcPr>
          <w:p w14:paraId="4256AF12" w14:textId="77777777" w:rsidR="002641D2" w:rsidRPr="00FA3F9C" w:rsidRDefault="002641D2" w:rsidP="006F623F">
            <w:pPr>
              <w:rPr>
                <w:rFonts w:ascii="Arial" w:hAnsi="Arial" w:cs="Arial"/>
                <w:sz w:val="24"/>
                <w:szCs w:val="24"/>
              </w:rPr>
            </w:pPr>
            <w:r w:rsidRPr="00FA3F9C">
              <w:rPr>
                <w:rFonts w:ascii="Arial" w:hAnsi="Arial" w:cs="Arial"/>
                <w:sz w:val="24"/>
                <w:szCs w:val="24"/>
              </w:rPr>
              <w:t>JJ</w:t>
            </w:r>
          </w:p>
        </w:tc>
      </w:tr>
      <w:tr w:rsidR="002641D2" w:rsidRPr="00FA3F9C" w14:paraId="79579DE5" w14:textId="77777777" w:rsidTr="005F2FC4">
        <w:tc>
          <w:tcPr>
            <w:tcW w:w="1278" w:type="dxa"/>
          </w:tcPr>
          <w:p w14:paraId="62E8B3A3" w14:textId="77777777" w:rsidR="002641D2" w:rsidRPr="00FA3F9C" w:rsidRDefault="002641D2" w:rsidP="006F623F">
            <w:pPr>
              <w:rPr>
                <w:rFonts w:ascii="Arial" w:hAnsi="Arial" w:cs="Arial"/>
                <w:sz w:val="24"/>
                <w:szCs w:val="24"/>
              </w:rPr>
            </w:pPr>
            <w:r w:rsidRPr="00FA3F9C">
              <w:rPr>
                <w:rFonts w:ascii="Arial" w:hAnsi="Arial" w:cs="Arial"/>
                <w:sz w:val="24"/>
                <w:szCs w:val="24"/>
              </w:rPr>
              <w:t>4/7/21</w:t>
            </w:r>
          </w:p>
        </w:tc>
        <w:tc>
          <w:tcPr>
            <w:tcW w:w="7357" w:type="dxa"/>
          </w:tcPr>
          <w:p w14:paraId="14404F68" w14:textId="77777777" w:rsidR="002641D2" w:rsidRPr="00FA3F9C" w:rsidRDefault="002641D2" w:rsidP="006F623F">
            <w:pPr>
              <w:rPr>
                <w:rFonts w:ascii="Arial" w:hAnsi="Arial" w:cs="Arial"/>
                <w:sz w:val="24"/>
                <w:szCs w:val="24"/>
              </w:rPr>
            </w:pPr>
            <w:r w:rsidRPr="00FA3F9C">
              <w:rPr>
                <w:rFonts w:ascii="Arial" w:hAnsi="Arial" w:cs="Arial"/>
                <w:sz w:val="24"/>
                <w:szCs w:val="24"/>
              </w:rPr>
              <w:t xml:space="preserve">I reviewed the criteria.  Criteria are the same.  I provided Avonex dosing.  I applied EBRx criteria to UAS Plan.  EBRx previously did not cover Avonex, however UAS covers </w:t>
            </w:r>
            <w:proofErr w:type="gramStart"/>
            <w:r w:rsidRPr="00FA3F9C">
              <w:rPr>
                <w:rFonts w:ascii="Arial" w:hAnsi="Arial" w:cs="Arial"/>
                <w:sz w:val="24"/>
                <w:szCs w:val="24"/>
              </w:rPr>
              <w:t>it</w:t>
            </w:r>
            <w:proofErr w:type="gramEnd"/>
            <w:r w:rsidRPr="00FA3F9C">
              <w:rPr>
                <w:rFonts w:ascii="Arial" w:hAnsi="Arial" w:cs="Arial"/>
                <w:sz w:val="24"/>
                <w:szCs w:val="24"/>
              </w:rPr>
              <w:t xml:space="preserve"> and the criteria are the same as for Rebif.</w:t>
            </w:r>
          </w:p>
        </w:tc>
        <w:tc>
          <w:tcPr>
            <w:tcW w:w="2155" w:type="dxa"/>
          </w:tcPr>
          <w:p w14:paraId="0232FE6F" w14:textId="77777777" w:rsidR="002641D2" w:rsidRPr="00FA3F9C" w:rsidRDefault="002641D2" w:rsidP="006F623F">
            <w:pPr>
              <w:rPr>
                <w:rFonts w:ascii="Arial" w:hAnsi="Arial" w:cs="Arial"/>
                <w:sz w:val="24"/>
                <w:szCs w:val="24"/>
              </w:rPr>
            </w:pPr>
            <w:r w:rsidRPr="00FA3F9C">
              <w:rPr>
                <w:rFonts w:ascii="Arial" w:hAnsi="Arial" w:cs="Arial"/>
                <w:sz w:val="24"/>
                <w:szCs w:val="24"/>
              </w:rPr>
              <w:t>JJ</w:t>
            </w:r>
          </w:p>
        </w:tc>
      </w:tr>
    </w:tbl>
    <w:p w14:paraId="31515587" w14:textId="77777777" w:rsidR="002641D2" w:rsidRPr="00FA3F9C" w:rsidRDefault="002641D2" w:rsidP="006F623F">
      <w:pPr>
        <w:spacing w:after="0"/>
        <w:rPr>
          <w:rFonts w:ascii="Arial" w:hAnsi="Arial" w:cs="Arial"/>
          <w:sz w:val="24"/>
          <w:szCs w:val="24"/>
        </w:rPr>
      </w:pPr>
    </w:p>
    <w:p w14:paraId="5532C011" w14:textId="77777777" w:rsidR="002641D2" w:rsidRPr="00FA3F9C" w:rsidRDefault="002641D2" w:rsidP="002A1632">
      <w:pPr>
        <w:pStyle w:val="Heading2"/>
        <w:rPr>
          <w:lang w:val="es-ES"/>
        </w:rPr>
      </w:pPr>
      <w:bookmarkStart w:id="147" w:name="_Toc106369829"/>
      <w:proofErr w:type="spellStart"/>
      <w:r w:rsidRPr="00FA3F9C">
        <w:rPr>
          <w:lang w:val="es-ES"/>
        </w:rPr>
        <w:t>Interferon</w:t>
      </w:r>
      <w:proofErr w:type="spellEnd"/>
      <w:r w:rsidRPr="00FA3F9C">
        <w:rPr>
          <w:lang w:val="es-ES"/>
        </w:rPr>
        <w:t xml:space="preserve"> Beta-1b (</w:t>
      </w:r>
      <w:proofErr w:type="spellStart"/>
      <w:r w:rsidRPr="00FA3F9C">
        <w:rPr>
          <w:lang w:val="es-ES"/>
        </w:rPr>
        <w:t>Betaseron</w:t>
      </w:r>
      <w:proofErr w:type="spellEnd"/>
      <w:r w:rsidRPr="00FA3F9C">
        <w:rPr>
          <w:lang w:val="es-ES"/>
        </w:rPr>
        <w:t xml:space="preserve">, </w:t>
      </w:r>
      <w:proofErr w:type="spellStart"/>
      <w:r w:rsidRPr="00FA3F9C">
        <w:rPr>
          <w:lang w:val="es-ES"/>
        </w:rPr>
        <w:t>Extavia</w:t>
      </w:r>
      <w:proofErr w:type="spellEnd"/>
      <w:r w:rsidRPr="00FA3F9C">
        <w:rPr>
          <w:lang w:val="es-ES"/>
        </w:rPr>
        <w:t>)</w:t>
      </w:r>
      <w:bookmarkEnd w:id="147"/>
    </w:p>
    <w:p w14:paraId="16FF31EE" w14:textId="77777777" w:rsidR="002641D2" w:rsidRPr="00FA3F9C" w:rsidRDefault="002641D2" w:rsidP="006F623F">
      <w:pPr>
        <w:spacing w:after="0"/>
        <w:jc w:val="center"/>
        <w:rPr>
          <w:rFonts w:ascii="Arial" w:hAnsi="Arial" w:cs="Arial"/>
          <w:sz w:val="24"/>
          <w:szCs w:val="24"/>
        </w:rPr>
      </w:pPr>
      <w:r w:rsidRPr="00FA3F9C">
        <w:rPr>
          <w:rFonts w:ascii="Arial" w:hAnsi="Arial" w:cs="Arial"/>
          <w:sz w:val="24"/>
          <w:szCs w:val="24"/>
        </w:rPr>
        <w:t>EBRx PA Criteria</w:t>
      </w:r>
    </w:p>
    <w:p w14:paraId="572B4490" w14:textId="77777777" w:rsidR="002641D2" w:rsidRPr="00FA3F9C" w:rsidRDefault="002641D2" w:rsidP="006F623F">
      <w:pPr>
        <w:spacing w:after="0"/>
        <w:rPr>
          <w:rFonts w:ascii="Arial" w:hAnsi="Arial" w:cs="Arial"/>
          <w:b/>
          <w:sz w:val="24"/>
          <w:szCs w:val="24"/>
          <w:u w:val="single"/>
        </w:rPr>
      </w:pPr>
    </w:p>
    <w:p w14:paraId="31F21EA2" w14:textId="77777777" w:rsidR="002641D2" w:rsidRPr="00FA3F9C" w:rsidRDefault="002641D2"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relapsing-remitting multiple sclerosis (RRMS), including clinically isolated syndrome, RRMS, and active secondary progressive disease in adults.</w:t>
      </w:r>
    </w:p>
    <w:tbl>
      <w:tblPr>
        <w:tblStyle w:val="TableGrid"/>
        <w:tblW w:w="0" w:type="auto"/>
        <w:tblLook w:val="04A0" w:firstRow="1" w:lastRow="0" w:firstColumn="1" w:lastColumn="0" w:noHBand="0" w:noVBand="1"/>
      </w:tblPr>
      <w:tblGrid>
        <w:gridCol w:w="8928"/>
        <w:gridCol w:w="2088"/>
      </w:tblGrid>
      <w:tr w:rsidR="002641D2" w:rsidRPr="00FA3F9C" w14:paraId="59B8A4D5" w14:textId="77777777" w:rsidTr="00571CAB">
        <w:tc>
          <w:tcPr>
            <w:tcW w:w="8928" w:type="dxa"/>
            <w:shd w:val="clear" w:color="auto" w:fill="000000"/>
          </w:tcPr>
          <w:p w14:paraId="308DE9EB" w14:textId="77777777" w:rsidR="002641D2" w:rsidRPr="00FA3F9C" w:rsidRDefault="002641D2"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88" w:type="dxa"/>
            <w:shd w:val="clear" w:color="auto" w:fill="000000"/>
          </w:tcPr>
          <w:p w14:paraId="4F53B7A2" w14:textId="77777777" w:rsidR="002641D2" w:rsidRPr="00FA3F9C" w:rsidRDefault="002641D2" w:rsidP="006F623F">
            <w:pPr>
              <w:jc w:val="center"/>
              <w:rPr>
                <w:rFonts w:ascii="Arial" w:hAnsi="Arial" w:cs="Arial"/>
                <w:b/>
                <w:sz w:val="24"/>
                <w:szCs w:val="24"/>
                <w:u w:val="single"/>
              </w:rPr>
            </w:pPr>
          </w:p>
        </w:tc>
      </w:tr>
      <w:tr w:rsidR="002641D2" w:rsidRPr="00FA3F9C" w14:paraId="3E55EE82" w14:textId="77777777" w:rsidTr="00F337AE">
        <w:tc>
          <w:tcPr>
            <w:tcW w:w="11016" w:type="dxa"/>
            <w:gridSpan w:val="2"/>
          </w:tcPr>
          <w:p w14:paraId="1B985733" w14:textId="77777777" w:rsidR="002641D2" w:rsidRPr="00FA3F9C" w:rsidRDefault="002641D2" w:rsidP="002641D2">
            <w:pPr>
              <w:pStyle w:val="ListParagraph"/>
              <w:numPr>
                <w:ilvl w:val="0"/>
                <w:numId w:val="275"/>
              </w:numPr>
              <w:rPr>
                <w:rFonts w:ascii="Arial" w:hAnsi="Arial" w:cs="Arial"/>
                <w:sz w:val="24"/>
                <w:szCs w:val="24"/>
              </w:rPr>
            </w:pPr>
            <w:r w:rsidRPr="00FA3F9C">
              <w:rPr>
                <w:rFonts w:ascii="Arial" w:hAnsi="Arial" w:cs="Arial"/>
                <w:sz w:val="24"/>
                <w:szCs w:val="24"/>
              </w:rPr>
              <w:t>The patient must have the diagnosis of RRMS.</w:t>
            </w:r>
          </w:p>
        </w:tc>
      </w:tr>
    </w:tbl>
    <w:p w14:paraId="01ABC6CC" w14:textId="77777777" w:rsidR="002641D2" w:rsidRPr="00FA3F9C" w:rsidRDefault="002641D2" w:rsidP="006F623F">
      <w:pPr>
        <w:spacing w:after="0"/>
        <w:rPr>
          <w:rFonts w:ascii="Arial" w:hAnsi="Arial" w:cs="Arial"/>
          <w:b/>
          <w:sz w:val="24"/>
          <w:szCs w:val="24"/>
          <w:u w:val="single"/>
        </w:rPr>
      </w:pPr>
    </w:p>
    <w:p w14:paraId="35F64438" w14:textId="77777777" w:rsidR="002641D2" w:rsidRPr="00FA3F9C" w:rsidRDefault="002641D2" w:rsidP="006F623F">
      <w:pPr>
        <w:spacing w:after="0"/>
        <w:rPr>
          <w:rFonts w:ascii="Arial" w:hAnsi="Arial" w:cs="Arial"/>
          <w:b/>
          <w:sz w:val="24"/>
          <w:szCs w:val="24"/>
          <w:u w:val="single"/>
        </w:rPr>
      </w:pPr>
    </w:p>
    <w:p w14:paraId="43A3F675" w14:textId="77777777" w:rsidR="002641D2" w:rsidRPr="00FA3F9C" w:rsidRDefault="002641D2" w:rsidP="006F623F">
      <w:pPr>
        <w:spacing w:after="0"/>
        <w:rPr>
          <w:rFonts w:ascii="Arial" w:hAnsi="Arial" w:cs="Arial"/>
          <w:b/>
          <w:sz w:val="24"/>
          <w:szCs w:val="24"/>
          <w:u w:val="single"/>
        </w:rPr>
      </w:pPr>
    </w:p>
    <w:tbl>
      <w:tblPr>
        <w:tblStyle w:val="TableGrid"/>
        <w:tblW w:w="0" w:type="auto"/>
        <w:shd w:val="clear" w:color="auto" w:fill="BFBFBF" w:themeFill="background1" w:themeFillShade="BF"/>
        <w:tblLook w:val="04A0" w:firstRow="1" w:lastRow="0" w:firstColumn="1" w:lastColumn="0" w:noHBand="0" w:noVBand="1"/>
      </w:tblPr>
      <w:tblGrid>
        <w:gridCol w:w="10998"/>
      </w:tblGrid>
      <w:tr w:rsidR="002641D2" w:rsidRPr="00FA3F9C" w14:paraId="08C18683" w14:textId="77777777" w:rsidTr="00D82B6E">
        <w:tc>
          <w:tcPr>
            <w:tcW w:w="10998" w:type="dxa"/>
            <w:shd w:val="clear" w:color="auto" w:fill="BFBFBF" w:themeFill="background1" w:themeFillShade="BF"/>
          </w:tcPr>
          <w:p w14:paraId="0432B662" w14:textId="77777777" w:rsidR="002641D2" w:rsidRPr="00FA3F9C" w:rsidRDefault="002641D2" w:rsidP="00D043DF">
            <w:pPr>
              <w:pStyle w:val="ListParagraph"/>
              <w:ind w:left="0"/>
              <w:rPr>
                <w:rFonts w:ascii="Arial" w:hAnsi="Arial" w:cs="Arial"/>
                <w:sz w:val="24"/>
                <w:szCs w:val="24"/>
              </w:rPr>
            </w:pPr>
            <w:r w:rsidRPr="00FA3F9C">
              <w:rPr>
                <w:rFonts w:ascii="Arial" w:hAnsi="Arial" w:cs="Arial"/>
                <w:sz w:val="24"/>
                <w:szCs w:val="24"/>
              </w:rPr>
              <w:t>Note: Target dose is 0.25mg QOD.</w:t>
            </w:r>
          </w:p>
          <w:p w14:paraId="288B72D8" w14:textId="77777777" w:rsidR="002641D2" w:rsidRPr="00FA3F9C" w:rsidRDefault="002641D2" w:rsidP="00D043DF">
            <w:pPr>
              <w:pStyle w:val="ListParagraph"/>
              <w:ind w:left="0"/>
              <w:rPr>
                <w:rFonts w:ascii="Arial" w:hAnsi="Arial" w:cs="Arial"/>
                <w:sz w:val="24"/>
                <w:szCs w:val="24"/>
              </w:rPr>
            </w:pPr>
            <w:r w:rsidRPr="00FA3F9C">
              <w:rPr>
                <w:rFonts w:ascii="Arial" w:hAnsi="Arial" w:cs="Arial"/>
                <w:sz w:val="24"/>
                <w:szCs w:val="24"/>
              </w:rPr>
              <w:t>Initially:  0.0625 mg QOD; gradually increase dose by 0.0625 mg q2w until target dose is reached, then maintain.</w:t>
            </w:r>
          </w:p>
        </w:tc>
      </w:tr>
    </w:tbl>
    <w:p w14:paraId="0352125B" w14:textId="77777777" w:rsidR="002641D2" w:rsidRPr="00FA3F9C" w:rsidRDefault="002641D2" w:rsidP="006F623F">
      <w:pPr>
        <w:spacing w:after="0"/>
        <w:rPr>
          <w:rFonts w:ascii="Arial" w:hAnsi="Arial" w:cs="Arial"/>
          <w:sz w:val="24"/>
          <w:szCs w:val="24"/>
        </w:rPr>
      </w:pPr>
    </w:p>
    <w:p w14:paraId="7E96DA76" w14:textId="77777777" w:rsidR="002641D2" w:rsidRPr="00FA3F9C" w:rsidRDefault="002641D2" w:rsidP="006F623F">
      <w:pPr>
        <w:spacing w:after="0"/>
        <w:rPr>
          <w:rFonts w:ascii="Arial" w:hAnsi="Arial" w:cs="Arial"/>
          <w:sz w:val="24"/>
          <w:szCs w:val="24"/>
        </w:rPr>
      </w:pPr>
      <w:r w:rsidRPr="00FA3F9C">
        <w:rPr>
          <w:rFonts w:ascii="Arial" w:hAnsi="Arial" w:cs="Arial"/>
          <w:sz w:val="24"/>
          <w:szCs w:val="24"/>
        </w:rPr>
        <w:t xml:space="preserve">Quantity Limits: </w:t>
      </w:r>
    </w:p>
    <w:p w14:paraId="7C47E3EA" w14:textId="77777777" w:rsidR="002641D2" w:rsidRPr="00FA3F9C" w:rsidRDefault="002641D2" w:rsidP="006F623F">
      <w:pPr>
        <w:spacing w:after="0"/>
        <w:rPr>
          <w:rFonts w:ascii="Arial" w:hAnsi="Arial" w:cs="Arial"/>
          <w:sz w:val="24"/>
          <w:szCs w:val="24"/>
        </w:rPr>
      </w:pPr>
    </w:p>
    <w:p w14:paraId="6CFF934C" w14:textId="77777777" w:rsidR="002641D2" w:rsidRPr="00FA3F9C" w:rsidRDefault="002641D2"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017"/>
        <w:gridCol w:w="7470"/>
        <w:gridCol w:w="2538"/>
      </w:tblGrid>
      <w:tr w:rsidR="002641D2" w:rsidRPr="00FA3F9C" w14:paraId="650F797D" w14:textId="77777777" w:rsidTr="00FE491B">
        <w:tc>
          <w:tcPr>
            <w:tcW w:w="1008" w:type="dxa"/>
          </w:tcPr>
          <w:p w14:paraId="23C2BE3A" w14:textId="77777777" w:rsidR="002641D2" w:rsidRPr="00FA3F9C" w:rsidRDefault="002641D2" w:rsidP="006F623F">
            <w:pPr>
              <w:rPr>
                <w:rFonts w:ascii="Arial" w:hAnsi="Arial" w:cs="Arial"/>
                <w:sz w:val="24"/>
                <w:szCs w:val="24"/>
              </w:rPr>
            </w:pPr>
            <w:r w:rsidRPr="00FA3F9C">
              <w:rPr>
                <w:rFonts w:ascii="Arial" w:hAnsi="Arial" w:cs="Arial"/>
                <w:sz w:val="24"/>
                <w:szCs w:val="24"/>
              </w:rPr>
              <w:t>Date</w:t>
            </w:r>
          </w:p>
        </w:tc>
        <w:tc>
          <w:tcPr>
            <w:tcW w:w="7470" w:type="dxa"/>
          </w:tcPr>
          <w:p w14:paraId="0108750A" w14:textId="77777777" w:rsidR="002641D2" w:rsidRPr="00FA3F9C" w:rsidRDefault="002641D2" w:rsidP="006F623F">
            <w:pPr>
              <w:rPr>
                <w:rFonts w:ascii="Arial" w:hAnsi="Arial" w:cs="Arial"/>
                <w:sz w:val="24"/>
                <w:szCs w:val="24"/>
              </w:rPr>
            </w:pPr>
            <w:r w:rsidRPr="00FA3F9C">
              <w:rPr>
                <w:rFonts w:ascii="Arial" w:hAnsi="Arial" w:cs="Arial"/>
                <w:sz w:val="24"/>
                <w:szCs w:val="24"/>
              </w:rPr>
              <w:t>What changed</w:t>
            </w:r>
          </w:p>
        </w:tc>
        <w:tc>
          <w:tcPr>
            <w:tcW w:w="2538" w:type="dxa"/>
          </w:tcPr>
          <w:p w14:paraId="3C7EBC6D" w14:textId="77777777" w:rsidR="002641D2" w:rsidRPr="00FA3F9C" w:rsidRDefault="002641D2" w:rsidP="006F623F">
            <w:pPr>
              <w:rPr>
                <w:rFonts w:ascii="Arial" w:hAnsi="Arial" w:cs="Arial"/>
                <w:sz w:val="24"/>
                <w:szCs w:val="24"/>
              </w:rPr>
            </w:pPr>
            <w:r w:rsidRPr="00FA3F9C">
              <w:rPr>
                <w:rFonts w:ascii="Arial" w:hAnsi="Arial" w:cs="Arial"/>
                <w:sz w:val="24"/>
                <w:szCs w:val="24"/>
              </w:rPr>
              <w:t>Pharmacist’s initials</w:t>
            </w:r>
          </w:p>
        </w:tc>
      </w:tr>
      <w:tr w:rsidR="002641D2" w:rsidRPr="00FA3F9C" w14:paraId="4EE83490" w14:textId="77777777" w:rsidTr="00FE491B">
        <w:tc>
          <w:tcPr>
            <w:tcW w:w="1008" w:type="dxa"/>
          </w:tcPr>
          <w:p w14:paraId="1DB49830" w14:textId="77777777" w:rsidR="002641D2" w:rsidRPr="00FA3F9C" w:rsidRDefault="002641D2" w:rsidP="00D043DF">
            <w:pPr>
              <w:rPr>
                <w:rFonts w:ascii="Arial" w:hAnsi="Arial" w:cs="Arial"/>
                <w:sz w:val="24"/>
                <w:szCs w:val="24"/>
              </w:rPr>
            </w:pPr>
            <w:r w:rsidRPr="00FA3F9C">
              <w:rPr>
                <w:rFonts w:ascii="Arial" w:hAnsi="Arial" w:cs="Arial"/>
                <w:sz w:val="24"/>
                <w:szCs w:val="24"/>
              </w:rPr>
              <w:t>5/20/14</w:t>
            </w:r>
          </w:p>
        </w:tc>
        <w:tc>
          <w:tcPr>
            <w:tcW w:w="7470" w:type="dxa"/>
          </w:tcPr>
          <w:p w14:paraId="343F32DE" w14:textId="77777777" w:rsidR="002641D2" w:rsidRPr="00FA3F9C" w:rsidRDefault="002641D2" w:rsidP="00D043DF">
            <w:pPr>
              <w:rPr>
                <w:rFonts w:ascii="Arial" w:hAnsi="Arial" w:cs="Arial"/>
                <w:sz w:val="24"/>
                <w:szCs w:val="24"/>
              </w:rPr>
            </w:pPr>
            <w:r w:rsidRPr="00FA3F9C">
              <w:rPr>
                <w:rFonts w:ascii="Arial" w:hAnsi="Arial" w:cs="Arial"/>
                <w:sz w:val="24"/>
                <w:szCs w:val="24"/>
              </w:rPr>
              <w:t xml:space="preserve">JJ wrote PA. </w:t>
            </w:r>
          </w:p>
        </w:tc>
        <w:tc>
          <w:tcPr>
            <w:tcW w:w="2538" w:type="dxa"/>
          </w:tcPr>
          <w:p w14:paraId="778F48C9" w14:textId="77777777" w:rsidR="002641D2" w:rsidRPr="00FA3F9C" w:rsidRDefault="002641D2" w:rsidP="00D043DF">
            <w:pPr>
              <w:rPr>
                <w:rFonts w:ascii="Arial" w:hAnsi="Arial" w:cs="Arial"/>
                <w:sz w:val="24"/>
                <w:szCs w:val="24"/>
              </w:rPr>
            </w:pPr>
            <w:r w:rsidRPr="00FA3F9C">
              <w:rPr>
                <w:rFonts w:ascii="Arial" w:hAnsi="Arial" w:cs="Arial"/>
                <w:sz w:val="24"/>
                <w:szCs w:val="24"/>
              </w:rPr>
              <w:t>JJ</w:t>
            </w:r>
          </w:p>
        </w:tc>
      </w:tr>
      <w:tr w:rsidR="002641D2" w:rsidRPr="00FA3F9C" w14:paraId="706588C2" w14:textId="77777777" w:rsidTr="00FE491B">
        <w:tc>
          <w:tcPr>
            <w:tcW w:w="1008" w:type="dxa"/>
          </w:tcPr>
          <w:p w14:paraId="3D3567BB" w14:textId="77777777" w:rsidR="002641D2" w:rsidRPr="00FA3F9C" w:rsidRDefault="002641D2" w:rsidP="00D043DF">
            <w:pPr>
              <w:rPr>
                <w:rFonts w:ascii="Arial" w:hAnsi="Arial" w:cs="Arial"/>
                <w:sz w:val="24"/>
                <w:szCs w:val="24"/>
              </w:rPr>
            </w:pPr>
            <w:r w:rsidRPr="00FA3F9C">
              <w:rPr>
                <w:rFonts w:ascii="Arial" w:hAnsi="Arial" w:cs="Arial"/>
                <w:sz w:val="24"/>
                <w:szCs w:val="24"/>
              </w:rPr>
              <w:t>9/18/19</w:t>
            </w:r>
          </w:p>
        </w:tc>
        <w:tc>
          <w:tcPr>
            <w:tcW w:w="7470" w:type="dxa"/>
          </w:tcPr>
          <w:p w14:paraId="44D94E98" w14:textId="77777777" w:rsidR="002641D2" w:rsidRPr="00FA3F9C" w:rsidRDefault="002641D2" w:rsidP="00D043DF">
            <w:pPr>
              <w:rPr>
                <w:rFonts w:ascii="Arial" w:hAnsi="Arial" w:cs="Arial"/>
                <w:sz w:val="24"/>
                <w:szCs w:val="24"/>
              </w:rPr>
            </w:pPr>
            <w:r w:rsidRPr="00FA3F9C">
              <w:rPr>
                <w:rFonts w:ascii="Arial" w:hAnsi="Arial" w:cs="Arial"/>
                <w:sz w:val="24"/>
                <w:szCs w:val="24"/>
              </w:rPr>
              <w:t>I updated the PA and removed failure of Rebif as a criterium.</w:t>
            </w:r>
          </w:p>
        </w:tc>
        <w:tc>
          <w:tcPr>
            <w:tcW w:w="2538" w:type="dxa"/>
          </w:tcPr>
          <w:p w14:paraId="5FA8F901" w14:textId="77777777" w:rsidR="002641D2" w:rsidRPr="00FA3F9C" w:rsidRDefault="002641D2" w:rsidP="00D043DF">
            <w:pPr>
              <w:rPr>
                <w:rFonts w:ascii="Arial" w:hAnsi="Arial" w:cs="Arial"/>
                <w:sz w:val="24"/>
                <w:szCs w:val="24"/>
              </w:rPr>
            </w:pPr>
            <w:r w:rsidRPr="00FA3F9C">
              <w:rPr>
                <w:rFonts w:ascii="Arial" w:hAnsi="Arial" w:cs="Arial"/>
                <w:sz w:val="24"/>
                <w:szCs w:val="24"/>
              </w:rPr>
              <w:t>JJ</w:t>
            </w:r>
          </w:p>
        </w:tc>
      </w:tr>
      <w:tr w:rsidR="002641D2" w:rsidRPr="00FA3F9C" w14:paraId="0612FE5B" w14:textId="77777777" w:rsidTr="00FE491B">
        <w:tc>
          <w:tcPr>
            <w:tcW w:w="1008" w:type="dxa"/>
          </w:tcPr>
          <w:p w14:paraId="023C5BD0" w14:textId="77777777" w:rsidR="002641D2" w:rsidRPr="00FA3F9C" w:rsidRDefault="002641D2" w:rsidP="00D043DF">
            <w:pPr>
              <w:rPr>
                <w:rFonts w:ascii="Arial" w:hAnsi="Arial" w:cs="Arial"/>
                <w:sz w:val="24"/>
                <w:szCs w:val="24"/>
              </w:rPr>
            </w:pPr>
            <w:r w:rsidRPr="00FA3F9C">
              <w:rPr>
                <w:rFonts w:ascii="Arial" w:hAnsi="Arial" w:cs="Arial"/>
                <w:sz w:val="24"/>
                <w:szCs w:val="24"/>
              </w:rPr>
              <w:lastRenderedPageBreak/>
              <w:t>3/10/21</w:t>
            </w:r>
          </w:p>
        </w:tc>
        <w:tc>
          <w:tcPr>
            <w:tcW w:w="7470" w:type="dxa"/>
          </w:tcPr>
          <w:p w14:paraId="609AEC3D" w14:textId="77777777" w:rsidR="002641D2" w:rsidRPr="00FA3F9C" w:rsidRDefault="002641D2" w:rsidP="00D043DF">
            <w:pPr>
              <w:rPr>
                <w:rFonts w:ascii="Arial" w:hAnsi="Arial" w:cs="Arial"/>
                <w:sz w:val="24"/>
                <w:szCs w:val="24"/>
              </w:rPr>
            </w:pPr>
            <w:r w:rsidRPr="00FA3F9C">
              <w:rPr>
                <w:rFonts w:ascii="Arial" w:hAnsi="Arial" w:cs="Arial"/>
                <w:sz w:val="24"/>
                <w:szCs w:val="24"/>
              </w:rPr>
              <w:t xml:space="preserve">Criteria reviewed.  Added reference 2 from UpToDate.  </w:t>
            </w:r>
            <w:proofErr w:type="spellStart"/>
            <w:r w:rsidRPr="00FA3F9C">
              <w:rPr>
                <w:rFonts w:ascii="Arial" w:hAnsi="Arial" w:cs="Arial"/>
                <w:sz w:val="24"/>
                <w:szCs w:val="24"/>
              </w:rPr>
              <w:t>Betaseron</w:t>
            </w:r>
            <w:proofErr w:type="spellEnd"/>
            <w:r w:rsidRPr="00FA3F9C">
              <w:rPr>
                <w:rFonts w:ascii="Arial" w:hAnsi="Arial" w:cs="Arial"/>
                <w:sz w:val="24"/>
                <w:szCs w:val="24"/>
              </w:rPr>
              <w:t xml:space="preserve"> is consider a “platform” therapy and an older DMT for MS—safe but not as convenient or the most effective.</w:t>
            </w:r>
          </w:p>
        </w:tc>
        <w:tc>
          <w:tcPr>
            <w:tcW w:w="2538" w:type="dxa"/>
          </w:tcPr>
          <w:p w14:paraId="3265CA69" w14:textId="77777777" w:rsidR="002641D2" w:rsidRPr="00FA3F9C" w:rsidRDefault="002641D2" w:rsidP="00D043DF">
            <w:pPr>
              <w:rPr>
                <w:rFonts w:ascii="Arial" w:hAnsi="Arial" w:cs="Arial"/>
                <w:sz w:val="24"/>
                <w:szCs w:val="24"/>
              </w:rPr>
            </w:pPr>
            <w:r w:rsidRPr="00FA3F9C">
              <w:rPr>
                <w:rFonts w:ascii="Arial" w:hAnsi="Arial" w:cs="Arial"/>
                <w:sz w:val="24"/>
                <w:szCs w:val="24"/>
              </w:rPr>
              <w:t>JJ</w:t>
            </w:r>
          </w:p>
        </w:tc>
      </w:tr>
      <w:tr w:rsidR="002641D2" w:rsidRPr="00FA3F9C" w14:paraId="087EA9CD" w14:textId="77777777" w:rsidTr="00FE491B">
        <w:tc>
          <w:tcPr>
            <w:tcW w:w="1008" w:type="dxa"/>
          </w:tcPr>
          <w:p w14:paraId="21B4A53A" w14:textId="77777777" w:rsidR="002641D2" w:rsidRPr="00FA3F9C" w:rsidRDefault="002641D2" w:rsidP="00D043DF">
            <w:pPr>
              <w:rPr>
                <w:rFonts w:ascii="Arial" w:hAnsi="Arial" w:cs="Arial"/>
                <w:sz w:val="24"/>
                <w:szCs w:val="24"/>
              </w:rPr>
            </w:pPr>
            <w:r w:rsidRPr="00FA3F9C">
              <w:rPr>
                <w:rFonts w:ascii="Arial" w:hAnsi="Arial" w:cs="Arial"/>
                <w:sz w:val="24"/>
                <w:szCs w:val="24"/>
              </w:rPr>
              <w:t>4/7/21</w:t>
            </w:r>
          </w:p>
        </w:tc>
        <w:tc>
          <w:tcPr>
            <w:tcW w:w="7470" w:type="dxa"/>
          </w:tcPr>
          <w:p w14:paraId="2A337671" w14:textId="77777777" w:rsidR="002641D2" w:rsidRPr="00FA3F9C" w:rsidRDefault="002641D2" w:rsidP="00D043DF">
            <w:pPr>
              <w:rPr>
                <w:rFonts w:ascii="Arial" w:hAnsi="Arial" w:cs="Arial"/>
                <w:sz w:val="24"/>
                <w:szCs w:val="24"/>
              </w:rPr>
            </w:pPr>
            <w:r w:rsidRPr="00FA3F9C">
              <w:rPr>
                <w:rFonts w:ascii="Arial" w:hAnsi="Arial" w:cs="Arial"/>
                <w:sz w:val="24"/>
                <w:szCs w:val="24"/>
              </w:rPr>
              <w:t>Applied EBRx criteria to UAS plan.</w:t>
            </w:r>
          </w:p>
        </w:tc>
        <w:tc>
          <w:tcPr>
            <w:tcW w:w="2538" w:type="dxa"/>
          </w:tcPr>
          <w:p w14:paraId="135394C3" w14:textId="77777777" w:rsidR="002641D2" w:rsidRPr="00FA3F9C" w:rsidRDefault="002641D2" w:rsidP="00D043DF">
            <w:pPr>
              <w:rPr>
                <w:rFonts w:ascii="Arial" w:hAnsi="Arial" w:cs="Arial"/>
                <w:sz w:val="24"/>
                <w:szCs w:val="24"/>
              </w:rPr>
            </w:pPr>
            <w:r w:rsidRPr="00FA3F9C">
              <w:rPr>
                <w:rFonts w:ascii="Arial" w:hAnsi="Arial" w:cs="Arial"/>
                <w:sz w:val="24"/>
                <w:szCs w:val="24"/>
              </w:rPr>
              <w:t>JJ</w:t>
            </w:r>
          </w:p>
        </w:tc>
      </w:tr>
    </w:tbl>
    <w:p w14:paraId="7E44D058" w14:textId="77777777" w:rsidR="002641D2" w:rsidRPr="00FA3F9C" w:rsidRDefault="002641D2" w:rsidP="006F623F">
      <w:pPr>
        <w:spacing w:after="0"/>
        <w:rPr>
          <w:rFonts w:ascii="Arial" w:hAnsi="Arial" w:cs="Arial"/>
          <w:sz w:val="24"/>
          <w:szCs w:val="24"/>
        </w:rPr>
      </w:pPr>
    </w:p>
    <w:p w14:paraId="30F9CCFC" w14:textId="77777777" w:rsidR="002641D2" w:rsidRPr="00FA3F9C" w:rsidRDefault="002641D2" w:rsidP="006F623F">
      <w:pPr>
        <w:spacing w:after="0"/>
        <w:rPr>
          <w:rFonts w:ascii="Arial" w:hAnsi="Arial" w:cs="Arial"/>
          <w:sz w:val="24"/>
          <w:szCs w:val="24"/>
        </w:rPr>
      </w:pPr>
      <w:r w:rsidRPr="00FA3F9C">
        <w:rPr>
          <w:rFonts w:ascii="Arial" w:hAnsi="Arial" w:cs="Arial"/>
          <w:sz w:val="24"/>
          <w:szCs w:val="24"/>
        </w:rPr>
        <w:t>References:</w:t>
      </w:r>
    </w:p>
    <w:p w14:paraId="7A39B3B0" w14:textId="77777777" w:rsidR="002641D2" w:rsidRPr="00FA3F9C" w:rsidRDefault="002641D2" w:rsidP="002641D2">
      <w:pPr>
        <w:pStyle w:val="ListParagraph"/>
        <w:numPr>
          <w:ilvl w:val="0"/>
          <w:numId w:val="227"/>
        </w:numPr>
        <w:spacing w:after="200" w:line="276" w:lineRule="auto"/>
        <w:ind w:left="360"/>
        <w:rPr>
          <w:rFonts w:ascii="Arial" w:eastAsia="Times New Roman" w:hAnsi="Arial" w:cs="Arial"/>
          <w:sz w:val="24"/>
          <w:szCs w:val="24"/>
        </w:rPr>
      </w:pPr>
      <w:r w:rsidRPr="00FA3F9C">
        <w:rPr>
          <w:rFonts w:ascii="Arial" w:hAnsi="Arial" w:cs="Arial"/>
          <w:sz w:val="24"/>
          <w:szCs w:val="24"/>
        </w:rPr>
        <w:t xml:space="preserve">AAN.  Practice Guideline: Disease-modifying Therapies for Adults with multiple sclerosis.  American Academy of Neurology 4/24/2018. </w:t>
      </w:r>
      <w:hyperlink r:id="rId247" w:history="1">
        <w:r w:rsidRPr="00FA3F9C">
          <w:rPr>
            <w:rFonts w:ascii="Arial" w:eastAsia="Times New Roman" w:hAnsi="Arial" w:cs="Arial"/>
            <w:color w:val="0000FF"/>
            <w:sz w:val="24"/>
            <w:szCs w:val="24"/>
            <w:u w:val="single"/>
          </w:rPr>
          <w:t>https://www.aan.com/Guidelines/Home/GetGuidelineContent/900</w:t>
        </w:r>
      </w:hyperlink>
    </w:p>
    <w:p w14:paraId="12AF6678" w14:textId="77777777" w:rsidR="002641D2" w:rsidRPr="00FA3F9C" w:rsidRDefault="002641D2" w:rsidP="002641D2">
      <w:pPr>
        <w:pStyle w:val="ListParagraph"/>
        <w:numPr>
          <w:ilvl w:val="0"/>
          <w:numId w:val="227"/>
        </w:numPr>
        <w:spacing w:after="200" w:line="276" w:lineRule="auto"/>
        <w:ind w:left="360"/>
        <w:rPr>
          <w:rFonts w:ascii="Arial" w:eastAsia="Times New Roman" w:hAnsi="Arial" w:cs="Arial"/>
          <w:sz w:val="24"/>
          <w:szCs w:val="24"/>
        </w:rPr>
      </w:pPr>
      <w:r w:rsidRPr="00FA3F9C">
        <w:rPr>
          <w:rFonts w:ascii="Arial" w:eastAsia="Times New Roman" w:hAnsi="Arial" w:cs="Arial"/>
          <w:sz w:val="24"/>
          <w:szCs w:val="24"/>
        </w:rPr>
        <w:t>https://www-uptodate-com.libproxy.uams.edu/contents/initial-disease-modifying-therapy-for-relapsing-remitting-multiple-sclerosis-in-adults?search=rrms&amp;source=search_result&amp;selectedTitle=1~53&amp;usage_type=default&amp;display_rank=1#H2655330359</w:t>
      </w:r>
    </w:p>
    <w:p w14:paraId="6DFAC310" w14:textId="77777777" w:rsidR="002641D2" w:rsidRPr="00FA3F9C" w:rsidRDefault="002641D2" w:rsidP="006F623F">
      <w:pPr>
        <w:spacing w:after="0"/>
        <w:rPr>
          <w:rFonts w:ascii="Arial" w:hAnsi="Arial" w:cs="Arial"/>
          <w:sz w:val="24"/>
          <w:szCs w:val="24"/>
        </w:rPr>
      </w:pPr>
    </w:p>
    <w:p w14:paraId="44802184" w14:textId="77777777" w:rsidR="002641D2" w:rsidRPr="00FA3F9C" w:rsidRDefault="002641D2" w:rsidP="002A1632">
      <w:pPr>
        <w:pStyle w:val="Heading2"/>
      </w:pPr>
      <w:bookmarkStart w:id="148" w:name="_Toc106369830"/>
      <w:r w:rsidRPr="00FA3F9C">
        <w:t>Ipilimumab (</w:t>
      </w:r>
      <w:proofErr w:type="spellStart"/>
      <w:r w:rsidRPr="00FA3F9C">
        <w:t>Yervoy</w:t>
      </w:r>
      <w:proofErr w:type="spellEnd"/>
      <w:r w:rsidRPr="00FA3F9C">
        <w:t>)</w:t>
      </w:r>
      <w:bookmarkEnd w:id="148"/>
    </w:p>
    <w:p w14:paraId="029291C2" w14:textId="77777777" w:rsidR="002641D2" w:rsidRPr="00FA3F9C" w:rsidRDefault="002641D2" w:rsidP="006F623F">
      <w:pPr>
        <w:spacing w:after="0"/>
        <w:jc w:val="center"/>
        <w:rPr>
          <w:rFonts w:ascii="Arial" w:hAnsi="Arial" w:cs="Arial"/>
          <w:sz w:val="24"/>
          <w:szCs w:val="24"/>
        </w:rPr>
      </w:pPr>
      <w:r w:rsidRPr="00FA3F9C">
        <w:rPr>
          <w:rFonts w:ascii="Arial" w:hAnsi="Arial" w:cs="Arial"/>
          <w:sz w:val="24"/>
          <w:szCs w:val="24"/>
        </w:rPr>
        <w:t>50 mg and 200 mg vials</w:t>
      </w:r>
    </w:p>
    <w:p w14:paraId="4BEE79EC" w14:textId="77777777" w:rsidR="002641D2" w:rsidRPr="00FA3F9C" w:rsidRDefault="002641D2" w:rsidP="006F623F">
      <w:pPr>
        <w:spacing w:after="0"/>
        <w:jc w:val="center"/>
        <w:rPr>
          <w:rFonts w:ascii="Arial" w:hAnsi="Arial" w:cs="Arial"/>
          <w:sz w:val="24"/>
          <w:szCs w:val="24"/>
        </w:rPr>
      </w:pPr>
      <w:r w:rsidRPr="00FA3F9C">
        <w:rPr>
          <w:rFonts w:ascii="Arial" w:hAnsi="Arial" w:cs="Arial"/>
          <w:sz w:val="24"/>
          <w:szCs w:val="24"/>
        </w:rPr>
        <w:t>EBRx PA Criteria</w:t>
      </w:r>
    </w:p>
    <w:p w14:paraId="16C8204A" w14:textId="77777777" w:rsidR="002641D2" w:rsidRPr="00FA3F9C" w:rsidRDefault="002641D2" w:rsidP="006F623F">
      <w:pPr>
        <w:spacing w:after="0"/>
        <w:rPr>
          <w:rFonts w:ascii="Arial" w:hAnsi="Arial" w:cs="Arial"/>
          <w:sz w:val="24"/>
          <w:szCs w:val="24"/>
        </w:rPr>
      </w:pPr>
      <w:r w:rsidRPr="00FA3F9C">
        <w:rPr>
          <w:rFonts w:ascii="Arial" w:hAnsi="Arial" w:cs="Arial"/>
          <w:b/>
          <w:sz w:val="24"/>
          <w:szCs w:val="24"/>
          <w:u w:val="single"/>
        </w:rPr>
        <w:t>FDA-approved for:</w:t>
      </w:r>
      <w:r w:rsidRPr="00FA3F9C">
        <w:rPr>
          <w:rFonts w:ascii="Arial" w:hAnsi="Arial" w:cs="Arial"/>
          <w:sz w:val="24"/>
          <w:szCs w:val="24"/>
        </w:rPr>
        <w:t xml:space="preserve">  </w:t>
      </w:r>
    </w:p>
    <w:p w14:paraId="168B814A" w14:textId="77777777" w:rsidR="002641D2" w:rsidRPr="00FA3F9C" w:rsidRDefault="002641D2" w:rsidP="002641D2">
      <w:pPr>
        <w:numPr>
          <w:ilvl w:val="0"/>
          <w:numId w:val="277"/>
        </w:numPr>
        <w:spacing w:after="0" w:line="240" w:lineRule="auto"/>
        <w:rPr>
          <w:rFonts w:ascii="Arial" w:hAnsi="Arial" w:cs="Arial"/>
          <w:b/>
          <w:sz w:val="24"/>
          <w:szCs w:val="24"/>
          <w:u w:val="single"/>
        </w:rPr>
      </w:pPr>
      <w:r w:rsidRPr="00FA3F9C">
        <w:rPr>
          <w:rFonts w:ascii="Arial" w:hAnsi="Arial" w:cs="Arial"/>
          <w:b/>
          <w:sz w:val="24"/>
          <w:szCs w:val="24"/>
          <w:u w:val="single"/>
        </w:rPr>
        <w:t>Melanoma</w:t>
      </w:r>
    </w:p>
    <w:p w14:paraId="00EBB586" w14:textId="77777777" w:rsidR="002641D2" w:rsidRPr="00FA3F9C" w:rsidRDefault="002641D2" w:rsidP="002641D2">
      <w:pPr>
        <w:numPr>
          <w:ilvl w:val="1"/>
          <w:numId w:val="277"/>
        </w:numPr>
        <w:spacing w:after="0" w:line="240" w:lineRule="auto"/>
        <w:rPr>
          <w:rFonts w:ascii="Arial" w:hAnsi="Arial" w:cs="Arial"/>
          <w:b/>
          <w:sz w:val="24"/>
          <w:szCs w:val="24"/>
          <w:u w:val="single"/>
        </w:rPr>
      </w:pPr>
      <w:r w:rsidRPr="00FA3F9C">
        <w:rPr>
          <w:rFonts w:ascii="Arial" w:hAnsi="Arial" w:cs="Arial"/>
          <w:sz w:val="24"/>
          <w:szCs w:val="24"/>
        </w:rPr>
        <w:t>Unresectable or metastatic melanoma in adults and pediatric patients (12 years and older)</w:t>
      </w:r>
    </w:p>
    <w:p w14:paraId="6D9F8DA6" w14:textId="77777777" w:rsidR="002641D2" w:rsidRPr="00FA3F9C" w:rsidRDefault="002641D2" w:rsidP="002641D2">
      <w:pPr>
        <w:numPr>
          <w:ilvl w:val="1"/>
          <w:numId w:val="277"/>
        </w:numPr>
        <w:spacing w:after="0" w:line="240" w:lineRule="auto"/>
        <w:rPr>
          <w:rFonts w:ascii="Arial" w:hAnsi="Arial" w:cs="Arial"/>
          <w:b/>
          <w:sz w:val="24"/>
          <w:szCs w:val="24"/>
          <w:u w:val="single"/>
        </w:rPr>
      </w:pPr>
      <w:r w:rsidRPr="00FA3F9C">
        <w:rPr>
          <w:rFonts w:ascii="Arial" w:hAnsi="Arial" w:cs="Arial"/>
          <w:sz w:val="24"/>
          <w:szCs w:val="24"/>
        </w:rPr>
        <w:t>Treatment of adult patients with unresectable or metastatic melanoma, in combination with nivolumab</w:t>
      </w:r>
    </w:p>
    <w:p w14:paraId="1D0A0D72" w14:textId="77777777" w:rsidR="002641D2" w:rsidRPr="00FA3F9C" w:rsidRDefault="002641D2" w:rsidP="002641D2">
      <w:pPr>
        <w:numPr>
          <w:ilvl w:val="1"/>
          <w:numId w:val="277"/>
        </w:numPr>
        <w:spacing w:after="0" w:line="240" w:lineRule="auto"/>
        <w:rPr>
          <w:rFonts w:ascii="Arial" w:hAnsi="Arial" w:cs="Arial"/>
          <w:b/>
          <w:sz w:val="24"/>
          <w:szCs w:val="24"/>
          <w:u w:val="single"/>
        </w:rPr>
      </w:pPr>
      <w:r w:rsidRPr="00FA3F9C">
        <w:rPr>
          <w:rFonts w:ascii="Arial" w:hAnsi="Arial" w:cs="Arial"/>
          <w:sz w:val="24"/>
          <w:szCs w:val="24"/>
        </w:rPr>
        <w:t>Adjuvant treatment of patients with cutaneous melanoma with pathologic involvement of regional lymph nodes of more than 1 mm who have undergone complete resection, including total lymphadenectomy</w:t>
      </w:r>
    </w:p>
    <w:p w14:paraId="25B2A243" w14:textId="77777777" w:rsidR="002641D2" w:rsidRPr="00FA3F9C" w:rsidRDefault="002641D2" w:rsidP="002641D2">
      <w:pPr>
        <w:numPr>
          <w:ilvl w:val="0"/>
          <w:numId w:val="276"/>
        </w:numPr>
        <w:spacing w:after="0" w:line="240" w:lineRule="auto"/>
        <w:rPr>
          <w:rFonts w:ascii="Arial" w:hAnsi="Arial" w:cs="Arial"/>
          <w:b/>
          <w:sz w:val="24"/>
          <w:szCs w:val="24"/>
          <w:u w:val="single"/>
        </w:rPr>
      </w:pPr>
      <w:r w:rsidRPr="00FA3F9C">
        <w:rPr>
          <w:rFonts w:ascii="Arial" w:hAnsi="Arial" w:cs="Arial"/>
          <w:b/>
          <w:sz w:val="24"/>
          <w:szCs w:val="24"/>
          <w:u w:val="single"/>
        </w:rPr>
        <w:t>Renal Cell Carcinoma (RCC)</w:t>
      </w:r>
    </w:p>
    <w:p w14:paraId="5107A1A1" w14:textId="77777777" w:rsidR="002641D2" w:rsidRPr="00FA3F9C" w:rsidRDefault="002641D2" w:rsidP="002641D2">
      <w:pPr>
        <w:numPr>
          <w:ilvl w:val="1"/>
          <w:numId w:val="276"/>
        </w:numPr>
        <w:spacing w:after="0" w:line="240" w:lineRule="auto"/>
        <w:rPr>
          <w:rFonts w:ascii="Arial" w:hAnsi="Arial" w:cs="Arial"/>
          <w:sz w:val="24"/>
          <w:szCs w:val="24"/>
        </w:rPr>
      </w:pPr>
      <w:r w:rsidRPr="00FA3F9C">
        <w:rPr>
          <w:rFonts w:ascii="Arial" w:hAnsi="Arial" w:cs="Arial"/>
          <w:sz w:val="24"/>
          <w:szCs w:val="24"/>
        </w:rPr>
        <w:t>Intermediate or poor risk advanced RCC, as first line treatment with nivolumab</w:t>
      </w:r>
    </w:p>
    <w:p w14:paraId="2CD08DA8" w14:textId="77777777" w:rsidR="002641D2" w:rsidRPr="00FA3F9C" w:rsidRDefault="002641D2" w:rsidP="002641D2">
      <w:pPr>
        <w:numPr>
          <w:ilvl w:val="0"/>
          <w:numId w:val="278"/>
        </w:numPr>
        <w:spacing w:after="0" w:line="240" w:lineRule="auto"/>
        <w:rPr>
          <w:rFonts w:ascii="Arial" w:hAnsi="Arial" w:cs="Arial"/>
          <w:sz w:val="24"/>
          <w:szCs w:val="24"/>
        </w:rPr>
      </w:pPr>
      <w:r w:rsidRPr="00FA3F9C">
        <w:rPr>
          <w:rFonts w:ascii="Arial" w:hAnsi="Arial" w:cs="Arial"/>
          <w:b/>
          <w:sz w:val="24"/>
          <w:szCs w:val="24"/>
          <w:u w:val="single"/>
        </w:rPr>
        <w:t>Colorectal cancer</w:t>
      </w:r>
    </w:p>
    <w:p w14:paraId="57D73CA6" w14:textId="77777777" w:rsidR="002641D2" w:rsidRPr="00FA3F9C" w:rsidRDefault="002641D2" w:rsidP="002641D2">
      <w:pPr>
        <w:numPr>
          <w:ilvl w:val="1"/>
          <w:numId w:val="278"/>
        </w:numPr>
        <w:spacing w:after="0" w:line="276" w:lineRule="auto"/>
        <w:rPr>
          <w:rFonts w:ascii="Arial" w:hAnsi="Arial" w:cs="Arial"/>
          <w:b/>
          <w:sz w:val="24"/>
          <w:szCs w:val="24"/>
          <w:u w:val="single"/>
        </w:rPr>
      </w:pPr>
      <w:r w:rsidRPr="00FA3F9C">
        <w:rPr>
          <w:rFonts w:ascii="Arial" w:hAnsi="Arial" w:cs="Arial"/>
          <w:sz w:val="24"/>
          <w:szCs w:val="24"/>
        </w:rPr>
        <w:t>in combination with nivolumab: adult and pediatric (age 12 and older) patients with microsatellite instability-high (MSI-H) or mismatch repair deficient (</w:t>
      </w:r>
      <w:proofErr w:type="spellStart"/>
      <w:r w:rsidRPr="00FA3F9C">
        <w:rPr>
          <w:rFonts w:ascii="Arial" w:hAnsi="Arial" w:cs="Arial"/>
          <w:sz w:val="24"/>
          <w:szCs w:val="24"/>
        </w:rPr>
        <w:t>dMMR</w:t>
      </w:r>
      <w:proofErr w:type="spellEnd"/>
      <w:r w:rsidRPr="00FA3F9C">
        <w:rPr>
          <w:rFonts w:ascii="Arial" w:hAnsi="Arial" w:cs="Arial"/>
          <w:sz w:val="24"/>
          <w:szCs w:val="24"/>
        </w:rPr>
        <w:t xml:space="preserve">) metastatic colorectal cancer that has progressed following treatment with a fluoropyrimidine, oxaliplatin, and </w:t>
      </w:r>
      <w:proofErr w:type="spellStart"/>
      <w:r w:rsidRPr="00FA3F9C">
        <w:rPr>
          <w:rFonts w:ascii="Arial" w:hAnsi="Arial" w:cs="Arial"/>
          <w:sz w:val="24"/>
          <w:szCs w:val="24"/>
        </w:rPr>
        <w:t>irinotecan</w:t>
      </w:r>
      <w:r w:rsidRPr="00FA3F9C">
        <w:rPr>
          <w:rFonts w:ascii="Arial" w:hAnsi="Arial" w:cs="Arial"/>
          <w:sz w:val="24"/>
          <w:szCs w:val="24"/>
          <w:vertAlign w:val="superscript"/>
        </w:rPr>
        <w:t>a</w:t>
      </w:r>
      <w:proofErr w:type="spellEnd"/>
      <w:r w:rsidRPr="00FA3F9C">
        <w:rPr>
          <w:rFonts w:ascii="Arial" w:hAnsi="Arial" w:cs="Arial"/>
          <w:sz w:val="24"/>
          <w:szCs w:val="24"/>
        </w:rPr>
        <w:t xml:space="preserve"> </w:t>
      </w:r>
      <w:r w:rsidRPr="00FA3F9C">
        <w:rPr>
          <w:rFonts w:ascii="Arial" w:hAnsi="Arial" w:cs="Arial"/>
          <w:sz w:val="24"/>
          <w:szCs w:val="24"/>
          <w:highlight w:val="yellow"/>
        </w:rPr>
        <w:t>NOT COVERED</w:t>
      </w:r>
      <w:r w:rsidRPr="00FA3F9C">
        <w:rPr>
          <w:rFonts w:ascii="Arial" w:hAnsi="Arial" w:cs="Arial"/>
          <w:sz w:val="24"/>
          <w:szCs w:val="24"/>
        </w:rPr>
        <w:t xml:space="preserve">: data is limited to a single arm trial </w:t>
      </w:r>
    </w:p>
    <w:p w14:paraId="773E853E" w14:textId="77777777" w:rsidR="002641D2" w:rsidRPr="00FA3F9C" w:rsidRDefault="002641D2" w:rsidP="002641D2">
      <w:pPr>
        <w:numPr>
          <w:ilvl w:val="0"/>
          <w:numId w:val="278"/>
        </w:numPr>
        <w:spacing w:after="0" w:line="276" w:lineRule="auto"/>
        <w:rPr>
          <w:rFonts w:ascii="Arial" w:hAnsi="Arial" w:cs="Arial"/>
          <w:b/>
          <w:sz w:val="24"/>
          <w:szCs w:val="24"/>
          <w:u w:val="single"/>
        </w:rPr>
      </w:pPr>
      <w:r w:rsidRPr="00FA3F9C">
        <w:rPr>
          <w:rFonts w:ascii="Arial" w:hAnsi="Arial" w:cs="Arial"/>
          <w:b/>
          <w:sz w:val="24"/>
          <w:szCs w:val="24"/>
          <w:u w:val="single"/>
        </w:rPr>
        <w:t>Hepatocellular Carcinoma (HCC)</w:t>
      </w:r>
    </w:p>
    <w:p w14:paraId="348A8CAB" w14:textId="77777777" w:rsidR="002641D2" w:rsidRPr="00FA3F9C" w:rsidRDefault="002641D2" w:rsidP="002641D2">
      <w:pPr>
        <w:numPr>
          <w:ilvl w:val="1"/>
          <w:numId w:val="278"/>
        </w:numPr>
        <w:spacing w:after="0" w:line="276" w:lineRule="auto"/>
        <w:rPr>
          <w:rFonts w:ascii="Arial" w:hAnsi="Arial" w:cs="Arial"/>
          <w:b/>
          <w:sz w:val="24"/>
          <w:szCs w:val="24"/>
          <w:u w:val="single"/>
        </w:rPr>
      </w:pPr>
      <w:r w:rsidRPr="00FA3F9C">
        <w:rPr>
          <w:rFonts w:ascii="Arial" w:hAnsi="Arial" w:cs="Arial"/>
          <w:sz w:val="24"/>
          <w:szCs w:val="24"/>
        </w:rPr>
        <w:t xml:space="preserve">Treatment of patients with hepatocellular carcinoma who have been previously treated with sorafenib, in combination with </w:t>
      </w:r>
      <w:proofErr w:type="spellStart"/>
      <w:r w:rsidRPr="00FA3F9C">
        <w:rPr>
          <w:rFonts w:ascii="Arial" w:hAnsi="Arial" w:cs="Arial"/>
          <w:sz w:val="24"/>
          <w:szCs w:val="24"/>
        </w:rPr>
        <w:t>nivolumab.</w:t>
      </w:r>
      <w:r w:rsidRPr="00FA3F9C">
        <w:rPr>
          <w:rFonts w:ascii="Arial" w:hAnsi="Arial" w:cs="Arial"/>
          <w:sz w:val="24"/>
          <w:szCs w:val="24"/>
          <w:vertAlign w:val="superscript"/>
        </w:rPr>
        <w:t>a</w:t>
      </w:r>
      <w:proofErr w:type="spellEnd"/>
      <w:r w:rsidRPr="00FA3F9C">
        <w:rPr>
          <w:rFonts w:ascii="Arial" w:hAnsi="Arial" w:cs="Arial"/>
          <w:sz w:val="24"/>
          <w:szCs w:val="24"/>
        </w:rPr>
        <w:t xml:space="preserve"> </w:t>
      </w:r>
      <w:r w:rsidRPr="00FA3F9C">
        <w:rPr>
          <w:rFonts w:ascii="Arial" w:hAnsi="Arial" w:cs="Arial"/>
          <w:sz w:val="24"/>
          <w:szCs w:val="24"/>
          <w:highlight w:val="yellow"/>
        </w:rPr>
        <w:t>NOT COVERED</w:t>
      </w:r>
      <w:r w:rsidRPr="00FA3F9C">
        <w:rPr>
          <w:rFonts w:ascii="Arial" w:hAnsi="Arial" w:cs="Arial"/>
          <w:sz w:val="24"/>
          <w:szCs w:val="24"/>
        </w:rPr>
        <w:t>:</w:t>
      </w:r>
    </w:p>
    <w:p w14:paraId="42433A63" w14:textId="77777777" w:rsidR="002641D2" w:rsidRPr="00FA3F9C" w:rsidRDefault="002641D2" w:rsidP="002641D2">
      <w:pPr>
        <w:numPr>
          <w:ilvl w:val="1"/>
          <w:numId w:val="278"/>
        </w:numPr>
        <w:spacing w:after="0" w:line="240" w:lineRule="auto"/>
        <w:rPr>
          <w:rFonts w:ascii="Arial" w:hAnsi="Arial" w:cs="Arial"/>
          <w:b/>
          <w:sz w:val="24"/>
          <w:szCs w:val="24"/>
          <w:u w:val="single"/>
        </w:rPr>
      </w:pPr>
      <w:r w:rsidRPr="00FA3F9C">
        <w:rPr>
          <w:rFonts w:ascii="Arial" w:hAnsi="Arial" w:cs="Arial"/>
          <w:sz w:val="24"/>
          <w:szCs w:val="24"/>
        </w:rPr>
        <w:lastRenderedPageBreak/>
        <w:t xml:space="preserve">NCT01658878 compared different regimens of nivolumab/ipilimumab in patients with HCC who had been treated previously with sorafenib. Overall survival was promising with one regimen (which is now FDA approved), but no comparative trials have shown it to be superior to other therapies or placebo. </w:t>
      </w:r>
    </w:p>
    <w:p w14:paraId="2823BFA2" w14:textId="77777777" w:rsidR="002641D2" w:rsidRPr="00FA3F9C" w:rsidRDefault="002641D2" w:rsidP="00B45B8A">
      <w:pPr>
        <w:spacing w:after="0" w:line="240" w:lineRule="auto"/>
        <w:ind w:left="1080"/>
        <w:rPr>
          <w:rFonts w:ascii="Arial" w:hAnsi="Arial" w:cs="Arial"/>
          <w:b/>
          <w:sz w:val="24"/>
          <w:szCs w:val="24"/>
          <w:u w:val="single"/>
        </w:rPr>
      </w:pPr>
      <w:proofErr w:type="gramStart"/>
      <w:r w:rsidRPr="00FA3F9C">
        <w:rPr>
          <w:rFonts w:ascii="Arial" w:hAnsi="Arial" w:cs="Arial"/>
          <w:sz w:val="24"/>
          <w:szCs w:val="24"/>
          <w:lang w:val="fr-FR"/>
        </w:rPr>
        <w:t>Reference:</w:t>
      </w:r>
      <w:proofErr w:type="gramEnd"/>
      <w:r w:rsidRPr="00FA3F9C">
        <w:rPr>
          <w:rFonts w:ascii="Arial" w:hAnsi="Arial" w:cs="Arial"/>
          <w:sz w:val="24"/>
          <w:szCs w:val="24"/>
          <w:lang w:val="fr-FR"/>
        </w:rPr>
        <w:t xml:space="preserve"> </w:t>
      </w:r>
      <w:proofErr w:type="spellStart"/>
      <w:r w:rsidRPr="00FA3F9C">
        <w:rPr>
          <w:rFonts w:ascii="Arial" w:hAnsi="Arial" w:cs="Arial"/>
          <w:sz w:val="24"/>
          <w:szCs w:val="24"/>
          <w:lang w:val="fr-FR"/>
        </w:rPr>
        <w:t>Yau</w:t>
      </w:r>
      <w:proofErr w:type="spellEnd"/>
      <w:r w:rsidRPr="00FA3F9C">
        <w:rPr>
          <w:rFonts w:ascii="Arial" w:hAnsi="Arial" w:cs="Arial"/>
          <w:sz w:val="24"/>
          <w:szCs w:val="24"/>
          <w:lang w:val="fr-FR"/>
        </w:rPr>
        <w:t xml:space="preserve"> T, Kang YK, Kim TY, et al. </w:t>
      </w:r>
      <w:r w:rsidRPr="00FA3F9C">
        <w:rPr>
          <w:rFonts w:ascii="Arial" w:hAnsi="Arial" w:cs="Arial"/>
          <w:sz w:val="24"/>
          <w:szCs w:val="24"/>
        </w:rPr>
        <w:t xml:space="preserve">Efficacy and Safety of Nivolumab Plus Ipilimumab in Patients </w:t>
      </w:r>
      <w:proofErr w:type="gramStart"/>
      <w:r w:rsidRPr="00FA3F9C">
        <w:rPr>
          <w:rFonts w:ascii="Arial" w:hAnsi="Arial" w:cs="Arial"/>
          <w:sz w:val="24"/>
          <w:szCs w:val="24"/>
        </w:rPr>
        <w:t>With</w:t>
      </w:r>
      <w:proofErr w:type="gramEnd"/>
      <w:r w:rsidRPr="00FA3F9C">
        <w:rPr>
          <w:rFonts w:ascii="Arial" w:hAnsi="Arial" w:cs="Arial"/>
          <w:sz w:val="24"/>
          <w:szCs w:val="24"/>
        </w:rPr>
        <w:t xml:space="preserve"> Advanced Hepatocellular Carcinoma Previously Treated With Sorafenib: The </w:t>
      </w:r>
      <w:proofErr w:type="spellStart"/>
      <w:r w:rsidRPr="00FA3F9C">
        <w:rPr>
          <w:rFonts w:ascii="Arial" w:hAnsi="Arial" w:cs="Arial"/>
          <w:sz w:val="24"/>
          <w:szCs w:val="24"/>
        </w:rPr>
        <w:t>CheckMate</w:t>
      </w:r>
      <w:proofErr w:type="spellEnd"/>
      <w:r w:rsidRPr="00FA3F9C">
        <w:rPr>
          <w:rFonts w:ascii="Arial" w:hAnsi="Arial" w:cs="Arial"/>
          <w:sz w:val="24"/>
          <w:szCs w:val="24"/>
        </w:rPr>
        <w:t xml:space="preserve"> 040 Randomized Clinical Trial [published correction appears in JAMA Oncol. 2021 Jan 1;7(1):140]. JAMA Oncol. 2020;6(11):e204564. doi:10.1001/jamaoncol.2020.4564</w:t>
      </w:r>
    </w:p>
    <w:p w14:paraId="7E7B7141" w14:textId="77777777" w:rsidR="002641D2" w:rsidRPr="00FA3F9C" w:rsidRDefault="002641D2" w:rsidP="002641D2">
      <w:pPr>
        <w:numPr>
          <w:ilvl w:val="0"/>
          <w:numId w:val="278"/>
        </w:numPr>
        <w:spacing w:after="0" w:line="276" w:lineRule="auto"/>
        <w:rPr>
          <w:rFonts w:ascii="Arial" w:hAnsi="Arial" w:cs="Arial"/>
          <w:b/>
          <w:sz w:val="24"/>
          <w:szCs w:val="24"/>
          <w:u w:val="single"/>
        </w:rPr>
      </w:pPr>
      <w:r w:rsidRPr="00FA3F9C">
        <w:rPr>
          <w:rFonts w:ascii="Arial" w:hAnsi="Arial" w:cs="Arial"/>
          <w:b/>
          <w:sz w:val="24"/>
          <w:szCs w:val="24"/>
          <w:u w:val="single"/>
        </w:rPr>
        <w:t>Non-Small Cell Lung Cancer (NSCLC)</w:t>
      </w:r>
    </w:p>
    <w:p w14:paraId="60B4CEC9" w14:textId="77777777" w:rsidR="002641D2" w:rsidRPr="00FA3F9C" w:rsidRDefault="002641D2" w:rsidP="002641D2">
      <w:pPr>
        <w:numPr>
          <w:ilvl w:val="1"/>
          <w:numId w:val="278"/>
        </w:numPr>
        <w:spacing w:after="0" w:line="276" w:lineRule="auto"/>
        <w:rPr>
          <w:rFonts w:ascii="Arial" w:hAnsi="Arial" w:cs="Arial"/>
          <w:b/>
          <w:sz w:val="24"/>
          <w:szCs w:val="24"/>
          <w:u w:val="single"/>
        </w:rPr>
      </w:pPr>
      <w:r w:rsidRPr="00FA3F9C">
        <w:rPr>
          <w:rFonts w:ascii="Arial" w:hAnsi="Arial" w:cs="Arial"/>
          <w:sz w:val="24"/>
          <w:szCs w:val="24"/>
        </w:rPr>
        <w:t xml:space="preserve">Treatment of adult patients with metastatic non-small cell lung cancer expressing PD-L1 (≥1%) as determined by an FDA-approved test, with no EGFR or ALK genomic tumor aberrations, as first-line treatment in combination with nivolumab. </w:t>
      </w:r>
    </w:p>
    <w:p w14:paraId="136DDEBF" w14:textId="77777777" w:rsidR="002641D2" w:rsidRPr="00FA3F9C" w:rsidRDefault="002641D2" w:rsidP="002641D2">
      <w:pPr>
        <w:numPr>
          <w:ilvl w:val="1"/>
          <w:numId w:val="278"/>
        </w:numPr>
        <w:spacing w:after="0" w:line="276" w:lineRule="auto"/>
        <w:rPr>
          <w:rFonts w:ascii="Arial" w:hAnsi="Arial" w:cs="Arial"/>
          <w:b/>
          <w:sz w:val="24"/>
          <w:szCs w:val="24"/>
          <w:u w:val="single"/>
        </w:rPr>
      </w:pPr>
      <w:r w:rsidRPr="00FA3F9C">
        <w:rPr>
          <w:rFonts w:ascii="Arial" w:hAnsi="Arial" w:cs="Arial"/>
          <w:sz w:val="24"/>
          <w:szCs w:val="24"/>
        </w:rPr>
        <w:t>Treatment of adult patients with metastatic or recurrent non-small cell lung cancer with no EGFR or ALK genomic tumor aberrations as first-line treatment, in combination with nivolumab and 2 cycles of platinum-doublet chemotherapy.</w:t>
      </w:r>
    </w:p>
    <w:p w14:paraId="7907042C" w14:textId="77777777" w:rsidR="002641D2" w:rsidRPr="00FA3F9C" w:rsidRDefault="002641D2" w:rsidP="002641D2">
      <w:pPr>
        <w:numPr>
          <w:ilvl w:val="0"/>
          <w:numId w:val="278"/>
        </w:numPr>
        <w:spacing w:after="0" w:line="240" w:lineRule="auto"/>
        <w:rPr>
          <w:rFonts w:ascii="Arial" w:hAnsi="Arial" w:cs="Arial"/>
          <w:b/>
          <w:sz w:val="24"/>
          <w:szCs w:val="24"/>
          <w:u w:val="single"/>
        </w:rPr>
      </w:pPr>
      <w:r w:rsidRPr="00FA3F9C">
        <w:rPr>
          <w:rFonts w:ascii="Arial" w:hAnsi="Arial" w:cs="Arial"/>
          <w:b/>
          <w:sz w:val="24"/>
          <w:szCs w:val="24"/>
          <w:u w:val="single"/>
        </w:rPr>
        <w:t>Malignant Pleural Mesothelioma</w:t>
      </w:r>
    </w:p>
    <w:p w14:paraId="1D38146E" w14:textId="77777777" w:rsidR="002641D2" w:rsidRPr="00FA3F9C" w:rsidRDefault="002641D2" w:rsidP="002641D2">
      <w:pPr>
        <w:numPr>
          <w:ilvl w:val="1"/>
          <w:numId w:val="278"/>
        </w:numPr>
        <w:spacing w:after="0" w:line="276" w:lineRule="auto"/>
        <w:rPr>
          <w:rFonts w:ascii="Arial" w:hAnsi="Arial" w:cs="Arial"/>
          <w:b/>
          <w:sz w:val="24"/>
          <w:szCs w:val="24"/>
          <w:u w:val="single"/>
        </w:rPr>
      </w:pPr>
      <w:r w:rsidRPr="00FA3F9C">
        <w:rPr>
          <w:rFonts w:ascii="Arial" w:hAnsi="Arial" w:cs="Arial"/>
          <w:sz w:val="24"/>
          <w:szCs w:val="24"/>
        </w:rPr>
        <w:t xml:space="preserve">Adult patients with unresectable malignant pleural mesothelioma, as first-line treatment in combination with nivolumab </w:t>
      </w:r>
    </w:p>
    <w:p w14:paraId="0B7490F6" w14:textId="77777777" w:rsidR="002641D2" w:rsidRPr="00FA3F9C" w:rsidRDefault="002641D2" w:rsidP="00A75522">
      <w:pPr>
        <w:pStyle w:val="ListParagraph"/>
        <w:spacing w:after="120" w:line="240" w:lineRule="auto"/>
        <w:ind w:left="360"/>
        <w:rPr>
          <w:rFonts w:ascii="Arial" w:hAnsi="Arial" w:cs="Arial"/>
          <w:sz w:val="24"/>
          <w:szCs w:val="24"/>
        </w:rPr>
      </w:pPr>
    </w:p>
    <w:p w14:paraId="11E9EE68" w14:textId="77777777" w:rsidR="002641D2" w:rsidRPr="00FA3F9C" w:rsidRDefault="002641D2" w:rsidP="00A75522">
      <w:pPr>
        <w:pStyle w:val="ListParagraph"/>
        <w:spacing w:after="120" w:line="240" w:lineRule="auto"/>
        <w:ind w:left="360"/>
        <w:rPr>
          <w:rFonts w:ascii="Arial" w:hAnsi="Arial" w:cs="Arial"/>
          <w:sz w:val="24"/>
          <w:szCs w:val="24"/>
        </w:rPr>
      </w:pPr>
      <w:r w:rsidRPr="00FA3F9C">
        <w:rPr>
          <w:rFonts w:ascii="Arial" w:hAnsi="Arial" w:cs="Arial"/>
          <w:sz w:val="24"/>
          <w:szCs w:val="24"/>
        </w:rPr>
        <w:t>a=This indication is approved under accelerated approval based on overall response rate and duration of response.  Continued approval for this indication may be contingent upon verification and description of clinical benefit in the confirmatory trials.</w:t>
      </w:r>
    </w:p>
    <w:p w14:paraId="566BD8BB" w14:textId="77777777" w:rsidR="002641D2" w:rsidRPr="00FA3F9C" w:rsidRDefault="002641D2">
      <w:pPr>
        <w:rPr>
          <w:rFonts w:ascii="Arial" w:hAnsi="Arial" w:cs="Arial"/>
          <w:sz w:val="24"/>
          <w:szCs w:val="24"/>
        </w:rPr>
      </w:pPr>
      <w:r w:rsidRPr="00FA3F9C">
        <w:rPr>
          <w:rFonts w:ascii="Arial" w:hAnsi="Arial" w:cs="Arial"/>
          <w:sz w:val="24"/>
          <w:szCs w:val="24"/>
        </w:rPr>
        <w:br w:type="page"/>
      </w:r>
    </w:p>
    <w:tbl>
      <w:tblPr>
        <w:tblpPr w:leftFromText="180" w:rightFromText="180" w:vertAnchor="text" w:horzAnchor="margin" w:tblpY="434"/>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68"/>
      </w:tblGrid>
      <w:tr w:rsidR="002641D2" w:rsidRPr="00FA3F9C" w14:paraId="2E641485" w14:textId="77777777" w:rsidTr="00B45B8A">
        <w:tc>
          <w:tcPr>
            <w:tcW w:w="10368" w:type="dxa"/>
            <w:tcBorders>
              <w:bottom w:val="single" w:sz="4" w:space="0" w:color="auto"/>
            </w:tcBorders>
            <w:shd w:val="clear" w:color="auto" w:fill="000000"/>
          </w:tcPr>
          <w:p w14:paraId="02666CAF" w14:textId="77777777" w:rsidR="002641D2" w:rsidRPr="00FA3F9C" w:rsidRDefault="002641D2" w:rsidP="00B45B8A">
            <w:pPr>
              <w:spacing w:after="0"/>
              <w:rPr>
                <w:rFonts w:ascii="Arial" w:hAnsi="Arial" w:cs="Arial"/>
                <w:sz w:val="24"/>
                <w:szCs w:val="24"/>
              </w:rPr>
            </w:pPr>
            <w:r w:rsidRPr="00FA3F9C">
              <w:rPr>
                <w:rFonts w:ascii="Arial" w:hAnsi="Arial" w:cs="Arial"/>
                <w:sz w:val="24"/>
                <w:szCs w:val="24"/>
              </w:rPr>
              <w:lastRenderedPageBreak/>
              <w:br w:type="page"/>
            </w:r>
            <w:r w:rsidRPr="00FA3F9C">
              <w:rPr>
                <w:rFonts w:ascii="Arial" w:hAnsi="Arial" w:cs="Arial"/>
                <w:b/>
                <w:sz w:val="24"/>
                <w:szCs w:val="24"/>
                <w:u w:val="single"/>
              </w:rPr>
              <w:t>Melanoma, metastatic</w:t>
            </w:r>
          </w:p>
        </w:tc>
      </w:tr>
      <w:tr w:rsidR="002641D2" w:rsidRPr="00FA3F9C" w14:paraId="0F1D220C" w14:textId="77777777" w:rsidTr="00B45B8A">
        <w:tc>
          <w:tcPr>
            <w:tcW w:w="10368" w:type="dxa"/>
            <w:tcBorders>
              <w:bottom w:val="single" w:sz="4" w:space="0" w:color="auto"/>
            </w:tcBorders>
          </w:tcPr>
          <w:p w14:paraId="50740CD5" w14:textId="77777777" w:rsidR="002641D2" w:rsidRPr="00FA3F9C" w:rsidRDefault="002641D2" w:rsidP="002641D2">
            <w:pPr>
              <w:numPr>
                <w:ilvl w:val="0"/>
                <w:numId w:val="85"/>
              </w:numPr>
              <w:spacing w:after="0" w:line="240" w:lineRule="auto"/>
              <w:rPr>
                <w:rFonts w:ascii="Arial" w:hAnsi="Arial" w:cs="Arial"/>
                <w:sz w:val="24"/>
                <w:szCs w:val="24"/>
              </w:rPr>
            </w:pPr>
            <w:r w:rsidRPr="00FA3F9C">
              <w:rPr>
                <w:rFonts w:ascii="Arial" w:hAnsi="Arial" w:cs="Arial"/>
                <w:sz w:val="24"/>
                <w:szCs w:val="24"/>
              </w:rPr>
              <w:t xml:space="preserve">Diagnosis of unresectable or metastatic melanoma. </w:t>
            </w:r>
          </w:p>
        </w:tc>
      </w:tr>
      <w:tr w:rsidR="002641D2" w:rsidRPr="00FA3F9C" w14:paraId="530886A4" w14:textId="77777777" w:rsidTr="00B45B8A">
        <w:tc>
          <w:tcPr>
            <w:tcW w:w="10368" w:type="dxa"/>
            <w:tcBorders>
              <w:bottom w:val="single" w:sz="4" w:space="0" w:color="auto"/>
            </w:tcBorders>
          </w:tcPr>
          <w:p w14:paraId="6BAFD197" w14:textId="77777777" w:rsidR="002641D2" w:rsidRPr="00FA3F9C" w:rsidRDefault="002641D2" w:rsidP="002641D2">
            <w:pPr>
              <w:numPr>
                <w:ilvl w:val="0"/>
                <w:numId w:val="85"/>
              </w:numPr>
              <w:spacing w:after="0" w:line="240" w:lineRule="auto"/>
              <w:rPr>
                <w:rFonts w:ascii="Arial" w:hAnsi="Arial" w:cs="Arial"/>
                <w:sz w:val="24"/>
                <w:szCs w:val="24"/>
              </w:rPr>
            </w:pPr>
            <w:r w:rsidRPr="00FA3F9C">
              <w:rPr>
                <w:rFonts w:ascii="Arial" w:hAnsi="Arial" w:cs="Arial"/>
                <w:sz w:val="24"/>
                <w:szCs w:val="24"/>
              </w:rPr>
              <w:t>If the patient has received no prior therapy, ipilimumab will be used in combination with nivolumab</w:t>
            </w:r>
          </w:p>
        </w:tc>
      </w:tr>
      <w:tr w:rsidR="002641D2" w:rsidRPr="00FA3F9C" w14:paraId="7B633679" w14:textId="77777777" w:rsidTr="00B45B8A">
        <w:tc>
          <w:tcPr>
            <w:tcW w:w="10368" w:type="dxa"/>
            <w:tcBorders>
              <w:bottom w:val="single" w:sz="4" w:space="0" w:color="auto"/>
            </w:tcBorders>
          </w:tcPr>
          <w:p w14:paraId="092213EE" w14:textId="77777777" w:rsidR="002641D2" w:rsidRPr="00FA3F9C" w:rsidRDefault="002641D2" w:rsidP="002641D2">
            <w:pPr>
              <w:numPr>
                <w:ilvl w:val="0"/>
                <w:numId w:val="85"/>
              </w:numPr>
              <w:spacing w:after="0" w:line="240" w:lineRule="auto"/>
              <w:rPr>
                <w:rFonts w:ascii="Arial" w:hAnsi="Arial" w:cs="Arial"/>
                <w:sz w:val="24"/>
                <w:szCs w:val="24"/>
              </w:rPr>
            </w:pPr>
            <w:r w:rsidRPr="00FA3F9C">
              <w:rPr>
                <w:rFonts w:ascii="Arial" w:hAnsi="Arial" w:cs="Arial"/>
                <w:sz w:val="24"/>
                <w:szCs w:val="24"/>
              </w:rPr>
              <w:t>If the patient has received prior therapy for advanced/metastatic, tumor is progressing.</w:t>
            </w:r>
          </w:p>
        </w:tc>
      </w:tr>
      <w:tr w:rsidR="002641D2" w:rsidRPr="00FA3F9C" w14:paraId="7CA5087C" w14:textId="77777777" w:rsidTr="00B45B8A">
        <w:tc>
          <w:tcPr>
            <w:tcW w:w="10368" w:type="dxa"/>
          </w:tcPr>
          <w:p w14:paraId="282DB5D2" w14:textId="77777777" w:rsidR="002641D2" w:rsidRPr="00FA3F9C" w:rsidRDefault="002641D2" w:rsidP="002641D2">
            <w:pPr>
              <w:numPr>
                <w:ilvl w:val="0"/>
                <w:numId w:val="85"/>
              </w:numPr>
              <w:spacing w:after="0" w:line="240" w:lineRule="auto"/>
              <w:rPr>
                <w:rFonts w:ascii="Arial" w:hAnsi="Arial" w:cs="Arial"/>
                <w:sz w:val="24"/>
                <w:szCs w:val="24"/>
              </w:rPr>
            </w:pPr>
            <w:r w:rsidRPr="00FA3F9C">
              <w:rPr>
                <w:rFonts w:ascii="Arial" w:hAnsi="Arial" w:cs="Arial"/>
                <w:sz w:val="24"/>
                <w:szCs w:val="24"/>
              </w:rPr>
              <w:t>The patient must be ECOG performance status 0 (fully active) or 1 (ambulatory but restricted in physically strenuous activity) at initiation</w:t>
            </w:r>
          </w:p>
        </w:tc>
      </w:tr>
      <w:tr w:rsidR="002641D2" w:rsidRPr="00FA3F9C" w14:paraId="5220324F" w14:textId="77777777" w:rsidTr="00B45B8A">
        <w:tc>
          <w:tcPr>
            <w:tcW w:w="10368" w:type="dxa"/>
          </w:tcPr>
          <w:p w14:paraId="62437D06" w14:textId="77777777" w:rsidR="002641D2" w:rsidRPr="00FA3F9C" w:rsidRDefault="002641D2" w:rsidP="002641D2">
            <w:pPr>
              <w:pStyle w:val="ListParagraph"/>
              <w:numPr>
                <w:ilvl w:val="0"/>
                <w:numId w:val="85"/>
              </w:numPr>
              <w:spacing w:after="0" w:line="276" w:lineRule="auto"/>
              <w:rPr>
                <w:rFonts w:ascii="Arial" w:hAnsi="Arial" w:cs="Arial"/>
                <w:sz w:val="24"/>
                <w:szCs w:val="24"/>
              </w:rPr>
            </w:pPr>
            <w:r w:rsidRPr="00FA3F9C">
              <w:rPr>
                <w:rFonts w:ascii="Arial" w:hAnsi="Arial" w:cs="Arial"/>
                <w:sz w:val="24"/>
                <w:szCs w:val="24"/>
              </w:rPr>
              <w:t>Patient does not have diagnosis of ocular/uveal melanoma.</w:t>
            </w:r>
          </w:p>
        </w:tc>
      </w:tr>
      <w:tr w:rsidR="002641D2" w:rsidRPr="00FA3F9C" w14:paraId="2D33BD3E" w14:textId="77777777" w:rsidTr="00B45B8A">
        <w:tc>
          <w:tcPr>
            <w:tcW w:w="10368" w:type="dxa"/>
          </w:tcPr>
          <w:p w14:paraId="3836E674" w14:textId="77777777" w:rsidR="002641D2" w:rsidRPr="00FA3F9C" w:rsidRDefault="002641D2" w:rsidP="00B45B8A">
            <w:pPr>
              <w:spacing w:after="0"/>
              <w:rPr>
                <w:rFonts w:ascii="Arial" w:hAnsi="Arial" w:cs="Arial"/>
                <w:sz w:val="24"/>
                <w:szCs w:val="24"/>
              </w:rPr>
            </w:pPr>
            <w:r w:rsidRPr="00FA3F9C">
              <w:rPr>
                <w:rFonts w:ascii="Arial" w:hAnsi="Arial" w:cs="Arial"/>
                <w:b/>
                <w:sz w:val="24"/>
                <w:szCs w:val="24"/>
              </w:rPr>
              <w:t>If criteria fulfilled, approve ipilimumab for 4 months (maximum of 4 doses total).</w:t>
            </w:r>
          </w:p>
        </w:tc>
      </w:tr>
      <w:tr w:rsidR="002641D2" w:rsidRPr="00FA3F9C" w14:paraId="6E1F2088" w14:textId="77777777" w:rsidTr="00B45B8A">
        <w:tc>
          <w:tcPr>
            <w:tcW w:w="10368" w:type="dxa"/>
            <w:tcBorders>
              <w:bottom w:val="single" w:sz="4" w:space="0" w:color="auto"/>
            </w:tcBorders>
            <w:shd w:val="clear" w:color="auto" w:fill="000000" w:themeFill="text1"/>
          </w:tcPr>
          <w:p w14:paraId="34EFC9D8" w14:textId="77777777" w:rsidR="002641D2" w:rsidRPr="00FA3F9C" w:rsidRDefault="002641D2" w:rsidP="00B45B8A">
            <w:pPr>
              <w:spacing w:after="0"/>
              <w:rPr>
                <w:rFonts w:ascii="Arial" w:hAnsi="Arial" w:cs="Arial"/>
                <w:sz w:val="24"/>
                <w:szCs w:val="24"/>
              </w:rPr>
            </w:pPr>
            <w:r w:rsidRPr="00FA3F9C">
              <w:rPr>
                <w:rFonts w:ascii="Arial" w:hAnsi="Arial" w:cs="Arial"/>
                <w:b/>
                <w:sz w:val="24"/>
                <w:szCs w:val="24"/>
                <w:u w:val="single"/>
              </w:rPr>
              <w:t>Criteria for continuation</w:t>
            </w:r>
          </w:p>
        </w:tc>
      </w:tr>
      <w:tr w:rsidR="002641D2" w:rsidRPr="00FA3F9C" w14:paraId="3BF12D09" w14:textId="77777777" w:rsidTr="00B45B8A">
        <w:tc>
          <w:tcPr>
            <w:tcW w:w="10368" w:type="dxa"/>
          </w:tcPr>
          <w:p w14:paraId="3B300308" w14:textId="77777777" w:rsidR="002641D2" w:rsidRPr="00FA3F9C" w:rsidRDefault="002641D2" w:rsidP="00B45B8A">
            <w:pPr>
              <w:spacing w:after="0"/>
              <w:rPr>
                <w:rFonts w:ascii="Arial" w:hAnsi="Arial" w:cs="Arial"/>
                <w:sz w:val="24"/>
                <w:szCs w:val="24"/>
              </w:rPr>
            </w:pPr>
            <w:r w:rsidRPr="00FA3F9C">
              <w:rPr>
                <w:rFonts w:ascii="Arial" w:hAnsi="Arial" w:cs="Arial"/>
                <w:sz w:val="24"/>
                <w:szCs w:val="24"/>
              </w:rPr>
              <w:t>Continuation not allowed if 4 doses already given. If doses were delayed due to toxicity or other reason and reapproval is needed, approve as indicated if no disease progression and no unacceptable toxicity.</w:t>
            </w:r>
          </w:p>
        </w:tc>
      </w:tr>
      <w:tr w:rsidR="002641D2" w:rsidRPr="00FA3F9C" w14:paraId="43A57CEE" w14:textId="77777777" w:rsidTr="00B45B8A">
        <w:tc>
          <w:tcPr>
            <w:tcW w:w="10368" w:type="dxa"/>
            <w:tcBorders>
              <w:bottom w:val="single" w:sz="4" w:space="0" w:color="auto"/>
            </w:tcBorders>
            <w:shd w:val="clear" w:color="auto" w:fill="BFBFBF" w:themeFill="background1" w:themeFillShade="BF"/>
          </w:tcPr>
          <w:p w14:paraId="2E599806" w14:textId="77777777" w:rsidR="002641D2" w:rsidRPr="00FA3F9C" w:rsidRDefault="002641D2" w:rsidP="00B45B8A">
            <w:pPr>
              <w:spacing w:after="0"/>
              <w:rPr>
                <w:rFonts w:ascii="Arial" w:hAnsi="Arial" w:cs="Arial"/>
                <w:sz w:val="24"/>
                <w:szCs w:val="24"/>
              </w:rPr>
            </w:pPr>
            <w:r w:rsidRPr="00FA3F9C">
              <w:rPr>
                <w:rFonts w:ascii="Arial" w:hAnsi="Arial" w:cs="Arial"/>
                <w:sz w:val="24"/>
                <w:szCs w:val="24"/>
              </w:rPr>
              <w:t xml:space="preserve">Notes:  </w:t>
            </w:r>
          </w:p>
          <w:p w14:paraId="3E29EB48" w14:textId="77777777" w:rsidR="002641D2" w:rsidRPr="00FA3F9C" w:rsidRDefault="002641D2" w:rsidP="00B45B8A">
            <w:pPr>
              <w:spacing w:after="0"/>
              <w:rPr>
                <w:rFonts w:ascii="Arial" w:hAnsi="Arial" w:cs="Arial"/>
                <w:sz w:val="24"/>
                <w:szCs w:val="24"/>
              </w:rPr>
            </w:pPr>
            <w:r w:rsidRPr="00FA3F9C">
              <w:rPr>
                <w:rFonts w:ascii="Arial" w:hAnsi="Arial" w:cs="Arial"/>
                <w:sz w:val="24"/>
                <w:szCs w:val="24"/>
              </w:rPr>
              <w:t xml:space="preserve">-Not covered for first line use as </w:t>
            </w:r>
            <w:r w:rsidRPr="00FA3F9C">
              <w:rPr>
                <w:rFonts w:ascii="Arial" w:hAnsi="Arial" w:cs="Arial"/>
                <w:sz w:val="24"/>
                <w:szCs w:val="24"/>
                <w:u w:val="single"/>
              </w:rPr>
              <w:t>monotherapy</w:t>
            </w:r>
            <w:r w:rsidRPr="00FA3F9C">
              <w:rPr>
                <w:rFonts w:ascii="Arial" w:hAnsi="Arial" w:cs="Arial"/>
                <w:sz w:val="24"/>
                <w:szCs w:val="24"/>
              </w:rPr>
              <w:t>, due to other checkpoint inhibitors having superior efficacy (see nivolumab or pembrolizumab)</w:t>
            </w:r>
          </w:p>
          <w:p w14:paraId="6933FF79" w14:textId="77777777" w:rsidR="002641D2" w:rsidRPr="00FA3F9C" w:rsidRDefault="002641D2" w:rsidP="00B45B8A">
            <w:pPr>
              <w:spacing w:after="0"/>
              <w:rPr>
                <w:rFonts w:ascii="Arial" w:hAnsi="Arial" w:cs="Arial"/>
                <w:sz w:val="24"/>
                <w:szCs w:val="24"/>
              </w:rPr>
            </w:pPr>
            <w:r w:rsidRPr="00FA3F9C">
              <w:rPr>
                <w:rFonts w:ascii="Arial" w:hAnsi="Arial" w:cs="Arial"/>
                <w:sz w:val="24"/>
                <w:szCs w:val="24"/>
              </w:rPr>
              <w:t xml:space="preserve">-Ipilimumab/Nivolumab comes extremely close to statistically improving overall survival compared to nivolumab alone in the 5-year update of the CHECKMATE 067 trial. Due to consistency of results compared to initial release of data and strong trend to improving overall survival, EBRx recommends coverage. However, note that toxicity is also increased in the </w:t>
            </w:r>
            <w:proofErr w:type="spellStart"/>
            <w:r w:rsidRPr="00FA3F9C">
              <w:rPr>
                <w:rFonts w:ascii="Arial" w:hAnsi="Arial" w:cs="Arial"/>
                <w:sz w:val="24"/>
                <w:szCs w:val="24"/>
              </w:rPr>
              <w:t>ipi</w:t>
            </w:r>
            <w:proofErr w:type="spellEnd"/>
            <w:r w:rsidRPr="00FA3F9C">
              <w:rPr>
                <w:rFonts w:ascii="Arial" w:hAnsi="Arial" w:cs="Arial"/>
                <w:sz w:val="24"/>
                <w:szCs w:val="24"/>
              </w:rPr>
              <w:t>/</w:t>
            </w:r>
            <w:proofErr w:type="spellStart"/>
            <w:r w:rsidRPr="00FA3F9C">
              <w:rPr>
                <w:rFonts w:ascii="Arial" w:hAnsi="Arial" w:cs="Arial"/>
                <w:sz w:val="24"/>
                <w:szCs w:val="24"/>
              </w:rPr>
              <w:t>nivo</w:t>
            </w:r>
            <w:proofErr w:type="spellEnd"/>
            <w:r w:rsidRPr="00FA3F9C">
              <w:rPr>
                <w:rFonts w:ascii="Arial" w:hAnsi="Arial" w:cs="Arial"/>
                <w:sz w:val="24"/>
                <w:szCs w:val="24"/>
              </w:rPr>
              <w:t xml:space="preserve"> arm compared to nivolumab alone (grade 3-5 toxicity incidence: 59% vs 23%).</w:t>
            </w:r>
            <w:r w:rsidRPr="00FA3F9C">
              <w:rPr>
                <w:rFonts w:ascii="Arial" w:hAnsi="Arial" w:cs="Arial"/>
                <w:sz w:val="24"/>
                <w:szCs w:val="24"/>
                <w:vertAlign w:val="superscript"/>
              </w:rPr>
              <w:t>1,2</w:t>
            </w:r>
          </w:p>
          <w:p w14:paraId="0ADCA864" w14:textId="77777777" w:rsidR="002641D2" w:rsidRPr="00FA3F9C" w:rsidRDefault="002641D2" w:rsidP="00B45B8A">
            <w:pPr>
              <w:spacing w:after="0"/>
              <w:rPr>
                <w:rFonts w:ascii="Arial" w:hAnsi="Arial" w:cs="Arial"/>
                <w:sz w:val="24"/>
                <w:szCs w:val="24"/>
              </w:rPr>
            </w:pPr>
            <w:r w:rsidRPr="00FA3F9C">
              <w:rPr>
                <w:rFonts w:ascii="Arial" w:hAnsi="Arial" w:cs="Arial"/>
                <w:sz w:val="24"/>
                <w:szCs w:val="24"/>
              </w:rPr>
              <w:t>-Ipilimumab does have activity after nivolumab or pembrolizumab though this is based on a retrospective review</w:t>
            </w:r>
            <w:r w:rsidRPr="00FA3F9C">
              <w:rPr>
                <w:rFonts w:ascii="Arial" w:hAnsi="Arial" w:cs="Arial"/>
                <w:sz w:val="24"/>
                <w:szCs w:val="24"/>
                <w:vertAlign w:val="superscript"/>
              </w:rPr>
              <w:t>3</w:t>
            </w:r>
          </w:p>
          <w:p w14:paraId="4E34B93A" w14:textId="77777777" w:rsidR="002641D2" w:rsidRPr="00FA3F9C" w:rsidRDefault="002641D2" w:rsidP="00B45B8A">
            <w:pPr>
              <w:spacing w:after="0"/>
              <w:rPr>
                <w:rFonts w:ascii="Arial" w:hAnsi="Arial" w:cs="Arial"/>
                <w:sz w:val="24"/>
                <w:szCs w:val="24"/>
              </w:rPr>
            </w:pPr>
            <w:r w:rsidRPr="00FA3F9C">
              <w:rPr>
                <w:rFonts w:ascii="Arial" w:hAnsi="Arial" w:cs="Arial"/>
                <w:sz w:val="24"/>
                <w:szCs w:val="24"/>
              </w:rPr>
              <w:t xml:space="preserve">-Ipilimumab showed improved survival vs. placebo/vaccine in patients previously treated with chemotherapy. Median OS was 10 </w:t>
            </w:r>
            <w:proofErr w:type="spellStart"/>
            <w:r w:rsidRPr="00FA3F9C">
              <w:rPr>
                <w:rFonts w:ascii="Arial" w:hAnsi="Arial" w:cs="Arial"/>
                <w:sz w:val="24"/>
                <w:szCs w:val="24"/>
              </w:rPr>
              <w:t>mo</w:t>
            </w:r>
            <w:proofErr w:type="spellEnd"/>
            <w:r w:rsidRPr="00FA3F9C">
              <w:rPr>
                <w:rFonts w:ascii="Arial" w:hAnsi="Arial" w:cs="Arial"/>
                <w:sz w:val="24"/>
                <w:szCs w:val="24"/>
              </w:rPr>
              <w:t xml:space="preserve"> for ipilimumab vs. 6.4 </w:t>
            </w:r>
            <w:proofErr w:type="spellStart"/>
            <w:r w:rsidRPr="00FA3F9C">
              <w:rPr>
                <w:rFonts w:ascii="Arial" w:hAnsi="Arial" w:cs="Arial"/>
                <w:sz w:val="24"/>
                <w:szCs w:val="24"/>
              </w:rPr>
              <w:t>mo</w:t>
            </w:r>
            <w:proofErr w:type="spellEnd"/>
            <w:r w:rsidRPr="00FA3F9C">
              <w:rPr>
                <w:rFonts w:ascii="Arial" w:hAnsi="Arial" w:cs="Arial"/>
                <w:sz w:val="24"/>
                <w:szCs w:val="24"/>
              </w:rPr>
              <w:t xml:space="preserve"> in placebo/vaccine group. Vaccine had no effect on efficacy and should be considered as placebo for the purpose of interpreting study results.</w:t>
            </w:r>
            <w:r w:rsidRPr="00FA3F9C">
              <w:rPr>
                <w:rFonts w:ascii="Arial" w:hAnsi="Arial" w:cs="Arial"/>
                <w:sz w:val="24"/>
                <w:szCs w:val="24"/>
                <w:vertAlign w:val="superscript"/>
              </w:rPr>
              <w:t>4</w:t>
            </w:r>
          </w:p>
          <w:p w14:paraId="57B2C90D" w14:textId="77777777" w:rsidR="002641D2" w:rsidRPr="00FA3F9C" w:rsidRDefault="002641D2" w:rsidP="00B45B8A">
            <w:pPr>
              <w:spacing w:after="0"/>
              <w:rPr>
                <w:rFonts w:ascii="Arial" w:hAnsi="Arial" w:cs="Arial"/>
                <w:sz w:val="24"/>
                <w:szCs w:val="24"/>
              </w:rPr>
            </w:pPr>
            <w:r w:rsidRPr="00FA3F9C">
              <w:rPr>
                <w:rFonts w:ascii="Arial" w:hAnsi="Arial" w:cs="Arial"/>
                <w:sz w:val="24"/>
                <w:szCs w:val="24"/>
              </w:rPr>
              <w:t>Dosing: 3 mg/kg IV every 3 weeks x 4 doses MAX</w:t>
            </w:r>
          </w:p>
          <w:p w14:paraId="00D7CF8B" w14:textId="77777777" w:rsidR="002641D2" w:rsidRPr="00FA3F9C" w:rsidRDefault="002641D2" w:rsidP="00B45B8A">
            <w:pPr>
              <w:spacing w:after="0" w:line="240" w:lineRule="auto"/>
              <w:rPr>
                <w:rFonts w:ascii="Arial" w:hAnsi="Arial" w:cs="Arial"/>
                <w:sz w:val="24"/>
                <w:szCs w:val="24"/>
              </w:rPr>
            </w:pPr>
          </w:p>
          <w:p w14:paraId="7241B679" w14:textId="77777777" w:rsidR="002641D2" w:rsidRPr="00FA3F9C" w:rsidRDefault="002641D2" w:rsidP="00B45B8A">
            <w:pPr>
              <w:spacing w:after="0" w:line="240" w:lineRule="auto"/>
              <w:rPr>
                <w:rFonts w:ascii="Arial" w:hAnsi="Arial" w:cs="Arial"/>
                <w:sz w:val="24"/>
                <w:szCs w:val="24"/>
              </w:rPr>
            </w:pPr>
            <w:r w:rsidRPr="00FA3F9C">
              <w:rPr>
                <w:rFonts w:ascii="Arial" w:hAnsi="Arial" w:cs="Arial"/>
                <w:sz w:val="24"/>
                <w:szCs w:val="24"/>
              </w:rPr>
              <w:t>REFERENCES:</w:t>
            </w:r>
          </w:p>
          <w:p w14:paraId="5E023BE3" w14:textId="77777777" w:rsidR="002641D2" w:rsidRPr="00FA3F9C" w:rsidRDefault="002641D2" w:rsidP="002641D2">
            <w:pPr>
              <w:pStyle w:val="ListParagraph"/>
              <w:numPr>
                <w:ilvl w:val="0"/>
                <w:numId w:val="280"/>
              </w:numPr>
              <w:spacing w:after="0" w:line="276" w:lineRule="auto"/>
              <w:ind w:left="337" w:hanging="270"/>
              <w:rPr>
                <w:rFonts w:ascii="Arial" w:hAnsi="Arial" w:cs="Arial"/>
                <w:sz w:val="24"/>
                <w:szCs w:val="24"/>
              </w:rPr>
            </w:pPr>
            <w:proofErr w:type="spellStart"/>
            <w:r w:rsidRPr="00FA3F9C">
              <w:rPr>
                <w:rFonts w:ascii="Arial" w:hAnsi="Arial" w:cs="Arial"/>
                <w:sz w:val="24"/>
                <w:szCs w:val="24"/>
                <w:lang w:val="fr-FR"/>
              </w:rPr>
              <w:lastRenderedPageBreak/>
              <w:t>Hodi</w:t>
            </w:r>
            <w:proofErr w:type="spellEnd"/>
            <w:r w:rsidRPr="00FA3F9C">
              <w:rPr>
                <w:rFonts w:ascii="Arial" w:hAnsi="Arial" w:cs="Arial"/>
                <w:sz w:val="24"/>
                <w:szCs w:val="24"/>
                <w:lang w:val="fr-FR"/>
              </w:rPr>
              <w:t xml:space="preserve"> F, </w:t>
            </w:r>
            <w:proofErr w:type="spellStart"/>
            <w:r w:rsidRPr="00FA3F9C">
              <w:rPr>
                <w:rFonts w:ascii="Arial" w:hAnsi="Arial" w:cs="Arial"/>
                <w:sz w:val="24"/>
                <w:szCs w:val="24"/>
                <w:lang w:val="fr-FR"/>
              </w:rPr>
              <w:t>VAnna</w:t>
            </w:r>
            <w:proofErr w:type="spellEnd"/>
            <w:r w:rsidRPr="00FA3F9C">
              <w:rPr>
                <w:rFonts w:ascii="Arial" w:hAnsi="Arial" w:cs="Arial"/>
                <w:sz w:val="24"/>
                <w:szCs w:val="24"/>
                <w:lang w:val="fr-FR"/>
              </w:rPr>
              <w:t xml:space="preserve"> C, Rene G et al. </w:t>
            </w:r>
            <w:r w:rsidRPr="00FA3F9C">
              <w:rPr>
                <w:rFonts w:ascii="Arial" w:hAnsi="Arial" w:cs="Arial"/>
                <w:sz w:val="24"/>
                <w:szCs w:val="24"/>
              </w:rPr>
              <w:t>Nivolumab plus ipilimumab or nivolumab alone versus ipilimumab alone in advanced melanoma (Checkmate 067): 4-year outcomes of a multicenter, randomized, phase 3 trial. Lancet Oncol 2018; 19:1480-92.</w:t>
            </w:r>
          </w:p>
          <w:p w14:paraId="16C0697B" w14:textId="77777777" w:rsidR="002641D2" w:rsidRPr="00FA3F9C" w:rsidRDefault="002641D2" w:rsidP="002641D2">
            <w:pPr>
              <w:pStyle w:val="ListParagraph"/>
              <w:numPr>
                <w:ilvl w:val="0"/>
                <w:numId w:val="280"/>
              </w:numPr>
              <w:spacing w:after="0" w:line="276" w:lineRule="auto"/>
              <w:ind w:left="337" w:hanging="270"/>
              <w:rPr>
                <w:rFonts w:ascii="Arial" w:hAnsi="Arial" w:cs="Arial"/>
                <w:sz w:val="24"/>
                <w:szCs w:val="24"/>
              </w:rPr>
            </w:pPr>
            <w:r w:rsidRPr="00FA3F9C">
              <w:rPr>
                <w:rFonts w:ascii="Arial" w:hAnsi="Arial" w:cs="Arial"/>
                <w:sz w:val="24"/>
                <w:szCs w:val="24"/>
              </w:rPr>
              <w:t xml:space="preserve">Larkin J et al. Five-Year Survival with Combined Nivolumab and Ipilimumab in Advanced Melanoma. N </w:t>
            </w:r>
            <w:proofErr w:type="spellStart"/>
            <w:r w:rsidRPr="00FA3F9C">
              <w:rPr>
                <w:rFonts w:ascii="Arial" w:hAnsi="Arial" w:cs="Arial"/>
                <w:sz w:val="24"/>
                <w:szCs w:val="24"/>
              </w:rPr>
              <w:t>Engl</w:t>
            </w:r>
            <w:proofErr w:type="spellEnd"/>
            <w:r w:rsidRPr="00FA3F9C">
              <w:rPr>
                <w:rFonts w:ascii="Arial" w:hAnsi="Arial" w:cs="Arial"/>
                <w:sz w:val="24"/>
                <w:szCs w:val="24"/>
              </w:rPr>
              <w:t xml:space="preserve"> J Med. 2019 Oct 17;381(16):1535-1546. </w:t>
            </w:r>
          </w:p>
          <w:p w14:paraId="6E9B4A61" w14:textId="77777777" w:rsidR="002641D2" w:rsidRPr="00FA3F9C" w:rsidRDefault="002641D2" w:rsidP="002641D2">
            <w:pPr>
              <w:pStyle w:val="ListParagraph"/>
              <w:numPr>
                <w:ilvl w:val="0"/>
                <w:numId w:val="281"/>
              </w:numPr>
              <w:spacing w:after="0" w:line="240" w:lineRule="auto"/>
              <w:ind w:left="337" w:hanging="270"/>
              <w:rPr>
                <w:rFonts w:ascii="Arial" w:hAnsi="Arial" w:cs="Arial"/>
                <w:sz w:val="24"/>
                <w:szCs w:val="24"/>
              </w:rPr>
            </w:pPr>
            <w:r w:rsidRPr="00FA3F9C">
              <w:rPr>
                <w:rFonts w:ascii="Arial" w:hAnsi="Arial" w:cs="Arial"/>
                <w:sz w:val="24"/>
                <w:szCs w:val="24"/>
              </w:rPr>
              <w:t>PMID 31562797 NCT01844505</w:t>
            </w:r>
          </w:p>
          <w:p w14:paraId="56815C01" w14:textId="77777777" w:rsidR="002641D2" w:rsidRPr="00FA3F9C" w:rsidRDefault="00500371" w:rsidP="002641D2">
            <w:pPr>
              <w:pStyle w:val="ListParagraph"/>
              <w:numPr>
                <w:ilvl w:val="0"/>
                <w:numId w:val="281"/>
              </w:numPr>
              <w:spacing w:after="0" w:line="240" w:lineRule="auto"/>
              <w:ind w:left="337" w:hanging="270"/>
              <w:rPr>
                <w:rFonts w:ascii="Arial" w:hAnsi="Arial" w:cs="Arial"/>
                <w:sz w:val="24"/>
                <w:szCs w:val="24"/>
              </w:rPr>
            </w:pPr>
            <w:hyperlink r:id="rId248" w:history="1">
              <w:r w:rsidR="002641D2" w:rsidRPr="00FA3F9C">
                <w:rPr>
                  <w:rStyle w:val="Hyperlink"/>
                  <w:rFonts w:ascii="Arial" w:hAnsi="Arial" w:cs="Arial"/>
                  <w:sz w:val="24"/>
                  <w:szCs w:val="24"/>
                </w:rPr>
                <w:t>Zimmer L</w:t>
              </w:r>
            </w:hyperlink>
            <w:r w:rsidR="002641D2" w:rsidRPr="00FA3F9C">
              <w:rPr>
                <w:rFonts w:ascii="Arial" w:hAnsi="Arial" w:cs="Arial"/>
                <w:sz w:val="24"/>
                <w:szCs w:val="24"/>
              </w:rPr>
              <w:t xml:space="preserve"> et al. </w:t>
            </w:r>
            <w:r w:rsidR="002641D2" w:rsidRPr="00FA3F9C">
              <w:rPr>
                <w:rStyle w:val="highlight"/>
                <w:rFonts w:ascii="Arial" w:hAnsi="Arial" w:cs="Arial"/>
                <w:sz w:val="24"/>
                <w:szCs w:val="24"/>
              </w:rPr>
              <w:t>Ipilimumab</w:t>
            </w:r>
            <w:r w:rsidR="002641D2" w:rsidRPr="00FA3F9C">
              <w:rPr>
                <w:rFonts w:ascii="Arial" w:hAnsi="Arial" w:cs="Arial"/>
                <w:sz w:val="24"/>
                <w:szCs w:val="24"/>
              </w:rPr>
              <w:t xml:space="preserve"> alone or in combination with nivolumab after progression on anti-PD-1 therapy in advanced </w:t>
            </w:r>
            <w:r w:rsidR="002641D2" w:rsidRPr="00FA3F9C">
              <w:rPr>
                <w:rStyle w:val="highlight"/>
                <w:rFonts w:ascii="Arial" w:hAnsi="Arial" w:cs="Arial"/>
                <w:sz w:val="24"/>
                <w:szCs w:val="24"/>
              </w:rPr>
              <w:t>melanoma</w:t>
            </w:r>
            <w:r w:rsidR="002641D2" w:rsidRPr="00FA3F9C">
              <w:rPr>
                <w:rFonts w:ascii="Arial" w:hAnsi="Arial" w:cs="Arial"/>
                <w:sz w:val="24"/>
                <w:szCs w:val="24"/>
              </w:rPr>
              <w:t xml:space="preserve">. </w:t>
            </w:r>
            <w:hyperlink r:id="rId249" w:tooltip="European journal of cancer (Oxford, England : 1990)." w:history="1">
              <w:proofErr w:type="spellStart"/>
              <w:r w:rsidR="002641D2" w:rsidRPr="00FA3F9C">
                <w:rPr>
                  <w:rStyle w:val="Hyperlink"/>
                  <w:rFonts w:ascii="Arial" w:hAnsi="Arial" w:cs="Arial"/>
                  <w:sz w:val="24"/>
                  <w:szCs w:val="24"/>
                </w:rPr>
                <w:t>Eur</w:t>
              </w:r>
              <w:proofErr w:type="spellEnd"/>
              <w:r w:rsidR="002641D2" w:rsidRPr="00FA3F9C">
                <w:rPr>
                  <w:rStyle w:val="Hyperlink"/>
                  <w:rFonts w:ascii="Arial" w:hAnsi="Arial" w:cs="Arial"/>
                  <w:sz w:val="24"/>
                  <w:szCs w:val="24"/>
                </w:rPr>
                <w:t xml:space="preserve"> J Cancer.</w:t>
              </w:r>
            </w:hyperlink>
            <w:r w:rsidR="002641D2" w:rsidRPr="00FA3F9C">
              <w:rPr>
                <w:rFonts w:ascii="Arial" w:hAnsi="Arial" w:cs="Arial"/>
                <w:sz w:val="24"/>
                <w:szCs w:val="24"/>
              </w:rPr>
              <w:t xml:space="preserve"> 2017 Apr;75:47-55. </w:t>
            </w:r>
          </w:p>
          <w:p w14:paraId="3BB37A70" w14:textId="77777777" w:rsidR="002641D2" w:rsidRPr="00FA3F9C" w:rsidRDefault="00500371" w:rsidP="002641D2">
            <w:pPr>
              <w:pStyle w:val="ListParagraph"/>
              <w:numPr>
                <w:ilvl w:val="0"/>
                <w:numId w:val="281"/>
              </w:numPr>
              <w:spacing w:after="0" w:line="240" w:lineRule="auto"/>
              <w:ind w:left="337" w:hanging="270"/>
              <w:rPr>
                <w:rFonts w:ascii="Arial" w:hAnsi="Arial" w:cs="Arial"/>
                <w:sz w:val="24"/>
                <w:szCs w:val="24"/>
              </w:rPr>
            </w:pPr>
            <w:hyperlink r:id="rId250" w:history="1">
              <w:r w:rsidR="002641D2" w:rsidRPr="00FA3F9C">
                <w:rPr>
                  <w:rStyle w:val="Hyperlink"/>
                  <w:rFonts w:ascii="Arial" w:hAnsi="Arial" w:cs="Arial"/>
                  <w:sz w:val="24"/>
                  <w:szCs w:val="24"/>
                </w:rPr>
                <w:t>Hodi FS</w:t>
              </w:r>
            </w:hyperlink>
            <w:r w:rsidR="002641D2" w:rsidRPr="00FA3F9C">
              <w:rPr>
                <w:rFonts w:ascii="Arial" w:hAnsi="Arial" w:cs="Arial"/>
                <w:sz w:val="24"/>
                <w:szCs w:val="24"/>
              </w:rPr>
              <w:t xml:space="preserve"> et al. Improved survival with </w:t>
            </w:r>
            <w:r w:rsidR="002641D2" w:rsidRPr="00FA3F9C">
              <w:rPr>
                <w:rStyle w:val="highlight"/>
                <w:rFonts w:ascii="Arial" w:hAnsi="Arial" w:cs="Arial"/>
                <w:sz w:val="24"/>
                <w:szCs w:val="24"/>
              </w:rPr>
              <w:t>ipilimumab</w:t>
            </w:r>
            <w:r w:rsidR="002641D2" w:rsidRPr="00FA3F9C">
              <w:rPr>
                <w:rFonts w:ascii="Arial" w:hAnsi="Arial" w:cs="Arial"/>
                <w:sz w:val="24"/>
                <w:szCs w:val="24"/>
              </w:rPr>
              <w:t xml:space="preserve"> in patients with metastatic </w:t>
            </w:r>
            <w:r w:rsidR="002641D2" w:rsidRPr="00FA3F9C">
              <w:rPr>
                <w:rStyle w:val="highlight"/>
                <w:rFonts w:ascii="Arial" w:hAnsi="Arial" w:cs="Arial"/>
                <w:sz w:val="24"/>
                <w:szCs w:val="24"/>
              </w:rPr>
              <w:t xml:space="preserve">melanoma. </w:t>
            </w:r>
            <w:hyperlink r:id="rId251" w:tooltip="The New England journal of medicine." w:history="1">
              <w:r w:rsidR="002641D2" w:rsidRPr="00FA3F9C">
                <w:rPr>
                  <w:rStyle w:val="Hyperlink"/>
                  <w:rFonts w:ascii="Arial" w:hAnsi="Arial" w:cs="Arial"/>
                  <w:sz w:val="24"/>
                  <w:szCs w:val="24"/>
                </w:rPr>
                <w:t xml:space="preserve">N </w:t>
              </w:r>
              <w:proofErr w:type="spellStart"/>
              <w:r w:rsidR="002641D2" w:rsidRPr="00FA3F9C">
                <w:rPr>
                  <w:rStyle w:val="Hyperlink"/>
                  <w:rFonts w:ascii="Arial" w:hAnsi="Arial" w:cs="Arial"/>
                  <w:sz w:val="24"/>
                  <w:szCs w:val="24"/>
                </w:rPr>
                <w:t>Engl</w:t>
              </w:r>
              <w:proofErr w:type="spellEnd"/>
              <w:r w:rsidR="002641D2" w:rsidRPr="00FA3F9C">
                <w:rPr>
                  <w:rStyle w:val="Hyperlink"/>
                  <w:rFonts w:ascii="Arial" w:hAnsi="Arial" w:cs="Arial"/>
                  <w:sz w:val="24"/>
                  <w:szCs w:val="24"/>
                </w:rPr>
                <w:t xml:space="preserve"> J Med.</w:t>
              </w:r>
            </w:hyperlink>
            <w:r w:rsidR="002641D2" w:rsidRPr="00FA3F9C">
              <w:rPr>
                <w:rFonts w:ascii="Arial" w:hAnsi="Arial" w:cs="Arial"/>
                <w:sz w:val="24"/>
                <w:szCs w:val="24"/>
              </w:rPr>
              <w:t xml:space="preserve"> 2010 Aug 19;363(8):711-23. NCT00094653</w:t>
            </w:r>
          </w:p>
          <w:p w14:paraId="6F6CFFFD" w14:textId="77777777" w:rsidR="002641D2" w:rsidRPr="00FA3F9C" w:rsidRDefault="002641D2" w:rsidP="00B45B8A">
            <w:pPr>
              <w:spacing w:after="0" w:line="240" w:lineRule="auto"/>
              <w:rPr>
                <w:rFonts w:ascii="Arial" w:hAnsi="Arial" w:cs="Arial"/>
                <w:sz w:val="24"/>
                <w:szCs w:val="24"/>
              </w:rPr>
            </w:pPr>
          </w:p>
        </w:tc>
      </w:tr>
    </w:tbl>
    <w:p w14:paraId="3EB67F37" w14:textId="77777777" w:rsidR="002641D2" w:rsidRPr="00FA3F9C" w:rsidRDefault="002641D2" w:rsidP="0046788E">
      <w:pPr>
        <w:spacing w:after="0" w:line="240" w:lineRule="auto"/>
        <w:ind w:left="720"/>
        <w:rPr>
          <w:rFonts w:ascii="Arial" w:hAnsi="Arial" w:cs="Arial"/>
          <w:sz w:val="24"/>
          <w:szCs w:val="24"/>
        </w:rPr>
      </w:pPr>
    </w:p>
    <w:p w14:paraId="7A3B4921" w14:textId="77777777" w:rsidR="002641D2" w:rsidRPr="00FA3F9C" w:rsidRDefault="002641D2" w:rsidP="0046788E">
      <w:pPr>
        <w:spacing w:after="0" w:line="240" w:lineRule="auto"/>
        <w:ind w:left="720"/>
        <w:rPr>
          <w:rFonts w:ascii="Arial" w:hAnsi="Arial" w:cs="Arial"/>
          <w:sz w:val="24"/>
          <w:szCs w:val="24"/>
        </w:rPr>
      </w:pPr>
    </w:p>
    <w:p w14:paraId="4F716342" w14:textId="77777777" w:rsidR="002641D2" w:rsidRPr="00FA3F9C" w:rsidRDefault="002641D2" w:rsidP="0046788E">
      <w:pPr>
        <w:spacing w:after="0" w:line="240" w:lineRule="auto"/>
        <w:ind w:left="720"/>
        <w:rPr>
          <w:rFonts w:ascii="Arial" w:hAnsi="Arial" w:cs="Arial"/>
          <w:sz w:val="24"/>
          <w:szCs w:val="24"/>
        </w:rPr>
      </w:pPr>
    </w:p>
    <w:p w14:paraId="4BF9C6F3" w14:textId="77777777" w:rsidR="002641D2" w:rsidRPr="00FA3F9C" w:rsidRDefault="002641D2">
      <w:pPr>
        <w:rPr>
          <w:rFonts w:ascii="Arial" w:hAnsi="Arial" w:cs="Arial"/>
          <w:sz w:val="24"/>
          <w:szCs w:val="24"/>
        </w:rPr>
      </w:pPr>
    </w:p>
    <w:tbl>
      <w:tblPr>
        <w:tblW w:w="104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09"/>
      </w:tblGrid>
      <w:tr w:rsidR="002641D2" w:rsidRPr="00FA3F9C" w14:paraId="12E0EB84" w14:textId="77777777" w:rsidTr="00E51820">
        <w:tc>
          <w:tcPr>
            <w:tcW w:w="10409" w:type="dxa"/>
            <w:tcBorders>
              <w:top w:val="nil"/>
              <w:bottom w:val="single" w:sz="4" w:space="0" w:color="auto"/>
            </w:tcBorders>
            <w:shd w:val="clear" w:color="auto" w:fill="000000"/>
          </w:tcPr>
          <w:p w14:paraId="4852284D" w14:textId="77777777" w:rsidR="002641D2" w:rsidRPr="00FA3F9C" w:rsidRDefault="002641D2" w:rsidP="00E51820">
            <w:pPr>
              <w:spacing w:after="0"/>
              <w:rPr>
                <w:rFonts w:ascii="Arial" w:hAnsi="Arial" w:cs="Arial"/>
                <w:b/>
                <w:sz w:val="24"/>
                <w:szCs w:val="24"/>
                <w:u w:val="single"/>
              </w:rPr>
            </w:pPr>
            <w:r w:rsidRPr="00FA3F9C">
              <w:rPr>
                <w:rFonts w:ascii="Arial" w:hAnsi="Arial" w:cs="Arial"/>
                <w:sz w:val="24"/>
                <w:szCs w:val="24"/>
                <w:rPrChange w:id="149" w:author="Keisner, Sidney" w:date="2019-01-22T12:09:00Z">
                  <w:rPr>
                    <w:rFonts w:ascii="Shruti" w:hAnsi="Shruti" w:cs="Shruti"/>
                    <w:lang w:val="es-ES"/>
                  </w:rPr>
                </w:rPrChange>
              </w:rPr>
              <w:br w:type="page"/>
            </w:r>
            <w:r w:rsidRPr="00FA3F9C">
              <w:rPr>
                <w:rFonts w:ascii="Arial" w:hAnsi="Arial" w:cs="Arial"/>
                <w:b/>
                <w:sz w:val="24"/>
                <w:szCs w:val="24"/>
                <w:u w:val="single"/>
              </w:rPr>
              <w:t>Renal Cell Carcinoma (RCC)</w:t>
            </w:r>
          </w:p>
        </w:tc>
      </w:tr>
      <w:tr w:rsidR="002641D2" w:rsidRPr="00FA3F9C" w14:paraId="7D9C9B9F" w14:textId="77777777" w:rsidTr="00E51820">
        <w:trPr>
          <w:trHeight w:val="305"/>
        </w:trPr>
        <w:tc>
          <w:tcPr>
            <w:tcW w:w="10409" w:type="dxa"/>
          </w:tcPr>
          <w:p w14:paraId="59B7DCC0" w14:textId="77777777" w:rsidR="002641D2" w:rsidRPr="00FA3F9C" w:rsidRDefault="002641D2" w:rsidP="002641D2">
            <w:pPr>
              <w:pStyle w:val="ListParagraph"/>
              <w:numPr>
                <w:ilvl w:val="0"/>
                <w:numId w:val="279"/>
              </w:numPr>
              <w:spacing w:after="0" w:line="276" w:lineRule="auto"/>
              <w:rPr>
                <w:rFonts w:ascii="Arial" w:hAnsi="Arial" w:cs="Arial"/>
                <w:sz w:val="24"/>
                <w:szCs w:val="24"/>
              </w:rPr>
            </w:pPr>
            <w:r w:rsidRPr="00FA3F9C">
              <w:rPr>
                <w:rFonts w:ascii="Arial" w:hAnsi="Arial" w:cs="Arial"/>
                <w:sz w:val="24"/>
                <w:szCs w:val="24"/>
              </w:rPr>
              <w:t>See nivolumab (</w:t>
            </w:r>
            <w:proofErr w:type="spellStart"/>
            <w:r w:rsidRPr="00FA3F9C">
              <w:rPr>
                <w:rFonts w:ascii="Arial" w:hAnsi="Arial" w:cs="Arial"/>
                <w:sz w:val="24"/>
                <w:szCs w:val="24"/>
              </w:rPr>
              <w:t>Opdivo</w:t>
            </w:r>
            <w:proofErr w:type="spellEnd"/>
            <w:r w:rsidRPr="00FA3F9C">
              <w:rPr>
                <w:rFonts w:ascii="Arial" w:hAnsi="Arial" w:cs="Arial"/>
                <w:sz w:val="24"/>
                <w:szCs w:val="24"/>
              </w:rPr>
              <w:t>) FIRST LINE TREATMENT CRITERIA for use with IPILIMUMAB. If criteria met, approve ipilimumab (</w:t>
            </w:r>
            <w:proofErr w:type="spellStart"/>
            <w:r w:rsidRPr="00FA3F9C">
              <w:rPr>
                <w:rFonts w:ascii="Arial" w:hAnsi="Arial" w:cs="Arial"/>
                <w:sz w:val="24"/>
                <w:szCs w:val="24"/>
              </w:rPr>
              <w:t>Yervoy</w:t>
            </w:r>
            <w:proofErr w:type="spellEnd"/>
            <w:r w:rsidRPr="00FA3F9C">
              <w:rPr>
                <w:rFonts w:ascii="Arial" w:hAnsi="Arial" w:cs="Arial"/>
                <w:sz w:val="24"/>
                <w:szCs w:val="24"/>
              </w:rPr>
              <w:t>) for 4 months (maximum of 4 doses total).</w:t>
            </w:r>
          </w:p>
        </w:tc>
      </w:tr>
      <w:tr w:rsidR="002641D2" w:rsidRPr="00FA3F9C" w14:paraId="50522609" w14:textId="77777777" w:rsidTr="00E51820">
        <w:tc>
          <w:tcPr>
            <w:tcW w:w="10409" w:type="dxa"/>
          </w:tcPr>
          <w:p w14:paraId="7C0B15D9" w14:textId="77777777" w:rsidR="002641D2" w:rsidRPr="00FA3F9C" w:rsidRDefault="002641D2" w:rsidP="00E51820">
            <w:pPr>
              <w:spacing w:after="0"/>
              <w:rPr>
                <w:rFonts w:ascii="Arial" w:hAnsi="Arial" w:cs="Arial"/>
                <w:sz w:val="24"/>
                <w:szCs w:val="24"/>
              </w:rPr>
            </w:pPr>
            <w:r w:rsidRPr="00FA3F9C">
              <w:rPr>
                <w:rFonts w:ascii="Arial" w:hAnsi="Arial" w:cs="Arial"/>
                <w:sz w:val="24"/>
                <w:szCs w:val="24"/>
              </w:rPr>
              <w:t>NOTE: Continuation not allowed if 4 doses already given. If doses were delayed due to toxicity or other reason and reapproval is needed, approve as indicated if no disease progression and no unacceptable toxicity.</w:t>
            </w:r>
          </w:p>
        </w:tc>
      </w:tr>
    </w:tbl>
    <w:p w14:paraId="7A89F903" w14:textId="77777777" w:rsidR="002641D2" w:rsidRPr="00FA3F9C" w:rsidRDefault="002641D2">
      <w:pPr>
        <w:rPr>
          <w:rFonts w:ascii="Arial" w:hAnsi="Arial" w:cs="Arial"/>
          <w:sz w:val="24"/>
          <w:szCs w:val="24"/>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68"/>
      </w:tblGrid>
      <w:tr w:rsidR="002641D2" w:rsidRPr="00FA3F9C" w14:paraId="49306BD1" w14:textId="77777777" w:rsidTr="000204AC">
        <w:tc>
          <w:tcPr>
            <w:tcW w:w="10368" w:type="dxa"/>
            <w:tcBorders>
              <w:bottom w:val="single" w:sz="4" w:space="0" w:color="auto"/>
            </w:tcBorders>
            <w:shd w:val="clear" w:color="auto" w:fill="000000"/>
          </w:tcPr>
          <w:p w14:paraId="1A22EED0" w14:textId="77777777" w:rsidR="002641D2" w:rsidRPr="00FA3F9C" w:rsidRDefault="002641D2" w:rsidP="001A74FA">
            <w:pPr>
              <w:spacing w:after="0" w:line="240" w:lineRule="auto"/>
              <w:rPr>
                <w:rFonts w:ascii="Arial" w:hAnsi="Arial" w:cs="Arial"/>
                <w:b/>
                <w:sz w:val="24"/>
                <w:szCs w:val="24"/>
                <w:u w:val="single"/>
              </w:rPr>
            </w:pPr>
            <w:r w:rsidRPr="00FA3F9C">
              <w:rPr>
                <w:rFonts w:ascii="Arial" w:hAnsi="Arial" w:cs="Arial"/>
                <w:sz w:val="24"/>
                <w:szCs w:val="24"/>
              </w:rPr>
              <w:br w:type="page"/>
            </w:r>
            <w:r w:rsidRPr="00FA3F9C">
              <w:rPr>
                <w:rFonts w:ascii="Arial" w:hAnsi="Arial" w:cs="Arial"/>
                <w:b/>
                <w:sz w:val="24"/>
                <w:szCs w:val="24"/>
                <w:u w:val="single"/>
              </w:rPr>
              <w:t>Non-Small Cell Lung Cancer (NSCLC)</w:t>
            </w:r>
            <w:bookmarkStart w:id="150" w:name="NSCLC"/>
            <w:bookmarkEnd w:id="150"/>
          </w:p>
        </w:tc>
      </w:tr>
      <w:tr w:rsidR="002641D2" w:rsidRPr="00FA3F9C" w14:paraId="13A3727D" w14:textId="77777777" w:rsidTr="00E03DFF">
        <w:trPr>
          <w:trHeight w:val="368"/>
        </w:trPr>
        <w:tc>
          <w:tcPr>
            <w:tcW w:w="10368" w:type="dxa"/>
            <w:vAlign w:val="center"/>
          </w:tcPr>
          <w:p w14:paraId="61A50AFD" w14:textId="77777777" w:rsidR="002641D2" w:rsidRPr="00FA3F9C" w:rsidRDefault="002641D2" w:rsidP="00E51820">
            <w:pPr>
              <w:spacing w:after="0" w:line="240" w:lineRule="auto"/>
              <w:contextualSpacing/>
              <w:rPr>
                <w:rFonts w:ascii="Arial" w:hAnsi="Arial" w:cs="Arial"/>
                <w:sz w:val="24"/>
                <w:szCs w:val="24"/>
              </w:rPr>
            </w:pPr>
            <w:r w:rsidRPr="00FA3F9C">
              <w:rPr>
                <w:rFonts w:ascii="Arial" w:hAnsi="Arial" w:cs="Arial"/>
                <w:sz w:val="24"/>
                <w:szCs w:val="24"/>
              </w:rPr>
              <w:t>If patient meets criteria for use of nivolumab (</w:t>
            </w:r>
            <w:proofErr w:type="spellStart"/>
            <w:r w:rsidRPr="00FA3F9C">
              <w:rPr>
                <w:rFonts w:ascii="Arial" w:hAnsi="Arial" w:cs="Arial"/>
                <w:sz w:val="24"/>
                <w:szCs w:val="24"/>
              </w:rPr>
              <w:t>Opdivo</w:t>
            </w:r>
            <w:proofErr w:type="spellEnd"/>
            <w:r w:rsidRPr="00FA3F9C">
              <w:rPr>
                <w:rFonts w:ascii="Arial" w:hAnsi="Arial" w:cs="Arial"/>
                <w:sz w:val="24"/>
                <w:szCs w:val="24"/>
              </w:rPr>
              <w:t xml:space="preserve">) in combination with ipilimumab for first-line treatment (no prior therapy for advanced/metastatic disease) of NSCLC, approve x 12 months. </w:t>
            </w:r>
          </w:p>
        </w:tc>
      </w:tr>
      <w:tr w:rsidR="002641D2" w:rsidRPr="00FA3F9C" w14:paraId="48408209" w14:textId="77777777" w:rsidTr="00E03DFF">
        <w:trPr>
          <w:trHeight w:val="368"/>
        </w:trPr>
        <w:tc>
          <w:tcPr>
            <w:tcW w:w="10368" w:type="dxa"/>
            <w:vAlign w:val="center"/>
          </w:tcPr>
          <w:p w14:paraId="006BF271" w14:textId="77777777" w:rsidR="002641D2" w:rsidRPr="00FA3F9C" w:rsidRDefault="002641D2" w:rsidP="00E51820">
            <w:pPr>
              <w:spacing w:after="0" w:line="240" w:lineRule="auto"/>
              <w:contextualSpacing/>
              <w:rPr>
                <w:rFonts w:ascii="Arial" w:hAnsi="Arial" w:cs="Arial"/>
                <w:sz w:val="24"/>
                <w:szCs w:val="24"/>
              </w:rPr>
            </w:pPr>
            <w:r w:rsidRPr="00FA3F9C">
              <w:rPr>
                <w:rFonts w:ascii="Arial" w:hAnsi="Arial" w:cs="Arial"/>
                <w:sz w:val="24"/>
                <w:szCs w:val="24"/>
              </w:rPr>
              <w:t>NOTE: Ipilimumab is continued until disease progression or unacceptable toxicity for this indication</w:t>
            </w:r>
          </w:p>
        </w:tc>
      </w:tr>
    </w:tbl>
    <w:p w14:paraId="6DC97AD2" w14:textId="77777777" w:rsidR="002641D2" w:rsidRPr="00FA3F9C" w:rsidRDefault="002641D2">
      <w:pPr>
        <w:rPr>
          <w:rFonts w:ascii="Arial" w:hAnsi="Arial" w:cs="Arial"/>
          <w:sz w:val="24"/>
          <w:szCs w:val="24"/>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68"/>
      </w:tblGrid>
      <w:tr w:rsidR="002641D2" w:rsidRPr="00FA3F9C" w14:paraId="087A6237" w14:textId="77777777" w:rsidTr="00F425F7">
        <w:tc>
          <w:tcPr>
            <w:tcW w:w="10368" w:type="dxa"/>
            <w:tcBorders>
              <w:bottom w:val="single" w:sz="4" w:space="0" w:color="auto"/>
            </w:tcBorders>
            <w:shd w:val="clear" w:color="auto" w:fill="000000"/>
          </w:tcPr>
          <w:p w14:paraId="6579B0A4" w14:textId="77777777" w:rsidR="002641D2" w:rsidRPr="00FA3F9C" w:rsidRDefault="002641D2" w:rsidP="00CA0685">
            <w:pPr>
              <w:spacing w:after="0" w:line="240" w:lineRule="auto"/>
              <w:rPr>
                <w:rFonts w:ascii="Arial" w:hAnsi="Arial" w:cs="Arial"/>
                <w:b/>
                <w:sz w:val="24"/>
                <w:szCs w:val="24"/>
                <w:u w:val="single"/>
              </w:rPr>
            </w:pPr>
            <w:r w:rsidRPr="00FA3F9C">
              <w:rPr>
                <w:rFonts w:ascii="Arial" w:hAnsi="Arial" w:cs="Arial"/>
                <w:sz w:val="24"/>
                <w:szCs w:val="24"/>
              </w:rPr>
              <w:br w:type="page"/>
            </w:r>
            <w:r w:rsidRPr="00FA3F9C">
              <w:rPr>
                <w:rFonts w:ascii="Arial" w:hAnsi="Arial" w:cs="Arial"/>
                <w:b/>
                <w:sz w:val="24"/>
                <w:szCs w:val="24"/>
                <w:u w:val="single"/>
              </w:rPr>
              <w:t>Malignant Pleural Mesothelioma</w:t>
            </w:r>
          </w:p>
        </w:tc>
      </w:tr>
      <w:tr w:rsidR="002641D2" w:rsidRPr="00FA3F9C" w14:paraId="304F5DE4" w14:textId="77777777" w:rsidTr="00F81D0D">
        <w:trPr>
          <w:trHeight w:val="413"/>
        </w:trPr>
        <w:tc>
          <w:tcPr>
            <w:tcW w:w="10368" w:type="dxa"/>
            <w:vAlign w:val="center"/>
          </w:tcPr>
          <w:p w14:paraId="5A169B44" w14:textId="77777777" w:rsidR="002641D2" w:rsidRPr="00FA3F9C" w:rsidRDefault="002641D2" w:rsidP="00CA0685">
            <w:pPr>
              <w:spacing w:after="0" w:line="240" w:lineRule="auto"/>
              <w:contextualSpacing/>
              <w:rPr>
                <w:rFonts w:ascii="Arial" w:hAnsi="Arial" w:cs="Arial"/>
                <w:sz w:val="24"/>
                <w:szCs w:val="24"/>
              </w:rPr>
            </w:pPr>
            <w:r w:rsidRPr="00FA3F9C">
              <w:rPr>
                <w:rFonts w:ascii="Arial" w:hAnsi="Arial" w:cs="Arial"/>
                <w:sz w:val="24"/>
                <w:szCs w:val="24"/>
              </w:rPr>
              <w:t>If patient meets criteria for use of nivolumab (</w:t>
            </w:r>
            <w:proofErr w:type="spellStart"/>
            <w:r w:rsidRPr="00FA3F9C">
              <w:rPr>
                <w:rFonts w:ascii="Arial" w:hAnsi="Arial" w:cs="Arial"/>
                <w:sz w:val="24"/>
                <w:szCs w:val="24"/>
              </w:rPr>
              <w:t>Opdivo</w:t>
            </w:r>
            <w:proofErr w:type="spellEnd"/>
            <w:r w:rsidRPr="00FA3F9C">
              <w:rPr>
                <w:rFonts w:ascii="Arial" w:hAnsi="Arial" w:cs="Arial"/>
                <w:sz w:val="24"/>
                <w:szCs w:val="24"/>
              </w:rPr>
              <w:t xml:space="preserve">) in combination with ipilimumab for treatment of malignant pleural mesothelioma, approve x 12 months. </w:t>
            </w:r>
          </w:p>
        </w:tc>
      </w:tr>
      <w:tr w:rsidR="002641D2" w:rsidRPr="00FA3F9C" w14:paraId="5AE677AB" w14:textId="77777777" w:rsidTr="00F81D0D">
        <w:trPr>
          <w:trHeight w:val="143"/>
        </w:trPr>
        <w:tc>
          <w:tcPr>
            <w:tcW w:w="10368" w:type="dxa"/>
            <w:vAlign w:val="center"/>
          </w:tcPr>
          <w:p w14:paraId="6FD1B3AA" w14:textId="77777777" w:rsidR="002641D2" w:rsidRPr="00FA3F9C" w:rsidRDefault="002641D2" w:rsidP="00CA0685">
            <w:pPr>
              <w:spacing w:after="0" w:line="240" w:lineRule="auto"/>
              <w:contextualSpacing/>
              <w:rPr>
                <w:rFonts w:ascii="Arial" w:hAnsi="Arial" w:cs="Arial"/>
                <w:sz w:val="24"/>
                <w:szCs w:val="24"/>
              </w:rPr>
            </w:pPr>
            <w:r w:rsidRPr="00FA3F9C">
              <w:rPr>
                <w:rFonts w:ascii="Arial" w:hAnsi="Arial" w:cs="Arial"/>
                <w:sz w:val="24"/>
                <w:szCs w:val="24"/>
              </w:rPr>
              <w:t>NOTE: Ipilimumab is continued until disease progression or unacceptable toxicity for this indication</w:t>
            </w:r>
          </w:p>
        </w:tc>
      </w:tr>
    </w:tbl>
    <w:p w14:paraId="5689BF26" w14:textId="77777777" w:rsidR="002641D2" w:rsidRPr="00FA3F9C" w:rsidRDefault="002641D2">
      <w:pPr>
        <w:rPr>
          <w:rFonts w:ascii="Arial" w:hAnsi="Arial" w:cs="Arial"/>
          <w:sz w:val="24"/>
          <w:szCs w:val="24"/>
        </w:rPr>
      </w:pPr>
    </w:p>
    <w:tbl>
      <w:tblPr>
        <w:tblW w:w="10349" w:type="dxa"/>
        <w:tblInd w:w="-3" w:type="dxa"/>
        <w:tblBorders>
          <w:top w:val="outset" w:sz="12" w:space="0" w:color="C0C0C0"/>
          <w:left w:val="outset" w:sz="12" w:space="0" w:color="C0C0C0"/>
          <w:bottom w:val="outset" w:sz="12" w:space="0" w:color="C0C0C0"/>
          <w:right w:val="outset" w:sz="12" w:space="0" w:color="C0C0C0"/>
        </w:tblBorders>
        <w:tblLayout w:type="fixed"/>
        <w:tblCellMar>
          <w:top w:w="45" w:type="dxa"/>
          <w:left w:w="45" w:type="dxa"/>
          <w:bottom w:w="45" w:type="dxa"/>
          <w:right w:w="45" w:type="dxa"/>
        </w:tblCellMar>
        <w:tblLook w:val="04A0" w:firstRow="1" w:lastRow="0" w:firstColumn="1" w:lastColumn="0" w:noHBand="0" w:noVBand="1"/>
      </w:tblPr>
      <w:tblGrid>
        <w:gridCol w:w="1967"/>
        <w:gridCol w:w="8382"/>
      </w:tblGrid>
      <w:tr w:rsidR="002641D2" w:rsidRPr="00FA3F9C" w14:paraId="0B8A900F" w14:textId="77777777" w:rsidTr="001A74FA">
        <w:tc>
          <w:tcPr>
            <w:tcW w:w="1967" w:type="dxa"/>
            <w:tcBorders>
              <w:top w:val="outset" w:sz="6" w:space="0" w:color="C0C0C0"/>
              <w:left w:val="outset" w:sz="6" w:space="0" w:color="C0C0C0"/>
              <w:bottom w:val="outset" w:sz="6" w:space="0" w:color="C0C0C0"/>
              <w:right w:val="outset" w:sz="6" w:space="0" w:color="C0C0C0"/>
            </w:tcBorders>
            <w:shd w:val="clear" w:color="auto" w:fill="D9E2F3" w:themeFill="accent1" w:themeFillTint="33"/>
            <w:vAlign w:val="center"/>
            <w:hideMark/>
          </w:tcPr>
          <w:p w14:paraId="7D770173" w14:textId="77777777" w:rsidR="002641D2" w:rsidRPr="00FA3F9C" w:rsidRDefault="002641D2" w:rsidP="001A74FA">
            <w:pPr>
              <w:spacing w:after="0" w:line="240" w:lineRule="auto"/>
              <w:jc w:val="center"/>
              <w:rPr>
                <w:rFonts w:ascii="Arial" w:eastAsia="Times New Roman" w:hAnsi="Arial" w:cs="Arial"/>
                <w:color w:val="000000"/>
                <w:sz w:val="24"/>
                <w:szCs w:val="24"/>
              </w:rPr>
            </w:pPr>
            <w:proofErr w:type="spellStart"/>
            <w:r w:rsidRPr="00FA3F9C">
              <w:rPr>
                <w:rFonts w:ascii="Arial" w:eastAsia="Times New Roman" w:hAnsi="Arial" w:cs="Arial"/>
                <w:color w:val="0000FF"/>
                <w:sz w:val="24"/>
                <w:szCs w:val="24"/>
              </w:rPr>
              <w:t>Karnofsky</w:t>
            </w:r>
            <w:proofErr w:type="spellEnd"/>
            <w:r w:rsidRPr="00FA3F9C">
              <w:rPr>
                <w:rFonts w:ascii="Arial" w:eastAsia="Times New Roman" w:hAnsi="Arial" w:cs="Arial"/>
                <w:color w:val="0000FF"/>
                <w:sz w:val="24"/>
                <w:szCs w:val="24"/>
              </w:rPr>
              <w:t xml:space="preserve"> Score (KS)</w:t>
            </w:r>
          </w:p>
        </w:tc>
        <w:tc>
          <w:tcPr>
            <w:tcW w:w="8382" w:type="dxa"/>
            <w:tcBorders>
              <w:top w:val="outset" w:sz="6" w:space="0" w:color="C0C0C0"/>
              <w:left w:val="outset" w:sz="6" w:space="0" w:color="C0C0C0"/>
              <w:bottom w:val="outset" w:sz="6" w:space="0" w:color="C0C0C0"/>
              <w:right w:val="outset" w:sz="6" w:space="0" w:color="C0C0C0"/>
            </w:tcBorders>
            <w:shd w:val="clear" w:color="auto" w:fill="D9E2F3" w:themeFill="accent1" w:themeFillTint="33"/>
            <w:vAlign w:val="center"/>
            <w:hideMark/>
          </w:tcPr>
          <w:p w14:paraId="597F8127" w14:textId="77777777" w:rsidR="002641D2" w:rsidRPr="00FA3F9C" w:rsidRDefault="002641D2" w:rsidP="001A74FA">
            <w:pPr>
              <w:spacing w:after="0" w:line="240" w:lineRule="auto"/>
              <w:rPr>
                <w:rFonts w:ascii="Arial" w:eastAsia="Times New Roman" w:hAnsi="Arial" w:cs="Arial"/>
                <w:color w:val="000000"/>
                <w:sz w:val="24"/>
                <w:szCs w:val="24"/>
              </w:rPr>
            </w:pPr>
            <w:r w:rsidRPr="00FA3F9C">
              <w:rPr>
                <w:rFonts w:ascii="Arial" w:eastAsia="Times New Roman" w:hAnsi="Arial" w:cs="Arial"/>
                <w:color w:val="0000FF"/>
                <w:sz w:val="24"/>
                <w:szCs w:val="24"/>
              </w:rPr>
              <w:t>                  Definition</w:t>
            </w:r>
          </w:p>
        </w:tc>
      </w:tr>
      <w:tr w:rsidR="002641D2" w:rsidRPr="00FA3F9C" w14:paraId="746DF97A" w14:textId="77777777" w:rsidTr="001A74FA">
        <w:tc>
          <w:tcPr>
            <w:tcW w:w="1967" w:type="dxa"/>
            <w:tcBorders>
              <w:top w:val="outset" w:sz="6" w:space="0" w:color="C0C0C0"/>
              <w:left w:val="outset" w:sz="6" w:space="0" w:color="C0C0C0"/>
              <w:bottom w:val="outset" w:sz="6" w:space="0" w:color="C0C0C0"/>
              <w:right w:val="outset" w:sz="6" w:space="0" w:color="C0C0C0"/>
            </w:tcBorders>
            <w:shd w:val="clear" w:color="auto" w:fill="D9E2F3" w:themeFill="accent1" w:themeFillTint="33"/>
            <w:vAlign w:val="center"/>
            <w:hideMark/>
          </w:tcPr>
          <w:p w14:paraId="5DC54F96" w14:textId="77777777" w:rsidR="002641D2" w:rsidRPr="00FA3F9C" w:rsidRDefault="002641D2" w:rsidP="001A74FA">
            <w:pPr>
              <w:spacing w:after="0" w:line="240" w:lineRule="auto"/>
              <w:jc w:val="center"/>
              <w:rPr>
                <w:rFonts w:ascii="Arial" w:eastAsia="Times New Roman" w:hAnsi="Arial" w:cs="Arial"/>
                <w:color w:val="000000"/>
                <w:sz w:val="24"/>
                <w:szCs w:val="24"/>
              </w:rPr>
            </w:pPr>
            <w:r w:rsidRPr="00FA3F9C">
              <w:rPr>
                <w:rFonts w:ascii="Arial" w:eastAsia="Times New Roman" w:hAnsi="Arial" w:cs="Arial"/>
                <w:color w:val="FF0000"/>
                <w:sz w:val="24"/>
                <w:szCs w:val="24"/>
              </w:rPr>
              <w:t>100</w:t>
            </w:r>
          </w:p>
        </w:tc>
        <w:tc>
          <w:tcPr>
            <w:tcW w:w="8382" w:type="dxa"/>
            <w:tcBorders>
              <w:top w:val="outset" w:sz="6" w:space="0" w:color="C0C0C0"/>
              <w:left w:val="outset" w:sz="6" w:space="0" w:color="C0C0C0"/>
              <w:bottom w:val="outset" w:sz="6" w:space="0" w:color="C0C0C0"/>
              <w:right w:val="outset" w:sz="6" w:space="0" w:color="C0C0C0"/>
            </w:tcBorders>
            <w:shd w:val="clear" w:color="auto" w:fill="D9E2F3" w:themeFill="accent1" w:themeFillTint="33"/>
            <w:vAlign w:val="center"/>
            <w:hideMark/>
          </w:tcPr>
          <w:p w14:paraId="758B19E9" w14:textId="77777777" w:rsidR="002641D2" w:rsidRPr="00FA3F9C" w:rsidRDefault="002641D2" w:rsidP="001A74FA">
            <w:pPr>
              <w:spacing w:after="0"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Normal; no complaints; no evidence of disease</w:t>
            </w:r>
          </w:p>
        </w:tc>
      </w:tr>
      <w:tr w:rsidR="002641D2" w:rsidRPr="00FA3F9C" w14:paraId="5C48D541" w14:textId="77777777" w:rsidTr="001A74FA">
        <w:tc>
          <w:tcPr>
            <w:tcW w:w="1967" w:type="dxa"/>
            <w:tcBorders>
              <w:top w:val="outset" w:sz="6" w:space="0" w:color="C0C0C0"/>
              <w:left w:val="outset" w:sz="6" w:space="0" w:color="C0C0C0"/>
              <w:bottom w:val="outset" w:sz="6" w:space="0" w:color="C0C0C0"/>
              <w:right w:val="outset" w:sz="6" w:space="0" w:color="C0C0C0"/>
            </w:tcBorders>
            <w:shd w:val="clear" w:color="auto" w:fill="D9E2F3" w:themeFill="accent1" w:themeFillTint="33"/>
            <w:vAlign w:val="center"/>
            <w:hideMark/>
          </w:tcPr>
          <w:p w14:paraId="3A08A4A6" w14:textId="77777777" w:rsidR="002641D2" w:rsidRPr="00FA3F9C" w:rsidRDefault="002641D2" w:rsidP="001A74FA">
            <w:pPr>
              <w:spacing w:after="0" w:line="240" w:lineRule="auto"/>
              <w:jc w:val="center"/>
              <w:rPr>
                <w:rFonts w:ascii="Arial" w:eastAsia="Times New Roman" w:hAnsi="Arial" w:cs="Arial"/>
                <w:color w:val="000000"/>
                <w:sz w:val="24"/>
                <w:szCs w:val="24"/>
              </w:rPr>
            </w:pPr>
            <w:r w:rsidRPr="00FA3F9C">
              <w:rPr>
                <w:rFonts w:ascii="Arial" w:eastAsia="Times New Roman" w:hAnsi="Arial" w:cs="Arial"/>
                <w:color w:val="FF0000"/>
                <w:sz w:val="24"/>
                <w:szCs w:val="24"/>
              </w:rPr>
              <w:t>90</w:t>
            </w:r>
          </w:p>
        </w:tc>
        <w:tc>
          <w:tcPr>
            <w:tcW w:w="8382" w:type="dxa"/>
            <w:tcBorders>
              <w:top w:val="outset" w:sz="6" w:space="0" w:color="C0C0C0"/>
              <w:left w:val="outset" w:sz="6" w:space="0" w:color="C0C0C0"/>
              <w:bottom w:val="outset" w:sz="6" w:space="0" w:color="C0C0C0"/>
              <w:right w:val="outset" w:sz="6" w:space="0" w:color="C0C0C0"/>
            </w:tcBorders>
            <w:shd w:val="clear" w:color="auto" w:fill="D9E2F3" w:themeFill="accent1" w:themeFillTint="33"/>
            <w:vAlign w:val="center"/>
            <w:hideMark/>
          </w:tcPr>
          <w:p w14:paraId="78A13A5C" w14:textId="77777777" w:rsidR="002641D2" w:rsidRPr="00FA3F9C" w:rsidRDefault="002641D2" w:rsidP="001A74FA">
            <w:pPr>
              <w:spacing w:after="0"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Able to carry on normal activity; minor signs or symptoms of disease</w:t>
            </w:r>
          </w:p>
        </w:tc>
      </w:tr>
      <w:tr w:rsidR="002641D2" w:rsidRPr="00FA3F9C" w14:paraId="5844B86C" w14:textId="77777777" w:rsidTr="001A74FA">
        <w:tc>
          <w:tcPr>
            <w:tcW w:w="1967" w:type="dxa"/>
            <w:tcBorders>
              <w:top w:val="outset" w:sz="6" w:space="0" w:color="C0C0C0"/>
              <w:left w:val="outset" w:sz="6" w:space="0" w:color="C0C0C0"/>
              <w:bottom w:val="outset" w:sz="6" w:space="0" w:color="C0C0C0"/>
              <w:right w:val="outset" w:sz="6" w:space="0" w:color="C0C0C0"/>
            </w:tcBorders>
            <w:shd w:val="clear" w:color="auto" w:fill="D9E2F3" w:themeFill="accent1" w:themeFillTint="33"/>
            <w:vAlign w:val="center"/>
            <w:hideMark/>
          </w:tcPr>
          <w:p w14:paraId="712A05F0" w14:textId="77777777" w:rsidR="002641D2" w:rsidRPr="00FA3F9C" w:rsidRDefault="002641D2" w:rsidP="001A74FA">
            <w:pPr>
              <w:spacing w:after="0" w:line="240" w:lineRule="auto"/>
              <w:jc w:val="center"/>
              <w:rPr>
                <w:rFonts w:ascii="Arial" w:eastAsia="Times New Roman" w:hAnsi="Arial" w:cs="Arial"/>
                <w:color w:val="000000"/>
                <w:sz w:val="24"/>
                <w:szCs w:val="24"/>
              </w:rPr>
            </w:pPr>
            <w:r w:rsidRPr="00FA3F9C">
              <w:rPr>
                <w:rFonts w:ascii="Arial" w:eastAsia="Times New Roman" w:hAnsi="Arial" w:cs="Arial"/>
                <w:color w:val="FF0000"/>
                <w:sz w:val="24"/>
                <w:szCs w:val="24"/>
              </w:rPr>
              <w:t>80</w:t>
            </w:r>
          </w:p>
        </w:tc>
        <w:tc>
          <w:tcPr>
            <w:tcW w:w="8382" w:type="dxa"/>
            <w:tcBorders>
              <w:top w:val="outset" w:sz="6" w:space="0" w:color="C0C0C0"/>
              <w:left w:val="outset" w:sz="6" w:space="0" w:color="C0C0C0"/>
              <w:bottom w:val="outset" w:sz="6" w:space="0" w:color="C0C0C0"/>
              <w:right w:val="outset" w:sz="6" w:space="0" w:color="C0C0C0"/>
            </w:tcBorders>
            <w:shd w:val="clear" w:color="auto" w:fill="D9E2F3" w:themeFill="accent1" w:themeFillTint="33"/>
            <w:vAlign w:val="center"/>
            <w:hideMark/>
          </w:tcPr>
          <w:p w14:paraId="7432B488" w14:textId="77777777" w:rsidR="002641D2" w:rsidRPr="00FA3F9C" w:rsidRDefault="002641D2" w:rsidP="001A74FA">
            <w:pPr>
              <w:spacing w:after="0"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Normal activity with effort; some sign or symptoms of disease</w:t>
            </w:r>
          </w:p>
        </w:tc>
      </w:tr>
      <w:tr w:rsidR="002641D2" w:rsidRPr="00FA3F9C" w14:paraId="234A3DDA" w14:textId="77777777" w:rsidTr="001A74FA">
        <w:tc>
          <w:tcPr>
            <w:tcW w:w="1967" w:type="dxa"/>
            <w:tcBorders>
              <w:top w:val="outset" w:sz="6" w:space="0" w:color="C0C0C0"/>
              <w:left w:val="outset" w:sz="6" w:space="0" w:color="C0C0C0"/>
              <w:bottom w:val="outset" w:sz="6" w:space="0" w:color="C0C0C0"/>
              <w:right w:val="outset" w:sz="6" w:space="0" w:color="C0C0C0"/>
            </w:tcBorders>
            <w:shd w:val="clear" w:color="auto" w:fill="D9E2F3" w:themeFill="accent1" w:themeFillTint="33"/>
            <w:vAlign w:val="center"/>
            <w:hideMark/>
          </w:tcPr>
          <w:p w14:paraId="5F63DA2E" w14:textId="77777777" w:rsidR="002641D2" w:rsidRPr="00FA3F9C" w:rsidRDefault="002641D2" w:rsidP="001A74FA">
            <w:pPr>
              <w:spacing w:after="0" w:line="240" w:lineRule="auto"/>
              <w:jc w:val="center"/>
              <w:rPr>
                <w:rFonts w:ascii="Arial" w:eastAsia="Times New Roman" w:hAnsi="Arial" w:cs="Arial"/>
                <w:color w:val="000000"/>
                <w:sz w:val="24"/>
                <w:szCs w:val="24"/>
              </w:rPr>
            </w:pPr>
            <w:r w:rsidRPr="00FA3F9C">
              <w:rPr>
                <w:rFonts w:ascii="Arial" w:eastAsia="Times New Roman" w:hAnsi="Arial" w:cs="Arial"/>
                <w:color w:val="FF0000"/>
                <w:sz w:val="24"/>
                <w:szCs w:val="24"/>
              </w:rPr>
              <w:t>70</w:t>
            </w:r>
          </w:p>
        </w:tc>
        <w:tc>
          <w:tcPr>
            <w:tcW w:w="8382" w:type="dxa"/>
            <w:tcBorders>
              <w:top w:val="outset" w:sz="6" w:space="0" w:color="C0C0C0"/>
              <w:left w:val="outset" w:sz="6" w:space="0" w:color="C0C0C0"/>
              <w:bottom w:val="outset" w:sz="6" w:space="0" w:color="C0C0C0"/>
              <w:right w:val="outset" w:sz="6" w:space="0" w:color="C0C0C0"/>
            </w:tcBorders>
            <w:shd w:val="clear" w:color="auto" w:fill="D9E2F3" w:themeFill="accent1" w:themeFillTint="33"/>
            <w:vAlign w:val="center"/>
            <w:hideMark/>
          </w:tcPr>
          <w:p w14:paraId="14B5F37A" w14:textId="77777777" w:rsidR="002641D2" w:rsidRPr="00FA3F9C" w:rsidRDefault="002641D2" w:rsidP="001A74FA">
            <w:pPr>
              <w:spacing w:after="0"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Cares for self; unable to carry on normal activity or do active work</w:t>
            </w:r>
          </w:p>
        </w:tc>
      </w:tr>
      <w:tr w:rsidR="002641D2" w:rsidRPr="00FA3F9C" w14:paraId="4F473C47" w14:textId="77777777" w:rsidTr="001A74FA">
        <w:tc>
          <w:tcPr>
            <w:tcW w:w="1967" w:type="dxa"/>
            <w:tcBorders>
              <w:top w:val="outset" w:sz="6" w:space="0" w:color="C0C0C0"/>
              <w:left w:val="outset" w:sz="6" w:space="0" w:color="C0C0C0"/>
              <w:bottom w:val="outset" w:sz="6" w:space="0" w:color="C0C0C0"/>
              <w:right w:val="outset" w:sz="6" w:space="0" w:color="C0C0C0"/>
            </w:tcBorders>
            <w:shd w:val="clear" w:color="auto" w:fill="D9E2F3" w:themeFill="accent1" w:themeFillTint="33"/>
            <w:vAlign w:val="center"/>
            <w:hideMark/>
          </w:tcPr>
          <w:p w14:paraId="7233A650" w14:textId="77777777" w:rsidR="002641D2" w:rsidRPr="00FA3F9C" w:rsidRDefault="002641D2" w:rsidP="001A74FA">
            <w:pPr>
              <w:spacing w:after="0" w:line="240" w:lineRule="auto"/>
              <w:jc w:val="center"/>
              <w:rPr>
                <w:rFonts w:ascii="Arial" w:eastAsia="Times New Roman" w:hAnsi="Arial" w:cs="Arial"/>
                <w:color w:val="000000"/>
                <w:sz w:val="24"/>
                <w:szCs w:val="24"/>
              </w:rPr>
            </w:pPr>
            <w:r w:rsidRPr="00FA3F9C">
              <w:rPr>
                <w:rFonts w:ascii="Arial" w:eastAsia="Times New Roman" w:hAnsi="Arial" w:cs="Arial"/>
                <w:color w:val="FF0000"/>
                <w:sz w:val="24"/>
                <w:szCs w:val="24"/>
              </w:rPr>
              <w:t>60</w:t>
            </w:r>
          </w:p>
        </w:tc>
        <w:tc>
          <w:tcPr>
            <w:tcW w:w="8382" w:type="dxa"/>
            <w:tcBorders>
              <w:top w:val="outset" w:sz="6" w:space="0" w:color="C0C0C0"/>
              <w:left w:val="outset" w:sz="6" w:space="0" w:color="C0C0C0"/>
              <w:bottom w:val="outset" w:sz="6" w:space="0" w:color="C0C0C0"/>
              <w:right w:val="outset" w:sz="6" w:space="0" w:color="C0C0C0"/>
            </w:tcBorders>
            <w:shd w:val="clear" w:color="auto" w:fill="D9E2F3" w:themeFill="accent1" w:themeFillTint="33"/>
            <w:vAlign w:val="center"/>
            <w:hideMark/>
          </w:tcPr>
          <w:p w14:paraId="42804E43" w14:textId="77777777" w:rsidR="002641D2" w:rsidRPr="00FA3F9C" w:rsidRDefault="002641D2" w:rsidP="001A74FA">
            <w:pPr>
              <w:spacing w:after="0"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 xml:space="preserve">Requires occasional assistance, but </w:t>
            </w:r>
            <w:proofErr w:type="gramStart"/>
            <w:r w:rsidRPr="00FA3F9C">
              <w:rPr>
                <w:rFonts w:ascii="Arial" w:eastAsia="Times New Roman" w:hAnsi="Arial" w:cs="Arial"/>
                <w:color w:val="000000"/>
                <w:sz w:val="24"/>
                <w:szCs w:val="24"/>
              </w:rPr>
              <w:t>is able to</w:t>
            </w:r>
            <w:proofErr w:type="gramEnd"/>
            <w:r w:rsidRPr="00FA3F9C">
              <w:rPr>
                <w:rFonts w:ascii="Arial" w:eastAsia="Times New Roman" w:hAnsi="Arial" w:cs="Arial"/>
                <w:color w:val="000000"/>
                <w:sz w:val="24"/>
                <w:szCs w:val="24"/>
              </w:rPr>
              <w:t xml:space="preserve"> care for most personal needs</w:t>
            </w:r>
          </w:p>
        </w:tc>
      </w:tr>
      <w:tr w:rsidR="002641D2" w:rsidRPr="00FA3F9C" w14:paraId="00481441" w14:textId="77777777" w:rsidTr="001A74FA">
        <w:tc>
          <w:tcPr>
            <w:tcW w:w="1967" w:type="dxa"/>
            <w:tcBorders>
              <w:top w:val="outset" w:sz="6" w:space="0" w:color="C0C0C0"/>
              <w:left w:val="outset" w:sz="6" w:space="0" w:color="C0C0C0"/>
              <w:bottom w:val="outset" w:sz="6" w:space="0" w:color="C0C0C0"/>
              <w:right w:val="outset" w:sz="6" w:space="0" w:color="C0C0C0"/>
            </w:tcBorders>
            <w:shd w:val="clear" w:color="auto" w:fill="D9E2F3" w:themeFill="accent1" w:themeFillTint="33"/>
            <w:vAlign w:val="center"/>
            <w:hideMark/>
          </w:tcPr>
          <w:p w14:paraId="7AE044C2" w14:textId="77777777" w:rsidR="002641D2" w:rsidRPr="00FA3F9C" w:rsidRDefault="002641D2" w:rsidP="001A74FA">
            <w:pPr>
              <w:spacing w:after="0" w:line="240" w:lineRule="auto"/>
              <w:jc w:val="center"/>
              <w:rPr>
                <w:rFonts w:ascii="Arial" w:eastAsia="Times New Roman" w:hAnsi="Arial" w:cs="Arial"/>
                <w:color w:val="000000"/>
                <w:sz w:val="24"/>
                <w:szCs w:val="24"/>
              </w:rPr>
            </w:pPr>
            <w:r w:rsidRPr="00FA3F9C">
              <w:rPr>
                <w:rFonts w:ascii="Arial" w:eastAsia="Times New Roman" w:hAnsi="Arial" w:cs="Arial"/>
                <w:color w:val="FF0000"/>
                <w:sz w:val="24"/>
                <w:szCs w:val="24"/>
              </w:rPr>
              <w:t>50</w:t>
            </w:r>
          </w:p>
        </w:tc>
        <w:tc>
          <w:tcPr>
            <w:tcW w:w="8382" w:type="dxa"/>
            <w:tcBorders>
              <w:top w:val="outset" w:sz="6" w:space="0" w:color="C0C0C0"/>
              <w:left w:val="outset" w:sz="6" w:space="0" w:color="C0C0C0"/>
              <w:bottom w:val="outset" w:sz="6" w:space="0" w:color="C0C0C0"/>
              <w:right w:val="outset" w:sz="6" w:space="0" w:color="C0C0C0"/>
            </w:tcBorders>
            <w:shd w:val="clear" w:color="auto" w:fill="D9E2F3" w:themeFill="accent1" w:themeFillTint="33"/>
            <w:vAlign w:val="center"/>
            <w:hideMark/>
          </w:tcPr>
          <w:p w14:paraId="08BAC5EF" w14:textId="77777777" w:rsidR="002641D2" w:rsidRPr="00FA3F9C" w:rsidRDefault="002641D2" w:rsidP="001A74FA">
            <w:pPr>
              <w:spacing w:after="0"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Requires considerable assistance and frequent medical care</w:t>
            </w:r>
          </w:p>
        </w:tc>
      </w:tr>
      <w:tr w:rsidR="002641D2" w:rsidRPr="00FA3F9C" w14:paraId="248479A7" w14:textId="77777777" w:rsidTr="001A74FA">
        <w:tc>
          <w:tcPr>
            <w:tcW w:w="1967" w:type="dxa"/>
            <w:tcBorders>
              <w:top w:val="outset" w:sz="6" w:space="0" w:color="C0C0C0"/>
              <w:left w:val="outset" w:sz="6" w:space="0" w:color="C0C0C0"/>
              <w:bottom w:val="outset" w:sz="6" w:space="0" w:color="C0C0C0"/>
              <w:right w:val="outset" w:sz="6" w:space="0" w:color="C0C0C0"/>
            </w:tcBorders>
            <w:shd w:val="clear" w:color="auto" w:fill="D9E2F3" w:themeFill="accent1" w:themeFillTint="33"/>
            <w:vAlign w:val="center"/>
            <w:hideMark/>
          </w:tcPr>
          <w:p w14:paraId="683DBE74" w14:textId="77777777" w:rsidR="002641D2" w:rsidRPr="00FA3F9C" w:rsidRDefault="002641D2" w:rsidP="001A74FA">
            <w:pPr>
              <w:spacing w:after="0" w:line="240" w:lineRule="auto"/>
              <w:jc w:val="center"/>
              <w:rPr>
                <w:rFonts w:ascii="Arial" w:eastAsia="Times New Roman" w:hAnsi="Arial" w:cs="Arial"/>
                <w:color w:val="000000"/>
                <w:sz w:val="24"/>
                <w:szCs w:val="24"/>
              </w:rPr>
            </w:pPr>
            <w:r w:rsidRPr="00FA3F9C">
              <w:rPr>
                <w:rFonts w:ascii="Arial" w:eastAsia="Times New Roman" w:hAnsi="Arial" w:cs="Arial"/>
                <w:color w:val="FF0000"/>
                <w:sz w:val="24"/>
                <w:szCs w:val="24"/>
              </w:rPr>
              <w:t>40</w:t>
            </w:r>
          </w:p>
        </w:tc>
        <w:tc>
          <w:tcPr>
            <w:tcW w:w="8382" w:type="dxa"/>
            <w:tcBorders>
              <w:top w:val="outset" w:sz="6" w:space="0" w:color="C0C0C0"/>
              <w:left w:val="outset" w:sz="6" w:space="0" w:color="C0C0C0"/>
              <w:bottom w:val="outset" w:sz="6" w:space="0" w:color="C0C0C0"/>
              <w:right w:val="outset" w:sz="6" w:space="0" w:color="C0C0C0"/>
            </w:tcBorders>
            <w:shd w:val="clear" w:color="auto" w:fill="D9E2F3" w:themeFill="accent1" w:themeFillTint="33"/>
            <w:vAlign w:val="center"/>
            <w:hideMark/>
          </w:tcPr>
          <w:p w14:paraId="23C054DD" w14:textId="77777777" w:rsidR="002641D2" w:rsidRPr="00FA3F9C" w:rsidRDefault="002641D2" w:rsidP="001A74FA">
            <w:pPr>
              <w:spacing w:after="0"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Disabled; requires special care and assistance</w:t>
            </w:r>
          </w:p>
        </w:tc>
      </w:tr>
      <w:tr w:rsidR="002641D2" w:rsidRPr="00FA3F9C" w14:paraId="6F465188" w14:textId="77777777" w:rsidTr="001A74FA">
        <w:tc>
          <w:tcPr>
            <w:tcW w:w="1967" w:type="dxa"/>
            <w:tcBorders>
              <w:top w:val="outset" w:sz="6" w:space="0" w:color="C0C0C0"/>
              <w:left w:val="outset" w:sz="6" w:space="0" w:color="C0C0C0"/>
              <w:bottom w:val="outset" w:sz="6" w:space="0" w:color="C0C0C0"/>
              <w:right w:val="outset" w:sz="6" w:space="0" w:color="C0C0C0"/>
            </w:tcBorders>
            <w:shd w:val="clear" w:color="auto" w:fill="D9E2F3" w:themeFill="accent1" w:themeFillTint="33"/>
            <w:vAlign w:val="center"/>
            <w:hideMark/>
          </w:tcPr>
          <w:p w14:paraId="093BCD91" w14:textId="77777777" w:rsidR="002641D2" w:rsidRPr="00FA3F9C" w:rsidRDefault="002641D2" w:rsidP="001A74FA">
            <w:pPr>
              <w:spacing w:after="0" w:line="240" w:lineRule="auto"/>
              <w:jc w:val="center"/>
              <w:rPr>
                <w:rFonts w:ascii="Arial" w:eastAsia="Times New Roman" w:hAnsi="Arial" w:cs="Arial"/>
                <w:color w:val="000000"/>
                <w:sz w:val="24"/>
                <w:szCs w:val="24"/>
              </w:rPr>
            </w:pPr>
            <w:r w:rsidRPr="00FA3F9C">
              <w:rPr>
                <w:rFonts w:ascii="Arial" w:eastAsia="Times New Roman" w:hAnsi="Arial" w:cs="Arial"/>
                <w:color w:val="FF0000"/>
                <w:sz w:val="24"/>
                <w:szCs w:val="24"/>
              </w:rPr>
              <w:t>30</w:t>
            </w:r>
          </w:p>
        </w:tc>
        <w:tc>
          <w:tcPr>
            <w:tcW w:w="8382" w:type="dxa"/>
            <w:tcBorders>
              <w:top w:val="outset" w:sz="6" w:space="0" w:color="C0C0C0"/>
              <w:left w:val="outset" w:sz="6" w:space="0" w:color="C0C0C0"/>
              <w:bottom w:val="outset" w:sz="6" w:space="0" w:color="C0C0C0"/>
              <w:right w:val="outset" w:sz="6" w:space="0" w:color="C0C0C0"/>
            </w:tcBorders>
            <w:shd w:val="clear" w:color="auto" w:fill="D9E2F3" w:themeFill="accent1" w:themeFillTint="33"/>
            <w:vAlign w:val="center"/>
            <w:hideMark/>
          </w:tcPr>
          <w:p w14:paraId="5649FB9B" w14:textId="77777777" w:rsidR="002641D2" w:rsidRPr="00FA3F9C" w:rsidRDefault="002641D2" w:rsidP="001A74FA">
            <w:pPr>
              <w:spacing w:after="0"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Severely disabled; hospitalization is indicated, although death not imminent</w:t>
            </w:r>
          </w:p>
        </w:tc>
      </w:tr>
      <w:tr w:rsidR="002641D2" w:rsidRPr="00FA3F9C" w14:paraId="00962218" w14:textId="77777777" w:rsidTr="001A74FA">
        <w:tc>
          <w:tcPr>
            <w:tcW w:w="1967" w:type="dxa"/>
            <w:tcBorders>
              <w:top w:val="outset" w:sz="6" w:space="0" w:color="C0C0C0"/>
              <w:left w:val="outset" w:sz="6" w:space="0" w:color="C0C0C0"/>
              <w:bottom w:val="outset" w:sz="6" w:space="0" w:color="C0C0C0"/>
              <w:right w:val="outset" w:sz="6" w:space="0" w:color="C0C0C0"/>
            </w:tcBorders>
            <w:shd w:val="clear" w:color="auto" w:fill="D9E2F3" w:themeFill="accent1" w:themeFillTint="33"/>
            <w:vAlign w:val="center"/>
            <w:hideMark/>
          </w:tcPr>
          <w:p w14:paraId="77B2C1A5" w14:textId="77777777" w:rsidR="002641D2" w:rsidRPr="00FA3F9C" w:rsidRDefault="002641D2" w:rsidP="001A74FA">
            <w:pPr>
              <w:spacing w:after="0" w:line="240" w:lineRule="auto"/>
              <w:jc w:val="center"/>
              <w:rPr>
                <w:rFonts w:ascii="Arial" w:eastAsia="Times New Roman" w:hAnsi="Arial" w:cs="Arial"/>
                <w:color w:val="000000"/>
                <w:sz w:val="24"/>
                <w:szCs w:val="24"/>
              </w:rPr>
            </w:pPr>
            <w:r w:rsidRPr="00FA3F9C">
              <w:rPr>
                <w:rFonts w:ascii="Arial" w:eastAsia="Times New Roman" w:hAnsi="Arial" w:cs="Arial"/>
                <w:color w:val="FF0000"/>
                <w:sz w:val="24"/>
                <w:szCs w:val="24"/>
              </w:rPr>
              <w:t>20</w:t>
            </w:r>
          </w:p>
        </w:tc>
        <w:tc>
          <w:tcPr>
            <w:tcW w:w="8382" w:type="dxa"/>
            <w:tcBorders>
              <w:top w:val="outset" w:sz="6" w:space="0" w:color="C0C0C0"/>
              <w:left w:val="outset" w:sz="6" w:space="0" w:color="C0C0C0"/>
              <w:bottom w:val="outset" w:sz="6" w:space="0" w:color="C0C0C0"/>
              <w:right w:val="outset" w:sz="6" w:space="0" w:color="C0C0C0"/>
            </w:tcBorders>
            <w:shd w:val="clear" w:color="auto" w:fill="D9E2F3" w:themeFill="accent1" w:themeFillTint="33"/>
            <w:vAlign w:val="center"/>
            <w:hideMark/>
          </w:tcPr>
          <w:p w14:paraId="1FBBBEDF" w14:textId="77777777" w:rsidR="002641D2" w:rsidRPr="00FA3F9C" w:rsidRDefault="002641D2" w:rsidP="001A74FA">
            <w:pPr>
              <w:spacing w:after="0"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Very sick; hospitalization necessary; active support treatment is necessary</w:t>
            </w:r>
          </w:p>
        </w:tc>
      </w:tr>
      <w:tr w:rsidR="002641D2" w:rsidRPr="00FA3F9C" w14:paraId="2B1A9F0E" w14:textId="77777777" w:rsidTr="001A74FA">
        <w:tc>
          <w:tcPr>
            <w:tcW w:w="1967" w:type="dxa"/>
            <w:tcBorders>
              <w:top w:val="outset" w:sz="6" w:space="0" w:color="C0C0C0"/>
              <w:left w:val="outset" w:sz="6" w:space="0" w:color="C0C0C0"/>
              <w:bottom w:val="outset" w:sz="6" w:space="0" w:color="C0C0C0"/>
              <w:right w:val="outset" w:sz="6" w:space="0" w:color="C0C0C0"/>
            </w:tcBorders>
            <w:shd w:val="clear" w:color="auto" w:fill="D9E2F3" w:themeFill="accent1" w:themeFillTint="33"/>
            <w:vAlign w:val="center"/>
            <w:hideMark/>
          </w:tcPr>
          <w:p w14:paraId="1AA6A539" w14:textId="77777777" w:rsidR="002641D2" w:rsidRPr="00FA3F9C" w:rsidRDefault="002641D2" w:rsidP="001A74FA">
            <w:pPr>
              <w:spacing w:after="0" w:line="240" w:lineRule="auto"/>
              <w:jc w:val="center"/>
              <w:rPr>
                <w:rFonts w:ascii="Arial" w:eastAsia="Times New Roman" w:hAnsi="Arial" w:cs="Arial"/>
                <w:color w:val="000000"/>
                <w:sz w:val="24"/>
                <w:szCs w:val="24"/>
              </w:rPr>
            </w:pPr>
            <w:r w:rsidRPr="00FA3F9C">
              <w:rPr>
                <w:rFonts w:ascii="Arial" w:eastAsia="Times New Roman" w:hAnsi="Arial" w:cs="Arial"/>
                <w:color w:val="FF0000"/>
                <w:sz w:val="24"/>
                <w:szCs w:val="24"/>
              </w:rPr>
              <w:t>10</w:t>
            </w:r>
          </w:p>
        </w:tc>
        <w:tc>
          <w:tcPr>
            <w:tcW w:w="8382" w:type="dxa"/>
            <w:tcBorders>
              <w:top w:val="outset" w:sz="6" w:space="0" w:color="C0C0C0"/>
              <w:left w:val="outset" w:sz="6" w:space="0" w:color="C0C0C0"/>
              <w:bottom w:val="outset" w:sz="6" w:space="0" w:color="C0C0C0"/>
              <w:right w:val="outset" w:sz="6" w:space="0" w:color="C0C0C0"/>
            </w:tcBorders>
            <w:shd w:val="clear" w:color="auto" w:fill="D9E2F3" w:themeFill="accent1" w:themeFillTint="33"/>
            <w:vAlign w:val="center"/>
            <w:hideMark/>
          </w:tcPr>
          <w:p w14:paraId="061D3F86" w14:textId="77777777" w:rsidR="002641D2" w:rsidRPr="00FA3F9C" w:rsidRDefault="002641D2" w:rsidP="001A74FA">
            <w:pPr>
              <w:spacing w:after="0"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Moribund; fatal processes progressing rapidly</w:t>
            </w:r>
          </w:p>
        </w:tc>
      </w:tr>
      <w:tr w:rsidR="002641D2" w:rsidRPr="00FA3F9C" w14:paraId="20BD3A99" w14:textId="77777777" w:rsidTr="001A74FA">
        <w:tc>
          <w:tcPr>
            <w:tcW w:w="1967" w:type="dxa"/>
            <w:tcBorders>
              <w:top w:val="outset" w:sz="6" w:space="0" w:color="C0C0C0"/>
              <w:left w:val="outset" w:sz="6" w:space="0" w:color="C0C0C0"/>
              <w:bottom w:val="outset" w:sz="6" w:space="0" w:color="C0C0C0"/>
              <w:right w:val="outset" w:sz="6" w:space="0" w:color="C0C0C0"/>
            </w:tcBorders>
            <w:shd w:val="clear" w:color="auto" w:fill="D9E2F3" w:themeFill="accent1" w:themeFillTint="33"/>
            <w:vAlign w:val="center"/>
            <w:hideMark/>
          </w:tcPr>
          <w:p w14:paraId="3754B417" w14:textId="77777777" w:rsidR="002641D2" w:rsidRPr="00FA3F9C" w:rsidRDefault="002641D2" w:rsidP="001A74FA">
            <w:pPr>
              <w:spacing w:after="0" w:line="240" w:lineRule="auto"/>
              <w:jc w:val="center"/>
              <w:rPr>
                <w:rFonts w:ascii="Arial" w:eastAsia="Times New Roman" w:hAnsi="Arial" w:cs="Arial"/>
                <w:color w:val="000000"/>
                <w:sz w:val="24"/>
                <w:szCs w:val="24"/>
              </w:rPr>
            </w:pPr>
            <w:r w:rsidRPr="00FA3F9C">
              <w:rPr>
                <w:rFonts w:ascii="Arial" w:eastAsia="Times New Roman" w:hAnsi="Arial" w:cs="Arial"/>
                <w:color w:val="FF0000"/>
                <w:sz w:val="24"/>
                <w:szCs w:val="24"/>
              </w:rPr>
              <w:t>0</w:t>
            </w:r>
          </w:p>
        </w:tc>
        <w:tc>
          <w:tcPr>
            <w:tcW w:w="8382" w:type="dxa"/>
            <w:tcBorders>
              <w:top w:val="outset" w:sz="6" w:space="0" w:color="C0C0C0"/>
              <w:left w:val="outset" w:sz="6" w:space="0" w:color="C0C0C0"/>
              <w:bottom w:val="outset" w:sz="6" w:space="0" w:color="C0C0C0"/>
              <w:right w:val="outset" w:sz="6" w:space="0" w:color="C0C0C0"/>
            </w:tcBorders>
            <w:shd w:val="clear" w:color="auto" w:fill="D9E2F3" w:themeFill="accent1" w:themeFillTint="33"/>
            <w:vAlign w:val="center"/>
            <w:hideMark/>
          </w:tcPr>
          <w:p w14:paraId="478DA9F0" w14:textId="77777777" w:rsidR="002641D2" w:rsidRPr="00FA3F9C" w:rsidRDefault="002641D2" w:rsidP="001A74FA">
            <w:pPr>
              <w:spacing w:after="0"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Dead</w:t>
            </w:r>
          </w:p>
        </w:tc>
      </w:tr>
    </w:tbl>
    <w:p w14:paraId="167DD454" w14:textId="77777777" w:rsidR="002641D2" w:rsidRPr="00FA3F9C" w:rsidRDefault="002641D2" w:rsidP="002C32D1">
      <w:pPr>
        <w:rPr>
          <w:rFonts w:ascii="Arial" w:hAnsi="Arial" w:cs="Arial"/>
          <w:b/>
          <w:sz w:val="24"/>
          <w:szCs w:val="24"/>
        </w:rPr>
      </w:pPr>
    </w:p>
    <w:p w14:paraId="74475EB3" w14:textId="77777777" w:rsidR="002641D2" w:rsidRPr="00FA3F9C" w:rsidRDefault="002641D2" w:rsidP="002C32D1">
      <w:pPr>
        <w:rPr>
          <w:rFonts w:ascii="Arial" w:hAnsi="Arial" w:cs="Arial"/>
          <w:b/>
          <w:sz w:val="24"/>
          <w:szCs w:val="24"/>
        </w:rPr>
      </w:pPr>
    </w:p>
    <w:p w14:paraId="7108DE1A" w14:textId="77777777" w:rsidR="002641D2" w:rsidRPr="00FA3F9C" w:rsidRDefault="002641D2" w:rsidP="002C32D1">
      <w:pPr>
        <w:rPr>
          <w:rFonts w:ascii="Arial" w:hAnsi="Arial" w:cs="Arial"/>
          <w:b/>
          <w:sz w:val="24"/>
          <w:szCs w:val="24"/>
        </w:rPr>
      </w:pPr>
    </w:p>
    <w:p w14:paraId="7C3D8CFE" w14:textId="77777777" w:rsidR="002641D2" w:rsidRPr="00FA3F9C" w:rsidRDefault="002641D2" w:rsidP="002C32D1">
      <w:pPr>
        <w:rPr>
          <w:rFonts w:ascii="Arial" w:hAnsi="Arial" w:cs="Arial"/>
          <w:b/>
          <w:sz w:val="24"/>
          <w:szCs w:val="24"/>
        </w:rPr>
      </w:pPr>
    </w:p>
    <w:p w14:paraId="6056EEB9" w14:textId="77777777" w:rsidR="002641D2" w:rsidRPr="00FA3F9C" w:rsidRDefault="002641D2"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418"/>
        <w:gridCol w:w="8086"/>
        <w:gridCol w:w="1590"/>
      </w:tblGrid>
      <w:tr w:rsidR="002641D2" w:rsidRPr="00FA3F9C" w14:paraId="46D61893" w14:textId="77777777" w:rsidTr="000911B2">
        <w:tc>
          <w:tcPr>
            <w:tcW w:w="1382" w:type="dxa"/>
          </w:tcPr>
          <w:p w14:paraId="02111231" w14:textId="77777777" w:rsidR="002641D2" w:rsidRPr="00FA3F9C" w:rsidRDefault="002641D2" w:rsidP="000911B2">
            <w:pPr>
              <w:rPr>
                <w:rFonts w:ascii="Arial" w:hAnsi="Arial" w:cs="Arial"/>
                <w:sz w:val="24"/>
                <w:szCs w:val="24"/>
              </w:rPr>
            </w:pPr>
            <w:r w:rsidRPr="00FA3F9C">
              <w:rPr>
                <w:rFonts w:ascii="Arial" w:hAnsi="Arial" w:cs="Arial"/>
                <w:sz w:val="24"/>
                <w:szCs w:val="24"/>
              </w:rPr>
              <w:t>Date</w:t>
            </w:r>
          </w:p>
        </w:tc>
        <w:tc>
          <w:tcPr>
            <w:tcW w:w="8086" w:type="dxa"/>
          </w:tcPr>
          <w:p w14:paraId="63F39340" w14:textId="77777777" w:rsidR="002641D2" w:rsidRPr="00FA3F9C" w:rsidRDefault="002641D2" w:rsidP="000911B2">
            <w:pPr>
              <w:rPr>
                <w:rFonts w:ascii="Arial" w:hAnsi="Arial" w:cs="Arial"/>
                <w:sz w:val="24"/>
                <w:szCs w:val="24"/>
              </w:rPr>
            </w:pPr>
            <w:r w:rsidRPr="00FA3F9C">
              <w:rPr>
                <w:rFonts w:ascii="Arial" w:hAnsi="Arial" w:cs="Arial"/>
                <w:sz w:val="24"/>
                <w:szCs w:val="24"/>
              </w:rPr>
              <w:t xml:space="preserve"> What changed?</w:t>
            </w:r>
          </w:p>
        </w:tc>
        <w:tc>
          <w:tcPr>
            <w:tcW w:w="1548" w:type="dxa"/>
          </w:tcPr>
          <w:p w14:paraId="1264F9F6" w14:textId="77777777" w:rsidR="002641D2" w:rsidRPr="00FA3F9C" w:rsidRDefault="002641D2" w:rsidP="000911B2">
            <w:pPr>
              <w:rPr>
                <w:rFonts w:ascii="Arial" w:hAnsi="Arial" w:cs="Arial"/>
                <w:sz w:val="24"/>
                <w:szCs w:val="24"/>
              </w:rPr>
            </w:pPr>
            <w:r w:rsidRPr="00FA3F9C">
              <w:rPr>
                <w:rFonts w:ascii="Arial" w:hAnsi="Arial" w:cs="Arial"/>
                <w:sz w:val="24"/>
                <w:szCs w:val="24"/>
              </w:rPr>
              <w:t>Pharmacist’s initials</w:t>
            </w:r>
          </w:p>
        </w:tc>
      </w:tr>
      <w:tr w:rsidR="002641D2" w:rsidRPr="00FA3F9C" w14:paraId="717B4E4A" w14:textId="77777777" w:rsidTr="000911B2">
        <w:tc>
          <w:tcPr>
            <w:tcW w:w="1382" w:type="dxa"/>
          </w:tcPr>
          <w:p w14:paraId="1E79A0D0" w14:textId="77777777" w:rsidR="002641D2" w:rsidRPr="00FA3F9C" w:rsidRDefault="002641D2" w:rsidP="000911B2">
            <w:pPr>
              <w:rPr>
                <w:rFonts w:ascii="Arial" w:hAnsi="Arial" w:cs="Arial"/>
                <w:sz w:val="24"/>
                <w:szCs w:val="24"/>
              </w:rPr>
            </w:pPr>
            <w:r w:rsidRPr="00FA3F9C">
              <w:rPr>
                <w:rFonts w:ascii="Arial" w:hAnsi="Arial" w:cs="Arial"/>
                <w:sz w:val="24"/>
                <w:szCs w:val="24"/>
              </w:rPr>
              <w:t>12/31/14</w:t>
            </w:r>
          </w:p>
        </w:tc>
        <w:tc>
          <w:tcPr>
            <w:tcW w:w="8086" w:type="dxa"/>
          </w:tcPr>
          <w:p w14:paraId="3B1B0422" w14:textId="77777777" w:rsidR="002641D2" w:rsidRPr="00FA3F9C" w:rsidRDefault="002641D2" w:rsidP="000911B2">
            <w:pPr>
              <w:rPr>
                <w:rFonts w:ascii="Arial" w:hAnsi="Arial" w:cs="Arial"/>
                <w:sz w:val="24"/>
                <w:szCs w:val="24"/>
              </w:rPr>
            </w:pPr>
            <w:r w:rsidRPr="00FA3F9C">
              <w:rPr>
                <w:rFonts w:ascii="Arial" w:hAnsi="Arial" w:cs="Arial"/>
                <w:sz w:val="24"/>
                <w:szCs w:val="24"/>
              </w:rPr>
              <w:t>I wrote the criteria.</w:t>
            </w:r>
          </w:p>
        </w:tc>
        <w:tc>
          <w:tcPr>
            <w:tcW w:w="1548" w:type="dxa"/>
          </w:tcPr>
          <w:p w14:paraId="167A6B83" w14:textId="77777777" w:rsidR="002641D2" w:rsidRPr="00FA3F9C" w:rsidRDefault="002641D2" w:rsidP="000911B2">
            <w:pPr>
              <w:rPr>
                <w:rFonts w:ascii="Arial" w:hAnsi="Arial" w:cs="Arial"/>
                <w:sz w:val="24"/>
                <w:szCs w:val="24"/>
              </w:rPr>
            </w:pPr>
            <w:r w:rsidRPr="00FA3F9C">
              <w:rPr>
                <w:rFonts w:ascii="Arial" w:hAnsi="Arial" w:cs="Arial"/>
                <w:sz w:val="24"/>
                <w:szCs w:val="24"/>
              </w:rPr>
              <w:t>JJ</w:t>
            </w:r>
          </w:p>
        </w:tc>
      </w:tr>
      <w:tr w:rsidR="002641D2" w:rsidRPr="00FA3F9C" w14:paraId="0A631ABB" w14:textId="77777777" w:rsidTr="000911B2">
        <w:tc>
          <w:tcPr>
            <w:tcW w:w="1382" w:type="dxa"/>
          </w:tcPr>
          <w:p w14:paraId="22775496" w14:textId="77777777" w:rsidR="002641D2" w:rsidRPr="00FA3F9C" w:rsidRDefault="002641D2" w:rsidP="000911B2">
            <w:pPr>
              <w:rPr>
                <w:rFonts w:ascii="Arial" w:hAnsi="Arial" w:cs="Arial"/>
                <w:sz w:val="24"/>
                <w:szCs w:val="24"/>
              </w:rPr>
            </w:pPr>
            <w:r w:rsidRPr="00FA3F9C">
              <w:rPr>
                <w:rFonts w:ascii="Arial" w:hAnsi="Arial" w:cs="Arial"/>
                <w:sz w:val="24"/>
                <w:szCs w:val="24"/>
              </w:rPr>
              <w:t>1/27/2016</w:t>
            </w:r>
          </w:p>
        </w:tc>
        <w:tc>
          <w:tcPr>
            <w:tcW w:w="8086" w:type="dxa"/>
          </w:tcPr>
          <w:p w14:paraId="56F4C0F4" w14:textId="77777777" w:rsidR="002641D2" w:rsidRPr="00FA3F9C" w:rsidRDefault="002641D2" w:rsidP="000911B2">
            <w:pPr>
              <w:rPr>
                <w:rFonts w:ascii="Arial" w:hAnsi="Arial" w:cs="Arial"/>
                <w:sz w:val="24"/>
                <w:szCs w:val="24"/>
              </w:rPr>
            </w:pPr>
            <w:r w:rsidRPr="00FA3F9C">
              <w:rPr>
                <w:rFonts w:ascii="Arial" w:hAnsi="Arial" w:cs="Arial"/>
                <w:sz w:val="24"/>
                <w:szCs w:val="24"/>
              </w:rPr>
              <w:t>I changed the criteria after the DCWG meeting on 1/25/16.  Specifically, access will be denied for previous or concurrent nivolumab; access will also be denied for adjuvant use for stage III complete tumor resection.</w:t>
            </w:r>
          </w:p>
        </w:tc>
        <w:tc>
          <w:tcPr>
            <w:tcW w:w="1548" w:type="dxa"/>
          </w:tcPr>
          <w:p w14:paraId="069B2EE7" w14:textId="77777777" w:rsidR="002641D2" w:rsidRPr="00FA3F9C" w:rsidRDefault="002641D2" w:rsidP="000911B2">
            <w:pPr>
              <w:rPr>
                <w:rFonts w:ascii="Arial" w:hAnsi="Arial" w:cs="Arial"/>
                <w:sz w:val="24"/>
                <w:szCs w:val="24"/>
              </w:rPr>
            </w:pPr>
            <w:r w:rsidRPr="00FA3F9C">
              <w:rPr>
                <w:rFonts w:ascii="Arial" w:hAnsi="Arial" w:cs="Arial"/>
                <w:sz w:val="24"/>
                <w:szCs w:val="24"/>
              </w:rPr>
              <w:t>JJ</w:t>
            </w:r>
          </w:p>
        </w:tc>
      </w:tr>
      <w:tr w:rsidR="002641D2" w:rsidRPr="00FA3F9C" w14:paraId="572D675F" w14:textId="77777777" w:rsidTr="000911B2">
        <w:tc>
          <w:tcPr>
            <w:tcW w:w="1382" w:type="dxa"/>
          </w:tcPr>
          <w:p w14:paraId="17051E00" w14:textId="77777777" w:rsidR="002641D2" w:rsidRPr="00FA3F9C" w:rsidRDefault="002641D2" w:rsidP="000911B2">
            <w:pPr>
              <w:rPr>
                <w:rFonts w:ascii="Arial" w:hAnsi="Arial" w:cs="Arial"/>
                <w:sz w:val="24"/>
                <w:szCs w:val="24"/>
              </w:rPr>
            </w:pPr>
            <w:r w:rsidRPr="00FA3F9C">
              <w:rPr>
                <w:rFonts w:ascii="Arial" w:hAnsi="Arial" w:cs="Arial"/>
                <w:sz w:val="24"/>
                <w:szCs w:val="24"/>
              </w:rPr>
              <w:lastRenderedPageBreak/>
              <w:t>2/26/19</w:t>
            </w:r>
          </w:p>
        </w:tc>
        <w:tc>
          <w:tcPr>
            <w:tcW w:w="8086" w:type="dxa"/>
          </w:tcPr>
          <w:p w14:paraId="3A5CA3F7" w14:textId="77777777" w:rsidR="002641D2" w:rsidRPr="00FA3F9C" w:rsidRDefault="002641D2" w:rsidP="000911B2">
            <w:pPr>
              <w:rPr>
                <w:rFonts w:ascii="Arial" w:hAnsi="Arial" w:cs="Arial"/>
                <w:sz w:val="24"/>
                <w:szCs w:val="24"/>
              </w:rPr>
            </w:pPr>
            <w:r w:rsidRPr="00FA3F9C">
              <w:rPr>
                <w:rFonts w:ascii="Arial" w:hAnsi="Arial" w:cs="Arial"/>
                <w:sz w:val="24"/>
                <w:szCs w:val="24"/>
              </w:rPr>
              <w:t xml:space="preserve">Melanoma: use for second line only due to </w:t>
            </w:r>
            <w:proofErr w:type="spellStart"/>
            <w:r w:rsidRPr="00FA3F9C">
              <w:rPr>
                <w:rFonts w:ascii="Arial" w:hAnsi="Arial" w:cs="Arial"/>
                <w:sz w:val="24"/>
                <w:szCs w:val="24"/>
              </w:rPr>
              <w:t>pembro</w:t>
            </w:r>
            <w:proofErr w:type="spellEnd"/>
            <w:r w:rsidRPr="00FA3F9C">
              <w:rPr>
                <w:rFonts w:ascii="Arial" w:hAnsi="Arial" w:cs="Arial"/>
                <w:sz w:val="24"/>
                <w:szCs w:val="24"/>
              </w:rPr>
              <w:t>/</w:t>
            </w:r>
            <w:proofErr w:type="spellStart"/>
            <w:r w:rsidRPr="00FA3F9C">
              <w:rPr>
                <w:rFonts w:ascii="Arial" w:hAnsi="Arial" w:cs="Arial"/>
                <w:sz w:val="24"/>
                <w:szCs w:val="24"/>
              </w:rPr>
              <w:t>nivo</w:t>
            </w:r>
            <w:proofErr w:type="spellEnd"/>
            <w:r w:rsidRPr="00FA3F9C">
              <w:rPr>
                <w:rFonts w:ascii="Arial" w:hAnsi="Arial" w:cs="Arial"/>
                <w:sz w:val="24"/>
                <w:szCs w:val="24"/>
              </w:rPr>
              <w:t xml:space="preserve"> being superior in first line setting with fewer toxicities; updated continuation criteria</w:t>
            </w:r>
          </w:p>
          <w:p w14:paraId="0F0B1CE4" w14:textId="77777777" w:rsidR="002641D2" w:rsidRPr="00FA3F9C" w:rsidRDefault="002641D2" w:rsidP="000911B2">
            <w:pPr>
              <w:rPr>
                <w:rFonts w:ascii="Arial" w:hAnsi="Arial" w:cs="Arial"/>
                <w:sz w:val="24"/>
                <w:szCs w:val="24"/>
              </w:rPr>
            </w:pPr>
            <w:r w:rsidRPr="00FA3F9C">
              <w:rPr>
                <w:rFonts w:ascii="Arial" w:hAnsi="Arial" w:cs="Arial"/>
                <w:sz w:val="24"/>
                <w:szCs w:val="24"/>
              </w:rPr>
              <w:t xml:space="preserve">Renal cell: allow use in combination with </w:t>
            </w:r>
            <w:proofErr w:type="spellStart"/>
            <w:r w:rsidRPr="00FA3F9C">
              <w:rPr>
                <w:rFonts w:ascii="Arial" w:hAnsi="Arial" w:cs="Arial"/>
                <w:sz w:val="24"/>
                <w:szCs w:val="24"/>
              </w:rPr>
              <w:t>nivo</w:t>
            </w:r>
            <w:proofErr w:type="spellEnd"/>
            <w:r w:rsidRPr="00FA3F9C">
              <w:rPr>
                <w:rFonts w:ascii="Arial" w:hAnsi="Arial" w:cs="Arial"/>
                <w:sz w:val="24"/>
                <w:szCs w:val="24"/>
              </w:rPr>
              <w:t xml:space="preserve"> for untreated, intermediate/poor risk patients for max of 4 doses only</w:t>
            </w:r>
          </w:p>
        </w:tc>
        <w:tc>
          <w:tcPr>
            <w:tcW w:w="1548" w:type="dxa"/>
          </w:tcPr>
          <w:p w14:paraId="3860085B" w14:textId="77777777" w:rsidR="002641D2" w:rsidRPr="00FA3F9C" w:rsidRDefault="002641D2" w:rsidP="000911B2">
            <w:pPr>
              <w:rPr>
                <w:rFonts w:ascii="Arial" w:hAnsi="Arial" w:cs="Arial"/>
                <w:sz w:val="24"/>
                <w:szCs w:val="24"/>
              </w:rPr>
            </w:pPr>
            <w:proofErr w:type="spellStart"/>
            <w:r w:rsidRPr="00FA3F9C">
              <w:rPr>
                <w:rFonts w:ascii="Arial" w:hAnsi="Arial" w:cs="Arial"/>
                <w:sz w:val="24"/>
                <w:szCs w:val="24"/>
              </w:rPr>
              <w:t>Sk</w:t>
            </w:r>
            <w:proofErr w:type="spellEnd"/>
          </w:p>
        </w:tc>
      </w:tr>
      <w:tr w:rsidR="002641D2" w:rsidRPr="00FA3F9C" w14:paraId="0A77FBA7" w14:textId="77777777" w:rsidTr="000911B2">
        <w:tc>
          <w:tcPr>
            <w:tcW w:w="1382" w:type="dxa"/>
          </w:tcPr>
          <w:p w14:paraId="03E378F6" w14:textId="77777777" w:rsidR="002641D2" w:rsidRPr="00FA3F9C" w:rsidRDefault="002641D2" w:rsidP="000911B2">
            <w:pPr>
              <w:rPr>
                <w:rFonts w:ascii="Arial" w:hAnsi="Arial" w:cs="Arial"/>
                <w:sz w:val="24"/>
                <w:szCs w:val="24"/>
              </w:rPr>
            </w:pPr>
            <w:r w:rsidRPr="00FA3F9C">
              <w:rPr>
                <w:rFonts w:ascii="Arial" w:hAnsi="Arial" w:cs="Arial"/>
                <w:sz w:val="24"/>
                <w:szCs w:val="24"/>
              </w:rPr>
              <w:t>8/7/19</w:t>
            </w:r>
          </w:p>
        </w:tc>
        <w:tc>
          <w:tcPr>
            <w:tcW w:w="8086" w:type="dxa"/>
          </w:tcPr>
          <w:p w14:paraId="48A439DA" w14:textId="77777777" w:rsidR="002641D2" w:rsidRPr="00FA3F9C" w:rsidRDefault="002641D2" w:rsidP="000911B2">
            <w:pPr>
              <w:rPr>
                <w:rFonts w:ascii="Arial" w:hAnsi="Arial" w:cs="Arial"/>
                <w:sz w:val="24"/>
                <w:szCs w:val="24"/>
              </w:rPr>
            </w:pPr>
            <w:r w:rsidRPr="00FA3F9C">
              <w:rPr>
                <w:rFonts w:ascii="Arial" w:hAnsi="Arial" w:cs="Arial"/>
                <w:sz w:val="24"/>
                <w:szCs w:val="24"/>
              </w:rPr>
              <w:t>Criteria reviewed. No change.</w:t>
            </w:r>
          </w:p>
        </w:tc>
        <w:tc>
          <w:tcPr>
            <w:tcW w:w="1548" w:type="dxa"/>
          </w:tcPr>
          <w:p w14:paraId="5F4C3AC8" w14:textId="77777777" w:rsidR="002641D2" w:rsidRPr="00FA3F9C" w:rsidRDefault="002641D2" w:rsidP="000911B2">
            <w:pPr>
              <w:rPr>
                <w:rFonts w:ascii="Arial" w:hAnsi="Arial" w:cs="Arial"/>
                <w:sz w:val="24"/>
                <w:szCs w:val="24"/>
              </w:rPr>
            </w:pPr>
            <w:r w:rsidRPr="00FA3F9C">
              <w:rPr>
                <w:rFonts w:ascii="Arial" w:hAnsi="Arial" w:cs="Arial"/>
                <w:sz w:val="24"/>
                <w:szCs w:val="24"/>
              </w:rPr>
              <w:t>SK</w:t>
            </w:r>
          </w:p>
        </w:tc>
      </w:tr>
      <w:tr w:rsidR="002641D2" w:rsidRPr="00FA3F9C" w14:paraId="20A8E867" w14:textId="77777777" w:rsidTr="000911B2">
        <w:tc>
          <w:tcPr>
            <w:tcW w:w="1382" w:type="dxa"/>
          </w:tcPr>
          <w:p w14:paraId="37FDE5D9" w14:textId="77777777" w:rsidR="002641D2" w:rsidRPr="00FA3F9C" w:rsidRDefault="002641D2" w:rsidP="000911B2">
            <w:pPr>
              <w:rPr>
                <w:rFonts w:ascii="Arial" w:hAnsi="Arial" w:cs="Arial"/>
                <w:sz w:val="24"/>
                <w:szCs w:val="24"/>
              </w:rPr>
            </w:pPr>
            <w:r w:rsidRPr="00FA3F9C">
              <w:rPr>
                <w:rFonts w:ascii="Arial" w:hAnsi="Arial" w:cs="Arial"/>
                <w:sz w:val="24"/>
                <w:szCs w:val="24"/>
              </w:rPr>
              <w:t>6/5/2020</w:t>
            </w:r>
          </w:p>
        </w:tc>
        <w:tc>
          <w:tcPr>
            <w:tcW w:w="8086" w:type="dxa"/>
          </w:tcPr>
          <w:p w14:paraId="226787CE" w14:textId="77777777" w:rsidR="002641D2" w:rsidRPr="00FA3F9C" w:rsidRDefault="002641D2" w:rsidP="000911B2">
            <w:pPr>
              <w:rPr>
                <w:rFonts w:ascii="Arial" w:hAnsi="Arial" w:cs="Arial"/>
                <w:sz w:val="24"/>
                <w:szCs w:val="24"/>
              </w:rPr>
            </w:pPr>
            <w:r w:rsidRPr="00FA3F9C">
              <w:rPr>
                <w:rFonts w:ascii="Arial" w:hAnsi="Arial" w:cs="Arial"/>
                <w:sz w:val="24"/>
                <w:szCs w:val="24"/>
              </w:rPr>
              <w:t>Added new indication for HCC (</w:t>
            </w:r>
            <w:proofErr w:type="spellStart"/>
            <w:r w:rsidRPr="00FA3F9C">
              <w:rPr>
                <w:rFonts w:ascii="Arial" w:hAnsi="Arial" w:cs="Arial"/>
                <w:sz w:val="24"/>
                <w:szCs w:val="24"/>
              </w:rPr>
              <w:t>ipi</w:t>
            </w:r>
            <w:proofErr w:type="spellEnd"/>
            <w:r w:rsidRPr="00FA3F9C">
              <w:rPr>
                <w:rFonts w:ascii="Arial" w:hAnsi="Arial" w:cs="Arial"/>
                <w:sz w:val="24"/>
                <w:szCs w:val="24"/>
              </w:rPr>
              <w:t xml:space="preserve"> + </w:t>
            </w:r>
            <w:proofErr w:type="spellStart"/>
            <w:r w:rsidRPr="00FA3F9C">
              <w:rPr>
                <w:rFonts w:ascii="Arial" w:hAnsi="Arial" w:cs="Arial"/>
                <w:sz w:val="24"/>
                <w:szCs w:val="24"/>
              </w:rPr>
              <w:t>nivo</w:t>
            </w:r>
            <w:proofErr w:type="spellEnd"/>
            <w:r w:rsidRPr="00FA3F9C">
              <w:rPr>
                <w:rFonts w:ascii="Arial" w:hAnsi="Arial" w:cs="Arial"/>
                <w:sz w:val="24"/>
                <w:szCs w:val="24"/>
              </w:rPr>
              <w:t>). (</w:t>
            </w:r>
            <w:proofErr w:type="gramStart"/>
            <w:r w:rsidRPr="00FA3F9C">
              <w:rPr>
                <w:rFonts w:ascii="Arial" w:hAnsi="Arial" w:cs="Arial"/>
                <w:sz w:val="24"/>
                <w:szCs w:val="24"/>
              </w:rPr>
              <w:t>not</w:t>
            </w:r>
            <w:proofErr w:type="gramEnd"/>
            <w:r w:rsidRPr="00FA3F9C">
              <w:rPr>
                <w:rFonts w:ascii="Arial" w:hAnsi="Arial" w:cs="Arial"/>
                <w:sz w:val="24"/>
                <w:szCs w:val="24"/>
              </w:rPr>
              <w:t xml:space="preserve"> covered)</w:t>
            </w:r>
          </w:p>
        </w:tc>
        <w:tc>
          <w:tcPr>
            <w:tcW w:w="1548" w:type="dxa"/>
          </w:tcPr>
          <w:p w14:paraId="78D1B8BB" w14:textId="77777777" w:rsidR="002641D2" w:rsidRPr="00FA3F9C" w:rsidRDefault="002641D2" w:rsidP="000911B2">
            <w:pPr>
              <w:rPr>
                <w:rFonts w:ascii="Arial" w:hAnsi="Arial" w:cs="Arial"/>
                <w:sz w:val="24"/>
                <w:szCs w:val="24"/>
              </w:rPr>
            </w:pPr>
            <w:r w:rsidRPr="00FA3F9C">
              <w:rPr>
                <w:rFonts w:ascii="Arial" w:hAnsi="Arial" w:cs="Arial"/>
                <w:sz w:val="24"/>
                <w:szCs w:val="24"/>
              </w:rPr>
              <w:t>SK</w:t>
            </w:r>
          </w:p>
        </w:tc>
      </w:tr>
      <w:tr w:rsidR="002641D2" w:rsidRPr="00FA3F9C" w14:paraId="6584FFD3" w14:textId="77777777" w:rsidTr="000911B2">
        <w:tc>
          <w:tcPr>
            <w:tcW w:w="1382" w:type="dxa"/>
          </w:tcPr>
          <w:p w14:paraId="0AE884AC" w14:textId="77777777" w:rsidR="002641D2" w:rsidRPr="00FA3F9C" w:rsidRDefault="002641D2" w:rsidP="000911B2">
            <w:pPr>
              <w:rPr>
                <w:rFonts w:ascii="Arial" w:hAnsi="Arial" w:cs="Arial"/>
                <w:sz w:val="24"/>
                <w:szCs w:val="24"/>
              </w:rPr>
            </w:pPr>
            <w:r w:rsidRPr="00FA3F9C">
              <w:rPr>
                <w:rFonts w:ascii="Arial" w:hAnsi="Arial" w:cs="Arial"/>
                <w:sz w:val="24"/>
                <w:szCs w:val="24"/>
              </w:rPr>
              <w:t>7/22/2020</w:t>
            </w:r>
          </w:p>
        </w:tc>
        <w:tc>
          <w:tcPr>
            <w:tcW w:w="8086" w:type="dxa"/>
          </w:tcPr>
          <w:p w14:paraId="15367861" w14:textId="77777777" w:rsidR="002641D2" w:rsidRPr="00FA3F9C" w:rsidRDefault="002641D2" w:rsidP="006A21DE">
            <w:pPr>
              <w:rPr>
                <w:rFonts w:ascii="Arial" w:hAnsi="Arial" w:cs="Arial"/>
                <w:sz w:val="24"/>
                <w:szCs w:val="24"/>
              </w:rPr>
            </w:pPr>
            <w:r w:rsidRPr="00FA3F9C">
              <w:rPr>
                <w:rFonts w:ascii="Arial" w:hAnsi="Arial" w:cs="Arial"/>
                <w:sz w:val="24"/>
                <w:szCs w:val="24"/>
              </w:rPr>
              <w:t>Added new indications for NSCLC (</w:t>
            </w:r>
            <w:proofErr w:type="spellStart"/>
            <w:r w:rsidRPr="00FA3F9C">
              <w:rPr>
                <w:rFonts w:ascii="Arial" w:hAnsi="Arial" w:cs="Arial"/>
                <w:sz w:val="24"/>
                <w:szCs w:val="24"/>
              </w:rPr>
              <w:t>ipi</w:t>
            </w:r>
            <w:proofErr w:type="spellEnd"/>
            <w:r w:rsidRPr="00FA3F9C">
              <w:rPr>
                <w:rFonts w:ascii="Arial" w:hAnsi="Arial" w:cs="Arial"/>
                <w:sz w:val="24"/>
                <w:szCs w:val="24"/>
              </w:rPr>
              <w:t xml:space="preserve"> + </w:t>
            </w:r>
            <w:proofErr w:type="spellStart"/>
            <w:r w:rsidRPr="00FA3F9C">
              <w:rPr>
                <w:rFonts w:ascii="Arial" w:hAnsi="Arial" w:cs="Arial"/>
                <w:sz w:val="24"/>
                <w:szCs w:val="24"/>
              </w:rPr>
              <w:t>nivo</w:t>
            </w:r>
            <w:proofErr w:type="spellEnd"/>
            <w:r w:rsidRPr="00FA3F9C">
              <w:rPr>
                <w:rFonts w:ascii="Arial" w:hAnsi="Arial" w:cs="Arial"/>
                <w:sz w:val="24"/>
                <w:szCs w:val="24"/>
              </w:rPr>
              <w:t>)—covered</w:t>
            </w:r>
          </w:p>
        </w:tc>
        <w:tc>
          <w:tcPr>
            <w:tcW w:w="1548" w:type="dxa"/>
          </w:tcPr>
          <w:p w14:paraId="65B4D610" w14:textId="77777777" w:rsidR="002641D2" w:rsidRPr="00FA3F9C" w:rsidRDefault="002641D2" w:rsidP="000911B2">
            <w:pPr>
              <w:rPr>
                <w:rFonts w:ascii="Arial" w:hAnsi="Arial" w:cs="Arial"/>
                <w:sz w:val="24"/>
                <w:szCs w:val="24"/>
              </w:rPr>
            </w:pPr>
            <w:r w:rsidRPr="00FA3F9C">
              <w:rPr>
                <w:rFonts w:ascii="Arial" w:hAnsi="Arial" w:cs="Arial"/>
                <w:sz w:val="24"/>
                <w:szCs w:val="24"/>
              </w:rPr>
              <w:t>SK</w:t>
            </w:r>
          </w:p>
        </w:tc>
      </w:tr>
      <w:tr w:rsidR="002641D2" w:rsidRPr="00FA3F9C" w14:paraId="748DFABC" w14:textId="77777777" w:rsidTr="000911B2">
        <w:tc>
          <w:tcPr>
            <w:tcW w:w="1382" w:type="dxa"/>
          </w:tcPr>
          <w:p w14:paraId="3A571D97" w14:textId="77777777" w:rsidR="002641D2" w:rsidRPr="00FA3F9C" w:rsidRDefault="002641D2" w:rsidP="000911B2">
            <w:pPr>
              <w:rPr>
                <w:rFonts w:ascii="Arial" w:hAnsi="Arial" w:cs="Arial"/>
                <w:sz w:val="24"/>
                <w:szCs w:val="24"/>
              </w:rPr>
            </w:pPr>
            <w:r w:rsidRPr="00FA3F9C">
              <w:rPr>
                <w:rFonts w:ascii="Arial" w:hAnsi="Arial" w:cs="Arial"/>
                <w:sz w:val="24"/>
                <w:szCs w:val="24"/>
              </w:rPr>
              <w:t>11/16/2020</w:t>
            </w:r>
          </w:p>
        </w:tc>
        <w:tc>
          <w:tcPr>
            <w:tcW w:w="8086" w:type="dxa"/>
          </w:tcPr>
          <w:p w14:paraId="3B16FED3" w14:textId="77777777" w:rsidR="002641D2" w:rsidRPr="00FA3F9C" w:rsidRDefault="002641D2" w:rsidP="006A21DE">
            <w:pPr>
              <w:rPr>
                <w:rFonts w:ascii="Arial" w:hAnsi="Arial" w:cs="Arial"/>
                <w:sz w:val="24"/>
                <w:szCs w:val="24"/>
              </w:rPr>
            </w:pPr>
            <w:r w:rsidRPr="00FA3F9C">
              <w:rPr>
                <w:rFonts w:ascii="Arial" w:hAnsi="Arial" w:cs="Arial"/>
                <w:sz w:val="24"/>
                <w:szCs w:val="24"/>
              </w:rPr>
              <w:t xml:space="preserve">Added new indication for mesothelioma (covered—see nivolumab criteria); all criteria reviewed—no changes </w:t>
            </w:r>
          </w:p>
        </w:tc>
        <w:tc>
          <w:tcPr>
            <w:tcW w:w="1548" w:type="dxa"/>
          </w:tcPr>
          <w:p w14:paraId="7C3ABDBD" w14:textId="77777777" w:rsidR="002641D2" w:rsidRPr="00FA3F9C" w:rsidRDefault="002641D2" w:rsidP="000911B2">
            <w:pPr>
              <w:rPr>
                <w:rFonts w:ascii="Arial" w:hAnsi="Arial" w:cs="Arial"/>
                <w:sz w:val="24"/>
                <w:szCs w:val="24"/>
              </w:rPr>
            </w:pPr>
            <w:r w:rsidRPr="00FA3F9C">
              <w:rPr>
                <w:rFonts w:ascii="Arial" w:hAnsi="Arial" w:cs="Arial"/>
                <w:sz w:val="24"/>
                <w:szCs w:val="24"/>
              </w:rPr>
              <w:t>SK</w:t>
            </w:r>
          </w:p>
        </w:tc>
      </w:tr>
      <w:tr w:rsidR="002641D2" w:rsidRPr="00FA3F9C" w14:paraId="158EA4A2" w14:textId="77777777" w:rsidTr="000911B2">
        <w:tc>
          <w:tcPr>
            <w:tcW w:w="1382" w:type="dxa"/>
          </w:tcPr>
          <w:p w14:paraId="05D900E7" w14:textId="77777777" w:rsidR="002641D2" w:rsidRPr="00FA3F9C" w:rsidRDefault="002641D2" w:rsidP="000911B2">
            <w:pPr>
              <w:rPr>
                <w:rFonts w:ascii="Arial" w:hAnsi="Arial" w:cs="Arial"/>
                <w:sz w:val="24"/>
                <w:szCs w:val="24"/>
              </w:rPr>
            </w:pPr>
            <w:r w:rsidRPr="00FA3F9C">
              <w:rPr>
                <w:rFonts w:ascii="Arial" w:hAnsi="Arial" w:cs="Arial"/>
                <w:sz w:val="24"/>
                <w:szCs w:val="24"/>
              </w:rPr>
              <w:t>3/30/2022</w:t>
            </w:r>
          </w:p>
        </w:tc>
        <w:tc>
          <w:tcPr>
            <w:tcW w:w="8086" w:type="dxa"/>
          </w:tcPr>
          <w:p w14:paraId="7104421B" w14:textId="77777777" w:rsidR="002641D2" w:rsidRPr="00FA3F9C" w:rsidRDefault="002641D2" w:rsidP="001022A5">
            <w:pPr>
              <w:rPr>
                <w:rFonts w:ascii="Arial" w:hAnsi="Arial" w:cs="Arial"/>
                <w:sz w:val="24"/>
                <w:szCs w:val="24"/>
              </w:rPr>
            </w:pPr>
            <w:r w:rsidRPr="00FA3F9C">
              <w:rPr>
                <w:rFonts w:ascii="Arial" w:hAnsi="Arial" w:cs="Arial"/>
                <w:sz w:val="24"/>
                <w:szCs w:val="24"/>
              </w:rPr>
              <w:t xml:space="preserve">In criteria for nivolumab/ipilimumab for first line treatment of renal cell carcinoma edited </w:t>
            </w:r>
            <w:proofErr w:type="spellStart"/>
            <w:r w:rsidRPr="00FA3F9C">
              <w:rPr>
                <w:rFonts w:ascii="Arial" w:hAnsi="Arial" w:cs="Arial"/>
                <w:sz w:val="24"/>
                <w:szCs w:val="24"/>
              </w:rPr>
              <w:t>Karnofsky</w:t>
            </w:r>
            <w:proofErr w:type="spellEnd"/>
            <w:r w:rsidRPr="00FA3F9C">
              <w:rPr>
                <w:rFonts w:ascii="Arial" w:hAnsi="Arial" w:cs="Arial"/>
                <w:sz w:val="24"/>
                <w:szCs w:val="24"/>
              </w:rPr>
              <w:t xml:space="preserve"> performance status required in IMDC risk staging from 80% to 70% as done in study protocol. I changed this in form as well.</w:t>
            </w:r>
          </w:p>
        </w:tc>
        <w:tc>
          <w:tcPr>
            <w:tcW w:w="1548" w:type="dxa"/>
          </w:tcPr>
          <w:p w14:paraId="4B68FBBF" w14:textId="77777777" w:rsidR="002641D2" w:rsidRPr="00FA3F9C" w:rsidRDefault="002641D2" w:rsidP="000911B2">
            <w:pPr>
              <w:rPr>
                <w:rFonts w:ascii="Arial" w:hAnsi="Arial" w:cs="Arial"/>
                <w:sz w:val="24"/>
                <w:szCs w:val="24"/>
              </w:rPr>
            </w:pPr>
            <w:r w:rsidRPr="00FA3F9C">
              <w:rPr>
                <w:rFonts w:ascii="Arial" w:hAnsi="Arial" w:cs="Arial"/>
                <w:sz w:val="24"/>
                <w:szCs w:val="24"/>
              </w:rPr>
              <w:t>SK</w:t>
            </w:r>
          </w:p>
        </w:tc>
      </w:tr>
      <w:tr w:rsidR="002641D2" w:rsidRPr="00FA3F9C" w14:paraId="75929A56" w14:textId="77777777" w:rsidTr="000911B2">
        <w:tc>
          <w:tcPr>
            <w:tcW w:w="1382" w:type="dxa"/>
          </w:tcPr>
          <w:p w14:paraId="1C4E90F4" w14:textId="77777777" w:rsidR="002641D2" w:rsidRPr="00FA3F9C" w:rsidRDefault="002641D2" w:rsidP="000911B2">
            <w:pPr>
              <w:rPr>
                <w:rFonts w:ascii="Arial" w:hAnsi="Arial" w:cs="Arial"/>
                <w:sz w:val="24"/>
                <w:szCs w:val="24"/>
              </w:rPr>
            </w:pPr>
            <w:r w:rsidRPr="00FA3F9C">
              <w:rPr>
                <w:rFonts w:ascii="Arial" w:hAnsi="Arial" w:cs="Arial"/>
                <w:sz w:val="24"/>
                <w:szCs w:val="24"/>
              </w:rPr>
              <w:t>4/25/2022</w:t>
            </w:r>
          </w:p>
        </w:tc>
        <w:tc>
          <w:tcPr>
            <w:tcW w:w="8086" w:type="dxa"/>
          </w:tcPr>
          <w:p w14:paraId="0D1B99AA" w14:textId="77777777" w:rsidR="002641D2" w:rsidRPr="00FA3F9C" w:rsidRDefault="002641D2" w:rsidP="00CA0685">
            <w:pPr>
              <w:rPr>
                <w:rFonts w:ascii="Arial" w:hAnsi="Arial" w:cs="Arial"/>
                <w:sz w:val="24"/>
                <w:szCs w:val="24"/>
              </w:rPr>
            </w:pPr>
            <w:r w:rsidRPr="00FA3F9C">
              <w:rPr>
                <w:rFonts w:ascii="Arial" w:hAnsi="Arial" w:cs="Arial"/>
                <w:sz w:val="24"/>
                <w:szCs w:val="24"/>
              </w:rPr>
              <w:t>Criteria review completed. Did not change criteria. Made notes to refer to nivolumab criteria for NSCLC, RCC, and mesothelioma indications (ipilimumab and nivolumab criteria are identical).</w:t>
            </w:r>
          </w:p>
        </w:tc>
        <w:tc>
          <w:tcPr>
            <w:tcW w:w="1548" w:type="dxa"/>
          </w:tcPr>
          <w:p w14:paraId="76E2CAFF" w14:textId="77777777" w:rsidR="002641D2" w:rsidRPr="00FA3F9C" w:rsidRDefault="002641D2" w:rsidP="000911B2">
            <w:pPr>
              <w:rPr>
                <w:rFonts w:ascii="Arial" w:hAnsi="Arial" w:cs="Arial"/>
                <w:sz w:val="24"/>
                <w:szCs w:val="24"/>
              </w:rPr>
            </w:pPr>
            <w:r w:rsidRPr="00FA3F9C">
              <w:rPr>
                <w:rFonts w:ascii="Arial" w:hAnsi="Arial" w:cs="Arial"/>
                <w:sz w:val="24"/>
                <w:szCs w:val="24"/>
              </w:rPr>
              <w:t>SK</w:t>
            </w:r>
          </w:p>
        </w:tc>
      </w:tr>
    </w:tbl>
    <w:p w14:paraId="1437BF45" w14:textId="77777777" w:rsidR="002641D2" w:rsidRPr="00FA3F9C" w:rsidRDefault="002641D2" w:rsidP="006F623F">
      <w:pPr>
        <w:spacing w:after="0"/>
        <w:rPr>
          <w:rFonts w:ascii="Arial" w:hAnsi="Arial" w:cs="Arial"/>
          <w:sz w:val="24"/>
          <w:szCs w:val="24"/>
        </w:rPr>
      </w:pPr>
    </w:p>
    <w:p w14:paraId="39B16E71" w14:textId="77777777" w:rsidR="002641D2" w:rsidRPr="00FA3F9C" w:rsidRDefault="002641D2" w:rsidP="00670964">
      <w:pPr>
        <w:spacing w:after="0"/>
        <w:rPr>
          <w:rFonts w:ascii="Arial" w:hAnsi="Arial" w:cs="Arial"/>
          <w:sz w:val="24"/>
          <w:szCs w:val="24"/>
        </w:rPr>
      </w:pPr>
      <w:r w:rsidRPr="00FA3F9C">
        <w:rPr>
          <w:rFonts w:ascii="Arial" w:hAnsi="Arial" w:cs="Arial"/>
          <w:sz w:val="24"/>
          <w:szCs w:val="24"/>
        </w:rPr>
        <w:t xml:space="preserve"> </w:t>
      </w:r>
    </w:p>
    <w:p w14:paraId="66E6BD9D" w14:textId="77777777" w:rsidR="002641D2" w:rsidRPr="00FA3F9C" w:rsidRDefault="002641D2" w:rsidP="00670964">
      <w:pPr>
        <w:spacing w:after="0"/>
        <w:rPr>
          <w:rFonts w:ascii="Arial" w:hAnsi="Arial" w:cs="Arial"/>
          <w:sz w:val="24"/>
          <w:szCs w:val="24"/>
        </w:rPr>
      </w:pPr>
    </w:p>
    <w:p w14:paraId="4AFAB7DD" w14:textId="77777777" w:rsidR="002641D2" w:rsidRPr="00FA3F9C" w:rsidRDefault="002641D2" w:rsidP="002A1632">
      <w:pPr>
        <w:pStyle w:val="Heading2"/>
      </w:pPr>
      <w:bookmarkStart w:id="151" w:name="_Toc106369831"/>
      <w:proofErr w:type="spellStart"/>
      <w:r w:rsidRPr="00FA3F9C">
        <w:t>Isatuximab</w:t>
      </w:r>
      <w:proofErr w:type="spellEnd"/>
      <w:r w:rsidRPr="00FA3F9C">
        <w:t xml:space="preserve"> (</w:t>
      </w:r>
      <w:proofErr w:type="spellStart"/>
      <w:r w:rsidRPr="00FA3F9C">
        <w:t>Sarclisa</w:t>
      </w:r>
      <w:proofErr w:type="spellEnd"/>
      <w:r w:rsidRPr="00FA3F9C">
        <w:t>)</w:t>
      </w:r>
      <w:bookmarkEnd w:id="151"/>
    </w:p>
    <w:p w14:paraId="0F6C7873" w14:textId="77777777" w:rsidR="002641D2" w:rsidRPr="00FA3F9C" w:rsidRDefault="002641D2" w:rsidP="006F623F">
      <w:pPr>
        <w:spacing w:after="0"/>
        <w:jc w:val="center"/>
        <w:rPr>
          <w:rFonts w:ascii="Arial" w:hAnsi="Arial" w:cs="Arial"/>
          <w:sz w:val="24"/>
          <w:szCs w:val="24"/>
        </w:rPr>
      </w:pPr>
      <w:r w:rsidRPr="00FA3F9C">
        <w:rPr>
          <w:rFonts w:ascii="Arial" w:hAnsi="Arial" w:cs="Arial"/>
          <w:sz w:val="24"/>
          <w:szCs w:val="24"/>
        </w:rPr>
        <w:t>100mg/5ml and 500mg/25 ml vial</w:t>
      </w:r>
    </w:p>
    <w:p w14:paraId="4F557B1D" w14:textId="77777777" w:rsidR="002641D2" w:rsidRPr="00FA3F9C" w:rsidRDefault="002641D2" w:rsidP="006F623F">
      <w:pPr>
        <w:spacing w:after="0"/>
        <w:jc w:val="center"/>
        <w:rPr>
          <w:rFonts w:ascii="Arial" w:hAnsi="Arial" w:cs="Arial"/>
          <w:sz w:val="24"/>
          <w:szCs w:val="24"/>
        </w:rPr>
      </w:pPr>
      <w:r w:rsidRPr="00FA3F9C">
        <w:rPr>
          <w:rFonts w:ascii="Arial" w:hAnsi="Arial" w:cs="Arial"/>
          <w:sz w:val="24"/>
          <w:szCs w:val="24"/>
        </w:rPr>
        <w:t>EBRx PA Criteria</w:t>
      </w:r>
    </w:p>
    <w:p w14:paraId="1D60EF3D" w14:textId="77777777" w:rsidR="002641D2" w:rsidRPr="00FA3F9C" w:rsidRDefault="002641D2" w:rsidP="006F623F">
      <w:pPr>
        <w:spacing w:after="0"/>
        <w:rPr>
          <w:rFonts w:ascii="Arial" w:hAnsi="Arial" w:cs="Arial"/>
          <w:b/>
          <w:sz w:val="24"/>
          <w:szCs w:val="24"/>
          <w:u w:val="single"/>
        </w:rPr>
      </w:pPr>
    </w:p>
    <w:p w14:paraId="2AC6B9A0" w14:textId="77777777" w:rsidR="002641D2" w:rsidRPr="00FA3F9C" w:rsidRDefault="002641D2"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w:t>
      </w:r>
    </w:p>
    <w:p w14:paraId="24CBE706" w14:textId="77777777" w:rsidR="002641D2" w:rsidRPr="00FA3F9C" w:rsidRDefault="002641D2" w:rsidP="002641D2">
      <w:pPr>
        <w:pStyle w:val="ListParagraph"/>
        <w:numPr>
          <w:ilvl w:val="0"/>
          <w:numId w:val="283"/>
        </w:numPr>
        <w:spacing w:after="0" w:line="276" w:lineRule="auto"/>
        <w:rPr>
          <w:rFonts w:ascii="Arial" w:hAnsi="Arial" w:cs="Arial"/>
          <w:sz w:val="24"/>
          <w:szCs w:val="24"/>
        </w:rPr>
      </w:pPr>
      <w:r w:rsidRPr="00FA3F9C">
        <w:rPr>
          <w:rFonts w:ascii="Arial" w:hAnsi="Arial" w:cs="Arial"/>
          <w:sz w:val="24"/>
          <w:szCs w:val="24"/>
        </w:rPr>
        <w:t xml:space="preserve">treatment of adult patients with multiple myeloma who have received at least two prior therapies including lenalidomide and a proteasome inhibitor (use in combination with pomalidomide and dexamethasone) </w:t>
      </w:r>
      <w:r w:rsidRPr="00FA3F9C">
        <w:rPr>
          <w:rFonts w:ascii="Arial" w:hAnsi="Arial" w:cs="Arial"/>
          <w:sz w:val="24"/>
          <w:szCs w:val="24"/>
          <w:highlight w:val="cyan"/>
        </w:rPr>
        <w:t>SEE CRITERIA</w:t>
      </w:r>
    </w:p>
    <w:p w14:paraId="3D6A97FD" w14:textId="77777777" w:rsidR="002641D2" w:rsidRPr="00FA3F9C" w:rsidRDefault="002641D2" w:rsidP="002641D2">
      <w:pPr>
        <w:pStyle w:val="ListParagraph"/>
        <w:numPr>
          <w:ilvl w:val="0"/>
          <w:numId w:val="283"/>
        </w:numPr>
        <w:spacing w:after="0" w:line="276" w:lineRule="auto"/>
        <w:rPr>
          <w:rFonts w:ascii="Arial" w:hAnsi="Arial" w:cs="Arial"/>
          <w:sz w:val="24"/>
          <w:szCs w:val="24"/>
        </w:rPr>
      </w:pPr>
      <w:r w:rsidRPr="00FA3F9C">
        <w:rPr>
          <w:rFonts w:ascii="Arial" w:hAnsi="Arial" w:cs="Arial"/>
          <w:sz w:val="24"/>
          <w:szCs w:val="24"/>
        </w:rPr>
        <w:t>in combination with carfilzomib and dexamethasone, for the treatment of adult patients with relapsed or refractory multiple myeloma who have received 1 to 3 prior lines of therapy</w:t>
      </w:r>
    </w:p>
    <w:p w14:paraId="3D559156" w14:textId="77777777" w:rsidR="002641D2" w:rsidRPr="00FA3F9C" w:rsidRDefault="002641D2" w:rsidP="002641D2">
      <w:pPr>
        <w:pStyle w:val="ListParagraph"/>
        <w:numPr>
          <w:ilvl w:val="1"/>
          <w:numId w:val="283"/>
        </w:numPr>
        <w:spacing w:after="0" w:line="276" w:lineRule="auto"/>
        <w:rPr>
          <w:rFonts w:ascii="Arial" w:hAnsi="Arial" w:cs="Arial"/>
          <w:sz w:val="24"/>
          <w:szCs w:val="24"/>
        </w:rPr>
      </w:pPr>
      <w:r w:rsidRPr="00FA3F9C">
        <w:rPr>
          <w:rFonts w:ascii="Arial" w:hAnsi="Arial" w:cs="Arial"/>
          <w:sz w:val="24"/>
          <w:szCs w:val="24"/>
          <w:highlight w:val="yellow"/>
        </w:rPr>
        <w:t>NOT COVERED</w:t>
      </w:r>
      <w:r w:rsidRPr="00FA3F9C">
        <w:rPr>
          <w:rFonts w:ascii="Arial" w:hAnsi="Arial" w:cs="Arial"/>
          <w:sz w:val="24"/>
          <w:szCs w:val="24"/>
        </w:rPr>
        <w:t>: benefit is limited to progression free survival only compared to carfilzomib plus dexamethasone</w:t>
      </w:r>
    </w:p>
    <w:p w14:paraId="16B57493" w14:textId="77777777" w:rsidR="002641D2" w:rsidRPr="00FA3F9C" w:rsidRDefault="002641D2" w:rsidP="002641D2">
      <w:pPr>
        <w:pStyle w:val="ListParagraph"/>
        <w:numPr>
          <w:ilvl w:val="2"/>
          <w:numId w:val="283"/>
        </w:numPr>
        <w:spacing w:after="0" w:line="276" w:lineRule="auto"/>
        <w:rPr>
          <w:rFonts w:ascii="Arial" w:hAnsi="Arial" w:cs="Arial"/>
          <w:sz w:val="24"/>
          <w:szCs w:val="24"/>
        </w:rPr>
      </w:pPr>
      <w:r w:rsidRPr="00FA3F9C">
        <w:rPr>
          <w:rFonts w:ascii="Arial" w:hAnsi="Arial" w:cs="Arial"/>
          <w:sz w:val="24"/>
          <w:szCs w:val="24"/>
        </w:rPr>
        <w:lastRenderedPageBreak/>
        <w:t xml:space="preserve">Reference: Moreau P et al. </w:t>
      </w:r>
      <w:proofErr w:type="spellStart"/>
      <w:r w:rsidRPr="00FA3F9C">
        <w:rPr>
          <w:rFonts w:ascii="Arial" w:hAnsi="Arial" w:cs="Arial"/>
          <w:sz w:val="24"/>
          <w:szCs w:val="24"/>
        </w:rPr>
        <w:t>Isatuximab</w:t>
      </w:r>
      <w:proofErr w:type="spellEnd"/>
      <w:r w:rsidRPr="00FA3F9C">
        <w:rPr>
          <w:rFonts w:ascii="Arial" w:hAnsi="Arial" w:cs="Arial"/>
          <w:sz w:val="24"/>
          <w:szCs w:val="24"/>
        </w:rPr>
        <w:t xml:space="preserve">, carfilzomib, and dexamethasone in relapsed multiple myeloma (IKEMA): a </w:t>
      </w:r>
      <w:proofErr w:type="spellStart"/>
      <w:r w:rsidRPr="00FA3F9C">
        <w:rPr>
          <w:rFonts w:ascii="Arial" w:hAnsi="Arial" w:cs="Arial"/>
          <w:sz w:val="24"/>
          <w:szCs w:val="24"/>
        </w:rPr>
        <w:t>multicentre</w:t>
      </w:r>
      <w:proofErr w:type="spellEnd"/>
      <w:r w:rsidRPr="00FA3F9C">
        <w:rPr>
          <w:rFonts w:ascii="Arial" w:hAnsi="Arial" w:cs="Arial"/>
          <w:sz w:val="24"/>
          <w:szCs w:val="24"/>
        </w:rPr>
        <w:t xml:space="preserve">, open-label, </w:t>
      </w:r>
      <w:proofErr w:type="spellStart"/>
      <w:r w:rsidRPr="00FA3F9C">
        <w:rPr>
          <w:rFonts w:ascii="Arial" w:hAnsi="Arial" w:cs="Arial"/>
          <w:sz w:val="24"/>
          <w:szCs w:val="24"/>
        </w:rPr>
        <w:t>randomised</w:t>
      </w:r>
      <w:proofErr w:type="spellEnd"/>
      <w:r w:rsidRPr="00FA3F9C">
        <w:rPr>
          <w:rFonts w:ascii="Arial" w:hAnsi="Arial" w:cs="Arial"/>
          <w:sz w:val="24"/>
          <w:szCs w:val="24"/>
        </w:rPr>
        <w:t xml:space="preserve"> phase 3 trial. Lancet. 2021 Jun 4:S0140-6736(21)00592-4. </w:t>
      </w:r>
      <w:proofErr w:type="spellStart"/>
      <w:r w:rsidRPr="00FA3F9C">
        <w:rPr>
          <w:rFonts w:ascii="Arial" w:hAnsi="Arial" w:cs="Arial"/>
          <w:sz w:val="24"/>
          <w:szCs w:val="24"/>
        </w:rPr>
        <w:t>doi</w:t>
      </w:r>
      <w:proofErr w:type="spellEnd"/>
      <w:r w:rsidRPr="00FA3F9C">
        <w:rPr>
          <w:rFonts w:ascii="Arial" w:hAnsi="Arial" w:cs="Arial"/>
          <w:sz w:val="24"/>
          <w:szCs w:val="24"/>
        </w:rPr>
        <w:t xml:space="preserve">: 10.1016/S0140-6736(21)00592-4. </w:t>
      </w:r>
      <w:proofErr w:type="spellStart"/>
      <w:r w:rsidRPr="00FA3F9C">
        <w:rPr>
          <w:rFonts w:ascii="Arial" w:hAnsi="Arial" w:cs="Arial"/>
          <w:sz w:val="24"/>
          <w:szCs w:val="24"/>
        </w:rPr>
        <w:t>Epub</w:t>
      </w:r>
      <w:proofErr w:type="spellEnd"/>
      <w:r w:rsidRPr="00FA3F9C">
        <w:rPr>
          <w:rFonts w:ascii="Arial" w:hAnsi="Arial" w:cs="Arial"/>
          <w:sz w:val="24"/>
          <w:szCs w:val="24"/>
        </w:rPr>
        <w:t xml:space="preserve"> ahead of print. PMID: 34097854.</w:t>
      </w:r>
    </w:p>
    <w:p w14:paraId="4A45E732" w14:textId="77777777" w:rsidR="002641D2" w:rsidRPr="00FA3F9C" w:rsidRDefault="002641D2" w:rsidP="006F623F">
      <w:pPr>
        <w:spacing w:after="0"/>
        <w:rPr>
          <w:rFonts w:ascii="Arial" w:hAnsi="Arial" w:cs="Arial"/>
          <w:sz w:val="24"/>
          <w:szCs w:val="24"/>
        </w:rPr>
      </w:pPr>
    </w:p>
    <w:tbl>
      <w:tblPr>
        <w:tblStyle w:val="TableGrid"/>
        <w:tblW w:w="0" w:type="auto"/>
        <w:tblLook w:val="04A0" w:firstRow="1" w:lastRow="0" w:firstColumn="1" w:lastColumn="0" w:noHBand="0" w:noVBand="1"/>
      </w:tblPr>
      <w:tblGrid>
        <w:gridCol w:w="8928"/>
        <w:gridCol w:w="2088"/>
      </w:tblGrid>
      <w:tr w:rsidR="002641D2" w:rsidRPr="00FA3F9C" w14:paraId="0D342481" w14:textId="77777777" w:rsidTr="00571CAB">
        <w:tc>
          <w:tcPr>
            <w:tcW w:w="8928" w:type="dxa"/>
            <w:shd w:val="clear" w:color="auto" w:fill="000000"/>
          </w:tcPr>
          <w:p w14:paraId="76C3410D" w14:textId="77777777" w:rsidR="002641D2" w:rsidRPr="00FA3F9C" w:rsidRDefault="002641D2"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88" w:type="dxa"/>
            <w:shd w:val="clear" w:color="auto" w:fill="000000"/>
          </w:tcPr>
          <w:p w14:paraId="3BA39266" w14:textId="77777777" w:rsidR="002641D2" w:rsidRPr="00FA3F9C" w:rsidRDefault="002641D2" w:rsidP="006F623F">
            <w:pPr>
              <w:jc w:val="center"/>
              <w:rPr>
                <w:rFonts w:ascii="Arial" w:hAnsi="Arial" w:cs="Arial"/>
                <w:b/>
                <w:sz w:val="24"/>
                <w:szCs w:val="24"/>
                <w:u w:val="single"/>
              </w:rPr>
            </w:pPr>
          </w:p>
        </w:tc>
      </w:tr>
      <w:tr w:rsidR="002641D2" w:rsidRPr="00FA3F9C" w14:paraId="71FD89EB" w14:textId="77777777" w:rsidTr="00F337AE">
        <w:tc>
          <w:tcPr>
            <w:tcW w:w="11016" w:type="dxa"/>
            <w:gridSpan w:val="2"/>
          </w:tcPr>
          <w:p w14:paraId="24692D5A" w14:textId="77777777" w:rsidR="002641D2" w:rsidRPr="00FA3F9C" w:rsidRDefault="002641D2" w:rsidP="006F623F">
            <w:pPr>
              <w:rPr>
                <w:rFonts w:ascii="Arial" w:hAnsi="Arial" w:cs="Arial"/>
                <w:sz w:val="24"/>
                <w:szCs w:val="24"/>
              </w:rPr>
            </w:pPr>
            <w:r w:rsidRPr="00FA3F9C">
              <w:rPr>
                <w:rFonts w:ascii="Arial" w:hAnsi="Arial" w:cs="Arial"/>
                <w:sz w:val="24"/>
                <w:szCs w:val="24"/>
              </w:rPr>
              <w:t>1. Diagnosis of multiple myeloma</w:t>
            </w:r>
          </w:p>
        </w:tc>
      </w:tr>
      <w:tr w:rsidR="002641D2" w:rsidRPr="00FA3F9C" w14:paraId="06BEDF55" w14:textId="77777777" w:rsidTr="00F337AE">
        <w:tc>
          <w:tcPr>
            <w:tcW w:w="11016" w:type="dxa"/>
            <w:gridSpan w:val="2"/>
          </w:tcPr>
          <w:p w14:paraId="26A0ED5D" w14:textId="77777777" w:rsidR="002641D2" w:rsidRPr="00FA3F9C" w:rsidRDefault="002641D2" w:rsidP="006F623F">
            <w:pPr>
              <w:rPr>
                <w:rFonts w:ascii="Arial" w:hAnsi="Arial" w:cs="Arial"/>
                <w:sz w:val="24"/>
                <w:szCs w:val="24"/>
              </w:rPr>
            </w:pPr>
            <w:r w:rsidRPr="00FA3F9C">
              <w:rPr>
                <w:rFonts w:ascii="Arial" w:hAnsi="Arial" w:cs="Arial"/>
                <w:sz w:val="24"/>
                <w:szCs w:val="24"/>
              </w:rPr>
              <w:t>2. Age is 75 years or older</w:t>
            </w:r>
          </w:p>
        </w:tc>
      </w:tr>
      <w:tr w:rsidR="002641D2" w:rsidRPr="00FA3F9C" w14:paraId="504A694F" w14:textId="77777777" w:rsidTr="00B1617E">
        <w:tc>
          <w:tcPr>
            <w:tcW w:w="11016" w:type="dxa"/>
            <w:gridSpan w:val="2"/>
          </w:tcPr>
          <w:p w14:paraId="638A6B7C" w14:textId="77777777" w:rsidR="002641D2" w:rsidRPr="00FA3F9C" w:rsidRDefault="002641D2" w:rsidP="00272979">
            <w:pPr>
              <w:rPr>
                <w:rFonts w:ascii="Arial" w:hAnsi="Arial" w:cs="Arial"/>
                <w:sz w:val="24"/>
                <w:szCs w:val="24"/>
              </w:rPr>
            </w:pPr>
            <w:r w:rsidRPr="00FA3F9C">
              <w:rPr>
                <w:rFonts w:ascii="Arial" w:hAnsi="Arial" w:cs="Arial"/>
                <w:sz w:val="24"/>
                <w:szCs w:val="24"/>
              </w:rPr>
              <w:t xml:space="preserve">3. Patient has been treated with at least two prior therapies, which included lenalidomide and a proteasome inhibitor (bortezomib, carfilzomib, </w:t>
            </w:r>
            <w:proofErr w:type="spellStart"/>
            <w:r w:rsidRPr="00FA3F9C">
              <w:rPr>
                <w:rFonts w:ascii="Arial" w:hAnsi="Arial" w:cs="Arial"/>
                <w:sz w:val="24"/>
                <w:szCs w:val="24"/>
              </w:rPr>
              <w:t>ixazomib</w:t>
            </w:r>
            <w:proofErr w:type="spellEnd"/>
            <w:r w:rsidRPr="00FA3F9C">
              <w:rPr>
                <w:rFonts w:ascii="Arial" w:hAnsi="Arial" w:cs="Arial"/>
                <w:sz w:val="24"/>
                <w:szCs w:val="24"/>
              </w:rPr>
              <w:t>).</w:t>
            </w:r>
          </w:p>
        </w:tc>
      </w:tr>
      <w:tr w:rsidR="002641D2" w:rsidRPr="00FA3F9C" w14:paraId="6FB4AF16" w14:textId="77777777" w:rsidTr="0010789D">
        <w:tc>
          <w:tcPr>
            <w:tcW w:w="11016" w:type="dxa"/>
            <w:gridSpan w:val="2"/>
          </w:tcPr>
          <w:p w14:paraId="51B6DFCD" w14:textId="77777777" w:rsidR="002641D2" w:rsidRPr="00FA3F9C" w:rsidRDefault="002641D2" w:rsidP="00272979">
            <w:pPr>
              <w:rPr>
                <w:rFonts w:ascii="Arial" w:hAnsi="Arial" w:cs="Arial"/>
                <w:sz w:val="24"/>
                <w:szCs w:val="24"/>
              </w:rPr>
            </w:pPr>
            <w:r w:rsidRPr="00FA3F9C">
              <w:rPr>
                <w:rFonts w:ascii="Arial" w:hAnsi="Arial" w:cs="Arial"/>
                <w:sz w:val="24"/>
                <w:szCs w:val="24"/>
              </w:rPr>
              <w:t>4. If patient received prior anti-CD38 monoclonal antibody therapy (</w:t>
            </w:r>
            <w:proofErr w:type="gramStart"/>
            <w:r w:rsidRPr="00FA3F9C">
              <w:rPr>
                <w:rFonts w:ascii="Arial" w:hAnsi="Arial" w:cs="Arial"/>
                <w:sz w:val="24"/>
                <w:szCs w:val="24"/>
              </w:rPr>
              <w:t>e.g.</w:t>
            </w:r>
            <w:proofErr w:type="gramEnd"/>
            <w:r w:rsidRPr="00FA3F9C">
              <w:rPr>
                <w:rFonts w:ascii="Arial" w:hAnsi="Arial" w:cs="Arial"/>
                <w:sz w:val="24"/>
                <w:szCs w:val="24"/>
              </w:rPr>
              <w:t xml:space="preserve"> daratumumab), disease was not refractory to this therapy (e.g. disease did not progress ON or within 60 days of this therapy*)</w:t>
            </w:r>
          </w:p>
        </w:tc>
      </w:tr>
      <w:tr w:rsidR="002641D2" w:rsidRPr="00FA3F9C" w14:paraId="0228233A" w14:textId="77777777" w:rsidTr="00DA57E0">
        <w:tc>
          <w:tcPr>
            <w:tcW w:w="11016" w:type="dxa"/>
            <w:gridSpan w:val="2"/>
          </w:tcPr>
          <w:p w14:paraId="01ADC340" w14:textId="77777777" w:rsidR="002641D2" w:rsidRPr="00FA3F9C" w:rsidRDefault="002641D2" w:rsidP="00E55C86">
            <w:pPr>
              <w:rPr>
                <w:rFonts w:ascii="Arial" w:hAnsi="Arial" w:cs="Arial"/>
                <w:sz w:val="24"/>
                <w:szCs w:val="24"/>
              </w:rPr>
            </w:pPr>
            <w:r w:rsidRPr="00FA3F9C">
              <w:rPr>
                <w:rFonts w:ascii="Arial" w:hAnsi="Arial" w:cs="Arial"/>
                <w:sz w:val="24"/>
                <w:szCs w:val="24"/>
              </w:rPr>
              <w:t xml:space="preserve">5. Patient has not experienced disease progression on pomalidomide </w:t>
            </w:r>
          </w:p>
        </w:tc>
      </w:tr>
      <w:tr w:rsidR="002641D2" w:rsidRPr="00FA3F9C" w14:paraId="1183B6BA" w14:textId="77777777" w:rsidTr="00DA57E0">
        <w:tc>
          <w:tcPr>
            <w:tcW w:w="11016" w:type="dxa"/>
            <w:gridSpan w:val="2"/>
          </w:tcPr>
          <w:p w14:paraId="58DC2BA8" w14:textId="77777777" w:rsidR="002641D2" w:rsidRPr="00FA3F9C" w:rsidRDefault="002641D2" w:rsidP="00FA0E20">
            <w:pPr>
              <w:rPr>
                <w:rFonts w:ascii="Arial" w:hAnsi="Arial" w:cs="Arial"/>
                <w:sz w:val="24"/>
                <w:szCs w:val="24"/>
              </w:rPr>
            </w:pPr>
            <w:r w:rsidRPr="00FA3F9C">
              <w:rPr>
                <w:rFonts w:ascii="Arial" w:hAnsi="Arial" w:cs="Arial"/>
                <w:sz w:val="24"/>
                <w:szCs w:val="24"/>
              </w:rPr>
              <w:t xml:space="preserve">6. </w:t>
            </w:r>
            <w:proofErr w:type="spellStart"/>
            <w:r w:rsidRPr="00FA3F9C">
              <w:rPr>
                <w:rFonts w:ascii="Arial" w:hAnsi="Arial" w:cs="Arial"/>
                <w:sz w:val="24"/>
                <w:szCs w:val="24"/>
              </w:rPr>
              <w:t>Isatuximab</w:t>
            </w:r>
            <w:proofErr w:type="spellEnd"/>
            <w:r w:rsidRPr="00FA3F9C">
              <w:rPr>
                <w:rFonts w:ascii="Arial" w:hAnsi="Arial" w:cs="Arial"/>
                <w:sz w:val="24"/>
                <w:szCs w:val="24"/>
              </w:rPr>
              <w:t xml:space="preserve"> will be given in combination with pomalidomide and dexamethasone</w:t>
            </w:r>
          </w:p>
        </w:tc>
      </w:tr>
      <w:tr w:rsidR="002641D2" w:rsidRPr="00FA3F9C" w14:paraId="49068CC5" w14:textId="77777777" w:rsidTr="00272979">
        <w:tc>
          <w:tcPr>
            <w:tcW w:w="11016" w:type="dxa"/>
            <w:gridSpan w:val="2"/>
            <w:shd w:val="clear" w:color="auto" w:fill="F2F2F2" w:themeFill="background1" w:themeFillShade="F2"/>
          </w:tcPr>
          <w:p w14:paraId="0505C295" w14:textId="77777777" w:rsidR="002641D2" w:rsidRPr="00FA3F9C" w:rsidRDefault="002641D2" w:rsidP="00272979">
            <w:pPr>
              <w:rPr>
                <w:rFonts w:ascii="Arial" w:hAnsi="Arial" w:cs="Arial"/>
                <w:sz w:val="24"/>
                <w:szCs w:val="24"/>
              </w:rPr>
            </w:pPr>
            <w:r w:rsidRPr="00FA3F9C">
              <w:rPr>
                <w:rFonts w:ascii="Arial" w:hAnsi="Arial" w:cs="Arial"/>
                <w:sz w:val="24"/>
                <w:szCs w:val="24"/>
              </w:rPr>
              <w:t>If all criteria met, approve for 12 months.</w:t>
            </w:r>
          </w:p>
        </w:tc>
      </w:tr>
    </w:tbl>
    <w:p w14:paraId="1B5335B7" w14:textId="77777777" w:rsidR="002641D2" w:rsidRPr="00FA3F9C" w:rsidRDefault="002641D2" w:rsidP="006F623F">
      <w:pPr>
        <w:spacing w:after="0"/>
        <w:rPr>
          <w:rFonts w:ascii="Arial" w:hAnsi="Arial" w:cs="Arial"/>
          <w:sz w:val="24"/>
          <w:szCs w:val="24"/>
        </w:rPr>
      </w:pPr>
      <w:r w:rsidRPr="00FA3F9C">
        <w:rPr>
          <w:rFonts w:ascii="Arial" w:hAnsi="Arial" w:cs="Arial"/>
          <w:sz w:val="24"/>
          <w:szCs w:val="24"/>
        </w:rPr>
        <w:t xml:space="preserve">*Kyle RA, Rajkumar SV. Criteria for diagnosis, staging, risk stratification and response assessment of multiple myeloma. Leukemia. 2009 Jan;23(1):3-9. </w:t>
      </w:r>
      <w:proofErr w:type="spellStart"/>
      <w:r w:rsidRPr="00FA3F9C">
        <w:rPr>
          <w:rFonts w:ascii="Arial" w:hAnsi="Arial" w:cs="Arial"/>
          <w:sz w:val="24"/>
          <w:szCs w:val="24"/>
        </w:rPr>
        <w:t>doi</w:t>
      </w:r>
      <w:proofErr w:type="spellEnd"/>
      <w:r w:rsidRPr="00FA3F9C">
        <w:rPr>
          <w:rFonts w:ascii="Arial" w:hAnsi="Arial" w:cs="Arial"/>
          <w:sz w:val="24"/>
          <w:szCs w:val="24"/>
        </w:rPr>
        <w:t xml:space="preserve">: 10.1038/leu.2008.291. </w:t>
      </w:r>
      <w:proofErr w:type="spellStart"/>
      <w:r w:rsidRPr="00FA3F9C">
        <w:rPr>
          <w:rFonts w:ascii="Arial" w:hAnsi="Arial" w:cs="Arial"/>
          <w:sz w:val="24"/>
          <w:szCs w:val="24"/>
        </w:rPr>
        <w:t>Epub</w:t>
      </w:r>
      <w:proofErr w:type="spellEnd"/>
      <w:r w:rsidRPr="00FA3F9C">
        <w:rPr>
          <w:rFonts w:ascii="Arial" w:hAnsi="Arial" w:cs="Arial"/>
          <w:sz w:val="24"/>
          <w:szCs w:val="24"/>
        </w:rPr>
        <w:t xml:space="preserve"> 2008 Oct 30. Erratum in: Leukemia. 2014 Apr;28(4):980. PMID: 18971951; PMCID: PMC2627786.</w:t>
      </w:r>
    </w:p>
    <w:p w14:paraId="62406048" w14:textId="77777777" w:rsidR="002641D2" w:rsidRPr="00FA3F9C" w:rsidRDefault="002641D2" w:rsidP="006F623F">
      <w:pPr>
        <w:spacing w:after="0"/>
        <w:rPr>
          <w:rFonts w:ascii="Arial" w:hAnsi="Arial" w:cs="Arial"/>
          <w:b/>
          <w:sz w:val="24"/>
          <w:szCs w:val="24"/>
          <w:u w:val="single"/>
        </w:rPr>
      </w:pPr>
    </w:p>
    <w:tbl>
      <w:tblPr>
        <w:tblStyle w:val="TableGrid"/>
        <w:tblW w:w="0" w:type="auto"/>
        <w:shd w:val="clear" w:color="auto" w:fill="BFBFBF" w:themeFill="background1" w:themeFillShade="BF"/>
        <w:tblLook w:val="04A0" w:firstRow="1" w:lastRow="0" w:firstColumn="1" w:lastColumn="0" w:noHBand="0" w:noVBand="1"/>
      </w:tblPr>
      <w:tblGrid>
        <w:gridCol w:w="10998"/>
      </w:tblGrid>
      <w:tr w:rsidR="002641D2" w:rsidRPr="00FA3F9C" w14:paraId="78CC2AF3" w14:textId="77777777" w:rsidTr="00D82B6E">
        <w:tc>
          <w:tcPr>
            <w:tcW w:w="10998" w:type="dxa"/>
            <w:shd w:val="clear" w:color="auto" w:fill="BFBFBF" w:themeFill="background1" w:themeFillShade="BF"/>
          </w:tcPr>
          <w:p w14:paraId="5ABA89D7" w14:textId="77777777" w:rsidR="002641D2" w:rsidRPr="00FA3F9C" w:rsidRDefault="002641D2" w:rsidP="00D82B6E">
            <w:pPr>
              <w:rPr>
                <w:rFonts w:ascii="Arial" w:hAnsi="Arial" w:cs="Arial"/>
                <w:sz w:val="24"/>
                <w:szCs w:val="24"/>
              </w:rPr>
            </w:pPr>
            <w:r w:rsidRPr="00FA3F9C">
              <w:rPr>
                <w:rFonts w:ascii="Arial" w:hAnsi="Arial" w:cs="Arial"/>
                <w:sz w:val="24"/>
                <w:szCs w:val="24"/>
              </w:rPr>
              <w:t xml:space="preserve">Note: </w:t>
            </w:r>
          </w:p>
          <w:p w14:paraId="4146D539" w14:textId="77777777" w:rsidR="002641D2" w:rsidRPr="00FA3F9C" w:rsidRDefault="002641D2" w:rsidP="00E65E55">
            <w:pPr>
              <w:rPr>
                <w:rFonts w:ascii="Arial" w:hAnsi="Arial" w:cs="Arial"/>
                <w:sz w:val="24"/>
                <w:szCs w:val="24"/>
              </w:rPr>
            </w:pPr>
            <w:proofErr w:type="spellStart"/>
            <w:r w:rsidRPr="00FA3F9C">
              <w:rPr>
                <w:rFonts w:ascii="Arial" w:hAnsi="Arial" w:cs="Arial"/>
                <w:sz w:val="24"/>
                <w:szCs w:val="24"/>
              </w:rPr>
              <w:t>Isatuximab</w:t>
            </w:r>
            <w:proofErr w:type="spellEnd"/>
            <w:r w:rsidRPr="00FA3F9C">
              <w:rPr>
                <w:rFonts w:ascii="Arial" w:hAnsi="Arial" w:cs="Arial"/>
                <w:sz w:val="24"/>
                <w:szCs w:val="24"/>
              </w:rPr>
              <w:t>/pomalidomide/dexamethasone</w:t>
            </w:r>
            <w:r w:rsidRPr="00FA3F9C">
              <w:rPr>
                <w:rFonts w:ascii="Arial" w:hAnsi="Arial" w:cs="Arial"/>
                <w:sz w:val="24"/>
                <w:szCs w:val="24"/>
                <w:u w:val="single"/>
              </w:rPr>
              <w:t xml:space="preserve"> </w:t>
            </w:r>
            <w:r w:rsidRPr="00FA3F9C">
              <w:rPr>
                <w:rFonts w:ascii="Arial" w:hAnsi="Arial" w:cs="Arial"/>
                <w:sz w:val="24"/>
                <w:szCs w:val="24"/>
              </w:rPr>
              <w:t xml:space="preserve">was compared to pomalidomide/dexamethasone in patients who were previously treated with at least two prior therapies including lenalidomide and a proteasome inhibitor. The triplet therapy improved progression free survival (median 11.53 </w:t>
            </w:r>
            <w:proofErr w:type="spellStart"/>
            <w:r w:rsidRPr="00FA3F9C">
              <w:rPr>
                <w:rFonts w:ascii="Arial" w:hAnsi="Arial" w:cs="Arial"/>
                <w:sz w:val="24"/>
                <w:szCs w:val="24"/>
              </w:rPr>
              <w:t>mo</w:t>
            </w:r>
            <w:proofErr w:type="spellEnd"/>
            <w:r w:rsidRPr="00FA3F9C">
              <w:rPr>
                <w:rFonts w:ascii="Arial" w:hAnsi="Arial" w:cs="Arial"/>
                <w:sz w:val="24"/>
                <w:szCs w:val="24"/>
              </w:rPr>
              <w:t xml:space="preserve"> vs 6.47 </w:t>
            </w:r>
            <w:proofErr w:type="spellStart"/>
            <w:r w:rsidRPr="00FA3F9C">
              <w:rPr>
                <w:rFonts w:ascii="Arial" w:hAnsi="Arial" w:cs="Arial"/>
                <w:sz w:val="24"/>
                <w:szCs w:val="24"/>
              </w:rPr>
              <w:t>mo</w:t>
            </w:r>
            <w:proofErr w:type="spellEnd"/>
            <w:r w:rsidRPr="00FA3F9C">
              <w:rPr>
                <w:rFonts w:ascii="Arial" w:hAnsi="Arial" w:cs="Arial"/>
                <w:sz w:val="24"/>
                <w:szCs w:val="24"/>
              </w:rPr>
              <w:t xml:space="preserve">). In the overall population, a statistically significant overall survival benefit has not been demonstrated at this time. However, in the subset of patients who were age </w:t>
            </w:r>
            <w:r w:rsidRPr="00FA3F9C">
              <w:rPr>
                <w:rFonts w:ascii="Arial" w:hAnsi="Arial" w:cs="Arial"/>
                <w:sz w:val="24"/>
                <w:szCs w:val="24"/>
                <w:u w:val="single"/>
              </w:rPr>
              <w:t>&gt;</w:t>
            </w:r>
            <w:r w:rsidRPr="00FA3F9C">
              <w:rPr>
                <w:rFonts w:ascii="Arial" w:hAnsi="Arial" w:cs="Arial"/>
                <w:sz w:val="24"/>
                <w:szCs w:val="24"/>
              </w:rPr>
              <w:t xml:space="preserve">75 y, a statistically significant improvement in overall survival was demonstrated (median not reached in triplet group versus 10.25 </w:t>
            </w:r>
            <w:proofErr w:type="spellStart"/>
            <w:r w:rsidRPr="00FA3F9C">
              <w:rPr>
                <w:rFonts w:ascii="Arial" w:hAnsi="Arial" w:cs="Arial"/>
                <w:sz w:val="24"/>
                <w:szCs w:val="24"/>
              </w:rPr>
              <w:t>mo</w:t>
            </w:r>
            <w:proofErr w:type="spellEnd"/>
            <w:r w:rsidRPr="00FA3F9C">
              <w:rPr>
                <w:rFonts w:ascii="Arial" w:hAnsi="Arial" w:cs="Arial"/>
                <w:sz w:val="24"/>
                <w:szCs w:val="24"/>
              </w:rPr>
              <w:t xml:space="preserve"> in the control group (HR 0.404 95% CI 0.171- 0.956).</w:t>
            </w:r>
            <w:r w:rsidRPr="00FA3F9C">
              <w:rPr>
                <w:rFonts w:ascii="Arial" w:hAnsi="Arial" w:cs="Arial"/>
                <w:sz w:val="24"/>
                <w:szCs w:val="24"/>
                <w:vertAlign w:val="superscript"/>
              </w:rPr>
              <w:t>1,2</w:t>
            </w:r>
          </w:p>
          <w:p w14:paraId="556EB68F" w14:textId="77777777" w:rsidR="002641D2" w:rsidRPr="00FA3F9C" w:rsidRDefault="002641D2" w:rsidP="00E65E55">
            <w:pPr>
              <w:rPr>
                <w:rFonts w:ascii="Arial" w:hAnsi="Arial" w:cs="Arial"/>
                <w:sz w:val="24"/>
                <w:szCs w:val="24"/>
              </w:rPr>
            </w:pPr>
          </w:p>
          <w:p w14:paraId="135E7766" w14:textId="77777777" w:rsidR="002641D2" w:rsidRPr="00FA3F9C" w:rsidRDefault="002641D2" w:rsidP="00E65E55">
            <w:pPr>
              <w:rPr>
                <w:rFonts w:ascii="Arial" w:hAnsi="Arial" w:cs="Arial"/>
                <w:sz w:val="24"/>
                <w:szCs w:val="24"/>
              </w:rPr>
            </w:pPr>
            <w:r w:rsidRPr="00FA3F9C">
              <w:rPr>
                <w:rFonts w:ascii="Arial" w:hAnsi="Arial" w:cs="Arial"/>
                <w:sz w:val="24"/>
                <w:szCs w:val="24"/>
              </w:rPr>
              <w:t xml:space="preserve">Dose: </w:t>
            </w:r>
          </w:p>
          <w:p w14:paraId="2A1749AA" w14:textId="77777777" w:rsidR="002641D2" w:rsidRPr="00FA3F9C" w:rsidRDefault="002641D2" w:rsidP="00E65E55">
            <w:pPr>
              <w:rPr>
                <w:rFonts w:ascii="Arial" w:hAnsi="Arial" w:cs="Arial"/>
                <w:sz w:val="24"/>
                <w:szCs w:val="24"/>
              </w:rPr>
            </w:pPr>
            <w:r w:rsidRPr="00FA3F9C">
              <w:rPr>
                <w:rFonts w:ascii="Arial" w:hAnsi="Arial" w:cs="Arial"/>
                <w:sz w:val="24"/>
                <w:szCs w:val="24"/>
              </w:rPr>
              <w:t>Cycle 1: 10 mg/kg IV on days 1, 8, 15, and 22 of a 28-day cycle (in combination with pomalidomide and dexamethasone.</w:t>
            </w:r>
          </w:p>
          <w:p w14:paraId="5A71CEC8" w14:textId="77777777" w:rsidR="002641D2" w:rsidRPr="00FA3F9C" w:rsidRDefault="002641D2" w:rsidP="00E65E55">
            <w:pPr>
              <w:rPr>
                <w:rFonts w:ascii="Arial" w:hAnsi="Arial" w:cs="Arial"/>
                <w:sz w:val="24"/>
                <w:szCs w:val="24"/>
              </w:rPr>
            </w:pPr>
          </w:p>
          <w:p w14:paraId="5B16A832" w14:textId="77777777" w:rsidR="002641D2" w:rsidRPr="00FA3F9C" w:rsidRDefault="002641D2" w:rsidP="00E65E55">
            <w:pPr>
              <w:rPr>
                <w:rFonts w:ascii="Arial" w:hAnsi="Arial" w:cs="Arial"/>
                <w:sz w:val="24"/>
                <w:szCs w:val="24"/>
              </w:rPr>
            </w:pPr>
            <w:r w:rsidRPr="00FA3F9C">
              <w:rPr>
                <w:rFonts w:ascii="Arial" w:hAnsi="Arial" w:cs="Arial"/>
                <w:sz w:val="24"/>
                <w:szCs w:val="24"/>
              </w:rPr>
              <w:lastRenderedPageBreak/>
              <w:t>Cycle 2 and beyond: 10 mg/kg IV on days 1 and 15 of a 28-day cycle (in combination with pomalidomide and dexamethasone), continue until disease progression or unacceptable toxicity.</w:t>
            </w:r>
          </w:p>
          <w:p w14:paraId="0F3F6254" w14:textId="77777777" w:rsidR="002641D2" w:rsidRPr="00FA3F9C" w:rsidRDefault="002641D2" w:rsidP="00E65E55">
            <w:pPr>
              <w:rPr>
                <w:rFonts w:ascii="Arial" w:hAnsi="Arial" w:cs="Arial"/>
                <w:sz w:val="24"/>
                <w:szCs w:val="24"/>
              </w:rPr>
            </w:pPr>
          </w:p>
          <w:p w14:paraId="0DABF408" w14:textId="77777777" w:rsidR="002641D2" w:rsidRPr="00FA3F9C" w:rsidRDefault="002641D2" w:rsidP="00E65E55">
            <w:pPr>
              <w:rPr>
                <w:rFonts w:ascii="Arial" w:hAnsi="Arial" w:cs="Arial"/>
                <w:sz w:val="24"/>
                <w:szCs w:val="24"/>
              </w:rPr>
            </w:pPr>
            <w:r w:rsidRPr="00FA3F9C">
              <w:rPr>
                <w:rFonts w:ascii="Arial" w:hAnsi="Arial" w:cs="Arial"/>
                <w:sz w:val="24"/>
                <w:szCs w:val="24"/>
              </w:rPr>
              <w:t>References:</w:t>
            </w:r>
          </w:p>
          <w:p w14:paraId="18BD7D46" w14:textId="77777777" w:rsidR="002641D2" w:rsidRPr="00FA3F9C" w:rsidRDefault="002641D2" w:rsidP="002641D2">
            <w:pPr>
              <w:pStyle w:val="ListParagraph"/>
              <w:numPr>
                <w:ilvl w:val="0"/>
                <w:numId w:val="282"/>
              </w:numPr>
              <w:spacing w:after="160" w:line="259" w:lineRule="auto"/>
              <w:rPr>
                <w:rFonts w:ascii="Arial" w:hAnsi="Arial" w:cs="Arial"/>
                <w:sz w:val="24"/>
                <w:szCs w:val="24"/>
              </w:rPr>
            </w:pPr>
            <w:r w:rsidRPr="00FA3F9C">
              <w:rPr>
                <w:rFonts w:ascii="Arial" w:hAnsi="Arial" w:cs="Arial"/>
                <w:sz w:val="24"/>
                <w:szCs w:val="24"/>
              </w:rPr>
              <w:t xml:space="preserve">Attal M et al. </w:t>
            </w:r>
            <w:proofErr w:type="spellStart"/>
            <w:r w:rsidRPr="00FA3F9C">
              <w:rPr>
                <w:rFonts w:ascii="Arial" w:hAnsi="Arial" w:cs="Arial"/>
                <w:sz w:val="24"/>
                <w:szCs w:val="24"/>
              </w:rPr>
              <w:t>Isatuximab</w:t>
            </w:r>
            <w:proofErr w:type="spellEnd"/>
            <w:r w:rsidRPr="00FA3F9C">
              <w:rPr>
                <w:rFonts w:ascii="Arial" w:hAnsi="Arial" w:cs="Arial"/>
                <w:sz w:val="24"/>
                <w:szCs w:val="24"/>
              </w:rPr>
              <w:t xml:space="preserve"> plus pomalidomide and low-dose dexamethasone versus pomalidomide and low-dose dexamethasone in patients with relapsed and refractory multiple myeloma (ICARIA-MM): a </w:t>
            </w:r>
            <w:proofErr w:type="spellStart"/>
            <w:r w:rsidRPr="00FA3F9C">
              <w:rPr>
                <w:rFonts w:ascii="Arial" w:hAnsi="Arial" w:cs="Arial"/>
                <w:sz w:val="24"/>
                <w:szCs w:val="24"/>
              </w:rPr>
              <w:t>randomised</w:t>
            </w:r>
            <w:proofErr w:type="spellEnd"/>
            <w:r w:rsidRPr="00FA3F9C">
              <w:rPr>
                <w:rFonts w:ascii="Arial" w:hAnsi="Arial" w:cs="Arial"/>
                <w:sz w:val="24"/>
                <w:szCs w:val="24"/>
              </w:rPr>
              <w:t xml:space="preserve">, </w:t>
            </w:r>
            <w:proofErr w:type="spellStart"/>
            <w:r w:rsidRPr="00FA3F9C">
              <w:rPr>
                <w:rFonts w:ascii="Arial" w:hAnsi="Arial" w:cs="Arial"/>
                <w:sz w:val="24"/>
                <w:szCs w:val="24"/>
              </w:rPr>
              <w:t>multicentre</w:t>
            </w:r>
            <w:proofErr w:type="spellEnd"/>
            <w:r w:rsidRPr="00FA3F9C">
              <w:rPr>
                <w:rFonts w:ascii="Arial" w:hAnsi="Arial" w:cs="Arial"/>
                <w:sz w:val="24"/>
                <w:szCs w:val="24"/>
              </w:rPr>
              <w:t xml:space="preserve">, open-label, phase 3 study. Lancet. 2019 Dec 7;394(10214):2096-2107. </w:t>
            </w:r>
            <w:proofErr w:type="spellStart"/>
            <w:r w:rsidRPr="00FA3F9C">
              <w:rPr>
                <w:rFonts w:ascii="Arial" w:hAnsi="Arial" w:cs="Arial"/>
                <w:sz w:val="24"/>
                <w:szCs w:val="24"/>
              </w:rPr>
              <w:t>doi</w:t>
            </w:r>
            <w:proofErr w:type="spellEnd"/>
            <w:r w:rsidRPr="00FA3F9C">
              <w:rPr>
                <w:rFonts w:ascii="Arial" w:hAnsi="Arial" w:cs="Arial"/>
                <w:sz w:val="24"/>
                <w:szCs w:val="24"/>
              </w:rPr>
              <w:t xml:space="preserve">: 10.1016/S0140-6736(19)32556-5. </w:t>
            </w:r>
            <w:proofErr w:type="spellStart"/>
            <w:r w:rsidRPr="00FA3F9C">
              <w:rPr>
                <w:rFonts w:ascii="Arial" w:hAnsi="Arial" w:cs="Arial"/>
                <w:sz w:val="24"/>
                <w:szCs w:val="24"/>
              </w:rPr>
              <w:t>Epub</w:t>
            </w:r>
            <w:proofErr w:type="spellEnd"/>
            <w:r w:rsidRPr="00FA3F9C">
              <w:rPr>
                <w:rFonts w:ascii="Arial" w:hAnsi="Arial" w:cs="Arial"/>
                <w:sz w:val="24"/>
                <w:szCs w:val="24"/>
              </w:rPr>
              <w:t xml:space="preserve"> 2019 Nov 14. PMID 31735560 NCT02990338</w:t>
            </w:r>
          </w:p>
          <w:p w14:paraId="387B99E8" w14:textId="77777777" w:rsidR="002641D2" w:rsidRPr="00FA3F9C" w:rsidRDefault="002641D2" w:rsidP="002641D2">
            <w:pPr>
              <w:pStyle w:val="ListParagraph"/>
              <w:numPr>
                <w:ilvl w:val="0"/>
                <w:numId w:val="282"/>
              </w:numPr>
              <w:spacing w:after="160" w:line="259" w:lineRule="auto"/>
              <w:rPr>
                <w:rFonts w:ascii="Arial" w:hAnsi="Arial" w:cs="Arial"/>
                <w:sz w:val="24"/>
                <w:szCs w:val="24"/>
              </w:rPr>
            </w:pPr>
            <w:proofErr w:type="spellStart"/>
            <w:r w:rsidRPr="00FA3F9C">
              <w:rPr>
                <w:rFonts w:ascii="Arial" w:hAnsi="Arial" w:cs="Arial"/>
                <w:sz w:val="24"/>
                <w:szCs w:val="24"/>
              </w:rPr>
              <w:t>Schjesvold</w:t>
            </w:r>
            <w:proofErr w:type="spellEnd"/>
            <w:r w:rsidRPr="00FA3F9C">
              <w:rPr>
                <w:rFonts w:ascii="Arial" w:hAnsi="Arial" w:cs="Arial"/>
                <w:sz w:val="24"/>
                <w:szCs w:val="24"/>
              </w:rPr>
              <w:t xml:space="preserve"> FH et al. Efficacy of </w:t>
            </w:r>
            <w:proofErr w:type="spellStart"/>
            <w:r w:rsidRPr="00FA3F9C">
              <w:rPr>
                <w:rFonts w:ascii="Arial" w:hAnsi="Arial" w:cs="Arial"/>
                <w:sz w:val="24"/>
                <w:szCs w:val="24"/>
              </w:rPr>
              <w:t>Isatuximab</w:t>
            </w:r>
            <w:proofErr w:type="spellEnd"/>
            <w:r w:rsidRPr="00FA3F9C">
              <w:rPr>
                <w:rFonts w:ascii="Arial" w:hAnsi="Arial" w:cs="Arial"/>
                <w:sz w:val="24"/>
                <w:szCs w:val="24"/>
              </w:rPr>
              <w:t xml:space="preserve"> with Pomalidomide and Dexamethasone in Elderly Patients with Relapsed/Refractory Multiple Myeloma: Icaria-MM Subgroup Analysis. Blood (2019) 134 (Supplement_1): 1893. https://ashpublications.org/blood/article/134/Supplement_1/1893/427649/Efficacy-of-Isatuximab-with-Pomalidomide-and</w:t>
            </w:r>
          </w:p>
        </w:tc>
      </w:tr>
    </w:tbl>
    <w:p w14:paraId="4B98AC08" w14:textId="77777777" w:rsidR="002641D2" w:rsidRPr="00FA3F9C" w:rsidRDefault="002641D2" w:rsidP="006F623F">
      <w:pPr>
        <w:spacing w:after="0"/>
        <w:rPr>
          <w:rFonts w:ascii="Arial" w:hAnsi="Arial" w:cs="Arial"/>
          <w:sz w:val="24"/>
          <w:szCs w:val="24"/>
        </w:rPr>
      </w:pPr>
    </w:p>
    <w:p w14:paraId="3B0C7D35" w14:textId="77777777" w:rsidR="002641D2" w:rsidRPr="00FA3F9C" w:rsidRDefault="002641D2" w:rsidP="006F623F">
      <w:pPr>
        <w:spacing w:after="0"/>
        <w:rPr>
          <w:rFonts w:ascii="Arial" w:hAnsi="Arial" w:cs="Arial"/>
          <w:sz w:val="24"/>
          <w:szCs w:val="24"/>
        </w:rPr>
      </w:pPr>
    </w:p>
    <w:p w14:paraId="692C2CF9" w14:textId="77777777" w:rsidR="002641D2" w:rsidRPr="00FA3F9C" w:rsidRDefault="002641D2"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418"/>
        <w:gridCol w:w="7470"/>
        <w:gridCol w:w="2538"/>
      </w:tblGrid>
      <w:tr w:rsidR="002641D2" w:rsidRPr="00FA3F9C" w14:paraId="1FB09250" w14:textId="77777777" w:rsidTr="00FE491B">
        <w:tc>
          <w:tcPr>
            <w:tcW w:w="1008" w:type="dxa"/>
          </w:tcPr>
          <w:p w14:paraId="5EC63AAD" w14:textId="77777777" w:rsidR="002641D2" w:rsidRPr="00FA3F9C" w:rsidRDefault="002641D2" w:rsidP="006F623F">
            <w:pPr>
              <w:rPr>
                <w:rFonts w:ascii="Arial" w:hAnsi="Arial" w:cs="Arial"/>
                <w:sz w:val="24"/>
                <w:szCs w:val="24"/>
              </w:rPr>
            </w:pPr>
            <w:r w:rsidRPr="00FA3F9C">
              <w:rPr>
                <w:rFonts w:ascii="Arial" w:hAnsi="Arial" w:cs="Arial"/>
                <w:sz w:val="24"/>
                <w:szCs w:val="24"/>
              </w:rPr>
              <w:t>Date</w:t>
            </w:r>
          </w:p>
        </w:tc>
        <w:tc>
          <w:tcPr>
            <w:tcW w:w="7470" w:type="dxa"/>
          </w:tcPr>
          <w:p w14:paraId="75C5E01A" w14:textId="77777777" w:rsidR="002641D2" w:rsidRPr="00FA3F9C" w:rsidRDefault="002641D2" w:rsidP="006F623F">
            <w:pPr>
              <w:rPr>
                <w:rFonts w:ascii="Arial" w:hAnsi="Arial" w:cs="Arial"/>
                <w:sz w:val="24"/>
                <w:szCs w:val="24"/>
              </w:rPr>
            </w:pPr>
            <w:r w:rsidRPr="00FA3F9C">
              <w:rPr>
                <w:rFonts w:ascii="Arial" w:hAnsi="Arial" w:cs="Arial"/>
                <w:sz w:val="24"/>
                <w:szCs w:val="24"/>
              </w:rPr>
              <w:t>What changed</w:t>
            </w:r>
          </w:p>
        </w:tc>
        <w:tc>
          <w:tcPr>
            <w:tcW w:w="2538" w:type="dxa"/>
          </w:tcPr>
          <w:p w14:paraId="43333CCE" w14:textId="77777777" w:rsidR="002641D2" w:rsidRPr="00FA3F9C" w:rsidRDefault="002641D2" w:rsidP="006F623F">
            <w:pPr>
              <w:rPr>
                <w:rFonts w:ascii="Arial" w:hAnsi="Arial" w:cs="Arial"/>
                <w:sz w:val="24"/>
                <w:szCs w:val="24"/>
              </w:rPr>
            </w:pPr>
            <w:r w:rsidRPr="00FA3F9C">
              <w:rPr>
                <w:rFonts w:ascii="Arial" w:hAnsi="Arial" w:cs="Arial"/>
                <w:sz w:val="24"/>
                <w:szCs w:val="24"/>
              </w:rPr>
              <w:t>Pharmacist’s initials</w:t>
            </w:r>
          </w:p>
        </w:tc>
      </w:tr>
      <w:tr w:rsidR="002641D2" w:rsidRPr="00FA3F9C" w14:paraId="5F4B5817" w14:textId="77777777" w:rsidTr="00FE491B">
        <w:tc>
          <w:tcPr>
            <w:tcW w:w="1008" w:type="dxa"/>
          </w:tcPr>
          <w:p w14:paraId="53E9DAFB" w14:textId="77777777" w:rsidR="002641D2" w:rsidRPr="00FA3F9C" w:rsidRDefault="002641D2" w:rsidP="006F623F">
            <w:pPr>
              <w:rPr>
                <w:rFonts w:ascii="Arial" w:hAnsi="Arial" w:cs="Arial"/>
                <w:sz w:val="24"/>
                <w:szCs w:val="24"/>
              </w:rPr>
            </w:pPr>
            <w:r w:rsidRPr="00FA3F9C">
              <w:rPr>
                <w:rFonts w:ascii="Arial" w:hAnsi="Arial" w:cs="Arial"/>
                <w:sz w:val="24"/>
                <w:szCs w:val="24"/>
              </w:rPr>
              <w:t>10/22/2020</w:t>
            </w:r>
          </w:p>
        </w:tc>
        <w:tc>
          <w:tcPr>
            <w:tcW w:w="7470" w:type="dxa"/>
          </w:tcPr>
          <w:p w14:paraId="4D82B9CE" w14:textId="77777777" w:rsidR="002641D2" w:rsidRPr="00FA3F9C" w:rsidRDefault="002641D2" w:rsidP="006F623F">
            <w:pPr>
              <w:rPr>
                <w:rFonts w:ascii="Arial" w:hAnsi="Arial" w:cs="Arial"/>
                <w:sz w:val="24"/>
                <w:szCs w:val="24"/>
              </w:rPr>
            </w:pPr>
            <w:r w:rsidRPr="00FA3F9C">
              <w:rPr>
                <w:rFonts w:ascii="Arial" w:hAnsi="Arial" w:cs="Arial"/>
                <w:sz w:val="24"/>
                <w:szCs w:val="24"/>
              </w:rPr>
              <w:t>Criteria written</w:t>
            </w:r>
          </w:p>
        </w:tc>
        <w:tc>
          <w:tcPr>
            <w:tcW w:w="2538" w:type="dxa"/>
          </w:tcPr>
          <w:p w14:paraId="2B1EFFE2" w14:textId="77777777" w:rsidR="002641D2" w:rsidRPr="00FA3F9C" w:rsidRDefault="002641D2" w:rsidP="006F623F">
            <w:pPr>
              <w:rPr>
                <w:rFonts w:ascii="Arial" w:hAnsi="Arial" w:cs="Arial"/>
                <w:sz w:val="24"/>
                <w:szCs w:val="24"/>
              </w:rPr>
            </w:pPr>
            <w:proofErr w:type="spellStart"/>
            <w:r w:rsidRPr="00FA3F9C">
              <w:rPr>
                <w:rFonts w:ascii="Arial" w:hAnsi="Arial" w:cs="Arial"/>
                <w:sz w:val="24"/>
                <w:szCs w:val="24"/>
              </w:rPr>
              <w:t>sk</w:t>
            </w:r>
            <w:proofErr w:type="spellEnd"/>
          </w:p>
        </w:tc>
      </w:tr>
      <w:tr w:rsidR="002641D2" w:rsidRPr="00FA3F9C" w14:paraId="31308C95" w14:textId="77777777" w:rsidTr="00FE491B">
        <w:tc>
          <w:tcPr>
            <w:tcW w:w="1008" w:type="dxa"/>
          </w:tcPr>
          <w:p w14:paraId="687F6623" w14:textId="77777777" w:rsidR="002641D2" w:rsidRPr="00FA3F9C" w:rsidRDefault="002641D2" w:rsidP="006F623F">
            <w:pPr>
              <w:rPr>
                <w:rFonts w:ascii="Arial" w:hAnsi="Arial" w:cs="Arial"/>
                <w:sz w:val="24"/>
                <w:szCs w:val="24"/>
              </w:rPr>
            </w:pPr>
            <w:r w:rsidRPr="00FA3F9C">
              <w:rPr>
                <w:rFonts w:ascii="Arial" w:hAnsi="Arial" w:cs="Arial"/>
                <w:sz w:val="24"/>
                <w:szCs w:val="24"/>
              </w:rPr>
              <w:t>6/17/2021</w:t>
            </w:r>
          </w:p>
        </w:tc>
        <w:tc>
          <w:tcPr>
            <w:tcW w:w="7470" w:type="dxa"/>
          </w:tcPr>
          <w:p w14:paraId="7A7E293F" w14:textId="77777777" w:rsidR="002641D2" w:rsidRPr="00FA3F9C" w:rsidRDefault="002641D2" w:rsidP="006F623F">
            <w:pPr>
              <w:rPr>
                <w:rFonts w:ascii="Arial" w:hAnsi="Arial" w:cs="Arial"/>
                <w:sz w:val="24"/>
                <w:szCs w:val="24"/>
              </w:rPr>
            </w:pPr>
            <w:r w:rsidRPr="00FA3F9C">
              <w:rPr>
                <w:rFonts w:ascii="Arial" w:hAnsi="Arial" w:cs="Arial"/>
                <w:sz w:val="24"/>
                <w:szCs w:val="24"/>
              </w:rPr>
              <w:t xml:space="preserve">Listed new indication (with </w:t>
            </w:r>
            <w:proofErr w:type="spellStart"/>
            <w:r w:rsidRPr="00FA3F9C">
              <w:rPr>
                <w:rFonts w:ascii="Arial" w:hAnsi="Arial" w:cs="Arial"/>
                <w:sz w:val="24"/>
                <w:szCs w:val="24"/>
              </w:rPr>
              <w:t>carfilzomib+dex</w:t>
            </w:r>
            <w:proofErr w:type="spellEnd"/>
            <w:r w:rsidRPr="00FA3F9C">
              <w:rPr>
                <w:rFonts w:ascii="Arial" w:hAnsi="Arial" w:cs="Arial"/>
                <w:sz w:val="24"/>
                <w:szCs w:val="24"/>
              </w:rPr>
              <w:t>). Not covered.</w:t>
            </w:r>
          </w:p>
        </w:tc>
        <w:tc>
          <w:tcPr>
            <w:tcW w:w="2538" w:type="dxa"/>
          </w:tcPr>
          <w:p w14:paraId="5501629A" w14:textId="77777777" w:rsidR="002641D2" w:rsidRPr="00FA3F9C" w:rsidRDefault="002641D2" w:rsidP="006F623F">
            <w:pPr>
              <w:rPr>
                <w:rFonts w:ascii="Arial" w:hAnsi="Arial" w:cs="Arial"/>
                <w:sz w:val="24"/>
                <w:szCs w:val="24"/>
              </w:rPr>
            </w:pPr>
            <w:r w:rsidRPr="00FA3F9C">
              <w:rPr>
                <w:rFonts w:ascii="Arial" w:hAnsi="Arial" w:cs="Arial"/>
                <w:sz w:val="24"/>
                <w:szCs w:val="24"/>
              </w:rPr>
              <w:t>SK</w:t>
            </w:r>
          </w:p>
        </w:tc>
      </w:tr>
      <w:tr w:rsidR="002641D2" w:rsidRPr="00FA3F9C" w14:paraId="2D6AE06A" w14:textId="77777777" w:rsidTr="00FE491B">
        <w:tc>
          <w:tcPr>
            <w:tcW w:w="1008" w:type="dxa"/>
          </w:tcPr>
          <w:p w14:paraId="2E8DF36A" w14:textId="77777777" w:rsidR="002641D2" w:rsidRPr="00FA3F9C" w:rsidRDefault="002641D2" w:rsidP="006F623F">
            <w:pPr>
              <w:rPr>
                <w:rFonts w:ascii="Arial" w:hAnsi="Arial" w:cs="Arial"/>
                <w:sz w:val="24"/>
                <w:szCs w:val="24"/>
              </w:rPr>
            </w:pPr>
            <w:r w:rsidRPr="00FA3F9C">
              <w:rPr>
                <w:rFonts w:ascii="Arial" w:hAnsi="Arial" w:cs="Arial"/>
                <w:sz w:val="24"/>
                <w:szCs w:val="24"/>
              </w:rPr>
              <w:t>1/26/2022</w:t>
            </w:r>
          </w:p>
        </w:tc>
        <w:tc>
          <w:tcPr>
            <w:tcW w:w="7470" w:type="dxa"/>
          </w:tcPr>
          <w:p w14:paraId="16C007B2" w14:textId="77777777" w:rsidR="002641D2" w:rsidRPr="00FA3F9C" w:rsidRDefault="002641D2" w:rsidP="006F623F">
            <w:pPr>
              <w:rPr>
                <w:rFonts w:ascii="Arial" w:hAnsi="Arial" w:cs="Arial"/>
                <w:sz w:val="24"/>
                <w:szCs w:val="24"/>
              </w:rPr>
            </w:pPr>
            <w:r w:rsidRPr="00FA3F9C">
              <w:rPr>
                <w:rFonts w:ascii="Arial" w:hAnsi="Arial" w:cs="Arial"/>
                <w:sz w:val="24"/>
                <w:szCs w:val="24"/>
              </w:rPr>
              <w:t>Criteria review. No change</w:t>
            </w:r>
          </w:p>
        </w:tc>
        <w:tc>
          <w:tcPr>
            <w:tcW w:w="2538" w:type="dxa"/>
          </w:tcPr>
          <w:p w14:paraId="5FF3F780" w14:textId="77777777" w:rsidR="002641D2" w:rsidRPr="00FA3F9C" w:rsidRDefault="002641D2" w:rsidP="006F623F">
            <w:pPr>
              <w:rPr>
                <w:rFonts w:ascii="Arial" w:hAnsi="Arial" w:cs="Arial"/>
                <w:sz w:val="24"/>
                <w:szCs w:val="24"/>
              </w:rPr>
            </w:pPr>
            <w:r w:rsidRPr="00FA3F9C">
              <w:rPr>
                <w:rFonts w:ascii="Arial" w:hAnsi="Arial" w:cs="Arial"/>
                <w:sz w:val="24"/>
                <w:szCs w:val="24"/>
              </w:rPr>
              <w:t>SK</w:t>
            </w:r>
          </w:p>
        </w:tc>
      </w:tr>
    </w:tbl>
    <w:p w14:paraId="78300019" w14:textId="77777777" w:rsidR="002641D2" w:rsidRPr="00FA3F9C" w:rsidRDefault="002641D2" w:rsidP="006F623F">
      <w:pPr>
        <w:spacing w:after="0"/>
        <w:rPr>
          <w:rFonts w:ascii="Arial" w:hAnsi="Arial" w:cs="Arial"/>
          <w:sz w:val="24"/>
          <w:szCs w:val="24"/>
        </w:rPr>
      </w:pPr>
    </w:p>
    <w:p w14:paraId="13205615" w14:textId="77777777" w:rsidR="002641D2" w:rsidRPr="00FA3F9C" w:rsidRDefault="002641D2" w:rsidP="002A1632">
      <w:pPr>
        <w:pStyle w:val="Heading2"/>
      </w:pPr>
      <w:bookmarkStart w:id="152" w:name="_Toc106369832"/>
      <w:proofErr w:type="spellStart"/>
      <w:r w:rsidRPr="00FA3F9C">
        <w:t>Istradefylline</w:t>
      </w:r>
      <w:proofErr w:type="spellEnd"/>
      <w:r w:rsidRPr="00FA3F9C">
        <w:t xml:space="preserve"> (</w:t>
      </w:r>
      <w:proofErr w:type="spellStart"/>
      <w:r w:rsidRPr="00FA3F9C">
        <w:t>Nourianz</w:t>
      </w:r>
      <w:proofErr w:type="spellEnd"/>
      <w:r w:rsidRPr="00FA3F9C">
        <w:t>)</w:t>
      </w:r>
      <w:bookmarkEnd w:id="152"/>
    </w:p>
    <w:p w14:paraId="5A9321AB" w14:textId="77777777" w:rsidR="002641D2" w:rsidRPr="00FA3F9C" w:rsidRDefault="002641D2" w:rsidP="006F623F">
      <w:pPr>
        <w:spacing w:after="0"/>
        <w:jc w:val="center"/>
        <w:rPr>
          <w:rFonts w:ascii="Arial" w:hAnsi="Arial" w:cs="Arial"/>
          <w:sz w:val="24"/>
          <w:szCs w:val="24"/>
        </w:rPr>
      </w:pPr>
      <w:r w:rsidRPr="00FA3F9C">
        <w:rPr>
          <w:rFonts w:ascii="Arial" w:hAnsi="Arial" w:cs="Arial"/>
          <w:sz w:val="24"/>
          <w:szCs w:val="24"/>
        </w:rPr>
        <w:t>EBRx PA Criteria</w:t>
      </w:r>
    </w:p>
    <w:p w14:paraId="597F863F" w14:textId="77777777" w:rsidR="002641D2" w:rsidRPr="00FA3F9C" w:rsidRDefault="002641D2" w:rsidP="006F623F">
      <w:pPr>
        <w:spacing w:after="0"/>
        <w:rPr>
          <w:rFonts w:ascii="Arial" w:hAnsi="Arial" w:cs="Arial"/>
          <w:b/>
          <w:sz w:val="24"/>
          <w:szCs w:val="24"/>
          <w:u w:val="single"/>
        </w:rPr>
      </w:pPr>
    </w:p>
    <w:p w14:paraId="0C4DF2A9" w14:textId="77777777" w:rsidR="002641D2" w:rsidRPr="00FA3F9C" w:rsidRDefault="002641D2"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Parkinson’s Disease “off” episodes</w:t>
      </w:r>
    </w:p>
    <w:tbl>
      <w:tblPr>
        <w:tblStyle w:val="TableGrid"/>
        <w:tblW w:w="0" w:type="auto"/>
        <w:tblLook w:val="04A0" w:firstRow="1" w:lastRow="0" w:firstColumn="1" w:lastColumn="0" w:noHBand="0" w:noVBand="1"/>
      </w:tblPr>
      <w:tblGrid>
        <w:gridCol w:w="8746"/>
        <w:gridCol w:w="2044"/>
      </w:tblGrid>
      <w:tr w:rsidR="002641D2" w:rsidRPr="00FA3F9C" w14:paraId="2C2D06CF" w14:textId="77777777" w:rsidTr="0038411D">
        <w:tc>
          <w:tcPr>
            <w:tcW w:w="8746" w:type="dxa"/>
            <w:shd w:val="clear" w:color="auto" w:fill="000000"/>
          </w:tcPr>
          <w:p w14:paraId="2562F3B8" w14:textId="77777777" w:rsidR="002641D2" w:rsidRPr="00FA3F9C" w:rsidRDefault="002641D2"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44" w:type="dxa"/>
            <w:shd w:val="clear" w:color="auto" w:fill="000000"/>
          </w:tcPr>
          <w:p w14:paraId="602CA7C4" w14:textId="77777777" w:rsidR="002641D2" w:rsidRPr="00FA3F9C" w:rsidRDefault="002641D2" w:rsidP="006F623F">
            <w:pPr>
              <w:jc w:val="center"/>
              <w:rPr>
                <w:rFonts w:ascii="Arial" w:hAnsi="Arial" w:cs="Arial"/>
                <w:b/>
                <w:sz w:val="24"/>
                <w:szCs w:val="24"/>
                <w:u w:val="single"/>
              </w:rPr>
            </w:pPr>
          </w:p>
        </w:tc>
      </w:tr>
      <w:tr w:rsidR="002641D2" w:rsidRPr="00FA3F9C" w14:paraId="6444A5C7" w14:textId="77777777" w:rsidTr="0038411D">
        <w:tc>
          <w:tcPr>
            <w:tcW w:w="10790" w:type="dxa"/>
            <w:gridSpan w:val="2"/>
          </w:tcPr>
          <w:p w14:paraId="566B0FA9" w14:textId="77777777" w:rsidR="002641D2" w:rsidRPr="00FA3F9C" w:rsidRDefault="002641D2" w:rsidP="006F623F">
            <w:pPr>
              <w:rPr>
                <w:rFonts w:ascii="Arial" w:hAnsi="Arial" w:cs="Arial"/>
                <w:sz w:val="24"/>
                <w:szCs w:val="24"/>
              </w:rPr>
            </w:pPr>
            <w:r w:rsidRPr="00FA3F9C">
              <w:rPr>
                <w:rFonts w:ascii="Arial" w:hAnsi="Arial" w:cs="Arial"/>
                <w:sz w:val="24"/>
                <w:szCs w:val="24"/>
              </w:rPr>
              <w:t>1. The patient must have the diagnosis of Parkinson’s disease and be experiencing “off” episodes.</w:t>
            </w:r>
          </w:p>
        </w:tc>
      </w:tr>
      <w:tr w:rsidR="002641D2" w:rsidRPr="00FA3F9C" w14:paraId="532143E4" w14:textId="77777777" w:rsidTr="0038411D">
        <w:tc>
          <w:tcPr>
            <w:tcW w:w="10790" w:type="dxa"/>
            <w:gridSpan w:val="2"/>
          </w:tcPr>
          <w:p w14:paraId="3898A5E6" w14:textId="77777777" w:rsidR="002641D2" w:rsidRPr="00FA3F9C" w:rsidRDefault="002641D2" w:rsidP="006F623F">
            <w:pPr>
              <w:rPr>
                <w:rFonts w:ascii="Arial" w:hAnsi="Arial" w:cs="Arial"/>
                <w:sz w:val="24"/>
                <w:szCs w:val="24"/>
              </w:rPr>
            </w:pPr>
            <w:r w:rsidRPr="00FA3F9C">
              <w:rPr>
                <w:rFonts w:ascii="Arial" w:hAnsi="Arial" w:cs="Arial"/>
                <w:sz w:val="24"/>
                <w:szCs w:val="24"/>
              </w:rPr>
              <w:t xml:space="preserve">2. The patient must be routinely receiving levodopa/carbidopa as a concurrent medication with </w:t>
            </w:r>
            <w:proofErr w:type="spellStart"/>
            <w:r w:rsidRPr="00FA3F9C">
              <w:rPr>
                <w:rFonts w:ascii="Arial" w:hAnsi="Arial" w:cs="Arial"/>
                <w:sz w:val="24"/>
                <w:szCs w:val="24"/>
              </w:rPr>
              <w:t>istradefylline</w:t>
            </w:r>
            <w:proofErr w:type="spellEnd"/>
            <w:r w:rsidRPr="00FA3F9C">
              <w:rPr>
                <w:rFonts w:ascii="Arial" w:hAnsi="Arial" w:cs="Arial"/>
                <w:sz w:val="24"/>
                <w:szCs w:val="24"/>
              </w:rPr>
              <w:t>.</w:t>
            </w:r>
          </w:p>
        </w:tc>
      </w:tr>
    </w:tbl>
    <w:p w14:paraId="3E366BC7" w14:textId="77777777" w:rsidR="002641D2" w:rsidRPr="00FA3F9C" w:rsidRDefault="002641D2" w:rsidP="006F623F">
      <w:pPr>
        <w:spacing w:after="0"/>
        <w:rPr>
          <w:rFonts w:ascii="Arial" w:hAnsi="Arial" w:cs="Arial"/>
          <w:b/>
          <w:sz w:val="24"/>
          <w:szCs w:val="24"/>
          <w:u w:val="single"/>
        </w:rPr>
      </w:pPr>
    </w:p>
    <w:tbl>
      <w:tblPr>
        <w:tblStyle w:val="TableGrid"/>
        <w:tblW w:w="0" w:type="auto"/>
        <w:shd w:val="clear" w:color="auto" w:fill="BFBFBF" w:themeFill="background1" w:themeFillShade="BF"/>
        <w:tblLook w:val="04A0" w:firstRow="1" w:lastRow="0" w:firstColumn="1" w:lastColumn="0" w:noHBand="0" w:noVBand="1"/>
      </w:tblPr>
      <w:tblGrid>
        <w:gridCol w:w="10790"/>
      </w:tblGrid>
      <w:tr w:rsidR="002641D2" w:rsidRPr="00FA3F9C" w14:paraId="28E7B3A1" w14:textId="77777777" w:rsidTr="0038411D">
        <w:tc>
          <w:tcPr>
            <w:tcW w:w="10790" w:type="dxa"/>
            <w:shd w:val="clear" w:color="auto" w:fill="BFBFBF" w:themeFill="background1" w:themeFillShade="BF"/>
          </w:tcPr>
          <w:p w14:paraId="48D184FD" w14:textId="77777777" w:rsidR="002641D2" w:rsidRPr="00FA3F9C" w:rsidRDefault="002641D2" w:rsidP="00D82B6E">
            <w:pPr>
              <w:rPr>
                <w:rFonts w:ascii="Arial" w:hAnsi="Arial" w:cs="Arial"/>
                <w:sz w:val="24"/>
                <w:szCs w:val="24"/>
              </w:rPr>
            </w:pPr>
            <w:r w:rsidRPr="00FA3F9C">
              <w:rPr>
                <w:rFonts w:ascii="Arial" w:hAnsi="Arial" w:cs="Arial"/>
                <w:sz w:val="24"/>
                <w:szCs w:val="24"/>
              </w:rPr>
              <w:lastRenderedPageBreak/>
              <w:t xml:space="preserve">Note: In the trials, the 20mg daily dose seemed to outperform the 40mg dose.  Also, the effect of </w:t>
            </w:r>
            <w:proofErr w:type="spellStart"/>
            <w:r w:rsidRPr="00FA3F9C">
              <w:rPr>
                <w:rFonts w:ascii="Arial" w:hAnsi="Arial" w:cs="Arial"/>
                <w:sz w:val="24"/>
                <w:szCs w:val="24"/>
              </w:rPr>
              <w:t>istradefylline</w:t>
            </w:r>
            <w:proofErr w:type="spellEnd"/>
            <w:r w:rsidRPr="00FA3F9C">
              <w:rPr>
                <w:rFonts w:ascii="Arial" w:hAnsi="Arial" w:cs="Arial"/>
                <w:sz w:val="24"/>
                <w:szCs w:val="24"/>
              </w:rPr>
              <w:t xml:space="preserve"> in reducing “off” episodes was more effective in patients with lower levodopa doses.</w:t>
            </w:r>
          </w:p>
        </w:tc>
      </w:tr>
    </w:tbl>
    <w:p w14:paraId="5BE2F989" w14:textId="77777777" w:rsidR="002641D2" w:rsidRPr="00FA3F9C" w:rsidRDefault="002641D2" w:rsidP="006F623F">
      <w:pPr>
        <w:spacing w:after="0"/>
        <w:rPr>
          <w:rFonts w:ascii="Arial" w:hAnsi="Arial" w:cs="Arial"/>
          <w:sz w:val="24"/>
          <w:szCs w:val="24"/>
        </w:rPr>
      </w:pPr>
    </w:p>
    <w:p w14:paraId="2D8BD2A4" w14:textId="77777777" w:rsidR="002641D2" w:rsidRPr="00FA3F9C" w:rsidRDefault="002641D2" w:rsidP="006F623F">
      <w:pPr>
        <w:spacing w:after="0"/>
        <w:rPr>
          <w:rFonts w:ascii="Arial" w:hAnsi="Arial" w:cs="Arial"/>
          <w:sz w:val="24"/>
          <w:szCs w:val="24"/>
        </w:rPr>
      </w:pPr>
      <w:r w:rsidRPr="00FA3F9C">
        <w:rPr>
          <w:rFonts w:ascii="Arial" w:hAnsi="Arial" w:cs="Arial"/>
          <w:sz w:val="24"/>
          <w:szCs w:val="24"/>
        </w:rPr>
        <w:t>Quantity Limits: 1/1</w:t>
      </w:r>
    </w:p>
    <w:p w14:paraId="681C9732" w14:textId="77777777" w:rsidR="002641D2" w:rsidRPr="00FA3F9C" w:rsidRDefault="002641D2" w:rsidP="006F623F">
      <w:pPr>
        <w:spacing w:after="0"/>
        <w:rPr>
          <w:rFonts w:ascii="Arial" w:hAnsi="Arial" w:cs="Arial"/>
          <w:sz w:val="24"/>
          <w:szCs w:val="24"/>
        </w:rPr>
      </w:pPr>
    </w:p>
    <w:p w14:paraId="2BE14D28" w14:textId="77777777" w:rsidR="002641D2" w:rsidRPr="00FA3F9C" w:rsidRDefault="002641D2" w:rsidP="0038411D">
      <w:pPr>
        <w:spacing w:after="0"/>
        <w:rPr>
          <w:rFonts w:ascii="Arial" w:hAnsi="Arial" w:cs="Arial"/>
          <w:sz w:val="24"/>
          <w:szCs w:val="24"/>
        </w:rPr>
      </w:pPr>
      <w:r w:rsidRPr="00FA3F9C">
        <w:rPr>
          <w:rFonts w:ascii="Arial" w:hAnsi="Arial" w:cs="Arial"/>
          <w:sz w:val="24"/>
          <w:szCs w:val="24"/>
        </w:rPr>
        <w:t>References:</w:t>
      </w:r>
    </w:p>
    <w:p w14:paraId="7D59B1E6" w14:textId="77777777" w:rsidR="002641D2" w:rsidRPr="00FA3F9C" w:rsidRDefault="002641D2" w:rsidP="0038411D">
      <w:pPr>
        <w:spacing w:after="0"/>
        <w:rPr>
          <w:rFonts w:ascii="Arial" w:hAnsi="Arial" w:cs="Arial"/>
          <w:sz w:val="24"/>
          <w:szCs w:val="24"/>
        </w:rPr>
      </w:pPr>
      <w:r w:rsidRPr="00FA3F9C">
        <w:rPr>
          <w:rFonts w:ascii="Arial" w:hAnsi="Arial" w:cs="Arial"/>
          <w:sz w:val="24"/>
          <w:szCs w:val="24"/>
        </w:rPr>
        <w:t>1.</w:t>
      </w:r>
      <w:r w:rsidRPr="00FA3F9C">
        <w:rPr>
          <w:rFonts w:ascii="Arial" w:hAnsi="Arial" w:cs="Arial"/>
          <w:color w:val="222222"/>
          <w:sz w:val="24"/>
          <w:szCs w:val="24"/>
          <w:shd w:val="clear" w:color="auto" w:fill="F8F8F8"/>
        </w:rPr>
        <w:t xml:space="preserve"> </w:t>
      </w:r>
      <w:r w:rsidRPr="00FA3F9C">
        <w:rPr>
          <w:rFonts w:ascii="Arial" w:hAnsi="Arial" w:cs="Arial"/>
          <w:sz w:val="24"/>
          <w:szCs w:val="24"/>
        </w:rPr>
        <w:t xml:space="preserve">Mizuno, </w:t>
      </w:r>
      <w:proofErr w:type="spellStart"/>
      <w:r w:rsidRPr="00FA3F9C">
        <w:rPr>
          <w:rFonts w:ascii="Arial" w:hAnsi="Arial" w:cs="Arial"/>
          <w:sz w:val="24"/>
          <w:szCs w:val="24"/>
        </w:rPr>
        <w:t>Yoshikuni</w:t>
      </w:r>
      <w:proofErr w:type="spellEnd"/>
      <w:r w:rsidRPr="00FA3F9C">
        <w:rPr>
          <w:rFonts w:ascii="Arial" w:hAnsi="Arial" w:cs="Arial"/>
          <w:sz w:val="24"/>
          <w:szCs w:val="24"/>
        </w:rPr>
        <w:t xml:space="preserve">, Tomoyoshi Kondo, and Japanese </w:t>
      </w:r>
      <w:proofErr w:type="spellStart"/>
      <w:r w:rsidRPr="00FA3F9C">
        <w:rPr>
          <w:rFonts w:ascii="Arial" w:hAnsi="Arial" w:cs="Arial"/>
          <w:sz w:val="24"/>
          <w:szCs w:val="24"/>
        </w:rPr>
        <w:t>Istradefylline</w:t>
      </w:r>
      <w:proofErr w:type="spellEnd"/>
      <w:r w:rsidRPr="00FA3F9C">
        <w:rPr>
          <w:rFonts w:ascii="Arial" w:hAnsi="Arial" w:cs="Arial"/>
          <w:sz w:val="24"/>
          <w:szCs w:val="24"/>
        </w:rPr>
        <w:t xml:space="preserve"> Study Group. "Adenosine A2A receptor antagonist </w:t>
      </w:r>
      <w:proofErr w:type="spellStart"/>
      <w:r w:rsidRPr="00FA3F9C">
        <w:rPr>
          <w:rFonts w:ascii="Arial" w:hAnsi="Arial" w:cs="Arial"/>
          <w:sz w:val="24"/>
          <w:szCs w:val="24"/>
        </w:rPr>
        <w:t>istradefylline</w:t>
      </w:r>
      <w:proofErr w:type="spellEnd"/>
      <w:r w:rsidRPr="00FA3F9C">
        <w:rPr>
          <w:rFonts w:ascii="Arial" w:hAnsi="Arial" w:cs="Arial"/>
          <w:sz w:val="24"/>
          <w:szCs w:val="24"/>
        </w:rPr>
        <w:t xml:space="preserve"> reduces daily OFF time in Parkinson's disease." Movement Disorders 28.8 (2013): 1138-1141.</w:t>
      </w:r>
    </w:p>
    <w:p w14:paraId="750AB17F" w14:textId="77777777" w:rsidR="002641D2" w:rsidRPr="00FA3F9C" w:rsidRDefault="002641D2" w:rsidP="0038411D">
      <w:pPr>
        <w:spacing w:after="0"/>
        <w:rPr>
          <w:rFonts w:ascii="Arial" w:hAnsi="Arial" w:cs="Arial"/>
          <w:sz w:val="24"/>
          <w:szCs w:val="24"/>
        </w:rPr>
      </w:pPr>
      <w:r w:rsidRPr="00FA3F9C">
        <w:rPr>
          <w:rFonts w:ascii="Arial" w:hAnsi="Arial" w:cs="Arial"/>
          <w:sz w:val="24"/>
          <w:szCs w:val="24"/>
        </w:rPr>
        <w:t>2.</w:t>
      </w:r>
      <w:r w:rsidRPr="00FA3F9C">
        <w:rPr>
          <w:rFonts w:ascii="Arial" w:hAnsi="Arial" w:cs="Arial"/>
          <w:color w:val="222222"/>
          <w:sz w:val="24"/>
          <w:szCs w:val="24"/>
          <w:shd w:val="clear" w:color="auto" w:fill="F8F8F8"/>
        </w:rPr>
        <w:t xml:space="preserve"> </w:t>
      </w:r>
      <w:r w:rsidRPr="00FA3F9C">
        <w:rPr>
          <w:rFonts w:ascii="Arial" w:hAnsi="Arial" w:cs="Arial"/>
          <w:sz w:val="24"/>
          <w:szCs w:val="24"/>
        </w:rPr>
        <w:t xml:space="preserve">Kondo, Tomoyoshi, </w:t>
      </w:r>
      <w:proofErr w:type="spellStart"/>
      <w:r w:rsidRPr="00FA3F9C">
        <w:rPr>
          <w:rFonts w:ascii="Arial" w:hAnsi="Arial" w:cs="Arial"/>
          <w:sz w:val="24"/>
          <w:szCs w:val="24"/>
        </w:rPr>
        <w:t>Yoshikuni</w:t>
      </w:r>
      <w:proofErr w:type="spellEnd"/>
      <w:r w:rsidRPr="00FA3F9C">
        <w:rPr>
          <w:rFonts w:ascii="Arial" w:hAnsi="Arial" w:cs="Arial"/>
          <w:sz w:val="24"/>
          <w:szCs w:val="24"/>
        </w:rPr>
        <w:t xml:space="preserve"> Mizuno, and Japanese </w:t>
      </w:r>
      <w:proofErr w:type="spellStart"/>
      <w:r w:rsidRPr="00FA3F9C">
        <w:rPr>
          <w:rFonts w:ascii="Arial" w:hAnsi="Arial" w:cs="Arial"/>
          <w:sz w:val="24"/>
          <w:szCs w:val="24"/>
        </w:rPr>
        <w:t>Istradefylline</w:t>
      </w:r>
      <w:proofErr w:type="spellEnd"/>
      <w:r w:rsidRPr="00FA3F9C">
        <w:rPr>
          <w:rFonts w:ascii="Arial" w:hAnsi="Arial" w:cs="Arial"/>
          <w:sz w:val="24"/>
          <w:szCs w:val="24"/>
        </w:rPr>
        <w:t xml:space="preserve"> Study Group. "A long-term study of </w:t>
      </w:r>
      <w:proofErr w:type="spellStart"/>
      <w:r w:rsidRPr="00FA3F9C">
        <w:rPr>
          <w:rFonts w:ascii="Arial" w:hAnsi="Arial" w:cs="Arial"/>
          <w:sz w:val="24"/>
          <w:szCs w:val="24"/>
        </w:rPr>
        <w:t>istradefylline</w:t>
      </w:r>
      <w:proofErr w:type="spellEnd"/>
      <w:r w:rsidRPr="00FA3F9C">
        <w:rPr>
          <w:rFonts w:ascii="Arial" w:hAnsi="Arial" w:cs="Arial"/>
          <w:sz w:val="24"/>
          <w:szCs w:val="24"/>
        </w:rPr>
        <w:t xml:space="preserve"> safety and efficacy in patients with Parkinson disease." Clinical neuropharmacology 38.2 (2015): 41-46.</w:t>
      </w:r>
    </w:p>
    <w:p w14:paraId="36485989" w14:textId="77777777" w:rsidR="002641D2" w:rsidRPr="00FA3F9C" w:rsidRDefault="002641D2" w:rsidP="0038411D">
      <w:pPr>
        <w:spacing w:after="0"/>
        <w:rPr>
          <w:rFonts w:ascii="Arial" w:hAnsi="Arial" w:cs="Arial"/>
          <w:sz w:val="24"/>
          <w:szCs w:val="24"/>
        </w:rPr>
      </w:pPr>
      <w:r w:rsidRPr="00FA3F9C">
        <w:rPr>
          <w:rFonts w:ascii="Arial" w:hAnsi="Arial" w:cs="Arial"/>
          <w:sz w:val="24"/>
          <w:szCs w:val="24"/>
        </w:rPr>
        <w:t xml:space="preserve">3. </w:t>
      </w:r>
      <w:proofErr w:type="spellStart"/>
      <w:r w:rsidRPr="00FA3F9C">
        <w:rPr>
          <w:rFonts w:ascii="Arial" w:hAnsi="Arial" w:cs="Arial"/>
          <w:sz w:val="24"/>
          <w:szCs w:val="24"/>
        </w:rPr>
        <w:t>LeWitt</w:t>
      </w:r>
      <w:proofErr w:type="spellEnd"/>
      <w:r w:rsidRPr="00FA3F9C">
        <w:rPr>
          <w:rFonts w:ascii="Arial" w:hAnsi="Arial" w:cs="Arial"/>
          <w:sz w:val="24"/>
          <w:szCs w:val="24"/>
        </w:rPr>
        <w:t xml:space="preserve">, Peter A., et al. "Adenosine A2A receptor antagonist </w:t>
      </w:r>
      <w:proofErr w:type="spellStart"/>
      <w:r w:rsidRPr="00FA3F9C">
        <w:rPr>
          <w:rFonts w:ascii="Arial" w:hAnsi="Arial" w:cs="Arial"/>
          <w:sz w:val="24"/>
          <w:szCs w:val="24"/>
        </w:rPr>
        <w:t>istradefylline</w:t>
      </w:r>
      <w:proofErr w:type="spellEnd"/>
      <w:r w:rsidRPr="00FA3F9C">
        <w:rPr>
          <w:rFonts w:ascii="Arial" w:hAnsi="Arial" w:cs="Arial"/>
          <w:sz w:val="24"/>
          <w:szCs w:val="24"/>
        </w:rPr>
        <w:t xml:space="preserve"> (KW</w:t>
      </w:r>
      <w:r w:rsidRPr="00FA3F9C">
        <w:rPr>
          <w:rFonts w:ascii="Cambria Math" w:hAnsi="Cambria Math" w:cs="Cambria Math"/>
          <w:sz w:val="24"/>
          <w:szCs w:val="24"/>
        </w:rPr>
        <w:t>‐</w:t>
      </w:r>
      <w:r w:rsidRPr="00FA3F9C">
        <w:rPr>
          <w:rFonts w:ascii="Arial" w:hAnsi="Arial" w:cs="Arial"/>
          <w:sz w:val="24"/>
          <w:szCs w:val="24"/>
        </w:rPr>
        <w:t>6002) reduces “off” time in Parkinson's disease: a double</w:t>
      </w:r>
      <w:r w:rsidRPr="00FA3F9C">
        <w:rPr>
          <w:rFonts w:ascii="Cambria Math" w:hAnsi="Cambria Math" w:cs="Cambria Math"/>
          <w:sz w:val="24"/>
          <w:szCs w:val="24"/>
        </w:rPr>
        <w:t>‐</w:t>
      </w:r>
      <w:r w:rsidRPr="00FA3F9C">
        <w:rPr>
          <w:rFonts w:ascii="Arial" w:hAnsi="Arial" w:cs="Arial"/>
          <w:sz w:val="24"/>
          <w:szCs w:val="24"/>
        </w:rPr>
        <w:t>blind, randomized, multicenter clinical trial (6002</w:t>
      </w:r>
      <w:r w:rsidRPr="00FA3F9C">
        <w:rPr>
          <w:rFonts w:ascii="Cambria Math" w:hAnsi="Cambria Math" w:cs="Cambria Math"/>
          <w:sz w:val="24"/>
          <w:szCs w:val="24"/>
        </w:rPr>
        <w:t>‐</w:t>
      </w:r>
      <w:r w:rsidRPr="00FA3F9C">
        <w:rPr>
          <w:rFonts w:ascii="Arial" w:hAnsi="Arial" w:cs="Arial"/>
          <w:sz w:val="24"/>
          <w:szCs w:val="24"/>
        </w:rPr>
        <w:t>US</w:t>
      </w:r>
      <w:r w:rsidRPr="00FA3F9C">
        <w:rPr>
          <w:rFonts w:ascii="Cambria Math" w:hAnsi="Cambria Math" w:cs="Cambria Math"/>
          <w:sz w:val="24"/>
          <w:szCs w:val="24"/>
        </w:rPr>
        <w:t>‐</w:t>
      </w:r>
      <w:r w:rsidRPr="00FA3F9C">
        <w:rPr>
          <w:rFonts w:ascii="Arial" w:hAnsi="Arial" w:cs="Arial"/>
          <w:sz w:val="24"/>
          <w:szCs w:val="24"/>
        </w:rPr>
        <w:t>005)." Annals of neurology 63.3 (2008): 295-302.</w:t>
      </w:r>
    </w:p>
    <w:p w14:paraId="109FB51D" w14:textId="77777777" w:rsidR="002641D2" w:rsidRPr="00FA3F9C" w:rsidRDefault="002641D2" w:rsidP="0038411D">
      <w:pPr>
        <w:spacing w:after="0"/>
        <w:rPr>
          <w:rFonts w:ascii="Arial" w:hAnsi="Arial" w:cs="Arial"/>
          <w:sz w:val="24"/>
          <w:szCs w:val="24"/>
        </w:rPr>
      </w:pPr>
      <w:r w:rsidRPr="00FA3F9C">
        <w:rPr>
          <w:rFonts w:ascii="Arial" w:hAnsi="Arial" w:cs="Arial"/>
          <w:sz w:val="24"/>
          <w:szCs w:val="24"/>
        </w:rPr>
        <w:t xml:space="preserve">4. Jankovic, Joseph. "Are adenosine antagonists, such as </w:t>
      </w:r>
      <w:proofErr w:type="spellStart"/>
      <w:r w:rsidRPr="00FA3F9C">
        <w:rPr>
          <w:rFonts w:ascii="Arial" w:hAnsi="Arial" w:cs="Arial"/>
          <w:sz w:val="24"/>
          <w:szCs w:val="24"/>
        </w:rPr>
        <w:t>istradefylline</w:t>
      </w:r>
      <w:proofErr w:type="spellEnd"/>
      <w:r w:rsidRPr="00FA3F9C">
        <w:rPr>
          <w:rFonts w:ascii="Arial" w:hAnsi="Arial" w:cs="Arial"/>
          <w:sz w:val="24"/>
          <w:szCs w:val="24"/>
        </w:rPr>
        <w:t xml:space="preserve">, caffeine, and chocolate, useful in the treatment of Parkinson's </w:t>
      </w:r>
      <w:proofErr w:type="gramStart"/>
      <w:r w:rsidRPr="00FA3F9C">
        <w:rPr>
          <w:rFonts w:ascii="Arial" w:hAnsi="Arial" w:cs="Arial"/>
          <w:sz w:val="24"/>
          <w:szCs w:val="24"/>
        </w:rPr>
        <w:t>disease?.</w:t>
      </w:r>
      <w:proofErr w:type="gramEnd"/>
      <w:r w:rsidRPr="00FA3F9C">
        <w:rPr>
          <w:rFonts w:ascii="Arial" w:hAnsi="Arial" w:cs="Arial"/>
          <w:sz w:val="24"/>
          <w:szCs w:val="24"/>
        </w:rPr>
        <w:t>" Annals of neurology 63.3 (2008): 267-269.</w:t>
      </w:r>
    </w:p>
    <w:p w14:paraId="59F3D2EE" w14:textId="77777777" w:rsidR="002641D2" w:rsidRPr="00FA3F9C" w:rsidRDefault="002641D2" w:rsidP="006F623F">
      <w:pPr>
        <w:spacing w:after="0"/>
        <w:rPr>
          <w:rFonts w:ascii="Arial" w:hAnsi="Arial" w:cs="Arial"/>
          <w:sz w:val="24"/>
          <w:szCs w:val="24"/>
        </w:rPr>
      </w:pPr>
    </w:p>
    <w:p w14:paraId="79EFD38B" w14:textId="77777777" w:rsidR="002641D2" w:rsidRPr="00FA3F9C" w:rsidRDefault="002641D2" w:rsidP="006F623F">
      <w:pPr>
        <w:spacing w:after="0"/>
        <w:rPr>
          <w:rFonts w:ascii="Arial" w:hAnsi="Arial" w:cs="Arial"/>
          <w:sz w:val="24"/>
          <w:szCs w:val="24"/>
        </w:rPr>
      </w:pPr>
    </w:p>
    <w:p w14:paraId="00936899" w14:textId="77777777" w:rsidR="002641D2" w:rsidRPr="00FA3F9C" w:rsidRDefault="002641D2"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418"/>
        <w:gridCol w:w="7470"/>
        <w:gridCol w:w="2538"/>
      </w:tblGrid>
      <w:tr w:rsidR="002641D2" w:rsidRPr="00FA3F9C" w14:paraId="6EE405E3" w14:textId="77777777" w:rsidTr="00FE491B">
        <w:tc>
          <w:tcPr>
            <w:tcW w:w="1008" w:type="dxa"/>
          </w:tcPr>
          <w:p w14:paraId="322054AE" w14:textId="77777777" w:rsidR="002641D2" w:rsidRPr="00FA3F9C" w:rsidRDefault="002641D2" w:rsidP="006F623F">
            <w:pPr>
              <w:rPr>
                <w:rFonts w:ascii="Arial" w:hAnsi="Arial" w:cs="Arial"/>
                <w:sz w:val="24"/>
                <w:szCs w:val="24"/>
              </w:rPr>
            </w:pPr>
            <w:r w:rsidRPr="00FA3F9C">
              <w:rPr>
                <w:rFonts w:ascii="Arial" w:hAnsi="Arial" w:cs="Arial"/>
                <w:sz w:val="24"/>
                <w:szCs w:val="24"/>
              </w:rPr>
              <w:t>Date</w:t>
            </w:r>
          </w:p>
        </w:tc>
        <w:tc>
          <w:tcPr>
            <w:tcW w:w="7470" w:type="dxa"/>
          </w:tcPr>
          <w:p w14:paraId="1D5D594D" w14:textId="77777777" w:rsidR="002641D2" w:rsidRPr="00FA3F9C" w:rsidRDefault="002641D2" w:rsidP="006F623F">
            <w:pPr>
              <w:rPr>
                <w:rFonts w:ascii="Arial" w:hAnsi="Arial" w:cs="Arial"/>
                <w:sz w:val="24"/>
                <w:szCs w:val="24"/>
              </w:rPr>
            </w:pPr>
            <w:r w:rsidRPr="00FA3F9C">
              <w:rPr>
                <w:rFonts w:ascii="Arial" w:hAnsi="Arial" w:cs="Arial"/>
                <w:sz w:val="24"/>
                <w:szCs w:val="24"/>
              </w:rPr>
              <w:t>What changed</w:t>
            </w:r>
          </w:p>
        </w:tc>
        <w:tc>
          <w:tcPr>
            <w:tcW w:w="2538" w:type="dxa"/>
          </w:tcPr>
          <w:p w14:paraId="2137A5E5" w14:textId="77777777" w:rsidR="002641D2" w:rsidRPr="00FA3F9C" w:rsidRDefault="002641D2" w:rsidP="006F623F">
            <w:pPr>
              <w:rPr>
                <w:rFonts w:ascii="Arial" w:hAnsi="Arial" w:cs="Arial"/>
                <w:sz w:val="24"/>
                <w:szCs w:val="24"/>
              </w:rPr>
            </w:pPr>
            <w:r w:rsidRPr="00FA3F9C">
              <w:rPr>
                <w:rFonts w:ascii="Arial" w:hAnsi="Arial" w:cs="Arial"/>
                <w:sz w:val="24"/>
                <w:szCs w:val="24"/>
              </w:rPr>
              <w:t>Pharmacist’s initials</w:t>
            </w:r>
          </w:p>
        </w:tc>
      </w:tr>
      <w:tr w:rsidR="002641D2" w:rsidRPr="00FA3F9C" w14:paraId="33976E87" w14:textId="77777777" w:rsidTr="00FE491B">
        <w:tc>
          <w:tcPr>
            <w:tcW w:w="1008" w:type="dxa"/>
          </w:tcPr>
          <w:p w14:paraId="3CC2C6CB" w14:textId="77777777" w:rsidR="002641D2" w:rsidRPr="00FA3F9C" w:rsidRDefault="002641D2" w:rsidP="006F623F">
            <w:pPr>
              <w:rPr>
                <w:rFonts w:ascii="Arial" w:hAnsi="Arial" w:cs="Arial"/>
                <w:sz w:val="24"/>
                <w:szCs w:val="24"/>
              </w:rPr>
            </w:pPr>
            <w:r w:rsidRPr="00FA3F9C">
              <w:rPr>
                <w:rFonts w:ascii="Arial" w:hAnsi="Arial" w:cs="Arial"/>
                <w:sz w:val="24"/>
                <w:szCs w:val="24"/>
              </w:rPr>
              <w:t>10/28/2019</w:t>
            </w:r>
          </w:p>
        </w:tc>
        <w:tc>
          <w:tcPr>
            <w:tcW w:w="7470" w:type="dxa"/>
          </w:tcPr>
          <w:p w14:paraId="17513C94" w14:textId="77777777" w:rsidR="002641D2" w:rsidRPr="00FA3F9C" w:rsidRDefault="002641D2" w:rsidP="006F623F">
            <w:pPr>
              <w:rPr>
                <w:rFonts w:ascii="Arial" w:hAnsi="Arial" w:cs="Arial"/>
                <w:sz w:val="24"/>
                <w:szCs w:val="24"/>
              </w:rPr>
            </w:pPr>
            <w:r w:rsidRPr="00FA3F9C">
              <w:rPr>
                <w:rFonts w:ascii="Arial" w:hAnsi="Arial" w:cs="Arial"/>
                <w:sz w:val="24"/>
                <w:szCs w:val="24"/>
              </w:rPr>
              <w:t>I wrote the criteria. I also placed this drug on the revisit list for 2/2020 to look for more data on the possibly waning of therapeutic effect.</w:t>
            </w:r>
          </w:p>
        </w:tc>
        <w:tc>
          <w:tcPr>
            <w:tcW w:w="2538" w:type="dxa"/>
          </w:tcPr>
          <w:p w14:paraId="228DC3A6" w14:textId="5A7B76B7" w:rsidR="002641D2" w:rsidRPr="00FA3F9C" w:rsidRDefault="005C142D" w:rsidP="006F623F">
            <w:pPr>
              <w:rPr>
                <w:rFonts w:ascii="Arial" w:hAnsi="Arial" w:cs="Arial"/>
                <w:sz w:val="24"/>
                <w:szCs w:val="24"/>
              </w:rPr>
            </w:pPr>
            <w:r w:rsidRPr="00FA3F9C">
              <w:rPr>
                <w:rFonts w:ascii="Arial" w:hAnsi="Arial" w:cs="Arial"/>
                <w:sz w:val="24"/>
                <w:szCs w:val="24"/>
              </w:rPr>
              <w:t>JJ</w:t>
            </w:r>
          </w:p>
        </w:tc>
      </w:tr>
      <w:tr w:rsidR="002641D2" w:rsidRPr="00FA3F9C" w14:paraId="7353046D" w14:textId="77777777" w:rsidTr="00FE491B">
        <w:tc>
          <w:tcPr>
            <w:tcW w:w="1008" w:type="dxa"/>
          </w:tcPr>
          <w:p w14:paraId="537805DC" w14:textId="77777777" w:rsidR="002641D2" w:rsidRPr="00FA3F9C" w:rsidRDefault="002641D2" w:rsidP="006F623F">
            <w:pPr>
              <w:rPr>
                <w:rFonts w:ascii="Arial" w:hAnsi="Arial" w:cs="Arial"/>
                <w:sz w:val="24"/>
                <w:szCs w:val="24"/>
              </w:rPr>
            </w:pPr>
            <w:r w:rsidRPr="00FA3F9C">
              <w:rPr>
                <w:rFonts w:ascii="Arial" w:hAnsi="Arial" w:cs="Arial"/>
                <w:sz w:val="24"/>
                <w:szCs w:val="24"/>
              </w:rPr>
              <w:t>2/14/20</w:t>
            </w:r>
          </w:p>
        </w:tc>
        <w:tc>
          <w:tcPr>
            <w:tcW w:w="7470" w:type="dxa"/>
          </w:tcPr>
          <w:p w14:paraId="3E85BA70" w14:textId="77777777" w:rsidR="002641D2" w:rsidRPr="00FA3F9C" w:rsidRDefault="002641D2" w:rsidP="006F623F">
            <w:pPr>
              <w:rPr>
                <w:rFonts w:ascii="Arial" w:hAnsi="Arial" w:cs="Arial"/>
                <w:sz w:val="24"/>
                <w:szCs w:val="24"/>
              </w:rPr>
            </w:pPr>
            <w:r w:rsidRPr="00FA3F9C">
              <w:rPr>
                <w:rFonts w:ascii="Arial" w:hAnsi="Arial" w:cs="Arial"/>
                <w:sz w:val="24"/>
                <w:szCs w:val="24"/>
              </w:rPr>
              <w:t>Reviewed PA, added the note.</w:t>
            </w:r>
          </w:p>
        </w:tc>
        <w:tc>
          <w:tcPr>
            <w:tcW w:w="2538" w:type="dxa"/>
          </w:tcPr>
          <w:p w14:paraId="2B4E3BA5" w14:textId="31A46780" w:rsidR="002641D2" w:rsidRPr="00FA3F9C" w:rsidRDefault="005C142D" w:rsidP="006F623F">
            <w:pPr>
              <w:rPr>
                <w:rFonts w:ascii="Arial" w:hAnsi="Arial" w:cs="Arial"/>
                <w:sz w:val="24"/>
                <w:szCs w:val="24"/>
              </w:rPr>
            </w:pPr>
            <w:r w:rsidRPr="00FA3F9C">
              <w:rPr>
                <w:rFonts w:ascii="Arial" w:hAnsi="Arial" w:cs="Arial"/>
                <w:sz w:val="24"/>
                <w:szCs w:val="24"/>
              </w:rPr>
              <w:t>JJ</w:t>
            </w:r>
          </w:p>
        </w:tc>
      </w:tr>
    </w:tbl>
    <w:p w14:paraId="52DDC17B" w14:textId="77777777" w:rsidR="002641D2" w:rsidRPr="00FA3F9C" w:rsidRDefault="002641D2" w:rsidP="006F623F">
      <w:pPr>
        <w:spacing w:after="0"/>
        <w:rPr>
          <w:rFonts w:ascii="Arial" w:hAnsi="Arial" w:cs="Arial"/>
          <w:sz w:val="24"/>
          <w:szCs w:val="24"/>
        </w:rPr>
      </w:pPr>
    </w:p>
    <w:p w14:paraId="61BEF65C" w14:textId="77777777" w:rsidR="002641D2" w:rsidRPr="00FA3F9C" w:rsidRDefault="002641D2" w:rsidP="006F623F">
      <w:pPr>
        <w:spacing w:after="0"/>
        <w:rPr>
          <w:rFonts w:ascii="Arial" w:hAnsi="Arial" w:cs="Arial"/>
          <w:sz w:val="24"/>
          <w:szCs w:val="24"/>
        </w:rPr>
      </w:pPr>
    </w:p>
    <w:p w14:paraId="3882CDC5" w14:textId="77777777" w:rsidR="002A1632" w:rsidRDefault="002641D2" w:rsidP="002A1632">
      <w:pPr>
        <w:pStyle w:val="Heading2"/>
      </w:pPr>
      <w:bookmarkStart w:id="153" w:name="_Toc106369833"/>
      <w:r w:rsidRPr="00FA3F9C">
        <w:t>Itraconazole</w:t>
      </w:r>
      <w:bookmarkEnd w:id="153"/>
      <w:r w:rsidRPr="00FA3F9C">
        <w:t xml:space="preserve"> </w:t>
      </w:r>
    </w:p>
    <w:p w14:paraId="421AEB67" w14:textId="71BE9C65" w:rsidR="002641D2" w:rsidRPr="00FA3F9C" w:rsidRDefault="002641D2" w:rsidP="006F623F">
      <w:pPr>
        <w:spacing w:after="0"/>
        <w:jc w:val="center"/>
        <w:rPr>
          <w:rFonts w:ascii="Arial" w:hAnsi="Arial" w:cs="Arial"/>
          <w:sz w:val="24"/>
          <w:szCs w:val="24"/>
        </w:rPr>
      </w:pPr>
      <w:r w:rsidRPr="00FA3F9C">
        <w:rPr>
          <w:rFonts w:ascii="Arial" w:hAnsi="Arial" w:cs="Arial"/>
          <w:sz w:val="24"/>
          <w:szCs w:val="24"/>
        </w:rPr>
        <w:t>Capsules, Solution 10mg/mL</w:t>
      </w:r>
    </w:p>
    <w:p w14:paraId="1DC5AC4E" w14:textId="77777777" w:rsidR="002641D2" w:rsidRPr="00FA3F9C" w:rsidRDefault="002641D2" w:rsidP="006F623F">
      <w:pPr>
        <w:spacing w:after="0"/>
        <w:jc w:val="center"/>
        <w:rPr>
          <w:rFonts w:ascii="Arial" w:hAnsi="Arial" w:cs="Arial"/>
          <w:sz w:val="24"/>
          <w:szCs w:val="24"/>
        </w:rPr>
      </w:pPr>
      <w:r w:rsidRPr="00FA3F9C">
        <w:rPr>
          <w:rFonts w:ascii="Arial" w:hAnsi="Arial" w:cs="Arial"/>
          <w:sz w:val="24"/>
          <w:szCs w:val="24"/>
        </w:rPr>
        <w:t>EBRx PA Criteria</w:t>
      </w:r>
    </w:p>
    <w:p w14:paraId="436FF6AA" w14:textId="77777777" w:rsidR="002641D2" w:rsidRPr="00FA3F9C" w:rsidRDefault="002641D2" w:rsidP="006F623F">
      <w:pPr>
        <w:spacing w:after="0"/>
        <w:rPr>
          <w:rFonts w:ascii="Arial" w:hAnsi="Arial" w:cs="Arial"/>
          <w:b/>
          <w:sz w:val="24"/>
          <w:szCs w:val="24"/>
          <w:u w:val="single"/>
        </w:rPr>
      </w:pPr>
    </w:p>
    <w:p w14:paraId="3956B8CA" w14:textId="77777777" w:rsidR="002641D2" w:rsidRPr="00FA3F9C" w:rsidRDefault="002641D2"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w:t>
      </w:r>
    </w:p>
    <w:p w14:paraId="4EFBFFD7" w14:textId="77777777" w:rsidR="002641D2" w:rsidRPr="00FA3F9C" w:rsidRDefault="002641D2" w:rsidP="002641D2">
      <w:pPr>
        <w:pStyle w:val="ListParagraph"/>
        <w:numPr>
          <w:ilvl w:val="0"/>
          <w:numId w:val="284"/>
        </w:numPr>
        <w:spacing w:after="0" w:line="276" w:lineRule="auto"/>
        <w:rPr>
          <w:rFonts w:ascii="Arial" w:hAnsi="Arial" w:cs="Arial"/>
          <w:sz w:val="24"/>
          <w:szCs w:val="24"/>
        </w:rPr>
      </w:pPr>
      <w:r w:rsidRPr="00FA3F9C">
        <w:rPr>
          <w:rFonts w:ascii="Arial" w:hAnsi="Arial" w:cs="Arial"/>
          <w:sz w:val="24"/>
          <w:szCs w:val="24"/>
        </w:rPr>
        <w:t>Aspergillosis, invasive (salvage therapy); solution dose: 200mg BID 6-12w (sometimes longer)</w:t>
      </w:r>
    </w:p>
    <w:p w14:paraId="3492A882" w14:textId="77777777" w:rsidR="002641D2" w:rsidRPr="00FA3F9C" w:rsidRDefault="002641D2" w:rsidP="002641D2">
      <w:pPr>
        <w:pStyle w:val="ListParagraph"/>
        <w:numPr>
          <w:ilvl w:val="0"/>
          <w:numId w:val="284"/>
        </w:numPr>
        <w:spacing w:after="0" w:line="276" w:lineRule="auto"/>
        <w:rPr>
          <w:rFonts w:ascii="Arial" w:hAnsi="Arial" w:cs="Arial"/>
          <w:sz w:val="24"/>
          <w:szCs w:val="24"/>
        </w:rPr>
      </w:pPr>
      <w:r w:rsidRPr="00FA3F9C">
        <w:rPr>
          <w:rFonts w:ascii="Arial" w:hAnsi="Arial" w:cs="Arial"/>
          <w:sz w:val="24"/>
          <w:szCs w:val="24"/>
        </w:rPr>
        <w:t>Blastomycosis; 200mg TID X3d, then 200mg BID for 6-12m</w:t>
      </w:r>
    </w:p>
    <w:p w14:paraId="79574F0D" w14:textId="77777777" w:rsidR="002641D2" w:rsidRPr="00FA3F9C" w:rsidRDefault="002641D2" w:rsidP="002641D2">
      <w:pPr>
        <w:pStyle w:val="ListParagraph"/>
        <w:numPr>
          <w:ilvl w:val="0"/>
          <w:numId w:val="284"/>
        </w:numPr>
        <w:spacing w:after="0" w:line="276" w:lineRule="auto"/>
        <w:rPr>
          <w:rFonts w:ascii="Arial" w:hAnsi="Arial" w:cs="Arial"/>
          <w:sz w:val="24"/>
          <w:szCs w:val="24"/>
        </w:rPr>
      </w:pPr>
      <w:r w:rsidRPr="00FA3F9C">
        <w:rPr>
          <w:rFonts w:ascii="Arial" w:hAnsi="Arial" w:cs="Arial"/>
          <w:sz w:val="24"/>
          <w:szCs w:val="24"/>
        </w:rPr>
        <w:lastRenderedPageBreak/>
        <w:t>Esophageal Candidiasis; 200mg QD for 14-21d</w:t>
      </w:r>
    </w:p>
    <w:p w14:paraId="25809F09" w14:textId="77777777" w:rsidR="002641D2" w:rsidRPr="00FA3F9C" w:rsidRDefault="002641D2" w:rsidP="002641D2">
      <w:pPr>
        <w:pStyle w:val="ListParagraph"/>
        <w:numPr>
          <w:ilvl w:val="0"/>
          <w:numId w:val="284"/>
        </w:numPr>
        <w:spacing w:after="0" w:line="276" w:lineRule="auto"/>
        <w:rPr>
          <w:rFonts w:ascii="Arial" w:hAnsi="Arial" w:cs="Arial"/>
          <w:sz w:val="24"/>
          <w:szCs w:val="24"/>
        </w:rPr>
      </w:pPr>
      <w:r w:rsidRPr="00FA3F9C">
        <w:rPr>
          <w:rFonts w:ascii="Arial" w:hAnsi="Arial" w:cs="Arial"/>
          <w:sz w:val="24"/>
          <w:szCs w:val="24"/>
        </w:rPr>
        <w:t>Oropharyngeal Candidiasis: 100-200mg QD for up to 28d</w:t>
      </w:r>
    </w:p>
    <w:p w14:paraId="5261D2BE" w14:textId="77777777" w:rsidR="002641D2" w:rsidRPr="00FA3F9C" w:rsidRDefault="002641D2" w:rsidP="002641D2">
      <w:pPr>
        <w:pStyle w:val="ListParagraph"/>
        <w:numPr>
          <w:ilvl w:val="0"/>
          <w:numId w:val="284"/>
        </w:numPr>
        <w:spacing w:after="0" w:line="276" w:lineRule="auto"/>
        <w:rPr>
          <w:rFonts w:ascii="Arial" w:hAnsi="Arial" w:cs="Arial"/>
          <w:sz w:val="24"/>
          <w:szCs w:val="24"/>
        </w:rPr>
      </w:pPr>
      <w:r w:rsidRPr="00FA3F9C">
        <w:rPr>
          <w:rFonts w:ascii="Arial" w:hAnsi="Arial" w:cs="Arial"/>
          <w:sz w:val="24"/>
          <w:szCs w:val="24"/>
        </w:rPr>
        <w:t>[there are several off-label uses for which there are supportive data]</w:t>
      </w:r>
    </w:p>
    <w:tbl>
      <w:tblPr>
        <w:tblStyle w:val="TableGrid"/>
        <w:tblW w:w="0" w:type="auto"/>
        <w:tblLook w:val="04A0" w:firstRow="1" w:lastRow="0" w:firstColumn="1" w:lastColumn="0" w:noHBand="0" w:noVBand="1"/>
      </w:tblPr>
      <w:tblGrid>
        <w:gridCol w:w="8928"/>
        <w:gridCol w:w="2088"/>
      </w:tblGrid>
      <w:tr w:rsidR="002641D2" w:rsidRPr="00FA3F9C" w14:paraId="0EBD0A72" w14:textId="77777777" w:rsidTr="00571CAB">
        <w:tc>
          <w:tcPr>
            <w:tcW w:w="8928" w:type="dxa"/>
            <w:shd w:val="clear" w:color="auto" w:fill="000000"/>
          </w:tcPr>
          <w:p w14:paraId="0DDE9EE4" w14:textId="77777777" w:rsidR="002641D2" w:rsidRPr="00FA3F9C" w:rsidRDefault="002641D2"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88" w:type="dxa"/>
            <w:shd w:val="clear" w:color="auto" w:fill="000000"/>
          </w:tcPr>
          <w:p w14:paraId="30823877" w14:textId="77777777" w:rsidR="002641D2" w:rsidRPr="00FA3F9C" w:rsidRDefault="002641D2" w:rsidP="006F623F">
            <w:pPr>
              <w:jc w:val="center"/>
              <w:rPr>
                <w:rFonts w:ascii="Arial" w:hAnsi="Arial" w:cs="Arial"/>
                <w:b/>
                <w:sz w:val="24"/>
                <w:szCs w:val="24"/>
                <w:u w:val="single"/>
              </w:rPr>
            </w:pPr>
          </w:p>
        </w:tc>
      </w:tr>
      <w:tr w:rsidR="002641D2" w:rsidRPr="00FA3F9C" w14:paraId="79460115" w14:textId="77777777" w:rsidTr="00F337AE">
        <w:tc>
          <w:tcPr>
            <w:tcW w:w="11016" w:type="dxa"/>
            <w:gridSpan w:val="2"/>
          </w:tcPr>
          <w:p w14:paraId="05466965" w14:textId="77777777" w:rsidR="002641D2" w:rsidRPr="00FA3F9C" w:rsidRDefault="002641D2" w:rsidP="006F623F">
            <w:pPr>
              <w:rPr>
                <w:rFonts w:ascii="Arial" w:hAnsi="Arial" w:cs="Arial"/>
                <w:sz w:val="24"/>
                <w:szCs w:val="24"/>
              </w:rPr>
            </w:pPr>
            <w:r w:rsidRPr="00FA3F9C">
              <w:rPr>
                <w:rFonts w:ascii="Arial" w:hAnsi="Arial" w:cs="Arial"/>
                <w:sz w:val="24"/>
                <w:szCs w:val="24"/>
              </w:rPr>
              <w:t>1. The patient must have the diagnosis of a fungal infection listed above; nail onychomycosis is not a covered diagnosis.</w:t>
            </w:r>
          </w:p>
        </w:tc>
      </w:tr>
      <w:tr w:rsidR="002641D2" w:rsidRPr="00FA3F9C" w14:paraId="7C052E12" w14:textId="77777777" w:rsidTr="00B1617E">
        <w:tc>
          <w:tcPr>
            <w:tcW w:w="11016" w:type="dxa"/>
            <w:gridSpan w:val="2"/>
          </w:tcPr>
          <w:p w14:paraId="0DA48814" w14:textId="77777777" w:rsidR="002641D2" w:rsidRPr="00FA3F9C" w:rsidRDefault="002641D2" w:rsidP="006F623F">
            <w:pPr>
              <w:rPr>
                <w:rFonts w:ascii="Arial" w:hAnsi="Arial" w:cs="Arial"/>
                <w:sz w:val="24"/>
                <w:szCs w:val="24"/>
              </w:rPr>
            </w:pPr>
            <w:r w:rsidRPr="00FA3F9C">
              <w:rPr>
                <w:rFonts w:ascii="Arial" w:hAnsi="Arial" w:cs="Arial"/>
                <w:sz w:val="24"/>
                <w:szCs w:val="24"/>
              </w:rPr>
              <w:t>2. To get the solution, the patient must be unable to tolerate itraconazole capsules.</w:t>
            </w:r>
          </w:p>
        </w:tc>
      </w:tr>
    </w:tbl>
    <w:p w14:paraId="6DC55B54" w14:textId="77777777" w:rsidR="002641D2" w:rsidRPr="00FA3F9C" w:rsidRDefault="002641D2" w:rsidP="006F623F">
      <w:pPr>
        <w:spacing w:after="0"/>
        <w:rPr>
          <w:rFonts w:ascii="Arial" w:hAnsi="Arial" w:cs="Arial"/>
          <w:sz w:val="24"/>
          <w:szCs w:val="24"/>
        </w:rPr>
      </w:pPr>
    </w:p>
    <w:p w14:paraId="474D89D8" w14:textId="77777777" w:rsidR="002641D2" w:rsidRPr="00FA3F9C" w:rsidRDefault="002641D2"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284"/>
        <w:gridCol w:w="7470"/>
        <w:gridCol w:w="2538"/>
      </w:tblGrid>
      <w:tr w:rsidR="002641D2" w:rsidRPr="00FA3F9C" w14:paraId="48F8FCDA" w14:textId="77777777" w:rsidTr="00FE491B">
        <w:tc>
          <w:tcPr>
            <w:tcW w:w="1008" w:type="dxa"/>
          </w:tcPr>
          <w:p w14:paraId="04AE05B4" w14:textId="77777777" w:rsidR="002641D2" w:rsidRPr="00FA3F9C" w:rsidRDefault="002641D2" w:rsidP="006F623F">
            <w:pPr>
              <w:rPr>
                <w:rFonts w:ascii="Arial" w:hAnsi="Arial" w:cs="Arial"/>
                <w:sz w:val="24"/>
                <w:szCs w:val="24"/>
              </w:rPr>
            </w:pPr>
            <w:r w:rsidRPr="00FA3F9C">
              <w:rPr>
                <w:rFonts w:ascii="Arial" w:hAnsi="Arial" w:cs="Arial"/>
                <w:sz w:val="24"/>
                <w:szCs w:val="24"/>
              </w:rPr>
              <w:t>Date</w:t>
            </w:r>
          </w:p>
        </w:tc>
        <w:tc>
          <w:tcPr>
            <w:tcW w:w="7470" w:type="dxa"/>
          </w:tcPr>
          <w:p w14:paraId="231D82E3" w14:textId="77777777" w:rsidR="002641D2" w:rsidRPr="00FA3F9C" w:rsidRDefault="002641D2" w:rsidP="006F623F">
            <w:pPr>
              <w:rPr>
                <w:rFonts w:ascii="Arial" w:hAnsi="Arial" w:cs="Arial"/>
                <w:sz w:val="24"/>
                <w:szCs w:val="24"/>
              </w:rPr>
            </w:pPr>
            <w:r w:rsidRPr="00FA3F9C">
              <w:rPr>
                <w:rFonts w:ascii="Arial" w:hAnsi="Arial" w:cs="Arial"/>
                <w:sz w:val="24"/>
                <w:szCs w:val="24"/>
              </w:rPr>
              <w:t>What changed</w:t>
            </w:r>
          </w:p>
        </w:tc>
        <w:tc>
          <w:tcPr>
            <w:tcW w:w="2538" w:type="dxa"/>
          </w:tcPr>
          <w:p w14:paraId="3E3316A8" w14:textId="77777777" w:rsidR="002641D2" w:rsidRPr="00FA3F9C" w:rsidRDefault="002641D2" w:rsidP="006F623F">
            <w:pPr>
              <w:rPr>
                <w:rFonts w:ascii="Arial" w:hAnsi="Arial" w:cs="Arial"/>
                <w:sz w:val="24"/>
                <w:szCs w:val="24"/>
              </w:rPr>
            </w:pPr>
            <w:r w:rsidRPr="00FA3F9C">
              <w:rPr>
                <w:rFonts w:ascii="Arial" w:hAnsi="Arial" w:cs="Arial"/>
                <w:sz w:val="24"/>
                <w:szCs w:val="24"/>
              </w:rPr>
              <w:t>Pharmacist’s initials</w:t>
            </w:r>
          </w:p>
        </w:tc>
      </w:tr>
      <w:tr w:rsidR="002641D2" w:rsidRPr="00FA3F9C" w14:paraId="12BCFD47" w14:textId="77777777" w:rsidTr="00FE491B">
        <w:tc>
          <w:tcPr>
            <w:tcW w:w="1008" w:type="dxa"/>
          </w:tcPr>
          <w:p w14:paraId="13091E86" w14:textId="77777777" w:rsidR="002641D2" w:rsidRPr="00FA3F9C" w:rsidRDefault="002641D2" w:rsidP="00804685">
            <w:pPr>
              <w:rPr>
                <w:rFonts w:ascii="Arial" w:hAnsi="Arial" w:cs="Arial"/>
                <w:sz w:val="24"/>
                <w:szCs w:val="24"/>
              </w:rPr>
            </w:pPr>
            <w:r w:rsidRPr="00FA3F9C">
              <w:rPr>
                <w:rFonts w:ascii="Arial" w:hAnsi="Arial" w:cs="Arial"/>
                <w:sz w:val="24"/>
                <w:szCs w:val="24"/>
              </w:rPr>
              <w:t>Date</w:t>
            </w:r>
          </w:p>
        </w:tc>
        <w:tc>
          <w:tcPr>
            <w:tcW w:w="7470" w:type="dxa"/>
          </w:tcPr>
          <w:p w14:paraId="5FE4C0A9" w14:textId="77777777" w:rsidR="002641D2" w:rsidRPr="00FA3F9C" w:rsidRDefault="002641D2" w:rsidP="00804685">
            <w:pPr>
              <w:rPr>
                <w:rFonts w:ascii="Arial" w:hAnsi="Arial" w:cs="Arial"/>
                <w:sz w:val="24"/>
                <w:szCs w:val="24"/>
              </w:rPr>
            </w:pPr>
            <w:r w:rsidRPr="00FA3F9C">
              <w:rPr>
                <w:rFonts w:ascii="Arial" w:hAnsi="Arial" w:cs="Arial"/>
                <w:sz w:val="24"/>
                <w:szCs w:val="24"/>
              </w:rPr>
              <w:t>What changed?</w:t>
            </w:r>
          </w:p>
        </w:tc>
        <w:tc>
          <w:tcPr>
            <w:tcW w:w="2538" w:type="dxa"/>
          </w:tcPr>
          <w:p w14:paraId="65C00642" w14:textId="77777777" w:rsidR="002641D2" w:rsidRPr="00FA3F9C" w:rsidRDefault="002641D2" w:rsidP="00804685">
            <w:pPr>
              <w:rPr>
                <w:rFonts w:ascii="Arial" w:hAnsi="Arial" w:cs="Arial"/>
                <w:sz w:val="24"/>
                <w:szCs w:val="24"/>
              </w:rPr>
            </w:pPr>
            <w:r w:rsidRPr="00FA3F9C">
              <w:rPr>
                <w:rFonts w:ascii="Arial" w:hAnsi="Arial" w:cs="Arial"/>
                <w:sz w:val="24"/>
                <w:szCs w:val="24"/>
              </w:rPr>
              <w:t>Pharmacist’s initials</w:t>
            </w:r>
          </w:p>
        </w:tc>
      </w:tr>
      <w:tr w:rsidR="002641D2" w:rsidRPr="00FA3F9C" w14:paraId="727BB00B" w14:textId="77777777" w:rsidTr="00FE491B">
        <w:tc>
          <w:tcPr>
            <w:tcW w:w="1008" w:type="dxa"/>
          </w:tcPr>
          <w:p w14:paraId="774D4476" w14:textId="77777777" w:rsidR="002641D2" w:rsidRPr="00FA3F9C" w:rsidRDefault="002641D2" w:rsidP="00804685">
            <w:pPr>
              <w:rPr>
                <w:rFonts w:ascii="Arial" w:hAnsi="Arial" w:cs="Arial"/>
                <w:sz w:val="24"/>
                <w:szCs w:val="24"/>
              </w:rPr>
            </w:pPr>
            <w:r w:rsidRPr="00FA3F9C">
              <w:rPr>
                <w:rFonts w:ascii="Arial" w:hAnsi="Arial" w:cs="Arial"/>
                <w:sz w:val="24"/>
                <w:szCs w:val="24"/>
              </w:rPr>
              <w:t>1/19/10</w:t>
            </w:r>
          </w:p>
        </w:tc>
        <w:tc>
          <w:tcPr>
            <w:tcW w:w="7470" w:type="dxa"/>
          </w:tcPr>
          <w:p w14:paraId="6A48617E" w14:textId="77777777" w:rsidR="002641D2" w:rsidRPr="00FA3F9C" w:rsidRDefault="002641D2" w:rsidP="00804685">
            <w:pPr>
              <w:rPr>
                <w:rFonts w:ascii="Arial" w:hAnsi="Arial" w:cs="Arial"/>
                <w:sz w:val="24"/>
                <w:szCs w:val="24"/>
              </w:rPr>
            </w:pPr>
            <w:r w:rsidRPr="00FA3F9C">
              <w:rPr>
                <w:rFonts w:ascii="Arial" w:hAnsi="Arial" w:cs="Arial"/>
                <w:sz w:val="24"/>
                <w:szCs w:val="24"/>
              </w:rPr>
              <w:t>Criteria written</w:t>
            </w:r>
          </w:p>
        </w:tc>
        <w:tc>
          <w:tcPr>
            <w:tcW w:w="2538" w:type="dxa"/>
          </w:tcPr>
          <w:p w14:paraId="75D11E13" w14:textId="77777777" w:rsidR="002641D2" w:rsidRPr="00FA3F9C" w:rsidRDefault="002641D2" w:rsidP="00804685">
            <w:pPr>
              <w:rPr>
                <w:rFonts w:ascii="Arial" w:hAnsi="Arial" w:cs="Arial"/>
                <w:sz w:val="24"/>
                <w:szCs w:val="24"/>
              </w:rPr>
            </w:pPr>
            <w:r w:rsidRPr="00FA3F9C">
              <w:rPr>
                <w:rFonts w:ascii="Arial" w:hAnsi="Arial" w:cs="Arial"/>
                <w:sz w:val="24"/>
                <w:szCs w:val="24"/>
              </w:rPr>
              <w:t>JJ</w:t>
            </w:r>
          </w:p>
        </w:tc>
      </w:tr>
      <w:tr w:rsidR="002641D2" w:rsidRPr="00FA3F9C" w14:paraId="1AB521DF" w14:textId="77777777" w:rsidTr="00FE491B">
        <w:tc>
          <w:tcPr>
            <w:tcW w:w="1008" w:type="dxa"/>
          </w:tcPr>
          <w:p w14:paraId="0E1D7AA1" w14:textId="77777777" w:rsidR="002641D2" w:rsidRPr="00FA3F9C" w:rsidRDefault="002641D2" w:rsidP="006F623F">
            <w:pPr>
              <w:rPr>
                <w:rFonts w:ascii="Arial" w:hAnsi="Arial" w:cs="Arial"/>
                <w:sz w:val="24"/>
                <w:szCs w:val="24"/>
              </w:rPr>
            </w:pPr>
            <w:r w:rsidRPr="00FA3F9C">
              <w:rPr>
                <w:rFonts w:ascii="Arial" w:hAnsi="Arial" w:cs="Arial"/>
                <w:sz w:val="24"/>
                <w:szCs w:val="24"/>
              </w:rPr>
              <w:t>11/8/2019</w:t>
            </w:r>
          </w:p>
        </w:tc>
        <w:tc>
          <w:tcPr>
            <w:tcW w:w="7470" w:type="dxa"/>
          </w:tcPr>
          <w:p w14:paraId="1BF623DE" w14:textId="77777777" w:rsidR="002641D2" w:rsidRPr="00FA3F9C" w:rsidRDefault="002641D2" w:rsidP="006F623F">
            <w:pPr>
              <w:rPr>
                <w:rFonts w:ascii="Arial" w:hAnsi="Arial" w:cs="Arial"/>
                <w:sz w:val="24"/>
                <w:szCs w:val="24"/>
              </w:rPr>
            </w:pPr>
            <w:r w:rsidRPr="00FA3F9C">
              <w:rPr>
                <w:rFonts w:ascii="Arial" w:hAnsi="Arial" w:cs="Arial"/>
                <w:sz w:val="24"/>
                <w:szCs w:val="24"/>
              </w:rPr>
              <w:t xml:space="preserve">I updated the criteria and required intolerability of taking the capsules is a </w:t>
            </w:r>
            <w:proofErr w:type="gramStart"/>
            <w:r w:rsidRPr="00FA3F9C">
              <w:rPr>
                <w:rFonts w:ascii="Arial" w:hAnsi="Arial" w:cs="Arial"/>
                <w:sz w:val="24"/>
                <w:szCs w:val="24"/>
              </w:rPr>
              <w:t>criteria</w:t>
            </w:r>
            <w:proofErr w:type="gramEnd"/>
            <w:r w:rsidRPr="00FA3F9C">
              <w:rPr>
                <w:rFonts w:ascii="Arial" w:hAnsi="Arial" w:cs="Arial"/>
                <w:sz w:val="24"/>
                <w:szCs w:val="24"/>
              </w:rPr>
              <w:t xml:space="preserve"> for getting the much more costly solution.  I am also seeking with P&amp;T to archive the PA Criteria for the capsules.</w:t>
            </w:r>
          </w:p>
        </w:tc>
        <w:tc>
          <w:tcPr>
            <w:tcW w:w="2538" w:type="dxa"/>
          </w:tcPr>
          <w:p w14:paraId="4CCACA06" w14:textId="77777777" w:rsidR="002641D2" w:rsidRPr="00FA3F9C" w:rsidRDefault="002641D2" w:rsidP="006F623F">
            <w:pPr>
              <w:rPr>
                <w:rFonts w:ascii="Arial" w:hAnsi="Arial" w:cs="Arial"/>
                <w:sz w:val="24"/>
                <w:szCs w:val="24"/>
              </w:rPr>
            </w:pPr>
            <w:r w:rsidRPr="00FA3F9C">
              <w:rPr>
                <w:rFonts w:ascii="Arial" w:hAnsi="Arial" w:cs="Arial"/>
                <w:sz w:val="24"/>
                <w:szCs w:val="24"/>
              </w:rPr>
              <w:t>JJ</w:t>
            </w:r>
          </w:p>
        </w:tc>
      </w:tr>
      <w:tr w:rsidR="002641D2" w:rsidRPr="00FA3F9C" w14:paraId="7CC3690A" w14:textId="77777777" w:rsidTr="00FE491B">
        <w:tc>
          <w:tcPr>
            <w:tcW w:w="1008" w:type="dxa"/>
          </w:tcPr>
          <w:p w14:paraId="31E12BC0" w14:textId="77777777" w:rsidR="002641D2" w:rsidRPr="00FA3F9C" w:rsidRDefault="002641D2" w:rsidP="006F623F">
            <w:pPr>
              <w:rPr>
                <w:rFonts w:ascii="Arial" w:hAnsi="Arial" w:cs="Arial"/>
                <w:sz w:val="24"/>
                <w:szCs w:val="24"/>
              </w:rPr>
            </w:pPr>
            <w:r w:rsidRPr="00FA3F9C">
              <w:rPr>
                <w:rFonts w:ascii="Arial" w:hAnsi="Arial" w:cs="Arial"/>
                <w:sz w:val="24"/>
                <w:szCs w:val="24"/>
              </w:rPr>
              <w:t>8/12/2020</w:t>
            </w:r>
          </w:p>
        </w:tc>
        <w:tc>
          <w:tcPr>
            <w:tcW w:w="7470" w:type="dxa"/>
          </w:tcPr>
          <w:p w14:paraId="26582005" w14:textId="77777777" w:rsidR="002641D2" w:rsidRPr="00FA3F9C" w:rsidRDefault="002641D2" w:rsidP="006F623F">
            <w:pPr>
              <w:rPr>
                <w:rFonts w:ascii="Arial" w:hAnsi="Arial" w:cs="Arial"/>
                <w:sz w:val="24"/>
                <w:szCs w:val="24"/>
              </w:rPr>
            </w:pPr>
            <w:r w:rsidRPr="00FA3F9C">
              <w:rPr>
                <w:rFonts w:ascii="Arial" w:hAnsi="Arial" w:cs="Arial"/>
                <w:sz w:val="24"/>
                <w:szCs w:val="24"/>
              </w:rPr>
              <w:t>I updated the criteria to clarify the capsules require PA and that onychomycosis is not a covered diagnosis (and in fact oral terbinafine is first line before itraconazole).  There are a lot of drug interactions.</w:t>
            </w:r>
          </w:p>
        </w:tc>
        <w:tc>
          <w:tcPr>
            <w:tcW w:w="2538" w:type="dxa"/>
          </w:tcPr>
          <w:p w14:paraId="1DD12D4B" w14:textId="77777777" w:rsidR="002641D2" w:rsidRPr="00FA3F9C" w:rsidRDefault="002641D2" w:rsidP="006F623F">
            <w:pPr>
              <w:rPr>
                <w:rFonts w:ascii="Arial" w:hAnsi="Arial" w:cs="Arial"/>
                <w:sz w:val="24"/>
                <w:szCs w:val="24"/>
              </w:rPr>
            </w:pPr>
            <w:r w:rsidRPr="00FA3F9C">
              <w:rPr>
                <w:rFonts w:ascii="Arial" w:hAnsi="Arial" w:cs="Arial"/>
                <w:sz w:val="24"/>
                <w:szCs w:val="24"/>
              </w:rPr>
              <w:t>JJ</w:t>
            </w:r>
          </w:p>
        </w:tc>
      </w:tr>
      <w:tr w:rsidR="002641D2" w:rsidRPr="00FA3F9C" w14:paraId="4CAF75D8" w14:textId="77777777" w:rsidTr="00FE491B">
        <w:tc>
          <w:tcPr>
            <w:tcW w:w="1008" w:type="dxa"/>
          </w:tcPr>
          <w:p w14:paraId="6FA199D1" w14:textId="77777777" w:rsidR="002641D2" w:rsidRPr="00FA3F9C" w:rsidRDefault="002641D2" w:rsidP="006F623F">
            <w:pPr>
              <w:rPr>
                <w:rFonts w:ascii="Arial" w:hAnsi="Arial" w:cs="Arial"/>
                <w:sz w:val="24"/>
                <w:szCs w:val="24"/>
              </w:rPr>
            </w:pPr>
            <w:r w:rsidRPr="00FA3F9C">
              <w:rPr>
                <w:rFonts w:ascii="Arial" w:hAnsi="Arial" w:cs="Arial"/>
                <w:sz w:val="24"/>
                <w:szCs w:val="24"/>
              </w:rPr>
              <w:t>3/10/2021</w:t>
            </w:r>
          </w:p>
        </w:tc>
        <w:tc>
          <w:tcPr>
            <w:tcW w:w="7470" w:type="dxa"/>
          </w:tcPr>
          <w:p w14:paraId="2596EA6D" w14:textId="77777777" w:rsidR="002641D2" w:rsidRPr="00FA3F9C" w:rsidRDefault="002641D2" w:rsidP="006F623F">
            <w:pPr>
              <w:rPr>
                <w:rFonts w:ascii="Arial" w:hAnsi="Arial" w:cs="Arial"/>
                <w:sz w:val="24"/>
                <w:szCs w:val="24"/>
              </w:rPr>
            </w:pPr>
            <w:r w:rsidRPr="00FA3F9C">
              <w:rPr>
                <w:rFonts w:ascii="Arial" w:hAnsi="Arial" w:cs="Arial"/>
                <w:sz w:val="24"/>
                <w:szCs w:val="24"/>
              </w:rPr>
              <w:t xml:space="preserve">I applied EBRx PA criteria for itraconazole to the UAS plan as per discussion in 12/2020 with Steve Wood and Char Brown.  The MI criteria specifically cover nail fungus.  EBRx recommends terbinafine, the </w:t>
            </w:r>
            <w:proofErr w:type="gramStart"/>
            <w:r w:rsidRPr="00FA3F9C">
              <w:rPr>
                <w:rFonts w:ascii="Arial" w:hAnsi="Arial" w:cs="Arial"/>
                <w:sz w:val="24"/>
                <w:szCs w:val="24"/>
              </w:rPr>
              <w:t>first-line</w:t>
            </w:r>
            <w:proofErr w:type="gramEnd"/>
            <w:r w:rsidRPr="00FA3F9C">
              <w:rPr>
                <w:rFonts w:ascii="Arial" w:hAnsi="Arial" w:cs="Arial"/>
                <w:sz w:val="24"/>
                <w:szCs w:val="24"/>
              </w:rPr>
              <w:t xml:space="preserve"> and superior treatment, over itraconazole.  </w:t>
            </w:r>
            <w:proofErr w:type="spellStart"/>
            <w:r w:rsidRPr="00FA3F9C">
              <w:rPr>
                <w:rFonts w:ascii="Arial" w:hAnsi="Arial" w:cs="Arial"/>
                <w:sz w:val="24"/>
                <w:szCs w:val="24"/>
              </w:rPr>
              <w:t>Itra</w:t>
            </w:r>
            <w:proofErr w:type="spellEnd"/>
            <w:r w:rsidRPr="00FA3F9C">
              <w:rPr>
                <w:rFonts w:ascii="Arial" w:hAnsi="Arial" w:cs="Arial"/>
                <w:sz w:val="24"/>
                <w:szCs w:val="24"/>
              </w:rPr>
              <w:t xml:space="preserve"> is also more costly.</w:t>
            </w:r>
          </w:p>
        </w:tc>
        <w:tc>
          <w:tcPr>
            <w:tcW w:w="2538" w:type="dxa"/>
          </w:tcPr>
          <w:p w14:paraId="29AC290C" w14:textId="77777777" w:rsidR="002641D2" w:rsidRPr="00FA3F9C" w:rsidRDefault="002641D2" w:rsidP="006F623F">
            <w:pPr>
              <w:rPr>
                <w:rFonts w:ascii="Arial" w:hAnsi="Arial" w:cs="Arial"/>
                <w:sz w:val="24"/>
                <w:szCs w:val="24"/>
              </w:rPr>
            </w:pPr>
            <w:r w:rsidRPr="00FA3F9C">
              <w:rPr>
                <w:rFonts w:ascii="Arial" w:hAnsi="Arial" w:cs="Arial"/>
                <w:sz w:val="24"/>
                <w:szCs w:val="24"/>
              </w:rPr>
              <w:t>JJ</w:t>
            </w:r>
          </w:p>
        </w:tc>
      </w:tr>
    </w:tbl>
    <w:p w14:paraId="0248BA10" w14:textId="77777777" w:rsidR="002641D2" w:rsidRPr="00FA3F9C" w:rsidRDefault="002641D2" w:rsidP="006F623F">
      <w:pPr>
        <w:spacing w:after="0"/>
        <w:rPr>
          <w:rFonts w:ascii="Arial" w:hAnsi="Arial" w:cs="Arial"/>
          <w:sz w:val="24"/>
          <w:szCs w:val="24"/>
        </w:rPr>
      </w:pPr>
    </w:p>
    <w:p w14:paraId="17D9092A" w14:textId="77777777" w:rsidR="002641D2" w:rsidRPr="00FA3F9C" w:rsidRDefault="002641D2" w:rsidP="002A1632">
      <w:pPr>
        <w:pStyle w:val="Heading2"/>
      </w:pPr>
      <w:bookmarkStart w:id="154" w:name="_Toc106369834"/>
      <w:r w:rsidRPr="00FA3F9C">
        <w:t>Ivabradine (</w:t>
      </w:r>
      <w:proofErr w:type="spellStart"/>
      <w:r w:rsidRPr="00FA3F9C">
        <w:t>Corlanor</w:t>
      </w:r>
      <w:proofErr w:type="spellEnd"/>
      <w:r w:rsidRPr="00FA3F9C">
        <w:t>)</w:t>
      </w:r>
      <w:bookmarkEnd w:id="154"/>
    </w:p>
    <w:p w14:paraId="7C415ABC" w14:textId="76208F3B" w:rsidR="002641D2" w:rsidRDefault="002641D2" w:rsidP="00F242E8">
      <w:pPr>
        <w:spacing w:after="0" w:line="240" w:lineRule="auto"/>
        <w:jc w:val="center"/>
        <w:rPr>
          <w:rFonts w:ascii="Arial" w:hAnsi="Arial" w:cs="Arial"/>
          <w:sz w:val="24"/>
          <w:szCs w:val="24"/>
        </w:rPr>
      </w:pPr>
      <w:r w:rsidRPr="00FA3F9C">
        <w:rPr>
          <w:rFonts w:ascii="Arial" w:hAnsi="Arial" w:cs="Arial"/>
          <w:sz w:val="24"/>
          <w:szCs w:val="24"/>
        </w:rPr>
        <w:t>5mg (scored), and 7.5mg tablets</w:t>
      </w:r>
    </w:p>
    <w:p w14:paraId="289212DD" w14:textId="77777777" w:rsidR="002A1632" w:rsidRPr="00FA3F9C" w:rsidRDefault="002A1632" w:rsidP="002A1632">
      <w:pPr>
        <w:spacing w:after="0" w:line="240" w:lineRule="auto"/>
        <w:jc w:val="center"/>
        <w:rPr>
          <w:rFonts w:ascii="Arial" w:hAnsi="Arial" w:cs="Arial"/>
          <w:sz w:val="24"/>
          <w:szCs w:val="24"/>
        </w:rPr>
      </w:pPr>
      <w:r w:rsidRPr="00FA3F9C">
        <w:rPr>
          <w:rFonts w:ascii="Arial" w:hAnsi="Arial" w:cs="Arial"/>
          <w:sz w:val="24"/>
          <w:szCs w:val="24"/>
        </w:rPr>
        <w:t>EBRx PA Criteria</w:t>
      </w:r>
    </w:p>
    <w:p w14:paraId="5A23C038" w14:textId="77777777" w:rsidR="002A1632" w:rsidRPr="00FA3F9C" w:rsidRDefault="002A1632" w:rsidP="00F242E8">
      <w:pPr>
        <w:spacing w:after="0" w:line="240" w:lineRule="auto"/>
        <w:jc w:val="center"/>
        <w:rPr>
          <w:rFonts w:ascii="Arial" w:hAnsi="Arial" w:cs="Arial"/>
          <w:sz w:val="24"/>
          <w:szCs w:val="24"/>
        </w:rPr>
      </w:pPr>
    </w:p>
    <w:p w14:paraId="7242CD43" w14:textId="77777777" w:rsidR="002641D2" w:rsidRPr="00FA3F9C" w:rsidRDefault="002641D2" w:rsidP="00F242E8">
      <w:pPr>
        <w:spacing w:after="0" w:line="240" w:lineRule="auto"/>
        <w:rPr>
          <w:rFonts w:ascii="Arial" w:hAnsi="Arial" w:cs="Arial"/>
          <w:b/>
          <w:sz w:val="24"/>
          <w:szCs w:val="24"/>
          <w:u w:val="single"/>
        </w:rPr>
      </w:pPr>
    </w:p>
    <w:p w14:paraId="07C983FF" w14:textId="77777777" w:rsidR="002641D2" w:rsidRPr="00FA3F9C" w:rsidRDefault="002641D2" w:rsidP="006F623F">
      <w:pPr>
        <w:spacing w:after="0"/>
        <w:rPr>
          <w:rFonts w:ascii="Arial" w:hAnsi="Arial" w:cs="Arial"/>
          <w:b/>
          <w:sz w:val="24"/>
          <w:szCs w:val="24"/>
          <w:u w:val="single"/>
        </w:rPr>
      </w:pPr>
      <w:r w:rsidRPr="00FA3F9C">
        <w:rPr>
          <w:rFonts w:ascii="Arial" w:hAnsi="Arial" w:cs="Arial"/>
          <w:b/>
          <w:sz w:val="24"/>
          <w:szCs w:val="24"/>
          <w:u w:val="single"/>
        </w:rPr>
        <w:lastRenderedPageBreak/>
        <w:t xml:space="preserve">is FDA-approved: </w:t>
      </w:r>
      <w:r w:rsidRPr="00FA3F9C">
        <w:rPr>
          <w:rFonts w:ascii="Arial" w:hAnsi="Arial" w:cs="Arial"/>
          <w:sz w:val="24"/>
          <w:szCs w:val="24"/>
        </w:rPr>
        <w:t>to reduce the risk of hospitalization for worsening heart failure in patients with stable, symptomatic chronic heart failure with LV EF</w:t>
      </w:r>
      <w:r w:rsidRPr="00FA3F9C">
        <w:rPr>
          <w:rFonts w:ascii="Arial" w:hAnsi="Arial" w:cs="Arial"/>
          <w:sz w:val="24"/>
          <w:szCs w:val="24"/>
          <w:u w:val="single"/>
        </w:rPr>
        <w:t>&lt;</w:t>
      </w:r>
      <w:r w:rsidRPr="00FA3F9C">
        <w:rPr>
          <w:rFonts w:ascii="Arial" w:hAnsi="Arial" w:cs="Arial"/>
          <w:sz w:val="24"/>
          <w:szCs w:val="24"/>
        </w:rPr>
        <w:t xml:space="preserve">35%, who are in sinus rhythm with resting HR </w:t>
      </w:r>
      <w:r w:rsidRPr="00FA3F9C">
        <w:rPr>
          <w:rFonts w:ascii="Arial" w:hAnsi="Arial" w:cs="Arial"/>
          <w:sz w:val="24"/>
          <w:szCs w:val="24"/>
          <w:u w:val="single"/>
        </w:rPr>
        <w:t>&gt;</w:t>
      </w:r>
      <w:r w:rsidRPr="00FA3F9C">
        <w:rPr>
          <w:rFonts w:ascii="Arial" w:hAnsi="Arial" w:cs="Arial"/>
          <w:sz w:val="24"/>
          <w:szCs w:val="24"/>
        </w:rPr>
        <w:t>70 bpm and either are on maximally tolerated doses of beta blockers or have a contraindication to beta-blocker use.</w:t>
      </w:r>
    </w:p>
    <w:tbl>
      <w:tblPr>
        <w:tblStyle w:val="TableGrid"/>
        <w:tblW w:w="11324" w:type="dxa"/>
        <w:tblLayout w:type="fixed"/>
        <w:tblLook w:val="04A0" w:firstRow="1" w:lastRow="0" w:firstColumn="1" w:lastColumn="0" w:noHBand="0" w:noVBand="1"/>
      </w:tblPr>
      <w:tblGrid>
        <w:gridCol w:w="11088"/>
        <w:gridCol w:w="236"/>
      </w:tblGrid>
      <w:tr w:rsidR="002641D2" w:rsidRPr="00FA3F9C" w14:paraId="5D82B06C" w14:textId="77777777" w:rsidTr="00ED5294">
        <w:tc>
          <w:tcPr>
            <w:tcW w:w="11088" w:type="dxa"/>
            <w:shd w:val="clear" w:color="auto" w:fill="000000"/>
          </w:tcPr>
          <w:p w14:paraId="58D97C77" w14:textId="77777777" w:rsidR="002641D2" w:rsidRPr="00FA3F9C" w:rsidRDefault="002641D2" w:rsidP="00403B33">
            <w:pPr>
              <w:rPr>
                <w:rFonts w:ascii="Arial" w:hAnsi="Arial" w:cs="Arial"/>
                <w:b/>
                <w:sz w:val="24"/>
                <w:szCs w:val="24"/>
                <w:u w:val="single"/>
              </w:rPr>
            </w:pPr>
            <w:r w:rsidRPr="00FA3F9C">
              <w:rPr>
                <w:rFonts w:ascii="Arial" w:hAnsi="Arial" w:cs="Arial"/>
                <w:b/>
                <w:sz w:val="24"/>
                <w:szCs w:val="24"/>
                <w:u w:val="single"/>
              </w:rPr>
              <w:t>HEART FAILURE INDICATION</w:t>
            </w:r>
          </w:p>
        </w:tc>
        <w:tc>
          <w:tcPr>
            <w:tcW w:w="236" w:type="dxa"/>
            <w:shd w:val="clear" w:color="auto" w:fill="000000"/>
          </w:tcPr>
          <w:p w14:paraId="2A88CF3A" w14:textId="77777777" w:rsidR="002641D2" w:rsidRPr="00FA3F9C" w:rsidRDefault="002641D2" w:rsidP="006F623F">
            <w:pPr>
              <w:jc w:val="center"/>
              <w:rPr>
                <w:rFonts w:ascii="Arial" w:hAnsi="Arial" w:cs="Arial"/>
                <w:b/>
                <w:sz w:val="24"/>
                <w:szCs w:val="24"/>
                <w:u w:val="single"/>
              </w:rPr>
            </w:pPr>
          </w:p>
        </w:tc>
      </w:tr>
      <w:tr w:rsidR="002641D2" w:rsidRPr="00FA3F9C" w14:paraId="7C05397E" w14:textId="77777777" w:rsidTr="00ED5294">
        <w:trPr>
          <w:gridAfter w:val="1"/>
          <w:wAfter w:w="236" w:type="dxa"/>
        </w:trPr>
        <w:tc>
          <w:tcPr>
            <w:tcW w:w="11088" w:type="dxa"/>
          </w:tcPr>
          <w:p w14:paraId="79B6FC98" w14:textId="77777777" w:rsidR="002641D2" w:rsidRPr="00FA3F9C" w:rsidRDefault="002641D2" w:rsidP="00403B33">
            <w:pPr>
              <w:rPr>
                <w:rFonts w:ascii="Arial" w:hAnsi="Arial" w:cs="Arial"/>
                <w:b/>
                <w:sz w:val="24"/>
                <w:szCs w:val="24"/>
                <w:u w:val="single"/>
              </w:rPr>
            </w:pPr>
            <w:r w:rsidRPr="00FA3F9C">
              <w:rPr>
                <w:rFonts w:ascii="Arial" w:hAnsi="Arial" w:cs="Arial"/>
                <w:b/>
                <w:sz w:val="24"/>
                <w:szCs w:val="24"/>
                <w:u w:val="single"/>
              </w:rPr>
              <w:t>Criteria (MUST HAVE ALL OF THE FOLLOWING):</w:t>
            </w:r>
          </w:p>
        </w:tc>
      </w:tr>
      <w:tr w:rsidR="002641D2" w:rsidRPr="00FA3F9C" w14:paraId="73058A72" w14:textId="77777777" w:rsidTr="00ED5294">
        <w:trPr>
          <w:gridAfter w:val="1"/>
          <w:wAfter w:w="236" w:type="dxa"/>
        </w:trPr>
        <w:tc>
          <w:tcPr>
            <w:tcW w:w="11088" w:type="dxa"/>
          </w:tcPr>
          <w:p w14:paraId="6F7B94BA" w14:textId="77777777" w:rsidR="002641D2" w:rsidRPr="00FA3F9C" w:rsidRDefault="002641D2" w:rsidP="006F623F">
            <w:pPr>
              <w:rPr>
                <w:rFonts w:ascii="Arial" w:hAnsi="Arial" w:cs="Arial"/>
                <w:sz w:val="24"/>
                <w:szCs w:val="24"/>
              </w:rPr>
            </w:pPr>
            <w:r w:rsidRPr="00FA3F9C">
              <w:rPr>
                <w:rFonts w:ascii="Arial" w:hAnsi="Arial" w:cs="Arial"/>
                <w:sz w:val="24"/>
                <w:szCs w:val="24"/>
              </w:rPr>
              <w:t>1.  diagnosis of stable, symptomatic HF, AND</w:t>
            </w:r>
          </w:p>
        </w:tc>
      </w:tr>
      <w:tr w:rsidR="002641D2" w:rsidRPr="00FA3F9C" w14:paraId="44F0623C" w14:textId="77777777" w:rsidTr="00ED5294">
        <w:trPr>
          <w:gridAfter w:val="1"/>
          <w:wAfter w:w="236" w:type="dxa"/>
        </w:trPr>
        <w:tc>
          <w:tcPr>
            <w:tcW w:w="11088" w:type="dxa"/>
          </w:tcPr>
          <w:p w14:paraId="369D2064" w14:textId="77777777" w:rsidR="002641D2" w:rsidRPr="00FA3F9C" w:rsidRDefault="002641D2" w:rsidP="006F623F">
            <w:pPr>
              <w:rPr>
                <w:rFonts w:ascii="Arial" w:hAnsi="Arial" w:cs="Arial"/>
                <w:sz w:val="24"/>
                <w:szCs w:val="24"/>
              </w:rPr>
            </w:pPr>
            <w:r w:rsidRPr="00FA3F9C">
              <w:rPr>
                <w:rFonts w:ascii="Arial" w:hAnsi="Arial" w:cs="Arial"/>
                <w:sz w:val="24"/>
                <w:szCs w:val="24"/>
              </w:rPr>
              <w:t xml:space="preserve">2.  left ventricular ejection fraction </w:t>
            </w:r>
            <w:r w:rsidRPr="00FA3F9C">
              <w:rPr>
                <w:rFonts w:ascii="Arial" w:hAnsi="Arial" w:cs="Arial"/>
                <w:sz w:val="24"/>
                <w:szCs w:val="24"/>
                <w:u w:val="single"/>
              </w:rPr>
              <w:t>&lt;</w:t>
            </w:r>
            <w:r w:rsidRPr="00FA3F9C">
              <w:rPr>
                <w:rFonts w:ascii="Arial" w:hAnsi="Arial" w:cs="Arial"/>
                <w:sz w:val="24"/>
                <w:szCs w:val="24"/>
              </w:rPr>
              <w:t>35%, AND</w:t>
            </w:r>
          </w:p>
        </w:tc>
      </w:tr>
      <w:tr w:rsidR="002641D2" w:rsidRPr="00FA3F9C" w14:paraId="69CA0CB8" w14:textId="77777777" w:rsidTr="00ED5294">
        <w:trPr>
          <w:gridAfter w:val="1"/>
          <w:wAfter w:w="236" w:type="dxa"/>
        </w:trPr>
        <w:tc>
          <w:tcPr>
            <w:tcW w:w="11088" w:type="dxa"/>
          </w:tcPr>
          <w:p w14:paraId="54F583B1" w14:textId="77777777" w:rsidR="002641D2" w:rsidRPr="00FA3F9C" w:rsidRDefault="002641D2" w:rsidP="006F623F">
            <w:pPr>
              <w:rPr>
                <w:rFonts w:ascii="Arial" w:hAnsi="Arial" w:cs="Arial"/>
                <w:sz w:val="24"/>
                <w:szCs w:val="24"/>
              </w:rPr>
            </w:pPr>
            <w:r w:rsidRPr="00FA3F9C">
              <w:rPr>
                <w:rFonts w:ascii="Arial" w:hAnsi="Arial" w:cs="Arial"/>
                <w:sz w:val="24"/>
                <w:szCs w:val="24"/>
              </w:rPr>
              <w:t>3.  sinus rhythm, AND</w:t>
            </w:r>
          </w:p>
        </w:tc>
      </w:tr>
      <w:tr w:rsidR="002641D2" w:rsidRPr="00FA3F9C" w14:paraId="27F04CA7" w14:textId="77777777" w:rsidTr="00ED5294">
        <w:trPr>
          <w:gridAfter w:val="1"/>
          <w:wAfter w:w="236" w:type="dxa"/>
        </w:trPr>
        <w:tc>
          <w:tcPr>
            <w:tcW w:w="11088" w:type="dxa"/>
          </w:tcPr>
          <w:p w14:paraId="0756CC82" w14:textId="77777777" w:rsidR="002641D2" w:rsidRPr="00FA3F9C" w:rsidRDefault="002641D2" w:rsidP="006F623F">
            <w:pPr>
              <w:rPr>
                <w:rFonts w:ascii="Arial" w:hAnsi="Arial" w:cs="Arial"/>
                <w:sz w:val="24"/>
                <w:szCs w:val="24"/>
              </w:rPr>
            </w:pPr>
            <w:r w:rsidRPr="00FA3F9C">
              <w:rPr>
                <w:rFonts w:ascii="Arial" w:hAnsi="Arial" w:cs="Arial"/>
                <w:sz w:val="24"/>
                <w:szCs w:val="24"/>
              </w:rPr>
              <w:t>4.  resting heart rate &gt;75 beats per minute*, AND</w:t>
            </w:r>
          </w:p>
        </w:tc>
      </w:tr>
      <w:tr w:rsidR="002641D2" w:rsidRPr="00FA3F9C" w14:paraId="0C18D95D" w14:textId="77777777" w:rsidTr="00ED5294">
        <w:trPr>
          <w:gridAfter w:val="1"/>
          <w:wAfter w:w="236" w:type="dxa"/>
        </w:trPr>
        <w:tc>
          <w:tcPr>
            <w:tcW w:w="11088" w:type="dxa"/>
          </w:tcPr>
          <w:p w14:paraId="48B969B3" w14:textId="77777777" w:rsidR="002641D2" w:rsidRPr="00FA3F9C" w:rsidRDefault="002641D2" w:rsidP="006F623F">
            <w:pPr>
              <w:rPr>
                <w:rFonts w:ascii="Arial" w:hAnsi="Arial" w:cs="Arial"/>
                <w:sz w:val="24"/>
                <w:szCs w:val="24"/>
              </w:rPr>
            </w:pPr>
            <w:r w:rsidRPr="00FA3F9C">
              <w:rPr>
                <w:rFonts w:ascii="Arial" w:hAnsi="Arial" w:cs="Arial"/>
                <w:sz w:val="24"/>
                <w:szCs w:val="24"/>
              </w:rPr>
              <w:t>5.  Either on maximally tolerated doses of B-blockers or have a contraindication to B-blocker use, AND</w:t>
            </w:r>
          </w:p>
        </w:tc>
      </w:tr>
      <w:tr w:rsidR="002641D2" w:rsidRPr="00FA3F9C" w14:paraId="2665973F" w14:textId="77777777" w:rsidTr="00ED5294">
        <w:trPr>
          <w:gridAfter w:val="1"/>
          <w:wAfter w:w="236" w:type="dxa"/>
        </w:trPr>
        <w:tc>
          <w:tcPr>
            <w:tcW w:w="11088" w:type="dxa"/>
          </w:tcPr>
          <w:p w14:paraId="30577664" w14:textId="77777777" w:rsidR="002641D2" w:rsidRPr="00FA3F9C" w:rsidRDefault="002641D2" w:rsidP="006F623F">
            <w:pPr>
              <w:rPr>
                <w:rFonts w:ascii="Arial" w:hAnsi="Arial" w:cs="Arial"/>
                <w:sz w:val="24"/>
                <w:szCs w:val="24"/>
              </w:rPr>
            </w:pPr>
            <w:r w:rsidRPr="00FA3F9C">
              <w:rPr>
                <w:rFonts w:ascii="Arial" w:hAnsi="Arial" w:cs="Arial"/>
                <w:sz w:val="24"/>
                <w:szCs w:val="24"/>
              </w:rPr>
              <w:t>6.  must be given in combination with standard therapy including beta-blocker therapy, ACE inhibitor or ARB, and an aldosterone antagonist, or when beta-blocker therapy is contraindicated or not tolerated.</w:t>
            </w:r>
          </w:p>
        </w:tc>
      </w:tr>
    </w:tbl>
    <w:p w14:paraId="22681937" w14:textId="77777777" w:rsidR="002641D2" w:rsidRPr="00FA3F9C" w:rsidRDefault="002641D2" w:rsidP="006F623F">
      <w:pPr>
        <w:spacing w:after="0"/>
        <w:rPr>
          <w:rFonts w:ascii="Arial" w:hAnsi="Arial" w:cs="Arial"/>
          <w:b/>
          <w:sz w:val="24"/>
          <w:szCs w:val="24"/>
          <w:u w:val="single"/>
        </w:rPr>
      </w:pPr>
      <w:r w:rsidRPr="00FA3F9C">
        <w:rPr>
          <w:rFonts w:ascii="Arial" w:hAnsi="Arial" w:cs="Arial"/>
          <w:b/>
          <w:sz w:val="24"/>
          <w:szCs w:val="24"/>
          <w:u w:val="single"/>
        </w:rPr>
        <w:t xml:space="preserve">*SHIFT (2010) and SHIFT subgroup analysis(2012) showed that if HR was &lt;77bpm, there was no difference on 1` endpoint.  If HR was &gt;77bpm, there was a reduction in the 1` endpoint.  </w:t>
      </w:r>
      <w:proofErr w:type="gramStart"/>
      <w:r w:rsidRPr="00FA3F9C">
        <w:rPr>
          <w:rFonts w:ascii="Arial" w:hAnsi="Arial" w:cs="Arial"/>
          <w:b/>
          <w:sz w:val="24"/>
          <w:szCs w:val="24"/>
          <w:u w:val="single"/>
        </w:rPr>
        <w:t>This is why</w:t>
      </w:r>
      <w:proofErr w:type="gramEnd"/>
      <w:r w:rsidRPr="00FA3F9C">
        <w:rPr>
          <w:rFonts w:ascii="Arial" w:hAnsi="Arial" w:cs="Arial"/>
          <w:b/>
          <w:sz w:val="24"/>
          <w:szCs w:val="24"/>
          <w:u w:val="single"/>
        </w:rPr>
        <w:t xml:space="preserve"> EBRx PA criteria chose 75bmp rather than the FDA-approval criteria of 70.  70 bpm came from the SHIFT inclusion criteria; this is not the same as what yielded the results.</w:t>
      </w:r>
    </w:p>
    <w:tbl>
      <w:tblPr>
        <w:tblStyle w:val="TableGrid"/>
        <w:tblW w:w="11088" w:type="dxa"/>
        <w:tblLook w:val="04A0" w:firstRow="1" w:lastRow="0" w:firstColumn="1" w:lastColumn="0" w:noHBand="0" w:noVBand="1"/>
      </w:tblPr>
      <w:tblGrid>
        <w:gridCol w:w="11088"/>
      </w:tblGrid>
      <w:tr w:rsidR="002641D2" w:rsidRPr="00FA3F9C" w14:paraId="154B6A2D" w14:textId="77777777" w:rsidTr="00ED5294">
        <w:tc>
          <w:tcPr>
            <w:tcW w:w="11088" w:type="dxa"/>
          </w:tcPr>
          <w:p w14:paraId="0E9C17D8" w14:textId="77777777" w:rsidR="002641D2" w:rsidRPr="00FA3F9C" w:rsidRDefault="002641D2" w:rsidP="00403B33">
            <w:pPr>
              <w:rPr>
                <w:rFonts w:ascii="Arial" w:hAnsi="Arial" w:cs="Arial"/>
                <w:b/>
                <w:sz w:val="24"/>
                <w:szCs w:val="24"/>
                <w:u w:val="single"/>
              </w:rPr>
            </w:pPr>
            <w:r w:rsidRPr="00FA3F9C">
              <w:rPr>
                <w:rFonts w:ascii="Arial" w:hAnsi="Arial" w:cs="Arial"/>
                <w:b/>
                <w:sz w:val="24"/>
                <w:szCs w:val="24"/>
                <w:u w:val="single"/>
              </w:rPr>
              <w:t>Criteria (AND MUST HAVE NONE OF THE FOLLOWING):</w:t>
            </w:r>
          </w:p>
        </w:tc>
      </w:tr>
      <w:tr w:rsidR="002641D2" w:rsidRPr="00FA3F9C" w14:paraId="4FDC72ED" w14:textId="77777777" w:rsidTr="00ED5294">
        <w:tc>
          <w:tcPr>
            <w:tcW w:w="11088" w:type="dxa"/>
          </w:tcPr>
          <w:p w14:paraId="0934F660" w14:textId="77777777" w:rsidR="002641D2" w:rsidRPr="00FA3F9C" w:rsidRDefault="002641D2" w:rsidP="00403B33">
            <w:pPr>
              <w:rPr>
                <w:rFonts w:ascii="Arial" w:hAnsi="Arial" w:cs="Arial"/>
                <w:sz w:val="24"/>
                <w:szCs w:val="24"/>
              </w:rPr>
            </w:pPr>
            <w:r w:rsidRPr="00FA3F9C">
              <w:rPr>
                <w:rFonts w:ascii="Arial" w:hAnsi="Arial" w:cs="Arial"/>
                <w:sz w:val="24"/>
                <w:szCs w:val="24"/>
              </w:rPr>
              <w:t>1.  acute decompensated heart failure, OR</w:t>
            </w:r>
          </w:p>
        </w:tc>
      </w:tr>
      <w:tr w:rsidR="002641D2" w:rsidRPr="00FA3F9C" w14:paraId="2DBE7D9E" w14:textId="77777777" w:rsidTr="00ED5294">
        <w:tc>
          <w:tcPr>
            <w:tcW w:w="11088" w:type="dxa"/>
          </w:tcPr>
          <w:p w14:paraId="5731D4D3" w14:textId="77777777" w:rsidR="002641D2" w:rsidRPr="00FA3F9C" w:rsidRDefault="002641D2" w:rsidP="00403B33">
            <w:pPr>
              <w:rPr>
                <w:rFonts w:ascii="Arial" w:hAnsi="Arial" w:cs="Arial"/>
                <w:sz w:val="24"/>
                <w:szCs w:val="24"/>
              </w:rPr>
            </w:pPr>
            <w:r w:rsidRPr="00FA3F9C">
              <w:rPr>
                <w:rFonts w:ascii="Arial" w:hAnsi="Arial" w:cs="Arial"/>
                <w:sz w:val="24"/>
                <w:szCs w:val="24"/>
              </w:rPr>
              <w:t>2.  blood pressure 90/50, OR</w:t>
            </w:r>
          </w:p>
        </w:tc>
      </w:tr>
      <w:tr w:rsidR="002641D2" w:rsidRPr="00FA3F9C" w14:paraId="306F862A" w14:textId="77777777" w:rsidTr="00ED5294">
        <w:tc>
          <w:tcPr>
            <w:tcW w:w="11088" w:type="dxa"/>
          </w:tcPr>
          <w:p w14:paraId="7FE5DD80" w14:textId="77777777" w:rsidR="002641D2" w:rsidRPr="00FA3F9C" w:rsidRDefault="002641D2" w:rsidP="00403B33">
            <w:pPr>
              <w:rPr>
                <w:rFonts w:ascii="Arial" w:hAnsi="Arial" w:cs="Arial"/>
                <w:sz w:val="24"/>
                <w:szCs w:val="24"/>
              </w:rPr>
            </w:pPr>
            <w:r w:rsidRPr="00FA3F9C">
              <w:rPr>
                <w:rFonts w:ascii="Arial" w:hAnsi="Arial" w:cs="Arial"/>
                <w:sz w:val="24"/>
                <w:szCs w:val="24"/>
              </w:rPr>
              <w:t xml:space="preserve">3.  sick sinus syndrome, </w:t>
            </w:r>
            <w:proofErr w:type="spellStart"/>
            <w:r w:rsidRPr="00FA3F9C">
              <w:rPr>
                <w:rFonts w:ascii="Arial" w:hAnsi="Arial" w:cs="Arial"/>
                <w:sz w:val="24"/>
                <w:szCs w:val="24"/>
              </w:rPr>
              <w:t>sino</w:t>
            </w:r>
            <w:proofErr w:type="spellEnd"/>
            <w:r w:rsidRPr="00FA3F9C">
              <w:rPr>
                <w:rFonts w:ascii="Arial" w:hAnsi="Arial" w:cs="Arial"/>
                <w:sz w:val="24"/>
                <w:szCs w:val="24"/>
              </w:rPr>
              <w:t>-atrial block, or 3</w:t>
            </w:r>
            <w:r w:rsidRPr="00FA3F9C">
              <w:rPr>
                <w:rFonts w:ascii="Arial" w:hAnsi="Arial" w:cs="Arial"/>
                <w:sz w:val="24"/>
                <w:szCs w:val="24"/>
                <w:vertAlign w:val="superscript"/>
              </w:rPr>
              <w:t>rd</w:t>
            </w:r>
            <w:r w:rsidRPr="00FA3F9C">
              <w:rPr>
                <w:rFonts w:ascii="Arial" w:hAnsi="Arial" w:cs="Arial"/>
                <w:sz w:val="24"/>
                <w:szCs w:val="24"/>
              </w:rPr>
              <w:t xml:space="preserve"> degree AV block, unless functional pacemaker is present, OR</w:t>
            </w:r>
          </w:p>
        </w:tc>
      </w:tr>
      <w:tr w:rsidR="002641D2" w:rsidRPr="00FA3F9C" w14:paraId="1F1B421A" w14:textId="77777777" w:rsidTr="00ED5294">
        <w:tc>
          <w:tcPr>
            <w:tcW w:w="11088" w:type="dxa"/>
          </w:tcPr>
          <w:p w14:paraId="417ACD1A" w14:textId="77777777" w:rsidR="002641D2" w:rsidRPr="00FA3F9C" w:rsidRDefault="002641D2" w:rsidP="00403B33">
            <w:pPr>
              <w:rPr>
                <w:rFonts w:ascii="Arial" w:hAnsi="Arial" w:cs="Arial"/>
                <w:sz w:val="24"/>
                <w:szCs w:val="24"/>
              </w:rPr>
            </w:pPr>
            <w:r w:rsidRPr="00FA3F9C">
              <w:rPr>
                <w:rFonts w:ascii="Arial" w:hAnsi="Arial" w:cs="Arial"/>
                <w:sz w:val="24"/>
                <w:szCs w:val="24"/>
              </w:rPr>
              <w:t>4.  severe hepatic impairment (Child-Pugh C), OR</w:t>
            </w:r>
          </w:p>
        </w:tc>
      </w:tr>
      <w:tr w:rsidR="002641D2" w:rsidRPr="00FA3F9C" w14:paraId="3440D2DE" w14:textId="77777777" w:rsidTr="00ED5294">
        <w:tc>
          <w:tcPr>
            <w:tcW w:w="11088" w:type="dxa"/>
          </w:tcPr>
          <w:p w14:paraId="73C3A93F" w14:textId="77777777" w:rsidR="002641D2" w:rsidRPr="00FA3F9C" w:rsidRDefault="002641D2" w:rsidP="00403B33">
            <w:pPr>
              <w:rPr>
                <w:rFonts w:ascii="Arial" w:hAnsi="Arial" w:cs="Arial"/>
                <w:sz w:val="24"/>
                <w:szCs w:val="24"/>
              </w:rPr>
            </w:pPr>
            <w:r w:rsidRPr="00FA3F9C">
              <w:rPr>
                <w:rFonts w:ascii="Arial" w:hAnsi="Arial" w:cs="Arial"/>
                <w:sz w:val="24"/>
                <w:szCs w:val="24"/>
              </w:rPr>
              <w:t>5.  pacemaker dependence (operative for 40% or more of the day, OR</w:t>
            </w:r>
          </w:p>
        </w:tc>
      </w:tr>
      <w:tr w:rsidR="002641D2" w:rsidRPr="00FA3F9C" w14:paraId="6320D6A2" w14:textId="77777777" w:rsidTr="00ED5294">
        <w:tc>
          <w:tcPr>
            <w:tcW w:w="11088" w:type="dxa"/>
          </w:tcPr>
          <w:p w14:paraId="35E66797" w14:textId="77777777" w:rsidR="002641D2" w:rsidRPr="00FA3F9C" w:rsidRDefault="002641D2" w:rsidP="00403B33">
            <w:pPr>
              <w:rPr>
                <w:rFonts w:ascii="Arial" w:hAnsi="Arial" w:cs="Arial"/>
                <w:sz w:val="24"/>
                <w:szCs w:val="24"/>
              </w:rPr>
            </w:pPr>
            <w:r w:rsidRPr="00FA3F9C">
              <w:rPr>
                <w:rFonts w:ascii="Arial" w:hAnsi="Arial" w:cs="Arial"/>
                <w:sz w:val="24"/>
                <w:szCs w:val="24"/>
              </w:rPr>
              <w:t>6.  use of strong CYP3A4 inhibitors, OR</w:t>
            </w:r>
          </w:p>
        </w:tc>
      </w:tr>
      <w:tr w:rsidR="002641D2" w:rsidRPr="00FA3F9C" w14:paraId="38C22B9C" w14:textId="77777777" w:rsidTr="00ED5294">
        <w:tc>
          <w:tcPr>
            <w:tcW w:w="11088" w:type="dxa"/>
          </w:tcPr>
          <w:p w14:paraId="7DD6E954" w14:textId="77777777" w:rsidR="002641D2" w:rsidRPr="00FA3F9C" w:rsidRDefault="002641D2" w:rsidP="00403B33">
            <w:pPr>
              <w:rPr>
                <w:rFonts w:ascii="Arial" w:hAnsi="Arial" w:cs="Arial"/>
                <w:sz w:val="24"/>
                <w:szCs w:val="24"/>
              </w:rPr>
            </w:pPr>
            <w:r w:rsidRPr="00FA3F9C">
              <w:rPr>
                <w:rFonts w:ascii="Arial" w:hAnsi="Arial" w:cs="Arial"/>
                <w:sz w:val="24"/>
                <w:szCs w:val="24"/>
              </w:rPr>
              <w:t>7.  atrial fibrillation</w:t>
            </w:r>
          </w:p>
        </w:tc>
      </w:tr>
      <w:tr w:rsidR="002641D2" w:rsidRPr="00FA3F9C" w14:paraId="559159D9" w14:textId="77777777" w:rsidTr="00ED5294">
        <w:tblPrEx>
          <w:shd w:val="clear" w:color="auto" w:fill="BFBFBF" w:themeFill="background1" w:themeFillShade="BF"/>
        </w:tblPrEx>
        <w:tc>
          <w:tcPr>
            <w:tcW w:w="11088" w:type="dxa"/>
            <w:shd w:val="clear" w:color="auto" w:fill="BFBFBF" w:themeFill="background1" w:themeFillShade="BF"/>
          </w:tcPr>
          <w:p w14:paraId="0C0FCF53" w14:textId="77777777" w:rsidR="002641D2" w:rsidRPr="00FA3F9C" w:rsidRDefault="002641D2" w:rsidP="006F623F">
            <w:pPr>
              <w:rPr>
                <w:rFonts w:ascii="Arial" w:hAnsi="Arial" w:cs="Arial"/>
                <w:sz w:val="24"/>
                <w:szCs w:val="24"/>
              </w:rPr>
            </w:pPr>
            <w:r w:rsidRPr="00FA3F9C">
              <w:rPr>
                <w:rFonts w:ascii="Arial" w:hAnsi="Arial" w:cs="Arial"/>
                <w:sz w:val="24"/>
                <w:szCs w:val="24"/>
              </w:rPr>
              <w:t xml:space="preserve">Dose is 5mg BID or 2.5mg BID (in pts w/ a </w:t>
            </w:r>
            <w:proofErr w:type="spellStart"/>
            <w:r w:rsidRPr="00FA3F9C">
              <w:rPr>
                <w:rFonts w:ascii="Arial" w:hAnsi="Arial" w:cs="Arial"/>
                <w:sz w:val="24"/>
                <w:szCs w:val="24"/>
              </w:rPr>
              <w:t>hx</w:t>
            </w:r>
            <w:proofErr w:type="spellEnd"/>
            <w:r w:rsidRPr="00FA3F9C">
              <w:rPr>
                <w:rFonts w:ascii="Arial" w:hAnsi="Arial" w:cs="Arial"/>
                <w:sz w:val="24"/>
                <w:szCs w:val="24"/>
              </w:rPr>
              <w:t xml:space="preserve"> of conduction defects or with hemodynamic compromise due to bradycardia.  Max dose is 7.5mg BID.</w:t>
            </w:r>
          </w:p>
        </w:tc>
      </w:tr>
    </w:tbl>
    <w:p w14:paraId="4430CA99" w14:textId="77777777" w:rsidR="002641D2" w:rsidRPr="00FA3F9C" w:rsidRDefault="002641D2" w:rsidP="006F623F">
      <w:pPr>
        <w:spacing w:after="0"/>
        <w:rPr>
          <w:rFonts w:ascii="Arial" w:hAnsi="Arial" w:cs="Arial"/>
          <w:sz w:val="24"/>
          <w:szCs w:val="24"/>
        </w:rPr>
      </w:pPr>
    </w:p>
    <w:tbl>
      <w:tblPr>
        <w:tblStyle w:val="TableGrid"/>
        <w:tblW w:w="0" w:type="auto"/>
        <w:tblLook w:val="04A0" w:firstRow="1" w:lastRow="0" w:firstColumn="1" w:lastColumn="0" w:noHBand="0" w:noVBand="1"/>
      </w:tblPr>
      <w:tblGrid>
        <w:gridCol w:w="10998"/>
      </w:tblGrid>
      <w:tr w:rsidR="002641D2" w:rsidRPr="00FA3F9C" w14:paraId="0E362D78" w14:textId="77777777" w:rsidTr="00414924">
        <w:tc>
          <w:tcPr>
            <w:tcW w:w="10998" w:type="dxa"/>
            <w:shd w:val="clear" w:color="auto" w:fill="000000"/>
          </w:tcPr>
          <w:p w14:paraId="1ED93796" w14:textId="77777777" w:rsidR="002641D2" w:rsidRPr="00FA3F9C" w:rsidRDefault="002641D2" w:rsidP="00414924">
            <w:pPr>
              <w:rPr>
                <w:rFonts w:ascii="Arial" w:hAnsi="Arial" w:cs="Arial"/>
                <w:sz w:val="24"/>
                <w:szCs w:val="24"/>
              </w:rPr>
            </w:pPr>
            <w:r w:rsidRPr="00FA3F9C">
              <w:rPr>
                <w:rFonts w:ascii="Arial" w:hAnsi="Arial" w:cs="Arial"/>
                <w:sz w:val="24"/>
                <w:szCs w:val="24"/>
              </w:rPr>
              <w:t>OFF LABEL USE:  POSTURAL ORTHOSTATIC TACHYCARDIA SYNDROME (POTS)</w:t>
            </w:r>
          </w:p>
        </w:tc>
      </w:tr>
      <w:tr w:rsidR="002641D2" w:rsidRPr="00FA3F9C" w14:paraId="3C22A108" w14:textId="77777777" w:rsidTr="00414924">
        <w:tc>
          <w:tcPr>
            <w:tcW w:w="10998" w:type="dxa"/>
          </w:tcPr>
          <w:p w14:paraId="4F7AFC01" w14:textId="77777777" w:rsidR="002641D2" w:rsidRPr="00FA3F9C" w:rsidRDefault="002641D2" w:rsidP="006F623F">
            <w:pPr>
              <w:rPr>
                <w:rFonts w:ascii="Arial" w:hAnsi="Arial" w:cs="Arial"/>
                <w:sz w:val="24"/>
                <w:szCs w:val="24"/>
              </w:rPr>
            </w:pPr>
            <w:r w:rsidRPr="00FA3F9C">
              <w:rPr>
                <w:rFonts w:ascii="Arial" w:hAnsi="Arial" w:cs="Arial"/>
                <w:sz w:val="24"/>
                <w:szCs w:val="24"/>
              </w:rPr>
              <w:lastRenderedPageBreak/>
              <w:t xml:space="preserve">1.  Diagnosis of POTS including documentation of either heart rate increase of </w:t>
            </w:r>
            <w:r w:rsidRPr="00FA3F9C">
              <w:rPr>
                <w:rFonts w:ascii="Arial" w:hAnsi="Arial" w:cs="Arial"/>
                <w:sz w:val="24"/>
                <w:szCs w:val="24"/>
                <w:u w:val="single"/>
              </w:rPr>
              <w:t>&gt;</w:t>
            </w:r>
            <w:r w:rsidRPr="00FA3F9C">
              <w:rPr>
                <w:rFonts w:ascii="Arial" w:hAnsi="Arial" w:cs="Arial"/>
                <w:sz w:val="24"/>
                <w:szCs w:val="24"/>
              </w:rPr>
              <w:t xml:space="preserve">30 beats per minute or sustained HR </w:t>
            </w:r>
            <w:r w:rsidRPr="00FA3F9C">
              <w:rPr>
                <w:rFonts w:ascii="Arial" w:hAnsi="Arial" w:cs="Arial"/>
                <w:sz w:val="24"/>
                <w:szCs w:val="24"/>
                <w:u w:val="single"/>
              </w:rPr>
              <w:t>&gt;</w:t>
            </w:r>
            <w:r w:rsidRPr="00FA3F9C">
              <w:rPr>
                <w:rFonts w:ascii="Arial" w:hAnsi="Arial" w:cs="Arial"/>
                <w:sz w:val="24"/>
                <w:szCs w:val="24"/>
              </w:rPr>
              <w:t>120 bpm within 10 minutes of sustained orthostasis. (</w:t>
            </w:r>
            <w:proofErr w:type="gramStart"/>
            <w:r w:rsidRPr="00FA3F9C">
              <w:rPr>
                <w:rFonts w:ascii="Arial" w:hAnsi="Arial" w:cs="Arial"/>
                <w:sz w:val="24"/>
                <w:szCs w:val="24"/>
              </w:rPr>
              <w:t>other</w:t>
            </w:r>
            <w:proofErr w:type="gramEnd"/>
            <w:r w:rsidRPr="00FA3F9C">
              <w:rPr>
                <w:rFonts w:ascii="Arial" w:hAnsi="Arial" w:cs="Arial"/>
                <w:sz w:val="24"/>
                <w:szCs w:val="24"/>
              </w:rPr>
              <w:t xml:space="preserve"> symptoms include palpitations, presyncope, syncope, or profound fatigue)</w:t>
            </w:r>
          </w:p>
        </w:tc>
      </w:tr>
      <w:tr w:rsidR="002641D2" w:rsidRPr="00FA3F9C" w14:paraId="6DBA034E" w14:textId="77777777" w:rsidTr="00414924">
        <w:tc>
          <w:tcPr>
            <w:tcW w:w="10998" w:type="dxa"/>
            <w:tcBorders>
              <w:bottom w:val="single" w:sz="4" w:space="0" w:color="auto"/>
            </w:tcBorders>
          </w:tcPr>
          <w:p w14:paraId="1788949D" w14:textId="77777777" w:rsidR="002641D2" w:rsidRPr="00FA3F9C" w:rsidRDefault="002641D2" w:rsidP="00414924">
            <w:pPr>
              <w:rPr>
                <w:rFonts w:ascii="Arial" w:hAnsi="Arial" w:cs="Arial"/>
                <w:sz w:val="24"/>
                <w:szCs w:val="24"/>
              </w:rPr>
            </w:pPr>
            <w:r w:rsidRPr="00FA3F9C">
              <w:rPr>
                <w:rFonts w:ascii="Arial" w:hAnsi="Arial" w:cs="Arial"/>
                <w:sz w:val="24"/>
                <w:szCs w:val="24"/>
              </w:rPr>
              <w:t>2.  Must NOT have acute decompensated heart failure, BP &lt;90/50mmHg, have the diagnosis of sick sinus syndrome or sinoatrial block or 3</w:t>
            </w:r>
            <w:r w:rsidRPr="00FA3F9C">
              <w:rPr>
                <w:rFonts w:ascii="Arial" w:hAnsi="Arial" w:cs="Arial"/>
                <w:sz w:val="24"/>
                <w:szCs w:val="24"/>
                <w:vertAlign w:val="superscript"/>
              </w:rPr>
              <w:t>rd</w:t>
            </w:r>
            <w:r w:rsidRPr="00FA3F9C">
              <w:rPr>
                <w:rFonts w:ascii="Arial" w:hAnsi="Arial" w:cs="Arial"/>
                <w:sz w:val="24"/>
                <w:szCs w:val="24"/>
              </w:rPr>
              <w:t xml:space="preserve"> degree AV block unless a functioning pacemaker is present, have a resting HR of &lt;60 bpm prior to therapy, have severe hepatic impairment, be pacemaker dependent, or plan to use ivabradine with potent CYP 3A4 inhibitors.</w:t>
            </w:r>
          </w:p>
        </w:tc>
      </w:tr>
      <w:tr w:rsidR="002641D2" w:rsidRPr="00FA3F9C" w14:paraId="521B91E1" w14:textId="77777777" w:rsidTr="00414924">
        <w:tc>
          <w:tcPr>
            <w:tcW w:w="10998" w:type="dxa"/>
            <w:shd w:val="clear" w:color="auto" w:fill="CCCCCC"/>
          </w:tcPr>
          <w:p w14:paraId="141DB0FD" w14:textId="77777777" w:rsidR="002641D2" w:rsidRPr="00FA3F9C" w:rsidRDefault="002641D2" w:rsidP="00414924">
            <w:pPr>
              <w:rPr>
                <w:rFonts w:ascii="Arial" w:hAnsi="Arial" w:cs="Arial"/>
                <w:sz w:val="24"/>
                <w:szCs w:val="24"/>
              </w:rPr>
            </w:pPr>
            <w:r w:rsidRPr="00FA3F9C">
              <w:rPr>
                <w:rFonts w:ascii="Arial" w:hAnsi="Arial" w:cs="Arial"/>
                <w:sz w:val="24"/>
                <w:szCs w:val="24"/>
              </w:rPr>
              <w:t xml:space="preserve">Dose is 5mg BID or 2.5mg BID (in pts w/ a </w:t>
            </w:r>
            <w:proofErr w:type="spellStart"/>
            <w:r w:rsidRPr="00FA3F9C">
              <w:rPr>
                <w:rFonts w:ascii="Arial" w:hAnsi="Arial" w:cs="Arial"/>
                <w:sz w:val="24"/>
                <w:szCs w:val="24"/>
              </w:rPr>
              <w:t>hx</w:t>
            </w:r>
            <w:proofErr w:type="spellEnd"/>
            <w:r w:rsidRPr="00FA3F9C">
              <w:rPr>
                <w:rFonts w:ascii="Arial" w:hAnsi="Arial" w:cs="Arial"/>
                <w:sz w:val="24"/>
                <w:szCs w:val="24"/>
              </w:rPr>
              <w:t xml:space="preserve"> of conduction defects or with hemodynamic compromise due to bradycardia.  Max dose is 7.5mg BID.</w:t>
            </w:r>
          </w:p>
        </w:tc>
      </w:tr>
    </w:tbl>
    <w:p w14:paraId="06B858E2" w14:textId="77777777" w:rsidR="002641D2" w:rsidRPr="00FA3F9C" w:rsidRDefault="002641D2" w:rsidP="006F623F">
      <w:pPr>
        <w:spacing w:after="0"/>
        <w:rPr>
          <w:rFonts w:ascii="Arial" w:hAnsi="Arial" w:cs="Arial"/>
          <w:sz w:val="24"/>
          <w:szCs w:val="24"/>
        </w:rPr>
      </w:pPr>
    </w:p>
    <w:tbl>
      <w:tblPr>
        <w:tblStyle w:val="TableGrid"/>
        <w:tblW w:w="0" w:type="auto"/>
        <w:tblLook w:val="04A0" w:firstRow="1" w:lastRow="0" w:firstColumn="1" w:lastColumn="0" w:noHBand="0" w:noVBand="1"/>
      </w:tblPr>
      <w:tblGrid>
        <w:gridCol w:w="10998"/>
      </w:tblGrid>
      <w:tr w:rsidR="002641D2" w:rsidRPr="00FA3F9C" w14:paraId="69A822B3" w14:textId="77777777" w:rsidTr="00414924">
        <w:tc>
          <w:tcPr>
            <w:tcW w:w="10998" w:type="dxa"/>
            <w:shd w:val="clear" w:color="auto" w:fill="000000"/>
          </w:tcPr>
          <w:p w14:paraId="6936780B" w14:textId="77777777" w:rsidR="002641D2" w:rsidRPr="00FA3F9C" w:rsidRDefault="002641D2" w:rsidP="00414924">
            <w:pPr>
              <w:rPr>
                <w:rFonts w:ascii="Arial" w:hAnsi="Arial" w:cs="Arial"/>
                <w:sz w:val="24"/>
                <w:szCs w:val="24"/>
              </w:rPr>
            </w:pPr>
            <w:r w:rsidRPr="00FA3F9C">
              <w:rPr>
                <w:rFonts w:ascii="Arial" w:hAnsi="Arial" w:cs="Arial"/>
                <w:sz w:val="24"/>
                <w:szCs w:val="24"/>
              </w:rPr>
              <w:t>OFF LABEL USE:  INAPPROPRIATE SINUS TACHYCARDIA (IST)</w:t>
            </w:r>
          </w:p>
        </w:tc>
      </w:tr>
      <w:tr w:rsidR="002641D2" w:rsidRPr="00FA3F9C" w14:paraId="50F43C0B" w14:textId="77777777" w:rsidTr="00414924">
        <w:tc>
          <w:tcPr>
            <w:tcW w:w="10998" w:type="dxa"/>
          </w:tcPr>
          <w:p w14:paraId="72480BA9" w14:textId="77777777" w:rsidR="002641D2" w:rsidRPr="00FA3F9C" w:rsidRDefault="002641D2" w:rsidP="00414924">
            <w:pPr>
              <w:rPr>
                <w:rFonts w:ascii="Arial" w:hAnsi="Arial" w:cs="Arial"/>
                <w:sz w:val="24"/>
                <w:szCs w:val="24"/>
              </w:rPr>
            </w:pPr>
            <w:r w:rsidRPr="00FA3F9C">
              <w:rPr>
                <w:rFonts w:ascii="Arial" w:hAnsi="Arial" w:cs="Arial"/>
                <w:sz w:val="24"/>
                <w:szCs w:val="24"/>
              </w:rPr>
              <w:t xml:space="preserve">1.  Diagnosis of IST including documentation of sustained heart rate of &gt;100 bpm with all other causes excluded.  </w:t>
            </w:r>
          </w:p>
        </w:tc>
      </w:tr>
      <w:tr w:rsidR="002641D2" w:rsidRPr="00FA3F9C" w14:paraId="3B069AA8" w14:textId="77777777" w:rsidTr="00414924">
        <w:tc>
          <w:tcPr>
            <w:tcW w:w="10998" w:type="dxa"/>
          </w:tcPr>
          <w:p w14:paraId="44B05055" w14:textId="77777777" w:rsidR="002641D2" w:rsidRPr="00FA3F9C" w:rsidRDefault="002641D2" w:rsidP="00414924">
            <w:pPr>
              <w:rPr>
                <w:rFonts w:ascii="Arial" w:hAnsi="Arial" w:cs="Arial"/>
                <w:sz w:val="24"/>
                <w:szCs w:val="24"/>
              </w:rPr>
            </w:pPr>
            <w:r w:rsidRPr="00FA3F9C">
              <w:rPr>
                <w:rFonts w:ascii="Arial" w:hAnsi="Arial" w:cs="Arial"/>
                <w:sz w:val="24"/>
                <w:szCs w:val="24"/>
              </w:rPr>
              <w:t>2.  Patient must have failed maximally tolerated doses of verapamil.</w:t>
            </w:r>
          </w:p>
        </w:tc>
      </w:tr>
      <w:tr w:rsidR="002641D2" w:rsidRPr="00FA3F9C" w14:paraId="3822B2F2" w14:textId="77777777" w:rsidTr="00414924">
        <w:tc>
          <w:tcPr>
            <w:tcW w:w="10998" w:type="dxa"/>
            <w:tcBorders>
              <w:bottom w:val="single" w:sz="4" w:space="0" w:color="auto"/>
            </w:tcBorders>
          </w:tcPr>
          <w:p w14:paraId="0767E757" w14:textId="77777777" w:rsidR="002641D2" w:rsidRPr="00FA3F9C" w:rsidRDefault="002641D2" w:rsidP="00414924">
            <w:pPr>
              <w:rPr>
                <w:rFonts w:ascii="Arial" w:hAnsi="Arial" w:cs="Arial"/>
                <w:sz w:val="24"/>
                <w:szCs w:val="24"/>
              </w:rPr>
            </w:pPr>
            <w:r w:rsidRPr="00FA3F9C">
              <w:rPr>
                <w:rFonts w:ascii="Arial" w:hAnsi="Arial" w:cs="Arial"/>
                <w:sz w:val="24"/>
                <w:szCs w:val="24"/>
              </w:rPr>
              <w:t>3.  Patient must have failed maximally tolerated doses of metoprolol succinate (200mg XL daily)</w:t>
            </w:r>
          </w:p>
        </w:tc>
      </w:tr>
      <w:tr w:rsidR="002641D2" w:rsidRPr="00FA3F9C" w14:paraId="45AF0082" w14:textId="77777777" w:rsidTr="00414924">
        <w:tc>
          <w:tcPr>
            <w:tcW w:w="10998" w:type="dxa"/>
            <w:shd w:val="clear" w:color="auto" w:fill="C0C0C0"/>
          </w:tcPr>
          <w:p w14:paraId="2637CC8D" w14:textId="77777777" w:rsidR="002641D2" w:rsidRPr="00FA3F9C" w:rsidRDefault="002641D2" w:rsidP="00414924">
            <w:pPr>
              <w:rPr>
                <w:rFonts w:ascii="Arial" w:hAnsi="Arial" w:cs="Arial"/>
                <w:sz w:val="24"/>
                <w:szCs w:val="24"/>
              </w:rPr>
            </w:pPr>
            <w:r w:rsidRPr="00FA3F9C">
              <w:rPr>
                <w:rFonts w:ascii="Arial" w:hAnsi="Arial" w:cs="Arial"/>
                <w:sz w:val="24"/>
                <w:szCs w:val="24"/>
              </w:rPr>
              <w:t xml:space="preserve">Dose is 5mg BID or 2.5mg BID (in pts w/ a </w:t>
            </w:r>
            <w:proofErr w:type="spellStart"/>
            <w:r w:rsidRPr="00FA3F9C">
              <w:rPr>
                <w:rFonts w:ascii="Arial" w:hAnsi="Arial" w:cs="Arial"/>
                <w:sz w:val="24"/>
                <w:szCs w:val="24"/>
              </w:rPr>
              <w:t>hx</w:t>
            </w:r>
            <w:proofErr w:type="spellEnd"/>
            <w:r w:rsidRPr="00FA3F9C">
              <w:rPr>
                <w:rFonts w:ascii="Arial" w:hAnsi="Arial" w:cs="Arial"/>
                <w:sz w:val="24"/>
                <w:szCs w:val="24"/>
              </w:rPr>
              <w:t xml:space="preserve"> of conduction defects or with hemodynamic compromise due to bradycardia.  Max dose is 7.5mg BID.</w:t>
            </w:r>
          </w:p>
        </w:tc>
      </w:tr>
    </w:tbl>
    <w:p w14:paraId="65B35969" w14:textId="77777777" w:rsidR="002641D2" w:rsidRPr="00FA3F9C" w:rsidRDefault="002641D2" w:rsidP="006F623F">
      <w:pPr>
        <w:spacing w:after="0"/>
        <w:rPr>
          <w:rFonts w:ascii="Arial" w:hAnsi="Arial" w:cs="Arial"/>
          <w:sz w:val="24"/>
          <w:szCs w:val="24"/>
        </w:rPr>
      </w:pPr>
    </w:p>
    <w:p w14:paraId="2C79F759" w14:textId="77777777" w:rsidR="002641D2" w:rsidRPr="00FA3F9C" w:rsidRDefault="002641D2" w:rsidP="006F623F">
      <w:pPr>
        <w:spacing w:after="0"/>
        <w:rPr>
          <w:rFonts w:ascii="Arial" w:hAnsi="Arial" w:cs="Arial"/>
          <w:sz w:val="24"/>
          <w:szCs w:val="24"/>
        </w:rPr>
      </w:pPr>
      <w:r w:rsidRPr="00FA3F9C">
        <w:rPr>
          <w:rFonts w:ascii="Arial" w:hAnsi="Arial" w:cs="Arial"/>
          <w:sz w:val="24"/>
          <w:szCs w:val="24"/>
        </w:rPr>
        <w:t xml:space="preserve">Quantity Limits: 60/30 </w:t>
      </w:r>
    </w:p>
    <w:p w14:paraId="5E12E1E1" w14:textId="77777777" w:rsidR="002641D2" w:rsidRPr="00FA3F9C" w:rsidRDefault="002641D2" w:rsidP="006F623F">
      <w:pPr>
        <w:pStyle w:val="Default"/>
        <w:rPr>
          <w:rFonts w:ascii="Arial" w:hAnsi="Arial" w:cs="Arial"/>
        </w:rPr>
      </w:pPr>
    </w:p>
    <w:p w14:paraId="157058B2" w14:textId="77777777" w:rsidR="002641D2" w:rsidRPr="00FA3F9C" w:rsidRDefault="002641D2" w:rsidP="006F623F">
      <w:pPr>
        <w:pStyle w:val="Default"/>
        <w:rPr>
          <w:rFonts w:ascii="Arial" w:hAnsi="Arial" w:cs="Arial"/>
        </w:rPr>
      </w:pPr>
      <w:r w:rsidRPr="00FA3F9C">
        <w:rPr>
          <w:rFonts w:ascii="Arial" w:hAnsi="Arial" w:cs="Arial"/>
        </w:rPr>
        <w:t>References:</w:t>
      </w:r>
    </w:p>
    <w:p w14:paraId="120763FB" w14:textId="77777777" w:rsidR="002641D2" w:rsidRPr="00FA3F9C" w:rsidRDefault="002641D2" w:rsidP="00E559F2">
      <w:pPr>
        <w:spacing w:after="0" w:line="240" w:lineRule="auto"/>
        <w:rPr>
          <w:rFonts w:ascii="Arial" w:hAnsi="Arial" w:cs="Arial"/>
          <w:sz w:val="24"/>
          <w:szCs w:val="24"/>
        </w:rPr>
      </w:pPr>
      <w:r w:rsidRPr="00FA3F9C">
        <w:rPr>
          <w:rFonts w:ascii="Arial" w:hAnsi="Arial" w:cs="Arial"/>
          <w:sz w:val="24"/>
          <w:szCs w:val="24"/>
          <w:lang w:val="fr-FR"/>
        </w:rPr>
        <w:t xml:space="preserve">1.  </w:t>
      </w:r>
      <w:proofErr w:type="spellStart"/>
      <w:r w:rsidRPr="00FA3F9C">
        <w:rPr>
          <w:rFonts w:ascii="Arial" w:hAnsi="Arial" w:cs="Arial"/>
          <w:sz w:val="24"/>
          <w:szCs w:val="24"/>
          <w:lang w:val="fr-FR"/>
        </w:rPr>
        <w:t>Swedberg</w:t>
      </w:r>
      <w:proofErr w:type="spellEnd"/>
      <w:r w:rsidRPr="00FA3F9C">
        <w:rPr>
          <w:rFonts w:ascii="Arial" w:hAnsi="Arial" w:cs="Arial"/>
          <w:sz w:val="24"/>
          <w:szCs w:val="24"/>
          <w:lang w:val="fr-FR"/>
        </w:rPr>
        <w:t xml:space="preserve"> K, </w:t>
      </w:r>
      <w:proofErr w:type="spellStart"/>
      <w:r w:rsidRPr="00FA3F9C">
        <w:rPr>
          <w:rFonts w:ascii="Arial" w:hAnsi="Arial" w:cs="Arial"/>
          <w:sz w:val="24"/>
          <w:szCs w:val="24"/>
          <w:lang w:val="fr-FR"/>
        </w:rPr>
        <w:t>Komajda</w:t>
      </w:r>
      <w:proofErr w:type="spellEnd"/>
      <w:r w:rsidRPr="00FA3F9C">
        <w:rPr>
          <w:rFonts w:ascii="Arial" w:hAnsi="Arial" w:cs="Arial"/>
          <w:sz w:val="24"/>
          <w:szCs w:val="24"/>
          <w:lang w:val="fr-FR"/>
        </w:rPr>
        <w:t xml:space="preserve"> M, et al.  </w:t>
      </w:r>
      <w:r w:rsidRPr="00FA3F9C">
        <w:rPr>
          <w:rFonts w:ascii="Arial" w:hAnsi="Arial" w:cs="Arial"/>
          <w:sz w:val="24"/>
          <w:szCs w:val="24"/>
        </w:rPr>
        <w:t xml:space="preserve">Ivabradine and outcomes in chronic heart failure (SHIFT): a </w:t>
      </w:r>
      <w:proofErr w:type="spellStart"/>
      <w:r w:rsidRPr="00FA3F9C">
        <w:rPr>
          <w:rFonts w:ascii="Arial" w:hAnsi="Arial" w:cs="Arial"/>
          <w:sz w:val="24"/>
          <w:szCs w:val="24"/>
        </w:rPr>
        <w:t>randomised</w:t>
      </w:r>
      <w:proofErr w:type="spellEnd"/>
      <w:r w:rsidRPr="00FA3F9C">
        <w:rPr>
          <w:rFonts w:ascii="Arial" w:hAnsi="Arial" w:cs="Arial"/>
          <w:sz w:val="24"/>
          <w:szCs w:val="24"/>
        </w:rPr>
        <w:t xml:space="preserve"> placebo-controlled study.  </w:t>
      </w:r>
      <w:r w:rsidRPr="00FA3F9C">
        <w:rPr>
          <w:rFonts w:ascii="Arial" w:hAnsi="Arial" w:cs="Arial"/>
          <w:i/>
          <w:sz w:val="24"/>
          <w:szCs w:val="24"/>
        </w:rPr>
        <w:t>Lancet</w:t>
      </w:r>
      <w:r w:rsidRPr="00FA3F9C">
        <w:rPr>
          <w:rFonts w:ascii="Arial" w:hAnsi="Arial" w:cs="Arial"/>
          <w:sz w:val="24"/>
          <w:szCs w:val="24"/>
        </w:rPr>
        <w:t xml:space="preserve"> 2010; 376: 875–85</w:t>
      </w:r>
    </w:p>
    <w:p w14:paraId="40935A51" w14:textId="77777777" w:rsidR="002641D2" w:rsidRPr="00FA3F9C" w:rsidRDefault="002641D2" w:rsidP="00E559F2">
      <w:pPr>
        <w:spacing w:after="0" w:line="240" w:lineRule="auto"/>
        <w:rPr>
          <w:rFonts w:ascii="Arial" w:hAnsi="Arial" w:cs="Arial"/>
          <w:sz w:val="24"/>
          <w:szCs w:val="24"/>
        </w:rPr>
      </w:pPr>
      <w:r w:rsidRPr="00FA3F9C">
        <w:rPr>
          <w:rFonts w:ascii="Arial" w:hAnsi="Arial" w:cs="Arial"/>
          <w:sz w:val="24"/>
          <w:szCs w:val="24"/>
        </w:rPr>
        <w:t xml:space="preserve">2.  Bohm M, Borer J, et al.  Heart rate at baseline influences the effect of ivabradine on cardiovascular outcomes in chronic heart failure: analysis from the SHIFT study.  </w:t>
      </w:r>
      <w:r w:rsidRPr="00FA3F9C">
        <w:rPr>
          <w:rFonts w:ascii="Arial" w:hAnsi="Arial" w:cs="Arial"/>
          <w:i/>
          <w:sz w:val="24"/>
          <w:szCs w:val="24"/>
        </w:rPr>
        <w:t xml:space="preserve">Clin Res </w:t>
      </w:r>
      <w:proofErr w:type="spellStart"/>
      <w:r w:rsidRPr="00FA3F9C">
        <w:rPr>
          <w:rFonts w:ascii="Arial" w:hAnsi="Arial" w:cs="Arial"/>
          <w:i/>
          <w:sz w:val="24"/>
          <w:szCs w:val="24"/>
        </w:rPr>
        <w:t>Cardiol</w:t>
      </w:r>
      <w:proofErr w:type="spellEnd"/>
      <w:r w:rsidRPr="00FA3F9C">
        <w:rPr>
          <w:rFonts w:ascii="Arial" w:hAnsi="Arial" w:cs="Arial"/>
          <w:i/>
          <w:sz w:val="24"/>
          <w:szCs w:val="24"/>
        </w:rPr>
        <w:t xml:space="preserve"> </w:t>
      </w:r>
      <w:r w:rsidRPr="00FA3F9C">
        <w:rPr>
          <w:rFonts w:ascii="Arial" w:hAnsi="Arial" w:cs="Arial"/>
          <w:sz w:val="24"/>
          <w:szCs w:val="24"/>
        </w:rPr>
        <w:t>(2013) 102:11–22.</w:t>
      </w:r>
    </w:p>
    <w:p w14:paraId="6FFCAFDD" w14:textId="77777777" w:rsidR="002641D2" w:rsidRPr="00FA3F9C" w:rsidRDefault="002641D2" w:rsidP="00E559F2">
      <w:pPr>
        <w:spacing w:after="0" w:line="240" w:lineRule="auto"/>
        <w:rPr>
          <w:rFonts w:ascii="Arial" w:hAnsi="Arial" w:cs="Arial"/>
          <w:sz w:val="24"/>
          <w:szCs w:val="24"/>
        </w:rPr>
      </w:pPr>
      <w:r w:rsidRPr="00FA3F9C">
        <w:rPr>
          <w:rFonts w:ascii="Arial" w:hAnsi="Arial" w:cs="Arial"/>
          <w:sz w:val="24"/>
          <w:szCs w:val="24"/>
        </w:rPr>
        <w:t xml:space="preserve">3.  Fox K, Ford I, et al.  Ivabradine for patients with stable coronary artery disease and left-ventricular systolic dysfunction (BEAUTIFUL): a </w:t>
      </w:r>
      <w:proofErr w:type="spellStart"/>
      <w:r w:rsidRPr="00FA3F9C">
        <w:rPr>
          <w:rFonts w:ascii="Arial" w:hAnsi="Arial" w:cs="Arial"/>
          <w:sz w:val="24"/>
          <w:szCs w:val="24"/>
        </w:rPr>
        <w:t>randomised</w:t>
      </w:r>
      <w:proofErr w:type="spellEnd"/>
      <w:r w:rsidRPr="00FA3F9C">
        <w:rPr>
          <w:rFonts w:ascii="Arial" w:hAnsi="Arial" w:cs="Arial"/>
          <w:sz w:val="24"/>
          <w:szCs w:val="24"/>
        </w:rPr>
        <w:t xml:space="preserve">, double-blind, placebo-controlled trial.  </w:t>
      </w:r>
      <w:r w:rsidRPr="00FA3F9C">
        <w:rPr>
          <w:rFonts w:ascii="Arial" w:hAnsi="Arial" w:cs="Arial"/>
          <w:i/>
          <w:sz w:val="24"/>
          <w:szCs w:val="24"/>
        </w:rPr>
        <w:t>Lancet</w:t>
      </w:r>
      <w:r w:rsidRPr="00FA3F9C">
        <w:rPr>
          <w:rFonts w:ascii="Arial" w:hAnsi="Arial" w:cs="Arial"/>
          <w:sz w:val="24"/>
          <w:szCs w:val="24"/>
        </w:rPr>
        <w:t xml:space="preserve"> 2008; 372: 807–16</w:t>
      </w:r>
    </w:p>
    <w:p w14:paraId="4BF39457" w14:textId="77777777" w:rsidR="002641D2" w:rsidRPr="00FA3F9C" w:rsidRDefault="002641D2" w:rsidP="00414924">
      <w:pPr>
        <w:spacing w:after="0" w:line="240" w:lineRule="auto"/>
        <w:rPr>
          <w:rFonts w:ascii="Arial" w:hAnsi="Arial" w:cs="Arial"/>
          <w:sz w:val="24"/>
          <w:szCs w:val="24"/>
        </w:rPr>
      </w:pPr>
      <w:r w:rsidRPr="00FA3F9C">
        <w:rPr>
          <w:rFonts w:ascii="Arial" w:hAnsi="Arial" w:cs="Arial"/>
          <w:sz w:val="24"/>
          <w:szCs w:val="24"/>
        </w:rPr>
        <w:t xml:space="preserve">4.  Fox K, Ford I, et al.  Ivabradine in Stable Coronary Artery Disease without Clinical Heart Failure.  N </w:t>
      </w:r>
      <w:proofErr w:type="spellStart"/>
      <w:r w:rsidRPr="00FA3F9C">
        <w:rPr>
          <w:rFonts w:ascii="Arial" w:hAnsi="Arial" w:cs="Arial"/>
          <w:sz w:val="24"/>
          <w:szCs w:val="24"/>
        </w:rPr>
        <w:t>Engl</w:t>
      </w:r>
      <w:proofErr w:type="spellEnd"/>
      <w:r w:rsidRPr="00FA3F9C">
        <w:rPr>
          <w:rFonts w:ascii="Arial" w:hAnsi="Arial" w:cs="Arial"/>
          <w:sz w:val="24"/>
          <w:szCs w:val="24"/>
        </w:rPr>
        <w:t xml:space="preserve"> J Med 2014; 371: 1091-9.</w:t>
      </w:r>
    </w:p>
    <w:p w14:paraId="5A8EAC8A" w14:textId="77777777" w:rsidR="002641D2" w:rsidRPr="00FA3F9C" w:rsidRDefault="002641D2" w:rsidP="00414924">
      <w:pPr>
        <w:spacing w:after="0" w:line="240" w:lineRule="auto"/>
        <w:rPr>
          <w:rFonts w:ascii="Arial" w:hAnsi="Arial" w:cs="Arial"/>
          <w:sz w:val="24"/>
          <w:szCs w:val="24"/>
        </w:rPr>
      </w:pPr>
      <w:r w:rsidRPr="00FA3F9C">
        <w:rPr>
          <w:rFonts w:ascii="Arial" w:hAnsi="Arial" w:cs="Arial"/>
          <w:sz w:val="24"/>
          <w:szCs w:val="24"/>
        </w:rPr>
        <w:t xml:space="preserve">5.  </w:t>
      </w:r>
      <w:proofErr w:type="spellStart"/>
      <w:r w:rsidRPr="00FA3F9C">
        <w:rPr>
          <w:rFonts w:ascii="Arial" w:hAnsi="Arial" w:cs="Arial"/>
          <w:sz w:val="24"/>
          <w:szCs w:val="24"/>
        </w:rPr>
        <w:t>Cappato</w:t>
      </w:r>
      <w:proofErr w:type="spellEnd"/>
      <w:r w:rsidRPr="00FA3F9C">
        <w:rPr>
          <w:rFonts w:ascii="Arial" w:hAnsi="Arial" w:cs="Arial"/>
          <w:sz w:val="24"/>
          <w:szCs w:val="24"/>
        </w:rPr>
        <w:t xml:space="preserve"> et al. Clinical Efficacy of Ivabradine in Patients with inappropriate Sinus Tachycardia: A prospective, Randomized, Placebo-Controlled, Double-blind, crossover evaluation. JACC 2012, 60 (15): 1323-9.</w:t>
      </w:r>
    </w:p>
    <w:p w14:paraId="2E7E094B" w14:textId="77777777" w:rsidR="002641D2" w:rsidRPr="00FA3F9C" w:rsidRDefault="002641D2" w:rsidP="00414924">
      <w:pPr>
        <w:spacing w:after="0" w:line="240" w:lineRule="auto"/>
        <w:rPr>
          <w:rFonts w:ascii="Arial" w:hAnsi="Arial" w:cs="Arial"/>
          <w:sz w:val="24"/>
          <w:szCs w:val="24"/>
        </w:rPr>
      </w:pPr>
      <w:r w:rsidRPr="00FA3F9C">
        <w:rPr>
          <w:rFonts w:ascii="Arial" w:hAnsi="Arial" w:cs="Arial"/>
          <w:sz w:val="24"/>
          <w:szCs w:val="24"/>
        </w:rPr>
        <w:lastRenderedPageBreak/>
        <w:t xml:space="preserve">6.  </w:t>
      </w:r>
      <w:proofErr w:type="spellStart"/>
      <w:r w:rsidRPr="00FA3F9C">
        <w:rPr>
          <w:rFonts w:ascii="Arial" w:hAnsi="Arial" w:cs="Arial"/>
          <w:sz w:val="24"/>
          <w:szCs w:val="24"/>
        </w:rPr>
        <w:t>Ptaszynski</w:t>
      </w:r>
      <w:proofErr w:type="spellEnd"/>
      <w:r w:rsidRPr="00FA3F9C">
        <w:rPr>
          <w:rFonts w:ascii="Arial" w:hAnsi="Arial" w:cs="Arial"/>
          <w:sz w:val="24"/>
          <w:szCs w:val="24"/>
        </w:rPr>
        <w:t xml:space="preserve"> P, Kaczmarek K, </w:t>
      </w:r>
      <w:proofErr w:type="spellStart"/>
      <w:r w:rsidRPr="00FA3F9C">
        <w:rPr>
          <w:rFonts w:ascii="Arial" w:hAnsi="Arial" w:cs="Arial"/>
          <w:sz w:val="24"/>
          <w:szCs w:val="24"/>
        </w:rPr>
        <w:t>Ruta</w:t>
      </w:r>
      <w:proofErr w:type="spellEnd"/>
      <w:r w:rsidRPr="00FA3F9C">
        <w:rPr>
          <w:rFonts w:ascii="Arial" w:hAnsi="Arial" w:cs="Arial"/>
          <w:sz w:val="24"/>
          <w:szCs w:val="24"/>
        </w:rPr>
        <w:t xml:space="preserve"> J, et al. Metoprolol succinate vs. ivabradine in the treatment of inappropriate sinus tachycardia in patients unresponsive to previous pharmacological therapy. </w:t>
      </w:r>
      <w:proofErr w:type="spellStart"/>
      <w:r w:rsidRPr="00FA3F9C">
        <w:rPr>
          <w:rFonts w:ascii="Arial" w:hAnsi="Arial" w:cs="Arial"/>
          <w:sz w:val="24"/>
          <w:szCs w:val="24"/>
        </w:rPr>
        <w:t>Europace</w:t>
      </w:r>
      <w:proofErr w:type="spellEnd"/>
      <w:r w:rsidRPr="00FA3F9C">
        <w:rPr>
          <w:rFonts w:ascii="Arial" w:hAnsi="Arial" w:cs="Arial"/>
          <w:sz w:val="24"/>
          <w:szCs w:val="24"/>
        </w:rPr>
        <w:t xml:space="preserve"> 2013. 15:116-121. </w:t>
      </w:r>
      <w:proofErr w:type="spellStart"/>
      <w:r w:rsidRPr="00FA3F9C">
        <w:rPr>
          <w:rFonts w:ascii="Arial" w:hAnsi="Arial" w:cs="Arial"/>
          <w:sz w:val="24"/>
          <w:szCs w:val="24"/>
        </w:rPr>
        <w:t>Doci</w:t>
      </w:r>
      <w:proofErr w:type="spellEnd"/>
      <w:r w:rsidRPr="00FA3F9C">
        <w:rPr>
          <w:rFonts w:ascii="Arial" w:hAnsi="Arial" w:cs="Arial"/>
          <w:sz w:val="24"/>
          <w:szCs w:val="24"/>
        </w:rPr>
        <w:t xml:space="preserve"> 10.1093/</w:t>
      </w:r>
      <w:proofErr w:type="spellStart"/>
      <w:r w:rsidRPr="00FA3F9C">
        <w:rPr>
          <w:rFonts w:ascii="Arial" w:hAnsi="Arial" w:cs="Arial"/>
          <w:sz w:val="24"/>
          <w:szCs w:val="24"/>
        </w:rPr>
        <w:t>europace</w:t>
      </w:r>
      <w:proofErr w:type="spellEnd"/>
      <w:r w:rsidRPr="00FA3F9C">
        <w:rPr>
          <w:rFonts w:ascii="Arial" w:hAnsi="Arial" w:cs="Arial"/>
          <w:sz w:val="24"/>
          <w:szCs w:val="24"/>
        </w:rPr>
        <w:t>/eus204</w:t>
      </w:r>
    </w:p>
    <w:p w14:paraId="34374FF3" w14:textId="77777777" w:rsidR="002641D2" w:rsidRPr="00FA3F9C" w:rsidRDefault="002641D2" w:rsidP="00414924">
      <w:pPr>
        <w:spacing w:after="0" w:line="240" w:lineRule="auto"/>
        <w:rPr>
          <w:rFonts w:ascii="Arial" w:hAnsi="Arial" w:cs="Arial"/>
          <w:sz w:val="24"/>
          <w:szCs w:val="24"/>
        </w:rPr>
      </w:pPr>
      <w:r w:rsidRPr="00FA3F9C">
        <w:rPr>
          <w:rFonts w:ascii="Arial" w:hAnsi="Arial" w:cs="Arial"/>
          <w:sz w:val="24"/>
          <w:szCs w:val="24"/>
        </w:rPr>
        <w:t xml:space="preserve">7.  Calo L, Rebecchi M, </w:t>
      </w:r>
      <w:proofErr w:type="spellStart"/>
      <w:r w:rsidRPr="00FA3F9C">
        <w:rPr>
          <w:rFonts w:ascii="Arial" w:hAnsi="Arial" w:cs="Arial"/>
          <w:sz w:val="24"/>
          <w:szCs w:val="24"/>
        </w:rPr>
        <w:t>Sette</w:t>
      </w:r>
      <w:proofErr w:type="spellEnd"/>
      <w:r w:rsidRPr="00FA3F9C">
        <w:rPr>
          <w:rFonts w:ascii="Arial" w:hAnsi="Arial" w:cs="Arial"/>
          <w:sz w:val="24"/>
          <w:szCs w:val="24"/>
        </w:rPr>
        <w:t xml:space="preserve"> A, et al. Efficacy of Ivabradine administration in patients affected by inappropriate sinus tachycardia</w:t>
      </w:r>
    </w:p>
    <w:p w14:paraId="4902DE9D" w14:textId="77777777" w:rsidR="002641D2" w:rsidRPr="00FA3F9C" w:rsidRDefault="002641D2" w:rsidP="00414924">
      <w:pPr>
        <w:spacing w:after="0" w:line="240" w:lineRule="auto"/>
        <w:rPr>
          <w:rFonts w:ascii="Arial" w:hAnsi="Arial" w:cs="Arial"/>
          <w:sz w:val="24"/>
          <w:szCs w:val="24"/>
          <w:lang w:val="fr-FR"/>
        </w:rPr>
      </w:pPr>
      <w:proofErr w:type="spellStart"/>
      <w:r w:rsidRPr="00FA3F9C">
        <w:rPr>
          <w:rFonts w:ascii="Arial" w:hAnsi="Arial" w:cs="Arial"/>
          <w:sz w:val="24"/>
          <w:szCs w:val="24"/>
          <w:lang w:val="fr-FR"/>
        </w:rPr>
        <w:t>Heart</w:t>
      </w:r>
      <w:proofErr w:type="spellEnd"/>
      <w:r w:rsidRPr="00FA3F9C">
        <w:rPr>
          <w:rFonts w:ascii="Arial" w:hAnsi="Arial" w:cs="Arial"/>
          <w:sz w:val="24"/>
          <w:szCs w:val="24"/>
          <w:lang w:val="fr-FR"/>
        </w:rPr>
        <w:t xml:space="preserve"> </w:t>
      </w:r>
      <w:proofErr w:type="spellStart"/>
      <w:r w:rsidRPr="00FA3F9C">
        <w:rPr>
          <w:rFonts w:ascii="Arial" w:hAnsi="Arial" w:cs="Arial"/>
          <w:sz w:val="24"/>
          <w:szCs w:val="24"/>
          <w:lang w:val="fr-FR"/>
        </w:rPr>
        <w:t>Rhythm</w:t>
      </w:r>
      <w:proofErr w:type="spellEnd"/>
      <w:r w:rsidRPr="00FA3F9C">
        <w:rPr>
          <w:rFonts w:ascii="Arial" w:hAnsi="Arial" w:cs="Arial"/>
          <w:sz w:val="24"/>
          <w:szCs w:val="24"/>
          <w:lang w:val="fr-FR"/>
        </w:rPr>
        <w:t xml:space="preserve"> </w:t>
      </w:r>
      <w:proofErr w:type="gramStart"/>
      <w:r w:rsidRPr="00FA3F9C">
        <w:rPr>
          <w:rFonts w:ascii="Arial" w:hAnsi="Arial" w:cs="Arial"/>
          <w:sz w:val="24"/>
          <w:szCs w:val="24"/>
          <w:lang w:val="fr-FR"/>
        </w:rPr>
        <w:t>2010;</w:t>
      </w:r>
      <w:proofErr w:type="gramEnd"/>
      <w:r w:rsidRPr="00FA3F9C">
        <w:rPr>
          <w:rFonts w:ascii="Arial" w:hAnsi="Arial" w:cs="Arial"/>
          <w:sz w:val="24"/>
          <w:szCs w:val="24"/>
          <w:lang w:val="fr-FR"/>
        </w:rPr>
        <w:t xml:space="preserve"> 7 (9): 1318-1322</w:t>
      </w:r>
    </w:p>
    <w:p w14:paraId="0E2315DD" w14:textId="77777777" w:rsidR="002641D2" w:rsidRPr="00FA3F9C" w:rsidRDefault="002641D2" w:rsidP="00414924">
      <w:pPr>
        <w:spacing w:after="0" w:line="240" w:lineRule="auto"/>
        <w:rPr>
          <w:rFonts w:ascii="Arial" w:hAnsi="Arial" w:cs="Arial"/>
          <w:sz w:val="24"/>
          <w:szCs w:val="24"/>
        </w:rPr>
      </w:pPr>
      <w:r w:rsidRPr="00FA3F9C">
        <w:rPr>
          <w:rFonts w:ascii="Arial" w:hAnsi="Arial" w:cs="Arial"/>
          <w:sz w:val="24"/>
          <w:szCs w:val="24"/>
          <w:lang w:val="fr-FR"/>
        </w:rPr>
        <w:t xml:space="preserve">8.  Sutton R, </w:t>
      </w:r>
      <w:proofErr w:type="spellStart"/>
      <w:r w:rsidRPr="00FA3F9C">
        <w:rPr>
          <w:rFonts w:ascii="Arial" w:hAnsi="Arial" w:cs="Arial"/>
          <w:sz w:val="24"/>
          <w:szCs w:val="24"/>
          <w:lang w:val="fr-FR"/>
        </w:rPr>
        <w:t>Salukhe</w:t>
      </w:r>
      <w:proofErr w:type="spellEnd"/>
      <w:r w:rsidRPr="00FA3F9C">
        <w:rPr>
          <w:rFonts w:ascii="Arial" w:hAnsi="Arial" w:cs="Arial"/>
          <w:sz w:val="24"/>
          <w:szCs w:val="24"/>
          <w:lang w:val="fr-FR"/>
        </w:rPr>
        <w:t xml:space="preserve"> T, et al. </w:t>
      </w:r>
      <w:r w:rsidRPr="00FA3F9C">
        <w:rPr>
          <w:rFonts w:ascii="Arial" w:hAnsi="Arial" w:cs="Arial"/>
          <w:sz w:val="24"/>
          <w:szCs w:val="24"/>
        </w:rPr>
        <w:t xml:space="preserve">Ivabradine in treatment of sinus tachycardia mediated vasovagal syncope. </w:t>
      </w:r>
      <w:proofErr w:type="spellStart"/>
      <w:r w:rsidRPr="00FA3F9C">
        <w:rPr>
          <w:rFonts w:ascii="Arial" w:hAnsi="Arial" w:cs="Arial"/>
          <w:sz w:val="24"/>
          <w:szCs w:val="24"/>
        </w:rPr>
        <w:t>Europace</w:t>
      </w:r>
      <w:proofErr w:type="spellEnd"/>
      <w:r w:rsidRPr="00FA3F9C">
        <w:rPr>
          <w:rFonts w:ascii="Arial" w:hAnsi="Arial" w:cs="Arial"/>
          <w:sz w:val="24"/>
          <w:szCs w:val="24"/>
        </w:rPr>
        <w:t xml:space="preserve"> 2014; 16: 248-288. Doi: 10.1093/</w:t>
      </w:r>
      <w:proofErr w:type="spellStart"/>
      <w:r w:rsidRPr="00FA3F9C">
        <w:rPr>
          <w:rFonts w:ascii="Arial" w:hAnsi="Arial" w:cs="Arial"/>
          <w:sz w:val="24"/>
          <w:szCs w:val="24"/>
        </w:rPr>
        <w:t>eruopace</w:t>
      </w:r>
      <w:proofErr w:type="spellEnd"/>
      <w:r w:rsidRPr="00FA3F9C">
        <w:rPr>
          <w:rFonts w:ascii="Arial" w:hAnsi="Arial" w:cs="Arial"/>
          <w:sz w:val="24"/>
          <w:szCs w:val="24"/>
        </w:rPr>
        <w:t>/eut226</w:t>
      </w:r>
    </w:p>
    <w:p w14:paraId="730A772E" w14:textId="77777777" w:rsidR="002641D2" w:rsidRPr="00FA3F9C" w:rsidRDefault="002641D2" w:rsidP="00E559F2">
      <w:pPr>
        <w:spacing w:after="0" w:line="240" w:lineRule="auto"/>
        <w:rPr>
          <w:rFonts w:ascii="Arial" w:hAnsi="Arial" w:cs="Arial"/>
          <w:sz w:val="24"/>
          <w:szCs w:val="24"/>
        </w:rPr>
      </w:pPr>
    </w:p>
    <w:p w14:paraId="738B0CE1" w14:textId="77777777" w:rsidR="002641D2" w:rsidRPr="00FA3F9C" w:rsidRDefault="002641D2" w:rsidP="006F623F">
      <w:pPr>
        <w:pStyle w:val="Default"/>
        <w:rPr>
          <w:rFonts w:ascii="Arial" w:hAnsi="Arial" w:cs="Arial"/>
        </w:rPr>
      </w:pPr>
    </w:p>
    <w:p w14:paraId="387A069B" w14:textId="77777777" w:rsidR="002641D2" w:rsidRPr="00FA3F9C" w:rsidRDefault="002641D2"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284"/>
        <w:gridCol w:w="7470"/>
        <w:gridCol w:w="2538"/>
      </w:tblGrid>
      <w:tr w:rsidR="002641D2" w:rsidRPr="00FA3F9C" w14:paraId="501B1DF9" w14:textId="77777777" w:rsidTr="00FE491B">
        <w:tc>
          <w:tcPr>
            <w:tcW w:w="1008" w:type="dxa"/>
          </w:tcPr>
          <w:p w14:paraId="3C5C2D51" w14:textId="77777777" w:rsidR="002641D2" w:rsidRPr="00FA3F9C" w:rsidRDefault="002641D2" w:rsidP="006F623F">
            <w:pPr>
              <w:rPr>
                <w:rFonts w:ascii="Arial" w:hAnsi="Arial" w:cs="Arial"/>
                <w:sz w:val="24"/>
                <w:szCs w:val="24"/>
              </w:rPr>
            </w:pPr>
            <w:r w:rsidRPr="00FA3F9C">
              <w:rPr>
                <w:rFonts w:ascii="Arial" w:hAnsi="Arial" w:cs="Arial"/>
                <w:sz w:val="24"/>
                <w:szCs w:val="24"/>
              </w:rPr>
              <w:t>Date</w:t>
            </w:r>
          </w:p>
        </w:tc>
        <w:tc>
          <w:tcPr>
            <w:tcW w:w="7470" w:type="dxa"/>
          </w:tcPr>
          <w:p w14:paraId="3743616E" w14:textId="77777777" w:rsidR="002641D2" w:rsidRPr="00FA3F9C" w:rsidRDefault="002641D2" w:rsidP="006F623F">
            <w:pPr>
              <w:rPr>
                <w:rFonts w:ascii="Arial" w:hAnsi="Arial" w:cs="Arial"/>
                <w:sz w:val="24"/>
                <w:szCs w:val="24"/>
              </w:rPr>
            </w:pPr>
            <w:r w:rsidRPr="00FA3F9C">
              <w:rPr>
                <w:rFonts w:ascii="Arial" w:hAnsi="Arial" w:cs="Arial"/>
                <w:sz w:val="24"/>
                <w:szCs w:val="24"/>
              </w:rPr>
              <w:t>What changed</w:t>
            </w:r>
          </w:p>
        </w:tc>
        <w:tc>
          <w:tcPr>
            <w:tcW w:w="2538" w:type="dxa"/>
          </w:tcPr>
          <w:p w14:paraId="2EFD8D1B" w14:textId="77777777" w:rsidR="002641D2" w:rsidRPr="00FA3F9C" w:rsidRDefault="002641D2" w:rsidP="006F623F">
            <w:pPr>
              <w:rPr>
                <w:rFonts w:ascii="Arial" w:hAnsi="Arial" w:cs="Arial"/>
                <w:sz w:val="24"/>
                <w:szCs w:val="24"/>
              </w:rPr>
            </w:pPr>
            <w:r w:rsidRPr="00FA3F9C">
              <w:rPr>
                <w:rFonts w:ascii="Arial" w:hAnsi="Arial" w:cs="Arial"/>
                <w:sz w:val="24"/>
                <w:szCs w:val="24"/>
              </w:rPr>
              <w:t>Pharmacist’s initials</w:t>
            </w:r>
          </w:p>
        </w:tc>
      </w:tr>
      <w:tr w:rsidR="002641D2" w:rsidRPr="00FA3F9C" w14:paraId="6BE58BF9" w14:textId="77777777" w:rsidTr="00FE491B">
        <w:tc>
          <w:tcPr>
            <w:tcW w:w="1008" w:type="dxa"/>
          </w:tcPr>
          <w:p w14:paraId="3B59B924" w14:textId="77777777" w:rsidR="002641D2" w:rsidRPr="00FA3F9C" w:rsidRDefault="002641D2" w:rsidP="006F623F">
            <w:pPr>
              <w:rPr>
                <w:rFonts w:ascii="Arial" w:hAnsi="Arial" w:cs="Arial"/>
                <w:sz w:val="24"/>
                <w:szCs w:val="24"/>
              </w:rPr>
            </w:pPr>
            <w:r w:rsidRPr="00FA3F9C">
              <w:rPr>
                <w:rFonts w:ascii="Arial" w:hAnsi="Arial" w:cs="Arial"/>
                <w:sz w:val="24"/>
                <w:szCs w:val="24"/>
              </w:rPr>
              <w:t>6/18/15</w:t>
            </w:r>
          </w:p>
        </w:tc>
        <w:tc>
          <w:tcPr>
            <w:tcW w:w="7470" w:type="dxa"/>
          </w:tcPr>
          <w:p w14:paraId="7C207231" w14:textId="77777777" w:rsidR="002641D2" w:rsidRPr="00FA3F9C" w:rsidRDefault="002641D2" w:rsidP="006F623F">
            <w:pPr>
              <w:rPr>
                <w:rFonts w:ascii="Arial" w:hAnsi="Arial" w:cs="Arial"/>
                <w:sz w:val="24"/>
                <w:szCs w:val="24"/>
              </w:rPr>
            </w:pPr>
            <w:r w:rsidRPr="00FA3F9C">
              <w:rPr>
                <w:rFonts w:ascii="Arial" w:hAnsi="Arial" w:cs="Arial"/>
                <w:sz w:val="24"/>
                <w:szCs w:val="24"/>
              </w:rPr>
              <w:t xml:space="preserve">I wrote the criteria w/ the help of M Estes.  Beta blocker therapy must be reflected in the current or else there must be a documented contraindication.  Otherwise, </w:t>
            </w:r>
            <w:proofErr w:type="spellStart"/>
            <w:r w:rsidRPr="00FA3F9C">
              <w:rPr>
                <w:rFonts w:ascii="Arial" w:hAnsi="Arial" w:cs="Arial"/>
                <w:sz w:val="24"/>
                <w:szCs w:val="24"/>
              </w:rPr>
              <w:t>Corlanor</w:t>
            </w:r>
            <w:proofErr w:type="spellEnd"/>
            <w:r w:rsidRPr="00FA3F9C">
              <w:rPr>
                <w:rFonts w:ascii="Arial" w:hAnsi="Arial" w:cs="Arial"/>
                <w:sz w:val="24"/>
                <w:szCs w:val="24"/>
              </w:rPr>
              <w:t xml:space="preserve"> should be denied.</w:t>
            </w:r>
          </w:p>
        </w:tc>
        <w:tc>
          <w:tcPr>
            <w:tcW w:w="2538" w:type="dxa"/>
          </w:tcPr>
          <w:p w14:paraId="03C9B305" w14:textId="77777777" w:rsidR="002641D2" w:rsidRPr="00FA3F9C" w:rsidRDefault="002641D2" w:rsidP="006F623F">
            <w:pPr>
              <w:rPr>
                <w:rFonts w:ascii="Arial" w:hAnsi="Arial" w:cs="Arial"/>
                <w:sz w:val="24"/>
                <w:szCs w:val="24"/>
              </w:rPr>
            </w:pPr>
            <w:r w:rsidRPr="00FA3F9C">
              <w:rPr>
                <w:rFonts w:ascii="Arial" w:hAnsi="Arial" w:cs="Arial"/>
                <w:sz w:val="24"/>
                <w:szCs w:val="24"/>
              </w:rPr>
              <w:t>JJ</w:t>
            </w:r>
          </w:p>
        </w:tc>
      </w:tr>
      <w:tr w:rsidR="002641D2" w:rsidRPr="00FA3F9C" w14:paraId="7A94B1CA" w14:textId="77777777" w:rsidTr="00FE491B">
        <w:tc>
          <w:tcPr>
            <w:tcW w:w="1008" w:type="dxa"/>
          </w:tcPr>
          <w:p w14:paraId="6037C265" w14:textId="77777777" w:rsidR="002641D2" w:rsidRPr="00FA3F9C" w:rsidRDefault="002641D2" w:rsidP="006F623F">
            <w:pPr>
              <w:rPr>
                <w:rFonts w:ascii="Arial" w:hAnsi="Arial" w:cs="Arial"/>
                <w:sz w:val="24"/>
                <w:szCs w:val="24"/>
              </w:rPr>
            </w:pPr>
            <w:r w:rsidRPr="00FA3F9C">
              <w:rPr>
                <w:rFonts w:ascii="Arial" w:hAnsi="Arial" w:cs="Arial"/>
                <w:sz w:val="24"/>
                <w:szCs w:val="24"/>
              </w:rPr>
              <w:t>9/1/15</w:t>
            </w:r>
          </w:p>
        </w:tc>
        <w:tc>
          <w:tcPr>
            <w:tcW w:w="7470" w:type="dxa"/>
          </w:tcPr>
          <w:p w14:paraId="56298F1B" w14:textId="77777777" w:rsidR="002641D2" w:rsidRPr="00FA3F9C" w:rsidRDefault="002641D2" w:rsidP="006F623F">
            <w:pPr>
              <w:rPr>
                <w:rFonts w:ascii="Arial" w:hAnsi="Arial" w:cs="Arial"/>
                <w:sz w:val="24"/>
                <w:szCs w:val="24"/>
              </w:rPr>
            </w:pPr>
            <w:r w:rsidRPr="00FA3F9C">
              <w:rPr>
                <w:rFonts w:ascii="Arial" w:hAnsi="Arial" w:cs="Arial"/>
                <w:sz w:val="24"/>
                <w:szCs w:val="24"/>
              </w:rPr>
              <w:t xml:space="preserve">I added the </w:t>
            </w:r>
            <w:proofErr w:type="gramStart"/>
            <w:r w:rsidRPr="00FA3F9C">
              <w:rPr>
                <w:rFonts w:ascii="Arial" w:hAnsi="Arial" w:cs="Arial"/>
                <w:sz w:val="24"/>
                <w:szCs w:val="24"/>
              </w:rPr>
              <w:t>off label</w:t>
            </w:r>
            <w:proofErr w:type="gramEnd"/>
            <w:r w:rsidRPr="00FA3F9C">
              <w:rPr>
                <w:rFonts w:ascii="Arial" w:hAnsi="Arial" w:cs="Arial"/>
                <w:sz w:val="24"/>
                <w:szCs w:val="24"/>
              </w:rPr>
              <w:t xml:space="preserve"> criteria.</w:t>
            </w:r>
          </w:p>
        </w:tc>
        <w:tc>
          <w:tcPr>
            <w:tcW w:w="2538" w:type="dxa"/>
          </w:tcPr>
          <w:p w14:paraId="1363E6AA" w14:textId="77777777" w:rsidR="002641D2" w:rsidRPr="00FA3F9C" w:rsidRDefault="002641D2" w:rsidP="006F623F">
            <w:pPr>
              <w:rPr>
                <w:rFonts w:ascii="Arial" w:hAnsi="Arial" w:cs="Arial"/>
                <w:sz w:val="24"/>
                <w:szCs w:val="24"/>
              </w:rPr>
            </w:pPr>
            <w:r w:rsidRPr="00FA3F9C">
              <w:rPr>
                <w:rFonts w:ascii="Arial" w:hAnsi="Arial" w:cs="Arial"/>
                <w:sz w:val="24"/>
                <w:szCs w:val="24"/>
              </w:rPr>
              <w:t>JJ</w:t>
            </w:r>
          </w:p>
        </w:tc>
      </w:tr>
      <w:tr w:rsidR="002641D2" w:rsidRPr="00FA3F9C" w14:paraId="6D6C4E56" w14:textId="77777777" w:rsidTr="00FE491B">
        <w:tc>
          <w:tcPr>
            <w:tcW w:w="1008" w:type="dxa"/>
          </w:tcPr>
          <w:p w14:paraId="35758EC4" w14:textId="77777777" w:rsidR="002641D2" w:rsidRPr="00FA3F9C" w:rsidRDefault="002641D2" w:rsidP="006F623F">
            <w:pPr>
              <w:rPr>
                <w:rFonts w:ascii="Arial" w:hAnsi="Arial" w:cs="Arial"/>
                <w:sz w:val="24"/>
                <w:szCs w:val="24"/>
              </w:rPr>
            </w:pPr>
            <w:r w:rsidRPr="00FA3F9C">
              <w:rPr>
                <w:rFonts w:ascii="Arial" w:hAnsi="Arial" w:cs="Arial"/>
                <w:sz w:val="24"/>
                <w:szCs w:val="24"/>
              </w:rPr>
              <w:t>8/12/2020</w:t>
            </w:r>
          </w:p>
        </w:tc>
        <w:tc>
          <w:tcPr>
            <w:tcW w:w="7470" w:type="dxa"/>
          </w:tcPr>
          <w:p w14:paraId="79F2BCC2" w14:textId="77777777" w:rsidR="002641D2" w:rsidRPr="00FA3F9C" w:rsidRDefault="002641D2" w:rsidP="006F623F">
            <w:pPr>
              <w:rPr>
                <w:rFonts w:ascii="Arial" w:hAnsi="Arial" w:cs="Arial"/>
                <w:sz w:val="24"/>
                <w:szCs w:val="24"/>
              </w:rPr>
            </w:pPr>
            <w:r w:rsidRPr="00FA3F9C">
              <w:rPr>
                <w:rFonts w:ascii="Arial" w:hAnsi="Arial" w:cs="Arial"/>
                <w:sz w:val="24"/>
                <w:szCs w:val="24"/>
              </w:rPr>
              <w:t>I reviewed the criteria.  No changes made</w:t>
            </w:r>
          </w:p>
        </w:tc>
        <w:tc>
          <w:tcPr>
            <w:tcW w:w="2538" w:type="dxa"/>
          </w:tcPr>
          <w:p w14:paraId="70404A39" w14:textId="77777777" w:rsidR="002641D2" w:rsidRPr="00FA3F9C" w:rsidRDefault="002641D2" w:rsidP="006F623F">
            <w:pPr>
              <w:rPr>
                <w:rFonts w:ascii="Arial" w:hAnsi="Arial" w:cs="Arial"/>
                <w:sz w:val="24"/>
                <w:szCs w:val="24"/>
              </w:rPr>
            </w:pPr>
            <w:r w:rsidRPr="00FA3F9C">
              <w:rPr>
                <w:rFonts w:ascii="Arial" w:hAnsi="Arial" w:cs="Arial"/>
                <w:sz w:val="24"/>
                <w:szCs w:val="24"/>
              </w:rPr>
              <w:t>JJ</w:t>
            </w:r>
          </w:p>
        </w:tc>
      </w:tr>
      <w:tr w:rsidR="002641D2" w:rsidRPr="00FA3F9C" w14:paraId="60895355" w14:textId="77777777" w:rsidTr="00FE491B">
        <w:tc>
          <w:tcPr>
            <w:tcW w:w="1008" w:type="dxa"/>
          </w:tcPr>
          <w:p w14:paraId="6F062D27" w14:textId="77777777" w:rsidR="002641D2" w:rsidRPr="00FA3F9C" w:rsidRDefault="002641D2" w:rsidP="006F623F">
            <w:pPr>
              <w:rPr>
                <w:rFonts w:ascii="Arial" w:hAnsi="Arial" w:cs="Arial"/>
                <w:sz w:val="24"/>
                <w:szCs w:val="24"/>
              </w:rPr>
            </w:pPr>
            <w:r w:rsidRPr="00FA3F9C">
              <w:rPr>
                <w:rFonts w:ascii="Arial" w:hAnsi="Arial" w:cs="Arial"/>
                <w:sz w:val="24"/>
                <w:szCs w:val="24"/>
              </w:rPr>
              <w:t>3/10/2021</w:t>
            </w:r>
          </w:p>
        </w:tc>
        <w:tc>
          <w:tcPr>
            <w:tcW w:w="7470" w:type="dxa"/>
          </w:tcPr>
          <w:p w14:paraId="5AFF315E" w14:textId="77777777" w:rsidR="002641D2" w:rsidRPr="00FA3F9C" w:rsidRDefault="002641D2" w:rsidP="006F623F">
            <w:pPr>
              <w:rPr>
                <w:rFonts w:ascii="Arial" w:hAnsi="Arial" w:cs="Arial"/>
                <w:sz w:val="24"/>
                <w:szCs w:val="24"/>
              </w:rPr>
            </w:pPr>
            <w:r w:rsidRPr="00FA3F9C">
              <w:rPr>
                <w:rFonts w:ascii="Arial" w:hAnsi="Arial" w:cs="Arial"/>
                <w:sz w:val="24"/>
                <w:szCs w:val="24"/>
              </w:rPr>
              <w:t>I reviewed the criteria. No changes.</w:t>
            </w:r>
          </w:p>
        </w:tc>
        <w:tc>
          <w:tcPr>
            <w:tcW w:w="2538" w:type="dxa"/>
          </w:tcPr>
          <w:p w14:paraId="0B15DB43" w14:textId="77777777" w:rsidR="002641D2" w:rsidRPr="00FA3F9C" w:rsidRDefault="002641D2" w:rsidP="006F623F">
            <w:pPr>
              <w:rPr>
                <w:rFonts w:ascii="Arial" w:hAnsi="Arial" w:cs="Arial"/>
                <w:sz w:val="24"/>
                <w:szCs w:val="24"/>
              </w:rPr>
            </w:pPr>
            <w:r w:rsidRPr="00FA3F9C">
              <w:rPr>
                <w:rFonts w:ascii="Arial" w:hAnsi="Arial" w:cs="Arial"/>
                <w:sz w:val="24"/>
                <w:szCs w:val="24"/>
              </w:rPr>
              <w:t>JJ</w:t>
            </w:r>
          </w:p>
        </w:tc>
      </w:tr>
    </w:tbl>
    <w:p w14:paraId="0F4ED459" w14:textId="77777777" w:rsidR="002641D2" w:rsidRPr="00FA3F9C" w:rsidRDefault="002641D2" w:rsidP="006F623F">
      <w:pPr>
        <w:spacing w:after="0"/>
        <w:rPr>
          <w:rFonts w:ascii="Arial" w:hAnsi="Arial" w:cs="Arial"/>
          <w:sz w:val="24"/>
          <w:szCs w:val="24"/>
        </w:rPr>
      </w:pPr>
    </w:p>
    <w:p w14:paraId="32F31FAE" w14:textId="77777777" w:rsidR="002A1632" w:rsidRDefault="002641D2" w:rsidP="002A1632">
      <w:pPr>
        <w:pStyle w:val="Heading2"/>
      </w:pPr>
      <w:bookmarkStart w:id="155" w:name="_Toc106369835"/>
      <w:r w:rsidRPr="00FA3F9C">
        <w:t>Ivacaftor (Kalydeco)</w:t>
      </w:r>
      <w:bookmarkEnd w:id="155"/>
      <w:r w:rsidRPr="00FA3F9C">
        <w:t xml:space="preserve"> </w:t>
      </w:r>
    </w:p>
    <w:p w14:paraId="0D560248" w14:textId="1682CCAF" w:rsidR="002641D2" w:rsidRPr="00FA3F9C" w:rsidRDefault="002641D2" w:rsidP="000D3684">
      <w:pPr>
        <w:jc w:val="center"/>
        <w:rPr>
          <w:rFonts w:ascii="Arial" w:hAnsi="Arial" w:cs="Arial"/>
          <w:b/>
          <w:sz w:val="24"/>
          <w:szCs w:val="24"/>
        </w:rPr>
      </w:pPr>
      <w:r w:rsidRPr="00FA3F9C">
        <w:rPr>
          <w:rFonts w:ascii="Arial" w:hAnsi="Arial" w:cs="Arial"/>
          <w:b/>
          <w:sz w:val="24"/>
          <w:szCs w:val="24"/>
        </w:rPr>
        <w:t>150mg tablets</w:t>
      </w:r>
    </w:p>
    <w:p w14:paraId="37A239F5" w14:textId="77777777" w:rsidR="002641D2" w:rsidRPr="00FA3F9C" w:rsidRDefault="002641D2" w:rsidP="00E4013F">
      <w:pPr>
        <w:jc w:val="center"/>
        <w:rPr>
          <w:rFonts w:ascii="Arial" w:hAnsi="Arial" w:cs="Arial"/>
          <w:b/>
          <w:sz w:val="24"/>
          <w:szCs w:val="24"/>
        </w:rPr>
      </w:pPr>
      <w:r w:rsidRPr="00FA3F9C">
        <w:rPr>
          <w:rFonts w:ascii="Arial" w:hAnsi="Arial" w:cs="Arial"/>
          <w:b/>
          <w:sz w:val="24"/>
          <w:szCs w:val="24"/>
        </w:rPr>
        <w:t>EBRx PA Criteria</w:t>
      </w:r>
    </w:p>
    <w:p w14:paraId="65962F83" w14:textId="77777777" w:rsidR="002641D2" w:rsidRPr="00FA3F9C" w:rsidRDefault="002641D2" w:rsidP="00E4013F">
      <w:pPr>
        <w:jc w:val="center"/>
        <w:rPr>
          <w:rFonts w:ascii="Arial" w:hAnsi="Arial" w:cs="Arial"/>
          <w:b/>
          <w:sz w:val="24"/>
          <w:szCs w:val="24"/>
        </w:rPr>
      </w:pPr>
    </w:p>
    <w:p w14:paraId="4DA9A7AE" w14:textId="77777777" w:rsidR="002641D2" w:rsidRPr="00FA3F9C" w:rsidRDefault="002641D2" w:rsidP="000D3684">
      <w:pPr>
        <w:rPr>
          <w:rFonts w:ascii="Arial" w:hAnsi="Arial" w:cs="Arial"/>
          <w:b/>
          <w:sz w:val="24"/>
          <w:szCs w:val="24"/>
        </w:rPr>
      </w:pPr>
      <w:r w:rsidRPr="00FA3F9C">
        <w:rPr>
          <w:rFonts w:ascii="Arial" w:hAnsi="Arial" w:cs="Arial"/>
          <w:b/>
          <w:sz w:val="24"/>
          <w:szCs w:val="24"/>
        </w:rPr>
        <w:t>FDA-approved for:  the treatment of CF in patients &gt;6m of age who have one mutation in the CFTR gene that is responsive to ivacaftor potentiation based on clinical and/or in vitro assay data.  If phenotype is unknown, an FDA-cleared CF mutation test should be used to detect the presence of the mutation followed by verification with bidirectional sequencing when recommended by the mutation test instructions for use.</w:t>
      </w:r>
    </w:p>
    <w:p w14:paraId="0092980E" w14:textId="77777777" w:rsidR="002641D2" w:rsidRPr="00FA3F9C" w:rsidRDefault="002641D2" w:rsidP="00EA6D94">
      <w:pPr>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98"/>
      </w:tblGrid>
      <w:tr w:rsidR="002641D2" w:rsidRPr="00FA3F9C" w14:paraId="35E28815" w14:textId="77777777" w:rsidTr="00207FA0">
        <w:trPr>
          <w:trHeight w:val="476"/>
        </w:trPr>
        <w:tc>
          <w:tcPr>
            <w:tcW w:w="10998" w:type="dxa"/>
            <w:shd w:val="clear" w:color="auto" w:fill="000000"/>
            <w:vAlign w:val="center"/>
          </w:tcPr>
          <w:p w14:paraId="12DFFC66" w14:textId="77777777" w:rsidR="002641D2" w:rsidRPr="00FA3F9C" w:rsidRDefault="002641D2" w:rsidP="000D3684">
            <w:pPr>
              <w:rPr>
                <w:rFonts w:ascii="Arial" w:hAnsi="Arial" w:cs="Arial"/>
                <w:b/>
                <w:sz w:val="24"/>
                <w:szCs w:val="24"/>
              </w:rPr>
            </w:pPr>
            <w:r w:rsidRPr="00FA3F9C">
              <w:rPr>
                <w:rFonts w:ascii="Arial" w:hAnsi="Arial" w:cs="Arial"/>
                <w:b/>
                <w:sz w:val="24"/>
                <w:szCs w:val="24"/>
              </w:rPr>
              <w:t>Initial approval criteria:</w:t>
            </w:r>
          </w:p>
        </w:tc>
      </w:tr>
      <w:tr w:rsidR="002641D2" w:rsidRPr="00FA3F9C" w14:paraId="5508E86C" w14:textId="77777777" w:rsidTr="002F7728">
        <w:trPr>
          <w:trHeight w:val="350"/>
        </w:trPr>
        <w:tc>
          <w:tcPr>
            <w:tcW w:w="10998" w:type="dxa"/>
            <w:vAlign w:val="center"/>
          </w:tcPr>
          <w:p w14:paraId="4E8B675B" w14:textId="77777777" w:rsidR="002641D2" w:rsidRPr="00FA3F9C" w:rsidRDefault="002641D2" w:rsidP="002641D2">
            <w:pPr>
              <w:numPr>
                <w:ilvl w:val="0"/>
                <w:numId w:val="286"/>
              </w:numPr>
              <w:spacing w:after="0" w:line="240" w:lineRule="auto"/>
              <w:rPr>
                <w:rFonts w:ascii="Arial" w:hAnsi="Arial" w:cs="Arial"/>
                <w:sz w:val="24"/>
                <w:szCs w:val="24"/>
              </w:rPr>
            </w:pPr>
            <w:r w:rsidRPr="00FA3F9C">
              <w:rPr>
                <w:rFonts w:ascii="Arial" w:hAnsi="Arial" w:cs="Arial"/>
                <w:sz w:val="24"/>
                <w:szCs w:val="24"/>
              </w:rPr>
              <w:lastRenderedPageBreak/>
              <w:t>The patient must be at least 4 months old.</w:t>
            </w:r>
          </w:p>
        </w:tc>
      </w:tr>
      <w:tr w:rsidR="002641D2" w:rsidRPr="00FA3F9C" w14:paraId="762DA482" w14:textId="77777777" w:rsidTr="000D3684">
        <w:trPr>
          <w:trHeight w:val="728"/>
        </w:trPr>
        <w:tc>
          <w:tcPr>
            <w:tcW w:w="10998" w:type="dxa"/>
            <w:vAlign w:val="center"/>
          </w:tcPr>
          <w:p w14:paraId="51C95352" w14:textId="77777777" w:rsidR="002641D2" w:rsidRPr="00FA3F9C" w:rsidRDefault="002641D2" w:rsidP="002641D2">
            <w:pPr>
              <w:numPr>
                <w:ilvl w:val="0"/>
                <w:numId w:val="286"/>
              </w:numPr>
              <w:spacing w:after="0" w:line="240" w:lineRule="auto"/>
              <w:rPr>
                <w:rFonts w:ascii="Arial" w:hAnsi="Arial" w:cs="Arial"/>
                <w:sz w:val="24"/>
                <w:szCs w:val="24"/>
              </w:rPr>
            </w:pPr>
            <w:r w:rsidRPr="00FA3F9C">
              <w:rPr>
                <w:rFonts w:ascii="Arial" w:hAnsi="Arial" w:cs="Arial"/>
                <w:sz w:val="24"/>
                <w:szCs w:val="24"/>
              </w:rPr>
              <w:t>The patient must have one CFTR gene mutation that is responsive to ivacaftor based on clinical and/or in vitro assay data:</w:t>
            </w:r>
          </w:p>
          <w:p w14:paraId="338E53B2" w14:textId="77777777" w:rsidR="002641D2" w:rsidRPr="00FA3F9C" w:rsidRDefault="00500371" w:rsidP="002F7728">
            <w:pPr>
              <w:ind w:left="360"/>
              <w:rPr>
                <w:rFonts w:ascii="Arial" w:hAnsi="Arial" w:cs="Arial"/>
                <w:sz w:val="24"/>
                <w:szCs w:val="24"/>
              </w:rPr>
            </w:pPr>
            <w:r>
              <w:rPr>
                <w:rFonts w:ascii="Arial" w:hAnsi="Arial" w:cs="Arial"/>
                <w:noProof/>
                <w:sz w:val="24"/>
                <w:szCs w:val="24"/>
              </w:rPr>
              <w:pict w14:anchorId="71510294">
                <v:shape id="_x0000_i1026" type="#_x0000_t75" style="width:492pt;height:212.25pt;visibility:visible">
                  <v:imagedata r:id="rId252" o:title=""/>
                </v:shape>
              </w:pict>
            </w:r>
          </w:p>
        </w:tc>
      </w:tr>
      <w:tr w:rsidR="002641D2" w:rsidRPr="00FA3F9C" w14:paraId="2007616E" w14:textId="77777777" w:rsidTr="000D3684">
        <w:trPr>
          <w:trHeight w:val="728"/>
        </w:trPr>
        <w:tc>
          <w:tcPr>
            <w:tcW w:w="10998" w:type="dxa"/>
            <w:vAlign w:val="center"/>
          </w:tcPr>
          <w:p w14:paraId="500D0F0E" w14:textId="77777777" w:rsidR="002641D2" w:rsidRPr="00FA3F9C" w:rsidRDefault="002641D2" w:rsidP="002641D2">
            <w:pPr>
              <w:numPr>
                <w:ilvl w:val="0"/>
                <w:numId w:val="286"/>
              </w:numPr>
              <w:spacing w:after="0" w:line="240" w:lineRule="auto"/>
              <w:rPr>
                <w:rFonts w:ascii="Arial" w:hAnsi="Arial" w:cs="Arial"/>
                <w:sz w:val="24"/>
                <w:szCs w:val="24"/>
              </w:rPr>
            </w:pPr>
            <w:r w:rsidRPr="00FA3F9C">
              <w:rPr>
                <w:rFonts w:ascii="Arial" w:hAnsi="Arial" w:cs="Arial"/>
                <w:sz w:val="24"/>
                <w:szCs w:val="24"/>
              </w:rPr>
              <w:t>The patient must be currently demonstrating compliance with the evidence-based standard of care for inhaled therapies for cystic fibrosis.</w:t>
            </w:r>
            <w:r w:rsidRPr="00FA3F9C">
              <w:rPr>
                <w:rFonts w:ascii="Arial" w:hAnsi="Arial" w:cs="Arial"/>
                <w:sz w:val="24"/>
                <w:szCs w:val="24"/>
                <w:vertAlign w:val="superscript"/>
              </w:rPr>
              <w:t>1</w:t>
            </w:r>
            <w:r w:rsidRPr="00FA3F9C">
              <w:rPr>
                <w:rFonts w:ascii="Arial" w:hAnsi="Arial" w:cs="Arial"/>
                <w:sz w:val="24"/>
                <w:szCs w:val="24"/>
              </w:rPr>
              <w:t xml:space="preserve">  (Or the patient must have experienced intolerance to </w:t>
            </w:r>
            <w:proofErr w:type="spellStart"/>
            <w:r w:rsidRPr="00FA3F9C">
              <w:rPr>
                <w:rFonts w:ascii="Arial" w:hAnsi="Arial" w:cs="Arial"/>
                <w:sz w:val="24"/>
                <w:szCs w:val="24"/>
              </w:rPr>
              <w:t>dornase</w:t>
            </w:r>
            <w:proofErr w:type="spellEnd"/>
            <w:r w:rsidRPr="00FA3F9C">
              <w:rPr>
                <w:rFonts w:ascii="Arial" w:hAnsi="Arial" w:cs="Arial"/>
                <w:sz w:val="24"/>
                <w:szCs w:val="24"/>
              </w:rPr>
              <w:t xml:space="preserve"> alfa &amp;/OR bronchospasm or irritability with inhaled hypertonic saline and therefore cannot use it.—This must be documented in the medical record and represented to the call pharmacists.)</w:t>
            </w:r>
          </w:p>
        </w:tc>
      </w:tr>
      <w:tr w:rsidR="002641D2" w:rsidRPr="00FA3F9C" w14:paraId="4635BB84" w14:textId="77777777" w:rsidTr="000D3684">
        <w:trPr>
          <w:trHeight w:val="728"/>
        </w:trPr>
        <w:tc>
          <w:tcPr>
            <w:tcW w:w="10998" w:type="dxa"/>
            <w:vAlign w:val="center"/>
          </w:tcPr>
          <w:p w14:paraId="56318E87" w14:textId="77777777" w:rsidR="002641D2" w:rsidRPr="00FA3F9C" w:rsidRDefault="002641D2" w:rsidP="002641D2">
            <w:pPr>
              <w:numPr>
                <w:ilvl w:val="0"/>
                <w:numId w:val="286"/>
              </w:numPr>
              <w:spacing w:after="0" w:line="240" w:lineRule="auto"/>
              <w:rPr>
                <w:rFonts w:ascii="Arial" w:hAnsi="Arial" w:cs="Arial"/>
                <w:sz w:val="24"/>
                <w:szCs w:val="24"/>
              </w:rPr>
            </w:pPr>
            <w:r w:rsidRPr="00FA3F9C">
              <w:rPr>
                <w:rFonts w:ascii="Arial" w:hAnsi="Arial" w:cs="Arial"/>
                <w:sz w:val="24"/>
                <w:szCs w:val="24"/>
              </w:rPr>
              <w:t>The patient must have had transaminases (ALT and AST) drawn prior to beginning the drug and plan to be monitored every 3 months during the 1</w:t>
            </w:r>
            <w:r w:rsidRPr="00FA3F9C">
              <w:rPr>
                <w:rFonts w:ascii="Arial" w:hAnsi="Arial" w:cs="Arial"/>
                <w:sz w:val="24"/>
                <w:szCs w:val="24"/>
                <w:vertAlign w:val="superscript"/>
              </w:rPr>
              <w:t>st</w:t>
            </w:r>
            <w:r w:rsidRPr="00FA3F9C">
              <w:rPr>
                <w:rFonts w:ascii="Arial" w:hAnsi="Arial" w:cs="Arial"/>
                <w:sz w:val="24"/>
                <w:szCs w:val="24"/>
              </w:rPr>
              <w:t xml:space="preserve"> year of treatment and then annually thereafter.  [Ivacaftor should be interrupted if ALT or AST is greater than 5xs ULN and benefits/risks should be reconsidered.]</w:t>
            </w:r>
          </w:p>
        </w:tc>
      </w:tr>
      <w:tr w:rsidR="002641D2" w:rsidRPr="00FA3F9C" w14:paraId="1ECE660C" w14:textId="77777777" w:rsidTr="00207FA0">
        <w:trPr>
          <w:trHeight w:val="566"/>
        </w:trPr>
        <w:tc>
          <w:tcPr>
            <w:tcW w:w="10998" w:type="dxa"/>
            <w:vAlign w:val="center"/>
          </w:tcPr>
          <w:p w14:paraId="16679511" w14:textId="77777777" w:rsidR="002641D2" w:rsidRPr="00FA3F9C" w:rsidRDefault="002641D2" w:rsidP="002641D2">
            <w:pPr>
              <w:numPr>
                <w:ilvl w:val="0"/>
                <w:numId w:val="286"/>
              </w:numPr>
              <w:spacing w:after="0" w:line="240" w:lineRule="auto"/>
              <w:rPr>
                <w:rFonts w:ascii="Arial" w:hAnsi="Arial" w:cs="Arial"/>
                <w:sz w:val="24"/>
                <w:szCs w:val="24"/>
              </w:rPr>
            </w:pPr>
            <w:r w:rsidRPr="00FA3F9C">
              <w:rPr>
                <w:rFonts w:ascii="Arial" w:hAnsi="Arial" w:cs="Arial"/>
                <w:sz w:val="24"/>
                <w:szCs w:val="24"/>
              </w:rPr>
              <w:t>The patient must be a nonsmoker.</w:t>
            </w:r>
          </w:p>
        </w:tc>
      </w:tr>
    </w:tbl>
    <w:p w14:paraId="6F2DAF07" w14:textId="77777777" w:rsidR="002641D2" w:rsidRPr="00FA3F9C" w:rsidRDefault="002641D2" w:rsidP="00C101D4">
      <w:pPr>
        <w:rPr>
          <w:rFonts w:ascii="Arial" w:hAnsi="Arial" w:cs="Arial"/>
          <w:b/>
          <w:sz w:val="24"/>
          <w:szCs w:val="24"/>
        </w:rPr>
      </w:pPr>
      <w:r w:rsidRPr="00FA3F9C">
        <w:rPr>
          <w:rFonts w:ascii="Arial" w:hAnsi="Arial" w:cs="Arial"/>
          <w:b/>
          <w:sz w:val="24"/>
          <w:szCs w:val="24"/>
          <w:vertAlign w:val="superscript"/>
        </w:rPr>
        <w:t>*</w:t>
      </w:r>
      <w:r w:rsidRPr="00FA3F9C">
        <w:rPr>
          <w:rFonts w:ascii="Arial" w:hAnsi="Arial" w:cs="Arial"/>
          <w:b/>
          <w:sz w:val="24"/>
          <w:szCs w:val="24"/>
        </w:rPr>
        <w:t>Quantity limit of 62/31 days; normal dose is 150 mg BID</w:t>
      </w:r>
    </w:p>
    <w:p w14:paraId="46A0831F" w14:textId="77777777" w:rsidR="002641D2" w:rsidRPr="00FA3F9C" w:rsidRDefault="002641D2" w:rsidP="00EA6D94">
      <w:pPr>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98"/>
      </w:tblGrid>
      <w:tr w:rsidR="002641D2" w:rsidRPr="00FA3F9C" w14:paraId="3D53DA7A" w14:textId="77777777" w:rsidTr="00207FA0">
        <w:trPr>
          <w:trHeight w:val="467"/>
        </w:trPr>
        <w:tc>
          <w:tcPr>
            <w:tcW w:w="10998" w:type="dxa"/>
            <w:shd w:val="clear" w:color="auto" w:fill="000000"/>
            <w:vAlign w:val="center"/>
          </w:tcPr>
          <w:p w14:paraId="16D3258A" w14:textId="77777777" w:rsidR="002641D2" w:rsidRPr="00FA3F9C" w:rsidRDefault="002641D2" w:rsidP="000D3684">
            <w:pPr>
              <w:rPr>
                <w:rFonts w:ascii="Arial" w:hAnsi="Arial" w:cs="Arial"/>
                <w:b/>
                <w:sz w:val="24"/>
                <w:szCs w:val="24"/>
              </w:rPr>
            </w:pPr>
            <w:r w:rsidRPr="00FA3F9C">
              <w:rPr>
                <w:rFonts w:ascii="Arial" w:hAnsi="Arial" w:cs="Arial"/>
                <w:b/>
                <w:sz w:val="24"/>
                <w:szCs w:val="24"/>
              </w:rPr>
              <w:lastRenderedPageBreak/>
              <w:t>Continuation criteria:</w:t>
            </w:r>
          </w:p>
        </w:tc>
      </w:tr>
      <w:tr w:rsidR="002641D2" w:rsidRPr="00FA3F9C" w14:paraId="486783E1" w14:textId="77777777" w:rsidTr="000D3684">
        <w:trPr>
          <w:trHeight w:val="728"/>
        </w:trPr>
        <w:tc>
          <w:tcPr>
            <w:tcW w:w="10998" w:type="dxa"/>
            <w:vAlign w:val="center"/>
          </w:tcPr>
          <w:p w14:paraId="54F14EC3" w14:textId="77777777" w:rsidR="002641D2" w:rsidRPr="00FA3F9C" w:rsidRDefault="002641D2" w:rsidP="002641D2">
            <w:pPr>
              <w:numPr>
                <w:ilvl w:val="0"/>
                <w:numId w:val="153"/>
              </w:numPr>
              <w:spacing w:after="0" w:line="240" w:lineRule="auto"/>
              <w:rPr>
                <w:rFonts w:ascii="Arial" w:hAnsi="Arial" w:cs="Arial"/>
                <w:b/>
                <w:sz w:val="24"/>
                <w:szCs w:val="24"/>
              </w:rPr>
            </w:pPr>
            <w:r w:rsidRPr="00FA3F9C">
              <w:rPr>
                <w:rFonts w:ascii="Arial" w:hAnsi="Arial" w:cs="Arial"/>
                <w:b/>
                <w:sz w:val="24"/>
                <w:szCs w:val="24"/>
              </w:rPr>
              <w:t>The patient must currently be demonstrating adherence with the evidence-based standard of care for inhaled therapies for cystic fibrosis.</w:t>
            </w:r>
            <w:r w:rsidRPr="00FA3F9C">
              <w:rPr>
                <w:rFonts w:ascii="Arial" w:hAnsi="Arial" w:cs="Arial"/>
                <w:b/>
                <w:sz w:val="24"/>
                <w:szCs w:val="24"/>
                <w:vertAlign w:val="superscript"/>
              </w:rPr>
              <w:t>1</w:t>
            </w:r>
            <w:r w:rsidRPr="00FA3F9C">
              <w:rPr>
                <w:rFonts w:ascii="Arial" w:hAnsi="Arial" w:cs="Arial"/>
                <w:b/>
                <w:sz w:val="24"/>
                <w:szCs w:val="24"/>
              </w:rPr>
              <w:t xml:space="preserve">  (or the patient must have experienced intolerance to </w:t>
            </w:r>
            <w:proofErr w:type="spellStart"/>
            <w:r w:rsidRPr="00FA3F9C">
              <w:rPr>
                <w:rFonts w:ascii="Arial" w:hAnsi="Arial" w:cs="Arial"/>
                <w:b/>
                <w:sz w:val="24"/>
                <w:szCs w:val="24"/>
              </w:rPr>
              <w:t>dornase</w:t>
            </w:r>
            <w:proofErr w:type="spellEnd"/>
            <w:r w:rsidRPr="00FA3F9C">
              <w:rPr>
                <w:rFonts w:ascii="Arial" w:hAnsi="Arial" w:cs="Arial"/>
                <w:b/>
                <w:sz w:val="24"/>
                <w:szCs w:val="24"/>
              </w:rPr>
              <w:t xml:space="preserve"> alfa &amp;/OR bronchospasm or irritability with inhaled hypertonic saline and therefore cannot use it).</w:t>
            </w:r>
          </w:p>
        </w:tc>
      </w:tr>
      <w:tr w:rsidR="002641D2" w:rsidRPr="00FA3F9C" w14:paraId="64F859CD" w14:textId="77777777" w:rsidTr="00207FA0">
        <w:trPr>
          <w:trHeight w:val="674"/>
        </w:trPr>
        <w:tc>
          <w:tcPr>
            <w:tcW w:w="10998" w:type="dxa"/>
            <w:vAlign w:val="center"/>
          </w:tcPr>
          <w:p w14:paraId="463B1DF0" w14:textId="77777777" w:rsidR="002641D2" w:rsidRPr="00FA3F9C" w:rsidRDefault="002641D2" w:rsidP="002641D2">
            <w:pPr>
              <w:numPr>
                <w:ilvl w:val="0"/>
                <w:numId w:val="153"/>
              </w:numPr>
              <w:spacing w:after="0" w:line="240" w:lineRule="auto"/>
              <w:rPr>
                <w:rFonts w:ascii="Arial" w:hAnsi="Arial" w:cs="Arial"/>
                <w:b/>
                <w:sz w:val="24"/>
                <w:szCs w:val="24"/>
              </w:rPr>
            </w:pPr>
            <w:r w:rsidRPr="00FA3F9C">
              <w:rPr>
                <w:rFonts w:ascii="Arial" w:hAnsi="Arial" w:cs="Arial"/>
                <w:b/>
                <w:sz w:val="24"/>
                <w:szCs w:val="24"/>
              </w:rPr>
              <w:t>The patient must have had transaminases (ALT and AST) drawn in the past 6 months and be lower than 5 times the ULN.</w:t>
            </w:r>
          </w:p>
        </w:tc>
      </w:tr>
      <w:tr w:rsidR="002641D2" w:rsidRPr="00FA3F9C" w14:paraId="7AB029B2" w14:textId="77777777" w:rsidTr="00207FA0">
        <w:trPr>
          <w:trHeight w:val="485"/>
        </w:trPr>
        <w:tc>
          <w:tcPr>
            <w:tcW w:w="10998" w:type="dxa"/>
            <w:vAlign w:val="center"/>
          </w:tcPr>
          <w:p w14:paraId="2699F09B" w14:textId="77777777" w:rsidR="002641D2" w:rsidRPr="00FA3F9C" w:rsidRDefault="002641D2" w:rsidP="002641D2">
            <w:pPr>
              <w:numPr>
                <w:ilvl w:val="0"/>
                <w:numId w:val="153"/>
              </w:numPr>
              <w:spacing w:after="0" w:line="240" w:lineRule="auto"/>
              <w:rPr>
                <w:rFonts w:ascii="Arial" w:hAnsi="Arial" w:cs="Arial"/>
                <w:b/>
                <w:sz w:val="24"/>
                <w:szCs w:val="24"/>
              </w:rPr>
            </w:pPr>
            <w:r w:rsidRPr="00FA3F9C">
              <w:rPr>
                <w:rFonts w:ascii="Arial" w:hAnsi="Arial" w:cs="Arial"/>
                <w:b/>
                <w:sz w:val="24"/>
                <w:szCs w:val="24"/>
              </w:rPr>
              <w:t>The patient must be a nonsmoker.</w:t>
            </w:r>
          </w:p>
        </w:tc>
      </w:tr>
      <w:tr w:rsidR="002641D2" w:rsidRPr="00FA3F9C" w14:paraId="53CC1961" w14:textId="77777777" w:rsidTr="000D3684">
        <w:trPr>
          <w:trHeight w:val="728"/>
        </w:trPr>
        <w:tc>
          <w:tcPr>
            <w:tcW w:w="10998" w:type="dxa"/>
            <w:vAlign w:val="center"/>
          </w:tcPr>
          <w:p w14:paraId="533C8521" w14:textId="77777777" w:rsidR="002641D2" w:rsidRPr="00FA3F9C" w:rsidRDefault="002641D2" w:rsidP="002641D2">
            <w:pPr>
              <w:numPr>
                <w:ilvl w:val="0"/>
                <w:numId w:val="153"/>
              </w:numPr>
              <w:spacing w:after="0" w:line="240" w:lineRule="auto"/>
              <w:rPr>
                <w:rFonts w:ascii="Arial" w:hAnsi="Arial" w:cs="Arial"/>
                <w:b/>
                <w:sz w:val="24"/>
                <w:szCs w:val="24"/>
              </w:rPr>
            </w:pPr>
            <w:r w:rsidRPr="00FA3F9C">
              <w:rPr>
                <w:rFonts w:ascii="Arial" w:hAnsi="Arial" w:cs="Arial"/>
                <w:b/>
                <w:sz w:val="24"/>
                <w:szCs w:val="24"/>
              </w:rPr>
              <w:t>The patient must demonstrate a clinical benefit with ivacaftor as shown by lung function (FEV1), weight gain, or reduction in CF exacerbations or CF hospitalizations as shown in chart notes.</w:t>
            </w:r>
          </w:p>
        </w:tc>
      </w:tr>
      <w:tr w:rsidR="002641D2" w:rsidRPr="00FA3F9C" w14:paraId="27E4AC5C" w14:textId="77777777" w:rsidTr="000D3684">
        <w:trPr>
          <w:trHeight w:val="728"/>
        </w:trPr>
        <w:tc>
          <w:tcPr>
            <w:tcW w:w="10998" w:type="dxa"/>
            <w:vAlign w:val="center"/>
          </w:tcPr>
          <w:p w14:paraId="57F688A3" w14:textId="77777777" w:rsidR="002641D2" w:rsidRPr="00FA3F9C" w:rsidRDefault="002641D2" w:rsidP="002641D2">
            <w:pPr>
              <w:numPr>
                <w:ilvl w:val="0"/>
                <w:numId w:val="153"/>
              </w:numPr>
              <w:spacing w:after="0" w:line="240" w:lineRule="auto"/>
              <w:rPr>
                <w:rFonts w:ascii="Arial" w:hAnsi="Arial" w:cs="Arial"/>
                <w:b/>
                <w:sz w:val="24"/>
                <w:szCs w:val="24"/>
              </w:rPr>
            </w:pPr>
            <w:r w:rsidRPr="00FA3F9C">
              <w:rPr>
                <w:rFonts w:ascii="Arial" w:hAnsi="Arial" w:cs="Arial"/>
                <w:b/>
                <w:sz w:val="24"/>
                <w:szCs w:val="24"/>
              </w:rPr>
              <w:t>The patient must demonstrate adherence (1 fill/1 month) with therapy as determined by refill history or reported by physician.</w:t>
            </w:r>
          </w:p>
        </w:tc>
      </w:tr>
    </w:tbl>
    <w:p w14:paraId="0AB5026B" w14:textId="77777777" w:rsidR="002641D2" w:rsidRPr="00FA3F9C" w:rsidRDefault="002641D2" w:rsidP="00EA6D94">
      <w:pPr>
        <w:rPr>
          <w:rFonts w:ascii="Arial" w:hAnsi="Arial" w:cs="Arial"/>
          <w:b/>
          <w:sz w:val="24"/>
          <w:szCs w:val="24"/>
        </w:rPr>
      </w:pPr>
      <w:r w:rsidRPr="00FA3F9C">
        <w:rPr>
          <w:rFonts w:ascii="Arial" w:hAnsi="Arial" w:cs="Arial"/>
          <w:b/>
          <w:sz w:val="24"/>
          <w:szCs w:val="24"/>
          <w:vertAlign w:val="superscript"/>
        </w:rPr>
        <w:t>*</w:t>
      </w:r>
      <w:r w:rsidRPr="00FA3F9C">
        <w:rPr>
          <w:rFonts w:ascii="Arial" w:hAnsi="Arial" w:cs="Arial"/>
          <w:b/>
          <w:sz w:val="24"/>
          <w:szCs w:val="24"/>
        </w:rPr>
        <w:t>Quantity limit of 62/31 days; normal dose is 150 mg BID</w:t>
      </w:r>
    </w:p>
    <w:p w14:paraId="5D2A70CD" w14:textId="77777777" w:rsidR="002641D2" w:rsidRPr="00FA3F9C" w:rsidRDefault="002641D2" w:rsidP="004B79B7">
      <w:pPr>
        <w:rPr>
          <w:rFonts w:ascii="Arial" w:hAnsi="Arial" w:cs="Arial"/>
          <w:sz w:val="24"/>
          <w:szCs w:val="24"/>
        </w:rPr>
      </w:pPr>
    </w:p>
    <w:p w14:paraId="40364F93" w14:textId="77777777" w:rsidR="002641D2" w:rsidRPr="00FA3F9C" w:rsidRDefault="002641D2" w:rsidP="004B79B7">
      <w:pPr>
        <w:rPr>
          <w:rFonts w:ascii="Arial" w:hAnsi="Arial" w:cs="Arial"/>
          <w:sz w:val="24"/>
          <w:szCs w:val="24"/>
        </w:rPr>
      </w:pPr>
    </w:p>
    <w:p w14:paraId="7E9791D7" w14:textId="77777777" w:rsidR="002641D2" w:rsidRPr="00FA3F9C" w:rsidRDefault="002641D2" w:rsidP="004B79B7">
      <w:pPr>
        <w:rPr>
          <w:rFonts w:ascii="Arial" w:hAnsi="Arial" w:cs="Arial"/>
          <w:sz w:val="24"/>
          <w:szCs w:val="24"/>
        </w:rPr>
      </w:pPr>
    </w:p>
    <w:p w14:paraId="17C2E456" w14:textId="77777777" w:rsidR="002641D2" w:rsidRPr="00FA3F9C" w:rsidRDefault="002641D2" w:rsidP="004B79B7">
      <w:pPr>
        <w:rPr>
          <w:rFonts w:ascii="Arial" w:hAnsi="Arial" w:cs="Arial"/>
          <w:sz w:val="24"/>
          <w:szCs w:val="24"/>
        </w:rPr>
      </w:pPr>
    </w:p>
    <w:p w14:paraId="2ABE7B34" w14:textId="77777777" w:rsidR="002641D2" w:rsidRPr="00FA3F9C" w:rsidRDefault="002641D2" w:rsidP="00B136B1">
      <w:pPr>
        <w:rPr>
          <w:rFonts w:ascii="Arial" w:hAnsi="Arial" w:cs="Arial"/>
          <w:sz w:val="24"/>
          <w:szCs w:val="24"/>
        </w:rPr>
      </w:pPr>
      <w:r w:rsidRPr="00FA3F9C">
        <w:rPr>
          <w:rFonts w:ascii="Arial" w:hAnsi="Arial" w:cs="Arial"/>
          <w:sz w:val="24"/>
          <w:szCs w:val="24"/>
        </w:rPr>
        <w:t>References:</w:t>
      </w:r>
    </w:p>
    <w:p w14:paraId="68894A10" w14:textId="77777777" w:rsidR="002641D2" w:rsidRPr="00FA3F9C" w:rsidRDefault="002641D2" w:rsidP="002641D2">
      <w:pPr>
        <w:numPr>
          <w:ilvl w:val="0"/>
          <w:numId w:val="285"/>
        </w:numPr>
        <w:spacing w:after="0" w:line="240" w:lineRule="auto"/>
        <w:rPr>
          <w:rFonts w:ascii="Arial" w:hAnsi="Arial" w:cs="Arial"/>
          <w:sz w:val="24"/>
          <w:szCs w:val="24"/>
        </w:rPr>
      </w:pPr>
      <w:proofErr w:type="spellStart"/>
      <w:r w:rsidRPr="00FA3F9C">
        <w:rPr>
          <w:rFonts w:ascii="Arial" w:hAnsi="Arial" w:cs="Arial"/>
          <w:sz w:val="24"/>
          <w:szCs w:val="24"/>
          <w:lang w:val="fr-FR"/>
        </w:rPr>
        <w:t>Mogayzel</w:t>
      </w:r>
      <w:proofErr w:type="spellEnd"/>
      <w:r w:rsidRPr="00FA3F9C">
        <w:rPr>
          <w:rFonts w:ascii="Arial" w:hAnsi="Arial" w:cs="Arial"/>
          <w:sz w:val="24"/>
          <w:szCs w:val="24"/>
          <w:lang w:val="fr-FR"/>
        </w:rPr>
        <w:t xml:space="preserve"> PJ, </w:t>
      </w:r>
      <w:proofErr w:type="spellStart"/>
      <w:r w:rsidRPr="00FA3F9C">
        <w:rPr>
          <w:rFonts w:ascii="Arial" w:hAnsi="Arial" w:cs="Arial"/>
          <w:sz w:val="24"/>
          <w:szCs w:val="24"/>
          <w:lang w:val="fr-FR"/>
        </w:rPr>
        <w:t>Naureckas</w:t>
      </w:r>
      <w:proofErr w:type="spellEnd"/>
      <w:r w:rsidRPr="00FA3F9C">
        <w:rPr>
          <w:rFonts w:ascii="Arial" w:hAnsi="Arial" w:cs="Arial"/>
          <w:sz w:val="24"/>
          <w:szCs w:val="24"/>
          <w:lang w:val="fr-FR"/>
        </w:rPr>
        <w:t xml:space="preserve"> ET, Robinson KA, Mueller G, et al.  </w:t>
      </w:r>
      <w:r w:rsidRPr="00FA3F9C">
        <w:rPr>
          <w:rFonts w:ascii="Arial" w:hAnsi="Arial" w:cs="Arial"/>
          <w:sz w:val="24"/>
          <w:szCs w:val="24"/>
        </w:rPr>
        <w:t>cystic Fibrosis Pulmonary Guidelines:  Chronic medications for maintenance of lung health.  Am J Respir Crit Care Med. 2013;187(7):680-689.</w:t>
      </w:r>
    </w:p>
    <w:p w14:paraId="75EB2F49" w14:textId="77777777" w:rsidR="002641D2" w:rsidRPr="00FA3F9C" w:rsidRDefault="002641D2" w:rsidP="002641D2">
      <w:pPr>
        <w:numPr>
          <w:ilvl w:val="0"/>
          <w:numId w:val="285"/>
        </w:numPr>
        <w:spacing w:after="0" w:line="240" w:lineRule="auto"/>
        <w:rPr>
          <w:rFonts w:ascii="Arial" w:hAnsi="Arial" w:cs="Arial"/>
          <w:sz w:val="24"/>
          <w:szCs w:val="24"/>
        </w:rPr>
      </w:pPr>
      <w:r w:rsidRPr="00FA3F9C">
        <w:rPr>
          <w:rFonts w:ascii="Arial" w:hAnsi="Arial" w:cs="Arial"/>
          <w:sz w:val="24"/>
          <w:szCs w:val="24"/>
        </w:rPr>
        <w:t xml:space="preserve">Ramsey, B et al.  A CFTR Potentiator in Patients with Cystic Fibrosis and the </w:t>
      </w:r>
      <w:r w:rsidRPr="00FA3F9C">
        <w:rPr>
          <w:rFonts w:ascii="Arial" w:hAnsi="Arial" w:cs="Arial"/>
          <w:i/>
          <w:sz w:val="24"/>
          <w:szCs w:val="24"/>
        </w:rPr>
        <w:t>G551D</w:t>
      </w:r>
      <w:r w:rsidRPr="00FA3F9C">
        <w:rPr>
          <w:rFonts w:ascii="Arial" w:hAnsi="Arial" w:cs="Arial"/>
          <w:sz w:val="24"/>
          <w:szCs w:val="24"/>
        </w:rPr>
        <w:t xml:space="preserve"> Mutation. N </w:t>
      </w:r>
      <w:proofErr w:type="spellStart"/>
      <w:r w:rsidRPr="00FA3F9C">
        <w:rPr>
          <w:rFonts w:ascii="Arial" w:hAnsi="Arial" w:cs="Arial"/>
          <w:sz w:val="24"/>
          <w:szCs w:val="24"/>
        </w:rPr>
        <w:t>Engl</w:t>
      </w:r>
      <w:proofErr w:type="spellEnd"/>
      <w:r w:rsidRPr="00FA3F9C">
        <w:rPr>
          <w:rFonts w:ascii="Arial" w:hAnsi="Arial" w:cs="Arial"/>
          <w:sz w:val="24"/>
          <w:szCs w:val="24"/>
        </w:rPr>
        <w:t xml:space="preserve"> J Med 2011; 365: 1663-72</w:t>
      </w:r>
    </w:p>
    <w:p w14:paraId="5A81FDCD" w14:textId="77777777" w:rsidR="002641D2" w:rsidRPr="00FA3F9C" w:rsidRDefault="002641D2" w:rsidP="002641D2">
      <w:pPr>
        <w:pStyle w:val="ListParagraph"/>
        <w:numPr>
          <w:ilvl w:val="0"/>
          <w:numId w:val="285"/>
        </w:numPr>
        <w:spacing w:after="0"/>
        <w:rPr>
          <w:rFonts w:ascii="Arial" w:hAnsi="Arial" w:cs="Arial"/>
          <w:sz w:val="24"/>
          <w:szCs w:val="24"/>
        </w:rPr>
      </w:pPr>
      <w:r w:rsidRPr="00FA3F9C">
        <w:rPr>
          <w:rFonts w:ascii="Arial" w:hAnsi="Arial" w:cs="Arial"/>
          <w:color w:val="222222"/>
          <w:sz w:val="24"/>
          <w:szCs w:val="24"/>
          <w:shd w:val="clear" w:color="auto" w:fill="F8F8F8"/>
        </w:rPr>
        <w:t>UpToDate</w:t>
      </w:r>
      <w:r w:rsidRPr="00FA3F9C">
        <w:rPr>
          <w:rFonts w:ascii="Arial" w:hAnsi="Arial" w:cs="Arial"/>
          <w:sz w:val="24"/>
          <w:szCs w:val="24"/>
        </w:rPr>
        <w:t>: Cystic Fibrosis: Treatment with CFTR Modulators.  Accessed 11/22/19.</w:t>
      </w:r>
    </w:p>
    <w:p w14:paraId="47F28C18" w14:textId="77777777" w:rsidR="002641D2" w:rsidRPr="00FA3F9C" w:rsidRDefault="002641D2" w:rsidP="002641D2">
      <w:pPr>
        <w:pStyle w:val="ListParagraph"/>
        <w:numPr>
          <w:ilvl w:val="0"/>
          <w:numId w:val="285"/>
        </w:numPr>
        <w:spacing w:after="0"/>
        <w:rPr>
          <w:rFonts w:ascii="Arial" w:hAnsi="Arial" w:cs="Arial"/>
          <w:sz w:val="24"/>
          <w:szCs w:val="24"/>
        </w:rPr>
      </w:pPr>
      <w:r w:rsidRPr="00FA3F9C">
        <w:rPr>
          <w:rFonts w:ascii="Arial" w:hAnsi="Arial" w:cs="Arial"/>
          <w:color w:val="222222"/>
          <w:sz w:val="24"/>
          <w:szCs w:val="24"/>
          <w:shd w:val="clear" w:color="auto" w:fill="F8F8F8"/>
        </w:rPr>
        <w:t>ICER Cystic Fibrosis</w:t>
      </w:r>
      <w:r w:rsidRPr="00FA3F9C">
        <w:rPr>
          <w:rFonts w:ascii="Arial" w:hAnsi="Arial" w:cs="Arial"/>
          <w:sz w:val="24"/>
          <w:szCs w:val="24"/>
        </w:rPr>
        <w:t xml:space="preserve">. </w:t>
      </w:r>
      <w:hyperlink r:id="rId253" w:history="1">
        <w:r w:rsidRPr="00FA3F9C">
          <w:rPr>
            <w:rStyle w:val="Hyperlink"/>
            <w:rFonts w:ascii="Arial" w:hAnsi="Arial" w:cs="Arial"/>
            <w:sz w:val="24"/>
            <w:szCs w:val="24"/>
          </w:rPr>
          <w:t>https://34eyj51jerf417itp82ufdoe-wpengine.netdna-ssl.com/wp-content/uploads/2020/08/ICER_CF_RAAG_092320-1.pdf</w:t>
        </w:r>
      </w:hyperlink>
    </w:p>
    <w:p w14:paraId="3EF560C4" w14:textId="77777777" w:rsidR="002641D2" w:rsidRPr="00FA3F9C" w:rsidRDefault="002641D2" w:rsidP="002641D2">
      <w:pPr>
        <w:pStyle w:val="ListParagraph"/>
        <w:numPr>
          <w:ilvl w:val="0"/>
          <w:numId w:val="285"/>
        </w:numPr>
        <w:spacing w:after="0"/>
        <w:rPr>
          <w:rFonts w:ascii="Arial" w:hAnsi="Arial" w:cs="Arial"/>
          <w:sz w:val="24"/>
          <w:szCs w:val="24"/>
        </w:rPr>
      </w:pPr>
      <w:r w:rsidRPr="00FA3F9C">
        <w:rPr>
          <w:rFonts w:ascii="Arial" w:hAnsi="Arial" w:cs="Arial"/>
          <w:color w:val="222222"/>
          <w:sz w:val="24"/>
          <w:szCs w:val="24"/>
          <w:shd w:val="clear" w:color="auto" w:fill="F8F8F8"/>
        </w:rPr>
        <w:lastRenderedPageBreak/>
        <w:t>Kalydeco PI</w:t>
      </w:r>
      <w:r w:rsidRPr="00FA3F9C">
        <w:rPr>
          <w:rFonts w:ascii="Arial" w:hAnsi="Arial" w:cs="Arial"/>
          <w:sz w:val="24"/>
          <w:szCs w:val="24"/>
        </w:rPr>
        <w:t>.  Accessed 4/7/21.</w:t>
      </w:r>
    </w:p>
    <w:p w14:paraId="668E1631" w14:textId="77777777" w:rsidR="002641D2" w:rsidRPr="00FA3F9C" w:rsidRDefault="002641D2" w:rsidP="00E4013F">
      <w:pPr>
        <w:jc w:val="center"/>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8250"/>
        <w:gridCol w:w="1590"/>
      </w:tblGrid>
      <w:tr w:rsidR="002641D2" w:rsidRPr="00FA3F9C" w14:paraId="396D1587" w14:textId="77777777" w:rsidTr="005801ED">
        <w:tc>
          <w:tcPr>
            <w:tcW w:w="1310" w:type="dxa"/>
          </w:tcPr>
          <w:p w14:paraId="73F65194" w14:textId="77777777" w:rsidR="002641D2" w:rsidRPr="00FA3F9C" w:rsidRDefault="002641D2" w:rsidP="00E4013F">
            <w:pPr>
              <w:rPr>
                <w:rFonts w:ascii="Arial" w:hAnsi="Arial" w:cs="Arial"/>
                <w:sz w:val="24"/>
                <w:szCs w:val="24"/>
              </w:rPr>
            </w:pPr>
            <w:r w:rsidRPr="00FA3F9C">
              <w:rPr>
                <w:rFonts w:ascii="Arial" w:hAnsi="Arial" w:cs="Arial"/>
                <w:sz w:val="24"/>
                <w:szCs w:val="24"/>
              </w:rPr>
              <w:t>Date</w:t>
            </w:r>
          </w:p>
        </w:tc>
        <w:tc>
          <w:tcPr>
            <w:tcW w:w="8250" w:type="dxa"/>
          </w:tcPr>
          <w:p w14:paraId="4BA49DAA" w14:textId="77777777" w:rsidR="002641D2" w:rsidRPr="00FA3F9C" w:rsidRDefault="002641D2" w:rsidP="00E4013F">
            <w:pPr>
              <w:rPr>
                <w:rFonts w:ascii="Arial" w:hAnsi="Arial" w:cs="Arial"/>
                <w:sz w:val="24"/>
                <w:szCs w:val="24"/>
              </w:rPr>
            </w:pPr>
            <w:r w:rsidRPr="00FA3F9C">
              <w:rPr>
                <w:rFonts w:ascii="Arial" w:hAnsi="Arial" w:cs="Arial"/>
                <w:sz w:val="24"/>
                <w:szCs w:val="24"/>
              </w:rPr>
              <w:t>What changed?</w:t>
            </w:r>
          </w:p>
        </w:tc>
        <w:tc>
          <w:tcPr>
            <w:tcW w:w="1456" w:type="dxa"/>
          </w:tcPr>
          <w:p w14:paraId="05416930" w14:textId="77777777" w:rsidR="002641D2" w:rsidRPr="00FA3F9C" w:rsidRDefault="002641D2" w:rsidP="00E4013F">
            <w:pPr>
              <w:rPr>
                <w:rFonts w:ascii="Arial" w:hAnsi="Arial" w:cs="Arial"/>
                <w:sz w:val="24"/>
                <w:szCs w:val="24"/>
              </w:rPr>
            </w:pPr>
            <w:r w:rsidRPr="00FA3F9C">
              <w:rPr>
                <w:rFonts w:ascii="Arial" w:hAnsi="Arial" w:cs="Arial"/>
                <w:sz w:val="24"/>
                <w:szCs w:val="24"/>
              </w:rPr>
              <w:t>Pharmacist’s initials</w:t>
            </w:r>
          </w:p>
        </w:tc>
      </w:tr>
      <w:tr w:rsidR="002641D2" w:rsidRPr="00FA3F9C" w14:paraId="06F8F2EF" w14:textId="77777777" w:rsidTr="005801ED">
        <w:tc>
          <w:tcPr>
            <w:tcW w:w="1310" w:type="dxa"/>
          </w:tcPr>
          <w:p w14:paraId="28DFB3A3" w14:textId="77777777" w:rsidR="002641D2" w:rsidRPr="00FA3F9C" w:rsidRDefault="002641D2" w:rsidP="00B136B1">
            <w:pPr>
              <w:rPr>
                <w:rFonts w:ascii="Arial" w:hAnsi="Arial" w:cs="Arial"/>
                <w:sz w:val="24"/>
                <w:szCs w:val="24"/>
              </w:rPr>
            </w:pPr>
            <w:r w:rsidRPr="00FA3F9C">
              <w:rPr>
                <w:rFonts w:ascii="Arial" w:hAnsi="Arial" w:cs="Arial"/>
                <w:sz w:val="24"/>
                <w:szCs w:val="24"/>
              </w:rPr>
              <w:t>3/6/13</w:t>
            </w:r>
          </w:p>
        </w:tc>
        <w:tc>
          <w:tcPr>
            <w:tcW w:w="8250" w:type="dxa"/>
          </w:tcPr>
          <w:p w14:paraId="28FB34A8" w14:textId="77777777" w:rsidR="002641D2" w:rsidRPr="00FA3F9C" w:rsidRDefault="002641D2" w:rsidP="00E4013F">
            <w:pPr>
              <w:rPr>
                <w:rFonts w:ascii="Arial" w:hAnsi="Arial" w:cs="Arial"/>
                <w:sz w:val="24"/>
                <w:szCs w:val="24"/>
              </w:rPr>
            </w:pPr>
            <w:r w:rsidRPr="00FA3F9C">
              <w:rPr>
                <w:rFonts w:ascii="Arial" w:hAnsi="Arial" w:cs="Arial"/>
                <w:sz w:val="24"/>
                <w:szCs w:val="24"/>
              </w:rPr>
              <w:t>Criteria created</w:t>
            </w:r>
          </w:p>
        </w:tc>
        <w:tc>
          <w:tcPr>
            <w:tcW w:w="1456" w:type="dxa"/>
          </w:tcPr>
          <w:p w14:paraId="481FCC99" w14:textId="77777777" w:rsidR="002641D2" w:rsidRPr="00FA3F9C" w:rsidRDefault="002641D2" w:rsidP="00E4013F">
            <w:pPr>
              <w:rPr>
                <w:rFonts w:ascii="Arial" w:hAnsi="Arial" w:cs="Arial"/>
                <w:sz w:val="24"/>
                <w:szCs w:val="24"/>
              </w:rPr>
            </w:pPr>
            <w:r w:rsidRPr="00FA3F9C">
              <w:rPr>
                <w:rFonts w:ascii="Arial" w:hAnsi="Arial" w:cs="Arial"/>
                <w:sz w:val="24"/>
                <w:szCs w:val="24"/>
              </w:rPr>
              <w:t>JB</w:t>
            </w:r>
          </w:p>
        </w:tc>
      </w:tr>
      <w:tr w:rsidR="002641D2" w:rsidRPr="00FA3F9C" w14:paraId="14949341" w14:textId="77777777" w:rsidTr="005801ED">
        <w:tc>
          <w:tcPr>
            <w:tcW w:w="1310" w:type="dxa"/>
          </w:tcPr>
          <w:p w14:paraId="178C7D23" w14:textId="77777777" w:rsidR="002641D2" w:rsidRPr="00FA3F9C" w:rsidRDefault="002641D2" w:rsidP="00B136B1">
            <w:pPr>
              <w:rPr>
                <w:rFonts w:ascii="Arial" w:hAnsi="Arial" w:cs="Arial"/>
                <w:sz w:val="24"/>
                <w:szCs w:val="24"/>
              </w:rPr>
            </w:pPr>
            <w:r w:rsidRPr="00FA3F9C">
              <w:rPr>
                <w:rFonts w:ascii="Arial" w:hAnsi="Arial" w:cs="Arial"/>
                <w:sz w:val="24"/>
                <w:szCs w:val="24"/>
              </w:rPr>
              <w:t>3/6/13</w:t>
            </w:r>
          </w:p>
        </w:tc>
        <w:tc>
          <w:tcPr>
            <w:tcW w:w="8250" w:type="dxa"/>
          </w:tcPr>
          <w:p w14:paraId="03A9780B" w14:textId="77777777" w:rsidR="002641D2" w:rsidRPr="00FA3F9C" w:rsidRDefault="002641D2" w:rsidP="00E4013F">
            <w:pPr>
              <w:rPr>
                <w:rFonts w:ascii="Arial" w:hAnsi="Arial" w:cs="Arial"/>
                <w:sz w:val="24"/>
                <w:szCs w:val="24"/>
              </w:rPr>
            </w:pPr>
            <w:r w:rsidRPr="00FA3F9C">
              <w:rPr>
                <w:rFonts w:ascii="Arial" w:hAnsi="Arial" w:cs="Arial"/>
                <w:sz w:val="24"/>
                <w:szCs w:val="24"/>
              </w:rPr>
              <w:t>Jill added standard of care criteria and transaminase monitoring requirement</w:t>
            </w:r>
          </w:p>
        </w:tc>
        <w:tc>
          <w:tcPr>
            <w:tcW w:w="1456" w:type="dxa"/>
          </w:tcPr>
          <w:p w14:paraId="176EE6AF" w14:textId="77777777" w:rsidR="002641D2" w:rsidRPr="00FA3F9C" w:rsidRDefault="002641D2" w:rsidP="00E4013F">
            <w:pPr>
              <w:rPr>
                <w:rFonts w:ascii="Arial" w:hAnsi="Arial" w:cs="Arial"/>
                <w:sz w:val="24"/>
                <w:szCs w:val="24"/>
              </w:rPr>
            </w:pPr>
            <w:r w:rsidRPr="00FA3F9C">
              <w:rPr>
                <w:rFonts w:ascii="Arial" w:hAnsi="Arial" w:cs="Arial"/>
                <w:sz w:val="24"/>
                <w:szCs w:val="24"/>
              </w:rPr>
              <w:t>JJ</w:t>
            </w:r>
          </w:p>
        </w:tc>
      </w:tr>
      <w:tr w:rsidR="002641D2" w:rsidRPr="00FA3F9C" w14:paraId="281EBB80" w14:textId="77777777" w:rsidTr="005801ED">
        <w:tc>
          <w:tcPr>
            <w:tcW w:w="1310" w:type="dxa"/>
          </w:tcPr>
          <w:p w14:paraId="22E1E9A0" w14:textId="77777777" w:rsidR="002641D2" w:rsidRPr="00FA3F9C" w:rsidRDefault="002641D2" w:rsidP="00B136B1">
            <w:pPr>
              <w:rPr>
                <w:rFonts w:ascii="Arial" w:hAnsi="Arial" w:cs="Arial"/>
                <w:sz w:val="24"/>
                <w:szCs w:val="24"/>
              </w:rPr>
            </w:pPr>
            <w:r w:rsidRPr="00FA3F9C">
              <w:rPr>
                <w:rFonts w:ascii="Arial" w:hAnsi="Arial" w:cs="Arial"/>
                <w:sz w:val="24"/>
                <w:szCs w:val="24"/>
              </w:rPr>
              <w:t>6/30/14</w:t>
            </w:r>
          </w:p>
        </w:tc>
        <w:tc>
          <w:tcPr>
            <w:tcW w:w="8250" w:type="dxa"/>
          </w:tcPr>
          <w:p w14:paraId="4FCC5DC4" w14:textId="77777777" w:rsidR="002641D2" w:rsidRPr="00FA3F9C" w:rsidRDefault="002641D2" w:rsidP="00E4013F">
            <w:pPr>
              <w:rPr>
                <w:rFonts w:ascii="Arial" w:hAnsi="Arial" w:cs="Arial"/>
                <w:sz w:val="24"/>
                <w:szCs w:val="24"/>
              </w:rPr>
            </w:pPr>
            <w:r w:rsidRPr="00FA3F9C">
              <w:rPr>
                <w:rFonts w:ascii="Arial" w:hAnsi="Arial" w:cs="Arial"/>
                <w:sz w:val="24"/>
                <w:szCs w:val="24"/>
              </w:rPr>
              <w:t>Jill added other gene mutations to be allowed.</w:t>
            </w:r>
          </w:p>
        </w:tc>
        <w:tc>
          <w:tcPr>
            <w:tcW w:w="1456" w:type="dxa"/>
          </w:tcPr>
          <w:p w14:paraId="6E35FC58" w14:textId="77777777" w:rsidR="002641D2" w:rsidRPr="00FA3F9C" w:rsidRDefault="002641D2" w:rsidP="00E4013F">
            <w:pPr>
              <w:rPr>
                <w:rFonts w:ascii="Arial" w:hAnsi="Arial" w:cs="Arial"/>
                <w:sz w:val="24"/>
                <w:szCs w:val="24"/>
              </w:rPr>
            </w:pPr>
            <w:r w:rsidRPr="00FA3F9C">
              <w:rPr>
                <w:rFonts w:ascii="Arial" w:hAnsi="Arial" w:cs="Arial"/>
                <w:sz w:val="24"/>
                <w:szCs w:val="24"/>
              </w:rPr>
              <w:t>JJ</w:t>
            </w:r>
          </w:p>
        </w:tc>
      </w:tr>
      <w:tr w:rsidR="002641D2" w:rsidRPr="00FA3F9C" w14:paraId="4592B0B4" w14:textId="77777777" w:rsidTr="005801ED">
        <w:tc>
          <w:tcPr>
            <w:tcW w:w="1310" w:type="dxa"/>
          </w:tcPr>
          <w:p w14:paraId="3E0BD6F8" w14:textId="77777777" w:rsidR="002641D2" w:rsidRPr="00FA3F9C" w:rsidRDefault="002641D2" w:rsidP="00B136B1">
            <w:pPr>
              <w:rPr>
                <w:rFonts w:ascii="Arial" w:hAnsi="Arial" w:cs="Arial"/>
                <w:sz w:val="24"/>
                <w:szCs w:val="24"/>
              </w:rPr>
            </w:pPr>
            <w:r w:rsidRPr="00FA3F9C">
              <w:rPr>
                <w:rFonts w:ascii="Arial" w:hAnsi="Arial" w:cs="Arial"/>
                <w:sz w:val="24"/>
                <w:szCs w:val="24"/>
              </w:rPr>
              <w:t>12/30/14</w:t>
            </w:r>
          </w:p>
        </w:tc>
        <w:tc>
          <w:tcPr>
            <w:tcW w:w="8250" w:type="dxa"/>
          </w:tcPr>
          <w:p w14:paraId="6742CE25" w14:textId="77777777" w:rsidR="002641D2" w:rsidRPr="00FA3F9C" w:rsidRDefault="002641D2" w:rsidP="00E4013F">
            <w:pPr>
              <w:rPr>
                <w:rFonts w:ascii="Arial" w:hAnsi="Arial" w:cs="Arial"/>
                <w:sz w:val="24"/>
                <w:szCs w:val="24"/>
              </w:rPr>
            </w:pPr>
            <w:r w:rsidRPr="00FA3F9C">
              <w:rPr>
                <w:rFonts w:ascii="Arial" w:hAnsi="Arial" w:cs="Arial"/>
                <w:sz w:val="24"/>
                <w:szCs w:val="24"/>
              </w:rPr>
              <w:t>Jill inserted the requirement that CF patients on ivacaftor must be tobacco free; introduced continuation criteria; and changed the language for demonstrating adherence to evidence-based SOC therapies.  Also added reference for current CF guidelines.</w:t>
            </w:r>
          </w:p>
        </w:tc>
        <w:tc>
          <w:tcPr>
            <w:tcW w:w="1456" w:type="dxa"/>
          </w:tcPr>
          <w:p w14:paraId="08EB4A6B" w14:textId="77777777" w:rsidR="002641D2" w:rsidRPr="00FA3F9C" w:rsidRDefault="002641D2" w:rsidP="00E4013F">
            <w:pPr>
              <w:rPr>
                <w:rFonts w:ascii="Arial" w:hAnsi="Arial" w:cs="Arial"/>
                <w:sz w:val="24"/>
                <w:szCs w:val="24"/>
              </w:rPr>
            </w:pPr>
            <w:r w:rsidRPr="00FA3F9C">
              <w:rPr>
                <w:rFonts w:ascii="Arial" w:hAnsi="Arial" w:cs="Arial"/>
                <w:sz w:val="24"/>
                <w:szCs w:val="24"/>
              </w:rPr>
              <w:t>JJ</w:t>
            </w:r>
          </w:p>
        </w:tc>
      </w:tr>
      <w:tr w:rsidR="002641D2" w:rsidRPr="00FA3F9C" w14:paraId="124B81C4" w14:textId="77777777" w:rsidTr="005801ED">
        <w:tc>
          <w:tcPr>
            <w:tcW w:w="1310" w:type="dxa"/>
          </w:tcPr>
          <w:p w14:paraId="2791CE52" w14:textId="77777777" w:rsidR="002641D2" w:rsidRPr="00FA3F9C" w:rsidRDefault="002641D2" w:rsidP="00B136B1">
            <w:pPr>
              <w:rPr>
                <w:rFonts w:ascii="Arial" w:hAnsi="Arial" w:cs="Arial"/>
                <w:sz w:val="24"/>
                <w:szCs w:val="24"/>
              </w:rPr>
            </w:pPr>
            <w:r w:rsidRPr="00FA3F9C">
              <w:rPr>
                <w:rFonts w:ascii="Arial" w:hAnsi="Arial" w:cs="Arial"/>
                <w:sz w:val="24"/>
                <w:szCs w:val="24"/>
              </w:rPr>
              <w:t>10/14/15</w:t>
            </w:r>
          </w:p>
        </w:tc>
        <w:tc>
          <w:tcPr>
            <w:tcW w:w="8250" w:type="dxa"/>
          </w:tcPr>
          <w:p w14:paraId="1FA4ECF8" w14:textId="77777777" w:rsidR="002641D2" w:rsidRPr="00FA3F9C" w:rsidRDefault="002641D2" w:rsidP="00E4013F">
            <w:pPr>
              <w:rPr>
                <w:rFonts w:ascii="Arial" w:hAnsi="Arial" w:cs="Arial"/>
                <w:sz w:val="24"/>
                <w:szCs w:val="24"/>
              </w:rPr>
            </w:pPr>
            <w:r w:rsidRPr="00FA3F9C">
              <w:rPr>
                <w:rFonts w:ascii="Arial" w:hAnsi="Arial" w:cs="Arial"/>
                <w:sz w:val="24"/>
                <w:szCs w:val="24"/>
              </w:rPr>
              <w:t>I clarified the continuation therapy, defined “compliance” as a fill of ivacaftor and the standard of care medications every month, and corrected the way the key should be answered for continuation criteria to maintain access to the drug.</w:t>
            </w:r>
          </w:p>
        </w:tc>
        <w:tc>
          <w:tcPr>
            <w:tcW w:w="1456" w:type="dxa"/>
          </w:tcPr>
          <w:p w14:paraId="15239D05" w14:textId="77777777" w:rsidR="002641D2" w:rsidRPr="00FA3F9C" w:rsidRDefault="002641D2" w:rsidP="00E4013F">
            <w:pPr>
              <w:rPr>
                <w:rFonts w:ascii="Arial" w:hAnsi="Arial" w:cs="Arial"/>
                <w:sz w:val="24"/>
                <w:szCs w:val="24"/>
              </w:rPr>
            </w:pPr>
            <w:r w:rsidRPr="00FA3F9C">
              <w:rPr>
                <w:rFonts w:ascii="Arial" w:hAnsi="Arial" w:cs="Arial"/>
                <w:sz w:val="24"/>
                <w:szCs w:val="24"/>
              </w:rPr>
              <w:t>JJ</w:t>
            </w:r>
          </w:p>
        </w:tc>
      </w:tr>
      <w:tr w:rsidR="002641D2" w:rsidRPr="00FA3F9C" w14:paraId="09BA1E9C" w14:textId="77777777" w:rsidTr="005801ED">
        <w:tc>
          <w:tcPr>
            <w:tcW w:w="1310" w:type="dxa"/>
          </w:tcPr>
          <w:p w14:paraId="75BDF179" w14:textId="77777777" w:rsidR="002641D2" w:rsidRPr="00FA3F9C" w:rsidRDefault="002641D2" w:rsidP="00B136B1">
            <w:pPr>
              <w:rPr>
                <w:rFonts w:ascii="Arial" w:hAnsi="Arial" w:cs="Arial"/>
                <w:sz w:val="24"/>
                <w:szCs w:val="24"/>
              </w:rPr>
            </w:pPr>
            <w:r w:rsidRPr="00FA3F9C">
              <w:rPr>
                <w:rFonts w:ascii="Arial" w:hAnsi="Arial" w:cs="Arial"/>
                <w:sz w:val="24"/>
                <w:szCs w:val="24"/>
              </w:rPr>
              <w:t>07/26/2017</w:t>
            </w:r>
          </w:p>
        </w:tc>
        <w:tc>
          <w:tcPr>
            <w:tcW w:w="8250" w:type="dxa"/>
          </w:tcPr>
          <w:p w14:paraId="12E5B4C8" w14:textId="77777777" w:rsidR="002641D2" w:rsidRPr="00FA3F9C" w:rsidRDefault="002641D2" w:rsidP="002059E3">
            <w:pPr>
              <w:rPr>
                <w:rFonts w:ascii="Arial" w:hAnsi="Arial" w:cs="Arial"/>
                <w:sz w:val="24"/>
                <w:szCs w:val="24"/>
              </w:rPr>
            </w:pPr>
            <w:r w:rsidRPr="00FA3F9C">
              <w:rPr>
                <w:rFonts w:ascii="Arial" w:hAnsi="Arial" w:cs="Arial"/>
                <w:sz w:val="24"/>
                <w:szCs w:val="24"/>
              </w:rPr>
              <w:t xml:space="preserve">Coverage updated to ONLY include genotypes with clinical efficacy determined by a </w:t>
            </w:r>
            <w:r w:rsidRPr="00FA3F9C">
              <w:rPr>
                <w:rFonts w:ascii="Arial" w:eastAsia="Calibri" w:hAnsi="Arial" w:cs="Arial"/>
                <w:sz w:val="24"/>
                <w:szCs w:val="24"/>
              </w:rPr>
              <w:t>mean change in baseline CFQ – R scores ≥ 4 and a minimum change in CFQ – R scores ≥ 4 for each subgroup. Genotypes that only had in-vitro data or did not meet the MCID criteria in clinical trials were excluded.</w:t>
            </w:r>
          </w:p>
        </w:tc>
        <w:tc>
          <w:tcPr>
            <w:tcW w:w="1456" w:type="dxa"/>
          </w:tcPr>
          <w:p w14:paraId="11552005" w14:textId="77777777" w:rsidR="002641D2" w:rsidRPr="00FA3F9C" w:rsidRDefault="002641D2" w:rsidP="00E4013F">
            <w:pPr>
              <w:rPr>
                <w:rFonts w:ascii="Arial" w:hAnsi="Arial" w:cs="Arial"/>
                <w:sz w:val="24"/>
                <w:szCs w:val="24"/>
              </w:rPr>
            </w:pPr>
            <w:r w:rsidRPr="00FA3F9C">
              <w:rPr>
                <w:rFonts w:ascii="Arial" w:hAnsi="Arial" w:cs="Arial"/>
                <w:sz w:val="24"/>
                <w:szCs w:val="24"/>
              </w:rPr>
              <w:t>JK</w:t>
            </w:r>
          </w:p>
        </w:tc>
      </w:tr>
      <w:tr w:rsidR="002641D2" w:rsidRPr="00FA3F9C" w14:paraId="6EC044A5" w14:textId="77777777" w:rsidTr="005801ED">
        <w:tc>
          <w:tcPr>
            <w:tcW w:w="1310" w:type="dxa"/>
          </w:tcPr>
          <w:p w14:paraId="44350264" w14:textId="77777777" w:rsidR="002641D2" w:rsidRPr="00FA3F9C" w:rsidRDefault="002641D2" w:rsidP="00B136B1">
            <w:pPr>
              <w:rPr>
                <w:rFonts w:ascii="Arial" w:hAnsi="Arial" w:cs="Arial"/>
                <w:sz w:val="24"/>
                <w:szCs w:val="24"/>
              </w:rPr>
            </w:pPr>
            <w:r w:rsidRPr="00FA3F9C">
              <w:rPr>
                <w:rFonts w:ascii="Arial" w:hAnsi="Arial" w:cs="Arial"/>
                <w:sz w:val="24"/>
                <w:szCs w:val="24"/>
              </w:rPr>
              <w:t>12/16/19</w:t>
            </w:r>
          </w:p>
        </w:tc>
        <w:tc>
          <w:tcPr>
            <w:tcW w:w="8250" w:type="dxa"/>
          </w:tcPr>
          <w:p w14:paraId="40A98740" w14:textId="77777777" w:rsidR="002641D2" w:rsidRPr="00FA3F9C" w:rsidRDefault="002641D2" w:rsidP="002059E3">
            <w:pPr>
              <w:rPr>
                <w:rFonts w:ascii="Arial" w:hAnsi="Arial" w:cs="Arial"/>
                <w:sz w:val="24"/>
                <w:szCs w:val="24"/>
              </w:rPr>
            </w:pPr>
            <w:r w:rsidRPr="00FA3F9C">
              <w:rPr>
                <w:rFonts w:ascii="Arial" w:hAnsi="Arial" w:cs="Arial"/>
                <w:sz w:val="24"/>
                <w:szCs w:val="24"/>
              </w:rPr>
              <w:t>I updated the criteria to be consistent with the CF recs per UpToDate.</w:t>
            </w:r>
          </w:p>
        </w:tc>
        <w:tc>
          <w:tcPr>
            <w:tcW w:w="1456" w:type="dxa"/>
          </w:tcPr>
          <w:p w14:paraId="42B682AF" w14:textId="77777777" w:rsidR="002641D2" w:rsidRPr="00FA3F9C" w:rsidRDefault="002641D2" w:rsidP="00E4013F">
            <w:pPr>
              <w:rPr>
                <w:rFonts w:ascii="Arial" w:hAnsi="Arial" w:cs="Arial"/>
                <w:sz w:val="24"/>
                <w:szCs w:val="24"/>
              </w:rPr>
            </w:pPr>
            <w:r w:rsidRPr="00FA3F9C">
              <w:rPr>
                <w:rFonts w:ascii="Arial" w:hAnsi="Arial" w:cs="Arial"/>
                <w:sz w:val="24"/>
                <w:szCs w:val="24"/>
              </w:rPr>
              <w:t>JJ</w:t>
            </w:r>
          </w:p>
        </w:tc>
      </w:tr>
      <w:tr w:rsidR="002641D2" w:rsidRPr="00FA3F9C" w14:paraId="237D23F5" w14:textId="77777777" w:rsidTr="005801ED">
        <w:tc>
          <w:tcPr>
            <w:tcW w:w="1310" w:type="dxa"/>
          </w:tcPr>
          <w:p w14:paraId="61165C4F" w14:textId="77777777" w:rsidR="002641D2" w:rsidRPr="00FA3F9C" w:rsidRDefault="002641D2" w:rsidP="00B136B1">
            <w:pPr>
              <w:rPr>
                <w:rFonts w:ascii="Arial" w:hAnsi="Arial" w:cs="Arial"/>
                <w:sz w:val="24"/>
                <w:szCs w:val="24"/>
              </w:rPr>
            </w:pPr>
            <w:r w:rsidRPr="00FA3F9C">
              <w:rPr>
                <w:rFonts w:ascii="Arial" w:hAnsi="Arial" w:cs="Arial"/>
                <w:sz w:val="24"/>
                <w:szCs w:val="24"/>
              </w:rPr>
              <w:t>4/7/21</w:t>
            </w:r>
          </w:p>
        </w:tc>
        <w:tc>
          <w:tcPr>
            <w:tcW w:w="8250" w:type="dxa"/>
          </w:tcPr>
          <w:p w14:paraId="31E031F8" w14:textId="77777777" w:rsidR="002641D2" w:rsidRPr="00FA3F9C" w:rsidRDefault="002641D2" w:rsidP="002059E3">
            <w:pPr>
              <w:rPr>
                <w:rFonts w:ascii="Arial" w:hAnsi="Arial" w:cs="Arial"/>
                <w:sz w:val="24"/>
                <w:szCs w:val="24"/>
              </w:rPr>
            </w:pPr>
            <w:r w:rsidRPr="00FA3F9C">
              <w:rPr>
                <w:rFonts w:ascii="Arial" w:hAnsi="Arial" w:cs="Arial"/>
                <w:sz w:val="24"/>
                <w:szCs w:val="24"/>
              </w:rPr>
              <w:t xml:space="preserve">I clarified who would be eligible.  ICER evaluated ivacaftor and stated the evidence provides high certainty that Kalydeco provides a substantial net health benefit for Kalydeco-eligible patients, including a large reduction in </w:t>
            </w:r>
            <w:r w:rsidRPr="00FA3F9C">
              <w:rPr>
                <w:rFonts w:ascii="Arial" w:hAnsi="Arial" w:cs="Arial"/>
                <w:sz w:val="24"/>
                <w:szCs w:val="24"/>
              </w:rPr>
              <w:lastRenderedPageBreak/>
              <w:t>pulmonary exacerbations (except in those with R117h) as well as improvement in QOL (CFQ-R).  Also applied EBRx criteria to UAS Plan.</w:t>
            </w:r>
          </w:p>
        </w:tc>
        <w:tc>
          <w:tcPr>
            <w:tcW w:w="1456" w:type="dxa"/>
          </w:tcPr>
          <w:p w14:paraId="00E9C6D2" w14:textId="77777777" w:rsidR="002641D2" w:rsidRPr="00FA3F9C" w:rsidRDefault="002641D2" w:rsidP="00E4013F">
            <w:pPr>
              <w:rPr>
                <w:rFonts w:ascii="Arial" w:hAnsi="Arial" w:cs="Arial"/>
                <w:sz w:val="24"/>
                <w:szCs w:val="24"/>
              </w:rPr>
            </w:pPr>
            <w:r w:rsidRPr="00FA3F9C">
              <w:rPr>
                <w:rFonts w:ascii="Arial" w:hAnsi="Arial" w:cs="Arial"/>
                <w:sz w:val="24"/>
                <w:szCs w:val="24"/>
              </w:rPr>
              <w:lastRenderedPageBreak/>
              <w:t>JJ</w:t>
            </w:r>
          </w:p>
        </w:tc>
      </w:tr>
    </w:tbl>
    <w:p w14:paraId="12D9344A" w14:textId="77777777" w:rsidR="002641D2" w:rsidRPr="00FA3F9C" w:rsidRDefault="002641D2" w:rsidP="00E4013F">
      <w:pPr>
        <w:rPr>
          <w:rFonts w:ascii="Arial" w:hAnsi="Arial" w:cs="Arial"/>
          <w:b/>
          <w:sz w:val="24"/>
          <w:szCs w:val="24"/>
        </w:rPr>
      </w:pPr>
    </w:p>
    <w:p w14:paraId="7E21B56C" w14:textId="77777777" w:rsidR="002641D2" w:rsidRPr="00FA3F9C" w:rsidRDefault="002641D2" w:rsidP="002A1632">
      <w:pPr>
        <w:pStyle w:val="Heading2"/>
      </w:pPr>
      <w:bookmarkStart w:id="156" w:name="_Toc106369836"/>
      <w:r w:rsidRPr="00FA3F9C">
        <w:t>Ivermectin (</w:t>
      </w:r>
      <w:proofErr w:type="spellStart"/>
      <w:r w:rsidRPr="00FA3F9C">
        <w:t>Sklice</w:t>
      </w:r>
      <w:proofErr w:type="spellEnd"/>
      <w:r w:rsidRPr="00FA3F9C">
        <w:t>)</w:t>
      </w:r>
      <w:bookmarkEnd w:id="156"/>
    </w:p>
    <w:p w14:paraId="6E39E0C6" w14:textId="77777777" w:rsidR="002641D2" w:rsidRPr="00FA3F9C" w:rsidRDefault="002641D2" w:rsidP="006F623F">
      <w:pPr>
        <w:spacing w:after="0"/>
        <w:jc w:val="center"/>
        <w:rPr>
          <w:rFonts w:ascii="Arial" w:hAnsi="Arial" w:cs="Arial"/>
          <w:sz w:val="24"/>
          <w:szCs w:val="24"/>
        </w:rPr>
      </w:pPr>
      <w:r w:rsidRPr="00FA3F9C">
        <w:rPr>
          <w:rFonts w:ascii="Arial" w:hAnsi="Arial" w:cs="Arial"/>
          <w:sz w:val="24"/>
          <w:szCs w:val="24"/>
        </w:rPr>
        <w:t>EBRx PA Criteria</w:t>
      </w:r>
    </w:p>
    <w:p w14:paraId="3D71058A" w14:textId="77777777" w:rsidR="002641D2" w:rsidRPr="00FA3F9C" w:rsidRDefault="002641D2" w:rsidP="006F623F">
      <w:pPr>
        <w:spacing w:after="0"/>
        <w:rPr>
          <w:rFonts w:ascii="Arial" w:hAnsi="Arial" w:cs="Arial"/>
          <w:b/>
          <w:sz w:val="24"/>
          <w:szCs w:val="24"/>
          <w:u w:val="single"/>
        </w:rPr>
      </w:pPr>
    </w:p>
    <w:p w14:paraId="33EE517B" w14:textId="77777777" w:rsidR="002641D2" w:rsidRPr="00FA3F9C" w:rsidRDefault="002641D2" w:rsidP="006F623F">
      <w:pPr>
        <w:spacing w:after="0"/>
        <w:rPr>
          <w:rFonts w:ascii="Arial" w:hAnsi="Arial" w:cs="Arial"/>
          <w:sz w:val="24"/>
          <w:szCs w:val="24"/>
        </w:rPr>
      </w:pPr>
      <w:r w:rsidRPr="00FA3F9C">
        <w:rPr>
          <w:rFonts w:ascii="Arial" w:hAnsi="Arial" w:cs="Arial"/>
          <w:b/>
          <w:sz w:val="24"/>
          <w:szCs w:val="24"/>
          <w:u w:val="single"/>
        </w:rPr>
        <w:t>FDA-approved for:</w:t>
      </w:r>
      <w:r w:rsidRPr="00FA3F9C">
        <w:rPr>
          <w:rFonts w:ascii="Arial" w:hAnsi="Arial" w:cs="Arial"/>
          <w:sz w:val="24"/>
          <w:szCs w:val="24"/>
        </w:rPr>
        <w:t xml:space="preserve">  treatment of Pediculosis capitis (head lice) infestation in adults and children &gt;6 months old</w:t>
      </w:r>
    </w:p>
    <w:tbl>
      <w:tblPr>
        <w:tblStyle w:val="TableGrid"/>
        <w:tblW w:w="0" w:type="auto"/>
        <w:tblLook w:val="04A0" w:firstRow="1" w:lastRow="0" w:firstColumn="1" w:lastColumn="0" w:noHBand="0" w:noVBand="1"/>
      </w:tblPr>
      <w:tblGrid>
        <w:gridCol w:w="8745"/>
        <w:gridCol w:w="2045"/>
      </w:tblGrid>
      <w:tr w:rsidR="002641D2" w:rsidRPr="00FA3F9C" w14:paraId="46C32C30" w14:textId="77777777" w:rsidTr="00A86E52">
        <w:tc>
          <w:tcPr>
            <w:tcW w:w="8745" w:type="dxa"/>
            <w:shd w:val="clear" w:color="auto" w:fill="000000"/>
          </w:tcPr>
          <w:p w14:paraId="58B8A70F" w14:textId="77777777" w:rsidR="002641D2" w:rsidRPr="00FA3F9C" w:rsidRDefault="002641D2"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45" w:type="dxa"/>
            <w:shd w:val="clear" w:color="auto" w:fill="000000"/>
          </w:tcPr>
          <w:p w14:paraId="3EEDE050" w14:textId="77777777" w:rsidR="002641D2" w:rsidRPr="00FA3F9C" w:rsidRDefault="002641D2" w:rsidP="006F623F">
            <w:pPr>
              <w:jc w:val="center"/>
              <w:rPr>
                <w:rFonts w:ascii="Arial" w:hAnsi="Arial" w:cs="Arial"/>
                <w:b/>
                <w:sz w:val="24"/>
                <w:szCs w:val="24"/>
                <w:u w:val="single"/>
              </w:rPr>
            </w:pPr>
          </w:p>
        </w:tc>
      </w:tr>
      <w:tr w:rsidR="002641D2" w:rsidRPr="00FA3F9C" w14:paraId="64A70CE1" w14:textId="77777777" w:rsidTr="00A86E52">
        <w:tc>
          <w:tcPr>
            <w:tcW w:w="10790" w:type="dxa"/>
            <w:gridSpan w:val="2"/>
          </w:tcPr>
          <w:p w14:paraId="48830015" w14:textId="77777777" w:rsidR="002641D2" w:rsidRPr="00FA3F9C" w:rsidRDefault="002641D2" w:rsidP="00A86E52">
            <w:pPr>
              <w:rPr>
                <w:rFonts w:ascii="Arial" w:hAnsi="Arial" w:cs="Arial"/>
                <w:sz w:val="24"/>
                <w:szCs w:val="24"/>
              </w:rPr>
            </w:pPr>
            <w:r w:rsidRPr="00FA3F9C">
              <w:rPr>
                <w:rFonts w:ascii="Arial" w:hAnsi="Arial" w:cs="Arial"/>
                <w:sz w:val="24"/>
                <w:szCs w:val="24"/>
              </w:rPr>
              <w:t xml:space="preserve">1.  The patient must have had a 2 courses of treatment with permethrins and </w:t>
            </w:r>
            <w:proofErr w:type="spellStart"/>
            <w:r w:rsidRPr="00FA3F9C">
              <w:rPr>
                <w:rFonts w:ascii="Arial" w:hAnsi="Arial" w:cs="Arial"/>
                <w:sz w:val="24"/>
                <w:szCs w:val="24"/>
              </w:rPr>
              <w:t>spinosad</w:t>
            </w:r>
            <w:proofErr w:type="spellEnd"/>
            <w:r w:rsidRPr="00FA3F9C">
              <w:rPr>
                <w:rFonts w:ascii="Arial" w:hAnsi="Arial" w:cs="Arial"/>
                <w:sz w:val="24"/>
                <w:szCs w:val="24"/>
              </w:rPr>
              <w:t xml:space="preserve"> (</w:t>
            </w:r>
            <w:proofErr w:type="spellStart"/>
            <w:r w:rsidRPr="00FA3F9C">
              <w:rPr>
                <w:rFonts w:ascii="Arial" w:hAnsi="Arial" w:cs="Arial"/>
                <w:sz w:val="24"/>
                <w:szCs w:val="24"/>
              </w:rPr>
              <w:t>Natroba</w:t>
            </w:r>
            <w:proofErr w:type="spellEnd"/>
            <w:r w:rsidRPr="00FA3F9C">
              <w:rPr>
                <w:rFonts w:ascii="Arial" w:hAnsi="Arial" w:cs="Arial"/>
                <w:sz w:val="24"/>
                <w:szCs w:val="24"/>
              </w:rPr>
              <w:t xml:space="preserve">) in the past 30 </w:t>
            </w:r>
            <w:proofErr w:type="gramStart"/>
            <w:r w:rsidRPr="00FA3F9C">
              <w:rPr>
                <w:rFonts w:ascii="Arial" w:hAnsi="Arial" w:cs="Arial"/>
                <w:sz w:val="24"/>
                <w:szCs w:val="24"/>
              </w:rPr>
              <w:t>days..</w:t>
            </w:r>
            <w:proofErr w:type="gramEnd"/>
          </w:p>
        </w:tc>
      </w:tr>
    </w:tbl>
    <w:p w14:paraId="77A5F91D" w14:textId="77777777" w:rsidR="002641D2" w:rsidRPr="00FA3F9C" w:rsidRDefault="002641D2" w:rsidP="006F623F">
      <w:pPr>
        <w:spacing w:after="0"/>
        <w:rPr>
          <w:rFonts w:ascii="Arial" w:hAnsi="Arial" w:cs="Arial"/>
          <w:sz w:val="24"/>
          <w:szCs w:val="24"/>
        </w:rPr>
      </w:pPr>
      <w:r w:rsidRPr="00FA3F9C">
        <w:rPr>
          <w:rFonts w:ascii="Arial" w:hAnsi="Arial" w:cs="Arial"/>
          <w:sz w:val="24"/>
          <w:szCs w:val="24"/>
        </w:rPr>
        <w:t xml:space="preserve"> “It is concluded that both 1% permethrin and 0.5% ivermectin have comparable efficacies in managing pediculosis capitis infestation, but permethrin was found to be more effective in treatment…the efficacies of 1% permethrin lotion are almost comparable with 0.5% ivermectin shampoo. But, on subsequent follow up visits, 1% permethrin shampoo was found to be superior in treating pediculosis capitis”(2)***ivermectin had lack of efficacy at 4 weeks in 10% of subjects that initially responded versus permethrin 0% seen in initial responders, may suggest rapid resistance development to ivermectin***</w:t>
      </w:r>
    </w:p>
    <w:p w14:paraId="3552C486" w14:textId="77777777" w:rsidR="002641D2" w:rsidRPr="00FA3F9C" w:rsidRDefault="002641D2" w:rsidP="006F623F">
      <w:pPr>
        <w:spacing w:after="0"/>
        <w:rPr>
          <w:rFonts w:ascii="Arial" w:hAnsi="Arial" w:cs="Arial"/>
          <w:sz w:val="24"/>
          <w:szCs w:val="24"/>
        </w:rPr>
      </w:pPr>
    </w:p>
    <w:p w14:paraId="434A0D3D" w14:textId="77777777" w:rsidR="002641D2" w:rsidRPr="00FA3F9C" w:rsidRDefault="002641D2" w:rsidP="006F623F">
      <w:pPr>
        <w:spacing w:after="0"/>
        <w:rPr>
          <w:rFonts w:ascii="Arial" w:hAnsi="Arial" w:cs="Arial"/>
          <w:sz w:val="24"/>
          <w:szCs w:val="24"/>
        </w:rPr>
      </w:pPr>
      <w:r w:rsidRPr="00FA3F9C">
        <w:rPr>
          <w:rFonts w:ascii="Arial" w:hAnsi="Arial" w:cs="Arial"/>
          <w:sz w:val="24"/>
          <w:szCs w:val="24"/>
        </w:rPr>
        <w:t xml:space="preserve">2015 AAP </w:t>
      </w:r>
      <w:proofErr w:type="spellStart"/>
      <w:r w:rsidRPr="00FA3F9C">
        <w:rPr>
          <w:rFonts w:ascii="Arial" w:hAnsi="Arial" w:cs="Arial"/>
          <w:sz w:val="24"/>
          <w:szCs w:val="24"/>
        </w:rPr>
        <w:t>AAP</w:t>
      </w:r>
      <w:proofErr w:type="spellEnd"/>
      <w:r w:rsidRPr="00FA3F9C">
        <w:rPr>
          <w:rFonts w:ascii="Arial" w:hAnsi="Arial" w:cs="Arial"/>
          <w:sz w:val="24"/>
          <w:szCs w:val="24"/>
        </w:rPr>
        <w:t xml:space="preserve"> Updates Treatments for Head Lice: “in areas where resistance to permethrin or </w:t>
      </w:r>
      <w:proofErr w:type="spellStart"/>
      <w:r w:rsidRPr="00FA3F9C">
        <w:rPr>
          <w:rFonts w:ascii="Arial" w:hAnsi="Arial" w:cs="Arial"/>
          <w:sz w:val="24"/>
          <w:szCs w:val="24"/>
        </w:rPr>
        <w:t>pyrethrins</w:t>
      </w:r>
      <w:proofErr w:type="spellEnd"/>
      <w:r w:rsidRPr="00FA3F9C">
        <w:rPr>
          <w:rFonts w:ascii="Arial" w:hAnsi="Arial" w:cs="Arial"/>
          <w:sz w:val="24"/>
          <w:szCs w:val="24"/>
        </w:rPr>
        <w:t xml:space="preserve"> has been demonstrated or for a patient with a documented infestation that has failed to respond to appropriately administered therapy with permethrin or </w:t>
      </w:r>
      <w:proofErr w:type="spellStart"/>
      <w:r w:rsidRPr="00FA3F9C">
        <w:rPr>
          <w:rFonts w:ascii="Arial" w:hAnsi="Arial" w:cs="Arial"/>
          <w:sz w:val="24"/>
          <w:szCs w:val="24"/>
        </w:rPr>
        <w:t>pyrethrins</w:t>
      </w:r>
      <w:proofErr w:type="spellEnd"/>
      <w:r w:rsidRPr="00FA3F9C">
        <w:rPr>
          <w:rFonts w:ascii="Arial" w:hAnsi="Arial" w:cs="Arial"/>
          <w:sz w:val="24"/>
          <w:szCs w:val="24"/>
        </w:rPr>
        <w:t>. Spinosad and topical ivermectin are newer preparations that might prove helpful in difficult cases” (1)</w:t>
      </w:r>
    </w:p>
    <w:p w14:paraId="0AEABEB8" w14:textId="77777777" w:rsidR="002641D2" w:rsidRPr="00FA3F9C" w:rsidRDefault="002641D2" w:rsidP="006F623F">
      <w:pPr>
        <w:spacing w:after="0"/>
        <w:rPr>
          <w:rFonts w:ascii="Arial" w:hAnsi="Arial" w:cs="Arial"/>
          <w:sz w:val="24"/>
          <w:szCs w:val="24"/>
        </w:rPr>
      </w:pPr>
    </w:p>
    <w:p w14:paraId="6AA35F59" w14:textId="77777777" w:rsidR="002641D2" w:rsidRPr="00FA3F9C" w:rsidRDefault="002641D2" w:rsidP="006F623F">
      <w:pPr>
        <w:spacing w:after="0"/>
        <w:rPr>
          <w:rFonts w:ascii="Arial" w:hAnsi="Arial" w:cs="Arial"/>
          <w:color w:val="333333"/>
          <w:sz w:val="24"/>
          <w:szCs w:val="24"/>
        </w:rPr>
      </w:pPr>
      <w:r w:rsidRPr="00FA3F9C">
        <w:rPr>
          <w:rFonts w:ascii="Arial" w:hAnsi="Arial" w:cs="Arial"/>
          <w:sz w:val="24"/>
          <w:szCs w:val="24"/>
        </w:rPr>
        <w:t>“</w:t>
      </w:r>
      <w:r w:rsidRPr="00FA3F9C">
        <w:rPr>
          <w:rFonts w:ascii="Arial" w:hAnsi="Arial" w:cs="Arial"/>
          <w:color w:val="333333"/>
          <w:sz w:val="24"/>
          <w:szCs w:val="24"/>
        </w:rPr>
        <w:t xml:space="preserve">Spinosad, which did not require nit combing, was significantly more effective than permethrin in 2 studies reflecting actual-use conditions, and most </w:t>
      </w:r>
      <w:proofErr w:type="spellStart"/>
      <w:r w:rsidRPr="00FA3F9C">
        <w:rPr>
          <w:rFonts w:ascii="Arial" w:hAnsi="Arial" w:cs="Arial"/>
          <w:color w:val="333333"/>
          <w:sz w:val="24"/>
          <w:szCs w:val="24"/>
        </w:rPr>
        <w:t>spinosad</w:t>
      </w:r>
      <w:proofErr w:type="spellEnd"/>
      <w:r w:rsidRPr="00FA3F9C">
        <w:rPr>
          <w:rFonts w:ascii="Arial" w:hAnsi="Arial" w:cs="Arial"/>
          <w:color w:val="333333"/>
          <w:sz w:val="24"/>
          <w:szCs w:val="24"/>
        </w:rPr>
        <w:t>-treated participants required only 1 application”(4)</w:t>
      </w:r>
    </w:p>
    <w:p w14:paraId="188DD69D" w14:textId="77777777" w:rsidR="002641D2" w:rsidRPr="00FA3F9C" w:rsidRDefault="002641D2" w:rsidP="006F623F">
      <w:pPr>
        <w:spacing w:after="0"/>
        <w:rPr>
          <w:rFonts w:ascii="Arial" w:hAnsi="Arial" w:cs="Arial"/>
          <w:sz w:val="24"/>
          <w:szCs w:val="24"/>
        </w:rPr>
      </w:pPr>
    </w:p>
    <w:p w14:paraId="146F137D" w14:textId="77777777" w:rsidR="002641D2" w:rsidRPr="00FA3F9C" w:rsidRDefault="002641D2" w:rsidP="006F623F">
      <w:pPr>
        <w:spacing w:after="0"/>
        <w:rPr>
          <w:rFonts w:ascii="Arial" w:hAnsi="Arial" w:cs="Arial"/>
          <w:b/>
          <w:bCs/>
          <w:sz w:val="24"/>
          <w:szCs w:val="24"/>
        </w:rPr>
      </w:pPr>
      <w:r w:rsidRPr="00FA3F9C">
        <w:rPr>
          <w:rFonts w:ascii="Arial" w:hAnsi="Arial" w:cs="Arial"/>
          <w:b/>
          <w:bCs/>
          <w:sz w:val="24"/>
          <w:szCs w:val="24"/>
        </w:rPr>
        <w:t>AWP (12/16/19)</w:t>
      </w:r>
    </w:p>
    <w:p w14:paraId="044B5CB5" w14:textId="77777777" w:rsidR="002641D2" w:rsidRPr="00FA3F9C" w:rsidRDefault="002641D2" w:rsidP="006F623F">
      <w:pPr>
        <w:spacing w:after="0"/>
        <w:rPr>
          <w:rFonts w:ascii="Arial" w:hAnsi="Arial" w:cs="Arial"/>
          <w:sz w:val="24"/>
          <w:szCs w:val="24"/>
        </w:rPr>
      </w:pPr>
      <w:r w:rsidRPr="00FA3F9C">
        <w:rPr>
          <w:rFonts w:ascii="Arial" w:hAnsi="Arial" w:cs="Arial"/>
          <w:sz w:val="24"/>
          <w:szCs w:val="24"/>
        </w:rPr>
        <w:t>$ 3.52 per gram, $411.84 per tube (only available in 117 g tube)</w:t>
      </w:r>
    </w:p>
    <w:p w14:paraId="5A304B5E" w14:textId="77777777" w:rsidR="002641D2" w:rsidRPr="00FA3F9C" w:rsidRDefault="002641D2" w:rsidP="006F623F">
      <w:pPr>
        <w:spacing w:after="0"/>
        <w:rPr>
          <w:rFonts w:ascii="Arial" w:hAnsi="Arial" w:cs="Arial"/>
          <w:sz w:val="24"/>
          <w:szCs w:val="24"/>
        </w:rPr>
      </w:pPr>
      <w:r w:rsidRPr="00FA3F9C">
        <w:rPr>
          <w:rFonts w:ascii="Arial" w:hAnsi="Arial" w:cs="Arial"/>
          <w:sz w:val="24"/>
          <w:szCs w:val="24"/>
        </w:rPr>
        <w:t>Cost of comparator: Spinosad($288/120 mL bottle)</w:t>
      </w:r>
    </w:p>
    <w:p w14:paraId="09C83729" w14:textId="77777777" w:rsidR="002641D2" w:rsidRPr="00FA3F9C" w:rsidRDefault="002641D2" w:rsidP="006F623F">
      <w:pPr>
        <w:spacing w:after="0"/>
        <w:rPr>
          <w:rFonts w:ascii="Arial" w:hAnsi="Arial" w:cs="Arial"/>
          <w:b/>
          <w:bCs/>
          <w:sz w:val="24"/>
          <w:szCs w:val="24"/>
        </w:rPr>
      </w:pPr>
      <w:r w:rsidRPr="00FA3F9C">
        <w:rPr>
          <w:rFonts w:ascii="Arial" w:hAnsi="Arial" w:cs="Arial"/>
          <w:b/>
          <w:bCs/>
          <w:sz w:val="24"/>
          <w:szCs w:val="24"/>
        </w:rPr>
        <w:t>References</w:t>
      </w:r>
    </w:p>
    <w:p w14:paraId="60F8C37C" w14:textId="77777777" w:rsidR="002641D2" w:rsidRPr="00FA3F9C" w:rsidRDefault="002641D2" w:rsidP="002641D2">
      <w:pPr>
        <w:pStyle w:val="ListParagraph"/>
        <w:numPr>
          <w:ilvl w:val="0"/>
          <w:numId w:val="287"/>
        </w:numPr>
        <w:spacing w:after="0" w:line="276" w:lineRule="auto"/>
        <w:rPr>
          <w:rFonts w:ascii="Arial" w:hAnsi="Arial" w:cs="Arial"/>
          <w:sz w:val="24"/>
          <w:szCs w:val="24"/>
        </w:rPr>
      </w:pPr>
      <w:r w:rsidRPr="00FA3F9C">
        <w:rPr>
          <w:rFonts w:ascii="Arial" w:hAnsi="Arial" w:cs="Arial"/>
          <w:sz w:val="24"/>
          <w:szCs w:val="24"/>
        </w:rPr>
        <w:t xml:space="preserve">AAP. (2015). Head lice clinical report. Accessed 11/22/19 at </w:t>
      </w:r>
      <w:hyperlink r:id="rId254" w:history="1">
        <w:r w:rsidRPr="00FA3F9C">
          <w:rPr>
            <w:rStyle w:val="Hyperlink"/>
            <w:rFonts w:ascii="Arial" w:hAnsi="Arial" w:cs="Arial"/>
            <w:sz w:val="24"/>
            <w:szCs w:val="24"/>
          </w:rPr>
          <w:t>https://pediatrics.aappublications.org/content/pediatrics/early/2015/04/21/peds.2015-0746.full.pdf</w:t>
        </w:r>
      </w:hyperlink>
    </w:p>
    <w:p w14:paraId="4270509A" w14:textId="77777777" w:rsidR="002641D2" w:rsidRPr="00FA3F9C" w:rsidRDefault="002641D2" w:rsidP="002641D2">
      <w:pPr>
        <w:pStyle w:val="ListParagraph"/>
        <w:numPr>
          <w:ilvl w:val="0"/>
          <w:numId w:val="287"/>
        </w:numPr>
        <w:spacing w:after="0" w:line="276" w:lineRule="auto"/>
        <w:rPr>
          <w:rStyle w:val="Hyperlink"/>
          <w:rFonts w:ascii="Arial" w:hAnsi="Arial" w:cs="Arial"/>
          <w:sz w:val="24"/>
          <w:szCs w:val="24"/>
        </w:rPr>
      </w:pPr>
      <w:proofErr w:type="spellStart"/>
      <w:r w:rsidRPr="00FA3F9C">
        <w:rPr>
          <w:rFonts w:ascii="Arial" w:hAnsi="Arial" w:cs="Arial"/>
          <w:sz w:val="24"/>
          <w:szCs w:val="24"/>
        </w:rPr>
        <w:lastRenderedPageBreak/>
        <w:t>Monisha</w:t>
      </w:r>
      <w:proofErr w:type="spellEnd"/>
      <w:r w:rsidRPr="00FA3F9C">
        <w:rPr>
          <w:rFonts w:ascii="Arial" w:hAnsi="Arial" w:cs="Arial"/>
          <w:sz w:val="24"/>
          <w:szCs w:val="24"/>
        </w:rPr>
        <w:t xml:space="preserve">. B.M. (2018). Comparison of efficiency of 1% permethrin lotion vs. 0.5% ivermectin shampoo in the treatment of Pediculosis capitis. Accessed 11/25/19 at </w:t>
      </w:r>
      <w:hyperlink r:id="rId255" w:history="1">
        <w:r w:rsidRPr="00FA3F9C">
          <w:rPr>
            <w:rStyle w:val="Hyperlink"/>
            <w:rFonts w:ascii="Arial" w:hAnsi="Arial" w:cs="Arial"/>
            <w:sz w:val="24"/>
            <w:szCs w:val="24"/>
          </w:rPr>
          <w:t>http://dx.doi.org/10.18203/issn.2455-4529.IntJResDermatol20183158</w:t>
        </w:r>
      </w:hyperlink>
    </w:p>
    <w:p w14:paraId="69D0F4A4" w14:textId="77777777" w:rsidR="002641D2" w:rsidRPr="00FA3F9C" w:rsidRDefault="002641D2" w:rsidP="002641D2">
      <w:pPr>
        <w:pStyle w:val="ListParagraph"/>
        <w:numPr>
          <w:ilvl w:val="0"/>
          <w:numId w:val="287"/>
        </w:numPr>
        <w:spacing w:after="0" w:line="276" w:lineRule="auto"/>
        <w:rPr>
          <w:rFonts w:ascii="Arial" w:hAnsi="Arial" w:cs="Arial"/>
          <w:sz w:val="24"/>
          <w:szCs w:val="24"/>
        </w:rPr>
      </w:pPr>
      <w:r w:rsidRPr="00FA3F9C">
        <w:rPr>
          <w:rFonts w:ascii="Arial" w:hAnsi="Arial" w:cs="Arial"/>
          <w:sz w:val="24"/>
          <w:szCs w:val="24"/>
        </w:rPr>
        <w:t>Lexicomp. Ivermectin alpha/monograph.  Accessed 11/25/19</w:t>
      </w:r>
      <w:bookmarkStart w:id="157" w:name="_Hlk25587961"/>
      <w:r w:rsidRPr="00FA3F9C">
        <w:rPr>
          <w:rFonts w:ascii="Arial" w:hAnsi="Arial" w:cs="Arial"/>
          <w:sz w:val="24"/>
          <w:szCs w:val="24"/>
        </w:rPr>
        <w:t xml:space="preserve"> </w:t>
      </w:r>
    </w:p>
    <w:p w14:paraId="10462979" w14:textId="77777777" w:rsidR="002641D2" w:rsidRPr="00FA3F9C" w:rsidRDefault="002641D2" w:rsidP="002641D2">
      <w:pPr>
        <w:pStyle w:val="ListParagraph"/>
        <w:numPr>
          <w:ilvl w:val="0"/>
          <w:numId w:val="287"/>
        </w:numPr>
        <w:spacing w:after="0" w:line="276" w:lineRule="auto"/>
        <w:rPr>
          <w:rFonts w:ascii="Arial" w:hAnsi="Arial" w:cs="Arial"/>
          <w:sz w:val="24"/>
          <w:szCs w:val="24"/>
        </w:rPr>
      </w:pPr>
      <w:r w:rsidRPr="00FA3F9C">
        <w:rPr>
          <w:rFonts w:ascii="Arial" w:hAnsi="Arial" w:cs="Arial"/>
          <w:sz w:val="24"/>
          <w:szCs w:val="24"/>
        </w:rPr>
        <w:t xml:space="preserve">Popescu, C.M. (2012). Efficacy and Safety of Spinosad Cream Rinse for Head Lice. </w:t>
      </w:r>
      <w:r w:rsidRPr="00FA3F9C">
        <w:rPr>
          <w:rStyle w:val="meta-citation-journal-name"/>
          <w:rFonts w:ascii="Arial" w:hAnsi="Arial" w:cs="Arial"/>
          <w:i/>
          <w:iCs/>
          <w:color w:val="333333"/>
          <w:sz w:val="24"/>
          <w:szCs w:val="24"/>
        </w:rPr>
        <w:t>Arch Dermatol. </w:t>
      </w:r>
      <w:r w:rsidRPr="00FA3F9C">
        <w:rPr>
          <w:rStyle w:val="meta-citation"/>
          <w:rFonts w:ascii="Arial" w:hAnsi="Arial" w:cs="Arial"/>
          <w:color w:val="333333"/>
          <w:sz w:val="24"/>
          <w:szCs w:val="24"/>
        </w:rPr>
        <w:t xml:space="preserve">2012;148(9):1065-1069. </w:t>
      </w:r>
      <w:r w:rsidRPr="00FA3F9C">
        <w:rPr>
          <w:rFonts w:ascii="Arial" w:hAnsi="Arial" w:cs="Arial"/>
          <w:sz w:val="24"/>
          <w:szCs w:val="24"/>
        </w:rPr>
        <w:t xml:space="preserve">Accessed 11/25/19 </w:t>
      </w:r>
      <w:hyperlink r:id="rId256" w:history="1">
        <w:r w:rsidRPr="00FA3F9C">
          <w:rPr>
            <w:rStyle w:val="Hyperlink"/>
            <w:rFonts w:ascii="Arial" w:hAnsi="Arial" w:cs="Arial"/>
            <w:sz w:val="24"/>
            <w:szCs w:val="24"/>
          </w:rPr>
          <w:t>https://jamanetwork-com.libproxy.uams.edu/journals/jamadermatology/fullarticle/1359503</w:t>
        </w:r>
      </w:hyperlink>
      <w:bookmarkEnd w:id="157"/>
      <w:r w:rsidRPr="00FA3F9C">
        <w:rPr>
          <w:rFonts w:ascii="Arial" w:hAnsi="Arial" w:cs="Arial"/>
          <w:sz w:val="24"/>
          <w:szCs w:val="24"/>
        </w:rPr>
        <w:t xml:space="preserve"> Revision History:</w:t>
      </w:r>
    </w:p>
    <w:p w14:paraId="6EB1BE07" w14:textId="77777777" w:rsidR="002641D2" w:rsidRPr="00FA3F9C" w:rsidRDefault="002641D2" w:rsidP="00E5275E">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151"/>
        <w:gridCol w:w="7293"/>
        <w:gridCol w:w="2495"/>
      </w:tblGrid>
      <w:tr w:rsidR="002641D2" w:rsidRPr="00FA3F9C" w14:paraId="098561D1" w14:textId="77777777" w:rsidTr="00C85F15">
        <w:tc>
          <w:tcPr>
            <w:tcW w:w="1002" w:type="dxa"/>
          </w:tcPr>
          <w:p w14:paraId="33D3FFCA" w14:textId="77777777" w:rsidR="002641D2" w:rsidRPr="00FA3F9C" w:rsidRDefault="002641D2" w:rsidP="00A8153A">
            <w:pPr>
              <w:rPr>
                <w:rFonts w:ascii="Arial" w:hAnsi="Arial" w:cs="Arial"/>
                <w:sz w:val="24"/>
                <w:szCs w:val="24"/>
              </w:rPr>
            </w:pPr>
            <w:r w:rsidRPr="00FA3F9C">
              <w:rPr>
                <w:rFonts w:ascii="Arial" w:hAnsi="Arial" w:cs="Arial"/>
                <w:sz w:val="24"/>
                <w:szCs w:val="24"/>
              </w:rPr>
              <w:t>Date</w:t>
            </w:r>
          </w:p>
        </w:tc>
        <w:tc>
          <w:tcPr>
            <w:tcW w:w="7293" w:type="dxa"/>
          </w:tcPr>
          <w:p w14:paraId="6708BBED" w14:textId="77777777" w:rsidR="002641D2" w:rsidRPr="00FA3F9C" w:rsidRDefault="002641D2" w:rsidP="00A8153A">
            <w:pPr>
              <w:rPr>
                <w:rFonts w:ascii="Arial" w:hAnsi="Arial" w:cs="Arial"/>
                <w:sz w:val="24"/>
                <w:szCs w:val="24"/>
              </w:rPr>
            </w:pPr>
            <w:r w:rsidRPr="00FA3F9C">
              <w:rPr>
                <w:rFonts w:ascii="Arial" w:hAnsi="Arial" w:cs="Arial"/>
                <w:sz w:val="24"/>
                <w:szCs w:val="24"/>
              </w:rPr>
              <w:t>What changed</w:t>
            </w:r>
          </w:p>
        </w:tc>
        <w:tc>
          <w:tcPr>
            <w:tcW w:w="2495" w:type="dxa"/>
          </w:tcPr>
          <w:p w14:paraId="551E613E" w14:textId="77777777" w:rsidR="002641D2" w:rsidRPr="00FA3F9C" w:rsidRDefault="002641D2" w:rsidP="00A8153A">
            <w:pPr>
              <w:rPr>
                <w:rFonts w:ascii="Arial" w:hAnsi="Arial" w:cs="Arial"/>
                <w:sz w:val="24"/>
                <w:szCs w:val="24"/>
              </w:rPr>
            </w:pPr>
            <w:r w:rsidRPr="00FA3F9C">
              <w:rPr>
                <w:rFonts w:ascii="Arial" w:hAnsi="Arial" w:cs="Arial"/>
                <w:sz w:val="24"/>
                <w:szCs w:val="24"/>
              </w:rPr>
              <w:t>Pharmacist’s initials</w:t>
            </w:r>
          </w:p>
        </w:tc>
      </w:tr>
      <w:tr w:rsidR="002641D2" w:rsidRPr="00FA3F9C" w14:paraId="4A4A42D6" w14:textId="77777777" w:rsidTr="00C85F15">
        <w:tc>
          <w:tcPr>
            <w:tcW w:w="1002" w:type="dxa"/>
          </w:tcPr>
          <w:p w14:paraId="5D063DAE" w14:textId="77777777" w:rsidR="002641D2" w:rsidRPr="00FA3F9C" w:rsidRDefault="002641D2" w:rsidP="00A8153A">
            <w:pPr>
              <w:rPr>
                <w:rFonts w:ascii="Arial" w:hAnsi="Arial" w:cs="Arial"/>
                <w:sz w:val="24"/>
                <w:szCs w:val="24"/>
              </w:rPr>
            </w:pPr>
            <w:r w:rsidRPr="00FA3F9C">
              <w:rPr>
                <w:rFonts w:ascii="Arial" w:hAnsi="Arial" w:cs="Arial"/>
                <w:sz w:val="24"/>
                <w:szCs w:val="24"/>
              </w:rPr>
              <w:t>11/25/19</w:t>
            </w:r>
          </w:p>
        </w:tc>
        <w:tc>
          <w:tcPr>
            <w:tcW w:w="7293" w:type="dxa"/>
          </w:tcPr>
          <w:p w14:paraId="5379233D" w14:textId="77777777" w:rsidR="002641D2" w:rsidRPr="00FA3F9C" w:rsidRDefault="002641D2" w:rsidP="00A8153A">
            <w:pPr>
              <w:rPr>
                <w:rFonts w:ascii="Arial" w:hAnsi="Arial" w:cs="Arial"/>
                <w:sz w:val="24"/>
                <w:szCs w:val="24"/>
              </w:rPr>
            </w:pPr>
            <w:r w:rsidRPr="00FA3F9C">
              <w:rPr>
                <w:rFonts w:ascii="Arial" w:hAnsi="Arial" w:cs="Arial"/>
                <w:sz w:val="24"/>
                <w:szCs w:val="24"/>
              </w:rPr>
              <w:t>Added efficacy/guideline data; New user criteria addition: 2 treatment cycles permethrin and 1 treatment Spinosad (</w:t>
            </w:r>
            <w:proofErr w:type="spellStart"/>
            <w:r w:rsidRPr="00FA3F9C">
              <w:rPr>
                <w:rFonts w:ascii="Arial" w:hAnsi="Arial" w:cs="Arial"/>
                <w:sz w:val="24"/>
                <w:szCs w:val="24"/>
              </w:rPr>
              <w:t>Natroba</w:t>
            </w:r>
            <w:proofErr w:type="spellEnd"/>
            <w:r w:rsidRPr="00FA3F9C">
              <w:rPr>
                <w:rFonts w:ascii="Arial" w:hAnsi="Arial" w:cs="Arial"/>
                <w:sz w:val="24"/>
                <w:szCs w:val="24"/>
              </w:rPr>
              <w:t>) within 30 days</w:t>
            </w:r>
          </w:p>
        </w:tc>
        <w:tc>
          <w:tcPr>
            <w:tcW w:w="2495" w:type="dxa"/>
          </w:tcPr>
          <w:p w14:paraId="6949ABA2" w14:textId="77777777" w:rsidR="002641D2" w:rsidRPr="00FA3F9C" w:rsidRDefault="002641D2" w:rsidP="00A8153A">
            <w:pPr>
              <w:rPr>
                <w:rFonts w:ascii="Arial" w:hAnsi="Arial" w:cs="Arial"/>
                <w:sz w:val="24"/>
                <w:szCs w:val="24"/>
              </w:rPr>
            </w:pPr>
            <w:r w:rsidRPr="00FA3F9C">
              <w:rPr>
                <w:rFonts w:ascii="Arial" w:hAnsi="Arial" w:cs="Arial"/>
                <w:sz w:val="24"/>
                <w:szCs w:val="24"/>
              </w:rPr>
              <w:t>CS/JJ</w:t>
            </w:r>
          </w:p>
        </w:tc>
      </w:tr>
    </w:tbl>
    <w:p w14:paraId="1DF2F58B" w14:textId="77777777" w:rsidR="002641D2" w:rsidRPr="00FA3F9C" w:rsidRDefault="002641D2" w:rsidP="00E5275E">
      <w:pPr>
        <w:spacing w:after="0"/>
        <w:rPr>
          <w:rFonts w:ascii="Arial" w:hAnsi="Arial" w:cs="Arial"/>
          <w:sz w:val="24"/>
          <w:szCs w:val="24"/>
        </w:rPr>
      </w:pPr>
    </w:p>
    <w:p w14:paraId="2314A9C9" w14:textId="77777777" w:rsidR="002641D2" w:rsidRPr="00FA3F9C" w:rsidRDefault="002641D2" w:rsidP="002A1632">
      <w:pPr>
        <w:pStyle w:val="Heading2"/>
      </w:pPr>
      <w:bookmarkStart w:id="158" w:name="_Toc106369837"/>
      <w:proofErr w:type="spellStart"/>
      <w:r w:rsidRPr="00FA3F9C">
        <w:t>Ivosidenib</w:t>
      </w:r>
      <w:proofErr w:type="spellEnd"/>
      <w:r w:rsidRPr="00FA3F9C">
        <w:t xml:space="preserve"> (</w:t>
      </w:r>
      <w:proofErr w:type="spellStart"/>
      <w:r w:rsidRPr="00FA3F9C">
        <w:t>Tibsovo</w:t>
      </w:r>
      <w:proofErr w:type="spellEnd"/>
      <w:r w:rsidRPr="00FA3F9C">
        <w:t>)</w:t>
      </w:r>
      <w:bookmarkEnd w:id="158"/>
      <w:r w:rsidRPr="00FA3F9C">
        <w:t xml:space="preserve"> </w:t>
      </w:r>
    </w:p>
    <w:p w14:paraId="6AC2516B" w14:textId="77777777" w:rsidR="002641D2" w:rsidRPr="00FA3F9C" w:rsidRDefault="002641D2" w:rsidP="006F623F">
      <w:pPr>
        <w:spacing w:after="0"/>
        <w:jc w:val="center"/>
        <w:rPr>
          <w:rFonts w:ascii="Arial" w:hAnsi="Arial" w:cs="Arial"/>
          <w:sz w:val="24"/>
          <w:szCs w:val="24"/>
        </w:rPr>
      </w:pPr>
      <w:r w:rsidRPr="00FA3F9C">
        <w:rPr>
          <w:rFonts w:ascii="Arial" w:hAnsi="Arial" w:cs="Arial"/>
          <w:sz w:val="24"/>
          <w:szCs w:val="24"/>
        </w:rPr>
        <w:t>250 mg tablet</w:t>
      </w:r>
    </w:p>
    <w:p w14:paraId="3BBA6810" w14:textId="77777777" w:rsidR="002641D2" w:rsidRPr="00FA3F9C" w:rsidRDefault="002641D2" w:rsidP="006F623F">
      <w:pPr>
        <w:spacing w:after="0"/>
        <w:jc w:val="center"/>
        <w:rPr>
          <w:rFonts w:ascii="Arial" w:hAnsi="Arial" w:cs="Arial"/>
          <w:sz w:val="24"/>
          <w:szCs w:val="24"/>
        </w:rPr>
      </w:pPr>
      <w:r w:rsidRPr="00FA3F9C">
        <w:rPr>
          <w:rFonts w:ascii="Arial" w:hAnsi="Arial" w:cs="Arial"/>
          <w:sz w:val="24"/>
          <w:szCs w:val="24"/>
        </w:rPr>
        <w:t>EBRx PA Criteria</w:t>
      </w:r>
    </w:p>
    <w:p w14:paraId="793700C1" w14:textId="77777777" w:rsidR="002641D2" w:rsidRPr="00FA3F9C" w:rsidRDefault="002641D2" w:rsidP="006F623F">
      <w:pPr>
        <w:spacing w:after="0"/>
        <w:rPr>
          <w:rFonts w:ascii="Arial" w:hAnsi="Arial" w:cs="Arial"/>
          <w:b/>
          <w:sz w:val="24"/>
          <w:szCs w:val="24"/>
          <w:u w:val="single"/>
        </w:rPr>
      </w:pPr>
    </w:p>
    <w:p w14:paraId="4E24EF3D" w14:textId="77777777" w:rsidR="002641D2" w:rsidRPr="00FA3F9C" w:rsidRDefault="002641D2"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w:t>
      </w:r>
    </w:p>
    <w:p w14:paraId="79FACC33" w14:textId="77777777" w:rsidR="002641D2" w:rsidRPr="00FA3F9C" w:rsidRDefault="002641D2" w:rsidP="002641D2">
      <w:pPr>
        <w:pStyle w:val="ListParagraph"/>
        <w:numPr>
          <w:ilvl w:val="0"/>
          <w:numId w:val="293"/>
        </w:numPr>
        <w:spacing w:after="0"/>
        <w:rPr>
          <w:rFonts w:ascii="Arial" w:hAnsi="Arial" w:cs="Arial"/>
          <w:sz w:val="24"/>
          <w:szCs w:val="24"/>
        </w:rPr>
      </w:pPr>
      <w:r w:rsidRPr="00FA3F9C">
        <w:rPr>
          <w:rFonts w:ascii="Arial" w:hAnsi="Arial" w:cs="Arial"/>
          <w:sz w:val="24"/>
          <w:szCs w:val="24"/>
        </w:rPr>
        <w:t xml:space="preserve">Treatment of adults with relapsed or refractory acute myeloid leukemia (AML) in adult patients with a susceptible isocitrate dehydrogenase-1 (IDH1) mutation as detected by an approved test </w:t>
      </w:r>
      <w:r w:rsidRPr="00FA3F9C">
        <w:rPr>
          <w:rFonts w:ascii="Arial" w:hAnsi="Arial" w:cs="Arial"/>
          <w:sz w:val="24"/>
          <w:szCs w:val="24"/>
          <w:highlight w:val="cyan"/>
        </w:rPr>
        <w:t>SEE CRITERIA</w:t>
      </w:r>
    </w:p>
    <w:p w14:paraId="2578C6F3" w14:textId="77777777" w:rsidR="002641D2" w:rsidRPr="00FA3F9C" w:rsidRDefault="002641D2" w:rsidP="002641D2">
      <w:pPr>
        <w:pStyle w:val="ListParagraph"/>
        <w:numPr>
          <w:ilvl w:val="0"/>
          <w:numId w:val="293"/>
        </w:numPr>
        <w:spacing w:after="0"/>
        <w:rPr>
          <w:rFonts w:ascii="Arial" w:hAnsi="Arial" w:cs="Arial"/>
          <w:sz w:val="24"/>
          <w:szCs w:val="24"/>
        </w:rPr>
      </w:pPr>
      <w:r w:rsidRPr="00FA3F9C">
        <w:rPr>
          <w:rFonts w:ascii="Arial" w:hAnsi="Arial" w:cs="Arial"/>
          <w:sz w:val="24"/>
          <w:szCs w:val="24"/>
        </w:rPr>
        <w:t xml:space="preserve">Adult patients with </w:t>
      </w:r>
      <w:proofErr w:type="gramStart"/>
      <w:r w:rsidRPr="00FA3F9C">
        <w:rPr>
          <w:rFonts w:ascii="Arial" w:hAnsi="Arial" w:cs="Arial"/>
          <w:sz w:val="24"/>
          <w:szCs w:val="24"/>
        </w:rPr>
        <w:t>newly-diagnosed</w:t>
      </w:r>
      <w:proofErr w:type="gramEnd"/>
      <w:r w:rsidRPr="00FA3F9C">
        <w:rPr>
          <w:rFonts w:ascii="Arial" w:hAnsi="Arial" w:cs="Arial"/>
          <w:sz w:val="24"/>
          <w:szCs w:val="24"/>
        </w:rPr>
        <w:t xml:space="preserve"> AML with IDH1 mutation who are ≥ 75 years old or who have comorbidities that preclude use of intensive induction chemotherapy </w:t>
      </w:r>
      <w:r w:rsidRPr="00FA3F9C">
        <w:rPr>
          <w:rFonts w:ascii="Arial" w:hAnsi="Arial" w:cs="Arial"/>
          <w:sz w:val="24"/>
          <w:szCs w:val="24"/>
          <w:highlight w:val="yellow"/>
        </w:rPr>
        <w:t>NOT COVERED</w:t>
      </w:r>
      <w:r w:rsidRPr="00FA3F9C">
        <w:rPr>
          <w:rFonts w:ascii="Arial" w:hAnsi="Arial" w:cs="Arial"/>
          <w:sz w:val="24"/>
          <w:szCs w:val="24"/>
        </w:rPr>
        <w:t xml:space="preserve"> data limited to single arm trial without demonstration of quality of life or overall survival improvement</w:t>
      </w:r>
    </w:p>
    <w:p w14:paraId="25752D06" w14:textId="77777777" w:rsidR="002641D2" w:rsidRPr="00FA3F9C" w:rsidRDefault="002641D2" w:rsidP="002641D2">
      <w:pPr>
        <w:pStyle w:val="ListParagraph"/>
        <w:numPr>
          <w:ilvl w:val="0"/>
          <w:numId w:val="293"/>
        </w:numPr>
        <w:spacing w:after="0"/>
        <w:rPr>
          <w:rFonts w:ascii="Arial" w:hAnsi="Arial" w:cs="Arial"/>
          <w:sz w:val="24"/>
          <w:szCs w:val="24"/>
        </w:rPr>
      </w:pPr>
      <w:r w:rsidRPr="00FA3F9C">
        <w:rPr>
          <w:rFonts w:ascii="Arial" w:hAnsi="Arial" w:cs="Arial"/>
          <w:sz w:val="24"/>
          <w:szCs w:val="24"/>
        </w:rPr>
        <w:t>Locally advanced or metastatic cholangiocarcinoma who have been previously treated</w:t>
      </w:r>
    </w:p>
    <w:p w14:paraId="1B4D035E" w14:textId="77777777" w:rsidR="002641D2" w:rsidRPr="00FA3F9C" w:rsidRDefault="002641D2" w:rsidP="006F623F">
      <w:pPr>
        <w:spacing w:after="0"/>
        <w:rPr>
          <w:rFonts w:ascii="Arial" w:hAnsi="Arial" w:cs="Arial"/>
          <w:b/>
          <w:sz w:val="24"/>
          <w:szCs w:val="24"/>
          <w:u w:val="single"/>
        </w:rPr>
      </w:pPr>
    </w:p>
    <w:tbl>
      <w:tblPr>
        <w:tblStyle w:val="TableGrid"/>
        <w:tblW w:w="0" w:type="auto"/>
        <w:tblLook w:val="04A0" w:firstRow="1" w:lastRow="0" w:firstColumn="1" w:lastColumn="0" w:noHBand="0" w:noVBand="1"/>
      </w:tblPr>
      <w:tblGrid>
        <w:gridCol w:w="8751"/>
        <w:gridCol w:w="2039"/>
      </w:tblGrid>
      <w:tr w:rsidR="002641D2" w:rsidRPr="00FA3F9C" w14:paraId="3C331619" w14:textId="77777777" w:rsidTr="00D83A50">
        <w:tc>
          <w:tcPr>
            <w:tcW w:w="8751" w:type="dxa"/>
            <w:shd w:val="clear" w:color="auto" w:fill="000000"/>
          </w:tcPr>
          <w:p w14:paraId="7486EBDC" w14:textId="77777777" w:rsidR="002641D2" w:rsidRPr="00FA3F9C" w:rsidRDefault="002641D2" w:rsidP="00751306">
            <w:pPr>
              <w:rPr>
                <w:rFonts w:ascii="Arial" w:hAnsi="Arial" w:cs="Arial"/>
                <w:b/>
                <w:sz w:val="24"/>
                <w:szCs w:val="24"/>
                <w:u w:val="single"/>
              </w:rPr>
            </w:pPr>
            <w:r w:rsidRPr="00FA3F9C">
              <w:rPr>
                <w:rFonts w:ascii="Arial" w:hAnsi="Arial" w:cs="Arial"/>
                <w:b/>
                <w:sz w:val="24"/>
                <w:szCs w:val="24"/>
                <w:u w:val="single"/>
              </w:rPr>
              <w:t>Relapsed/Refractory Acute Myeloid Leukemia (AML)</w:t>
            </w:r>
          </w:p>
        </w:tc>
        <w:tc>
          <w:tcPr>
            <w:tcW w:w="2039" w:type="dxa"/>
            <w:shd w:val="clear" w:color="auto" w:fill="000000"/>
          </w:tcPr>
          <w:p w14:paraId="77135865" w14:textId="77777777" w:rsidR="002641D2" w:rsidRPr="00FA3F9C" w:rsidRDefault="002641D2" w:rsidP="00751306">
            <w:pPr>
              <w:jc w:val="center"/>
              <w:rPr>
                <w:rFonts w:ascii="Arial" w:hAnsi="Arial" w:cs="Arial"/>
                <w:b/>
                <w:sz w:val="24"/>
                <w:szCs w:val="24"/>
                <w:u w:val="single"/>
              </w:rPr>
            </w:pPr>
          </w:p>
        </w:tc>
      </w:tr>
      <w:tr w:rsidR="002641D2" w:rsidRPr="00FA3F9C" w14:paraId="4D13228B" w14:textId="77777777" w:rsidTr="00D83A50">
        <w:tc>
          <w:tcPr>
            <w:tcW w:w="10790" w:type="dxa"/>
            <w:gridSpan w:val="2"/>
          </w:tcPr>
          <w:p w14:paraId="0EE39D38" w14:textId="77777777" w:rsidR="002641D2" w:rsidRPr="00FA3F9C" w:rsidRDefault="002641D2" w:rsidP="00751306">
            <w:pPr>
              <w:rPr>
                <w:rFonts w:ascii="Arial" w:hAnsi="Arial" w:cs="Arial"/>
                <w:sz w:val="24"/>
                <w:szCs w:val="24"/>
              </w:rPr>
            </w:pPr>
            <w:r w:rsidRPr="00FA3F9C">
              <w:rPr>
                <w:rFonts w:ascii="Arial" w:hAnsi="Arial" w:cs="Arial"/>
                <w:sz w:val="24"/>
                <w:szCs w:val="24"/>
              </w:rPr>
              <w:t xml:space="preserve">1. Diagnosis of acute myeloid leukemia </w:t>
            </w:r>
          </w:p>
        </w:tc>
      </w:tr>
      <w:tr w:rsidR="002641D2" w:rsidRPr="00FA3F9C" w14:paraId="7815DF3D" w14:textId="77777777" w:rsidTr="00D83A50">
        <w:tc>
          <w:tcPr>
            <w:tcW w:w="10790" w:type="dxa"/>
            <w:gridSpan w:val="2"/>
          </w:tcPr>
          <w:p w14:paraId="722106FC" w14:textId="77777777" w:rsidR="002641D2" w:rsidRPr="00FA3F9C" w:rsidRDefault="002641D2" w:rsidP="00751306">
            <w:pPr>
              <w:rPr>
                <w:rFonts w:ascii="Arial" w:hAnsi="Arial" w:cs="Arial"/>
                <w:sz w:val="24"/>
                <w:szCs w:val="24"/>
              </w:rPr>
            </w:pPr>
            <w:r w:rsidRPr="00FA3F9C">
              <w:rPr>
                <w:rFonts w:ascii="Arial" w:hAnsi="Arial" w:cs="Arial"/>
                <w:sz w:val="24"/>
                <w:szCs w:val="24"/>
              </w:rPr>
              <w:t>2. Confirmed IDH1 mutation</w:t>
            </w:r>
          </w:p>
        </w:tc>
      </w:tr>
      <w:tr w:rsidR="002641D2" w:rsidRPr="00FA3F9C" w14:paraId="0AD9F1B5" w14:textId="77777777" w:rsidTr="00D83A50">
        <w:tc>
          <w:tcPr>
            <w:tcW w:w="10790" w:type="dxa"/>
            <w:gridSpan w:val="2"/>
          </w:tcPr>
          <w:p w14:paraId="7A22245D" w14:textId="77777777" w:rsidR="002641D2" w:rsidRPr="00FA3F9C" w:rsidRDefault="002641D2" w:rsidP="00751306">
            <w:pPr>
              <w:rPr>
                <w:rFonts w:ascii="Arial" w:hAnsi="Arial" w:cs="Arial"/>
                <w:sz w:val="24"/>
                <w:szCs w:val="24"/>
              </w:rPr>
            </w:pPr>
            <w:r w:rsidRPr="00FA3F9C">
              <w:rPr>
                <w:rFonts w:ascii="Arial" w:hAnsi="Arial" w:cs="Arial"/>
                <w:sz w:val="24"/>
                <w:szCs w:val="24"/>
              </w:rPr>
              <w:t xml:space="preserve">2. Disease is refractory to or has relapsed after prior intensive chemotherapy </w:t>
            </w:r>
          </w:p>
        </w:tc>
      </w:tr>
      <w:tr w:rsidR="002641D2" w:rsidRPr="00FA3F9C" w14:paraId="1F9C6A12" w14:textId="77777777" w:rsidTr="00D83A50">
        <w:tc>
          <w:tcPr>
            <w:tcW w:w="10790" w:type="dxa"/>
            <w:gridSpan w:val="2"/>
          </w:tcPr>
          <w:p w14:paraId="661A7236" w14:textId="77777777" w:rsidR="002641D2" w:rsidRPr="00FA3F9C" w:rsidRDefault="002641D2" w:rsidP="00751306">
            <w:pPr>
              <w:rPr>
                <w:rFonts w:ascii="Arial" w:hAnsi="Arial" w:cs="Arial"/>
                <w:sz w:val="24"/>
                <w:szCs w:val="24"/>
              </w:rPr>
            </w:pPr>
            <w:r w:rsidRPr="00FA3F9C">
              <w:rPr>
                <w:rFonts w:ascii="Arial" w:hAnsi="Arial" w:cs="Arial"/>
                <w:sz w:val="24"/>
                <w:szCs w:val="24"/>
              </w:rPr>
              <w:t xml:space="preserve">3. </w:t>
            </w:r>
            <w:proofErr w:type="spellStart"/>
            <w:r w:rsidRPr="00FA3F9C">
              <w:rPr>
                <w:rFonts w:ascii="Arial" w:hAnsi="Arial" w:cs="Arial"/>
                <w:sz w:val="24"/>
                <w:szCs w:val="24"/>
              </w:rPr>
              <w:t>Ivosidenib</w:t>
            </w:r>
            <w:proofErr w:type="spellEnd"/>
            <w:r w:rsidRPr="00FA3F9C">
              <w:rPr>
                <w:rFonts w:ascii="Arial" w:hAnsi="Arial" w:cs="Arial"/>
                <w:sz w:val="24"/>
                <w:szCs w:val="24"/>
              </w:rPr>
              <w:t xml:space="preserve"> will be used as single agent</w:t>
            </w:r>
          </w:p>
        </w:tc>
      </w:tr>
      <w:tr w:rsidR="002641D2" w:rsidRPr="00FA3F9C" w14:paraId="1C0B656B" w14:textId="77777777" w:rsidTr="00D83A50">
        <w:tc>
          <w:tcPr>
            <w:tcW w:w="10790" w:type="dxa"/>
            <w:gridSpan w:val="2"/>
            <w:shd w:val="clear" w:color="auto" w:fill="F2F2F2" w:themeFill="background1" w:themeFillShade="F2"/>
          </w:tcPr>
          <w:p w14:paraId="4E9DEFF5" w14:textId="77777777" w:rsidR="002641D2" w:rsidRPr="00FA3F9C" w:rsidRDefault="002641D2" w:rsidP="00751306">
            <w:pPr>
              <w:rPr>
                <w:rFonts w:ascii="Arial" w:hAnsi="Arial" w:cs="Arial"/>
                <w:sz w:val="24"/>
                <w:szCs w:val="24"/>
              </w:rPr>
            </w:pPr>
            <w:r w:rsidRPr="00FA3F9C">
              <w:rPr>
                <w:rFonts w:ascii="Arial" w:hAnsi="Arial" w:cs="Arial"/>
                <w:sz w:val="24"/>
                <w:szCs w:val="24"/>
              </w:rPr>
              <w:t>If criteria met, approve for 12 months</w:t>
            </w:r>
          </w:p>
        </w:tc>
      </w:tr>
      <w:tr w:rsidR="002641D2" w:rsidRPr="00FA3F9C" w14:paraId="32FA54F1" w14:textId="77777777" w:rsidTr="00D83A50">
        <w:tc>
          <w:tcPr>
            <w:tcW w:w="10790" w:type="dxa"/>
            <w:gridSpan w:val="2"/>
          </w:tcPr>
          <w:p w14:paraId="7C3E846C" w14:textId="77777777" w:rsidR="002641D2" w:rsidRPr="00FA3F9C" w:rsidRDefault="002641D2" w:rsidP="00476366">
            <w:pPr>
              <w:rPr>
                <w:rFonts w:ascii="Arial" w:hAnsi="Arial" w:cs="Arial"/>
                <w:sz w:val="24"/>
                <w:szCs w:val="24"/>
              </w:rPr>
            </w:pPr>
            <w:r w:rsidRPr="00FA3F9C">
              <w:rPr>
                <w:rFonts w:ascii="Arial" w:hAnsi="Arial" w:cs="Arial"/>
                <w:sz w:val="24"/>
                <w:szCs w:val="24"/>
              </w:rPr>
              <w:t xml:space="preserve">Notes: </w:t>
            </w:r>
          </w:p>
          <w:p w14:paraId="056B192D" w14:textId="77777777" w:rsidR="002641D2" w:rsidRPr="00FA3F9C" w:rsidRDefault="002641D2" w:rsidP="00476366">
            <w:pPr>
              <w:rPr>
                <w:rFonts w:ascii="Arial" w:hAnsi="Arial" w:cs="Arial"/>
                <w:sz w:val="24"/>
                <w:szCs w:val="24"/>
              </w:rPr>
            </w:pPr>
          </w:p>
          <w:p w14:paraId="78B18339" w14:textId="77777777" w:rsidR="002641D2" w:rsidRPr="00FA3F9C" w:rsidRDefault="002641D2" w:rsidP="00476366">
            <w:pPr>
              <w:rPr>
                <w:rFonts w:ascii="Arial" w:hAnsi="Arial" w:cs="Arial"/>
                <w:sz w:val="24"/>
                <w:szCs w:val="24"/>
              </w:rPr>
            </w:pPr>
            <w:r w:rsidRPr="00FA3F9C">
              <w:rPr>
                <w:rFonts w:ascii="Arial" w:hAnsi="Arial" w:cs="Arial"/>
                <w:sz w:val="24"/>
                <w:szCs w:val="24"/>
              </w:rPr>
              <w:t>Dose: 500 mg PO daily. Continue for a minimum of 6 months and then until disease progression or unacceptable toxicity occurs.</w:t>
            </w:r>
          </w:p>
          <w:p w14:paraId="4D042488" w14:textId="77777777" w:rsidR="002641D2" w:rsidRPr="00FA3F9C" w:rsidRDefault="002641D2" w:rsidP="00476366">
            <w:pPr>
              <w:rPr>
                <w:rFonts w:ascii="Arial" w:hAnsi="Arial" w:cs="Arial"/>
                <w:sz w:val="24"/>
                <w:szCs w:val="24"/>
              </w:rPr>
            </w:pPr>
          </w:p>
        </w:tc>
      </w:tr>
      <w:tr w:rsidR="002641D2" w:rsidRPr="00FA3F9C" w14:paraId="3B993C15" w14:textId="77777777" w:rsidTr="00D83A50">
        <w:tc>
          <w:tcPr>
            <w:tcW w:w="10790" w:type="dxa"/>
            <w:gridSpan w:val="2"/>
          </w:tcPr>
          <w:tbl>
            <w:tblPr>
              <w:tblStyle w:val="TableGrid"/>
              <w:tblW w:w="0" w:type="auto"/>
              <w:tblLook w:val="04A0" w:firstRow="1" w:lastRow="0" w:firstColumn="1" w:lastColumn="0" w:noHBand="0" w:noVBand="1"/>
            </w:tblPr>
            <w:tblGrid>
              <w:gridCol w:w="2169"/>
              <w:gridCol w:w="2431"/>
              <w:gridCol w:w="2104"/>
              <w:gridCol w:w="3860"/>
            </w:tblGrid>
            <w:tr w:rsidR="002641D2" w:rsidRPr="00FA3F9C" w14:paraId="3B777338" w14:textId="77777777" w:rsidTr="00476366">
              <w:tc>
                <w:tcPr>
                  <w:tcW w:w="2245" w:type="dxa"/>
                </w:tcPr>
                <w:p w14:paraId="48996BBB" w14:textId="77777777" w:rsidR="002641D2" w:rsidRPr="00FA3F9C" w:rsidRDefault="002641D2" w:rsidP="00476366">
                  <w:pPr>
                    <w:rPr>
                      <w:rFonts w:ascii="Arial" w:hAnsi="Arial" w:cs="Arial"/>
                      <w:b/>
                      <w:sz w:val="24"/>
                      <w:szCs w:val="24"/>
                    </w:rPr>
                  </w:pPr>
                  <w:r w:rsidRPr="00FA3F9C">
                    <w:rPr>
                      <w:rFonts w:ascii="Arial" w:hAnsi="Arial" w:cs="Arial"/>
                      <w:b/>
                      <w:sz w:val="24"/>
                      <w:szCs w:val="24"/>
                    </w:rPr>
                    <w:lastRenderedPageBreak/>
                    <w:t>Trial</w:t>
                  </w:r>
                </w:p>
              </w:tc>
              <w:tc>
                <w:tcPr>
                  <w:tcW w:w="2250" w:type="dxa"/>
                </w:tcPr>
                <w:p w14:paraId="40C6B808" w14:textId="77777777" w:rsidR="002641D2" w:rsidRPr="00FA3F9C" w:rsidRDefault="002641D2" w:rsidP="00476366">
                  <w:pPr>
                    <w:rPr>
                      <w:rFonts w:ascii="Arial" w:hAnsi="Arial" w:cs="Arial"/>
                      <w:b/>
                      <w:sz w:val="24"/>
                      <w:szCs w:val="24"/>
                    </w:rPr>
                  </w:pPr>
                  <w:r w:rsidRPr="00FA3F9C">
                    <w:rPr>
                      <w:rFonts w:ascii="Arial" w:hAnsi="Arial" w:cs="Arial"/>
                      <w:b/>
                      <w:sz w:val="24"/>
                      <w:szCs w:val="24"/>
                    </w:rPr>
                    <w:t>N</w:t>
                  </w:r>
                </w:p>
              </w:tc>
              <w:tc>
                <w:tcPr>
                  <w:tcW w:w="2160" w:type="dxa"/>
                </w:tcPr>
                <w:p w14:paraId="228ECF3E" w14:textId="77777777" w:rsidR="002641D2" w:rsidRPr="00FA3F9C" w:rsidRDefault="002641D2" w:rsidP="00476366">
                  <w:pPr>
                    <w:rPr>
                      <w:rFonts w:ascii="Arial" w:hAnsi="Arial" w:cs="Arial"/>
                      <w:b/>
                      <w:sz w:val="24"/>
                      <w:szCs w:val="24"/>
                    </w:rPr>
                  </w:pPr>
                  <w:r w:rsidRPr="00FA3F9C">
                    <w:rPr>
                      <w:rFonts w:ascii="Arial" w:hAnsi="Arial" w:cs="Arial"/>
                      <w:b/>
                      <w:sz w:val="24"/>
                      <w:szCs w:val="24"/>
                    </w:rPr>
                    <w:t>Outcome measures</w:t>
                  </w:r>
                </w:p>
              </w:tc>
              <w:tc>
                <w:tcPr>
                  <w:tcW w:w="4135" w:type="dxa"/>
                </w:tcPr>
                <w:p w14:paraId="5BB14A2C" w14:textId="77777777" w:rsidR="002641D2" w:rsidRPr="00FA3F9C" w:rsidRDefault="002641D2" w:rsidP="00476366">
                  <w:pPr>
                    <w:rPr>
                      <w:rFonts w:ascii="Arial" w:hAnsi="Arial" w:cs="Arial"/>
                      <w:b/>
                      <w:sz w:val="24"/>
                      <w:szCs w:val="24"/>
                    </w:rPr>
                  </w:pPr>
                  <w:r w:rsidRPr="00FA3F9C">
                    <w:rPr>
                      <w:rFonts w:ascii="Arial" w:hAnsi="Arial" w:cs="Arial"/>
                      <w:b/>
                      <w:sz w:val="24"/>
                      <w:szCs w:val="24"/>
                    </w:rPr>
                    <w:t>Results</w:t>
                  </w:r>
                </w:p>
              </w:tc>
            </w:tr>
            <w:tr w:rsidR="002641D2" w:rsidRPr="00500371" w14:paraId="69BC4558" w14:textId="77777777" w:rsidTr="00476366">
              <w:trPr>
                <w:trHeight w:val="3347"/>
              </w:trPr>
              <w:tc>
                <w:tcPr>
                  <w:tcW w:w="2245" w:type="dxa"/>
                </w:tcPr>
                <w:p w14:paraId="708C0122" w14:textId="77777777" w:rsidR="002641D2" w:rsidRPr="00FA3F9C" w:rsidRDefault="002641D2" w:rsidP="00476366">
                  <w:pPr>
                    <w:rPr>
                      <w:rFonts w:ascii="Arial" w:hAnsi="Arial" w:cs="Arial"/>
                      <w:sz w:val="24"/>
                      <w:szCs w:val="24"/>
                    </w:rPr>
                  </w:pPr>
                  <w:r w:rsidRPr="00FA3F9C">
                    <w:rPr>
                      <w:rFonts w:ascii="Arial" w:hAnsi="Arial" w:cs="Arial"/>
                      <w:sz w:val="24"/>
                      <w:szCs w:val="24"/>
                      <w:vertAlign w:val="superscript"/>
                    </w:rPr>
                    <w:t>1</w:t>
                  </w:r>
                  <w:r w:rsidRPr="00FA3F9C">
                    <w:rPr>
                      <w:rFonts w:ascii="Arial" w:hAnsi="Arial" w:cs="Arial"/>
                      <w:sz w:val="24"/>
                      <w:szCs w:val="24"/>
                    </w:rPr>
                    <w:t xml:space="preserve">Durable Remissions with </w:t>
                  </w:r>
                  <w:proofErr w:type="spellStart"/>
                  <w:r w:rsidRPr="00FA3F9C">
                    <w:rPr>
                      <w:rFonts w:ascii="Arial" w:hAnsi="Arial" w:cs="Arial"/>
                      <w:sz w:val="24"/>
                      <w:szCs w:val="24"/>
                    </w:rPr>
                    <w:t>Ivosidenib</w:t>
                  </w:r>
                  <w:proofErr w:type="spellEnd"/>
                  <w:r w:rsidRPr="00FA3F9C">
                    <w:rPr>
                      <w:rFonts w:ascii="Arial" w:hAnsi="Arial" w:cs="Arial"/>
                      <w:sz w:val="24"/>
                      <w:szCs w:val="24"/>
                    </w:rPr>
                    <w:t xml:space="preserve"> in IDH1-Mutated Relapsed or Refractory AML</w:t>
                  </w:r>
                </w:p>
                <w:p w14:paraId="461474BB" w14:textId="77777777" w:rsidR="002641D2" w:rsidRPr="00FA3F9C" w:rsidRDefault="002641D2" w:rsidP="00476366">
                  <w:pPr>
                    <w:rPr>
                      <w:rFonts w:ascii="Arial" w:hAnsi="Arial" w:cs="Arial"/>
                      <w:sz w:val="24"/>
                      <w:szCs w:val="24"/>
                    </w:rPr>
                  </w:pPr>
                </w:p>
                <w:p w14:paraId="19CEFBAF" w14:textId="77777777" w:rsidR="002641D2" w:rsidRPr="00FA3F9C" w:rsidRDefault="002641D2" w:rsidP="00476366">
                  <w:pPr>
                    <w:rPr>
                      <w:rFonts w:ascii="Arial" w:hAnsi="Arial" w:cs="Arial"/>
                      <w:sz w:val="24"/>
                      <w:szCs w:val="24"/>
                    </w:rPr>
                  </w:pPr>
                  <w:r w:rsidRPr="00FA3F9C">
                    <w:rPr>
                      <w:rFonts w:ascii="Arial" w:hAnsi="Arial" w:cs="Arial"/>
                      <w:sz w:val="24"/>
                      <w:szCs w:val="24"/>
                    </w:rPr>
                    <w:t xml:space="preserve">Phase I, MC, OL, </w:t>
                  </w:r>
                  <w:r w:rsidRPr="00FA3F9C">
                    <w:rPr>
                      <w:rFonts w:ascii="Arial" w:hAnsi="Arial" w:cs="Arial"/>
                      <w:b/>
                      <w:sz w:val="24"/>
                      <w:szCs w:val="24"/>
                      <w:u w:val="single"/>
                    </w:rPr>
                    <w:t>single arm</w:t>
                  </w:r>
                </w:p>
              </w:tc>
              <w:tc>
                <w:tcPr>
                  <w:tcW w:w="2250" w:type="dxa"/>
                </w:tcPr>
                <w:p w14:paraId="349A2292" w14:textId="77777777" w:rsidR="002641D2" w:rsidRPr="00FA3F9C" w:rsidRDefault="002641D2" w:rsidP="00476366">
                  <w:pPr>
                    <w:rPr>
                      <w:rFonts w:ascii="Arial" w:hAnsi="Arial" w:cs="Arial"/>
                      <w:sz w:val="24"/>
                      <w:szCs w:val="24"/>
                    </w:rPr>
                  </w:pPr>
                  <w:r w:rsidRPr="00FA3F9C">
                    <w:rPr>
                      <w:rFonts w:ascii="Arial" w:hAnsi="Arial" w:cs="Arial"/>
                      <w:sz w:val="24"/>
                      <w:szCs w:val="24"/>
                    </w:rPr>
                    <w:t xml:space="preserve">N=258 for safety </w:t>
                  </w:r>
                </w:p>
                <w:p w14:paraId="182D0525" w14:textId="77777777" w:rsidR="002641D2" w:rsidRPr="00FA3F9C" w:rsidRDefault="002641D2" w:rsidP="00476366">
                  <w:pPr>
                    <w:rPr>
                      <w:rFonts w:ascii="Arial" w:hAnsi="Arial" w:cs="Arial"/>
                      <w:sz w:val="24"/>
                      <w:szCs w:val="24"/>
                    </w:rPr>
                  </w:pPr>
                  <w:r w:rsidRPr="00FA3F9C">
                    <w:rPr>
                      <w:rFonts w:ascii="Arial" w:hAnsi="Arial" w:cs="Arial"/>
                      <w:sz w:val="24"/>
                      <w:szCs w:val="24"/>
                    </w:rPr>
                    <w:t>N=125 1° efficacy pop.</w:t>
                  </w:r>
                </w:p>
                <w:p w14:paraId="122B2892" w14:textId="77777777" w:rsidR="002641D2" w:rsidRPr="00FA3F9C" w:rsidRDefault="002641D2" w:rsidP="00476366">
                  <w:pPr>
                    <w:rPr>
                      <w:rFonts w:ascii="Arial" w:hAnsi="Arial" w:cs="Arial"/>
                      <w:sz w:val="24"/>
                      <w:szCs w:val="24"/>
                    </w:rPr>
                  </w:pPr>
                  <w:r w:rsidRPr="00FA3F9C">
                    <w:rPr>
                      <w:rFonts w:ascii="Arial" w:hAnsi="Arial" w:cs="Arial"/>
                      <w:sz w:val="24"/>
                      <w:szCs w:val="24"/>
                    </w:rPr>
                    <w:t>(</w:t>
                  </w:r>
                  <w:proofErr w:type="gramStart"/>
                  <w:r w:rsidRPr="00FA3F9C">
                    <w:rPr>
                      <w:rFonts w:ascii="Arial" w:hAnsi="Arial" w:cs="Arial"/>
                      <w:sz w:val="24"/>
                      <w:szCs w:val="24"/>
                    </w:rPr>
                    <w:t>relapsed</w:t>
                  </w:r>
                  <w:proofErr w:type="gramEnd"/>
                  <w:r w:rsidRPr="00FA3F9C">
                    <w:rPr>
                      <w:rFonts w:ascii="Arial" w:hAnsi="Arial" w:cs="Arial"/>
                      <w:sz w:val="24"/>
                      <w:szCs w:val="24"/>
                    </w:rPr>
                    <w:t xml:space="preserve"> or refractory that received 500mg daily with at least 6mo of f/u)</w:t>
                  </w:r>
                </w:p>
              </w:tc>
              <w:tc>
                <w:tcPr>
                  <w:tcW w:w="2160" w:type="dxa"/>
                </w:tcPr>
                <w:p w14:paraId="1CC0317F" w14:textId="77777777" w:rsidR="002641D2" w:rsidRPr="00FA3F9C" w:rsidRDefault="002641D2" w:rsidP="002641D2">
                  <w:pPr>
                    <w:pStyle w:val="ListParagraph"/>
                    <w:numPr>
                      <w:ilvl w:val="0"/>
                      <w:numId w:val="288"/>
                    </w:numPr>
                    <w:ind w:left="163" w:hanging="163"/>
                    <w:rPr>
                      <w:rFonts w:ascii="Arial" w:hAnsi="Arial" w:cs="Arial"/>
                      <w:sz w:val="24"/>
                      <w:szCs w:val="24"/>
                    </w:rPr>
                  </w:pPr>
                  <w:r w:rsidRPr="00FA3F9C">
                    <w:rPr>
                      <w:rFonts w:ascii="Arial" w:hAnsi="Arial" w:cs="Arial"/>
                      <w:sz w:val="24"/>
                      <w:szCs w:val="24"/>
                    </w:rPr>
                    <w:t>Clinical efficacy</w:t>
                  </w:r>
                </w:p>
                <w:p w14:paraId="1437A16B" w14:textId="77777777" w:rsidR="002641D2" w:rsidRPr="00FA3F9C" w:rsidRDefault="002641D2" w:rsidP="002641D2">
                  <w:pPr>
                    <w:pStyle w:val="ListParagraph"/>
                    <w:numPr>
                      <w:ilvl w:val="0"/>
                      <w:numId w:val="288"/>
                    </w:numPr>
                    <w:ind w:left="163" w:hanging="163"/>
                    <w:rPr>
                      <w:rFonts w:ascii="Arial" w:hAnsi="Arial" w:cs="Arial"/>
                      <w:sz w:val="24"/>
                      <w:szCs w:val="24"/>
                    </w:rPr>
                  </w:pPr>
                  <w:r w:rsidRPr="00FA3F9C">
                    <w:rPr>
                      <w:rFonts w:ascii="Arial" w:hAnsi="Arial" w:cs="Arial"/>
                      <w:sz w:val="24"/>
                      <w:szCs w:val="24"/>
                    </w:rPr>
                    <w:t>OS</w:t>
                  </w:r>
                </w:p>
                <w:p w14:paraId="353835E7" w14:textId="77777777" w:rsidR="002641D2" w:rsidRPr="00FA3F9C" w:rsidRDefault="002641D2" w:rsidP="002641D2">
                  <w:pPr>
                    <w:pStyle w:val="ListParagraph"/>
                    <w:numPr>
                      <w:ilvl w:val="0"/>
                      <w:numId w:val="288"/>
                    </w:numPr>
                    <w:ind w:left="163" w:hanging="163"/>
                    <w:rPr>
                      <w:rFonts w:ascii="Arial" w:hAnsi="Arial" w:cs="Arial"/>
                      <w:sz w:val="24"/>
                      <w:szCs w:val="24"/>
                    </w:rPr>
                  </w:pPr>
                  <w:r w:rsidRPr="00FA3F9C">
                    <w:rPr>
                      <w:rFonts w:ascii="Arial" w:hAnsi="Arial" w:cs="Arial"/>
                      <w:sz w:val="24"/>
                      <w:szCs w:val="24"/>
                    </w:rPr>
                    <w:t>Remission duration</w:t>
                  </w:r>
                </w:p>
                <w:p w14:paraId="4878A2F4" w14:textId="77777777" w:rsidR="002641D2" w:rsidRPr="00FA3F9C" w:rsidRDefault="002641D2" w:rsidP="002641D2">
                  <w:pPr>
                    <w:pStyle w:val="ListParagraph"/>
                    <w:numPr>
                      <w:ilvl w:val="0"/>
                      <w:numId w:val="288"/>
                    </w:numPr>
                    <w:ind w:left="163" w:hanging="163"/>
                    <w:rPr>
                      <w:rFonts w:ascii="Arial" w:hAnsi="Arial" w:cs="Arial"/>
                      <w:sz w:val="24"/>
                      <w:szCs w:val="24"/>
                    </w:rPr>
                  </w:pPr>
                  <w:r w:rsidRPr="00FA3F9C">
                    <w:rPr>
                      <w:rFonts w:ascii="Arial" w:hAnsi="Arial" w:cs="Arial"/>
                      <w:sz w:val="24"/>
                      <w:szCs w:val="24"/>
                    </w:rPr>
                    <w:t>Time to remission</w:t>
                  </w:r>
                </w:p>
                <w:p w14:paraId="571041C8" w14:textId="77777777" w:rsidR="002641D2" w:rsidRPr="00FA3F9C" w:rsidRDefault="002641D2" w:rsidP="00476366">
                  <w:pPr>
                    <w:rPr>
                      <w:rFonts w:ascii="Arial" w:hAnsi="Arial" w:cs="Arial"/>
                      <w:sz w:val="24"/>
                      <w:szCs w:val="24"/>
                    </w:rPr>
                  </w:pPr>
                </w:p>
                <w:p w14:paraId="25B87903" w14:textId="77777777" w:rsidR="002641D2" w:rsidRPr="00FA3F9C" w:rsidRDefault="002641D2" w:rsidP="00476366">
                  <w:pPr>
                    <w:rPr>
                      <w:rFonts w:ascii="Arial" w:hAnsi="Arial" w:cs="Arial"/>
                      <w:sz w:val="24"/>
                      <w:szCs w:val="24"/>
                    </w:rPr>
                  </w:pPr>
                </w:p>
                <w:p w14:paraId="31073C63" w14:textId="77777777" w:rsidR="002641D2" w:rsidRPr="00FA3F9C" w:rsidRDefault="002641D2" w:rsidP="00476366">
                  <w:pPr>
                    <w:rPr>
                      <w:rFonts w:ascii="Arial" w:hAnsi="Arial" w:cs="Arial"/>
                      <w:sz w:val="24"/>
                      <w:szCs w:val="24"/>
                    </w:rPr>
                  </w:pPr>
                </w:p>
                <w:p w14:paraId="7DA462B3" w14:textId="77777777" w:rsidR="002641D2" w:rsidRPr="00FA3F9C" w:rsidRDefault="002641D2" w:rsidP="00476366">
                  <w:pPr>
                    <w:autoSpaceDE w:val="0"/>
                    <w:autoSpaceDN w:val="0"/>
                    <w:adjustRightInd w:val="0"/>
                    <w:rPr>
                      <w:rFonts w:ascii="Arial" w:eastAsia="OTNEJMQuadraat" w:hAnsi="Arial" w:cs="Arial"/>
                      <w:i/>
                      <w:iCs/>
                      <w:sz w:val="24"/>
                      <w:szCs w:val="24"/>
                    </w:rPr>
                  </w:pPr>
                  <w:r w:rsidRPr="00FA3F9C">
                    <w:rPr>
                      <w:rFonts w:ascii="Arial" w:hAnsi="Arial" w:cs="Arial"/>
                      <w:sz w:val="24"/>
                      <w:szCs w:val="24"/>
                    </w:rPr>
                    <w:t>*</w:t>
                  </w:r>
                  <w:proofErr w:type="gramStart"/>
                  <w:r w:rsidRPr="00FA3F9C">
                    <w:rPr>
                      <w:rFonts w:ascii="Arial" w:hAnsi="Arial" w:cs="Arial"/>
                      <w:sz w:val="24"/>
                      <w:szCs w:val="24"/>
                    </w:rPr>
                    <w:t>mutation</w:t>
                  </w:r>
                  <w:proofErr w:type="gramEnd"/>
                  <w:r w:rsidRPr="00FA3F9C">
                    <w:rPr>
                      <w:rFonts w:ascii="Arial" w:hAnsi="Arial" w:cs="Arial"/>
                      <w:sz w:val="24"/>
                      <w:szCs w:val="24"/>
                    </w:rPr>
                    <w:t xml:space="preserve"> cl =clearance of IDH1 mutations from the bone marrow mononuclear cells= mutation can no longer be detected by PCR</w:t>
                  </w:r>
                </w:p>
              </w:tc>
              <w:tc>
                <w:tcPr>
                  <w:tcW w:w="4135" w:type="dxa"/>
                </w:tcPr>
                <w:p w14:paraId="266B6AD5" w14:textId="77777777" w:rsidR="002641D2" w:rsidRPr="00FA3F9C" w:rsidRDefault="002641D2" w:rsidP="00476366">
                  <w:pPr>
                    <w:rPr>
                      <w:rFonts w:ascii="Arial" w:hAnsi="Arial" w:cs="Arial"/>
                      <w:sz w:val="24"/>
                      <w:szCs w:val="24"/>
                      <w:lang w:val="es-ES"/>
                    </w:rPr>
                  </w:pPr>
                  <w:proofErr w:type="spellStart"/>
                  <w:r w:rsidRPr="00FA3F9C">
                    <w:rPr>
                      <w:rFonts w:ascii="Arial" w:hAnsi="Arial" w:cs="Arial"/>
                      <w:sz w:val="24"/>
                      <w:szCs w:val="24"/>
                      <w:lang w:val="es-ES"/>
                    </w:rPr>
                    <w:t>Survival</w:t>
                  </w:r>
                  <w:proofErr w:type="spellEnd"/>
                  <w:r w:rsidRPr="00FA3F9C">
                    <w:rPr>
                      <w:rFonts w:ascii="Arial" w:hAnsi="Arial" w:cs="Arial"/>
                      <w:sz w:val="24"/>
                      <w:szCs w:val="24"/>
                      <w:lang w:val="es-ES"/>
                    </w:rPr>
                    <w:t>-median f/u=14.8mo</w:t>
                  </w:r>
                </w:p>
                <w:p w14:paraId="01EE4653" w14:textId="77777777" w:rsidR="002641D2" w:rsidRPr="00FA3F9C" w:rsidRDefault="002641D2" w:rsidP="00476366">
                  <w:pPr>
                    <w:rPr>
                      <w:rFonts w:ascii="Arial" w:hAnsi="Arial" w:cs="Arial"/>
                      <w:b/>
                      <w:sz w:val="24"/>
                      <w:szCs w:val="24"/>
                      <w:lang w:val="es-ES"/>
                    </w:rPr>
                  </w:pPr>
                  <w:r w:rsidRPr="00FA3F9C">
                    <w:rPr>
                      <w:rFonts w:ascii="Arial" w:hAnsi="Arial" w:cs="Arial"/>
                      <w:b/>
                      <w:sz w:val="24"/>
                      <w:szCs w:val="24"/>
                      <w:lang w:val="es-ES"/>
                    </w:rPr>
                    <w:t>CR: 21.6%</w:t>
                  </w:r>
                </w:p>
                <w:p w14:paraId="2D0C8292" w14:textId="77777777" w:rsidR="002641D2" w:rsidRPr="00FA3F9C" w:rsidRDefault="002641D2" w:rsidP="00476366">
                  <w:pPr>
                    <w:rPr>
                      <w:rFonts w:ascii="Arial" w:hAnsi="Arial" w:cs="Arial"/>
                      <w:sz w:val="24"/>
                      <w:szCs w:val="24"/>
                      <w:lang w:val="es-ES"/>
                    </w:rPr>
                  </w:pPr>
                  <w:r w:rsidRPr="00FA3F9C">
                    <w:rPr>
                      <w:rFonts w:ascii="Arial" w:hAnsi="Arial" w:cs="Arial"/>
                      <w:sz w:val="24"/>
                      <w:szCs w:val="24"/>
                      <w:highlight w:val="cyan"/>
                      <w:lang w:val="es-ES"/>
                    </w:rPr>
                    <w:t>Median OS 8.8mo</w:t>
                  </w:r>
                  <w:r w:rsidRPr="00FA3F9C">
                    <w:rPr>
                      <w:rFonts w:ascii="Arial" w:hAnsi="Arial" w:cs="Arial"/>
                      <w:sz w:val="24"/>
                      <w:szCs w:val="24"/>
                      <w:lang w:val="es-ES"/>
                    </w:rPr>
                    <w:t xml:space="preserve"> [6.7-10.2] in 1°efficacy pop. N=125)</w:t>
                  </w:r>
                </w:p>
                <w:p w14:paraId="53F9D928" w14:textId="77777777" w:rsidR="002641D2" w:rsidRPr="00FA3F9C" w:rsidRDefault="002641D2" w:rsidP="00476366">
                  <w:pPr>
                    <w:rPr>
                      <w:rFonts w:ascii="Arial" w:hAnsi="Arial" w:cs="Arial"/>
                      <w:sz w:val="24"/>
                      <w:szCs w:val="24"/>
                      <w:lang w:val="es-ES"/>
                    </w:rPr>
                  </w:pPr>
                  <w:r w:rsidRPr="00FA3F9C">
                    <w:rPr>
                      <w:rFonts w:ascii="Arial" w:hAnsi="Arial" w:cs="Arial"/>
                      <w:sz w:val="24"/>
                      <w:szCs w:val="24"/>
                      <w:lang w:val="es-ES"/>
                    </w:rPr>
                    <w:t xml:space="preserve">Median OS in </w:t>
                  </w:r>
                  <w:proofErr w:type="spellStart"/>
                  <w:r w:rsidRPr="00FA3F9C">
                    <w:rPr>
                      <w:rFonts w:ascii="Arial" w:hAnsi="Arial" w:cs="Arial"/>
                      <w:sz w:val="24"/>
                      <w:szCs w:val="24"/>
                      <w:lang w:val="es-ES"/>
                    </w:rPr>
                    <w:t>mutation</w:t>
                  </w:r>
                  <w:proofErr w:type="spellEnd"/>
                  <w:r w:rsidRPr="00FA3F9C">
                    <w:rPr>
                      <w:rFonts w:ascii="Arial" w:hAnsi="Arial" w:cs="Arial"/>
                      <w:sz w:val="24"/>
                      <w:szCs w:val="24"/>
                      <w:lang w:val="es-ES"/>
                    </w:rPr>
                    <w:t xml:space="preserve"> </w:t>
                  </w:r>
                  <w:proofErr w:type="spellStart"/>
                  <w:r w:rsidRPr="00FA3F9C">
                    <w:rPr>
                      <w:rFonts w:ascii="Arial" w:hAnsi="Arial" w:cs="Arial"/>
                      <w:sz w:val="24"/>
                      <w:szCs w:val="24"/>
                      <w:lang w:val="es-ES"/>
                    </w:rPr>
                    <w:t>cl</w:t>
                  </w:r>
                  <w:proofErr w:type="spellEnd"/>
                  <w:r w:rsidRPr="00FA3F9C">
                    <w:rPr>
                      <w:rFonts w:ascii="Arial" w:hAnsi="Arial" w:cs="Arial"/>
                      <w:sz w:val="24"/>
                      <w:szCs w:val="24"/>
                      <w:lang w:val="es-ES"/>
                    </w:rPr>
                    <w:t xml:space="preserve"> 14.5mo [13.9-NE] (n=7)</w:t>
                  </w:r>
                </w:p>
                <w:p w14:paraId="330CB444" w14:textId="77777777" w:rsidR="002641D2" w:rsidRPr="00FA3F9C" w:rsidRDefault="002641D2" w:rsidP="00476366">
                  <w:pPr>
                    <w:rPr>
                      <w:rFonts w:ascii="Arial" w:hAnsi="Arial" w:cs="Arial"/>
                      <w:sz w:val="24"/>
                      <w:szCs w:val="24"/>
                      <w:lang w:val="es-ES"/>
                    </w:rPr>
                  </w:pPr>
                  <w:r w:rsidRPr="00FA3F9C">
                    <w:rPr>
                      <w:rFonts w:ascii="Arial" w:hAnsi="Arial" w:cs="Arial"/>
                      <w:sz w:val="24"/>
                      <w:szCs w:val="24"/>
                      <w:lang w:val="es-ES"/>
                    </w:rPr>
                    <w:t xml:space="preserve">Median OS w/o </w:t>
                  </w:r>
                  <w:proofErr w:type="spellStart"/>
                  <w:r w:rsidRPr="00FA3F9C">
                    <w:rPr>
                      <w:rFonts w:ascii="Arial" w:hAnsi="Arial" w:cs="Arial"/>
                      <w:sz w:val="24"/>
                      <w:szCs w:val="24"/>
                      <w:lang w:val="es-ES"/>
                    </w:rPr>
                    <w:t>cl</w:t>
                  </w:r>
                  <w:proofErr w:type="spellEnd"/>
                  <w:r w:rsidRPr="00FA3F9C">
                    <w:rPr>
                      <w:rFonts w:ascii="Arial" w:hAnsi="Arial" w:cs="Arial"/>
                      <w:sz w:val="24"/>
                      <w:szCs w:val="24"/>
                      <w:lang w:val="es-ES"/>
                    </w:rPr>
                    <w:t xml:space="preserve"> =10.2 [9.0-12.5] (n=66)</w:t>
                  </w:r>
                </w:p>
                <w:p w14:paraId="096C5B4A" w14:textId="77777777" w:rsidR="002641D2" w:rsidRPr="00FA3F9C" w:rsidRDefault="002641D2" w:rsidP="00476366">
                  <w:pPr>
                    <w:rPr>
                      <w:rFonts w:ascii="Arial" w:hAnsi="Arial" w:cs="Arial"/>
                      <w:sz w:val="24"/>
                      <w:szCs w:val="24"/>
                      <w:lang w:val="es-ES"/>
                    </w:rPr>
                  </w:pPr>
                </w:p>
                <w:p w14:paraId="1CF6DD68" w14:textId="77777777" w:rsidR="002641D2" w:rsidRPr="00FA3F9C" w:rsidRDefault="002641D2" w:rsidP="00476366">
                  <w:pPr>
                    <w:rPr>
                      <w:rFonts w:ascii="Arial" w:hAnsi="Arial" w:cs="Arial"/>
                      <w:sz w:val="24"/>
                      <w:szCs w:val="24"/>
                      <w:lang w:val="es-ES"/>
                    </w:rPr>
                  </w:pPr>
                  <w:r w:rsidRPr="00FA3F9C">
                    <w:rPr>
                      <w:rFonts w:ascii="Arial" w:hAnsi="Arial" w:cs="Arial"/>
                      <w:sz w:val="24"/>
                      <w:szCs w:val="24"/>
                      <w:lang w:val="es-ES"/>
                    </w:rPr>
                    <w:t xml:space="preserve">At 23.5 </w:t>
                  </w:r>
                  <w:proofErr w:type="spellStart"/>
                  <w:r w:rsidRPr="00FA3F9C">
                    <w:rPr>
                      <w:rFonts w:ascii="Arial" w:hAnsi="Arial" w:cs="Arial"/>
                      <w:sz w:val="24"/>
                      <w:szCs w:val="24"/>
                      <w:lang w:val="es-ES"/>
                    </w:rPr>
                    <w:t>month</w:t>
                  </w:r>
                  <w:proofErr w:type="spellEnd"/>
                  <w:r w:rsidRPr="00FA3F9C">
                    <w:rPr>
                      <w:rFonts w:ascii="Arial" w:hAnsi="Arial" w:cs="Arial"/>
                      <w:sz w:val="24"/>
                      <w:szCs w:val="24"/>
                      <w:lang w:val="es-ES"/>
                    </w:rPr>
                    <w:t xml:space="preserve"> f/u: </w:t>
                  </w:r>
                </w:p>
                <w:p w14:paraId="4598A91C" w14:textId="77777777" w:rsidR="002641D2" w:rsidRPr="00FA3F9C" w:rsidRDefault="002641D2" w:rsidP="00476366">
                  <w:pPr>
                    <w:rPr>
                      <w:rFonts w:ascii="Arial" w:hAnsi="Arial" w:cs="Arial"/>
                      <w:sz w:val="24"/>
                      <w:szCs w:val="24"/>
                      <w:lang w:val="es-ES"/>
                    </w:rPr>
                  </w:pPr>
                  <w:r w:rsidRPr="00FA3F9C">
                    <w:rPr>
                      <w:rFonts w:ascii="Arial" w:hAnsi="Arial" w:cs="Arial"/>
                      <w:sz w:val="24"/>
                      <w:szCs w:val="24"/>
                      <w:lang w:val="es-ES"/>
                    </w:rPr>
                    <w:t xml:space="preserve">median OS: 12.6 </w:t>
                  </w:r>
                  <w:proofErr w:type="spellStart"/>
                  <w:r w:rsidRPr="00FA3F9C">
                    <w:rPr>
                      <w:rFonts w:ascii="Arial" w:hAnsi="Arial" w:cs="Arial"/>
                      <w:sz w:val="24"/>
                      <w:szCs w:val="24"/>
                      <w:lang w:val="es-ES"/>
                    </w:rPr>
                    <w:t>mo</w:t>
                  </w:r>
                  <w:proofErr w:type="spellEnd"/>
                </w:p>
                <w:p w14:paraId="0C9C7835" w14:textId="77777777" w:rsidR="002641D2" w:rsidRPr="00FA3F9C" w:rsidRDefault="002641D2" w:rsidP="00476366">
                  <w:pPr>
                    <w:rPr>
                      <w:rFonts w:ascii="Arial" w:hAnsi="Arial" w:cs="Arial"/>
                      <w:sz w:val="24"/>
                      <w:szCs w:val="24"/>
                      <w:lang w:val="es-ES"/>
                    </w:rPr>
                  </w:pPr>
                  <w:r w:rsidRPr="00FA3F9C">
                    <w:rPr>
                      <w:rFonts w:ascii="Arial" w:hAnsi="Arial" w:cs="Arial"/>
                      <w:sz w:val="24"/>
                      <w:szCs w:val="24"/>
                      <w:lang w:val="es-ES"/>
                    </w:rPr>
                    <w:t>12-mo OS: 51%</w:t>
                  </w:r>
                  <w:r w:rsidRPr="00FA3F9C">
                    <w:rPr>
                      <w:rFonts w:ascii="Arial" w:hAnsi="Arial" w:cs="Arial"/>
                      <w:sz w:val="24"/>
                      <w:szCs w:val="24"/>
                      <w:vertAlign w:val="superscript"/>
                      <w:lang w:val="es-ES"/>
                    </w:rPr>
                    <w:t>2</w:t>
                  </w:r>
                </w:p>
              </w:tc>
            </w:tr>
            <w:tr w:rsidR="002641D2" w:rsidRPr="00FA3F9C" w14:paraId="6A0846BF" w14:textId="77777777" w:rsidTr="00476366">
              <w:trPr>
                <w:trHeight w:val="1970"/>
              </w:trPr>
              <w:tc>
                <w:tcPr>
                  <w:tcW w:w="2245" w:type="dxa"/>
                </w:tcPr>
                <w:p w14:paraId="76BD34BB" w14:textId="77777777" w:rsidR="002641D2" w:rsidRPr="00FA3F9C" w:rsidRDefault="002641D2" w:rsidP="00476366">
                  <w:pPr>
                    <w:rPr>
                      <w:rFonts w:ascii="Arial" w:hAnsi="Arial" w:cs="Arial"/>
                      <w:sz w:val="24"/>
                      <w:szCs w:val="24"/>
                    </w:rPr>
                  </w:pPr>
                  <w:r w:rsidRPr="00FA3F9C">
                    <w:rPr>
                      <w:rFonts w:ascii="Arial" w:hAnsi="Arial" w:cs="Arial"/>
                      <w:sz w:val="24"/>
                      <w:szCs w:val="24"/>
                      <w:vertAlign w:val="superscript"/>
                    </w:rPr>
                    <w:t>3</w:t>
                  </w:r>
                  <w:r w:rsidRPr="00FA3F9C">
                    <w:rPr>
                      <w:rFonts w:ascii="Arial" w:hAnsi="Arial" w:cs="Arial"/>
                      <w:sz w:val="24"/>
                      <w:szCs w:val="24"/>
                    </w:rPr>
                    <w:t>American Society of Hematology abstract (2020)</w:t>
                  </w:r>
                </w:p>
                <w:p w14:paraId="539CDC20" w14:textId="77777777" w:rsidR="002641D2" w:rsidRPr="00FA3F9C" w:rsidRDefault="002641D2" w:rsidP="00476366">
                  <w:pPr>
                    <w:rPr>
                      <w:rFonts w:ascii="Arial" w:hAnsi="Arial" w:cs="Arial"/>
                      <w:sz w:val="24"/>
                      <w:szCs w:val="24"/>
                    </w:rPr>
                  </w:pPr>
                </w:p>
                <w:p w14:paraId="43B58A92" w14:textId="77777777" w:rsidR="002641D2" w:rsidRPr="00FA3F9C" w:rsidRDefault="002641D2" w:rsidP="00476366">
                  <w:pPr>
                    <w:rPr>
                      <w:rFonts w:ascii="Arial" w:hAnsi="Arial" w:cs="Arial"/>
                      <w:b/>
                      <w:sz w:val="24"/>
                      <w:szCs w:val="24"/>
                      <w:u w:val="single"/>
                    </w:rPr>
                  </w:pPr>
                  <w:proofErr w:type="spellStart"/>
                  <w:r w:rsidRPr="00FA3F9C">
                    <w:rPr>
                      <w:rFonts w:ascii="Arial" w:hAnsi="Arial" w:cs="Arial"/>
                      <w:b/>
                      <w:sz w:val="24"/>
                      <w:szCs w:val="24"/>
                      <w:u w:val="single"/>
                    </w:rPr>
                    <w:t>Ivosidenib</w:t>
                  </w:r>
                  <w:proofErr w:type="spellEnd"/>
                  <w:r w:rsidRPr="00FA3F9C">
                    <w:rPr>
                      <w:rFonts w:ascii="Arial" w:hAnsi="Arial" w:cs="Arial"/>
                      <w:b/>
                      <w:sz w:val="24"/>
                      <w:szCs w:val="24"/>
                      <w:u w:val="single"/>
                    </w:rPr>
                    <w:t xml:space="preserve"> vs matched historical controls</w:t>
                  </w:r>
                </w:p>
                <w:p w14:paraId="2691DFCD" w14:textId="77777777" w:rsidR="002641D2" w:rsidRPr="00FA3F9C" w:rsidRDefault="002641D2" w:rsidP="00476366">
                  <w:pPr>
                    <w:rPr>
                      <w:rFonts w:ascii="Arial" w:hAnsi="Arial" w:cs="Arial"/>
                      <w:sz w:val="24"/>
                      <w:szCs w:val="24"/>
                    </w:rPr>
                  </w:pPr>
                </w:p>
                <w:p w14:paraId="4543905E" w14:textId="77777777" w:rsidR="002641D2" w:rsidRPr="00FA3F9C" w:rsidRDefault="002641D2" w:rsidP="00476366">
                  <w:pPr>
                    <w:rPr>
                      <w:rFonts w:ascii="Arial" w:hAnsi="Arial" w:cs="Arial"/>
                      <w:sz w:val="24"/>
                      <w:szCs w:val="24"/>
                    </w:rPr>
                  </w:pPr>
                  <w:r w:rsidRPr="00FA3F9C">
                    <w:rPr>
                      <w:rFonts w:ascii="Arial" w:hAnsi="Arial" w:cs="Arial"/>
                      <w:sz w:val="24"/>
                      <w:szCs w:val="24"/>
                    </w:rPr>
                    <w:t xml:space="preserve">Prior intensive chemo plus one other regimen OR </w:t>
                  </w:r>
                  <w:r w:rsidRPr="00FA3F9C">
                    <w:rPr>
                      <w:rFonts w:ascii="Arial" w:hAnsi="Arial" w:cs="Arial"/>
                      <w:sz w:val="24"/>
                      <w:szCs w:val="24"/>
                      <w:u w:val="single"/>
                    </w:rPr>
                    <w:t>&gt;</w:t>
                  </w:r>
                  <w:r w:rsidRPr="00FA3F9C">
                    <w:rPr>
                      <w:rFonts w:ascii="Arial" w:hAnsi="Arial" w:cs="Arial"/>
                      <w:sz w:val="24"/>
                      <w:szCs w:val="24"/>
                    </w:rPr>
                    <w:t>1 prior non-intensive regimen if not a candidate for intensive chemo</w:t>
                  </w:r>
                </w:p>
              </w:tc>
              <w:tc>
                <w:tcPr>
                  <w:tcW w:w="2250" w:type="dxa"/>
                </w:tcPr>
                <w:p w14:paraId="4C063845" w14:textId="77777777" w:rsidR="002641D2" w:rsidRPr="00FA3F9C" w:rsidRDefault="002641D2" w:rsidP="002641D2">
                  <w:pPr>
                    <w:pStyle w:val="ListParagraph"/>
                    <w:numPr>
                      <w:ilvl w:val="0"/>
                      <w:numId w:val="289"/>
                    </w:numPr>
                    <w:ind w:left="160" w:hanging="180"/>
                    <w:rPr>
                      <w:rFonts w:ascii="Arial" w:hAnsi="Arial" w:cs="Arial"/>
                      <w:sz w:val="24"/>
                      <w:szCs w:val="24"/>
                    </w:rPr>
                  </w:pPr>
                  <w:proofErr w:type="spellStart"/>
                  <w:r w:rsidRPr="00FA3F9C">
                    <w:rPr>
                      <w:rFonts w:ascii="Arial" w:hAnsi="Arial" w:cs="Arial"/>
                      <w:sz w:val="24"/>
                      <w:szCs w:val="24"/>
                    </w:rPr>
                    <w:lastRenderedPageBreak/>
                    <w:t>Ivosidenib</w:t>
                  </w:r>
                  <w:proofErr w:type="spellEnd"/>
                  <w:r w:rsidRPr="00FA3F9C">
                    <w:rPr>
                      <w:rFonts w:ascii="Arial" w:hAnsi="Arial" w:cs="Arial"/>
                      <w:sz w:val="24"/>
                      <w:szCs w:val="24"/>
                    </w:rPr>
                    <w:t xml:space="preserve"> arm: N=109</w:t>
                  </w:r>
                </w:p>
                <w:p w14:paraId="25A98BE8" w14:textId="77777777" w:rsidR="002641D2" w:rsidRPr="00FA3F9C" w:rsidRDefault="002641D2" w:rsidP="002641D2">
                  <w:pPr>
                    <w:pStyle w:val="ListParagraph"/>
                    <w:numPr>
                      <w:ilvl w:val="0"/>
                      <w:numId w:val="289"/>
                    </w:numPr>
                    <w:ind w:left="160" w:hanging="180"/>
                    <w:rPr>
                      <w:rFonts w:ascii="Arial" w:hAnsi="Arial" w:cs="Arial"/>
                      <w:sz w:val="24"/>
                      <w:szCs w:val="24"/>
                    </w:rPr>
                  </w:pPr>
                  <w:r w:rsidRPr="00FA3F9C">
                    <w:rPr>
                      <w:rFonts w:ascii="Arial" w:hAnsi="Arial" w:cs="Arial"/>
                      <w:sz w:val="24"/>
                      <w:szCs w:val="24"/>
                    </w:rPr>
                    <w:t>Historical controls arm: n=60</w:t>
                  </w:r>
                </w:p>
                <w:p w14:paraId="7468F8C7" w14:textId="77777777" w:rsidR="002641D2" w:rsidRPr="00FA3F9C" w:rsidRDefault="002641D2" w:rsidP="002641D2">
                  <w:pPr>
                    <w:pStyle w:val="ListParagraph"/>
                    <w:numPr>
                      <w:ilvl w:val="0"/>
                      <w:numId w:val="289"/>
                    </w:numPr>
                    <w:ind w:left="160" w:hanging="180"/>
                    <w:rPr>
                      <w:rFonts w:ascii="Arial" w:hAnsi="Arial" w:cs="Arial"/>
                      <w:sz w:val="24"/>
                      <w:szCs w:val="24"/>
                    </w:rPr>
                  </w:pPr>
                  <w:r w:rsidRPr="00FA3F9C">
                    <w:rPr>
                      <w:rFonts w:ascii="Arial" w:hAnsi="Arial" w:cs="Arial"/>
                      <w:sz w:val="24"/>
                      <w:szCs w:val="24"/>
                    </w:rPr>
                    <w:t>Matching/weighting method: Inverse probability of treatment weighting (IPTW)</w:t>
                  </w:r>
                </w:p>
              </w:tc>
              <w:tc>
                <w:tcPr>
                  <w:tcW w:w="2160" w:type="dxa"/>
                </w:tcPr>
                <w:p w14:paraId="7A1CDEA7" w14:textId="77777777" w:rsidR="002641D2" w:rsidRPr="00FA3F9C" w:rsidRDefault="002641D2" w:rsidP="00476366">
                  <w:pPr>
                    <w:ind w:left="-20"/>
                    <w:rPr>
                      <w:rFonts w:ascii="Arial" w:hAnsi="Arial" w:cs="Arial"/>
                      <w:sz w:val="24"/>
                      <w:szCs w:val="24"/>
                    </w:rPr>
                  </w:pPr>
                  <w:r w:rsidRPr="00FA3F9C">
                    <w:rPr>
                      <w:rFonts w:ascii="Arial" w:hAnsi="Arial" w:cs="Arial"/>
                      <w:sz w:val="24"/>
                      <w:szCs w:val="24"/>
                    </w:rPr>
                    <w:t xml:space="preserve">Overall survival </w:t>
                  </w:r>
                </w:p>
                <w:p w14:paraId="4096B051" w14:textId="77777777" w:rsidR="002641D2" w:rsidRPr="00FA3F9C" w:rsidRDefault="002641D2" w:rsidP="00476366">
                  <w:pPr>
                    <w:rPr>
                      <w:rFonts w:ascii="Arial" w:hAnsi="Arial" w:cs="Arial"/>
                      <w:sz w:val="24"/>
                      <w:szCs w:val="24"/>
                    </w:rPr>
                  </w:pPr>
                  <w:r w:rsidRPr="00FA3F9C">
                    <w:rPr>
                      <w:rFonts w:ascii="Arial" w:hAnsi="Arial" w:cs="Arial"/>
                      <w:sz w:val="24"/>
                      <w:szCs w:val="24"/>
                    </w:rPr>
                    <w:t>Complete response rate</w:t>
                  </w:r>
                </w:p>
              </w:tc>
              <w:tc>
                <w:tcPr>
                  <w:tcW w:w="4135" w:type="dxa"/>
                </w:tcPr>
                <w:p w14:paraId="6FF6F2CF" w14:textId="77777777" w:rsidR="002641D2" w:rsidRPr="00FA3F9C" w:rsidRDefault="002641D2" w:rsidP="00476366">
                  <w:pPr>
                    <w:ind w:left="-20"/>
                    <w:rPr>
                      <w:rFonts w:ascii="Arial" w:hAnsi="Arial" w:cs="Arial"/>
                      <w:sz w:val="24"/>
                      <w:szCs w:val="24"/>
                      <w:highlight w:val="cyan"/>
                    </w:rPr>
                  </w:pPr>
                  <w:r w:rsidRPr="00FA3F9C">
                    <w:rPr>
                      <w:rFonts w:ascii="Arial" w:hAnsi="Arial" w:cs="Arial"/>
                      <w:sz w:val="24"/>
                      <w:szCs w:val="24"/>
                      <w:highlight w:val="cyan"/>
                    </w:rPr>
                    <w:t>Overall survival (median)</w:t>
                  </w:r>
                </w:p>
                <w:p w14:paraId="6FCDD1CD" w14:textId="77777777" w:rsidR="002641D2" w:rsidRPr="00FA3F9C" w:rsidRDefault="002641D2" w:rsidP="002641D2">
                  <w:pPr>
                    <w:pStyle w:val="ListParagraph"/>
                    <w:numPr>
                      <w:ilvl w:val="0"/>
                      <w:numId w:val="289"/>
                    </w:numPr>
                    <w:ind w:left="160" w:hanging="180"/>
                    <w:rPr>
                      <w:rFonts w:ascii="Arial" w:hAnsi="Arial" w:cs="Arial"/>
                      <w:sz w:val="24"/>
                      <w:szCs w:val="24"/>
                      <w:highlight w:val="cyan"/>
                    </w:rPr>
                  </w:pPr>
                  <w:r w:rsidRPr="00FA3F9C">
                    <w:rPr>
                      <w:rFonts w:ascii="Arial" w:hAnsi="Arial" w:cs="Arial"/>
                      <w:sz w:val="24"/>
                      <w:szCs w:val="24"/>
                      <w:highlight w:val="cyan"/>
                    </w:rPr>
                    <w:t xml:space="preserve">Ivo: 8.1 </w:t>
                  </w:r>
                  <w:proofErr w:type="spellStart"/>
                  <w:r w:rsidRPr="00FA3F9C">
                    <w:rPr>
                      <w:rFonts w:ascii="Arial" w:hAnsi="Arial" w:cs="Arial"/>
                      <w:sz w:val="24"/>
                      <w:szCs w:val="24"/>
                      <w:highlight w:val="cyan"/>
                    </w:rPr>
                    <w:t>mo</w:t>
                  </w:r>
                  <w:proofErr w:type="spellEnd"/>
                </w:p>
                <w:p w14:paraId="45F6A72C" w14:textId="77777777" w:rsidR="002641D2" w:rsidRPr="00FA3F9C" w:rsidRDefault="002641D2" w:rsidP="002641D2">
                  <w:pPr>
                    <w:pStyle w:val="ListParagraph"/>
                    <w:numPr>
                      <w:ilvl w:val="0"/>
                      <w:numId w:val="288"/>
                    </w:numPr>
                    <w:ind w:left="163" w:hanging="163"/>
                    <w:rPr>
                      <w:rFonts w:ascii="Arial" w:hAnsi="Arial" w:cs="Arial"/>
                      <w:sz w:val="24"/>
                      <w:szCs w:val="24"/>
                      <w:highlight w:val="cyan"/>
                    </w:rPr>
                  </w:pPr>
                  <w:r w:rsidRPr="00FA3F9C">
                    <w:rPr>
                      <w:rFonts w:ascii="Arial" w:hAnsi="Arial" w:cs="Arial"/>
                      <w:sz w:val="24"/>
                      <w:szCs w:val="24"/>
                      <w:highlight w:val="cyan"/>
                    </w:rPr>
                    <w:t xml:space="preserve">Controls: 2.9 </w:t>
                  </w:r>
                  <w:proofErr w:type="spellStart"/>
                  <w:r w:rsidRPr="00FA3F9C">
                    <w:rPr>
                      <w:rFonts w:ascii="Arial" w:hAnsi="Arial" w:cs="Arial"/>
                      <w:sz w:val="24"/>
                      <w:szCs w:val="24"/>
                      <w:highlight w:val="cyan"/>
                    </w:rPr>
                    <w:t>mo</w:t>
                  </w:r>
                  <w:proofErr w:type="spellEnd"/>
                </w:p>
                <w:p w14:paraId="22782D03" w14:textId="77777777" w:rsidR="002641D2" w:rsidRPr="00FA3F9C" w:rsidRDefault="002641D2" w:rsidP="002641D2">
                  <w:pPr>
                    <w:pStyle w:val="ListParagraph"/>
                    <w:numPr>
                      <w:ilvl w:val="0"/>
                      <w:numId w:val="288"/>
                    </w:numPr>
                    <w:ind w:left="163" w:hanging="163"/>
                    <w:rPr>
                      <w:rFonts w:ascii="Arial" w:hAnsi="Arial" w:cs="Arial"/>
                      <w:sz w:val="24"/>
                      <w:szCs w:val="24"/>
                      <w:highlight w:val="cyan"/>
                    </w:rPr>
                  </w:pPr>
                  <w:r w:rsidRPr="00FA3F9C">
                    <w:rPr>
                      <w:rFonts w:ascii="Arial" w:hAnsi="Arial" w:cs="Arial"/>
                      <w:sz w:val="24"/>
                      <w:szCs w:val="24"/>
                      <w:highlight w:val="cyan"/>
                    </w:rPr>
                    <w:t>HR 0.396 (95% CI: 0.279 to 0.562)</w:t>
                  </w:r>
                </w:p>
                <w:p w14:paraId="77638063" w14:textId="77777777" w:rsidR="002641D2" w:rsidRPr="00FA3F9C" w:rsidRDefault="002641D2" w:rsidP="00476366">
                  <w:pPr>
                    <w:rPr>
                      <w:rFonts w:ascii="Arial" w:hAnsi="Arial" w:cs="Arial"/>
                      <w:sz w:val="24"/>
                      <w:szCs w:val="24"/>
                    </w:rPr>
                  </w:pPr>
                </w:p>
                <w:p w14:paraId="3F414DED" w14:textId="77777777" w:rsidR="002641D2" w:rsidRPr="00FA3F9C" w:rsidRDefault="002641D2" w:rsidP="00476366">
                  <w:pPr>
                    <w:rPr>
                      <w:rFonts w:ascii="Arial" w:hAnsi="Arial" w:cs="Arial"/>
                      <w:sz w:val="24"/>
                      <w:szCs w:val="24"/>
                      <w:highlight w:val="cyan"/>
                    </w:rPr>
                  </w:pPr>
                  <w:r w:rsidRPr="00FA3F9C">
                    <w:rPr>
                      <w:rFonts w:ascii="Arial" w:hAnsi="Arial" w:cs="Arial"/>
                      <w:sz w:val="24"/>
                      <w:szCs w:val="24"/>
                      <w:highlight w:val="cyan"/>
                    </w:rPr>
                    <w:t>12-month overall survival</w:t>
                  </w:r>
                </w:p>
                <w:p w14:paraId="47574F98" w14:textId="77777777" w:rsidR="002641D2" w:rsidRPr="00FA3F9C" w:rsidRDefault="002641D2" w:rsidP="002641D2">
                  <w:pPr>
                    <w:pStyle w:val="ListParagraph"/>
                    <w:numPr>
                      <w:ilvl w:val="0"/>
                      <w:numId w:val="291"/>
                    </w:numPr>
                    <w:ind w:left="160" w:hanging="180"/>
                    <w:rPr>
                      <w:rFonts w:ascii="Arial" w:hAnsi="Arial" w:cs="Arial"/>
                      <w:sz w:val="24"/>
                      <w:szCs w:val="24"/>
                      <w:highlight w:val="cyan"/>
                    </w:rPr>
                  </w:pPr>
                  <w:r w:rsidRPr="00FA3F9C">
                    <w:rPr>
                      <w:rFonts w:ascii="Arial" w:hAnsi="Arial" w:cs="Arial"/>
                      <w:sz w:val="24"/>
                      <w:szCs w:val="24"/>
                      <w:highlight w:val="cyan"/>
                    </w:rPr>
                    <w:t>Ivo: 35%</w:t>
                  </w:r>
                </w:p>
                <w:p w14:paraId="7B955388" w14:textId="77777777" w:rsidR="002641D2" w:rsidRPr="00FA3F9C" w:rsidRDefault="002641D2" w:rsidP="002641D2">
                  <w:pPr>
                    <w:pStyle w:val="ListParagraph"/>
                    <w:numPr>
                      <w:ilvl w:val="0"/>
                      <w:numId w:val="291"/>
                    </w:numPr>
                    <w:ind w:left="160" w:hanging="180"/>
                    <w:rPr>
                      <w:rFonts w:ascii="Arial" w:hAnsi="Arial" w:cs="Arial"/>
                      <w:sz w:val="24"/>
                      <w:szCs w:val="24"/>
                      <w:highlight w:val="cyan"/>
                    </w:rPr>
                  </w:pPr>
                  <w:r w:rsidRPr="00FA3F9C">
                    <w:rPr>
                      <w:rFonts w:ascii="Arial" w:hAnsi="Arial" w:cs="Arial"/>
                      <w:sz w:val="24"/>
                      <w:szCs w:val="24"/>
                      <w:highlight w:val="cyan"/>
                    </w:rPr>
                    <w:t>Controls: 10.8%</w:t>
                  </w:r>
                </w:p>
                <w:p w14:paraId="2AB27607" w14:textId="77777777" w:rsidR="002641D2" w:rsidRPr="00FA3F9C" w:rsidRDefault="002641D2" w:rsidP="00476366">
                  <w:pPr>
                    <w:rPr>
                      <w:rFonts w:ascii="Arial" w:hAnsi="Arial" w:cs="Arial"/>
                      <w:sz w:val="24"/>
                      <w:szCs w:val="24"/>
                    </w:rPr>
                  </w:pPr>
                </w:p>
                <w:p w14:paraId="1B66BA7E" w14:textId="77777777" w:rsidR="002641D2" w:rsidRPr="00FA3F9C" w:rsidRDefault="002641D2" w:rsidP="00476366">
                  <w:pPr>
                    <w:rPr>
                      <w:rFonts w:ascii="Arial" w:hAnsi="Arial" w:cs="Arial"/>
                      <w:sz w:val="24"/>
                      <w:szCs w:val="24"/>
                    </w:rPr>
                  </w:pPr>
                  <w:r w:rsidRPr="00FA3F9C">
                    <w:rPr>
                      <w:rFonts w:ascii="Arial" w:hAnsi="Arial" w:cs="Arial"/>
                      <w:sz w:val="24"/>
                      <w:szCs w:val="24"/>
                    </w:rPr>
                    <w:t>Complete response rate</w:t>
                  </w:r>
                </w:p>
                <w:p w14:paraId="4F0D4658" w14:textId="77777777" w:rsidR="002641D2" w:rsidRPr="00FA3F9C" w:rsidRDefault="002641D2" w:rsidP="002641D2">
                  <w:pPr>
                    <w:pStyle w:val="ListParagraph"/>
                    <w:numPr>
                      <w:ilvl w:val="0"/>
                      <w:numId w:val="290"/>
                    </w:numPr>
                    <w:ind w:left="160" w:hanging="180"/>
                    <w:rPr>
                      <w:rFonts w:ascii="Arial" w:hAnsi="Arial" w:cs="Arial"/>
                      <w:sz w:val="24"/>
                      <w:szCs w:val="24"/>
                    </w:rPr>
                  </w:pPr>
                  <w:r w:rsidRPr="00FA3F9C">
                    <w:rPr>
                      <w:rFonts w:ascii="Arial" w:hAnsi="Arial" w:cs="Arial"/>
                      <w:sz w:val="24"/>
                      <w:szCs w:val="24"/>
                    </w:rPr>
                    <w:t>Ivo: 18.3%</w:t>
                  </w:r>
                </w:p>
                <w:p w14:paraId="4B507E40" w14:textId="77777777" w:rsidR="002641D2" w:rsidRPr="00FA3F9C" w:rsidRDefault="002641D2" w:rsidP="002641D2">
                  <w:pPr>
                    <w:pStyle w:val="ListParagraph"/>
                    <w:numPr>
                      <w:ilvl w:val="0"/>
                      <w:numId w:val="290"/>
                    </w:numPr>
                    <w:ind w:left="160" w:hanging="180"/>
                    <w:rPr>
                      <w:rFonts w:ascii="Arial" w:hAnsi="Arial" w:cs="Arial"/>
                      <w:sz w:val="24"/>
                      <w:szCs w:val="24"/>
                    </w:rPr>
                  </w:pPr>
                  <w:r w:rsidRPr="00FA3F9C">
                    <w:rPr>
                      <w:rFonts w:ascii="Arial" w:hAnsi="Arial" w:cs="Arial"/>
                      <w:sz w:val="24"/>
                      <w:szCs w:val="24"/>
                    </w:rPr>
                    <w:t>Controls: 7%</w:t>
                  </w:r>
                </w:p>
              </w:tc>
            </w:tr>
          </w:tbl>
          <w:p w14:paraId="5A8F03FF" w14:textId="77777777" w:rsidR="002641D2" w:rsidRPr="00FA3F9C" w:rsidRDefault="002641D2" w:rsidP="00476366">
            <w:pPr>
              <w:rPr>
                <w:rFonts w:ascii="Arial" w:hAnsi="Arial" w:cs="Arial"/>
                <w:sz w:val="24"/>
                <w:szCs w:val="24"/>
              </w:rPr>
            </w:pPr>
          </w:p>
        </w:tc>
      </w:tr>
      <w:tr w:rsidR="002641D2" w:rsidRPr="00FA3F9C" w14:paraId="19A68441" w14:textId="77777777" w:rsidTr="00D83A50">
        <w:tc>
          <w:tcPr>
            <w:tcW w:w="10790" w:type="dxa"/>
            <w:gridSpan w:val="2"/>
          </w:tcPr>
          <w:p w14:paraId="00A2C16F" w14:textId="77777777" w:rsidR="002641D2" w:rsidRPr="00FA3F9C" w:rsidRDefault="002641D2" w:rsidP="00476366">
            <w:pPr>
              <w:rPr>
                <w:rFonts w:ascii="Arial" w:hAnsi="Arial" w:cs="Arial"/>
                <w:bCs/>
                <w:sz w:val="24"/>
                <w:szCs w:val="24"/>
              </w:rPr>
            </w:pPr>
            <w:r w:rsidRPr="00FA3F9C">
              <w:rPr>
                <w:rFonts w:ascii="Arial" w:hAnsi="Arial" w:cs="Arial"/>
                <w:bCs/>
                <w:sz w:val="24"/>
                <w:szCs w:val="24"/>
              </w:rPr>
              <w:lastRenderedPageBreak/>
              <w:t>References:</w:t>
            </w:r>
          </w:p>
          <w:p w14:paraId="7EE35D97" w14:textId="77777777" w:rsidR="002641D2" w:rsidRPr="00FA3F9C" w:rsidRDefault="002641D2" w:rsidP="002641D2">
            <w:pPr>
              <w:pStyle w:val="ListParagraph"/>
              <w:numPr>
                <w:ilvl w:val="0"/>
                <w:numId w:val="292"/>
              </w:numPr>
              <w:spacing w:line="259" w:lineRule="auto"/>
              <w:rPr>
                <w:rFonts w:ascii="Arial" w:hAnsi="Arial" w:cs="Arial"/>
                <w:color w:val="222222"/>
                <w:sz w:val="24"/>
                <w:szCs w:val="24"/>
                <w:shd w:val="clear" w:color="auto" w:fill="F8F8F8"/>
              </w:rPr>
            </w:pPr>
            <w:r w:rsidRPr="00FA3F9C">
              <w:rPr>
                <w:rFonts w:ascii="Arial" w:hAnsi="Arial" w:cs="Arial"/>
                <w:color w:val="222222"/>
                <w:sz w:val="24"/>
                <w:szCs w:val="24"/>
              </w:rPr>
              <w:t xml:space="preserve">DiNardo, Courtney D., et al. "Durable remissions with </w:t>
            </w:r>
            <w:proofErr w:type="spellStart"/>
            <w:r w:rsidRPr="00FA3F9C">
              <w:rPr>
                <w:rFonts w:ascii="Arial" w:hAnsi="Arial" w:cs="Arial"/>
                <w:color w:val="222222"/>
                <w:sz w:val="24"/>
                <w:szCs w:val="24"/>
              </w:rPr>
              <w:t>ivosidenib</w:t>
            </w:r>
            <w:proofErr w:type="spellEnd"/>
            <w:r w:rsidRPr="00FA3F9C">
              <w:rPr>
                <w:rFonts w:ascii="Arial" w:hAnsi="Arial" w:cs="Arial"/>
                <w:color w:val="222222"/>
                <w:sz w:val="24"/>
                <w:szCs w:val="24"/>
              </w:rPr>
              <w:t xml:space="preserve"> in IDH1-mutated relapsed or refractory AML." </w:t>
            </w:r>
            <w:r w:rsidRPr="00FA3F9C">
              <w:rPr>
                <w:rFonts w:ascii="Arial" w:hAnsi="Arial" w:cs="Arial"/>
                <w:iCs/>
                <w:color w:val="222222"/>
                <w:sz w:val="24"/>
                <w:szCs w:val="24"/>
              </w:rPr>
              <w:t xml:space="preserve">N </w:t>
            </w:r>
            <w:proofErr w:type="spellStart"/>
            <w:r w:rsidRPr="00FA3F9C">
              <w:rPr>
                <w:rFonts w:ascii="Arial" w:hAnsi="Arial" w:cs="Arial"/>
                <w:iCs/>
                <w:color w:val="222222"/>
                <w:sz w:val="24"/>
                <w:szCs w:val="24"/>
              </w:rPr>
              <w:t>Engl</w:t>
            </w:r>
            <w:proofErr w:type="spellEnd"/>
            <w:r w:rsidRPr="00FA3F9C">
              <w:rPr>
                <w:rFonts w:ascii="Arial" w:hAnsi="Arial" w:cs="Arial"/>
                <w:iCs/>
                <w:color w:val="222222"/>
                <w:sz w:val="24"/>
                <w:szCs w:val="24"/>
              </w:rPr>
              <w:t xml:space="preserve"> J Med. 2018 Jun 21;378(25):2386-2398</w:t>
            </w:r>
            <w:r w:rsidRPr="00FA3F9C">
              <w:rPr>
                <w:rFonts w:ascii="Arial" w:hAnsi="Arial" w:cs="Arial"/>
                <w:i/>
                <w:iCs/>
                <w:color w:val="222222"/>
                <w:sz w:val="24"/>
                <w:szCs w:val="24"/>
              </w:rPr>
              <w:t xml:space="preserve">. </w:t>
            </w:r>
            <w:r w:rsidRPr="00FA3F9C">
              <w:rPr>
                <w:rFonts w:ascii="Arial" w:hAnsi="Arial" w:cs="Arial"/>
                <w:iCs/>
                <w:color w:val="222222"/>
                <w:sz w:val="24"/>
                <w:szCs w:val="24"/>
              </w:rPr>
              <w:t>PMID 29860938 NCT02074839</w:t>
            </w:r>
          </w:p>
          <w:p w14:paraId="738A78BE" w14:textId="77777777" w:rsidR="002641D2" w:rsidRPr="00FA3F9C" w:rsidRDefault="002641D2" w:rsidP="002641D2">
            <w:pPr>
              <w:pStyle w:val="ListParagraph"/>
              <w:numPr>
                <w:ilvl w:val="0"/>
                <w:numId w:val="292"/>
              </w:numPr>
              <w:spacing w:line="259" w:lineRule="auto"/>
              <w:rPr>
                <w:rFonts w:ascii="Arial" w:hAnsi="Arial" w:cs="Arial"/>
                <w:color w:val="222222"/>
                <w:sz w:val="24"/>
                <w:szCs w:val="24"/>
                <w:shd w:val="clear" w:color="auto" w:fill="F8F8F8"/>
              </w:rPr>
            </w:pPr>
            <w:proofErr w:type="spellStart"/>
            <w:r w:rsidRPr="00FA3F9C">
              <w:rPr>
                <w:rFonts w:ascii="Arial" w:hAnsi="Arial" w:cs="Arial"/>
                <w:sz w:val="24"/>
                <w:szCs w:val="24"/>
              </w:rPr>
              <w:t>Roboz</w:t>
            </w:r>
            <w:proofErr w:type="spellEnd"/>
            <w:r w:rsidRPr="00FA3F9C">
              <w:rPr>
                <w:rFonts w:ascii="Arial" w:hAnsi="Arial" w:cs="Arial"/>
                <w:sz w:val="24"/>
                <w:szCs w:val="24"/>
              </w:rPr>
              <w:t xml:space="preserve"> GJ et al. </w:t>
            </w:r>
            <w:proofErr w:type="spellStart"/>
            <w:r w:rsidRPr="00FA3F9C">
              <w:rPr>
                <w:rFonts w:ascii="Arial" w:hAnsi="Arial" w:cs="Arial"/>
                <w:sz w:val="24"/>
                <w:szCs w:val="24"/>
              </w:rPr>
              <w:t>Ivosidenib</w:t>
            </w:r>
            <w:proofErr w:type="spellEnd"/>
            <w:r w:rsidRPr="00FA3F9C">
              <w:rPr>
                <w:rFonts w:ascii="Arial" w:hAnsi="Arial" w:cs="Arial"/>
                <w:sz w:val="24"/>
                <w:szCs w:val="24"/>
              </w:rPr>
              <w:t xml:space="preserve"> induces deep durable remissions in patients with newly diagnosed IDH1-mutant acute myeloid leukemia. Blood. 2020 Feb 13;135(7):463-471. </w:t>
            </w:r>
            <w:proofErr w:type="spellStart"/>
            <w:r w:rsidRPr="00FA3F9C">
              <w:rPr>
                <w:rFonts w:ascii="Arial" w:hAnsi="Arial" w:cs="Arial"/>
                <w:sz w:val="24"/>
                <w:szCs w:val="24"/>
              </w:rPr>
              <w:t>doi</w:t>
            </w:r>
            <w:proofErr w:type="spellEnd"/>
            <w:r w:rsidRPr="00FA3F9C">
              <w:rPr>
                <w:rFonts w:ascii="Arial" w:hAnsi="Arial" w:cs="Arial"/>
                <w:sz w:val="24"/>
                <w:szCs w:val="24"/>
              </w:rPr>
              <w:t>: 10.1182/blood.2019002140. PMID: 31841594</w:t>
            </w:r>
          </w:p>
          <w:p w14:paraId="22470564" w14:textId="77777777" w:rsidR="002641D2" w:rsidRPr="00FA3F9C" w:rsidRDefault="002641D2" w:rsidP="002641D2">
            <w:pPr>
              <w:pStyle w:val="ListParagraph"/>
              <w:numPr>
                <w:ilvl w:val="0"/>
                <w:numId w:val="292"/>
              </w:numPr>
              <w:spacing w:line="259" w:lineRule="auto"/>
              <w:rPr>
                <w:rFonts w:ascii="Arial" w:hAnsi="Arial" w:cs="Arial"/>
                <w:color w:val="222222"/>
                <w:sz w:val="24"/>
                <w:szCs w:val="24"/>
                <w:shd w:val="clear" w:color="auto" w:fill="F8F8F8"/>
              </w:rPr>
            </w:pPr>
            <w:proofErr w:type="spellStart"/>
            <w:r w:rsidRPr="00FA3F9C">
              <w:rPr>
                <w:rFonts w:ascii="Arial" w:eastAsia="Times New Roman" w:hAnsi="Arial" w:cs="Arial"/>
                <w:bCs/>
                <w:color w:val="1C1D1F"/>
                <w:kern w:val="36"/>
                <w:sz w:val="24"/>
                <w:szCs w:val="24"/>
              </w:rPr>
              <w:t>Paschka</w:t>
            </w:r>
            <w:proofErr w:type="spellEnd"/>
            <w:r w:rsidRPr="00FA3F9C">
              <w:rPr>
                <w:rFonts w:ascii="Arial" w:eastAsia="Times New Roman" w:hAnsi="Arial" w:cs="Arial"/>
                <w:bCs/>
                <w:color w:val="1C1D1F"/>
                <w:kern w:val="36"/>
                <w:sz w:val="24"/>
                <w:szCs w:val="24"/>
              </w:rPr>
              <w:t xml:space="preserve"> P et al. </w:t>
            </w:r>
            <w:proofErr w:type="spellStart"/>
            <w:r w:rsidRPr="00FA3F9C">
              <w:rPr>
                <w:rFonts w:ascii="Arial" w:eastAsia="Times New Roman" w:hAnsi="Arial" w:cs="Arial"/>
                <w:bCs/>
                <w:color w:val="1C1D1F"/>
                <w:kern w:val="36"/>
                <w:sz w:val="24"/>
                <w:szCs w:val="24"/>
              </w:rPr>
              <w:t>Ivosidenib</w:t>
            </w:r>
            <w:proofErr w:type="spellEnd"/>
            <w:r w:rsidRPr="00FA3F9C">
              <w:rPr>
                <w:rFonts w:ascii="Arial" w:eastAsia="Times New Roman" w:hAnsi="Arial" w:cs="Arial"/>
                <w:bCs/>
                <w:color w:val="1C1D1F"/>
                <w:kern w:val="36"/>
                <w:sz w:val="24"/>
                <w:szCs w:val="24"/>
              </w:rPr>
              <w:t xml:space="preserve"> Improves Overall Survival Relative to Standard Therapies in Relapsed or Refractory Mutant </w:t>
            </w:r>
            <w:r w:rsidRPr="00FA3F9C">
              <w:rPr>
                <w:rFonts w:ascii="Arial" w:eastAsia="Times New Roman" w:hAnsi="Arial" w:cs="Arial"/>
                <w:bCs/>
                <w:i/>
                <w:iCs/>
                <w:color w:val="1C1D1F"/>
                <w:kern w:val="36"/>
                <w:sz w:val="24"/>
                <w:szCs w:val="24"/>
                <w:bdr w:val="none" w:sz="0" w:space="0" w:color="auto" w:frame="1"/>
              </w:rPr>
              <w:t>IDH1</w:t>
            </w:r>
            <w:r w:rsidRPr="00FA3F9C">
              <w:rPr>
                <w:rFonts w:ascii="Arial" w:eastAsia="Times New Roman" w:hAnsi="Arial" w:cs="Arial"/>
                <w:bCs/>
                <w:color w:val="1C1D1F"/>
                <w:kern w:val="36"/>
                <w:sz w:val="24"/>
                <w:szCs w:val="24"/>
              </w:rPr>
              <w:t> AML: Results from Matched Comparisons to Historical Controls.</w:t>
            </w:r>
            <w:r w:rsidRPr="00FA3F9C">
              <w:rPr>
                <w:rFonts w:ascii="Arial" w:hAnsi="Arial" w:cs="Arial"/>
                <w:sz w:val="24"/>
                <w:szCs w:val="24"/>
              </w:rPr>
              <w:t xml:space="preserve"> </w:t>
            </w:r>
            <w:r w:rsidRPr="00FA3F9C">
              <w:rPr>
                <w:rFonts w:ascii="Arial" w:eastAsia="Times New Roman" w:hAnsi="Arial" w:cs="Arial"/>
                <w:bCs/>
                <w:color w:val="1C1D1F"/>
                <w:kern w:val="36"/>
                <w:sz w:val="24"/>
                <w:szCs w:val="24"/>
              </w:rPr>
              <w:t xml:space="preserve">Blood (2020) 136 (Supplement 1): 18–19. </w:t>
            </w:r>
            <w:hyperlink r:id="rId257" w:history="1">
              <w:r w:rsidRPr="00FA3F9C">
                <w:rPr>
                  <w:rStyle w:val="Hyperlink"/>
                  <w:rFonts w:ascii="Arial" w:eastAsia="Times New Roman" w:hAnsi="Arial" w:cs="Arial"/>
                  <w:kern w:val="36"/>
                  <w:sz w:val="24"/>
                  <w:szCs w:val="24"/>
                </w:rPr>
                <w:t>https://doi.org/10.1182/blood-2020-136957</w:t>
              </w:r>
            </w:hyperlink>
            <w:r w:rsidRPr="00FA3F9C">
              <w:rPr>
                <w:rFonts w:ascii="Arial" w:eastAsia="Times New Roman" w:hAnsi="Arial" w:cs="Arial"/>
                <w:bCs/>
                <w:color w:val="1C1D1F"/>
                <w:kern w:val="36"/>
                <w:sz w:val="24"/>
                <w:szCs w:val="24"/>
              </w:rPr>
              <w:t>.</w:t>
            </w:r>
          </w:p>
        </w:tc>
      </w:tr>
    </w:tbl>
    <w:p w14:paraId="242C6A90" w14:textId="77777777" w:rsidR="002641D2" w:rsidRPr="00FA3F9C" w:rsidRDefault="002641D2" w:rsidP="006F623F">
      <w:pPr>
        <w:spacing w:after="0"/>
        <w:rPr>
          <w:rFonts w:ascii="Arial" w:hAnsi="Arial" w:cs="Arial"/>
          <w:b/>
          <w:sz w:val="24"/>
          <w:szCs w:val="24"/>
          <w:u w:val="single"/>
        </w:rPr>
      </w:pPr>
    </w:p>
    <w:tbl>
      <w:tblPr>
        <w:tblStyle w:val="TableGrid"/>
        <w:tblW w:w="0" w:type="auto"/>
        <w:tblLook w:val="04A0" w:firstRow="1" w:lastRow="0" w:firstColumn="1" w:lastColumn="0" w:noHBand="0" w:noVBand="1"/>
      </w:tblPr>
      <w:tblGrid>
        <w:gridCol w:w="8928"/>
        <w:gridCol w:w="2088"/>
      </w:tblGrid>
      <w:tr w:rsidR="002641D2" w:rsidRPr="00FA3F9C" w14:paraId="10BD0BDB" w14:textId="77777777" w:rsidTr="00751306">
        <w:tc>
          <w:tcPr>
            <w:tcW w:w="8928" w:type="dxa"/>
            <w:shd w:val="clear" w:color="auto" w:fill="000000"/>
          </w:tcPr>
          <w:p w14:paraId="5700CB96" w14:textId="77777777" w:rsidR="002641D2" w:rsidRPr="00FA3F9C" w:rsidRDefault="002641D2" w:rsidP="00751306">
            <w:pPr>
              <w:rPr>
                <w:rFonts w:ascii="Arial" w:hAnsi="Arial" w:cs="Arial"/>
                <w:b/>
                <w:sz w:val="24"/>
                <w:szCs w:val="24"/>
                <w:u w:val="single"/>
              </w:rPr>
            </w:pPr>
            <w:r w:rsidRPr="00FA3F9C">
              <w:rPr>
                <w:rFonts w:ascii="Arial" w:hAnsi="Arial" w:cs="Arial"/>
                <w:b/>
                <w:sz w:val="24"/>
                <w:szCs w:val="24"/>
                <w:u w:val="single"/>
              </w:rPr>
              <w:t>Cholangiocarcinoma</w:t>
            </w:r>
          </w:p>
        </w:tc>
        <w:tc>
          <w:tcPr>
            <w:tcW w:w="2088" w:type="dxa"/>
            <w:shd w:val="clear" w:color="auto" w:fill="000000"/>
          </w:tcPr>
          <w:p w14:paraId="548F18F3" w14:textId="77777777" w:rsidR="002641D2" w:rsidRPr="00FA3F9C" w:rsidRDefault="002641D2" w:rsidP="00751306">
            <w:pPr>
              <w:jc w:val="center"/>
              <w:rPr>
                <w:rFonts w:ascii="Arial" w:hAnsi="Arial" w:cs="Arial"/>
                <w:b/>
                <w:sz w:val="24"/>
                <w:szCs w:val="24"/>
                <w:u w:val="single"/>
              </w:rPr>
            </w:pPr>
          </w:p>
        </w:tc>
      </w:tr>
      <w:tr w:rsidR="002641D2" w:rsidRPr="00FA3F9C" w14:paraId="267D8378" w14:textId="77777777" w:rsidTr="00751306">
        <w:tc>
          <w:tcPr>
            <w:tcW w:w="11016" w:type="dxa"/>
            <w:gridSpan w:val="2"/>
          </w:tcPr>
          <w:p w14:paraId="3F7C816A" w14:textId="77777777" w:rsidR="002641D2" w:rsidRPr="00FA3F9C" w:rsidRDefault="002641D2" w:rsidP="00D83A50">
            <w:pPr>
              <w:rPr>
                <w:rFonts w:ascii="Arial" w:hAnsi="Arial" w:cs="Arial"/>
                <w:sz w:val="24"/>
                <w:szCs w:val="24"/>
              </w:rPr>
            </w:pPr>
            <w:r w:rsidRPr="00FA3F9C">
              <w:rPr>
                <w:rFonts w:ascii="Arial" w:hAnsi="Arial" w:cs="Arial"/>
                <w:sz w:val="24"/>
                <w:szCs w:val="24"/>
              </w:rPr>
              <w:t xml:space="preserve">1. Diagnosis of advanced or metastatic cholangiocarcinoma </w:t>
            </w:r>
          </w:p>
        </w:tc>
      </w:tr>
      <w:tr w:rsidR="002641D2" w:rsidRPr="00FA3F9C" w14:paraId="26BEE0AE" w14:textId="77777777" w:rsidTr="00751306">
        <w:tc>
          <w:tcPr>
            <w:tcW w:w="11016" w:type="dxa"/>
            <w:gridSpan w:val="2"/>
          </w:tcPr>
          <w:p w14:paraId="382962C5" w14:textId="77777777" w:rsidR="002641D2" w:rsidRPr="00FA3F9C" w:rsidRDefault="002641D2" w:rsidP="00751306">
            <w:pPr>
              <w:rPr>
                <w:rFonts w:ascii="Arial" w:hAnsi="Arial" w:cs="Arial"/>
                <w:sz w:val="24"/>
                <w:szCs w:val="24"/>
              </w:rPr>
            </w:pPr>
            <w:r w:rsidRPr="00FA3F9C">
              <w:rPr>
                <w:rFonts w:ascii="Arial" w:hAnsi="Arial" w:cs="Arial"/>
                <w:sz w:val="24"/>
                <w:szCs w:val="24"/>
              </w:rPr>
              <w:t>2. Confirmed IDH1 mutation</w:t>
            </w:r>
          </w:p>
        </w:tc>
      </w:tr>
      <w:tr w:rsidR="002641D2" w:rsidRPr="00FA3F9C" w14:paraId="35BBA79D" w14:textId="77777777" w:rsidTr="00751306">
        <w:tc>
          <w:tcPr>
            <w:tcW w:w="11016" w:type="dxa"/>
            <w:gridSpan w:val="2"/>
          </w:tcPr>
          <w:p w14:paraId="03BE4722" w14:textId="77777777" w:rsidR="002641D2" w:rsidRPr="00FA3F9C" w:rsidRDefault="002641D2" w:rsidP="00D83A50">
            <w:pPr>
              <w:rPr>
                <w:rFonts w:ascii="Arial" w:hAnsi="Arial" w:cs="Arial"/>
                <w:sz w:val="24"/>
                <w:szCs w:val="24"/>
              </w:rPr>
            </w:pPr>
            <w:r w:rsidRPr="00FA3F9C">
              <w:rPr>
                <w:rFonts w:ascii="Arial" w:hAnsi="Arial" w:cs="Arial"/>
                <w:sz w:val="24"/>
                <w:szCs w:val="24"/>
              </w:rPr>
              <w:t>2. Disease has progressed after at least one prior therapy</w:t>
            </w:r>
          </w:p>
        </w:tc>
      </w:tr>
      <w:tr w:rsidR="002641D2" w:rsidRPr="00FA3F9C" w14:paraId="2E4124D6" w14:textId="77777777" w:rsidTr="00751306">
        <w:tc>
          <w:tcPr>
            <w:tcW w:w="11016" w:type="dxa"/>
            <w:gridSpan w:val="2"/>
          </w:tcPr>
          <w:p w14:paraId="7B19F7B7" w14:textId="77777777" w:rsidR="002641D2" w:rsidRPr="00FA3F9C" w:rsidRDefault="002641D2" w:rsidP="00751306">
            <w:pPr>
              <w:rPr>
                <w:rFonts w:ascii="Arial" w:hAnsi="Arial" w:cs="Arial"/>
                <w:sz w:val="24"/>
                <w:szCs w:val="24"/>
              </w:rPr>
            </w:pPr>
            <w:r w:rsidRPr="00FA3F9C">
              <w:rPr>
                <w:rFonts w:ascii="Arial" w:hAnsi="Arial" w:cs="Arial"/>
                <w:sz w:val="24"/>
                <w:szCs w:val="24"/>
              </w:rPr>
              <w:t xml:space="preserve">3. </w:t>
            </w:r>
            <w:proofErr w:type="spellStart"/>
            <w:r w:rsidRPr="00FA3F9C">
              <w:rPr>
                <w:rFonts w:ascii="Arial" w:hAnsi="Arial" w:cs="Arial"/>
                <w:sz w:val="24"/>
                <w:szCs w:val="24"/>
              </w:rPr>
              <w:t>Ivosidenib</w:t>
            </w:r>
            <w:proofErr w:type="spellEnd"/>
            <w:r w:rsidRPr="00FA3F9C">
              <w:rPr>
                <w:rFonts w:ascii="Arial" w:hAnsi="Arial" w:cs="Arial"/>
                <w:sz w:val="24"/>
                <w:szCs w:val="24"/>
              </w:rPr>
              <w:t xml:space="preserve"> will be used as single agent</w:t>
            </w:r>
          </w:p>
        </w:tc>
      </w:tr>
      <w:tr w:rsidR="002641D2" w:rsidRPr="00FA3F9C" w14:paraId="6969104D" w14:textId="77777777" w:rsidTr="00751306">
        <w:tc>
          <w:tcPr>
            <w:tcW w:w="11016" w:type="dxa"/>
            <w:gridSpan w:val="2"/>
            <w:shd w:val="clear" w:color="auto" w:fill="F2F2F2" w:themeFill="background1" w:themeFillShade="F2"/>
          </w:tcPr>
          <w:p w14:paraId="142EFB3D" w14:textId="77777777" w:rsidR="002641D2" w:rsidRPr="00FA3F9C" w:rsidRDefault="002641D2" w:rsidP="00751306">
            <w:pPr>
              <w:rPr>
                <w:rFonts w:ascii="Arial" w:hAnsi="Arial" w:cs="Arial"/>
                <w:sz w:val="24"/>
                <w:szCs w:val="24"/>
              </w:rPr>
            </w:pPr>
            <w:r w:rsidRPr="00FA3F9C">
              <w:rPr>
                <w:rFonts w:ascii="Arial" w:hAnsi="Arial" w:cs="Arial"/>
                <w:sz w:val="24"/>
                <w:szCs w:val="24"/>
              </w:rPr>
              <w:t>If criteria met, approve for 12 months</w:t>
            </w:r>
          </w:p>
        </w:tc>
      </w:tr>
      <w:tr w:rsidR="002641D2" w:rsidRPr="00FA3F9C" w14:paraId="3541D799" w14:textId="77777777" w:rsidTr="00751306">
        <w:tc>
          <w:tcPr>
            <w:tcW w:w="11016" w:type="dxa"/>
            <w:gridSpan w:val="2"/>
            <w:shd w:val="clear" w:color="auto" w:fill="F2F2F2" w:themeFill="background1" w:themeFillShade="F2"/>
          </w:tcPr>
          <w:p w14:paraId="7EA33C33" w14:textId="77777777" w:rsidR="002641D2" w:rsidRPr="00FA3F9C" w:rsidRDefault="002641D2" w:rsidP="00751306">
            <w:pPr>
              <w:rPr>
                <w:rFonts w:ascii="Arial" w:hAnsi="Arial" w:cs="Arial"/>
                <w:sz w:val="24"/>
                <w:szCs w:val="24"/>
              </w:rPr>
            </w:pPr>
            <w:r w:rsidRPr="00FA3F9C">
              <w:rPr>
                <w:rFonts w:ascii="Arial" w:hAnsi="Arial" w:cs="Arial"/>
                <w:sz w:val="24"/>
                <w:szCs w:val="24"/>
              </w:rPr>
              <w:t>Dose: 500 mg PO daily until disease progression</w:t>
            </w:r>
          </w:p>
          <w:p w14:paraId="574975C0" w14:textId="77777777" w:rsidR="002641D2" w:rsidRPr="00FA3F9C" w:rsidRDefault="002641D2" w:rsidP="00751306">
            <w:pPr>
              <w:rPr>
                <w:rFonts w:ascii="Arial" w:hAnsi="Arial" w:cs="Arial"/>
                <w:sz w:val="24"/>
                <w:szCs w:val="24"/>
              </w:rPr>
            </w:pPr>
          </w:p>
          <w:p w14:paraId="38371F17" w14:textId="77777777" w:rsidR="002641D2" w:rsidRPr="00FA3F9C" w:rsidRDefault="002641D2" w:rsidP="00751306">
            <w:pPr>
              <w:rPr>
                <w:rFonts w:ascii="Arial" w:hAnsi="Arial" w:cs="Arial"/>
                <w:sz w:val="24"/>
                <w:szCs w:val="24"/>
              </w:rPr>
            </w:pPr>
            <w:r w:rsidRPr="00FA3F9C">
              <w:rPr>
                <w:rFonts w:ascii="Arial" w:hAnsi="Arial" w:cs="Arial"/>
                <w:sz w:val="24"/>
                <w:szCs w:val="24"/>
              </w:rPr>
              <w:t xml:space="preserve">In a crossover-adjusted analysis, </w:t>
            </w:r>
            <w:proofErr w:type="spellStart"/>
            <w:r w:rsidRPr="00FA3F9C">
              <w:rPr>
                <w:rFonts w:ascii="Arial" w:hAnsi="Arial" w:cs="Arial"/>
                <w:sz w:val="24"/>
                <w:szCs w:val="24"/>
              </w:rPr>
              <w:t>ivosidenib</w:t>
            </w:r>
            <w:proofErr w:type="spellEnd"/>
            <w:r w:rsidRPr="00FA3F9C">
              <w:rPr>
                <w:rFonts w:ascii="Arial" w:hAnsi="Arial" w:cs="Arial"/>
                <w:sz w:val="24"/>
                <w:szCs w:val="24"/>
              </w:rPr>
              <w:t xml:space="preserve"> improved overall survival compared to placebo in this population (median 10.8 </w:t>
            </w:r>
            <w:proofErr w:type="spellStart"/>
            <w:r w:rsidRPr="00FA3F9C">
              <w:rPr>
                <w:rFonts w:ascii="Arial" w:hAnsi="Arial" w:cs="Arial"/>
                <w:sz w:val="24"/>
                <w:szCs w:val="24"/>
              </w:rPr>
              <w:t>mo</w:t>
            </w:r>
            <w:proofErr w:type="spellEnd"/>
            <w:r w:rsidRPr="00FA3F9C">
              <w:rPr>
                <w:rFonts w:ascii="Arial" w:hAnsi="Arial" w:cs="Arial"/>
                <w:sz w:val="24"/>
                <w:szCs w:val="24"/>
              </w:rPr>
              <w:t xml:space="preserve"> versus 6 </w:t>
            </w:r>
            <w:proofErr w:type="spellStart"/>
            <w:proofErr w:type="gramStart"/>
            <w:r w:rsidRPr="00FA3F9C">
              <w:rPr>
                <w:rFonts w:ascii="Arial" w:hAnsi="Arial" w:cs="Arial"/>
                <w:sz w:val="24"/>
                <w:szCs w:val="24"/>
              </w:rPr>
              <w:t>mo</w:t>
            </w:r>
            <w:proofErr w:type="spellEnd"/>
            <w:r w:rsidRPr="00FA3F9C">
              <w:rPr>
                <w:rFonts w:ascii="Arial" w:hAnsi="Arial" w:cs="Arial"/>
                <w:sz w:val="24"/>
                <w:szCs w:val="24"/>
              </w:rPr>
              <w:t>;</w:t>
            </w:r>
            <w:proofErr w:type="gramEnd"/>
            <w:r w:rsidRPr="00FA3F9C">
              <w:rPr>
                <w:rFonts w:ascii="Arial" w:hAnsi="Arial" w:cs="Arial"/>
                <w:sz w:val="24"/>
                <w:szCs w:val="24"/>
              </w:rPr>
              <w:t xml:space="preserve"> HR 0.46, 95% CI 0.28 to 0.75).  </w:t>
            </w:r>
            <w:proofErr w:type="spellStart"/>
            <w:r w:rsidRPr="00FA3F9C">
              <w:rPr>
                <w:rFonts w:ascii="Arial" w:hAnsi="Arial" w:cs="Arial"/>
                <w:sz w:val="24"/>
                <w:szCs w:val="24"/>
              </w:rPr>
              <w:t>Ivosidenib</w:t>
            </w:r>
            <w:proofErr w:type="spellEnd"/>
            <w:r w:rsidRPr="00FA3F9C">
              <w:rPr>
                <w:rFonts w:ascii="Arial" w:hAnsi="Arial" w:cs="Arial"/>
                <w:sz w:val="24"/>
                <w:szCs w:val="24"/>
              </w:rPr>
              <w:t xml:space="preserve"> also appeared to maintain of physical functioning (per EORTC QLQ-C30 while a clinically significant decrease in </w:t>
            </w:r>
            <w:r w:rsidRPr="00FA3F9C">
              <w:rPr>
                <w:rFonts w:ascii="Arial" w:hAnsi="Arial" w:cs="Arial"/>
                <w:sz w:val="24"/>
                <w:szCs w:val="24"/>
              </w:rPr>
              <w:lastRenderedPageBreak/>
              <w:t>physical functioning was reported for placebo. Note: Overall survival of the placebo group consistent with NCT01926236 active symptom control arm.</w:t>
            </w:r>
          </w:p>
          <w:p w14:paraId="35B0951D" w14:textId="77777777" w:rsidR="002641D2" w:rsidRPr="00FA3F9C" w:rsidRDefault="002641D2" w:rsidP="00751306">
            <w:pPr>
              <w:rPr>
                <w:rFonts w:ascii="Arial" w:hAnsi="Arial" w:cs="Arial"/>
                <w:sz w:val="24"/>
                <w:szCs w:val="24"/>
              </w:rPr>
            </w:pPr>
          </w:p>
          <w:p w14:paraId="5255589E" w14:textId="77777777" w:rsidR="002641D2" w:rsidRPr="00FA3F9C" w:rsidRDefault="002641D2" w:rsidP="00751306">
            <w:pPr>
              <w:rPr>
                <w:rFonts w:ascii="Arial" w:hAnsi="Arial" w:cs="Arial"/>
                <w:sz w:val="24"/>
                <w:szCs w:val="24"/>
              </w:rPr>
            </w:pPr>
            <w:r w:rsidRPr="00FA3F9C">
              <w:rPr>
                <w:rFonts w:ascii="Arial" w:hAnsi="Arial" w:cs="Arial"/>
                <w:sz w:val="24"/>
                <w:szCs w:val="24"/>
              </w:rPr>
              <w:t>Reference:</w:t>
            </w:r>
          </w:p>
          <w:p w14:paraId="2F35927F" w14:textId="77777777" w:rsidR="002641D2" w:rsidRPr="00FA3F9C" w:rsidRDefault="002641D2" w:rsidP="00152273">
            <w:pPr>
              <w:rPr>
                <w:rFonts w:ascii="Arial" w:hAnsi="Arial" w:cs="Arial"/>
                <w:sz w:val="24"/>
                <w:szCs w:val="24"/>
              </w:rPr>
            </w:pPr>
            <w:r w:rsidRPr="00222A23">
              <w:rPr>
                <w:rFonts w:ascii="Arial" w:hAnsi="Arial" w:cs="Arial"/>
                <w:sz w:val="24"/>
                <w:szCs w:val="24"/>
              </w:rPr>
              <w:t xml:space="preserve">Abou-Alfa GK et al. </w:t>
            </w:r>
            <w:proofErr w:type="spellStart"/>
            <w:r w:rsidRPr="00FA3F9C">
              <w:rPr>
                <w:rFonts w:ascii="Arial" w:hAnsi="Arial" w:cs="Arial"/>
                <w:sz w:val="24"/>
                <w:szCs w:val="24"/>
              </w:rPr>
              <w:t>Ivosidenib</w:t>
            </w:r>
            <w:proofErr w:type="spellEnd"/>
            <w:r w:rsidRPr="00FA3F9C">
              <w:rPr>
                <w:rFonts w:ascii="Arial" w:hAnsi="Arial" w:cs="Arial"/>
                <w:sz w:val="24"/>
                <w:szCs w:val="24"/>
              </w:rPr>
              <w:t xml:space="preserve"> in IDH1-mutant, chemotherapy-refractory cholangiocarcinoma (</w:t>
            </w:r>
            <w:proofErr w:type="spellStart"/>
            <w:r w:rsidRPr="00FA3F9C">
              <w:rPr>
                <w:rFonts w:ascii="Arial" w:hAnsi="Arial" w:cs="Arial"/>
                <w:sz w:val="24"/>
                <w:szCs w:val="24"/>
              </w:rPr>
              <w:t>ClarIDHy</w:t>
            </w:r>
            <w:proofErr w:type="spellEnd"/>
            <w:r w:rsidRPr="00FA3F9C">
              <w:rPr>
                <w:rFonts w:ascii="Arial" w:hAnsi="Arial" w:cs="Arial"/>
                <w:sz w:val="24"/>
                <w:szCs w:val="24"/>
              </w:rPr>
              <w:t xml:space="preserve">): a </w:t>
            </w:r>
            <w:proofErr w:type="spellStart"/>
            <w:r w:rsidRPr="00FA3F9C">
              <w:rPr>
                <w:rFonts w:ascii="Arial" w:hAnsi="Arial" w:cs="Arial"/>
                <w:sz w:val="24"/>
                <w:szCs w:val="24"/>
              </w:rPr>
              <w:t>multicentre</w:t>
            </w:r>
            <w:proofErr w:type="spellEnd"/>
            <w:r w:rsidRPr="00FA3F9C">
              <w:rPr>
                <w:rFonts w:ascii="Arial" w:hAnsi="Arial" w:cs="Arial"/>
                <w:sz w:val="24"/>
                <w:szCs w:val="24"/>
              </w:rPr>
              <w:t xml:space="preserve">, </w:t>
            </w:r>
            <w:proofErr w:type="spellStart"/>
            <w:r w:rsidRPr="00FA3F9C">
              <w:rPr>
                <w:rFonts w:ascii="Arial" w:hAnsi="Arial" w:cs="Arial"/>
                <w:sz w:val="24"/>
                <w:szCs w:val="24"/>
              </w:rPr>
              <w:t>randomised</w:t>
            </w:r>
            <w:proofErr w:type="spellEnd"/>
            <w:r w:rsidRPr="00FA3F9C">
              <w:rPr>
                <w:rFonts w:ascii="Arial" w:hAnsi="Arial" w:cs="Arial"/>
                <w:sz w:val="24"/>
                <w:szCs w:val="24"/>
              </w:rPr>
              <w:t xml:space="preserve">, double-blind, placebo-controlled, phase 3 study. Lancet Oncol. 2020 Jun;21(6):796-807. </w:t>
            </w:r>
            <w:proofErr w:type="spellStart"/>
            <w:r w:rsidRPr="00FA3F9C">
              <w:rPr>
                <w:rFonts w:ascii="Arial" w:hAnsi="Arial" w:cs="Arial"/>
                <w:sz w:val="24"/>
                <w:szCs w:val="24"/>
              </w:rPr>
              <w:t>doi</w:t>
            </w:r>
            <w:proofErr w:type="spellEnd"/>
            <w:r w:rsidRPr="00FA3F9C">
              <w:rPr>
                <w:rFonts w:ascii="Arial" w:hAnsi="Arial" w:cs="Arial"/>
                <w:sz w:val="24"/>
                <w:szCs w:val="24"/>
              </w:rPr>
              <w:t xml:space="preserve">: 10.1016/S1470-2045(20)30157-1. </w:t>
            </w:r>
            <w:proofErr w:type="spellStart"/>
            <w:r w:rsidRPr="00FA3F9C">
              <w:rPr>
                <w:rFonts w:ascii="Arial" w:hAnsi="Arial" w:cs="Arial"/>
                <w:sz w:val="24"/>
                <w:szCs w:val="24"/>
              </w:rPr>
              <w:t>Epub</w:t>
            </w:r>
            <w:proofErr w:type="spellEnd"/>
            <w:r w:rsidRPr="00FA3F9C">
              <w:rPr>
                <w:rFonts w:ascii="Arial" w:hAnsi="Arial" w:cs="Arial"/>
                <w:sz w:val="24"/>
                <w:szCs w:val="24"/>
              </w:rPr>
              <w:t xml:space="preserve"> 2020 May 13. Erratum in: Lancet Oncol. 2020 Oct;21(10):e462. PMID: 32416072; PMCID: PMC7523268.</w:t>
            </w:r>
          </w:p>
        </w:tc>
      </w:tr>
    </w:tbl>
    <w:p w14:paraId="39F8CAAB" w14:textId="77777777" w:rsidR="002641D2" w:rsidRPr="00FA3F9C" w:rsidRDefault="002641D2" w:rsidP="006F623F">
      <w:pPr>
        <w:spacing w:after="0"/>
        <w:rPr>
          <w:rFonts w:ascii="Arial" w:hAnsi="Arial" w:cs="Arial"/>
          <w:b/>
          <w:sz w:val="24"/>
          <w:szCs w:val="24"/>
          <w:u w:val="single"/>
        </w:rPr>
      </w:pPr>
    </w:p>
    <w:p w14:paraId="1883E3E8" w14:textId="77777777" w:rsidR="002641D2" w:rsidRPr="00FA3F9C" w:rsidRDefault="002641D2" w:rsidP="006F623F">
      <w:pPr>
        <w:spacing w:after="0"/>
        <w:rPr>
          <w:rFonts w:ascii="Arial" w:hAnsi="Arial" w:cs="Arial"/>
          <w:sz w:val="24"/>
          <w:szCs w:val="24"/>
        </w:rPr>
      </w:pPr>
    </w:p>
    <w:p w14:paraId="16CAF055" w14:textId="77777777" w:rsidR="002641D2" w:rsidRPr="00FA3F9C" w:rsidRDefault="002641D2" w:rsidP="006F623F">
      <w:pPr>
        <w:spacing w:after="0"/>
        <w:rPr>
          <w:rFonts w:ascii="Arial" w:hAnsi="Arial" w:cs="Arial"/>
          <w:sz w:val="24"/>
          <w:szCs w:val="24"/>
        </w:rPr>
      </w:pPr>
      <w:r w:rsidRPr="00FA3F9C">
        <w:rPr>
          <w:rFonts w:ascii="Arial" w:hAnsi="Arial" w:cs="Arial"/>
          <w:sz w:val="24"/>
          <w:szCs w:val="24"/>
        </w:rPr>
        <w:t>Quantity Limits: 60/30</w:t>
      </w:r>
    </w:p>
    <w:p w14:paraId="0272B770" w14:textId="77777777" w:rsidR="002641D2" w:rsidRPr="00FA3F9C" w:rsidRDefault="002641D2" w:rsidP="006F623F">
      <w:pPr>
        <w:spacing w:after="0"/>
        <w:rPr>
          <w:rFonts w:ascii="Arial" w:hAnsi="Arial" w:cs="Arial"/>
          <w:sz w:val="24"/>
          <w:szCs w:val="24"/>
        </w:rPr>
      </w:pPr>
    </w:p>
    <w:p w14:paraId="05F3ECE7" w14:textId="77777777" w:rsidR="002641D2" w:rsidRPr="00FA3F9C" w:rsidRDefault="002641D2"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418"/>
        <w:gridCol w:w="7470"/>
        <w:gridCol w:w="2538"/>
      </w:tblGrid>
      <w:tr w:rsidR="002641D2" w:rsidRPr="00FA3F9C" w14:paraId="33C9B78D" w14:textId="77777777" w:rsidTr="00FE491B">
        <w:tc>
          <w:tcPr>
            <w:tcW w:w="1008" w:type="dxa"/>
          </w:tcPr>
          <w:p w14:paraId="79D409A5" w14:textId="77777777" w:rsidR="002641D2" w:rsidRPr="00FA3F9C" w:rsidRDefault="002641D2" w:rsidP="006F623F">
            <w:pPr>
              <w:rPr>
                <w:rFonts w:ascii="Arial" w:hAnsi="Arial" w:cs="Arial"/>
                <w:sz w:val="24"/>
                <w:szCs w:val="24"/>
              </w:rPr>
            </w:pPr>
            <w:r w:rsidRPr="00FA3F9C">
              <w:rPr>
                <w:rFonts w:ascii="Arial" w:hAnsi="Arial" w:cs="Arial"/>
                <w:sz w:val="24"/>
                <w:szCs w:val="24"/>
              </w:rPr>
              <w:t>Date</w:t>
            </w:r>
          </w:p>
        </w:tc>
        <w:tc>
          <w:tcPr>
            <w:tcW w:w="7470" w:type="dxa"/>
          </w:tcPr>
          <w:p w14:paraId="56830AD2" w14:textId="77777777" w:rsidR="002641D2" w:rsidRPr="00FA3F9C" w:rsidRDefault="002641D2" w:rsidP="006F623F">
            <w:pPr>
              <w:rPr>
                <w:rFonts w:ascii="Arial" w:hAnsi="Arial" w:cs="Arial"/>
                <w:sz w:val="24"/>
                <w:szCs w:val="24"/>
              </w:rPr>
            </w:pPr>
            <w:r w:rsidRPr="00FA3F9C">
              <w:rPr>
                <w:rFonts w:ascii="Arial" w:hAnsi="Arial" w:cs="Arial"/>
                <w:sz w:val="24"/>
                <w:szCs w:val="24"/>
              </w:rPr>
              <w:t>What changed</w:t>
            </w:r>
          </w:p>
        </w:tc>
        <w:tc>
          <w:tcPr>
            <w:tcW w:w="2538" w:type="dxa"/>
          </w:tcPr>
          <w:p w14:paraId="7C431000" w14:textId="77777777" w:rsidR="002641D2" w:rsidRPr="00FA3F9C" w:rsidRDefault="002641D2" w:rsidP="006F623F">
            <w:pPr>
              <w:rPr>
                <w:rFonts w:ascii="Arial" w:hAnsi="Arial" w:cs="Arial"/>
                <w:sz w:val="24"/>
                <w:szCs w:val="24"/>
              </w:rPr>
            </w:pPr>
            <w:r w:rsidRPr="00FA3F9C">
              <w:rPr>
                <w:rFonts w:ascii="Arial" w:hAnsi="Arial" w:cs="Arial"/>
                <w:sz w:val="24"/>
                <w:szCs w:val="24"/>
              </w:rPr>
              <w:t>Pharmacist’s initials</w:t>
            </w:r>
          </w:p>
        </w:tc>
      </w:tr>
      <w:tr w:rsidR="002641D2" w:rsidRPr="00FA3F9C" w14:paraId="1D400D29" w14:textId="77777777" w:rsidTr="00FE491B">
        <w:tc>
          <w:tcPr>
            <w:tcW w:w="1008" w:type="dxa"/>
          </w:tcPr>
          <w:p w14:paraId="5C937742" w14:textId="77777777" w:rsidR="002641D2" w:rsidRPr="00FA3F9C" w:rsidRDefault="002641D2" w:rsidP="006F623F">
            <w:pPr>
              <w:rPr>
                <w:rFonts w:ascii="Arial" w:hAnsi="Arial" w:cs="Arial"/>
                <w:sz w:val="24"/>
                <w:szCs w:val="24"/>
              </w:rPr>
            </w:pPr>
            <w:r w:rsidRPr="00FA3F9C">
              <w:rPr>
                <w:rFonts w:ascii="Arial" w:hAnsi="Arial" w:cs="Arial"/>
                <w:sz w:val="24"/>
                <w:szCs w:val="24"/>
              </w:rPr>
              <w:t>03/10/2021</w:t>
            </w:r>
          </w:p>
        </w:tc>
        <w:tc>
          <w:tcPr>
            <w:tcW w:w="7470" w:type="dxa"/>
          </w:tcPr>
          <w:p w14:paraId="2053136B" w14:textId="77777777" w:rsidR="002641D2" w:rsidRPr="00FA3F9C" w:rsidRDefault="002641D2" w:rsidP="006F623F">
            <w:pPr>
              <w:rPr>
                <w:rFonts w:ascii="Arial" w:hAnsi="Arial" w:cs="Arial"/>
                <w:sz w:val="24"/>
                <w:szCs w:val="24"/>
              </w:rPr>
            </w:pPr>
            <w:r w:rsidRPr="00FA3F9C">
              <w:rPr>
                <w:rFonts w:ascii="Arial" w:hAnsi="Arial" w:cs="Arial"/>
                <w:sz w:val="24"/>
                <w:szCs w:val="24"/>
              </w:rPr>
              <w:t>Criteria written</w:t>
            </w:r>
          </w:p>
        </w:tc>
        <w:tc>
          <w:tcPr>
            <w:tcW w:w="2538" w:type="dxa"/>
          </w:tcPr>
          <w:p w14:paraId="2E1CADB0" w14:textId="77777777" w:rsidR="002641D2" w:rsidRPr="00FA3F9C" w:rsidRDefault="002641D2" w:rsidP="006F623F">
            <w:pPr>
              <w:rPr>
                <w:rFonts w:ascii="Arial" w:hAnsi="Arial" w:cs="Arial"/>
                <w:sz w:val="24"/>
                <w:szCs w:val="24"/>
              </w:rPr>
            </w:pPr>
            <w:r w:rsidRPr="00FA3F9C">
              <w:rPr>
                <w:rFonts w:ascii="Arial" w:hAnsi="Arial" w:cs="Arial"/>
                <w:sz w:val="24"/>
                <w:szCs w:val="24"/>
              </w:rPr>
              <w:t>SK/HG (Student)</w:t>
            </w:r>
          </w:p>
        </w:tc>
      </w:tr>
      <w:tr w:rsidR="002641D2" w:rsidRPr="00FA3F9C" w14:paraId="3C729B7D" w14:textId="77777777" w:rsidTr="00FE491B">
        <w:tc>
          <w:tcPr>
            <w:tcW w:w="1008" w:type="dxa"/>
          </w:tcPr>
          <w:p w14:paraId="3D4597AA" w14:textId="77777777" w:rsidR="002641D2" w:rsidRPr="00FA3F9C" w:rsidRDefault="002641D2" w:rsidP="006F623F">
            <w:pPr>
              <w:rPr>
                <w:rFonts w:ascii="Arial" w:hAnsi="Arial" w:cs="Arial"/>
                <w:sz w:val="24"/>
                <w:szCs w:val="24"/>
              </w:rPr>
            </w:pPr>
            <w:r w:rsidRPr="00FA3F9C">
              <w:rPr>
                <w:rFonts w:ascii="Arial" w:hAnsi="Arial" w:cs="Arial"/>
                <w:sz w:val="24"/>
                <w:szCs w:val="24"/>
              </w:rPr>
              <w:t>9/21/2021</w:t>
            </w:r>
          </w:p>
        </w:tc>
        <w:tc>
          <w:tcPr>
            <w:tcW w:w="7470" w:type="dxa"/>
          </w:tcPr>
          <w:p w14:paraId="31D83052" w14:textId="77777777" w:rsidR="002641D2" w:rsidRPr="00FA3F9C" w:rsidRDefault="002641D2" w:rsidP="00152273">
            <w:pPr>
              <w:rPr>
                <w:rFonts w:ascii="Arial" w:hAnsi="Arial" w:cs="Arial"/>
                <w:sz w:val="24"/>
                <w:szCs w:val="24"/>
              </w:rPr>
            </w:pPr>
            <w:r w:rsidRPr="00FA3F9C">
              <w:rPr>
                <w:rFonts w:ascii="Arial" w:hAnsi="Arial" w:cs="Arial"/>
                <w:sz w:val="24"/>
                <w:szCs w:val="24"/>
              </w:rPr>
              <w:t>Added criteria for cholangiocarcinoma indication</w:t>
            </w:r>
          </w:p>
        </w:tc>
        <w:tc>
          <w:tcPr>
            <w:tcW w:w="2538" w:type="dxa"/>
          </w:tcPr>
          <w:p w14:paraId="4DC29247" w14:textId="77777777" w:rsidR="002641D2" w:rsidRPr="00FA3F9C" w:rsidRDefault="002641D2" w:rsidP="006F623F">
            <w:pPr>
              <w:rPr>
                <w:rFonts w:ascii="Arial" w:hAnsi="Arial" w:cs="Arial"/>
                <w:sz w:val="24"/>
                <w:szCs w:val="24"/>
              </w:rPr>
            </w:pPr>
            <w:r w:rsidRPr="00FA3F9C">
              <w:rPr>
                <w:rFonts w:ascii="Arial" w:hAnsi="Arial" w:cs="Arial"/>
                <w:sz w:val="24"/>
                <w:szCs w:val="24"/>
              </w:rPr>
              <w:t>SK</w:t>
            </w:r>
          </w:p>
        </w:tc>
      </w:tr>
    </w:tbl>
    <w:p w14:paraId="13C3E141" w14:textId="77777777" w:rsidR="002641D2" w:rsidRPr="00FA3F9C" w:rsidRDefault="002641D2" w:rsidP="006F623F">
      <w:pPr>
        <w:spacing w:after="0"/>
        <w:rPr>
          <w:rFonts w:ascii="Arial" w:hAnsi="Arial" w:cs="Arial"/>
          <w:sz w:val="24"/>
          <w:szCs w:val="24"/>
        </w:rPr>
      </w:pPr>
    </w:p>
    <w:p w14:paraId="221E44DC" w14:textId="77777777" w:rsidR="002641D2" w:rsidRPr="00FA3F9C" w:rsidRDefault="002641D2" w:rsidP="002A1632">
      <w:pPr>
        <w:pStyle w:val="Heading2"/>
      </w:pPr>
      <w:bookmarkStart w:id="159" w:name="_Toc106369838"/>
      <w:proofErr w:type="spellStart"/>
      <w:r w:rsidRPr="00FA3F9C">
        <w:t>Ixazomib</w:t>
      </w:r>
      <w:proofErr w:type="spellEnd"/>
      <w:r w:rsidRPr="00FA3F9C">
        <w:t xml:space="preserve"> (</w:t>
      </w:r>
      <w:proofErr w:type="spellStart"/>
      <w:r w:rsidRPr="00FA3F9C">
        <w:t>Ninlaro</w:t>
      </w:r>
      <w:proofErr w:type="spellEnd"/>
      <w:r w:rsidRPr="00FA3F9C">
        <w:t>)</w:t>
      </w:r>
      <w:bookmarkEnd w:id="159"/>
      <w:r w:rsidRPr="00FA3F9C">
        <w:t xml:space="preserve"> </w:t>
      </w:r>
    </w:p>
    <w:p w14:paraId="7E4462EA" w14:textId="77777777" w:rsidR="002641D2" w:rsidRPr="00FA3F9C" w:rsidRDefault="002641D2" w:rsidP="00FD4A5B">
      <w:pPr>
        <w:spacing w:after="0"/>
        <w:jc w:val="center"/>
        <w:rPr>
          <w:rFonts w:ascii="Arial" w:hAnsi="Arial" w:cs="Arial"/>
          <w:sz w:val="24"/>
          <w:szCs w:val="24"/>
        </w:rPr>
      </w:pPr>
      <w:r w:rsidRPr="00FA3F9C">
        <w:rPr>
          <w:rFonts w:ascii="Arial" w:hAnsi="Arial" w:cs="Arial"/>
          <w:sz w:val="24"/>
          <w:szCs w:val="24"/>
        </w:rPr>
        <w:t xml:space="preserve">2.3 mg, 3 mg, 4 mg capsules </w:t>
      </w:r>
    </w:p>
    <w:p w14:paraId="2093B7A7" w14:textId="77777777" w:rsidR="002641D2" w:rsidRPr="00FA3F9C" w:rsidRDefault="002641D2" w:rsidP="00FD4A5B">
      <w:pPr>
        <w:spacing w:after="0"/>
        <w:jc w:val="center"/>
        <w:rPr>
          <w:rFonts w:ascii="Arial" w:hAnsi="Arial" w:cs="Arial"/>
          <w:sz w:val="24"/>
          <w:szCs w:val="24"/>
        </w:rPr>
      </w:pPr>
      <w:r w:rsidRPr="00FA3F9C">
        <w:rPr>
          <w:rFonts w:ascii="Arial" w:hAnsi="Arial" w:cs="Arial"/>
          <w:sz w:val="24"/>
          <w:szCs w:val="24"/>
        </w:rPr>
        <w:t>EBRx PA Criteria</w:t>
      </w:r>
    </w:p>
    <w:p w14:paraId="5DF932E5" w14:textId="77777777" w:rsidR="002641D2" w:rsidRPr="00FA3F9C" w:rsidRDefault="002641D2"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w:t>
      </w:r>
    </w:p>
    <w:p w14:paraId="3C2261FE" w14:textId="77777777" w:rsidR="002641D2" w:rsidRPr="00FA3F9C" w:rsidRDefault="002641D2" w:rsidP="006F623F">
      <w:pPr>
        <w:spacing w:after="0"/>
        <w:rPr>
          <w:rFonts w:ascii="Arial" w:hAnsi="Arial" w:cs="Arial"/>
          <w:sz w:val="24"/>
          <w:szCs w:val="24"/>
        </w:rPr>
      </w:pPr>
      <w:r w:rsidRPr="00FA3F9C">
        <w:rPr>
          <w:rFonts w:ascii="Arial" w:hAnsi="Arial" w:cs="Arial"/>
          <w:sz w:val="24"/>
          <w:szCs w:val="24"/>
        </w:rPr>
        <w:t>Treatment of multiple myeloma (in combination with lenalidomide and dexamethasone) in patients who have received at least one prior therapy.</w:t>
      </w:r>
    </w:p>
    <w:p w14:paraId="0E162F35" w14:textId="77777777" w:rsidR="002641D2" w:rsidRPr="00FA3F9C" w:rsidRDefault="002641D2" w:rsidP="006F623F">
      <w:pPr>
        <w:spacing w:after="0"/>
        <w:rPr>
          <w:rFonts w:ascii="Arial" w:hAnsi="Arial" w:cs="Arial"/>
          <w:sz w:val="24"/>
          <w:szCs w:val="24"/>
        </w:rPr>
      </w:pPr>
    </w:p>
    <w:tbl>
      <w:tblPr>
        <w:tblStyle w:val="TableGrid"/>
        <w:tblW w:w="0" w:type="auto"/>
        <w:tblLook w:val="04A0" w:firstRow="1" w:lastRow="0" w:firstColumn="1" w:lastColumn="0" w:noHBand="0" w:noVBand="1"/>
      </w:tblPr>
      <w:tblGrid>
        <w:gridCol w:w="8928"/>
        <w:gridCol w:w="2088"/>
      </w:tblGrid>
      <w:tr w:rsidR="002641D2" w:rsidRPr="00FA3F9C" w14:paraId="68437D10" w14:textId="77777777" w:rsidTr="00571CAB">
        <w:tc>
          <w:tcPr>
            <w:tcW w:w="8928" w:type="dxa"/>
            <w:shd w:val="clear" w:color="auto" w:fill="000000"/>
          </w:tcPr>
          <w:p w14:paraId="041DC73E" w14:textId="77777777" w:rsidR="002641D2" w:rsidRPr="00FA3F9C" w:rsidRDefault="002641D2"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88" w:type="dxa"/>
            <w:shd w:val="clear" w:color="auto" w:fill="000000"/>
          </w:tcPr>
          <w:p w14:paraId="057157D7" w14:textId="77777777" w:rsidR="002641D2" w:rsidRPr="00FA3F9C" w:rsidRDefault="002641D2" w:rsidP="006F623F">
            <w:pPr>
              <w:jc w:val="center"/>
              <w:rPr>
                <w:rFonts w:ascii="Arial" w:hAnsi="Arial" w:cs="Arial"/>
                <w:b/>
                <w:sz w:val="24"/>
                <w:szCs w:val="24"/>
                <w:u w:val="single"/>
              </w:rPr>
            </w:pPr>
          </w:p>
        </w:tc>
      </w:tr>
      <w:tr w:rsidR="002641D2" w:rsidRPr="00FA3F9C" w14:paraId="2A71B0C0" w14:textId="77777777" w:rsidTr="00F337AE">
        <w:tc>
          <w:tcPr>
            <w:tcW w:w="11016" w:type="dxa"/>
            <w:gridSpan w:val="2"/>
          </w:tcPr>
          <w:p w14:paraId="0021C43B" w14:textId="77777777" w:rsidR="002641D2" w:rsidRPr="00FA3F9C" w:rsidRDefault="002641D2" w:rsidP="00495C9D">
            <w:pPr>
              <w:rPr>
                <w:rFonts w:ascii="Arial" w:hAnsi="Arial" w:cs="Arial"/>
                <w:sz w:val="24"/>
                <w:szCs w:val="24"/>
              </w:rPr>
            </w:pPr>
            <w:r w:rsidRPr="00FA3F9C">
              <w:rPr>
                <w:rFonts w:ascii="Arial" w:hAnsi="Arial" w:cs="Arial"/>
                <w:sz w:val="24"/>
                <w:szCs w:val="24"/>
              </w:rPr>
              <w:t>1. The patient must have the diagnosis of relapsed and/or refractory multiple myeloma.</w:t>
            </w:r>
          </w:p>
        </w:tc>
      </w:tr>
      <w:tr w:rsidR="002641D2" w:rsidRPr="00FA3F9C" w14:paraId="35F057DE" w14:textId="77777777" w:rsidTr="00B1617E">
        <w:tc>
          <w:tcPr>
            <w:tcW w:w="11016" w:type="dxa"/>
            <w:gridSpan w:val="2"/>
          </w:tcPr>
          <w:p w14:paraId="66967AC2" w14:textId="77777777" w:rsidR="002641D2" w:rsidRPr="00FA3F9C" w:rsidRDefault="002641D2" w:rsidP="006F623F">
            <w:pPr>
              <w:rPr>
                <w:rFonts w:ascii="Arial" w:hAnsi="Arial" w:cs="Arial"/>
                <w:sz w:val="24"/>
                <w:szCs w:val="24"/>
              </w:rPr>
            </w:pPr>
            <w:r w:rsidRPr="00FA3F9C">
              <w:rPr>
                <w:rFonts w:ascii="Arial" w:hAnsi="Arial" w:cs="Arial"/>
                <w:sz w:val="24"/>
                <w:szCs w:val="24"/>
              </w:rPr>
              <w:t>2. Multiple myeloma must be progressing at first request.</w:t>
            </w:r>
          </w:p>
        </w:tc>
      </w:tr>
      <w:tr w:rsidR="002641D2" w:rsidRPr="00FA3F9C" w14:paraId="04B15431" w14:textId="77777777" w:rsidTr="00B1617E">
        <w:tc>
          <w:tcPr>
            <w:tcW w:w="11016" w:type="dxa"/>
            <w:gridSpan w:val="2"/>
          </w:tcPr>
          <w:p w14:paraId="6067AEFF" w14:textId="77777777" w:rsidR="002641D2" w:rsidRPr="00FA3F9C" w:rsidRDefault="002641D2" w:rsidP="00495C9D">
            <w:pPr>
              <w:rPr>
                <w:rFonts w:ascii="Arial" w:hAnsi="Arial" w:cs="Arial"/>
                <w:sz w:val="24"/>
                <w:szCs w:val="24"/>
              </w:rPr>
            </w:pPr>
            <w:r w:rsidRPr="00FA3F9C">
              <w:rPr>
                <w:rFonts w:ascii="Arial" w:hAnsi="Arial" w:cs="Arial"/>
                <w:sz w:val="24"/>
                <w:szCs w:val="24"/>
              </w:rPr>
              <w:t>3. The patient must have received at least one prior therapy for multiple myeloma.</w:t>
            </w:r>
          </w:p>
        </w:tc>
      </w:tr>
      <w:tr w:rsidR="002641D2" w:rsidRPr="00FA3F9C" w14:paraId="3168A6A8" w14:textId="77777777" w:rsidTr="0010789D">
        <w:tc>
          <w:tcPr>
            <w:tcW w:w="11016" w:type="dxa"/>
            <w:gridSpan w:val="2"/>
          </w:tcPr>
          <w:p w14:paraId="21F79054" w14:textId="77777777" w:rsidR="002641D2" w:rsidRPr="00FA3F9C" w:rsidRDefault="002641D2" w:rsidP="00FD4A5B">
            <w:pPr>
              <w:rPr>
                <w:rFonts w:ascii="Arial" w:hAnsi="Arial" w:cs="Arial"/>
                <w:sz w:val="24"/>
                <w:szCs w:val="24"/>
              </w:rPr>
            </w:pPr>
            <w:r w:rsidRPr="00FA3F9C">
              <w:rPr>
                <w:rFonts w:ascii="Arial" w:hAnsi="Arial" w:cs="Arial"/>
                <w:sz w:val="24"/>
                <w:szCs w:val="24"/>
              </w:rPr>
              <w:t>4. The patient must be receiving concurrent lenalidomide and dexamethasone</w:t>
            </w:r>
          </w:p>
        </w:tc>
      </w:tr>
      <w:tr w:rsidR="002641D2" w:rsidRPr="00FA3F9C" w14:paraId="01A3E2D4" w14:textId="77777777" w:rsidTr="00DA57E0">
        <w:tc>
          <w:tcPr>
            <w:tcW w:w="11016" w:type="dxa"/>
            <w:gridSpan w:val="2"/>
          </w:tcPr>
          <w:p w14:paraId="16CE4118" w14:textId="77777777" w:rsidR="002641D2" w:rsidRPr="00FA3F9C" w:rsidRDefault="002641D2" w:rsidP="006F623F">
            <w:pPr>
              <w:rPr>
                <w:rFonts w:ascii="Arial" w:hAnsi="Arial" w:cs="Arial"/>
                <w:sz w:val="24"/>
                <w:szCs w:val="24"/>
              </w:rPr>
            </w:pPr>
            <w:r w:rsidRPr="00FA3F9C">
              <w:rPr>
                <w:rFonts w:ascii="Arial" w:hAnsi="Arial" w:cs="Arial"/>
                <w:sz w:val="24"/>
                <w:szCs w:val="24"/>
              </w:rPr>
              <w:t>5. The patient must be ECOG performance status 0, 1, or 2 at first request.</w:t>
            </w:r>
          </w:p>
        </w:tc>
      </w:tr>
      <w:tr w:rsidR="002641D2" w:rsidRPr="00FA3F9C" w14:paraId="7B9D666C" w14:textId="77777777" w:rsidTr="00495C9D">
        <w:tc>
          <w:tcPr>
            <w:tcW w:w="11016" w:type="dxa"/>
            <w:gridSpan w:val="2"/>
            <w:shd w:val="clear" w:color="auto" w:fill="D9D9D9" w:themeFill="background1" w:themeFillShade="D9"/>
          </w:tcPr>
          <w:p w14:paraId="07419FD5" w14:textId="77777777" w:rsidR="002641D2" w:rsidRPr="00FA3F9C" w:rsidRDefault="002641D2" w:rsidP="00495C9D">
            <w:pPr>
              <w:rPr>
                <w:rFonts w:ascii="Arial" w:hAnsi="Arial" w:cs="Arial"/>
                <w:sz w:val="24"/>
                <w:szCs w:val="24"/>
              </w:rPr>
            </w:pPr>
            <w:r w:rsidRPr="00FA3F9C">
              <w:rPr>
                <w:rFonts w:ascii="Arial" w:hAnsi="Arial" w:cs="Arial"/>
                <w:sz w:val="24"/>
                <w:szCs w:val="24"/>
              </w:rPr>
              <w:t>If above criteria are met, approve for 1 year.</w:t>
            </w:r>
          </w:p>
        </w:tc>
      </w:tr>
      <w:tr w:rsidR="002641D2" w:rsidRPr="00FA3F9C" w14:paraId="278A886B" w14:textId="77777777" w:rsidTr="00495C9D">
        <w:tc>
          <w:tcPr>
            <w:tcW w:w="11016" w:type="dxa"/>
            <w:gridSpan w:val="2"/>
            <w:shd w:val="clear" w:color="auto" w:fill="D9D9D9" w:themeFill="background1" w:themeFillShade="D9"/>
          </w:tcPr>
          <w:p w14:paraId="606F43D7" w14:textId="77777777" w:rsidR="002641D2" w:rsidRPr="00FA3F9C" w:rsidRDefault="002641D2" w:rsidP="00495C9D">
            <w:pPr>
              <w:rPr>
                <w:rFonts w:ascii="Arial" w:hAnsi="Arial" w:cs="Arial"/>
                <w:sz w:val="24"/>
                <w:szCs w:val="24"/>
              </w:rPr>
            </w:pPr>
            <w:r w:rsidRPr="00FA3F9C">
              <w:rPr>
                <w:rFonts w:ascii="Arial" w:hAnsi="Arial" w:cs="Arial"/>
                <w:sz w:val="24"/>
                <w:szCs w:val="24"/>
              </w:rPr>
              <w:t>Quantity Limits: 3 tablets per 28 days.</w:t>
            </w:r>
          </w:p>
        </w:tc>
      </w:tr>
    </w:tbl>
    <w:p w14:paraId="08A02746" w14:textId="77777777" w:rsidR="002641D2" w:rsidRPr="00FA3F9C" w:rsidRDefault="002641D2" w:rsidP="006F623F">
      <w:pPr>
        <w:spacing w:after="0"/>
        <w:rPr>
          <w:rFonts w:ascii="Arial" w:hAnsi="Arial" w:cs="Arial"/>
          <w:b/>
          <w:sz w:val="24"/>
          <w:szCs w:val="24"/>
          <w:u w:val="single"/>
        </w:rPr>
      </w:pPr>
    </w:p>
    <w:tbl>
      <w:tblPr>
        <w:tblStyle w:val="TableGrid"/>
        <w:tblW w:w="0" w:type="auto"/>
        <w:tblLook w:val="04A0" w:firstRow="1" w:lastRow="0" w:firstColumn="1" w:lastColumn="0" w:noHBand="0" w:noVBand="1"/>
      </w:tblPr>
      <w:tblGrid>
        <w:gridCol w:w="8747"/>
        <w:gridCol w:w="2043"/>
      </w:tblGrid>
      <w:tr w:rsidR="002641D2" w:rsidRPr="00FA3F9C" w14:paraId="3FAEB140" w14:textId="77777777" w:rsidTr="00FD4A5B">
        <w:tc>
          <w:tcPr>
            <w:tcW w:w="8747" w:type="dxa"/>
            <w:shd w:val="clear" w:color="auto" w:fill="000000"/>
          </w:tcPr>
          <w:p w14:paraId="030F56F7" w14:textId="77777777" w:rsidR="002641D2" w:rsidRPr="00FA3F9C" w:rsidRDefault="002641D2" w:rsidP="00571CAB">
            <w:pPr>
              <w:rPr>
                <w:rFonts w:ascii="Arial" w:hAnsi="Arial" w:cs="Arial"/>
                <w:b/>
                <w:sz w:val="24"/>
                <w:szCs w:val="24"/>
                <w:u w:val="single"/>
              </w:rPr>
            </w:pPr>
            <w:r w:rsidRPr="00FA3F9C">
              <w:rPr>
                <w:rFonts w:ascii="Arial" w:hAnsi="Arial" w:cs="Arial"/>
                <w:b/>
                <w:sz w:val="24"/>
                <w:szCs w:val="24"/>
                <w:u w:val="single"/>
              </w:rPr>
              <w:t>Criteria for continuation</w:t>
            </w:r>
          </w:p>
        </w:tc>
        <w:tc>
          <w:tcPr>
            <w:tcW w:w="2043" w:type="dxa"/>
            <w:shd w:val="clear" w:color="auto" w:fill="000000"/>
          </w:tcPr>
          <w:p w14:paraId="7E87ED7C" w14:textId="77777777" w:rsidR="002641D2" w:rsidRPr="00FA3F9C" w:rsidRDefault="002641D2" w:rsidP="00571CAB">
            <w:pPr>
              <w:jc w:val="center"/>
              <w:rPr>
                <w:rFonts w:ascii="Arial" w:hAnsi="Arial" w:cs="Arial"/>
                <w:b/>
                <w:sz w:val="24"/>
                <w:szCs w:val="24"/>
                <w:u w:val="single"/>
              </w:rPr>
            </w:pPr>
          </w:p>
        </w:tc>
      </w:tr>
      <w:tr w:rsidR="002641D2" w:rsidRPr="00FA3F9C" w14:paraId="4CD3A10C" w14:textId="77777777" w:rsidTr="00FD4A5B">
        <w:tc>
          <w:tcPr>
            <w:tcW w:w="10790" w:type="dxa"/>
            <w:gridSpan w:val="2"/>
          </w:tcPr>
          <w:p w14:paraId="2BD2B0C1" w14:textId="77777777" w:rsidR="002641D2" w:rsidRPr="00FA3F9C" w:rsidRDefault="002641D2" w:rsidP="00571CAB">
            <w:pPr>
              <w:rPr>
                <w:rFonts w:ascii="Arial" w:hAnsi="Arial" w:cs="Arial"/>
                <w:sz w:val="24"/>
                <w:szCs w:val="24"/>
              </w:rPr>
            </w:pPr>
            <w:r w:rsidRPr="00FA3F9C">
              <w:rPr>
                <w:rFonts w:ascii="Arial" w:hAnsi="Arial" w:cs="Arial"/>
                <w:sz w:val="24"/>
                <w:szCs w:val="24"/>
              </w:rPr>
              <w:t xml:space="preserve">1.  There must be evidence from the pharmacy profile or other document that the patient has been receiving lenalidomide and dexamethasone concurrently with </w:t>
            </w:r>
            <w:proofErr w:type="spellStart"/>
            <w:r w:rsidRPr="00FA3F9C">
              <w:rPr>
                <w:rFonts w:ascii="Arial" w:hAnsi="Arial" w:cs="Arial"/>
                <w:sz w:val="24"/>
                <w:szCs w:val="24"/>
              </w:rPr>
              <w:t>ixazomib</w:t>
            </w:r>
            <w:proofErr w:type="spellEnd"/>
            <w:r w:rsidRPr="00FA3F9C">
              <w:rPr>
                <w:rFonts w:ascii="Arial" w:hAnsi="Arial" w:cs="Arial"/>
                <w:sz w:val="24"/>
                <w:szCs w:val="24"/>
              </w:rPr>
              <w:t xml:space="preserve"> in order to continue.</w:t>
            </w:r>
          </w:p>
        </w:tc>
      </w:tr>
      <w:tr w:rsidR="002641D2" w:rsidRPr="00FA3F9C" w14:paraId="4BB225F5" w14:textId="77777777" w:rsidTr="00FD4A5B">
        <w:tc>
          <w:tcPr>
            <w:tcW w:w="10790" w:type="dxa"/>
            <w:gridSpan w:val="2"/>
          </w:tcPr>
          <w:p w14:paraId="6DD62764" w14:textId="77777777" w:rsidR="002641D2" w:rsidRPr="00FA3F9C" w:rsidRDefault="002641D2" w:rsidP="00495C9D">
            <w:pPr>
              <w:rPr>
                <w:rFonts w:ascii="Arial" w:hAnsi="Arial" w:cs="Arial"/>
                <w:sz w:val="24"/>
                <w:szCs w:val="24"/>
              </w:rPr>
            </w:pPr>
            <w:r w:rsidRPr="00FA3F9C">
              <w:rPr>
                <w:rFonts w:ascii="Arial" w:hAnsi="Arial" w:cs="Arial"/>
                <w:sz w:val="24"/>
                <w:szCs w:val="24"/>
              </w:rPr>
              <w:t>If above criterion met, approve for 1 year.</w:t>
            </w:r>
          </w:p>
        </w:tc>
      </w:tr>
      <w:tr w:rsidR="002641D2" w:rsidRPr="00FA3F9C" w14:paraId="7DF8EDAD" w14:textId="77777777" w:rsidTr="00FD4A5B">
        <w:tc>
          <w:tcPr>
            <w:tcW w:w="10790" w:type="dxa"/>
            <w:gridSpan w:val="2"/>
            <w:shd w:val="clear" w:color="auto" w:fill="D9D9D9" w:themeFill="background1" w:themeFillShade="D9"/>
          </w:tcPr>
          <w:p w14:paraId="0C6700F2" w14:textId="77777777" w:rsidR="002641D2" w:rsidRPr="00FA3F9C" w:rsidRDefault="002641D2" w:rsidP="0068664B">
            <w:pPr>
              <w:rPr>
                <w:rFonts w:ascii="Arial" w:hAnsi="Arial" w:cs="Arial"/>
                <w:sz w:val="24"/>
                <w:szCs w:val="24"/>
              </w:rPr>
            </w:pPr>
            <w:r w:rsidRPr="00FA3F9C">
              <w:rPr>
                <w:rFonts w:ascii="Arial" w:hAnsi="Arial" w:cs="Arial"/>
                <w:sz w:val="24"/>
                <w:szCs w:val="24"/>
              </w:rPr>
              <w:t xml:space="preserve">Note: </w:t>
            </w:r>
          </w:p>
          <w:p w14:paraId="669C0EB1" w14:textId="77777777" w:rsidR="002641D2" w:rsidRPr="00FA3F9C" w:rsidRDefault="002641D2" w:rsidP="0068664B">
            <w:pPr>
              <w:rPr>
                <w:rFonts w:ascii="Arial" w:hAnsi="Arial" w:cs="Arial"/>
                <w:sz w:val="24"/>
                <w:szCs w:val="24"/>
              </w:rPr>
            </w:pPr>
            <w:r w:rsidRPr="00FA3F9C">
              <w:rPr>
                <w:rFonts w:ascii="Arial" w:hAnsi="Arial" w:cs="Arial"/>
                <w:sz w:val="24"/>
                <w:szCs w:val="24"/>
              </w:rPr>
              <w:t>Dose: 4 mg once weekly on days 1, 8, and 15 of a 28-day cycle (in combination with lenalidomide and dexamethasone) until disease progression or unacceptable toxicity.</w:t>
            </w:r>
          </w:p>
          <w:p w14:paraId="0BEC80C8" w14:textId="77777777" w:rsidR="002641D2" w:rsidRPr="00FA3F9C" w:rsidRDefault="002641D2" w:rsidP="0068664B">
            <w:pPr>
              <w:rPr>
                <w:rFonts w:ascii="Arial" w:hAnsi="Arial" w:cs="Arial"/>
                <w:sz w:val="24"/>
                <w:szCs w:val="24"/>
              </w:rPr>
            </w:pPr>
          </w:p>
          <w:p w14:paraId="0B154264" w14:textId="77777777" w:rsidR="002641D2" w:rsidRPr="00FA3F9C" w:rsidRDefault="002641D2" w:rsidP="0068664B">
            <w:pPr>
              <w:rPr>
                <w:rFonts w:ascii="Arial" w:hAnsi="Arial" w:cs="Arial"/>
                <w:sz w:val="24"/>
                <w:szCs w:val="24"/>
              </w:rPr>
            </w:pPr>
            <w:r w:rsidRPr="00FA3F9C">
              <w:rPr>
                <w:rFonts w:ascii="Arial" w:hAnsi="Arial" w:cs="Arial"/>
                <w:sz w:val="24"/>
                <w:szCs w:val="24"/>
              </w:rPr>
              <w:t xml:space="preserve">Not covered: maintenance therapy in patients who have undergone autologous transplant. In the TOURMALINE-MM3 study, progression free survival (PFS) was improved with </w:t>
            </w:r>
            <w:proofErr w:type="spellStart"/>
            <w:r w:rsidRPr="00FA3F9C">
              <w:rPr>
                <w:rFonts w:ascii="Arial" w:hAnsi="Arial" w:cs="Arial"/>
                <w:sz w:val="24"/>
                <w:szCs w:val="24"/>
              </w:rPr>
              <w:t>ixazomib</w:t>
            </w:r>
            <w:proofErr w:type="spellEnd"/>
            <w:r w:rsidRPr="00FA3F9C">
              <w:rPr>
                <w:rFonts w:ascii="Arial" w:hAnsi="Arial" w:cs="Arial"/>
                <w:sz w:val="24"/>
                <w:szCs w:val="24"/>
              </w:rPr>
              <w:t xml:space="preserve"> compared with placebo, but there was no overall survival (OS) benefit demonstrated to date. Lenalidomide (Revlimid) and bortezomib (</w:t>
            </w:r>
            <w:proofErr w:type="spellStart"/>
            <w:r w:rsidRPr="00FA3F9C">
              <w:rPr>
                <w:rFonts w:ascii="Arial" w:hAnsi="Arial" w:cs="Arial"/>
                <w:sz w:val="24"/>
                <w:szCs w:val="24"/>
              </w:rPr>
              <w:t>Velcade</w:t>
            </w:r>
            <w:proofErr w:type="spellEnd"/>
            <w:r w:rsidRPr="00FA3F9C">
              <w:rPr>
                <w:rFonts w:ascii="Arial" w:hAnsi="Arial" w:cs="Arial"/>
                <w:sz w:val="24"/>
                <w:szCs w:val="24"/>
              </w:rPr>
              <w:t>) are alternative options for maintenance therapy.</w:t>
            </w:r>
            <w:r w:rsidRPr="00FA3F9C">
              <w:rPr>
                <w:rFonts w:ascii="Arial" w:hAnsi="Arial" w:cs="Arial"/>
                <w:sz w:val="24"/>
                <w:szCs w:val="24"/>
                <w:vertAlign w:val="superscript"/>
              </w:rPr>
              <w:t>1</w:t>
            </w:r>
          </w:p>
          <w:p w14:paraId="49A09F9D" w14:textId="77777777" w:rsidR="002641D2" w:rsidRPr="00FA3F9C" w:rsidRDefault="002641D2" w:rsidP="0068664B">
            <w:pPr>
              <w:rPr>
                <w:rFonts w:ascii="Arial" w:hAnsi="Arial" w:cs="Arial"/>
                <w:sz w:val="24"/>
                <w:szCs w:val="24"/>
              </w:rPr>
            </w:pPr>
          </w:p>
          <w:p w14:paraId="32182719" w14:textId="77777777" w:rsidR="002641D2" w:rsidRPr="00FA3F9C" w:rsidRDefault="002641D2" w:rsidP="0068664B">
            <w:pPr>
              <w:rPr>
                <w:rFonts w:ascii="Arial" w:hAnsi="Arial" w:cs="Arial"/>
                <w:sz w:val="24"/>
                <w:szCs w:val="24"/>
              </w:rPr>
            </w:pPr>
            <w:r w:rsidRPr="00FA3F9C">
              <w:rPr>
                <w:rFonts w:ascii="Arial" w:hAnsi="Arial" w:cs="Arial"/>
                <w:sz w:val="24"/>
                <w:szCs w:val="24"/>
              </w:rPr>
              <w:t xml:space="preserve">In the TOURMALINE-MM1 trial, </w:t>
            </w:r>
            <w:proofErr w:type="spellStart"/>
            <w:r w:rsidRPr="00FA3F9C">
              <w:rPr>
                <w:rFonts w:ascii="Arial" w:hAnsi="Arial" w:cs="Arial"/>
                <w:sz w:val="24"/>
                <w:szCs w:val="24"/>
              </w:rPr>
              <w:t>ixazomib</w:t>
            </w:r>
            <w:proofErr w:type="spellEnd"/>
            <w:r w:rsidRPr="00FA3F9C">
              <w:rPr>
                <w:rFonts w:ascii="Arial" w:hAnsi="Arial" w:cs="Arial"/>
                <w:sz w:val="24"/>
                <w:szCs w:val="24"/>
              </w:rPr>
              <w:t>/lenalidomide/dexamethasone improved PFS compared with lenalidomide/dexamethasone in patients with relapsed and/or refractory multiple myeloma, but overall survival data was immature.</w:t>
            </w:r>
            <w:r w:rsidRPr="00FA3F9C">
              <w:rPr>
                <w:rFonts w:ascii="Arial" w:hAnsi="Arial" w:cs="Arial"/>
                <w:sz w:val="24"/>
                <w:szCs w:val="24"/>
                <w:vertAlign w:val="superscript"/>
              </w:rPr>
              <w:t>2</w:t>
            </w:r>
            <w:r w:rsidRPr="00FA3F9C">
              <w:rPr>
                <w:rFonts w:ascii="Arial" w:hAnsi="Arial" w:cs="Arial"/>
                <w:sz w:val="24"/>
                <w:szCs w:val="24"/>
              </w:rPr>
              <w:t xml:space="preserve"> However, there was improved OS in a Chinese study</w:t>
            </w:r>
            <w:r w:rsidRPr="00FA3F9C">
              <w:rPr>
                <w:rFonts w:ascii="Arial" w:hAnsi="Arial" w:cs="Arial"/>
                <w:sz w:val="24"/>
                <w:szCs w:val="24"/>
                <w:vertAlign w:val="superscript"/>
              </w:rPr>
              <w:t>3</w:t>
            </w:r>
            <w:r w:rsidRPr="00FA3F9C">
              <w:rPr>
                <w:rFonts w:ascii="Arial" w:hAnsi="Arial" w:cs="Arial"/>
                <w:sz w:val="24"/>
                <w:szCs w:val="24"/>
              </w:rPr>
              <w:t>. Note: 12% of population received prior lenalidomide and according to subgroup analysis (although numbers were small), PFS and response rate benefits were still seen in this subgroup.</w:t>
            </w:r>
            <w:r w:rsidRPr="00FA3F9C">
              <w:rPr>
                <w:rFonts w:ascii="Arial" w:hAnsi="Arial" w:cs="Arial"/>
                <w:sz w:val="24"/>
                <w:szCs w:val="24"/>
                <w:vertAlign w:val="superscript"/>
              </w:rPr>
              <w:t>4</w:t>
            </w:r>
            <w:r w:rsidRPr="00FA3F9C">
              <w:rPr>
                <w:rFonts w:ascii="Arial" w:hAnsi="Arial" w:cs="Arial"/>
                <w:sz w:val="24"/>
                <w:szCs w:val="24"/>
              </w:rPr>
              <w:t xml:space="preserve"> QOL was maintained in </w:t>
            </w:r>
            <w:proofErr w:type="spellStart"/>
            <w:r w:rsidRPr="00FA3F9C">
              <w:rPr>
                <w:rFonts w:ascii="Arial" w:hAnsi="Arial" w:cs="Arial"/>
                <w:sz w:val="24"/>
                <w:szCs w:val="24"/>
              </w:rPr>
              <w:t>ixazomib</w:t>
            </w:r>
            <w:proofErr w:type="spellEnd"/>
            <w:r w:rsidRPr="00FA3F9C">
              <w:rPr>
                <w:rFonts w:ascii="Arial" w:hAnsi="Arial" w:cs="Arial"/>
                <w:sz w:val="24"/>
                <w:szCs w:val="24"/>
              </w:rPr>
              <w:t xml:space="preserve"> group (but not improved compared to control group).</w:t>
            </w:r>
            <w:r w:rsidRPr="00FA3F9C">
              <w:rPr>
                <w:rFonts w:ascii="Arial" w:hAnsi="Arial" w:cs="Arial"/>
                <w:sz w:val="24"/>
                <w:szCs w:val="24"/>
                <w:vertAlign w:val="superscript"/>
              </w:rPr>
              <w:t>5</w:t>
            </w:r>
          </w:p>
          <w:p w14:paraId="63A0B47C" w14:textId="77777777" w:rsidR="002641D2" w:rsidRPr="00FA3F9C" w:rsidRDefault="002641D2" w:rsidP="0068664B">
            <w:pPr>
              <w:rPr>
                <w:rFonts w:ascii="Arial" w:hAnsi="Arial" w:cs="Arial"/>
                <w:sz w:val="24"/>
                <w:szCs w:val="24"/>
              </w:rPr>
            </w:pPr>
          </w:p>
          <w:p w14:paraId="2738E10D" w14:textId="77777777" w:rsidR="002641D2" w:rsidRPr="00FA3F9C" w:rsidRDefault="002641D2" w:rsidP="0068664B">
            <w:pPr>
              <w:rPr>
                <w:rFonts w:ascii="Arial" w:hAnsi="Arial" w:cs="Arial"/>
                <w:sz w:val="24"/>
                <w:szCs w:val="24"/>
              </w:rPr>
            </w:pPr>
            <w:r w:rsidRPr="00FA3F9C">
              <w:rPr>
                <w:rFonts w:ascii="Arial" w:hAnsi="Arial" w:cs="Arial"/>
                <w:sz w:val="24"/>
                <w:szCs w:val="24"/>
              </w:rPr>
              <w:t>References:</w:t>
            </w:r>
          </w:p>
          <w:p w14:paraId="4C1E67B2" w14:textId="77777777" w:rsidR="002641D2" w:rsidRPr="00FA3F9C" w:rsidRDefault="002641D2" w:rsidP="002641D2">
            <w:pPr>
              <w:pStyle w:val="ListParagraph"/>
              <w:numPr>
                <w:ilvl w:val="0"/>
                <w:numId w:val="294"/>
              </w:numPr>
              <w:ind w:left="245" w:hanging="180"/>
              <w:rPr>
                <w:rFonts w:ascii="Arial" w:hAnsi="Arial" w:cs="Arial"/>
                <w:sz w:val="24"/>
                <w:szCs w:val="24"/>
              </w:rPr>
            </w:pPr>
            <w:proofErr w:type="spellStart"/>
            <w:r w:rsidRPr="00FA3F9C">
              <w:rPr>
                <w:rFonts w:ascii="Arial" w:hAnsi="Arial" w:cs="Arial"/>
                <w:sz w:val="24"/>
                <w:szCs w:val="24"/>
              </w:rPr>
              <w:t>Dimopoulos</w:t>
            </w:r>
            <w:proofErr w:type="spellEnd"/>
            <w:r w:rsidRPr="00FA3F9C">
              <w:rPr>
                <w:rFonts w:ascii="Arial" w:hAnsi="Arial" w:cs="Arial"/>
                <w:sz w:val="24"/>
                <w:szCs w:val="24"/>
              </w:rPr>
              <w:t xml:space="preserve"> MA et al. Oral </w:t>
            </w:r>
            <w:proofErr w:type="spellStart"/>
            <w:r w:rsidRPr="00FA3F9C">
              <w:rPr>
                <w:rFonts w:ascii="Arial" w:hAnsi="Arial" w:cs="Arial"/>
                <w:sz w:val="24"/>
                <w:szCs w:val="24"/>
              </w:rPr>
              <w:t>ixazomib</w:t>
            </w:r>
            <w:proofErr w:type="spellEnd"/>
            <w:r w:rsidRPr="00FA3F9C">
              <w:rPr>
                <w:rFonts w:ascii="Arial" w:hAnsi="Arial" w:cs="Arial"/>
                <w:sz w:val="24"/>
                <w:szCs w:val="24"/>
              </w:rPr>
              <w:t xml:space="preserve"> maintenance following autologous stem cell transplantation (TOURMALINE-MM3): a double-blind, </w:t>
            </w:r>
            <w:proofErr w:type="spellStart"/>
            <w:r w:rsidRPr="00FA3F9C">
              <w:rPr>
                <w:rFonts w:ascii="Arial" w:hAnsi="Arial" w:cs="Arial"/>
                <w:sz w:val="24"/>
                <w:szCs w:val="24"/>
              </w:rPr>
              <w:t>randomised</w:t>
            </w:r>
            <w:proofErr w:type="spellEnd"/>
            <w:r w:rsidRPr="00FA3F9C">
              <w:rPr>
                <w:rFonts w:ascii="Arial" w:hAnsi="Arial" w:cs="Arial"/>
                <w:sz w:val="24"/>
                <w:szCs w:val="24"/>
              </w:rPr>
              <w:t>, placebo-controlled phase 3 trial. Lancet. 2019 Jan 19;393(10168):253-264. PMID 30545780 NCT02181413</w:t>
            </w:r>
          </w:p>
          <w:p w14:paraId="457CE571" w14:textId="77777777" w:rsidR="002641D2" w:rsidRPr="00FA3F9C" w:rsidRDefault="002641D2" w:rsidP="002641D2">
            <w:pPr>
              <w:pStyle w:val="ListParagraph"/>
              <w:numPr>
                <w:ilvl w:val="0"/>
                <w:numId w:val="294"/>
              </w:numPr>
              <w:ind w:left="245" w:hanging="180"/>
              <w:rPr>
                <w:rFonts w:ascii="Arial" w:hAnsi="Arial" w:cs="Arial"/>
                <w:sz w:val="24"/>
                <w:szCs w:val="24"/>
              </w:rPr>
            </w:pPr>
            <w:r w:rsidRPr="00FA3F9C">
              <w:rPr>
                <w:rFonts w:ascii="Arial" w:hAnsi="Arial" w:cs="Arial"/>
                <w:sz w:val="24"/>
                <w:szCs w:val="24"/>
              </w:rPr>
              <w:t xml:space="preserve">Moreau P et al. Oral </w:t>
            </w:r>
            <w:proofErr w:type="spellStart"/>
            <w:r w:rsidRPr="00FA3F9C">
              <w:rPr>
                <w:rFonts w:ascii="Arial" w:hAnsi="Arial" w:cs="Arial"/>
                <w:sz w:val="24"/>
                <w:szCs w:val="24"/>
              </w:rPr>
              <w:t>Ixazomib</w:t>
            </w:r>
            <w:proofErr w:type="spellEnd"/>
            <w:r w:rsidRPr="00FA3F9C">
              <w:rPr>
                <w:rFonts w:ascii="Arial" w:hAnsi="Arial" w:cs="Arial"/>
                <w:sz w:val="24"/>
                <w:szCs w:val="24"/>
              </w:rPr>
              <w:t xml:space="preserve">, Lenalidomide, and Dexamethasone for Multiple Myeloma. N </w:t>
            </w:r>
            <w:proofErr w:type="spellStart"/>
            <w:r w:rsidRPr="00FA3F9C">
              <w:rPr>
                <w:rFonts w:ascii="Arial" w:hAnsi="Arial" w:cs="Arial"/>
                <w:sz w:val="24"/>
                <w:szCs w:val="24"/>
              </w:rPr>
              <w:t>Engl</w:t>
            </w:r>
            <w:proofErr w:type="spellEnd"/>
            <w:r w:rsidRPr="00FA3F9C">
              <w:rPr>
                <w:rFonts w:ascii="Arial" w:hAnsi="Arial" w:cs="Arial"/>
                <w:sz w:val="24"/>
                <w:szCs w:val="24"/>
              </w:rPr>
              <w:t xml:space="preserve"> J Med. 2016 Apr 28;374(17):1621-34. PMID 27119237 NCT01564537</w:t>
            </w:r>
          </w:p>
          <w:p w14:paraId="637AE85B" w14:textId="77777777" w:rsidR="002641D2" w:rsidRPr="00FA3F9C" w:rsidRDefault="002641D2" w:rsidP="002641D2">
            <w:pPr>
              <w:pStyle w:val="ListParagraph"/>
              <w:numPr>
                <w:ilvl w:val="0"/>
                <w:numId w:val="294"/>
              </w:numPr>
              <w:ind w:left="245" w:hanging="180"/>
              <w:rPr>
                <w:rFonts w:ascii="Arial" w:hAnsi="Arial" w:cs="Arial"/>
                <w:sz w:val="24"/>
                <w:szCs w:val="24"/>
              </w:rPr>
            </w:pPr>
            <w:r w:rsidRPr="00FA3F9C">
              <w:rPr>
                <w:rFonts w:ascii="Arial" w:hAnsi="Arial" w:cs="Arial"/>
                <w:sz w:val="24"/>
                <w:szCs w:val="24"/>
              </w:rPr>
              <w:t xml:space="preserve">Hou J et al. Randomized, double-blind, placebo-controlled phase III study of </w:t>
            </w:r>
            <w:proofErr w:type="spellStart"/>
            <w:r w:rsidRPr="00FA3F9C">
              <w:rPr>
                <w:rFonts w:ascii="Arial" w:hAnsi="Arial" w:cs="Arial"/>
                <w:sz w:val="24"/>
                <w:szCs w:val="24"/>
              </w:rPr>
              <w:t>ixazomib</w:t>
            </w:r>
            <w:proofErr w:type="spellEnd"/>
            <w:r w:rsidRPr="00FA3F9C">
              <w:rPr>
                <w:rFonts w:ascii="Arial" w:hAnsi="Arial" w:cs="Arial"/>
                <w:sz w:val="24"/>
                <w:szCs w:val="24"/>
              </w:rPr>
              <w:t xml:space="preserve"> plus lenalidomide-dexamethasone in patients with relapsed/refractory multiple myeloma: China Continuation study. J </w:t>
            </w:r>
            <w:proofErr w:type="spellStart"/>
            <w:r w:rsidRPr="00FA3F9C">
              <w:rPr>
                <w:rFonts w:ascii="Arial" w:hAnsi="Arial" w:cs="Arial"/>
                <w:sz w:val="24"/>
                <w:szCs w:val="24"/>
              </w:rPr>
              <w:t>Hematol</w:t>
            </w:r>
            <w:proofErr w:type="spellEnd"/>
            <w:r w:rsidRPr="00FA3F9C">
              <w:rPr>
                <w:rFonts w:ascii="Arial" w:hAnsi="Arial" w:cs="Arial"/>
                <w:sz w:val="24"/>
                <w:szCs w:val="24"/>
              </w:rPr>
              <w:t xml:space="preserve"> Oncol. 2017 Jul 6;10(1):137. PMID 28683766 NCT01564537</w:t>
            </w:r>
          </w:p>
          <w:p w14:paraId="7D30CFC2" w14:textId="77777777" w:rsidR="002641D2" w:rsidRPr="00FA3F9C" w:rsidRDefault="002641D2" w:rsidP="002641D2">
            <w:pPr>
              <w:pStyle w:val="ListParagraph"/>
              <w:numPr>
                <w:ilvl w:val="0"/>
                <w:numId w:val="294"/>
              </w:numPr>
              <w:ind w:left="245" w:hanging="180"/>
              <w:rPr>
                <w:rFonts w:ascii="Arial" w:hAnsi="Arial" w:cs="Arial"/>
                <w:sz w:val="24"/>
                <w:szCs w:val="24"/>
              </w:rPr>
            </w:pPr>
            <w:proofErr w:type="spellStart"/>
            <w:r w:rsidRPr="00FA3F9C">
              <w:rPr>
                <w:rFonts w:ascii="Arial" w:hAnsi="Arial" w:cs="Arial"/>
                <w:sz w:val="24"/>
                <w:szCs w:val="24"/>
              </w:rPr>
              <w:t>Mateos</w:t>
            </w:r>
            <w:proofErr w:type="spellEnd"/>
            <w:r w:rsidRPr="00FA3F9C">
              <w:rPr>
                <w:rFonts w:ascii="Arial" w:hAnsi="Arial" w:cs="Arial"/>
                <w:sz w:val="24"/>
                <w:szCs w:val="24"/>
              </w:rPr>
              <w:t xml:space="preserve"> MV et al. Impact of prior therapy on the efficacy and safety of oral </w:t>
            </w:r>
            <w:proofErr w:type="spellStart"/>
            <w:r w:rsidRPr="00FA3F9C">
              <w:rPr>
                <w:rFonts w:ascii="Arial" w:hAnsi="Arial" w:cs="Arial"/>
                <w:sz w:val="24"/>
                <w:szCs w:val="24"/>
              </w:rPr>
              <w:t>ixazomib</w:t>
            </w:r>
            <w:proofErr w:type="spellEnd"/>
            <w:r w:rsidRPr="00FA3F9C">
              <w:rPr>
                <w:rFonts w:ascii="Arial" w:hAnsi="Arial" w:cs="Arial"/>
                <w:sz w:val="24"/>
                <w:szCs w:val="24"/>
              </w:rPr>
              <w:t xml:space="preserve">-lenalidomide-dexamethasone vs. placebo-lenalidomide-dexamethasone in patients with </w:t>
            </w:r>
            <w:r w:rsidRPr="00FA3F9C">
              <w:rPr>
                <w:rFonts w:ascii="Arial" w:hAnsi="Arial" w:cs="Arial"/>
                <w:sz w:val="24"/>
                <w:szCs w:val="24"/>
              </w:rPr>
              <w:lastRenderedPageBreak/>
              <w:t xml:space="preserve">relapsed/refractory multiple myeloma in TOURMALINE-MM1. </w:t>
            </w:r>
            <w:proofErr w:type="spellStart"/>
            <w:r w:rsidRPr="00FA3F9C">
              <w:rPr>
                <w:rFonts w:ascii="Arial" w:hAnsi="Arial" w:cs="Arial"/>
                <w:sz w:val="24"/>
                <w:szCs w:val="24"/>
              </w:rPr>
              <w:t>Haematologica</w:t>
            </w:r>
            <w:proofErr w:type="spellEnd"/>
            <w:r w:rsidRPr="00FA3F9C">
              <w:rPr>
                <w:rFonts w:ascii="Arial" w:hAnsi="Arial" w:cs="Arial"/>
                <w:sz w:val="24"/>
                <w:szCs w:val="24"/>
              </w:rPr>
              <w:t>. 2017 Oct;102(10):1767-1775. PMID 28751562 NCT01564537</w:t>
            </w:r>
          </w:p>
          <w:p w14:paraId="549F4A79" w14:textId="77777777" w:rsidR="002641D2" w:rsidRPr="00FA3F9C" w:rsidRDefault="002641D2" w:rsidP="002641D2">
            <w:pPr>
              <w:pStyle w:val="ListParagraph"/>
              <w:numPr>
                <w:ilvl w:val="0"/>
                <w:numId w:val="294"/>
              </w:numPr>
              <w:ind w:left="245" w:hanging="180"/>
              <w:rPr>
                <w:rFonts w:ascii="Arial" w:hAnsi="Arial" w:cs="Arial"/>
                <w:sz w:val="24"/>
                <w:szCs w:val="24"/>
              </w:rPr>
            </w:pPr>
            <w:proofErr w:type="spellStart"/>
            <w:r w:rsidRPr="00FA3F9C">
              <w:rPr>
                <w:rFonts w:ascii="Arial" w:hAnsi="Arial" w:cs="Arial"/>
                <w:sz w:val="24"/>
                <w:szCs w:val="24"/>
              </w:rPr>
              <w:t>Leleu</w:t>
            </w:r>
            <w:proofErr w:type="spellEnd"/>
            <w:r w:rsidRPr="00FA3F9C">
              <w:rPr>
                <w:rFonts w:ascii="Arial" w:hAnsi="Arial" w:cs="Arial"/>
                <w:sz w:val="24"/>
                <w:szCs w:val="24"/>
              </w:rPr>
              <w:t xml:space="preserve"> X et al Patient-reported health-related quality of life from the phase III TOURMALINE-MM1 study of </w:t>
            </w:r>
            <w:proofErr w:type="spellStart"/>
            <w:r w:rsidRPr="00FA3F9C">
              <w:rPr>
                <w:rFonts w:ascii="Arial" w:hAnsi="Arial" w:cs="Arial"/>
                <w:sz w:val="24"/>
                <w:szCs w:val="24"/>
              </w:rPr>
              <w:t>ixazomib</w:t>
            </w:r>
            <w:proofErr w:type="spellEnd"/>
            <w:r w:rsidRPr="00FA3F9C">
              <w:rPr>
                <w:rFonts w:ascii="Arial" w:hAnsi="Arial" w:cs="Arial"/>
                <w:sz w:val="24"/>
                <w:szCs w:val="24"/>
              </w:rPr>
              <w:t xml:space="preserve">-lenalidomide-dexamethasone versus placebo-lenalidomide-dexamethasone in relapsed/refractory multiple myeloma. Am J </w:t>
            </w:r>
            <w:proofErr w:type="spellStart"/>
            <w:r w:rsidRPr="00FA3F9C">
              <w:rPr>
                <w:rFonts w:ascii="Arial" w:hAnsi="Arial" w:cs="Arial"/>
                <w:sz w:val="24"/>
                <w:szCs w:val="24"/>
              </w:rPr>
              <w:t>Hematol</w:t>
            </w:r>
            <w:proofErr w:type="spellEnd"/>
            <w:r w:rsidRPr="00FA3F9C">
              <w:rPr>
                <w:rFonts w:ascii="Arial" w:hAnsi="Arial" w:cs="Arial"/>
                <w:sz w:val="24"/>
                <w:szCs w:val="24"/>
              </w:rPr>
              <w:t xml:space="preserve">. 2018 May 4. </w:t>
            </w:r>
            <w:proofErr w:type="spellStart"/>
            <w:r w:rsidRPr="00FA3F9C">
              <w:rPr>
                <w:rFonts w:ascii="Arial" w:hAnsi="Arial" w:cs="Arial"/>
                <w:sz w:val="24"/>
                <w:szCs w:val="24"/>
              </w:rPr>
              <w:t>doi</w:t>
            </w:r>
            <w:proofErr w:type="spellEnd"/>
            <w:r w:rsidRPr="00FA3F9C">
              <w:rPr>
                <w:rFonts w:ascii="Arial" w:hAnsi="Arial" w:cs="Arial"/>
                <w:sz w:val="24"/>
                <w:szCs w:val="24"/>
              </w:rPr>
              <w:t>: 10.1002/ajh.25134. [</w:t>
            </w:r>
            <w:proofErr w:type="spellStart"/>
            <w:r w:rsidRPr="00FA3F9C">
              <w:rPr>
                <w:rFonts w:ascii="Arial" w:hAnsi="Arial" w:cs="Arial"/>
                <w:sz w:val="24"/>
                <w:szCs w:val="24"/>
              </w:rPr>
              <w:t>Epub</w:t>
            </w:r>
            <w:proofErr w:type="spellEnd"/>
            <w:r w:rsidRPr="00FA3F9C">
              <w:rPr>
                <w:rFonts w:ascii="Arial" w:hAnsi="Arial" w:cs="Arial"/>
                <w:sz w:val="24"/>
                <w:szCs w:val="24"/>
              </w:rPr>
              <w:t xml:space="preserve"> ahead of print] PMID 29726031 NCT01564537</w:t>
            </w:r>
          </w:p>
        </w:tc>
      </w:tr>
    </w:tbl>
    <w:p w14:paraId="51C3115D" w14:textId="77777777" w:rsidR="002641D2" w:rsidRPr="00FA3F9C" w:rsidRDefault="002641D2" w:rsidP="006F623F">
      <w:pPr>
        <w:spacing w:after="0"/>
        <w:rPr>
          <w:rFonts w:ascii="Arial" w:hAnsi="Arial" w:cs="Arial"/>
          <w:b/>
          <w:sz w:val="24"/>
          <w:szCs w:val="24"/>
          <w:u w:val="single"/>
        </w:rPr>
      </w:pPr>
    </w:p>
    <w:p w14:paraId="437DFF04" w14:textId="77777777" w:rsidR="002641D2" w:rsidRPr="00FA3F9C" w:rsidRDefault="002641D2"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418"/>
        <w:gridCol w:w="7055"/>
        <w:gridCol w:w="2457"/>
      </w:tblGrid>
      <w:tr w:rsidR="002641D2" w:rsidRPr="00FA3F9C" w14:paraId="72C340A6" w14:textId="77777777" w:rsidTr="007F3CE0">
        <w:tc>
          <w:tcPr>
            <w:tcW w:w="1278" w:type="dxa"/>
          </w:tcPr>
          <w:p w14:paraId="53AD1B50" w14:textId="77777777" w:rsidR="002641D2" w:rsidRPr="00FA3F9C" w:rsidRDefault="002641D2" w:rsidP="006F623F">
            <w:pPr>
              <w:rPr>
                <w:rFonts w:ascii="Arial" w:hAnsi="Arial" w:cs="Arial"/>
                <w:sz w:val="24"/>
                <w:szCs w:val="24"/>
              </w:rPr>
            </w:pPr>
            <w:r w:rsidRPr="00FA3F9C">
              <w:rPr>
                <w:rFonts w:ascii="Arial" w:hAnsi="Arial" w:cs="Arial"/>
                <w:sz w:val="24"/>
                <w:szCs w:val="24"/>
              </w:rPr>
              <w:t>Date</w:t>
            </w:r>
          </w:p>
        </w:tc>
        <w:tc>
          <w:tcPr>
            <w:tcW w:w="7055" w:type="dxa"/>
          </w:tcPr>
          <w:p w14:paraId="32FDA441" w14:textId="77777777" w:rsidR="002641D2" w:rsidRPr="00FA3F9C" w:rsidRDefault="002641D2" w:rsidP="006F623F">
            <w:pPr>
              <w:rPr>
                <w:rFonts w:ascii="Arial" w:hAnsi="Arial" w:cs="Arial"/>
                <w:sz w:val="24"/>
                <w:szCs w:val="24"/>
              </w:rPr>
            </w:pPr>
            <w:r w:rsidRPr="00FA3F9C">
              <w:rPr>
                <w:rFonts w:ascii="Arial" w:hAnsi="Arial" w:cs="Arial"/>
                <w:sz w:val="24"/>
                <w:szCs w:val="24"/>
              </w:rPr>
              <w:t>What changed</w:t>
            </w:r>
          </w:p>
        </w:tc>
        <w:tc>
          <w:tcPr>
            <w:tcW w:w="2457" w:type="dxa"/>
          </w:tcPr>
          <w:p w14:paraId="4793236F" w14:textId="77777777" w:rsidR="002641D2" w:rsidRPr="00FA3F9C" w:rsidRDefault="002641D2" w:rsidP="006F623F">
            <w:pPr>
              <w:rPr>
                <w:rFonts w:ascii="Arial" w:hAnsi="Arial" w:cs="Arial"/>
                <w:sz w:val="24"/>
                <w:szCs w:val="24"/>
              </w:rPr>
            </w:pPr>
            <w:r w:rsidRPr="00FA3F9C">
              <w:rPr>
                <w:rFonts w:ascii="Arial" w:hAnsi="Arial" w:cs="Arial"/>
                <w:sz w:val="24"/>
                <w:szCs w:val="24"/>
              </w:rPr>
              <w:t>Pharmacist’s initials</w:t>
            </w:r>
          </w:p>
        </w:tc>
      </w:tr>
      <w:tr w:rsidR="002641D2" w:rsidRPr="00FA3F9C" w14:paraId="4B2B3C30" w14:textId="77777777" w:rsidTr="007F3CE0">
        <w:tc>
          <w:tcPr>
            <w:tcW w:w="1278" w:type="dxa"/>
          </w:tcPr>
          <w:p w14:paraId="47940CA7" w14:textId="77777777" w:rsidR="002641D2" w:rsidRPr="00FA3F9C" w:rsidRDefault="002641D2" w:rsidP="006F623F">
            <w:pPr>
              <w:rPr>
                <w:rFonts w:ascii="Arial" w:hAnsi="Arial" w:cs="Arial"/>
                <w:sz w:val="24"/>
                <w:szCs w:val="24"/>
              </w:rPr>
            </w:pPr>
            <w:r w:rsidRPr="00FA3F9C">
              <w:rPr>
                <w:rFonts w:ascii="Arial" w:hAnsi="Arial" w:cs="Arial"/>
                <w:sz w:val="24"/>
                <w:szCs w:val="24"/>
              </w:rPr>
              <w:t>4/30/18</w:t>
            </w:r>
          </w:p>
        </w:tc>
        <w:tc>
          <w:tcPr>
            <w:tcW w:w="7055" w:type="dxa"/>
          </w:tcPr>
          <w:p w14:paraId="15B62F53" w14:textId="77777777" w:rsidR="002641D2" w:rsidRPr="00FA3F9C" w:rsidRDefault="002641D2" w:rsidP="006F623F">
            <w:pPr>
              <w:rPr>
                <w:rFonts w:ascii="Arial" w:hAnsi="Arial" w:cs="Arial"/>
                <w:sz w:val="24"/>
                <w:szCs w:val="24"/>
              </w:rPr>
            </w:pPr>
            <w:r w:rsidRPr="00FA3F9C">
              <w:rPr>
                <w:rFonts w:ascii="Arial" w:hAnsi="Arial" w:cs="Arial"/>
                <w:sz w:val="24"/>
                <w:szCs w:val="24"/>
              </w:rPr>
              <w:t>I wrote the PA criteria.</w:t>
            </w:r>
          </w:p>
        </w:tc>
        <w:tc>
          <w:tcPr>
            <w:tcW w:w="2457" w:type="dxa"/>
          </w:tcPr>
          <w:p w14:paraId="09422FAA" w14:textId="00122F60" w:rsidR="002641D2" w:rsidRPr="00FA3F9C" w:rsidRDefault="005C142D" w:rsidP="006F623F">
            <w:pPr>
              <w:rPr>
                <w:rFonts w:ascii="Arial" w:hAnsi="Arial" w:cs="Arial"/>
                <w:sz w:val="24"/>
                <w:szCs w:val="24"/>
              </w:rPr>
            </w:pPr>
            <w:r w:rsidRPr="00FA3F9C">
              <w:rPr>
                <w:rFonts w:ascii="Arial" w:hAnsi="Arial" w:cs="Arial"/>
                <w:sz w:val="24"/>
                <w:szCs w:val="24"/>
              </w:rPr>
              <w:t>JJ</w:t>
            </w:r>
          </w:p>
        </w:tc>
      </w:tr>
      <w:tr w:rsidR="002641D2" w:rsidRPr="00FA3F9C" w14:paraId="450E75C2" w14:textId="77777777" w:rsidTr="007F3CE0">
        <w:tc>
          <w:tcPr>
            <w:tcW w:w="1278" w:type="dxa"/>
          </w:tcPr>
          <w:p w14:paraId="54B0D674" w14:textId="77777777" w:rsidR="002641D2" w:rsidRPr="00FA3F9C" w:rsidRDefault="002641D2" w:rsidP="006F623F">
            <w:pPr>
              <w:rPr>
                <w:rFonts w:ascii="Arial" w:hAnsi="Arial" w:cs="Arial"/>
                <w:sz w:val="24"/>
                <w:szCs w:val="24"/>
              </w:rPr>
            </w:pPr>
            <w:r w:rsidRPr="00FA3F9C">
              <w:rPr>
                <w:rFonts w:ascii="Arial" w:hAnsi="Arial" w:cs="Arial"/>
                <w:sz w:val="24"/>
                <w:szCs w:val="24"/>
              </w:rPr>
              <w:t>5/20/19</w:t>
            </w:r>
          </w:p>
        </w:tc>
        <w:tc>
          <w:tcPr>
            <w:tcW w:w="7055" w:type="dxa"/>
          </w:tcPr>
          <w:p w14:paraId="1F1FF1E4" w14:textId="77777777" w:rsidR="002641D2" w:rsidRPr="00FA3F9C" w:rsidRDefault="002641D2" w:rsidP="006F623F">
            <w:pPr>
              <w:rPr>
                <w:rFonts w:ascii="Arial" w:hAnsi="Arial" w:cs="Arial"/>
                <w:sz w:val="24"/>
                <w:szCs w:val="24"/>
              </w:rPr>
            </w:pPr>
            <w:r w:rsidRPr="00FA3F9C">
              <w:rPr>
                <w:rFonts w:ascii="Arial" w:hAnsi="Arial" w:cs="Arial"/>
                <w:sz w:val="24"/>
                <w:szCs w:val="24"/>
              </w:rPr>
              <w:t>Criteria reviewed. No significant changes. Emphasized that myeloma should be progressing in order to be approved (</w:t>
            </w:r>
            <w:proofErr w:type="spellStart"/>
            <w:r w:rsidRPr="00FA3F9C">
              <w:rPr>
                <w:rFonts w:ascii="Arial" w:hAnsi="Arial" w:cs="Arial"/>
                <w:sz w:val="24"/>
                <w:szCs w:val="24"/>
              </w:rPr>
              <w:t>ixazomib</w:t>
            </w:r>
            <w:proofErr w:type="spellEnd"/>
            <w:r w:rsidRPr="00FA3F9C">
              <w:rPr>
                <w:rFonts w:ascii="Arial" w:hAnsi="Arial" w:cs="Arial"/>
                <w:sz w:val="24"/>
                <w:szCs w:val="24"/>
              </w:rPr>
              <w:t xml:space="preserve"> is not covered for maintenance therapy yet).</w:t>
            </w:r>
          </w:p>
        </w:tc>
        <w:tc>
          <w:tcPr>
            <w:tcW w:w="2457" w:type="dxa"/>
          </w:tcPr>
          <w:p w14:paraId="278F71D3" w14:textId="77777777" w:rsidR="002641D2" w:rsidRPr="00FA3F9C" w:rsidRDefault="002641D2" w:rsidP="006F623F">
            <w:pPr>
              <w:rPr>
                <w:rFonts w:ascii="Arial" w:hAnsi="Arial" w:cs="Arial"/>
                <w:sz w:val="24"/>
                <w:szCs w:val="24"/>
              </w:rPr>
            </w:pPr>
            <w:r w:rsidRPr="00FA3F9C">
              <w:rPr>
                <w:rFonts w:ascii="Arial" w:hAnsi="Arial" w:cs="Arial"/>
                <w:sz w:val="24"/>
                <w:szCs w:val="24"/>
              </w:rPr>
              <w:t>SK</w:t>
            </w:r>
          </w:p>
        </w:tc>
      </w:tr>
      <w:tr w:rsidR="002641D2" w:rsidRPr="00FA3F9C" w14:paraId="27B45114" w14:textId="77777777" w:rsidTr="007F3CE0">
        <w:tc>
          <w:tcPr>
            <w:tcW w:w="1278" w:type="dxa"/>
          </w:tcPr>
          <w:p w14:paraId="56C85F9A" w14:textId="77777777" w:rsidR="002641D2" w:rsidRPr="00FA3F9C" w:rsidRDefault="002641D2" w:rsidP="006F623F">
            <w:pPr>
              <w:rPr>
                <w:rFonts w:ascii="Arial" w:hAnsi="Arial" w:cs="Arial"/>
                <w:sz w:val="24"/>
                <w:szCs w:val="24"/>
              </w:rPr>
            </w:pPr>
            <w:r w:rsidRPr="00FA3F9C">
              <w:rPr>
                <w:rFonts w:ascii="Arial" w:hAnsi="Arial" w:cs="Arial"/>
                <w:sz w:val="24"/>
                <w:szCs w:val="24"/>
              </w:rPr>
              <w:t>10/31/19</w:t>
            </w:r>
          </w:p>
        </w:tc>
        <w:tc>
          <w:tcPr>
            <w:tcW w:w="7055" w:type="dxa"/>
          </w:tcPr>
          <w:p w14:paraId="600885C3" w14:textId="77777777" w:rsidR="002641D2" w:rsidRPr="00FA3F9C" w:rsidRDefault="002641D2" w:rsidP="008859C5">
            <w:pPr>
              <w:rPr>
                <w:rFonts w:ascii="Arial" w:hAnsi="Arial" w:cs="Arial"/>
                <w:sz w:val="24"/>
                <w:szCs w:val="24"/>
              </w:rPr>
            </w:pPr>
            <w:r w:rsidRPr="00FA3F9C">
              <w:rPr>
                <w:rFonts w:ascii="Arial" w:hAnsi="Arial" w:cs="Arial"/>
                <w:sz w:val="24"/>
                <w:szCs w:val="24"/>
              </w:rPr>
              <w:t>Criteria reviewed. No changes. Added QOL report reference.</w:t>
            </w:r>
          </w:p>
        </w:tc>
        <w:tc>
          <w:tcPr>
            <w:tcW w:w="2457" w:type="dxa"/>
          </w:tcPr>
          <w:p w14:paraId="42007C7B" w14:textId="77777777" w:rsidR="002641D2" w:rsidRPr="00FA3F9C" w:rsidRDefault="002641D2" w:rsidP="006F623F">
            <w:pPr>
              <w:rPr>
                <w:rFonts w:ascii="Arial" w:hAnsi="Arial" w:cs="Arial"/>
                <w:sz w:val="24"/>
                <w:szCs w:val="24"/>
              </w:rPr>
            </w:pPr>
            <w:r w:rsidRPr="00FA3F9C">
              <w:rPr>
                <w:rFonts w:ascii="Arial" w:hAnsi="Arial" w:cs="Arial"/>
                <w:sz w:val="24"/>
                <w:szCs w:val="24"/>
              </w:rPr>
              <w:t>SK</w:t>
            </w:r>
          </w:p>
        </w:tc>
      </w:tr>
      <w:tr w:rsidR="002641D2" w:rsidRPr="00FA3F9C" w14:paraId="4B688720" w14:textId="77777777" w:rsidTr="007F3CE0">
        <w:tc>
          <w:tcPr>
            <w:tcW w:w="1278" w:type="dxa"/>
          </w:tcPr>
          <w:p w14:paraId="4B97304D" w14:textId="77777777" w:rsidR="002641D2" w:rsidRPr="00FA3F9C" w:rsidRDefault="002641D2" w:rsidP="006F623F">
            <w:pPr>
              <w:rPr>
                <w:rFonts w:ascii="Arial" w:hAnsi="Arial" w:cs="Arial"/>
                <w:sz w:val="24"/>
                <w:szCs w:val="24"/>
              </w:rPr>
            </w:pPr>
            <w:r w:rsidRPr="00FA3F9C">
              <w:rPr>
                <w:rFonts w:ascii="Arial" w:hAnsi="Arial" w:cs="Arial"/>
                <w:sz w:val="24"/>
                <w:szCs w:val="24"/>
              </w:rPr>
              <w:t>8/21/2020</w:t>
            </w:r>
          </w:p>
        </w:tc>
        <w:tc>
          <w:tcPr>
            <w:tcW w:w="7055" w:type="dxa"/>
          </w:tcPr>
          <w:p w14:paraId="0224D11E" w14:textId="77777777" w:rsidR="002641D2" w:rsidRPr="00FA3F9C" w:rsidRDefault="002641D2" w:rsidP="008859C5">
            <w:pPr>
              <w:rPr>
                <w:rFonts w:ascii="Arial" w:hAnsi="Arial" w:cs="Arial"/>
                <w:sz w:val="24"/>
                <w:szCs w:val="24"/>
              </w:rPr>
            </w:pPr>
            <w:r w:rsidRPr="00FA3F9C">
              <w:rPr>
                <w:rFonts w:ascii="Arial" w:hAnsi="Arial" w:cs="Arial"/>
                <w:sz w:val="24"/>
                <w:szCs w:val="24"/>
              </w:rPr>
              <w:t>Criteria reviewed. No change.</w:t>
            </w:r>
          </w:p>
        </w:tc>
        <w:tc>
          <w:tcPr>
            <w:tcW w:w="2457" w:type="dxa"/>
          </w:tcPr>
          <w:p w14:paraId="597728E4" w14:textId="77777777" w:rsidR="002641D2" w:rsidRPr="00FA3F9C" w:rsidRDefault="002641D2" w:rsidP="006F623F">
            <w:pPr>
              <w:rPr>
                <w:rFonts w:ascii="Arial" w:hAnsi="Arial" w:cs="Arial"/>
                <w:sz w:val="24"/>
                <w:szCs w:val="24"/>
              </w:rPr>
            </w:pPr>
            <w:r w:rsidRPr="00FA3F9C">
              <w:rPr>
                <w:rFonts w:ascii="Arial" w:hAnsi="Arial" w:cs="Arial"/>
                <w:sz w:val="24"/>
                <w:szCs w:val="24"/>
              </w:rPr>
              <w:t>SK</w:t>
            </w:r>
          </w:p>
        </w:tc>
      </w:tr>
      <w:tr w:rsidR="002641D2" w:rsidRPr="00FA3F9C" w14:paraId="3E2DE03F" w14:textId="77777777" w:rsidTr="007F3CE0">
        <w:tc>
          <w:tcPr>
            <w:tcW w:w="1278" w:type="dxa"/>
          </w:tcPr>
          <w:p w14:paraId="0414AE5F" w14:textId="77777777" w:rsidR="002641D2" w:rsidRPr="00FA3F9C" w:rsidRDefault="002641D2" w:rsidP="007F3CE0">
            <w:pPr>
              <w:rPr>
                <w:rFonts w:ascii="Arial" w:hAnsi="Arial" w:cs="Arial"/>
                <w:sz w:val="24"/>
                <w:szCs w:val="24"/>
              </w:rPr>
            </w:pPr>
            <w:r w:rsidRPr="00FA3F9C">
              <w:rPr>
                <w:rFonts w:ascii="Arial" w:hAnsi="Arial" w:cs="Arial"/>
                <w:sz w:val="24"/>
                <w:szCs w:val="24"/>
              </w:rPr>
              <w:t>10/27/2021</w:t>
            </w:r>
          </w:p>
        </w:tc>
        <w:tc>
          <w:tcPr>
            <w:tcW w:w="7055" w:type="dxa"/>
          </w:tcPr>
          <w:p w14:paraId="28721A86" w14:textId="77777777" w:rsidR="002641D2" w:rsidRPr="00FA3F9C" w:rsidRDefault="002641D2" w:rsidP="007F3CE0">
            <w:pPr>
              <w:rPr>
                <w:rFonts w:ascii="Arial" w:hAnsi="Arial" w:cs="Arial"/>
                <w:sz w:val="24"/>
                <w:szCs w:val="24"/>
              </w:rPr>
            </w:pPr>
            <w:r w:rsidRPr="00FA3F9C">
              <w:rPr>
                <w:rFonts w:ascii="Arial" w:hAnsi="Arial" w:cs="Arial"/>
                <w:sz w:val="24"/>
                <w:szCs w:val="24"/>
              </w:rPr>
              <w:t>Criteria reviewed. No change.</w:t>
            </w:r>
          </w:p>
        </w:tc>
        <w:tc>
          <w:tcPr>
            <w:tcW w:w="2457" w:type="dxa"/>
          </w:tcPr>
          <w:p w14:paraId="3C70605F" w14:textId="77777777" w:rsidR="002641D2" w:rsidRPr="00FA3F9C" w:rsidRDefault="002641D2" w:rsidP="007F3CE0">
            <w:pPr>
              <w:rPr>
                <w:rFonts w:ascii="Arial" w:hAnsi="Arial" w:cs="Arial"/>
                <w:sz w:val="24"/>
                <w:szCs w:val="24"/>
              </w:rPr>
            </w:pPr>
            <w:r w:rsidRPr="00FA3F9C">
              <w:rPr>
                <w:rFonts w:ascii="Arial" w:hAnsi="Arial" w:cs="Arial"/>
                <w:sz w:val="24"/>
                <w:szCs w:val="24"/>
              </w:rPr>
              <w:t>SK</w:t>
            </w:r>
          </w:p>
        </w:tc>
      </w:tr>
    </w:tbl>
    <w:p w14:paraId="0100B286" w14:textId="77777777" w:rsidR="002641D2" w:rsidRPr="00FA3F9C" w:rsidRDefault="002641D2" w:rsidP="00D104B8">
      <w:pPr>
        <w:spacing w:after="0"/>
        <w:rPr>
          <w:rFonts w:ascii="Arial" w:hAnsi="Arial" w:cs="Arial"/>
          <w:sz w:val="24"/>
          <w:szCs w:val="24"/>
        </w:rPr>
      </w:pPr>
    </w:p>
    <w:p w14:paraId="4C5BC948" w14:textId="77777777" w:rsidR="002641D2" w:rsidRPr="00FA3F9C" w:rsidRDefault="002641D2" w:rsidP="002A1632">
      <w:pPr>
        <w:pStyle w:val="Heading2"/>
      </w:pPr>
      <w:bookmarkStart w:id="160" w:name="_Toc106369839"/>
      <w:r w:rsidRPr="00FA3F9C">
        <w:t>Long-acting Beta-agonists</w:t>
      </w:r>
      <w:bookmarkEnd w:id="160"/>
    </w:p>
    <w:tbl>
      <w:tblPr>
        <w:tblW w:w="10070" w:type="dxa"/>
        <w:tblLook w:val="04A0" w:firstRow="1" w:lastRow="0" w:firstColumn="1" w:lastColumn="0" w:noHBand="0" w:noVBand="1"/>
      </w:tblPr>
      <w:tblGrid>
        <w:gridCol w:w="2497"/>
        <w:gridCol w:w="283"/>
        <w:gridCol w:w="283"/>
        <w:gridCol w:w="720"/>
        <w:gridCol w:w="960"/>
        <w:gridCol w:w="704"/>
        <w:gridCol w:w="283"/>
        <w:gridCol w:w="643"/>
        <w:gridCol w:w="317"/>
        <w:gridCol w:w="960"/>
        <w:gridCol w:w="613"/>
        <w:gridCol w:w="347"/>
        <w:gridCol w:w="1460"/>
      </w:tblGrid>
      <w:tr w:rsidR="002641D2" w:rsidRPr="00FA3F9C" w14:paraId="16E2694C" w14:textId="77777777" w:rsidTr="002A1632">
        <w:trPr>
          <w:trHeight w:val="288"/>
        </w:trPr>
        <w:tc>
          <w:tcPr>
            <w:tcW w:w="2497" w:type="dxa"/>
            <w:tcBorders>
              <w:top w:val="single" w:sz="4" w:space="0" w:color="auto"/>
              <w:left w:val="single" w:sz="4" w:space="0" w:color="auto"/>
              <w:bottom w:val="single" w:sz="4" w:space="0" w:color="auto"/>
              <w:right w:val="nil"/>
            </w:tcBorders>
            <w:shd w:val="clear" w:color="auto" w:fill="auto"/>
            <w:noWrap/>
            <w:vAlign w:val="bottom"/>
            <w:hideMark/>
          </w:tcPr>
          <w:p w14:paraId="44699269" w14:textId="77777777" w:rsidR="002641D2" w:rsidRPr="00FA3F9C" w:rsidRDefault="002641D2" w:rsidP="00683C91">
            <w:pPr>
              <w:spacing w:after="0"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 xml:space="preserve">Last Name:  </w:t>
            </w:r>
          </w:p>
        </w:tc>
        <w:tc>
          <w:tcPr>
            <w:tcW w:w="283" w:type="dxa"/>
            <w:tcBorders>
              <w:top w:val="single" w:sz="4" w:space="0" w:color="auto"/>
              <w:left w:val="nil"/>
              <w:bottom w:val="single" w:sz="4" w:space="0" w:color="auto"/>
              <w:right w:val="nil"/>
            </w:tcBorders>
            <w:shd w:val="clear" w:color="auto" w:fill="auto"/>
            <w:noWrap/>
            <w:vAlign w:val="bottom"/>
            <w:hideMark/>
          </w:tcPr>
          <w:p w14:paraId="21229964" w14:textId="77777777" w:rsidR="002641D2" w:rsidRPr="00FA3F9C" w:rsidRDefault="002641D2" w:rsidP="005965ED">
            <w:pPr>
              <w:spacing w:after="0"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 </w:t>
            </w:r>
          </w:p>
        </w:tc>
        <w:tc>
          <w:tcPr>
            <w:tcW w:w="283" w:type="dxa"/>
            <w:tcBorders>
              <w:top w:val="single" w:sz="4" w:space="0" w:color="auto"/>
              <w:left w:val="nil"/>
              <w:bottom w:val="single" w:sz="4" w:space="0" w:color="auto"/>
              <w:right w:val="nil"/>
            </w:tcBorders>
            <w:shd w:val="clear" w:color="auto" w:fill="auto"/>
            <w:noWrap/>
            <w:vAlign w:val="bottom"/>
            <w:hideMark/>
          </w:tcPr>
          <w:p w14:paraId="47636399" w14:textId="77777777" w:rsidR="002641D2" w:rsidRPr="00FA3F9C" w:rsidRDefault="002641D2" w:rsidP="005965ED">
            <w:pPr>
              <w:spacing w:after="0"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 </w:t>
            </w:r>
          </w:p>
        </w:tc>
        <w:tc>
          <w:tcPr>
            <w:tcW w:w="720" w:type="dxa"/>
            <w:tcBorders>
              <w:top w:val="single" w:sz="4" w:space="0" w:color="auto"/>
              <w:left w:val="nil"/>
              <w:bottom w:val="single" w:sz="4" w:space="0" w:color="auto"/>
              <w:right w:val="nil"/>
            </w:tcBorders>
            <w:shd w:val="clear" w:color="auto" w:fill="auto"/>
            <w:noWrap/>
            <w:vAlign w:val="bottom"/>
            <w:hideMark/>
          </w:tcPr>
          <w:p w14:paraId="4AF0CF5B" w14:textId="77777777" w:rsidR="002641D2" w:rsidRPr="00FA3F9C" w:rsidRDefault="002641D2" w:rsidP="005965ED">
            <w:pPr>
              <w:spacing w:after="0"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 </w:t>
            </w:r>
          </w:p>
        </w:tc>
        <w:tc>
          <w:tcPr>
            <w:tcW w:w="1664" w:type="dxa"/>
            <w:gridSpan w:val="2"/>
            <w:tcBorders>
              <w:top w:val="single" w:sz="4" w:space="0" w:color="auto"/>
              <w:left w:val="nil"/>
              <w:bottom w:val="single" w:sz="4" w:space="0" w:color="auto"/>
              <w:right w:val="nil"/>
            </w:tcBorders>
            <w:shd w:val="clear" w:color="auto" w:fill="auto"/>
            <w:noWrap/>
            <w:vAlign w:val="bottom"/>
            <w:hideMark/>
          </w:tcPr>
          <w:p w14:paraId="134FA9AE" w14:textId="77777777" w:rsidR="002641D2" w:rsidRPr="00FA3F9C" w:rsidRDefault="002641D2" w:rsidP="00683C91">
            <w:pPr>
              <w:spacing w:after="0"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 xml:space="preserve">First Name:  </w:t>
            </w:r>
          </w:p>
        </w:tc>
        <w:tc>
          <w:tcPr>
            <w:tcW w:w="283" w:type="dxa"/>
            <w:tcBorders>
              <w:top w:val="single" w:sz="4" w:space="0" w:color="auto"/>
              <w:left w:val="nil"/>
              <w:bottom w:val="single" w:sz="4" w:space="0" w:color="auto"/>
              <w:right w:val="nil"/>
            </w:tcBorders>
            <w:shd w:val="clear" w:color="auto" w:fill="auto"/>
            <w:noWrap/>
            <w:vAlign w:val="bottom"/>
            <w:hideMark/>
          </w:tcPr>
          <w:p w14:paraId="722D46F5" w14:textId="77777777" w:rsidR="002641D2" w:rsidRPr="00FA3F9C" w:rsidRDefault="002641D2" w:rsidP="005965ED">
            <w:pPr>
              <w:spacing w:after="0"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 </w:t>
            </w:r>
          </w:p>
        </w:tc>
        <w:tc>
          <w:tcPr>
            <w:tcW w:w="643" w:type="dxa"/>
            <w:tcBorders>
              <w:top w:val="single" w:sz="4" w:space="0" w:color="auto"/>
              <w:left w:val="nil"/>
              <w:bottom w:val="single" w:sz="4" w:space="0" w:color="auto"/>
              <w:right w:val="nil"/>
            </w:tcBorders>
            <w:shd w:val="clear" w:color="auto" w:fill="auto"/>
            <w:noWrap/>
            <w:vAlign w:val="bottom"/>
            <w:hideMark/>
          </w:tcPr>
          <w:p w14:paraId="4E082189" w14:textId="77777777" w:rsidR="002641D2" w:rsidRPr="00FA3F9C" w:rsidRDefault="002641D2" w:rsidP="005965ED">
            <w:pPr>
              <w:spacing w:after="0"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 </w:t>
            </w:r>
          </w:p>
        </w:tc>
        <w:tc>
          <w:tcPr>
            <w:tcW w:w="1890" w:type="dxa"/>
            <w:gridSpan w:val="3"/>
            <w:tcBorders>
              <w:top w:val="single" w:sz="4" w:space="0" w:color="auto"/>
              <w:left w:val="nil"/>
              <w:bottom w:val="single" w:sz="4" w:space="0" w:color="auto"/>
              <w:right w:val="nil"/>
            </w:tcBorders>
            <w:shd w:val="clear" w:color="auto" w:fill="auto"/>
            <w:noWrap/>
            <w:vAlign w:val="bottom"/>
            <w:hideMark/>
          </w:tcPr>
          <w:p w14:paraId="28FB5A6A" w14:textId="77777777" w:rsidR="002641D2" w:rsidRPr="00FA3F9C" w:rsidRDefault="002641D2" w:rsidP="00683C91">
            <w:pPr>
              <w:spacing w:after="0"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 xml:space="preserve">ID Number:  </w:t>
            </w:r>
          </w:p>
        </w:tc>
        <w:tc>
          <w:tcPr>
            <w:tcW w:w="347" w:type="dxa"/>
            <w:tcBorders>
              <w:top w:val="single" w:sz="4" w:space="0" w:color="auto"/>
              <w:left w:val="nil"/>
              <w:bottom w:val="single" w:sz="4" w:space="0" w:color="auto"/>
              <w:right w:val="nil"/>
            </w:tcBorders>
            <w:shd w:val="clear" w:color="auto" w:fill="auto"/>
            <w:noWrap/>
            <w:vAlign w:val="bottom"/>
            <w:hideMark/>
          </w:tcPr>
          <w:p w14:paraId="4DC85F96" w14:textId="77777777" w:rsidR="002641D2" w:rsidRPr="00FA3F9C" w:rsidRDefault="002641D2" w:rsidP="005965ED">
            <w:pPr>
              <w:spacing w:after="0"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 </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14:paraId="1B07D77C" w14:textId="77777777" w:rsidR="002641D2" w:rsidRPr="00FA3F9C" w:rsidRDefault="002641D2" w:rsidP="005965ED">
            <w:pPr>
              <w:spacing w:after="0"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 </w:t>
            </w:r>
          </w:p>
        </w:tc>
      </w:tr>
      <w:tr w:rsidR="002641D2" w:rsidRPr="00FA3F9C" w14:paraId="13731756" w14:textId="77777777" w:rsidTr="002A1632">
        <w:trPr>
          <w:trHeight w:val="368"/>
        </w:trPr>
        <w:tc>
          <w:tcPr>
            <w:tcW w:w="2780" w:type="dxa"/>
            <w:gridSpan w:val="2"/>
            <w:tcBorders>
              <w:top w:val="single" w:sz="4" w:space="0" w:color="auto"/>
              <w:left w:val="single" w:sz="4" w:space="0" w:color="auto"/>
              <w:bottom w:val="single" w:sz="4" w:space="0" w:color="auto"/>
              <w:right w:val="nil"/>
            </w:tcBorders>
            <w:shd w:val="clear" w:color="auto" w:fill="auto"/>
            <w:noWrap/>
            <w:vAlign w:val="bottom"/>
            <w:hideMark/>
          </w:tcPr>
          <w:p w14:paraId="06EE3366" w14:textId="77777777" w:rsidR="002641D2" w:rsidRPr="00FA3F9C" w:rsidRDefault="002641D2" w:rsidP="00683C91">
            <w:pPr>
              <w:spacing w:after="0"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 xml:space="preserve">Date of Birth:  </w:t>
            </w:r>
          </w:p>
        </w:tc>
        <w:tc>
          <w:tcPr>
            <w:tcW w:w="283" w:type="dxa"/>
            <w:tcBorders>
              <w:top w:val="nil"/>
              <w:left w:val="nil"/>
              <w:bottom w:val="single" w:sz="4" w:space="0" w:color="auto"/>
              <w:right w:val="nil"/>
            </w:tcBorders>
            <w:shd w:val="clear" w:color="auto" w:fill="auto"/>
            <w:noWrap/>
            <w:vAlign w:val="bottom"/>
            <w:hideMark/>
          </w:tcPr>
          <w:p w14:paraId="7B3678AA" w14:textId="77777777" w:rsidR="002641D2" w:rsidRPr="00FA3F9C" w:rsidRDefault="002641D2" w:rsidP="005965ED">
            <w:pPr>
              <w:spacing w:after="0"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 </w:t>
            </w:r>
          </w:p>
        </w:tc>
        <w:tc>
          <w:tcPr>
            <w:tcW w:w="720" w:type="dxa"/>
            <w:tcBorders>
              <w:top w:val="nil"/>
              <w:left w:val="nil"/>
              <w:bottom w:val="single" w:sz="4" w:space="0" w:color="auto"/>
              <w:right w:val="nil"/>
            </w:tcBorders>
            <w:shd w:val="clear" w:color="auto" w:fill="auto"/>
            <w:noWrap/>
            <w:vAlign w:val="bottom"/>
            <w:hideMark/>
          </w:tcPr>
          <w:p w14:paraId="73BFFCD4" w14:textId="77777777" w:rsidR="002641D2" w:rsidRPr="00FA3F9C" w:rsidRDefault="002641D2" w:rsidP="005965ED">
            <w:pPr>
              <w:spacing w:after="0"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 </w:t>
            </w:r>
          </w:p>
        </w:tc>
        <w:tc>
          <w:tcPr>
            <w:tcW w:w="960" w:type="dxa"/>
            <w:tcBorders>
              <w:top w:val="nil"/>
              <w:left w:val="nil"/>
              <w:bottom w:val="single" w:sz="4" w:space="0" w:color="auto"/>
              <w:right w:val="nil"/>
            </w:tcBorders>
            <w:shd w:val="clear" w:color="auto" w:fill="auto"/>
            <w:noWrap/>
            <w:vAlign w:val="bottom"/>
            <w:hideMark/>
          </w:tcPr>
          <w:p w14:paraId="27534096" w14:textId="77777777" w:rsidR="002641D2" w:rsidRPr="00FA3F9C" w:rsidRDefault="002641D2" w:rsidP="005965ED">
            <w:pPr>
              <w:spacing w:after="0"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 </w:t>
            </w:r>
          </w:p>
        </w:tc>
        <w:tc>
          <w:tcPr>
            <w:tcW w:w="987" w:type="dxa"/>
            <w:gridSpan w:val="2"/>
            <w:tcBorders>
              <w:top w:val="nil"/>
              <w:left w:val="nil"/>
              <w:bottom w:val="single" w:sz="4" w:space="0" w:color="auto"/>
              <w:right w:val="nil"/>
            </w:tcBorders>
            <w:shd w:val="clear" w:color="auto" w:fill="auto"/>
            <w:noWrap/>
            <w:vAlign w:val="bottom"/>
            <w:hideMark/>
          </w:tcPr>
          <w:p w14:paraId="3FE17FCD" w14:textId="77777777" w:rsidR="002641D2" w:rsidRPr="00FA3F9C" w:rsidRDefault="002641D2" w:rsidP="005965ED">
            <w:pPr>
              <w:spacing w:after="0"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 </w:t>
            </w:r>
          </w:p>
        </w:tc>
        <w:tc>
          <w:tcPr>
            <w:tcW w:w="960" w:type="dxa"/>
            <w:gridSpan w:val="2"/>
            <w:tcBorders>
              <w:top w:val="nil"/>
              <w:left w:val="nil"/>
              <w:bottom w:val="single" w:sz="4" w:space="0" w:color="auto"/>
              <w:right w:val="nil"/>
            </w:tcBorders>
            <w:shd w:val="clear" w:color="auto" w:fill="auto"/>
            <w:noWrap/>
            <w:vAlign w:val="bottom"/>
            <w:hideMark/>
          </w:tcPr>
          <w:p w14:paraId="48F0B5FC" w14:textId="77777777" w:rsidR="002641D2" w:rsidRPr="00FA3F9C" w:rsidRDefault="002641D2" w:rsidP="005965ED">
            <w:pPr>
              <w:spacing w:after="0"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 </w:t>
            </w:r>
          </w:p>
        </w:tc>
        <w:tc>
          <w:tcPr>
            <w:tcW w:w="960" w:type="dxa"/>
            <w:tcBorders>
              <w:top w:val="nil"/>
              <w:left w:val="nil"/>
              <w:bottom w:val="single" w:sz="4" w:space="0" w:color="auto"/>
              <w:right w:val="nil"/>
            </w:tcBorders>
            <w:shd w:val="clear" w:color="auto" w:fill="auto"/>
            <w:noWrap/>
            <w:vAlign w:val="bottom"/>
            <w:hideMark/>
          </w:tcPr>
          <w:p w14:paraId="55826E92" w14:textId="77777777" w:rsidR="002641D2" w:rsidRPr="00FA3F9C" w:rsidRDefault="002641D2" w:rsidP="005965ED">
            <w:pPr>
              <w:spacing w:after="0"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 </w:t>
            </w:r>
          </w:p>
        </w:tc>
        <w:tc>
          <w:tcPr>
            <w:tcW w:w="960" w:type="dxa"/>
            <w:gridSpan w:val="2"/>
            <w:tcBorders>
              <w:top w:val="nil"/>
              <w:left w:val="nil"/>
              <w:bottom w:val="single" w:sz="4" w:space="0" w:color="auto"/>
              <w:right w:val="nil"/>
            </w:tcBorders>
            <w:shd w:val="clear" w:color="auto" w:fill="auto"/>
            <w:noWrap/>
            <w:vAlign w:val="bottom"/>
            <w:hideMark/>
          </w:tcPr>
          <w:p w14:paraId="07D8B1B5" w14:textId="77777777" w:rsidR="002641D2" w:rsidRPr="00FA3F9C" w:rsidRDefault="002641D2" w:rsidP="005965ED">
            <w:pPr>
              <w:spacing w:after="0"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 </w:t>
            </w:r>
          </w:p>
        </w:tc>
        <w:tc>
          <w:tcPr>
            <w:tcW w:w="1460" w:type="dxa"/>
            <w:tcBorders>
              <w:top w:val="nil"/>
              <w:left w:val="nil"/>
              <w:bottom w:val="single" w:sz="4" w:space="0" w:color="auto"/>
              <w:right w:val="single" w:sz="4" w:space="0" w:color="auto"/>
            </w:tcBorders>
            <w:shd w:val="clear" w:color="auto" w:fill="auto"/>
            <w:noWrap/>
            <w:vAlign w:val="bottom"/>
            <w:hideMark/>
          </w:tcPr>
          <w:p w14:paraId="1F2617FD" w14:textId="77777777" w:rsidR="002641D2" w:rsidRPr="00FA3F9C" w:rsidRDefault="002641D2" w:rsidP="005965ED">
            <w:pPr>
              <w:spacing w:after="0"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 </w:t>
            </w:r>
          </w:p>
        </w:tc>
      </w:tr>
    </w:tbl>
    <w:p w14:paraId="4152EA3A" w14:textId="77777777" w:rsidR="002641D2" w:rsidRPr="00FA3F9C" w:rsidRDefault="002641D2" w:rsidP="003C19F8">
      <w:pPr>
        <w:spacing w:after="0"/>
        <w:rPr>
          <w:rFonts w:ascii="Arial" w:hAnsi="Arial" w:cs="Arial"/>
          <w:sz w:val="24"/>
          <w:szCs w:val="24"/>
        </w:rPr>
      </w:pPr>
    </w:p>
    <w:tbl>
      <w:tblPr>
        <w:tblW w:w="99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0"/>
        <w:gridCol w:w="1890"/>
      </w:tblGrid>
      <w:tr w:rsidR="002641D2" w:rsidRPr="00FA3F9C" w14:paraId="50B9909B" w14:textId="77777777" w:rsidTr="00260862">
        <w:tc>
          <w:tcPr>
            <w:tcW w:w="8100" w:type="dxa"/>
          </w:tcPr>
          <w:p w14:paraId="24F07E73" w14:textId="77777777" w:rsidR="002641D2" w:rsidRPr="00FA3F9C" w:rsidRDefault="002641D2" w:rsidP="002641D2">
            <w:pPr>
              <w:pStyle w:val="ListParagraph"/>
              <w:numPr>
                <w:ilvl w:val="0"/>
                <w:numId w:val="295"/>
              </w:numPr>
              <w:rPr>
                <w:rFonts w:ascii="Arial" w:hAnsi="Arial" w:cs="Arial"/>
                <w:sz w:val="24"/>
                <w:szCs w:val="24"/>
              </w:rPr>
            </w:pPr>
            <w:r w:rsidRPr="00FA3F9C">
              <w:rPr>
                <w:rFonts w:ascii="Arial" w:hAnsi="Arial" w:cs="Arial"/>
                <w:sz w:val="24"/>
                <w:szCs w:val="24"/>
              </w:rPr>
              <w:t>Does the patient have a diagnosis of asthma that is at least step 3 severity and have supporting documentation (PFTs or symptom scores)?</w:t>
            </w:r>
          </w:p>
          <w:p w14:paraId="392FD147" w14:textId="77777777" w:rsidR="002641D2" w:rsidRPr="00FA3F9C" w:rsidRDefault="002641D2" w:rsidP="00E06E52">
            <w:pPr>
              <w:rPr>
                <w:rFonts w:ascii="Arial" w:hAnsi="Arial" w:cs="Arial"/>
                <w:sz w:val="24"/>
                <w:szCs w:val="24"/>
              </w:rPr>
            </w:pPr>
            <w:r w:rsidRPr="00FA3F9C">
              <w:rPr>
                <w:rFonts w:ascii="Arial" w:hAnsi="Arial" w:cs="Arial"/>
                <w:b/>
                <w:sz w:val="24"/>
                <w:szCs w:val="24"/>
                <w:u w:val="single"/>
              </w:rPr>
              <w:t>Symptom scores</w:t>
            </w:r>
            <w:r w:rsidRPr="00FA3F9C">
              <w:rPr>
                <w:rFonts w:ascii="Arial" w:hAnsi="Arial" w:cs="Arial"/>
                <w:b/>
                <w:sz w:val="24"/>
                <w:szCs w:val="24"/>
              </w:rPr>
              <w:t xml:space="preserve"> consistent with </w:t>
            </w:r>
            <w:r w:rsidRPr="00FA3F9C">
              <w:rPr>
                <w:rFonts w:ascii="Arial" w:hAnsi="Arial" w:cs="Arial"/>
                <w:b/>
                <w:i/>
                <w:sz w:val="24"/>
                <w:szCs w:val="24"/>
                <w:u w:val="single"/>
              </w:rPr>
              <w:t>at least</w:t>
            </w:r>
            <w:r w:rsidRPr="00FA3F9C">
              <w:rPr>
                <w:rFonts w:ascii="Arial" w:hAnsi="Arial" w:cs="Arial"/>
                <w:b/>
                <w:sz w:val="24"/>
                <w:szCs w:val="24"/>
              </w:rPr>
              <w:t xml:space="preserve"> Step 3 severity are as follows:</w:t>
            </w:r>
            <w:r w:rsidRPr="00FA3F9C">
              <w:rPr>
                <w:rFonts w:ascii="Arial" w:hAnsi="Arial" w:cs="Arial"/>
                <w:sz w:val="24"/>
                <w:szCs w:val="24"/>
              </w:rPr>
              <w:t xml:space="preserve"> (fulfillment of 1 of the following indicates Step 3 severity)</w:t>
            </w:r>
          </w:p>
          <w:p w14:paraId="7A7C5FEA" w14:textId="77777777" w:rsidR="002641D2" w:rsidRPr="00FA3F9C" w:rsidRDefault="002641D2" w:rsidP="002641D2">
            <w:pPr>
              <w:numPr>
                <w:ilvl w:val="0"/>
                <w:numId w:val="296"/>
              </w:numPr>
              <w:spacing w:after="0" w:line="240" w:lineRule="auto"/>
              <w:ind w:firstLine="0"/>
              <w:rPr>
                <w:rFonts w:ascii="Arial" w:hAnsi="Arial" w:cs="Arial"/>
                <w:b/>
                <w:sz w:val="24"/>
                <w:szCs w:val="24"/>
              </w:rPr>
            </w:pPr>
            <w:r w:rsidRPr="00FA3F9C">
              <w:rPr>
                <w:rFonts w:ascii="Arial" w:hAnsi="Arial" w:cs="Arial"/>
                <w:b/>
                <w:sz w:val="24"/>
                <w:szCs w:val="24"/>
              </w:rPr>
              <w:t>Daily symptoms</w:t>
            </w:r>
          </w:p>
          <w:p w14:paraId="10788D05" w14:textId="77777777" w:rsidR="002641D2" w:rsidRPr="00FA3F9C" w:rsidRDefault="002641D2" w:rsidP="002641D2">
            <w:pPr>
              <w:numPr>
                <w:ilvl w:val="0"/>
                <w:numId w:val="296"/>
              </w:numPr>
              <w:spacing w:after="0" w:line="240" w:lineRule="auto"/>
              <w:ind w:firstLine="0"/>
              <w:rPr>
                <w:rFonts w:ascii="Arial" w:hAnsi="Arial" w:cs="Arial"/>
                <w:b/>
                <w:sz w:val="24"/>
                <w:szCs w:val="24"/>
              </w:rPr>
            </w:pPr>
            <w:r w:rsidRPr="00FA3F9C">
              <w:rPr>
                <w:rFonts w:ascii="Arial" w:hAnsi="Arial" w:cs="Arial"/>
                <w:b/>
                <w:sz w:val="24"/>
                <w:szCs w:val="24"/>
              </w:rPr>
              <w:t>&gt;1x/week nightly awakenings due to asthma symptoms</w:t>
            </w:r>
          </w:p>
          <w:p w14:paraId="7BC6B9C7" w14:textId="77777777" w:rsidR="002641D2" w:rsidRPr="00FA3F9C" w:rsidRDefault="002641D2" w:rsidP="002641D2">
            <w:pPr>
              <w:numPr>
                <w:ilvl w:val="0"/>
                <w:numId w:val="296"/>
              </w:numPr>
              <w:spacing w:after="0" w:line="240" w:lineRule="auto"/>
              <w:ind w:firstLine="0"/>
              <w:rPr>
                <w:rFonts w:ascii="Arial" w:hAnsi="Arial" w:cs="Arial"/>
                <w:b/>
                <w:sz w:val="24"/>
                <w:szCs w:val="24"/>
              </w:rPr>
            </w:pPr>
            <w:r w:rsidRPr="00FA3F9C">
              <w:rPr>
                <w:rFonts w:ascii="Arial" w:hAnsi="Arial" w:cs="Arial"/>
                <w:b/>
                <w:sz w:val="24"/>
                <w:szCs w:val="24"/>
              </w:rPr>
              <w:t>Daily use of SABA</w:t>
            </w:r>
          </w:p>
          <w:p w14:paraId="11D1F3A4" w14:textId="77777777" w:rsidR="002641D2" w:rsidRPr="00FA3F9C" w:rsidRDefault="002641D2" w:rsidP="002641D2">
            <w:pPr>
              <w:numPr>
                <w:ilvl w:val="0"/>
                <w:numId w:val="296"/>
              </w:numPr>
              <w:spacing w:after="0" w:line="240" w:lineRule="auto"/>
              <w:ind w:firstLine="0"/>
              <w:rPr>
                <w:rFonts w:ascii="Arial" w:hAnsi="Arial" w:cs="Arial"/>
                <w:b/>
                <w:sz w:val="24"/>
                <w:szCs w:val="24"/>
              </w:rPr>
            </w:pPr>
            <w:r w:rsidRPr="00FA3F9C">
              <w:rPr>
                <w:rFonts w:ascii="Arial" w:hAnsi="Arial" w:cs="Arial"/>
                <w:b/>
                <w:sz w:val="24"/>
                <w:szCs w:val="24"/>
              </w:rPr>
              <w:t>Some limitation with normal activity due to asthma symptoms</w:t>
            </w:r>
          </w:p>
          <w:p w14:paraId="3E7CA73B" w14:textId="77777777" w:rsidR="002641D2" w:rsidRPr="00FA3F9C" w:rsidRDefault="002641D2" w:rsidP="00E06E52">
            <w:pPr>
              <w:rPr>
                <w:rFonts w:ascii="Arial" w:hAnsi="Arial" w:cs="Arial"/>
                <w:b/>
                <w:sz w:val="24"/>
                <w:szCs w:val="24"/>
              </w:rPr>
            </w:pPr>
          </w:p>
          <w:p w14:paraId="4F28554E" w14:textId="77777777" w:rsidR="002641D2" w:rsidRPr="00FA3F9C" w:rsidRDefault="002641D2" w:rsidP="00E06E52">
            <w:pPr>
              <w:rPr>
                <w:rFonts w:ascii="Arial" w:hAnsi="Arial" w:cs="Arial"/>
                <w:b/>
                <w:sz w:val="24"/>
                <w:szCs w:val="24"/>
              </w:rPr>
            </w:pPr>
            <w:r w:rsidRPr="00FA3F9C">
              <w:rPr>
                <w:rFonts w:ascii="Arial" w:hAnsi="Arial" w:cs="Arial"/>
                <w:b/>
                <w:sz w:val="24"/>
                <w:szCs w:val="24"/>
                <w:u w:val="single"/>
              </w:rPr>
              <w:t>PFT’s</w:t>
            </w:r>
            <w:r w:rsidRPr="00FA3F9C">
              <w:rPr>
                <w:rFonts w:ascii="Arial" w:hAnsi="Arial" w:cs="Arial"/>
                <w:b/>
                <w:sz w:val="24"/>
                <w:szCs w:val="24"/>
              </w:rPr>
              <w:t>:</w:t>
            </w:r>
          </w:p>
          <w:p w14:paraId="595D6721" w14:textId="77777777" w:rsidR="002641D2" w:rsidRPr="00FA3F9C" w:rsidRDefault="002641D2" w:rsidP="002641D2">
            <w:pPr>
              <w:numPr>
                <w:ilvl w:val="0"/>
                <w:numId w:val="297"/>
              </w:numPr>
              <w:spacing w:after="0" w:line="240" w:lineRule="auto"/>
              <w:ind w:firstLine="0"/>
              <w:rPr>
                <w:rFonts w:ascii="Arial" w:hAnsi="Arial" w:cs="Arial"/>
                <w:b/>
                <w:sz w:val="24"/>
                <w:szCs w:val="24"/>
              </w:rPr>
            </w:pPr>
            <w:r w:rsidRPr="00FA3F9C">
              <w:rPr>
                <w:rFonts w:ascii="Arial" w:hAnsi="Arial" w:cs="Arial"/>
                <w:b/>
                <w:sz w:val="24"/>
                <w:szCs w:val="24"/>
              </w:rPr>
              <w:t>FEV1 &lt;80% or FEV1/FVC reduced 5% or more</w:t>
            </w:r>
          </w:p>
          <w:p w14:paraId="6F4A3600" w14:textId="77777777" w:rsidR="002641D2" w:rsidRPr="00FA3F9C" w:rsidRDefault="002641D2" w:rsidP="00E06E52">
            <w:pPr>
              <w:pStyle w:val="ListParagraph"/>
              <w:rPr>
                <w:rFonts w:ascii="Arial" w:hAnsi="Arial" w:cs="Arial"/>
                <w:sz w:val="24"/>
                <w:szCs w:val="24"/>
              </w:rPr>
            </w:pPr>
          </w:p>
        </w:tc>
        <w:tc>
          <w:tcPr>
            <w:tcW w:w="1890" w:type="dxa"/>
          </w:tcPr>
          <w:p w14:paraId="0D06961D" w14:textId="77777777" w:rsidR="002641D2" w:rsidRPr="00FA3F9C" w:rsidRDefault="002641D2" w:rsidP="00A00023">
            <w:pPr>
              <w:rPr>
                <w:rFonts w:ascii="Arial" w:hAnsi="Arial" w:cs="Arial"/>
                <w:sz w:val="24"/>
                <w:szCs w:val="24"/>
              </w:rPr>
            </w:pPr>
            <w:r w:rsidRPr="00FA3F9C">
              <w:rPr>
                <w:rFonts w:ascii="Segoe UI Symbol" w:eastAsia="MS Gothic" w:hAnsi="Segoe UI Symbol" w:cs="Segoe UI Symbol"/>
                <w:color w:val="000000"/>
                <w:sz w:val="24"/>
                <w:szCs w:val="24"/>
              </w:rPr>
              <w:lastRenderedPageBreak/>
              <w:t>☐</w:t>
            </w:r>
            <w:r w:rsidRPr="00FA3F9C">
              <w:rPr>
                <w:rFonts w:ascii="Arial" w:hAnsi="Arial" w:cs="Arial"/>
                <w:sz w:val="24"/>
                <w:szCs w:val="24"/>
              </w:rPr>
              <w:t xml:space="preserve"> Yes         </w:t>
            </w:r>
            <w:r w:rsidRPr="00FA3F9C">
              <w:rPr>
                <w:rFonts w:ascii="Segoe UI Symbol" w:eastAsia="MS Gothic" w:hAnsi="Segoe UI Symbol" w:cs="Segoe UI Symbol"/>
                <w:color w:val="000000"/>
                <w:sz w:val="24"/>
                <w:szCs w:val="24"/>
              </w:rPr>
              <w:t>☐</w:t>
            </w:r>
            <w:r w:rsidRPr="00FA3F9C">
              <w:rPr>
                <w:rFonts w:ascii="Arial" w:hAnsi="Arial" w:cs="Arial"/>
                <w:sz w:val="24"/>
                <w:szCs w:val="24"/>
              </w:rPr>
              <w:t xml:space="preserve">  No</w:t>
            </w:r>
          </w:p>
        </w:tc>
      </w:tr>
      <w:tr w:rsidR="002641D2" w:rsidRPr="00FA3F9C" w14:paraId="6453D793" w14:textId="77777777" w:rsidTr="00260862">
        <w:tc>
          <w:tcPr>
            <w:tcW w:w="8100" w:type="dxa"/>
          </w:tcPr>
          <w:p w14:paraId="79ED5B61" w14:textId="77777777" w:rsidR="002641D2" w:rsidRPr="00FA3F9C" w:rsidRDefault="002641D2" w:rsidP="002641D2">
            <w:pPr>
              <w:pStyle w:val="ListParagraph"/>
              <w:numPr>
                <w:ilvl w:val="0"/>
                <w:numId w:val="295"/>
              </w:numPr>
              <w:rPr>
                <w:rFonts w:ascii="Arial" w:hAnsi="Arial" w:cs="Arial"/>
                <w:sz w:val="24"/>
                <w:szCs w:val="24"/>
              </w:rPr>
            </w:pPr>
            <w:r w:rsidRPr="00FA3F9C">
              <w:rPr>
                <w:rFonts w:ascii="Arial" w:hAnsi="Arial" w:cs="Arial"/>
                <w:sz w:val="24"/>
                <w:szCs w:val="24"/>
              </w:rPr>
              <w:t>Has the patient been on a trial of at least three months of a single agent inhaled corticosteroid and the asthma symptoms are not adequately controlled?</w:t>
            </w:r>
          </w:p>
        </w:tc>
        <w:tc>
          <w:tcPr>
            <w:tcW w:w="1890" w:type="dxa"/>
          </w:tcPr>
          <w:p w14:paraId="21D7869C" w14:textId="77777777" w:rsidR="002641D2" w:rsidRPr="00FA3F9C" w:rsidRDefault="002641D2" w:rsidP="00A00023">
            <w:pPr>
              <w:rPr>
                <w:rFonts w:ascii="Arial" w:eastAsia="MS Gothic" w:hAnsi="Arial" w:cs="Arial"/>
                <w:color w:val="000000"/>
                <w:sz w:val="24"/>
                <w:szCs w:val="24"/>
              </w:rPr>
            </w:pPr>
            <w:r w:rsidRPr="00FA3F9C">
              <w:rPr>
                <w:rFonts w:ascii="Segoe UI Symbol" w:eastAsia="MS Gothic" w:hAnsi="Segoe UI Symbol" w:cs="Segoe UI Symbol"/>
                <w:color w:val="000000"/>
                <w:sz w:val="24"/>
                <w:szCs w:val="24"/>
              </w:rPr>
              <w:t>☐</w:t>
            </w:r>
            <w:r w:rsidRPr="00FA3F9C">
              <w:rPr>
                <w:rFonts w:ascii="Arial" w:hAnsi="Arial" w:cs="Arial"/>
                <w:sz w:val="24"/>
                <w:szCs w:val="24"/>
              </w:rPr>
              <w:t xml:space="preserve"> Yes         </w:t>
            </w:r>
            <w:r w:rsidRPr="00FA3F9C">
              <w:rPr>
                <w:rFonts w:ascii="Segoe UI Symbol" w:eastAsia="MS Gothic" w:hAnsi="Segoe UI Symbol" w:cs="Segoe UI Symbol"/>
                <w:color w:val="000000"/>
                <w:sz w:val="24"/>
                <w:szCs w:val="24"/>
              </w:rPr>
              <w:t>☐</w:t>
            </w:r>
            <w:r w:rsidRPr="00FA3F9C">
              <w:rPr>
                <w:rFonts w:ascii="Arial" w:hAnsi="Arial" w:cs="Arial"/>
                <w:sz w:val="24"/>
                <w:szCs w:val="24"/>
              </w:rPr>
              <w:t xml:space="preserve">  No</w:t>
            </w:r>
          </w:p>
        </w:tc>
      </w:tr>
    </w:tbl>
    <w:p w14:paraId="7F82187C" w14:textId="77777777" w:rsidR="002641D2" w:rsidRPr="00FA3F9C" w:rsidRDefault="002641D2" w:rsidP="00961F22">
      <w:pPr>
        <w:spacing w:after="0"/>
        <w:rPr>
          <w:rFonts w:ascii="Arial" w:hAnsi="Arial" w:cs="Arial"/>
          <w:sz w:val="24"/>
          <w:szCs w:val="24"/>
        </w:rPr>
      </w:pPr>
    </w:p>
    <w:p w14:paraId="3CF25771" w14:textId="77777777" w:rsidR="002641D2" w:rsidRPr="00FA3F9C" w:rsidRDefault="002641D2" w:rsidP="00961F22">
      <w:pPr>
        <w:spacing w:after="0"/>
        <w:rPr>
          <w:rFonts w:ascii="Arial" w:hAnsi="Arial" w:cs="Arial"/>
          <w:sz w:val="24"/>
          <w:szCs w:val="24"/>
        </w:rPr>
      </w:pPr>
    </w:p>
    <w:tbl>
      <w:tblPr>
        <w:tblW w:w="9920" w:type="dxa"/>
        <w:tblLook w:val="04A0" w:firstRow="1" w:lastRow="0" w:firstColumn="1" w:lastColumn="0" w:noHBand="0" w:noVBand="1"/>
      </w:tblPr>
      <w:tblGrid>
        <w:gridCol w:w="2436"/>
        <w:gridCol w:w="283"/>
        <w:gridCol w:w="283"/>
        <w:gridCol w:w="720"/>
        <w:gridCol w:w="1310"/>
        <w:gridCol w:w="960"/>
        <w:gridCol w:w="960"/>
        <w:gridCol w:w="960"/>
        <w:gridCol w:w="960"/>
        <w:gridCol w:w="1460"/>
      </w:tblGrid>
      <w:tr w:rsidR="002641D2" w:rsidRPr="00FA3F9C" w14:paraId="51BA6729" w14:textId="77777777" w:rsidTr="005965ED">
        <w:trPr>
          <w:trHeight w:val="288"/>
        </w:trPr>
        <w:tc>
          <w:tcPr>
            <w:tcW w:w="2940" w:type="dxa"/>
            <w:gridSpan w:val="3"/>
            <w:tcBorders>
              <w:top w:val="single" w:sz="4" w:space="0" w:color="auto"/>
              <w:left w:val="single" w:sz="4" w:space="0" w:color="auto"/>
              <w:bottom w:val="nil"/>
              <w:right w:val="nil"/>
            </w:tcBorders>
            <w:shd w:val="clear" w:color="000000" w:fill="404040"/>
            <w:noWrap/>
            <w:vAlign w:val="bottom"/>
            <w:hideMark/>
          </w:tcPr>
          <w:p w14:paraId="38115069" w14:textId="77777777" w:rsidR="002641D2" w:rsidRPr="00FA3F9C" w:rsidRDefault="002641D2" w:rsidP="005965ED">
            <w:pPr>
              <w:spacing w:after="0" w:line="240" w:lineRule="auto"/>
              <w:rPr>
                <w:rFonts w:ascii="Arial" w:eastAsia="Times New Roman" w:hAnsi="Arial" w:cs="Arial"/>
                <w:b/>
                <w:bCs/>
                <w:color w:val="FFFFFF"/>
                <w:sz w:val="24"/>
                <w:szCs w:val="24"/>
              </w:rPr>
            </w:pPr>
            <w:r w:rsidRPr="00FA3F9C">
              <w:rPr>
                <w:rFonts w:ascii="Arial" w:eastAsia="Times New Roman" w:hAnsi="Arial" w:cs="Arial"/>
                <w:b/>
                <w:bCs/>
                <w:color w:val="FFFFFF"/>
                <w:sz w:val="24"/>
                <w:szCs w:val="24"/>
              </w:rPr>
              <w:t>PRESCRIBER INFORMATION</w:t>
            </w:r>
          </w:p>
        </w:tc>
        <w:tc>
          <w:tcPr>
            <w:tcW w:w="720" w:type="dxa"/>
            <w:tcBorders>
              <w:top w:val="single" w:sz="4" w:space="0" w:color="auto"/>
              <w:left w:val="nil"/>
              <w:bottom w:val="nil"/>
              <w:right w:val="nil"/>
            </w:tcBorders>
            <w:shd w:val="clear" w:color="000000" w:fill="404040"/>
            <w:noWrap/>
            <w:vAlign w:val="bottom"/>
            <w:hideMark/>
          </w:tcPr>
          <w:p w14:paraId="0B469521" w14:textId="77777777" w:rsidR="002641D2" w:rsidRPr="00FA3F9C" w:rsidRDefault="002641D2" w:rsidP="005965ED">
            <w:pPr>
              <w:spacing w:after="0" w:line="240" w:lineRule="auto"/>
              <w:rPr>
                <w:rFonts w:ascii="Arial" w:eastAsia="Times New Roman" w:hAnsi="Arial" w:cs="Arial"/>
                <w:color w:val="FFFFFF"/>
                <w:sz w:val="24"/>
                <w:szCs w:val="24"/>
              </w:rPr>
            </w:pPr>
            <w:r w:rsidRPr="00FA3F9C">
              <w:rPr>
                <w:rFonts w:ascii="Arial" w:eastAsia="Times New Roman" w:hAnsi="Arial" w:cs="Arial"/>
                <w:color w:val="FFFFFF"/>
                <w:sz w:val="24"/>
                <w:szCs w:val="24"/>
              </w:rPr>
              <w:t> </w:t>
            </w:r>
          </w:p>
        </w:tc>
        <w:tc>
          <w:tcPr>
            <w:tcW w:w="960" w:type="dxa"/>
            <w:tcBorders>
              <w:top w:val="nil"/>
              <w:left w:val="nil"/>
              <w:bottom w:val="nil"/>
              <w:right w:val="nil"/>
            </w:tcBorders>
            <w:shd w:val="clear" w:color="000000" w:fill="404040"/>
            <w:noWrap/>
            <w:vAlign w:val="bottom"/>
            <w:hideMark/>
          </w:tcPr>
          <w:p w14:paraId="2DD3C352" w14:textId="77777777" w:rsidR="002641D2" w:rsidRPr="00FA3F9C" w:rsidRDefault="002641D2" w:rsidP="005965ED">
            <w:pPr>
              <w:spacing w:after="0" w:line="240" w:lineRule="auto"/>
              <w:rPr>
                <w:rFonts w:ascii="Arial" w:eastAsia="Times New Roman" w:hAnsi="Arial" w:cs="Arial"/>
                <w:color w:val="FFFFFF"/>
                <w:sz w:val="24"/>
                <w:szCs w:val="24"/>
              </w:rPr>
            </w:pPr>
            <w:r w:rsidRPr="00FA3F9C">
              <w:rPr>
                <w:rFonts w:ascii="Arial" w:eastAsia="Times New Roman" w:hAnsi="Arial" w:cs="Arial"/>
                <w:color w:val="FFFFFF"/>
                <w:sz w:val="24"/>
                <w:szCs w:val="24"/>
              </w:rPr>
              <w:t> </w:t>
            </w:r>
          </w:p>
        </w:tc>
        <w:tc>
          <w:tcPr>
            <w:tcW w:w="960" w:type="dxa"/>
            <w:tcBorders>
              <w:top w:val="nil"/>
              <w:left w:val="nil"/>
              <w:bottom w:val="nil"/>
              <w:right w:val="nil"/>
            </w:tcBorders>
            <w:shd w:val="clear" w:color="000000" w:fill="404040"/>
            <w:noWrap/>
            <w:vAlign w:val="bottom"/>
            <w:hideMark/>
          </w:tcPr>
          <w:p w14:paraId="2FF8DA56" w14:textId="77777777" w:rsidR="002641D2" w:rsidRPr="00FA3F9C" w:rsidRDefault="002641D2" w:rsidP="005965ED">
            <w:pPr>
              <w:spacing w:after="0" w:line="240" w:lineRule="auto"/>
              <w:rPr>
                <w:rFonts w:ascii="Arial" w:eastAsia="Times New Roman" w:hAnsi="Arial" w:cs="Arial"/>
                <w:color w:val="FFFFFF"/>
                <w:sz w:val="24"/>
                <w:szCs w:val="24"/>
              </w:rPr>
            </w:pPr>
            <w:r w:rsidRPr="00FA3F9C">
              <w:rPr>
                <w:rFonts w:ascii="Arial" w:eastAsia="Times New Roman" w:hAnsi="Arial" w:cs="Arial"/>
                <w:color w:val="FFFFFF"/>
                <w:sz w:val="24"/>
                <w:szCs w:val="24"/>
              </w:rPr>
              <w:t> </w:t>
            </w:r>
          </w:p>
        </w:tc>
        <w:tc>
          <w:tcPr>
            <w:tcW w:w="960" w:type="dxa"/>
            <w:tcBorders>
              <w:top w:val="nil"/>
              <w:left w:val="nil"/>
              <w:bottom w:val="nil"/>
              <w:right w:val="nil"/>
            </w:tcBorders>
            <w:shd w:val="clear" w:color="000000" w:fill="404040"/>
            <w:noWrap/>
            <w:vAlign w:val="bottom"/>
            <w:hideMark/>
          </w:tcPr>
          <w:p w14:paraId="78DCDBE5" w14:textId="77777777" w:rsidR="002641D2" w:rsidRPr="00FA3F9C" w:rsidRDefault="002641D2" w:rsidP="005965ED">
            <w:pPr>
              <w:spacing w:after="0" w:line="240" w:lineRule="auto"/>
              <w:rPr>
                <w:rFonts w:ascii="Arial" w:eastAsia="Times New Roman" w:hAnsi="Arial" w:cs="Arial"/>
                <w:color w:val="FFFFFF"/>
                <w:sz w:val="24"/>
                <w:szCs w:val="24"/>
              </w:rPr>
            </w:pPr>
            <w:r w:rsidRPr="00FA3F9C">
              <w:rPr>
                <w:rFonts w:ascii="Arial" w:eastAsia="Times New Roman" w:hAnsi="Arial" w:cs="Arial"/>
                <w:color w:val="FFFFFF"/>
                <w:sz w:val="24"/>
                <w:szCs w:val="24"/>
              </w:rPr>
              <w:t> </w:t>
            </w:r>
          </w:p>
        </w:tc>
        <w:tc>
          <w:tcPr>
            <w:tcW w:w="960" w:type="dxa"/>
            <w:tcBorders>
              <w:top w:val="nil"/>
              <w:left w:val="nil"/>
              <w:bottom w:val="nil"/>
              <w:right w:val="nil"/>
            </w:tcBorders>
            <w:shd w:val="clear" w:color="000000" w:fill="404040"/>
            <w:noWrap/>
            <w:vAlign w:val="bottom"/>
            <w:hideMark/>
          </w:tcPr>
          <w:p w14:paraId="4BECEB68" w14:textId="77777777" w:rsidR="002641D2" w:rsidRPr="00FA3F9C" w:rsidRDefault="002641D2" w:rsidP="005965ED">
            <w:pPr>
              <w:spacing w:after="0" w:line="240" w:lineRule="auto"/>
              <w:rPr>
                <w:rFonts w:ascii="Arial" w:eastAsia="Times New Roman" w:hAnsi="Arial" w:cs="Arial"/>
                <w:color w:val="FFFFFF"/>
                <w:sz w:val="24"/>
                <w:szCs w:val="24"/>
              </w:rPr>
            </w:pPr>
            <w:r w:rsidRPr="00FA3F9C">
              <w:rPr>
                <w:rFonts w:ascii="Arial" w:eastAsia="Times New Roman" w:hAnsi="Arial" w:cs="Arial"/>
                <w:color w:val="FFFFFF"/>
                <w:sz w:val="24"/>
                <w:szCs w:val="24"/>
              </w:rPr>
              <w:t> </w:t>
            </w:r>
          </w:p>
        </w:tc>
        <w:tc>
          <w:tcPr>
            <w:tcW w:w="960" w:type="dxa"/>
            <w:tcBorders>
              <w:top w:val="nil"/>
              <w:left w:val="nil"/>
              <w:bottom w:val="nil"/>
              <w:right w:val="nil"/>
            </w:tcBorders>
            <w:shd w:val="clear" w:color="000000" w:fill="404040"/>
            <w:noWrap/>
            <w:vAlign w:val="bottom"/>
            <w:hideMark/>
          </w:tcPr>
          <w:p w14:paraId="5B0FE180" w14:textId="77777777" w:rsidR="002641D2" w:rsidRPr="00FA3F9C" w:rsidRDefault="002641D2" w:rsidP="005965ED">
            <w:pPr>
              <w:spacing w:after="0" w:line="240" w:lineRule="auto"/>
              <w:rPr>
                <w:rFonts w:ascii="Arial" w:eastAsia="Times New Roman" w:hAnsi="Arial" w:cs="Arial"/>
                <w:color w:val="FFFFFF"/>
                <w:sz w:val="24"/>
                <w:szCs w:val="24"/>
              </w:rPr>
            </w:pPr>
            <w:r w:rsidRPr="00FA3F9C">
              <w:rPr>
                <w:rFonts w:ascii="Arial" w:eastAsia="Times New Roman" w:hAnsi="Arial" w:cs="Arial"/>
                <w:color w:val="FFFFFF"/>
                <w:sz w:val="24"/>
                <w:szCs w:val="24"/>
              </w:rPr>
              <w:t> </w:t>
            </w:r>
          </w:p>
        </w:tc>
        <w:tc>
          <w:tcPr>
            <w:tcW w:w="1460" w:type="dxa"/>
            <w:tcBorders>
              <w:top w:val="single" w:sz="4" w:space="0" w:color="auto"/>
              <w:left w:val="nil"/>
              <w:bottom w:val="nil"/>
              <w:right w:val="single" w:sz="4" w:space="0" w:color="auto"/>
            </w:tcBorders>
            <w:shd w:val="clear" w:color="000000" w:fill="404040"/>
            <w:noWrap/>
            <w:vAlign w:val="bottom"/>
            <w:hideMark/>
          </w:tcPr>
          <w:p w14:paraId="0B4ADAD9" w14:textId="77777777" w:rsidR="002641D2" w:rsidRPr="00FA3F9C" w:rsidRDefault="002641D2" w:rsidP="005965ED">
            <w:pPr>
              <w:spacing w:after="0" w:line="240" w:lineRule="auto"/>
              <w:rPr>
                <w:rFonts w:ascii="Arial" w:eastAsia="Times New Roman" w:hAnsi="Arial" w:cs="Arial"/>
                <w:color w:val="FFFFFF"/>
                <w:sz w:val="24"/>
                <w:szCs w:val="24"/>
              </w:rPr>
            </w:pPr>
            <w:r w:rsidRPr="00FA3F9C">
              <w:rPr>
                <w:rFonts w:ascii="Arial" w:eastAsia="Times New Roman" w:hAnsi="Arial" w:cs="Arial"/>
                <w:color w:val="FFFFFF"/>
                <w:sz w:val="24"/>
                <w:szCs w:val="24"/>
              </w:rPr>
              <w:t> </w:t>
            </w:r>
          </w:p>
        </w:tc>
      </w:tr>
      <w:tr w:rsidR="002641D2" w:rsidRPr="00FA3F9C" w14:paraId="498CF4FB" w14:textId="77777777" w:rsidTr="005965ED">
        <w:trPr>
          <w:trHeight w:val="288"/>
        </w:trPr>
        <w:tc>
          <w:tcPr>
            <w:tcW w:w="2436" w:type="dxa"/>
            <w:tcBorders>
              <w:top w:val="single" w:sz="4" w:space="0" w:color="auto"/>
              <w:left w:val="single" w:sz="4" w:space="0" w:color="auto"/>
              <w:bottom w:val="single" w:sz="4" w:space="0" w:color="auto"/>
              <w:right w:val="nil"/>
            </w:tcBorders>
            <w:shd w:val="clear" w:color="auto" w:fill="auto"/>
            <w:noWrap/>
            <w:vAlign w:val="bottom"/>
            <w:hideMark/>
          </w:tcPr>
          <w:p w14:paraId="77146FCD" w14:textId="77777777" w:rsidR="002641D2" w:rsidRPr="00FA3F9C" w:rsidRDefault="002641D2" w:rsidP="005965ED">
            <w:pPr>
              <w:spacing w:after="0"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 xml:space="preserve">Prescriber </w:t>
            </w:r>
          </w:p>
        </w:tc>
        <w:tc>
          <w:tcPr>
            <w:tcW w:w="252" w:type="dxa"/>
            <w:tcBorders>
              <w:top w:val="single" w:sz="4" w:space="0" w:color="auto"/>
              <w:left w:val="nil"/>
              <w:bottom w:val="single" w:sz="4" w:space="0" w:color="auto"/>
              <w:right w:val="nil"/>
            </w:tcBorders>
            <w:shd w:val="clear" w:color="auto" w:fill="auto"/>
            <w:noWrap/>
            <w:vAlign w:val="bottom"/>
            <w:hideMark/>
          </w:tcPr>
          <w:p w14:paraId="6611F87E" w14:textId="77777777" w:rsidR="002641D2" w:rsidRPr="00FA3F9C" w:rsidRDefault="002641D2" w:rsidP="005965ED">
            <w:pPr>
              <w:spacing w:after="0"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 </w:t>
            </w:r>
          </w:p>
        </w:tc>
        <w:tc>
          <w:tcPr>
            <w:tcW w:w="252" w:type="dxa"/>
            <w:tcBorders>
              <w:top w:val="single" w:sz="4" w:space="0" w:color="auto"/>
              <w:left w:val="nil"/>
              <w:bottom w:val="single" w:sz="4" w:space="0" w:color="auto"/>
              <w:right w:val="nil"/>
            </w:tcBorders>
            <w:shd w:val="clear" w:color="auto" w:fill="auto"/>
            <w:noWrap/>
            <w:vAlign w:val="bottom"/>
            <w:hideMark/>
          </w:tcPr>
          <w:p w14:paraId="5A76DEB3" w14:textId="77777777" w:rsidR="002641D2" w:rsidRPr="00FA3F9C" w:rsidRDefault="002641D2" w:rsidP="005965ED">
            <w:pPr>
              <w:spacing w:after="0"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 </w:t>
            </w:r>
          </w:p>
        </w:tc>
        <w:tc>
          <w:tcPr>
            <w:tcW w:w="720" w:type="dxa"/>
            <w:tcBorders>
              <w:top w:val="single" w:sz="4" w:space="0" w:color="auto"/>
              <w:left w:val="nil"/>
              <w:bottom w:val="single" w:sz="4" w:space="0" w:color="auto"/>
              <w:right w:val="nil"/>
            </w:tcBorders>
            <w:shd w:val="clear" w:color="auto" w:fill="auto"/>
            <w:noWrap/>
            <w:vAlign w:val="bottom"/>
            <w:hideMark/>
          </w:tcPr>
          <w:p w14:paraId="1D4A6C92" w14:textId="77777777" w:rsidR="002641D2" w:rsidRPr="00FA3F9C" w:rsidRDefault="002641D2" w:rsidP="005965ED">
            <w:pPr>
              <w:spacing w:after="0"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 </w:t>
            </w:r>
          </w:p>
        </w:tc>
        <w:tc>
          <w:tcPr>
            <w:tcW w:w="960" w:type="dxa"/>
            <w:tcBorders>
              <w:top w:val="single" w:sz="4" w:space="0" w:color="auto"/>
              <w:left w:val="nil"/>
              <w:bottom w:val="single" w:sz="4" w:space="0" w:color="auto"/>
              <w:right w:val="nil"/>
            </w:tcBorders>
            <w:shd w:val="clear" w:color="auto" w:fill="auto"/>
            <w:noWrap/>
            <w:vAlign w:val="bottom"/>
            <w:hideMark/>
          </w:tcPr>
          <w:p w14:paraId="4B33D3F6" w14:textId="77777777" w:rsidR="002641D2" w:rsidRPr="00FA3F9C" w:rsidRDefault="002641D2" w:rsidP="005965ED">
            <w:pPr>
              <w:spacing w:after="0" w:line="240" w:lineRule="auto"/>
              <w:rPr>
                <w:rFonts w:ascii="Arial" w:eastAsia="Times New Roman" w:hAnsi="Arial" w:cs="Arial"/>
                <w:color w:val="000000"/>
                <w:sz w:val="24"/>
                <w:szCs w:val="24"/>
              </w:rPr>
            </w:pPr>
            <w:proofErr w:type="spellStart"/>
            <w:r w:rsidRPr="00FA3F9C">
              <w:rPr>
                <w:rFonts w:ascii="Arial" w:eastAsia="Times New Roman" w:hAnsi="Arial" w:cs="Arial"/>
                <w:color w:val="000000"/>
                <w:sz w:val="24"/>
                <w:szCs w:val="24"/>
              </w:rPr>
              <w:t>Speciality</w:t>
            </w:r>
            <w:proofErr w:type="spellEnd"/>
            <w:r w:rsidRPr="00FA3F9C">
              <w:rPr>
                <w:rFonts w:ascii="Arial" w:eastAsia="Times New Roman" w:hAnsi="Arial" w:cs="Arial"/>
                <w:color w:val="000000"/>
                <w:sz w:val="24"/>
                <w:szCs w:val="24"/>
              </w:rPr>
              <w:t>:</w:t>
            </w:r>
          </w:p>
        </w:tc>
        <w:tc>
          <w:tcPr>
            <w:tcW w:w="960" w:type="dxa"/>
            <w:tcBorders>
              <w:top w:val="single" w:sz="4" w:space="0" w:color="auto"/>
              <w:left w:val="nil"/>
              <w:bottom w:val="single" w:sz="4" w:space="0" w:color="auto"/>
              <w:right w:val="nil"/>
            </w:tcBorders>
            <w:shd w:val="clear" w:color="auto" w:fill="auto"/>
            <w:noWrap/>
            <w:vAlign w:val="bottom"/>
            <w:hideMark/>
          </w:tcPr>
          <w:p w14:paraId="1E5763AE" w14:textId="77777777" w:rsidR="002641D2" w:rsidRPr="00FA3F9C" w:rsidRDefault="002641D2" w:rsidP="005965ED">
            <w:pPr>
              <w:spacing w:after="0"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 </w:t>
            </w:r>
          </w:p>
        </w:tc>
        <w:tc>
          <w:tcPr>
            <w:tcW w:w="960" w:type="dxa"/>
            <w:tcBorders>
              <w:top w:val="single" w:sz="4" w:space="0" w:color="auto"/>
              <w:left w:val="nil"/>
              <w:bottom w:val="single" w:sz="4" w:space="0" w:color="auto"/>
              <w:right w:val="nil"/>
            </w:tcBorders>
            <w:shd w:val="clear" w:color="auto" w:fill="auto"/>
            <w:noWrap/>
            <w:vAlign w:val="bottom"/>
            <w:hideMark/>
          </w:tcPr>
          <w:p w14:paraId="1997BF7D" w14:textId="77777777" w:rsidR="002641D2" w:rsidRPr="00FA3F9C" w:rsidRDefault="002641D2" w:rsidP="005965ED">
            <w:pPr>
              <w:spacing w:after="0"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 </w:t>
            </w:r>
          </w:p>
        </w:tc>
        <w:tc>
          <w:tcPr>
            <w:tcW w:w="1920" w:type="dxa"/>
            <w:gridSpan w:val="2"/>
            <w:tcBorders>
              <w:top w:val="single" w:sz="4" w:space="0" w:color="auto"/>
              <w:left w:val="nil"/>
              <w:bottom w:val="single" w:sz="4" w:space="0" w:color="auto"/>
              <w:right w:val="nil"/>
            </w:tcBorders>
            <w:shd w:val="clear" w:color="auto" w:fill="auto"/>
            <w:noWrap/>
            <w:vAlign w:val="bottom"/>
            <w:hideMark/>
          </w:tcPr>
          <w:p w14:paraId="6D99D781" w14:textId="77777777" w:rsidR="002641D2" w:rsidRPr="00FA3F9C" w:rsidRDefault="002641D2" w:rsidP="005965ED">
            <w:pPr>
              <w:spacing w:after="0" w:line="240" w:lineRule="auto"/>
              <w:rPr>
                <w:rFonts w:ascii="Arial" w:eastAsia="Times New Roman" w:hAnsi="Arial" w:cs="Arial"/>
                <w:color w:val="000000"/>
                <w:sz w:val="24"/>
                <w:szCs w:val="24"/>
              </w:rPr>
            </w:pP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14:paraId="41ED5970" w14:textId="77777777" w:rsidR="002641D2" w:rsidRPr="00FA3F9C" w:rsidRDefault="002641D2" w:rsidP="005965ED">
            <w:pPr>
              <w:spacing w:after="0"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 </w:t>
            </w:r>
          </w:p>
        </w:tc>
      </w:tr>
      <w:tr w:rsidR="002641D2" w:rsidRPr="00FA3F9C" w14:paraId="5831E213" w14:textId="77777777" w:rsidTr="005965ED">
        <w:trPr>
          <w:trHeight w:val="288"/>
        </w:trPr>
        <w:tc>
          <w:tcPr>
            <w:tcW w:w="2436" w:type="dxa"/>
            <w:tcBorders>
              <w:top w:val="nil"/>
              <w:left w:val="single" w:sz="4" w:space="0" w:color="auto"/>
              <w:bottom w:val="single" w:sz="4" w:space="0" w:color="auto"/>
              <w:right w:val="nil"/>
            </w:tcBorders>
            <w:shd w:val="clear" w:color="auto" w:fill="auto"/>
            <w:noWrap/>
            <w:vAlign w:val="bottom"/>
            <w:hideMark/>
          </w:tcPr>
          <w:p w14:paraId="3F9F0C1D" w14:textId="77777777" w:rsidR="002641D2" w:rsidRPr="00FA3F9C" w:rsidRDefault="002641D2" w:rsidP="005965ED">
            <w:pPr>
              <w:spacing w:after="0"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Address:</w:t>
            </w:r>
          </w:p>
        </w:tc>
        <w:tc>
          <w:tcPr>
            <w:tcW w:w="252" w:type="dxa"/>
            <w:tcBorders>
              <w:top w:val="nil"/>
              <w:left w:val="nil"/>
              <w:bottom w:val="single" w:sz="4" w:space="0" w:color="auto"/>
              <w:right w:val="nil"/>
            </w:tcBorders>
            <w:shd w:val="clear" w:color="auto" w:fill="auto"/>
            <w:noWrap/>
            <w:vAlign w:val="bottom"/>
            <w:hideMark/>
          </w:tcPr>
          <w:p w14:paraId="53A08096" w14:textId="77777777" w:rsidR="002641D2" w:rsidRPr="00FA3F9C" w:rsidRDefault="002641D2" w:rsidP="005965ED">
            <w:pPr>
              <w:spacing w:after="0"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 </w:t>
            </w:r>
          </w:p>
        </w:tc>
        <w:tc>
          <w:tcPr>
            <w:tcW w:w="252" w:type="dxa"/>
            <w:tcBorders>
              <w:top w:val="nil"/>
              <w:left w:val="nil"/>
              <w:bottom w:val="single" w:sz="4" w:space="0" w:color="auto"/>
              <w:right w:val="nil"/>
            </w:tcBorders>
            <w:shd w:val="clear" w:color="auto" w:fill="auto"/>
            <w:noWrap/>
            <w:vAlign w:val="bottom"/>
            <w:hideMark/>
          </w:tcPr>
          <w:p w14:paraId="4F71E258" w14:textId="77777777" w:rsidR="002641D2" w:rsidRPr="00FA3F9C" w:rsidRDefault="002641D2" w:rsidP="005965ED">
            <w:pPr>
              <w:spacing w:after="0"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 </w:t>
            </w:r>
          </w:p>
        </w:tc>
        <w:tc>
          <w:tcPr>
            <w:tcW w:w="720" w:type="dxa"/>
            <w:tcBorders>
              <w:top w:val="nil"/>
              <w:left w:val="nil"/>
              <w:bottom w:val="single" w:sz="4" w:space="0" w:color="auto"/>
              <w:right w:val="nil"/>
            </w:tcBorders>
            <w:shd w:val="clear" w:color="auto" w:fill="auto"/>
            <w:noWrap/>
            <w:vAlign w:val="bottom"/>
            <w:hideMark/>
          </w:tcPr>
          <w:p w14:paraId="5F051A5E" w14:textId="77777777" w:rsidR="002641D2" w:rsidRPr="00FA3F9C" w:rsidRDefault="002641D2" w:rsidP="005965ED">
            <w:pPr>
              <w:spacing w:after="0"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 </w:t>
            </w:r>
          </w:p>
        </w:tc>
        <w:tc>
          <w:tcPr>
            <w:tcW w:w="960" w:type="dxa"/>
            <w:tcBorders>
              <w:top w:val="nil"/>
              <w:left w:val="nil"/>
              <w:bottom w:val="single" w:sz="4" w:space="0" w:color="auto"/>
              <w:right w:val="nil"/>
            </w:tcBorders>
            <w:shd w:val="clear" w:color="auto" w:fill="auto"/>
            <w:noWrap/>
            <w:vAlign w:val="bottom"/>
            <w:hideMark/>
          </w:tcPr>
          <w:p w14:paraId="61D15E2A" w14:textId="77777777" w:rsidR="002641D2" w:rsidRPr="00FA3F9C" w:rsidRDefault="002641D2" w:rsidP="005965ED">
            <w:pPr>
              <w:spacing w:after="0"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City</w:t>
            </w:r>
          </w:p>
        </w:tc>
        <w:tc>
          <w:tcPr>
            <w:tcW w:w="960" w:type="dxa"/>
            <w:tcBorders>
              <w:top w:val="nil"/>
              <w:left w:val="nil"/>
              <w:bottom w:val="single" w:sz="4" w:space="0" w:color="auto"/>
              <w:right w:val="nil"/>
            </w:tcBorders>
            <w:shd w:val="clear" w:color="auto" w:fill="auto"/>
            <w:noWrap/>
            <w:vAlign w:val="bottom"/>
            <w:hideMark/>
          </w:tcPr>
          <w:p w14:paraId="38165F2E" w14:textId="77777777" w:rsidR="002641D2" w:rsidRPr="00FA3F9C" w:rsidRDefault="002641D2" w:rsidP="005965ED">
            <w:pPr>
              <w:spacing w:after="0"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 </w:t>
            </w:r>
          </w:p>
        </w:tc>
        <w:tc>
          <w:tcPr>
            <w:tcW w:w="960" w:type="dxa"/>
            <w:tcBorders>
              <w:top w:val="nil"/>
              <w:left w:val="nil"/>
              <w:bottom w:val="single" w:sz="4" w:space="0" w:color="auto"/>
              <w:right w:val="nil"/>
            </w:tcBorders>
            <w:shd w:val="clear" w:color="auto" w:fill="auto"/>
            <w:noWrap/>
            <w:vAlign w:val="bottom"/>
            <w:hideMark/>
          </w:tcPr>
          <w:p w14:paraId="4D4E2D18" w14:textId="77777777" w:rsidR="002641D2" w:rsidRPr="00FA3F9C" w:rsidRDefault="002641D2" w:rsidP="005965ED">
            <w:pPr>
              <w:spacing w:after="0"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 xml:space="preserve">       State</w:t>
            </w:r>
          </w:p>
        </w:tc>
        <w:tc>
          <w:tcPr>
            <w:tcW w:w="960" w:type="dxa"/>
            <w:tcBorders>
              <w:top w:val="nil"/>
              <w:left w:val="nil"/>
              <w:bottom w:val="single" w:sz="4" w:space="0" w:color="auto"/>
              <w:right w:val="nil"/>
            </w:tcBorders>
            <w:shd w:val="clear" w:color="auto" w:fill="auto"/>
            <w:noWrap/>
            <w:vAlign w:val="bottom"/>
            <w:hideMark/>
          </w:tcPr>
          <w:p w14:paraId="4B24D333" w14:textId="77777777" w:rsidR="002641D2" w:rsidRPr="00FA3F9C" w:rsidRDefault="002641D2" w:rsidP="005965ED">
            <w:pPr>
              <w:spacing w:after="0"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 </w:t>
            </w:r>
          </w:p>
        </w:tc>
        <w:tc>
          <w:tcPr>
            <w:tcW w:w="960" w:type="dxa"/>
            <w:tcBorders>
              <w:top w:val="nil"/>
              <w:left w:val="nil"/>
              <w:bottom w:val="single" w:sz="4" w:space="0" w:color="auto"/>
              <w:right w:val="nil"/>
            </w:tcBorders>
            <w:shd w:val="clear" w:color="auto" w:fill="auto"/>
            <w:noWrap/>
            <w:vAlign w:val="bottom"/>
            <w:hideMark/>
          </w:tcPr>
          <w:p w14:paraId="5EC7316E" w14:textId="77777777" w:rsidR="002641D2" w:rsidRPr="00FA3F9C" w:rsidRDefault="002641D2" w:rsidP="005965ED">
            <w:pPr>
              <w:spacing w:after="0" w:line="240" w:lineRule="auto"/>
              <w:rPr>
                <w:rFonts w:ascii="Arial" w:eastAsia="Times New Roman" w:hAnsi="Arial" w:cs="Arial"/>
                <w:color w:val="000000"/>
                <w:sz w:val="24"/>
                <w:szCs w:val="24"/>
              </w:rPr>
            </w:pPr>
          </w:p>
        </w:tc>
        <w:tc>
          <w:tcPr>
            <w:tcW w:w="1460" w:type="dxa"/>
            <w:tcBorders>
              <w:top w:val="nil"/>
              <w:left w:val="nil"/>
              <w:bottom w:val="single" w:sz="4" w:space="0" w:color="auto"/>
              <w:right w:val="single" w:sz="4" w:space="0" w:color="auto"/>
            </w:tcBorders>
            <w:shd w:val="clear" w:color="auto" w:fill="auto"/>
            <w:noWrap/>
            <w:vAlign w:val="bottom"/>
            <w:hideMark/>
          </w:tcPr>
          <w:p w14:paraId="1AC02400" w14:textId="77777777" w:rsidR="002641D2" w:rsidRPr="00FA3F9C" w:rsidRDefault="002641D2" w:rsidP="005965ED">
            <w:pPr>
              <w:spacing w:after="0"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 </w:t>
            </w:r>
          </w:p>
        </w:tc>
      </w:tr>
      <w:tr w:rsidR="002641D2" w:rsidRPr="00FA3F9C" w14:paraId="45F3CC5A" w14:textId="77777777" w:rsidTr="005965ED">
        <w:trPr>
          <w:trHeight w:val="288"/>
        </w:trPr>
        <w:tc>
          <w:tcPr>
            <w:tcW w:w="2436" w:type="dxa"/>
            <w:tcBorders>
              <w:top w:val="nil"/>
              <w:left w:val="single" w:sz="4" w:space="0" w:color="auto"/>
              <w:bottom w:val="single" w:sz="4" w:space="0" w:color="auto"/>
              <w:right w:val="nil"/>
            </w:tcBorders>
            <w:shd w:val="clear" w:color="auto" w:fill="auto"/>
            <w:noWrap/>
            <w:vAlign w:val="bottom"/>
            <w:hideMark/>
          </w:tcPr>
          <w:p w14:paraId="0CBAD716" w14:textId="77777777" w:rsidR="002641D2" w:rsidRPr="00FA3F9C" w:rsidRDefault="002641D2" w:rsidP="005965ED">
            <w:pPr>
              <w:spacing w:after="0"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Ph #</w:t>
            </w:r>
          </w:p>
        </w:tc>
        <w:tc>
          <w:tcPr>
            <w:tcW w:w="252" w:type="dxa"/>
            <w:tcBorders>
              <w:top w:val="nil"/>
              <w:left w:val="nil"/>
              <w:bottom w:val="single" w:sz="4" w:space="0" w:color="auto"/>
              <w:right w:val="nil"/>
            </w:tcBorders>
            <w:shd w:val="clear" w:color="auto" w:fill="auto"/>
            <w:noWrap/>
            <w:vAlign w:val="bottom"/>
            <w:hideMark/>
          </w:tcPr>
          <w:p w14:paraId="76DA14D8" w14:textId="77777777" w:rsidR="002641D2" w:rsidRPr="00FA3F9C" w:rsidRDefault="002641D2" w:rsidP="005965ED">
            <w:pPr>
              <w:spacing w:after="0"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 </w:t>
            </w:r>
          </w:p>
        </w:tc>
        <w:tc>
          <w:tcPr>
            <w:tcW w:w="252" w:type="dxa"/>
            <w:tcBorders>
              <w:top w:val="nil"/>
              <w:left w:val="nil"/>
              <w:bottom w:val="single" w:sz="4" w:space="0" w:color="auto"/>
              <w:right w:val="nil"/>
            </w:tcBorders>
            <w:shd w:val="clear" w:color="auto" w:fill="auto"/>
            <w:noWrap/>
            <w:vAlign w:val="bottom"/>
            <w:hideMark/>
          </w:tcPr>
          <w:p w14:paraId="275EA8F8" w14:textId="77777777" w:rsidR="002641D2" w:rsidRPr="00FA3F9C" w:rsidRDefault="002641D2" w:rsidP="005965ED">
            <w:pPr>
              <w:spacing w:after="0"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 </w:t>
            </w:r>
          </w:p>
        </w:tc>
        <w:tc>
          <w:tcPr>
            <w:tcW w:w="720" w:type="dxa"/>
            <w:tcBorders>
              <w:top w:val="nil"/>
              <w:left w:val="nil"/>
              <w:bottom w:val="nil"/>
              <w:right w:val="nil"/>
            </w:tcBorders>
            <w:shd w:val="clear" w:color="auto" w:fill="auto"/>
            <w:noWrap/>
            <w:vAlign w:val="bottom"/>
            <w:hideMark/>
          </w:tcPr>
          <w:p w14:paraId="7584E75D" w14:textId="77777777" w:rsidR="002641D2" w:rsidRPr="00FA3F9C" w:rsidRDefault="002641D2" w:rsidP="004E4847">
            <w:pPr>
              <w:spacing w:after="0"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 xml:space="preserve"> </w:t>
            </w:r>
          </w:p>
        </w:tc>
        <w:tc>
          <w:tcPr>
            <w:tcW w:w="960" w:type="dxa"/>
            <w:tcBorders>
              <w:top w:val="nil"/>
              <w:left w:val="nil"/>
              <w:bottom w:val="single" w:sz="4" w:space="0" w:color="auto"/>
              <w:right w:val="nil"/>
            </w:tcBorders>
            <w:shd w:val="clear" w:color="auto" w:fill="auto"/>
            <w:noWrap/>
            <w:vAlign w:val="bottom"/>
            <w:hideMark/>
          </w:tcPr>
          <w:p w14:paraId="06ACE09C" w14:textId="77777777" w:rsidR="002641D2" w:rsidRPr="00FA3F9C" w:rsidRDefault="002641D2" w:rsidP="005965ED">
            <w:pPr>
              <w:spacing w:after="0"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 Fax#</w:t>
            </w:r>
          </w:p>
        </w:tc>
        <w:tc>
          <w:tcPr>
            <w:tcW w:w="960" w:type="dxa"/>
            <w:tcBorders>
              <w:top w:val="nil"/>
              <w:left w:val="nil"/>
              <w:bottom w:val="single" w:sz="4" w:space="0" w:color="auto"/>
              <w:right w:val="nil"/>
            </w:tcBorders>
            <w:shd w:val="clear" w:color="auto" w:fill="auto"/>
            <w:noWrap/>
            <w:vAlign w:val="bottom"/>
            <w:hideMark/>
          </w:tcPr>
          <w:p w14:paraId="31318409" w14:textId="77777777" w:rsidR="002641D2" w:rsidRPr="00FA3F9C" w:rsidRDefault="002641D2" w:rsidP="005965ED">
            <w:pPr>
              <w:spacing w:after="0"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 </w:t>
            </w:r>
          </w:p>
        </w:tc>
        <w:tc>
          <w:tcPr>
            <w:tcW w:w="960" w:type="dxa"/>
            <w:tcBorders>
              <w:top w:val="nil"/>
              <w:left w:val="nil"/>
              <w:bottom w:val="single" w:sz="4" w:space="0" w:color="auto"/>
              <w:right w:val="nil"/>
            </w:tcBorders>
            <w:shd w:val="clear" w:color="auto" w:fill="auto"/>
            <w:noWrap/>
            <w:vAlign w:val="bottom"/>
            <w:hideMark/>
          </w:tcPr>
          <w:p w14:paraId="53A30C0F" w14:textId="77777777" w:rsidR="002641D2" w:rsidRPr="00FA3F9C" w:rsidRDefault="002641D2" w:rsidP="005965ED">
            <w:pPr>
              <w:spacing w:after="0"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 </w:t>
            </w:r>
          </w:p>
        </w:tc>
        <w:tc>
          <w:tcPr>
            <w:tcW w:w="960" w:type="dxa"/>
            <w:tcBorders>
              <w:top w:val="nil"/>
              <w:left w:val="nil"/>
              <w:bottom w:val="single" w:sz="4" w:space="0" w:color="auto"/>
              <w:right w:val="nil"/>
            </w:tcBorders>
            <w:shd w:val="clear" w:color="auto" w:fill="auto"/>
            <w:noWrap/>
            <w:vAlign w:val="bottom"/>
            <w:hideMark/>
          </w:tcPr>
          <w:p w14:paraId="31127D88" w14:textId="77777777" w:rsidR="002641D2" w:rsidRPr="00FA3F9C" w:rsidRDefault="002641D2" w:rsidP="005965ED">
            <w:pPr>
              <w:spacing w:after="0"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 </w:t>
            </w:r>
          </w:p>
        </w:tc>
        <w:tc>
          <w:tcPr>
            <w:tcW w:w="960" w:type="dxa"/>
            <w:tcBorders>
              <w:top w:val="nil"/>
              <w:left w:val="nil"/>
              <w:bottom w:val="single" w:sz="4" w:space="0" w:color="auto"/>
              <w:right w:val="nil"/>
            </w:tcBorders>
            <w:shd w:val="clear" w:color="auto" w:fill="auto"/>
            <w:noWrap/>
            <w:vAlign w:val="bottom"/>
            <w:hideMark/>
          </w:tcPr>
          <w:p w14:paraId="2D669B55" w14:textId="77777777" w:rsidR="002641D2" w:rsidRPr="00FA3F9C" w:rsidRDefault="002641D2" w:rsidP="005965ED">
            <w:pPr>
              <w:spacing w:after="0"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 </w:t>
            </w:r>
          </w:p>
        </w:tc>
        <w:tc>
          <w:tcPr>
            <w:tcW w:w="1460" w:type="dxa"/>
            <w:tcBorders>
              <w:top w:val="nil"/>
              <w:left w:val="nil"/>
              <w:bottom w:val="single" w:sz="4" w:space="0" w:color="auto"/>
              <w:right w:val="single" w:sz="4" w:space="0" w:color="auto"/>
            </w:tcBorders>
            <w:shd w:val="clear" w:color="auto" w:fill="auto"/>
            <w:noWrap/>
            <w:vAlign w:val="bottom"/>
            <w:hideMark/>
          </w:tcPr>
          <w:p w14:paraId="5461C5F3" w14:textId="77777777" w:rsidR="002641D2" w:rsidRPr="00FA3F9C" w:rsidRDefault="002641D2" w:rsidP="005965ED">
            <w:pPr>
              <w:spacing w:after="0"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 </w:t>
            </w:r>
          </w:p>
        </w:tc>
      </w:tr>
      <w:tr w:rsidR="002641D2" w:rsidRPr="00FA3F9C" w14:paraId="5261F017" w14:textId="77777777" w:rsidTr="005965ED">
        <w:trPr>
          <w:trHeight w:val="465"/>
        </w:trPr>
        <w:tc>
          <w:tcPr>
            <w:tcW w:w="2688" w:type="dxa"/>
            <w:gridSpan w:val="2"/>
            <w:tcBorders>
              <w:top w:val="single" w:sz="4" w:space="0" w:color="auto"/>
              <w:left w:val="single" w:sz="4" w:space="0" w:color="auto"/>
              <w:bottom w:val="nil"/>
              <w:right w:val="single" w:sz="4" w:space="0" w:color="000000"/>
            </w:tcBorders>
            <w:shd w:val="clear" w:color="auto" w:fill="auto"/>
            <w:noWrap/>
            <w:hideMark/>
          </w:tcPr>
          <w:p w14:paraId="34F360B4" w14:textId="77777777" w:rsidR="002641D2" w:rsidRPr="00FA3F9C" w:rsidRDefault="002641D2" w:rsidP="005965ED">
            <w:pPr>
              <w:spacing w:after="0"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Today's Date:</w:t>
            </w:r>
          </w:p>
        </w:tc>
        <w:tc>
          <w:tcPr>
            <w:tcW w:w="972" w:type="dxa"/>
            <w:gridSpan w:val="2"/>
            <w:tcBorders>
              <w:top w:val="single" w:sz="4" w:space="0" w:color="auto"/>
              <w:left w:val="nil"/>
              <w:bottom w:val="nil"/>
              <w:right w:val="single" w:sz="4" w:space="0" w:color="000000"/>
            </w:tcBorders>
            <w:shd w:val="clear" w:color="auto" w:fill="auto"/>
            <w:noWrap/>
            <w:hideMark/>
          </w:tcPr>
          <w:p w14:paraId="77D1A238" w14:textId="77777777" w:rsidR="002641D2" w:rsidRPr="00FA3F9C" w:rsidRDefault="002641D2" w:rsidP="005965ED">
            <w:pPr>
              <w:spacing w:after="0"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 </w:t>
            </w:r>
          </w:p>
        </w:tc>
        <w:tc>
          <w:tcPr>
            <w:tcW w:w="6260" w:type="dxa"/>
            <w:gridSpan w:val="6"/>
            <w:tcBorders>
              <w:top w:val="single" w:sz="4" w:space="0" w:color="auto"/>
              <w:left w:val="nil"/>
              <w:bottom w:val="nil"/>
              <w:right w:val="single" w:sz="4" w:space="0" w:color="000000"/>
            </w:tcBorders>
            <w:shd w:val="clear" w:color="auto" w:fill="auto"/>
            <w:hideMark/>
          </w:tcPr>
          <w:p w14:paraId="40492D76" w14:textId="77777777" w:rsidR="002641D2" w:rsidRPr="00FA3F9C" w:rsidRDefault="002641D2" w:rsidP="005965ED">
            <w:pPr>
              <w:spacing w:after="0"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 xml:space="preserve">I certify that the above therapy is medically </w:t>
            </w:r>
            <w:proofErr w:type="gramStart"/>
            <w:r w:rsidRPr="00FA3F9C">
              <w:rPr>
                <w:rFonts w:ascii="Arial" w:eastAsia="Times New Roman" w:hAnsi="Arial" w:cs="Arial"/>
                <w:color w:val="000000"/>
                <w:sz w:val="24"/>
                <w:szCs w:val="24"/>
              </w:rPr>
              <w:t>necessary</w:t>
            </w:r>
            <w:proofErr w:type="gramEnd"/>
            <w:r w:rsidRPr="00FA3F9C">
              <w:rPr>
                <w:rFonts w:ascii="Arial" w:eastAsia="Times New Roman" w:hAnsi="Arial" w:cs="Arial"/>
                <w:color w:val="000000"/>
                <w:sz w:val="24"/>
                <w:szCs w:val="24"/>
              </w:rPr>
              <w:t xml:space="preserve"> and all the above information is accurate to the best of my knowledge.</w:t>
            </w:r>
          </w:p>
        </w:tc>
      </w:tr>
      <w:tr w:rsidR="002641D2" w:rsidRPr="00FA3F9C" w14:paraId="0D5E4095" w14:textId="77777777" w:rsidTr="005965ED">
        <w:trPr>
          <w:trHeight w:val="68"/>
        </w:trPr>
        <w:tc>
          <w:tcPr>
            <w:tcW w:w="2436" w:type="dxa"/>
            <w:tcBorders>
              <w:top w:val="nil"/>
              <w:left w:val="single" w:sz="4" w:space="0" w:color="auto"/>
              <w:bottom w:val="single" w:sz="4" w:space="0" w:color="auto"/>
              <w:right w:val="nil"/>
            </w:tcBorders>
            <w:shd w:val="clear" w:color="auto" w:fill="auto"/>
            <w:noWrap/>
            <w:vAlign w:val="bottom"/>
            <w:hideMark/>
          </w:tcPr>
          <w:p w14:paraId="12449599" w14:textId="77777777" w:rsidR="002641D2" w:rsidRPr="00FA3F9C" w:rsidRDefault="002641D2" w:rsidP="005965ED">
            <w:pPr>
              <w:spacing w:after="0"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 </w:t>
            </w:r>
          </w:p>
        </w:tc>
        <w:tc>
          <w:tcPr>
            <w:tcW w:w="252" w:type="dxa"/>
            <w:tcBorders>
              <w:top w:val="nil"/>
              <w:left w:val="nil"/>
              <w:bottom w:val="single" w:sz="4" w:space="0" w:color="auto"/>
              <w:right w:val="single" w:sz="4" w:space="0" w:color="auto"/>
            </w:tcBorders>
            <w:shd w:val="clear" w:color="auto" w:fill="auto"/>
            <w:noWrap/>
            <w:vAlign w:val="bottom"/>
            <w:hideMark/>
          </w:tcPr>
          <w:p w14:paraId="6C2BCFFE" w14:textId="77777777" w:rsidR="002641D2" w:rsidRPr="00FA3F9C" w:rsidRDefault="002641D2" w:rsidP="005965ED">
            <w:pPr>
              <w:spacing w:after="0"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 </w:t>
            </w:r>
          </w:p>
        </w:tc>
        <w:tc>
          <w:tcPr>
            <w:tcW w:w="252" w:type="dxa"/>
            <w:tcBorders>
              <w:top w:val="nil"/>
              <w:left w:val="nil"/>
              <w:bottom w:val="single" w:sz="4" w:space="0" w:color="auto"/>
              <w:right w:val="nil"/>
            </w:tcBorders>
            <w:shd w:val="clear" w:color="auto" w:fill="auto"/>
            <w:noWrap/>
            <w:vAlign w:val="bottom"/>
            <w:hideMark/>
          </w:tcPr>
          <w:p w14:paraId="67D73310" w14:textId="77777777" w:rsidR="002641D2" w:rsidRPr="00FA3F9C" w:rsidRDefault="002641D2" w:rsidP="005965ED">
            <w:pPr>
              <w:spacing w:after="0"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14:paraId="45CEED51" w14:textId="77777777" w:rsidR="002641D2" w:rsidRPr="00FA3F9C" w:rsidRDefault="002641D2" w:rsidP="005965ED">
            <w:pPr>
              <w:spacing w:after="0"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 </w:t>
            </w:r>
          </w:p>
        </w:tc>
        <w:tc>
          <w:tcPr>
            <w:tcW w:w="6260" w:type="dxa"/>
            <w:gridSpan w:val="6"/>
            <w:tcBorders>
              <w:top w:val="nil"/>
              <w:left w:val="nil"/>
              <w:bottom w:val="single" w:sz="4" w:space="0" w:color="auto"/>
              <w:right w:val="single" w:sz="4" w:space="0" w:color="000000"/>
            </w:tcBorders>
            <w:shd w:val="clear" w:color="auto" w:fill="auto"/>
            <w:vAlign w:val="bottom"/>
            <w:hideMark/>
          </w:tcPr>
          <w:p w14:paraId="2E73039C" w14:textId="77777777" w:rsidR="002641D2" w:rsidRPr="00FA3F9C" w:rsidRDefault="002641D2" w:rsidP="005965ED">
            <w:pPr>
              <w:spacing w:after="0" w:line="240" w:lineRule="auto"/>
              <w:rPr>
                <w:rFonts w:ascii="Arial" w:eastAsia="Times New Roman" w:hAnsi="Arial" w:cs="Arial"/>
                <w:b/>
                <w:bCs/>
                <w:color w:val="000000"/>
                <w:sz w:val="24"/>
                <w:szCs w:val="24"/>
              </w:rPr>
            </w:pPr>
            <w:r w:rsidRPr="00FA3F9C">
              <w:rPr>
                <w:rFonts w:ascii="Arial" w:eastAsia="Times New Roman" w:hAnsi="Arial" w:cs="Arial"/>
                <w:b/>
                <w:bCs/>
                <w:color w:val="000000"/>
                <w:sz w:val="24"/>
                <w:szCs w:val="24"/>
              </w:rPr>
              <w:t xml:space="preserve">Physician's Signature: </w:t>
            </w:r>
          </w:p>
        </w:tc>
      </w:tr>
    </w:tbl>
    <w:p w14:paraId="73E03D7D" w14:textId="77777777" w:rsidR="002641D2" w:rsidRPr="00FA3F9C" w:rsidRDefault="002641D2" w:rsidP="00961F22">
      <w:pPr>
        <w:spacing w:after="0"/>
        <w:rPr>
          <w:rFonts w:ascii="Arial" w:hAnsi="Arial" w:cs="Arial"/>
          <w:sz w:val="24"/>
          <w:szCs w:val="24"/>
        </w:rPr>
      </w:pPr>
    </w:p>
    <w:p w14:paraId="0E0272A0" w14:textId="4A40443A" w:rsidR="002641D2" w:rsidRPr="00FA3F9C" w:rsidRDefault="002641D2" w:rsidP="002A1632">
      <w:pPr>
        <w:rPr>
          <w:rFonts w:ascii="Arial" w:hAnsi="Arial" w:cs="Arial"/>
          <w:b/>
          <w:sz w:val="24"/>
          <w:szCs w:val="24"/>
        </w:rPr>
      </w:pPr>
    </w:p>
    <w:p w14:paraId="220DE0F4" w14:textId="77777777" w:rsidR="002A1632" w:rsidRDefault="002641D2" w:rsidP="002A1632">
      <w:pPr>
        <w:pStyle w:val="Heading2"/>
      </w:pPr>
      <w:bookmarkStart w:id="161" w:name="_Toc106369840"/>
      <w:proofErr w:type="spellStart"/>
      <w:r w:rsidRPr="00FA3F9C">
        <w:t>Lacosamide</w:t>
      </w:r>
      <w:proofErr w:type="spellEnd"/>
      <w:r w:rsidRPr="00FA3F9C">
        <w:t xml:space="preserve"> (Vimpat)</w:t>
      </w:r>
      <w:bookmarkEnd w:id="161"/>
      <w:r w:rsidRPr="00FA3F9C">
        <w:t xml:space="preserve"> </w:t>
      </w:r>
    </w:p>
    <w:p w14:paraId="0EF416EE" w14:textId="1E86523E" w:rsidR="002641D2" w:rsidRDefault="002641D2" w:rsidP="00E4013F">
      <w:pPr>
        <w:jc w:val="center"/>
        <w:rPr>
          <w:rFonts w:ascii="Arial" w:hAnsi="Arial" w:cs="Arial"/>
          <w:b/>
          <w:sz w:val="24"/>
          <w:szCs w:val="24"/>
        </w:rPr>
      </w:pPr>
      <w:r w:rsidRPr="00FA3F9C">
        <w:rPr>
          <w:rFonts w:ascii="Arial" w:hAnsi="Arial" w:cs="Arial"/>
          <w:b/>
          <w:sz w:val="24"/>
          <w:szCs w:val="24"/>
        </w:rPr>
        <w:t>50mg, 100mg, 150mg, 200mg tablets and 10mg/mL oral solution</w:t>
      </w:r>
    </w:p>
    <w:p w14:paraId="4A20EDC6" w14:textId="6C4E92ED" w:rsidR="002A1632" w:rsidRPr="00FA3F9C" w:rsidRDefault="002A1632" w:rsidP="00E4013F">
      <w:pPr>
        <w:jc w:val="center"/>
        <w:rPr>
          <w:rFonts w:ascii="Arial" w:hAnsi="Arial" w:cs="Arial"/>
          <w:b/>
          <w:sz w:val="24"/>
          <w:szCs w:val="24"/>
        </w:rPr>
      </w:pPr>
      <w:r w:rsidRPr="00FA3F9C">
        <w:rPr>
          <w:rFonts w:ascii="Arial" w:hAnsi="Arial" w:cs="Arial"/>
          <w:b/>
          <w:sz w:val="24"/>
          <w:szCs w:val="24"/>
        </w:rPr>
        <w:t>EBRx Prior Authorization Criteria</w:t>
      </w:r>
    </w:p>
    <w:p w14:paraId="452061C8" w14:textId="77777777" w:rsidR="002641D2" w:rsidRPr="00FA3F9C" w:rsidRDefault="002641D2" w:rsidP="00E4013F">
      <w:pPr>
        <w:jc w:val="center"/>
        <w:rPr>
          <w:rFonts w:ascii="Arial" w:hAnsi="Arial" w:cs="Arial"/>
          <w:b/>
          <w:sz w:val="24"/>
          <w:szCs w:val="24"/>
        </w:rPr>
      </w:pPr>
    </w:p>
    <w:p w14:paraId="06540DC7" w14:textId="77777777" w:rsidR="002641D2" w:rsidRPr="00FA3F9C" w:rsidRDefault="002641D2" w:rsidP="00E4013F">
      <w:pPr>
        <w:jc w:val="center"/>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18"/>
        <w:gridCol w:w="1638"/>
      </w:tblGrid>
      <w:tr w:rsidR="002641D2" w:rsidRPr="00FA3F9C" w14:paraId="0FBE8C6C" w14:textId="77777777" w:rsidTr="00CE6C0A">
        <w:trPr>
          <w:trHeight w:val="305"/>
        </w:trPr>
        <w:tc>
          <w:tcPr>
            <w:tcW w:w="7218" w:type="dxa"/>
            <w:vAlign w:val="center"/>
          </w:tcPr>
          <w:p w14:paraId="61A12FC8" w14:textId="77777777" w:rsidR="002641D2" w:rsidRPr="00FA3F9C" w:rsidRDefault="002641D2" w:rsidP="004A2108">
            <w:pPr>
              <w:rPr>
                <w:rFonts w:ascii="Arial" w:hAnsi="Arial" w:cs="Arial"/>
                <w:b/>
                <w:sz w:val="24"/>
                <w:szCs w:val="24"/>
              </w:rPr>
            </w:pPr>
            <w:r w:rsidRPr="00FA3F9C">
              <w:rPr>
                <w:rFonts w:ascii="Arial" w:hAnsi="Arial" w:cs="Arial"/>
                <w:b/>
                <w:sz w:val="24"/>
                <w:szCs w:val="24"/>
              </w:rPr>
              <w:lastRenderedPageBreak/>
              <w:t>1.  Does the patient have a diagnosis of focal, partial-onset seizures?</w:t>
            </w:r>
          </w:p>
        </w:tc>
        <w:tc>
          <w:tcPr>
            <w:tcW w:w="1638" w:type="dxa"/>
            <w:vAlign w:val="center"/>
          </w:tcPr>
          <w:p w14:paraId="7FB2F71A" w14:textId="77777777" w:rsidR="002641D2" w:rsidRPr="00FA3F9C" w:rsidRDefault="002641D2" w:rsidP="004A2108">
            <w:pPr>
              <w:jc w:val="center"/>
              <w:rPr>
                <w:rFonts w:ascii="Arial" w:hAnsi="Arial" w:cs="Arial"/>
                <w:b/>
                <w:sz w:val="24"/>
                <w:szCs w:val="24"/>
              </w:rPr>
            </w:pPr>
            <w:r w:rsidRPr="00FA3F9C">
              <w:rPr>
                <w:rFonts w:ascii="Segoe UI Symbol" w:eastAsia="MS Gothic" w:hAnsi="Segoe UI Symbol" w:cs="Segoe UI Symbol"/>
                <w:color w:val="000000"/>
                <w:sz w:val="24"/>
                <w:szCs w:val="24"/>
              </w:rPr>
              <w:t>☐</w:t>
            </w:r>
            <w:r w:rsidRPr="00FA3F9C">
              <w:rPr>
                <w:rFonts w:ascii="Arial" w:hAnsi="Arial" w:cs="Arial"/>
                <w:b/>
                <w:sz w:val="24"/>
                <w:szCs w:val="24"/>
              </w:rPr>
              <w:t xml:space="preserve"> Yes   </w:t>
            </w:r>
            <w:r w:rsidRPr="00FA3F9C">
              <w:rPr>
                <w:rFonts w:ascii="Segoe UI Symbol" w:eastAsia="MS Gothic" w:hAnsi="Segoe UI Symbol" w:cs="Segoe UI Symbol"/>
                <w:color w:val="000000"/>
                <w:sz w:val="24"/>
                <w:szCs w:val="24"/>
              </w:rPr>
              <w:t>☐</w:t>
            </w:r>
            <w:r w:rsidRPr="00FA3F9C">
              <w:rPr>
                <w:rFonts w:ascii="Arial" w:hAnsi="Arial" w:cs="Arial"/>
                <w:b/>
                <w:sz w:val="24"/>
                <w:szCs w:val="24"/>
              </w:rPr>
              <w:t xml:space="preserve"> No</w:t>
            </w:r>
          </w:p>
        </w:tc>
      </w:tr>
      <w:tr w:rsidR="002641D2" w:rsidRPr="00FA3F9C" w14:paraId="3AB46E9A" w14:textId="77777777" w:rsidTr="00CE6C0A">
        <w:tc>
          <w:tcPr>
            <w:tcW w:w="8856" w:type="dxa"/>
            <w:gridSpan w:val="2"/>
          </w:tcPr>
          <w:p w14:paraId="1C1DB4F9" w14:textId="77777777" w:rsidR="002641D2" w:rsidRPr="00FA3F9C" w:rsidRDefault="002641D2" w:rsidP="004A2108">
            <w:pPr>
              <w:rPr>
                <w:rFonts w:ascii="Arial" w:hAnsi="Arial" w:cs="Arial"/>
                <w:b/>
                <w:sz w:val="24"/>
                <w:szCs w:val="24"/>
              </w:rPr>
            </w:pPr>
            <w:r w:rsidRPr="00FA3F9C">
              <w:rPr>
                <w:rFonts w:ascii="Arial" w:hAnsi="Arial" w:cs="Arial"/>
                <w:b/>
                <w:sz w:val="24"/>
                <w:szCs w:val="24"/>
              </w:rPr>
              <w:t xml:space="preserve">     If “yes”, approve for 12 months.  If “no”, then deny coverage.</w:t>
            </w:r>
          </w:p>
        </w:tc>
      </w:tr>
    </w:tbl>
    <w:p w14:paraId="3703E1FD" w14:textId="77777777" w:rsidR="002641D2" w:rsidRPr="00FA3F9C" w:rsidRDefault="002641D2" w:rsidP="00E4013F">
      <w:pPr>
        <w:jc w:val="center"/>
        <w:rPr>
          <w:rFonts w:ascii="Arial" w:hAnsi="Arial" w:cs="Arial"/>
          <w:b/>
          <w:sz w:val="24"/>
          <w:szCs w:val="24"/>
        </w:rPr>
      </w:pPr>
    </w:p>
    <w:p w14:paraId="2B016ACC" w14:textId="77777777" w:rsidR="002641D2" w:rsidRPr="00FA3F9C" w:rsidRDefault="002641D2" w:rsidP="00BE7729">
      <w:pPr>
        <w:rPr>
          <w:rFonts w:ascii="Arial" w:hAnsi="Arial" w:cs="Arial"/>
          <w:b/>
          <w:sz w:val="24"/>
          <w:szCs w:val="24"/>
        </w:rPr>
      </w:pPr>
    </w:p>
    <w:p w14:paraId="706ADD50" w14:textId="77777777" w:rsidR="002641D2" w:rsidRPr="00FA3F9C" w:rsidRDefault="002641D2" w:rsidP="004A2108">
      <w:pPr>
        <w:rPr>
          <w:rFonts w:ascii="Arial" w:hAnsi="Arial" w:cs="Arial"/>
          <w:sz w:val="24"/>
          <w:szCs w:val="24"/>
        </w:rPr>
      </w:pPr>
      <w:r w:rsidRPr="00FA3F9C">
        <w:rPr>
          <w:rFonts w:ascii="Arial" w:hAnsi="Arial" w:cs="Arial"/>
          <w:sz w:val="24"/>
          <w:szCs w:val="24"/>
        </w:rPr>
        <w:t>References:</w:t>
      </w:r>
    </w:p>
    <w:p w14:paraId="4EB931A9" w14:textId="77777777" w:rsidR="002641D2" w:rsidRPr="00FA3F9C" w:rsidRDefault="002641D2" w:rsidP="004A2108">
      <w:pPr>
        <w:rPr>
          <w:rFonts w:ascii="Arial" w:hAnsi="Arial" w:cs="Arial"/>
          <w:sz w:val="24"/>
          <w:szCs w:val="24"/>
        </w:rPr>
      </w:pPr>
    </w:p>
    <w:p w14:paraId="31B2F3F1" w14:textId="77777777" w:rsidR="002641D2" w:rsidRPr="00FA3F9C" w:rsidRDefault="002641D2" w:rsidP="004A2108">
      <w:pPr>
        <w:rPr>
          <w:rFonts w:ascii="Arial" w:hAnsi="Arial" w:cs="Arial"/>
          <w:sz w:val="24"/>
          <w:szCs w:val="24"/>
        </w:rPr>
      </w:pPr>
      <w:r w:rsidRPr="00FA3F9C">
        <w:rPr>
          <w:rFonts w:ascii="Arial" w:hAnsi="Arial" w:cs="Arial"/>
          <w:sz w:val="24"/>
          <w:szCs w:val="24"/>
        </w:rPr>
        <w:t xml:space="preserve">1.  Wechsler RT, Li G, French J, et al.  Conversion </w:t>
      </w:r>
      <w:proofErr w:type="spellStart"/>
      <w:r w:rsidRPr="00FA3F9C">
        <w:rPr>
          <w:rFonts w:ascii="Arial" w:hAnsi="Arial" w:cs="Arial"/>
          <w:sz w:val="24"/>
          <w:szCs w:val="24"/>
        </w:rPr>
        <w:t>ot</w:t>
      </w:r>
      <w:proofErr w:type="spellEnd"/>
      <w:r w:rsidRPr="00FA3F9C">
        <w:rPr>
          <w:rFonts w:ascii="Arial" w:hAnsi="Arial" w:cs="Arial"/>
          <w:sz w:val="24"/>
          <w:szCs w:val="24"/>
        </w:rPr>
        <w:t xml:space="preserve"> </w:t>
      </w:r>
      <w:proofErr w:type="spellStart"/>
      <w:r w:rsidRPr="00FA3F9C">
        <w:rPr>
          <w:rFonts w:ascii="Arial" w:hAnsi="Arial" w:cs="Arial"/>
          <w:sz w:val="24"/>
          <w:szCs w:val="24"/>
        </w:rPr>
        <w:t>lacosamide</w:t>
      </w:r>
      <w:proofErr w:type="spellEnd"/>
      <w:r w:rsidRPr="00FA3F9C">
        <w:rPr>
          <w:rFonts w:ascii="Arial" w:hAnsi="Arial" w:cs="Arial"/>
          <w:sz w:val="24"/>
          <w:szCs w:val="24"/>
        </w:rPr>
        <w:t xml:space="preserve"> monotherapy in the treatment of focal epilepsy: results from a historical-controlled multicenter, DB study.  </w:t>
      </w:r>
      <w:proofErr w:type="spellStart"/>
      <w:r w:rsidRPr="00FA3F9C">
        <w:rPr>
          <w:rFonts w:ascii="Arial" w:hAnsi="Arial" w:cs="Arial"/>
          <w:i/>
          <w:sz w:val="24"/>
          <w:szCs w:val="24"/>
        </w:rPr>
        <w:t>Epilepsia</w:t>
      </w:r>
      <w:proofErr w:type="spellEnd"/>
      <w:r w:rsidRPr="00FA3F9C">
        <w:rPr>
          <w:rFonts w:ascii="Arial" w:hAnsi="Arial" w:cs="Arial"/>
          <w:sz w:val="24"/>
          <w:szCs w:val="24"/>
        </w:rPr>
        <w:t>. 2014;55(7):1088-98.</w:t>
      </w:r>
    </w:p>
    <w:p w14:paraId="39452C55" w14:textId="77777777" w:rsidR="002641D2" w:rsidRPr="00FA3F9C" w:rsidRDefault="002641D2" w:rsidP="004A2108">
      <w:pPr>
        <w:rPr>
          <w:rFonts w:ascii="Arial" w:hAnsi="Arial" w:cs="Arial"/>
          <w:sz w:val="24"/>
          <w:szCs w:val="24"/>
        </w:rPr>
      </w:pPr>
    </w:p>
    <w:p w14:paraId="2DC2932B" w14:textId="77777777" w:rsidR="002641D2" w:rsidRPr="00FA3F9C" w:rsidRDefault="002641D2" w:rsidP="00E4013F">
      <w:pPr>
        <w:jc w:val="center"/>
        <w:rPr>
          <w:rFonts w:ascii="Arial" w:hAnsi="Arial" w:cs="Arial"/>
          <w:b/>
          <w:sz w:val="24"/>
          <w:szCs w:val="24"/>
        </w:rPr>
      </w:pPr>
    </w:p>
    <w:p w14:paraId="1C94ADBE" w14:textId="77777777" w:rsidR="002641D2" w:rsidRPr="00FA3F9C" w:rsidRDefault="002641D2" w:rsidP="003576D6">
      <w:pPr>
        <w:rPr>
          <w:rFonts w:ascii="Arial" w:hAnsi="Arial" w:cs="Arial"/>
          <w:sz w:val="24"/>
          <w:szCs w:val="24"/>
        </w:rPr>
      </w:pPr>
      <w:r w:rsidRPr="00FA3F9C">
        <w:rPr>
          <w:rFonts w:ascii="Arial" w:hAnsi="Arial" w:cs="Arial"/>
          <w:sz w:val="24"/>
          <w:szCs w:val="24"/>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6300"/>
        <w:gridCol w:w="1590"/>
      </w:tblGrid>
      <w:tr w:rsidR="002641D2" w:rsidRPr="00FA3F9C" w14:paraId="41B27ACA" w14:textId="77777777" w:rsidTr="004A2108">
        <w:tc>
          <w:tcPr>
            <w:tcW w:w="1278" w:type="dxa"/>
          </w:tcPr>
          <w:p w14:paraId="0EDA12B1" w14:textId="77777777" w:rsidR="002641D2" w:rsidRPr="00FA3F9C" w:rsidRDefault="002641D2" w:rsidP="00E4013F">
            <w:pPr>
              <w:rPr>
                <w:rFonts w:ascii="Arial" w:hAnsi="Arial" w:cs="Arial"/>
                <w:sz w:val="24"/>
                <w:szCs w:val="24"/>
              </w:rPr>
            </w:pPr>
            <w:r w:rsidRPr="00FA3F9C">
              <w:rPr>
                <w:rFonts w:ascii="Arial" w:hAnsi="Arial" w:cs="Arial"/>
                <w:sz w:val="24"/>
                <w:szCs w:val="24"/>
              </w:rPr>
              <w:t>Date</w:t>
            </w:r>
          </w:p>
        </w:tc>
        <w:tc>
          <w:tcPr>
            <w:tcW w:w="6300" w:type="dxa"/>
          </w:tcPr>
          <w:p w14:paraId="5F0BBA69" w14:textId="77777777" w:rsidR="002641D2" w:rsidRPr="00FA3F9C" w:rsidRDefault="002641D2" w:rsidP="00E4013F">
            <w:pPr>
              <w:rPr>
                <w:rFonts w:ascii="Arial" w:hAnsi="Arial" w:cs="Arial"/>
                <w:sz w:val="24"/>
                <w:szCs w:val="24"/>
              </w:rPr>
            </w:pPr>
            <w:r w:rsidRPr="00FA3F9C">
              <w:rPr>
                <w:rFonts w:ascii="Arial" w:hAnsi="Arial" w:cs="Arial"/>
                <w:sz w:val="24"/>
                <w:szCs w:val="24"/>
              </w:rPr>
              <w:t>What changed?</w:t>
            </w:r>
          </w:p>
        </w:tc>
        <w:tc>
          <w:tcPr>
            <w:tcW w:w="1278" w:type="dxa"/>
          </w:tcPr>
          <w:p w14:paraId="5FFB2B21" w14:textId="77777777" w:rsidR="002641D2" w:rsidRPr="00FA3F9C" w:rsidRDefault="002641D2" w:rsidP="00E4013F">
            <w:pPr>
              <w:rPr>
                <w:rFonts w:ascii="Arial" w:hAnsi="Arial" w:cs="Arial"/>
                <w:sz w:val="24"/>
                <w:szCs w:val="24"/>
              </w:rPr>
            </w:pPr>
            <w:r w:rsidRPr="00FA3F9C">
              <w:rPr>
                <w:rFonts w:ascii="Arial" w:hAnsi="Arial" w:cs="Arial"/>
                <w:sz w:val="24"/>
                <w:szCs w:val="24"/>
              </w:rPr>
              <w:t>Pharmacist’s initials</w:t>
            </w:r>
          </w:p>
        </w:tc>
      </w:tr>
      <w:tr w:rsidR="002641D2" w:rsidRPr="00FA3F9C" w14:paraId="3451C31D" w14:textId="77777777" w:rsidTr="004A2108">
        <w:tc>
          <w:tcPr>
            <w:tcW w:w="1278" w:type="dxa"/>
          </w:tcPr>
          <w:p w14:paraId="771D5D23" w14:textId="77777777" w:rsidR="002641D2" w:rsidRPr="00FA3F9C" w:rsidRDefault="002641D2" w:rsidP="00E4013F">
            <w:pPr>
              <w:rPr>
                <w:rFonts w:ascii="Arial" w:hAnsi="Arial" w:cs="Arial"/>
                <w:sz w:val="24"/>
                <w:szCs w:val="24"/>
              </w:rPr>
            </w:pPr>
            <w:r w:rsidRPr="00FA3F9C">
              <w:rPr>
                <w:rFonts w:ascii="Arial" w:hAnsi="Arial" w:cs="Arial"/>
                <w:sz w:val="24"/>
                <w:szCs w:val="24"/>
              </w:rPr>
              <w:t>8/18/2009</w:t>
            </w:r>
          </w:p>
        </w:tc>
        <w:tc>
          <w:tcPr>
            <w:tcW w:w="6300" w:type="dxa"/>
          </w:tcPr>
          <w:p w14:paraId="3C8B0C0A" w14:textId="77777777" w:rsidR="002641D2" w:rsidRPr="00FA3F9C" w:rsidRDefault="002641D2" w:rsidP="00E4013F">
            <w:pPr>
              <w:rPr>
                <w:rFonts w:ascii="Arial" w:hAnsi="Arial" w:cs="Arial"/>
                <w:sz w:val="24"/>
                <w:szCs w:val="24"/>
              </w:rPr>
            </w:pPr>
            <w:r w:rsidRPr="00FA3F9C">
              <w:rPr>
                <w:rFonts w:ascii="Arial" w:hAnsi="Arial" w:cs="Arial"/>
                <w:sz w:val="24"/>
                <w:szCs w:val="24"/>
              </w:rPr>
              <w:t>Criteria written</w:t>
            </w:r>
          </w:p>
        </w:tc>
        <w:tc>
          <w:tcPr>
            <w:tcW w:w="1278" w:type="dxa"/>
          </w:tcPr>
          <w:p w14:paraId="3D59AD15" w14:textId="77777777" w:rsidR="002641D2" w:rsidRPr="00FA3F9C" w:rsidRDefault="002641D2" w:rsidP="00E4013F">
            <w:pPr>
              <w:rPr>
                <w:rFonts w:ascii="Arial" w:hAnsi="Arial" w:cs="Arial"/>
                <w:sz w:val="24"/>
                <w:szCs w:val="24"/>
              </w:rPr>
            </w:pPr>
            <w:r w:rsidRPr="00FA3F9C">
              <w:rPr>
                <w:rFonts w:ascii="Arial" w:hAnsi="Arial" w:cs="Arial"/>
                <w:sz w:val="24"/>
                <w:szCs w:val="24"/>
              </w:rPr>
              <w:t>JJ</w:t>
            </w:r>
          </w:p>
        </w:tc>
      </w:tr>
      <w:tr w:rsidR="002641D2" w:rsidRPr="00FA3F9C" w14:paraId="6F2E8C93" w14:textId="77777777" w:rsidTr="004A2108">
        <w:tc>
          <w:tcPr>
            <w:tcW w:w="1278" w:type="dxa"/>
          </w:tcPr>
          <w:p w14:paraId="3FB70A20" w14:textId="77777777" w:rsidR="002641D2" w:rsidRPr="00FA3F9C" w:rsidRDefault="002641D2" w:rsidP="00E4013F">
            <w:pPr>
              <w:rPr>
                <w:rFonts w:ascii="Arial" w:hAnsi="Arial" w:cs="Arial"/>
                <w:sz w:val="24"/>
                <w:szCs w:val="24"/>
              </w:rPr>
            </w:pPr>
            <w:r w:rsidRPr="00FA3F9C">
              <w:rPr>
                <w:rFonts w:ascii="Arial" w:hAnsi="Arial" w:cs="Arial"/>
                <w:sz w:val="24"/>
                <w:szCs w:val="24"/>
              </w:rPr>
              <w:t>5/15/2012</w:t>
            </w:r>
          </w:p>
        </w:tc>
        <w:tc>
          <w:tcPr>
            <w:tcW w:w="6300" w:type="dxa"/>
          </w:tcPr>
          <w:p w14:paraId="6C0C3840" w14:textId="77777777" w:rsidR="002641D2" w:rsidRPr="00FA3F9C" w:rsidRDefault="002641D2" w:rsidP="00E4013F">
            <w:pPr>
              <w:rPr>
                <w:rFonts w:ascii="Arial" w:hAnsi="Arial" w:cs="Arial"/>
                <w:sz w:val="24"/>
                <w:szCs w:val="24"/>
              </w:rPr>
            </w:pPr>
            <w:r w:rsidRPr="00FA3F9C">
              <w:rPr>
                <w:rFonts w:ascii="Arial" w:hAnsi="Arial" w:cs="Arial"/>
                <w:sz w:val="24"/>
                <w:szCs w:val="24"/>
              </w:rPr>
              <w:t xml:space="preserve">Revision </w:t>
            </w:r>
            <w:proofErr w:type="spellStart"/>
            <w:r w:rsidRPr="00FA3F9C">
              <w:rPr>
                <w:rFonts w:ascii="Arial" w:hAnsi="Arial" w:cs="Arial"/>
                <w:sz w:val="24"/>
                <w:szCs w:val="24"/>
              </w:rPr>
              <w:t>hx</w:t>
            </w:r>
            <w:proofErr w:type="spellEnd"/>
            <w:r w:rsidRPr="00FA3F9C">
              <w:rPr>
                <w:rFonts w:ascii="Arial" w:hAnsi="Arial" w:cs="Arial"/>
                <w:sz w:val="24"/>
                <w:szCs w:val="24"/>
              </w:rPr>
              <w:t xml:space="preserve"> added</w:t>
            </w:r>
          </w:p>
        </w:tc>
        <w:tc>
          <w:tcPr>
            <w:tcW w:w="1278" w:type="dxa"/>
          </w:tcPr>
          <w:p w14:paraId="2BD6EC28" w14:textId="77777777" w:rsidR="002641D2" w:rsidRPr="00FA3F9C" w:rsidRDefault="002641D2" w:rsidP="00E4013F">
            <w:pPr>
              <w:rPr>
                <w:rFonts w:ascii="Arial" w:hAnsi="Arial" w:cs="Arial"/>
                <w:sz w:val="24"/>
                <w:szCs w:val="24"/>
              </w:rPr>
            </w:pPr>
            <w:r w:rsidRPr="00FA3F9C">
              <w:rPr>
                <w:rFonts w:ascii="Arial" w:hAnsi="Arial" w:cs="Arial"/>
                <w:sz w:val="24"/>
                <w:szCs w:val="24"/>
              </w:rPr>
              <w:t>JJ</w:t>
            </w:r>
          </w:p>
        </w:tc>
      </w:tr>
      <w:tr w:rsidR="002641D2" w:rsidRPr="00FA3F9C" w14:paraId="71A2FEA9" w14:textId="77777777" w:rsidTr="004A2108">
        <w:tc>
          <w:tcPr>
            <w:tcW w:w="1278" w:type="dxa"/>
          </w:tcPr>
          <w:p w14:paraId="67D3DFA2" w14:textId="77777777" w:rsidR="002641D2" w:rsidRPr="00FA3F9C" w:rsidRDefault="002641D2" w:rsidP="00E4013F">
            <w:pPr>
              <w:rPr>
                <w:rFonts w:ascii="Arial" w:hAnsi="Arial" w:cs="Arial"/>
                <w:sz w:val="24"/>
                <w:szCs w:val="24"/>
              </w:rPr>
            </w:pPr>
            <w:r w:rsidRPr="00FA3F9C">
              <w:rPr>
                <w:rFonts w:ascii="Arial" w:hAnsi="Arial" w:cs="Arial"/>
                <w:sz w:val="24"/>
                <w:szCs w:val="24"/>
              </w:rPr>
              <w:t>10/28/15</w:t>
            </w:r>
          </w:p>
        </w:tc>
        <w:tc>
          <w:tcPr>
            <w:tcW w:w="6300" w:type="dxa"/>
          </w:tcPr>
          <w:p w14:paraId="463729FC" w14:textId="77777777" w:rsidR="002641D2" w:rsidRPr="00FA3F9C" w:rsidRDefault="002641D2" w:rsidP="004A2108">
            <w:pPr>
              <w:rPr>
                <w:rFonts w:ascii="Arial" w:hAnsi="Arial" w:cs="Arial"/>
                <w:sz w:val="24"/>
                <w:szCs w:val="24"/>
              </w:rPr>
            </w:pPr>
            <w:r w:rsidRPr="00FA3F9C">
              <w:rPr>
                <w:rFonts w:ascii="Arial" w:hAnsi="Arial" w:cs="Arial"/>
                <w:sz w:val="24"/>
                <w:szCs w:val="24"/>
              </w:rPr>
              <w:t xml:space="preserve">I revised the criteria to allow for </w:t>
            </w:r>
            <w:proofErr w:type="spellStart"/>
            <w:r w:rsidRPr="00FA3F9C">
              <w:rPr>
                <w:rFonts w:ascii="Arial" w:hAnsi="Arial" w:cs="Arial"/>
                <w:sz w:val="24"/>
                <w:szCs w:val="24"/>
              </w:rPr>
              <w:t>lacosamide</w:t>
            </w:r>
            <w:proofErr w:type="spellEnd"/>
            <w:r w:rsidRPr="00FA3F9C">
              <w:rPr>
                <w:rFonts w:ascii="Arial" w:hAnsi="Arial" w:cs="Arial"/>
                <w:sz w:val="24"/>
                <w:szCs w:val="24"/>
              </w:rPr>
              <w:t xml:space="preserve"> </w:t>
            </w:r>
            <w:proofErr w:type="spellStart"/>
            <w:r w:rsidRPr="00FA3F9C">
              <w:rPr>
                <w:rFonts w:ascii="Arial" w:hAnsi="Arial" w:cs="Arial"/>
                <w:sz w:val="24"/>
                <w:szCs w:val="24"/>
              </w:rPr>
              <w:t>monotx</w:t>
            </w:r>
            <w:proofErr w:type="spellEnd"/>
            <w:r w:rsidRPr="00FA3F9C">
              <w:rPr>
                <w:rFonts w:ascii="Arial" w:hAnsi="Arial" w:cs="Arial"/>
                <w:sz w:val="24"/>
                <w:szCs w:val="24"/>
              </w:rPr>
              <w:t xml:space="preserve"> for focal epilepsy, partial-onset seizures.  I also expanded the PA duration to be good for 12 months. </w:t>
            </w:r>
          </w:p>
        </w:tc>
        <w:tc>
          <w:tcPr>
            <w:tcW w:w="1278" w:type="dxa"/>
          </w:tcPr>
          <w:p w14:paraId="4D52841C" w14:textId="77777777" w:rsidR="002641D2" w:rsidRPr="00FA3F9C" w:rsidRDefault="002641D2" w:rsidP="00E4013F">
            <w:pPr>
              <w:rPr>
                <w:rFonts w:ascii="Arial" w:hAnsi="Arial" w:cs="Arial"/>
                <w:sz w:val="24"/>
                <w:szCs w:val="24"/>
              </w:rPr>
            </w:pPr>
            <w:r w:rsidRPr="00FA3F9C">
              <w:rPr>
                <w:rFonts w:ascii="Arial" w:hAnsi="Arial" w:cs="Arial"/>
                <w:sz w:val="24"/>
                <w:szCs w:val="24"/>
              </w:rPr>
              <w:t>JJ</w:t>
            </w:r>
          </w:p>
        </w:tc>
      </w:tr>
    </w:tbl>
    <w:p w14:paraId="15108718" w14:textId="77777777" w:rsidR="002641D2" w:rsidRPr="00FA3F9C" w:rsidRDefault="002641D2" w:rsidP="00E4013F">
      <w:pPr>
        <w:rPr>
          <w:rFonts w:ascii="Arial" w:hAnsi="Arial" w:cs="Arial"/>
          <w:sz w:val="24"/>
          <w:szCs w:val="24"/>
        </w:rPr>
      </w:pPr>
    </w:p>
    <w:p w14:paraId="361B5433" w14:textId="77777777" w:rsidR="002641D2" w:rsidRPr="00FA3F9C" w:rsidRDefault="002641D2">
      <w:pPr>
        <w:rPr>
          <w:rFonts w:ascii="Arial" w:hAnsi="Arial" w:cs="Arial"/>
          <w:sz w:val="24"/>
          <w:szCs w:val="24"/>
        </w:rPr>
      </w:pPr>
    </w:p>
    <w:p w14:paraId="3800BF0F" w14:textId="77777777" w:rsidR="002641D2" w:rsidRPr="00500AD5" w:rsidRDefault="002641D2" w:rsidP="00500AD5">
      <w:pPr>
        <w:pStyle w:val="Heading2"/>
      </w:pPr>
      <w:bookmarkStart w:id="162" w:name="_Toc106369841"/>
      <w:r w:rsidRPr="00500AD5">
        <w:rPr>
          <w:rStyle w:val="Heading2Char"/>
          <w:rFonts w:eastAsiaTheme="minorHAnsi"/>
          <w:b/>
        </w:rPr>
        <w:lastRenderedPageBreak/>
        <w:t>SOMATULINE DEPOT (</w:t>
      </w:r>
      <w:proofErr w:type="spellStart"/>
      <w:r w:rsidRPr="00500AD5">
        <w:rPr>
          <w:rStyle w:val="Heading2Char"/>
          <w:rFonts w:eastAsiaTheme="minorHAnsi"/>
          <w:b/>
        </w:rPr>
        <w:t>lanreotide</w:t>
      </w:r>
      <w:proofErr w:type="spellEnd"/>
      <w:r w:rsidRPr="00500AD5">
        <w:t>)</w:t>
      </w:r>
      <w:bookmarkEnd w:id="162"/>
      <w:r w:rsidRPr="00500AD5">
        <w:t xml:space="preserve"> </w:t>
      </w:r>
    </w:p>
    <w:p w14:paraId="0FAE7C24" w14:textId="77777777" w:rsidR="002641D2" w:rsidRPr="00FA3F9C" w:rsidRDefault="002641D2" w:rsidP="00047721">
      <w:pPr>
        <w:jc w:val="center"/>
        <w:rPr>
          <w:rFonts w:ascii="Arial" w:hAnsi="Arial" w:cs="Arial"/>
          <w:sz w:val="24"/>
          <w:szCs w:val="24"/>
        </w:rPr>
      </w:pPr>
      <w:r w:rsidRPr="00FA3F9C">
        <w:rPr>
          <w:rFonts w:ascii="Arial" w:hAnsi="Arial" w:cs="Arial"/>
          <w:sz w:val="24"/>
          <w:szCs w:val="24"/>
        </w:rPr>
        <w:t>120 mg/0.5 mL, 60 mg/0.2 mL, 90 mg/0.3 mL prefilled syringes for SQ injection</w:t>
      </w:r>
    </w:p>
    <w:p w14:paraId="33DD34D0" w14:textId="77777777" w:rsidR="002641D2" w:rsidRPr="00FA3F9C" w:rsidRDefault="002641D2" w:rsidP="00047721">
      <w:pPr>
        <w:jc w:val="center"/>
        <w:rPr>
          <w:rFonts w:ascii="Arial" w:hAnsi="Arial" w:cs="Arial"/>
          <w:sz w:val="24"/>
          <w:szCs w:val="24"/>
        </w:rPr>
      </w:pPr>
      <w:r w:rsidRPr="00FA3F9C">
        <w:rPr>
          <w:rFonts w:ascii="Arial" w:hAnsi="Arial" w:cs="Arial"/>
          <w:sz w:val="24"/>
          <w:szCs w:val="24"/>
        </w:rPr>
        <w:t>EBRx PA Criteria</w:t>
      </w:r>
    </w:p>
    <w:p w14:paraId="483FF132" w14:textId="77777777" w:rsidR="002641D2" w:rsidRPr="00FA3F9C" w:rsidRDefault="002641D2" w:rsidP="002A23A6">
      <w:pPr>
        <w:jc w:val="center"/>
        <w:rPr>
          <w:rFonts w:ascii="Arial" w:hAnsi="Arial" w:cs="Arial"/>
          <w:b/>
          <w:sz w:val="24"/>
          <w:szCs w:val="24"/>
        </w:rPr>
      </w:pPr>
    </w:p>
    <w:p w14:paraId="5814D8A4" w14:textId="77777777" w:rsidR="002641D2" w:rsidRPr="00FA3F9C" w:rsidRDefault="002641D2" w:rsidP="00047721">
      <w:pPr>
        <w:rPr>
          <w:rFonts w:ascii="Arial" w:hAnsi="Arial" w:cs="Arial"/>
          <w:b/>
          <w:sz w:val="24"/>
          <w:szCs w:val="24"/>
          <w:u w:val="single"/>
        </w:rPr>
      </w:pPr>
      <w:r w:rsidRPr="00FA3F9C">
        <w:rPr>
          <w:rFonts w:ascii="Arial" w:hAnsi="Arial" w:cs="Arial"/>
          <w:b/>
          <w:sz w:val="24"/>
          <w:szCs w:val="24"/>
          <w:u w:val="single"/>
        </w:rPr>
        <w:t>FDA approved for:</w:t>
      </w:r>
    </w:p>
    <w:p w14:paraId="32C7DE60" w14:textId="77777777" w:rsidR="002641D2" w:rsidRPr="00FA3F9C" w:rsidRDefault="002641D2" w:rsidP="002641D2">
      <w:pPr>
        <w:numPr>
          <w:ilvl w:val="0"/>
          <w:numId w:val="298"/>
        </w:numPr>
        <w:spacing w:after="0" w:line="276" w:lineRule="auto"/>
        <w:ind w:left="270" w:hanging="180"/>
        <w:rPr>
          <w:rFonts w:ascii="Arial" w:hAnsi="Arial" w:cs="Arial"/>
          <w:sz w:val="24"/>
          <w:szCs w:val="24"/>
        </w:rPr>
      </w:pPr>
      <w:r w:rsidRPr="00FA3F9C">
        <w:rPr>
          <w:rFonts w:ascii="Arial" w:hAnsi="Arial" w:cs="Arial"/>
          <w:sz w:val="24"/>
          <w:szCs w:val="24"/>
        </w:rPr>
        <w:t xml:space="preserve">the long-term treatment of acromegalic patients who have had an inadequate response to or cannot be treated with surgery and/or radiotherapy </w:t>
      </w:r>
    </w:p>
    <w:p w14:paraId="38AAD7B3" w14:textId="77777777" w:rsidR="002641D2" w:rsidRPr="00FA3F9C" w:rsidRDefault="002641D2" w:rsidP="002641D2">
      <w:pPr>
        <w:numPr>
          <w:ilvl w:val="0"/>
          <w:numId w:val="298"/>
        </w:numPr>
        <w:spacing w:after="0" w:line="276" w:lineRule="auto"/>
        <w:ind w:left="270" w:hanging="180"/>
        <w:rPr>
          <w:rFonts w:ascii="Arial" w:hAnsi="Arial" w:cs="Arial"/>
          <w:sz w:val="24"/>
          <w:szCs w:val="24"/>
        </w:rPr>
      </w:pPr>
      <w:r w:rsidRPr="00FA3F9C">
        <w:rPr>
          <w:rFonts w:ascii="Arial" w:hAnsi="Arial" w:cs="Arial"/>
          <w:sz w:val="24"/>
          <w:szCs w:val="24"/>
        </w:rPr>
        <w:t xml:space="preserve">the treatment of patients with unresectable, well- or moderately- differentiated, locally advanced or metastatic </w:t>
      </w:r>
      <w:proofErr w:type="spellStart"/>
      <w:r w:rsidRPr="00FA3F9C">
        <w:rPr>
          <w:rFonts w:ascii="Arial" w:hAnsi="Arial" w:cs="Arial"/>
          <w:sz w:val="24"/>
          <w:szCs w:val="24"/>
        </w:rPr>
        <w:t>gastroenteropancreatic</w:t>
      </w:r>
      <w:proofErr w:type="spellEnd"/>
      <w:r w:rsidRPr="00FA3F9C">
        <w:rPr>
          <w:rFonts w:ascii="Arial" w:hAnsi="Arial" w:cs="Arial"/>
          <w:sz w:val="24"/>
          <w:szCs w:val="24"/>
        </w:rPr>
        <w:t xml:space="preserve"> neuroendocrine tumors (GEP-NETs) to improve progression-free survival</w:t>
      </w:r>
    </w:p>
    <w:p w14:paraId="0D21CB2B" w14:textId="77777777" w:rsidR="002641D2" w:rsidRPr="00FA3F9C" w:rsidRDefault="002641D2" w:rsidP="002641D2">
      <w:pPr>
        <w:numPr>
          <w:ilvl w:val="0"/>
          <w:numId w:val="298"/>
        </w:numPr>
        <w:spacing w:after="0" w:line="276" w:lineRule="auto"/>
        <w:ind w:left="270" w:hanging="180"/>
        <w:rPr>
          <w:rFonts w:ascii="Arial" w:hAnsi="Arial" w:cs="Arial"/>
          <w:sz w:val="24"/>
          <w:szCs w:val="24"/>
        </w:rPr>
      </w:pPr>
      <w:r w:rsidRPr="00FA3F9C">
        <w:rPr>
          <w:rFonts w:ascii="Arial" w:hAnsi="Arial" w:cs="Arial"/>
          <w:sz w:val="24"/>
          <w:szCs w:val="24"/>
        </w:rPr>
        <w:t>the treatment of adults with carcinoid syndrome; when used, it reduces the frequency of short-acting somatostatin analog rescue therapy</w:t>
      </w:r>
    </w:p>
    <w:p w14:paraId="647BDBA1" w14:textId="77777777" w:rsidR="002641D2" w:rsidRPr="00FA3F9C" w:rsidRDefault="002641D2" w:rsidP="00425733">
      <w:pPr>
        <w:spacing w:line="276" w:lineRule="auto"/>
        <w:ind w:left="270"/>
        <w:rPr>
          <w:rFonts w:ascii="Arial" w:hAnsi="Arial" w:cs="Arial"/>
          <w:sz w:val="24"/>
          <w:szCs w:val="24"/>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68"/>
      </w:tblGrid>
      <w:tr w:rsidR="002641D2" w:rsidRPr="00FA3F9C" w14:paraId="31135BDC" w14:textId="77777777" w:rsidTr="00312070">
        <w:trPr>
          <w:trHeight w:val="251"/>
        </w:trPr>
        <w:tc>
          <w:tcPr>
            <w:tcW w:w="10368" w:type="dxa"/>
            <w:tcBorders>
              <w:bottom w:val="single" w:sz="4" w:space="0" w:color="auto"/>
            </w:tcBorders>
            <w:shd w:val="clear" w:color="auto" w:fill="000000"/>
          </w:tcPr>
          <w:p w14:paraId="7EA5935D" w14:textId="77777777" w:rsidR="002641D2" w:rsidRPr="00FA3F9C" w:rsidRDefault="002641D2" w:rsidP="00425733">
            <w:pPr>
              <w:rPr>
                <w:rFonts w:ascii="Arial" w:hAnsi="Arial" w:cs="Arial"/>
                <w:b/>
                <w:sz w:val="24"/>
                <w:szCs w:val="24"/>
                <w:u w:val="single"/>
              </w:rPr>
            </w:pPr>
            <w:r w:rsidRPr="00FA3F9C">
              <w:rPr>
                <w:rFonts w:ascii="Arial" w:hAnsi="Arial" w:cs="Arial"/>
                <w:sz w:val="24"/>
                <w:szCs w:val="24"/>
              </w:rPr>
              <w:br w:type="page"/>
            </w:r>
            <w:r w:rsidRPr="00FA3F9C">
              <w:rPr>
                <w:rFonts w:ascii="Arial" w:hAnsi="Arial" w:cs="Arial"/>
                <w:b/>
                <w:sz w:val="24"/>
                <w:szCs w:val="24"/>
                <w:u w:val="single"/>
              </w:rPr>
              <w:t>Acromegaly</w:t>
            </w:r>
          </w:p>
        </w:tc>
      </w:tr>
      <w:tr w:rsidR="002641D2" w:rsidRPr="00FA3F9C" w14:paraId="7CE08568" w14:textId="77777777" w:rsidTr="00312070">
        <w:trPr>
          <w:trHeight w:val="278"/>
        </w:trPr>
        <w:tc>
          <w:tcPr>
            <w:tcW w:w="10368" w:type="dxa"/>
            <w:vAlign w:val="center"/>
          </w:tcPr>
          <w:p w14:paraId="4EB7D12D" w14:textId="77777777" w:rsidR="002641D2" w:rsidRPr="00FA3F9C" w:rsidRDefault="002641D2" w:rsidP="002641D2">
            <w:pPr>
              <w:pStyle w:val="ListParagraph"/>
              <w:numPr>
                <w:ilvl w:val="0"/>
                <w:numId w:val="40"/>
              </w:numPr>
              <w:spacing w:after="0" w:line="240" w:lineRule="auto"/>
              <w:ind w:left="249" w:hanging="245"/>
              <w:rPr>
                <w:rFonts w:ascii="Arial" w:hAnsi="Arial" w:cs="Arial"/>
                <w:sz w:val="24"/>
                <w:szCs w:val="24"/>
              </w:rPr>
            </w:pPr>
            <w:r w:rsidRPr="00FA3F9C">
              <w:rPr>
                <w:rFonts w:ascii="Arial" w:hAnsi="Arial" w:cs="Arial"/>
                <w:sz w:val="24"/>
                <w:szCs w:val="24"/>
              </w:rPr>
              <w:t>The patient has a diagnosis of acromegaly</w:t>
            </w:r>
          </w:p>
        </w:tc>
      </w:tr>
      <w:tr w:rsidR="002641D2" w:rsidRPr="00FA3F9C" w14:paraId="3E14CD4F" w14:textId="77777777" w:rsidTr="00312070">
        <w:trPr>
          <w:trHeight w:val="206"/>
        </w:trPr>
        <w:tc>
          <w:tcPr>
            <w:tcW w:w="10368" w:type="dxa"/>
            <w:vAlign w:val="center"/>
          </w:tcPr>
          <w:p w14:paraId="4C6AF3B9" w14:textId="77777777" w:rsidR="002641D2" w:rsidRPr="00FA3F9C" w:rsidRDefault="002641D2" w:rsidP="00425733">
            <w:pPr>
              <w:rPr>
                <w:rFonts w:ascii="Arial" w:hAnsi="Arial" w:cs="Arial"/>
                <w:sz w:val="24"/>
                <w:szCs w:val="24"/>
              </w:rPr>
            </w:pPr>
            <w:r w:rsidRPr="00FA3F9C">
              <w:rPr>
                <w:rFonts w:ascii="Arial" w:hAnsi="Arial" w:cs="Arial"/>
                <w:sz w:val="24"/>
                <w:szCs w:val="24"/>
              </w:rPr>
              <w:t>2. The patient had an inadequate response to or has a contraindication to surgery and/or radiotherapy</w:t>
            </w:r>
          </w:p>
        </w:tc>
      </w:tr>
      <w:tr w:rsidR="002641D2" w:rsidRPr="00FA3F9C" w14:paraId="29604AE2" w14:textId="77777777" w:rsidTr="00425733">
        <w:trPr>
          <w:trHeight w:val="287"/>
        </w:trPr>
        <w:tc>
          <w:tcPr>
            <w:tcW w:w="10368" w:type="dxa"/>
            <w:shd w:val="clear" w:color="auto" w:fill="F2F2F2"/>
            <w:vAlign w:val="center"/>
          </w:tcPr>
          <w:p w14:paraId="3F152604" w14:textId="77777777" w:rsidR="002641D2" w:rsidRPr="00FA3F9C" w:rsidRDefault="002641D2" w:rsidP="00312070">
            <w:pPr>
              <w:rPr>
                <w:rFonts w:ascii="Arial" w:hAnsi="Arial" w:cs="Arial"/>
                <w:sz w:val="24"/>
                <w:szCs w:val="24"/>
              </w:rPr>
            </w:pPr>
            <w:r w:rsidRPr="00FA3F9C">
              <w:rPr>
                <w:rFonts w:ascii="Arial" w:hAnsi="Arial" w:cs="Arial"/>
                <w:b/>
                <w:sz w:val="24"/>
                <w:szCs w:val="24"/>
              </w:rPr>
              <w:t>If all criteria fulfilled, approve for 12 months.</w:t>
            </w:r>
          </w:p>
        </w:tc>
      </w:tr>
      <w:tr w:rsidR="002641D2" w:rsidRPr="00FA3F9C" w14:paraId="33C621C4" w14:textId="77777777" w:rsidTr="00425733">
        <w:trPr>
          <w:trHeight w:val="260"/>
        </w:trPr>
        <w:tc>
          <w:tcPr>
            <w:tcW w:w="10368" w:type="dxa"/>
            <w:tcBorders>
              <w:bottom w:val="single" w:sz="4" w:space="0" w:color="auto"/>
            </w:tcBorders>
            <w:shd w:val="clear" w:color="auto" w:fill="BFBFBF"/>
          </w:tcPr>
          <w:p w14:paraId="6E259B5D" w14:textId="77777777" w:rsidR="002641D2" w:rsidRPr="00FA3F9C" w:rsidRDefault="002641D2" w:rsidP="00076432">
            <w:pPr>
              <w:rPr>
                <w:b/>
              </w:rPr>
            </w:pPr>
            <w:r w:rsidRPr="00FA3F9C">
              <w:t xml:space="preserve">Initial </w:t>
            </w:r>
            <w:proofErr w:type="spellStart"/>
            <w:r w:rsidRPr="00FA3F9C">
              <w:t>Somatuline</w:t>
            </w:r>
            <w:proofErr w:type="spellEnd"/>
            <w:r w:rsidRPr="00FA3F9C">
              <w:t xml:space="preserve"> Depot dosing is 90 mg given via deep subcutaneous injection every 4 weeks for 3 months.  The dose is then adjusted according to growth hormone levels, insulin-like growth factor-1 levels, and clinical symptoms.</w:t>
            </w:r>
          </w:p>
        </w:tc>
      </w:tr>
    </w:tbl>
    <w:p w14:paraId="530A3418" w14:textId="77777777" w:rsidR="002641D2" w:rsidRPr="00FA3F9C" w:rsidRDefault="002641D2" w:rsidP="0015446A">
      <w:pPr>
        <w:rPr>
          <w:rFonts w:ascii="Arial" w:hAnsi="Arial" w:cs="Arial"/>
          <w:sz w:val="24"/>
          <w:szCs w:val="24"/>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68"/>
      </w:tblGrid>
      <w:tr w:rsidR="002641D2" w:rsidRPr="00FA3F9C" w14:paraId="68CD595A" w14:textId="77777777" w:rsidTr="00312070">
        <w:trPr>
          <w:trHeight w:val="251"/>
        </w:trPr>
        <w:tc>
          <w:tcPr>
            <w:tcW w:w="10368" w:type="dxa"/>
            <w:tcBorders>
              <w:bottom w:val="single" w:sz="4" w:space="0" w:color="auto"/>
            </w:tcBorders>
            <w:shd w:val="clear" w:color="auto" w:fill="000000"/>
          </w:tcPr>
          <w:p w14:paraId="497D5908" w14:textId="77777777" w:rsidR="002641D2" w:rsidRPr="00FA3F9C" w:rsidRDefault="002641D2" w:rsidP="00FA6F6C">
            <w:pPr>
              <w:rPr>
                <w:rFonts w:ascii="Arial" w:hAnsi="Arial" w:cs="Arial"/>
                <w:b/>
                <w:sz w:val="24"/>
                <w:szCs w:val="24"/>
                <w:u w:val="single"/>
              </w:rPr>
            </w:pPr>
            <w:r w:rsidRPr="00FA3F9C">
              <w:rPr>
                <w:rFonts w:ascii="Arial" w:hAnsi="Arial" w:cs="Arial"/>
                <w:sz w:val="24"/>
                <w:szCs w:val="24"/>
              </w:rPr>
              <w:br w:type="page"/>
            </w:r>
            <w:r w:rsidRPr="00FA3F9C">
              <w:rPr>
                <w:rFonts w:ascii="Arial" w:hAnsi="Arial" w:cs="Arial"/>
                <w:b/>
                <w:sz w:val="24"/>
                <w:szCs w:val="24"/>
                <w:u w:val="single"/>
              </w:rPr>
              <w:t>Neuroendocrine Tumors</w:t>
            </w:r>
          </w:p>
        </w:tc>
      </w:tr>
      <w:tr w:rsidR="002641D2" w:rsidRPr="00FA3F9C" w14:paraId="29F2FB16" w14:textId="77777777" w:rsidTr="00312070">
        <w:trPr>
          <w:trHeight w:val="278"/>
        </w:trPr>
        <w:tc>
          <w:tcPr>
            <w:tcW w:w="10368" w:type="dxa"/>
            <w:vAlign w:val="center"/>
          </w:tcPr>
          <w:p w14:paraId="28E9BC8B" w14:textId="77777777" w:rsidR="002641D2" w:rsidRPr="00FA3F9C" w:rsidRDefault="002641D2" w:rsidP="00FA6F6C">
            <w:pPr>
              <w:pStyle w:val="ListParagraph"/>
              <w:spacing w:after="0" w:line="240" w:lineRule="auto"/>
              <w:ind w:left="0"/>
              <w:rPr>
                <w:rFonts w:ascii="Arial" w:hAnsi="Arial" w:cs="Arial"/>
                <w:sz w:val="24"/>
                <w:szCs w:val="24"/>
              </w:rPr>
            </w:pPr>
            <w:r w:rsidRPr="00FA3F9C">
              <w:rPr>
                <w:rFonts w:ascii="Arial" w:hAnsi="Arial" w:cs="Arial"/>
                <w:sz w:val="24"/>
                <w:szCs w:val="24"/>
              </w:rPr>
              <w:lastRenderedPageBreak/>
              <w:t xml:space="preserve">1. The patient has a diagnosis unresectable, locally advanced, or metastatic </w:t>
            </w:r>
            <w:proofErr w:type="spellStart"/>
            <w:r w:rsidRPr="00FA3F9C">
              <w:rPr>
                <w:rFonts w:ascii="Arial" w:hAnsi="Arial" w:cs="Arial"/>
                <w:sz w:val="24"/>
                <w:szCs w:val="24"/>
              </w:rPr>
              <w:t>gastroenteropancreatic</w:t>
            </w:r>
            <w:proofErr w:type="spellEnd"/>
            <w:r w:rsidRPr="00FA3F9C">
              <w:rPr>
                <w:rFonts w:ascii="Arial" w:hAnsi="Arial" w:cs="Arial"/>
                <w:sz w:val="24"/>
                <w:szCs w:val="24"/>
              </w:rPr>
              <w:t xml:space="preserve"> neuroendocrine tumor (GEP-NET; pancreatic, small or large intestine, appendix, rectum, anal canal, anus)</w:t>
            </w:r>
          </w:p>
        </w:tc>
      </w:tr>
      <w:tr w:rsidR="002641D2" w:rsidRPr="00FA3F9C" w14:paraId="6B56BB4D" w14:textId="77777777" w:rsidTr="00312070">
        <w:trPr>
          <w:trHeight w:val="206"/>
        </w:trPr>
        <w:tc>
          <w:tcPr>
            <w:tcW w:w="10368" w:type="dxa"/>
            <w:vAlign w:val="center"/>
          </w:tcPr>
          <w:p w14:paraId="6997459E" w14:textId="77777777" w:rsidR="002641D2" w:rsidRPr="00FA3F9C" w:rsidRDefault="002641D2" w:rsidP="00FA6F6C">
            <w:pPr>
              <w:rPr>
                <w:rFonts w:ascii="Arial" w:hAnsi="Arial" w:cs="Arial"/>
                <w:sz w:val="24"/>
                <w:szCs w:val="24"/>
              </w:rPr>
            </w:pPr>
            <w:r w:rsidRPr="00FA3F9C">
              <w:rPr>
                <w:rFonts w:ascii="Arial" w:hAnsi="Arial" w:cs="Arial"/>
                <w:sz w:val="24"/>
                <w:szCs w:val="24"/>
              </w:rPr>
              <w:t>2. Tumor is well or moderately differentiated</w:t>
            </w:r>
          </w:p>
        </w:tc>
      </w:tr>
      <w:tr w:rsidR="002641D2" w:rsidRPr="00FA3F9C" w14:paraId="6A73B2BF" w14:textId="77777777" w:rsidTr="00312070">
        <w:trPr>
          <w:trHeight w:val="206"/>
        </w:trPr>
        <w:tc>
          <w:tcPr>
            <w:tcW w:w="10368" w:type="dxa"/>
            <w:vAlign w:val="center"/>
          </w:tcPr>
          <w:p w14:paraId="795C714E" w14:textId="77777777" w:rsidR="002641D2" w:rsidRPr="00FA3F9C" w:rsidRDefault="002641D2" w:rsidP="00FA6F6C">
            <w:pPr>
              <w:rPr>
                <w:rFonts w:ascii="Arial" w:hAnsi="Arial" w:cs="Arial"/>
                <w:sz w:val="24"/>
                <w:szCs w:val="24"/>
              </w:rPr>
            </w:pPr>
            <w:r w:rsidRPr="00FA3F9C">
              <w:rPr>
                <w:rFonts w:ascii="Arial" w:hAnsi="Arial" w:cs="Arial"/>
                <w:sz w:val="24"/>
                <w:szCs w:val="24"/>
              </w:rPr>
              <w:t>3. Somatostatin-receptor scintigraphy is grade 2 or higher (</w:t>
            </w:r>
            <w:proofErr w:type="gramStart"/>
            <w:r w:rsidRPr="00FA3F9C">
              <w:rPr>
                <w:rFonts w:ascii="Arial" w:hAnsi="Arial" w:cs="Arial"/>
                <w:sz w:val="24"/>
                <w:szCs w:val="24"/>
              </w:rPr>
              <w:t>e.g.</w:t>
            </w:r>
            <w:proofErr w:type="gramEnd"/>
            <w:r w:rsidRPr="00FA3F9C">
              <w:rPr>
                <w:rFonts w:ascii="Arial" w:hAnsi="Arial" w:cs="Arial"/>
                <w:sz w:val="24"/>
                <w:szCs w:val="24"/>
              </w:rPr>
              <w:t xml:space="preserve"> positive </w:t>
            </w:r>
            <w:proofErr w:type="spellStart"/>
            <w:r w:rsidRPr="00FA3F9C">
              <w:rPr>
                <w:rFonts w:ascii="Arial" w:hAnsi="Arial" w:cs="Arial"/>
                <w:sz w:val="24"/>
                <w:szCs w:val="24"/>
              </w:rPr>
              <w:t>OctreoScan</w:t>
            </w:r>
            <w:proofErr w:type="spellEnd"/>
            <w:r w:rsidRPr="00FA3F9C">
              <w:rPr>
                <w:rFonts w:ascii="Arial" w:hAnsi="Arial" w:cs="Arial"/>
                <w:sz w:val="24"/>
                <w:szCs w:val="24"/>
              </w:rPr>
              <w:t>)</w:t>
            </w:r>
          </w:p>
        </w:tc>
      </w:tr>
      <w:tr w:rsidR="002641D2" w:rsidRPr="00FA3F9C" w14:paraId="72008FD6" w14:textId="77777777" w:rsidTr="00312070">
        <w:trPr>
          <w:trHeight w:val="287"/>
        </w:trPr>
        <w:tc>
          <w:tcPr>
            <w:tcW w:w="10368" w:type="dxa"/>
            <w:shd w:val="clear" w:color="auto" w:fill="F2F2F2"/>
            <w:vAlign w:val="center"/>
          </w:tcPr>
          <w:p w14:paraId="739D3B80" w14:textId="77777777" w:rsidR="002641D2" w:rsidRPr="00FA3F9C" w:rsidRDefault="002641D2" w:rsidP="00312070">
            <w:pPr>
              <w:rPr>
                <w:rFonts w:ascii="Arial" w:hAnsi="Arial" w:cs="Arial"/>
                <w:sz w:val="24"/>
                <w:szCs w:val="24"/>
              </w:rPr>
            </w:pPr>
            <w:r w:rsidRPr="00FA3F9C">
              <w:rPr>
                <w:rFonts w:ascii="Arial" w:hAnsi="Arial" w:cs="Arial"/>
                <w:b/>
                <w:sz w:val="24"/>
                <w:szCs w:val="24"/>
              </w:rPr>
              <w:t>If all criteria fulfilled, approve for 12 months.</w:t>
            </w:r>
          </w:p>
        </w:tc>
      </w:tr>
      <w:tr w:rsidR="002641D2" w:rsidRPr="00FA3F9C" w14:paraId="3E702C3C" w14:textId="77777777" w:rsidTr="00795275">
        <w:trPr>
          <w:trHeight w:val="2393"/>
        </w:trPr>
        <w:tc>
          <w:tcPr>
            <w:tcW w:w="10368" w:type="dxa"/>
            <w:tcBorders>
              <w:bottom w:val="single" w:sz="4" w:space="0" w:color="auto"/>
            </w:tcBorders>
            <w:shd w:val="clear" w:color="auto" w:fill="BFBFBF"/>
          </w:tcPr>
          <w:p w14:paraId="1A9B0C24" w14:textId="77777777" w:rsidR="002641D2" w:rsidRPr="00FA3F9C" w:rsidRDefault="002641D2" w:rsidP="00076432">
            <w:pPr>
              <w:rPr>
                <w:b/>
              </w:rPr>
            </w:pPr>
            <w:r w:rsidRPr="00FA3F9C">
              <w:t>Dose is 120 mcg SQ every 4 weeks given until disease progression or unacceptable toxicity.</w:t>
            </w:r>
          </w:p>
          <w:p w14:paraId="492D7D3F" w14:textId="77777777" w:rsidR="002641D2" w:rsidRPr="00FA3F9C" w:rsidRDefault="002641D2" w:rsidP="00076432">
            <w:pPr>
              <w:rPr>
                <w:b/>
              </w:rPr>
            </w:pPr>
          </w:p>
          <w:p w14:paraId="712AAE41" w14:textId="77777777" w:rsidR="002641D2" w:rsidRPr="00FA3F9C" w:rsidRDefault="002641D2" w:rsidP="00076432">
            <w:pPr>
              <w:rPr>
                <w:b/>
              </w:rPr>
            </w:pPr>
            <w:proofErr w:type="spellStart"/>
            <w:r w:rsidRPr="00FA3F9C">
              <w:t>Lanreotide</w:t>
            </w:r>
            <w:proofErr w:type="spellEnd"/>
            <w:r w:rsidRPr="00FA3F9C">
              <w:t xml:space="preserve"> markedly improved progression free survival over placebo in this patient population (2-year PFS: 65% vs 33%). Overall survival was confounded by high rate (~85%) of crossover from placebo to active treatment.</w:t>
            </w:r>
          </w:p>
          <w:p w14:paraId="0D6BE1B0" w14:textId="77777777" w:rsidR="002641D2" w:rsidRPr="00FA3F9C" w:rsidRDefault="002641D2" w:rsidP="00076432">
            <w:pPr>
              <w:rPr>
                <w:rFonts w:ascii="Arial" w:hAnsi="Arial" w:cs="Arial"/>
                <w:b/>
                <w:sz w:val="24"/>
                <w:szCs w:val="24"/>
              </w:rPr>
            </w:pPr>
          </w:p>
          <w:p w14:paraId="7EBDC9F7" w14:textId="77777777" w:rsidR="002641D2" w:rsidRPr="00FA3F9C" w:rsidRDefault="002641D2" w:rsidP="00076432">
            <w:pPr>
              <w:rPr>
                <w:b/>
              </w:rPr>
            </w:pPr>
            <w:r w:rsidRPr="00FA3F9C">
              <w:t>References:</w:t>
            </w:r>
          </w:p>
          <w:p w14:paraId="51FA0F4D" w14:textId="77777777" w:rsidR="002641D2" w:rsidRPr="00FA3F9C" w:rsidRDefault="002641D2" w:rsidP="00076432">
            <w:pPr>
              <w:rPr>
                <w:b/>
              </w:rPr>
            </w:pPr>
            <w:r w:rsidRPr="00FA3F9C">
              <w:t xml:space="preserve">1. Caplin ME et al. </w:t>
            </w:r>
            <w:proofErr w:type="spellStart"/>
            <w:r w:rsidRPr="00FA3F9C">
              <w:t>Lanreotide</w:t>
            </w:r>
            <w:proofErr w:type="spellEnd"/>
            <w:r w:rsidRPr="00FA3F9C">
              <w:t xml:space="preserve"> in metastatic </w:t>
            </w:r>
            <w:proofErr w:type="spellStart"/>
            <w:r w:rsidRPr="00FA3F9C">
              <w:t>enteropancreatic</w:t>
            </w:r>
            <w:proofErr w:type="spellEnd"/>
            <w:r w:rsidRPr="00FA3F9C">
              <w:t xml:space="preserve"> neuroendocrine tumors. N </w:t>
            </w:r>
            <w:proofErr w:type="spellStart"/>
            <w:r w:rsidRPr="00FA3F9C">
              <w:t>Engl</w:t>
            </w:r>
            <w:proofErr w:type="spellEnd"/>
            <w:r w:rsidRPr="00FA3F9C">
              <w:t xml:space="preserve"> J Med. 2014 Jul 17;371(3):224-33. PMID 25014687 NCT00353496</w:t>
            </w:r>
          </w:p>
          <w:p w14:paraId="0129DF82" w14:textId="77777777" w:rsidR="002641D2" w:rsidRPr="00FA3F9C" w:rsidRDefault="002641D2" w:rsidP="00076432">
            <w:pPr>
              <w:rPr>
                <w:b/>
              </w:rPr>
            </w:pPr>
            <w:r w:rsidRPr="00FA3F9C">
              <w:t>2. Caplin ME et al. Anti-</w:t>
            </w:r>
            <w:proofErr w:type="spellStart"/>
            <w:r w:rsidRPr="00FA3F9C">
              <w:t>tumour</w:t>
            </w:r>
            <w:proofErr w:type="spellEnd"/>
            <w:r w:rsidRPr="00FA3F9C">
              <w:t xml:space="preserve"> effects of </w:t>
            </w:r>
            <w:proofErr w:type="spellStart"/>
            <w:r w:rsidRPr="00FA3F9C">
              <w:t>lanreotide</w:t>
            </w:r>
            <w:proofErr w:type="spellEnd"/>
            <w:r w:rsidRPr="00FA3F9C">
              <w:t xml:space="preserve"> for pancreatic and intestinal neuroendocrine </w:t>
            </w:r>
            <w:proofErr w:type="spellStart"/>
            <w:r w:rsidRPr="00FA3F9C">
              <w:t>tumours</w:t>
            </w:r>
            <w:proofErr w:type="spellEnd"/>
            <w:r w:rsidRPr="00FA3F9C">
              <w:t xml:space="preserve">: the CLARINET open-label extension study. </w:t>
            </w:r>
            <w:proofErr w:type="spellStart"/>
            <w:r w:rsidRPr="00FA3F9C">
              <w:t>Endocr</w:t>
            </w:r>
            <w:proofErr w:type="spellEnd"/>
            <w:r w:rsidRPr="00FA3F9C">
              <w:t xml:space="preserve"> </w:t>
            </w:r>
            <w:proofErr w:type="spellStart"/>
            <w:r w:rsidRPr="00FA3F9C">
              <w:t>Relat</w:t>
            </w:r>
            <w:proofErr w:type="spellEnd"/>
            <w:r w:rsidRPr="00FA3F9C">
              <w:t xml:space="preserve"> Cancer. 2016 Mar;23(3):191-9. PMID 26743120</w:t>
            </w:r>
          </w:p>
        </w:tc>
      </w:tr>
    </w:tbl>
    <w:p w14:paraId="705DC180" w14:textId="77777777" w:rsidR="002641D2" w:rsidRPr="00FA3F9C" w:rsidRDefault="002641D2" w:rsidP="0015446A">
      <w:pPr>
        <w:rPr>
          <w:rFonts w:ascii="Arial" w:hAnsi="Arial" w:cs="Arial"/>
          <w:sz w:val="24"/>
          <w:szCs w:val="24"/>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68"/>
      </w:tblGrid>
      <w:tr w:rsidR="002641D2" w:rsidRPr="00FA3F9C" w14:paraId="2D83C19A" w14:textId="77777777" w:rsidTr="00AC17E7">
        <w:trPr>
          <w:trHeight w:val="251"/>
        </w:trPr>
        <w:tc>
          <w:tcPr>
            <w:tcW w:w="10368" w:type="dxa"/>
            <w:tcBorders>
              <w:bottom w:val="single" w:sz="4" w:space="0" w:color="auto"/>
            </w:tcBorders>
            <w:shd w:val="clear" w:color="auto" w:fill="000000"/>
          </w:tcPr>
          <w:p w14:paraId="57D550A5" w14:textId="77777777" w:rsidR="002641D2" w:rsidRPr="00FA3F9C" w:rsidRDefault="002641D2" w:rsidP="004B6439">
            <w:pPr>
              <w:rPr>
                <w:rFonts w:ascii="Arial" w:hAnsi="Arial" w:cs="Arial"/>
                <w:b/>
                <w:sz w:val="24"/>
                <w:szCs w:val="24"/>
                <w:u w:val="single"/>
              </w:rPr>
            </w:pPr>
            <w:r w:rsidRPr="00FA3F9C">
              <w:rPr>
                <w:rFonts w:ascii="Arial" w:hAnsi="Arial" w:cs="Arial"/>
                <w:sz w:val="24"/>
                <w:szCs w:val="24"/>
              </w:rPr>
              <w:br w:type="page"/>
            </w:r>
            <w:r w:rsidRPr="00FA3F9C">
              <w:rPr>
                <w:rFonts w:ascii="Arial" w:hAnsi="Arial" w:cs="Arial"/>
                <w:b/>
                <w:sz w:val="24"/>
                <w:szCs w:val="24"/>
                <w:u w:val="single"/>
              </w:rPr>
              <w:t>Carcinoid Syndrome</w:t>
            </w:r>
          </w:p>
        </w:tc>
      </w:tr>
      <w:tr w:rsidR="002641D2" w:rsidRPr="00FA3F9C" w14:paraId="4DCB6D63" w14:textId="77777777" w:rsidTr="00AC17E7">
        <w:trPr>
          <w:trHeight w:val="278"/>
        </w:trPr>
        <w:tc>
          <w:tcPr>
            <w:tcW w:w="10368" w:type="dxa"/>
            <w:vAlign w:val="center"/>
          </w:tcPr>
          <w:p w14:paraId="32A70DDC" w14:textId="77777777" w:rsidR="002641D2" w:rsidRPr="00FA3F9C" w:rsidRDefault="002641D2" w:rsidP="008939CD">
            <w:pPr>
              <w:pStyle w:val="ListParagraph"/>
              <w:spacing w:after="0" w:line="240" w:lineRule="auto"/>
              <w:ind w:left="0"/>
              <w:rPr>
                <w:rFonts w:ascii="Arial" w:hAnsi="Arial" w:cs="Arial"/>
                <w:sz w:val="24"/>
                <w:szCs w:val="24"/>
              </w:rPr>
            </w:pPr>
            <w:r w:rsidRPr="00FA3F9C">
              <w:rPr>
                <w:rFonts w:ascii="Arial" w:hAnsi="Arial" w:cs="Arial"/>
                <w:sz w:val="24"/>
                <w:szCs w:val="24"/>
              </w:rPr>
              <w:t>1. Diagnosis of carcinoid syndrome with presence of symptoms (</w:t>
            </w:r>
            <w:proofErr w:type="gramStart"/>
            <w:r w:rsidRPr="00FA3F9C">
              <w:rPr>
                <w:rFonts w:ascii="Arial" w:hAnsi="Arial" w:cs="Arial"/>
                <w:sz w:val="24"/>
                <w:szCs w:val="24"/>
              </w:rPr>
              <w:t>e.g.</w:t>
            </w:r>
            <w:proofErr w:type="gramEnd"/>
            <w:r w:rsidRPr="00FA3F9C">
              <w:rPr>
                <w:rFonts w:ascii="Arial" w:hAnsi="Arial" w:cs="Arial"/>
                <w:sz w:val="24"/>
                <w:szCs w:val="24"/>
              </w:rPr>
              <w:t xml:space="preserve"> flushing, diarrhea)</w:t>
            </w:r>
          </w:p>
        </w:tc>
      </w:tr>
      <w:tr w:rsidR="002641D2" w:rsidRPr="00FA3F9C" w14:paraId="2AC151D7" w14:textId="77777777" w:rsidTr="00AC17E7">
        <w:trPr>
          <w:trHeight w:val="206"/>
        </w:trPr>
        <w:tc>
          <w:tcPr>
            <w:tcW w:w="10368" w:type="dxa"/>
            <w:vAlign w:val="center"/>
          </w:tcPr>
          <w:p w14:paraId="10305F36" w14:textId="77777777" w:rsidR="002641D2" w:rsidRPr="00FA3F9C" w:rsidRDefault="002641D2" w:rsidP="004B6439">
            <w:pPr>
              <w:rPr>
                <w:rFonts w:ascii="Arial" w:hAnsi="Arial" w:cs="Arial"/>
                <w:sz w:val="24"/>
                <w:szCs w:val="24"/>
              </w:rPr>
            </w:pPr>
            <w:r w:rsidRPr="00FA3F9C">
              <w:rPr>
                <w:rFonts w:ascii="Arial" w:hAnsi="Arial" w:cs="Arial"/>
                <w:sz w:val="24"/>
                <w:szCs w:val="24"/>
              </w:rPr>
              <w:t>2. Diagnosis of neuroendocrine or carcinoid tumor</w:t>
            </w:r>
          </w:p>
        </w:tc>
      </w:tr>
      <w:tr w:rsidR="002641D2" w:rsidRPr="00FA3F9C" w14:paraId="63EB4440" w14:textId="77777777" w:rsidTr="00AC17E7">
        <w:trPr>
          <w:trHeight w:val="206"/>
        </w:trPr>
        <w:tc>
          <w:tcPr>
            <w:tcW w:w="10368" w:type="dxa"/>
            <w:vAlign w:val="center"/>
          </w:tcPr>
          <w:p w14:paraId="556D79EC" w14:textId="77777777" w:rsidR="002641D2" w:rsidRPr="00FA3F9C" w:rsidRDefault="002641D2" w:rsidP="00AC17E7">
            <w:pPr>
              <w:rPr>
                <w:rFonts w:ascii="Arial" w:hAnsi="Arial" w:cs="Arial"/>
                <w:sz w:val="24"/>
                <w:szCs w:val="24"/>
              </w:rPr>
            </w:pPr>
            <w:r w:rsidRPr="00FA3F9C">
              <w:rPr>
                <w:rFonts w:ascii="Arial" w:hAnsi="Arial" w:cs="Arial"/>
                <w:sz w:val="24"/>
                <w:szCs w:val="24"/>
              </w:rPr>
              <w:t>3. Somatostatin-receptor scintigraphy is grade 2 or higher (</w:t>
            </w:r>
            <w:proofErr w:type="gramStart"/>
            <w:r w:rsidRPr="00FA3F9C">
              <w:rPr>
                <w:rFonts w:ascii="Arial" w:hAnsi="Arial" w:cs="Arial"/>
                <w:sz w:val="24"/>
                <w:szCs w:val="24"/>
              </w:rPr>
              <w:t>e.g.</w:t>
            </w:r>
            <w:proofErr w:type="gramEnd"/>
            <w:r w:rsidRPr="00FA3F9C">
              <w:rPr>
                <w:rFonts w:ascii="Arial" w:hAnsi="Arial" w:cs="Arial"/>
                <w:sz w:val="24"/>
                <w:szCs w:val="24"/>
              </w:rPr>
              <w:t xml:space="preserve"> positive </w:t>
            </w:r>
            <w:proofErr w:type="spellStart"/>
            <w:r w:rsidRPr="00FA3F9C">
              <w:rPr>
                <w:rFonts w:ascii="Arial" w:hAnsi="Arial" w:cs="Arial"/>
                <w:sz w:val="24"/>
                <w:szCs w:val="24"/>
              </w:rPr>
              <w:t>OctreoScan</w:t>
            </w:r>
            <w:proofErr w:type="spellEnd"/>
            <w:r w:rsidRPr="00FA3F9C">
              <w:rPr>
                <w:rFonts w:ascii="Arial" w:hAnsi="Arial" w:cs="Arial"/>
                <w:sz w:val="24"/>
                <w:szCs w:val="24"/>
              </w:rPr>
              <w:t>)</w:t>
            </w:r>
          </w:p>
        </w:tc>
      </w:tr>
      <w:tr w:rsidR="002641D2" w:rsidRPr="00FA3F9C" w14:paraId="28FAC8BE" w14:textId="77777777" w:rsidTr="00AC17E7">
        <w:trPr>
          <w:trHeight w:val="287"/>
        </w:trPr>
        <w:tc>
          <w:tcPr>
            <w:tcW w:w="10368" w:type="dxa"/>
            <w:shd w:val="clear" w:color="auto" w:fill="F2F2F2"/>
            <w:vAlign w:val="center"/>
          </w:tcPr>
          <w:p w14:paraId="53A62C35" w14:textId="77777777" w:rsidR="002641D2" w:rsidRPr="00FA3F9C" w:rsidRDefault="002641D2" w:rsidP="00AC17E7">
            <w:pPr>
              <w:rPr>
                <w:rFonts w:ascii="Arial" w:hAnsi="Arial" w:cs="Arial"/>
                <w:sz w:val="24"/>
                <w:szCs w:val="24"/>
              </w:rPr>
            </w:pPr>
            <w:r w:rsidRPr="00FA3F9C">
              <w:rPr>
                <w:rFonts w:ascii="Arial" w:hAnsi="Arial" w:cs="Arial"/>
                <w:b/>
                <w:sz w:val="24"/>
                <w:szCs w:val="24"/>
              </w:rPr>
              <w:t>If all criteria fulfilled, approve for 12 months.</w:t>
            </w:r>
          </w:p>
        </w:tc>
      </w:tr>
      <w:tr w:rsidR="002641D2" w:rsidRPr="00FA3F9C" w14:paraId="714BC6AE" w14:textId="77777777" w:rsidTr="008939CD">
        <w:trPr>
          <w:trHeight w:val="53"/>
        </w:trPr>
        <w:tc>
          <w:tcPr>
            <w:tcW w:w="10368" w:type="dxa"/>
            <w:tcBorders>
              <w:bottom w:val="single" w:sz="4" w:space="0" w:color="auto"/>
            </w:tcBorders>
            <w:shd w:val="clear" w:color="auto" w:fill="BFBFBF"/>
          </w:tcPr>
          <w:p w14:paraId="37F3F28C" w14:textId="77777777" w:rsidR="002641D2" w:rsidRPr="00FA3F9C" w:rsidRDefault="002641D2" w:rsidP="00076432">
            <w:pPr>
              <w:rPr>
                <w:b/>
              </w:rPr>
            </w:pPr>
            <w:r w:rsidRPr="00FA3F9C">
              <w:lastRenderedPageBreak/>
              <w:t>Dose is 120 mcg SQ every 4 weeks given until disease progression or unacceptable toxicity.</w:t>
            </w:r>
          </w:p>
          <w:p w14:paraId="24ACB050" w14:textId="77777777" w:rsidR="002641D2" w:rsidRPr="00FA3F9C" w:rsidRDefault="002641D2" w:rsidP="00076432">
            <w:pPr>
              <w:rPr>
                <w:b/>
              </w:rPr>
            </w:pPr>
          </w:p>
          <w:p w14:paraId="0FF4C388" w14:textId="77777777" w:rsidR="002641D2" w:rsidRPr="00FA3F9C" w:rsidRDefault="002641D2" w:rsidP="00076432">
            <w:pPr>
              <w:rPr>
                <w:b/>
              </w:rPr>
            </w:pPr>
            <w:proofErr w:type="spellStart"/>
            <w:r w:rsidRPr="00FA3F9C">
              <w:t>Lanreotide</w:t>
            </w:r>
            <w:proofErr w:type="spellEnd"/>
            <w:r w:rsidRPr="00FA3F9C">
              <w:t xml:space="preserve"> improves symptoms in patients with carcinoid syndrome to a greater extent than placebo.</w:t>
            </w:r>
          </w:p>
          <w:p w14:paraId="3BFE0369" w14:textId="77777777" w:rsidR="002641D2" w:rsidRPr="00FA3F9C" w:rsidRDefault="002641D2" w:rsidP="00076432">
            <w:pPr>
              <w:rPr>
                <w:b/>
              </w:rPr>
            </w:pPr>
          </w:p>
          <w:p w14:paraId="1AD5A62B" w14:textId="77777777" w:rsidR="002641D2" w:rsidRPr="00FA3F9C" w:rsidRDefault="002641D2" w:rsidP="00076432">
            <w:pPr>
              <w:rPr>
                <w:b/>
              </w:rPr>
            </w:pPr>
            <w:r w:rsidRPr="00FA3F9C">
              <w:t>Reference:</w:t>
            </w:r>
          </w:p>
          <w:p w14:paraId="11547CFE" w14:textId="77777777" w:rsidR="002641D2" w:rsidRPr="00FA3F9C" w:rsidRDefault="002641D2" w:rsidP="00076432">
            <w:pPr>
              <w:rPr>
                <w:b/>
              </w:rPr>
            </w:pPr>
            <w:r w:rsidRPr="00FA3F9C">
              <w:t xml:space="preserve">1. Fisher GA Jr et al. Patient-Reported Symptom Control of Diarrhea and Flushing in Patients with Neuroendocrine Tumors Treated with </w:t>
            </w:r>
            <w:proofErr w:type="spellStart"/>
            <w:r w:rsidRPr="00FA3F9C">
              <w:t>Lanreotide</w:t>
            </w:r>
            <w:proofErr w:type="spellEnd"/>
            <w:r w:rsidRPr="00FA3F9C">
              <w:t xml:space="preserve"> Depot/</w:t>
            </w:r>
            <w:proofErr w:type="spellStart"/>
            <w:r w:rsidRPr="00FA3F9C">
              <w:t>Autogel</w:t>
            </w:r>
            <w:proofErr w:type="spellEnd"/>
            <w:r w:rsidRPr="00FA3F9C">
              <w:t xml:space="preserve">: Results from a Randomized, Placebo-Controlled, Double-Blind and 32-Week Open-Label Study. Oncologist. 2018 Jan;23(1):16-24. </w:t>
            </w:r>
            <w:proofErr w:type="spellStart"/>
            <w:r w:rsidRPr="00FA3F9C">
              <w:t>doi</w:t>
            </w:r>
            <w:proofErr w:type="spellEnd"/>
            <w:r w:rsidRPr="00FA3F9C">
              <w:t xml:space="preserve">: 10.1634/theoncologist.2017-0284. </w:t>
            </w:r>
            <w:proofErr w:type="spellStart"/>
            <w:r w:rsidRPr="00FA3F9C">
              <w:t>Epub</w:t>
            </w:r>
            <w:proofErr w:type="spellEnd"/>
            <w:r w:rsidRPr="00FA3F9C">
              <w:t xml:space="preserve"> 2017 Oct 16. PMID 29038234</w:t>
            </w:r>
          </w:p>
        </w:tc>
      </w:tr>
    </w:tbl>
    <w:p w14:paraId="0311FA13" w14:textId="77777777" w:rsidR="002641D2" w:rsidRPr="00FA3F9C" w:rsidRDefault="002641D2" w:rsidP="0015446A">
      <w:pPr>
        <w:rPr>
          <w:rFonts w:ascii="Arial" w:hAnsi="Arial" w:cs="Arial"/>
          <w:sz w:val="24"/>
          <w:szCs w:val="24"/>
        </w:rPr>
      </w:pPr>
    </w:p>
    <w:p w14:paraId="63B35DED" w14:textId="77777777" w:rsidR="002641D2" w:rsidRPr="00FA3F9C" w:rsidRDefault="002641D2" w:rsidP="002A23A6">
      <w:pPr>
        <w:rPr>
          <w:rFonts w:ascii="Arial" w:hAnsi="Arial" w:cs="Arial"/>
          <w:sz w:val="24"/>
          <w:szCs w:val="24"/>
        </w:rPr>
      </w:pPr>
      <w:r w:rsidRPr="00FA3F9C">
        <w:rPr>
          <w:rFonts w:ascii="Arial" w:hAnsi="Arial" w:cs="Arial"/>
          <w:sz w:val="24"/>
          <w:szCs w:val="24"/>
        </w:rPr>
        <w:t xml:space="preserve">Reference:  Package Insert. </w:t>
      </w:r>
      <w:proofErr w:type="spellStart"/>
      <w:r w:rsidRPr="00FA3F9C">
        <w:rPr>
          <w:rFonts w:ascii="Arial" w:hAnsi="Arial" w:cs="Arial"/>
          <w:sz w:val="24"/>
          <w:szCs w:val="24"/>
        </w:rPr>
        <w:t>Somatuline</w:t>
      </w:r>
      <w:proofErr w:type="spellEnd"/>
      <w:r w:rsidRPr="00FA3F9C">
        <w:rPr>
          <w:rFonts w:ascii="Arial" w:hAnsi="Arial" w:cs="Arial"/>
          <w:sz w:val="24"/>
          <w:szCs w:val="24"/>
        </w:rPr>
        <w:t xml:space="preserve"> Depot. Ipsen. August 2007.</w:t>
      </w:r>
    </w:p>
    <w:p w14:paraId="732741B0" w14:textId="77777777" w:rsidR="002641D2" w:rsidRPr="00FA3F9C" w:rsidRDefault="002641D2" w:rsidP="002A23A6">
      <w:pPr>
        <w:rPr>
          <w:rFonts w:ascii="Arial" w:hAnsi="Arial" w:cs="Arial"/>
          <w:sz w:val="24"/>
          <w:szCs w:val="24"/>
        </w:rPr>
      </w:pPr>
    </w:p>
    <w:p w14:paraId="440FDFB1" w14:textId="77777777" w:rsidR="002641D2" w:rsidRPr="00FA3F9C" w:rsidRDefault="002641D2" w:rsidP="002A23A6">
      <w:pPr>
        <w:rPr>
          <w:rFonts w:ascii="Arial" w:hAnsi="Arial" w:cs="Arial"/>
          <w:sz w:val="24"/>
          <w:szCs w:val="24"/>
        </w:rPr>
      </w:pPr>
    </w:p>
    <w:p w14:paraId="300572BA" w14:textId="77777777" w:rsidR="002641D2" w:rsidRPr="00FA3F9C" w:rsidRDefault="002641D2" w:rsidP="002A23A6">
      <w:pPr>
        <w:rPr>
          <w:rFonts w:ascii="Arial" w:hAnsi="Arial" w:cs="Arial"/>
          <w:sz w:val="24"/>
          <w:szCs w:val="24"/>
        </w:rPr>
      </w:pPr>
      <w:r w:rsidRPr="00FA3F9C">
        <w:rPr>
          <w:rFonts w:ascii="Arial" w:hAnsi="Arial" w:cs="Arial"/>
          <w:sz w:val="24"/>
          <w:szCs w:val="24"/>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7650"/>
        <w:gridCol w:w="1590"/>
      </w:tblGrid>
      <w:tr w:rsidR="002641D2" w:rsidRPr="00FA3F9C" w14:paraId="38CCB7D7" w14:textId="77777777" w:rsidTr="00984253">
        <w:tc>
          <w:tcPr>
            <w:tcW w:w="1188" w:type="dxa"/>
          </w:tcPr>
          <w:p w14:paraId="5C0F12D9" w14:textId="77777777" w:rsidR="002641D2" w:rsidRPr="00FA3F9C" w:rsidRDefault="002641D2" w:rsidP="002A23A6">
            <w:pPr>
              <w:rPr>
                <w:rFonts w:ascii="Arial" w:hAnsi="Arial" w:cs="Arial"/>
                <w:sz w:val="24"/>
                <w:szCs w:val="24"/>
              </w:rPr>
            </w:pPr>
            <w:r w:rsidRPr="00FA3F9C">
              <w:rPr>
                <w:rFonts w:ascii="Arial" w:hAnsi="Arial" w:cs="Arial"/>
                <w:sz w:val="24"/>
                <w:szCs w:val="24"/>
              </w:rPr>
              <w:t>Date</w:t>
            </w:r>
          </w:p>
        </w:tc>
        <w:tc>
          <w:tcPr>
            <w:tcW w:w="7650" w:type="dxa"/>
          </w:tcPr>
          <w:p w14:paraId="49530166" w14:textId="77777777" w:rsidR="002641D2" w:rsidRPr="00FA3F9C" w:rsidRDefault="002641D2" w:rsidP="002A23A6">
            <w:pPr>
              <w:rPr>
                <w:rFonts w:ascii="Arial" w:hAnsi="Arial" w:cs="Arial"/>
                <w:sz w:val="24"/>
                <w:szCs w:val="24"/>
              </w:rPr>
            </w:pPr>
            <w:r w:rsidRPr="00FA3F9C">
              <w:rPr>
                <w:rFonts w:ascii="Arial" w:hAnsi="Arial" w:cs="Arial"/>
                <w:sz w:val="24"/>
                <w:szCs w:val="24"/>
              </w:rPr>
              <w:t>What changed?</w:t>
            </w:r>
          </w:p>
        </w:tc>
        <w:tc>
          <w:tcPr>
            <w:tcW w:w="1458" w:type="dxa"/>
          </w:tcPr>
          <w:p w14:paraId="1069757B" w14:textId="77777777" w:rsidR="002641D2" w:rsidRPr="00FA3F9C" w:rsidRDefault="002641D2" w:rsidP="002A23A6">
            <w:pPr>
              <w:rPr>
                <w:rFonts w:ascii="Arial" w:hAnsi="Arial" w:cs="Arial"/>
                <w:sz w:val="24"/>
                <w:szCs w:val="24"/>
              </w:rPr>
            </w:pPr>
            <w:r w:rsidRPr="00FA3F9C">
              <w:rPr>
                <w:rFonts w:ascii="Arial" w:hAnsi="Arial" w:cs="Arial"/>
                <w:sz w:val="24"/>
                <w:szCs w:val="24"/>
              </w:rPr>
              <w:t>Pharmacist’s initials</w:t>
            </w:r>
          </w:p>
        </w:tc>
      </w:tr>
      <w:tr w:rsidR="002641D2" w:rsidRPr="00FA3F9C" w14:paraId="4C133403" w14:textId="77777777" w:rsidTr="00984253">
        <w:tc>
          <w:tcPr>
            <w:tcW w:w="1188" w:type="dxa"/>
          </w:tcPr>
          <w:p w14:paraId="20B589E0" w14:textId="77777777" w:rsidR="002641D2" w:rsidRPr="00FA3F9C" w:rsidRDefault="002641D2" w:rsidP="002A23A6">
            <w:pPr>
              <w:rPr>
                <w:rFonts w:ascii="Arial" w:hAnsi="Arial" w:cs="Arial"/>
                <w:sz w:val="24"/>
                <w:szCs w:val="24"/>
              </w:rPr>
            </w:pPr>
            <w:r w:rsidRPr="00FA3F9C">
              <w:rPr>
                <w:rFonts w:ascii="Arial" w:hAnsi="Arial" w:cs="Arial"/>
                <w:sz w:val="24"/>
                <w:szCs w:val="24"/>
              </w:rPr>
              <w:t>3/12/08</w:t>
            </w:r>
          </w:p>
        </w:tc>
        <w:tc>
          <w:tcPr>
            <w:tcW w:w="7650" w:type="dxa"/>
          </w:tcPr>
          <w:p w14:paraId="6F7716E3" w14:textId="77777777" w:rsidR="002641D2" w:rsidRPr="00FA3F9C" w:rsidRDefault="002641D2" w:rsidP="002A23A6">
            <w:pPr>
              <w:rPr>
                <w:rFonts w:ascii="Arial" w:hAnsi="Arial" w:cs="Arial"/>
                <w:sz w:val="24"/>
                <w:szCs w:val="24"/>
              </w:rPr>
            </w:pPr>
            <w:r w:rsidRPr="00FA3F9C">
              <w:rPr>
                <w:rFonts w:ascii="Arial" w:hAnsi="Arial" w:cs="Arial"/>
                <w:sz w:val="24"/>
                <w:szCs w:val="24"/>
              </w:rPr>
              <w:t>Criteria written</w:t>
            </w:r>
          </w:p>
        </w:tc>
        <w:tc>
          <w:tcPr>
            <w:tcW w:w="1458" w:type="dxa"/>
          </w:tcPr>
          <w:p w14:paraId="46B5EB5D" w14:textId="77777777" w:rsidR="002641D2" w:rsidRPr="00FA3F9C" w:rsidRDefault="002641D2" w:rsidP="002A23A6">
            <w:pPr>
              <w:rPr>
                <w:rFonts w:ascii="Arial" w:hAnsi="Arial" w:cs="Arial"/>
                <w:sz w:val="24"/>
                <w:szCs w:val="24"/>
              </w:rPr>
            </w:pPr>
            <w:r w:rsidRPr="00FA3F9C">
              <w:rPr>
                <w:rFonts w:ascii="Arial" w:hAnsi="Arial" w:cs="Arial"/>
                <w:sz w:val="24"/>
                <w:szCs w:val="24"/>
              </w:rPr>
              <w:t>SV/JJ</w:t>
            </w:r>
          </w:p>
        </w:tc>
      </w:tr>
      <w:tr w:rsidR="002641D2" w:rsidRPr="00FA3F9C" w14:paraId="44D0B969" w14:textId="77777777" w:rsidTr="00984253">
        <w:tc>
          <w:tcPr>
            <w:tcW w:w="1188" w:type="dxa"/>
          </w:tcPr>
          <w:p w14:paraId="17BF4024" w14:textId="77777777" w:rsidR="002641D2" w:rsidRPr="00FA3F9C" w:rsidRDefault="002641D2" w:rsidP="002A23A6">
            <w:pPr>
              <w:rPr>
                <w:rFonts w:ascii="Arial" w:hAnsi="Arial" w:cs="Arial"/>
                <w:sz w:val="24"/>
                <w:szCs w:val="24"/>
              </w:rPr>
            </w:pPr>
            <w:r w:rsidRPr="00FA3F9C">
              <w:rPr>
                <w:rFonts w:ascii="Arial" w:hAnsi="Arial" w:cs="Arial"/>
                <w:sz w:val="24"/>
                <w:szCs w:val="24"/>
              </w:rPr>
              <w:t>5/15/12</w:t>
            </w:r>
          </w:p>
        </w:tc>
        <w:tc>
          <w:tcPr>
            <w:tcW w:w="7650" w:type="dxa"/>
          </w:tcPr>
          <w:p w14:paraId="1F0C71E2" w14:textId="77777777" w:rsidR="002641D2" w:rsidRPr="00FA3F9C" w:rsidRDefault="002641D2" w:rsidP="002A23A6">
            <w:pPr>
              <w:rPr>
                <w:rFonts w:ascii="Arial" w:hAnsi="Arial" w:cs="Arial"/>
                <w:sz w:val="24"/>
                <w:szCs w:val="24"/>
              </w:rPr>
            </w:pPr>
            <w:r w:rsidRPr="00FA3F9C">
              <w:rPr>
                <w:rFonts w:ascii="Arial" w:hAnsi="Arial" w:cs="Arial"/>
                <w:sz w:val="24"/>
                <w:szCs w:val="24"/>
              </w:rPr>
              <w:t xml:space="preserve">Revision </w:t>
            </w:r>
            <w:proofErr w:type="spellStart"/>
            <w:r w:rsidRPr="00FA3F9C">
              <w:rPr>
                <w:rFonts w:ascii="Arial" w:hAnsi="Arial" w:cs="Arial"/>
                <w:sz w:val="24"/>
                <w:szCs w:val="24"/>
              </w:rPr>
              <w:t>hx</w:t>
            </w:r>
            <w:proofErr w:type="spellEnd"/>
            <w:r w:rsidRPr="00FA3F9C">
              <w:rPr>
                <w:rFonts w:ascii="Arial" w:hAnsi="Arial" w:cs="Arial"/>
                <w:sz w:val="24"/>
                <w:szCs w:val="24"/>
              </w:rPr>
              <w:t xml:space="preserve"> added</w:t>
            </w:r>
          </w:p>
        </w:tc>
        <w:tc>
          <w:tcPr>
            <w:tcW w:w="1458" w:type="dxa"/>
          </w:tcPr>
          <w:p w14:paraId="3B79A58C" w14:textId="77777777" w:rsidR="002641D2" w:rsidRPr="00FA3F9C" w:rsidRDefault="002641D2" w:rsidP="002A23A6">
            <w:pPr>
              <w:rPr>
                <w:rFonts w:ascii="Arial" w:hAnsi="Arial" w:cs="Arial"/>
                <w:sz w:val="24"/>
                <w:szCs w:val="24"/>
              </w:rPr>
            </w:pPr>
            <w:r w:rsidRPr="00FA3F9C">
              <w:rPr>
                <w:rFonts w:ascii="Arial" w:hAnsi="Arial" w:cs="Arial"/>
                <w:sz w:val="24"/>
                <w:szCs w:val="24"/>
              </w:rPr>
              <w:t>JJ</w:t>
            </w:r>
          </w:p>
        </w:tc>
      </w:tr>
      <w:tr w:rsidR="002641D2" w:rsidRPr="00FA3F9C" w14:paraId="6726C251" w14:textId="77777777" w:rsidTr="00984253">
        <w:tc>
          <w:tcPr>
            <w:tcW w:w="1188" w:type="dxa"/>
          </w:tcPr>
          <w:p w14:paraId="1665CAE9" w14:textId="77777777" w:rsidR="002641D2" w:rsidRPr="00FA3F9C" w:rsidRDefault="002641D2" w:rsidP="002A23A6">
            <w:pPr>
              <w:rPr>
                <w:rFonts w:ascii="Arial" w:hAnsi="Arial" w:cs="Arial"/>
                <w:sz w:val="24"/>
                <w:szCs w:val="24"/>
              </w:rPr>
            </w:pPr>
            <w:r w:rsidRPr="00FA3F9C">
              <w:rPr>
                <w:rFonts w:ascii="Arial" w:hAnsi="Arial" w:cs="Arial"/>
                <w:sz w:val="24"/>
                <w:szCs w:val="24"/>
              </w:rPr>
              <w:t>8/26/19</w:t>
            </w:r>
          </w:p>
        </w:tc>
        <w:tc>
          <w:tcPr>
            <w:tcW w:w="7650" w:type="dxa"/>
          </w:tcPr>
          <w:p w14:paraId="5A261759" w14:textId="77777777" w:rsidR="002641D2" w:rsidRPr="00FA3F9C" w:rsidRDefault="002641D2" w:rsidP="002A23A6">
            <w:pPr>
              <w:rPr>
                <w:rFonts w:ascii="Arial" w:hAnsi="Arial" w:cs="Arial"/>
                <w:sz w:val="24"/>
                <w:szCs w:val="24"/>
              </w:rPr>
            </w:pPr>
            <w:r w:rsidRPr="00FA3F9C">
              <w:rPr>
                <w:rFonts w:ascii="Arial" w:hAnsi="Arial" w:cs="Arial"/>
                <w:sz w:val="24"/>
                <w:szCs w:val="24"/>
              </w:rPr>
              <w:t>Criteria reviewed. Added coverage for neuroendocrine tumor indications</w:t>
            </w:r>
          </w:p>
        </w:tc>
        <w:tc>
          <w:tcPr>
            <w:tcW w:w="1458" w:type="dxa"/>
          </w:tcPr>
          <w:p w14:paraId="025A8ED9" w14:textId="77777777" w:rsidR="002641D2" w:rsidRPr="00FA3F9C" w:rsidRDefault="002641D2" w:rsidP="002A23A6">
            <w:pPr>
              <w:rPr>
                <w:rFonts w:ascii="Arial" w:hAnsi="Arial" w:cs="Arial"/>
                <w:sz w:val="24"/>
                <w:szCs w:val="24"/>
              </w:rPr>
            </w:pPr>
            <w:r w:rsidRPr="00FA3F9C">
              <w:rPr>
                <w:rFonts w:ascii="Arial" w:hAnsi="Arial" w:cs="Arial"/>
                <w:sz w:val="24"/>
                <w:szCs w:val="24"/>
              </w:rPr>
              <w:t>SK</w:t>
            </w:r>
          </w:p>
        </w:tc>
      </w:tr>
      <w:tr w:rsidR="002641D2" w:rsidRPr="00FA3F9C" w14:paraId="674EE796" w14:textId="77777777" w:rsidTr="00984253">
        <w:tc>
          <w:tcPr>
            <w:tcW w:w="1188" w:type="dxa"/>
          </w:tcPr>
          <w:p w14:paraId="54F99311" w14:textId="77777777" w:rsidR="002641D2" w:rsidRPr="00FA3F9C" w:rsidRDefault="002641D2" w:rsidP="002A23A6">
            <w:pPr>
              <w:rPr>
                <w:rFonts w:ascii="Arial" w:hAnsi="Arial" w:cs="Arial"/>
                <w:sz w:val="24"/>
                <w:szCs w:val="24"/>
              </w:rPr>
            </w:pPr>
            <w:r w:rsidRPr="00FA3F9C">
              <w:rPr>
                <w:rFonts w:ascii="Arial" w:hAnsi="Arial" w:cs="Arial"/>
                <w:sz w:val="24"/>
                <w:szCs w:val="24"/>
              </w:rPr>
              <w:t>1/29/2020</w:t>
            </w:r>
          </w:p>
        </w:tc>
        <w:tc>
          <w:tcPr>
            <w:tcW w:w="7650" w:type="dxa"/>
          </w:tcPr>
          <w:p w14:paraId="058BC467" w14:textId="77777777" w:rsidR="002641D2" w:rsidRPr="00FA3F9C" w:rsidRDefault="002641D2" w:rsidP="004B6439">
            <w:pPr>
              <w:rPr>
                <w:rFonts w:ascii="Arial" w:hAnsi="Arial" w:cs="Arial"/>
                <w:sz w:val="24"/>
                <w:szCs w:val="24"/>
              </w:rPr>
            </w:pPr>
            <w:r w:rsidRPr="00FA3F9C">
              <w:rPr>
                <w:rFonts w:ascii="Arial" w:hAnsi="Arial" w:cs="Arial"/>
                <w:sz w:val="24"/>
                <w:szCs w:val="24"/>
              </w:rPr>
              <w:t>Criteria reviewed. Listed additional FDA indication for carcinoid syndrome (covered with criteria).</w:t>
            </w:r>
          </w:p>
        </w:tc>
        <w:tc>
          <w:tcPr>
            <w:tcW w:w="1458" w:type="dxa"/>
          </w:tcPr>
          <w:p w14:paraId="5DFA52FF" w14:textId="77777777" w:rsidR="002641D2" w:rsidRPr="00FA3F9C" w:rsidRDefault="002641D2" w:rsidP="002A23A6">
            <w:pPr>
              <w:rPr>
                <w:rFonts w:ascii="Arial" w:hAnsi="Arial" w:cs="Arial"/>
                <w:sz w:val="24"/>
                <w:szCs w:val="24"/>
              </w:rPr>
            </w:pPr>
            <w:proofErr w:type="spellStart"/>
            <w:r w:rsidRPr="00FA3F9C">
              <w:rPr>
                <w:rFonts w:ascii="Arial" w:hAnsi="Arial" w:cs="Arial"/>
                <w:sz w:val="24"/>
                <w:szCs w:val="24"/>
              </w:rPr>
              <w:t>Sk</w:t>
            </w:r>
            <w:proofErr w:type="spellEnd"/>
          </w:p>
        </w:tc>
      </w:tr>
      <w:tr w:rsidR="002641D2" w:rsidRPr="00FA3F9C" w14:paraId="35CEFBF3" w14:textId="77777777" w:rsidTr="00984253">
        <w:tc>
          <w:tcPr>
            <w:tcW w:w="1188" w:type="dxa"/>
          </w:tcPr>
          <w:p w14:paraId="5917555C" w14:textId="77777777" w:rsidR="002641D2" w:rsidRPr="00FA3F9C" w:rsidRDefault="002641D2" w:rsidP="002A23A6">
            <w:pPr>
              <w:rPr>
                <w:rFonts w:ascii="Arial" w:hAnsi="Arial" w:cs="Arial"/>
                <w:sz w:val="24"/>
                <w:szCs w:val="24"/>
              </w:rPr>
            </w:pPr>
            <w:r w:rsidRPr="00FA3F9C">
              <w:rPr>
                <w:rFonts w:ascii="Arial" w:hAnsi="Arial" w:cs="Arial"/>
                <w:sz w:val="24"/>
                <w:szCs w:val="24"/>
              </w:rPr>
              <w:lastRenderedPageBreak/>
              <w:t>3/29/2021</w:t>
            </w:r>
          </w:p>
        </w:tc>
        <w:tc>
          <w:tcPr>
            <w:tcW w:w="7650" w:type="dxa"/>
          </w:tcPr>
          <w:p w14:paraId="6F328B87" w14:textId="77777777" w:rsidR="002641D2" w:rsidRPr="00FA3F9C" w:rsidRDefault="002641D2" w:rsidP="004B6439">
            <w:pPr>
              <w:rPr>
                <w:rFonts w:ascii="Arial" w:hAnsi="Arial" w:cs="Arial"/>
                <w:sz w:val="24"/>
                <w:szCs w:val="24"/>
              </w:rPr>
            </w:pPr>
            <w:r w:rsidRPr="00FA3F9C">
              <w:rPr>
                <w:rFonts w:ascii="Arial" w:hAnsi="Arial" w:cs="Arial"/>
                <w:sz w:val="24"/>
                <w:szCs w:val="24"/>
              </w:rPr>
              <w:t>Criteria reviewed. No change</w:t>
            </w:r>
          </w:p>
        </w:tc>
        <w:tc>
          <w:tcPr>
            <w:tcW w:w="1458" w:type="dxa"/>
          </w:tcPr>
          <w:p w14:paraId="011FA379" w14:textId="77777777" w:rsidR="002641D2" w:rsidRPr="00FA3F9C" w:rsidRDefault="002641D2" w:rsidP="002A23A6">
            <w:pPr>
              <w:rPr>
                <w:rFonts w:ascii="Arial" w:hAnsi="Arial" w:cs="Arial"/>
                <w:sz w:val="24"/>
                <w:szCs w:val="24"/>
              </w:rPr>
            </w:pPr>
            <w:r w:rsidRPr="00FA3F9C">
              <w:rPr>
                <w:rFonts w:ascii="Arial" w:hAnsi="Arial" w:cs="Arial"/>
                <w:sz w:val="24"/>
                <w:szCs w:val="24"/>
              </w:rPr>
              <w:t>SK</w:t>
            </w:r>
          </w:p>
        </w:tc>
      </w:tr>
    </w:tbl>
    <w:p w14:paraId="60A46C72" w14:textId="77777777" w:rsidR="002641D2" w:rsidRPr="00FA3F9C" w:rsidRDefault="002641D2" w:rsidP="00E139B4">
      <w:pPr>
        <w:rPr>
          <w:rFonts w:ascii="Arial" w:hAnsi="Arial" w:cs="Arial"/>
          <w:sz w:val="24"/>
          <w:szCs w:val="24"/>
        </w:rPr>
      </w:pPr>
    </w:p>
    <w:p w14:paraId="56854F0A" w14:textId="77777777" w:rsidR="002641D2" w:rsidRPr="00FA3F9C" w:rsidRDefault="002641D2" w:rsidP="0015446A">
      <w:pPr>
        <w:jc w:val="right"/>
        <w:rPr>
          <w:rFonts w:ascii="Arial" w:hAnsi="Arial" w:cs="Arial"/>
          <w:sz w:val="24"/>
          <w:szCs w:val="24"/>
        </w:rPr>
      </w:pPr>
    </w:p>
    <w:p w14:paraId="53360880" w14:textId="77777777" w:rsidR="002641D2" w:rsidRPr="00FA3F9C" w:rsidRDefault="002641D2" w:rsidP="002A23A6">
      <w:pPr>
        <w:jc w:val="center"/>
        <w:rPr>
          <w:rFonts w:ascii="Arial" w:hAnsi="Arial" w:cs="Arial"/>
          <w:b/>
          <w:sz w:val="24"/>
          <w:szCs w:val="24"/>
        </w:rPr>
      </w:pPr>
    </w:p>
    <w:p w14:paraId="5AF0F67B" w14:textId="77777777" w:rsidR="002641D2" w:rsidRPr="00FA3F9C" w:rsidRDefault="002641D2" w:rsidP="002A1632">
      <w:pPr>
        <w:pStyle w:val="Heading2"/>
      </w:pPr>
      <w:bookmarkStart w:id="163" w:name="_Toc106369842"/>
      <w:proofErr w:type="spellStart"/>
      <w:r w:rsidRPr="00FA3F9C">
        <w:t>Lapatanib</w:t>
      </w:r>
      <w:proofErr w:type="spellEnd"/>
      <w:r w:rsidRPr="00FA3F9C">
        <w:t xml:space="preserve"> (</w:t>
      </w:r>
      <w:proofErr w:type="spellStart"/>
      <w:r w:rsidRPr="00FA3F9C">
        <w:t>Tykerb</w:t>
      </w:r>
      <w:proofErr w:type="spellEnd"/>
      <w:r w:rsidRPr="00FA3F9C">
        <w:t>)</w:t>
      </w:r>
      <w:bookmarkEnd w:id="163"/>
      <w:r w:rsidRPr="00FA3F9C">
        <w:t xml:space="preserve"> </w:t>
      </w:r>
    </w:p>
    <w:p w14:paraId="692CC0AC" w14:textId="77777777" w:rsidR="002641D2" w:rsidRPr="00FA3F9C" w:rsidRDefault="002641D2" w:rsidP="00B11E6A">
      <w:pPr>
        <w:jc w:val="center"/>
        <w:rPr>
          <w:rFonts w:ascii="Arial" w:hAnsi="Arial" w:cs="Arial"/>
          <w:sz w:val="24"/>
          <w:szCs w:val="24"/>
        </w:rPr>
      </w:pPr>
      <w:r w:rsidRPr="00FA3F9C">
        <w:rPr>
          <w:rFonts w:ascii="Arial" w:hAnsi="Arial" w:cs="Arial"/>
          <w:sz w:val="24"/>
          <w:szCs w:val="24"/>
        </w:rPr>
        <w:t xml:space="preserve">250 mg tablets </w:t>
      </w:r>
    </w:p>
    <w:p w14:paraId="74E86737" w14:textId="77777777" w:rsidR="002641D2" w:rsidRPr="00FA3F9C" w:rsidRDefault="002641D2" w:rsidP="002A23A6">
      <w:pPr>
        <w:jc w:val="center"/>
        <w:rPr>
          <w:rFonts w:ascii="Arial" w:hAnsi="Arial" w:cs="Arial"/>
          <w:b/>
          <w:sz w:val="24"/>
          <w:szCs w:val="24"/>
        </w:rPr>
      </w:pPr>
      <w:r w:rsidRPr="00FA3F9C">
        <w:rPr>
          <w:rFonts w:ascii="Arial" w:hAnsi="Arial" w:cs="Arial"/>
          <w:sz w:val="24"/>
          <w:szCs w:val="24"/>
        </w:rPr>
        <w:t>EBRx PA criteria</w:t>
      </w:r>
    </w:p>
    <w:p w14:paraId="12CC95EE" w14:textId="77777777" w:rsidR="002641D2" w:rsidRPr="00FA3F9C" w:rsidRDefault="002641D2" w:rsidP="00C02BA5">
      <w:pPr>
        <w:rPr>
          <w:rFonts w:ascii="Arial" w:hAnsi="Arial" w:cs="Arial"/>
          <w:b/>
          <w:sz w:val="24"/>
          <w:szCs w:val="24"/>
        </w:rPr>
      </w:pPr>
    </w:p>
    <w:p w14:paraId="4DA08322" w14:textId="77777777" w:rsidR="002641D2" w:rsidRPr="00FA3F9C" w:rsidRDefault="002641D2" w:rsidP="00706B13">
      <w:pPr>
        <w:spacing w:line="276" w:lineRule="auto"/>
        <w:rPr>
          <w:rFonts w:ascii="Arial" w:hAnsi="Arial" w:cs="Arial"/>
          <w:b/>
          <w:sz w:val="24"/>
          <w:szCs w:val="24"/>
          <w:u w:val="single"/>
        </w:rPr>
      </w:pPr>
      <w:r w:rsidRPr="00FA3F9C">
        <w:rPr>
          <w:rFonts w:ascii="Arial" w:hAnsi="Arial" w:cs="Arial"/>
          <w:b/>
          <w:sz w:val="24"/>
          <w:szCs w:val="24"/>
          <w:u w:val="single"/>
        </w:rPr>
        <w:t>FDA approved for:</w:t>
      </w:r>
    </w:p>
    <w:p w14:paraId="21D3879F" w14:textId="77777777" w:rsidR="002641D2" w:rsidRPr="00FA3F9C" w:rsidRDefault="002641D2" w:rsidP="002641D2">
      <w:pPr>
        <w:numPr>
          <w:ilvl w:val="0"/>
          <w:numId w:val="299"/>
        </w:numPr>
        <w:spacing w:after="0" w:line="276" w:lineRule="auto"/>
        <w:ind w:left="360"/>
        <w:rPr>
          <w:rFonts w:ascii="Arial" w:hAnsi="Arial" w:cs="Arial"/>
          <w:b/>
          <w:sz w:val="24"/>
          <w:szCs w:val="24"/>
        </w:rPr>
      </w:pPr>
      <w:r w:rsidRPr="00FA3F9C">
        <w:rPr>
          <w:rFonts w:ascii="Arial" w:hAnsi="Arial" w:cs="Arial"/>
          <w:sz w:val="24"/>
          <w:szCs w:val="24"/>
          <w:u w:val="single"/>
        </w:rPr>
        <w:t>With capecitabine</w:t>
      </w:r>
      <w:r w:rsidRPr="00FA3F9C">
        <w:rPr>
          <w:rFonts w:ascii="Arial" w:hAnsi="Arial" w:cs="Arial"/>
          <w:sz w:val="24"/>
          <w:szCs w:val="24"/>
        </w:rPr>
        <w:t xml:space="preserve"> for the treatment of patients with advanced or metastatic breast cancer whose tumors overexpress human epidermal growth factor receptor 2 (HER2) and who have received prior therapy including an anthracycline, a </w:t>
      </w:r>
      <w:proofErr w:type="spellStart"/>
      <w:r w:rsidRPr="00FA3F9C">
        <w:rPr>
          <w:rFonts w:ascii="Arial" w:hAnsi="Arial" w:cs="Arial"/>
          <w:sz w:val="24"/>
          <w:szCs w:val="24"/>
        </w:rPr>
        <w:t>taxane</w:t>
      </w:r>
      <w:proofErr w:type="spellEnd"/>
      <w:r w:rsidRPr="00FA3F9C">
        <w:rPr>
          <w:rFonts w:ascii="Arial" w:hAnsi="Arial" w:cs="Arial"/>
          <w:sz w:val="24"/>
          <w:szCs w:val="24"/>
        </w:rPr>
        <w:t xml:space="preserve">, and trastuzumab. </w:t>
      </w:r>
    </w:p>
    <w:p w14:paraId="4B069130" w14:textId="77777777" w:rsidR="002641D2" w:rsidRPr="00FA3F9C" w:rsidRDefault="002641D2" w:rsidP="002641D2">
      <w:pPr>
        <w:numPr>
          <w:ilvl w:val="1"/>
          <w:numId w:val="299"/>
        </w:numPr>
        <w:spacing w:after="0" w:line="276" w:lineRule="auto"/>
        <w:ind w:left="720"/>
        <w:rPr>
          <w:rFonts w:ascii="Arial" w:hAnsi="Arial" w:cs="Arial"/>
          <w:b/>
          <w:sz w:val="24"/>
          <w:szCs w:val="24"/>
        </w:rPr>
      </w:pPr>
      <w:r w:rsidRPr="00FA3F9C">
        <w:rPr>
          <w:rFonts w:ascii="Arial" w:hAnsi="Arial" w:cs="Arial"/>
          <w:sz w:val="24"/>
          <w:szCs w:val="24"/>
        </w:rPr>
        <w:t xml:space="preserve">Limitations of Use: Patients should have disease progression on trastuzumab prior to initiation of treatment with lapatinib in combination with capecitabine. </w:t>
      </w:r>
    </w:p>
    <w:p w14:paraId="55FCC1A4" w14:textId="77777777" w:rsidR="002641D2" w:rsidRPr="00FA3F9C" w:rsidRDefault="002641D2" w:rsidP="002641D2">
      <w:pPr>
        <w:numPr>
          <w:ilvl w:val="0"/>
          <w:numId w:val="299"/>
        </w:numPr>
        <w:spacing w:after="0" w:line="276" w:lineRule="auto"/>
        <w:ind w:left="360"/>
        <w:rPr>
          <w:rFonts w:ascii="Arial" w:hAnsi="Arial" w:cs="Arial"/>
          <w:b/>
          <w:sz w:val="24"/>
          <w:szCs w:val="24"/>
        </w:rPr>
      </w:pPr>
      <w:r w:rsidRPr="00FA3F9C">
        <w:rPr>
          <w:rFonts w:ascii="Arial" w:hAnsi="Arial" w:cs="Arial"/>
          <w:sz w:val="24"/>
          <w:szCs w:val="24"/>
          <w:u w:val="single"/>
        </w:rPr>
        <w:t>With letrozole</w:t>
      </w:r>
      <w:r w:rsidRPr="00FA3F9C">
        <w:rPr>
          <w:rFonts w:ascii="Arial" w:hAnsi="Arial" w:cs="Arial"/>
          <w:sz w:val="24"/>
          <w:szCs w:val="24"/>
        </w:rPr>
        <w:t xml:space="preserve"> for the treatment of postmenopausal women with hormone receptor-positive metastatic breast cancer that overexpresses the HER2 receptor for whom hormonal therapy is indicated. </w:t>
      </w:r>
    </w:p>
    <w:p w14:paraId="5C9D9D4C" w14:textId="77777777" w:rsidR="002641D2" w:rsidRPr="00FA3F9C" w:rsidRDefault="002641D2" w:rsidP="002641D2">
      <w:pPr>
        <w:numPr>
          <w:ilvl w:val="1"/>
          <w:numId w:val="299"/>
        </w:numPr>
        <w:spacing w:after="0" w:line="276" w:lineRule="auto"/>
        <w:ind w:left="720"/>
        <w:rPr>
          <w:rFonts w:ascii="Arial" w:hAnsi="Arial" w:cs="Arial"/>
          <w:b/>
          <w:sz w:val="24"/>
          <w:szCs w:val="24"/>
          <w:highlight w:val="yellow"/>
        </w:rPr>
      </w:pPr>
      <w:r w:rsidRPr="00FA3F9C">
        <w:rPr>
          <w:rFonts w:ascii="Arial" w:hAnsi="Arial" w:cs="Arial"/>
          <w:sz w:val="24"/>
          <w:szCs w:val="24"/>
          <w:highlight w:val="yellow"/>
        </w:rPr>
        <w:t xml:space="preserve">NOT COVERED: </w:t>
      </w:r>
      <w:r w:rsidRPr="00FA3F9C">
        <w:rPr>
          <w:rFonts w:ascii="Arial" w:hAnsi="Arial" w:cs="Arial"/>
          <w:sz w:val="24"/>
          <w:szCs w:val="24"/>
        </w:rPr>
        <w:t xml:space="preserve">In patients with untreated HER2+, HR+ metastatic breast cancer, </w:t>
      </w:r>
      <w:proofErr w:type="spellStart"/>
      <w:r w:rsidRPr="00FA3F9C">
        <w:rPr>
          <w:rFonts w:ascii="Arial" w:hAnsi="Arial" w:cs="Arial"/>
          <w:sz w:val="24"/>
          <w:szCs w:val="24"/>
        </w:rPr>
        <w:t>lapatinib+letrozole</w:t>
      </w:r>
      <w:proofErr w:type="spellEnd"/>
      <w:r w:rsidRPr="00FA3F9C">
        <w:rPr>
          <w:rFonts w:ascii="Arial" w:hAnsi="Arial" w:cs="Arial"/>
          <w:sz w:val="24"/>
          <w:szCs w:val="24"/>
        </w:rPr>
        <w:t xml:space="preserve"> improved progression free survival compared to letrozole alone (median 8 </w:t>
      </w:r>
      <w:proofErr w:type="spellStart"/>
      <w:r w:rsidRPr="00FA3F9C">
        <w:rPr>
          <w:rFonts w:ascii="Arial" w:hAnsi="Arial" w:cs="Arial"/>
          <w:sz w:val="24"/>
          <w:szCs w:val="24"/>
        </w:rPr>
        <w:t>mo</w:t>
      </w:r>
      <w:proofErr w:type="spellEnd"/>
      <w:r w:rsidRPr="00FA3F9C">
        <w:rPr>
          <w:rFonts w:ascii="Arial" w:hAnsi="Arial" w:cs="Arial"/>
          <w:sz w:val="24"/>
          <w:szCs w:val="24"/>
        </w:rPr>
        <w:t xml:space="preserve"> vs 3 </w:t>
      </w:r>
      <w:proofErr w:type="spellStart"/>
      <w:r w:rsidRPr="00FA3F9C">
        <w:rPr>
          <w:rFonts w:ascii="Arial" w:hAnsi="Arial" w:cs="Arial"/>
          <w:sz w:val="24"/>
          <w:szCs w:val="24"/>
        </w:rPr>
        <w:t>mo</w:t>
      </w:r>
      <w:proofErr w:type="spellEnd"/>
      <w:r w:rsidRPr="00FA3F9C">
        <w:rPr>
          <w:rFonts w:ascii="Arial" w:hAnsi="Arial" w:cs="Arial"/>
          <w:sz w:val="24"/>
          <w:szCs w:val="24"/>
        </w:rPr>
        <w:t xml:space="preserve">), but an overall survival benefit has not yet been demonstrated. In a similar patient population, </w:t>
      </w:r>
      <w:proofErr w:type="spellStart"/>
      <w:r w:rsidRPr="00FA3F9C">
        <w:rPr>
          <w:rFonts w:ascii="Arial" w:hAnsi="Arial" w:cs="Arial"/>
          <w:sz w:val="24"/>
          <w:szCs w:val="24"/>
        </w:rPr>
        <w:t>trastuzumab+anastrozole</w:t>
      </w:r>
      <w:proofErr w:type="spellEnd"/>
      <w:r w:rsidRPr="00FA3F9C">
        <w:rPr>
          <w:rFonts w:ascii="Arial" w:hAnsi="Arial" w:cs="Arial"/>
          <w:sz w:val="24"/>
          <w:szCs w:val="24"/>
        </w:rPr>
        <w:t xml:space="preserve"> improved overall survival compared with anastrozole alone (median 29 </w:t>
      </w:r>
      <w:proofErr w:type="spellStart"/>
      <w:r w:rsidRPr="00FA3F9C">
        <w:rPr>
          <w:rFonts w:ascii="Arial" w:hAnsi="Arial" w:cs="Arial"/>
          <w:sz w:val="24"/>
          <w:szCs w:val="24"/>
        </w:rPr>
        <w:t>mo</w:t>
      </w:r>
      <w:proofErr w:type="spellEnd"/>
      <w:r w:rsidRPr="00FA3F9C">
        <w:rPr>
          <w:rFonts w:ascii="Arial" w:hAnsi="Arial" w:cs="Arial"/>
          <w:sz w:val="24"/>
          <w:szCs w:val="24"/>
        </w:rPr>
        <w:t xml:space="preserve"> vs 17 </w:t>
      </w:r>
      <w:proofErr w:type="spellStart"/>
      <w:r w:rsidRPr="00FA3F9C">
        <w:rPr>
          <w:rFonts w:ascii="Arial" w:hAnsi="Arial" w:cs="Arial"/>
          <w:sz w:val="24"/>
          <w:szCs w:val="24"/>
        </w:rPr>
        <w:t>mo</w:t>
      </w:r>
      <w:proofErr w:type="spellEnd"/>
      <w:r w:rsidRPr="00FA3F9C">
        <w:rPr>
          <w:rFonts w:ascii="Arial" w:hAnsi="Arial" w:cs="Arial"/>
          <w:sz w:val="24"/>
          <w:szCs w:val="24"/>
        </w:rPr>
        <w:t xml:space="preserve">) in an analysis that excluded patients who crossed over. Therefore, trastuzumab will be preferred over lapatinib when HER2+ therapy is to be given with an aromatase inhibitor. </w:t>
      </w:r>
    </w:p>
    <w:p w14:paraId="25A85BF4" w14:textId="77777777" w:rsidR="002641D2" w:rsidRPr="00FA3F9C" w:rsidRDefault="002641D2" w:rsidP="002641D2">
      <w:pPr>
        <w:numPr>
          <w:ilvl w:val="2"/>
          <w:numId w:val="299"/>
        </w:numPr>
        <w:spacing w:after="0" w:line="276" w:lineRule="auto"/>
        <w:ind w:left="990" w:hanging="180"/>
        <w:rPr>
          <w:rFonts w:ascii="Arial" w:hAnsi="Arial" w:cs="Arial"/>
          <w:sz w:val="24"/>
          <w:szCs w:val="24"/>
        </w:rPr>
      </w:pPr>
      <w:r w:rsidRPr="00FA3F9C">
        <w:rPr>
          <w:rFonts w:ascii="Arial" w:hAnsi="Arial" w:cs="Arial"/>
          <w:sz w:val="24"/>
          <w:szCs w:val="24"/>
        </w:rPr>
        <w:t>References:</w:t>
      </w:r>
    </w:p>
    <w:p w14:paraId="46DC7655" w14:textId="77777777" w:rsidR="002641D2" w:rsidRPr="00FA3F9C" w:rsidRDefault="002641D2" w:rsidP="002641D2">
      <w:pPr>
        <w:numPr>
          <w:ilvl w:val="2"/>
          <w:numId w:val="300"/>
        </w:numPr>
        <w:spacing w:after="0" w:line="276" w:lineRule="auto"/>
        <w:ind w:left="1170" w:hanging="180"/>
        <w:rPr>
          <w:rFonts w:ascii="Arial" w:hAnsi="Arial" w:cs="Arial"/>
          <w:sz w:val="24"/>
          <w:szCs w:val="24"/>
        </w:rPr>
      </w:pPr>
      <w:r w:rsidRPr="00FA3F9C">
        <w:rPr>
          <w:rFonts w:ascii="Arial" w:hAnsi="Arial" w:cs="Arial"/>
          <w:sz w:val="24"/>
          <w:szCs w:val="24"/>
        </w:rPr>
        <w:t>Schwartzberg LS et al. Lapatinib plus letrozole as first-line therapy for HER-2+ hormone receptor-positive metastatic breast cancer. Oncologist. 2010;15(2):122-9. PMID 20156908</w:t>
      </w:r>
    </w:p>
    <w:p w14:paraId="12B47ACA" w14:textId="77777777" w:rsidR="002641D2" w:rsidRPr="00FA3F9C" w:rsidRDefault="002641D2" w:rsidP="002641D2">
      <w:pPr>
        <w:numPr>
          <w:ilvl w:val="2"/>
          <w:numId w:val="300"/>
        </w:numPr>
        <w:spacing w:after="0" w:line="276" w:lineRule="auto"/>
        <w:ind w:left="1170" w:hanging="180"/>
        <w:rPr>
          <w:rFonts w:ascii="Arial" w:hAnsi="Arial" w:cs="Arial"/>
          <w:sz w:val="24"/>
          <w:szCs w:val="24"/>
        </w:rPr>
      </w:pPr>
      <w:r w:rsidRPr="00FA3F9C">
        <w:rPr>
          <w:rFonts w:ascii="Arial" w:hAnsi="Arial" w:cs="Arial"/>
          <w:sz w:val="24"/>
          <w:szCs w:val="24"/>
        </w:rPr>
        <w:lastRenderedPageBreak/>
        <w:t xml:space="preserve">Kaufman B et al. Trastuzumab plus anastrozole versus anastrozole alone for the treatment of postmenopausal women with human epidermal growth factor receptor 2-positive, hormone receptor-positive metastatic breast cancer: results from the randomized phase III </w:t>
      </w:r>
      <w:proofErr w:type="spellStart"/>
      <w:r w:rsidRPr="00FA3F9C">
        <w:rPr>
          <w:rFonts w:ascii="Arial" w:hAnsi="Arial" w:cs="Arial"/>
          <w:sz w:val="24"/>
          <w:szCs w:val="24"/>
        </w:rPr>
        <w:t>TAnDEM</w:t>
      </w:r>
      <w:proofErr w:type="spellEnd"/>
      <w:r w:rsidRPr="00FA3F9C">
        <w:rPr>
          <w:rFonts w:ascii="Arial" w:hAnsi="Arial" w:cs="Arial"/>
          <w:sz w:val="24"/>
          <w:szCs w:val="24"/>
        </w:rPr>
        <w:t xml:space="preserve"> study. J Clin Oncol. 2009 Nov 20;27(33):5529-37. PMID 19786670</w:t>
      </w:r>
    </w:p>
    <w:p w14:paraId="30D75E0B" w14:textId="77777777" w:rsidR="002641D2" w:rsidRPr="00FA3F9C" w:rsidRDefault="002641D2" w:rsidP="0015446A">
      <w:pPr>
        <w:rPr>
          <w:rFonts w:ascii="Arial" w:hAnsi="Arial" w:cs="Arial"/>
          <w:b/>
          <w:sz w:val="24"/>
          <w:szCs w:val="24"/>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98"/>
      </w:tblGrid>
      <w:tr w:rsidR="002641D2" w:rsidRPr="00FA3F9C" w14:paraId="0DB0A39F" w14:textId="77777777" w:rsidTr="001C0EA4">
        <w:tc>
          <w:tcPr>
            <w:tcW w:w="10098" w:type="dxa"/>
            <w:tcBorders>
              <w:bottom w:val="single" w:sz="4" w:space="0" w:color="auto"/>
            </w:tcBorders>
            <w:shd w:val="clear" w:color="auto" w:fill="000000"/>
          </w:tcPr>
          <w:p w14:paraId="513F8A7C" w14:textId="77777777" w:rsidR="002641D2" w:rsidRPr="00FA3F9C" w:rsidRDefault="002641D2" w:rsidP="0015446A">
            <w:pPr>
              <w:rPr>
                <w:rFonts w:ascii="Arial" w:hAnsi="Arial" w:cs="Arial"/>
                <w:sz w:val="24"/>
                <w:szCs w:val="24"/>
              </w:rPr>
            </w:pPr>
            <w:r w:rsidRPr="00FA3F9C">
              <w:rPr>
                <w:rFonts w:ascii="Arial" w:hAnsi="Arial" w:cs="Arial"/>
                <w:sz w:val="24"/>
                <w:szCs w:val="24"/>
              </w:rPr>
              <w:t>Criteria for new users</w:t>
            </w:r>
          </w:p>
        </w:tc>
      </w:tr>
      <w:tr w:rsidR="002641D2" w:rsidRPr="00FA3F9C" w14:paraId="298E4EC6" w14:textId="77777777" w:rsidTr="00C64F1D">
        <w:tc>
          <w:tcPr>
            <w:tcW w:w="10098" w:type="dxa"/>
            <w:tcBorders>
              <w:bottom w:val="single" w:sz="4" w:space="0" w:color="auto"/>
            </w:tcBorders>
          </w:tcPr>
          <w:p w14:paraId="4C81C5CE" w14:textId="77777777" w:rsidR="002641D2" w:rsidRPr="00FA3F9C" w:rsidRDefault="002641D2" w:rsidP="00C64F1D">
            <w:pPr>
              <w:rPr>
                <w:rFonts w:ascii="Arial" w:hAnsi="Arial" w:cs="Arial"/>
                <w:sz w:val="24"/>
                <w:szCs w:val="24"/>
                <w:u w:val="single"/>
              </w:rPr>
            </w:pPr>
            <w:r w:rsidRPr="00FA3F9C">
              <w:rPr>
                <w:rFonts w:ascii="Arial" w:hAnsi="Arial" w:cs="Arial"/>
                <w:sz w:val="24"/>
                <w:szCs w:val="24"/>
              </w:rPr>
              <w:t>1.  Diagnosis of HER2 or HER2/neu positive breast cancer</w:t>
            </w:r>
          </w:p>
        </w:tc>
      </w:tr>
      <w:tr w:rsidR="002641D2" w:rsidRPr="00FA3F9C" w14:paraId="26B83F46" w14:textId="77777777" w:rsidTr="00C64F1D">
        <w:tc>
          <w:tcPr>
            <w:tcW w:w="10098" w:type="dxa"/>
            <w:tcBorders>
              <w:bottom w:val="single" w:sz="4" w:space="0" w:color="auto"/>
            </w:tcBorders>
          </w:tcPr>
          <w:p w14:paraId="5370BAB9" w14:textId="77777777" w:rsidR="002641D2" w:rsidRPr="00FA3F9C" w:rsidRDefault="002641D2" w:rsidP="00C64F1D">
            <w:pPr>
              <w:rPr>
                <w:rFonts w:ascii="Arial" w:hAnsi="Arial" w:cs="Arial"/>
                <w:sz w:val="24"/>
                <w:szCs w:val="24"/>
              </w:rPr>
            </w:pPr>
            <w:r w:rsidRPr="00FA3F9C">
              <w:rPr>
                <w:rFonts w:ascii="Arial" w:hAnsi="Arial" w:cs="Arial"/>
                <w:sz w:val="24"/>
                <w:szCs w:val="24"/>
              </w:rPr>
              <w:t>2.  Breast cancer is locally advanced or metastatic</w:t>
            </w:r>
          </w:p>
        </w:tc>
      </w:tr>
      <w:tr w:rsidR="002641D2" w:rsidRPr="00FA3F9C" w14:paraId="53FC4507" w14:textId="77777777" w:rsidTr="00C64F1D">
        <w:tc>
          <w:tcPr>
            <w:tcW w:w="10098" w:type="dxa"/>
            <w:tcBorders>
              <w:bottom w:val="single" w:sz="4" w:space="0" w:color="auto"/>
            </w:tcBorders>
          </w:tcPr>
          <w:p w14:paraId="056021C5" w14:textId="77777777" w:rsidR="002641D2" w:rsidRPr="00FA3F9C" w:rsidRDefault="002641D2" w:rsidP="00C64F1D">
            <w:pPr>
              <w:rPr>
                <w:rFonts w:ascii="Arial" w:hAnsi="Arial" w:cs="Arial"/>
                <w:sz w:val="24"/>
                <w:szCs w:val="24"/>
              </w:rPr>
            </w:pPr>
            <w:r w:rsidRPr="00FA3F9C">
              <w:rPr>
                <w:rFonts w:ascii="Arial" w:hAnsi="Arial" w:cs="Arial"/>
                <w:sz w:val="24"/>
                <w:szCs w:val="24"/>
              </w:rPr>
              <w:t>3.  Left ventricular ejection fraction is normal at first request</w:t>
            </w:r>
          </w:p>
        </w:tc>
      </w:tr>
      <w:tr w:rsidR="002641D2" w:rsidRPr="00FA3F9C" w14:paraId="2AF8D4A5" w14:textId="77777777" w:rsidTr="00C64F1D">
        <w:tc>
          <w:tcPr>
            <w:tcW w:w="10098" w:type="dxa"/>
            <w:tcBorders>
              <w:bottom w:val="single" w:sz="4" w:space="0" w:color="auto"/>
            </w:tcBorders>
          </w:tcPr>
          <w:p w14:paraId="0FF0FBCE" w14:textId="77777777" w:rsidR="002641D2" w:rsidRPr="00FA3F9C" w:rsidRDefault="002641D2" w:rsidP="00D8495E">
            <w:pPr>
              <w:rPr>
                <w:rFonts w:ascii="Arial" w:hAnsi="Arial" w:cs="Arial"/>
                <w:sz w:val="24"/>
                <w:szCs w:val="24"/>
              </w:rPr>
            </w:pPr>
            <w:r w:rsidRPr="00FA3F9C">
              <w:rPr>
                <w:rFonts w:ascii="Arial" w:hAnsi="Arial" w:cs="Arial"/>
                <w:sz w:val="24"/>
                <w:szCs w:val="24"/>
              </w:rPr>
              <w:t xml:space="preserve">4.  Patient has undergone prior therapy with trastuzumab, an anthracycline and a </w:t>
            </w:r>
            <w:proofErr w:type="spellStart"/>
            <w:r w:rsidRPr="00FA3F9C">
              <w:rPr>
                <w:rFonts w:ascii="Arial" w:hAnsi="Arial" w:cs="Arial"/>
                <w:sz w:val="24"/>
                <w:szCs w:val="24"/>
              </w:rPr>
              <w:t>taxane</w:t>
            </w:r>
            <w:proofErr w:type="spellEnd"/>
            <w:r w:rsidRPr="00FA3F9C">
              <w:rPr>
                <w:rFonts w:ascii="Arial" w:hAnsi="Arial" w:cs="Arial"/>
                <w:sz w:val="24"/>
                <w:szCs w:val="24"/>
              </w:rPr>
              <w:t xml:space="preserve"> for treatment of metastatic breast cancer</w:t>
            </w:r>
          </w:p>
        </w:tc>
      </w:tr>
      <w:tr w:rsidR="002641D2" w:rsidRPr="00FA3F9C" w14:paraId="27831C7B" w14:textId="77777777" w:rsidTr="00C64F1D">
        <w:tc>
          <w:tcPr>
            <w:tcW w:w="10098" w:type="dxa"/>
            <w:tcBorders>
              <w:bottom w:val="single" w:sz="4" w:space="0" w:color="auto"/>
            </w:tcBorders>
          </w:tcPr>
          <w:p w14:paraId="27028A5F" w14:textId="77777777" w:rsidR="002641D2" w:rsidRPr="00FA3F9C" w:rsidRDefault="002641D2" w:rsidP="00C64F1D">
            <w:pPr>
              <w:rPr>
                <w:rFonts w:ascii="Arial" w:hAnsi="Arial" w:cs="Arial"/>
                <w:sz w:val="24"/>
                <w:szCs w:val="24"/>
              </w:rPr>
            </w:pPr>
            <w:r w:rsidRPr="00FA3F9C">
              <w:rPr>
                <w:rFonts w:ascii="Arial" w:hAnsi="Arial" w:cs="Arial"/>
                <w:sz w:val="24"/>
                <w:szCs w:val="24"/>
              </w:rPr>
              <w:t>5. Lapatinib will be used in combination with capecitabine or trastuzumab</w:t>
            </w:r>
          </w:p>
        </w:tc>
      </w:tr>
      <w:tr w:rsidR="002641D2" w:rsidRPr="00FA3F9C" w14:paraId="4B4A5E36" w14:textId="77777777" w:rsidTr="00C64F1D">
        <w:tc>
          <w:tcPr>
            <w:tcW w:w="10098" w:type="dxa"/>
            <w:tcBorders>
              <w:bottom w:val="single" w:sz="4" w:space="0" w:color="auto"/>
            </w:tcBorders>
          </w:tcPr>
          <w:p w14:paraId="6BE85679" w14:textId="77777777" w:rsidR="002641D2" w:rsidRPr="00FA3F9C" w:rsidRDefault="002641D2" w:rsidP="00C64F1D">
            <w:pPr>
              <w:rPr>
                <w:rFonts w:ascii="Arial" w:hAnsi="Arial" w:cs="Arial"/>
                <w:sz w:val="24"/>
                <w:szCs w:val="24"/>
              </w:rPr>
            </w:pPr>
            <w:r w:rsidRPr="00FA3F9C">
              <w:rPr>
                <w:rFonts w:ascii="Arial" w:hAnsi="Arial" w:cs="Arial"/>
                <w:sz w:val="24"/>
                <w:szCs w:val="24"/>
              </w:rPr>
              <w:t>6. No prior tucatinib (</w:t>
            </w:r>
            <w:proofErr w:type="spellStart"/>
            <w:r w:rsidRPr="00FA3F9C">
              <w:rPr>
                <w:rFonts w:ascii="Arial" w:hAnsi="Arial" w:cs="Arial"/>
                <w:sz w:val="24"/>
                <w:szCs w:val="24"/>
              </w:rPr>
              <w:t>Tukysa</w:t>
            </w:r>
            <w:proofErr w:type="spellEnd"/>
            <w:r w:rsidRPr="00FA3F9C">
              <w:rPr>
                <w:rFonts w:ascii="Arial" w:hAnsi="Arial" w:cs="Arial"/>
                <w:sz w:val="24"/>
                <w:szCs w:val="24"/>
              </w:rPr>
              <w:t>)</w:t>
            </w:r>
          </w:p>
        </w:tc>
      </w:tr>
      <w:tr w:rsidR="002641D2" w:rsidRPr="00FA3F9C" w14:paraId="34AB70C8" w14:textId="77777777" w:rsidTr="001C0EA4">
        <w:tc>
          <w:tcPr>
            <w:tcW w:w="10098" w:type="dxa"/>
            <w:shd w:val="clear" w:color="auto" w:fill="F2F2F2"/>
          </w:tcPr>
          <w:p w14:paraId="7F0D1A00" w14:textId="77777777" w:rsidR="002641D2" w:rsidRPr="00FA3F9C" w:rsidRDefault="002641D2" w:rsidP="0015446A">
            <w:pPr>
              <w:rPr>
                <w:rFonts w:ascii="Arial" w:hAnsi="Arial" w:cs="Arial"/>
                <w:sz w:val="24"/>
                <w:szCs w:val="24"/>
              </w:rPr>
            </w:pPr>
            <w:r w:rsidRPr="00FA3F9C">
              <w:rPr>
                <w:rFonts w:ascii="Arial" w:hAnsi="Arial" w:cs="Arial"/>
                <w:sz w:val="24"/>
                <w:szCs w:val="24"/>
              </w:rPr>
              <w:t>If above criteria are met, approve x 1 year</w:t>
            </w:r>
          </w:p>
        </w:tc>
      </w:tr>
    </w:tbl>
    <w:p w14:paraId="30126905" w14:textId="77777777" w:rsidR="002641D2" w:rsidRPr="00FA3F9C" w:rsidRDefault="002641D2">
      <w:pPr>
        <w:rPr>
          <w:rFonts w:ascii="Arial" w:hAnsi="Arial" w:cs="Arial"/>
          <w:sz w:val="24"/>
          <w:szCs w:val="24"/>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98"/>
      </w:tblGrid>
      <w:tr w:rsidR="002641D2" w:rsidRPr="00FA3F9C" w14:paraId="0BA56CA4" w14:textId="77777777" w:rsidTr="001C0EA4">
        <w:tc>
          <w:tcPr>
            <w:tcW w:w="10098" w:type="dxa"/>
            <w:tcBorders>
              <w:bottom w:val="single" w:sz="4" w:space="0" w:color="auto"/>
            </w:tcBorders>
            <w:shd w:val="clear" w:color="auto" w:fill="D9D9D9"/>
          </w:tcPr>
          <w:p w14:paraId="4D53BFC7" w14:textId="77777777" w:rsidR="002641D2" w:rsidRPr="00FA3F9C" w:rsidRDefault="002641D2" w:rsidP="0015446A">
            <w:pPr>
              <w:rPr>
                <w:rFonts w:ascii="Arial" w:hAnsi="Arial" w:cs="Arial"/>
                <w:sz w:val="24"/>
                <w:szCs w:val="24"/>
              </w:rPr>
            </w:pPr>
            <w:r w:rsidRPr="00FA3F9C">
              <w:rPr>
                <w:rFonts w:ascii="Arial" w:hAnsi="Arial" w:cs="Arial"/>
                <w:sz w:val="24"/>
                <w:szCs w:val="24"/>
              </w:rPr>
              <w:t>Doses:</w:t>
            </w:r>
          </w:p>
          <w:p w14:paraId="20F122C4" w14:textId="77777777" w:rsidR="002641D2" w:rsidRPr="00FA3F9C" w:rsidRDefault="002641D2" w:rsidP="0015446A">
            <w:pPr>
              <w:rPr>
                <w:rFonts w:ascii="Arial" w:hAnsi="Arial" w:cs="Arial"/>
                <w:sz w:val="24"/>
                <w:szCs w:val="24"/>
              </w:rPr>
            </w:pPr>
            <w:r w:rsidRPr="00FA3F9C">
              <w:rPr>
                <w:rFonts w:ascii="Arial" w:hAnsi="Arial" w:cs="Arial"/>
                <w:sz w:val="24"/>
                <w:szCs w:val="24"/>
              </w:rPr>
              <w:t>In combination with capecitabine: 1250 mg once daily</w:t>
            </w:r>
          </w:p>
          <w:p w14:paraId="5DCF7B23" w14:textId="77777777" w:rsidR="002641D2" w:rsidRPr="00FA3F9C" w:rsidRDefault="002641D2" w:rsidP="0015446A">
            <w:pPr>
              <w:rPr>
                <w:rFonts w:ascii="Arial" w:hAnsi="Arial" w:cs="Arial"/>
                <w:sz w:val="24"/>
                <w:szCs w:val="24"/>
              </w:rPr>
            </w:pPr>
            <w:r w:rsidRPr="00FA3F9C">
              <w:rPr>
                <w:rFonts w:ascii="Arial" w:hAnsi="Arial" w:cs="Arial"/>
                <w:sz w:val="24"/>
                <w:szCs w:val="24"/>
              </w:rPr>
              <w:t>In combination with trastuzumab: 1000 mg once daily</w:t>
            </w:r>
          </w:p>
          <w:p w14:paraId="7BB3E7EB" w14:textId="77777777" w:rsidR="002641D2" w:rsidRPr="00FA3F9C" w:rsidRDefault="002641D2" w:rsidP="0015446A">
            <w:pPr>
              <w:rPr>
                <w:rFonts w:ascii="Arial" w:hAnsi="Arial" w:cs="Arial"/>
                <w:sz w:val="24"/>
                <w:szCs w:val="24"/>
              </w:rPr>
            </w:pPr>
          </w:p>
          <w:p w14:paraId="3FD52C64" w14:textId="77777777" w:rsidR="002641D2" w:rsidRPr="00FA3F9C" w:rsidRDefault="002641D2" w:rsidP="0015446A">
            <w:pPr>
              <w:rPr>
                <w:rFonts w:ascii="Arial" w:hAnsi="Arial" w:cs="Arial"/>
                <w:sz w:val="24"/>
                <w:szCs w:val="24"/>
              </w:rPr>
            </w:pPr>
            <w:r w:rsidRPr="00FA3F9C">
              <w:rPr>
                <w:rFonts w:ascii="Arial" w:hAnsi="Arial" w:cs="Arial"/>
                <w:sz w:val="24"/>
                <w:szCs w:val="24"/>
              </w:rPr>
              <w:t>EBRx will not cover lapatinib in patients whose disease has progression on prior tucatinib. Efficacy has not been established in this setting.</w:t>
            </w:r>
          </w:p>
          <w:p w14:paraId="7014C248" w14:textId="77777777" w:rsidR="002641D2" w:rsidRPr="00FA3F9C" w:rsidRDefault="002641D2" w:rsidP="0015446A">
            <w:pPr>
              <w:rPr>
                <w:rFonts w:ascii="Arial" w:hAnsi="Arial" w:cs="Arial"/>
                <w:sz w:val="24"/>
                <w:szCs w:val="24"/>
              </w:rPr>
            </w:pPr>
          </w:p>
          <w:p w14:paraId="676E28B5" w14:textId="77777777" w:rsidR="002641D2" w:rsidRPr="00FA3F9C" w:rsidRDefault="002641D2" w:rsidP="0015446A">
            <w:pPr>
              <w:rPr>
                <w:rFonts w:ascii="Arial" w:hAnsi="Arial" w:cs="Arial"/>
                <w:sz w:val="24"/>
                <w:szCs w:val="24"/>
              </w:rPr>
            </w:pPr>
            <w:r w:rsidRPr="00FA3F9C">
              <w:rPr>
                <w:rFonts w:ascii="Arial" w:hAnsi="Arial" w:cs="Arial"/>
                <w:sz w:val="24"/>
                <w:szCs w:val="24"/>
              </w:rPr>
              <w:lastRenderedPageBreak/>
              <w:t>References:</w:t>
            </w:r>
          </w:p>
          <w:p w14:paraId="081C9EF8" w14:textId="77777777" w:rsidR="002641D2" w:rsidRPr="00FA3F9C" w:rsidRDefault="002641D2" w:rsidP="002641D2">
            <w:pPr>
              <w:numPr>
                <w:ilvl w:val="0"/>
                <w:numId w:val="301"/>
              </w:numPr>
              <w:spacing w:after="0" w:line="240" w:lineRule="auto"/>
              <w:ind w:left="273" w:hanging="187"/>
              <w:rPr>
                <w:rFonts w:ascii="Arial" w:hAnsi="Arial" w:cs="Arial"/>
                <w:sz w:val="24"/>
                <w:szCs w:val="24"/>
              </w:rPr>
            </w:pPr>
            <w:r w:rsidRPr="00FA3F9C">
              <w:rPr>
                <w:rFonts w:ascii="Arial" w:hAnsi="Arial" w:cs="Arial"/>
                <w:sz w:val="24"/>
                <w:szCs w:val="24"/>
              </w:rPr>
              <w:t>Cameron D et al. Lapatinib plus capecitabine in women with HER-2-positive advanced breast cancer: final survival analysis of a phase III randomized trial. Oncologist. 2010;15(9):924-34. PMID 20736298</w:t>
            </w:r>
          </w:p>
          <w:p w14:paraId="4D0B4332" w14:textId="77777777" w:rsidR="002641D2" w:rsidRPr="00FA3F9C" w:rsidRDefault="002641D2" w:rsidP="002641D2">
            <w:pPr>
              <w:pStyle w:val="ListParagraph"/>
              <w:numPr>
                <w:ilvl w:val="0"/>
                <w:numId w:val="301"/>
              </w:numPr>
              <w:spacing w:after="0" w:line="240" w:lineRule="auto"/>
              <w:ind w:left="273" w:hanging="187"/>
              <w:rPr>
                <w:rFonts w:ascii="Arial" w:hAnsi="Arial" w:cs="Arial"/>
                <w:sz w:val="24"/>
                <w:szCs w:val="24"/>
              </w:rPr>
            </w:pPr>
            <w:r w:rsidRPr="00FA3F9C">
              <w:rPr>
                <w:rFonts w:ascii="Arial" w:hAnsi="Arial" w:cs="Arial"/>
                <w:sz w:val="24"/>
                <w:szCs w:val="24"/>
              </w:rPr>
              <w:t xml:space="preserve">Blackwell KL et al. Overall survival benefit with lapatinib in combination with trastuzumab for patients with human epidermal growth factor receptor 2-positive metastatic breast cancer: </w:t>
            </w:r>
            <w:proofErr w:type="gramStart"/>
            <w:r w:rsidRPr="00FA3F9C">
              <w:rPr>
                <w:rFonts w:ascii="Arial" w:hAnsi="Arial" w:cs="Arial"/>
                <w:sz w:val="24"/>
                <w:szCs w:val="24"/>
              </w:rPr>
              <w:t>final results</w:t>
            </w:r>
            <w:proofErr w:type="gramEnd"/>
            <w:r w:rsidRPr="00FA3F9C">
              <w:rPr>
                <w:rFonts w:ascii="Arial" w:hAnsi="Arial" w:cs="Arial"/>
                <w:sz w:val="24"/>
                <w:szCs w:val="24"/>
              </w:rPr>
              <w:t xml:space="preserve"> from the EGF104900 Study. J Clin Oncol. 2012 Jul 20;30(21):2585-92. PMID 22689807 NCT00320385 </w:t>
            </w:r>
          </w:p>
          <w:p w14:paraId="441DAA5C" w14:textId="77777777" w:rsidR="002641D2" w:rsidRPr="00FA3F9C" w:rsidRDefault="002641D2" w:rsidP="002641D2">
            <w:pPr>
              <w:pStyle w:val="ListParagraph"/>
              <w:numPr>
                <w:ilvl w:val="0"/>
                <w:numId w:val="301"/>
              </w:numPr>
              <w:spacing w:after="0" w:line="240" w:lineRule="auto"/>
              <w:ind w:left="273" w:hanging="187"/>
              <w:rPr>
                <w:rFonts w:ascii="Arial" w:hAnsi="Arial" w:cs="Arial"/>
                <w:sz w:val="24"/>
                <w:szCs w:val="24"/>
              </w:rPr>
            </w:pPr>
            <w:proofErr w:type="spellStart"/>
            <w:r w:rsidRPr="00FA3F9C">
              <w:rPr>
                <w:rFonts w:ascii="Arial" w:hAnsi="Arial" w:cs="Arial"/>
                <w:sz w:val="24"/>
                <w:szCs w:val="24"/>
              </w:rPr>
              <w:t>Tykerb</w:t>
            </w:r>
            <w:proofErr w:type="spellEnd"/>
            <w:r w:rsidRPr="00FA3F9C">
              <w:rPr>
                <w:rFonts w:ascii="Arial" w:hAnsi="Arial" w:cs="Arial"/>
                <w:sz w:val="24"/>
                <w:szCs w:val="24"/>
              </w:rPr>
              <w:t xml:space="preserve"> package insert. Novartis. 12/2018. Accessed 6/18/19.  </w:t>
            </w:r>
            <w:hyperlink r:id="rId258" w:history="1">
              <w:r w:rsidRPr="00FA3F9C">
                <w:rPr>
                  <w:rStyle w:val="Hyperlink"/>
                  <w:rFonts w:ascii="Arial" w:hAnsi="Arial" w:cs="Arial"/>
                  <w:sz w:val="24"/>
                  <w:szCs w:val="24"/>
                </w:rPr>
                <w:t>https://www.pharma.us.novartis.com/sites/www.pharma.us.novartis.com/files/tykerb.pdf</w:t>
              </w:r>
            </w:hyperlink>
            <w:r w:rsidRPr="00FA3F9C">
              <w:rPr>
                <w:rFonts w:ascii="Arial" w:hAnsi="Arial" w:cs="Arial"/>
                <w:sz w:val="24"/>
                <w:szCs w:val="24"/>
              </w:rPr>
              <w:t xml:space="preserve"> </w:t>
            </w:r>
          </w:p>
          <w:p w14:paraId="411D530E" w14:textId="77777777" w:rsidR="002641D2" w:rsidRPr="00FA3F9C" w:rsidRDefault="002641D2" w:rsidP="009C14D0">
            <w:pPr>
              <w:rPr>
                <w:rFonts w:ascii="Arial" w:hAnsi="Arial" w:cs="Arial"/>
                <w:sz w:val="24"/>
                <w:szCs w:val="24"/>
              </w:rPr>
            </w:pPr>
          </w:p>
          <w:p w14:paraId="1D080C71" w14:textId="77777777" w:rsidR="002641D2" w:rsidRPr="00FA3F9C" w:rsidRDefault="002641D2" w:rsidP="009C14D0">
            <w:pPr>
              <w:rPr>
                <w:rFonts w:ascii="Arial" w:hAnsi="Arial" w:cs="Arial"/>
                <w:sz w:val="24"/>
                <w:szCs w:val="24"/>
              </w:rPr>
            </w:pPr>
            <w:r w:rsidRPr="00FA3F9C">
              <w:rPr>
                <w:rFonts w:ascii="Arial" w:hAnsi="Arial" w:cs="Arial"/>
                <w:sz w:val="24"/>
                <w:szCs w:val="24"/>
              </w:rPr>
              <w:t>Guideline:</w:t>
            </w:r>
          </w:p>
          <w:p w14:paraId="58D2020C" w14:textId="77777777" w:rsidR="002641D2" w:rsidRPr="00FA3F9C" w:rsidRDefault="002641D2" w:rsidP="009C14D0">
            <w:pPr>
              <w:rPr>
                <w:rFonts w:ascii="Arial" w:hAnsi="Arial" w:cs="Arial"/>
                <w:sz w:val="24"/>
                <w:szCs w:val="24"/>
              </w:rPr>
            </w:pPr>
            <w:r w:rsidRPr="00FA3F9C">
              <w:rPr>
                <w:rFonts w:ascii="Arial" w:hAnsi="Arial" w:cs="Arial"/>
                <w:sz w:val="24"/>
                <w:szCs w:val="24"/>
              </w:rPr>
              <w:t xml:space="preserve">NCCN guidelines for breast cancer. </w:t>
            </w:r>
            <w:hyperlink r:id="rId259" w:history="1">
              <w:r w:rsidRPr="00FA3F9C">
                <w:rPr>
                  <w:rStyle w:val="Hyperlink"/>
                  <w:rFonts w:ascii="Arial" w:hAnsi="Arial" w:cs="Arial"/>
                  <w:sz w:val="24"/>
                  <w:szCs w:val="24"/>
                </w:rPr>
                <w:t>https://www.nccn.org/professionals/physician_gls/pdf/breast.pdf</w:t>
              </w:r>
            </w:hyperlink>
            <w:r w:rsidRPr="00FA3F9C">
              <w:rPr>
                <w:rFonts w:ascii="Arial" w:hAnsi="Arial" w:cs="Arial"/>
                <w:sz w:val="24"/>
                <w:szCs w:val="24"/>
              </w:rPr>
              <w:t xml:space="preserve"> </w:t>
            </w:r>
          </w:p>
        </w:tc>
      </w:tr>
    </w:tbl>
    <w:p w14:paraId="644580BB" w14:textId="77777777" w:rsidR="002641D2" w:rsidRPr="00FA3F9C" w:rsidRDefault="002641D2" w:rsidP="00BD761B">
      <w:pPr>
        <w:jc w:val="right"/>
        <w:rPr>
          <w:rFonts w:ascii="Arial" w:hAnsi="Arial" w:cs="Arial"/>
          <w:sz w:val="24"/>
          <w:szCs w:val="24"/>
        </w:rPr>
      </w:pPr>
    </w:p>
    <w:p w14:paraId="596865C4" w14:textId="77777777" w:rsidR="002641D2" w:rsidRPr="00FA3F9C" w:rsidRDefault="002641D2" w:rsidP="002A23A6">
      <w:pPr>
        <w:rPr>
          <w:rFonts w:ascii="Arial" w:hAnsi="Arial" w:cs="Arial"/>
          <w:sz w:val="24"/>
          <w:szCs w:val="24"/>
        </w:rPr>
      </w:pPr>
      <w:r w:rsidRPr="00FA3F9C">
        <w:rPr>
          <w:rFonts w:ascii="Arial" w:hAnsi="Arial" w:cs="Arial"/>
          <w:sz w:val="24"/>
          <w:szCs w:val="24"/>
        </w:rPr>
        <w:t>Quantity Limits: 150 tablets/30 days</w:t>
      </w:r>
    </w:p>
    <w:p w14:paraId="1514F642" w14:textId="77777777" w:rsidR="002641D2" w:rsidRPr="00FA3F9C" w:rsidRDefault="002641D2" w:rsidP="002A23A6">
      <w:pPr>
        <w:rPr>
          <w:rFonts w:ascii="Arial" w:hAnsi="Arial" w:cs="Arial"/>
          <w:sz w:val="24"/>
          <w:szCs w:val="24"/>
        </w:rPr>
      </w:pPr>
    </w:p>
    <w:p w14:paraId="60380496" w14:textId="77777777" w:rsidR="002641D2" w:rsidRPr="00FA3F9C" w:rsidRDefault="002641D2" w:rsidP="002A23A6">
      <w:pPr>
        <w:rPr>
          <w:rFonts w:ascii="Arial" w:hAnsi="Arial" w:cs="Arial"/>
          <w:sz w:val="24"/>
          <w:szCs w:val="24"/>
        </w:rPr>
      </w:pPr>
    </w:p>
    <w:p w14:paraId="6014DAB0" w14:textId="77777777" w:rsidR="002641D2" w:rsidRPr="00FA3F9C" w:rsidRDefault="002641D2" w:rsidP="00C4660C">
      <w:pPr>
        <w:autoSpaceDE w:val="0"/>
        <w:autoSpaceDN w:val="0"/>
        <w:adjustRightInd w:val="0"/>
        <w:rPr>
          <w:rFonts w:ascii="Arial" w:hAnsi="Arial" w:cs="Arial"/>
          <w:sz w:val="24"/>
          <w:szCs w:val="24"/>
        </w:rPr>
      </w:pPr>
      <w:r w:rsidRPr="00FA3F9C">
        <w:rPr>
          <w:rFonts w:ascii="Arial" w:hAnsi="Arial" w:cs="Arial"/>
          <w:sz w:val="24"/>
          <w:szCs w:val="24"/>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5766"/>
        <w:gridCol w:w="3432"/>
      </w:tblGrid>
      <w:tr w:rsidR="002641D2" w:rsidRPr="00FA3F9C" w14:paraId="72F42C7E" w14:textId="77777777" w:rsidTr="00D8495E">
        <w:tc>
          <w:tcPr>
            <w:tcW w:w="1098" w:type="dxa"/>
          </w:tcPr>
          <w:p w14:paraId="1B1676DE" w14:textId="77777777" w:rsidR="002641D2" w:rsidRPr="00FA3F9C" w:rsidRDefault="002641D2" w:rsidP="00382FC3">
            <w:pPr>
              <w:autoSpaceDE w:val="0"/>
              <w:autoSpaceDN w:val="0"/>
              <w:adjustRightInd w:val="0"/>
              <w:rPr>
                <w:rFonts w:ascii="Arial" w:hAnsi="Arial" w:cs="Arial"/>
                <w:sz w:val="24"/>
                <w:szCs w:val="24"/>
              </w:rPr>
            </w:pPr>
            <w:r w:rsidRPr="00FA3F9C">
              <w:rPr>
                <w:rFonts w:ascii="Arial" w:hAnsi="Arial" w:cs="Arial"/>
                <w:sz w:val="24"/>
                <w:szCs w:val="24"/>
              </w:rPr>
              <w:t>Date</w:t>
            </w:r>
          </w:p>
        </w:tc>
        <w:tc>
          <w:tcPr>
            <w:tcW w:w="5766" w:type="dxa"/>
          </w:tcPr>
          <w:p w14:paraId="47DAEFD3" w14:textId="77777777" w:rsidR="002641D2" w:rsidRPr="00FA3F9C" w:rsidRDefault="002641D2" w:rsidP="00382FC3">
            <w:pPr>
              <w:autoSpaceDE w:val="0"/>
              <w:autoSpaceDN w:val="0"/>
              <w:adjustRightInd w:val="0"/>
              <w:rPr>
                <w:rFonts w:ascii="Arial" w:hAnsi="Arial" w:cs="Arial"/>
                <w:sz w:val="24"/>
                <w:szCs w:val="24"/>
              </w:rPr>
            </w:pPr>
            <w:r w:rsidRPr="00FA3F9C">
              <w:rPr>
                <w:rFonts w:ascii="Arial" w:hAnsi="Arial" w:cs="Arial"/>
                <w:sz w:val="24"/>
                <w:szCs w:val="24"/>
              </w:rPr>
              <w:t>What changed?</w:t>
            </w:r>
          </w:p>
        </w:tc>
        <w:tc>
          <w:tcPr>
            <w:tcW w:w="3432" w:type="dxa"/>
          </w:tcPr>
          <w:p w14:paraId="352F4EF0" w14:textId="77777777" w:rsidR="002641D2" w:rsidRPr="00FA3F9C" w:rsidRDefault="002641D2" w:rsidP="00382FC3">
            <w:pPr>
              <w:autoSpaceDE w:val="0"/>
              <w:autoSpaceDN w:val="0"/>
              <w:adjustRightInd w:val="0"/>
              <w:rPr>
                <w:rFonts w:ascii="Arial" w:hAnsi="Arial" w:cs="Arial"/>
                <w:sz w:val="24"/>
                <w:szCs w:val="24"/>
              </w:rPr>
            </w:pPr>
            <w:r w:rsidRPr="00FA3F9C">
              <w:rPr>
                <w:rFonts w:ascii="Arial" w:hAnsi="Arial" w:cs="Arial"/>
                <w:sz w:val="24"/>
                <w:szCs w:val="24"/>
              </w:rPr>
              <w:t>Pharmacist’s initials</w:t>
            </w:r>
          </w:p>
        </w:tc>
      </w:tr>
      <w:tr w:rsidR="002641D2" w:rsidRPr="00FA3F9C" w14:paraId="13DFD03E" w14:textId="77777777" w:rsidTr="00D8495E">
        <w:tc>
          <w:tcPr>
            <w:tcW w:w="1098" w:type="dxa"/>
          </w:tcPr>
          <w:p w14:paraId="1C5BDFC7" w14:textId="77777777" w:rsidR="002641D2" w:rsidRPr="00FA3F9C" w:rsidRDefault="002641D2" w:rsidP="00382FC3">
            <w:pPr>
              <w:autoSpaceDE w:val="0"/>
              <w:autoSpaceDN w:val="0"/>
              <w:adjustRightInd w:val="0"/>
              <w:rPr>
                <w:rFonts w:ascii="Arial" w:hAnsi="Arial" w:cs="Arial"/>
                <w:sz w:val="24"/>
                <w:szCs w:val="24"/>
              </w:rPr>
            </w:pPr>
            <w:r w:rsidRPr="00FA3F9C">
              <w:rPr>
                <w:rFonts w:ascii="Arial" w:hAnsi="Arial" w:cs="Arial"/>
                <w:sz w:val="24"/>
                <w:szCs w:val="24"/>
              </w:rPr>
              <w:t>6/19/2007</w:t>
            </w:r>
          </w:p>
        </w:tc>
        <w:tc>
          <w:tcPr>
            <w:tcW w:w="5766" w:type="dxa"/>
          </w:tcPr>
          <w:p w14:paraId="0BA48E77" w14:textId="77777777" w:rsidR="002641D2" w:rsidRPr="00FA3F9C" w:rsidRDefault="002641D2" w:rsidP="00382FC3">
            <w:pPr>
              <w:autoSpaceDE w:val="0"/>
              <w:autoSpaceDN w:val="0"/>
              <w:adjustRightInd w:val="0"/>
              <w:rPr>
                <w:rFonts w:ascii="Arial" w:hAnsi="Arial" w:cs="Arial"/>
                <w:sz w:val="24"/>
                <w:szCs w:val="24"/>
              </w:rPr>
            </w:pPr>
            <w:r w:rsidRPr="00FA3F9C">
              <w:rPr>
                <w:rFonts w:ascii="Arial" w:hAnsi="Arial" w:cs="Arial"/>
                <w:sz w:val="24"/>
                <w:szCs w:val="24"/>
              </w:rPr>
              <w:t>Insurance board voted T3PA, criteria written</w:t>
            </w:r>
          </w:p>
        </w:tc>
        <w:tc>
          <w:tcPr>
            <w:tcW w:w="3432" w:type="dxa"/>
          </w:tcPr>
          <w:p w14:paraId="42FA3569" w14:textId="77777777" w:rsidR="002641D2" w:rsidRPr="00FA3F9C" w:rsidRDefault="002641D2" w:rsidP="00382FC3">
            <w:pPr>
              <w:autoSpaceDE w:val="0"/>
              <w:autoSpaceDN w:val="0"/>
              <w:adjustRightInd w:val="0"/>
              <w:rPr>
                <w:rFonts w:ascii="Arial" w:hAnsi="Arial" w:cs="Arial"/>
                <w:sz w:val="24"/>
                <w:szCs w:val="24"/>
              </w:rPr>
            </w:pPr>
            <w:r w:rsidRPr="00FA3F9C">
              <w:rPr>
                <w:rFonts w:ascii="Arial" w:hAnsi="Arial" w:cs="Arial"/>
                <w:sz w:val="24"/>
                <w:szCs w:val="24"/>
              </w:rPr>
              <w:t>JJ</w:t>
            </w:r>
          </w:p>
        </w:tc>
      </w:tr>
      <w:tr w:rsidR="002641D2" w:rsidRPr="00FA3F9C" w14:paraId="12867F3A" w14:textId="77777777" w:rsidTr="00D8495E">
        <w:tc>
          <w:tcPr>
            <w:tcW w:w="1098" w:type="dxa"/>
          </w:tcPr>
          <w:p w14:paraId="0C449EDD" w14:textId="77777777" w:rsidR="002641D2" w:rsidRPr="00FA3F9C" w:rsidRDefault="002641D2" w:rsidP="00382FC3">
            <w:pPr>
              <w:autoSpaceDE w:val="0"/>
              <w:autoSpaceDN w:val="0"/>
              <w:adjustRightInd w:val="0"/>
              <w:rPr>
                <w:rFonts w:ascii="Arial" w:hAnsi="Arial" w:cs="Arial"/>
                <w:sz w:val="24"/>
                <w:szCs w:val="24"/>
              </w:rPr>
            </w:pPr>
            <w:r w:rsidRPr="00FA3F9C">
              <w:rPr>
                <w:rFonts w:ascii="Arial" w:hAnsi="Arial" w:cs="Arial"/>
                <w:sz w:val="24"/>
                <w:szCs w:val="24"/>
              </w:rPr>
              <w:t>5/15/12</w:t>
            </w:r>
          </w:p>
        </w:tc>
        <w:tc>
          <w:tcPr>
            <w:tcW w:w="5766" w:type="dxa"/>
          </w:tcPr>
          <w:p w14:paraId="3F8F2A93" w14:textId="77777777" w:rsidR="002641D2" w:rsidRPr="00FA3F9C" w:rsidRDefault="002641D2" w:rsidP="00382FC3">
            <w:pPr>
              <w:autoSpaceDE w:val="0"/>
              <w:autoSpaceDN w:val="0"/>
              <w:adjustRightInd w:val="0"/>
              <w:rPr>
                <w:rFonts w:ascii="Arial" w:hAnsi="Arial" w:cs="Arial"/>
                <w:sz w:val="24"/>
                <w:szCs w:val="24"/>
              </w:rPr>
            </w:pPr>
            <w:r w:rsidRPr="00FA3F9C">
              <w:rPr>
                <w:rFonts w:ascii="Arial" w:hAnsi="Arial" w:cs="Arial"/>
                <w:sz w:val="24"/>
                <w:szCs w:val="24"/>
              </w:rPr>
              <w:t xml:space="preserve">Revision </w:t>
            </w:r>
            <w:proofErr w:type="spellStart"/>
            <w:r w:rsidRPr="00FA3F9C">
              <w:rPr>
                <w:rFonts w:ascii="Arial" w:hAnsi="Arial" w:cs="Arial"/>
                <w:sz w:val="24"/>
                <w:szCs w:val="24"/>
              </w:rPr>
              <w:t>hx</w:t>
            </w:r>
            <w:proofErr w:type="spellEnd"/>
            <w:r w:rsidRPr="00FA3F9C">
              <w:rPr>
                <w:rFonts w:ascii="Arial" w:hAnsi="Arial" w:cs="Arial"/>
                <w:sz w:val="24"/>
                <w:szCs w:val="24"/>
              </w:rPr>
              <w:t xml:space="preserve"> added</w:t>
            </w:r>
          </w:p>
        </w:tc>
        <w:tc>
          <w:tcPr>
            <w:tcW w:w="3432" w:type="dxa"/>
          </w:tcPr>
          <w:p w14:paraId="72611C45" w14:textId="77777777" w:rsidR="002641D2" w:rsidRPr="00FA3F9C" w:rsidRDefault="002641D2" w:rsidP="00382FC3">
            <w:pPr>
              <w:autoSpaceDE w:val="0"/>
              <w:autoSpaceDN w:val="0"/>
              <w:adjustRightInd w:val="0"/>
              <w:rPr>
                <w:rFonts w:ascii="Arial" w:hAnsi="Arial" w:cs="Arial"/>
                <w:sz w:val="24"/>
                <w:szCs w:val="24"/>
              </w:rPr>
            </w:pPr>
            <w:r w:rsidRPr="00FA3F9C">
              <w:rPr>
                <w:rFonts w:ascii="Arial" w:hAnsi="Arial" w:cs="Arial"/>
                <w:sz w:val="24"/>
                <w:szCs w:val="24"/>
              </w:rPr>
              <w:t>JJ</w:t>
            </w:r>
          </w:p>
        </w:tc>
      </w:tr>
      <w:tr w:rsidR="002641D2" w:rsidRPr="00FA3F9C" w14:paraId="7F751F4E" w14:textId="77777777" w:rsidTr="00D8495E">
        <w:tc>
          <w:tcPr>
            <w:tcW w:w="1098" w:type="dxa"/>
          </w:tcPr>
          <w:p w14:paraId="4CCB86CC" w14:textId="77777777" w:rsidR="002641D2" w:rsidRPr="00FA3F9C" w:rsidRDefault="002641D2" w:rsidP="00382FC3">
            <w:pPr>
              <w:autoSpaceDE w:val="0"/>
              <w:autoSpaceDN w:val="0"/>
              <w:adjustRightInd w:val="0"/>
              <w:rPr>
                <w:rFonts w:ascii="Arial" w:hAnsi="Arial" w:cs="Arial"/>
                <w:sz w:val="24"/>
                <w:szCs w:val="24"/>
              </w:rPr>
            </w:pPr>
            <w:r w:rsidRPr="00FA3F9C">
              <w:rPr>
                <w:rFonts w:ascii="Arial" w:hAnsi="Arial" w:cs="Arial"/>
                <w:sz w:val="24"/>
                <w:szCs w:val="24"/>
              </w:rPr>
              <w:lastRenderedPageBreak/>
              <w:t>6/17/19</w:t>
            </w:r>
          </w:p>
        </w:tc>
        <w:tc>
          <w:tcPr>
            <w:tcW w:w="5766" w:type="dxa"/>
          </w:tcPr>
          <w:p w14:paraId="36FF18D3" w14:textId="77777777" w:rsidR="002641D2" w:rsidRPr="00FA3F9C" w:rsidRDefault="002641D2" w:rsidP="00382FC3">
            <w:pPr>
              <w:autoSpaceDE w:val="0"/>
              <w:autoSpaceDN w:val="0"/>
              <w:adjustRightInd w:val="0"/>
              <w:rPr>
                <w:rFonts w:ascii="Arial" w:hAnsi="Arial" w:cs="Arial"/>
                <w:sz w:val="24"/>
                <w:szCs w:val="24"/>
              </w:rPr>
            </w:pPr>
            <w:r w:rsidRPr="00FA3F9C">
              <w:rPr>
                <w:rFonts w:ascii="Arial" w:hAnsi="Arial" w:cs="Arial"/>
                <w:sz w:val="24"/>
                <w:szCs w:val="24"/>
              </w:rPr>
              <w:t>Criteria reviewed. Allow Lapatinib to be used with trastuzumab. New indication of HR+, HER2+ breast cancer not covered.</w:t>
            </w:r>
          </w:p>
        </w:tc>
        <w:tc>
          <w:tcPr>
            <w:tcW w:w="3432" w:type="dxa"/>
          </w:tcPr>
          <w:p w14:paraId="736832E3" w14:textId="77777777" w:rsidR="002641D2" w:rsidRPr="00FA3F9C" w:rsidRDefault="002641D2" w:rsidP="00382FC3">
            <w:pPr>
              <w:autoSpaceDE w:val="0"/>
              <w:autoSpaceDN w:val="0"/>
              <w:adjustRightInd w:val="0"/>
              <w:rPr>
                <w:rFonts w:ascii="Arial" w:hAnsi="Arial" w:cs="Arial"/>
                <w:sz w:val="24"/>
                <w:szCs w:val="24"/>
              </w:rPr>
            </w:pPr>
            <w:r w:rsidRPr="00FA3F9C">
              <w:rPr>
                <w:rFonts w:ascii="Arial" w:hAnsi="Arial" w:cs="Arial"/>
                <w:sz w:val="24"/>
                <w:szCs w:val="24"/>
              </w:rPr>
              <w:t>SK</w:t>
            </w:r>
          </w:p>
        </w:tc>
      </w:tr>
      <w:tr w:rsidR="002641D2" w:rsidRPr="00FA3F9C" w14:paraId="2DB8C8F5" w14:textId="77777777" w:rsidTr="00D8495E">
        <w:tc>
          <w:tcPr>
            <w:tcW w:w="1098" w:type="dxa"/>
          </w:tcPr>
          <w:p w14:paraId="4B3EE274" w14:textId="77777777" w:rsidR="002641D2" w:rsidRPr="00FA3F9C" w:rsidRDefault="002641D2" w:rsidP="00382FC3">
            <w:pPr>
              <w:autoSpaceDE w:val="0"/>
              <w:autoSpaceDN w:val="0"/>
              <w:adjustRightInd w:val="0"/>
              <w:rPr>
                <w:rFonts w:ascii="Arial" w:hAnsi="Arial" w:cs="Arial"/>
                <w:sz w:val="24"/>
                <w:szCs w:val="24"/>
              </w:rPr>
            </w:pPr>
            <w:r w:rsidRPr="00FA3F9C">
              <w:rPr>
                <w:rFonts w:ascii="Arial" w:hAnsi="Arial" w:cs="Arial"/>
                <w:sz w:val="24"/>
                <w:szCs w:val="24"/>
              </w:rPr>
              <w:t>5/27/20</w:t>
            </w:r>
          </w:p>
        </w:tc>
        <w:tc>
          <w:tcPr>
            <w:tcW w:w="5766" w:type="dxa"/>
          </w:tcPr>
          <w:p w14:paraId="4682645E" w14:textId="77777777" w:rsidR="002641D2" w:rsidRPr="00FA3F9C" w:rsidRDefault="002641D2" w:rsidP="004F2ADF">
            <w:pPr>
              <w:autoSpaceDE w:val="0"/>
              <w:autoSpaceDN w:val="0"/>
              <w:adjustRightInd w:val="0"/>
              <w:rPr>
                <w:rFonts w:ascii="Arial" w:hAnsi="Arial" w:cs="Arial"/>
                <w:sz w:val="24"/>
                <w:szCs w:val="24"/>
              </w:rPr>
            </w:pPr>
            <w:r w:rsidRPr="00FA3F9C">
              <w:rPr>
                <w:rFonts w:ascii="Arial" w:hAnsi="Arial" w:cs="Arial"/>
                <w:sz w:val="24"/>
                <w:szCs w:val="24"/>
              </w:rPr>
              <w:t>Added that no prior tucatinib is allowed.</w:t>
            </w:r>
          </w:p>
        </w:tc>
        <w:tc>
          <w:tcPr>
            <w:tcW w:w="3432" w:type="dxa"/>
          </w:tcPr>
          <w:p w14:paraId="13513707" w14:textId="77777777" w:rsidR="002641D2" w:rsidRPr="00FA3F9C" w:rsidRDefault="002641D2" w:rsidP="00382FC3">
            <w:pPr>
              <w:autoSpaceDE w:val="0"/>
              <w:autoSpaceDN w:val="0"/>
              <w:adjustRightInd w:val="0"/>
              <w:rPr>
                <w:rFonts w:ascii="Arial" w:hAnsi="Arial" w:cs="Arial"/>
                <w:sz w:val="24"/>
                <w:szCs w:val="24"/>
              </w:rPr>
            </w:pPr>
            <w:r w:rsidRPr="00FA3F9C">
              <w:rPr>
                <w:rFonts w:ascii="Arial" w:hAnsi="Arial" w:cs="Arial"/>
                <w:sz w:val="24"/>
                <w:szCs w:val="24"/>
              </w:rPr>
              <w:t>SK</w:t>
            </w:r>
          </w:p>
        </w:tc>
      </w:tr>
      <w:tr w:rsidR="002641D2" w:rsidRPr="00FA3F9C" w14:paraId="73607B69" w14:textId="77777777" w:rsidTr="00D8495E">
        <w:tc>
          <w:tcPr>
            <w:tcW w:w="1098" w:type="dxa"/>
          </w:tcPr>
          <w:p w14:paraId="25022870" w14:textId="77777777" w:rsidR="002641D2" w:rsidRPr="00FA3F9C" w:rsidRDefault="002641D2" w:rsidP="00382FC3">
            <w:pPr>
              <w:autoSpaceDE w:val="0"/>
              <w:autoSpaceDN w:val="0"/>
              <w:adjustRightInd w:val="0"/>
              <w:rPr>
                <w:rFonts w:ascii="Arial" w:hAnsi="Arial" w:cs="Arial"/>
                <w:sz w:val="24"/>
                <w:szCs w:val="24"/>
              </w:rPr>
            </w:pPr>
            <w:r w:rsidRPr="00FA3F9C">
              <w:rPr>
                <w:rFonts w:ascii="Arial" w:hAnsi="Arial" w:cs="Arial"/>
                <w:sz w:val="24"/>
                <w:szCs w:val="24"/>
              </w:rPr>
              <w:t>7/26/2021</w:t>
            </w:r>
          </w:p>
        </w:tc>
        <w:tc>
          <w:tcPr>
            <w:tcW w:w="5766" w:type="dxa"/>
          </w:tcPr>
          <w:p w14:paraId="5ED60476" w14:textId="77777777" w:rsidR="002641D2" w:rsidRPr="00FA3F9C" w:rsidRDefault="002641D2" w:rsidP="004F2ADF">
            <w:pPr>
              <w:autoSpaceDE w:val="0"/>
              <w:autoSpaceDN w:val="0"/>
              <w:adjustRightInd w:val="0"/>
              <w:rPr>
                <w:rFonts w:ascii="Arial" w:hAnsi="Arial" w:cs="Arial"/>
                <w:sz w:val="24"/>
                <w:szCs w:val="24"/>
              </w:rPr>
            </w:pPr>
            <w:r w:rsidRPr="00FA3F9C">
              <w:rPr>
                <w:rFonts w:ascii="Arial" w:hAnsi="Arial" w:cs="Arial"/>
                <w:sz w:val="24"/>
                <w:szCs w:val="24"/>
              </w:rPr>
              <w:t>Criteria reviewed. No change.</w:t>
            </w:r>
          </w:p>
        </w:tc>
        <w:tc>
          <w:tcPr>
            <w:tcW w:w="3432" w:type="dxa"/>
          </w:tcPr>
          <w:p w14:paraId="53761069" w14:textId="77777777" w:rsidR="002641D2" w:rsidRPr="00FA3F9C" w:rsidRDefault="002641D2" w:rsidP="00382FC3">
            <w:pPr>
              <w:autoSpaceDE w:val="0"/>
              <w:autoSpaceDN w:val="0"/>
              <w:adjustRightInd w:val="0"/>
              <w:rPr>
                <w:rFonts w:ascii="Arial" w:hAnsi="Arial" w:cs="Arial"/>
                <w:sz w:val="24"/>
                <w:szCs w:val="24"/>
              </w:rPr>
            </w:pPr>
            <w:r w:rsidRPr="00FA3F9C">
              <w:rPr>
                <w:rFonts w:ascii="Arial" w:hAnsi="Arial" w:cs="Arial"/>
                <w:sz w:val="24"/>
                <w:szCs w:val="24"/>
              </w:rPr>
              <w:t>SK</w:t>
            </w:r>
          </w:p>
        </w:tc>
      </w:tr>
    </w:tbl>
    <w:p w14:paraId="576B613B" w14:textId="77777777" w:rsidR="002641D2" w:rsidRPr="00FA3F9C" w:rsidRDefault="002641D2" w:rsidP="004F0ACA">
      <w:pPr>
        <w:autoSpaceDE w:val="0"/>
        <w:autoSpaceDN w:val="0"/>
        <w:adjustRightInd w:val="0"/>
        <w:rPr>
          <w:rFonts w:ascii="Arial" w:hAnsi="Arial" w:cs="Arial"/>
          <w:sz w:val="24"/>
          <w:szCs w:val="24"/>
        </w:rPr>
      </w:pPr>
    </w:p>
    <w:p w14:paraId="2584B774" w14:textId="77777777" w:rsidR="002641D2" w:rsidRPr="00FA3F9C" w:rsidRDefault="002641D2" w:rsidP="002A1632">
      <w:pPr>
        <w:pStyle w:val="Heading2"/>
      </w:pPr>
      <w:bookmarkStart w:id="164" w:name="_Toc106369843"/>
      <w:r w:rsidRPr="00FA3F9C">
        <w:t>Larotrectinib (</w:t>
      </w:r>
      <w:proofErr w:type="spellStart"/>
      <w:r w:rsidRPr="00FA3F9C">
        <w:t>Vitrakvi</w:t>
      </w:r>
      <w:proofErr w:type="spellEnd"/>
      <w:r w:rsidRPr="00FA3F9C">
        <w:t>)</w:t>
      </w:r>
      <w:bookmarkEnd w:id="164"/>
      <w:r w:rsidRPr="00FA3F9C">
        <w:t xml:space="preserve"> </w:t>
      </w:r>
    </w:p>
    <w:p w14:paraId="6F7EA54B" w14:textId="77777777" w:rsidR="002641D2" w:rsidRPr="00FA3F9C" w:rsidRDefault="002641D2" w:rsidP="006F623F">
      <w:pPr>
        <w:spacing w:after="0"/>
        <w:jc w:val="center"/>
        <w:rPr>
          <w:rFonts w:ascii="Arial" w:hAnsi="Arial" w:cs="Arial"/>
          <w:sz w:val="24"/>
          <w:szCs w:val="24"/>
        </w:rPr>
      </w:pPr>
      <w:r w:rsidRPr="00FA3F9C">
        <w:rPr>
          <w:rFonts w:ascii="Arial" w:hAnsi="Arial" w:cs="Arial"/>
          <w:sz w:val="24"/>
          <w:szCs w:val="24"/>
        </w:rPr>
        <w:t>25, 100 mg capsules and 20 mg/ml oral solution</w:t>
      </w:r>
    </w:p>
    <w:p w14:paraId="68982B60" w14:textId="77777777" w:rsidR="002641D2" w:rsidRPr="00FA3F9C" w:rsidRDefault="002641D2" w:rsidP="006F623F">
      <w:pPr>
        <w:spacing w:after="0"/>
        <w:jc w:val="center"/>
        <w:rPr>
          <w:rFonts w:ascii="Arial" w:hAnsi="Arial" w:cs="Arial"/>
          <w:sz w:val="24"/>
          <w:szCs w:val="24"/>
        </w:rPr>
      </w:pPr>
      <w:r w:rsidRPr="00FA3F9C">
        <w:rPr>
          <w:rFonts w:ascii="Arial" w:hAnsi="Arial" w:cs="Arial"/>
          <w:sz w:val="24"/>
          <w:szCs w:val="24"/>
        </w:rPr>
        <w:t>EBRx PA Criteria</w:t>
      </w:r>
    </w:p>
    <w:p w14:paraId="30C4E8E7" w14:textId="77777777" w:rsidR="002641D2" w:rsidRPr="00FA3F9C" w:rsidRDefault="002641D2" w:rsidP="006F623F">
      <w:pPr>
        <w:spacing w:after="0"/>
        <w:rPr>
          <w:rFonts w:ascii="Arial" w:hAnsi="Arial" w:cs="Arial"/>
          <w:b/>
          <w:sz w:val="24"/>
          <w:szCs w:val="24"/>
          <w:u w:val="single"/>
        </w:rPr>
      </w:pPr>
    </w:p>
    <w:p w14:paraId="0D27B665" w14:textId="77777777" w:rsidR="002641D2" w:rsidRPr="00FA3F9C" w:rsidRDefault="002641D2"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w:t>
      </w:r>
    </w:p>
    <w:p w14:paraId="478CF750" w14:textId="77777777" w:rsidR="002641D2" w:rsidRPr="00FA3F9C" w:rsidRDefault="002641D2" w:rsidP="00521EEC">
      <w:pPr>
        <w:spacing w:after="0"/>
        <w:rPr>
          <w:rFonts w:ascii="Arial" w:hAnsi="Arial" w:cs="Arial"/>
          <w:sz w:val="24"/>
          <w:szCs w:val="24"/>
        </w:rPr>
      </w:pPr>
      <w:r w:rsidRPr="00FA3F9C">
        <w:rPr>
          <w:rFonts w:ascii="Arial" w:hAnsi="Arial" w:cs="Arial"/>
          <w:sz w:val="24"/>
          <w:szCs w:val="24"/>
        </w:rPr>
        <w:sym w:font="Symbol" w:char="F0B7"/>
      </w:r>
      <w:r w:rsidRPr="00FA3F9C">
        <w:rPr>
          <w:rFonts w:ascii="Arial" w:hAnsi="Arial" w:cs="Arial"/>
          <w:sz w:val="24"/>
          <w:szCs w:val="24"/>
        </w:rPr>
        <w:t xml:space="preserve"> Treatment of adult and pediatric patients with solid tumors that meet </w:t>
      </w:r>
      <w:proofErr w:type="gramStart"/>
      <w:r w:rsidRPr="00FA3F9C">
        <w:rPr>
          <w:rFonts w:ascii="Arial" w:hAnsi="Arial" w:cs="Arial"/>
          <w:b/>
          <w:sz w:val="24"/>
          <w:szCs w:val="24"/>
          <w:u w:val="single"/>
        </w:rPr>
        <w:t>all</w:t>
      </w:r>
      <w:r w:rsidRPr="00FA3F9C">
        <w:rPr>
          <w:rFonts w:ascii="Arial" w:hAnsi="Arial" w:cs="Arial"/>
          <w:sz w:val="24"/>
          <w:szCs w:val="24"/>
        </w:rPr>
        <w:t xml:space="preserve"> of</w:t>
      </w:r>
      <w:proofErr w:type="gramEnd"/>
      <w:r w:rsidRPr="00FA3F9C">
        <w:rPr>
          <w:rFonts w:ascii="Arial" w:hAnsi="Arial" w:cs="Arial"/>
          <w:sz w:val="24"/>
          <w:szCs w:val="24"/>
        </w:rPr>
        <w:t xml:space="preserve"> the following criteria:</w:t>
      </w:r>
    </w:p>
    <w:p w14:paraId="05F8A1DD" w14:textId="77777777" w:rsidR="002641D2" w:rsidRPr="00FA3F9C" w:rsidRDefault="002641D2" w:rsidP="00AF15C7">
      <w:pPr>
        <w:spacing w:after="0" w:line="240" w:lineRule="auto"/>
        <w:ind w:left="360"/>
        <w:rPr>
          <w:rFonts w:ascii="Arial" w:hAnsi="Arial" w:cs="Arial"/>
          <w:sz w:val="24"/>
          <w:szCs w:val="24"/>
        </w:rPr>
      </w:pPr>
      <w:r w:rsidRPr="00FA3F9C">
        <w:rPr>
          <w:rFonts w:ascii="Arial" w:hAnsi="Arial" w:cs="Arial"/>
          <w:sz w:val="24"/>
          <w:szCs w:val="24"/>
        </w:rPr>
        <w:t xml:space="preserve">-have a neurotrophic receptor tyrosine kinase (NTRK) gene </w:t>
      </w:r>
      <w:r w:rsidRPr="00FA3F9C">
        <w:rPr>
          <w:rFonts w:ascii="Arial" w:hAnsi="Arial" w:cs="Arial"/>
          <w:b/>
          <w:sz w:val="24"/>
          <w:szCs w:val="24"/>
          <w:u w:val="single"/>
        </w:rPr>
        <w:t>fusion*</w:t>
      </w:r>
      <w:r w:rsidRPr="00FA3F9C">
        <w:rPr>
          <w:rFonts w:ascii="Arial" w:hAnsi="Arial" w:cs="Arial"/>
          <w:sz w:val="24"/>
          <w:szCs w:val="24"/>
        </w:rPr>
        <w:t xml:space="preserve"> without a known acquired resistance mutation</w:t>
      </w:r>
    </w:p>
    <w:p w14:paraId="2E66610B" w14:textId="77777777" w:rsidR="002641D2" w:rsidRPr="00FA3F9C" w:rsidRDefault="002641D2" w:rsidP="00AF15C7">
      <w:pPr>
        <w:spacing w:after="0" w:line="240" w:lineRule="auto"/>
        <w:ind w:left="360"/>
        <w:rPr>
          <w:rFonts w:ascii="Arial" w:hAnsi="Arial" w:cs="Arial"/>
          <w:sz w:val="24"/>
          <w:szCs w:val="24"/>
        </w:rPr>
      </w:pPr>
      <w:r w:rsidRPr="00FA3F9C">
        <w:rPr>
          <w:rFonts w:ascii="Arial" w:hAnsi="Arial" w:cs="Arial"/>
          <w:sz w:val="24"/>
          <w:szCs w:val="24"/>
        </w:rPr>
        <w:t xml:space="preserve">-are metastatic or where surgical resection </w:t>
      </w:r>
      <w:proofErr w:type="gramStart"/>
      <w:r w:rsidRPr="00FA3F9C">
        <w:rPr>
          <w:rFonts w:ascii="Arial" w:hAnsi="Arial" w:cs="Arial"/>
          <w:sz w:val="24"/>
          <w:szCs w:val="24"/>
        </w:rPr>
        <w:t>is</w:t>
      </w:r>
      <w:proofErr w:type="gramEnd"/>
      <w:r w:rsidRPr="00FA3F9C">
        <w:rPr>
          <w:rFonts w:ascii="Arial" w:hAnsi="Arial" w:cs="Arial"/>
          <w:sz w:val="24"/>
          <w:szCs w:val="24"/>
        </w:rPr>
        <w:t xml:space="preserve"> likely to result in severe morbidity</w:t>
      </w:r>
    </w:p>
    <w:p w14:paraId="28A5C0F5" w14:textId="77777777" w:rsidR="002641D2" w:rsidRPr="00FA3F9C" w:rsidRDefault="002641D2" w:rsidP="00AF15C7">
      <w:pPr>
        <w:spacing w:after="0" w:line="240" w:lineRule="auto"/>
        <w:ind w:left="360"/>
        <w:rPr>
          <w:rFonts w:ascii="Arial" w:hAnsi="Arial" w:cs="Arial"/>
          <w:sz w:val="24"/>
          <w:szCs w:val="24"/>
        </w:rPr>
      </w:pPr>
      <w:r w:rsidRPr="00FA3F9C">
        <w:rPr>
          <w:rFonts w:ascii="Arial" w:hAnsi="Arial" w:cs="Arial"/>
          <w:sz w:val="24"/>
          <w:szCs w:val="24"/>
        </w:rPr>
        <w:t>-have no satisfactory alternative treatments or that have progressed following treatment.</w:t>
      </w:r>
    </w:p>
    <w:p w14:paraId="79E8484C" w14:textId="77777777" w:rsidR="002641D2" w:rsidRPr="00FA3F9C" w:rsidRDefault="002641D2" w:rsidP="00521EEC">
      <w:pPr>
        <w:spacing w:after="0"/>
        <w:ind w:left="360"/>
        <w:rPr>
          <w:rFonts w:ascii="Arial" w:hAnsi="Arial" w:cs="Arial"/>
          <w:sz w:val="24"/>
          <w:szCs w:val="24"/>
        </w:rPr>
      </w:pPr>
    </w:p>
    <w:p w14:paraId="5F2A8EE2" w14:textId="77777777" w:rsidR="002641D2" w:rsidRPr="00FA3F9C" w:rsidRDefault="002641D2" w:rsidP="00521EEC">
      <w:pPr>
        <w:spacing w:after="0"/>
        <w:ind w:left="360"/>
        <w:rPr>
          <w:rFonts w:ascii="Arial" w:hAnsi="Arial" w:cs="Arial"/>
          <w:sz w:val="24"/>
          <w:szCs w:val="24"/>
        </w:rPr>
      </w:pPr>
      <w:r w:rsidRPr="00FA3F9C">
        <w:rPr>
          <w:rFonts w:ascii="Arial" w:hAnsi="Arial" w:cs="Arial"/>
          <w:sz w:val="24"/>
          <w:szCs w:val="24"/>
        </w:rPr>
        <w:t>*</w:t>
      </w:r>
      <w:proofErr w:type="gramStart"/>
      <w:r w:rsidRPr="00FA3F9C">
        <w:rPr>
          <w:rFonts w:ascii="Arial" w:hAnsi="Arial" w:cs="Arial"/>
          <w:sz w:val="24"/>
          <w:szCs w:val="24"/>
        </w:rPr>
        <w:t>note</w:t>
      </w:r>
      <w:proofErr w:type="gramEnd"/>
      <w:r w:rsidRPr="00FA3F9C">
        <w:rPr>
          <w:rFonts w:ascii="Arial" w:hAnsi="Arial" w:cs="Arial"/>
          <w:sz w:val="24"/>
          <w:szCs w:val="24"/>
        </w:rPr>
        <w:t xml:space="preserve">: NTRK aberration must be a fusion or rearrangement (not point mutation or amplification). </w:t>
      </w:r>
    </w:p>
    <w:p w14:paraId="7EB856EE" w14:textId="77777777" w:rsidR="002641D2" w:rsidRPr="00FA3F9C" w:rsidRDefault="002641D2" w:rsidP="00B05119">
      <w:pPr>
        <w:spacing w:after="0"/>
        <w:ind w:left="720"/>
        <w:rPr>
          <w:rFonts w:ascii="Arial" w:hAnsi="Arial" w:cs="Arial"/>
          <w:sz w:val="24"/>
          <w:szCs w:val="24"/>
        </w:rPr>
      </w:pPr>
      <w:r w:rsidRPr="00FA3F9C">
        <w:rPr>
          <w:rFonts w:ascii="Arial" w:hAnsi="Arial" w:cs="Arial"/>
          <w:sz w:val="24"/>
          <w:szCs w:val="24"/>
          <w:lang w:val="fr-FR"/>
        </w:rPr>
        <w:t xml:space="preserve">Hong DS, et al. Abstract CT062. </w:t>
      </w:r>
      <w:r w:rsidRPr="00FA3F9C">
        <w:rPr>
          <w:rFonts w:ascii="Arial" w:hAnsi="Arial" w:cs="Arial"/>
          <w:sz w:val="24"/>
          <w:szCs w:val="24"/>
        </w:rPr>
        <w:t xml:space="preserve">Presented at: AACR Annual Meeting; April 27-28, 2020 (virtual meeting). </w:t>
      </w:r>
      <w:hyperlink r:id="rId260" w:history="1">
        <w:r w:rsidRPr="00FA3F9C">
          <w:rPr>
            <w:rStyle w:val="Hyperlink"/>
            <w:rFonts w:ascii="Arial" w:hAnsi="Arial" w:cs="Arial"/>
            <w:sz w:val="24"/>
            <w:szCs w:val="24"/>
          </w:rPr>
          <w:t>https://www.healio.com/hematology-oncology/sarcoma/news/online/%7Bd3e29cb1-e9f4-436b-8ee2-7417db795408%7D/larotrectinib-induces-durable-responses-in-trk-fusion-cancers?utm_source=selligent&amp;utm_medium=email&amp;utm_campaign=hematology%20oncology%20news&amp;m_bt=19042249342&amp;page=2</w:t>
        </w:r>
      </w:hyperlink>
      <w:r w:rsidRPr="00FA3F9C">
        <w:rPr>
          <w:rFonts w:ascii="Arial" w:hAnsi="Arial" w:cs="Arial"/>
          <w:sz w:val="24"/>
          <w:szCs w:val="24"/>
        </w:rPr>
        <w:t>. Accessed 4/20/2020.</w:t>
      </w:r>
    </w:p>
    <w:p w14:paraId="00EBD8B5" w14:textId="77777777" w:rsidR="002641D2" w:rsidRPr="00FA3F9C" w:rsidRDefault="002641D2" w:rsidP="00521EEC">
      <w:pPr>
        <w:spacing w:after="0"/>
        <w:ind w:left="360"/>
        <w:rPr>
          <w:rFonts w:ascii="Arial" w:hAnsi="Arial" w:cs="Arial"/>
          <w:sz w:val="24"/>
          <w:szCs w:val="24"/>
        </w:rPr>
      </w:pPr>
    </w:p>
    <w:tbl>
      <w:tblPr>
        <w:tblStyle w:val="TableGrid"/>
        <w:tblW w:w="11088" w:type="dxa"/>
        <w:tblLook w:val="04A0" w:firstRow="1" w:lastRow="0" w:firstColumn="1" w:lastColumn="0" w:noHBand="0" w:noVBand="1"/>
      </w:tblPr>
      <w:tblGrid>
        <w:gridCol w:w="8928"/>
        <w:gridCol w:w="2160"/>
      </w:tblGrid>
      <w:tr w:rsidR="002641D2" w:rsidRPr="00FA3F9C" w14:paraId="02B9BB0E" w14:textId="77777777" w:rsidTr="00521EEC">
        <w:tc>
          <w:tcPr>
            <w:tcW w:w="8928" w:type="dxa"/>
            <w:shd w:val="clear" w:color="auto" w:fill="000000"/>
          </w:tcPr>
          <w:p w14:paraId="72E54F20" w14:textId="77777777" w:rsidR="002641D2" w:rsidRPr="00FA3F9C" w:rsidRDefault="002641D2"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160" w:type="dxa"/>
            <w:shd w:val="clear" w:color="auto" w:fill="000000"/>
          </w:tcPr>
          <w:p w14:paraId="62196161" w14:textId="77777777" w:rsidR="002641D2" w:rsidRPr="00FA3F9C" w:rsidRDefault="002641D2" w:rsidP="006F623F">
            <w:pPr>
              <w:jc w:val="center"/>
              <w:rPr>
                <w:rFonts w:ascii="Arial" w:hAnsi="Arial" w:cs="Arial"/>
                <w:b/>
                <w:sz w:val="24"/>
                <w:szCs w:val="24"/>
                <w:u w:val="single"/>
              </w:rPr>
            </w:pPr>
          </w:p>
        </w:tc>
      </w:tr>
      <w:tr w:rsidR="002641D2" w:rsidRPr="00FA3F9C" w14:paraId="6AB2E937" w14:textId="77777777" w:rsidTr="00521EEC">
        <w:tc>
          <w:tcPr>
            <w:tcW w:w="11088" w:type="dxa"/>
            <w:gridSpan w:val="2"/>
          </w:tcPr>
          <w:p w14:paraId="2A49C262" w14:textId="77777777" w:rsidR="002641D2" w:rsidRPr="00FA3F9C" w:rsidRDefault="002641D2" w:rsidP="00521EEC">
            <w:pPr>
              <w:rPr>
                <w:rFonts w:ascii="Arial" w:hAnsi="Arial" w:cs="Arial"/>
                <w:sz w:val="24"/>
                <w:szCs w:val="24"/>
              </w:rPr>
            </w:pPr>
            <w:r w:rsidRPr="00FA3F9C">
              <w:rPr>
                <w:rFonts w:ascii="Arial" w:hAnsi="Arial" w:cs="Arial"/>
                <w:sz w:val="24"/>
                <w:szCs w:val="24"/>
              </w:rPr>
              <w:t>1. Diagnosis of a solid tumor (</w:t>
            </w:r>
            <w:proofErr w:type="gramStart"/>
            <w:r w:rsidRPr="00FA3F9C">
              <w:rPr>
                <w:rFonts w:ascii="Arial" w:hAnsi="Arial" w:cs="Arial"/>
                <w:sz w:val="24"/>
                <w:szCs w:val="24"/>
              </w:rPr>
              <w:t>e.g.</w:t>
            </w:r>
            <w:proofErr w:type="gramEnd"/>
            <w:r w:rsidRPr="00FA3F9C">
              <w:rPr>
                <w:rFonts w:ascii="Arial" w:hAnsi="Arial" w:cs="Arial"/>
                <w:sz w:val="24"/>
                <w:szCs w:val="24"/>
              </w:rPr>
              <w:t xml:space="preserve"> not a lymphoma, leukemia, multiple myeloma, </w:t>
            </w:r>
            <w:proofErr w:type="spellStart"/>
            <w:r w:rsidRPr="00FA3F9C">
              <w:rPr>
                <w:rFonts w:ascii="Arial" w:hAnsi="Arial" w:cs="Arial"/>
                <w:sz w:val="24"/>
                <w:szCs w:val="24"/>
              </w:rPr>
              <w:t>etc</w:t>
            </w:r>
            <w:proofErr w:type="spellEnd"/>
            <w:r w:rsidRPr="00FA3F9C">
              <w:rPr>
                <w:rFonts w:ascii="Arial" w:hAnsi="Arial" w:cs="Arial"/>
                <w:sz w:val="24"/>
                <w:szCs w:val="24"/>
              </w:rPr>
              <w:t>)</w:t>
            </w:r>
          </w:p>
        </w:tc>
      </w:tr>
      <w:tr w:rsidR="002641D2" w:rsidRPr="00FA3F9C" w14:paraId="4B696029" w14:textId="77777777" w:rsidTr="00521EEC">
        <w:tc>
          <w:tcPr>
            <w:tcW w:w="11088" w:type="dxa"/>
            <w:gridSpan w:val="2"/>
          </w:tcPr>
          <w:p w14:paraId="6CA9DBFD" w14:textId="77777777" w:rsidR="002641D2" w:rsidRPr="00FA3F9C" w:rsidRDefault="002641D2" w:rsidP="00521EEC">
            <w:pPr>
              <w:rPr>
                <w:rFonts w:ascii="Arial" w:hAnsi="Arial" w:cs="Arial"/>
                <w:sz w:val="24"/>
                <w:szCs w:val="24"/>
              </w:rPr>
            </w:pPr>
            <w:r w:rsidRPr="00FA3F9C">
              <w:rPr>
                <w:rFonts w:ascii="Arial" w:hAnsi="Arial" w:cs="Arial"/>
                <w:sz w:val="24"/>
                <w:szCs w:val="24"/>
              </w:rPr>
              <w:t>2. Presence of a neurotrophic receptor tyrosine kinase (NTRK) gene fusion without a known acquired resistance mutation</w:t>
            </w:r>
          </w:p>
        </w:tc>
      </w:tr>
      <w:tr w:rsidR="002641D2" w:rsidRPr="00FA3F9C" w14:paraId="66200FCB" w14:textId="77777777" w:rsidTr="00521EEC">
        <w:tc>
          <w:tcPr>
            <w:tcW w:w="11088" w:type="dxa"/>
            <w:gridSpan w:val="2"/>
          </w:tcPr>
          <w:p w14:paraId="249AEA6D" w14:textId="77777777" w:rsidR="002641D2" w:rsidRPr="00FA3F9C" w:rsidRDefault="002641D2" w:rsidP="00521EEC">
            <w:pPr>
              <w:rPr>
                <w:rFonts w:ascii="Arial" w:hAnsi="Arial" w:cs="Arial"/>
                <w:sz w:val="24"/>
                <w:szCs w:val="24"/>
              </w:rPr>
            </w:pPr>
            <w:r w:rsidRPr="00FA3F9C">
              <w:rPr>
                <w:rFonts w:ascii="Arial" w:hAnsi="Arial" w:cs="Arial"/>
                <w:sz w:val="24"/>
                <w:szCs w:val="24"/>
              </w:rPr>
              <w:t>3. Tumor is metastatic OR surgical resection is likely to result in severe morbidity</w:t>
            </w:r>
          </w:p>
        </w:tc>
      </w:tr>
      <w:tr w:rsidR="002641D2" w:rsidRPr="00FA3F9C" w14:paraId="72AB54E7" w14:textId="77777777" w:rsidTr="00521EEC">
        <w:tc>
          <w:tcPr>
            <w:tcW w:w="11088" w:type="dxa"/>
            <w:gridSpan w:val="2"/>
          </w:tcPr>
          <w:p w14:paraId="770AC16C" w14:textId="77777777" w:rsidR="002641D2" w:rsidRPr="00FA3F9C" w:rsidRDefault="002641D2" w:rsidP="00AD73F3">
            <w:pPr>
              <w:rPr>
                <w:rFonts w:ascii="Arial" w:hAnsi="Arial" w:cs="Arial"/>
                <w:sz w:val="24"/>
                <w:szCs w:val="24"/>
              </w:rPr>
            </w:pPr>
            <w:r w:rsidRPr="00FA3F9C">
              <w:rPr>
                <w:rFonts w:ascii="Arial" w:hAnsi="Arial" w:cs="Arial"/>
                <w:sz w:val="24"/>
                <w:szCs w:val="24"/>
              </w:rPr>
              <w:t>4. Tumor has no satisfactory alternative treatments or has progressed following treatment</w:t>
            </w:r>
          </w:p>
        </w:tc>
      </w:tr>
      <w:tr w:rsidR="002641D2" w:rsidRPr="00FA3F9C" w14:paraId="3A66FE88" w14:textId="77777777" w:rsidTr="00521EEC">
        <w:tc>
          <w:tcPr>
            <w:tcW w:w="11088" w:type="dxa"/>
            <w:gridSpan w:val="2"/>
          </w:tcPr>
          <w:p w14:paraId="31E507BF" w14:textId="77777777" w:rsidR="002641D2" w:rsidRPr="00FA3F9C" w:rsidRDefault="002641D2" w:rsidP="007A2C80">
            <w:pPr>
              <w:rPr>
                <w:rFonts w:ascii="Arial" w:hAnsi="Arial" w:cs="Arial"/>
                <w:sz w:val="24"/>
                <w:szCs w:val="24"/>
              </w:rPr>
            </w:pPr>
            <w:r w:rsidRPr="00FA3F9C">
              <w:rPr>
                <w:rFonts w:ascii="Arial" w:hAnsi="Arial" w:cs="Arial"/>
                <w:sz w:val="24"/>
                <w:szCs w:val="24"/>
              </w:rPr>
              <w:lastRenderedPageBreak/>
              <w:t>5. If oral solution is being requested, patient is unable to swallow capsules.</w:t>
            </w:r>
          </w:p>
        </w:tc>
      </w:tr>
      <w:tr w:rsidR="002641D2" w:rsidRPr="00FA3F9C" w14:paraId="4B3440B9" w14:textId="77777777" w:rsidTr="00521EEC">
        <w:tc>
          <w:tcPr>
            <w:tcW w:w="11088" w:type="dxa"/>
            <w:gridSpan w:val="2"/>
            <w:shd w:val="clear" w:color="auto" w:fill="F2F2F2" w:themeFill="background1" w:themeFillShade="F2"/>
          </w:tcPr>
          <w:p w14:paraId="1C3F8093" w14:textId="77777777" w:rsidR="002641D2" w:rsidRPr="00FA3F9C" w:rsidRDefault="002641D2" w:rsidP="006343DB">
            <w:pPr>
              <w:rPr>
                <w:rFonts w:ascii="Arial" w:hAnsi="Arial" w:cs="Arial"/>
                <w:sz w:val="24"/>
                <w:szCs w:val="24"/>
              </w:rPr>
            </w:pPr>
            <w:r w:rsidRPr="00FA3F9C">
              <w:rPr>
                <w:rFonts w:ascii="Arial" w:hAnsi="Arial" w:cs="Arial"/>
                <w:sz w:val="24"/>
                <w:szCs w:val="24"/>
              </w:rPr>
              <w:t>If all criteria met, approve x 1 year</w:t>
            </w:r>
          </w:p>
        </w:tc>
      </w:tr>
    </w:tbl>
    <w:p w14:paraId="2EA3D153" w14:textId="77777777" w:rsidR="002641D2" w:rsidRPr="00FA3F9C" w:rsidRDefault="002641D2" w:rsidP="00FA3C5D">
      <w:pPr>
        <w:spacing w:after="0"/>
        <w:rPr>
          <w:rFonts w:ascii="Arial" w:hAnsi="Arial" w:cs="Arial"/>
          <w:sz w:val="24"/>
          <w:szCs w:val="24"/>
        </w:rPr>
      </w:pPr>
      <w:r w:rsidRPr="00FA3F9C">
        <w:rPr>
          <w:rFonts w:ascii="Arial" w:hAnsi="Arial" w:cs="Arial"/>
          <w:sz w:val="24"/>
          <w:szCs w:val="24"/>
        </w:rPr>
        <w:t xml:space="preserve">Quantity Limits:  </w:t>
      </w:r>
    </w:p>
    <w:p w14:paraId="5DA22801" w14:textId="77777777" w:rsidR="002641D2" w:rsidRPr="00FA3F9C" w:rsidRDefault="002641D2" w:rsidP="00FA3C5D">
      <w:pPr>
        <w:spacing w:after="0"/>
        <w:rPr>
          <w:rFonts w:ascii="Arial" w:hAnsi="Arial" w:cs="Arial"/>
          <w:sz w:val="24"/>
          <w:szCs w:val="24"/>
        </w:rPr>
      </w:pPr>
      <w:r w:rsidRPr="00FA3F9C">
        <w:rPr>
          <w:rFonts w:ascii="Arial" w:hAnsi="Arial" w:cs="Arial"/>
          <w:sz w:val="24"/>
          <w:szCs w:val="24"/>
        </w:rPr>
        <w:t>100 mg tablets: #60 tablets/30 days</w:t>
      </w:r>
    </w:p>
    <w:p w14:paraId="30E599D0" w14:textId="77777777" w:rsidR="002641D2" w:rsidRPr="00FA3F9C" w:rsidRDefault="002641D2" w:rsidP="00FA3C5D">
      <w:pPr>
        <w:spacing w:after="0"/>
        <w:rPr>
          <w:rFonts w:ascii="Arial" w:hAnsi="Arial" w:cs="Arial"/>
          <w:sz w:val="24"/>
          <w:szCs w:val="24"/>
        </w:rPr>
      </w:pPr>
      <w:r w:rsidRPr="00FA3F9C">
        <w:rPr>
          <w:rFonts w:ascii="Arial" w:hAnsi="Arial" w:cs="Arial"/>
          <w:sz w:val="24"/>
          <w:szCs w:val="24"/>
        </w:rPr>
        <w:t>25 mg tablets: #180 tablets/30 days</w:t>
      </w:r>
    </w:p>
    <w:p w14:paraId="734A862B" w14:textId="77777777" w:rsidR="002641D2" w:rsidRPr="00FA3F9C" w:rsidRDefault="002641D2" w:rsidP="00FA3C5D">
      <w:pPr>
        <w:spacing w:after="0"/>
        <w:rPr>
          <w:rFonts w:ascii="Arial" w:hAnsi="Arial" w:cs="Arial"/>
          <w:sz w:val="24"/>
          <w:szCs w:val="24"/>
        </w:rPr>
      </w:pPr>
      <w:r w:rsidRPr="00FA3F9C">
        <w:rPr>
          <w:rFonts w:ascii="Arial" w:hAnsi="Arial" w:cs="Arial"/>
          <w:sz w:val="24"/>
          <w:szCs w:val="24"/>
        </w:rPr>
        <w:t>Oral solution (20 mg/ml): 300 ml/30 days</w:t>
      </w:r>
    </w:p>
    <w:p w14:paraId="0D0A1603" w14:textId="77777777" w:rsidR="002641D2" w:rsidRPr="00FA3F9C" w:rsidRDefault="002641D2" w:rsidP="00FA3C5D">
      <w:pPr>
        <w:spacing w:after="0"/>
        <w:rPr>
          <w:rFonts w:ascii="Arial" w:hAnsi="Arial" w:cs="Arial"/>
          <w:sz w:val="24"/>
          <w:szCs w:val="24"/>
        </w:rPr>
      </w:pPr>
    </w:p>
    <w:tbl>
      <w:tblPr>
        <w:tblStyle w:val="TableGrid"/>
        <w:tblW w:w="6245" w:type="dxa"/>
        <w:tblLook w:val="04A0" w:firstRow="1" w:lastRow="0" w:firstColumn="1" w:lastColumn="0" w:noHBand="0" w:noVBand="1"/>
      </w:tblPr>
      <w:tblGrid>
        <w:gridCol w:w="1537"/>
        <w:gridCol w:w="1003"/>
        <w:gridCol w:w="1429"/>
        <w:gridCol w:w="2276"/>
      </w:tblGrid>
      <w:tr w:rsidR="002641D2" w:rsidRPr="00FA3F9C" w14:paraId="7BAB20DD" w14:textId="77777777" w:rsidTr="007A2C80">
        <w:trPr>
          <w:trHeight w:val="60"/>
        </w:trPr>
        <w:tc>
          <w:tcPr>
            <w:tcW w:w="624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FB2444" w14:textId="77777777" w:rsidR="002641D2" w:rsidRPr="00FA3F9C" w:rsidRDefault="002641D2" w:rsidP="007A2C80">
            <w:pPr>
              <w:rPr>
                <w:rFonts w:ascii="Arial" w:hAnsi="Arial" w:cs="Arial"/>
                <w:b/>
                <w:sz w:val="24"/>
                <w:szCs w:val="24"/>
              </w:rPr>
            </w:pPr>
            <w:r w:rsidRPr="00FA3F9C">
              <w:rPr>
                <w:rFonts w:ascii="Arial" w:hAnsi="Arial" w:cs="Arial"/>
                <w:b/>
                <w:sz w:val="24"/>
                <w:szCs w:val="24"/>
              </w:rPr>
              <w:t xml:space="preserve">Pricing </w:t>
            </w:r>
          </w:p>
        </w:tc>
      </w:tr>
      <w:tr w:rsidR="002641D2" w:rsidRPr="00FA3F9C" w14:paraId="5C01602E" w14:textId="77777777" w:rsidTr="007A2C80">
        <w:trPr>
          <w:trHeight w:val="251"/>
        </w:trPr>
        <w:tc>
          <w:tcPr>
            <w:tcW w:w="105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F18A828" w14:textId="77777777" w:rsidR="002641D2" w:rsidRPr="00FA3F9C" w:rsidRDefault="002641D2" w:rsidP="00EB6B0A">
            <w:pPr>
              <w:rPr>
                <w:rFonts w:ascii="Arial" w:hAnsi="Arial" w:cs="Arial"/>
                <w:sz w:val="24"/>
                <w:szCs w:val="24"/>
              </w:rPr>
            </w:pPr>
            <w:r w:rsidRPr="00FA3F9C">
              <w:rPr>
                <w:rFonts w:ascii="Arial" w:hAnsi="Arial" w:cs="Arial"/>
                <w:sz w:val="24"/>
                <w:szCs w:val="24"/>
              </w:rPr>
              <w:t>Generic</w:t>
            </w:r>
          </w:p>
        </w:tc>
        <w:tc>
          <w:tcPr>
            <w:tcW w:w="83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FF7F9B3" w14:textId="77777777" w:rsidR="002641D2" w:rsidRPr="00FA3F9C" w:rsidRDefault="002641D2" w:rsidP="00EB6B0A">
            <w:pPr>
              <w:rPr>
                <w:rFonts w:ascii="Arial" w:hAnsi="Arial" w:cs="Arial"/>
                <w:sz w:val="24"/>
                <w:szCs w:val="24"/>
              </w:rPr>
            </w:pPr>
            <w:r w:rsidRPr="00FA3F9C">
              <w:rPr>
                <w:rFonts w:ascii="Arial" w:hAnsi="Arial" w:cs="Arial"/>
                <w:sz w:val="24"/>
                <w:szCs w:val="24"/>
              </w:rPr>
              <w:t>Brand</w:t>
            </w:r>
          </w:p>
        </w:tc>
        <w:tc>
          <w:tcPr>
            <w:tcW w:w="171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733028D" w14:textId="77777777" w:rsidR="002641D2" w:rsidRPr="00FA3F9C" w:rsidRDefault="002641D2" w:rsidP="00EB6B0A">
            <w:pPr>
              <w:rPr>
                <w:rFonts w:ascii="Arial" w:hAnsi="Arial" w:cs="Arial"/>
                <w:sz w:val="24"/>
                <w:szCs w:val="24"/>
              </w:rPr>
            </w:pPr>
            <w:r w:rsidRPr="00FA3F9C">
              <w:rPr>
                <w:rFonts w:ascii="Arial" w:hAnsi="Arial" w:cs="Arial"/>
                <w:sz w:val="24"/>
                <w:szCs w:val="24"/>
              </w:rPr>
              <w:t>Adult Dose</w:t>
            </w:r>
          </w:p>
        </w:tc>
        <w:tc>
          <w:tcPr>
            <w:tcW w:w="264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AF58961" w14:textId="77777777" w:rsidR="002641D2" w:rsidRPr="00FA3F9C" w:rsidRDefault="002641D2" w:rsidP="00EB6B0A">
            <w:pPr>
              <w:jc w:val="center"/>
              <w:rPr>
                <w:rFonts w:ascii="Arial" w:hAnsi="Arial" w:cs="Arial"/>
                <w:sz w:val="24"/>
                <w:szCs w:val="24"/>
              </w:rPr>
            </w:pPr>
            <w:r w:rsidRPr="00FA3F9C">
              <w:rPr>
                <w:rFonts w:ascii="Arial" w:hAnsi="Arial" w:cs="Arial"/>
                <w:sz w:val="24"/>
                <w:szCs w:val="24"/>
              </w:rPr>
              <w:t>28d AWP</w:t>
            </w:r>
          </w:p>
          <w:p w14:paraId="48A423E2" w14:textId="77777777" w:rsidR="002641D2" w:rsidRPr="00FA3F9C" w:rsidRDefault="002641D2" w:rsidP="00A1208C">
            <w:pPr>
              <w:jc w:val="center"/>
              <w:rPr>
                <w:rFonts w:ascii="Arial" w:hAnsi="Arial" w:cs="Arial"/>
                <w:sz w:val="24"/>
                <w:szCs w:val="24"/>
              </w:rPr>
            </w:pPr>
            <w:r w:rsidRPr="00FA3F9C">
              <w:rPr>
                <w:rFonts w:ascii="Arial" w:hAnsi="Arial" w:cs="Arial"/>
                <w:sz w:val="24"/>
                <w:szCs w:val="24"/>
              </w:rPr>
              <w:t>(</w:t>
            </w:r>
            <w:proofErr w:type="gramStart"/>
            <w:r w:rsidRPr="00FA3F9C">
              <w:rPr>
                <w:rFonts w:ascii="Arial" w:hAnsi="Arial" w:cs="Arial"/>
                <w:sz w:val="24"/>
                <w:szCs w:val="24"/>
              </w:rPr>
              <w:t>as</w:t>
            </w:r>
            <w:proofErr w:type="gramEnd"/>
            <w:r w:rsidRPr="00FA3F9C">
              <w:rPr>
                <w:rFonts w:ascii="Arial" w:hAnsi="Arial" w:cs="Arial"/>
                <w:sz w:val="24"/>
                <w:szCs w:val="24"/>
              </w:rPr>
              <w:t xml:space="preserve"> of 11/29/2020 per </w:t>
            </w:r>
            <w:proofErr w:type="spellStart"/>
            <w:r w:rsidRPr="00FA3F9C">
              <w:rPr>
                <w:rFonts w:ascii="Arial" w:hAnsi="Arial" w:cs="Arial"/>
                <w:sz w:val="24"/>
                <w:szCs w:val="24"/>
              </w:rPr>
              <w:t>LexiComp</w:t>
            </w:r>
            <w:proofErr w:type="spellEnd"/>
            <w:r w:rsidRPr="00FA3F9C">
              <w:rPr>
                <w:rFonts w:ascii="Arial" w:hAnsi="Arial" w:cs="Arial"/>
                <w:sz w:val="24"/>
                <w:szCs w:val="24"/>
              </w:rPr>
              <w:t>)</w:t>
            </w:r>
          </w:p>
        </w:tc>
      </w:tr>
      <w:tr w:rsidR="002641D2" w:rsidRPr="00FA3F9C" w14:paraId="4A5D8F18" w14:textId="77777777" w:rsidTr="007A2C80">
        <w:trPr>
          <w:trHeight w:val="401"/>
        </w:trPr>
        <w:tc>
          <w:tcPr>
            <w:tcW w:w="1052" w:type="dxa"/>
            <w:tcBorders>
              <w:top w:val="single" w:sz="4" w:space="0" w:color="auto"/>
              <w:left w:val="single" w:sz="4" w:space="0" w:color="auto"/>
              <w:right w:val="single" w:sz="4" w:space="0" w:color="auto"/>
            </w:tcBorders>
            <w:vAlign w:val="center"/>
          </w:tcPr>
          <w:p w14:paraId="3BD39EB3" w14:textId="77777777" w:rsidR="002641D2" w:rsidRPr="00FA3F9C" w:rsidRDefault="002641D2" w:rsidP="00EB6B0A">
            <w:pPr>
              <w:rPr>
                <w:rFonts w:ascii="Arial" w:hAnsi="Arial" w:cs="Arial"/>
                <w:sz w:val="24"/>
                <w:szCs w:val="24"/>
              </w:rPr>
            </w:pPr>
            <w:r w:rsidRPr="00FA3F9C">
              <w:rPr>
                <w:rFonts w:ascii="Arial" w:hAnsi="Arial" w:cs="Arial"/>
                <w:sz w:val="24"/>
                <w:szCs w:val="24"/>
              </w:rPr>
              <w:t>Larotrectinib</w:t>
            </w:r>
          </w:p>
        </w:tc>
        <w:tc>
          <w:tcPr>
            <w:tcW w:w="838" w:type="dxa"/>
            <w:tcBorders>
              <w:top w:val="single" w:sz="4" w:space="0" w:color="auto"/>
              <w:left w:val="single" w:sz="4" w:space="0" w:color="auto"/>
              <w:right w:val="single" w:sz="4" w:space="0" w:color="auto"/>
            </w:tcBorders>
            <w:vAlign w:val="center"/>
          </w:tcPr>
          <w:p w14:paraId="407C18A3" w14:textId="77777777" w:rsidR="002641D2" w:rsidRPr="00FA3F9C" w:rsidRDefault="002641D2" w:rsidP="00EB6B0A">
            <w:pPr>
              <w:rPr>
                <w:rFonts w:ascii="Arial" w:hAnsi="Arial" w:cs="Arial"/>
                <w:sz w:val="24"/>
                <w:szCs w:val="24"/>
              </w:rPr>
            </w:pPr>
            <w:proofErr w:type="spellStart"/>
            <w:r w:rsidRPr="00FA3F9C">
              <w:rPr>
                <w:rFonts w:ascii="Arial" w:hAnsi="Arial" w:cs="Arial"/>
                <w:sz w:val="24"/>
                <w:szCs w:val="24"/>
              </w:rPr>
              <w:t>Vitrakvi</w:t>
            </w:r>
            <w:proofErr w:type="spellEnd"/>
          </w:p>
        </w:tc>
        <w:tc>
          <w:tcPr>
            <w:tcW w:w="1710" w:type="dxa"/>
            <w:tcBorders>
              <w:top w:val="single" w:sz="4" w:space="0" w:color="auto"/>
              <w:left w:val="single" w:sz="4" w:space="0" w:color="auto"/>
              <w:right w:val="single" w:sz="4" w:space="0" w:color="auto"/>
            </w:tcBorders>
            <w:vAlign w:val="center"/>
          </w:tcPr>
          <w:p w14:paraId="73C9F65C" w14:textId="77777777" w:rsidR="002641D2" w:rsidRPr="00FA3F9C" w:rsidRDefault="002641D2" w:rsidP="00EB6B0A">
            <w:pPr>
              <w:rPr>
                <w:rFonts w:ascii="Arial" w:hAnsi="Arial" w:cs="Arial"/>
                <w:sz w:val="24"/>
                <w:szCs w:val="24"/>
              </w:rPr>
            </w:pPr>
            <w:r w:rsidRPr="00FA3F9C">
              <w:rPr>
                <w:rFonts w:ascii="Arial" w:hAnsi="Arial" w:cs="Arial"/>
                <w:sz w:val="24"/>
                <w:szCs w:val="24"/>
              </w:rPr>
              <w:t xml:space="preserve">100 mg PO bid </w:t>
            </w:r>
          </w:p>
        </w:tc>
        <w:tc>
          <w:tcPr>
            <w:tcW w:w="2645" w:type="dxa"/>
            <w:tcBorders>
              <w:top w:val="single" w:sz="4" w:space="0" w:color="auto"/>
              <w:left w:val="single" w:sz="4" w:space="0" w:color="auto"/>
              <w:right w:val="single" w:sz="4" w:space="0" w:color="auto"/>
            </w:tcBorders>
            <w:vAlign w:val="center"/>
          </w:tcPr>
          <w:p w14:paraId="25FD1CC3" w14:textId="77777777" w:rsidR="002641D2" w:rsidRPr="00FA3F9C" w:rsidRDefault="002641D2" w:rsidP="00EB6B0A">
            <w:pPr>
              <w:rPr>
                <w:rFonts w:ascii="Arial" w:hAnsi="Arial" w:cs="Arial"/>
                <w:sz w:val="24"/>
                <w:szCs w:val="24"/>
              </w:rPr>
            </w:pPr>
            <w:r w:rsidRPr="00FA3F9C">
              <w:rPr>
                <w:rFonts w:ascii="Arial" w:hAnsi="Arial" w:cs="Arial"/>
                <w:sz w:val="24"/>
                <w:szCs w:val="24"/>
              </w:rPr>
              <w:t>Capsule: $36,736</w:t>
            </w:r>
          </w:p>
          <w:p w14:paraId="7A4529B2" w14:textId="77777777" w:rsidR="002641D2" w:rsidRPr="00FA3F9C" w:rsidRDefault="002641D2" w:rsidP="00EB6B0A">
            <w:pPr>
              <w:rPr>
                <w:rFonts w:ascii="Arial" w:hAnsi="Arial" w:cs="Arial"/>
                <w:sz w:val="24"/>
                <w:szCs w:val="24"/>
              </w:rPr>
            </w:pPr>
            <w:r w:rsidRPr="00FA3F9C">
              <w:rPr>
                <w:rFonts w:ascii="Arial" w:hAnsi="Arial" w:cs="Arial"/>
                <w:sz w:val="24"/>
                <w:szCs w:val="24"/>
              </w:rPr>
              <w:t>Oral solution: $48,980</w:t>
            </w:r>
          </w:p>
        </w:tc>
      </w:tr>
    </w:tbl>
    <w:p w14:paraId="02476842" w14:textId="77777777" w:rsidR="002641D2" w:rsidRPr="00FA3F9C" w:rsidRDefault="002641D2" w:rsidP="00FA3C5D">
      <w:pPr>
        <w:spacing w:after="0"/>
        <w:rPr>
          <w:rFonts w:ascii="Arial" w:hAnsi="Arial" w:cs="Arial"/>
          <w:sz w:val="24"/>
          <w:szCs w:val="24"/>
        </w:rPr>
      </w:pPr>
    </w:p>
    <w:p w14:paraId="08776BF8" w14:textId="77777777" w:rsidR="002641D2" w:rsidRPr="00FA3F9C" w:rsidRDefault="002641D2" w:rsidP="006F623F">
      <w:pPr>
        <w:spacing w:after="0"/>
        <w:rPr>
          <w:rFonts w:ascii="Arial" w:hAnsi="Arial" w:cs="Arial"/>
          <w:b/>
          <w:sz w:val="24"/>
          <w:szCs w:val="24"/>
          <w:u w:val="single"/>
        </w:rPr>
      </w:pPr>
    </w:p>
    <w:tbl>
      <w:tblPr>
        <w:tblStyle w:val="TableGrid"/>
        <w:tblW w:w="0" w:type="auto"/>
        <w:shd w:val="clear" w:color="auto" w:fill="BFBFBF" w:themeFill="background1" w:themeFillShade="BF"/>
        <w:tblLook w:val="04A0" w:firstRow="1" w:lastRow="0" w:firstColumn="1" w:lastColumn="0" w:noHBand="0" w:noVBand="1"/>
      </w:tblPr>
      <w:tblGrid>
        <w:gridCol w:w="10998"/>
      </w:tblGrid>
      <w:tr w:rsidR="002641D2" w:rsidRPr="00FA3F9C" w14:paraId="514ADA9E" w14:textId="77777777" w:rsidTr="007E7089">
        <w:trPr>
          <w:trHeight w:val="60"/>
        </w:trPr>
        <w:tc>
          <w:tcPr>
            <w:tcW w:w="10998" w:type="dxa"/>
            <w:shd w:val="clear" w:color="auto" w:fill="BFBFBF" w:themeFill="background1" w:themeFillShade="BF"/>
          </w:tcPr>
          <w:p w14:paraId="6875C137" w14:textId="77777777" w:rsidR="002641D2" w:rsidRPr="00FA3F9C" w:rsidRDefault="002641D2" w:rsidP="00D82B6E">
            <w:pPr>
              <w:rPr>
                <w:rFonts w:ascii="Arial" w:hAnsi="Arial" w:cs="Arial"/>
                <w:sz w:val="24"/>
                <w:szCs w:val="24"/>
              </w:rPr>
            </w:pPr>
            <w:r w:rsidRPr="00FA3F9C">
              <w:rPr>
                <w:rFonts w:ascii="Arial" w:hAnsi="Arial" w:cs="Arial"/>
                <w:sz w:val="24"/>
                <w:szCs w:val="24"/>
              </w:rPr>
              <w:t>Dosing is as follows:</w:t>
            </w:r>
          </w:p>
          <w:p w14:paraId="08824DB1" w14:textId="77777777" w:rsidR="002641D2" w:rsidRPr="00FA3F9C" w:rsidRDefault="002641D2" w:rsidP="00D82B6E">
            <w:pPr>
              <w:rPr>
                <w:rFonts w:ascii="Arial" w:hAnsi="Arial" w:cs="Arial"/>
                <w:sz w:val="24"/>
                <w:szCs w:val="24"/>
              </w:rPr>
            </w:pPr>
            <w:r w:rsidRPr="00FA3F9C">
              <w:rPr>
                <w:rFonts w:ascii="Arial" w:hAnsi="Arial" w:cs="Arial"/>
                <w:sz w:val="24"/>
                <w:szCs w:val="24"/>
              </w:rPr>
              <w:t xml:space="preserve">BSA </w:t>
            </w:r>
            <w:r w:rsidRPr="00FA3F9C">
              <w:rPr>
                <w:rFonts w:ascii="Arial" w:hAnsi="Arial" w:cs="Arial"/>
                <w:sz w:val="24"/>
                <w:szCs w:val="24"/>
                <w:u w:val="single"/>
              </w:rPr>
              <w:t>&gt;</w:t>
            </w:r>
            <w:r w:rsidRPr="00FA3F9C">
              <w:rPr>
                <w:rFonts w:ascii="Arial" w:hAnsi="Arial" w:cs="Arial"/>
                <w:sz w:val="24"/>
                <w:szCs w:val="24"/>
              </w:rPr>
              <w:t xml:space="preserve"> 1 m</w:t>
            </w:r>
            <w:r w:rsidRPr="00FA3F9C">
              <w:rPr>
                <w:rFonts w:ascii="Arial" w:hAnsi="Arial" w:cs="Arial"/>
                <w:sz w:val="24"/>
                <w:szCs w:val="24"/>
                <w:vertAlign w:val="superscript"/>
              </w:rPr>
              <w:t>2</w:t>
            </w:r>
            <w:r w:rsidRPr="00FA3F9C">
              <w:rPr>
                <w:rFonts w:ascii="Arial" w:hAnsi="Arial" w:cs="Arial"/>
                <w:sz w:val="24"/>
                <w:szCs w:val="24"/>
              </w:rPr>
              <w:t xml:space="preserve"> (will include most adults): 100 mg PO BID </w:t>
            </w:r>
          </w:p>
          <w:p w14:paraId="09EB2704" w14:textId="77777777" w:rsidR="002641D2" w:rsidRPr="00FA3F9C" w:rsidRDefault="002641D2" w:rsidP="00D82B6E">
            <w:pPr>
              <w:rPr>
                <w:rFonts w:ascii="Arial" w:hAnsi="Arial" w:cs="Arial"/>
                <w:sz w:val="24"/>
                <w:szCs w:val="24"/>
              </w:rPr>
            </w:pPr>
            <w:r w:rsidRPr="00FA3F9C">
              <w:rPr>
                <w:rFonts w:ascii="Arial" w:hAnsi="Arial" w:cs="Arial"/>
                <w:sz w:val="24"/>
                <w:szCs w:val="24"/>
              </w:rPr>
              <w:t>BSA &lt; 1 m</w:t>
            </w:r>
            <w:r w:rsidRPr="00FA3F9C">
              <w:rPr>
                <w:rFonts w:ascii="Arial" w:hAnsi="Arial" w:cs="Arial"/>
                <w:sz w:val="24"/>
                <w:szCs w:val="24"/>
                <w:vertAlign w:val="superscript"/>
              </w:rPr>
              <w:t>2</w:t>
            </w:r>
            <w:r w:rsidRPr="00FA3F9C">
              <w:rPr>
                <w:rFonts w:ascii="Arial" w:hAnsi="Arial" w:cs="Arial"/>
                <w:sz w:val="24"/>
                <w:szCs w:val="24"/>
              </w:rPr>
              <w:t>: 100 mg/m</w:t>
            </w:r>
            <w:r w:rsidRPr="00FA3F9C">
              <w:rPr>
                <w:rFonts w:ascii="Arial" w:hAnsi="Arial" w:cs="Arial"/>
                <w:sz w:val="24"/>
                <w:szCs w:val="24"/>
                <w:vertAlign w:val="superscript"/>
              </w:rPr>
              <w:t>2</w:t>
            </w:r>
            <w:r w:rsidRPr="00FA3F9C">
              <w:rPr>
                <w:rFonts w:ascii="Arial" w:hAnsi="Arial" w:cs="Arial"/>
                <w:sz w:val="24"/>
                <w:szCs w:val="24"/>
              </w:rPr>
              <w:t xml:space="preserve"> PO BID </w:t>
            </w:r>
          </w:p>
          <w:p w14:paraId="1D448245" w14:textId="77777777" w:rsidR="002641D2" w:rsidRPr="00FA3F9C" w:rsidRDefault="002641D2" w:rsidP="007A2C80">
            <w:pPr>
              <w:rPr>
                <w:rFonts w:ascii="Arial" w:hAnsi="Arial" w:cs="Arial"/>
                <w:sz w:val="24"/>
                <w:szCs w:val="24"/>
              </w:rPr>
            </w:pPr>
          </w:p>
          <w:p w14:paraId="68466549" w14:textId="77777777" w:rsidR="002641D2" w:rsidRPr="00FA3F9C" w:rsidRDefault="002641D2" w:rsidP="007A2C80">
            <w:pPr>
              <w:rPr>
                <w:rFonts w:ascii="Arial" w:hAnsi="Arial" w:cs="Arial"/>
                <w:sz w:val="24"/>
                <w:szCs w:val="24"/>
              </w:rPr>
            </w:pPr>
            <w:r w:rsidRPr="00FA3F9C">
              <w:rPr>
                <w:rFonts w:ascii="Arial" w:hAnsi="Arial" w:cs="Arial"/>
                <w:sz w:val="24"/>
                <w:szCs w:val="24"/>
              </w:rPr>
              <w:t>Larotrectinib was approved based on a pooled analysis of 3 single-arm trials showing an overall response rate of 75%.</w:t>
            </w:r>
            <w:r w:rsidRPr="00FA3F9C">
              <w:rPr>
                <w:rFonts w:ascii="Arial" w:hAnsi="Arial" w:cs="Arial"/>
                <w:sz w:val="24"/>
                <w:szCs w:val="24"/>
                <w:vertAlign w:val="superscript"/>
              </w:rPr>
              <w:t>1,2</w:t>
            </w:r>
            <w:r w:rsidRPr="00FA3F9C">
              <w:rPr>
                <w:rFonts w:ascii="Arial" w:hAnsi="Arial" w:cs="Arial"/>
                <w:sz w:val="24"/>
                <w:szCs w:val="24"/>
              </w:rPr>
              <w:t xml:space="preserve"> Additionally, a </w:t>
            </w:r>
            <w:proofErr w:type="gramStart"/>
            <w:r w:rsidRPr="00FA3F9C">
              <w:rPr>
                <w:rFonts w:ascii="Arial" w:hAnsi="Arial" w:cs="Arial"/>
                <w:sz w:val="24"/>
                <w:szCs w:val="24"/>
              </w:rPr>
              <w:t>quality of life</w:t>
            </w:r>
            <w:proofErr w:type="gramEnd"/>
            <w:r w:rsidRPr="00FA3F9C">
              <w:rPr>
                <w:rFonts w:ascii="Arial" w:hAnsi="Arial" w:cs="Arial"/>
                <w:sz w:val="24"/>
                <w:szCs w:val="24"/>
              </w:rPr>
              <w:t xml:space="preserve"> analysis was conducted showing a clinically significant improvement in over 50% of patients using several QOL scales:</w:t>
            </w:r>
            <w:r w:rsidRPr="00FA3F9C">
              <w:rPr>
                <w:rFonts w:ascii="Arial" w:hAnsi="Arial" w:cs="Arial"/>
                <w:sz w:val="24"/>
                <w:szCs w:val="24"/>
                <w:vertAlign w:val="superscript"/>
              </w:rPr>
              <w:t>3</w:t>
            </w:r>
          </w:p>
          <w:p w14:paraId="6FA881A6" w14:textId="77777777" w:rsidR="002641D2" w:rsidRPr="00FA3F9C" w:rsidRDefault="002641D2" w:rsidP="007A2C80">
            <w:pPr>
              <w:rPr>
                <w:rFonts w:ascii="Arial" w:hAnsi="Arial" w:cs="Arial"/>
                <w:sz w:val="24"/>
                <w:szCs w:val="24"/>
              </w:rPr>
            </w:pPr>
          </w:p>
          <w:p w14:paraId="2E82BF3B" w14:textId="77777777" w:rsidR="002641D2" w:rsidRPr="00FA3F9C" w:rsidRDefault="002641D2" w:rsidP="00516FC9">
            <w:pPr>
              <w:ind w:left="1530"/>
              <w:rPr>
                <w:rFonts w:ascii="Arial" w:hAnsi="Arial" w:cs="Arial"/>
                <w:sz w:val="24"/>
                <w:szCs w:val="24"/>
                <w:u w:val="single"/>
              </w:rPr>
            </w:pPr>
            <w:r w:rsidRPr="00FA3F9C">
              <w:rPr>
                <w:rFonts w:ascii="Arial" w:hAnsi="Arial" w:cs="Arial"/>
                <w:sz w:val="24"/>
                <w:szCs w:val="24"/>
                <w:u w:val="single"/>
              </w:rPr>
              <w:t>Pt with clinically significant improvement n (%)*:</w:t>
            </w:r>
          </w:p>
          <w:p w14:paraId="68EF1312" w14:textId="77777777" w:rsidR="002641D2" w:rsidRPr="00FA3F9C" w:rsidRDefault="002641D2" w:rsidP="00516FC9">
            <w:pPr>
              <w:ind w:left="1530"/>
              <w:rPr>
                <w:rFonts w:ascii="Arial" w:hAnsi="Arial" w:cs="Arial"/>
                <w:sz w:val="24"/>
                <w:szCs w:val="24"/>
              </w:rPr>
            </w:pPr>
            <w:proofErr w:type="spellStart"/>
            <w:r w:rsidRPr="00FA3F9C">
              <w:rPr>
                <w:rFonts w:ascii="Arial" w:hAnsi="Arial" w:cs="Arial"/>
                <w:sz w:val="24"/>
                <w:szCs w:val="24"/>
              </w:rPr>
              <w:t>PedsQL</w:t>
            </w:r>
            <w:proofErr w:type="spellEnd"/>
            <w:r w:rsidRPr="00FA3F9C">
              <w:rPr>
                <w:rFonts w:ascii="Arial" w:hAnsi="Arial" w:cs="Arial"/>
                <w:sz w:val="24"/>
                <w:szCs w:val="24"/>
              </w:rPr>
              <w:t xml:space="preserve"> (total score): n=10 (77%)</w:t>
            </w:r>
          </w:p>
          <w:p w14:paraId="36BB952C" w14:textId="77777777" w:rsidR="002641D2" w:rsidRPr="00FA3F9C" w:rsidRDefault="002641D2" w:rsidP="00516FC9">
            <w:pPr>
              <w:ind w:left="1530"/>
              <w:rPr>
                <w:rFonts w:ascii="Arial" w:hAnsi="Arial" w:cs="Arial"/>
                <w:sz w:val="24"/>
                <w:szCs w:val="24"/>
              </w:rPr>
            </w:pPr>
            <w:r w:rsidRPr="00FA3F9C">
              <w:rPr>
                <w:rFonts w:ascii="Arial" w:hAnsi="Arial" w:cs="Arial"/>
                <w:sz w:val="24"/>
                <w:szCs w:val="24"/>
              </w:rPr>
              <w:t>EORTC QLQ-C30:        n=15 (62%)</w:t>
            </w:r>
          </w:p>
          <w:p w14:paraId="55568795" w14:textId="77777777" w:rsidR="002641D2" w:rsidRPr="00FA3F9C" w:rsidRDefault="002641D2" w:rsidP="00516FC9">
            <w:pPr>
              <w:ind w:left="1530"/>
              <w:rPr>
                <w:rFonts w:ascii="Arial" w:hAnsi="Arial" w:cs="Arial"/>
                <w:sz w:val="24"/>
                <w:szCs w:val="24"/>
              </w:rPr>
            </w:pPr>
            <w:r w:rsidRPr="00FA3F9C">
              <w:rPr>
                <w:rFonts w:ascii="Arial" w:hAnsi="Arial" w:cs="Arial"/>
                <w:sz w:val="24"/>
                <w:szCs w:val="24"/>
              </w:rPr>
              <w:t>EQ-5D-5L:                    n=14 (58%)</w:t>
            </w:r>
          </w:p>
          <w:p w14:paraId="739C4DB8" w14:textId="77777777" w:rsidR="002641D2" w:rsidRPr="00FA3F9C" w:rsidRDefault="002641D2" w:rsidP="00516FC9">
            <w:pPr>
              <w:ind w:left="1530"/>
              <w:rPr>
                <w:rFonts w:ascii="Arial" w:hAnsi="Arial" w:cs="Arial"/>
                <w:sz w:val="24"/>
                <w:szCs w:val="24"/>
              </w:rPr>
            </w:pPr>
          </w:p>
          <w:p w14:paraId="4E5E8FF1" w14:textId="77777777" w:rsidR="002641D2" w:rsidRPr="00FA3F9C" w:rsidRDefault="002641D2" w:rsidP="00516FC9">
            <w:pPr>
              <w:spacing w:after="120"/>
              <w:ind w:left="1530"/>
              <w:rPr>
                <w:rFonts w:ascii="Arial" w:hAnsi="Arial" w:cs="Arial"/>
                <w:sz w:val="24"/>
                <w:szCs w:val="24"/>
              </w:rPr>
            </w:pPr>
            <w:r w:rsidRPr="00FA3F9C">
              <w:rPr>
                <w:rFonts w:ascii="Arial" w:hAnsi="Arial" w:cs="Arial"/>
                <w:sz w:val="24"/>
                <w:szCs w:val="24"/>
              </w:rPr>
              <w:t>*Improvements in QOL scores seen by cycle 3 or 5 and sustained for minimum of 2 cycles. Clinically significant improvement defined in reference.</w:t>
            </w:r>
          </w:p>
          <w:p w14:paraId="1CC4F362" w14:textId="77777777" w:rsidR="002641D2" w:rsidRPr="00FA3F9C" w:rsidRDefault="002641D2" w:rsidP="00C33029">
            <w:pPr>
              <w:ind w:left="180" w:hanging="180"/>
              <w:rPr>
                <w:rFonts w:ascii="Arial" w:hAnsi="Arial" w:cs="Arial"/>
                <w:sz w:val="24"/>
                <w:szCs w:val="24"/>
              </w:rPr>
            </w:pPr>
            <w:r w:rsidRPr="00FA3F9C">
              <w:rPr>
                <w:rFonts w:ascii="Arial" w:hAnsi="Arial" w:cs="Arial"/>
                <w:sz w:val="24"/>
                <w:szCs w:val="24"/>
              </w:rPr>
              <w:t>References:</w:t>
            </w:r>
          </w:p>
          <w:p w14:paraId="4AB9C07B" w14:textId="77777777" w:rsidR="002641D2" w:rsidRPr="00FA3F9C" w:rsidRDefault="002641D2" w:rsidP="002641D2">
            <w:pPr>
              <w:pStyle w:val="ListParagraph"/>
              <w:numPr>
                <w:ilvl w:val="0"/>
                <w:numId w:val="302"/>
              </w:numPr>
              <w:ind w:left="180" w:hanging="180"/>
              <w:rPr>
                <w:rFonts w:ascii="Arial" w:hAnsi="Arial" w:cs="Arial"/>
                <w:sz w:val="24"/>
                <w:szCs w:val="24"/>
              </w:rPr>
            </w:pPr>
            <w:r w:rsidRPr="00FA3F9C">
              <w:rPr>
                <w:rFonts w:ascii="Arial" w:hAnsi="Arial" w:cs="Arial"/>
                <w:sz w:val="24"/>
                <w:szCs w:val="24"/>
              </w:rPr>
              <w:lastRenderedPageBreak/>
              <w:t xml:space="preserve">Drilon, A., et al. “Efficacy of Larotrectinib in TRK Fusion-Positive Cancers in Adults and Children.” </w:t>
            </w:r>
            <w:r w:rsidRPr="00FA3F9C">
              <w:rPr>
                <w:rFonts w:ascii="Arial" w:hAnsi="Arial" w:cs="Arial"/>
                <w:i/>
                <w:sz w:val="24"/>
                <w:szCs w:val="24"/>
              </w:rPr>
              <w:t xml:space="preserve">New England Journal of Medicine </w:t>
            </w:r>
            <w:r w:rsidRPr="00FA3F9C">
              <w:rPr>
                <w:rFonts w:ascii="Arial" w:hAnsi="Arial" w:cs="Arial"/>
                <w:sz w:val="24"/>
                <w:szCs w:val="24"/>
              </w:rPr>
              <w:t>378.8 (February 2018): 731-739.</w:t>
            </w:r>
          </w:p>
          <w:p w14:paraId="531A0C45" w14:textId="77777777" w:rsidR="002641D2" w:rsidRPr="00FA3F9C" w:rsidRDefault="002641D2" w:rsidP="002641D2">
            <w:pPr>
              <w:pStyle w:val="ListParagraph"/>
              <w:numPr>
                <w:ilvl w:val="0"/>
                <w:numId w:val="302"/>
              </w:numPr>
              <w:ind w:left="180" w:hanging="180"/>
              <w:rPr>
                <w:rFonts w:ascii="Arial" w:hAnsi="Arial" w:cs="Arial"/>
                <w:sz w:val="24"/>
                <w:szCs w:val="24"/>
              </w:rPr>
            </w:pPr>
            <w:proofErr w:type="spellStart"/>
            <w:r w:rsidRPr="00FA3F9C">
              <w:rPr>
                <w:rFonts w:ascii="Arial" w:hAnsi="Arial" w:cs="Arial"/>
                <w:sz w:val="24"/>
                <w:szCs w:val="24"/>
              </w:rPr>
              <w:t>Laetsch</w:t>
            </w:r>
            <w:proofErr w:type="spellEnd"/>
            <w:r w:rsidRPr="00FA3F9C">
              <w:rPr>
                <w:rFonts w:ascii="Arial" w:hAnsi="Arial" w:cs="Arial"/>
                <w:sz w:val="24"/>
                <w:szCs w:val="24"/>
              </w:rPr>
              <w:t xml:space="preserve">, Theodore W., et al. "Larotrectinib for </w:t>
            </w:r>
            <w:proofErr w:type="spellStart"/>
            <w:r w:rsidRPr="00FA3F9C">
              <w:rPr>
                <w:rFonts w:ascii="Arial" w:hAnsi="Arial" w:cs="Arial"/>
                <w:sz w:val="24"/>
                <w:szCs w:val="24"/>
              </w:rPr>
              <w:t>paediatric</w:t>
            </w:r>
            <w:proofErr w:type="spellEnd"/>
            <w:r w:rsidRPr="00FA3F9C">
              <w:rPr>
                <w:rFonts w:ascii="Arial" w:hAnsi="Arial" w:cs="Arial"/>
                <w:sz w:val="24"/>
                <w:szCs w:val="24"/>
              </w:rPr>
              <w:t xml:space="preserve"> solid </w:t>
            </w:r>
            <w:proofErr w:type="spellStart"/>
            <w:r w:rsidRPr="00FA3F9C">
              <w:rPr>
                <w:rFonts w:ascii="Arial" w:hAnsi="Arial" w:cs="Arial"/>
                <w:sz w:val="24"/>
                <w:szCs w:val="24"/>
              </w:rPr>
              <w:t>tumours</w:t>
            </w:r>
            <w:proofErr w:type="spellEnd"/>
            <w:r w:rsidRPr="00FA3F9C">
              <w:rPr>
                <w:rFonts w:ascii="Arial" w:hAnsi="Arial" w:cs="Arial"/>
                <w:sz w:val="24"/>
                <w:szCs w:val="24"/>
              </w:rPr>
              <w:t xml:space="preserve"> </w:t>
            </w:r>
            <w:proofErr w:type="spellStart"/>
            <w:r w:rsidRPr="00FA3F9C">
              <w:rPr>
                <w:rFonts w:ascii="Arial" w:hAnsi="Arial" w:cs="Arial"/>
                <w:sz w:val="24"/>
                <w:szCs w:val="24"/>
              </w:rPr>
              <w:t>harbouring</w:t>
            </w:r>
            <w:proofErr w:type="spellEnd"/>
            <w:r w:rsidRPr="00FA3F9C">
              <w:rPr>
                <w:rFonts w:ascii="Arial" w:hAnsi="Arial" w:cs="Arial"/>
                <w:sz w:val="24"/>
                <w:szCs w:val="24"/>
              </w:rPr>
              <w:t xml:space="preserve"> NTRK gene fusions: phase 1 results from a </w:t>
            </w:r>
            <w:proofErr w:type="spellStart"/>
            <w:r w:rsidRPr="00FA3F9C">
              <w:rPr>
                <w:rFonts w:ascii="Arial" w:hAnsi="Arial" w:cs="Arial"/>
                <w:sz w:val="24"/>
                <w:szCs w:val="24"/>
              </w:rPr>
              <w:t>multicentre</w:t>
            </w:r>
            <w:proofErr w:type="spellEnd"/>
            <w:r w:rsidRPr="00FA3F9C">
              <w:rPr>
                <w:rFonts w:ascii="Arial" w:hAnsi="Arial" w:cs="Arial"/>
                <w:sz w:val="24"/>
                <w:szCs w:val="24"/>
              </w:rPr>
              <w:t xml:space="preserve">, open-label, phase 1/2 study." </w:t>
            </w:r>
            <w:r w:rsidRPr="00FA3F9C">
              <w:rPr>
                <w:rFonts w:ascii="Arial" w:hAnsi="Arial" w:cs="Arial"/>
                <w:i/>
                <w:sz w:val="24"/>
                <w:szCs w:val="24"/>
              </w:rPr>
              <w:t>The Lancet</w:t>
            </w:r>
            <w:r w:rsidRPr="00FA3F9C">
              <w:rPr>
                <w:rFonts w:ascii="Arial" w:hAnsi="Arial" w:cs="Arial"/>
                <w:sz w:val="24"/>
                <w:szCs w:val="24"/>
              </w:rPr>
              <w:t xml:space="preserve"> 19.5 (May 2018): 705-714.</w:t>
            </w:r>
          </w:p>
          <w:p w14:paraId="295587E3" w14:textId="77777777" w:rsidR="002641D2" w:rsidRPr="00FA3F9C" w:rsidRDefault="002641D2" w:rsidP="002641D2">
            <w:pPr>
              <w:pStyle w:val="ListParagraph"/>
              <w:numPr>
                <w:ilvl w:val="0"/>
                <w:numId w:val="302"/>
              </w:numPr>
              <w:ind w:left="180" w:hanging="180"/>
              <w:rPr>
                <w:rFonts w:ascii="Arial" w:hAnsi="Arial" w:cs="Arial"/>
                <w:sz w:val="24"/>
                <w:szCs w:val="24"/>
              </w:rPr>
            </w:pPr>
            <w:proofErr w:type="spellStart"/>
            <w:r w:rsidRPr="00FA3F9C">
              <w:rPr>
                <w:rFonts w:ascii="Arial" w:hAnsi="Arial" w:cs="Arial"/>
                <w:sz w:val="24"/>
                <w:szCs w:val="24"/>
              </w:rPr>
              <w:t>Kummar</w:t>
            </w:r>
            <w:proofErr w:type="spellEnd"/>
            <w:r w:rsidRPr="00FA3F9C">
              <w:rPr>
                <w:rFonts w:ascii="Arial" w:hAnsi="Arial" w:cs="Arial"/>
                <w:sz w:val="24"/>
                <w:szCs w:val="24"/>
              </w:rPr>
              <w:t xml:space="preserve"> S et al. Patient-reported outcomes from two global multicenter clinical trials of children and adults with tropomyosin receptor kinase (TRK) fusion cancer receiving </w:t>
            </w:r>
            <w:proofErr w:type="spellStart"/>
            <w:r w:rsidRPr="00FA3F9C">
              <w:rPr>
                <w:rFonts w:ascii="Arial" w:hAnsi="Arial" w:cs="Arial"/>
                <w:sz w:val="24"/>
                <w:szCs w:val="24"/>
              </w:rPr>
              <w:t>larotrectinib</w:t>
            </w:r>
            <w:proofErr w:type="spellEnd"/>
            <w:r w:rsidRPr="00FA3F9C">
              <w:rPr>
                <w:rFonts w:ascii="Arial" w:hAnsi="Arial" w:cs="Arial"/>
                <w:sz w:val="24"/>
                <w:szCs w:val="24"/>
              </w:rPr>
              <w:t xml:space="preserve">. DOI: 10.1200/JCO.2019.37.15_suppl.6602 Journal of Clinical Oncology 37, no. 15_suppl (May 20, 2019) 6602-6602. Accessed 10/7/2019. [Abstract] </w:t>
            </w:r>
            <w:hyperlink r:id="rId261" w:history="1">
              <w:r w:rsidRPr="00FA3F9C">
                <w:rPr>
                  <w:rStyle w:val="Hyperlink"/>
                  <w:rFonts w:ascii="Arial" w:hAnsi="Arial" w:cs="Arial"/>
                  <w:sz w:val="24"/>
                  <w:szCs w:val="24"/>
                </w:rPr>
                <w:t>https://ascopubs.org/doi/abs/10.1200/JCO.2019.37.15_suppl.6602</w:t>
              </w:r>
            </w:hyperlink>
            <w:r w:rsidRPr="00FA3F9C">
              <w:rPr>
                <w:rFonts w:ascii="Arial" w:hAnsi="Arial" w:cs="Arial"/>
                <w:sz w:val="24"/>
                <w:szCs w:val="24"/>
              </w:rPr>
              <w:t xml:space="preserve">. </w:t>
            </w:r>
          </w:p>
        </w:tc>
      </w:tr>
    </w:tbl>
    <w:p w14:paraId="3FB1C05B" w14:textId="77777777" w:rsidR="002641D2" w:rsidRPr="00FA3F9C" w:rsidRDefault="002641D2" w:rsidP="006F623F">
      <w:pPr>
        <w:spacing w:after="0"/>
        <w:rPr>
          <w:rFonts w:ascii="Arial" w:hAnsi="Arial" w:cs="Arial"/>
          <w:sz w:val="24"/>
          <w:szCs w:val="24"/>
        </w:rPr>
      </w:pPr>
    </w:p>
    <w:p w14:paraId="212D3E8C" w14:textId="77777777" w:rsidR="002641D2" w:rsidRPr="00FA3F9C" w:rsidRDefault="002641D2" w:rsidP="006F623F">
      <w:pPr>
        <w:spacing w:after="0"/>
        <w:rPr>
          <w:rFonts w:ascii="Arial" w:hAnsi="Arial" w:cs="Arial"/>
          <w:sz w:val="24"/>
          <w:szCs w:val="24"/>
        </w:rPr>
      </w:pPr>
    </w:p>
    <w:p w14:paraId="5FC55261" w14:textId="77777777" w:rsidR="002641D2" w:rsidRPr="00FA3F9C" w:rsidRDefault="002641D2"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418"/>
        <w:gridCol w:w="7470"/>
        <w:gridCol w:w="2538"/>
      </w:tblGrid>
      <w:tr w:rsidR="002641D2" w:rsidRPr="00FA3F9C" w14:paraId="5013FDE0" w14:textId="77777777" w:rsidTr="00FE491B">
        <w:tc>
          <w:tcPr>
            <w:tcW w:w="1008" w:type="dxa"/>
          </w:tcPr>
          <w:p w14:paraId="2FF6450E" w14:textId="77777777" w:rsidR="002641D2" w:rsidRPr="00FA3F9C" w:rsidRDefault="002641D2" w:rsidP="006F623F">
            <w:pPr>
              <w:rPr>
                <w:rFonts w:ascii="Arial" w:hAnsi="Arial" w:cs="Arial"/>
                <w:sz w:val="24"/>
                <w:szCs w:val="24"/>
              </w:rPr>
            </w:pPr>
            <w:r w:rsidRPr="00FA3F9C">
              <w:rPr>
                <w:rFonts w:ascii="Arial" w:hAnsi="Arial" w:cs="Arial"/>
                <w:sz w:val="24"/>
                <w:szCs w:val="24"/>
              </w:rPr>
              <w:t>Date</w:t>
            </w:r>
          </w:p>
        </w:tc>
        <w:tc>
          <w:tcPr>
            <w:tcW w:w="7470" w:type="dxa"/>
          </w:tcPr>
          <w:p w14:paraId="15C4008E" w14:textId="77777777" w:rsidR="002641D2" w:rsidRPr="00FA3F9C" w:rsidRDefault="002641D2" w:rsidP="006F623F">
            <w:pPr>
              <w:rPr>
                <w:rFonts w:ascii="Arial" w:hAnsi="Arial" w:cs="Arial"/>
                <w:sz w:val="24"/>
                <w:szCs w:val="24"/>
              </w:rPr>
            </w:pPr>
            <w:r w:rsidRPr="00FA3F9C">
              <w:rPr>
                <w:rFonts w:ascii="Arial" w:hAnsi="Arial" w:cs="Arial"/>
                <w:sz w:val="24"/>
                <w:szCs w:val="24"/>
              </w:rPr>
              <w:t>What changed</w:t>
            </w:r>
          </w:p>
        </w:tc>
        <w:tc>
          <w:tcPr>
            <w:tcW w:w="2538" w:type="dxa"/>
          </w:tcPr>
          <w:p w14:paraId="1B561297" w14:textId="77777777" w:rsidR="002641D2" w:rsidRPr="00FA3F9C" w:rsidRDefault="002641D2" w:rsidP="006F623F">
            <w:pPr>
              <w:rPr>
                <w:rFonts w:ascii="Arial" w:hAnsi="Arial" w:cs="Arial"/>
                <w:sz w:val="24"/>
                <w:szCs w:val="24"/>
              </w:rPr>
            </w:pPr>
            <w:r w:rsidRPr="00FA3F9C">
              <w:rPr>
                <w:rFonts w:ascii="Arial" w:hAnsi="Arial" w:cs="Arial"/>
                <w:sz w:val="24"/>
                <w:szCs w:val="24"/>
              </w:rPr>
              <w:t>Pharmacist’s initials</w:t>
            </w:r>
          </w:p>
        </w:tc>
      </w:tr>
      <w:tr w:rsidR="002641D2" w:rsidRPr="00FA3F9C" w14:paraId="52A33370" w14:textId="77777777" w:rsidTr="00FE491B">
        <w:tc>
          <w:tcPr>
            <w:tcW w:w="1008" w:type="dxa"/>
          </w:tcPr>
          <w:p w14:paraId="29FF5E1B" w14:textId="77777777" w:rsidR="002641D2" w:rsidRPr="00FA3F9C" w:rsidRDefault="002641D2" w:rsidP="006F623F">
            <w:pPr>
              <w:rPr>
                <w:rFonts w:ascii="Arial" w:hAnsi="Arial" w:cs="Arial"/>
                <w:sz w:val="24"/>
                <w:szCs w:val="24"/>
              </w:rPr>
            </w:pPr>
            <w:r w:rsidRPr="00FA3F9C">
              <w:rPr>
                <w:rFonts w:ascii="Arial" w:hAnsi="Arial" w:cs="Arial"/>
                <w:sz w:val="24"/>
                <w:szCs w:val="24"/>
              </w:rPr>
              <w:t>10/28/19</w:t>
            </w:r>
          </w:p>
        </w:tc>
        <w:tc>
          <w:tcPr>
            <w:tcW w:w="7470" w:type="dxa"/>
          </w:tcPr>
          <w:p w14:paraId="44CA0295" w14:textId="77777777" w:rsidR="002641D2" w:rsidRPr="00FA3F9C" w:rsidRDefault="002641D2" w:rsidP="006F623F">
            <w:pPr>
              <w:rPr>
                <w:rFonts w:ascii="Arial" w:hAnsi="Arial" w:cs="Arial"/>
                <w:sz w:val="24"/>
                <w:szCs w:val="24"/>
              </w:rPr>
            </w:pPr>
            <w:r w:rsidRPr="00FA3F9C">
              <w:rPr>
                <w:rFonts w:ascii="Arial" w:hAnsi="Arial" w:cs="Arial"/>
                <w:sz w:val="24"/>
                <w:szCs w:val="24"/>
              </w:rPr>
              <w:t>Criteria written</w:t>
            </w:r>
          </w:p>
        </w:tc>
        <w:tc>
          <w:tcPr>
            <w:tcW w:w="2538" w:type="dxa"/>
          </w:tcPr>
          <w:p w14:paraId="14D1E0A1" w14:textId="77777777" w:rsidR="002641D2" w:rsidRPr="00FA3F9C" w:rsidRDefault="002641D2" w:rsidP="006F623F">
            <w:pPr>
              <w:rPr>
                <w:rFonts w:ascii="Arial" w:hAnsi="Arial" w:cs="Arial"/>
                <w:sz w:val="24"/>
                <w:szCs w:val="24"/>
              </w:rPr>
            </w:pPr>
            <w:r w:rsidRPr="00FA3F9C">
              <w:rPr>
                <w:rFonts w:ascii="Arial" w:hAnsi="Arial" w:cs="Arial"/>
                <w:sz w:val="24"/>
                <w:szCs w:val="24"/>
              </w:rPr>
              <w:t>SK</w:t>
            </w:r>
          </w:p>
        </w:tc>
      </w:tr>
      <w:tr w:rsidR="002641D2" w:rsidRPr="00FA3F9C" w14:paraId="357438C5" w14:textId="77777777" w:rsidTr="00FE491B">
        <w:tc>
          <w:tcPr>
            <w:tcW w:w="1008" w:type="dxa"/>
          </w:tcPr>
          <w:p w14:paraId="59F93D4E" w14:textId="77777777" w:rsidR="002641D2" w:rsidRPr="00FA3F9C" w:rsidRDefault="002641D2" w:rsidP="006F623F">
            <w:pPr>
              <w:rPr>
                <w:rFonts w:ascii="Arial" w:hAnsi="Arial" w:cs="Arial"/>
                <w:sz w:val="24"/>
                <w:szCs w:val="24"/>
              </w:rPr>
            </w:pPr>
            <w:r w:rsidRPr="00FA3F9C">
              <w:rPr>
                <w:rFonts w:ascii="Arial" w:hAnsi="Arial" w:cs="Arial"/>
                <w:sz w:val="24"/>
                <w:szCs w:val="24"/>
              </w:rPr>
              <w:t>4/30/20</w:t>
            </w:r>
          </w:p>
        </w:tc>
        <w:tc>
          <w:tcPr>
            <w:tcW w:w="7470" w:type="dxa"/>
          </w:tcPr>
          <w:p w14:paraId="49B1CF93" w14:textId="77777777" w:rsidR="002641D2" w:rsidRPr="00FA3F9C" w:rsidRDefault="002641D2" w:rsidP="006F623F">
            <w:pPr>
              <w:rPr>
                <w:rFonts w:ascii="Arial" w:hAnsi="Arial" w:cs="Arial"/>
                <w:sz w:val="24"/>
                <w:szCs w:val="24"/>
              </w:rPr>
            </w:pPr>
            <w:r w:rsidRPr="00FA3F9C">
              <w:rPr>
                <w:rFonts w:ascii="Arial" w:hAnsi="Arial" w:cs="Arial"/>
                <w:sz w:val="24"/>
                <w:szCs w:val="24"/>
              </w:rPr>
              <w:t xml:space="preserve">Added note stressing the NTRK aberration should be a fusion and not point mutation or amplification. </w:t>
            </w:r>
          </w:p>
        </w:tc>
        <w:tc>
          <w:tcPr>
            <w:tcW w:w="2538" w:type="dxa"/>
          </w:tcPr>
          <w:p w14:paraId="45750601" w14:textId="77777777" w:rsidR="002641D2" w:rsidRPr="00FA3F9C" w:rsidRDefault="002641D2" w:rsidP="006F623F">
            <w:pPr>
              <w:rPr>
                <w:rFonts w:ascii="Arial" w:hAnsi="Arial" w:cs="Arial"/>
                <w:sz w:val="24"/>
                <w:szCs w:val="24"/>
              </w:rPr>
            </w:pPr>
            <w:r w:rsidRPr="00FA3F9C">
              <w:rPr>
                <w:rFonts w:ascii="Arial" w:hAnsi="Arial" w:cs="Arial"/>
                <w:sz w:val="24"/>
                <w:szCs w:val="24"/>
              </w:rPr>
              <w:t>SK</w:t>
            </w:r>
          </w:p>
        </w:tc>
      </w:tr>
      <w:tr w:rsidR="002641D2" w:rsidRPr="00FA3F9C" w14:paraId="69DB922D" w14:textId="77777777" w:rsidTr="00FE491B">
        <w:tc>
          <w:tcPr>
            <w:tcW w:w="1008" w:type="dxa"/>
          </w:tcPr>
          <w:p w14:paraId="46B2A054" w14:textId="77777777" w:rsidR="002641D2" w:rsidRPr="00FA3F9C" w:rsidRDefault="002641D2" w:rsidP="006F623F">
            <w:pPr>
              <w:rPr>
                <w:rFonts w:ascii="Arial" w:hAnsi="Arial" w:cs="Arial"/>
                <w:sz w:val="24"/>
                <w:szCs w:val="24"/>
              </w:rPr>
            </w:pPr>
            <w:r w:rsidRPr="00FA3F9C">
              <w:rPr>
                <w:rFonts w:ascii="Arial" w:hAnsi="Arial" w:cs="Arial"/>
                <w:sz w:val="24"/>
                <w:szCs w:val="24"/>
              </w:rPr>
              <w:t>12/29/2020</w:t>
            </w:r>
          </w:p>
        </w:tc>
        <w:tc>
          <w:tcPr>
            <w:tcW w:w="7470" w:type="dxa"/>
          </w:tcPr>
          <w:p w14:paraId="4DBD8A49" w14:textId="77777777" w:rsidR="002641D2" w:rsidRPr="00FA3F9C" w:rsidRDefault="002641D2" w:rsidP="00A1208C">
            <w:pPr>
              <w:rPr>
                <w:rFonts w:ascii="Arial" w:hAnsi="Arial" w:cs="Arial"/>
                <w:sz w:val="24"/>
                <w:szCs w:val="24"/>
              </w:rPr>
            </w:pPr>
            <w:r w:rsidRPr="00FA3F9C">
              <w:rPr>
                <w:rFonts w:ascii="Arial" w:hAnsi="Arial" w:cs="Arial"/>
                <w:sz w:val="24"/>
                <w:szCs w:val="24"/>
              </w:rPr>
              <w:t>Criteria reviewed. Verified pricing info. No change</w:t>
            </w:r>
          </w:p>
        </w:tc>
        <w:tc>
          <w:tcPr>
            <w:tcW w:w="2538" w:type="dxa"/>
          </w:tcPr>
          <w:p w14:paraId="7B6EEF34" w14:textId="77777777" w:rsidR="002641D2" w:rsidRPr="00FA3F9C" w:rsidRDefault="002641D2" w:rsidP="006F623F">
            <w:pPr>
              <w:rPr>
                <w:rFonts w:ascii="Arial" w:hAnsi="Arial" w:cs="Arial"/>
                <w:sz w:val="24"/>
                <w:szCs w:val="24"/>
              </w:rPr>
            </w:pPr>
            <w:r w:rsidRPr="00FA3F9C">
              <w:rPr>
                <w:rFonts w:ascii="Arial" w:hAnsi="Arial" w:cs="Arial"/>
                <w:sz w:val="24"/>
                <w:szCs w:val="24"/>
              </w:rPr>
              <w:t>SK</w:t>
            </w:r>
          </w:p>
        </w:tc>
      </w:tr>
      <w:tr w:rsidR="002641D2" w:rsidRPr="00FA3F9C" w14:paraId="5A56449F" w14:textId="77777777" w:rsidTr="00FE491B">
        <w:tc>
          <w:tcPr>
            <w:tcW w:w="1008" w:type="dxa"/>
          </w:tcPr>
          <w:p w14:paraId="2783C4F5" w14:textId="77777777" w:rsidR="002641D2" w:rsidRPr="00FA3F9C" w:rsidRDefault="002641D2" w:rsidP="006F623F">
            <w:pPr>
              <w:rPr>
                <w:rFonts w:ascii="Arial" w:hAnsi="Arial" w:cs="Arial"/>
                <w:sz w:val="24"/>
                <w:szCs w:val="24"/>
              </w:rPr>
            </w:pPr>
            <w:r w:rsidRPr="00FA3F9C">
              <w:rPr>
                <w:rFonts w:ascii="Arial" w:hAnsi="Arial" w:cs="Arial"/>
                <w:sz w:val="24"/>
                <w:szCs w:val="24"/>
              </w:rPr>
              <w:t>3/19/2021</w:t>
            </w:r>
          </w:p>
        </w:tc>
        <w:tc>
          <w:tcPr>
            <w:tcW w:w="7470" w:type="dxa"/>
          </w:tcPr>
          <w:p w14:paraId="0527A11B" w14:textId="77777777" w:rsidR="002641D2" w:rsidRPr="00FA3F9C" w:rsidRDefault="002641D2" w:rsidP="00A1208C">
            <w:pPr>
              <w:rPr>
                <w:rFonts w:ascii="Arial" w:hAnsi="Arial" w:cs="Arial"/>
                <w:sz w:val="24"/>
                <w:szCs w:val="24"/>
              </w:rPr>
            </w:pPr>
            <w:r w:rsidRPr="00FA3F9C">
              <w:rPr>
                <w:rFonts w:ascii="Arial" w:hAnsi="Arial" w:cs="Arial"/>
                <w:sz w:val="24"/>
                <w:szCs w:val="24"/>
              </w:rPr>
              <w:t>Reworded criteria #4 to match FDA indication. Add clarification of fusion versus point mutation/amplification</w:t>
            </w:r>
          </w:p>
        </w:tc>
        <w:tc>
          <w:tcPr>
            <w:tcW w:w="2538" w:type="dxa"/>
          </w:tcPr>
          <w:p w14:paraId="5C5C41D4" w14:textId="77777777" w:rsidR="002641D2" w:rsidRPr="00FA3F9C" w:rsidRDefault="002641D2" w:rsidP="006F623F">
            <w:pPr>
              <w:rPr>
                <w:rFonts w:ascii="Arial" w:hAnsi="Arial" w:cs="Arial"/>
                <w:sz w:val="24"/>
                <w:szCs w:val="24"/>
              </w:rPr>
            </w:pPr>
            <w:r w:rsidRPr="00FA3F9C">
              <w:rPr>
                <w:rFonts w:ascii="Arial" w:hAnsi="Arial" w:cs="Arial"/>
                <w:sz w:val="24"/>
                <w:szCs w:val="24"/>
              </w:rPr>
              <w:t>SK</w:t>
            </w:r>
          </w:p>
        </w:tc>
      </w:tr>
    </w:tbl>
    <w:p w14:paraId="3A93631A" w14:textId="77777777" w:rsidR="002641D2" w:rsidRPr="00FA3F9C" w:rsidRDefault="002641D2" w:rsidP="006F623F">
      <w:pPr>
        <w:spacing w:after="0"/>
        <w:rPr>
          <w:rFonts w:ascii="Arial" w:hAnsi="Arial" w:cs="Arial"/>
          <w:sz w:val="24"/>
          <w:szCs w:val="24"/>
        </w:rPr>
      </w:pPr>
    </w:p>
    <w:p w14:paraId="3D9BE2A3" w14:textId="77777777" w:rsidR="002641D2" w:rsidRPr="00FA3F9C" w:rsidRDefault="002641D2" w:rsidP="002A1632">
      <w:pPr>
        <w:pStyle w:val="Heading2"/>
      </w:pPr>
      <w:bookmarkStart w:id="165" w:name="_Toc106369844"/>
      <w:r w:rsidRPr="00FA3F9C">
        <w:t>Lenalidomide (Revlimid)</w:t>
      </w:r>
      <w:bookmarkEnd w:id="165"/>
      <w:r w:rsidRPr="00FA3F9C">
        <w:t xml:space="preserve"> </w:t>
      </w:r>
    </w:p>
    <w:p w14:paraId="2052609B" w14:textId="77777777" w:rsidR="002641D2" w:rsidRPr="00FA3F9C" w:rsidRDefault="002641D2" w:rsidP="00941106">
      <w:pPr>
        <w:jc w:val="center"/>
        <w:rPr>
          <w:rFonts w:ascii="Arial" w:hAnsi="Arial" w:cs="Arial"/>
          <w:sz w:val="24"/>
          <w:szCs w:val="24"/>
        </w:rPr>
      </w:pPr>
      <w:r w:rsidRPr="00FA3F9C">
        <w:rPr>
          <w:rFonts w:ascii="Arial" w:hAnsi="Arial" w:cs="Arial"/>
          <w:sz w:val="24"/>
          <w:szCs w:val="24"/>
        </w:rPr>
        <w:t>2.5mg, 5mg, 10mg, 15mg, 20mg, 25mg capsules</w:t>
      </w:r>
    </w:p>
    <w:p w14:paraId="1350E889" w14:textId="77777777" w:rsidR="002641D2" w:rsidRPr="00FA3F9C" w:rsidRDefault="002641D2" w:rsidP="00B90DAD">
      <w:pPr>
        <w:jc w:val="center"/>
        <w:rPr>
          <w:rFonts w:ascii="Arial" w:hAnsi="Arial" w:cs="Arial"/>
          <w:sz w:val="24"/>
          <w:szCs w:val="24"/>
        </w:rPr>
      </w:pPr>
      <w:r w:rsidRPr="00FA3F9C">
        <w:rPr>
          <w:rFonts w:ascii="Arial" w:hAnsi="Arial" w:cs="Arial"/>
          <w:sz w:val="24"/>
          <w:szCs w:val="24"/>
        </w:rPr>
        <w:t>EBRx PA Criteria</w:t>
      </w:r>
    </w:p>
    <w:p w14:paraId="21F59B86" w14:textId="77777777" w:rsidR="002641D2" w:rsidRPr="00FA3F9C" w:rsidRDefault="002641D2" w:rsidP="00B90DAD">
      <w:pPr>
        <w:jc w:val="center"/>
        <w:rPr>
          <w:rFonts w:ascii="Arial" w:hAnsi="Arial" w:cs="Arial"/>
          <w:sz w:val="24"/>
          <w:szCs w:val="24"/>
        </w:rPr>
      </w:pPr>
    </w:p>
    <w:p w14:paraId="665C2FA8" w14:textId="77777777" w:rsidR="002641D2" w:rsidRPr="00FA3F9C" w:rsidRDefault="002641D2" w:rsidP="00B90DAD">
      <w:pPr>
        <w:rPr>
          <w:rFonts w:ascii="Arial" w:hAnsi="Arial" w:cs="Arial"/>
          <w:b/>
          <w:sz w:val="24"/>
          <w:szCs w:val="24"/>
          <w:u w:val="single"/>
        </w:rPr>
      </w:pPr>
      <w:r w:rsidRPr="00FA3F9C">
        <w:rPr>
          <w:rFonts w:ascii="Arial" w:hAnsi="Arial" w:cs="Arial"/>
          <w:b/>
          <w:sz w:val="24"/>
          <w:szCs w:val="24"/>
          <w:u w:val="single"/>
        </w:rPr>
        <w:t>FDA approved for:</w:t>
      </w:r>
    </w:p>
    <w:p w14:paraId="799D20E9" w14:textId="77777777" w:rsidR="002641D2" w:rsidRPr="00FA3F9C" w:rsidRDefault="002641D2" w:rsidP="002641D2">
      <w:pPr>
        <w:pStyle w:val="ListParagraph"/>
        <w:numPr>
          <w:ilvl w:val="0"/>
          <w:numId w:val="303"/>
        </w:numPr>
        <w:spacing w:after="240" w:line="276" w:lineRule="auto"/>
        <w:ind w:left="180" w:hanging="180"/>
        <w:rPr>
          <w:rFonts w:ascii="Arial" w:hAnsi="Arial" w:cs="Arial"/>
          <w:b/>
          <w:sz w:val="24"/>
          <w:szCs w:val="24"/>
        </w:rPr>
      </w:pPr>
      <w:r w:rsidRPr="00FA3F9C">
        <w:rPr>
          <w:rFonts w:ascii="Arial" w:hAnsi="Arial" w:cs="Arial"/>
          <w:sz w:val="24"/>
          <w:szCs w:val="24"/>
        </w:rPr>
        <w:t xml:space="preserve">Multiple myeloma, in combination with dexamethasone </w:t>
      </w:r>
    </w:p>
    <w:p w14:paraId="1C048588" w14:textId="77777777" w:rsidR="002641D2" w:rsidRPr="00FA3F9C" w:rsidRDefault="002641D2" w:rsidP="002641D2">
      <w:pPr>
        <w:pStyle w:val="ListParagraph"/>
        <w:numPr>
          <w:ilvl w:val="0"/>
          <w:numId w:val="303"/>
        </w:numPr>
        <w:spacing w:after="240" w:line="276" w:lineRule="auto"/>
        <w:ind w:left="180" w:hanging="180"/>
        <w:rPr>
          <w:rFonts w:ascii="Arial" w:hAnsi="Arial" w:cs="Arial"/>
          <w:b/>
          <w:sz w:val="24"/>
          <w:szCs w:val="24"/>
        </w:rPr>
      </w:pPr>
      <w:r w:rsidRPr="00FA3F9C">
        <w:rPr>
          <w:rFonts w:ascii="Arial" w:hAnsi="Arial" w:cs="Arial"/>
          <w:sz w:val="24"/>
          <w:szCs w:val="24"/>
        </w:rPr>
        <w:t xml:space="preserve">Multiple myeloma, as </w:t>
      </w:r>
      <w:r w:rsidRPr="00FA3F9C">
        <w:rPr>
          <w:rFonts w:ascii="Arial" w:hAnsi="Arial" w:cs="Arial"/>
          <w:sz w:val="24"/>
          <w:szCs w:val="24"/>
          <w:u w:val="single"/>
        </w:rPr>
        <w:t>maintenance</w:t>
      </w:r>
      <w:r w:rsidRPr="00FA3F9C">
        <w:rPr>
          <w:rFonts w:ascii="Arial" w:hAnsi="Arial" w:cs="Arial"/>
          <w:sz w:val="24"/>
          <w:szCs w:val="24"/>
        </w:rPr>
        <w:t xml:space="preserve"> following autologous hematopoietic stem cell transplantation (auto-HSCT) </w:t>
      </w:r>
    </w:p>
    <w:p w14:paraId="748361AF" w14:textId="77777777" w:rsidR="002641D2" w:rsidRPr="00FA3F9C" w:rsidRDefault="002641D2" w:rsidP="002641D2">
      <w:pPr>
        <w:pStyle w:val="ListParagraph"/>
        <w:numPr>
          <w:ilvl w:val="0"/>
          <w:numId w:val="303"/>
        </w:numPr>
        <w:spacing w:after="240" w:line="276" w:lineRule="auto"/>
        <w:ind w:left="180" w:hanging="180"/>
        <w:rPr>
          <w:rFonts w:ascii="Arial" w:hAnsi="Arial" w:cs="Arial"/>
          <w:b/>
          <w:sz w:val="24"/>
          <w:szCs w:val="24"/>
        </w:rPr>
      </w:pPr>
      <w:r w:rsidRPr="00FA3F9C">
        <w:rPr>
          <w:rFonts w:ascii="Arial" w:hAnsi="Arial" w:cs="Arial"/>
          <w:sz w:val="24"/>
          <w:szCs w:val="24"/>
        </w:rPr>
        <w:lastRenderedPageBreak/>
        <w:t xml:space="preserve">Transfusion-dependent anemia due to low- or intermediate-1-risk myelodysplastic syndromes (MDS) associated with a deletion 5q abnormality with or without additional cytogenetic abnormalities </w:t>
      </w:r>
    </w:p>
    <w:p w14:paraId="6F476803" w14:textId="77777777" w:rsidR="002641D2" w:rsidRPr="00FA3F9C" w:rsidRDefault="002641D2" w:rsidP="002641D2">
      <w:pPr>
        <w:pStyle w:val="ListParagraph"/>
        <w:numPr>
          <w:ilvl w:val="0"/>
          <w:numId w:val="303"/>
        </w:numPr>
        <w:spacing w:after="240" w:line="276" w:lineRule="auto"/>
        <w:ind w:left="180" w:hanging="180"/>
        <w:rPr>
          <w:rFonts w:ascii="Arial" w:hAnsi="Arial" w:cs="Arial"/>
          <w:b/>
          <w:sz w:val="24"/>
          <w:szCs w:val="24"/>
        </w:rPr>
      </w:pPr>
      <w:r w:rsidRPr="00FA3F9C">
        <w:rPr>
          <w:rFonts w:ascii="Arial" w:hAnsi="Arial" w:cs="Arial"/>
          <w:sz w:val="24"/>
          <w:szCs w:val="24"/>
        </w:rPr>
        <w:t xml:space="preserve">Mantle cell lymphoma (MCL) whose disease has relapsed or progressed after two prior therapies, one of which included bortezomib </w:t>
      </w:r>
      <w:r w:rsidRPr="00FA3F9C">
        <w:rPr>
          <w:rFonts w:ascii="Arial" w:hAnsi="Arial" w:cs="Arial"/>
          <w:sz w:val="24"/>
          <w:szCs w:val="24"/>
          <w:highlight w:val="yellow"/>
        </w:rPr>
        <w:t>NOT COVERED</w:t>
      </w:r>
      <w:r w:rsidRPr="00FA3F9C">
        <w:rPr>
          <w:rFonts w:ascii="Arial" w:hAnsi="Arial" w:cs="Arial"/>
          <w:sz w:val="24"/>
          <w:szCs w:val="24"/>
        </w:rPr>
        <w:t xml:space="preserve">: </w:t>
      </w:r>
    </w:p>
    <w:p w14:paraId="216E3B98" w14:textId="77777777" w:rsidR="002641D2" w:rsidRPr="00FA3F9C" w:rsidRDefault="002641D2" w:rsidP="002641D2">
      <w:pPr>
        <w:pStyle w:val="ListParagraph"/>
        <w:numPr>
          <w:ilvl w:val="1"/>
          <w:numId w:val="303"/>
        </w:numPr>
        <w:spacing w:after="240" w:line="276" w:lineRule="auto"/>
        <w:rPr>
          <w:rFonts w:ascii="Arial" w:hAnsi="Arial" w:cs="Arial"/>
          <w:b/>
          <w:sz w:val="24"/>
          <w:szCs w:val="24"/>
        </w:rPr>
      </w:pPr>
      <w:r w:rsidRPr="00FA3F9C">
        <w:rPr>
          <w:rFonts w:ascii="Arial" w:hAnsi="Arial" w:cs="Arial"/>
          <w:sz w:val="24"/>
          <w:szCs w:val="24"/>
        </w:rPr>
        <w:t xml:space="preserve">Lenalidomide was compared to investigator’s choice of therapy (rituximab, gemcitabine, fludarabine, chlorambucil, or cytarabine) in patients with relapsed/refractory MCL and were ineligible for intensive chemotherapy or stem-cell transplant. Progression free survival was improved in the lenalidomide group (median 9 </w:t>
      </w:r>
      <w:proofErr w:type="spellStart"/>
      <w:r w:rsidRPr="00FA3F9C">
        <w:rPr>
          <w:rFonts w:ascii="Arial" w:hAnsi="Arial" w:cs="Arial"/>
          <w:sz w:val="24"/>
          <w:szCs w:val="24"/>
        </w:rPr>
        <w:t>mo</w:t>
      </w:r>
      <w:proofErr w:type="spellEnd"/>
      <w:r w:rsidRPr="00FA3F9C">
        <w:rPr>
          <w:rFonts w:ascii="Arial" w:hAnsi="Arial" w:cs="Arial"/>
          <w:sz w:val="24"/>
          <w:szCs w:val="24"/>
        </w:rPr>
        <w:t xml:space="preserve"> vs 5 </w:t>
      </w:r>
      <w:proofErr w:type="spellStart"/>
      <w:r w:rsidRPr="00FA3F9C">
        <w:rPr>
          <w:rFonts w:ascii="Arial" w:hAnsi="Arial" w:cs="Arial"/>
          <w:sz w:val="24"/>
          <w:szCs w:val="24"/>
        </w:rPr>
        <w:t>mo</w:t>
      </w:r>
      <w:proofErr w:type="spellEnd"/>
      <w:r w:rsidRPr="00FA3F9C">
        <w:rPr>
          <w:rFonts w:ascii="Arial" w:hAnsi="Arial" w:cs="Arial"/>
          <w:sz w:val="24"/>
          <w:szCs w:val="24"/>
        </w:rPr>
        <w:t xml:space="preserve">). Overall survival was numerically improved in the lenalidomide group (28 </w:t>
      </w:r>
      <w:proofErr w:type="spellStart"/>
      <w:r w:rsidRPr="00FA3F9C">
        <w:rPr>
          <w:rFonts w:ascii="Arial" w:hAnsi="Arial" w:cs="Arial"/>
          <w:sz w:val="24"/>
          <w:szCs w:val="24"/>
        </w:rPr>
        <w:t>mo</w:t>
      </w:r>
      <w:proofErr w:type="spellEnd"/>
      <w:r w:rsidRPr="00FA3F9C">
        <w:rPr>
          <w:rFonts w:ascii="Arial" w:hAnsi="Arial" w:cs="Arial"/>
          <w:sz w:val="24"/>
          <w:szCs w:val="24"/>
        </w:rPr>
        <w:t xml:space="preserve"> vs 21 </w:t>
      </w:r>
      <w:proofErr w:type="spellStart"/>
      <w:r w:rsidRPr="00FA3F9C">
        <w:rPr>
          <w:rFonts w:ascii="Arial" w:hAnsi="Arial" w:cs="Arial"/>
          <w:sz w:val="24"/>
          <w:szCs w:val="24"/>
        </w:rPr>
        <w:t>mo</w:t>
      </w:r>
      <w:proofErr w:type="spellEnd"/>
      <w:r w:rsidRPr="00FA3F9C">
        <w:rPr>
          <w:rFonts w:ascii="Arial" w:hAnsi="Arial" w:cs="Arial"/>
          <w:sz w:val="24"/>
          <w:szCs w:val="24"/>
        </w:rPr>
        <w:t>), but this change was not statistically significant. Of note, crossover to lenalidomide from the control arm WAS allowed. However, the OS analysis was adjusted for crossover and found no statistical difference. Will not recommend coverage at this time.</w:t>
      </w:r>
    </w:p>
    <w:p w14:paraId="1CF0FD7A" w14:textId="77777777" w:rsidR="002641D2" w:rsidRPr="00FA3F9C" w:rsidRDefault="002641D2" w:rsidP="002641D2">
      <w:pPr>
        <w:pStyle w:val="ListParagraph"/>
        <w:numPr>
          <w:ilvl w:val="1"/>
          <w:numId w:val="303"/>
        </w:numPr>
        <w:tabs>
          <w:tab w:val="left" w:pos="1440"/>
        </w:tabs>
        <w:spacing w:after="240" w:line="276" w:lineRule="auto"/>
        <w:rPr>
          <w:rFonts w:ascii="Arial" w:hAnsi="Arial" w:cs="Arial"/>
          <w:b/>
          <w:sz w:val="24"/>
          <w:szCs w:val="24"/>
        </w:rPr>
      </w:pPr>
      <w:r w:rsidRPr="00FA3F9C">
        <w:rPr>
          <w:rFonts w:ascii="Arial" w:hAnsi="Arial" w:cs="Arial"/>
          <w:sz w:val="24"/>
          <w:szCs w:val="24"/>
        </w:rPr>
        <w:t xml:space="preserve">REFERENCES: </w:t>
      </w:r>
    </w:p>
    <w:p w14:paraId="64390131" w14:textId="77777777" w:rsidR="002641D2" w:rsidRPr="00FA3F9C" w:rsidRDefault="002641D2" w:rsidP="00664E2B">
      <w:pPr>
        <w:pStyle w:val="ListParagraph"/>
        <w:tabs>
          <w:tab w:val="left" w:pos="1440"/>
        </w:tabs>
        <w:spacing w:after="240" w:line="276" w:lineRule="auto"/>
        <w:ind w:left="1440"/>
        <w:rPr>
          <w:rFonts w:ascii="Arial" w:hAnsi="Arial" w:cs="Arial"/>
          <w:b/>
          <w:sz w:val="24"/>
          <w:szCs w:val="24"/>
        </w:rPr>
      </w:pPr>
      <w:proofErr w:type="spellStart"/>
      <w:r w:rsidRPr="00FA3F9C">
        <w:rPr>
          <w:rFonts w:ascii="Arial" w:hAnsi="Arial" w:cs="Arial"/>
          <w:color w:val="222222"/>
          <w:sz w:val="24"/>
          <w:szCs w:val="24"/>
        </w:rPr>
        <w:t>Trněný</w:t>
      </w:r>
      <w:proofErr w:type="spellEnd"/>
      <w:r w:rsidRPr="00FA3F9C">
        <w:rPr>
          <w:rFonts w:ascii="Arial" w:hAnsi="Arial" w:cs="Arial"/>
          <w:color w:val="222222"/>
          <w:sz w:val="24"/>
          <w:szCs w:val="24"/>
        </w:rPr>
        <w:t xml:space="preserve">, Marek, et al. "Lenalidomide versus investigator's choice in relapsed or refractory mantle cell lymphoma (MCL-002; SPRINT): a phase 2, </w:t>
      </w:r>
      <w:proofErr w:type="spellStart"/>
      <w:r w:rsidRPr="00FA3F9C">
        <w:rPr>
          <w:rFonts w:ascii="Arial" w:hAnsi="Arial" w:cs="Arial"/>
          <w:color w:val="222222"/>
          <w:sz w:val="24"/>
          <w:szCs w:val="24"/>
        </w:rPr>
        <w:t>randomised</w:t>
      </w:r>
      <w:proofErr w:type="spellEnd"/>
      <w:r w:rsidRPr="00FA3F9C">
        <w:rPr>
          <w:rFonts w:ascii="Arial" w:hAnsi="Arial" w:cs="Arial"/>
          <w:color w:val="222222"/>
          <w:sz w:val="24"/>
          <w:szCs w:val="24"/>
        </w:rPr>
        <w:t xml:space="preserve">, </w:t>
      </w:r>
      <w:proofErr w:type="spellStart"/>
      <w:r w:rsidRPr="00FA3F9C">
        <w:rPr>
          <w:rFonts w:ascii="Arial" w:hAnsi="Arial" w:cs="Arial"/>
          <w:color w:val="222222"/>
          <w:sz w:val="24"/>
          <w:szCs w:val="24"/>
        </w:rPr>
        <w:t>multicentre</w:t>
      </w:r>
      <w:proofErr w:type="spellEnd"/>
      <w:r w:rsidRPr="00FA3F9C">
        <w:rPr>
          <w:rFonts w:ascii="Arial" w:hAnsi="Arial" w:cs="Arial"/>
          <w:color w:val="222222"/>
          <w:sz w:val="24"/>
          <w:szCs w:val="24"/>
        </w:rPr>
        <w:t xml:space="preserve"> trial." </w:t>
      </w:r>
      <w:r w:rsidRPr="00FA3F9C">
        <w:rPr>
          <w:rFonts w:ascii="Arial" w:hAnsi="Arial" w:cs="Arial"/>
          <w:i/>
          <w:iCs/>
          <w:color w:val="222222"/>
          <w:sz w:val="24"/>
          <w:szCs w:val="24"/>
        </w:rPr>
        <w:t>The Lancet Oncology</w:t>
      </w:r>
      <w:r w:rsidRPr="00FA3F9C">
        <w:rPr>
          <w:rFonts w:ascii="Arial" w:hAnsi="Arial" w:cs="Arial"/>
          <w:color w:val="222222"/>
          <w:sz w:val="24"/>
          <w:szCs w:val="24"/>
        </w:rPr>
        <w:t> 17.3 (2016): 319-331. PMID 2689978 NCT</w:t>
      </w:r>
      <w:r w:rsidRPr="00FA3F9C">
        <w:rPr>
          <w:rFonts w:ascii="Arial" w:hAnsi="Arial" w:cs="Arial"/>
          <w:sz w:val="24"/>
          <w:szCs w:val="24"/>
        </w:rPr>
        <w:t>00875667</w:t>
      </w:r>
    </w:p>
    <w:p w14:paraId="79EFA6C3" w14:textId="77777777" w:rsidR="002641D2" w:rsidRPr="00FA3F9C" w:rsidRDefault="002641D2" w:rsidP="00664E2B">
      <w:pPr>
        <w:pStyle w:val="ListParagraph"/>
        <w:tabs>
          <w:tab w:val="left" w:pos="1440"/>
        </w:tabs>
        <w:spacing w:after="240" w:line="276" w:lineRule="auto"/>
        <w:ind w:left="1440"/>
        <w:rPr>
          <w:rFonts w:ascii="Arial" w:hAnsi="Arial" w:cs="Arial"/>
          <w:sz w:val="24"/>
          <w:szCs w:val="24"/>
        </w:rPr>
      </w:pPr>
      <w:proofErr w:type="spellStart"/>
      <w:r w:rsidRPr="00FA3F9C">
        <w:rPr>
          <w:rFonts w:ascii="Arial" w:hAnsi="Arial" w:cs="Arial"/>
          <w:sz w:val="24"/>
          <w:szCs w:val="24"/>
        </w:rPr>
        <w:t>Arcaini</w:t>
      </w:r>
      <w:proofErr w:type="spellEnd"/>
      <w:r w:rsidRPr="00FA3F9C">
        <w:rPr>
          <w:rFonts w:ascii="Arial" w:hAnsi="Arial" w:cs="Arial"/>
          <w:sz w:val="24"/>
          <w:szCs w:val="24"/>
        </w:rPr>
        <w:t xml:space="preserve"> L et al. Prospective subgroup analyses of the randomized MCL</w:t>
      </w:r>
      <w:r w:rsidRPr="00FA3F9C">
        <w:rPr>
          <w:rFonts w:ascii="Cambria Math" w:hAnsi="Cambria Math" w:cs="Cambria Math"/>
          <w:sz w:val="24"/>
          <w:szCs w:val="24"/>
        </w:rPr>
        <w:t>‐</w:t>
      </w:r>
      <w:r w:rsidRPr="00FA3F9C">
        <w:rPr>
          <w:rFonts w:ascii="Arial" w:hAnsi="Arial" w:cs="Arial"/>
          <w:sz w:val="24"/>
          <w:szCs w:val="24"/>
        </w:rPr>
        <w:t xml:space="preserve">002 (SPRINT) study: lenalidomide versus investigator's choice in relapsed or refractory mantle cell lymphoma. Br J </w:t>
      </w:r>
      <w:proofErr w:type="spellStart"/>
      <w:r w:rsidRPr="00FA3F9C">
        <w:rPr>
          <w:rFonts w:ascii="Arial" w:hAnsi="Arial" w:cs="Arial"/>
          <w:sz w:val="24"/>
          <w:szCs w:val="24"/>
        </w:rPr>
        <w:t>Haematol</w:t>
      </w:r>
      <w:proofErr w:type="spellEnd"/>
      <w:r w:rsidRPr="00FA3F9C">
        <w:rPr>
          <w:rFonts w:ascii="Arial" w:hAnsi="Arial" w:cs="Arial"/>
          <w:sz w:val="24"/>
          <w:szCs w:val="24"/>
        </w:rPr>
        <w:t xml:space="preserve">. 2018 Jan;180(2):224-235. PMID 29193019 </w:t>
      </w:r>
      <w:r w:rsidRPr="00FA3F9C">
        <w:rPr>
          <w:rFonts w:ascii="Arial" w:hAnsi="Arial" w:cs="Arial"/>
          <w:color w:val="222222"/>
          <w:sz w:val="24"/>
          <w:szCs w:val="24"/>
        </w:rPr>
        <w:t>NCT</w:t>
      </w:r>
      <w:r w:rsidRPr="00FA3F9C">
        <w:rPr>
          <w:rFonts w:ascii="Arial" w:hAnsi="Arial" w:cs="Arial"/>
          <w:sz w:val="24"/>
          <w:szCs w:val="24"/>
        </w:rPr>
        <w:t>00875667</w:t>
      </w:r>
    </w:p>
    <w:p w14:paraId="79DD919B" w14:textId="77777777" w:rsidR="002641D2" w:rsidRPr="00FA3F9C" w:rsidRDefault="002641D2" w:rsidP="002641D2">
      <w:pPr>
        <w:pStyle w:val="ListParagraph"/>
        <w:numPr>
          <w:ilvl w:val="0"/>
          <w:numId w:val="303"/>
        </w:numPr>
        <w:tabs>
          <w:tab w:val="left" w:pos="1440"/>
        </w:tabs>
        <w:spacing w:after="240" w:line="276" w:lineRule="auto"/>
        <w:ind w:left="180" w:hanging="180"/>
        <w:rPr>
          <w:rFonts w:ascii="Arial" w:hAnsi="Arial" w:cs="Arial"/>
          <w:sz w:val="24"/>
          <w:szCs w:val="24"/>
        </w:rPr>
      </w:pPr>
      <w:r w:rsidRPr="00FA3F9C">
        <w:rPr>
          <w:rFonts w:ascii="Arial" w:hAnsi="Arial" w:cs="Arial"/>
          <w:sz w:val="24"/>
          <w:szCs w:val="24"/>
        </w:rPr>
        <w:t>Previously treated follicular lymphoma, in combination with a rituximab product</w:t>
      </w:r>
    </w:p>
    <w:p w14:paraId="4427D06F" w14:textId="77777777" w:rsidR="002641D2" w:rsidRPr="00FA3F9C" w:rsidRDefault="002641D2" w:rsidP="002641D2">
      <w:pPr>
        <w:pStyle w:val="ListParagraph"/>
        <w:numPr>
          <w:ilvl w:val="0"/>
          <w:numId w:val="303"/>
        </w:numPr>
        <w:tabs>
          <w:tab w:val="left" w:pos="1440"/>
        </w:tabs>
        <w:spacing w:after="240" w:line="276" w:lineRule="auto"/>
        <w:ind w:left="180" w:hanging="180"/>
        <w:rPr>
          <w:rFonts w:ascii="Arial" w:hAnsi="Arial" w:cs="Arial"/>
          <w:sz w:val="24"/>
          <w:szCs w:val="24"/>
        </w:rPr>
      </w:pPr>
      <w:r w:rsidRPr="00FA3F9C">
        <w:rPr>
          <w:rFonts w:ascii="Arial" w:hAnsi="Arial" w:cs="Arial"/>
          <w:sz w:val="24"/>
          <w:szCs w:val="24"/>
        </w:rPr>
        <w:t xml:space="preserve">Previously treated marginal zone lymphoma, in combination with a rituximab product </w:t>
      </w:r>
      <w:r w:rsidRPr="00FA3F9C">
        <w:rPr>
          <w:rFonts w:ascii="Arial" w:hAnsi="Arial" w:cs="Arial"/>
          <w:sz w:val="24"/>
          <w:szCs w:val="24"/>
          <w:highlight w:val="yellow"/>
        </w:rPr>
        <w:t>NOT COVERED</w:t>
      </w:r>
    </w:p>
    <w:p w14:paraId="4674062B" w14:textId="77777777" w:rsidR="002641D2" w:rsidRPr="00FA3F9C" w:rsidRDefault="002641D2" w:rsidP="002641D2">
      <w:pPr>
        <w:pStyle w:val="ListParagraph"/>
        <w:numPr>
          <w:ilvl w:val="1"/>
          <w:numId w:val="303"/>
        </w:numPr>
        <w:spacing w:after="240" w:line="276" w:lineRule="auto"/>
        <w:ind w:left="450" w:hanging="180"/>
        <w:rPr>
          <w:rFonts w:ascii="Arial" w:hAnsi="Arial" w:cs="Arial"/>
          <w:sz w:val="24"/>
          <w:szCs w:val="24"/>
        </w:rPr>
      </w:pPr>
      <w:r w:rsidRPr="00FA3F9C">
        <w:rPr>
          <w:rFonts w:ascii="Arial" w:hAnsi="Arial" w:cs="Arial"/>
          <w:sz w:val="24"/>
          <w:szCs w:val="24"/>
        </w:rPr>
        <w:t xml:space="preserve">The AUGMENT study enrolled patients with marginal zone lymphoma (MZL) and follicular lymphoma. Patients were required to have been treated with at least 1 prior therapy, and patients were treated with either </w:t>
      </w:r>
      <w:proofErr w:type="spellStart"/>
      <w:r w:rsidRPr="00FA3F9C">
        <w:rPr>
          <w:rFonts w:ascii="Arial" w:hAnsi="Arial" w:cs="Arial"/>
          <w:sz w:val="24"/>
          <w:szCs w:val="24"/>
        </w:rPr>
        <w:t>lenalidomide+rituximab</w:t>
      </w:r>
      <w:proofErr w:type="spellEnd"/>
      <w:r w:rsidRPr="00FA3F9C">
        <w:rPr>
          <w:rFonts w:ascii="Arial" w:hAnsi="Arial" w:cs="Arial"/>
          <w:sz w:val="24"/>
          <w:szCs w:val="24"/>
        </w:rPr>
        <w:t xml:space="preserve"> or </w:t>
      </w:r>
      <w:proofErr w:type="spellStart"/>
      <w:r w:rsidRPr="00FA3F9C">
        <w:rPr>
          <w:rFonts w:ascii="Arial" w:hAnsi="Arial" w:cs="Arial"/>
          <w:sz w:val="24"/>
          <w:szCs w:val="24"/>
        </w:rPr>
        <w:t>placebo+rituximab</w:t>
      </w:r>
      <w:proofErr w:type="spellEnd"/>
      <w:r w:rsidRPr="00FA3F9C">
        <w:rPr>
          <w:rFonts w:ascii="Arial" w:hAnsi="Arial" w:cs="Arial"/>
          <w:sz w:val="24"/>
          <w:szCs w:val="24"/>
        </w:rPr>
        <w:t>. Each regimen was given for 12 cycles only. Median f/u was 28.3 mo. In the MZL subgroup, progression free survival was not different between groups (median 20.2 vs 25.2 months; HR, 1.00; 95% CI 0.47 to 2.13). Overall survival in the MZL subgroup (n=63) also did not differ between treatment groups and appeared worse in lenalidomide group (HR 2.89, 95% CI 0.56-14.92; rate of OS at 2 years: 82% vs 94%).</w:t>
      </w:r>
    </w:p>
    <w:p w14:paraId="6C1D8346" w14:textId="77777777" w:rsidR="002641D2" w:rsidRPr="00FA3F9C" w:rsidRDefault="002641D2" w:rsidP="002641D2">
      <w:pPr>
        <w:pStyle w:val="ListParagraph"/>
        <w:numPr>
          <w:ilvl w:val="2"/>
          <w:numId w:val="303"/>
        </w:numPr>
        <w:spacing w:after="240" w:line="276" w:lineRule="auto"/>
        <w:rPr>
          <w:rFonts w:ascii="Arial" w:hAnsi="Arial" w:cs="Arial"/>
          <w:sz w:val="24"/>
          <w:szCs w:val="24"/>
        </w:rPr>
      </w:pPr>
      <w:r w:rsidRPr="00FA3F9C">
        <w:rPr>
          <w:rFonts w:ascii="Arial" w:hAnsi="Arial" w:cs="Arial"/>
          <w:sz w:val="24"/>
          <w:szCs w:val="24"/>
        </w:rPr>
        <w:t xml:space="preserve">Reference: Leonard JP, </w:t>
      </w:r>
      <w:proofErr w:type="spellStart"/>
      <w:r w:rsidRPr="00FA3F9C">
        <w:rPr>
          <w:rFonts w:ascii="Arial" w:hAnsi="Arial" w:cs="Arial"/>
          <w:sz w:val="24"/>
          <w:szCs w:val="24"/>
        </w:rPr>
        <w:t>Trneny</w:t>
      </w:r>
      <w:proofErr w:type="spellEnd"/>
      <w:r w:rsidRPr="00FA3F9C">
        <w:rPr>
          <w:rFonts w:ascii="Arial" w:hAnsi="Arial" w:cs="Arial"/>
          <w:sz w:val="24"/>
          <w:szCs w:val="24"/>
        </w:rPr>
        <w:t xml:space="preserve"> M, </w:t>
      </w:r>
      <w:proofErr w:type="spellStart"/>
      <w:r w:rsidRPr="00FA3F9C">
        <w:rPr>
          <w:rFonts w:ascii="Arial" w:hAnsi="Arial" w:cs="Arial"/>
          <w:sz w:val="24"/>
          <w:szCs w:val="24"/>
        </w:rPr>
        <w:t>Izutsu</w:t>
      </w:r>
      <w:proofErr w:type="spellEnd"/>
      <w:r w:rsidRPr="00FA3F9C">
        <w:rPr>
          <w:rFonts w:ascii="Arial" w:hAnsi="Arial" w:cs="Arial"/>
          <w:sz w:val="24"/>
          <w:szCs w:val="24"/>
        </w:rPr>
        <w:t xml:space="preserve"> K, et al. AUGMENT: A Phase III Study of Lenalidomide Plus Rituximab Versus Placebo Plus Rituximab in Relapsed or Refractory Indolent Lymphoma. J Clin Oncol. 2019;37(14):1188-1199. doi:10.1200/JCO.19.00010</w:t>
      </w:r>
    </w:p>
    <w:p w14:paraId="43420499" w14:textId="77777777" w:rsidR="002641D2" w:rsidRPr="00FA3F9C" w:rsidRDefault="002641D2" w:rsidP="00664E2B">
      <w:pPr>
        <w:pStyle w:val="ListParagraph"/>
        <w:tabs>
          <w:tab w:val="left" w:pos="1440"/>
        </w:tabs>
        <w:spacing w:after="240" w:line="276" w:lineRule="auto"/>
        <w:ind w:left="180"/>
        <w:rPr>
          <w:rFonts w:ascii="Arial" w:hAnsi="Arial" w:cs="Arial"/>
          <w:sz w:val="24"/>
          <w:szCs w:val="24"/>
        </w:rPr>
      </w:pPr>
    </w:p>
    <w:p w14:paraId="56B73846" w14:textId="77777777" w:rsidR="002641D2" w:rsidRPr="00FA3F9C" w:rsidRDefault="002641D2" w:rsidP="009146B0">
      <w:pPr>
        <w:pStyle w:val="ListParagraph"/>
        <w:tabs>
          <w:tab w:val="left" w:pos="1440"/>
        </w:tabs>
        <w:spacing w:after="0" w:line="240" w:lineRule="auto"/>
        <w:ind w:left="187"/>
        <w:rPr>
          <w:rFonts w:ascii="Arial" w:hAnsi="Arial" w:cs="Arial"/>
          <w:sz w:val="24"/>
          <w:szCs w:val="24"/>
        </w:rPr>
      </w:pPr>
    </w:p>
    <w:p w14:paraId="4DF6B556" w14:textId="77777777" w:rsidR="002641D2" w:rsidRPr="00FA3F9C" w:rsidRDefault="002641D2" w:rsidP="00DC6C60">
      <w:pPr>
        <w:tabs>
          <w:tab w:val="left" w:pos="1440"/>
        </w:tabs>
        <w:rPr>
          <w:rFonts w:ascii="Arial" w:hAnsi="Arial" w:cs="Arial"/>
          <w:sz w:val="24"/>
          <w:szCs w:val="24"/>
          <w:u w:val="single"/>
        </w:rPr>
      </w:pPr>
      <w:r w:rsidRPr="00FA3F9C">
        <w:rPr>
          <w:rFonts w:ascii="Arial" w:hAnsi="Arial" w:cs="Arial"/>
          <w:sz w:val="24"/>
          <w:szCs w:val="24"/>
          <w:u w:val="single"/>
        </w:rPr>
        <w:t>FDA-approved indication not listed in the lenalidomide package insert:</w:t>
      </w:r>
    </w:p>
    <w:p w14:paraId="0C979144" w14:textId="77777777" w:rsidR="002641D2" w:rsidRPr="00FA3F9C" w:rsidRDefault="002641D2" w:rsidP="002641D2">
      <w:pPr>
        <w:pStyle w:val="ListParagraph"/>
        <w:numPr>
          <w:ilvl w:val="0"/>
          <w:numId w:val="308"/>
        </w:numPr>
        <w:tabs>
          <w:tab w:val="left" w:pos="1440"/>
        </w:tabs>
        <w:rPr>
          <w:rFonts w:ascii="Arial" w:hAnsi="Arial" w:cs="Arial"/>
          <w:sz w:val="24"/>
          <w:szCs w:val="24"/>
        </w:rPr>
      </w:pPr>
      <w:r w:rsidRPr="00FA3F9C">
        <w:rPr>
          <w:rFonts w:ascii="Arial" w:hAnsi="Arial" w:cs="Arial"/>
          <w:sz w:val="24"/>
          <w:szCs w:val="24"/>
        </w:rPr>
        <w:t xml:space="preserve">In combination with </w:t>
      </w:r>
      <w:proofErr w:type="spellStart"/>
      <w:r w:rsidRPr="00FA3F9C">
        <w:rPr>
          <w:rFonts w:ascii="Arial" w:hAnsi="Arial" w:cs="Arial"/>
          <w:sz w:val="24"/>
          <w:szCs w:val="24"/>
        </w:rPr>
        <w:t>tafasitamab</w:t>
      </w:r>
      <w:proofErr w:type="spellEnd"/>
      <w:r w:rsidRPr="00FA3F9C">
        <w:rPr>
          <w:rFonts w:ascii="Arial" w:hAnsi="Arial" w:cs="Arial"/>
          <w:sz w:val="24"/>
          <w:szCs w:val="24"/>
        </w:rPr>
        <w:t xml:space="preserve"> (</w:t>
      </w:r>
      <w:proofErr w:type="spellStart"/>
      <w:r w:rsidRPr="00FA3F9C">
        <w:rPr>
          <w:rFonts w:ascii="Arial" w:hAnsi="Arial" w:cs="Arial"/>
          <w:sz w:val="24"/>
          <w:szCs w:val="24"/>
        </w:rPr>
        <w:t>Monjuvi</w:t>
      </w:r>
      <w:proofErr w:type="spellEnd"/>
      <w:r w:rsidRPr="00FA3F9C">
        <w:rPr>
          <w:rFonts w:ascii="Arial" w:hAnsi="Arial" w:cs="Arial"/>
          <w:sz w:val="24"/>
          <w:szCs w:val="24"/>
        </w:rPr>
        <w:t>) for treatment of adult patients with relapsed or refractory diffuse large B-cell lymphoma (DLBCL) not otherwise specified, including DLBCL arising from low grade lymphoma, and who are not eligible for autologous stem cell transplant (ASCT).</w:t>
      </w:r>
    </w:p>
    <w:p w14:paraId="2DAC9C32" w14:textId="77777777" w:rsidR="002641D2" w:rsidRPr="00FA3F9C" w:rsidRDefault="002641D2" w:rsidP="002641D2">
      <w:pPr>
        <w:pStyle w:val="ListParagraph"/>
        <w:numPr>
          <w:ilvl w:val="1"/>
          <w:numId w:val="308"/>
        </w:numPr>
        <w:tabs>
          <w:tab w:val="left" w:pos="1440"/>
        </w:tabs>
        <w:rPr>
          <w:rFonts w:ascii="Arial" w:hAnsi="Arial" w:cs="Arial"/>
          <w:sz w:val="24"/>
          <w:szCs w:val="24"/>
          <w:highlight w:val="yellow"/>
        </w:rPr>
      </w:pPr>
      <w:r w:rsidRPr="00FA3F9C">
        <w:rPr>
          <w:rFonts w:ascii="Arial" w:hAnsi="Arial" w:cs="Arial"/>
          <w:sz w:val="24"/>
          <w:szCs w:val="24"/>
          <w:highlight w:val="yellow"/>
        </w:rPr>
        <w:t xml:space="preserve">NOT COVERED </w:t>
      </w:r>
      <w:r w:rsidRPr="00FA3F9C">
        <w:rPr>
          <w:rFonts w:ascii="Arial" w:hAnsi="Arial" w:cs="Arial"/>
          <w:sz w:val="24"/>
          <w:szCs w:val="24"/>
        </w:rPr>
        <w:t xml:space="preserve">This indication is supported by a single arm trial reporting response rate of 55% and median duration of response of 21.7 months. No overall survival or quality of life improvement has been reported to date. </w:t>
      </w:r>
    </w:p>
    <w:p w14:paraId="51F0F05F" w14:textId="77777777" w:rsidR="002641D2" w:rsidRPr="00FA3F9C" w:rsidRDefault="002641D2" w:rsidP="002641D2">
      <w:pPr>
        <w:pStyle w:val="ListParagraph"/>
        <w:numPr>
          <w:ilvl w:val="2"/>
          <w:numId w:val="308"/>
        </w:numPr>
        <w:ind w:left="1710" w:hanging="180"/>
        <w:rPr>
          <w:rFonts w:ascii="Arial" w:hAnsi="Arial" w:cs="Arial"/>
          <w:sz w:val="24"/>
          <w:szCs w:val="24"/>
        </w:rPr>
      </w:pPr>
      <w:r w:rsidRPr="00FA3F9C">
        <w:rPr>
          <w:rFonts w:ascii="Arial" w:hAnsi="Arial" w:cs="Arial"/>
          <w:sz w:val="24"/>
          <w:szCs w:val="24"/>
        </w:rPr>
        <w:t xml:space="preserve">Reference: Salles, G., </w:t>
      </w:r>
      <w:proofErr w:type="spellStart"/>
      <w:r w:rsidRPr="00FA3F9C">
        <w:rPr>
          <w:rFonts w:ascii="Arial" w:hAnsi="Arial" w:cs="Arial"/>
          <w:sz w:val="24"/>
          <w:szCs w:val="24"/>
        </w:rPr>
        <w:t>Duell</w:t>
      </w:r>
      <w:proofErr w:type="spellEnd"/>
      <w:r w:rsidRPr="00FA3F9C">
        <w:rPr>
          <w:rFonts w:ascii="Arial" w:hAnsi="Arial" w:cs="Arial"/>
          <w:sz w:val="24"/>
          <w:szCs w:val="24"/>
        </w:rPr>
        <w:t xml:space="preserve">, J., Barca, E. G., </w:t>
      </w:r>
      <w:proofErr w:type="spellStart"/>
      <w:r w:rsidRPr="00FA3F9C">
        <w:rPr>
          <w:rFonts w:ascii="Arial" w:hAnsi="Arial" w:cs="Arial"/>
          <w:sz w:val="24"/>
          <w:szCs w:val="24"/>
        </w:rPr>
        <w:t>Tournilhac</w:t>
      </w:r>
      <w:proofErr w:type="spellEnd"/>
      <w:r w:rsidRPr="00FA3F9C">
        <w:rPr>
          <w:rFonts w:ascii="Arial" w:hAnsi="Arial" w:cs="Arial"/>
          <w:sz w:val="24"/>
          <w:szCs w:val="24"/>
        </w:rPr>
        <w:t xml:space="preserve">, O., </w:t>
      </w:r>
      <w:proofErr w:type="spellStart"/>
      <w:r w:rsidRPr="00FA3F9C">
        <w:rPr>
          <w:rFonts w:ascii="Arial" w:hAnsi="Arial" w:cs="Arial"/>
          <w:sz w:val="24"/>
          <w:szCs w:val="24"/>
        </w:rPr>
        <w:t>Jurczak</w:t>
      </w:r>
      <w:proofErr w:type="spellEnd"/>
      <w:r w:rsidRPr="00FA3F9C">
        <w:rPr>
          <w:rFonts w:ascii="Arial" w:hAnsi="Arial" w:cs="Arial"/>
          <w:sz w:val="24"/>
          <w:szCs w:val="24"/>
        </w:rPr>
        <w:t xml:space="preserve">, W., </w:t>
      </w:r>
      <w:proofErr w:type="spellStart"/>
      <w:r w:rsidRPr="00FA3F9C">
        <w:rPr>
          <w:rFonts w:ascii="Arial" w:hAnsi="Arial" w:cs="Arial"/>
          <w:sz w:val="24"/>
          <w:szCs w:val="24"/>
        </w:rPr>
        <w:t>Liberati</w:t>
      </w:r>
      <w:proofErr w:type="spellEnd"/>
      <w:r w:rsidRPr="00FA3F9C">
        <w:rPr>
          <w:rFonts w:ascii="Arial" w:hAnsi="Arial" w:cs="Arial"/>
          <w:sz w:val="24"/>
          <w:szCs w:val="24"/>
        </w:rPr>
        <w:t xml:space="preserve">, A. M., &amp; </w:t>
      </w:r>
      <w:proofErr w:type="spellStart"/>
      <w:r w:rsidRPr="00FA3F9C">
        <w:rPr>
          <w:rFonts w:ascii="Arial" w:hAnsi="Arial" w:cs="Arial"/>
          <w:sz w:val="24"/>
          <w:szCs w:val="24"/>
        </w:rPr>
        <w:t>Kalakonda</w:t>
      </w:r>
      <w:proofErr w:type="spellEnd"/>
      <w:r w:rsidRPr="00FA3F9C">
        <w:rPr>
          <w:rFonts w:ascii="Arial" w:hAnsi="Arial" w:cs="Arial"/>
          <w:sz w:val="24"/>
          <w:szCs w:val="24"/>
        </w:rPr>
        <w:t xml:space="preserve">, N. (2020). </w:t>
      </w:r>
      <w:proofErr w:type="spellStart"/>
      <w:r w:rsidRPr="00FA3F9C">
        <w:rPr>
          <w:rFonts w:ascii="Arial" w:hAnsi="Arial" w:cs="Arial"/>
          <w:sz w:val="24"/>
          <w:szCs w:val="24"/>
        </w:rPr>
        <w:t>Tafasitamab</w:t>
      </w:r>
      <w:proofErr w:type="spellEnd"/>
      <w:r w:rsidRPr="00FA3F9C">
        <w:rPr>
          <w:rFonts w:ascii="Arial" w:hAnsi="Arial" w:cs="Arial"/>
          <w:sz w:val="24"/>
          <w:szCs w:val="24"/>
        </w:rPr>
        <w:t xml:space="preserve"> plus lenalidomide in relapsed or refractory diffuse large B-cell lymphoma (L-MIND): a </w:t>
      </w:r>
      <w:proofErr w:type="spellStart"/>
      <w:r w:rsidRPr="00FA3F9C">
        <w:rPr>
          <w:rFonts w:ascii="Arial" w:hAnsi="Arial" w:cs="Arial"/>
          <w:sz w:val="24"/>
          <w:szCs w:val="24"/>
        </w:rPr>
        <w:t>multicentre</w:t>
      </w:r>
      <w:proofErr w:type="spellEnd"/>
      <w:r w:rsidRPr="00FA3F9C">
        <w:rPr>
          <w:rFonts w:ascii="Arial" w:hAnsi="Arial" w:cs="Arial"/>
          <w:sz w:val="24"/>
          <w:szCs w:val="24"/>
        </w:rPr>
        <w:t>, prospective, single-arm, phase 2 study. The Lancet Oncology.</w:t>
      </w:r>
    </w:p>
    <w:p w14:paraId="23424DEC" w14:textId="77777777" w:rsidR="002641D2" w:rsidRPr="00FA3F9C" w:rsidRDefault="002641D2" w:rsidP="00DC6C60">
      <w:pPr>
        <w:tabs>
          <w:tab w:val="left" w:pos="1440"/>
        </w:tabs>
        <w:rPr>
          <w:rFonts w:ascii="Arial" w:hAnsi="Arial" w:cs="Arial"/>
          <w:sz w:val="24"/>
          <w:szCs w:val="24"/>
        </w:rPr>
      </w:pPr>
    </w:p>
    <w:p w14:paraId="41B40F4E" w14:textId="77777777" w:rsidR="002641D2" w:rsidRPr="00FA3F9C" w:rsidRDefault="002641D2" w:rsidP="009146B0">
      <w:pPr>
        <w:pStyle w:val="ListParagraph"/>
        <w:tabs>
          <w:tab w:val="left" w:pos="1440"/>
        </w:tabs>
        <w:spacing w:after="0" w:line="240" w:lineRule="auto"/>
        <w:ind w:left="187"/>
        <w:rPr>
          <w:rFonts w:ascii="Arial" w:hAnsi="Arial" w:cs="Arial"/>
          <w:sz w:val="24"/>
          <w:szCs w:val="24"/>
        </w:rPr>
      </w:pPr>
    </w:p>
    <w:p w14:paraId="33BC027F" w14:textId="77777777" w:rsidR="002641D2" w:rsidRPr="00FA3F9C" w:rsidRDefault="002641D2" w:rsidP="009146B0">
      <w:pPr>
        <w:pStyle w:val="ListParagraph"/>
        <w:tabs>
          <w:tab w:val="left" w:pos="1440"/>
        </w:tabs>
        <w:spacing w:after="0" w:line="240" w:lineRule="auto"/>
        <w:ind w:left="187"/>
        <w:rPr>
          <w:rFonts w:ascii="Arial" w:hAnsi="Arial" w:cs="Arial"/>
          <w:sz w:val="24"/>
          <w:szCs w:val="24"/>
        </w:rPr>
      </w:pPr>
      <w:r w:rsidRPr="00FA3F9C">
        <w:rPr>
          <w:rFonts w:ascii="Arial" w:hAnsi="Arial" w:cs="Arial"/>
          <w:sz w:val="24"/>
          <w:szCs w:val="24"/>
        </w:rPr>
        <w:t>Limitations of use: Lenalidomide is not indicated and is not recommended for the treatment of patients with chronic lymphocytic leukemia outside of controlled clinical trials.</w:t>
      </w:r>
    </w:p>
    <w:p w14:paraId="4EB88FD6" w14:textId="77777777" w:rsidR="002641D2" w:rsidRPr="00FA3F9C" w:rsidRDefault="002641D2" w:rsidP="009146B0">
      <w:pPr>
        <w:pStyle w:val="ListParagraph"/>
        <w:tabs>
          <w:tab w:val="left" w:pos="1440"/>
        </w:tabs>
        <w:spacing w:after="0" w:line="240" w:lineRule="auto"/>
        <w:ind w:left="187"/>
        <w:rPr>
          <w:rFonts w:ascii="Arial" w:hAnsi="Arial" w:cs="Arial"/>
          <w:sz w:val="24"/>
          <w:szCs w:val="24"/>
        </w:rPr>
      </w:pPr>
    </w:p>
    <w:p w14:paraId="1972EC72" w14:textId="77777777" w:rsidR="002641D2" w:rsidRPr="00FA3F9C" w:rsidRDefault="002641D2">
      <w:pPr>
        <w:rPr>
          <w:rFonts w:ascii="Arial" w:hAnsi="Arial" w:cs="Arial"/>
          <w:sz w:val="24"/>
          <w:szCs w:val="24"/>
        </w:rPr>
      </w:pPr>
      <w:r w:rsidRPr="00FA3F9C">
        <w:rPr>
          <w:rFonts w:ascii="Arial" w:hAnsi="Arial" w:cs="Arial"/>
          <w:sz w:val="24"/>
          <w:szCs w:val="24"/>
        </w:rPr>
        <w:br w:type="page"/>
      </w:r>
    </w:p>
    <w:tbl>
      <w:tblPr>
        <w:tblStyle w:val="TableGrid"/>
        <w:tblW w:w="0" w:type="auto"/>
        <w:tblLook w:val="04A0" w:firstRow="1" w:lastRow="0" w:firstColumn="1" w:lastColumn="0" w:noHBand="0" w:noVBand="1"/>
      </w:tblPr>
      <w:tblGrid>
        <w:gridCol w:w="10165"/>
      </w:tblGrid>
      <w:tr w:rsidR="002641D2" w:rsidRPr="00FA3F9C" w14:paraId="4A66D6A2" w14:textId="77777777" w:rsidTr="0077356E">
        <w:tc>
          <w:tcPr>
            <w:tcW w:w="10165" w:type="dxa"/>
            <w:shd w:val="clear" w:color="auto" w:fill="000000" w:themeFill="text1"/>
          </w:tcPr>
          <w:p w14:paraId="68E593E0" w14:textId="77777777" w:rsidR="002641D2" w:rsidRPr="00FA3F9C" w:rsidRDefault="002641D2" w:rsidP="002B265E">
            <w:pPr>
              <w:rPr>
                <w:rFonts w:ascii="Arial" w:hAnsi="Arial" w:cs="Arial"/>
                <w:sz w:val="24"/>
                <w:szCs w:val="24"/>
              </w:rPr>
            </w:pPr>
            <w:r w:rsidRPr="00FA3F9C">
              <w:rPr>
                <w:rFonts w:ascii="Arial" w:hAnsi="Arial" w:cs="Arial"/>
                <w:sz w:val="24"/>
                <w:szCs w:val="24"/>
              </w:rPr>
              <w:lastRenderedPageBreak/>
              <w:t>Multiple Myeloma (treatment)</w:t>
            </w:r>
          </w:p>
        </w:tc>
      </w:tr>
      <w:tr w:rsidR="002641D2" w:rsidRPr="00FA3F9C" w14:paraId="7E059C9A" w14:textId="77777777" w:rsidTr="0077356E">
        <w:tc>
          <w:tcPr>
            <w:tcW w:w="10165" w:type="dxa"/>
          </w:tcPr>
          <w:p w14:paraId="6644F205" w14:textId="77777777" w:rsidR="002641D2" w:rsidRPr="00FA3F9C" w:rsidRDefault="002641D2" w:rsidP="002641D2">
            <w:pPr>
              <w:pStyle w:val="ListParagraph"/>
              <w:numPr>
                <w:ilvl w:val="0"/>
                <w:numId w:val="6"/>
              </w:numPr>
              <w:ind w:left="250" w:hanging="250"/>
              <w:rPr>
                <w:rFonts w:ascii="Arial" w:hAnsi="Arial" w:cs="Arial"/>
                <w:sz w:val="24"/>
                <w:szCs w:val="24"/>
              </w:rPr>
            </w:pPr>
            <w:r w:rsidRPr="00FA3F9C">
              <w:rPr>
                <w:rFonts w:ascii="Arial" w:hAnsi="Arial" w:cs="Arial"/>
                <w:sz w:val="24"/>
                <w:szCs w:val="24"/>
              </w:rPr>
              <w:t>Diagnosis of active (not smoldering) multiple myeloma (see definition below)</w:t>
            </w:r>
          </w:p>
        </w:tc>
      </w:tr>
      <w:tr w:rsidR="002641D2" w:rsidRPr="00FA3F9C" w14:paraId="4E4BB172" w14:textId="77777777" w:rsidTr="0077356E">
        <w:tc>
          <w:tcPr>
            <w:tcW w:w="10165" w:type="dxa"/>
          </w:tcPr>
          <w:p w14:paraId="3855CAA3" w14:textId="77777777" w:rsidR="002641D2" w:rsidRPr="00FA3F9C" w:rsidRDefault="002641D2" w:rsidP="002641D2">
            <w:pPr>
              <w:pStyle w:val="ListParagraph"/>
              <w:numPr>
                <w:ilvl w:val="0"/>
                <w:numId w:val="6"/>
              </w:numPr>
              <w:ind w:left="250" w:hanging="250"/>
              <w:rPr>
                <w:rFonts w:ascii="Arial" w:hAnsi="Arial" w:cs="Arial"/>
                <w:sz w:val="24"/>
                <w:szCs w:val="24"/>
              </w:rPr>
            </w:pPr>
            <w:r w:rsidRPr="00FA3F9C">
              <w:rPr>
                <w:rFonts w:ascii="Arial" w:hAnsi="Arial" w:cs="Arial"/>
                <w:sz w:val="24"/>
                <w:szCs w:val="24"/>
              </w:rPr>
              <w:t>Lenalidomide will be used in combination with dexamethasone with or without a third agent</w:t>
            </w:r>
          </w:p>
        </w:tc>
      </w:tr>
      <w:tr w:rsidR="002641D2" w:rsidRPr="00FA3F9C" w14:paraId="514BF29F" w14:textId="77777777" w:rsidTr="0077356E">
        <w:tc>
          <w:tcPr>
            <w:tcW w:w="10165" w:type="dxa"/>
          </w:tcPr>
          <w:p w14:paraId="48E34146" w14:textId="77777777" w:rsidR="002641D2" w:rsidRPr="00FA3F9C" w:rsidRDefault="002641D2" w:rsidP="002641D2">
            <w:pPr>
              <w:pStyle w:val="ListParagraph"/>
              <w:numPr>
                <w:ilvl w:val="0"/>
                <w:numId w:val="6"/>
              </w:numPr>
              <w:ind w:left="250" w:hanging="250"/>
              <w:rPr>
                <w:rFonts w:ascii="Arial" w:hAnsi="Arial" w:cs="Arial"/>
                <w:sz w:val="24"/>
                <w:szCs w:val="24"/>
              </w:rPr>
            </w:pPr>
            <w:r w:rsidRPr="00FA3F9C">
              <w:rPr>
                <w:rFonts w:ascii="Arial" w:hAnsi="Arial" w:cs="Arial"/>
                <w:sz w:val="24"/>
                <w:szCs w:val="24"/>
              </w:rPr>
              <w:t>Thromboembolic prophylaxis will be used (aspirin or anticoagulation) [Note: See boxed warning. Thromboprophylaxis is required if lenalidomide is used in combination with dexamethasone or chemotherapy]</w:t>
            </w:r>
          </w:p>
        </w:tc>
      </w:tr>
      <w:tr w:rsidR="002641D2" w:rsidRPr="00FA3F9C" w14:paraId="1FEBFBEA" w14:textId="77777777" w:rsidTr="00941106">
        <w:tc>
          <w:tcPr>
            <w:tcW w:w="10165" w:type="dxa"/>
            <w:shd w:val="clear" w:color="auto" w:fill="F2F2F2" w:themeFill="background1" w:themeFillShade="F2"/>
          </w:tcPr>
          <w:p w14:paraId="69A78F95" w14:textId="77777777" w:rsidR="002641D2" w:rsidRPr="00FA3F9C" w:rsidRDefault="002641D2" w:rsidP="004B6487">
            <w:pPr>
              <w:rPr>
                <w:rFonts w:ascii="Arial" w:hAnsi="Arial" w:cs="Arial"/>
                <w:b/>
                <w:sz w:val="24"/>
                <w:szCs w:val="24"/>
              </w:rPr>
            </w:pPr>
            <w:r w:rsidRPr="00FA3F9C">
              <w:rPr>
                <w:rFonts w:ascii="Arial" w:hAnsi="Arial" w:cs="Arial"/>
                <w:b/>
                <w:sz w:val="24"/>
                <w:szCs w:val="24"/>
              </w:rPr>
              <w:t xml:space="preserve">If criteria fulfilled, approve for 12 months. </w:t>
            </w:r>
          </w:p>
          <w:p w14:paraId="5C3C2E74" w14:textId="77777777" w:rsidR="002641D2" w:rsidRPr="00FA3F9C" w:rsidRDefault="002641D2" w:rsidP="004B6487">
            <w:pPr>
              <w:rPr>
                <w:rFonts w:ascii="Arial" w:hAnsi="Arial" w:cs="Arial"/>
                <w:b/>
                <w:sz w:val="24"/>
                <w:szCs w:val="24"/>
              </w:rPr>
            </w:pPr>
            <w:r w:rsidRPr="00FA3F9C">
              <w:rPr>
                <w:rFonts w:ascii="Arial" w:hAnsi="Arial" w:cs="Arial"/>
                <w:b/>
                <w:sz w:val="24"/>
                <w:szCs w:val="24"/>
              </w:rPr>
              <w:t>QL: 21/28 days</w:t>
            </w:r>
          </w:p>
          <w:p w14:paraId="0BCF047E" w14:textId="77777777" w:rsidR="002641D2" w:rsidRPr="00FA3F9C" w:rsidRDefault="002641D2" w:rsidP="009C01A4">
            <w:pPr>
              <w:rPr>
                <w:rFonts w:ascii="Arial" w:eastAsia="MS Gothic" w:hAnsi="Arial" w:cs="Arial"/>
                <w:color w:val="000000"/>
                <w:sz w:val="24"/>
                <w:szCs w:val="24"/>
              </w:rPr>
            </w:pPr>
            <w:r w:rsidRPr="00FA3F9C">
              <w:rPr>
                <w:rFonts w:ascii="Arial" w:eastAsia="MS Gothic" w:hAnsi="Arial" w:cs="Arial"/>
                <w:color w:val="000000"/>
                <w:sz w:val="24"/>
                <w:szCs w:val="24"/>
              </w:rPr>
              <w:t xml:space="preserve">Note: there is no multiple myeloma </w:t>
            </w:r>
            <w:r w:rsidRPr="00FA3F9C">
              <w:rPr>
                <w:rFonts w:ascii="Arial" w:eastAsia="MS Gothic" w:hAnsi="Arial" w:cs="Arial"/>
                <w:color w:val="000000"/>
                <w:sz w:val="24"/>
                <w:szCs w:val="24"/>
                <w:u w:val="single"/>
              </w:rPr>
              <w:t>treatment</w:t>
            </w:r>
            <w:r w:rsidRPr="00FA3F9C">
              <w:rPr>
                <w:rFonts w:ascii="Arial" w:eastAsia="MS Gothic" w:hAnsi="Arial" w:cs="Arial"/>
                <w:color w:val="000000"/>
                <w:sz w:val="24"/>
                <w:szCs w:val="24"/>
              </w:rPr>
              <w:t xml:space="preserve"> indication that requires continuous dosing (</w:t>
            </w:r>
            <w:proofErr w:type="gramStart"/>
            <w:r w:rsidRPr="00FA3F9C">
              <w:rPr>
                <w:rFonts w:ascii="Arial" w:eastAsia="MS Gothic" w:hAnsi="Arial" w:cs="Arial"/>
                <w:color w:val="000000"/>
                <w:sz w:val="24"/>
                <w:szCs w:val="24"/>
              </w:rPr>
              <w:t>e.g.</w:t>
            </w:r>
            <w:proofErr w:type="gramEnd"/>
            <w:r w:rsidRPr="00FA3F9C">
              <w:rPr>
                <w:rFonts w:ascii="Arial" w:eastAsia="MS Gothic" w:hAnsi="Arial" w:cs="Arial"/>
                <w:color w:val="000000"/>
                <w:sz w:val="24"/>
                <w:szCs w:val="24"/>
              </w:rPr>
              <w:t xml:space="preserve"> 25 mg daily x 28 days). Do not approve continuous dosing.</w:t>
            </w:r>
          </w:p>
        </w:tc>
      </w:tr>
      <w:tr w:rsidR="002641D2" w:rsidRPr="00FA3F9C" w14:paraId="303963AE" w14:textId="77777777" w:rsidTr="009146B0">
        <w:trPr>
          <w:trHeight w:val="3761"/>
        </w:trPr>
        <w:tc>
          <w:tcPr>
            <w:tcW w:w="10165" w:type="dxa"/>
            <w:shd w:val="clear" w:color="auto" w:fill="D9D9D9" w:themeFill="background1" w:themeFillShade="D9"/>
          </w:tcPr>
          <w:p w14:paraId="3B2C04F1" w14:textId="77777777" w:rsidR="002641D2" w:rsidRPr="00FA3F9C" w:rsidRDefault="002641D2" w:rsidP="004B6487">
            <w:pPr>
              <w:rPr>
                <w:rFonts w:ascii="Arial" w:eastAsia="MS Gothic" w:hAnsi="Arial" w:cs="Arial"/>
                <w:color w:val="000000"/>
                <w:sz w:val="24"/>
                <w:szCs w:val="24"/>
              </w:rPr>
            </w:pPr>
            <w:r w:rsidRPr="00FA3F9C">
              <w:rPr>
                <w:rFonts w:ascii="Arial" w:eastAsia="MS Gothic" w:hAnsi="Arial" w:cs="Arial"/>
                <w:color w:val="000000"/>
                <w:sz w:val="24"/>
                <w:szCs w:val="24"/>
              </w:rPr>
              <w:t xml:space="preserve">Dose: The usual starting dose with normal renal function is 25 mg daily x 21 days, then take 7 days off (28-day cycle). </w:t>
            </w:r>
          </w:p>
          <w:p w14:paraId="22C66F97" w14:textId="77777777" w:rsidR="002641D2" w:rsidRPr="00FA3F9C" w:rsidRDefault="002641D2" w:rsidP="004B6487">
            <w:pPr>
              <w:rPr>
                <w:rFonts w:ascii="Arial" w:eastAsia="MS Gothic" w:hAnsi="Arial" w:cs="Arial"/>
                <w:color w:val="000000"/>
                <w:sz w:val="24"/>
                <w:szCs w:val="24"/>
              </w:rPr>
            </w:pPr>
            <w:r w:rsidRPr="00FA3F9C">
              <w:rPr>
                <w:rFonts w:ascii="Arial" w:eastAsia="MS Gothic" w:hAnsi="Arial" w:cs="Arial"/>
                <w:color w:val="000000"/>
                <w:sz w:val="24"/>
                <w:szCs w:val="24"/>
              </w:rPr>
              <w:t>Some protocols use 25 mg daily x 14 days, then take 7 days off (21-day cycle).</w:t>
            </w:r>
          </w:p>
          <w:p w14:paraId="31B3A5C2" w14:textId="77777777" w:rsidR="002641D2" w:rsidRPr="00FA3F9C" w:rsidRDefault="002641D2" w:rsidP="004B6487">
            <w:pPr>
              <w:rPr>
                <w:rFonts w:ascii="Arial" w:eastAsia="MS Gothic" w:hAnsi="Arial" w:cs="Arial"/>
                <w:color w:val="000000"/>
                <w:sz w:val="24"/>
                <w:szCs w:val="24"/>
                <w:u w:val="single"/>
              </w:rPr>
            </w:pPr>
          </w:p>
          <w:p w14:paraId="53EADC44" w14:textId="77777777" w:rsidR="002641D2" w:rsidRPr="00FA3F9C" w:rsidRDefault="002641D2" w:rsidP="002B265E">
            <w:pPr>
              <w:rPr>
                <w:rFonts w:ascii="Arial" w:eastAsia="MS Gothic" w:hAnsi="Arial" w:cs="Arial"/>
                <w:color w:val="000000"/>
                <w:sz w:val="24"/>
                <w:szCs w:val="24"/>
                <w:u w:val="single"/>
              </w:rPr>
            </w:pPr>
            <w:r w:rsidRPr="00FA3F9C">
              <w:rPr>
                <w:rFonts w:ascii="Arial" w:eastAsia="MS Gothic" w:hAnsi="Arial" w:cs="Arial"/>
                <w:color w:val="000000"/>
                <w:sz w:val="24"/>
                <w:szCs w:val="24"/>
                <w:u w:val="single"/>
              </w:rPr>
              <w:t xml:space="preserve">Definition of active (non-smoldering) myeloma: </w:t>
            </w:r>
          </w:p>
          <w:p w14:paraId="7410FFE8" w14:textId="77777777" w:rsidR="002641D2" w:rsidRPr="00FA3F9C" w:rsidRDefault="002641D2" w:rsidP="002641D2">
            <w:pPr>
              <w:pStyle w:val="ListParagraph"/>
              <w:numPr>
                <w:ilvl w:val="0"/>
                <w:numId w:val="307"/>
              </w:numPr>
              <w:spacing w:after="160" w:line="259" w:lineRule="auto"/>
              <w:rPr>
                <w:rFonts w:ascii="Arial" w:eastAsia="MS Gothic" w:hAnsi="Arial" w:cs="Arial"/>
                <w:color w:val="000000"/>
                <w:sz w:val="24"/>
                <w:szCs w:val="24"/>
              </w:rPr>
            </w:pPr>
            <w:r w:rsidRPr="00FA3F9C">
              <w:rPr>
                <w:rFonts w:ascii="Arial" w:eastAsia="MS Gothic" w:hAnsi="Arial" w:cs="Arial"/>
                <w:color w:val="000000"/>
                <w:sz w:val="24"/>
                <w:szCs w:val="24"/>
              </w:rPr>
              <w:t xml:space="preserve">Bone marrow plasma cells </w:t>
            </w:r>
            <w:r w:rsidRPr="00FA3F9C">
              <w:rPr>
                <w:rFonts w:ascii="Arial" w:eastAsia="MS Gothic" w:hAnsi="Arial" w:cs="Arial"/>
                <w:color w:val="000000"/>
                <w:sz w:val="24"/>
                <w:szCs w:val="24"/>
                <w:u w:val="single"/>
              </w:rPr>
              <w:t>&gt;</w:t>
            </w:r>
            <w:r w:rsidRPr="00FA3F9C">
              <w:rPr>
                <w:rFonts w:ascii="Arial" w:eastAsia="MS Gothic" w:hAnsi="Arial" w:cs="Arial"/>
                <w:color w:val="000000"/>
                <w:sz w:val="24"/>
                <w:szCs w:val="24"/>
              </w:rPr>
              <w:t xml:space="preserve">10% or biopsy-proven bony or extramedullary plasmacytoma </w:t>
            </w:r>
          </w:p>
          <w:p w14:paraId="4B365400" w14:textId="77777777" w:rsidR="002641D2" w:rsidRPr="00FA3F9C" w:rsidRDefault="002641D2" w:rsidP="00057C65">
            <w:pPr>
              <w:pStyle w:val="ListParagraph"/>
              <w:rPr>
                <w:rFonts w:ascii="Arial" w:eastAsia="MS Gothic" w:hAnsi="Arial" w:cs="Arial"/>
                <w:color w:val="000000"/>
                <w:sz w:val="24"/>
                <w:szCs w:val="24"/>
              </w:rPr>
            </w:pPr>
            <w:r w:rsidRPr="00FA3F9C">
              <w:rPr>
                <w:rFonts w:ascii="Arial" w:eastAsia="MS Gothic" w:hAnsi="Arial" w:cs="Arial"/>
                <w:b/>
                <w:color w:val="000000"/>
                <w:sz w:val="24"/>
                <w:szCs w:val="24"/>
                <w:u w:val="single"/>
              </w:rPr>
              <w:t>AND</w:t>
            </w:r>
            <w:r w:rsidRPr="00FA3F9C">
              <w:rPr>
                <w:rFonts w:ascii="Arial" w:eastAsia="MS Gothic" w:hAnsi="Arial" w:cs="Arial"/>
                <w:color w:val="000000"/>
                <w:sz w:val="24"/>
                <w:szCs w:val="24"/>
              </w:rPr>
              <w:t xml:space="preserve"> at least 1 of the following:</w:t>
            </w:r>
          </w:p>
          <w:p w14:paraId="7E41736A" w14:textId="77777777" w:rsidR="002641D2" w:rsidRPr="00FA3F9C" w:rsidRDefault="002641D2" w:rsidP="002641D2">
            <w:pPr>
              <w:pStyle w:val="ListParagraph"/>
              <w:numPr>
                <w:ilvl w:val="0"/>
                <w:numId w:val="307"/>
              </w:numPr>
              <w:spacing w:after="160" w:line="259" w:lineRule="auto"/>
              <w:ind w:left="1060" w:hanging="270"/>
              <w:rPr>
                <w:rFonts w:ascii="Arial" w:eastAsia="MS Gothic" w:hAnsi="Arial" w:cs="Arial"/>
                <w:color w:val="000000"/>
                <w:sz w:val="24"/>
                <w:szCs w:val="24"/>
              </w:rPr>
            </w:pPr>
            <w:r w:rsidRPr="00FA3F9C">
              <w:rPr>
                <w:rFonts w:ascii="Arial" w:eastAsia="MS Gothic" w:hAnsi="Arial" w:cs="Arial"/>
                <w:color w:val="000000"/>
                <w:sz w:val="24"/>
                <w:szCs w:val="24"/>
              </w:rPr>
              <w:t>Corrected calcium &gt;1 mg/dL higher than the ULN or &gt;11 mg/dL</w:t>
            </w:r>
          </w:p>
          <w:p w14:paraId="2FF5AD88" w14:textId="77777777" w:rsidR="002641D2" w:rsidRPr="00FA3F9C" w:rsidRDefault="002641D2" w:rsidP="002641D2">
            <w:pPr>
              <w:pStyle w:val="ListParagraph"/>
              <w:numPr>
                <w:ilvl w:val="0"/>
                <w:numId w:val="307"/>
              </w:numPr>
              <w:spacing w:after="160" w:line="259" w:lineRule="auto"/>
              <w:ind w:left="1060" w:hanging="270"/>
              <w:rPr>
                <w:rFonts w:ascii="Arial" w:eastAsia="MS Gothic" w:hAnsi="Arial" w:cs="Arial"/>
                <w:color w:val="000000"/>
                <w:sz w:val="24"/>
                <w:szCs w:val="24"/>
              </w:rPr>
            </w:pPr>
            <w:r w:rsidRPr="00FA3F9C">
              <w:rPr>
                <w:rFonts w:ascii="Arial" w:eastAsia="MS Gothic" w:hAnsi="Arial" w:cs="Arial"/>
                <w:color w:val="000000"/>
                <w:sz w:val="24"/>
                <w:szCs w:val="24"/>
              </w:rPr>
              <w:t xml:space="preserve">Creatinine &gt;2 mg/dL or </w:t>
            </w:r>
            <w:proofErr w:type="spellStart"/>
            <w:r w:rsidRPr="00FA3F9C">
              <w:rPr>
                <w:rFonts w:ascii="Arial" w:eastAsia="MS Gothic" w:hAnsi="Arial" w:cs="Arial"/>
                <w:color w:val="000000"/>
                <w:sz w:val="24"/>
                <w:szCs w:val="24"/>
              </w:rPr>
              <w:t>CrCl</w:t>
            </w:r>
            <w:proofErr w:type="spellEnd"/>
            <w:r w:rsidRPr="00FA3F9C">
              <w:rPr>
                <w:rFonts w:ascii="Arial" w:eastAsia="MS Gothic" w:hAnsi="Arial" w:cs="Arial"/>
                <w:color w:val="000000"/>
                <w:sz w:val="24"/>
                <w:szCs w:val="24"/>
              </w:rPr>
              <w:t xml:space="preserve"> &lt;40 ml/min</w:t>
            </w:r>
          </w:p>
          <w:p w14:paraId="7F0F1657" w14:textId="77777777" w:rsidR="002641D2" w:rsidRPr="00FA3F9C" w:rsidRDefault="002641D2" w:rsidP="002641D2">
            <w:pPr>
              <w:pStyle w:val="ListParagraph"/>
              <w:numPr>
                <w:ilvl w:val="0"/>
                <w:numId w:val="307"/>
              </w:numPr>
              <w:spacing w:after="160" w:line="259" w:lineRule="auto"/>
              <w:ind w:left="1060" w:hanging="270"/>
              <w:rPr>
                <w:rFonts w:ascii="Arial" w:eastAsia="MS Gothic" w:hAnsi="Arial" w:cs="Arial"/>
                <w:color w:val="000000"/>
                <w:sz w:val="24"/>
                <w:szCs w:val="24"/>
              </w:rPr>
            </w:pPr>
            <w:r w:rsidRPr="00FA3F9C">
              <w:rPr>
                <w:rFonts w:ascii="Arial" w:eastAsia="MS Gothic" w:hAnsi="Arial" w:cs="Arial"/>
                <w:color w:val="000000"/>
                <w:sz w:val="24"/>
                <w:szCs w:val="24"/>
              </w:rPr>
              <w:t>Hemoglobin &lt;10 g/dL or hemoglobin &gt;2 g/dL below the LLN</w:t>
            </w:r>
          </w:p>
          <w:p w14:paraId="00D902F1" w14:textId="77777777" w:rsidR="002641D2" w:rsidRPr="00FA3F9C" w:rsidRDefault="002641D2" w:rsidP="002641D2">
            <w:pPr>
              <w:pStyle w:val="ListParagraph"/>
              <w:numPr>
                <w:ilvl w:val="0"/>
                <w:numId w:val="307"/>
              </w:numPr>
              <w:spacing w:after="160" w:line="259" w:lineRule="auto"/>
              <w:ind w:left="1060" w:hanging="270"/>
              <w:rPr>
                <w:rFonts w:ascii="Arial" w:eastAsia="MS Gothic" w:hAnsi="Arial" w:cs="Arial"/>
                <w:color w:val="000000"/>
                <w:sz w:val="24"/>
                <w:szCs w:val="24"/>
              </w:rPr>
            </w:pPr>
            <w:r w:rsidRPr="00FA3F9C">
              <w:rPr>
                <w:rFonts w:ascii="Arial" w:eastAsia="MS Gothic" w:hAnsi="Arial" w:cs="Arial"/>
                <w:color w:val="000000"/>
                <w:sz w:val="24"/>
                <w:szCs w:val="24"/>
              </w:rPr>
              <w:t>One or more lytic bone lesions on imaging</w:t>
            </w:r>
          </w:p>
          <w:p w14:paraId="20528A6E" w14:textId="77777777" w:rsidR="002641D2" w:rsidRPr="00FA3F9C" w:rsidRDefault="002641D2" w:rsidP="002641D2">
            <w:pPr>
              <w:pStyle w:val="ListParagraph"/>
              <w:numPr>
                <w:ilvl w:val="0"/>
                <w:numId w:val="307"/>
              </w:numPr>
              <w:spacing w:after="160" w:line="259" w:lineRule="auto"/>
              <w:ind w:left="1060" w:hanging="270"/>
              <w:rPr>
                <w:rFonts w:ascii="Arial" w:eastAsia="MS Gothic" w:hAnsi="Arial" w:cs="Arial"/>
                <w:color w:val="000000"/>
                <w:sz w:val="24"/>
                <w:szCs w:val="24"/>
              </w:rPr>
            </w:pPr>
            <w:r w:rsidRPr="00FA3F9C">
              <w:rPr>
                <w:rFonts w:ascii="Arial" w:eastAsia="MS Gothic" w:hAnsi="Arial" w:cs="Arial"/>
                <w:color w:val="000000"/>
                <w:sz w:val="24"/>
                <w:szCs w:val="24"/>
              </w:rPr>
              <w:t xml:space="preserve">Bone marrow plasma cells </w:t>
            </w:r>
            <w:r w:rsidRPr="00FA3F9C">
              <w:rPr>
                <w:rFonts w:ascii="Arial" w:eastAsia="MS Gothic" w:hAnsi="Arial" w:cs="Arial"/>
                <w:color w:val="000000"/>
                <w:sz w:val="24"/>
                <w:szCs w:val="24"/>
                <w:u w:val="single"/>
              </w:rPr>
              <w:t>&gt;</w:t>
            </w:r>
            <w:r w:rsidRPr="00FA3F9C">
              <w:rPr>
                <w:rFonts w:ascii="Arial" w:eastAsia="MS Gothic" w:hAnsi="Arial" w:cs="Arial"/>
                <w:color w:val="000000"/>
                <w:sz w:val="24"/>
                <w:szCs w:val="24"/>
              </w:rPr>
              <w:t>60%</w:t>
            </w:r>
          </w:p>
          <w:p w14:paraId="19955E41" w14:textId="77777777" w:rsidR="002641D2" w:rsidRPr="00FA3F9C" w:rsidRDefault="002641D2" w:rsidP="002641D2">
            <w:pPr>
              <w:pStyle w:val="ListParagraph"/>
              <w:numPr>
                <w:ilvl w:val="0"/>
                <w:numId w:val="307"/>
              </w:numPr>
              <w:spacing w:after="160" w:line="259" w:lineRule="auto"/>
              <w:ind w:left="1060" w:hanging="270"/>
              <w:rPr>
                <w:rFonts w:ascii="Arial" w:eastAsia="MS Gothic" w:hAnsi="Arial" w:cs="Arial"/>
                <w:color w:val="000000"/>
                <w:sz w:val="24"/>
                <w:szCs w:val="24"/>
              </w:rPr>
            </w:pPr>
            <w:r w:rsidRPr="00FA3F9C">
              <w:rPr>
                <w:rFonts w:ascii="Arial" w:eastAsia="MS Gothic" w:hAnsi="Arial" w:cs="Arial"/>
                <w:color w:val="000000"/>
                <w:sz w:val="24"/>
                <w:szCs w:val="24"/>
              </w:rPr>
              <w:t xml:space="preserve">Serum free light chains kappa/lambda ratio </w:t>
            </w:r>
            <w:r w:rsidRPr="00FA3F9C">
              <w:rPr>
                <w:rFonts w:ascii="Arial" w:eastAsia="MS Gothic" w:hAnsi="Arial" w:cs="Arial"/>
                <w:color w:val="000000"/>
                <w:sz w:val="24"/>
                <w:szCs w:val="24"/>
                <w:u w:val="single"/>
              </w:rPr>
              <w:t>&gt;</w:t>
            </w:r>
            <w:r w:rsidRPr="00FA3F9C">
              <w:rPr>
                <w:rFonts w:ascii="Arial" w:eastAsia="MS Gothic" w:hAnsi="Arial" w:cs="Arial"/>
                <w:color w:val="000000"/>
                <w:sz w:val="24"/>
                <w:szCs w:val="24"/>
              </w:rPr>
              <w:t xml:space="preserve">100 (if kappa disease) or </w:t>
            </w:r>
            <w:r w:rsidRPr="00FA3F9C">
              <w:rPr>
                <w:rFonts w:ascii="Arial" w:eastAsia="MS Gothic" w:hAnsi="Arial" w:cs="Arial"/>
                <w:color w:val="000000"/>
                <w:sz w:val="24"/>
                <w:szCs w:val="24"/>
                <w:u w:val="single"/>
              </w:rPr>
              <w:t>&lt;</w:t>
            </w:r>
            <w:r w:rsidRPr="00FA3F9C">
              <w:rPr>
                <w:rFonts w:ascii="Arial" w:eastAsia="MS Gothic" w:hAnsi="Arial" w:cs="Arial"/>
                <w:color w:val="000000"/>
                <w:sz w:val="24"/>
                <w:szCs w:val="24"/>
              </w:rPr>
              <w:t>0.01 (if lambda disease)</w:t>
            </w:r>
          </w:p>
          <w:p w14:paraId="124D9CC0" w14:textId="77777777" w:rsidR="002641D2" w:rsidRPr="00FA3F9C" w:rsidRDefault="002641D2" w:rsidP="002641D2">
            <w:pPr>
              <w:pStyle w:val="ListParagraph"/>
              <w:numPr>
                <w:ilvl w:val="0"/>
                <w:numId w:val="307"/>
              </w:numPr>
              <w:spacing w:after="160" w:line="259" w:lineRule="auto"/>
              <w:ind w:left="1060" w:hanging="270"/>
              <w:rPr>
                <w:rFonts w:ascii="Arial" w:eastAsia="MS Gothic" w:hAnsi="Arial" w:cs="Arial"/>
                <w:color w:val="000000"/>
                <w:sz w:val="24"/>
                <w:szCs w:val="24"/>
              </w:rPr>
            </w:pPr>
            <w:r w:rsidRPr="00FA3F9C">
              <w:rPr>
                <w:rFonts w:ascii="Arial" w:eastAsia="MS Gothic" w:hAnsi="Arial" w:cs="Arial"/>
                <w:color w:val="000000"/>
                <w:sz w:val="24"/>
                <w:szCs w:val="24"/>
              </w:rPr>
              <w:t xml:space="preserve">&gt;1 focal lesion on MRI studies </w:t>
            </w:r>
            <w:r w:rsidRPr="00FA3F9C">
              <w:rPr>
                <w:rFonts w:ascii="Arial" w:eastAsia="MS Gothic" w:hAnsi="Arial" w:cs="Arial"/>
                <w:color w:val="000000"/>
                <w:sz w:val="24"/>
                <w:szCs w:val="24"/>
                <w:u w:val="single"/>
              </w:rPr>
              <w:t>&gt;</w:t>
            </w:r>
            <w:r w:rsidRPr="00FA3F9C">
              <w:rPr>
                <w:rFonts w:ascii="Arial" w:eastAsia="MS Gothic" w:hAnsi="Arial" w:cs="Arial"/>
                <w:color w:val="000000"/>
                <w:sz w:val="24"/>
                <w:szCs w:val="24"/>
              </w:rPr>
              <w:t>5 mm</w:t>
            </w:r>
          </w:p>
          <w:p w14:paraId="46832543" w14:textId="77777777" w:rsidR="002641D2" w:rsidRPr="00FA3F9C" w:rsidRDefault="002641D2" w:rsidP="002B265E">
            <w:pPr>
              <w:rPr>
                <w:rFonts w:ascii="Arial" w:eastAsia="MS Gothic" w:hAnsi="Arial" w:cs="Arial"/>
                <w:color w:val="000000"/>
                <w:sz w:val="24"/>
                <w:szCs w:val="24"/>
              </w:rPr>
            </w:pPr>
            <w:r w:rsidRPr="00FA3F9C">
              <w:rPr>
                <w:rFonts w:ascii="Arial" w:eastAsia="MS Gothic" w:hAnsi="Arial" w:cs="Arial"/>
                <w:color w:val="000000"/>
                <w:sz w:val="24"/>
                <w:szCs w:val="24"/>
              </w:rPr>
              <w:t xml:space="preserve">-For treatment of active multiple myeloma, lenalidomide is effective in all lines of treatment. It is approved by EBRx in combination with dexamethasone, </w:t>
            </w:r>
            <w:proofErr w:type="spellStart"/>
            <w:r w:rsidRPr="00FA3F9C">
              <w:rPr>
                <w:rFonts w:ascii="Arial" w:eastAsia="MS Gothic" w:hAnsi="Arial" w:cs="Arial"/>
                <w:color w:val="000000"/>
                <w:sz w:val="24"/>
                <w:szCs w:val="24"/>
              </w:rPr>
              <w:t>elotuzumab</w:t>
            </w:r>
            <w:proofErr w:type="spellEnd"/>
            <w:r w:rsidRPr="00FA3F9C">
              <w:rPr>
                <w:rFonts w:ascii="Arial" w:eastAsia="MS Gothic" w:hAnsi="Arial" w:cs="Arial"/>
                <w:color w:val="000000"/>
                <w:sz w:val="24"/>
                <w:szCs w:val="24"/>
              </w:rPr>
              <w:t xml:space="preserve">, </w:t>
            </w:r>
            <w:proofErr w:type="spellStart"/>
            <w:r w:rsidRPr="00FA3F9C">
              <w:rPr>
                <w:rFonts w:ascii="Arial" w:eastAsia="MS Gothic" w:hAnsi="Arial" w:cs="Arial"/>
                <w:color w:val="000000"/>
                <w:sz w:val="24"/>
                <w:szCs w:val="24"/>
              </w:rPr>
              <w:t>ixazomib</w:t>
            </w:r>
            <w:proofErr w:type="spellEnd"/>
            <w:r w:rsidRPr="00FA3F9C">
              <w:rPr>
                <w:rFonts w:ascii="Arial" w:eastAsia="MS Gothic" w:hAnsi="Arial" w:cs="Arial"/>
                <w:color w:val="000000"/>
                <w:sz w:val="24"/>
                <w:szCs w:val="24"/>
              </w:rPr>
              <w:t xml:space="preserve">, bortezomib, carfilzomib, and daratumumab. </w:t>
            </w:r>
          </w:p>
        </w:tc>
      </w:tr>
    </w:tbl>
    <w:p w14:paraId="24B1CE66" w14:textId="77777777" w:rsidR="002641D2" w:rsidRPr="00FA3F9C" w:rsidRDefault="002641D2" w:rsidP="00B90DAD">
      <w:pPr>
        <w:rPr>
          <w:rFonts w:ascii="Arial" w:hAnsi="Arial" w:cs="Arial"/>
          <w:b/>
          <w:sz w:val="24"/>
          <w:szCs w:val="24"/>
        </w:rPr>
      </w:pPr>
    </w:p>
    <w:p w14:paraId="5447DDC5" w14:textId="77777777" w:rsidR="002641D2" w:rsidRPr="00FA3F9C" w:rsidRDefault="002641D2" w:rsidP="00B90DAD">
      <w:pPr>
        <w:rPr>
          <w:rFonts w:ascii="Arial" w:hAnsi="Arial" w:cs="Arial"/>
          <w:b/>
          <w:sz w:val="24"/>
          <w:szCs w:val="24"/>
        </w:rPr>
      </w:pPr>
    </w:p>
    <w:tbl>
      <w:tblPr>
        <w:tblStyle w:val="TableGrid"/>
        <w:tblW w:w="0" w:type="auto"/>
        <w:tblLook w:val="04A0" w:firstRow="1" w:lastRow="0" w:firstColumn="1" w:lastColumn="0" w:noHBand="0" w:noVBand="1"/>
      </w:tblPr>
      <w:tblGrid>
        <w:gridCol w:w="10165"/>
      </w:tblGrid>
      <w:tr w:rsidR="002641D2" w:rsidRPr="00FA3F9C" w14:paraId="61614D41" w14:textId="77777777" w:rsidTr="0077356E">
        <w:tc>
          <w:tcPr>
            <w:tcW w:w="10165" w:type="dxa"/>
            <w:shd w:val="clear" w:color="auto" w:fill="000000" w:themeFill="text1"/>
          </w:tcPr>
          <w:p w14:paraId="6413A9AD" w14:textId="77777777" w:rsidR="002641D2" w:rsidRPr="00FA3F9C" w:rsidRDefault="002641D2" w:rsidP="00D06AA1">
            <w:pPr>
              <w:rPr>
                <w:rFonts w:ascii="Arial" w:hAnsi="Arial" w:cs="Arial"/>
                <w:sz w:val="24"/>
                <w:szCs w:val="24"/>
              </w:rPr>
            </w:pPr>
            <w:r w:rsidRPr="00FA3F9C">
              <w:rPr>
                <w:rFonts w:ascii="Arial" w:hAnsi="Arial" w:cs="Arial"/>
                <w:sz w:val="24"/>
                <w:szCs w:val="24"/>
              </w:rPr>
              <w:lastRenderedPageBreak/>
              <w:t>Multiple Myeloma (maintenance)</w:t>
            </w:r>
          </w:p>
        </w:tc>
      </w:tr>
      <w:tr w:rsidR="002641D2" w:rsidRPr="00FA3F9C" w14:paraId="0BEA1915" w14:textId="77777777" w:rsidTr="0077356E">
        <w:tc>
          <w:tcPr>
            <w:tcW w:w="10165" w:type="dxa"/>
          </w:tcPr>
          <w:p w14:paraId="6CDD96AB" w14:textId="77777777" w:rsidR="002641D2" w:rsidRPr="00FA3F9C" w:rsidRDefault="002641D2" w:rsidP="002641D2">
            <w:pPr>
              <w:pStyle w:val="ListParagraph"/>
              <w:numPr>
                <w:ilvl w:val="0"/>
                <w:numId w:val="304"/>
              </w:numPr>
              <w:ind w:left="250" w:hanging="250"/>
              <w:rPr>
                <w:rFonts w:ascii="Arial" w:hAnsi="Arial" w:cs="Arial"/>
                <w:sz w:val="24"/>
                <w:szCs w:val="24"/>
              </w:rPr>
            </w:pPr>
            <w:r w:rsidRPr="00FA3F9C">
              <w:rPr>
                <w:rFonts w:ascii="Arial" w:hAnsi="Arial" w:cs="Arial"/>
                <w:sz w:val="24"/>
                <w:szCs w:val="24"/>
              </w:rPr>
              <w:t xml:space="preserve">Diagnosis of active (not smoldering) multiple myeloma </w:t>
            </w:r>
          </w:p>
        </w:tc>
      </w:tr>
      <w:tr w:rsidR="002641D2" w:rsidRPr="00FA3F9C" w14:paraId="20B88E91" w14:textId="77777777" w:rsidTr="0077356E">
        <w:tc>
          <w:tcPr>
            <w:tcW w:w="10165" w:type="dxa"/>
          </w:tcPr>
          <w:p w14:paraId="2ED0F0F4" w14:textId="77777777" w:rsidR="002641D2" w:rsidRPr="00FA3F9C" w:rsidRDefault="002641D2" w:rsidP="002641D2">
            <w:pPr>
              <w:pStyle w:val="ListParagraph"/>
              <w:numPr>
                <w:ilvl w:val="0"/>
                <w:numId w:val="304"/>
              </w:numPr>
              <w:ind w:left="250" w:hanging="250"/>
              <w:rPr>
                <w:rFonts w:ascii="Arial" w:hAnsi="Arial" w:cs="Arial"/>
                <w:sz w:val="24"/>
                <w:szCs w:val="24"/>
              </w:rPr>
            </w:pPr>
            <w:r w:rsidRPr="00FA3F9C">
              <w:rPr>
                <w:rFonts w:ascii="Arial" w:hAnsi="Arial" w:cs="Arial"/>
                <w:sz w:val="24"/>
                <w:szCs w:val="24"/>
              </w:rPr>
              <w:t xml:space="preserve">Patient has undergone induction therapy followed by autologous stem cell transplant </w:t>
            </w:r>
            <w:r w:rsidRPr="00FA3F9C">
              <w:rPr>
                <w:rFonts w:ascii="Arial" w:hAnsi="Arial" w:cs="Arial"/>
                <w:b/>
                <w:sz w:val="24"/>
                <w:szCs w:val="24"/>
              </w:rPr>
              <w:t>OR</w:t>
            </w:r>
            <w:r w:rsidRPr="00FA3F9C">
              <w:rPr>
                <w:rFonts w:ascii="Arial" w:hAnsi="Arial" w:cs="Arial"/>
                <w:sz w:val="24"/>
                <w:szCs w:val="24"/>
              </w:rPr>
              <w:t xml:space="preserve"> patient is ineligible for transplant and has undergone induction therapy only</w:t>
            </w:r>
          </w:p>
        </w:tc>
      </w:tr>
      <w:tr w:rsidR="002641D2" w:rsidRPr="00FA3F9C" w14:paraId="7BDBE1D4" w14:textId="77777777" w:rsidTr="0077356E">
        <w:tc>
          <w:tcPr>
            <w:tcW w:w="10165" w:type="dxa"/>
          </w:tcPr>
          <w:p w14:paraId="634226EB" w14:textId="77777777" w:rsidR="002641D2" w:rsidRPr="00FA3F9C" w:rsidRDefault="002641D2" w:rsidP="002641D2">
            <w:pPr>
              <w:pStyle w:val="ListParagraph"/>
              <w:numPr>
                <w:ilvl w:val="0"/>
                <w:numId w:val="304"/>
              </w:numPr>
              <w:ind w:left="250" w:hanging="250"/>
              <w:rPr>
                <w:rFonts w:ascii="Arial" w:hAnsi="Arial" w:cs="Arial"/>
                <w:sz w:val="24"/>
                <w:szCs w:val="24"/>
              </w:rPr>
            </w:pPr>
            <w:r w:rsidRPr="00FA3F9C">
              <w:rPr>
                <w:rFonts w:ascii="Arial" w:hAnsi="Arial" w:cs="Arial"/>
                <w:sz w:val="24"/>
                <w:szCs w:val="24"/>
              </w:rPr>
              <w:t>The requesting provider has discussed with the patient the increased risk of secondary malignancies associated with long-term use of lenalidomide.</w:t>
            </w:r>
          </w:p>
        </w:tc>
      </w:tr>
      <w:tr w:rsidR="002641D2" w:rsidRPr="00FA3F9C" w14:paraId="7CCE9E9E" w14:textId="77777777" w:rsidTr="0077356E">
        <w:tc>
          <w:tcPr>
            <w:tcW w:w="10165" w:type="dxa"/>
            <w:shd w:val="clear" w:color="auto" w:fill="D9D9D9" w:themeFill="background1" w:themeFillShade="D9"/>
          </w:tcPr>
          <w:p w14:paraId="3D7387C3" w14:textId="77777777" w:rsidR="002641D2" w:rsidRPr="00FA3F9C" w:rsidRDefault="002641D2" w:rsidP="00D06AA1">
            <w:pPr>
              <w:rPr>
                <w:rFonts w:ascii="Arial" w:hAnsi="Arial" w:cs="Arial"/>
                <w:b/>
                <w:sz w:val="24"/>
                <w:szCs w:val="24"/>
              </w:rPr>
            </w:pPr>
            <w:r w:rsidRPr="00FA3F9C">
              <w:rPr>
                <w:rFonts w:ascii="Arial" w:hAnsi="Arial" w:cs="Arial"/>
                <w:b/>
                <w:sz w:val="24"/>
                <w:szCs w:val="24"/>
              </w:rPr>
              <w:t>If criteria fulfilled, approve for 12 months.</w:t>
            </w:r>
          </w:p>
          <w:p w14:paraId="142C2686" w14:textId="77777777" w:rsidR="002641D2" w:rsidRPr="00FA3F9C" w:rsidRDefault="002641D2" w:rsidP="00D06AA1">
            <w:pPr>
              <w:rPr>
                <w:rFonts w:ascii="Arial" w:hAnsi="Arial" w:cs="Arial"/>
                <w:b/>
                <w:sz w:val="24"/>
                <w:szCs w:val="24"/>
              </w:rPr>
            </w:pPr>
            <w:r w:rsidRPr="00FA3F9C">
              <w:rPr>
                <w:rFonts w:ascii="Arial" w:eastAsia="MS Gothic" w:hAnsi="Arial" w:cs="Arial"/>
                <w:color w:val="000000"/>
                <w:sz w:val="24"/>
                <w:szCs w:val="24"/>
              </w:rPr>
              <w:t>Note: there is no indication that requires 25 mg daily x 28 days. Do not approve this dose.</w:t>
            </w:r>
          </w:p>
        </w:tc>
      </w:tr>
      <w:tr w:rsidR="002641D2" w:rsidRPr="00FA3F9C" w14:paraId="432FB12A" w14:textId="77777777" w:rsidTr="0077356E">
        <w:trPr>
          <w:trHeight w:val="1007"/>
        </w:trPr>
        <w:tc>
          <w:tcPr>
            <w:tcW w:w="10165" w:type="dxa"/>
            <w:shd w:val="clear" w:color="auto" w:fill="auto"/>
          </w:tcPr>
          <w:p w14:paraId="1DA81F97" w14:textId="77777777" w:rsidR="002641D2" w:rsidRPr="00FA3F9C" w:rsidRDefault="002641D2" w:rsidP="00D06AA1">
            <w:pPr>
              <w:rPr>
                <w:rFonts w:ascii="Arial" w:eastAsia="MS Gothic" w:hAnsi="Arial" w:cs="Arial"/>
                <w:color w:val="000000"/>
                <w:sz w:val="24"/>
                <w:szCs w:val="24"/>
              </w:rPr>
            </w:pPr>
            <w:r w:rsidRPr="00FA3F9C">
              <w:rPr>
                <w:rFonts w:ascii="Arial" w:eastAsia="MS Gothic" w:hAnsi="Arial" w:cs="Arial"/>
                <w:color w:val="000000"/>
                <w:sz w:val="24"/>
                <w:szCs w:val="24"/>
              </w:rPr>
              <w:t>Dose:</w:t>
            </w:r>
          </w:p>
          <w:p w14:paraId="55D0B800" w14:textId="77777777" w:rsidR="002641D2" w:rsidRPr="00FA3F9C" w:rsidRDefault="002641D2" w:rsidP="00D06AA1">
            <w:pPr>
              <w:rPr>
                <w:rFonts w:ascii="Arial" w:eastAsia="MS Gothic" w:hAnsi="Arial" w:cs="Arial"/>
                <w:color w:val="000000"/>
                <w:sz w:val="24"/>
                <w:szCs w:val="24"/>
              </w:rPr>
            </w:pPr>
            <w:r w:rsidRPr="00FA3F9C">
              <w:rPr>
                <w:rFonts w:ascii="Arial" w:eastAsia="MS Gothic" w:hAnsi="Arial" w:cs="Arial"/>
                <w:color w:val="000000"/>
                <w:sz w:val="24"/>
                <w:szCs w:val="24"/>
              </w:rPr>
              <w:t>FDA-approved dosing is 10 mg daily continuously and may increase to 15 mg daily if tolerated. Alternative dosing: 10 mg daily x 21d, then take 7 days off. Maintenance therapy should continue at least 2 years. FDA approved dosing allows treatment until disease progression or unacceptable toxicity.</w:t>
            </w:r>
          </w:p>
        </w:tc>
      </w:tr>
      <w:tr w:rsidR="002641D2" w:rsidRPr="00FA3F9C" w14:paraId="742FADFF" w14:textId="77777777" w:rsidTr="00346FB5">
        <w:trPr>
          <w:trHeight w:val="251"/>
        </w:trPr>
        <w:tc>
          <w:tcPr>
            <w:tcW w:w="10165" w:type="dxa"/>
            <w:shd w:val="clear" w:color="auto" w:fill="BFBFBF" w:themeFill="background1" w:themeFillShade="BF"/>
          </w:tcPr>
          <w:p w14:paraId="17AC77F2" w14:textId="77777777" w:rsidR="002641D2" w:rsidRPr="00FA3F9C" w:rsidRDefault="002641D2" w:rsidP="00D06AA1">
            <w:pPr>
              <w:rPr>
                <w:rFonts w:ascii="Arial" w:eastAsia="MS Gothic" w:hAnsi="Arial" w:cs="Arial"/>
                <w:color w:val="000000"/>
                <w:sz w:val="24"/>
                <w:szCs w:val="24"/>
                <w:u w:val="single"/>
              </w:rPr>
            </w:pPr>
            <w:r w:rsidRPr="00FA3F9C">
              <w:rPr>
                <w:rFonts w:ascii="Arial" w:eastAsia="MS Gothic" w:hAnsi="Arial" w:cs="Arial"/>
                <w:color w:val="000000"/>
                <w:sz w:val="24"/>
                <w:szCs w:val="24"/>
                <w:u w:val="single"/>
              </w:rPr>
              <w:t>Evidence:</w:t>
            </w:r>
          </w:p>
          <w:p w14:paraId="4E8230AA" w14:textId="77777777" w:rsidR="002641D2" w:rsidRPr="00FA3F9C" w:rsidRDefault="002641D2" w:rsidP="00D06AA1">
            <w:pPr>
              <w:rPr>
                <w:rFonts w:ascii="Arial" w:eastAsia="MS Gothic" w:hAnsi="Arial" w:cs="Arial"/>
                <w:color w:val="000000"/>
                <w:sz w:val="24"/>
                <w:szCs w:val="24"/>
              </w:rPr>
            </w:pPr>
          </w:p>
          <w:p w14:paraId="7391DAF9" w14:textId="77777777" w:rsidR="002641D2" w:rsidRPr="00FA3F9C" w:rsidRDefault="002641D2" w:rsidP="00D06AA1">
            <w:pPr>
              <w:rPr>
                <w:rFonts w:ascii="Arial" w:eastAsia="MS Gothic" w:hAnsi="Arial" w:cs="Arial"/>
                <w:color w:val="000000"/>
                <w:sz w:val="24"/>
                <w:szCs w:val="24"/>
              </w:rPr>
            </w:pPr>
            <w:r w:rsidRPr="00FA3F9C">
              <w:rPr>
                <w:rFonts w:ascii="Arial" w:eastAsia="MS Gothic" w:hAnsi="Arial" w:cs="Arial"/>
                <w:color w:val="000000"/>
                <w:sz w:val="24"/>
                <w:szCs w:val="24"/>
              </w:rPr>
              <w:t>-</w:t>
            </w:r>
            <w:r w:rsidRPr="00FA3F9C">
              <w:rPr>
                <w:rFonts w:ascii="Arial" w:eastAsia="MS Gothic" w:hAnsi="Arial" w:cs="Arial"/>
                <w:color w:val="000000"/>
                <w:sz w:val="24"/>
                <w:szCs w:val="24"/>
                <w:u w:val="single"/>
              </w:rPr>
              <w:t>After autologous stem cell transplant</w:t>
            </w:r>
            <w:r w:rsidRPr="00FA3F9C">
              <w:rPr>
                <w:rFonts w:ascii="Arial" w:eastAsia="MS Gothic" w:hAnsi="Arial" w:cs="Arial"/>
                <w:color w:val="000000"/>
                <w:sz w:val="24"/>
                <w:szCs w:val="24"/>
              </w:rPr>
              <w:t>, lenalidomide maintenance therapy improves progression free survival (PFS) and a meta-analysis showed an improvement in overall survival (OS). Median OS was not reached in the lenalidomide maintenance group and was 86 months in the placebo or observation group (HR, 0.75; 95% CI, 0.63 to 0.90; </w:t>
            </w:r>
            <w:r w:rsidRPr="00FA3F9C">
              <w:rPr>
                <w:rFonts w:ascii="Arial" w:eastAsia="MS Gothic" w:hAnsi="Arial" w:cs="Arial"/>
                <w:iCs/>
                <w:color w:val="000000"/>
                <w:sz w:val="24"/>
                <w:szCs w:val="24"/>
              </w:rPr>
              <w:t>P</w:t>
            </w:r>
            <w:r w:rsidRPr="00FA3F9C">
              <w:rPr>
                <w:rFonts w:ascii="Arial" w:eastAsia="MS Gothic" w:hAnsi="Arial" w:cs="Arial"/>
                <w:color w:val="000000"/>
                <w:sz w:val="24"/>
                <w:szCs w:val="24"/>
              </w:rPr>
              <w:t> = 0.001)</w:t>
            </w:r>
            <w:r w:rsidRPr="00FA3F9C">
              <w:rPr>
                <w:rFonts w:ascii="Arial" w:eastAsia="MS Gothic" w:hAnsi="Arial" w:cs="Arial"/>
                <w:color w:val="000000"/>
                <w:sz w:val="24"/>
                <w:szCs w:val="24"/>
                <w:vertAlign w:val="superscript"/>
              </w:rPr>
              <w:t>1</w:t>
            </w:r>
            <w:r w:rsidRPr="00FA3F9C">
              <w:rPr>
                <w:rFonts w:ascii="Arial" w:eastAsia="MS Gothic" w:hAnsi="Arial" w:cs="Arial"/>
                <w:color w:val="000000"/>
                <w:sz w:val="24"/>
                <w:szCs w:val="24"/>
              </w:rPr>
              <w:t>. Trials show mixed results whether lenalidomide maintenance is beneficial for high-risk patients</w:t>
            </w:r>
            <w:r w:rsidRPr="00FA3F9C">
              <w:rPr>
                <w:rFonts w:ascii="Arial" w:eastAsia="MS Gothic" w:hAnsi="Arial" w:cs="Arial"/>
                <w:color w:val="000000"/>
                <w:sz w:val="24"/>
                <w:szCs w:val="24"/>
                <w:vertAlign w:val="superscript"/>
              </w:rPr>
              <w:t>2</w:t>
            </w:r>
            <w:r w:rsidRPr="00FA3F9C">
              <w:rPr>
                <w:rFonts w:ascii="Arial" w:eastAsia="MS Gothic" w:hAnsi="Arial" w:cs="Arial"/>
                <w:color w:val="000000"/>
                <w:sz w:val="24"/>
                <w:szCs w:val="24"/>
              </w:rPr>
              <w:t xml:space="preserve">. </w:t>
            </w:r>
          </w:p>
          <w:p w14:paraId="3D8A6DE8" w14:textId="77777777" w:rsidR="002641D2" w:rsidRPr="00FA3F9C" w:rsidRDefault="002641D2" w:rsidP="00D06AA1">
            <w:pPr>
              <w:rPr>
                <w:rFonts w:ascii="Arial" w:eastAsia="MS Gothic" w:hAnsi="Arial" w:cs="Arial"/>
                <w:color w:val="000000"/>
                <w:sz w:val="24"/>
                <w:szCs w:val="24"/>
              </w:rPr>
            </w:pPr>
          </w:p>
          <w:p w14:paraId="02A7230B" w14:textId="77777777" w:rsidR="002641D2" w:rsidRPr="00FA3F9C" w:rsidRDefault="002641D2" w:rsidP="00D06AA1">
            <w:pPr>
              <w:rPr>
                <w:rFonts w:ascii="Arial" w:eastAsia="MS Gothic" w:hAnsi="Arial" w:cs="Arial"/>
                <w:color w:val="000000"/>
                <w:sz w:val="24"/>
                <w:szCs w:val="24"/>
              </w:rPr>
            </w:pPr>
            <w:r w:rsidRPr="00FA3F9C">
              <w:rPr>
                <w:rFonts w:ascii="Arial" w:eastAsia="MS Gothic" w:hAnsi="Arial" w:cs="Arial"/>
                <w:color w:val="000000"/>
                <w:sz w:val="24"/>
                <w:szCs w:val="24"/>
              </w:rPr>
              <w:t>-</w:t>
            </w:r>
            <w:r w:rsidRPr="00FA3F9C">
              <w:rPr>
                <w:rFonts w:ascii="Arial" w:eastAsia="MS Gothic" w:hAnsi="Arial" w:cs="Arial"/>
                <w:color w:val="000000"/>
                <w:sz w:val="24"/>
                <w:szCs w:val="24"/>
                <w:u w:val="single"/>
              </w:rPr>
              <w:t>After induction therapy</w:t>
            </w:r>
            <w:r w:rsidRPr="00FA3F9C">
              <w:rPr>
                <w:rFonts w:ascii="Arial" w:eastAsia="MS Gothic" w:hAnsi="Arial" w:cs="Arial"/>
                <w:color w:val="000000"/>
                <w:sz w:val="24"/>
                <w:szCs w:val="24"/>
              </w:rPr>
              <w:t xml:space="preserve"> (in patients not eligible for stem cell transplant): Lenalidomide maintenance consistently improves PFS, but OS benefit is less clear. However, a meta-analysis indicates that lenalidomide maintenance given after induction therapy improves OS (at four years: rate of OS was 69 versus 60 percent, HR 0.69; 95% CI 0.54-0.88)</w:t>
            </w:r>
            <w:r w:rsidRPr="00FA3F9C">
              <w:rPr>
                <w:rFonts w:ascii="Arial" w:eastAsia="MS Gothic" w:hAnsi="Arial" w:cs="Arial"/>
                <w:color w:val="000000"/>
                <w:sz w:val="24"/>
                <w:szCs w:val="24"/>
                <w:vertAlign w:val="superscript"/>
              </w:rPr>
              <w:t>3</w:t>
            </w:r>
            <w:r w:rsidRPr="00FA3F9C">
              <w:rPr>
                <w:rFonts w:ascii="Arial" w:eastAsia="MS Gothic" w:hAnsi="Arial" w:cs="Arial"/>
                <w:color w:val="000000"/>
                <w:sz w:val="24"/>
                <w:szCs w:val="24"/>
              </w:rPr>
              <w:t xml:space="preserve">. </w:t>
            </w:r>
          </w:p>
          <w:p w14:paraId="60F81497" w14:textId="77777777" w:rsidR="002641D2" w:rsidRPr="00FA3F9C" w:rsidRDefault="002641D2" w:rsidP="006E6E1F">
            <w:pPr>
              <w:rPr>
                <w:rFonts w:ascii="Arial" w:eastAsia="MS Gothic" w:hAnsi="Arial" w:cs="Arial"/>
                <w:color w:val="000000"/>
                <w:sz w:val="24"/>
                <w:szCs w:val="24"/>
              </w:rPr>
            </w:pPr>
          </w:p>
          <w:p w14:paraId="283ADC85" w14:textId="77777777" w:rsidR="002641D2" w:rsidRPr="00FA3F9C" w:rsidRDefault="002641D2" w:rsidP="006E6E1F">
            <w:pPr>
              <w:rPr>
                <w:rFonts w:ascii="Arial" w:eastAsia="MS Gothic" w:hAnsi="Arial" w:cs="Arial"/>
                <w:color w:val="000000"/>
                <w:sz w:val="24"/>
                <w:szCs w:val="24"/>
              </w:rPr>
            </w:pPr>
            <w:r w:rsidRPr="00FA3F9C">
              <w:rPr>
                <w:rFonts w:ascii="Arial" w:eastAsia="MS Gothic" w:hAnsi="Arial" w:cs="Arial"/>
                <w:color w:val="000000"/>
                <w:sz w:val="24"/>
                <w:szCs w:val="24"/>
              </w:rPr>
              <w:t>-Secondary malignancies (AML, MDS, solids tumors, and non-melanoma skin cancers) are associated with lenalidomide therapy. Rates of secondary malignancies was 6% with lenalidomide maintenance and 3% with placebo after stem cell transplant</w:t>
            </w:r>
            <w:r w:rsidRPr="00FA3F9C">
              <w:rPr>
                <w:rFonts w:ascii="Arial" w:eastAsia="MS Gothic" w:hAnsi="Arial" w:cs="Arial"/>
                <w:color w:val="000000"/>
                <w:sz w:val="24"/>
                <w:szCs w:val="24"/>
                <w:vertAlign w:val="superscript"/>
              </w:rPr>
              <w:t>1</w:t>
            </w:r>
            <w:r w:rsidRPr="00FA3F9C">
              <w:rPr>
                <w:rFonts w:ascii="Arial" w:eastAsia="MS Gothic" w:hAnsi="Arial" w:cs="Arial"/>
                <w:color w:val="000000"/>
                <w:sz w:val="24"/>
                <w:szCs w:val="24"/>
              </w:rPr>
              <w:t>. Patients should be educated on this risk.</w:t>
            </w:r>
          </w:p>
          <w:p w14:paraId="752AA7DD" w14:textId="77777777" w:rsidR="002641D2" w:rsidRPr="00FA3F9C" w:rsidRDefault="002641D2" w:rsidP="006E6E1F">
            <w:pPr>
              <w:rPr>
                <w:rFonts w:ascii="Arial" w:eastAsia="MS Gothic" w:hAnsi="Arial" w:cs="Arial"/>
                <w:color w:val="000000"/>
                <w:sz w:val="24"/>
                <w:szCs w:val="24"/>
              </w:rPr>
            </w:pPr>
          </w:p>
          <w:p w14:paraId="0076C96B" w14:textId="77777777" w:rsidR="002641D2" w:rsidRPr="00FA3F9C" w:rsidRDefault="002641D2" w:rsidP="006E6E1F">
            <w:pPr>
              <w:rPr>
                <w:rFonts w:ascii="Arial" w:eastAsia="MS Gothic" w:hAnsi="Arial" w:cs="Arial"/>
                <w:color w:val="000000"/>
                <w:sz w:val="24"/>
                <w:szCs w:val="24"/>
              </w:rPr>
            </w:pPr>
            <w:r w:rsidRPr="00FA3F9C">
              <w:rPr>
                <w:rFonts w:ascii="Arial" w:eastAsia="MS Gothic" w:hAnsi="Arial" w:cs="Arial"/>
                <w:color w:val="000000"/>
                <w:sz w:val="24"/>
                <w:szCs w:val="24"/>
              </w:rPr>
              <w:t>REFERENCES:</w:t>
            </w:r>
          </w:p>
          <w:p w14:paraId="6819B25C" w14:textId="77777777" w:rsidR="002641D2" w:rsidRPr="00FA3F9C" w:rsidRDefault="002641D2" w:rsidP="002641D2">
            <w:pPr>
              <w:pStyle w:val="ListParagraph"/>
              <w:numPr>
                <w:ilvl w:val="0"/>
                <w:numId w:val="305"/>
              </w:numPr>
              <w:spacing w:after="160" w:line="259" w:lineRule="auto"/>
              <w:ind w:left="160" w:hanging="160"/>
              <w:rPr>
                <w:rFonts w:ascii="Arial" w:eastAsia="MS Gothic" w:hAnsi="Arial" w:cs="Arial"/>
                <w:color w:val="000000"/>
                <w:sz w:val="24"/>
                <w:szCs w:val="24"/>
              </w:rPr>
            </w:pPr>
            <w:r w:rsidRPr="00FA3F9C">
              <w:rPr>
                <w:rFonts w:ascii="Arial" w:eastAsia="MS Gothic" w:hAnsi="Arial" w:cs="Arial"/>
                <w:color w:val="000000"/>
                <w:sz w:val="24"/>
                <w:szCs w:val="24"/>
              </w:rPr>
              <w:lastRenderedPageBreak/>
              <w:t>McCarthy PL et al. Lenalidomide Maintenance After Autologous Stem-Cell Transplantation in Newly Diagnosed Multiple Myeloma: A Meta-Analysis. J Clin Oncol. 2017;35(29):3279. PMID 28742454</w:t>
            </w:r>
          </w:p>
          <w:p w14:paraId="3CDC5EDF" w14:textId="77777777" w:rsidR="002641D2" w:rsidRPr="00FA3F9C" w:rsidRDefault="002641D2" w:rsidP="002641D2">
            <w:pPr>
              <w:pStyle w:val="ListParagraph"/>
              <w:numPr>
                <w:ilvl w:val="0"/>
                <w:numId w:val="305"/>
              </w:numPr>
              <w:spacing w:after="160" w:line="259" w:lineRule="auto"/>
              <w:ind w:left="160" w:hanging="160"/>
              <w:rPr>
                <w:rFonts w:ascii="Arial" w:eastAsia="MS Gothic" w:hAnsi="Arial" w:cs="Arial"/>
                <w:color w:val="000000"/>
                <w:sz w:val="24"/>
                <w:szCs w:val="24"/>
              </w:rPr>
            </w:pPr>
            <w:proofErr w:type="spellStart"/>
            <w:r w:rsidRPr="00FA3F9C">
              <w:rPr>
                <w:rFonts w:ascii="Arial" w:eastAsia="MS Gothic" w:hAnsi="Arial" w:cs="Arial"/>
                <w:color w:val="000000"/>
                <w:sz w:val="24"/>
                <w:szCs w:val="24"/>
              </w:rPr>
              <w:t>Mateos</w:t>
            </w:r>
            <w:proofErr w:type="spellEnd"/>
            <w:r w:rsidRPr="00FA3F9C">
              <w:rPr>
                <w:rFonts w:ascii="Arial" w:eastAsia="MS Gothic" w:hAnsi="Arial" w:cs="Arial"/>
                <w:color w:val="000000"/>
                <w:sz w:val="24"/>
                <w:szCs w:val="24"/>
              </w:rPr>
              <w:t xml:space="preserve"> MV et al. Management of multiple myeloma in the newly diagnosed patient. Hematology Am Soc </w:t>
            </w:r>
            <w:proofErr w:type="spellStart"/>
            <w:r w:rsidRPr="00FA3F9C">
              <w:rPr>
                <w:rFonts w:ascii="Arial" w:eastAsia="MS Gothic" w:hAnsi="Arial" w:cs="Arial"/>
                <w:color w:val="000000"/>
                <w:sz w:val="24"/>
                <w:szCs w:val="24"/>
              </w:rPr>
              <w:t>Hematol</w:t>
            </w:r>
            <w:proofErr w:type="spellEnd"/>
            <w:r w:rsidRPr="00FA3F9C">
              <w:rPr>
                <w:rFonts w:ascii="Arial" w:eastAsia="MS Gothic" w:hAnsi="Arial" w:cs="Arial"/>
                <w:color w:val="000000"/>
                <w:sz w:val="24"/>
                <w:szCs w:val="24"/>
              </w:rPr>
              <w:t xml:space="preserve"> Educ Program. 2017 Dec 8;2017(1):498-507. PMID 29222298</w:t>
            </w:r>
          </w:p>
          <w:p w14:paraId="6D306215" w14:textId="77777777" w:rsidR="002641D2" w:rsidRPr="00FA3F9C" w:rsidRDefault="002641D2" w:rsidP="002641D2">
            <w:pPr>
              <w:pStyle w:val="ListParagraph"/>
              <w:numPr>
                <w:ilvl w:val="0"/>
                <w:numId w:val="305"/>
              </w:numPr>
              <w:spacing w:after="160" w:line="259" w:lineRule="auto"/>
              <w:ind w:left="160" w:hanging="160"/>
              <w:rPr>
                <w:rFonts w:ascii="Arial" w:eastAsia="MS Gothic" w:hAnsi="Arial" w:cs="Arial"/>
                <w:color w:val="000000"/>
                <w:sz w:val="24"/>
                <w:szCs w:val="24"/>
              </w:rPr>
            </w:pPr>
            <w:r w:rsidRPr="00FA3F9C">
              <w:rPr>
                <w:rFonts w:ascii="Arial" w:eastAsia="MS Gothic" w:hAnsi="Arial" w:cs="Arial"/>
                <w:color w:val="000000"/>
                <w:sz w:val="24"/>
                <w:szCs w:val="24"/>
              </w:rPr>
              <w:t xml:space="preserve">Palumbo A et al. Continuous Therapy Versus Fixed Duration of Therapy in Patients </w:t>
            </w:r>
            <w:proofErr w:type="gramStart"/>
            <w:r w:rsidRPr="00FA3F9C">
              <w:rPr>
                <w:rFonts w:ascii="Arial" w:eastAsia="MS Gothic" w:hAnsi="Arial" w:cs="Arial"/>
                <w:color w:val="000000"/>
                <w:sz w:val="24"/>
                <w:szCs w:val="24"/>
              </w:rPr>
              <w:t>With</w:t>
            </w:r>
            <w:proofErr w:type="gramEnd"/>
            <w:r w:rsidRPr="00FA3F9C">
              <w:rPr>
                <w:rFonts w:ascii="Arial" w:eastAsia="MS Gothic" w:hAnsi="Arial" w:cs="Arial"/>
                <w:color w:val="000000"/>
                <w:sz w:val="24"/>
                <w:szCs w:val="24"/>
              </w:rPr>
              <w:t xml:space="preserve"> Newly Diagnosed Multiple </w:t>
            </w:r>
            <w:proofErr w:type="spellStart"/>
            <w:r w:rsidRPr="00FA3F9C">
              <w:rPr>
                <w:rFonts w:ascii="Arial" w:eastAsia="MS Gothic" w:hAnsi="Arial" w:cs="Arial"/>
                <w:color w:val="000000"/>
                <w:sz w:val="24"/>
                <w:szCs w:val="24"/>
              </w:rPr>
              <w:t>Myeloma.J</w:t>
            </w:r>
            <w:proofErr w:type="spellEnd"/>
            <w:r w:rsidRPr="00FA3F9C">
              <w:rPr>
                <w:rFonts w:ascii="Arial" w:eastAsia="MS Gothic" w:hAnsi="Arial" w:cs="Arial"/>
                <w:color w:val="000000"/>
                <w:sz w:val="24"/>
                <w:szCs w:val="24"/>
              </w:rPr>
              <w:t xml:space="preserve"> Clin Oncol. 2015 Oct;33(30):3459-66. PMID 26282661</w:t>
            </w:r>
          </w:p>
        </w:tc>
      </w:tr>
    </w:tbl>
    <w:p w14:paraId="6432FEE7" w14:textId="77777777" w:rsidR="002641D2" w:rsidRPr="00FA3F9C" w:rsidRDefault="002641D2" w:rsidP="002B265E">
      <w:pPr>
        <w:rPr>
          <w:rFonts w:ascii="Arial" w:hAnsi="Arial" w:cs="Arial"/>
          <w:b/>
          <w:sz w:val="24"/>
          <w:szCs w:val="24"/>
        </w:rPr>
      </w:pPr>
    </w:p>
    <w:p w14:paraId="1369DA15" w14:textId="77777777" w:rsidR="002641D2" w:rsidRPr="00FA3F9C" w:rsidRDefault="002641D2" w:rsidP="002B265E">
      <w:pPr>
        <w:rPr>
          <w:rFonts w:ascii="Arial" w:hAnsi="Arial" w:cs="Arial"/>
          <w:b/>
          <w:sz w:val="24"/>
          <w:szCs w:val="24"/>
        </w:rPr>
      </w:pPr>
    </w:p>
    <w:p w14:paraId="5EE01C43" w14:textId="77777777" w:rsidR="002641D2" w:rsidRPr="00FA3F9C" w:rsidRDefault="002641D2" w:rsidP="002B265E">
      <w:pPr>
        <w:rPr>
          <w:rFonts w:ascii="Arial" w:hAnsi="Arial" w:cs="Arial"/>
          <w:b/>
          <w:sz w:val="24"/>
          <w:szCs w:val="24"/>
        </w:rPr>
      </w:pPr>
    </w:p>
    <w:p w14:paraId="56A91EDD" w14:textId="77777777" w:rsidR="002641D2" w:rsidRPr="00FA3F9C" w:rsidRDefault="002641D2" w:rsidP="002B265E">
      <w:pPr>
        <w:rPr>
          <w:rFonts w:ascii="Arial" w:hAnsi="Arial" w:cs="Arial"/>
          <w:b/>
          <w:sz w:val="24"/>
          <w:szCs w:val="24"/>
        </w:rPr>
      </w:pPr>
    </w:p>
    <w:p w14:paraId="3111ED09" w14:textId="77777777" w:rsidR="002641D2" w:rsidRPr="00FA3F9C" w:rsidRDefault="002641D2" w:rsidP="0044642B">
      <w:pPr>
        <w:rPr>
          <w:rFonts w:ascii="Arial" w:hAnsi="Arial" w:cs="Arial"/>
          <w:b/>
          <w:sz w:val="24"/>
          <w:szCs w:val="24"/>
        </w:rPr>
      </w:pPr>
      <w:r w:rsidRPr="00FA3F9C">
        <w:rPr>
          <w:rFonts w:ascii="Arial" w:hAnsi="Arial" w:cs="Arial"/>
          <w:b/>
          <w:sz w:val="24"/>
          <w:szCs w:val="24"/>
        </w:rPr>
        <w:tab/>
      </w:r>
    </w:p>
    <w:tbl>
      <w:tblPr>
        <w:tblStyle w:val="TableGrid"/>
        <w:tblW w:w="0" w:type="auto"/>
        <w:tblLook w:val="04A0" w:firstRow="1" w:lastRow="0" w:firstColumn="1" w:lastColumn="0" w:noHBand="0" w:noVBand="1"/>
      </w:tblPr>
      <w:tblGrid>
        <w:gridCol w:w="10165"/>
      </w:tblGrid>
      <w:tr w:rsidR="002641D2" w:rsidRPr="00FA3F9C" w14:paraId="2075E43E" w14:textId="77777777" w:rsidTr="00941106">
        <w:tc>
          <w:tcPr>
            <w:tcW w:w="10165" w:type="dxa"/>
            <w:shd w:val="clear" w:color="auto" w:fill="000000" w:themeFill="text1"/>
          </w:tcPr>
          <w:p w14:paraId="17BF4990" w14:textId="77777777" w:rsidR="002641D2" w:rsidRPr="00FA3F9C" w:rsidRDefault="002641D2" w:rsidP="00A01D17">
            <w:pPr>
              <w:rPr>
                <w:rFonts w:ascii="Arial" w:hAnsi="Arial" w:cs="Arial"/>
                <w:sz w:val="24"/>
                <w:szCs w:val="24"/>
              </w:rPr>
            </w:pPr>
            <w:r w:rsidRPr="00FA3F9C">
              <w:rPr>
                <w:rFonts w:ascii="Arial" w:hAnsi="Arial" w:cs="Arial"/>
                <w:sz w:val="24"/>
                <w:szCs w:val="24"/>
              </w:rPr>
              <w:t>Anemia of Myelodysplastic Syndrome (MDS)</w:t>
            </w:r>
          </w:p>
        </w:tc>
      </w:tr>
      <w:tr w:rsidR="002641D2" w:rsidRPr="00FA3F9C" w14:paraId="5B50F140" w14:textId="77777777" w:rsidTr="00941106">
        <w:tc>
          <w:tcPr>
            <w:tcW w:w="10165" w:type="dxa"/>
          </w:tcPr>
          <w:p w14:paraId="65C1EA93" w14:textId="77777777" w:rsidR="002641D2" w:rsidRPr="00FA3F9C" w:rsidRDefault="002641D2" w:rsidP="001A7F22">
            <w:pPr>
              <w:rPr>
                <w:rFonts w:ascii="Arial" w:hAnsi="Arial" w:cs="Arial"/>
                <w:sz w:val="24"/>
                <w:szCs w:val="24"/>
              </w:rPr>
            </w:pPr>
            <w:r w:rsidRPr="00FA3F9C">
              <w:rPr>
                <w:rFonts w:ascii="Arial" w:hAnsi="Arial" w:cs="Arial"/>
                <w:sz w:val="24"/>
                <w:szCs w:val="24"/>
              </w:rPr>
              <w:t xml:space="preserve">1. Diagnosis of MDS </w:t>
            </w:r>
          </w:p>
        </w:tc>
      </w:tr>
      <w:tr w:rsidR="002641D2" w:rsidRPr="00FA3F9C" w14:paraId="0ECD181C" w14:textId="77777777" w:rsidTr="00941106">
        <w:tc>
          <w:tcPr>
            <w:tcW w:w="10165" w:type="dxa"/>
          </w:tcPr>
          <w:p w14:paraId="4B441B03" w14:textId="77777777" w:rsidR="002641D2" w:rsidRPr="00FA3F9C" w:rsidRDefault="002641D2" w:rsidP="001A7F22">
            <w:pPr>
              <w:rPr>
                <w:rFonts w:ascii="Arial" w:hAnsi="Arial" w:cs="Arial"/>
                <w:sz w:val="24"/>
                <w:szCs w:val="24"/>
              </w:rPr>
            </w:pPr>
            <w:r w:rsidRPr="00FA3F9C">
              <w:rPr>
                <w:rFonts w:ascii="Arial" w:hAnsi="Arial" w:cs="Arial"/>
                <w:sz w:val="24"/>
                <w:szCs w:val="24"/>
              </w:rPr>
              <w:t>2. Presence of 5q deletion [may be denoted as 5q-, 5q minus, or del(5q)]</w:t>
            </w:r>
          </w:p>
        </w:tc>
      </w:tr>
      <w:tr w:rsidR="002641D2" w:rsidRPr="00FA3F9C" w14:paraId="67091851" w14:textId="77777777" w:rsidTr="00941106">
        <w:tc>
          <w:tcPr>
            <w:tcW w:w="10165" w:type="dxa"/>
          </w:tcPr>
          <w:p w14:paraId="6D22B1BA" w14:textId="77777777" w:rsidR="002641D2" w:rsidRPr="00FA3F9C" w:rsidRDefault="002641D2" w:rsidP="00941106">
            <w:pPr>
              <w:rPr>
                <w:rFonts w:ascii="Arial" w:hAnsi="Arial" w:cs="Arial"/>
                <w:sz w:val="24"/>
                <w:szCs w:val="24"/>
              </w:rPr>
            </w:pPr>
            <w:r w:rsidRPr="00FA3F9C">
              <w:rPr>
                <w:rFonts w:ascii="Arial" w:hAnsi="Arial" w:cs="Arial"/>
                <w:sz w:val="24"/>
                <w:szCs w:val="24"/>
              </w:rPr>
              <w:t xml:space="preserve">3. IPSS risk category is low or intermediate-1 (see below) </w:t>
            </w:r>
          </w:p>
        </w:tc>
      </w:tr>
      <w:tr w:rsidR="002641D2" w:rsidRPr="00FA3F9C" w14:paraId="2EBFB5ED" w14:textId="77777777" w:rsidTr="00941106">
        <w:tc>
          <w:tcPr>
            <w:tcW w:w="10165" w:type="dxa"/>
          </w:tcPr>
          <w:p w14:paraId="62F6BD0E" w14:textId="77777777" w:rsidR="002641D2" w:rsidRPr="00FA3F9C" w:rsidRDefault="002641D2" w:rsidP="001A7F22">
            <w:pPr>
              <w:rPr>
                <w:rFonts w:ascii="Arial" w:hAnsi="Arial" w:cs="Arial"/>
                <w:sz w:val="24"/>
                <w:szCs w:val="24"/>
              </w:rPr>
            </w:pPr>
            <w:r w:rsidRPr="00FA3F9C">
              <w:rPr>
                <w:rFonts w:ascii="Arial" w:hAnsi="Arial" w:cs="Arial"/>
                <w:sz w:val="24"/>
                <w:szCs w:val="24"/>
              </w:rPr>
              <w:t>4. Presence of transfusion-dependent anemia (defined in trials as no 8 consecutive weeks without RBC transfusions within the 16 weeks before randomization)</w:t>
            </w:r>
          </w:p>
        </w:tc>
      </w:tr>
      <w:tr w:rsidR="002641D2" w:rsidRPr="00FA3F9C" w14:paraId="70A87B03" w14:textId="77777777" w:rsidTr="00941106">
        <w:tc>
          <w:tcPr>
            <w:tcW w:w="10165" w:type="dxa"/>
          </w:tcPr>
          <w:p w14:paraId="0BB317E6" w14:textId="77777777" w:rsidR="002641D2" w:rsidRPr="00FA3F9C" w:rsidRDefault="002641D2" w:rsidP="00DC19A4">
            <w:pPr>
              <w:rPr>
                <w:rFonts w:ascii="Arial" w:hAnsi="Arial" w:cs="Arial"/>
                <w:sz w:val="24"/>
                <w:szCs w:val="24"/>
              </w:rPr>
            </w:pPr>
            <w:r w:rsidRPr="00FA3F9C">
              <w:rPr>
                <w:rFonts w:ascii="Arial" w:hAnsi="Arial" w:cs="Arial"/>
                <w:sz w:val="24"/>
                <w:szCs w:val="24"/>
              </w:rPr>
              <w:t xml:space="preserve">5. If EPO level </w:t>
            </w:r>
            <w:r w:rsidRPr="00FA3F9C">
              <w:rPr>
                <w:rFonts w:ascii="Arial" w:hAnsi="Arial" w:cs="Arial"/>
                <w:sz w:val="24"/>
                <w:szCs w:val="24"/>
                <w:u w:val="single"/>
              </w:rPr>
              <w:t>&lt;</w:t>
            </w:r>
            <w:r w:rsidRPr="00FA3F9C">
              <w:rPr>
                <w:rFonts w:ascii="Arial" w:hAnsi="Arial" w:cs="Arial"/>
                <w:sz w:val="24"/>
                <w:szCs w:val="24"/>
              </w:rPr>
              <w:t xml:space="preserve">500 </w:t>
            </w:r>
            <w:proofErr w:type="spellStart"/>
            <w:r w:rsidRPr="00FA3F9C">
              <w:rPr>
                <w:rFonts w:ascii="Arial" w:hAnsi="Arial" w:cs="Arial"/>
                <w:sz w:val="24"/>
                <w:szCs w:val="24"/>
              </w:rPr>
              <w:t>mU</w:t>
            </w:r>
            <w:proofErr w:type="spellEnd"/>
            <w:r w:rsidRPr="00FA3F9C">
              <w:rPr>
                <w:rFonts w:ascii="Arial" w:hAnsi="Arial" w:cs="Arial"/>
                <w:sz w:val="24"/>
                <w:szCs w:val="24"/>
              </w:rPr>
              <w:t>/ml, patient has failed prior treatment with an erythropoietin stimulating agent. [failure to reduce frequency of PRBC transfusion]</w:t>
            </w:r>
          </w:p>
        </w:tc>
      </w:tr>
      <w:tr w:rsidR="002641D2" w:rsidRPr="00FA3F9C" w14:paraId="0AA2E34E" w14:textId="77777777" w:rsidTr="00941106">
        <w:tc>
          <w:tcPr>
            <w:tcW w:w="10165" w:type="dxa"/>
          </w:tcPr>
          <w:p w14:paraId="0A842598" w14:textId="77777777" w:rsidR="002641D2" w:rsidRPr="00FA3F9C" w:rsidRDefault="002641D2" w:rsidP="001A7F22">
            <w:pPr>
              <w:rPr>
                <w:rFonts w:ascii="Arial" w:hAnsi="Arial" w:cs="Arial"/>
                <w:sz w:val="24"/>
                <w:szCs w:val="24"/>
              </w:rPr>
            </w:pPr>
            <w:r w:rsidRPr="00FA3F9C">
              <w:rPr>
                <w:rFonts w:ascii="Arial" w:hAnsi="Arial" w:cs="Arial"/>
                <w:sz w:val="24"/>
                <w:szCs w:val="24"/>
              </w:rPr>
              <w:t>6. Absolute neutrophil count (ANC) is &gt;500/</w:t>
            </w:r>
            <w:proofErr w:type="spellStart"/>
            <w:r w:rsidRPr="00FA3F9C">
              <w:rPr>
                <w:rFonts w:ascii="Arial" w:hAnsi="Arial" w:cs="Arial"/>
                <w:sz w:val="24"/>
                <w:szCs w:val="24"/>
              </w:rPr>
              <w:t>mcL</w:t>
            </w:r>
            <w:proofErr w:type="spellEnd"/>
            <w:r w:rsidRPr="00FA3F9C">
              <w:rPr>
                <w:rFonts w:ascii="Arial" w:hAnsi="Arial" w:cs="Arial"/>
                <w:sz w:val="24"/>
                <w:szCs w:val="24"/>
              </w:rPr>
              <w:t xml:space="preserve"> and platelet count is &gt;25,000/</w:t>
            </w:r>
            <w:proofErr w:type="spellStart"/>
            <w:r w:rsidRPr="00FA3F9C">
              <w:rPr>
                <w:rFonts w:ascii="Arial" w:hAnsi="Arial" w:cs="Arial"/>
                <w:sz w:val="24"/>
                <w:szCs w:val="24"/>
              </w:rPr>
              <w:t>mcL</w:t>
            </w:r>
            <w:proofErr w:type="spellEnd"/>
          </w:p>
        </w:tc>
      </w:tr>
      <w:tr w:rsidR="002641D2" w:rsidRPr="00FA3F9C" w14:paraId="0CC1B1E1" w14:textId="77777777" w:rsidTr="00941106">
        <w:tc>
          <w:tcPr>
            <w:tcW w:w="10165" w:type="dxa"/>
          </w:tcPr>
          <w:p w14:paraId="25F6EBD3" w14:textId="77777777" w:rsidR="002641D2" w:rsidRPr="00FA3F9C" w:rsidRDefault="002641D2" w:rsidP="00A610E0">
            <w:pPr>
              <w:rPr>
                <w:rFonts w:ascii="Arial" w:hAnsi="Arial" w:cs="Arial"/>
                <w:sz w:val="24"/>
                <w:szCs w:val="24"/>
              </w:rPr>
            </w:pPr>
            <w:r w:rsidRPr="00FA3F9C">
              <w:rPr>
                <w:rFonts w:ascii="Arial" w:hAnsi="Arial" w:cs="Arial"/>
                <w:sz w:val="24"/>
                <w:szCs w:val="24"/>
              </w:rPr>
              <w:t>7. Dose will be 10 mg daily (or appropriate renal dose) x 21 days, then take 1 week off [as done in MDS-004 study. Continuous dosing without a break is associated with more dose reductions and toxicity. See note below]</w:t>
            </w:r>
          </w:p>
        </w:tc>
      </w:tr>
      <w:tr w:rsidR="002641D2" w:rsidRPr="00FA3F9C" w14:paraId="750D1FB0" w14:textId="77777777" w:rsidTr="00941106">
        <w:tc>
          <w:tcPr>
            <w:tcW w:w="10165" w:type="dxa"/>
            <w:shd w:val="clear" w:color="auto" w:fill="F2F2F2" w:themeFill="background1" w:themeFillShade="F2"/>
          </w:tcPr>
          <w:p w14:paraId="7DD1CF5D" w14:textId="77777777" w:rsidR="002641D2" w:rsidRPr="00FA3F9C" w:rsidRDefault="002641D2" w:rsidP="001A7F22">
            <w:pPr>
              <w:rPr>
                <w:rFonts w:ascii="Arial" w:hAnsi="Arial" w:cs="Arial"/>
                <w:b/>
                <w:sz w:val="24"/>
                <w:szCs w:val="24"/>
              </w:rPr>
            </w:pPr>
            <w:r w:rsidRPr="00FA3F9C">
              <w:rPr>
                <w:rFonts w:ascii="Arial" w:hAnsi="Arial" w:cs="Arial"/>
                <w:b/>
                <w:sz w:val="24"/>
                <w:szCs w:val="24"/>
              </w:rPr>
              <w:t xml:space="preserve">If criteria fulfilled, approve for 12 months. </w:t>
            </w:r>
          </w:p>
        </w:tc>
      </w:tr>
      <w:tr w:rsidR="002641D2" w:rsidRPr="00FA3F9C" w14:paraId="07A57B47" w14:textId="77777777" w:rsidTr="00941106">
        <w:tc>
          <w:tcPr>
            <w:tcW w:w="10165" w:type="dxa"/>
            <w:shd w:val="clear" w:color="auto" w:fill="F2F2F2" w:themeFill="background1" w:themeFillShade="F2"/>
          </w:tcPr>
          <w:p w14:paraId="13859B5A" w14:textId="77777777" w:rsidR="002641D2" w:rsidRPr="00FA3F9C" w:rsidRDefault="002641D2" w:rsidP="001A7F22">
            <w:pPr>
              <w:rPr>
                <w:rFonts w:ascii="Arial" w:eastAsia="MS Gothic" w:hAnsi="Arial" w:cs="Arial"/>
                <w:b/>
                <w:color w:val="000000"/>
                <w:sz w:val="24"/>
                <w:szCs w:val="24"/>
              </w:rPr>
            </w:pPr>
            <w:r w:rsidRPr="00FA3F9C">
              <w:rPr>
                <w:rFonts w:ascii="Arial" w:eastAsia="MS Gothic" w:hAnsi="Arial" w:cs="Arial"/>
                <w:b/>
                <w:color w:val="000000"/>
                <w:sz w:val="24"/>
                <w:szCs w:val="24"/>
              </w:rPr>
              <w:lastRenderedPageBreak/>
              <w:t>Lenalidomide is not approved for MDS without 5q- or if IPSS risk category is INT-2 or high risk</w:t>
            </w:r>
          </w:p>
        </w:tc>
      </w:tr>
      <w:tr w:rsidR="002641D2" w:rsidRPr="00FA3F9C" w14:paraId="1108B0A4" w14:textId="77777777" w:rsidTr="00941106">
        <w:tc>
          <w:tcPr>
            <w:tcW w:w="10165" w:type="dxa"/>
            <w:shd w:val="clear" w:color="auto" w:fill="D9D9D9" w:themeFill="background1" w:themeFillShade="D9"/>
          </w:tcPr>
          <w:p w14:paraId="72771361" w14:textId="77777777" w:rsidR="002641D2" w:rsidRPr="00FA3F9C" w:rsidRDefault="002641D2" w:rsidP="001A7F22">
            <w:pPr>
              <w:rPr>
                <w:rFonts w:ascii="Arial" w:eastAsia="MS Gothic" w:hAnsi="Arial" w:cs="Arial"/>
                <w:color w:val="000000"/>
                <w:sz w:val="24"/>
                <w:szCs w:val="24"/>
                <w:u w:val="single"/>
              </w:rPr>
            </w:pPr>
            <w:r w:rsidRPr="00FA3F9C">
              <w:rPr>
                <w:rFonts w:ascii="Arial" w:eastAsia="MS Gothic" w:hAnsi="Arial" w:cs="Arial"/>
                <w:color w:val="000000"/>
                <w:sz w:val="24"/>
                <w:szCs w:val="24"/>
                <w:u w:val="single"/>
              </w:rPr>
              <w:t>Dose:</w:t>
            </w:r>
          </w:p>
          <w:p w14:paraId="5D2F601B" w14:textId="77777777" w:rsidR="002641D2" w:rsidRPr="00FA3F9C" w:rsidRDefault="002641D2" w:rsidP="00674EEB">
            <w:pPr>
              <w:rPr>
                <w:rFonts w:ascii="Arial" w:eastAsia="MS Gothic" w:hAnsi="Arial" w:cs="Arial"/>
                <w:color w:val="000000"/>
                <w:sz w:val="24"/>
                <w:szCs w:val="24"/>
              </w:rPr>
            </w:pPr>
            <w:r w:rsidRPr="00FA3F9C">
              <w:rPr>
                <w:rFonts w:ascii="Arial" w:eastAsia="MS Gothic" w:hAnsi="Arial" w:cs="Arial"/>
                <w:color w:val="000000"/>
                <w:sz w:val="24"/>
                <w:szCs w:val="24"/>
              </w:rPr>
              <w:t>FDA approved initial dose is 10 mg daily (without breaks), but dose used in main study was 10 mg daily x 21 days then take one week off. May take 2-4 months of therapy to see response.</w:t>
            </w:r>
          </w:p>
          <w:p w14:paraId="7D86CCFD" w14:textId="77777777" w:rsidR="002641D2" w:rsidRPr="00FA3F9C" w:rsidRDefault="002641D2" w:rsidP="001A7F22">
            <w:pPr>
              <w:rPr>
                <w:rFonts w:ascii="Arial" w:eastAsia="MS Gothic" w:hAnsi="Arial" w:cs="Arial"/>
                <w:color w:val="000000"/>
                <w:sz w:val="24"/>
                <w:szCs w:val="24"/>
                <w:u w:val="single"/>
              </w:rPr>
            </w:pPr>
          </w:p>
          <w:p w14:paraId="3772F64E" w14:textId="77777777" w:rsidR="002641D2" w:rsidRPr="00FA3F9C" w:rsidRDefault="002641D2" w:rsidP="001A7F22">
            <w:pPr>
              <w:rPr>
                <w:rFonts w:ascii="Arial" w:eastAsia="MS Gothic" w:hAnsi="Arial" w:cs="Arial"/>
                <w:color w:val="000000"/>
                <w:sz w:val="24"/>
                <w:szCs w:val="24"/>
                <w:u w:val="single"/>
              </w:rPr>
            </w:pPr>
            <w:r w:rsidRPr="00FA3F9C">
              <w:rPr>
                <w:rFonts w:ascii="Arial" w:eastAsia="MS Gothic" w:hAnsi="Arial" w:cs="Arial"/>
                <w:color w:val="000000"/>
                <w:sz w:val="24"/>
                <w:szCs w:val="24"/>
                <w:u w:val="single"/>
              </w:rPr>
              <w:t>Evidence:</w:t>
            </w:r>
          </w:p>
          <w:p w14:paraId="505FD37E" w14:textId="77777777" w:rsidR="002641D2" w:rsidRPr="00FA3F9C" w:rsidRDefault="002641D2" w:rsidP="001A7F22">
            <w:pPr>
              <w:rPr>
                <w:rFonts w:ascii="Arial" w:hAnsi="Arial" w:cs="Arial"/>
                <w:sz w:val="24"/>
                <w:szCs w:val="24"/>
              </w:rPr>
            </w:pPr>
            <w:r w:rsidRPr="00FA3F9C">
              <w:rPr>
                <w:rFonts w:ascii="Arial" w:eastAsia="MS Gothic" w:hAnsi="Arial" w:cs="Arial"/>
                <w:color w:val="000000"/>
                <w:sz w:val="24"/>
                <w:szCs w:val="24"/>
              </w:rPr>
              <w:t>In the MDS-004 study</w:t>
            </w:r>
            <w:r w:rsidRPr="00FA3F9C">
              <w:rPr>
                <w:rFonts w:ascii="Arial" w:eastAsia="MS Gothic" w:hAnsi="Arial" w:cs="Arial"/>
                <w:color w:val="000000"/>
                <w:sz w:val="24"/>
                <w:szCs w:val="24"/>
                <w:vertAlign w:val="superscript"/>
              </w:rPr>
              <w:t>1</w:t>
            </w:r>
            <w:r w:rsidRPr="00FA3F9C">
              <w:rPr>
                <w:rFonts w:ascii="Arial" w:eastAsia="MS Gothic" w:hAnsi="Arial" w:cs="Arial"/>
                <w:color w:val="000000"/>
                <w:sz w:val="24"/>
                <w:szCs w:val="24"/>
              </w:rPr>
              <w:t xml:space="preserve">, lenalidomide induced transfusion independence for </w:t>
            </w:r>
            <w:r w:rsidRPr="00FA3F9C">
              <w:rPr>
                <w:rFonts w:ascii="Arial" w:eastAsia="MS Gothic" w:hAnsi="Arial" w:cs="Arial"/>
                <w:color w:val="000000"/>
                <w:sz w:val="24"/>
                <w:szCs w:val="24"/>
                <w:u w:val="single"/>
              </w:rPr>
              <w:t>&gt;</w:t>
            </w:r>
            <w:r w:rsidRPr="00FA3F9C">
              <w:rPr>
                <w:rFonts w:ascii="Arial" w:eastAsia="MS Gothic" w:hAnsi="Arial" w:cs="Arial"/>
                <w:color w:val="000000"/>
                <w:sz w:val="24"/>
                <w:szCs w:val="24"/>
              </w:rPr>
              <w:t xml:space="preserve"> 26 consecutive weeks in 56.1% (10 mg daily 21/28 days) and 42.6% (5 mg daily 28/28 days) of patients compared with 5.9% of patients on placebo. Most patients responded in cycles 1 or 2 but some took 4 cycles of therapy to respond. There was also a clinically significant improvement in quality of life in the lenalidomide groups compared with placebo. 50% of patients received prior </w:t>
            </w:r>
            <w:r w:rsidRPr="00FA3F9C">
              <w:rPr>
                <w:rFonts w:ascii="Arial" w:hAnsi="Arial" w:cs="Arial"/>
                <w:sz w:val="24"/>
                <w:szCs w:val="24"/>
              </w:rPr>
              <w:t xml:space="preserve">erythropoietin stimulating agent (ESA). Survival between groups was not statistically </w:t>
            </w:r>
            <w:proofErr w:type="gramStart"/>
            <w:r w:rsidRPr="00FA3F9C">
              <w:rPr>
                <w:rFonts w:ascii="Arial" w:hAnsi="Arial" w:cs="Arial"/>
                <w:sz w:val="24"/>
                <w:szCs w:val="24"/>
              </w:rPr>
              <w:t>different, but</w:t>
            </w:r>
            <w:proofErr w:type="gramEnd"/>
            <w:r w:rsidRPr="00FA3F9C">
              <w:rPr>
                <w:rFonts w:ascii="Arial" w:hAnsi="Arial" w:cs="Arial"/>
                <w:sz w:val="24"/>
                <w:szCs w:val="24"/>
              </w:rPr>
              <w:t xml:space="preserve"> may be confounded due to crossover allowed by protocol.</w:t>
            </w:r>
          </w:p>
          <w:p w14:paraId="07417BB8" w14:textId="77777777" w:rsidR="002641D2" w:rsidRPr="00FA3F9C" w:rsidRDefault="002641D2" w:rsidP="001A7F22">
            <w:pPr>
              <w:rPr>
                <w:rFonts w:ascii="Arial" w:hAnsi="Arial" w:cs="Arial"/>
                <w:sz w:val="24"/>
                <w:szCs w:val="24"/>
              </w:rPr>
            </w:pPr>
          </w:p>
          <w:p w14:paraId="7633E761" w14:textId="77777777" w:rsidR="002641D2" w:rsidRPr="00FA3F9C" w:rsidRDefault="002641D2" w:rsidP="001A7F22">
            <w:pPr>
              <w:rPr>
                <w:rFonts w:ascii="Arial" w:hAnsi="Arial" w:cs="Arial"/>
                <w:sz w:val="24"/>
                <w:szCs w:val="24"/>
              </w:rPr>
            </w:pPr>
            <w:r w:rsidRPr="00FA3F9C">
              <w:rPr>
                <w:rFonts w:ascii="Arial" w:hAnsi="Arial" w:cs="Arial"/>
                <w:sz w:val="24"/>
                <w:szCs w:val="24"/>
              </w:rPr>
              <w:t>For MDS patients with symptomatic anemia, NCCN (version 2.2019) recommends lenalidomide for patients with 5q- with or without 1 additional cytogenetic abnormality (except those involving chromosome 7).</w:t>
            </w:r>
            <w:r w:rsidRPr="00FA3F9C">
              <w:rPr>
                <w:rFonts w:ascii="Arial" w:hAnsi="Arial" w:cs="Arial"/>
                <w:sz w:val="24"/>
                <w:szCs w:val="24"/>
                <w:vertAlign w:val="superscript"/>
              </w:rPr>
              <w:t>2</w:t>
            </w:r>
          </w:p>
          <w:p w14:paraId="40407484" w14:textId="77777777" w:rsidR="002641D2" w:rsidRPr="00FA3F9C" w:rsidRDefault="002641D2" w:rsidP="001A7F22">
            <w:pPr>
              <w:rPr>
                <w:rFonts w:ascii="Arial" w:hAnsi="Arial" w:cs="Arial"/>
                <w:sz w:val="24"/>
                <w:szCs w:val="24"/>
              </w:rPr>
            </w:pPr>
          </w:p>
          <w:p w14:paraId="03C2C499" w14:textId="77777777" w:rsidR="002641D2" w:rsidRPr="00FA3F9C" w:rsidRDefault="002641D2" w:rsidP="001A7F22">
            <w:pPr>
              <w:rPr>
                <w:rFonts w:ascii="Arial" w:hAnsi="Arial" w:cs="Arial"/>
                <w:sz w:val="24"/>
                <w:szCs w:val="24"/>
              </w:rPr>
            </w:pPr>
            <w:r w:rsidRPr="00FA3F9C">
              <w:rPr>
                <w:rFonts w:ascii="Arial" w:hAnsi="Arial" w:cs="Arial"/>
                <w:sz w:val="24"/>
                <w:szCs w:val="24"/>
              </w:rPr>
              <w:t xml:space="preserve">ESMO 2014 guideline recommends that MDS patients with 5q- be first treated with an ESA if </w:t>
            </w:r>
            <w:proofErr w:type="spellStart"/>
            <w:r w:rsidRPr="00FA3F9C">
              <w:rPr>
                <w:rFonts w:ascii="Arial" w:hAnsi="Arial" w:cs="Arial"/>
                <w:sz w:val="24"/>
                <w:szCs w:val="24"/>
              </w:rPr>
              <w:t>epo</w:t>
            </w:r>
            <w:proofErr w:type="spellEnd"/>
            <w:r w:rsidRPr="00FA3F9C">
              <w:rPr>
                <w:rFonts w:ascii="Arial" w:hAnsi="Arial" w:cs="Arial"/>
                <w:sz w:val="24"/>
                <w:szCs w:val="24"/>
              </w:rPr>
              <w:t xml:space="preserve"> level is &lt;500 </w:t>
            </w:r>
            <w:proofErr w:type="spellStart"/>
            <w:r w:rsidRPr="00FA3F9C">
              <w:rPr>
                <w:rFonts w:ascii="Arial" w:hAnsi="Arial" w:cs="Arial"/>
                <w:sz w:val="24"/>
                <w:szCs w:val="24"/>
              </w:rPr>
              <w:t>mcU</w:t>
            </w:r>
            <w:proofErr w:type="spellEnd"/>
            <w:r w:rsidRPr="00FA3F9C">
              <w:rPr>
                <w:rFonts w:ascii="Arial" w:hAnsi="Arial" w:cs="Arial"/>
                <w:sz w:val="24"/>
                <w:szCs w:val="24"/>
              </w:rPr>
              <w:t>/ml</w:t>
            </w:r>
            <w:r w:rsidRPr="00FA3F9C">
              <w:rPr>
                <w:rFonts w:ascii="Arial" w:hAnsi="Arial" w:cs="Arial"/>
                <w:sz w:val="24"/>
                <w:szCs w:val="24"/>
                <w:vertAlign w:val="superscript"/>
              </w:rPr>
              <w:t>3</w:t>
            </w:r>
            <w:r w:rsidRPr="00FA3F9C">
              <w:rPr>
                <w:rFonts w:ascii="Arial" w:hAnsi="Arial" w:cs="Arial"/>
                <w:sz w:val="24"/>
                <w:szCs w:val="24"/>
              </w:rPr>
              <w:t>. Note that first author of ESMO guideline is also the first author of the MDS-004 study.  A review article in Blood also recommends that ESA be used first in the same population.</w:t>
            </w:r>
            <w:r w:rsidRPr="00FA3F9C">
              <w:rPr>
                <w:rFonts w:ascii="Arial" w:hAnsi="Arial" w:cs="Arial"/>
                <w:sz w:val="24"/>
                <w:szCs w:val="24"/>
                <w:vertAlign w:val="superscript"/>
              </w:rPr>
              <w:t>4</w:t>
            </w:r>
          </w:p>
          <w:p w14:paraId="61FCD07C" w14:textId="77777777" w:rsidR="002641D2" w:rsidRPr="00FA3F9C" w:rsidRDefault="002641D2" w:rsidP="001A7F22">
            <w:pPr>
              <w:rPr>
                <w:rFonts w:ascii="Arial" w:hAnsi="Arial" w:cs="Arial"/>
                <w:sz w:val="24"/>
                <w:szCs w:val="24"/>
              </w:rPr>
            </w:pPr>
          </w:p>
          <w:p w14:paraId="3AD71A03" w14:textId="77777777" w:rsidR="002641D2" w:rsidRPr="00FA3F9C" w:rsidRDefault="002641D2" w:rsidP="001A7F22">
            <w:pPr>
              <w:rPr>
                <w:rFonts w:ascii="Arial" w:eastAsia="MS Gothic" w:hAnsi="Arial" w:cs="Arial"/>
                <w:color w:val="000000"/>
                <w:sz w:val="24"/>
                <w:szCs w:val="24"/>
              </w:rPr>
            </w:pPr>
            <w:r w:rsidRPr="00FA3F9C">
              <w:rPr>
                <w:rFonts w:ascii="Arial" w:eastAsia="MS Gothic" w:hAnsi="Arial" w:cs="Arial"/>
                <w:color w:val="000000"/>
                <w:sz w:val="24"/>
                <w:szCs w:val="24"/>
              </w:rPr>
              <w:t xml:space="preserve">Although responses to ESAs in 5q- patients appear to be lower than responses seen with lenalidomide, ESAs and lenalidomide have not been compared </w:t>
            </w:r>
            <w:proofErr w:type="gramStart"/>
            <w:r w:rsidRPr="00FA3F9C">
              <w:rPr>
                <w:rFonts w:ascii="Arial" w:eastAsia="MS Gothic" w:hAnsi="Arial" w:cs="Arial"/>
                <w:color w:val="000000"/>
                <w:sz w:val="24"/>
                <w:szCs w:val="24"/>
              </w:rPr>
              <w:t>head to head</w:t>
            </w:r>
            <w:proofErr w:type="gramEnd"/>
            <w:r w:rsidRPr="00FA3F9C">
              <w:rPr>
                <w:rFonts w:ascii="Arial" w:eastAsia="MS Gothic" w:hAnsi="Arial" w:cs="Arial"/>
                <w:color w:val="000000"/>
                <w:sz w:val="24"/>
                <w:szCs w:val="24"/>
              </w:rPr>
              <w:t xml:space="preserve">. </w:t>
            </w:r>
            <w:proofErr w:type="gramStart"/>
            <w:r w:rsidRPr="00FA3F9C">
              <w:rPr>
                <w:rFonts w:ascii="Arial" w:eastAsia="MS Gothic" w:hAnsi="Arial" w:cs="Arial"/>
                <w:color w:val="000000"/>
                <w:sz w:val="24"/>
                <w:szCs w:val="24"/>
              </w:rPr>
              <w:t>In light of</w:t>
            </w:r>
            <w:proofErr w:type="gramEnd"/>
            <w:r w:rsidRPr="00FA3F9C">
              <w:rPr>
                <w:rFonts w:ascii="Arial" w:eastAsia="MS Gothic" w:hAnsi="Arial" w:cs="Arial"/>
                <w:color w:val="000000"/>
                <w:sz w:val="24"/>
                <w:szCs w:val="24"/>
              </w:rPr>
              <w:t xml:space="preserve"> ESMO and the Blood review article’s recommendations, will recommend failure of ESA before access is granted to lenalidomide if EPO &lt;500 </w:t>
            </w:r>
            <w:proofErr w:type="spellStart"/>
            <w:r w:rsidRPr="00FA3F9C">
              <w:rPr>
                <w:rFonts w:ascii="Arial" w:eastAsia="MS Gothic" w:hAnsi="Arial" w:cs="Arial"/>
                <w:color w:val="000000"/>
                <w:sz w:val="24"/>
                <w:szCs w:val="24"/>
              </w:rPr>
              <w:t>mcU</w:t>
            </w:r>
            <w:proofErr w:type="spellEnd"/>
            <w:r w:rsidRPr="00FA3F9C">
              <w:rPr>
                <w:rFonts w:ascii="Arial" w:eastAsia="MS Gothic" w:hAnsi="Arial" w:cs="Arial"/>
                <w:color w:val="000000"/>
                <w:sz w:val="24"/>
                <w:szCs w:val="24"/>
              </w:rPr>
              <w:t>/ml due to lower cost of ESA.</w:t>
            </w:r>
            <w:r w:rsidRPr="00FA3F9C">
              <w:rPr>
                <w:rFonts w:ascii="Arial" w:hAnsi="Arial" w:cs="Arial"/>
                <w:sz w:val="24"/>
                <w:szCs w:val="24"/>
              </w:rPr>
              <w:t xml:space="preserve"> </w:t>
            </w:r>
          </w:p>
          <w:p w14:paraId="690DAD52" w14:textId="77777777" w:rsidR="002641D2" w:rsidRPr="00FA3F9C" w:rsidRDefault="002641D2" w:rsidP="001A7F22">
            <w:pPr>
              <w:rPr>
                <w:rFonts w:ascii="Arial" w:eastAsia="MS Gothic" w:hAnsi="Arial" w:cs="Arial"/>
                <w:color w:val="000000"/>
                <w:sz w:val="24"/>
                <w:szCs w:val="24"/>
              </w:rPr>
            </w:pPr>
          </w:p>
          <w:p w14:paraId="4CBF0086" w14:textId="77777777" w:rsidR="002641D2" w:rsidRPr="00FA3F9C" w:rsidRDefault="002641D2" w:rsidP="001A7F22">
            <w:pPr>
              <w:rPr>
                <w:rFonts w:ascii="Arial" w:eastAsia="MS Gothic" w:hAnsi="Arial" w:cs="Arial"/>
                <w:color w:val="000000"/>
                <w:sz w:val="24"/>
                <w:szCs w:val="24"/>
                <w:u w:val="single"/>
              </w:rPr>
            </w:pPr>
            <w:r w:rsidRPr="00FA3F9C">
              <w:rPr>
                <w:rFonts w:ascii="Arial" w:eastAsia="MS Gothic" w:hAnsi="Arial" w:cs="Arial"/>
                <w:color w:val="000000"/>
                <w:sz w:val="24"/>
                <w:szCs w:val="24"/>
                <w:u w:val="single"/>
              </w:rPr>
              <w:t>IPSS risk scoring and categories:</w:t>
            </w:r>
          </w:p>
          <w:p w14:paraId="5683F76F" w14:textId="77777777" w:rsidR="002641D2" w:rsidRPr="00FA3F9C" w:rsidRDefault="002641D2" w:rsidP="001A7F22">
            <w:pPr>
              <w:rPr>
                <w:rFonts w:ascii="Arial" w:eastAsia="MS Gothic" w:hAnsi="Arial" w:cs="Arial"/>
                <w:color w:val="000000"/>
                <w:sz w:val="24"/>
                <w:szCs w:val="24"/>
                <w:u w:val="single"/>
              </w:rPr>
            </w:pPr>
            <w:r w:rsidRPr="00FA3F9C">
              <w:rPr>
                <w:rFonts w:ascii="Arial" w:hAnsi="Arial" w:cs="Arial"/>
                <w:noProof/>
                <w:sz w:val="24"/>
                <w:szCs w:val="24"/>
              </w:rPr>
              <w:lastRenderedPageBreak/>
              <w:drawing>
                <wp:inline distT="0" distB="0" distL="0" distR="0" wp14:anchorId="43C81709" wp14:editId="6E289DEA">
                  <wp:extent cx="3012440" cy="679289"/>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2"/>
                          <a:srcRect l="11759" t="39493" r="75092" b="49967"/>
                          <a:stretch/>
                        </pic:blipFill>
                        <pic:spPr bwMode="auto">
                          <a:xfrm>
                            <a:off x="0" y="0"/>
                            <a:ext cx="3018410" cy="680635"/>
                          </a:xfrm>
                          <a:prstGeom prst="rect">
                            <a:avLst/>
                          </a:prstGeom>
                          <a:ln>
                            <a:noFill/>
                          </a:ln>
                          <a:extLst>
                            <a:ext uri="{53640926-AAD7-44D8-BBD7-CCE9431645EC}">
                              <a14:shadowObscured xmlns:a14="http://schemas.microsoft.com/office/drawing/2010/main"/>
                            </a:ext>
                          </a:extLst>
                        </pic:spPr>
                      </pic:pic>
                    </a:graphicData>
                  </a:graphic>
                </wp:inline>
              </w:drawing>
            </w:r>
          </w:p>
          <w:p w14:paraId="1FB8469A" w14:textId="77777777" w:rsidR="002641D2" w:rsidRPr="00FA3F9C" w:rsidRDefault="002641D2" w:rsidP="001A7F22">
            <w:pPr>
              <w:ind w:left="70"/>
              <w:rPr>
                <w:rFonts w:ascii="Arial" w:eastAsia="MS Gothic" w:hAnsi="Arial" w:cs="Arial"/>
                <w:color w:val="000000"/>
                <w:sz w:val="24"/>
                <w:szCs w:val="24"/>
              </w:rPr>
            </w:pPr>
            <w:proofErr w:type="spellStart"/>
            <w:r w:rsidRPr="00FA3F9C">
              <w:rPr>
                <w:rFonts w:ascii="Arial" w:eastAsia="MS Gothic" w:hAnsi="Arial" w:cs="Arial"/>
                <w:color w:val="000000"/>
                <w:sz w:val="24"/>
                <w:szCs w:val="24"/>
                <w:vertAlign w:val="superscript"/>
              </w:rPr>
              <w:t>c</w:t>
            </w:r>
            <w:r w:rsidRPr="00FA3F9C">
              <w:rPr>
                <w:rFonts w:ascii="Arial" w:eastAsia="MS Gothic" w:hAnsi="Arial" w:cs="Arial"/>
                <w:color w:val="000000"/>
                <w:sz w:val="24"/>
                <w:szCs w:val="24"/>
              </w:rPr>
              <w:t>Karyotype</w:t>
            </w:r>
            <w:proofErr w:type="spellEnd"/>
            <w:r w:rsidRPr="00FA3F9C">
              <w:rPr>
                <w:rFonts w:ascii="Arial" w:eastAsia="MS Gothic" w:hAnsi="Arial" w:cs="Arial"/>
                <w:color w:val="000000"/>
                <w:sz w:val="24"/>
                <w:szCs w:val="24"/>
              </w:rPr>
              <w:t xml:space="preserve">: </w:t>
            </w:r>
          </w:p>
          <w:p w14:paraId="7B793D49" w14:textId="77777777" w:rsidR="002641D2" w:rsidRPr="00FA3F9C" w:rsidRDefault="002641D2" w:rsidP="001A7F22">
            <w:pPr>
              <w:ind w:left="160"/>
              <w:rPr>
                <w:rFonts w:ascii="Arial" w:eastAsia="MS Gothic" w:hAnsi="Arial" w:cs="Arial"/>
                <w:color w:val="000000"/>
                <w:sz w:val="24"/>
                <w:szCs w:val="24"/>
              </w:rPr>
            </w:pPr>
            <w:r w:rsidRPr="00FA3F9C">
              <w:rPr>
                <w:rFonts w:ascii="Arial" w:eastAsia="MS Gothic" w:hAnsi="Arial" w:cs="Arial"/>
                <w:color w:val="000000"/>
                <w:sz w:val="24"/>
                <w:szCs w:val="24"/>
              </w:rPr>
              <w:t>-good=normal, -Y alone, del(5q) alone, del(20q) alone</w:t>
            </w:r>
          </w:p>
          <w:p w14:paraId="75311453" w14:textId="77777777" w:rsidR="002641D2" w:rsidRPr="00FA3F9C" w:rsidRDefault="002641D2" w:rsidP="001A7F22">
            <w:pPr>
              <w:ind w:left="160"/>
              <w:rPr>
                <w:rFonts w:ascii="Arial" w:eastAsia="MS Gothic" w:hAnsi="Arial" w:cs="Arial"/>
                <w:color w:val="000000"/>
                <w:sz w:val="24"/>
                <w:szCs w:val="24"/>
              </w:rPr>
            </w:pPr>
            <w:r w:rsidRPr="00FA3F9C">
              <w:rPr>
                <w:rFonts w:ascii="Arial" w:eastAsia="MS Gothic" w:hAnsi="Arial" w:cs="Arial"/>
                <w:color w:val="000000"/>
                <w:sz w:val="24"/>
                <w:szCs w:val="24"/>
              </w:rPr>
              <w:t>-intermediate=other abnormalities (including t(8;21), inv 16, t(15;17)</w:t>
            </w:r>
          </w:p>
          <w:p w14:paraId="76E5A943" w14:textId="77777777" w:rsidR="002641D2" w:rsidRPr="00FA3F9C" w:rsidRDefault="002641D2" w:rsidP="001A7F22">
            <w:pPr>
              <w:ind w:left="160"/>
              <w:rPr>
                <w:rFonts w:ascii="Arial" w:eastAsia="MS Gothic" w:hAnsi="Arial" w:cs="Arial"/>
                <w:color w:val="000000"/>
                <w:sz w:val="24"/>
                <w:szCs w:val="24"/>
              </w:rPr>
            </w:pPr>
            <w:r w:rsidRPr="00FA3F9C">
              <w:rPr>
                <w:rFonts w:ascii="Arial" w:eastAsia="MS Gothic" w:hAnsi="Arial" w:cs="Arial"/>
                <w:color w:val="000000"/>
                <w:sz w:val="24"/>
                <w:szCs w:val="24"/>
              </w:rPr>
              <w:t>-poor=complex (</w:t>
            </w:r>
            <w:r w:rsidRPr="00FA3F9C">
              <w:rPr>
                <w:rFonts w:ascii="Arial" w:eastAsia="MS Gothic" w:hAnsi="Arial" w:cs="Arial"/>
                <w:color w:val="000000"/>
                <w:sz w:val="24"/>
                <w:szCs w:val="24"/>
                <w:u w:val="single"/>
              </w:rPr>
              <w:t>&gt;</w:t>
            </w:r>
            <w:r w:rsidRPr="00FA3F9C">
              <w:rPr>
                <w:rFonts w:ascii="Arial" w:eastAsia="MS Gothic" w:hAnsi="Arial" w:cs="Arial"/>
                <w:color w:val="000000"/>
                <w:sz w:val="24"/>
                <w:szCs w:val="24"/>
              </w:rPr>
              <w:t>3 abnormalities) or chromosome 7 anomalies</w:t>
            </w:r>
          </w:p>
          <w:p w14:paraId="639B6BF2" w14:textId="77777777" w:rsidR="002641D2" w:rsidRPr="00FA3F9C" w:rsidRDefault="002641D2" w:rsidP="001A7F22">
            <w:pPr>
              <w:ind w:left="70"/>
              <w:rPr>
                <w:rFonts w:ascii="Arial" w:eastAsia="MS Gothic" w:hAnsi="Arial" w:cs="Arial"/>
                <w:color w:val="000000"/>
                <w:sz w:val="24"/>
                <w:szCs w:val="24"/>
              </w:rPr>
            </w:pPr>
            <w:proofErr w:type="spellStart"/>
            <w:r w:rsidRPr="00FA3F9C">
              <w:rPr>
                <w:rFonts w:ascii="Arial" w:eastAsia="MS Gothic" w:hAnsi="Arial" w:cs="Arial"/>
                <w:color w:val="000000"/>
                <w:sz w:val="24"/>
                <w:szCs w:val="24"/>
                <w:vertAlign w:val="superscript"/>
              </w:rPr>
              <w:t>d</w:t>
            </w:r>
            <w:r w:rsidRPr="00FA3F9C">
              <w:rPr>
                <w:rFonts w:ascii="Arial" w:eastAsia="MS Gothic" w:hAnsi="Arial" w:cs="Arial"/>
                <w:color w:val="000000"/>
                <w:sz w:val="24"/>
                <w:szCs w:val="24"/>
              </w:rPr>
              <w:t>Refers</w:t>
            </w:r>
            <w:proofErr w:type="spellEnd"/>
            <w:r w:rsidRPr="00FA3F9C">
              <w:rPr>
                <w:rFonts w:ascii="Arial" w:eastAsia="MS Gothic" w:hAnsi="Arial" w:cs="Arial"/>
                <w:color w:val="000000"/>
                <w:sz w:val="24"/>
                <w:szCs w:val="24"/>
              </w:rPr>
              <w:t xml:space="preserve"> to # of cell lines that are low: ANC &lt;1,800/</w:t>
            </w:r>
            <w:proofErr w:type="spellStart"/>
            <w:r w:rsidRPr="00FA3F9C">
              <w:rPr>
                <w:rFonts w:ascii="Arial" w:eastAsia="MS Gothic" w:hAnsi="Arial" w:cs="Arial"/>
                <w:color w:val="000000"/>
                <w:sz w:val="24"/>
                <w:szCs w:val="24"/>
              </w:rPr>
              <w:t>mcL</w:t>
            </w:r>
            <w:proofErr w:type="spellEnd"/>
            <w:r w:rsidRPr="00FA3F9C">
              <w:rPr>
                <w:rFonts w:ascii="Arial" w:eastAsia="MS Gothic" w:hAnsi="Arial" w:cs="Arial"/>
                <w:color w:val="000000"/>
                <w:sz w:val="24"/>
                <w:szCs w:val="24"/>
              </w:rPr>
              <w:t>, platelets &lt;100k/mcl, Hb &lt;10 g/dL</w:t>
            </w:r>
          </w:p>
          <w:p w14:paraId="5C88FF73" w14:textId="77777777" w:rsidR="002641D2" w:rsidRPr="00FA3F9C" w:rsidRDefault="002641D2" w:rsidP="001A7F22">
            <w:pPr>
              <w:rPr>
                <w:rFonts w:ascii="Arial" w:eastAsia="MS Gothic" w:hAnsi="Arial" w:cs="Arial"/>
                <w:color w:val="000000"/>
                <w:sz w:val="24"/>
                <w:szCs w:val="24"/>
              </w:rPr>
            </w:pPr>
            <w:r w:rsidRPr="00FA3F9C">
              <w:rPr>
                <w:rFonts w:ascii="Arial" w:hAnsi="Arial" w:cs="Arial"/>
                <w:noProof/>
                <w:sz w:val="24"/>
                <w:szCs w:val="24"/>
              </w:rPr>
              <w:drawing>
                <wp:inline distT="0" distB="0" distL="0" distR="0" wp14:anchorId="273F1E8F" wp14:editId="3B8413DD">
                  <wp:extent cx="2397760" cy="97155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3"/>
                          <a:srcRect l="11574" t="41475" r="77500" b="42786"/>
                          <a:stretch/>
                        </pic:blipFill>
                        <pic:spPr bwMode="auto">
                          <a:xfrm>
                            <a:off x="0" y="0"/>
                            <a:ext cx="2401621" cy="973114"/>
                          </a:xfrm>
                          <a:prstGeom prst="rect">
                            <a:avLst/>
                          </a:prstGeom>
                          <a:ln>
                            <a:noFill/>
                          </a:ln>
                          <a:extLst>
                            <a:ext uri="{53640926-AAD7-44D8-BBD7-CCE9431645EC}">
                              <a14:shadowObscured xmlns:a14="http://schemas.microsoft.com/office/drawing/2010/main"/>
                            </a:ext>
                          </a:extLst>
                        </pic:spPr>
                      </pic:pic>
                    </a:graphicData>
                  </a:graphic>
                </wp:inline>
              </w:drawing>
            </w:r>
          </w:p>
          <w:p w14:paraId="0EBCC522" w14:textId="77777777" w:rsidR="002641D2" w:rsidRPr="00FA3F9C" w:rsidRDefault="002641D2" w:rsidP="001A7F22">
            <w:pPr>
              <w:rPr>
                <w:rFonts w:ascii="Arial" w:eastAsia="MS Gothic" w:hAnsi="Arial" w:cs="Arial"/>
                <w:color w:val="000000"/>
                <w:sz w:val="24"/>
                <w:szCs w:val="24"/>
              </w:rPr>
            </w:pPr>
          </w:p>
          <w:p w14:paraId="7AE36178" w14:textId="77777777" w:rsidR="002641D2" w:rsidRPr="00FA3F9C" w:rsidRDefault="002641D2" w:rsidP="00AE4DB6">
            <w:pPr>
              <w:rPr>
                <w:rFonts w:ascii="Arial" w:eastAsia="MS Gothic" w:hAnsi="Arial" w:cs="Arial"/>
                <w:color w:val="000000"/>
                <w:sz w:val="24"/>
                <w:szCs w:val="24"/>
              </w:rPr>
            </w:pPr>
            <w:r w:rsidRPr="00FA3F9C">
              <w:rPr>
                <w:rFonts w:ascii="Arial" w:eastAsia="MS Gothic" w:hAnsi="Arial" w:cs="Arial"/>
                <w:color w:val="000000"/>
                <w:sz w:val="24"/>
                <w:szCs w:val="24"/>
              </w:rPr>
              <w:t>REFERENCES:</w:t>
            </w:r>
          </w:p>
          <w:p w14:paraId="001F3AAC" w14:textId="77777777" w:rsidR="002641D2" w:rsidRPr="00FA3F9C" w:rsidRDefault="002641D2" w:rsidP="002641D2">
            <w:pPr>
              <w:pStyle w:val="ListParagraph"/>
              <w:numPr>
                <w:ilvl w:val="0"/>
                <w:numId w:val="306"/>
              </w:numPr>
              <w:ind w:left="242" w:hanging="242"/>
              <w:rPr>
                <w:rFonts w:ascii="Arial" w:eastAsia="MS Gothic" w:hAnsi="Arial" w:cs="Arial"/>
                <w:color w:val="000000"/>
                <w:sz w:val="24"/>
                <w:szCs w:val="24"/>
              </w:rPr>
            </w:pPr>
            <w:proofErr w:type="spellStart"/>
            <w:r w:rsidRPr="00FA3F9C">
              <w:rPr>
                <w:rFonts w:ascii="Arial" w:eastAsia="MS Gothic" w:hAnsi="Arial" w:cs="Arial"/>
                <w:color w:val="000000"/>
                <w:sz w:val="24"/>
                <w:szCs w:val="24"/>
              </w:rPr>
              <w:t>Fenaux</w:t>
            </w:r>
            <w:proofErr w:type="spellEnd"/>
            <w:r w:rsidRPr="00FA3F9C">
              <w:rPr>
                <w:rFonts w:ascii="Arial" w:eastAsia="MS Gothic" w:hAnsi="Arial" w:cs="Arial"/>
                <w:color w:val="000000"/>
                <w:sz w:val="24"/>
                <w:szCs w:val="24"/>
              </w:rPr>
              <w:t xml:space="preserve"> et al. A randomized phase 3 study of lenalidomide versus placebo in RBC transfusion-dependent patients with Low-/Intermediate-1-risk myelodysplastic syndromes with del5q. Blood 2011 118:3765-3776. PMID 21753188 NCT00179621 </w:t>
            </w:r>
          </w:p>
          <w:p w14:paraId="491A988C" w14:textId="77777777" w:rsidR="002641D2" w:rsidRPr="00FA3F9C" w:rsidRDefault="002641D2" w:rsidP="002641D2">
            <w:pPr>
              <w:pStyle w:val="ListParagraph"/>
              <w:numPr>
                <w:ilvl w:val="0"/>
                <w:numId w:val="306"/>
              </w:numPr>
              <w:ind w:left="242" w:hanging="242"/>
              <w:rPr>
                <w:rFonts w:ascii="Arial" w:eastAsia="MS Gothic" w:hAnsi="Arial" w:cs="Arial"/>
                <w:color w:val="000000"/>
                <w:sz w:val="24"/>
                <w:szCs w:val="24"/>
              </w:rPr>
            </w:pPr>
            <w:r w:rsidRPr="00FA3F9C">
              <w:rPr>
                <w:rFonts w:ascii="Arial" w:eastAsia="MS Gothic" w:hAnsi="Arial" w:cs="Arial"/>
                <w:color w:val="000000"/>
                <w:sz w:val="24"/>
                <w:szCs w:val="24"/>
              </w:rPr>
              <w:t xml:space="preserve">Myelodysplastic Syndromes NCCN Guidelines Version 2.2019. Accessed at </w:t>
            </w:r>
            <w:hyperlink r:id="rId264" w:history="1">
              <w:r w:rsidRPr="00FA3F9C">
                <w:rPr>
                  <w:rStyle w:val="Hyperlink"/>
                  <w:rFonts w:ascii="Arial" w:hAnsi="Arial" w:cs="Arial"/>
                  <w:sz w:val="24"/>
                  <w:szCs w:val="24"/>
                </w:rPr>
                <w:t>https://www.nccn.org/professionals/physician_gls/pdf/mds.pdf</w:t>
              </w:r>
            </w:hyperlink>
            <w:r w:rsidRPr="00FA3F9C">
              <w:rPr>
                <w:rFonts w:ascii="Arial" w:hAnsi="Arial" w:cs="Arial"/>
                <w:sz w:val="24"/>
                <w:szCs w:val="24"/>
              </w:rPr>
              <w:t>. April 25, 2019.</w:t>
            </w:r>
          </w:p>
          <w:p w14:paraId="1C5B1851" w14:textId="77777777" w:rsidR="002641D2" w:rsidRPr="00FA3F9C" w:rsidRDefault="002641D2" w:rsidP="002641D2">
            <w:pPr>
              <w:pStyle w:val="ListParagraph"/>
              <w:numPr>
                <w:ilvl w:val="0"/>
                <w:numId w:val="306"/>
              </w:numPr>
              <w:ind w:left="242" w:hanging="242"/>
              <w:rPr>
                <w:rFonts w:ascii="Arial" w:eastAsia="MS Gothic" w:hAnsi="Arial" w:cs="Arial"/>
                <w:color w:val="000000"/>
                <w:sz w:val="24"/>
                <w:szCs w:val="24"/>
              </w:rPr>
            </w:pPr>
            <w:proofErr w:type="spellStart"/>
            <w:r w:rsidRPr="00FA3F9C">
              <w:rPr>
                <w:rFonts w:ascii="Arial" w:eastAsia="MS Gothic" w:hAnsi="Arial" w:cs="Arial"/>
                <w:color w:val="000000"/>
                <w:sz w:val="24"/>
                <w:szCs w:val="24"/>
              </w:rPr>
              <w:t>Fenaux</w:t>
            </w:r>
            <w:proofErr w:type="spellEnd"/>
            <w:r w:rsidRPr="00FA3F9C">
              <w:rPr>
                <w:rFonts w:ascii="Arial" w:eastAsia="MS Gothic" w:hAnsi="Arial" w:cs="Arial"/>
                <w:color w:val="000000"/>
                <w:sz w:val="24"/>
                <w:szCs w:val="24"/>
              </w:rPr>
              <w:t xml:space="preserve"> et al. </w:t>
            </w:r>
            <w:r w:rsidRPr="00FA3F9C">
              <w:rPr>
                <w:rFonts w:ascii="Arial" w:hAnsi="Arial" w:cs="Arial"/>
                <w:sz w:val="24"/>
                <w:szCs w:val="24"/>
              </w:rPr>
              <w:t xml:space="preserve">Myelodysplastic syndromes: ESMO Clinical Practice Guidelines for diagnosis, treatment and follow-up. Accessed at </w:t>
            </w:r>
            <w:hyperlink r:id="rId265" w:history="1">
              <w:r w:rsidRPr="00FA3F9C">
                <w:rPr>
                  <w:rStyle w:val="Hyperlink"/>
                  <w:rFonts w:ascii="Arial" w:hAnsi="Arial" w:cs="Arial"/>
                  <w:sz w:val="24"/>
                  <w:szCs w:val="24"/>
                </w:rPr>
                <w:t>https://www.esmo.org/Guidelines/Haematological-Malignancies/Myelodysplastic-Syndromes</w:t>
              </w:r>
            </w:hyperlink>
            <w:r w:rsidRPr="00FA3F9C">
              <w:rPr>
                <w:rFonts w:ascii="Arial" w:hAnsi="Arial" w:cs="Arial"/>
                <w:sz w:val="24"/>
                <w:szCs w:val="24"/>
              </w:rPr>
              <w:t>. April 25, 2019.</w:t>
            </w:r>
          </w:p>
          <w:p w14:paraId="6DC09B0A" w14:textId="77777777" w:rsidR="002641D2" w:rsidRPr="00FA3F9C" w:rsidRDefault="002641D2" w:rsidP="002641D2">
            <w:pPr>
              <w:pStyle w:val="ListParagraph"/>
              <w:numPr>
                <w:ilvl w:val="0"/>
                <w:numId w:val="306"/>
              </w:numPr>
              <w:ind w:left="242" w:hanging="242"/>
              <w:rPr>
                <w:rFonts w:ascii="Arial" w:eastAsia="MS Gothic" w:hAnsi="Arial" w:cs="Arial"/>
                <w:color w:val="000000"/>
                <w:sz w:val="24"/>
                <w:szCs w:val="24"/>
              </w:rPr>
            </w:pPr>
            <w:proofErr w:type="spellStart"/>
            <w:r w:rsidRPr="00FA3F9C">
              <w:rPr>
                <w:rFonts w:ascii="Arial" w:hAnsi="Arial" w:cs="Arial"/>
                <w:sz w:val="24"/>
                <w:szCs w:val="24"/>
              </w:rPr>
              <w:t>Platzbecker</w:t>
            </w:r>
            <w:proofErr w:type="spellEnd"/>
            <w:r w:rsidRPr="00FA3F9C">
              <w:rPr>
                <w:rFonts w:ascii="Arial" w:hAnsi="Arial" w:cs="Arial"/>
                <w:sz w:val="24"/>
                <w:szCs w:val="24"/>
              </w:rPr>
              <w:t xml:space="preserve"> U. Treatment of MDS. Blood 2019 133(10):1096-1107. PMID 30670446</w:t>
            </w:r>
          </w:p>
        </w:tc>
      </w:tr>
    </w:tbl>
    <w:p w14:paraId="156D4D89" w14:textId="77777777" w:rsidR="002641D2" w:rsidRPr="00FA3F9C" w:rsidRDefault="002641D2" w:rsidP="00A01D17">
      <w:pPr>
        <w:rPr>
          <w:rFonts w:ascii="Arial" w:hAnsi="Arial" w:cs="Arial"/>
          <w:b/>
          <w:sz w:val="24"/>
          <w:szCs w:val="24"/>
        </w:rPr>
      </w:pPr>
    </w:p>
    <w:tbl>
      <w:tblPr>
        <w:tblStyle w:val="TableGrid"/>
        <w:tblW w:w="0" w:type="auto"/>
        <w:tblLook w:val="04A0" w:firstRow="1" w:lastRow="0" w:firstColumn="1" w:lastColumn="0" w:noHBand="0" w:noVBand="1"/>
      </w:tblPr>
      <w:tblGrid>
        <w:gridCol w:w="10165"/>
      </w:tblGrid>
      <w:tr w:rsidR="002641D2" w:rsidRPr="00FA3F9C" w14:paraId="5E303410" w14:textId="77777777" w:rsidTr="009621F0">
        <w:tc>
          <w:tcPr>
            <w:tcW w:w="10165" w:type="dxa"/>
            <w:shd w:val="clear" w:color="auto" w:fill="000000" w:themeFill="text1"/>
          </w:tcPr>
          <w:p w14:paraId="1D443EF6" w14:textId="77777777" w:rsidR="002641D2" w:rsidRPr="00FA3F9C" w:rsidRDefault="002641D2" w:rsidP="008723B2">
            <w:pPr>
              <w:rPr>
                <w:rFonts w:ascii="Arial" w:hAnsi="Arial" w:cs="Arial"/>
                <w:sz w:val="24"/>
                <w:szCs w:val="24"/>
              </w:rPr>
            </w:pPr>
            <w:r w:rsidRPr="00FA3F9C">
              <w:rPr>
                <w:rFonts w:ascii="Arial" w:hAnsi="Arial" w:cs="Arial"/>
                <w:sz w:val="24"/>
                <w:szCs w:val="24"/>
              </w:rPr>
              <w:t>Previously Treated Follicular Lymphoma</w:t>
            </w:r>
          </w:p>
        </w:tc>
      </w:tr>
      <w:tr w:rsidR="002641D2" w:rsidRPr="00FA3F9C" w14:paraId="0CE145D4" w14:textId="77777777" w:rsidTr="009621F0">
        <w:tc>
          <w:tcPr>
            <w:tcW w:w="10165" w:type="dxa"/>
          </w:tcPr>
          <w:p w14:paraId="7A4A3BB3" w14:textId="77777777" w:rsidR="002641D2" w:rsidRPr="00FA3F9C" w:rsidRDefault="002641D2" w:rsidP="005F7DCF">
            <w:pPr>
              <w:rPr>
                <w:rFonts w:ascii="Arial" w:hAnsi="Arial" w:cs="Arial"/>
                <w:sz w:val="24"/>
                <w:szCs w:val="24"/>
              </w:rPr>
            </w:pPr>
            <w:r w:rsidRPr="00FA3F9C">
              <w:rPr>
                <w:rFonts w:ascii="Arial" w:hAnsi="Arial" w:cs="Arial"/>
                <w:sz w:val="24"/>
                <w:szCs w:val="24"/>
              </w:rPr>
              <w:t>1. Diagnosis of grade 1, 2, or 3a follicular lymphoma</w:t>
            </w:r>
          </w:p>
        </w:tc>
      </w:tr>
      <w:tr w:rsidR="002641D2" w:rsidRPr="00FA3F9C" w14:paraId="7ED2D6D1" w14:textId="77777777" w:rsidTr="009621F0">
        <w:tc>
          <w:tcPr>
            <w:tcW w:w="10165" w:type="dxa"/>
          </w:tcPr>
          <w:p w14:paraId="39409CF9" w14:textId="77777777" w:rsidR="002641D2" w:rsidRPr="00FA3F9C" w:rsidRDefault="002641D2" w:rsidP="005F7DCF">
            <w:pPr>
              <w:rPr>
                <w:rFonts w:ascii="Arial" w:hAnsi="Arial" w:cs="Arial"/>
                <w:sz w:val="24"/>
                <w:szCs w:val="24"/>
              </w:rPr>
            </w:pPr>
            <w:r w:rsidRPr="00FA3F9C">
              <w:rPr>
                <w:rFonts w:ascii="Arial" w:hAnsi="Arial" w:cs="Arial"/>
                <w:sz w:val="24"/>
                <w:szCs w:val="24"/>
              </w:rPr>
              <w:t>2. Patient has been treated with at least one prior systemic therapy</w:t>
            </w:r>
          </w:p>
        </w:tc>
      </w:tr>
      <w:tr w:rsidR="002641D2" w:rsidRPr="00FA3F9C" w14:paraId="7435CFDA" w14:textId="77777777" w:rsidTr="009621F0">
        <w:tc>
          <w:tcPr>
            <w:tcW w:w="10165" w:type="dxa"/>
          </w:tcPr>
          <w:p w14:paraId="7988125F" w14:textId="77777777" w:rsidR="002641D2" w:rsidRPr="00FA3F9C" w:rsidRDefault="002641D2" w:rsidP="00072038">
            <w:pPr>
              <w:rPr>
                <w:rFonts w:ascii="Arial" w:hAnsi="Arial" w:cs="Arial"/>
                <w:sz w:val="24"/>
                <w:szCs w:val="24"/>
              </w:rPr>
            </w:pPr>
            <w:r w:rsidRPr="00FA3F9C">
              <w:rPr>
                <w:rFonts w:ascii="Arial" w:hAnsi="Arial" w:cs="Arial"/>
                <w:sz w:val="24"/>
                <w:szCs w:val="24"/>
              </w:rPr>
              <w:t>3. Documented relapsed, refractory, or progressive disease after prior systemic therapy</w:t>
            </w:r>
          </w:p>
        </w:tc>
      </w:tr>
      <w:tr w:rsidR="002641D2" w:rsidRPr="00FA3F9C" w14:paraId="2ADD042A" w14:textId="77777777" w:rsidTr="009621F0">
        <w:tc>
          <w:tcPr>
            <w:tcW w:w="10165" w:type="dxa"/>
          </w:tcPr>
          <w:p w14:paraId="4F73DC73" w14:textId="77777777" w:rsidR="002641D2" w:rsidRPr="00FA3F9C" w:rsidRDefault="002641D2" w:rsidP="005F7DCF">
            <w:pPr>
              <w:rPr>
                <w:rFonts w:ascii="Arial" w:hAnsi="Arial" w:cs="Arial"/>
                <w:sz w:val="24"/>
                <w:szCs w:val="24"/>
              </w:rPr>
            </w:pPr>
            <w:r w:rsidRPr="00FA3F9C">
              <w:rPr>
                <w:rFonts w:ascii="Arial" w:hAnsi="Arial" w:cs="Arial"/>
                <w:sz w:val="24"/>
                <w:szCs w:val="24"/>
              </w:rPr>
              <w:t>4. Lenalidomide will be given concomitantly with rituximab.</w:t>
            </w:r>
          </w:p>
        </w:tc>
      </w:tr>
      <w:tr w:rsidR="002641D2" w:rsidRPr="00FA3F9C" w14:paraId="3E88AD1B" w14:textId="77777777" w:rsidTr="009621F0">
        <w:tc>
          <w:tcPr>
            <w:tcW w:w="10165" w:type="dxa"/>
            <w:shd w:val="clear" w:color="auto" w:fill="F2F2F2" w:themeFill="background1" w:themeFillShade="F2"/>
          </w:tcPr>
          <w:p w14:paraId="7BF597AB" w14:textId="77777777" w:rsidR="002641D2" w:rsidRPr="00FA3F9C" w:rsidRDefault="002641D2" w:rsidP="009621F0">
            <w:pPr>
              <w:rPr>
                <w:rFonts w:ascii="Arial" w:hAnsi="Arial" w:cs="Arial"/>
                <w:b/>
                <w:sz w:val="24"/>
                <w:szCs w:val="24"/>
              </w:rPr>
            </w:pPr>
            <w:r w:rsidRPr="00FA3F9C">
              <w:rPr>
                <w:rFonts w:ascii="Arial" w:hAnsi="Arial" w:cs="Arial"/>
                <w:b/>
                <w:sz w:val="24"/>
                <w:szCs w:val="24"/>
              </w:rPr>
              <w:lastRenderedPageBreak/>
              <w:t xml:space="preserve">If criteria fulfilled, approve for 12 months. **NOTE: maximum duration of therapy for this indication is 12 cycles (28 days/cycle). If 12 cycles were not completed in the initial </w:t>
            </w:r>
            <w:proofErr w:type="gramStart"/>
            <w:r w:rsidRPr="00FA3F9C">
              <w:rPr>
                <w:rFonts w:ascii="Arial" w:hAnsi="Arial" w:cs="Arial"/>
                <w:b/>
                <w:sz w:val="24"/>
                <w:szCs w:val="24"/>
              </w:rPr>
              <w:t>1 year</w:t>
            </w:r>
            <w:proofErr w:type="gramEnd"/>
            <w:r w:rsidRPr="00FA3F9C">
              <w:rPr>
                <w:rFonts w:ascii="Arial" w:hAnsi="Arial" w:cs="Arial"/>
                <w:b/>
                <w:sz w:val="24"/>
                <w:szCs w:val="24"/>
              </w:rPr>
              <w:t xml:space="preserve"> approval period, use judgment for whether a limited renewal should be approved.</w:t>
            </w:r>
          </w:p>
          <w:p w14:paraId="17C88837" w14:textId="77777777" w:rsidR="002641D2" w:rsidRPr="00FA3F9C" w:rsidRDefault="002641D2" w:rsidP="009621F0">
            <w:pPr>
              <w:rPr>
                <w:rFonts w:ascii="Arial" w:hAnsi="Arial" w:cs="Arial"/>
                <w:b/>
                <w:sz w:val="24"/>
                <w:szCs w:val="24"/>
              </w:rPr>
            </w:pPr>
            <w:r w:rsidRPr="00FA3F9C">
              <w:rPr>
                <w:rFonts w:ascii="Arial" w:hAnsi="Arial" w:cs="Arial"/>
                <w:b/>
                <w:sz w:val="24"/>
                <w:szCs w:val="24"/>
              </w:rPr>
              <w:t>QL: 21/28 days</w:t>
            </w:r>
          </w:p>
          <w:p w14:paraId="031E5AA9" w14:textId="77777777" w:rsidR="002641D2" w:rsidRPr="00FA3F9C" w:rsidRDefault="002641D2" w:rsidP="005F7DCF">
            <w:pPr>
              <w:rPr>
                <w:rFonts w:ascii="Arial" w:eastAsia="MS Gothic" w:hAnsi="Arial" w:cs="Arial"/>
                <w:color w:val="000000"/>
                <w:sz w:val="24"/>
                <w:szCs w:val="24"/>
              </w:rPr>
            </w:pPr>
            <w:r w:rsidRPr="00FA3F9C">
              <w:rPr>
                <w:rFonts w:ascii="Arial" w:eastAsia="MS Gothic" w:hAnsi="Arial" w:cs="Arial"/>
                <w:color w:val="000000"/>
                <w:sz w:val="24"/>
                <w:szCs w:val="24"/>
              </w:rPr>
              <w:t>Note: there is no follicular lymphoma indication that requires continuous dosing (</w:t>
            </w:r>
            <w:proofErr w:type="gramStart"/>
            <w:r w:rsidRPr="00FA3F9C">
              <w:rPr>
                <w:rFonts w:ascii="Arial" w:eastAsia="MS Gothic" w:hAnsi="Arial" w:cs="Arial"/>
                <w:color w:val="000000"/>
                <w:sz w:val="24"/>
                <w:szCs w:val="24"/>
              </w:rPr>
              <w:t>e.g.</w:t>
            </w:r>
            <w:proofErr w:type="gramEnd"/>
            <w:r w:rsidRPr="00FA3F9C">
              <w:rPr>
                <w:rFonts w:ascii="Arial" w:eastAsia="MS Gothic" w:hAnsi="Arial" w:cs="Arial"/>
                <w:color w:val="000000"/>
                <w:sz w:val="24"/>
                <w:szCs w:val="24"/>
              </w:rPr>
              <w:t xml:space="preserve"> 25 mg daily x 28 days). Do not approve continuous dosing.</w:t>
            </w:r>
          </w:p>
        </w:tc>
      </w:tr>
      <w:tr w:rsidR="002641D2" w:rsidRPr="00FA3F9C" w14:paraId="18C06436" w14:textId="77777777" w:rsidTr="009146B0">
        <w:trPr>
          <w:trHeight w:val="2789"/>
        </w:trPr>
        <w:tc>
          <w:tcPr>
            <w:tcW w:w="10165" w:type="dxa"/>
            <w:shd w:val="clear" w:color="auto" w:fill="D9D9D9" w:themeFill="background1" w:themeFillShade="D9"/>
          </w:tcPr>
          <w:p w14:paraId="1C65C8FE" w14:textId="77777777" w:rsidR="002641D2" w:rsidRPr="00FA3F9C" w:rsidRDefault="002641D2" w:rsidP="009621F0">
            <w:pPr>
              <w:rPr>
                <w:rFonts w:ascii="Arial" w:eastAsia="MS Gothic" w:hAnsi="Arial" w:cs="Arial"/>
                <w:color w:val="000000"/>
                <w:sz w:val="24"/>
                <w:szCs w:val="24"/>
              </w:rPr>
            </w:pPr>
            <w:r w:rsidRPr="00FA3F9C">
              <w:rPr>
                <w:rFonts w:ascii="Arial" w:eastAsia="MS Gothic" w:hAnsi="Arial" w:cs="Arial"/>
                <w:color w:val="000000"/>
                <w:sz w:val="24"/>
                <w:szCs w:val="24"/>
              </w:rPr>
              <w:t>Dose:</w:t>
            </w:r>
          </w:p>
          <w:p w14:paraId="07DC7D23" w14:textId="77777777" w:rsidR="002641D2" w:rsidRPr="00FA3F9C" w:rsidRDefault="002641D2" w:rsidP="009621F0">
            <w:pPr>
              <w:rPr>
                <w:rFonts w:ascii="Arial" w:eastAsia="MS Gothic" w:hAnsi="Arial" w:cs="Arial"/>
                <w:color w:val="000000"/>
                <w:sz w:val="24"/>
                <w:szCs w:val="24"/>
              </w:rPr>
            </w:pPr>
            <w:r w:rsidRPr="00FA3F9C">
              <w:rPr>
                <w:rFonts w:ascii="Arial" w:eastAsia="MS Gothic" w:hAnsi="Arial" w:cs="Arial"/>
                <w:color w:val="000000"/>
                <w:sz w:val="24"/>
                <w:szCs w:val="24"/>
              </w:rPr>
              <w:t>20 mg daily x 21 days, then take 7 days off (28-day cycle). Treatment is continued up to 12 cycles MAXIMUM. Dose may be adjusted or delayed due to toxicity.</w:t>
            </w:r>
          </w:p>
          <w:p w14:paraId="30B9586B" w14:textId="77777777" w:rsidR="002641D2" w:rsidRPr="00FA3F9C" w:rsidRDefault="002641D2" w:rsidP="009621F0">
            <w:pPr>
              <w:rPr>
                <w:rFonts w:ascii="Arial" w:eastAsia="MS Gothic" w:hAnsi="Arial" w:cs="Arial"/>
                <w:color w:val="000000"/>
                <w:sz w:val="24"/>
                <w:szCs w:val="24"/>
                <w:u w:val="single"/>
              </w:rPr>
            </w:pPr>
          </w:p>
          <w:p w14:paraId="5181DD42" w14:textId="77777777" w:rsidR="002641D2" w:rsidRPr="00FA3F9C" w:rsidRDefault="002641D2" w:rsidP="009621F0">
            <w:pPr>
              <w:rPr>
                <w:rFonts w:ascii="Arial" w:eastAsia="MS Gothic" w:hAnsi="Arial" w:cs="Arial"/>
                <w:color w:val="000000"/>
                <w:sz w:val="24"/>
                <w:szCs w:val="24"/>
                <w:u w:val="single"/>
              </w:rPr>
            </w:pPr>
            <w:r w:rsidRPr="00FA3F9C">
              <w:rPr>
                <w:rFonts w:ascii="Arial" w:eastAsia="MS Gothic" w:hAnsi="Arial" w:cs="Arial"/>
                <w:color w:val="000000"/>
                <w:sz w:val="24"/>
                <w:szCs w:val="24"/>
                <w:u w:val="single"/>
              </w:rPr>
              <w:t>Evidence:</w:t>
            </w:r>
          </w:p>
          <w:p w14:paraId="7E120563" w14:textId="77777777" w:rsidR="002641D2" w:rsidRPr="00FA3F9C" w:rsidRDefault="002641D2" w:rsidP="00072038">
            <w:pPr>
              <w:ind w:left="45"/>
              <w:rPr>
                <w:rFonts w:ascii="Arial" w:eastAsia="MS Gothic" w:hAnsi="Arial" w:cs="Arial"/>
                <w:color w:val="000000"/>
                <w:sz w:val="24"/>
                <w:szCs w:val="24"/>
              </w:rPr>
            </w:pPr>
            <w:r w:rsidRPr="00FA3F9C">
              <w:rPr>
                <w:rFonts w:ascii="Arial" w:eastAsia="MS Gothic" w:hAnsi="Arial" w:cs="Arial"/>
                <w:color w:val="000000"/>
                <w:sz w:val="24"/>
                <w:szCs w:val="24"/>
              </w:rPr>
              <w:t xml:space="preserve">The AUGMENT study enrolled patients with grade 1-3a follicular lymphoma and marginal zone lymphoma. Patients were required to have been treated with at least 1 prior therapy. </w:t>
            </w:r>
            <w:proofErr w:type="spellStart"/>
            <w:r w:rsidRPr="00FA3F9C">
              <w:rPr>
                <w:rFonts w:ascii="Arial" w:eastAsia="MS Gothic" w:hAnsi="Arial" w:cs="Arial"/>
                <w:color w:val="000000"/>
                <w:sz w:val="24"/>
                <w:szCs w:val="24"/>
              </w:rPr>
              <w:t>Lenalidomide+rituximab</w:t>
            </w:r>
            <w:proofErr w:type="spellEnd"/>
            <w:r w:rsidRPr="00FA3F9C">
              <w:rPr>
                <w:rFonts w:ascii="Arial" w:eastAsia="MS Gothic" w:hAnsi="Arial" w:cs="Arial"/>
                <w:color w:val="000000"/>
                <w:sz w:val="24"/>
                <w:szCs w:val="24"/>
              </w:rPr>
              <w:t xml:space="preserve"> was compared to </w:t>
            </w:r>
            <w:proofErr w:type="spellStart"/>
            <w:r w:rsidRPr="00FA3F9C">
              <w:rPr>
                <w:rFonts w:ascii="Arial" w:eastAsia="MS Gothic" w:hAnsi="Arial" w:cs="Arial"/>
                <w:color w:val="000000"/>
                <w:sz w:val="24"/>
                <w:szCs w:val="24"/>
              </w:rPr>
              <w:t>placebo+rituximab</w:t>
            </w:r>
            <w:proofErr w:type="spellEnd"/>
            <w:r w:rsidRPr="00FA3F9C">
              <w:rPr>
                <w:rFonts w:ascii="Arial" w:eastAsia="MS Gothic" w:hAnsi="Arial" w:cs="Arial"/>
                <w:color w:val="000000"/>
                <w:sz w:val="24"/>
                <w:szCs w:val="24"/>
              </w:rPr>
              <w:t xml:space="preserve">, and each regimen was given for 12 cycles only. Median f/u was 28.3 mo. In the follicular lymphoma subgroup, </w:t>
            </w:r>
            <w:proofErr w:type="spellStart"/>
            <w:r w:rsidRPr="00FA3F9C">
              <w:rPr>
                <w:rFonts w:ascii="Arial" w:eastAsia="MS Gothic" w:hAnsi="Arial" w:cs="Arial"/>
                <w:color w:val="000000"/>
                <w:sz w:val="24"/>
                <w:szCs w:val="24"/>
              </w:rPr>
              <w:t>len+ritux</w:t>
            </w:r>
            <w:proofErr w:type="spellEnd"/>
            <w:r w:rsidRPr="00FA3F9C">
              <w:rPr>
                <w:rFonts w:ascii="Arial" w:eastAsia="MS Gothic" w:hAnsi="Arial" w:cs="Arial"/>
                <w:color w:val="000000"/>
                <w:sz w:val="24"/>
                <w:szCs w:val="24"/>
              </w:rPr>
              <w:t xml:space="preserve"> improved progression free survival (median 39.4 vs 13.9 months, HR, 0.4; 95% CI 0.29 to 0.56). Overall survival was also improved (medians not reached, HR 0.45, 95% CI 0.22-0.92; rate of OS at 2 years: 95% vs 86%).</w:t>
            </w:r>
          </w:p>
          <w:p w14:paraId="1465B40F" w14:textId="77777777" w:rsidR="002641D2" w:rsidRPr="00FA3F9C" w:rsidRDefault="002641D2" w:rsidP="00072038">
            <w:pPr>
              <w:ind w:left="45"/>
              <w:rPr>
                <w:rFonts w:ascii="Arial" w:eastAsia="MS Gothic" w:hAnsi="Arial" w:cs="Arial"/>
                <w:color w:val="000000"/>
                <w:sz w:val="24"/>
                <w:szCs w:val="24"/>
              </w:rPr>
            </w:pPr>
          </w:p>
          <w:p w14:paraId="1CB95820" w14:textId="77777777" w:rsidR="002641D2" w:rsidRPr="00FA3F9C" w:rsidRDefault="002641D2" w:rsidP="00072038">
            <w:pPr>
              <w:ind w:left="45"/>
              <w:rPr>
                <w:rFonts w:ascii="Arial" w:eastAsia="MS Gothic" w:hAnsi="Arial" w:cs="Arial"/>
                <w:color w:val="000000"/>
                <w:sz w:val="24"/>
                <w:szCs w:val="24"/>
              </w:rPr>
            </w:pPr>
            <w:r w:rsidRPr="00FA3F9C">
              <w:rPr>
                <w:rFonts w:ascii="Arial" w:eastAsia="MS Gothic" w:hAnsi="Arial" w:cs="Arial"/>
                <w:color w:val="000000"/>
                <w:sz w:val="24"/>
                <w:szCs w:val="24"/>
              </w:rPr>
              <w:t>Reference:</w:t>
            </w:r>
          </w:p>
          <w:p w14:paraId="0D7691B4" w14:textId="77777777" w:rsidR="002641D2" w:rsidRPr="00FA3F9C" w:rsidRDefault="002641D2" w:rsidP="00072038">
            <w:pPr>
              <w:ind w:left="45"/>
              <w:rPr>
                <w:rFonts w:ascii="Arial" w:eastAsia="MS Gothic" w:hAnsi="Arial" w:cs="Arial"/>
                <w:color w:val="000000"/>
                <w:sz w:val="24"/>
                <w:szCs w:val="24"/>
              </w:rPr>
            </w:pPr>
            <w:r w:rsidRPr="00FA3F9C">
              <w:rPr>
                <w:rFonts w:ascii="Arial" w:eastAsia="MS Gothic" w:hAnsi="Arial" w:cs="Arial"/>
                <w:color w:val="000000"/>
                <w:sz w:val="24"/>
                <w:szCs w:val="24"/>
              </w:rPr>
              <w:t>Leonard JP et al. AUGMENT: A Phase III Study of Lenalidomide Plus Rituximab Versus Placebo Plus Rituximab in Relapsed or Refractory Indolent Lymphoma. J Clin Oncol. 2019 May 10;37(14):1188-1199. PMID 30897038</w:t>
            </w:r>
          </w:p>
        </w:tc>
      </w:tr>
    </w:tbl>
    <w:p w14:paraId="27D1197A" w14:textId="77777777" w:rsidR="002641D2" w:rsidRPr="00FA3F9C" w:rsidRDefault="002641D2" w:rsidP="0044642B">
      <w:pPr>
        <w:jc w:val="center"/>
        <w:rPr>
          <w:rFonts w:ascii="Arial" w:hAnsi="Arial" w:cs="Arial"/>
          <w:b/>
          <w:sz w:val="24"/>
          <w:szCs w:val="24"/>
        </w:rPr>
      </w:pPr>
    </w:p>
    <w:p w14:paraId="1BCB1718" w14:textId="77777777" w:rsidR="002641D2" w:rsidRPr="00FA3F9C" w:rsidRDefault="002641D2" w:rsidP="0044642B">
      <w:pPr>
        <w:jc w:val="center"/>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6384"/>
        <w:gridCol w:w="2700"/>
      </w:tblGrid>
      <w:tr w:rsidR="002641D2" w:rsidRPr="00FA3F9C" w14:paraId="5125C43D" w14:textId="77777777" w:rsidTr="00EC2318">
        <w:tc>
          <w:tcPr>
            <w:tcW w:w="1081" w:type="dxa"/>
          </w:tcPr>
          <w:p w14:paraId="5941A8EB" w14:textId="77777777" w:rsidR="002641D2" w:rsidRPr="00FA3F9C" w:rsidRDefault="002641D2" w:rsidP="000E79CF">
            <w:pPr>
              <w:rPr>
                <w:rFonts w:ascii="Arial" w:hAnsi="Arial" w:cs="Arial"/>
                <w:sz w:val="24"/>
                <w:szCs w:val="24"/>
              </w:rPr>
            </w:pPr>
            <w:r w:rsidRPr="00FA3F9C">
              <w:rPr>
                <w:rFonts w:ascii="Arial" w:hAnsi="Arial" w:cs="Arial"/>
                <w:sz w:val="24"/>
                <w:szCs w:val="24"/>
              </w:rPr>
              <w:t>Date</w:t>
            </w:r>
          </w:p>
        </w:tc>
        <w:tc>
          <w:tcPr>
            <w:tcW w:w="6384" w:type="dxa"/>
          </w:tcPr>
          <w:p w14:paraId="46FA17DC" w14:textId="77777777" w:rsidR="002641D2" w:rsidRPr="00FA3F9C" w:rsidRDefault="002641D2" w:rsidP="000E79CF">
            <w:pPr>
              <w:rPr>
                <w:rFonts w:ascii="Arial" w:hAnsi="Arial" w:cs="Arial"/>
                <w:sz w:val="24"/>
                <w:szCs w:val="24"/>
              </w:rPr>
            </w:pPr>
            <w:r w:rsidRPr="00FA3F9C">
              <w:rPr>
                <w:rFonts w:ascii="Arial" w:hAnsi="Arial" w:cs="Arial"/>
                <w:sz w:val="24"/>
                <w:szCs w:val="24"/>
              </w:rPr>
              <w:t>What changed?</w:t>
            </w:r>
          </w:p>
        </w:tc>
        <w:tc>
          <w:tcPr>
            <w:tcW w:w="2700" w:type="dxa"/>
          </w:tcPr>
          <w:p w14:paraId="0372409F" w14:textId="77777777" w:rsidR="002641D2" w:rsidRPr="00FA3F9C" w:rsidRDefault="002641D2" w:rsidP="000E79CF">
            <w:pPr>
              <w:rPr>
                <w:rFonts w:ascii="Arial" w:hAnsi="Arial" w:cs="Arial"/>
                <w:sz w:val="24"/>
                <w:szCs w:val="24"/>
              </w:rPr>
            </w:pPr>
            <w:r w:rsidRPr="00FA3F9C">
              <w:rPr>
                <w:rFonts w:ascii="Arial" w:hAnsi="Arial" w:cs="Arial"/>
                <w:sz w:val="24"/>
                <w:szCs w:val="24"/>
              </w:rPr>
              <w:t>Pharmacist’s initials</w:t>
            </w:r>
          </w:p>
        </w:tc>
      </w:tr>
      <w:tr w:rsidR="002641D2" w:rsidRPr="00FA3F9C" w14:paraId="4853DBBD" w14:textId="77777777" w:rsidTr="00EC2318">
        <w:tc>
          <w:tcPr>
            <w:tcW w:w="1081" w:type="dxa"/>
          </w:tcPr>
          <w:p w14:paraId="30E64602" w14:textId="77777777" w:rsidR="002641D2" w:rsidRPr="00FA3F9C" w:rsidRDefault="002641D2" w:rsidP="000E79CF">
            <w:pPr>
              <w:rPr>
                <w:rFonts w:ascii="Arial" w:hAnsi="Arial" w:cs="Arial"/>
                <w:sz w:val="24"/>
                <w:szCs w:val="24"/>
              </w:rPr>
            </w:pPr>
          </w:p>
        </w:tc>
        <w:tc>
          <w:tcPr>
            <w:tcW w:w="6384" w:type="dxa"/>
          </w:tcPr>
          <w:p w14:paraId="0D187925" w14:textId="77777777" w:rsidR="002641D2" w:rsidRPr="00FA3F9C" w:rsidRDefault="002641D2" w:rsidP="000E79CF">
            <w:pPr>
              <w:rPr>
                <w:rFonts w:ascii="Arial" w:hAnsi="Arial" w:cs="Arial"/>
                <w:sz w:val="24"/>
                <w:szCs w:val="24"/>
              </w:rPr>
            </w:pPr>
            <w:r w:rsidRPr="00FA3F9C">
              <w:rPr>
                <w:rFonts w:ascii="Arial" w:hAnsi="Arial" w:cs="Arial"/>
                <w:sz w:val="24"/>
                <w:szCs w:val="24"/>
              </w:rPr>
              <w:t>Criteria were established</w:t>
            </w:r>
          </w:p>
        </w:tc>
        <w:tc>
          <w:tcPr>
            <w:tcW w:w="2700" w:type="dxa"/>
          </w:tcPr>
          <w:p w14:paraId="7EEC3FAD" w14:textId="77777777" w:rsidR="002641D2" w:rsidRPr="00FA3F9C" w:rsidRDefault="002641D2" w:rsidP="000E79CF">
            <w:pPr>
              <w:rPr>
                <w:rFonts w:ascii="Arial" w:hAnsi="Arial" w:cs="Arial"/>
                <w:sz w:val="24"/>
                <w:szCs w:val="24"/>
              </w:rPr>
            </w:pPr>
            <w:r w:rsidRPr="00FA3F9C">
              <w:rPr>
                <w:rFonts w:ascii="Arial" w:hAnsi="Arial" w:cs="Arial"/>
                <w:sz w:val="24"/>
                <w:szCs w:val="24"/>
              </w:rPr>
              <w:t>CP</w:t>
            </w:r>
          </w:p>
        </w:tc>
      </w:tr>
      <w:tr w:rsidR="002641D2" w:rsidRPr="00FA3F9C" w14:paraId="32E5F214" w14:textId="77777777" w:rsidTr="00EC2318">
        <w:tc>
          <w:tcPr>
            <w:tcW w:w="1081" w:type="dxa"/>
          </w:tcPr>
          <w:p w14:paraId="5421C04B" w14:textId="77777777" w:rsidR="002641D2" w:rsidRPr="00FA3F9C" w:rsidRDefault="002641D2" w:rsidP="000E79CF">
            <w:pPr>
              <w:rPr>
                <w:rFonts w:ascii="Arial" w:hAnsi="Arial" w:cs="Arial"/>
                <w:sz w:val="24"/>
                <w:szCs w:val="24"/>
              </w:rPr>
            </w:pPr>
            <w:r w:rsidRPr="00FA3F9C">
              <w:rPr>
                <w:rFonts w:ascii="Arial" w:hAnsi="Arial" w:cs="Arial"/>
                <w:sz w:val="24"/>
                <w:szCs w:val="24"/>
              </w:rPr>
              <w:t>5/15/2012</w:t>
            </w:r>
          </w:p>
        </w:tc>
        <w:tc>
          <w:tcPr>
            <w:tcW w:w="6384" w:type="dxa"/>
          </w:tcPr>
          <w:p w14:paraId="2DDAE6E5" w14:textId="77777777" w:rsidR="002641D2" w:rsidRPr="00FA3F9C" w:rsidRDefault="002641D2" w:rsidP="000E79CF">
            <w:pPr>
              <w:rPr>
                <w:rFonts w:ascii="Arial" w:hAnsi="Arial" w:cs="Arial"/>
                <w:sz w:val="24"/>
                <w:szCs w:val="24"/>
              </w:rPr>
            </w:pPr>
            <w:r w:rsidRPr="00FA3F9C">
              <w:rPr>
                <w:rFonts w:ascii="Arial" w:hAnsi="Arial" w:cs="Arial"/>
                <w:sz w:val="24"/>
                <w:szCs w:val="24"/>
              </w:rPr>
              <w:t>Revision history added</w:t>
            </w:r>
          </w:p>
        </w:tc>
        <w:tc>
          <w:tcPr>
            <w:tcW w:w="2700" w:type="dxa"/>
          </w:tcPr>
          <w:p w14:paraId="41D8BD60" w14:textId="77777777" w:rsidR="002641D2" w:rsidRPr="00FA3F9C" w:rsidRDefault="002641D2" w:rsidP="000E79CF">
            <w:pPr>
              <w:rPr>
                <w:rFonts w:ascii="Arial" w:hAnsi="Arial" w:cs="Arial"/>
                <w:sz w:val="24"/>
                <w:szCs w:val="24"/>
              </w:rPr>
            </w:pPr>
            <w:r w:rsidRPr="00FA3F9C">
              <w:rPr>
                <w:rFonts w:ascii="Arial" w:hAnsi="Arial" w:cs="Arial"/>
                <w:sz w:val="24"/>
                <w:szCs w:val="24"/>
              </w:rPr>
              <w:t>JJ</w:t>
            </w:r>
          </w:p>
        </w:tc>
      </w:tr>
      <w:tr w:rsidR="002641D2" w:rsidRPr="00FA3F9C" w14:paraId="2D7C49FC" w14:textId="77777777" w:rsidTr="00EC2318">
        <w:tc>
          <w:tcPr>
            <w:tcW w:w="1081" w:type="dxa"/>
          </w:tcPr>
          <w:p w14:paraId="3A84B9D0" w14:textId="77777777" w:rsidR="002641D2" w:rsidRPr="00FA3F9C" w:rsidRDefault="002641D2" w:rsidP="000E79CF">
            <w:pPr>
              <w:rPr>
                <w:rFonts w:ascii="Arial" w:hAnsi="Arial" w:cs="Arial"/>
                <w:sz w:val="24"/>
                <w:szCs w:val="24"/>
              </w:rPr>
            </w:pPr>
            <w:r w:rsidRPr="00FA3F9C">
              <w:rPr>
                <w:rFonts w:ascii="Arial" w:hAnsi="Arial" w:cs="Arial"/>
                <w:sz w:val="24"/>
                <w:szCs w:val="24"/>
              </w:rPr>
              <w:lastRenderedPageBreak/>
              <w:t>9/11/13</w:t>
            </w:r>
          </w:p>
        </w:tc>
        <w:tc>
          <w:tcPr>
            <w:tcW w:w="6384" w:type="dxa"/>
          </w:tcPr>
          <w:p w14:paraId="10D94485" w14:textId="77777777" w:rsidR="002641D2" w:rsidRPr="00FA3F9C" w:rsidRDefault="002641D2" w:rsidP="000E79CF">
            <w:pPr>
              <w:rPr>
                <w:rFonts w:ascii="Arial" w:hAnsi="Arial" w:cs="Arial"/>
                <w:sz w:val="24"/>
                <w:szCs w:val="24"/>
              </w:rPr>
            </w:pPr>
            <w:r w:rsidRPr="00FA3F9C">
              <w:rPr>
                <w:rFonts w:ascii="Arial" w:hAnsi="Arial" w:cs="Arial"/>
                <w:sz w:val="24"/>
                <w:szCs w:val="24"/>
              </w:rPr>
              <w:t>Mantel cell lymphoma was not added as a covered type of cancer.  The dropout rate in the trial was 45%; they measured only overall and complete response rate in phase 1 &amp; 2 trials.  Need more data.  No OS or QOL data yet.</w:t>
            </w:r>
          </w:p>
        </w:tc>
        <w:tc>
          <w:tcPr>
            <w:tcW w:w="2700" w:type="dxa"/>
          </w:tcPr>
          <w:p w14:paraId="7A2661A1" w14:textId="77777777" w:rsidR="002641D2" w:rsidRPr="00FA3F9C" w:rsidRDefault="002641D2" w:rsidP="000E79CF">
            <w:pPr>
              <w:rPr>
                <w:rFonts w:ascii="Arial" w:hAnsi="Arial" w:cs="Arial"/>
                <w:sz w:val="24"/>
                <w:szCs w:val="24"/>
              </w:rPr>
            </w:pPr>
            <w:r w:rsidRPr="00FA3F9C">
              <w:rPr>
                <w:rFonts w:ascii="Arial" w:hAnsi="Arial" w:cs="Arial"/>
                <w:sz w:val="24"/>
                <w:szCs w:val="24"/>
              </w:rPr>
              <w:t>JJ</w:t>
            </w:r>
          </w:p>
        </w:tc>
      </w:tr>
      <w:tr w:rsidR="002641D2" w:rsidRPr="00FA3F9C" w14:paraId="23F1C13C" w14:textId="77777777" w:rsidTr="00EC2318">
        <w:tc>
          <w:tcPr>
            <w:tcW w:w="1081" w:type="dxa"/>
          </w:tcPr>
          <w:p w14:paraId="142F22FD" w14:textId="77777777" w:rsidR="002641D2" w:rsidRPr="00FA3F9C" w:rsidRDefault="002641D2" w:rsidP="000E79CF">
            <w:pPr>
              <w:rPr>
                <w:rFonts w:ascii="Arial" w:hAnsi="Arial" w:cs="Arial"/>
                <w:sz w:val="24"/>
                <w:szCs w:val="24"/>
              </w:rPr>
            </w:pPr>
            <w:r w:rsidRPr="00FA3F9C">
              <w:rPr>
                <w:rFonts w:ascii="Arial" w:hAnsi="Arial" w:cs="Arial"/>
                <w:sz w:val="24"/>
                <w:szCs w:val="24"/>
              </w:rPr>
              <w:t>5/20/19</w:t>
            </w:r>
          </w:p>
        </w:tc>
        <w:tc>
          <w:tcPr>
            <w:tcW w:w="6384" w:type="dxa"/>
          </w:tcPr>
          <w:p w14:paraId="6F5E0099" w14:textId="77777777" w:rsidR="002641D2" w:rsidRPr="00FA3F9C" w:rsidRDefault="002641D2" w:rsidP="000E79CF">
            <w:pPr>
              <w:rPr>
                <w:rFonts w:ascii="Arial" w:hAnsi="Arial" w:cs="Arial"/>
                <w:sz w:val="24"/>
                <w:szCs w:val="24"/>
              </w:rPr>
            </w:pPr>
            <w:r w:rsidRPr="00FA3F9C">
              <w:rPr>
                <w:rFonts w:ascii="Arial" w:hAnsi="Arial" w:cs="Arial"/>
                <w:sz w:val="24"/>
                <w:szCs w:val="24"/>
              </w:rPr>
              <w:t xml:space="preserve">Criteria reviewed. Revised criteria for multiple myeloma active treatment and maintenance. For MDS require EPO before Revlimid if patient has </w:t>
            </w:r>
            <w:proofErr w:type="spellStart"/>
            <w:r w:rsidRPr="00FA3F9C">
              <w:rPr>
                <w:rFonts w:ascii="Arial" w:hAnsi="Arial" w:cs="Arial"/>
                <w:sz w:val="24"/>
                <w:szCs w:val="24"/>
              </w:rPr>
              <w:t>epo</w:t>
            </w:r>
            <w:proofErr w:type="spellEnd"/>
            <w:r w:rsidRPr="00FA3F9C">
              <w:rPr>
                <w:rFonts w:ascii="Arial" w:hAnsi="Arial" w:cs="Arial"/>
                <w:sz w:val="24"/>
                <w:szCs w:val="24"/>
              </w:rPr>
              <w:t xml:space="preserve"> level &lt;500.</w:t>
            </w:r>
          </w:p>
        </w:tc>
        <w:tc>
          <w:tcPr>
            <w:tcW w:w="2700" w:type="dxa"/>
          </w:tcPr>
          <w:p w14:paraId="0449F2BC" w14:textId="77777777" w:rsidR="002641D2" w:rsidRPr="00FA3F9C" w:rsidRDefault="002641D2" w:rsidP="000E79CF">
            <w:pPr>
              <w:rPr>
                <w:rFonts w:ascii="Arial" w:hAnsi="Arial" w:cs="Arial"/>
                <w:sz w:val="24"/>
                <w:szCs w:val="24"/>
              </w:rPr>
            </w:pPr>
            <w:r w:rsidRPr="00FA3F9C">
              <w:rPr>
                <w:rFonts w:ascii="Arial" w:hAnsi="Arial" w:cs="Arial"/>
                <w:sz w:val="24"/>
                <w:szCs w:val="24"/>
              </w:rPr>
              <w:t>SK</w:t>
            </w:r>
          </w:p>
        </w:tc>
      </w:tr>
      <w:tr w:rsidR="002641D2" w:rsidRPr="00FA3F9C" w14:paraId="7908CB47" w14:textId="77777777" w:rsidTr="00EC2318">
        <w:tc>
          <w:tcPr>
            <w:tcW w:w="1081" w:type="dxa"/>
          </w:tcPr>
          <w:p w14:paraId="0C8ED159" w14:textId="77777777" w:rsidR="002641D2" w:rsidRPr="00FA3F9C" w:rsidRDefault="002641D2" w:rsidP="000E79CF">
            <w:pPr>
              <w:rPr>
                <w:rFonts w:ascii="Arial" w:hAnsi="Arial" w:cs="Arial"/>
                <w:sz w:val="24"/>
                <w:szCs w:val="24"/>
              </w:rPr>
            </w:pPr>
            <w:r w:rsidRPr="00FA3F9C">
              <w:rPr>
                <w:rFonts w:ascii="Arial" w:hAnsi="Arial" w:cs="Arial"/>
                <w:sz w:val="24"/>
                <w:szCs w:val="24"/>
              </w:rPr>
              <w:t>9/9/19</w:t>
            </w:r>
          </w:p>
        </w:tc>
        <w:tc>
          <w:tcPr>
            <w:tcW w:w="6384" w:type="dxa"/>
          </w:tcPr>
          <w:p w14:paraId="5E01FFCC" w14:textId="77777777" w:rsidR="002641D2" w:rsidRPr="00FA3F9C" w:rsidRDefault="002641D2" w:rsidP="008935C9">
            <w:pPr>
              <w:rPr>
                <w:rFonts w:ascii="Arial" w:hAnsi="Arial" w:cs="Arial"/>
                <w:sz w:val="24"/>
                <w:szCs w:val="24"/>
              </w:rPr>
            </w:pPr>
            <w:r w:rsidRPr="00FA3F9C">
              <w:rPr>
                <w:rFonts w:ascii="Arial" w:hAnsi="Arial" w:cs="Arial"/>
                <w:sz w:val="24"/>
                <w:szCs w:val="24"/>
              </w:rPr>
              <w:t>Reviewed newer follicular lymphoma indication at call center’s request. When lenalidomide is used in combination with rituximab, an improvement is seen in overall survival vs rituximab alone with a large difference in progression free survival. Will formally review at next P&amp;T meeting.</w:t>
            </w:r>
          </w:p>
        </w:tc>
        <w:tc>
          <w:tcPr>
            <w:tcW w:w="2700" w:type="dxa"/>
          </w:tcPr>
          <w:p w14:paraId="0DBF255B" w14:textId="77777777" w:rsidR="002641D2" w:rsidRPr="00FA3F9C" w:rsidRDefault="002641D2" w:rsidP="000E79CF">
            <w:pPr>
              <w:rPr>
                <w:rFonts w:ascii="Arial" w:hAnsi="Arial" w:cs="Arial"/>
                <w:sz w:val="24"/>
                <w:szCs w:val="24"/>
              </w:rPr>
            </w:pPr>
            <w:r w:rsidRPr="00FA3F9C">
              <w:rPr>
                <w:rFonts w:ascii="Arial" w:hAnsi="Arial" w:cs="Arial"/>
                <w:sz w:val="24"/>
                <w:szCs w:val="24"/>
              </w:rPr>
              <w:t>SK</w:t>
            </w:r>
          </w:p>
        </w:tc>
      </w:tr>
      <w:tr w:rsidR="002641D2" w:rsidRPr="00FA3F9C" w14:paraId="51D16525" w14:textId="77777777" w:rsidTr="00EC2318">
        <w:tc>
          <w:tcPr>
            <w:tcW w:w="1081" w:type="dxa"/>
          </w:tcPr>
          <w:p w14:paraId="616B5DF9" w14:textId="77777777" w:rsidR="002641D2" w:rsidRPr="00FA3F9C" w:rsidRDefault="002641D2" w:rsidP="000E79CF">
            <w:pPr>
              <w:rPr>
                <w:rFonts w:ascii="Arial" w:hAnsi="Arial" w:cs="Arial"/>
                <w:sz w:val="24"/>
                <w:szCs w:val="24"/>
              </w:rPr>
            </w:pPr>
            <w:r w:rsidRPr="00FA3F9C">
              <w:rPr>
                <w:rFonts w:ascii="Arial" w:hAnsi="Arial" w:cs="Arial"/>
                <w:sz w:val="24"/>
                <w:szCs w:val="24"/>
              </w:rPr>
              <w:t>9/23/19</w:t>
            </w:r>
          </w:p>
        </w:tc>
        <w:tc>
          <w:tcPr>
            <w:tcW w:w="6384" w:type="dxa"/>
          </w:tcPr>
          <w:p w14:paraId="6F010AF9" w14:textId="77777777" w:rsidR="002641D2" w:rsidRPr="00FA3F9C" w:rsidRDefault="002641D2" w:rsidP="008723B2">
            <w:pPr>
              <w:rPr>
                <w:rFonts w:ascii="Arial" w:hAnsi="Arial" w:cs="Arial"/>
                <w:sz w:val="24"/>
                <w:szCs w:val="24"/>
              </w:rPr>
            </w:pPr>
            <w:r w:rsidRPr="00FA3F9C">
              <w:rPr>
                <w:rFonts w:ascii="Arial" w:hAnsi="Arial" w:cs="Arial"/>
                <w:sz w:val="24"/>
                <w:szCs w:val="24"/>
              </w:rPr>
              <w:t>Reviewed all criteria. No further data have been released for mantle cell lymphoma diagnosis. Added criteria for follicular lymphoma. Marginal zone lymphoma will not be covered per 9/23/19 EBRx P&amp;T meeting. (</w:t>
            </w:r>
            <w:proofErr w:type="gramStart"/>
            <w:r w:rsidRPr="00FA3F9C">
              <w:rPr>
                <w:rFonts w:ascii="Arial" w:hAnsi="Arial" w:cs="Arial"/>
                <w:sz w:val="24"/>
                <w:szCs w:val="24"/>
              </w:rPr>
              <w:t>see</w:t>
            </w:r>
            <w:proofErr w:type="gramEnd"/>
            <w:r w:rsidRPr="00FA3F9C">
              <w:rPr>
                <w:rFonts w:ascii="Arial" w:hAnsi="Arial" w:cs="Arial"/>
                <w:sz w:val="24"/>
                <w:szCs w:val="24"/>
              </w:rPr>
              <w:t xml:space="preserve"> data above) </w:t>
            </w:r>
          </w:p>
        </w:tc>
        <w:tc>
          <w:tcPr>
            <w:tcW w:w="2700" w:type="dxa"/>
          </w:tcPr>
          <w:p w14:paraId="160ED36B" w14:textId="77777777" w:rsidR="002641D2" w:rsidRPr="00FA3F9C" w:rsidRDefault="002641D2" w:rsidP="000E79CF">
            <w:pPr>
              <w:rPr>
                <w:rFonts w:ascii="Arial" w:hAnsi="Arial" w:cs="Arial"/>
                <w:sz w:val="24"/>
                <w:szCs w:val="24"/>
              </w:rPr>
            </w:pPr>
            <w:r w:rsidRPr="00FA3F9C">
              <w:rPr>
                <w:rFonts w:ascii="Arial" w:hAnsi="Arial" w:cs="Arial"/>
                <w:sz w:val="24"/>
                <w:szCs w:val="24"/>
              </w:rPr>
              <w:t>SK</w:t>
            </w:r>
          </w:p>
        </w:tc>
      </w:tr>
      <w:tr w:rsidR="002641D2" w:rsidRPr="00FA3F9C" w14:paraId="39F36A37" w14:textId="77777777" w:rsidTr="00EC2318">
        <w:tc>
          <w:tcPr>
            <w:tcW w:w="1081" w:type="dxa"/>
          </w:tcPr>
          <w:p w14:paraId="69221BE6" w14:textId="77777777" w:rsidR="002641D2" w:rsidRPr="00FA3F9C" w:rsidRDefault="002641D2" w:rsidP="000E79CF">
            <w:pPr>
              <w:rPr>
                <w:rFonts w:ascii="Arial" w:hAnsi="Arial" w:cs="Arial"/>
                <w:sz w:val="24"/>
                <w:szCs w:val="24"/>
              </w:rPr>
            </w:pPr>
            <w:r w:rsidRPr="00FA3F9C">
              <w:rPr>
                <w:rFonts w:ascii="Arial" w:hAnsi="Arial" w:cs="Arial"/>
                <w:sz w:val="24"/>
                <w:szCs w:val="24"/>
              </w:rPr>
              <w:t>10/7/2020</w:t>
            </w:r>
          </w:p>
        </w:tc>
        <w:tc>
          <w:tcPr>
            <w:tcW w:w="6384" w:type="dxa"/>
          </w:tcPr>
          <w:p w14:paraId="5C953021" w14:textId="77777777" w:rsidR="002641D2" w:rsidRPr="00FA3F9C" w:rsidRDefault="002641D2" w:rsidP="008723B2">
            <w:pPr>
              <w:rPr>
                <w:rFonts w:ascii="Arial" w:hAnsi="Arial" w:cs="Arial"/>
                <w:sz w:val="24"/>
                <w:szCs w:val="24"/>
              </w:rPr>
            </w:pPr>
            <w:r w:rsidRPr="00FA3F9C">
              <w:rPr>
                <w:rFonts w:ascii="Arial" w:hAnsi="Arial" w:cs="Arial"/>
                <w:sz w:val="24"/>
                <w:szCs w:val="24"/>
              </w:rPr>
              <w:t xml:space="preserve">Added new indication for lymphoma in combination with </w:t>
            </w:r>
            <w:proofErr w:type="spellStart"/>
            <w:r w:rsidRPr="00FA3F9C">
              <w:rPr>
                <w:rFonts w:ascii="Arial" w:hAnsi="Arial" w:cs="Arial"/>
                <w:sz w:val="24"/>
                <w:szCs w:val="24"/>
              </w:rPr>
              <w:t>Monjuvi</w:t>
            </w:r>
            <w:proofErr w:type="spellEnd"/>
            <w:r w:rsidRPr="00FA3F9C">
              <w:rPr>
                <w:rFonts w:ascii="Arial" w:hAnsi="Arial" w:cs="Arial"/>
                <w:sz w:val="24"/>
                <w:szCs w:val="24"/>
              </w:rPr>
              <w:t xml:space="preserve"> (</w:t>
            </w:r>
            <w:proofErr w:type="spellStart"/>
            <w:r w:rsidRPr="00FA3F9C">
              <w:rPr>
                <w:rFonts w:ascii="Arial" w:hAnsi="Arial" w:cs="Arial"/>
                <w:sz w:val="24"/>
                <w:szCs w:val="24"/>
              </w:rPr>
              <w:t>tafasitamab</w:t>
            </w:r>
            <w:proofErr w:type="spellEnd"/>
            <w:r w:rsidRPr="00FA3F9C">
              <w:rPr>
                <w:rFonts w:ascii="Arial" w:hAnsi="Arial" w:cs="Arial"/>
                <w:sz w:val="24"/>
                <w:szCs w:val="24"/>
              </w:rPr>
              <w:t>). Not covered per 9/2020 P&amp;T review</w:t>
            </w:r>
          </w:p>
        </w:tc>
        <w:tc>
          <w:tcPr>
            <w:tcW w:w="2700" w:type="dxa"/>
          </w:tcPr>
          <w:p w14:paraId="62643934" w14:textId="77777777" w:rsidR="002641D2" w:rsidRPr="00FA3F9C" w:rsidRDefault="002641D2" w:rsidP="000E79CF">
            <w:pPr>
              <w:rPr>
                <w:rFonts w:ascii="Arial" w:hAnsi="Arial" w:cs="Arial"/>
                <w:sz w:val="24"/>
                <w:szCs w:val="24"/>
              </w:rPr>
            </w:pPr>
            <w:r w:rsidRPr="00FA3F9C">
              <w:rPr>
                <w:rFonts w:ascii="Arial" w:hAnsi="Arial" w:cs="Arial"/>
                <w:sz w:val="24"/>
                <w:szCs w:val="24"/>
              </w:rPr>
              <w:t>SK</w:t>
            </w:r>
          </w:p>
        </w:tc>
      </w:tr>
      <w:tr w:rsidR="002641D2" w:rsidRPr="00FA3F9C" w14:paraId="2833E28C" w14:textId="77777777" w:rsidTr="00EC2318">
        <w:tc>
          <w:tcPr>
            <w:tcW w:w="1081" w:type="dxa"/>
          </w:tcPr>
          <w:p w14:paraId="4A3E9027" w14:textId="77777777" w:rsidR="002641D2" w:rsidRPr="00FA3F9C" w:rsidRDefault="002641D2" w:rsidP="000E79CF">
            <w:pPr>
              <w:rPr>
                <w:rFonts w:ascii="Arial" w:hAnsi="Arial" w:cs="Arial"/>
                <w:sz w:val="24"/>
                <w:szCs w:val="24"/>
              </w:rPr>
            </w:pPr>
            <w:r w:rsidRPr="00FA3F9C">
              <w:rPr>
                <w:rFonts w:ascii="Arial" w:hAnsi="Arial" w:cs="Arial"/>
                <w:sz w:val="24"/>
                <w:szCs w:val="24"/>
              </w:rPr>
              <w:t>10/19/2020</w:t>
            </w:r>
          </w:p>
        </w:tc>
        <w:tc>
          <w:tcPr>
            <w:tcW w:w="6384" w:type="dxa"/>
          </w:tcPr>
          <w:p w14:paraId="5D2D0FA4" w14:textId="77777777" w:rsidR="002641D2" w:rsidRPr="00FA3F9C" w:rsidRDefault="002641D2" w:rsidP="008723B2">
            <w:pPr>
              <w:rPr>
                <w:rFonts w:ascii="Arial" w:hAnsi="Arial" w:cs="Arial"/>
                <w:sz w:val="24"/>
                <w:szCs w:val="24"/>
              </w:rPr>
            </w:pPr>
            <w:r w:rsidRPr="00FA3F9C">
              <w:rPr>
                <w:rFonts w:ascii="Arial" w:hAnsi="Arial" w:cs="Arial"/>
                <w:sz w:val="24"/>
                <w:szCs w:val="24"/>
              </w:rPr>
              <w:t>Criteria reviewed. No changes</w:t>
            </w:r>
          </w:p>
        </w:tc>
        <w:tc>
          <w:tcPr>
            <w:tcW w:w="2700" w:type="dxa"/>
          </w:tcPr>
          <w:p w14:paraId="24BE00DD" w14:textId="77777777" w:rsidR="002641D2" w:rsidRPr="00FA3F9C" w:rsidRDefault="002641D2" w:rsidP="000E79CF">
            <w:pPr>
              <w:rPr>
                <w:rFonts w:ascii="Arial" w:hAnsi="Arial" w:cs="Arial"/>
                <w:sz w:val="24"/>
                <w:szCs w:val="24"/>
              </w:rPr>
            </w:pPr>
            <w:r w:rsidRPr="00FA3F9C">
              <w:rPr>
                <w:rFonts w:ascii="Arial" w:hAnsi="Arial" w:cs="Arial"/>
                <w:sz w:val="24"/>
                <w:szCs w:val="24"/>
              </w:rPr>
              <w:t xml:space="preserve">SK </w:t>
            </w:r>
          </w:p>
        </w:tc>
      </w:tr>
      <w:tr w:rsidR="002641D2" w:rsidRPr="00FA3F9C" w14:paraId="7AA4768C" w14:textId="77777777" w:rsidTr="00EC2318">
        <w:tc>
          <w:tcPr>
            <w:tcW w:w="1081" w:type="dxa"/>
          </w:tcPr>
          <w:p w14:paraId="6986DA8A" w14:textId="77777777" w:rsidR="002641D2" w:rsidRPr="00FA3F9C" w:rsidRDefault="002641D2" w:rsidP="000E79CF">
            <w:pPr>
              <w:rPr>
                <w:rFonts w:ascii="Arial" w:hAnsi="Arial" w:cs="Arial"/>
                <w:sz w:val="24"/>
                <w:szCs w:val="24"/>
              </w:rPr>
            </w:pPr>
            <w:r w:rsidRPr="00FA3F9C">
              <w:rPr>
                <w:rFonts w:ascii="Arial" w:hAnsi="Arial" w:cs="Arial"/>
                <w:sz w:val="24"/>
                <w:szCs w:val="24"/>
              </w:rPr>
              <w:t>4/29/2022</w:t>
            </w:r>
          </w:p>
        </w:tc>
        <w:tc>
          <w:tcPr>
            <w:tcW w:w="6384" w:type="dxa"/>
          </w:tcPr>
          <w:p w14:paraId="757ADD7C" w14:textId="77777777" w:rsidR="002641D2" w:rsidRPr="00FA3F9C" w:rsidRDefault="002641D2" w:rsidP="008723B2">
            <w:pPr>
              <w:rPr>
                <w:rFonts w:ascii="Arial" w:hAnsi="Arial" w:cs="Arial"/>
                <w:sz w:val="24"/>
                <w:szCs w:val="24"/>
              </w:rPr>
            </w:pPr>
            <w:r w:rsidRPr="00FA3F9C">
              <w:rPr>
                <w:rFonts w:ascii="Arial" w:hAnsi="Arial" w:cs="Arial"/>
                <w:sz w:val="24"/>
                <w:szCs w:val="24"/>
              </w:rPr>
              <w:t xml:space="preserve">Criteria reviewed. No changes. Will review </w:t>
            </w:r>
            <w:proofErr w:type="spellStart"/>
            <w:r w:rsidRPr="00FA3F9C">
              <w:rPr>
                <w:rFonts w:ascii="Arial" w:hAnsi="Arial" w:cs="Arial"/>
                <w:sz w:val="24"/>
                <w:szCs w:val="24"/>
              </w:rPr>
              <w:t>tafasitamab</w:t>
            </w:r>
            <w:proofErr w:type="spellEnd"/>
            <w:r w:rsidRPr="00FA3F9C">
              <w:rPr>
                <w:rFonts w:ascii="Arial" w:hAnsi="Arial" w:cs="Arial"/>
                <w:sz w:val="24"/>
                <w:szCs w:val="24"/>
              </w:rPr>
              <w:t xml:space="preserve"> indication at next P&amp;T meeting</w:t>
            </w:r>
          </w:p>
        </w:tc>
        <w:tc>
          <w:tcPr>
            <w:tcW w:w="2700" w:type="dxa"/>
          </w:tcPr>
          <w:p w14:paraId="058FD9D5" w14:textId="77777777" w:rsidR="002641D2" w:rsidRPr="00FA3F9C" w:rsidRDefault="002641D2" w:rsidP="000E79CF">
            <w:pPr>
              <w:rPr>
                <w:rFonts w:ascii="Arial" w:hAnsi="Arial" w:cs="Arial"/>
                <w:sz w:val="24"/>
                <w:szCs w:val="24"/>
              </w:rPr>
            </w:pPr>
            <w:r w:rsidRPr="00FA3F9C">
              <w:rPr>
                <w:rFonts w:ascii="Arial" w:hAnsi="Arial" w:cs="Arial"/>
                <w:sz w:val="24"/>
                <w:szCs w:val="24"/>
              </w:rPr>
              <w:t>SK</w:t>
            </w:r>
          </w:p>
        </w:tc>
      </w:tr>
    </w:tbl>
    <w:p w14:paraId="1264E594" w14:textId="77777777" w:rsidR="002641D2" w:rsidRPr="00FA3F9C" w:rsidRDefault="002641D2" w:rsidP="009146B0">
      <w:pPr>
        <w:rPr>
          <w:rFonts w:ascii="Arial" w:hAnsi="Arial" w:cs="Arial"/>
          <w:sz w:val="24"/>
          <w:szCs w:val="24"/>
        </w:rPr>
      </w:pPr>
    </w:p>
    <w:p w14:paraId="778C370E" w14:textId="77777777" w:rsidR="002641D2" w:rsidRPr="00FA3F9C" w:rsidRDefault="002641D2" w:rsidP="002A1632">
      <w:pPr>
        <w:pStyle w:val="Heading2"/>
      </w:pPr>
      <w:bookmarkStart w:id="166" w:name="_Toc106369845"/>
      <w:r w:rsidRPr="00FA3F9C">
        <w:lastRenderedPageBreak/>
        <w:t>Lenvatinib (</w:t>
      </w:r>
      <w:proofErr w:type="spellStart"/>
      <w:r w:rsidRPr="00FA3F9C">
        <w:t>Lenvima</w:t>
      </w:r>
      <w:proofErr w:type="spellEnd"/>
      <w:r w:rsidRPr="00FA3F9C">
        <w:t>)</w:t>
      </w:r>
      <w:bookmarkEnd w:id="166"/>
    </w:p>
    <w:p w14:paraId="5928FAF6" w14:textId="77777777" w:rsidR="002641D2" w:rsidRPr="00FA3F9C" w:rsidRDefault="002641D2" w:rsidP="0006206A">
      <w:pPr>
        <w:spacing w:after="0" w:line="240" w:lineRule="auto"/>
        <w:jc w:val="center"/>
        <w:rPr>
          <w:rFonts w:ascii="Arial" w:hAnsi="Arial" w:cs="Arial"/>
          <w:sz w:val="24"/>
          <w:szCs w:val="24"/>
        </w:rPr>
      </w:pPr>
      <w:r w:rsidRPr="00FA3F9C">
        <w:rPr>
          <w:rFonts w:ascii="Arial" w:hAnsi="Arial" w:cs="Arial"/>
          <w:sz w:val="24"/>
          <w:szCs w:val="24"/>
        </w:rPr>
        <w:t xml:space="preserve">4mg, 10mg capsules </w:t>
      </w:r>
    </w:p>
    <w:p w14:paraId="14309858" w14:textId="77777777" w:rsidR="002641D2" w:rsidRPr="00FA3F9C" w:rsidRDefault="002641D2" w:rsidP="0006206A">
      <w:pPr>
        <w:spacing w:after="0" w:line="240" w:lineRule="auto"/>
        <w:jc w:val="center"/>
        <w:rPr>
          <w:rFonts w:ascii="Arial" w:hAnsi="Arial" w:cs="Arial"/>
          <w:sz w:val="24"/>
          <w:szCs w:val="24"/>
        </w:rPr>
      </w:pPr>
      <w:r w:rsidRPr="00FA3F9C">
        <w:rPr>
          <w:rFonts w:ascii="Arial" w:hAnsi="Arial" w:cs="Arial"/>
          <w:sz w:val="24"/>
          <w:szCs w:val="24"/>
        </w:rPr>
        <w:t>EBRx PA criteria</w:t>
      </w:r>
    </w:p>
    <w:p w14:paraId="27512DCE" w14:textId="77777777" w:rsidR="002641D2" w:rsidRPr="00FA3F9C" w:rsidRDefault="002641D2" w:rsidP="0006206A">
      <w:pPr>
        <w:spacing w:after="0" w:line="240" w:lineRule="auto"/>
        <w:jc w:val="center"/>
        <w:rPr>
          <w:rFonts w:ascii="Arial" w:hAnsi="Arial" w:cs="Arial"/>
          <w:sz w:val="24"/>
          <w:szCs w:val="24"/>
        </w:rPr>
      </w:pPr>
    </w:p>
    <w:p w14:paraId="7056F666" w14:textId="77777777" w:rsidR="002641D2" w:rsidRPr="00FA3F9C" w:rsidRDefault="002641D2" w:rsidP="0052674A">
      <w:pPr>
        <w:spacing w:after="0"/>
        <w:jc w:val="center"/>
        <w:rPr>
          <w:rFonts w:ascii="Arial" w:hAnsi="Arial" w:cs="Arial"/>
          <w:b/>
          <w:sz w:val="24"/>
          <w:szCs w:val="24"/>
        </w:rPr>
      </w:pPr>
    </w:p>
    <w:p w14:paraId="53379A98" w14:textId="77777777" w:rsidR="002641D2" w:rsidRPr="00FA3F9C" w:rsidRDefault="002641D2" w:rsidP="0052674A">
      <w:pPr>
        <w:spacing w:after="0"/>
        <w:rPr>
          <w:rFonts w:ascii="Arial" w:hAnsi="Arial" w:cs="Arial"/>
          <w:sz w:val="24"/>
          <w:szCs w:val="24"/>
          <w:u w:val="single"/>
        </w:rPr>
      </w:pPr>
      <w:r w:rsidRPr="00FA3F9C">
        <w:rPr>
          <w:rFonts w:ascii="Arial" w:hAnsi="Arial" w:cs="Arial"/>
          <w:b/>
          <w:sz w:val="24"/>
          <w:szCs w:val="24"/>
          <w:u w:val="single"/>
        </w:rPr>
        <w:t xml:space="preserve">FDA approved for: </w:t>
      </w:r>
    </w:p>
    <w:p w14:paraId="173296A8" w14:textId="77777777" w:rsidR="002641D2" w:rsidRPr="00FA3F9C" w:rsidRDefault="002641D2" w:rsidP="002641D2">
      <w:pPr>
        <w:pStyle w:val="ListParagraph"/>
        <w:numPr>
          <w:ilvl w:val="0"/>
          <w:numId w:val="309"/>
        </w:numPr>
        <w:spacing w:after="0" w:line="276" w:lineRule="auto"/>
        <w:ind w:left="270" w:hanging="180"/>
        <w:rPr>
          <w:rFonts w:ascii="Arial" w:hAnsi="Arial" w:cs="Arial"/>
          <w:sz w:val="24"/>
          <w:szCs w:val="24"/>
        </w:rPr>
      </w:pPr>
      <w:r w:rsidRPr="00FA3F9C">
        <w:rPr>
          <w:rFonts w:ascii="Arial" w:hAnsi="Arial" w:cs="Arial"/>
          <w:sz w:val="24"/>
          <w:szCs w:val="24"/>
        </w:rPr>
        <w:t xml:space="preserve">For the treatment of patients with locally recurrent or metastatic, progressive, radioactive iodine-refractory differentiated thyroid cancer (DTC) </w:t>
      </w:r>
      <w:r w:rsidRPr="00FA3F9C">
        <w:rPr>
          <w:rFonts w:ascii="Arial" w:hAnsi="Arial" w:cs="Arial"/>
          <w:sz w:val="24"/>
          <w:szCs w:val="24"/>
          <w:highlight w:val="cyan"/>
        </w:rPr>
        <w:t>Covered for age &gt;</w:t>
      </w:r>
      <w:proofErr w:type="gramStart"/>
      <w:r w:rsidRPr="00FA3F9C">
        <w:rPr>
          <w:rFonts w:ascii="Arial" w:hAnsi="Arial" w:cs="Arial"/>
          <w:sz w:val="24"/>
          <w:szCs w:val="24"/>
          <w:highlight w:val="cyan"/>
        </w:rPr>
        <w:t>65 year old</w:t>
      </w:r>
      <w:proofErr w:type="gramEnd"/>
      <w:r w:rsidRPr="00FA3F9C">
        <w:rPr>
          <w:rFonts w:ascii="Arial" w:hAnsi="Arial" w:cs="Arial"/>
          <w:sz w:val="24"/>
          <w:szCs w:val="24"/>
          <w:highlight w:val="cyan"/>
        </w:rPr>
        <w:t xml:space="preserve"> only</w:t>
      </w:r>
    </w:p>
    <w:p w14:paraId="0ACA71EB" w14:textId="77777777" w:rsidR="002641D2" w:rsidRPr="00FA3F9C" w:rsidRDefault="002641D2" w:rsidP="002641D2">
      <w:pPr>
        <w:pStyle w:val="ListParagraph"/>
        <w:numPr>
          <w:ilvl w:val="0"/>
          <w:numId w:val="309"/>
        </w:numPr>
        <w:spacing w:after="0" w:line="276" w:lineRule="auto"/>
        <w:ind w:left="270" w:hanging="180"/>
        <w:rPr>
          <w:rFonts w:ascii="Arial" w:hAnsi="Arial" w:cs="Arial"/>
          <w:sz w:val="24"/>
          <w:szCs w:val="24"/>
        </w:rPr>
      </w:pPr>
      <w:r w:rsidRPr="00FA3F9C">
        <w:rPr>
          <w:rFonts w:ascii="Arial" w:hAnsi="Arial" w:cs="Arial"/>
          <w:sz w:val="24"/>
          <w:szCs w:val="24"/>
        </w:rPr>
        <w:t>In combination with pembrolizumab, for the first line treatment of adult patients with advanced renal cell carcinoma (RCC)</w:t>
      </w:r>
    </w:p>
    <w:p w14:paraId="1380F168" w14:textId="77777777" w:rsidR="002641D2" w:rsidRPr="00FA3F9C" w:rsidRDefault="002641D2" w:rsidP="002641D2">
      <w:pPr>
        <w:pStyle w:val="ListParagraph"/>
        <w:numPr>
          <w:ilvl w:val="0"/>
          <w:numId w:val="309"/>
        </w:numPr>
        <w:spacing w:after="0" w:line="276" w:lineRule="auto"/>
        <w:ind w:left="270" w:hanging="180"/>
        <w:rPr>
          <w:rFonts w:ascii="Arial" w:hAnsi="Arial" w:cs="Arial"/>
          <w:sz w:val="24"/>
          <w:szCs w:val="24"/>
        </w:rPr>
      </w:pPr>
      <w:r w:rsidRPr="00FA3F9C">
        <w:rPr>
          <w:rFonts w:ascii="Arial" w:hAnsi="Arial" w:cs="Arial"/>
          <w:sz w:val="24"/>
          <w:szCs w:val="24"/>
        </w:rPr>
        <w:t xml:space="preserve">In combination with </w:t>
      </w:r>
      <w:proofErr w:type="spellStart"/>
      <w:r w:rsidRPr="00FA3F9C">
        <w:rPr>
          <w:rFonts w:ascii="Arial" w:hAnsi="Arial" w:cs="Arial"/>
          <w:sz w:val="24"/>
          <w:szCs w:val="24"/>
        </w:rPr>
        <w:t>everolimus</w:t>
      </w:r>
      <w:proofErr w:type="spellEnd"/>
      <w:r w:rsidRPr="00FA3F9C">
        <w:rPr>
          <w:rFonts w:ascii="Arial" w:hAnsi="Arial" w:cs="Arial"/>
          <w:sz w:val="24"/>
          <w:szCs w:val="24"/>
        </w:rPr>
        <w:t>, for the treatment of patients with advanced renal cell carcinoma (RCC) following one prior antiangiogenic therapy</w:t>
      </w:r>
    </w:p>
    <w:p w14:paraId="54B9DCA0" w14:textId="77777777" w:rsidR="002641D2" w:rsidRPr="00FA3F9C" w:rsidRDefault="002641D2" w:rsidP="002641D2">
      <w:pPr>
        <w:pStyle w:val="ListParagraph"/>
        <w:numPr>
          <w:ilvl w:val="0"/>
          <w:numId w:val="309"/>
        </w:numPr>
        <w:spacing w:after="0" w:line="276" w:lineRule="auto"/>
        <w:ind w:left="270" w:hanging="180"/>
        <w:rPr>
          <w:rFonts w:ascii="Arial" w:hAnsi="Arial" w:cs="Arial"/>
          <w:sz w:val="24"/>
          <w:szCs w:val="24"/>
        </w:rPr>
      </w:pPr>
      <w:r w:rsidRPr="00FA3F9C">
        <w:rPr>
          <w:rFonts w:ascii="Arial" w:hAnsi="Arial" w:cs="Arial"/>
          <w:sz w:val="24"/>
          <w:szCs w:val="24"/>
        </w:rPr>
        <w:t>First-line treatment of unresectable hepatocellular carcinoma</w:t>
      </w:r>
    </w:p>
    <w:p w14:paraId="7951C8A7" w14:textId="77777777" w:rsidR="002641D2" w:rsidRPr="00FA3F9C" w:rsidRDefault="002641D2" w:rsidP="002641D2">
      <w:pPr>
        <w:pStyle w:val="ListParagraph"/>
        <w:numPr>
          <w:ilvl w:val="0"/>
          <w:numId w:val="309"/>
        </w:numPr>
        <w:spacing w:after="0" w:line="276" w:lineRule="auto"/>
        <w:ind w:left="270" w:hanging="180"/>
        <w:rPr>
          <w:rFonts w:ascii="Arial" w:hAnsi="Arial" w:cs="Arial"/>
          <w:sz w:val="24"/>
          <w:szCs w:val="24"/>
        </w:rPr>
      </w:pPr>
      <w:r w:rsidRPr="00FA3F9C">
        <w:rPr>
          <w:rFonts w:ascii="Arial" w:hAnsi="Arial" w:cs="Arial"/>
          <w:sz w:val="24"/>
          <w:szCs w:val="24"/>
        </w:rPr>
        <w:t>In combination with pembrolizumab, for the treatment of patients with advanced endometrial carcinoma that is not microsatellite instability-high (MSI-H) or mismatch repair deficient (</w:t>
      </w:r>
      <w:proofErr w:type="spellStart"/>
      <w:r w:rsidRPr="00FA3F9C">
        <w:rPr>
          <w:rFonts w:ascii="Arial" w:hAnsi="Arial" w:cs="Arial"/>
          <w:sz w:val="24"/>
          <w:szCs w:val="24"/>
        </w:rPr>
        <w:t>dMMR</w:t>
      </w:r>
      <w:proofErr w:type="spellEnd"/>
      <w:r w:rsidRPr="00FA3F9C">
        <w:rPr>
          <w:rFonts w:ascii="Arial" w:hAnsi="Arial" w:cs="Arial"/>
          <w:sz w:val="24"/>
          <w:szCs w:val="24"/>
        </w:rPr>
        <w:t>), who have disease progression following prior systemic therapy and are not candidates for curative surgery or radiation</w:t>
      </w:r>
    </w:p>
    <w:p w14:paraId="518BA966" w14:textId="77777777" w:rsidR="002641D2" w:rsidRPr="00FA3F9C" w:rsidRDefault="002641D2" w:rsidP="0006206A">
      <w:pPr>
        <w:pStyle w:val="ListParagraph"/>
        <w:spacing w:after="0"/>
        <w:ind w:left="270"/>
        <w:rPr>
          <w:rFonts w:ascii="Arial" w:hAnsi="Arial" w:cs="Arial"/>
          <w:sz w:val="24"/>
          <w:szCs w:val="24"/>
        </w:rPr>
      </w:pPr>
    </w:p>
    <w:tbl>
      <w:tblPr>
        <w:tblStyle w:val="TableGrid"/>
        <w:tblW w:w="0" w:type="auto"/>
        <w:tblLook w:val="04A0" w:firstRow="1" w:lastRow="0" w:firstColumn="1" w:lastColumn="0" w:noHBand="0" w:noVBand="1"/>
      </w:tblPr>
      <w:tblGrid>
        <w:gridCol w:w="10818"/>
      </w:tblGrid>
      <w:tr w:rsidR="002641D2" w:rsidRPr="00FA3F9C" w14:paraId="5DEE0AAF" w14:textId="77777777" w:rsidTr="007C2C65">
        <w:tc>
          <w:tcPr>
            <w:tcW w:w="10818" w:type="dxa"/>
            <w:shd w:val="clear" w:color="auto" w:fill="000000"/>
          </w:tcPr>
          <w:p w14:paraId="75EE9C45" w14:textId="77777777" w:rsidR="002641D2" w:rsidRPr="00FA3F9C" w:rsidRDefault="002641D2" w:rsidP="007C2C65">
            <w:pPr>
              <w:rPr>
                <w:rFonts w:ascii="Arial" w:hAnsi="Arial" w:cs="Arial"/>
                <w:b/>
                <w:sz w:val="24"/>
                <w:szCs w:val="24"/>
              </w:rPr>
            </w:pPr>
            <w:r w:rsidRPr="00FA3F9C">
              <w:rPr>
                <w:rFonts w:ascii="Arial" w:hAnsi="Arial" w:cs="Arial"/>
                <w:b/>
                <w:sz w:val="24"/>
                <w:szCs w:val="24"/>
              </w:rPr>
              <w:t>Differentiated Thyroid Cancer</w:t>
            </w:r>
          </w:p>
        </w:tc>
      </w:tr>
      <w:tr w:rsidR="002641D2" w:rsidRPr="00FA3F9C" w14:paraId="3CDAC1F8" w14:textId="77777777" w:rsidTr="007C2C65">
        <w:tc>
          <w:tcPr>
            <w:tcW w:w="10818" w:type="dxa"/>
          </w:tcPr>
          <w:p w14:paraId="101CD317" w14:textId="77777777" w:rsidR="002641D2" w:rsidRPr="00FA3F9C" w:rsidRDefault="002641D2" w:rsidP="007C2C65">
            <w:pPr>
              <w:rPr>
                <w:rFonts w:ascii="Arial" w:hAnsi="Arial" w:cs="Arial"/>
                <w:sz w:val="24"/>
                <w:szCs w:val="24"/>
              </w:rPr>
            </w:pPr>
            <w:r w:rsidRPr="00FA3F9C">
              <w:rPr>
                <w:rFonts w:ascii="Arial" w:hAnsi="Arial" w:cs="Arial"/>
                <w:sz w:val="24"/>
                <w:szCs w:val="24"/>
              </w:rPr>
              <w:t xml:space="preserve">1. The patient has a diagnosis of differentiated thyroid cancer (such as papillary, poorly differentiated, follicular, </w:t>
            </w:r>
            <w:proofErr w:type="spellStart"/>
            <w:r w:rsidRPr="00FA3F9C">
              <w:rPr>
                <w:rFonts w:ascii="Arial" w:hAnsi="Arial" w:cs="Arial"/>
                <w:sz w:val="24"/>
                <w:szCs w:val="24"/>
              </w:rPr>
              <w:t>Hurthle</w:t>
            </w:r>
            <w:proofErr w:type="spellEnd"/>
            <w:r w:rsidRPr="00FA3F9C">
              <w:rPr>
                <w:rFonts w:ascii="Arial" w:hAnsi="Arial" w:cs="Arial"/>
                <w:sz w:val="24"/>
                <w:szCs w:val="24"/>
              </w:rPr>
              <w:t xml:space="preserve"> cell).   [anaplastic and medullary thyroid cancers are not covered]</w:t>
            </w:r>
          </w:p>
        </w:tc>
      </w:tr>
      <w:tr w:rsidR="002641D2" w:rsidRPr="00FA3F9C" w14:paraId="2CE1A6F8" w14:textId="77777777" w:rsidTr="007C2C65">
        <w:tc>
          <w:tcPr>
            <w:tcW w:w="10818" w:type="dxa"/>
          </w:tcPr>
          <w:p w14:paraId="2F500BCE" w14:textId="77777777" w:rsidR="002641D2" w:rsidRPr="00FA3F9C" w:rsidRDefault="002641D2" w:rsidP="007C2C65">
            <w:pPr>
              <w:rPr>
                <w:rFonts w:ascii="Arial" w:hAnsi="Arial" w:cs="Arial"/>
                <w:sz w:val="24"/>
                <w:szCs w:val="24"/>
              </w:rPr>
            </w:pPr>
            <w:r w:rsidRPr="00FA3F9C">
              <w:rPr>
                <w:rFonts w:ascii="Arial" w:hAnsi="Arial" w:cs="Arial"/>
                <w:sz w:val="24"/>
                <w:szCs w:val="24"/>
              </w:rPr>
              <w:t>2. Thyroid cancer is progressing</w:t>
            </w:r>
          </w:p>
        </w:tc>
      </w:tr>
      <w:tr w:rsidR="002641D2" w:rsidRPr="00FA3F9C" w14:paraId="13653F17" w14:textId="77777777" w:rsidTr="007C2C65">
        <w:tc>
          <w:tcPr>
            <w:tcW w:w="10818" w:type="dxa"/>
          </w:tcPr>
          <w:p w14:paraId="67CF365B" w14:textId="77777777" w:rsidR="002641D2" w:rsidRPr="00FA3F9C" w:rsidRDefault="002641D2" w:rsidP="007C2C65">
            <w:pPr>
              <w:rPr>
                <w:rFonts w:ascii="Arial" w:hAnsi="Arial" w:cs="Arial"/>
                <w:sz w:val="24"/>
                <w:szCs w:val="24"/>
              </w:rPr>
            </w:pPr>
            <w:r w:rsidRPr="00FA3F9C">
              <w:rPr>
                <w:rFonts w:ascii="Arial" w:hAnsi="Arial" w:cs="Arial"/>
                <w:sz w:val="24"/>
                <w:szCs w:val="24"/>
              </w:rPr>
              <w:t>3. Thyroid cancer is radioactive iodine refractory or resistant</w:t>
            </w:r>
          </w:p>
        </w:tc>
      </w:tr>
      <w:tr w:rsidR="002641D2" w:rsidRPr="00FA3F9C" w14:paraId="538642A6" w14:textId="77777777" w:rsidTr="007C2C65">
        <w:tc>
          <w:tcPr>
            <w:tcW w:w="10818" w:type="dxa"/>
          </w:tcPr>
          <w:p w14:paraId="2E321CC3" w14:textId="77777777" w:rsidR="002641D2" w:rsidRPr="00FA3F9C" w:rsidRDefault="002641D2" w:rsidP="007C2C65">
            <w:pPr>
              <w:rPr>
                <w:rFonts w:ascii="Arial" w:hAnsi="Arial" w:cs="Arial"/>
                <w:sz w:val="24"/>
                <w:szCs w:val="24"/>
              </w:rPr>
            </w:pPr>
            <w:r w:rsidRPr="00FA3F9C">
              <w:rPr>
                <w:rFonts w:ascii="Arial" w:hAnsi="Arial" w:cs="Arial"/>
                <w:sz w:val="24"/>
                <w:szCs w:val="24"/>
              </w:rPr>
              <w:t>4. The patient is &gt;65 years old</w:t>
            </w:r>
          </w:p>
        </w:tc>
      </w:tr>
      <w:tr w:rsidR="002641D2" w:rsidRPr="00FA3F9C" w14:paraId="04E825B3" w14:textId="77777777" w:rsidTr="007C2C65">
        <w:tc>
          <w:tcPr>
            <w:tcW w:w="10818" w:type="dxa"/>
          </w:tcPr>
          <w:p w14:paraId="60B7C407" w14:textId="77777777" w:rsidR="002641D2" w:rsidRPr="00FA3F9C" w:rsidRDefault="002641D2" w:rsidP="007C2C65">
            <w:pPr>
              <w:rPr>
                <w:rFonts w:ascii="Arial" w:hAnsi="Arial" w:cs="Arial"/>
                <w:sz w:val="24"/>
                <w:szCs w:val="24"/>
              </w:rPr>
            </w:pPr>
            <w:r w:rsidRPr="00FA3F9C">
              <w:rPr>
                <w:rFonts w:ascii="Arial" w:hAnsi="Arial" w:cs="Arial"/>
                <w:sz w:val="24"/>
                <w:szCs w:val="24"/>
              </w:rPr>
              <w:t>5. Lenvatinib will be used as single agent</w:t>
            </w:r>
          </w:p>
        </w:tc>
      </w:tr>
      <w:tr w:rsidR="002641D2" w:rsidRPr="00FA3F9C" w14:paraId="30321350" w14:textId="77777777" w:rsidTr="007C2C65">
        <w:tc>
          <w:tcPr>
            <w:tcW w:w="10818" w:type="dxa"/>
          </w:tcPr>
          <w:p w14:paraId="58FAFFBE" w14:textId="77777777" w:rsidR="002641D2" w:rsidRPr="00FA3F9C" w:rsidRDefault="002641D2" w:rsidP="007C2C65">
            <w:pPr>
              <w:rPr>
                <w:rFonts w:ascii="Arial" w:hAnsi="Arial" w:cs="Arial"/>
                <w:i/>
                <w:sz w:val="24"/>
                <w:szCs w:val="24"/>
              </w:rPr>
            </w:pPr>
            <w:r w:rsidRPr="00FA3F9C">
              <w:rPr>
                <w:rFonts w:ascii="Arial" w:hAnsi="Arial" w:cs="Arial"/>
                <w:sz w:val="24"/>
                <w:szCs w:val="24"/>
              </w:rPr>
              <w:t>6. The patient has adequately controlled blood pressure (&lt;150/90)</w:t>
            </w:r>
          </w:p>
        </w:tc>
      </w:tr>
      <w:tr w:rsidR="002641D2" w:rsidRPr="00FA3F9C" w14:paraId="1A8E4F6D" w14:textId="77777777" w:rsidTr="007C2C65">
        <w:tc>
          <w:tcPr>
            <w:tcW w:w="10818" w:type="dxa"/>
            <w:shd w:val="clear" w:color="auto" w:fill="F2F2F2" w:themeFill="background1" w:themeFillShade="F2"/>
          </w:tcPr>
          <w:p w14:paraId="0C1B9E23" w14:textId="77777777" w:rsidR="002641D2" w:rsidRPr="00FA3F9C" w:rsidRDefault="002641D2" w:rsidP="007C2C65">
            <w:pPr>
              <w:rPr>
                <w:rFonts w:ascii="Arial" w:hAnsi="Arial" w:cs="Arial"/>
                <w:sz w:val="24"/>
                <w:szCs w:val="24"/>
              </w:rPr>
            </w:pPr>
            <w:r w:rsidRPr="00FA3F9C">
              <w:rPr>
                <w:rFonts w:ascii="Arial" w:hAnsi="Arial" w:cs="Arial"/>
                <w:b/>
                <w:sz w:val="24"/>
                <w:szCs w:val="24"/>
              </w:rPr>
              <w:t>If all criteria are met, approve for 12 months.</w:t>
            </w:r>
          </w:p>
        </w:tc>
      </w:tr>
      <w:tr w:rsidR="002641D2" w:rsidRPr="00FA3F9C" w14:paraId="1E6308FB" w14:textId="77777777" w:rsidTr="007C2C65">
        <w:trPr>
          <w:trHeight w:val="278"/>
        </w:trPr>
        <w:tc>
          <w:tcPr>
            <w:tcW w:w="10818" w:type="dxa"/>
            <w:shd w:val="clear" w:color="auto" w:fill="D9D9D9" w:themeFill="background1" w:themeFillShade="D9"/>
          </w:tcPr>
          <w:p w14:paraId="6089D09A" w14:textId="77777777" w:rsidR="002641D2" w:rsidRPr="00FA3F9C" w:rsidRDefault="002641D2" w:rsidP="007C2C65">
            <w:pPr>
              <w:rPr>
                <w:rFonts w:ascii="Arial" w:hAnsi="Arial" w:cs="Arial"/>
                <w:b/>
                <w:sz w:val="24"/>
                <w:szCs w:val="24"/>
              </w:rPr>
            </w:pPr>
            <w:r w:rsidRPr="00FA3F9C">
              <w:rPr>
                <w:rFonts w:ascii="Arial" w:hAnsi="Arial" w:cs="Arial"/>
                <w:b/>
                <w:sz w:val="24"/>
                <w:szCs w:val="24"/>
              </w:rPr>
              <w:t xml:space="preserve">Dosing: </w:t>
            </w:r>
          </w:p>
          <w:p w14:paraId="22149324" w14:textId="77777777" w:rsidR="002641D2" w:rsidRPr="00FA3F9C" w:rsidRDefault="002641D2" w:rsidP="007C2C65">
            <w:pPr>
              <w:rPr>
                <w:rFonts w:ascii="Arial" w:hAnsi="Arial" w:cs="Arial"/>
                <w:sz w:val="24"/>
                <w:szCs w:val="24"/>
              </w:rPr>
            </w:pPr>
            <w:r w:rsidRPr="00FA3F9C">
              <w:rPr>
                <w:rFonts w:ascii="Arial" w:hAnsi="Arial" w:cs="Arial"/>
                <w:sz w:val="24"/>
                <w:szCs w:val="24"/>
              </w:rPr>
              <w:t xml:space="preserve">24 mg once daily </w:t>
            </w:r>
          </w:p>
          <w:p w14:paraId="0A5D94D6" w14:textId="77777777" w:rsidR="002641D2" w:rsidRPr="00FA3F9C" w:rsidRDefault="002641D2" w:rsidP="007C2C65">
            <w:pPr>
              <w:rPr>
                <w:rFonts w:ascii="Arial" w:hAnsi="Arial" w:cs="Arial"/>
                <w:sz w:val="24"/>
                <w:szCs w:val="24"/>
              </w:rPr>
            </w:pPr>
          </w:p>
          <w:p w14:paraId="43239788" w14:textId="77777777" w:rsidR="002641D2" w:rsidRPr="00FA3F9C" w:rsidRDefault="002641D2" w:rsidP="007C2C65">
            <w:pPr>
              <w:pStyle w:val="CommentText"/>
              <w:rPr>
                <w:rFonts w:ascii="Arial" w:hAnsi="Arial" w:cs="Arial"/>
                <w:sz w:val="24"/>
                <w:szCs w:val="24"/>
              </w:rPr>
            </w:pPr>
            <w:r w:rsidRPr="00FA3F9C">
              <w:rPr>
                <w:rFonts w:ascii="Arial" w:hAnsi="Arial" w:cs="Arial"/>
                <w:sz w:val="24"/>
                <w:szCs w:val="24"/>
              </w:rPr>
              <w:t xml:space="preserve">Lenvatinib was compared to placebo in an age unrestricted patient population. In the overall population, overall survival (OS) was not improved. Crossover was allowed but a post hoc crossover analysis still did not find a significant difference in OS. However, in patients &gt;65 years </w:t>
            </w:r>
            <w:r w:rsidRPr="00FA3F9C">
              <w:rPr>
                <w:rFonts w:ascii="Arial" w:hAnsi="Arial" w:cs="Arial"/>
                <w:sz w:val="24"/>
                <w:szCs w:val="24"/>
              </w:rPr>
              <w:lastRenderedPageBreak/>
              <w:t xml:space="preserve">old, </w:t>
            </w:r>
            <w:proofErr w:type="spellStart"/>
            <w:r w:rsidRPr="00FA3F9C">
              <w:rPr>
                <w:rFonts w:ascii="Arial" w:hAnsi="Arial" w:cs="Arial"/>
                <w:sz w:val="24"/>
                <w:szCs w:val="24"/>
              </w:rPr>
              <w:t>lenvatinib</w:t>
            </w:r>
            <w:proofErr w:type="spellEnd"/>
            <w:r w:rsidRPr="00FA3F9C">
              <w:rPr>
                <w:rFonts w:ascii="Arial" w:hAnsi="Arial" w:cs="Arial"/>
                <w:sz w:val="24"/>
                <w:szCs w:val="24"/>
              </w:rPr>
              <w:t xml:space="preserve"> did improved overall survival (median not reached in </w:t>
            </w:r>
            <w:proofErr w:type="spellStart"/>
            <w:r w:rsidRPr="00FA3F9C">
              <w:rPr>
                <w:rFonts w:ascii="Arial" w:hAnsi="Arial" w:cs="Arial"/>
                <w:sz w:val="24"/>
                <w:szCs w:val="24"/>
              </w:rPr>
              <w:t>lenvatinib</w:t>
            </w:r>
            <w:proofErr w:type="spellEnd"/>
            <w:r w:rsidRPr="00FA3F9C">
              <w:rPr>
                <w:rFonts w:ascii="Arial" w:hAnsi="Arial" w:cs="Arial"/>
                <w:sz w:val="24"/>
                <w:szCs w:val="24"/>
              </w:rPr>
              <w:t xml:space="preserve"> group versus 18.4 </w:t>
            </w:r>
            <w:proofErr w:type="spellStart"/>
            <w:r w:rsidRPr="00FA3F9C">
              <w:rPr>
                <w:rFonts w:ascii="Arial" w:hAnsi="Arial" w:cs="Arial"/>
                <w:sz w:val="24"/>
                <w:szCs w:val="24"/>
              </w:rPr>
              <w:t>mo</w:t>
            </w:r>
            <w:proofErr w:type="spellEnd"/>
            <w:r w:rsidRPr="00FA3F9C">
              <w:rPr>
                <w:rFonts w:ascii="Arial" w:hAnsi="Arial" w:cs="Arial"/>
                <w:sz w:val="24"/>
                <w:szCs w:val="24"/>
              </w:rPr>
              <w:t xml:space="preserve"> placebo) in the older patient group only.  The original study stratified patients by age.</w:t>
            </w:r>
          </w:p>
          <w:p w14:paraId="47790250" w14:textId="77777777" w:rsidR="002641D2" w:rsidRPr="00FA3F9C" w:rsidRDefault="002641D2" w:rsidP="007C2C65">
            <w:pPr>
              <w:rPr>
                <w:rFonts w:ascii="Arial" w:hAnsi="Arial" w:cs="Arial"/>
                <w:sz w:val="24"/>
                <w:szCs w:val="24"/>
              </w:rPr>
            </w:pPr>
          </w:p>
          <w:p w14:paraId="085AA2F7" w14:textId="77777777" w:rsidR="002641D2" w:rsidRPr="00FA3F9C" w:rsidRDefault="002641D2" w:rsidP="007C2C65">
            <w:pPr>
              <w:rPr>
                <w:rFonts w:ascii="Arial" w:hAnsi="Arial" w:cs="Arial"/>
                <w:sz w:val="24"/>
                <w:szCs w:val="24"/>
              </w:rPr>
            </w:pPr>
            <w:r w:rsidRPr="00FA3F9C">
              <w:rPr>
                <w:rFonts w:ascii="Arial" w:hAnsi="Arial" w:cs="Arial"/>
                <w:sz w:val="24"/>
                <w:szCs w:val="24"/>
              </w:rPr>
              <w:t>References:</w:t>
            </w:r>
          </w:p>
          <w:p w14:paraId="182A806D" w14:textId="77777777" w:rsidR="002641D2" w:rsidRPr="00FA3F9C" w:rsidRDefault="002641D2" w:rsidP="002641D2">
            <w:pPr>
              <w:pStyle w:val="ListParagraph"/>
              <w:numPr>
                <w:ilvl w:val="0"/>
                <w:numId w:val="310"/>
              </w:numPr>
              <w:ind w:left="270" w:hanging="180"/>
              <w:rPr>
                <w:rFonts w:ascii="Arial" w:hAnsi="Arial" w:cs="Arial"/>
                <w:sz w:val="24"/>
                <w:szCs w:val="24"/>
              </w:rPr>
            </w:pPr>
            <w:r w:rsidRPr="00FA3F9C">
              <w:rPr>
                <w:rFonts w:ascii="Arial" w:hAnsi="Arial" w:cs="Arial"/>
                <w:sz w:val="24"/>
                <w:szCs w:val="24"/>
              </w:rPr>
              <w:t xml:space="preserve">Schlumberger M et al. Lenvatinib versus placebo in radioiodine-refractory thyroid cancer. N </w:t>
            </w:r>
            <w:proofErr w:type="spellStart"/>
            <w:r w:rsidRPr="00FA3F9C">
              <w:rPr>
                <w:rFonts w:ascii="Arial" w:hAnsi="Arial" w:cs="Arial"/>
                <w:sz w:val="24"/>
                <w:szCs w:val="24"/>
              </w:rPr>
              <w:t>Engl</w:t>
            </w:r>
            <w:proofErr w:type="spellEnd"/>
            <w:r w:rsidRPr="00FA3F9C">
              <w:rPr>
                <w:rFonts w:ascii="Arial" w:hAnsi="Arial" w:cs="Arial"/>
                <w:sz w:val="24"/>
                <w:szCs w:val="24"/>
              </w:rPr>
              <w:t xml:space="preserve"> J Med. 2015 Feb 12;372(7):621-30. PMID 25671254 NCT01321554Brose MS et al. </w:t>
            </w:r>
          </w:p>
          <w:p w14:paraId="318D8CE5" w14:textId="77777777" w:rsidR="002641D2" w:rsidRPr="00FA3F9C" w:rsidRDefault="002641D2" w:rsidP="002641D2">
            <w:pPr>
              <w:pStyle w:val="ListParagraph"/>
              <w:numPr>
                <w:ilvl w:val="0"/>
                <w:numId w:val="310"/>
              </w:numPr>
              <w:ind w:left="270" w:hanging="180"/>
              <w:rPr>
                <w:rFonts w:ascii="Arial" w:hAnsi="Arial" w:cs="Arial"/>
                <w:sz w:val="24"/>
                <w:szCs w:val="24"/>
              </w:rPr>
            </w:pPr>
            <w:r w:rsidRPr="00FA3F9C">
              <w:rPr>
                <w:rFonts w:ascii="Arial" w:hAnsi="Arial" w:cs="Arial"/>
                <w:sz w:val="24"/>
                <w:szCs w:val="24"/>
              </w:rPr>
              <w:t>Effect of Age on the Efficacy and Safety of Lenvatinib in Radioiodine-Refractory Differentiated Thyroid Cancer in the Phase III SELECT Trial. J Clin Oncol. 2017 Aug 10;35(23):2692-2699. PMID 28613956 NCT01321554</w:t>
            </w:r>
          </w:p>
        </w:tc>
      </w:tr>
    </w:tbl>
    <w:p w14:paraId="585C4C37" w14:textId="77777777" w:rsidR="002641D2" w:rsidRPr="00FA3F9C" w:rsidRDefault="002641D2" w:rsidP="0006206A">
      <w:pPr>
        <w:pStyle w:val="ListParagraph"/>
        <w:spacing w:after="0"/>
        <w:ind w:left="270"/>
        <w:rPr>
          <w:rFonts w:ascii="Arial" w:hAnsi="Arial" w:cs="Arial"/>
          <w:sz w:val="24"/>
          <w:szCs w:val="24"/>
        </w:rPr>
      </w:pPr>
    </w:p>
    <w:tbl>
      <w:tblPr>
        <w:tblStyle w:val="TableGrid"/>
        <w:tblW w:w="0" w:type="auto"/>
        <w:tblLook w:val="04A0" w:firstRow="1" w:lastRow="0" w:firstColumn="1" w:lastColumn="0" w:noHBand="0" w:noVBand="1"/>
      </w:tblPr>
      <w:tblGrid>
        <w:gridCol w:w="10818"/>
      </w:tblGrid>
      <w:tr w:rsidR="002641D2" w:rsidRPr="00FA3F9C" w14:paraId="4CF2C407" w14:textId="77777777" w:rsidTr="00751306">
        <w:tc>
          <w:tcPr>
            <w:tcW w:w="10818" w:type="dxa"/>
            <w:shd w:val="clear" w:color="auto" w:fill="000000"/>
          </w:tcPr>
          <w:p w14:paraId="67E4BB4F" w14:textId="77777777" w:rsidR="002641D2" w:rsidRPr="00FA3F9C" w:rsidRDefault="002641D2" w:rsidP="00926D53">
            <w:pPr>
              <w:rPr>
                <w:rFonts w:ascii="Arial" w:hAnsi="Arial" w:cs="Arial"/>
                <w:b/>
                <w:sz w:val="24"/>
                <w:szCs w:val="24"/>
              </w:rPr>
            </w:pPr>
            <w:r w:rsidRPr="00FA3F9C">
              <w:rPr>
                <w:rFonts w:ascii="Arial" w:hAnsi="Arial" w:cs="Arial"/>
                <w:b/>
                <w:sz w:val="24"/>
                <w:szCs w:val="24"/>
              </w:rPr>
              <w:t>Renal Cell Carcinoma (in combination with pembrolizumab)</w:t>
            </w:r>
          </w:p>
        </w:tc>
      </w:tr>
      <w:tr w:rsidR="002641D2" w:rsidRPr="00FA3F9C" w14:paraId="620622FA" w14:textId="77777777" w:rsidTr="00751306">
        <w:tc>
          <w:tcPr>
            <w:tcW w:w="10818" w:type="dxa"/>
          </w:tcPr>
          <w:p w14:paraId="185723D3" w14:textId="77777777" w:rsidR="002641D2" w:rsidRPr="00FA3F9C" w:rsidRDefault="002641D2" w:rsidP="00751306">
            <w:pPr>
              <w:rPr>
                <w:rFonts w:ascii="Arial" w:hAnsi="Arial" w:cs="Arial"/>
                <w:sz w:val="24"/>
                <w:szCs w:val="24"/>
              </w:rPr>
            </w:pPr>
            <w:r w:rsidRPr="00FA3F9C">
              <w:rPr>
                <w:rFonts w:ascii="Arial" w:hAnsi="Arial" w:cs="Arial"/>
                <w:sz w:val="24"/>
                <w:szCs w:val="24"/>
              </w:rPr>
              <w:t>1. The patient has a diagnosis of progressive advanced or metastatic clear-cell renal cell carcinoma.</w:t>
            </w:r>
          </w:p>
        </w:tc>
      </w:tr>
      <w:tr w:rsidR="002641D2" w:rsidRPr="00FA3F9C" w14:paraId="52D2C910" w14:textId="77777777" w:rsidTr="00751306">
        <w:tc>
          <w:tcPr>
            <w:tcW w:w="10818" w:type="dxa"/>
          </w:tcPr>
          <w:p w14:paraId="2078BC0C" w14:textId="77777777" w:rsidR="002641D2" w:rsidRPr="00FA3F9C" w:rsidRDefault="002641D2" w:rsidP="00926D53">
            <w:pPr>
              <w:rPr>
                <w:rFonts w:ascii="Arial" w:hAnsi="Arial" w:cs="Arial"/>
                <w:sz w:val="24"/>
                <w:szCs w:val="24"/>
              </w:rPr>
            </w:pPr>
            <w:r w:rsidRPr="00FA3F9C">
              <w:rPr>
                <w:rFonts w:ascii="Arial" w:hAnsi="Arial" w:cs="Arial"/>
                <w:sz w:val="24"/>
                <w:szCs w:val="24"/>
              </w:rPr>
              <w:t>2. Lenvatinib will be given in combination with pembrolizumab</w:t>
            </w:r>
          </w:p>
        </w:tc>
      </w:tr>
      <w:tr w:rsidR="002641D2" w:rsidRPr="00FA3F9C" w14:paraId="505047F1" w14:textId="77777777" w:rsidTr="00751306">
        <w:tc>
          <w:tcPr>
            <w:tcW w:w="10818" w:type="dxa"/>
          </w:tcPr>
          <w:p w14:paraId="7B784732" w14:textId="77777777" w:rsidR="002641D2" w:rsidRPr="00FA3F9C" w:rsidRDefault="002641D2" w:rsidP="00926D53">
            <w:pPr>
              <w:rPr>
                <w:rFonts w:ascii="Arial" w:hAnsi="Arial" w:cs="Arial"/>
                <w:sz w:val="24"/>
                <w:szCs w:val="24"/>
              </w:rPr>
            </w:pPr>
            <w:r w:rsidRPr="00FA3F9C">
              <w:rPr>
                <w:rFonts w:ascii="Arial" w:hAnsi="Arial" w:cs="Arial"/>
                <w:sz w:val="24"/>
                <w:szCs w:val="24"/>
              </w:rPr>
              <w:t xml:space="preserve">3. No prior systemic therapy for renal cell carcinoma </w:t>
            </w:r>
          </w:p>
        </w:tc>
      </w:tr>
      <w:tr w:rsidR="002641D2" w:rsidRPr="00FA3F9C" w14:paraId="0EF0B1C2" w14:textId="77777777" w:rsidTr="00751306">
        <w:tc>
          <w:tcPr>
            <w:tcW w:w="10818" w:type="dxa"/>
          </w:tcPr>
          <w:p w14:paraId="32E4CF47" w14:textId="77777777" w:rsidR="002641D2" w:rsidRPr="00FA3F9C" w:rsidRDefault="002641D2" w:rsidP="00926D53">
            <w:pPr>
              <w:rPr>
                <w:rFonts w:ascii="Arial" w:hAnsi="Arial" w:cs="Arial"/>
                <w:i/>
                <w:sz w:val="24"/>
                <w:szCs w:val="24"/>
              </w:rPr>
            </w:pPr>
            <w:r w:rsidRPr="00FA3F9C">
              <w:rPr>
                <w:rFonts w:ascii="Arial" w:hAnsi="Arial" w:cs="Arial"/>
                <w:sz w:val="24"/>
                <w:szCs w:val="24"/>
              </w:rPr>
              <w:t xml:space="preserve">4. The patient has adequately controlled blood pressure </w:t>
            </w:r>
          </w:p>
        </w:tc>
      </w:tr>
      <w:tr w:rsidR="002641D2" w:rsidRPr="00FA3F9C" w14:paraId="2C350A6E" w14:textId="77777777" w:rsidTr="00751306">
        <w:tc>
          <w:tcPr>
            <w:tcW w:w="10818" w:type="dxa"/>
            <w:shd w:val="clear" w:color="auto" w:fill="F2F2F2" w:themeFill="background1" w:themeFillShade="F2"/>
          </w:tcPr>
          <w:p w14:paraId="42E02695" w14:textId="77777777" w:rsidR="002641D2" w:rsidRPr="00FA3F9C" w:rsidRDefault="002641D2" w:rsidP="00751306">
            <w:pPr>
              <w:rPr>
                <w:rFonts w:ascii="Arial" w:hAnsi="Arial" w:cs="Arial"/>
                <w:sz w:val="24"/>
                <w:szCs w:val="24"/>
              </w:rPr>
            </w:pPr>
            <w:r w:rsidRPr="00FA3F9C">
              <w:rPr>
                <w:rFonts w:ascii="Arial" w:hAnsi="Arial" w:cs="Arial"/>
                <w:b/>
                <w:sz w:val="24"/>
                <w:szCs w:val="24"/>
              </w:rPr>
              <w:t>If above criteria are met, approve for 12 months.</w:t>
            </w:r>
          </w:p>
        </w:tc>
      </w:tr>
      <w:tr w:rsidR="002641D2" w:rsidRPr="00FA3F9C" w14:paraId="1EDBBEEA" w14:textId="77777777" w:rsidTr="00751306">
        <w:trPr>
          <w:trHeight w:val="278"/>
        </w:trPr>
        <w:tc>
          <w:tcPr>
            <w:tcW w:w="10818" w:type="dxa"/>
            <w:shd w:val="clear" w:color="auto" w:fill="D9D9D9" w:themeFill="background1" w:themeFillShade="D9"/>
          </w:tcPr>
          <w:p w14:paraId="09DDF1CF" w14:textId="77777777" w:rsidR="002641D2" w:rsidRPr="00FA3F9C" w:rsidRDefault="002641D2" w:rsidP="00751306">
            <w:pPr>
              <w:rPr>
                <w:rFonts w:ascii="Arial" w:hAnsi="Arial" w:cs="Arial"/>
                <w:sz w:val="24"/>
                <w:szCs w:val="24"/>
              </w:rPr>
            </w:pPr>
            <w:r w:rsidRPr="00FA3F9C">
              <w:rPr>
                <w:rFonts w:ascii="Arial" w:hAnsi="Arial" w:cs="Arial"/>
                <w:b/>
                <w:sz w:val="24"/>
                <w:szCs w:val="24"/>
              </w:rPr>
              <w:t xml:space="preserve">Dosing: </w:t>
            </w:r>
            <w:r w:rsidRPr="00FA3F9C">
              <w:rPr>
                <w:rFonts w:ascii="Arial" w:hAnsi="Arial" w:cs="Arial"/>
                <w:sz w:val="24"/>
                <w:szCs w:val="24"/>
              </w:rPr>
              <w:t xml:space="preserve">20mg once daily in combination with pembrolizumab </w:t>
            </w:r>
          </w:p>
          <w:p w14:paraId="22924F7E" w14:textId="77777777" w:rsidR="002641D2" w:rsidRPr="00FA3F9C" w:rsidRDefault="002641D2" w:rsidP="00751306">
            <w:pPr>
              <w:rPr>
                <w:rFonts w:ascii="Arial" w:hAnsi="Arial" w:cs="Arial"/>
                <w:sz w:val="24"/>
                <w:szCs w:val="24"/>
              </w:rPr>
            </w:pPr>
          </w:p>
          <w:p w14:paraId="62005E93" w14:textId="77777777" w:rsidR="002641D2" w:rsidRPr="00FA3F9C" w:rsidRDefault="002641D2" w:rsidP="00751306">
            <w:pPr>
              <w:rPr>
                <w:rFonts w:ascii="Arial" w:hAnsi="Arial" w:cs="Arial"/>
                <w:sz w:val="24"/>
                <w:szCs w:val="24"/>
              </w:rPr>
            </w:pPr>
            <w:proofErr w:type="spellStart"/>
            <w:r w:rsidRPr="00FA3F9C">
              <w:rPr>
                <w:rFonts w:ascii="Arial" w:hAnsi="Arial" w:cs="Arial"/>
                <w:sz w:val="24"/>
                <w:szCs w:val="24"/>
              </w:rPr>
              <w:t>Lenvatinib+pembrolizumab</w:t>
            </w:r>
            <w:proofErr w:type="spellEnd"/>
            <w:r w:rsidRPr="00FA3F9C">
              <w:rPr>
                <w:rFonts w:ascii="Arial" w:hAnsi="Arial" w:cs="Arial"/>
                <w:sz w:val="24"/>
                <w:szCs w:val="24"/>
              </w:rPr>
              <w:t xml:space="preserve"> improved overall survival in this patient population compared with sunitinib. </w:t>
            </w:r>
          </w:p>
          <w:p w14:paraId="43392A62" w14:textId="77777777" w:rsidR="002641D2" w:rsidRPr="00FA3F9C" w:rsidRDefault="002641D2" w:rsidP="00751306">
            <w:pPr>
              <w:rPr>
                <w:rFonts w:ascii="Arial" w:hAnsi="Arial" w:cs="Arial"/>
                <w:sz w:val="24"/>
                <w:szCs w:val="24"/>
              </w:rPr>
            </w:pPr>
          </w:p>
          <w:p w14:paraId="031BCA8C" w14:textId="77777777" w:rsidR="002641D2" w:rsidRPr="00FA3F9C" w:rsidRDefault="002641D2" w:rsidP="00751306">
            <w:pPr>
              <w:rPr>
                <w:rFonts w:ascii="Arial" w:hAnsi="Arial" w:cs="Arial"/>
                <w:sz w:val="24"/>
                <w:szCs w:val="24"/>
              </w:rPr>
            </w:pPr>
            <w:r w:rsidRPr="00FA3F9C">
              <w:rPr>
                <w:rFonts w:ascii="Arial" w:hAnsi="Arial" w:cs="Arial"/>
                <w:sz w:val="24"/>
                <w:szCs w:val="24"/>
              </w:rPr>
              <w:t>Reference:</w:t>
            </w:r>
          </w:p>
          <w:p w14:paraId="5C360146" w14:textId="77777777" w:rsidR="002641D2" w:rsidRPr="00FA3F9C" w:rsidRDefault="002641D2" w:rsidP="00926D53">
            <w:pPr>
              <w:rPr>
                <w:rFonts w:ascii="Arial" w:hAnsi="Arial" w:cs="Arial"/>
                <w:sz w:val="24"/>
                <w:szCs w:val="24"/>
              </w:rPr>
            </w:pPr>
            <w:r w:rsidRPr="00FA3F9C">
              <w:rPr>
                <w:rFonts w:ascii="Arial" w:hAnsi="Arial" w:cs="Arial"/>
                <w:sz w:val="24"/>
                <w:szCs w:val="24"/>
              </w:rPr>
              <w:t xml:space="preserve">1.  </w:t>
            </w:r>
            <w:proofErr w:type="spellStart"/>
            <w:r w:rsidRPr="00FA3F9C">
              <w:rPr>
                <w:rFonts w:ascii="Arial" w:hAnsi="Arial" w:cs="Arial"/>
                <w:sz w:val="24"/>
                <w:szCs w:val="24"/>
              </w:rPr>
              <w:t>Motzer</w:t>
            </w:r>
            <w:proofErr w:type="spellEnd"/>
            <w:r w:rsidRPr="00FA3F9C">
              <w:rPr>
                <w:rFonts w:ascii="Arial" w:hAnsi="Arial" w:cs="Arial"/>
                <w:sz w:val="24"/>
                <w:szCs w:val="24"/>
              </w:rPr>
              <w:t xml:space="preserve"> R et al. Lenvatinib plus Pembrolizumab or </w:t>
            </w:r>
            <w:proofErr w:type="spellStart"/>
            <w:r w:rsidRPr="00FA3F9C">
              <w:rPr>
                <w:rFonts w:ascii="Arial" w:hAnsi="Arial" w:cs="Arial"/>
                <w:sz w:val="24"/>
                <w:szCs w:val="24"/>
              </w:rPr>
              <w:t>Everolimus</w:t>
            </w:r>
            <w:proofErr w:type="spellEnd"/>
            <w:r w:rsidRPr="00FA3F9C">
              <w:rPr>
                <w:rFonts w:ascii="Arial" w:hAnsi="Arial" w:cs="Arial"/>
                <w:sz w:val="24"/>
                <w:szCs w:val="24"/>
              </w:rPr>
              <w:t xml:space="preserve"> for Advanced Renal Cell Carcinoma. N </w:t>
            </w:r>
            <w:proofErr w:type="spellStart"/>
            <w:r w:rsidRPr="00FA3F9C">
              <w:rPr>
                <w:rFonts w:ascii="Arial" w:hAnsi="Arial" w:cs="Arial"/>
                <w:sz w:val="24"/>
                <w:szCs w:val="24"/>
              </w:rPr>
              <w:t>Engl</w:t>
            </w:r>
            <w:proofErr w:type="spellEnd"/>
            <w:r w:rsidRPr="00FA3F9C">
              <w:rPr>
                <w:rFonts w:ascii="Arial" w:hAnsi="Arial" w:cs="Arial"/>
                <w:sz w:val="24"/>
                <w:szCs w:val="24"/>
              </w:rPr>
              <w:t xml:space="preserve"> J Med. 2021 Apr 8;384(14):1289-1300. </w:t>
            </w:r>
            <w:proofErr w:type="spellStart"/>
            <w:r w:rsidRPr="00FA3F9C">
              <w:rPr>
                <w:rFonts w:ascii="Arial" w:hAnsi="Arial" w:cs="Arial"/>
                <w:sz w:val="24"/>
                <w:szCs w:val="24"/>
              </w:rPr>
              <w:t>doi</w:t>
            </w:r>
            <w:proofErr w:type="spellEnd"/>
            <w:r w:rsidRPr="00FA3F9C">
              <w:rPr>
                <w:rFonts w:ascii="Arial" w:hAnsi="Arial" w:cs="Arial"/>
                <w:sz w:val="24"/>
                <w:szCs w:val="24"/>
              </w:rPr>
              <w:t xml:space="preserve">: 10.1056/NEJMoa2035716. </w:t>
            </w:r>
            <w:proofErr w:type="spellStart"/>
            <w:r w:rsidRPr="00FA3F9C">
              <w:rPr>
                <w:rFonts w:ascii="Arial" w:hAnsi="Arial" w:cs="Arial"/>
                <w:sz w:val="24"/>
                <w:szCs w:val="24"/>
              </w:rPr>
              <w:t>Epub</w:t>
            </w:r>
            <w:proofErr w:type="spellEnd"/>
            <w:r w:rsidRPr="00FA3F9C">
              <w:rPr>
                <w:rFonts w:ascii="Arial" w:hAnsi="Arial" w:cs="Arial"/>
                <w:sz w:val="24"/>
                <w:szCs w:val="24"/>
              </w:rPr>
              <w:t xml:space="preserve"> 2021 Feb 13. PMID: 33616314.</w:t>
            </w:r>
          </w:p>
        </w:tc>
      </w:tr>
    </w:tbl>
    <w:p w14:paraId="6F37D160" w14:textId="77777777" w:rsidR="002641D2" w:rsidRPr="00FA3F9C" w:rsidRDefault="002641D2" w:rsidP="0006206A">
      <w:pPr>
        <w:pStyle w:val="ListParagraph"/>
        <w:spacing w:after="0"/>
        <w:ind w:left="270"/>
        <w:rPr>
          <w:rFonts w:ascii="Arial" w:hAnsi="Arial" w:cs="Arial"/>
          <w:sz w:val="24"/>
          <w:szCs w:val="24"/>
        </w:rPr>
      </w:pPr>
    </w:p>
    <w:p w14:paraId="4B683CD2" w14:textId="77777777" w:rsidR="002641D2" w:rsidRPr="00FA3F9C" w:rsidRDefault="002641D2" w:rsidP="0006206A">
      <w:pPr>
        <w:pStyle w:val="ListParagraph"/>
        <w:spacing w:after="0"/>
        <w:ind w:left="270"/>
        <w:rPr>
          <w:rFonts w:ascii="Arial" w:hAnsi="Arial" w:cs="Arial"/>
          <w:sz w:val="24"/>
          <w:szCs w:val="24"/>
        </w:rPr>
      </w:pPr>
    </w:p>
    <w:tbl>
      <w:tblPr>
        <w:tblStyle w:val="TableGrid"/>
        <w:tblW w:w="0" w:type="auto"/>
        <w:tblLook w:val="04A0" w:firstRow="1" w:lastRow="0" w:firstColumn="1" w:lastColumn="0" w:noHBand="0" w:noVBand="1"/>
      </w:tblPr>
      <w:tblGrid>
        <w:gridCol w:w="10818"/>
      </w:tblGrid>
      <w:tr w:rsidR="002641D2" w:rsidRPr="00FA3F9C" w14:paraId="7C1BA26A" w14:textId="77777777" w:rsidTr="002952FB">
        <w:tc>
          <w:tcPr>
            <w:tcW w:w="10818" w:type="dxa"/>
            <w:shd w:val="clear" w:color="auto" w:fill="000000"/>
          </w:tcPr>
          <w:p w14:paraId="78F22252" w14:textId="77777777" w:rsidR="002641D2" w:rsidRPr="00FA3F9C" w:rsidRDefault="002641D2" w:rsidP="002952FB">
            <w:pPr>
              <w:rPr>
                <w:rFonts w:ascii="Arial" w:hAnsi="Arial" w:cs="Arial"/>
                <w:b/>
                <w:sz w:val="24"/>
                <w:szCs w:val="24"/>
              </w:rPr>
            </w:pPr>
            <w:r w:rsidRPr="00FA3F9C">
              <w:rPr>
                <w:rFonts w:ascii="Arial" w:hAnsi="Arial" w:cs="Arial"/>
                <w:b/>
                <w:sz w:val="24"/>
                <w:szCs w:val="24"/>
              </w:rPr>
              <w:t xml:space="preserve">Renal Cell Carcinoma (in combination with </w:t>
            </w:r>
            <w:proofErr w:type="spellStart"/>
            <w:r w:rsidRPr="00FA3F9C">
              <w:rPr>
                <w:rFonts w:ascii="Arial" w:hAnsi="Arial" w:cs="Arial"/>
                <w:b/>
                <w:sz w:val="24"/>
                <w:szCs w:val="24"/>
              </w:rPr>
              <w:t>everolimus</w:t>
            </w:r>
            <w:proofErr w:type="spellEnd"/>
            <w:r w:rsidRPr="00FA3F9C">
              <w:rPr>
                <w:rFonts w:ascii="Arial" w:hAnsi="Arial" w:cs="Arial"/>
                <w:b/>
                <w:sz w:val="24"/>
                <w:szCs w:val="24"/>
              </w:rPr>
              <w:t>)</w:t>
            </w:r>
          </w:p>
        </w:tc>
      </w:tr>
      <w:tr w:rsidR="002641D2" w:rsidRPr="00FA3F9C" w14:paraId="745BE56A" w14:textId="77777777" w:rsidTr="00FA48B2">
        <w:tc>
          <w:tcPr>
            <w:tcW w:w="10818" w:type="dxa"/>
          </w:tcPr>
          <w:p w14:paraId="4B32BBD0" w14:textId="77777777" w:rsidR="002641D2" w:rsidRPr="00FA3F9C" w:rsidRDefault="002641D2" w:rsidP="006A1C43">
            <w:pPr>
              <w:rPr>
                <w:rFonts w:ascii="Arial" w:hAnsi="Arial" w:cs="Arial"/>
                <w:sz w:val="24"/>
                <w:szCs w:val="24"/>
              </w:rPr>
            </w:pPr>
            <w:r w:rsidRPr="00FA3F9C">
              <w:rPr>
                <w:rFonts w:ascii="Arial" w:hAnsi="Arial" w:cs="Arial"/>
                <w:sz w:val="24"/>
                <w:szCs w:val="24"/>
              </w:rPr>
              <w:t>1. The patient has a diagnosis of progressive advanced or metastatic clear-cell renal cell carcinoma.</w:t>
            </w:r>
          </w:p>
        </w:tc>
      </w:tr>
      <w:tr w:rsidR="002641D2" w:rsidRPr="00FA3F9C" w14:paraId="4A4DC2C3" w14:textId="77777777" w:rsidTr="00FA48B2">
        <w:tc>
          <w:tcPr>
            <w:tcW w:w="10818" w:type="dxa"/>
          </w:tcPr>
          <w:p w14:paraId="047CFEF5" w14:textId="77777777" w:rsidR="002641D2" w:rsidRPr="00FA3F9C" w:rsidRDefault="002641D2" w:rsidP="002307F9">
            <w:pPr>
              <w:rPr>
                <w:rFonts w:ascii="Arial" w:hAnsi="Arial" w:cs="Arial"/>
                <w:sz w:val="24"/>
                <w:szCs w:val="24"/>
              </w:rPr>
            </w:pPr>
            <w:r w:rsidRPr="00FA3F9C">
              <w:rPr>
                <w:rFonts w:ascii="Arial" w:hAnsi="Arial" w:cs="Arial"/>
                <w:sz w:val="24"/>
                <w:szCs w:val="24"/>
              </w:rPr>
              <w:t>2. Lenvatinib will be given in combination with everolimus.*</w:t>
            </w:r>
          </w:p>
        </w:tc>
      </w:tr>
      <w:tr w:rsidR="002641D2" w:rsidRPr="00FA3F9C" w14:paraId="3600D9C5" w14:textId="77777777" w:rsidTr="00FA48B2">
        <w:tc>
          <w:tcPr>
            <w:tcW w:w="10818" w:type="dxa"/>
          </w:tcPr>
          <w:p w14:paraId="243590CD" w14:textId="77777777" w:rsidR="002641D2" w:rsidRPr="00FA3F9C" w:rsidRDefault="002641D2" w:rsidP="002307F9">
            <w:pPr>
              <w:rPr>
                <w:rFonts w:ascii="Arial" w:hAnsi="Arial" w:cs="Arial"/>
                <w:sz w:val="24"/>
                <w:szCs w:val="24"/>
              </w:rPr>
            </w:pPr>
            <w:r w:rsidRPr="00FA3F9C">
              <w:rPr>
                <w:rFonts w:ascii="Arial" w:hAnsi="Arial" w:cs="Arial"/>
                <w:sz w:val="24"/>
                <w:szCs w:val="24"/>
              </w:rPr>
              <w:lastRenderedPageBreak/>
              <w:t xml:space="preserve">3. The patient has previously been treated with a VEGF-targeted treatment for advanced disease (such as sunitinib, pazopanib, bevacizumab, </w:t>
            </w:r>
            <w:proofErr w:type="spellStart"/>
            <w:r w:rsidRPr="00FA3F9C">
              <w:rPr>
                <w:rFonts w:ascii="Arial" w:hAnsi="Arial" w:cs="Arial"/>
                <w:sz w:val="24"/>
                <w:szCs w:val="24"/>
              </w:rPr>
              <w:t>cabozantinib</w:t>
            </w:r>
            <w:proofErr w:type="spellEnd"/>
            <w:r w:rsidRPr="00FA3F9C">
              <w:rPr>
                <w:rFonts w:ascii="Arial" w:hAnsi="Arial" w:cs="Arial"/>
                <w:sz w:val="24"/>
                <w:szCs w:val="24"/>
              </w:rPr>
              <w:t xml:space="preserve">, </w:t>
            </w:r>
            <w:proofErr w:type="spellStart"/>
            <w:r w:rsidRPr="00FA3F9C">
              <w:rPr>
                <w:rFonts w:ascii="Arial" w:hAnsi="Arial" w:cs="Arial"/>
                <w:sz w:val="24"/>
                <w:szCs w:val="24"/>
              </w:rPr>
              <w:t>axitinib</w:t>
            </w:r>
            <w:proofErr w:type="spellEnd"/>
            <w:r w:rsidRPr="00FA3F9C">
              <w:rPr>
                <w:rFonts w:ascii="Arial" w:hAnsi="Arial" w:cs="Arial"/>
                <w:sz w:val="24"/>
                <w:szCs w:val="24"/>
              </w:rPr>
              <w:t xml:space="preserve">) </w:t>
            </w:r>
          </w:p>
        </w:tc>
      </w:tr>
      <w:tr w:rsidR="002641D2" w:rsidRPr="00FA3F9C" w14:paraId="31F02627" w14:textId="77777777" w:rsidTr="00FA48B2">
        <w:tc>
          <w:tcPr>
            <w:tcW w:w="10818" w:type="dxa"/>
          </w:tcPr>
          <w:p w14:paraId="59AF377A" w14:textId="77777777" w:rsidR="002641D2" w:rsidRPr="00FA3F9C" w:rsidRDefault="002641D2" w:rsidP="0006206A">
            <w:pPr>
              <w:rPr>
                <w:rFonts w:ascii="Arial" w:hAnsi="Arial" w:cs="Arial"/>
                <w:sz w:val="24"/>
                <w:szCs w:val="24"/>
              </w:rPr>
            </w:pPr>
            <w:r w:rsidRPr="00FA3F9C">
              <w:rPr>
                <w:rFonts w:ascii="Arial" w:hAnsi="Arial" w:cs="Arial"/>
                <w:sz w:val="24"/>
                <w:szCs w:val="24"/>
              </w:rPr>
              <w:t>4. The patient has previously been treated with immunotherapy for advanced disease (such as nivolumab, pembrolizumab)</w:t>
            </w:r>
          </w:p>
        </w:tc>
      </w:tr>
      <w:tr w:rsidR="002641D2" w:rsidRPr="00FA3F9C" w14:paraId="107B59F3" w14:textId="77777777" w:rsidTr="00FA48B2">
        <w:tc>
          <w:tcPr>
            <w:tcW w:w="10818" w:type="dxa"/>
          </w:tcPr>
          <w:p w14:paraId="64F4700C" w14:textId="77777777" w:rsidR="002641D2" w:rsidRPr="00FA3F9C" w:rsidRDefault="002641D2" w:rsidP="00F83C9F">
            <w:pPr>
              <w:rPr>
                <w:rFonts w:ascii="Arial" w:hAnsi="Arial" w:cs="Arial"/>
                <w:sz w:val="24"/>
                <w:szCs w:val="24"/>
              </w:rPr>
            </w:pPr>
            <w:r w:rsidRPr="00FA3F9C">
              <w:rPr>
                <w:rFonts w:ascii="Arial" w:hAnsi="Arial" w:cs="Arial"/>
                <w:sz w:val="24"/>
                <w:szCs w:val="24"/>
              </w:rPr>
              <w:t xml:space="preserve">5. The patient has an ECOG status of 0 or 1. </w:t>
            </w:r>
          </w:p>
        </w:tc>
      </w:tr>
      <w:tr w:rsidR="002641D2" w:rsidRPr="00FA3F9C" w14:paraId="2E1C9074" w14:textId="77777777" w:rsidTr="00FA48B2">
        <w:tc>
          <w:tcPr>
            <w:tcW w:w="10818" w:type="dxa"/>
          </w:tcPr>
          <w:p w14:paraId="67366DBB" w14:textId="77777777" w:rsidR="002641D2" w:rsidRPr="00FA3F9C" w:rsidRDefault="002641D2" w:rsidP="002307F9">
            <w:pPr>
              <w:rPr>
                <w:rFonts w:ascii="Arial" w:hAnsi="Arial" w:cs="Arial"/>
                <w:i/>
                <w:sz w:val="24"/>
                <w:szCs w:val="24"/>
              </w:rPr>
            </w:pPr>
            <w:r w:rsidRPr="00FA3F9C">
              <w:rPr>
                <w:rFonts w:ascii="Arial" w:hAnsi="Arial" w:cs="Arial"/>
                <w:sz w:val="24"/>
                <w:szCs w:val="24"/>
              </w:rPr>
              <w:t>6. The patient has adequately controlled blood pressure (&lt;150/90)</w:t>
            </w:r>
          </w:p>
        </w:tc>
      </w:tr>
      <w:tr w:rsidR="002641D2" w:rsidRPr="00FA3F9C" w14:paraId="27FE43C9" w14:textId="77777777" w:rsidTr="002307F9">
        <w:tc>
          <w:tcPr>
            <w:tcW w:w="10818" w:type="dxa"/>
            <w:shd w:val="clear" w:color="auto" w:fill="F2F2F2" w:themeFill="background1" w:themeFillShade="F2"/>
          </w:tcPr>
          <w:p w14:paraId="18DE6CBD" w14:textId="77777777" w:rsidR="002641D2" w:rsidRPr="00FA3F9C" w:rsidRDefault="002641D2" w:rsidP="000F593A">
            <w:pPr>
              <w:rPr>
                <w:rFonts w:ascii="Arial" w:hAnsi="Arial" w:cs="Arial"/>
                <w:sz w:val="24"/>
                <w:szCs w:val="24"/>
              </w:rPr>
            </w:pPr>
            <w:r w:rsidRPr="00FA3F9C">
              <w:rPr>
                <w:rFonts w:ascii="Arial" w:hAnsi="Arial" w:cs="Arial"/>
                <w:b/>
                <w:sz w:val="24"/>
                <w:szCs w:val="24"/>
              </w:rPr>
              <w:t>If above criteria are met, approve for 12 months.</w:t>
            </w:r>
          </w:p>
        </w:tc>
      </w:tr>
      <w:tr w:rsidR="002641D2" w:rsidRPr="00FA3F9C" w14:paraId="418661FA" w14:textId="77777777" w:rsidTr="000F593A">
        <w:trPr>
          <w:trHeight w:val="278"/>
        </w:trPr>
        <w:tc>
          <w:tcPr>
            <w:tcW w:w="10818" w:type="dxa"/>
            <w:shd w:val="clear" w:color="auto" w:fill="D9D9D9" w:themeFill="background1" w:themeFillShade="D9"/>
          </w:tcPr>
          <w:p w14:paraId="607B478A" w14:textId="77777777" w:rsidR="002641D2" w:rsidRPr="00FA3F9C" w:rsidRDefault="002641D2" w:rsidP="008230EF">
            <w:pPr>
              <w:rPr>
                <w:rFonts w:ascii="Arial" w:hAnsi="Arial" w:cs="Arial"/>
                <w:sz w:val="24"/>
                <w:szCs w:val="24"/>
              </w:rPr>
            </w:pPr>
            <w:r w:rsidRPr="00FA3F9C">
              <w:rPr>
                <w:rFonts w:ascii="Arial" w:hAnsi="Arial" w:cs="Arial"/>
                <w:b/>
                <w:sz w:val="24"/>
                <w:szCs w:val="24"/>
              </w:rPr>
              <w:t xml:space="preserve">Dosing: </w:t>
            </w:r>
            <w:r w:rsidRPr="00FA3F9C">
              <w:rPr>
                <w:rFonts w:ascii="Arial" w:hAnsi="Arial" w:cs="Arial"/>
                <w:sz w:val="24"/>
                <w:szCs w:val="24"/>
              </w:rPr>
              <w:t xml:space="preserve">18mg once daily in combination with </w:t>
            </w:r>
            <w:proofErr w:type="spellStart"/>
            <w:r w:rsidRPr="00FA3F9C">
              <w:rPr>
                <w:rFonts w:ascii="Arial" w:hAnsi="Arial" w:cs="Arial"/>
                <w:sz w:val="24"/>
                <w:szCs w:val="24"/>
              </w:rPr>
              <w:t>everolimus</w:t>
            </w:r>
            <w:proofErr w:type="spellEnd"/>
            <w:r w:rsidRPr="00FA3F9C">
              <w:rPr>
                <w:rFonts w:ascii="Arial" w:hAnsi="Arial" w:cs="Arial"/>
                <w:sz w:val="24"/>
                <w:szCs w:val="24"/>
              </w:rPr>
              <w:t xml:space="preserve"> 5 mg daily</w:t>
            </w:r>
          </w:p>
          <w:p w14:paraId="74746AF2" w14:textId="77777777" w:rsidR="002641D2" w:rsidRPr="00FA3F9C" w:rsidRDefault="002641D2" w:rsidP="008230EF">
            <w:pPr>
              <w:rPr>
                <w:rFonts w:ascii="Arial" w:hAnsi="Arial" w:cs="Arial"/>
                <w:sz w:val="24"/>
                <w:szCs w:val="24"/>
              </w:rPr>
            </w:pPr>
            <w:proofErr w:type="spellStart"/>
            <w:r w:rsidRPr="00FA3F9C">
              <w:rPr>
                <w:rFonts w:ascii="Arial" w:hAnsi="Arial" w:cs="Arial"/>
                <w:sz w:val="24"/>
                <w:szCs w:val="24"/>
              </w:rPr>
              <w:t>CrCl</w:t>
            </w:r>
            <w:proofErr w:type="spellEnd"/>
            <w:r w:rsidRPr="00FA3F9C">
              <w:rPr>
                <w:rFonts w:ascii="Arial" w:hAnsi="Arial" w:cs="Arial"/>
                <w:sz w:val="24"/>
                <w:szCs w:val="24"/>
              </w:rPr>
              <w:t xml:space="preserve"> &lt;30ml/min or Child-Pugh class C severe hepatic impairment:  10mg daily</w:t>
            </w:r>
          </w:p>
          <w:p w14:paraId="3137C2BF" w14:textId="77777777" w:rsidR="002641D2" w:rsidRPr="00FA3F9C" w:rsidRDefault="002641D2" w:rsidP="008230EF">
            <w:pPr>
              <w:rPr>
                <w:rFonts w:ascii="Arial" w:hAnsi="Arial" w:cs="Arial"/>
                <w:sz w:val="24"/>
                <w:szCs w:val="24"/>
              </w:rPr>
            </w:pPr>
            <w:r w:rsidRPr="00FA3F9C">
              <w:rPr>
                <w:rFonts w:ascii="Arial" w:hAnsi="Arial" w:cs="Arial"/>
                <w:sz w:val="24"/>
                <w:szCs w:val="24"/>
              </w:rPr>
              <w:t>Toxic side effects, first:  14mg daily</w:t>
            </w:r>
          </w:p>
          <w:p w14:paraId="4336E48A" w14:textId="77777777" w:rsidR="002641D2" w:rsidRPr="00FA3F9C" w:rsidRDefault="002641D2" w:rsidP="008230EF">
            <w:pPr>
              <w:rPr>
                <w:rFonts w:ascii="Arial" w:hAnsi="Arial" w:cs="Arial"/>
                <w:sz w:val="24"/>
                <w:szCs w:val="24"/>
              </w:rPr>
            </w:pPr>
            <w:r w:rsidRPr="00FA3F9C">
              <w:rPr>
                <w:rFonts w:ascii="Arial" w:hAnsi="Arial" w:cs="Arial"/>
                <w:sz w:val="24"/>
                <w:szCs w:val="24"/>
              </w:rPr>
              <w:t>Toxic side effects, second: 10mg daily</w:t>
            </w:r>
          </w:p>
          <w:p w14:paraId="2BEA6317" w14:textId="77777777" w:rsidR="002641D2" w:rsidRPr="00FA3F9C" w:rsidRDefault="002641D2" w:rsidP="00BD0559">
            <w:pPr>
              <w:rPr>
                <w:rFonts w:ascii="Arial" w:hAnsi="Arial" w:cs="Arial"/>
                <w:sz w:val="24"/>
                <w:szCs w:val="24"/>
              </w:rPr>
            </w:pPr>
            <w:r w:rsidRPr="00FA3F9C">
              <w:rPr>
                <w:rFonts w:ascii="Arial" w:hAnsi="Arial" w:cs="Arial"/>
                <w:sz w:val="24"/>
                <w:szCs w:val="24"/>
              </w:rPr>
              <w:t>Toxic side effects, third: 8mg daily</w:t>
            </w:r>
          </w:p>
          <w:p w14:paraId="59E844D7" w14:textId="77777777" w:rsidR="002641D2" w:rsidRPr="00FA3F9C" w:rsidRDefault="002641D2" w:rsidP="00BD0559">
            <w:pPr>
              <w:rPr>
                <w:rFonts w:ascii="Arial" w:hAnsi="Arial" w:cs="Arial"/>
                <w:sz w:val="24"/>
                <w:szCs w:val="24"/>
              </w:rPr>
            </w:pPr>
          </w:p>
          <w:p w14:paraId="3EA5E3FE" w14:textId="77777777" w:rsidR="002641D2" w:rsidRPr="00FA3F9C" w:rsidRDefault="002641D2" w:rsidP="0006206A">
            <w:pPr>
              <w:rPr>
                <w:rFonts w:ascii="Arial" w:hAnsi="Arial" w:cs="Arial"/>
                <w:sz w:val="24"/>
                <w:szCs w:val="24"/>
              </w:rPr>
            </w:pPr>
            <w:proofErr w:type="spellStart"/>
            <w:r w:rsidRPr="00FA3F9C">
              <w:rPr>
                <w:rFonts w:ascii="Arial" w:hAnsi="Arial" w:cs="Arial"/>
                <w:sz w:val="24"/>
                <w:szCs w:val="24"/>
              </w:rPr>
              <w:t>Lenvatinib+everolimus</w:t>
            </w:r>
            <w:proofErr w:type="spellEnd"/>
            <w:r w:rsidRPr="00FA3F9C">
              <w:rPr>
                <w:rFonts w:ascii="Arial" w:hAnsi="Arial" w:cs="Arial"/>
                <w:sz w:val="24"/>
                <w:szCs w:val="24"/>
              </w:rPr>
              <w:t xml:space="preserve"> improved overall survival compared with </w:t>
            </w:r>
            <w:proofErr w:type="spellStart"/>
            <w:r w:rsidRPr="00FA3F9C">
              <w:rPr>
                <w:rFonts w:ascii="Arial" w:hAnsi="Arial" w:cs="Arial"/>
                <w:sz w:val="24"/>
                <w:szCs w:val="24"/>
              </w:rPr>
              <w:t>everolimus</w:t>
            </w:r>
            <w:proofErr w:type="spellEnd"/>
            <w:r w:rsidRPr="00FA3F9C">
              <w:rPr>
                <w:rFonts w:ascii="Arial" w:hAnsi="Arial" w:cs="Arial"/>
                <w:sz w:val="24"/>
                <w:szCs w:val="24"/>
              </w:rPr>
              <w:t xml:space="preserve"> alone. Prior antiangiogenic therapy was required in the study and prior immunotherapy was allowed. We will require prior immunotherapy due to cost advantage of nivolumab versus the combination of </w:t>
            </w:r>
            <w:proofErr w:type="spellStart"/>
            <w:r w:rsidRPr="00FA3F9C">
              <w:rPr>
                <w:rFonts w:ascii="Arial" w:hAnsi="Arial" w:cs="Arial"/>
                <w:sz w:val="24"/>
                <w:szCs w:val="24"/>
              </w:rPr>
              <w:t>lenvatinib+everolimus</w:t>
            </w:r>
            <w:proofErr w:type="spellEnd"/>
            <w:r w:rsidRPr="00FA3F9C">
              <w:rPr>
                <w:rFonts w:ascii="Arial" w:hAnsi="Arial" w:cs="Arial"/>
                <w:sz w:val="24"/>
                <w:szCs w:val="24"/>
              </w:rPr>
              <w:t xml:space="preserve">. If patient received ipilimumab/nivolumab OR </w:t>
            </w:r>
            <w:proofErr w:type="spellStart"/>
            <w:r w:rsidRPr="00FA3F9C">
              <w:rPr>
                <w:rFonts w:ascii="Arial" w:hAnsi="Arial" w:cs="Arial"/>
                <w:sz w:val="24"/>
                <w:szCs w:val="24"/>
              </w:rPr>
              <w:t>pembrolizumab+axitinib</w:t>
            </w:r>
            <w:proofErr w:type="spellEnd"/>
            <w:r w:rsidRPr="00FA3F9C">
              <w:rPr>
                <w:rFonts w:ascii="Arial" w:hAnsi="Arial" w:cs="Arial"/>
                <w:sz w:val="24"/>
                <w:szCs w:val="24"/>
              </w:rPr>
              <w:t xml:space="preserve"> in the first line setting, the immunotherapy criterion would be fulfilled.</w:t>
            </w:r>
          </w:p>
          <w:p w14:paraId="7D2852B9" w14:textId="77777777" w:rsidR="002641D2" w:rsidRPr="00FA3F9C" w:rsidRDefault="002641D2" w:rsidP="0006206A">
            <w:pPr>
              <w:rPr>
                <w:rFonts w:ascii="Arial" w:hAnsi="Arial" w:cs="Arial"/>
                <w:sz w:val="24"/>
                <w:szCs w:val="24"/>
              </w:rPr>
            </w:pPr>
          </w:p>
          <w:p w14:paraId="0EFA800A" w14:textId="77777777" w:rsidR="002641D2" w:rsidRPr="00FA3F9C" w:rsidRDefault="002641D2" w:rsidP="000F593A">
            <w:pPr>
              <w:rPr>
                <w:rFonts w:ascii="Arial" w:hAnsi="Arial" w:cs="Arial"/>
                <w:sz w:val="24"/>
                <w:szCs w:val="24"/>
              </w:rPr>
            </w:pPr>
            <w:r w:rsidRPr="00FA3F9C">
              <w:rPr>
                <w:rFonts w:ascii="Arial" w:hAnsi="Arial" w:cs="Arial"/>
                <w:sz w:val="24"/>
                <w:szCs w:val="24"/>
              </w:rPr>
              <w:t>Reference:</w:t>
            </w:r>
          </w:p>
          <w:p w14:paraId="3B0ECAC9" w14:textId="77777777" w:rsidR="002641D2" w:rsidRPr="00FA3F9C" w:rsidRDefault="002641D2" w:rsidP="000F593A">
            <w:pPr>
              <w:rPr>
                <w:rFonts w:ascii="Arial" w:hAnsi="Arial" w:cs="Arial"/>
                <w:sz w:val="24"/>
                <w:szCs w:val="24"/>
              </w:rPr>
            </w:pPr>
            <w:r w:rsidRPr="00FA3F9C">
              <w:rPr>
                <w:rFonts w:ascii="Arial" w:hAnsi="Arial" w:cs="Arial"/>
                <w:sz w:val="24"/>
                <w:szCs w:val="24"/>
              </w:rPr>
              <w:t xml:space="preserve">1.  </w:t>
            </w:r>
            <w:proofErr w:type="spellStart"/>
            <w:r w:rsidRPr="00FA3F9C">
              <w:rPr>
                <w:rFonts w:ascii="Arial" w:hAnsi="Arial" w:cs="Arial"/>
                <w:sz w:val="24"/>
                <w:szCs w:val="24"/>
              </w:rPr>
              <w:t>Motzer</w:t>
            </w:r>
            <w:proofErr w:type="spellEnd"/>
            <w:r w:rsidRPr="00FA3F9C">
              <w:rPr>
                <w:rFonts w:ascii="Arial" w:hAnsi="Arial" w:cs="Arial"/>
                <w:sz w:val="24"/>
                <w:szCs w:val="24"/>
              </w:rPr>
              <w:t xml:space="preserve"> RJ, Hutson TE, Glen H, et al. Lenvatinib, </w:t>
            </w:r>
            <w:proofErr w:type="spellStart"/>
            <w:r w:rsidRPr="00FA3F9C">
              <w:rPr>
                <w:rFonts w:ascii="Arial" w:hAnsi="Arial" w:cs="Arial"/>
                <w:sz w:val="24"/>
                <w:szCs w:val="24"/>
              </w:rPr>
              <w:t>everolimus</w:t>
            </w:r>
            <w:proofErr w:type="spellEnd"/>
            <w:r w:rsidRPr="00FA3F9C">
              <w:rPr>
                <w:rFonts w:ascii="Arial" w:hAnsi="Arial" w:cs="Arial"/>
                <w:sz w:val="24"/>
                <w:szCs w:val="24"/>
              </w:rPr>
              <w:t>, and the combination in patients with metastatic renal cell carcinoma: a randomized, phase 2, open-label, multicenter trial. Lancet Oncol 2015;16:1473-82.</w:t>
            </w:r>
          </w:p>
        </w:tc>
      </w:tr>
    </w:tbl>
    <w:p w14:paraId="5B698F4E" w14:textId="77777777" w:rsidR="002641D2" w:rsidRPr="00FA3F9C" w:rsidRDefault="002641D2" w:rsidP="00EC764A">
      <w:pPr>
        <w:spacing w:after="0"/>
        <w:rPr>
          <w:rFonts w:ascii="Arial" w:hAnsi="Arial" w:cs="Arial"/>
          <w:b/>
          <w:sz w:val="24"/>
          <w:szCs w:val="24"/>
        </w:rPr>
      </w:pPr>
      <w:r w:rsidRPr="00FA3F9C">
        <w:rPr>
          <w:rFonts w:ascii="Arial" w:hAnsi="Arial" w:cs="Arial"/>
          <w:b/>
          <w:sz w:val="24"/>
          <w:szCs w:val="24"/>
        </w:rPr>
        <w:t xml:space="preserve">*Monotherapy with </w:t>
      </w:r>
      <w:proofErr w:type="spellStart"/>
      <w:r w:rsidRPr="00FA3F9C">
        <w:rPr>
          <w:rFonts w:ascii="Arial" w:hAnsi="Arial" w:cs="Arial"/>
          <w:b/>
          <w:sz w:val="24"/>
          <w:szCs w:val="24"/>
        </w:rPr>
        <w:t>lenvatinib</w:t>
      </w:r>
      <w:proofErr w:type="spellEnd"/>
      <w:r w:rsidRPr="00FA3F9C">
        <w:rPr>
          <w:rFonts w:ascii="Arial" w:hAnsi="Arial" w:cs="Arial"/>
          <w:b/>
          <w:sz w:val="24"/>
          <w:szCs w:val="24"/>
        </w:rPr>
        <w:t xml:space="preserve"> is not covered on this plan.</w:t>
      </w:r>
    </w:p>
    <w:p w14:paraId="7BAB9B38" w14:textId="77777777" w:rsidR="002641D2" w:rsidRPr="00FA3F9C" w:rsidRDefault="002641D2" w:rsidP="00EC764A">
      <w:pPr>
        <w:spacing w:after="0"/>
        <w:rPr>
          <w:rFonts w:ascii="Arial" w:hAnsi="Arial" w:cs="Arial"/>
          <w:b/>
          <w:sz w:val="24"/>
          <w:szCs w:val="24"/>
        </w:rPr>
      </w:pPr>
    </w:p>
    <w:tbl>
      <w:tblPr>
        <w:tblStyle w:val="TableGrid"/>
        <w:tblW w:w="0" w:type="auto"/>
        <w:tblLook w:val="04A0" w:firstRow="1" w:lastRow="0" w:firstColumn="1" w:lastColumn="0" w:noHBand="0" w:noVBand="1"/>
      </w:tblPr>
      <w:tblGrid>
        <w:gridCol w:w="10818"/>
      </w:tblGrid>
      <w:tr w:rsidR="002641D2" w:rsidRPr="00FA3F9C" w14:paraId="0CC2EC71" w14:textId="77777777" w:rsidTr="00CF08BC">
        <w:tc>
          <w:tcPr>
            <w:tcW w:w="10818" w:type="dxa"/>
            <w:shd w:val="clear" w:color="auto" w:fill="000000"/>
          </w:tcPr>
          <w:p w14:paraId="016EA52A" w14:textId="77777777" w:rsidR="002641D2" w:rsidRPr="00FA3F9C" w:rsidRDefault="002641D2" w:rsidP="00CF08BC">
            <w:pPr>
              <w:rPr>
                <w:rFonts w:ascii="Arial" w:hAnsi="Arial" w:cs="Arial"/>
                <w:b/>
                <w:sz w:val="24"/>
                <w:szCs w:val="24"/>
              </w:rPr>
            </w:pPr>
            <w:r w:rsidRPr="00FA3F9C">
              <w:rPr>
                <w:rFonts w:ascii="Arial" w:hAnsi="Arial" w:cs="Arial"/>
                <w:b/>
                <w:sz w:val="24"/>
                <w:szCs w:val="24"/>
              </w:rPr>
              <w:t>Hepatocellular Carcinoma</w:t>
            </w:r>
          </w:p>
        </w:tc>
      </w:tr>
      <w:tr w:rsidR="002641D2" w:rsidRPr="00FA3F9C" w14:paraId="5B0A6BCB" w14:textId="77777777" w:rsidTr="00CF08BC">
        <w:tc>
          <w:tcPr>
            <w:tcW w:w="10818" w:type="dxa"/>
          </w:tcPr>
          <w:p w14:paraId="2CF556A9" w14:textId="77777777" w:rsidR="002641D2" w:rsidRPr="00FA3F9C" w:rsidRDefault="002641D2" w:rsidP="0006206A">
            <w:pPr>
              <w:rPr>
                <w:rFonts w:ascii="Arial" w:hAnsi="Arial" w:cs="Arial"/>
                <w:sz w:val="24"/>
                <w:szCs w:val="24"/>
              </w:rPr>
            </w:pPr>
            <w:r w:rsidRPr="00FA3F9C">
              <w:rPr>
                <w:rFonts w:ascii="Arial" w:hAnsi="Arial" w:cs="Arial"/>
                <w:sz w:val="24"/>
                <w:szCs w:val="24"/>
              </w:rPr>
              <w:t>1. The patient has a diagnosis of unresectable hepatocellular carcinoma (HCC).</w:t>
            </w:r>
          </w:p>
        </w:tc>
      </w:tr>
      <w:tr w:rsidR="002641D2" w:rsidRPr="00FA3F9C" w14:paraId="6B022520" w14:textId="77777777" w:rsidTr="00CF08BC">
        <w:tc>
          <w:tcPr>
            <w:tcW w:w="10818" w:type="dxa"/>
          </w:tcPr>
          <w:p w14:paraId="39D63D80" w14:textId="77777777" w:rsidR="002641D2" w:rsidRPr="00FA3F9C" w:rsidRDefault="002641D2" w:rsidP="0006206A">
            <w:pPr>
              <w:rPr>
                <w:rFonts w:ascii="Arial" w:hAnsi="Arial" w:cs="Arial"/>
                <w:sz w:val="24"/>
                <w:szCs w:val="24"/>
              </w:rPr>
            </w:pPr>
            <w:r w:rsidRPr="00FA3F9C">
              <w:rPr>
                <w:rFonts w:ascii="Arial" w:hAnsi="Arial" w:cs="Arial"/>
                <w:sz w:val="24"/>
                <w:szCs w:val="24"/>
              </w:rPr>
              <w:t>2. Lenvatinib will be used as single agent</w:t>
            </w:r>
          </w:p>
        </w:tc>
      </w:tr>
      <w:tr w:rsidR="002641D2" w:rsidRPr="00FA3F9C" w14:paraId="450E1914" w14:textId="77777777" w:rsidTr="00CF08BC">
        <w:tc>
          <w:tcPr>
            <w:tcW w:w="10818" w:type="dxa"/>
          </w:tcPr>
          <w:p w14:paraId="4C571D5B" w14:textId="77777777" w:rsidR="002641D2" w:rsidRPr="00FA3F9C" w:rsidRDefault="002641D2" w:rsidP="000F593A">
            <w:pPr>
              <w:rPr>
                <w:rFonts w:ascii="Arial" w:hAnsi="Arial" w:cs="Arial"/>
                <w:sz w:val="24"/>
                <w:szCs w:val="24"/>
              </w:rPr>
            </w:pPr>
            <w:r w:rsidRPr="00FA3F9C">
              <w:rPr>
                <w:rFonts w:ascii="Arial" w:hAnsi="Arial" w:cs="Arial"/>
                <w:sz w:val="24"/>
                <w:szCs w:val="24"/>
              </w:rPr>
              <w:t>3. The patient’s Child Pugh liver function score is A</w:t>
            </w:r>
          </w:p>
        </w:tc>
      </w:tr>
      <w:tr w:rsidR="002641D2" w:rsidRPr="00FA3F9C" w14:paraId="1335E079" w14:textId="77777777" w:rsidTr="00CF08BC">
        <w:tc>
          <w:tcPr>
            <w:tcW w:w="10818" w:type="dxa"/>
          </w:tcPr>
          <w:p w14:paraId="48E4F91E" w14:textId="77777777" w:rsidR="002641D2" w:rsidRPr="00FA3F9C" w:rsidRDefault="002641D2" w:rsidP="00CF08BC">
            <w:pPr>
              <w:rPr>
                <w:rFonts w:ascii="Arial" w:hAnsi="Arial" w:cs="Arial"/>
                <w:sz w:val="24"/>
                <w:szCs w:val="24"/>
              </w:rPr>
            </w:pPr>
            <w:r w:rsidRPr="00FA3F9C">
              <w:rPr>
                <w:rFonts w:ascii="Arial" w:hAnsi="Arial" w:cs="Arial"/>
                <w:sz w:val="24"/>
                <w:szCs w:val="24"/>
              </w:rPr>
              <w:t xml:space="preserve">4. The patient has an ECOG status of 0 or 1. </w:t>
            </w:r>
          </w:p>
        </w:tc>
      </w:tr>
      <w:tr w:rsidR="002641D2" w:rsidRPr="00FA3F9C" w14:paraId="05BE07F0" w14:textId="77777777" w:rsidTr="00CF08BC">
        <w:tc>
          <w:tcPr>
            <w:tcW w:w="10818" w:type="dxa"/>
          </w:tcPr>
          <w:p w14:paraId="14F13D01" w14:textId="77777777" w:rsidR="002641D2" w:rsidRPr="00FA3F9C" w:rsidRDefault="002641D2" w:rsidP="000F593A">
            <w:pPr>
              <w:rPr>
                <w:rFonts w:ascii="Arial" w:hAnsi="Arial" w:cs="Arial"/>
                <w:i/>
                <w:sz w:val="24"/>
                <w:szCs w:val="24"/>
              </w:rPr>
            </w:pPr>
            <w:r w:rsidRPr="00FA3F9C">
              <w:rPr>
                <w:rFonts w:ascii="Arial" w:hAnsi="Arial" w:cs="Arial"/>
                <w:sz w:val="24"/>
                <w:szCs w:val="24"/>
              </w:rPr>
              <w:t>5. The patient has adequately controlled blood pressure (&lt;150/90)</w:t>
            </w:r>
          </w:p>
        </w:tc>
      </w:tr>
      <w:tr w:rsidR="002641D2" w:rsidRPr="00FA3F9C" w14:paraId="3C3AA340" w14:textId="77777777" w:rsidTr="002307F9">
        <w:tc>
          <w:tcPr>
            <w:tcW w:w="10818" w:type="dxa"/>
            <w:shd w:val="clear" w:color="auto" w:fill="F2F2F2" w:themeFill="background1" w:themeFillShade="F2"/>
          </w:tcPr>
          <w:p w14:paraId="66433AFB" w14:textId="77777777" w:rsidR="002641D2" w:rsidRPr="00FA3F9C" w:rsidRDefault="002641D2" w:rsidP="00CF08BC">
            <w:pPr>
              <w:rPr>
                <w:rFonts w:ascii="Arial" w:hAnsi="Arial" w:cs="Arial"/>
                <w:sz w:val="24"/>
                <w:szCs w:val="24"/>
              </w:rPr>
            </w:pPr>
            <w:r w:rsidRPr="00FA3F9C">
              <w:rPr>
                <w:rFonts w:ascii="Arial" w:hAnsi="Arial" w:cs="Arial"/>
                <w:b/>
                <w:sz w:val="24"/>
                <w:szCs w:val="24"/>
              </w:rPr>
              <w:t>If above criteria are met, approve for 12 months.</w:t>
            </w:r>
          </w:p>
        </w:tc>
      </w:tr>
      <w:tr w:rsidR="002641D2" w:rsidRPr="00FA3F9C" w14:paraId="73BFB82E" w14:textId="77777777" w:rsidTr="000F593A">
        <w:trPr>
          <w:trHeight w:val="278"/>
        </w:trPr>
        <w:tc>
          <w:tcPr>
            <w:tcW w:w="10818" w:type="dxa"/>
            <w:shd w:val="clear" w:color="auto" w:fill="D9D9D9" w:themeFill="background1" w:themeFillShade="D9"/>
          </w:tcPr>
          <w:p w14:paraId="30958F97" w14:textId="77777777" w:rsidR="002641D2" w:rsidRPr="00FA3F9C" w:rsidRDefault="002641D2" w:rsidP="00CF08BC">
            <w:pPr>
              <w:rPr>
                <w:rFonts w:ascii="Arial" w:hAnsi="Arial" w:cs="Arial"/>
                <w:b/>
                <w:sz w:val="24"/>
                <w:szCs w:val="24"/>
              </w:rPr>
            </w:pPr>
            <w:r w:rsidRPr="00FA3F9C">
              <w:rPr>
                <w:rFonts w:ascii="Arial" w:hAnsi="Arial" w:cs="Arial"/>
                <w:b/>
                <w:sz w:val="24"/>
                <w:szCs w:val="24"/>
              </w:rPr>
              <w:t xml:space="preserve">Dosing: </w:t>
            </w:r>
          </w:p>
          <w:p w14:paraId="74B25650" w14:textId="77777777" w:rsidR="002641D2" w:rsidRPr="00FA3F9C" w:rsidRDefault="002641D2" w:rsidP="00CF08BC">
            <w:pPr>
              <w:rPr>
                <w:rFonts w:ascii="Arial" w:hAnsi="Arial" w:cs="Arial"/>
                <w:sz w:val="24"/>
                <w:szCs w:val="24"/>
              </w:rPr>
            </w:pPr>
            <w:r w:rsidRPr="00FA3F9C">
              <w:rPr>
                <w:rFonts w:ascii="Arial" w:hAnsi="Arial" w:cs="Arial"/>
                <w:sz w:val="24"/>
                <w:szCs w:val="24"/>
                <w:u w:val="single"/>
              </w:rPr>
              <w:lastRenderedPageBreak/>
              <w:t>&gt;</w:t>
            </w:r>
            <w:r w:rsidRPr="00FA3F9C">
              <w:rPr>
                <w:rFonts w:ascii="Arial" w:hAnsi="Arial" w:cs="Arial"/>
                <w:sz w:val="24"/>
                <w:szCs w:val="24"/>
              </w:rPr>
              <w:t>60 kg:</w:t>
            </w:r>
            <w:r w:rsidRPr="00FA3F9C">
              <w:rPr>
                <w:rFonts w:ascii="Arial" w:hAnsi="Arial" w:cs="Arial"/>
                <w:b/>
                <w:sz w:val="24"/>
                <w:szCs w:val="24"/>
              </w:rPr>
              <w:t xml:space="preserve"> </w:t>
            </w:r>
            <w:r w:rsidRPr="00FA3F9C">
              <w:rPr>
                <w:rFonts w:ascii="Arial" w:hAnsi="Arial" w:cs="Arial"/>
                <w:sz w:val="24"/>
                <w:szCs w:val="24"/>
              </w:rPr>
              <w:t xml:space="preserve">12mg once daily </w:t>
            </w:r>
          </w:p>
          <w:p w14:paraId="78A63FAF" w14:textId="77777777" w:rsidR="002641D2" w:rsidRPr="00FA3F9C" w:rsidRDefault="002641D2" w:rsidP="00CF08BC">
            <w:pPr>
              <w:rPr>
                <w:rFonts w:ascii="Arial" w:hAnsi="Arial" w:cs="Arial"/>
                <w:sz w:val="24"/>
                <w:szCs w:val="24"/>
              </w:rPr>
            </w:pPr>
            <w:r w:rsidRPr="00FA3F9C">
              <w:rPr>
                <w:rFonts w:ascii="Arial" w:hAnsi="Arial" w:cs="Arial"/>
                <w:sz w:val="24"/>
                <w:szCs w:val="24"/>
              </w:rPr>
              <w:t>&lt;60 kg: 8 mg once daily</w:t>
            </w:r>
          </w:p>
          <w:p w14:paraId="1CE609E6" w14:textId="77777777" w:rsidR="002641D2" w:rsidRPr="00FA3F9C" w:rsidRDefault="002641D2" w:rsidP="00CF08BC">
            <w:pPr>
              <w:rPr>
                <w:rFonts w:ascii="Arial" w:hAnsi="Arial" w:cs="Arial"/>
                <w:sz w:val="24"/>
                <w:szCs w:val="24"/>
              </w:rPr>
            </w:pPr>
          </w:p>
          <w:p w14:paraId="401670A1" w14:textId="77777777" w:rsidR="002641D2" w:rsidRPr="00FA3F9C" w:rsidRDefault="002641D2" w:rsidP="000F593A">
            <w:pPr>
              <w:rPr>
                <w:rFonts w:ascii="Arial" w:hAnsi="Arial" w:cs="Arial"/>
                <w:sz w:val="24"/>
                <w:szCs w:val="24"/>
              </w:rPr>
            </w:pPr>
            <w:r w:rsidRPr="00FA3F9C">
              <w:rPr>
                <w:rFonts w:ascii="Arial" w:hAnsi="Arial" w:cs="Arial"/>
                <w:sz w:val="24"/>
                <w:szCs w:val="24"/>
              </w:rPr>
              <w:t xml:space="preserve">Lenvatinib was compared to sorafenib in this patient population. Lenvatinib had improved progression free survival (7.4 </w:t>
            </w:r>
            <w:proofErr w:type="spellStart"/>
            <w:r w:rsidRPr="00FA3F9C">
              <w:rPr>
                <w:rFonts w:ascii="Arial" w:hAnsi="Arial" w:cs="Arial"/>
                <w:sz w:val="24"/>
                <w:szCs w:val="24"/>
              </w:rPr>
              <w:t>mo</w:t>
            </w:r>
            <w:proofErr w:type="spellEnd"/>
            <w:r w:rsidRPr="00FA3F9C">
              <w:rPr>
                <w:rFonts w:ascii="Arial" w:hAnsi="Arial" w:cs="Arial"/>
                <w:sz w:val="24"/>
                <w:szCs w:val="24"/>
              </w:rPr>
              <w:t xml:space="preserve"> vs 3.7 </w:t>
            </w:r>
            <w:proofErr w:type="spellStart"/>
            <w:r w:rsidRPr="00FA3F9C">
              <w:rPr>
                <w:rFonts w:ascii="Arial" w:hAnsi="Arial" w:cs="Arial"/>
                <w:sz w:val="24"/>
                <w:szCs w:val="24"/>
              </w:rPr>
              <w:t>mo</w:t>
            </w:r>
            <w:proofErr w:type="spellEnd"/>
            <w:r w:rsidRPr="00FA3F9C">
              <w:rPr>
                <w:rFonts w:ascii="Arial" w:hAnsi="Arial" w:cs="Arial"/>
                <w:sz w:val="24"/>
                <w:szCs w:val="24"/>
              </w:rPr>
              <w:t xml:space="preserve">) and response rate (24% vs 9%), but overall survival was non-inferior (median 13.6 </w:t>
            </w:r>
            <w:proofErr w:type="spellStart"/>
            <w:r w:rsidRPr="00FA3F9C">
              <w:rPr>
                <w:rFonts w:ascii="Arial" w:hAnsi="Arial" w:cs="Arial"/>
                <w:sz w:val="24"/>
                <w:szCs w:val="24"/>
              </w:rPr>
              <w:t>mo</w:t>
            </w:r>
            <w:proofErr w:type="spellEnd"/>
            <w:r w:rsidRPr="00FA3F9C">
              <w:rPr>
                <w:rFonts w:ascii="Arial" w:hAnsi="Arial" w:cs="Arial"/>
                <w:sz w:val="24"/>
                <w:szCs w:val="24"/>
              </w:rPr>
              <w:t xml:space="preserve"> vs 12.3 </w:t>
            </w:r>
            <w:proofErr w:type="spellStart"/>
            <w:r w:rsidRPr="00FA3F9C">
              <w:rPr>
                <w:rFonts w:ascii="Arial" w:hAnsi="Arial" w:cs="Arial"/>
                <w:sz w:val="24"/>
                <w:szCs w:val="24"/>
              </w:rPr>
              <w:t>mo</w:t>
            </w:r>
            <w:proofErr w:type="spellEnd"/>
            <w:r w:rsidRPr="00FA3F9C">
              <w:rPr>
                <w:rFonts w:ascii="Arial" w:hAnsi="Arial" w:cs="Arial"/>
                <w:sz w:val="24"/>
                <w:szCs w:val="24"/>
              </w:rPr>
              <w:t xml:space="preserve">). Cost of </w:t>
            </w:r>
            <w:proofErr w:type="spellStart"/>
            <w:r w:rsidRPr="00FA3F9C">
              <w:rPr>
                <w:rFonts w:ascii="Arial" w:hAnsi="Arial" w:cs="Arial"/>
                <w:sz w:val="24"/>
                <w:szCs w:val="24"/>
              </w:rPr>
              <w:t>lenvatinib</w:t>
            </w:r>
            <w:proofErr w:type="spellEnd"/>
            <w:r w:rsidRPr="00FA3F9C">
              <w:rPr>
                <w:rFonts w:ascii="Arial" w:hAnsi="Arial" w:cs="Arial"/>
                <w:sz w:val="24"/>
                <w:szCs w:val="24"/>
              </w:rPr>
              <w:t xml:space="preserve"> is slightly cheaper than sorafenib so will cover for now.</w:t>
            </w:r>
          </w:p>
          <w:p w14:paraId="37EBB38B" w14:textId="77777777" w:rsidR="002641D2" w:rsidRPr="00FA3F9C" w:rsidRDefault="002641D2" w:rsidP="000F593A">
            <w:pPr>
              <w:rPr>
                <w:rFonts w:ascii="Arial" w:hAnsi="Arial" w:cs="Arial"/>
                <w:sz w:val="24"/>
                <w:szCs w:val="24"/>
              </w:rPr>
            </w:pPr>
          </w:p>
          <w:p w14:paraId="6853BA47" w14:textId="77777777" w:rsidR="002641D2" w:rsidRPr="00500371" w:rsidRDefault="002641D2" w:rsidP="000F593A">
            <w:pPr>
              <w:rPr>
                <w:rFonts w:ascii="Arial" w:hAnsi="Arial" w:cs="Arial"/>
                <w:sz w:val="24"/>
                <w:szCs w:val="24"/>
              </w:rPr>
            </w:pPr>
            <w:r w:rsidRPr="00500371">
              <w:rPr>
                <w:rFonts w:ascii="Arial" w:hAnsi="Arial" w:cs="Arial"/>
                <w:sz w:val="24"/>
                <w:szCs w:val="24"/>
              </w:rPr>
              <w:t>Reference:</w:t>
            </w:r>
          </w:p>
          <w:p w14:paraId="6F1E2D60" w14:textId="77777777" w:rsidR="002641D2" w:rsidRPr="00FA3F9C" w:rsidRDefault="002641D2" w:rsidP="000F593A">
            <w:pPr>
              <w:rPr>
                <w:rFonts w:ascii="Arial" w:hAnsi="Arial" w:cs="Arial"/>
                <w:sz w:val="24"/>
                <w:szCs w:val="24"/>
              </w:rPr>
            </w:pPr>
            <w:r w:rsidRPr="00500371">
              <w:rPr>
                <w:rFonts w:ascii="Arial" w:hAnsi="Arial" w:cs="Arial"/>
                <w:sz w:val="24"/>
                <w:szCs w:val="24"/>
              </w:rPr>
              <w:t xml:space="preserve">Kudo M et al. </w:t>
            </w:r>
            <w:r w:rsidRPr="00FA3F9C">
              <w:rPr>
                <w:rFonts w:ascii="Arial" w:hAnsi="Arial" w:cs="Arial"/>
                <w:sz w:val="24"/>
                <w:szCs w:val="24"/>
              </w:rPr>
              <w:t xml:space="preserve">Lenvatinib versus sorafenib in first-line treatment of patients with unresectable hepatocellular carcinoma: a </w:t>
            </w:r>
            <w:proofErr w:type="spellStart"/>
            <w:r w:rsidRPr="00FA3F9C">
              <w:rPr>
                <w:rFonts w:ascii="Arial" w:hAnsi="Arial" w:cs="Arial"/>
                <w:sz w:val="24"/>
                <w:szCs w:val="24"/>
              </w:rPr>
              <w:t>randomised</w:t>
            </w:r>
            <w:proofErr w:type="spellEnd"/>
            <w:r w:rsidRPr="00FA3F9C">
              <w:rPr>
                <w:rFonts w:ascii="Arial" w:hAnsi="Arial" w:cs="Arial"/>
                <w:sz w:val="24"/>
                <w:szCs w:val="24"/>
              </w:rPr>
              <w:t xml:space="preserve"> phase 3 non-inferiority </w:t>
            </w:r>
            <w:proofErr w:type="spellStart"/>
            <w:r w:rsidRPr="00FA3F9C">
              <w:rPr>
                <w:rFonts w:ascii="Arial" w:hAnsi="Arial" w:cs="Arial"/>
                <w:sz w:val="24"/>
                <w:szCs w:val="24"/>
              </w:rPr>
              <w:t>trial.Lancet</w:t>
            </w:r>
            <w:proofErr w:type="spellEnd"/>
            <w:r w:rsidRPr="00FA3F9C">
              <w:rPr>
                <w:rFonts w:ascii="Arial" w:hAnsi="Arial" w:cs="Arial"/>
                <w:sz w:val="24"/>
                <w:szCs w:val="24"/>
              </w:rPr>
              <w:t>. 2018 Mar 24;391(10126):1163-1173. PMID 29433850 NCT01761266</w:t>
            </w:r>
          </w:p>
        </w:tc>
      </w:tr>
    </w:tbl>
    <w:p w14:paraId="1D09A3BD" w14:textId="77777777" w:rsidR="002641D2" w:rsidRPr="00FA3F9C" w:rsidRDefault="002641D2" w:rsidP="00EC764A">
      <w:pPr>
        <w:spacing w:after="0"/>
        <w:rPr>
          <w:rFonts w:ascii="Arial" w:hAnsi="Arial" w:cs="Arial"/>
          <w:b/>
          <w:sz w:val="24"/>
          <w:szCs w:val="24"/>
        </w:rPr>
      </w:pPr>
    </w:p>
    <w:tbl>
      <w:tblPr>
        <w:tblStyle w:val="TableGrid"/>
        <w:tblW w:w="0" w:type="auto"/>
        <w:tblLook w:val="04A0" w:firstRow="1" w:lastRow="0" w:firstColumn="1" w:lastColumn="0" w:noHBand="0" w:noVBand="1"/>
      </w:tblPr>
      <w:tblGrid>
        <w:gridCol w:w="10818"/>
      </w:tblGrid>
      <w:tr w:rsidR="002641D2" w:rsidRPr="00FA3F9C" w14:paraId="1B208736" w14:textId="77777777" w:rsidTr="00D930CC">
        <w:trPr>
          <w:trHeight w:val="332"/>
        </w:trPr>
        <w:tc>
          <w:tcPr>
            <w:tcW w:w="10818" w:type="dxa"/>
            <w:shd w:val="clear" w:color="auto" w:fill="000000"/>
          </w:tcPr>
          <w:p w14:paraId="15DB5A36" w14:textId="77777777" w:rsidR="002641D2" w:rsidRPr="00FA3F9C" w:rsidRDefault="002641D2" w:rsidP="0064195F">
            <w:pPr>
              <w:rPr>
                <w:rFonts w:ascii="Arial" w:hAnsi="Arial" w:cs="Arial"/>
                <w:b/>
                <w:sz w:val="24"/>
                <w:szCs w:val="24"/>
              </w:rPr>
            </w:pPr>
            <w:r w:rsidRPr="00FA3F9C">
              <w:rPr>
                <w:rFonts w:ascii="Arial" w:hAnsi="Arial" w:cs="Arial"/>
                <w:b/>
                <w:sz w:val="24"/>
                <w:szCs w:val="24"/>
              </w:rPr>
              <w:t>Endometrial Carcinoma</w:t>
            </w:r>
          </w:p>
        </w:tc>
      </w:tr>
      <w:tr w:rsidR="002641D2" w:rsidRPr="00FA3F9C" w14:paraId="12BB53F6" w14:textId="77777777" w:rsidTr="0064195F">
        <w:tc>
          <w:tcPr>
            <w:tcW w:w="10818" w:type="dxa"/>
          </w:tcPr>
          <w:p w14:paraId="49EFE1EE" w14:textId="77777777" w:rsidR="002641D2" w:rsidRPr="00FA3F9C" w:rsidRDefault="002641D2" w:rsidP="00D930CC">
            <w:pPr>
              <w:rPr>
                <w:rFonts w:ascii="Arial" w:hAnsi="Arial" w:cs="Arial"/>
                <w:sz w:val="24"/>
                <w:szCs w:val="24"/>
              </w:rPr>
            </w:pPr>
            <w:r w:rsidRPr="00FA3F9C">
              <w:rPr>
                <w:rFonts w:ascii="Arial" w:hAnsi="Arial" w:cs="Arial"/>
                <w:sz w:val="24"/>
                <w:szCs w:val="24"/>
              </w:rPr>
              <w:t xml:space="preserve">See pembrolizumab criteria for endometrial cancer. If patient meets </w:t>
            </w:r>
            <w:proofErr w:type="gramStart"/>
            <w:r w:rsidRPr="00FA3F9C">
              <w:rPr>
                <w:rFonts w:ascii="Arial" w:hAnsi="Arial" w:cs="Arial"/>
                <w:sz w:val="24"/>
                <w:szCs w:val="24"/>
              </w:rPr>
              <w:t>that criteria</w:t>
            </w:r>
            <w:proofErr w:type="gramEnd"/>
            <w:r w:rsidRPr="00FA3F9C">
              <w:rPr>
                <w:rFonts w:ascii="Arial" w:hAnsi="Arial" w:cs="Arial"/>
                <w:sz w:val="24"/>
                <w:szCs w:val="24"/>
              </w:rPr>
              <w:t xml:space="preserve">, approve </w:t>
            </w:r>
            <w:proofErr w:type="spellStart"/>
            <w:r w:rsidRPr="00FA3F9C">
              <w:rPr>
                <w:rFonts w:ascii="Arial" w:hAnsi="Arial" w:cs="Arial"/>
                <w:sz w:val="24"/>
                <w:szCs w:val="24"/>
              </w:rPr>
              <w:t>lenvatinib</w:t>
            </w:r>
            <w:proofErr w:type="spellEnd"/>
            <w:r w:rsidRPr="00FA3F9C">
              <w:rPr>
                <w:rFonts w:ascii="Arial" w:hAnsi="Arial" w:cs="Arial"/>
                <w:sz w:val="24"/>
                <w:szCs w:val="24"/>
              </w:rPr>
              <w:t xml:space="preserve"> x 12 months.</w:t>
            </w:r>
          </w:p>
        </w:tc>
      </w:tr>
    </w:tbl>
    <w:p w14:paraId="3790B871" w14:textId="77777777" w:rsidR="002641D2" w:rsidRPr="00FA3F9C" w:rsidRDefault="002641D2" w:rsidP="00EC764A">
      <w:pPr>
        <w:spacing w:after="0"/>
        <w:rPr>
          <w:rFonts w:ascii="Arial" w:hAnsi="Arial" w:cs="Arial"/>
          <w:b/>
          <w:sz w:val="24"/>
          <w:szCs w:val="24"/>
        </w:rPr>
      </w:pPr>
    </w:p>
    <w:p w14:paraId="4600AA1B" w14:textId="77777777" w:rsidR="002641D2" w:rsidRPr="00FA3F9C" w:rsidRDefault="002641D2" w:rsidP="00EC764A">
      <w:pPr>
        <w:spacing w:after="0"/>
        <w:rPr>
          <w:rFonts w:ascii="Arial" w:hAnsi="Arial" w:cs="Arial"/>
          <w:b/>
          <w:sz w:val="24"/>
          <w:szCs w:val="24"/>
        </w:rPr>
      </w:pPr>
    </w:p>
    <w:p w14:paraId="228AAC98" w14:textId="77777777" w:rsidR="002641D2" w:rsidRPr="00FA3F9C" w:rsidRDefault="002641D2" w:rsidP="008230EF">
      <w:pPr>
        <w:spacing w:after="0"/>
        <w:rPr>
          <w:rFonts w:ascii="Arial" w:hAnsi="Arial" w:cs="Arial"/>
          <w:sz w:val="24"/>
          <w:szCs w:val="24"/>
        </w:rPr>
      </w:pPr>
      <w:r w:rsidRPr="00FA3F9C">
        <w:rPr>
          <w:rFonts w:ascii="Arial" w:hAnsi="Arial" w:cs="Arial"/>
          <w:sz w:val="24"/>
          <w:szCs w:val="24"/>
        </w:rPr>
        <w:t xml:space="preserve">Notes:  </w:t>
      </w:r>
      <w:proofErr w:type="spellStart"/>
      <w:r w:rsidRPr="00FA3F9C">
        <w:rPr>
          <w:rFonts w:ascii="Arial" w:hAnsi="Arial" w:cs="Arial"/>
          <w:sz w:val="24"/>
          <w:szCs w:val="24"/>
        </w:rPr>
        <w:t>Lenvima</w:t>
      </w:r>
      <w:proofErr w:type="spellEnd"/>
      <w:r w:rsidRPr="00FA3F9C">
        <w:rPr>
          <w:rFonts w:ascii="Arial" w:hAnsi="Arial" w:cs="Arial"/>
          <w:sz w:val="24"/>
          <w:szCs w:val="24"/>
        </w:rPr>
        <w:t xml:space="preserve"> is available as packs of capsules. Each Rx should be limited to 30-day supply.</w:t>
      </w:r>
    </w:p>
    <w:tbl>
      <w:tblPr>
        <w:tblStyle w:val="TableGrid"/>
        <w:tblW w:w="0" w:type="auto"/>
        <w:tblLook w:val="04A0" w:firstRow="1" w:lastRow="0" w:firstColumn="1" w:lastColumn="0" w:noHBand="0" w:noVBand="1"/>
      </w:tblPr>
      <w:tblGrid>
        <w:gridCol w:w="3672"/>
      </w:tblGrid>
      <w:tr w:rsidR="002641D2" w:rsidRPr="00FA3F9C" w14:paraId="137908FF" w14:textId="77777777" w:rsidTr="008230EF">
        <w:tc>
          <w:tcPr>
            <w:tcW w:w="3672" w:type="dxa"/>
          </w:tcPr>
          <w:p w14:paraId="3D0C1471" w14:textId="77777777" w:rsidR="002641D2" w:rsidRPr="00FA3F9C" w:rsidRDefault="002641D2" w:rsidP="00EC764A">
            <w:pPr>
              <w:rPr>
                <w:rFonts w:ascii="Arial" w:hAnsi="Arial" w:cs="Arial"/>
                <w:sz w:val="24"/>
                <w:szCs w:val="24"/>
              </w:rPr>
            </w:pPr>
            <w:r w:rsidRPr="00FA3F9C">
              <w:rPr>
                <w:rFonts w:ascii="Arial" w:hAnsi="Arial" w:cs="Arial"/>
                <w:sz w:val="24"/>
                <w:szCs w:val="24"/>
              </w:rPr>
              <w:t>10mg (30 each)</w:t>
            </w:r>
          </w:p>
        </w:tc>
      </w:tr>
      <w:tr w:rsidR="002641D2" w:rsidRPr="00FA3F9C" w14:paraId="2A327D94" w14:textId="77777777" w:rsidTr="008230EF">
        <w:tc>
          <w:tcPr>
            <w:tcW w:w="3672" w:type="dxa"/>
          </w:tcPr>
          <w:p w14:paraId="255ADF3A" w14:textId="77777777" w:rsidR="002641D2" w:rsidRPr="00FA3F9C" w:rsidRDefault="002641D2" w:rsidP="00EC764A">
            <w:pPr>
              <w:rPr>
                <w:rFonts w:ascii="Arial" w:hAnsi="Arial" w:cs="Arial"/>
                <w:sz w:val="24"/>
                <w:szCs w:val="24"/>
              </w:rPr>
            </w:pPr>
            <w:r w:rsidRPr="00FA3F9C">
              <w:rPr>
                <w:rFonts w:ascii="Arial" w:hAnsi="Arial" w:cs="Arial"/>
                <w:sz w:val="24"/>
                <w:szCs w:val="24"/>
              </w:rPr>
              <w:t>14mg--- 10 &amp; 4mg (60 each)</w:t>
            </w:r>
          </w:p>
        </w:tc>
      </w:tr>
      <w:tr w:rsidR="002641D2" w:rsidRPr="00FA3F9C" w14:paraId="502BD1A6" w14:textId="77777777" w:rsidTr="008230EF">
        <w:tc>
          <w:tcPr>
            <w:tcW w:w="3672" w:type="dxa"/>
          </w:tcPr>
          <w:p w14:paraId="6E085182" w14:textId="77777777" w:rsidR="002641D2" w:rsidRPr="00FA3F9C" w:rsidRDefault="002641D2" w:rsidP="00EC764A">
            <w:pPr>
              <w:rPr>
                <w:rFonts w:ascii="Arial" w:hAnsi="Arial" w:cs="Arial"/>
                <w:sz w:val="24"/>
                <w:szCs w:val="24"/>
              </w:rPr>
            </w:pPr>
            <w:r w:rsidRPr="00FA3F9C">
              <w:rPr>
                <w:rFonts w:ascii="Arial" w:hAnsi="Arial" w:cs="Arial"/>
                <w:sz w:val="24"/>
                <w:szCs w:val="24"/>
              </w:rPr>
              <w:t>18mg---10mg and 2-4mg (15ea, 90ea)</w:t>
            </w:r>
          </w:p>
        </w:tc>
      </w:tr>
      <w:tr w:rsidR="002641D2" w:rsidRPr="00FA3F9C" w14:paraId="4F5E6259" w14:textId="77777777" w:rsidTr="008230EF">
        <w:tc>
          <w:tcPr>
            <w:tcW w:w="3672" w:type="dxa"/>
          </w:tcPr>
          <w:p w14:paraId="3C16BD06" w14:textId="77777777" w:rsidR="002641D2" w:rsidRPr="00FA3F9C" w:rsidRDefault="002641D2" w:rsidP="00EC764A">
            <w:pPr>
              <w:rPr>
                <w:rFonts w:ascii="Arial" w:hAnsi="Arial" w:cs="Arial"/>
                <w:sz w:val="24"/>
                <w:szCs w:val="24"/>
              </w:rPr>
            </w:pPr>
            <w:r w:rsidRPr="00FA3F9C">
              <w:rPr>
                <w:rFonts w:ascii="Arial" w:hAnsi="Arial" w:cs="Arial"/>
                <w:sz w:val="24"/>
                <w:szCs w:val="24"/>
              </w:rPr>
              <w:t xml:space="preserve">20mg--- 2-10mg (60 </w:t>
            </w:r>
            <w:proofErr w:type="spellStart"/>
            <w:r w:rsidRPr="00FA3F9C">
              <w:rPr>
                <w:rFonts w:ascii="Arial" w:hAnsi="Arial" w:cs="Arial"/>
                <w:sz w:val="24"/>
                <w:szCs w:val="24"/>
              </w:rPr>
              <w:t>ea</w:t>
            </w:r>
            <w:proofErr w:type="spellEnd"/>
            <w:r w:rsidRPr="00FA3F9C">
              <w:rPr>
                <w:rFonts w:ascii="Arial" w:hAnsi="Arial" w:cs="Arial"/>
                <w:sz w:val="24"/>
                <w:szCs w:val="24"/>
              </w:rPr>
              <w:t>)</w:t>
            </w:r>
          </w:p>
        </w:tc>
      </w:tr>
      <w:tr w:rsidR="002641D2" w:rsidRPr="00FA3F9C" w14:paraId="77BDE287" w14:textId="77777777" w:rsidTr="008230EF">
        <w:tc>
          <w:tcPr>
            <w:tcW w:w="3672" w:type="dxa"/>
          </w:tcPr>
          <w:p w14:paraId="72EFE1FF" w14:textId="77777777" w:rsidR="002641D2" w:rsidRPr="00FA3F9C" w:rsidRDefault="002641D2" w:rsidP="00EC764A">
            <w:pPr>
              <w:rPr>
                <w:rFonts w:ascii="Arial" w:hAnsi="Arial" w:cs="Arial"/>
                <w:sz w:val="24"/>
                <w:szCs w:val="24"/>
              </w:rPr>
            </w:pPr>
            <w:r w:rsidRPr="00FA3F9C">
              <w:rPr>
                <w:rFonts w:ascii="Arial" w:hAnsi="Arial" w:cs="Arial"/>
                <w:sz w:val="24"/>
                <w:szCs w:val="24"/>
              </w:rPr>
              <w:t xml:space="preserve">24mg---2-10mg and 4mg (90 </w:t>
            </w:r>
            <w:proofErr w:type="spellStart"/>
            <w:r w:rsidRPr="00FA3F9C">
              <w:rPr>
                <w:rFonts w:ascii="Arial" w:hAnsi="Arial" w:cs="Arial"/>
                <w:sz w:val="24"/>
                <w:szCs w:val="24"/>
              </w:rPr>
              <w:t>ea</w:t>
            </w:r>
            <w:proofErr w:type="spellEnd"/>
            <w:r w:rsidRPr="00FA3F9C">
              <w:rPr>
                <w:rFonts w:ascii="Arial" w:hAnsi="Arial" w:cs="Arial"/>
                <w:sz w:val="24"/>
                <w:szCs w:val="24"/>
              </w:rPr>
              <w:t>)</w:t>
            </w:r>
          </w:p>
        </w:tc>
      </w:tr>
      <w:tr w:rsidR="002641D2" w:rsidRPr="00FA3F9C" w14:paraId="35DE2F04" w14:textId="77777777" w:rsidTr="008230EF">
        <w:tc>
          <w:tcPr>
            <w:tcW w:w="3672" w:type="dxa"/>
          </w:tcPr>
          <w:p w14:paraId="4AA84EA7" w14:textId="77777777" w:rsidR="002641D2" w:rsidRPr="00FA3F9C" w:rsidRDefault="002641D2" w:rsidP="00EC764A">
            <w:pPr>
              <w:rPr>
                <w:rFonts w:ascii="Arial" w:hAnsi="Arial" w:cs="Arial"/>
                <w:sz w:val="24"/>
                <w:szCs w:val="24"/>
              </w:rPr>
            </w:pPr>
            <w:r w:rsidRPr="00FA3F9C">
              <w:rPr>
                <w:rFonts w:ascii="Arial" w:hAnsi="Arial" w:cs="Arial"/>
                <w:sz w:val="24"/>
                <w:szCs w:val="24"/>
              </w:rPr>
              <w:t>8mg---2-4mg (10ea, 60ea)</w:t>
            </w:r>
          </w:p>
        </w:tc>
      </w:tr>
    </w:tbl>
    <w:p w14:paraId="27BE77D5" w14:textId="77777777" w:rsidR="002641D2" w:rsidRPr="00FA3F9C" w:rsidRDefault="002641D2" w:rsidP="00EC764A">
      <w:pPr>
        <w:spacing w:after="0"/>
        <w:rPr>
          <w:rFonts w:ascii="Arial" w:hAnsi="Arial" w:cs="Arial"/>
          <w:sz w:val="24"/>
          <w:szCs w:val="24"/>
        </w:rPr>
      </w:pPr>
    </w:p>
    <w:p w14:paraId="5107F5E1" w14:textId="77777777" w:rsidR="002641D2" w:rsidRPr="00FA3F9C" w:rsidRDefault="002641D2" w:rsidP="0052674A">
      <w:pPr>
        <w:spacing w:after="0"/>
        <w:rPr>
          <w:rFonts w:ascii="Arial" w:hAnsi="Arial" w:cs="Arial"/>
          <w:sz w:val="24"/>
          <w:szCs w:val="24"/>
        </w:rPr>
      </w:pPr>
    </w:p>
    <w:tbl>
      <w:tblPr>
        <w:tblStyle w:val="TableGrid"/>
        <w:tblW w:w="0" w:type="auto"/>
        <w:tblLook w:val="04A0" w:firstRow="1" w:lastRow="0" w:firstColumn="1" w:lastColumn="0" w:noHBand="0" w:noVBand="1"/>
      </w:tblPr>
      <w:tblGrid>
        <w:gridCol w:w="1418"/>
        <w:gridCol w:w="7830"/>
        <w:gridCol w:w="1710"/>
      </w:tblGrid>
      <w:tr w:rsidR="002641D2" w:rsidRPr="00FA3F9C" w14:paraId="503EEB7F" w14:textId="77777777" w:rsidTr="00230596">
        <w:tc>
          <w:tcPr>
            <w:tcW w:w="1278" w:type="dxa"/>
          </w:tcPr>
          <w:p w14:paraId="397087DD" w14:textId="77777777" w:rsidR="002641D2" w:rsidRPr="00FA3F9C" w:rsidRDefault="002641D2" w:rsidP="002952FB">
            <w:pPr>
              <w:jc w:val="center"/>
              <w:rPr>
                <w:rFonts w:ascii="Arial" w:hAnsi="Arial" w:cs="Arial"/>
                <w:b/>
                <w:sz w:val="24"/>
                <w:szCs w:val="24"/>
              </w:rPr>
            </w:pPr>
            <w:r w:rsidRPr="00FA3F9C">
              <w:rPr>
                <w:rFonts w:ascii="Arial" w:hAnsi="Arial" w:cs="Arial"/>
                <w:b/>
                <w:sz w:val="24"/>
                <w:szCs w:val="24"/>
              </w:rPr>
              <w:t>Date</w:t>
            </w:r>
          </w:p>
        </w:tc>
        <w:tc>
          <w:tcPr>
            <w:tcW w:w="7830" w:type="dxa"/>
          </w:tcPr>
          <w:p w14:paraId="2D18FBEF" w14:textId="77777777" w:rsidR="002641D2" w:rsidRPr="00FA3F9C" w:rsidRDefault="002641D2" w:rsidP="002952FB">
            <w:pPr>
              <w:jc w:val="center"/>
              <w:rPr>
                <w:rFonts w:ascii="Arial" w:hAnsi="Arial" w:cs="Arial"/>
                <w:b/>
                <w:sz w:val="24"/>
                <w:szCs w:val="24"/>
              </w:rPr>
            </w:pPr>
            <w:r w:rsidRPr="00FA3F9C">
              <w:rPr>
                <w:rFonts w:ascii="Arial" w:hAnsi="Arial" w:cs="Arial"/>
                <w:b/>
                <w:sz w:val="24"/>
                <w:szCs w:val="24"/>
              </w:rPr>
              <w:t>What changed</w:t>
            </w:r>
          </w:p>
        </w:tc>
        <w:tc>
          <w:tcPr>
            <w:tcW w:w="1710" w:type="dxa"/>
          </w:tcPr>
          <w:p w14:paraId="3285C0B7" w14:textId="77777777" w:rsidR="002641D2" w:rsidRPr="00FA3F9C" w:rsidRDefault="002641D2" w:rsidP="002952FB">
            <w:pPr>
              <w:jc w:val="center"/>
              <w:rPr>
                <w:rFonts w:ascii="Arial" w:hAnsi="Arial" w:cs="Arial"/>
                <w:b/>
                <w:sz w:val="24"/>
                <w:szCs w:val="24"/>
              </w:rPr>
            </w:pPr>
            <w:r w:rsidRPr="00FA3F9C">
              <w:rPr>
                <w:rFonts w:ascii="Arial" w:hAnsi="Arial" w:cs="Arial"/>
                <w:b/>
                <w:sz w:val="24"/>
                <w:szCs w:val="24"/>
              </w:rPr>
              <w:t>PharmD Initials</w:t>
            </w:r>
          </w:p>
        </w:tc>
      </w:tr>
      <w:tr w:rsidR="002641D2" w:rsidRPr="00FA3F9C" w14:paraId="5DA647B1" w14:textId="77777777" w:rsidTr="00230596">
        <w:tc>
          <w:tcPr>
            <w:tcW w:w="1278" w:type="dxa"/>
          </w:tcPr>
          <w:p w14:paraId="18DD37C3" w14:textId="77777777" w:rsidR="002641D2" w:rsidRPr="00FA3F9C" w:rsidRDefault="002641D2" w:rsidP="002952FB">
            <w:pPr>
              <w:rPr>
                <w:rFonts w:ascii="Arial" w:hAnsi="Arial" w:cs="Arial"/>
                <w:sz w:val="24"/>
                <w:szCs w:val="24"/>
              </w:rPr>
            </w:pPr>
            <w:r w:rsidRPr="00FA3F9C">
              <w:rPr>
                <w:rFonts w:ascii="Arial" w:hAnsi="Arial" w:cs="Arial"/>
                <w:sz w:val="24"/>
                <w:szCs w:val="24"/>
              </w:rPr>
              <w:t>8.19.2016</w:t>
            </w:r>
          </w:p>
        </w:tc>
        <w:tc>
          <w:tcPr>
            <w:tcW w:w="7830" w:type="dxa"/>
          </w:tcPr>
          <w:p w14:paraId="79B0F865" w14:textId="77777777" w:rsidR="002641D2" w:rsidRPr="00FA3F9C" w:rsidRDefault="002641D2" w:rsidP="002952FB">
            <w:pPr>
              <w:rPr>
                <w:rFonts w:ascii="Arial" w:hAnsi="Arial" w:cs="Arial"/>
                <w:sz w:val="24"/>
                <w:szCs w:val="24"/>
              </w:rPr>
            </w:pPr>
            <w:r w:rsidRPr="00FA3F9C">
              <w:rPr>
                <w:rFonts w:ascii="Arial" w:hAnsi="Arial" w:cs="Arial"/>
                <w:sz w:val="24"/>
                <w:szCs w:val="24"/>
              </w:rPr>
              <w:t>PA criteria written</w:t>
            </w:r>
          </w:p>
        </w:tc>
        <w:tc>
          <w:tcPr>
            <w:tcW w:w="1710" w:type="dxa"/>
          </w:tcPr>
          <w:p w14:paraId="1536429D" w14:textId="77777777" w:rsidR="002641D2" w:rsidRPr="00FA3F9C" w:rsidRDefault="002641D2" w:rsidP="002952FB">
            <w:pPr>
              <w:rPr>
                <w:rFonts w:ascii="Arial" w:hAnsi="Arial" w:cs="Arial"/>
                <w:sz w:val="24"/>
                <w:szCs w:val="24"/>
              </w:rPr>
            </w:pPr>
            <w:r w:rsidRPr="00FA3F9C">
              <w:rPr>
                <w:rFonts w:ascii="Arial" w:hAnsi="Arial" w:cs="Arial"/>
                <w:sz w:val="24"/>
                <w:szCs w:val="24"/>
              </w:rPr>
              <w:t>GBB</w:t>
            </w:r>
          </w:p>
        </w:tc>
      </w:tr>
      <w:tr w:rsidR="002641D2" w:rsidRPr="00FA3F9C" w14:paraId="2EDD411C" w14:textId="77777777" w:rsidTr="00230596">
        <w:tc>
          <w:tcPr>
            <w:tcW w:w="1278" w:type="dxa"/>
          </w:tcPr>
          <w:p w14:paraId="4F193627" w14:textId="77777777" w:rsidR="002641D2" w:rsidRPr="00FA3F9C" w:rsidRDefault="002641D2" w:rsidP="002952FB">
            <w:pPr>
              <w:rPr>
                <w:rFonts w:ascii="Arial" w:hAnsi="Arial" w:cs="Arial"/>
                <w:sz w:val="24"/>
                <w:szCs w:val="24"/>
              </w:rPr>
            </w:pPr>
            <w:r w:rsidRPr="00FA3F9C">
              <w:rPr>
                <w:rFonts w:ascii="Arial" w:hAnsi="Arial" w:cs="Arial"/>
                <w:sz w:val="24"/>
                <w:szCs w:val="24"/>
              </w:rPr>
              <w:lastRenderedPageBreak/>
              <w:t>12/29/2016</w:t>
            </w:r>
          </w:p>
        </w:tc>
        <w:tc>
          <w:tcPr>
            <w:tcW w:w="7830" w:type="dxa"/>
          </w:tcPr>
          <w:p w14:paraId="153F62BE" w14:textId="77777777" w:rsidR="002641D2" w:rsidRPr="00FA3F9C" w:rsidRDefault="002641D2" w:rsidP="002952FB">
            <w:pPr>
              <w:rPr>
                <w:rFonts w:ascii="Arial" w:hAnsi="Arial" w:cs="Arial"/>
                <w:sz w:val="24"/>
                <w:szCs w:val="24"/>
              </w:rPr>
            </w:pPr>
          </w:p>
        </w:tc>
        <w:tc>
          <w:tcPr>
            <w:tcW w:w="1710" w:type="dxa"/>
          </w:tcPr>
          <w:p w14:paraId="3BBBCE11" w14:textId="77777777" w:rsidR="002641D2" w:rsidRPr="00FA3F9C" w:rsidRDefault="002641D2" w:rsidP="002952FB">
            <w:pPr>
              <w:rPr>
                <w:rFonts w:ascii="Arial" w:hAnsi="Arial" w:cs="Arial"/>
                <w:sz w:val="24"/>
                <w:szCs w:val="24"/>
              </w:rPr>
            </w:pPr>
            <w:r w:rsidRPr="00FA3F9C">
              <w:rPr>
                <w:rFonts w:ascii="Arial" w:hAnsi="Arial" w:cs="Arial"/>
                <w:sz w:val="24"/>
                <w:szCs w:val="24"/>
              </w:rPr>
              <w:t>JJ</w:t>
            </w:r>
          </w:p>
        </w:tc>
      </w:tr>
      <w:tr w:rsidR="002641D2" w:rsidRPr="00FA3F9C" w14:paraId="0B53FEEE" w14:textId="77777777" w:rsidTr="00230596">
        <w:tc>
          <w:tcPr>
            <w:tcW w:w="1278" w:type="dxa"/>
          </w:tcPr>
          <w:p w14:paraId="7917AE54" w14:textId="77777777" w:rsidR="002641D2" w:rsidRPr="00FA3F9C" w:rsidRDefault="002641D2" w:rsidP="002952FB">
            <w:pPr>
              <w:rPr>
                <w:rFonts w:ascii="Arial" w:hAnsi="Arial" w:cs="Arial"/>
                <w:sz w:val="24"/>
                <w:szCs w:val="24"/>
              </w:rPr>
            </w:pPr>
            <w:r w:rsidRPr="00FA3F9C">
              <w:rPr>
                <w:rFonts w:ascii="Arial" w:hAnsi="Arial" w:cs="Arial"/>
                <w:sz w:val="24"/>
                <w:szCs w:val="24"/>
              </w:rPr>
              <w:t>6/17/19</w:t>
            </w:r>
          </w:p>
        </w:tc>
        <w:tc>
          <w:tcPr>
            <w:tcW w:w="7830" w:type="dxa"/>
          </w:tcPr>
          <w:p w14:paraId="1C87C095" w14:textId="77777777" w:rsidR="002641D2" w:rsidRPr="00FA3F9C" w:rsidRDefault="002641D2" w:rsidP="002952FB">
            <w:pPr>
              <w:rPr>
                <w:rFonts w:ascii="Arial" w:hAnsi="Arial" w:cs="Arial"/>
                <w:sz w:val="24"/>
                <w:szCs w:val="24"/>
              </w:rPr>
            </w:pPr>
            <w:r w:rsidRPr="00FA3F9C">
              <w:rPr>
                <w:rFonts w:ascii="Arial" w:hAnsi="Arial" w:cs="Arial"/>
                <w:sz w:val="24"/>
                <w:szCs w:val="24"/>
              </w:rPr>
              <w:t>Criteria reviewed. Added new covered indications (thyroid cancer and HCC)</w:t>
            </w:r>
          </w:p>
        </w:tc>
        <w:tc>
          <w:tcPr>
            <w:tcW w:w="1710" w:type="dxa"/>
          </w:tcPr>
          <w:p w14:paraId="1EF3D58B" w14:textId="77777777" w:rsidR="002641D2" w:rsidRPr="00FA3F9C" w:rsidRDefault="002641D2" w:rsidP="002952FB">
            <w:pPr>
              <w:rPr>
                <w:rFonts w:ascii="Arial" w:hAnsi="Arial" w:cs="Arial"/>
                <w:sz w:val="24"/>
                <w:szCs w:val="24"/>
              </w:rPr>
            </w:pPr>
            <w:r w:rsidRPr="00FA3F9C">
              <w:rPr>
                <w:rFonts w:ascii="Arial" w:hAnsi="Arial" w:cs="Arial"/>
                <w:sz w:val="24"/>
                <w:szCs w:val="24"/>
              </w:rPr>
              <w:t>SK</w:t>
            </w:r>
          </w:p>
        </w:tc>
      </w:tr>
      <w:tr w:rsidR="002641D2" w:rsidRPr="00FA3F9C" w14:paraId="2C48301A" w14:textId="77777777" w:rsidTr="00230596">
        <w:tc>
          <w:tcPr>
            <w:tcW w:w="1278" w:type="dxa"/>
          </w:tcPr>
          <w:p w14:paraId="3067A43D" w14:textId="77777777" w:rsidR="002641D2" w:rsidRPr="00FA3F9C" w:rsidRDefault="002641D2" w:rsidP="002952FB">
            <w:pPr>
              <w:rPr>
                <w:rFonts w:ascii="Arial" w:hAnsi="Arial" w:cs="Arial"/>
                <w:sz w:val="24"/>
                <w:szCs w:val="24"/>
              </w:rPr>
            </w:pPr>
            <w:r w:rsidRPr="00FA3F9C">
              <w:rPr>
                <w:rFonts w:ascii="Arial" w:hAnsi="Arial" w:cs="Arial"/>
                <w:sz w:val="24"/>
                <w:szCs w:val="24"/>
              </w:rPr>
              <w:t>6/16/2020</w:t>
            </w:r>
          </w:p>
        </w:tc>
        <w:tc>
          <w:tcPr>
            <w:tcW w:w="7830" w:type="dxa"/>
          </w:tcPr>
          <w:p w14:paraId="13147F58" w14:textId="77777777" w:rsidR="002641D2" w:rsidRPr="00FA3F9C" w:rsidRDefault="002641D2" w:rsidP="002952FB">
            <w:pPr>
              <w:rPr>
                <w:rFonts w:ascii="Arial" w:hAnsi="Arial" w:cs="Arial"/>
                <w:sz w:val="24"/>
                <w:szCs w:val="24"/>
              </w:rPr>
            </w:pPr>
            <w:r w:rsidRPr="00FA3F9C">
              <w:rPr>
                <w:rFonts w:ascii="Arial" w:hAnsi="Arial" w:cs="Arial"/>
                <w:sz w:val="24"/>
                <w:szCs w:val="24"/>
              </w:rPr>
              <w:t xml:space="preserve">Criteria reviewed. Added new endometrial cancer indication (not covered) Added that cost of </w:t>
            </w:r>
            <w:proofErr w:type="spellStart"/>
            <w:r w:rsidRPr="00FA3F9C">
              <w:rPr>
                <w:rFonts w:ascii="Arial" w:hAnsi="Arial" w:cs="Arial"/>
                <w:sz w:val="24"/>
                <w:szCs w:val="24"/>
              </w:rPr>
              <w:t>lenvatinib</w:t>
            </w:r>
            <w:proofErr w:type="spellEnd"/>
            <w:r w:rsidRPr="00FA3F9C">
              <w:rPr>
                <w:rFonts w:ascii="Arial" w:hAnsi="Arial" w:cs="Arial"/>
                <w:sz w:val="24"/>
                <w:szCs w:val="24"/>
              </w:rPr>
              <w:t xml:space="preserve"> for hepatocellular carcinoma is slightly cheaper than sorafenib. No change to criteria</w:t>
            </w:r>
          </w:p>
        </w:tc>
        <w:tc>
          <w:tcPr>
            <w:tcW w:w="1710" w:type="dxa"/>
          </w:tcPr>
          <w:p w14:paraId="14661BE1" w14:textId="77777777" w:rsidR="002641D2" w:rsidRPr="00FA3F9C" w:rsidRDefault="002641D2" w:rsidP="002952FB">
            <w:pPr>
              <w:rPr>
                <w:rFonts w:ascii="Arial" w:hAnsi="Arial" w:cs="Arial"/>
                <w:sz w:val="24"/>
                <w:szCs w:val="24"/>
              </w:rPr>
            </w:pPr>
            <w:r w:rsidRPr="00FA3F9C">
              <w:rPr>
                <w:rFonts w:ascii="Arial" w:hAnsi="Arial" w:cs="Arial"/>
                <w:sz w:val="24"/>
                <w:szCs w:val="24"/>
              </w:rPr>
              <w:t>SK</w:t>
            </w:r>
          </w:p>
        </w:tc>
      </w:tr>
      <w:tr w:rsidR="002641D2" w:rsidRPr="00FA3F9C" w14:paraId="624663C9" w14:textId="77777777" w:rsidTr="00230596">
        <w:tc>
          <w:tcPr>
            <w:tcW w:w="1278" w:type="dxa"/>
          </w:tcPr>
          <w:p w14:paraId="686A131C" w14:textId="77777777" w:rsidR="002641D2" w:rsidRPr="00FA3F9C" w:rsidRDefault="002641D2" w:rsidP="002952FB">
            <w:pPr>
              <w:rPr>
                <w:rFonts w:ascii="Arial" w:hAnsi="Arial" w:cs="Arial"/>
                <w:sz w:val="24"/>
                <w:szCs w:val="24"/>
              </w:rPr>
            </w:pPr>
            <w:r w:rsidRPr="00FA3F9C">
              <w:rPr>
                <w:rFonts w:ascii="Arial" w:hAnsi="Arial" w:cs="Arial"/>
                <w:sz w:val="24"/>
                <w:szCs w:val="24"/>
              </w:rPr>
              <w:t>7/29/2021</w:t>
            </w:r>
          </w:p>
        </w:tc>
        <w:tc>
          <w:tcPr>
            <w:tcW w:w="7830" w:type="dxa"/>
          </w:tcPr>
          <w:p w14:paraId="486C05D1" w14:textId="77777777" w:rsidR="002641D2" w:rsidRPr="00FA3F9C" w:rsidRDefault="002641D2" w:rsidP="00AB2D96">
            <w:pPr>
              <w:rPr>
                <w:rFonts w:ascii="Arial" w:hAnsi="Arial" w:cs="Arial"/>
                <w:sz w:val="24"/>
                <w:szCs w:val="24"/>
              </w:rPr>
            </w:pPr>
            <w:proofErr w:type="gramStart"/>
            <w:r w:rsidRPr="00FA3F9C">
              <w:rPr>
                <w:rFonts w:ascii="Arial" w:hAnsi="Arial" w:cs="Arial"/>
                <w:sz w:val="24"/>
                <w:szCs w:val="24"/>
              </w:rPr>
              <w:t>Starting covering</w:t>
            </w:r>
            <w:proofErr w:type="gramEnd"/>
            <w:r w:rsidRPr="00FA3F9C">
              <w:rPr>
                <w:rFonts w:ascii="Arial" w:hAnsi="Arial" w:cs="Arial"/>
                <w:sz w:val="24"/>
                <w:szCs w:val="24"/>
              </w:rPr>
              <w:t xml:space="preserve"> for endometrial carcinoma in combination with pembrolizumab. Made note to see pembrolizumab criteria. If patient meets that criteria, approved </w:t>
            </w:r>
            <w:proofErr w:type="spellStart"/>
            <w:r w:rsidRPr="00FA3F9C">
              <w:rPr>
                <w:rFonts w:ascii="Arial" w:hAnsi="Arial" w:cs="Arial"/>
                <w:sz w:val="24"/>
                <w:szCs w:val="24"/>
              </w:rPr>
              <w:t>lenvatinib</w:t>
            </w:r>
            <w:proofErr w:type="spellEnd"/>
            <w:r w:rsidRPr="00FA3F9C">
              <w:rPr>
                <w:rFonts w:ascii="Arial" w:hAnsi="Arial" w:cs="Arial"/>
                <w:sz w:val="24"/>
                <w:szCs w:val="24"/>
              </w:rPr>
              <w:t xml:space="preserve"> x 12 months</w:t>
            </w:r>
          </w:p>
        </w:tc>
        <w:tc>
          <w:tcPr>
            <w:tcW w:w="1710" w:type="dxa"/>
          </w:tcPr>
          <w:p w14:paraId="73280B4C" w14:textId="77777777" w:rsidR="002641D2" w:rsidRPr="00FA3F9C" w:rsidRDefault="002641D2" w:rsidP="002952FB">
            <w:pPr>
              <w:rPr>
                <w:rFonts w:ascii="Arial" w:hAnsi="Arial" w:cs="Arial"/>
                <w:sz w:val="24"/>
                <w:szCs w:val="24"/>
              </w:rPr>
            </w:pPr>
            <w:r w:rsidRPr="00FA3F9C">
              <w:rPr>
                <w:rFonts w:ascii="Arial" w:hAnsi="Arial" w:cs="Arial"/>
                <w:sz w:val="24"/>
                <w:szCs w:val="24"/>
              </w:rPr>
              <w:t>SK</w:t>
            </w:r>
          </w:p>
        </w:tc>
      </w:tr>
      <w:tr w:rsidR="002641D2" w:rsidRPr="00FA3F9C" w14:paraId="45B79A4F" w14:textId="77777777" w:rsidTr="00230596">
        <w:tc>
          <w:tcPr>
            <w:tcW w:w="1278" w:type="dxa"/>
          </w:tcPr>
          <w:p w14:paraId="416EF58E" w14:textId="77777777" w:rsidR="002641D2" w:rsidRPr="00FA3F9C" w:rsidRDefault="002641D2" w:rsidP="002952FB">
            <w:pPr>
              <w:rPr>
                <w:rFonts w:ascii="Arial" w:hAnsi="Arial" w:cs="Arial"/>
                <w:sz w:val="24"/>
                <w:szCs w:val="24"/>
              </w:rPr>
            </w:pPr>
            <w:r w:rsidRPr="00FA3F9C">
              <w:rPr>
                <w:rFonts w:ascii="Arial" w:hAnsi="Arial" w:cs="Arial"/>
                <w:sz w:val="24"/>
                <w:szCs w:val="24"/>
              </w:rPr>
              <w:t>9/21/2021</w:t>
            </w:r>
          </w:p>
        </w:tc>
        <w:tc>
          <w:tcPr>
            <w:tcW w:w="7830" w:type="dxa"/>
          </w:tcPr>
          <w:p w14:paraId="58CF12C4" w14:textId="77777777" w:rsidR="002641D2" w:rsidRPr="00FA3F9C" w:rsidRDefault="002641D2" w:rsidP="00AB2D96">
            <w:pPr>
              <w:rPr>
                <w:rFonts w:ascii="Arial" w:hAnsi="Arial" w:cs="Arial"/>
                <w:sz w:val="24"/>
                <w:szCs w:val="24"/>
              </w:rPr>
            </w:pPr>
            <w:r w:rsidRPr="00FA3F9C">
              <w:rPr>
                <w:rFonts w:ascii="Arial" w:hAnsi="Arial" w:cs="Arial"/>
                <w:sz w:val="24"/>
                <w:szCs w:val="24"/>
              </w:rPr>
              <w:t>Added criteria for use in combination with pembrolizumab for RCC</w:t>
            </w:r>
          </w:p>
        </w:tc>
        <w:tc>
          <w:tcPr>
            <w:tcW w:w="1710" w:type="dxa"/>
          </w:tcPr>
          <w:p w14:paraId="1B0FBC4D" w14:textId="77777777" w:rsidR="002641D2" w:rsidRPr="00FA3F9C" w:rsidRDefault="002641D2" w:rsidP="002952FB">
            <w:pPr>
              <w:rPr>
                <w:rFonts w:ascii="Arial" w:hAnsi="Arial" w:cs="Arial"/>
                <w:sz w:val="24"/>
                <w:szCs w:val="24"/>
              </w:rPr>
            </w:pPr>
            <w:r w:rsidRPr="00FA3F9C">
              <w:rPr>
                <w:rFonts w:ascii="Arial" w:hAnsi="Arial" w:cs="Arial"/>
                <w:sz w:val="24"/>
                <w:szCs w:val="24"/>
              </w:rPr>
              <w:t>SK</w:t>
            </w:r>
          </w:p>
        </w:tc>
      </w:tr>
    </w:tbl>
    <w:p w14:paraId="2FA7955A" w14:textId="77777777" w:rsidR="002641D2" w:rsidRPr="00FA3F9C" w:rsidRDefault="002641D2" w:rsidP="0006206A">
      <w:pPr>
        <w:spacing w:after="0"/>
        <w:rPr>
          <w:rFonts w:ascii="Arial" w:hAnsi="Arial" w:cs="Arial"/>
          <w:b/>
          <w:sz w:val="24"/>
          <w:szCs w:val="24"/>
        </w:rPr>
      </w:pPr>
    </w:p>
    <w:p w14:paraId="4B197091" w14:textId="77777777" w:rsidR="002641D2" w:rsidRPr="00FA3F9C" w:rsidRDefault="002641D2" w:rsidP="0006206A">
      <w:pPr>
        <w:spacing w:after="0"/>
        <w:rPr>
          <w:rFonts w:ascii="Arial" w:hAnsi="Arial" w:cs="Arial"/>
          <w:b/>
          <w:sz w:val="24"/>
          <w:szCs w:val="24"/>
        </w:rPr>
      </w:pPr>
    </w:p>
    <w:p w14:paraId="2A004078" w14:textId="77777777" w:rsidR="002641D2" w:rsidRPr="00FA3F9C" w:rsidRDefault="002641D2" w:rsidP="0006206A">
      <w:pPr>
        <w:spacing w:after="0"/>
        <w:rPr>
          <w:rFonts w:ascii="Arial" w:hAnsi="Arial" w:cs="Arial"/>
          <w:b/>
          <w:sz w:val="24"/>
          <w:szCs w:val="24"/>
        </w:rPr>
      </w:pPr>
    </w:p>
    <w:p w14:paraId="73BA81CC" w14:textId="77777777" w:rsidR="002641D2" w:rsidRPr="00FA3F9C" w:rsidRDefault="002641D2" w:rsidP="002A1632">
      <w:pPr>
        <w:pStyle w:val="Heading2"/>
      </w:pPr>
      <w:bookmarkStart w:id="167" w:name="_Toc106369846"/>
      <w:proofErr w:type="spellStart"/>
      <w:r w:rsidRPr="00FA3F9C">
        <w:t>Letermovir</w:t>
      </w:r>
      <w:proofErr w:type="spellEnd"/>
      <w:r w:rsidRPr="00FA3F9C">
        <w:t xml:space="preserve"> (</w:t>
      </w:r>
      <w:proofErr w:type="spellStart"/>
      <w:r w:rsidRPr="00FA3F9C">
        <w:t>Prevymis</w:t>
      </w:r>
      <w:proofErr w:type="spellEnd"/>
      <w:r w:rsidRPr="00FA3F9C">
        <w:t>)</w:t>
      </w:r>
      <w:bookmarkEnd w:id="167"/>
    </w:p>
    <w:p w14:paraId="55125563" w14:textId="77777777" w:rsidR="002641D2" w:rsidRPr="00FA3F9C" w:rsidRDefault="002641D2" w:rsidP="006F623F">
      <w:pPr>
        <w:spacing w:after="0"/>
        <w:jc w:val="center"/>
        <w:rPr>
          <w:rFonts w:ascii="Arial" w:hAnsi="Arial" w:cs="Arial"/>
          <w:sz w:val="24"/>
          <w:szCs w:val="24"/>
        </w:rPr>
      </w:pPr>
      <w:r w:rsidRPr="00FA3F9C">
        <w:rPr>
          <w:rFonts w:ascii="Arial" w:hAnsi="Arial" w:cs="Arial"/>
          <w:sz w:val="24"/>
          <w:szCs w:val="24"/>
        </w:rPr>
        <w:t>240, 480 mg tablet</w:t>
      </w:r>
    </w:p>
    <w:p w14:paraId="3B628E8E" w14:textId="77777777" w:rsidR="002641D2" w:rsidRPr="00FA3F9C" w:rsidRDefault="002641D2" w:rsidP="006F623F">
      <w:pPr>
        <w:spacing w:after="0"/>
        <w:jc w:val="center"/>
        <w:rPr>
          <w:rFonts w:ascii="Arial" w:hAnsi="Arial" w:cs="Arial"/>
          <w:sz w:val="24"/>
          <w:szCs w:val="24"/>
        </w:rPr>
      </w:pPr>
      <w:r w:rsidRPr="00FA3F9C">
        <w:rPr>
          <w:rFonts w:ascii="Arial" w:hAnsi="Arial" w:cs="Arial"/>
          <w:sz w:val="24"/>
          <w:szCs w:val="24"/>
        </w:rPr>
        <w:t>EBRx PA Criteria</w:t>
      </w:r>
    </w:p>
    <w:p w14:paraId="4F03C463" w14:textId="77777777" w:rsidR="002641D2" w:rsidRPr="00FA3F9C" w:rsidRDefault="002641D2" w:rsidP="006F623F">
      <w:pPr>
        <w:spacing w:after="0"/>
        <w:rPr>
          <w:rFonts w:ascii="Arial" w:hAnsi="Arial" w:cs="Arial"/>
          <w:b/>
          <w:sz w:val="24"/>
          <w:szCs w:val="24"/>
          <w:u w:val="single"/>
        </w:rPr>
      </w:pPr>
    </w:p>
    <w:p w14:paraId="5E91EBE5" w14:textId="77777777" w:rsidR="002641D2" w:rsidRPr="00FA3F9C" w:rsidRDefault="002641D2"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w:t>
      </w:r>
    </w:p>
    <w:p w14:paraId="1F13998B" w14:textId="77777777" w:rsidR="002641D2" w:rsidRPr="00FA3F9C" w:rsidRDefault="002641D2" w:rsidP="002641D2">
      <w:pPr>
        <w:pStyle w:val="ListParagraph"/>
        <w:numPr>
          <w:ilvl w:val="0"/>
          <w:numId w:val="311"/>
        </w:numPr>
        <w:spacing w:after="0" w:line="276" w:lineRule="auto"/>
        <w:ind w:left="360" w:hanging="270"/>
        <w:rPr>
          <w:rFonts w:ascii="Arial" w:hAnsi="Arial" w:cs="Arial"/>
          <w:sz w:val="24"/>
          <w:szCs w:val="24"/>
        </w:rPr>
      </w:pPr>
      <w:r w:rsidRPr="00FA3F9C">
        <w:rPr>
          <w:rFonts w:ascii="Arial" w:hAnsi="Arial" w:cs="Arial"/>
          <w:sz w:val="24"/>
          <w:szCs w:val="24"/>
        </w:rPr>
        <w:t xml:space="preserve">Prophylaxis of cytomegalovirus (CMV) infection and disease in adult CMV-seropositive recipients [R+] of an allogeneic hematopoietic stem cell transplant (HSCT). </w:t>
      </w:r>
    </w:p>
    <w:p w14:paraId="4DF62BCF" w14:textId="77777777" w:rsidR="002641D2" w:rsidRPr="00FA3F9C" w:rsidRDefault="002641D2" w:rsidP="006F623F">
      <w:pPr>
        <w:spacing w:after="0"/>
        <w:rPr>
          <w:rFonts w:ascii="Arial" w:hAnsi="Arial" w:cs="Arial"/>
          <w:sz w:val="24"/>
          <w:szCs w:val="24"/>
        </w:rPr>
      </w:pPr>
    </w:p>
    <w:tbl>
      <w:tblPr>
        <w:tblStyle w:val="TableGrid"/>
        <w:tblW w:w="0" w:type="auto"/>
        <w:tblLook w:val="04A0" w:firstRow="1" w:lastRow="0" w:firstColumn="1" w:lastColumn="0" w:noHBand="0" w:noVBand="1"/>
      </w:tblPr>
      <w:tblGrid>
        <w:gridCol w:w="8928"/>
        <w:gridCol w:w="2088"/>
      </w:tblGrid>
      <w:tr w:rsidR="002641D2" w:rsidRPr="00FA3F9C" w14:paraId="3CDF5CB0" w14:textId="77777777" w:rsidTr="00571CAB">
        <w:tc>
          <w:tcPr>
            <w:tcW w:w="8928" w:type="dxa"/>
            <w:shd w:val="clear" w:color="auto" w:fill="000000"/>
          </w:tcPr>
          <w:p w14:paraId="77FB7485" w14:textId="77777777" w:rsidR="002641D2" w:rsidRPr="00FA3F9C" w:rsidRDefault="002641D2"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88" w:type="dxa"/>
            <w:shd w:val="clear" w:color="auto" w:fill="000000"/>
          </w:tcPr>
          <w:p w14:paraId="04B207BC" w14:textId="77777777" w:rsidR="002641D2" w:rsidRPr="00FA3F9C" w:rsidRDefault="002641D2" w:rsidP="006F623F">
            <w:pPr>
              <w:jc w:val="center"/>
              <w:rPr>
                <w:rFonts w:ascii="Arial" w:hAnsi="Arial" w:cs="Arial"/>
                <w:b/>
                <w:sz w:val="24"/>
                <w:szCs w:val="24"/>
                <w:u w:val="single"/>
              </w:rPr>
            </w:pPr>
          </w:p>
        </w:tc>
      </w:tr>
      <w:tr w:rsidR="002641D2" w:rsidRPr="00FA3F9C" w14:paraId="1F17CCE4" w14:textId="77777777" w:rsidTr="00F337AE">
        <w:tc>
          <w:tcPr>
            <w:tcW w:w="11016" w:type="dxa"/>
            <w:gridSpan w:val="2"/>
          </w:tcPr>
          <w:p w14:paraId="5FF397EA" w14:textId="77777777" w:rsidR="002641D2" w:rsidRPr="00FA3F9C" w:rsidRDefault="002641D2" w:rsidP="00904BC4">
            <w:pPr>
              <w:rPr>
                <w:rFonts w:ascii="Arial" w:hAnsi="Arial" w:cs="Arial"/>
                <w:sz w:val="24"/>
                <w:szCs w:val="24"/>
              </w:rPr>
            </w:pPr>
            <w:r w:rsidRPr="00FA3F9C">
              <w:rPr>
                <w:rFonts w:ascii="Arial" w:hAnsi="Arial" w:cs="Arial"/>
                <w:sz w:val="24"/>
                <w:szCs w:val="24"/>
              </w:rPr>
              <w:t xml:space="preserve">1. Patient is a recipient of an allogeneic hematopoietic stem cell transplant </w:t>
            </w:r>
          </w:p>
        </w:tc>
      </w:tr>
      <w:tr w:rsidR="002641D2" w:rsidRPr="00FA3F9C" w14:paraId="2451FAFA" w14:textId="77777777" w:rsidTr="00B1617E">
        <w:tc>
          <w:tcPr>
            <w:tcW w:w="11016" w:type="dxa"/>
            <w:gridSpan w:val="2"/>
          </w:tcPr>
          <w:p w14:paraId="6F1C1B58" w14:textId="77777777" w:rsidR="002641D2" w:rsidRPr="00FA3F9C" w:rsidRDefault="002641D2" w:rsidP="006F623F">
            <w:pPr>
              <w:rPr>
                <w:rFonts w:ascii="Arial" w:hAnsi="Arial" w:cs="Arial"/>
                <w:sz w:val="24"/>
                <w:szCs w:val="24"/>
              </w:rPr>
            </w:pPr>
            <w:r w:rsidRPr="00FA3F9C">
              <w:rPr>
                <w:rFonts w:ascii="Arial" w:hAnsi="Arial" w:cs="Arial"/>
                <w:sz w:val="24"/>
                <w:szCs w:val="24"/>
              </w:rPr>
              <w:t xml:space="preserve">2. </w:t>
            </w:r>
            <w:proofErr w:type="spellStart"/>
            <w:r w:rsidRPr="00FA3F9C">
              <w:rPr>
                <w:rFonts w:ascii="Arial" w:hAnsi="Arial" w:cs="Arial"/>
                <w:sz w:val="24"/>
                <w:szCs w:val="24"/>
              </w:rPr>
              <w:t>Letermovir</w:t>
            </w:r>
            <w:proofErr w:type="spellEnd"/>
            <w:r w:rsidRPr="00FA3F9C">
              <w:rPr>
                <w:rFonts w:ascii="Arial" w:hAnsi="Arial" w:cs="Arial"/>
                <w:sz w:val="24"/>
                <w:szCs w:val="24"/>
              </w:rPr>
              <w:t xml:space="preserve"> will be initiated between day 0 and day 28 after transplantation.</w:t>
            </w:r>
          </w:p>
        </w:tc>
      </w:tr>
      <w:tr w:rsidR="002641D2" w:rsidRPr="00FA3F9C" w14:paraId="0209186B" w14:textId="77777777" w:rsidTr="0010789D">
        <w:tc>
          <w:tcPr>
            <w:tcW w:w="11016" w:type="dxa"/>
            <w:gridSpan w:val="2"/>
          </w:tcPr>
          <w:p w14:paraId="781613F8" w14:textId="77777777" w:rsidR="002641D2" w:rsidRPr="00FA3F9C" w:rsidRDefault="002641D2" w:rsidP="006F623F">
            <w:pPr>
              <w:rPr>
                <w:rFonts w:ascii="Arial" w:hAnsi="Arial" w:cs="Arial"/>
                <w:sz w:val="24"/>
                <w:szCs w:val="24"/>
              </w:rPr>
            </w:pPr>
            <w:r w:rsidRPr="00FA3F9C">
              <w:rPr>
                <w:rFonts w:ascii="Arial" w:hAnsi="Arial" w:cs="Arial"/>
                <w:sz w:val="24"/>
                <w:szCs w:val="24"/>
              </w:rPr>
              <w:t>3. Patient is cytomegalovirus (CMV)-seropositive</w:t>
            </w:r>
          </w:p>
        </w:tc>
      </w:tr>
      <w:tr w:rsidR="002641D2" w:rsidRPr="00FA3F9C" w14:paraId="5D60A021" w14:textId="77777777" w:rsidTr="00904BC4">
        <w:tc>
          <w:tcPr>
            <w:tcW w:w="11016" w:type="dxa"/>
            <w:gridSpan w:val="2"/>
            <w:shd w:val="clear" w:color="auto" w:fill="F2F2F2" w:themeFill="background1" w:themeFillShade="F2"/>
          </w:tcPr>
          <w:p w14:paraId="31FA7625" w14:textId="77777777" w:rsidR="002641D2" w:rsidRPr="00FA3F9C" w:rsidRDefault="002641D2" w:rsidP="001C6E29">
            <w:pPr>
              <w:rPr>
                <w:rFonts w:ascii="Arial" w:hAnsi="Arial" w:cs="Arial"/>
                <w:sz w:val="24"/>
                <w:szCs w:val="24"/>
              </w:rPr>
            </w:pPr>
            <w:r w:rsidRPr="00FA3F9C">
              <w:rPr>
                <w:rFonts w:ascii="Arial" w:hAnsi="Arial" w:cs="Arial"/>
                <w:sz w:val="24"/>
                <w:szCs w:val="24"/>
              </w:rPr>
              <w:t>If all criteria are met, approve for 3 months only. Maximum duration of therapy is 100 days after transplant day (</w:t>
            </w:r>
            <w:proofErr w:type="gramStart"/>
            <w:r w:rsidRPr="00FA3F9C">
              <w:rPr>
                <w:rFonts w:ascii="Arial" w:hAnsi="Arial" w:cs="Arial"/>
                <w:sz w:val="24"/>
                <w:szCs w:val="24"/>
              </w:rPr>
              <w:t>e.g.</w:t>
            </w:r>
            <w:proofErr w:type="gramEnd"/>
            <w:r w:rsidRPr="00FA3F9C">
              <w:rPr>
                <w:rFonts w:ascii="Arial" w:hAnsi="Arial" w:cs="Arial"/>
                <w:sz w:val="24"/>
                <w:szCs w:val="24"/>
              </w:rPr>
              <w:t xml:space="preserve"> day 0). </w:t>
            </w:r>
          </w:p>
          <w:p w14:paraId="709348E6" w14:textId="77777777" w:rsidR="002641D2" w:rsidRPr="00FA3F9C" w:rsidRDefault="002641D2" w:rsidP="001C6E29">
            <w:pPr>
              <w:rPr>
                <w:rFonts w:ascii="Arial" w:hAnsi="Arial" w:cs="Arial"/>
                <w:sz w:val="24"/>
                <w:szCs w:val="24"/>
              </w:rPr>
            </w:pPr>
            <w:r w:rsidRPr="00FA3F9C">
              <w:rPr>
                <w:rFonts w:ascii="Arial" w:hAnsi="Arial" w:cs="Arial"/>
                <w:sz w:val="24"/>
                <w:szCs w:val="24"/>
              </w:rPr>
              <w:t>Renewals should only be approved if 100 days post-transplant have not passed at time of renewal request.</w:t>
            </w:r>
          </w:p>
        </w:tc>
      </w:tr>
    </w:tbl>
    <w:p w14:paraId="5EEC0680" w14:textId="77777777" w:rsidR="002641D2" w:rsidRPr="00FA3F9C" w:rsidRDefault="002641D2" w:rsidP="006F623F">
      <w:pPr>
        <w:spacing w:after="0"/>
        <w:rPr>
          <w:rFonts w:ascii="Arial" w:hAnsi="Arial" w:cs="Arial"/>
          <w:b/>
          <w:sz w:val="24"/>
          <w:szCs w:val="24"/>
          <w:u w:val="single"/>
        </w:rPr>
      </w:pPr>
    </w:p>
    <w:tbl>
      <w:tblPr>
        <w:tblStyle w:val="TableGrid"/>
        <w:tblW w:w="0" w:type="auto"/>
        <w:shd w:val="clear" w:color="auto" w:fill="BFBFBF" w:themeFill="background1" w:themeFillShade="BF"/>
        <w:tblLook w:val="04A0" w:firstRow="1" w:lastRow="0" w:firstColumn="1" w:lastColumn="0" w:noHBand="0" w:noVBand="1"/>
      </w:tblPr>
      <w:tblGrid>
        <w:gridCol w:w="10790"/>
      </w:tblGrid>
      <w:tr w:rsidR="002641D2" w:rsidRPr="00FA3F9C" w14:paraId="780F6D04" w14:textId="77777777" w:rsidTr="00904BC4">
        <w:tc>
          <w:tcPr>
            <w:tcW w:w="10790" w:type="dxa"/>
            <w:shd w:val="clear" w:color="auto" w:fill="BFBFBF" w:themeFill="background1" w:themeFillShade="BF"/>
          </w:tcPr>
          <w:p w14:paraId="1FC247A6" w14:textId="77777777" w:rsidR="002641D2" w:rsidRPr="00FA3F9C" w:rsidRDefault="002641D2" w:rsidP="00D82B6E">
            <w:pPr>
              <w:rPr>
                <w:rFonts w:ascii="Arial" w:hAnsi="Arial" w:cs="Arial"/>
                <w:b/>
                <w:sz w:val="24"/>
                <w:szCs w:val="24"/>
                <w:u w:val="single"/>
              </w:rPr>
            </w:pPr>
            <w:r w:rsidRPr="00FA3F9C">
              <w:rPr>
                <w:rFonts w:ascii="Arial" w:hAnsi="Arial" w:cs="Arial"/>
                <w:b/>
                <w:sz w:val="24"/>
                <w:szCs w:val="24"/>
                <w:u w:val="single"/>
              </w:rPr>
              <w:t xml:space="preserve">Notes: </w:t>
            </w:r>
          </w:p>
          <w:p w14:paraId="7B437B66" w14:textId="77777777" w:rsidR="002641D2" w:rsidRPr="00FA3F9C" w:rsidRDefault="002641D2" w:rsidP="00D82B6E">
            <w:pPr>
              <w:rPr>
                <w:rFonts w:ascii="Arial" w:hAnsi="Arial" w:cs="Arial"/>
                <w:b/>
                <w:sz w:val="24"/>
                <w:szCs w:val="24"/>
                <w:u w:val="single"/>
              </w:rPr>
            </w:pPr>
          </w:p>
          <w:p w14:paraId="66E1FEEC" w14:textId="77777777" w:rsidR="002641D2" w:rsidRPr="00FA3F9C" w:rsidRDefault="002641D2" w:rsidP="00FD1329">
            <w:pPr>
              <w:rPr>
                <w:rFonts w:ascii="Arial" w:hAnsi="Arial" w:cs="Arial"/>
                <w:sz w:val="24"/>
                <w:szCs w:val="24"/>
              </w:rPr>
            </w:pPr>
            <w:r w:rsidRPr="00FA3F9C">
              <w:rPr>
                <w:rFonts w:ascii="Arial" w:hAnsi="Arial" w:cs="Arial"/>
                <w:sz w:val="24"/>
                <w:szCs w:val="24"/>
              </w:rPr>
              <w:lastRenderedPageBreak/>
              <w:t xml:space="preserve">Dose: 480 mg PO once daily through 100 days post-transplant. </w:t>
            </w:r>
          </w:p>
          <w:p w14:paraId="06FDA224" w14:textId="77777777" w:rsidR="002641D2" w:rsidRPr="00FA3F9C" w:rsidRDefault="002641D2" w:rsidP="00FD1329">
            <w:pPr>
              <w:rPr>
                <w:rFonts w:ascii="Arial" w:hAnsi="Arial" w:cs="Arial"/>
                <w:sz w:val="24"/>
                <w:szCs w:val="24"/>
              </w:rPr>
            </w:pPr>
          </w:p>
          <w:p w14:paraId="4B4202F6" w14:textId="77777777" w:rsidR="002641D2" w:rsidRPr="00FA3F9C" w:rsidRDefault="002641D2" w:rsidP="00FD1329">
            <w:pPr>
              <w:rPr>
                <w:rFonts w:ascii="Arial" w:hAnsi="Arial" w:cs="Arial"/>
                <w:sz w:val="24"/>
                <w:szCs w:val="24"/>
              </w:rPr>
            </w:pPr>
            <w:r w:rsidRPr="00FA3F9C">
              <w:rPr>
                <w:rFonts w:ascii="Arial" w:hAnsi="Arial" w:cs="Arial"/>
                <w:sz w:val="24"/>
                <w:szCs w:val="24"/>
              </w:rPr>
              <w:t xml:space="preserve">Data show consistent effect on short term mortality and reduction in CMV infection and disease. </w:t>
            </w:r>
            <w:proofErr w:type="spellStart"/>
            <w:r w:rsidRPr="00FA3F9C">
              <w:rPr>
                <w:rFonts w:ascii="Arial" w:hAnsi="Arial" w:cs="Arial"/>
                <w:sz w:val="24"/>
                <w:szCs w:val="24"/>
              </w:rPr>
              <w:t>Letermovir</w:t>
            </w:r>
            <w:proofErr w:type="spellEnd"/>
            <w:r w:rsidRPr="00FA3F9C">
              <w:rPr>
                <w:rFonts w:ascii="Arial" w:hAnsi="Arial" w:cs="Arial"/>
                <w:sz w:val="24"/>
                <w:szCs w:val="24"/>
              </w:rPr>
              <w:t xml:space="preserve"> has also been shown to be cost effective in a manufacturer-sponsored analysis.</w:t>
            </w:r>
          </w:p>
          <w:p w14:paraId="3E7886F0" w14:textId="77777777" w:rsidR="002641D2" w:rsidRPr="00FA3F9C" w:rsidRDefault="002641D2" w:rsidP="00FD1329">
            <w:pPr>
              <w:rPr>
                <w:rFonts w:ascii="Arial" w:hAnsi="Arial" w:cs="Arial"/>
                <w:sz w:val="24"/>
                <w:szCs w:val="24"/>
              </w:rPr>
            </w:pPr>
          </w:p>
          <w:p w14:paraId="30DD6A6C" w14:textId="77777777" w:rsidR="002641D2" w:rsidRPr="00FA3F9C" w:rsidRDefault="002641D2" w:rsidP="00FD1329">
            <w:pPr>
              <w:rPr>
                <w:rFonts w:ascii="Arial" w:hAnsi="Arial" w:cs="Arial"/>
                <w:sz w:val="24"/>
                <w:szCs w:val="24"/>
              </w:rPr>
            </w:pPr>
            <w:r w:rsidRPr="00FA3F9C">
              <w:rPr>
                <w:rFonts w:ascii="Arial" w:hAnsi="Arial" w:cs="Arial"/>
                <w:sz w:val="24"/>
                <w:szCs w:val="24"/>
              </w:rPr>
              <w:t>References:</w:t>
            </w:r>
          </w:p>
          <w:p w14:paraId="394884C8" w14:textId="77777777" w:rsidR="002641D2" w:rsidRPr="00FA3F9C" w:rsidRDefault="002641D2" w:rsidP="002641D2">
            <w:pPr>
              <w:pStyle w:val="ListParagraph"/>
              <w:numPr>
                <w:ilvl w:val="0"/>
                <w:numId w:val="312"/>
              </w:numPr>
              <w:autoSpaceDE w:val="0"/>
              <w:autoSpaceDN w:val="0"/>
              <w:adjustRightInd w:val="0"/>
              <w:ind w:left="427" w:hanging="270"/>
              <w:rPr>
                <w:rFonts w:ascii="Arial" w:hAnsi="Arial" w:cs="Arial"/>
                <w:color w:val="000000"/>
                <w:sz w:val="24"/>
                <w:szCs w:val="24"/>
              </w:rPr>
            </w:pPr>
            <w:r w:rsidRPr="00FA3F9C">
              <w:rPr>
                <w:rFonts w:ascii="Arial" w:hAnsi="Arial" w:cs="Arial"/>
                <w:color w:val="000000"/>
                <w:sz w:val="24"/>
                <w:szCs w:val="24"/>
                <w:u w:val="single"/>
              </w:rPr>
              <w:t>REGISTRATION STUDY:</w:t>
            </w:r>
            <w:r w:rsidRPr="00FA3F9C">
              <w:rPr>
                <w:rFonts w:ascii="Arial" w:hAnsi="Arial" w:cs="Arial"/>
                <w:color w:val="000000"/>
                <w:sz w:val="24"/>
                <w:szCs w:val="24"/>
              </w:rPr>
              <w:t xml:space="preserve"> Marty, Francisco M., et al. "</w:t>
            </w:r>
            <w:proofErr w:type="spellStart"/>
            <w:r w:rsidRPr="00FA3F9C">
              <w:rPr>
                <w:rFonts w:ascii="Arial" w:hAnsi="Arial" w:cs="Arial"/>
                <w:color w:val="000000"/>
                <w:sz w:val="24"/>
                <w:szCs w:val="24"/>
              </w:rPr>
              <w:t>Letermovir</w:t>
            </w:r>
            <w:proofErr w:type="spellEnd"/>
            <w:r w:rsidRPr="00FA3F9C">
              <w:rPr>
                <w:rFonts w:ascii="Arial" w:hAnsi="Arial" w:cs="Arial"/>
                <w:color w:val="000000"/>
                <w:sz w:val="24"/>
                <w:szCs w:val="24"/>
              </w:rPr>
              <w:t xml:space="preserve"> prophylaxis for cytomegalovirus in hematopoietic-cell transplantation." New England Journal of Medicine 377.25 (2017): 2433-2444.</w:t>
            </w:r>
          </w:p>
          <w:p w14:paraId="2E1AB470" w14:textId="77777777" w:rsidR="002641D2" w:rsidRPr="00FA3F9C" w:rsidRDefault="002641D2" w:rsidP="002641D2">
            <w:pPr>
              <w:pStyle w:val="ListParagraph"/>
              <w:numPr>
                <w:ilvl w:val="0"/>
                <w:numId w:val="312"/>
              </w:numPr>
              <w:autoSpaceDE w:val="0"/>
              <w:autoSpaceDN w:val="0"/>
              <w:adjustRightInd w:val="0"/>
              <w:ind w:left="427" w:hanging="270"/>
              <w:rPr>
                <w:rFonts w:ascii="Arial" w:hAnsi="Arial" w:cs="Arial"/>
                <w:color w:val="000000"/>
                <w:sz w:val="24"/>
                <w:szCs w:val="24"/>
              </w:rPr>
            </w:pPr>
            <w:r w:rsidRPr="00FA3F9C">
              <w:rPr>
                <w:rFonts w:ascii="Arial" w:hAnsi="Arial" w:cs="Arial"/>
                <w:color w:val="000000"/>
                <w:sz w:val="24"/>
                <w:szCs w:val="24"/>
                <w:lang w:val="es-ES"/>
              </w:rPr>
              <w:t xml:space="preserve">Su Y, Stern A, </w:t>
            </w:r>
            <w:proofErr w:type="spellStart"/>
            <w:r w:rsidRPr="00FA3F9C">
              <w:rPr>
                <w:rFonts w:ascii="Arial" w:hAnsi="Arial" w:cs="Arial"/>
                <w:color w:val="000000"/>
                <w:sz w:val="24"/>
                <w:szCs w:val="24"/>
                <w:lang w:val="es-ES"/>
              </w:rPr>
              <w:t>Karantoni</w:t>
            </w:r>
            <w:proofErr w:type="spellEnd"/>
            <w:r w:rsidRPr="00FA3F9C">
              <w:rPr>
                <w:rFonts w:ascii="Arial" w:hAnsi="Arial" w:cs="Arial"/>
                <w:color w:val="000000"/>
                <w:sz w:val="24"/>
                <w:szCs w:val="24"/>
                <w:lang w:val="es-ES"/>
              </w:rPr>
              <w:t xml:space="preserve"> E, et al. </w:t>
            </w:r>
            <w:r w:rsidRPr="00FA3F9C">
              <w:rPr>
                <w:rFonts w:ascii="Arial" w:hAnsi="Arial" w:cs="Arial"/>
                <w:color w:val="000000"/>
                <w:sz w:val="24"/>
                <w:szCs w:val="24"/>
              </w:rPr>
              <w:t xml:space="preserve">Impact of </w:t>
            </w:r>
            <w:proofErr w:type="spellStart"/>
            <w:r w:rsidRPr="00FA3F9C">
              <w:rPr>
                <w:rFonts w:ascii="Arial" w:hAnsi="Arial" w:cs="Arial"/>
                <w:color w:val="000000"/>
                <w:sz w:val="24"/>
                <w:szCs w:val="24"/>
              </w:rPr>
              <w:t>letermovir</w:t>
            </w:r>
            <w:proofErr w:type="spellEnd"/>
            <w:r w:rsidRPr="00FA3F9C">
              <w:rPr>
                <w:rFonts w:ascii="Arial" w:hAnsi="Arial" w:cs="Arial"/>
                <w:color w:val="000000"/>
                <w:sz w:val="24"/>
                <w:szCs w:val="24"/>
              </w:rPr>
              <w:t xml:space="preserve"> primary Cytomegalovirus (CMV) prophylaxis on 1-year mortality after allogeneic hematopoietic cell transplantation (HCT): a retrospective cohort study</w:t>
            </w:r>
            <w:proofErr w:type="gramStart"/>
            <w:r w:rsidRPr="00FA3F9C">
              <w:rPr>
                <w:rFonts w:ascii="Arial" w:hAnsi="Arial" w:cs="Arial"/>
                <w:color w:val="000000"/>
                <w:sz w:val="24"/>
                <w:szCs w:val="24"/>
              </w:rPr>
              <w:t xml:space="preserve">   [</w:t>
            </w:r>
            <w:proofErr w:type="gramEnd"/>
            <w:r w:rsidRPr="00FA3F9C">
              <w:rPr>
                <w:rFonts w:ascii="Arial" w:hAnsi="Arial" w:cs="Arial"/>
                <w:color w:val="000000"/>
                <w:sz w:val="24"/>
                <w:szCs w:val="24"/>
              </w:rPr>
              <w:t>published online ahead of print, 2022 Jan 3]. Clin Infect Dis. 2022;ciab1064. doi:10.1093/</w:t>
            </w:r>
            <w:proofErr w:type="spellStart"/>
            <w:r w:rsidRPr="00FA3F9C">
              <w:rPr>
                <w:rFonts w:ascii="Arial" w:hAnsi="Arial" w:cs="Arial"/>
                <w:color w:val="000000"/>
                <w:sz w:val="24"/>
                <w:szCs w:val="24"/>
              </w:rPr>
              <w:t>cid</w:t>
            </w:r>
            <w:proofErr w:type="spellEnd"/>
            <w:r w:rsidRPr="00FA3F9C">
              <w:rPr>
                <w:rFonts w:ascii="Arial" w:hAnsi="Arial" w:cs="Arial"/>
                <w:color w:val="000000"/>
                <w:sz w:val="24"/>
                <w:szCs w:val="24"/>
              </w:rPr>
              <w:t>/ciab1064</w:t>
            </w:r>
          </w:p>
          <w:p w14:paraId="518906FA" w14:textId="77777777" w:rsidR="002641D2" w:rsidRPr="00FA3F9C" w:rsidRDefault="002641D2" w:rsidP="002641D2">
            <w:pPr>
              <w:pStyle w:val="ListParagraph"/>
              <w:numPr>
                <w:ilvl w:val="0"/>
                <w:numId w:val="312"/>
              </w:numPr>
              <w:autoSpaceDE w:val="0"/>
              <w:autoSpaceDN w:val="0"/>
              <w:adjustRightInd w:val="0"/>
              <w:ind w:left="427" w:hanging="270"/>
              <w:rPr>
                <w:rFonts w:ascii="Arial" w:hAnsi="Arial" w:cs="Arial"/>
                <w:color w:val="000000"/>
                <w:sz w:val="24"/>
                <w:szCs w:val="24"/>
              </w:rPr>
            </w:pPr>
            <w:r w:rsidRPr="00FA3F9C">
              <w:rPr>
                <w:rFonts w:ascii="Arial" w:hAnsi="Arial" w:cs="Arial"/>
                <w:color w:val="000000"/>
                <w:sz w:val="24"/>
                <w:szCs w:val="24"/>
                <w:lang w:val="es-ES"/>
              </w:rPr>
              <w:t xml:space="preserve">Wolfe D, Zhao Q, Siegel E, et al. </w:t>
            </w:r>
            <w:proofErr w:type="spellStart"/>
            <w:r w:rsidRPr="00FA3F9C">
              <w:rPr>
                <w:rFonts w:ascii="Arial" w:hAnsi="Arial" w:cs="Arial"/>
                <w:color w:val="000000"/>
                <w:sz w:val="24"/>
                <w:szCs w:val="24"/>
              </w:rPr>
              <w:t>Letermovir</w:t>
            </w:r>
            <w:proofErr w:type="spellEnd"/>
            <w:r w:rsidRPr="00FA3F9C">
              <w:rPr>
                <w:rFonts w:ascii="Arial" w:hAnsi="Arial" w:cs="Arial"/>
                <w:color w:val="000000"/>
                <w:sz w:val="24"/>
                <w:szCs w:val="24"/>
              </w:rPr>
              <w:t xml:space="preserve"> Prophylaxis and Cytomegalovirus Reactivation in Adult Hematopoietic Cell Transplant Recipients with and without Acute Graft Versus Host Disease. Cancers (Basel). 2021;13(21):5572. Published 2021 Nov 8. doi:10.3390/cancers13215572</w:t>
            </w:r>
          </w:p>
          <w:p w14:paraId="10DD79F1" w14:textId="77777777" w:rsidR="002641D2" w:rsidRPr="00FA3F9C" w:rsidRDefault="002641D2" w:rsidP="002641D2">
            <w:pPr>
              <w:pStyle w:val="ListParagraph"/>
              <w:numPr>
                <w:ilvl w:val="0"/>
                <w:numId w:val="312"/>
              </w:numPr>
              <w:autoSpaceDE w:val="0"/>
              <w:autoSpaceDN w:val="0"/>
              <w:adjustRightInd w:val="0"/>
              <w:ind w:left="427" w:hanging="270"/>
              <w:rPr>
                <w:rFonts w:ascii="Arial" w:hAnsi="Arial" w:cs="Arial"/>
                <w:color w:val="000000"/>
                <w:sz w:val="24"/>
                <w:szCs w:val="24"/>
              </w:rPr>
            </w:pPr>
            <w:r w:rsidRPr="00FA3F9C">
              <w:rPr>
                <w:rFonts w:ascii="Arial" w:hAnsi="Arial" w:cs="Arial"/>
                <w:color w:val="000000"/>
                <w:sz w:val="24"/>
                <w:szCs w:val="24"/>
              </w:rPr>
              <w:t xml:space="preserve">Mori Y, </w:t>
            </w:r>
            <w:proofErr w:type="spellStart"/>
            <w:r w:rsidRPr="00FA3F9C">
              <w:rPr>
                <w:rFonts w:ascii="Arial" w:hAnsi="Arial" w:cs="Arial"/>
                <w:color w:val="000000"/>
                <w:sz w:val="24"/>
                <w:szCs w:val="24"/>
              </w:rPr>
              <w:t>Jinnouchi</w:t>
            </w:r>
            <w:proofErr w:type="spellEnd"/>
            <w:r w:rsidRPr="00FA3F9C">
              <w:rPr>
                <w:rFonts w:ascii="Arial" w:hAnsi="Arial" w:cs="Arial"/>
                <w:color w:val="000000"/>
                <w:sz w:val="24"/>
                <w:szCs w:val="24"/>
              </w:rPr>
              <w:t xml:space="preserve"> F, </w:t>
            </w:r>
            <w:proofErr w:type="spellStart"/>
            <w:r w:rsidRPr="00FA3F9C">
              <w:rPr>
                <w:rFonts w:ascii="Arial" w:hAnsi="Arial" w:cs="Arial"/>
                <w:color w:val="000000"/>
                <w:sz w:val="24"/>
                <w:szCs w:val="24"/>
              </w:rPr>
              <w:t>Takenaka</w:t>
            </w:r>
            <w:proofErr w:type="spellEnd"/>
            <w:r w:rsidRPr="00FA3F9C">
              <w:rPr>
                <w:rFonts w:ascii="Arial" w:hAnsi="Arial" w:cs="Arial"/>
                <w:color w:val="000000"/>
                <w:sz w:val="24"/>
                <w:szCs w:val="24"/>
              </w:rPr>
              <w:t xml:space="preserve"> K, et al. Efficacy of prophylactic </w:t>
            </w:r>
            <w:proofErr w:type="spellStart"/>
            <w:r w:rsidRPr="00FA3F9C">
              <w:rPr>
                <w:rFonts w:ascii="Arial" w:hAnsi="Arial" w:cs="Arial"/>
                <w:color w:val="000000"/>
                <w:sz w:val="24"/>
                <w:szCs w:val="24"/>
              </w:rPr>
              <w:t>letermovir</w:t>
            </w:r>
            <w:proofErr w:type="spellEnd"/>
            <w:r w:rsidRPr="00FA3F9C">
              <w:rPr>
                <w:rFonts w:ascii="Arial" w:hAnsi="Arial" w:cs="Arial"/>
                <w:color w:val="000000"/>
                <w:sz w:val="24"/>
                <w:szCs w:val="24"/>
              </w:rPr>
              <w:t xml:space="preserve"> for cytomegalovirus reactivation in hematopoietic cell transplantation: a multicenter real-world data. Bone Marrow Transplant. 2021;56(4):853-862. doi:10.1038/s41409-020-01082-z</w:t>
            </w:r>
          </w:p>
          <w:p w14:paraId="1B9BD337" w14:textId="77777777" w:rsidR="002641D2" w:rsidRPr="00FA3F9C" w:rsidRDefault="002641D2" w:rsidP="002641D2">
            <w:pPr>
              <w:pStyle w:val="ListParagraph"/>
              <w:numPr>
                <w:ilvl w:val="0"/>
                <w:numId w:val="312"/>
              </w:numPr>
              <w:autoSpaceDE w:val="0"/>
              <w:autoSpaceDN w:val="0"/>
              <w:adjustRightInd w:val="0"/>
              <w:ind w:left="427" w:hanging="270"/>
              <w:rPr>
                <w:rFonts w:ascii="Arial" w:hAnsi="Arial" w:cs="Arial"/>
                <w:color w:val="000000"/>
                <w:sz w:val="24"/>
                <w:szCs w:val="24"/>
              </w:rPr>
            </w:pPr>
            <w:proofErr w:type="spellStart"/>
            <w:r w:rsidRPr="00FA3F9C">
              <w:rPr>
                <w:rFonts w:ascii="Arial" w:hAnsi="Arial" w:cs="Arial"/>
                <w:color w:val="000000"/>
                <w:sz w:val="24"/>
                <w:szCs w:val="24"/>
                <w:lang w:val="es-ES"/>
              </w:rPr>
              <w:t>Akahoshi</w:t>
            </w:r>
            <w:proofErr w:type="spellEnd"/>
            <w:r w:rsidRPr="00FA3F9C">
              <w:rPr>
                <w:rFonts w:ascii="Arial" w:hAnsi="Arial" w:cs="Arial"/>
                <w:color w:val="000000"/>
                <w:sz w:val="24"/>
                <w:szCs w:val="24"/>
                <w:lang w:val="es-ES"/>
              </w:rPr>
              <w:t xml:space="preserve"> Y, Kimura SI, </w:t>
            </w:r>
            <w:proofErr w:type="spellStart"/>
            <w:r w:rsidRPr="00FA3F9C">
              <w:rPr>
                <w:rFonts w:ascii="Arial" w:hAnsi="Arial" w:cs="Arial"/>
                <w:color w:val="000000"/>
                <w:sz w:val="24"/>
                <w:szCs w:val="24"/>
                <w:lang w:val="es-ES"/>
              </w:rPr>
              <w:t>Tada</w:t>
            </w:r>
            <w:proofErr w:type="spellEnd"/>
            <w:r w:rsidRPr="00FA3F9C">
              <w:rPr>
                <w:rFonts w:ascii="Arial" w:hAnsi="Arial" w:cs="Arial"/>
                <w:color w:val="000000"/>
                <w:sz w:val="24"/>
                <w:szCs w:val="24"/>
                <w:lang w:val="es-ES"/>
              </w:rPr>
              <w:t xml:space="preserve"> Y, et al. </w:t>
            </w:r>
            <w:r w:rsidRPr="00FA3F9C">
              <w:rPr>
                <w:rFonts w:ascii="Arial" w:hAnsi="Arial" w:cs="Arial"/>
                <w:color w:val="000000"/>
                <w:sz w:val="24"/>
                <w:szCs w:val="24"/>
              </w:rPr>
              <w:t>Cytomegalovirus gastroenteritis in patients with acute graft-versus-host disease. Blood Adv. 2022;6(2):574-584. doi:10.1182/bloodadvances.2021005885</w:t>
            </w:r>
          </w:p>
          <w:p w14:paraId="4402B574" w14:textId="77777777" w:rsidR="002641D2" w:rsidRPr="00FA3F9C" w:rsidRDefault="002641D2" w:rsidP="002641D2">
            <w:pPr>
              <w:pStyle w:val="ListParagraph"/>
              <w:numPr>
                <w:ilvl w:val="0"/>
                <w:numId w:val="312"/>
              </w:numPr>
              <w:autoSpaceDE w:val="0"/>
              <w:autoSpaceDN w:val="0"/>
              <w:adjustRightInd w:val="0"/>
              <w:ind w:left="427" w:hanging="270"/>
              <w:rPr>
                <w:rFonts w:ascii="Arial" w:hAnsi="Arial" w:cs="Arial"/>
                <w:color w:val="000000"/>
                <w:sz w:val="24"/>
                <w:szCs w:val="24"/>
              </w:rPr>
            </w:pPr>
            <w:proofErr w:type="spellStart"/>
            <w:r w:rsidRPr="00FA3F9C">
              <w:rPr>
                <w:rFonts w:ascii="Arial" w:hAnsi="Arial" w:cs="Arial"/>
                <w:color w:val="000000"/>
                <w:sz w:val="24"/>
                <w:szCs w:val="24"/>
                <w:lang w:val="fr-FR"/>
              </w:rPr>
              <w:t>Sassine</w:t>
            </w:r>
            <w:proofErr w:type="spellEnd"/>
            <w:r w:rsidRPr="00FA3F9C">
              <w:rPr>
                <w:rFonts w:ascii="Arial" w:hAnsi="Arial" w:cs="Arial"/>
                <w:color w:val="000000"/>
                <w:sz w:val="24"/>
                <w:szCs w:val="24"/>
                <w:lang w:val="fr-FR"/>
              </w:rPr>
              <w:t xml:space="preserve"> J, </w:t>
            </w:r>
            <w:proofErr w:type="spellStart"/>
            <w:r w:rsidRPr="00FA3F9C">
              <w:rPr>
                <w:rFonts w:ascii="Arial" w:hAnsi="Arial" w:cs="Arial"/>
                <w:color w:val="000000"/>
                <w:sz w:val="24"/>
                <w:szCs w:val="24"/>
                <w:lang w:val="fr-FR"/>
              </w:rPr>
              <w:t>Khawaja</w:t>
            </w:r>
            <w:proofErr w:type="spellEnd"/>
            <w:r w:rsidRPr="00FA3F9C">
              <w:rPr>
                <w:rFonts w:ascii="Arial" w:hAnsi="Arial" w:cs="Arial"/>
                <w:color w:val="000000"/>
                <w:sz w:val="24"/>
                <w:szCs w:val="24"/>
                <w:lang w:val="fr-FR"/>
              </w:rPr>
              <w:t xml:space="preserve"> F, </w:t>
            </w:r>
            <w:proofErr w:type="spellStart"/>
            <w:r w:rsidRPr="00FA3F9C">
              <w:rPr>
                <w:rFonts w:ascii="Arial" w:hAnsi="Arial" w:cs="Arial"/>
                <w:color w:val="000000"/>
                <w:sz w:val="24"/>
                <w:szCs w:val="24"/>
                <w:lang w:val="fr-FR"/>
              </w:rPr>
              <w:t>Shigle</w:t>
            </w:r>
            <w:proofErr w:type="spellEnd"/>
            <w:r w:rsidRPr="00FA3F9C">
              <w:rPr>
                <w:rFonts w:ascii="Arial" w:hAnsi="Arial" w:cs="Arial"/>
                <w:color w:val="000000"/>
                <w:sz w:val="24"/>
                <w:szCs w:val="24"/>
                <w:lang w:val="fr-FR"/>
              </w:rPr>
              <w:t xml:space="preserve"> T et al. </w:t>
            </w:r>
            <w:r w:rsidRPr="00FA3F9C">
              <w:rPr>
                <w:rFonts w:ascii="Arial" w:hAnsi="Arial" w:cs="Arial"/>
                <w:color w:val="000000"/>
                <w:sz w:val="24"/>
                <w:szCs w:val="24"/>
              </w:rPr>
              <w:t xml:space="preserve">Refractory and Resistant Cytomegalovirus After Hematopoietic Cell Transplant in the </w:t>
            </w:r>
            <w:proofErr w:type="spellStart"/>
            <w:r w:rsidRPr="00FA3F9C">
              <w:rPr>
                <w:rFonts w:ascii="Arial" w:hAnsi="Arial" w:cs="Arial"/>
                <w:color w:val="000000"/>
                <w:sz w:val="24"/>
                <w:szCs w:val="24"/>
              </w:rPr>
              <w:t>Letermovir</w:t>
            </w:r>
            <w:proofErr w:type="spellEnd"/>
            <w:r w:rsidRPr="00FA3F9C">
              <w:rPr>
                <w:rFonts w:ascii="Arial" w:hAnsi="Arial" w:cs="Arial"/>
                <w:color w:val="000000"/>
                <w:sz w:val="24"/>
                <w:szCs w:val="24"/>
              </w:rPr>
              <w:t xml:space="preserve"> Primary Prophylaxis Era, Clinical Infectious Diseases, Volume 73, Issue 8, 15 October 2021, Pages 1346–1354, </w:t>
            </w:r>
            <w:hyperlink r:id="rId266" w:history="1">
              <w:r w:rsidRPr="00FA3F9C">
                <w:rPr>
                  <w:rStyle w:val="Hyperlink"/>
                  <w:rFonts w:ascii="Arial" w:hAnsi="Arial" w:cs="Arial"/>
                  <w:sz w:val="24"/>
                  <w:szCs w:val="24"/>
                </w:rPr>
                <w:t>https://doi.org/10.1093/cid/ciab298</w:t>
              </w:r>
            </w:hyperlink>
          </w:p>
          <w:p w14:paraId="36F80021" w14:textId="77777777" w:rsidR="002641D2" w:rsidRPr="00FA3F9C" w:rsidRDefault="002641D2" w:rsidP="002641D2">
            <w:pPr>
              <w:pStyle w:val="ListParagraph"/>
              <w:numPr>
                <w:ilvl w:val="0"/>
                <w:numId w:val="312"/>
              </w:numPr>
              <w:autoSpaceDE w:val="0"/>
              <w:autoSpaceDN w:val="0"/>
              <w:adjustRightInd w:val="0"/>
              <w:ind w:left="427" w:hanging="270"/>
              <w:rPr>
                <w:rFonts w:ascii="Arial" w:hAnsi="Arial" w:cs="Arial"/>
                <w:color w:val="000000"/>
                <w:sz w:val="24"/>
                <w:szCs w:val="24"/>
              </w:rPr>
            </w:pPr>
            <w:proofErr w:type="spellStart"/>
            <w:r w:rsidRPr="00FA3F9C">
              <w:rPr>
                <w:rFonts w:ascii="Arial" w:hAnsi="Arial" w:cs="Arial"/>
                <w:color w:val="000000"/>
                <w:sz w:val="24"/>
                <w:szCs w:val="24"/>
              </w:rPr>
              <w:t>Alsumali</w:t>
            </w:r>
            <w:proofErr w:type="spellEnd"/>
            <w:r w:rsidRPr="00FA3F9C">
              <w:rPr>
                <w:rFonts w:ascii="Arial" w:hAnsi="Arial" w:cs="Arial"/>
                <w:color w:val="000000"/>
                <w:sz w:val="24"/>
                <w:szCs w:val="24"/>
              </w:rPr>
              <w:t xml:space="preserve"> A, </w:t>
            </w:r>
            <w:proofErr w:type="spellStart"/>
            <w:r w:rsidRPr="00FA3F9C">
              <w:rPr>
                <w:rFonts w:ascii="Arial" w:hAnsi="Arial" w:cs="Arial"/>
                <w:color w:val="000000"/>
                <w:sz w:val="24"/>
                <w:szCs w:val="24"/>
              </w:rPr>
              <w:t>Chemaly</w:t>
            </w:r>
            <w:proofErr w:type="spellEnd"/>
            <w:r w:rsidRPr="00FA3F9C">
              <w:rPr>
                <w:rFonts w:ascii="Arial" w:hAnsi="Arial" w:cs="Arial"/>
                <w:color w:val="000000"/>
                <w:sz w:val="24"/>
                <w:szCs w:val="24"/>
              </w:rPr>
              <w:t xml:space="preserve"> RF, Graham J, et al. Cost-effectiveness analysis of cytomegalovirus prophylaxis in allogeneic hematopoietic cell transplant recipients from a US payer perspective. J Med </w:t>
            </w:r>
            <w:proofErr w:type="spellStart"/>
            <w:r w:rsidRPr="00FA3F9C">
              <w:rPr>
                <w:rFonts w:ascii="Arial" w:hAnsi="Arial" w:cs="Arial"/>
                <w:color w:val="000000"/>
                <w:sz w:val="24"/>
                <w:szCs w:val="24"/>
              </w:rPr>
              <w:t>Virol</w:t>
            </w:r>
            <w:proofErr w:type="spellEnd"/>
            <w:r w:rsidRPr="00FA3F9C">
              <w:rPr>
                <w:rFonts w:ascii="Arial" w:hAnsi="Arial" w:cs="Arial"/>
                <w:color w:val="000000"/>
                <w:sz w:val="24"/>
                <w:szCs w:val="24"/>
              </w:rPr>
              <w:t>. 2021;93(6):3786-3794. doi:10.1002/jmv.26462</w:t>
            </w:r>
          </w:p>
          <w:p w14:paraId="6329B56C" w14:textId="77777777" w:rsidR="002641D2" w:rsidRPr="00FA3F9C" w:rsidRDefault="002641D2" w:rsidP="002641D2">
            <w:pPr>
              <w:pStyle w:val="ListParagraph"/>
              <w:numPr>
                <w:ilvl w:val="0"/>
                <w:numId w:val="312"/>
              </w:numPr>
              <w:autoSpaceDE w:val="0"/>
              <w:autoSpaceDN w:val="0"/>
              <w:adjustRightInd w:val="0"/>
              <w:ind w:left="427" w:hanging="270"/>
              <w:rPr>
                <w:rFonts w:ascii="Arial" w:hAnsi="Arial" w:cs="Arial"/>
                <w:color w:val="000000"/>
                <w:sz w:val="24"/>
                <w:szCs w:val="24"/>
              </w:rPr>
            </w:pPr>
            <w:proofErr w:type="spellStart"/>
            <w:r w:rsidRPr="00FA3F9C">
              <w:rPr>
                <w:rFonts w:ascii="Arial" w:hAnsi="Arial" w:cs="Arial"/>
                <w:color w:val="000000"/>
                <w:sz w:val="24"/>
                <w:szCs w:val="24"/>
                <w:lang w:val="fr-FR"/>
              </w:rPr>
              <w:t>Hakki</w:t>
            </w:r>
            <w:proofErr w:type="spellEnd"/>
            <w:r w:rsidRPr="00FA3F9C">
              <w:rPr>
                <w:rFonts w:ascii="Arial" w:hAnsi="Arial" w:cs="Arial"/>
                <w:color w:val="000000"/>
                <w:sz w:val="24"/>
                <w:szCs w:val="24"/>
                <w:lang w:val="fr-FR"/>
              </w:rPr>
              <w:t xml:space="preserve"> M, Aitken SL, </w:t>
            </w:r>
            <w:proofErr w:type="spellStart"/>
            <w:r w:rsidRPr="00FA3F9C">
              <w:rPr>
                <w:rFonts w:ascii="Arial" w:hAnsi="Arial" w:cs="Arial"/>
                <w:color w:val="000000"/>
                <w:sz w:val="24"/>
                <w:szCs w:val="24"/>
                <w:lang w:val="fr-FR"/>
              </w:rPr>
              <w:t>Danziger-Isakov</w:t>
            </w:r>
            <w:proofErr w:type="spellEnd"/>
            <w:r w:rsidRPr="00FA3F9C">
              <w:rPr>
                <w:rFonts w:ascii="Arial" w:hAnsi="Arial" w:cs="Arial"/>
                <w:color w:val="000000"/>
                <w:sz w:val="24"/>
                <w:szCs w:val="24"/>
                <w:lang w:val="fr-FR"/>
              </w:rPr>
              <w:t xml:space="preserve"> L, et al. </w:t>
            </w:r>
            <w:r w:rsidRPr="00FA3F9C">
              <w:rPr>
                <w:rFonts w:ascii="Arial" w:hAnsi="Arial" w:cs="Arial"/>
                <w:color w:val="000000"/>
                <w:sz w:val="24"/>
                <w:szCs w:val="24"/>
              </w:rPr>
              <w:t xml:space="preserve">American Society for Transplantation and Cellular Therapy Series: #3-Prevention of Cytomegalovirus Infection and Disease After Hematopoietic Cell Transplantation. Transplant Cell </w:t>
            </w:r>
            <w:proofErr w:type="spellStart"/>
            <w:r w:rsidRPr="00FA3F9C">
              <w:rPr>
                <w:rFonts w:ascii="Arial" w:hAnsi="Arial" w:cs="Arial"/>
                <w:color w:val="000000"/>
                <w:sz w:val="24"/>
                <w:szCs w:val="24"/>
              </w:rPr>
              <w:t>Ther</w:t>
            </w:r>
            <w:proofErr w:type="spellEnd"/>
            <w:r w:rsidRPr="00FA3F9C">
              <w:rPr>
                <w:rFonts w:ascii="Arial" w:hAnsi="Arial" w:cs="Arial"/>
                <w:color w:val="000000"/>
                <w:sz w:val="24"/>
                <w:szCs w:val="24"/>
              </w:rPr>
              <w:t>. 2021;27(9):707-719. doi:10.1016/j.jtct.2021.05.001</w:t>
            </w:r>
          </w:p>
          <w:p w14:paraId="5221DC5B" w14:textId="77777777" w:rsidR="002641D2" w:rsidRPr="00FA3F9C" w:rsidRDefault="002641D2" w:rsidP="002641D2">
            <w:pPr>
              <w:pStyle w:val="ListParagraph"/>
              <w:numPr>
                <w:ilvl w:val="0"/>
                <w:numId w:val="312"/>
              </w:numPr>
              <w:autoSpaceDE w:val="0"/>
              <w:autoSpaceDN w:val="0"/>
              <w:adjustRightInd w:val="0"/>
              <w:ind w:left="427" w:hanging="270"/>
              <w:rPr>
                <w:rFonts w:ascii="Arial" w:hAnsi="Arial" w:cs="Arial"/>
                <w:color w:val="000000"/>
                <w:sz w:val="24"/>
                <w:szCs w:val="24"/>
              </w:rPr>
            </w:pPr>
            <w:proofErr w:type="spellStart"/>
            <w:r w:rsidRPr="00FA3F9C">
              <w:rPr>
                <w:rFonts w:ascii="Arial" w:hAnsi="Arial" w:cs="Arial"/>
                <w:color w:val="000000"/>
                <w:sz w:val="24"/>
                <w:szCs w:val="24"/>
              </w:rPr>
              <w:lastRenderedPageBreak/>
              <w:t>Gagelmann</w:t>
            </w:r>
            <w:proofErr w:type="spellEnd"/>
            <w:r w:rsidRPr="00FA3F9C">
              <w:rPr>
                <w:rFonts w:ascii="Arial" w:hAnsi="Arial" w:cs="Arial"/>
                <w:color w:val="000000"/>
                <w:sz w:val="24"/>
                <w:szCs w:val="24"/>
              </w:rPr>
              <w:t>, Nico, et al. "Comparative efficacy and safety of different antiviral agents for cytomegalovirus prophylaxis in allogeneic hematopoietic cell transplantation: a systematic review and meta-analysis." Biology of Blood and Marrow Transplantation 24.10 (2018): 2101-2109.</w:t>
            </w:r>
          </w:p>
        </w:tc>
      </w:tr>
    </w:tbl>
    <w:p w14:paraId="02D62A1E" w14:textId="77777777" w:rsidR="002641D2" w:rsidRPr="00FA3F9C" w:rsidRDefault="002641D2" w:rsidP="006F623F">
      <w:pPr>
        <w:spacing w:after="0"/>
        <w:rPr>
          <w:rFonts w:ascii="Arial" w:hAnsi="Arial" w:cs="Arial"/>
          <w:sz w:val="24"/>
          <w:szCs w:val="24"/>
        </w:rPr>
      </w:pPr>
    </w:p>
    <w:p w14:paraId="6D1A7785" w14:textId="77777777" w:rsidR="002641D2" w:rsidRPr="00FA3F9C" w:rsidRDefault="002641D2" w:rsidP="006F623F">
      <w:pPr>
        <w:spacing w:after="0"/>
        <w:rPr>
          <w:rFonts w:ascii="Arial" w:hAnsi="Arial" w:cs="Arial"/>
          <w:sz w:val="24"/>
          <w:szCs w:val="24"/>
        </w:rPr>
      </w:pPr>
      <w:r w:rsidRPr="00FA3F9C">
        <w:rPr>
          <w:rFonts w:ascii="Arial" w:hAnsi="Arial" w:cs="Arial"/>
          <w:sz w:val="24"/>
          <w:szCs w:val="24"/>
        </w:rPr>
        <w:t xml:space="preserve">Quantity Limits: </w:t>
      </w:r>
      <w:proofErr w:type="gramStart"/>
      <w:r w:rsidRPr="00FA3F9C">
        <w:rPr>
          <w:rFonts w:ascii="Arial" w:hAnsi="Arial" w:cs="Arial"/>
          <w:sz w:val="24"/>
          <w:szCs w:val="24"/>
        </w:rPr>
        <w:t>30 day</w:t>
      </w:r>
      <w:proofErr w:type="gramEnd"/>
      <w:r w:rsidRPr="00FA3F9C">
        <w:rPr>
          <w:rFonts w:ascii="Arial" w:hAnsi="Arial" w:cs="Arial"/>
          <w:sz w:val="24"/>
          <w:szCs w:val="24"/>
        </w:rPr>
        <w:t xml:space="preserve"> supply</w:t>
      </w:r>
    </w:p>
    <w:p w14:paraId="2B68131E" w14:textId="77777777" w:rsidR="002641D2" w:rsidRPr="00FA3F9C" w:rsidRDefault="002641D2" w:rsidP="006F623F">
      <w:pPr>
        <w:spacing w:after="0"/>
        <w:rPr>
          <w:rFonts w:ascii="Arial" w:hAnsi="Arial" w:cs="Arial"/>
          <w:sz w:val="24"/>
          <w:szCs w:val="24"/>
        </w:rPr>
      </w:pPr>
    </w:p>
    <w:p w14:paraId="52B242BC" w14:textId="77777777" w:rsidR="002641D2" w:rsidRPr="00FA3F9C" w:rsidRDefault="002641D2"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284"/>
        <w:gridCol w:w="7470"/>
        <w:gridCol w:w="2538"/>
      </w:tblGrid>
      <w:tr w:rsidR="002641D2" w:rsidRPr="00FA3F9C" w14:paraId="72C109C1" w14:textId="77777777" w:rsidTr="00FE491B">
        <w:tc>
          <w:tcPr>
            <w:tcW w:w="1008" w:type="dxa"/>
          </w:tcPr>
          <w:p w14:paraId="1BB70229" w14:textId="77777777" w:rsidR="002641D2" w:rsidRPr="00FA3F9C" w:rsidRDefault="002641D2" w:rsidP="006F623F">
            <w:pPr>
              <w:rPr>
                <w:rFonts w:ascii="Arial" w:hAnsi="Arial" w:cs="Arial"/>
                <w:sz w:val="24"/>
                <w:szCs w:val="24"/>
              </w:rPr>
            </w:pPr>
            <w:r w:rsidRPr="00FA3F9C">
              <w:rPr>
                <w:rFonts w:ascii="Arial" w:hAnsi="Arial" w:cs="Arial"/>
                <w:sz w:val="24"/>
                <w:szCs w:val="24"/>
              </w:rPr>
              <w:t>Date</w:t>
            </w:r>
          </w:p>
        </w:tc>
        <w:tc>
          <w:tcPr>
            <w:tcW w:w="7470" w:type="dxa"/>
          </w:tcPr>
          <w:p w14:paraId="56DAACE5" w14:textId="77777777" w:rsidR="002641D2" w:rsidRPr="00FA3F9C" w:rsidRDefault="002641D2" w:rsidP="006F623F">
            <w:pPr>
              <w:rPr>
                <w:rFonts w:ascii="Arial" w:hAnsi="Arial" w:cs="Arial"/>
                <w:sz w:val="24"/>
                <w:szCs w:val="24"/>
              </w:rPr>
            </w:pPr>
            <w:r w:rsidRPr="00FA3F9C">
              <w:rPr>
                <w:rFonts w:ascii="Arial" w:hAnsi="Arial" w:cs="Arial"/>
                <w:sz w:val="24"/>
                <w:szCs w:val="24"/>
              </w:rPr>
              <w:t>What changed</w:t>
            </w:r>
          </w:p>
        </w:tc>
        <w:tc>
          <w:tcPr>
            <w:tcW w:w="2538" w:type="dxa"/>
          </w:tcPr>
          <w:p w14:paraId="1E27AA68" w14:textId="77777777" w:rsidR="002641D2" w:rsidRPr="00FA3F9C" w:rsidRDefault="002641D2" w:rsidP="006F623F">
            <w:pPr>
              <w:rPr>
                <w:rFonts w:ascii="Arial" w:hAnsi="Arial" w:cs="Arial"/>
                <w:sz w:val="24"/>
                <w:szCs w:val="24"/>
              </w:rPr>
            </w:pPr>
            <w:r w:rsidRPr="00FA3F9C">
              <w:rPr>
                <w:rFonts w:ascii="Arial" w:hAnsi="Arial" w:cs="Arial"/>
                <w:sz w:val="24"/>
                <w:szCs w:val="24"/>
              </w:rPr>
              <w:t>Pharmacist’s initials</w:t>
            </w:r>
          </w:p>
        </w:tc>
      </w:tr>
      <w:tr w:rsidR="002641D2" w:rsidRPr="00FA3F9C" w14:paraId="0CB4EDDB" w14:textId="77777777" w:rsidTr="00FE491B">
        <w:tc>
          <w:tcPr>
            <w:tcW w:w="1008" w:type="dxa"/>
          </w:tcPr>
          <w:p w14:paraId="72A0373B" w14:textId="77777777" w:rsidR="002641D2" w:rsidRPr="00FA3F9C" w:rsidRDefault="002641D2" w:rsidP="006F623F">
            <w:pPr>
              <w:rPr>
                <w:rFonts w:ascii="Arial" w:hAnsi="Arial" w:cs="Arial"/>
                <w:sz w:val="24"/>
                <w:szCs w:val="24"/>
              </w:rPr>
            </w:pPr>
            <w:r w:rsidRPr="00FA3F9C">
              <w:rPr>
                <w:rFonts w:ascii="Arial" w:hAnsi="Arial" w:cs="Arial"/>
                <w:sz w:val="24"/>
                <w:szCs w:val="24"/>
              </w:rPr>
              <w:t>2/22/2022</w:t>
            </w:r>
          </w:p>
        </w:tc>
        <w:tc>
          <w:tcPr>
            <w:tcW w:w="7470" w:type="dxa"/>
          </w:tcPr>
          <w:p w14:paraId="0773D809" w14:textId="77777777" w:rsidR="002641D2" w:rsidRPr="00FA3F9C" w:rsidRDefault="002641D2" w:rsidP="006F623F">
            <w:pPr>
              <w:rPr>
                <w:rFonts w:ascii="Arial" w:hAnsi="Arial" w:cs="Arial"/>
                <w:sz w:val="24"/>
                <w:szCs w:val="24"/>
              </w:rPr>
            </w:pPr>
            <w:r w:rsidRPr="00FA3F9C">
              <w:rPr>
                <w:rFonts w:ascii="Arial" w:hAnsi="Arial" w:cs="Arial"/>
                <w:sz w:val="24"/>
                <w:szCs w:val="24"/>
              </w:rPr>
              <w:t>Criteria written.</w:t>
            </w:r>
          </w:p>
        </w:tc>
        <w:tc>
          <w:tcPr>
            <w:tcW w:w="2538" w:type="dxa"/>
          </w:tcPr>
          <w:p w14:paraId="02337FA7" w14:textId="77777777" w:rsidR="002641D2" w:rsidRPr="00FA3F9C" w:rsidRDefault="002641D2" w:rsidP="006F623F">
            <w:pPr>
              <w:rPr>
                <w:rFonts w:ascii="Arial" w:hAnsi="Arial" w:cs="Arial"/>
                <w:sz w:val="24"/>
                <w:szCs w:val="24"/>
              </w:rPr>
            </w:pPr>
            <w:r w:rsidRPr="00FA3F9C">
              <w:rPr>
                <w:rFonts w:ascii="Arial" w:hAnsi="Arial" w:cs="Arial"/>
                <w:sz w:val="24"/>
                <w:szCs w:val="24"/>
              </w:rPr>
              <w:t>SK</w:t>
            </w:r>
          </w:p>
        </w:tc>
      </w:tr>
      <w:tr w:rsidR="002641D2" w:rsidRPr="00FA3F9C" w14:paraId="6ADAE35F" w14:textId="77777777" w:rsidTr="00FE491B">
        <w:tc>
          <w:tcPr>
            <w:tcW w:w="1008" w:type="dxa"/>
          </w:tcPr>
          <w:p w14:paraId="1415A947" w14:textId="77777777" w:rsidR="002641D2" w:rsidRPr="00FA3F9C" w:rsidRDefault="002641D2" w:rsidP="006F623F">
            <w:pPr>
              <w:rPr>
                <w:rFonts w:ascii="Arial" w:hAnsi="Arial" w:cs="Arial"/>
                <w:sz w:val="24"/>
                <w:szCs w:val="24"/>
              </w:rPr>
            </w:pPr>
          </w:p>
        </w:tc>
        <w:tc>
          <w:tcPr>
            <w:tcW w:w="7470" w:type="dxa"/>
          </w:tcPr>
          <w:p w14:paraId="1E0BD48A" w14:textId="77777777" w:rsidR="002641D2" w:rsidRPr="00FA3F9C" w:rsidRDefault="002641D2" w:rsidP="006F623F">
            <w:pPr>
              <w:rPr>
                <w:rFonts w:ascii="Arial" w:hAnsi="Arial" w:cs="Arial"/>
                <w:sz w:val="24"/>
                <w:szCs w:val="24"/>
              </w:rPr>
            </w:pPr>
          </w:p>
        </w:tc>
        <w:tc>
          <w:tcPr>
            <w:tcW w:w="2538" w:type="dxa"/>
          </w:tcPr>
          <w:p w14:paraId="46E56EDD" w14:textId="77777777" w:rsidR="002641D2" w:rsidRPr="00FA3F9C" w:rsidRDefault="002641D2" w:rsidP="006F623F">
            <w:pPr>
              <w:rPr>
                <w:rFonts w:ascii="Arial" w:hAnsi="Arial" w:cs="Arial"/>
                <w:sz w:val="24"/>
                <w:szCs w:val="24"/>
              </w:rPr>
            </w:pPr>
          </w:p>
        </w:tc>
      </w:tr>
    </w:tbl>
    <w:p w14:paraId="367262E1" w14:textId="77777777" w:rsidR="002A1632" w:rsidRDefault="002A1632" w:rsidP="00D13926">
      <w:pPr>
        <w:jc w:val="center"/>
        <w:rPr>
          <w:rFonts w:ascii="Arial" w:hAnsi="Arial" w:cs="Arial"/>
          <w:b/>
          <w:sz w:val="24"/>
          <w:szCs w:val="24"/>
        </w:rPr>
      </w:pPr>
    </w:p>
    <w:p w14:paraId="333B6FC5" w14:textId="77777777" w:rsidR="002A1632" w:rsidRDefault="002A1632" w:rsidP="00D13926">
      <w:pPr>
        <w:jc w:val="center"/>
        <w:rPr>
          <w:rFonts w:ascii="Arial" w:hAnsi="Arial" w:cs="Arial"/>
          <w:b/>
          <w:sz w:val="24"/>
          <w:szCs w:val="24"/>
        </w:rPr>
      </w:pPr>
    </w:p>
    <w:p w14:paraId="3795E122" w14:textId="5D482189" w:rsidR="002641D2" w:rsidRPr="00FA3F9C" w:rsidRDefault="002641D2" w:rsidP="002A1632">
      <w:pPr>
        <w:pStyle w:val="Heading2"/>
      </w:pPr>
      <w:r w:rsidRPr="00FA3F9C">
        <w:t xml:space="preserve"> </w:t>
      </w:r>
      <w:bookmarkStart w:id="168" w:name="_Toc106369847"/>
      <w:r w:rsidRPr="00FA3F9C">
        <w:t>Linaclotide (</w:t>
      </w:r>
      <w:proofErr w:type="spellStart"/>
      <w:r w:rsidRPr="00FA3F9C">
        <w:t>Linzess</w:t>
      </w:r>
      <w:proofErr w:type="spellEnd"/>
      <w:r w:rsidRPr="00FA3F9C">
        <w:t>®)</w:t>
      </w:r>
      <w:bookmarkEnd w:id="168"/>
    </w:p>
    <w:p w14:paraId="53744E17" w14:textId="77777777" w:rsidR="002A1632" w:rsidRPr="00FA3F9C" w:rsidRDefault="002A1632" w:rsidP="002A1632">
      <w:pPr>
        <w:jc w:val="center"/>
        <w:rPr>
          <w:rFonts w:ascii="Arial" w:hAnsi="Arial" w:cs="Arial"/>
          <w:b/>
          <w:sz w:val="24"/>
          <w:szCs w:val="24"/>
        </w:rPr>
      </w:pPr>
      <w:r>
        <w:rPr>
          <w:rFonts w:ascii="Arial" w:hAnsi="Arial" w:cs="Arial"/>
          <w:b/>
          <w:sz w:val="24"/>
          <w:szCs w:val="24"/>
        </w:rPr>
        <w:t xml:space="preserve">EBRx </w:t>
      </w:r>
      <w:r w:rsidRPr="00FA3F9C">
        <w:rPr>
          <w:rFonts w:ascii="Arial" w:hAnsi="Arial" w:cs="Arial"/>
          <w:b/>
          <w:sz w:val="24"/>
          <w:szCs w:val="24"/>
        </w:rPr>
        <w:t>Prior Authorization Criteria</w:t>
      </w:r>
    </w:p>
    <w:p w14:paraId="0BEAA395" w14:textId="77777777" w:rsidR="002641D2" w:rsidRPr="00FA3F9C" w:rsidRDefault="002641D2">
      <w:pPr>
        <w:rPr>
          <w:rFonts w:ascii="Arial" w:hAnsi="Arial" w:cs="Arial"/>
          <w:sz w:val="24"/>
          <w:szCs w:val="24"/>
        </w:rPr>
      </w:pPr>
    </w:p>
    <w:p w14:paraId="43924785" w14:textId="77777777" w:rsidR="002641D2" w:rsidRPr="00FA3F9C" w:rsidRDefault="002641D2">
      <w:pPr>
        <w:rPr>
          <w:rFonts w:ascii="Arial" w:hAnsi="Arial" w:cs="Arial"/>
          <w:sz w:val="24"/>
          <w:szCs w:val="24"/>
        </w:rPr>
      </w:pPr>
    </w:p>
    <w:tbl>
      <w:tblPr>
        <w:tblW w:w="1053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30"/>
      </w:tblGrid>
      <w:tr w:rsidR="002641D2" w:rsidRPr="00FA3F9C" w14:paraId="0B0A86F9" w14:textId="77777777" w:rsidTr="00555C95">
        <w:tc>
          <w:tcPr>
            <w:tcW w:w="10530" w:type="dxa"/>
          </w:tcPr>
          <w:p w14:paraId="5DCEA297" w14:textId="77777777" w:rsidR="002641D2" w:rsidRPr="00FA3F9C" w:rsidRDefault="002641D2" w:rsidP="00555C95">
            <w:pPr>
              <w:rPr>
                <w:rFonts w:ascii="Arial" w:hAnsi="Arial" w:cs="Arial"/>
                <w:sz w:val="24"/>
                <w:szCs w:val="24"/>
              </w:rPr>
            </w:pPr>
            <w:r w:rsidRPr="00FA3F9C">
              <w:rPr>
                <w:rFonts w:ascii="Arial" w:hAnsi="Arial" w:cs="Arial"/>
                <w:sz w:val="24"/>
                <w:szCs w:val="24"/>
              </w:rPr>
              <w:t xml:space="preserve">1.  The patient must have a diagnosis of IBS with constipation </w:t>
            </w:r>
          </w:p>
          <w:p w14:paraId="5B405C90" w14:textId="77777777" w:rsidR="002641D2" w:rsidRPr="00FA3F9C" w:rsidRDefault="002641D2" w:rsidP="00555C95">
            <w:pPr>
              <w:rPr>
                <w:rFonts w:ascii="Arial" w:hAnsi="Arial" w:cs="Arial"/>
                <w:sz w:val="24"/>
                <w:szCs w:val="24"/>
              </w:rPr>
            </w:pPr>
            <w:r w:rsidRPr="00FA3F9C">
              <w:rPr>
                <w:rFonts w:ascii="Arial" w:hAnsi="Arial" w:cs="Arial"/>
                <w:sz w:val="24"/>
                <w:szCs w:val="24"/>
              </w:rPr>
              <w:t xml:space="preserve">OR </w:t>
            </w:r>
          </w:p>
          <w:p w14:paraId="4F2BD4C2" w14:textId="77777777" w:rsidR="002641D2" w:rsidRPr="00FA3F9C" w:rsidRDefault="002641D2" w:rsidP="00555C95">
            <w:pPr>
              <w:rPr>
                <w:rFonts w:ascii="Arial" w:hAnsi="Arial" w:cs="Arial"/>
                <w:sz w:val="24"/>
                <w:szCs w:val="24"/>
              </w:rPr>
            </w:pPr>
            <w:r w:rsidRPr="00FA3F9C">
              <w:rPr>
                <w:rFonts w:ascii="Arial" w:hAnsi="Arial" w:cs="Arial"/>
                <w:sz w:val="24"/>
                <w:szCs w:val="24"/>
              </w:rPr>
              <w:t>a diagnosis of chronic idiopathic constipation after a complete GI workup for other causes and meet the Rome II criteria:</w:t>
            </w:r>
          </w:p>
          <w:p w14:paraId="5F8DE526" w14:textId="77777777" w:rsidR="002641D2" w:rsidRPr="00FA3F9C" w:rsidRDefault="002641D2" w:rsidP="002641D2">
            <w:pPr>
              <w:pStyle w:val="NormalWeb"/>
              <w:numPr>
                <w:ilvl w:val="0"/>
                <w:numId w:val="314"/>
              </w:numPr>
              <w:shd w:val="clear" w:color="auto" w:fill="FFFFFF"/>
              <w:spacing w:before="0" w:beforeAutospacing="0" w:after="0" w:afterAutospacing="0"/>
              <w:rPr>
                <w:rFonts w:ascii="Arial" w:hAnsi="Arial" w:cs="Arial"/>
                <w:color w:val="000000"/>
                <w:sz w:val="24"/>
                <w:szCs w:val="24"/>
              </w:rPr>
            </w:pPr>
            <w:r w:rsidRPr="00FA3F9C">
              <w:rPr>
                <w:rFonts w:ascii="Arial" w:hAnsi="Arial" w:cs="Arial"/>
                <w:color w:val="000000"/>
                <w:sz w:val="24"/>
                <w:szCs w:val="24"/>
              </w:rPr>
              <w:t>less than 3 spontaneous bowel movements (SBMs) per week (occurring without the use of a laxative, enema, or suppository within the previous 24 hours)</w:t>
            </w:r>
          </w:p>
          <w:p w14:paraId="619CD85E" w14:textId="77777777" w:rsidR="002641D2" w:rsidRPr="00FA3F9C" w:rsidRDefault="002641D2" w:rsidP="002641D2">
            <w:pPr>
              <w:pStyle w:val="NormalWeb"/>
              <w:numPr>
                <w:ilvl w:val="0"/>
                <w:numId w:val="314"/>
              </w:numPr>
              <w:shd w:val="clear" w:color="auto" w:fill="FFFFFF"/>
              <w:spacing w:before="0" w:beforeAutospacing="0" w:after="0" w:afterAutospacing="0"/>
              <w:rPr>
                <w:rFonts w:ascii="Arial" w:hAnsi="Arial" w:cs="Arial"/>
                <w:color w:val="000000"/>
                <w:sz w:val="24"/>
                <w:szCs w:val="24"/>
              </w:rPr>
            </w:pPr>
            <w:r w:rsidRPr="00FA3F9C">
              <w:rPr>
                <w:rFonts w:ascii="Arial" w:hAnsi="Arial" w:cs="Arial"/>
                <w:color w:val="000000"/>
                <w:sz w:val="24"/>
                <w:szCs w:val="24"/>
              </w:rPr>
              <w:t>AND having had one or more of the following signs or symptoms during more than 25% of bowel movements for at least 12 weeks within the previous 12 months: straining, lumpy or hard stools, or a sensation of incomplete evacuation</w:t>
            </w:r>
          </w:p>
          <w:p w14:paraId="592567C3" w14:textId="77777777" w:rsidR="002641D2" w:rsidRPr="00FA3F9C" w:rsidRDefault="002641D2" w:rsidP="002641D2">
            <w:pPr>
              <w:pStyle w:val="NormalWeb"/>
              <w:numPr>
                <w:ilvl w:val="0"/>
                <w:numId w:val="313"/>
              </w:numPr>
              <w:shd w:val="clear" w:color="auto" w:fill="FFFFFF"/>
              <w:spacing w:before="0" w:beforeAutospacing="0" w:after="0" w:afterAutospacing="0"/>
              <w:rPr>
                <w:rFonts w:ascii="Arial" w:hAnsi="Arial" w:cs="Arial"/>
                <w:sz w:val="24"/>
                <w:szCs w:val="24"/>
              </w:rPr>
            </w:pPr>
            <w:r w:rsidRPr="00FA3F9C">
              <w:rPr>
                <w:rFonts w:ascii="Arial" w:hAnsi="Arial" w:cs="Arial"/>
                <w:color w:val="000000"/>
                <w:sz w:val="24"/>
                <w:szCs w:val="24"/>
              </w:rPr>
              <w:t xml:space="preserve">AND </w:t>
            </w:r>
            <w:proofErr w:type="gramStart"/>
            <w:r w:rsidRPr="00FA3F9C">
              <w:rPr>
                <w:rFonts w:ascii="Arial" w:hAnsi="Arial" w:cs="Arial"/>
                <w:color w:val="000000"/>
                <w:sz w:val="24"/>
                <w:szCs w:val="24"/>
              </w:rPr>
              <w:t>Does</w:t>
            </w:r>
            <w:proofErr w:type="gramEnd"/>
            <w:r w:rsidRPr="00FA3F9C">
              <w:rPr>
                <w:rFonts w:ascii="Arial" w:hAnsi="Arial" w:cs="Arial"/>
                <w:color w:val="000000"/>
                <w:sz w:val="24"/>
                <w:szCs w:val="24"/>
              </w:rPr>
              <w:t xml:space="preserve"> not meet criteria for IBS</w:t>
            </w:r>
          </w:p>
        </w:tc>
      </w:tr>
      <w:tr w:rsidR="002641D2" w:rsidRPr="00FA3F9C" w14:paraId="54C7FAEF" w14:textId="77777777" w:rsidTr="00555C95">
        <w:tc>
          <w:tcPr>
            <w:tcW w:w="10530" w:type="dxa"/>
          </w:tcPr>
          <w:p w14:paraId="2DE8BDD9" w14:textId="77777777" w:rsidR="002641D2" w:rsidRPr="00FA3F9C" w:rsidRDefault="002641D2" w:rsidP="00555C95">
            <w:pPr>
              <w:rPr>
                <w:rFonts w:ascii="Arial" w:hAnsi="Arial" w:cs="Arial"/>
                <w:sz w:val="24"/>
                <w:szCs w:val="24"/>
              </w:rPr>
            </w:pPr>
            <w:r w:rsidRPr="00FA3F9C">
              <w:rPr>
                <w:rFonts w:ascii="Arial" w:hAnsi="Arial" w:cs="Arial"/>
                <w:sz w:val="24"/>
                <w:szCs w:val="24"/>
              </w:rPr>
              <w:lastRenderedPageBreak/>
              <w:t xml:space="preserve">2.  The patient must have tried and failed </w:t>
            </w:r>
            <w:proofErr w:type="spellStart"/>
            <w:r w:rsidRPr="00FA3F9C">
              <w:rPr>
                <w:rFonts w:ascii="Arial" w:hAnsi="Arial" w:cs="Arial"/>
                <w:sz w:val="24"/>
                <w:szCs w:val="24"/>
              </w:rPr>
              <w:t>miralax</w:t>
            </w:r>
            <w:proofErr w:type="spellEnd"/>
            <w:r w:rsidRPr="00FA3F9C">
              <w:rPr>
                <w:rFonts w:ascii="Arial" w:hAnsi="Arial" w:cs="Arial"/>
                <w:sz w:val="24"/>
                <w:szCs w:val="24"/>
              </w:rPr>
              <w:t xml:space="preserve"> or be planning to take it concurrently with linaclotide.</w:t>
            </w:r>
          </w:p>
        </w:tc>
      </w:tr>
      <w:tr w:rsidR="002641D2" w:rsidRPr="00FA3F9C" w14:paraId="6F1E3D81" w14:textId="77777777" w:rsidTr="00555C95">
        <w:tc>
          <w:tcPr>
            <w:tcW w:w="10530" w:type="dxa"/>
          </w:tcPr>
          <w:p w14:paraId="16F27925" w14:textId="77777777" w:rsidR="002641D2" w:rsidRPr="00FA3F9C" w:rsidRDefault="002641D2" w:rsidP="00555C95">
            <w:pPr>
              <w:rPr>
                <w:rFonts w:ascii="Arial" w:hAnsi="Arial" w:cs="Arial"/>
                <w:sz w:val="24"/>
                <w:szCs w:val="24"/>
              </w:rPr>
            </w:pPr>
            <w:r w:rsidRPr="00FA3F9C">
              <w:rPr>
                <w:rFonts w:ascii="Arial" w:hAnsi="Arial" w:cs="Arial"/>
                <w:sz w:val="24"/>
                <w:szCs w:val="24"/>
              </w:rPr>
              <w:t>3.  There must have been a recent attempt to completely stop all opioid medications.</w:t>
            </w:r>
          </w:p>
        </w:tc>
      </w:tr>
      <w:tr w:rsidR="002641D2" w:rsidRPr="00FA3F9C" w14:paraId="5769C18A" w14:textId="77777777" w:rsidTr="00555C95">
        <w:tc>
          <w:tcPr>
            <w:tcW w:w="10530" w:type="dxa"/>
          </w:tcPr>
          <w:p w14:paraId="762A7F7C" w14:textId="77777777" w:rsidR="002641D2" w:rsidRPr="00FA3F9C" w:rsidRDefault="002641D2" w:rsidP="00555C95">
            <w:pPr>
              <w:rPr>
                <w:rFonts w:ascii="Arial" w:hAnsi="Arial" w:cs="Arial"/>
                <w:sz w:val="24"/>
                <w:szCs w:val="24"/>
              </w:rPr>
            </w:pPr>
            <w:r w:rsidRPr="00FA3F9C">
              <w:rPr>
                <w:rFonts w:ascii="Arial" w:hAnsi="Arial" w:cs="Arial"/>
                <w:sz w:val="24"/>
                <w:szCs w:val="24"/>
              </w:rPr>
              <w:t>4.  The patient must have tried and failed dietary modifications including eating more roughage.</w:t>
            </w:r>
          </w:p>
        </w:tc>
      </w:tr>
      <w:tr w:rsidR="002641D2" w:rsidRPr="00FA3F9C" w14:paraId="26BBA170" w14:textId="77777777" w:rsidTr="00555C95">
        <w:tc>
          <w:tcPr>
            <w:tcW w:w="10530" w:type="dxa"/>
          </w:tcPr>
          <w:p w14:paraId="0F32B0F7" w14:textId="77777777" w:rsidR="002641D2" w:rsidRPr="00FA3F9C" w:rsidRDefault="002641D2" w:rsidP="00555C95">
            <w:pPr>
              <w:rPr>
                <w:rFonts w:ascii="Arial" w:hAnsi="Arial" w:cs="Arial"/>
                <w:sz w:val="24"/>
                <w:szCs w:val="24"/>
              </w:rPr>
            </w:pPr>
            <w:r w:rsidRPr="00FA3F9C">
              <w:rPr>
                <w:rFonts w:ascii="Arial" w:hAnsi="Arial" w:cs="Arial"/>
                <w:sz w:val="24"/>
                <w:szCs w:val="24"/>
              </w:rPr>
              <w:t>5.  The prescriber of linaclotide must state they have queried the AR PMP to assess the patient’s current opioid use.</w:t>
            </w:r>
          </w:p>
        </w:tc>
      </w:tr>
      <w:tr w:rsidR="002641D2" w:rsidRPr="00FA3F9C" w14:paraId="67FA1CE7" w14:textId="77777777" w:rsidTr="00555C95">
        <w:tc>
          <w:tcPr>
            <w:tcW w:w="10530" w:type="dxa"/>
          </w:tcPr>
          <w:p w14:paraId="072D17E3" w14:textId="77777777" w:rsidR="002641D2" w:rsidRPr="00FA3F9C" w:rsidRDefault="002641D2" w:rsidP="00181095">
            <w:pPr>
              <w:rPr>
                <w:rFonts w:ascii="Arial" w:hAnsi="Arial" w:cs="Arial"/>
                <w:sz w:val="24"/>
                <w:szCs w:val="24"/>
              </w:rPr>
            </w:pPr>
            <w:r w:rsidRPr="00FA3F9C">
              <w:rPr>
                <w:rFonts w:ascii="Arial" w:hAnsi="Arial" w:cs="Arial"/>
                <w:sz w:val="24"/>
                <w:szCs w:val="24"/>
              </w:rPr>
              <w:t xml:space="preserve">6.  There must be no overlapping </w:t>
            </w:r>
            <w:proofErr w:type="spellStart"/>
            <w:r w:rsidRPr="00FA3F9C">
              <w:rPr>
                <w:rFonts w:ascii="Arial" w:hAnsi="Arial" w:cs="Arial"/>
                <w:sz w:val="24"/>
                <w:szCs w:val="24"/>
              </w:rPr>
              <w:t>days</w:t>
            </w:r>
            <w:proofErr w:type="spellEnd"/>
            <w:r w:rsidRPr="00FA3F9C">
              <w:rPr>
                <w:rFonts w:ascii="Arial" w:hAnsi="Arial" w:cs="Arial"/>
                <w:sz w:val="24"/>
                <w:szCs w:val="24"/>
              </w:rPr>
              <w:t xml:space="preserve"> supply of linaclotide with any of the following:  </w:t>
            </w:r>
            <w:proofErr w:type="spellStart"/>
            <w:proofErr w:type="gramStart"/>
            <w:r w:rsidRPr="00FA3F9C">
              <w:rPr>
                <w:rFonts w:ascii="Arial" w:hAnsi="Arial" w:cs="Arial"/>
                <w:sz w:val="24"/>
                <w:szCs w:val="24"/>
              </w:rPr>
              <w:t>lubiprostone</w:t>
            </w:r>
            <w:proofErr w:type="spellEnd"/>
            <w:r w:rsidRPr="00FA3F9C">
              <w:rPr>
                <w:rFonts w:ascii="Arial" w:hAnsi="Arial" w:cs="Arial"/>
                <w:sz w:val="24"/>
                <w:szCs w:val="24"/>
              </w:rPr>
              <w:t>,,</w:t>
            </w:r>
            <w:proofErr w:type="spellStart"/>
            <w:proofErr w:type="gramEnd"/>
            <w:r w:rsidRPr="00FA3F9C">
              <w:rPr>
                <w:rFonts w:ascii="Arial" w:hAnsi="Arial" w:cs="Arial"/>
                <w:sz w:val="24"/>
                <w:szCs w:val="24"/>
              </w:rPr>
              <w:t>plecanatide</w:t>
            </w:r>
            <w:proofErr w:type="spellEnd"/>
            <w:r w:rsidRPr="00FA3F9C">
              <w:rPr>
                <w:rFonts w:ascii="Arial" w:hAnsi="Arial" w:cs="Arial"/>
                <w:sz w:val="24"/>
                <w:szCs w:val="24"/>
              </w:rPr>
              <w:t xml:space="preserve">, </w:t>
            </w:r>
            <w:proofErr w:type="spellStart"/>
            <w:r w:rsidRPr="00FA3F9C">
              <w:rPr>
                <w:rFonts w:ascii="Arial" w:hAnsi="Arial" w:cs="Arial"/>
                <w:sz w:val="24"/>
                <w:szCs w:val="24"/>
              </w:rPr>
              <w:t>naloxegol</w:t>
            </w:r>
            <w:proofErr w:type="spellEnd"/>
            <w:r w:rsidRPr="00FA3F9C">
              <w:rPr>
                <w:rFonts w:ascii="Arial" w:hAnsi="Arial" w:cs="Arial"/>
                <w:sz w:val="24"/>
                <w:szCs w:val="24"/>
              </w:rPr>
              <w:t>, or methylnaltrexone.</w:t>
            </w:r>
          </w:p>
        </w:tc>
      </w:tr>
      <w:tr w:rsidR="002641D2" w:rsidRPr="00FA3F9C" w14:paraId="3A8D5C8E" w14:textId="77777777" w:rsidTr="00181095">
        <w:trPr>
          <w:trHeight w:val="323"/>
        </w:trPr>
        <w:tc>
          <w:tcPr>
            <w:tcW w:w="10530" w:type="dxa"/>
          </w:tcPr>
          <w:p w14:paraId="0133C807" w14:textId="77777777" w:rsidR="002641D2" w:rsidRPr="00FA3F9C" w:rsidRDefault="002641D2" w:rsidP="000165B8">
            <w:pPr>
              <w:rPr>
                <w:rFonts w:ascii="Arial" w:hAnsi="Arial" w:cs="Arial"/>
                <w:b/>
                <w:sz w:val="24"/>
                <w:szCs w:val="24"/>
              </w:rPr>
            </w:pPr>
            <w:r w:rsidRPr="00FA3F9C">
              <w:rPr>
                <w:rFonts w:ascii="Arial" w:hAnsi="Arial" w:cs="Arial"/>
                <w:b/>
                <w:sz w:val="24"/>
                <w:szCs w:val="24"/>
              </w:rPr>
              <w:t xml:space="preserve"> “Yes” to allow PA to be approved for 1y.  QL approval for a 31 </w:t>
            </w:r>
            <w:proofErr w:type="spellStart"/>
            <w:proofErr w:type="gramStart"/>
            <w:r w:rsidRPr="00FA3F9C">
              <w:rPr>
                <w:rFonts w:ascii="Arial" w:hAnsi="Arial" w:cs="Arial"/>
                <w:b/>
                <w:sz w:val="24"/>
                <w:szCs w:val="24"/>
              </w:rPr>
              <w:t>days</w:t>
            </w:r>
            <w:proofErr w:type="spellEnd"/>
            <w:proofErr w:type="gramEnd"/>
            <w:r w:rsidRPr="00FA3F9C">
              <w:rPr>
                <w:rFonts w:ascii="Arial" w:hAnsi="Arial" w:cs="Arial"/>
                <w:b/>
                <w:sz w:val="24"/>
                <w:szCs w:val="24"/>
              </w:rPr>
              <w:t xml:space="preserve"> supply.</w:t>
            </w:r>
          </w:p>
        </w:tc>
      </w:tr>
    </w:tbl>
    <w:p w14:paraId="5C248D46" w14:textId="77777777" w:rsidR="002641D2" w:rsidRPr="00FA3F9C" w:rsidRDefault="002641D2" w:rsidP="006325AF">
      <w:pPr>
        <w:rPr>
          <w:rFonts w:ascii="Arial" w:hAnsi="Arial" w:cs="Arial"/>
          <w:sz w:val="24"/>
          <w:szCs w:val="24"/>
        </w:rPr>
      </w:pPr>
    </w:p>
    <w:p w14:paraId="014CABFF" w14:textId="77777777" w:rsidR="002641D2" w:rsidRPr="00FA3F9C" w:rsidRDefault="002641D2" w:rsidP="006325AF">
      <w:pPr>
        <w:rPr>
          <w:rFonts w:ascii="Arial" w:hAnsi="Arial" w:cs="Arial"/>
          <w:sz w:val="24"/>
          <w:szCs w:val="24"/>
        </w:rPr>
      </w:pPr>
    </w:p>
    <w:p w14:paraId="756F08E2" w14:textId="77777777" w:rsidR="002641D2" w:rsidRPr="00FA3F9C" w:rsidRDefault="002641D2" w:rsidP="00AA1475">
      <w:pPr>
        <w:rPr>
          <w:rFonts w:ascii="Arial" w:hAnsi="Arial" w:cs="Arial"/>
          <w:sz w:val="24"/>
          <w:szCs w:val="24"/>
        </w:rPr>
      </w:pPr>
      <w:r w:rsidRPr="00FA3F9C">
        <w:rPr>
          <w:rFonts w:ascii="Arial" w:hAnsi="Arial" w:cs="Arial"/>
          <w:sz w:val="24"/>
          <w:szCs w:val="24"/>
        </w:rPr>
        <w:t xml:space="preserve">References:  </w:t>
      </w:r>
      <w:proofErr w:type="spellStart"/>
      <w:r w:rsidRPr="00FA3F9C">
        <w:rPr>
          <w:rFonts w:ascii="Arial" w:hAnsi="Arial" w:cs="Arial"/>
          <w:color w:val="000000"/>
          <w:sz w:val="24"/>
          <w:szCs w:val="24"/>
          <w:shd w:val="clear" w:color="auto" w:fill="FFFFFF"/>
        </w:rPr>
        <w:t>Lembo</w:t>
      </w:r>
      <w:proofErr w:type="spellEnd"/>
      <w:r w:rsidRPr="00FA3F9C">
        <w:rPr>
          <w:rFonts w:ascii="Arial" w:hAnsi="Arial" w:cs="Arial"/>
          <w:color w:val="000000"/>
          <w:sz w:val="24"/>
          <w:szCs w:val="24"/>
          <w:shd w:val="clear" w:color="auto" w:fill="FFFFFF"/>
        </w:rPr>
        <w:t xml:space="preserve"> AJ, </w:t>
      </w:r>
      <w:proofErr w:type="spellStart"/>
      <w:r w:rsidRPr="00FA3F9C">
        <w:rPr>
          <w:rFonts w:ascii="Arial" w:hAnsi="Arial" w:cs="Arial"/>
          <w:color w:val="000000"/>
          <w:sz w:val="24"/>
          <w:szCs w:val="24"/>
          <w:shd w:val="clear" w:color="auto" w:fill="FFFFFF"/>
        </w:rPr>
        <w:t>Schneier</w:t>
      </w:r>
      <w:proofErr w:type="spellEnd"/>
      <w:r w:rsidRPr="00FA3F9C">
        <w:rPr>
          <w:rFonts w:ascii="Arial" w:hAnsi="Arial" w:cs="Arial"/>
          <w:color w:val="000000"/>
          <w:sz w:val="24"/>
          <w:szCs w:val="24"/>
          <w:shd w:val="clear" w:color="auto" w:fill="FFFFFF"/>
        </w:rPr>
        <w:t xml:space="preserve"> HA, </w:t>
      </w:r>
      <w:proofErr w:type="spellStart"/>
      <w:r w:rsidRPr="00FA3F9C">
        <w:rPr>
          <w:rFonts w:ascii="Arial" w:hAnsi="Arial" w:cs="Arial"/>
          <w:color w:val="000000"/>
          <w:sz w:val="24"/>
          <w:szCs w:val="24"/>
          <w:shd w:val="clear" w:color="auto" w:fill="FFFFFF"/>
        </w:rPr>
        <w:t>Shiff</w:t>
      </w:r>
      <w:proofErr w:type="spellEnd"/>
      <w:r w:rsidRPr="00FA3F9C">
        <w:rPr>
          <w:rFonts w:ascii="Arial" w:hAnsi="Arial" w:cs="Arial"/>
          <w:color w:val="000000"/>
          <w:sz w:val="24"/>
          <w:szCs w:val="24"/>
          <w:shd w:val="clear" w:color="auto" w:fill="FFFFFF"/>
        </w:rPr>
        <w:t xml:space="preserve"> SJ, et al. Two Randomized Trials of Linaclotide for Chronic Constipation. N </w:t>
      </w:r>
      <w:proofErr w:type="spellStart"/>
      <w:r w:rsidRPr="00FA3F9C">
        <w:rPr>
          <w:rFonts w:ascii="Arial" w:hAnsi="Arial" w:cs="Arial"/>
          <w:color w:val="000000"/>
          <w:sz w:val="24"/>
          <w:szCs w:val="24"/>
          <w:shd w:val="clear" w:color="auto" w:fill="FFFFFF"/>
        </w:rPr>
        <w:t>Engl</w:t>
      </w:r>
      <w:proofErr w:type="spellEnd"/>
      <w:r w:rsidRPr="00FA3F9C">
        <w:rPr>
          <w:rFonts w:ascii="Arial" w:hAnsi="Arial" w:cs="Arial"/>
          <w:color w:val="000000"/>
          <w:sz w:val="24"/>
          <w:szCs w:val="24"/>
          <w:shd w:val="clear" w:color="auto" w:fill="FFFFFF"/>
        </w:rPr>
        <w:t xml:space="preserve"> J Med 2011;365:527-36.</w:t>
      </w:r>
    </w:p>
    <w:p w14:paraId="3FB4CF99" w14:textId="77777777" w:rsidR="002641D2" w:rsidRPr="00FA3F9C" w:rsidRDefault="002641D2" w:rsidP="00AA1475">
      <w:pPr>
        <w:rPr>
          <w:rFonts w:ascii="Arial" w:hAnsi="Arial" w:cs="Arial"/>
          <w:sz w:val="24"/>
          <w:szCs w:val="24"/>
        </w:rPr>
      </w:pPr>
    </w:p>
    <w:p w14:paraId="168CEB97" w14:textId="77777777" w:rsidR="002641D2" w:rsidRPr="00FA3F9C" w:rsidRDefault="002641D2" w:rsidP="006325AF">
      <w:pPr>
        <w:rPr>
          <w:rFonts w:ascii="Arial" w:hAnsi="Arial" w:cs="Arial"/>
          <w:sz w:val="24"/>
          <w:szCs w:val="24"/>
        </w:rPr>
      </w:pPr>
    </w:p>
    <w:p w14:paraId="3736AC83" w14:textId="77777777" w:rsidR="002641D2" w:rsidRPr="00FA3F9C" w:rsidRDefault="002641D2" w:rsidP="006325AF">
      <w:pPr>
        <w:rPr>
          <w:rFonts w:ascii="Arial" w:hAnsi="Arial" w:cs="Arial"/>
          <w:sz w:val="24"/>
          <w:szCs w:val="24"/>
        </w:rPr>
      </w:pPr>
      <w:r w:rsidRPr="00FA3F9C">
        <w:rPr>
          <w:rFonts w:ascii="Arial" w:hAnsi="Arial" w:cs="Arial"/>
          <w:sz w:val="24"/>
          <w:szCs w:val="24"/>
        </w:rPr>
        <w:t>Revision History:</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6774"/>
        <w:gridCol w:w="1590"/>
      </w:tblGrid>
      <w:tr w:rsidR="002641D2" w:rsidRPr="00FA3F9C" w14:paraId="68175B83" w14:textId="77777777" w:rsidTr="00365107">
        <w:tc>
          <w:tcPr>
            <w:tcW w:w="1109" w:type="dxa"/>
          </w:tcPr>
          <w:p w14:paraId="47850152" w14:textId="77777777" w:rsidR="002641D2" w:rsidRPr="00FA3F9C" w:rsidRDefault="002641D2" w:rsidP="006325AF">
            <w:pPr>
              <w:rPr>
                <w:rFonts w:ascii="Arial" w:hAnsi="Arial" w:cs="Arial"/>
                <w:sz w:val="24"/>
                <w:szCs w:val="24"/>
              </w:rPr>
            </w:pPr>
            <w:r w:rsidRPr="00FA3F9C">
              <w:rPr>
                <w:rFonts w:ascii="Arial" w:hAnsi="Arial" w:cs="Arial"/>
                <w:sz w:val="24"/>
                <w:szCs w:val="24"/>
              </w:rPr>
              <w:t xml:space="preserve">Date </w:t>
            </w:r>
          </w:p>
        </w:tc>
        <w:tc>
          <w:tcPr>
            <w:tcW w:w="7186" w:type="dxa"/>
          </w:tcPr>
          <w:p w14:paraId="54907790" w14:textId="77777777" w:rsidR="002641D2" w:rsidRPr="00FA3F9C" w:rsidRDefault="002641D2" w:rsidP="006325AF">
            <w:pPr>
              <w:rPr>
                <w:rFonts w:ascii="Arial" w:hAnsi="Arial" w:cs="Arial"/>
                <w:sz w:val="24"/>
                <w:szCs w:val="24"/>
              </w:rPr>
            </w:pPr>
            <w:r w:rsidRPr="00FA3F9C">
              <w:rPr>
                <w:rFonts w:ascii="Arial" w:hAnsi="Arial" w:cs="Arial"/>
                <w:sz w:val="24"/>
                <w:szCs w:val="24"/>
              </w:rPr>
              <w:t>What changed?</w:t>
            </w:r>
          </w:p>
        </w:tc>
        <w:tc>
          <w:tcPr>
            <w:tcW w:w="1353" w:type="dxa"/>
          </w:tcPr>
          <w:p w14:paraId="4547A1CF" w14:textId="77777777" w:rsidR="002641D2" w:rsidRPr="00FA3F9C" w:rsidRDefault="002641D2" w:rsidP="006325AF">
            <w:pPr>
              <w:rPr>
                <w:rFonts w:ascii="Arial" w:hAnsi="Arial" w:cs="Arial"/>
                <w:sz w:val="24"/>
                <w:szCs w:val="24"/>
              </w:rPr>
            </w:pPr>
            <w:r w:rsidRPr="00FA3F9C">
              <w:rPr>
                <w:rFonts w:ascii="Arial" w:hAnsi="Arial" w:cs="Arial"/>
                <w:sz w:val="24"/>
                <w:szCs w:val="24"/>
              </w:rPr>
              <w:t>Pharmacist’s initials</w:t>
            </w:r>
          </w:p>
        </w:tc>
      </w:tr>
      <w:tr w:rsidR="002641D2" w:rsidRPr="00FA3F9C" w14:paraId="49489547" w14:textId="77777777" w:rsidTr="00365107">
        <w:tc>
          <w:tcPr>
            <w:tcW w:w="1109" w:type="dxa"/>
          </w:tcPr>
          <w:p w14:paraId="631E9E35" w14:textId="77777777" w:rsidR="002641D2" w:rsidRPr="00FA3F9C" w:rsidRDefault="002641D2" w:rsidP="006325AF">
            <w:pPr>
              <w:rPr>
                <w:rFonts w:ascii="Arial" w:hAnsi="Arial" w:cs="Arial"/>
                <w:sz w:val="24"/>
                <w:szCs w:val="24"/>
              </w:rPr>
            </w:pPr>
            <w:r w:rsidRPr="00FA3F9C">
              <w:rPr>
                <w:rFonts w:ascii="Arial" w:hAnsi="Arial" w:cs="Arial"/>
                <w:sz w:val="24"/>
                <w:szCs w:val="24"/>
              </w:rPr>
              <w:t>4/23/2013</w:t>
            </w:r>
          </w:p>
        </w:tc>
        <w:tc>
          <w:tcPr>
            <w:tcW w:w="7186" w:type="dxa"/>
          </w:tcPr>
          <w:p w14:paraId="28A84D7E" w14:textId="77777777" w:rsidR="002641D2" w:rsidRPr="00FA3F9C" w:rsidRDefault="002641D2" w:rsidP="006325AF">
            <w:pPr>
              <w:rPr>
                <w:rFonts w:ascii="Arial" w:hAnsi="Arial" w:cs="Arial"/>
                <w:sz w:val="24"/>
                <w:szCs w:val="24"/>
              </w:rPr>
            </w:pPr>
            <w:r w:rsidRPr="00FA3F9C">
              <w:rPr>
                <w:rFonts w:ascii="Arial" w:hAnsi="Arial" w:cs="Arial"/>
                <w:sz w:val="24"/>
                <w:szCs w:val="24"/>
              </w:rPr>
              <w:t>PA criteria written</w:t>
            </w:r>
          </w:p>
        </w:tc>
        <w:tc>
          <w:tcPr>
            <w:tcW w:w="1353" w:type="dxa"/>
          </w:tcPr>
          <w:p w14:paraId="5BB1A660" w14:textId="77777777" w:rsidR="002641D2" w:rsidRPr="00FA3F9C" w:rsidRDefault="002641D2" w:rsidP="006325AF">
            <w:pPr>
              <w:rPr>
                <w:rFonts w:ascii="Arial" w:hAnsi="Arial" w:cs="Arial"/>
                <w:sz w:val="24"/>
                <w:szCs w:val="24"/>
              </w:rPr>
            </w:pPr>
            <w:r w:rsidRPr="00FA3F9C">
              <w:rPr>
                <w:rFonts w:ascii="Arial" w:hAnsi="Arial" w:cs="Arial"/>
                <w:sz w:val="24"/>
                <w:szCs w:val="24"/>
              </w:rPr>
              <w:t>JJ</w:t>
            </w:r>
          </w:p>
        </w:tc>
      </w:tr>
      <w:tr w:rsidR="002641D2" w:rsidRPr="00FA3F9C" w14:paraId="2553D998" w14:textId="77777777" w:rsidTr="00365107">
        <w:tc>
          <w:tcPr>
            <w:tcW w:w="1109" w:type="dxa"/>
          </w:tcPr>
          <w:p w14:paraId="0093ADEC" w14:textId="77777777" w:rsidR="002641D2" w:rsidRPr="00FA3F9C" w:rsidRDefault="002641D2" w:rsidP="006325AF">
            <w:pPr>
              <w:rPr>
                <w:rFonts w:ascii="Arial" w:hAnsi="Arial" w:cs="Arial"/>
                <w:sz w:val="24"/>
                <w:szCs w:val="24"/>
              </w:rPr>
            </w:pPr>
            <w:r w:rsidRPr="00FA3F9C">
              <w:rPr>
                <w:rFonts w:ascii="Arial" w:hAnsi="Arial" w:cs="Arial"/>
                <w:sz w:val="24"/>
                <w:szCs w:val="24"/>
              </w:rPr>
              <w:t>9/11/13</w:t>
            </w:r>
          </w:p>
        </w:tc>
        <w:tc>
          <w:tcPr>
            <w:tcW w:w="7186" w:type="dxa"/>
          </w:tcPr>
          <w:p w14:paraId="3C83E424" w14:textId="77777777" w:rsidR="002641D2" w:rsidRPr="00FA3F9C" w:rsidRDefault="002641D2" w:rsidP="006325AF">
            <w:pPr>
              <w:rPr>
                <w:rFonts w:ascii="Arial" w:hAnsi="Arial" w:cs="Arial"/>
                <w:sz w:val="24"/>
                <w:szCs w:val="24"/>
              </w:rPr>
            </w:pPr>
            <w:r w:rsidRPr="00FA3F9C">
              <w:rPr>
                <w:rFonts w:ascii="Arial" w:hAnsi="Arial" w:cs="Arial"/>
                <w:sz w:val="24"/>
                <w:szCs w:val="24"/>
              </w:rPr>
              <w:t>I added the website for Arkansas Prescription Monitoring Program.  Querying this system was put forth by Dr. Golden as part of this PA criteria. (</w:t>
            </w:r>
            <w:proofErr w:type="gramStart"/>
            <w:r w:rsidRPr="00FA3F9C">
              <w:rPr>
                <w:rFonts w:ascii="Arial" w:hAnsi="Arial" w:cs="Arial"/>
                <w:sz w:val="24"/>
                <w:szCs w:val="24"/>
              </w:rPr>
              <w:t>and</w:t>
            </w:r>
            <w:proofErr w:type="gramEnd"/>
            <w:r w:rsidRPr="00FA3F9C">
              <w:rPr>
                <w:rFonts w:ascii="Arial" w:hAnsi="Arial" w:cs="Arial"/>
                <w:sz w:val="24"/>
                <w:szCs w:val="24"/>
              </w:rPr>
              <w:t xml:space="preserve"> for </w:t>
            </w:r>
            <w:proofErr w:type="spellStart"/>
            <w:r w:rsidRPr="00FA3F9C">
              <w:rPr>
                <w:rFonts w:ascii="Arial" w:hAnsi="Arial" w:cs="Arial"/>
                <w:sz w:val="24"/>
                <w:szCs w:val="24"/>
              </w:rPr>
              <w:t>lubipristone</w:t>
            </w:r>
            <w:proofErr w:type="spellEnd"/>
            <w:r w:rsidRPr="00FA3F9C">
              <w:rPr>
                <w:rFonts w:ascii="Arial" w:hAnsi="Arial" w:cs="Arial"/>
                <w:sz w:val="24"/>
                <w:szCs w:val="24"/>
              </w:rPr>
              <w:t xml:space="preserve"> (</w:t>
            </w:r>
            <w:proofErr w:type="spellStart"/>
            <w:r w:rsidRPr="00FA3F9C">
              <w:rPr>
                <w:rFonts w:ascii="Arial" w:hAnsi="Arial" w:cs="Arial"/>
                <w:sz w:val="24"/>
                <w:szCs w:val="24"/>
              </w:rPr>
              <w:t>Amitiza</w:t>
            </w:r>
            <w:proofErr w:type="spellEnd"/>
            <w:r w:rsidRPr="00FA3F9C">
              <w:rPr>
                <w:rFonts w:ascii="Arial" w:hAnsi="Arial" w:cs="Arial"/>
                <w:sz w:val="24"/>
                <w:szCs w:val="24"/>
              </w:rPr>
              <w:t>).</w:t>
            </w:r>
          </w:p>
        </w:tc>
        <w:tc>
          <w:tcPr>
            <w:tcW w:w="1353" w:type="dxa"/>
          </w:tcPr>
          <w:p w14:paraId="2AD415C4" w14:textId="77777777" w:rsidR="002641D2" w:rsidRPr="00FA3F9C" w:rsidRDefault="002641D2" w:rsidP="006325AF">
            <w:pPr>
              <w:rPr>
                <w:rFonts w:ascii="Arial" w:hAnsi="Arial" w:cs="Arial"/>
                <w:sz w:val="24"/>
                <w:szCs w:val="24"/>
              </w:rPr>
            </w:pPr>
            <w:r w:rsidRPr="00FA3F9C">
              <w:rPr>
                <w:rFonts w:ascii="Arial" w:hAnsi="Arial" w:cs="Arial"/>
                <w:sz w:val="24"/>
                <w:szCs w:val="24"/>
              </w:rPr>
              <w:t>JJ</w:t>
            </w:r>
          </w:p>
        </w:tc>
      </w:tr>
      <w:tr w:rsidR="002641D2" w:rsidRPr="00FA3F9C" w14:paraId="7D9EB276" w14:textId="77777777" w:rsidTr="00365107">
        <w:tc>
          <w:tcPr>
            <w:tcW w:w="1109" w:type="dxa"/>
          </w:tcPr>
          <w:p w14:paraId="1CCF6A72" w14:textId="77777777" w:rsidR="002641D2" w:rsidRPr="00FA3F9C" w:rsidRDefault="002641D2" w:rsidP="006325AF">
            <w:pPr>
              <w:rPr>
                <w:rFonts w:ascii="Arial" w:hAnsi="Arial" w:cs="Arial"/>
                <w:sz w:val="24"/>
                <w:szCs w:val="24"/>
              </w:rPr>
            </w:pPr>
            <w:r w:rsidRPr="00FA3F9C">
              <w:rPr>
                <w:rFonts w:ascii="Arial" w:hAnsi="Arial" w:cs="Arial"/>
                <w:sz w:val="24"/>
                <w:szCs w:val="24"/>
              </w:rPr>
              <w:lastRenderedPageBreak/>
              <w:t>9/26/13</w:t>
            </w:r>
          </w:p>
        </w:tc>
        <w:tc>
          <w:tcPr>
            <w:tcW w:w="7186" w:type="dxa"/>
          </w:tcPr>
          <w:p w14:paraId="5C33632A" w14:textId="77777777" w:rsidR="002641D2" w:rsidRPr="00FA3F9C" w:rsidRDefault="002641D2" w:rsidP="006325AF">
            <w:pPr>
              <w:rPr>
                <w:rFonts w:ascii="Arial" w:hAnsi="Arial" w:cs="Arial"/>
                <w:sz w:val="24"/>
                <w:szCs w:val="24"/>
              </w:rPr>
            </w:pPr>
            <w:r w:rsidRPr="00FA3F9C">
              <w:rPr>
                <w:rFonts w:ascii="Arial" w:hAnsi="Arial" w:cs="Arial"/>
                <w:sz w:val="24"/>
                <w:szCs w:val="24"/>
              </w:rPr>
              <w:t>I removed the requirement for call center pharmacists to query the AR PMP for this purpose.  Per the Health Dept’s general counsel, we cannot do this.</w:t>
            </w:r>
          </w:p>
        </w:tc>
        <w:tc>
          <w:tcPr>
            <w:tcW w:w="1353" w:type="dxa"/>
          </w:tcPr>
          <w:p w14:paraId="3A703499" w14:textId="77777777" w:rsidR="002641D2" w:rsidRPr="00FA3F9C" w:rsidRDefault="002641D2" w:rsidP="006325AF">
            <w:pPr>
              <w:rPr>
                <w:rFonts w:ascii="Arial" w:hAnsi="Arial" w:cs="Arial"/>
                <w:sz w:val="24"/>
                <w:szCs w:val="24"/>
              </w:rPr>
            </w:pPr>
            <w:r w:rsidRPr="00FA3F9C">
              <w:rPr>
                <w:rFonts w:ascii="Arial" w:hAnsi="Arial" w:cs="Arial"/>
                <w:sz w:val="24"/>
                <w:szCs w:val="24"/>
              </w:rPr>
              <w:t>JJ</w:t>
            </w:r>
          </w:p>
        </w:tc>
      </w:tr>
      <w:tr w:rsidR="002641D2" w:rsidRPr="00FA3F9C" w14:paraId="3865CA8E" w14:textId="77777777" w:rsidTr="00365107">
        <w:tc>
          <w:tcPr>
            <w:tcW w:w="1109" w:type="dxa"/>
          </w:tcPr>
          <w:p w14:paraId="4C3153C0" w14:textId="77777777" w:rsidR="002641D2" w:rsidRPr="00FA3F9C" w:rsidRDefault="002641D2" w:rsidP="006325AF">
            <w:pPr>
              <w:rPr>
                <w:rFonts w:ascii="Arial" w:hAnsi="Arial" w:cs="Arial"/>
                <w:sz w:val="24"/>
                <w:szCs w:val="24"/>
              </w:rPr>
            </w:pPr>
            <w:r w:rsidRPr="00FA3F9C">
              <w:rPr>
                <w:rFonts w:ascii="Arial" w:hAnsi="Arial" w:cs="Arial"/>
                <w:sz w:val="24"/>
                <w:szCs w:val="24"/>
              </w:rPr>
              <w:t>9/27/16</w:t>
            </w:r>
          </w:p>
        </w:tc>
        <w:tc>
          <w:tcPr>
            <w:tcW w:w="7186" w:type="dxa"/>
          </w:tcPr>
          <w:p w14:paraId="1B66C265" w14:textId="77777777" w:rsidR="002641D2" w:rsidRPr="00FA3F9C" w:rsidRDefault="002641D2" w:rsidP="006325AF">
            <w:pPr>
              <w:rPr>
                <w:rFonts w:ascii="Arial" w:hAnsi="Arial" w:cs="Arial"/>
                <w:sz w:val="24"/>
                <w:szCs w:val="24"/>
              </w:rPr>
            </w:pPr>
            <w:r w:rsidRPr="00FA3F9C">
              <w:rPr>
                <w:rFonts w:ascii="Arial" w:hAnsi="Arial" w:cs="Arial"/>
                <w:sz w:val="24"/>
                <w:szCs w:val="24"/>
              </w:rPr>
              <w:t>I inserted the requirement for the prescriber to have queried the AR PMP to assess current opioid use.</w:t>
            </w:r>
          </w:p>
        </w:tc>
        <w:tc>
          <w:tcPr>
            <w:tcW w:w="1353" w:type="dxa"/>
          </w:tcPr>
          <w:p w14:paraId="503C67C5" w14:textId="77777777" w:rsidR="002641D2" w:rsidRPr="00FA3F9C" w:rsidRDefault="002641D2" w:rsidP="006325AF">
            <w:pPr>
              <w:rPr>
                <w:rFonts w:ascii="Arial" w:hAnsi="Arial" w:cs="Arial"/>
                <w:sz w:val="24"/>
                <w:szCs w:val="24"/>
              </w:rPr>
            </w:pPr>
            <w:r w:rsidRPr="00FA3F9C">
              <w:rPr>
                <w:rFonts w:ascii="Arial" w:hAnsi="Arial" w:cs="Arial"/>
                <w:sz w:val="24"/>
                <w:szCs w:val="24"/>
              </w:rPr>
              <w:t>JJ</w:t>
            </w:r>
          </w:p>
        </w:tc>
      </w:tr>
      <w:tr w:rsidR="002641D2" w:rsidRPr="00FA3F9C" w14:paraId="6E201457" w14:textId="77777777" w:rsidTr="00365107">
        <w:tc>
          <w:tcPr>
            <w:tcW w:w="1109" w:type="dxa"/>
          </w:tcPr>
          <w:p w14:paraId="34188932" w14:textId="77777777" w:rsidR="002641D2" w:rsidRPr="00FA3F9C" w:rsidRDefault="002641D2" w:rsidP="006325AF">
            <w:pPr>
              <w:rPr>
                <w:rFonts w:ascii="Arial" w:hAnsi="Arial" w:cs="Arial"/>
                <w:sz w:val="24"/>
                <w:szCs w:val="24"/>
              </w:rPr>
            </w:pPr>
            <w:r w:rsidRPr="00FA3F9C">
              <w:rPr>
                <w:rFonts w:ascii="Arial" w:hAnsi="Arial" w:cs="Arial"/>
                <w:sz w:val="24"/>
                <w:szCs w:val="24"/>
              </w:rPr>
              <w:t>6/12/17</w:t>
            </w:r>
          </w:p>
        </w:tc>
        <w:tc>
          <w:tcPr>
            <w:tcW w:w="7186" w:type="dxa"/>
          </w:tcPr>
          <w:p w14:paraId="2C541450" w14:textId="77777777" w:rsidR="002641D2" w:rsidRPr="00FA3F9C" w:rsidRDefault="002641D2" w:rsidP="006325AF">
            <w:pPr>
              <w:rPr>
                <w:rFonts w:ascii="Arial" w:hAnsi="Arial" w:cs="Arial"/>
                <w:sz w:val="24"/>
                <w:szCs w:val="24"/>
              </w:rPr>
            </w:pPr>
            <w:r w:rsidRPr="00FA3F9C">
              <w:rPr>
                <w:rFonts w:ascii="Arial" w:hAnsi="Arial" w:cs="Arial"/>
                <w:sz w:val="24"/>
                <w:szCs w:val="24"/>
              </w:rPr>
              <w:t>I included CIC as a covered diagnosis due to inadvertent exclusion of that diagnosis.  I also inserted no therapeutic duplication by inserting #6.  I also added the Rome II criteria requiring parameters for CIC.</w:t>
            </w:r>
          </w:p>
        </w:tc>
        <w:tc>
          <w:tcPr>
            <w:tcW w:w="1353" w:type="dxa"/>
          </w:tcPr>
          <w:p w14:paraId="309C100A" w14:textId="77777777" w:rsidR="002641D2" w:rsidRPr="00FA3F9C" w:rsidRDefault="002641D2" w:rsidP="006325AF">
            <w:pPr>
              <w:rPr>
                <w:rFonts w:ascii="Arial" w:hAnsi="Arial" w:cs="Arial"/>
                <w:sz w:val="24"/>
                <w:szCs w:val="24"/>
              </w:rPr>
            </w:pPr>
            <w:r w:rsidRPr="00FA3F9C">
              <w:rPr>
                <w:rFonts w:ascii="Arial" w:hAnsi="Arial" w:cs="Arial"/>
                <w:sz w:val="24"/>
                <w:szCs w:val="24"/>
              </w:rPr>
              <w:t>JJ</w:t>
            </w:r>
          </w:p>
        </w:tc>
      </w:tr>
    </w:tbl>
    <w:p w14:paraId="5FB93D19" w14:textId="77777777" w:rsidR="002641D2" w:rsidRPr="00FA3F9C" w:rsidRDefault="002641D2" w:rsidP="006325AF">
      <w:pPr>
        <w:rPr>
          <w:rFonts w:ascii="Arial" w:hAnsi="Arial" w:cs="Arial"/>
          <w:sz w:val="24"/>
          <w:szCs w:val="24"/>
        </w:rPr>
      </w:pPr>
    </w:p>
    <w:p w14:paraId="6069CCB6" w14:textId="77777777" w:rsidR="002641D2" w:rsidRPr="00FA3F9C" w:rsidRDefault="002641D2" w:rsidP="006325AF">
      <w:pPr>
        <w:rPr>
          <w:rFonts w:ascii="Arial" w:hAnsi="Arial" w:cs="Arial"/>
          <w:sz w:val="24"/>
          <w:szCs w:val="24"/>
        </w:rPr>
      </w:pPr>
    </w:p>
    <w:p w14:paraId="55DF39C8" w14:textId="77777777" w:rsidR="002641D2" w:rsidRPr="00FA3F9C" w:rsidRDefault="002641D2" w:rsidP="006325AF">
      <w:pPr>
        <w:rPr>
          <w:rFonts w:ascii="Arial" w:hAnsi="Arial" w:cs="Arial"/>
          <w:sz w:val="24"/>
          <w:szCs w:val="24"/>
        </w:rPr>
      </w:pPr>
    </w:p>
    <w:p w14:paraId="166B7464" w14:textId="77777777" w:rsidR="002641D2" w:rsidRPr="00FA3F9C" w:rsidRDefault="002641D2" w:rsidP="002A1632">
      <w:pPr>
        <w:pStyle w:val="Heading2"/>
      </w:pPr>
      <w:bookmarkStart w:id="169" w:name="_Toc106369848"/>
      <w:r w:rsidRPr="00FA3F9C">
        <w:t>Liraglutide (Victoza)</w:t>
      </w:r>
      <w:bookmarkEnd w:id="169"/>
    </w:p>
    <w:p w14:paraId="335CD36E" w14:textId="77777777" w:rsidR="002641D2" w:rsidRPr="00FA3F9C" w:rsidRDefault="002641D2" w:rsidP="006F623F">
      <w:pPr>
        <w:spacing w:after="0"/>
        <w:jc w:val="center"/>
        <w:rPr>
          <w:rFonts w:ascii="Arial" w:hAnsi="Arial" w:cs="Arial"/>
          <w:sz w:val="24"/>
          <w:szCs w:val="24"/>
        </w:rPr>
      </w:pPr>
      <w:r w:rsidRPr="00FA3F9C">
        <w:rPr>
          <w:rFonts w:ascii="Arial" w:hAnsi="Arial" w:cs="Arial"/>
          <w:sz w:val="24"/>
          <w:szCs w:val="24"/>
        </w:rPr>
        <w:t>EBRx PA Criteria</w:t>
      </w:r>
    </w:p>
    <w:p w14:paraId="0B27F828" w14:textId="77777777" w:rsidR="002641D2" w:rsidRPr="00FA3F9C" w:rsidRDefault="002641D2" w:rsidP="006F623F">
      <w:pPr>
        <w:spacing w:after="0"/>
        <w:rPr>
          <w:rFonts w:ascii="Arial" w:hAnsi="Arial" w:cs="Arial"/>
          <w:b/>
          <w:sz w:val="24"/>
          <w:szCs w:val="24"/>
          <w:u w:val="single"/>
        </w:rPr>
      </w:pPr>
    </w:p>
    <w:p w14:paraId="1767DE2A" w14:textId="77777777" w:rsidR="002641D2" w:rsidRPr="00FA3F9C" w:rsidRDefault="002641D2"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w:t>
      </w:r>
    </w:p>
    <w:p w14:paraId="06C2BD9D" w14:textId="77777777" w:rsidR="002641D2" w:rsidRPr="00FA3F9C" w:rsidRDefault="002641D2" w:rsidP="002641D2">
      <w:pPr>
        <w:pStyle w:val="ListParagraph"/>
        <w:numPr>
          <w:ilvl w:val="0"/>
          <w:numId w:val="315"/>
        </w:numPr>
        <w:spacing w:after="0" w:line="276" w:lineRule="auto"/>
        <w:rPr>
          <w:rFonts w:ascii="Arial" w:hAnsi="Arial" w:cs="Arial"/>
          <w:sz w:val="24"/>
          <w:szCs w:val="24"/>
        </w:rPr>
      </w:pPr>
      <w:r w:rsidRPr="00FA3F9C">
        <w:rPr>
          <w:rFonts w:ascii="Arial" w:hAnsi="Arial" w:cs="Arial"/>
          <w:sz w:val="24"/>
          <w:szCs w:val="24"/>
        </w:rPr>
        <w:t>Treatment of T2DM; and for risk reduction of major CV events in adults with T2DM and established CV disease.</w:t>
      </w:r>
    </w:p>
    <w:p w14:paraId="77F0E708" w14:textId="77777777" w:rsidR="002641D2" w:rsidRPr="00FA3F9C" w:rsidRDefault="002641D2" w:rsidP="002641D2">
      <w:pPr>
        <w:pStyle w:val="ListParagraph"/>
        <w:numPr>
          <w:ilvl w:val="0"/>
          <w:numId w:val="315"/>
        </w:numPr>
        <w:spacing w:after="0" w:line="276" w:lineRule="auto"/>
        <w:rPr>
          <w:rFonts w:ascii="Arial" w:hAnsi="Arial" w:cs="Arial"/>
          <w:sz w:val="24"/>
          <w:szCs w:val="24"/>
        </w:rPr>
      </w:pPr>
      <w:r w:rsidRPr="00FA3F9C">
        <w:rPr>
          <w:rFonts w:ascii="Arial" w:hAnsi="Arial" w:cs="Arial"/>
          <w:sz w:val="24"/>
          <w:szCs w:val="24"/>
        </w:rPr>
        <w:t>Obesity and select overweight patients—NOT A COVERED INDICATION</w:t>
      </w:r>
    </w:p>
    <w:tbl>
      <w:tblPr>
        <w:tblStyle w:val="TableGrid"/>
        <w:tblW w:w="0" w:type="auto"/>
        <w:tblLook w:val="04A0" w:firstRow="1" w:lastRow="0" w:firstColumn="1" w:lastColumn="0" w:noHBand="0" w:noVBand="1"/>
      </w:tblPr>
      <w:tblGrid>
        <w:gridCol w:w="8749"/>
        <w:gridCol w:w="2041"/>
      </w:tblGrid>
      <w:tr w:rsidR="002641D2" w:rsidRPr="00FA3F9C" w14:paraId="239E9EA3" w14:textId="77777777" w:rsidTr="00CE5E57">
        <w:tc>
          <w:tcPr>
            <w:tcW w:w="8749" w:type="dxa"/>
            <w:shd w:val="clear" w:color="auto" w:fill="000000"/>
          </w:tcPr>
          <w:p w14:paraId="6FDC042E" w14:textId="77777777" w:rsidR="002641D2" w:rsidRPr="00FA3F9C" w:rsidRDefault="002641D2"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41" w:type="dxa"/>
            <w:shd w:val="clear" w:color="auto" w:fill="000000"/>
          </w:tcPr>
          <w:p w14:paraId="669956AA" w14:textId="77777777" w:rsidR="002641D2" w:rsidRPr="00FA3F9C" w:rsidRDefault="002641D2" w:rsidP="006F623F">
            <w:pPr>
              <w:jc w:val="center"/>
              <w:rPr>
                <w:rFonts w:ascii="Arial" w:hAnsi="Arial" w:cs="Arial"/>
                <w:b/>
                <w:sz w:val="24"/>
                <w:szCs w:val="24"/>
                <w:u w:val="single"/>
              </w:rPr>
            </w:pPr>
          </w:p>
        </w:tc>
      </w:tr>
      <w:tr w:rsidR="002641D2" w:rsidRPr="00FA3F9C" w14:paraId="70D5CBFA" w14:textId="77777777" w:rsidTr="00CE5E57">
        <w:tc>
          <w:tcPr>
            <w:tcW w:w="10790" w:type="dxa"/>
            <w:gridSpan w:val="2"/>
          </w:tcPr>
          <w:p w14:paraId="173895C1" w14:textId="77777777" w:rsidR="002641D2" w:rsidRPr="00FA3F9C" w:rsidRDefault="002641D2" w:rsidP="006F623F">
            <w:pPr>
              <w:rPr>
                <w:rFonts w:ascii="Arial" w:hAnsi="Arial" w:cs="Arial"/>
                <w:sz w:val="24"/>
                <w:szCs w:val="24"/>
              </w:rPr>
            </w:pPr>
            <w:r w:rsidRPr="00FA3F9C">
              <w:rPr>
                <w:rFonts w:ascii="Arial" w:hAnsi="Arial" w:cs="Arial"/>
                <w:sz w:val="24"/>
                <w:szCs w:val="24"/>
              </w:rPr>
              <w:t>1. Patient must have the diagnosis of type 2 diabetes mellitus.</w:t>
            </w:r>
          </w:p>
        </w:tc>
      </w:tr>
      <w:tr w:rsidR="002641D2" w:rsidRPr="00FA3F9C" w14:paraId="5A501DF6" w14:textId="77777777" w:rsidTr="00CE5E57">
        <w:tc>
          <w:tcPr>
            <w:tcW w:w="10790" w:type="dxa"/>
            <w:gridSpan w:val="2"/>
          </w:tcPr>
          <w:p w14:paraId="54FF1EDE" w14:textId="77777777" w:rsidR="002641D2" w:rsidRPr="00FA3F9C" w:rsidRDefault="002641D2" w:rsidP="006F623F">
            <w:pPr>
              <w:rPr>
                <w:rFonts w:ascii="Arial" w:hAnsi="Arial" w:cs="Arial"/>
                <w:sz w:val="24"/>
                <w:szCs w:val="24"/>
              </w:rPr>
            </w:pPr>
            <w:r w:rsidRPr="00FA3F9C">
              <w:rPr>
                <w:rFonts w:ascii="Arial" w:hAnsi="Arial" w:cs="Arial"/>
                <w:sz w:val="24"/>
                <w:szCs w:val="24"/>
              </w:rPr>
              <w:t>2. Patient must have a documented Hb A1C in the previous 3 months of &gt;7.0%.</w:t>
            </w:r>
          </w:p>
        </w:tc>
      </w:tr>
      <w:tr w:rsidR="002641D2" w:rsidRPr="00FA3F9C" w14:paraId="61344D35" w14:textId="77777777" w:rsidTr="00CE5E57">
        <w:tc>
          <w:tcPr>
            <w:tcW w:w="10790" w:type="dxa"/>
            <w:gridSpan w:val="2"/>
          </w:tcPr>
          <w:p w14:paraId="4E9A551C" w14:textId="77777777" w:rsidR="002641D2" w:rsidRPr="00FA3F9C" w:rsidRDefault="002641D2" w:rsidP="006F623F">
            <w:pPr>
              <w:rPr>
                <w:rFonts w:ascii="Arial" w:hAnsi="Arial" w:cs="Arial"/>
                <w:sz w:val="24"/>
                <w:szCs w:val="24"/>
              </w:rPr>
            </w:pPr>
            <w:r w:rsidRPr="00FA3F9C">
              <w:rPr>
                <w:rFonts w:ascii="Arial" w:hAnsi="Arial" w:cs="Arial"/>
                <w:sz w:val="24"/>
                <w:szCs w:val="24"/>
              </w:rPr>
              <w:t>3. Patient must be receiving metformin at 1000mg twice daily for the past 4 out of 5 months. Pharmacist should look back to be sure this occurred.</w:t>
            </w:r>
          </w:p>
          <w:p w14:paraId="11BFFED9" w14:textId="77777777" w:rsidR="002641D2" w:rsidRPr="00FA3F9C" w:rsidRDefault="002641D2" w:rsidP="006F623F">
            <w:pPr>
              <w:rPr>
                <w:rFonts w:ascii="Arial" w:hAnsi="Arial" w:cs="Arial"/>
                <w:sz w:val="24"/>
                <w:szCs w:val="24"/>
              </w:rPr>
            </w:pPr>
            <w:r w:rsidRPr="00FA3F9C">
              <w:rPr>
                <w:rFonts w:ascii="Arial" w:hAnsi="Arial" w:cs="Arial"/>
                <w:sz w:val="24"/>
                <w:szCs w:val="24"/>
              </w:rPr>
              <w:t>OR</w:t>
            </w:r>
          </w:p>
          <w:p w14:paraId="0DA07EFC" w14:textId="77777777" w:rsidR="002641D2" w:rsidRPr="00FA3F9C" w:rsidRDefault="002641D2" w:rsidP="006F623F">
            <w:pPr>
              <w:rPr>
                <w:rFonts w:ascii="Arial" w:hAnsi="Arial" w:cs="Arial"/>
                <w:sz w:val="24"/>
                <w:szCs w:val="24"/>
              </w:rPr>
            </w:pPr>
            <w:r w:rsidRPr="00FA3F9C">
              <w:rPr>
                <w:rFonts w:ascii="Arial" w:hAnsi="Arial" w:cs="Arial"/>
                <w:sz w:val="24"/>
                <w:szCs w:val="24"/>
              </w:rPr>
              <w:t>The patient must have a contraindication to metformin that must be documented by the pharmacist.</w:t>
            </w:r>
          </w:p>
        </w:tc>
      </w:tr>
      <w:tr w:rsidR="002641D2" w:rsidRPr="00FA3F9C" w14:paraId="69C93CF7" w14:textId="77777777" w:rsidTr="00CE5E57">
        <w:tc>
          <w:tcPr>
            <w:tcW w:w="10790" w:type="dxa"/>
            <w:gridSpan w:val="2"/>
          </w:tcPr>
          <w:p w14:paraId="2E82C4EB" w14:textId="77777777" w:rsidR="002641D2" w:rsidRPr="00FA3F9C" w:rsidRDefault="002641D2" w:rsidP="006F623F">
            <w:pPr>
              <w:rPr>
                <w:rFonts w:ascii="Arial" w:hAnsi="Arial" w:cs="Arial"/>
                <w:sz w:val="24"/>
                <w:szCs w:val="24"/>
              </w:rPr>
            </w:pPr>
            <w:r w:rsidRPr="00FA3F9C">
              <w:rPr>
                <w:rFonts w:ascii="Arial" w:hAnsi="Arial" w:cs="Arial"/>
                <w:sz w:val="24"/>
                <w:szCs w:val="24"/>
              </w:rPr>
              <w:t xml:space="preserve">4. No duplication of therapy with exenatide or other GLP-1 agonists (dulaglutide, albiglutide, </w:t>
            </w:r>
            <w:proofErr w:type="spellStart"/>
            <w:r w:rsidRPr="00FA3F9C">
              <w:rPr>
                <w:rFonts w:ascii="Arial" w:hAnsi="Arial" w:cs="Arial"/>
                <w:sz w:val="24"/>
                <w:szCs w:val="24"/>
              </w:rPr>
              <w:t>semaglutide</w:t>
            </w:r>
            <w:proofErr w:type="spellEnd"/>
            <w:r w:rsidRPr="00FA3F9C">
              <w:rPr>
                <w:rFonts w:ascii="Arial" w:hAnsi="Arial" w:cs="Arial"/>
                <w:sz w:val="24"/>
                <w:szCs w:val="24"/>
              </w:rPr>
              <w:t>, exenatide) or with SGLT2 inhibitor therapy.</w:t>
            </w:r>
          </w:p>
        </w:tc>
      </w:tr>
    </w:tbl>
    <w:p w14:paraId="6834C883" w14:textId="77777777" w:rsidR="002641D2" w:rsidRPr="00FA3F9C" w:rsidRDefault="002641D2" w:rsidP="006F623F">
      <w:pPr>
        <w:spacing w:after="0"/>
        <w:rPr>
          <w:rFonts w:ascii="Arial" w:hAnsi="Arial" w:cs="Arial"/>
          <w:b/>
          <w:sz w:val="24"/>
          <w:szCs w:val="24"/>
          <w:u w:val="single"/>
        </w:rPr>
      </w:pPr>
    </w:p>
    <w:tbl>
      <w:tblPr>
        <w:tblStyle w:val="TableGrid"/>
        <w:tblW w:w="0" w:type="auto"/>
        <w:tblLook w:val="04A0" w:firstRow="1" w:lastRow="0" w:firstColumn="1" w:lastColumn="0" w:noHBand="0" w:noVBand="1"/>
      </w:tblPr>
      <w:tblGrid>
        <w:gridCol w:w="8747"/>
        <w:gridCol w:w="2043"/>
      </w:tblGrid>
      <w:tr w:rsidR="002641D2" w:rsidRPr="00FA3F9C" w14:paraId="7121FF31" w14:textId="77777777" w:rsidTr="00C939CD">
        <w:tc>
          <w:tcPr>
            <w:tcW w:w="8747" w:type="dxa"/>
            <w:shd w:val="clear" w:color="auto" w:fill="000000"/>
          </w:tcPr>
          <w:p w14:paraId="4BFD424D" w14:textId="77777777" w:rsidR="002641D2" w:rsidRPr="00FA3F9C" w:rsidRDefault="002641D2" w:rsidP="00F71959">
            <w:pPr>
              <w:rPr>
                <w:rFonts w:ascii="Arial" w:hAnsi="Arial" w:cs="Arial"/>
                <w:b/>
                <w:sz w:val="24"/>
                <w:szCs w:val="24"/>
                <w:u w:val="single"/>
              </w:rPr>
            </w:pPr>
            <w:r w:rsidRPr="00FA3F9C">
              <w:rPr>
                <w:rFonts w:ascii="Arial" w:hAnsi="Arial" w:cs="Arial"/>
                <w:b/>
                <w:sz w:val="24"/>
                <w:szCs w:val="24"/>
                <w:u w:val="single"/>
              </w:rPr>
              <w:lastRenderedPageBreak/>
              <w:t>Criteria for continuation</w:t>
            </w:r>
          </w:p>
        </w:tc>
        <w:tc>
          <w:tcPr>
            <w:tcW w:w="2043" w:type="dxa"/>
            <w:shd w:val="clear" w:color="auto" w:fill="000000"/>
          </w:tcPr>
          <w:p w14:paraId="4DE54F5A" w14:textId="77777777" w:rsidR="002641D2" w:rsidRPr="00FA3F9C" w:rsidRDefault="002641D2" w:rsidP="00F71959">
            <w:pPr>
              <w:jc w:val="center"/>
              <w:rPr>
                <w:rFonts w:ascii="Arial" w:hAnsi="Arial" w:cs="Arial"/>
                <w:b/>
                <w:sz w:val="24"/>
                <w:szCs w:val="24"/>
                <w:u w:val="single"/>
              </w:rPr>
            </w:pPr>
          </w:p>
        </w:tc>
      </w:tr>
      <w:tr w:rsidR="002641D2" w:rsidRPr="00FA3F9C" w14:paraId="22DA1988" w14:textId="77777777" w:rsidTr="00C939CD">
        <w:tc>
          <w:tcPr>
            <w:tcW w:w="10790" w:type="dxa"/>
            <w:gridSpan w:val="2"/>
          </w:tcPr>
          <w:p w14:paraId="4047F04A" w14:textId="77777777" w:rsidR="002641D2" w:rsidRPr="00FA3F9C" w:rsidRDefault="002641D2" w:rsidP="00F71959">
            <w:pPr>
              <w:rPr>
                <w:rFonts w:ascii="Arial" w:hAnsi="Arial" w:cs="Arial"/>
                <w:sz w:val="24"/>
                <w:szCs w:val="24"/>
              </w:rPr>
            </w:pPr>
            <w:r w:rsidRPr="00FA3F9C">
              <w:rPr>
                <w:rFonts w:ascii="Arial" w:hAnsi="Arial" w:cs="Arial"/>
                <w:sz w:val="24"/>
                <w:szCs w:val="24"/>
              </w:rPr>
              <w:t>1.  The patient should have liraglutide on the profile as having filled for 10 of the 12 previous months.</w:t>
            </w:r>
          </w:p>
        </w:tc>
      </w:tr>
      <w:tr w:rsidR="002641D2" w:rsidRPr="00FA3F9C" w14:paraId="69E01D9F" w14:textId="77777777" w:rsidTr="00C939CD">
        <w:tc>
          <w:tcPr>
            <w:tcW w:w="10790" w:type="dxa"/>
            <w:gridSpan w:val="2"/>
          </w:tcPr>
          <w:p w14:paraId="2412374C" w14:textId="77777777" w:rsidR="002641D2" w:rsidRPr="00FA3F9C" w:rsidRDefault="002641D2" w:rsidP="00F71959">
            <w:pPr>
              <w:rPr>
                <w:rFonts w:ascii="Arial" w:hAnsi="Arial" w:cs="Arial"/>
                <w:sz w:val="24"/>
                <w:szCs w:val="24"/>
              </w:rPr>
            </w:pPr>
            <w:r w:rsidRPr="00FA3F9C">
              <w:rPr>
                <w:rFonts w:ascii="Arial" w:hAnsi="Arial" w:cs="Arial"/>
                <w:sz w:val="24"/>
                <w:szCs w:val="24"/>
              </w:rPr>
              <w:t>2.  The patient should have metformin on the profile as having filled for 10 of the 12 previous months.</w:t>
            </w:r>
          </w:p>
        </w:tc>
      </w:tr>
    </w:tbl>
    <w:p w14:paraId="55DD53BF" w14:textId="77777777" w:rsidR="002641D2" w:rsidRPr="00FA3F9C" w:rsidRDefault="002641D2" w:rsidP="006F623F">
      <w:pPr>
        <w:spacing w:after="0"/>
        <w:rPr>
          <w:rFonts w:ascii="Arial" w:hAnsi="Arial" w:cs="Arial"/>
          <w:b/>
          <w:sz w:val="24"/>
          <w:szCs w:val="24"/>
          <w:u w:val="single"/>
        </w:rPr>
      </w:pPr>
    </w:p>
    <w:tbl>
      <w:tblPr>
        <w:tblStyle w:val="TableGrid"/>
        <w:tblW w:w="0" w:type="auto"/>
        <w:shd w:val="clear" w:color="auto" w:fill="BFBFBF" w:themeFill="background1" w:themeFillShade="BF"/>
        <w:tblLook w:val="04A0" w:firstRow="1" w:lastRow="0" w:firstColumn="1" w:lastColumn="0" w:noHBand="0" w:noVBand="1"/>
      </w:tblPr>
      <w:tblGrid>
        <w:gridCol w:w="10998"/>
      </w:tblGrid>
      <w:tr w:rsidR="002641D2" w:rsidRPr="00FA3F9C" w14:paraId="61B90541" w14:textId="77777777" w:rsidTr="00D82B6E">
        <w:tc>
          <w:tcPr>
            <w:tcW w:w="10998" w:type="dxa"/>
            <w:shd w:val="clear" w:color="auto" w:fill="BFBFBF" w:themeFill="background1" w:themeFillShade="BF"/>
          </w:tcPr>
          <w:p w14:paraId="26E2B150" w14:textId="77777777" w:rsidR="002641D2" w:rsidRPr="00FA3F9C" w:rsidRDefault="002641D2" w:rsidP="0052431C">
            <w:pPr>
              <w:rPr>
                <w:rFonts w:ascii="Arial" w:hAnsi="Arial" w:cs="Arial"/>
                <w:sz w:val="24"/>
                <w:szCs w:val="24"/>
              </w:rPr>
            </w:pPr>
            <w:r w:rsidRPr="00FA3F9C">
              <w:rPr>
                <w:rFonts w:ascii="Arial" w:hAnsi="Arial" w:cs="Arial"/>
                <w:sz w:val="24"/>
                <w:szCs w:val="24"/>
              </w:rPr>
              <w:t xml:space="preserve">Note: a.  Metformin must be titrated slowly upward.  Metformin 500mg BID is the initial dose.  </w:t>
            </w:r>
          </w:p>
        </w:tc>
      </w:tr>
    </w:tbl>
    <w:p w14:paraId="120B7B7D" w14:textId="77777777" w:rsidR="002641D2" w:rsidRPr="00FA3F9C" w:rsidRDefault="002641D2" w:rsidP="006F623F">
      <w:pPr>
        <w:spacing w:after="0"/>
        <w:rPr>
          <w:rFonts w:ascii="Arial" w:hAnsi="Arial" w:cs="Arial"/>
          <w:sz w:val="24"/>
          <w:szCs w:val="24"/>
        </w:rPr>
      </w:pPr>
    </w:p>
    <w:p w14:paraId="5D8D1AF6" w14:textId="77777777" w:rsidR="002641D2" w:rsidRPr="00FA3F9C" w:rsidRDefault="002641D2" w:rsidP="001216D1">
      <w:pPr>
        <w:spacing w:after="0" w:line="240" w:lineRule="auto"/>
        <w:rPr>
          <w:rFonts w:ascii="Arial" w:hAnsi="Arial" w:cs="Arial"/>
          <w:sz w:val="24"/>
          <w:szCs w:val="24"/>
        </w:rPr>
      </w:pPr>
      <w:r w:rsidRPr="00FA3F9C">
        <w:rPr>
          <w:rFonts w:ascii="Arial" w:hAnsi="Arial" w:cs="Arial"/>
          <w:sz w:val="24"/>
          <w:szCs w:val="24"/>
        </w:rPr>
        <w:t>References:</w:t>
      </w:r>
    </w:p>
    <w:p w14:paraId="0950442F" w14:textId="77777777" w:rsidR="002641D2" w:rsidRPr="00FA3F9C" w:rsidRDefault="002641D2" w:rsidP="001216D1">
      <w:pPr>
        <w:spacing w:after="0" w:line="240" w:lineRule="auto"/>
        <w:rPr>
          <w:rFonts w:ascii="Arial" w:eastAsia="Times New Roman" w:hAnsi="Arial" w:cs="Arial"/>
          <w:color w:val="222222"/>
          <w:sz w:val="24"/>
          <w:szCs w:val="24"/>
          <w:shd w:val="clear" w:color="auto" w:fill="F8F8F8"/>
        </w:rPr>
      </w:pPr>
      <w:r w:rsidRPr="00FA3F9C">
        <w:rPr>
          <w:rFonts w:ascii="Arial" w:hAnsi="Arial" w:cs="Arial"/>
          <w:sz w:val="24"/>
          <w:szCs w:val="24"/>
        </w:rPr>
        <w:t xml:space="preserve">1. </w:t>
      </w:r>
      <w:proofErr w:type="spellStart"/>
      <w:r w:rsidRPr="00FA3F9C">
        <w:rPr>
          <w:rFonts w:ascii="Arial" w:eastAsia="Times New Roman" w:hAnsi="Arial" w:cs="Arial"/>
          <w:color w:val="222222"/>
          <w:sz w:val="24"/>
          <w:szCs w:val="24"/>
          <w:shd w:val="clear" w:color="auto" w:fill="F8F8F8"/>
        </w:rPr>
        <w:t>Marso</w:t>
      </w:r>
      <w:proofErr w:type="spellEnd"/>
      <w:r w:rsidRPr="00FA3F9C">
        <w:rPr>
          <w:rFonts w:ascii="Arial" w:eastAsia="Times New Roman" w:hAnsi="Arial" w:cs="Arial"/>
          <w:color w:val="222222"/>
          <w:sz w:val="24"/>
          <w:szCs w:val="24"/>
          <w:shd w:val="clear" w:color="auto" w:fill="F8F8F8"/>
        </w:rPr>
        <w:t>, Steven P., et al. "Liraglutide and cardiovascular outcomes in type 2 diabetes." </w:t>
      </w:r>
      <w:r w:rsidRPr="00FA3F9C">
        <w:rPr>
          <w:rFonts w:ascii="Arial" w:eastAsia="Times New Roman" w:hAnsi="Arial" w:cs="Arial"/>
          <w:i/>
          <w:iCs/>
          <w:color w:val="222222"/>
          <w:sz w:val="24"/>
          <w:szCs w:val="24"/>
          <w:shd w:val="clear" w:color="auto" w:fill="F8F8F8"/>
        </w:rPr>
        <w:t>New England Journal of Medicine</w:t>
      </w:r>
      <w:r w:rsidRPr="00FA3F9C">
        <w:rPr>
          <w:rFonts w:ascii="Arial" w:eastAsia="Times New Roman" w:hAnsi="Arial" w:cs="Arial"/>
          <w:color w:val="222222"/>
          <w:sz w:val="24"/>
          <w:szCs w:val="24"/>
          <w:shd w:val="clear" w:color="auto" w:fill="F8F8F8"/>
        </w:rPr>
        <w:t> 375.4 (2016): 311-322.</w:t>
      </w:r>
    </w:p>
    <w:p w14:paraId="6754795E" w14:textId="77777777" w:rsidR="002641D2" w:rsidRPr="00FA3F9C" w:rsidRDefault="002641D2" w:rsidP="001216D1">
      <w:pPr>
        <w:spacing w:after="0" w:line="240" w:lineRule="auto"/>
        <w:rPr>
          <w:rFonts w:ascii="Arial" w:eastAsia="Times New Roman" w:hAnsi="Arial" w:cs="Arial"/>
          <w:sz w:val="24"/>
          <w:szCs w:val="24"/>
        </w:rPr>
      </w:pPr>
      <w:r w:rsidRPr="00FA3F9C">
        <w:rPr>
          <w:rFonts w:ascii="Arial" w:eastAsia="Times New Roman" w:hAnsi="Arial" w:cs="Arial"/>
          <w:color w:val="222222"/>
          <w:sz w:val="24"/>
          <w:szCs w:val="24"/>
          <w:shd w:val="clear" w:color="auto" w:fill="FFFFFF"/>
        </w:rPr>
        <w:t xml:space="preserve">2. Palmer, </w:t>
      </w:r>
      <w:proofErr w:type="spellStart"/>
      <w:r w:rsidRPr="00FA3F9C">
        <w:rPr>
          <w:rFonts w:ascii="Arial" w:eastAsia="Times New Roman" w:hAnsi="Arial" w:cs="Arial"/>
          <w:color w:val="222222"/>
          <w:sz w:val="24"/>
          <w:szCs w:val="24"/>
          <w:shd w:val="clear" w:color="auto" w:fill="FFFFFF"/>
        </w:rPr>
        <w:t>Suetonia</w:t>
      </w:r>
      <w:proofErr w:type="spellEnd"/>
      <w:r w:rsidRPr="00FA3F9C">
        <w:rPr>
          <w:rFonts w:ascii="Arial" w:eastAsia="Times New Roman" w:hAnsi="Arial" w:cs="Arial"/>
          <w:color w:val="222222"/>
          <w:sz w:val="24"/>
          <w:szCs w:val="24"/>
          <w:shd w:val="clear" w:color="auto" w:fill="FFFFFF"/>
        </w:rPr>
        <w:t xml:space="preserve"> C., et al. "Sodium-glucose cotransporter protein-2 (SGLT-2) inhibitors and glucagon-like peptide-1 (GLP-1) receptor agonists for type 2 diabetes: systematic review and network meta-analysis of </w:t>
      </w:r>
      <w:proofErr w:type="spellStart"/>
      <w:r w:rsidRPr="00FA3F9C">
        <w:rPr>
          <w:rFonts w:ascii="Arial" w:eastAsia="Times New Roman" w:hAnsi="Arial" w:cs="Arial"/>
          <w:color w:val="222222"/>
          <w:sz w:val="24"/>
          <w:szCs w:val="24"/>
          <w:shd w:val="clear" w:color="auto" w:fill="FFFFFF"/>
        </w:rPr>
        <w:t>randomised</w:t>
      </w:r>
      <w:proofErr w:type="spellEnd"/>
      <w:r w:rsidRPr="00FA3F9C">
        <w:rPr>
          <w:rFonts w:ascii="Arial" w:eastAsia="Times New Roman" w:hAnsi="Arial" w:cs="Arial"/>
          <w:color w:val="222222"/>
          <w:sz w:val="24"/>
          <w:szCs w:val="24"/>
          <w:shd w:val="clear" w:color="auto" w:fill="FFFFFF"/>
        </w:rPr>
        <w:t xml:space="preserve"> controlled trials." </w:t>
      </w:r>
      <w:proofErr w:type="spellStart"/>
      <w:r w:rsidRPr="00FA3F9C">
        <w:rPr>
          <w:rFonts w:ascii="Arial" w:eastAsia="Times New Roman" w:hAnsi="Arial" w:cs="Arial"/>
          <w:i/>
          <w:iCs/>
          <w:color w:val="222222"/>
          <w:sz w:val="24"/>
          <w:szCs w:val="24"/>
          <w:shd w:val="clear" w:color="auto" w:fill="FFFFFF"/>
        </w:rPr>
        <w:t>bmj</w:t>
      </w:r>
      <w:proofErr w:type="spellEnd"/>
      <w:r w:rsidRPr="00FA3F9C">
        <w:rPr>
          <w:rFonts w:ascii="Arial" w:eastAsia="Times New Roman" w:hAnsi="Arial" w:cs="Arial"/>
          <w:color w:val="222222"/>
          <w:sz w:val="24"/>
          <w:szCs w:val="24"/>
          <w:shd w:val="clear" w:color="auto" w:fill="FFFFFF"/>
        </w:rPr>
        <w:t> 372 (2021).</w:t>
      </w:r>
    </w:p>
    <w:p w14:paraId="2EC0F121" w14:textId="77777777" w:rsidR="002641D2" w:rsidRPr="00FA3F9C" w:rsidRDefault="002641D2" w:rsidP="0052431C">
      <w:pPr>
        <w:rPr>
          <w:rFonts w:ascii="Arial" w:eastAsia="Times New Roman" w:hAnsi="Arial" w:cs="Arial"/>
          <w:sz w:val="24"/>
          <w:szCs w:val="24"/>
        </w:rPr>
      </w:pPr>
    </w:p>
    <w:p w14:paraId="3AEF3AA2" w14:textId="77777777" w:rsidR="002641D2" w:rsidRPr="00FA3F9C" w:rsidRDefault="002641D2"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418"/>
        <w:gridCol w:w="8640"/>
        <w:gridCol w:w="1590"/>
      </w:tblGrid>
      <w:tr w:rsidR="002641D2" w:rsidRPr="00FA3F9C" w14:paraId="7FC61611" w14:textId="77777777" w:rsidTr="0052431C">
        <w:tc>
          <w:tcPr>
            <w:tcW w:w="1008" w:type="dxa"/>
          </w:tcPr>
          <w:p w14:paraId="06A922CF" w14:textId="77777777" w:rsidR="002641D2" w:rsidRPr="00FA3F9C" w:rsidRDefault="002641D2" w:rsidP="006F623F">
            <w:pPr>
              <w:rPr>
                <w:rFonts w:ascii="Arial" w:hAnsi="Arial" w:cs="Arial"/>
                <w:sz w:val="24"/>
                <w:szCs w:val="24"/>
              </w:rPr>
            </w:pPr>
            <w:r w:rsidRPr="00FA3F9C">
              <w:rPr>
                <w:rFonts w:ascii="Arial" w:hAnsi="Arial" w:cs="Arial"/>
                <w:sz w:val="24"/>
                <w:szCs w:val="24"/>
              </w:rPr>
              <w:t>Date</w:t>
            </w:r>
          </w:p>
        </w:tc>
        <w:tc>
          <w:tcPr>
            <w:tcW w:w="8640" w:type="dxa"/>
          </w:tcPr>
          <w:p w14:paraId="21A91D64" w14:textId="77777777" w:rsidR="002641D2" w:rsidRPr="00FA3F9C" w:rsidRDefault="002641D2" w:rsidP="006F623F">
            <w:pPr>
              <w:rPr>
                <w:rFonts w:ascii="Arial" w:hAnsi="Arial" w:cs="Arial"/>
                <w:sz w:val="24"/>
                <w:szCs w:val="24"/>
              </w:rPr>
            </w:pPr>
            <w:r w:rsidRPr="00FA3F9C">
              <w:rPr>
                <w:rFonts w:ascii="Arial" w:hAnsi="Arial" w:cs="Arial"/>
                <w:sz w:val="24"/>
                <w:szCs w:val="24"/>
              </w:rPr>
              <w:t>What changed</w:t>
            </w:r>
          </w:p>
        </w:tc>
        <w:tc>
          <w:tcPr>
            <w:tcW w:w="1368" w:type="dxa"/>
          </w:tcPr>
          <w:p w14:paraId="6FD95606" w14:textId="77777777" w:rsidR="002641D2" w:rsidRPr="00FA3F9C" w:rsidRDefault="002641D2" w:rsidP="006F623F">
            <w:pPr>
              <w:rPr>
                <w:rFonts w:ascii="Arial" w:hAnsi="Arial" w:cs="Arial"/>
                <w:sz w:val="24"/>
                <w:szCs w:val="24"/>
              </w:rPr>
            </w:pPr>
            <w:r w:rsidRPr="00FA3F9C">
              <w:rPr>
                <w:rFonts w:ascii="Arial" w:hAnsi="Arial" w:cs="Arial"/>
                <w:sz w:val="24"/>
                <w:szCs w:val="24"/>
              </w:rPr>
              <w:t>Pharmacist’s initials</w:t>
            </w:r>
          </w:p>
        </w:tc>
      </w:tr>
      <w:tr w:rsidR="002641D2" w:rsidRPr="00FA3F9C" w14:paraId="13440AFE" w14:textId="77777777" w:rsidTr="0052431C">
        <w:tc>
          <w:tcPr>
            <w:tcW w:w="1008" w:type="dxa"/>
          </w:tcPr>
          <w:p w14:paraId="6D498DF9" w14:textId="77777777" w:rsidR="002641D2" w:rsidRPr="00FA3F9C" w:rsidRDefault="002641D2" w:rsidP="0052431C">
            <w:pPr>
              <w:rPr>
                <w:rFonts w:ascii="Arial" w:hAnsi="Arial" w:cs="Arial"/>
                <w:sz w:val="24"/>
                <w:szCs w:val="24"/>
              </w:rPr>
            </w:pPr>
            <w:r w:rsidRPr="00FA3F9C">
              <w:rPr>
                <w:rFonts w:ascii="Arial" w:hAnsi="Arial" w:cs="Arial"/>
                <w:sz w:val="24"/>
                <w:szCs w:val="24"/>
              </w:rPr>
              <w:t>7/13/15</w:t>
            </w:r>
          </w:p>
        </w:tc>
        <w:tc>
          <w:tcPr>
            <w:tcW w:w="8640" w:type="dxa"/>
          </w:tcPr>
          <w:p w14:paraId="39D876C7" w14:textId="77777777" w:rsidR="002641D2" w:rsidRPr="00FA3F9C" w:rsidRDefault="002641D2" w:rsidP="0052431C">
            <w:pPr>
              <w:rPr>
                <w:rFonts w:ascii="Arial" w:hAnsi="Arial" w:cs="Arial"/>
                <w:sz w:val="24"/>
                <w:szCs w:val="24"/>
              </w:rPr>
            </w:pPr>
            <w:r w:rsidRPr="00FA3F9C">
              <w:rPr>
                <w:rFonts w:ascii="Arial" w:hAnsi="Arial" w:cs="Arial"/>
                <w:sz w:val="24"/>
                <w:szCs w:val="24"/>
              </w:rPr>
              <w:t xml:space="preserve">I reformatted the proposal from 4/1/2011 to address individual drugs.  The 4 of </w:t>
            </w:r>
            <w:proofErr w:type="gramStart"/>
            <w:r w:rsidRPr="00FA3F9C">
              <w:rPr>
                <w:rFonts w:ascii="Arial" w:hAnsi="Arial" w:cs="Arial"/>
                <w:sz w:val="24"/>
                <w:szCs w:val="24"/>
              </w:rPr>
              <w:t>5 month</w:t>
            </w:r>
            <w:proofErr w:type="gramEnd"/>
            <w:r w:rsidRPr="00FA3F9C">
              <w:rPr>
                <w:rFonts w:ascii="Arial" w:hAnsi="Arial" w:cs="Arial"/>
                <w:sz w:val="24"/>
                <w:szCs w:val="24"/>
              </w:rPr>
              <w:t xml:space="preserve"> time period is to allow the HbA1C to correct while taking the prerequisite drug prior to allowing access to exenatide or liraglutide (or any GLP-1 agonist).</w:t>
            </w:r>
          </w:p>
        </w:tc>
        <w:tc>
          <w:tcPr>
            <w:tcW w:w="1368" w:type="dxa"/>
          </w:tcPr>
          <w:p w14:paraId="40518ABB" w14:textId="77777777" w:rsidR="002641D2" w:rsidRPr="00FA3F9C" w:rsidRDefault="002641D2" w:rsidP="0052431C">
            <w:pPr>
              <w:rPr>
                <w:rFonts w:ascii="Arial" w:hAnsi="Arial" w:cs="Arial"/>
                <w:sz w:val="24"/>
                <w:szCs w:val="24"/>
              </w:rPr>
            </w:pPr>
            <w:r w:rsidRPr="00FA3F9C">
              <w:rPr>
                <w:rFonts w:ascii="Arial" w:hAnsi="Arial" w:cs="Arial"/>
                <w:sz w:val="24"/>
                <w:szCs w:val="24"/>
              </w:rPr>
              <w:t>JJ</w:t>
            </w:r>
          </w:p>
        </w:tc>
      </w:tr>
      <w:tr w:rsidR="002641D2" w:rsidRPr="00FA3F9C" w14:paraId="1297E5BC" w14:textId="77777777" w:rsidTr="0052431C">
        <w:tc>
          <w:tcPr>
            <w:tcW w:w="1008" w:type="dxa"/>
          </w:tcPr>
          <w:p w14:paraId="34666AB2" w14:textId="77777777" w:rsidR="002641D2" w:rsidRPr="00FA3F9C" w:rsidRDefault="002641D2" w:rsidP="0052431C">
            <w:pPr>
              <w:rPr>
                <w:rFonts w:ascii="Arial" w:hAnsi="Arial" w:cs="Arial"/>
                <w:sz w:val="24"/>
                <w:szCs w:val="24"/>
              </w:rPr>
            </w:pPr>
            <w:r w:rsidRPr="00FA3F9C">
              <w:rPr>
                <w:rFonts w:ascii="Arial" w:hAnsi="Arial" w:cs="Arial"/>
                <w:sz w:val="24"/>
                <w:szCs w:val="24"/>
              </w:rPr>
              <w:t>6/22/16</w:t>
            </w:r>
          </w:p>
        </w:tc>
        <w:tc>
          <w:tcPr>
            <w:tcW w:w="8640" w:type="dxa"/>
          </w:tcPr>
          <w:p w14:paraId="5817FFE3" w14:textId="77777777" w:rsidR="002641D2" w:rsidRPr="00FA3F9C" w:rsidRDefault="002641D2" w:rsidP="0052431C">
            <w:pPr>
              <w:rPr>
                <w:rFonts w:ascii="Arial" w:hAnsi="Arial" w:cs="Arial"/>
                <w:sz w:val="24"/>
                <w:szCs w:val="24"/>
              </w:rPr>
            </w:pPr>
            <w:r w:rsidRPr="00FA3F9C">
              <w:rPr>
                <w:rFonts w:ascii="Arial" w:hAnsi="Arial" w:cs="Arial"/>
                <w:sz w:val="24"/>
                <w:szCs w:val="24"/>
              </w:rPr>
              <w:t>Due to the LEADER results, we removed some of the stipulations for receiving liraglutide.  Also added the reference.</w:t>
            </w:r>
          </w:p>
        </w:tc>
        <w:tc>
          <w:tcPr>
            <w:tcW w:w="1368" w:type="dxa"/>
          </w:tcPr>
          <w:p w14:paraId="2BC07D69" w14:textId="77777777" w:rsidR="002641D2" w:rsidRPr="00FA3F9C" w:rsidRDefault="002641D2" w:rsidP="0052431C">
            <w:pPr>
              <w:rPr>
                <w:rFonts w:ascii="Arial" w:hAnsi="Arial" w:cs="Arial"/>
                <w:sz w:val="24"/>
                <w:szCs w:val="24"/>
              </w:rPr>
            </w:pPr>
            <w:r w:rsidRPr="00FA3F9C">
              <w:rPr>
                <w:rFonts w:ascii="Arial" w:hAnsi="Arial" w:cs="Arial"/>
                <w:sz w:val="24"/>
                <w:szCs w:val="24"/>
              </w:rPr>
              <w:t>JJ</w:t>
            </w:r>
          </w:p>
        </w:tc>
      </w:tr>
      <w:tr w:rsidR="002641D2" w:rsidRPr="00FA3F9C" w14:paraId="39C75B15" w14:textId="77777777" w:rsidTr="0052431C">
        <w:tc>
          <w:tcPr>
            <w:tcW w:w="1008" w:type="dxa"/>
          </w:tcPr>
          <w:p w14:paraId="685526CD" w14:textId="77777777" w:rsidR="002641D2" w:rsidRPr="00FA3F9C" w:rsidRDefault="002641D2" w:rsidP="0052431C">
            <w:pPr>
              <w:rPr>
                <w:rFonts w:ascii="Arial" w:hAnsi="Arial" w:cs="Arial"/>
                <w:sz w:val="24"/>
                <w:szCs w:val="24"/>
              </w:rPr>
            </w:pPr>
            <w:r w:rsidRPr="00FA3F9C">
              <w:rPr>
                <w:rFonts w:ascii="Arial" w:hAnsi="Arial" w:cs="Arial"/>
                <w:sz w:val="24"/>
                <w:szCs w:val="24"/>
              </w:rPr>
              <w:t>10/28/19</w:t>
            </w:r>
          </w:p>
        </w:tc>
        <w:tc>
          <w:tcPr>
            <w:tcW w:w="8640" w:type="dxa"/>
          </w:tcPr>
          <w:p w14:paraId="25BE6795" w14:textId="77777777" w:rsidR="002641D2" w:rsidRPr="00FA3F9C" w:rsidRDefault="002641D2" w:rsidP="0052431C">
            <w:pPr>
              <w:rPr>
                <w:rFonts w:ascii="Arial" w:hAnsi="Arial" w:cs="Arial"/>
                <w:sz w:val="24"/>
                <w:szCs w:val="24"/>
              </w:rPr>
            </w:pPr>
            <w:r w:rsidRPr="00FA3F9C">
              <w:rPr>
                <w:rFonts w:ascii="Arial" w:hAnsi="Arial" w:cs="Arial"/>
                <w:sz w:val="24"/>
                <w:szCs w:val="24"/>
              </w:rPr>
              <w:t>I reviewed the PA. I added reference 1, and the criteria 5.  I also added the continuation criteria to ascertain adherence to both metformin and liraglutide.</w:t>
            </w:r>
          </w:p>
        </w:tc>
        <w:tc>
          <w:tcPr>
            <w:tcW w:w="1368" w:type="dxa"/>
          </w:tcPr>
          <w:p w14:paraId="14988231" w14:textId="77777777" w:rsidR="002641D2" w:rsidRPr="00FA3F9C" w:rsidRDefault="002641D2" w:rsidP="0052431C">
            <w:pPr>
              <w:rPr>
                <w:rFonts w:ascii="Arial" w:hAnsi="Arial" w:cs="Arial"/>
                <w:sz w:val="24"/>
                <w:szCs w:val="24"/>
              </w:rPr>
            </w:pPr>
            <w:r w:rsidRPr="00FA3F9C">
              <w:rPr>
                <w:rFonts w:ascii="Arial" w:hAnsi="Arial" w:cs="Arial"/>
                <w:sz w:val="24"/>
                <w:szCs w:val="24"/>
              </w:rPr>
              <w:t>JJ</w:t>
            </w:r>
          </w:p>
        </w:tc>
      </w:tr>
      <w:tr w:rsidR="002641D2" w:rsidRPr="00FA3F9C" w14:paraId="76183F0A" w14:textId="77777777" w:rsidTr="0052431C">
        <w:tc>
          <w:tcPr>
            <w:tcW w:w="1008" w:type="dxa"/>
          </w:tcPr>
          <w:p w14:paraId="2FFE00D5" w14:textId="77777777" w:rsidR="002641D2" w:rsidRPr="00FA3F9C" w:rsidRDefault="002641D2" w:rsidP="0052431C">
            <w:pPr>
              <w:rPr>
                <w:rFonts w:ascii="Arial" w:hAnsi="Arial" w:cs="Arial"/>
                <w:sz w:val="24"/>
                <w:szCs w:val="24"/>
              </w:rPr>
            </w:pPr>
            <w:r w:rsidRPr="00FA3F9C">
              <w:rPr>
                <w:rFonts w:ascii="Arial" w:hAnsi="Arial" w:cs="Arial"/>
                <w:sz w:val="24"/>
                <w:szCs w:val="24"/>
              </w:rPr>
              <w:t>10/28/2020</w:t>
            </w:r>
          </w:p>
        </w:tc>
        <w:tc>
          <w:tcPr>
            <w:tcW w:w="8640" w:type="dxa"/>
          </w:tcPr>
          <w:p w14:paraId="3E72BACE" w14:textId="77777777" w:rsidR="002641D2" w:rsidRPr="00FA3F9C" w:rsidRDefault="002641D2" w:rsidP="0052431C">
            <w:pPr>
              <w:rPr>
                <w:rFonts w:ascii="Arial" w:hAnsi="Arial" w:cs="Arial"/>
                <w:sz w:val="24"/>
                <w:szCs w:val="24"/>
              </w:rPr>
            </w:pPr>
            <w:r w:rsidRPr="00FA3F9C">
              <w:rPr>
                <w:rFonts w:ascii="Arial" w:hAnsi="Arial" w:cs="Arial"/>
                <w:sz w:val="24"/>
                <w:szCs w:val="24"/>
              </w:rPr>
              <w:t>Reviewed.  No changes.</w:t>
            </w:r>
          </w:p>
        </w:tc>
        <w:tc>
          <w:tcPr>
            <w:tcW w:w="1368" w:type="dxa"/>
          </w:tcPr>
          <w:p w14:paraId="527538FE" w14:textId="77777777" w:rsidR="002641D2" w:rsidRPr="00FA3F9C" w:rsidRDefault="002641D2" w:rsidP="0052431C">
            <w:pPr>
              <w:rPr>
                <w:rFonts w:ascii="Arial" w:hAnsi="Arial" w:cs="Arial"/>
                <w:sz w:val="24"/>
                <w:szCs w:val="24"/>
              </w:rPr>
            </w:pPr>
            <w:r w:rsidRPr="00FA3F9C">
              <w:rPr>
                <w:rFonts w:ascii="Arial" w:hAnsi="Arial" w:cs="Arial"/>
                <w:sz w:val="24"/>
                <w:szCs w:val="24"/>
              </w:rPr>
              <w:t>JJ</w:t>
            </w:r>
          </w:p>
        </w:tc>
      </w:tr>
      <w:tr w:rsidR="002641D2" w:rsidRPr="00FA3F9C" w14:paraId="355FDF23" w14:textId="77777777" w:rsidTr="0052431C">
        <w:tc>
          <w:tcPr>
            <w:tcW w:w="1008" w:type="dxa"/>
          </w:tcPr>
          <w:p w14:paraId="1B374983" w14:textId="77777777" w:rsidR="002641D2" w:rsidRPr="00FA3F9C" w:rsidRDefault="002641D2" w:rsidP="0052431C">
            <w:pPr>
              <w:rPr>
                <w:rFonts w:ascii="Arial" w:hAnsi="Arial" w:cs="Arial"/>
                <w:sz w:val="24"/>
                <w:szCs w:val="24"/>
              </w:rPr>
            </w:pPr>
            <w:r w:rsidRPr="00FA3F9C">
              <w:rPr>
                <w:rFonts w:ascii="Arial" w:hAnsi="Arial" w:cs="Arial"/>
                <w:sz w:val="24"/>
                <w:szCs w:val="24"/>
              </w:rPr>
              <w:t>3/29/2021</w:t>
            </w:r>
          </w:p>
        </w:tc>
        <w:tc>
          <w:tcPr>
            <w:tcW w:w="8640" w:type="dxa"/>
          </w:tcPr>
          <w:p w14:paraId="330BE934" w14:textId="77777777" w:rsidR="002641D2" w:rsidRPr="00FA3F9C" w:rsidRDefault="002641D2" w:rsidP="0052431C">
            <w:pPr>
              <w:rPr>
                <w:rFonts w:ascii="Arial" w:hAnsi="Arial" w:cs="Arial"/>
                <w:sz w:val="24"/>
                <w:szCs w:val="24"/>
              </w:rPr>
            </w:pPr>
            <w:r w:rsidRPr="00FA3F9C">
              <w:rPr>
                <w:rFonts w:ascii="Arial" w:hAnsi="Arial" w:cs="Arial"/>
                <w:sz w:val="24"/>
                <w:szCs w:val="24"/>
              </w:rPr>
              <w:t>I provided explanation for 5a. and 5b.  Deleted explanation about exenatide (not relevant)</w:t>
            </w:r>
          </w:p>
        </w:tc>
        <w:tc>
          <w:tcPr>
            <w:tcW w:w="1368" w:type="dxa"/>
          </w:tcPr>
          <w:p w14:paraId="6AFE35B9" w14:textId="77777777" w:rsidR="002641D2" w:rsidRPr="00FA3F9C" w:rsidRDefault="002641D2" w:rsidP="0052431C">
            <w:pPr>
              <w:rPr>
                <w:rFonts w:ascii="Arial" w:hAnsi="Arial" w:cs="Arial"/>
                <w:sz w:val="24"/>
                <w:szCs w:val="24"/>
              </w:rPr>
            </w:pPr>
            <w:r w:rsidRPr="00FA3F9C">
              <w:rPr>
                <w:rFonts w:ascii="Arial" w:hAnsi="Arial" w:cs="Arial"/>
                <w:sz w:val="24"/>
                <w:szCs w:val="24"/>
              </w:rPr>
              <w:t>JJ</w:t>
            </w:r>
          </w:p>
        </w:tc>
      </w:tr>
      <w:tr w:rsidR="002641D2" w:rsidRPr="00FA3F9C" w14:paraId="1F60FF2B" w14:textId="77777777" w:rsidTr="0052431C">
        <w:tc>
          <w:tcPr>
            <w:tcW w:w="1008" w:type="dxa"/>
          </w:tcPr>
          <w:p w14:paraId="3A000EF7" w14:textId="77777777" w:rsidR="002641D2" w:rsidRPr="00FA3F9C" w:rsidRDefault="002641D2" w:rsidP="0052431C">
            <w:pPr>
              <w:rPr>
                <w:rFonts w:ascii="Arial" w:hAnsi="Arial" w:cs="Arial"/>
                <w:sz w:val="24"/>
                <w:szCs w:val="24"/>
              </w:rPr>
            </w:pPr>
            <w:r w:rsidRPr="00FA3F9C">
              <w:rPr>
                <w:rFonts w:ascii="Arial" w:hAnsi="Arial" w:cs="Arial"/>
                <w:sz w:val="24"/>
                <w:szCs w:val="24"/>
              </w:rPr>
              <w:t>4/22/21</w:t>
            </w:r>
          </w:p>
        </w:tc>
        <w:tc>
          <w:tcPr>
            <w:tcW w:w="8640" w:type="dxa"/>
          </w:tcPr>
          <w:p w14:paraId="2F4AFDFC" w14:textId="77777777" w:rsidR="002641D2" w:rsidRPr="00FA3F9C" w:rsidRDefault="002641D2" w:rsidP="00CC61F0">
            <w:pPr>
              <w:rPr>
                <w:rFonts w:ascii="Arial" w:hAnsi="Arial" w:cs="Arial"/>
                <w:sz w:val="24"/>
                <w:szCs w:val="24"/>
              </w:rPr>
            </w:pPr>
            <w:r w:rsidRPr="00FA3F9C">
              <w:rPr>
                <w:rFonts w:ascii="Arial" w:hAnsi="Arial" w:cs="Arial"/>
                <w:sz w:val="24"/>
                <w:szCs w:val="24"/>
              </w:rPr>
              <w:t xml:space="preserve">Removed these criteria: 5a. Patient must be age 50+ with at least one CV coexisting condition (coronary heart disease, cerebrovascular disease, </w:t>
            </w:r>
            <w:r w:rsidRPr="00FA3F9C">
              <w:rPr>
                <w:rFonts w:ascii="Arial" w:hAnsi="Arial" w:cs="Arial"/>
                <w:sz w:val="24"/>
                <w:szCs w:val="24"/>
              </w:rPr>
              <w:lastRenderedPageBreak/>
              <w:t xml:space="preserve">peripheral vascular disease, chronic kidney disease of stage </w:t>
            </w:r>
            <w:r w:rsidRPr="00FA3F9C">
              <w:rPr>
                <w:rFonts w:ascii="Arial" w:hAnsi="Arial" w:cs="Arial"/>
                <w:sz w:val="24"/>
                <w:szCs w:val="24"/>
                <w:u w:val="single"/>
              </w:rPr>
              <w:t>&gt;</w:t>
            </w:r>
            <w:r w:rsidRPr="00FA3F9C">
              <w:rPr>
                <w:rFonts w:ascii="Arial" w:hAnsi="Arial" w:cs="Arial"/>
                <w:sz w:val="24"/>
                <w:szCs w:val="24"/>
              </w:rPr>
              <w:t xml:space="preserve">3, or chronic heart failure. </w:t>
            </w:r>
          </w:p>
          <w:p w14:paraId="6AFE87BB" w14:textId="77777777" w:rsidR="002641D2" w:rsidRPr="00FA3F9C" w:rsidRDefault="002641D2" w:rsidP="00CC61F0">
            <w:pPr>
              <w:rPr>
                <w:rFonts w:ascii="Arial" w:hAnsi="Arial" w:cs="Arial"/>
                <w:sz w:val="24"/>
                <w:szCs w:val="24"/>
              </w:rPr>
            </w:pPr>
            <w:r w:rsidRPr="00FA3F9C">
              <w:rPr>
                <w:rFonts w:ascii="Arial" w:hAnsi="Arial" w:cs="Arial"/>
                <w:sz w:val="24"/>
                <w:szCs w:val="24"/>
              </w:rPr>
              <w:t>OR</w:t>
            </w:r>
          </w:p>
          <w:p w14:paraId="41AA134F" w14:textId="77777777" w:rsidR="002641D2" w:rsidRPr="00FA3F9C" w:rsidRDefault="002641D2" w:rsidP="00CC61F0">
            <w:pPr>
              <w:rPr>
                <w:rFonts w:ascii="Arial" w:hAnsi="Arial" w:cs="Arial"/>
                <w:sz w:val="24"/>
                <w:szCs w:val="24"/>
              </w:rPr>
            </w:pPr>
            <w:r w:rsidRPr="00FA3F9C">
              <w:rPr>
                <w:rFonts w:ascii="Arial" w:hAnsi="Arial" w:cs="Arial"/>
                <w:sz w:val="24"/>
                <w:szCs w:val="24"/>
              </w:rPr>
              <w:t xml:space="preserve">5b. Patient must be age 60+ with at least 1 CV risk factor (microalbuminuria/proteinuria, HTN and left ventricular hypertrophy, left ventricular systolic or diastolic dysfunction). </w:t>
            </w:r>
          </w:p>
          <w:p w14:paraId="34B399A3" w14:textId="77777777" w:rsidR="002641D2" w:rsidRPr="00FA3F9C" w:rsidRDefault="002641D2" w:rsidP="00CC61F0">
            <w:pPr>
              <w:rPr>
                <w:rFonts w:ascii="Arial" w:hAnsi="Arial" w:cs="Arial"/>
                <w:sz w:val="24"/>
                <w:szCs w:val="24"/>
              </w:rPr>
            </w:pPr>
            <w:r w:rsidRPr="00FA3F9C">
              <w:rPr>
                <w:rFonts w:ascii="Arial" w:hAnsi="Arial" w:cs="Arial"/>
                <w:sz w:val="24"/>
                <w:szCs w:val="24"/>
              </w:rPr>
              <w:t>(</w:t>
            </w:r>
            <w:proofErr w:type="gramStart"/>
            <w:r w:rsidRPr="00FA3F9C">
              <w:rPr>
                <w:rFonts w:ascii="Arial" w:hAnsi="Arial" w:cs="Arial"/>
                <w:sz w:val="24"/>
                <w:szCs w:val="24"/>
              </w:rPr>
              <w:t>select</w:t>
            </w:r>
            <w:proofErr w:type="gramEnd"/>
            <w:r w:rsidRPr="00FA3F9C">
              <w:rPr>
                <w:rFonts w:ascii="Arial" w:hAnsi="Arial" w:cs="Arial"/>
                <w:sz w:val="24"/>
                <w:szCs w:val="24"/>
              </w:rPr>
              <w:t xml:space="preserve"> criteria consistent with the LEADER population in the liraglutide CVOT) per the contract.</w:t>
            </w:r>
          </w:p>
        </w:tc>
        <w:tc>
          <w:tcPr>
            <w:tcW w:w="1368" w:type="dxa"/>
          </w:tcPr>
          <w:p w14:paraId="6919D72E" w14:textId="77777777" w:rsidR="002641D2" w:rsidRPr="00FA3F9C" w:rsidRDefault="002641D2" w:rsidP="0052431C">
            <w:pPr>
              <w:rPr>
                <w:rFonts w:ascii="Arial" w:hAnsi="Arial" w:cs="Arial"/>
                <w:sz w:val="24"/>
                <w:szCs w:val="24"/>
              </w:rPr>
            </w:pPr>
            <w:r w:rsidRPr="00FA3F9C">
              <w:rPr>
                <w:rFonts w:ascii="Arial" w:hAnsi="Arial" w:cs="Arial"/>
                <w:sz w:val="24"/>
                <w:szCs w:val="24"/>
              </w:rPr>
              <w:lastRenderedPageBreak/>
              <w:t>JJ</w:t>
            </w:r>
          </w:p>
        </w:tc>
      </w:tr>
      <w:tr w:rsidR="002641D2" w:rsidRPr="00FA3F9C" w14:paraId="6573F90C" w14:textId="77777777" w:rsidTr="0052431C">
        <w:tc>
          <w:tcPr>
            <w:tcW w:w="1008" w:type="dxa"/>
          </w:tcPr>
          <w:p w14:paraId="6729C6F9" w14:textId="77777777" w:rsidR="002641D2" w:rsidRPr="00FA3F9C" w:rsidRDefault="002641D2" w:rsidP="0052431C">
            <w:pPr>
              <w:rPr>
                <w:rFonts w:ascii="Arial" w:hAnsi="Arial" w:cs="Arial"/>
                <w:sz w:val="24"/>
                <w:szCs w:val="24"/>
              </w:rPr>
            </w:pPr>
            <w:r w:rsidRPr="00FA3F9C">
              <w:rPr>
                <w:rFonts w:ascii="Arial" w:hAnsi="Arial" w:cs="Arial"/>
                <w:sz w:val="24"/>
                <w:szCs w:val="24"/>
              </w:rPr>
              <w:t>4/26/21</w:t>
            </w:r>
          </w:p>
        </w:tc>
        <w:tc>
          <w:tcPr>
            <w:tcW w:w="8640" w:type="dxa"/>
          </w:tcPr>
          <w:p w14:paraId="48C31AB2" w14:textId="77777777" w:rsidR="002641D2" w:rsidRPr="00FA3F9C" w:rsidRDefault="002641D2" w:rsidP="00CC61F0">
            <w:pPr>
              <w:rPr>
                <w:rFonts w:ascii="Arial" w:hAnsi="Arial" w:cs="Arial"/>
                <w:sz w:val="24"/>
                <w:szCs w:val="24"/>
              </w:rPr>
            </w:pPr>
            <w:r w:rsidRPr="00FA3F9C">
              <w:rPr>
                <w:rFonts w:ascii="Arial" w:hAnsi="Arial" w:cs="Arial"/>
                <w:sz w:val="24"/>
                <w:szCs w:val="24"/>
              </w:rPr>
              <w:t>Per EBRx P&amp;T meeting 4/22, we removed criteria all together on SGLT2 inhibitors, but left criteria on GLP1a.  We also decided to disallow concurrent SGLT2i and GLP1a therapy due to uncertain benefit with the combination.  I also added ref 2.</w:t>
            </w:r>
          </w:p>
        </w:tc>
        <w:tc>
          <w:tcPr>
            <w:tcW w:w="1368" w:type="dxa"/>
          </w:tcPr>
          <w:p w14:paraId="7FE3E924" w14:textId="77777777" w:rsidR="002641D2" w:rsidRPr="00FA3F9C" w:rsidRDefault="002641D2" w:rsidP="0052431C">
            <w:pPr>
              <w:rPr>
                <w:rFonts w:ascii="Arial" w:hAnsi="Arial" w:cs="Arial"/>
                <w:sz w:val="24"/>
                <w:szCs w:val="24"/>
              </w:rPr>
            </w:pPr>
            <w:r w:rsidRPr="00FA3F9C">
              <w:rPr>
                <w:rFonts w:ascii="Arial" w:hAnsi="Arial" w:cs="Arial"/>
                <w:sz w:val="24"/>
                <w:szCs w:val="24"/>
              </w:rPr>
              <w:t>JJ</w:t>
            </w:r>
          </w:p>
        </w:tc>
      </w:tr>
      <w:tr w:rsidR="002641D2" w:rsidRPr="00FA3F9C" w14:paraId="5FFE7CD0" w14:textId="77777777" w:rsidTr="0052431C">
        <w:tc>
          <w:tcPr>
            <w:tcW w:w="1008" w:type="dxa"/>
          </w:tcPr>
          <w:p w14:paraId="2D261BA6" w14:textId="77777777" w:rsidR="002641D2" w:rsidRPr="00FA3F9C" w:rsidRDefault="002641D2" w:rsidP="0052431C">
            <w:pPr>
              <w:rPr>
                <w:rFonts w:ascii="Arial" w:hAnsi="Arial" w:cs="Arial"/>
                <w:sz w:val="24"/>
                <w:szCs w:val="24"/>
              </w:rPr>
            </w:pPr>
            <w:r w:rsidRPr="00FA3F9C">
              <w:rPr>
                <w:rFonts w:ascii="Arial" w:hAnsi="Arial" w:cs="Arial"/>
                <w:sz w:val="24"/>
                <w:szCs w:val="24"/>
              </w:rPr>
              <w:t>3/28/22</w:t>
            </w:r>
          </w:p>
        </w:tc>
        <w:tc>
          <w:tcPr>
            <w:tcW w:w="8640" w:type="dxa"/>
          </w:tcPr>
          <w:p w14:paraId="29FF846D" w14:textId="77777777" w:rsidR="002641D2" w:rsidRPr="00FA3F9C" w:rsidRDefault="002641D2" w:rsidP="00CC61F0">
            <w:pPr>
              <w:rPr>
                <w:rFonts w:ascii="Arial" w:hAnsi="Arial" w:cs="Arial"/>
                <w:sz w:val="24"/>
                <w:szCs w:val="24"/>
              </w:rPr>
            </w:pPr>
            <w:r w:rsidRPr="00FA3F9C">
              <w:rPr>
                <w:rFonts w:ascii="Arial" w:hAnsi="Arial" w:cs="Arial"/>
                <w:sz w:val="24"/>
                <w:szCs w:val="24"/>
              </w:rPr>
              <w:t>I updated the use per the FDA indication, risk reduction in patients with established CV disease.</w:t>
            </w:r>
          </w:p>
        </w:tc>
        <w:tc>
          <w:tcPr>
            <w:tcW w:w="1368" w:type="dxa"/>
          </w:tcPr>
          <w:p w14:paraId="4A880A43" w14:textId="77777777" w:rsidR="002641D2" w:rsidRPr="00FA3F9C" w:rsidRDefault="002641D2" w:rsidP="0052431C">
            <w:pPr>
              <w:rPr>
                <w:rFonts w:ascii="Arial" w:hAnsi="Arial" w:cs="Arial"/>
                <w:sz w:val="24"/>
                <w:szCs w:val="24"/>
              </w:rPr>
            </w:pPr>
            <w:r w:rsidRPr="00FA3F9C">
              <w:rPr>
                <w:rFonts w:ascii="Arial" w:hAnsi="Arial" w:cs="Arial"/>
                <w:sz w:val="24"/>
                <w:szCs w:val="24"/>
              </w:rPr>
              <w:t>JJ</w:t>
            </w:r>
          </w:p>
        </w:tc>
      </w:tr>
    </w:tbl>
    <w:p w14:paraId="4107148C" w14:textId="77777777" w:rsidR="002641D2" w:rsidRPr="00FA3F9C" w:rsidRDefault="002641D2" w:rsidP="006F623F">
      <w:pPr>
        <w:spacing w:after="0"/>
        <w:rPr>
          <w:rFonts w:ascii="Arial" w:hAnsi="Arial" w:cs="Arial"/>
          <w:sz w:val="24"/>
          <w:szCs w:val="24"/>
        </w:rPr>
      </w:pPr>
    </w:p>
    <w:p w14:paraId="6239CF22" w14:textId="5D93EE2B" w:rsidR="002641D2" w:rsidRDefault="002641D2" w:rsidP="002A1632">
      <w:pPr>
        <w:pStyle w:val="Heading2"/>
      </w:pPr>
      <w:bookmarkStart w:id="170" w:name="_Toc106369849"/>
      <w:proofErr w:type="spellStart"/>
      <w:r w:rsidRPr="00FA3F9C">
        <w:t>lubiprostone</w:t>
      </w:r>
      <w:proofErr w:type="spellEnd"/>
      <w:r w:rsidRPr="00FA3F9C">
        <w:t xml:space="preserve"> (</w:t>
      </w:r>
      <w:proofErr w:type="spellStart"/>
      <w:r w:rsidRPr="00FA3F9C">
        <w:t>Amitiza</w:t>
      </w:r>
      <w:proofErr w:type="spellEnd"/>
      <w:r w:rsidRPr="00FA3F9C">
        <w:t>®)</w:t>
      </w:r>
      <w:bookmarkEnd w:id="170"/>
    </w:p>
    <w:p w14:paraId="68344D36" w14:textId="77777777" w:rsidR="002A1632" w:rsidRPr="00FA3F9C" w:rsidRDefault="002A1632" w:rsidP="002A1632">
      <w:pPr>
        <w:jc w:val="center"/>
        <w:rPr>
          <w:rFonts w:ascii="Arial" w:hAnsi="Arial" w:cs="Arial"/>
          <w:b/>
          <w:sz w:val="24"/>
          <w:szCs w:val="24"/>
        </w:rPr>
      </w:pPr>
      <w:r w:rsidRPr="00FA3F9C">
        <w:rPr>
          <w:rFonts w:ascii="Arial" w:hAnsi="Arial" w:cs="Arial"/>
          <w:b/>
          <w:sz w:val="24"/>
          <w:szCs w:val="24"/>
        </w:rPr>
        <w:t>EBRx</w:t>
      </w:r>
      <w:r>
        <w:rPr>
          <w:rFonts w:ascii="Arial" w:hAnsi="Arial" w:cs="Arial"/>
          <w:b/>
          <w:sz w:val="24"/>
          <w:szCs w:val="24"/>
        </w:rPr>
        <w:t xml:space="preserve"> </w:t>
      </w:r>
      <w:r w:rsidRPr="00FA3F9C">
        <w:rPr>
          <w:rFonts w:ascii="Arial" w:hAnsi="Arial" w:cs="Arial"/>
          <w:b/>
          <w:sz w:val="24"/>
          <w:szCs w:val="24"/>
        </w:rPr>
        <w:t>Prior Authorization Criteria</w:t>
      </w:r>
    </w:p>
    <w:p w14:paraId="53C92F9C" w14:textId="77777777" w:rsidR="002A1632" w:rsidRPr="00FA3F9C" w:rsidRDefault="002A1632" w:rsidP="00D13926">
      <w:pPr>
        <w:jc w:val="center"/>
        <w:rPr>
          <w:rFonts w:ascii="Arial" w:hAnsi="Arial" w:cs="Arial"/>
          <w:b/>
          <w:sz w:val="24"/>
          <w:szCs w:val="24"/>
        </w:rPr>
      </w:pPr>
    </w:p>
    <w:p w14:paraId="5ECC42F0" w14:textId="77777777" w:rsidR="002641D2" w:rsidRPr="00FA3F9C" w:rsidRDefault="002641D2">
      <w:pPr>
        <w:rPr>
          <w:rFonts w:ascii="Arial" w:hAnsi="Arial" w:cs="Arial"/>
          <w:sz w:val="24"/>
          <w:szCs w:val="24"/>
        </w:rPr>
      </w:pPr>
    </w:p>
    <w:p w14:paraId="5D30C721" w14:textId="77777777" w:rsidR="002641D2" w:rsidRPr="00FA3F9C" w:rsidRDefault="002641D2">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98"/>
      </w:tblGrid>
      <w:tr w:rsidR="002641D2" w:rsidRPr="00FA3F9C" w14:paraId="3DF39E0E" w14:textId="77777777" w:rsidTr="001E2780">
        <w:tc>
          <w:tcPr>
            <w:tcW w:w="10998" w:type="dxa"/>
          </w:tcPr>
          <w:p w14:paraId="335423F1" w14:textId="77777777" w:rsidR="002641D2" w:rsidRPr="00FA3F9C" w:rsidRDefault="002641D2" w:rsidP="00C317C7">
            <w:pPr>
              <w:rPr>
                <w:rFonts w:ascii="Arial" w:hAnsi="Arial" w:cs="Arial"/>
                <w:sz w:val="24"/>
                <w:szCs w:val="24"/>
              </w:rPr>
            </w:pPr>
            <w:r w:rsidRPr="00FA3F9C">
              <w:rPr>
                <w:rFonts w:ascii="Arial" w:hAnsi="Arial" w:cs="Arial"/>
                <w:sz w:val="24"/>
                <w:szCs w:val="24"/>
              </w:rPr>
              <w:t xml:space="preserve">1.  The patient must have a </w:t>
            </w:r>
            <w:r w:rsidRPr="00FA3F9C">
              <w:rPr>
                <w:rFonts w:ascii="Arial" w:hAnsi="Arial" w:cs="Arial"/>
                <w:sz w:val="24"/>
                <w:szCs w:val="24"/>
                <w:u w:val="single"/>
              </w:rPr>
              <w:t>diagnosis of IBS with constipation</w:t>
            </w:r>
            <w:r w:rsidRPr="00FA3F9C">
              <w:rPr>
                <w:rFonts w:ascii="Arial" w:hAnsi="Arial" w:cs="Arial"/>
                <w:sz w:val="24"/>
                <w:szCs w:val="24"/>
              </w:rPr>
              <w:t xml:space="preserve"> OR a </w:t>
            </w:r>
            <w:r w:rsidRPr="00FA3F9C">
              <w:rPr>
                <w:rFonts w:ascii="Arial" w:hAnsi="Arial" w:cs="Arial"/>
                <w:sz w:val="24"/>
                <w:szCs w:val="24"/>
                <w:u w:val="single"/>
              </w:rPr>
              <w:t>diagnosis of chronic idiopathic constipation after a complete GI workup for other causes</w:t>
            </w:r>
            <w:r w:rsidRPr="00FA3F9C">
              <w:rPr>
                <w:rFonts w:ascii="Arial" w:hAnsi="Arial" w:cs="Arial"/>
                <w:sz w:val="24"/>
                <w:szCs w:val="24"/>
              </w:rPr>
              <w:t xml:space="preserve"> OR </w:t>
            </w:r>
            <w:r w:rsidRPr="00FA3F9C">
              <w:rPr>
                <w:rFonts w:ascii="Arial" w:hAnsi="Arial" w:cs="Arial"/>
                <w:sz w:val="24"/>
                <w:szCs w:val="24"/>
                <w:u w:val="single"/>
              </w:rPr>
              <w:t>be currently taking opiates and have opiate-induced constipation</w:t>
            </w:r>
            <w:r w:rsidRPr="00FA3F9C">
              <w:rPr>
                <w:rFonts w:ascii="Arial" w:hAnsi="Arial" w:cs="Arial"/>
                <w:sz w:val="24"/>
                <w:szCs w:val="24"/>
              </w:rPr>
              <w:t>.</w:t>
            </w:r>
          </w:p>
        </w:tc>
      </w:tr>
      <w:tr w:rsidR="002641D2" w:rsidRPr="00FA3F9C" w14:paraId="0A8E213A" w14:textId="77777777" w:rsidTr="001E2780">
        <w:tc>
          <w:tcPr>
            <w:tcW w:w="10998" w:type="dxa"/>
          </w:tcPr>
          <w:p w14:paraId="46036031" w14:textId="77777777" w:rsidR="002641D2" w:rsidRPr="00FA3F9C" w:rsidRDefault="002641D2" w:rsidP="001E2780">
            <w:pPr>
              <w:rPr>
                <w:rFonts w:ascii="Arial" w:hAnsi="Arial" w:cs="Arial"/>
                <w:sz w:val="24"/>
                <w:szCs w:val="24"/>
              </w:rPr>
            </w:pPr>
            <w:r w:rsidRPr="00FA3F9C">
              <w:rPr>
                <w:rFonts w:ascii="Arial" w:hAnsi="Arial" w:cs="Arial"/>
                <w:sz w:val="24"/>
                <w:szCs w:val="24"/>
              </w:rPr>
              <w:t xml:space="preserve">2.  The patient must have tried and failed </w:t>
            </w:r>
            <w:proofErr w:type="spellStart"/>
            <w:r w:rsidRPr="00FA3F9C">
              <w:rPr>
                <w:rFonts w:ascii="Arial" w:hAnsi="Arial" w:cs="Arial"/>
                <w:sz w:val="24"/>
                <w:szCs w:val="24"/>
              </w:rPr>
              <w:t>miralax</w:t>
            </w:r>
            <w:proofErr w:type="spellEnd"/>
            <w:r w:rsidRPr="00FA3F9C">
              <w:rPr>
                <w:rFonts w:ascii="Arial" w:hAnsi="Arial" w:cs="Arial"/>
                <w:sz w:val="24"/>
                <w:szCs w:val="24"/>
              </w:rPr>
              <w:t xml:space="preserve"> or be planning to take it concurrently with </w:t>
            </w:r>
            <w:proofErr w:type="spellStart"/>
            <w:r w:rsidRPr="00FA3F9C">
              <w:rPr>
                <w:rFonts w:ascii="Arial" w:hAnsi="Arial" w:cs="Arial"/>
                <w:sz w:val="24"/>
                <w:szCs w:val="24"/>
              </w:rPr>
              <w:t>lubiprostone</w:t>
            </w:r>
            <w:proofErr w:type="spellEnd"/>
            <w:r w:rsidRPr="00FA3F9C">
              <w:rPr>
                <w:rFonts w:ascii="Arial" w:hAnsi="Arial" w:cs="Arial"/>
                <w:sz w:val="24"/>
                <w:szCs w:val="24"/>
              </w:rPr>
              <w:t>.</w:t>
            </w:r>
          </w:p>
        </w:tc>
      </w:tr>
      <w:tr w:rsidR="002641D2" w:rsidRPr="00FA3F9C" w14:paraId="78F883E5" w14:textId="77777777" w:rsidTr="001E2780">
        <w:tc>
          <w:tcPr>
            <w:tcW w:w="10998" w:type="dxa"/>
          </w:tcPr>
          <w:p w14:paraId="099D775B" w14:textId="77777777" w:rsidR="002641D2" w:rsidRPr="00FA3F9C" w:rsidRDefault="002641D2" w:rsidP="00C317C7">
            <w:pPr>
              <w:rPr>
                <w:rFonts w:ascii="Arial" w:hAnsi="Arial" w:cs="Arial"/>
                <w:sz w:val="24"/>
                <w:szCs w:val="24"/>
              </w:rPr>
            </w:pPr>
            <w:r w:rsidRPr="00FA3F9C">
              <w:rPr>
                <w:rFonts w:ascii="Arial" w:hAnsi="Arial" w:cs="Arial"/>
                <w:sz w:val="24"/>
                <w:szCs w:val="24"/>
              </w:rPr>
              <w:t>3.  There must have been a recent attempt to completely stop all opioid medications.</w:t>
            </w:r>
          </w:p>
        </w:tc>
      </w:tr>
      <w:tr w:rsidR="002641D2" w:rsidRPr="00FA3F9C" w14:paraId="3098AE57" w14:textId="77777777" w:rsidTr="001E2780">
        <w:tc>
          <w:tcPr>
            <w:tcW w:w="10998" w:type="dxa"/>
          </w:tcPr>
          <w:p w14:paraId="70E8DDFA" w14:textId="77777777" w:rsidR="002641D2" w:rsidRPr="00FA3F9C" w:rsidRDefault="002641D2" w:rsidP="00C317C7">
            <w:pPr>
              <w:rPr>
                <w:rFonts w:ascii="Arial" w:hAnsi="Arial" w:cs="Arial"/>
                <w:sz w:val="24"/>
                <w:szCs w:val="24"/>
              </w:rPr>
            </w:pPr>
            <w:r w:rsidRPr="00FA3F9C">
              <w:rPr>
                <w:rFonts w:ascii="Arial" w:hAnsi="Arial" w:cs="Arial"/>
                <w:sz w:val="24"/>
                <w:szCs w:val="24"/>
              </w:rPr>
              <w:t>4.  The patient must have tried and failed dietary modifications including eating more roughage.</w:t>
            </w:r>
          </w:p>
        </w:tc>
      </w:tr>
      <w:tr w:rsidR="002641D2" w:rsidRPr="00FA3F9C" w14:paraId="7D1B0141" w14:textId="77777777" w:rsidTr="001E2780">
        <w:tc>
          <w:tcPr>
            <w:tcW w:w="10998" w:type="dxa"/>
          </w:tcPr>
          <w:p w14:paraId="6C651672" w14:textId="77777777" w:rsidR="002641D2" w:rsidRPr="00FA3F9C" w:rsidRDefault="002641D2" w:rsidP="001E2780">
            <w:pPr>
              <w:rPr>
                <w:rFonts w:ascii="Arial" w:hAnsi="Arial" w:cs="Arial"/>
                <w:sz w:val="24"/>
                <w:szCs w:val="24"/>
              </w:rPr>
            </w:pPr>
            <w:r w:rsidRPr="00FA3F9C">
              <w:rPr>
                <w:rFonts w:ascii="Arial" w:hAnsi="Arial" w:cs="Arial"/>
                <w:sz w:val="24"/>
                <w:szCs w:val="24"/>
              </w:rPr>
              <w:lastRenderedPageBreak/>
              <w:t xml:space="preserve">5.  The prescriber of </w:t>
            </w:r>
            <w:proofErr w:type="spellStart"/>
            <w:r w:rsidRPr="00FA3F9C">
              <w:rPr>
                <w:rFonts w:ascii="Arial" w:hAnsi="Arial" w:cs="Arial"/>
                <w:sz w:val="24"/>
                <w:szCs w:val="24"/>
              </w:rPr>
              <w:t>lubiprostone</w:t>
            </w:r>
            <w:proofErr w:type="spellEnd"/>
            <w:r w:rsidRPr="00FA3F9C">
              <w:rPr>
                <w:rFonts w:ascii="Arial" w:hAnsi="Arial" w:cs="Arial"/>
                <w:sz w:val="24"/>
                <w:szCs w:val="24"/>
              </w:rPr>
              <w:t xml:space="preserve"> must state they have queried the AR PMP to assess the patient’s current opioid use.</w:t>
            </w:r>
          </w:p>
        </w:tc>
      </w:tr>
      <w:tr w:rsidR="002641D2" w:rsidRPr="00FA3F9C" w14:paraId="3D170288" w14:textId="77777777" w:rsidTr="001E2780">
        <w:tc>
          <w:tcPr>
            <w:tcW w:w="10998" w:type="dxa"/>
          </w:tcPr>
          <w:p w14:paraId="100C25E9" w14:textId="77777777" w:rsidR="002641D2" w:rsidRPr="00FA3F9C" w:rsidRDefault="002641D2" w:rsidP="00B477E5">
            <w:pPr>
              <w:rPr>
                <w:rFonts w:ascii="Arial" w:hAnsi="Arial" w:cs="Arial"/>
                <w:sz w:val="24"/>
                <w:szCs w:val="24"/>
              </w:rPr>
            </w:pPr>
            <w:r w:rsidRPr="00FA3F9C">
              <w:rPr>
                <w:rFonts w:ascii="Arial" w:hAnsi="Arial" w:cs="Arial"/>
                <w:sz w:val="24"/>
                <w:szCs w:val="24"/>
              </w:rPr>
              <w:t xml:space="preserve">6.  .  There must be no overlapping </w:t>
            </w:r>
            <w:proofErr w:type="spellStart"/>
            <w:r w:rsidRPr="00FA3F9C">
              <w:rPr>
                <w:rFonts w:ascii="Arial" w:hAnsi="Arial" w:cs="Arial"/>
                <w:sz w:val="24"/>
                <w:szCs w:val="24"/>
              </w:rPr>
              <w:t>days</w:t>
            </w:r>
            <w:proofErr w:type="spellEnd"/>
            <w:r w:rsidRPr="00FA3F9C">
              <w:rPr>
                <w:rFonts w:ascii="Arial" w:hAnsi="Arial" w:cs="Arial"/>
                <w:sz w:val="24"/>
                <w:szCs w:val="24"/>
              </w:rPr>
              <w:t xml:space="preserve"> supply of </w:t>
            </w:r>
            <w:proofErr w:type="spellStart"/>
            <w:r w:rsidRPr="00FA3F9C">
              <w:rPr>
                <w:rFonts w:ascii="Arial" w:hAnsi="Arial" w:cs="Arial"/>
                <w:sz w:val="24"/>
                <w:szCs w:val="24"/>
              </w:rPr>
              <w:t>lubiprostone</w:t>
            </w:r>
            <w:proofErr w:type="spellEnd"/>
            <w:r w:rsidRPr="00FA3F9C">
              <w:rPr>
                <w:rFonts w:ascii="Arial" w:hAnsi="Arial" w:cs="Arial"/>
                <w:sz w:val="24"/>
                <w:szCs w:val="24"/>
              </w:rPr>
              <w:t xml:space="preserve"> with any of the following:  </w:t>
            </w:r>
            <w:proofErr w:type="spellStart"/>
            <w:r w:rsidRPr="00FA3F9C">
              <w:rPr>
                <w:rFonts w:ascii="Arial" w:hAnsi="Arial" w:cs="Arial"/>
                <w:sz w:val="24"/>
                <w:szCs w:val="24"/>
              </w:rPr>
              <w:t>plecanatide</w:t>
            </w:r>
            <w:proofErr w:type="spellEnd"/>
            <w:r w:rsidRPr="00FA3F9C">
              <w:rPr>
                <w:rFonts w:ascii="Arial" w:hAnsi="Arial" w:cs="Arial"/>
                <w:sz w:val="24"/>
                <w:szCs w:val="24"/>
              </w:rPr>
              <w:t xml:space="preserve">, linaclotide, </w:t>
            </w:r>
            <w:proofErr w:type="spellStart"/>
            <w:r w:rsidRPr="00FA3F9C">
              <w:rPr>
                <w:rFonts w:ascii="Arial" w:hAnsi="Arial" w:cs="Arial"/>
                <w:sz w:val="24"/>
                <w:szCs w:val="24"/>
              </w:rPr>
              <w:t>naloxegol</w:t>
            </w:r>
            <w:proofErr w:type="spellEnd"/>
            <w:r w:rsidRPr="00FA3F9C">
              <w:rPr>
                <w:rFonts w:ascii="Arial" w:hAnsi="Arial" w:cs="Arial"/>
                <w:sz w:val="24"/>
                <w:szCs w:val="24"/>
              </w:rPr>
              <w:t>, or methylnaltrexone.</w:t>
            </w:r>
          </w:p>
        </w:tc>
      </w:tr>
      <w:tr w:rsidR="002641D2" w:rsidRPr="00FA3F9C" w14:paraId="4BE91D24" w14:textId="77777777" w:rsidTr="00CA1BD2">
        <w:tc>
          <w:tcPr>
            <w:tcW w:w="10998" w:type="dxa"/>
          </w:tcPr>
          <w:p w14:paraId="36C8FFA9" w14:textId="77777777" w:rsidR="002641D2" w:rsidRPr="00FA3F9C" w:rsidRDefault="002641D2" w:rsidP="00F27E74">
            <w:pPr>
              <w:rPr>
                <w:rFonts w:ascii="Arial" w:hAnsi="Arial" w:cs="Arial"/>
                <w:b/>
                <w:sz w:val="24"/>
                <w:szCs w:val="24"/>
              </w:rPr>
            </w:pPr>
            <w:r w:rsidRPr="00FA3F9C">
              <w:rPr>
                <w:rFonts w:ascii="Arial" w:hAnsi="Arial" w:cs="Arial"/>
                <w:b/>
                <w:sz w:val="24"/>
                <w:szCs w:val="24"/>
              </w:rPr>
              <w:t xml:space="preserve">  “Yes” to allow PA to be approved for 1y.  QL approval for a 31 </w:t>
            </w:r>
            <w:proofErr w:type="spellStart"/>
            <w:proofErr w:type="gramStart"/>
            <w:r w:rsidRPr="00FA3F9C">
              <w:rPr>
                <w:rFonts w:ascii="Arial" w:hAnsi="Arial" w:cs="Arial"/>
                <w:b/>
                <w:sz w:val="24"/>
                <w:szCs w:val="24"/>
              </w:rPr>
              <w:t>days</w:t>
            </w:r>
            <w:proofErr w:type="spellEnd"/>
            <w:proofErr w:type="gramEnd"/>
            <w:r w:rsidRPr="00FA3F9C">
              <w:rPr>
                <w:rFonts w:ascii="Arial" w:hAnsi="Arial" w:cs="Arial"/>
                <w:b/>
                <w:sz w:val="24"/>
                <w:szCs w:val="24"/>
              </w:rPr>
              <w:t xml:space="preserve"> supply.</w:t>
            </w:r>
          </w:p>
          <w:p w14:paraId="5804D195" w14:textId="77777777" w:rsidR="002641D2" w:rsidRPr="00FA3F9C" w:rsidRDefault="002641D2" w:rsidP="00B477E5">
            <w:pPr>
              <w:rPr>
                <w:rFonts w:ascii="Arial" w:hAnsi="Arial" w:cs="Arial"/>
                <w:b/>
                <w:sz w:val="24"/>
                <w:szCs w:val="24"/>
              </w:rPr>
            </w:pPr>
          </w:p>
        </w:tc>
      </w:tr>
    </w:tbl>
    <w:p w14:paraId="490FCA04" w14:textId="77777777" w:rsidR="002641D2" w:rsidRPr="00FA3F9C" w:rsidRDefault="002641D2" w:rsidP="006325AF">
      <w:pPr>
        <w:rPr>
          <w:rFonts w:ascii="Arial" w:hAnsi="Arial" w:cs="Arial"/>
          <w:sz w:val="24"/>
          <w:szCs w:val="24"/>
        </w:rPr>
      </w:pPr>
    </w:p>
    <w:p w14:paraId="7DC5D06B" w14:textId="77777777" w:rsidR="002641D2" w:rsidRPr="00FA3F9C" w:rsidRDefault="002641D2" w:rsidP="006325AF">
      <w:pPr>
        <w:rPr>
          <w:rFonts w:ascii="Arial" w:hAnsi="Arial" w:cs="Arial"/>
          <w:sz w:val="24"/>
          <w:szCs w:val="24"/>
        </w:rPr>
      </w:pPr>
    </w:p>
    <w:p w14:paraId="28D99853" w14:textId="77777777" w:rsidR="002641D2" w:rsidRPr="00FA3F9C" w:rsidRDefault="002641D2" w:rsidP="006325AF">
      <w:pPr>
        <w:rPr>
          <w:rFonts w:ascii="Arial" w:hAnsi="Arial" w:cs="Arial"/>
          <w:sz w:val="24"/>
          <w:szCs w:val="24"/>
        </w:rPr>
      </w:pPr>
    </w:p>
    <w:p w14:paraId="3EB580F1" w14:textId="77777777" w:rsidR="002641D2" w:rsidRPr="00FA3F9C" w:rsidRDefault="002641D2" w:rsidP="006325AF">
      <w:pPr>
        <w:rPr>
          <w:rFonts w:ascii="Arial" w:hAnsi="Arial" w:cs="Arial"/>
          <w:sz w:val="24"/>
          <w:szCs w:val="24"/>
        </w:rPr>
      </w:pPr>
      <w:r w:rsidRPr="00FA3F9C">
        <w:rPr>
          <w:rFonts w:ascii="Arial" w:hAnsi="Arial" w:cs="Arial"/>
          <w:sz w:val="24"/>
          <w:szCs w:val="24"/>
        </w:rPr>
        <w:t>Revision History:</w:t>
      </w:r>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9"/>
        <w:gridCol w:w="8359"/>
        <w:gridCol w:w="1530"/>
      </w:tblGrid>
      <w:tr w:rsidR="002641D2" w:rsidRPr="00FA3F9C" w14:paraId="0BC4DA0D" w14:textId="77777777" w:rsidTr="001E2780">
        <w:tc>
          <w:tcPr>
            <w:tcW w:w="1109" w:type="dxa"/>
          </w:tcPr>
          <w:p w14:paraId="542080C1" w14:textId="77777777" w:rsidR="002641D2" w:rsidRPr="00FA3F9C" w:rsidRDefault="002641D2" w:rsidP="006325AF">
            <w:pPr>
              <w:rPr>
                <w:rFonts w:ascii="Arial" w:hAnsi="Arial" w:cs="Arial"/>
                <w:sz w:val="24"/>
                <w:szCs w:val="24"/>
              </w:rPr>
            </w:pPr>
            <w:r w:rsidRPr="00FA3F9C">
              <w:rPr>
                <w:rFonts w:ascii="Arial" w:hAnsi="Arial" w:cs="Arial"/>
                <w:sz w:val="24"/>
                <w:szCs w:val="24"/>
              </w:rPr>
              <w:t xml:space="preserve">Date </w:t>
            </w:r>
          </w:p>
        </w:tc>
        <w:tc>
          <w:tcPr>
            <w:tcW w:w="8359" w:type="dxa"/>
          </w:tcPr>
          <w:p w14:paraId="7DF858D5" w14:textId="77777777" w:rsidR="002641D2" w:rsidRPr="00FA3F9C" w:rsidRDefault="002641D2" w:rsidP="006325AF">
            <w:pPr>
              <w:rPr>
                <w:rFonts w:ascii="Arial" w:hAnsi="Arial" w:cs="Arial"/>
                <w:sz w:val="24"/>
                <w:szCs w:val="24"/>
              </w:rPr>
            </w:pPr>
            <w:r w:rsidRPr="00FA3F9C">
              <w:rPr>
                <w:rFonts w:ascii="Arial" w:hAnsi="Arial" w:cs="Arial"/>
                <w:sz w:val="24"/>
                <w:szCs w:val="24"/>
              </w:rPr>
              <w:t>What changed?</w:t>
            </w:r>
          </w:p>
        </w:tc>
        <w:tc>
          <w:tcPr>
            <w:tcW w:w="1530" w:type="dxa"/>
          </w:tcPr>
          <w:p w14:paraId="3B74D2B9" w14:textId="77777777" w:rsidR="002641D2" w:rsidRPr="00FA3F9C" w:rsidRDefault="002641D2" w:rsidP="006325AF">
            <w:pPr>
              <w:rPr>
                <w:rFonts w:ascii="Arial" w:hAnsi="Arial" w:cs="Arial"/>
                <w:sz w:val="24"/>
                <w:szCs w:val="24"/>
              </w:rPr>
            </w:pPr>
            <w:r w:rsidRPr="00FA3F9C">
              <w:rPr>
                <w:rFonts w:ascii="Arial" w:hAnsi="Arial" w:cs="Arial"/>
                <w:sz w:val="24"/>
                <w:szCs w:val="24"/>
              </w:rPr>
              <w:t>Pharmacist’s initials</w:t>
            </w:r>
          </w:p>
        </w:tc>
      </w:tr>
      <w:tr w:rsidR="002641D2" w:rsidRPr="00FA3F9C" w14:paraId="2F5AF2BC" w14:textId="77777777" w:rsidTr="001E2780">
        <w:tc>
          <w:tcPr>
            <w:tcW w:w="1109" w:type="dxa"/>
          </w:tcPr>
          <w:p w14:paraId="19EDEC35" w14:textId="77777777" w:rsidR="002641D2" w:rsidRPr="00FA3F9C" w:rsidRDefault="002641D2" w:rsidP="006325AF">
            <w:pPr>
              <w:rPr>
                <w:rFonts w:ascii="Arial" w:hAnsi="Arial" w:cs="Arial"/>
                <w:sz w:val="24"/>
                <w:szCs w:val="24"/>
              </w:rPr>
            </w:pPr>
            <w:r w:rsidRPr="00FA3F9C">
              <w:rPr>
                <w:rFonts w:ascii="Arial" w:hAnsi="Arial" w:cs="Arial"/>
                <w:sz w:val="24"/>
                <w:szCs w:val="24"/>
              </w:rPr>
              <w:t>4/23/2013</w:t>
            </w:r>
          </w:p>
        </w:tc>
        <w:tc>
          <w:tcPr>
            <w:tcW w:w="8359" w:type="dxa"/>
          </w:tcPr>
          <w:p w14:paraId="578B6BAB" w14:textId="77777777" w:rsidR="002641D2" w:rsidRPr="00FA3F9C" w:rsidRDefault="002641D2" w:rsidP="006325AF">
            <w:pPr>
              <w:rPr>
                <w:rFonts w:ascii="Arial" w:hAnsi="Arial" w:cs="Arial"/>
                <w:sz w:val="24"/>
                <w:szCs w:val="24"/>
              </w:rPr>
            </w:pPr>
            <w:r w:rsidRPr="00FA3F9C">
              <w:rPr>
                <w:rFonts w:ascii="Arial" w:hAnsi="Arial" w:cs="Arial"/>
                <w:sz w:val="24"/>
                <w:szCs w:val="24"/>
              </w:rPr>
              <w:t>PA criteria written</w:t>
            </w:r>
          </w:p>
        </w:tc>
        <w:tc>
          <w:tcPr>
            <w:tcW w:w="1530" w:type="dxa"/>
          </w:tcPr>
          <w:p w14:paraId="1AAE64BA" w14:textId="77777777" w:rsidR="002641D2" w:rsidRPr="00FA3F9C" w:rsidRDefault="002641D2" w:rsidP="006325AF">
            <w:pPr>
              <w:rPr>
                <w:rFonts w:ascii="Arial" w:hAnsi="Arial" w:cs="Arial"/>
                <w:sz w:val="24"/>
                <w:szCs w:val="24"/>
              </w:rPr>
            </w:pPr>
            <w:r w:rsidRPr="00FA3F9C">
              <w:rPr>
                <w:rFonts w:ascii="Arial" w:hAnsi="Arial" w:cs="Arial"/>
                <w:sz w:val="24"/>
                <w:szCs w:val="24"/>
              </w:rPr>
              <w:t>JJ</w:t>
            </w:r>
          </w:p>
        </w:tc>
      </w:tr>
      <w:tr w:rsidR="002641D2" w:rsidRPr="00FA3F9C" w14:paraId="6E04010E" w14:textId="77777777" w:rsidTr="001E2780">
        <w:tc>
          <w:tcPr>
            <w:tcW w:w="1109" w:type="dxa"/>
          </w:tcPr>
          <w:p w14:paraId="4F1EF4DB" w14:textId="77777777" w:rsidR="002641D2" w:rsidRPr="00FA3F9C" w:rsidRDefault="002641D2" w:rsidP="00A30022">
            <w:pPr>
              <w:rPr>
                <w:rFonts w:ascii="Arial" w:hAnsi="Arial" w:cs="Arial"/>
                <w:sz w:val="24"/>
                <w:szCs w:val="24"/>
              </w:rPr>
            </w:pPr>
            <w:r w:rsidRPr="00FA3F9C">
              <w:rPr>
                <w:rFonts w:ascii="Arial" w:hAnsi="Arial" w:cs="Arial"/>
                <w:sz w:val="24"/>
                <w:szCs w:val="24"/>
              </w:rPr>
              <w:t>9/11/13</w:t>
            </w:r>
          </w:p>
        </w:tc>
        <w:tc>
          <w:tcPr>
            <w:tcW w:w="8359" w:type="dxa"/>
          </w:tcPr>
          <w:p w14:paraId="71A4583D" w14:textId="77777777" w:rsidR="002641D2" w:rsidRPr="00FA3F9C" w:rsidRDefault="002641D2" w:rsidP="00F27E74">
            <w:pPr>
              <w:rPr>
                <w:rFonts w:ascii="Arial" w:hAnsi="Arial" w:cs="Arial"/>
                <w:sz w:val="24"/>
                <w:szCs w:val="24"/>
              </w:rPr>
            </w:pPr>
            <w:r w:rsidRPr="00FA3F9C">
              <w:rPr>
                <w:rFonts w:ascii="Arial" w:hAnsi="Arial" w:cs="Arial"/>
                <w:sz w:val="24"/>
                <w:szCs w:val="24"/>
              </w:rPr>
              <w:t xml:space="preserve">I added the website for Arkansas Prescription Monitoring Program.  Querying this system was put forth by Dr. Golden as part of this PA criteria. </w:t>
            </w:r>
          </w:p>
        </w:tc>
        <w:tc>
          <w:tcPr>
            <w:tcW w:w="1530" w:type="dxa"/>
          </w:tcPr>
          <w:p w14:paraId="48D9FE77" w14:textId="77777777" w:rsidR="002641D2" w:rsidRPr="00FA3F9C" w:rsidRDefault="002641D2" w:rsidP="00A30022">
            <w:pPr>
              <w:rPr>
                <w:rFonts w:ascii="Arial" w:hAnsi="Arial" w:cs="Arial"/>
                <w:sz w:val="24"/>
                <w:szCs w:val="24"/>
              </w:rPr>
            </w:pPr>
            <w:r w:rsidRPr="00FA3F9C">
              <w:rPr>
                <w:rFonts w:ascii="Arial" w:hAnsi="Arial" w:cs="Arial"/>
                <w:sz w:val="24"/>
                <w:szCs w:val="24"/>
              </w:rPr>
              <w:t>JJ</w:t>
            </w:r>
          </w:p>
        </w:tc>
      </w:tr>
      <w:tr w:rsidR="002641D2" w:rsidRPr="00FA3F9C" w14:paraId="657D0F36" w14:textId="77777777" w:rsidTr="001E2780">
        <w:tc>
          <w:tcPr>
            <w:tcW w:w="1109" w:type="dxa"/>
          </w:tcPr>
          <w:p w14:paraId="2AA97085" w14:textId="77777777" w:rsidR="002641D2" w:rsidRPr="00FA3F9C" w:rsidRDefault="002641D2" w:rsidP="006325AF">
            <w:pPr>
              <w:rPr>
                <w:rFonts w:ascii="Arial" w:hAnsi="Arial" w:cs="Arial"/>
                <w:sz w:val="24"/>
                <w:szCs w:val="24"/>
              </w:rPr>
            </w:pPr>
            <w:r w:rsidRPr="00FA3F9C">
              <w:rPr>
                <w:rFonts w:ascii="Arial" w:hAnsi="Arial" w:cs="Arial"/>
                <w:sz w:val="24"/>
                <w:szCs w:val="24"/>
              </w:rPr>
              <w:t>9/26/13</w:t>
            </w:r>
          </w:p>
        </w:tc>
        <w:tc>
          <w:tcPr>
            <w:tcW w:w="8359" w:type="dxa"/>
          </w:tcPr>
          <w:p w14:paraId="414E70AA" w14:textId="77777777" w:rsidR="002641D2" w:rsidRPr="00FA3F9C" w:rsidRDefault="002641D2" w:rsidP="006325AF">
            <w:pPr>
              <w:rPr>
                <w:rFonts w:ascii="Arial" w:hAnsi="Arial" w:cs="Arial"/>
                <w:sz w:val="24"/>
                <w:szCs w:val="24"/>
              </w:rPr>
            </w:pPr>
            <w:r w:rsidRPr="00FA3F9C">
              <w:rPr>
                <w:rFonts w:ascii="Arial" w:hAnsi="Arial" w:cs="Arial"/>
                <w:sz w:val="24"/>
                <w:szCs w:val="24"/>
              </w:rPr>
              <w:t>I removed the AR PMP requirement.  It cannot be queried for this purpose by call center pharmacists per the Health Dept’s General Counsel</w:t>
            </w:r>
          </w:p>
        </w:tc>
        <w:tc>
          <w:tcPr>
            <w:tcW w:w="1530" w:type="dxa"/>
          </w:tcPr>
          <w:p w14:paraId="7944F522" w14:textId="77777777" w:rsidR="002641D2" w:rsidRPr="00FA3F9C" w:rsidRDefault="002641D2" w:rsidP="006325AF">
            <w:pPr>
              <w:rPr>
                <w:rFonts w:ascii="Arial" w:hAnsi="Arial" w:cs="Arial"/>
                <w:sz w:val="24"/>
                <w:szCs w:val="24"/>
              </w:rPr>
            </w:pPr>
            <w:r w:rsidRPr="00FA3F9C">
              <w:rPr>
                <w:rFonts w:ascii="Arial" w:hAnsi="Arial" w:cs="Arial"/>
                <w:sz w:val="24"/>
                <w:szCs w:val="24"/>
              </w:rPr>
              <w:t>JJ</w:t>
            </w:r>
          </w:p>
        </w:tc>
      </w:tr>
      <w:tr w:rsidR="002641D2" w:rsidRPr="00FA3F9C" w14:paraId="0A1684EA" w14:textId="77777777" w:rsidTr="001E2780">
        <w:tc>
          <w:tcPr>
            <w:tcW w:w="1109" w:type="dxa"/>
          </w:tcPr>
          <w:p w14:paraId="09BD802F" w14:textId="77777777" w:rsidR="002641D2" w:rsidRPr="00FA3F9C" w:rsidRDefault="002641D2" w:rsidP="00C317C7">
            <w:pPr>
              <w:rPr>
                <w:rFonts w:ascii="Arial" w:hAnsi="Arial" w:cs="Arial"/>
                <w:sz w:val="24"/>
                <w:szCs w:val="24"/>
              </w:rPr>
            </w:pPr>
            <w:r w:rsidRPr="00FA3F9C">
              <w:rPr>
                <w:rFonts w:ascii="Arial" w:hAnsi="Arial" w:cs="Arial"/>
                <w:sz w:val="24"/>
                <w:szCs w:val="24"/>
              </w:rPr>
              <w:t>9/27/16</w:t>
            </w:r>
          </w:p>
        </w:tc>
        <w:tc>
          <w:tcPr>
            <w:tcW w:w="8359" w:type="dxa"/>
          </w:tcPr>
          <w:p w14:paraId="45EB3E53" w14:textId="77777777" w:rsidR="002641D2" w:rsidRPr="00FA3F9C" w:rsidRDefault="002641D2" w:rsidP="00C317C7">
            <w:pPr>
              <w:rPr>
                <w:rFonts w:ascii="Arial" w:hAnsi="Arial" w:cs="Arial"/>
                <w:sz w:val="24"/>
                <w:szCs w:val="24"/>
              </w:rPr>
            </w:pPr>
            <w:r w:rsidRPr="00FA3F9C">
              <w:rPr>
                <w:rFonts w:ascii="Arial" w:hAnsi="Arial" w:cs="Arial"/>
                <w:sz w:val="24"/>
                <w:szCs w:val="24"/>
              </w:rPr>
              <w:t>I inserted the requirement for the prescriber to have queried the AR PMP to assess current opioid use.</w:t>
            </w:r>
          </w:p>
        </w:tc>
        <w:tc>
          <w:tcPr>
            <w:tcW w:w="1530" w:type="dxa"/>
          </w:tcPr>
          <w:p w14:paraId="6CC2D948" w14:textId="77777777" w:rsidR="002641D2" w:rsidRPr="00FA3F9C" w:rsidRDefault="002641D2" w:rsidP="00C317C7">
            <w:pPr>
              <w:rPr>
                <w:rFonts w:ascii="Arial" w:hAnsi="Arial" w:cs="Arial"/>
                <w:sz w:val="24"/>
                <w:szCs w:val="24"/>
              </w:rPr>
            </w:pPr>
            <w:r w:rsidRPr="00FA3F9C">
              <w:rPr>
                <w:rFonts w:ascii="Arial" w:hAnsi="Arial" w:cs="Arial"/>
                <w:sz w:val="24"/>
                <w:szCs w:val="24"/>
              </w:rPr>
              <w:t>JJ</w:t>
            </w:r>
          </w:p>
        </w:tc>
      </w:tr>
      <w:tr w:rsidR="002641D2" w:rsidRPr="00FA3F9C" w14:paraId="133A13F6" w14:textId="77777777" w:rsidTr="001E2780">
        <w:tc>
          <w:tcPr>
            <w:tcW w:w="1109" w:type="dxa"/>
          </w:tcPr>
          <w:p w14:paraId="1CF5ABE6" w14:textId="77777777" w:rsidR="002641D2" w:rsidRPr="00FA3F9C" w:rsidRDefault="002641D2" w:rsidP="00C317C7">
            <w:pPr>
              <w:rPr>
                <w:rFonts w:ascii="Arial" w:hAnsi="Arial" w:cs="Arial"/>
                <w:sz w:val="24"/>
                <w:szCs w:val="24"/>
              </w:rPr>
            </w:pPr>
            <w:r w:rsidRPr="00FA3F9C">
              <w:rPr>
                <w:rFonts w:ascii="Arial" w:hAnsi="Arial" w:cs="Arial"/>
                <w:sz w:val="24"/>
                <w:szCs w:val="24"/>
              </w:rPr>
              <w:t>6/12/17</w:t>
            </w:r>
          </w:p>
        </w:tc>
        <w:tc>
          <w:tcPr>
            <w:tcW w:w="8359" w:type="dxa"/>
          </w:tcPr>
          <w:p w14:paraId="17D05473" w14:textId="77777777" w:rsidR="002641D2" w:rsidRPr="00FA3F9C" w:rsidRDefault="002641D2" w:rsidP="00C317C7">
            <w:pPr>
              <w:rPr>
                <w:rFonts w:ascii="Arial" w:hAnsi="Arial" w:cs="Arial"/>
                <w:sz w:val="24"/>
                <w:szCs w:val="24"/>
              </w:rPr>
            </w:pPr>
            <w:r w:rsidRPr="00FA3F9C">
              <w:rPr>
                <w:rFonts w:ascii="Arial" w:hAnsi="Arial" w:cs="Arial"/>
                <w:sz w:val="24"/>
                <w:szCs w:val="24"/>
              </w:rPr>
              <w:t>I included the diagnosis of CIC as an approvable diagnosis due to an inadvertent omission of the diagnosis previously.  I also included the item to prevent therapeutic duplication with other similar agents shown in #6.</w:t>
            </w:r>
          </w:p>
        </w:tc>
        <w:tc>
          <w:tcPr>
            <w:tcW w:w="1530" w:type="dxa"/>
          </w:tcPr>
          <w:p w14:paraId="2E44749A" w14:textId="77777777" w:rsidR="002641D2" w:rsidRPr="00FA3F9C" w:rsidRDefault="002641D2" w:rsidP="00C317C7">
            <w:pPr>
              <w:rPr>
                <w:rFonts w:ascii="Arial" w:hAnsi="Arial" w:cs="Arial"/>
                <w:sz w:val="24"/>
                <w:szCs w:val="24"/>
              </w:rPr>
            </w:pPr>
            <w:r w:rsidRPr="00FA3F9C">
              <w:rPr>
                <w:rFonts w:ascii="Arial" w:hAnsi="Arial" w:cs="Arial"/>
                <w:sz w:val="24"/>
                <w:szCs w:val="24"/>
              </w:rPr>
              <w:t>JJ</w:t>
            </w:r>
          </w:p>
        </w:tc>
      </w:tr>
      <w:tr w:rsidR="002641D2" w:rsidRPr="00FA3F9C" w14:paraId="65BD1892" w14:textId="77777777" w:rsidTr="001E2780">
        <w:tc>
          <w:tcPr>
            <w:tcW w:w="1109" w:type="dxa"/>
          </w:tcPr>
          <w:p w14:paraId="361C79F1" w14:textId="77777777" w:rsidR="002641D2" w:rsidRPr="00FA3F9C" w:rsidRDefault="002641D2" w:rsidP="00C317C7">
            <w:pPr>
              <w:rPr>
                <w:rFonts w:ascii="Arial" w:hAnsi="Arial" w:cs="Arial"/>
                <w:sz w:val="24"/>
                <w:szCs w:val="24"/>
              </w:rPr>
            </w:pPr>
            <w:r w:rsidRPr="00FA3F9C">
              <w:rPr>
                <w:rFonts w:ascii="Arial" w:hAnsi="Arial" w:cs="Arial"/>
                <w:sz w:val="24"/>
                <w:szCs w:val="24"/>
              </w:rPr>
              <w:lastRenderedPageBreak/>
              <w:t>4/2/18</w:t>
            </w:r>
          </w:p>
        </w:tc>
        <w:tc>
          <w:tcPr>
            <w:tcW w:w="8359" w:type="dxa"/>
          </w:tcPr>
          <w:p w14:paraId="7D7EE784" w14:textId="77777777" w:rsidR="002641D2" w:rsidRPr="00FA3F9C" w:rsidRDefault="002641D2" w:rsidP="00C317C7">
            <w:pPr>
              <w:rPr>
                <w:rFonts w:ascii="Arial" w:hAnsi="Arial" w:cs="Arial"/>
                <w:sz w:val="24"/>
                <w:szCs w:val="24"/>
              </w:rPr>
            </w:pPr>
            <w:r w:rsidRPr="00FA3F9C">
              <w:rPr>
                <w:rFonts w:ascii="Arial" w:hAnsi="Arial" w:cs="Arial"/>
                <w:sz w:val="24"/>
                <w:szCs w:val="24"/>
              </w:rPr>
              <w:t>I added the indication of having opiate-induced constipation and currently taking opiates.</w:t>
            </w:r>
          </w:p>
        </w:tc>
        <w:tc>
          <w:tcPr>
            <w:tcW w:w="1530" w:type="dxa"/>
          </w:tcPr>
          <w:p w14:paraId="0884B269" w14:textId="77777777" w:rsidR="002641D2" w:rsidRPr="00FA3F9C" w:rsidRDefault="002641D2" w:rsidP="00C317C7">
            <w:pPr>
              <w:rPr>
                <w:rFonts w:ascii="Arial" w:hAnsi="Arial" w:cs="Arial"/>
                <w:sz w:val="24"/>
                <w:szCs w:val="24"/>
              </w:rPr>
            </w:pPr>
            <w:r w:rsidRPr="00FA3F9C">
              <w:rPr>
                <w:rFonts w:ascii="Arial" w:hAnsi="Arial" w:cs="Arial"/>
                <w:sz w:val="24"/>
                <w:szCs w:val="24"/>
              </w:rPr>
              <w:t>JJ</w:t>
            </w:r>
          </w:p>
        </w:tc>
      </w:tr>
      <w:tr w:rsidR="002641D2" w:rsidRPr="00FA3F9C" w14:paraId="53996B57" w14:textId="77777777" w:rsidTr="001E2780">
        <w:tc>
          <w:tcPr>
            <w:tcW w:w="1109" w:type="dxa"/>
          </w:tcPr>
          <w:p w14:paraId="22647C3F" w14:textId="77777777" w:rsidR="002641D2" w:rsidRPr="00FA3F9C" w:rsidRDefault="002641D2" w:rsidP="00C317C7">
            <w:pPr>
              <w:rPr>
                <w:rFonts w:ascii="Arial" w:hAnsi="Arial" w:cs="Arial"/>
                <w:sz w:val="24"/>
                <w:szCs w:val="24"/>
              </w:rPr>
            </w:pPr>
            <w:r w:rsidRPr="00FA3F9C">
              <w:rPr>
                <w:rFonts w:ascii="Arial" w:hAnsi="Arial" w:cs="Arial"/>
                <w:sz w:val="24"/>
                <w:szCs w:val="24"/>
              </w:rPr>
              <w:t>2/19/19</w:t>
            </w:r>
          </w:p>
        </w:tc>
        <w:tc>
          <w:tcPr>
            <w:tcW w:w="8359" w:type="dxa"/>
          </w:tcPr>
          <w:p w14:paraId="03FF4340" w14:textId="77777777" w:rsidR="002641D2" w:rsidRPr="00FA3F9C" w:rsidRDefault="002641D2" w:rsidP="00C317C7">
            <w:pPr>
              <w:rPr>
                <w:rFonts w:ascii="Arial" w:hAnsi="Arial" w:cs="Arial"/>
                <w:sz w:val="24"/>
                <w:szCs w:val="24"/>
              </w:rPr>
            </w:pPr>
            <w:r w:rsidRPr="00FA3F9C">
              <w:rPr>
                <w:rFonts w:ascii="Arial" w:hAnsi="Arial" w:cs="Arial"/>
                <w:sz w:val="24"/>
                <w:szCs w:val="24"/>
              </w:rPr>
              <w:t>I reviewed the criteria.</w:t>
            </w:r>
          </w:p>
        </w:tc>
        <w:tc>
          <w:tcPr>
            <w:tcW w:w="1530" w:type="dxa"/>
          </w:tcPr>
          <w:p w14:paraId="72C390DD" w14:textId="77777777" w:rsidR="002641D2" w:rsidRPr="00FA3F9C" w:rsidRDefault="002641D2" w:rsidP="00C317C7">
            <w:pPr>
              <w:rPr>
                <w:rFonts w:ascii="Arial" w:hAnsi="Arial" w:cs="Arial"/>
                <w:sz w:val="24"/>
                <w:szCs w:val="24"/>
              </w:rPr>
            </w:pPr>
            <w:r w:rsidRPr="00FA3F9C">
              <w:rPr>
                <w:rFonts w:ascii="Arial" w:hAnsi="Arial" w:cs="Arial"/>
                <w:sz w:val="24"/>
                <w:szCs w:val="24"/>
              </w:rPr>
              <w:t>JJ</w:t>
            </w:r>
          </w:p>
        </w:tc>
      </w:tr>
    </w:tbl>
    <w:p w14:paraId="3FB7C897" w14:textId="77777777" w:rsidR="002641D2" w:rsidRPr="00FA3F9C" w:rsidRDefault="002641D2" w:rsidP="006325AF">
      <w:pPr>
        <w:rPr>
          <w:rFonts w:ascii="Arial" w:hAnsi="Arial" w:cs="Arial"/>
          <w:sz w:val="24"/>
          <w:szCs w:val="24"/>
        </w:rPr>
      </w:pPr>
    </w:p>
    <w:p w14:paraId="0897167C" w14:textId="77777777" w:rsidR="002641D2" w:rsidRPr="00FA3F9C" w:rsidRDefault="002641D2" w:rsidP="006325AF">
      <w:pPr>
        <w:rPr>
          <w:rFonts w:ascii="Arial" w:hAnsi="Arial" w:cs="Arial"/>
          <w:sz w:val="24"/>
          <w:szCs w:val="24"/>
        </w:rPr>
      </w:pPr>
    </w:p>
    <w:p w14:paraId="27464D6B" w14:textId="77777777" w:rsidR="002641D2" w:rsidRPr="00FA3F9C" w:rsidRDefault="002641D2" w:rsidP="006325AF">
      <w:pPr>
        <w:rPr>
          <w:rFonts w:ascii="Arial" w:hAnsi="Arial" w:cs="Arial"/>
          <w:sz w:val="24"/>
          <w:szCs w:val="24"/>
        </w:rPr>
      </w:pPr>
    </w:p>
    <w:p w14:paraId="2C5F4A9F" w14:textId="7434B666" w:rsidR="002641D2" w:rsidRPr="00FA3F9C" w:rsidRDefault="002641D2" w:rsidP="002A1632">
      <w:pPr>
        <w:pStyle w:val="Heading2"/>
      </w:pPr>
      <w:bookmarkStart w:id="171" w:name="_Toc106369850"/>
      <w:r w:rsidRPr="00FA3F9C">
        <w:t>lumacaftor-ivacaftor (</w:t>
      </w:r>
      <w:proofErr w:type="spellStart"/>
      <w:r w:rsidRPr="00FA3F9C">
        <w:t>Orkambi</w:t>
      </w:r>
      <w:proofErr w:type="spellEnd"/>
      <w:r w:rsidRPr="00FA3F9C">
        <w:t>)</w:t>
      </w:r>
      <w:bookmarkEnd w:id="171"/>
      <w:r w:rsidRPr="00FA3F9C">
        <w:t xml:space="preserve"> </w:t>
      </w:r>
    </w:p>
    <w:p w14:paraId="5EBE7573" w14:textId="77777777" w:rsidR="002641D2" w:rsidRPr="00FA3F9C" w:rsidRDefault="002641D2" w:rsidP="00E4013F">
      <w:pPr>
        <w:jc w:val="center"/>
        <w:rPr>
          <w:rFonts w:ascii="Arial" w:hAnsi="Arial" w:cs="Arial"/>
          <w:b/>
          <w:sz w:val="24"/>
          <w:szCs w:val="24"/>
        </w:rPr>
      </w:pPr>
      <w:r w:rsidRPr="00FA3F9C">
        <w:rPr>
          <w:rFonts w:ascii="Arial" w:hAnsi="Arial" w:cs="Arial"/>
          <w:b/>
          <w:sz w:val="24"/>
          <w:szCs w:val="24"/>
        </w:rPr>
        <w:t>Tablets: 200/125mg tablets, 100mg/125mg tablets</w:t>
      </w:r>
    </w:p>
    <w:p w14:paraId="4BACA5C0" w14:textId="153CAB75" w:rsidR="002641D2" w:rsidRDefault="002641D2" w:rsidP="00E4013F">
      <w:pPr>
        <w:jc w:val="center"/>
        <w:rPr>
          <w:rFonts w:ascii="Arial" w:hAnsi="Arial" w:cs="Arial"/>
          <w:b/>
          <w:sz w:val="24"/>
          <w:szCs w:val="24"/>
        </w:rPr>
      </w:pPr>
      <w:r w:rsidRPr="00FA3F9C">
        <w:rPr>
          <w:rFonts w:ascii="Arial" w:hAnsi="Arial" w:cs="Arial"/>
          <w:b/>
          <w:sz w:val="24"/>
          <w:szCs w:val="24"/>
        </w:rPr>
        <w:t>Packets: 100mg/125mg, 150mg/188mg</w:t>
      </w:r>
    </w:p>
    <w:p w14:paraId="00F31CC7" w14:textId="77777777" w:rsidR="002A1632" w:rsidRPr="00FA3F9C" w:rsidRDefault="002A1632" w:rsidP="002A1632">
      <w:pPr>
        <w:jc w:val="center"/>
        <w:rPr>
          <w:rFonts w:ascii="Arial" w:hAnsi="Arial" w:cs="Arial"/>
          <w:b/>
          <w:sz w:val="24"/>
          <w:szCs w:val="24"/>
        </w:rPr>
      </w:pPr>
      <w:r w:rsidRPr="00FA3F9C">
        <w:rPr>
          <w:rFonts w:ascii="Arial" w:hAnsi="Arial" w:cs="Arial"/>
          <w:b/>
          <w:sz w:val="24"/>
          <w:szCs w:val="24"/>
        </w:rPr>
        <w:t>EBRx Prior Authorization Criteria</w:t>
      </w:r>
    </w:p>
    <w:p w14:paraId="538A6FE2" w14:textId="77777777" w:rsidR="002A1632" w:rsidRPr="00FA3F9C" w:rsidRDefault="002A1632" w:rsidP="002A1632">
      <w:pPr>
        <w:rPr>
          <w:rFonts w:ascii="Arial" w:hAnsi="Arial" w:cs="Arial"/>
          <w:b/>
          <w:sz w:val="24"/>
          <w:szCs w:val="24"/>
        </w:rPr>
      </w:pPr>
    </w:p>
    <w:p w14:paraId="395FA2F2" w14:textId="77777777" w:rsidR="002641D2" w:rsidRPr="00FA3F9C" w:rsidRDefault="002641D2" w:rsidP="00E4013F">
      <w:pPr>
        <w:jc w:val="center"/>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98"/>
      </w:tblGrid>
      <w:tr w:rsidR="002641D2" w:rsidRPr="00FA3F9C" w14:paraId="4CA8E5A5" w14:textId="77777777" w:rsidTr="000E4C33">
        <w:trPr>
          <w:trHeight w:val="728"/>
        </w:trPr>
        <w:tc>
          <w:tcPr>
            <w:tcW w:w="10998" w:type="dxa"/>
            <w:shd w:val="clear" w:color="auto" w:fill="000000"/>
            <w:vAlign w:val="center"/>
          </w:tcPr>
          <w:p w14:paraId="24FB02D8" w14:textId="77777777" w:rsidR="002641D2" w:rsidRPr="00FA3F9C" w:rsidRDefault="002641D2" w:rsidP="0050721C">
            <w:pPr>
              <w:rPr>
                <w:rFonts w:ascii="Arial" w:hAnsi="Arial" w:cs="Arial"/>
                <w:b/>
                <w:sz w:val="24"/>
                <w:szCs w:val="24"/>
              </w:rPr>
            </w:pPr>
            <w:r w:rsidRPr="00FA3F9C">
              <w:rPr>
                <w:rFonts w:ascii="Arial" w:hAnsi="Arial" w:cs="Arial"/>
                <w:b/>
                <w:sz w:val="24"/>
                <w:szCs w:val="24"/>
              </w:rPr>
              <w:t>Initial approval criteria:</w:t>
            </w:r>
          </w:p>
        </w:tc>
      </w:tr>
      <w:tr w:rsidR="002641D2" w:rsidRPr="00FA3F9C" w14:paraId="48D43861" w14:textId="77777777" w:rsidTr="00B108CC">
        <w:trPr>
          <w:trHeight w:val="728"/>
        </w:trPr>
        <w:tc>
          <w:tcPr>
            <w:tcW w:w="10998" w:type="dxa"/>
            <w:vAlign w:val="center"/>
          </w:tcPr>
          <w:p w14:paraId="067EC83B" w14:textId="77777777" w:rsidR="002641D2" w:rsidRPr="00FA3F9C" w:rsidRDefault="002641D2" w:rsidP="002641D2">
            <w:pPr>
              <w:numPr>
                <w:ilvl w:val="0"/>
                <w:numId w:val="152"/>
              </w:numPr>
              <w:spacing w:after="0" w:line="240" w:lineRule="auto"/>
              <w:rPr>
                <w:rFonts w:ascii="Arial" w:hAnsi="Arial" w:cs="Arial"/>
                <w:b/>
                <w:sz w:val="24"/>
                <w:szCs w:val="24"/>
              </w:rPr>
            </w:pPr>
            <w:r w:rsidRPr="00FA3F9C">
              <w:rPr>
                <w:rFonts w:ascii="Arial" w:hAnsi="Arial" w:cs="Arial"/>
                <w:b/>
                <w:sz w:val="24"/>
                <w:szCs w:val="24"/>
              </w:rPr>
              <w:t>The patient must have a diagnosis of cystic fibrosis with gene positive testing for being HOMOZYGOUS for the F508del mutation in the CFTR gene.</w:t>
            </w:r>
          </w:p>
        </w:tc>
      </w:tr>
      <w:tr w:rsidR="002641D2" w:rsidRPr="00FA3F9C" w14:paraId="28F1BCD6" w14:textId="77777777" w:rsidTr="00B108CC">
        <w:trPr>
          <w:trHeight w:val="440"/>
        </w:trPr>
        <w:tc>
          <w:tcPr>
            <w:tcW w:w="10998" w:type="dxa"/>
            <w:vAlign w:val="center"/>
          </w:tcPr>
          <w:p w14:paraId="1083BCE1" w14:textId="77777777" w:rsidR="002641D2" w:rsidRPr="00FA3F9C" w:rsidRDefault="002641D2" w:rsidP="002641D2">
            <w:pPr>
              <w:numPr>
                <w:ilvl w:val="0"/>
                <w:numId w:val="152"/>
              </w:numPr>
              <w:spacing w:after="0" w:line="240" w:lineRule="auto"/>
              <w:rPr>
                <w:rFonts w:ascii="Arial" w:hAnsi="Arial" w:cs="Arial"/>
                <w:b/>
                <w:sz w:val="24"/>
                <w:szCs w:val="24"/>
              </w:rPr>
            </w:pPr>
            <w:r w:rsidRPr="00FA3F9C">
              <w:rPr>
                <w:rFonts w:ascii="Arial" w:hAnsi="Arial" w:cs="Arial"/>
                <w:b/>
                <w:sz w:val="24"/>
                <w:szCs w:val="24"/>
              </w:rPr>
              <w:t>The patient must be between the ages of 2 years and age 12.</w:t>
            </w:r>
          </w:p>
        </w:tc>
      </w:tr>
      <w:tr w:rsidR="002641D2" w:rsidRPr="00FA3F9C" w14:paraId="038B07DC" w14:textId="77777777" w:rsidTr="00B108CC">
        <w:trPr>
          <w:trHeight w:val="728"/>
        </w:trPr>
        <w:tc>
          <w:tcPr>
            <w:tcW w:w="10998" w:type="dxa"/>
            <w:vAlign w:val="center"/>
          </w:tcPr>
          <w:p w14:paraId="5CE620F4" w14:textId="77777777" w:rsidR="002641D2" w:rsidRPr="00FA3F9C" w:rsidRDefault="002641D2" w:rsidP="002641D2">
            <w:pPr>
              <w:numPr>
                <w:ilvl w:val="0"/>
                <w:numId w:val="152"/>
              </w:numPr>
              <w:spacing w:after="0" w:line="240" w:lineRule="auto"/>
              <w:rPr>
                <w:rFonts w:ascii="Arial" w:hAnsi="Arial" w:cs="Arial"/>
                <w:b/>
                <w:sz w:val="24"/>
                <w:szCs w:val="24"/>
              </w:rPr>
            </w:pPr>
            <w:r w:rsidRPr="00FA3F9C">
              <w:rPr>
                <w:rFonts w:ascii="Arial" w:hAnsi="Arial" w:cs="Arial"/>
                <w:b/>
                <w:sz w:val="24"/>
                <w:szCs w:val="24"/>
              </w:rPr>
              <w:t>The patient must be currently demonstrating compliance with the evidence-based standard of care for inhaled therapies for cystic fibrosis.</w:t>
            </w:r>
            <w:r w:rsidRPr="00FA3F9C">
              <w:rPr>
                <w:rFonts w:ascii="Arial" w:hAnsi="Arial" w:cs="Arial"/>
                <w:b/>
                <w:sz w:val="24"/>
                <w:szCs w:val="24"/>
                <w:vertAlign w:val="superscript"/>
              </w:rPr>
              <w:t>1</w:t>
            </w:r>
            <w:r w:rsidRPr="00FA3F9C">
              <w:rPr>
                <w:rFonts w:ascii="Arial" w:hAnsi="Arial" w:cs="Arial"/>
                <w:b/>
                <w:sz w:val="24"/>
                <w:szCs w:val="24"/>
              </w:rPr>
              <w:t xml:space="preserve">  (Or the patient must have experienced intolerance to </w:t>
            </w:r>
            <w:proofErr w:type="spellStart"/>
            <w:r w:rsidRPr="00FA3F9C">
              <w:rPr>
                <w:rFonts w:ascii="Arial" w:hAnsi="Arial" w:cs="Arial"/>
                <w:b/>
                <w:sz w:val="24"/>
                <w:szCs w:val="24"/>
              </w:rPr>
              <w:t>dornase</w:t>
            </w:r>
            <w:proofErr w:type="spellEnd"/>
            <w:r w:rsidRPr="00FA3F9C">
              <w:rPr>
                <w:rFonts w:ascii="Arial" w:hAnsi="Arial" w:cs="Arial"/>
                <w:b/>
                <w:sz w:val="24"/>
                <w:szCs w:val="24"/>
              </w:rPr>
              <w:t xml:space="preserve"> alfa &amp;/OR bronchospasm or irritability with inhaled hypertonic saline and therefore cannot use it.—This must be documented in the medical record and represented to the call pharmacists.)</w:t>
            </w:r>
          </w:p>
        </w:tc>
      </w:tr>
      <w:tr w:rsidR="002641D2" w:rsidRPr="00FA3F9C" w14:paraId="69E11C46" w14:textId="77777777" w:rsidTr="00B108CC">
        <w:trPr>
          <w:trHeight w:val="728"/>
        </w:trPr>
        <w:tc>
          <w:tcPr>
            <w:tcW w:w="10998" w:type="dxa"/>
            <w:vAlign w:val="center"/>
          </w:tcPr>
          <w:p w14:paraId="07B946E3" w14:textId="77777777" w:rsidR="002641D2" w:rsidRPr="00FA3F9C" w:rsidRDefault="002641D2" w:rsidP="002641D2">
            <w:pPr>
              <w:numPr>
                <w:ilvl w:val="0"/>
                <w:numId w:val="152"/>
              </w:numPr>
              <w:spacing w:after="0" w:line="240" w:lineRule="auto"/>
              <w:rPr>
                <w:rFonts w:ascii="Arial" w:hAnsi="Arial" w:cs="Arial"/>
                <w:b/>
                <w:sz w:val="24"/>
                <w:szCs w:val="24"/>
              </w:rPr>
            </w:pPr>
            <w:r w:rsidRPr="00FA3F9C">
              <w:rPr>
                <w:rFonts w:ascii="Arial" w:hAnsi="Arial" w:cs="Arial"/>
                <w:b/>
                <w:sz w:val="24"/>
                <w:szCs w:val="24"/>
              </w:rPr>
              <w:t>The patient must have had transaminases (ALT and AST) drawn prior to beginning the drug and be monitored every 3 months during the 1</w:t>
            </w:r>
            <w:r w:rsidRPr="00FA3F9C">
              <w:rPr>
                <w:rFonts w:ascii="Arial" w:hAnsi="Arial" w:cs="Arial"/>
                <w:b/>
                <w:sz w:val="24"/>
                <w:szCs w:val="24"/>
                <w:vertAlign w:val="superscript"/>
              </w:rPr>
              <w:t>st</w:t>
            </w:r>
            <w:r w:rsidRPr="00FA3F9C">
              <w:rPr>
                <w:rFonts w:ascii="Arial" w:hAnsi="Arial" w:cs="Arial"/>
                <w:b/>
                <w:sz w:val="24"/>
                <w:szCs w:val="24"/>
              </w:rPr>
              <w:t xml:space="preserve"> year of treatment and then annually </w:t>
            </w:r>
            <w:r w:rsidRPr="00FA3F9C">
              <w:rPr>
                <w:rFonts w:ascii="Arial" w:hAnsi="Arial" w:cs="Arial"/>
                <w:b/>
                <w:sz w:val="24"/>
                <w:szCs w:val="24"/>
              </w:rPr>
              <w:lastRenderedPageBreak/>
              <w:t>thereafter.  [Ivacaftor should be interrupted if ALT or AST is greater than 5xs ULN and benefits/risks should be reconsidered.]</w:t>
            </w:r>
          </w:p>
        </w:tc>
      </w:tr>
      <w:tr w:rsidR="002641D2" w:rsidRPr="00FA3F9C" w14:paraId="22F1E834" w14:textId="77777777" w:rsidTr="00B108CC">
        <w:trPr>
          <w:trHeight w:val="350"/>
        </w:trPr>
        <w:tc>
          <w:tcPr>
            <w:tcW w:w="10998" w:type="dxa"/>
            <w:vAlign w:val="center"/>
          </w:tcPr>
          <w:p w14:paraId="7C0690E7" w14:textId="77777777" w:rsidR="002641D2" w:rsidRPr="00FA3F9C" w:rsidRDefault="002641D2" w:rsidP="002641D2">
            <w:pPr>
              <w:numPr>
                <w:ilvl w:val="0"/>
                <w:numId w:val="152"/>
              </w:numPr>
              <w:spacing w:after="0" w:line="240" w:lineRule="auto"/>
              <w:rPr>
                <w:rFonts w:ascii="Arial" w:hAnsi="Arial" w:cs="Arial"/>
                <w:b/>
                <w:sz w:val="24"/>
                <w:szCs w:val="24"/>
              </w:rPr>
            </w:pPr>
            <w:r w:rsidRPr="00FA3F9C">
              <w:rPr>
                <w:rFonts w:ascii="Arial" w:hAnsi="Arial" w:cs="Arial"/>
                <w:b/>
                <w:sz w:val="24"/>
                <w:szCs w:val="24"/>
              </w:rPr>
              <w:lastRenderedPageBreak/>
              <w:t>The patient must be a nonsmoker</w:t>
            </w:r>
          </w:p>
        </w:tc>
      </w:tr>
    </w:tbl>
    <w:p w14:paraId="3565D727" w14:textId="77777777" w:rsidR="002641D2" w:rsidRPr="00FA3F9C" w:rsidRDefault="002641D2" w:rsidP="00FA7E8B">
      <w:pPr>
        <w:rPr>
          <w:rFonts w:ascii="Arial" w:hAnsi="Arial" w:cs="Arial"/>
          <w:b/>
          <w:sz w:val="24"/>
          <w:szCs w:val="24"/>
        </w:rPr>
      </w:pPr>
      <w:r w:rsidRPr="00FA3F9C">
        <w:rPr>
          <w:rFonts w:ascii="Arial" w:hAnsi="Arial" w:cs="Arial"/>
          <w:b/>
          <w:sz w:val="24"/>
          <w:szCs w:val="24"/>
          <w:vertAlign w:val="superscript"/>
        </w:rPr>
        <w:t>*</w:t>
      </w:r>
      <w:r w:rsidRPr="00FA3F9C">
        <w:rPr>
          <w:rFonts w:ascii="Arial" w:hAnsi="Arial" w:cs="Arial"/>
          <w:b/>
          <w:sz w:val="24"/>
          <w:szCs w:val="24"/>
        </w:rPr>
        <w:t>Quantity limit of 4/1 days; normal dose is 400mg/250 mg BID (2tabs BID)</w:t>
      </w:r>
    </w:p>
    <w:p w14:paraId="1EFBB8DB" w14:textId="77777777" w:rsidR="002641D2" w:rsidRPr="00FA3F9C" w:rsidRDefault="002641D2" w:rsidP="00FA7E8B">
      <w:pPr>
        <w:rPr>
          <w:rFonts w:ascii="Arial" w:hAnsi="Arial" w:cs="Arial"/>
          <w:b/>
          <w:sz w:val="24"/>
          <w:szCs w:val="24"/>
        </w:rPr>
      </w:pPr>
      <w:r w:rsidRPr="00FA3F9C">
        <w:rPr>
          <w:rFonts w:ascii="Arial" w:hAnsi="Arial" w:cs="Arial"/>
          <w:b/>
          <w:sz w:val="24"/>
          <w:szCs w:val="24"/>
        </w:rPr>
        <w:t xml:space="preserve">Deny if taking Kalydeco or </w:t>
      </w:r>
      <w:proofErr w:type="spellStart"/>
      <w:r w:rsidRPr="00FA3F9C">
        <w:rPr>
          <w:rFonts w:ascii="Arial" w:hAnsi="Arial" w:cs="Arial"/>
          <w:b/>
          <w:sz w:val="24"/>
          <w:szCs w:val="24"/>
        </w:rPr>
        <w:t>Symdeko</w:t>
      </w:r>
      <w:proofErr w:type="spellEnd"/>
      <w:r w:rsidRPr="00FA3F9C">
        <w:rPr>
          <w:rFonts w:ascii="Arial" w:hAnsi="Arial" w:cs="Arial"/>
          <w:b/>
          <w:sz w:val="24"/>
          <w:szCs w:val="24"/>
        </w:rPr>
        <w:t>.  There can be no therapeutic duplication with the drugs.</w:t>
      </w:r>
    </w:p>
    <w:p w14:paraId="39EF5A30" w14:textId="77777777" w:rsidR="002641D2" w:rsidRPr="00FA3F9C" w:rsidRDefault="002641D2" w:rsidP="00C101D4">
      <w:pPr>
        <w:rPr>
          <w:rFonts w:ascii="Arial" w:hAnsi="Arial" w:cs="Arial"/>
          <w:sz w:val="24"/>
          <w:szCs w:val="24"/>
        </w:rPr>
      </w:pPr>
    </w:p>
    <w:p w14:paraId="2E63B8DB" w14:textId="77777777" w:rsidR="002641D2" w:rsidRPr="00FA3F9C" w:rsidRDefault="002641D2" w:rsidP="00EA6D94">
      <w:pPr>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98"/>
      </w:tblGrid>
      <w:tr w:rsidR="002641D2" w:rsidRPr="00FA3F9C" w14:paraId="15A02D13" w14:textId="77777777" w:rsidTr="000E4C33">
        <w:trPr>
          <w:trHeight w:val="728"/>
        </w:trPr>
        <w:tc>
          <w:tcPr>
            <w:tcW w:w="10998" w:type="dxa"/>
            <w:shd w:val="clear" w:color="auto" w:fill="000000"/>
            <w:vAlign w:val="center"/>
          </w:tcPr>
          <w:p w14:paraId="42B78618" w14:textId="77777777" w:rsidR="002641D2" w:rsidRPr="00FA3F9C" w:rsidRDefault="002641D2" w:rsidP="0050721C">
            <w:pPr>
              <w:rPr>
                <w:rFonts w:ascii="Arial" w:hAnsi="Arial" w:cs="Arial"/>
                <w:b/>
                <w:sz w:val="24"/>
                <w:szCs w:val="24"/>
              </w:rPr>
            </w:pPr>
            <w:r w:rsidRPr="00FA3F9C">
              <w:rPr>
                <w:rFonts w:ascii="Arial" w:hAnsi="Arial" w:cs="Arial"/>
                <w:b/>
                <w:sz w:val="24"/>
                <w:szCs w:val="24"/>
              </w:rPr>
              <w:t xml:space="preserve">Continuation criteria to be determined after 6 months of being on </w:t>
            </w:r>
            <w:proofErr w:type="spellStart"/>
            <w:r w:rsidRPr="00FA3F9C">
              <w:rPr>
                <w:rFonts w:ascii="Arial" w:hAnsi="Arial" w:cs="Arial"/>
                <w:b/>
                <w:sz w:val="24"/>
                <w:szCs w:val="24"/>
              </w:rPr>
              <w:t>Orkambi</w:t>
            </w:r>
            <w:proofErr w:type="spellEnd"/>
            <w:r w:rsidRPr="00FA3F9C">
              <w:rPr>
                <w:rFonts w:ascii="Arial" w:hAnsi="Arial" w:cs="Arial"/>
                <w:b/>
                <w:sz w:val="24"/>
                <w:szCs w:val="24"/>
              </w:rPr>
              <w:t>:</w:t>
            </w:r>
          </w:p>
        </w:tc>
      </w:tr>
      <w:tr w:rsidR="002641D2" w:rsidRPr="00FA3F9C" w14:paraId="0E37C3E5" w14:textId="77777777" w:rsidTr="00B108CC">
        <w:trPr>
          <w:trHeight w:val="728"/>
        </w:trPr>
        <w:tc>
          <w:tcPr>
            <w:tcW w:w="10998" w:type="dxa"/>
            <w:vAlign w:val="center"/>
          </w:tcPr>
          <w:p w14:paraId="3CEDEA06" w14:textId="77777777" w:rsidR="002641D2" w:rsidRPr="00FA3F9C" w:rsidRDefault="002641D2" w:rsidP="002641D2">
            <w:pPr>
              <w:numPr>
                <w:ilvl w:val="0"/>
                <w:numId w:val="153"/>
              </w:numPr>
              <w:spacing w:after="0" w:line="240" w:lineRule="auto"/>
              <w:rPr>
                <w:rFonts w:ascii="Arial" w:hAnsi="Arial" w:cs="Arial"/>
                <w:b/>
                <w:sz w:val="24"/>
                <w:szCs w:val="24"/>
              </w:rPr>
            </w:pPr>
            <w:r w:rsidRPr="00FA3F9C">
              <w:rPr>
                <w:rFonts w:ascii="Arial" w:hAnsi="Arial" w:cs="Arial"/>
                <w:b/>
                <w:sz w:val="24"/>
                <w:szCs w:val="24"/>
              </w:rPr>
              <w:t>The patient must be currently demonstrating compliance with the evidence-based standard of care for inhaled therapies for cystic fibrosis.</w:t>
            </w:r>
            <w:r w:rsidRPr="00FA3F9C">
              <w:rPr>
                <w:rFonts w:ascii="Arial" w:hAnsi="Arial" w:cs="Arial"/>
                <w:b/>
                <w:sz w:val="24"/>
                <w:szCs w:val="24"/>
                <w:vertAlign w:val="superscript"/>
              </w:rPr>
              <w:t>1</w:t>
            </w:r>
            <w:r w:rsidRPr="00FA3F9C">
              <w:rPr>
                <w:rFonts w:ascii="Arial" w:hAnsi="Arial" w:cs="Arial"/>
                <w:b/>
                <w:sz w:val="24"/>
                <w:szCs w:val="24"/>
              </w:rPr>
              <w:t xml:space="preserve">  (or the patient must have experienced intolerance to </w:t>
            </w:r>
            <w:proofErr w:type="spellStart"/>
            <w:r w:rsidRPr="00FA3F9C">
              <w:rPr>
                <w:rFonts w:ascii="Arial" w:hAnsi="Arial" w:cs="Arial"/>
                <w:b/>
                <w:sz w:val="24"/>
                <w:szCs w:val="24"/>
              </w:rPr>
              <w:t>dornase</w:t>
            </w:r>
            <w:proofErr w:type="spellEnd"/>
            <w:r w:rsidRPr="00FA3F9C">
              <w:rPr>
                <w:rFonts w:ascii="Arial" w:hAnsi="Arial" w:cs="Arial"/>
                <w:b/>
                <w:sz w:val="24"/>
                <w:szCs w:val="24"/>
              </w:rPr>
              <w:t xml:space="preserve"> alfa &amp;/OR bronchospasm or irritability with inhaled hypertonic saline and therefore cannot use it).</w:t>
            </w:r>
          </w:p>
        </w:tc>
      </w:tr>
      <w:tr w:rsidR="002641D2" w:rsidRPr="00FA3F9C" w14:paraId="4974EB11" w14:textId="77777777" w:rsidTr="00B108CC">
        <w:trPr>
          <w:trHeight w:val="728"/>
        </w:trPr>
        <w:tc>
          <w:tcPr>
            <w:tcW w:w="10998" w:type="dxa"/>
            <w:vAlign w:val="center"/>
          </w:tcPr>
          <w:p w14:paraId="0C62E842" w14:textId="77777777" w:rsidR="002641D2" w:rsidRPr="00FA3F9C" w:rsidRDefault="002641D2" w:rsidP="002641D2">
            <w:pPr>
              <w:numPr>
                <w:ilvl w:val="0"/>
                <w:numId w:val="153"/>
              </w:numPr>
              <w:spacing w:after="0" w:line="240" w:lineRule="auto"/>
              <w:rPr>
                <w:rFonts w:ascii="Arial" w:hAnsi="Arial" w:cs="Arial"/>
                <w:b/>
                <w:sz w:val="24"/>
                <w:szCs w:val="24"/>
              </w:rPr>
            </w:pPr>
            <w:r w:rsidRPr="00FA3F9C">
              <w:rPr>
                <w:rFonts w:ascii="Arial" w:hAnsi="Arial" w:cs="Arial"/>
                <w:b/>
                <w:sz w:val="24"/>
                <w:szCs w:val="24"/>
              </w:rPr>
              <w:t>The patient must have had transaminases (ALT and AST) drawn within the past 3 months and be less than 5 times the ULN. (</w:t>
            </w:r>
            <w:proofErr w:type="gramStart"/>
            <w:r w:rsidRPr="00FA3F9C">
              <w:rPr>
                <w:rFonts w:ascii="Arial" w:hAnsi="Arial" w:cs="Arial"/>
                <w:b/>
                <w:sz w:val="24"/>
                <w:szCs w:val="24"/>
              </w:rPr>
              <w:t>if</w:t>
            </w:r>
            <w:proofErr w:type="gramEnd"/>
            <w:r w:rsidRPr="00FA3F9C">
              <w:rPr>
                <w:rFonts w:ascii="Arial" w:hAnsi="Arial" w:cs="Arial"/>
                <w:b/>
                <w:sz w:val="24"/>
                <w:szCs w:val="24"/>
              </w:rPr>
              <w:t xml:space="preserve"> the patient has been taking </w:t>
            </w:r>
            <w:proofErr w:type="spellStart"/>
            <w:r w:rsidRPr="00FA3F9C">
              <w:rPr>
                <w:rFonts w:ascii="Arial" w:hAnsi="Arial" w:cs="Arial"/>
                <w:b/>
                <w:sz w:val="24"/>
                <w:szCs w:val="24"/>
              </w:rPr>
              <w:t>Orkambi</w:t>
            </w:r>
            <w:proofErr w:type="spellEnd"/>
            <w:r w:rsidRPr="00FA3F9C">
              <w:rPr>
                <w:rFonts w:ascii="Arial" w:hAnsi="Arial" w:cs="Arial"/>
                <w:b/>
                <w:sz w:val="24"/>
                <w:szCs w:val="24"/>
              </w:rPr>
              <w:t xml:space="preserve"> for 1 year, transaminases must be drawn only annually.)</w:t>
            </w:r>
          </w:p>
        </w:tc>
      </w:tr>
      <w:tr w:rsidR="002641D2" w:rsidRPr="00FA3F9C" w14:paraId="0BBEC002" w14:textId="77777777" w:rsidTr="00B108CC">
        <w:trPr>
          <w:trHeight w:val="449"/>
        </w:trPr>
        <w:tc>
          <w:tcPr>
            <w:tcW w:w="10998" w:type="dxa"/>
            <w:vAlign w:val="center"/>
          </w:tcPr>
          <w:p w14:paraId="256AC2C5" w14:textId="77777777" w:rsidR="002641D2" w:rsidRPr="00FA3F9C" w:rsidRDefault="002641D2" w:rsidP="002641D2">
            <w:pPr>
              <w:numPr>
                <w:ilvl w:val="0"/>
                <w:numId w:val="153"/>
              </w:numPr>
              <w:spacing w:after="0" w:line="240" w:lineRule="auto"/>
              <w:rPr>
                <w:rFonts w:ascii="Arial" w:hAnsi="Arial" w:cs="Arial"/>
                <w:b/>
                <w:sz w:val="24"/>
                <w:szCs w:val="24"/>
              </w:rPr>
            </w:pPr>
            <w:r w:rsidRPr="00FA3F9C">
              <w:rPr>
                <w:rFonts w:ascii="Arial" w:hAnsi="Arial" w:cs="Arial"/>
                <w:b/>
                <w:sz w:val="24"/>
                <w:szCs w:val="24"/>
              </w:rPr>
              <w:t>The patient must continue to be a nonsmoker.</w:t>
            </w:r>
          </w:p>
        </w:tc>
      </w:tr>
      <w:tr w:rsidR="002641D2" w:rsidRPr="00FA3F9C" w14:paraId="2A88CE99" w14:textId="77777777" w:rsidTr="00B108CC">
        <w:trPr>
          <w:trHeight w:val="728"/>
        </w:trPr>
        <w:tc>
          <w:tcPr>
            <w:tcW w:w="10998" w:type="dxa"/>
            <w:vAlign w:val="center"/>
          </w:tcPr>
          <w:p w14:paraId="2FD8C84C" w14:textId="77777777" w:rsidR="002641D2" w:rsidRPr="00FA3F9C" w:rsidRDefault="002641D2" w:rsidP="002641D2">
            <w:pPr>
              <w:numPr>
                <w:ilvl w:val="0"/>
                <w:numId w:val="153"/>
              </w:numPr>
              <w:spacing w:after="0" w:line="240" w:lineRule="auto"/>
              <w:rPr>
                <w:rFonts w:ascii="Arial" w:hAnsi="Arial" w:cs="Arial"/>
                <w:b/>
                <w:sz w:val="24"/>
                <w:szCs w:val="24"/>
              </w:rPr>
            </w:pPr>
            <w:r w:rsidRPr="00FA3F9C">
              <w:rPr>
                <w:rFonts w:ascii="Arial" w:hAnsi="Arial" w:cs="Arial"/>
                <w:b/>
                <w:sz w:val="24"/>
                <w:szCs w:val="24"/>
              </w:rPr>
              <w:t>For continuation, the patient must demonstrate a clinical benefit with lumacaftor-ivacaftor as shown by lung function (FEV1), weight gain, or reduction in CF exacerbations or CF hospitalizations</w:t>
            </w:r>
          </w:p>
        </w:tc>
      </w:tr>
      <w:tr w:rsidR="002641D2" w:rsidRPr="00FA3F9C" w14:paraId="5A9F7283" w14:textId="77777777" w:rsidTr="00B108CC">
        <w:trPr>
          <w:trHeight w:val="728"/>
        </w:trPr>
        <w:tc>
          <w:tcPr>
            <w:tcW w:w="10998" w:type="dxa"/>
            <w:vAlign w:val="center"/>
          </w:tcPr>
          <w:p w14:paraId="5D6A85E4" w14:textId="77777777" w:rsidR="002641D2" w:rsidRPr="00FA3F9C" w:rsidRDefault="002641D2" w:rsidP="002641D2">
            <w:pPr>
              <w:numPr>
                <w:ilvl w:val="0"/>
                <w:numId w:val="153"/>
              </w:numPr>
              <w:spacing w:after="0" w:line="240" w:lineRule="auto"/>
              <w:rPr>
                <w:rFonts w:ascii="Arial" w:hAnsi="Arial" w:cs="Arial"/>
                <w:b/>
                <w:sz w:val="24"/>
                <w:szCs w:val="24"/>
              </w:rPr>
            </w:pPr>
            <w:r w:rsidRPr="00FA3F9C">
              <w:rPr>
                <w:rFonts w:ascii="Arial" w:hAnsi="Arial" w:cs="Arial"/>
                <w:b/>
                <w:sz w:val="24"/>
                <w:szCs w:val="24"/>
              </w:rPr>
              <w:t>The member must demonstrate adherence (6 fills out of 6 fills) with therapy as determined by refill history or reported by physician.</w:t>
            </w:r>
          </w:p>
        </w:tc>
      </w:tr>
    </w:tbl>
    <w:p w14:paraId="31F90101" w14:textId="77777777" w:rsidR="002641D2" w:rsidRPr="00FA3F9C" w:rsidRDefault="002641D2" w:rsidP="00792DE6">
      <w:pPr>
        <w:rPr>
          <w:rFonts w:ascii="Arial" w:hAnsi="Arial" w:cs="Arial"/>
          <w:b/>
          <w:sz w:val="24"/>
          <w:szCs w:val="24"/>
        </w:rPr>
      </w:pPr>
      <w:r w:rsidRPr="00FA3F9C">
        <w:rPr>
          <w:rFonts w:ascii="Arial" w:hAnsi="Arial" w:cs="Arial"/>
          <w:b/>
          <w:sz w:val="24"/>
          <w:szCs w:val="24"/>
          <w:vertAlign w:val="superscript"/>
        </w:rPr>
        <w:t>*</w:t>
      </w:r>
      <w:r w:rsidRPr="00FA3F9C">
        <w:rPr>
          <w:rFonts w:ascii="Arial" w:hAnsi="Arial" w:cs="Arial"/>
          <w:b/>
          <w:sz w:val="24"/>
          <w:szCs w:val="24"/>
        </w:rPr>
        <w:t>Quantity limit of 4/1 days; normal dose is 400mg/250 mg BID (2tabs BID)</w:t>
      </w:r>
    </w:p>
    <w:p w14:paraId="38A84F0B" w14:textId="77777777" w:rsidR="002641D2" w:rsidRPr="00FA3F9C" w:rsidRDefault="002641D2" w:rsidP="009A79ED">
      <w:pPr>
        <w:rPr>
          <w:rFonts w:ascii="Arial" w:hAnsi="Arial" w:cs="Arial"/>
          <w:b/>
          <w:sz w:val="24"/>
          <w:szCs w:val="24"/>
        </w:rPr>
      </w:pPr>
      <w:r w:rsidRPr="00FA3F9C">
        <w:rPr>
          <w:rFonts w:ascii="Arial" w:hAnsi="Arial" w:cs="Arial"/>
          <w:sz w:val="24"/>
          <w:szCs w:val="24"/>
        </w:rPr>
        <w:t xml:space="preserve">If yes, </w:t>
      </w:r>
      <w:r w:rsidRPr="00FA3F9C">
        <w:rPr>
          <w:rFonts w:ascii="Arial" w:hAnsi="Arial" w:cs="Arial"/>
          <w:b/>
          <w:sz w:val="24"/>
          <w:szCs w:val="24"/>
        </w:rPr>
        <w:t>approve by GPID for 24 weeks for the requested formulation and strength with the following quantity limits:</w:t>
      </w:r>
    </w:p>
    <w:p w14:paraId="2BED1E02" w14:textId="77777777" w:rsidR="002641D2" w:rsidRPr="00FA3F9C" w:rsidRDefault="002641D2" w:rsidP="009A79ED">
      <w:pPr>
        <w:ind w:firstLine="720"/>
        <w:rPr>
          <w:rFonts w:ascii="Arial" w:hAnsi="Arial" w:cs="Arial"/>
          <w:b/>
          <w:sz w:val="24"/>
          <w:szCs w:val="24"/>
        </w:rPr>
      </w:pPr>
      <w:r w:rsidRPr="00FA3F9C">
        <w:rPr>
          <w:rFonts w:ascii="Arial" w:hAnsi="Arial" w:cs="Arial"/>
          <w:b/>
          <w:sz w:val="24"/>
          <w:szCs w:val="24"/>
        </w:rPr>
        <w:t xml:space="preserve">For patients </w:t>
      </w:r>
      <w:proofErr w:type="gramStart"/>
      <w:r w:rsidRPr="00FA3F9C">
        <w:rPr>
          <w:rFonts w:ascii="Arial" w:hAnsi="Arial" w:cs="Arial"/>
          <w:b/>
          <w:sz w:val="24"/>
          <w:szCs w:val="24"/>
        </w:rPr>
        <w:t>age</w:t>
      </w:r>
      <w:proofErr w:type="gramEnd"/>
      <w:r w:rsidRPr="00FA3F9C">
        <w:rPr>
          <w:rFonts w:ascii="Arial" w:hAnsi="Arial" w:cs="Arial"/>
          <w:b/>
          <w:sz w:val="24"/>
          <w:szCs w:val="24"/>
        </w:rPr>
        <w:t xml:space="preserve"> 2 to 5 years old:</w:t>
      </w:r>
    </w:p>
    <w:p w14:paraId="42A4F15E" w14:textId="77777777" w:rsidR="002641D2" w:rsidRPr="00FA3F9C" w:rsidRDefault="002641D2" w:rsidP="002641D2">
      <w:pPr>
        <w:numPr>
          <w:ilvl w:val="0"/>
          <w:numId w:val="316"/>
        </w:numPr>
        <w:spacing w:after="0" w:line="240" w:lineRule="auto"/>
        <w:ind w:left="360"/>
        <w:rPr>
          <w:rFonts w:ascii="Arial" w:hAnsi="Arial" w:cs="Arial"/>
          <w:b/>
          <w:sz w:val="24"/>
          <w:szCs w:val="24"/>
        </w:rPr>
      </w:pPr>
      <w:proofErr w:type="spellStart"/>
      <w:r w:rsidRPr="00FA3F9C">
        <w:rPr>
          <w:rFonts w:ascii="Arial" w:hAnsi="Arial" w:cs="Arial"/>
          <w:b/>
          <w:sz w:val="24"/>
          <w:szCs w:val="24"/>
        </w:rPr>
        <w:t>Orkambi</w:t>
      </w:r>
      <w:proofErr w:type="spellEnd"/>
      <w:r w:rsidRPr="00FA3F9C">
        <w:rPr>
          <w:rFonts w:ascii="Arial" w:hAnsi="Arial" w:cs="Arial"/>
          <w:b/>
          <w:sz w:val="24"/>
          <w:szCs w:val="24"/>
        </w:rPr>
        <w:t xml:space="preserve"> 100-125 mg granule packets (GPID 36937): #2 packets per day</w:t>
      </w:r>
    </w:p>
    <w:p w14:paraId="4CCC774B" w14:textId="77777777" w:rsidR="002641D2" w:rsidRPr="00FA3F9C" w:rsidRDefault="002641D2" w:rsidP="002641D2">
      <w:pPr>
        <w:numPr>
          <w:ilvl w:val="0"/>
          <w:numId w:val="316"/>
        </w:numPr>
        <w:spacing w:after="0" w:line="240" w:lineRule="auto"/>
        <w:ind w:left="360"/>
        <w:rPr>
          <w:rFonts w:ascii="Arial" w:hAnsi="Arial" w:cs="Arial"/>
          <w:b/>
          <w:sz w:val="24"/>
          <w:szCs w:val="24"/>
        </w:rPr>
      </w:pPr>
      <w:proofErr w:type="spellStart"/>
      <w:r w:rsidRPr="00FA3F9C">
        <w:rPr>
          <w:rFonts w:ascii="Arial" w:hAnsi="Arial" w:cs="Arial"/>
          <w:b/>
          <w:sz w:val="24"/>
          <w:szCs w:val="24"/>
        </w:rPr>
        <w:lastRenderedPageBreak/>
        <w:t>Orkambi</w:t>
      </w:r>
      <w:proofErr w:type="spellEnd"/>
      <w:r w:rsidRPr="00FA3F9C">
        <w:rPr>
          <w:rFonts w:ascii="Arial" w:hAnsi="Arial" w:cs="Arial"/>
          <w:b/>
          <w:sz w:val="24"/>
          <w:szCs w:val="24"/>
        </w:rPr>
        <w:t xml:space="preserve"> 150-188 mg granule packets (GPID 42848): #2 packets per day</w:t>
      </w:r>
    </w:p>
    <w:p w14:paraId="5B095169" w14:textId="77777777" w:rsidR="002641D2" w:rsidRPr="00FA3F9C" w:rsidRDefault="002641D2" w:rsidP="009A79ED">
      <w:pPr>
        <w:rPr>
          <w:rFonts w:ascii="Arial" w:hAnsi="Arial" w:cs="Arial"/>
          <w:b/>
          <w:sz w:val="24"/>
          <w:szCs w:val="24"/>
        </w:rPr>
      </w:pPr>
      <w:r w:rsidRPr="00FA3F9C">
        <w:rPr>
          <w:rFonts w:ascii="Arial" w:hAnsi="Arial" w:cs="Arial"/>
          <w:b/>
          <w:sz w:val="24"/>
          <w:szCs w:val="24"/>
        </w:rPr>
        <w:t xml:space="preserve">For patients </w:t>
      </w:r>
      <w:proofErr w:type="gramStart"/>
      <w:r w:rsidRPr="00FA3F9C">
        <w:rPr>
          <w:rFonts w:ascii="Arial" w:hAnsi="Arial" w:cs="Arial"/>
          <w:b/>
          <w:sz w:val="24"/>
          <w:szCs w:val="24"/>
        </w:rPr>
        <w:t>age</w:t>
      </w:r>
      <w:proofErr w:type="gramEnd"/>
      <w:r w:rsidRPr="00FA3F9C">
        <w:rPr>
          <w:rFonts w:ascii="Arial" w:hAnsi="Arial" w:cs="Arial"/>
          <w:b/>
          <w:sz w:val="24"/>
          <w:szCs w:val="24"/>
        </w:rPr>
        <w:t xml:space="preserve"> 6 years and older:</w:t>
      </w:r>
    </w:p>
    <w:p w14:paraId="0F8508D5" w14:textId="77777777" w:rsidR="002641D2" w:rsidRPr="00FA3F9C" w:rsidRDefault="002641D2" w:rsidP="002641D2">
      <w:pPr>
        <w:numPr>
          <w:ilvl w:val="0"/>
          <w:numId w:val="317"/>
        </w:numPr>
        <w:spacing w:after="0" w:line="240" w:lineRule="auto"/>
        <w:ind w:left="360"/>
        <w:rPr>
          <w:rFonts w:ascii="Arial" w:hAnsi="Arial" w:cs="Arial"/>
          <w:b/>
          <w:sz w:val="24"/>
          <w:szCs w:val="24"/>
        </w:rPr>
      </w:pPr>
      <w:proofErr w:type="spellStart"/>
      <w:r w:rsidRPr="00FA3F9C">
        <w:rPr>
          <w:rFonts w:ascii="Arial" w:hAnsi="Arial" w:cs="Arial"/>
          <w:b/>
          <w:sz w:val="24"/>
          <w:szCs w:val="24"/>
        </w:rPr>
        <w:t>Orkambi</w:t>
      </w:r>
      <w:proofErr w:type="spellEnd"/>
      <w:r w:rsidRPr="00FA3F9C">
        <w:rPr>
          <w:rFonts w:ascii="Arial" w:hAnsi="Arial" w:cs="Arial"/>
          <w:b/>
          <w:sz w:val="24"/>
          <w:szCs w:val="24"/>
        </w:rPr>
        <w:t xml:space="preserve"> 100-125 mg tablets (GPID 42366): #4 tablets per day</w:t>
      </w:r>
    </w:p>
    <w:p w14:paraId="7DB08521" w14:textId="77777777" w:rsidR="002641D2" w:rsidRPr="00FA3F9C" w:rsidRDefault="002641D2" w:rsidP="002641D2">
      <w:pPr>
        <w:numPr>
          <w:ilvl w:val="0"/>
          <w:numId w:val="317"/>
        </w:numPr>
        <w:spacing w:after="0" w:line="240" w:lineRule="auto"/>
        <w:ind w:left="360"/>
        <w:rPr>
          <w:rFonts w:ascii="Arial" w:hAnsi="Arial" w:cs="Arial"/>
          <w:b/>
          <w:sz w:val="24"/>
          <w:szCs w:val="24"/>
        </w:rPr>
      </w:pPr>
      <w:proofErr w:type="spellStart"/>
      <w:r w:rsidRPr="00FA3F9C">
        <w:rPr>
          <w:rFonts w:ascii="Arial" w:hAnsi="Arial" w:cs="Arial"/>
          <w:b/>
          <w:sz w:val="24"/>
          <w:szCs w:val="24"/>
        </w:rPr>
        <w:t>Orkambi</w:t>
      </w:r>
      <w:proofErr w:type="spellEnd"/>
      <w:r w:rsidRPr="00FA3F9C">
        <w:rPr>
          <w:rFonts w:ascii="Arial" w:hAnsi="Arial" w:cs="Arial"/>
          <w:b/>
          <w:sz w:val="24"/>
          <w:szCs w:val="24"/>
        </w:rPr>
        <w:t xml:space="preserve"> 200-125 mg tablets (GPID 39008): #4 tablets per day</w:t>
      </w:r>
    </w:p>
    <w:p w14:paraId="77F03434" w14:textId="77777777" w:rsidR="002641D2" w:rsidRPr="00FA3F9C" w:rsidRDefault="002641D2" w:rsidP="00792DE6">
      <w:pPr>
        <w:rPr>
          <w:rFonts w:ascii="Arial" w:hAnsi="Arial" w:cs="Arial"/>
          <w:b/>
          <w:sz w:val="24"/>
          <w:szCs w:val="24"/>
        </w:rPr>
      </w:pPr>
    </w:p>
    <w:p w14:paraId="550F9A69" w14:textId="77777777" w:rsidR="002641D2" w:rsidRPr="00FA3F9C" w:rsidRDefault="002641D2" w:rsidP="004B79B7">
      <w:pPr>
        <w:rPr>
          <w:rFonts w:ascii="Arial" w:hAnsi="Arial" w:cs="Arial"/>
          <w:sz w:val="24"/>
          <w:szCs w:val="24"/>
        </w:rPr>
      </w:pPr>
    </w:p>
    <w:p w14:paraId="52A3A129" w14:textId="77777777" w:rsidR="002641D2" w:rsidRPr="00FA3F9C" w:rsidRDefault="002641D2" w:rsidP="00B136B1">
      <w:pPr>
        <w:rPr>
          <w:rFonts w:ascii="Arial" w:hAnsi="Arial" w:cs="Arial"/>
          <w:sz w:val="24"/>
          <w:szCs w:val="24"/>
        </w:rPr>
      </w:pPr>
      <w:r w:rsidRPr="00FA3F9C">
        <w:rPr>
          <w:rFonts w:ascii="Arial" w:hAnsi="Arial" w:cs="Arial"/>
          <w:sz w:val="24"/>
          <w:szCs w:val="24"/>
        </w:rPr>
        <w:t>References:</w:t>
      </w:r>
    </w:p>
    <w:p w14:paraId="6A6A74C3" w14:textId="77777777" w:rsidR="002641D2" w:rsidRPr="00FA3F9C" w:rsidRDefault="002641D2" w:rsidP="002641D2">
      <w:pPr>
        <w:numPr>
          <w:ilvl w:val="0"/>
          <w:numId w:val="285"/>
        </w:numPr>
        <w:spacing w:after="0" w:line="240" w:lineRule="auto"/>
        <w:rPr>
          <w:rFonts w:ascii="Arial" w:hAnsi="Arial" w:cs="Arial"/>
          <w:b/>
          <w:sz w:val="24"/>
          <w:szCs w:val="24"/>
        </w:rPr>
      </w:pPr>
      <w:proofErr w:type="spellStart"/>
      <w:r w:rsidRPr="00FA3F9C">
        <w:rPr>
          <w:rFonts w:ascii="Arial" w:hAnsi="Arial" w:cs="Arial"/>
          <w:b/>
          <w:sz w:val="24"/>
          <w:szCs w:val="24"/>
          <w:lang w:val="fr-FR"/>
        </w:rPr>
        <w:t>Mogayzel</w:t>
      </w:r>
      <w:proofErr w:type="spellEnd"/>
      <w:r w:rsidRPr="00FA3F9C">
        <w:rPr>
          <w:rFonts w:ascii="Arial" w:hAnsi="Arial" w:cs="Arial"/>
          <w:b/>
          <w:sz w:val="24"/>
          <w:szCs w:val="24"/>
          <w:lang w:val="fr-FR"/>
        </w:rPr>
        <w:t xml:space="preserve"> PJ, </w:t>
      </w:r>
      <w:proofErr w:type="spellStart"/>
      <w:r w:rsidRPr="00FA3F9C">
        <w:rPr>
          <w:rFonts w:ascii="Arial" w:hAnsi="Arial" w:cs="Arial"/>
          <w:b/>
          <w:sz w:val="24"/>
          <w:szCs w:val="24"/>
          <w:lang w:val="fr-FR"/>
        </w:rPr>
        <w:t>Naureckas</w:t>
      </w:r>
      <w:proofErr w:type="spellEnd"/>
      <w:r w:rsidRPr="00FA3F9C">
        <w:rPr>
          <w:rFonts w:ascii="Arial" w:hAnsi="Arial" w:cs="Arial"/>
          <w:b/>
          <w:sz w:val="24"/>
          <w:szCs w:val="24"/>
          <w:lang w:val="fr-FR"/>
        </w:rPr>
        <w:t xml:space="preserve"> ET, Robinson KA, Mueller G, et al.  </w:t>
      </w:r>
      <w:r w:rsidRPr="00FA3F9C">
        <w:rPr>
          <w:rFonts w:ascii="Arial" w:hAnsi="Arial" w:cs="Arial"/>
          <w:b/>
          <w:sz w:val="24"/>
          <w:szCs w:val="24"/>
        </w:rPr>
        <w:t xml:space="preserve">cystic Fibrosis Pulmonary Guidelines:  Chronic medications for </w:t>
      </w:r>
      <w:proofErr w:type="spellStart"/>
      <w:r w:rsidRPr="00FA3F9C">
        <w:rPr>
          <w:rFonts w:ascii="Arial" w:hAnsi="Arial" w:cs="Arial"/>
          <w:b/>
          <w:sz w:val="24"/>
          <w:szCs w:val="24"/>
        </w:rPr>
        <w:t>maintence</w:t>
      </w:r>
      <w:proofErr w:type="spellEnd"/>
      <w:r w:rsidRPr="00FA3F9C">
        <w:rPr>
          <w:rFonts w:ascii="Arial" w:hAnsi="Arial" w:cs="Arial"/>
          <w:b/>
          <w:sz w:val="24"/>
          <w:szCs w:val="24"/>
        </w:rPr>
        <w:t xml:space="preserve"> of lung health.  Am J Respir Crit Care Med. 2013;187(7):680-689.</w:t>
      </w:r>
    </w:p>
    <w:p w14:paraId="110E5900" w14:textId="77777777" w:rsidR="002641D2" w:rsidRPr="00FA3F9C" w:rsidRDefault="002641D2" w:rsidP="002641D2">
      <w:pPr>
        <w:numPr>
          <w:ilvl w:val="0"/>
          <w:numId w:val="285"/>
        </w:numPr>
        <w:spacing w:after="0" w:line="240" w:lineRule="auto"/>
        <w:rPr>
          <w:rFonts w:ascii="Arial" w:hAnsi="Arial" w:cs="Arial"/>
          <w:b/>
          <w:sz w:val="24"/>
          <w:szCs w:val="24"/>
        </w:rPr>
      </w:pPr>
      <w:r w:rsidRPr="00FA3F9C">
        <w:rPr>
          <w:rFonts w:ascii="Arial" w:hAnsi="Arial" w:cs="Arial"/>
          <w:sz w:val="24"/>
          <w:szCs w:val="24"/>
        </w:rPr>
        <w:t xml:space="preserve">Ramsey, B et al.  A CFTR Potentiator in Patients with Cystic Fibrosis and the </w:t>
      </w:r>
      <w:r w:rsidRPr="00FA3F9C">
        <w:rPr>
          <w:rFonts w:ascii="Arial" w:hAnsi="Arial" w:cs="Arial"/>
          <w:i/>
          <w:sz w:val="24"/>
          <w:szCs w:val="24"/>
        </w:rPr>
        <w:t>G551D</w:t>
      </w:r>
      <w:r w:rsidRPr="00FA3F9C">
        <w:rPr>
          <w:rFonts w:ascii="Arial" w:hAnsi="Arial" w:cs="Arial"/>
          <w:sz w:val="24"/>
          <w:szCs w:val="24"/>
        </w:rPr>
        <w:t xml:space="preserve"> Mutation. N </w:t>
      </w:r>
      <w:proofErr w:type="spellStart"/>
      <w:r w:rsidRPr="00FA3F9C">
        <w:rPr>
          <w:rFonts w:ascii="Arial" w:hAnsi="Arial" w:cs="Arial"/>
          <w:sz w:val="24"/>
          <w:szCs w:val="24"/>
        </w:rPr>
        <w:t>Engl</w:t>
      </w:r>
      <w:proofErr w:type="spellEnd"/>
      <w:r w:rsidRPr="00FA3F9C">
        <w:rPr>
          <w:rFonts w:ascii="Arial" w:hAnsi="Arial" w:cs="Arial"/>
          <w:sz w:val="24"/>
          <w:szCs w:val="24"/>
        </w:rPr>
        <w:t xml:space="preserve"> J Med 2011; 365: 1663-72</w:t>
      </w:r>
    </w:p>
    <w:p w14:paraId="6E7907A6" w14:textId="77777777" w:rsidR="002641D2" w:rsidRPr="00FA3F9C" w:rsidRDefault="002641D2" w:rsidP="002641D2">
      <w:pPr>
        <w:numPr>
          <w:ilvl w:val="0"/>
          <w:numId w:val="285"/>
        </w:numPr>
        <w:spacing w:beforeLines="1" w:before="2" w:afterLines="1" w:after="2" w:line="240" w:lineRule="auto"/>
        <w:contextualSpacing/>
        <w:rPr>
          <w:rFonts w:ascii="Arial" w:hAnsi="Arial" w:cs="Arial"/>
          <w:sz w:val="24"/>
          <w:szCs w:val="24"/>
        </w:rPr>
      </w:pPr>
      <w:proofErr w:type="spellStart"/>
      <w:r w:rsidRPr="00FA3F9C">
        <w:rPr>
          <w:rFonts w:ascii="Arial" w:hAnsi="Arial" w:cs="Arial"/>
          <w:sz w:val="24"/>
          <w:szCs w:val="24"/>
        </w:rPr>
        <w:t>Orkambi</w:t>
      </w:r>
      <w:proofErr w:type="spellEnd"/>
      <w:r w:rsidRPr="00FA3F9C">
        <w:rPr>
          <w:rFonts w:ascii="Arial" w:hAnsi="Arial" w:cs="Arial"/>
          <w:sz w:val="24"/>
          <w:szCs w:val="24"/>
        </w:rPr>
        <w:t xml:space="preserve"> (lumacaftor/ivacaftor) [prescribing information]. Boston, MA: Vertex Pharmaceuticals Incorporated; July 2015. </w:t>
      </w:r>
    </w:p>
    <w:p w14:paraId="3427636A" w14:textId="77777777" w:rsidR="002641D2" w:rsidRPr="00FA3F9C" w:rsidRDefault="002641D2" w:rsidP="002641D2">
      <w:pPr>
        <w:numPr>
          <w:ilvl w:val="0"/>
          <w:numId w:val="285"/>
        </w:numPr>
        <w:spacing w:beforeLines="1" w:before="2" w:afterLines="1" w:after="2" w:line="240" w:lineRule="auto"/>
        <w:rPr>
          <w:rFonts w:ascii="Arial" w:hAnsi="Arial" w:cs="Arial"/>
          <w:sz w:val="24"/>
          <w:szCs w:val="24"/>
        </w:rPr>
      </w:pPr>
      <w:r w:rsidRPr="00FA3F9C">
        <w:rPr>
          <w:rFonts w:ascii="Arial" w:hAnsi="Arial" w:cs="Arial"/>
          <w:sz w:val="24"/>
          <w:szCs w:val="24"/>
        </w:rPr>
        <w:t xml:space="preserve">Wainwright CE, </w:t>
      </w:r>
      <w:proofErr w:type="spellStart"/>
      <w:r w:rsidRPr="00FA3F9C">
        <w:rPr>
          <w:rFonts w:ascii="Arial" w:hAnsi="Arial" w:cs="Arial"/>
          <w:sz w:val="24"/>
          <w:szCs w:val="24"/>
        </w:rPr>
        <w:t>Elborn</w:t>
      </w:r>
      <w:proofErr w:type="spellEnd"/>
      <w:r w:rsidRPr="00FA3F9C">
        <w:rPr>
          <w:rFonts w:ascii="Arial" w:hAnsi="Arial" w:cs="Arial"/>
          <w:sz w:val="24"/>
          <w:szCs w:val="24"/>
        </w:rPr>
        <w:t xml:space="preserve"> JS, Ramsey BW, et al. Lumacaftor-Ivacaftor in Patients with Cystic Fibrosis Homozygous for Phe508del CFTR. N </w:t>
      </w:r>
      <w:proofErr w:type="spellStart"/>
      <w:r w:rsidRPr="00FA3F9C">
        <w:rPr>
          <w:rFonts w:ascii="Arial" w:hAnsi="Arial" w:cs="Arial"/>
          <w:sz w:val="24"/>
          <w:szCs w:val="24"/>
        </w:rPr>
        <w:t>Engl</w:t>
      </w:r>
      <w:proofErr w:type="spellEnd"/>
      <w:r w:rsidRPr="00FA3F9C">
        <w:rPr>
          <w:rFonts w:ascii="Arial" w:hAnsi="Arial" w:cs="Arial"/>
          <w:sz w:val="24"/>
          <w:szCs w:val="24"/>
        </w:rPr>
        <w:t xml:space="preserve"> J Med 2015; 373:220.</w:t>
      </w:r>
    </w:p>
    <w:p w14:paraId="661DB9F0" w14:textId="77777777" w:rsidR="002641D2" w:rsidRPr="00FA3F9C" w:rsidRDefault="002641D2" w:rsidP="002641D2">
      <w:pPr>
        <w:numPr>
          <w:ilvl w:val="0"/>
          <w:numId w:val="285"/>
        </w:numPr>
        <w:spacing w:beforeLines="1" w:before="2" w:afterLines="1" w:after="2" w:line="240" w:lineRule="auto"/>
        <w:rPr>
          <w:rFonts w:ascii="Arial" w:hAnsi="Arial" w:cs="Arial"/>
          <w:sz w:val="24"/>
          <w:szCs w:val="24"/>
        </w:rPr>
      </w:pPr>
      <w:r w:rsidRPr="00FA3F9C">
        <w:rPr>
          <w:rFonts w:ascii="Arial" w:hAnsi="Arial" w:cs="Arial"/>
          <w:sz w:val="24"/>
          <w:szCs w:val="24"/>
        </w:rPr>
        <w:t xml:space="preserve">Lexicomp. </w:t>
      </w:r>
      <w:proofErr w:type="spellStart"/>
      <w:r w:rsidRPr="00FA3F9C">
        <w:rPr>
          <w:rFonts w:ascii="Arial" w:hAnsi="Arial" w:cs="Arial"/>
          <w:sz w:val="24"/>
          <w:szCs w:val="24"/>
        </w:rPr>
        <w:t>Orkambi</w:t>
      </w:r>
      <w:proofErr w:type="spellEnd"/>
      <w:r w:rsidRPr="00FA3F9C">
        <w:rPr>
          <w:rFonts w:ascii="Arial" w:hAnsi="Arial" w:cs="Arial"/>
          <w:sz w:val="24"/>
          <w:szCs w:val="24"/>
        </w:rPr>
        <w:t>.  Accessed 12/10/18.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1"/>
        <w:gridCol w:w="8696"/>
        <w:gridCol w:w="1417"/>
      </w:tblGrid>
      <w:tr w:rsidR="002641D2" w:rsidRPr="00FA3F9C" w14:paraId="28A691D5" w14:textId="77777777" w:rsidTr="00B108CC">
        <w:tc>
          <w:tcPr>
            <w:tcW w:w="1132" w:type="dxa"/>
          </w:tcPr>
          <w:p w14:paraId="1D7323A0" w14:textId="77777777" w:rsidR="002641D2" w:rsidRPr="00FA3F9C" w:rsidRDefault="002641D2" w:rsidP="00E4013F">
            <w:pPr>
              <w:rPr>
                <w:rFonts w:ascii="Arial" w:hAnsi="Arial" w:cs="Arial"/>
                <w:sz w:val="24"/>
                <w:szCs w:val="24"/>
              </w:rPr>
            </w:pPr>
            <w:r w:rsidRPr="00FA3F9C">
              <w:rPr>
                <w:rFonts w:ascii="Arial" w:hAnsi="Arial" w:cs="Arial"/>
                <w:sz w:val="24"/>
                <w:szCs w:val="24"/>
              </w:rPr>
              <w:t>Date</w:t>
            </w:r>
          </w:p>
        </w:tc>
        <w:tc>
          <w:tcPr>
            <w:tcW w:w="8696" w:type="dxa"/>
          </w:tcPr>
          <w:p w14:paraId="652A7921" w14:textId="77777777" w:rsidR="002641D2" w:rsidRPr="00FA3F9C" w:rsidRDefault="002641D2" w:rsidP="00E4013F">
            <w:pPr>
              <w:rPr>
                <w:rFonts w:ascii="Arial" w:hAnsi="Arial" w:cs="Arial"/>
                <w:sz w:val="24"/>
                <w:szCs w:val="24"/>
              </w:rPr>
            </w:pPr>
            <w:r w:rsidRPr="00FA3F9C">
              <w:rPr>
                <w:rFonts w:ascii="Arial" w:hAnsi="Arial" w:cs="Arial"/>
                <w:sz w:val="24"/>
                <w:szCs w:val="24"/>
              </w:rPr>
              <w:t>What changed?</w:t>
            </w:r>
          </w:p>
        </w:tc>
        <w:tc>
          <w:tcPr>
            <w:tcW w:w="1188" w:type="dxa"/>
          </w:tcPr>
          <w:p w14:paraId="2975D62F" w14:textId="77777777" w:rsidR="002641D2" w:rsidRPr="00FA3F9C" w:rsidRDefault="002641D2" w:rsidP="00E4013F">
            <w:pPr>
              <w:rPr>
                <w:rFonts w:ascii="Arial" w:hAnsi="Arial" w:cs="Arial"/>
                <w:sz w:val="24"/>
                <w:szCs w:val="24"/>
              </w:rPr>
            </w:pPr>
            <w:r w:rsidRPr="00FA3F9C">
              <w:rPr>
                <w:rFonts w:ascii="Arial" w:hAnsi="Arial" w:cs="Arial"/>
                <w:sz w:val="24"/>
                <w:szCs w:val="24"/>
              </w:rPr>
              <w:t>Pharmacist</w:t>
            </w:r>
          </w:p>
        </w:tc>
      </w:tr>
      <w:tr w:rsidR="002641D2" w:rsidRPr="00FA3F9C" w14:paraId="36EBA59B" w14:textId="77777777" w:rsidTr="00B108CC">
        <w:tc>
          <w:tcPr>
            <w:tcW w:w="1132" w:type="dxa"/>
          </w:tcPr>
          <w:p w14:paraId="19355A2B" w14:textId="77777777" w:rsidR="002641D2" w:rsidRPr="00FA3F9C" w:rsidRDefault="002641D2" w:rsidP="00B136B1">
            <w:pPr>
              <w:rPr>
                <w:rFonts w:ascii="Arial" w:hAnsi="Arial" w:cs="Arial"/>
                <w:sz w:val="24"/>
                <w:szCs w:val="24"/>
              </w:rPr>
            </w:pPr>
            <w:r w:rsidRPr="00FA3F9C">
              <w:rPr>
                <w:rFonts w:ascii="Arial" w:hAnsi="Arial" w:cs="Arial"/>
                <w:sz w:val="24"/>
                <w:szCs w:val="24"/>
              </w:rPr>
              <w:t>8/28/15</w:t>
            </w:r>
          </w:p>
        </w:tc>
        <w:tc>
          <w:tcPr>
            <w:tcW w:w="8696" w:type="dxa"/>
          </w:tcPr>
          <w:p w14:paraId="2ED0E988" w14:textId="77777777" w:rsidR="002641D2" w:rsidRPr="00FA3F9C" w:rsidRDefault="002641D2" w:rsidP="00E4013F">
            <w:pPr>
              <w:rPr>
                <w:rFonts w:ascii="Arial" w:hAnsi="Arial" w:cs="Arial"/>
                <w:sz w:val="24"/>
                <w:szCs w:val="24"/>
              </w:rPr>
            </w:pPr>
            <w:r w:rsidRPr="00FA3F9C">
              <w:rPr>
                <w:rFonts w:ascii="Arial" w:hAnsi="Arial" w:cs="Arial"/>
                <w:sz w:val="24"/>
                <w:szCs w:val="24"/>
              </w:rPr>
              <w:t>Criteria created</w:t>
            </w:r>
          </w:p>
        </w:tc>
        <w:tc>
          <w:tcPr>
            <w:tcW w:w="1188" w:type="dxa"/>
          </w:tcPr>
          <w:p w14:paraId="1F9BCBF1" w14:textId="77777777" w:rsidR="002641D2" w:rsidRPr="00FA3F9C" w:rsidRDefault="002641D2" w:rsidP="00E4013F">
            <w:pPr>
              <w:rPr>
                <w:rFonts w:ascii="Arial" w:hAnsi="Arial" w:cs="Arial"/>
                <w:sz w:val="24"/>
                <w:szCs w:val="24"/>
              </w:rPr>
            </w:pPr>
            <w:r w:rsidRPr="00FA3F9C">
              <w:rPr>
                <w:rFonts w:ascii="Arial" w:hAnsi="Arial" w:cs="Arial"/>
                <w:sz w:val="24"/>
                <w:szCs w:val="24"/>
              </w:rPr>
              <w:t>JJ</w:t>
            </w:r>
          </w:p>
        </w:tc>
      </w:tr>
      <w:tr w:rsidR="002641D2" w:rsidRPr="00FA3F9C" w14:paraId="5EE9FFAF" w14:textId="77777777" w:rsidTr="00B108CC">
        <w:tc>
          <w:tcPr>
            <w:tcW w:w="1132" w:type="dxa"/>
          </w:tcPr>
          <w:p w14:paraId="093D08F9" w14:textId="77777777" w:rsidR="002641D2" w:rsidRPr="00FA3F9C" w:rsidRDefault="002641D2" w:rsidP="00B136B1">
            <w:pPr>
              <w:rPr>
                <w:rFonts w:ascii="Arial" w:hAnsi="Arial" w:cs="Arial"/>
                <w:sz w:val="24"/>
                <w:szCs w:val="24"/>
              </w:rPr>
            </w:pPr>
            <w:r w:rsidRPr="00FA3F9C">
              <w:rPr>
                <w:rFonts w:ascii="Arial" w:hAnsi="Arial" w:cs="Arial"/>
                <w:sz w:val="24"/>
                <w:szCs w:val="24"/>
              </w:rPr>
              <w:t>10/14/15</w:t>
            </w:r>
          </w:p>
        </w:tc>
        <w:tc>
          <w:tcPr>
            <w:tcW w:w="8696" w:type="dxa"/>
          </w:tcPr>
          <w:p w14:paraId="058DEDE3" w14:textId="77777777" w:rsidR="002641D2" w:rsidRPr="00FA3F9C" w:rsidRDefault="002641D2" w:rsidP="00E4013F">
            <w:pPr>
              <w:rPr>
                <w:rFonts w:ascii="Arial" w:hAnsi="Arial" w:cs="Arial"/>
                <w:sz w:val="24"/>
                <w:szCs w:val="24"/>
              </w:rPr>
            </w:pPr>
            <w:r w:rsidRPr="00FA3F9C">
              <w:rPr>
                <w:rFonts w:ascii="Arial" w:hAnsi="Arial" w:cs="Arial"/>
                <w:sz w:val="24"/>
                <w:szCs w:val="24"/>
              </w:rPr>
              <w:t>I changed the initial approval to 6months because the trial lasted only 24 w.  The extrapolated 48w rate of pulmonary exacerbations reflects assumption.</w:t>
            </w:r>
          </w:p>
        </w:tc>
        <w:tc>
          <w:tcPr>
            <w:tcW w:w="1188" w:type="dxa"/>
          </w:tcPr>
          <w:p w14:paraId="30EBBE23" w14:textId="77777777" w:rsidR="002641D2" w:rsidRPr="00FA3F9C" w:rsidRDefault="002641D2" w:rsidP="00E4013F">
            <w:pPr>
              <w:rPr>
                <w:rFonts w:ascii="Arial" w:hAnsi="Arial" w:cs="Arial"/>
                <w:sz w:val="24"/>
                <w:szCs w:val="24"/>
              </w:rPr>
            </w:pPr>
            <w:r w:rsidRPr="00FA3F9C">
              <w:rPr>
                <w:rFonts w:ascii="Arial" w:hAnsi="Arial" w:cs="Arial"/>
                <w:sz w:val="24"/>
                <w:szCs w:val="24"/>
              </w:rPr>
              <w:t>JJ</w:t>
            </w:r>
          </w:p>
        </w:tc>
      </w:tr>
      <w:tr w:rsidR="002641D2" w:rsidRPr="00FA3F9C" w14:paraId="0DA7C69B" w14:textId="77777777" w:rsidTr="00B108CC">
        <w:tc>
          <w:tcPr>
            <w:tcW w:w="1132" w:type="dxa"/>
          </w:tcPr>
          <w:p w14:paraId="5202B48A" w14:textId="77777777" w:rsidR="002641D2" w:rsidRPr="00FA3F9C" w:rsidRDefault="002641D2" w:rsidP="00B136B1">
            <w:pPr>
              <w:rPr>
                <w:rFonts w:ascii="Arial" w:hAnsi="Arial" w:cs="Arial"/>
                <w:sz w:val="24"/>
                <w:szCs w:val="24"/>
              </w:rPr>
            </w:pPr>
            <w:r w:rsidRPr="00FA3F9C">
              <w:rPr>
                <w:rFonts w:ascii="Arial" w:hAnsi="Arial" w:cs="Arial"/>
                <w:sz w:val="24"/>
                <w:szCs w:val="24"/>
              </w:rPr>
              <w:t>10/14/15</w:t>
            </w:r>
          </w:p>
        </w:tc>
        <w:tc>
          <w:tcPr>
            <w:tcW w:w="8696" w:type="dxa"/>
          </w:tcPr>
          <w:p w14:paraId="4CD4F56A" w14:textId="77777777" w:rsidR="002641D2" w:rsidRPr="00FA3F9C" w:rsidRDefault="002641D2" w:rsidP="00E4013F">
            <w:pPr>
              <w:rPr>
                <w:rFonts w:ascii="Arial" w:hAnsi="Arial" w:cs="Arial"/>
                <w:sz w:val="24"/>
                <w:szCs w:val="24"/>
              </w:rPr>
            </w:pPr>
            <w:r w:rsidRPr="00FA3F9C">
              <w:rPr>
                <w:rFonts w:ascii="Arial" w:hAnsi="Arial" w:cs="Arial"/>
                <w:sz w:val="24"/>
                <w:szCs w:val="24"/>
              </w:rPr>
              <w:t>I improved the question for #2 continuation criteria to better reflect that we are trying to ascertain normal LFTs in the correct time frame. Also, I defined compliance in #6continuation criteria.  I also changed to key for continuation criteria so if they answer yes to 1,2,4,&amp; 5 and answer no to 3, they would be given access for 1 year.</w:t>
            </w:r>
          </w:p>
        </w:tc>
        <w:tc>
          <w:tcPr>
            <w:tcW w:w="1188" w:type="dxa"/>
          </w:tcPr>
          <w:p w14:paraId="20D7B0D6" w14:textId="77777777" w:rsidR="002641D2" w:rsidRPr="00FA3F9C" w:rsidRDefault="002641D2" w:rsidP="00E4013F">
            <w:pPr>
              <w:rPr>
                <w:rFonts w:ascii="Arial" w:hAnsi="Arial" w:cs="Arial"/>
                <w:sz w:val="24"/>
                <w:szCs w:val="24"/>
              </w:rPr>
            </w:pPr>
            <w:r w:rsidRPr="00FA3F9C">
              <w:rPr>
                <w:rFonts w:ascii="Arial" w:hAnsi="Arial" w:cs="Arial"/>
                <w:sz w:val="24"/>
                <w:szCs w:val="24"/>
              </w:rPr>
              <w:t>JJ</w:t>
            </w:r>
          </w:p>
        </w:tc>
      </w:tr>
      <w:tr w:rsidR="002641D2" w:rsidRPr="00FA3F9C" w14:paraId="44EED6E5" w14:textId="77777777" w:rsidTr="00B108CC">
        <w:tc>
          <w:tcPr>
            <w:tcW w:w="1132" w:type="dxa"/>
          </w:tcPr>
          <w:p w14:paraId="787AD902" w14:textId="77777777" w:rsidR="002641D2" w:rsidRPr="00FA3F9C" w:rsidRDefault="002641D2" w:rsidP="00B136B1">
            <w:pPr>
              <w:rPr>
                <w:rFonts w:ascii="Arial" w:hAnsi="Arial" w:cs="Arial"/>
                <w:sz w:val="24"/>
                <w:szCs w:val="24"/>
              </w:rPr>
            </w:pPr>
            <w:r w:rsidRPr="00FA3F9C">
              <w:rPr>
                <w:rFonts w:ascii="Arial" w:hAnsi="Arial" w:cs="Arial"/>
                <w:sz w:val="24"/>
                <w:szCs w:val="24"/>
              </w:rPr>
              <w:t>12/10/18</w:t>
            </w:r>
          </w:p>
        </w:tc>
        <w:tc>
          <w:tcPr>
            <w:tcW w:w="8696" w:type="dxa"/>
          </w:tcPr>
          <w:p w14:paraId="1BE4247B" w14:textId="77777777" w:rsidR="002641D2" w:rsidRPr="00FA3F9C" w:rsidRDefault="002641D2" w:rsidP="00E4013F">
            <w:pPr>
              <w:rPr>
                <w:rFonts w:ascii="Arial" w:hAnsi="Arial" w:cs="Arial"/>
                <w:sz w:val="24"/>
                <w:szCs w:val="24"/>
              </w:rPr>
            </w:pPr>
            <w:r w:rsidRPr="00FA3F9C">
              <w:rPr>
                <w:rFonts w:ascii="Arial" w:hAnsi="Arial" w:cs="Arial"/>
                <w:sz w:val="24"/>
                <w:szCs w:val="24"/>
              </w:rPr>
              <w:t xml:space="preserve">I updated the PA to include coverage down to age 2; </w:t>
            </w:r>
            <w:proofErr w:type="gramStart"/>
            <w:r w:rsidRPr="00FA3F9C">
              <w:rPr>
                <w:rFonts w:ascii="Arial" w:hAnsi="Arial" w:cs="Arial"/>
                <w:sz w:val="24"/>
                <w:szCs w:val="24"/>
              </w:rPr>
              <w:t>also</w:t>
            </w:r>
            <w:proofErr w:type="gramEnd"/>
            <w:r w:rsidRPr="00FA3F9C">
              <w:rPr>
                <w:rFonts w:ascii="Arial" w:hAnsi="Arial" w:cs="Arial"/>
                <w:sz w:val="24"/>
                <w:szCs w:val="24"/>
              </w:rPr>
              <w:t xml:space="preserve"> I included the packets.</w:t>
            </w:r>
          </w:p>
        </w:tc>
        <w:tc>
          <w:tcPr>
            <w:tcW w:w="1188" w:type="dxa"/>
          </w:tcPr>
          <w:p w14:paraId="1A5834D0" w14:textId="77777777" w:rsidR="002641D2" w:rsidRPr="00FA3F9C" w:rsidRDefault="002641D2" w:rsidP="00E4013F">
            <w:pPr>
              <w:rPr>
                <w:rFonts w:ascii="Arial" w:hAnsi="Arial" w:cs="Arial"/>
                <w:sz w:val="24"/>
                <w:szCs w:val="24"/>
              </w:rPr>
            </w:pPr>
            <w:r w:rsidRPr="00FA3F9C">
              <w:rPr>
                <w:rFonts w:ascii="Arial" w:hAnsi="Arial" w:cs="Arial"/>
                <w:sz w:val="24"/>
                <w:szCs w:val="24"/>
              </w:rPr>
              <w:t>JJ</w:t>
            </w:r>
          </w:p>
        </w:tc>
      </w:tr>
      <w:tr w:rsidR="002641D2" w:rsidRPr="00FA3F9C" w14:paraId="2A7980A6" w14:textId="77777777" w:rsidTr="00B108CC">
        <w:tc>
          <w:tcPr>
            <w:tcW w:w="1132" w:type="dxa"/>
          </w:tcPr>
          <w:p w14:paraId="19B6E609" w14:textId="77777777" w:rsidR="002641D2" w:rsidRPr="00FA3F9C" w:rsidRDefault="002641D2" w:rsidP="00B136B1">
            <w:pPr>
              <w:rPr>
                <w:rFonts w:ascii="Arial" w:hAnsi="Arial" w:cs="Arial"/>
                <w:sz w:val="24"/>
                <w:szCs w:val="24"/>
              </w:rPr>
            </w:pPr>
            <w:r w:rsidRPr="00FA3F9C">
              <w:rPr>
                <w:rFonts w:ascii="Arial" w:hAnsi="Arial" w:cs="Arial"/>
                <w:sz w:val="24"/>
                <w:szCs w:val="24"/>
              </w:rPr>
              <w:lastRenderedPageBreak/>
              <w:t>12/16/19</w:t>
            </w:r>
          </w:p>
        </w:tc>
        <w:tc>
          <w:tcPr>
            <w:tcW w:w="8696" w:type="dxa"/>
          </w:tcPr>
          <w:p w14:paraId="18A3AEC1" w14:textId="77777777" w:rsidR="002641D2" w:rsidRPr="00FA3F9C" w:rsidRDefault="002641D2" w:rsidP="00E4013F">
            <w:pPr>
              <w:rPr>
                <w:rFonts w:ascii="Arial" w:hAnsi="Arial" w:cs="Arial"/>
                <w:sz w:val="24"/>
                <w:szCs w:val="24"/>
              </w:rPr>
            </w:pPr>
            <w:r w:rsidRPr="00FA3F9C">
              <w:rPr>
                <w:rFonts w:ascii="Arial" w:hAnsi="Arial" w:cs="Arial"/>
                <w:sz w:val="24"/>
                <w:szCs w:val="24"/>
              </w:rPr>
              <w:t xml:space="preserve">I updated the criteria to cover only ages 2-12 with F508 del homozygotes.  The recommendations state that for pts &gt;12, they should receive </w:t>
            </w:r>
            <w:proofErr w:type="spellStart"/>
            <w:r w:rsidRPr="00FA3F9C">
              <w:rPr>
                <w:rFonts w:ascii="Arial" w:hAnsi="Arial" w:cs="Arial"/>
                <w:sz w:val="24"/>
                <w:szCs w:val="24"/>
              </w:rPr>
              <w:t>Trikafta</w:t>
            </w:r>
            <w:proofErr w:type="spellEnd"/>
            <w:r w:rsidRPr="00FA3F9C">
              <w:rPr>
                <w:rFonts w:ascii="Arial" w:hAnsi="Arial" w:cs="Arial"/>
                <w:sz w:val="24"/>
                <w:szCs w:val="24"/>
              </w:rPr>
              <w:t xml:space="preserve">.  Younger than age 12 should receive </w:t>
            </w:r>
            <w:proofErr w:type="spellStart"/>
            <w:r w:rsidRPr="00FA3F9C">
              <w:rPr>
                <w:rFonts w:ascii="Arial" w:hAnsi="Arial" w:cs="Arial"/>
                <w:sz w:val="24"/>
                <w:szCs w:val="24"/>
              </w:rPr>
              <w:t>Orkambi</w:t>
            </w:r>
            <w:proofErr w:type="spellEnd"/>
            <w:r w:rsidRPr="00FA3F9C">
              <w:rPr>
                <w:rFonts w:ascii="Arial" w:hAnsi="Arial" w:cs="Arial"/>
                <w:sz w:val="24"/>
                <w:szCs w:val="24"/>
              </w:rPr>
              <w:t xml:space="preserve"> or </w:t>
            </w:r>
            <w:proofErr w:type="spellStart"/>
            <w:r w:rsidRPr="00FA3F9C">
              <w:rPr>
                <w:rFonts w:ascii="Arial" w:hAnsi="Arial" w:cs="Arial"/>
                <w:sz w:val="24"/>
                <w:szCs w:val="24"/>
              </w:rPr>
              <w:t>Symdeko</w:t>
            </w:r>
            <w:proofErr w:type="spellEnd"/>
            <w:r w:rsidRPr="00FA3F9C">
              <w:rPr>
                <w:rFonts w:ascii="Arial" w:hAnsi="Arial" w:cs="Arial"/>
                <w:sz w:val="24"/>
                <w:szCs w:val="24"/>
              </w:rPr>
              <w:t>.</w:t>
            </w:r>
          </w:p>
        </w:tc>
        <w:tc>
          <w:tcPr>
            <w:tcW w:w="1188" w:type="dxa"/>
          </w:tcPr>
          <w:p w14:paraId="5A73E087" w14:textId="77777777" w:rsidR="002641D2" w:rsidRPr="00FA3F9C" w:rsidRDefault="002641D2" w:rsidP="00AD4C80">
            <w:pPr>
              <w:tabs>
                <w:tab w:val="left" w:pos="590"/>
              </w:tabs>
              <w:rPr>
                <w:rFonts w:ascii="Arial" w:hAnsi="Arial" w:cs="Arial"/>
                <w:sz w:val="24"/>
                <w:szCs w:val="24"/>
              </w:rPr>
            </w:pPr>
            <w:r w:rsidRPr="00FA3F9C">
              <w:rPr>
                <w:rFonts w:ascii="Arial" w:hAnsi="Arial" w:cs="Arial"/>
                <w:sz w:val="24"/>
                <w:szCs w:val="24"/>
              </w:rPr>
              <w:t>JJ</w:t>
            </w:r>
            <w:r w:rsidRPr="00FA3F9C">
              <w:rPr>
                <w:rFonts w:ascii="Arial" w:hAnsi="Arial" w:cs="Arial"/>
                <w:sz w:val="24"/>
                <w:szCs w:val="24"/>
              </w:rPr>
              <w:tab/>
            </w:r>
          </w:p>
        </w:tc>
      </w:tr>
      <w:tr w:rsidR="002641D2" w:rsidRPr="00FA3F9C" w14:paraId="7967BE23" w14:textId="77777777" w:rsidTr="00B108CC">
        <w:tc>
          <w:tcPr>
            <w:tcW w:w="1132" w:type="dxa"/>
          </w:tcPr>
          <w:p w14:paraId="12491F79" w14:textId="77777777" w:rsidR="002641D2" w:rsidRPr="00FA3F9C" w:rsidRDefault="002641D2" w:rsidP="00B136B1">
            <w:pPr>
              <w:rPr>
                <w:rFonts w:ascii="Arial" w:hAnsi="Arial" w:cs="Arial"/>
                <w:sz w:val="24"/>
                <w:szCs w:val="24"/>
              </w:rPr>
            </w:pPr>
            <w:r w:rsidRPr="00FA3F9C">
              <w:rPr>
                <w:rFonts w:ascii="Arial" w:hAnsi="Arial" w:cs="Arial"/>
                <w:sz w:val="24"/>
                <w:szCs w:val="24"/>
              </w:rPr>
              <w:t>4/7/21</w:t>
            </w:r>
          </w:p>
        </w:tc>
        <w:tc>
          <w:tcPr>
            <w:tcW w:w="8696" w:type="dxa"/>
          </w:tcPr>
          <w:p w14:paraId="1A491D28" w14:textId="77777777" w:rsidR="002641D2" w:rsidRPr="00FA3F9C" w:rsidRDefault="002641D2" w:rsidP="00E4013F">
            <w:pPr>
              <w:rPr>
                <w:rFonts w:ascii="Arial" w:hAnsi="Arial" w:cs="Arial"/>
                <w:sz w:val="24"/>
                <w:szCs w:val="24"/>
              </w:rPr>
            </w:pPr>
            <w:r w:rsidRPr="00FA3F9C">
              <w:rPr>
                <w:rFonts w:ascii="Arial" w:hAnsi="Arial" w:cs="Arial"/>
                <w:sz w:val="24"/>
                <w:szCs w:val="24"/>
              </w:rPr>
              <w:t>I reviewed the criteria.  No changes.  Applied EBRx criteria to UAS.</w:t>
            </w:r>
          </w:p>
        </w:tc>
        <w:tc>
          <w:tcPr>
            <w:tcW w:w="1188" w:type="dxa"/>
          </w:tcPr>
          <w:p w14:paraId="01F043DA" w14:textId="77777777" w:rsidR="002641D2" w:rsidRPr="00FA3F9C" w:rsidRDefault="002641D2" w:rsidP="00AD4C80">
            <w:pPr>
              <w:tabs>
                <w:tab w:val="left" w:pos="590"/>
              </w:tabs>
              <w:rPr>
                <w:rFonts w:ascii="Arial" w:hAnsi="Arial" w:cs="Arial"/>
                <w:sz w:val="24"/>
                <w:szCs w:val="24"/>
              </w:rPr>
            </w:pPr>
            <w:r w:rsidRPr="00FA3F9C">
              <w:rPr>
                <w:rFonts w:ascii="Arial" w:hAnsi="Arial" w:cs="Arial"/>
                <w:sz w:val="24"/>
                <w:szCs w:val="24"/>
              </w:rPr>
              <w:t>JJ</w:t>
            </w:r>
          </w:p>
        </w:tc>
      </w:tr>
    </w:tbl>
    <w:p w14:paraId="1BF62A8C" w14:textId="77777777" w:rsidR="002641D2" w:rsidRPr="00FA3F9C" w:rsidRDefault="002641D2" w:rsidP="00792DE6">
      <w:pPr>
        <w:rPr>
          <w:rFonts w:ascii="Arial" w:hAnsi="Arial" w:cs="Arial"/>
          <w:sz w:val="24"/>
          <w:szCs w:val="24"/>
        </w:rPr>
      </w:pPr>
    </w:p>
    <w:p w14:paraId="4DCB0191" w14:textId="77777777" w:rsidR="002641D2" w:rsidRPr="00FA3F9C" w:rsidRDefault="002641D2">
      <w:pPr>
        <w:rPr>
          <w:rFonts w:ascii="Arial" w:hAnsi="Arial" w:cs="Arial"/>
          <w:sz w:val="24"/>
          <w:szCs w:val="24"/>
        </w:rPr>
      </w:pPr>
    </w:p>
    <w:p w14:paraId="59A7C040" w14:textId="77777777" w:rsidR="002A1632" w:rsidRDefault="002641D2" w:rsidP="002A1632">
      <w:pPr>
        <w:pStyle w:val="Heading2"/>
        <w:rPr>
          <w:lang w:val="es-ES"/>
        </w:rPr>
      </w:pPr>
      <w:bookmarkStart w:id="172" w:name="_Toc106369851"/>
      <w:r w:rsidRPr="00FA3F9C">
        <w:rPr>
          <w:lang w:val="es-ES"/>
        </w:rPr>
        <w:t>Lurasidone (</w:t>
      </w:r>
      <w:proofErr w:type="spellStart"/>
      <w:r w:rsidRPr="00FA3F9C">
        <w:rPr>
          <w:lang w:val="es-ES"/>
        </w:rPr>
        <w:t>Latuda</w:t>
      </w:r>
      <w:proofErr w:type="spellEnd"/>
      <w:r w:rsidRPr="00FA3F9C">
        <w:rPr>
          <w:lang w:val="es-ES"/>
        </w:rPr>
        <w:t>)</w:t>
      </w:r>
      <w:bookmarkEnd w:id="172"/>
      <w:r w:rsidRPr="00FA3F9C">
        <w:rPr>
          <w:lang w:val="es-ES"/>
        </w:rPr>
        <w:t xml:space="preserve"> </w:t>
      </w:r>
    </w:p>
    <w:p w14:paraId="57D38821" w14:textId="3012BB4A" w:rsidR="002641D2" w:rsidRPr="00FA3F9C" w:rsidRDefault="002641D2" w:rsidP="006F623F">
      <w:pPr>
        <w:spacing w:after="0"/>
        <w:jc w:val="center"/>
        <w:rPr>
          <w:rFonts w:ascii="Arial" w:hAnsi="Arial" w:cs="Arial"/>
          <w:sz w:val="24"/>
          <w:szCs w:val="24"/>
          <w:lang w:val="es-ES"/>
        </w:rPr>
      </w:pPr>
      <w:proofErr w:type="spellStart"/>
      <w:r w:rsidRPr="00FA3F9C">
        <w:rPr>
          <w:rFonts w:ascii="Arial" w:hAnsi="Arial" w:cs="Arial"/>
          <w:sz w:val="24"/>
          <w:szCs w:val="24"/>
          <w:lang w:val="es-ES"/>
        </w:rPr>
        <w:t>tablets</w:t>
      </w:r>
      <w:proofErr w:type="spellEnd"/>
    </w:p>
    <w:p w14:paraId="691A4F66" w14:textId="77777777" w:rsidR="002641D2" w:rsidRPr="00FA3F9C" w:rsidRDefault="002641D2" w:rsidP="006F623F">
      <w:pPr>
        <w:spacing w:after="0"/>
        <w:jc w:val="center"/>
        <w:rPr>
          <w:rFonts w:ascii="Arial" w:hAnsi="Arial" w:cs="Arial"/>
          <w:sz w:val="24"/>
          <w:szCs w:val="24"/>
          <w:lang w:val="es-ES"/>
        </w:rPr>
      </w:pPr>
      <w:r w:rsidRPr="00FA3F9C">
        <w:rPr>
          <w:rFonts w:ascii="Arial" w:hAnsi="Arial" w:cs="Arial"/>
          <w:sz w:val="24"/>
          <w:szCs w:val="24"/>
          <w:lang w:val="es-ES"/>
        </w:rPr>
        <w:t xml:space="preserve">EBRx PA </w:t>
      </w:r>
      <w:proofErr w:type="spellStart"/>
      <w:r w:rsidRPr="00FA3F9C">
        <w:rPr>
          <w:rFonts w:ascii="Arial" w:hAnsi="Arial" w:cs="Arial"/>
          <w:sz w:val="24"/>
          <w:szCs w:val="24"/>
          <w:lang w:val="es-ES"/>
        </w:rPr>
        <w:t>Criteria</w:t>
      </w:r>
      <w:proofErr w:type="spellEnd"/>
    </w:p>
    <w:p w14:paraId="3164EE19" w14:textId="77777777" w:rsidR="002641D2" w:rsidRPr="00FA3F9C" w:rsidRDefault="002641D2" w:rsidP="006F623F">
      <w:pPr>
        <w:spacing w:after="0"/>
        <w:rPr>
          <w:rFonts w:ascii="Arial" w:hAnsi="Arial" w:cs="Arial"/>
          <w:b/>
          <w:sz w:val="24"/>
          <w:szCs w:val="24"/>
          <w:u w:val="single"/>
          <w:lang w:val="es-ES"/>
        </w:rPr>
      </w:pPr>
    </w:p>
    <w:p w14:paraId="080EFA18" w14:textId="77777777" w:rsidR="002641D2" w:rsidRPr="00FA3F9C" w:rsidRDefault="002641D2"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w:t>
      </w:r>
    </w:p>
    <w:p w14:paraId="419D295C" w14:textId="77777777" w:rsidR="002641D2" w:rsidRPr="00FA3F9C" w:rsidRDefault="002641D2" w:rsidP="002641D2">
      <w:pPr>
        <w:pStyle w:val="ListParagraph"/>
        <w:numPr>
          <w:ilvl w:val="0"/>
          <w:numId w:val="318"/>
        </w:numPr>
        <w:spacing w:after="0" w:line="276" w:lineRule="auto"/>
        <w:rPr>
          <w:rFonts w:ascii="Arial" w:hAnsi="Arial" w:cs="Arial"/>
          <w:sz w:val="24"/>
          <w:szCs w:val="24"/>
        </w:rPr>
      </w:pPr>
      <w:r w:rsidRPr="00FA3F9C">
        <w:rPr>
          <w:rFonts w:ascii="Arial" w:hAnsi="Arial" w:cs="Arial"/>
          <w:sz w:val="24"/>
          <w:szCs w:val="24"/>
        </w:rPr>
        <w:t>Bipolar depression (monotherapy or adjunct to lithium or divalproex)</w:t>
      </w:r>
    </w:p>
    <w:p w14:paraId="45488291" w14:textId="77777777" w:rsidR="002641D2" w:rsidRPr="00FA3F9C" w:rsidRDefault="002641D2" w:rsidP="002641D2">
      <w:pPr>
        <w:pStyle w:val="ListParagraph"/>
        <w:numPr>
          <w:ilvl w:val="0"/>
          <w:numId w:val="318"/>
        </w:numPr>
        <w:spacing w:after="0" w:line="276" w:lineRule="auto"/>
        <w:rPr>
          <w:rFonts w:ascii="Arial" w:hAnsi="Arial" w:cs="Arial"/>
          <w:sz w:val="24"/>
          <w:szCs w:val="24"/>
        </w:rPr>
      </w:pPr>
      <w:r w:rsidRPr="00FA3F9C">
        <w:rPr>
          <w:rFonts w:ascii="Arial" w:hAnsi="Arial" w:cs="Arial"/>
          <w:sz w:val="24"/>
          <w:szCs w:val="24"/>
        </w:rPr>
        <w:t>Schizophrenia</w:t>
      </w:r>
    </w:p>
    <w:tbl>
      <w:tblPr>
        <w:tblStyle w:val="TableGrid"/>
        <w:tblW w:w="0" w:type="auto"/>
        <w:tblLook w:val="04A0" w:firstRow="1" w:lastRow="0" w:firstColumn="1" w:lastColumn="0" w:noHBand="0" w:noVBand="1"/>
      </w:tblPr>
      <w:tblGrid>
        <w:gridCol w:w="8928"/>
        <w:gridCol w:w="2088"/>
      </w:tblGrid>
      <w:tr w:rsidR="002641D2" w:rsidRPr="00FA3F9C" w14:paraId="539D6D7F" w14:textId="77777777" w:rsidTr="00571CAB">
        <w:tc>
          <w:tcPr>
            <w:tcW w:w="8928" w:type="dxa"/>
            <w:shd w:val="clear" w:color="auto" w:fill="000000"/>
          </w:tcPr>
          <w:p w14:paraId="09C5CDD8" w14:textId="77777777" w:rsidR="002641D2" w:rsidRPr="00FA3F9C" w:rsidRDefault="002641D2" w:rsidP="00571CAB">
            <w:pPr>
              <w:rPr>
                <w:rFonts w:ascii="Arial" w:hAnsi="Arial" w:cs="Arial"/>
                <w:b/>
                <w:sz w:val="24"/>
                <w:szCs w:val="24"/>
                <w:u w:val="single"/>
              </w:rPr>
            </w:pPr>
            <w:r w:rsidRPr="00FA3F9C">
              <w:rPr>
                <w:rFonts w:ascii="Arial" w:hAnsi="Arial" w:cs="Arial"/>
                <w:b/>
                <w:sz w:val="24"/>
                <w:szCs w:val="24"/>
                <w:u w:val="single"/>
              </w:rPr>
              <w:t>Criteria for new users with Bipolar Depression</w:t>
            </w:r>
          </w:p>
        </w:tc>
        <w:tc>
          <w:tcPr>
            <w:tcW w:w="2088" w:type="dxa"/>
            <w:shd w:val="clear" w:color="auto" w:fill="000000"/>
          </w:tcPr>
          <w:p w14:paraId="047690CB" w14:textId="77777777" w:rsidR="002641D2" w:rsidRPr="00FA3F9C" w:rsidRDefault="002641D2" w:rsidP="006F623F">
            <w:pPr>
              <w:jc w:val="center"/>
              <w:rPr>
                <w:rFonts w:ascii="Arial" w:hAnsi="Arial" w:cs="Arial"/>
                <w:b/>
                <w:sz w:val="24"/>
                <w:szCs w:val="24"/>
                <w:u w:val="single"/>
              </w:rPr>
            </w:pPr>
          </w:p>
        </w:tc>
      </w:tr>
      <w:tr w:rsidR="002641D2" w:rsidRPr="00FA3F9C" w14:paraId="67C17224" w14:textId="77777777" w:rsidTr="00F337AE">
        <w:tc>
          <w:tcPr>
            <w:tcW w:w="11016" w:type="dxa"/>
            <w:gridSpan w:val="2"/>
          </w:tcPr>
          <w:p w14:paraId="597E925A" w14:textId="77777777" w:rsidR="002641D2" w:rsidRPr="00FA3F9C" w:rsidRDefault="002641D2" w:rsidP="002641D2">
            <w:pPr>
              <w:pStyle w:val="ListParagraph"/>
              <w:numPr>
                <w:ilvl w:val="0"/>
                <w:numId w:val="319"/>
              </w:numPr>
              <w:rPr>
                <w:rFonts w:ascii="Arial" w:hAnsi="Arial" w:cs="Arial"/>
                <w:sz w:val="24"/>
                <w:szCs w:val="24"/>
              </w:rPr>
            </w:pPr>
            <w:r w:rsidRPr="00FA3F9C">
              <w:rPr>
                <w:rFonts w:ascii="Arial" w:hAnsi="Arial" w:cs="Arial"/>
                <w:sz w:val="24"/>
                <w:szCs w:val="24"/>
              </w:rPr>
              <w:t>The patient must have the diagnosis of bipolar depression.</w:t>
            </w:r>
          </w:p>
        </w:tc>
      </w:tr>
      <w:tr w:rsidR="002641D2" w:rsidRPr="00FA3F9C" w14:paraId="7EC8B1BE" w14:textId="77777777" w:rsidTr="00073A88">
        <w:tc>
          <w:tcPr>
            <w:tcW w:w="11016" w:type="dxa"/>
            <w:gridSpan w:val="2"/>
            <w:tcBorders>
              <w:bottom w:val="single" w:sz="4" w:space="0" w:color="auto"/>
            </w:tcBorders>
          </w:tcPr>
          <w:p w14:paraId="0344BB0E" w14:textId="77777777" w:rsidR="002641D2" w:rsidRPr="00FA3F9C" w:rsidRDefault="002641D2" w:rsidP="006F623F">
            <w:pPr>
              <w:rPr>
                <w:rFonts w:ascii="Arial" w:hAnsi="Arial" w:cs="Arial"/>
                <w:sz w:val="24"/>
                <w:szCs w:val="24"/>
              </w:rPr>
            </w:pPr>
            <w:r w:rsidRPr="00FA3F9C">
              <w:rPr>
                <w:rFonts w:ascii="Arial" w:hAnsi="Arial" w:cs="Arial"/>
                <w:sz w:val="24"/>
                <w:szCs w:val="24"/>
              </w:rPr>
              <w:t>OR</w:t>
            </w:r>
          </w:p>
        </w:tc>
      </w:tr>
      <w:tr w:rsidR="002641D2" w:rsidRPr="00FA3F9C" w14:paraId="66510843" w14:textId="77777777" w:rsidTr="00073A88">
        <w:tc>
          <w:tcPr>
            <w:tcW w:w="11016" w:type="dxa"/>
            <w:gridSpan w:val="2"/>
            <w:shd w:val="clear" w:color="auto" w:fill="000000" w:themeFill="text1"/>
          </w:tcPr>
          <w:p w14:paraId="7457C5ED" w14:textId="77777777" w:rsidR="002641D2" w:rsidRPr="00FA3F9C" w:rsidRDefault="002641D2" w:rsidP="006F623F">
            <w:pPr>
              <w:rPr>
                <w:rFonts w:ascii="Arial" w:hAnsi="Arial" w:cs="Arial"/>
                <w:sz w:val="24"/>
                <w:szCs w:val="24"/>
              </w:rPr>
            </w:pPr>
            <w:r w:rsidRPr="00FA3F9C">
              <w:rPr>
                <w:rFonts w:ascii="Arial" w:hAnsi="Arial" w:cs="Arial"/>
                <w:sz w:val="24"/>
                <w:szCs w:val="24"/>
              </w:rPr>
              <w:t>Criteria for new users with Schizophrenia</w:t>
            </w:r>
          </w:p>
        </w:tc>
      </w:tr>
      <w:tr w:rsidR="002641D2" w:rsidRPr="00FA3F9C" w14:paraId="79D20639" w14:textId="77777777" w:rsidTr="00DA57E0">
        <w:tc>
          <w:tcPr>
            <w:tcW w:w="11016" w:type="dxa"/>
            <w:gridSpan w:val="2"/>
          </w:tcPr>
          <w:p w14:paraId="4DB6D339" w14:textId="77777777" w:rsidR="002641D2" w:rsidRPr="00FA3F9C" w:rsidRDefault="002641D2" w:rsidP="002641D2">
            <w:pPr>
              <w:pStyle w:val="ListParagraph"/>
              <w:numPr>
                <w:ilvl w:val="0"/>
                <w:numId w:val="320"/>
              </w:numPr>
              <w:rPr>
                <w:rFonts w:ascii="Arial" w:hAnsi="Arial" w:cs="Arial"/>
                <w:sz w:val="24"/>
                <w:szCs w:val="24"/>
              </w:rPr>
            </w:pPr>
            <w:r w:rsidRPr="00FA3F9C">
              <w:rPr>
                <w:rFonts w:ascii="Arial" w:hAnsi="Arial" w:cs="Arial"/>
                <w:sz w:val="24"/>
                <w:szCs w:val="24"/>
              </w:rPr>
              <w:t>The patient must have the diagnosis of schizophrenia.</w:t>
            </w:r>
          </w:p>
        </w:tc>
      </w:tr>
      <w:tr w:rsidR="002641D2" w:rsidRPr="00FA3F9C" w14:paraId="52329BA2" w14:textId="77777777" w:rsidTr="00DA57E0">
        <w:tc>
          <w:tcPr>
            <w:tcW w:w="11016" w:type="dxa"/>
            <w:gridSpan w:val="2"/>
          </w:tcPr>
          <w:p w14:paraId="0945B4B8" w14:textId="77777777" w:rsidR="002641D2" w:rsidRPr="00FA3F9C" w:rsidRDefault="002641D2" w:rsidP="002641D2">
            <w:pPr>
              <w:pStyle w:val="ListParagraph"/>
              <w:numPr>
                <w:ilvl w:val="0"/>
                <w:numId w:val="320"/>
              </w:numPr>
              <w:rPr>
                <w:rFonts w:ascii="Arial" w:hAnsi="Arial" w:cs="Arial"/>
                <w:sz w:val="24"/>
                <w:szCs w:val="24"/>
              </w:rPr>
            </w:pPr>
            <w:r w:rsidRPr="00FA3F9C">
              <w:rPr>
                <w:rFonts w:ascii="Arial" w:hAnsi="Arial" w:cs="Arial"/>
                <w:sz w:val="24"/>
                <w:szCs w:val="24"/>
              </w:rPr>
              <w:t>The patient must have a QTc interval of &lt;490ms as shown by EKG.</w:t>
            </w:r>
          </w:p>
        </w:tc>
      </w:tr>
      <w:tr w:rsidR="002641D2" w:rsidRPr="00FA3F9C" w14:paraId="069FBEB1" w14:textId="77777777" w:rsidTr="00DA57E0">
        <w:tc>
          <w:tcPr>
            <w:tcW w:w="11016" w:type="dxa"/>
            <w:gridSpan w:val="2"/>
          </w:tcPr>
          <w:p w14:paraId="7A8976CE" w14:textId="77777777" w:rsidR="002641D2" w:rsidRPr="00FA3F9C" w:rsidRDefault="002641D2" w:rsidP="002641D2">
            <w:pPr>
              <w:pStyle w:val="ListParagraph"/>
              <w:numPr>
                <w:ilvl w:val="0"/>
                <w:numId w:val="320"/>
              </w:numPr>
              <w:rPr>
                <w:rFonts w:ascii="Arial" w:hAnsi="Arial" w:cs="Arial"/>
                <w:sz w:val="24"/>
                <w:szCs w:val="24"/>
              </w:rPr>
            </w:pPr>
            <w:r w:rsidRPr="00FA3F9C">
              <w:rPr>
                <w:rFonts w:ascii="Arial" w:hAnsi="Arial" w:cs="Arial"/>
                <w:sz w:val="24"/>
                <w:szCs w:val="24"/>
              </w:rPr>
              <w:t>The patient must not be taking any QT prolonging drug other than the antipsychotic drug; if concurrent use, the prescriber must provide an EKG showing prolonged QTc while only taking the generic antipsychotic drug.</w:t>
            </w:r>
          </w:p>
        </w:tc>
      </w:tr>
    </w:tbl>
    <w:p w14:paraId="39633789" w14:textId="77777777" w:rsidR="002641D2" w:rsidRPr="00FA3F9C" w:rsidRDefault="002641D2" w:rsidP="006F623F">
      <w:pPr>
        <w:spacing w:after="0"/>
        <w:rPr>
          <w:rFonts w:ascii="Arial" w:hAnsi="Arial" w:cs="Arial"/>
          <w:b/>
          <w:sz w:val="24"/>
          <w:szCs w:val="24"/>
          <w:u w:val="single"/>
        </w:rPr>
      </w:pPr>
    </w:p>
    <w:p w14:paraId="2E565531" w14:textId="77777777" w:rsidR="002641D2" w:rsidRPr="00FA3F9C" w:rsidRDefault="002641D2" w:rsidP="006F623F">
      <w:pPr>
        <w:spacing w:after="0"/>
        <w:rPr>
          <w:rFonts w:ascii="Arial" w:hAnsi="Arial" w:cs="Arial"/>
          <w:b/>
          <w:sz w:val="24"/>
          <w:szCs w:val="24"/>
          <w:u w:val="single"/>
        </w:rPr>
      </w:pPr>
    </w:p>
    <w:tbl>
      <w:tblPr>
        <w:tblStyle w:val="TableGrid"/>
        <w:tblW w:w="0" w:type="auto"/>
        <w:shd w:val="clear" w:color="auto" w:fill="BFBFBF" w:themeFill="background1" w:themeFillShade="BF"/>
        <w:tblLook w:val="04A0" w:firstRow="1" w:lastRow="0" w:firstColumn="1" w:lastColumn="0" w:noHBand="0" w:noVBand="1"/>
      </w:tblPr>
      <w:tblGrid>
        <w:gridCol w:w="10998"/>
      </w:tblGrid>
      <w:tr w:rsidR="002641D2" w:rsidRPr="00FA3F9C" w14:paraId="792B7C2E" w14:textId="77777777" w:rsidTr="00D82B6E">
        <w:tc>
          <w:tcPr>
            <w:tcW w:w="10998" w:type="dxa"/>
            <w:shd w:val="clear" w:color="auto" w:fill="BFBFBF" w:themeFill="background1" w:themeFillShade="BF"/>
          </w:tcPr>
          <w:p w14:paraId="410F0B26" w14:textId="77777777" w:rsidR="002641D2" w:rsidRPr="00FA3F9C" w:rsidRDefault="002641D2" w:rsidP="00D82B6E">
            <w:pPr>
              <w:rPr>
                <w:rFonts w:ascii="Arial" w:hAnsi="Arial" w:cs="Arial"/>
                <w:sz w:val="24"/>
                <w:szCs w:val="24"/>
              </w:rPr>
            </w:pPr>
            <w:r w:rsidRPr="00FA3F9C">
              <w:rPr>
                <w:rFonts w:ascii="Arial" w:hAnsi="Arial" w:cs="Arial"/>
                <w:sz w:val="24"/>
                <w:szCs w:val="24"/>
              </w:rPr>
              <w:t xml:space="preserve">Note: The maximum dose for bipolar depression is 120mg daily; for </w:t>
            </w:r>
            <w:proofErr w:type="gramStart"/>
            <w:r w:rsidRPr="00FA3F9C">
              <w:rPr>
                <w:rFonts w:ascii="Arial" w:hAnsi="Arial" w:cs="Arial"/>
                <w:sz w:val="24"/>
                <w:szCs w:val="24"/>
              </w:rPr>
              <w:t>schizophrenia</w:t>
            </w:r>
            <w:proofErr w:type="gramEnd"/>
            <w:r w:rsidRPr="00FA3F9C">
              <w:rPr>
                <w:rFonts w:ascii="Arial" w:hAnsi="Arial" w:cs="Arial"/>
                <w:sz w:val="24"/>
                <w:szCs w:val="24"/>
              </w:rPr>
              <w:t xml:space="preserve"> the max dose is 160mg daily.</w:t>
            </w:r>
          </w:p>
        </w:tc>
      </w:tr>
    </w:tbl>
    <w:p w14:paraId="1447E693" w14:textId="77777777" w:rsidR="002641D2" w:rsidRPr="00FA3F9C" w:rsidRDefault="002641D2" w:rsidP="006F623F">
      <w:pPr>
        <w:spacing w:after="0"/>
        <w:rPr>
          <w:rFonts w:ascii="Arial" w:hAnsi="Arial" w:cs="Arial"/>
          <w:sz w:val="24"/>
          <w:szCs w:val="24"/>
        </w:rPr>
      </w:pPr>
    </w:p>
    <w:p w14:paraId="2565649A" w14:textId="77777777" w:rsidR="002641D2" w:rsidRPr="00FA3F9C" w:rsidRDefault="002641D2" w:rsidP="006F623F">
      <w:pPr>
        <w:spacing w:after="0"/>
        <w:rPr>
          <w:rFonts w:ascii="Arial" w:hAnsi="Arial" w:cs="Arial"/>
          <w:sz w:val="24"/>
          <w:szCs w:val="24"/>
        </w:rPr>
      </w:pPr>
    </w:p>
    <w:p w14:paraId="3DD1418F" w14:textId="77777777" w:rsidR="002641D2" w:rsidRPr="00FA3F9C" w:rsidRDefault="002641D2"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284"/>
        <w:gridCol w:w="7470"/>
        <w:gridCol w:w="2538"/>
      </w:tblGrid>
      <w:tr w:rsidR="002641D2" w:rsidRPr="00FA3F9C" w14:paraId="2B605CB1" w14:textId="77777777" w:rsidTr="00FE491B">
        <w:tc>
          <w:tcPr>
            <w:tcW w:w="1008" w:type="dxa"/>
          </w:tcPr>
          <w:p w14:paraId="1FCCEE15" w14:textId="77777777" w:rsidR="002641D2" w:rsidRPr="00FA3F9C" w:rsidRDefault="002641D2" w:rsidP="006F623F">
            <w:pPr>
              <w:rPr>
                <w:rFonts w:ascii="Arial" w:hAnsi="Arial" w:cs="Arial"/>
                <w:sz w:val="24"/>
                <w:szCs w:val="24"/>
              </w:rPr>
            </w:pPr>
            <w:r w:rsidRPr="00FA3F9C">
              <w:rPr>
                <w:rFonts w:ascii="Arial" w:hAnsi="Arial" w:cs="Arial"/>
                <w:sz w:val="24"/>
                <w:szCs w:val="24"/>
              </w:rPr>
              <w:lastRenderedPageBreak/>
              <w:t>Date</w:t>
            </w:r>
          </w:p>
        </w:tc>
        <w:tc>
          <w:tcPr>
            <w:tcW w:w="7470" w:type="dxa"/>
          </w:tcPr>
          <w:p w14:paraId="13D65B05" w14:textId="77777777" w:rsidR="002641D2" w:rsidRPr="00FA3F9C" w:rsidRDefault="002641D2" w:rsidP="006F623F">
            <w:pPr>
              <w:rPr>
                <w:rFonts w:ascii="Arial" w:hAnsi="Arial" w:cs="Arial"/>
                <w:sz w:val="24"/>
                <w:szCs w:val="24"/>
              </w:rPr>
            </w:pPr>
            <w:r w:rsidRPr="00FA3F9C">
              <w:rPr>
                <w:rFonts w:ascii="Arial" w:hAnsi="Arial" w:cs="Arial"/>
                <w:sz w:val="24"/>
                <w:szCs w:val="24"/>
              </w:rPr>
              <w:t>What changed</w:t>
            </w:r>
          </w:p>
        </w:tc>
        <w:tc>
          <w:tcPr>
            <w:tcW w:w="2538" w:type="dxa"/>
          </w:tcPr>
          <w:p w14:paraId="216E9BEB" w14:textId="77777777" w:rsidR="002641D2" w:rsidRPr="00FA3F9C" w:rsidRDefault="002641D2" w:rsidP="006F623F">
            <w:pPr>
              <w:rPr>
                <w:rFonts w:ascii="Arial" w:hAnsi="Arial" w:cs="Arial"/>
                <w:sz w:val="24"/>
                <w:szCs w:val="24"/>
              </w:rPr>
            </w:pPr>
            <w:r w:rsidRPr="00FA3F9C">
              <w:rPr>
                <w:rFonts w:ascii="Arial" w:hAnsi="Arial" w:cs="Arial"/>
                <w:sz w:val="24"/>
                <w:szCs w:val="24"/>
              </w:rPr>
              <w:t>Pharmacist’s initials</w:t>
            </w:r>
          </w:p>
        </w:tc>
      </w:tr>
      <w:tr w:rsidR="002641D2" w:rsidRPr="00FA3F9C" w14:paraId="4AF10A71" w14:textId="77777777" w:rsidTr="00FE491B">
        <w:tc>
          <w:tcPr>
            <w:tcW w:w="1008" w:type="dxa"/>
          </w:tcPr>
          <w:p w14:paraId="2AD0AF5E" w14:textId="77777777" w:rsidR="002641D2" w:rsidRPr="00FA3F9C" w:rsidRDefault="002641D2" w:rsidP="006F623F">
            <w:pPr>
              <w:rPr>
                <w:rFonts w:ascii="Arial" w:hAnsi="Arial" w:cs="Arial"/>
                <w:sz w:val="24"/>
                <w:szCs w:val="24"/>
              </w:rPr>
            </w:pPr>
            <w:r w:rsidRPr="00FA3F9C">
              <w:rPr>
                <w:rFonts w:ascii="Arial" w:hAnsi="Arial" w:cs="Arial"/>
                <w:sz w:val="24"/>
                <w:szCs w:val="24"/>
              </w:rPr>
              <w:t>1/29/2020</w:t>
            </w:r>
          </w:p>
        </w:tc>
        <w:tc>
          <w:tcPr>
            <w:tcW w:w="7470" w:type="dxa"/>
          </w:tcPr>
          <w:p w14:paraId="22E4846A" w14:textId="77777777" w:rsidR="002641D2" w:rsidRPr="00FA3F9C" w:rsidRDefault="002641D2" w:rsidP="006F623F">
            <w:pPr>
              <w:rPr>
                <w:rFonts w:ascii="Arial" w:hAnsi="Arial" w:cs="Arial"/>
                <w:sz w:val="24"/>
                <w:szCs w:val="24"/>
              </w:rPr>
            </w:pPr>
            <w:r w:rsidRPr="00FA3F9C">
              <w:rPr>
                <w:rFonts w:ascii="Arial" w:hAnsi="Arial" w:cs="Arial"/>
                <w:sz w:val="24"/>
                <w:szCs w:val="24"/>
              </w:rPr>
              <w:t>I wrote the criteria.</w:t>
            </w:r>
          </w:p>
        </w:tc>
        <w:tc>
          <w:tcPr>
            <w:tcW w:w="2538" w:type="dxa"/>
          </w:tcPr>
          <w:p w14:paraId="33B89320" w14:textId="0582A69E" w:rsidR="002641D2" w:rsidRPr="00FA3F9C" w:rsidRDefault="005C142D" w:rsidP="006F623F">
            <w:pPr>
              <w:rPr>
                <w:rFonts w:ascii="Arial" w:hAnsi="Arial" w:cs="Arial"/>
                <w:sz w:val="24"/>
                <w:szCs w:val="24"/>
              </w:rPr>
            </w:pPr>
            <w:r w:rsidRPr="00FA3F9C">
              <w:rPr>
                <w:rFonts w:ascii="Arial" w:hAnsi="Arial" w:cs="Arial"/>
                <w:sz w:val="24"/>
                <w:szCs w:val="24"/>
              </w:rPr>
              <w:t>JJ</w:t>
            </w:r>
          </w:p>
        </w:tc>
      </w:tr>
      <w:tr w:rsidR="002641D2" w:rsidRPr="00FA3F9C" w14:paraId="0A8CA5E4" w14:textId="77777777" w:rsidTr="00FE491B">
        <w:tc>
          <w:tcPr>
            <w:tcW w:w="1008" w:type="dxa"/>
          </w:tcPr>
          <w:p w14:paraId="1C2A6666" w14:textId="77777777" w:rsidR="002641D2" w:rsidRPr="00FA3F9C" w:rsidRDefault="002641D2" w:rsidP="006F623F">
            <w:pPr>
              <w:rPr>
                <w:rFonts w:ascii="Arial" w:hAnsi="Arial" w:cs="Arial"/>
                <w:sz w:val="24"/>
                <w:szCs w:val="24"/>
              </w:rPr>
            </w:pPr>
            <w:r w:rsidRPr="00FA3F9C">
              <w:rPr>
                <w:rFonts w:ascii="Arial" w:hAnsi="Arial" w:cs="Arial"/>
                <w:sz w:val="24"/>
                <w:szCs w:val="24"/>
              </w:rPr>
              <w:t>8/5/21</w:t>
            </w:r>
          </w:p>
        </w:tc>
        <w:tc>
          <w:tcPr>
            <w:tcW w:w="7470" w:type="dxa"/>
          </w:tcPr>
          <w:p w14:paraId="21A70643" w14:textId="77777777" w:rsidR="002641D2" w:rsidRPr="00FA3F9C" w:rsidRDefault="002641D2" w:rsidP="006F623F">
            <w:pPr>
              <w:rPr>
                <w:rFonts w:ascii="Arial" w:hAnsi="Arial" w:cs="Arial"/>
                <w:sz w:val="24"/>
                <w:szCs w:val="24"/>
              </w:rPr>
            </w:pPr>
            <w:r w:rsidRPr="00FA3F9C">
              <w:rPr>
                <w:rFonts w:ascii="Arial" w:hAnsi="Arial" w:cs="Arial"/>
                <w:sz w:val="24"/>
                <w:szCs w:val="24"/>
              </w:rPr>
              <w:t>Changed criteria #2 to read &lt;490ms</w:t>
            </w:r>
          </w:p>
        </w:tc>
        <w:tc>
          <w:tcPr>
            <w:tcW w:w="2538" w:type="dxa"/>
          </w:tcPr>
          <w:p w14:paraId="1FA7FC74" w14:textId="77777777" w:rsidR="002641D2" w:rsidRPr="00FA3F9C" w:rsidRDefault="002641D2" w:rsidP="006F623F">
            <w:pPr>
              <w:rPr>
                <w:rFonts w:ascii="Arial" w:hAnsi="Arial" w:cs="Arial"/>
                <w:sz w:val="24"/>
                <w:szCs w:val="24"/>
              </w:rPr>
            </w:pPr>
            <w:r w:rsidRPr="00FA3F9C">
              <w:rPr>
                <w:rFonts w:ascii="Arial" w:hAnsi="Arial" w:cs="Arial"/>
                <w:sz w:val="24"/>
                <w:szCs w:val="24"/>
              </w:rPr>
              <w:t>CP</w:t>
            </w:r>
          </w:p>
        </w:tc>
      </w:tr>
    </w:tbl>
    <w:p w14:paraId="50C4D4B3" w14:textId="77777777" w:rsidR="002641D2" w:rsidRPr="00FA3F9C" w:rsidRDefault="002641D2" w:rsidP="006F623F">
      <w:pPr>
        <w:spacing w:after="0"/>
        <w:rPr>
          <w:rFonts w:ascii="Arial" w:hAnsi="Arial" w:cs="Arial"/>
          <w:sz w:val="24"/>
          <w:szCs w:val="24"/>
        </w:rPr>
      </w:pPr>
    </w:p>
    <w:p w14:paraId="2A20ABB3" w14:textId="77777777" w:rsidR="002641D2" w:rsidRPr="00FA3F9C" w:rsidRDefault="002641D2" w:rsidP="00073A88">
      <w:pPr>
        <w:spacing w:after="0" w:line="240" w:lineRule="auto"/>
        <w:rPr>
          <w:rFonts w:ascii="Arial" w:hAnsi="Arial" w:cs="Arial"/>
          <w:b/>
          <w:sz w:val="24"/>
          <w:szCs w:val="24"/>
          <w:u w:val="single"/>
          <w:shd w:val="clear" w:color="auto" w:fill="FFFFFF"/>
        </w:rPr>
      </w:pPr>
      <w:r w:rsidRPr="00FA3F9C">
        <w:rPr>
          <w:rFonts w:ascii="Arial" w:hAnsi="Arial" w:cs="Arial"/>
          <w:b/>
          <w:sz w:val="24"/>
          <w:szCs w:val="24"/>
          <w:u w:val="single"/>
          <w:shd w:val="clear" w:color="auto" w:fill="FFFFFF"/>
        </w:rPr>
        <w:t xml:space="preserve">References: </w:t>
      </w:r>
    </w:p>
    <w:p w14:paraId="4267AF3E" w14:textId="77777777" w:rsidR="002641D2" w:rsidRPr="00FA3F9C" w:rsidRDefault="002641D2" w:rsidP="002641D2">
      <w:pPr>
        <w:pStyle w:val="ListParagraph"/>
        <w:numPr>
          <w:ilvl w:val="0"/>
          <w:numId w:val="321"/>
        </w:numPr>
        <w:spacing w:after="0" w:line="240" w:lineRule="auto"/>
        <w:ind w:left="0"/>
        <w:rPr>
          <w:rStyle w:val="pagerange"/>
          <w:rFonts w:ascii="Arial" w:hAnsi="Arial" w:cs="Arial"/>
          <w:b/>
          <w:sz w:val="24"/>
          <w:szCs w:val="24"/>
          <w:shd w:val="clear" w:color="auto" w:fill="FFFFFF"/>
        </w:rPr>
      </w:pPr>
      <w:r w:rsidRPr="00FA3F9C">
        <w:rPr>
          <w:rStyle w:val="authors"/>
          <w:rFonts w:ascii="Arial" w:hAnsi="Arial" w:cs="Arial"/>
          <w:color w:val="333333"/>
          <w:sz w:val="24"/>
          <w:szCs w:val="24"/>
          <w:shd w:val="clear" w:color="auto" w:fill="FFFFFF"/>
        </w:rPr>
        <w:t>Daisy Ng-</w:t>
      </w:r>
      <w:proofErr w:type="spellStart"/>
      <w:r w:rsidRPr="00FA3F9C">
        <w:rPr>
          <w:rStyle w:val="authors"/>
          <w:rFonts w:ascii="Arial" w:hAnsi="Arial" w:cs="Arial"/>
          <w:color w:val="333333"/>
          <w:sz w:val="24"/>
          <w:szCs w:val="24"/>
          <w:shd w:val="clear" w:color="auto" w:fill="FFFFFF"/>
        </w:rPr>
        <w:t>Mak</w:t>
      </w:r>
      <w:proofErr w:type="spellEnd"/>
      <w:r w:rsidRPr="00FA3F9C">
        <w:rPr>
          <w:rStyle w:val="authors"/>
          <w:rFonts w:ascii="Arial" w:hAnsi="Arial" w:cs="Arial"/>
          <w:color w:val="333333"/>
          <w:sz w:val="24"/>
          <w:szCs w:val="24"/>
          <w:shd w:val="clear" w:color="auto" w:fill="FFFFFF"/>
        </w:rPr>
        <w:t xml:space="preserve">, Rachel Halpern, </w:t>
      </w:r>
      <w:proofErr w:type="spellStart"/>
      <w:r w:rsidRPr="00FA3F9C">
        <w:rPr>
          <w:rStyle w:val="authors"/>
          <w:rFonts w:ascii="Arial" w:hAnsi="Arial" w:cs="Arial"/>
          <w:color w:val="333333"/>
          <w:sz w:val="24"/>
          <w:szCs w:val="24"/>
          <w:shd w:val="clear" w:color="auto" w:fill="FFFFFF"/>
        </w:rPr>
        <w:t>Krithika</w:t>
      </w:r>
      <w:proofErr w:type="spellEnd"/>
      <w:r w:rsidRPr="00FA3F9C">
        <w:rPr>
          <w:rStyle w:val="authors"/>
          <w:rFonts w:ascii="Arial" w:hAnsi="Arial" w:cs="Arial"/>
          <w:color w:val="333333"/>
          <w:sz w:val="24"/>
          <w:szCs w:val="24"/>
          <w:shd w:val="clear" w:color="auto" w:fill="FFFFFF"/>
        </w:rPr>
        <w:t xml:space="preserve"> Rajagopalan &amp; Antony </w:t>
      </w:r>
      <w:proofErr w:type="spellStart"/>
      <w:r w:rsidRPr="00FA3F9C">
        <w:rPr>
          <w:rStyle w:val="authors"/>
          <w:rFonts w:ascii="Arial" w:hAnsi="Arial" w:cs="Arial"/>
          <w:color w:val="333333"/>
          <w:sz w:val="24"/>
          <w:szCs w:val="24"/>
          <w:shd w:val="clear" w:color="auto" w:fill="FFFFFF"/>
        </w:rPr>
        <w:t>Loebel</w:t>
      </w:r>
      <w:proofErr w:type="spellEnd"/>
      <w:r w:rsidRPr="00FA3F9C">
        <w:rPr>
          <w:rFonts w:ascii="Arial" w:hAnsi="Arial" w:cs="Arial"/>
          <w:color w:val="333333"/>
          <w:sz w:val="24"/>
          <w:szCs w:val="24"/>
          <w:shd w:val="clear" w:color="auto" w:fill="FFFFFF"/>
        </w:rPr>
        <w:t> </w:t>
      </w:r>
      <w:r w:rsidRPr="00FA3F9C">
        <w:rPr>
          <w:rStyle w:val="Date1"/>
          <w:rFonts w:ascii="Arial" w:hAnsi="Arial" w:cs="Arial"/>
          <w:color w:val="333333"/>
          <w:sz w:val="24"/>
          <w:szCs w:val="24"/>
          <w:shd w:val="clear" w:color="auto" w:fill="FFFFFF"/>
        </w:rPr>
        <w:t>(2019)</w:t>
      </w:r>
      <w:r w:rsidRPr="00FA3F9C">
        <w:rPr>
          <w:rFonts w:ascii="Arial" w:hAnsi="Arial" w:cs="Arial"/>
          <w:color w:val="333333"/>
          <w:sz w:val="24"/>
          <w:szCs w:val="24"/>
          <w:shd w:val="clear" w:color="auto" w:fill="FFFFFF"/>
        </w:rPr>
        <w:t> </w:t>
      </w:r>
      <w:r w:rsidRPr="00FA3F9C">
        <w:rPr>
          <w:rStyle w:val="arttitle"/>
          <w:rFonts w:ascii="Arial" w:hAnsi="Arial" w:cs="Arial"/>
          <w:color w:val="333333"/>
          <w:sz w:val="24"/>
          <w:szCs w:val="24"/>
          <w:shd w:val="clear" w:color="auto" w:fill="FFFFFF"/>
        </w:rPr>
        <w:t>Hospitalization risk in bipolar disorder patients treated with lurasidone versus other atypical antipsychotics,</w:t>
      </w:r>
      <w:r w:rsidRPr="00FA3F9C">
        <w:rPr>
          <w:rFonts w:ascii="Arial" w:hAnsi="Arial" w:cs="Arial"/>
          <w:color w:val="333333"/>
          <w:sz w:val="24"/>
          <w:szCs w:val="24"/>
          <w:shd w:val="clear" w:color="auto" w:fill="FFFFFF"/>
        </w:rPr>
        <w:t> </w:t>
      </w:r>
      <w:r w:rsidRPr="00FA3F9C">
        <w:rPr>
          <w:rStyle w:val="serialtitle"/>
          <w:rFonts w:ascii="Arial" w:hAnsi="Arial" w:cs="Arial"/>
          <w:color w:val="333333"/>
          <w:sz w:val="24"/>
          <w:szCs w:val="24"/>
          <w:shd w:val="clear" w:color="auto" w:fill="FFFFFF"/>
        </w:rPr>
        <w:t>Current Medical Research and Opinion,</w:t>
      </w:r>
      <w:r w:rsidRPr="00FA3F9C">
        <w:rPr>
          <w:rFonts w:ascii="Arial" w:hAnsi="Arial" w:cs="Arial"/>
          <w:color w:val="333333"/>
          <w:sz w:val="24"/>
          <w:szCs w:val="24"/>
          <w:shd w:val="clear" w:color="auto" w:fill="FFFFFF"/>
        </w:rPr>
        <w:t> </w:t>
      </w:r>
      <w:r w:rsidRPr="00FA3F9C">
        <w:rPr>
          <w:rStyle w:val="volumeissue"/>
          <w:rFonts w:ascii="Arial" w:hAnsi="Arial" w:cs="Arial"/>
          <w:color w:val="333333"/>
          <w:sz w:val="24"/>
          <w:szCs w:val="24"/>
          <w:shd w:val="clear" w:color="auto" w:fill="FFFFFF"/>
        </w:rPr>
        <w:t>35:2,</w:t>
      </w:r>
      <w:r w:rsidRPr="00FA3F9C">
        <w:rPr>
          <w:rFonts w:ascii="Arial" w:hAnsi="Arial" w:cs="Arial"/>
          <w:color w:val="333333"/>
          <w:sz w:val="24"/>
          <w:szCs w:val="24"/>
          <w:shd w:val="clear" w:color="auto" w:fill="FFFFFF"/>
        </w:rPr>
        <w:t> </w:t>
      </w:r>
      <w:r w:rsidRPr="00FA3F9C">
        <w:rPr>
          <w:rStyle w:val="pagerange"/>
          <w:rFonts w:ascii="Arial" w:hAnsi="Arial" w:cs="Arial"/>
          <w:color w:val="333333"/>
          <w:sz w:val="24"/>
          <w:szCs w:val="24"/>
          <w:shd w:val="clear" w:color="auto" w:fill="FFFFFF"/>
        </w:rPr>
        <w:t>211-219</w:t>
      </w:r>
    </w:p>
    <w:p w14:paraId="1EBAC6BA" w14:textId="77777777" w:rsidR="002641D2" w:rsidRPr="00FA3F9C" w:rsidRDefault="002641D2" w:rsidP="002641D2">
      <w:pPr>
        <w:pStyle w:val="ListParagraph"/>
        <w:numPr>
          <w:ilvl w:val="0"/>
          <w:numId w:val="321"/>
        </w:numPr>
        <w:spacing w:after="0" w:line="240" w:lineRule="auto"/>
        <w:ind w:left="0"/>
        <w:rPr>
          <w:rStyle w:val="hlfld-contribauthor"/>
          <w:rFonts w:ascii="Arial" w:hAnsi="Arial" w:cs="Arial"/>
          <w:b/>
          <w:sz w:val="24"/>
          <w:szCs w:val="24"/>
          <w:u w:val="single"/>
          <w:shd w:val="clear" w:color="auto" w:fill="FFFFFF"/>
        </w:rPr>
      </w:pPr>
      <w:proofErr w:type="spellStart"/>
      <w:r w:rsidRPr="00FA3F9C">
        <w:rPr>
          <w:rFonts w:ascii="Arial" w:hAnsi="Arial" w:cs="Arial"/>
          <w:color w:val="222222"/>
          <w:sz w:val="24"/>
          <w:szCs w:val="24"/>
          <w:shd w:val="clear" w:color="auto" w:fill="FFFFFF"/>
        </w:rPr>
        <w:t>Huhn</w:t>
      </w:r>
      <w:proofErr w:type="spellEnd"/>
      <w:r w:rsidRPr="00FA3F9C">
        <w:rPr>
          <w:rFonts w:ascii="Arial" w:hAnsi="Arial" w:cs="Arial"/>
          <w:color w:val="222222"/>
          <w:sz w:val="24"/>
          <w:szCs w:val="24"/>
          <w:shd w:val="clear" w:color="auto" w:fill="FFFFFF"/>
        </w:rPr>
        <w:t>, Maximilian, et al. "Comparative efficacy and tolerability of 32 oral antipsychotics for the acute treatment of adults with multi-episode schizophrenia: a systematic review and network meta-analysis." </w:t>
      </w:r>
      <w:r w:rsidRPr="00FA3F9C">
        <w:rPr>
          <w:rFonts w:ascii="Arial" w:hAnsi="Arial" w:cs="Arial"/>
          <w:i/>
          <w:iCs/>
          <w:color w:val="222222"/>
          <w:sz w:val="24"/>
          <w:szCs w:val="24"/>
          <w:shd w:val="clear" w:color="auto" w:fill="FFFFFF"/>
        </w:rPr>
        <w:t>The Lancet</w:t>
      </w:r>
      <w:r w:rsidRPr="00FA3F9C">
        <w:rPr>
          <w:rFonts w:ascii="Arial" w:hAnsi="Arial" w:cs="Arial"/>
          <w:color w:val="222222"/>
          <w:sz w:val="24"/>
          <w:szCs w:val="24"/>
          <w:shd w:val="clear" w:color="auto" w:fill="FFFFFF"/>
        </w:rPr>
        <w:t> 394.10202 (2019): 939-951.</w:t>
      </w:r>
    </w:p>
    <w:p w14:paraId="7E6681F1" w14:textId="77777777" w:rsidR="002641D2" w:rsidRPr="00FA3F9C" w:rsidRDefault="002641D2" w:rsidP="002641D2">
      <w:pPr>
        <w:pStyle w:val="ListParagraph"/>
        <w:numPr>
          <w:ilvl w:val="0"/>
          <w:numId w:val="321"/>
        </w:numPr>
        <w:spacing w:after="0" w:line="240" w:lineRule="auto"/>
        <w:ind w:left="0"/>
        <w:rPr>
          <w:rFonts w:ascii="Arial" w:hAnsi="Arial" w:cs="Arial"/>
          <w:b/>
          <w:sz w:val="24"/>
          <w:szCs w:val="24"/>
          <w:shd w:val="clear" w:color="auto" w:fill="FFFFFF"/>
        </w:rPr>
      </w:pPr>
      <w:r w:rsidRPr="00FA3F9C">
        <w:rPr>
          <w:rStyle w:val="hlfld-contribauthor"/>
          <w:rFonts w:ascii="Arial" w:hAnsi="Arial" w:cs="Arial"/>
          <w:sz w:val="24"/>
          <w:szCs w:val="24"/>
        </w:rPr>
        <w:t>Ziad Ali</w:t>
      </w:r>
      <w:r w:rsidRPr="00FA3F9C">
        <w:rPr>
          <w:rStyle w:val="separator"/>
          <w:rFonts w:ascii="Arial" w:hAnsi="Arial" w:cs="Arial"/>
          <w:sz w:val="24"/>
          <w:szCs w:val="24"/>
        </w:rPr>
        <w:t>, </w:t>
      </w:r>
      <w:proofErr w:type="spellStart"/>
      <w:r w:rsidRPr="00FA3F9C">
        <w:rPr>
          <w:rStyle w:val="hlfld-contribauthor"/>
          <w:rFonts w:ascii="Arial" w:hAnsi="Arial" w:cs="Arial"/>
          <w:sz w:val="24"/>
          <w:szCs w:val="24"/>
        </w:rPr>
        <w:t>Cunyet</w:t>
      </w:r>
      <w:proofErr w:type="spellEnd"/>
      <w:r w:rsidRPr="00FA3F9C">
        <w:rPr>
          <w:rStyle w:val="hlfld-contribauthor"/>
          <w:rFonts w:ascii="Arial" w:hAnsi="Arial" w:cs="Arial"/>
          <w:sz w:val="24"/>
          <w:szCs w:val="24"/>
        </w:rPr>
        <w:t xml:space="preserve"> </w:t>
      </w:r>
      <w:proofErr w:type="spellStart"/>
      <w:r w:rsidRPr="00FA3F9C">
        <w:rPr>
          <w:rStyle w:val="hlfld-contribauthor"/>
          <w:rFonts w:ascii="Arial" w:hAnsi="Arial" w:cs="Arial"/>
          <w:sz w:val="24"/>
          <w:szCs w:val="24"/>
        </w:rPr>
        <w:t>Tegin</w:t>
      </w:r>
      <w:proofErr w:type="spellEnd"/>
      <w:r w:rsidRPr="00FA3F9C">
        <w:rPr>
          <w:rStyle w:val="separator"/>
          <w:rFonts w:ascii="Arial" w:hAnsi="Arial" w:cs="Arial"/>
          <w:sz w:val="24"/>
          <w:szCs w:val="24"/>
        </w:rPr>
        <w:t>, </w:t>
      </w:r>
      <w:r w:rsidRPr="00FA3F9C">
        <w:rPr>
          <w:rStyle w:val="hlfld-contribauthor"/>
          <w:rFonts w:ascii="Arial" w:hAnsi="Arial" w:cs="Arial"/>
          <w:sz w:val="24"/>
          <w:szCs w:val="24"/>
        </w:rPr>
        <w:t>Rif S. El-</w:t>
      </w:r>
      <w:proofErr w:type="spellStart"/>
      <w:r w:rsidRPr="00FA3F9C">
        <w:rPr>
          <w:rStyle w:val="hlfld-contribauthor"/>
          <w:rFonts w:ascii="Arial" w:hAnsi="Arial" w:cs="Arial"/>
          <w:sz w:val="24"/>
          <w:szCs w:val="24"/>
        </w:rPr>
        <w:t>Mallakh</w:t>
      </w:r>
      <w:proofErr w:type="spellEnd"/>
      <w:r w:rsidRPr="00FA3F9C">
        <w:rPr>
          <w:rFonts w:ascii="Arial" w:hAnsi="Arial" w:cs="Arial"/>
          <w:sz w:val="24"/>
          <w:szCs w:val="24"/>
        </w:rPr>
        <w:t>. (2020) </w:t>
      </w:r>
      <w:hyperlink r:id="rId267" w:history="1">
        <w:r w:rsidRPr="00FA3F9C">
          <w:rPr>
            <w:rStyle w:val="Hyperlink"/>
            <w:rFonts w:ascii="Arial" w:hAnsi="Arial" w:cs="Arial"/>
            <w:sz w:val="24"/>
            <w:szCs w:val="24"/>
          </w:rPr>
          <w:t>Evaluating lurasidone as a treatment option for bipolar disorder</w:t>
        </w:r>
      </w:hyperlink>
      <w:r w:rsidRPr="00FA3F9C">
        <w:rPr>
          <w:rFonts w:ascii="Arial" w:hAnsi="Arial" w:cs="Arial"/>
          <w:sz w:val="24"/>
          <w:szCs w:val="24"/>
        </w:rPr>
        <w:t>. </w:t>
      </w:r>
      <w:r w:rsidRPr="00FA3F9C">
        <w:rPr>
          <w:rStyle w:val="nlmsource"/>
          <w:rFonts w:ascii="Arial" w:hAnsi="Arial" w:cs="Arial"/>
          <w:i/>
          <w:iCs/>
          <w:sz w:val="24"/>
          <w:szCs w:val="24"/>
        </w:rPr>
        <w:t>Expert Opinion on Pharmacotherapy</w:t>
      </w:r>
      <w:r w:rsidRPr="00FA3F9C">
        <w:rPr>
          <w:rFonts w:ascii="Arial" w:hAnsi="Arial" w:cs="Arial"/>
          <w:sz w:val="24"/>
          <w:szCs w:val="24"/>
        </w:rPr>
        <w:t> 21:3, pages 253-260.</w:t>
      </w:r>
    </w:p>
    <w:p w14:paraId="3D93F97B" w14:textId="77777777" w:rsidR="002641D2" w:rsidRPr="00FA3F9C" w:rsidRDefault="002641D2" w:rsidP="002641D2">
      <w:pPr>
        <w:pStyle w:val="ListParagraph"/>
        <w:numPr>
          <w:ilvl w:val="0"/>
          <w:numId w:val="321"/>
        </w:numPr>
        <w:spacing w:after="0" w:line="240" w:lineRule="auto"/>
        <w:ind w:left="0"/>
        <w:rPr>
          <w:rFonts w:ascii="Arial" w:hAnsi="Arial" w:cs="Arial"/>
          <w:b/>
          <w:sz w:val="24"/>
          <w:szCs w:val="24"/>
          <w:u w:val="single"/>
          <w:shd w:val="clear" w:color="auto" w:fill="FFFFFF"/>
        </w:rPr>
      </w:pPr>
      <w:r w:rsidRPr="00FA3F9C">
        <w:rPr>
          <w:rFonts w:ascii="Arial" w:hAnsi="Arial" w:cs="Arial"/>
          <w:sz w:val="24"/>
          <w:szCs w:val="24"/>
        </w:rPr>
        <w:t>Latuda package insert. [</w:t>
      </w:r>
      <w:hyperlink r:id="rId268" w:history="1">
        <w:r w:rsidRPr="00FA3F9C">
          <w:rPr>
            <w:rStyle w:val="Hyperlink"/>
            <w:rFonts w:ascii="Arial" w:hAnsi="Arial" w:cs="Arial"/>
            <w:sz w:val="24"/>
            <w:szCs w:val="24"/>
          </w:rPr>
          <w:t>www.latuda.com/LatudaPrescribingInformation.pdf</w:t>
        </w:r>
      </w:hyperlink>
      <w:r w:rsidRPr="00FA3F9C">
        <w:rPr>
          <w:rFonts w:ascii="Arial" w:hAnsi="Arial" w:cs="Arial"/>
          <w:sz w:val="24"/>
          <w:szCs w:val="24"/>
        </w:rPr>
        <w:t>] Accessed 1/28/2020</w:t>
      </w:r>
    </w:p>
    <w:p w14:paraId="70D6B222" w14:textId="77777777" w:rsidR="002641D2" w:rsidRPr="00FA3F9C" w:rsidRDefault="002641D2" w:rsidP="00073A88">
      <w:pPr>
        <w:spacing w:after="0"/>
        <w:rPr>
          <w:rFonts w:ascii="Arial" w:hAnsi="Arial" w:cs="Arial"/>
          <w:sz w:val="24"/>
          <w:szCs w:val="24"/>
        </w:rPr>
      </w:pPr>
    </w:p>
    <w:p w14:paraId="26A47389" w14:textId="77777777" w:rsidR="002641D2" w:rsidRPr="00FA3F9C" w:rsidRDefault="002641D2" w:rsidP="002A1632">
      <w:pPr>
        <w:pStyle w:val="Heading2"/>
        <w:rPr>
          <w:lang w:val="es-ES"/>
        </w:rPr>
      </w:pPr>
      <w:bookmarkStart w:id="173" w:name="_Toc106369852"/>
      <w:proofErr w:type="spellStart"/>
      <w:r w:rsidRPr="00FA3F9C">
        <w:rPr>
          <w:lang w:val="es-ES"/>
        </w:rPr>
        <w:t>Luspatercept</w:t>
      </w:r>
      <w:proofErr w:type="spellEnd"/>
      <w:r w:rsidRPr="00FA3F9C">
        <w:rPr>
          <w:lang w:val="es-ES"/>
        </w:rPr>
        <w:t xml:space="preserve"> (</w:t>
      </w:r>
      <w:proofErr w:type="spellStart"/>
      <w:r w:rsidRPr="00FA3F9C">
        <w:rPr>
          <w:lang w:val="es-ES"/>
        </w:rPr>
        <w:t>Reblozyl</w:t>
      </w:r>
      <w:proofErr w:type="spellEnd"/>
      <w:r w:rsidRPr="00FA3F9C">
        <w:rPr>
          <w:lang w:val="es-ES"/>
        </w:rPr>
        <w:t>)</w:t>
      </w:r>
      <w:bookmarkEnd w:id="173"/>
    </w:p>
    <w:p w14:paraId="0DF11CC6" w14:textId="77777777" w:rsidR="002641D2" w:rsidRPr="00FA3F9C" w:rsidRDefault="002641D2" w:rsidP="006F623F">
      <w:pPr>
        <w:spacing w:after="0"/>
        <w:jc w:val="center"/>
        <w:rPr>
          <w:rFonts w:ascii="Arial" w:hAnsi="Arial" w:cs="Arial"/>
          <w:sz w:val="24"/>
          <w:szCs w:val="24"/>
          <w:lang w:val="es-ES"/>
        </w:rPr>
      </w:pPr>
      <w:r w:rsidRPr="00FA3F9C">
        <w:rPr>
          <w:rFonts w:ascii="Arial" w:hAnsi="Arial" w:cs="Arial"/>
          <w:sz w:val="24"/>
          <w:szCs w:val="24"/>
          <w:lang w:val="es-ES"/>
        </w:rPr>
        <w:t>25 and 75 mg vial</w:t>
      </w:r>
    </w:p>
    <w:p w14:paraId="75E98EC6" w14:textId="77777777" w:rsidR="002641D2" w:rsidRPr="00FA3F9C" w:rsidRDefault="002641D2" w:rsidP="006F623F">
      <w:pPr>
        <w:spacing w:after="0"/>
        <w:jc w:val="center"/>
        <w:rPr>
          <w:rFonts w:ascii="Arial" w:hAnsi="Arial" w:cs="Arial"/>
          <w:sz w:val="24"/>
          <w:szCs w:val="24"/>
          <w:lang w:val="es-ES"/>
        </w:rPr>
      </w:pPr>
      <w:r w:rsidRPr="00FA3F9C">
        <w:rPr>
          <w:rFonts w:ascii="Arial" w:hAnsi="Arial" w:cs="Arial"/>
          <w:sz w:val="24"/>
          <w:szCs w:val="24"/>
          <w:lang w:val="es-ES"/>
        </w:rPr>
        <w:t xml:space="preserve">EBRx PA </w:t>
      </w:r>
      <w:proofErr w:type="spellStart"/>
      <w:r w:rsidRPr="00FA3F9C">
        <w:rPr>
          <w:rFonts w:ascii="Arial" w:hAnsi="Arial" w:cs="Arial"/>
          <w:sz w:val="24"/>
          <w:szCs w:val="24"/>
          <w:lang w:val="es-ES"/>
        </w:rPr>
        <w:t>Criteria</w:t>
      </w:r>
      <w:proofErr w:type="spellEnd"/>
    </w:p>
    <w:p w14:paraId="1C1740A3" w14:textId="77777777" w:rsidR="002641D2" w:rsidRPr="00FA3F9C" w:rsidRDefault="002641D2" w:rsidP="006F623F">
      <w:pPr>
        <w:spacing w:after="0"/>
        <w:rPr>
          <w:rFonts w:ascii="Arial" w:hAnsi="Arial" w:cs="Arial"/>
          <w:b/>
          <w:sz w:val="24"/>
          <w:szCs w:val="24"/>
          <w:u w:val="single"/>
          <w:lang w:val="es-ES"/>
        </w:rPr>
      </w:pPr>
    </w:p>
    <w:p w14:paraId="431766AF" w14:textId="77777777" w:rsidR="002641D2" w:rsidRPr="00FA3F9C" w:rsidRDefault="002641D2"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w:t>
      </w:r>
    </w:p>
    <w:p w14:paraId="73CB2DA0" w14:textId="77777777" w:rsidR="002641D2" w:rsidRPr="00FA3F9C" w:rsidRDefault="002641D2" w:rsidP="002641D2">
      <w:pPr>
        <w:pStyle w:val="ListParagraph"/>
        <w:numPr>
          <w:ilvl w:val="0"/>
          <w:numId w:val="322"/>
        </w:numPr>
        <w:spacing w:after="0" w:line="240" w:lineRule="auto"/>
        <w:ind w:left="360"/>
        <w:rPr>
          <w:rFonts w:ascii="Arial" w:hAnsi="Arial" w:cs="Arial"/>
          <w:color w:val="0563C1" w:themeColor="hyperlink"/>
          <w:sz w:val="24"/>
          <w:szCs w:val="24"/>
          <w:u w:val="single"/>
        </w:rPr>
      </w:pPr>
      <w:r w:rsidRPr="00FA3F9C">
        <w:rPr>
          <w:rFonts w:ascii="Arial" w:hAnsi="Arial" w:cs="Arial"/>
          <w:sz w:val="24"/>
          <w:szCs w:val="24"/>
        </w:rPr>
        <w:t xml:space="preserve">Anemia in adult patients with beta thalassemia who require regular red blood cell (RBC) transfusions  </w:t>
      </w:r>
      <w:r w:rsidRPr="00FA3F9C">
        <w:rPr>
          <w:rFonts w:ascii="Arial" w:hAnsi="Arial" w:cs="Arial"/>
          <w:sz w:val="24"/>
          <w:szCs w:val="24"/>
          <w:shd w:val="clear" w:color="auto" w:fill="FFFF00"/>
        </w:rPr>
        <w:t>NOT COVERED</w:t>
      </w:r>
    </w:p>
    <w:p w14:paraId="54A23C19" w14:textId="77777777" w:rsidR="002641D2" w:rsidRPr="00FA3F9C" w:rsidRDefault="002641D2" w:rsidP="002641D2">
      <w:pPr>
        <w:pStyle w:val="ListParagraph"/>
        <w:numPr>
          <w:ilvl w:val="1"/>
          <w:numId w:val="322"/>
        </w:numPr>
        <w:spacing w:after="0" w:line="240" w:lineRule="auto"/>
        <w:ind w:left="1080"/>
        <w:rPr>
          <w:rFonts w:ascii="Arial" w:hAnsi="Arial" w:cs="Arial"/>
          <w:sz w:val="24"/>
          <w:szCs w:val="24"/>
          <w:u w:val="single"/>
        </w:rPr>
      </w:pPr>
      <w:r w:rsidRPr="00FA3F9C">
        <w:rPr>
          <w:rFonts w:ascii="Arial" w:hAnsi="Arial" w:cs="Arial"/>
          <w:sz w:val="24"/>
          <w:szCs w:val="24"/>
        </w:rPr>
        <w:t xml:space="preserve">Not covered due to limited medical benefit. In the BELIEVE trial, patients with beta thalassemia requiring </w:t>
      </w:r>
      <w:r w:rsidRPr="00FA3F9C">
        <w:rPr>
          <w:rFonts w:ascii="Arial" w:hAnsi="Arial" w:cs="Arial"/>
          <w:sz w:val="24"/>
          <w:szCs w:val="24"/>
          <w:u w:val="single"/>
        </w:rPr>
        <w:t>&gt;</w:t>
      </w:r>
      <w:r w:rsidRPr="00FA3F9C">
        <w:rPr>
          <w:rFonts w:ascii="Arial" w:hAnsi="Arial" w:cs="Arial"/>
          <w:sz w:val="24"/>
          <w:szCs w:val="24"/>
        </w:rPr>
        <w:t xml:space="preserve">6 RBC transfusions per 24 weeks were randomized to </w:t>
      </w:r>
      <w:proofErr w:type="spellStart"/>
      <w:r w:rsidRPr="00FA3F9C">
        <w:rPr>
          <w:rFonts w:ascii="Arial" w:hAnsi="Arial" w:cs="Arial"/>
          <w:sz w:val="24"/>
          <w:szCs w:val="24"/>
        </w:rPr>
        <w:t>luspatercept</w:t>
      </w:r>
      <w:proofErr w:type="spellEnd"/>
      <w:r w:rsidRPr="00FA3F9C">
        <w:rPr>
          <w:rFonts w:ascii="Arial" w:hAnsi="Arial" w:cs="Arial"/>
          <w:sz w:val="24"/>
          <w:szCs w:val="24"/>
        </w:rPr>
        <w:t xml:space="preserve"> or placebo. </w:t>
      </w:r>
    </w:p>
    <w:p w14:paraId="6EE8775A" w14:textId="77777777" w:rsidR="002641D2" w:rsidRPr="00FA3F9C" w:rsidRDefault="002641D2" w:rsidP="002641D2">
      <w:pPr>
        <w:pStyle w:val="ListParagraph"/>
        <w:numPr>
          <w:ilvl w:val="2"/>
          <w:numId w:val="322"/>
        </w:numPr>
        <w:spacing w:after="0" w:line="240" w:lineRule="auto"/>
        <w:ind w:left="1530"/>
        <w:rPr>
          <w:rFonts w:ascii="Arial" w:hAnsi="Arial" w:cs="Arial"/>
          <w:sz w:val="24"/>
          <w:szCs w:val="24"/>
          <w:u w:val="single"/>
        </w:rPr>
      </w:pPr>
      <w:r w:rsidRPr="00FA3F9C">
        <w:rPr>
          <w:rFonts w:ascii="Arial" w:hAnsi="Arial" w:cs="Arial"/>
          <w:sz w:val="24"/>
          <w:szCs w:val="24"/>
        </w:rPr>
        <w:t xml:space="preserve">Primary endpoint: percent of patients with </w:t>
      </w:r>
      <w:r w:rsidRPr="00FA3F9C">
        <w:rPr>
          <w:rFonts w:ascii="Arial" w:hAnsi="Arial" w:cs="Arial"/>
          <w:sz w:val="24"/>
          <w:szCs w:val="24"/>
          <w:u w:val="single"/>
        </w:rPr>
        <w:t>&gt;</w:t>
      </w:r>
      <w:r w:rsidRPr="00FA3F9C">
        <w:rPr>
          <w:rFonts w:ascii="Arial" w:hAnsi="Arial" w:cs="Arial"/>
          <w:sz w:val="24"/>
          <w:szCs w:val="24"/>
        </w:rPr>
        <w:t xml:space="preserve">33% reduction from baseline in RBC transfusion burden with a minimum reduction of at least 2 units for consecutive 12 weeks. In the </w:t>
      </w:r>
      <w:proofErr w:type="spellStart"/>
      <w:r w:rsidRPr="00FA3F9C">
        <w:rPr>
          <w:rFonts w:ascii="Arial" w:hAnsi="Arial" w:cs="Arial"/>
          <w:sz w:val="24"/>
          <w:szCs w:val="24"/>
        </w:rPr>
        <w:t>luspatercept</w:t>
      </w:r>
      <w:proofErr w:type="spellEnd"/>
      <w:r w:rsidRPr="00FA3F9C">
        <w:rPr>
          <w:rFonts w:ascii="Arial" w:hAnsi="Arial" w:cs="Arial"/>
          <w:sz w:val="24"/>
          <w:szCs w:val="24"/>
        </w:rPr>
        <w:t xml:space="preserve"> group 33% of patients achieved the primary endpoint compared to 4.5% of placebo patients.  </w:t>
      </w:r>
    </w:p>
    <w:p w14:paraId="6737A397" w14:textId="77777777" w:rsidR="002641D2" w:rsidRPr="00FA3F9C" w:rsidRDefault="002641D2" w:rsidP="002641D2">
      <w:pPr>
        <w:pStyle w:val="ListParagraph"/>
        <w:numPr>
          <w:ilvl w:val="2"/>
          <w:numId w:val="322"/>
        </w:numPr>
        <w:spacing w:after="0" w:line="240" w:lineRule="auto"/>
        <w:ind w:left="1530"/>
        <w:rPr>
          <w:rFonts w:ascii="Arial" w:hAnsi="Arial" w:cs="Arial"/>
          <w:sz w:val="24"/>
          <w:szCs w:val="24"/>
          <w:u w:val="single"/>
        </w:rPr>
      </w:pPr>
      <w:r w:rsidRPr="00FA3F9C">
        <w:rPr>
          <w:rFonts w:ascii="Arial" w:hAnsi="Arial" w:cs="Arial"/>
          <w:sz w:val="24"/>
          <w:szCs w:val="24"/>
        </w:rPr>
        <w:t xml:space="preserve">The percent of patients who had </w:t>
      </w:r>
      <w:r w:rsidRPr="00FA3F9C">
        <w:rPr>
          <w:rFonts w:ascii="Arial" w:hAnsi="Arial" w:cs="Arial"/>
          <w:sz w:val="24"/>
          <w:szCs w:val="24"/>
          <w:u w:val="single"/>
        </w:rPr>
        <w:t>&gt;</w:t>
      </w:r>
      <w:r w:rsidRPr="00FA3F9C">
        <w:rPr>
          <w:rFonts w:ascii="Arial" w:hAnsi="Arial" w:cs="Arial"/>
          <w:sz w:val="24"/>
          <w:szCs w:val="24"/>
        </w:rPr>
        <w:t xml:space="preserve">50% reduction from baseline in RBC transfusion burden (with a minimum reduction of at least 2 units) was 7.6% in the </w:t>
      </w:r>
      <w:proofErr w:type="spellStart"/>
      <w:r w:rsidRPr="00FA3F9C">
        <w:rPr>
          <w:rFonts w:ascii="Arial" w:hAnsi="Arial" w:cs="Arial"/>
          <w:sz w:val="24"/>
          <w:szCs w:val="24"/>
        </w:rPr>
        <w:t>luspatercept</w:t>
      </w:r>
      <w:proofErr w:type="spellEnd"/>
      <w:r w:rsidRPr="00FA3F9C">
        <w:rPr>
          <w:rFonts w:ascii="Arial" w:hAnsi="Arial" w:cs="Arial"/>
          <w:sz w:val="24"/>
          <w:szCs w:val="24"/>
        </w:rPr>
        <w:t xml:space="preserve"> group compared to 1.8% in the placebo group.</w:t>
      </w:r>
    </w:p>
    <w:p w14:paraId="5C8BC746" w14:textId="77777777" w:rsidR="002641D2" w:rsidRPr="00FA3F9C" w:rsidRDefault="002641D2" w:rsidP="002A5FD6">
      <w:pPr>
        <w:pStyle w:val="ListParagraph"/>
        <w:spacing w:after="0" w:line="240" w:lineRule="auto"/>
        <w:ind w:left="180" w:firstLine="540"/>
        <w:rPr>
          <w:rFonts w:ascii="Arial" w:hAnsi="Arial" w:cs="Arial"/>
          <w:sz w:val="24"/>
          <w:szCs w:val="24"/>
        </w:rPr>
      </w:pPr>
      <w:r w:rsidRPr="00FA3F9C">
        <w:rPr>
          <w:rFonts w:ascii="Arial" w:hAnsi="Arial" w:cs="Arial"/>
          <w:sz w:val="24"/>
          <w:szCs w:val="24"/>
        </w:rPr>
        <w:t xml:space="preserve">REFERENCES: </w:t>
      </w:r>
    </w:p>
    <w:p w14:paraId="7968A616" w14:textId="77777777" w:rsidR="002641D2" w:rsidRPr="00FA3F9C" w:rsidRDefault="002641D2" w:rsidP="002A5FD6">
      <w:pPr>
        <w:pStyle w:val="ListParagraph"/>
        <w:spacing w:after="0" w:line="240" w:lineRule="auto"/>
        <w:ind w:left="180" w:firstLine="540"/>
        <w:rPr>
          <w:rFonts w:ascii="Arial" w:hAnsi="Arial" w:cs="Arial"/>
          <w:sz w:val="24"/>
          <w:szCs w:val="24"/>
        </w:rPr>
      </w:pPr>
      <w:r w:rsidRPr="00FA3F9C">
        <w:rPr>
          <w:rFonts w:ascii="Arial" w:hAnsi="Arial" w:cs="Arial"/>
          <w:sz w:val="24"/>
          <w:szCs w:val="24"/>
        </w:rPr>
        <w:t>-</w:t>
      </w:r>
      <w:proofErr w:type="spellStart"/>
      <w:r w:rsidRPr="00FA3F9C">
        <w:rPr>
          <w:rFonts w:ascii="Arial" w:hAnsi="Arial" w:cs="Arial"/>
          <w:sz w:val="24"/>
          <w:szCs w:val="24"/>
        </w:rPr>
        <w:t>Reblozyl</w:t>
      </w:r>
      <w:proofErr w:type="spellEnd"/>
      <w:r w:rsidRPr="00FA3F9C">
        <w:rPr>
          <w:rFonts w:ascii="Arial" w:hAnsi="Arial" w:cs="Arial"/>
          <w:sz w:val="24"/>
          <w:szCs w:val="24"/>
        </w:rPr>
        <w:t xml:space="preserve"> PI. </w:t>
      </w:r>
      <w:hyperlink r:id="rId269" w:history="1">
        <w:r w:rsidRPr="00FA3F9C">
          <w:rPr>
            <w:rStyle w:val="Hyperlink"/>
            <w:rFonts w:ascii="Arial" w:hAnsi="Arial" w:cs="Arial"/>
            <w:sz w:val="24"/>
            <w:szCs w:val="24"/>
          </w:rPr>
          <w:t>https://media.celgene.com/content/uploads/reblozyl-pi.pdf. Accessed 12/10/19</w:t>
        </w:r>
      </w:hyperlink>
      <w:r w:rsidRPr="00FA3F9C">
        <w:rPr>
          <w:rFonts w:ascii="Arial" w:hAnsi="Arial" w:cs="Arial"/>
          <w:sz w:val="24"/>
          <w:szCs w:val="24"/>
        </w:rPr>
        <w:t>.</w:t>
      </w:r>
    </w:p>
    <w:p w14:paraId="3EB89C25" w14:textId="77777777" w:rsidR="002641D2" w:rsidRPr="00FA3F9C" w:rsidRDefault="002641D2" w:rsidP="002A5FD6">
      <w:pPr>
        <w:pStyle w:val="ListParagraph"/>
        <w:spacing w:after="0" w:line="240" w:lineRule="auto"/>
        <w:rPr>
          <w:rFonts w:ascii="Arial" w:hAnsi="Arial" w:cs="Arial"/>
          <w:sz w:val="24"/>
          <w:szCs w:val="24"/>
        </w:rPr>
      </w:pPr>
      <w:r w:rsidRPr="00FA3F9C">
        <w:rPr>
          <w:rFonts w:ascii="Arial" w:hAnsi="Arial" w:cs="Arial"/>
          <w:sz w:val="24"/>
          <w:szCs w:val="24"/>
          <w:lang w:val="fr-FR"/>
        </w:rPr>
        <w:t>-</w:t>
      </w:r>
      <w:proofErr w:type="spellStart"/>
      <w:r w:rsidRPr="00FA3F9C">
        <w:rPr>
          <w:rFonts w:ascii="Arial" w:hAnsi="Arial" w:cs="Arial"/>
          <w:sz w:val="24"/>
          <w:szCs w:val="24"/>
          <w:lang w:val="fr-FR"/>
        </w:rPr>
        <w:t>Cappellini</w:t>
      </w:r>
      <w:proofErr w:type="spellEnd"/>
      <w:r w:rsidRPr="00FA3F9C">
        <w:rPr>
          <w:rFonts w:ascii="Arial" w:hAnsi="Arial" w:cs="Arial"/>
          <w:sz w:val="24"/>
          <w:szCs w:val="24"/>
          <w:lang w:val="fr-FR"/>
        </w:rPr>
        <w:t xml:space="preserve"> MD, </w:t>
      </w:r>
      <w:proofErr w:type="spellStart"/>
      <w:r w:rsidRPr="00FA3F9C">
        <w:rPr>
          <w:rFonts w:ascii="Arial" w:hAnsi="Arial" w:cs="Arial"/>
          <w:sz w:val="24"/>
          <w:szCs w:val="24"/>
          <w:lang w:val="fr-FR"/>
        </w:rPr>
        <w:t>Viprakasit</w:t>
      </w:r>
      <w:proofErr w:type="spellEnd"/>
      <w:r w:rsidRPr="00FA3F9C">
        <w:rPr>
          <w:rFonts w:ascii="Arial" w:hAnsi="Arial" w:cs="Arial"/>
          <w:sz w:val="24"/>
          <w:szCs w:val="24"/>
          <w:lang w:val="fr-FR"/>
        </w:rPr>
        <w:t xml:space="preserve"> V, Taher AT, et al. </w:t>
      </w:r>
      <w:r w:rsidRPr="00FA3F9C">
        <w:rPr>
          <w:rFonts w:ascii="Arial" w:hAnsi="Arial" w:cs="Arial"/>
          <w:sz w:val="24"/>
          <w:szCs w:val="24"/>
        </w:rPr>
        <w:t xml:space="preserve">A Phase 3 Trial of </w:t>
      </w:r>
      <w:proofErr w:type="spellStart"/>
      <w:r w:rsidRPr="00FA3F9C">
        <w:rPr>
          <w:rFonts w:ascii="Arial" w:hAnsi="Arial" w:cs="Arial"/>
          <w:sz w:val="24"/>
          <w:szCs w:val="24"/>
        </w:rPr>
        <w:t>Luspatercept</w:t>
      </w:r>
      <w:proofErr w:type="spellEnd"/>
      <w:r w:rsidRPr="00FA3F9C">
        <w:rPr>
          <w:rFonts w:ascii="Arial" w:hAnsi="Arial" w:cs="Arial"/>
          <w:sz w:val="24"/>
          <w:szCs w:val="24"/>
        </w:rPr>
        <w:t xml:space="preserve"> in Patients with Transfusion-Dependent β-Thalassemia. N </w:t>
      </w:r>
      <w:proofErr w:type="spellStart"/>
      <w:r w:rsidRPr="00FA3F9C">
        <w:rPr>
          <w:rFonts w:ascii="Arial" w:hAnsi="Arial" w:cs="Arial"/>
          <w:sz w:val="24"/>
          <w:szCs w:val="24"/>
        </w:rPr>
        <w:t>Engl</w:t>
      </w:r>
      <w:proofErr w:type="spellEnd"/>
      <w:r w:rsidRPr="00FA3F9C">
        <w:rPr>
          <w:rFonts w:ascii="Arial" w:hAnsi="Arial" w:cs="Arial"/>
          <w:sz w:val="24"/>
          <w:szCs w:val="24"/>
        </w:rPr>
        <w:t xml:space="preserve"> J Med. 2020;382(13):1219–1231. doi:10.1056/NEJMoa1910182</w:t>
      </w:r>
    </w:p>
    <w:p w14:paraId="4B4AFE8C" w14:textId="77777777" w:rsidR="002641D2" w:rsidRPr="00FA3F9C" w:rsidRDefault="002641D2" w:rsidP="002A5FD6">
      <w:pPr>
        <w:pStyle w:val="ListParagraph"/>
        <w:spacing w:after="0" w:line="240" w:lineRule="auto"/>
        <w:ind w:left="1080"/>
        <w:rPr>
          <w:rFonts w:ascii="Arial" w:hAnsi="Arial" w:cs="Arial"/>
          <w:sz w:val="24"/>
          <w:szCs w:val="24"/>
          <w:u w:val="single"/>
        </w:rPr>
      </w:pPr>
    </w:p>
    <w:p w14:paraId="1714292A" w14:textId="77777777" w:rsidR="002641D2" w:rsidRPr="00FA3F9C" w:rsidRDefault="002641D2" w:rsidP="002641D2">
      <w:pPr>
        <w:pStyle w:val="ListParagraph"/>
        <w:numPr>
          <w:ilvl w:val="0"/>
          <w:numId w:val="322"/>
        </w:numPr>
        <w:spacing w:after="0" w:line="240" w:lineRule="auto"/>
        <w:ind w:left="360"/>
        <w:rPr>
          <w:rFonts w:ascii="Arial" w:hAnsi="Arial" w:cs="Arial"/>
          <w:color w:val="0563C1" w:themeColor="hyperlink"/>
          <w:sz w:val="24"/>
          <w:szCs w:val="24"/>
          <w:u w:val="single"/>
        </w:rPr>
      </w:pPr>
      <w:r w:rsidRPr="00FA3F9C">
        <w:rPr>
          <w:rFonts w:ascii="Arial" w:hAnsi="Arial" w:cs="Arial"/>
          <w:sz w:val="24"/>
          <w:szCs w:val="24"/>
        </w:rPr>
        <w:lastRenderedPageBreak/>
        <w:t xml:space="preserve">Anemia failing an erythropoiesis stimulating agent and requiring 2 or more RBC units over 8 weeks in adult patients with very low- to intermediate-risk myelodysplastic syndromes with ring </w:t>
      </w:r>
      <w:proofErr w:type="spellStart"/>
      <w:r w:rsidRPr="00FA3F9C">
        <w:rPr>
          <w:rFonts w:ascii="Arial" w:hAnsi="Arial" w:cs="Arial"/>
          <w:sz w:val="24"/>
          <w:szCs w:val="24"/>
        </w:rPr>
        <w:t>sideroblasts</w:t>
      </w:r>
      <w:proofErr w:type="spellEnd"/>
      <w:r w:rsidRPr="00FA3F9C">
        <w:rPr>
          <w:rFonts w:ascii="Arial" w:hAnsi="Arial" w:cs="Arial"/>
          <w:sz w:val="24"/>
          <w:szCs w:val="24"/>
        </w:rPr>
        <w:t xml:space="preserve"> (MDS-RS) or with myelodysplastic/myeloproliferative neoplasm with ring </w:t>
      </w:r>
      <w:proofErr w:type="spellStart"/>
      <w:r w:rsidRPr="00FA3F9C">
        <w:rPr>
          <w:rFonts w:ascii="Arial" w:hAnsi="Arial" w:cs="Arial"/>
          <w:sz w:val="24"/>
          <w:szCs w:val="24"/>
        </w:rPr>
        <w:t>sideroblasts</w:t>
      </w:r>
      <w:proofErr w:type="spellEnd"/>
      <w:r w:rsidRPr="00FA3F9C">
        <w:rPr>
          <w:rFonts w:ascii="Arial" w:hAnsi="Arial" w:cs="Arial"/>
          <w:sz w:val="24"/>
          <w:szCs w:val="24"/>
        </w:rPr>
        <w:t xml:space="preserve"> and thrombocytosis (MDS/MPN-RS-T) </w:t>
      </w:r>
    </w:p>
    <w:p w14:paraId="7B7BDDBC" w14:textId="77777777" w:rsidR="002641D2" w:rsidRPr="00FA3F9C" w:rsidRDefault="002641D2" w:rsidP="002A5FD6">
      <w:pPr>
        <w:pStyle w:val="ListParagraph"/>
        <w:spacing w:after="0" w:line="240" w:lineRule="auto"/>
        <w:ind w:left="360"/>
        <w:rPr>
          <w:rFonts w:ascii="Arial" w:hAnsi="Arial" w:cs="Arial"/>
          <w:color w:val="0563C1" w:themeColor="hyperlink"/>
          <w:sz w:val="24"/>
          <w:szCs w:val="24"/>
          <w:u w:val="single"/>
        </w:rPr>
      </w:pPr>
    </w:p>
    <w:p w14:paraId="59F67F50" w14:textId="77777777" w:rsidR="002641D2" w:rsidRPr="00FA3F9C" w:rsidRDefault="002641D2" w:rsidP="002A5FD6">
      <w:pPr>
        <w:pStyle w:val="ListParagraph"/>
        <w:spacing w:after="0" w:line="240" w:lineRule="auto"/>
        <w:ind w:left="360"/>
        <w:rPr>
          <w:rFonts w:ascii="Arial" w:hAnsi="Arial" w:cs="Arial"/>
          <w:i/>
          <w:color w:val="0563C1" w:themeColor="hyperlink"/>
          <w:sz w:val="24"/>
          <w:szCs w:val="24"/>
          <w:u w:val="single"/>
        </w:rPr>
      </w:pPr>
      <w:r w:rsidRPr="00FA3F9C">
        <w:rPr>
          <w:rFonts w:ascii="Arial" w:hAnsi="Arial" w:cs="Arial"/>
          <w:i/>
          <w:sz w:val="24"/>
          <w:szCs w:val="24"/>
        </w:rPr>
        <w:t xml:space="preserve">Limitations of Use: </w:t>
      </w:r>
      <w:proofErr w:type="spellStart"/>
      <w:r w:rsidRPr="00FA3F9C">
        <w:rPr>
          <w:rFonts w:ascii="Arial" w:hAnsi="Arial" w:cs="Arial"/>
          <w:i/>
          <w:sz w:val="24"/>
          <w:szCs w:val="24"/>
        </w:rPr>
        <w:t>luspatercept</w:t>
      </w:r>
      <w:proofErr w:type="spellEnd"/>
      <w:r w:rsidRPr="00FA3F9C">
        <w:rPr>
          <w:rFonts w:ascii="Arial" w:hAnsi="Arial" w:cs="Arial"/>
          <w:i/>
          <w:sz w:val="24"/>
          <w:szCs w:val="24"/>
        </w:rPr>
        <w:t xml:space="preserve"> is not indicated for use as a substitute for RBC transfusions in patients who require immediate correction of anemia</w:t>
      </w:r>
    </w:p>
    <w:p w14:paraId="607F1061" w14:textId="77777777" w:rsidR="002641D2" w:rsidRPr="00FA3F9C" w:rsidRDefault="002641D2" w:rsidP="000E20D3">
      <w:pPr>
        <w:pStyle w:val="ListParagraph"/>
        <w:spacing w:after="0"/>
        <w:rPr>
          <w:rFonts w:ascii="Arial" w:hAnsi="Arial" w:cs="Arial"/>
          <w:sz w:val="24"/>
          <w:szCs w:val="24"/>
        </w:rPr>
      </w:pPr>
    </w:p>
    <w:p w14:paraId="05A43DCC" w14:textId="77777777" w:rsidR="002641D2" w:rsidRPr="00FA3F9C" w:rsidRDefault="002641D2" w:rsidP="000E20D3">
      <w:pPr>
        <w:pStyle w:val="ListParagraph"/>
        <w:spacing w:after="0"/>
        <w:rPr>
          <w:rFonts w:ascii="Arial" w:hAnsi="Arial" w:cs="Arial"/>
          <w:sz w:val="24"/>
          <w:szCs w:val="24"/>
        </w:rPr>
      </w:pPr>
    </w:p>
    <w:tbl>
      <w:tblPr>
        <w:tblStyle w:val="TableGrid"/>
        <w:tblW w:w="0" w:type="auto"/>
        <w:tblLook w:val="04A0" w:firstRow="1" w:lastRow="0" w:firstColumn="1" w:lastColumn="0" w:noHBand="0" w:noVBand="1"/>
      </w:tblPr>
      <w:tblGrid>
        <w:gridCol w:w="8928"/>
        <w:gridCol w:w="2088"/>
      </w:tblGrid>
      <w:tr w:rsidR="002641D2" w:rsidRPr="00FA3F9C" w14:paraId="1B66A7FD" w14:textId="77777777" w:rsidTr="00571CAB">
        <w:tc>
          <w:tcPr>
            <w:tcW w:w="8928" w:type="dxa"/>
            <w:shd w:val="clear" w:color="auto" w:fill="000000"/>
          </w:tcPr>
          <w:p w14:paraId="08E36573" w14:textId="77777777" w:rsidR="002641D2" w:rsidRPr="00FA3F9C" w:rsidRDefault="002641D2" w:rsidP="00571CAB">
            <w:pPr>
              <w:rPr>
                <w:rFonts w:ascii="Arial" w:hAnsi="Arial" w:cs="Arial"/>
                <w:b/>
                <w:sz w:val="24"/>
                <w:szCs w:val="24"/>
                <w:u w:val="single"/>
              </w:rPr>
            </w:pPr>
            <w:r w:rsidRPr="00FA3F9C">
              <w:rPr>
                <w:rFonts w:ascii="Arial" w:hAnsi="Arial" w:cs="Arial"/>
                <w:b/>
                <w:sz w:val="24"/>
                <w:szCs w:val="24"/>
                <w:u w:val="single"/>
              </w:rPr>
              <w:t>Criteria for new users (anemia due to myelodysplastic syndrome)</w:t>
            </w:r>
          </w:p>
        </w:tc>
        <w:tc>
          <w:tcPr>
            <w:tcW w:w="2088" w:type="dxa"/>
            <w:shd w:val="clear" w:color="auto" w:fill="000000"/>
          </w:tcPr>
          <w:p w14:paraId="16B791F2" w14:textId="77777777" w:rsidR="002641D2" w:rsidRPr="00FA3F9C" w:rsidRDefault="002641D2" w:rsidP="006F623F">
            <w:pPr>
              <w:jc w:val="center"/>
              <w:rPr>
                <w:rFonts w:ascii="Arial" w:hAnsi="Arial" w:cs="Arial"/>
                <w:b/>
                <w:sz w:val="24"/>
                <w:szCs w:val="24"/>
                <w:u w:val="single"/>
              </w:rPr>
            </w:pPr>
          </w:p>
        </w:tc>
      </w:tr>
      <w:tr w:rsidR="002641D2" w:rsidRPr="00FA3F9C" w14:paraId="27ED220D" w14:textId="77777777" w:rsidTr="00F337AE">
        <w:tc>
          <w:tcPr>
            <w:tcW w:w="11016" w:type="dxa"/>
            <w:gridSpan w:val="2"/>
          </w:tcPr>
          <w:p w14:paraId="4C475BCB" w14:textId="77777777" w:rsidR="002641D2" w:rsidRPr="00FA3F9C" w:rsidRDefault="002641D2" w:rsidP="0068166D">
            <w:pPr>
              <w:rPr>
                <w:rFonts w:ascii="Arial" w:hAnsi="Arial" w:cs="Arial"/>
                <w:sz w:val="24"/>
                <w:szCs w:val="24"/>
              </w:rPr>
            </w:pPr>
            <w:r w:rsidRPr="00FA3F9C">
              <w:rPr>
                <w:rFonts w:ascii="Arial" w:hAnsi="Arial" w:cs="Arial"/>
                <w:sz w:val="24"/>
                <w:szCs w:val="24"/>
              </w:rPr>
              <w:t xml:space="preserve">1. Diagnosis of myelodysplastic syndrome (MDS) with ring </w:t>
            </w:r>
            <w:proofErr w:type="spellStart"/>
            <w:r w:rsidRPr="00FA3F9C">
              <w:rPr>
                <w:rFonts w:ascii="Arial" w:hAnsi="Arial" w:cs="Arial"/>
                <w:sz w:val="24"/>
                <w:szCs w:val="24"/>
              </w:rPr>
              <w:t>sideroblasts</w:t>
            </w:r>
            <w:proofErr w:type="spellEnd"/>
            <w:r w:rsidRPr="00FA3F9C">
              <w:rPr>
                <w:rFonts w:ascii="Arial" w:hAnsi="Arial" w:cs="Arial"/>
                <w:sz w:val="24"/>
                <w:szCs w:val="24"/>
              </w:rPr>
              <w:t xml:space="preserve"> (MDS-RS) or with myelodysplastic/myeloproliferative neoplasm with ring </w:t>
            </w:r>
            <w:proofErr w:type="spellStart"/>
            <w:r w:rsidRPr="00FA3F9C">
              <w:rPr>
                <w:rFonts w:ascii="Arial" w:hAnsi="Arial" w:cs="Arial"/>
                <w:sz w:val="24"/>
                <w:szCs w:val="24"/>
              </w:rPr>
              <w:t>sideroblasts</w:t>
            </w:r>
            <w:proofErr w:type="spellEnd"/>
            <w:r w:rsidRPr="00FA3F9C">
              <w:rPr>
                <w:rFonts w:ascii="Arial" w:hAnsi="Arial" w:cs="Arial"/>
                <w:sz w:val="24"/>
                <w:szCs w:val="24"/>
              </w:rPr>
              <w:t xml:space="preserve"> and thrombocytosis (MDS/MPN-RL-T)*</w:t>
            </w:r>
          </w:p>
          <w:p w14:paraId="68994E24" w14:textId="77777777" w:rsidR="002641D2" w:rsidRPr="00FA3F9C" w:rsidRDefault="002641D2" w:rsidP="00F359B7">
            <w:pPr>
              <w:rPr>
                <w:rFonts w:ascii="Arial" w:hAnsi="Arial" w:cs="Arial"/>
                <w:sz w:val="24"/>
                <w:szCs w:val="24"/>
              </w:rPr>
            </w:pPr>
          </w:p>
          <w:p w14:paraId="5C579B49" w14:textId="77777777" w:rsidR="002641D2" w:rsidRPr="00FA3F9C" w:rsidRDefault="002641D2" w:rsidP="00501B51">
            <w:pPr>
              <w:ind w:left="270"/>
              <w:rPr>
                <w:rFonts w:ascii="Arial" w:hAnsi="Arial" w:cs="Arial"/>
                <w:sz w:val="24"/>
                <w:szCs w:val="24"/>
              </w:rPr>
            </w:pPr>
            <w:r w:rsidRPr="00FA3F9C">
              <w:rPr>
                <w:rFonts w:ascii="Arial" w:hAnsi="Arial" w:cs="Arial"/>
                <w:sz w:val="24"/>
                <w:szCs w:val="24"/>
              </w:rPr>
              <w:t xml:space="preserve">*Must have &lt;5% bone marrow blasts and either </w:t>
            </w:r>
            <w:r w:rsidRPr="00FA3F9C">
              <w:rPr>
                <w:rFonts w:ascii="Arial" w:hAnsi="Arial" w:cs="Arial"/>
                <w:sz w:val="24"/>
                <w:szCs w:val="24"/>
                <w:u w:val="single"/>
              </w:rPr>
              <w:t>&gt;</w:t>
            </w:r>
            <w:r w:rsidRPr="00FA3F9C">
              <w:rPr>
                <w:rFonts w:ascii="Arial" w:hAnsi="Arial" w:cs="Arial"/>
                <w:sz w:val="24"/>
                <w:szCs w:val="24"/>
              </w:rPr>
              <w:t xml:space="preserve">15% of erythroid precursors with ring </w:t>
            </w:r>
            <w:proofErr w:type="spellStart"/>
            <w:r w:rsidRPr="00FA3F9C">
              <w:rPr>
                <w:rFonts w:ascii="Arial" w:hAnsi="Arial" w:cs="Arial"/>
                <w:sz w:val="24"/>
                <w:szCs w:val="24"/>
              </w:rPr>
              <w:t>sideroblasts</w:t>
            </w:r>
            <w:proofErr w:type="spellEnd"/>
            <w:r w:rsidRPr="00FA3F9C">
              <w:rPr>
                <w:rFonts w:ascii="Arial" w:hAnsi="Arial" w:cs="Arial"/>
                <w:sz w:val="24"/>
                <w:szCs w:val="24"/>
              </w:rPr>
              <w:t xml:space="preserve"> OR ≥5% ring </w:t>
            </w:r>
            <w:proofErr w:type="spellStart"/>
            <w:r w:rsidRPr="00FA3F9C">
              <w:rPr>
                <w:rFonts w:ascii="Arial" w:hAnsi="Arial" w:cs="Arial"/>
                <w:sz w:val="24"/>
                <w:szCs w:val="24"/>
              </w:rPr>
              <w:t>sideroblasts</w:t>
            </w:r>
            <w:proofErr w:type="spellEnd"/>
            <w:r w:rsidRPr="00FA3F9C">
              <w:rPr>
                <w:rFonts w:ascii="Arial" w:hAnsi="Arial" w:cs="Arial"/>
                <w:sz w:val="24"/>
                <w:szCs w:val="24"/>
              </w:rPr>
              <w:t xml:space="preserve"> if an SF3B1 mutation was present. </w:t>
            </w:r>
          </w:p>
        </w:tc>
      </w:tr>
      <w:tr w:rsidR="002641D2" w:rsidRPr="00FA3F9C" w14:paraId="6A425D6C" w14:textId="77777777" w:rsidTr="00B1617E">
        <w:tc>
          <w:tcPr>
            <w:tcW w:w="11016" w:type="dxa"/>
            <w:gridSpan w:val="2"/>
          </w:tcPr>
          <w:p w14:paraId="4F402117" w14:textId="77777777" w:rsidR="002641D2" w:rsidRPr="00FA3F9C" w:rsidRDefault="002641D2" w:rsidP="00F359B7">
            <w:pPr>
              <w:rPr>
                <w:rFonts w:ascii="Arial" w:hAnsi="Arial" w:cs="Arial"/>
                <w:sz w:val="24"/>
                <w:szCs w:val="24"/>
              </w:rPr>
            </w:pPr>
            <w:r w:rsidRPr="00FA3F9C">
              <w:rPr>
                <w:rFonts w:ascii="Arial" w:hAnsi="Arial" w:cs="Arial"/>
                <w:sz w:val="24"/>
                <w:szCs w:val="24"/>
              </w:rPr>
              <w:t>2. MDS is classified as very low, low, or intermediate risk by IPSS-R (see below)</w:t>
            </w:r>
          </w:p>
        </w:tc>
      </w:tr>
      <w:tr w:rsidR="002641D2" w:rsidRPr="00FA3F9C" w14:paraId="187B9D9D" w14:textId="77777777" w:rsidTr="0010789D">
        <w:tc>
          <w:tcPr>
            <w:tcW w:w="11016" w:type="dxa"/>
            <w:gridSpan w:val="2"/>
          </w:tcPr>
          <w:p w14:paraId="0F06F1EC" w14:textId="77777777" w:rsidR="002641D2" w:rsidRPr="00FA3F9C" w:rsidRDefault="002641D2" w:rsidP="0068166D">
            <w:pPr>
              <w:rPr>
                <w:rFonts w:ascii="Arial" w:hAnsi="Arial" w:cs="Arial"/>
                <w:sz w:val="24"/>
                <w:szCs w:val="24"/>
              </w:rPr>
            </w:pPr>
            <w:r w:rsidRPr="00FA3F9C">
              <w:rPr>
                <w:rFonts w:ascii="Arial" w:hAnsi="Arial" w:cs="Arial"/>
                <w:sz w:val="24"/>
                <w:szCs w:val="24"/>
              </w:rPr>
              <w:t xml:space="preserve">3. Age </w:t>
            </w:r>
            <w:r w:rsidRPr="00FA3F9C">
              <w:rPr>
                <w:rFonts w:ascii="Arial" w:hAnsi="Arial" w:cs="Arial"/>
                <w:sz w:val="24"/>
                <w:szCs w:val="24"/>
                <w:u w:val="single"/>
              </w:rPr>
              <w:t>&gt;</w:t>
            </w:r>
            <w:r w:rsidRPr="00FA3F9C">
              <w:rPr>
                <w:rFonts w:ascii="Arial" w:hAnsi="Arial" w:cs="Arial"/>
                <w:sz w:val="24"/>
                <w:szCs w:val="24"/>
              </w:rPr>
              <w:t>18 years or older</w:t>
            </w:r>
          </w:p>
        </w:tc>
      </w:tr>
      <w:tr w:rsidR="002641D2" w:rsidRPr="00FA3F9C" w14:paraId="78C85425" w14:textId="77777777" w:rsidTr="00DA57E0">
        <w:tc>
          <w:tcPr>
            <w:tcW w:w="11016" w:type="dxa"/>
            <w:gridSpan w:val="2"/>
          </w:tcPr>
          <w:p w14:paraId="595A5053" w14:textId="77777777" w:rsidR="002641D2" w:rsidRPr="00FA3F9C" w:rsidRDefault="002641D2" w:rsidP="00501B51">
            <w:pPr>
              <w:rPr>
                <w:rFonts w:ascii="Arial" w:hAnsi="Arial" w:cs="Arial"/>
                <w:sz w:val="24"/>
                <w:szCs w:val="24"/>
              </w:rPr>
            </w:pPr>
            <w:r w:rsidRPr="00FA3F9C">
              <w:rPr>
                <w:rFonts w:ascii="Arial" w:hAnsi="Arial" w:cs="Arial"/>
                <w:sz w:val="24"/>
                <w:szCs w:val="24"/>
              </w:rPr>
              <w:t>4. Patient currently requires at least 2 red cell transfusions every 8 weeks</w:t>
            </w:r>
          </w:p>
        </w:tc>
      </w:tr>
      <w:tr w:rsidR="002641D2" w:rsidRPr="00FA3F9C" w14:paraId="16A177D6" w14:textId="77777777" w:rsidTr="00DA57E0">
        <w:tc>
          <w:tcPr>
            <w:tcW w:w="11016" w:type="dxa"/>
            <w:gridSpan w:val="2"/>
          </w:tcPr>
          <w:p w14:paraId="38510109" w14:textId="77777777" w:rsidR="002641D2" w:rsidRPr="00FA3F9C" w:rsidRDefault="002641D2" w:rsidP="004D3CB4">
            <w:pPr>
              <w:rPr>
                <w:rFonts w:ascii="Arial" w:hAnsi="Arial" w:cs="Arial"/>
                <w:sz w:val="24"/>
                <w:szCs w:val="24"/>
              </w:rPr>
            </w:pPr>
            <w:r w:rsidRPr="00FA3F9C">
              <w:rPr>
                <w:rFonts w:ascii="Arial" w:hAnsi="Arial" w:cs="Arial"/>
                <w:sz w:val="24"/>
                <w:szCs w:val="24"/>
              </w:rPr>
              <w:t xml:space="preserve">5. Anemia is refractory to erythropoiesis-stimulating agents (ESAs) OR serum erythropoietin level is &gt;500 </w:t>
            </w:r>
            <w:proofErr w:type="spellStart"/>
            <w:r w:rsidRPr="00FA3F9C">
              <w:rPr>
                <w:rFonts w:ascii="Arial" w:hAnsi="Arial" w:cs="Arial"/>
                <w:sz w:val="24"/>
                <w:szCs w:val="24"/>
              </w:rPr>
              <w:t>mU</w:t>
            </w:r>
            <w:proofErr w:type="spellEnd"/>
            <w:r w:rsidRPr="00FA3F9C">
              <w:rPr>
                <w:rFonts w:ascii="Arial" w:hAnsi="Arial" w:cs="Arial"/>
                <w:sz w:val="24"/>
                <w:szCs w:val="24"/>
              </w:rPr>
              <w:t>/ml which predicts poor response to ESAs. (</w:t>
            </w:r>
            <w:proofErr w:type="gramStart"/>
            <w:r w:rsidRPr="00FA3F9C">
              <w:rPr>
                <w:rFonts w:ascii="Arial" w:hAnsi="Arial" w:cs="Arial"/>
                <w:sz w:val="24"/>
                <w:szCs w:val="24"/>
              </w:rPr>
              <w:t>note</w:t>
            </w:r>
            <w:proofErr w:type="gramEnd"/>
            <w:r w:rsidRPr="00FA3F9C">
              <w:rPr>
                <w:rFonts w:ascii="Arial" w:hAnsi="Arial" w:cs="Arial"/>
                <w:sz w:val="24"/>
                <w:szCs w:val="24"/>
              </w:rPr>
              <w:t xml:space="preserve">: study used cutoff of 200 </w:t>
            </w:r>
            <w:proofErr w:type="spellStart"/>
            <w:r w:rsidRPr="00FA3F9C">
              <w:rPr>
                <w:rFonts w:ascii="Arial" w:hAnsi="Arial" w:cs="Arial"/>
                <w:sz w:val="24"/>
                <w:szCs w:val="24"/>
              </w:rPr>
              <w:t>mU</w:t>
            </w:r>
            <w:proofErr w:type="spellEnd"/>
            <w:r w:rsidRPr="00FA3F9C">
              <w:rPr>
                <w:rFonts w:ascii="Arial" w:hAnsi="Arial" w:cs="Arial"/>
                <w:sz w:val="24"/>
                <w:szCs w:val="24"/>
              </w:rPr>
              <w:t xml:space="preserve">/mL but NCCN guidelines and UpToDate algorithm recommend a cutoff of 500 </w:t>
            </w:r>
            <w:proofErr w:type="spellStart"/>
            <w:r w:rsidRPr="00FA3F9C">
              <w:rPr>
                <w:rFonts w:ascii="Arial" w:hAnsi="Arial" w:cs="Arial"/>
                <w:sz w:val="24"/>
                <w:szCs w:val="24"/>
              </w:rPr>
              <w:t>mU</w:t>
            </w:r>
            <w:proofErr w:type="spellEnd"/>
            <w:r w:rsidRPr="00FA3F9C">
              <w:rPr>
                <w:rFonts w:ascii="Arial" w:hAnsi="Arial" w:cs="Arial"/>
                <w:sz w:val="24"/>
                <w:szCs w:val="24"/>
              </w:rPr>
              <w:t>/mL)</w:t>
            </w:r>
          </w:p>
        </w:tc>
      </w:tr>
      <w:tr w:rsidR="002641D2" w:rsidRPr="00FA3F9C" w14:paraId="61D95A48" w14:textId="77777777" w:rsidTr="00557F23">
        <w:tc>
          <w:tcPr>
            <w:tcW w:w="11016" w:type="dxa"/>
            <w:gridSpan w:val="2"/>
            <w:shd w:val="clear" w:color="auto" w:fill="F2F2F2" w:themeFill="background1" w:themeFillShade="F2"/>
          </w:tcPr>
          <w:p w14:paraId="4B7EFDBF" w14:textId="77777777" w:rsidR="002641D2" w:rsidRPr="00FA3F9C" w:rsidRDefault="002641D2" w:rsidP="00501B51">
            <w:pPr>
              <w:rPr>
                <w:rFonts w:ascii="Arial" w:hAnsi="Arial" w:cs="Arial"/>
                <w:b/>
                <w:sz w:val="24"/>
                <w:szCs w:val="24"/>
              </w:rPr>
            </w:pPr>
            <w:r w:rsidRPr="00FA3F9C">
              <w:rPr>
                <w:rFonts w:ascii="Arial" w:hAnsi="Arial" w:cs="Arial"/>
                <w:b/>
                <w:sz w:val="24"/>
                <w:szCs w:val="24"/>
              </w:rPr>
              <w:t xml:space="preserve">If all criteria met, approve for 4 months. </w:t>
            </w:r>
          </w:p>
        </w:tc>
      </w:tr>
      <w:tr w:rsidR="002641D2" w:rsidRPr="00FA3F9C" w14:paraId="6925A600" w14:textId="77777777" w:rsidTr="00557F23">
        <w:tc>
          <w:tcPr>
            <w:tcW w:w="11016" w:type="dxa"/>
            <w:gridSpan w:val="2"/>
            <w:shd w:val="clear" w:color="auto" w:fill="000000" w:themeFill="text1"/>
          </w:tcPr>
          <w:p w14:paraId="6A696A73" w14:textId="77777777" w:rsidR="002641D2" w:rsidRPr="00FA3F9C" w:rsidRDefault="002641D2" w:rsidP="00BE3DC6">
            <w:pPr>
              <w:rPr>
                <w:rFonts w:ascii="Arial" w:hAnsi="Arial" w:cs="Arial"/>
                <w:b/>
                <w:sz w:val="24"/>
                <w:szCs w:val="24"/>
              </w:rPr>
            </w:pPr>
            <w:r w:rsidRPr="00FA3F9C">
              <w:rPr>
                <w:rFonts w:ascii="Arial" w:hAnsi="Arial" w:cs="Arial"/>
                <w:b/>
                <w:sz w:val="24"/>
                <w:szCs w:val="24"/>
              </w:rPr>
              <w:t>Continuation criteria</w:t>
            </w:r>
          </w:p>
        </w:tc>
      </w:tr>
      <w:tr w:rsidR="002641D2" w:rsidRPr="00FA3F9C" w14:paraId="0EF9A8F0" w14:textId="77777777" w:rsidTr="00557F23">
        <w:tc>
          <w:tcPr>
            <w:tcW w:w="11016" w:type="dxa"/>
            <w:gridSpan w:val="2"/>
            <w:shd w:val="clear" w:color="auto" w:fill="auto"/>
          </w:tcPr>
          <w:p w14:paraId="645E413D" w14:textId="77777777" w:rsidR="002641D2" w:rsidRPr="00FA3F9C" w:rsidRDefault="002641D2" w:rsidP="00501B51">
            <w:pPr>
              <w:rPr>
                <w:rFonts w:ascii="Arial" w:hAnsi="Arial" w:cs="Arial"/>
                <w:sz w:val="24"/>
                <w:szCs w:val="24"/>
              </w:rPr>
            </w:pPr>
            <w:r w:rsidRPr="00FA3F9C">
              <w:rPr>
                <w:rFonts w:ascii="Arial" w:hAnsi="Arial" w:cs="Arial"/>
                <w:sz w:val="24"/>
                <w:szCs w:val="24"/>
              </w:rPr>
              <w:t xml:space="preserve">After 4 months of treatment, may renew PA approval for 1 year if there is documentation of a reduction in RBC transfusion burden by at least 2 units over an </w:t>
            </w:r>
            <w:proofErr w:type="gramStart"/>
            <w:r w:rsidRPr="00FA3F9C">
              <w:rPr>
                <w:rFonts w:ascii="Arial" w:hAnsi="Arial" w:cs="Arial"/>
                <w:sz w:val="24"/>
                <w:szCs w:val="24"/>
              </w:rPr>
              <w:t>8 week</w:t>
            </w:r>
            <w:proofErr w:type="gramEnd"/>
            <w:r w:rsidRPr="00FA3F9C">
              <w:rPr>
                <w:rFonts w:ascii="Arial" w:hAnsi="Arial" w:cs="Arial"/>
                <w:sz w:val="24"/>
                <w:szCs w:val="24"/>
              </w:rPr>
              <w:t xml:space="preserve"> period compared to baseline (see dosing recommendations below).</w:t>
            </w:r>
          </w:p>
        </w:tc>
      </w:tr>
    </w:tbl>
    <w:p w14:paraId="1AD2C89F" w14:textId="77777777" w:rsidR="002641D2" w:rsidRPr="00FA3F9C" w:rsidRDefault="002641D2" w:rsidP="006F623F">
      <w:pPr>
        <w:spacing w:after="0"/>
        <w:rPr>
          <w:rFonts w:ascii="Arial" w:hAnsi="Arial" w:cs="Arial"/>
          <w:b/>
          <w:sz w:val="24"/>
          <w:szCs w:val="24"/>
          <w:u w:val="single"/>
        </w:rPr>
      </w:pPr>
    </w:p>
    <w:p w14:paraId="23672F8A" w14:textId="77777777" w:rsidR="002641D2" w:rsidRPr="00FA3F9C" w:rsidRDefault="002641D2" w:rsidP="006F623F">
      <w:pPr>
        <w:spacing w:after="0"/>
        <w:rPr>
          <w:rFonts w:ascii="Arial" w:hAnsi="Arial" w:cs="Arial"/>
          <w:b/>
          <w:sz w:val="24"/>
          <w:szCs w:val="24"/>
          <w:u w:val="single"/>
        </w:rPr>
      </w:pPr>
    </w:p>
    <w:p w14:paraId="48978851" w14:textId="77777777" w:rsidR="002641D2" w:rsidRPr="00FA3F9C" w:rsidRDefault="002641D2" w:rsidP="006F623F">
      <w:pPr>
        <w:spacing w:after="0"/>
        <w:rPr>
          <w:rFonts w:ascii="Arial" w:hAnsi="Arial" w:cs="Arial"/>
          <w:b/>
          <w:sz w:val="24"/>
          <w:szCs w:val="24"/>
          <w:u w:val="single"/>
        </w:rPr>
      </w:pPr>
    </w:p>
    <w:tbl>
      <w:tblPr>
        <w:tblStyle w:val="TableGrid"/>
        <w:tblW w:w="0" w:type="auto"/>
        <w:shd w:val="clear" w:color="auto" w:fill="BFBFBF" w:themeFill="background1" w:themeFillShade="BF"/>
        <w:tblLook w:val="04A0" w:firstRow="1" w:lastRow="0" w:firstColumn="1" w:lastColumn="0" w:noHBand="0" w:noVBand="1"/>
      </w:tblPr>
      <w:tblGrid>
        <w:gridCol w:w="12484"/>
      </w:tblGrid>
      <w:tr w:rsidR="002641D2" w:rsidRPr="00FA3F9C" w14:paraId="4958D9F5" w14:textId="77777777" w:rsidTr="00CF73C5">
        <w:trPr>
          <w:trHeight w:val="3140"/>
        </w:trPr>
        <w:tc>
          <w:tcPr>
            <w:tcW w:w="10998" w:type="dxa"/>
            <w:shd w:val="clear" w:color="auto" w:fill="BFBFBF" w:themeFill="background1" w:themeFillShade="BF"/>
          </w:tcPr>
          <w:p w14:paraId="78555454" w14:textId="77777777" w:rsidR="002641D2" w:rsidRPr="00FA3F9C" w:rsidRDefault="002641D2" w:rsidP="00D82B6E">
            <w:pPr>
              <w:rPr>
                <w:rFonts w:ascii="Arial" w:hAnsi="Arial" w:cs="Arial"/>
                <w:sz w:val="24"/>
                <w:szCs w:val="24"/>
              </w:rPr>
            </w:pPr>
            <w:r w:rsidRPr="00FA3F9C">
              <w:rPr>
                <w:rFonts w:ascii="Arial" w:hAnsi="Arial" w:cs="Arial"/>
                <w:sz w:val="24"/>
                <w:szCs w:val="24"/>
              </w:rPr>
              <w:lastRenderedPageBreak/>
              <w:t xml:space="preserve">Evidence: </w:t>
            </w:r>
          </w:p>
          <w:p w14:paraId="7C911099" w14:textId="77777777" w:rsidR="002641D2" w:rsidRPr="00FA3F9C" w:rsidRDefault="002641D2" w:rsidP="00D82B6E">
            <w:pPr>
              <w:rPr>
                <w:rFonts w:ascii="Arial" w:hAnsi="Arial" w:cs="Arial"/>
                <w:sz w:val="24"/>
                <w:szCs w:val="24"/>
              </w:rPr>
            </w:pPr>
            <w:proofErr w:type="spellStart"/>
            <w:r w:rsidRPr="00FA3F9C">
              <w:rPr>
                <w:rFonts w:ascii="Arial" w:hAnsi="Arial" w:cs="Arial"/>
                <w:sz w:val="24"/>
                <w:szCs w:val="24"/>
              </w:rPr>
              <w:t>Luspatercept</w:t>
            </w:r>
            <w:proofErr w:type="spellEnd"/>
            <w:r w:rsidRPr="00FA3F9C">
              <w:rPr>
                <w:rFonts w:ascii="Arial" w:hAnsi="Arial" w:cs="Arial"/>
                <w:sz w:val="24"/>
                <w:szCs w:val="24"/>
              </w:rPr>
              <w:t xml:space="preserve"> was compared to placebo in this patient population. More patients in the </w:t>
            </w:r>
            <w:proofErr w:type="spellStart"/>
            <w:r w:rsidRPr="00FA3F9C">
              <w:rPr>
                <w:rFonts w:ascii="Arial" w:hAnsi="Arial" w:cs="Arial"/>
                <w:sz w:val="24"/>
                <w:szCs w:val="24"/>
              </w:rPr>
              <w:t>luspatercept</w:t>
            </w:r>
            <w:proofErr w:type="spellEnd"/>
            <w:r w:rsidRPr="00FA3F9C">
              <w:rPr>
                <w:rFonts w:ascii="Arial" w:hAnsi="Arial" w:cs="Arial"/>
                <w:sz w:val="24"/>
                <w:szCs w:val="24"/>
              </w:rPr>
              <w:t xml:space="preserve"> group achieved transfusion independence for 8 weeks or longer compared to placebo (38% vs 13%).  </w:t>
            </w:r>
          </w:p>
          <w:p w14:paraId="6436C7F9" w14:textId="77777777" w:rsidR="002641D2" w:rsidRPr="00FA3F9C" w:rsidRDefault="002641D2" w:rsidP="00D82B6E">
            <w:pPr>
              <w:rPr>
                <w:rFonts w:ascii="Arial" w:hAnsi="Arial" w:cs="Arial"/>
                <w:sz w:val="24"/>
                <w:szCs w:val="24"/>
              </w:rPr>
            </w:pPr>
          </w:p>
          <w:p w14:paraId="24A2882E" w14:textId="77777777" w:rsidR="002641D2" w:rsidRPr="00FA3F9C" w:rsidRDefault="002641D2" w:rsidP="00D82B6E">
            <w:pPr>
              <w:rPr>
                <w:rFonts w:ascii="Arial" w:hAnsi="Arial" w:cs="Arial"/>
                <w:sz w:val="24"/>
                <w:szCs w:val="24"/>
              </w:rPr>
            </w:pPr>
            <w:r w:rsidRPr="00FA3F9C">
              <w:rPr>
                <w:rFonts w:ascii="Arial" w:hAnsi="Arial" w:cs="Arial"/>
                <w:sz w:val="24"/>
                <w:szCs w:val="24"/>
              </w:rPr>
              <w:t xml:space="preserve">Note: </w:t>
            </w:r>
          </w:p>
          <w:p w14:paraId="0A4F15B2" w14:textId="77777777" w:rsidR="002641D2" w:rsidRPr="00FA3F9C" w:rsidRDefault="002641D2" w:rsidP="00D82B6E">
            <w:pPr>
              <w:rPr>
                <w:rFonts w:ascii="Arial" w:hAnsi="Arial" w:cs="Arial"/>
                <w:sz w:val="24"/>
                <w:szCs w:val="24"/>
              </w:rPr>
            </w:pPr>
          </w:p>
          <w:p w14:paraId="16FFFDFF" w14:textId="77777777" w:rsidR="002641D2" w:rsidRPr="00FA3F9C" w:rsidRDefault="002641D2" w:rsidP="00D55936">
            <w:pPr>
              <w:rPr>
                <w:rFonts w:ascii="Arial" w:hAnsi="Arial" w:cs="Arial"/>
                <w:sz w:val="24"/>
                <w:szCs w:val="24"/>
              </w:rPr>
            </w:pPr>
            <w:r w:rsidRPr="00FA3F9C">
              <w:rPr>
                <w:rFonts w:ascii="Arial" w:hAnsi="Arial" w:cs="Arial"/>
                <w:sz w:val="24"/>
                <w:szCs w:val="24"/>
              </w:rPr>
              <w:t xml:space="preserve">Dose: </w:t>
            </w:r>
          </w:p>
          <w:p w14:paraId="75BFD92E" w14:textId="77777777" w:rsidR="002641D2" w:rsidRPr="00FA3F9C" w:rsidRDefault="002641D2" w:rsidP="00D55936">
            <w:pPr>
              <w:rPr>
                <w:rFonts w:ascii="Arial" w:hAnsi="Arial" w:cs="Arial"/>
                <w:sz w:val="24"/>
                <w:szCs w:val="24"/>
              </w:rPr>
            </w:pPr>
            <w:r w:rsidRPr="00FA3F9C">
              <w:rPr>
                <w:rFonts w:ascii="Arial" w:hAnsi="Arial" w:cs="Arial"/>
                <w:sz w:val="24"/>
                <w:szCs w:val="24"/>
              </w:rPr>
              <w:t>1 mcg/kg SQ every 3 weeks. Dose may be titrated to a maximum of 1.25 mg/kg based on response. Therapy is stopped if no reduction in transfusion burden after 3 maximized doses.  Package insert and study did not define “reduction in transfusion burden.” The above criteria for continuation (</w:t>
            </w:r>
            <w:r w:rsidRPr="00FA3F9C">
              <w:rPr>
                <w:rFonts w:ascii="Arial" w:hAnsi="Arial" w:cs="Arial"/>
                <w:sz w:val="24"/>
                <w:szCs w:val="24"/>
                <w:u w:val="single"/>
              </w:rPr>
              <w:t>&gt;</w:t>
            </w:r>
            <w:proofErr w:type="gramStart"/>
            <w:r w:rsidRPr="00FA3F9C">
              <w:rPr>
                <w:rFonts w:ascii="Arial" w:hAnsi="Arial" w:cs="Arial"/>
                <w:sz w:val="24"/>
                <w:szCs w:val="24"/>
              </w:rPr>
              <w:t>2 unit</w:t>
            </w:r>
            <w:proofErr w:type="gramEnd"/>
            <w:r w:rsidRPr="00FA3F9C">
              <w:rPr>
                <w:rFonts w:ascii="Arial" w:hAnsi="Arial" w:cs="Arial"/>
                <w:sz w:val="24"/>
                <w:szCs w:val="24"/>
              </w:rPr>
              <w:t xml:space="preserve"> reduction over 8 weeks) was taken from the endpoints used in beta thalassemia trial. Clinical judgment may be used. </w:t>
            </w:r>
          </w:p>
          <w:p w14:paraId="5BFBA6BB" w14:textId="77777777" w:rsidR="002641D2" w:rsidRPr="00FA3F9C" w:rsidRDefault="002641D2" w:rsidP="00D55936">
            <w:pPr>
              <w:rPr>
                <w:rFonts w:ascii="Arial" w:hAnsi="Arial" w:cs="Arial"/>
                <w:sz w:val="24"/>
                <w:szCs w:val="24"/>
              </w:rPr>
            </w:pPr>
          </w:p>
          <w:p w14:paraId="603838DC" w14:textId="77777777" w:rsidR="002641D2" w:rsidRPr="00FA3F9C" w:rsidRDefault="002641D2" w:rsidP="00D55936">
            <w:pPr>
              <w:rPr>
                <w:rFonts w:ascii="Arial" w:hAnsi="Arial" w:cs="Arial"/>
                <w:sz w:val="24"/>
                <w:szCs w:val="24"/>
              </w:rPr>
            </w:pPr>
            <w:r w:rsidRPr="00FA3F9C">
              <w:rPr>
                <w:rFonts w:ascii="Arial" w:hAnsi="Arial" w:cs="Arial"/>
                <w:sz w:val="24"/>
                <w:szCs w:val="24"/>
              </w:rPr>
              <w:t>References:</w:t>
            </w:r>
          </w:p>
          <w:p w14:paraId="67EA4376" w14:textId="77777777" w:rsidR="002641D2" w:rsidRPr="00FA3F9C" w:rsidRDefault="002641D2" w:rsidP="002641D2">
            <w:pPr>
              <w:pStyle w:val="ListParagraph"/>
              <w:numPr>
                <w:ilvl w:val="0"/>
                <w:numId w:val="323"/>
              </w:numPr>
              <w:ind w:left="180" w:hanging="180"/>
              <w:rPr>
                <w:rFonts w:ascii="Arial" w:hAnsi="Arial" w:cs="Arial"/>
                <w:sz w:val="24"/>
                <w:szCs w:val="24"/>
              </w:rPr>
            </w:pPr>
            <w:proofErr w:type="spellStart"/>
            <w:r w:rsidRPr="00FA3F9C">
              <w:rPr>
                <w:rFonts w:ascii="Arial" w:hAnsi="Arial" w:cs="Arial"/>
                <w:sz w:val="24"/>
                <w:szCs w:val="24"/>
                <w:lang w:val="fr-FR"/>
              </w:rPr>
              <w:t>Fenaux</w:t>
            </w:r>
            <w:proofErr w:type="spellEnd"/>
            <w:r w:rsidRPr="00FA3F9C">
              <w:rPr>
                <w:rFonts w:ascii="Arial" w:hAnsi="Arial" w:cs="Arial"/>
                <w:sz w:val="24"/>
                <w:szCs w:val="24"/>
                <w:lang w:val="fr-FR"/>
              </w:rPr>
              <w:t xml:space="preserve"> P, </w:t>
            </w:r>
            <w:proofErr w:type="spellStart"/>
            <w:r w:rsidRPr="00FA3F9C">
              <w:rPr>
                <w:rFonts w:ascii="Arial" w:hAnsi="Arial" w:cs="Arial"/>
                <w:sz w:val="24"/>
                <w:szCs w:val="24"/>
                <w:lang w:val="fr-FR"/>
              </w:rPr>
              <w:t>Platzbecker</w:t>
            </w:r>
            <w:proofErr w:type="spellEnd"/>
            <w:r w:rsidRPr="00FA3F9C">
              <w:rPr>
                <w:rFonts w:ascii="Arial" w:hAnsi="Arial" w:cs="Arial"/>
                <w:sz w:val="24"/>
                <w:szCs w:val="24"/>
                <w:lang w:val="fr-FR"/>
              </w:rPr>
              <w:t xml:space="preserve"> U, Mufti GJ, et al. </w:t>
            </w:r>
            <w:proofErr w:type="spellStart"/>
            <w:r w:rsidRPr="00FA3F9C">
              <w:rPr>
                <w:rFonts w:ascii="Arial" w:hAnsi="Arial" w:cs="Arial"/>
                <w:sz w:val="24"/>
                <w:szCs w:val="24"/>
              </w:rPr>
              <w:t>Luspatercept</w:t>
            </w:r>
            <w:proofErr w:type="spellEnd"/>
            <w:r w:rsidRPr="00FA3F9C">
              <w:rPr>
                <w:rFonts w:ascii="Arial" w:hAnsi="Arial" w:cs="Arial"/>
                <w:sz w:val="24"/>
                <w:szCs w:val="24"/>
              </w:rPr>
              <w:t xml:space="preserve"> in Patients with Lower-Risk Myelodysplastic Syndromes. N </w:t>
            </w:r>
            <w:proofErr w:type="spellStart"/>
            <w:r w:rsidRPr="00FA3F9C">
              <w:rPr>
                <w:rFonts w:ascii="Arial" w:hAnsi="Arial" w:cs="Arial"/>
                <w:sz w:val="24"/>
                <w:szCs w:val="24"/>
              </w:rPr>
              <w:t>Engl</w:t>
            </w:r>
            <w:proofErr w:type="spellEnd"/>
            <w:r w:rsidRPr="00FA3F9C">
              <w:rPr>
                <w:rFonts w:ascii="Arial" w:hAnsi="Arial" w:cs="Arial"/>
                <w:sz w:val="24"/>
                <w:szCs w:val="24"/>
              </w:rPr>
              <w:t xml:space="preserve"> J Med. 2020;382(2):140–151. doi:10.1056/NEJMoa1908892 PMID 31914241</w:t>
            </w:r>
          </w:p>
          <w:p w14:paraId="212AE328" w14:textId="77777777" w:rsidR="002641D2" w:rsidRPr="00FA3F9C" w:rsidRDefault="002641D2" w:rsidP="002641D2">
            <w:pPr>
              <w:pStyle w:val="ListParagraph"/>
              <w:numPr>
                <w:ilvl w:val="0"/>
                <w:numId w:val="323"/>
              </w:numPr>
              <w:ind w:left="180" w:hanging="180"/>
              <w:rPr>
                <w:rFonts w:ascii="Arial" w:hAnsi="Arial" w:cs="Arial"/>
                <w:sz w:val="24"/>
                <w:szCs w:val="24"/>
              </w:rPr>
            </w:pPr>
            <w:r w:rsidRPr="00FA3F9C">
              <w:rPr>
                <w:rFonts w:ascii="Arial" w:hAnsi="Arial" w:cs="Arial"/>
                <w:sz w:val="24"/>
                <w:szCs w:val="24"/>
              </w:rPr>
              <w:t>NCCN Guidelines for Myelodysplastic Syndrome Version 2.2020. Accessed 4/28/2020.</w:t>
            </w:r>
          </w:p>
          <w:p w14:paraId="05592E7B" w14:textId="77777777" w:rsidR="002641D2" w:rsidRPr="00FA3F9C" w:rsidRDefault="002641D2" w:rsidP="002641D2">
            <w:pPr>
              <w:pStyle w:val="ListParagraph"/>
              <w:numPr>
                <w:ilvl w:val="0"/>
                <w:numId w:val="323"/>
              </w:numPr>
              <w:ind w:left="180" w:hanging="180"/>
              <w:rPr>
                <w:rFonts w:ascii="Arial" w:hAnsi="Arial" w:cs="Arial"/>
                <w:sz w:val="24"/>
                <w:szCs w:val="24"/>
              </w:rPr>
            </w:pPr>
            <w:r w:rsidRPr="00FA3F9C">
              <w:rPr>
                <w:rFonts w:ascii="Arial" w:hAnsi="Arial" w:cs="Arial"/>
                <w:sz w:val="24"/>
                <w:szCs w:val="24"/>
              </w:rPr>
              <w:t xml:space="preserve">Treatment of lower-risk myelodysplastic syndromes (MDS). </w:t>
            </w:r>
            <w:hyperlink r:id="rId270" w:anchor="H48" w:history="1">
              <w:r w:rsidRPr="00FA3F9C">
                <w:rPr>
                  <w:rStyle w:val="Hyperlink"/>
                  <w:rFonts w:ascii="Arial" w:hAnsi="Arial" w:cs="Arial"/>
                  <w:sz w:val="24"/>
                  <w:szCs w:val="24"/>
                </w:rPr>
                <w:t>https://www.uptodate.com/contents/treatment-of-lower-risk-myelodysplastic-syndromes-mds?search=luspatercept&amp;source=search_result&amp;selectedTitle=3~10&amp;usage_type=default&amp;display_rank=2#H48</w:t>
              </w:r>
            </w:hyperlink>
            <w:r w:rsidRPr="00FA3F9C">
              <w:rPr>
                <w:rFonts w:ascii="Arial" w:hAnsi="Arial" w:cs="Arial"/>
                <w:sz w:val="24"/>
                <w:szCs w:val="24"/>
              </w:rPr>
              <w:t>. Accessed 4/28/2020.</w:t>
            </w:r>
          </w:p>
        </w:tc>
      </w:tr>
    </w:tbl>
    <w:p w14:paraId="70AE6B76" w14:textId="77777777" w:rsidR="002641D2" w:rsidRPr="00FA3F9C" w:rsidRDefault="002641D2" w:rsidP="006F623F">
      <w:pPr>
        <w:spacing w:after="0"/>
        <w:rPr>
          <w:rFonts w:ascii="Arial" w:hAnsi="Arial" w:cs="Arial"/>
          <w:sz w:val="24"/>
          <w:szCs w:val="24"/>
        </w:rPr>
      </w:pPr>
    </w:p>
    <w:p w14:paraId="6E5D7770" w14:textId="77777777" w:rsidR="002641D2" w:rsidRPr="00FA3F9C" w:rsidRDefault="002641D2" w:rsidP="006F623F">
      <w:pPr>
        <w:spacing w:after="0"/>
        <w:rPr>
          <w:rFonts w:ascii="Arial" w:hAnsi="Arial" w:cs="Arial"/>
          <w:noProof/>
          <w:sz w:val="24"/>
          <w:szCs w:val="24"/>
        </w:rPr>
      </w:pPr>
    </w:p>
    <w:p w14:paraId="12BC0158" w14:textId="77777777" w:rsidR="002641D2" w:rsidRPr="00FA3F9C" w:rsidRDefault="002641D2" w:rsidP="006F623F">
      <w:pPr>
        <w:spacing w:after="0"/>
        <w:rPr>
          <w:rFonts w:ascii="Arial" w:hAnsi="Arial" w:cs="Arial"/>
          <w:noProof/>
          <w:sz w:val="24"/>
          <w:szCs w:val="24"/>
        </w:rPr>
      </w:pPr>
      <w:r w:rsidRPr="00FA3F9C">
        <w:rPr>
          <w:rFonts w:ascii="Arial" w:hAnsi="Arial" w:cs="Arial"/>
          <w:noProof/>
          <w:sz w:val="24"/>
          <w:szCs w:val="24"/>
        </w:rPr>
        <w:t>REVISED INTERNATIONAL PROGNOSTIC SCORING SYSTEM (IPSS-R) (taken from NCCN MDS guidelines)</w:t>
      </w:r>
    </w:p>
    <w:p w14:paraId="518C57F9" w14:textId="77777777" w:rsidR="002641D2" w:rsidRPr="00FA3F9C" w:rsidRDefault="002641D2" w:rsidP="006F623F">
      <w:pPr>
        <w:spacing w:after="0"/>
        <w:rPr>
          <w:rFonts w:ascii="Arial" w:hAnsi="Arial" w:cs="Arial"/>
          <w:sz w:val="24"/>
          <w:szCs w:val="24"/>
        </w:rPr>
      </w:pPr>
      <w:r w:rsidRPr="00FA3F9C">
        <w:rPr>
          <w:rFonts w:ascii="Arial" w:hAnsi="Arial" w:cs="Arial"/>
          <w:noProof/>
          <w:sz w:val="24"/>
          <w:szCs w:val="24"/>
        </w:rPr>
        <w:lastRenderedPageBreak/>
        <w:drawing>
          <wp:inline distT="0" distB="0" distL="0" distR="0" wp14:anchorId="3FA4D82A" wp14:editId="3205A929">
            <wp:extent cx="4791075" cy="2262355"/>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1"/>
                    <a:srcRect l="20255" t="31494" r="65022" b="47906"/>
                    <a:stretch/>
                  </pic:blipFill>
                  <pic:spPr bwMode="auto">
                    <a:xfrm>
                      <a:off x="0" y="0"/>
                      <a:ext cx="4839857" cy="2285390"/>
                    </a:xfrm>
                    <a:prstGeom prst="rect">
                      <a:avLst/>
                    </a:prstGeom>
                    <a:ln>
                      <a:noFill/>
                    </a:ln>
                    <a:extLst>
                      <a:ext uri="{53640926-AAD7-44D8-BBD7-CCE9431645EC}">
                        <a14:shadowObscured xmlns:a14="http://schemas.microsoft.com/office/drawing/2010/main"/>
                      </a:ext>
                    </a:extLst>
                  </pic:spPr>
                </pic:pic>
              </a:graphicData>
            </a:graphic>
          </wp:inline>
        </w:drawing>
      </w:r>
    </w:p>
    <w:p w14:paraId="1017BE7B" w14:textId="77777777" w:rsidR="002641D2" w:rsidRPr="00FA3F9C" w:rsidRDefault="002641D2" w:rsidP="006F623F">
      <w:pPr>
        <w:spacing w:after="0"/>
        <w:rPr>
          <w:rFonts w:ascii="Arial" w:hAnsi="Arial" w:cs="Arial"/>
          <w:sz w:val="24"/>
          <w:szCs w:val="24"/>
        </w:rPr>
      </w:pPr>
    </w:p>
    <w:p w14:paraId="79F3320C" w14:textId="77777777" w:rsidR="002641D2" w:rsidRPr="00FA3F9C" w:rsidRDefault="002641D2" w:rsidP="006F623F">
      <w:pPr>
        <w:spacing w:after="0"/>
        <w:rPr>
          <w:rFonts w:ascii="Arial" w:hAnsi="Arial" w:cs="Arial"/>
          <w:sz w:val="24"/>
          <w:szCs w:val="24"/>
        </w:rPr>
      </w:pPr>
    </w:p>
    <w:p w14:paraId="01D3ED80" w14:textId="77777777" w:rsidR="002641D2" w:rsidRPr="00FA3F9C" w:rsidRDefault="002641D2"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284"/>
        <w:gridCol w:w="7470"/>
        <w:gridCol w:w="2538"/>
      </w:tblGrid>
      <w:tr w:rsidR="002641D2" w:rsidRPr="00FA3F9C" w14:paraId="6899D750" w14:textId="77777777" w:rsidTr="00FE491B">
        <w:tc>
          <w:tcPr>
            <w:tcW w:w="1008" w:type="dxa"/>
          </w:tcPr>
          <w:p w14:paraId="3A4AF3C9" w14:textId="77777777" w:rsidR="002641D2" w:rsidRPr="00FA3F9C" w:rsidRDefault="002641D2" w:rsidP="006F623F">
            <w:pPr>
              <w:rPr>
                <w:rFonts w:ascii="Arial" w:hAnsi="Arial" w:cs="Arial"/>
                <w:sz w:val="24"/>
                <w:szCs w:val="24"/>
              </w:rPr>
            </w:pPr>
            <w:r w:rsidRPr="00FA3F9C">
              <w:rPr>
                <w:rFonts w:ascii="Arial" w:hAnsi="Arial" w:cs="Arial"/>
                <w:sz w:val="24"/>
                <w:szCs w:val="24"/>
              </w:rPr>
              <w:t>Date</w:t>
            </w:r>
          </w:p>
        </w:tc>
        <w:tc>
          <w:tcPr>
            <w:tcW w:w="7470" w:type="dxa"/>
          </w:tcPr>
          <w:p w14:paraId="687726E8" w14:textId="77777777" w:rsidR="002641D2" w:rsidRPr="00FA3F9C" w:rsidRDefault="002641D2" w:rsidP="006F623F">
            <w:pPr>
              <w:rPr>
                <w:rFonts w:ascii="Arial" w:hAnsi="Arial" w:cs="Arial"/>
                <w:sz w:val="24"/>
                <w:szCs w:val="24"/>
              </w:rPr>
            </w:pPr>
            <w:r w:rsidRPr="00FA3F9C">
              <w:rPr>
                <w:rFonts w:ascii="Arial" w:hAnsi="Arial" w:cs="Arial"/>
                <w:sz w:val="24"/>
                <w:szCs w:val="24"/>
              </w:rPr>
              <w:t>What changed</w:t>
            </w:r>
          </w:p>
        </w:tc>
        <w:tc>
          <w:tcPr>
            <w:tcW w:w="2538" w:type="dxa"/>
          </w:tcPr>
          <w:p w14:paraId="3E1C8EAA" w14:textId="77777777" w:rsidR="002641D2" w:rsidRPr="00FA3F9C" w:rsidRDefault="002641D2" w:rsidP="006F623F">
            <w:pPr>
              <w:rPr>
                <w:rFonts w:ascii="Arial" w:hAnsi="Arial" w:cs="Arial"/>
                <w:sz w:val="24"/>
                <w:szCs w:val="24"/>
              </w:rPr>
            </w:pPr>
            <w:r w:rsidRPr="00FA3F9C">
              <w:rPr>
                <w:rFonts w:ascii="Arial" w:hAnsi="Arial" w:cs="Arial"/>
                <w:sz w:val="24"/>
                <w:szCs w:val="24"/>
              </w:rPr>
              <w:t>Pharmacist’s initials</w:t>
            </w:r>
          </w:p>
        </w:tc>
      </w:tr>
      <w:tr w:rsidR="002641D2" w:rsidRPr="00FA3F9C" w14:paraId="794E2D71" w14:textId="77777777" w:rsidTr="00FE491B">
        <w:tc>
          <w:tcPr>
            <w:tcW w:w="1008" w:type="dxa"/>
          </w:tcPr>
          <w:p w14:paraId="70E603CF" w14:textId="77777777" w:rsidR="002641D2" w:rsidRPr="00FA3F9C" w:rsidRDefault="002641D2" w:rsidP="006F623F">
            <w:pPr>
              <w:rPr>
                <w:rFonts w:ascii="Arial" w:hAnsi="Arial" w:cs="Arial"/>
                <w:sz w:val="24"/>
                <w:szCs w:val="24"/>
              </w:rPr>
            </w:pPr>
            <w:r w:rsidRPr="00FA3F9C">
              <w:rPr>
                <w:rFonts w:ascii="Arial" w:hAnsi="Arial" w:cs="Arial"/>
                <w:sz w:val="24"/>
                <w:szCs w:val="24"/>
              </w:rPr>
              <w:t>4/28/2020</w:t>
            </w:r>
          </w:p>
        </w:tc>
        <w:tc>
          <w:tcPr>
            <w:tcW w:w="7470" w:type="dxa"/>
          </w:tcPr>
          <w:p w14:paraId="432CFDAE" w14:textId="77777777" w:rsidR="002641D2" w:rsidRPr="00FA3F9C" w:rsidRDefault="002641D2" w:rsidP="006F623F">
            <w:pPr>
              <w:rPr>
                <w:rFonts w:ascii="Arial" w:hAnsi="Arial" w:cs="Arial"/>
                <w:sz w:val="24"/>
                <w:szCs w:val="24"/>
              </w:rPr>
            </w:pPr>
            <w:r w:rsidRPr="00FA3F9C">
              <w:rPr>
                <w:rFonts w:ascii="Arial" w:hAnsi="Arial" w:cs="Arial"/>
                <w:sz w:val="24"/>
                <w:szCs w:val="24"/>
              </w:rPr>
              <w:t>Criteria written.</w:t>
            </w:r>
          </w:p>
        </w:tc>
        <w:tc>
          <w:tcPr>
            <w:tcW w:w="2538" w:type="dxa"/>
          </w:tcPr>
          <w:p w14:paraId="300CE231" w14:textId="77777777" w:rsidR="002641D2" w:rsidRPr="00FA3F9C" w:rsidRDefault="002641D2" w:rsidP="006F623F">
            <w:pPr>
              <w:rPr>
                <w:rFonts w:ascii="Arial" w:hAnsi="Arial" w:cs="Arial"/>
                <w:sz w:val="24"/>
                <w:szCs w:val="24"/>
              </w:rPr>
            </w:pPr>
            <w:r w:rsidRPr="00FA3F9C">
              <w:rPr>
                <w:rFonts w:ascii="Arial" w:hAnsi="Arial" w:cs="Arial"/>
                <w:sz w:val="24"/>
                <w:szCs w:val="24"/>
              </w:rPr>
              <w:t>SK</w:t>
            </w:r>
          </w:p>
        </w:tc>
      </w:tr>
      <w:tr w:rsidR="002641D2" w:rsidRPr="00FA3F9C" w14:paraId="4F426BEC" w14:textId="77777777" w:rsidTr="00FE491B">
        <w:tc>
          <w:tcPr>
            <w:tcW w:w="1008" w:type="dxa"/>
          </w:tcPr>
          <w:p w14:paraId="4732385E" w14:textId="77777777" w:rsidR="002641D2" w:rsidRPr="00FA3F9C" w:rsidRDefault="002641D2" w:rsidP="006F623F">
            <w:pPr>
              <w:rPr>
                <w:rFonts w:ascii="Arial" w:hAnsi="Arial" w:cs="Arial"/>
                <w:sz w:val="24"/>
                <w:szCs w:val="24"/>
              </w:rPr>
            </w:pPr>
            <w:r w:rsidRPr="00FA3F9C">
              <w:rPr>
                <w:rFonts w:ascii="Arial" w:hAnsi="Arial" w:cs="Arial"/>
                <w:sz w:val="24"/>
                <w:szCs w:val="24"/>
              </w:rPr>
              <w:t>7/26/2021</w:t>
            </w:r>
          </w:p>
        </w:tc>
        <w:tc>
          <w:tcPr>
            <w:tcW w:w="7470" w:type="dxa"/>
          </w:tcPr>
          <w:p w14:paraId="6CA952C6" w14:textId="77777777" w:rsidR="002641D2" w:rsidRPr="00FA3F9C" w:rsidRDefault="002641D2" w:rsidP="006F623F">
            <w:pPr>
              <w:rPr>
                <w:rFonts w:ascii="Arial" w:hAnsi="Arial" w:cs="Arial"/>
                <w:sz w:val="24"/>
                <w:szCs w:val="24"/>
              </w:rPr>
            </w:pPr>
            <w:r w:rsidRPr="00FA3F9C">
              <w:rPr>
                <w:rFonts w:ascii="Arial" w:hAnsi="Arial" w:cs="Arial"/>
                <w:sz w:val="24"/>
                <w:szCs w:val="24"/>
              </w:rPr>
              <w:t>Criteria reviewed. No change</w:t>
            </w:r>
          </w:p>
        </w:tc>
        <w:tc>
          <w:tcPr>
            <w:tcW w:w="2538" w:type="dxa"/>
          </w:tcPr>
          <w:p w14:paraId="36D973F6" w14:textId="77777777" w:rsidR="002641D2" w:rsidRPr="00FA3F9C" w:rsidRDefault="002641D2" w:rsidP="006F623F">
            <w:pPr>
              <w:rPr>
                <w:rFonts w:ascii="Arial" w:hAnsi="Arial" w:cs="Arial"/>
                <w:sz w:val="24"/>
                <w:szCs w:val="24"/>
              </w:rPr>
            </w:pPr>
            <w:proofErr w:type="spellStart"/>
            <w:r w:rsidRPr="00FA3F9C">
              <w:rPr>
                <w:rFonts w:ascii="Arial" w:hAnsi="Arial" w:cs="Arial"/>
                <w:sz w:val="24"/>
                <w:szCs w:val="24"/>
              </w:rPr>
              <w:t>sk</w:t>
            </w:r>
            <w:proofErr w:type="spellEnd"/>
          </w:p>
        </w:tc>
      </w:tr>
    </w:tbl>
    <w:p w14:paraId="4233287B" w14:textId="77777777" w:rsidR="002641D2" w:rsidRPr="00FA3F9C" w:rsidRDefault="002641D2" w:rsidP="00891E3C">
      <w:pPr>
        <w:spacing w:after="0"/>
        <w:rPr>
          <w:rFonts w:ascii="Arial" w:hAnsi="Arial" w:cs="Arial"/>
          <w:sz w:val="24"/>
          <w:szCs w:val="24"/>
        </w:rPr>
      </w:pPr>
    </w:p>
    <w:p w14:paraId="1A09FCFA" w14:textId="77777777" w:rsidR="002641D2" w:rsidRPr="00FA3F9C" w:rsidRDefault="002641D2" w:rsidP="002A1632">
      <w:pPr>
        <w:pStyle w:val="Heading2"/>
      </w:pPr>
      <w:bookmarkStart w:id="174" w:name="_Toc106369853"/>
      <w:r w:rsidRPr="00FA3F9C">
        <w:t>Lutetium Lu 177 (</w:t>
      </w:r>
      <w:proofErr w:type="spellStart"/>
      <w:r w:rsidRPr="00FA3F9C">
        <w:t>Lutathera</w:t>
      </w:r>
      <w:proofErr w:type="spellEnd"/>
      <w:r w:rsidRPr="00FA3F9C">
        <w:t>)</w:t>
      </w:r>
      <w:bookmarkEnd w:id="174"/>
    </w:p>
    <w:p w14:paraId="0C3AC5A9" w14:textId="77777777" w:rsidR="002641D2" w:rsidRPr="00FA3F9C" w:rsidRDefault="002641D2" w:rsidP="006F623F">
      <w:pPr>
        <w:spacing w:after="0"/>
        <w:jc w:val="center"/>
        <w:rPr>
          <w:rFonts w:ascii="Arial" w:hAnsi="Arial" w:cs="Arial"/>
          <w:sz w:val="24"/>
          <w:szCs w:val="24"/>
        </w:rPr>
      </w:pPr>
      <w:r w:rsidRPr="00FA3F9C">
        <w:rPr>
          <w:rFonts w:ascii="Arial" w:hAnsi="Arial" w:cs="Arial"/>
          <w:sz w:val="24"/>
          <w:szCs w:val="24"/>
        </w:rPr>
        <w:t xml:space="preserve">370 MBq/ml (10 </w:t>
      </w:r>
      <w:proofErr w:type="spellStart"/>
      <w:r w:rsidRPr="00FA3F9C">
        <w:rPr>
          <w:rFonts w:ascii="Arial" w:hAnsi="Arial" w:cs="Arial"/>
          <w:sz w:val="24"/>
          <w:szCs w:val="24"/>
        </w:rPr>
        <w:t>mCi</w:t>
      </w:r>
      <w:proofErr w:type="spellEnd"/>
      <w:r w:rsidRPr="00FA3F9C">
        <w:rPr>
          <w:rFonts w:ascii="Arial" w:hAnsi="Arial" w:cs="Arial"/>
          <w:sz w:val="24"/>
          <w:szCs w:val="24"/>
        </w:rPr>
        <w:t xml:space="preserve">/ml) vial [one vial contains equivalent of 200 </w:t>
      </w:r>
      <w:proofErr w:type="spellStart"/>
      <w:r w:rsidRPr="00FA3F9C">
        <w:rPr>
          <w:rFonts w:ascii="Arial" w:hAnsi="Arial" w:cs="Arial"/>
          <w:sz w:val="24"/>
          <w:szCs w:val="24"/>
        </w:rPr>
        <w:t>mCi</w:t>
      </w:r>
      <w:proofErr w:type="spellEnd"/>
      <w:r w:rsidRPr="00FA3F9C">
        <w:rPr>
          <w:rFonts w:ascii="Arial" w:hAnsi="Arial" w:cs="Arial"/>
          <w:sz w:val="24"/>
          <w:szCs w:val="24"/>
        </w:rPr>
        <w:t>)</w:t>
      </w:r>
    </w:p>
    <w:p w14:paraId="45BD98C5" w14:textId="77777777" w:rsidR="002641D2" w:rsidRPr="00FA3F9C" w:rsidRDefault="002641D2" w:rsidP="006F623F">
      <w:pPr>
        <w:spacing w:after="0"/>
        <w:jc w:val="center"/>
        <w:rPr>
          <w:rFonts w:ascii="Arial" w:hAnsi="Arial" w:cs="Arial"/>
          <w:sz w:val="24"/>
          <w:szCs w:val="24"/>
        </w:rPr>
      </w:pPr>
      <w:r w:rsidRPr="00FA3F9C">
        <w:rPr>
          <w:rFonts w:ascii="Arial" w:hAnsi="Arial" w:cs="Arial"/>
          <w:sz w:val="24"/>
          <w:szCs w:val="24"/>
        </w:rPr>
        <w:t>EBRx PA Criteria</w:t>
      </w:r>
    </w:p>
    <w:p w14:paraId="159A9622" w14:textId="77777777" w:rsidR="002641D2" w:rsidRPr="00FA3F9C" w:rsidRDefault="002641D2" w:rsidP="006F623F">
      <w:pPr>
        <w:spacing w:after="0"/>
        <w:rPr>
          <w:rFonts w:ascii="Arial" w:hAnsi="Arial" w:cs="Arial"/>
          <w:b/>
          <w:sz w:val="24"/>
          <w:szCs w:val="24"/>
          <w:u w:val="single"/>
        </w:rPr>
      </w:pPr>
    </w:p>
    <w:p w14:paraId="667E64A6" w14:textId="77777777" w:rsidR="002641D2" w:rsidRPr="00FA3F9C" w:rsidRDefault="002641D2"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w:t>
      </w:r>
    </w:p>
    <w:p w14:paraId="19E82D64" w14:textId="77777777" w:rsidR="002641D2" w:rsidRPr="00FA3F9C" w:rsidRDefault="002641D2" w:rsidP="00863C0E">
      <w:pPr>
        <w:tabs>
          <w:tab w:val="left" w:pos="450"/>
          <w:tab w:val="left" w:pos="540"/>
        </w:tabs>
        <w:spacing w:after="0"/>
        <w:rPr>
          <w:rFonts w:ascii="Arial" w:hAnsi="Arial" w:cs="Arial"/>
          <w:sz w:val="24"/>
          <w:szCs w:val="24"/>
        </w:rPr>
      </w:pPr>
      <w:r w:rsidRPr="00FA3F9C">
        <w:rPr>
          <w:rFonts w:ascii="Arial" w:hAnsi="Arial" w:cs="Arial"/>
          <w:sz w:val="24"/>
          <w:szCs w:val="24"/>
        </w:rPr>
        <w:t xml:space="preserve">Treatment of somatostatin receptor-positive </w:t>
      </w:r>
      <w:proofErr w:type="spellStart"/>
      <w:r w:rsidRPr="00FA3F9C">
        <w:rPr>
          <w:rFonts w:ascii="Arial" w:hAnsi="Arial" w:cs="Arial"/>
          <w:sz w:val="24"/>
          <w:szCs w:val="24"/>
        </w:rPr>
        <w:t>gastroenteropancreatic</w:t>
      </w:r>
      <w:proofErr w:type="spellEnd"/>
      <w:r w:rsidRPr="00FA3F9C">
        <w:rPr>
          <w:rFonts w:ascii="Arial" w:hAnsi="Arial" w:cs="Arial"/>
          <w:sz w:val="24"/>
          <w:szCs w:val="24"/>
        </w:rPr>
        <w:t xml:space="preserve"> neuroendocrine tumors (GEP-NETs), including foregut, midgut, and hindgut neuroendocrine tumors in adults.</w:t>
      </w:r>
    </w:p>
    <w:p w14:paraId="7B221D2E" w14:textId="77777777" w:rsidR="002641D2" w:rsidRPr="00FA3F9C" w:rsidRDefault="002641D2" w:rsidP="006F623F">
      <w:pPr>
        <w:spacing w:after="0"/>
        <w:rPr>
          <w:rFonts w:ascii="Arial" w:hAnsi="Arial" w:cs="Arial"/>
          <w:sz w:val="24"/>
          <w:szCs w:val="24"/>
        </w:rPr>
      </w:pPr>
    </w:p>
    <w:tbl>
      <w:tblPr>
        <w:tblStyle w:val="TableGrid"/>
        <w:tblW w:w="0" w:type="auto"/>
        <w:tblLook w:val="04A0" w:firstRow="1" w:lastRow="0" w:firstColumn="1" w:lastColumn="0" w:noHBand="0" w:noVBand="1"/>
      </w:tblPr>
      <w:tblGrid>
        <w:gridCol w:w="8928"/>
        <w:gridCol w:w="2088"/>
      </w:tblGrid>
      <w:tr w:rsidR="002641D2" w:rsidRPr="00FA3F9C" w14:paraId="3F9D4E85" w14:textId="77777777" w:rsidTr="00571CAB">
        <w:tc>
          <w:tcPr>
            <w:tcW w:w="8928" w:type="dxa"/>
            <w:shd w:val="clear" w:color="auto" w:fill="000000"/>
          </w:tcPr>
          <w:p w14:paraId="66C67554" w14:textId="77777777" w:rsidR="002641D2" w:rsidRPr="00FA3F9C" w:rsidRDefault="002641D2"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88" w:type="dxa"/>
            <w:shd w:val="clear" w:color="auto" w:fill="000000"/>
          </w:tcPr>
          <w:p w14:paraId="66900F06" w14:textId="77777777" w:rsidR="002641D2" w:rsidRPr="00FA3F9C" w:rsidRDefault="002641D2" w:rsidP="006F623F">
            <w:pPr>
              <w:jc w:val="center"/>
              <w:rPr>
                <w:rFonts w:ascii="Arial" w:hAnsi="Arial" w:cs="Arial"/>
                <w:b/>
                <w:sz w:val="24"/>
                <w:szCs w:val="24"/>
                <w:u w:val="single"/>
              </w:rPr>
            </w:pPr>
          </w:p>
        </w:tc>
      </w:tr>
      <w:tr w:rsidR="002641D2" w:rsidRPr="00FA3F9C" w14:paraId="17991AAD" w14:textId="77777777" w:rsidTr="00F337AE">
        <w:tc>
          <w:tcPr>
            <w:tcW w:w="11016" w:type="dxa"/>
            <w:gridSpan w:val="2"/>
          </w:tcPr>
          <w:p w14:paraId="10DA0907" w14:textId="77777777" w:rsidR="002641D2" w:rsidRPr="00FA3F9C" w:rsidRDefault="002641D2" w:rsidP="00863C0E">
            <w:pPr>
              <w:rPr>
                <w:rFonts w:ascii="Arial" w:hAnsi="Arial" w:cs="Arial"/>
                <w:sz w:val="24"/>
                <w:szCs w:val="24"/>
              </w:rPr>
            </w:pPr>
            <w:r w:rsidRPr="00FA3F9C">
              <w:rPr>
                <w:rFonts w:ascii="Arial" w:hAnsi="Arial" w:cs="Arial"/>
                <w:sz w:val="24"/>
                <w:szCs w:val="24"/>
              </w:rPr>
              <w:t xml:space="preserve">1. Diagnosis of </w:t>
            </w:r>
            <w:r w:rsidRPr="00FA3F9C">
              <w:rPr>
                <w:rFonts w:ascii="Arial" w:hAnsi="Arial" w:cs="Arial"/>
                <w:i/>
                <w:sz w:val="24"/>
                <w:szCs w:val="24"/>
              </w:rPr>
              <w:t>midgut</w:t>
            </w:r>
            <w:r w:rsidRPr="00FA3F9C">
              <w:rPr>
                <w:rFonts w:ascii="Arial" w:hAnsi="Arial" w:cs="Arial"/>
                <w:sz w:val="24"/>
                <w:szCs w:val="24"/>
              </w:rPr>
              <w:t xml:space="preserve"> </w:t>
            </w:r>
            <w:proofErr w:type="spellStart"/>
            <w:r w:rsidRPr="00FA3F9C">
              <w:rPr>
                <w:rFonts w:ascii="Arial" w:hAnsi="Arial" w:cs="Arial"/>
                <w:sz w:val="24"/>
                <w:szCs w:val="24"/>
              </w:rPr>
              <w:t>gastroenteropancreatic</w:t>
            </w:r>
            <w:proofErr w:type="spellEnd"/>
            <w:r w:rsidRPr="00FA3F9C">
              <w:rPr>
                <w:rFonts w:ascii="Arial" w:hAnsi="Arial" w:cs="Arial"/>
                <w:sz w:val="24"/>
                <w:szCs w:val="24"/>
              </w:rPr>
              <w:t xml:space="preserve"> neuroendocrine tumor (GEP-NET) [</w:t>
            </w:r>
            <w:proofErr w:type="gramStart"/>
            <w:r w:rsidRPr="00FA3F9C">
              <w:rPr>
                <w:rFonts w:ascii="Arial" w:hAnsi="Arial" w:cs="Arial"/>
                <w:sz w:val="24"/>
                <w:szCs w:val="24"/>
              </w:rPr>
              <w:t>e.g.</w:t>
            </w:r>
            <w:proofErr w:type="gramEnd"/>
            <w:r w:rsidRPr="00FA3F9C">
              <w:rPr>
                <w:rFonts w:ascii="Arial" w:hAnsi="Arial" w:cs="Arial"/>
                <w:sz w:val="24"/>
                <w:szCs w:val="24"/>
              </w:rPr>
              <w:t xml:space="preserve"> neuroendocrine tumor or carcinoid tumor of the jejunum, ileum, appendix, right colon, or small intestine (not otherwise specified).</w:t>
            </w:r>
          </w:p>
        </w:tc>
      </w:tr>
      <w:tr w:rsidR="002641D2" w:rsidRPr="00FA3F9C" w14:paraId="2AE6B934" w14:textId="77777777" w:rsidTr="00B1617E">
        <w:tc>
          <w:tcPr>
            <w:tcW w:w="11016" w:type="dxa"/>
            <w:gridSpan w:val="2"/>
          </w:tcPr>
          <w:p w14:paraId="67A11D1C" w14:textId="77777777" w:rsidR="002641D2" w:rsidRPr="00FA3F9C" w:rsidRDefault="002641D2" w:rsidP="006F623F">
            <w:pPr>
              <w:rPr>
                <w:rFonts w:ascii="Arial" w:hAnsi="Arial" w:cs="Arial"/>
                <w:sz w:val="24"/>
                <w:szCs w:val="24"/>
              </w:rPr>
            </w:pPr>
            <w:r w:rsidRPr="00FA3F9C">
              <w:rPr>
                <w:rFonts w:ascii="Arial" w:hAnsi="Arial" w:cs="Arial"/>
                <w:sz w:val="24"/>
                <w:szCs w:val="24"/>
              </w:rPr>
              <w:lastRenderedPageBreak/>
              <w:t>2. Tumor is unresectable</w:t>
            </w:r>
          </w:p>
        </w:tc>
      </w:tr>
      <w:tr w:rsidR="002641D2" w:rsidRPr="00FA3F9C" w14:paraId="0BF98C6C" w14:textId="77777777" w:rsidTr="0010789D">
        <w:tc>
          <w:tcPr>
            <w:tcW w:w="11016" w:type="dxa"/>
            <w:gridSpan w:val="2"/>
          </w:tcPr>
          <w:p w14:paraId="705BC74B" w14:textId="77777777" w:rsidR="002641D2" w:rsidRPr="00FA3F9C" w:rsidRDefault="002641D2" w:rsidP="00863C0E">
            <w:pPr>
              <w:rPr>
                <w:rFonts w:ascii="Arial" w:hAnsi="Arial" w:cs="Arial"/>
                <w:sz w:val="24"/>
                <w:szCs w:val="24"/>
              </w:rPr>
            </w:pPr>
            <w:r w:rsidRPr="00FA3F9C">
              <w:rPr>
                <w:rFonts w:ascii="Arial" w:hAnsi="Arial" w:cs="Arial"/>
                <w:sz w:val="24"/>
                <w:szCs w:val="24"/>
              </w:rPr>
              <w:t>3. Somatostatin-receptor scintigraphy of tumor is grade 2 or higher (</w:t>
            </w:r>
            <w:proofErr w:type="gramStart"/>
            <w:r w:rsidRPr="00FA3F9C">
              <w:rPr>
                <w:rFonts w:ascii="Arial" w:hAnsi="Arial" w:cs="Arial"/>
                <w:sz w:val="24"/>
                <w:szCs w:val="24"/>
              </w:rPr>
              <w:t>e.g.</w:t>
            </w:r>
            <w:proofErr w:type="gramEnd"/>
            <w:r w:rsidRPr="00FA3F9C">
              <w:rPr>
                <w:rFonts w:ascii="Arial" w:hAnsi="Arial" w:cs="Arial"/>
                <w:sz w:val="24"/>
                <w:szCs w:val="24"/>
              </w:rPr>
              <w:t xml:space="preserve"> positive </w:t>
            </w:r>
            <w:proofErr w:type="spellStart"/>
            <w:r w:rsidRPr="00FA3F9C">
              <w:rPr>
                <w:rFonts w:ascii="Arial" w:hAnsi="Arial" w:cs="Arial"/>
                <w:sz w:val="24"/>
                <w:szCs w:val="24"/>
              </w:rPr>
              <w:t>OctreoScan</w:t>
            </w:r>
            <w:proofErr w:type="spellEnd"/>
            <w:r w:rsidRPr="00FA3F9C">
              <w:rPr>
                <w:rFonts w:ascii="Arial" w:hAnsi="Arial" w:cs="Arial"/>
                <w:sz w:val="24"/>
                <w:szCs w:val="24"/>
              </w:rPr>
              <w:t>)</w:t>
            </w:r>
          </w:p>
        </w:tc>
      </w:tr>
      <w:tr w:rsidR="002641D2" w:rsidRPr="00FA3F9C" w14:paraId="57DE825F" w14:textId="77777777" w:rsidTr="00DA57E0">
        <w:tc>
          <w:tcPr>
            <w:tcW w:w="11016" w:type="dxa"/>
            <w:gridSpan w:val="2"/>
          </w:tcPr>
          <w:p w14:paraId="7F8CCE97" w14:textId="77777777" w:rsidR="002641D2" w:rsidRPr="00FA3F9C" w:rsidRDefault="002641D2" w:rsidP="00863C0E">
            <w:pPr>
              <w:rPr>
                <w:rFonts w:ascii="Arial" w:hAnsi="Arial" w:cs="Arial"/>
                <w:sz w:val="24"/>
                <w:szCs w:val="24"/>
              </w:rPr>
            </w:pPr>
            <w:r w:rsidRPr="00FA3F9C">
              <w:rPr>
                <w:rFonts w:ascii="Arial" w:hAnsi="Arial" w:cs="Arial"/>
                <w:sz w:val="24"/>
                <w:szCs w:val="24"/>
              </w:rPr>
              <w:t xml:space="preserve">4. Tumor Ki67 index is 20% or less </w:t>
            </w:r>
          </w:p>
        </w:tc>
      </w:tr>
      <w:tr w:rsidR="002641D2" w:rsidRPr="00FA3F9C" w14:paraId="3C254FE2" w14:textId="77777777" w:rsidTr="00DA57E0">
        <w:tc>
          <w:tcPr>
            <w:tcW w:w="11016" w:type="dxa"/>
            <w:gridSpan w:val="2"/>
          </w:tcPr>
          <w:p w14:paraId="0E3C58BF" w14:textId="77777777" w:rsidR="002641D2" w:rsidRPr="00FA3F9C" w:rsidRDefault="002641D2" w:rsidP="00863C0E">
            <w:pPr>
              <w:rPr>
                <w:rFonts w:ascii="Arial" w:hAnsi="Arial" w:cs="Arial"/>
                <w:sz w:val="24"/>
                <w:szCs w:val="24"/>
              </w:rPr>
            </w:pPr>
            <w:r w:rsidRPr="00FA3F9C">
              <w:rPr>
                <w:rFonts w:ascii="Arial" w:hAnsi="Arial" w:cs="Arial"/>
                <w:sz w:val="24"/>
                <w:szCs w:val="24"/>
              </w:rPr>
              <w:t>5. Tumor has progressed (gotten larger) on a somatostatin analogue (</w:t>
            </w:r>
            <w:proofErr w:type="spellStart"/>
            <w:r w:rsidRPr="00FA3F9C">
              <w:rPr>
                <w:rFonts w:ascii="Arial" w:hAnsi="Arial" w:cs="Arial"/>
                <w:sz w:val="24"/>
                <w:szCs w:val="24"/>
              </w:rPr>
              <w:t>lanreotide</w:t>
            </w:r>
            <w:proofErr w:type="spellEnd"/>
            <w:r w:rsidRPr="00FA3F9C">
              <w:rPr>
                <w:rFonts w:ascii="Arial" w:hAnsi="Arial" w:cs="Arial"/>
                <w:sz w:val="24"/>
                <w:szCs w:val="24"/>
              </w:rPr>
              <w:t xml:space="preserve"> or octreotide) </w:t>
            </w:r>
          </w:p>
        </w:tc>
      </w:tr>
      <w:tr w:rsidR="002641D2" w:rsidRPr="00FA3F9C" w14:paraId="1FB23412" w14:textId="77777777" w:rsidTr="00DA57E0">
        <w:tc>
          <w:tcPr>
            <w:tcW w:w="11016" w:type="dxa"/>
            <w:gridSpan w:val="2"/>
          </w:tcPr>
          <w:p w14:paraId="7E76694A" w14:textId="77777777" w:rsidR="002641D2" w:rsidRPr="00FA3F9C" w:rsidRDefault="002641D2" w:rsidP="00863C0E">
            <w:pPr>
              <w:rPr>
                <w:rFonts w:ascii="Arial" w:hAnsi="Arial" w:cs="Arial"/>
                <w:sz w:val="24"/>
                <w:szCs w:val="24"/>
                <w:u w:val="single"/>
              </w:rPr>
            </w:pPr>
            <w:r w:rsidRPr="00FA3F9C">
              <w:rPr>
                <w:rFonts w:ascii="Arial" w:hAnsi="Arial" w:cs="Arial"/>
                <w:sz w:val="24"/>
                <w:szCs w:val="24"/>
              </w:rPr>
              <w:t xml:space="preserve">6. </w:t>
            </w:r>
            <w:proofErr w:type="spellStart"/>
            <w:r w:rsidRPr="00FA3F9C">
              <w:rPr>
                <w:rFonts w:ascii="Arial" w:hAnsi="Arial" w:cs="Arial"/>
                <w:sz w:val="24"/>
                <w:szCs w:val="24"/>
              </w:rPr>
              <w:t>Karnofsky</w:t>
            </w:r>
            <w:proofErr w:type="spellEnd"/>
            <w:r w:rsidRPr="00FA3F9C">
              <w:rPr>
                <w:rFonts w:ascii="Arial" w:hAnsi="Arial" w:cs="Arial"/>
                <w:sz w:val="24"/>
                <w:szCs w:val="24"/>
              </w:rPr>
              <w:t xml:space="preserve"> performance status is at least 60.</w:t>
            </w:r>
          </w:p>
        </w:tc>
      </w:tr>
      <w:tr w:rsidR="002641D2" w:rsidRPr="00FA3F9C" w14:paraId="7A1DB5D8" w14:textId="77777777" w:rsidTr="005B3A56">
        <w:tc>
          <w:tcPr>
            <w:tcW w:w="11016" w:type="dxa"/>
            <w:gridSpan w:val="2"/>
            <w:shd w:val="clear" w:color="auto" w:fill="F2F2F2" w:themeFill="background1" w:themeFillShade="F2"/>
          </w:tcPr>
          <w:p w14:paraId="12845781" w14:textId="77777777" w:rsidR="002641D2" w:rsidRPr="00FA3F9C" w:rsidRDefault="002641D2" w:rsidP="00863C0E">
            <w:pPr>
              <w:rPr>
                <w:rFonts w:ascii="Arial" w:hAnsi="Arial" w:cs="Arial"/>
                <w:sz w:val="24"/>
                <w:szCs w:val="24"/>
              </w:rPr>
            </w:pPr>
            <w:r w:rsidRPr="00FA3F9C">
              <w:rPr>
                <w:rFonts w:ascii="Arial" w:hAnsi="Arial" w:cs="Arial"/>
                <w:sz w:val="24"/>
                <w:szCs w:val="24"/>
              </w:rPr>
              <w:t>If all criteria met, approve for 6 months. Treatment duration is limited to 4 doses TOTAL.</w:t>
            </w:r>
          </w:p>
        </w:tc>
      </w:tr>
    </w:tbl>
    <w:p w14:paraId="60D61255" w14:textId="77777777" w:rsidR="002641D2" w:rsidRPr="00FA3F9C" w:rsidRDefault="002641D2" w:rsidP="006F623F">
      <w:pPr>
        <w:spacing w:after="0"/>
        <w:rPr>
          <w:rFonts w:ascii="Arial" w:hAnsi="Arial" w:cs="Arial"/>
          <w:b/>
          <w:sz w:val="24"/>
          <w:szCs w:val="24"/>
          <w:u w:val="single"/>
        </w:rPr>
      </w:pPr>
    </w:p>
    <w:p w14:paraId="0F8A3241" w14:textId="77777777" w:rsidR="002641D2" w:rsidRPr="00FA3F9C" w:rsidRDefault="002641D2" w:rsidP="006F623F">
      <w:pPr>
        <w:spacing w:after="0"/>
        <w:rPr>
          <w:rFonts w:ascii="Arial" w:hAnsi="Arial" w:cs="Arial"/>
          <w:b/>
          <w:sz w:val="24"/>
          <w:szCs w:val="24"/>
          <w:u w:val="single"/>
        </w:rPr>
      </w:pPr>
    </w:p>
    <w:p w14:paraId="43B6A641" w14:textId="77777777" w:rsidR="002641D2" w:rsidRPr="00FA3F9C" w:rsidRDefault="002641D2" w:rsidP="006F623F">
      <w:pPr>
        <w:spacing w:after="0"/>
        <w:rPr>
          <w:rFonts w:ascii="Arial" w:hAnsi="Arial" w:cs="Arial"/>
          <w:b/>
          <w:sz w:val="24"/>
          <w:szCs w:val="24"/>
          <w:u w:val="single"/>
        </w:rPr>
      </w:pPr>
    </w:p>
    <w:tbl>
      <w:tblPr>
        <w:tblStyle w:val="TableGrid"/>
        <w:tblW w:w="0" w:type="auto"/>
        <w:shd w:val="clear" w:color="auto" w:fill="BFBFBF" w:themeFill="background1" w:themeFillShade="BF"/>
        <w:tblLook w:val="04A0" w:firstRow="1" w:lastRow="0" w:firstColumn="1" w:lastColumn="0" w:noHBand="0" w:noVBand="1"/>
      </w:tblPr>
      <w:tblGrid>
        <w:gridCol w:w="12334"/>
      </w:tblGrid>
      <w:tr w:rsidR="002641D2" w:rsidRPr="00FA3F9C" w14:paraId="15579EE6" w14:textId="77777777" w:rsidTr="00D82B6E">
        <w:tc>
          <w:tcPr>
            <w:tcW w:w="10998" w:type="dxa"/>
            <w:shd w:val="clear" w:color="auto" w:fill="BFBFBF" w:themeFill="background1" w:themeFillShade="BF"/>
          </w:tcPr>
          <w:p w14:paraId="5114DFC2" w14:textId="77777777" w:rsidR="002641D2" w:rsidRPr="00FA3F9C" w:rsidRDefault="002641D2" w:rsidP="00D82B6E">
            <w:pPr>
              <w:rPr>
                <w:rFonts w:ascii="Arial" w:hAnsi="Arial" w:cs="Arial"/>
                <w:sz w:val="24"/>
                <w:szCs w:val="24"/>
              </w:rPr>
            </w:pPr>
            <w:r w:rsidRPr="00FA3F9C">
              <w:rPr>
                <w:rFonts w:ascii="Arial" w:hAnsi="Arial" w:cs="Arial"/>
                <w:sz w:val="24"/>
                <w:szCs w:val="24"/>
              </w:rPr>
              <w:t xml:space="preserve">Note: </w:t>
            </w:r>
          </w:p>
          <w:p w14:paraId="28D8EEA5" w14:textId="77777777" w:rsidR="002641D2" w:rsidRPr="00FA3F9C" w:rsidRDefault="002641D2" w:rsidP="005B3A56">
            <w:pPr>
              <w:rPr>
                <w:rFonts w:ascii="Arial" w:hAnsi="Arial" w:cs="Arial"/>
                <w:sz w:val="24"/>
                <w:szCs w:val="24"/>
              </w:rPr>
            </w:pPr>
            <w:proofErr w:type="spellStart"/>
            <w:r w:rsidRPr="00FA3F9C">
              <w:rPr>
                <w:rFonts w:ascii="Arial" w:hAnsi="Arial" w:cs="Arial"/>
                <w:sz w:val="24"/>
                <w:szCs w:val="24"/>
              </w:rPr>
              <w:t>Lutathera</w:t>
            </w:r>
            <w:proofErr w:type="spellEnd"/>
            <w:r w:rsidRPr="00FA3F9C">
              <w:rPr>
                <w:rFonts w:ascii="Arial" w:hAnsi="Arial" w:cs="Arial"/>
                <w:sz w:val="24"/>
                <w:szCs w:val="24"/>
              </w:rPr>
              <w:t xml:space="preserve"> was compared to high-dose octreotide in the above population (midgut GEP-NET). A </w:t>
            </w:r>
            <w:r w:rsidRPr="00FA3F9C">
              <w:rPr>
                <w:rFonts w:ascii="Arial" w:hAnsi="Arial" w:cs="Arial"/>
                <w:b/>
                <w:i/>
                <w:sz w:val="24"/>
                <w:szCs w:val="24"/>
              </w:rPr>
              <w:t>trend</w:t>
            </w:r>
            <w:r w:rsidRPr="00FA3F9C">
              <w:rPr>
                <w:rFonts w:ascii="Arial" w:hAnsi="Arial" w:cs="Arial"/>
                <w:sz w:val="24"/>
                <w:szCs w:val="24"/>
              </w:rPr>
              <w:t xml:space="preserve"> to improved overall survival was demonstrated (median OS not reached in </w:t>
            </w:r>
            <w:proofErr w:type="spellStart"/>
            <w:r w:rsidRPr="00FA3F9C">
              <w:rPr>
                <w:rFonts w:ascii="Arial" w:hAnsi="Arial" w:cs="Arial"/>
                <w:sz w:val="24"/>
                <w:szCs w:val="24"/>
              </w:rPr>
              <w:t>Lutathera</w:t>
            </w:r>
            <w:proofErr w:type="spellEnd"/>
            <w:r w:rsidRPr="00FA3F9C">
              <w:rPr>
                <w:rFonts w:ascii="Arial" w:hAnsi="Arial" w:cs="Arial"/>
                <w:sz w:val="24"/>
                <w:szCs w:val="24"/>
              </w:rPr>
              <w:t xml:space="preserve"> arm vs 27.4 </w:t>
            </w:r>
            <w:proofErr w:type="spellStart"/>
            <w:r w:rsidRPr="00FA3F9C">
              <w:rPr>
                <w:rFonts w:ascii="Arial" w:hAnsi="Arial" w:cs="Arial"/>
                <w:sz w:val="24"/>
                <w:szCs w:val="24"/>
              </w:rPr>
              <w:t>mo</w:t>
            </w:r>
            <w:proofErr w:type="spellEnd"/>
            <w:r w:rsidRPr="00FA3F9C">
              <w:rPr>
                <w:rFonts w:ascii="Arial" w:hAnsi="Arial" w:cs="Arial"/>
                <w:sz w:val="24"/>
                <w:szCs w:val="24"/>
              </w:rPr>
              <w:t xml:space="preserve"> in the control </w:t>
            </w:r>
            <w:proofErr w:type="gramStart"/>
            <w:r w:rsidRPr="00FA3F9C">
              <w:rPr>
                <w:rFonts w:ascii="Arial" w:hAnsi="Arial" w:cs="Arial"/>
                <w:sz w:val="24"/>
                <w:szCs w:val="24"/>
              </w:rPr>
              <w:t>arm;</w:t>
            </w:r>
            <w:proofErr w:type="gramEnd"/>
            <w:r w:rsidRPr="00FA3F9C">
              <w:rPr>
                <w:rFonts w:ascii="Arial" w:hAnsi="Arial" w:cs="Arial"/>
                <w:sz w:val="24"/>
                <w:szCs w:val="24"/>
              </w:rPr>
              <w:t xml:space="preserve"> HR 0.52 95% CI 0.32-0.84, p=0.0068). The prespecified p-value threshold for significance at the time of analysis was 0.002, so statistical significance was not achieved. Progression free survival was prolonged in the </w:t>
            </w:r>
            <w:proofErr w:type="spellStart"/>
            <w:r w:rsidRPr="00FA3F9C">
              <w:rPr>
                <w:rFonts w:ascii="Arial" w:hAnsi="Arial" w:cs="Arial"/>
                <w:sz w:val="24"/>
                <w:szCs w:val="24"/>
              </w:rPr>
              <w:t>Lutathera</w:t>
            </w:r>
            <w:proofErr w:type="spellEnd"/>
            <w:r w:rsidRPr="00FA3F9C">
              <w:rPr>
                <w:rFonts w:ascii="Arial" w:hAnsi="Arial" w:cs="Arial"/>
                <w:sz w:val="24"/>
                <w:szCs w:val="24"/>
              </w:rPr>
              <w:t xml:space="preserve"> group (median not reached vs. 8.5 </w:t>
            </w:r>
            <w:proofErr w:type="spellStart"/>
            <w:proofErr w:type="gramStart"/>
            <w:r w:rsidRPr="00FA3F9C">
              <w:rPr>
                <w:rFonts w:ascii="Arial" w:hAnsi="Arial" w:cs="Arial"/>
                <w:sz w:val="24"/>
                <w:szCs w:val="24"/>
              </w:rPr>
              <w:t>mo</w:t>
            </w:r>
            <w:proofErr w:type="spellEnd"/>
            <w:r w:rsidRPr="00FA3F9C">
              <w:rPr>
                <w:rFonts w:ascii="Arial" w:hAnsi="Arial" w:cs="Arial"/>
                <w:sz w:val="24"/>
                <w:szCs w:val="24"/>
              </w:rPr>
              <w:t>;</w:t>
            </w:r>
            <w:proofErr w:type="gramEnd"/>
            <w:r w:rsidRPr="00FA3F9C">
              <w:rPr>
                <w:rFonts w:ascii="Arial" w:hAnsi="Arial" w:cs="Arial"/>
                <w:sz w:val="24"/>
                <w:szCs w:val="24"/>
              </w:rPr>
              <w:t xml:space="preserve"> HR 0.21). Due to clinically significant delays in deterioration of global health (28.8 </w:t>
            </w:r>
            <w:proofErr w:type="spellStart"/>
            <w:r w:rsidRPr="00FA3F9C">
              <w:rPr>
                <w:rFonts w:ascii="Arial" w:hAnsi="Arial" w:cs="Arial"/>
                <w:sz w:val="24"/>
                <w:szCs w:val="24"/>
              </w:rPr>
              <w:t>mo</w:t>
            </w:r>
            <w:proofErr w:type="spellEnd"/>
            <w:r w:rsidRPr="00FA3F9C">
              <w:rPr>
                <w:rFonts w:ascii="Arial" w:hAnsi="Arial" w:cs="Arial"/>
                <w:sz w:val="24"/>
                <w:szCs w:val="24"/>
              </w:rPr>
              <w:t xml:space="preserve"> vs 6.1 </w:t>
            </w:r>
            <w:proofErr w:type="spellStart"/>
            <w:r w:rsidRPr="00FA3F9C">
              <w:rPr>
                <w:rFonts w:ascii="Arial" w:hAnsi="Arial" w:cs="Arial"/>
                <w:sz w:val="24"/>
                <w:szCs w:val="24"/>
              </w:rPr>
              <w:t>mo</w:t>
            </w:r>
            <w:proofErr w:type="spellEnd"/>
            <w:r w:rsidRPr="00FA3F9C">
              <w:rPr>
                <w:rFonts w:ascii="Arial" w:hAnsi="Arial" w:cs="Arial"/>
                <w:sz w:val="24"/>
                <w:szCs w:val="24"/>
              </w:rPr>
              <w:t xml:space="preserve">) and physical functioning (25.2 </w:t>
            </w:r>
            <w:proofErr w:type="spellStart"/>
            <w:r w:rsidRPr="00FA3F9C">
              <w:rPr>
                <w:rFonts w:ascii="Arial" w:hAnsi="Arial" w:cs="Arial"/>
                <w:sz w:val="24"/>
                <w:szCs w:val="24"/>
              </w:rPr>
              <w:t>mo</w:t>
            </w:r>
            <w:proofErr w:type="spellEnd"/>
            <w:r w:rsidRPr="00FA3F9C">
              <w:rPr>
                <w:rFonts w:ascii="Arial" w:hAnsi="Arial" w:cs="Arial"/>
                <w:sz w:val="24"/>
                <w:szCs w:val="24"/>
              </w:rPr>
              <w:t xml:space="preserve"> vs 11.5 </w:t>
            </w:r>
            <w:proofErr w:type="spellStart"/>
            <w:r w:rsidRPr="00FA3F9C">
              <w:rPr>
                <w:rFonts w:ascii="Arial" w:hAnsi="Arial" w:cs="Arial"/>
                <w:sz w:val="24"/>
                <w:szCs w:val="24"/>
              </w:rPr>
              <w:t>mo</w:t>
            </w:r>
            <w:proofErr w:type="spellEnd"/>
            <w:r w:rsidRPr="00FA3F9C">
              <w:rPr>
                <w:rFonts w:ascii="Arial" w:hAnsi="Arial" w:cs="Arial"/>
                <w:sz w:val="24"/>
                <w:szCs w:val="24"/>
              </w:rPr>
              <w:t xml:space="preserve">), EBRx will cover </w:t>
            </w:r>
            <w:r w:rsidRPr="00FA3F9C">
              <w:rPr>
                <w:rFonts w:ascii="Arial" w:hAnsi="Arial" w:cs="Arial"/>
                <w:sz w:val="24"/>
                <w:szCs w:val="24"/>
                <w:u w:val="single"/>
              </w:rPr>
              <w:t>midgut</w:t>
            </w:r>
            <w:r w:rsidRPr="00FA3F9C">
              <w:rPr>
                <w:rFonts w:ascii="Arial" w:hAnsi="Arial" w:cs="Arial"/>
                <w:sz w:val="24"/>
                <w:szCs w:val="24"/>
              </w:rPr>
              <w:t xml:space="preserve"> NETs as defined in criteria.</w:t>
            </w:r>
            <w:r w:rsidRPr="00FA3F9C">
              <w:rPr>
                <w:rFonts w:ascii="Arial" w:hAnsi="Arial" w:cs="Arial"/>
                <w:sz w:val="24"/>
                <w:szCs w:val="24"/>
                <w:vertAlign w:val="superscript"/>
              </w:rPr>
              <w:t>1-4</w:t>
            </w:r>
          </w:p>
          <w:p w14:paraId="2547E943" w14:textId="77777777" w:rsidR="002641D2" w:rsidRPr="00FA3F9C" w:rsidRDefault="002641D2" w:rsidP="005B3A56">
            <w:pPr>
              <w:rPr>
                <w:rFonts w:ascii="Arial" w:hAnsi="Arial" w:cs="Arial"/>
                <w:sz w:val="24"/>
                <w:szCs w:val="24"/>
              </w:rPr>
            </w:pPr>
          </w:p>
          <w:p w14:paraId="52CC8774" w14:textId="77777777" w:rsidR="002641D2" w:rsidRPr="00FA3F9C" w:rsidRDefault="002641D2" w:rsidP="005B3A56">
            <w:pPr>
              <w:rPr>
                <w:rFonts w:ascii="Arial" w:hAnsi="Arial" w:cs="Arial"/>
                <w:sz w:val="24"/>
                <w:szCs w:val="24"/>
              </w:rPr>
            </w:pPr>
            <w:r w:rsidRPr="00FA3F9C">
              <w:rPr>
                <w:rFonts w:ascii="Arial" w:hAnsi="Arial" w:cs="Arial"/>
                <w:sz w:val="24"/>
                <w:szCs w:val="24"/>
              </w:rPr>
              <w:t xml:space="preserve">Note: The FDA approved indication also includes foregut and hindgut GEP-NETs, and off label use of </w:t>
            </w:r>
            <w:proofErr w:type="spellStart"/>
            <w:r w:rsidRPr="00FA3F9C">
              <w:rPr>
                <w:rFonts w:ascii="Arial" w:hAnsi="Arial" w:cs="Arial"/>
                <w:sz w:val="24"/>
                <w:szCs w:val="24"/>
              </w:rPr>
              <w:t>Lutathera</w:t>
            </w:r>
            <w:proofErr w:type="spellEnd"/>
            <w:r w:rsidRPr="00FA3F9C">
              <w:rPr>
                <w:rFonts w:ascii="Arial" w:hAnsi="Arial" w:cs="Arial"/>
                <w:sz w:val="24"/>
                <w:szCs w:val="24"/>
              </w:rPr>
              <w:t xml:space="preserve"> for thymic, bronchial, and pheochromocytomas may be requested. However, due to lack of randomized trials showing improvement in quality of life or overall survival in tumors of these primary sites, EBRx does not recommend coverage </w:t>
            </w:r>
            <w:proofErr w:type="gramStart"/>
            <w:r w:rsidRPr="00FA3F9C">
              <w:rPr>
                <w:rFonts w:ascii="Arial" w:hAnsi="Arial" w:cs="Arial"/>
                <w:sz w:val="24"/>
                <w:szCs w:val="24"/>
              </w:rPr>
              <w:t>at this time</w:t>
            </w:r>
            <w:proofErr w:type="gramEnd"/>
            <w:r w:rsidRPr="00FA3F9C">
              <w:rPr>
                <w:rFonts w:ascii="Arial" w:hAnsi="Arial" w:cs="Arial"/>
                <w:sz w:val="24"/>
                <w:szCs w:val="24"/>
              </w:rPr>
              <w:t xml:space="preserve">.  </w:t>
            </w:r>
          </w:p>
          <w:p w14:paraId="0B755E5C" w14:textId="77777777" w:rsidR="002641D2" w:rsidRPr="00FA3F9C" w:rsidRDefault="002641D2" w:rsidP="005B3A56">
            <w:pPr>
              <w:rPr>
                <w:rFonts w:ascii="Arial" w:hAnsi="Arial" w:cs="Arial"/>
                <w:sz w:val="24"/>
                <w:szCs w:val="24"/>
              </w:rPr>
            </w:pPr>
          </w:p>
          <w:p w14:paraId="30B1B482" w14:textId="77777777" w:rsidR="002641D2" w:rsidRPr="00FA3F9C" w:rsidRDefault="002641D2" w:rsidP="005B3A56">
            <w:pPr>
              <w:rPr>
                <w:rFonts w:ascii="Arial" w:hAnsi="Arial" w:cs="Arial"/>
                <w:sz w:val="24"/>
                <w:szCs w:val="24"/>
              </w:rPr>
            </w:pPr>
            <w:r w:rsidRPr="00FA3F9C">
              <w:rPr>
                <w:rFonts w:ascii="Arial" w:hAnsi="Arial" w:cs="Arial"/>
                <w:sz w:val="24"/>
                <w:szCs w:val="24"/>
              </w:rPr>
              <w:t>References:</w:t>
            </w:r>
          </w:p>
          <w:p w14:paraId="2C66A4D6" w14:textId="77777777" w:rsidR="002641D2" w:rsidRPr="00FA3F9C" w:rsidRDefault="002641D2" w:rsidP="002641D2">
            <w:pPr>
              <w:pStyle w:val="ListParagraph"/>
              <w:numPr>
                <w:ilvl w:val="0"/>
                <w:numId w:val="324"/>
              </w:numPr>
              <w:ind w:left="270" w:hanging="180"/>
              <w:rPr>
                <w:rFonts w:ascii="Arial" w:hAnsi="Arial" w:cs="Arial"/>
                <w:sz w:val="24"/>
                <w:szCs w:val="24"/>
              </w:rPr>
            </w:pPr>
            <w:proofErr w:type="spellStart"/>
            <w:r w:rsidRPr="00FA3F9C">
              <w:rPr>
                <w:rFonts w:ascii="Arial" w:hAnsi="Arial" w:cs="Arial"/>
                <w:sz w:val="24"/>
                <w:szCs w:val="24"/>
              </w:rPr>
              <w:t>Strosberg</w:t>
            </w:r>
            <w:proofErr w:type="spellEnd"/>
            <w:r w:rsidRPr="00FA3F9C">
              <w:rPr>
                <w:rFonts w:ascii="Arial" w:hAnsi="Arial" w:cs="Arial"/>
                <w:sz w:val="24"/>
                <w:szCs w:val="24"/>
              </w:rPr>
              <w:t xml:space="preserve"> J et al. Phase 3 Trial of 177Lu-Dotatate for Midgut Neuroendocrine Tumors. N </w:t>
            </w:r>
            <w:proofErr w:type="spellStart"/>
            <w:r w:rsidRPr="00FA3F9C">
              <w:rPr>
                <w:rFonts w:ascii="Arial" w:hAnsi="Arial" w:cs="Arial"/>
                <w:sz w:val="24"/>
                <w:szCs w:val="24"/>
              </w:rPr>
              <w:t>Engl</w:t>
            </w:r>
            <w:proofErr w:type="spellEnd"/>
            <w:r w:rsidRPr="00FA3F9C">
              <w:rPr>
                <w:rFonts w:ascii="Arial" w:hAnsi="Arial" w:cs="Arial"/>
                <w:sz w:val="24"/>
                <w:szCs w:val="24"/>
              </w:rPr>
              <w:t xml:space="preserve"> J Med. 2017 Jan 12;376(2):125-135. </w:t>
            </w:r>
            <w:proofErr w:type="spellStart"/>
            <w:r w:rsidRPr="00FA3F9C">
              <w:rPr>
                <w:rFonts w:ascii="Arial" w:hAnsi="Arial" w:cs="Arial"/>
                <w:sz w:val="24"/>
                <w:szCs w:val="24"/>
              </w:rPr>
              <w:t>doi</w:t>
            </w:r>
            <w:proofErr w:type="spellEnd"/>
            <w:r w:rsidRPr="00FA3F9C">
              <w:rPr>
                <w:rFonts w:ascii="Arial" w:hAnsi="Arial" w:cs="Arial"/>
                <w:sz w:val="24"/>
                <w:szCs w:val="24"/>
              </w:rPr>
              <w:t>: 10.1056/NEJMoa1607427. PMID 28076709</w:t>
            </w:r>
          </w:p>
          <w:p w14:paraId="78CE75C3" w14:textId="77777777" w:rsidR="002641D2" w:rsidRPr="00FA3F9C" w:rsidRDefault="002641D2" w:rsidP="002641D2">
            <w:pPr>
              <w:pStyle w:val="ListParagraph"/>
              <w:numPr>
                <w:ilvl w:val="0"/>
                <w:numId w:val="324"/>
              </w:numPr>
              <w:ind w:left="270" w:hanging="180"/>
              <w:rPr>
                <w:rFonts w:ascii="Arial" w:hAnsi="Arial" w:cs="Arial"/>
                <w:sz w:val="24"/>
                <w:szCs w:val="24"/>
              </w:rPr>
            </w:pPr>
            <w:proofErr w:type="spellStart"/>
            <w:r w:rsidRPr="00FA3F9C">
              <w:rPr>
                <w:rFonts w:ascii="Arial" w:hAnsi="Arial" w:cs="Arial"/>
                <w:sz w:val="24"/>
                <w:szCs w:val="24"/>
              </w:rPr>
              <w:t>Strosberg</w:t>
            </w:r>
            <w:proofErr w:type="spellEnd"/>
            <w:r w:rsidRPr="00FA3F9C">
              <w:rPr>
                <w:rFonts w:ascii="Arial" w:hAnsi="Arial" w:cs="Arial"/>
                <w:sz w:val="24"/>
                <w:szCs w:val="24"/>
              </w:rPr>
              <w:t xml:space="preserve"> J et al. Health-Related Quality of Life in Patients </w:t>
            </w:r>
            <w:proofErr w:type="gramStart"/>
            <w:r w:rsidRPr="00FA3F9C">
              <w:rPr>
                <w:rFonts w:ascii="Arial" w:hAnsi="Arial" w:cs="Arial"/>
                <w:sz w:val="24"/>
                <w:szCs w:val="24"/>
              </w:rPr>
              <w:t>With</w:t>
            </w:r>
            <w:proofErr w:type="gramEnd"/>
            <w:r w:rsidRPr="00FA3F9C">
              <w:rPr>
                <w:rFonts w:ascii="Arial" w:hAnsi="Arial" w:cs="Arial"/>
                <w:sz w:val="24"/>
                <w:szCs w:val="24"/>
              </w:rPr>
              <w:t xml:space="preserve"> Progressive Midgut Neuroendocrine Tumors Treated With 177Lu-Dotatate in the Phase III NETTER-1 Trial. J Clin Oncol. 2018 Sep 1;36(25):2578-2584. </w:t>
            </w:r>
            <w:proofErr w:type="spellStart"/>
            <w:r w:rsidRPr="00FA3F9C">
              <w:rPr>
                <w:rFonts w:ascii="Arial" w:hAnsi="Arial" w:cs="Arial"/>
                <w:sz w:val="24"/>
                <w:szCs w:val="24"/>
              </w:rPr>
              <w:t>Epub</w:t>
            </w:r>
            <w:proofErr w:type="spellEnd"/>
            <w:r w:rsidRPr="00FA3F9C">
              <w:rPr>
                <w:rFonts w:ascii="Arial" w:hAnsi="Arial" w:cs="Arial"/>
                <w:sz w:val="24"/>
                <w:szCs w:val="24"/>
              </w:rPr>
              <w:t xml:space="preserve"> 2018 Jun 7. PMID 29878866</w:t>
            </w:r>
          </w:p>
          <w:p w14:paraId="2388B9BF" w14:textId="77777777" w:rsidR="002641D2" w:rsidRPr="00FA3F9C" w:rsidRDefault="002641D2" w:rsidP="002641D2">
            <w:pPr>
              <w:pStyle w:val="ListParagraph"/>
              <w:numPr>
                <w:ilvl w:val="0"/>
                <w:numId w:val="324"/>
              </w:numPr>
              <w:ind w:left="270" w:hanging="180"/>
              <w:rPr>
                <w:rFonts w:ascii="Arial" w:hAnsi="Arial" w:cs="Arial"/>
                <w:sz w:val="24"/>
                <w:szCs w:val="24"/>
              </w:rPr>
            </w:pPr>
            <w:r w:rsidRPr="00FA3F9C">
              <w:rPr>
                <w:rFonts w:ascii="Arial" w:hAnsi="Arial" w:cs="Arial"/>
                <w:sz w:val="24"/>
                <w:szCs w:val="24"/>
              </w:rPr>
              <w:t xml:space="preserve">FDA Review of </w:t>
            </w:r>
            <w:proofErr w:type="spellStart"/>
            <w:r w:rsidRPr="00FA3F9C">
              <w:rPr>
                <w:rFonts w:ascii="Arial" w:hAnsi="Arial" w:cs="Arial"/>
                <w:sz w:val="24"/>
                <w:szCs w:val="24"/>
              </w:rPr>
              <w:t>Lutathera</w:t>
            </w:r>
            <w:proofErr w:type="spellEnd"/>
            <w:r w:rsidRPr="00FA3F9C">
              <w:rPr>
                <w:rFonts w:ascii="Arial" w:hAnsi="Arial" w:cs="Arial"/>
                <w:sz w:val="24"/>
                <w:szCs w:val="24"/>
              </w:rPr>
              <w:t>. https://www.accessdata.fda.gov/drugsatfda_docs/nda/2018/208700Orig1s000MultidisciplineR.pdf. Accessed 1/13/2020.</w:t>
            </w:r>
          </w:p>
          <w:p w14:paraId="4F4A8A42" w14:textId="77777777" w:rsidR="002641D2" w:rsidRPr="00FA3F9C" w:rsidRDefault="002641D2" w:rsidP="002641D2">
            <w:pPr>
              <w:pStyle w:val="ListParagraph"/>
              <w:numPr>
                <w:ilvl w:val="0"/>
                <w:numId w:val="324"/>
              </w:numPr>
              <w:ind w:left="270" w:hanging="180"/>
              <w:rPr>
                <w:rFonts w:ascii="Arial" w:hAnsi="Arial" w:cs="Arial"/>
                <w:sz w:val="24"/>
                <w:szCs w:val="24"/>
              </w:rPr>
            </w:pPr>
            <w:proofErr w:type="spellStart"/>
            <w:r w:rsidRPr="00FA3F9C">
              <w:rPr>
                <w:rFonts w:ascii="Arial" w:hAnsi="Arial" w:cs="Arial"/>
                <w:sz w:val="24"/>
                <w:szCs w:val="24"/>
              </w:rPr>
              <w:lastRenderedPageBreak/>
              <w:t>Lutathera</w:t>
            </w:r>
            <w:proofErr w:type="spellEnd"/>
            <w:r w:rsidRPr="00FA3F9C">
              <w:rPr>
                <w:rFonts w:ascii="Arial" w:hAnsi="Arial" w:cs="Arial"/>
                <w:sz w:val="24"/>
                <w:szCs w:val="24"/>
              </w:rPr>
              <w:t xml:space="preserve"> PI. </w:t>
            </w:r>
            <w:hyperlink r:id="rId272" w:history="1">
              <w:r w:rsidRPr="00FA3F9C">
                <w:rPr>
                  <w:rStyle w:val="Hyperlink"/>
                  <w:rFonts w:ascii="Arial" w:hAnsi="Arial" w:cs="Arial"/>
                  <w:sz w:val="24"/>
                  <w:szCs w:val="24"/>
                </w:rPr>
                <w:t>https://s3-eu-west-1.amazonaws.com/s3-lutathera/wp-content/uploads/2018/07/12100815/LUTATHERA_lutetium_Lu_177_dotatate_FDA_Prescribing_Information.pdf</w:t>
              </w:r>
            </w:hyperlink>
          </w:p>
          <w:p w14:paraId="79A6F6D1" w14:textId="77777777" w:rsidR="002641D2" w:rsidRPr="00FA3F9C" w:rsidRDefault="002641D2" w:rsidP="001013D4">
            <w:pPr>
              <w:rPr>
                <w:rFonts w:ascii="Arial" w:hAnsi="Arial" w:cs="Arial"/>
                <w:sz w:val="24"/>
                <w:szCs w:val="24"/>
              </w:rPr>
            </w:pPr>
            <w:r w:rsidRPr="00FA3F9C">
              <w:rPr>
                <w:rFonts w:ascii="Arial" w:hAnsi="Arial" w:cs="Arial"/>
                <w:sz w:val="24"/>
                <w:szCs w:val="24"/>
                <w:u w:val="single"/>
              </w:rPr>
              <w:t>NCCN guidelines:</w:t>
            </w:r>
            <w:r w:rsidRPr="00FA3F9C">
              <w:rPr>
                <w:rFonts w:ascii="Arial" w:hAnsi="Arial" w:cs="Arial"/>
                <w:sz w:val="24"/>
                <w:szCs w:val="24"/>
              </w:rPr>
              <w:t xml:space="preserve"> NCCN Guidelines Version 1.2019 Neuroendocrine and Adrenal Tumors. </w:t>
            </w:r>
            <w:hyperlink r:id="rId273" w:history="1">
              <w:r w:rsidRPr="00FA3F9C">
                <w:rPr>
                  <w:rStyle w:val="Hyperlink"/>
                  <w:rFonts w:ascii="Arial" w:hAnsi="Arial" w:cs="Arial"/>
                  <w:sz w:val="24"/>
                  <w:szCs w:val="24"/>
                </w:rPr>
                <w:t>https://www.nccn.org/professionals/physician_gls/pdf/neuroendocrine.pdf</w:t>
              </w:r>
            </w:hyperlink>
            <w:r w:rsidRPr="00FA3F9C">
              <w:rPr>
                <w:rFonts w:ascii="Arial" w:hAnsi="Arial" w:cs="Arial"/>
                <w:sz w:val="24"/>
                <w:szCs w:val="24"/>
              </w:rPr>
              <w:t xml:space="preserve">. </w:t>
            </w:r>
          </w:p>
        </w:tc>
      </w:tr>
    </w:tbl>
    <w:p w14:paraId="5D77917B" w14:textId="77777777" w:rsidR="002641D2" w:rsidRPr="00FA3F9C" w:rsidRDefault="002641D2" w:rsidP="006F623F">
      <w:pPr>
        <w:spacing w:after="0"/>
        <w:rPr>
          <w:rFonts w:ascii="Arial" w:hAnsi="Arial" w:cs="Arial"/>
          <w:sz w:val="24"/>
          <w:szCs w:val="24"/>
        </w:rPr>
      </w:pPr>
    </w:p>
    <w:p w14:paraId="4F14F0CD" w14:textId="77777777" w:rsidR="002641D2" w:rsidRPr="00FA3F9C" w:rsidRDefault="002641D2" w:rsidP="006F623F">
      <w:pPr>
        <w:spacing w:after="0"/>
        <w:rPr>
          <w:rFonts w:ascii="Arial" w:hAnsi="Arial" w:cs="Arial"/>
          <w:sz w:val="24"/>
          <w:szCs w:val="24"/>
        </w:rPr>
      </w:pPr>
      <w:r w:rsidRPr="00FA3F9C">
        <w:rPr>
          <w:rFonts w:ascii="Arial" w:hAnsi="Arial" w:cs="Arial"/>
          <w:sz w:val="24"/>
          <w:szCs w:val="24"/>
        </w:rPr>
        <w:t>Quantity Limits: n/a (clinic-administered drug)</w:t>
      </w:r>
    </w:p>
    <w:p w14:paraId="7166CF7F" w14:textId="77777777" w:rsidR="002641D2" w:rsidRPr="00FA3F9C" w:rsidRDefault="002641D2" w:rsidP="006F623F">
      <w:pPr>
        <w:spacing w:after="0"/>
        <w:rPr>
          <w:rFonts w:ascii="Arial" w:hAnsi="Arial" w:cs="Arial"/>
          <w:sz w:val="24"/>
          <w:szCs w:val="24"/>
        </w:rPr>
      </w:pPr>
    </w:p>
    <w:p w14:paraId="103331FA" w14:textId="77777777" w:rsidR="002641D2" w:rsidRPr="00FA3F9C" w:rsidRDefault="002641D2"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284"/>
        <w:gridCol w:w="7470"/>
        <w:gridCol w:w="2538"/>
      </w:tblGrid>
      <w:tr w:rsidR="002641D2" w:rsidRPr="00FA3F9C" w14:paraId="7F773901" w14:textId="77777777" w:rsidTr="00FE491B">
        <w:tc>
          <w:tcPr>
            <w:tcW w:w="1008" w:type="dxa"/>
          </w:tcPr>
          <w:p w14:paraId="1710FA99" w14:textId="77777777" w:rsidR="002641D2" w:rsidRPr="00FA3F9C" w:rsidRDefault="002641D2" w:rsidP="006F623F">
            <w:pPr>
              <w:rPr>
                <w:rFonts w:ascii="Arial" w:hAnsi="Arial" w:cs="Arial"/>
                <w:sz w:val="24"/>
                <w:szCs w:val="24"/>
              </w:rPr>
            </w:pPr>
            <w:r w:rsidRPr="00FA3F9C">
              <w:rPr>
                <w:rFonts w:ascii="Arial" w:hAnsi="Arial" w:cs="Arial"/>
                <w:sz w:val="24"/>
                <w:szCs w:val="24"/>
              </w:rPr>
              <w:t>Date</w:t>
            </w:r>
          </w:p>
        </w:tc>
        <w:tc>
          <w:tcPr>
            <w:tcW w:w="7470" w:type="dxa"/>
          </w:tcPr>
          <w:p w14:paraId="016A6A98" w14:textId="77777777" w:rsidR="002641D2" w:rsidRPr="00FA3F9C" w:rsidRDefault="002641D2" w:rsidP="006F623F">
            <w:pPr>
              <w:rPr>
                <w:rFonts w:ascii="Arial" w:hAnsi="Arial" w:cs="Arial"/>
                <w:sz w:val="24"/>
                <w:szCs w:val="24"/>
              </w:rPr>
            </w:pPr>
            <w:r w:rsidRPr="00FA3F9C">
              <w:rPr>
                <w:rFonts w:ascii="Arial" w:hAnsi="Arial" w:cs="Arial"/>
                <w:sz w:val="24"/>
                <w:szCs w:val="24"/>
              </w:rPr>
              <w:t>What changed</w:t>
            </w:r>
          </w:p>
        </w:tc>
        <w:tc>
          <w:tcPr>
            <w:tcW w:w="2538" w:type="dxa"/>
          </w:tcPr>
          <w:p w14:paraId="6A8806BC" w14:textId="77777777" w:rsidR="002641D2" w:rsidRPr="00FA3F9C" w:rsidRDefault="002641D2" w:rsidP="006F623F">
            <w:pPr>
              <w:rPr>
                <w:rFonts w:ascii="Arial" w:hAnsi="Arial" w:cs="Arial"/>
                <w:sz w:val="24"/>
                <w:szCs w:val="24"/>
              </w:rPr>
            </w:pPr>
            <w:r w:rsidRPr="00FA3F9C">
              <w:rPr>
                <w:rFonts w:ascii="Arial" w:hAnsi="Arial" w:cs="Arial"/>
                <w:sz w:val="24"/>
                <w:szCs w:val="24"/>
              </w:rPr>
              <w:t>Pharmacist’s initials</w:t>
            </w:r>
          </w:p>
        </w:tc>
      </w:tr>
      <w:tr w:rsidR="002641D2" w:rsidRPr="00FA3F9C" w14:paraId="2BF29249" w14:textId="77777777" w:rsidTr="00FE491B">
        <w:tc>
          <w:tcPr>
            <w:tcW w:w="1008" w:type="dxa"/>
          </w:tcPr>
          <w:p w14:paraId="1BD2D772" w14:textId="77777777" w:rsidR="002641D2" w:rsidRPr="00FA3F9C" w:rsidRDefault="002641D2" w:rsidP="006F623F">
            <w:pPr>
              <w:rPr>
                <w:rFonts w:ascii="Arial" w:hAnsi="Arial" w:cs="Arial"/>
                <w:sz w:val="24"/>
                <w:szCs w:val="24"/>
              </w:rPr>
            </w:pPr>
            <w:r w:rsidRPr="00FA3F9C">
              <w:rPr>
                <w:rFonts w:ascii="Arial" w:hAnsi="Arial" w:cs="Arial"/>
                <w:sz w:val="24"/>
                <w:szCs w:val="24"/>
              </w:rPr>
              <w:t>2/24/2020</w:t>
            </w:r>
          </w:p>
        </w:tc>
        <w:tc>
          <w:tcPr>
            <w:tcW w:w="7470" w:type="dxa"/>
          </w:tcPr>
          <w:p w14:paraId="02A00277" w14:textId="77777777" w:rsidR="002641D2" w:rsidRPr="00FA3F9C" w:rsidRDefault="002641D2" w:rsidP="006F623F">
            <w:pPr>
              <w:rPr>
                <w:rFonts w:ascii="Arial" w:hAnsi="Arial" w:cs="Arial"/>
                <w:sz w:val="24"/>
                <w:szCs w:val="24"/>
              </w:rPr>
            </w:pPr>
            <w:r w:rsidRPr="00FA3F9C">
              <w:rPr>
                <w:rFonts w:ascii="Arial" w:hAnsi="Arial" w:cs="Arial"/>
                <w:sz w:val="24"/>
                <w:szCs w:val="24"/>
              </w:rPr>
              <w:t>Reviewed at DCWG 2/3/2020 and criteria written.</w:t>
            </w:r>
          </w:p>
        </w:tc>
        <w:tc>
          <w:tcPr>
            <w:tcW w:w="2538" w:type="dxa"/>
          </w:tcPr>
          <w:p w14:paraId="4F8B3EBC" w14:textId="77777777" w:rsidR="002641D2" w:rsidRPr="00FA3F9C" w:rsidRDefault="002641D2" w:rsidP="006F623F">
            <w:pPr>
              <w:rPr>
                <w:rFonts w:ascii="Arial" w:hAnsi="Arial" w:cs="Arial"/>
                <w:sz w:val="24"/>
                <w:szCs w:val="24"/>
              </w:rPr>
            </w:pPr>
            <w:r w:rsidRPr="00FA3F9C">
              <w:rPr>
                <w:rFonts w:ascii="Arial" w:hAnsi="Arial" w:cs="Arial"/>
                <w:sz w:val="24"/>
                <w:szCs w:val="24"/>
              </w:rPr>
              <w:t>SK</w:t>
            </w:r>
          </w:p>
        </w:tc>
      </w:tr>
      <w:tr w:rsidR="002641D2" w:rsidRPr="00FA3F9C" w14:paraId="09A3F6DC" w14:textId="77777777" w:rsidTr="00FE491B">
        <w:tc>
          <w:tcPr>
            <w:tcW w:w="1008" w:type="dxa"/>
          </w:tcPr>
          <w:p w14:paraId="13E2B8CA" w14:textId="77777777" w:rsidR="002641D2" w:rsidRPr="00FA3F9C" w:rsidRDefault="002641D2" w:rsidP="006F623F">
            <w:pPr>
              <w:rPr>
                <w:rFonts w:ascii="Arial" w:hAnsi="Arial" w:cs="Arial"/>
                <w:sz w:val="24"/>
                <w:szCs w:val="24"/>
              </w:rPr>
            </w:pPr>
            <w:r w:rsidRPr="00FA3F9C">
              <w:rPr>
                <w:rFonts w:ascii="Arial" w:hAnsi="Arial" w:cs="Arial"/>
                <w:sz w:val="24"/>
                <w:szCs w:val="24"/>
              </w:rPr>
              <w:t>3/29/2021</w:t>
            </w:r>
          </w:p>
        </w:tc>
        <w:tc>
          <w:tcPr>
            <w:tcW w:w="7470" w:type="dxa"/>
          </w:tcPr>
          <w:p w14:paraId="7BD7CEAF" w14:textId="77777777" w:rsidR="002641D2" w:rsidRPr="00FA3F9C" w:rsidRDefault="002641D2" w:rsidP="006F623F">
            <w:pPr>
              <w:rPr>
                <w:rFonts w:ascii="Arial" w:hAnsi="Arial" w:cs="Arial"/>
                <w:sz w:val="24"/>
                <w:szCs w:val="24"/>
              </w:rPr>
            </w:pPr>
            <w:r w:rsidRPr="00FA3F9C">
              <w:rPr>
                <w:rFonts w:ascii="Arial" w:hAnsi="Arial" w:cs="Arial"/>
                <w:sz w:val="24"/>
                <w:szCs w:val="24"/>
              </w:rPr>
              <w:t>Criteria reviewed. No change.</w:t>
            </w:r>
          </w:p>
        </w:tc>
        <w:tc>
          <w:tcPr>
            <w:tcW w:w="2538" w:type="dxa"/>
          </w:tcPr>
          <w:p w14:paraId="2120FD59" w14:textId="77777777" w:rsidR="002641D2" w:rsidRPr="00FA3F9C" w:rsidRDefault="002641D2" w:rsidP="006F623F">
            <w:pPr>
              <w:rPr>
                <w:rFonts w:ascii="Arial" w:hAnsi="Arial" w:cs="Arial"/>
                <w:sz w:val="24"/>
                <w:szCs w:val="24"/>
              </w:rPr>
            </w:pPr>
            <w:r w:rsidRPr="00FA3F9C">
              <w:rPr>
                <w:rFonts w:ascii="Arial" w:hAnsi="Arial" w:cs="Arial"/>
                <w:sz w:val="24"/>
                <w:szCs w:val="24"/>
              </w:rPr>
              <w:t>SK</w:t>
            </w:r>
          </w:p>
        </w:tc>
      </w:tr>
    </w:tbl>
    <w:p w14:paraId="7241F9E2" w14:textId="77777777" w:rsidR="002641D2" w:rsidRPr="00FA3F9C" w:rsidRDefault="002641D2" w:rsidP="006F623F">
      <w:pPr>
        <w:spacing w:after="0"/>
        <w:rPr>
          <w:rFonts w:ascii="Arial" w:hAnsi="Arial" w:cs="Arial"/>
          <w:sz w:val="24"/>
          <w:szCs w:val="24"/>
        </w:rPr>
      </w:pPr>
    </w:p>
    <w:p w14:paraId="4896A0F6" w14:textId="77777777" w:rsidR="002641D2" w:rsidRPr="00FA3F9C" w:rsidRDefault="002641D2" w:rsidP="002A1632">
      <w:pPr>
        <w:pStyle w:val="Heading2"/>
      </w:pPr>
      <w:bookmarkStart w:id="175" w:name="_Toc106369854"/>
      <w:proofErr w:type="spellStart"/>
      <w:r w:rsidRPr="00FA3F9C">
        <w:t>Macitentan</w:t>
      </w:r>
      <w:proofErr w:type="spellEnd"/>
      <w:r w:rsidRPr="00FA3F9C">
        <w:t xml:space="preserve"> (</w:t>
      </w:r>
      <w:proofErr w:type="spellStart"/>
      <w:r w:rsidRPr="00FA3F9C">
        <w:t>Opsumit</w:t>
      </w:r>
      <w:proofErr w:type="spellEnd"/>
      <w:r w:rsidRPr="00FA3F9C">
        <w:t>)</w:t>
      </w:r>
      <w:bookmarkEnd w:id="175"/>
    </w:p>
    <w:p w14:paraId="55A9DF4C" w14:textId="75A5DEFF" w:rsidR="002641D2" w:rsidRDefault="002641D2" w:rsidP="00743217">
      <w:pPr>
        <w:spacing w:after="0"/>
        <w:jc w:val="center"/>
        <w:rPr>
          <w:rFonts w:ascii="Arial" w:hAnsi="Arial" w:cs="Arial"/>
          <w:sz w:val="24"/>
          <w:szCs w:val="24"/>
        </w:rPr>
      </w:pPr>
      <w:r w:rsidRPr="00FA3F9C">
        <w:rPr>
          <w:rFonts w:ascii="Arial" w:hAnsi="Arial" w:cs="Arial"/>
          <w:sz w:val="24"/>
          <w:szCs w:val="24"/>
        </w:rPr>
        <w:t>10mg oral tablets</w:t>
      </w:r>
    </w:p>
    <w:p w14:paraId="0D882EDF" w14:textId="77777777" w:rsidR="002A1632" w:rsidRPr="00FA3F9C" w:rsidRDefault="002A1632" w:rsidP="002A1632">
      <w:pPr>
        <w:spacing w:after="0"/>
        <w:jc w:val="center"/>
        <w:rPr>
          <w:rFonts w:ascii="Arial" w:hAnsi="Arial" w:cs="Arial"/>
          <w:sz w:val="24"/>
          <w:szCs w:val="24"/>
        </w:rPr>
      </w:pPr>
      <w:r w:rsidRPr="00FA3F9C">
        <w:rPr>
          <w:rFonts w:ascii="Arial" w:hAnsi="Arial" w:cs="Arial"/>
          <w:sz w:val="24"/>
          <w:szCs w:val="24"/>
        </w:rPr>
        <w:t>EBRx PA Criteria</w:t>
      </w:r>
    </w:p>
    <w:p w14:paraId="7768E0E2" w14:textId="77777777" w:rsidR="002A1632" w:rsidRPr="00FA3F9C" w:rsidRDefault="002A1632" w:rsidP="00743217">
      <w:pPr>
        <w:spacing w:after="0"/>
        <w:jc w:val="center"/>
        <w:rPr>
          <w:rFonts w:ascii="Arial" w:hAnsi="Arial" w:cs="Arial"/>
          <w:b/>
          <w:sz w:val="24"/>
          <w:szCs w:val="24"/>
          <w:u w:val="single"/>
        </w:rPr>
      </w:pPr>
    </w:p>
    <w:p w14:paraId="70E84FF5" w14:textId="77777777" w:rsidR="002641D2" w:rsidRPr="00FA3F9C" w:rsidRDefault="002641D2" w:rsidP="006F623F">
      <w:pPr>
        <w:spacing w:after="0"/>
        <w:rPr>
          <w:rFonts w:ascii="Arial" w:hAnsi="Arial" w:cs="Arial"/>
          <w:b/>
          <w:sz w:val="24"/>
          <w:szCs w:val="24"/>
          <w:u w:val="single"/>
        </w:rPr>
      </w:pPr>
    </w:p>
    <w:p w14:paraId="1B5052AE" w14:textId="77777777" w:rsidR="002641D2" w:rsidRPr="00FA3F9C" w:rsidRDefault="002641D2" w:rsidP="00EA0EAC">
      <w:pPr>
        <w:rPr>
          <w:rFonts w:ascii="Arial" w:eastAsia="Times New Roman" w:hAnsi="Arial" w:cs="Arial"/>
          <w:sz w:val="24"/>
          <w:szCs w:val="24"/>
        </w:rPr>
      </w:pPr>
      <w:proofErr w:type="spellStart"/>
      <w:r w:rsidRPr="00FA3F9C">
        <w:rPr>
          <w:rFonts w:ascii="Arial" w:hAnsi="Arial" w:cs="Arial"/>
          <w:b/>
          <w:sz w:val="24"/>
          <w:szCs w:val="24"/>
          <w:u w:val="single"/>
        </w:rPr>
        <w:t>Macitentan</w:t>
      </w:r>
      <w:proofErr w:type="spellEnd"/>
      <w:r w:rsidRPr="00FA3F9C">
        <w:rPr>
          <w:rFonts w:ascii="Arial" w:hAnsi="Arial" w:cs="Arial"/>
          <w:b/>
          <w:sz w:val="24"/>
          <w:szCs w:val="24"/>
          <w:u w:val="single"/>
        </w:rPr>
        <w:t xml:space="preserve"> (</w:t>
      </w:r>
      <w:proofErr w:type="spellStart"/>
      <w:r w:rsidRPr="00FA3F9C">
        <w:rPr>
          <w:rFonts w:ascii="Arial" w:hAnsi="Arial" w:cs="Arial"/>
          <w:b/>
          <w:sz w:val="24"/>
          <w:szCs w:val="24"/>
          <w:u w:val="single"/>
        </w:rPr>
        <w:t>Opsumit</w:t>
      </w:r>
      <w:proofErr w:type="spellEnd"/>
      <w:r w:rsidRPr="00FA3F9C">
        <w:rPr>
          <w:rFonts w:ascii="Arial" w:hAnsi="Arial" w:cs="Arial"/>
          <w:b/>
          <w:sz w:val="24"/>
          <w:szCs w:val="24"/>
          <w:u w:val="single"/>
        </w:rPr>
        <w:t xml:space="preserve">) is FDA-approved for: </w:t>
      </w:r>
      <w:r w:rsidRPr="00FA3F9C">
        <w:rPr>
          <w:rFonts w:ascii="Arial" w:hAnsi="Arial" w:cs="Arial"/>
          <w:sz w:val="24"/>
          <w:szCs w:val="24"/>
        </w:rPr>
        <w:t>the tr</w:t>
      </w:r>
      <w:r w:rsidRPr="00FA3F9C">
        <w:rPr>
          <w:rFonts w:ascii="Arial" w:eastAsia="Times New Roman" w:hAnsi="Arial" w:cs="Arial"/>
          <w:color w:val="000000"/>
          <w:sz w:val="24"/>
          <w:szCs w:val="24"/>
          <w:shd w:val="clear" w:color="auto" w:fill="F2F2F2"/>
        </w:rPr>
        <w:t>eatment of pulmonary arterial hypertension (PAH) (WHO Group I) to reduce risks of disease progression and hospitalization.</w:t>
      </w:r>
    </w:p>
    <w:tbl>
      <w:tblPr>
        <w:tblStyle w:val="TableGrid"/>
        <w:tblW w:w="0" w:type="auto"/>
        <w:tblLook w:val="04A0" w:firstRow="1" w:lastRow="0" w:firstColumn="1" w:lastColumn="0" w:noHBand="0" w:noVBand="1"/>
      </w:tblPr>
      <w:tblGrid>
        <w:gridCol w:w="10998"/>
      </w:tblGrid>
      <w:tr w:rsidR="002641D2" w:rsidRPr="00FA3F9C" w14:paraId="2A910FB1" w14:textId="77777777" w:rsidTr="00F503E0">
        <w:tc>
          <w:tcPr>
            <w:tcW w:w="10998" w:type="dxa"/>
          </w:tcPr>
          <w:p w14:paraId="7380AD9B" w14:textId="77777777" w:rsidR="002641D2" w:rsidRPr="00FA3F9C" w:rsidRDefault="002641D2" w:rsidP="006F623F">
            <w:pPr>
              <w:jc w:val="center"/>
              <w:rPr>
                <w:rFonts w:ascii="Arial" w:hAnsi="Arial" w:cs="Arial"/>
                <w:b/>
                <w:sz w:val="24"/>
                <w:szCs w:val="24"/>
                <w:u w:val="single"/>
              </w:rPr>
            </w:pPr>
            <w:r w:rsidRPr="00FA3F9C">
              <w:rPr>
                <w:rFonts w:ascii="Arial" w:hAnsi="Arial" w:cs="Arial"/>
                <w:b/>
                <w:sz w:val="24"/>
                <w:szCs w:val="24"/>
                <w:u w:val="single"/>
              </w:rPr>
              <w:t>Criteria</w:t>
            </w:r>
          </w:p>
        </w:tc>
      </w:tr>
      <w:tr w:rsidR="002641D2" w:rsidRPr="00FA3F9C" w14:paraId="02DA7D4F" w14:textId="77777777" w:rsidTr="00F503E0">
        <w:tc>
          <w:tcPr>
            <w:tcW w:w="10998" w:type="dxa"/>
          </w:tcPr>
          <w:p w14:paraId="1A13C0DC" w14:textId="77777777" w:rsidR="002641D2" w:rsidRPr="00FA3F9C" w:rsidRDefault="002641D2" w:rsidP="006F623F">
            <w:pPr>
              <w:rPr>
                <w:rFonts w:ascii="Arial" w:hAnsi="Arial" w:cs="Arial"/>
                <w:sz w:val="24"/>
                <w:szCs w:val="24"/>
              </w:rPr>
            </w:pPr>
            <w:r w:rsidRPr="00FA3F9C">
              <w:rPr>
                <w:rFonts w:ascii="Arial" w:hAnsi="Arial" w:cs="Arial"/>
                <w:sz w:val="24"/>
                <w:szCs w:val="24"/>
              </w:rPr>
              <w:t>1.  The patient must have the diagnosis of PAH (Group I</w:t>
            </w:r>
            <w:proofErr w:type="gramStart"/>
            <w:r w:rsidRPr="00FA3F9C">
              <w:rPr>
                <w:rFonts w:ascii="Arial" w:hAnsi="Arial" w:cs="Arial"/>
                <w:sz w:val="24"/>
                <w:szCs w:val="24"/>
              </w:rPr>
              <w:t>)</w:t>
            </w:r>
            <w:proofErr w:type="gramEnd"/>
            <w:r w:rsidRPr="00FA3F9C">
              <w:rPr>
                <w:rFonts w:ascii="Arial" w:hAnsi="Arial" w:cs="Arial"/>
                <w:sz w:val="24"/>
                <w:szCs w:val="24"/>
              </w:rPr>
              <w:t xml:space="preserve"> and either be taking a CCB and still having symptoms, or have failed a CCB.</w:t>
            </w:r>
          </w:p>
        </w:tc>
      </w:tr>
      <w:tr w:rsidR="002641D2" w:rsidRPr="00FA3F9C" w14:paraId="677409D4" w14:textId="77777777" w:rsidTr="00F503E0">
        <w:tc>
          <w:tcPr>
            <w:tcW w:w="10998" w:type="dxa"/>
          </w:tcPr>
          <w:p w14:paraId="1305FAD2" w14:textId="77777777" w:rsidR="002641D2" w:rsidRPr="00FA3F9C" w:rsidRDefault="002641D2" w:rsidP="006F623F">
            <w:pPr>
              <w:rPr>
                <w:rFonts w:ascii="Arial" w:hAnsi="Arial" w:cs="Arial"/>
                <w:sz w:val="24"/>
                <w:szCs w:val="24"/>
              </w:rPr>
            </w:pPr>
            <w:r w:rsidRPr="00FA3F9C">
              <w:rPr>
                <w:rFonts w:ascii="Arial" w:hAnsi="Arial" w:cs="Arial"/>
                <w:sz w:val="24"/>
                <w:szCs w:val="24"/>
              </w:rPr>
              <w:t xml:space="preserve">2.  The patient must either already be taking sildenafil or else be initiating combination </w:t>
            </w:r>
            <w:proofErr w:type="spellStart"/>
            <w:r w:rsidRPr="00FA3F9C">
              <w:rPr>
                <w:rFonts w:ascii="Arial" w:hAnsi="Arial" w:cs="Arial"/>
                <w:sz w:val="24"/>
                <w:szCs w:val="24"/>
              </w:rPr>
              <w:t>macitentan</w:t>
            </w:r>
            <w:proofErr w:type="spellEnd"/>
            <w:r w:rsidRPr="00FA3F9C">
              <w:rPr>
                <w:rFonts w:ascii="Arial" w:hAnsi="Arial" w:cs="Arial"/>
                <w:sz w:val="24"/>
                <w:szCs w:val="24"/>
              </w:rPr>
              <w:t>/sildenafil therapy.</w:t>
            </w:r>
          </w:p>
        </w:tc>
      </w:tr>
      <w:tr w:rsidR="002641D2" w:rsidRPr="00FA3F9C" w14:paraId="39379075" w14:textId="77777777" w:rsidTr="00743217">
        <w:tblPrEx>
          <w:shd w:val="clear" w:color="auto" w:fill="BFBFBF" w:themeFill="background1" w:themeFillShade="BF"/>
        </w:tblPrEx>
        <w:tc>
          <w:tcPr>
            <w:tcW w:w="10998" w:type="dxa"/>
            <w:shd w:val="clear" w:color="auto" w:fill="BFBFBF" w:themeFill="background1" w:themeFillShade="BF"/>
          </w:tcPr>
          <w:p w14:paraId="69A9FC0E" w14:textId="77777777" w:rsidR="002641D2" w:rsidRPr="00FA3F9C" w:rsidRDefault="002641D2" w:rsidP="00EA0EAC">
            <w:pPr>
              <w:rPr>
                <w:rFonts w:ascii="Arial" w:hAnsi="Arial" w:cs="Arial"/>
                <w:sz w:val="24"/>
                <w:szCs w:val="24"/>
              </w:rPr>
            </w:pPr>
            <w:r w:rsidRPr="00FA3F9C">
              <w:rPr>
                <w:rFonts w:ascii="Arial" w:hAnsi="Arial" w:cs="Arial"/>
                <w:sz w:val="24"/>
                <w:szCs w:val="24"/>
              </w:rPr>
              <w:t xml:space="preserve">Dosing:  10mg QD.  Max dose is 10mg QD.  </w:t>
            </w:r>
          </w:p>
        </w:tc>
      </w:tr>
    </w:tbl>
    <w:p w14:paraId="23ADBD82" w14:textId="77777777" w:rsidR="002641D2" w:rsidRPr="00FA3F9C" w:rsidRDefault="002641D2" w:rsidP="006F623F">
      <w:pPr>
        <w:spacing w:after="0"/>
        <w:rPr>
          <w:rFonts w:ascii="Arial" w:hAnsi="Arial" w:cs="Arial"/>
          <w:sz w:val="24"/>
          <w:szCs w:val="24"/>
        </w:rPr>
      </w:pPr>
    </w:p>
    <w:p w14:paraId="5B4BF85F" w14:textId="77777777" w:rsidR="002641D2" w:rsidRPr="00FA3F9C" w:rsidRDefault="002641D2" w:rsidP="006F623F">
      <w:pPr>
        <w:spacing w:after="0"/>
        <w:rPr>
          <w:rFonts w:ascii="Arial" w:hAnsi="Arial" w:cs="Arial"/>
          <w:sz w:val="24"/>
          <w:szCs w:val="24"/>
        </w:rPr>
      </w:pPr>
      <w:r w:rsidRPr="00FA3F9C">
        <w:rPr>
          <w:rFonts w:ascii="Arial" w:hAnsi="Arial" w:cs="Arial"/>
          <w:sz w:val="24"/>
          <w:szCs w:val="24"/>
        </w:rPr>
        <w:t xml:space="preserve">Quantity Limits: 1 tabs/1 day (30 tabs/30). </w:t>
      </w:r>
    </w:p>
    <w:p w14:paraId="0C842DAE" w14:textId="77777777" w:rsidR="002641D2" w:rsidRPr="00FA3F9C" w:rsidRDefault="002641D2" w:rsidP="006F623F">
      <w:pPr>
        <w:pStyle w:val="Default"/>
        <w:rPr>
          <w:rFonts w:ascii="Arial" w:hAnsi="Arial" w:cs="Arial"/>
        </w:rPr>
      </w:pPr>
    </w:p>
    <w:p w14:paraId="45D92588" w14:textId="77777777" w:rsidR="002641D2" w:rsidRPr="00FA3F9C" w:rsidRDefault="002641D2" w:rsidP="006F623F">
      <w:pPr>
        <w:spacing w:after="0"/>
        <w:rPr>
          <w:rFonts w:ascii="Arial" w:hAnsi="Arial" w:cs="Arial"/>
          <w:sz w:val="24"/>
          <w:szCs w:val="24"/>
        </w:rPr>
      </w:pPr>
    </w:p>
    <w:p w14:paraId="3681AA86" w14:textId="77777777" w:rsidR="002641D2" w:rsidRPr="00FA3F9C" w:rsidRDefault="002641D2"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017"/>
        <w:gridCol w:w="7470"/>
        <w:gridCol w:w="2538"/>
      </w:tblGrid>
      <w:tr w:rsidR="002641D2" w:rsidRPr="00FA3F9C" w14:paraId="436BEDA5" w14:textId="77777777" w:rsidTr="00FE491B">
        <w:tc>
          <w:tcPr>
            <w:tcW w:w="1008" w:type="dxa"/>
          </w:tcPr>
          <w:p w14:paraId="2777A189" w14:textId="77777777" w:rsidR="002641D2" w:rsidRPr="00FA3F9C" w:rsidRDefault="002641D2" w:rsidP="006F623F">
            <w:pPr>
              <w:rPr>
                <w:rFonts w:ascii="Arial" w:hAnsi="Arial" w:cs="Arial"/>
                <w:sz w:val="24"/>
                <w:szCs w:val="24"/>
              </w:rPr>
            </w:pPr>
            <w:r w:rsidRPr="00FA3F9C">
              <w:rPr>
                <w:rFonts w:ascii="Arial" w:hAnsi="Arial" w:cs="Arial"/>
                <w:sz w:val="24"/>
                <w:szCs w:val="24"/>
              </w:rPr>
              <w:t>Date</w:t>
            </w:r>
          </w:p>
        </w:tc>
        <w:tc>
          <w:tcPr>
            <w:tcW w:w="7470" w:type="dxa"/>
          </w:tcPr>
          <w:p w14:paraId="337CC9DB" w14:textId="77777777" w:rsidR="002641D2" w:rsidRPr="00FA3F9C" w:rsidRDefault="002641D2" w:rsidP="006F623F">
            <w:pPr>
              <w:rPr>
                <w:rFonts w:ascii="Arial" w:hAnsi="Arial" w:cs="Arial"/>
                <w:sz w:val="24"/>
                <w:szCs w:val="24"/>
              </w:rPr>
            </w:pPr>
            <w:r w:rsidRPr="00FA3F9C">
              <w:rPr>
                <w:rFonts w:ascii="Arial" w:hAnsi="Arial" w:cs="Arial"/>
                <w:sz w:val="24"/>
                <w:szCs w:val="24"/>
              </w:rPr>
              <w:t>What changed</w:t>
            </w:r>
          </w:p>
        </w:tc>
        <w:tc>
          <w:tcPr>
            <w:tcW w:w="2538" w:type="dxa"/>
          </w:tcPr>
          <w:p w14:paraId="55589C2A" w14:textId="77777777" w:rsidR="002641D2" w:rsidRPr="00FA3F9C" w:rsidRDefault="002641D2" w:rsidP="006F623F">
            <w:pPr>
              <w:rPr>
                <w:rFonts w:ascii="Arial" w:hAnsi="Arial" w:cs="Arial"/>
                <w:sz w:val="24"/>
                <w:szCs w:val="24"/>
              </w:rPr>
            </w:pPr>
            <w:r w:rsidRPr="00FA3F9C">
              <w:rPr>
                <w:rFonts w:ascii="Arial" w:hAnsi="Arial" w:cs="Arial"/>
                <w:sz w:val="24"/>
                <w:szCs w:val="24"/>
              </w:rPr>
              <w:t>Pharmacist’s initials</w:t>
            </w:r>
          </w:p>
        </w:tc>
      </w:tr>
      <w:tr w:rsidR="002641D2" w:rsidRPr="00FA3F9C" w14:paraId="717B9AC4" w14:textId="77777777" w:rsidTr="00FE491B">
        <w:tc>
          <w:tcPr>
            <w:tcW w:w="1008" w:type="dxa"/>
          </w:tcPr>
          <w:p w14:paraId="1E88AC7C" w14:textId="77777777" w:rsidR="002641D2" w:rsidRPr="00FA3F9C" w:rsidRDefault="002641D2" w:rsidP="006F623F">
            <w:pPr>
              <w:rPr>
                <w:rFonts w:ascii="Arial" w:hAnsi="Arial" w:cs="Arial"/>
                <w:sz w:val="24"/>
                <w:szCs w:val="24"/>
              </w:rPr>
            </w:pPr>
            <w:r w:rsidRPr="00FA3F9C">
              <w:rPr>
                <w:rFonts w:ascii="Arial" w:hAnsi="Arial" w:cs="Arial"/>
                <w:sz w:val="24"/>
                <w:szCs w:val="24"/>
              </w:rPr>
              <w:lastRenderedPageBreak/>
              <w:t>2-6-15</w:t>
            </w:r>
          </w:p>
        </w:tc>
        <w:tc>
          <w:tcPr>
            <w:tcW w:w="7470" w:type="dxa"/>
          </w:tcPr>
          <w:p w14:paraId="7C4DC6D8" w14:textId="77777777" w:rsidR="002641D2" w:rsidRPr="00FA3F9C" w:rsidRDefault="002641D2" w:rsidP="006F623F">
            <w:pPr>
              <w:rPr>
                <w:rFonts w:ascii="Arial" w:hAnsi="Arial" w:cs="Arial"/>
                <w:sz w:val="24"/>
                <w:szCs w:val="24"/>
              </w:rPr>
            </w:pPr>
            <w:r w:rsidRPr="00FA3F9C">
              <w:rPr>
                <w:rFonts w:ascii="Arial" w:hAnsi="Arial" w:cs="Arial"/>
                <w:sz w:val="24"/>
                <w:szCs w:val="24"/>
              </w:rPr>
              <w:t>I wrote the criteria.</w:t>
            </w:r>
          </w:p>
        </w:tc>
        <w:tc>
          <w:tcPr>
            <w:tcW w:w="2538" w:type="dxa"/>
          </w:tcPr>
          <w:p w14:paraId="4ED23658" w14:textId="77777777" w:rsidR="002641D2" w:rsidRPr="00FA3F9C" w:rsidRDefault="002641D2" w:rsidP="006F623F">
            <w:pPr>
              <w:rPr>
                <w:rFonts w:ascii="Arial" w:hAnsi="Arial" w:cs="Arial"/>
                <w:sz w:val="24"/>
                <w:szCs w:val="24"/>
              </w:rPr>
            </w:pPr>
            <w:r w:rsidRPr="00FA3F9C">
              <w:rPr>
                <w:rFonts w:ascii="Arial" w:hAnsi="Arial" w:cs="Arial"/>
                <w:sz w:val="24"/>
                <w:szCs w:val="24"/>
              </w:rPr>
              <w:t>JJ</w:t>
            </w:r>
          </w:p>
        </w:tc>
      </w:tr>
      <w:tr w:rsidR="002641D2" w:rsidRPr="00FA3F9C" w14:paraId="4EDA357D" w14:textId="77777777" w:rsidTr="00FE491B">
        <w:tc>
          <w:tcPr>
            <w:tcW w:w="1008" w:type="dxa"/>
          </w:tcPr>
          <w:p w14:paraId="2DED5860" w14:textId="77777777" w:rsidR="002641D2" w:rsidRPr="00FA3F9C" w:rsidRDefault="002641D2" w:rsidP="006F623F">
            <w:pPr>
              <w:rPr>
                <w:rFonts w:ascii="Arial" w:hAnsi="Arial" w:cs="Arial"/>
                <w:sz w:val="24"/>
                <w:szCs w:val="24"/>
              </w:rPr>
            </w:pPr>
            <w:r w:rsidRPr="00FA3F9C">
              <w:rPr>
                <w:rFonts w:ascii="Arial" w:hAnsi="Arial" w:cs="Arial"/>
                <w:sz w:val="24"/>
                <w:szCs w:val="24"/>
              </w:rPr>
              <w:t>6/16/21</w:t>
            </w:r>
          </w:p>
        </w:tc>
        <w:tc>
          <w:tcPr>
            <w:tcW w:w="7470" w:type="dxa"/>
          </w:tcPr>
          <w:p w14:paraId="0564286E" w14:textId="77777777" w:rsidR="002641D2" w:rsidRPr="00FA3F9C" w:rsidRDefault="002641D2" w:rsidP="006F623F">
            <w:pPr>
              <w:rPr>
                <w:rFonts w:ascii="Arial" w:hAnsi="Arial" w:cs="Arial"/>
                <w:sz w:val="24"/>
                <w:szCs w:val="24"/>
              </w:rPr>
            </w:pPr>
            <w:r w:rsidRPr="00FA3F9C">
              <w:rPr>
                <w:rFonts w:ascii="Arial" w:hAnsi="Arial" w:cs="Arial"/>
                <w:sz w:val="24"/>
                <w:szCs w:val="24"/>
              </w:rPr>
              <w:t xml:space="preserve">Updated criteria to allow initiation of combination </w:t>
            </w:r>
            <w:proofErr w:type="spellStart"/>
            <w:r w:rsidRPr="00FA3F9C">
              <w:rPr>
                <w:rFonts w:ascii="Arial" w:hAnsi="Arial" w:cs="Arial"/>
                <w:sz w:val="24"/>
                <w:szCs w:val="24"/>
              </w:rPr>
              <w:t>macitentan</w:t>
            </w:r>
            <w:proofErr w:type="spellEnd"/>
            <w:r w:rsidRPr="00FA3F9C">
              <w:rPr>
                <w:rFonts w:ascii="Arial" w:hAnsi="Arial" w:cs="Arial"/>
                <w:sz w:val="24"/>
                <w:szCs w:val="24"/>
              </w:rPr>
              <w:t xml:space="preserve"> with sildenafil.  I could find no literature to guide duration of monotherapy with sildenafil prior to adding </w:t>
            </w:r>
            <w:proofErr w:type="spellStart"/>
            <w:r w:rsidRPr="00FA3F9C">
              <w:rPr>
                <w:rFonts w:ascii="Arial" w:hAnsi="Arial" w:cs="Arial"/>
                <w:sz w:val="24"/>
                <w:szCs w:val="24"/>
              </w:rPr>
              <w:t>macitentan</w:t>
            </w:r>
            <w:proofErr w:type="spellEnd"/>
            <w:r w:rsidRPr="00FA3F9C">
              <w:rPr>
                <w:rFonts w:ascii="Arial" w:hAnsi="Arial" w:cs="Arial"/>
                <w:sz w:val="24"/>
                <w:szCs w:val="24"/>
              </w:rPr>
              <w:t>.  I added references 1 &amp; 2.  This sildenafil reference (</w:t>
            </w:r>
            <w:proofErr w:type="spellStart"/>
            <w:r w:rsidRPr="00FA3F9C">
              <w:rPr>
                <w:rFonts w:ascii="Arial" w:hAnsi="Arial" w:cs="Arial"/>
                <w:color w:val="222222"/>
                <w:sz w:val="24"/>
                <w:szCs w:val="24"/>
                <w:shd w:val="clear" w:color="auto" w:fill="FFFFFF"/>
              </w:rPr>
              <w:t>Pepke-Zaba</w:t>
            </w:r>
            <w:proofErr w:type="spellEnd"/>
            <w:r w:rsidRPr="00FA3F9C">
              <w:rPr>
                <w:rFonts w:ascii="Arial" w:hAnsi="Arial" w:cs="Arial"/>
                <w:color w:val="222222"/>
                <w:sz w:val="24"/>
                <w:szCs w:val="24"/>
                <w:shd w:val="clear" w:color="auto" w:fill="FFFFFF"/>
              </w:rPr>
              <w:t>, Joanna, et al. "Sildenafil improves health-related quality of life in patients with pulmonary arterial hypertension." </w:t>
            </w:r>
            <w:r w:rsidRPr="00FA3F9C">
              <w:rPr>
                <w:rFonts w:ascii="Arial" w:hAnsi="Arial" w:cs="Arial"/>
                <w:i/>
                <w:iCs/>
                <w:color w:val="222222"/>
                <w:sz w:val="24"/>
                <w:szCs w:val="24"/>
                <w:shd w:val="clear" w:color="auto" w:fill="FFFFFF"/>
              </w:rPr>
              <w:t>Chest</w:t>
            </w:r>
            <w:r w:rsidRPr="00FA3F9C">
              <w:rPr>
                <w:rFonts w:ascii="Arial" w:hAnsi="Arial" w:cs="Arial"/>
                <w:color w:val="222222"/>
                <w:sz w:val="24"/>
                <w:szCs w:val="24"/>
                <w:shd w:val="clear" w:color="auto" w:fill="FFFFFF"/>
              </w:rPr>
              <w:t xml:space="preserve"> 133.1 (2008): 183-189.) states there was not a difference b/w 20mg, 40mg, and 80mg; hence there is </w:t>
            </w:r>
            <w:proofErr w:type="spellStart"/>
            <w:r w:rsidRPr="00FA3F9C">
              <w:rPr>
                <w:rFonts w:ascii="Arial" w:hAnsi="Arial" w:cs="Arial"/>
                <w:color w:val="222222"/>
                <w:sz w:val="24"/>
                <w:szCs w:val="24"/>
                <w:shd w:val="clear" w:color="auto" w:fill="FFFFFF"/>
              </w:rPr>
              <w:t>not</w:t>
            </w:r>
            <w:proofErr w:type="spellEnd"/>
            <w:r w:rsidRPr="00FA3F9C">
              <w:rPr>
                <w:rFonts w:ascii="Arial" w:hAnsi="Arial" w:cs="Arial"/>
                <w:color w:val="222222"/>
                <w:sz w:val="24"/>
                <w:szCs w:val="24"/>
                <w:shd w:val="clear" w:color="auto" w:fill="FFFFFF"/>
              </w:rPr>
              <w:t xml:space="preserve"> </w:t>
            </w:r>
            <w:proofErr w:type="gramStart"/>
            <w:r w:rsidRPr="00FA3F9C">
              <w:rPr>
                <w:rFonts w:ascii="Arial" w:hAnsi="Arial" w:cs="Arial"/>
                <w:color w:val="222222"/>
                <w:sz w:val="24"/>
                <w:szCs w:val="24"/>
                <w:shd w:val="clear" w:color="auto" w:fill="FFFFFF"/>
              </w:rPr>
              <w:t>need</w:t>
            </w:r>
            <w:proofErr w:type="gramEnd"/>
            <w:r w:rsidRPr="00FA3F9C">
              <w:rPr>
                <w:rFonts w:ascii="Arial" w:hAnsi="Arial" w:cs="Arial"/>
                <w:color w:val="222222"/>
                <w:sz w:val="24"/>
                <w:szCs w:val="24"/>
                <w:shd w:val="clear" w:color="auto" w:fill="FFFFFF"/>
              </w:rPr>
              <w:t xml:space="preserve"> to require sildenafil dose escalation prior to access to </w:t>
            </w:r>
            <w:proofErr w:type="spellStart"/>
            <w:r w:rsidRPr="00FA3F9C">
              <w:rPr>
                <w:rFonts w:ascii="Arial" w:hAnsi="Arial" w:cs="Arial"/>
                <w:color w:val="222222"/>
                <w:sz w:val="24"/>
                <w:szCs w:val="24"/>
                <w:shd w:val="clear" w:color="auto" w:fill="FFFFFF"/>
              </w:rPr>
              <w:t>macitentan</w:t>
            </w:r>
            <w:proofErr w:type="spellEnd"/>
            <w:r w:rsidRPr="00FA3F9C">
              <w:rPr>
                <w:rFonts w:ascii="Arial" w:hAnsi="Arial" w:cs="Arial"/>
                <w:color w:val="222222"/>
                <w:sz w:val="24"/>
                <w:szCs w:val="24"/>
                <w:shd w:val="clear" w:color="auto" w:fill="FFFFFF"/>
              </w:rPr>
              <w:t>.</w:t>
            </w:r>
          </w:p>
        </w:tc>
        <w:tc>
          <w:tcPr>
            <w:tcW w:w="2538" w:type="dxa"/>
          </w:tcPr>
          <w:p w14:paraId="6E6FB75C" w14:textId="77777777" w:rsidR="002641D2" w:rsidRPr="00FA3F9C" w:rsidRDefault="002641D2" w:rsidP="006F623F">
            <w:pPr>
              <w:rPr>
                <w:rFonts w:ascii="Arial" w:hAnsi="Arial" w:cs="Arial"/>
                <w:sz w:val="24"/>
                <w:szCs w:val="24"/>
              </w:rPr>
            </w:pPr>
            <w:r w:rsidRPr="00FA3F9C">
              <w:rPr>
                <w:rFonts w:ascii="Arial" w:hAnsi="Arial" w:cs="Arial"/>
                <w:sz w:val="24"/>
                <w:szCs w:val="24"/>
              </w:rPr>
              <w:t>JJ</w:t>
            </w:r>
          </w:p>
        </w:tc>
      </w:tr>
    </w:tbl>
    <w:p w14:paraId="2442D9FF" w14:textId="77777777" w:rsidR="002641D2" w:rsidRPr="00FA3F9C" w:rsidRDefault="002641D2" w:rsidP="006F623F">
      <w:pPr>
        <w:spacing w:after="0"/>
        <w:rPr>
          <w:rFonts w:ascii="Arial" w:hAnsi="Arial" w:cs="Arial"/>
          <w:sz w:val="24"/>
          <w:szCs w:val="24"/>
        </w:rPr>
      </w:pPr>
    </w:p>
    <w:p w14:paraId="33B1E075" w14:textId="77777777" w:rsidR="002641D2" w:rsidRPr="00FA3F9C" w:rsidRDefault="002641D2" w:rsidP="006F623F">
      <w:pPr>
        <w:spacing w:after="0"/>
        <w:rPr>
          <w:rFonts w:ascii="Arial" w:hAnsi="Arial" w:cs="Arial"/>
          <w:sz w:val="24"/>
          <w:szCs w:val="24"/>
        </w:rPr>
      </w:pPr>
      <w:r w:rsidRPr="00FA3F9C">
        <w:rPr>
          <w:rFonts w:ascii="Arial" w:hAnsi="Arial" w:cs="Arial"/>
          <w:sz w:val="24"/>
          <w:szCs w:val="24"/>
        </w:rPr>
        <w:t>Addendum:</w:t>
      </w:r>
    </w:p>
    <w:tbl>
      <w:tblPr>
        <w:tblStyle w:val="TableGrid"/>
        <w:tblW w:w="0" w:type="auto"/>
        <w:tblLook w:val="04A0" w:firstRow="1" w:lastRow="0" w:firstColumn="1" w:lastColumn="0" w:noHBand="0" w:noVBand="1"/>
      </w:tblPr>
      <w:tblGrid>
        <w:gridCol w:w="1832"/>
        <w:gridCol w:w="1788"/>
        <w:gridCol w:w="2055"/>
        <w:gridCol w:w="1918"/>
        <w:gridCol w:w="1999"/>
        <w:gridCol w:w="2097"/>
        <w:gridCol w:w="1981"/>
      </w:tblGrid>
      <w:tr w:rsidR="002641D2" w:rsidRPr="00FA3F9C" w14:paraId="7E8514FC" w14:textId="77777777" w:rsidTr="003926F2">
        <w:tc>
          <w:tcPr>
            <w:tcW w:w="14616" w:type="dxa"/>
            <w:gridSpan w:val="7"/>
          </w:tcPr>
          <w:p w14:paraId="49FCB3A8" w14:textId="77777777" w:rsidR="002641D2" w:rsidRPr="00FA3F9C" w:rsidRDefault="002641D2"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Diagnostic Criteria and WHO categorization of PH</w:t>
            </w:r>
          </w:p>
        </w:tc>
      </w:tr>
      <w:tr w:rsidR="002641D2" w:rsidRPr="00FA3F9C" w14:paraId="790E8066" w14:textId="77777777" w:rsidTr="003926F2">
        <w:tc>
          <w:tcPr>
            <w:tcW w:w="2088" w:type="dxa"/>
          </w:tcPr>
          <w:p w14:paraId="52830966" w14:textId="77777777" w:rsidR="002641D2" w:rsidRPr="00FA3F9C" w:rsidRDefault="002641D2" w:rsidP="003926F2">
            <w:pPr>
              <w:widowControl w:val="0"/>
              <w:autoSpaceDE w:val="0"/>
              <w:autoSpaceDN w:val="0"/>
              <w:adjustRightInd w:val="0"/>
              <w:rPr>
                <w:rFonts w:ascii="Arial" w:hAnsi="Arial" w:cs="Arial"/>
                <w:b/>
                <w:color w:val="231F20"/>
                <w:sz w:val="24"/>
                <w:szCs w:val="24"/>
              </w:rPr>
            </w:pPr>
          </w:p>
        </w:tc>
        <w:tc>
          <w:tcPr>
            <w:tcW w:w="2088" w:type="dxa"/>
          </w:tcPr>
          <w:p w14:paraId="080C5FA8" w14:textId="77777777" w:rsidR="002641D2" w:rsidRPr="00FA3F9C" w:rsidRDefault="002641D2"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All Groups</w:t>
            </w:r>
          </w:p>
        </w:tc>
        <w:tc>
          <w:tcPr>
            <w:tcW w:w="2088" w:type="dxa"/>
          </w:tcPr>
          <w:p w14:paraId="5DBE5C16" w14:textId="77777777" w:rsidR="002641D2" w:rsidRPr="00FA3F9C" w:rsidRDefault="002641D2"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Group 1</w:t>
            </w:r>
          </w:p>
        </w:tc>
        <w:tc>
          <w:tcPr>
            <w:tcW w:w="2088" w:type="dxa"/>
          </w:tcPr>
          <w:p w14:paraId="6ADFB0B3" w14:textId="77777777" w:rsidR="002641D2" w:rsidRPr="00FA3F9C" w:rsidRDefault="002641D2"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Group 2</w:t>
            </w:r>
          </w:p>
        </w:tc>
        <w:tc>
          <w:tcPr>
            <w:tcW w:w="2088" w:type="dxa"/>
          </w:tcPr>
          <w:p w14:paraId="228AB4C5" w14:textId="77777777" w:rsidR="002641D2" w:rsidRPr="00FA3F9C" w:rsidRDefault="002641D2"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Group 3</w:t>
            </w:r>
          </w:p>
        </w:tc>
        <w:tc>
          <w:tcPr>
            <w:tcW w:w="2088" w:type="dxa"/>
          </w:tcPr>
          <w:p w14:paraId="3E45B937" w14:textId="77777777" w:rsidR="002641D2" w:rsidRPr="00FA3F9C" w:rsidRDefault="002641D2"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Group 4</w:t>
            </w:r>
          </w:p>
        </w:tc>
        <w:tc>
          <w:tcPr>
            <w:tcW w:w="2088" w:type="dxa"/>
          </w:tcPr>
          <w:p w14:paraId="13DF500B" w14:textId="77777777" w:rsidR="002641D2" w:rsidRPr="00FA3F9C" w:rsidRDefault="002641D2"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Group 5</w:t>
            </w:r>
          </w:p>
        </w:tc>
      </w:tr>
      <w:tr w:rsidR="002641D2" w:rsidRPr="00FA3F9C" w14:paraId="56EF25DA" w14:textId="77777777" w:rsidTr="003926F2">
        <w:tc>
          <w:tcPr>
            <w:tcW w:w="2088" w:type="dxa"/>
          </w:tcPr>
          <w:p w14:paraId="3C60B10E" w14:textId="77777777" w:rsidR="002641D2" w:rsidRPr="00FA3F9C" w:rsidRDefault="002641D2"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Description</w:t>
            </w:r>
          </w:p>
        </w:tc>
        <w:tc>
          <w:tcPr>
            <w:tcW w:w="2088" w:type="dxa"/>
          </w:tcPr>
          <w:p w14:paraId="6475446B" w14:textId="77777777" w:rsidR="002641D2" w:rsidRPr="00FA3F9C" w:rsidRDefault="002641D2"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Elevated PAP</w:t>
            </w:r>
          </w:p>
        </w:tc>
        <w:tc>
          <w:tcPr>
            <w:tcW w:w="2088" w:type="dxa"/>
          </w:tcPr>
          <w:p w14:paraId="01CEB104" w14:textId="77777777" w:rsidR="002641D2" w:rsidRPr="00FA3F9C" w:rsidRDefault="002641D2"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Pulmonary arterial hypertension</w:t>
            </w:r>
          </w:p>
        </w:tc>
        <w:tc>
          <w:tcPr>
            <w:tcW w:w="2088" w:type="dxa"/>
          </w:tcPr>
          <w:p w14:paraId="71698865" w14:textId="77777777" w:rsidR="002641D2" w:rsidRPr="00FA3F9C" w:rsidRDefault="002641D2"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Pulmonary venous hypertension</w:t>
            </w:r>
          </w:p>
        </w:tc>
        <w:tc>
          <w:tcPr>
            <w:tcW w:w="2088" w:type="dxa"/>
          </w:tcPr>
          <w:p w14:paraId="78A26F65" w14:textId="77777777" w:rsidR="002641D2" w:rsidRPr="00FA3F9C" w:rsidRDefault="002641D2"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PH due to hypoxemia</w:t>
            </w:r>
          </w:p>
        </w:tc>
        <w:tc>
          <w:tcPr>
            <w:tcW w:w="2088" w:type="dxa"/>
          </w:tcPr>
          <w:p w14:paraId="0A986B68" w14:textId="77777777" w:rsidR="002641D2" w:rsidRPr="00FA3F9C" w:rsidRDefault="002641D2"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Chronic thromboembolic PH</w:t>
            </w:r>
          </w:p>
        </w:tc>
        <w:tc>
          <w:tcPr>
            <w:tcW w:w="2088" w:type="dxa"/>
          </w:tcPr>
          <w:p w14:paraId="145D360C" w14:textId="77777777" w:rsidR="002641D2" w:rsidRPr="00FA3F9C" w:rsidRDefault="002641D2"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Miscellaneous or multifactorial PH</w:t>
            </w:r>
          </w:p>
        </w:tc>
      </w:tr>
      <w:tr w:rsidR="002641D2" w:rsidRPr="00FA3F9C" w14:paraId="53D32474" w14:textId="77777777" w:rsidTr="003926F2">
        <w:tc>
          <w:tcPr>
            <w:tcW w:w="2088" w:type="dxa"/>
          </w:tcPr>
          <w:p w14:paraId="2F8BFE94" w14:textId="77777777" w:rsidR="002641D2" w:rsidRPr="00FA3F9C" w:rsidRDefault="002641D2"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Estimated prevalence</w:t>
            </w:r>
          </w:p>
        </w:tc>
        <w:tc>
          <w:tcPr>
            <w:tcW w:w="2088" w:type="dxa"/>
          </w:tcPr>
          <w:p w14:paraId="28B23A33" w14:textId="77777777" w:rsidR="002641D2" w:rsidRPr="00FA3F9C" w:rsidRDefault="002641D2"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Up to 10-20% of the general population</w:t>
            </w:r>
          </w:p>
        </w:tc>
        <w:tc>
          <w:tcPr>
            <w:tcW w:w="2088" w:type="dxa"/>
          </w:tcPr>
          <w:p w14:paraId="586F867A" w14:textId="77777777" w:rsidR="002641D2" w:rsidRPr="00FA3F9C" w:rsidRDefault="002641D2"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15 cases/1,000,000 overall; 6 cases per 1mil for idiopathic PAH</w:t>
            </w:r>
          </w:p>
        </w:tc>
        <w:tc>
          <w:tcPr>
            <w:tcW w:w="2088" w:type="dxa"/>
          </w:tcPr>
          <w:p w14:paraId="4986C8E4" w14:textId="77777777" w:rsidR="002641D2" w:rsidRPr="00FA3F9C" w:rsidRDefault="002641D2"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&gt;3-4 mil in US</w:t>
            </w:r>
          </w:p>
        </w:tc>
        <w:tc>
          <w:tcPr>
            <w:tcW w:w="2088" w:type="dxa"/>
          </w:tcPr>
          <w:p w14:paraId="52D5B31C" w14:textId="77777777" w:rsidR="002641D2" w:rsidRPr="00FA3F9C" w:rsidRDefault="002641D2"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20% in COPD pts w/ a prior hospitalization for COPD</w:t>
            </w:r>
          </w:p>
        </w:tc>
        <w:tc>
          <w:tcPr>
            <w:tcW w:w="2088" w:type="dxa"/>
          </w:tcPr>
          <w:p w14:paraId="6B4522AB" w14:textId="77777777" w:rsidR="002641D2" w:rsidRPr="00FA3F9C" w:rsidRDefault="002641D2"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0.5-2% (up to 3.8%) in survivors of acute PE</w:t>
            </w:r>
          </w:p>
        </w:tc>
        <w:tc>
          <w:tcPr>
            <w:tcW w:w="2088" w:type="dxa"/>
          </w:tcPr>
          <w:p w14:paraId="564FF0BB" w14:textId="77777777" w:rsidR="002641D2" w:rsidRPr="00FA3F9C" w:rsidRDefault="002641D2"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Unclear</w:t>
            </w:r>
          </w:p>
        </w:tc>
      </w:tr>
      <w:tr w:rsidR="002641D2" w:rsidRPr="00FA3F9C" w14:paraId="3417B26F" w14:textId="77777777" w:rsidTr="003926F2">
        <w:tc>
          <w:tcPr>
            <w:tcW w:w="2088" w:type="dxa"/>
          </w:tcPr>
          <w:p w14:paraId="662A4CE8" w14:textId="77777777" w:rsidR="002641D2" w:rsidRPr="00FA3F9C" w:rsidRDefault="002641D2"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Diagnostic criteria</w:t>
            </w:r>
          </w:p>
        </w:tc>
        <w:tc>
          <w:tcPr>
            <w:tcW w:w="12528" w:type="dxa"/>
            <w:gridSpan w:val="6"/>
          </w:tcPr>
          <w:p w14:paraId="7FD54727" w14:textId="77777777" w:rsidR="002641D2" w:rsidRPr="00FA3F9C" w:rsidRDefault="002641D2" w:rsidP="003926F2">
            <w:pPr>
              <w:widowControl w:val="0"/>
              <w:autoSpaceDE w:val="0"/>
              <w:autoSpaceDN w:val="0"/>
              <w:adjustRightInd w:val="0"/>
              <w:rPr>
                <w:rFonts w:ascii="Arial" w:hAnsi="Arial" w:cs="Arial"/>
                <w:b/>
                <w:color w:val="231F20"/>
                <w:sz w:val="24"/>
                <w:szCs w:val="24"/>
              </w:rPr>
            </w:pPr>
          </w:p>
        </w:tc>
      </w:tr>
      <w:tr w:rsidR="002641D2" w:rsidRPr="00FA3F9C" w14:paraId="10BDD847" w14:textId="77777777" w:rsidTr="003926F2">
        <w:tc>
          <w:tcPr>
            <w:tcW w:w="2088" w:type="dxa"/>
          </w:tcPr>
          <w:p w14:paraId="0C250B31" w14:textId="77777777" w:rsidR="002641D2" w:rsidRPr="00FA3F9C" w:rsidRDefault="002641D2"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Mean PA pressure, mmHg</w:t>
            </w:r>
          </w:p>
        </w:tc>
        <w:tc>
          <w:tcPr>
            <w:tcW w:w="2088" w:type="dxa"/>
          </w:tcPr>
          <w:p w14:paraId="042B197E" w14:textId="77777777" w:rsidR="002641D2" w:rsidRPr="00FA3F9C" w:rsidRDefault="002641D2"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u w:val="single"/>
              </w:rPr>
              <w:t>&gt;</w:t>
            </w:r>
            <w:r w:rsidRPr="00FA3F9C">
              <w:rPr>
                <w:rFonts w:ascii="Arial" w:hAnsi="Arial" w:cs="Arial"/>
                <w:b/>
                <w:color w:val="231F20"/>
                <w:sz w:val="24"/>
                <w:szCs w:val="24"/>
              </w:rPr>
              <w:t>25</w:t>
            </w:r>
          </w:p>
        </w:tc>
        <w:tc>
          <w:tcPr>
            <w:tcW w:w="2088" w:type="dxa"/>
          </w:tcPr>
          <w:p w14:paraId="047D9D37" w14:textId="77777777" w:rsidR="002641D2" w:rsidRPr="00FA3F9C" w:rsidRDefault="002641D2"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u w:val="single"/>
              </w:rPr>
              <w:t>&gt;</w:t>
            </w:r>
            <w:r w:rsidRPr="00FA3F9C">
              <w:rPr>
                <w:rFonts w:ascii="Arial" w:hAnsi="Arial" w:cs="Arial"/>
                <w:b/>
                <w:color w:val="231F20"/>
                <w:sz w:val="24"/>
                <w:szCs w:val="24"/>
              </w:rPr>
              <w:t>25</w:t>
            </w:r>
          </w:p>
        </w:tc>
        <w:tc>
          <w:tcPr>
            <w:tcW w:w="2088" w:type="dxa"/>
          </w:tcPr>
          <w:p w14:paraId="6205016C" w14:textId="77777777" w:rsidR="002641D2" w:rsidRPr="00FA3F9C" w:rsidRDefault="002641D2" w:rsidP="003926F2">
            <w:pPr>
              <w:rPr>
                <w:rFonts w:ascii="Arial" w:hAnsi="Arial" w:cs="Arial"/>
                <w:sz w:val="24"/>
                <w:szCs w:val="24"/>
              </w:rPr>
            </w:pPr>
            <w:r w:rsidRPr="00FA3F9C">
              <w:rPr>
                <w:rFonts w:ascii="Arial" w:hAnsi="Arial" w:cs="Arial"/>
                <w:b/>
                <w:color w:val="231F20"/>
                <w:sz w:val="24"/>
                <w:szCs w:val="24"/>
                <w:u w:val="single"/>
              </w:rPr>
              <w:t>&gt;</w:t>
            </w:r>
            <w:r w:rsidRPr="00FA3F9C">
              <w:rPr>
                <w:rFonts w:ascii="Arial" w:hAnsi="Arial" w:cs="Arial"/>
                <w:b/>
                <w:color w:val="231F20"/>
                <w:sz w:val="24"/>
                <w:szCs w:val="24"/>
              </w:rPr>
              <w:t>25</w:t>
            </w:r>
          </w:p>
        </w:tc>
        <w:tc>
          <w:tcPr>
            <w:tcW w:w="2088" w:type="dxa"/>
          </w:tcPr>
          <w:p w14:paraId="75148025" w14:textId="77777777" w:rsidR="002641D2" w:rsidRPr="00FA3F9C" w:rsidRDefault="002641D2" w:rsidP="003926F2">
            <w:pPr>
              <w:rPr>
                <w:rFonts w:ascii="Arial" w:hAnsi="Arial" w:cs="Arial"/>
                <w:sz w:val="24"/>
                <w:szCs w:val="24"/>
              </w:rPr>
            </w:pPr>
            <w:r w:rsidRPr="00FA3F9C">
              <w:rPr>
                <w:rFonts w:ascii="Arial" w:hAnsi="Arial" w:cs="Arial"/>
                <w:b/>
                <w:color w:val="231F20"/>
                <w:sz w:val="24"/>
                <w:szCs w:val="24"/>
                <w:u w:val="single"/>
              </w:rPr>
              <w:t>&gt;</w:t>
            </w:r>
            <w:r w:rsidRPr="00FA3F9C">
              <w:rPr>
                <w:rFonts w:ascii="Arial" w:hAnsi="Arial" w:cs="Arial"/>
                <w:b/>
                <w:color w:val="231F20"/>
                <w:sz w:val="24"/>
                <w:szCs w:val="24"/>
              </w:rPr>
              <w:t>25</w:t>
            </w:r>
          </w:p>
        </w:tc>
        <w:tc>
          <w:tcPr>
            <w:tcW w:w="2088" w:type="dxa"/>
          </w:tcPr>
          <w:p w14:paraId="2E850B92" w14:textId="77777777" w:rsidR="002641D2" w:rsidRPr="00FA3F9C" w:rsidRDefault="002641D2" w:rsidP="003926F2">
            <w:pPr>
              <w:rPr>
                <w:rFonts w:ascii="Arial" w:hAnsi="Arial" w:cs="Arial"/>
                <w:sz w:val="24"/>
                <w:szCs w:val="24"/>
              </w:rPr>
            </w:pPr>
            <w:r w:rsidRPr="00FA3F9C">
              <w:rPr>
                <w:rFonts w:ascii="Arial" w:hAnsi="Arial" w:cs="Arial"/>
                <w:b/>
                <w:color w:val="231F20"/>
                <w:sz w:val="24"/>
                <w:szCs w:val="24"/>
                <w:u w:val="single"/>
              </w:rPr>
              <w:t>&gt;</w:t>
            </w:r>
            <w:r w:rsidRPr="00FA3F9C">
              <w:rPr>
                <w:rFonts w:ascii="Arial" w:hAnsi="Arial" w:cs="Arial"/>
                <w:b/>
                <w:color w:val="231F20"/>
                <w:sz w:val="24"/>
                <w:szCs w:val="24"/>
              </w:rPr>
              <w:t>25</w:t>
            </w:r>
          </w:p>
        </w:tc>
        <w:tc>
          <w:tcPr>
            <w:tcW w:w="2088" w:type="dxa"/>
          </w:tcPr>
          <w:p w14:paraId="4119AAE5" w14:textId="77777777" w:rsidR="002641D2" w:rsidRPr="00FA3F9C" w:rsidRDefault="002641D2" w:rsidP="003926F2">
            <w:pPr>
              <w:rPr>
                <w:rFonts w:ascii="Arial" w:hAnsi="Arial" w:cs="Arial"/>
                <w:sz w:val="24"/>
                <w:szCs w:val="24"/>
              </w:rPr>
            </w:pPr>
            <w:r w:rsidRPr="00FA3F9C">
              <w:rPr>
                <w:rFonts w:ascii="Arial" w:hAnsi="Arial" w:cs="Arial"/>
                <w:b/>
                <w:color w:val="231F20"/>
                <w:sz w:val="24"/>
                <w:szCs w:val="24"/>
                <w:u w:val="single"/>
              </w:rPr>
              <w:t>&gt;</w:t>
            </w:r>
            <w:r w:rsidRPr="00FA3F9C">
              <w:rPr>
                <w:rFonts w:ascii="Arial" w:hAnsi="Arial" w:cs="Arial"/>
                <w:b/>
                <w:color w:val="231F20"/>
                <w:sz w:val="24"/>
                <w:szCs w:val="24"/>
              </w:rPr>
              <w:t>25</w:t>
            </w:r>
          </w:p>
        </w:tc>
      </w:tr>
      <w:tr w:rsidR="002641D2" w:rsidRPr="00FA3F9C" w14:paraId="27055A59" w14:textId="77777777" w:rsidTr="003926F2">
        <w:tc>
          <w:tcPr>
            <w:tcW w:w="2088" w:type="dxa"/>
          </w:tcPr>
          <w:p w14:paraId="5E1EE166" w14:textId="77777777" w:rsidR="002641D2" w:rsidRPr="00FA3F9C" w:rsidRDefault="002641D2"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PCWP or LVEDP, mmHg</w:t>
            </w:r>
          </w:p>
        </w:tc>
        <w:tc>
          <w:tcPr>
            <w:tcW w:w="2088" w:type="dxa"/>
          </w:tcPr>
          <w:p w14:paraId="61B9FC71" w14:textId="77777777" w:rsidR="002641D2" w:rsidRPr="00FA3F9C" w:rsidRDefault="002641D2" w:rsidP="003926F2">
            <w:pPr>
              <w:widowControl w:val="0"/>
              <w:autoSpaceDE w:val="0"/>
              <w:autoSpaceDN w:val="0"/>
              <w:adjustRightInd w:val="0"/>
              <w:rPr>
                <w:rFonts w:ascii="Arial" w:hAnsi="Arial" w:cs="Arial"/>
                <w:b/>
                <w:color w:val="231F20"/>
                <w:sz w:val="24"/>
                <w:szCs w:val="24"/>
              </w:rPr>
            </w:pPr>
          </w:p>
        </w:tc>
        <w:tc>
          <w:tcPr>
            <w:tcW w:w="2088" w:type="dxa"/>
          </w:tcPr>
          <w:p w14:paraId="37165497" w14:textId="77777777" w:rsidR="002641D2" w:rsidRPr="00FA3F9C" w:rsidRDefault="002641D2"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u w:val="single"/>
              </w:rPr>
              <w:t>&lt;</w:t>
            </w:r>
            <w:r w:rsidRPr="00FA3F9C">
              <w:rPr>
                <w:rFonts w:ascii="Arial" w:hAnsi="Arial" w:cs="Arial"/>
                <w:b/>
                <w:color w:val="231F20"/>
                <w:sz w:val="24"/>
                <w:szCs w:val="24"/>
              </w:rPr>
              <w:t>15</w:t>
            </w:r>
          </w:p>
        </w:tc>
        <w:tc>
          <w:tcPr>
            <w:tcW w:w="2088" w:type="dxa"/>
          </w:tcPr>
          <w:p w14:paraId="6EB80104" w14:textId="77777777" w:rsidR="002641D2" w:rsidRPr="00FA3F9C" w:rsidRDefault="002641D2"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highlight w:val="yellow"/>
              </w:rPr>
              <w:t>&gt;15</w:t>
            </w:r>
          </w:p>
        </w:tc>
        <w:tc>
          <w:tcPr>
            <w:tcW w:w="2088" w:type="dxa"/>
          </w:tcPr>
          <w:p w14:paraId="240BE054" w14:textId="77777777" w:rsidR="002641D2" w:rsidRPr="00FA3F9C" w:rsidRDefault="002641D2" w:rsidP="003926F2">
            <w:pPr>
              <w:rPr>
                <w:rFonts w:ascii="Arial" w:hAnsi="Arial" w:cs="Arial"/>
                <w:sz w:val="24"/>
                <w:szCs w:val="24"/>
              </w:rPr>
            </w:pPr>
            <w:r w:rsidRPr="00FA3F9C">
              <w:rPr>
                <w:rFonts w:ascii="Arial" w:hAnsi="Arial" w:cs="Arial"/>
                <w:b/>
                <w:color w:val="231F20"/>
                <w:sz w:val="24"/>
                <w:szCs w:val="24"/>
                <w:u w:val="single"/>
              </w:rPr>
              <w:t>&lt;</w:t>
            </w:r>
            <w:r w:rsidRPr="00FA3F9C">
              <w:rPr>
                <w:rFonts w:ascii="Arial" w:hAnsi="Arial" w:cs="Arial"/>
                <w:b/>
                <w:color w:val="231F20"/>
                <w:sz w:val="24"/>
                <w:szCs w:val="24"/>
              </w:rPr>
              <w:t>15</w:t>
            </w:r>
          </w:p>
        </w:tc>
        <w:tc>
          <w:tcPr>
            <w:tcW w:w="2088" w:type="dxa"/>
          </w:tcPr>
          <w:p w14:paraId="76A9C350" w14:textId="77777777" w:rsidR="002641D2" w:rsidRPr="00FA3F9C" w:rsidRDefault="002641D2" w:rsidP="003926F2">
            <w:pPr>
              <w:rPr>
                <w:rFonts w:ascii="Arial" w:hAnsi="Arial" w:cs="Arial"/>
                <w:sz w:val="24"/>
                <w:szCs w:val="24"/>
              </w:rPr>
            </w:pPr>
            <w:r w:rsidRPr="00FA3F9C">
              <w:rPr>
                <w:rFonts w:ascii="Arial" w:hAnsi="Arial" w:cs="Arial"/>
                <w:b/>
                <w:color w:val="231F20"/>
                <w:sz w:val="24"/>
                <w:szCs w:val="24"/>
                <w:u w:val="single"/>
              </w:rPr>
              <w:t>&lt;</w:t>
            </w:r>
            <w:r w:rsidRPr="00FA3F9C">
              <w:rPr>
                <w:rFonts w:ascii="Arial" w:hAnsi="Arial" w:cs="Arial"/>
                <w:b/>
                <w:color w:val="231F20"/>
                <w:sz w:val="24"/>
                <w:szCs w:val="24"/>
              </w:rPr>
              <w:t>15</w:t>
            </w:r>
          </w:p>
        </w:tc>
        <w:tc>
          <w:tcPr>
            <w:tcW w:w="2088" w:type="dxa"/>
          </w:tcPr>
          <w:p w14:paraId="69B6DB3B" w14:textId="77777777" w:rsidR="002641D2" w:rsidRPr="00FA3F9C" w:rsidRDefault="002641D2" w:rsidP="003926F2">
            <w:pPr>
              <w:rPr>
                <w:rFonts w:ascii="Arial" w:hAnsi="Arial" w:cs="Arial"/>
                <w:sz w:val="24"/>
                <w:szCs w:val="24"/>
              </w:rPr>
            </w:pPr>
            <w:r w:rsidRPr="00FA3F9C">
              <w:rPr>
                <w:rFonts w:ascii="Arial" w:hAnsi="Arial" w:cs="Arial"/>
                <w:b/>
                <w:color w:val="231F20"/>
                <w:sz w:val="24"/>
                <w:szCs w:val="24"/>
                <w:u w:val="single"/>
              </w:rPr>
              <w:t>&lt;</w:t>
            </w:r>
            <w:r w:rsidRPr="00FA3F9C">
              <w:rPr>
                <w:rFonts w:ascii="Arial" w:hAnsi="Arial" w:cs="Arial"/>
                <w:b/>
                <w:color w:val="231F20"/>
                <w:sz w:val="24"/>
                <w:szCs w:val="24"/>
              </w:rPr>
              <w:t>15</w:t>
            </w:r>
          </w:p>
        </w:tc>
      </w:tr>
      <w:tr w:rsidR="002641D2" w:rsidRPr="00FA3F9C" w14:paraId="5A7DF24B" w14:textId="77777777" w:rsidTr="003926F2">
        <w:tc>
          <w:tcPr>
            <w:tcW w:w="2088" w:type="dxa"/>
          </w:tcPr>
          <w:p w14:paraId="1367E219" w14:textId="77777777" w:rsidR="002641D2" w:rsidRPr="00FA3F9C" w:rsidRDefault="002641D2"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PVR, dynes/s/cm</w:t>
            </w:r>
          </w:p>
        </w:tc>
        <w:tc>
          <w:tcPr>
            <w:tcW w:w="2088" w:type="dxa"/>
          </w:tcPr>
          <w:p w14:paraId="1359A3CA" w14:textId="77777777" w:rsidR="002641D2" w:rsidRPr="00FA3F9C" w:rsidRDefault="002641D2" w:rsidP="003926F2">
            <w:pPr>
              <w:widowControl w:val="0"/>
              <w:autoSpaceDE w:val="0"/>
              <w:autoSpaceDN w:val="0"/>
              <w:adjustRightInd w:val="0"/>
              <w:rPr>
                <w:rFonts w:ascii="Arial" w:hAnsi="Arial" w:cs="Arial"/>
                <w:b/>
                <w:color w:val="231F20"/>
                <w:sz w:val="24"/>
                <w:szCs w:val="24"/>
              </w:rPr>
            </w:pPr>
          </w:p>
        </w:tc>
        <w:tc>
          <w:tcPr>
            <w:tcW w:w="2088" w:type="dxa"/>
          </w:tcPr>
          <w:p w14:paraId="70ED3387" w14:textId="77777777" w:rsidR="002641D2" w:rsidRPr="00FA3F9C" w:rsidRDefault="002641D2" w:rsidP="003926F2">
            <w:pPr>
              <w:widowControl w:val="0"/>
              <w:autoSpaceDE w:val="0"/>
              <w:autoSpaceDN w:val="0"/>
              <w:adjustRightInd w:val="0"/>
              <w:rPr>
                <w:rFonts w:ascii="Arial" w:hAnsi="Arial" w:cs="Arial"/>
                <w:color w:val="231F20"/>
                <w:sz w:val="24"/>
                <w:szCs w:val="24"/>
              </w:rPr>
            </w:pPr>
            <w:r w:rsidRPr="00FA3F9C">
              <w:rPr>
                <w:rFonts w:ascii="Arial" w:hAnsi="Arial" w:cs="Arial"/>
                <w:color w:val="231F20"/>
                <w:sz w:val="24"/>
                <w:szCs w:val="24"/>
              </w:rPr>
              <w:t>&gt;240</w:t>
            </w:r>
          </w:p>
        </w:tc>
        <w:tc>
          <w:tcPr>
            <w:tcW w:w="2088" w:type="dxa"/>
          </w:tcPr>
          <w:p w14:paraId="56DEB641" w14:textId="77777777" w:rsidR="002641D2" w:rsidRPr="00FA3F9C" w:rsidRDefault="002641D2" w:rsidP="003926F2">
            <w:pPr>
              <w:widowControl w:val="0"/>
              <w:autoSpaceDE w:val="0"/>
              <w:autoSpaceDN w:val="0"/>
              <w:adjustRightInd w:val="0"/>
              <w:rPr>
                <w:rFonts w:ascii="Arial" w:hAnsi="Arial" w:cs="Arial"/>
                <w:b/>
                <w:color w:val="231F20"/>
                <w:sz w:val="24"/>
                <w:szCs w:val="24"/>
                <w:highlight w:val="yellow"/>
              </w:rPr>
            </w:pPr>
          </w:p>
        </w:tc>
        <w:tc>
          <w:tcPr>
            <w:tcW w:w="2088" w:type="dxa"/>
          </w:tcPr>
          <w:p w14:paraId="3902D154" w14:textId="77777777" w:rsidR="002641D2" w:rsidRPr="00FA3F9C" w:rsidRDefault="002641D2" w:rsidP="003926F2">
            <w:pPr>
              <w:rPr>
                <w:rFonts w:ascii="Arial" w:hAnsi="Arial" w:cs="Arial"/>
                <w:sz w:val="24"/>
                <w:szCs w:val="24"/>
              </w:rPr>
            </w:pPr>
            <w:r w:rsidRPr="00FA3F9C">
              <w:rPr>
                <w:rFonts w:ascii="Arial" w:hAnsi="Arial" w:cs="Arial"/>
                <w:color w:val="231F20"/>
                <w:sz w:val="24"/>
                <w:szCs w:val="24"/>
              </w:rPr>
              <w:t>&gt;240</w:t>
            </w:r>
          </w:p>
        </w:tc>
        <w:tc>
          <w:tcPr>
            <w:tcW w:w="2088" w:type="dxa"/>
          </w:tcPr>
          <w:p w14:paraId="3C2544B4" w14:textId="77777777" w:rsidR="002641D2" w:rsidRPr="00FA3F9C" w:rsidRDefault="002641D2" w:rsidP="003926F2">
            <w:pPr>
              <w:rPr>
                <w:rFonts w:ascii="Arial" w:hAnsi="Arial" w:cs="Arial"/>
                <w:sz w:val="24"/>
                <w:szCs w:val="24"/>
              </w:rPr>
            </w:pPr>
            <w:r w:rsidRPr="00FA3F9C">
              <w:rPr>
                <w:rFonts w:ascii="Arial" w:hAnsi="Arial" w:cs="Arial"/>
                <w:color w:val="231F20"/>
                <w:sz w:val="24"/>
                <w:szCs w:val="24"/>
              </w:rPr>
              <w:t>&gt;240</w:t>
            </w:r>
          </w:p>
        </w:tc>
        <w:tc>
          <w:tcPr>
            <w:tcW w:w="2088" w:type="dxa"/>
          </w:tcPr>
          <w:p w14:paraId="7CC98846" w14:textId="77777777" w:rsidR="002641D2" w:rsidRPr="00FA3F9C" w:rsidRDefault="002641D2" w:rsidP="003926F2">
            <w:pPr>
              <w:rPr>
                <w:rFonts w:ascii="Arial" w:hAnsi="Arial" w:cs="Arial"/>
                <w:sz w:val="24"/>
                <w:szCs w:val="24"/>
              </w:rPr>
            </w:pPr>
            <w:r w:rsidRPr="00FA3F9C">
              <w:rPr>
                <w:rFonts w:ascii="Arial" w:hAnsi="Arial" w:cs="Arial"/>
                <w:color w:val="231F20"/>
                <w:sz w:val="24"/>
                <w:szCs w:val="24"/>
              </w:rPr>
              <w:t>&gt;240</w:t>
            </w:r>
          </w:p>
        </w:tc>
      </w:tr>
    </w:tbl>
    <w:p w14:paraId="2CC513AB" w14:textId="77777777" w:rsidR="002641D2" w:rsidRPr="00FA3F9C" w:rsidRDefault="002641D2" w:rsidP="006F623F">
      <w:pPr>
        <w:spacing w:after="0"/>
        <w:rPr>
          <w:rFonts w:ascii="Arial" w:hAnsi="Arial" w:cs="Arial"/>
          <w:sz w:val="24"/>
          <w:szCs w:val="24"/>
        </w:rPr>
      </w:pPr>
    </w:p>
    <w:p w14:paraId="1F905A98" w14:textId="77777777" w:rsidR="002641D2" w:rsidRPr="00FA3F9C" w:rsidRDefault="002641D2" w:rsidP="006F623F">
      <w:pPr>
        <w:spacing w:after="0"/>
        <w:rPr>
          <w:rFonts w:ascii="Arial" w:hAnsi="Arial" w:cs="Arial"/>
          <w:sz w:val="24"/>
          <w:szCs w:val="24"/>
        </w:rPr>
      </w:pPr>
    </w:p>
    <w:p w14:paraId="7FF03A07" w14:textId="77777777" w:rsidR="002641D2" w:rsidRPr="00FA3F9C" w:rsidRDefault="002641D2" w:rsidP="00AF24EF">
      <w:pPr>
        <w:spacing w:after="0" w:line="240" w:lineRule="auto"/>
        <w:rPr>
          <w:rFonts w:ascii="Arial" w:hAnsi="Arial" w:cs="Arial"/>
          <w:sz w:val="24"/>
          <w:szCs w:val="24"/>
        </w:rPr>
      </w:pPr>
      <w:r w:rsidRPr="00FA3F9C">
        <w:rPr>
          <w:rFonts w:ascii="Arial" w:hAnsi="Arial" w:cs="Arial"/>
          <w:sz w:val="24"/>
          <w:szCs w:val="24"/>
        </w:rPr>
        <w:t>References:</w:t>
      </w:r>
    </w:p>
    <w:p w14:paraId="3DEF2351" w14:textId="77777777" w:rsidR="002641D2" w:rsidRPr="00FA3F9C" w:rsidRDefault="002641D2" w:rsidP="00AF24EF">
      <w:pPr>
        <w:spacing w:after="0" w:line="240" w:lineRule="auto"/>
        <w:rPr>
          <w:rFonts w:ascii="Arial" w:eastAsia="Times New Roman" w:hAnsi="Arial" w:cs="Arial"/>
          <w:sz w:val="24"/>
          <w:szCs w:val="24"/>
        </w:rPr>
      </w:pPr>
      <w:r w:rsidRPr="00FA3F9C">
        <w:rPr>
          <w:rFonts w:ascii="Arial" w:hAnsi="Arial" w:cs="Arial"/>
          <w:sz w:val="24"/>
          <w:szCs w:val="24"/>
        </w:rPr>
        <w:t xml:space="preserve">1. </w:t>
      </w:r>
      <w:proofErr w:type="spellStart"/>
      <w:r w:rsidRPr="00FA3F9C">
        <w:rPr>
          <w:rFonts w:ascii="Arial" w:eastAsia="Times New Roman" w:hAnsi="Arial" w:cs="Arial"/>
          <w:color w:val="222222"/>
          <w:sz w:val="24"/>
          <w:szCs w:val="24"/>
          <w:shd w:val="clear" w:color="auto" w:fill="FFFFFF"/>
        </w:rPr>
        <w:t>Yaghi</w:t>
      </w:r>
      <w:proofErr w:type="spellEnd"/>
      <w:r w:rsidRPr="00FA3F9C">
        <w:rPr>
          <w:rFonts w:ascii="Arial" w:eastAsia="Times New Roman" w:hAnsi="Arial" w:cs="Arial"/>
          <w:color w:val="222222"/>
          <w:sz w:val="24"/>
          <w:szCs w:val="24"/>
          <w:shd w:val="clear" w:color="auto" w:fill="FFFFFF"/>
        </w:rPr>
        <w:t xml:space="preserve">, Salim, Anastasia Novikov, and Theo </w:t>
      </w:r>
      <w:proofErr w:type="spellStart"/>
      <w:r w:rsidRPr="00FA3F9C">
        <w:rPr>
          <w:rFonts w:ascii="Arial" w:eastAsia="Times New Roman" w:hAnsi="Arial" w:cs="Arial"/>
          <w:color w:val="222222"/>
          <w:sz w:val="24"/>
          <w:szCs w:val="24"/>
          <w:shd w:val="clear" w:color="auto" w:fill="FFFFFF"/>
        </w:rPr>
        <w:t>Trandafirescu</w:t>
      </w:r>
      <w:proofErr w:type="spellEnd"/>
      <w:r w:rsidRPr="00FA3F9C">
        <w:rPr>
          <w:rFonts w:ascii="Arial" w:eastAsia="Times New Roman" w:hAnsi="Arial" w:cs="Arial"/>
          <w:color w:val="222222"/>
          <w:sz w:val="24"/>
          <w:szCs w:val="24"/>
          <w:shd w:val="clear" w:color="auto" w:fill="FFFFFF"/>
        </w:rPr>
        <w:t>. "Clinical update on pulmonary hypertension." </w:t>
      </w:r>
      <w:r w:rsidRPr="00FA3F9C">
        <w:rPr>
          <w:rFonts w:ascii="Arial" w:eastAsia="Times New Roman" w:hAnsi="Arial" w:cs="Arial"/>
          <w:i/>
          <w:iCs/>
          <w:color w:val="222222"/>
          <w:sz w:val="24"/>
          <w:szCs w:val="24"/>
          <w:shd w:val="clear" w:color="auto" w:fill="FFFFFF"/>
        </w:rPr>
        <w:t>Journal of Investigative Medicine</w:t>
      </w:r>
      <w:r w:rsidRPr="00FA3F9C">
        <w:rPr>
          <w:rFonts w:ascii="Arial" w:eastAsia="Times New Roman" w:hAnsi="Arial" w:cs="Arial"/>
          <w:color w:val="222222"/>
          <w:sz w:val="24"/>
          <w:szCs w:val="24"/>
          <w:shd w:val="clear" w:color="auto" w:fill="FFFFFF"/>
        </w:rPr>
        <w:t> 68.4 (2020): 821-827.</w:t>
      </w:r>
    </w:p>
    <w:p w14:paraId="1A2AAF2C" w14:textId="77777777" w:rsidR="002641D2" w:rsidRPr="00FA3F9C" w:rsidRDefault="002641D2" w:rsidP="00F503E0">
      <w:pPr>
        <w:rPr>
          <w:rFonts w:ascii="Arial" w:hAnsi="Arial" w:cs="Arial"/>
          <w:sz w:val="24"/>
          <w:szCs w:val="24"/>
        </w:rPr>
      </w:pPr>
      <w:r w:rsidRPr="00FA3F9C">
        <w:rPr>
          <w:rFonts w:ascii="Arial" w:hAnsi="Arial" w:cs="Arial"/>
          <w:sz w:val="24"/>
          <w:szCs w:val="24"/>
        </w:rPr>
        <w:t xml:space="preserve">2. </w:t>
      </w:r>
      <w:r w:rsidRPr="00FA3F9C">
        <w:rPr>
          <w:rFonts w:ascii="Arial" w:eastAsia="Times New Roman" w:hAnsi="Arial" w:cs="Arial"/>
          <w:color w:val="222222"/>
          <w:sz w:val="24"/>
          <w:szCs w:val="24"/>
          <w:shd w:val="clear" w:color="auto" w:fill="FFFFFF"/>
        </w:rPr>
        <w:t>Klinger, James R., et al. "Therapy for pulmonary arterial hypertension in adults: update of the CHEST guideline and expert panel report." </w:t>
      </w:r>
      <w:r w:rsidRPr="00FA3F9C">
        <w:rPr>
          <w:rFonts w:ascii="Arial" w:eastAsia="Times New Roman" w:hAnsi="Arial" w:cs="Arial"/>
          <w:i/>
          <w:iCs/>
          <w:color w:val="222222"/>
          <w:sz w:val="24"/>
          <w:szCs w:val="24"/>
          <w:shd w:val="clear" w:color="auto" w:fill="FFFFFF"/>
        </w:rPr>
        <w:t>Chest</w:t>
      </w:r>
      <w:r w:rsidRPr="00FA3F9C">
        <w:rPr>
          <w:rFonts w:ascii="Arial" w:eastAsia="Times New Roman" w:hAnsi="Arial" w:cs="Arial"/>
          <w:color w:val="222222"/>
          <w:sz w:val="24"/>
          <w:szCs w:val="24"/>
          <w:shd w:val="clear" w:color="auto" w:fill="FFFFFF"/>
        </w:rPr>
        <w:t> 155.3 (2019): 565-586.</w:t>
      </w:r>
    </w:p>
    <w:p w14:paraId="61600BB3" w14:textId="77777777" w:rsidR="002641D2" w:rsidRPr="00FA3F9C" w:rsidRDefault="002641D2" w:rsidP="002A1632">
      <w:pPr>
        <w:pStyle w:val="Heading2"/>
      </w:pPr>
      <w:bookmarkStart w:id="176" w:name="_Toc106369855"/>
      <w:proofErr w:type="spellStart"/>
      <w:r w:rsidRPr="00FA3F9C">
        <w:t>Maribavir</w:t>
      </w:r>
      <w:proofErr w:type="spellEnd"/>
      <w:r w:rsidRPr="00FA3F9C">
        <w:t xml:space="preserve"> (</w:t>
      </w:r>
      <w:proofErr w:type="spellStart"/>
      <w:r w:rsidRPr="00FA3F9C">
        <w:t>Livtencity</w:t>
      </w:r>
      <w:proofErr w:type="spellEnd"/>
      <w:r w:rsidRPr="00FA3F9C">
        <w:t>)</w:t>
      </w:r>
      <w:bookmarkEnd w:id="176"/>
    </w:p>
    <w:p w14:paraId="3CADCC03" w14:textId="77777777" w:rsidR="002641D2" w:rsidRPr="00FA3F9C" w:rsidRDefault="002641D2" w:rsidP="006F623F">
      <w:pPr>
        <w:spacing w:after="0"/>
        <w:jc w:val="center"/>
        <w:rPr>
          <w:rFonts w:ascii="Arial" w:hAnsi="Arial" w:cs="Arial"/>
          <w:sz w:val="24"/>
          <w:szCs w:val="24"/>
        </w:rPr>
      </w:pPr>
      <w:r w:rsidRPr="00FA3F9C">
        <w:rPr>
          <w:rFonts w:ascii="Arial" w:hAnsi="Arial" w:cs="Arial"/>
          <w:sz w:val="24"/>
          <w:szCs w:val="24"/>
        </w:rPr>
        <w:t>EBRx PA Criteria</w:t>
      </w:r>
    </w:p>
    <w:p w14:paraId="72785DD6" w14:textId="77777777" w:rsidR="002641D2" w:rsidRPr="00FA3F9C" w:rsidRDefault="002641D2" w:rsidP="006F623F">
      <w:pPr>
        <w:spacing w:after="0"/>
        <w:rPr>
          <w:rFonts w:ascii="Arial" w:hAnsi="Arial" w:cs="Arial"/>
          <w:b/>
          <w:sz w:val="24"/>
          <w:szCs w:val="24"/>
          <w:u w:val="single"/>
        </w:rPr>
      </w:pPr>
    </w:p>
    <w:p w14:paraId="0EB4D747" w14:textId="77777777" w:rsidR="002641D2" w:rsidRPr="00FA3F9C" w:rsidRDefault="002641D2"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w:t>
      </w:r>
      <w:r w:rsidRPr="00FA3F9C">
        <w:rPr>
          <w:rFonts w:ascii="Arial" w:eastAsia="Times New Roman" w:hAnsi="Arial" w:cs="Arial"/>
          <w:color w:val="242424"/>
          <w:sz w:val="24"/>
          <w:szCs w:val="24"/>
          <w:shd w:val="clear" w:color="auto" w:fill="FFFFFF"/>
          <w:rPrChange w:id="177" w:author="Johnson, Jill" w:date="2022-01-12T14:59:00Z">
            <w:rPr>
              <w:rFonts w:ascii="Arial" w:eastAsia="Times New Roman" w:hAnsi="Arial" w:cs="Arial"/>
              <w:color w:val="242424"/>
              <w:shd w:val="clear" w:color="auto" w:fill="FFFFFF"/>
            </w:rPr>
          </w:rPrChange>
        </w:rPr>
        <w:t>Treatment of adults and pediatric patients</w:t>
      </w:r>
      <w:r w:rsidRPr="00FA3F9C">
        <w:rPr>
          <w:rFonts w:ascii="Arial" w:eastAsia="Times New Roman" w:hAnsi="Arial" w:cs="Arial"/>
          <w:color w:val="242424"/>
          <w:sz w:val="24"/>
          <w:szCs w:val="24"/>
          <w:shd w:val="clear" w:color="auto" w:fill="FFFFFF"/>
        </w:rPr>
        <w:t xml:space="preserve"> age 12y+ and weigh 35kg+,</w:t>
      </w:r>
      <w:r w:rsidRPr="00FA3F9C">
        <w:rPr>
          <w:rFonts w:ascii="Arial" w:eastAsia="Times New Roman" w:hAnsi="Arial" w:cs="Arial"/>
          <w:color w:val="242424"/>
          <w:sz w:val="24"/>
          <w:szCs w:val="24"/>
          <w:shd w:val="clear" w:color="auto" w:fill="FFFFFF"/>
          <w:rPrChange w:id="178" w:author="Johnson, Jill" w:date="2022-01-12T14:59:00Z">
            <w:rPr>
              <w:rFonts w:ascii="Arial" w:eastAsia="Times New Roman" w:hAnsi="Arial" w:cs="Arial"/>
              <w:color w:val="242424"/>
              <w:shd w:val="clear" w:color="auto" w:fill="FFFFFF"/>
            </w:rPr>
          </w:rPrChange>
        </w:rPr>
        <w:t xml:space="preserve"> w/ post-transplant CMV (Cytomegalovirus) infection/disease</w:t>
      </w:r>
      <w:r w:rsidRPr="00FA3F9C">
        <w:rPr>
          <w:rFonts w:ascii="Arial" w:eastAsia="Times New Roman" w:hAnsi="Arial" w:cs="Arial"/>
          <w:color w:val="242424"/>
          <w:sz w:val="24"/>
          <w:szCs w:val="24"/>
          <w:shd w:val="clear" w:color="auto" w:fill="FFFFFF"/>
        </w:rPr>
        <w:t xml:space="preserve"> that is refractory to treatment (with or without genotypic resistance) with ganciclovir, valganciclovir, cidofovir, or </w:t>
      </w:r>
      <w:proofErr w:type="spellStart"/>
      <w:r w:rsidRPr="00FA3F9C">
        <w:rPr>
          <w:rFonts w:ascii="Arial" w:eastAsia="Times New Roman" w:hAnsi="Arial" w:cs="Arial"/>
          <w:color w:val="242424"/>
          <w:sz w:val="24"/>
          <w:szCs w:val="24"/>
          <w:shd w:val="clear" w:color="auto" w:fill="FFFFFF"/>
        </w:rPr>
        <w:t>foscarnet</w:t>
      </w:r>
      <w:proofErr w:type="spellEnd"/>
      <w:r w:rsidRPr="00FA3F9C">
        <w:rPr>
          <w:rFonts w:ascii="Arial" w:eastAsia="Times New Roman" w:hAnsi="Arial" w:cs="Arial"/>
          <w:color w:val="242424"/>
          <w:sz w:val="24"/>
          <w:szCs w:val="24"/>
          <w:shd w:val="clear" w:color="auto" w:fill="FFFFFF"/>
          <w:rPrChange w:id="179" w:author="Johnson, Jill" w:date="2022-01-12T14:59:00Z">
            <w:rPr>
              <w:rFonts w:ascii="Arial" w:eastAsia="Times New Roman" w:hAnsi="Arial" w:cs="Arial"/>
              <w:color w:val="242424"/>
              <w:shd w:val="clear" w:color="auto" w:fill="FFFFFF"/>
            </w:rPr>
          </w:rPrChange>
        </w:rPr>
        <w:t>.</w:t>
      </w:r>
    </w:p>
    <w:tbl>
      <w:tblPr>
        <w:tblStyle w:val="TableGrid"/>
        <w:tblW w:w="0" w:type="auto"/>
        <w:tblLook w:val="04A0" w:firstRow="1" w:lastRow="0" w:firstColumn="1" w:lastColumn="0" w:noHBand="0" w:noVBand="1"/>
      </w:tblPr>
      <w:tblGrid>
        <w:gridCol w:w="8928"/>
        <w:gridCol w:w="2088"/>
      </w:tblGrid>
      <w:tr w:rsidR="002641D2" w:rsidRPr="00FA3F9C" w14:paraId="732A0C2B" w14:textId="77777777" w:rsidTr="00571CAB">
        <w:tc>
          <w:tcPr>
            <w:tcW w:w="8928" w:type="dxa"/>
            <w:shd w:val="clear" w:color="auto" w:fill="000000"/>
          </w:tcPr>
          <w:p w14:paraId="4AB36E13" w14:textId="77777777" w:rsidR="002641D2" w:rsidRPr="00FA3F9C" w:rsidRDefault="002641D2"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88" w:type="dxa"/>
            <w:shd w:val="clear" w:color="auto" w:fill="000000"/>
          </w:tcPr>
          <w:p w14:paraId="609299FB" w14:textId="77777777" w:rsidR="002641D2" w:rsidRPr="00FA3F9C" w:rsidRDefault="002641D2" w:rsidP="006F623F">
            <w:pPr>
              <w:jc w:val="center"/>
              <w:rPr>
                <w:rFonts w:ascii="Arial" w:hAnsi="Arial" w:cs="Arial"/>
                <w:b/>
                <w:sz w:val="24"/>
                <w:szCs w:val="24"/>
                <w:u w:val="single"/>
              </w:rPr>
            </w:pPr>
          </w:p>
        </w:tc>
      </w:tr>
      <w:tr w:rsidR="002641D2" w:rsidRPr="00FA3F9C" w14:paraId="3FBF3F5E" w14:textId="77777777" w:rsidTr="00F337AE">
        <w:tc>
          <w:tcPr>
            <w:tcW w:w="11016" w:type="dxa"/>
            <w:gridSpan w:val="2"/>
          </w:tcPr>
          <w:p w14:paraId="2F21D398" w14:textId="77777777" w:rsidR="002641D2" w:rsidRPr="00FA3F9C" w:rsidRDefault="002641D2" w:rsidP="006F623F">
            <w:pPr>
              <w:rPr>
                <w:rFonts w:ascii="Arial" w:hAnsi="Arial" w:cs="Arial"/>
                <w:sz w:val="24"/>
                <w:szCs w:val="24"/>
              </w:rPr>
            </w:pPr>
            <w:r w:rsidRPr="00FA3F9C">
              <w:rPr>
                <w:rFonts w:ascii="Arial" w:hAnsi="Arial" w:cs="Arial"/>
                <w:sz w:val="24"/>
                <w:szCs w:val="24"/>
              </w:rPr>
              <w:t>1. The patient must be a recipient of hematopoietic stem cell or solid organ transplant.</w:t>
            </w:r>
          </w:p>
        </w:tc>
      </w:tr>
      <w:tr w:rsidR="002641D2" w:rsidRPr="00FA3F9C" w14:paraId="31803856" w14:textId="77777777" w:rsidTr="00B1617E">
        <w:tc>
          <w:tcPr>
            <w:tcW w:w="11016" w:type="dxa"/>
            <w:gridSpan w:val="2"/>
          </w:tcPr>
          <w:p w14:paraId="26EEC820" w14:textId="77777777" w:rsidR="002641D2" w:rsidRPr="00FA3F9C" w:rsidRDefault="002641D2" w:rsidP="006F623F">
            <w:pPr>
              <w:rPr>
                <w:rFonts w:ascii="Arial" w:hAnsi="Arial" w:cs="Arial"/>
                <w:sz w:val="24"/>
                <w:szCs w:val="24"/>
              </w:rPr>
            </w:pPr>
            <w:r w:rsidRPr="00FA3F9C">
              <w:rPr>
                <w:rFonts w:ascii="Arial" w:hAnsi="Arial" w:cs="Arial"/>
                <w:sz w:val="24"/>
                <w:szCs w:val="24"/>
              </w:rPr>
              <w:t xml:space="preserve">2. the patient must have a documented CMV infection in whole blood or plasma, with a value </w:t>
            </w:r>
            <w:r w:rsidRPr="00FA3F9C">
              <w:rPr>
                <w:rFonts w:ascii="Arial" w:hAnsi="Arial" w:cs="Arial"/>
                <w:sz w:val="24"/>
                <w:szCs w:val="24"/>
                <w:u w:val="single"/>
              </w:rPr>
              <w:t>&gt;</w:t>
            </w:r>
            <w:r w:rsidRPr="00FA3F9C">
              <w:rPr>
                <w:rFonts w:ascii="Arial" w:hAnsi="Arial" w:cs="Arial"/>
                <w:sz w:val="24"/>
                <w:szCs w:val="24"/>
              </w:rPr>
              <w:t xml:space="preserve"> 2730 IU/mL in whole blood or </w:t>
            </w:r>
            <w:r w:rsidRPr="00FA3F9C">
              <w:rPr>
                <w:rFonts w:ascii="Arial" w:hAnsi="Arial" w:cs="Arial"/>
                <w:sz w:val="24"/>
                <w:szCs w:val="24"/>
                <w:u w:val="single"/>
              </w:rPr>
              <w:t>&gt;</w:t>
            </w:r>
            <w:r w:rsidRPr="00FA3F9C">
              <w:rPr>
                <w:rFonts w:ascii="Arial" w:hAnsi="Arial" w:cs="Arial"/>
                <w:sz w:val="24"/>
                <w:szCs w:val="24"/>
              </w:rPr>
              <w:t xml:space="preserve"> 910 IU/mL in plasma on 2 consecutive assessments, separated by &gt;1 day, as determined by local or central specialty lab qPCR or comparable quantitative CMV DNA results.</w:t>
            </w:r>
          </w:p>
        </w:tc>
      </w:tr>
      <w:tr w:rsidR="002641D2" w:rsidRPr="00FA3F9C" w14:paraId="11FA9525" w14:textId="77777777" w:rsidTr="0010789D">
        <w:tc>
          <w:tcPr>
            <w:tcW w:w="11016" w:type="dxa"/>
            <w:gridSpan w:val="2"/>
          </w:tcPr>
          <w:p w14:paraId="1EFE0460" w14:textId="77777777" w:rsidR="002641D2" w:rsidRPr="00FA3F9C" w:rsidRDefault="002641D2" w:rsidP="006F623F">
            <w:pPr>
              <w:rPr>
                <w:rFonts w:ascii="Arial" w:hAnsi="Arial" w:cs="Arial"/>
                <w:sz w:val="24"/>
                <w:szCs w:val="24"/>
              </w:rPr>
            </w:pPr>
            <w:r w:rsidRPr="00FA3F9C">
              <w:rPr>
                <w:rFonts w:ascii="Arial" w:hAnsi="Arial" w:cs="Arial"/>
                <w:sz w:val="24"/>
                <w:szCs w:val="24"/>
              </w:rPr>
              <w:t xml:space="preserve">3. The patient must have a current CMV infection that is refractory to the most recently administered of the four anti-CMV treatment agents.  Refractory is defined as documented failure to achieve &gt; 1 log10 decrease in CMV DNA level after &gt;14 days of treatment with IV ganciclovir or oral valganciclovir, IV </w:t>
            </w:r>
            <w:proofErr w:type="spellStart"/>
            <w:r w:rsidRPr="00FA3F9C">
              <w:rPr>
                <w:rFonts w:ascii="Arial" w:hAnsi="Arial" w:cs="Arial"/>
                <w:sz w:val="24"/>
                <w:szCs w:val="24"/>
              </w:rPr>
              <w:t>foscarnet</w:t>
            </w:r>
            <w:proofErr w:type="spellEnd"/>
            <w:r w:rsidRPr="00FA3F9C">
              <w:rPr>
                <w:rFonts w:ascii="Arial" w:hAnsi="Arial" w:cs="Arial"/>
                <w:sz w:val="24"/>
                <w:szCs w:val="24"/>
              </w:rPr>
              <w:t>, or IV cidofovir.</w:t>
            </w:r>
          </w:p>
        </w:tc>
      </w:tr>
      <w:tr w:rsidR="002641D2" w:rsidRPr="00FA3F9C" w14:paraId="6E712FCA" w14:textId="77777777" w:rsidTr="00DA57E0">
        <w:tc>
          <w:tcPr>
            <w:tcW w:w="11016" w:type="dxa"/>
            <w:gridSpan w:val="2"/>
          </w:tcPr>
          <w:p w14:paraId="55385DBE" w14:textId="77777777" w:rsidR="002641D2" w:rsidRPr="00FA3F9C" w:rsidRDefault="002641D2" w:rsidP="006F623F">
            <w:pPr>
              <w:rPr>
                <w:rFonts w:ascii="Arial" w:hAnsi="Arial" w:cs="Arial"/>
                <w:sz w:val="24"/>
                <w:szCs w:val="24"/>
              </w:rPr>
            </w:pPr>
            <w:r w:rsidRPr="00FA3F9C">
              <w:rPr>
                <w:rFonts w:ascii="Arial" w:hAnsi="Arial" w:cs="Arial"/>
                <w:sz w:val="24"/>
                <w:szCs w:val="24"/>
              </w:rPr>
              <w:t>4. The patient must be age 12 years +.</w:t>
            </w:r>
          </w:p>
        </w:tc>
      </w:tr>
      <w:tr w:rsidR="002641D2" w:rsidRPr="00FA3F9C" w14:paraId="3E429D4F" w14:textId="77777777" w:rsidTr="00DA57E0">
        <w:tc>
          <w:tcPr>
            <w:tcW w:w="11016" w:type="dxa"/>
            <w:gridSpan w:val="2"/>
          </w:tcPr>
          <w:p w14:paraId="07435C8F" w14:textId="77777777" w:rsidR="002641D2" w:rsidRPr="00FA3F9C" w:rsidRDefault="002641D2" w:rsidP="006F623F">
            <w:pPr>
              <w:rPr>
                <w:rFonts w:ascii="Arial" w:hAnsi="Arial" w:cs="Arial"/>
                <w:sz w:val="24"/>
                <w:szCs w:val="24"/>
              </w:rPr>
            </w:pPr>
            <w:r w:rsidRPr="00FA3F9C">
              <w:rPr>
                <w:rFonts w:ascii="Arial" w:hAnsi="Arial" w:cs="Arial"/>
                <w:sz w:val="24"/>
                <w:szCs w:val="24"/>
              </w:rPr>
              <w:t>5. The patient must weigh more than 35kg.</w:t>
            </w:r>
          </w:p>
        </w:tc>
      </w:tr>
      <w:tr w:rsidR="002641D2" w:rsidRPr="00FA3F9C" w14:paraId="5221C147" w14:textId="77777777" w:rsidTr="00DA57E0">
        <w:tc>
          <w:tcPr>
            <w:tcW w:w="11016" w:type="dxa"/>
            <w:gridSpan w:val="2"/>
          </w:tcPr>
          <w:p w14:paraId="1C99C4DB" w14:textId="77777777" w:rsidR="002641D2" w:rsidRPr="00FA3F9C" w:rsidRDefault="002641D2" w:rsidP="006F623F">
            <w:pPr>
              <w:rPr>
                <w:rFonts w:ascii="Arial" w:hAnsi="Arial" w:cs="Arial"/>
                <w:sz w:val="24"/>
                <w:szCs w:val="24"/>
              </w:rPr>
            </w:pPr>
            <w:r w:rsidRPr="00FA3F9C">
              <w:rPr>
                <w:rFonts w:ascii="Arial" w:hAnsi="Arial" w:cs="Arial"/>
                <w:sz w:val="24"/>
                <w:szCs w:val="24"/>
              </w:rPr>
              <w:t>If approved, the PA is good for 8 weeks.</w:t>
            </w:r>
          </w:p>
        </w:tc>
      </w:tr>
    </w:tbl>
    <w:p w14:paraId="740091B6" w14:textId="77777777" w:rsidR="002641D2" w:rsidRPr="00FA3F9C" w:rsidRDefault="002641D2" w:rsidP="006F623F">
      <w:pPr>
        <w:spacing w:after="0"/>
        <w:rPr>
          <w:rFonts w:ascii="Arial" w:hAnsi="Arial" w:cs="Arial"/>
          <w:b/>
          <w:sz w:val="24"/>
          <w:szCs w:val="24"/>
          <w:u w:val="single"/>
        </w:rPr>
      </w:pPr>
    </w:p>
    <w:tbl>
      <w:tblPr>
        <w:tblStyle w:val="TableGrid"/>
        <w:tblW w:w="0" w:type="auto"/>
        <w:shd w:val="clear" w:color="auto" w:fill="BFBFBF" w:themeFill="background1" w:themeFillShade="BF"/>
        <w:tblLook w:val="04A0" w:firstRow="1" w:lastRow="0" w:firstColumn="1" w:lastColumn="0" w:noHBand="0" w:noVBand="1"/>
      </w:tblPr>
      <w:tblGrid>
        <w:gridCol w:w="10998"/>
      </w:tblGrid>
      <w:tr w:rsidR="002641D2" w:rsidRPr="00FA3F9C" w14:paraId="229A5728" w14:textId="77777777" w:rsidTr="00D82B6E">
        <w:tc>
          <w:tcPr>
            <w:tcW w:w="10998" w:type="dxa"/>
            <w:shd w:val="clear" w:color="auto" w:fill="BFBFBF" w:themeFill="background1" w:themeFillShade="BF"/>
          </w:tcPr>
          <w:p w14:paraId="54E2F9EA" w14:textId="77777777" w:rsidR="002641D2" w:rsidRPr="00FA3F9C" w:rsidRDefault="002641D2" w:rsidP="00D82B6E">
            <w:pPr>
              <w:rPr>
                <w:rFonts w:ascii="Arial" w:hAnsi="Arial" w:cs="Arial"/>
                <w:sz w:val="24"/>
                <w:szCs w:val="24"/>
              </w:rPr>
            </w:pPr>
            <w:r w:rsidRPr="00FA3F9C">
              <w:rPr>
                <w:rFonts w:ascii="Arial" w:hAnsi="Arial" w:cs="Arial"/>
                <w:sz w:val="24"/>
                <w:szCs w:val="24"/>
              </w:rPr>
              <w:t xml:space="preserve">Note: </w:t>
            </w:r>
            <w:proofErr w:type="spellStart"/>
            <w:r w:rsidRPr="00FA3F9C">
              <w:rPr>
                <w:rFonts w:ascii="Arial" w:hAnsi="Arial" w:cs="Arial"/>
                <w:sz w:val="24"/>
                <w:szCs w:val="24"/>
              </w:rPr>
              <w:t>Maribavir</w:t>
            </w:r>
            <w:proofErr w:type="spellEnd"/>
            <w:r w:rsidRPr="00FA3F9C">
              <w:rPr>
                <w:rFonts w:ascii="Arial" w:hAnsi="Arial" w:cs="Arial"/>
                <w:sz w:val="24"/>
                <w:szCs w:val="24"/>
              </w:rPr>
              <w:t xml:space="preserve"> comes in 200mg tablets.  The dose is 400mg BID, typically for 8 weeks.</w:t>
            </w:r>
          </w:p>
        </w:tc>
      </w:tr>
    </w:tbl>
    <w:p w14:paraId="160E6882" w14:textId="77777777" w:rsidR="002641D2" w:rsidRPr="00FA3F9C" w:rsidRDefault="002641D2" w:rsidP="006F623F">
      <w:pPr>
        <w:spacing w:after="0"/>
        <w:rPr>
          <w:rFonts w:ascii="Arial" w:hAnsi="Arial" w:cs="Arial"/>
          <w:sz w:val="24"/>
          <w:szCs w:val="24"/>
        </w:rPr>
      </w:pPr>
    </w:p>
    <w:p w14:paraId="41CC07F0" w14:textId="77777777" w:rsidR="002641D2" w:rsidRPr="00FA3F9C" w:rsidRDefault="002641D2" w:rsidP="006F623F">
      <w:pPr>
        <w:spacing w:after="0"/>
        <w:rPr>
          <w:rFonts w:ascii="Arial" w:hAnsi="Arial" w:cs="Arial"/>
          <w:sz w:val="24"/>
          <w:szCs w:val="24"/>
        </w:rPr>
      </w:pPr>
      <w:r w:rsidRPr="00FA3F9C">
        <w:rPr>
          <w:rFonts w:ascii="Arial" w:hAnsi="Arial" w:cs="Arial"/>
          <w:sz w:val="24"/>
          <w:szCs w:val="24"/>
        </w:rPr>
        <w:t>Quantity Limits: 4/1</w:t>
      </w:r>
    </w:p>
    <w:p w14:paraId="4B594B51" w14:textId="77777777" w:rsidR="002641D2" w:rsidRPr="00FA3F9C" w:rsidRDefault="002641D2" w:rsidP="006F623F">
      <w:pPr>
        <w:spacing w:after="0"/>
        <w:rPr>
          <w:rFonts w:ascii="Arial" w:hAnsi="Arial" w:cs="Arial"/>
          <w:sz w:val="24"/>
          <w:szCs w:val="24"/>
        </w:rPr>
      </w:pPr>
    </w:p>
    <w:p w14:paraId="3BAB470E" w14:textId="77777777" w:rsidR="002641D2" w:rsidRPr="00FA3F9C" w:rsidRDefault="002641D2" w:rsidP="006F623F">
      <w:pPr>
        <w:spacing w:after="0"/>
        <w:rPr>
          <w:rFonts w:ascii="Arial" w:hAnsi="Arial" w:cs="Arial"/>
          <w:sz w:val="24"/>
          <w:szCs w:val="24"/>
        </w:rPr>
      </w:pPr>
      <w:r w:rsidRPr="00FA3F9C">
        <w:rPr>
          <w:rFonts w:ascii="Arial" w:hAnsi="Arial" w:cs="Arial"/>
          <w:sz w:val="24"/>
          <w:szCs w:val="24"/>
        </w:rPr>
        <w:t>References:</w:t>
      </w:r>
    </w:p>
    <w:p w14:paraId="34D1BBC1" w14:textId="77777777" w:rsidR="002641D2" w:rsidRPr="00FA3F9C" w:rsidRDefault="002641D2" w:rsidP="002641D2">
      <w:pPr>
        <w:pStyle w:val="ListParagraph"/>
        <w:numPr>
          <w:ilvl w:val="0"/>
          <w:numId w:val="325"/>
        </w:numPr>
        <w:spacing w:after="0" w:line="240" w:lineRule="auto"/>
        <w:rPr>
          <w:rFonts w:ascii="Arial" w:hAnsi="Arial" w:cs="Arial"/>
          <w:sz w:val="24"/>
          <w:szCs w:val="24"/>
          <w:rPrChange w:id="180" w:author="Johnson, Jill" w:date="2022-01-12T14:58:00Z">
            <w:rPr>
              <w:rFonts w:ascii="Arial" w:hAnsi="Arial" w:cs="Arial"/>
              <w:sz w:val="18"/>
              <w:szCs w:val="18"/>
            </w:rPr>
          </w:rPrChange>
        </w:rPr>
      </w:pPr>
      <w:r w:rsidRPr="00FA3F9C">
        <w:rPr>
          <w:rFonts w:ascii="Arial" w:hAnsi="Arial" w:cs="Arial"/>
          <w:sz w:val="24"/>
          <w:szCs w:val="24"/>
          <w:rPrChange w:id="181" w:author="Johnson, Jill" w:date="2022-01-12T14:58:00Z">
            <w:rPr>
              <w:rFonts w:ascii="Arial" w:hAnsi="Arial" w:cs="Arial"/>
              <w:sz w:val="18"/>
              <w:szCs w:val="18"/>
            </w:rPr>
          </w:rPrChange>
        </w:rPr>
        <w:lastRenderedPageBreak/>
        <w:t xml:space="preserve">Lexicomp. Lexi drugs. </w:t>
      </w:r>
      <w:proofErr w:type="spellStart"/>
      <w:r w:rsidRPr="00FA3F9C">
        <w:rPr>
          <w:rFonts w:ascii="Arial" w:hAnsi="Arial" w:cs="Arial"/>
          <w:sz w:val="24"/>
          <w:szCs w:val="24"/>
          <w:rPrChange w:id="182" w:author="Johnson, Jill" w:date="2022-01-12T14:58:00Z">
            <w:rPr>
              <w:rFonts w:ascii="Arial" w:hAnsi="Arial" w:cs="Arial"/>
              <w:sz w:val="18"/>
              <w:szCs w:val="18"/>
            </w:rPr>
          </w:rPrChange>
        </w:rPr>
        <w:t>Marivavir</w:t>
      </w:r>
      <w:proofErr w:type="spellEnd"/>
      <w:r w:rsidRPr="00FA3F9C">
        <w:rPr>
          <w:rFonts w:ascii="Arial" w:hAnsi="Arial" w:cs="Arial"/>
          <w:sz w:val="24"/>
          <w:szCs w:val="24"/>
          <w:rPrChange w:id="183" w:author="Johnson, Jill" w:date="2022-01-12T14:58:00Z">
            <w:rPr>
              <w:rFonts w:ascii="Arial" w:hAnsi="Arial" w:cs="Arial"/>
              <w:sz w:val="18"/>
              <w:szCs w:val="18"/>
            </w:rPr>
          </w:rPrChange>
        </w:rPr>
        <w:t>. Accessed 1/7/22.</w:t>
      </w:r>
    </w:p>
    <w:p w14:paraId="6D1CA284" w14:textId="77777777" w:rsidR="002641D2" w:rsidRPr="00FA3F9C" w:rsidRDefault="002641D2" w:rsidP="002641D2">
      <w:pPr>
        <w:pStyle w:val="ListParagraph"/>
        <w:numPr>
          <w:ilvl w:val="0"/>
          <w:numId w:val="325"/>
        </w:numPr>
        <w:spacing w:after="0" w:line="240" w:lineRule="auto"/>
        <w:rPr>
          <w:rFonts w:ascii="Arial" w:hAnsi="Arial" w:cs="Arial"/>
          <w:color w:val="000000" w:themeColor="text1"/>
          <w:sz w:val="24"/>
          <w:szCs w:val="24"/>
          <w:rPrChange w:id="184" w:author="Johnson, Jill" w:date="2022-01-12T14:58:00Z">
            <w:rPr>
              <w:rFonts w:ascii="Arial" w:hAnsi="Arial" w:cs="Arial"/>
              <w:color w:val="000000" w:themeColor="text1"/>
              <w:sz w:val="18"/>
              <w:szCs w:val="18"/>
            </w:rPr>
          </w:rPrChange>
        </w:rPr>
      </w:pPr>
      <w:r w:rsidRPr="00FA3F9C">
        <w:rPr>
          <w:rFonts w:ascii="Arial" w:hAnsi="Arial" w:cs="Arial"/>
          <w:sz w:val="24"/>
          <w:szCs w:val="24"/>
          <w:rPrChange w:id="185" w:author="Johnson, Jill" w:date="2022-01-12T14:58:00Z">
            <w:rPr>
              <w:rFonts w:ascii="Arial" w:hAnsi="Arial" w:cs="Arial"/>
              <w:sz w:val="18"/>
              <w:szCs w:val="18"/>
            </w:rPr>
          </w:rPrChange>
        </w:rPr>
        <w:t xml:space="preserve">Merck Manual. Cytomegalovirus (CMV) Infection. Kenneth M. Kaye , MD, Harvard Medical School. </w:t>
      </w:r>
      <w:r w:rsidRPr="00FA3F9C">
        <w:rPr>
          <w:rFonts w:ascii="Arial" w:hAnsi="Arial" w:cs="Arial"/>
          <w:sz w:val="24"/>
          <w:szCs w:val="24"/>
          <w:rPrChange w:id="186" w:author="Johnson, Jill" w:date="2022-01-12T14:58:00Z">
            <w:rPr>
              <w:rFonts w:asciiTheme="minorHAnsi" w:hAnsiTheme="minorHAnsi" w:cstheme="minorBidi"/>
              <w:sz w:val="24"/>
              <w:szCs w:val="24"/>
            </w:rPr>
          </w:rPrChange>
        </w:rPr>
        <w:fldChar w:fldCharType="begin"/>
      </w:r>
      <w:r w:rsidRPr="00FA3F9C">
        <w:rPr>
          <w:rFonts w:ascii="Arial" w:hAnsi="Arial" w:cs="Arial"/>
          <w:sz w:val="24"/>
          <w:szCs w:val="24"/>
          <w:rPrChange w:id="187" w:author="Johnson, Jill" w:date="2022-01-12T14:58:00Z">
            <w:rPr/>
          </w:rPrChange>
        </w:rPr>
        <w:instrText xml:space="preserve"> HYPERLINK "https://www.merckmanuals.com/home/infections/herpesvirus-infections/cytomegalovirus-cmv-infection?query=Cytomegalovirus%20(CMV)%20Infection" </w:instrText>
      </w:r>
      <w:r w:rsidRPr="00FA3F9C">
        <w:rPr>
          <w:sz w:val="24"/>
          <w:szCs w:val="24"/>
          <w:rPrChange w:id="188" w:author="Johnson, Jill" w:date="2022-01-12T14:58:00Z">
            <w:rPr>
              <w:rStyle w:val="Hyperlink"/>
              <w:rFonts w:ascii="Arial" w:hAnsi="Arial" w:cs="Arial"/>
              <w:color w:val="000000" w:themeColor="text1"/>
              <w:sz w:val="18"/>
              <w:szCs w:val="18"/>
            </w:rPr>
          </w:rPrChange>
        </w:rPr>
        <w:fldChar w:fldCharType="separate"/>
      </w:r>
      <w:r w:rsidRPr="00FA3F9C">
        <w:rPr>
          <w:rStyle w:val="Hyperlink"/>
          <w:rFonts w:ascii="Arial" w:hAnsi="Arial" w:cs="Arial"/>
          <w:color w:val="000000" w:themeColor="text1"/>
          <w:sz w:val="24"/>
          <w:szCs w:val="24"/>
          <w:rPrChange w:id="189" w:author="Johnson, Jill" w:date="2022-01-12T14:58:00Z">
            <w:rPr>
              <w:rStyle w:val="Hyperlink"/>
              <w:rFonts w:ascii="Arial" w:hAnsi="Arial" w:cs="Arial"/>
              <w:color w:val="000000" w:themeColor="text1"/>
              <w:sz w:val="18"/>
              <w:szCs w:val="18"/>
            </w:rPr>
          </w:rPrChange>
        </w:rPr>
        <w:t>https://www.merckmanuals.com/home/infections/herpesvirus-infections/cytomegalovirus-cmv-infection?query=Cytomegalovirus%20(CMV)%20Infection</w:t>
      </w:r>
      <w:r w:rsidRPr="00FA3F9C">
        <w:rPr>
          <w:rStyle w:val="Hyperlink"/>
          <w:rFonts w:ascii="Arial" w:hAnsi="Arial" w:cs="Arial"/>
          <w:color w:val="000000" w:themeColor="text1"/>
          <w:sz w:val="24"/>
          <w:szCs w:val="24"/>
          <w:rPrChange w:id="190" w:author="Johnson, Jill" w:date="2022-01-12T14:58:00Z">
            <w:rPr>
              <w:rStyle w:val="Hyperlink"/>
              <w:rFonts w:ascii="Arial" w:hAnsi="Arial" w:cs="Arial"/>
              <w:color w:val="000000" w:themeColor="text1"/>
              <w:sz w:val="18"/>
              <w:szCs w:val="18"/>
            </w:rPr>
          </w:rPrChange>
        </w:rPr>
        <w:fldChar w:fldCharType="end"/>
      </w:r>
      <w:r w:rsidRPr="00FA3F9C">
        <w:rPr>
          <w:rFonts w:ascii="Arial" w:hAnsi="Arial" w:cs="Arial"/>
          <w:color w:val="000000" w:themeColor="text1"/>
          <w:sz w:val="24"/>
          <w:szCs w:val="24"/>
          <w:rPrChange w:id="191" w:author="Johnson, Jill" w:date="2022-01-12T14:58:00Z">
            <w:rPr>
              <w:rFonts w:ascii="Arial" w:hAnsi="Arial" w:cs="Arial"/>
              <w:color w:val="000000" w:themeColor="text1"/>
              <w:sz w:val="18"/>
              <w:szCs w:val="18"/>
            </w:rPr>
          </w:rPrChange>
        </w:rPr>
        <w:t>.</w:t>
      </w:r>
    </w:p>
    <w:p w14:paraId="7E93A620" w14:textId="77777777" w:rsidR="002641D2" w:rsidRPr="00FA3F9C" w:rsidRDefault="002641D2" w:rsidP="002641D2">
      <w:pPr>
        <w:pStyle w:val="ListParagraph"/>
        <w:numPr>
          <w:ilvl w:val="0"/>
          <w:numId w:val="325"/>
        </w:numPr>
        <w:spacing w:after="0" w:line="240" w:lineRule="auto"/>
        <w:rPr>
          <w:rFonts w:ascii="Arial" w:hAnsi="Arial" w:cs="Arial"/>
          <w:color w:val="000000" w:themeColor="text1"/>
          <w:sz w:val="24"/>
          <w:szCs w:val="24"/>
          <w:rPrChange w:id="192" w:author="Johnson, Jill" w:date="2022-01-12T14:58:00Z">
            <w:rPr>
              <w:rFonts w:ascii="Arial" w:hAnsi="Arial" w:cs="Arial"/>
              <w:color w:val="000000" w:themeColor="text1"/>
              <w:sz w:val="18"/>
              <w:szCs w:val="18"/>
            </w:rPr>
          </w:rPrChange>
        </w:rPr>
      </w:pPr>
      <w:r w:rsidRPr="00FA3F9C">
        <w:rPr>
          <w:rFonts w:ascii="Arial" w:hAnsi="Arial" w:cs="Arial"/>
          <w:sz w:val="24"/>
          <w:szCs w:val="24"/>
          <w:rPrChange w:id="193" w:author="Johnson, Jill" w:date="2022-01-12T14:58:00Z">
            <w:rPr>
              <w:rFonts w:ascii="Arial" w:hAnsi="Arial" w:cs="Arial"/>
              <w:sz w:val="18"/>
              <w:szCs w:val="18"/>
            </w:rPr>
          </w:rPrChange>
        </w:rPr>
        <w:t xml:space="preserve">Martin ,Yaiza del </w:t>
      </w:r>
      <w:proofErr w:type="spellStart"/>
      <w:r w:rsidRPr="00FA3F9C">
        <w:rPr>
          <w:rFonts w:ascii="Arial" w:hAnsi="Arial" w:cs="Arial"/>
          <w:sz w:val="24"/>
          <w:szCs w:val="24"/>
          <w:rPrChange w:id="194" w:author="Johnson, Jill" w:date="2022-01-12T14:58:00Z">
            <w:rPr>
              <w:rFonts w:ascii="Arial" w:hAnsi="Arial" w:cs="Arial"/>
              <w:sz w:val="18"/>
              <w:szCs w:val="18"/>
            </w:rPr>
          </w:rPrChange>
        </w:rPr>
        <w:t>Pozo</w:t>
      </w:r>
      <w:proofErr w:type="spellEnd"/>
      <w:r w:rsidRPr="00FA3F9C">
        <w:rPr>
          <w:rFonts w:ascii="Arial" w:hAnsi="Arial" w:cs="Arial"/>
          <w:sz w:val="24"/>
          <w:szCs w:val="24"/>
          <w:rPrChange w:id="195" w:author="Johnson, Jill" w:date="2022-01-12T14:58:00Z">
            <w:rPr>
              <w:rFonts w:ascii="Arial" w:hAnsi="Arial" w:cs="Arial"/>
              <w:sz w:val="18"/>
              <w:szCs w:val="18"/>
            </w:rPr>
          </w:rPrChange>
        </w:rPr>
        <w:t>. “47</w:t>
      </w:r>
      <w:r w:rsidRPr="00FA3F9C">
        <w:rPr>
          <w:rFonts w:ascii="Arial" w:hAnsi="Arial" w:cs="Arial"/>
          <w:sz w:val="24"/>
          <w:szCs w:val="24"/>
          <w:vertAlign w:val="superscript"/>
          <w:rPrChange w:id="196" w:author="Johnson, Jill" w:date="2022-01-12T14:58:00Z">
            <w:rPr>
              <w:rFonts w:ascii="Arial" w:hAnsi="Arial" w:cs="Arial"/>
              <w:sz w:val="18"/>
              <w:szCs w:val="18"/>
              <w:vertAlign w:val="superscript"/>
            </w:rPr>
          </w:rPrChange>
        </w:rPr>
        <w:t>th</w:t>
      </w:r>
      <w:r w:rsidRPr="00FA3F9C">
        <w:rPr>
          <w:rFonts w:ascii="Arial" w:hAnsi="Arial" w:cs="Arial"/>
          <w:sz w:val="24"/>
          <w:szCs w:val="24"/>
          <w:rPrChange w:id="197" w:author="Johnson, Jill" w:date="2022-01-12T14:58:00Z">
            <w:rPr>
              <w:rFonts w:ascii="Arial" w:hAnsi="Arial" w:cs="Arial"/>
              <w:sz w:val="18"/>
              <w:szCs w:val="18"/>
            </w:rPr>
          </w:rPrChange>
        </w:rPr>
        <w:t xml:space="preserve"> Annual Meeting of the EBMT”. </w:t>
      </w:r>
      <w:r w:rsidRPr="00FA3F9C">
        <w:rPr>
          <w:rFonts w:ascii="Arial" w:hAnsi="Arial" w:cs="Arial"/>
          <w:i/>
          <w:iCs/>
          <w:sz w:val="24"/>
          <w:szCs w:val="24"/>
          <w:rPrChange w:id="198" w:author="Johnson, Jill" w:date="2022-01-12T14:58:00Z">
            <w:rPr>
              <w:rFonts w:ascii="Arial" w:hAnsi="Arial" w:cs="Arial"/>
              <w:i/>
              <w:iCs/>
              <w:sz w:val="18"/>
              <w:szCs w:val="18"/>
            </w:rPr>
          </w:rPrChange>
        </w:rPr>
        <w:t xml:space="preserve">The Lancet </w:t>
      </w:r>
      <w:r w:rsidRPr="00FA3F9C">
        <w:rPr>
          <w:rFonts w:ascii="Arial" w:hAnsi="Arial" w:cs="Arial"/>
          <w:sz w:val="24"/>
          <w:szCs w:val="24"/>
          <w:rPrChange w:id="199" w:author="Johnson, Jill" w:date="2022-01-12T14:58:00Z">
            <w:rPr>
              <w:rFonts w:ascii="Arial" w:hAnsi="Arial" w:cs="Arial"/>
              <w:sz w:val="18"/>
              <w:szCs w:val="18"/>
            </w:rPr>
          </w:rPrChange>
        </w:rPr>
        <w:t>VOLUME 8, ISSUE 5, E317-E318, MAY 01, 2021</w:t>
      </w:r>
    </w:p>
    <w:p w14:paraId="0159035A" w14:textId="77777777" w:rsidR="002641D2" w:rsidRPr="00FA3F9C" w:rsidRDefault="002641D2" w:rsidP="002641D2">
      <w:pPr>
        <w:pStyle w:val="ListParagraph"/>
        <w:numPr>
          <w:ilvl w:val="0"/>
          <w:numId w:val="325"/>
        </w:numPr>
        <w:spacing w:after="0" w:line="240" w:lineRule="auto"/>
        <w:rPr>
          <w:rFonts w:ascii="Arial" w:hAnsi="Arial" w:cs="Arial"/>
          <w:sz w:val="24"/>
          <w:szCs w:val="24"/>
          <w:rPrChange w:id="200" w:author="Johnson, Jill" w:date="2022-01-12T14:58:00Z">
            <w:rPr>
              <w:rFonts w:ascii="Arial" w:hAnsi="Arial" w:cs="Arial"/>
              <w:sz w:val="18"/>
              <w:szCs w:val="18"/>
            </w:rPr>
          </w:rPrChange>
        </w:rPr>
      </w:pPr>
      <w:r w:rsidRPr="00FA3F9C">
        <w:rPr>
          <w:rFonts w:ascii="Arial" w:hAnsi="Arial" w:cs="Arial"/>
          <w:sz w:val="24"/>
          <w:szCs w:val="24"/>
          <w:rPrChange w:id="201" w:author="Johnson, Jill" w:date="2022-01-12T14:58:00Z">
            <w:rPr>
              <w:rFonts w:ascii="Arial" w:hAnsi="Arial" w:cs="Arial"/>
              <w:sz w:val="18"/>
              <w:szCs w:val="18"/>
            </w:rPr>
          </w:rPrChange>
        </w:rPr>
        <w:t xml:space="preserve">ClinicalTrials.gov. Efficacy and Safety Study of </w:t>
      </w:r>
      <w:proofErr w:type="spellStart"/>
      <w:r w:rsidRPr="00FA3F9C">
        <w:rPr>
          <w:rFonts w:ascii="Arial" w:hAnsi="Arial" w:cs="Arial"/>
          <w:sz w:val="24"/>
          <w:szCs w:val="24"/>
          <w:rPrChange w:id="202" w:author="Johnson, Jill" w:date="2022-01-12T14:58:00Z">
            <w:rPr>
              <w:rFonts w:ascii="Arial" w:hAnsi="Arial" w:cs="Arial"/>
              <w:sz w:val="18"/>
              <w:szCs w:val="18"/>
            </w:rPr>
          </w:rPrChange>
        </w:rPr>
        <w:t>Maribavir</w:t>
      </w:r>
      <w:proofErr w:type="spellEnd"/>
      <w:r w:rsidRPr="00FA3F9C">
        <w:rPr>
          <w:rFonts w:ascii="Arial" w:hAnsi="Arial" w:cs="Arial"/>
          <w:sz w:val="24"/>
          <w:szCs w:val="24"/>
          <w:rPrChange w:id="203" w:author="Johnson, Jill" w:date="2022-01-12T14:58:00Z">
            <w:rPr>
              <w:rFonts w:ascii="Arial" w:hAnsi="Arial" w:cs="Arial"/>
              <w:sz w:val="18"/>
              <w:szCs w:val="18"/>
            </w:rPr>
          </w:rPrChange>
        </w:rPr>
        <w:t xml:space="preserve"> Treatment Compared to Investigator-assigned Treatment in Transplant Recipients </w:t>
      </w:r>
      <w:proofErr w:type="gramStart"/>
      <w:r w:rsidRPr="00FA3F9C">
        <w:rPr>
          <w:rFonts w:ascii="Arial" w:hAnsi="Arial" w:cs="Arial"/>
          <w:sz w:val="24"/>
          <w:szCs w:val="24"/>
          <w:rPrChange w:id="204" w:author="Johnson, Jill" w:date="2022-01-12T14:58:00Z">
            <w:rPr>
              <w:rFonts w:ascii="Arial" w:hAnsi="Arial" w:cs="Arial"/>
              <w:sz w:val="18"/>
              <w:szCs w:val="18"/>
            </w:rPr>
          </w:rPrChange>
        </w:rPr>
        <w:t>With</w:t>
      </w:r>
      <w:proofErr w:type="gramEnd"/>
      <w:r w:rsidRPr="00FA3F9C">
        <w:rPr>
          <w:rFonts w:ascii="Arial" w:hAnsi="Arial" w:cs="Arial"/>
          <w:sz w:val="24"/>
          <w:szCs w:val="24"/>
          <w:rPrChange w:id="205" w:author="Johnson, Jill" w:date="2022-01-12T14:58:00Z">
            <w:rPr>
              <w:rFonts w:ascii="Arial" w:hAnsi="Arial" w:cs="Arial"/>
              <w:sz w:val="18"/>
              <w:szCs w:val="18"/>
            </w:rPr>
          </w:rPrChange>
        </w:rPr>
        <w:t xml:space="preserve"> Cytomegalovirus (CMV) Infections That Are Refractory or Resistant to Treatment With Ganciclovir, Valganciclovir, </w:t>
      </w:r>
      <w:proofErr w:type="spellStart"/>
      <w:r w:rsidRPr="00FA3F9C">
        <w:rPr>
          <w:rFonts w:ascii="Arial" w:hAnsi="Arial" w:cs="Arial"/>
          <w:sz w:val="24"/>
          <w:szCs w:val="24"/>
          <w:rPrChange w:id="206" w:author="Johnson, Jill" w:date="2022-01-12T14:58:00Z">
            <w:rPr>
              <w:rFonts w:ascii="Arial" w:hAnsi="Arial" w:cs="Arial"/>
              <w:sz w:val="18"/>
              <w:szCs w:val="18"/>
            </w:rPr>
          </w:rPrChange>
        </w:rPr>
        <w:t>Foscarnet</w:t>
      </w:r>
      <w:proofErr w:type="spellEnd"/>
      <w:r w:rsidRPr="00FA3F9C">
        <w:rPr>
          <w:rFonts w:ascii="Arial" w:hAnsi="Arial" w:cs="Arial"/>
          <w:sz w:val="24"/>
          <w:szCs w:val="24"/>
          <w:rPrChange w:id="207" w:author="Johnson, Jill" w:date="2022-01-12T14:58:00Z">
            <w:rPr>
              <w:rFonts w:ascii="Arial" w:hAnsi="Arial" w:cs="Arial"/>
              <w:sz w:val="18"/>
              <w:szCs w:val="18"/>
            </w:rPr>
          </w:rPrChange>
        </w:rPr>
        <w:t>, or Cidofovir. Accessed 1/9/22</w:t>
      </w:r>
    </w:p>
    <w:p w14:paraId="4EE2528F" w14:textId="77777777" w:rsidR="002641D2" w:rsidRPr="00FA3F9C" w:rsidRDefault="002641D2" w:rsidP="006F623F">
      <w:pPr>
        <w:spacing w:after="0"/>
        <w:rPr>
          <w:rFonts w:ascii="Arial" w:hAnsi="Arial" w:cs="Arial"/>
          <w:sz w:val="24"/>
          <w:szCs w:val="24"/>
        </w:rPr>
      </w:pPr>
    </w:p>
    <w:p w14:paraId="5B862100" w14:textId="77777777" w:rsidR="002641D2" w:rsidRPr="00FA3F9C" w:rsidRDefault="002641D2" w:rsidP="006F623F">
      <w:pPr>
        <w:spacing w:after="0"/>
        <w:rPr>
          <w:rFonts w:ascii="Arial" w:hAnsi="Arial" w:cs="Arial"/>
          <w:sz w:val="24"/>
          <w:szCs w:val="24"/>
        </w:rPr>
      </w:pPr>
    </w:p>
    <w:p w14:paraId="43ACD544" w14:textId="77777777" w:rsidR="002641D2" w:rsidRPr="00FA3F9C" w:rsidRDefault="002641D2"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017"/>
        <w:gridCol w:w="7470"/>
        <w:gridCol w:w="2538"/>
      </w:tblGrid>
      <w:tr w:rsidR="002641D2" w:rsidRPr="00FA3F9C" w14:paraId="4E0E8A7A" w14:textId="77777777" w:rsidTr="00FE491B">
        <w:tc>
          <w:tcPr>
            <w:tcW w:w="1008" w:type="dxa"/>
          </w:tcPr>
          <w:p w14:paraId="587E6A7E" w14:textId="77777777" w:rsidR="002641D2" w:rsidRPr="00FA3F9C" w:rsidRDefault="002641D2" w:rsidP="006F623F">
            <w:pPr>
              <w:rPr>
                <w:rFonts w:ascii="Arial" w:hAnsi="Arial" w:cs="Arial"/>
                <w:sz w:val="24"/>
                <w:szCs w:val="24"/>
              </w:rPr>
            </w:pPr>
            <w:r w:rsidRPr="00FA3F9C">
              <w:rPr>
                <w:rFonts w:ascii="Arial" w:hAnsi="Arial" w:cs="Arial"/>
                <w:sz w:val="24"/>
                <w:szCs w:val="24"/>
              </w:rPr>
              <w:t>Date</w:t>
            </w:r>
          </w:p>
        </w:tc>
        <w:tc>
          <w:tcPr>
            <w:tcW w:w="7470" w:type="dxa"/>
          </w:tcPr>
          <w:p w14:paraId="04C846FC" w14:textId="77777777" w:rsidR="002641D2" w:rsidRPr="00FA3F9C" w:rsidRDefault="002641D2" w:rsidP="006F623F">
            <w:pPr>
              <w:rPr>
                <w:rFonts w:ascii="Arial" w:hAnsi="Arial" w:cs="Arial"/>
                <w:sz w:val="24"/>
                <w:szCs w:val="24"/>
              </w:rPr>
            </w:pPr>
            <w:r w:rsidRPr="00FA3F9C">
              <w:rPr>
                <w:rFonts w:ascii="Arial" w:hAnsi="Arial" w:cs="Arial"/>
                <w:sz w:val="24"/>
                <w:szCs w:val="24"/>
              </w:rPr>
              <w:t>What changed</w:t>
            </w:r>
          </w:p>
        </w:tc>
        <w:tc>
          <w:tcPr>
            <w:tcW w:w="2538" w:type="dxa"/>
          </w:tcPr>
          <w:p w14:paraId="1257D18B" w14:textId="77777777" w:rsidR="002641D2" w:rsidRPr="00FA3F9C" w:rsidRDefault="002641D2" w:rsidP="006F623F">
            <w:pPr>
              <w:rPr>
                <w:rFonts w:ascii="Arial" w:hAnsi="Arial" w:cs="Arial"/>
                <w:sz w:val="24"/>
                <w:szCs w:val="24"/>
              </w:rPr>
            </w:pPr>
            <w:r w:rsidRPr="00FA3F9C">
              <w:rPr>
                <w:rFonts w:ascii="Arial" w:hAnsi="Arial" w:cs="Arial"/>
                <w:sz w:val="24"/>
                <w:szCs w:val="24"/>
              </w:rPr>
              <w:t>Pharmacist’s initials</w:t>
            </w:r>
          </w:p>
        </w:tc>
      </w:tr>
      <w:tr w:rsidR="002641D2" w:rsidRPr="00FA3F9C" w14:paraId="0D236FE3" w14:textId="77777777" w:rsidTr="00FE491B">
        <w:tc>
          <w:tcPr>
            <w:tcW w:w="1008" w:type="dxa"/>
          </w:tcPr>
          <w:p w14:paraId="1EE34104" w14:textId="77777777" w:rsidR="002641D2" w:rsidRPr="00FA3F9C" w:rsidRDefault="002641D2" w:rsidP="006F623F">
            <w:pPr>
              <w:rPr>
                <w:rFonts w:ascii="Arial" w:hAnsi="Arial" w:cs="Arial"/>
                <w:sz w:val="24"/>
                <w:szCs w:val="24"/>
              </w:rPr>
            </w:pPr>
            <w:r w:rsidRPr="00FA3F9C">
              <w:rPr>
                <w:rFonts w:ascii="Arial" w:hAnsi="Arial" w:cs="Arial"/>
                <w:sz w:val="24"/>
                <w:szCs w:val="24"/>
              </w:rPr>
              <w:t>4/19/22</w:t>
            </w:r>
          </w:p>
        </w:tc>
        <w:tc>
          <w:tcPr>
            <w:tcW w:w="7470" w:type="dxa"/>
          </w:tcPr>
          <w:p w14:paraId="0F41F000" w14:textId="77777777" w:rsidR="002641D2" w:rsidRPr="00FA3F9C" w:rsidRDefault="002641D2" w:rsidP="006F623F">
            <w:pPr>
              <w:rPr>
                <w:rFonts w:ascii="Arial" w:hAnsi="Arial" w:cs="Arial"/>
                <w:sz w:val="24"/>
                <w:szCs w:val="24"/>
              </w:rPr>
            </w:pPr>
            <w:r w:rsidRPr="00FA3F9C">
              <w:rPr>
                <w:rFonts w:ascii="Arial" w:hAnsi="Arial" w:cs="Arial"/>
                <w:sz w:val="24"/>
                <w:szCs w:val="24"/>
              </w:rPr>
              <w:t>I wrote the criteria.</w:t>
            </w:r>
          </w:p>
        </w:tc>
        <w:tc>
          <w:tcPr>
            <w:tcW w:w="2538" w:type="dxa"/>
          </w:tcPr>
          <w:p w14:paraId="6FA0F6A8" w14:textId="77777777" w:rsidR="002641D2" w:rsidRPr="00FA3F9C" w:rsidRDefault="002641D2" w:rsidP="006F623F">
            <w:pPr>
              <w:rPr>
                <w:rFonts w:ascii="Arial" w:hAnsi="Arial" w:cs="Arial"/>
                <w:sz w:val="24"/>
                <w:szCs w:val="24"/>
              </w:rPr>
            </w:pPr>
            <w:r w:rsidRPr="00FA3F9C">
              <w:rPr>
                <w:rFonts w:ascii="Arial" w:hAnsi="Arial" w:cs="Arial"/>
                <w:sz w:val="24"/>
                <w:szCs w:val="24"/>
              </w:rPr>
              <w:t>JJ</w:t>
            </w:r>
          </w:p>
        </w:tc>
      </w:tr>
      <w:tr w:rsidR="002641D2" w:rsidRPr="00FA3F9C" w14:paraId="6023AD67" w14:textId="77777777" w:rsidTr="00FE491B">
        <w:tc>
          <w:tcPr>
            <w:tcW w:w="1008" w:type="dxa"/>
          </w:tcPr>
          <w:p w14:paraId="23881DD3" w14:textId="77777777" w:rsidR="002641D2" w:rsidRPr="00FA3F9C" w:rsidRDefault="002641D2" w:rsidP="006F623F">
            <w:pPr>
              <w:rPr>
                <w:rFonts w:ascii="Arial" w:hAnsi="Arial" w:cs="Arial"/>
                <w:sz w:val="24"/>
                <w:szCs w:val="24"/>
              </w:rPr>
            </w:pPr>
          </w:p>
        </w:tc>
        <w:tc>
          <w:tcPr>
            <w:tcW w:w="7470" w:type="dxa"/>
          </w:tcPr>
          <w:p w14:paraId="37ECF0A2" w14:textId="77777777" w:rsidR="002641D2" w:rsidRPr="00FA3F9C" w:rsidRDefault="002641D2" w:rsidP="006F623F">
            <w:pPr>
              <w:rPr>
                <w:rFonts w:ascii="Arial" w:hAnsi="Arial" w:cs="Arial"/>
                <w:sz w:val="24"/>
                <w:szCs w:val="24"/>
              </w:rPr>
            </w:pPr>
          </w:p>
        </w:tc>
        <w:tc>
          <w:tcPr>
            <w:tcW w:w="2538" w:type="dxa"/>
          </w:tcPr>
          <w:p w14:paraId="17D84D8C" w14:textId="77777777" w:rsidR="002641D2" w:rsidRPr="00FA3F9C" w:rsidRDefault="002641D2" w:rsidP="006F623F">
            <w:pPr>
              <w:rPr>
                <w:rFonts w:ascii="Arial" w:hAnsi="Arial" w:cs="Arial"/>
                <w:sz w:val="24"/>
                <w:szCs w:val="24"/>
              </w:rPr>
            </w:pPr>
          </w:p>
        </w:tc>
      </w:tr>
    </w:tbl>
    <w:p w14:paraId="53C03570" w14:textId="77777777" w:rsidR="002641D2" w:rsidRPr="00FA3F9C" w:rsidRDefault="002641D2" w:rsidP="006F623F">
      <w:pPr>
        <w:spacing w:after="0"/>
        <w:rPr>
          <w:rFonts w:ascii="Arial" w:hAnsi="Arial" w:cs="Arial"/>
          <w:sz w:val="24"/>
          <w:szCs w:val="24"/>
        </w:rPr>
      </w:pPr>
    </w:p>
    <w:p w14:paraId="0CFD2879" w14:textId="77777777" w:rsidR="002641D2" w:rsidRPr="00FA3F9C" w:rsidRDefault="002641D2" w:rsidP="002A1632">
      <w:pPr>
        <w:pStyle w:val="Heading2"/>
      </w:pPr>
      <w:bookmarkStart w:id="208" w:name="_Toc106369856"/>
      <w:r w:rsidRPr="00FA3F9C">
        <w:t>Mepolizumab (Nucala</w:t>
      </w:r>
      <w:r w:rsidRPr="00FA3F9C">
        <w:sym w:font="Symbol" w:char="F0D2"/>
      </w:r>
      <w:r w:rsidRPr="00FA3F9C">
        <w:t>)</w:t>
      </w:r>
      <w:bookmarkEnd w:id="208"/>
      <w:r w:rsidRPr="00FA3F9C">
        <w:t xml:space="preserve">  </w:t>
      </w:r>
    </w:p>
    <w:p w14:paraId="67066AEB" w14:textId="77777777" w:rsidR="002641D2" w:rsidRPr="00FA3F9C" w:rsidRDefault="002641D2" w:rsidP="00DE2298">
      <w:pPr>
        <w:jc w:val="center"/>
        <w:rPr>
          <w:rFonts w:ascii="Arial" w:hAnsi="Arial" w:cs="Arial"/>
          <w:b/>
          <w:sz w:val="24"/>
          <w:szCs w:val="24"/>
        </w:rPr>
      </w:pPr>
      <w:r w:rsidRPr="00FA3F9C">
        <w:rPr>
          <w:rFonts w:ascii="Arial" w:hAnsi="Arial" w:cs="Arial"/>
          <w:b/>
          <w:sz w:val="24"/>
          <w:szCs w:val="24"/>
        </w:rPr>
        <w:t>EBRx PA Criteria</w:t>
      </w:r>
    </w:p>
    <w:p w14:paraId="7C40A5B7" w14:textId="77777777" w:rsidR="002641D2" w:rsidRPr="00FA3F9C" w:rsidRDefault="002641D2" w:rsidP="00DE2298">
      <w:pPr>
        <w:jc w:val="center"/>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70"/>
      </w:tblGrid>
      <w:tr w:rsidR="002641D2" w:rsidRPr="00FA3F9C" w14:paraId="5A712B57" w14:textId="77777777" w:rsidTr="008E35A6">
        <w:tc>
          <w:tcPr>
            <w:tcW w:w="0" w:type="auto"/>
            <w:shd w:val="clear" w:color="auto" w:fill="000000" w:themeFill="text1"/>
          </w:tcPr>
          <w:p w14:paraId="57225058" w14:textId="77777777" w:rsidR="002641D2" w:rsidRPr="00FA3F9C" w:rsidRDefault="002641D2" w:rsidP="008E35A6">
            <w:pPr>
              <w:rPr>
                <w:rFonts w:ascii="Arial" w:hAnsi="Arial" w:cs="Arial"/>
                <w:color w:val="FFFFFF" w:themeColor="background1"/>
                <w:sz w:val="24"/>
                <w:szCs w:val="24"/>
              </w:rPr>
            </w:pPr>
            <w:r w:rsidRPr="00FA3F9C">
              <w:rPr>
                <w:rFonts w:ascii="Arial" w:hAnsi="Arial" w:cs="Arial"/>
                <w:color w:val="FFFFFF" w:themeColor="background1"/>
                <w:sz w:val="24"/>
                <w:szCs w:val="24"/>
              </w:rPr>
              <w:t>Asthma, eosinophilic type</w:t>
            </w:r>
          </w:p>
        </w:tc>
      </w:tr>
      <w:tr w:rsidR="002641D2" w:rsidRPr="00FA3F9C" w14:paraId="717D6DD0" w14:textId="77777777" w:rsidTr="00B06128">
        <w:tc>
          <w:tcPr>
            <w:tcW w:w="0" w:type="auto"/>
          </w:tcPr>
          <w:p w14:paraId="42988D9C" w14:textId="77777777" w:rsidR="002641D2" w:rsidRPr="00FA3F9C" w:rsidRDefault="002641D2" w:rsidP="002641D2">
            <w:pPr>
              <w:numPr>
                <w:ilvl w:val="0"/>
                <w:numId w:val="326"/>
              </w:numPr>
              <w:spacing w:after="0" w:line="240" w:lineRule="auto"/>
              <w:rPr>
                <w:rFonts w:ascii="Arial" w:hAnsi="Arial" w:cs="Arial"/>
                <w:sz w:val="24"/>
                <w:szCs w:val="24"/>
              </w:rPr>
            </w:pPr>
            <w:r w:rsidRPr="00FA3F9C">
              <w:rPr>
                <w:rFonts w:ascii="Arial" w:hAnsi="Arial" w:cs="Arial"/>
                <w:sz w:val="24"/>
                <w:szCs w:val="24"/>
              </w:rPr>
              <w:t>The prescriber must be a pulmonologist or allergist.</w:t>
            </w:r>
          </w:p>
        </w:tc>
      </w:tr>
      <w:tr w:rsidR="002641D2" w:rsidRPr="00FA3F9C" w14:paraId="10718631" w14:textId="77777777" w:rsidTr="00B06128">
        <w:tc>
          <w:tcPr>
            <w:tcW w:w="0" w:type="auto"/>
          </w:tcPr>
          <w:p w14:paraId="73EAC416" w14:textId="77777777" w:rsidR="002641D2" w:rsidRPr="00FA3F9C" w:rsidRDefault="002641D2" w:rsidP="003E79ED">
            <w:pPr>
              <w:rPr>
                <w:rFonts w:ascii="Arial" w:hAnsi="Arial" w:cs="Arial"/>
                <w:sz w:val="24"/>
                <w:szCs w:val="24"/>
              </w:rPr>
            </w:pPr>
            <w:r w:rsidRPr="00FA3F9C">
              <w:rPr>
                <w:rFonts w:ascii="Arial" w:hAnsi="Arial" w:cs="Arial"/>
                <w:sz w:val="24"/>
                <w:szCs w:val="24"/>
              </w:rPr>
              <w:t>2.  The patient must be age ≥ 6 and have demonstrated an eosinophil count of &gt;150 cells/microliter in the past 6 weeks or &gt;300 cells/microliter in the past year.</w:t>
            </w:r>
          </w:p>
        </w:tc>
      </w:tr>
      <w:tr w:rsidR="002641D2" w:rsidRPr="00FA3F9C" w14:paraId="1FE91542" w14:textId="77777777" w:rsidTr="00B06128">
        <w:tc>
          <w:tcPr>
            <w:tcW w:w="0" w:type="auto"/>
          </w:tcPr>
          <w:p w14:paraId="6E35C590" w14:textId="77777777" w:rsidR="002641D2" w:rsidRPr="00FA3F9C" w:rsidRDefault="002641D2" w:rsidP="002641D2">
            <w:pPr>
              <w:numPr>
                <w:ilvl w:val="0"/>
                <w:numId w:val="327"/>
              </w:numPr>
              <w:spacing w:after="0" w:line="240" w:lineRule="auto"/>
              <w:rPr>
                <w:rFonts w:ascii="Arial" w:hAnsi="Arial" w:cs="Arial"/>
                <w:sz w:val="24"/>
                <w:szCs w:val="24"/>
                <w:u w:val="single"/>
              </w:rPr>
            </w:pPr>
            <w:r w:rsidRPr="00FA3F9C">
              <w:rPr>
                <w:rFonts w:ascii="Arial" w:hAnsi="Arial" w:cs="Arial"/>
                <w:sz w:val="24"/>
                <w:szCs w:val="24"/>
              </w:rPr>
              <w:t xml:space="preserve">The patient must have an inadequate response to standard controller despite proper adherence.  </w:t>
            </w:r>
          </w:p>
        </w:tc>
      </w:tr>
      <w:tr w:rsidR="002641D2" w:rsidRPr="00FA3F9C" w14:paraId="1C6772FC" w14:textId="77777777" w:rsidTr="00B06128">
        <w:tc>
          <w:tcPr>
            <w:tcW w:w="0" w:type="auto"/>
          </w:tcPr>
          <w:p w14:paraId="4BE146D7" w14:textId="77777777" w:rsidR="002641D2" w:rsidRPr="00FA3F9C" w:rsidRDefault="002641D2" w:rsidP="002641D2">
            <w:pPr>
              <w:numPr>
                <w:ilvl w:val="0"/>
                <w:numId w:val="327"/>
              </w:numPr>
              <w:spacing w:after="0" w:line="240" w:lineRule="auto"/>
              <w:rPr>
                <w:rFonts w:ascii="Arial" w:hAnsi="Arial" w:cs="Arial"/>
                <w:sz w:val="24"/>
                <w:szCs w:val="24"/>
              </w:rPr>
            </w:pPr>
            <w:r w:rsidRPr="00FA3F9C">
              <w:rPr>
                <w:rFonts w:ascii="Arial" w:hAnsi="Arial" w:cs="Arial"/>
                <w:sz w:val="24"/>
                <w:szCs w:val="24"/>
              </w:rPr>
              <w:t xml:space="preserve">There must be no concurrent asthma biologic agent use.  (No overlapping </w:t>
            </w:r>
            <w:proofErr w:type="spellStart"/>
            <w:r w:rsidRPr="00FA3F9C">
              <w:rPr>
                <w:rFonts w:ascii="Arial" w:hAnsi="Arial" w:cs="Arial"/>
                <w:sz w:val="24"/>
                <w:szCs w:val="24"/>
              </w:rPr>
              <w:t>days</w:t>
            </w:r>
            <w:proofErr w:type="spellEnd"/>
            <w:r w:rsidRPr="00FA3F9C">
              <w:rPr>
                <w:rFonts w:ascii="Arial" w:hAnsi="Arial" w:cs="Arial"/>
                <w:sz w:val="24"/>
                <w:szCs w:val="24"/>
              </w:rPr>
              <w:t xml:space="preserve"> supply)</w:t>
            </w:r>
          </w:p>
        </w:tc>
      </w:tr>
      <w:tr w:rsidR="002641D2" w:rsidRPr="00FA3F9C" w14:paraId="36861CCC" w14:textId="77777777" w:rsidTr="00B06128">
        <w:tc>
          <w:tcPr>
            <w:tcW w:w="0" w:type="auto"/>
          </w:tcPr>
          <w:p w14:paraId="47B2EEF6" w14:textId="77777777" w:rsidR="002641D2" w:rsidRPr="00FA3F9C" w:rsidRDefault="002641D2" w:rsidP="002641D2">
            <w:pPr>
              <w:numPr>
                <w:ilvl w:val="0"/>
                <w:numId w:val="327"/>
              </w:numPr>
              <w:spacing w:after="0" w:line="240" w:lineRule="auto"/>
              <w:rPr>
                <w:rFonts w:ascii="Arial" w:hAnsi="Arial" w:cs="Arial"/>
                <w:sz w:val="24"/>
                <w:szCs w:val="24"/>
              </w:rPr>
            </w:pPr>
            <w:r w:rsidRPr="00FA3F9C">
              <w:rPr>
                <w:rFonts w:ascii="Arial" w:hAnsi="Arial" w:cs="Arial"/>
                <w:sz w:val="24"/>
                <w:szCs w:val="24"/>
              </w:rPr>
              <w:t>Does the patient have FEV1 &gt;80% at the time he/she is requesting the first prior authorization</w:t>
            </w:r>
            <w:r w:rsidRPr="00FA3F9C">
              <w:rPr>
                <w:rFonts w:ascii="Arial" w:hAnsi="Arial" w:cs="Arial"/>
                <w:sz w:val="24"/>
                <w:szCs w:val="24"/>
                <w:vertAlign w:val="superscript"/>
              </w:rPr>
              <w:t>3</w:t>
            </w:r>
            <w:r w:rsidRPr="00FA3F9C">
              <w:rPr>
                <w:rFonts w:ascii="Arial" w:hAnsi="Arial" w:cs="Arial"/>
                <w:sz w:val="24"/>
                <w:szCs w:val="24"/>
              </w:rPr>
              <w:t>?</w:t>
            </w:r>
          </w:p>
        </w:tc>
      </w:tr>
      <w:tr w:rsidR="002641D2" w:rsidRPr="00FA3F9C" w14:paraId="21DC966F" w14:textId="77777777" w:rsidTr="00B06128">
        <w:tc>
          <w:tcPr>
            <w:tcW w:w="0" w:type="auto"/>
          </w:tcPr>
          <w:p w14:paraId="520B983F" w14:textId="77777777" w:rsidR="002641D2" w:rsidRPr="00FA3F9C" w:rsidRDefault="002641D2" w:rsidP="003E79ED">
            <w:pPr>
              <w:shd w:val="clear" w:color="auto" w:fill="FFFFFF"/>
              <w:spacing w:before="100" w:beforeAutospacing="1" w:after="100" w:afterAutospacing="1" w:line="288" w:lineRule="auto"/>
              <w:rPr>
                <w:rFonts w:ascii="Arial" w:hAnsi="Arial" w:cs="Arial"/>
                <w:sz w:val="24"/>
                <w:szCs w:val="24"/>
              </w:rPr>
            </w:pPr>
            <w:r w:rsidRPr="00FA3F9C">
              <w:rPr>
                <w:rFonts w:ascii="Arial" w:hAnsi="Arial" w:cs="Arial"/>
                <w:sz w:val="24"/>
                <w:szCs w:val="24"/>
              </w:rPr>
              <w:t xml:space="preserve">Patients must be 12 or older (no published data in younger) with the diagnosis of asthma not controlled by continued inhaled corticosteroids.  They (arbitrarily) should have 75% ICS adherence rate. </w:t>
            </w:r>
          </w:p>
        </w:tc>
      </w:tr>
      <w:tr w:rsidR="002641D2" w:rsidRPr="00FA3F9C" w14:paraId="2D974C29" w14:textId="77777777" w:rsidTr="00B06128">
        <w:tc>
          <w:tcPr>
            <w:tcW w:w="0" w:type="auto"/>
          </w:tcPr>
          <w:p w14:paraId="2683E93B" w14:textId="77777777" w:rsidR="002641D2" w:rsidRPr="00FA3F9C" w:rsidRDefault="002641D2" w:rsidP="00196C69">
            <w:pPr>
              <w:rPr>
                <w:rFonts w:ascii="Arial" w:hAnsi="Arial" w:cs="Arial"/>
                <w:b/>
                <w:sz w:val="24"/>
                <w:szCs w:val="24"/>
              </w:rPr>
            </w:pPr>
            <w:r w:rsidRPr="00FA3F9C">
              <w:rPr>
                <w:rFonts w:ascii="Arial" w:hAnsi="Arial" w:cs="Arial"/>
                <w:b/>
                <w:sz w:val="24"/>
                <w:szCs w:val="24"/>
              </w:rPr>
              <w:lastRenderedPageBreak/>
              <w:t>Note:  Nucala</w:t>
            </w:r>
            <w:r w:rsidRPr="00FA3F9C">
              <w:rPr>
                <w:rFonts w:ascii="Arial" w:hAnsi="Arial" w:cs="Arial"/>
                <w:b/>
                <w:sz w:val="24"/>
                <w:szCs w:val="24"/>
              </w:rPr>
              <w:sym w:font="Symbol" w:char="F0D2"/>
            </w:r>
            <w:r w:rsidRPr="00FA3F9C">
              <w:rPr>
                <w:rFonts w:ascii="Arial" w:hAnsi="Arial" w:cs="Arial"/>
                <w:b/>
                <w:sz w:val="24"/>
                <w:szCs w:val="24"/>
              </w:rPr>
              <w:t xml:space="preserve"> (mepolizumab) is FDA approved as add-on therapy to optimal asthma therapy.  Currently there is not peer-reviewed published literature to support its use as monotherapy in asthma and therefore will not be covered in this manner.  </w:t>
            </w:r>
          </w:p>
        </w:tc>
      </w:tr>
      <w:tr w:rsidR="002641D2" w:rsidRPr="00FA3F9C" w14:paraId="71712098" w14:textId="77777777" w:rsidTr="00B06128">
        <w:tc>
          <w:tcPr>
            <w:tcW w:w="0" w:type="auto"/>
          </w:tcPr>
          <w:p w14:paraId="20517E90" w14:textId="77777777" w:rsidR="002641D2" w:rsidRPr="00FA3F9C" w:rsidRDefault="002641D2" w:rsidP="00196C69">
            <w:pPr>
              <w:rPr>
                <w:rFonts w:ascii="Arial" w:hAnsi="Arial" w:cs="Arial"/>
                <w:b/>
                <w:sz w:val="24"/>
                <w:szCs w:val="24"/>
              </w:rPr>
            </w:pPr>
            <w:r w:rsidRPr="00FA3F9C">
              <w:rPr>
                <w:rFonts w:ascii="Arial" w:hAnsi="Arial" w:cs="Arial"/>
                <w:b/>
                <w:sz w:val="24"/>
                <w:szCs w:val="24"/>
              </w:rPr>
              <w:t>DOSE is 100mg SC in a physician office q4w.</w:t>
            </w:r>
          </w:p>
        </w:tc>
      </w:tr>
      <w:tr w:rsidR="002641D2" w:rsidRPr="00FA3F9C" w14:paraId="3986551C" w14:textId="77777777" w:rsidTr="00B06128">
        <w:tc>
          <w:tcPr>
            <w:tcW w:w="0" w:type="auto"/>
          </w:tcPr>
          <w:p w14:paraId="1BFC4F99" w14:textId="77777777" w:rsidR="002641D2" w:rsidRPr="00FA3F9C" w:rsidRDefault="002641D2" w:rsidP="008E35A6">
            <w:pPr>
              <w:rPr>
                <w:rFonts w:ascii="Arial" w:hAnsi="Arial" w:cs="Arial"/>
                <w:sz w:val="24"/>
                <w:szCs w:val="24"/>
              </w:rPr>
            </w:pPr>
            <w:r w:rsidRPr="00FA3F9C">
              <w:rPr>
                <w:rFonts w:ascii="Arial" w:hAnsi="Arial" w:cs="Arial"/>
                <w:sz w:val="24"/>
                <w:szCs w:val="24"/>
              </w:rPr>
              <w:t>If approved for coverage, PA is good for 3 months.  Re-authorization for a PA will require the patient to be compliant with optimal asthma drug therapy as per the current NHLBI Asthma guidelines. Subsequent requests for PA require that the past 3 of 4 months have a paid claim for a LABA/ICS either separately or as a combination product.  If this is not the case, the PA should be denied.</w:t>
            </w:r>
          </w:p>
        </w:tc>
      </w:tr>
      <w:tr w:rsidR="002641D2" w:rsidRPr="00FA3F9C" w14:paraId="36666A1F" w14:textId="77777777" w:rsidTr="008E35A6">
        <w:tc>
          <w:tcPr>
            <w:tcW w:w="0" w:type="auto"/>
            <w:shd w:val="clear" w:color="auto" w:fill="000000" w:themeFill="text1"/>
          </w:tcPr>
          <w:p w14:paraId="717BD34F" w14:textId="77777777" w:rsidR="002641D2" w:rsidRPr="00FA3F9C" w:rsidRDefault="002641D2" w:rsidP="00821E4D">
            <w:pPr>
              <w:rPr>
                <w:rFonts w:ascii="Arial" w:hAnsi="Arial" w:cs="Arial"/>
                <w:color w:val="FFFFFF" w:themeColor="background1"/>
                <w:sz w:val="24"/>
                <w:szCs w:val="24"/>
              </w:rPr>
            </w:pPr>
            <w:r w:rsidRPr="00FA3F9C">
              <w:rPr>
                <w:rFonts w:ascii="Arial" w:hAnsi="Arial" w:cs="Arial"/>
                <w:color w:val="FFFFFF" w:themeColor="background1"/>
                <w:sz w:val="24"/>
                <w:szCs w:val="24"/>
              </w:rPr>
              <w:t>Eosinophilic granulomatosis with polyangiitis (EGPA)</w:t>
            </w:r>
          </w:p>
        </w:tc>
      </w:tr>
      <w:tr w:rsidR="002641D2" w:rsidRPr="00FA3F9C" w14:paraId="70FF9EFA" w14:textId="77777777" w:rsidTr="008E35A6">
        <w:tc>
          <w:tcPr>
            <w:tcW w:w="0" w:type="auto"/>
            <w:shd w:val="clear" w:color="auto" w:fill="FFFFFF" w:themeFill="background1"/>
          </w:tcPr>
          <w:p w14:paraId="1201FACF" w14:textId="77777777" w:rsidR="002641D2" w:rsidRPr="00FA3F9C" w:rsidRDefault="002641D2" w:rsidP="002641D2">
            <w:pPr>
              <w:pStyle w:val="ListParagraph"/>
              <w:numPr>
                <w:ilvl w:val="0"/>
                <w:numId w:val="328"/>
              </w:numPr>
              <w:spacing w:after="0" w:line="240" w:lineRule="auto"/>
              <w:ind w:left="270" w:hanging="270"/>
              <w:rPr>
                <w:rFonts w:ascii="Arial" w:hAnsi="Arial" w:cs="Arial"/>
                <w:sz w:val="24"/>
                <w:szCs w:val="24"/>
              </w:rPr>
            </w:pPr>
            <w:r w:rsidRPr="00FA3F9C">
              <w:rPr>
                <w:rFonts w:ascii="Arial" w:hAnsi="Arial" w:cs="Arial"/>
                <w:sz w:val="24"/>
                <w:szCs w:val="24"/>
              </w:rPr>
              <w:t>The patient must be at least 18 years of age or older</w:t>
            </w:r>
          </w:p>
        </w:tc>
      </w:tr>
      <w:tr w:rsidR="002641D2" w:rsidRPr="00FA3F9C" w14:paraId="0E8A9078" w14:textId="77777777" w:rsidTr="008E35A6">
        <w:tc>
          <w:tcPr>
            <w:tcW w:w="0" w:type="auto"/>
            <w:shd w:val="clear" w:color="auto" w:fill="FFFFFF" w:themeFill="background1"/>
          </w:tcPr>
          <w:p w14:paraId="1982DD7A" w14:textId="77777777" w:rsidR="002641D2" w:rsidRPr="00FA3F9C" w:rsidRDefault="002641D2" w:rsidP="002641D2">
            <w:pPr>
              <w:pStyle w:val="ListParagraph"/>
              <w:numPr>
                <w:ilvl w:val="0"/>
                <w:numId w:val="328"/>
              </w:numPr>
              <w:spacing w:after="0" w:line="240" w:lineRule="auto"/>
              <w:ind w:left="270" w:hanging="270"/>
              <w:rPr>
                <w:rFonts w:ascii="Arial" w:hAnsi="Arial" w:cs="Arial"/>
                <w:sz w:val="24"/>
                <w:szCs w:val="24"/>
              </w:rPr>
            </w:pPr>
            <w:r w:rsidRPr="00FA3F9C">
              <w:rPr>
                <w:rFonts w:ascii="Arial" w:hAnsi="Arial" w:cs="Arial"/>
                <w:sz w:val="24"/>
                <w:szCs w:val="24"/>
              </w:rPr>
              <w:t xml:space="preserve">The patient must have a diagnosis eosinophilic granulomatosis with polyangiitis for at least 6 months. Defined as: </w:t>
            </w:r>
          </w:p>
          <w:p w14:paraId="4C774026" w14:textId="77777777" w:rsidR="002641D2" w:rsidRPr="00FA3F9C" w:rsidRDefault="002641D2" w:rsidP="002641D2">
            <w:pPr>
              <w:pStyle w:val="ListParagraph"/>
              <w:numPr>
                <w:ilvl w:val="0"/>
                <w:numId w:val="329"/>
              </w:numPr>
              <w:spacing w:after="0" w:line="240" w:lineRule="auto"/>
              <w:rPr>
                <w:rFonts w:ascii="Arial" w:hAnsi="Arial" w:cs="Arial"/>
                <w:sz w:val="24"/>
                <w:szCs w:val="24"/>
              </w:rPr>
            </w:pPr>
            <w:r w:rsidRPr="00FA3F9C">
              <w:rPr>
                <w:rFonts w:ascii="Arial" w:hAnsi="Arial" w:cs="Arial"/>
                <w:sz w:val="24"/>
                <w:szCs w:val="24"/>
              </w:rPr>
              <w:t>History or presence of asthma AND</w:t>
            </w:r>
          </w:p>
          <w:p w14:paraId="15E4DFCD" w14:textId="77777777" w:rsidR="002641D2" w:rsidRPr="00FA3F9C" w:rsidRDefault="002641D2" w:rsidP="002641D2">
            <w:pPr>
              <w:pStyle w:val="ListParagraph"/>
              <w:numPr>
                <w:ilvl w:val="0"/>
                <w:numId w:val="329"/>
              </w:numPr>
              <w:spacing w:after="0" w:line="240" w:lineRule="auto"/>
              <w:rPr>
                <w:rFonts w:ascii="Arial" w:hAnsi="Arial" w:cs="Arial"/>
                <w:sz w:val="24"/>
                <w:szCs w:val="24"/>
              </w:rPr>
            </w:pPr>
            <w:r w:rsidRPr="00FA3F9C">
              <w:rPr>
                <w:rFonts w:ascii="Arial" w:hAnsi="Arial" w:cs="Arial"/>
                <w:sz w:val="24"/>
                <w:szCs w:val="24"/>
              </w:rPr>
              <w:t>Blood eosinophil level of 10% or an absolute eosinophil count of more than 1000 cells/mm</w:t>
            </w:r>
            <w:r w:rsidRPr="00FA3F9C">
              <w:rPr>
                <w:rFonts w:ascii="Arial" w:hAnsi="Arial" w:cs="Arial"/>
                <w:sz w:val="24"/>
                <w:szCs w:val="24"/>
                <w:vertAlign w:val="superscript"/>
              </w:rPr>
              <w:t>3</w:t>
            </w:r>
            <w:r w:rsidRPr="00FA3F9C">
              <w:rPr>
                <w:rFonts w:ascii="Arial" w:hAnsi="Arial" w:cs="Arial"/>
                <w:sz w:val="24"/>
                <w:szCs w:val="24"/>
              </w:rPr>
              <w:t xml:space="preserve"> AND</w:t>
            </w:r>
          </w:p>
          <w:p w14:paraId="086A87D4" w14:textId="77777777" w:rsidR="002641D2" w:rsidRPr="00FA3F9C" w:rsidRDefault="002641D2" w:rsidP="002641D2">
            <w:pPr>
              <w:pStyle w:val="ListParagraph"/>
              <w:numPr>
                <w:ilvl w:val="0"/>
                <w:numId w:val="329"/>
              </w:numPr>
              <w:spacing w:after="0" w:line="240" w:lineRule="auto"/>
              <w:rPr>
                <w:rFonts w:ascii="Arial" w:hAnsi="Arial" w:cs="Arial"/>
                <w:sz w:val="24"/>
                <w:szCs w:val="24"/>
              </w:rPr>
            </w:pPr>
            <w:r w:rsidRPr="00FA3F9C">
              <w:rPr>
                <w:rFonts w:ascii="Arial" w:hAnsi="Arial" w:cs="Arial"/>
                <w:sz w:val="24"/>
                <w:szCs w:val="24"/>
              </w:rPr>
              <w:t xml:space="preserve">Presence of 2+ criteria below typical of EGPA: </w:t>
            </w:r>
          </w:p>
          <w:p w14:paraId="79E98703" w14:textId="77777777" w:rsidR="002641D2" w:rsidRPr="00FA3F9C" w:rsidRDefault="002641D2" w:rsidP="002641D2">
            <w:pPr>
              <w:pStyle w:val="ListParagraph"/>
              <w:numPr>
                <w:ilvl w:val="0"/>
                <w:numId w:val="329"/>
              </w:numPr>
              <w:spacing w:after="0" w:line="240" w:lineRule="auto"/>
              <w:ind w:left="1620" w:hanging="180"/>
              <w:rPr>
                <w:rFonts w:ascii="Arial" w:hAnsi="Arial" w:cs="Arial"/>
                <w:sz w:val="24"/>
                <w:szCs w:val="24"/>
              </w:rPr>
            </w:pPr>
            <w:r w:rsidRPr="00FA3F9C">
              <w:rPr>
                <w:rFonts w:ascii="Arial" w:hAnsi="Arial" w:cs="Arial"/>
                <w:sz w:val="24"/>
                <w:szCs w:val="24"/>
              </w:rPr>
              <w:t xml:space="preserve">A biopsy showing histopathological evidence of eosinophilic vasculitis, or perivascular eosinophilic infiltration, or eosinophil-rich granulomatous </w:t>
            </w:r>
            <w:proofErr w:type="gramStart"/>
            <w:r w:rsidRPr="00FA3F9C">
              <w:rPr>
                <w:rFonts w:ascii="Arial" w:hAnsi="Arial" w:cs="Arial"/>
                <w:sz w:val="24"/>
                <w:szCs w:val="24"/>
              </w:rPr>
              <w:t>inflammation;</w:t>
            </w:r>
            <w:proofErr w:type="gramEnd"/>
          </w:p>
          <w:p w14:paraId="0EED645F" w14:textId="77777777" w:rsidR="002641D2" w:rsidRPr="00FA3F9C" w:rsidRDefault="002641D2" w:rsidP="002641D2">
            <w:pPr>
              <w:pStyle w:val="ListParagraph"/>
              <w:numPr>
                <w:ilvl w:val="0"/>
                <w:numId w:val="329"/>
              </w:numPr>
              <w:spacing w:after="0" w:line="240" w:lineRule="auto"/>
              <w:ind w:left="1620" w:hanging="180"/>
              <w:rPr>
                <w:rFonts w:ascii="Arial" w:hAnsi="Arial" w:cs="Arial"/>
                <w:sz w:val="24"/>
                <w:szCs w:val="24"/>
              </w:rPr>
            </w:pPr>
            <w:r w:rsidRPr="00FA3F9C">
              <w:rPr>
                <w:rFonts w:ascii="Arial" w:hAnsi="Arial" w:cs="Arial"/>
                <w:sz w:val="24"/>
                <w:szCs w:val="24"/>
              </w:rPr>
              <w:t>Neuropathy, mono or poly (motor deficit or nerve conduction abnormality</w:t>
            </w:r>
            <w:proofErr w:type="gramStart"/>
            <w:r w:rsidRPr="00FA3F9C">
              <w:rPr>
                <w:rFonts w:ascii="Arial" w:hAnsi="Arial" w:cs="Arial"/>
                <w:sz w:val="24"/>
                <w:szCs w:val="24"/>
              </w:rPr>
              <w:t>);</w:t>
            </w:r>
            <w:proofErr w:type="gramEnd"/>
          </w:p>
          <w:p w14:paraId="443041BD" w14:textId="77777777" w:rsidR="002641D2" w:rsidRPr="00FA3F9C" w:rsidRDefault="002641D2" w:rsidP="002641D2">
            <w:pPr>
              <w:pStyle w:val="ListParagraph"/>
              <w:numPr>
                <w:ilvl w:val="0"/>
                <w:numId w:val="329"/>
              </w:numPr>
              <w:spacing w:after="0" w:line="240" w:lineRule="auto"/>
              <w:ind w:left="1620" w:hanging="180"/>
              <w:rPr>
                <w:rFonts w:ascii="Arial" w:hAnsi="Arial" w:cs="Arial"/>
                <w:sz w:val="24"/>
                <w:szCs w:val="24"/>
              </w:rPr>
            </w:pPr>
            <w:r w:rsidRPr="00FA3F9C">
              <w:rPr>
                <w:rFonts w:ascii="Arial" w:hAnsi="Arial" w:cs="Arial"/>
                <w:sz w:val="24"/>
                <w:szCs w:val="24"/>
              </w:rPr>
              <w:t>Pulmonary infiltrates, non-</w:t>
            </w:r>
            <w:proofErr w:type="gramStart"/>
            <w:r w:rsidRPr="00FA3F9C">
              <w:rPr>
                <w:rFonts w:ascii="Arial" w:hAnsi="Arial" w:cs="Arial"/>
                <w:sz w:val="24"/>
                <w:szCs w:val="24"/>
              </w:rPr>
              <w:t>fixed;</w:t>
            </w:r>
            <w:proofErr w:type="gramEnd"/>
          </w:p>
          <w:p w14:paraId="0A56D677" w14:textId="77777777" w:rsidR="002641D2" w:rsidRPr="00FA3F9C" w:rsidRDefault="002641D2" w:rsidP="002641D2">
            <w:pPr>
              <w:pStyle w:val="ListParagraph"/>
              <w:numPr>
                <w:ilvl w:val="0"/>
                <w:numId w:val="329"/>
              </w:numPr>
              <w:spacing w:after="0" w:line="240" w:lineRule="auto"/>
              <w:ind w:left="1620" w:hanging="180"/>
              <w:rPr>
                <w:rFonts w:ascii="Arial" w:hAnsi="Arial" w:cs="Arial"/>
                <w:sz w:val="24"/>
                <w:szCs w:val="24"/>
              </w:rPr>
            </w:pPr>
            <w:r w:rsidRPr="00FA3F9C">
              <w:rPr>
                <w:rFonts w:ascii="Arial" w:hAnsi="Arial" w:cs="Arial"/>
                <w:sz w:val="24"/>
                <w:szCs w:val="24"/>
              </w:rPr>
              <w:t xml:space="preserve">Sino-nasal </w:t>
            </w:r>
            <w:proofErr w:type="gramStart"/>
            <w:r w:rsidRPr="00FA3F9C">
              <w:rPr>
                <w:rFonts w:ascii="Arial" w:hAnsi="Arial" w:cs="Arial"/>
                <w:sz w:val="24"/>
                <w:szCs w:val="24"/>
              </w:rPr>
              <w:t>abnormality;</w:t>
            </w:r>
            <w:proofErr w:type="gramEnd"/>
          </w:p>
          <w:p w14:paraId="406E4ECC" w14:textId="77777777" w:rsidR="002641D2" w:rsidRPr="00FA3F9C" w:rsidRDefault="002641D2" w:rsidP="002641D2">
            <w:pPr>
              <w:pStyle w:val="ListParagraph"/>
              <w:numPr>
                <w:ilvl w:val="0"/>
                <w:numId w:val="329"/>
              </w:numPr>
              <w:spacing w:after="0" w:line="240" w:lineRule="auto"/>
              <w:ind w:left="1620" w:hanging="180"/>
              <w:rPr>
                <w:rFonts w:ascii="Arial" w:hAnsi="Arial" w:cs="Arial"/>
                <w:sz w:val="24"/>
                <w:szCs w:val="24"/>
              </w:rPr>
            </w:pPr>
            <w:r w:rsidRPr="00FA3F9C">
              <w:rPr>
                <w:rFonts w:ascii="Arial" w:hAnsi="Arial" w:cs="Arial"/>
                <w:sz w:val="24"/>
                <w:szCs w:val="24"/>
              </w:rPr>
              <w:t xml:space="preserve">Cardiomyopathy (established by echocardiography or </w:t>
            </w:r>
            <w:proofErr w:type="spellStart"/>
            <w:r w:rsidRPr="00FA3F9C">
              <w:rPr>
                <w:rFonts w:ascii="Arial" w:hAnsi="Arial" w:cs="Arial"/>
                <w:sz w:val="24"/>
                <w:szCs w:val="24"/>
              </w:rPr>
              <w:t>mri</w:t>
            </w:r>
            <w:proofErr w:type="spellEnd"/>
            <w:proofErr w:type="gramStart"/>
            <w:r w:rsidRPr="00FA3F9C">
              <w:rPr>
                <w:rFonts w:ascii="Arial" w:hAnsi="Arial" w:cs="Arial"/>
                <w:sz w:val="24"/>
                <w:szCs w:val="24"/>
              </w:rPr>
              <w:t>);</w:t>
            </w:r>
            <w:proofErr w:type="gramEnd"/>
          </w:p>
          <w:p w14:paraId="62D1D175" w14:textId="77777777" w:rsidR="002641D2" w:rsidRPr="00FA3F9C" w:rsidRDefault="002641D2" w:rsidP="002641D2">
            <w:pPr>
              <w:pStyle w:val="ListParagraph"/>
              <w:numPr>
                <w:ilvl w:val="0"/>
                <w:numId w:val="329"/>
              </w:numPr>
              <w:spacing w:after="0" w:line="240" w:lineRule="auto"/>
              <w:ind w:left="1620" w:hanging="180"/>
              <w:rPr>
                <w:rFonts w:ascii="Arial" w:hAnsi="Arial" w:cs="Arial"/>
                <w:sz w:val="24"/>
                <w:szCs w:val="24"/>
              </w:rPr>
            </w:pPr>
            <w:r w:rsidRPr="00FA3F9C">
              <w:rPr>
                <w:rFonts w:ascii="Arial" w:hAnsi="Arial" w:cs="Arial"/>
                <w:sz w:val="24"/>
                <w:szCs w:val="24"/>
              </w:rPr>
              <w:t>Glomerulonephritis (hematuria, red cell casts, proteinuria</w:t>
            </w:r>
            <w:proofErr w:type="gramStart"/>
            <w:r w:rsidRPr="00FA3F9C">
              <w:rPr>
                <w:rFonts w:ascii="Arial" w:hAnsi="Arial" w:cs="Arial"/>
                <w:sz w:val="24"/>
                <w:szCs w:val="24"/>
              </w:rPr>
              <w:t>);</w:t>
            </w:r>
            <w:proofErr w:type="gramEnd"/>
          </w:p>
          <w:p w14:paraId="265D5E2E" w14:textId="77777777" w:rsidR="002641D2" w:rsidRPr="00FA3F9C" w:rsidRDefault="002641D2" w:rsidP="002641D2">
            <w:pPr>
              <w:pStyle w:val="ListParagraph"/>
              <w:numPr>
                <w:ilvl w:val="0"/>
                <w:numId w:val="329"/>
              </w:numPr>
              <w:spacing w:after="0" w:line="240" w:lineRule="auto"/>
              <w:ind w:left="1620" w:hanging="180"/>
              <w:rPr>
                <w:rFonts w:ascii="Arial" w:hAnsi="Arial" w:cs="Arial"/>
                <w:sz w:val="24"/>
                <w:szCs w:val="24"/>
              </w:rPr>
            </w:pPr>
            <w:r w:rsidRPr="00FA3F9C">
              <w:rPr>
                <w:rFonts w:ascii="Arial" w:hAnsi="Arial" w:cs="Arial"/>
                <w:sz w:val="24"/>
                <w:szCs w:val="24"/>
              </w:rPr>
              <w:t>Alveolar hemorrhage (by bronchoalveolar lavage</w:t>
            </w:r>
            <w:proofErr w:type="gramStart"/>
            <w:r w:rsidRPr="00FA3F9C">
              <w:rPr>
                <w:rFonts w:ascii="Arial" w:hAnsi="Arial" w:cs="Arial"/>
                <w:sz w:val="24"/>
                <w:szCs w:val="24"/>
              </w:rPr>
              <w:t>);</w:t>
            </w:r>
            <w:proofErr w:type="gramEnd"/>
          </w:p>
          <w:p w14:paraId="66F2DB08" w14:textId="77777777" w:rsidR="002641D2" w:rsidRPr="00FA3F9C" w:rsidRDefault="002641D2" w:rsidP="002641D2">
            <w:pPr>
              <w:pStyle w:val="ListParagraph"/>
              <w:numPr>
                <w:ilvl w:val="0"/>
                <w:numId w:val="329"/>
              </w:numPr>
              <w:spacing w:after="0" w:line="240" w:lineRule="auto"/>
              <w:ind w:left="1620" w:hanging="180"/>
              <w:rPr>
                <w:rFonts w:ascii="Arial" w:hAnsi="Arial" w:cs="Arial"/>
                <w:sz w:val="24"/>
                <w:szCs w:val="24"/>
              </w:rPr>
            </w:pPr>
            <w:r w:rsidRPr="00FA3F9C">
              <w:rPr>
                <w:rFonts w:ascii="Arial" w:hAnsi="Arial" w:cs="Arial"/>
                <w:sz w:val="24"/>
                <w:szCs w:val="24"/>
              </w:rPr>
              <w:t xml:space="preserve">Palpable </w:t>
            </w:r>
            <w:proofErr w:type="gramStart"/>
            <w:r w:rsidRPr="00FA3F9C">
              <w:rPr>
                <w:rFonts w:ascii="Arial" w:hAnsi="Arial" w:cs="Arial"/>
                <w:sz w:val="24"/>
                <w:szCs w:val="24"/>
              </w:rPr>
              <w:t>purpura;</w:t>
            </w:r>
            <w:proofErr w:type="gramEnd"/>
          </w:p>
          <w:p w14:paraId="0DC9B753" w14:textId="77777777" w:rsidR="002641D2" w:rsidRPr="00FA3F9C" w:rsidRDefault="002641D2" w:rsidP="002641D2">
            <w:pPr>
              <w:pStyle w:val="ListParagraph"/>
              <w:numPr>
                <w:ilvl w:val="0"/>
                <w:numId w:val="329"/>
              </w:numPr>
              <w:spacing w:after="0" w:line="240" w:lineRule="auto"/>
              <w:ind w:left="1620" w:hanging="180"/>
              <w:rPr>
                <w:rFonts w:ascii="Arial" w:hAnsi="Arial" w:cs="Arial"/>
                <w:sz w:val="24"/>
                <w:szCs w:val="24"/>
              </w:rPr>
            </w:pPr>
            <w:r w:rsidRPr="00FA3F9C">
              <w:rPr>
                <w:rFonts w:ascii="Arial" w:hAnsi="Arial" w:cs="Arial"/>
                <w:sz w:val="24"/>
                <w:szCs w:val="24"/>
              </w:rPr>
              <w:t>Antineutrophil cytoplasmic antibody (</w:t>
            </w:r>
            <w:proofErr w:type="spellStart"/>
            <w:r w:rsidRPr="00FA3F9C">
              <w:rPr>
                <w:rFonts w:ascii="Arial" w:hAnsi="Arial" w:cs="Arial"/>
                <w:sz w:val="24"/>
                <w:szCs w:val="24"/>
              </w:rPr>
              <w:t>anca</w:t>
            </w:r>
            <w:proofErr w:type="spellEnd"/>
            <w:r w:rsidRPr="00FA3F9C">
              <w:rPr>
                <w:rFonts w:ascii="Arial" w:hAnsi="Arial" w:cs="Arial"/>
                <w:sz w:val="24"/>
                <w:szCs w:val="24"/>
              </w:rPr>
              <w:t>) positive (</w:t>
            </w:r>
            <w:proofErr w:type="spellStart"/>
            <w:r w:rsidRPr="00FA3F9C">
              <w:rPr>
                <w:rFonts w:ascii="Arial" w:hAnsi="Arial" w:cs="Arial"/>
                <w:sz w:val="24"/>
                <w:szCs w:val="24"/>
              </w:rPr>
              <w:t>mpo</w:t>
            </w:r>
            <w:proofErr w:type="spellEnd"/>
            <w:r w:rsidRPr="00FA3F9C">
              <w:rPr>
                <w:rFonts w:ascii="Arial" w:hAnsi="Arial" w:cs="Arial"/>
                <w:sz w:val="24"/>
                <w:szCs w:val="24"/>
              </w:rPr>
              <w:t xml:space="preserve"> or pr3)</w:t>
            </w:r>
          </w:p>
        </w:tc>
      </w:tr>
      <w:tr w:rsidR="002641D2" w:rsidRPr="00FA3F9C" w14:paraId="2CEAC8F3" w14:textId="77777777" w:rsidTr="008E35A6">
        <w:tc>
          <w:tcPr>
            <w:tcW w:w="0" w:type="auto"/>
            <w:shd w:val="clear" w:color="auto" w:fill="FFFFFF" w:themeFill="background1"/>
          </w:tcPr>
          <w:p w14:paraId="74D5109A" w14:textId="77777777" w:rsidR="002641D2" w:rsidRPr="00FA3F9C" w:rsidRDefault="002641D2" w:rsidP="002641D2">
            <w:pPr>
              <w:pStyle w:val="ListParagraph"/>
              <w:numPr>
                <w:ilvl w:val="0"/>
                <w:numId w:val="328"/>
              </w:numPr>
              <w:spacing w:after="0" w:line="240" w:lineRule="auto"/>
              <w:ind w:left="270" w:hanging="270"/>
              <w:rPr>
                <w:rFonts w:ascii="Arial" w:hAnsi="Arial" w:cs="Arial"/>
                <w:sz w:val="24"/>
                <w:szCs w:val="24"/>
              </w:rPr>
            </w:pPr>
            <w:r w:rsidRPr="00FA3F9C">
              <w:rPr>
                <w:rFonts w:ascii="Arial" w:hAnsi="Arial" w:cs="Arial"/>
                <w:sz w:val="24"/>
                <w:szCs w:val="24"/>
              </w:rPr>
              <w:t xml:space="preserve">History of </w:t>
            </w:r>
            <w:r w:rsidRPr="00FA3F9C">
              <w:rPr>
                <w:rFonts w:ascii="Arial" w:hAnsi="Arial" w:cs="Arial"/>
                <w:b/>
                <w:sz w:val="24"/>
                <w:szCs w:val="24"/>
              </w:rPr>
              <w:t>relapsing OR refractory disease</w:t>
            </w:r>
          </w:p>
        </w:tc>
      </w:tr>
      <w:tr w:rsidR="002641D2" w:rsidRPr="00FA3F9C" w14:paraId="5F1DA6BD" w14:textId="77777777" w:rsidTr="008E35A6">
        <w:tc>
          <w:tcPr>
            <w:tcW w:w="0" w:type="auto"/>
            <w:shd w:val="clear" w:color="auto" w:fill="FFFFFF" w:themeFill="background1"/>
          </w:tcPr>
          <w:p w14:paraId="462BE66C" w14:textId="77777777" w:rsidR="002641D2" w:rsidRPr="00FA3F9C" w:rsidRDefault="002641D2" w:rsidP="002641D2">
            <w:pPr>
              <w:pStyle w:val="ListParagraph"/>
              <w:numPr>
                <w:ilvl w:val="0"/>
                <w:numId w:val="328"/>
              </w:numPr>
              <w:spacing w:after="0" w:line="240" w:lineRule="auto"/>
              <w:ind w:left="270" w:hanging="270"/>
              <w:rPr>
                <w:rFonts w:ascii="Arial" w:hAnsi="Arial" w:cs="Arial"/>
                <w:sz w:val="24"/>
                <w:szCs w:val="24"/>
              </w:rPr>
            </w:pPr>
            <w:r w:rsidRPr="00FA3F9C">
              <w:rPr>
                <w:rFonts w:ascii="Arial" w:hAnsi="Arial" w:cs="Arial"/>
                <w:sz w:val="24"/>
                <w:szCs w:val="24"/>
              </w:rPr>
              <w:t xml:space="preserve">The patient must have tried azathioprine, methotrexate, leflunomide, OR mycophenolate </w:t>
            </w:r>
          </w:p>
          <w:p w14:paraId="1D339667" w14:textId="77777777" w:rsidR="002641D2" w:rsidRPr="00FA3F9C" w:rsidRDefault="002641D2" w:rsidP="00225864">
            <w:pPr>
              <w:pStyle w:val="ListParagraph"/>
              <w:ind w:left="270"/>
              <w:rPr>
                <w:rFonts w:ascii="Arial" w:hAnsi="Arial" w:cs="Arial"/>
                <w:sz w:val="24"/>
                <w:szCs w:val="24"/>
              </w:rPr>
            </w:pPr>
            <w:r w:rsidRPr="00FA3F9C">
              <w:rPr>
                <w:rFonts w:ascii="Arial" w:hAnsi="Arial" w:cs="Arial"/>
                <w:sz w:val="24"/>
                <w:szCs w:val="24"/>
              </w:rPr>
              <w:t>OR have a contraindication to these therapies.</w:t>
            </w:r>
          </w:p>
        </w:tc>
      </w:tr>
      <w:tr w:rsidR="002641D2" w:rsidRPr="00FA3F9C" w14:paraId="01303527" w14:textId="77777777" w:rsidTr="008E35A6">
        <w:tc>
          <w:tcPr>
            <w:tcW w:w="0" w:type="auto"/>
            <w:shd w:val="clear" w:color="auto" w:fill="FFFFFF" w:themeFill="background1"/>
          </w:tcPr>
          <w:p w14:paraId="0F9278C7" w14:textId="77777777" w:rsidR="002641D2" w:rsidRPr="00FA3F9C" w:rsidRDefault="002641D2" w:rsidP="002641D2">
            <w:pPr>
              <w:pStyle w:val="ListParagraph"/>
              <w:numPr>
                <w:ilvl w:val="0"/>
                <w:numId w:val="328"/>
              </w:numPr>
              <w:spacing w:after="0" w:line="240" w:lineRule="auto"/>
              <w:ind w:left="270" w:hanging="270"/>
              <w:rPr>
                <w:rFonts w:ascii="Arial" w:hAnsi="Arial" w:cs="Arial"/>
                <w:sz w:val="24"/>
                <w:szCs w:val="24"/>
              </w:rPr>
            </w:pPr>
            <w:r w:rsidRPr="00FA3F9C">
              <w:rPr>
                <w:rFonts w:ascii="Arial" w:hAnsi="Arial" w:cs="Arial"/>
                <w:sz w:val="24"/>
                <w:szCs w:val="24"/>
              </w:rPr>
              <w:t xml:space="preserve">Patients MUST NOT have diagnosis of granulomatosis with polyangiitis (aka Wegener’s granulomatosis) </w:t>
            </w:r>
            <w:r w:rsidRPr="00FA3F9C">
              <w:rPr>
                <w:rFonts w:ascii="Arial" w:hAnsi="Arial" w:cs="Arial"/>
                <w:b/>
                <w:sz w:val="24"/>
                <w:szCs w:val="24"/>
              </w:rPr>
              <w:t>or</w:t>
            </w:r>
            <w:r w:rsidRPr="00FA3F9C">
              <w:rPr>
                <w:rFonts w:ascii="Arial" w:hAnsi="Arial" w:cs="Arial"/>
                <w:sz w:val="24"/>
                <w:szCs w:val="24"/>
              </w:rPr>
              <w:t xml:space="preserve"> microscopic polyangiitis </w:t>
            </w:r>
            <w:r w:rsidRPr="00FA3F9C">
              <w:rPr>
                <w:rFonts w:ascii="Arial" w:hAnsi="Arial" w:cs="Arial"/>
                <w:b/>
                <w:sz w:val="24"/>
                <w:szCs w:val="24"/>
              </w:rPr>
              <w:t xml:space="preserve">or </w:t>
            </w:r>
            <w:r w:rsidRPr="00FA3F9C">
              <w:rPr>
                <w:rFonts w:ascii="Arial" w:hAnsi="Arial" w:cs="Arial"/>
                <w:sz w:val="24"/>
                <w:szCs w:val="24"/>
                <w:highlight w:val="cyan"/>
              </w:rPr>
              <w:t xml:space="preserve">have had </w:t>
            </w:r>
            <w:proofErr w:type="gramStart"/>
            <w:r w:rsidRPr="00FA3F9C">
              <w:rPr>
                <w:rFonts w:ascii="Arial" w:hAnsi="Arial" w:cs="Arial"/>
                <w:sz w:val="24"/>
                <w:szCs w:val="24"/>
                <w:highlight w:val="cyan"/>
              </w:rPr>
              <w:t>organ-threatening</w:t>
            </w:r>
            <w:proofErr w:type="gramEnd"/>
            <w:r w:rsidRPr="00FA3F9C">
              <w:rPr>
                <w:rFonts w:ascii="Arial" w:hAnsi="Arial" w:cs="Arial"/>
                <w:sz w:val="24"/>
                <w:szCs w:val="24"/>
                <w:highlight w:val="cyan"/>
              </w:rPr>
              <w:t xml:space="preserve"> or life-threatening EGPA 3 months prior.</w:t>
            </w:r>
          </w:p>
        </w:tc>
      </w:tr>
      <w:tr w:rsidR="002641D2" w:rsidRPr="00FA3F9C" w14:paraId="3DC08336" w14:textId="77777777" w:rsidTr="008E35A6">
        <w:tc>
          <w:tcPr>
            <w:tcW w:w="0" w:type="auto"/>
            <w:shd w:val="clear" w:color="auto" w:fill="FFFFFF" w:themeFill="background1"/>
          </w:tcPr>
          <w:p w14:paraId="3173B7E4" w14:textId="77777777" w:rsidR="002641D2" w:rsidRPr="00FA3F9C" w:rsidRDefault="002641D2" w:rsidP="00821E4D">
            <w:pPr>
              <w:rPr>
                <w:rFonts w:ascii="Arial" w:hAnsi="Arial" w:cs="Arial"/>
                <w:sz w:val="24"/>
                <w:szCs w:val="24"/>
              </w:rPr>
            </w:pPr>
            <w:r w:rsidRPr="00FA3F9C">
              <w:rPr>
                <w:rFonts w:ascii="Arial" w:hAnsi="Arial" w:cs="Arial"/>
                <w:sz w:val="24"/>
                <w:szCs w:val="24"/>
              </w:rPr>
              <w:lastRenderedPageBreak/>
              <w:t>-If criteria 1-5 fulfilled for EGPA, drug approved for 300 mg q4weeks. (</w:t>
            </w:r>
            <w:proofErr w:type="gramStart"/>
            <w:r w:rsidRPr="00FA3F9C">
              <w:rPr>
                <w:rFonts w:ascii="Arial" w:hAnsi="Arial" w:cs="Arial"/>
                <w:sz w:val="24"/>
                <w:szCs w:val="24"/>
              </w:rPr>
              <w:t>only</w:t>
            </w:r>
            <w:proofErr w:type="gramEnd"/>
            <w:r w:rsidRPr="00FA3F9C">
              <w:rPr>
                <w:rFonts w:ascii="Arial" w:hAnsi="Arial" w:cs="Arial"/>
                <w:sz w:val="24"/>
                <w:szCs w:val="24"/>
              </w:rPr>
              <w:t xml:space="preserve"> formulated in 100 mg strengths, so 3 injections given per dose)</w:t>
            </w:r>
          </w:p>
          <w:p w14:paraId="3F626B70" w14:textId="77777777" w:rsidR="002641D2" w:rsidRPr="00FA3F9C" w:rsidRDefault="002641D2" w:rsidP="00821E4D">
            <w:pPr>
              <w:rPr>
                <w:rFonts w:ascii="Arial" w:hAnsi="Arial" w:cs="Arial"/>
                <w:sz w:val="24"/>
                <w:szCs w:val="24"/>
              </w:rPr>
            </w:pPr>
            <w:r w:rsidRPr="00FA3F9C">
              <w:rPr>
                <w:rFonts w:ascii="Arial" w:hAnsi="Arial" w:cs="Arial"/>
                <w:sz w:val="24"/>
                <w:szCs w:val="24"/>
              </w:rPr>
              <w:t xml:space="preserve">-Asthma patients should </w:t>
            </w:r>
            <w:proofErr w:type="spellStart"/>
            <w:r w:rsidRPr="00FA3F9C">
              <w:rPr>
                <w:rFonts w:ascii="Arial" w:hAnsi="Arial" w:cs="Arial"/>
                <w:sz w:val="24"/>
                <w:szCs w:val="24"/>
              </w:rPr>
              <w:t>should</w:t>
            </w:r>
            <w:proofErr w:type="spellEnd"/>
            <w:r w:rsidRPr="00FA3F9C">
              <w:rPr>
                <w:rFonts w:ascii="Arial" w:hAnsi="Arial" w:cs="Arial"/>
                <w:sz w:val="24"/>
                <w:szCs w:val="24"/>
              </w:rPr>
              <w:t xml:space="preserve"> have 75% ICS adherence rate.  It is prudent to follow less costly standard treatment prior to access to asthma biologics.</w:t>
            </w:r>
          </w:p>
        </w:tc>
      </w:tr>
    </w:tbl>
    <w:p w14:paraId="1D7696C5" w14:textId="77777777" w:rsidR="002641D2" w:rsidRPr="00FA3F9C" w:rsidRDefault="002641D2" w:rsidP="008A055E">
      <w:pPr>
        <w:rPr>
          <w:rFonts w:ascii="Arial" w:hAnsi="Arial" w:cs="Arial"/>
          <w:sz w:val="24"/>
          <w:szCs w:val="24"/>
        </w:rPr>
      </w:pPr>
      <w:r w:rsidRPr="00FA3F9C">
        <w:rPr>
          <w:rFonts w:ascii="Arial" w:hAnsi="Arial" w:cs="Arial"/>
          <w:sz w:val="24"/>
          <w:szCs w:val="24"/>
        </w:rPr>
        <w:t xml:space="preserve"> </w:t>
      </w:r>
    </w:p>
    <w:p w14:paraId="6982C979" w14:textId="77777777" w:rsidR="002641D2" w:rsidRPr="00FA3F9C" w:rsidRDefault="002641D2" w:rsidP="008A055E">
      <w:pPr>
        <w:rPr>
          <w:rFonts w:ascii="Arial" w:hAnsi="Arial" w:cs="Arial"/>
          <w:sz w:val="24"/>
          <w:szCs w:val="24"/>
        </w:rPr>
      </w:pPr>
      <w:r w:rsidRPr="00FA3F9C">
        <w:rPr>
          <w:rFonts w:ascii="Arial" w:hAnsi="Arial" w:cs="Arial"/>
          <w:sz w:val="24"/>
          <w:szCs w:val="24"/>
        </w:rPr>
        <w:t>References:</w:t>
      </w:r>
    </w:p>
    <w:p w14:paraId="597812DA" w14:textId="77777777" w:rsidR="002641D2" w:rsidRPr="00FA3F9C" w:rsidRDefault="002641D2" w:rsidP="002641D2">
      <w:pPr>
        <w:pStyle w:val="ListParagraph"/>
        <w:numPr>
          <w:ilvl w:val="0"/>
          <w:numId w:val="330"/>
        </w:numPr>
        <w:spacing w:after="0" w:line="240" w:lineRule="auto"/>
        <w:rPr>
          <w:rFonts w:ascii="Arial" w:hAnsi="Arial" w:cs="Arial"/>
          <w:sz w:val="24"/>
          <w:szCs w:val="24"/>
        </w:rPr>
      </w:pPr>
      <w:r w:rsidRPr="00FA3F9C">
        <w:rPr>
          <w:rFonts w:ascii="Arial" w:hAnsi="Arial" w:cs="Arial"/>
          <w:sz w:val="24"/>
          <w:szCs w:val="24"/>
        </w:rPr>
        <w:t>Ortega, HG, et al. “Mepolizumab treatment in patients with severe eosinophilic asthma” New England Journal of Medicine 2014 September 25:371(13):1198-207.  MENSA</w:t>
      </w:r>
    </w:p>
    <w:p w14:paraId="6E78249C" w14:textId="77777777" w:rsidR="002641D2" w:rsidRPr="00FA3F9C" w:rsidRDefault="002641D2" w:rsidP="002641D2">
      <w:pPr>
        <w:pStyle w:val="ListParagraph"/>
        <w:numPr>
          <w:ilvl w:val="0"/>
          <w:numId w:val="330"/>
        </w:numPr>
        <w:spacing w:after="0" w:line="240" w:lineRule="auto"/>
        <w:rPr>
          <w:rFonts w:ascii="Arial" w:hAnsi="Arial" w:cs="Arial"/>
          <w:sz w:val="24"/>
          <w:szCs w:val="24"/>
        </w:rPr>
      </w:pPr>
      <w:r w:rsidRPr="00FA3F9C">
        <w:rPr>
          <w:rFonts w:ascii="Arial" w:hAnsi="Arial" w:cs="Arial"/>
          <w:sz w:val="24"/>
          <w:szCs w:val="24"/>
          <w:lang w:val="fr-FR"/>
        </w:rPr>
        <w:t xml:space="preserve">Bel EH, Wenzel SE, Thompson PJ, et al.  </w:t>
      </w:r>
      <w:r w:rsidRPr="00FA3F9C">
        <w:rPr>
          <w:rFonts w:ascii="Arial" w:hAnsi="Arial" w:cs="Arial"/>
          <w:sz w:val="24"/>
          <w:szCs w:val="24"/>
        </w:rPr>
        <w:t xml:space="preserve">Oral glucocorticoid-sparing effect of mepolizumab in eosinophilic asthma. N </w:t>
      </w:r>
      <w:proofErr w:type="spellStart"/>
      <w:r w:rsidRPr="00FA3F9C">
        <w:rPr>
          <w:rFonts w:ascii="Arial" w:hAnsi="Arial" w:cs="Arial"/>
          <w:sz w:val="24"/>
          <w:szCs w:val="24"/>
        </w:rPr>
        <w:t>Engl</w:t>
      </w:r>
      <w:proofErr w:type="spellEnd"/>
      <w:r w:rsidRPr="00FA3F9C">
        <w:rPr>
          <w:rFonts w:ascii="Arial" w:hAnsi="Arial" w:cs="Arial"/>
          <w:sz w:val="24"/>
          <w:szCs w:val="24"/>
        </w:rPr>
        <w:t xml:space="preserve"> J Med. 2014;371(13):1189-97. SIRIUS.</w:t>
      </w:r>
    </w:p>
    <w:p w14:paraId="122178B3" w14:textId="77777777" w:rsidR="002641D2" w:rsidRPr="00FA3F9C" w:rsidRDefault="002641D2" w:rsidP="002641D2">
      <w:pPr>
        <w:pStyle w:val="ListParagraph"/>
        <w:numPr>
          <w:ilvl w:val="0"/>
          <w:numId w:val="330"/>
        </w:numPr>
        <w:spacing w:after="0" w:line="240" w:lineRule="auto"/>
        <w:rPr>
          <w:rFonts w:ascii="Arial" w:hAnsi="Arial" w:cs="Arial"/>
          <w:sz w:val="24"/>
          <w:szCs w:val="24"/>
        </w:rPr>
      </w:pPr>
      <w:r w:rsidRPr="00FA3F9C">
        <w:rPr>
          <w:rFonts w:ascii="Arial" w:hAnsi="Arial" w:cs="Arial"/>
          <w:color w:val="222222"/>
          <w:sz w:val="24"/>
          <w:szCs w:val="24"/>
          <w:shd w:val="clear" w:color="auto" w:fill="FFFFFF"/>
          <w:lang w:val="fr-FR"/>
        </w:rPr>
        <w:t xml:space="preserve">Wechsler, Michael E., et al. </w:t>
      </w:r>
      <w:r w:rsidRPr="00FA3F9C">
        <w:rPr>
          <w:rFonts w:ascii="Arial" w:hAnsi="Arial" w:cs="Arial"/>
          <w:color w:val="222222"/>
          <w:sz w:val="24"/>
          <w:szCs w:val="24"/>
          <w:shd w:val="clear" w:color="auto" w:fill="FFFFFF"/>
        </w:rPr>
        <w:t>"Mepolizumab or placebo for eosinophilic granulomatosis with polyangiitis." </w:t>
      </w:r>
      <w:r w:rsidRPr="00FA3F9C">
        <w:rPr>
          <w:rFonts w:ascii="Arial" w:hAnsi="Arial" w:cs="Arial"/>
          <w:i/>
          <w:iCs/>
          <w:color w:val="222222"/>
          <w:sz w:val="24"/>
          <w:szCs w:val="24"/>
          <w:shd w:val="clear" w:color="auto" w:fill="FFFFFF"/>
        </w:rPr>
        <w:t>New England Journal of Medicine</w:t>
      </w:r>
      <w:r w:rsidRPr="00FA3F9C">
        <w:rPr>
          <w:rFonts w:ascii="Arial" w:hAnsi="Arial" w:cs="Arial"/>
          <w:color w:val="222222"/>
          <w:sz w:val="24"/>
          <w:szCs w:val="24"/>
          <w:shd w:val="clear" w:color="auto" w:fill="FFFFFF"/>
        </w:rPr>
        <w:t> 376.20 (2017): 1921-1932.</w:t>
      </w:r>
      <w:r w:rsidRPr="00FA3F9C">
        <w:rPr>
          <w:rFonts w:ascii="Arial" w:hAnsi="Arial" w:cs="Arial"/>
          <w:sz w:val="24"/>
          <w:szCs w:val="24"/>
        </w:rPr>
        <w:t xml:space="preserve"> </w:t>
      </w:r>
    </w:p>
    <w:p w14:paraId="2920209A" w14:textId="77777777" w:rsidR="002641D2" w:rsidRPr="00FA3F9C" w:rsidRDefault="002641D2" w:rsidP="008A055E">
      <w:pPr>
        <w:rPr>
          <w:rFonts w:ascii="Arial" w:hAnsi="Arial" w:cs="Arial"/>
          <w:sz w:val="24"/>
          <w:szCs w:val="24"/>
        </w:rPr>
      </w:pPr>
      <w:r w:rsidRPr="00FA3F9C">
        <w:rPr>
          <w:rFonts w:ascii="Arial" w:hAnsi="Arial" w:cs="Arial"/>
          <w:sz w:val="24"/>
          <w:szCs w:val="24"/>
        </w:rPr>
        <w:t xml:space="preserve"> </w:t>
      </w:r>
    </w:p>
    <w:p w14:paraId="508F88EA" w14:textId="77777777" w:rsidR="002641D2" w:rsidRPr="00FA3F9C" w:rsidRDefault="002641D2" w:rsidP="008A055E">
      <w:pPr>
        <w:autoSpaceDE w:val="0"/>
        <w:autoSpaceDN w:val="0"/>
        <w:adjustRightInd w:val="0"/>
        <w:rPr>
          <w:rFonts w:ascii="Arial" w:eastAsia="Calibri" w:hAnsi="Arial" w:cs="Arial"/>
          <w:color w:val="1F497D"/>
          <w:w w:val="90"/>
          <w:sz w:val="24"/>
          <w:szCs w:val="24"/>
        </w:rPr>
      </w:pP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7719"/>
        <w:gridCol w:w="1905"/>
      </w:tblGrid>
      <w:tr w:rsidR="002641D2" w:rsidRPr="00FA3F9C" w14:paraId="6E5C3FCF" w14:textId="77777777" w:rsidTr="00DE2298">
        <w:tc>
          <w:tcPr>
            <w:tcW w:w="1124" w:type="dxa"/>
          </w:tcPr>
          <w:p w14:paraId="2D845219" w14:textId="77777777" w:rsidR="002641D2" w:rsidRPr="00FA3F9C" w:rsidRDefault="002641D2" w:rsidP="00B06128">
            <w:pPr>
              <w:autoSpaceDE w:val="0"/>
              <w:autoSpaceDN w:val="0"/>
              <w:adjustRightInd w:val="0"/>
              <w:rPr>
                <w:rFonts w:ascii="Arial" w:hAnsi="Arial" w:cs="Arial"/>
                <w:sz w:val="24"/>
                <w:szCs w:val="24"/>
              </w:rPr>
            </w:pPr>
            <w:r w:rsidRPr="00FA3F9C">
              <w:rPr>
                <w:rFonts w:ascii="Arial" w:hAnsi="Arial" w:cs="Arial"/>
                <w:sz w:val="24"/>
                <w:szCs w:val="24"/>
              </w:rPr>
              <w:t>Date</w:t>
            </w:r>
          </w:p>
        </w:tc>
        <w:tc>
          <w:tcPr>
            <w:tcW w:w="7871" w:type="dxa"/>
          </w:tcPr>
          <w:p w14:paraId="484E61CC" w14:textId="77777777" w:rsidR="002641D2" w:rsidRPr="00FA3F9C" w:rsidRDefault="002641D2" w:rsidP="00B06128">
            <w:pPr>
              <w:autoSpaceDE w:val="0"/>
              <w:autoSpaceDN w:val="0"/>
              <w:adjustRightInd w:val="0"/>
              <w:rPr>
                <w:rFonts w:ascii="Arial" w:hAnsi="Arial" w:cs="Arial"/>
                <w:sz w:val="24"/>
                <w:szCs w:val="24"/>
              </w:rPr>
            </w:pPr>
            <w:r w:rsidRPr="00FA3F9C">
              <w:rPr>
                <w:rFonts w:ascii="Arial" w:hAnsi="Arial" w:cs="Arial"/>
                <w:sz w:val="24"/>
                <w:szCs w:val="24"/>
              </w:rPr>
              <w:t>What Changed?</w:t>
            </w:r>
          </w:p>
        </w:tc>
        <w:tc>
          <w:tcPr>
            <w:tcW w:w="1913" w:type="dxa"/>
          </w:tcPr>
          <w:p w14:paraId="020AAB5A" w14:textId="77777777" w:rsidR="002641D2" w:rsidRPr="00FA3F9C" w:rsidRDefault="002641D2" w:rsidP="00B06128">
            <w:pPr>
              <w:autoSpaceDE w:val="0"/>
              <w:autoSpaceDN w:val="0"/>
              <w:adjustRightInd w:val="0"/>
              <w:rPr>
                <w:rFonts w:ascii="Arial" w:hAnsi="Arial" w:cs="Arial"/>
                <w:sz w:val="24"/>
                <w:szCs w:val="24"/>
              </w:rPr>
            </w:pPr>
            <w:r w:rsidRPr="00FA3F9C">
              <w:rPr>
                <w:rFonts w:ascii="Arial" w:hAnsi="Arial" w:cs="Arial"/>
                <w:sz w:val="24"/>
                <w:szCs w:val="24"/>
              </w:rPr>
              <w:t>Pharmacist’s initials</w:t>
            </w:r>
          </w:p>
        </w:tc>
      </w:tr>
      <w:tr w:rsidR="002641D2" w:rsidRPr="00FA3F9C" w14:paraId="68B02B68" w14:textId="77777777" w:rsidTr="00DE2298">
        <w:tc>
          <w:tcPr>
            <w:tcW w:w="1124" w:type="dxa"/>
          </w:tcPr>
          <w:p w14:paraId="6408D72B" w14:textId="77777777" w:rsidR="002641D2" w:rsidRPr="00FA3F9C" w:rsidRDefault="002641D2" w:rsidP="00B06128">
            <w:pPr>
              <w:autoSpaceDE w:val="0"/>
              <w:autoSpaceDN w:val="0"/>
              <w:adjustRightInd w:val="0"/>
              <w:rPr>
                <w:rFonts w:ascii="Arial" w:hAnsi="Arial" w:cs="Arial"/>
                <w:sz w:val="24"/>
                <w:szCs w:val="24"/>
              </w:rPr>
            </w:pPr>
            <w:r w:rsidRPr="00FA3F9C">
              <w:rPr>
                <w:rFonts w:ascii="Arial" w:hAnsi="Arial" w:cs="Arial"/>
                <w:sz w:val="24"/>
                <w:szCs w:val="24"/>
              </w:rPr>
              <w:t>3/14/2016</w:t>
            </w:r>
          </w:p>
        </w:tc>
        <w:tc>
          <w:tcPr>
            <w:tcW w:w="7871" w:type="dxa"/>
          </w:tcPr>
          <w:p w14:paraId="42337DD7" w14:textId="77777777" w:rsidR="002641D2" w:rsidRPr="00FA3F9C" w:rsidRDefault="002641D2" w:rsidP="00B06128">
            <w:pPr>
              <w:autoSpaceDE w:val="0"/>
              <w:autoSpaceDN w:val="0"/>
              <w:adjustRightInd w:val="0"/>
              <w:rPr>
                <w:rFonts w:ascii="Arial" w:hAnsi="Arial" w:cs="Arial"/>
                <w:sz w:val="24"/>
                <w:szCs w:val="24"/>
              </w:rPr>
            </w:pPr>
            <w:r w:rsidRPr="00FA3F9C">
              <w:rPr>
                <w:rFonts w:ascii="Arial" w:hAnsi="Arial" w:cs="Arial"/>
                <w:sz w:val="24"/>
                <w:szCs w:val="24"/>
              </w:rPr>
              <w:t>Criteria written</w:t>
            </w:r>
          </w:p>
        </w:tc>
        <w:tc>
          <w:tcPr>
            <w:tcW w:w="1913" w:type="dxa"/>
          </w:tcPr>
          <w:p w14:paraId="4C6F6630" w14:textId="77777777" w:rsidR="002641D2" w:rsidRPr="00FA3F9C" w:rsidRDefault="002641D2" w:rsidP="00B06128">
            <w:pPr>
              <w:autoSpaceDE w:val="0"/>
              <w:autoSpaceDN w:val="0"/>
              <w:adjustRightInd w:val="0"/>
              <w:rPr>
                <w:rFonts w:ascii="Arial" w:hAnsi="Arial" w:cs="Arial"/>
                <w:sz w:val="24"/>
                <w:szCs w:val="24"/>
              </w:rPr>
            </w:pPr>
            <w:r w:rsidRPr="00FA3F9C">
              <w:rPr>
                <w:rFonts w:ascii="Arial" w:hAnsi="Arial" w:cs="Arial"/>
                <w:sz w:val="24"/>
                <w:szCs w:val="24"/>
              </w:rPr>
              <w:t>JJ</w:t>
            </w:r>
          </w:p>
        </w:tc>
      </w:tr>
      <w:tr w:rsidR="002641D2" w:rsidRPr="00FA3F9C" w14:paraId="090FD590" w14:textId="77777777" w:rsidTr="00DE2298">
        <w:tc>
          <w:tcPr>
            <w:tcW w:w="1124" w:type="dxa"/>
          </w:tcPr>
          <w:p w14:paraId="497E2B2B" w14:textId="77777777" w:rsidR="002641D2" w:rsidRPr="00FA3F9C" w:rsidRDefault="002641D2" w:rsidP="00B06128">
            <w:pPr>
              <w:autoSpaceDE w:val="0"/>
              <w:autoSpaceDN w:val="0"/>
              <w:adjustRightInd w:val="0"/>
              <w:rPr>
                <w:rFonts w:ascii="Arial" w:hAnsi="Arial" w:cs="Arial"/>
                <w:sz w:val="24"/>
                <w:szCs w:val="24"/>
              </w:rPr>
            </w:pPr>
            <w:r w:rsidRPr="00FA3F9C">
              <w:rPr>
                <w:rFonts w:ascii="Arial" w:hAnsi="Arial" w:cs="Arial"/>
                <w:sz w:val="24"/>
                <w:szCs w:val="24"/>
              </w:rPr>
              <w:t>4/5/16</w:t>
            </w:r>
          </w:p>
        </w:tc>
        <w:tc>
          <w:tcPr>
            <w:tcW w:w="7871" w:type="dxa"/>
          </w:tcPr>
          <w:p w14:paraId="084AEA2A" w14:textId="77777777" w:rsidR="002641D2" w:rsidRPr="00FA3F9C" w:rsidRDefault="002641D2" w:rsidP="00B06128">
            <w:pPr>
              <w:autoSpaceDE w:val="0"/>
              <w:autoSpaceDN w:val="0"/>
              <w:adjustRightInd w:val="0"/>
              <w:rPr>
                <w:rFonts w:ascii="Arial" w:hAnsi="Arial" w:cs="Arial"/>
                <w:sz w:val="24"/>
                <w:szCs w:val="24"/>
              </w:rPr>
            </w:pPr>
            <w:r w:rsidRPr="00FA3F9C">
              <w:rPr>
                <w:rFonts w:ascii="Arial" w:hAnsi="Arial" w:cs="Arial"/>
                <w:sz w:val="24"/>
                <w:szCs w:val="24"/>
              </w:rPr>
              <w:t xml:space="preserve">I spoke with Cameron James from GSK after communicating with Erica </w:t>
            </w:r>
            <w:proofErr w:type="spellStart"/>
            <w:r w:rsidRPr="00FA3F9C">
              <w:rPr>
                <w:rFonts w:ascii="Arial" w:hAnsi="Arial" w:cs="Arial"/>
                <w:sz w:val="24"/>
                <w:szCs w:val="24"/>
              </w:rPr>
              <w:t>Brumleve</w:t>
            </w:r>
            <w:proofErr w:type="spellEnd"/>
            <w:r w:rsidRPr="00FA3F9C">
              <w:rPr>
                <w:rFonts w:ascii="Arial" w:hAnsi="Arial" w:cs="Arial"/>
                <w:sz w:val="24"/>
                <w:szCs w:val="24"/>
              </w:rPr>
              <w:t xml:space="preserve"> at the DUEC meeting 4/4/16.  He said the requirement for a positive skin test or with in vitro reactivity to a perennial aeroallergen is part of Xolair and not Nucala.  I told him I would </w:t>
            </w:r>
            <w:proofErr w:type="gramStart"/>
            <w:r w:rsidRPr="00FA3F9C">
              <w:rPr>
                <w:rFonts w:ascii="Arial" w:hAnsi="Arial" w:cs="Arial"/>
                <w:sz w:val="24"/>
                <w:szCs w:val="24"/>
              </w:rPr>
              <w:t>look into</w:t>
            </w:r>
            <w:proofErr w:type="gramEnd"/>
            <w:r w:rsidRPr="00FA3F9C">
              <w:rPr>
                <w:rFonts w:ascii="Arial" w:hAnsi="Arial" w:cs="Arial"/>
                <w:sz w:val="24"/>
                <w:szCs w:val="24"/>
              </w:rPr>
              <w:t xml:space="preserve"> it.  ICER’s link to mepolizumab was not working for me to see at the time.</w:t>
            </w:r>
          </w:p>
          <w:p w14:paraId="3D06030F" w14:textId="77777777" w:rsidR="002641D2" w:rsidRPr="00FA3F9C" w:rsidRDefault="002641D2" w:rsidP="00B06128">
            <w:pPr>
              <w:autoSpaceDE w:val="0"/>
              <w:autoSpaceDN w:val="0"/>
              <w:adjustRightInd w:val="0"/>
              <w:rPr>
                <w:rFonts w:ascii="Arial" w:hAnsi="Arial" w:cs="Arial"/>
                <w:sz w:val="24"/>
                <w:szCs w:val="24"/>
              </w:rPr>
            </w:pPr>
          </w:p>
          <w:p w14:paraId="2AB019F6" w14:textId="77777777" w:rsidR="002641D2" w:rsidRPr="00FA3F9C" w:rsidRDefault="002641D2" w:rsidP="00B06128">
            <w:pPr>
              <w:autoSpaceDE w:val="0"/>
              <w:autoSpaceDN w:val="0"/>
              <w:adjustRightInd w:val="0"/>
              <w:rPr>
                <w:rFonts w:ascii="Arial" w:hAnsi="Arial" w:cs="Arial"/>
                <w:sz w:val="24"/>
                <w:szCs w:val="24"/>
              </w:rPr>
            </w:pPr>
            <w:r w:rsidRPr="00FA3F9C">
              <w:rPr>
                <w:rFonts w:ascii="Arial" w:hAnsi="Arial" w:cs="Arial"/>
                <w:sz w:val="24"/>
                <w:szCs w:val="24"/>
              </w:rPr>
              <w:t xml:space="preserve">Subsequently, I found mepolizumab did not have the requirement for either and so I removed it from our PA criteria.  I added:  “Subsequent </w:t>
            </w:r>
            <w:r w:rsidRPr="00FA3F9C">
              <w:rPr>
                <w:rFonts w:ascii="Arial" w:hAnsi="Arial" w:cs="Arial"/>
                <w:sz w:val="24"/>
                <w:szCs w:val="24"/>
              </w:rPr>
              <w:lastRenderedPageBreak/>
              <w:t>requests for PA require that the past 3 of 4 months have a paid claim for a LABA/ICS either separately or as a combination product.  If this is not the case, the PA should be denied.”</w:t>
            </w:r>
          </w:p>
        </w:tc>
        <w:tc>
          <w:tcPr>
            <w:tcW w:w="1913" w:type="dxa"/>
          </w:tcPr>
          <w:p w14:paraId="40E0BF18" w14:textId="77777777" w:rsidR="002641D2" w:rsidRPr="00FA3F9C" w:rsidRDefault="002641D2" w:rsidP="00B06128">
            <w:pPr>
              <w:autoSpaceDE w:val="0"/>
              <w:autoSpaceDN w:val="0"/>
              <w:adjustRightInd w:val="0"/>
              <w:rPr>
                <w:rFonts w:ascii="Arial" w:hAnsi="Arial" w:cs="Arial"/>
                <w:sz w:val="24"/>
                <w:szCs w:val="24"/>
              </w:rPr>
            </w:pPr>
            <w:r w:rsidRPr="00FA3F9C">
              <w:rPr>
                <w:rFonts w:ascii="Arial" w:hAnsi="Arial" w:cs="Arial"/>
                <w:sz w:val="24"/>
                <w:szCs w:val="24"/>
              </w:rPr>
              <w:lastRenderedPageBreak/>
              <w:t>JJ</w:t>
            </w:r>
          </w:p>
        </w:tc>
      </w:tr>
      <w:tr w:rsidR="002641D2" w:rsidRPr="00FA3F9C" w14:paraId="468E3172" w14:textId="77777777" w:rsidTr="00DE2298">
        <w:tc>
          <w:tcPr>
            <w:tcW w:w="1124" w:type="dxa"/>
          </w:tcPr>
          <w:p w14:paraId="3F80A09F" w14:textId="77777777" w:rsidR="002641D2" w:rsidRPr="00FA3F9C" w:rsidRDefault="002641D2" w:rsidP="00B06128">
            <w:pPr>
              <w:autoSpaceDE w:val="0"/>
              <w:autoSpaceDN w:val="0"/>
              <w:adjustRightInd w:val="0"/>
              <w:rPr>
                <w:rFonts w:ascii="Arial" w:hAnsi="Arial" w:cs="Arial"/>
                <w:sz w:val="24"/>
                <w:szCs w:val="24"/>
              </w:rPr>
            </w:pPr>
            <w:r w:rsidRPr="00FA3F9C">
              <w:rPr>
                <w:rFonts w:ascii="Arial" w:hAnsi="Arial" w:cs="Arial"/>
                <w:sz w:val="24"/>
                <w:szCs w:val="24"/>
              </w:rPr>
              <w:t>12/20/17</w:t>
            </w:r>
          </w:p>
        </w:tc>
        <w:tc>
          <w:tcPr>
            <w:tcW w:w="7871" w:type="dxa"/>
          </w:tcPr>
          <w:p w14:paraId="449ECD27" w14:textId="77777777" w:rsidR="002641D2" w:rsidRPr="00FA3F9C" w:rsidRDefault="002641D2" w:rsidP="00B06128">
            <w:pPr>
              <w:autoSpaceDE w:val="0"/>
              <w:autoSpaceDN w:val="0"/>
              <w:adjustRightInd w:val="0"/>
              <w:rPr>
                <w:rFonts w:ascii="Arial" w:hAnsi="Arial" w:cs="Arial"/>
                <w:sz w:val="24"/>
                <w:szCs w:val="24"/>
              </w:rPr>
            </w:pPr>
            <w:r w:rsidRPr="00FA3F9C">
              <w:rPr>
                <w:rFonts w:ascii="Arial" w:hAnsi="Arial" w:cs="Arial"/>
                <w:sz w:val="24"/>
                <w:szCs w:val="24"/>
              </w:rPr>
              <w:t xml:space="preserve">Updated PA to include dx of eosinophilic </w:t>
            </w:r>
            <w:proofErr w:type="spellStart"/>
            <w:r w:rsidRPr="00FA3F9C">
              <w:rPr>
                <w:rFonts w:ascii="Arial" w:hAnsi="Arial" w:cs="Arial"/>
                <w:sz w:val="24"/>
                <w:szCs w:val="24"/>
              </w:rPr>
              <w:t>Eosinophilic</w:t>
            </w:r>
            <w:proofErr w:type="spellEnd"/>
            <w:r w:rsidRPr="00FA3F9C">
              <w:rPr>
                <w:rFonts w:ascii="Arial" w:hAnsi="Arial" w:cs="Arial"/>
                <w:sz w:val="24"/>
                <w:szCs w:val="24"/>
              </w:rPr>
              <w:t xml:space="preserve"> granulomatosis with polyangiitis (EGPA).  Per #4 under EGPA, it is not known which first line therapy is superior, therefore, it seems reasonable to step through the less costly alternative before gaining access to MEP.</w:t>
            </w:r>
          </w:p>
        </w:tc>
        <w:tc>
          <w:tcPr>
            <w:tcW w:w="1913" w:type="dxa"/>
          </w:tcPr>
          <w:p w14:paraId="1B311F65" w14:textId="77777777" w:rsidR="002641D2" w:rsidRPr="00FA3F9C" w:rsidRDefault="002641D2" w:rsidP="00B06128">
            <w:pPr>
              <w:autoSpaceDE w:val="0"/>
              <w:autoSpaceDN w:val="0"/>
              <w:adjustRightInd w:val="0"/>
              <w:rPr>
                <w:rFonts w:ascii="Arial" w:hAnsi="Arial" w:cs="Arial"/>
                <w:sz w:val="24"/>
                <w:szCs w:val="24"/>
              </w:rPr>
            </w:pPr>
            <w:r w:rsidRPr="00FA3F9C">
              <w:rPr>
                <w:rFonts w:ascii="Arial" w:hAnsi="Arial" w:cs="Arial"/>
                <w:sz w:val="24"/>
                <w:szCs w:val="24"/>
              </w:rPr>
              <w:t>JK</w:t>
            </w:r>
          </w:p>
        </w:tc>
      </w:tr>
      <w:tr w:rsidR="002641D2" w:rsidRPr="00FA3F9C" w14:paraId="0CE7BB5C" w14:textId="77777777" w:rsidTr="00DE2298">
        <w:tc>
          <w:tcPr>
            <w:tcW w:w="1124" w:type="dxa"/>
          </w:tcPr>
          <w:p w14:paraId="580BAE64" w14:textId="77777777" w:rsidR="002641D2" w:rsidRPr="00FA3F9C" w:rsidRDefault="002641D2" w:rsidP="00B06128">
            <w:pPr>
              <w:autoSpaceDE w:val="0"/>
              <w:autoSpaceDN w:val="0"/>
              <w:adjustRightInd w:val="0"/>
              <w:rPr>
                <w:rFonts w:ascii="Arial" w:hAnsi="Arial" w:cs="Arial"/>
                <w:sz w:val="24"/>
                <w:szCs w:val="24"/>
              </w:rPr>
            </w:pPr>
            <w:r w:rsidRPr="00FA3F9C">
              <w:rPr>
                <w:rFonts w:ascii="Arial" w:hAnsi="Arial" w:cs="Arial"/>
                <w:sz w:val="24"/>
                <w:szCs w:val="24"/>
              </w:rPr>
              <w:t>12/8/2020</w:t>
            </w:r>
          </w:p>
        </w:tc>
        <w:tc>
          <w:tcPr>
            <w:tcW w:w="7871" w:type="dxa"/>
          </w:tcPr>
          <w:p w14:paraId="532E1336" w14:textId="77777777" w:rsidR="002641D2" w:rsidRPr="00FA3F9C" w:rsidRDefault="002641D2" w:rsidP="00B06128">
            <w:pPr>
              <w:autoSpaceDE w:val="0"/>
              <w:autoSpaceDN w:val="0"/>
              <w:adjustRightInd w:val="0"/>
              <w:rPr>
                <w:rFonts w:ascii="Arial" w:hAnsi="Arial" w:cs="Arial"/>
                <w:sz w:val="24"/>
                <w:szCs w:val="24"/>
              </w:rPr>
            </w:pPr>
            <w:r w:rsidRPr="00FA3F9C">
              <w:rPr>
                <w:rFonts w:ascii="Arial" w:hAnsi="Arial" w:cs="Arial"/>
                <w:sz w:val="24"/>
                <w:szCs w:val="24"/>
              </w:rPr>
              <w:t>I lowered the age for use in asthma to &gt;6y per FDA label.</w:t>
            </w:r>
          </w:p>
        </w:tc>
        <w:tc>
          <w:tcPr>
            <w:tcW w:w="1913" w:type="dxa"/>
          </w:tcPr>
          <w:p w14:paraId="29A3D323" w14:textId="00E70C1E" w:rsidR="002641D2" w:rsidRPr="00FA3F9C" w:rsidRDefault="005C142D" w:rsidP="00B06128">
            <w:pPr>
              <w:autoSpaceDE w:val="0"/>
              <w:autoSpaceDN w:val="0"/>
              <w:adjustRightInd w:val="0"/>
              <w:rPr>
                <w:rFonts w:ascii="Arial" w:hAnsi="Arial" w:cs="Arial"/>
                <w:sz w:val="24"/>
                <w:szCs w:val="24"/>
              </w:rPr>
            </w:pPr>
            <w:r w:rsidRPr="00FA3F9C">
              <w:rPr>
                <w:rFonts w:ascii="Arial" w:hAnsi="Arial" w:cs="Arial"/>
                <w:sz w:val="24"/>
                <w:szCs w:val="24"/>
              </w:rPr>
              <w:t>JJ</w:t>
            </w:r>
          </w:p>
        </w:tc>
      </w:tr>
    </w:tbl>
    <w:p w14:paraId="310B8380" w14:textId="77777777" w:rsidR="002641D2" w:rsidRPr="00FA3F9C" w:rsidRDefault="002641D2" w:rsidP="008A055E">
      <w:pPr>
        <w:rPr>
          <w:rFonts w:ascii="Arial" w:hAnsi="Arial" w:cs="Arial"/>
          <w:sz w:val="24"/>
          <w:szCs w:val="24"/>
        </w:rPr>
      </w:pPr>
    </w:p>
    <w:p w14:paraId="48113F3C" w14:textId="77777777" w:rsidR="002641D2" w:rsidRPr="00FA3F9C" w:rsidRDefault="002641D2">
      <w:pPr>
        <w:rPr>
          <w:rFonts w:ascii="Arial" w:hAnsi="Arial" w:cs="Arial"/>
          <w:bCs/>
          <w:sz w:val="24"/>
          <w:szCs w:val="24"/>
          <w:lang w:val="pt-BR"/>
        </w:rPr>
      </w:pPr>
      <w:r w:rsidRPr="00FA3F9C">
        <w:rPr>
          <w:rFonts w:ascii="Arial" w:hAnsi="Arial" w:cs="Arial"/>
          <w:b/>
          <w:sz w:val="24"/>
          <w:szCs w:val="24"/>
        </w:rPr>
        <w:tab/>
      </w:r>
      <w:r w:rsidRPr="00FA3F9C">
        <w:rPr>
          <w:rFonts w:ascii="Arial" w:hAnsi="Arial" w:cs="Arial"/>
          <w:b/>
          <w:sz w:val="24"/>
          <w:szCs w:val="24"/>
        </w:rPr>
        <w:tab/>
      </w:r>
      <w:r w:rsidRPr="00FA3F9C">
        <w:rPr>
          <w:rFonts w:ascii="Arial" w:hAnsi="Arial" w:cs="Arial"/>
          <w:b/>
          <w:sz w:val="24"/>
          <w:szCs w:val="24"/>
        </w:rPr>
        <w:tab/>
      </w:r>
      <w:r w:rsidRPr="00FA3F9C">
        <w:rPr>
          <w:rFonts w:ascii="Arial" w:hAnsi="Arial" w:cs="Arial"/>
          <w:b/>
          <w:sz w:val="24"/>
          <w:szCs w:val="24"/>
        </w:rPr>
        <w:tab/>
      </w:r>
      <w:r w:rsidRPr="00FA3F9C">
        <w:rPr>
          <w:rFonts w:ascii="Arial" w:hAnsi="Arial" w:cs="Arial"/>
          <w:b/>
          <w:sz w:val="24"/>
          <w:szCs w:val="24"/>
        </w:rPr>
        <w:tab/>
      </w:r>
      <w:r w:rsidRPr="00FA3F9C">
        <w:rPr>
          <w:rFonts w:ascii="Arial" w:hAnsi="Arial" w:cs="Arial"/>
          <w:b/>
          <w:sz w:val="24"/>
          <w:szCs w:val="24"/>
        </w:rPr>
        <w:tab/>
      </w:r>
      <w:r w:rsidRPr="00FA3F9C">
        <w:rPr>
          <w:rFonts w:ascii="Arial" w:hAnsi="Arial" w:cs="Arial"/>
          <w:b/>
          <w:sz w:val="24"/>
          <w:szCs w:val="24"/>
        </w:rPr>
        <w:tab/>
      </w:r>
      <w:r w:rsidRPr="00FA3F9C">
        <w:rPr>
          <w:rFonts w:ascii="Arial" w:hAnsi="Arial" w:cs="Arial"/>
          <w:b/>
          <w:sz w:val="24"/>
          <w:szCs w:val="24"/>
        </w:rPr>
        <w:tab/>
      </w:r>
      <w:r w:rsidRPr="00FA3F9C">
        <w:rPr>
          <w:rFonts w:ascii="Arial" w:hAnsi="Arial" w:cs="Arial"/>
          <w:b/>
          <w:sz w:val="24"/>
          <w:szCs w:val="24"/>
        </w:rPr>
        <w:tab/>
        <w:t xml:space="preserve">      </w:t>
      </w:r>
    </w:p>
    <w:p w14:paraId="4497FC5A" w14:textId="77777777" w:rsidR="00E0067F" w:rsidRDefault="002641D2" w:rsidP="00E0067F">
      <w:pPr>
        <w:pStyle w:val="Heading2"/>
        <w:rPr>
          <w:lang w:val="pt-BR"/>
        </w:rPr>
      </w:pPr>
      <w:bookmarkStart w:id="209" w:name="_Toc106369857"/>
      <w:proofErr w:type="spellStart"/>
      <w:r w:rsidRPr="00FA3F9C">
        <w:rPr>
          <w:lang w:val="pt-BR"/>
        </w:rPr>
        <w:t>Meropenem</w:t>
      </w:r>
      <w:proofErr w:type="spellEnd"/>
      <w:r w:rsidRPr="00FA3F9C">
        <w:rPr>
          <w:lang w:val="pt-BR"/>
        </w:rPr>
        <w:t>/</w:t>
      </w:r>
      <w:proofErr w:type="spellStart"/>
      <w:r w:rsidRPr="00FA3F9C">
        <w:rPr>
          <w:lang w:val="pt-BR"/>
        </w:rPr>
        <w:t>vaborbactam</w:t>
      </w:r>
      <w:proofErr w:type="spellEnd"/>
      <w:r w:rsidRPr="00FA3F9C">
        <w:rPr>
          <w:lang w:val="pt-BR"/>
        </w:rPr>
        <w:t xml:space="preserve"> (</w:t>
      </w:r>
      <w:proofErr w:type="spellStart"/>
      <w:r w:rsidRPr="00FA3F9C">
        <w:rPr>
          <w:lang w:val="pt-BR"/>
        </w:rPr>
        <w:t>Vabomere</w:t>
      </w:r>
      <w:proofErr w:type="spellEnd"/>
      <w:r w:rsidRPr="00FA3F9C">
        <w:rPr>
          <w:lang w:val="pt-BR"/>
        </w:rPr>
        <w:t>)</w:t>
      </w:r>
      <w:bookmarkEnd w:id="209"/>
      <w:r w:rsidRPr="00FA3F9C">
        <w:rPr>
          <w:lang w:val="pt-BR"/>
        </w:rPr>
        <w:t xml:space="preserve"> </w:t>
      </w:r>
    </w:p>
    <w:p w14:paraId="02426E6F" w14:textId="62ADE786" w:rsidR="002641D2" w:rsidRDefault="002641D2">
      <w:pPr>
        <w:jc w:val="center"/>
        <w:rPr>
          <w:rFonts w:ascii="Arial" w:hAnsi="Arial" w:cs="Arial"/>
          <w:b/>
          <w:sz w:val="24"/>
          <w:szCs w:val="24"/>
          <w:lang w:val="pt-BR"/>
        </w:rPr>
      </w:pPr>
      <w:r w:rsidRPr="00FA3F9C">
        <w:rPr>
          <w:rFonts w:ascii="Arial" w:hAnsi="Arial" w:cs="Arial"/>
          <w:b/>
          <w:sz w:val="24"/>
          <w:szCs w:val="24"/>
          <w:lang w:val="pt-BR"/>
        </w:rPr>
        <w:t xml:space="preserve">2g </w:t>
      </w:r>
      <w:proofErr w:type="spellStart"/>
      <w:r w:rsidRPr="00FA3F9C">
        <w:rPr>
          <w:rFonts w:ascii="Arial" w:hAnsi="Arial" w:cs="Arial"/>
          <w:b/>
          <w:sz w:val="24"/>
          <w:szCs w:val="24"/>
          <w:lang w:val="pt-BR"/>
        </w:rPr>
        <w:t>vial</w:t>
      </w:r>
      <w:proofErr w:type="spellEnd"/>
      <w:r w:rsidRPr="00FA3F9C">
        <w:rPr>
          <w:rFonts w:ascii="Arial" w:hAnsi="Arial" w:cs="Arial"/>
          <w:b/>
          <w:sz w:val="24"/>
          <w:szCs w:val="24"/>
          <w:lang w:val="pt-BR"/>
        </w:rPr>
        <w:t xml:space="preserve"> for IV</w:t>
      </w:r>
    </w:p>
    <w:p w14:paraId="5DE34A49" w14:textId="77777777" w:rsidR="002A1632" w:rsidRPr="00FA3F9C" w:rsidRDefault="002A1632" w:rsidP="002A1632">
      <w:pPr>
        <w:jc w:val="center"/>
        <w:rPr>
          <w:rFonts w:ascii="Arial" w:hAnsi="Arial" w:cs="Arial"/>
          <w:b/>
          <w:sz w:val="24"/>
          <w:szCs w:val="24"/>
          <w:lang w:val="pt-BR"/>
        </w:rPr>
      </w:pPr>
      <w:r w:rsidRPr="00FA3F9C">
        <w:rPr>
          <w:rFonts w:ascii="Arial" w:hAnsi="Arial" w:cs="Arial"/>
          <w:b/>
          <w:sz w:val="24"/>
          <w:szCs w:val="24"/>
          <w:lang w:val="pt-BR"/>
        </w:rPr>
        <w:t xml:space="preserve">EBRx PA </w:t>
      </w:r>
      <w:proofErr w:type="spellStart"/>
      <w:r w:rsidRPr="00FA3F9C">
        <w:rPr>
          <w:rFonts w:ascii="Arial" w:hAnsi="Arial" w:cs="Arial"/>
          <w:b/>
          <w:sz w:val="24"/>
          <w:szCs w:val="24"/>
          <w:lang w:val="pt-BR"/>
        </w:rPr>
        <w:t>criteria</w:t>
      </w:r>
      <w:proofErr w:type="spellEnd"/>
    </w:p>
    <w:p w14:paraId="6F95B8E6" w14:textId="77777777" w:rsidR="002A1632" w:rsidRPr="00FA3F9C" w:rsidRDefault="002A1632">
      <w:pPr>
        <w:jc w:val="center"/>
        <w:rPr>
          <w:rFonts w:ascii="Arial" w:hAnsi="Arial" w:cs="Arial"/>
          <w:b/>
          <w:sz w:val="24"/>
          <w:szCs w:val="24"/>
          <w:lang w:val="pt-BR"/>
        </w:rPr>
      </w:pPr>
    </w:p>
    <w:p w14:paraId="499349C7" w14:textId="77777777" w:rsidR="002641D2" w:rsidRPr="00FA3F9C" w:rsidRDefault="002641D2" w:rsidP="00783AA5">
      <w:pPr>
        <w:rPr>
          <w:rFonts w:ascii="Arial" w:hAnsi="Arial" w:cs="Arial"/>
          <w:b/>
          <w:sz w:val="24"/>
          <w:szCs w:val="24"/>
          <w:lang w:val="pt-BR"/>
        </w:rPr>
      </w:pPr>
    </w:p>
    <w:p w14:paraId="32822CA4" w14:textId="77777777" w:rsidR="002641D2" w:rsidRPr="00FA3F9C" w:rsidRDefault="002641D2" w:rsidP="00783AA5">
      <w:pPr>
        <w:rPr>
          <w:rFonts w:ascii="Arial" w:hAnsi="Arial" w:cs="Arial"/>
          <w:sz w:val="24"/>
          <w:szCs w:val="24"/>
          <w:lang w:val="pt-BR"/>
        </w:rPr>
      </w:pPr>
      <w:r w:rsidRPr="00FA3F9C">
        <w:rPr>
          <w:rFonts w:ascii="Arial" w:hAnsi="Arial" w:cs="Arial"/>
          <w:b/>
          <w:sz w:val="24"/>
          <w:szCs w:val="24"/>
          <w:lang w:val="pt-BR"/>
        </w:rPr>
        <w:t xml:space="preserve">Note: </w:t>
      </w:r>
      <w:proofErr w:type="spellStart"/>
      <w:r w:rsidRPr="00FA3F9C">
        <w:rPr>
          <w:rFonts w:ascii="Arial" w:hAnsi="Arial" w:cs="Arial"/>
          <w:sz w:val="24"/>
          <w:szCs w:val="24"/>
          <w:lang w:val="pt-BR"/>
        </w:rPr>
        <w:t>Vabomere</w:t>
      </w:r>
      <w:proofErr w:type="spellEnd"/>
      <w:r w:rsidRPr="00FA3F9C">
        <w:rPr>
          <w:rFonts w:ascii="Arial" w:hAnsi="Arial" w:cs="Arial"/>
          <w:sz w:val="24"/>
          <w:szCs w:val="24"/>
          <w:lang w:val="pt-BR"/>
        </w:rPr>
        <w:t xml:space="preserve"> </w:t>
      </w:r>
      <w:proofErr w:type="spellStart"/>
      <w:r w:rsidRPr="00FA3F9C">
        <w:rPr>
          <w:rFonts w:ascii="Arial" w:hAnsi="Arial" w:cs="Arial"/>
          <w:sz w:val="24"/>
          <w:szCs w:val="24"/>
          <w:lang w:val="pt-BR"/>
        </w:rPr>
        <w:t>is</w:t>
      </w:r>
      <w:proofErr w:type="spellEnd"/>
      <w:r w:rsidRPr="00FA3F9C">
        <w:rPr>
          <w:rFonts w:ascii="Arial" w:hAnsi="Arial" w:cs="Arial"/>
          <w:sz w:val="24"/>
          <w:szCs w:val="24"/>
          <w:lang w:val="pt-BR"/>
        </w:rPr>
        <w:t xml:space="preserve"> </w:t>
      </w:r>
      <w:proofErr w:type="spellStart"/>
      <w:r w:rsidRPr="00FA3F9C">
        <w:rPr>
          <w:rFonts w:ascii="Arial" w:hAnsi="Arial" w:cs="Arial"/>
          <w:b/>
          <w:sz w:val="24"/>
          <w:szCs w:val="24"/>
          <w:lang w:val="pt-BR"/>
        </w:rPr>
        <w:t>excluded</w:t>
      </w:r>
      <w:proofErr w:type="spellEnd"/>
      <w:r w:rsidRPr="00FA3F9C">
        <w:rPr>
          <w:rFonts w:ascii="Arial" w:hAnsi="Arial" w:cs="Arial"/>
          <w:sz w:val="24"/>
          <w:szCs w:val="24"/>
          <w:lang w:val="pt-BR"/>
        </w:rPr>
        <w:t xml:space="preserve"> </w:t>
      </w:r>
      <w:proofErr w:type="spellStart"/>
      <w:r w:rsidRPr="00FA3F9C">
        <w:rPr>
          <w:rFonts w:ascii="Arial" w:hAnsi="Arial" w:cs="Arial"/>
          <w:sz w:val="24"/>
          <w:szCs w:val="24"/>
          <w:lang w:val="pt-BR"/>
        </w:rPr>
        <w:t>from</w:t>
      </w:r>
      <w:proofErr w:type="spellEnd"/>
      <w:r w:rsidRPr="00FA3F9C">
        <w:rPr>
          <w:rFonts w:ascii="Arial" w:hAnsi="Arial" w:cs="Arial"/>
          <w:sz w:val="24"/>
          <w:szCs w:val="24"/>
          <w:lang w:val="pt-BR"/>
        </w:rPr>
        <w:t xml:space="preserve"> </w:t>
      </w:r>
      <w:proofErr w:type="spellStart"/>
      <w:r w:rsidRPr="00FA3F9C">
        <w:rPr>
          <w:rFonts w:ascii="Arial" w:hAnsi="Arial" w:cs="Arial"/>
          <w:b/>
          <w:sz w:val="24"/>
          <w:szCs w:val="24"/>
          <w:lang w:val="pt-BR"/>
        </w:rPr>
        <w:t>pharmacy</w:t>
      </w:r>
      <w:proofErr w:type="spellEnd"/>
      <w:r w:rsidRPr="00FA3F9C">
        <w:rPr>
          <w:rFonts w:ascii="Arial" w:hAnsi="Arial" w:cs="Arial"/>
          <w:b/>
          <w:sz w:val="24"/>
          <w:szCs w:val="24"/>
          <w:lang w:val="pt-BR"/>
        </w:rPr>
        <w:t xml:space="preserve"> </w:t>
      </w:r>
      <w:proofErr w:type="spellStart"/>
      <w:r w:rsidRPr="00FA3F9C">
        <w:rPr>
          <w:rFonts w:ascii="Arial" w:hAnsi="Arial" w:cs="Arial"/>
          <w:b/>
          <w:sz w:val="24"/>
          <w:szCs w:val="24"/>
          <w:lang w:val="pt-BR"/>
        </w:rPr>
        <w:t>benefits</w:t>
      </w:r>
      <w:proofErr w:type="spellEnd"/>
      <w:r w:rsidRPr="00FA3F9C">
        <w:rPr>
          <w:rFonts w:ascii="Arial" w:hAnsi="Arial" w:cs="Arial"/>
          <w:sz w:val="24"/>
          <w:szCs w:val="24"/>
          <w:lang w:val="pt-BR"/>
        </w:rPr>
        <w:t xml:space="preserve">. </w:t>
      </w:r>
      <w:proofErr w:type="spellStart"/>
      <w:r w:rsidRPr="00FA3F9C">
        <w:rPr>
          <w:rFonts w:ascii="Arial" w:hAnsi="Arial" w:cs="Arial"/>
          <w:sz w:val="24"/>
          <w:szCs w:val="24"/>
          <w:lang w:val="pt-BR"/>
        </w:rPr>
        <w:t>This</w:t>
      </w:r>
      <w:proofErr w:type="spellEnd"/>
      <w:r w:rsidRPr="00FA3F9C">
        <w:rPr>
          <w:rFonts w:ascii="Arial" w:hAnsi="Arial" w:cs="Arial"/>
          <w:sz w:val="24"/>
          <w:szCs w:val="24"/>
          <w:lang w:val="pt-BR"/>
        </w:rPr>
        <w:t xml:space="preserve"> </w:t>
      </w:r>
      <w:proofErr w:type="spellStart"/>
      <w:r w:rsidRPr="00FA3F9C">
        <w:rPr>
          <w:rFonts w:ascii="Arial" w:hAnsi="Arial" w:cs="Arial"/>
          <w:sz w:val="24"/>
          <w:szCs w:val="24"/>
          <w:lang w:val="pt-BR"/>
        </w:rPr>
        <w:t>is</w:t>
      </w:r>
      <w:proofErr w:type="spellEnd"/>
      <w:r w:rsidRPr="00FA3F9C">
        <w:rPr>
          <w:rFonts w:ascii="Arial" w:hAnsi="Arial" w:cs="Arial"/>
          <w:sz w:val="24"/>
          <w:szCs w:val="24"/>
          <w:lang w:val="pt-BR"/>
        </w:rPr>
        <w:t xml:space="preserve"> a </w:t>
      </w:r>
      <w:r w:rsidRPr="00FA3F9C">
        <w:rPr>
          <w:rFonts w:ascii="Arial" w:hAnsi="Arial" w:cs="Arial"/>
          <w:b/>
          <w:sz w:val="24"/>
          <w:szCs w:val="24"/>
          <w:lang w:val="pt-BR"/>
        </w:rPr>
        <w:t>MEDICAL</w:t>
      </w:r>
      <w:r w:rsidRPr="00FA3F9C">
        <w:rPr>
          <w:rFonts w:ascii="Arial" w:hAnsi="Arial" w:cs="Arial"/>
          <w:sz w:val="24"/>
          <w:szCs w:val="24"/>
          <w:lang w:val="pt-BR"/>
        </w:rPr>
        <w:t xml:space="preserve"> </w:t>
      </w:r>
      <w:r w:rsidRPr="00FA3F9C">
        <w:rPr>
          <w:rFonts w:ascii="Arial" w:hAnsi="Arial" w:cs="Arial"/>
          <w:b/>
          <w:sz w:val="24"/>
          <w:szCs w:val="24"/>
          <w:lang w:val="pt-BR"/>
        </w:rPr>
        <w:t>PA</w:t>
      </w:r>
      <w:r w:rsidRPr="00FA3F9C">
        <w:rPr>
          <w:rFonts w:ascii="Arial" w:hAnsi="Arial" w:cs="Arial"/>
          <w:sz w:val="24"/>
          <w:szCs w:val="24"/>
          <w:lang w:val="pt-BR"/>
        </w:rPr>
        <w:t xml:space="preserve"> </w:t>
      </w:r>
      <w:proofErr w:type="spellStart"/>
      <w:r w:rsidRPr="00FA3F9C">
        <w:rPr>
          <w:rFonts w:ascii="Arial" w:hAnsi="Arial" w:cs="Arial"/>
          <w:sz w:val="24"/>
          <w:szCs w:val="24"/>
          <w:lang w:val="pt-BR"/>
        </w:rPr>
        <w:t>document</w:t>
      </w:r>
      <w:proofErr w:type="spellEnd"/>
      <w:r w:rsidRPr="00FA3F9C">
        <w:rPr>
          <w:rFonts w:ascii="Arial" w:hAnsi="Arial" w:cs="Arial"/>
          <w:sz w:val="24"/>
          <w:szCs w:val="24"/>
          <w:lang w:val="pt-BR"/>
        </w:rPr>
        <w:t xml:space="preserve">. </w:t>
      </w:r>
      <w:proofErr w:type="spellStart"/>
      <w:r w:rsidRPr="00FA3F9C">
        <w:rPr>
          <w:rFonts w:ascii="Arial" w:hAnsi="Arial" w:cs="Arial"/>
          <w:sz w:val="24"/>
          <w:szCs w:val="24"/>
          <w:lang w:val="pt-BR"/>
        </w:rPr>
        <w:t>Also</w:t>
      </w:r>
      <w:proofErr w:type="spellEnd"/>
      <w:r w:rsidRPr="00FA3F9C">
        <w:rPr>
          <w:rFonts w:ascii="Arial" w:hAnsi="Arial" w:cs="Arial"/>
          <w:sz w:val="24"/>
          <w:szCs w:val="24"/>
          <w:lang w:val="pt-BR"/>
        </w:rPr>
        <w:t xml:space="preserve"> note </w:t>
      </w:r>
      <w:proofErr w:type="spellStart"/>
      <w:r w:rsidRPr="00FA3F9C">
        <w:rPr>
          <w:rFonts w:ascii="Arial" w:hAnsi="Arial" w:cs="Arial"/>
          <w:sz w:val="24"/>
          <w:szCs w:val="24"/>
          <w:lang w:val="pt-BR"/>
        </w:rPr>
        <w:t>dosing</w:t>
      </w:r>
      <w:proofErr w:type="spellEnd"/>
      <w:r w:rsidRPr="00FA3F9C">
        <w:rPr>
          <w:rFonts w:ascii="Arial" w:hAnsi="Arial" w:cs="Arial"/>
          <w:sz w:val="24"/>
          <w:szCs w:val="24"/>
          <w:lang w:val="pt-BR"/>
        </w:rPr>
        <w:t xml:space="preserve"> </w:t>
      </w:r>
      <w:proofErr w:type="spellStart"/>
      <w:r w:rsidRPr="00FA3F9C">
        <w:rPr>
          <w:rFonts w:ascii="Arial" w:hAnsi="Arial" w:cs="Arial"/>
          <w:sz w:val="24"/>
          <w:szCs w:val="24"/>
          <w:lang w:val="pt-BR"/>
        </w:rPr>
        <w:t>is</w:t>
      </w:r>
      <w:proofErr w:type="spellEnd"/>
      <w:r w:rsidRPr="00FA3F9C">
        <w:rPr>
          <w:rFonts w:ascii="Arial" w:hAnsi="Arial" w:cs="Arial"/>
          <w:sz w:val="24"/>
          <w:szCs w:val="24"/>
          <w:lang w:val="pt-BR"/>
        </w:rPr>
        <w:t xml:space="preserve"> </w:t>
      </w:r>
      <w:proofErr w:type="spellStart"/>
      <w:r w:rsidRPr="00FA3F9C">
        <w:rPr>
          <w:rFonts w:ascii="Arial" w:hAnsi="Arial" w:cs="Arial"/>
          <w:sz w:val="24"/>
          <w:szCs w:val="24"/>
          <w:lang w:val="pt-BR"/>
        </w:rPr>
        <w:t>based</w:t>
      </w:r>
      <w:proofErr w:type="spellEnd"/>
      <w:r w:rsidRPr="00FA3F9C">
        <w:rPr>
          <w:rFonts w:ascii="Arial" w:hAnsi="Arial" w:cs="Arial"/>
          <w:sz w:val="24"/>
          <w:szCs w:val="24"/>
          <w:lang w:val="pt-BR"/>
        </w:rPr>
        <w:t xml:space="preserve"> </w:t>
      </w:r>
      <w:proofErr w:type="spellStart"/>
      <w:r w:rsidRPr="00FA3F9C">
        <w:rPr>
          <w:rFonts w:ascii="Arial" w:hAnsi="Arial" w:cs="Arial"/>
          <w:sz w:val="24"/>
          <w:szCs w:val="24"/>
          <w:lang w:val="pt-BR"/>
        </w:rPr>
        <w:t>on</w:t>
      </w:r>
      <w:proofErr w:type="spellEnd"/>
      <w:r w:rsidRPr="00FA3F9C">
        <w:rPr>
          <w:rFonts w:ascii="Arial" w:hAnsi="Arial" w:cs="Arial"/>
          <w:sz w:val="24"/>
          <w:szCs w:val="24"/>
          <w:lang w:val="pt-BR"/>
        </w:rPr>
        <w:t xml:space="preserve"> </w:t>
      </w:r>
      <w:proofErr w:type="spellStart"/>
      <w:r w:rsidRPr="00FA3F9C">
        <w:rPr>
          <w:rFonts w:ascii="Arial" w:hAnsi="Arial" w:cs="Arial"/>
          <w:sz w:val="24"/>
          <w:szCs w:val="24"/>
          <w:lang w:val="pt-BR"/>
        </w:rPr>
        <w:t>components</w:t>
      </w:r>
      <w:proofErr w:type="spellEnd"/>
      <w:r w:rsidRPr="00FA3F9C">
        <w:rPr>
          <w:rFonts w:ascii="Arial" w:hAnsi="Arial" w:cs="Arial"/>
          <w:sz w:val="24"/>
          <w:szCs w:val="24"/>
          <w:lang w:val="pt-BR"/>
        </w:rPr>
        <w:t xml:space="preserve"> </w:t>
      </w:r>
      <w:proofErr w:type="spellStart"/>
      <w:r w:rsidRPr="00FA3F9C">
        <w:rPr>
          <w:rFonts w:ascii="Arial" w:hAnsi="Arial" w:cs="Arial"/>
          <w:sz w:val="24"/>
          <w:szCs w:val="24"/>
          <w:lang w:val="pt-BR"/>
        </w:rPr>
        <w:t>of</w:t>
      </w:r>
      <w:proofErr w:type="spellEnd"/>
      <w:r w:rsidRPr="00FA3F9C">
        <w:rPr>
          <w:rFonts w:ascii="Arial" w:hAnsi="Arial" w:cs="Arial"/>
          <w:sz w:val="24"/>
          <w:szCs w:val="24"/>
          <w:lang w:val="pt-BR"/>
        </w:rPr>
        <w:t xml:space="preserve"> </w:t>
      </w:r>
      <w:proofErr w:type="spellStart"/>
      <w:r w:rsidRPr="00FA3F9C">
        <w:rPr>
          <w:rFonts w:ascii="Arial" w:hAnsi="Arial" w:cs="Arial"/>
          <w:sz w:val="24"/>
          <w:szCs w:val="24"/>
          <w:lang w:val="pt-BR"/>
        </w:rPr>
        <w:t>meropenem</w:t>
      </w:r>
      <w:proofErr w:type="spellEnd"/>
      <w:r w:rsidRPr="00FA3F9C">
        <w:rPr>
          <w:rFonts w:ascii="Arial" w:hAnsi="Arial" w:cs="Arial"/>
          <w:sz w:val="24"/>
          <w:szCs w:val="24"/>
          <w:lang w:val="pt-BR"/>
        </w:rPr>
        <w:t xml:space="preserve"> + </w:t>
      </w:r>
      <w:proofErr w:type="spellStart"/>
      <w:r w:rsidRPr="00FA3F9C">
        <w:rPr>
          <w:rFonts w:ascii="Arial" w:hAnsi="Arial" w:cs="Arial"/>
          <w:sz w:val="24"/>
          <w:szCs w:val="24"/>
          <w:lang w:val="pt-BR"/>
        </w:rPr>
        <w:t>vaborbactam</w:t>
      </w:r>
      <w:proofErr w:type="spellEnd"/>
      <w:r w:rsidRPr="00FA3F9C">
        <w:rPr>
          <w:rFonts w:ascii="Arial" w:hAnsi="Arial" w:cs="Arial"/>
          <w:sz w:val="24"/>
          <w:szCs w:val="24"/>
          <w:lang w:val="pt-BR"/>
        </w:rPr>
        <w:t>. (</w:t>
      </w:r>
      <w:proofErr w:type="spellStart"/>
      <w:r w:rsidRPr="00FA3F9C">
        <w:rPr>
          <w:rFonts w:ascii="Arial" w:hAnsi="Arial" w:cs="Arial"/>
          <w:sz w:val="24"/>
          <w:szCs w:val="24"/>
          <w:lang w:val="pt-BR"/>
        </w:rPr>
        <w:t>Vabomere</w:t>
      </w:r>
      <w:proofErr w:type="spellEnd"/>
      <w:r w:rsidRPr="00FA3F9C">
        <w:rPr>
          <w:rFonts w:ascii="Arial" w:hAnsi="Arial" w:cs="Arial"/>
          <w:sz w:val="24"/>
          <w:szCs w:val="24"/>
          <w:lang w:val="pt-BR"/>
        </w:rPr>
        <w:t xml:space="preserve"> 4 </w:t>
      </w:r>
      <w:proofErr w:type="spellStart"/>
      <w:r w:rsidRPr="00FA3F9C">
        <w:rPr>
          <w:rFonts w:ascii="Arial" w:hAnsi="Arial" w:cs="Arial"/>
          <w:sz w:val="24"/>
          <w:szCs w:val="24"/>
          <w:lang w:val="pt-BR"/>
        </w:rPr>
        <w:t>grams</w:t>
      </w:r>
      <w:proofErr w:type="spellEnd"/>
      <w:r w:rsidRPr="00FA3F9C">
        <w:rPr>
          <w:rFonts w:ascii="Arial" w:hAnsi="Arial" w:cs="Arial"/>
          <w:sz w:val="24"/>
          <w:szCs w:val="24"/>
          <w:lang w:val="pt-BR"/>
        </w:rPr>
        <w:t xml:space="preserve"> = 2 </w:t>
      </w:r>
      <w:proofErr w:type="spellStart"/>
      <w:r w:rsidRPr="00FA3F9C">
        <w:rPr>
          <w:rFonts w:ascii="Arial" w:hAnsi="Arial" w:cs="Arial"/>
          <w:sz w:val="24"/>
          <w:szCs w:val="24"/>
          <w:lang w:val="pt-BR"/>
        </w:rPr>
        <w:t>grams</w:t>
      </w:r>
      <w:proofErr w:type="spellEnd"/>
      <w:r w:rsidRPr="00FA3F9C">
        <w:rPr>
          <w:rFonts w:ascii="Arial" w:hAnsi="Arial" w:cs="Arial"/>
          <w:sz w:val="24"/>
          <w:szCs w:val="24"/>
          <w:lang w:val="pt-BR"/>
        </w:rPr>
        <w:t xml:space="preserve"> mero + 2 </w:t>
      </w:r>
      <w:proofErr w:type="spellStart"/>
      <w:r w:rsidRPr="00FA3F9C">
        <w:rPr>
          <w:rFonts w:ascii="Arial" w:hAnsi="Arial" w:cs="Arial"/>
          <w:sz w:val="24"/>
          <w:szCs w:val="24"/>
          <w:lang w:val="pt-BR"/>
        </w:rPr>
        <w:t>grams</w:t>
      </w:r>
      <w:proofErr w:type="spellEnd"/>
      <w:r w:rsidRPr="00FA3F9C">
        <w:rPr>
          <w:rFonts w:ascii="Arial" w:hAnsi="Arial" w:cs="Arial"/>
          <w:sz w:val="24"/>
          <w:szCs w:val="24"/>
          <w:lang w:val="pt-BR"/>
        </w:rPr>
        <w:t xml:space="preserve"> </w:t>
      </w:r>
      <w:proofErr w:type="spellStart"/>
      <w:r w:rsidRPr="00FA3F9C">
        <w:rPr>
          <w:rFonts w:ascii="Arial" w:hAnsi="Arial" w:cs="Arial"/>
          <w:sz w:val="24"/>
          <w:szCs w:val="24"/>
          <w:lang w:val="pt-BR"/>
        </w:rPr>
        <w:t>vaborbactam</w:t>
      </w:r>
      <w:proofErr w:type="spellEnd"/>
      <w:r w:rsidRPr="00FA3F9C">
        <w:rPr>
          <w:rFonts w:ascii="Arial" w:hAnsi="Arial" w:cs="Arial"/>
          <w:sz w:val="24"/>
          <w:szCs w:val="24"/>
          <w:lang w:val="pt-BR"/>
        </w:rPr>
        <w:t>).</w:t>
      </w:r>
    </w:p>
    <w:p w14:paraId="46F755C9" w14:textId="77777777" w:rsidR="002641D2" w:rsidRPr="00FA3F9C" w:rsidRDefault="002641D2" w:rsidP="00713073">
      <w:pPr>
        <w:rPr>
          <w:rFonts w:ascii="Arial" w:hAnsi="Arial" w:cs="Arial"/>
          <w:sz w:val="24"/>
          <w:szCs w:val="24"/>
        </w:rPr>
      </w:pPr>
    </w:p>
    <w:p w14:paraId="19A2E16E" w14:textId="77777777" w:rsidR="002641D2" w:rsidRPr="00FA3F9C" w:rsidRDefault="002641D2" w:rsidP="00713073">
      <w:pPr>
        <w:rPr>
          <w:rFonts w:ascii="Arial" w:hAnsi="Arial" w:cs="Arial"/>
          <w:sz w:val="24"/>
          <w:szCs w:val="24"/>
        </w:rPr>
      </w:pPr>
      <w:r w:rsidRPr="00FA3F9C">
        <w:rPr>
          <w:rFonts w:ascii="Arial" w:hAnsi="Arial" w:cs="Arial"/>
          <w:sz w:val="24"/>
          <w:szCs w:val="24"/>
        </w:rPr>
        <w:t>FDA approved:  complicated UTI including pyelonephritis in pts 18+ (12/8/17)</w:t>
      </w:r>
    </w:p>
    <w:p w14:paraId="18AEF189" w14:textId="77777777" w:rsidR="002641D2" w:rsidRPr="00FA3F9C" w:rsidRDefault="002641D2" w:rsidP="00713073">
      <w:pPr>
        <w:rPr>
          <w:rFonts w:ascii="Arial" w:hAnsi="Arial" w:cs="Arial"/>
          <w:sz w:val="24"/>
          <w:szCs w:val="24"/>
        </w:rPr>
      </w:pPr>
    </w:p>
    <w:p w14:paraId="0A74CD92" w14:textId="77777777" w:rsidR="002641D2" w:rsidRPr="00FA3F9C" w:rsidRDefault="002641D2" w:rsidP="00A05413">
      <w:pPr>
        <w:rPr>
          <w:rFonts w:ascii="Arial" w:hAnsi="Arial" w:cs="Arial"/>
          <w:sz w:val="24"/>
          <w:szCs w:val="24"/>
        </w:rPr>
      </w:pPr>
      <w:r w:rsidRPr="00FA3F9C">
        <w:rPr>
          <w:rFonts w:ascii="Arial" w:hAnsi="Arial" w:cs="Arial"/>
          <w:sz w:val="24"/>
          <w:szCs w:val="24"/>
        </w:rPr>
        <w:t xml:space="preserve">Dosing: </w:t>
      </w:r>
    </w:p>
    <w:p w14:paraId="3DFF0160" w14:textId="77777777" w:rsidR="002641D2" w:rsidRPr="00FA3F9C" w:rsidRDefault="002641D2" w:rsidP="002641D2">
      <w:pPr>
        <w:pStyle w:val="ListParagraph"/>
        <w:numPr>
          <w:ilvl w:val="0"/>
          <w:numId w:val="333"/>
        </w:numPr>
        <w:spacing w:after="0" w:line="240" w:lineRule="auto"/>
        <w:rPr>
          <w:rFonts w:ascii="Arial" w:hAnsi="Arial" w:cs="Arial"/>
          <w:sz w:val="24"/>
          <w:szCs w:val="24"/>
        </w:rPr>
      </w:pPr>
      <w:r w:rsidRPr="00FA3F9C">
        <w:rPr>
          <w:rFonts w:ascii="Arial" w:hAnsi="Arial" w:cs="Arial"/>
          <w:b/>
          <w:sz w:val="24"/>
          <w:szCs w:val="24"/>
        </w:rPr>
        <w:t>4 grams</w:t>
      </w:r>
      <w:r w:rsidRPr="00FA3F9C">
        <w:rPr>
          <w:rFonts w:ascii="Arial" w:hAnsi="Arial" w:cs="Arial"/>
          <w:sz w:val="24"/>
          <w:szCs w:val="24"/>
        </w:rPr>
        <w:t xml:space="preserve"> (meropenem 2 grams and </w:t>
      </w:r>
      <w:proofErr w:type="spellStart"/>
      <w:r w:rsidRPr="00FA3F9C">
        <w:rPr>
          <w:rFonts w:ascii="Arial" w:hAnsi="Arial" w:cs="Arial"/>
          <w:sz w:val="24"/>
          <w:szCs w:val="24"/>
        </w:rPr>
        <w:t>vaborbactam</w:t>
      </w:r>
      <w:proofErr w:type="spellEnd"/>
      <w:r w:rsidRPr="00FA3F9C">
        <w:rPr>
          <w:rFonts w:ascii="Arial" w:hAnsi="Arial" w:cs="Arial"/>
          <w:sz w:val="24"/>
          <w:szCs w:val="24"/>
        </w:rPr>
        <w:t xml:space="preserve"> 2 grams) </w:t>
      </w:r>
      <w:r w:rsidRPr="00FA3F9C">
        <w:rPr>
          <w:rFonts w:ascii="Arial" w:hAnsi="Arial" w:cs="Arial"/>
          <w:b/>
          <w:sz w:val="24"/>
          <w:szCs w:val="24"/>
        </w:rPr>
        <w:t>q8h (for pts with eGFR ≥ 50 mL/min/1.73m</w:t>
      </w:r>
      <w:r w:rsidRPr="00FA3F9C">
        <w:rPr>
          <w:rFonts w:ascii="Arial" w:hAnsi="Arial" w:cs="Arial"/>
          <w:b/>
          <w:sz w:val="24"/>
          <w:szCs w:val="24"/>
          <w:vertAlign w:val="superscript"/>
        </w:rPr>
        <w:t>2</w:t>
      </w:r>
      <w:r w:rsidRPr="00FA3F9C">
        <w:rPr>
          <w:rFonts w:ascii="Arial" w:hAnsi="Arial" w:cs="Arial"/>
          <w:b/>
          <w:sz w:val="24"/>
          <w:szCs w:val="24"/>
        </w:rPr>
        <w:t>)</w:t>
      </w:r>
      <w:r w:rsidRPr="00FA3F9C">
        <w:rPr>
          <w:rFonts w:ascii="Arial" w:hAnsi="Arial" w:cs="Arial"/>
          <w:sz w:val="24"/>
          <w:szCs w:val="24"/>
        </w:rPr>
        <w:t xml:space="preserve"> by IV infusion over 3 hours for </w:t>
      </w:r>
      <w:r w:rsidRPr="00FA3F9C">
        <w:rPr>
          <w:rFonts w:ascii="Arial" w:hAnsi="Arial" w:cs="Arial"/>
          <w:b/>
          <w:sz w:val="24"/>
          <w:szCs w:val="24"/>
        </w:rPr>
        <w:t>up to 14 days.</w:t>
      </w:r>
    </w:p>
    <w:p w14:paraId="7AE4A793" w14:textId="77777777" w:rsidR="002641D2" w:rsidRPr="00FA3F9C" w:rsidRDefault="002641D2" w:rsidP="002641D2">
      <w:pPr>
        <w:pStyle w:val="ListParagraph"/>
        <w:numPr>
          <w:ilvl w:val="0"/>
          <w:numId w:val="333"/>
        </w:numPr>
        <w:spacing w:after="0" w:line="240" w:lineRule="auto"/>
        <w:rPr>
          <w:rFonts w:ascii="Arial" w:hAnsi="Arial" w:cs="Arial"/>
          <w:b/>
          <w:sz w:val="24"/>
          <w:szCs w:val="24"/>
        </w:rPr>
      </w:pPr>
      <w:r w:rsidRPr="00FA3F9C">
        <w:rPr>
          <w:rFonts w:ascii="Arial" w:hAnsi="Arial" w:cs="Arial"/>
          <w:b/>
          <w:sz w:val="24"/>
          <w:szCs w:val="24"/>
        </w:rPr>
        <w:lastRenderedPageBreak/>
        <w:t>Renal Adjustment:</w:t>
      </w:r>
    </w:p>
    <w:p w14:paraId="30FD9B3A" w14:textId="77777777" w:rsidR="002641D2" w:rsidRPr="00FA3F9C" w:rsidRDefault="002641D2">
      <w:pPr>
        <w:rPr>
          <w:rFonts w:ascii="Arial" w:hAnsi="Arial" w:cs="Arial"/>
          <w:sz w:val="24"/>
          <w:szCs w:val="24"/>
        </w:rPr>
      </w:pPr>
      <w:r w:rsidRPr="00FA3F9C">
        <w:rPr>
          <w:rFonts w:ascii="Arial" w:hAnsi="Arial" w:cs="Arial"/>
          <w:noProof/>
          <w:sz w:val="24"/>
          <w:szCs w:val="24"/>
        </w:rPr>
        <w:drawing>
          <wp:anchor distT="0" distB="0" distL="114300" distR="114300" simplePos="0" relativeHeight="251679744" behindDoc="0" locked="0" layoutInCell="1" allowOverlap="1" wp14:anchorId="0EDA9975" wp14:editId="733DC6C9">
            <wp:simplePos x="0" y="0"/>
            <wp:positionH relativeFrom="column">
              <wp:posOffset>1657350</wp:posOffset>
            </wp:positionH>
            <wp:positionV relativeFrom="paragraph">
              <wp:posOffset>10795</wp:posOffset>
            </wp:positionV>
            <wp:extent cx="4495800" cy="1326515"/>
            <wp:effectExtent l="0" t="0" r="0" b="698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4">
                      <a:extLst>
                        <a:ext uri="{28A0092B-C50C-407E-A947-70E740481C1C}">
                          <a14:useLocalDpi xmlns:a14="http://schemas.microsoft.com/office/drawing/2010/main" val="0"/>
                        </a:ext>
                      </a:extLst>
                    </a:blip>
                    <a:stretch>
                      <a:fillRect/>
                    </a:stretch>
                  </pic:blipFill>
                  <pic:spPr>
                    <a:xfrm>
                      <a:off x="0" y="0"/>
                      <a:ext cx="4495800" cy="1326515"/>
                    </a:xfrm>
                    <a:prstGeom prst="rect">
                      <a:avLst/>
                    </a:prstGeom>
                  </pic:spPr>
                </pic:pic>
              </a:graphicData>
            </a:graphic>
            <wp14:sizeRelH relativeFrom="margin">
              <wp14:pctWidth>0</wp14:pctWidth>
            </wp14:sizeRelH>
          </wp:anchor>
        </w:drawing>
      </w:r>
    </w:p>
    <w:p w14:paraId="0C38DE69" w14:textId="77777777" w:rsidR="002641D2" w:rsidRPr="00FA3F9C" w:rsidRDefault="002641D2">
      <w:pPr>
        <w:rPr>
          <w:rFonts w:ascii="Arial" w:hAnsi="Arial" w:cs="Arial"/>
          <w:sz w:val="24"/>
          <w:szCs w:val="24"/>
        </w:rPr>
      </w:pPr>
    </w:p>
    <w:p w14:paraId="7CB9098E" w14:textId="77777777" w:rsidR="002641D2" w:rsidRPr="00FA3F9C" w:rsidRDefault="002641D2">
      <w:pPr>
        <w:rPr>
          <w:rFonts w:ascii="Arial" w:hAnsi="Arial" w:cs="Arial"/>
          <w:sz w:val="24"/>
          <w:szCs w:val="24"/>
        </w:rPr>
      </w:pPr>
    </w:p>
    <w:p w14:paraId="61B07B41" w14:textId="77777777" w:rsidR="002641D2" w:rsidRPr="00FA3F9C" w:rsidRDefault="002641D2">
      <w:pPr>
        <w:rPr>
          <w:rFonts w:ascii="Arial" w:hAnsi="Arial" w:cs="Arial"/>
          <w:sz w:val="24"/>
          <w:szCs w:val="24"/>
        </w:rPr>
      </w:pPr>
    </w:p>
    <w:p w14:paraId="4A755164" w14:textId="77777777" w:rsidR="002641D2" w:rsidRPr="00FA3F9C" w:rsidRDefault="002641D2">
      <w:pPr>
        <w:rPr>
          <w:rFonts w:ascii="Arial" w:hAnsi="Arial" w:cs="Arial"/>
          <w:sz w:val="24"/>
          <w:szCs w:val="24"/>
        </w:rPr>
      </w:pPr>
    </w:p>
    <w:p w14:paraId="11C04EEF" w14:textId="77777777" w:rsidR="002641D2" w:rsidRPr="00FA3F9C" w:rsidRDefault="002641D2">
      <w:pPr>
        <w:rPr>
          <w:rFonts w:ascii="Arial" w:hAnsi="Arial" w:cs="Arial"/>
          <w:sz w:val="24"/>
          <w:szCs w:val="24"/>
        </w:rPr>
      </w:pPr>
    </w:p>
    <w:p w14:paraId="19A0E5FE" w14:textId="77777777" w:rsidR="002641D2" w:rsidRPr="00FA3F9C" w:rsidRDefault="002641D2">
      <w:pPr>
        <w:rPr>
          <w:rFonts w:ascii="Arial" w:hAnsi="Arial" w:cs="Arial"/>
          <w:sz w:val="24"/>
          <w:szCs w:val="24"/>
        </w:rPr>
      </w:pPr>
    </w:p>
    <w:p w14:paraId="4CA3F978" w14:textId="77777777" w:rsidR="002641D2" w:rsidRPr="00FA3F9C" w:rsidRDefault="002641D2">
      <w:pPr>
        <w:rPr>
          <w:rFonts w:ascii="Arial" w:hAnsi="Arial" w:cs="Arial"/>
          <w:sz w:val="24"/>
          <w:szCs w:val="24"/>
        </w:rPr>
      </w:pPr>
    </w:p>
    <w:tbl>
      <w:tblPr>
        <w:tblW w:w="108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0871"/>
      </w:tblGrid>
      <w:tr w:rsidR="002641D2" w:rsidRPr="00FA3F9C" w14:paraId="0CD586BD" w14:textId="77777777" w:rsidTr="00D02527">
        <w:trPr>
          <w:trHeight w:val="323"/>
        </w:trPr>
        <w:tc>
          <w:tcPr>
            <w:tcW w:w="10871" w:type="dxa"/>
            <w:shd w:val="solid" w:color="000000" w:fill="FFFFFF"/>
          </w:tcPr>
          <w:p w14:paraId="49A65346" w14:textId="77777777" w:rsidR="002641D2" w:rsidRPr="00FA3F9C" w:rsidRDefault="002641D2">
            <w:pPr>
              <w:rPr>
                <w:rFonts w:ascii="Arial" w:hAnsi="Arial" w:cs="Arial"/>
                <w:b/>
                <w:bCs/>
                <w:sz w:val="24"/>
                <w:szCs w:val="24"/>
              </w:rPr>
            </w:pPr>
            <w:r w:rsidRPr="00FA3F9C">
              <w:rPr>
                <w:rFonts w:ascii="Arial" w:hAnsi="Arial" w:cs="Arial"/>
                <w:b/>
                <w:bCs/>
                <w:sz w:val="24"/>
                <w:szCs w:val="24"/>
              </w:rPr>
              <w:t>PA Coverage Criteria:</w:t>
            </w:r>
          </w:p>
        </w:tc>
      </w:tr>
      <w:tr w:rsidR="002641D2" w:rsidRPr="00FA3F9C" w14:paraId="3152E318" w14:textId="77777777" w:rsidTr="00D02527">
        <w:trPr>
          <w:trHeight w:val="1232"/>
        </w:trPr>
        <w:tc>
          <w:tcPr>
            <w:tcW w:w="10871" w:type="dxa"/>
            <w:shd w:val="clear" w:color="auto" w:fill="auto"/>
          </w:tcPr>
          <w:p w14:paraId="769EC01F" w14:textId="77777777" w:rsidR="002641D2" w:rsidRPr="00FA3F9C" w:rsidRDefault="002641D2" w:rsidP="00A05413">
            <w:pPr>
              <w:rPr>
                <w:rFonts w:ascii="Arial" w:hAnsi="Arial" w:cs="Arial"/>
                <w:b/>
                <w:sz w:val="24"/>
                <w:szCs w:val="24"/>
              </w:rPr>
            </w:pPr>
            <w:r w:rsidRPr="00FA3F9C">
              <w:rPr>
                <w:rFonts w:ascii="Arial" w:hAnsi="Arial" w:cs="Arial"/>
                <w:b/>
                <w:sz w:val="24"/>
                <w:szCs w:val="24"/>
              </w:rPr>
              <w:t>1)</w:t>
            </w:r>
          </w:p>
          <w:p w14:paraId="433D5FB2" w14:textId="77777777" w:rsidR="002641D2" w:rsidRPr="00FA3F9C" w:rsidRDefault="002641D2" w:rsidP="002641D2">
            <w:pPr>
              <w:numPr>
                <w:ilvl w:val="0"/>
                <w:numId w:val="331"/>
              </w:numPr>
              <w:spacing w:after="0" w:line="240" w:lineRule="auto"/>
              <w:ind w:left="270" w:hanging="270"/>
              <w:rPr>
                <w:rFonts w:ascii="Arial" w:hAnsi="Arial" w:cs="Arial"/>
                <w:sz w:val="24"/>
                <w:szCs w:val="24"/>
              </w:rPr>
            </w:pPr>
            <w:r w:rsidRPr="00FA3F9C">
              <w:rPr>
                <w:rFonts w:ascii="Arial" w:hAnsi="Arial" w:cs="Arial"/>
                <w:sz w:val="24"/>
                <w:szCs w:val="24"/>
              </w:rPr>
              <w:t xml:space="preserve">The patient must have a diagnosis of complicated bacterial UTI or pyelonephritis caused by a </w:t>
            </w:r>
            <w:proofErr w:type="gramStart"/>
            <w:r w:rsidRPr="00FA3F9C">
              <w:rPr>
                <w:rFonts w:ascii="Arial" w:hAnsi="Arial" w:cs="Arial"/>
                <w:sz w:val="24"/>
                <w:szCs w:val="24"/>
              </w:rPr>
              <w:t>bacteria</w:t>
            </w:r>
            <w:proofErr w:type="gramEnd"/>
            <w:r w:rsidRPr="00FA3F9C">
              <w:rPr>
                <w:rFonts w:ascii="Arial" w:hAnsi="Arial" w:cs="Arial"/>
                <w:sz w:val="24"/>
                <w:szCs w:val="24"/>
              </w:rPr>
              <w:t xml:space="preserve"> susceptible to </w:t>
            </w:r>
            <w:proofErr w:type="spellStart"/>
            <w:r w:rsidRPr="00FA3F9C">
              <w:rPr>
                <w:rFonts w:ascii="Arial" w:hAnsi="Arial" w:cs="Arial"/>
                <w:sz w:val="24"/>
                <w:szCs w:val="24"/>
              </w:rPr>
              <w:t>Vabomere</w:t>
            </w:r>
            <w:proofErr w:type="spellEnd"/>
            <w:r w:rsidRPr="00FA3F9C">
              <w:rPr>
                <w:rFonts w:ascii="Arial" w:hAnsi="Arial" w:cs="Arial"/>
                <w:sz w:val="24"/>
                <w:szCs w:val="24"/>
              </w:rPr>
              <w:t xml:space="preserve"> AND</w:t>
            </w:r>
          </w:p>
          <w:p w14:paraId="248D0203" w14:textId="77777777" w:rsidR="002641D2" w:rsidRPr="00FA3F9C" w:rsidRDefault="002641D2" w:rsidP="002641D2">
            <w:pPr>
              <w:numPr>
                <w:ilvl w:val="0"/>
                <w:numId w:val="331"/>
              </w:numPr>
              <w:spacing w:after="0" w:line="240" w:lineRule="auto"/>
              <w:ind w:left="270" w:hanging="270"/>
              <w:rPr>
                <w:rFonts w:ascii="Arial" w:hAnsi="Arial" w:cs="Arial"/>
                <w:sz w:val="24"/>
                <w:szCs w:val="24"/>
              </w:rPr>
            </w:pPr>
            <w:r w:rsidRPr="00FA3F9C">
              <w:rPr>
                <w:rFonts w:ascii="Arial" w:hAnsi="Arial" w:cs="Arial"/>
                <w:sz w:val="24"/>
                <w:szCs w:val="24"/>
              </w:rPr>
              <w:t xml:space="preserve">The bacteria must be an Enterobacteriaceae in the presence of </w:t>
            </w:r>
            <w:proofErr w:type="spellStart"/>
            <w:r w:rsidRPr="00FA3F9C">
              <w:rPr>
                <w:rFonts w:ascii="Arial" w:hAnsi="Arial" w:cs="Arial"/>
                <w:sz w:val="24"/>
                <w:szCs w:val="24"/>
              </w:rPr>
              <w:t>betalactamases</w:t>
            </w:r>
            <w:proofErr w:type="spellEnd"/>
            <w:r w:rsidRPr="00FA3F9C">
              <w:rPr>
                <w:rFonts w:ascii="Arial" w:hAnsi="Arial" w:cs="Arial"/>
                <w:sz w:val="24"/>
                <w:szCs w:val="24"/>
              </w:rPr>
              <w:t>/extended spectrum beta-</w:t>
            </w:r>
            <w:proofErr w:type="spellStart"/>
            <w:r w:rsidRPr="00FA3F9C">
              <w:rPr>
                <w:rFonts w:ascii="Arial" w:hAnsi="Arial" w:cs="Arial"/>
                <w:sz w:val="24"/>
                <w:szCs w:val="24"/>
              </w:rPr>
              <w:t>lactamses</w:t>
            </w:r>
            <w:proofErr w:type="spellEnd"/>
            <w:r w:rsidRPr="00FA3F9C">
              <w:rPr>
                <w:rFonts w:ascii="Arial" w:hAnsi="Arial" w:cs="Arial"/>
                <w:sz w:val="24"/>
                <w:szCs w:val="24"/>
              </w:rPr>
              <w:t xml:space="preserve"> (ESBL) of the following groups: KPC, SME, TEM, SHV, CTX-M, CMY, or ACT. AND</w:t>
            </w:r>
          </w:p>
          <w:p w14:paraId="5092F878" w14:textId="77777777" w:rsidR="002641D2" w:rsidRPr="00FA3F9C" w:rsidRDefault="002641D2" w:rsidP="002641D2">
            <w:pPr>
              <w:numPr>
                <w:ilvl w:val="0"/>
                <w:numId w:val="331"/>
              </w:numPr>
              <w:spacing w:after="0" w:line="240" w:lineRule="auto"/>
              <w:ind w:left="270" w:hanging="270"/>
              <w:rPr>
                <w:rFonts w:ascii="Arial" w:hAnsi="Arial" w:cs="Arial"/>
                <w:sz w:val="24"/>
                <w:szCs w:val="24"/>
              </w:rPr>
            </w:pPr>
            <w:r w:rsidRPr="00FA3F9C">
              <w:rPr>
                <w:rFonts w:ascii="Arial" w:hAnsi="Arial" w:cs="Arial"/>
                <w:sz w:val="24"/>
                <w:szCs w:val="24"/>
              </w:rPr>
              <w:t xml:space="preserve"> The patient must have failed a trial of, be intolerant to, or the bacteria shown resistance to pip/</w:t>
            </w:r>
            <w:proofErr w:type="spellStart"/>
            <w:r w:rsidRPr="00FA3F9C">
              <w:rPr>
                <w:rFonts w:ascii="Arial" w:hAnsi="Arial" w:cs="Arial"/>
                <w:sz w:val="24"/>
                <w:szCs w:val="24"/>
              </w:rPr>
              <w:t>tazo</w:t>
            </w:r>
            <w:proofErr w:type="spellEnd"/>
            <w:r w:rsidRPr="00FA3F9C">
              <w:rPr>
                <w:rFonts w:ascii="Arial" w:hAnsi="Arial" w:cs="Arial"/>
                <w:sz w:val="24"/>
                <w:szCs w:val="24"/>
              </w:rPr>
              <w:t xml:space="preserve"> (Zosyn) or meropenem.</w:t>
            </w:r>
          </w:p>
        </w:tc>
      </w:tr>
      <w:tr w:rsidR="002641D2" w:rsidRPr="00FA3F9C" w14:paraId="2817D71E" w14:textId="77777777" w:rsidTr="00D02527">
        <w:trPr>
          <w:trHeight w:val="279"/>
        </w:trPr>
        <w:tc>
          <w:tcPr>
            <w:tcW w:w="10871" w:type="dxa"/>
            <w:tcBorders>
              <w:top w:val="single" w:sz="24" w:space="0" w:color="000000"/>
              <w:left w:val="single" w:sz="24" w:space="0" w:color="000000"/>
              <w:bottom w:val="single" w:sz="24" w:space="0" w:color="000000"/>
              <w:right w:val="single" w:sz="24" w:space="0" w:color="000000"/>
            </w:tcBorders>
            <w:shd w:val="clear" w:color="auto" w:fill="auto"/>
          </w:tcPr>
          <w:p w14:paraId="53DEDED8" w14:textId="77777777" w:rsidR="002641D2" w:rsidRPr="00FA3F9C" w:rsidRDefault="002641D2">
            <w:pPr>
              <w:rPr>
                <w:rFonts w:ascii="Arial" w:hAnsi="Arial" w:cs="Arial"/>
                <w:b/>
                <w:sz w:val="24"/>
                <w:szCs w:val="24"/>
              </w:rPr>
            </w:pPr>
            <w:r w:rsidRPr="00FA3F9C">
              <w:rPr>
                <w:rFonts w:ascii="Arial" w:hAnsi="Arial" w:cs="Arial"/>
                <w:b/>
                <w:sz w:val="24"/>
                <w:szCs w:val="24"/>
              </w:rPr>
              <w:t>OR</w:t>
            </w:r>
          </w:p>
        </w:tc>
      </w:tr>
      <w:tr w:rsidR="002641D2" w:rsidRPr="00FA3F9C" w14:paraId="5351D2C5" w14:textId="77777777" w:rsidTr="00D02527">
        <w:trPr>
          <w:trHeight w:val="1152"/>
        </w:trPr>
        <w:tc>
          <w:tcPr>
            <w:tcW w:w="10871" w:type="dxa"/>
            <w:tcBorders>
              <w:top w:val="single" w:sz="24" w:space="0" w:color="000000"/>
              <w:bottom w:val="single" w:sz="24" w:space="0" w:color="000000"/>
            </w:tcBorders>
            <w:shd w:val="clear" w:color="auto" w:fill="auto"/>
          </w:tcPr>
          <w:p w14:paraId="35A45ACA" w14:textId="77777777" w:rsidR="002641D2" w:rsidRPr="00FA3F9C" w:rsidRDefault="002641D2" w:rsidP="00A05413">
            <w:pPr>
              <w:rPr>
                <w:rFonts w:ascii="Arial" w:hAnsi="Arial" w:cs="Arial"/>
                <w:b/>
                <w:sz w:val="24"/>
                <w:szCs w:val="24"/>
              </w:rPr>
            </w:pPr>
            <w:r w:rsidRPr="00FA3F9C">
              <w:rPr>
                <w:rFonts w:ascii="Arial" w:hAnsi="Arial" w:cs="Arial"/>
                <w:b/>
                <w:sz w:val="24"/>
                <w:szCs w:val="24"/>
              </w:rPr>
              <w:t>2)</w:t>
            </w:r>
          </w:p>
          <w:p w14:paraId="7D3BB665" w14:textId="77777777" w:rsidR="002641D2" w:rsidRPr="00FA3F9C" w:rsidRDefault="002641D2" w:rsidP="002641D2">
            <w:pPr>
              <w:numPr>
                <w:ilvl w:val="0"/>
                <w:numId w:val="332"/>
              </w:numPr>
              <w:spacing w:after="0" w:line="240" w:lineRule="auto"/>
              <w:ind w:left="270" w:hanging="270"/>
              <w:rPr>
                <w:rFonts w:ascii="Arial" w:hAnsi="Arial" w:cs="Arial"/>
                <w:sz w:val="24"/>
                <w:szCs w:val="24"/>
              </w:rPr>
            </w:pPr>
            <w:r w:rsidRPr="00FA3F9C">
              <w:rPr>
                <w:rFonts w:ascii="Arial" w:hAnsi="Arial" w:cs="Arial"/>
                <w:sz w:val="24"/>
                <w:szCs w:val="24"/>
              </w:rPr>
              <w:t xml:space="preserve">The patient must have a diagnosis of complicated bacterial UTI or pyelonephritis caused by a </w:t>
            </w:r>
            <w:proofErr w:type="gramStart"/>
            <w:r w:rsidRPr="00FA3F9C">
              <w:rPr>
                <w:rFonts w:ascii="Arial" w:hAnsi="Arial" w:cs="Arial"/>
                <w:sz w:val="24"/>
                <w:szCs w:val="24"/>
              </w:rPr>
              <w:t>bacteria</w:t>
            </w:r>
            <w:proofErr w:type="gramEnd"/>
            <w:r w:rsidRPr="00FA3F9C">
              <w:rPr>
                <w:rFonts w:ascii="Arial" w:hAnsi="Arial" w:cs="Arial"/>
                <w:sz w:val="24"/>
                <w:szCs w:val="24"/>
              </w:rPr>
              <w:t xml:space="preserve"> susceptible to </w:t>
            </w:r>
            <w:proofErr w:type="spellStart"/>
            <w:r w:rsidRPr="00FA3F9C">
              <w:rPr>
                <w:rFonts w:ascii="Arial" w:hAnsi="Arial" w:cs="Arial"/>
                <w:sz w:val="24"/>
                <w:szCs w:val="24"/>
              </w:rPr>
              <w:t>Vabomere</w:t>
            </w:r>
            <w:proofErr w:type="spellEnd"/>
            <w:r w:rsidRPr="00FA3F9C">
              <w:rPr>
                <w:rFonts w:ascii="Arial" w:hAnsi="Arial" w:cs="Arial"/>
                <w:sz w:val="24"/>
                <w:szCs w:val="24"/>
              </w:rPr>
              <w:t xml:space="preserve"> AND</w:t>
            </w:r>
          </w:p>
          <w:p w14:paraId="76D137AD" w14:textId="77777777" w:rsidR="002641D2" w:rsidRPr="00FA3F9C" w:rsidRDefault="002641D2" w:rsidP="002641D2">
            <w:pPr>
              <w:numPr>
                <w:ilvl w:val="0"/>
                <w:numId w:val="332"/>
              </w:numPr>
              <w:spacing w:after="0" w:line="240" w:lineRule="auto"/>
              <w:ind w:left="270" w:hanging="270"/>
              <w:rPr>
                <w:rFonts w:ascii="Arial" w:hAnsi="Arial" w:cs="Arial"/>
                <w:sz w:val="24"/>
                <w:szCs w:val="24"/>
              </w:rPr>
            </w:pPr>
            <w:r w:rsidRPr="00FA3F9C">
              <w:rPr>
                <w:rFonts w:ascii="Arial" w:hAnsi="Arial" w:cs="Arial"/>
                <w:sz w:val="24"/>
                <w:szCs w:val="24"/>
              </w:rPr>
              <w:t xml:space="preserve">The necessity of </w:t>
            </w:r>
            <w:proofErr w:type="spellStart"/>
            <w:r w:rsidRPr="00FA3F9C">
              <w:rPr>
                <w:rFonts w:ascii="Arial" w:hAnsi="Arial" w:cs="Arial"/>
                <w:sz w:val="24"/>
                <w:szCs w:val="24"/>
              </w:rPr>
              <w:t>Vabomere</w:t>
            </w:r>
            <w:proofErr w:type="spellEnd"/>
            <w:r w:rsidRPr="00FA3F9C">
              <w:rPr>
                <w:rFonts w:ascii="Arial" w:hAnsi="Arial" w:cs="Arial"/>
                <w:sz w:val="24"/>
                <w:szCs w:val="24"/>
              </w:rPr>
              <w:t xml:space="preserve"> is accompanied by a documented recommendation by an ID specialist.</w:t>
            </w:r>
          </w:p>
        </w:tc>
      </w:tr>
      <w:tr w:rsidR="002641D2" w:rsidRPr="00FA3F9C" w14:paraId="460DBF01" w14:textId="77777777" w:rsidTr="00D02527">
        <w:trPr>
          <w:trHeight w:val="608"/>
        </w:trPr>
        <w:tc>
          <w:tcPr>
            <w:tcW w:w="10871" w:type="dxa"/>
            <w:tcBorders>
              <w:top w:val="single" w:sz="24" w:space="0" w:color="000000"/>
              <w:bottom w:val="single" w:sz="24" w:space="0" w:color="000000"/>
            </w:tcBorders>
            <w:shd w:val="clear" w:color="auto" w:fill="auto"/>
          </w:tcPr>
          <w:p w14:paraId="050FB134" w14:textId="77777777" w:rsidR="002641D2" w:rsidRPr="00FA3F9C" w:rsidRDefault="002641D2" w:rsidP="00A05413">
            <w:pPr>
              <w:rPr>
                <w:rFonts w:ascii="Arial" w:hAnsi="Arial" w:cs="Arial"/>
                <w:b/>
                <w:sz w:val="24"/>
                <w:szCs w:val="24"/>
              </w:rPr>
            </w:pPr>
            <w:r w:rsidRPr="00FA3F9C">
              <w:rPr>
                <w:rFonts w:ascii="Arial" w:hAnsi="Arial" w:cs="Arial"/>
                <w:b/>
                <w:sz w:val="24"/>
                <w:szCs w:val="24"/>
              </w:rPr>
              <w:lastRenderedPageBreak/>
              <w:t xml:space="preserve">3) The bacteria CAN NOT produce </w:t>
            </w:r>
            <w:proofErr w:type="spellStart"/>
            <w:r w:rsidRPr="00FA3F9C">
              <w:rPr>
                <w:rFonts w:ascii="Arial" w:hAnsi="Arial" w:cs="Arial"/>
                <w:b/>
                <w:sz w:val="24"/>
                <w:szCs w:val="24"/>
              </w:rPr>
              <w:t>metallo</w:t>
            </w:r>
            <w:proofErr w:type="spellEnd"/>
            <w:r w:rsidRPr="00FA3F9C">
              <w:rPr>
                <w:rFonts w:ascii="Arial" w:hAnsi="Arial" w:cs="Arial"/>
                <w:b/>
                <w:sz w:val="24"/>
                <w:szCs w:val="24"/>
              </w:rPr>
              <w:t xml:space="preserve">-beta </w:t>
            </w:r>
            <w:proofErr w:type="spellStart"/>
            <w:r w:rsidRPr="00FA3F9C">
              <w:rPr>
                <w:rFonts w:ascii="Arial" w:hAnsi="Arial" w:cs="Arial"/>
                <w:b/>
                <w:sz w:val="24"/>
                <w:szCs w:val="24"/>
              </w:rPr>
              <w:t>lactamses</w:t>
            </w:r>
            <w:proofErr w:type="spellEnd"/>
            <w:r w:rsidRPr="00FA3F9C">
              <w:rPr>
                <w:rFonts w:ascii="Arial" w:hAnsi="Arial" w:cs="Arial"/>
                <w:b/>
                <w:sz w:val="24"/>
                <w:szCs w:val="24"/>
              </w:rPr>
              <w:t xml:space="preserve"> or oxacillinases with </w:t>
            </w:r>
            <w:proofErr w:type="spellStart"/>
            <w:r w:rsidRPr="00FA3F9C">
              <w:rPr>
                <w:rFonts w:ascii="Arial" w:hAnsi="Arial" w:cs="Arial"/>
                <w:b/>
                <w:sz w:val="24"/>
                <w:szCs w:val="24"/>
              </w:rPr>
              <w:t>carbapenemase</w:t>
            </w:r>
            <w:proofErr w:type="spellEnd"/>
            <w:r w:rsidRPr="00FA3F9C">
              <w:rPr>
                <w:rFonts w:ascii="Arial" w:hAnsi="Arial" w:cs="Arial"/>
                <w:b/>
                <w:sz w:val="24"/>
                <w:szCs w:val="24"/>
              </w:rPr>
              <w:t xml:space="preserve"> activity.</w:t>
            </w:r>
          </w:p>
        </w:tc>
      </w:tr>
      <w:tr w:rsidR="002641D2" w:rsidRPr="00FA3F9C" w14:paraId="038D5FB9" w14:textId="77777777" w:rsidTr="00D02527">
        <w:trPr>
          <w:trHeight w:val="715"/>
        </w:trPr>
        <w:tc>
          <w:tcPr>
            <w:tcW w:w="10871" w:type="dxa"/>
            <w:tcBorders>
              <w:top w:val="single" w:sz="24" w:space="0" w:color="000000"/>
            </w:tcBorders>
            <w:shd w:val="clear" w:color="auto" w:fill="auto"/>
          </w:tcPr>
          <w:p w14:paraId="18655C29" w14:textId="77777777" w:rsidR="002641D2" w:rsidRPr="00FA3F9C" w:rsidRDefault="002641D2" w:rsidP="00B91E27">
            <w:pPr>
              <w:rPr>
                <w:rFonts w:ascii="Arial" w:hAnsi="Arial" w:cs="Arial"/>
                <w:sz w:val="24"/>
                <w:szCs w:val="24"/>
              </w:rPr>
            </w:pPr>
            <w:r w:rsidRPr="00FA3F9C">
              <w:rPr>
                <w:rFonts w:ascii="Arial" w:hAnsi="Arial" w:cs="Arial"/>
                <w:sz w:val="24"/>
                <w:szCs w:val="24"/>
              </w:rPr>
              <w:t xml:space="preserve">If either </w:t>
            </w:r>
            <w:proofErr w:type="gramStart"/>
            <w:r w:rsidRPr="00FA3F9C">
              <w:rPr>
                <w:rFonts w:ascii="Arial" w:hAnsi="Arial" w:cs="Arial"/>
                <w:sz w:val="24"/>
                <w:szCs w:val="24"/>
              </w:rPr>
              <w:t>criteria</w:t>
            </w:r>
            <w:proofErr w:type="gramEnd"/>
            <w:r w:rsidRPr="00FA3F9C">
              <w:rPr>
                <w:rFonts w:ascii="Arial" w:hAnsi="Arial" w:cs="Arial"/>
                <w:sz w:val="24"/>
                <w:szCs w:val="24"/>
              </w:rPr>
              <w:t xml:space="preserve"> 1 or 2 is fulfilled </w:t>
            </w:r>
            <w:r w:rsidRPr="00FA3F9C">
              <w:rPr>
                <w:rFonts w:ascii="Arial" w:hAnsi="Arial" w:cs="Arial"/>
                <w:b/>
                <w:sz w:val="24"/>
                <w:szCs w:val="24"/>
              </w:rPr>
              <w:t>AND</w:t>
            </w:r>
            <w:r w:rsidRPr="00FA3F9C">
              <w:rPr>
                <w:rFonts w:ascii="Arial" w:hAnsi="Arial" w:cs="Arial"/>
                <w:sz w:val="24"/>
                <w:szCs w:val="24"/>
              </w:rPr>
              <w:t xml:space="preserve"> the bacteria does not fulfill criteria 3, approve </w:t>
            </w:r>
            <w:r w:rsidRPr="00FA3F9C">
              <w:rPr>
                <w:rFonts w:ascii="Arial" w:hAnsi="Arial" w:cs="Arial"/>
                <w:b/>
                <w:sz w:val="24"/>
                <w:szCs w:val="24"/>
              </w:rPr>
              <w:t>medical PA</w:t>
            </w:r>
            <w:r w:rsidRPr="00FA3F9C">
              <w:rPr>
                <w:rFonts w:ascii="Arial" w:hAnsi="Arial" w:cs="Arial"/>
                <w:sz w:val="24"/>
                <w:szCs w:val="24"/>
              </w:rPr>
              <w:t xml:space="preserve"> for maximum of 14 day supply based on pts eGFR.</w:t>
            </w:r>
          </w:p>
        </w:tc>
      </w:tr>
    </w:tbl>
    <w:p w14:paraId="619DF2FA" w14:textId="77777777" w:rsidR="002641D2" w:rsidRPr="00FA3F9C" w:rsidRDefault="002641D2">
      <w:pPr>
        <w:rPr>
          <w:rFonts w:ascii="Arial" w:hAnsi="Arial" w:cs="Arial"/>
          <w:sz w:val="24"/>
          <w:szCs w:val="24"/>
        </w:rPr>
      </w:pPr>
    </w:p>
    <w:p w14:paraId="037F588F" w14:textId="77777777" w:rsidR="002641D2" w:rsidRPr="00FA3F9C" w:rsidRDefault="002641D2">
      <w:pPr>
        <w:rPr>
          <w:rFonts w:ascii="Arial" w:hAnsi="Arial" w:cs="Arial"/>
          <w:sz w:val="24"/>
          <w:szCs w:val="24"/>
        </w:rPr>
      </w:pPr>
      <w:r w:rsidRPr="00FA3F9C">
        <w:rPr>
          <w:rFonts w:ascii="Arial" w:hAnsi="Arial" w:cs="Arial"/>
          <w:sz w:val="24"/>
          <w:szCs w:val="24"/>
        </w:rPr>
        <w:t>Revision History:</w:t>
      </w:r>
    </w:p>
    <w:tbl>
      <w:tblPr>
        <w:tblW w:w="10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
        <w:gridCol w:w="7306"/>
        <w:gridCol w:w="2568"/>
      </w:tblGrid>
      <w:tr w:rsidR="002641D2" w:rsidRPr="00FA3F9C" w14:paraId="021CDDFB" w14:textId="77777777" w:rsidTr="00D02527">
        <w:trPr>
          <w:trHeight w:val="252"/>
        </w:trPr>
        <w:tc>
          <w:tcPr>
            <w:tcW w:w="1018" w:type="dxa"/>
          </w:tcPr>
          <w:p w14:paraId="47752377" w14:textId="77777777" w:rsidR="002641D2" w:rsidRPr="00FA3F9C" w:rsidRDefault="002641D2">
            <w:pPr>
              <w:rPr>
                <w:rFonts w:ascii="Arial" w:hAnsi="Arial" w:cs="Arial"/>
                <w:sz w:val="24"/>
                <w:szCs w:val="24"/>
              </w:rPr>
            </w:pPr>
            <w:r w:rsidRPr="00FA3F9C">
              <w:rPr>
                <w:rFonts w:ascii="Arial" w:hAnsi="Arial" w:cs="Arial"/>
                <w:sz w:val="24"/>
                <w:szCs w:val="24"/>
              </w:rPr>
              <w:t>Date</w:t>
            </w:r>
          </w:p>
        </w:tc>
        <w:tc>
          <w:tcPr>
            <w:tcW w:w="7306" w:type="dxa"/>
          </w:tcPr>
          <w:p w14:paraId="73DE6AF0" w14:textId="77777777" w:rsidR="002641D2" w:rsidRPr="00FA3F9C" w:rsidRDefault="002641D2">
            <w:pPr>
              <w:rPr>
                <w:rFonts w:ascii="Arial" w:hAnsi="Arial" w:cs="Arial"/>
                <w:sz w:val="24"/>
                <w:szCs w:val="24"/>
              </w:rPr>
            </w:pPr>
            <w:r w:rsidRPr="00FA3F9C">
              <w:rPr>
                <w:rFonts w:ascii="Arial" w:hAnsi="Arial" w:cs="Arial"/>
                <w:sz w:val="24"/>
                <w:szCs w:val="24"/>
              </w:rPr>
              <w:t>What changed?</w:t>
            </w:r>
          </w:p>
        </w:tc>
        <w:tc>
          <w:tcPr>
            <w:tcW w:w="2568" w:type="dxa"/>
          </w:tcPr>
          <w:p w14:paraId="36B969CE" w14:textId="77777777" w:rsidR="002641D2" w:rsidRPr="00FA3F9C" w:rsidRDefault="002641D2">
            <w:pPr>
              <w:rPr>
                <w:rFonts w:ascii="Arial" w:hAnsi="Arial" w:cs="Arial"/>
                <w:sz w:val="24"/>
                <w:szCs w:val="24"/>
              </w:rPr>
            </w:pPr>
            <w:r w:rsidRPr="00FA3F9C">
              <w:rPr>
                <w:rFonts w:ascii="Arial" w:hAnsi="Arial" w:cs="Arial"/>
                <w:sz w:val="24"/>
                <w:szCs w:val="24"/>
              </w:rPr>
              <w:t>Pharmacist’s initials</w:t>
            </w:r>
          </w:p>
        </w:tc>
      </w:tr>
      <w:tr w:rsidR="002641D2" w:rsidRPr="00FA3F9C" w14:paraId="592BB9B5" w14:textId="77777777" w:rsidTr="00D02527">
        <w:trPr>
          <w:trHeight w:val="252"/>
        </w:trPr>
        <w:tc>
          <w:tcPr>
            <w:tcW w:w="1018" w:type="dxa"/>
          </w:tcPr>
          <w:p w14:paraId="287C8701" w14:textId="77777777" w:rsidR="002641D2" w:rsidRPr="00FA3F9C" w:rsidRDefault="002641D2">
            <w:pPr>
              <w:rPr>
                <w:rFonts w:ascii="Arial" w:hAnsi="Arial" w:cs="Arial"/>
                <w:sz w:val="24"/>
                <w:szCs w:val="24"/>
              </w:rPr>
            </w:pPr>
            <w:r w:rsidRPr="00FA3F9C">
              <w:rPr>
                <w:rFonts w:ascii="Arial" w:hAnsi="Arial" w:cs="Arial"/>
                <w:sz w:val="24"/>
                <w:szCs w:val="24"/>
              </w:rPr>
              <w:t>12/8/17</w:t>
            </w:r>
          </w:p>
        </w:tc>
        <w:tc>
          <w:tcPr>
            <w:tcW w:w="7306" w:type="dxa"/>
          </w:tcPr>
          <w:p w14:paraId="4C53FA45" w14:textId="77777777" w:rsidR="002641D2" w:rsidRPr="00FA3F9C" w:rsidRDefault="002641D2">
            <w:pPr>
              <w:rPr>
                <w:rFonts w:ascii="Arial" w:hAnsi="Arial" w:cs="Arial"/>
                <w:sz w:val="24"/>
                <w:szCs w:val="24"/>
              </w:rPr>
            </w:pPr>
            <w:r w:rsidRPr="00FA3F9C">
              <w:rPr>
                <w:rFonts w:ascii="Arial" w:hAnsi="Arial" w:cs="Arial"/>
                <w:sz w:val="24"/>
                <w:szCs w:val="24"/>
              </w:rPr>
              <w:t>Criteria were written</w:t>
            </w:r>
          </w:p>
        </w:tc>
        <w:tc>
          <w:tcPr>
            <w:tcW w:w="2568" w:type="dxa"/>
          </w:tcPr>
          <w:p w14:paraId="4CB50FCB" w14:textId="77777777" w:rsidR="002641D2" w:rsidRPr="00FA3F9C" w:rsidRDefault="002641D2">
            <w:pPr>
              <w:rPr>
                <w:rFonts w:ascii="Arial" w:hAnsi="Arial" w:cs="Arial"/>
                <w:sz w:val="24"/>
                <w:szCs w:val="24"/>
              </w:rPr>
            </w:pPr>
            <w:r w:rsidRPr="00FA3F9C">
              <w:rPr>
                <w:rFonts w:ascii="Arial" w:hAnsi="Arial" w:cs="Arial"/>
                <w:sz w:val="24"/>
                <w:szCs w:val="24"/>
              </w:rPr>
              <w:t>JK</w:t>
            </w:r>
          </w:p>
        </w:tc>
      </w:tr>
      <w:tr w:rsidR="002641D2" w:rsidRPr="00FA3F9C" w14:paraId="5576F9B1" w14:textId="77777777" w:rsidTr="00D02527">
        <w:trPr>
          <w:trHeight w:val="252"/>
        </w:trPr>
        <w:tc>
          <w:tcPr>
            <w:tcW w:w="1018" w:type="dxa"/>
          </w:tcPr>
          <w:p w14:paraId="7D804239" w14:textId="77777777" w:rsidR="002641D2" w:rsidRPr="00FA3F9C" w:rsidRDefault="002641D2">
            <w:pPr>
              <w:rPr>
                <w:rFonts w:ascii="Arial" w:hAnsi="Arial" w:cs="Arial"/>
                <w:sz w:val="24"/>
                <w:szCs w:val="24"/>
              </w:rPr>
            </w:pPr>
            <w:r w:rsidRPr="00FA3F9C">
              <w:rPr>
                <w:rFonts w:ascii="Arial" w:hAnsi="Arial" w:cs="Arial"/>
                <w:sz w:val="24"/>
                <w:szCs w:val="24"/>
              </w:rPr>
              <w:t>2/20/18</w:t>
            </w:r>
          </w:p>
        </w:tc>
        <w:tc>
          <w:tcPr>
            <w:tcW w:w="7306" w:type="dxa"/>
          </w:tcPr>
          <w:p w14:paraId="3C796D02" w14:textId="77777777" w:rsidR="002641D2" w:rsidRPr="00FA3F9C" w:rsidRDefault="002641D2">
            <w:pPr>
              <w:rPr>
                <w:rFonts w:ascii="Arial" w:hAnsi="Arial" w:cs="Arial"/>
                <w:sz w:val="24"/>
                <w:szCs w:val="24"/>
              </w:rPr>
            </w:pPr>
            <w:r w:rsidRPr="00FA3F9C">
              <w:rPr>
                <w:rFonts w:ascii="Arial" w:hAnsi="Arial" w:cs="Arial"/>
                <w:sz w:val="24"/>
                <w:szCs w:val="24"/>
              </w:rPr>
              <w:t>I reviewed JK’s criteria.</w:t>
            </w:r>
          </w:p>
        </w:tc>
        <w:tc>
          <w:tcPr>
            <w:tcW w:w="2568" w:type="dxa"/>
          </w:tcPr>
          <w:p w14:paraId="1957B993" w14:textId="3C7508A0" w:rsidR="002641D2" w:rsidRPr="00FA3F9C" w:rsidRDefault="005C142D">
            <w:pPr>
              <w:rPr>
                <w:rFonts w:ascii="Arial" w:hAnsi="Arial" w:cs="Arial"/>
                <w:sz w:val="24"/>
                <w:szCs w:val="24"/>
              </w:rPr>
            </w:pPr>
            <w:r w:rsidRPr="00FA3F9C">
              <w:rPr>
                <w:rFonts w:ascii="Arial" w:hAnsi="Arial" w:cs="Arial"/>
                <w:sz w:val="24"/>
                <w:szCs w:val="24"/>
              </w:rPr>
              <w:t>JJ</w:t>
            </w:r>
          </w:p>
        </w:tc>
      </w:tr>
      <w:tr w:rsidR="002641D2" w:rsidRPr="00FA3F9C" w14:paraId="29DFE1BB" w14:textId="77777777" w:rsidTr="00D02527">
        <w:trPr>
          <w:trHeight w:val="252"/>
        </w:trPr>
        <w:tc>
          <w:tcPr>
            <w:tcW w:w="1018" w:type="dxa"/>
          </w:tcPr>
          <w:p w14:paraId="5055EB78" w14:textId="77777777" w:rsidR="002641D2" w:rsidRPr="00FA3F9C" w:rsidRDefault="002641D2">
            <w:pPr>
              <w:rPr>
                <w:rFonts w:ascii="Arial" w:hAnsi="Arial" w:cs="Arial"/>
                <w:sz w:val="24"/>
                <w:szCs w:val="24"/>
              </w:rPr>
            </w:pPr>
          </w:p>
        </w:tc>
        <w:tc>
          <w:tcPr>
            <w:tcW w:w="7306" w:type="dxa"/>
          </w:tcPr>
          <w:p w14:paraId="0B373137" w14:textId="77777777" w:rsidR="002641D2" w:rsidRPr="00FA3F9C" w:rsidRDefault="002641D2">
            <w:pPr>
              <w:rPr>
                <w:rFonts w:ascii="Arial" w:hAnsi="Arial" w:cs="Arial"/>
                <w:sz w:val="24"/>
                <w:szCs w:val="24"/>
              </w:rPr>
            </w:pPr>
          </w:p>
        </w:tc>
        <w:tc>
          <w:tcPr>
            <w:tcW w:w="2568" w:type="dxa"/>
          </w:tcPr>
          <w:p w14:paraId="5F67BD8E" w14:textId="77777777" w:rsidR="002641D2" w:rsidRPr="00FA3F9C" w:rsidRDefault="002641D2">
            <w:pPr>
              <w:rPr>
                <w:rFonts w:ascii="Arial" w:hAnsi="Arial" w:cs="Arial"/>
                <w:sz w:val="24"/>
                <w:szCs w:val="24"/>
              </w:rPr>
            </w:pPr>
          </w:p>
        </w:tc>
      </w:tr>
    </w:tbl>
    <w:p w14:paraId="0CE3810D" w14:textId="77777777" w:rsidR="002641D2" w:rsidRPr="00FA3F9C" w:rsidRDefault="002641D2">
      <w:pPr>
        <w:rPr>
          <w:rFonts w:ascii="Arial" w:hAnsi="Arial" w:cs="Arial"/>
          <w:sz w:val="24"/>
          <w:szCs w:val="24"/>
        </w:rPr>
      </w:pPr>
    </w:p>
    <w:p w14:paraId="31880F22" w14:textId="3E2944D3" w:rsidR="009B5AA5" w:rsidRDefault="009B5AA5" w:rsidP="00953C90">
      <w:pPr>
        <w:pStyle w:val="Heading2"/>
      </w:pPr>
      <w:bookmarkStart w:id="210" w:name="_Toc106369858"/>
      <w:r w:rsidRPr="00FA3F9C">
        <w:t>Midazolam (</w:t>
      </w:r>
      <w:proofErr w:type="spellStart"/>
      <w:r w:rsidRPr="00FA3F9C">
        <w:t>Nayzilam</w:t>
      </w:r>
      <w:proofErr w:type="spellEnd"/>
      <w:r w:rsidRPr="00FA3F9C">
        <w:t>)</w:t>
      </w:r>
      <w:bookmarkEnd w:id="210"/>
    </w:p>
    <w:p w14:paraId="50422167" w14:textId="14085997" w:rsidR="00953C90" w:rsidRPr="00FA3F9C" w:rsidRDefault="00953C90" w:rsidP="006F623F">
      <w:pPr>
        <w:spacing w:after="0"/>
        <w:jc w:val="center"/>
        <w:rPr>
          <w:rFonts w:ascii="Arial" w:hAnsi="Arial" w:cs="Arial"/>
          <w:sz w:val="24"/>
          <w:szCs w:val="24"/>
        </w:rPr>
      </w:pPr>
      <w:r w:rsidRPr="00FA3F9C">
        <w:rPr>
          <w:rFonts w:ascii="Arial" w:hAnsi="Arial" w:cs="Arial"/>
          <w:sz w:val="24"/>
          <w:szCs w:val="24"/>
        </w:rPr>
        <w:t>5mg/intranasal spray</w:t>
      </w:r>
    </w:p>
    <w:p w14:paraId="4BB94977" w14:textId="77777777" w:rsidR="009B5AA5" w:rsidRPr="00FA3F9C" w:rsidRDefault="009B5AA5" w:rsidP="006F623F">
      <w:pPr>
        <w:spacing w:after="0"/>
        <w:jc w:val="center"/>
        <w:rPr>
          <w:rFonts w:ascii="Arial" w:hAnsi="Arial" w:cs="Arial"/>
          <w:sz w:val="24"/>
          <w:szCs w:val="24"/>
        </w:rPr>
      </w:pPr>
      <w:r w:rsidRPr="00FA3F9C">
        <w:rPr>
          <w:rFonts w:ascii="Arial" w:hAnsi="Arial" w:cs="Arial"/>
          <w:sz w:val="24"/>
          <w:szCs w:val="24"/>
        </w:rPr>
        <w:t>EBRx PA Criteria</w:t>
      </w:r>
    </w:p>
    <w:p w14:paraId="1E444A53" w14:textId="77777777" w:rsidR="009B5AA5" w:rsidRPr="00FA3F9C" w:rsidRDefault="009B5AA5" w:rsidP="006F623F">
      <w:pPr>
        <w:spacing w:after="0"/>
        <w:rPr>
          <w:rFonts w:ascii="Arial" w:hAnsi="Arial" w:cs="Arial"/>
          <w:b/>
          <w:sz w:val="24"/>
          <w:szCs w:val="24"/>
          <w:u w:val="single"/>
        </w:rPr>
      </w:pPr>
    </w:p>
    <w:p w14:paraId="3CE421CD" w14:textId="77777777" w:rsidR="009B5AA5" w:rsidRPr="00FA3F9C" w:rsidRDefault="009B5AA5"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acute treatment of intermittent, stereotypic episodes of frequent seizure activity (i.e., seizure clusters, acute repetitive seizures) that are distinct from patient’s usual seizure pattern in patients with epilepsy </w:t>
      </w:r>
      <w:r w:rsidRPr="00FA3F9C">
        <w:rPr>
          <w:rFonts w:ascii="Arial" w:hAnsi="Arial" w:cs="Arial"/>
          <w:sz w:val="24"/>
          <w:szCs w:val="24"/>
          <w:u w:val="single"/>
        </w:rPr>
        <w:t>&gt;</w:t>
      </w:r>
      <w:r w:rsidRPr="00FA3F9C">
        <w:rPr>
          <w:rFonts w:ascii="Arial" w:hAnsi="Arial" w:cs="Arial"/>
          <w:sz w:val="24"/>
          <w:szCs w:val="24"/>
        </w:rPr>
        <w:t xml:space="preserve"> 12 y/o.</w:t>
      </w:r>
    </w:p>
    <w:tbl>
      <w:tblPr>
        <w:tblStyle w:val="TableGrid"/>
        <w:tblW w:w="0" w:type="auto"/>
        <w:tblLook w:val="04A0" w:firstRow="1" w:lastRow="0" w:firstColumn="1" w:lastColumn="0" w:noHBand="0" w:noVBand="1"/>
      </w:tblPr>
      <w:tblGrid>
        <w:gridCol w:w="8928"/>
        <w:gridCol w:w="2088"/>
      </w:tblGrid>
      <w:tr w:rsidR="009B5AA5" w:rsidRPr="00FA3F9C" w14:paraId="32CFEBFC" w14:textId="77777777" w:rsidTr="00571CAB">
        <w:tc>
          <w:tcPr>
            <w:tcW w:w="8928" w:type="dxa"/>
            <w:shd w:val="clear" w:color="auto" w:fill="000000"/>
          </w:tcPr>
          <w:p w14:paraId="16F19289" w14:textId="77777777" w:rsidR="009B5AA5" w:rsidRPr="00FA3F9C" w:rsidRDefault="009B5AA5"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88" w:type="dxa"/>
            <w:shd w:val="clear" w:color="auto" w:fill="000000"/>
          </w:tcPr>
          <w:p w14:paraId="4C8F5C2C" w14:textId="77777777" w:rsidR="009B5AA5" w:rsidRPr="00FA3F9C" w:rsidRDefault="009B5AA5" w:rsidP="006F623F">
            <w:pPr>
              <w:jc w:val="center"/>
              <w:rPr>
                <w:rFonts w:ascii="Arial" w:hAnsi="Arial" w:cs="Arial"/>
                <w:b/>
                <w:sz w:val="24"/>
                <w:szCs w:val="24"/>
                <w:u w:val="single"/>
              </w:rPr>
            </w:pPr>
          </w:p>
        </w:tc>
      </w:tr>
      <w:tr w:rsidR="009B5AA5" w:rsidRPr="00FA3F9C" w14:paraId="3B37ABE1" w14:textId="77777777" w:rsidTr="00F337AE">
        <w:tc>
          <w:tcPr>
            <w:tcW w:w="11016" w:type="dxa"/>
            <w:gridSpan w:val="2"/>
          </w:tcPr>
          <w:p w14:paraId="6D9D00E1" w14:textId="77777777" w:rsidR="009B5AA5" w:rsidRPr="00FA3F9C" w:rsidRDefault="009B5AA5" w:rsidP="006F623F">
            <w:pPr>
              <w:rPr>
                <w:rFonts w:ascii="Arial" w:hAnsi="Arial" w:cs="Arial"/>
                <w:sz w:val="24"/>
                <w:szCs w:val="24"/>
              </w:rPr>
            </w:pPr>
            <w:r w:rsidRPr="00FA3F9C">
              <w:rPr>
                <w:rFonts w:ascii="Arial" w:hAnsi="Arial" w:cs="Arial"/>
                <w:sz w:val="24"/>
                <w:szCs w:val="24"/>
              </w:rPr>
              <w:t>1. The patient must have a diagnosis of seizure disorder.</w:t>
            </w:r>
          </w:p>
        </w:tc>
      </w:tr>
      <w:tr w:rsidR="009B5AA5" w:rsidRPr="00FA3F9C" w14:paraId="0EED0D72" w14:textId="77777777" w:rsidTr="00B1617E">
        <w:tc>
          <w:tcPr>
            <w:tcW w:w="11016" w:type="dxa"/>
            <w:gridSpan w:val="2"/>
          </w:tcPr>
          <w:p w14:paraId="61C99F31" w14:textId="77777777" w:rsidR="009B5AA5" w:rsidRPr="00FA3F9C" w:rsidRDefault="009B5AA5" w:rsidP="006F623F">
            <w:pPr>
              <w:rPr>
                <w:rFonts w:ascii="Arial" w:hAnsi="Arial" w:cs="Arial"/>
                <w:sz w:val="24"/>
                <w:szCs w:val="24"/>
              </w:rPr>
            </w:pPr>
            <w:r w:rsidRPr="00FA3F9C">
              <w:rPr>
                <w:rFonts w:ascii="Arial" w:hAnsi="Arial" w:cs="Arial"/>
                <w:sz w:val="24"/>
                <w:szCs w:val="24"/>
              </w:rPr>
              <w:t>2. The prescriber must be a neurologist.</w:t>
            </w:r>
          </w:p>
        </w:tc>
      </w:tr>
      <w:tr w:rsidR="009B5AA5" w:rsidRPr="00FA3F9C" w14:paraId="4DE49F73" w14:textId="77777777" w:rsidTr="0010789D">
        <w:tc>
          <w:tcPr>
            <w:tcW w:w="11016" w:type="dxa"/>
            <w:gridSpan w:val="2"/>
          </w:tcPr>
          <w:p w14:paraId="37297E72" w14:textId="77777777" w:rsidR="009B5AA5" w:rsidRPr="00FA3F9C" w:rsidRDefault="009B5AA5" w:rsidP="006F623F">
            <w:pPr>
              <w:rPr>
                <w:rFonts w:ascii="Arial" w:hAnsi="Arial" w:cs="Arial"/>
                <w:sz w:val="24"/>
                <w:szCs w:val="24"/>
              </w:rPr>
            </w:pPr>
            <w:r w:rsidRPr="00FA3F9C">
              <w:rPr>
                <w:rFonts w:ascii="Arial" w:hAnsi="Arial" w:cs="Arial"/>
                <w:sz w:val="24"/>
                <w:szCs w:val="24"/>
              </w:rPr>
              <w:t>3. The patient must have on the profile a concurrent antiseizure medication.</w:t>
            </w:r>
          </w:p>
        </w:tc>
      </w:tr>
      <w:tr w:rsidR="009B5AA5" w:rsidRPr="00FA3F9C" w14:paraId="7EAC7BB9" w14:textId="77777777" w:rsidTr="00DA57E0">
        <w:tc>
          <w:tcPr>
            <w:tcW w:w="11016" w:type="dxa"/>
            <w:gridSpan w:val="2"/>
          </w:tcPr>
          <w:p w14:paraId="56C5D5EB" w14:textId="77777777" w:rsidR="009B5AA5" w:rsidRPr="00FA3F9C" w:rsidRDefault="009B5AA5" w:rsidP="006F623F">
            <w:pPr>
              <w:rPr>
                <w:rFonts w:ascii="Arial" w:hAnsi="Arial" w:cs="Arial"/>
                <w:sz w:val="24"/>
                <w:szCs w:val="24"/>
              </w:rPr>
            </w:pPr>
            <w:r w:rsidRPr="00FA3F9C">
              <w:rPr>
                <w:rFonts w:ascii="Arial" w:hAnsi="Arial" w:cs="Arial"/>
                <w:sz w:val="24"/>
                <w:szCs w:val="24"/>
              </w:rPr>
              <w:t>If all 3 of the above are true, approve for 6 months.</w:t>
            </w:r>
          </w:p>
        </w:tc>
      </w:tr>
    </w:tbl>
    <w:p w14:paraId="3A1362DE" w14:textId="77777777" w:rsidR="009B5AA5" w:rsidRPr="00FA3F9C" w:rsidRDefault="009B5AA5" w:rsidP="006F623F">
      <w:pPr>
        <w:spacing w:after="0"/>
        <w:rPr>
          <w:rFonts w:ascii="Arial" w:hAnsi="Arial" w:cs="Arial"/>
          <w:b/>
          <w:sz w:val="24"/>
          <w:szCs w:val="24"/>
          <w:u w:val="single"/>
        </w:rPr>
      </w:pPr>
    </w:p>
    <w:tbl>
      <w:tblPr>
        <w:tblStyle w:val="TableGrid"/>
        <w:tblW w:w="0" w:type="auto"/>
        <w:tblLook w:val="04A0" w:firstRow="1" w:lastRow="0" w:firstColumn="1" w:lastColumn="0" w:noHBand="0" w:noVBand="1"/>
      </w:tblPr>
      <w:tblGrid>
        <w:gridCol w:w="8747"/>
        <w:gridCol w:w="2043"/>
      </w:tblGrid>
      <w:tr w:rsidR="009B5AA5" w:rsidRPr="00FA3F9C" w14:paraId="16E2888A" w14:textId="77777777" w:rsidTr="009827D8">
        <w:tc>
          <w:tcPr>
            <w:tcW w:w="8747" w:type="dxa"/>
            <w:shd w:val="clear" w:color="auto" w:fill="000000"/>
          </w:tcPr>
          <w:p w14:paraId="14C49F77" w14:textId="77777777" w:rsidR="009B5AA5" w:rsidRPr="00FA3F9C" w:rsidRDefault="009B5AA5" w:rsidP="00571CAB">
            <w:pPr>
              <w:rPr>
                <w:rFonts w:ascii="Arial" w:hAnsi="Arial" w:cs="Arial"/>
                <w:b/>
                <w:sz w:val="24"/>
                <w:szCs w:val="24"/>
                <w:u w:val="single"/>
              </w:rPr>
            </w:pPr>
            <w:r w:rsidRPr="00FA3F9C">
              <w:rPr>
                <w:rFonts w:ascii="Arial" w:hAnsi="Arial" w:cs="Arial"/>
                <w:b/>
                <w:sz w:val="24"/>
                <w:szCs w:val="24"/>
                <w:u w:val="single"/>
              </w:rPr>
              <w:t>Criteria for continuation</w:t>
            </w:r>
          </w:p>
        </w:tc>
        <w:tc>
          <w:tcPr>
            <w:tcW w:w="2043" w:type="dxa"/>
            <w:shd w:val="clear" w:color="auto" w:fill="000000"/>
          </w:tcPr>
          <w:p w14:paraId="56265047" w14:textId="77777777" w:rsidR="009B5AA5" w:rsidRPr="00FA3F9C" w:rsidRDefault="009B5AA5" w:rsidP="00571CAB">
            <w:pPr>
              <w:jc w:val="center"/>
              <w:rPr>
                <w:rFonts w:ascii="Arial" w:hAnsi="Arial" w:cs="Arial"/>
                <w:b/>
                <w:sz w:val="24"/>
                <w:szCs w:val="24"/>
                <w:u w:val="single"/>
              </w:rPr>
            </w:pPr>
          </w:p>
        </w:tc>
      </w:tr>
      <w:tr w:rsidR="009B5AA5" w:rsidRPr="00FA3F9C" w14:paraId="1B703A82" w14:textId="77777777" w:rsidTr="009827D8">
        <w:tc>
          <w:tcPr>
            <w:tcW w:w="10790" w:type="dxa"/>
            <w:gridSpan w:val="2"/>
          </w:tcPr>
          <w:p w14:paraId="0B9CDA52" w14:textId="77777777" w:rsidR="009B5AA5" w:rsidRPr="00FA3F9C" w:rsidRDefault="009B5AA5" w:rsidP="00571CAB">
            <w:pPr>
              <w:rPr>
                <w:rFonts w:ascii="Arial" w:hAnsi="Arial" w:cs="Arial"/>
                <w:sz w:val="24"/>
                <w:szCs w:val="24"/>
              </w:rPr>
            </w:pPr>
            <w:r w:rsidRPr="00FA3F9C">
              <w:rPr>
                <w:rFonts w:ascii="Arial" w:hAnsi="Arial" w:cs="Arial"/>
                <w:sz w:val="24"/>
                <w:szCs w:val="24"/>
              </w:rPr>
              <w:t xml:space="preserve">1. For repeat fills, the patient must show adequate adherence to the concurrent antiepileptic medication as shown on the drug profile over the </w:t>
            </w:r>
            <w:proofErr w:type="spellStart"/>
            <w:r w:rsidRPr="00FA3F9C">
              <w:rPr>
                <w:rFonts w:ascii="Arial" w:hAnsi="Arial" w:cs="Arial"/>
                <w:sz w:val="24"/>
                <w:szCs w:val="24"/>
              </w:rPr>
              <w:t>preceeding</w:t>
            </w:r>
            <w:proofErr w:type="spellEnd"/>
            <w:r w:rsidRPr="00FA3F9C">
              <w:rPr>
                <w:rFonts w:ascii="Arial" w:hAnsi="Arial" w:cs="Arial"/>
                <w:sz w:val="24"/>
                <w:szCs w:val="24"/>
              </w:rPr>
              <w:t xml:space="preserve"> months.</w:t>
            </w:r>
          </w:p>
        </w:tc>
      </w:tr>
      <w:tr w:rsidR="009B5AA5" w:rsidRPr="00FA3F9C" w14:paraId="68CCE8DD" w14:textId="77777777" w:rsidTr="009827D8">
        <w:tc>
          <w:tcPr>
            <w:tcW w:w="10790" w:type="dxa"/>
            <w:gridSpan w:val="2"/>
          </w:tcPr>
          <w:p w14:paraId="3B8141FA" w14:textId="77777777" w:rsidR="009B5AA5" w:rsidRPr="00FA3F9C" w:rsidRDefault="009B5AA5" w:rsidP="00571CAB">
            <w:pPr>
              <w:rPr>
                <w:rFonts w:ascii="Arial" w:hAnsi="Arial" w:cs="Arial"/>
                <w:sz w:val="24"/>
                <w:szCs w:val="24"/>
              </w:rPr>
            </w:pPr>
            <w:r w:rsidRPr="00FA3F9C">
              <w:rPr>
                <w:rFonts w:ascii="Arial" w:hAnsi="Arial" w:cs="Arial"/>
                <w:sz w:val="24"/>
                <w:szCs w:val="24"/>
              </w:rPr>
              <w:lastRenderedPageBreak/>
              <w:t>If the continuation criterium is fulfilled, may approve for 12 months.</w:t>
            </w:r>
          </w:p>
        </w:tc>
      </w:tr>
    </w:tbl>
    <w:p w14:paraId="180E4659" w14:textId="77777777" w:rsidR="009B5AA5" w:rsidRPr="00FA3F9C" w:rsidRDefault="009B5AA5" w:rsidP="006F623F">
      <w:pPr>
        <w:spacing w:after="0"/>
        <w:rPr>
          <w:rFonts w:ascii="Arial" w:hAnsi="Arial" w:cs="Arial"/>
          <w:b/>
          <w:sz w:val="24"/>
          <w:szCs w:val="24"/>
          <w:u w:val="single"/>
        </w:rPr>
      </w:pPr>
    </w:p>
    <w:p w14:paraId="76AD728F" w14:textId="77777777" w:rsidR="009B5AA5" w:rsidRPr="00FA3F9C" w:rsidRDefault="009B5AA5" w:rsidP="006F623F">
      <w:pPr>
        <w:spacing w:after="0"/>
        <w:rPr>
          <w:rFonts w:ascii="Arial" w:hAnsi="Arial" w:cs="Arial"/>
          <w:b/>
          <w:sz w:val="24"/>
          <w:szCs w:val="24"/>
          <w:u w:val="single"/>
        </w:rPr>
      </w:pPr>
      <w:r w:rsidRPr="00FA3F9C">
        <w:rPr>
          <w:rFonts w:ascii="Arial" w:hAnsi="Arial" w:cs="Arial"/>
          <w:sz w:val="24"/>
          <w:szCs w:val="24"/>
        </w:rPr>
        <w:t xml:space="preserve">Quantity Limits: </w:t>
      </w:r>
      <w:r w:rsidRPr="00FA3F9C">
        <w:rPr>
          <w:rFonts w:ascii="Arial" w:hAnsi="Arial" w:cs="Arial"/>
          <w:b/>
          <w:sz w:val="24"/>
          <w:szCs w:val="24"/>
          <w:u w:val="single"/>
        </w:rPr>
        <w:t>QL of 6 units (3 packages of 2) per 30 days will be the limit.</w:t>
      </w:r>
    </w:p>
    <w:p w14:paraId="7710DAEC" w14:textId="77777777" w:rsidR="009B5AA5" w:rsidRPr="00FA3F9C" w:rsidRDefault="009B5AA5" w:rsidP="006F623F">
      <w:pPr>
        <w:spacing w:after="0"/>
        <w:rPr>
          <w:rFonts w:ascii="Arial" w:hAnsi="Arial" w:cs="Arial"/>
          <w:b/>
          <w:sz w:val="24"/>
          <w:szCs w:val="24"/>
          <w:u w:val="single"/>
        </w:rPr>
      </w:pPr>
    </w:p>
    <w:tbl>
      <w:tblPr>
        <w:tblStyle w:val="TableGrid"/>
        <w:tblW w:w="0" w:type="auto"/>
        <w:shd w:val="clear" w:color="auto" w:fill="BFBFBF" w:themeFill="background1" w:themeFillShade="BF"/>
        <w:tblLook w:val="04A0" w:firstRow="1" w:lastRow="0" w:firstColumn="1" w:lastColumn="0" w:noHBand="0" w:noVBand="1"/>
      </w:tblPr>
      <w:tblGrid>
        <w:gridCol w:w="10998"/>
      </w:tblGrid>
      <w:tr w:rsidR="009B5AA5" w:rsidRPr="00FA3F9C" w14:paraId="39E95C86" w14:textId="77777777" w:rsidTr="00D82B6E">
        <w:tc>
          <w:tcPr>
            <w:tcW w:w="10998" w:type="dxa"/>
            <w:shd w:val="clear" w:color="auto" w:fill="BFBFBF" w:themeFill="background1" w:themeFillShade="BF"/>
          </w:tcPr>
          <w:p w14:paraId="5CAB7D0E" w14:textId="77777777" w:rsidR="009B5AA5" w:rsidRPr="00FA3F9C" w:rsidRDefault="009B5AA5" w:rsidP="00D82B6E">
            <w:pPr>
              <w:rPr>
                <w:rFonts w:ascii="Arial" w:hAnsi="Arial" w:cs="Arial"/>
                <w:sz w:val="24"/>
                <w:szCs w:val="24"/>
              </w:rPr>
            </w:pPr>
            <w:r w:rsidRPr="00FA3F9C">
              <w:rPr>
                <w:rFonts w:ascii="Arial" w:hAnsi="Arial" w:cs="Arial"/>
                <w:sz w:val="24"/>
                <w:szCs w:val="24"/>
              </w:rPr>
              <w:t>Note: The maximum limit is 5 sprays per month, however, they are packaged in cartons of 2’s.  Therefore, the pharmacy is not likely to break a package so a QL of 6 doses per 30 days will suffice.</w:t>
            </w:r>
          </w:p>
        </w:tc>
      </w:tr>
    </w:tbl>
    <w:p w14:paraId="488F63BC" w14:textId="77777777" w:rsidR="009B5AA5" w:rsidRPr="00FA3F9C" w:rsidRDefault="009B5AA5" w:rsidP="006F623F">
      <w:pPr>
        <w:spacing w:after="0"/>
        <w:rPr>
          <w:rFonts w:ascii="Arial" w:hAnsi="Arial" w:cs="Arial"/>
          <w:sz w:val="24"/>
          <w:szCs w:val="24"/>
        </w:rPr>
      </w:pPr>
    </w:p>
    <w:p w14:paraId="3FF20215" w14:textId="77777777" w:rsidR="009B5AA5" w:rsidRPr="00FA3F9C" w:rsidRDefault="009B5AA5" w:rsidP="006F623F">
      <w:pPr>
        <w:spacing w:after="0"/>
        <w:rPr>
          <w:rFonts w:ascii="Arial" w:hAnsi="Arial" w:cs="Arial"/>
          <w:sz w:val="24"/>
          <w:szCs w:val="24"/>
        </w:rPr>
      </w:pPr>
      <w:r w:rsidRPr="00FA3F9C">
        <w:rPr>
          <w:rFonts w:ascii="Arial" w:hAnsi="Arial" w:cs="Arial"/>
          <w:sz w:val="24"/>
          <w:szCs w:val="24"/>
        </w:rPr>
        <w:t>References:</w:t>
      </w:r>
    </w:p>
    <w:p w14:paraId="4246B0DA" w14:textId="77777777" w:rsidR="009B5AA5" w:rsidRPr="00FA3F9C" w:rsidRDefault="009B5AA5" w:rsidP="009B5AA5">
      <w:pPr>
        <w:pStyle w:val="ListParagraph"/>
        <w:numPr>
          <w:ilvl w:val="0"/>
          <w:numId w:val="334"/>
        </w:numPr>
        <w:spacing w:after="0" w:line="240" w:lineRule="auto"/>
        <w:rPr>
          <w:rFonts w:ascii="Arial" w:eastAsia="Times New Roman" w:hAnsi="Arial" w:cs="Arial"/>
          <w:sz w:val="24"/>
          <w:szCs w:val="24"/>
        </w:rPr>
      </w:pPr>
      <w:proofErr w:type="spellStart"/>
      <w:r w:rsidRPr="00FA3F9C">
        <w:rPr>
          <w:rFonts w:ascii="Arial" w:eastAsia="Times New Roman" w:hAnsi="Arial" w:cs="Arial"/>
          <w:color w:val="222222"/>
          <w:sz w:val="24"/>
          <w:szCs w:val="24"/>
          <w:shd w:val="clear" w:color="auto" w:fill="F8F8F8"/>
        </w:rPr>
        <w:t>Detyniecki</w:t>
      </w:r>
      <w:proofErr w:type="spellEnd"/>
      <w:r w:rsidRPr="00FA3F9C">
        <w:rPr>
          <w:rFonts w:ascii="Arial" w:eastAsia="Times New Roman" w:hAnsi="Arial" w:cs="Arial"/>
          <w:color w:val="222222"/>
          <w:sz w:val="24"/>
          <w:szCs w:val="24"/>
          <w:shd w:val="clear" w:color="auto" w:fill="F8F8F8"/>
        </w:rPr>
        <w:t>, Kamil, et al. "Safety and efficacy of midazolam nasal spray in the outpatient treatment of patients with seizure clusters—a randomized, double</w:t>
      </w:r>
      <w:r w:rsidRPr="00FA3F9C">
        <w:rPr>
          <w:rFonts w:ascii="Cambria Math" w:eastAsia="Times New Roman" w:hAnsi="Cambria Math" w:cs="Cambria Math"/>
          <w:color w:val="222222"/>
          <w:sz w:val="24"/>
          <w:szCs w:val="24"/>
          <w:shd w:val="clear" w:color="auto" w:fill="F8F8F8"/>
        </w:rPr>
        <w:t>‐</w:t>
      </w:r>
      <w:r w:rsidRPr="00FA3F9C">
        <w:rPr>
          <w:rFonts w:ascii="Arial" w:eastAsia="Times New Roman" w:hAnsi="Arial" w:cs="Arial"/>
          <w:color w:val="222222"/>
          <w:sz w:val="24"/>
          <w:szCs w:val="24"/>
          <w:shd w:val="clear" w:color="auto" w:fill="F8F8F8"/>
        </w:rPr>
        <w:t>blind, placebo</w:t>
      </w:r>
      <w:r w:rsidRPr="00FA3F9C">
        <w:rPr>
          <w:rFonts w:ascii="Cambria Math" w:eastAsia="Times New Roman" w:hAnsi="Cambria Math" w:cs="Cambria Math"/>
          <w:color w:val="222222"/>
          <w:sz w:val="24"/>
          <w:szCs w:val="24"/>
          <w:shd w:val="clear" w:color="auto" w:fill="F8F8F8"/>
        </w:rPr>
        <w:t>‐</w:t>
      </w:r>
      <w:r w:rsidRPr="00FA3F9C">
        <w:rPr>
          <w:rFonts w:ascii="Arial" w:eastAsia="Times New Roman" w:hAnsi="Arial" w:cs="Arial"/>
          <w:color w:val="222222"/>
          <w:sz w:val="24"/>
          <w:szCs w:val="24"/>
          <w:shd w:val="clear" w:color="auto" w:fill="F8F8F8"/>
        </w:rPr>
        <w:t>controlled trial." </w:t>
      </w:r>
      <w:proofErr w:type="spellStart"/>
      <w:r w:rsidRPr="00FA3F9C">
        <w:rPr>
          <w:rFonts w:ascii="Arial" w:eastAsia="Times New Roman" w:hAnsi="Arial" w:cs="Arial"/>
          <w:i/>
          <w:iCs/>
          <w:color w:val="222222"/>
          <w:sz w:val="24"/>
          <w:szCs w:val="24"/>
          <w:shd w:val="clear" w:color="auto" w:fill="F8F8F8"/>
        </w:rPr>
        <w:t>Epilepsia</w:t>
      </w:r>
      <w:proofErr w:type="spellEnd"/>
      <w:r w:rsidRPr="00FA3F9C">
        <w:rPr>
          <w:rFonts w:ascii="Arial" w:eastAsia="Times New Roman" w:hAnsi="Arial" w:cs="Arial"/>
          <w:color w:val="222222"/>
          <w:sz w:val="24"/>
          <w:szCs w:val="24"/>
          <w:shd w:val="clear" w:color="auto" w:fill="F8F8F8"/>
        </w:rPr>
        <w:t> (2019).</w:t>
      </w:r>
    </w:p>
    <w:p w14:paraId="2CFB7124" w14:textId="77777777" w:rsidR="009B5AA5" w:rsidRPr="00FA3F9C" w:rsidRDefault="009B5AA5" w:rsidP="009B5AA5">
      <w:pPr>
        <w:pStyle w:val="ListParagraph"/>
        <w:numPr>
          <w:ilvl w:val="0"/>
          <w:numId w:val="334"/>
        </w:numPr>
        <w:spacing w:after="0" w:line="240" w:lineRule="auto"/>
        <w:rPr>
          <w:rFonts w:ascii="Arial" w:eastAsia="Times New Roman" w:hAnsi="Arial" w:cs="Arial"/>
          <w:sz w:val="24"/>
          <w:szCs w:val="24"/>
        </w:rPr>
      </w:pPr>
      <w:proofErr w:type="spellStart"/>
      <w:r w:rsidRPr="00FA3F9C">
        <w:rPr>
          <w:rFonts w:ascii="Arial" w:eastAsia="Times New Roman" w:hAnsi="Arial" w:cs="Arial"/>
          <w:color w:val="222222"/>
          <w:sz w:val="24"/>
          <w:szCs w:val="24"/>
          <w:shd w:val="clear" w:color="auto" w:fill="F8F8F8"/>
          <w:lang w:val="fr-FR"/>
        </w:rPr>
        <w:t>Wheless</w:t>
      </w:r>
      <w:proofErr w:type="spellEnd"/>
      <w:r w:rsidRPr="00FA3F9C">
        <w:rPr>
          <w:rFonts w:ascii="Arial" w:eastAsia="Times New Roman" w:hAnsi="Arial" w:cs="Arial"/>
          <w:color w:val="222222"/>
          <w:sz w:val="24"/>
          <w:szCs w:val="24"/>
          <w:shd w:val="clear" w:color="auto" w:fill="F8F8F8"/>
          <w:lang w:val="fr-FR"/>
        </w:rPr>
        <w:t xml:space="preserve">, James W., et al. </w:t>
      </w:r>
      <w:r w:rsidRPr="00FA3F9C">
        <w:rPr>
          <w:rFonts w:ascii="Arial" w:eastAsia="Times New Roman" w:hAnsi="Arial" w:cs="Arial"/>
          <w:color w:val="222222"/>
          <w:sz w:val="24"/>
          <w:szCs w:val="24"/>
          <w:shd w:val="clear" w:color="auto" w:fill="F8F8F8"/>
        </w:rPr>
        <w:t>"Safety and efficacy of midazolam nasal spray in the outpatient treatment of patients with seizure clusters: An open</w:t>
      </w:r>
      <w:r w:rsidRPr="00FA3F9C">
        <w:rPr>
          <w:rFonts w:ascii="Cambria Math" w:eastAsia="Times New Roman" w:hAnsi="Cambria Math" w:cs="Cambria Math"/>
          <w:color w:val="222222"/>
          <w:sz w:val="24"/>
          <w:szCs w:val="24"/>
          <w:shd w:val="clear" w:color="auto" w:fill="F8F8F8"/>
        </w:rPr>
        <w:t>‐</w:t>
      </w:r>
      <w:r w:rsidRPr="00FA3F9C">
        <w:rPr>
          <w:rFonts w:ascii="Arial" w:eastAsia="Times New Roman" w:hAnsi="Arial" w:cs="Arial"/>
          <w:color w:val="222222"/>
          <w:sz w:val="24"/>
          <w:szCs w:val="24"/>
          <w:shd w:val="clear" w:color="auto" w:fill="F8F8F8"/>
        </w:rPr>
        <w:t>label extension trial." </w:t>
      </w:r>
      <w:proofErr w:type="spellStart"/>
      <w:r w:rsidRPr="00FA3F9C">
        <w:rPr>
          <w:rFonts w:ascii="Arial" w:eastAsia="Times New Roman" w:hAnsi="Arial" w:cs="Arial"/>
          <w:i/>
          <w:iCs/>
          <w:color w:val="222222"/>
          <w:sz w:val="24"/>
          <w:szCs w:val="24"/>
          <w:shd w:val="clear" w:color="auto" w:fill="F8F8F8"/>
        </w:rPr>
        <w:t>Epilepsia</w:t>
      </w:r>
      <w:proofErr w:type="spellEnd"/>
      <w:r w:rsidRPr="00FA3F9C">
        <w:rPr>
          <w:rFonts w:ascii="Arial" w:eastAsia="Times New Roman" w:hAnsi="Arial" w:cs="Arial"/>
          <w:color w:val="222222"/>
          <w:sz w:val="24"/>
          <w:szCs w:val="24"/>
          <w:shd w:val="clear" w:color="auto" w:fill="F8F8F8"/>
        </w:rPr>
        <w:t> 60.9 (2019): 1809-1819.</w:t>
      </w:r>
    </w:p>
    <w:p w14:paraId="453032AB" w14:textId="77777777" w:rsidR="009B5AA5" w:rsidRPr="00FA3F9C" w:rsidRDefault="009B5AA5" w:rsidP="009827D8">
      <w:pPr>
        <w:spacing w:after="0"/>
        <w:rPr>
          <w:rFonts w:ascii="Arial" w:hAnsi="Arial" w:cs="Arial"/>
          <w:sz w:val="24"/>
          <w:szCs w:val="24"/>
        </w:rPr>
      </w:pPr>
      <w:r w:rsidRPr="00FA3F9C">
        <w:rPr>
          <w:rFonts w:ascii="Arial" w:hAnsi="Arial" w:cs="Arial"/>
          <w:sz w:val="24"/>
          <w:szCs w:val="24"/>
        </w:rPr>
        <w:t xml:space="preserve">3.   Package Insert: </w:t>
      </w:r>
      <w:proofErr w:type="spellStart"/>
      <w:r w:rsidRPr="00FA3F9C">
        <w:rPr>
          <w:rFonts w:ascii="Arial" w:hAnsi="Arial" w:cs="Arial"/>
          <w:sz w:val="24"/>
          <w:szCs w:val="24"/>
        </w:rPr>
        <w:t>Nayzilam</w:t>
      </w:r>
      <w:proofErr w:type="spellEnd"/>
      <w:r w:rsidRPr="00FA3F9C">
        <w:rPr>
          <w:rFonts w:ascii="Arial" w:hAnsi="Arial" w:cs="Arial"/>
          <w:sz w:val="24"/>
          <w:szCs w:val="24"/>
        </w:rPr>
        <w:t xml:space="preserve">.  </w:t>
      </w:r>
      <w:hyperlink r:id="rId275" w:history="1">
        <w:r w:rsidRPr="00FA3F9C">
          <w:rPr>
            <w:rFonts w:ascii="Arial" w:eastAsia="Times New Roman" w:hAnsi="Arial" w:cs="Arial"/>
            <w:color w:val="0000FF"/>
            <w:sz w:val="24"/>
            <w:szCs w:val="24"/>
            <w:u w:val="single"/>
          </w:rPr>
          <w:t>https://www.accessdata.fda.gov/drugsatfda_docs/label/2019/211321s000lbl.pdf</w:t>
        </w:r>
      </w:hyperlink>
    </w:p>
    <w:p w14:paraId="651493A0" w14:textId="77777777" w:rsidR="009B5AA5" w:rsidRPr="00FA3F9C" w:rsidRDefault="009B5AA5" w:rsidP="006F623F">
      <w:pPr>
        <w:spacing w:after="0"/>
        <w:rPr>
          <w:rFonts w:ascii="Arial" w:hAnsi="Arial" w:cs="Arial"/>
          <w:sz w:val="24"/>
          <w:szCs w:val="24"/>
        </w:rPr>
      </w:pPr>
    </w:p>
    <w:p w14:paraId="6170423B" w14:textId="77777777" w:rsidR="009B5AA5" w:rsidRPr="00FA3F9C" w:rsidRDefault="009B5AA5"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418"/>
        <w:gridCol w:w="7470"/>
        <w:gridCol w:w="2538"/>
      </w:tblGrid>
      <w:tr w:rsidR="009B5AA5" w:rsidRPr="00FA3F9C" w14:paraId="59FF6E24" w14:textId="77777777" w:rsidTr="00FE491B">
        <w:tc>
          <w:tcPr>
            <w:tcW w:w="1008" w:type="dxa"/>
          </w:tcPr>
          <w:p w14:paraId="2AA9BADC" w14:textId="77777777" w:rsidR="009B5AA5" w:rsidRPr="00FA3F9C" w:rsidRDefault="009B5AA5" w:rsidP="006F623F">
            <w:pPr>
              <w:rPr>
                <w:rFonts w:ascii="Arial" w:hAnsi="Arial" w:cs="Arial"/>
                <w:sz w:val="24"/>
                <w:szCs w:val="24"/>
              </w:rPr>
            </w:pPr>
            <w:r w:rsidRPr="00FA3F9C">
              <w:rPr>
                <w:rFonts w:ascii="Arial" w:hAnsi="Arial" w:cs="Arial"/>
                <w:sz w:val="24"/>
                <w:szCs w:val="24"/>
              </w:rPr>
              <w:t>Date</w:t>
            </w:r>
          </w:p>
        </w:tc>
        <w:tc>
          <w:tcPr>
            <w:tcW w:w="7470" w:type="dxa"/>
          </w:tcPr>
          <w:p w14:paraId="4C725334" w14:textId="77777777" w:rsidR="009B5AA5" w:rsidRPr="00FA3F9C" w:rsidRDefault="009B5AA5" w:rsidP="006F623F">
            <w:pPr>
              <w:rPr>
                <w:rFonts w:ascii="Arial" w:hAnsi="Arial" w:cs="Arial"/>
                <w:sz w:val="24"/>
                <w:szCs w:val="24"/>
              </w:rPr>
            </w:pPr>
            <w:r w:rsidRPr="00FA3F9C">
              <w:rPr>
                <w:rFonts w:ascii="Arial" w:hAnsi="Arial" w:cs="Arial"/>
                <w:sz w:val="24"/>
                <w:szCs w:val="24"/>
              </w:rPr>
              <w:t>What changed</w:t>
            </w:r>
          </w:p>
        </w:tc>
        <w:tc>
          <w:tcPr>
            <w:tcW w:w="2538" w:type="dxa"/>
          </w:tcPr>
          <w:p w14:paraId="58EEBE17" w14:textId="77777777" w:rsidR="009B5AA5" w:rsidRPr="00FA3F9C" w:rsidRDefault="009B5AA5" w:rsidP="006F623F">
            <w:pPr>
              <w:rPr>
                <w:rFonts w:ascii="Arial" w:hAnsi="Arial" w:cs="Arial"/>
                <w:sz w:val="24"/>
                <w:szCs w:val="24"/>
              </w:rPr>
            </w:pPr>
            <w:r w:rsidRPr="00FA3F9C">
              <w:rPr>
                <w:rFonts w:ascii="Arial" w:hAnsi="Arial" w:cs="Arial"/>
                <w:sz w:val="24"/>
                <w:szCs w:val="24"/>
              </w:rPr>
              <w:t>Pharmacist’s initials</w:t>
            </w:r>
          </w:p>
        </w:tc>
      </w:tr>
      <w:tr w:rsidR="009B5AA5" w:rsidRPr="00FA3F9C" w14:paraId="0B72543B" w14:textId="77777777" w:rsidTr="00FE491B">
        <w:tc>
          <w:tcPr>
            <w:tcW w:w="1008" w:type="dxa"/>
          </w:tcPr>
          <w:p w14:paraId="37314999" w14:textId="77777777" w:rsidR="009B5AA5" w:rsidRPr="00FA3F9C" w:rsidRDefault="009B5AA5" w:rsidP="006F623F">
            <w:pPr>
              <w:rPr>
                <w:rFonts w:ascii="Arial" w:hAnsi="Arial" w:cs="Arial"/>
                <w:sz w:val="24"/>
                <w:szCs w:val="24"/>
              </w:rPr>
            </w:pPr>
            <w:r w:rsidRPr="00FA3F9C">
              <w:rPr>
                <w:rFonts w:ascii="Arial" w:hAnsi="Arial" w:cs="Arial"/>
                <w:sz w:val="24"/>
                <w:szCs w:val="24"/>
              </w:rPr>
              <w:t>10/28/19</w:t>
            </w:r>
          </w:p>
        </w:tc>
        <w:tc>
          <w:tcPr>
            <w:tcW w:w="7470" w:type="dxa"/>
          </w:tcPr>
          <w:p w14:paraId="78E14959" w14:textId="77777777" w:rsidR="009B5AA5" w:rsidRPr="00FA3F9C" w:rsidRDefault="009B5AA5" w:rsidP="006F623F">
            <w:pPr>
              <w:rPr>
                <w:rFonts w:ascii="Arial" w:hAnsi="Arial" w:cs="Arial"/>
                <w:sz w:val="24"/>
                <w:szCs w:val="24"/>
              </w:rPr>
            </w:pPr>
            <w:r w:rsidRPr="00FA3F9C">
              <w:rPr>
                <w:rFonts w:ascii="Arial" w:hAnsi="Arial" w:cs="Arial"/>
                <w:sz w:val="24"/>
                <w:szCs w:val="24"/>
              </w:rPr>
              <w:t>I wrote the criteria.</w:t>
            </w:r>
          </w:p>
        </w:tc>
        <w:tc>
          <w:tcPr>
            <w:tcW w:w="2538" w:type="dxa"/>
          </w:tcPr>
          <w:p w14:paraId="75C7C235" w14:textId="77777777" w:rsidR="009B5AA5" w:rsidRPr="00FA3F9C" w:rsidRDefault="009B5AA5" w:rsidP="006F623F">
            <w:pPr>
              <w:rPr>
                <w:rFonts w:ascii="Arial" w:hAnsi="Arial" w:cs="Arial"/>
                <w:sz w:val="24"/>
                <w:szCs w:val="24"/>
              </w:rPr>
            </w:pPr>
            <w:r w:rsidRPr="00FA3F9C">
              <w:rPr>
                <w:rFonts w:ascii="Arial" w:hAnsi="Arial" w:cs="Arial"/>
                <w:sz w:val="24"/>
                <w:szCs w:val="24"/>
              </w:rPr>
              <w:t>JJ</w:t>
            </w:r>
          </w:p>
        </w:tc>
      </w:tr>
      <w:tr w:rsidR="009B5AA5" w:rsidRPr="00FA3F9C" w14:paraId="1FA1A009" w14:textId="77777777" w:rsidTr="00FE491B">
        <w:tc>
          <w:tcPr>
            <w:tcW w:w="1008" w:type="dxa"/>
          </w:tcPr>
          <w:p w14:paraId="3C162158" w14:textId="77777777" w:rsidR="009B5AA5" w:rsidRPr="00FA3F9C" w:rsidRDefault="009B5AA5" w:rsidP="006F623F">
            <w:pPr>
              <w:rPr>
                <w:rFonts w:ascii="Arial" w:hAnsi="Arial" w:cs="Arial"/>
                <w:sz w:val="24"/>
                <w:szCs w:val="24"/>
              </w:rPr>
            </w:pPr>
            <w:r w:rsidRPr="00FA3F9C">
              <w:rPr>
                <w:rFonts w:ascii="Arial" w:hAnsi="Arial" w:cs="Arial"/>
                <w:sz w:val="24"/>
                <w:szCs w:val="24"/>
              </w:rPr>
              <w:t>10/28/2020</w:t>
            </w:r>
          </w:p>
        </w:tc>
        <w:tc>
          <w:tcPr>
            <w:tcW w:w="7470" w:type="dxa"/>
          </w:tcPr>
          <w:p w14:paraId="3809F281" w14:textId="77777777" w:rsidR="009B5AA5" w:rsidRPr="00FA3F9C" w:rsidRDefault="009B5AA5" w:rsidP="006F623F">
            <w:pPr>
              <w:rPr>
                <w:rFonts w:ascii="Arial" w:hAnsi="Arial" w:cs="Arial"/>
                <w:sz w:val="24"/>
                <w:szCs w:val="24"/>
              </w:rPr>
            </w:pPr>
            <w:r w:rsidRPr="00FA3F9C">
              <w:rPr>
                <w:rFonts w:ascii="Arial" w:hAnsi="Arial" w:cs="Arial"/>
                <w:sz w:val="24"/>
                <w:szCs w:val="24"/>
              </w:rPr>
              <w:t>Reviewed criteria.  No changes.</w:t>
            </w:r>
          </w:p>
        </w:tc>
        <w:tc>
          <w:tcPr>
            <w:tcW w:w="2538" w:type="dxa"/>
          </w:tcPr>
          <w:p w14:paraId="70A907EA" w14:textId="77777777" w:rsidR="009B5AA5" w:rsidRPr="00FA3F9C" w:rsidRDefault="009B5AA5" w:rsidP="006F623F">
            <w:pPr>
              <w:rPr>
                <w:rFonts w:ascii="Arial" w:hAnsi="Arial" w:cs="Arial"/>
                <w:sz w:val="24"/>
                <w:szCs w:val="24"/>
              </w:rPr>
            </w:pPr>
            <w:r w:rsidRPr="00FA3F9C">
              <w:rPr>
                <w:rFonts w:ascii="Arial" w:hAnsi="Arial" w:cs="Arial"/>
                <w:sz w:val="24"/>
                <w:szCs w:val="24"/>
              </w:rPr>
              <w:t>JJ</w:t>
            </w:r>
          </w:p>
        </w:tc>
      </w:tr>
      <w:tr w:rsidR="009B5AA5" w:rsidRPr="00FA3F9C" w14:paraId="03821903" w14:textId="77777777" w:rsidTr="00FE491B">
        <w:tc>
          <w:tcPr>
            <w:tcW w:w="1008" w:type="dxa"/>
          </w:tcPr>
          <w:p w14:paraId="16852ED9" w14:textId="77777777" w:rsidR="009B5AA5" w:rsidRPr="00FA3F9C" w:rsidRDefault="009B5AA5" w:rsidP="006F623F">
            <w:pPr>
              <w:rPr>
                <w:rFonts w:ascii="Arial" w:hAnsi="Arial" w:cs="Arial"/>
                <w:sz w:val="24"/>
                <w:szCs w:val="24"/>
              </w:rPr>
            </w:pPr>
            <w:r w:rsidRPr="00FA3F9C">
              <w:rPr>
                <w:rFonts w:ascii="Arial" w:hAnsi="Arial" w:cs="Arial"/>
                <w:sz w:val="24"/>
                <w:szCs w:val="24"/>
              </w:rPr>
              <w:t>4/6/21</w:t>
            </w:r>
          </w:p>
        </w:tc>
        <w:tc>
          <w:tcPr>
            <w:tcW w:w="7470" w:type="dxa"/>
          </w:tcPr>
          <w:p w14:paraId="0E62E971" w14:textId="77777777" w:rsidR="009B5AA5" w:rsidRPr="00FA3F9C" w:rsidRDefault="009B5AA5" w:rsidP="006F623F">
            <w:pPr>
              <w:rPr>
                <w:rFonts w:ascii="Arial" w:hAnsi="Arial" w:cs="Arial"/>
                <w:sz w:val="24"/>
                <w:szCs w:val="24"/>
              </w:rPr>
            </w:pPr>
            <w:r w:rsidRPr="00FA3F9C">
              <w:rPr>
                <w:rFonts w:ascii="Arial" w:hAnsi="Arial" w:cs="Arial"/>
                <w:sz w:val="24"/>
                <w:szCs w:val="24"/>
              </w:rPr>
              <w:t>Applied EBRx criteria to UAS plan</w:t>
            </w:r>
          </w:p>
        </w:tc>
        <w:tc>
          <w:tcPr>
            <w:tcW w:w="2538" w:type="dxa"/>
          </w:tcPr>
          <w:p w14:paraId="03A246C8" w14:textId="77777777" w:rsidR="009B5AA5" w:rsidRPr="00FA3F9C" w:rsidRDefault="009B5AA5" w:rsidP="006F623F">
            <w:pPr>
              <w:rPr>
                <w:rFonts w:ascii="Arial" w:hAnsi="Arial" w:cs="Arial"/>
                <w:sz w:val="24"/>
                <w:szCs w:val="24"/>
              </w:rPr>
            </w:pPr>
            <w:r w:rsidRPr="00FA3F9C">
              <w:rPr>
                <w:rFonts w:ascii="Arial" w:hAnsi="Arial" w:cs="Arial"/>
                <w:sz w:val="24"/>
                <w:szCs w:val="24"/>
              </w:rPr>
              <w:t>JJ</w:t>
            </w:r>
          </w:p>
        </w:tc>
      </w:tr>
    </w:tbl>
    <w:p w14:paraId="31063DF7" w14:textId="77777777" w:rsidR="009B5AA5" w:rsidRPr="00FA3F9C" w:rsidRDefault="009B5AA5" w:rsidP="006F623F">
      <w:pPr>
        <w:spacing w:after="0"/>
        <w:rPr>
          <w:rFonts w:ascii="Arial" w:hAnsi="Arial" w:cs="Arial"/>
          <w:sz w:val="24"/>
          <w:szCs w:val="24"/>
        </w:rPr>
      </w:pPr>
    </w:p>
    <w:p w14:paraId="255D10B7" w14:textId="77777777" w:rsidR="009B5AA5" w:rsidRPr="00FA3F9C" w:rsidRDefault="009B5AA5" w:rsidP="00953C90">
      <w:pPr>
        <w:pStyle w:val="Heading2"/>
      </w:pPr>
      <w:bookmarkStart w:id="211" w:name="_Toc106369859"/>
      <w:proofErr w:type="spellStart"/>
      <w:r w:rsidRPr="00FA3F9C">
        <w:t>Midostaurin</w:t>
      </w:r>
      <w:proofErr w:type="spellEnd"/>
      <w:r w:rsidRPr="00FA3F9C">
        <w:t xml:space="preserve"> (</w:t>
      </w:r>
      <w:proofErr w:type="spellStart"/>
      <w:r w:rsidRPr="00FA3F9C">
        <w:t>Rydapt</w:t>
      </w:r>
      <w:proofErr w:type="spellEnd"/>
      <w:r w:rsidRPr="00FA3F9C">
        <w:t>)</w:t>
      </w:r>
      <w:bookmarkEnd w:id="211"/>
    </w:p>
    <w:p w14:paraId="7E5715DE" w14:textId="77777777" w:rsidR="009B5AA5" w:rsidRPr="00FA3F9C" w:rsidRDefault="009B5AA5" w:rsidP="0065576B">
      <w:pPr>
        <w:spacing w:after="0"/>
        <w:jc w:val="center"/>
        <w:rPr>
          <w:rFonts w:ascii="Arial" w:hAnsi="Arial" w:cs="Arial"/>
          <w:sz w:val="24"/>
          <w:szCs w:val="24"/>
        </w:rPr>
      </w:pPr>
      <w:r w:rsidRPr="00FA3F9C">
        <w:rPr>
          <w:rFonts w:ascii="Arial" w:hAnsi="Arial" w:cs="Arial"/>
          <w:sz w:val="24"/>
          <w:szCs w:val="24"/>
        </w:rPr>
        <w:t>25mg capsules</w:t>
      </w:r>
    </w:p>
    <w:p w14:paraId="6DEEDA3C" w14:textId="77777777" w:rsidR="009B5AA5" w:rsidRPr="00FA3F9C" w:rsidRDefault="009B5AA5" w:rsidP="0065576B">
      <w:pPr>
        <w:spacing w:after="0"/>
        <w:jc w:val="center"/>
        <w:rPr>
          <w:rFonts w:ascii="Arial" w:hAnsi="Arial" w:cs="Arial"/>
          <w:sz w:val="24"/>
          <w:szCs w:val="24"/>
        </w:rPr>
      </w:pPr>
      <w:r w:rsidRPr="00FA3F9C">
        <w:rPr>
          <w:rFonts w:ascii="Arial" w:hAnsi="Arial" w:cs="Arial"/>
          <w:sz w:val="24"/>
          <w:szCs w:val="24"/>
        </w:rPr>
        <w:t>EBRx PA Criteria</w:t>
      </w:r>
    </w:p>
    <w:p w14:paraId="7F3721E9" w14:textId="77777777" w:rsidR="009B5AA5" w:rsidRPr="00FA3F9C" w:rsidRDefault="009B5AA5" w:rsidP="0065576B">
      <w:pPr>
        <w:spacing w:after="0"/>
        <w:rPr>
          <w:rFonts w:ascii="Arial" w:hAnsi="Arial" w:cs="Arial"/>
          <w:b/>
          <w:sz w:val="24"/>
          <w:szCs w:val="24"/>
          <w:u w:val="single"/>
        </w:rPr>
      </w:pPr>
    </w:p>
    <w:p w14:paraId="011CDA10" w14:textId="77777777" w:rsidR="009B5AA5" w:rsidRPr="00FA3F9C" w:rsidRDefault="009B5AA5" w:rsidP="009B5AA5">
      <w:pPr>
        <w:pStyle w:val="ListParagraph"/>
        <w:numPr>
          <w:ilvl w:val="0"/>
          <w:numId w:val="335"/>
        </w:numPr>
        <w:spacing w:after="0" w:line="240" w:lineRule="auto"/>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treatment of adult patients with:</w:t>
      </w:r>
    </w:p>
    <w:p w14:paraId="4AE65960" w14:textId="77777777" w:rsidR="009B5AA5" w:rsidRPr="00FA3F9C" w:rsidRDefault="009B5AA5" w:rsidP="009B5AA5">
      <w:pPr>
        <w:pStyle w:val="ListParagraph"/>
        <w:numPr>
          <w:ilvl w:val="1"/>
          <w:numId w:val="335"/>
        </w:numPr>
        <w:spacing w:after="0" w:line="240" w:lineRule="auto"/>
        <w:rPr>
          <w:rFonts w:ascii="Arial" w:hAnsi="Arial" w:cs="Arial"/>
          <w:sz w:val="24"/>
          <w:szCs w:val="24"/>
        </w:rPr>
      </w:pPr>
      <w:r w:rsidRPr="00FA3F9C">
        <w:rPr>
          <w:rFonts w:ascii="Arial" w:hAnsi="Arial" w:cs="Arial"/>
          <w:sz w:val="24"/>
          <w:szCs w:val="24"/>
        </w:rPr>
        <w:t xml:space="preserve"> Newly diagnosed acute myeloid leukemia (AML) that is FLT3 mutation positive as detected by an FDA-approved test, </w:t>
      </w:r>
      <w:r w:rsidRPr="00FA3F9C">
        <w:rPr>
          <w:rFonts w:ascii="Arial" w:hAnsi="Arial" w:cs="Arial"/>
          <w:b/>
          <w:sz w:val="24"/>
          <w:szCs w:val="24"/>
        </w:rPr>
        <w:t>in combination with standard cytarabine and daunorubicin</w:t>
      </w:r>
      <w:r w:rsidRPr="00FA3F9C">
        <w:rPr>
          <w:rFonts w:ascii="Arial" w:hAnsi="Arial" w:cs="Arial"/>
          <w:sz w:val="24"/>
          <w:szCs w:val="24"/>
        </w:rPr>
        <w:t xml:space="preserve"> induction and cytarabine consolidation </w:t>
      </w:r>
    </w:p>
    <w:p w14:paraId="01FF8F3F" w14:textId="77777777" w:rsidR="009B5AA5" w:rsidRPr="00FA3F9C" w:rsidRDefault="009B5AA5" w:rsidP="009B5AA5">
      <w:pPr>
        <w:pStyle w:val="ListParagraph"/>
        <w:numPr>
          <w:ilvl w:val="1"/>
          <w:numId w:val="335"/>
        </w:numPr>
        <w:spacing w:after="0" w:line="240" w:lineRule="auto"/>
        <w:rPr>
          <w:rFonts w:ascii="Arial" w:hAnsi="Arial" w:cs="Arial"/>
          <w:sz w:val="24"/>
          <w:szCs w:val="24"/>
        </w:rPr>
      </w:pPr>
      <w:r w:rsidRPr="00FA3F9C">
        <w:rPr>
          <w:rFonts w:ascii="Arial" w:hAnsi="Arial" w:cs="Arial"/>
          <w:sz w:val="24"/>
          <w:szCs w:val="24"/>
        </w:rPr>
        <w:t xml:space="preserve">Aggressive systemic </w:t>
      </w:r>
      <w:proofErr w:type="spellStart"/>
      <w:r w:rsidRPr="00FA3F9C">
        <w:rPr>
          <w:rFonts w:ascii="Arial" w:hAnsi="Arial" w:cs="Arial"/>
          <w:sz w:val="24"/>
          <w:szCs w:val="24"/>
        </w:rPr>
        <w:t>mastocytosis</w:t>
      </w:r>
      <w:proofErr w:type="spellEnd"/>
      <w:r w:rsidRPr="00FA3F9C">
        <w:rPr>
          <w:rFonts w:ascii="Arial" w:hAnsi="Arial" w:cs="Arial"/>
          <w:sz w:val="24"/>
          <w:szCs w:val="24"/>
        </w:rPr>
        <w:t xml:space="preserve"> (ASM), systemic </w:t>
      </w:r>
      <w:proofErr w:type="spellStart"/>
      <w:r w:rsidRPr="00FA3F9C">
        <w:rPr>
          <w:rFonts w:ascii="Arial" w:hAnsi="Arial" w:cs="Arial"/>
          <w:sz w:val="24"/>
          <w:szCs w:val="24"/>
        </w:rPr>
        <w:t>mastocytosis</w:t>
      </w:r>
      <w:proofErr w:type="spellEnd"/>
      <w:r w:rsidRPr="00FA3F9C">
        <w:rPr>
          <w:rFonts w:ascii="Arial" w:hAnsi="Arial" w:cs="Arial"/>
          <w:sz w:val="24"/>
          <w:szCs w:val="24"/>
        </w:rPr>
        <w:t xml:space="preserve"> with associated hematological neoplasm (SM-AHN), or mast cell leukemia (MCL). </w:t>
      </w:r>
    </w:p>
    <w:p w14:paraId="44271AE2" w14:textId="77777777" w:rsidR="009B5AA5" w:rsidRPr="00FA3F9C" w:rsidRDefault="009B5AA5" w:rsidP="0065576B">
      <w:pPr>
        <w:pStyle w:val="ListParagraph"/>
        <w:spacing w:after="0" w:line="240" w:lineRule="auto"/>
        <w:ind w:left="1080"/>
        <w:rPr>
          <w:rFonts w:ascii="Arial" w:hAnsi="Arial" w:cs="Arial"/>
          <w:sz w:val="24"/>
          <w:szCs w:val="24"/>
        </w:rPr>
      </w:pPr>
    </w:p>
    <w:tbl>
      <w:tblPr>
        <w:tblStyle w:val="TableGrid"/>
        <w:tblW w:w="0" w:type="auto"/>
        <w:tblLook w:val="04A0" w:firstRow="1" w:lastRow="0" w:firstColumn="1" w:lastColumn="0" w:noHBand="0" w:noVBand="1"/>
      </w:tblPr>
      <w:tblGrid>
        <w:gridCol w:w="8928"/>
        <w:gridCol w:w="2088"/>
      </w:tblGrid>
      <w:tr w:rsidR="009B5AA5" w:rsidRPr="00FA3F9C" w14:paraId="714D8A3E" w14:textId="77777777" w:rsidTr="00337321">
        <w:tc>
          <w:tcPr>
            <w:tcW w:w="8928" w:type="dxa"/>
            <w:shd w:val="clear" w:color="auto" w:fill="000000"/>
          </w:tcPr>
          <w:p w14:paraId="2B3F3662" w14:textId="77777777" w:rsidR="009B5AA5" w:rsidRPr="00FA3F9C" w:rsidRDefault="009B5AA5" w:rsidP="00337321">
            <w:pPr>
              <w:rPr>
                <w:rFonts w:ascii="Arial" w:hAnsi="Arial" w:cs="Arial"/>
                <w:b/>
                <w:sz w:val="24"/>
                <w:szCs w:val="24"/>
                <w:u w:val="single"/>
              </w:rPr>
            </w:pPr>
            <w:r w:rsidRPr="00FA3F9C">
              <w:rPr>
                <w:rFonts w:ascii="Arial" w:hAnsi="Arial" w:cs="Arial"/>
                <w:b/>
                <w:sz w:val="24"/>
                <w:szCs w:val="24"/>
                <w:u w:val="single"/>
              </w:rPr>
              <w:t>AML:  Criteria for new users seeking INDUCTION therapy</w:t>
            </w:r>
          </w:p>
        </w:tc>
        <w:tc>
          <w:tcPr>
            <w:tcW w:w="2088" w:type="dxa"/>
            <w:shd w:val="clear" w:color="auto" w:fill="000000"/>
          </w:tcPr>
          <w:p w14:paraId="331615C2" w14:textId="77777777" w:rsidR="009B5AA5" w:rsidRPr="00FA3F9C" w:rsidRDefault="009B5AA5" w:rsidP="00337321">
            <w:pPr>
              <w:jc w:val="center"/>
              <w:rPr>
                <w:rFonts w:ascii="Arial" w:hAnsi="Arial" w:cs="Arial"/>
                <w:b/>
                <w:sz w:val="24"/>
                <w:szCs w:val="24"/>
                <w:u w:val="single"/>
              </w:rPr>
            </w:pPr>
          </w:p>
        </w:tc>
      </w:tr>
      <w:tr w:rsidR="009B5AA5" w:rsidRPr="00FA3F9C" w14:paraId="68355907" w14:textId="77777777" w:rsidTr="00337321">
        <w:tc>
          <w:tcPr>
            <w:tcW w:w="11016" w:type="dxa"/>
            <w:gridSpan w:val="2"/>
          </w:tcPr>
          <w:p w14:paraId="46BD5366" w14:textId="77777777" w:rsidR="009B5AA5" w:rsidRPr="00FA3F9C" w:rsidRDefault="009B5AA5" w:rsidP="009B5AA5">
            <w:pPr>
              <w:pStyle w:val="ListParagraph"/>
              <w:numPr>
                <w:ilvl w:val="0"/>
                <w:numId w:val="336"/>
              </w:numPr>
              <w:rPr>
                <w:rFonts w:ascii="Arial" w:hAnsi="Arial" w:cs="Arial"/>
                <w:sz w:val="24"/>
                <w:szCs w:val="24"/>
              </w:rPr>
            </w:pPr>
            <w:r w:rsidRPr="00FA3F9C">
              <w:rPr>
                <w:rFonts w:ascii="Arial" w:hAnsi="Arial" w:cs="Arial"/>
                <w:sz w:val="24"/>
                <w:szCs w:val="24"/>
              </w:rPr>
              <w:lastRenderedPageBreak/>
              <w:t xml:space="preserve"> The patient must be newly diagnosed with acute myeloid leukemia with a FLT3 mutation, as detected by an FDA-approved test.</w:t>
            </w:r>
          </w:p>
        </w:tc>
      </w:tr>
      <w:tr w:rsidR="009B5AA5" w:rsidRPr="00FA3F9C" w14:paraId="1DA43097" w14:textId="77777777" w:rsidTr="00337321">
        <w:tc>
          <w:tcPr>
            <w:tcW w:w="11016" w:type="dxa"/>
            <w:gridSpan w:val="2"/>
          </w:tcPr>
          <w:p w14:paraId="61A54DBD" w14:textId="77777777" w:rsidR="009B5AA5" w:rsidRPr="00FA3F9C" w:rsidRDefault="009B5AA5" w:rsidP="009B5AA5">
            <w:pPr>
              <w:pStyle w:val="ListParagraph"/>
              <w:numPr>
                <w:ilvl w:val="0"/>
                <w:numId w:val="336"/>
              </w:numPr>
              <w:rPr>
                <w:rFonts w:ascii="Arial" w:hAnsi="Arial" w:cs="Arial"/>
                <w:sz w:val="24"/>
                <w:szCs w:val="24"/>
              </w:rPr>
            </w:pPr>
            <w:r w:rsidRPr="00FA3F9C">
              <w:rPr>
                <w:rFonts w:ascii="Arial" w:hAnsi="Arial" w:cs="Arial"/>
                <w:sz w:val="24"/>
                <w:szCs w:val="24"/>
              </w:rPr>
              <w:t xml:space="preserve"> The patient must be planning to receive concomitant daunorubicin and cytarabine therapy.</w:t>
            </w:r>
          </w:p>
        </w:tc>
      </w:tr>
      <w:tr w:rsidR="009B5AA5" w:rsidRPr="00FA3F9C" w14:paraId="069AB632" w14:textId="77777777" w:rsidTr="00337321">
        <w:tc>
          <w:tcPr>
            <w:tcW w:w="11016" w:type="dxa"/>
            <w:gridSpan w:val="2"/>
          </w:tcPr>
          <w:p w14:paraId="3EE8DE08" w14:textId="77777777" w:rsidR="009B5AA5" w:rsidRPr="00FA3F9C" w:rsidRDefault="009B5AA5" w:rsidP="00337321">
            <w:pPr>
              <w:rPr>
                <w:rFonts w:ascii="Arial" w:hAnsi="Arial" w:cs="Arial"/>
                <w:b/>
                <w:sz w:val="24"/>
                <w:szCs w:val="24"/>
              </w:rPr>
            </w:pPr>
            <w:r w:rsidRPr="00FA3F9C">
              <w:rPr>
                <w:rFonts w:ascii="Arial" w:hAnsi="Arial" w:cs="Arial"/>
                <w:b/>
                <w:sz w:val="24"/>
                <w:szCs w:val="24"/>
              </w:rPr>
              <w:t>Note:  If criteria are fulfilled, approve PA for 2 months.</w:t>
            </w:r>
          </w:p>
        </w:tc>
      </w:tr>
      <w:tr w:rsidR="009B5AA5" w:rsidRPr="00FA3F9C" w14:paraId="12D4A87B" w14:textId="77777777" w:rsidTr="00337321">
        <w:tc>
          <w:tcPr>
            <w:tcW w:w="11016" w:type="dxa"/>
            <w:gridSpan w:val="2"/>
          </w:tcPr>
          <w:p w14:paraId="784C551B" w14:textId="77777777" w:rsidR="009B5AA5" w:rsidRPr="00FA3F9C" w:rsidRDefault="009B5AA5" w:rsidP="00337321">
            <w:pPr>
              <w:rPr>
                <w:rFonts w:ascii="Arial" w:hAnsi="Arial" w:cs="Arial"/>
                <w:b/>
                <w:sz w:val="24"/>
                <w:szCs w:val="24"/>
              </w:rPr>
            </w:pPr>
            <w:r w:rsidRPr="00FA3F9C">
              <w:rPr>
                <w:rFonts w:ascii="Arial" w:hAnsi="Arial" w:cs="Arial"/>
                <w:b/>
                <w:sz w:val="24"/>
                <w:szCs w:val="24"/>
              </w:rPr>
              <w:t xml:space="preserve">INDUCTION regimen is </w:t>
            </w:r>
            <w:proofErr w:type="spellStart"/>
            <w:r w:rsidRPr="00FA3F9C">
              <w:rPr>
                <w:rFonts w:ascii="Arial" w:hAnsi="Arial" w:cs="Arial"/>
                <w:b/>
                <w:sz w:val="24"/>
                <w:szCs w:val="24"/>
              </w:rPr>
              <w:t>midostaurin</w:t>
            </w:r>
            <w:proofErr w:type="spellEnd"/>
            <w:r w:rsidRPr="00FA3F9C">
              <w:rPr>
                <w:rFonts w:ascii="Arial" w:hAnsi="Arial" w:cs="Arial"/>
                <w:b/>
                <w:sz w:val="24"/>
                <w:szCs w:val="24"/>
              </w:rPr>
              <w:t xml:space="preserve"> 50mg BID on days 8-21 (given with </w:t>
            </w:r>
            <w:proofErr w:type="spellStart"/>
            <w:r w:rsidRPr="00FA3F9C">
              <w:rPr>
                <w:rFonts w:ascii="Arial" w:hAnsi="Arial" w:cs="Arial"/>
                <w:b/>
                <w:sz w:val="24"/>
                <w:szCs w:val="24"/>
              </w:rPr>
              <w:t>daunorubicin+cytarabine</w:t>
            </w:r>
            <w:proofErr w:type="spellEnd"/>
            <w:r w:rsidRPr="00FA3F9C">
              <w:rPr>
                <w:rFonts w:ascii="Arial" w:hAnsi="Arial" w:cs="Arial"/>
                <w:b/>
                <w:sz w:val="24"/>
                <w:szCs w:val="24"/>
              </w:rPr>
              <w:t xml:space="preserve">).  If the day 21 bone marrow biopsy shows residual leukemia, a repeat course of given (same regimen and schedule).  </w:t>
            </w:r>
          </w:p>
          <w:p w14:paraId="2369EED0" w14:textId="77777777" w:rsidR="009B5AA5" w:rsidRPr="00FA3F9C" w:rsidRDefault="009B5AA5" w:rsidP="00337321">
            <w:pPr>
              <w:rPr>
                <w:rFonts w:ascii="Arial" w:hAnsi="Arial" w:cs="Arial"/>
                <w:b/>
                <w:sz w:val="24"/>
                <w:szCs w:val="24"/>
              </w:rPr>
            </w:pPr>
            <w:r w:rsidRPr="00FA3F9C">
              <w:rPr>
                <w:rFonts w:ascii="Arial" w:hAnsi="Arial" w:cs="Arial"/>
                <w:b/>
                <w:sz w:val="24"/>
                <w:szCs w:val="24"/>
              </w:rPr>
              <w:t xml:space="preserve">If complete remission attained, CONSOLIDATION chemotherapy consists of four cycles of </w:t>
            </w:r>
            <w:proofErr w:type="spellStart"/>
            <w:r w:rsidRPr="00FA3F9C">
              <w:rPr>
                <w:rFonts w:ascii="Arial" w:hAnsi="Arial" w:cs="Arial"/>
                <w:b/>
                <w:sz w:val="24"/>
                <w:szCs w:val="24"/>
              </w:rPr>
              <w:t>midostaurin</w:t>
            </w:r>
            <w:proofErr w:type="spellEnd"/>
            <w:r w:rsidRPr="00FA3F9C">
              <w:rPr>
                <w:rFonts w:ascii="Arial" w:hAnsi="Arial" w:cs="Arial"/>
                <w:b/>
                <w:sz w:val="24"/>
                <w:szCs w:val="24"/>
              </w:rPr>
              <w:t xml:space="preserve"> 50mg BID on days 8-21 of a 28-day cycle (with cytarabine). </w:t>
            </w:r>
          </w:p>
          <w:p w14:paraId="31FB5ABC" w14:textId="77777777" w:rsidR="009B5AA5" w:rsidRPr="00FA3F9C" w:rsidRDefault="009B5AA5" w:rsidP="00337321">
            <w:pPr>
              <w:rPr>
                <w:rFonts w:ascii="Arial" w:hAnsi="Arial" w:cs="Arial"/>
                <w:b/>
                <w:sz w:val="24"/>
                <w:szCs w:val="24"/>
              </w:rPr>
            </w:pPr>
            <w:r w:rsidRPr="00FA3F9C">
              <w:rPr>
                <w:rFonts w:ascii="Arial" w:hAnsi="Arial" w:cs="Arial"/>
                <w:b/>
                <w:sz w:val="24"/>
                <w:szCs w:val="24"/>
              </w:rPr>
              <w:t xml:space="preserve">If remission, then MAINTENANCE therapy consists of 12 cycles of </w:t>
            </w:r>
            <w:proofErr w:type="spellStart"/>
            <w:r w:rsidRPr="00FA3F9C">
              <w:rPr>
                <w:rFonts w:ascii="Arial" w:hAnsi="Arial" w:cs="Arial"/>
                <w:b/>
                <w:sz w:val="24"/>
                <w:szCs w:val="24"/>
              </w:rPr>
              <w:t>midostaurin</w:t>
            </w:r>
            <w:proofErr w:type="spellEnd"/>
            <w:r w:rsidRPr="00FA3F9C">
              <w:rPr>
                <w:rFonts w:ascii="Arial" w:hAnsi="Arial" w:cs="Arial"/>
                <w:b/>
                <w:sz w:val="24"/>
                <w:szCs w:val="24"/>
              </w:rPr>
              <w:t xml:space="preserve"> 50mg BID on days 1-28 of a 28-day cycle.</w:t>
            </w:r>
          </w:p>
        </w:tc>
      </w:tr>
      <w:tr w:rsidR="009B5AA5" w:rsidRPr="00FA3F9C" w14:paraId="1BBBB1E9" w14:textId="77777777" w:rsidTr="00337321">
        <w:tc>
          <w:tcPr>
            <w:tcW w:w="8928" w:type="dxa"/>
            <w:shd w:val="clear" w:color="auto" w:fill="000000"/>
          </w:tcPr>
          <w:p w14:paraId="0350236B" w14:textId="77777777" w:rsidR="009B5AA5" w:rsidRPr="00FA3F9C" w:rsidRDefault="009B5AA5" w:rsidP="00337321">
            <w:pPr>
              <w:rPr>
                <w:rFonts w:ascii="Arial" w:hAnsi="Arial" w:cs="Arial"/>
                <w:b/>
                <w:sz w:val="24"/>
                <w:szCs w:val="24"/>
                <w:u w:val="single"/>
              </w:rPr>
            </w:pPr>
            <w:r w:rsidRPr="00FA3F9C">
              <w:rPr>
                <w:rFonts w:ascii="Arial" w:hAnsi="Arial" w:cs="Arial"/>
                <w:b/>
                <w:sz w:val="24"/>
                <w:szCs w:val="24"/>
                <w:u w:val="single"/>
              </w:rPr>
              <w:t>AML:  Criteria for users seeking CONSOLIDATION therapy</w:t>
            </w:r>
          </w:p>
        </w:tc>
        <w:tc>
          <w:tcPr>
            <w:tcW w:w="2088" w:type="dxa"/>
            <w:shd w:val="clear" w:color="auto" w:fill="000000"/>
          </w:tcPr>
          <w:p w14:paraId="346B8435" w14:textId="77777777" w:rsidR="009B5AA5" w:rsidRPr="00FA3F9C" w:rsidRDefault="009B5AA5" w:rsidP="00337321">
            <w:pPr>
              <w:jc w:val="center"/>
              <w:rPr>
                <w:rFonts w:ascii="Arial" w:hAnsi="Arial" w:cs="Arial"/>
                <w:b/>
                <w:sz w:val="24"/>
                <w:szCs w:val="24"/>
                <w:u w:val="single"/>
              </w:rPr>
            </w:pPr>
          </w:p>
        </w:tc>
      </w:tr>
      <w:tr w:rsidR="009B5AA5" w:rsidRPr="00FA3F9C" w14:paraId="7643FA41" w14:textId="77777777" w:rsidTr="00337321">
        <w:tc>
          <w:tcPr>
            <w:tcW w:w="11016" w:type="dxa"/>
            <w:gridSpan w:val="2"/>
          </w:tcPr>
          <w:p w14:paraId="0AA4FB29" w14:textId="77777777" w:rsidR="009B5AA5" w:rsidRPr="00FA3F9C" w:rsidRDefault="009B5AA5" w:rsidP="009B5AA5">
            <w:pPr>
              <w:pStyle w:val="ListParagraph"/>
              <w:numPr>
                <w:ilvl w:val="0"/>
                <w:numId w:val="337"/>
              </w:numPr>
              <w:rPr>
                <w:rFonts w:ascii="Arial" w:hAnsi="Arial" w:cs="Arial"/>
                <w:sz w:val="24"/>
                <w:szCs w:val="24"/>
              </w:rPr>
            </w:pPr>
            <w:r w:rsidRPr="00FA3F9C">
              <w:rPr>
                <w:rFonts w:ascii="Arial" w:hAnsi="Arial" w:cs="Arial"/>
                <w:sz w:val="24"/>
                <w:szCs w:val="24"/>
              </w:rPr>
              <w:t>The patient must have received induction therapy for AML w/ FLT3 mutations (as above).</w:t>
            </w:r>
          </w:p>
        </w:tc>
      </w:tr>
      <w:tr w:rsidR="009B5AA5" w:rsidRPr="00FA3F9C" w14:paraId="636E16AC" w14:textId="77777777" w:rsidTr="00337321">
        <w:tc>
          <w:tcPr>
            <w:tcW w:w="11016" w:type="dxa"/>
            <w:gridSpan w:val="2"/>
          </w:tcPr>
          <w:p w14:paraId="28E48FD1" w14:textId="77777777" w:rsidR="009B5AA5" w:rsidRPr="00FA3F9C" w:rsidRDefault="009B5AA5" w:rsidP="009B5AA5">
            <w:pPr>
              <w:pStyle w:val="ListParagraph"/>
              <w:numPr>
                <w:ilvl w:val="0"/>
                <w:numId w:val="337"/>
              </w:numPr>
              <w:rPr>
                <w:rFonts w:ascii="Arial" w:hAnsi="Arial" w:cs="Arial"/>
                <w:sz w:val="24"/>
                <w:szCs w:val="24"/>
              </w:rPr>
            </w:pPr>
            <w:r w:rsidRPr="00FA3F9C">
              <w:rPr>
                <w:rFonts w:ascii="Arial" w:hAnsi="Arial" w:cs="Arial"/>
                <w:sz w:val="24"/>
                <w:szCs w:val="24"/>
              </w:rPr>
              <w:t>The patient must be planning to receive concomitant cytarabine therapy for consolidation therapy.</w:t>
            </w:r>
          </w:p>
        </w:tc>
      </w:tr>
      <w:tr w:rsidR="009B5AA5" w:rsidRPr="00FA3F9C" w14:paraId="7688BC92" w14:textId="77777777" w:rsidTr="00337321">
        <w:tc>
          <w:tcPr>
            <w:tcW w:w="11016" w:type="dxa"/>
            <w:gridSpan w:val="2"/>
          </w:tcPr>
          <w:p w14:paraId="1168A4D8" w14:textId="77777777" w:rsidR="009B5AA5" w:rsidRPr="00FA3F9C" w:rsidRDefault="009B5AA5" w:rsidP="009B5AA5">
            <w:pPr>
              <w:pStyle w:val="ListParagraph"/>
              <w:numPr>
                <w:ilvl w:val="0"/>
                <w:numId w:val="337"/>
              </w:numPr>
              <w:rPr>
                <w:rFonts w:ascii="Arial" w:hAnsi="Arial" w:cs="Arial"/>
                <w:sz w:val="24"/>
                <w:szCs w:val="24"/>
              </w:rPr>
            </w:pPr>
            <w:r w:rsidRPr="00FA3F9C">
              <w:rPr>
                <w:rFonts w:ascii="Arial" w:hAnsi="Arial" w:cs="Arial"/>
                <w:sz w:val="24"/>
                <w:szCs w:val="24"/>
              </w:rPr>
              <w:t xml:space="preserve">The bone marrow biopsy at the end of a maximum of 2 induction cycles </w:t>
            </w:r>
            <w:r w:rsidRPr="00FA3F9C">
              <w:rPr>
                <w:rFonts w:ascii="Arial" w:hAnsi="Arial" w:cs="Arial"/>
                <w:sz w:val="24"/>
                <w:szCs w:val="24"/>
                <w:highlight w:val="yellow"/>
              </w:rPr>
              <w:t>must show complete remission</w:t>
            </w:r>
          </w:p>
        </w:tc>
      </w:tr>
      <w:tr w:rsidR="009B5AA5" w:rsidRPr="00FA3F9C" w14:paraId="6A416CDC" w14:textId="77777777" w:rsidTr="00337321">
        <w:tc>
          <w:tcPr>
            <w:tcW w:w="11016" w:type="dxa"/>
            <w:gridSpan w:val="2"/>
          </w:tcPr>
          <w:p w14:paraId="76B71F87" w14:textId="77777777" w:rsidR="009B5AA5" w:rsidRPr="00FA3F9C" w:rsidRDefault="009B5AA5" w:rsidP="00337321">
            <w:pPr>
              <w:rPr>
                <w:rFonts w:ascii="Arial" w:hAnsi="Arial" w:cs="Arial"/>
                <w:sz w:val="24"/>
                <w:szCs w:val="24"/>
              </w:rPr>
            </w:pPr>
            <w:r w:rsidRPr="00FA3F9C">
              <w:rPr>
                <w:rFonts w:ascii="Arial" w:hAnsi="Arial" w:cs="Arial"/>
                <w:b/>
                <w:sz w:val="24"/>
                <w:szCs w:val="24"/>
              </w:rPr>
              <w:t>Note:  If criteria are fulfilled for CONSOLIDATION, approve PA for 4 months.</w:t>
            </w:r>
          </w:p>
        </w:tc>
      </w:tr>
      <w:tr w:rsidR="009B5AA5" w:rsidRPr="00FA3F9C" w14:paraId="0720A5D5" w14:textId="77777777" w:rsidTr="00337321">
        <w:tc>
          <w:tcPr>
            <w:tcW w:w="8928" w:type="dxa"/>
            <w:shd w:val="clear" w:color="auto" w:fill="000000"/>
          </w:tcPr>
          <w:p w14:paraId="6AFA26A3" w14:textId="77777777" w:rsidR="009B5AA5" w:rsidRPr="00FA3F9C" w:rsidRDefault="009B5AA5" w:rsidP="00337321">
            <w:pPr>
              <w:rPr>
                <w:rFonts w:ascii="Arial" w:hAnsi="Arial" w:cs="Arial"/>
                <w:b/>
                <w:sz w:val="24"/>
                <w:szCs w:val="24"/>
                <w:u w:val="single"/>
              </w:rPr>
            </w:pPr>
            <w:r w:rsidRPr="00FA3F9C">
              <w:rPr>
                <w:rFonts w:ascii="Arial" w:hAnsi="Arial" w:cs="Arial"/>
                <w:b/>
                <w:sz w:val="24"/>
                <w:szCs w:val="24"/>
                <w:u w:val="single"/>
              </w:rPr>
              <w:t>AML:  Criteria for users seeking MAINTENANCE therapy</w:t>
            </w:r>
          </w:p>
        </w:tc>
        <w:tc>
          <w:tcPr>
            <w:tcW w:w="2088" w:type="dxa"/>
            <w:shd w:val="clear" w:color="auto" w:fill="000000"/>
          </w:tcPr>
          <w:p w14:paraId="19A91894" w14:textId="77777777" w:rsidR="009B5AA5" w:rsidRPr="00FA3F9C" w:rsidRDefault="009B5AA5" w:rsidP="00337321">
            <w:pPr>
              <w:jc w:val="center"/>
              <w:rPr>
                <w:rFonts w:ascii="Arial" w:hAnsi="Arial" w:cs="Arial"/>
                <w:b/>
                <w:sz w:val="24"/>
                <w:szCs w:val="24"/>
                <w:u w:val="single"/>
              </w:rPr>
            </w:pPr>
          </w:p>
        </w:tc>
      </w:tr>
      <w:tr w:rsidR="009B5AA5" w:rsidRPr="00FA3F9C" w14:paraId="6907222F" w14:textId="77777777" w:rsidTr="00337321">
        <w:tc>
          <w:tcPr>
            <w:tcW w:w="11016" w:type="dxa"/>
            <w:gridSpan w:val="2"/>
          </w:tcPr>
          <w:p w14:paraId="0A869B79" w14:textId="77777777" w:rsidR="009B5AA5" w:rsidRPr="00FA3F9C" w:rsidRDefault="009B5AA5" w:rsidP="009B5AA5">
            <w:pPr>
              <w:pStyle w:val="ListParagraph"/>
              <w:numPr>
                <w:ilvl w:val="0"/>
                <w:numId w:val="338"/>
              </w:numPr>
              <w:rPr>
                <w:rFonts w:ascii="Arial" w:hAnsi="Arial" w:cs="Arial"/>
                <w:sz w:val="24"/>
                <w:szCs w:val="24"/>
              </w:rPr>
            </w:pPr>
            <w:r w:rsidRPr="00FA3F9C">
              <w:rPr>
                <w:rFonts w:ascii="Arial" w:hAnsi="Arial" w:cs="Arial"/>
                <w:sz w:val="24"/>
                <w:szCs w:val="24"/>
              </w:rPr>
              <w:t xml:space="preserve"> The patient must have received consolidation therapy for AML w/ FLT3 mutations (as above).</w:t>
            </w:r>
          </w:p>
        </w:tc>
      </w:tr>
      <w:tr w:rsidR="009B5AA5" w:rsidRPr="00FA3F9C" w14:paraId="7FE6B24D" w14:textId="77777777" w:rsidTr="00337321">
        <w:tc>
          <w:tcPr>
            <w:tcW w:w="11016" w:type="dxa"/>
            <w:gridSpan w:val="2"/>
          </w:tcPr>
          <w:p w14:paraId="51B74BE0" w14:textId="77777777" w:rsidR="009B5AA5" w:rsidRPr="00FA3F9C" w:rsidRDefault="009B5AA5" w:rsidP="009B5AA5">
            <w:pPr>
              <w:pStyle w:val="ListParagraph"/>
              <w:numPr>
                <w:ilvl w:val="0"/>
                <w:numId w:val="338"/>
              </w:numPr>
              <w:rPr>
                <w:rFonts w:ascii="Arial" w:hAnsi="Arial" w:cs="Arial"/>
                <w:sz w:val="24"/>
                <w:szCs w:val="24"/>
              </w:rPr>
            </w:pPr>
            <w:r w:rsidRPr="00FA3F9C">
              <w:rPr>
                <w:rFonts w:ascii="Arial" w:hAnsi="Arial" w:cs="Arial"/>
                <w:sz w:val="24"/>
                <w:szCs w:val="24"/>
              </w:rPr>
              <w:t xml:space="preserve"> The patient must have bone marrow results immediately after the end of consolidation therapy that shows the bone marrow biopsy at the end of a maximum of four 28-day consolidation cycles </w:t>
            </w:r>
            <w:r w:rsidRPr="00FA3F9C">
              <w:rPr>
                <w:rFonts w:ascii="Arial" w:hAnsi="Arial" w:cs="Arial"/>
                <w:sz w:val="24"/>
                <w:szCs w:val="24"/>
                <w:highlight w:val="yellow"/>
              </w:rPr>
              <w:t>must show complete remission</w:t>
            </w:r>
          </w:p>
        </w:tc>
      </w:tr>
      <w:tr w:rsidR="009B5AA5" w:rsidRPr="00FA3F9C" w14:paraId="25587967" w14:textId="77777777" w:rsidTr="00337321">
        <w:tc>
          <w:tcPr>
            <w:tcW w:w="11016" w:type="dxa"/>
            <w:gridSpan w:val="2"/>
          </w:tcPr>
          <w:p w14:paraId="505343AF" w14:textId="77777777" w:rsidR="009B5AA5" w:rsidRPr="00FA3F9C" w:rsidRDefault="009B5AA5" w:rsidP="00337321">
            <w:pPr>
              <w:rPr>
                <w:rFonts w:ascii="Arial" w:hAnsi="Arial" w:cs="Arial"/>
                <w:sz w:val="24"/>
                <w:szCs w:val="24"/>
              </w:rPr>
            </w:pPr>
            <w:r w:rsidRPr="00FA3F9C">
              <w:rPr>
                <w:rFonts w:ascii="Arial" w:hAnsi="Arial" w:cs="Arial"/>
                <w:b/>
                <w:sz w:val="24"/>
                <w:szCs w:val="24"/>
              </w:rPr>
              <w:t xml:space="preserve">Note:  If criteria fulfilled for MAINTENANCE, approve PA for 12 months. </w:t>
            </w:r>
          </w:p>
        </w:tc>
      </w:tr>
      <w:tr w:rsidR="009B5AA5" w:rsidRPr="00FA3F9C" w14:paraId="503C1709" w14:textId="77777777" w:rsidTr="00337321">
        <w:tc>
          <w:tcPr>
            <w:tcW w:w="11016" w:type="dxa"/>
            <w:gridSpan w:val="2"/>
          </w:tcPr>
          <w:p w14:paraId="4E361C50" w14:textId="77777777" w:rsidR="009B5AA5" w:rsidRPr="00FA3F9C" w:rsidRDefault="009B5AA5" w:rsidP="00337321">
            <w:pPr>
              <w:rPr>
                <w:rFonts w:ascii="Arial" w:hAnsi="Arial" w:cs="Arial"/>
                <w:b/>
                <w:sz w:val="24"/>
                <w:szCs w:val="24"/>
                <w:u w:val="single"/>
              </w:rPr>
            </w:pPr>
            <w:r w:rsidRPr="00FA3F9C">
              <w:rPr>
                <w:rFonts w:ascii="Arial" w:hAnsi="Arial" w:cs="Arial"/>
                <w:b/>
                <w:sz w:val="24"/>
                <w:szCs w:val="24"/>
                <w:u w:val="single"/>
              </w:rPr>
              <w:t>Quantity limits:</w:t>
            </w:r>
          </w:p>
          <w:p w14:paraId="0CE9163D" w14:textId="77777777" w:rsidR="009B5AA5" w:rsidRPr="00FA3F9C" w:rsidRDefault="009B5AA5" w:rsidP="00337321">
            <w:pPr>
              <w:rPr>
                <w:rFonts w:ascii="Arial" w:hAnsi="Arial" w:cs="Arial"/>
                <w:sz w:val="24"/>
                <w:szCs w:val="24"/>
              </w:rPr>
            </w:pPr>
            <w:r w:rsidRPr="00FA3F9C">
              <w:rPr>
                <w:rFonts w:ascii="Arial" w:hAnsi="Arial" w:cs="Arial"/>
                <w:sz w:val="24"/>
                <w:szCs w:val="24"/>
              </w:rPr>
              <w:t>Induction and consolidation: #56 per 28 days</w:t>
            </w:r>
          </w:p>
          <w:p w14:paraId="6506C839" w14:textId="77777777" w:rsidR="009B5AA5" w:rsidRPr="00FA3F9C" w:rsidRDefault="009B5AA5" w:rsidP="00337321">
            <w:pPr>
              <w:rPr>
                <w:rFonts w:ascii="Arial" w:hAnsi="Arial" w:cs="Arial"/>
                <w:sz w:val="24"/>
                <w:szCs w:val="24"/>
              </w:rPr>
            </w:pPr>
            <w:r w:rsidRPr="00FA3F9C">
              <w:rPr>
                <w:rFonts w:ascii="Arial" w:hAnsi="Arial" w:cs="Arial"/>
                <w:sz w:val="24"/>
                <w:szCs w:val="24"/>
              </w:rPr>
              <w:t>Maintenance: #112 per 28 days</w:t>
            </w:r>
          </w:p>
        </w:tc>
      </w:tr>
    </w:tbl>
    <w:p w14:paraId="2C4C966D" w14:textId="77777777" w:rsidR="009B5AA5" w:rsidRPr="00FA3F9C" w:rsidRDefault="009B5AA5" w:rsidP="0065576B">
      <w:pPr>
        <w:spacing w:after="0"/>
        <w:rPr>
          <w:rFonts w:ascii="Arial" w:hAnsi="Arial" w:cs="Arial"/>
          <w:b/>
          <w:sz w:val="24"/>
          <w:szCs w:val="24"/>
          <w:u w:val="single"/>
        </w:rPr>
      </w:pPr>
    </w:p>
    <w:p w14:paraId="1133AB7E" w14:textId="77777777" w:rsidR="009B5AA5" w:rsidRPr="00FA3F9C" w:rsidRDefault="009B5AA5" w:rsidP="0065576B">
      <w:pPr>
        <w:spacing w:after="0"/>
        <w:rPr>
          <w:rFonts w:ascii="Arial" w:hAnsi="Arial" w:cs="Arial"/>
          <w:b/>
          <w:sz w:val="24"/>
          <w:szCs w:val="24"/>
          <w:u w:val="single"/>
        </w:rPr>
      </w:pPr>
    </w:p>
    <w:tbl>
      <w:tblPr>
        <w:tblStyle w:val="TableGrid"/>
        <w:tblW w:w="0" w:type="auto"/>
        <w:tblLook w:val="04A0" w:firstRow="1" w:lastRow="0" w:firstColumn="1" w:lastColumn="0" w:noHBand="0" w:noVBand="1"/>
      </w:tblPr>
      <w:tblGrid>
        <w:gridCol w:w="8571"/>
        <w:gridCol w:w="2445"/>
      </w:tblGrid>
      <w:tr w:rsidR="009B5AA5" w:rsidRPr="00FA3F9C" w14:paraId="693EF983" w14:textId="77777777" w:rsidTr="0065576B">
        <w:tc>
          <w:tcPr>
            <w:tcW w:w="8571" w:type="dxa"/>
            <w:shd w:val="clear" w:color="auto" w:fill="000000"/>
          </w:tcPr>
          <w:p w14:paraId="0646B6BA" w14:textId="77777777" w:rsidR="009B5AA5" w:rsidRPr="00FA3F9C" w:rsidRDefault="009B5AA5" w:rsidP="00337321">
            <w:pPr>
              <w:rPr>
                <w:rFonts w:ascii="Arial" w:hAnsi="Arial" w:cs="Arial"/>
                <w:b/>
                <w:sz w:val="24"/>
                <w:szCs w:val="24"/>
                <w:u w:val="single"/>
              </w:rPr>
            </w:pPr>
            <w:proofErr w:type="spellStart"/>
            <w:r w:rsidRPr="00FA3F9C">
              <w:rPr>
                <w:rFonts w:ascii="Arial" w:hAnsi="Arial" w:cs="Arial"/>
                <w:b/>
                <w:sz w:val="24"/>
                <w:szCs w:val="24"/>
                <w:u w:val="single"/>
              </w:rPr>
              <w:t>Mastocytosis</w:t>
            </w:r>
            <w:proofErr w:type="spellEnd"/>
            <w:r w:rsidRPr="00FA3F9C">
              <w:rPr>
                <w:rFonts w:ascii="Arial" w:hAnsi="Arial" w:cs="Arial"/>
                <w:b/>
                <w:sz w:val="24"/>
                <w:szCs w:val="24"/>
                <w:u w:val="single"/>
              </w:rPr>
              <w:t xml:space="preserve"> or mast cell leukemia</w:t>
            </w:r>
          </w:p>
        </w:tc>
        <w:tc>
          <w:tcPr>
            <w:tcW w:w="2219" w:type="dxa"/>
            <w:shd w:val="clear" w:color="auto" w:fill="000000"/>
          </w:tcPr>
          <w:p w14:paraId="61DCA8A7" w14:textId="77777777" w:rsidR="009B5AA5" w:rsidRPr="00FA3F9C" w:rsidRDefault="009B5AA5" w:rsidP="00337321">
            <w:pPr>
              <w:jc w:val="center"/>
              <w:rPr>
                <w:rFonts w:ascii="Arial" w:hAnsi="Arial" w:cs="Arial"/>
                <w:b/>
                <w:sz w:val="24"/>
                <w:szCs w:val="24"/>
                <w:u w:val="single"/>
              </w:rPr>
            </w:pPr>
          </w:p>
        </w:tc>
      </w:tr>
      <w:tr w:rsidR="009B5AA5" w:rsidRPr="00FA3F9C" w14:paraId="354EFA20" w14:textId="77777777" w:rsidTr="00337321">
        <w:tc>
          <w:tcPr>
            <w:tcW w:w="11016" w:type="dxa"/>
            <w:gridSpan w:val="2"/>
          </w:tcPr>
          <w:p w14:paraId="2FF7178B" w14:textId="77777777" w:rsidR="009B5AA5" w:rsidRPr="00FA3F9C" w:rsidRDefault="009B5AA5" w:rsidP="009B5AA5">
            <w:pPr>
              <w:pStyle w:val="ListParagraph"/>
              <w:numPr>
                <w:ilvl w:val="0"/>
                <w:numId w:val="339"/>
              </w:numPr>
              <w:rPr>
                <w:rFonts w:ascii="Arial" w:hAnsi="Arial" w:cs="Arial"/>
                <w:sz w:val="24"/>
                <w:szCs w:val="24"/>
              </w:rPr>
            </w:pPr>
            <w:r w:rsidRPr="00FA3F9C">
              <w:rPr>
                <w:rFonts w:ascii="Arial" w:hAnsi="Arial" w:cs="Arial"/>
                <w:sz w:val="24"/>
                <w:szCs w:val="24"/>
              </w:rPr>
              <w:t xml:space="preserve"> Diagnosis of aggressive systemic </w:t>
            </w:r>
            <w:proofErr w:type="spellStart"/>
            <w:r w:rsidRPr="00FA3F9C">
              <w:rPr>
                <w:rFonts w:ascii="Arial" w:hAnsi="Arial" w:cs="Arial"/>
                <w:sz w:val="24"/>
                <w:szCs w:val="24"/>
              </w:rPr>
              <w:t>mastocytosis</w:t>
            </w:r>
            <w:proofErr w:type="spellEnd"/>
            <w:r w:rsidRPr="00FA3F9C">
              <w:rPr>
                <w:rFonts w:ascii="Arial" w:hAnsi="Arial" w:cs="Arial"/>
                <w:sz w:val="24"/>
                <w:szCs w:val="24"/>
              </w:rPr>
              <w:t xml:space="preserve">, systemic </w:t>
            </w:r>
            <w:proofErr w:type="spellStart"/>
            <w:r w:rsidRPr="00FA3F9C">
              <w:rPr>
                <w:rFonts w:ascii="Arial" w:hAnsi="Arial" w:cs="Arial"/>
                <w:sz w:val="24"/>
                <w:szCs w:val="24"/>
              </w:rPr>
              <w:t>mastocytosis</w:t>
            </w:r>
            <w:proofErr w:type="spellEnd"/>
            <w:r w:rsidRPr="00FA3F9C">
              <w:rPr>
                <w:rFonts w:ascii="Arial" w:hAnsi="Arial" w:cs="Arial"/>
                <w:sz w:val="24"/>
                <w:szCs w:val="24"/>
              </w:rPr>
              <w:t xml:space="preserve"> with an associated hematologic neoplasm, or mast cell leukemia </w:t>
            </w:r>
          </w:p>
        </w:tc>
      </w:tr>
      <w:tr w:rsidR="009B5AA5" w:rsidRPr="00FA3F9C" w14:paraId="3E1B6798" w14:textId="77777777" w:rsidTr="00337321">
        <w:tc>
          <w:tcPr>
            <w:tcW w:w="11016" w:type="dxa"/>
            <w:gridSpan w:val="2"/>
          </w:tcPr>
          <w:p w14:paraId="31DE742B" w14:textId="77777777" w:rsidR="009B5AA5" w:rsidRPr="00FA3F9C" w:rsidRDefault="009B5AA5" w:rsidP="009B5AA5">
            <w:pPr>
              <w:pStyle w:val="ListParagraph"/>
              <w:numPr>
                <w:ilvl w:val="0"/>
                <w:numId w:val="339"/>
              </w:numPr>
              <w:rPr>
                <w:rFonts w:ascii="Arial" w:hAnsi="Arial" w:cs="Arial"/>
                <w:sz w:val="24"/>
                <w:szCs w:val="24"/>
              </w:rPr>
            </w:pPr>
            <w:r w:rsidRPr="00FA3F9C">
              <w:rPr>
                <w:rFonts w:ascii="Arial" w:hAnsi="Arial" w:cs="Arial"/>
                <w:sz w:val="24"/>
                <w:szCs w:val="24"/>
              </w:rPr>
              <w:t xml:space="preserve"> Age </w:t>
            </w:r>
            <w:r w:rsidRPr="00FA3F9C">
              <w:rPr>
                <w:rFonts w:ascii="Arial" w:hAnsi="Arial" w:cs="Arial"/>
                <w:sz w:val="24"/>
                <w:szCs w:val="24"/>
                <w:u w:val="single"/>
              </w:rPr>
              <w:t>&gt;</w:t>
            </w:r>
            <w:r w:rsidRPr="00FA3F9C">
              <w:rPr>
                <w:rFonts w:ascii="Arial" w:hAnsi="Arial" w:cs="Arial"/>
                <w:sz w:val="24"/>
                <w:szCs w:val="24"/>
              </w:rPr>
              <w:t>18 years</w:t>
            </w:r>
          </w:p>
        </w:tc>
      </w:tr>
      <w:tr w:rsidR="009B5AA5" w:rsidRPr="00FA3F9C" w14:paraId="605A724A" w14:textId="77777777" w:rsidTr="0065576B">
        <w:trPr>
          <w:trHeight w:val="440"/>
        </w:trPr>
        <w:tc>
          <w:tcPr>
            <w:tcW w:w="11016" w:type="dxa"/>
            <w:gridSpan w:val="2"/>
          </w:tcPr>
          <w:p w14:paraId="3C62011E" w14:textId="77777777" w:rsidR="009B5AA5" w:rsidRPr="00FA3F9C" w:rsidRDefault="009B5AA5" w:rsidP="0065576B">
            <w:pPr>
              <w:rPr>
                <w:rFonts w:ascii="Arial" w:hAnsi="Arial" w:cs="Arial"/>
                <w:b/>
                <w:sz w:val="24"/>
                <w:szCs w:val="24"/>
                <w:u w:val="single"/>
              </w:rPr>
            </w:pPr>
            <w:r w:rsidRPr="00FA3F9C">
              <w:rPr>
                <w:rFonts w:ascii="Arial" w:hAnsi="Arial" w:cs="Arial"/>
                <w:b/>
                <w:sz w:val="24"/>
                <w:szCs w:val="24"/>
              </w:rPr>
              <w:lastRenderedPageBreak/>
              <w:t>Note:  If criteria are fulfilled, approve PA for 12 months.</w:t>
            </w:r>
            <w:r w:rsidRPr="00FA3F9C">
              <w:rPr>
                <w:rFonts w:ascii="Arial" w:hAnsi="Arial" w:cs="Arial"/>
                <w:b/>
                <w:sz w:val="24"/>
                <w:szCs w:val="24"/>
                <w:u w:val="single"/>
              </w:rPr>
              <w:t xml:space="preserve"> </w:t>
            </w:r>
          </w:p>
          <w:p w14:paraId="16D1C001" w14:textId="77777777" w:rsidR="009B5AA5" w:rsidRPr="00FA3F9C" w:rsidRDefault="009B5AA5" w:rsidP="0065576B">
            <w:pPr>
              <w:rPr>
                <w:rFonts w:ascii="Arial" w:hAnsi="Arial" w:cs="Arial"/>
                <w:b/>
                <w:sz w:val="24"/>
                <w:szCs w:val="24"/>
                <w:u w:val="single"/>
              </w:rPr>
            </w:pPr>
            <w:r w:rsidRPr="00FA3F9C">
              <w:rPr>
                <w:rFonts w:ascii="Arial" w:hAnsi="Arial" w:cs="Arial"/>
                <w:b/>
                <w:sz w:val="24"/>
                <w:szCs w:val="24"/>
                <w:u w:val="single"/>
              </w:rPr>
              <w:t>Quantity limits:</w:t>
            </w:r>
          </w:p>
          <w:p w14:paraId="07BFB39E" w14:textId="77777777" w:rsidR="009B5AA5" w:rsidRPr="00FA3F9C" w:rsidRDefault="009B5AA5" w:rsidP="0065576B">
            <w:pPr>
              <w:rPr>
                <w:rFonts w:ascii="Arial" w:hAnsi="Arial" w:cs="Arial"/>
                <w:sz w:val="24"/>
                <w:szCs w:val="24"/>
              </w:rPr>
            </w:pPr>
            <w:r w:rsidRPr="00FA3F9C">
              <w:rPr>
                <w:rFonts w:ascii="Arial" w:hAnsi="Arial" w:cs="Arial"/>
                <w:sz w:val="24"/>
                <w:szCs w:val="24"/>
              </w:rPr>
              <w:t>8 tabs/day</w:t>
            </w:r>
          </w:p>
        </w:tc>
      </w:tr>
      <w:tr w:rsidR="009B5AA5" w:rsidRPr="00FA3F9C" w14:paraId="674E560A" w14:textId="77777777" w:rsidTr="0065576B">
        <w:trPr>
          <w:trHeight w:val="1052"/>
        </w:trPr>
        <w:tc>
          <w:tcPr>
            <w:tcW w:w="11016" w:type="dxa"/>
            <w:gridSpan w:val="2"/>
          </w:tcPr>
          <w:p w14:paraId="08DF5C13" w14:textId="77777777" w:rsidR="009B5AA5" w:rsidRPr="00FA3F9C" w:rsidRDefault="009B5AA5" w:rsidP="00337321">
            <w:pPr>
              <w:rPr>
                <w:rFonts w:ascii="Arial" w:hAnsi="Arial" w:cs="Arial"/>
                <w:sz w:val="24"/>
                <w:szCs w:val="24"/>
              </w:rPr>
            </w:pPr>
          </w:p>
          <w:p w14:paraId="7BDBFA8C" w14:textId="77777777" w:rsidR="009B5AA5" w:rsidRPr="00FA3F9C" w:rsidRDefault="009B5AA5" w:rsidP="00337321">
            <w:pPr>
              <w:rPr>
                <w:rFonts w:ascii="Arial" w:hAnsi="Arial" w:cs="Arial"/>
                <w:sz w:val="24"/>
                <w:szCs w:val="24"/>
              </w:rPr>
            </w:pPr>
            <w:r w:rsidRPr="00FA3F9C">
              <w:rPr>
                <w:rFonts w:ascii="Arial" w:hAnsi="Arial" w:cs="Arial"/>
                <w:sz w:val="24"/>
                <w:szCs w:val="24"/>
              </w:rPr>
              <w:t>Dose: 100 mg PO bid until disease progression or unacceptable toxicity</w:t>
            </w:r>
          </w:p>
          <w:p w14:paraId="4127CF29" w14:textId="77777777" w:rsidR="009B5AA5" w:rsidRPr="00FA3F9C" w:rsidRDefault="009B5AA5" w:rsidP="00337321">
            <w:pPr>
              <w:rPr>
                <w:rFonts w:ascii="Arial" w:hAnsi="Arial" w:cs="Arial"/>
                <w:sz w:val="24"/>
                <w:szCs w:val="24"/>
              </w:rPr>
            </w:pPr>
            <w:proofErr w:type="spellStart"/>
            <w:r w:rsidRPr="00FA3F9C">
              <w:rPr>
                <w:rFonts w:ascii="Arial" w:hAnsi="Arial" w:cs="Arial"/>
                <w:sz w:val="24"/>
                <w:szCs w:val="24"/>
              </w:rPr>
              <w:t>Midostaurin</w:t>
            </w:r>
            <w:proofErr w:type="spellEnd"/>
            <w:r w:rsidRPr="00FA3F9C">
              <w:rPr>
                <w:rFonts w:ascii="Arial" w:hAnsi="Arial" w:cs="Arial"/>
                <w:sz w:val="24"/>
                <w:szCs w:val="24"/>
              </w:rPr>
              <w:t xml:space="preserve"> improves symptoms, quality of life, and measures of disease burden. According to a retrospective review, </w:t>
            </w:r>
            <w:proofErr w:type="spellStart"/>
            <w:r w:rsidRPr="00FA3F9C">
              <w:rPr>
                <w:rFonts w:ascii="Arial" w:hAnsi="Arial" w:cs="Arial"/>
                <w:sz w:val="24"/>
                <w:szCs w:val="24"/>
              </w:rPr>
              <w:t>midostaurin</w:t>
            </w:r>
            <w:proofErr w:type="spellEnd"/>
            <w:r w:rsidRPr="00FA3F9C">
              <w:rPr>
                <w:rFonts w:ascii="Arial" w:hAnsi="Arial" w:cs="Arial"/>
                <w:sz w:val="24"/>
                <w:szCs w:val="24"/>
              </w:rPr>
              <w:t xml:space="preserve"> may improve overall survival as well.</w:t>
            </w:r>
          </w:p>
          <w:p w14:paraId="2F432CF1" w14:textId="77777777" w:rsidR="009B5AA5" w:rsidRPr="00FA3F9C" w:rsidRDefault="009B5AA5" w:rsidP="00337321">
            <w:pPr>
              <w:rPr>
                <w:rFonts w:ascii="Arial" w:hAnsi="Arial" w:cs="Arial"/>
                <w:sz w:val="24"/>
                <w:szCs w:val="24"/>
              </w:rPr>
            </w:pPr>
            <w:r w:rsidRPr="00FA3F9C">
              <w:rPr>
                <w:rFonts w:ascii="Arial" w:hAnsi="Arial" w:cs="Arial"/>
                <w:noProof/>
                <w:sz w:val="24"/>
                <w:szCs w:val="24"/>
              </w:rPr>
              <w:drawing>
                <wp:inline distT="0" distB="0" distL="0" distR="0" wp14:anchorId="22AC045B" wp14:editId="3C2FECB4">
                  <wp:extent cx="4460682" cy="215806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6"/>
                          <a:stretch>
                            <a:fillRect/>
                          </a:stretch>
                        </pic:blipFill>
                        <pic:spPr>
                          <a:xfrm>
                            <a:off x="0" y="0"/>
                            <a:ext cx="4485669" cy="2170150"/>
                          </a:xfrm>
                          <a:prstGeom prst="rect">
                            <a:avLst/>
                          </a:prstGeom>
                        </pic:spPr>
                      </pic:pic>
                    </a:graphicData>
                  </a:graphic>
                </wp:inline>
              </w:drawing>
            </w:r>
          </w:p>
          <w:p w14:paraId="3F1FD33F" w14:textId="77777777" w:rsidR="009B5AA5" w:rsidRPr="00FA3F9C" w:rsidRDefault="009B5AA5" w:rsidP="0065576B">
            <w:pPr>
              <w:rPr>
                <w:rFonts w:ascii="Arial" w:hAnsi="Arial" w:cs="Arial"/>
                <w:sz w:val="24"/>
                <w:szCs w:val="24"/>
                <w:u w:val="single"/>
              </w:rPr>
            </w:pPr>
            <w:r w:rsidRPr="00FA3F9C">
              <w:rPr>
                <w:rFonts w:ascii="Arial" w:hAnsi="Arial" w:cs="Arial"/>
                <w:sz w:val="24"/>
                <w:szCs w:val="24"/>
                <w:u w:val="single"/>
              </w:rPr>
              <w:t>References:</w:t>
            </w:r>
          </w:p>
          <w:p w14:paraId="42F7EC7B" w14:textId="77777777" w:rsidR="009B5AA5" w:rsidRPr="00FA3F9C" w:rsidRDefault="009B5AA5" w:rsidP="009B5AA5">
            <w:pPr>
              <w:pStyle w:val="ListParagraph"/>
              <w:numPr>
                <w:ilvl w:val="0"/>
                <w:numId w:val="340"/>
              </w:numPr>
              <w:spacing w:line="276" w:lineRule="auto"/>
              <w:ind w:left="427"/>
              <w:rPr>
                <w:rFonts w:ascii="Arial" w:hAnsi="Arial" w:cs="Arial"/>
                <w:sz w:val="24"/>
                <w:szCs w:val="24"/>
              </w:rPr>
            </w:pPr>
            <w:proofErr w:type="spellStart"/>
            <w:r w:rsidRPr="00FA3F9C">
              <w:rPr>
                <w:rFonts w:ascii="Arial" w:hAnsi="Arial" w:cs="Arial"/>
                <w:color w:val="212121"/>
                <w:sz w:val="24"/>
                <w:szCs w:val="24"/>
                <w:shd w:val="clear" w:color="auto" w:fill="FFFFFF"/>
              </w:rPr>
              <w:t>Gotlib</w:t>
            </w:r>
            <w:proofErr w:type="spellEnd"/>
            <w:r w:rsidRPr="00FA3F9C">
              <w:rPr>
                <w:rFonts w:ascii="Arial" w:hAnsi="Arial" w:cs="Arial"/>
                <w:color w:val="212121"/>
                <w:sz w:val="24"/>
                <w:szCs w:val="24"/>
                <w:shd w:val="clear" w:color="auto" w:fill="FFFFFF"/>
              </w:rPr>
              <w:t xml:space="preserve"> J et al. Efficacy and Safety of </w:t>
            </w:r>
            <w:proofErr w:type="spellStart"/>
            <w:r w:rsidRPr="00FA3F9C">
              <w:rPr>
                <w:rFonts w:ascii="Arial" w:hAnsi="Arial" w:cs="Arial"/>
                <w:color w:val="212121"/>
                <w:sz w:val="24"/>
                <w:szCs w:val="24"/>
                <w:shd w:val="clear" w:color="auto" w:fill="FFFFFF"/>
              </w:rPr>
              <w:t>Midostaurin</w:t>
            </w:r>
            <w:proofErr w:type="spellEnd"/>
            <w:r w:rsidRPr="00FA3F9C">
              <w:rPr>
                <w:rFonts w:ascii="Arial" w:hAnsi="Arial" w:cs="Arial"/>
                <w:color w:val="212121"/>
                <w:sz w:val="24"/>
                <w:szCs w:val="24"/>
                <w:shd w:val="clear" w:color="auto" w:fill="FFFFFF"/>
              </w:rPr>
              <w:t xml:space="preserve"> in Advanced Systemic </w:t>
            </w:r>
            <w:proofErr w:type="spellStart"/>
            <w:r w:rsidRPr="00FA3F9C">
              <w:rPr>
                <w:rFonts w:ascii="Arial" w:hAnsi="Arial" w:cs="Arial"/>
                <w:color w:val="212121"/>
                <w:sz w:val="24"/>
                <w:szCs w:val="24"/>
                <w:shd w:val="clear" w:color="auto" w:fill="FFFFFF"/>
              </w:rPr>
              <w:t>Mastocytosis</w:t>
            </w:r>
            <w:proofErr w:type="spellEnd"/>
            <w:r w:rsidRPr="00FA3F9C">
              <w:rPr>
                <w:rFonts w:ascii="Arial" w:hAnsi="Arial" w:cs="Arial"/>
                <w:color w:val="212121"/>
                <w:sz w:val="24"/>
                <w:szCs w:val="24"/>
                <w:shd w:val="clear" w:color="auto" w:fill="FFFFFF"/>
              </w:rPr>
              <w:t xml:space="preserve">. N </w:t>
            </w:r>
            <w:proofErr w:type="spellStart"/>
            <w:r w:rsidRPr="00FA3F9C">
              <w:rPr>
                <w:rFonts w:ascii="Arial" w:hAnsi="Arial" w:cs="Arial"/>
                <w:color w:val="212121"/>
                <w:sz w:val="24"/>
                <w:szCs w:val="24"/>
                <w:shd w:val="clear" w:color="auto" w:fill="FFFFFF"/>
              </w:rPr>
              <w:t>Engl</w:t>
            </w:r>
            <w:proofErr w:type="spellEnd"/>
            <w:r w:rsidRPr="00FA3F9C">
              <w:rPr>
                <w:rFonts w:ascii="Arial" w:hAnsi="Arial" w:cs="Arial"/>
                <w:color w:val="212121"/>
                <w:sz w:val="24"/>
                <w:szCs w:val="24"/>
                <w:shd w:val="clear" w:color="auto" w:fill="FFFFFF"/>
              </w:rPr>
              <w:t xml:space="preserve"> J Med. 2016 Jun 30;374(26):2530-41. </w:t>
            </w:r>
            <w:proofErr w:type="spellStart"/>
            <w:r w:rsidRPr="00FA3F9C">
              <w:rPr>
                <w:rFonts w:ascii="Arial" w:hAnsi="Arial" w:cs="Arial"/>
                <w:color w:val="212121"/>
                <w:sz w:val="24"/>
                <w:szCs w:val="24"/>
                <w:shd w:val="clear" w:color="auto" w:fill="FFFFFF"/>
              </w:rPr>
              <w:t>doi</w:t>
            </w:r>
            <w:proofErr w:type="spellEnd"/>
            <w:r w:rsidRPr="00FA3F9C">
              <w:rPr>
                <w:rFonts w:ascii="Arial" w:hAnsi="Arial" w:cs="Arial"/>
                <w:color w:val="212121"/>
                <w:sz w:val="24"/>
                <w:szCs w:val="24"/>
                <w:shd w:val="clear" w:color="auto" w:fill="FFFFFF"/>
              </w:rPr>
              <w:t>: 10.1056/NEJMoa1513098. PMID: 27355533.</w:t>
            </w:r>
          </w:p>
          <w:p w14:paraId="3C38074C" w14:textId="77777777" w:rsidR="009B5AA5" w:rsidRPr="00FA3F9C" w:rsidRDefault="009B5AA5" w:rsidP="009B5AA5">
            <w:pPr>
              <w:pStyle w:val="ListParagraph"/>
              <w:numPr>
                <w:ilvl w:val="0"/>
                <w:numId w:val="340"/>
              </w:numPr>
              <w:spacing w:line="276" w:lineRule="auto"/>
              <w:ind w:left="427"/>
              <w:rPr>
                <w:rFonts w:ascii="Arial" w:hAnsi="Arial" w:cs="Arial"/>
                <w:sz w:val="24"/>
                <w:szCs w:val="24"/>
              </w:rPr>
            </w:pPr>
            <w:r w:rsidRPr="00FA3F9C">
              <w:rPr>
                <w:rFonts w:ascii="Arial" w:hAnsi="Arial" w:cs="Arial"/>
                <w:sz w:val="24"/>
                <w:szCs w:val="24"/>
              </w:rPr>
              <w:t>Hartmann, Karin (08/2020). "</w:t>
            </w:r>
            <w:proofErr w:type="spellStart"/>
            <w:r w:rsidRPr="00FA3F9C">
              <w:rPr>
                <w:rFonts w:ascii="Arial" w:hAnsi="Arial" w:cs="Arial"/>
                <w:sz w:val="24"/>
                <w:szCs w:val="24"/>
              </w:rPr>
              <w:t>Midostaurin</w:t>
            </w:r>
            <w:proofErr w:type="spellEnd"/>
            <w:r w:rsidRPr="00FA3F9C">
              <w:rPr>
                <w:rFonts w:ascii="Arial" w:hAnsi="Arial" w:cs="Arial"/>
                <w:sz w:val="24"/>
                <w:szCs w:val="24"/>
              </w:rPr>
              <w:t xml:space="preserve"> improves quality of life and mediator-related symptoms in advanced systemic </w:t>
            </w:r>
            <w:proofErr w:type="spellStart"/>
            <w:r w:rsidRPr="00FA3F9C">
              <w:rPr>
                <w:rFonts w:ascii="Arial" w:hAnsi="Arial" w:cs="Arial"/>
                <w:sz w:val="24"/>
                <w:szCs w:val="24"/>
              </w:rPr>
              <w:t>mastocytosis</w:t>
            </w:r>
            <w:proofErr w:type="spellEnd"/>
            <w:r w:rsidRPr="00FA3F9C">
              <w:rPr>
                <w:rFonts w:ascii="Arial" w:hAnsi="Arial" w:cs="Arial"/>
                <w:sz w:val="24"/>
                <w:szCs w:val="24"/>
              </w:rPr>
              <w:t>.". Journal of allergy and clinical immunology (0091-6749), 146 (2), p. 356.</w:t>
            </w:r>
          </w:p>
          <w:p w14:paraId="4C7CB591" w14:textId="77777777" w:rsidR="009B5AA5" w:rsidRPr="00FA3F9C" w:rsidRDefault="009B5AA5" w:rsidP="009B5AA5">
            <w:pPr>
              <w:pStyle w:val="ListParagraph"/>
              <w:numPr>
                <w:ilvl w:val="0"/>
                <w:numId w:val="340"/>
              </w:numPr>
              <w:spacing w:line="276" w:lineRule="auto"/>
              <w:ind w:left="427"/>
              <w:rPr>
                <w:rFonts w:ascii="Arial" w:hAnsi="Arial" w:cs="Arial"/>
                <w:sz w:val="24"/>
                <w:szCs w:val="24"/>
              </w:rPr>
            </w:pPr>
            <w:proofErr w:type="spellStart"/>
            <w:r w:rsidRPr="00FA3F9C">
              <w:rPr>
                <w:rFonts w:ascii="Arial" w:hAnsi="Arial" w:cs="Arial"/>
                <w:color w:val="212121"/>
                <w:sz w:val="24"/>
                <w:szCs w:val="24"/>
                <w:shd w:val="clear" w:color="auto" w:fill="FFFFFF"/>
              </w:rPr>
              <w:t>Chandesris</w:t>
            </w:r>
            <w:proofErr w:type="spellEnd"/>
            <w:r w:rsidRPr="00FA3F9C">
              <w:rPr>
                <w:rFonts w:ascii="Arial" w:hAnsi="Arial" w:cs="Arial"/>
                <w:color w:val="212121"/>
                <w:sz w:val="24"/>
                <w:szCs w:val="24"/>
                <w:shd w:val="clear" w:color="auto" w:fill="FFFFFF"/>
              </w:rPr>
              <w:t xml:space="preserve"> MO et al. </w:t>
            </w:r>
            <w:proofErr w:type="spellStart"/>
            <w:r w:rsidRPr="00FA3F9C">
              <w:rPr>
                <w:rFonts w:ascii="Arial" w:hAnsi="Arial" w:cs="Arial"/>
                <w:color w:val="212121"/>
                <w:sz w:val="24"/>
                <w:szCs w:val="24"/>
                <w:shd w:val="clear" w:color="auto" w:fill="FFFFFF"/>
              </w:rPr>
              <w:t>Midostaurin</w:t>
            </w:r>
            <w:proofErr w:type="spellEnd"/>
            <w:r w:rsidRPr="00FA3F9C">
              <w:rPr>
                <w:rFonts w:ascii="Arial" w:hAnsi="Arial" w:cs="Arial"/>
                <w:color w:val="212121"/>
                <w:sz w:val="24"/>
                <w:szCs w:val="24"/>
                <w:shd w:val="clear" w:color="auto" w:fill="FFFFFF"/>
              </w:rPr>
              <w:t xml:space="preserve"> in Advanced Systemic </w:t>
            </w:r>
            <w:proofErr w:type="spellStart"/>
            <w:r w:rsidRPr="00FA3F9C">
              <w:rPr>
                <w:rFonts w:ascii="Arial" w:hAnsi="Arial" w:cs="Arial"/>
                <w:color w:val="212121"/>
                <w:sz w:val="24"/>
                <w:szCs w:val="24"/>
                <w:shd w:val="clear" w:color="auto" w:fill="FFFFFF"/>
              </w:rPr>
              <w:t>Mastocytosis</w:t>
            </w:r>
            <w:proofErr w:type="spellEnd"/>
            <w:r w:rsidRPr="00FA3F9C">
              <w:rPr>
                <w:rFonts w:ascii="Arial" w:hAnsi="Arial" w:cs="Arial"/>
                <w:color w:val="212121"/>
                <w:sz w:val="24"/>
                <w:szCs w:val="24"/>
                <w:shd w:val="clear" w:color="auto" w:fill="FFFFFF"/>
              </w:rPr>
              <w:t xml:space="preserve">. N </w:t>
            </w:r>
            <w:proofErr w:type="spellStart"/>
            <w:r w:rsidRPr="00FA3F9C">
              <w:rPr>
                <w:rFonts w:ascii="Arial" w:hAnsi="Arial" w:cs="Arial"/>
                <w:color w:val="212121"/>
                <w:sz w:val="24"/>
                <w:szCs w:val="24"/>
                <w:shd w:val="clear" w:color="auto" w:fill="FFFFFF"/>
              </w:rPr>
              <w:t>Engl</w:t>
            </w:r>
            <w:proofErr w:type="spellEnd"/>
            <w:r w:rsidRPr="00FA3F9C">
              <w:rPr>
                <w:rFonts w:ascii="Arial" w:hAnsi="Arial" w:cs="Arial"/>
                <w:color w:val="212121"/>
                <w:sz w:val="24"/>
                <w:szCs w:val="24"/>
                <w:shd w:val="clear" w:color="auto" w:fill="FFFFFF"/>
              </w:rPr>
              <w:t xml:space="preserve"> J Med. 2016 Jun 30;374(26):2605-7. </w:t>
            </w:r>
            <w:proofErr w:type="spellStart"/>
            <w:r w:rsidRPr="00FA3F9C">
              <w:rPr>
                <w:rFonts w:ascii="Arial" w:hAnsi="Arial" w:cs="Arial"/>
                <w:color w:val="212121"/>
                <w:sz w:val="24"/>
                <w:szCs w:val="24"/>
                <w:shd w:val="clear" w:color="auto" w:fill="FFFFFF"/>
              </w:rPr>
              <w:t>doi</w:t>
            </w:r>
            <w:proofErr w:type="spellEnd"/>
            <w:r w:rsidRPr="00FA3F9C">
              <w:rPr>
                <w:rFonts w:ascii="Arial" w:hAnsi="Arial" w:cs="Arial"/>
                <w:color w:val="212121"/>
                <w:sz w:val="24"/>
                <w:szCs w:val="24"/>
                <w:shd w:val="clear" w:color="auto" w:fill="FFFFFF"/>
              </w:rPr>
              <w:t>: 10.1056/NEJMc1515403. PMID: 27355555.</w:t>
            </w:r>
          </w:p>
        </w:tc>
      </w:tr>
    </w:tbl>
    <w:p w14:paraId="434799B8" w14:textId="77777777" w:rsidR="009B5AA5" w:rsidRPr="00FA3F9C" w:rsidRDefault="009B5AA5" w:rsidP="0065576B">
      <w:pPr>
        <w:spacing w:after="0"/>
        <w:rPr>
          <w:rFonts w:ascii="Arial" w:hAnsi="Arial" w:cs="Arial"/>
          <w:b/>
          <w:sz w:val="24"/>
          <w:szCs w:val="24"/>
          <w:u w:val="single"/>
        </w:rPr>
      </w:pPr>
    </w:p>
    <w:p w14:paraId="2CE10AC0" w14:textId="77777777" w:rsidR="009B5AA5" w:rsidRPr="00FA3F9C" w:rsidRDefault="009B5AA5" w:rsidP="0065576B">
      <w:pPr>
        <w:spacing w:after="0"/>
        <w:rPr>
          <w:rFonts w:ascii="Arial" w:hAnsi="Arial" w:cs="Arial"/>
          <w:b/>
          <w:sz w:val="24"/>
          <w:szCs w:val="24"/>
          <w:u w:val="single"/>
        </w:rPr>
      </w:pPr>
    </w:p>
    <w:p w14:paraId="50663899" w14:textId="77777777" w:rsidR="009B5AA5" w:rsidRPr="00FA3F9C" w:rsidRDefault="009B5AA5" w:rsidP="0065576B">
      <w:pPr>
        <w:spacing w:after="0"/>
        <w:rPr>
          <w:rFonts w:ascii="Arial" w:hAnsi="Arial" w:cs="Arial"/>
          <w:b/>
          <w:sz w:val="24"/>
          <w:szCs w:val="24"/>
          <w:u w:val="single"/>
        </w:rPr>
      </w:pPr>
    </w:p>
    <w:p w14:paraId="7C961F0B" w14:textId="77777777" w:rsidR="009B5AA5" w:rsidRPr="00FA3F9C" w:rsidRDefault="009B5AA5" w:rsidP="0065576B">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006"/>
        <w:gridCol w:w="8657"/>
        <w:gridCol w:w="1353"/>
      </w:tblGrid>
      <w:tr w:rsidR="009B5AA5" w:rsidRPr="00FA3F9C" w14:paraId="4E2A9EEA" w14:textId="77777777" w:rsidTr="00337321">
        <w:tc>
          <w:tcPr>
            <w:tcW w:w="1006" w:type="dxa"/>
          </w:tcPr>
          <w:p w14:paraId="2631E48E" w14:textId="77777777" w:rsidR="009B5AA5" w:rsidRPr="00FA3F9C" w:rsidRDefault="009B5AA5" w:rsidP="00500AD5">
            <w:r w:rsidRPr="00FA3F9C">
              <w:lastRenderedPageBreak/>
              <w:t>Date</w:t>
            </w:r>
          </w:p>
        </w:tc>
        <w:tc>
          <w:tcPr>
            <w:tcW w:w="8657" w:type="dxa"/>
          </w:tcPr>
          <w:p w14:paraId="6319E34A" w14:textId="77777777" w:rsidR="009B5AA5" w:rsidRPr="00FA3F9C" w:rsidRDefault="009B5AA5" w:rsidP="00500AD5">
            <w:r w:rsidRPr="00FA3F9C">
              <w:t>What changed</w:t>
            </w:r>
          </w:p>
        </w:tc>
        <w:tc>
          <w:tcPr>
            <w:tcW w:w="1353" w:type="dxa"/>
          </w:tcPr>
          <w:p w14:paraId="73318790" w14:textId="77777777" w:rsidR="009B5AA5" w:rsidRPr="00FA3F9C" w:rsidRDefault="009B5AA5" w:rsidP="00500AD5">
            <w:r w:rsidRPr="00FA3F9C">
              <w:t>Pharmacist’s initials</w:t>
            </w:r>
          </w:p>
        </w:tc>
      </w:tr>
      <w:tr w:rsidR="009B5AA5" w:rsidRPr="00FA3F9C" w14:paraId="6EEC1DE1" w14:textId="77777777" w:rsidTr="00337321">
        <w:tc>
          <w:tcPr>
            <w:tcW w:w="1006" w:type="dxa"/>
          </w:tcPr>
          <w:p w14:paraId="541F5DBC" w14:textId="77777777" w:rsidR="009B5AA5" w:rsidRPr="00FA3F9C" w:rsidRDefault="009B5AA5" w:rsidP="00500AD5">
            <w:r w:rsidRPr="00FA3F9C">
              <w:t>9/8/17</w:t>
            </w:r>
          </w:p>
        </w:tc>
        <w:tc>
          <w:tcPr>
            <w:tcW w:w="8657" w:type="dxa"/>
          </w:tcPr>
          <w:p w14:paraId="525BD042" w14:textId="77777777" w:rsidR="009B5AA5" w:rsidRPr="00FA3F9C" w:rsidRDefault="009B5AA5" w:rsidP="00500AD5">
            <w:pPr>
              <w:rPr>
                <w:b/>
              </w:rPr>
            </w:pPr>
            <w:r w:rsidRPr="00FA3F9C">
              <w:t xml:space="preserve">We wrote the criteria.  </w:t>
            </w:r>
          </w:p>
          <w:p w14:paraId="27516173" w14:textId="77777777" w:rsidR="009B5AA5" w:rsidRPr="00FA3F9C" w:rsidRDefault="009B5AA5" w:rsidP="00500AD5">
            <w:pPr>
              <w:rPr>
                <w:b/>
              </w:rPr>
            </w:pPr>
            <w:r w:rsidRPr="00FA3F9C">
              <w:t xml:space="preserve">Systemic </w:t>
            </w:r>
            <w:proofErr w:type="spellStart"/>
            <w:r w:rsidRPr="00FA3F9C">
              <w:t>mastocytosis</w:t>
            </w:r>
            <w:proofErr w:type="spellEnd"/>
            <w:r w:rsidRPr="00FA3F9C">
              <w:t xml:space="preserve"> OS data are pending (</w:t>
            </w:r>
            <w:r w:rsidRPr="00FA3F9C">
              <w:rPr>
                <w:shd w:val="clear" w:color="auto" w:fill="FFFFFF"/>
              </w:rPr>
              <w:t>NCT00233454</w:t>
            </w:r>
            <w:r w:rsidRPr="00FA3F9C">
              <w:t>Phase II </w:t>
            </w:r>
            <w:proofErr w:type="spellStart"/>
            <w:r w:rsidRPr="00FA3F9C">
              <w:rPr>
                <w:shd w:val="clear" w:color="auto" w:fill="FFFFDD"/>
              </w:rPr>
              <w:t>Midostaurin</w:t>
            </w:r>
            <w:proofErr w:type="spellEnd"/>
            <w:r w:rsidRPr="00FA3F9C">
              <w:t> in Aggressive </w:t>
            </w:r>
            <w:r w:rsidRPr="00FA3F9C">
              <w:rPr>
                <w:shd w:val="clear" w:color="auto" w:fill="FFFFDD"/>
              </w:rPr>
              <w:t xml:space="preserve">Systemic </w:t>
            </w:r>
            <w:proofErr w:type="spellStart"/>
            <w:r w:rsidRPr="00FA3F9C">
              <w:rPr>
                <w:shd w:val="clear" w:color="auto" w:fill="FFFFDD"/>
              </w:rPr>
              <w:t>Mastocytosis</w:t>
            </w:r>
            <w:proofErr w:type="spellEnd"/>
            <w:r w:rsidRPr="00FA3F9C">
              <w:t> and Mast Cell Leukemia).</w:t>
            </w:r>
          </w:p>
          <w:p w14:paraId="78143AB6" w14:textId="77777777" w:rsidR="009B5AA5" w:rsidRPr="00FA3F9C" w:rsidRDefault="009B5AA5" w:rsidP="00500AD5">
            <w:pPr>
              <w:rPr>
                <w:b/>
              </w:rPr>
            </w:pPr>
            <w:r w:rsidRPr="00FA3F9C">
              <w:t>Efficacy and Safety of </w:t>
            </w:r>
            <w:proofErr w:type="spellStart"/>
            <w:r w:rsidRPr="00FA3F9C">
              <w:rPr>
                <w:rStyle w:val="hitinf"/>
                <w:rFonts w:ascii="Arial" w:hAnsi="Arial" w:cs="Arial"/>
                <w:color w:val="000000"/>
                <w:sz w:val="24"/>
                <w:szCs w:val="24"/>
                <w:shd w:val="clear" w:color="auto" w:fill="FFFFDD"/>
              </w:rPr>
              <w:t>Midostaurin</w:t>
            </w:r>
            <w:proofErr w:type="spellEnd"/>
            <w:r w:rsidRPr="00FA3F9C">
              <w:t xml:space="preserve"> in Patients </w:t>
            </w:r>
            <w:proofErr w:type="gramStart"/>
            <w:r w:rsidRPr="00FA3F9C">
              <w:t>With</w:t>
            </w:r>
            <w:proofErr w:type="gramEnd"/>
            <w:r w:rsidRPr="00FA3F9C">
              <w:t xml:space="preserve"> Aggressive </w:t>
            </w:r>
            <w:r w:rsidRPr="00FA3F9C">
              <w:rPr>
                <w:rStyle w:val="hitinf"/>
                <w:rFonts w:ascii="Arial" w:hAnsi="Arial" w:cs="Arial"/>
                <w:color w:val="000000"/>
                <w:sz w:val="24"/>
                <w:szCs w:val="24"/>
                <w:shd w:val="clear" w:color="auto" w:fill="FFFFDD"/>
              </w:rPr>
              <w:t xml:space="preserve">Systemic </w:t>
            </w:r>
            <w:proofErr w:type="spellStart"/>
            <w:r w:rsidRPr="00FA3F9C">
              <w:rPr>
                <w:rStyle w:val="hitinf"/>
                <w:rFonts w:ascii="Arial" w:hAnsi="Arial" w:cs="Arial"/>
                <w:color w:val="000000"/>
                <w:sz w:val="24"/>
                <w:szCs w:val="24"/>
                <w:shd w:val="clear" w:color="auto" w:fill="FFFFDD"/>
              </w:rPr>
              <w:t>Mastocytosis</w:t>
            </w:r>
            <w:proofErr w:type="spellEnd"/>
            <w:r w:rsidRPr="00FA3F9C">
              <w:t> or Mast Cell Leukemia (</w:t>
            </w:r>
            <w:r w:rsidRPr="00FA3F9C">
              <w:rPr>
                <w:shd w:val="clear" w:color="auto" w:fill="FFFFFF"/>
              </w:rPr>
              <w:t>NCT00782067)—OS data pending.  Awaiting results at 5 years. 100mg BID</w:t>
            </w:r>
          </w:p>
        </w:tc>
        <w:tc>
          <w:tcPr>
            <w:tcW w:w="1353" w:type="dxa"/>
          </w:tcPr>
          <w:p w14:paraId="3B1D5253" w14:textId="799C65D1" w:rsidR="009B5AA5" w:rsidRPr="00FA3F9C" w:rsidRDefault="009B5AA5" w:rsidP="00500AD5">
            <w:r w:rsidRPr="00FA3F9C">
              <w:t>JJ/</w:t>
            </w:r>
            <w:r w:rsidR="005C142D" w:rsidRPr="00FA3F9C">
              <w:t>JK</w:t>
            </w:r>
          </w:p>
        </w:tc>
      </w:tr>
      <w:tr w:rsidR="009B5AA5" w:rsidRPr="00FA3F9C" w14:paraId="415A9380" w14:textId="77777777" w:rsidTr="00337321">
        <w:tc>
          <w:tcPr>
            <w:tcW w:w="1006" w:type="dxa"/>
          </w:tcPr>
          <w:p w14:paraId="734337DF" w14:textId="77777777" w:rsidR="009B5AA5" w:rsidRPr="00FA3F9C" w:rsidRDefault="009B5AA5" w:rsidP="00500AD5">
            <w:r w:rsidRPr="00FA3F9C">
              <w:t>1/29/20</w:t>
            </w:r>
          </w:p>
        </w:tc>
        <w:tc>
          <w:tcPr>
            <w:tcW w:w="8657" w:type="dxa"/>
          </w:tcPr>
          <w:p w14:paraId="74C35F05" w14:textId="77777777" w:rsidR="009B5AA5" w:rsidRPr="00FA3F9C" w:rsidRDefault="009B5AA5" w:rsidP="00500AD5">
            <w:pPr>
              <w:rPr>
                <w:b/>
              </w:rPr>
            </w:pPr>
            <w:r w:rsidRPr="00FA3F9C">
              <w:t xml:space="preserve">Criteria reviewed. Simplified wording and approval limits for AML indication. </w:t>
            </w:r>
          </w:p>
        </w:tc>
        <w:tc>
          <w:tcPr>
            <w:tcW w:w="1353" w:type="dxa"/>
          </w:tcPr>
          <w:p w14:paraId="06212A25" w14:textId="77777777" w:rsidR="009B5AA5" w:rsidRPr="00FA3F9C" w:rsidRDefault="009B5AA5" w:rsidP="00500AD5">
            <w:r w:rsidRPr="00FA3F9C">
              <w:t xml:space="preserve">SK </w:t>
            </w:r>
          </w:p>
        </w:tc>
      </w:tr>
      <w:tr w:rsidR="009B5AA5" w:rsidRPr="00FA3F9C" w14:paraId="6BC6BF10" w14:textId="77777777" w:rsidTr="00337321">
        <w:tc>
          <w:tcPr>
            <w:tcW w:w="1006" w:type="dxa"/>
          </w:tcPr>
          <w:p w14:paraId="4AD968F8" w14:textId="77777777" w:rsidR="009B5AA5" w:rsidRPr="00FA3F9C" w:rsidRDefault="009B5AA5" w:rsidP="00500AD5">
            <w:r w:rsidRPr="00FA3F9C">
              <w:t>4/29/21</w:t>
            </w:r>
          </w:p>
        </w:tc>
        <w:tc>
          <w:tcPr>
            <w:tcW w:w="8657" w:type="dxa"/>
          </w:tcPr>
          <w:p w14:paraId="119CD946" w14:textId="77777777" w:rsidR="009B5AA5" w:rsidRPr="00FA3F9C" w:rsidRDefault="009B5AA5" w:rsidP="00500AD5">
            <w:pPr>
              <w:rPr>
                <w:b/>
              </w:rPr>
            </w:pPr>
            <w:r w:rsidRPr="00FA3F9C">
              <w:t xml:space="preserve">Criteria reviewed. Added criteria for </w:t>
            </w:r>
            <w:proofErr w:type="spellStart"/>
            <w:r w:rsidRPr="00FA3F9C">
              <w:t>mastocytosis</w:t>
            </w:r>
            <w:proofErr w:type="spellEnd"/>
            <w:r w:rsidRPr="00FA3F9C">
              <w:t>.</w:t>
            </w:r>
          </w:p>
        </w:tc>
        <w:tc>
          <w:tcPr>
            <w:tcW w:w="1353" w:type="dxa"/>
          </w:tcPr>
          <w:p w14:paraId="49480A7A" w14:textId="77777777" w:rsidR="009B5AA5" w:rsidRPr="00FA3F9C" w:rsidRDefault="009B5AA5" w:rsidP="00500AD5">
            <w:r w:rsidRPr="00FA3F9C">
              <w:t>SK</w:t>
            </w:r>
          </w:p>
        </w:tc>
      </w:tr>
    </w:tbl>
    <w:p w14:paraId="429CB35C" w14:textId="77777777" w:rsidR="009B5AA5" w:rsidRPr="00FA3F9C" w:rsidRDefault="009B5AA5" w:rsidP="0065576B">
      <w:pPr>
        <w:spacing w:after="0"/>
        <w:rPr>
          <w:rFonts w:ascii="Arial" w:hAnsi="Arial" w:cs="Arial"/>
          <w:sz w:val="24"/>
          <w:szCs w:val="24"/>
        </w:rPr>
      </w:pPr>
    </w:p>
    <w:p w14:paraId="1099B5A7" w14:textId="77777777" w:rsidR="009B5AA5" w:rsidRPr="00FA3F9C" w:rsidRDefault="009B5AA5" w:rsidP="0065576B">
      <w:pPr>
        <w:spacing w:after="0"/>
        <w:rPr>
          <w:rFonts w:ascii="Arial" w:hAnsi="Arial" w:cs="Arial"/>
          <w:sz w:val="24"/>
          <w:szCs w:val="24"/>
        </w:rPr>
      </w:pPr>
    </w:p>
    <w:p w14:paraId="73DA8A5A" w14:textId="77777777" w:rsidR="009B5AA5" w:rsidRPr="00FA3F9C" w:rsidRDefault="009B5AA5" w:rsidP="0065576B">
      <w:pPr>
        <w:spacing w:after="0"/>
        <w:rPr>
          <w:rFonts w:ascii="Arial" w:hAnsi="Arial" w:cs="Arial"/>
          <w:sz w:val="24"/>
          <w:szCs w:val="24"/>
        </w:rPr>
      </w:pPr>
    </w:p>
    <w:p w14:paraId="21FA91DD" w14:textId="77777777" w:rsidR="009B5AA5" w:rsidRPr="00FA3F9C" w:rsidRDefault="009B5AA5" w:rsidP="0065576B">
      <w:pPr>
        <w:tabs>
          <w:tab w:val="left" w:pos="6812"/>
        </w:tabs>
        <w:rPr>
          <w:rFonts w:ascii="Arial" w:hAnsi="Arial" w:cs="Arial"/>
          <w:sz w:val="24"/>
          <w:szCs w:val="24"/>
        </w:rPr>
      </w:pPr>
      <w:r w:rsidRPr="00FA3F9C">
        <w:rPr>
          <w:rFonts w:ascii="Arial" w:hAnsi="Arial" w:cs="Arial"/>
          <w:sz w:val="24"/>
          <w:szCs w:val="24"/>
        </w:rPr>
        <w:tab/>
      </w:r>
    </w:p>
    <w:p w14:paraId="24BA85CE" w14:textId="77777777" w:rsidR="009B5AA5" w:rsidRPr="00FA3F9C" w:rsidRDefault="009B5AA5">
      <w:pPr>
        <w:rPr>
          <w:rFonts w:ascii="Arial" w:hAnsi="Arial" w:cs="Arial"/>
          <w:sz w:val="24"/>
          <w:szCs w:val="24"/>
        </w:rPr>
      </w:pPr>
    </w:p>
    <w:p w14:paraId="162675F9" w14:textId="77777777" w:rsidR="00953C90" w:rsidRDefault="009B5AA5" w:rsidP="00953C90">
      <w:pPr>
        <w:pStyle w:val="Heading2"/>
      </w:pPr>
      <w:bookmarkStart w:id="212" w:name="_Toc106369860"/>
      <w:r w:rsidRPr="00FA3F9C">
        <w:t>Migalastat (</w:t>
      </w:r>
      <w:proofErr w:type="spellStart"/>
      <w:r w:rsidRPr="00FA3F9C">
        <w:t>Galafold</w:t>
      </w:r>
      <w:proofErr w:type="spellEnd"/>
      <w:r w:rsidRPr="00FA3F9C">
        <w:t>)</w:t>
      </w:r>
      <w:bookmarkEnd w:id="212"/>
      <w:r w:rsidRPr="00FA3F9C">
        <w:t xml:space="preserve"> </w:t>
      </w:r>
    </w:p>
    <w:p w14:paraId="5A2CDBB5" w14:textId="78A612A6" w:rsidR="009B5AA5" w:rsidRPr="00FA3F9C" w:rsidRDefault="009B5AA5" w:rsidP="006F623F">
      <w:pPr>
        <w:spacing w:after="0"/>
        <w:jc w:val="center"/>
        <w:rPr>
          <w:rFonts w:ascii="Arial" w:hAnsi="Arial" w:cs="Arial"/>
          <w:sz w:val="24"/>
          <w:szCs w:val="24"/>
        </w:rPr>
      </w:pPr>
      <w:r w:rsidRPr="00FA3F9C">
        <w:rPr>
          <w:rFonts w:ascii="Arial" w:hAnsi="Arial" w:cs="Arial"/>
          <w:sz w:val="24"/>
          <w:szCs w:val="24"/>
        </w:rPr>
        <w:t xml:space="preserve">123mg Capsule </w:t>
      </w:r>
      <w:r w:rsidRPr="00FA3F9C">
        <w:rPr>
          <w:rFonts w:ascii="Arial" w:hAnsi="Arial" w:cs="Arial"/>
          <w:b/>
          <w:sz w:val="24"/>
          <w:szCs w:val="24"/>
        </w:rPr>
        <w:t xml:space="preserve">[DO NOT CONFUSE WITH </w:t>
      </w:r>
      <w:r w:rsidRPr="00FA3F9C">
        <w:rPr>
          <w:rFonts w:ascii="Arial" w:hAnsi="Arial" w:cs="Arial"/>
          <w:b/>
          <w:sz w:val="24"/>
          <w:szCs w:val="24"/>
          <w:highlight w:val="cyan"/>
        </w:rPr>
        <w:t>MIGLUSTAT</w:t>
      </w:r>
      <w:r w:rsidRPr="00FA3F9C">
        <w:rPr>
          <w:rFonts w:ascii="Arial" w:hAnsi="Arial" w:cs="Arial"/>
          <w:b/>
          <w:sz w:val="24"/>
          <w:szCs w:val="24"/>
        </w:rPr>
        <w:t>]</w:t>
      </w:r>
    </w:p>
    <w:p w14:paraId="05F588E6" w14:textId="77777777" w:rsidR="009B5AA5" w:rsidRPr="00FA3F9C" w:rsidRDefault="009B5AA5" w:rsidP="006F623F">
      <w:pPr>
        <w:spacing w:after="0"/>
        <w:jc w:val="center"/>
        <w:rPr>
          <w:rFonts w:ascii="Arial" w:hAnsi="Arial" w:cs="Arial"/>
          <w:sz w:val="24"/>
          <w:szCs w:val="24"/>
        </w:rPr>
      </w:pPr>
      <w:r w:rsidRPr="00FA3F9C">
        <w:rPr>
          <w:rFonts w:ascii="Arial" w:hAnsi="Arial" w:cs="Arial"/>
          <w:sz w:val="24"/>
          <w:szCs w:val="24"/>
        </w:rPr>
        <w:t>EBRx PA Criteria</w:t>
      </w:r>
    </w:p>
    <w:p w14:paraId="37918060" w14:textId="77777777" w:rsidR="009B5AA5" w:rsidRPr="00FA3F9C" w:rsidRDefault="009B5AA5" w:rsidP="006F623F">
      <w:pPr>
        <w:spacing w:after="0"/>
        <w:rPr>
          <w:rFonts w:ascii="Arial" w:hAnsi="Arial" w:cs="Arial"/>
          <w:b/>
          <w:sz w:val="24"/>
          <w:szCs w:val="24"/>
          <w:u w:val="single"/>
        </w:rPr>
      </w:pPr>
    </w:p>
    <w:p w14:paraId="63F6ABC7" w14:textId="77777777" w:rsidR="009B5AA5" w:rsidRPr="00FA3F9C" w:rsidRDefault="009B5AA5" w:rsidP="00442A04">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w:t>
      </w:r>
      <w:r w:rsidRPr="00FA3F9C">
        <w:rPr>
          <w:rFonts w:ascii="Arial" w:hAnsi="Arial" w:cs="Arial"/>
          <w:b/>
          <w:bCs/>
          <w:color w:val="000000"/>
          <w:sz w:val="24"/>
          <w:szCs w:val="24"/>
          <w:shd w:val="clear" w:color="auto" w:fill="FFFFFF" w:themeFill="background1"/>
        </w:rPr>
        <w:t>Fabry disease:</w:t>
      </w:r>
      <w:r w:rsidRPr="00FA3F9C">
        <w:rPr>
          <w:rFonts w:ascii="Arial" w:hAnsi="Arial" w:cs="Arial"/>
          <w:color w:val="000000"/>
          <w:sz w:val="24"/>
          <w:szCs w:val="24"/>
          <w:shd w:val="clear" w:color="auto" w:fill="FFFFFF" w:themeFill="background1"/>
        </w:rPr>
        <w:t> Treatment of adults with a confirmed diagnosis of Fabry disease and an amenable galactosidase alpha gene (GLA) variant based on in vitro assay data.</w:t>
      </w:r>
    </w:p>
    <w:p w14:paraId="0928E762" w14:textId="77777777" w:rsidR="009B5AA5" w:rsidRPr="00FA3F9C" w:rsidRDefault="009B5AA5" w:rsidP="006F623F">
      <w:pPr>
        <w:spacing w:after="0"/>
        <w:rPr>
          <w:rFonts w:ascii="Arial" w:hAnsi="Arial" w:cs="Arial"/>
          <w:sz w:val="24"/>
          <w:szCs w:val="24"/>
        </w:rPr>
      </w:pPr>
    </w:p>
    <w:tbl>
      <w:tblPr>
        <w:tblStyle w:val="TableGrid"/>
        <w:tblW w:w="0" w:type="auto"/>
        <w:tblLook w:val="04A0" w:firstRow="1" w:lastRow="0" w:firstColumn="1" w:lastColumn="0" w:noHBand="0" w:noVBand="1"/>
      </w:tblPr>
      <w:tblGrid>
        <w:gridCol w:w="8928"/>
        <w:gridCol w:w="2088"/>
      </w:tblGrid>
      <w:tr w:rsidR="009B5AA5" w:rsidRPr="00FA3F9C" w14:paraId="4313DFB5" w14:textId="77777777" w:rsidTr="00571CAB">
        <w:tc>
          <w:tcPr>
            <w:tcW w:w="8928" w:type="dxa"/>
            <w:shd w:val="clear" w:color="auto" w:fill="000000"/>
          </w:tcPr>
          <w:p w14:paraId="01415846" w14:textId="77777777" w:rsidR="009B5AA5" w:rsidRPr="00FA3F9C" w:rsidRDefault="009B5AA5"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88" w:type="dxa"/>
            <w:shd w:val="clear" w:color="auto" w:fill="000000"/>
          </w:tcPr>
          <w:p w14:paraId="42E41559" w14:textId="77777777" w:rsidR="009B5AA5" w:rsidRPr="00FA3F9C" w:rsidRDefault="009B5AA5" w:rsidP="006F623F">
            <w:pPr>
              <w:jc w:val="center"/>
              <w:rPr>
                <w:rFonts w:ascii="Arial" w:hAnsi="Arial" w:cs="Arial"/>
                <w:b/>
                <w:sz w:val="24"/>
                <w:szCs w:val="24"/>
                <w:u w:val="single"/>
              </w:rPr>
            </w:pPr>
          </w:p>
        </w:tc>
      </w:tr>
      <w:tr w:rsidR="009B5AA5" w:rsidRPr="00FA3F9C" w14:paraId="20B94F6D" w14:textId="77777777" w:rsidTr="00F337AE">
        <w:tc>
          <w:tcPr>
            <w:tcW w:w="11016" w:type="dxa"/>
            <w:gridSpan w:val="2"/>
          </w:tcPr>
          <w:p w14:paraId="6C7A0907" w14:textId="77777777" w:rsidR="009B5AA5" w:rsidRPr="00FA3F9C" w:rsidRDefault="009B5AA5" w:rsidP="006F623F">
            <w:pPr>
              <w:rPr>
                <w:rFonts w:ascii="Arial" w:hAnsi="Arial" w:cs="Arial"/>
                <w:sz w:val="24"/>
                <w:szCs w:val="24"/>
              </w:rPr>
            </w:pPr>
            <w:r w:rsidRPr="00FA3F9C">
              <w:rPr>
                <w:rFonts w:ascii="Arial" w:hAnsi="Arial" w:cs="Arial"/>
                <w:sz w:val="24"/>
                <w:szCs w:val="24"/>
              </w:rPr>
              <w:t>1. Patient must have the diagnosis of Fabry Disease and an amenable galactosidase alpha gene (GLA) variant based on in vitro assay data.</w:t>
            </w:r>
          </w:p>
        </w:tc>
      </w:tr>
    </w:tbl>
    <w:p w14:paraId="0028C212" w14:textId="77777777" w:rsidR="009B5AA5" w:rsidRPr="00FA3F9C" w:rsidRDefault="009B5AA5" w:rsidP="006F623F">
      <w:pPr>
        <w:spacing w:after="0"/>
        <w:rPr>
          <w:rFonts w:ascii="Arial" w:hAnsi="Arial" w:cs="Arial"/>
          <w:b/>
          <w:sz w:val="24"/>
          <w:szCs w:val="24"/>
          <w:u w:val="single"/>
        </w:rPr>
      </w:pPr>
    </w:p>
    <w:tbl>
      <w:tblPr>
        <w:tblStyle w:val="TableGrid"/>
        <w:tblW w:w="0" w:type="auto"/>
        <w:shd w:val="clear" w:color="auto" w:fill="BFBFBF" w:themeFill="background1" w:themeFillShade="BF"/>
        <w:tblLook w:val="04A0" w:firstRow="1" w:lastRow="0" w:firstColumn="1" w:lastColumn="0" w:noHBand="0" w:noVBand="1"/>
      </w:tblPr>
      <w:tblGrid>
        <w:gridCol w:w="10998"/>
      </w:tblGrid>
      <w:tr w:rsidR="009B5AA5" w:rsidRPr="00FA3F9C" w14:paraId="2FD8560C" w14:textId="77777777" w:rsidTr="00D82B6E">
        <w:tc>
          <w:tcPr>
            <w:tcW w:w="10998" w:type="dxa"/>
            <w:shd w:val="clear" w:color="auto" w:fill="BFBFBF" w:themeFill="background1" w:themeFillShade="BF"/>
          </w:tcPr>
          <w:p w14:paraId="36A9EC3B" w14:textId="77777777" w:rsidR="009B5AA5" w:rsidRPr="00FA3F9C" w:rsidRDefault="009B5AA5" w:rsidP="00D82B6E">
            <w:pPr>
              <w:rPr>
                <w:rFonts w:ascii="Arial" w:hAnsi="Arial" w:cs="Arial"/>
                <w:sz w:val="24"/>
                <w:szCs w:val="24"/>
              </w:rPr>
            </w:pPr>
            <w:r w:rsidRPr="00FA3F9C">
              <w:rPr>
                <w:rFonts w:ascii="Arial" w:hAnsi="Arial" w:cs="Arial"/>
                <w:sz w:val="24"/>
                <w:szCs w:val="24"/>
              </w:rPr>
              <w:t xml:space="preserve">Note: </w:t>
            </w:r>
            <w:r w:rsidRPr="00FA3F9C">
              <w:rPr>
                <w:rFonts w:ascii="Arial" w:hAnsi="Arial" w:cs="Arial"/>
                <w:sz w:val="24"/>
                <w:szCs w:val="24"/>
                <w:highlight w:val="yellow"/>
              </w:rPr>
              <w:t>DOSING is EVERY OTHER DAY.  DO NOT ADMINISTER DAILY.</w:t>
            </w:r>
          </w:p>
        </w:tc>
      </w:tr>
    </w:tbl>
    <w:p w14:paraId="1969DE95" w14:textId="77777777" w:rsidR="009B5AA5" w:rsidRPr="00FA3F9C" w:rsidRDefault="009B5AA5" w:rsidP="006F623F">
      <w:pPr>
        <w:spacing w:after="0"/>
        <w:rPr>
          <w:rFonts w:ascii="Arial" w:hAnsi="Arial" w:cs="Arial"/>
          <w:sz w:val="24"/>
          <w:szCs w:val="24"/>
        </w:rPr>
      </w:pPr>
    </w:p>
    <w:p w14:paraId="0D8CB3E7" w14:textId="77777777" w:rsidR="009B5AA5" w:rsidRPr="00FA3F9C" w:rsidRDefault="009B5AA5" w:rsidP="006F623F">
      <w:pPr>
        <w:spacing w:after="0"/>
        <w:rPr>
          <w:rFonts w:ascii="Arial" w:hAnsi="Arial" w:cs="Arial"/>
          <w:sz w:val="24"/>
          <w:szCs w:val="24"/>
        </w:rPr>
      </w:pPr>
      <w:r w:rsidRPr="00FA3F9C">
        <w:rPr>
          <w:rFonts w:ascii="Arial" w:hAnsi="Arial" w:cs="Arial"/>
          <w:sz w:val="24"/>
          <w:szCs w:val="24"/>
        </w:rPr>
        <w:t>Quantity Limits: #15/30days</w:t>
      </w:r>
    </w:p>
    <w:p w14:paraId="69DE5A1D" w14:textId="77777777" w:rsidR="009B5AA5" w:rsidRPr="00FA3F9C" w:rsidRDefault="009B5AA5" w:rsidP="00442A04">
      <w:pPr>
        <w:spacing w:after="0"/>
        <w:rPr>
          <w:rFonts w:ascii="Arial" w:hAnsi="Arial" w:cs="Arial"/>
          <w:sz w:val="24"/>
          <w:szCs w:val="24"/>
        </w:rPr>
      </w:pPr>
    </w:p>
    <w:tbl>
      <w:tblPr>
        <w:tblStyle w:val="TableGrid"/>
        <w:tblW w:w="0" w:type="auto"/>
        <w:tblLook w:val="04A0" w:firstRow="1" w:lastRow="0" w:firstColumn="1" w:lastColumn="0" w:noHBand="0" w:noVBand="1"/>
      </w:tblPr>
      <w:tblGrid>
        <w:gridCol w:w="2605"/>
        <w:gridCol w:w="540"/>
        <w:gridCol w:w="4320"/>
        <w:gridCol w:w="3325"/>
      </w:tblGrid>
      <w:tr w:rsidR="009B5AA5" w:rsidRPr="00FA3F9C" w14:paraId="63F6D94D" w14:textId="77777777" w:rsidTr="00194490">
        <w:tc>
          <w:tcPr>
            <w:tcW w:w="2605" w:type="dxa"/>
          </w:tcPr>
          <w:p w14:paraId="12340964" w14:textId="77777777" w:rsidR="009B5AA5" w:rsidRPr="00FA3F9C" w:rsidRDefault="009B5AA5" w:rsidP="00194490">
            <w:pPr>
              <w:rPr>
                <w:rFonts w:ascii="Arial" w:hAnsi="Arial" w:cs="Arial"/>
                <w:b/>
                <w:sz w:val="24"/>
                <w:szCs w:val="24"/>
              </w:rPr>
            </w:pPr>
            <w:r w:rsidRPr="00FA3F9C">
              <w:rPr>
                <w:rFonts w:ascii="Arial" w:hAnsi="Arial" w:cs="Arial"/>
                <w:b/>
                <w:sz w:val="24"/>
                <w:szCs w:val="24"/>
              </w:rPr>
              <w:t>Trial</w:t>
            </w:r>
          </w:p>
        </w:tc>
        <w:tc>
          <w:tcPr>
            <w:tcW w:w="540" w:type="dxa"/>
          </w:tcPr>
          <w:p w14:paraId="715908A8" w14:textId="77777777" w:rsidR="009B5AA5" w:rsidRPr="00FA3F9C" w:rsidRDefault="009B5AA5" w:rsidP="00194490">
            <w:pPr>
              <w:rPr>
                <w:rFonts w:ascii="Arial" w:hAnsi="Arial" w:cs="Arial"/>
                <w:b/>
                <w:sz w:val="24"/>
                <w:szCs w:val="24"/>
              </w:rPr>
            </w:pPr>
            <w:r w:rsidRPr="00FA3F9C">
              <w:rPr>
                <w:rFonts w:ascii="Arial" w:hAnsi="Arial" w:cs="Arial"/>
                <w:b/>
                <w:sz w:val="24"/>
                <w:szCs w:val="24"/>
              </w:rPr>
              <w:t>N</w:t>
            </w:r>
          </w:p>
        </w:tc>
        <w:tc>
          <w:tcPr>
            <w:tcW w:w="4320" w:type="dxa"/>
          </w:tcPr>
          <w:p w14:paraId="7FAE123C" w14:textId="77777777" w:rsidR="009B5AA5" w:rsidRPr="00FA3F9C" w:rsidRDefault="009B5AA5" w:rsidP="00194490">
            <w:pPr>
              <w:rPr>
                <w:rFonts w:ascii="Arial" w:hAnsi="Arial" w:cs="Arial"/>
                <w:b/>
                <w:sz w:val="24"/>
                <w:szCs w:val="24"/>
              </w:rPr>
            </w:pPr>
            <w:r w:rsidRPr="00FA3F9C">
              <w:rPr>
                <w:rFonts w:ascii="Arial" w:hAnsi="Arial" w:cs="Arial"/>
                <w:b/>
                <w:sz w:val="24"/>
                <w:szCs w:val="24"/>
              </w:rPr>
              <w:t>Endpoints</w:t>
            </w:r>
          </w:p>
        </w:tc>
        <w:tc>
          <w:tcPr>
            <w:tcW w:w="3325" w:type="dxa"/>
          </w:tcPr>
          <w:p w14:paraId="53FE75B7" w14:textId="77777777" w:rsidR="009B5AA5" w:rsidRPr="00FA3F9C" w:rsidRDefault="009B5AA5" w:rsidP="00194490">
            <w:pPr>
              <w:rPr>
                <w:rFonts w:ascii="Arial" w:hAnsi="Arial" w:cs="Arial"/>
                <w:b/>
                <w:sz w:val="24"/>
                <w:szCs w:val="24"/>
              </w:rPr>
            </w:pPr>
            <w:r w:rsidRPr="00FA3F9C">
              <w:rPr>
                <w:rFonts w:ascii="Arial" w:hAnsi="Arial" w:cs="Arial"/>
                <w:b/>
                <w:sz w:val="24"/>
                <w:szCs w:val="24"/>
              </w:rPr>
              <w:t>Results</w:t>
            </w:r>
          </w:p>
        </w:tc>
      </w:tr>
      <w:tr w:rsidR="009B5AA5" w:rsidRPr="00FA3F9C" w14:paraId="22F826F8" w14:textId="77777777" w:rsidTr="00194490">
        <w:tc>
          <w:tcPr>
            <w:tcW w:w="2605" w:type="dxa"/>
          </w:tcPr>
          <w:p w14:paraId="0FFB476D" w14:textId="77777777" w:rsidR="009B5AA5" w:rsidRPr="00FA3F9C" w:rsidRDefault="009B5AA5" w:rsidP="00194490">
            <w:pPr>
              <w:rPr>
                <w:rFonts w:ascii="Arial" w:hAnsi="Arial" w:cs="Arial"/>
                <w:sz w:val="24"/>
                <w:szCs w:val="24"/>
              </w:rPr>
            </w:pPr>
            <w:r w:rsidRPr="00FA3F9C">
              <w:rPr>
                <w:rFonts w:ascii="Arial" w:hAnsi="Arial" w:cs="Arial"/>
                <w:sz w:val="24"/>
                <w:szCs w:val="24"/>
                <w:vertAlign w:val="superscript"/>
              </w:rPr>
              <w:lastRenderedPageBreak/>
              <w:t>2</w:t>
            </w:r>
            <w:r w:rsidRPr="00FA3F9C">
              <w:rPr>
                <w:rFonts w:ascii="Arial" w:hAnsi="Arial" w:cs="Arial"/>
                <w:sz w:val="24"/>
                <w:szCs w:val="24"/>
              </w:rPr>
              <w:t>ATTRACT</w:t>
            </w:r>
          </w:p>
          <w:p w14:paraId="35EFDC04" w14:textId="77777777" w:rsidR="009B5AA5" w:rsidRPr="00FA3F9C" w:rsidRDefault="009B5AA5" w:rsidP="00194490">
            <w:pPr>
              <w:rPr>
                <w:rFonts w:ascii="Arial" w:hAnsi="Arial" w:cs="Arial"/>
                <w:sz w:val="24"/>
                <w:szCs w:val="24"/>
              </w:rPr>
            </w:pPr>
            <w:r w:rsidRPr="00FA3F9C">
              <w:rPr>
                <w:rFonts w:ascii="Arial" w:hAnsi="Arial" w:cs="Arial"/>
                <w:sz w:val="24"/>
                <w:szCs w:val="24"/>
              </w:rPr>
              <w:t>RCT, OL, parallel assignment</w:t>
            </w:r>
          </w:p>
          <w:p w14:paraId="4DD860DD" w14:textId="77777777" w:rsidR="009B5AA5" w:rsidRPr="00FA3F9C" w:rsidRDefault="009B5AA5" w:rsidP="00194490">
            <w:pPr>
              <w:rPr>
                <w:rFonts w:ascii="Arial" w:hAnsi="Arial" w:cs="Arial"/>
                <w:sz w:val="24"/>
                <w:szCs w:val="24"/>
              </w:rPr>
            </w:pPr>
            <w:r w:rsidRPr="00FA3F9C">
              <w:rPr>
                <w:rFonts w:ascii="Arial" w:hAnsi="Arial" w:cs="Arial"/>
                <w:sz w:val="24"/>
                <w:szCs w:val="24"/>
              </w:rPr>
              <w:t>Migalastat vs ERT</w:t>
            </w:r>
          </w:p>
        </w:tc>
        <w:tc>
          <w:tcPr>
            <w:tcW w:w="540" w:type="dxa"/>
          </w:tcPr>
          <w:p w14:paraId="0108EF35" w14:textId="77777777" w:rsidR="009B5AA5" w:rsidRPr="00FA3F9C" w:rsidRDefault="009B5AA5" w:rsidP="00194490">
            <w:pPr>
              <w:rPr>
                <w:rFonts w:ascii="Arial" w:hAnsi="Arial" w:cs="Arial"/>
                <w:sz w:val="24"/>
                <w:szCs w:val="24"/>
              </w:rPr>
            </w:pPr>
            <w:r w:rsidRPr="00FA3F9C">
              <w:rPr>
                <w:rFonts w:ascii="Arial" w:hAnsi="Arial" w:cs="Arial"/>
                <w:sz w:val="24"/>
                <w:szCs w:val="24"/>
              </w:rPr>
              <w:t>57</w:t>
            </w:r>
          </w:p>
        </w:tc>
        <w:tc>
          <w:tcPr>
            <w:tcW w:w="4320" w:type="dxa"/>
          </w:tcPr>
          <w:p w14:paraId="4ECD6D77" w14:textId="77777777" w:rsidR="009B5AA5" w:rsidRPr="00FA3F9C" w:rsidRDefault="009B5AA5" w:rsidP="00194490">
            <w:pPr>
              <w:rPr>
                <w:rFonts w:ascii="Arial" w:hAnsi="Arial" w:cs="Arial"/>
                <w:sz w:val="24"/>
                <w:szCs w:val="24"/>
              </w:rPr>
            </w:pPr>
            <w:r w:rsidRPr="00FA3F9C">
              <w:rPr>
                <w:rFonts w:ascii="Arial" w:hAnsi="Arial" w:cs="Arial"/>
                <w:sz w:val="24"/>
                <w:szCs w:val="24"/>
              </w:rPr>
              <w:t xml:space="preserve">Co-1° </w:t>
            </w:r>
            <w:proofErr w:type="spellStart"/>
            <w:r w:rsidRPr="00FA3F9C">
              <w:rPr>
                <w:rFonts w:ascii="Arial" w:hAnsi="Arial" w:cs="Arial"/>
                <w:sz w:val="24"/>
                <w:szCs w:val="24"/>
              </w:rPr>
              <w:t>Endpoints:MIG</w:t>
            </w:r>
            <w:proofErr w:type="spellEnd"/>
            <w:r w:rsidRPr="00FA3F9C">
              <w:rPr>
                <w:rFonts w:ascii="Arial" w:hAnsi="Arial" w:cs="Arial"/>
                <w:sz w:val="24"/>
                <w:szCs w:val="24"/>
              </w:rPr>
              <w:t xml:space="preserve"> vs ERT through 18m on eGFR (measured and estimated)</w:t>
            </w:r>
          </w:p>
          <w:p w14:paraId="39ED4453" w14:textId="77777777" w:rsidR="009B5AA5" w:rsidRPr="00FA3F9C" w:rsidRDefault="009B5AA5" w:rsidP="00194490">
            <w:pPr>
              <w:rPr>
                <w:rFonts w:ascii="Arial" w:hAnsi="Arial" w:cs="Arial"/>
                <w:sz w:val="24"/>
                <w:szCs w:val="24"/>
              </w:rPr>
            </w:pPr>
            <w:r w:rsidRPr="00FA3F9C">
              <w:rPr>
                <w:rFonts w:ascii="Arial" w:hAnsi="Arial" w:cs="Arial"/>
                <w:sz w:val="24"/>
                <w:szCs w:val="24"/>
              </w:rPr>
              <w:t>Other=</w:t>
            </w:r>
            <w:proofErr w:type="spellStart"/>
            <w:r w:rsidRPr="00FA3F9C">
              <w:rPr>
                <w:rFonts w:ascii="Arial" w:hAnsi="Arial" w:cs="Arial"/>
                <w:sz w:val="24"/>
                <w:szCs w:val="24"/>
              </w:rPr>
              <w:t>LVMi</w:t>
            </w:r>
            <w:proofErr w:type="spellEnd"/>
            <w:r w:rsidRPr="00FA3F9C">
              <w:rPr>
                <w:rFonts w:ascii="Arial" w:hAnsi="Arial" w:cs="Arial"/>
                <w:sz w:val="24"/>
                <w:szCs w:val="24"/>
              </w:rPr>
              <w:t xml:space="preserve"> via echo, Composite clinical endpoints: Renal (decrease in GFR by 15mL/min OR an increase in 24h urine protein); Cardiac (MI, UA, new symptomatic arrhythmia requiring med or cardioversion or PM, CHF Class III or IV); Cerebrovascular (stroke/TIA)</w:t>
            </w:r>
          </w:p>
        </w:tc>
        <w:tc>
          <w:tcPr>
            <w:tcW w:w="3325" w:type="dxa"/>
          </w:tcPr>
          <w:p w14:paraId="5E62FE24" w14:textId="77777777" w:rsidR="009B5AA5" w:rsidRPr="00FA3F9C" w:rsidRDefault="009B5AA5" w:rsidP="009B5AA5">
            <w:pPr>
              <w:pStyle w:val="ListParagraph"/>
              <w:numPr>
                <w:ilvl w:val="0"/>
                <w:numId w:val="341"/>
              </w:numPr>
              <w:rPr>
                <w:rFonts w:ascii="Arial" w:hAnsi="Arial" w:cs="Arial"/>
                <w:sz w:val="24"/>
                <w:szCs w:val="24"/>
                <w:highlight w:val="yellow"/>
              </w:rPr>
            </w:pPr>
            <w:r w:rsidRPr="00FA3F9C">
              <w:rPr>
                <w:rFonts w:ascii="Arial" w:hAnsi="Arial" w:cs="Arial"/>
                <w:sz w:val="24"/>
                <w:szCs w:val="24"/>
                <w:highlight w:val="yellow"/>
              </w:rPr>
              <w:t>Similar change in annualized GFR</w:t>
            </w:r>
          </w:p>
          <w:p w14:paraId="16BC8AB1" w14:textId="77777777" w:rsidR="009B5AA5" w:rsidRPr="00FA3F9C" w:rsidRDefault="009B5AA5" w:rsidP="009B5AA5">
            <w:pPr>
              <w:pStyle w:val="ListParagraph"/>
              <w:numPr>
                <w:ilvl w:val="1"/>
                <w:numId w:val="341"/>
              </w:numPr>
              <w:ind w:left="612"/>
              <w:rPr>
                <w:rFonts w:ascii="Arial" w:hAnsi="Arial" w:cs="Arial"/>
                <w:sz w:val="24"/>
                <w:szCs w:val="24"/>
              </w:rPr>
            </w:pPr>
            <w:r w:rsidRPr="00FA3F9C">
              <w:rPr>
                <w:rFonts w:ascii="Arial" w:hAnsi="Arial" w:cs="Arial"/>
                <w:sz w:val="24"/>
                <w:szCs w:val="24"/>
              </w:rPr>
              <w:t>Mig -4.35mL/min ±0.93 (-2.27-1.48)</w:t>
            </w:r>
          </w:p>
          <w:p w14:paraId="5A215315" w14:textId="77777777" w:rsidR="009B5AA5" w:rsidRPr="00FA3F9C" w:rsidRDefault="009B5AA5" w:rsidP="009B5AA5">
            <w:pPr>
              <w:pStyle w:val="ListParagraph"/>
              <w:numPr>
                <w:ilvl w:val="1"/>
                <w:numId w:val="341"/>
              </w:numPr>
              <w:ind w:left="612"/>
              <w:rPr>
                <w:rFonts w:ascii="Arial" w:hAnsi="Arial" w:cs="Arial"/>
                <w:sz w:val="24"/>
                <w:szCs w:val="24"/>
              </w:rPr>
            </w:pPr>
            <w:r w:rsidRPr="00FA3F9C">
              <w:rPr>
                <w:rFonts w:ascii="Arial" w:hAnsi="Arial" w:cs="Arial"/>
                <w:sz w:val="24"/>
                <w:szCs w:val="24"/>
              </w:rPr>
              <w:t>ERT -3.24±2.27 (-7.81-1.33)</w:t>
            </w:r>
          </w:p>
          <w:p w14:paraId="4B7D41F7" w14:textId="77777777" w:rsidR="009B5AA5" w:rsidRPr="00FA3F9C" w:rsidRDefault="009B5AA5" w:rsidP="009B5AA5">
            <w:pPr>
              <w:pStyle w:val="ListParagraph"/>
              <w:numPr>
                <w:ilvl w:val="0"/>
                <w:numId w:val="341"/>
              </w:numPr>
              <w:rPr>
                <w:rFonts w:ascii="Arial" w:hAnsi="Arial" w:cs="Arial"/>
                <w:sz w:val="24"/>
                <w:szCs w:val="24"/>
              </w:rPr>
            </w:pPr>
            <w:proofErr w:type="spellStart"/>
            <w:r w:rsidRPr="00FA3F9C">
              <w:rPr>
                <w:rFonts w:ascii="Arial" w:hAnsi="Arial" w:cs="Arial"/>
                <w:sz w:val="24"/>
                <w:szCs w:val="24"/>
              </w:rPr>
              <w:t>LVMi</w:t>
            </w:r>
            <w:proofErr w:type="spellEnd"/>
            <w:r w:rsidRPr="00FA3F9C">
              <w:rPr>
                <w:rFonts w:ascii="Arial" w:hAnsi="Arial" w:cs="Arial"/>
                <w:sz w:val="24"/>
                <w:szCs w:val="24"/>
              </w:rPr>
              <w:t xml:space="preserve"> -6.6 [-11.0 to -2.2]</w:t>
            </w:r>
          </w:p>
          <w:p w14:paraId="1F588BCE" w14:textId="77777777" w:rsidR="009B5AA5" w:rsidRPr="00FA3F9C" w:rsidRDefault="009B5AA5" w:rsidP="009B5AA5">
            <w:pPr>
              <w:pStyle w:val="ListParagraph"/>
              <w:numPr>
                <w:ilvl w:val="0"/>
                <w:numId w:val="341"/>
              </w:numPr>
              <w:rPr>
                <w:rFonts w:ascii="Arial" w:hAnsi="Arial" w:cs="Arial"/>
                <w:sz w:val="24"/>
                <w:szCs w:val="24"/>
              </w:rPr>
            </w:pPr>
            <w:r w:rsidRPr="00FA3F9C">
              <w:rPr>
                <w:rFonts w:ascii="Arial" w:hAnsi="Arial" w:cs="Arial"/>
                <w:sz w:val="24"/>
                <w:szCs w:val="24"/>
                <w:highlight w:val="yellow"/>
              </w:rPr>
              <w:t>Renal, cardiac, cerebrovascular events</w:t>
            </w:r>
            <w:r w:rsidRPr="00FA3F9C">
              <w:rPr>
                <w:rFonts w:ascii="Arial" w:hAnsi="Arial" w:cs="Arial"/>
                <w:sz w:val="24"/>
                <w:szCs w:val="24"/>
              </w:rPr>
              <w:t xml:space="preserve"> 29% MIG vs 44% ERT </w:t>
            </w:r>
            <w:r w:rsidRPr="00FA3F9C">
              <w:rPr>
                <w:rFonts w:ascii="Arial" w:hAnsi="Arial" w:cs="Arial"/>
                <w:sz w:val="24"/>
                <w:szCs w:val="24"/>
                <w:highlight w:val="yellow"/>
              </w:rPr>
              <w:t>(p=0.36)</w:t>
            </w:r>
          </w:p>
        </w:tc>
      </w:tr>
      <w:tr w:rsidR="009B5AA5" w:rsidRPr="00FA3F9C" w14:paraId="678FBF16" w14:textId="77777777" w:rsidTr="00194490">
        <w:tc>
          <w:tcPr>
            <w:tcW w:w="10790" w:type="dxa"/>
            <w:gridSpan w:val="4"/>
          </w:tcPr>
          <w:p w14:paraId="24FBB65C" w14:textId="77777777" w:rsidR="009B5AA5" w:rsidRPr="00FA3F9C" w:rsidRDefault="009B5AA5" w:rsidP="00194490">
            <w:pPr>
              <w:rPr>
                <w:rFonts w:ascii="Arial" w:hAnsi="Arial" w:cs="Arial"/>
                <w:sz w:val="24"/>
                <w:szCs w:val="24"/>
              </w:rPr>
            </w:pPr>
            <w:r w:rsidRPr="00FA3F9C">
              <w:rPr>
                <w:rFonts w:ascii="Arial" w:hAnsi="Arial" w:cs="Arial"/>
                <w:sz w:val="24"/>
                <w:szCs w:val="24"/>
              </w:rPr>
              <w:t xml:space="preserve">3D echo= reliable way to  determine </w:t>
            </w:r>
            <w:proofErr w:type="spellStart"/>
            <w:r w:rsidRPr="00FA3F9C">
              <w:rPr>
                <w:rFonts w:ascii="Arial" w:hAnsi="Arial" w:cs="Arial"/>
                <w:sz w:val="24"/>
                <w:szCs w:val="24"/>
              </w:rPr>
              <w:t>LVMi</w:t>
            </w:r>
            <w:proofErr w:type="spellEnd"/>
            <w:r w:rsidRPr="00FA3F9C">
              <w:rPr>
                <w:rFonts w:ascii="Arial" w:hAnsi="Arial" w:cs="Arial"/>
                <w:sz w:val="24"/>
                <w:szCs w:val="24"/>
              </w:rPr>
              <w:t xml:space="preserve"> but intra- and inter-observer variability were 4.5 ± 4.2% and 5.5 ± 3.2% respectively</w:t>
            </w:r>
            <w:r w:rsidRPr="00FA3F9C">
              <w:rPr>
                <w:rFonts w:ascii="Arial" w:hAnsi="Arial" w:cs="Arial"/>
                <w:sz w:val="24"/>
                <w:szCs w:val="24"/>
                <w:vertAlign w:val="superscript"/>
              </w:rPr>
              <w:t>3</w:t>
            </w:r>
          </w:p>
        </w:tc>
      </w:tr>
    </w:tbl>
    <w:p w14:paraId="10A29CC4" w14:textId="77777777" w:rsidR="009B5AA5" w:rsidRPr="00FA3F9C" w:rsidRDefault="009B5AA5" w:rsidP="00442A04">
      <w:pPr>
        <w:spacing w:after="0"/>
        <w:rPr>
          <w:rFonts w:ascii="Arial" w:hAnsi="Arial" w:cs="Arial"/>
          <w:sz w:val="24"/>
          <w:szCs w:val="24"/>
        </w:rPr>
      </w:pPr>
      <w:r w:rsidRPr="00FA3F9C">
        <w:rPr>
          <w:rFonts w:ascii="Arial" w:hAnsi="Arial" w:cs="Arial"/>
          <w:sz w:val="24"/>
          <w:szCs w:val="24"/>
        </w:rPr>
        <w:t xml:space="preserve">Although Migalastat was not superior over enzyme treatment, migalastat offers an oral alternative in patients with some working enzymes; cost is similar.  Compared HTH, the eGFR was similar after 18 months and the  renal/cardiac/cerebrovascular events were similar.  </w:t>
      </w:r>
    </w:p>
    <w:p w14:paraId="4964C2A6" w14:textId="77777777" w:rsidR="009B5AA5" w:rsidRPr="00FA3F9C" w:rsidRDefault="009B5AA5" w:rsidP="006F623F">
      <w:pPr>
        <w:spacing w:after="0"/>
        <w:rPr>
          <w:rFonts w:ascii="Arial" w:hAnsi="Arial" w:cs="Arial"/>
          <w:sz w:val="24"/>
          <w:szCs w:val="24"/>
        </w:rPr>
      </w:pPr>
    </w:p>
    <w:p w14:paraId="398C4407" w14:textId="77777777" w:rsidR="009B5AA5" w:rsidRPr="00FA3F9C" w:rsidRDefault="009B5AA5" w:rsidP="00442A04">
      <w:pPr>
        <w:spacing w:after="0"/>
        <w:rPr>
          <w:rFonts w:ascii="Arial" w:hAnsi="Arial" w:cs="Arial"/>
          <w:sz w:val="24"/>
          <w:szCs w:val="24"/>
        </w:rPr>
      </w:pPr>
      <w:r w:rsidRPr="00FA3F9C">
        <w:rPr>
          <w:rFonts w:ascii="Arial" w:hAnsi="Arial" w:cs="Arial"/>
          <w:b/>
          <w:sz w:val="24"/>
          <w:szCs w:val="24"/>
          <w:u w:val="single"/>
        </w:rPr>
        <w:t>References</w:t>
      </w:r>
      <w:r w:rsidRPr="00FA3F9C">
        <w:rPr>
          <w:rFonts w:ascii="Arial" w:hAnsi="Arial" w:cs="Arial"/>
          <w:sz w:val="24"/>
          <w:szCs w:val="24"/>
        </w:rPr>
        <w:t>:</w:t>
      </w:r>
    </w:p>
    <w:p w14:paraId="551AA5B2" w14:textId="77777777" w:rsidR="009B5AA5" w:rsidRPr="00FA3F9C" w:rsidRDefault="009B5AA5" w:rsidP="009B5AA5">
      <w:pPr>
        <w:pStyle w:val="ListParagraph"/>
        <w:numPr>
          <w:ilvl w:val="0"/>
          <w:numId w:val="342"/>
        </w:numPr>
        <w:rPr>
          <w:rFonts w:ascii="Arial" w:hAnsi="Arial" w:cs="Arial"/>
          <w:sz w:val="24"/>
          <w:szCs w:val="24"/>
        </w:rPr>
      </w:pPr>
      <w:proofErr w:type="spellStart"/>
      <w:r w:rsidRPr="00FA3F9C">
        <w:rPr>
          <w:rFonts w:ascii="Arial" w:hAnsi="Arial" w:cs="Arial"/>
          <w:sz w:val="24"/>
          <w:szCs w:val="24"/>
        </w:rPr>
        <w:t>LexiComp</w:t>
      </w:r>
      <w:proofErr w:type="spellEnd"/>
      <w:r w:rsidRPr="00FA3F9C">
        <w:rPr>
          <w:rFonts w:ascii="Arial" w:hAnsi="Arial" w:cs="Arial"/>
          <w:sz w:val="24"/>
          <w:szCs w:val="24"/>
        </w:rPr>
        <w:t>: migalastat accessed 9/5/2018, 9/16/19.</w:t>
      </w:r>
    </w:p>
    <w:p w14:paraId="7A537FBE" w14:textId="77777777" w:rsidR="009B5AA5" w:rsidRPr="00FA3F9C" w:rsidRDefault="009B5AA5" w:rsidP="009B5AA5">
      <w:pPr>
        <w:pStyle w:val="ListParagraph"/>
        <w:numPr>
          <w:ilvl w:val="0"/>
          <w:numId w:val="342"/>
        </w:numPr>
        <w:spacing w:after="0" w:line="240" w:lineRule="auto"/>
        <w:rPr>
          <w:rFonts w:ascii="Arial" w:eastAsia="Times New Roman" w:hAnsi="Arial" w:cs="Arial"/>
          <w:sz w:val="24"/>
          <w:szCs w:val="24"/>
        </w:rPr>
      </w:pPr>
      <w:r w:rsidRPr="00FA3F9C">
        <w:rPr>
          <w:rFonts w:ascii="Arial" w:hAnsi="Arial" w:cs="Arial"/>
          <w:color w:val="222222"/>
          <w:sz w:val="24"/>
          <w:szCs w:val="24"/>
          <w:lang w:val="fr-FR"/>
        </w:rPr>
        <w:t xml:space="preserve">Hughes, </w:t>
      </w:r>
      <w:proofErr w:type="spellStart"/>
      <w:r w:rsidRPr="00FA3F9C">
        <w:rPr>
          <w:rFonts w:ascii="Arial" w:hAnsi="Arial" w:cs="Arial"/>
          <w:color w:val="222222"/>
          <w:sz w:val="24"/>
          <w:szCs w:val="24"/>
          <w:lang w:val="fr-FR"/>
        </w:rPr>
        <w:t>Derralynn</w:t>
      </w:r>
      <w:proofErr w:type="spellEnd"/>
      <w:r w:rsidRPr="00FA3F9C">
        <w:rPr>
          <w:rFonts w:ascii="Arial" w:hAnsi="Arial" w:cs="Arial"/>
          <w:color w:val="222222"/>
          <w:sz w:val="24"/>
          <w:szCs w:val="24"/>
          <w:lang w:val="fr-FR"/>
        </w:rPr>
        <w:t xml:space="preserve"> A., et al. </w:t>
      </w:r>
      <w:r w:rsidRPr="00FA3F9C">
        <w:rPr>
          <w:rFonts w:ascii="Arial" w:hAnsi="Arial" w:cs="Arial"/>
          <w:color w:val="222222"/>
          <w:sz w:val="24"/>
          <w:szCs w:val="24"/>
        </w:rPr>
        <w:t>"Oral pharmacological chaperone migalastat compared with enzyme replacement</w:t>
      </w:r>
      <w:r w:rsidRPr="00FA3F9C">
        <w:rPr>
          <w:rFonts w:ascii="Arial" w:hAnsi="Arial" w:cs="Arial"/>
          <w:color w:val="222222"/>
          <w:sz w:val="24"/>
          <w:szCs w:val="24"/>
          <w:shd w:val="clear" w:color="auto" w:fill="F8F8F8"/>
        </w:rPr>
        <w:t xml:space="preserve"> </w:t>
      </w:r>
      <w:r w:rsidRPr="00FA3F9C">
        <w:rPr>
          <w:rFonts w:ascii="Arial" w:hAnsi="Arial" w:cs="Arial"/>
          <w:color w:val="222222"/>
          <w:sz w:val="24"/>
          <w:szCs w:val="24"/>
        </w:rPr>
        <w:t xml:space="preserve">therapy in Fabry disease: 18-month results from the </w:t>
      </w:r>
      <w:proofErr w:type="spellStart"/>
      <w:r w:rsidRPr="00FA3F9C">
        <w:rPr>
          <w:rFonts w:ascii="Arial" w:hAnsi="Arial" w:cs="Arial"/>
          <w:color w:val="222222"/>
          <w:sz w:val="24"/>
          <w:szCs w:val="24"/>
        </w:rPr>
        <w:t>randomised</w:t>
      </w:r>
      <w:proofErr w:type="spellEnd"/>
      <w:r w:rsidRPr="00FA3F9C">
        <w:rPr>
          <w:rFonts w:ascii="Arial" w:hAnsi="Arial" w:cs="Arial"/>
          <w:color w:val="222222"/>
          <w:sz w:val="24"/>
          <w:szCs w:val="24"/>
        </w:rPr>
        <w:t xml:space="preserve"> phase III ATTRACT study." </w:t>
      </w:r>
      <w:r w:rsidRPr="00FA3F9C">
        <w:rPr>
          <w:rFonts w:ascii="Arial" w:hAnsi="Arial" w:cs="Arial"/>
          <w:i/>
          <w:iCs/>
          <w:color w:val="222222"/>
          <w:sz w:val="24"/>
          <w:szCs w:val="24"/>
        </w:rPr>
        <w:t>Journal of medical</w:t>
      </w:r>
      <w:r w:rsidRPr="00FA3F9C">
        <w:rPr>
          <w:rFonts w:ascii="Arial" w:hAnsi="Arial" w:cs="Arial"/>
          <w:i/>
          <w:iCs/>
          <w:color w:val="222222"/>
          <w:sz w:val="24"/>
          <w:szCs w:val="24"/>
          <w:shd w:val="clear" w:color="auto" w:fill="F8F8F8"/>
        </w:rPr>
        <w:t xml:space="preserve"> </w:t>
      </w:r>
      <w:r w:rsidRPr="00FA3F9C">
        <w:rPr>
          <w:rFonts w:ascii="Arial" w:hAnsi="Arial" w:cs="Arial"/>
          <w:i/>
          <w:iCs/>
          <w:color w:val="222222"/>
          <w:sz w:val="24"/>
          <w:szCs w:val="24"/>
        </w:rPr>
        <w:t>genetics</w:t>
      </w:r>
      <w:r w:rsidRPr="00FA3F9C">
        <w:rPr>
          <w:rFonts w:ascii="Arial" w:hAnsi="Arial" w:cs="Arial"/>
          <w:color w:val="222222"/>
          <w:sz w:val="24"/>
          <w:szCs w:val="24"/>
        </w:rPr>
        <w:t> (2016): jmedgenet-2016.</w:t>
      </w:r>
      <w:r w:rsidRPr="00FA3F9C">
        <w:rPr>
          <w:rFonts w:ascii="Arial" w:eastAsia="Times New Roman" w:hAnsi="Arial" w:cs="Arial"/>
          <w:color w:val="222222"/>
          <w:sz w:val="24"/>
          <w:szCs w:val="24"/>
          <w:shd w:val="clear" w:color="auto" w:fill="F8F8F8"/>
        </w:rPr>
        <w:t xml:space="preserve"> 54.4 (2017): 288-296.</w:t>
      </w:r>
    </w:p>
    <w:p w14:paraId="7058934F" w14:textId="77777777" w:rsidR="009B5AA5" w:rsidRPr="00FA3F9C" w:rsidRDefault="009B5AA5" w:rsidP="009B5AA5">
      <w:pPr>
        <w:pStyle w:val="ListParagraph"/>
        <w:numPr>
          <w:ilvl w:val="0"/>
          <w:numId w:val="342"/>
        </w:numPr>
        <w:rPr>
          <w:rFonts w:ascii="Arial" w:hAnsi="Arial" w:cs="Arial"/>
          <w:sz w:val="24"/>
          <w:szCs w:val="24"/>
        </w:rPr>
      </w:pPr>
      <w:proofErr w:type="spellStart"/>
      <w:r w:rsidRPr="00FA3F9C">
        <w:rPr>
          <w:rFonts w:ascii="Arial" w:hAnsi="Arial" w:cs="Arial"/>
          <w:color w:val="222222"/>
          <w:sz w:val="24"/>
          <w:szCs w:val="24"/>
        </w:rPr>
        <w:t>Mizukoshi</w:t>
      </w:r>
      <w:proofErr w:type="spellEnd"/>
      <w:r w:rsidRPr="00FA3F9C">
        <w:rPr>
          <w:rFonts w:ascii="Arial" w:hAnsi="Arial" w:cs="Arial"/>
          <w:color w:val="222222"/>
          <w:sz w:val="24"/>
          <w:szCs w:val="24"/>
        </w:rPr>
        <w:t>, Kei, et al. "Normal values of left ventricular mass index assessed by transthoracic three-dimensional</w:t>
      </w:r>
      <w:r w:rsidRPr="00FA3F9C">
        <w:rPr>
          <w:rFonts w:ascii="Arial" w:hAnsi="Arial" w:cs="Arial"/>
          <w:color w:val="222222"/>
          <w:sz w:val="24"/>
          <w:szCs w:val="24"/>
          <w:shd w:val="clear" w:color="auto" w:fill="F8F8F8"/>
        </w:rPr>
        <w:t xml:space="preserve"> </w:t>
      </w:r>
      <w:r w:rsidRPr="00FA3F9C">
        <w:rPr>
          <w:rFonts w:ascii="Arial" w:hAnsi="Arial" w:cs="Arial"/>
          <w:color w:val="222222"/>
          <w:sz w:val="24"/>
          <w:szCs w:val="24"/>
        </w:rPr>
        <w:t>echocardiography." </w:t>
      </w:r>
      <w:r w:rsidRPr="00FA3F9C">
        <w:rPr>
          <w:rFonts w:ascii="Arial" w:hAnsi="Arial" w:cs="Arial"/>
          <w:i/>
          <w:iCs/>
          <w:color w:val="222222"/>
          <w:sz w:val="24"/>
          <w:szCs w:val="24"/>
        </w:rPr>
        <w:t>Journal of the American Society of Echocardiography</w:t>
      </w:r>
      <w:r w:rsidRPr="00FA3F9C">
        <w:rPr>
          <w:rFonts w:ascii="Arial" w:hAnsi="Arial" w:cs="Arial"/>
          <w:color w:val="222222"/>
          <w:sz w:val="24"/>
          <w:szCs w:val="24"/>
        </w:rPr>
        <w:t> 29.1 (2016): 51-61</w:t>
      </w:r>
      <w:r w:rsidRPr="00FA3F9C">
        <w:rPr>
          <w:rFonts w:ascii="Arial" w:hAnsi="Arial" w:cs="Arial"/>
          <w:color w:val="222222"/>
          <w:sz w:val="24"/>
          <w:szCs w:val="24"/>
          <w:shd w:val="clear" w:color="auto" w:fill="F8F8F8"/>
        </w:rPr>
        <w:t>.</w:t>
      </w:r>
    </w:p>
    <w:p w14:paraId="11181E23" w14:textId="77777777" w:rsidR="009B5AA5" w:rsidRPr="00FA3F9C" w:rsidRDefault="009B5AA5" w:rsidP="009B5AA5">
      <w:pPr>
        <w:pStyle w:val="ListParagraph"/>
        <w:numPr>
          <w:ilvl w:val="0"/>
          <w:numId w:val="342"/>
        </w:numPr>
        <w:rPr>
          <w:rFonts w:ascii="Arial" w:hAnsi="Arial" w:cs="Arial"/>
          <w:sz w:val="24"/>
          <w:szCs w:val="24"/>
        </w:rPr>
      </w:pPr>
      <w:r w:rsidRPr="00FA3F9C">
        <w:rPr>
          <w:rFonts w:ascii="Arial" w:hAnsi="Arial" w:cs="Arial"/>
          <w:color w:val="222222"/>
          <w:sz w:val="24"/>
          <w:szCs w:val="24"/>
          <w:shd w:val="clear" w:color="auto" w:fill="F8F8F8"/>
        </w:rPr>
        <w:t>UpToDate: Fabry Disease accessed 9/5/2018.</w:t>
      </w:r>
    </w:p>
    <w:p w14:paraId="6548CF7F" w14:textId="77777777" w:rsidR="009B5AA5" w:rsidRPr="00FA3F9C" w:rsidRDefault="009B5AA5" w:rsidP="009B5AA5">
      <w:pPr>
        <w:pStyle w:val="ListParagraph"/>
        <w:numPr>
          <w:ilvl w:val="0"/>
          <w:numId w:val="342"/>
        </w:numPr>
        <w:rPr>
          <w:rFonts w:ascii="Arial" w:hAnsi="Arial" w:cs="Arial"/>
          <w:sz w:val="24"/>
          <w:szCs w:val="24"/>
        </w:rPr>
      </w:pPr>
      <w:r w:rsidRPr="00FA3F9C">
        <w:rPr>
          <w:rFonts w:ascii="Arial" w:hAnsi="Arial" w:cs="Arial"/>
          <w:sz w:val="24"/>
          <w:szCs w:val="24"/>
        </w:rPr>
        <w:t>Package insert (</w:t>
      </w:r>
      <w:proofErr w:type="spellStart"/>
      <w:r w:rsidRPr="00FA3F9C">
        <w:rPr>
          <w:rFonts w:ascii="Arial" w:hAnsi="Arial" w:cs="Arial"/>
          <w:sz w:val="24"/>
          <w:szCs w:val="24"/>
        </w:rPr>
        <w:t>Galafold</w:t>
      </w:r>
      <w:proofErr w:type="spellEnd"/>
      <w:r w:rsidRPr="00FA3F9C">
        <w:rPr>
          <w:rFonts w:ascii="Arial" w:hAnsi="Arial" w:cs="Arial"/>
          <w:sz w:val="24"/>
          <w:szCs w:val="24"/>
        </w:rPr>
        <w:t>) Accessed 9/13/2018.</w:t>
      </w:r>
    </w:p>
    <w:p w14:paraId="354D307A" w14:textId="77777777" w:rsidR="009B5AA5" w:rsidRPr="00FA3F9C" w:rsidRDefault="009B5AA5" w:rsidP="006F623F">
      <w:pPr>
        <w:spacing w:after="0"/>
        <w:rPr>
          <w:rFonts w:ascii="Arial" w:hAnsi="Arial" w:cs="Arial"/>
          <w:sz w:val="24"/>
          <w:szCs w:val="24"/>
        </w:rPr>
      </w:pPr>
    </w:p>
    <w:p w14:paraId="6D497D07" w14:textId="77777777" w:rsidR="009B5AA5" w:rsidRPr="00FA3F9C" w:rsidRDefault="009B5AA5" w:rsidP="006F623F">
      <w:pPr>
        <w:spacing w:after="0"/>
        <w:rPr>
          <w:rFonts w:ascii="Arial" w:hAnsi="Arial" w:cs="Arial"/>
          <w:sz w:val="24"/>
          <w:szCs w:val="24"/>
        </w:rPr>
      </w:pPr>
    </w:p>
    <w:p w14:paraId="374E650A" w14:textId="77777777" w:rsidR="009B5AA5" w:rsidRPr="00FA3F9C" w:rsidRDefault="009B5AA5"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017"/>
        <w:gridCol w:w="7470"/>
        <w:gridCol w:w="2538"/>
      </w:tblGrid>
      <w:tr w:rsidR="009B5AA5" w:rsidRPr="00FA3F9C" w14:paraId="1206AD59" w14:textId="77777777" w:rsidTr="00FE491B">
        <w:tc>
          <w:tcPr>
            <w:tcW w:w="1008" w:type="dxa"/>
          </w:tcPr>
          <w:p w14:paraId="5586EEE6" w14:textId="77777777" w:rsidR="009B5AA5" w:rsidRPr="00FA3F9C" w:rsidRDefault="009B5AA5" w:rsidP="006F623F">
            <w:pPr>
              <w:rPr>
                <w:rFonts w:ascii="Arial" w:hAnsi="Arial" w:cs="Arial"/>
                <w:sz w:val="24"/>
                <w:szCs w:val="24"/>
              </w:rPr>
            </w:pPr>
            <w:r w:rsidRPr="00FA3F9C">
              <w:rPr>
                <w:rFonts w:ascii="Arial" w:hAnsi="Arial" w:cs="Arial"/>
                <w:sz w:val="24"/>
                <w:szCs w:val="24"/>
              </w:rPr>
              <w:t>Date</w:t>
            </w:r>
          </w:p>
        </w:tc>
        <w:tc>
          <w:tcPr>
            <w:tcW w:w="7470" w:type="dxa"/>
          </w:tcPr>
          <w:p w14:paraId="3487C539" w14:textId="77777777" w:rsidR="009B5AA5" w:rsidRPr="00FA3F9C" w:rsidRDefault="009B5AA5" w:rsidP="006F623F">
            <w:pPr>
              <w:rPr>
                <w:rFonts w:ascii="Arial" w:hAnsi="Arial" w:cs="Arial"/>
                <w:sz w:val="24"/>
                <w:szCs w:val="24"/>
              </w:rPr>
            </w:pPr>
            <w:r w:rsidRPr="00FA3F9C">
              <w:rPr>
                <w:rFonts w:ascii="Arial" w:hAnsi="Arial" w:cs="Arial"/>
                <w:sz w:val="24"/>
                <w:szCs w:val="24"/>
              </w:rPr>
              <w:t>What changed</w:t>
            </w:r>
          </w:p>
        </w:tc>
        <w:tc>
          <w:tcPr>
            <w:tcW w:w="2538" w:type="dxa"/>
          </w:tcPr>
          <w:p w14:paraId="57A5E31D" w14:textId="77777777" w:rsidR="009B5AA5" w:rsidRPr="00FA3F9C" w:rsidRDefault="009B5AA5" w:rsidP="006F623F">
            <w:pPr>
              <w:rPr>
                <w:rFonts w:ascii="Arial" w:hAnsi="Arial" w:cs="Arial"/>
                <w:sz w:val="24"/>
                <w:szCs w:val="24"/>
              </w:rPr>
            </w:pPr>
            <w:r w:rsidRPr="00FA3F9C">
              <w:rPr>
                <w:rFonts w:ascii="Arial" w:hAnsi="Arial" w:cs="Arial"/>
                <w:sz w:val="24"/>
                <w:szCs w:val="24"/>
              </w:rPr>
              <w:t>Pharmacist’s initials</w:t>
            </w:r>
          </w:p>
        </w:tc>
      </w:tr>
      <w:tr w:rsidR="009B5AA5" w:rsidRPr="00FA3F9C" w14:paraId="4136CCB4" w14:textId="77777777" w:rsidTr="00FE491B">
        <w:tc>
          <w:tcPr>
            <w:tcW w:w="1008" w:type="dxa"/>
          </w:tcPr>
          <w:p w14:paraId="2534F2B2" w14:textId="77777777" w:rsidR="009B5AA5" w:rsidRPr="00FA3F9C" w:rsidRDefault="009B5AA5" w:rsidP="006F623F">
            <w:pPr>
              <w:rPr>
                <w:rFonts w:ascii="Arial" w:hAnsi="Arial" w:cs="Arial"/>
                <w:sz w:val="24"/>
                <w:szCs w:val="24"/>
              </w:rPr>
            </w:pPr>
            <w:r w:rsidRPr="00FA3F9C">
              <w:rPr>
                <w:rFonts w:ascii="Arial" w:hAnsi="Arial" w:cs="Arial"/>
                <w:sz w:val="24"/>
                <w:szCs w:val="24"/>
              </w:rPr>
              <w:t>1/14/21</w:t>
            </w:r>
          </w:p>
        </w:tc>
        <w:tc>
          <w:tcPr>
            <w:tcW w:w="7470" w:type="dxa"/>
          </w:tcPr>
          <w:p w14:paraId="7B4F5573" w14:textId="77777777" w:rsidR="009B5AA5" w:rsidRPr="00FA3F9C" w:rsidRDefault="009B5AA5" w:rsidP="006F623F">
            <w:pPr>
              <w:rPr>
                <w:rFonts w:ascii="Arial" w:hAnsi="Arial" w:cs="Arial"/>
                <w:sz w:val="24"/>
                <w:szCs w:val="24"/>
              </w:rPr>
            </w:pPr>
            <w:r w:rsidRPr="00FA3F9C">
              <w:rPr>
                <w:rFonts w:ascii="Arial" w:hAnsi="Arial" w:cs="Arial"/>
                <w:sz w:val="24"/>
                <w:szCs w:val="24"/>
              </w:rPr>
              <w:t>I wrote the criteria.</w:t>
            </w:r>
          </w:p>
        </w:tc>
        <w:tc>
          <w:tcPr>
            <w:tcW w:w="2538" w:type="dxa"/>
          </w:tcPr>
          <w:p w14:paraId="2D8E2539" w14:textId="77777777" w:rsidR="009B5AA5" w:rsidRPr="00FA3F9C" w:rsidRDefault="009B5AA5" w:rsidP="006F623F">
            <w:pPr>
              <w:rPr>
                <w:rFonts w:ascii="Arial" w:hAnsi="Arial" w:cs="Arial"/>
                <w:sz w:val="24"/>
                <w:szCs w:val="24"/>
              </w:rPr>
            </w:pPr>
            <w:r w:rsidRPr="00FA3F9C">
              <w:rPr>
                <w:rFonts w:ascii="Arial" w:hAnsi="Arial" w:cs="Arial"/>
                <w:sz w:val="24"/>
                <w:szCs w:val="24"/>
              </w:rPr>
              <w:t>JJ</w:t>
            </w:r>
          </w:p>
        </w:tc>
      </w:tr>
      <w:tr w:rsidR="009B5AA5" w:rsidRPr="00FA3F9C" w14:paraId="77639452" w14:textId="77777777" w:rsidTr="00FE491B">
        <w:tc>
          <w:tcPr>
            <w:tcW w:w="1008" w:type="dxa"/>
          </w:tcPr>
          <w:p w14:paraId="6E57FCCA" w14:textId="77777777" w:rsidR="009B5AA5" w:rsidRPr="00FA3F9C" w:rsidRDefault="009B5AA5" w:rsidP="006F623F">
            <w:pPr>
              <w:rPr>
                <w:rFonts w:ascii="Arial" w:hAnsi="Arial" w:cs="Arial"/>
                <w:sz w:val="24"/>
                <w:szCs w:val="24"/>
              </w:rPr>
            </w:pPr>
          </w:p>
        </w:tc>
        <w:tc>
          <w:tcPr>
            <w:tcW w:w="7470" w:type="dxa"/>
          </w:tcPr>
          <w:p w14:paraId="4089C4B3" w14:textId="77777777" w:rsidR="009B5AA5" w:rsidRPr="00FA3F9C" w:rsidRDefault="009B5AA5" w:rsidP="006F623F">
            <w:pPr>
              <w:rPr>
                <w:rFonts w:ascii="Arial" w:hAnsi="Arial" w:cs="Arial"/>
                <w:sz w:val="24"/>
                <w:szCs w:val="24"/>
              </w:rPr>
            </w:pPr>
          </w:p>
        </w:tc>
        <w:tc>
          <w:tcPr>
            <w:tcW w:w="2538" w:type="dxa"/>
          </w:tcPr>
          <w:p w14:paraId="004BCF7D" w14:textId="77777777" w:rsidR="009B5AA5" w:rsidRPr="00FA3F9C" w:rsidRDefault="009B5AA5" w:rsidP="006F623F">
            <w:pPr>
              <w:rPr>
                <w:rFonts w:ascii="Arial" w:hAnsi="Arial" w:cs="Arial"/>
                <w:sz w:val="24"/>
                <w:szCs w:val="24"/>
              </w:rPr>
            </w:pPr>
          </w:p>
        </w:tc>
      </w:tr>
    </w:tbl>
    <w:p w14:paraId="423E0A8C" w14:textId="77777777" w:rsidR="009B5AA5" w:rsidRPr="00FA3F9C" w:rsidRDefault="009B5AA5">
      <w:pPr>
        <w:spacing w:after="0"/>
        <w:rPr>
          <w:rFonts w:ascii="Arial" w:hAnsi="Arial" w:cs="Arial"/>
          <w:sz w:val="24"/>
          <w:szCs w:val="24"/>
        </w:rPr>
      </w:pPr>
    </w:p>
    <w:p w14:paraId="14557F99" w14:textId="77777777" w:rsidR="009B5AA5" w:rsidRPr="00FA3F9C" w:rsidRDefault="009B5AA5" w:rsidP="00953C90">
      <w:pPr>
        <w:pStyle w:val="Heading2"/>
        <w:rPr>
          <w:lang w:val="es-ES"/>
        </w:rPr>
      </w:pPr>
      <w:bookmarkStart w:id="213" w:name="_Toc106369861"/>
      <w:proofErr w:type="spellStart"/>
      <w:r w:rsidRPr="00FA3F9C">
        <w:rPr>
          <w:lang w:val="es-ES"/>
        </w:rPr>
        <w:t>Nab-paclitaxel</w:t>
      </w:r>
      <w:proofErr w:type="spellEnd"/>
      <w:r w:rsidRPr="00FA3F9C">
        <w:rPr>
          <w:lang w:val="es-ES"/>
        </w:rPr>
        <w:t xml:space="preserve"> (</w:t>
      </w:r>
      <w:proofErr w:type="spellStart"/>
      <w:r w:rsidRPr="00FA3F9C">
        <w:rPr>
          <w:lang w:val="es-ES"/>
        </w:rPr>
        <w:t>Abraxane</w:t>
      </w:r>
      <w:proofErr w:type="spellEnd"/>
      <w:r w:rsidRPr="00FA3F9C">
        <w:rPr>
          <w:lang w:val="es-ES"/>
        </w:rPr>
        <w:t>)</w:t>
      </w:r>
      <w:bookmarkEnd w:id="213"/>
    </w:p>
    <w:p w14:paraId="2F0CBAC5" w14:textId="77777777" w:rsidR="009B5AA5" w:rsidRPr="00FA3F9C" w:rsidRDefault="009B5AA5" w:rsidP="002C6AE2">
      <w:pPr>
        <w:spacing w:after="0"/>
        <w:jc w:val="center"/>
        <w:rPr>
          <w:rFonts w:ascii="Arial" w:hAnsi="Arial" w:cs="Arial"/>
          <w:sz w:val="24"/>
          <w:szCs w:val="24"/>
          <w:lang w:val="es-ES"/>
        </w:rPr>
      </w:pPr>
      <w:r w:rsidRPr="00FA3F9C">
        <w:rPr>
          <w:rFonts w:ascii="Arial" w:hAnsi="Arial" w:cs="Arial"/>
          <w:sz w:val="24"/>
          <w:szCs w:val="24"/>
          <w:lang w:val="es-ES"/>
        </w:rPr>
        <w:t>100 mg vial</w:t>
      </w:r>
    </w:p>
    <w:p w14:paraId="1665D529" w14:textId="77777777" w:rsidR="009B5AA5" w:rsidRPr="00FA3F9C" w:rsidRDefault="009B5AA5" w:rsidP="002C6AE2">
      <w:pPr>
        <w:spacing w:after="0"/>
        <w:jc w:val="center"/>
        <w:rPr>
          <w:rFonts w:ascii="Arial" w:hAnsi="Arial" w:cs="Arial"/>
          <w:sz w:val="24"/>
          <w:szCs w:val="24"/>
          <w:lang w:val="es-ES"/>
        </w:rPr>
      </w:pPr>
      <w:r w:rsidRPr="00FA3F9C">
        <w:rPr>
          <w:rFonts w:ascii="Arial" w:hAnsi="Arial" w:cs="Arial"/>
          <w:sz w:val="24"/>
          <w:szCs w:val="24"/>
          <w:lang w:val="es-ES"/>
        </w:rPr>
        <w:t xml:space="preserve">EBRx PA </w:t>
      </w:r>
      <w:proofErr w:type="spellStart"/>
      <w:r w:rsidRPr="00FA3F9C">
        <w:rPr>
          <w:rFonts w:ascii="Arial" w:hAnsi="Arial" w:cs="Arial"/>
          <w:sz w:val="24"/>
          <w:szCs w:val="24"/>
          <w:lang w:val="es-ES"/>
        </w:rPr>
        <w:t>Criteria</w:t>
      </w:r>
      <w:proofErr w:type="spellEnd"/>
    </w:p>
    <w:p w14:paraId="5BAF4535" w14:textId="77777777" w:rsidR="009B5AA5" w:rsidRPr="00FA3F9C" w:rsidRDefault="009B5AA5" w:rsidP="008B48E4">
      <w:pPr>
        <w:spacing w:after="0"/>
        <w:jc w:val="center"/>
        <w:rPr>
          <w:rFonts w:ascii="Arial" w:hAnsi="Arial" w:cs="Arial"/>
          <w:sz w:val="24"/>
          <w:szCs w:val="24"/>
          <w:lang w:val="es-ES"/>
        </w:rPr>
      </w:pPr>
    </w:p>
    <w:p w14:paraId="6DFEEEBF" w14:textId="77777777" w:rsidR="009B5AA5" w:rsidRPr="00FA3F9C" w:rsidRDefault="009B5AA5" w:rsidP="005E1FAA">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w:t>
      </w:r>
    </w:p>
    <w:p w14:paraId="681A1630" w14:textId="77777777" w:rsidR="009B5AA5" w:rsidRPr="00FA3F9C" w:rsidRDefault="009B5AA5" w:rsidP="009B5AA5">
      <w:pPr>
        <w:pStyle w:val="Normal1"/>
        <w:numPr>
          <w:ilvl w:val="0"/>
          <w:numId w:val="175"/>
        </w:numPr>
        <w:ind w:left="360" w:hanging="360"/>
        <w:contextualSpacing/>
        <w:rPr>
          <w:rFonts w:ascii="Arial" w:eastAsia="Calibri" w:hAnsi="Arial" w:cs="Arial"/>
        </w:rPr>
      </w:pPr>
      <w:r w:rsidRPr="00FA3F9C">
        <w:rPr>
          <w:rFonts w:ascii="Arial" w:eastAsia="Calibri" w:hAnsi="Arial" w:cs="Arial"/>
        </w:rPr>
        <w:t xml:space="preserve">Metastatic breast cancer, after failure of combination chemotherapy for metastatic disease or relapse within 6 months of adjuvant chemotherapy. Prior therapy should have included an anthracycline unless clinically contraindicated. </w:t>
      </w:r>
    </w:p>
    <w:p w14:paraId="4BD21291" w14:textId="77777777" w:rsidR="009B5AA5" w:rsidRPr="00FA3F9C" w:rsidRDefault="009B5AA5" w:rsidP="009B5AA5">
      <w:pPr>
        <w:pStyle w:val="Normal1"/>
        <w:numPr>
          <w:ilvl w:val="1"/>
          <w:numId w:val="175"/>
        </w:numPr>
        <w:ind w:left="720" w:hanging="270"/>
        <w:contextualSpacing/>
        <w:rPr>
          <w:rFonts w:ascii="Arial" w:eastAsia="Calibri" w:hAnsi="Arial" w:cs="Arial"/>
        </w:rPr>
      </w:pPr>
      <w:r w:rsidRPr="00FA3F9C">
        <w:rPr>
          <w:rFonts w:ascii="Arial" w:eastAsia="Calibri" w:hAnsi="Arial" w:cs="Arial"/>
          <w:highlight w:val="yellow"/>
        </w:rPr>
        <w:t>Not covered</w:t>
      </w:r>
      <w:r w:rsidRPr="00FA3F9C">
        <w:rPr>
          <w:rFonts w:ascii="Arial" w:eastAsia="Calibri" w:hAnsi="Arial" w:cs="Arial"/>
        </w:rPr>
        <w:t>: Abraxane in the second line setting of advanced breast cancer has not been shown to significantly improve outcomes and increases risk for neuropathy</w:t>
      </w:r>
    </w:p>
    <w:p w14:paraId="551F2A6D" w14:textId="77777777" w:rsidR="009B5AA5" w:rsidRPr="00FA3F9C" w:rsidRDefault="009B5AA5" w:rsidP="00DD3C27">
      <w:pPr>
        <w:pStyle w:val="Normal1"/>
        <w:ind w:left="720"/>
        <w:contextualSpacing/>
        <w:rPr>
          <w:rFonts w:ascii="Arial" w:eastAsia="Calibri" w:hAnsi="Arial" w:cs="Arial"/>
        </w:rPr>
      </w:pPr>
      <w:r w:rsidRPr="00FA3F9C">
        <w:rPr>
          <w:rFonts w:ascii="Arial" w:eastAsia="Calibri" w:hAnsi="Arial" w:cs="Arial"/>
        </w:rPr>
        <w:t>Reference:</w:t>
      </w:r>
      <w:r w:rsidRPr="00FA3F9C">
        <w:rPr>
          <w:rFonts w:ascii="Arial" w:hAnsi="Arial" w:cs="Arial"/>
        </w:rPr>
        <w:t xml:space="preserve"> </w:t>
      </w:r>
      <w:proofErr w:type="spellStart"/>
      <w:r w:rsidRPr="00FA3F9C">
        <w:rPr>
          <w:rFonts w:ascii="Arial" w:hAnsi="Arial" w:cs="Arial"/>
        </w:rPr>
        <w:t>Gradishar</w:t>
      </w:r>
      <w:proofErr w:type="spellEnd"/>
      <w:r w:rsidRPr="00FA3F9C">
        <w:rPr>
          <w:rFonts w:ascii="Arial" w:hAnsi="Arial" w:cs="Arial"/>
        </w:rPr>
        <w:t xml:space="preserve"> WJ et al. Phase III trial of nanoparticle albumin-bound paclitaxel compared with </w:t>
      </w:r>
      <w:proofErr w:type="spellStart"/>
      <w:r w:rsidRPr="00FA3F9C">
        <w:rPr>
          <w:rFonts w:ascii="Arial" w:hAnsi="Arial" w:cs="Arial"/>
        </w:rPr>
        <w:t>polyethylated</w:t>
      </w:r>
      <w:proofErr w:type="spellEnd"/>
      <w:r w:rsidRPr="00FA3F9C">
        <w:rPr>
          <w:rFonts w:ascii="Arial" w:hAnsi="Arial" w:cs="Arial"/>
        </w:rPr>
        <w:t xml:space="preserve"> castor oil-based paclitaxel in women with breast cancer. J Clin Oncol. 2005 Nov 1;23(31):7794-803. </w:t>
      </w:r>
      <w:proofErr w:type="spellStart"/>
      <w:r w:rsidRPr="00FA3F9C">
        <w:rPr>
          <w:rFonts w:ascii="Arial" w:hAnsi="Arial" w:cs="Arial"/>
        </w:rPr>
        <w:t>Epub</w:t>
      </w:r>
      <w:proofErr w:type="spellEnd"/>
      <w:r w:rsidRPr="00FA3F9C">
        <w:rPr>
          <w:rFonts w:ascii="Arial" w:hAnsi="Arial" w:cs="Arial"/>
        </w:rPr>
        <w:t xml:space="preserve"> 2005 Sep 19. PMID 16172456</w:t>
      </w:r>
    </w:p>
    <w:p w14:paraId="27AB8B10" w14:textId="77777777" w:rsidR="009B5AA5" w:rsidRPr="00FA3F9C" w:rsidRDefault="009B5AA5" w:rsidP="00137DDF">
      <w:pPr>
        <w:pStyle w:val="Normal1"/>
        <w:ind w:left="360"/>
        <w:contextualSpacing/>
        <w:rPr>
          <w:rFonts w:ascii="Arial" w:eastAsia="Calibri" w:hAnsi="Arial" w:cs="Arial"/>
        </w:rPr>
      </w:pPr>
    </w:p>
    <w:p w14:paraId="7B02BB20" w14:textId="77777777" w:rsidR="009B5AA5" w:rsidRPr="00FA3F9C" w:rsidRDefault="009B5AA5" w:rsidP="009B5AA5">
      <w:pPr>
        <w:pStyle w:val="Normal1"/>
        <w:numPr>
          <w:ilvl w:val="0"/>
          <w:numId w:val="175"/>
        </w:numPr>
        <w:ind w:left="360" w:hanging="360"/>
        <w:contextualSpacing/>
        <w:rPr>
          <w:rFonts w:ascii="Arial" w:eastAsia="Calibri" w:hAnsi="Arial" w:cs="Arial"/>
        </w:rPr>
      </w:pPr>
      <w:r w:rsidRPr="00FA3F9C">
        <w:rPr>
          <w:rFonts w:ascii="Arial" w:eastAsia="Calibri" w:hAnsi="Arial" w:cs="Arial"/>
        </w:rPr>
        <w:t>Locally advanced or metastatic non-small cell lung cancer (NSCLC), as first-line treatment in combination with carboplatin, in patients who are not candidates for curative surgery or radiation therapy.</w:t>
      </w:r>
    </w:p>
    <w:p w14:paraId="32D1C46B" w14:textId="77777777" w:rsidR="009B5AA5" w:rsidRPr="00FA3F9C" w:rsidRDefault="009B5AA5" w:rsidP="009B5AA5">
      <w:pPr>
        <w:pStyle w:val="Normal1"/>
        <w:numPr>
          <w:ilvl w:val="1"/>
          <w:numId w:val="175"/>
        </w:numPr>
        <w:ind w:left="720" w:hanging="270"/>
        <w:contextualSpacing/>
        <w:rPr>
          <w:rFonts w:ascii="Arial" w:eastAsia="Calibri" w:hAnsi="Arial" w:cs="Arial"/>
        </w:rPr>
      </w:pPr>
      <w:r w:rsidRPr="00FA3F9C">
        <w:rPr>
          <w:rFonts w:ascii="Arial" w:eastAsia="Calibri" w:hAnsi="Arial" w:cs="Arial"/>
        </w:rPr>
        <w:t xml:space="preserve">The registration study for this indication compared Abraxane/carboplatin to paclitaxel/carboplatin and found no difference in overall survival with slight decrease in neuropathy (3% vs 12%). </w:t>
      </w:r>
    </w:p>
    <w:p w14:paraId="34691836" w14:textId="77777777" w:rsidR="009B5AA5" w:rsidRPr="00FA3F9C" w:rsidRDefault="009B5AA5" w:rsidP="009B5AA5">
      <w:pPr>
        <w:pStyle w:val="Normal1"/>
        <w:numPr>
          <w:ilvl w:val="2"/>
          <w:numId w:val="175"/>
        </w:numPr>
        <w:ind w:left="990" w:hanging="180"/>
        <w:contextualSpacing/>
        <w:rPr>
          <w:rFonts w:ascii="Arial" w:eastAsia="Calibri" w:hAnsi="Arial" w:cs="Arial"/>
        </w:rPr>
      </w:pPr>
      <w:proofErr w:type="gramStart"/>
      <w:r w:rsidRPr="00FA3F9C">
        <w:rPr>
          <w:rFonts w:ascii="Arial" w:eastAsia="Calibri" w:hAnsi="Arial" w:cs="Arial"/>
          <w:lang w:val="fr-FR"/>
        </w:rPr>
        <w:t>Reference:</w:t>
      </w:r>
      <w:proofErr w:type="gramEnd"/>
      <w:r w:rsidRPr="00FA3F9C">
        <w:rPr>
          <w:rFonts w:ascii="Arial" w:eastAsia="Calibri" w:hAnsi="Arial" w:cs="Arial"/>
          <w:lang w:val="fr-FR"/>
        </w:rPr>
        <w:t xml:space="preserve"> </w:t>
      </w:r>
      <w:proofErr w:type="spellStart"/>
      <w:r w:rsidRPr="00FA3F9C">
        <w:rPr>
          <w:rFonts w:ascii="Arial" w:hAnsi="Arial" w:cs="Arial"/>
          <w:lang w:val="fr-FR"/>
        </w:rPr>
        <w:t>Socinski</w:t>
      </w:r>
      <w:proofErr w:type="spellEnd"/>
      <w:r w:rsidRPr="00FA3F9C">
        <w:rPr>
          <w:rFonts w:ascii="Arial" w:hAnsi="Arial" w:cs="Arial"/>
          <w:lang w:val="fr-FR"/>
        </w:rPr>
        <w:t xml:space="preserve"> MA et al. </w:t>
      </w:r>
      <w:r w:rsidRPr="00FA3F9C">
        <w:rPr>
          <w:rFonts w:ascii="Arial" w:hAnsi="Arial" w:cs="Arial"/>
        </w:rPr>
        <w:t xml:space="preserve">Weekly nab-paclitaxel in combination with carboplatin versus solvent-based paclitaxel plus carboplatin as first-line therapy in patients with advanced non-small-cell lung cancer: </w:t>
      </w:r>
      <w:proofErr w:type="gramStart"/>
      <w:r w:rsidRPr="00FA3F9C">
        <w:rPr>
          <w:rFonts w:ascii="Arial" w:hAnsi="Arial" w:cs="Arial"/>
        </w:rPr>
        <w:t>final results</w:t>
      </w:r>
      <w:proofErr w:type="gramEnd"/>
      <w:r w:rsidRPr="00FA3F9C">
        <w:rPr>
          <w:rFonts w:ascii="Arial" w:hAnsi="Arial" w:cs="Arial"/>
        </w:rPr>
        <w:t xml:space="preserve"> of a phase III trial. J Clin Oncol. 2012 Jun 10;30(17):2055-62. </w:t>
      </w:r>
      <w:proofErr w:type="spellStart"/>
      <w:r w:rsidRPr="00FA3F9C">
        <w:rPr>
          <w:rFonts w:ascii="Arial" w:hAnsi="Arial" w:cs="Arial"/>
        </w:rPr>
        <w:t>doi</w:t>
      </w:r>
      <w:proofErr w:type="spellEnd"/>
      <w:r w:rsidRPr="00FA3F9C">
        <w:rPr>
          <w:rFonts w:ascii="Arial" w:hAnsi="Arial" w:cs="Arial"/>
        </w:rPr>
        <w:t xml:space="preserve">: 10.1200/JCO.2011.39.5848. </w:t>
      </w:r>
      <w:proofErr w:type="spellStart"/>
      <w:r w:rsidRPr="00FA3F9C">
        <w:rPr>
          <w:rFonts w:ascii="Arial" w:hAnsi="Arial" w:cs="Arial"/>
        </w:rPr>
        <w:t>Epub</w:t>
      </w:r>
      <w:proofErr w:type="spellEnd"/>
      <w:r w:rsidRPr="00FA3F9C">
        <w:rPr>
          <w:rFonts w:ascii="Arial" w:hAnsi="Arial" w:cs="Arial"/>
        </w:rPr>
        <w:t xml:space="preserve"> 2012 Apr 30. PMID 22547591</w:t>
      </w:r>
    </w:p>
    <w:p w14:paraId="3ED29334" w14:textId="77777777" w:rsidR="009B5AA5" w:rsidRPr="00FA3F9C" w:rsidRDefault="009B5AA5" w:rsidP="009B5AA5">
      <w:pPr>
        <w:pStyle w:val="Normal1"/>
        <w:numPr>
          <w:ilvl w:val="1"/>
          <w:numId w:val="175"/>
        </w:numPr>
        <w:ind w:left="720" w:hanging="270"/>
        <w:contextualSpacing/>
        <w:rPr>
          <w:rFonts w:ascii="Arial" w:eastAsia="Calibri" w:hAnsi="Arial" w:cs="Arial"/>
        </w:rPr>
      </w:pPr>
      <w:r w:rsidRPr="00FA3F9C">
        <w:rPr>
          <w:rFonts w:ascii="Arial" w:eastAsia="Calibri" w:hAnsi="Arial" w:cs="Arial"/>
          <w:highlight w:val="cyan"/>
        </w:rPr>
        <w:t>For NSCLC, Abraxane is covered only in combination with atezolizumab (see “other indications”) for non-squamous tumors only.</w:t>
      </w:r>
      <w:r w:rsidRPr="00FA3F9C">
        <w:rPr>
          <w:rFonts w:ascii="Arial" w:eastAsia="Calibri" w:hAnsi="Arial" w:cs="Arial"/>
        </w:rPr>
        <w:t xml:space="preserve"> </w:t>
      </w:r>
    </w:p>
    <w:p w14:paraId="2F660596" w14:textId="77777777" w:rsidR="009B5AA5" w:rsidRPr="00FA3F9C" w:rsidRDefault="009B5AA5" w:rsidP="009B5AA5">
      <w:pPr>
        <w:pStyle w:val="Normal1"/>
        <w:numPr>
          <w:ilvl w:val="1"/>
          <w:numId w:val="175"/>
        </w:numPr>
        <w:ind w:left="720" w:hanging="270"/>
        <w:contextualSpacing/>
        <w:rPr>
          <w:rFonts w:ascii="Arial" w:eastAsia="Calibri" w:hAnsi="Arial" w:cs="Arial"/>
        </w:rPr>
      </w:pPr>
      <w:r w:rsidRPr="00FA3F9C">
        <w:rPr>
          <w:rFonts w:ascii="Arial" w:eastAsia="Calibri" w:hAnsi="Arial" w:cs="Arial"/>
        </w:rPr>
        <w:t xml:space="preserve">If request is for Abraxane in combination with pembrolizumab (Keytruda), the recommended alternative is conventional paclitaxel (Taxol). </w:t>
      </w:r>
    </w:p>
    <w:p w14:paraId="77F12135" w14:textId="77777777" w:rsidR="009B5AA5" w:rsidRPr="00FA3F9C" w:rsidRDefault="009B5AA5" w:rsidP="00DD3C27">
      <w:pPr>
        <w:pStyle w:val="Normal1"/>
        <w:ind w:left="720"/>
        <w:contextualSpacing/>
        <w:rPr>
          <w:rFonts w:ascii="Arial" w:eastAsia="Calibri" w:hAnsi="Arial" w:cs="Arial"/>
        </w:rPr>
      </w:pPr>
    </w:p>
    <w:p w14:paraId="7893E6A9" w14:textId="77777777" w:rsidR="009B5AA5" w:rsidRPr="00FA3F9C" w:rsidRDefault="009B5AA5" w:rsidP="009B5AA5">
      <w:pPr>
        <w:pStyle w:val="Normal1"/>
        <w:numPr>
          <w:ilvl w:val="0"/>
          <w:numId w:val="175"/>
        </w:numPr>
        <w:spacing w:line="276" w:lineRule="auto"/>
        <w:ind w:left="360" w:hanging="360"/>
        <w:contextualSpacing/>
        <w:rPr>
          <w:rFonts w:ascii="Arial" w:eastAsia="Calibri" w:hAnsi="Arial" w:cs="Arial"/>
        </w:rPr>
      </w:pPr>
      <w:r w:rsidRPr="00FA3F9C">
        <w:rPr>
          <w:rFonts w:ascii="Arial" w:eastAsia="Calibri" w:hAnsi="Arial" w:cs="Arial"/>
        </w:rPr>
        <w:t xml:space="preserve">Metastatic adenocarcinoma of the pancreas as first-line treatment, in combination with gemcitabine </w:t>
      </w:r>
      <w:r w:rsidRPr="00FA3F9C">
        <w:rPr>
          <w:rFonts w:ascii="Arial" w:eastAsia="Calibri" w:hAnsi="Arial" w:cs="Arial"/>
          <w:highlight w:val="yellow"/>
        </w:rPr>
        <w:t>NOT COVERED</w:t>
      </w:r>
      <w:r w:rsidRPr="00FA3F9C">
        <w:rPr>
          <w:rFonts w:ascii="Arial" w:eastAsia="Calibri" w:hAnsi="Arial" w:cs="Arial"/>
        </w:rPr>
        <w:t xml:space="preserve"> Abraxane + gemcitabine statistically improved overall survival compared with gemcitabine alone (median 8.7 </w:t>
      </w:r>
      <w:proofErr w:type="spellStart"/>
      <w:r w:rsidRPr="00FA3F9C">
        <w:rPr>
          <w:rFonts w:ascii="Arial" w:eastAsia="Calibri" w:hAnsi="Arial" w:cs="Arial"/>
        </w:rPr>
        <w:t>mo</w:t>
      </w:r>
      <w:proofErr w:type="spellEnd"/>
      <w:r w:rsidRPr="00FA3F9C">
        <w:rPr>
          <w:rFonts w:ascii="Arial" w:eastAsia="Calibri" w:hAnsi="Arial" w:cs="Arial"/>
        </w:rPr>
        <w:t xml:space="preserve"> vs 6.6 </w:t>
      </w:r>
      <w:proofErr w:type="spellStart"/>
      <w:r w:rsidRPr="00FA3F9C">
        <w:rPr>
          <w:rFonts w:ascii="Arial" w:eastAsia="Calibri" w:hAnsi="Arial" w:cs="Arial"/>
        </w:rPr>
        <w:t>mo</w:t>
      </w:r>
      <w:proofErr w:type="spellEnd"/>
      <w:r w:rsidRPr="00FA3F9C">
        <w:rPr>
          <w:rFonts w:ascii="Arial" w:eastAsia="Calibri" w:hAnsi="Arial" w:cs="Arial"/>
        </w:rPr>
        <w:t xml:space="preserve">). EBRx does not believe this difference to be clinically significant. </w:t>
      </w:r>
    </w:p>
    <w:p w14:paraId="5D04DDB3" w14:textId="77777777" w:rsidR="009B5AA5" w:rsidRPr="00FA3F9C" w:rsidRDefault="009B5AA5" w:rsidP="00121C89">
      <w:pPr>
        <w:pStyle w:val="Normal1"/>
        <w:spacing w:line="276" w:lineRule="auto"/>
        <w:ind w:left="360"/>
        <w:contextualSpacing/>
        <w:rPr>
          <w:rFonts w:ascii="Arial" w:eastAsia="Calibri" w:hAnsi="Arial" w:cs="Arial"/>
        </w:rPr>
      </w:pPr>
      <w:r w:rsidRPr="00FA3F9C">
        <w:rPr>
          <w:rFonts w:ascii="Arial" w:eastAsia="Calibri" w:hAnsi="Arial" w:cs="Arial"/>
        </w:rPr>
        <w:t xml:space="preserve">Reference: </w:t>
      </w:r>
      <w:r w:rsidRPr="00FA3F9C">
        <w:rPr>
          <w:rFonts w:ascii="Arial" w:hAnsi="Arial" w:cs="Arial"/>
        </w:rPr>
        <w:t xml:space="preserve">Goldstein D et al. J Natl Cancer Inst. </w:t>
      </w:r>
      <w:proofErr w:type="gramStart"/>
      <w:r w:rsidRPr="00FA3F9C">
        <w:rPr>
          <w:rFonts w:ascii="Arial" w:hAnsi="Arial" w:cs="Arial"/>
        </w:rPr>
        <w:t>nab</w:t>
      </w:r>
      <w:proofErr w:type="gramEnd"/>
      <w:r w:rsidRPr="00FA3F9C">
        <w:rPr>
          <w:rFonts w:ascii="Arial" w:hAnsi="Arial" w:cs="Arial"/>
        </w:rPr>
        <w:t xml:space="preserve">-Paclitaxel plus gemcitabine for metastatic pancreatic cancer: long-term survival from a phase III trial. 2015 Jan 31;107(2). </w:t>
      </w:r>
      <w:proofErr w:type="spellStart"/>
      <w:r w:rsidRPr="00FA3F9C">
        <w:rPr>
          <w:rFonts w:ascii="Arial" w:hAnsi="Arial" w:cs="Arial"/>
        </w:rPr>
        <w:t>pii</w:t>
      </w:r>
      <w:proofErr w:type="spellEnd"/>
      <w:r w:rsidRPr="00FA3F9C">
        <w:rPr>
          <w:rFonts w:ascii="Arial" w:hAnsi="Arial" w:cs="Arial"/>
        </w:rPr>
        <w:t xml:space="preserve">: dju413. </w:t>
      </w:r>
      <w:proofErr w:type="spellStart"/>
      <w:r w:rsidRPr="00FA3F9C">
        <w:rPr>
          <w:rFonts w:ascii="Arial" w:hAnsi="Arial" w:cs="Arial"/>
        </w:rPr>
        <w:t>doi</w:t>
      </w:r>
      <w:proofErr w:type="spellEnd"/>
      <w:r w:rsidRPr="00FA3F9C">
        <w:rPr>
          <w:rFonts w:ascii="Arial" w:hAnsi="Arial" w:cs="Arial"/>
        </w:rPr>
        <w:t>: 10.1093/</w:t>
      </w:r>
      <w:proofErr w:type="spellStart"/>
      <w:r w:rsidRPr="00FA3F9C">
        <w:rPr>
          <w:rFonts w:ascii="Arial" w:hAnsi="Arial" w:cs="Arial"/>
        </w:rPr>
        <w:t>jnci</w:t>
      </w:r>
      <w:proofErr w:type="spellEnd"/>
      <w:r w:rsidRPr="00FA3F9C">
        <w:rPr>
          <w:rFonts w:ascii="Arial" w:hAnsi="Arial" w:cs="Arial"/>
        </w:rPr>
        <w:t xml:space="preserve">/dju413. Print 2015 Feb. PMID 25638248 </w:t>
      </w:r>
      <w:r w:rsidRPr="00FA3F9C">
        <w:rPr>
          <w:rFonts w:ascii="Arial" w:hAnsi="Arial" w:cs="Arial"/>
        </w:rPr>
        <w:lastRenderedPageBreak/>
        <w:t>NCT00844649</w:t>
      </w:r>
    </w:p>
    <w:p w14:paraId="1EBA030E" w14:textId="77777777" w:rsidR="009B5AA5" w:rsidRPr="00FA3F9C" w:rsidRDefault="009B5AA5" w:rsidP="00121C89">
      <w:pPr>
        <w:pStyle w:val="Normal1"/>
        <w:spacing w:line="276" w:lineRule="auto"/>
        <w:ind w:left="360"/>
        <w:contextualSpacing/>
        <w:rPr>
          <w:rFonts w:ascii="Arial" w:eastAsia="Calibri" w:hAnsi="Arial" w:cs="Arial"/>
        </w:rPr>
      </w:pPr>
    </w:p>
    <w:p w14:paraId="6114008F" w14:textId="77777777" w:rsidR="009B5AA5" w:rsidRPr="00FA3F9C" w:rsidRDefault="009B5AA5" w:rsidP="00121C89">
      <w:pPr>
        <w:pStyle w:val="Normal1"/>
        <w:spacing w:line="276" w:lineRule="auto"/>
        <w:contextualSpacing/>
        <w:rPr>
          <w:rFonts w:ascii="Arial" w:eastAsia="Calibri" w:hAnsi="Arial" w:cs="Arial"/>
        </w:rPr>
      </w:pPr>
    </w:p>
    <w:p w14:paraId="57664AEF" w14:textId="77777777" w:rsidR="009B5AA5" w:rsidRPr="00FA3F9C" w:rsidRDefault="009B5AA5" w:rsidP="0014300E">
      <w:pPr>
        <w:pStyle w:val="Normal1"/>
        <w:spacing w:line="276" w:lineRule="auto"/>
        <w:contextualSpacing/>
        <w:rPr>
          <w:rFonts w:ascii="Arial" w:eastAsia="Calibri" w:hAnsi="Arial" w:cs="Arial"/>
          <w:b/>
          <w:u w:val="single"/>
        </w:rPr>
      </w:pPr>
      <w:r w:rsidRPr="00FA3F9C">
        <w:rPr>
          <w:rFonts w:ascii="Arial" w:eastAsia="Calibri" w:hAnsi="Arial" w:cs="Arial"/>
          <w:b/>
          <w:u w:val="single"/>
        </w:rPr>
        <w:t xml:space="preserve">Other indications </w:t>
      </w:r>
      <w:r w:rsidRPr="00FA3F9C">
        <w:rPr>
          <w:rFonts w:ascii="Arial" w:eastAsia="Calibri" w:hAnsi="Arial" w:cs="Arial"/>
          <w:b/>
          <w:highlight w:val="cyan"/>
          <w:u w:val="single"/>
        </w:rPr>
        <w:t>(both listed in atezolizumab package insert and covered by EBRx)</w:t>
      </w:r>
      <w:r w:rsidRPr="00FA3F9C">
        <w:rPr>
          <w:rFonts w:ascii="Arial" w:eastAsia="Calibri" w:hAnsi="Arial" w:cs="Arial"/>
          <w:b/>
          <w:u w:val="single"/>
        </w:rPr>
        <w:t>:</w:t>
      </w:r>
    </w:p>
    <w:p w14:paraId="0A559CA0" w14:textId="77777777" w:rsidR="009B5AA5" w:rsidRPr="00FA3F9C" w:rsidRDefault="009B5AA5" w:rsidP="009B5AA5">
      <w:pPr>
        <w:pStyle w:val="ListParagraph"/>
        <w:numPr>
          <w:ilvl w:val="0"/>
          <w:numId w:val="343"/>
        </w:numPr>
        <w:spacing w:after="0" w:line="276" w:lineRule="auto"/>
        <w:ind w:left="360"/>
        <w:rPr>
          <w:rFonts w:ascii="Arial" w:hAnsi="Arial" w:cs="Arial"/>
          <w:sz w:val="24"/>
          <w:szCs w:val="24"/>
        </w:rPr>
      </w:pPr>
      <w:r w:rsidRPr="00FA3F9C">
        <w:rPr>
          <w:rFonts w:ascii="Arial" w:hAnsi="Arial" w:cs="Arial"/>
          <w:sz w:val="24"/>
          <w:szCs w:val="24"/>
        </w:rPr>
        <w:t xml:space="preserve">In combination with atezolizumab for the treatment of adult patients with unresectable locally advanced or metastatic triple negative breast cancer whose tumors express PD-L1 (PD-L1 stained tumor-infiltrating immune cells [IC] of any intensity covering ≥ 1% of the tumor area), as determined by an FDA approved test. </w:t>
      </w:r>
    </w:p>
    <w:p w14:paraId="11666BE3" w14:textId="77777777" w:rsidR="009B5AA5" w:rsidRPr="00FA3F9C" w:rsidRDefault="009B5AA5" w:rsidP="009B5AA5">
      <w:pPr>
        <w:pStyle w:val="Normal1"/>
        <w:numPr>
          <w:ilvl w:val="0"/>
          <w:numId w:val="343"/>
        </w:numPr>
        <w:spacing w:line="276" w:lineRule="auto"/>
        <w:ind w:left="360"/>
        <w:contextualSpacing/>
        <w:rPr>
          <w:rFonts w:ascii="Arial" w:eastAsia="Calibri" w:hAnsi="Arial" w:cs="Arial"/>
        </w:rPr>
      </w:pPr>
      <w:r w:rsidRPr="00FA3F9C">
        <w:rPr>
          <w:rFonts w:ascii="Arial" w:eastAsia="Calibri" w:hAnsi="Arial" w:cs="Arial"/>
        </w:rPr>
        <w:t>In combination with atezolizumab and carboplatin for the first-line treatment of adult patients with metastatic non-squamous NSCLC with no EGFR or ALK genomic tumor aberrations</w:t>
      </w:r>
    </w:p>
    <w:p w14:paraId="21459B10" w14:textId="77777777" w:rsidR="009B5AA5" w:rsidRPr="00FA3F9C" w:rsidRDefault="009B5AA5" w:rsidP="0014300E">
      <w:pPr>
        <w:pStyle w:val="Normal1"/>
        <w:spacing w:line="276" w:lineRule="auto"/>
        <w:contextualSpacing/>
        <w:rPr>
          <w:rFonts w:ascii="Arial" w:eastAsia="Calibri" w:hAnsi="Arial" w:cs="Arial"/>
          <w:b/>
          <w:u w:val="single"/>
        </w:rPr>
      </w:pPr>
    </w:p>
    <w:p w14:paraId="065A861D" w14:textId="77777777" w:rsidR="009B5AA5" w:rsidRPr="00FA3F9C" w:rsidRDefault="009B5AA5" w:rsidP="0014300E">
      <w:pPr>
        <w:pStyle w:val="Normal1"/>
        <w:spacing w:line="276" w:lineRule="auto"/>
        <w:contextualSpacing/>
        <w:rPr>
          <w:rFonts w:ascii="Arial" w:hAnsi="Arial" w:cs="Arial"/>
          <w:b/>
          <w:u w:val="single"/>
        </w:rPr>
      </w:pPr>
    </w:p>
    <w:tbl>
      <w:tblPr>
        <w:tblStyle w:val="TableGrid"/>
        <w:tblW w:w="0" w:type="auto"/>
        <w:tblLook w:val="04A0" w:firstRow="1" w:lastRow="0" w:firstColumn="1" w:lastColumn="0" w:noHBand="0" w:noVBand="1"/>
      </w:tblPr>
      <w:tblGrid>
        <w:gridCol w:w="8745"/>
        <w:gridCol w:w="2045"/>
      </w:tblGrid>
      <w:tr w:rsidR="009B5AA5" w:rsidRPr="00FA3F9C" w14:paraId="250DC5C0" w14:textId="77777777" w:rsidTr="002C6AE2">
        <w:tc>
          <w:tcPr>
            <w:tcW w:w="8745" w:type="dxa"/>
            <w:shd w:val="clear" w:color="auto" w:fill="000000"/>
          </w:tcPr>
          <w:p w14:paraId="59D7BD15" w14:textId="77777777" w:rsidR="009B5AA5" w:rsidRPr="00FA3F9C" w:rsidRDefault="009B5AA5" w:rsidP="0014300E">
            <w:pPr>
              <w:rPr>
                <w:rFonts w:ascii="Arial" w:hAnsi="Arial" w:cs="Arial"/>
                <w:b/>
                <w:sz w:val="24"/>
                <w:szCs w:val="24"/>
                <w:u w:val="single"/>
              </w:rPr>
            </w:pPr>
            <w:r w:rsidRPr="00FA3F9C">
              <w:rPr>
                <w:rFonts w:ascii="Arial" w:hAnsi="Arial" w:cs="Arial"/>
                <w:b/>
                <w:sz w:val="24"/>
                <w:szCs w:val="24"/>
                <w:u w:val="single"/>
              </w:rPr>
              <w:t>Metastatic Triple Negative Breast Cancer</w:t>
            </w:r>
          </w:p>
        </w:tc>
        <w:tc>
          <w:tcPr>
            <w:tcW w:w="2045" w:type="dxa"/>
            <w:shd w:val="clear" w:color="auto" w:fill="000000"/>
          </w:tcPr>
          <w:p w14:paraId="447DB176" w14:textId="77777777" w:rsidR="009B5AA5" w:rsidRPr="00FA3F9C" w:rsidRDefault="009B5AA5" w:rsidP="000E79CF">
            <w:pPr>
              <w:jc w:val="center"/>
              <w:rPr>
                <w:rFonts w:ascii="Arial" w:hAnsi="Arial" w:cs="Arial"/>
                <w:b/>
                <w:sz w:val="24"/>
                <w:szCs w:val="24"/>
                <w:u w:val="single"/>
              </w:rPr>
            </w:pPr>
          </w:p>
        </w:tc>
      </w:tr>
      <w:tr w:rsidR="009B5AA5" w:rsidRPr="00FA3F9C" w14:paraId="5EECDE46" w14:textId="77777777" w:rsidTr="002C6AE2">
        <w:trPr>
          <w:trHeight w:val="323"/>
        </w:trPr>
        <w:tc>
          <w:tcPr>
            <w:tcW w:w="10790" w:type="dxa"/>
            <w:gridSpan w:val="2"/>
          </w:tcPr>
          <w:p w14:paraId="1C680DFA" w14:textId="77777777" w:rsidR="009B5AA5" w:rsidRPr="00FA3F9C" w:rsidRDefault="009B5AA5" w:rsidP="00AC5D43">
            <w:pPr>
              <w:rPr>
                <w:rFonts w:ascii="Arial" w:hAnsi="Arial" w:cs="Arial"/>
                <w:sz w:val="24"/>
                <w:szCs w:val="24"/>
              </w:rPr>
            </w:pPr>
            <w:r w:rsidRPr="00FA3F9C">
              <w:rPr>
                <w:rFonts w:ascii="Arial" w:hAnsi="Arial" w:cs="Arial"/>
                <w:sz w:val="24"/>
                <w:szCs w:val="24"/>
              </w:rPr>
              <w:t>1.  Diagnosis of metastatic triple negative breast cancer</w:t>
            </w:r>
          </w:p>
        </w:tc>
      </w:tr>
      <w:tr w:rsidR="009B5AA5" w:rsidRPr="00FA3F9C" w14:paraId="76E868DE" w14:textId="77777777" w:rsidTr="002C6AE2">
        <w:trPr>
          <w:trHeight w:val="323"/>
        </w:trPr>
        <w:tc>
          <w:tcPr>
            <w:tcW w:w="10790" w:type="dxa"/>
            <w:gridSpan w:val="2"/>
          </w:tcPr>
          <w:p w14:paraId="401814F2" w14:textId="77777777" w:rsidR="009B5AA5" w:rsidRPr="00FA3F9C" w:rsidRDefault="009B5AA5" w:rsidP="00AC5D43">
            <w:pPr>
              <w:rPr>
                <w:rFonts w:ascii="Arial" w:hAnsi="Arial" w:cs="Arial"/>
                <w:sz w:val="24"/>
                <w:szCs w:val="24"/>
              </w:rPr>
            </w:pPr>
            <w:r w:rsidRPr="00FA3F9C">
              <w:rPr>
                <w:rFonts w:ascii="Arial" w:hAnsi="Arial" w:cs="Arial"/>
                <w:sz w:val="24"/>
                <w:szCs w:val="24"/>
              </w:rPr>
              <w:t>2. Nab-paclitaxel will be used in combination with atezolizumab (</w:t>
            </w:r>
            <w:proofErr w:type="spellStart"/>
            <w:r w:rsidRPr="00FA3F9C">
              <w:rPr>
                <w:rFonts w:ascii="Arial" w:hAnsi="Arial" w:cs="Arial"/>
                <w:sz w:val="24"/>
                <w:szCs w:val="24"/>
              </w:rPr>
              <w:t>Tecentriq</w:t>
            </w:r>
            <w:proofErr w:type="spellEnd"/>
            <w:r w:rsidRPr="00FA3F9C">
              <w:rPr>
                <w:rFonts w:ascii="Arial" w:hAnsi="Arial" w:cs="Arial"/>
                <w:sz w:val="24"/>
                <w:szCs w:val="24"/>
              </w:rPr>
              <w:t>)</w:t>
            </w:r>
          </w:p>
        </w:tc>
      </w:tr>
      <w:tr w:rsidR="009B5AA5" w:rsidRPr="00FA3F9C" w14:paraId="62951618" w14:textId="77777777" w:rsidTr="002C6AE2">
        <w:trPr>
          <w:trHeight w:val="323"/>
        </w:trPr>
        <w:tc>
          <w:tcPr>
            <w:tcW w:w="10790" w:type="dxa"/>
            <w:gridSpan w:val="2"/>
          </w:tcPr>
          <w:p w14:paraId="4D0C0E80" w14:textId="77777777" w:rsidR="009B5AA5" w:rsidRPr="00FA3F9C" w:rsidRDefault="009B5AA5" w:rsidP="0014300E">
            <w:pPr>
              <w:rPr>
                <w:rFonts w:ascii="Arial" w:hAnsi="Arial" w:cs="Arial"/>
                <w:sz w:val="24"/>
                <w:szCs w:val="24"/>
              </w:rPr>
            </w:pPr>
            <w:r w:rsidRPr="00FA3F9C">
              <w:rPr>
                <w:rFonts w:ascii="Arial" w:hAnsi="Arial" w:cs="Arial"/>
                <w:sz w:val="24"/>
                <w:szCs w:val="24"/>
              </w:rPr>
              <w:t>3. Patient meets criteria for atezolizumab for treatment of metastatic triple negative breast cancer</w:t>
            </w:r>
          </w:p>
        </w:tc>
      </w:tr>
      <w:tr w:rsidR="009B5AA5" w:rsidRPr="00FA3F9C" w14:paraId="47F71A36" w14:textId="77777777" w:rsidTr="001758F8">
        <w:trPr>
          <w:trHeight w:val="332"/>
        </w:trPr>
        <w:tc>
          <w:tcPr>
            <w:tcW w:w="10790" w:type="dxa"/>
            <w:gridSpan w:val="2"/>
            <w:shd w:val="clear" w:color="auto" w:fill="F2F2F2" w:themeFill="background1" w:themeFillShade="F2"/>
          </w:tcPr>
          <w:p w14:paraId="0C7D8F82" w14:textId="77777777" w:rsidR="009B5AA5" w:rsidRPr="00FA3F9C" w:rsidRDefault="009B5AA5" w:rsidP="001758F8">
            <w:pPr>
              <w:rPr>
                <w:rFonts w:ascii="Arial" w:hAnsi="Arial" w:cs="Arial"/>
                <w:sz w:val="24"/>
                <w:szCs w:val="24"/>
              </w:rPr>
            </w:pPr>
            <w:r w:rsidRPr="00FA3F9C">
              <w:rPr>
                <w:rFonts w:ascii="Arial" w:hAnsi="Arial" w:cs="Arial"/>
                <w:sz w:val="24"/>
                <w:szCs w:val="24"/>
              </w:rPr>
              <w:t>If above criteria are fulfilled, approve x 1 year (duration of therapy: until disease progression or unacceptable toxicity)</w:t>
            </w:r>
          </w:p>
        </w:tc>
      </w:tr>
      <w:tr w:rsidR="009B5AA5" w:rsidRPr="00FA3F9C" w14:paraId="600CD394" w14:textId="77777777" w:rsidTr="00121C89">
        <w:trPr>
          <w:trHeight w:val="332"/>
        </w:trPr>
        <w:tc>
          <w:tcPr>
            <w:tcW w:w="10790" w:type="dxa"/>
            <w:gridSpan w:val="2"/>
            <w:shd w:val="clear" w:color="auto" w:fill="D9D9D9" w:themeFill="background1" w:themeFillShade="D9"/>
          </w:tcPr>
          <w:p w14:paraId="6DB554FE" w14:textId="77777777" w:rsidR="009B5AA5" w:rsidRPr="00FA3F9C" w:rsidRDefault="009B5AA5" w:rsidP="00121C89">
            <w:pPr>
              <w:rPr>
                <w:rFonts w:ascii="Arial" w:hAnsi="Arial" w:cs="Arial"/>
                <w:sz w:val="24"/>
                <w:szCs w:val="24"/>
              </w:rPr>
            </w:pPr>
            <w:r w:rsidRPr="00FA3F9C">
              <w:rPr>
                <w:rFonts w:ascii="Arial" w:hAnsi="Arial" w:cs="Arial"/>
                <w:sz w:val="24"/>
                <w:szCs w:val="24"/>
              </w:rPr>
              <w:t xml:space="preserve">Note:   </w:t>
            </w:r>
          </w:p>
          <w:p w14:paraId="608A8A22" w14:textId="77777777" w:rsidR="009B5AA5" w:rsidRPr="00FA3F9C" w:rsidRDefault="009B5AA5" w:rsidP="00121C89">
            <w:pPr>
              <w:rPr>
                <w:rFonts w:ascii="Arial" w:hAnsi="Arial" w:cs="Arial"/>
                <w:sz w:val="24"/>
                <w:szCs w:val="24"/>
              </w:rPr>
            </w:pPr>
            <w:r w:rsidRPr="00FA3F9C">
              <w:rPr>
                <w:rFonts w:ascii="Arial" w:hAnsi="Arial" w:cs="Arial"/>
                <w:sz w:val="24"/>
                <w:szCs w:val="24"/>
              </w:rPr>
              <w:t>See atezolizumab (</w:t>
            </w:r>
            <w:proofErr w:type="spellStart"/>
            <w:r w:rsidRPr="00FA3F9C">
              <w:rPr>
                <w:rFonts w:ascii="Arial" w:hAnsi="Arial" w:cs="Arial"/>
                <w:sz w:val="24"/>
                <w:szCs w:val="24"/>
              </w:rPr>
              <w:t>Tecentriq</w:t>
            </w:r>
            <w:proofErr w:type="spellEnd"/>
            <w:r w:rsidRPr="00FA3F9C">
              <w:rPr>
                <w:rFonts w:ascii="Arial" w:hAnsi="Arial" w:cs="Arial"/>
                <w:sz w:val="24"/>
                <w:szCs w:val="24"/>
              </w:rPr>
              <w:t>) criteria for data summaries regarding criteria.</w:t>
            </w:r>
          </w:p>
          <w:p w14:paraId="3DE22FEA" w14:textId="77777777" w:rsidR="009B5AA5" w:rsidRPr="00FA3F9C" w:rsidRDefault="009B5AA5" w:rsidP="00121C89">
            <w:pPr>
              <w:rPr>
                <w:rFonts w:ascii="Arial" w:hAnsi="Arial" w:cs="Arial"/>
                <w:sz w:val="24"/>
                <w:szCs w:val="24"/>
              </w:rPr>
            </w:pPr>
          </w:p>
          <w:p w14:paraId="2954FDA0" w14:textId="77777777" w:rsidR="009B5AA5" w:rsidRPr="00FA3F9C" w:rsidRDefault="009B5AA5" w:rsidP="00121C89">
            <w:pPr>
              <w:rPr>
                <w:rFonts w:ascii="Arial" w:hAnsi="Arial" w:cs="Arial"/>
                <w:sz w:val="24"/>
                <w:szCs w:val="24"/>
              </w:rPr>
            </w:pPr>
            <w:r w:rsidRPr="00FA3F9C">
              <w:rPr>
                <w:rFonts w:ascii="Arial" w:hAnsi="Arial" w:cs="Arial"/>
                <w:sz w:val="24"/>
                <w:szCs w:val="24"/>
              </w:rPr>
              <w:t xml:space="preserve">Dose: </w:t>
            </w:r>
          </w:p>
          <w:p w14:paraId="3C929FE4" w14:textId="77777777" w:rsidR="009B5AA5" w:rsidRPr="00FA3F9C" w:rsidRDefault="009B5AA5" w:rsidP="00121C89">
            <w:pPr>
              <w:rPr>
                <w:rFonts w:ascii="Arial" w:hAnsi="Arial" w:cs="Arial"/>
                <w:sz w:val="24"/>
                <w:szCs w:val="24"/>
              </w:rPr>
            </w:pPr>
            <w:r w:rsidRPr="00FA3F9C">
              <w:rPr>
                <w:rFonts w:ascii="Arial" w:hAnsi="Arial" w:cs="Arial"/>
                <w:sz w:val="24"/>
                <w:szCs w:val="24"/>
              </w:rPr>
              <w:t xml:space="preserve">Triple negative breast cancer (with atezolizumab): 100 mg/m2 IV on days 1, 8, and 15 of a 28-day cycle. Continue until disease progression or unacceptable toxicity. </w:t>
            </w:r>
          </w:p>
        </w:tc>
      </w:tr>
    </w:tbl>
    <w:p w14:paraId="671DC83A" w14:textId="77777777" w:rsidR="009B5AA5" w:rsidRPr="00FA3F9C" w:rsidRDefault="009B5AA5" w:rsidP="008B48E4">
      <w:pPr>
        <w:spacing w:after="0"/>
        <w:rPr>
          <w:rFonts w:ascii="Arial" w:hAnsi="Arial" w:cs="Arial"/>
          <w:b/>
          <w:sz w:val="24"/>
          <w:szCs w:val="24"/>
          <w:u w:val="single"/>
        </w:rPr>
      </w:pPr>
    </w:p>
    <w:tbl>
      <w:tblPr>
        <w:tblStyle w:val="TableGrid"/>
        <w:tblW w:w="0" w:type="auto"/>
        <w:tblLook w:val="04A0" w:firstRow="1" w:lastRow="0" w:firstColumn="1" w:lastColumn="0" w:noHBand="0" w:noVBand="1"/>
      </w:tblPr>
      <w:tblGrid>
        <w:gridCol w:w="8745"/>
        <w:gridCol w:w="2045"/>
      </w:tblGrid>
      <w:tr w:rsidR="009B5AA5" w:rsidRPr="00FA3F9C" w14:paraId="1FDEE20D" w14:textId="77777777" w:rsidTr="0082607E">
        <w:trPr>
          <w:trHeight w:val="242"/>
        </w:trPr>
        <w:tc>
          <w:tcPr>
            <w:tcW w:w="8745" w:type="dxa"/>
            <w:shd w:val="clear" w:color="auto" w:fill="000000"/>
          </w:tcPr>
          <w:p w14:paraId="7C9755BF" w14:textId="77777777" w:rsidR="009B5AA5" w:rsidRPr="00FA3F9C" w:rsidRDefault="009B5AA5" w:rsidP="0082607E">
            <w:pPr>
              <w:rPr>
                <w:rFonts w:ascii="Arial" w:hAnsi="Arial" w:cs="Arial"/>
                <w:b/>
                <w:sz w:val="24"/>
                <w:szCs w:val="24"/>
                <w:u w:val="single"/>
              </w:rPr>
            </w:pPr>
            <w:r w:rsidRPr="00FA3F9C">
              <w:rPr>
                <w:rFonts w:ascii="Arial" w:hAnsi="Arial" w:cs="Arial"/>
                <w:b/>
                <w:sz w:val="24"/>
                <w:szCs w:val="24"/>
                <w:u w:val="single"/>
              </w:rPr>
              <w:t>Metastatic Non-Small Cell Lung Cancer</w:t>
            </w:r>
          </w:p>
        </w:tc>
        <w:tc>
          <w:tcPr>
            <w:tcW w:w="2045" w:type="dxa"/>
            <w:shd w:val="clear" w:color="auto" w:fill="000000"/>
          </w:tcPr>
          <w:p w14:paraId="54C18A2E" w14:textId="77777777" w:rsidR="009B5AA5" w:rsidRPr="00FA3F9C" w:rsidRDefault="009B5AA5" w:rsidP="00A846C1">
            <w:pPr>
              <w:jc w:val="center"/>
              <w:rPr>
                <w:rFonts w:ascii="Arial" w:hAnsi="Arial" w:cs="Arial"/>
                <w:b/>
                <w:sz w:val="24"/>
                <w:szCs w:val="24"/>
                <w:u w:val="single"/>
              </w:rPr>
            </w:pPr>
          </w:p>
        </w:tc>
      </w:tr>
      <w:tr w:rsidR="009B5AA5" w:rsidRPr="00FA3F9C" w14:paraId="4F4E3A65" w14:textId="77777777" w:rsidTr="00A846C1">
        <w:trPr>
          <w:trHeight w:val="323"/>
        </w:trPr>
        <w:tc>
          <w:tcPr>
            <w:tcW w:w="10790" w:type="dxa"/>
            <w:gridSpan w:val="2"/>
          </w:tcPr>
          <w:p w14:paraId="4492D04F" w14:textId="77777777" w:rsidR="009B5AA5" w:rsidRPr="00FA3F9C" w:rsidRDefault="009B5AA5" w:rsidP="00E51AD1">
            <w:pPr>
              <w:rPr>
                <w:rFonts w:ascii="Arial" w:hAnsi="Arial" w:cs="Arial"/>
                <w:sz w:val="24"/>
                <w:szCs w:val="24"/>
              </w:rPr>
            </w:pPr>
            <w:r w:rsidRPr="00FA3F9C">
              <w:rPr>
                <w:rFonts w:ascii="Arial" w:hAnsi="Arial" w:cs="Arial"/>
                <w:sz w:val="24"/>
                <w:szCs w:val="24"/>
              </w:rPr>
              <w:t>1. Diagnosis of metastatic non-small cell lung cancer</w:t>
            </w:r>
          </w:p>
        </w:tc>
      </w:tr>
      <w:tr w:rsidR="009B5AA5" w:rsidRPr="00FA3F9C" w14:paraId="66533030" w14:textId="77777777" w:rsidTr="00A846C1">
        <w:trPr>
          <w:trHeight w:val="323"/>
        </w:trPr>
        <w:tc>
          <w:tcPr>
            <w:tcW w:w="10790" w:type="dxa"/>
            <w:gridSpan w:val="2"/>
          </w:tcPr>
          <w:p w14:paraId="07230A6A" w14:textId="77777777" w:rsidR="009B5AA5" w:rsidRPr="00FA3F9C" w:rsidRDefault="009B5AA5" w:rsidP="00A846C1">
            <w:pPr>
              <w:rPr>
                <w:rFonts w:ascii="Arial" w:hAnsi="Arial" w:cs="Arial"/>
                <w:sz w:val="24"/>
                <w:szCs w:val="24"/>
              </w:rPr>
            </w:pPr>
            <w:r w:rsidRPr="00FA3F9C">
              <w:rPr>
                <w:rFonts w:ascii="Arial" w:hAnsi="Arial" w:cs="Arial"/>
                <w:sz w:val="24"/>
                <w:szCs w:val="24"/>
              </w:rPr>
              <w:t>2. Nab-paclitaxel will be used in combination with atezolizumab (</w:t>
            </w:r>
            <w:proofErr w:type="spellStart"/>
            <w:r w:rsidRPr="00FA3F9C">
              <w:rPr>
                <w:rFonts w:ascii="Arial" w:hAnsi="Arial" w:cs="Arial"/>
                <w:sz w:val="24"/>
                <w:szCs w:val="24"/>
              </w:rPr>
              <w:t>Tecentriq</w:t>
            </w:r>
            <w:proofErr w:type="spellEnd"/>
            <w:r w:rsidRPr="00FA3F9C">
              <w:rPr>
                <w:rFonts w:ascii="Arial" w:hAnsi="Arial" w:cs="Arial"/>
                <w:sz w:val="24"/>
                <w:szCs w:val="24"/>
              </w:rPr>
              <w:t>) and carboplatin</w:t>
            </w:r>
          </w:p>
        </w:tc>
      </w:tr>
      <w:tr w:rsidR="009B5AA5" w:rsidRPr="00FA3F9C" w14:paraId="01E9891C" w14:textId="77777777" w:rsidTr="00A846C1">
        <w:trPr>
          <w:trHeight w:val="323"/>
        </w:trPr>
        <w:tc>
          <w:tcPr>
            <w:tcW w:w="10790" w:type="dxa"/>
            <w:gridSpan w:val="2"/>
          </w:tcPr>
          <w:p w14:paraId="206C9DAC" w14:textId="77777777" w:rsidR="009B5AA5" w:rsidRPr="00FA3F9C" w:rsidRDefault="009B5AA5" w:rsidP="0082607E">
            <w:pPr>
              <w:rPr>
                <w:rFonts w:ascii="Arial" w:hAnsi="Arial" w:cs="Arial"/>
                <w:sz w:val="24"/>
                <w:szCs w:val="24"/>
              </w:rPr>
            </w:pPr>
            <w:r w:rsidRPr="00FA3F9C">
              <w:rPr>
                <w:rFonts w:ascii="Arial" w:hAnsi="Arial" w:cs="Arial"/>
                <w:sz w:val="24"/>
                <w:szCs w:val="24"/>
              </w:rPr>
              <w:t>3. Patient meets criteria for atezolizumab for treatment of non-small cell lung cancer</w:t>
            </w:r>
          </w:p>
        </w:tc>
      </w:tr>
      <w:tr w:rsidR="009B5AA5" w:rsidRPr="00FA3F9C" w14:paraId="11F3E910" w14:textId="77777777" w:rsidTr="00A846C1">
        <w:trPr>
          <w:trHeight w:val="332"/>
        </w:trPr>
        <w:tc>
          <w:tcPr>
            <w:tcW w:w="10790" w:type="dxa"/>
            <w:gridSpan w:val="2"/>
            <w:shd w:val="clear" w:color="auto" w:fill="F2F2F2" w:themeFill="background1" w:themeFillShade="F2"/>
          </w:tcPr>
          <w:p w14:paraId="773D9E6E" w14:textId="77777777" w:rsidR="009B5AA5" w:rsidRPr="00FA3F9C" w:rsidRDefault="009B5AA5" w:rsidP="0082607E">
            <w:pPr>
              <w:rPr>
                <w:rFonts w:ascii="Arial" w:hAnsi="Arial" w:cs="Arial"/>
                <w:sz w:val="24"/>
                <w:szCs w:val="24"/>
              </w:rPr>
            </w:pPr>
            <w:r w:rsidRPr="00FA3F9C">
              <w:rPr>
                <w:rFonts w:ascii="Arial" w:hAnsi="Arial" w:cs="Arial"/>
                <w:sz w:val="24"/>
                <w:szCs w:val="24"/>
              </w:rPr>
              <w:t>If above criteria are fulfilled, approve x 6 months (maximum duration of therapy: 6 cycles)</w:t>
            </w:r>
          </w:p>
        </w:tc>
      </w:tr>
      <w:tr w:rsidR="009B5AA5" w:rsidRPr="00FA3F9C" w14:paraId="1A4F88D6" w14:textId="77777777" w:rsidTr="00121C89">
        <w:trPr>
          <w:trHeight w:val="152"/>
        </w:trPr>
        <w:tc>
          <w:tcPr>
            <w:tcW w:w="10790" w:type="dxa"/>
            <w:gridSpan w:val="2"/>
            <w:shd w:val="clear" w:color="auto" w:fill="D9D9D9" w:themeFill="background1" w:themeFillShade="D9"/>
          </w:tcPr>
          <w:p w14:paraId="5540C209" w14:textId="77777777" w:rsidR="009B5AA5" w:rsidRPr="00FA3F9C" w:rsidRDefault="009B5AA5" w:rsidP="002F0134">
            <w:pPr>
              <w:rPr>
                <w:rFonts w:ascii="Arial" w:hAnsi="Arial" w:cs="Arial"/>
                <w:sz w:val="24"/>
                <w:szCs w:val="24"/>
              </w:rPr>
            </w:pPr>
            <w:r w:rsidRPr="00FA3F9C">
              <w:rPr>
                <w:rFonts w:ascii="Arial" w:hAnsi="Arial" w:cs="Arial"/>
                <w:sz w:val="24"/>
                <w:szCs w:val="24"/>
              </w:rPr>
              <w:t xml:space="preserve">Note:   </w:t>
            </w:r>
          </w:p>
          <w:p w14:paraId="3060A817" w14:textId="77777777" w:rsidR="009B5AA5" w:rsidRPr="00FA3F9C" w:rsidRDefault="009B5AA5" w:rsidP="002F0134">
            <w:pPr>
              <w:rPr>
                <w:rFonts w:ascii="Arial" w:hAnsi="Arial" w:cs="Arial"/>
                <w:sz w:val="24"/>
                <w:szCs w:val="24"/>
              </w:rPr>
            </w:pPr>
            <w:r w:rsidRPr="00FA3F9C">
              <w:rPr>
                <w:rFonts w:ascii="Arial" w:hAnsi="Arial" w:cs="Arial"/>
                <w:sz w:val="24"/>
                <w:szCs w:val="24"/>
              </w:rPr>
              <w:lastRenderedPageBreak/>
              <w:t>See atezolizumab (</w:t>
            </w:r>
            <w:proofErr w:type="spellStart"/>
            <w:r w:rsidRPr="00FA3F9C">
              <w:rPr>
                <w:rFonts w:ascii="Arial" w:hAnsi="Arial" w:cs="Arial"/>
                <w:sz w:val="24"/>
                <w:szCs w:val="24"/>
              </w:rPr>
              <w:t>Tecentriq</w:t>
            </w:r>
            <w:proofErr w:type="spellEnd"/>
            <w:r w:rsidRPr="00FA3F9C">
              <w:rPr>
                <w:rFonts w:ascii="Arial" w:hAnsi="Arial" w:cs="Arial"/>
                <w:sz w:val="24"/>
                <w:szCs w:val="24"/>
              </w:rPr>
              <w:t>) criteria for data summaries regarding criteria.</w:t>
            </w:r>
          </w:p>
          <w:p w14:paraId="071D4583" w14:textId="77777777" w:rsidR="009B5AA5" w:rsidRPr="00FA3F9C" w:rsidRDefault="009B5AA5" w:rsidP="002F0134">
            <w:pPr>
              <w:rPr>
                <w:rFonts w:ascii="Arial" w:hAnsi="Arial" w:cs="Arial"/>
                <w:sz w:val="24"/>
                <w:szCs w:val="24"/>
              </w:rPr>
            </w:pPr>
          </w:p>
          <w:p w14:paraId="09006D30" w14:textId="77777777" w:rsidR="009B5AA5" w:rsidRPr="00FA3F9C" w:rsidRDefault="009B5AA5" w:rsidP="002F0134">
            <w:pPr>
              <w:rPr>
                <w:rFonts w:ascii="Arial" w:hAnsi="Arial" w:cs="Arial"/>
                <w:sz w:val="24"/>
                <w:szCs w:val="24"/>
              </w:rPr>
            </w:pPr>
            <w:r w:rsidRPr="00FA3F9C">
              <w:rPr>
                <w:rFonts w:ascii="Arial" w:hAnsi="Arial" w:cs="Arial"/>
                <w:sz w:val="24"/>
                <w:szCs w:val="24"/>
              </w:rPr>
              <w:t xml:space="preserve">Dose: </w:t>
            </w:r>
          </w:p>
          <w:p w14:paraId="70697F8F" w14:textId="77777777" w:rsidR="009B5AA5" w:rsidRPr="00FA3F9C" w:rsidRDefault="009B5AA5" w:rsidP="002F0134">
            <w:pPr>
              <w:rPr>
                <w:rFonts w:ascii="Arial" w:eastAsia="Calibri" w:hAnsi="Arial" w:cs="Arial"/>
                <w:sz w:val="24"/>
                <w:szCs w:val="24"/>
              </w:rPr>
            </w:pPr>
            <w:r w:rsidRPr="00FA3F9C">
              <w:rPr>
                <w:rFonts w:ascii="Arial" w:hAnsi="Arial" w:cs="Arial"/>
                <w:sz w:val="24"/>
                <w:szCs w:val="24"/>
              </w:rPr>
              <w:t>Metastatic non-small cell lung cancer (with atezolizumab and carboplatin): 100 mg/m2 on days 1, 8, and 15 of a 21-day cycles. Continue x 4-6 cycles.</w:t>
            </w:r>
          </w:p>
        </w:tc>
      </w:tr>
    </w:tbl>
    <w:p w14:paraId="78414531" w14:textId="77777777" w:rsidR="009B5AA5" w:rsidRPr="00FA3F9C" w:rsidRDefault="009B5AA5" w:rsidP="008B48E4">
      <w:pPr>
        <w:spacing w:after="0"/>
        <w:rPr>
          <w:rFonts w:ascii="Arial" w:hAnsi="Arial" w:cs="Arial"/>
          <w:b/>
          <w:sz w:val="24"/>
          <w:szCs w:val="24"/>
          <w:u w:val="single"/>
        </w:rPr>
      </w:pPr>
    </w:p>
    <w:p w14:paraId="7B0865A1" w14:textId="77777777" w:rsidR="009B5AA5" w:rsidRPr="00FA3F9C" w:rsidRDefault="009B5AA5" w:rsidP="008B48E4">
      <w:pPr>
        <w:spacing w:after="0"/>
        <w:rPr>
          <w:rFonts w:ascii="Arial" w:hAnsi="Arial" w:cs="Arial"/>
          <w:b/>
          <w:sz w:val="24"/>
          <w:szCs w:val="24"/>
          <w:u w:val="single"/>
        </w:rPr>
      </w:pPr>
    </w:p>
    <w:p w14:paraId="0C2FC302" w14:textId="77777777" w:rsidR="009B5AA5" w:rsidRPr="00FA3F9C" w:rsidRDefault="009B5AA5" w:rsidP="008B48E4">
      <w:pPr>
        <w:spacing w:after="0"/>
        <w:rPr>
          <w:rFonts w:ascii="Arial" w:hAnsi="Arial" w:cs="Arial"/>
          <w:sz w:val="24"/>
          <w:szCs w:val="24"/>
        </w:rPr>
      </w:pPr>
      <w:r w:rsidRPr="00FA3F9C">
        <w:rPr>
          <w:rFonts w:ascii="Arial" w:hAnsi="Arial" w:cs="Arial"/>
          <w:sz w:val="24"/>
          <w:szCs w:val="24"/>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7740"/>
        <w:gridCol w:w="1728"/>
      </w:tblGrid>
      <w:tr w:rsidR="009B5AA5" w:rsidRPr="00FA3F9C" w14:paraId="67842314" w14:textId="77777777" w:rsidTr="00953C90">
        <w:trPr>
          <w:trHeight w:val="332"/>
        </w:trPr>
        <w:tc>
          <w:tcPr>
            <w:tcW w:w="1284" w:type="dxa"/>
          </w:tcPr>
          <w:p w14:paraId="1F58DE66" w14:textId="77777777" w:rsidR="009B5AA5" w:rsidRPr="00FA3F9C" w:rsidRDefault="009B5AA5" w:rsidP="000E79CF">
            <w:pPr>
              <w:spacing w:after="0" w:line="240" w:lineRule="auto"/>
              <w:rPr>
                <w:rFonts w:ascii="Arial" w:hAnsi="Arial" w:cs="Arial"/>
                <w:sz w:val="24"/>
                <w:szCs w:val="24"/>
              </w:rPr>
            </w:pPr>
            <w:r w:rsidRPr="00FA3F9C">
              <w:rPr>
                <w:rFonts w:ascii="Arial" w:hAnsi="Arial" w:cs="Arial"/>
                <w:sz w:val="24"/>
                <w:szCs w:val="24"/>
              </w:rPr>
              <w:t>Date</w:t>
            </w:r>
          </w:p>
        </w:tc>
        <w:tc>
          <w:tcPr>
            <w:tcW w:w="7740" w:type="dxa"/>
          </w:tcPr>
          <w:p w14:paraId="2F58AB26" w14:textId="77777777" w:rsidR="009B5AA5" w:rsidRPr="00FA3F9C" w:rsidRDefault="009B5AA5" w:rsidP="000E79CF">
            <w:pPr>
              <w:spacing w:after="0" w:line="240" w:lineRule="auto"/>
              <w:rPr>
                <w:rFonts w:ascii="Arial" w:hAnsi="Arial" w:cs="Arial"/>
                <w:sz w:val="24"/>
                <w:szCs w:val="24"/>
              </w:rPr>
            </w:pPr>
            <w:r w:rsidRPr="00FA3F9C">
              <w:rPr>
                <w:rFonts w:ascii="Arial" w:hAnsi="Arial" w:cs="Arial"/>
                <w:sz w:val="24"/>
                <w:szCs w:val="24"/>
              </w:rPr>
              <w:t>What Changed?</w:t>
            </w:r>
          </w:p>
        </w:tc>
        <w:tc>
          <w:tcPr>
            <w:tcW w:w="1728" w:type="dxa"/>
          </w:tcPr>
          <w:p w14:paraId="77AA9E34" w14:textId="77777777" w:rsidR="009B5AA5" w:rsidRPr="00FA3F9C" w:rsidRDefault="009B5AA5" w:rsidP="000E79CF">
            <w:pPr>
              <w:spacing w:after="0" w:line="240" w:lineRule="auto"/>
              <w:rPr>
                <w:rFonts w:ascii="Arial" w:hAnsi="Arial" w:cs="Arial"/>
                <w:sz w:val="24"/>
                <w:szCs w:val="24"/>
              </w:rPr>
            </w:pPr>
            <w:r w:rsidRPr="00FA3F9C">
              <w:rPr>
                <w:rFonts w:ascii="Arial" w:hAnsi="Arial" w:cs="Arial"/>
                <w:sz w:val="24"/>
                <w:szCs w:val="24"/>
              </w:rPr>
              <w:t>Pharmacist’s initials</w:t>
            </w:r>
          </w:p>
        </w:tc>
      </w:tr>
      <w:tr w:rsidR="009B5AA5" w:rsidRPr="00FA3F9C" w14:paraId="6A83B949" w14:textId="77777777" w:rsidTr="00953C90">
        <w:trPr>
          <w:trHeight w:val="260"/>
        </w:trPr>
        <w:tc>
          <w:tcPr>
            <w:tcW w:w="1284" w:type="dxa"/>
          </w:tcPr>
          <w:p w14:paraId="5342AF93" w14:textId="77777777" w:rsidR="009B5AA5" w:rsidRPr="00FA3F9C" w:rsidRDefault="009B5AA5" w:rsidP="000E79CF">
            <w:pPr>
              <w:spacing w:after="0" w:line="240" w:lineRule="auto"/>
              <w:rPr>
                <w:rFonts w:ascii="Arial" w:hAnsi="Arial" w:cs="Arial"/>
                <w:sz w:val="24"/>
                <w:szCs w:val="24"/>
              </w:rPr>
            </w:pPr>
            <w:r w:rsidRPr="00FA3F9C">
              <w:rPr>
                <w:rFonts w:ascii="Arial" w:hAnsi="Arial" w:cs="Arial"/>
                <w:sz w:val="24"/>
                <w:szCs w:val="24"/>
              </w:rPr>
              <w:t>12/4/19</w:t>
            </w:r>
          </w:p>
        </w:tc>
        <w:tc>
          <w:tcPr>
            <w:tcW w:w="7740" w:type="dxa"/>
          </w:tcPr>
          <w:p w14:paraId="4056772A" w14:textId="77777777" w:rsidR="009B5AA5" w:rsidRPr="00FA3F9C" w:rsidRDefault="009B5AA5" w:rsidP="000E79CF">
            <w:pPr>
              <w:spacing w:after="0" w:line="240" w:lineRule="auto"/>
              <w:rPr>
                <w:rFonts w:ascii="Arial" w:hAnsi="Arial" w:cs="Arial"/>
                <w:sz w:val="24"/>
                <w:szCs w:val="24"/>
              </w:rPr>
            </w:pPr>
            <w:r w:rsidRPr="00FA3F9C">
              <w:rPr>
                <w:rFonts w:ascii="Arial" w:hAnsi="Arial" w:cs="Arial"/>
                <w:sz w:val="24"/>
                <w:szCs w:val="24"/>
              </w:rPr>
              <w:t>Drug reviewed at DCWG. Criteria written</w:t>
            </w:r>
          </w:p>
        </w:tc>
        <w:tc>
          <w:tcPr>
            <w:tcW w:w="1728" w:type="dxa"/>
          </w:tcPr>
          <w:p w14:paraId="50265B27" w14:textId="77777777" w:rsidR="009B5AA5" w:rsidRPr="00FA3F9C" w:rsidRDefault="009B5AA5" w:rsidP="000E79CF">
            <w:pPr>
              <w:spacing w:after="0" w:line="240" w:lineRule="auto"/>
              <w:rPr>
                <w:rFonts w:ascii="Arial" w:hAnsi="Arial" w:cs="Arial"/>
                <w:sz w:val="24"/>
                <w:szCs w:val="24"/>
              </w:rPr>
            </w:pPr>
            <w:proofErr w:type="spellStart"/>
            <w:r w:rsidRPr="00FA3F9C">
              <w:rPr>
                <w:rFonts w:ascii="Arial" w:hAnsi="Arial" w:cs="Arial"/>
                <w:sz w:val="24"/>
                <w:szCs w:val="24"/>
              </w:rPr>
              <w:t>sk</w:t>
            </w:r>
            <w:proofErr w:type="spellEnd"/>
          </w:p>
        </w:tc>
      </w:tr>
      <w:tr w:rsidR="009B5AA5" w:rsidRPr="00FA3F9C" w14:paraId="3F160853" w14:textId="77777777" w:rsidTr="00953C90">
        <w:trPr>
          <w:trHeight w:val="467"/>
        </w:trPr>
        <w:tc>
          <w:tcPr>
            <w:tcW w:w="1284" w:type="dxa"/>
          </w:tcPr>
          <w:p w14:paraId="5A6828B8" w14:textId="77777777" w:rsidR="009B5AA5" w:rsidRPr="00FA3F9C" w:rsidRDefault="009B5AA5" w:rsidP="000E79CF">
            <w:pPr>
              <w:spacing w:after="0" w:line="240" w:lineRule="auto"/>
              <w:rPr>
                <w:rFonts w:ascii="Arial" w:hAnsi="Arial" w:cs="Arial"/>
                <w:sz w:val="24"/>
                <w:szCs w:val="24"/>
              </w:rPr>
            </w:pPr>
            <w:r w:rsidRPr="00FA3F9C">
              <w:rPr>
                <w:rFonts w:ascii="Arial" w:hAnsi="Arial" w:cs="Arial"/>
                <w:sz w:val="24"/>
                <w:szCs w:val="24"/>
              </w:rPr>
              <w:t>3/29/2021</w:t>
            </w:r>
          </w:p>
        </w:tc>
        <w:tc>
          <w:tcPr>
            <w:tcW w:w="7740" w:type="dxa"/>
          </w:tcPr>
          <w:p w14:paraId="68EEF6B4" w14:textId="77777777" w:rsidR="009B5AA5" w:rsidRPr="00FA3F9C" w:rsidRDefault="009B5AA5" w:rsidP="000E79CF">
            <w:pPr>
              <w:spacing w:after="0" w:line="240" w:lineRule="auto"/>
              <w:rPr>
                <w:rFonts w:ascii="Arial" w:hAnsi="Arial" w:cs="Arial"/>
                <w:sz w:val="24"/>
                <w:szCs w:val="24"/>
              </w:rPr>
            </w:pPr>
            <w:r w:rsidRPr="00FA3F9C">
              <w:rPr>
                <w:rFonts w:ascii="Arial" w:hAnsi="Arial" w:cs="Arial"/>
                <w:sz w:val="24"/>
                <w:szCs w:val="24"/>
              </w:rPr>
              <w:t>Criteria reviewed. No change</w:t>
            </w:r>
          </w:p>
        </w:tc>
        <w:tc>
          <w:tcPr>
            <w:tcW w:w="1728" w:type="dxa"/>
          </w:tcPr>
          <w:p w14:paraId="327B4BC1" w14:textId="77777777" w:rsidR="009B5AA5" w:rsidRPr="00FA3F9C" w:rsidRDefault="009B5AA5" w:rsidP="000E79CF">
            <w:pPr>
              <w:spacing w:after="0" w:line="240" w:lineRule="auto"/>
              <w:rPr>
                <w:rFonts w:ascii="Arial" w:hAnsi="Arial" w:cs="Arial"/>
                <w:sz w:val="24"/>
                <w:szCs w:val="24"/>
              </w:rPr>
            </w:pPr>
            <w:r w:rsidRPr="00FA3F9C">
              <w:rPr>
                <w:rFonts w:ascii="Arial" w:hAnsi="Arial" w:cs="Arial"/>
                <w:sz w:val="24"/>
                <w:szCs w:val="24"/>
              </w:rPr>
              <w:t>SK</w:t>
            </w:r>
          </w:p>
        </w:tc>
      </w:tr>
    </w:tbl>
    <w:p w14:paraId="61DBA9BC" w14:textId="77777777" w:rsidR="009B5AA5" w:rsidRPr="00FA3F9C" w:rsidRDefault="009B5AA5" w:rsidP="008B48E4">
      <w:pPr>
        <w:spacing w:after="0"/>
        <w:rPr>
          <w:rFonts w:ascii="Arial" w:hAnsi="Arial" w:cs="Arial"/>
          <w:sz w:val="24"/>
          <w:szCs w:val="24"/>
        </w:rPr>
      </w:pPr>
    </w:p>
    <w:p w14:paraId="430B73C1" w14:textId="77777777" w:rsidR="009B5AA5" w:rsidRPr="00FA3F9C" w:rsidRDefault="009B5AA5">
      <w:pPr>
        <w:rPr>
          <w:rFonts w:ascii="Arial" w:hAnsi="Arial" w:cs="Arial"/>
          <w:sz w:val="24"/>
          <w:szCs w:val="24"/>
        </w:rPr>
      </w:pPr>
    </w:p>
    <w:p w14:paraId="29648084" w14:textId="77777777" w:rsidR="009B5AA5" w:rsidRPr="00FA3F9C" w:rsidRDefault="009B5AA5">
      <w:pPr>
        <w:rPr>
          <w:rFonts w:ascii="Arial" w:hAnsi="Arial" w:cs="Arial"/>
          <w:sz w:val="24"/>
          <w:szCs w:val="24"/>
        </w:rPr>
      </w:pPr>
    </w:p>
    <w:p w14:paraId="0FA313C9" w14:textId="77777777" w:rsidR="009B5AA5" w:rsidRPr="00FA3F9C" w:rsidRDefault="009B5AA5">
      <w:pPr>
        <w:rPr>
          <w:rFonts w:ascii="Arial" w:hAnsi="Arial" w:cs="Arial"/>
          <w:sz w:val="24"/>
          <w:szCs w:val="24"/>
        </w:rPr>
      </w:pPr>
    </w:p>
    <w:p w14:paraId="5C2276EF" w14:textId="77777777" w:rsidR="00953C90" w:rsidRDefault="009B5AA5" w:rsidP="00953C90">
      <w:pPr>
        <w:pStyle w:val="Heading2"/>
      </w:pPr>
      <w:bookmarkStart w:id="214" w:name="_Toc106369862"/>
      <w:proofErr w:type="spellStart"/>
      <w:r w:rsidRPr="00FA3F9C">
        <w:t>Naloxegol</w:t>
      </w:r>
      <w:proofErr w:type="spellEnd"/>
      <w:r w:rsidRPr="00FA3F9C">
        <w:t xml:space="preserve"> (</w:t>
      </w:r>
      <w:proofErr w:type="spellStart"/>
      <w:r w:rsidRPr="00FA3F9C">
        <w:t>Movantik</w:t>
      </w:r>
      <w:proofErr w:type="spellEnd"/>
      <w:r w:rsidRPr="00FA3F9C">
        <w:t>)</w:t>
      </w:r>
      <w:bookmarkEnd w:id="214"/>
      <w:r w:rsidRPr="00FA3F9C">
        <w:t xml:space="preserve"> </w:t>
      </w:r>
    </w:p>
    <w:p w14:paraId="4D94A7A1" w14:textId="0B7D2C8B" w:rsidR="009B5AA5" w:rsidRDefault="009B5AA5" w:rsidP="006F623F">
      <w:pPr>
        <w:spacing w:after="0"/>
        <w:jc w:val="center"/>
        <w:rPr>
          <w:rFonts w:ascii="Arial" w:hAnsi="Arial" w:cs="Arial"/>
          <w:sz w:val="24"/>
          <w:szCs w:val="24"/>
        </w:rPr>
      </w:pPr>
      <w:r w:rsidRPr="00FA3F9C">
        <w:rPr>
          <w:rFonts w:ascii="Arial" w:hAnsi="Arial" w:cs="Arial"/>
          <w:sz w:val="24"/>
          <w:szCs w:val="24"/>
        </w:rPr>
        <w:t>12.5mg &amp; 25mg tablets</w:t>
      </w:r>
    </w:p>
    <w:p w14:paraId="5D907FA1" w14:textId="77777777" w:rsidR="00953C90" w:rsidRPr="00FA3F9C" w:rsidRDefault="00953C90" w:rsidP="00953C90">
      <w:pPr>
        <w:spacing w:after="0"/>
        <w:jc w:val="center"/>
        <w:rPr>
          <w:rFonts w:ascii="Arial" w:hAnsi="Arial" w:cs="Arial"/>
          <w:sz w:val="24"/>
          <w:szCs w:val="24"/>
        </w:rPr>
      </w:pPr>
      <w:r w:rsidRPr="00FA3F9C">
        <w:rPr>
          <w:rFonts w:ascii="Arial" w:hAnsi="Arial" w:cs="Arial"/>
          <w:sz w:val="24"/>
          <w:szCs w:val="24"/>
        </w:rPr>
        <w:t>EBRx PA Criteria</w:t>
      </w:r>
    </w:p>
    <w:p w14:paraId="5DC4AF93" w14:textId="77777777" w:rsidR="00953C90" w:rsidRPr="00FA3F9C" w:rsidRDefault="00953C90" w:rsidP="006F623F">
      <w:pPr>
        <w:spacing w:after="0"/>
        <w:jc w:val="center"/>
        <w:rPr>
          <w:rFonts w:ascii="Arial" w:hAnsi="Arial" w:cs="Arial"/>
          <w:sz w:val="24"/>
          <w:szCs w:val="24"/>
        </w:rPr>
      </w:pPr>
    </w:p>
    <w:p w14:paraId="5AEF9FB5" w14:textId="77777777" w:rsidR="009B5AA5" w:rsidRPr="00FA3F9C" w:rsidRDefault="009B5AA5" w:rsidP="006F623F">
      <w:pPr>
        <w:spacing w:after="0"/>
        <w:rPr>
          <w:rFonts w:ascii="Arial" w:hAnsi="Arial" w:cs="Arial"/>
          <w:b/>
          <w:sz w:val="24"/>
          <w:szCs w:val="24"/>
          <w:u w:val="single"/>
        </w:rPr>
      </w:pPr>
    </w:p>
    <w:p w14:paraId="35CEC2E3" w14:textId="77777777" w:rsidR="009B5AA5" w:rsidRPr="00FA3F9C" w:rsidRDefault="009B5AA5"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opioid-induced constipation  in adults with chronic noncancer pain</w:t>
      </w:r>
    </w:p>
    <w:tbl>
      <w:tblPr>
        <w:tblStyle w:val="TableGrid"/>
        <w:tblW w:w="0" w:type="auto"/>
        <w:tblLook w:val="04A0" w:firstRow="1" w:lastRow="0" w:firstColumn="1" w:lastColumn="0" w:noHBand="0" w:noVBand="1"/>
      </w:tblPr>
      <w:tblGrid>
        <w:gridCol w:w="8928"/>
        <w:gridCol w:w="2088"/>
      </w:tblGrid>
      <w:tr w:rsidR="009B5AA5" w:rsidRPr="00FA3F9C" w14:paraId="0CDFFB9B" w14:textId="77777777" w:rsidTr="00571CAB">
        <w:tc>
          <w:tcPr>
            <w:tcW w:w="8928" w:type="dxa"/>
            <w:shd w:val="clear" w:color="auto" w:fill="000000"/>
          </w:tcPr>
          <w:p w14:paraId="58175A07" w14:textId="77777777" w:rsidR="009B5AA5" w:rsidRPr="00FA3F9C" w:rsidRDefault="009B5AA5"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88" w:type="dxa"/>
            <w:shd w:val="clear" w:color="auto" w:fill="000000"/>
          </w:tcPr>
          <w:p w14:paraId="12E59709" w14:textId="77777777" w:rsidR="009B5AA5" w:rsidRPr="00FA3F9C" w:rsidRDefault="009B5AA5" w:rsidP="006F623F">
            <w:pPr>
              <w:jc w:val="center"/>
              <w:rPr>
                <w:rFonts w:ascii="Arial" w:hAnsi="Arial" w:cs="Arial"/>
                <w:b/>
                <w:sz w:val="24"/>
                <w:szCs w:val="24"/>
                <w:u w:val="single"/>
              </w:rPr>
            </w:pPr>
          </w:p>
        </w:tc>
      </w:tr>
      <w:tr w:rsidR="009B5AA5" w:rsidRPr="00FA3F9C" w14:paraId="091E21DE" w14:textId="77777777" w:rsidTr="00EA313E">
        <w:tc>
          <w:tcPr>
            <w:tcW w:w="11016" w:type="dxa"/>
            <w:gridSpan w:val="2"/>
          </w:tcPr>
          <w:p w14:paraId="07C419CA" w14:textId="77777777" w:rsidR="009B5AA5" w:rsidRPr="00FA3F9C" w:rsidRDefault="009B5AA5" w:rsidP="006F623F">
            <w:pPr>
              <w:rPr>
                <w:rFonts w:ascii="Arial" w:hAnsi="Arial" w:cs="Arial"/>
                <w:sz w:val="24"/>
                <w:szCs w:val="24"/>
              </w:rPr>
            </w:pPr>
            <w:r w:rsidRPr="00FA3F9C">
              <w:rPr>
                <w:rFonts w:ascii="Arial" w:hAnsi="Arial" w:cs="Arial"/>
                <w:sz w:val="24"/>
                <w:szCs w:val="24"/>
              </w:rPr>
              <w:t>1.  The patient must NOT have cancer-induced pain.</w:t>
            </w:r>
          </w:p>
        </w:tc>
      </w:tr>
      <w:tr w:rsidR="009B5AA5" w:rsidRPr="00FA3F9C" w14:paraId="553D4B6A" w14:textId="77777777" w:rsidTr="00EA313E">
        <w:tc>
          <w:tcPr>
            <w:tcW w:w="11016" w:type="dxa"/>
            <w:gridSpan w:val="2"/>
          </w:tcPr>
          <w:p w14:paraId="64060010" w14:textId="77777777" w:rsidR="009B5AA5" w:rsidRPr="00FA3F9C" w:rsidRDefault="009B5AA5" w:rsidP="006F623F">
            <w:pPr>
              <w:rPr>
                <w:rFonts w:ascii="Arial" w:hAnsi="Arial" w:cs="Arial"/>
                <w:sz w:val="24"/>
                <w:szCs w:val="24"/>
              </w:rPr>
            </w:pPr>
            <w:r w:rsidRPr="00FA3F9C">
              <w:rPr>
                <w:rFonts w:ascii="Arial" w:hAnsi="Arial" w:cs="Arial"/>
                <w:sz w:val="24"/>
                <w:szCs w:val="24"/>
              </w:rPr>
              <w:t>2.  The patient must have chronic non-cancer pain.</w:t>
            </w:r>
          </w:p>
        </w:tc>
      </w:tr>
      <w:tr w:rsidR="009B5AA5" w:rsidRPr="00FA3F9C" w14:paraId="5CB1C2D4" w14:textId="77777777" w:rsidTr="00EA313E">
        <w:tc>
          <w:tcPr>
            <w:tcW w:w="11016" w:type="dxa"/>
            <w:gridSpan w:val="2"/>
          </w:tcPr>
          <w:p w14:paraId="2B83070A" w14:textId="77777777" w:rsidR="009B5AA5" w:rsidRPr="00FA3F9C" w:rsidRDefault="009B5AA5" w:rsidP="006F623F">
            <w:pPr>
              <w:rPr>
                <w:rFonts w:ascii="Arial" w:hAnsi="Arial" w:cs="Arial"/>
                <w:sz w:val="24"/>
                <w:szCs w:val="24"/>
              </w:rPr>
            </w:pPr>
            <w:r w:rsidRPr="00FA3F9C">
              <w:rPr>
                <w:rFonts w:ascii="Arial" w:hAnsi="Arial" w:cs="Arial"/>
                <w:sz w:val="24"/>
                <w:szCs w:val="24"/>
              </w:rPr>
              <w:t xml:space="preserve">3.  The patient </w:t>
            </w:r>
            <w:r w:rsidRPr="00FA3F9C">
              <w:rPr>
                <w:rFonts w:ascii="Arial" w:hAnsi="Arial" w:cs="Arial"/>
                <w:b/>
                <w:sz w:val="24"/>
                <w:szCs w:val="24"/>
                <w:u w:val="single"/>
              </w:rPr>
              <w:t>must be receiving opioid medication of at least 30mg of oral morphine equivalent</w:t>
            </w:r>
            <w:r w:rsidRPr="00FA3F9C">
              <w:rPr>
                <w:rFonts w:ascii="Arial" w:hAnsi="Arial" w:cs="Arial"/>
                <w:sz w:val="24"/>
                <w:szCs w:val="24"/>
              </w:rPr>
              <w:t>.</w:t>
            </w:r>
            <w:r w:rsidRPr="00FA3F9C">
              <w:rPr>
                <w:rFonts w:ascii="Arial" w:hAnsi="Arial" w:cs="Arial"/>
                <w:sz w:val="24"/>
                <w:szCs w:val="24"/>
                <w:vertAlign w:val="superscript"/>
              </w:rPr>
              <w:t>1</w:t>
            </w:r>
          </w:p>
        </w:tc>
      </w:tr>
      <w:tr w:rsidR="009B5AA5" w:rsidRPr="00FA3F9C" w14:paraId="5CF58BF8" w14:textId="77777777" w:rsidTr="00EA313E">
        <w:tc>
          <w:tcPr>
            <w:tcW w:w="11016" w:type="dxa"/>
            <w:gridSpan w:val="2"/>
          </w:tcPr>
          <w:p w14:paraId="2A8C21B3" w14:textId="77777777" w:rsidR="009B5AA5" w:rsidRPr="00FA3F9C" w:rsidRDefault="009B5AA5" w:rsidP="006F623F">
            <w:pPr>
              <w:rPr>
                <w:rFonts w:ascii="Arial" w:hAnsi="Arial" w:cs="Arial"/>
                <w:sz w:val="24"/>
                <w:szCs w:val="24"/>
              </w:rPr>
            </w:pPr>
            <w:r w:rsidRPr="00FA3F9C">
              <w:rPr>
                <w:rFonts w:ascii="Arial" w:hAnsi="Arial" w:cs="Arial"/>
                <w:sz w:val="24"/>
                <w:szCs w:val="24"/>
              </w:rPr>
              <w:t>4.  The patient must have tried and failed dietary modifications including eating more roughage.</w:t>
            </w:r>
          </w:p>
        </w:tc>
      </w:tr>
      <w:tr w:rsidR="009B5AA5" w:rsidRPr="00FA3F9C" w14:paraId="6402C7CD" w14:textId="77777777" w:rsidTr="00EA313E">
        <w:tc>
          <w:tcPr>
            <w:tcW w:w="11016" w:type="dxa"/>
            <w:gridSpan w:val="2"/>
          </w:tcPr>
          <w:p w14:paraId="53078EEC" w14:textId="77777777" w:rsidR="009B5AA5" w:rsidRPr="00FA3F9C" w:rsidRDefault="009B5AA5" w:rsidP="00EA313E">
            <w:pPr>
              <w:rPr>
                <w:rFonts w:ascii="Arial" w:hAnsi="Arial" w:cs="Arial"/>
                <w:sz w:val="24"/>
                <w:szCs w:val="24"/>
              </w:rPr>
            </w:pPr>
            <w:r w:rsidRPr="00FA3F9C">
              <w:rPr>
                <w:rFonts w:ascii="Arial" w:hAnsi="Arial" w:cs="Arial"/>
                <w:sz w:val="24"/>
                <w:szCs w:val="24"/>
              </w:rPr>
              <w:lastRenderedPageBreak/>
              <w:t xml:space="preserve">5.  The patient must have tried and failed </w:t>
            </w:r>
            <w:proofErr w:type="spellStart"/>
            <w:r w:rsidRPr="00FA3F9C">
              <w:rPr>
                <w:rFonts w:ascii="Arial" w:hAnsi="Arial" w:cs="Arial"/>
                <w:sz w:val="24"/>
                <w:szCs w:val="24"/>
              </w:rPr>
              <w:t>miralax</w:t>
            </w:r>
            <w:proofErr w:type="spellEnd"/>
            <w:r w:rsidRPr="00FA3F9C">
              <w:rPr>
                <w:rFonts w:ascii="Arial" w:hAnsi="Arial" w:cs="Arial"/>
                <w:sz w:val="24"/>
                <w:szCs w:val="24"/>
              </w:rPr>
              <w:t xml:space="preserve"> and senna and bisacodyl or be planning to take them concurrently with </w:t>
            </w:r>
            <w:proofErr w:type="spellStart"/>
            <w:r w:rsidRPr="00FA3F9C">
              <w:rPr>
                <w:rFonts w:ascii="Arial" w:hAnsi="Arial" w:cs="Arial"/>
                <w:sz w:val="24"/>
                <w:szCs w:val="24"/>
              </w:rPr>
              <w:t>naloxegol</w:t>
            </w:r>
            <w:proofErr w:type="spellEnd"/>
            <w:r w:rsidRPr="00FA3F9C">
              <w:rPr>
                <w:rFonts w:ascii="Arial" w:hAnsi="Arial" w:cs="Arial"/>
                <w:sz w:val="24"/>
                <w:szCs w:val="24"/>
              </w:rPr>
              <w:t>.</w:t>
            </w:r>
          </w:p>
        </w:tc>
      </w:tr>
      <w:tr w:rsidR="009B5AA5" w:rsidRPr="00FA3F9C" w14:paraId="024CA2B7" w14:textId="77777777" w:rsidTr="00EA313E">
        <w:tc>
          <w:tcPr>
            <w:tcW w:w="11016" w:type="dxa"/>
            <w:gridSpan w:val="2"/>
          </w:tcPr>
          <w:p w14:paraId="59B7FC08" w14:textId="77777777" w:rsidR="009B5AA5" w:rsidRPr="00FA3F9C" w:rsidRDefault="009B5AA5" w:rsidP="00EA313E">
            <w:pPr>
              <w:rPr>
                <w:rFonts w:ascii="Arial" w:hAnsi="Arial" w:cs="Arial"/>
                <w:sz w:val="24"/>
                <w:szCs w:val="24"/>
              </w:rPr>
            </w:pPr>
            <w:r w:rsidRPr="00FA3F9C">
              <w:rPr>
                <w:rFonts w:ascii="Arial" w:hAnsi="Arial" w:cs="Arial"/>
                <w:sz w:val="24"/>
                <w:szCs w:val="24"/>
              </w:rPr>
              <w:t xml:space="preserve">6.  The prescriber of </w:t>
            </w:r>
            <w:proofErr w:type="spellStart"/>
            <w:r w:rsidRPr="00FA3F9C">
              <w:rPr>
                <w:rFonts w:ascii="Arial" w:hAnsi="Arial" w:cs="Arial"/>
                <w:sz w:val="24"/>
                <w:szCs w:val="24"/>
              </w:rPr>
              <w:t>naloxegol</w:t>
            </w:r>
            <w:proofErr w:type="spellEnd"/>
            <w:r w:rsidRPr="00FA3F9C">
              <w:rPr>
                <w:rFonts w:ascii="Arial" w:hAnsi="Arial" w:cs="Arial"/>
                <w:sz w:val="24"/>
                <w:szCs w:val="24"/>
              </w:rPr>
              <w:t xml:space="preserve"> must state they have queried the AR PMP to assess the patient’s current opioid use.</w:t>
            </w:r>
          </w:p>
        </w:tc>
      </w:tr>
      <w:tr w:rsidR="009B5AA5" w:rsidRPr="00FA3F9C" w14:paraId="2CD3814D" w14:textId="77777777" w:rsidTr="00EA313E">
        <w:tc>
          <w:tcPr>
            <w:tcW w:w="11016" w:type="dxa"/>
            <w:gridSpan w:val="2"/>
          </w:tcPr>
          <w:p w14:paraId="510AF7DC" w14:textId="77777777" w:rsidR="009B5AA5" w:rsidRPr="00FA3F9C" w:rsidRDefault="009B5AA5" w:rsidP="00EA313E">
            <w:pPr>
              <w:rPr>
                <w:rFonts w:ascii="Arial" w:hAnsi="Arial" w:cs="Arial"/>
                <w:sz w:val="24"/>
                <w:szCs w:val="24"/>
              </w:rPr>
            </w:pPr>
            <w:r w:rsidRPr="00FA3F9C">
              <w:rPr>
                <w:rFonts w:ascii="Arial" w:hAnsi="Arial" w:cs="Arial"/>
                <w:sz w:val="24"/>
                <w:szCs w:val="24"/>
              </w:rPr>
              <w:t xml:space="preserve">If yes to </w:t>
            </w:r>
            <w:proofErr w:type="gramStart"/>
            <w:r w:rsidRPr="00FA3F9C">
              <w:rPr>
                <w:rFonts w:ascii="Arial" w:hAnsi="Arial" w:cs="Arial"/>
                <w:sz w:val="24"/>
                <w:szCs w:val="24"/>
              </w:rPr>
              <w:t>all of</w:t>
            </w:r>
            <w:proofErr w:type="gramEnd"/>
            <w:r w:rsidRPr="00FA3F9C">
              <w:rPr>
                <w:rFonts w:ascii="Arial" w:hAnsi="Arial" w:cs="Arial"/>
                <w:sz w:val="24"/>
                <w:szCs w:val="24"/>
              </w:rPr>
              <w:t xml:space="preserve"> the above, the PA may be approved for 1 year.  QL is 1/1 for a 31 </w:t>
            </w:r>
            <w:proofErr w:type="spellStart"/>
            <w:proofErr w:type="gramStart"/>
            <w:r w:rsidRPr="00FA3F9C">
              <w:rPr>
                <w:rFonts w:ascii="Arial" w:hAnsi="Arial" w:cs="Arial"/>
                <w:sz w:val="24"/>
                <w:szCs w:val="24"/>
              </w:rPr>
              <w:t>days</w:t>
            </w:r>
            <w:proofErr w:type="spellEnd"/>
            <w:proofErr w:type="gramEnd"/>
            <w:r w:rsidRPr="00FA3F9C">
              <w:rPr>
                <w:rFonts w:ascii="Arial" w:hAnsi="Arial" w:cs="Arial"/>
                <w:sz w:val="24"/>
                <w:szCs w:val="24"/>
              </w:rPr>
              <w:t xml:space="preserve"> supply.</w:t>
            </w:r>
          </w:p>
        </w:tc>
      </w:tr>
    </w:tbl>
    <w:p w14:paraId="4914314D" w14:textId="77777777" w:rsidR="009B5AA5" w:rsidRPr="00FA3F9C" w:rsidRDefault="009B5AA5" w:rsidP="006F623F">
      <w:pPr>
        <w:spacing w:after="0"/>
        <w:rPr>
          <w:rFonts w:ascii="Arial" w:hAnsi="Arial" w:cs="Arial"/>
          <w:b/>
          <w:sz w:val="24"/>
          <w:szCs w:val="24"/>
          <w:u w:val="single"/>
        </w:rPr>
      </w:pPr>
    </w:p>
    <w:p w14:paraId="26B43802" w14:textId="77777777" w:rsidR="009B5AA5" w:rsidRPr="00FA3F9C" w:rsidRDefault="009B5AA5" w:rsidP="006F623F">
      <w:pPr>
        <w:spacing w:after="0"/>
        <w:rPr>
          <w:rFonts w:ascii="Arial" w:hAnsi="Arial" w:cs="Arial"/>
          <w:sz w:val="24"/>
          <w:szCs w:val="24"/>
        </w:rPr>
      </w:pPr>
      <w:r w:rsidRPr="00FA3F9C">
        <w:rPr>
          <w:rFonts w:ascii="Arial" w:hAnsi="Arial" w:cs="Arial"/>
          <w:sz w:val="24"/>
          <w:szCs w:val="24"/>
        </w:rPr>
        <w:t>Quantity Limits: 1/1</w:t>
      </w:r>
    </w:p>
    <w:p w14:paraId="6AD560D1" w14:textId="77777777" w:rsidR="009B5AA5" w:rsidRPr="00FA3F9C" w:rsidRDefault="009B5AA5" w:rsidP="006F623F">
      <w:pPr>
        <w:spacing w:after="0"/>
        <w:rPr>
          <w:rFonts w:ascii="Arial" w:hAnsi="Arial" w:cs="Arial"/>
          <w:sz w:val="24"/>
          <w:szCs w:val="24"/>
        </w:rPr>
      </w:pPr>
    </w:p>
    <w:p w14:paraId="16F025B1" w14:textId="77777777" w:rsidR="009B5AA5" w:rsidRPr="00FA3F9C" w:rsidRDefault="009B5AA5"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017"/>
        <w:gridCol w:w="7470"/>
        <w:gridCol w:w="2538"/>
      </w:tblGrid>
      <w:tr w:rsidR="009B5AA5" w:rsidRPr="00FA3F9C" w14:paraId="22392B97" w14:textId="77777777" w:rsidTr="00FE491B">
        <w:tc>
          <w:tcPr>
            <w:tcW w:w="1008" w:type="dxa"/>
          </w:tcPr>
          <w:p w14:paraId="15E2C335" w14:textId="77777777" w:rsidR="009B5AA5" w:rsidRPr="00FA3F9C" w:rsidRDefault="009B5AA5" w:rsidP="006F623F">
            <w:pPr>
              <w:rPr>
                <w:rFonts w:ascii="Arial" w:hAnsi="Arial" w:cs="Arial"/>
                <w:sz w:val="24"/>
                <w:szCs w:val="24"/>
              </w:rPr>
            </w:pPr>
            <w:r w:rsidRPr="00FA3F9C">
              <w:rPr>
                <w:rFonts w:ascii="Arial" w:hAnsi="Arial" w:cs="Arial"/>
                <w:sz w:val="24"/>
                <w:szCs w:val="24"/>
              </w:rPr>
              <w:t>Date</w:t>
            </w:r>
          </w:p>
        </w:tc>
        <w:tc>
          <w:tcPr>
            <w:tcW w:w="7470" w:type="dxa"/>
          </w:tcPr>
          <w:p w14:paraId="37677BCE" w14:textId="77777777" w:rsidR="009B5AA5" w:rsidRPr="00FA3F9C" w:rsidRDefault="009B5AA5" w:rsidP="006F623F">
            <w:pPr>
              <w:rPr>
                <w:rFonts w:ascii="Arial" w:hAnsi="Arial" w:cs="Arial"/>
                <w:sz w:val="24"/>
                <w:szCs w:val="24"/>
              </w:rPr>
            </w:pPr>
            <w:r w:rsidRPr="00FA3F9C">
              <w:rPr>
                <w:rFonts w:ascii="Arial" w:hAnsi="Arial" w:cs="Arial"/>
                <w:sz w:val="24"/>
                <w:szCs w:val="24"/>
              </w:rPr>
              <w:t>What changed</w:t>
            </w:r>
          </w:p>
        </w:tc>
        <w:tc>
          <w:tcPr>
            <w:tcW w:w="2538" w:type="dxa"/>
          </w:tcPr>
          <w:p w14:paraId="1805667B" w14:textId="77777777" w:rsidR="009B5AA5" w:rsidRPr="00FA3F9C" w:rsidRDefault="009B5AA5" w:rsidP="006F623F">
            <w:pPr>
              <w:rPr>
                <w:rFonts w:ascii="Arial" w:hAnsi="Arial" w:cs="Arial"/>
                <w:sz w:val="24"/>
                <w:szCs w:val="24"/>
              </w:rPr>
            </w:pPr>
            <w:r w:rsidRPr="00FA3F9C">
              <w:rPr>
                <w:rFonts w:ascii="Arial" w:hAnsi="Arial" w:cs="Arial"/>
                <w:sz w:val="24"/>
                <w:szCs w:val="24"/>
              </w:rPr>
              <w:t>Pharmacist’s initials</w:t>
            </w:r>
          </w:p>
        </w:tc>
      </w:tr>
      <w:tr w:rsidR="009B5AA5" w:rsidRPr="00FA3F9C" w14:paraId="70B1CDA9" w14:textId="77777777" w:rsidTr="00FE491B">
        <w:tc>
          <w:tcPr>
            <w:tcW w:w="1008" w:type="dxa"/>
          </w:tcPr>
          <w:p w14:paraId="064A0E76" w14:textId="77777777" w:rsidR="009B5AA5" w:rsidRPr="00FA3F9C" w:rsidRDefault="009B5AA5" w:rsidP="006F623F">
            <w:pPr>
              <w:rPr>
                <w:rFonts w:ascii="Arial" w:hAnsi="Arial" w:cs="Arial"/>
                <w:sz w:val="24"/>
                <w:szCs w:val="24"/>
              </w:rPr>
            </w:pPr>
            <w:r w:rsidRPr="00FA3F9C">
              <w:rPr>
                <w:rFonts w:ascii="Arial" w:hAnsi="Arial" w:cs="Arial"/>
                <w:sz w:val="24"/>
                <w:szCs w:val="24"/>
              </w:rPr>
              <w:t>2/8/17</w:t>
            </w:r>
          </w:p>
        </w:tc>
        <w:tc>
          <w:tcPr>
            <w:tcW w:w="7470" w:type="dxa"/>
          </w:tcPr>
          <w:p w14:paraId="621966BC" w14:textId="77777777" w:rsidR="009B5AA5" w:rsidRPr="00FA3F9C" w:rsidRDefault="009B5AA5" w:rsidP="006F623F">
            <w:pPr>
              <w:rPr>
                <w:rFonts w:ascii="Arial" w:hAnsi="Arial" w:cs="Arial"/>
                <w:sz w:val="24"/>
                <w:szCs w:val="24"/>
              </w:rPr>
            </w:pPr>
            <w:r w:rsidRPr="00FA3F9C">
              <w:rPr>
                <w:rFonts w:ascii="Arial" w:hAnsi="Arial" w:cs="Arial"/>
                <w:sz w:val="24"/>
                <w:szCs w:val="24"/>
              </w:rPr>
              <w:t>I wrote the criteria.</w:t>
            </w:r>
          </w:p>
        </w:tc>
        <w:tc>
          <w:tcPr>
            <w:tcW w:w="2538" w:type="dxa"/>
          </w:tcPr>
          <w:p w14:paraId="03871809" w14:textId="69F4FF25" w:rsidR="009B5AA5" w:rsidRPr="00FA3F9C" w:rsidRDefault="009B5AA5" w:rsidP="006F623F">
            <w:pPr>
              <w:rPr>
                <w:rFonts w:ascii="Arial" w:hAnsi="Arial" w:cs="Arial"/>
                <w:sz w:val="24"/>
                <w:szCs w:val="24"/>
              </w:rPr>
            </w:pPr>
            <w:r w:rsidRPr="00FA3F9C">
              <w:rPr>
                <w:rFonts w:ascii="Arial" w:hAnsi="Arial" w:cs="Arial"/>
                <w:sz w:val="24"/>
                <w:szCs w:val="24"/>
              </w:rPr>
              <w:t xml:space="preserve">J </w:t>
            </w:r>
            <w:r w:rsidR="002F3083">
              <w:rPr>
                <w:rFonts w:ascii="Arial" w:hAnsi="Arial" w:cs="Arial"/>
                <w:sz w:val="24"/>
                <w:szCs w:val="24"/>
              </w:rPr>
              <w:t>JJ</w:t>
            </w:r>
            <w:r w:rsidRPr="00FA3F9C">
              <w:rPr>
                <w:rFonts w:ascii="Arial" w:hAnsi="Arial" w:cs="Arial"/>
                <w:sz w:val="24"/>
                <w:szCs w:val="24"/>
              </w:rPr>
              <w:t xml:space="preserve"> </w:t>
            </w:r>
          </w:p>
        </w:tc>
      </w:tr>
      <w:tr w:rsidR="009B5AA5" w:rsidRPr="00FA3F9C" w14:paraId="0A0C2E4F" w14:textId="77777777" w:rsidTr="00FE491B">
        <w:tc>
          <w:tcPr>
            <w:tcW w:w="1008" w:type="dxa"/>
          </w:tcPr>
          <w:p w14:paraId="702BB5AB" w14:textId="77777777" w:rsidR="009B5AA5" w:rsidRPr="00FA3F9C" w:rsidRDefault="009B5AA5" w:rsidP="006F623F">
            <w:pPr>
              <w:rPr>
                <w:rFonts w:ascii="Arial" w:hAnsi="Arial" w:cs="Arial"/>
                <w:sz w:val="24"/>
                <w:szCs w:val="24"/>
              </w:rPr>
            </w:pPr>
            <w:r w:rsidRPr="00FA3F9C">
              <w:rPr>
                <w:rFonts w:ascii="Arial" w:hAnsi="Arial" w:cs="Arial"/>
                <w:sz w:val="24"/>
                <w:szCs w:val="24"/>
              </w:rPr>
              <w:t>2/19/19</w:t>
            </w:r>
          </w:p>
        </w:tc>
        <w:tc>
          <w:tcPr>
            <w:tcW w:w="7470" w:type="dxa"/>
          </w:tcPr>
          <w:p w14:paraId="57E542E7" w14:textId="77777777" w:rsidR="009B5AA5" w:rsidRPr="00FA3F9C" w:rsidRDefault="009B5AA5" w:rsidP="006F623F">
            <w:pPr>
              <w:rPr>
                <w:rFonts w:ascii="Arial" w:hAnsi="Arial" w:cs="Arial"/>
                <w:sz w:val="24"/>
                <w:szCs w:val="24"/>
              </w:rPr>
            </w:pPr>
            <w:r w:rsidRPr="00FA3F9C">
              <w:rPr>
                <w:rFonts w:ascii="Arial" w:hAnsi="Arial" w:cs="Arial"/>
                <w:sz w:val="24"/>
                <w:szCs w:val="24"/>
              </w:rPr>
              <w:t>I reviewed the criteria and added references 2-5 below.</w:t>
            </w:r>
          </w:p>
        </w:tc>
        <w:tc>
          <w:tcPr>
            <w:tcW w:w="2538" w:type="dxa"/>
          </w:tcPr>
          <w:p w14:paraId="11447369" w14:textId="45DDC255" w:rsidR="009B5AA5" w:rsidRPr="00FA3F9C" w:rsidRDefault="005C142D" w:rsidP="006F623F">
            <w:pPr>
              <w:rPr>
                <w:rFonts w:ascii="Arial" w:hAnsi="Arial" w:cs="Arial"/>
                <w:sz w:val="24"/>
                <w:szCs w:val="24"/>
              </w:rPr>
            </w:pPr>
            <w:r w:rsidRPr="00FA3F9C">
              <w:rPr>
                <w:rFonts w:ascii="Arial" w:hAnsi="Arial" w:cs="Arial"/>
                <w:sz w:val="24"/>
                <w:szCs w:val="24"/>
              </w:rPr>
              <w:t>JJ</w:t>
            </w:r>
          </w:p>
        </w:tc>
      </w:tr>
      <w:tr w:rsidR="009B5AA5" w:rsidRPr="00FA3F9C" w14:paraId="69E97D8C" w14:textId="77777777" w:rsidTr="00FE491B">
        <w:tc>
          <w:tcPr>
            <w:tcW w:w="1008" w:type="dxa"/>
          </w:tcPr>
          <w:p w14:paraId="105931CB" w14:textId="77777777" w:rsidR="009B5AA5" w:rsidRPr="00FA3F9C" w:rsidRDefault="009B5AA5" w:rsidP="006F623F">
            <w:pPr>
              <w:rPr>
                <w:rFonts w:ascii="Arial" w:hAnsi="Arial" w:cs="Arial"/>
                <w:sz w:val="24"/>
                <w:szCs w:val="24"/>
              </w:rPr>
            </w:pPr>
            <w:r w:rsidRPr="00FA3F9C">
              <w:rPr>
                <w:rFonts w:ascii="Arial" w:hAnsi="Arial" w:cs="Arial"/>
                <w:sz w:val="24"/>
                <w:szCs w:val="24"/>
              </w:rPr>
              <w:t>9/17/19</w:t>
            </w:r>
          </w:p>
        </w:tc>
        <w:tc>
          <w:tcPr>
            <w:tcW w:w="7470" w:type="dxa"/>
          </w:tcPr>
          <w:p w14:paraId="48D7E8DA" w14:textId="77777777" w:rsidR="009B5AA5" w:rsidRPr="00FA3F9C" w:rsidRDefault="009B5AA5" w:rsidP="006F623F">
            <w:pPr>
              <w:rPr>
                <w:rFonts w:ascii="Arial" w:hAnsi="Arial" w:cs="Arial"/>
                <w:sz w:val="24"/>
                <w:szCs w:val="24"/>
              </w:rPr>
            </w:pPr>
            <w:r w:rsidRPr="00FA3F9C">
              <w:rPr>
                <w:rFonts w:ascii="Arial" w:hAnsi="Arial" w:cs="Arial"/>
                <w:sz w:val="24"/>
                <w:szCs w:val="24"/>
              </w:rPr>
              <w:t>I reviewed the criteria and made no changes.</w:t>
            </w:r>
          </w:p>
        </w:tc>
        <w:tc>
          <w:tcPr>
            <w:tcW w:w="2538" w:type="dxa"/>
          </w:tcPr>
          <w:p w14:paraId="1E0CBE33" w14:textId="12A1A26A" w:rsidR="009B5AA5" w:rsidRPr="00FA3F9C" w:rsidRDefault="005C142D" w:rsidP="006F623F">
            <w:pPr>
              <w:rPr>
                <w:rFonts w:ascii="Arial" w:hAnsi="Arial" w:cs="Arial"/>
                <w:sz w:val="24"/>
                <w:szCs w:val="24"/>
              </w:rPr>
            </w:pPr>
            <w:r w:rsidRPr="00FA3F9C">
              <w:rPr>
                <w:rFonts w:ascii="Arial" w:hAnsi="Arial" w:cs="Arial"/>
                <w:sz w:val="24"/>
                <w:szCs w:val="24"/>
              </w:rPr>
              <w:t>JJ</w:t>
            </w:r>
          </w:p>
        </w:tc>
      </w:tr>
    </w:tbl>
    <w:p w14:paraId="3D824797" w14:textId="77777777" w:rsidR="009B5AA5" w:rsidRPr="00FA3F9C" w:rsidRDefault="009B5AA5" w:rsidP="006F623F">
      <w:pPr>
        <w:spacing w:after="0"/>
        <w:rPr>
          <w:rFonts w:ascii="Arial" w:hAnsi="Arial" w:cs="Arial"/>
          <w:sz w:val="24"/>
          <w:szCs w:val="24"/>
        </w:rPr>
      </w:pPr>
    </w:p>
    <w:p w14:paraId="4A013CA1" w14:textId="77777777" w:rsidR="009B5AA5" w:rsidRPr="00FA3F9C" w:rsidRDefault="009B5AA5" w:rsidP="001A3D4A">
      <w:pPr>
        <w:spacing w:after="0" w:line="240" w:lineRule="auto"/>
        <w:rPr>
          <w:rFonts w:ascii="Arial" w:hAnsi="Arial" w:cs="Arial"/>
          <w:sz w:val="24"/>
          <w:szCs w:val="24"/>
        </w:rPr>
      </w:pPr>
      <w:r w:rsidRPr="00FA3F9C">
        <w:rPr>
          <w:rFonts w:ascii="Arial" w:hAnsi="Arial" w:cs="Arial"/>
          <w:sz w:val="24"/>
          <w:szCs w:val="24"/>
        </w:rPr>
        <w:t>References:</w:t>
      </w:r>
    </w:p>
    <w:p w14:paraId="2C7FBEFC" w14:textId="77777777" w:rsidR="009B5AA5" w:rsidRPr="00FA3F9C" w:rsidRDefault="009B5AA5" w:rsidP="001A3D4A">
      <w:pPr>
        <w:spacing w:after="0" w:line="240" w:lineRule="auto"/>
        <w:rPr>
          <w:rFonts w:ascii="Arial" w:eastAsia="Times New Roman" w:hAnsi="Arial" w:cs="Arial"/>
          <w:color w:val="222222"/>
          <w:sz w:val="24"/>
          <w:szCs w:val="24"/>
          <w:shd w:val="clear" w:color="auto" w:fill="FFFFFF"/>
        </w:rPr>
      </w:pPr>
      <w:r w:rsidRPr="00FA3F9C">
        <w:rPr>
          <w:rFonts w:ascii="Arial" w:hAnsi="Arial" w:cs="Arial"/>
          <w:sz w:val="24"/>
          <w:szCs w:val="24"/>
        </w:rPr>
        <w:t xml:space="preserve">1.  </w:t>
      </w:r>
      <w:r w:rsidRPr="00FA3F9C">
        <w:rPr>
          <w:rFonts w:ascii="Arial" w:eastAsia="Times New Roman" w:hAnsi="Arial" w:cs="Arial"/>
          <w:color w:val="222222"/>
          <w:sz w:val="24"/>
          <w:szCs w:val="24"/>
          <w:shd w:val="clear" w:color="auto" w:fill="FFFFFF"/>
        </w:rPr>
        <w:t>Chey, William D., et al. "</w:t>
      </w:r>
      <w:proofErr w:type="spellStart"/>
      <w:r w:rsidRPr="00FA3F9C">
        <w:rPr>
          <w:rFonts w:ascii="Arial" w:eastAsia="Times New Roman" w:hAnsi="Arial" w:cs="Arial"/>
          <w:color w:val="222222"/>
          <w:sz w:val="24"/>
          <w:szCs w:val="24"/>
          <w:shd w:val="clear" w:color="auto" w:fill="FFFFFF"/>
        </w:rPr>
        <w:t>Naloxegol</w:t>
      </w:r>
      <w:proofErr w:type="spellEnd"/>
      <w:r w:rsidRPr="00FA3F9C">
        <w:rPr>
          <w:rFonts w:ascii="Arial" w:eastAsia="Times New Roman" w:hAnsi="Arial" w:cs="Arial"/>
          <w:color w:val="222222"/>
          <w:sz w:val="24"/>
          <w:szCs w:val="24"/>
          <w:shd w:val="clear" w:color="auto" w:fill="FFFFFF"/>
        </w:rPr>
        <w:t xml:space="preserve"> for opioid-induced constipation in patients with noncancer pain." </w:t>
      </w:r>
      <w:r w:rsidRPr="00FA3F9C">
        <w:rPr>
          <w:rFonts w:ascii="Arial" w:eastAsia="Times New Roman" w:hAnsi="Arial" w:cs="Arial"/>
          <w:i/>
          <w:iCs/>
          <w:color w:val="222222"/>
          <w:sz w:val="24"/>
          <w:szCs w:val="24"/>
          <w:shd w:val="clear" w:color="auto" w:fill="FFFFFF"/>
        </w:rPr>
        <w:t>New England Journal of Medicine</w:t>
      </w:r>
      <w:r w:rsidRPr="00FA3F9C">
        <w:rPr>
          <w:rFonts w:ascii="Arial" w:eastAsia="Times New Roman" w:hAnsi="Arial" w:cs="Arial"/>
          <w:color w:val="222222"/>
          <w:sz w:val="24"/>
          <w:szCs w:val="24"/>
          <w:shd w:val="clear" w:color="auto" w:fill="FFFFFF"/>
        </w:rPr>
        <w:t> 370.25 (2014): 2387-2396.</w:t>
      </w:r>
    </w:p>
    <w:p w14:paraId="3BCEA2DD" w14:textId="77777777" w:rsidR="009B5AA5" w:rsidRPr="00FA3F9C" w:rsidRDefault="009B5AA5" w:rsidP="001A3D4A">
      <w:pPr>
        <w:spacing w:after="0" w:line="240" w:lineRule="auto"/>
        <w:rPr>
          <w:rFonts w:ascii="Arial" w:eastAsia="Times New Roman" w:hAnsi="Arial" w:cs="Arial"/>
          <w:color w:val="222222"/>
          <w:sz w:val="24"/>
          <w:szCs w:val="24"/>
          <w:shd w:val="clear" w:color="auto" w:fill="FFFFFF"/>
        </w:rPr>
      </w:pPr>
      <w:r w:rsidRPr="00FA3F9C">
        <w:rPr>
          <w:rFonts w:ascii="Arial" w:eastAsia="Times New Roman" w:hAnsi="Arial" w:cs="Arial"/>
          <w:color w:val="222222"/>
          <w:sz w:val="24"/>
          <w:szCs w:val="24"/>
          <w:shd w:val="clear" w:color="auto" w:fill="FFFFFF"/>
        </w:rPr>
        <w:t xml:space="preserve">2. </w:t>
      </w:r>
      <w:r w:rsidRPr="00FA3F9C">
        <w:rPr>
          <w:rFonts w:ascii="Arial" w:hAnsi="Arial" w:cs="Arial"/>
          <w:sz w:val="24"/>
          <w:szCs w:val="24"/>
          <w:shd w:val="clear" w:color="auto" w:fill="FFFFFF"/>
        </w:rPr>
        <w:t>Crockett, Seth D., et al. “American Gastroenterological Association Institute Guideline on the Medical Management of Opioid-Induced Constipation.” </w:t>
      </w:r>
      <w:r w:rsidRPr="00FA3F9C">
        <w:rPr>
          <w:rFonts w:ascii="Arial" w:hAnsi="Arial" w:cs="Arial"/>
          <w:i/>
          <w:iCs/>
          <w:sz w:val="24"/>
          <w:szCs w:val="24"/>
        </w:rPr>
        <w:t>Gastroenterology</w:t>
      </w:r>
      <w:r w:rsidRPr="00FA3F9C">
        <w:rPr>
          <w:rFonts w:ascii="Arial" w:hAnsi="Arial" w:cs="Arial"/>
          <w:sz w:val="24"/>
          <w:szCs w:val="24"/>
          <w:shd w:val="clear" w:color="auto" w:fill="FFFFFF"/>
        </w:rPr>
        <w:t>, vol. 156, no. 1, 2019, pp. 218–226., doi:10.1053/j.gastro.2018.07.016.</w:t>
      </w:r>
    </w:p>
    <w:p w14:paraId="014ABF8C" w14:textId="77777777" w:rsidR="009B5AA5" w:rsidRPr="00FA3F9C" w:rsidRDefault="009B5AA5" w:rsidP="001A3D4A">
      <w:pPr>
        <w:spacing w:after="0" w:line="240" w:lineRule="auto"/>
        <w:rPr>
          <w:rFonts w:ascii="Arial" w:eastAsia="Times New Roman" w:hAnsi="Arial" w:cs="Arial"/>
          <w:sz w:val="24"/>
          <w:szCs w:val="24"/>
          <w:shd w:val="clear" w:color="auto" w:fill="FFFFFF"/>
        </w:rPr>
      </w:pPr>
      <w:r w:rsidRPr="00FA3F9C">
        <w:rPr>
          <w:rFonts w:ascii="Arial" w:eastAsia="Times New Roman" w:hAnsi="Arial" w:cs="Arial"/>
          <w:sz w:val="24"/>
          <w:szCs w:val="24"/>
          <w:shd w:val="clear" w:color="auto" w:fill="FFFFFF"/>
        </w:rPr>
        <w:t>3. Ford, Alexander C., Darren M. Brenner, and Philip S. Schoenfeld. "Efficacy of pharmacological therapies for the treatment of opioid-induced constipation: systematic review and meta-analysis." </w:t>
      </w:r>
      <w:r w:rsidRPr="00FA3F9C">
        <w:rPr>
          <w:rFonts w:ascii="Arial" w:eastAsia="Times New Roman" w:hAnsi="Arial" w:cs="Arial"/>
          <w:i/>
          <w:iCs/>
          <w:sz w:val="24"/>
          <w:szCs w:val="24"/>
          <w:shd w:val="clear" w:color="auto" w:fill="FFFFFF"/>
        </w:rPr>
        <w:t>The American journal of gastroenterology</w:t>
      </w:r>
      <w:r w:rsidRPr="00FA3F9C">
        <w:rPr>
          <w:rFonts w:ascii="Arial" w:eastAsia="Times New Roman" w:hAnsi="Arial" w:cs="Arial"/>
          <w:sz w:val="24"/>
          <w:szCs w:val="24"/>
          <w:shd w:val="clear" w:color="auto" w:fill="FFFFFF"/>
        </w:rPr>
        <w:t> 108.10 (2013): 1566-1574.</w:t>
      </w:r>
    </w:p>
    <w:p w14:paraId="2BA3075F" w14:textId="77777777" w:rsidR="009B5AA5" w:rsidRPr="00FA3F9C" w:rsidRDefault="009B5AA5" w:rsidP="001A3D4A">
      <w:pPr>
        <w:spacing w:after="0" w:line="240" w:lineRule="auto"/>
        <w:rPr>
          <w:rFonts w:ascii="Arial" w:hAnsi="Arial" w:cs="Arial"/>
          <w:sz w:val="24"/>
          <w:szCs w:val="24"/>
          <w:shd w:val="clear" w:color="auto" w:fill="FFFFFF"/>
        </w:rPr>
      </w:pPr>
      <w:r w:rsidRPr="00FA3F9C">
        <w:rPr>
          <w:rFonts w:ascii="Arial" w:eastAsia="Times New Roman" w:hAnsi="Arial" w:cs="Arial"/>
          <w:sz w:val="24"/>
          <w:szCs w:val="24"/>
        </w:rPr>
        <w:t xml:space="preserve">4. </w:t>
      </w:r>
      <w:r w:rsidRPr="00FA3F9C">
        <w:rPr>
          <w:rFonts w:ascii="Arial" w:hAnsi="Arial" w:cs="Arial"/>
          <w:sz w:val="24"/>
          <w:szCs w:val="24"/>
          <w:shd w:val="clear" w:color="auto" w:fill="FFFFFF"/>
        </w:rPr>
        <w:t xml:space="preserve">Sridharan, K., &amp; </w:t>
      </w:r>
      <w:proofErr w:type="spellStart"/>
      <w:r w:rsidRPr="00FA3F9C">
        <w:rPr>
          <w:rFonts w:ascii="Arial" w:hAnsi="Arial" w:cs="Arial"/>
          <w:sz w:val="24"/>
          <w:szCs w:val="24"/>
          <w:shd w:val="clear" w:color="auto" w:fill="FFFFFF"/>
        </w:rPr>
        <w:t>Sivaramakrishnan</w:t>
      </w:r>
      <w:proofErr w:type="spellEnd"/>
      <w:r w:rsidRPr="00FA3F9C">
        <w:rPr>
          <w:rFonts w:ascii="Arial" w:hAnsi="Arial" w:cs="Arial"/>
          <w:sz w:val="24"/>
          <w:szCs w:val="24"/>
          <w:shd w:val="clear" w:color="auto" w:fill="FFFFFF"/>
        </w:rPr>
        <w:t>, G. (2018). Drugs for Treating Opioid-Induced Constipation: A Mixed Treatment Comparison Network Meta-analysis of Randomized Controlled Clinical Trials. </w:t>
      </w:r>
      <w:r w:rsidRPr="00FA3F9C">
        <w:rPr>
          <w:rFonts w:ascii="Arial" w:hAnsi="Arial" w:cs="Arial"/>
          <w:i/>
          <w:iCs/>
          <w:sz w:val="24"/>
          <w:szCs w:val="24"/>
        </w:rPr>
        <w:t>Journal of Pain and Symptom Management,55</w:t>
      </w:r>
      <w:r w:rsidRPr="00FA3F9C">
        <w:rPr>
          <w:rFonts w:ascii="Arial" w:hAnsi="Arial" w:cs="Arial"/>
          <w:sz w:val="24"/>
          <w:szCs w:val="24"/>
          <w:shd w:val="clear" w:color="auto" w:fill="FFFFFF"/>
        </w:rPr>
        <w:t>(2). doi:10.1016/j.jpainsymman.2017.08.022</w:t>
      </w:r>
    </w:p>
    <w:p w14:paraId="285E931E" w14:textId="77777777" w:rsidR="009B5AA5" w:rsidRPr="00FA3F9C" w:rsidRDefault="009B5AA5" w:rsidP="001A3D4A">
      <w:pPr>
        <w:spacing w:after="0" w:line="240" w:lineRule="auto"/>
        <w:rPr>
          <w:rFonts w:ascii="Arial" w:eastAsia="Times New Roman" w:hAnsi="Arial" w:cs="Arial"/>
          <w:sz w:val="24"/>
          <w:szCs w:val="24"/>
        </w:rPr>
      </w:pPr>
      <w:r w:rsidRPr="00FA3F9C">
        <w:rPr>
          <w:rFonts w:ascii="Arial" w:eastAsia="Times New Roman" w:hAnsi="Arial" w:cs="Arial"/>
          <w:sz w:val="24"/>
          <w:szCs w:val="24"/>
        </w:rPr>
        <w:t xml:space="preserve">5. </w:t>
      </w:r>
      <w:r w:rsidRPr="00FA3F9C">
        <w:rPr>
          <w:rFonts w:ascii="Arial" w:hAnsi="Arial" w:cs="Arial"/>
          <w:sz w:val="24"/>
          <w:szCs w:val="24"/>
          <w:shd w:val="clear" w:color="auto" w:fill="FFFFFF"/>
        </w:rPr>
        <w:t>Shah, Eric D, et al. “Efficacy and Tolerability of Guanylate Cyclase-C Agonists for Irritable Bowel Syndrome with Constipation and Chronic Idiopathic Constipation: A Systematic Review and Meta-Analysis.” </w:t>
      </w:r>
      <w:r w:rsidRPr="00FA3F9C">
        <w:rPr>
          <w:rFonts w:ascii="Arial" w:hAnsi="Arial" w:cs="Arial"/>
          <w:i/>
          <w:iCs/>
          <w:sz w:val="24"/>
          <w:szCs w:val="24"/>
        </w:rPr>
        <w:t>The American Journal of Gastroenterology</w:t>
      </w:r>
      <w:r w:rsidRPr="00FA3F9C">
        <w:rPr>
          <w:rFonts w:ascii="Arial" w:hAnsi="Arial" w:cs="Arial"/>
          <w:sz w:val="24"/>
          <w:szCs w:val="24"/>
          <w:shd w:val="clear" w:color="auto" w:fill="FFFFFF"/>
        </w:rPr>
        <w:t>, vol. 113, no. 3, 2018, pp. 329–338., doi:10.1038/ajg.2017.495.</w:t>
      </w:r>
    </w:p>
    <w:p w14:paraId="4F3EAF71" w14:textId="77777777" w:rsidR="009B5AA5" w:rsidRPr="00FA3F9C" w:rsidRDefault="009B5AA5" w:rsidP="001A3D4A">
      <w:pPr>
        <w:spacing w:after="0" w:line="240" w:lineRule="auto"/>
        <w:rPr>
          <w:rFonts w:ascii="Arial" w:eastAsia="Times New Roman" w:hAnsi="Arial" w:cs="Arial"/>
          <w:sz w:val="24"/>
          <w:szCs w:val="24"/>
        </w:rPr>
      </w:pPr>
    </w:p>
    <w:p w14:paraId="32DD5376" w14:textId="77777777" w:rsidR="009B5AA5" w:rsidRPr="00FA3F9C" w:rsidRDefault="009B5AA5" w:rsidP="001A3D4A">
      <w:pPr>
        <w:spacing w:after="0" w:line="240" w:lineRule="auto"/>
        <w:rPr>
          <w:rFonts w:ascii="Arial" w:hAnsi="Arial" w:cs="Arial"/>
          <w:sz w:val="24"/>
          <w:szCs w:val="24"/>
        </w:rPr>
      </w:pPr>
    </w:p>
    <w:p w14:paraId="60006097" w14:textId="2D6ED234" w:rsidR="009B5AA5" w:rsidRPr="00222A23" w:rsidRDefault="009B5AA5" w:rsidP="00953C90">
      <w:pPr>
        <w:pStyle w:val="Heading2"/>
      </w:pPr>
      <w:bookmarkStart w:id="215" w:name="_Toc106369863"/>
      <w:r w:rsidRPr="00222A23">
        <w:t>Naloxone (Narcan Nasal</w:t>
      </w:r>
      <w:r w:rsidR="00953C90" w:rsidRPr="00222A23">
        <w:t xml:space="preserve"> Spray</w:t>
      </w:r>
      <w:r w:rsidRPr="00222A23">
        <w:t>)</w:t>
      </w:r>
      <w:bookmarkEnd w:id="215"/>
    </w:p>
    <w:p w14:paraId="5FC1B54B" w14:textId="2554F443" w:rsidR="00953C90" w:rsidRPr="00222A23" w:rsidRDefault="00953C90" w:rsidP="006F623F">
      <w:pPr>
        <w:spacing w:after="0"/>
        <w:jc w:val="center"/>
        <w:rPr>
          <w:rFonts w:ascii="Arial" w:hAnsi="Arial" w:cs="Arial"/>
          <w:sz w:val="24"/>
          <w:szCs w:val="24"/>
        </w:rPr>
      </w:pPr>
      <w:r w:rsidRPr="00222A23">
        <w:rPr>
          <w:rFonts w:ascii="Arial" w:hAnsi="Arial" w:cs="Arial"/>
          <w:sz w:val="24"/>
          <w:szCs w:val="24"/>
        </w:rPr>
        <w:t>nasal spray 4mg/0.1mL</w:t>
      </w:r>
    </w:p>
    <w:p w14:paraId="52CADD8E" w14:textId="77777777" w:rsidR="00953C90" w:rsidRPr="00222A23" w:rsidRDefault="00953C90" w:rsidP="00953C90">
      <w:pPr>
        <w:spacing w:after="0"/>
        <w:jc w:val="center"/>
        <w:rPr>
          <w:rFonts w:ascii="Arial" w:hAnsi="Arial" w:cs="Arial"/>
          <w:sz w:val="24"/>
          <w:szCs w:val="24"/>
        </w:rPr>
      </w:pPr>
      <w:r w:rsidRPr="00222A23">
        <w:rPr>
          <w:rFonts w:ascii="Arial" w:hAnsi="Arial" w:cs="Arial"/>
          <w:sz w:val="24"/>
          <w:szCs w:val="24"/>
        </w:rPr>
        <w:lastRenderedPageBreak/>
        <w:t>EBRx PA Criteria</w:t>
      </w:r>
    </w:p>
    <w:p w14:paraId="4DC9D3B0" w14:textId="77777777" w:rsidR="00953C90" w:rsidRPr="00222A23" w:rsidRDefault="00953C90" w:rsidP="006F623F">
      <w:pPr>
        <w:spacing w:after="0"/>
        <w:jc w:val="center"/>
        <w:rPr>
          <w:rFonts w:ascii="Arial" w:hAnsi="Arial" w:cs="Arial"/>
          <w:sz w:val="24"/>
          <w:szCs w:val="24"/>
        </w:rPr>
      </w:pPr>
    </w:p>
    <w:p w14:paraId="09866D48" w14:textId="77777777" w:rsidR="009B5AA5" w:rsidRPr="00222A23" w:rsidRDefault="009B5AA5" w:rsidP="006F623F">
      <w:pPr>
        <w:spacing w:after="0"/>
        <w:rPr>
          <w:rFonts w:ascii="Arial" w:hAnsi="Arial" w:cs="Arial"/>
          <w:b/>
          <w:sz w:val="24"/>
          <w:szCs w:val="24"/>
          <w:u w:val="single"/>
        </w:rPr>
      </w:pPr>
    </w:p>
    <w:p w14:paraId="051B1044" w14:textId="77777777" w:rsidR="009B5AA5" w:rsidRPr="00FA3F9C" w:rsidRDefault="009B5AA5"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opioid overdose (initial treatment of an opioid-associated life-threatening emergency).</w:t>
      </w:r>
    </w:p>
    <w:tbl>
      <w:tblPr>
        <w:tblStyle w:val="TableGrid"/>
        <w:tblW w:w="0" w:type="auto"/>
        <w:tblLook w:val="04A0" w:firstRow="1" w:lastRow="0" w:firstColumn="1" w:lastColumn="0" w:noHBand="0" w:noVBand="1"/>
      </w:tblPr>
      <w:tblGrid>
        <w:gridCol w:w="8928"/>
        <w:gridCol w:w="2088"/>
      </w:tblGrid>
      <w:tr w:rsidR="009B5AA5" w:rsidRPr="00FA3F9C" w14:paraId="40929B88" w14:textId="77777777" w:rsidTr="00571CAB">
        <w:tc>
          <w:tcPr>
            <w:tcW w:w="8928" w:type="dxa"/>
            <w:shd w:val="clear" w:color="auto" w:fill="000000"/>
          </w:tcPr>
          <w:p w14:paraId="7A4BC183" w14:textId="77777777" w:rsidR="009B5AA5" w:rsidRPr="00FA3F9C" w:rsidRDefault="009B5AA5"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88" w:type="dxa"/>
            <w:shd w:val="clear" w:color="auto" w:fill="000000"/>
          </w:tcPr>
          <w:p w14:paraId="474BC35D" w14:textId="77777777" w:rsidR="009B5AA5" w:rsidRPr="00FA3F9C" w:rsidRDefault="009B5AA5" w:rsidP="006F623F">
            <w:pPr>
              <w:jc w:val="center"/>
              <w:rPr>
                <w:rFonts w:ascii="Arial" w:hAnsi="Arial" w:cs="Arial"/>
                <w:b/>
                <w:sz w:val="24"/>
                <w:szCs w:val="24"/>
                <w:u w:val="single"/>
              </w:rPr>
            </w:pPr>
          </w:p>
        </w:tc>
      </w:tr>
      <w:tr w:rsidR="009B5AA5" w:rsidRPr="00FA3F9C" w14:paraId="7636A9EE" w14:textId="77777777" w:rsidTr="00B43E04">
        <w:tc>
          <w:tcPr>
            <w:tcW w:w="11016" w:type="dxa"/>
            <w:gridSpan w:val="2"/>
          </w:tcPr>
          <w:p w14:paraId="53657497" w14:textId="77777777" w:rsidR="009B5AA5" w:rsidRPr="00FA3F9C" w:rsidRDefault="009B5AA5" w:rsidP="000F2AF8">
            <w:pPr>
              <w:rPr>
                <w:rFonts w:ascii="Arial" w:hAnsi="Arial" w:cs="Arial"/>
                <w:sz w:val="24"/>
                <w:szCs w:val="24"/>
              </w:rPr>
            </w:pPr>
            <w:r w:rsidRPr="00FA3F9C">
              <w:rPr>
                <w:rFonts w:ascii="Arial" w:hAnsi="Arial" w:cs="Arial"/>
                <w:sz w:val="24"/>
                <w:szCs w:val="24"/>
              </w:rPr>
              <w:t>1.  The patient (under whom the Rx is being billed) must have an opiate medication on the current profile.</w:t>
            </w:r>
          </w:p>
        </w:tc>
      </w:tr>
    </w:tbl>
    <w:p w14:paraId="2A2210F0" w14:textId="77777777" w:rsidR="009B5AA5" w:rsidRPr="00FA3F9C" w:rsidRDefault="009B5AA5" w:rsidP="006F623F">
      <w:pPr>
        <w:spacing w:after="0"/>
        <w:rPr>
          <w:rFonts w:ascii="Arial" w:hAnsi="Arial" w:cs="Arial"/>
          <w:b/>
          <w:sz w:val="24"/>
          <w:szCs w:val="24"/>
          <w:u w:val="single"/>
        </w:rPr>
      </w:pPr>
    </w:p>
    <w:p w14:paraId="77F09C3A" w14:textId="77777777" w:rsidR="009B5AA5" w:rsidRPr="00FA3F9C" w:rsidRDefault="009B5AA5" w:rsidP="006F623F">
      <w:pPr>
        <w:spacing w:after="0"/>
        <w:rPr>
          <w:rFonts w:ascii="Arial" w:hAnsi="Arial" w:cs="Arial"/>
          <w:b/>
          <w:sz w:val="24"/>
          <w:szCs w:val="24"/>
          <w:u w:val="single"/>
        </w:rPr>
      </w:pPr>
    </w:p>
    <w:tbl>
      <w:tblPr>
        <w:tblStyle w:val="TableGrid"/>
        <w:tblW w:w="0" w:type="auto"/>
        <w:shd w:val="clear" w:color="auto" w:fill="BFBFBF" w:themeFill="background1" w:themeFillShade="BF"/>
        <w:tblLook w:val="04A0" w:firstRow="1" w:lastRow="0" w:firstColumn="1" w:lastColumn="0" w:noHBand="0" w:noVBand="1"/>
      </w:tblPr>
      <w:tblGrid>
        <w:gridCol w:w="10998"/>
      </w:tblGrid>
      <w:tr w:rsidR="009B5AA5" w:rsidRPr="00FA3F9C" w14:paraId="5E43AD84" w14:textId="77777777" w:rsidTr="000F2AF8">
        <w:tc>
          <w:tcPr>
            <w:tcW w:w="10998" w:type="dxa"/>
            <w:tcBorders>
              <w:bottom w:val="single" w:sz="4" w:space="0" w:color="auto"/>
            </w:tcBorders>
            <w:shd w:val="clear" w:color="auto" w:fill="BFBFBF" w:themeFill="background1" w:themeFillShade="BF"/>
          </w:tcPr>
          <w:p w14:paraId="64A6637D" w14:textId="77777777" w:rsidR="009B5AA5" w:rsidRPr="00FA3F9C" w:rsidRDefault="009B5AA5" w:rsidP="00D82B6E">
            <w:pPr>
              <w:rPr>
                <w:rFonts w:ascii="Arial" w:hAnsi="Arial" w:cs="Arial"/>
                <w:sz w:val="24"/>
                <w:szCs w:val="24"/>
              </w:rPr>
            </w:pPr>
            <w:r w:rsidRPr="00FA3F9C">
              <w:rPr>
                <w:rFonts w:ascii="Arial" w:hAnsi="Arial" w:cs="Arial"/>
                <w:sz w:val="24"/>
                <w:szCs w:val="24"/>
              </w:rPr>
              <w:t>Note: The drug is NOT COVERED for “expedited partner” treatment.</w:t>
            </w:r>
          </w:p>
        </w:tc>
      </w:tr>
      <w:tr w:rsidR="009B5AA5" w:rsidRPr="00FA3F9C" w14:paraId="5D489294" w14:textId="77777777" w:rsidTr="000F2AF8">
        <w:tc>
          <w:tcPr>
            <w:tcW w:w="10998" w:type="dxa"/>
            <w:shd w:val="clear" w:color="auto" w:fill="FFFF00"/>
          </w:tcPr>
          <w:p w14:paraId="65648B80" w14:textId="77777777" w:rsidR="009B5AA5" w:rsidRPr="00FA3F9C" w:rsidRDefault="009B5AA5" w:rsidP="00D82B6E">
            <w:pPr>
              <w:rPr>
                <w:rFonts w:ascii="Arial" w:hAnsi="Arial" w:cs="Arial"/>
                <w:sz w:val="24"/>
                <w:szCs w:val="24"/>
              </w:rPr>
            </w:pPr>
            <w:r w:rsidRPr="00FA3F9C">
              <w:rPr>
                <w:rFonts w:ascii="Arial" w:hAnsi="Arial" w:cs="Arial"/>
                <w:sz w:val="24"/>
                <w:szCs w:val="24"/>
              </w:rPr>
              <w:t>This PA is good for ONLY ONE FILL.  The DUEC wishes for the patient to be forced to request another prescription from their physician so that the physician knows the drug was consumed and there was need for opiate reversal (someone overdosed).</w:t>
            </w:r>
          </w:p>
        </w:tc>
      </w:tr>
    </w:tbl>
    <w:p w14:paraId="442C12E1" w14:textId="77777777" w:rsidR="009B5AA5" w:rsidRPr="00FA3F9C" w:rsidRDefault="009B5AA5" w:rsidP="006F623F">
      <w:pPr>
        <w:spacing w:after="0"/>
        <w:rPr>
          <w:rFonts w:ascii="Arial" w:hAnsi="Arial" w:cs="Arial"/>
          <w:sz w:val="24"/>
          <w:szCs w:val="24"/>
        </w:rPr>
      </w:pPr>
    </w:p>
    <w:p w14:paraId="69DD16C8" w14:textId="77777777" w:rsidR="009B5AA5" w:rsidRPr="00FA3F9C" w:rsidRDefault="009B5AA5" w:rsidP="006F623F">
      <w:pPr>
        <w:spacing w:after="0"/>
        <w:rPr>
          <w:rFonts w:ascii="Arial" w:hAnsi="Arial" w:cs="Arial"/>
          <w:sz w:val="24"/>
          <w:szCs w:val="24"/>
        </w:rPr>
      </w:pPr>
      <w:r w:rsidRPr="00FA3F9C">
        <w:rPr>
          <w:rFonts w:ascii="Arial" w:hAnsi="Arial" w:cs="Arial"/>
          <w:sz w:val="24"/>
          <w:szCs w:val="24"/>
        </w:rPr>
        <w:t>Quantity Limits: 1.</w:t>
      </w:r>
    </w:p>
    <w:p w14:paraId="61BFD6B6" w14:textId="77777777" w:rsidR="009B5AA5" w:rsidRPr="00FA3F9C" w:rsidRDefault="009B5AA5" w:rsidP="006F623F">
      <w:pPr>
        <w:spacing w:after="0"/>
        <w:rPr>
          <w:rFonts w:ascii="Arial" w:hAnsi="Arial" w:cs="Arial"/>
          <w:sz w:val="24"/>
          <w:szCs w:val="24"/>
        </w:rPr>
      </w:pPr>
    </w:p>
    <w:p w14:paraId="179CFF14" w14:textId="77777777" w:rsidR="009B5AA5" w:rsidRPr="00FA3F9C" w:rsidRDefault="009B5AA5"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017"/>
        <w:gridCol w:w="7470"/>
        <w:gridCol w:w="2538"/>
      </w:tblGrid>
      <w:tr w:rsidR="009B5AA5" w:rsidRPr="00FA3F9C" w14:paraId="2789CFC3" w14:textId="77777777" w:rsidTr="00FE491B">
        <w:tc>
          <w:tcPr>
            <w:tcW w:w="1008" w:type="dxa"/>
          </w:tcPr>
          <w:p w14:paraId="7CF25883" w14:textId="77777777" w:rsidR="009B5AA5" w:rsidRPr="00FA3F9C" w:rsidRDefault="009B5AA5" w:rsidP="006F623F">
            <w:pPr>
              <w:rPr>
                <w:rFonts w:ascii="Arial" w:hAnsi="Arial" w:cs="Arial"/>
                <w:sz w:val="24"/>
                <w:szCs w:val="24"/>
              </w:rPr>
            </w:pPr>
            <w:r w:rsidRPr="00FA3F9C">
              <w:rPr>
                <w:rFonts w:ascii="Arial" w:hAnsi="Arial" w:cs="Arial"/>
                <w:sz w:val="24"/>
                <w:szCs w:val="24"/>
              </w:rPr>
              <w:t>Date</w:t>
            </w:r>
          </w:p>
        </w:tc>
        <w:tc>
          <w:tcPr>
            <w:tcW w:w="7470" w:type="dxa"/>
          </w:tcPr>
          <w:p w14:paraId="783A86E8" w14:textId="77777777" w:rsidR="009B5AA5" w:rsidRPr="00FA3F9C" w:rsidRDefault="009B5AA5" w:rsidP="006F623F">
            <w:pPr>
              <w:rPr>
                <w:rFonts w:ascii="Arial" w:hAnsi="Arial" w:cs="Arial"/>
                <w:sz w:val="24"/>
                <w:szCs w:val="24"/>
              </w:rPr>
            </w:pPr>
            <w:r w:rsidRPr="00FA3F9C">
              <w:rPr>
                <w:rFonts w:ascii="Arial" w:hAnsi="Arial" w:cs="Arial"/>
                <w:sz w:val="24"/>
                <w:szCs w:val="24"/>
              </w:rPr>
              <w:t>What changed</w:t>
            </w:r>
          </w:p>
        </w:tc>
        <w:tc>
          <w:tcPr>
            <w:tcW w:w="2538" w:type="dxa"/>
          </w:tcPr>
          <w:p w14:paraId="78567314" w14:textId="77777777" w:rsidR="009B5AA5" w:rsidRPr="00FA3F9C" w:rsidRDefault="009B5AA5" w:rsidP="006F623F">
            <w:pPr>
              <w:rPr>
                <w:rFonts w:ascii="Arial" w:hAnsi="Arial" w:cs="Arial"/>
                <w:sz w:val="24"/>
                <w:szCs w:val="24"/>
              </w:rPr>
            </w:pPr>
            <w:r w:rsidRPr="00FA3F9C">
              <w:rPr>
                <w:rFonts w:ascii="Arial" w:hAnsi="Arial" w:cs="Arial"/>
                <w:sz w:val="24"/>
                <w:szCs w:val="24"/>
              </w:rPr>
              <w:t>Pharmacist’s initials</w:t>
            </w:r>
          </w:p>
        </w:tc>
      </w:tr>
      <w:tr w:rsidR="009B5AA5" w:rsidRPr="00FA3F9C" w14:paraId="5AE40071" w14:textId="77777777" w:rsidTr="00FE491B">
        <w:tc>
          <w:tcPr>
            <w:tcW w:w="1008" w:type="dxa"/>
          </w:tcPr>
          <w:p w14:paraId="6CF42B4D" w14:textId="77777777" w:rsidR="009B5AA5" w:rsidRPr="00FA3F9C" w:rsidRDefault="009B5AA5" w:rsidP="006F623F">
            <w:pPr>
              <w:rPr>
                <w:rFonts w:ascii="Arial" w:hAnsi="Arial" w:cs="Arial"/>
                <w:sz w:val="24"/>
                <w:szCs w:val="24"/>
              </w:rPr>
            </w:pPr>
            <w:r w:rsidRPr="00FA3F9C">
              <w:rPr>
                <w:rFonts w:ascii="Arial" w:hAnsi="Arial" w:cs="Arial"/>
                <w:sz w:val="24"/>
                <w:szCs w:val="24"/>
              </w:rPr>
              <w:t>2/3/16</w:t>
            </w:r>
          </w:p>
        </w:tc>
        <w:tc>
          <w:tcPr>
            <w:tcW w:w="7470" w:type="dxa"/>
          </w:tcPr>
          <w:p w14:paraId="6E2E2367" w14:textId="77777777" w:rsidR="009B5AA5" w:rsidRPr="00FA3F9C" w:rsidRDefault="009B5AA5" w:rsidP="006F623F">
            <w:pPr>
              <w:rPr>
                <w:rFonts w:ascii="Arial" w:hAnsi="Arial" w:cs="Arial"/>
                <w:sz w:val="24"/>
                <w:szCs w:val="24"/>
              </w:rPr>
            </w:pPr>
            <w:r w:rsidRPr="00FA3F9C">
              <w:rPr>
                <w:rFonts w:ascii="Arial" w:hAnsi="Arial" w:cs="Arial"/>
                <w:sz w:val="24"/>
                <w:szCs w:val="24"/>
              </w:rPr>
              <w:t>I wrote the criteria per the DUEC recommendations/wishes.</w:t>
            </w:r>
          </w:p>
        </w:tc>
        <w:tc>
          <w:tcPr>
            <w:tcW w:w="2538" w:type="dxa"/>
          </w:tcPr>
          <w:p w14:paraId="7B111F20" w14:textId="77777777" w:rsidR="009B5AA5" w:rsidRPr="00FA3F9C" w:rsidRDefault="009B5AA5" w:rsidP="006F623F">
            <w:pPr>
              <w:rPr>
                <w:rFonts w:ascii="Arial" w:hAnsi="Arial" w:cs="Arial"/>
                <w:sz w:val="24"/>
                <w:szCs w:val="24"/>
              </w:rPr>
            </w:pPr>
            <w:r w:rsidRPr="00FA3F9C">
              <w:rPr>
                <w:rFonts w:ascii="Arial" w:hAnsi="Arial" w:cs="Arial"/>
                <w:sz w:val="24"/>
                <w:szCs w:val="24"/>
              </w:rPr>
              <w:t>JJ</w:t>
            </w:r>
          </w:p>
        </w:tc>
      </w:tr>
      <w:tr w:rsidR="009B5AA5" w:rsidRPr="00FA3F9C" w14:paraId="45AC3EDF" w14:textId="77777777" w:rsidTr="00FE491B">
        <w:tc>
          <w:tcPr>
            <w:tcW w:w="1008" w:type="dxa"/>
          </w:tcPr>
          <w:p w14:paraId="77F1C597" w14:textId="77777777" w:rsidR="009B5AA5" w:rsidRPr="00FA3F9C" w:rsidRDefault="009B5AA5" w:rsidP="006F623F">
            <w:pPr>
              <w:rPr>
                <w:rFonts w:ascii="Arial" w:hAnsi="Arial" w:cs="Arial"/>
                <w:sz w:val="24"/>
                <w:szCs w:val="24"/>
              </w:rPr>
            </w:pPr>
            <w:r w:rsidRPr="00FA3F9C">
              <w:rPr>
                <w:rFonts w:ascii="Arial" w:hAnsi="Arial" w:cs="Arial"/>
                <w:sz w:val="24"/>
                <w:szCs w:val="24"/>
              </w:rPr>
              <w:t>3/10/21</w:t>
            </w:r>
          </w:p>
        </w:tc>
        <w:tc>
          <w:tcPr>
            <w:tcW w:w="7470" w:type="dxa"/>
          </w:tcPr>
          <w:p w14:paraId="11362A32" w14:textId="77777777" w:rsidR="009B5AA5" w:rsidRPr="00FA3F9C" w:rsidRDefault="009B5AA5" w:rsidP="006F623F">
            <w:pPr>
              <w:rPr>
                <w:rFonts w:ascii="Arial" w:hAnsi="Arial" w:cs="Arial"/>
                <w:sz w:val="24"/>
                <w:szCs w:val="24"/>
              </w:rPr>
            </w:pPr>
            <w:r w:rsidRPr="00FA3F9C">
              <w:rPr>
                <w:rFonts w:ascii="Arial" w:hAnsi="Arial" w:cs="Arial"/>
                <w:sz w:val="24"/>
                <w:szCs w:val="24"/>
              </w:rPr>
              <w:t xml:space="preserve">Criteria reviewed.  No need to change it, I </w:t>
            </w:r>
            <w:proofErr w:type="gramStart"/>
            <w:r w:rsidRPr="00FA3F9C">
              <w:rPr>
                <w:rFonts w:ascii="Arial" w:hAnsi="Arial" w:cs="Arial"/>
                <w:sz w:val="24"/>
                <w:szCs w:val="24"/>
              </w:rPr>
              <w:t>don’t</w:t>
            </w:r>
            <w:proofErr w:type="gramEnd"/>
            <w:r w:rsidRPr="00FA3F9C">
              <w:rPr>
                <w:rFonts w:ascii="Arial" w:hAnsi="Arial" w:cs="Arial"/>
                <w:sz w:val="24"/>
                <w:szCs w:val="24"/>
              </w:rPr>
              <w:t xml:space="preserve"> think.</w:t>
            </w:r>
          </w:p>
        </w:tc>
        <w:tc>
          <w:tcPr>
            <w:tcW w:w="2538" w:type="dxa"/>
          </w:tcPr>
          <w:p w14:paraId="65FD68D9" w14:textId="77777777" w:rsidR="009B5AA5" w:rsidRPr="00FA3F9C" w:rsidRDefault="009B5AA5" w:rsidP="006F623F">
            <w:pPr>
              <w:rPr>
                <w:rFonts w:ascii="Arial" w:hAnsi="Arial" w:cs="Arial"/>
                <w:sz w:val="24"/>
                <w:szCs w:val="24"/>
              </w:rPr>
            </w:pPr>
            <w:r w:rsidRPr="00FA3F9C">
              <w:rPr>
                <w:rFonts w:ascii="Arial" w:hAnsi="Arial" w:cs="Arial"/>
                <w:sz w:val="24"/>
                <w:szCs w:val="24"/>
              </w:rPr>
              <w:t>JJ</w:t>
            </w:r>
          </w:p>
        </w:tc>
      </w:tr>
    </w:tbl>
    <w:p w14:paraId="7BF4DC61" w14:textId="77777777" w:rsidR="009B5AA5" w:rsidRPr="00FA3F9C" w:rsidRDefault="009B5AA5" w:rsidP="006F623F">
      <w:pPr>
        <w:spacing w:after="0"/>
        <w:rPr>
          <w:rFonts w:ascii="Arial" w:hAnsi="Arial" w:cs="Arial"/>
          <w:sz w:val="24"/>
          <w:szCs w:val="24"/>
        </w:rPr>
      </w:pPr>
    </w:p>
    <w:p w14:paraId="5F9309AA" w14:textId="26E6AB2E" w:rsidR="00953C90" w:rsidRDefault="009B5AA5" w:rsidP="00953C90">
      <w:pPr>
        <w:pStyle w:val="Heading2"/>
      </w:pPr>
      <w:bookmarkStart w:id="216" w:name="_Toc106369864"/>
      <w:r w:rsidRPr="00FA3F9C">
        <w:t>Naltrexone (Vivitrol)</w:t>
      </w:r>
      <w:bookmarkEnd w:id="216"/>
      <w:r w:rsidRPr="00FA3F9C">
        <w:t xml:space="preserve"> </w:t>
      </w:r>
    </w:p>
    <w:p w14:paraId="20D0A25A" w14:textId="66A4E932" w:rsidR="009B5AA5" w:rsidRPr="00FA3F9C" w:rsidRDefault="009B5AA5" w:rsidP="006F623F">
      <w:pPr>
        <w:jc w:val="center"/>
        <w:rPr>
          <w:rFonts w:ascii="Arial" w:hAnsi="Arial" w:cs="Arial"/>
          <w:sz w:val="24"/>
          <w:szCs w:val="24"/>
        </w:rPr>
      </w:pPr>
      <w:r w:rsidRPr="00FA3F9C">
        <w:rPr>
          <w:rFonts w:ascii="Arial" w:hAnsi="Arial" w:cs="Arial"/>
          <w:sz w:val="24"/>
          <w:szCs w:val="24"/>
        </w:rPr>
        <w:t>380mg IM</w:t>
      </w:r>
    </w:p>
    <w:p w14:paraId="7EF110C3" w14:textId="61A78570" w:rsidR="009B5AA5" w:rsidRPr="00FA3F9C" w:rsidRDefault="009B5AA5" w:rsidP="006F623F">
      <w:pPr>
        <w:jc w:val="center"/>
        <w:rPr>
          <w:rFonts w:ascii="Arial" w:hAnsi="Arial" w:cs="Arial"/>
          <w:sz w:val="24"/>
          <w:szCs w:val="24"/>
        </w:rPr>
      </w:pPr>
      <w:r w:rsidRPr="00FA3F9C">
        <w:rPr>
          <w:rFonts w:ascii="Arial" w:hAnsi="Arial" w:cs="Arial"/>
          <w:sz w:val="24"/>
          <w:szCs w:val="24"/>
        </w:rPr>
        <w:t>generic</w:t>
      </w:r>
      <w:r w:rsidR="00953C90">
        <w:rPr>
          <w:rFonts w:ascii="Arial" w:hAnsi="Arial" w:cs="Arial"/>
          <w:sz w:val="24"/>
          <w:szCs w:val="24"/>
        </w:rPr>
        <w:t>-</w:t>
      </w:r>
      <w:r w:rsidRPr="00FA3F9C">
        <w:rPr>
          <w:rFonts w:ascii="Arial" w:hAnsi="Arial" w:cs="Arial"/>
          <w:sz w:val="24"/>
          <w:szCs w:val="24"/>
        </w:rPr>
        <w:t>50mg tablet</w:t>
      </w:r>
      <w:r w:rsidR="00953C90">
        <w:rPr>
          <w:rFonts w:ascii="Arial" w:hAnsi="Arial" w:cs="Arial"/>
          <w:sz w:val="24"/>
          <w:szCs w:val="24"/>
        </w:rPr>
        <w:t xml:space="preserve">: </w:t>
      </w:r>
      <w:r w:rsidRPr="00FA3F9C">
        <w:rPr>
          <w:rFonts w:ascii="Arial" w:hAnsi="Arial" w:cs="Arial"/>
          <w:sz w:val="24"/>
          <w:szCs w:val="24"/>
        </w:rPr>
        <w:t xml:space="preserve">not </w:t>
      </w:r>
      <w:proofErr w:type="spellStart"/>
      <w:r w:rsidRPr="00FA3F9C">
        <w:rPr>
          <w:rFonts w:ascii="Arial" w:hAnsi="Arial" w:cs="Arial"/>
          <w:sz w:val="24"/>
          <w:szCs w:val="24"/>
        </w:rPr>
        <w:t>PA’d</w:t>
      </w:r>
      <w:proofErr w:type="spellEnd"/>
    </w:p>
    <w:p w14:paraId="011D0048" w14:textId="77777777" w:rsidR="009B5AA5" w:rsidRPr="00FA3F9C" w:rsidRDefault="009B5AA5" w:rsidP="006F623F">
      <w:pPr>
        <w:rPr>
          <w:rFonts w:ascii="Arial" w:hAnsi="Arial" w:cs="Arial"/>
          <w:b/>
          <w:sz w:val="24"/>
          <w:szCs w:val="24"/>
          <w:u w:val="single"/>
        </w:rPr>
      </w:pPr>
    </w:p>
    <w:p w14:paraId="50A06BF3" w14:textId="77777777" w:rsidR="009B5AA5" w:rsidRPr="00FA3F9C" w:rsidRDefault="009B5AA5" w:rsidP="006F623F">
      <w:pPr>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w:t>
      </w:r>
    </w:p>
    <w:p w14:paraId="355A200C" w14:textId="77777777" w:rsidR="009B5AA5" w:rsidRPr="00FA3F9C" w:rsidRDefault="009B5AA5" w:rsidP="009B5AA5">
      <w:pPr>
        <w:pStyle w:val="ListParagraph"/>
        <w:numPr>
          <w:ilvl w:val="0"/>
          <w:numId w:val="344"/>
        </w:numPr>
        <w:spacing w:after="0" w:line="276" w:lineRule="auto"/>
        <w:rPr>
          <w:rFonts w:ascii="Arial" w:hAnsi="Arial" w:cs="Arial"/>
          <w:sz w:val="24"/>
          <w:szCs w:val="24"/>
        </w:rPr>
      </w:pPr>
      <w:r w:rsidRPr="00FA3F9C">
        <w:rPr>
          <w:rFonts w:ascii="Arial" w:hAnsi="Arial" w:cs="Arial"/>
          <w:sz w:val="24"/>
          <w:szCs w:val="24"/>
        </w:rPr>
        <w:t>Treatment of alcohol use disorder.</w:t>
      </w:r>
    </w:p>
    <w:p w14:paraId="5D8C3856" w14:textId="77777777" w:rsidR="009B5AA5" w:rsidRPr="00FA3F9C" w:rsidRDefault="009B5AA5" w:rsidP="009B5AA5">
      <w:pPr>
        <w:pStyle w:val="ListParagraph"/>
        <w:numPr>
          <w:ilvl w:val="0"/>
          <w:numId w:val="344"/>
        </w:numPr>
        <w:spacing w:after="0" w:line="276" w:lineRule="auto"/>
        <w:rPr>
          <w:rFonts w:ascii="Arial" w:hAnsi="Arial" w:cs="Arial"/>
          <w:sz w:val="24"/>
          <w:szCs w:val="24"/>
        </w:rPr>
      </w:pPr>
      <w:r w:rsidRPr="00FA3F9C">
        <w:rPr>
          <w:rFonts w:ascii="Arial" w:hAnsi="Arial" w:cs="Arial"/>
          <w:sz w:val="24"/>
          <w:szCs w:val="24"/>
        </w:rPr>
        <w:t xml:space="preserve">For the blockade of the effects of exogenously administered opioids. </w:t>
      </w:r>
    </w:p>
    <w:p w14:paraId="675A1C1F" w14:textId="77777777" w:rsidR="009B5AA5" w:rsidRPr="00FA3F9C" w:rsidRDefault="009B5AA5" w:rsidP="00DE54FC">
      <w:pPr>
        <w:ind w:left="360"/>
        <w:rPr>
          <w:rFonts w:ascii="Arial" w:hAnsi="Arial" w:cs="Arial"/>
          <w:b/>
          <w:sz w:val="24"/>
          <w:szCs w:val="24"/>
        </w:rPr>
      </w:pPr>
      <w:r w:rsidRPr="00FA3F9C">
        <w:rPr>
          <w:rFonts w:ascii="Arial" w:hAnsi="Arial" w:cs="Arial"/>
          <w:b/>
          <w:sz w:val="24"/>
          <w:szCs w:val="24"/>
        </w:rPr>
        <w:lastRenderedPageBreak/>
        <w:t xml:space="preserve">Note: Limitation of use:  Oral naltrexone tablets have not been shown to be more effective than placebo for opioid use disorder </w:t>
      </w:r>
      <w:r w:rsidRPr="00FA3F9C">
        <w:rPr>
          <w:rFonts w:ascii="Arial" w:hAnsi="Arial" w:cs="Arial"/>
          <w:b/>
          <w:sz w:val="24"/>
          <w:szCs w:val="24"/>
          <w:highlight w:val="yellow"/>
        </w:rPr>
        <w:t>due to poor patient adherence</w:t>
      </w:r>
      <w:r w:rsidRPr="00FA3F9C">
        <w:rPr>
          <w:rFonts w:ascii="Arial" w:hAnsi="Arial" w:cs="Arial"/>
          <w:b/>
          <w:sz w:val="24"/>
          <w:szCs w:val="24"/>
        </w:rPr>
        <w:t>.</w:t>
      </w:r>
    </w:p>
    <w:tbl>
      <w:tblPr>
        <w:tblStyle w:val="TableGrid"/>
        <w:tblW w:w="0" w:type="auto"/>
        <w:tblLook w:val="04A0" w:firstRow="1" w:lastRow="0" w:firstColumn="1" w:lastColumn="0" w:noHBand="0" w:noVBand="1"/>
      </w:tblPr>
      <w:tblGrid>
        <w:gridCol w:w="8928"/>
        <w:gridCol w:w="2088"/>
      </w:tblGrid>
      <w:tr w:rsidR="009B5AA5" w:rsidRPr="00FA3F9C" w14:paraId="4DBC8012" w14:textId="77777777" w:rsidTr="00571CAB">
        <w:tc>
          <w:tcPr>
            <w:tcW w:w="8928" w:type="dxa"/>
            <w:shd w:val="clear" w:color="auto" w:fill="000000"/>
          </w:tcPr>
          <w:p w14:paraId="06F5CC26" w14:textId="77777777" w:rsidR="009B5AA5" w:rsidRPr="00FA3F9C" w:rsidRDefault="009B5AA5"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88" w:type="dxa"/>
            <w:shd w:val="clear" w:color="auto" w:fill="000000"/>
          </w:tcPr>
          <w:p w14:paraId="1EA57D16" w14:textId="77777777" w:rsidR="009B5AA5" w:rsidRPr="00FA3F9C" w:rsidRDefault="009B5AA5" w:rsidP="006F623F">
            <w:pPr>
              <w:jc w:val="center"/>
              <w:rPr>
                <w:rFonts w:ascii="Arial" w:hAnsi="Arial" w:cs="Arial"/>
                <w:b/>
                <w:sz w:val="24"/>
                <w:szCs w:val="24"/>
                <w:u w:val="single"/>
              </w:rPr>
            </w:pPr>
          </w:p>
        </w:tc>
      </w:tr>
      <w:tr w:rsidR="009B5AA5" w:rsidRPr="00FA3F9C" w14:paraId="720F76A6" w14:textId="77777777" w:rsidTr="00F337AE">
        <w:tc>
          <w:tcPr>
            <w:tcW w:w="11016" w:type="dxa"/>
            <w:gridSpan w:val="2"/>
          </w:tcPr>
          <w:p w14:paraId="538A0C87" w14:textId="77777777" w:rsidR="009B5AA5" w:rsidRPr="00FA3F9C" w:rsidRDefault="009B5AA5" w:rsidP="009B5AA5">
            <w:pPr>
              <w:pStyle w:val="ListParagraph"/>
              <w:numPr>
                <w:ilvl w:val="0"/>
                <w:numId w:val="345"/>
              </w:numPr>
              <w:spacing w:after="200" w:line="276" w:lineRule="auto"/>
              <w:rPr>
                <w:rFonts w:ascii="Arial" w:hAnsi="Arial" w:cs="Arial"/>
                <w:sz w:val="24"/>
                <w:szCs w:val="24"/>
              </w:rPr>
            </w:pPr>
            <w:r w:rsidRPr="00FA3F9C">
              <w:rPr>
                <w:rFonts w:ascii="Arial" w:hAnsi="Arial" w:cs="Arial"/>
                <w:sz w:val="24"/>
                <w:szCs w:val="24"/>
              </w:rPr>
              <w:t>The patient must have a diagnosis of alcohol dependence or opioid use disorder.</w:t>
            </w:r>
          </w:p>
        </w:tc>
      </w:tr>
      <w:tr w:rsidR="009B5AA5" w:rsidRPr="00FA3F9C" w14:paraId="1816E1FA" w14:textId="77777777" w:rsidTr="00B1617E">
        <w:tc>
          <w:tcPr>
            <w:tcW w:w="11016" w:type="dxa"/>
            <w:gridSpan w:val="2"/>
          </w:tcPr>
          <w:p w14:paraId="5647B5D0" w14:textId="77777777" w:rsidR="009B5AA5" w:rsidRPr="00FA3F9C" w:rsidRDefault="009B5AA5" w:rsidP="006F623F">
            <w:pPr>
              <w:rPr>
                <w:rFonts w:ascii="Arial" w:hAnsi="Arial" w:cs="Arial"/>
                <w:sz w:val="24"/>
                <w:szCs w:val="24"/>
              </w:rPr>
            </w:pPr>
            <w:r w:rsidRPr="00FA3F9C">
              <w:rPr>
                <w:rFonts w:ascii="Arial" w:hAnsi="Arial" w:cs="Arial"/>
                <w:sz w:val="24"/>
                <w:szCs w:val="24"/>
              </w:rPr>
              <w:t>2. The patient must currently be abstinent from alcohol for at least 7 days.</w:t>
            </w:r>
          </w:p>
        </w:tc>
      </w:tr>
      <w:tr w:rsidR="009B5AA5" w:rsidRPr="00FA3F9C" w14:paraId="1F419683" w14:textId="77777777" w:rsidTr="0010789D">
        <w:tc>
          <w:tcPr>
            <w:tcW w:w="11016" w:type="dxa"/>
            <w:gridSpan w:val="2"/>
          </w:tcPr>
          <w:p w14:paraId="40E7FF80" w14:textId="77777777" w:rsidR="009B5AA5" w:rsidRPr="00FA3F9C" w:rsidRDefault="009B5AA5" w:rsidP="006F623F">
            <w:pPr>
              <w:rPr>
                <w:rFonts w:ascii="Arial" w:hAnsi="Arial" w:cs="Arial"/>
                <w:sz w:val="24"/>
                <w:szCs w:val="24"/>
              </w:rPr>
            </w:pPr>
            <w:r w:rsidRPr="00FA3F9C">
              <w:rPr>
                <w:rFonts w:ascii="Arial" w:hAnsi="Arial" w:cs="Arial"/>
                <w:sz w:val="24"/>
                <w:szCs w:val="24"/>
              </w:rPr>
              <w:t>3. The patient must not be currently in acute opioid withdrawal or on an opioid analgesic or physiologically dependent on opioids.</w:t>
            </w:r>
          </w:p>
        </w:tc>
      </w:tr>
      <w:tr w:rsidR="009B5AA5" w:rsidRPr="00FA3F9C" w14:paraId="24555195" w14:textId="77777777" w:rsidTr="0010789D">
        <w:tc>
          <w:tcPr>
            <w:tcW w:w="11016" w:type="dxa"/>
            <w:gridSpan w:val="2"/>
          </w:tcPr>
          <w:p w14:paraId="3237DE3B" w14:textId="77777777" w:rsidR="009B5AA5" w:rsidRPr="00FA3F9C" w:rsidRDefault="009B5AA5" w:rsidP="006F623F">
            <w:pPr>
              <w:rPr>
                <w:rFonts w:ascii="Arial" w:hAnsi="Arial" w:cs="Arial"/>
                <w:sz w:val="24"/>
                <w:szCs w:val="24"/>
              </w:rPr>
            </w:pPr>
            <w:r w:rsidRPr="00FA3F9C">
              <w:rPr>
                <w:rFonts w:ascii="Arial" w:hAnsi="Arial" w:cs="Arial"/>
                <w:sz w:val="24"/>
                <w:szCs w:val="24"/>
              </w:rPr>
              <w:t>4. The patient must be enrolled in alcohol or opioid use disorder counseling.</w:t>
            </w:r>
          </w:p>
        </w:tc>
      </w:tr>
      <w:tr w:rsidR="009B5AA5" w:rsidRPr="00FA3F9C" w14:paraId="1C975126" w14:textId="77777777" w:rsidTr="00DA57E0">
        <w:tc>
          <w:tcPr>
            <w:tcW w:w="11016" w:type="dxa"/>
            <w:gridSpan w:val="2"/>
          </w:tcPr>
          <w:p w14:paraId="782773ED" w14:textId="77777777" w:rsidR="009B5AA5" w:rsidRPr="00FA3F9C" w:rsidRDefault="009B5AA5" w:rsidP="006F623F">
            <w:pPr>
              <w:rPr>
                <w:rFonts w:ascii="Arial" w:hAnsi="Arial" w:cs="Arial"/>
                <w:sz w:val="24"/>
                <w:szCs w:val="24"/>
              </w:rPr>
            </w:pPr>
            <w:r w:rsidRPr="00FA3F9C">
              <w:rPr>
                <w:rFonts w:ascii="Arial" w:hAnsi="Arial" w:cs="Arial"/>
                <w:sz w:val="24"/>
                <w:szCs w:val="24"/>
              </w:rPr>
              <w:t>If all 4 above are true, approve a quantity limit of #1 kit per month for 12 months.</w:t>
            </w:r>
          </w:p>
        </w:tc>
      </w:tr>
    </w:tbl>
    <w:p w14:paraId="7410D0A1" w14:textId="77777777" w:rsidR="009B5AA5" w:rsidRPr="00FA3F9C" w:rsidRDefault="009B5AA5" w:rsidP="006F623F">
      <w:pPr>
        <w:rPr>
          <w:rFonts w:ascii="Arial" w:hAnsi="Arial" w:cs="Arial"/>
          <w:b/>
          <w:sz w:val="24"/>
          <w:szCs w:val="24"/>
          <w:u w:val="single"/>
        </w:rPr>
      </w:pPr>
    </w:p>
    <w:p w14:paraId="4420A8AC" w14:textId="77777777" w:rsidR="009B5AA5" w:rsidRPr="00FA3F9C" w:rsidRDefault="009B5AA5" w:rsidP="006F623F">
      <w:pPr>
        <w:rPr>
          <w:rFonts w:ascii="Arial" w:hAnsi="Arial" w:cs="Arial"/>
          <w:b/>
          <w:sz w:val="24"/>
          <w:szCs w:val="24"/>
          <w:u w:val="single"/>
        </w:rPr>
      </w:pPr>
    </w:p>
    <w:tbl>
      <w:tblPr>
        <w:tblStyle w:val="TableGrid"/>
        <w:tblW w:w="0" w:type="auto"/>
        <w:shd w:val="clear" w:color="auto" w:fill="BFBFBF" w:themeFill="background1" w:themeFillShade="BF"/>
        <w:tblLook w:val="04A0" w:firstRow="1" w:lastRow="0" w:firstColumn="1" w:lastColumn="0" w:noHBand="0" w:noVBand="1"/>
      </w:tblPr>
      <w:tblGrid>
        <w:gridCol w:w="10998"/>
      </w:tblGrid>
      <w:tr w:rsidR="009B5AA5" w:rsidRPr="00FA3F9C" w14:paraId="59180427" w14:textId="77777777" w:rsidTr="00D82B6E">
        <w:tc>
          <w:tcPr>
            <w:tcW w:w="10998" w:type="dxa"/>
            <w:shd w:val="clear" w:color="auto" w:fill="BFBFBF" w:themeFill="background1" w:themeFillShade="BF"/>
          </w:tcPr>
          <w:p w14:paraId="33F3B5D0" w14:textId="77777777" w:rsidR="009B5AA5" w:rsidRPr="00FA3F9C" w:rsidRDefault="009B5AA5" w:rsidP="00D82B6E">
            <w:pPr>
              <w:rPr>
                <w:rFonts w:ascii="Arial" w:hAnsi="Arial" w:cs="Arial"/>
                <w:sz w:val="24"/>
                <w:szCs w:val="24"/>
              </w:rPr>
            </w:pPr>
            <w:r w:rsidRPr="00FA3F9C">
              <w:rPr>
                <w:rFonts w:ascii="Arial" w:hAnsi="Arial" w:cs="Arial"/>
                <w:sz w:val="24"/>
                <w:szCs w:val="24"/>
              </w:rPr>
              <w:t xml:space="preserve">Note: </w:t>
            </w:r>
          </w:p>
          <w:p w14:paraId="2792B28C" w14:textId="77777777" w:rsidR="009B5AA5" w:rsidRPr="00FA3F9C" w:rsidRDefault="009B5AA5" w:rsidP="00D82B6E">
            <w:pPr>
              <w:rPr>
                <w:rFonts w:ascii="Arial" w:hAnsi="Arial" w:cs="Arial"/>
                <w:sz w:val="24"/>
                <w:szCs w:val="24"/>
              </w:rPr>
            </w:pPr>
            <w:r w:rsidRPr="00FA3F9C">
              <w:rPr>
                <w:rFonts w:ascii="Arial" w:hAnsi="Arial" w:cs="Arial"/>
                <w:sz w:val="24"/>
                <w:szCs w:val="24"/>
              </w:rPr>
              <w:t>Alcohol use disorder dosing:</w:t>
            </w:r>
          </w:p>
          <w:p w14:paraId="41D8715D" w14:textId="77777777" w:rsidR="009B5AA5" w:rsidRPr="00FA3F9C" w:rsidRDefault="009B5AA5" w:rsidP="009B5AA5">
            <w:pPr>
              <w:pStyle w:val="ListParagraph"/>
              <w:numPr>
                <w:ilvl w:val="0"/>
                <w:numId w:val="346"/>
              </w:numPr>
              <w:spacing w:after="200" w:line="276" w:lineRule="auto"/>
              <w:rPr>
                <w:rFonts w:ascii="Arial" w:hAnsi="Arial" w:cs="Arial"/>
                <w:sz w:val="24"/>
                <w:szCs w:val="24"/>
              </w:rPr>
            </w:pPr>
            <w:r w:rsidRPr="00FA3F9C">
              <w:rPr>
                <w:rFonts w:ascii="Arial" w:hAnsi="Arial" w:cs="Arial"/>
                <w:sz w:val="24"/>
                <w:szCs w:val="24"/>
              </w:rPr>
              <w:t>oral 50mg daily (max 1000mg/day); alternative dosing 50mg weekdays then 100mg Saturday; 100mg QOD, 150mg q3d.</w:t>
            </w:r>
          </w:p>
          <w:p w14:paraId="2781C1B9" w14:textId="77777777" w:rsidR="009B5AA5" w:rsidRPr="00FA3F9C" w:rsidRDefault="009B5AA5" w:rsidP="009B5AA5">
            <w:pPr>
              <w:pStyle w:val="ListParagraph"/>
              <w:numPr>
                <w:ilvl w:val="0"/>
                <w:numId w:val="346"/>
              </w:numPr>
              <w:spacing w:after="200" w:line="276" w:lineRule="auto"/>
              <w:rPr>
                <w:rFonts w:ascii="Arial" w:hAnsi="Arial" w:cs="Arial"/>
                <w:sz w:val="24"/>
                <w:szCs w:val="24"/>
              </w:rPr>
            </w:pPr>
            <w:r w:rsidRPr="00FA3F9C">
              <w:rPr>
                <w:rFonts w:ascii="Arial" w:hAnsi="Arial" w:cs="Arial"/>
                <w:sz w:val="24"/>
                <w:szCs w:val="24"/>
              </w:rPr>
              <w:t>IM 380mg q4w</w:t>
            </w:r>
          </w:p>
          <w:p w14:paraId="37F18DE1" w14:textId="77777777" w:rsidR="009B5AA5" w:rsidRPr="00FA3F9C" w:rsidRDefault="009B5AA5" w:rsidP="00DE54FC">
            <w:pPr>
              <w:ind w:left="50"/>
              <w:rPr>
                <w:rFonts w:ascii="Arial" w:hAnsi="Arial" w:cs="Arial"/>
                <w:sz w:val="24"/>
                <w:szCs w:val="24"/>
              </w:rPr>
            </w:pPr>
            <w:r w:rsidRPr="00FA3F9C">
              <w:rPr>
                <w:rFonts w:ascii="Arial" w:hAnsi="Arial" w:cs="Arial"/>
                <w:sz w:val="24"/>
                <w:szCs w:val="24"/>
              </w:rPr>
              <w:t>Opioid use disorder dosing:</w:t>
            </w:r>
          </w:p>
          <w:p w14:paraId="48DCC901" w14:textId="77777777" w:rsidR="009B5AA5" w:rsidRPr="00FA3F9C" w:rsidRDefault="009B5AA5" w:rsidP="009B5AA5">
            <w:pPr>
              <w:pStyle w:val="ListParagraph"/>
              <w:numPr>
                <w:ilvl w:val="0"/>
                <w:numId w:val="347"/>
              </w:numPr>
              <w:spacing w:after="200" w:line="276" w:lineRule="auto"/>
              <w:rPr>
                <w:rFonts w:ascii="Arial" w:hAnsi="Arial" w:cs="Arial"/>
                <w:sz w:val="24"/>
                <w:szCs w:val="24"/>
              </w:rPr>
            </w:pPr>
            <w:r w:rsidRPr="00FA3F9C">
              <w:rPr>
                <w:rFonts w:ascii="Arial" w:hAnsi="Arial" w:cs="Arial"/>
                <w:sz w:val="24"/>
                <w:szCs w:val="24"/>
              </w:rPr>
              <w:t>25mg X1, then 50mg QD.  Alternative dosing 50mg weekdays with 100mg Saturday; 100mg QOD, 150mg q3d.</w:t>
            </w:r>
          </w:p>
        </w:tc>
      </w:tr>
      <w:tr w:rsidR="009B5AA5" w:rsidRPr="00FA3F9C" w14:paraId="637A3C3B" w14:textId="77777777" w:rsidTr="00D82B6E">
        <w:tc>
          <w:tcPr>
            <w:tcW w:w="10998" w:type="dxa"/>
            <w:shd w:val="clear" w:color="auto" w:fill="BFBFBF" w:themeFill="background1" w:themeFillShade="BF"/>
          </w:tcPr>
          <w:p w14:paraId="09642F60" w14:textId="77777777" w:rsidR="009B5AA5" w:rsidRPr="00FA3F9C" w:rsidRDefault="009B5AA5" w:rsidP="00D82B6E">
            <w:pPr>
              <w:rPr>
                <w:rFonts w:ascii="Arial" w:hAnsi="Arial" w:cs="Arial"/>
                <w:sz w:val="24"/>
                <w:szCs w:val="24"/>
              </w:rPr>
            </w:pPr>
          </w:p>
        </w:tc>
      </w:tr>
    </w:tbl>
    <w:p w14:paraId="636592C6" w14:textId="77777777" w:rsidR="009B5AA5" w:rsidRPr="00FA3F9C" w:rsidRDefault="009B5AA5" w:rsidP="006F623F">
      <w:pPr>
        <w:rPr>
          <w:rFonts w:ascii="Arial" w:hAnsi="Arial" w:cs="Arial"/>
          <w:sz w:val="24"/>
          <w:szCs w:val="24"/>
        </w:rPr>
      </w:pPr>
    </w:p>
    <w:p w14:paraId="4ABCB2FC" w14:textId="77777777" w:rsidR="009B5AA5" w:rsidRPr="00FA3F9C" w:rsidRDefault="009B5AA5" w:rsidP="006F623F">
      <w:pPr>
        <w:rPr>
          <w:rFonts w:ascii="Arial" w:hAnsi="Arial" w:cs="Arial"/>
          <w:sz w:val="24"/>
          <w:szCs w:val="24"/>
        </w:rPr>
      </w:pPr>
      <w:r w:rsidRPr="00FA3F9C">
        <w:rPr>
          <w:rFonts w:ascii="Arial" w:hAnsi="Arial" w:cs="Arial"/>
          <w:sz w:val="24"/>
          <w:szCs w:val="24"/>
        </w:rPr>
        <w:t>Quantity Limits: 1 IM per month.</w:t>
      </w:r>
    </w:p>
    <w:p w14:paraId="442B4D75" w14:textId="77777777" w:rsidR="009B5AA5" w:rsidRPr="00FA3F9C" w:rsidRDefault="009B5AA5" w:rsidP="006F623F">
      <w:pPr>
        <w:rPr>
          <w:rFonts w:ascii="Arial" w:hAnsi="Arial" w:cs="Arial"/>
          <w:sz w:val="24"/>
          <w:szCs w:val="24"/>
        </w:rPr>
      </w:pPr>
    </w:p>
    <w:p w14:paraId="4C474829" w14:textId="77777777" w:rsidR="009B5AA5" w:rsidRPr="00FA3F9C" w:rsidRDefault="009B5AA5" w:rsidP="006F623F">
      <w:pPr>
        <w:rPr>
          <w:rFonts w:ascii="Arial" w:hAnsi="Arial" w:cs="Arial"/>
          <w:sz w:val="24"/>
          <w:szCs w:val="24"/>
          <w:lang w:val="es-ES"/>
        </w:rPr>
      </w:pPr>
      <w:proofErr w:type="spellStart"/>
      <w:r w:rsidRPr="00FA3F9C">
        <w:rPr>
          <w:rFonts w:ascii="Arial" w:hAnsi="Arial" w:cs="Arial"/>
          <w:sz w:val="24"/>
          <w:szCs w:val="24"/>
          <w:lang w:val="es-ES"/>
        </w:rPr>
        <w:t>References</w:t>
      </w:r>
      <w:proofErr w:type="spellEnd"/>
      <w:r w:rsidRPr="00FA3F9C">
        <w:rPr>
          <w:rFonts w:ascii="Arial" w:hAnsi="Arial" w:cs="Arial"/>
          <w:sz w:val="24"/>
          <w:szCs w:val="24"/>
          <w:lang w:val="es-ES"/>
        </w:rPr>
        <w:t>:</w:t>
      </w:r>
    </w:p>
    <w:p w14:paraId="65A831BF" w14:textId="77777777" w:rsidR="009B5AA5" w:rsidRPr="00FA3F9C" w:rsidRDefault="009B5AA5" w:rsidP="003E6261">
      <w:pPr>
        <w:rPr>
          <w:rFonts w:ascii="Arial" w:hAnsi="Arial" w:cs="Arial"/>
          <w:sz w:val="24"/>
          <w:szCs w:val="24"/>
        </w:rPr>
      </w:pPr>
      <w:r w:rsidRPr="00FA3F9C">
        <w:rPr>
          <w:rFonts w:ascii="Arial" w:hAnsi="Arial" w:cs="Arial"/>
          <w:sz w:val="24"/>
          <w:szCs w:val="24"/>
          <w:lang w:val="es-ES"/>
        </w:rPr>
        <w:lastRenderedPageBreak/>
        <w:t xml:space="preserve">1. </w:t>
      </w:r>
      <w:proofErr w:type="spellStart"/>
      <w:r w:rsidRPr="00FA3F9C">
        <w:rPr>
          <w:rFonts w:ascii="Arial" w:hAnsi="Arial" w:cs="Arial"/>
          <w:color w:val="222222"/>
          <w:sz w:val="24"/>
          <w:szCs w:val="24"/>
          <w:shd w:val="clear" w:color="auto" w:fill="FFFFFF"/>
          <w:lang w:val="es-ES"/>
        </w:rPr>
        <w:t>Bisaga</w:t>
      </w:r>
      <w:proofErr w:type="spellEnd"/>
      <w:r w:rsidRPr="00FA3F9C">
        <w:rPr>
          <w:rFonts w:ascii="Arial" w:hAnsi="Arial" w:cs="Arial"/>
          <w:color w:val="222222"/>
          <w:sz w:val="24"/>
          <w:szCs w:val="24"/>
          <w:shd w:val="clear" w:color="auto" w:fill="FFFFFF"/>
          <w:lang w:val="es-ES"/>
        </w:rPr>
        <w:t xml:space="preserve">, Adam, et al. </w:t>
      </w:r>
      <w:r w:rsidRPr="00FA3F9C">
        <w:rPr>
          <w:rFonts w:ascii="Arial" w:hAnsi="Arial" w:cs="Arial"/>
          <w:color w:val="222222"/>
          <w:sz w:val="24"/>
          <w:szCs w:val="24"/>
          <w:shd w:val="clear" w:color="auto" w:fill="FFFFFF"/>
        </w:rPr>
        <w:t>"Outpatient transition to extended-release injectable naltrexone for patients with opioid use disorder: A phase 3 randomized trial." </w:t>
      </w:r>
      <w:r w:rsidRPr="00FA3F9C">
        <w:rPr>
          <w:rFonts w:ascii="Arial" w:hAnsi="Arial" w:cs="Arial"/>
          <w:i/>
          <w:iCs/>
          <w:color w:val="222222"/>
          <w:sz w:val="24"/>
          <w:szCs w:val="24"/>
          <w:shd w:val="clear" w:color="auto" w:fill="FFFFFF"/>
        </w:rPr>
        <w:t>Drug and alcohol dependence</w:t>
      </w:r>
      <w:r w:rsidRPr="00FA3F9C">
        <w:rPr>
          <w:rFonts w:ascii="Arial" w:hAnsi="Arial" w:cs="Arial"/>
          <w:color w:val="222222"/>
          <w:sz w:val="24"/>
          <w:szCs w:val="24"/>
          <w:shd w:val="clear" w:color="auto" w:fill="FFFFFF"/>
        </w:rPr>
        <w:t> 187 (2018): 171-178.</w:t>
      </w:r>
    </w:p>
    <w:p w14:paraId="008958F6" w14:textId="77777777" w:rsidR="009B5AA5" w:rsidRPr="00FA3F9C" w:rsidRDefault="009B5AA5" w:rsidP="006F623F">
      <w:pPr>
        <w:rPr>
          <w:rFonts w:ascii="Arial" w:hAnsi="Arial" w:cs="Arial"/>
          <w:sz w:val="24"/>
          <w:szCs w:val="24"/>
        </w:rPr>
      </w:pPr>
    </w:p>
    <w:p w14:paraId="30269069" w14:textId="77777777" w:rsidR="009B5AA5" w:rsidRPr="00FA3F9C" w:rsidRDefault="009B5AA5" w:rsidP="006F623F">
      <w:pPr>
        <w:rPr>
          <w:rFonts w:ascii="Arial" w:hAnsi="Arial" w:cs="Arial"/>
          <w:sz w:val="24"/>
          <w:szCs w:val="24"/>
        </w:rPr>
      </w:pPr>
    </w:p>
    <w:p w14:paraId="527EEB14" w14:textId="77777777" w:rsidR="009B5AA5" w:rsidRPr="00FA3F9C" w:rsidRDefault="009B5AA5" w:rsidP="006F623F">
      <w:pPr>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418"/>
        <w:gridCol w:w="7470"/>
        <w:gridCol w:w="2538"/>
      </w:tblGrid>
      <w:tr w:rsidR="009B5AA5" w:rsidRPr="00FA3F9C" w14:paraId="2BCE8CB4" w14:textId="77777777" w:rsidTr="00FE491B">
        <w:tc>
          <w:tcPr>
            <w:tcW w:w="1008" w:type="dxa"/>
          </w:tcPr>
          <w:p w14:paraId="6A0D48EC" w14:textId="77777777" w:rsidR="009B5AA5" w:rsidRPr="00FA3F9C" w:rsidRDefault="009B5AA5" w:rsidP="006F623F">
            <w:pPr>
              <w:rPr>
                <w:rFonts w:ascii="Arial" w:hAnsi="Arial" w:cs="Arial"/>
                <w:sz w:val="24"/>
                <w:szCs w:val="24"/>
              </w:rPr>
            </w:pPr>
            <w:r w:rsidRPr="00FA3F9C">
              <w:rPr>
                <w:rFonts w:ascii="Arial" w:hAnsi="Arial" w:cs="Arial"/>
                <w:sz w:val="24"/>
                <w:szCs w:val="24"/>
              </w:rPr>
              <w:t>Date</w:t>
            </w:r>
          </w:p>
        </w:tc>
        <w:tc>
          <w:tcPr>
            <w:tcW w:w="7470" w:type="dxa"/>
          </w:tcPr>
          <w:p w14:paraId="1AB38869" w14:textId="77777777" w:rsidR="009B5AA5" w:rsidRPr="00FA3F9C" w:rsidRDefault="009B5AA5" w:rsidP="006F623F">
            <w:pPr>
              <w:rPr>
                <w:rFonts w:ascii="Arial" w:hAnsi="Arial" w:cs="Arial"/>
                <w:sz w:val="24"/>
                <w:szCs w:val="24"/>
              </w:rPr>
            </w:pPr>
            <w:r w:rsidRPr="00FA3F9C">
              <w:rPr>
                <w:rFonts w:ascii="Arial" w:hAnsi="Arial" w:cs="Arial"/>
                <w:sz w:val="24"/>
                <w:szCs w:val="24"/>
              </w:rPr>
              <w:t>What changed</w:t>
            </w:r>
          </w:p>
        </w:tc>
        <w:tc>
          <w:tcPr>
            <w:tcW w:w="2538" w:type="dxa"/>
          </w:tcPr>
          <w:p w14:paraId="7484F597" w14:textId="77777777" w:rsidR="009B5AA5" w:rsidRPr="00FA3F9C" w:rsidRDefault="009B5AA5" w:rsidP="006F623F">
            <w:pPr>
              <w:rPr>
                <w:rFonts w:ascii="Arial" w:hAnsi="Arial" w:cs="Arial"/>
                <w:sz w:val="24"/>
                <w:szCs w:val="24"/>
              </w:rPr>
            </w:pPr>
            <w:r w:rsidRPr="00FA3F9C">
              <w:rPr>
                <w:rFonts w:ascii="Arial" w:hAnsi="Arial" w:cs="Arial"/>
                <w:sz w:val="24"/>
                <w:szCs w:val="24"/>
              </w:rPr>
              <w:t>Pharmacist’s initials</w:t>
            </w:r>
          </w:p>
        </w:tc>
      </w:tr>
      <w:tr w:rsidR="009B5AA5" w:rsidRPr="00FA3F9C" w14:paraId="5E23822F" w14:textId="77777777" w:rsidTr="00FE491B">
        <w:tc>
          <w:tcPr>
            <w:tcW w:w="1008" w:type="dxa"/>
          </w:tcPr>
          <w:p w14:paraId="2DF8B021" w14:textId="77777777" w:rsidR="009B5AA5" w:rsidRPr="00FA3F9C" w:rsidRDefault="009B5AA5" w:rsidP="006F623F">
            <w:pPr>
              <w:rPr>
                <w:rFonts w:ascii="Arial" w:hAnsi="Arial" w:cs="Arial"/>
                <w:sz w:val="24"/>
                <w:szCs w:val="24"/>
              </w:rPr>
            </w:pPr>
            <w:r w:rsidRPr="00FA3F9C">
              <w:rPr>
                <w:rFonts w:ascii="Arial" w:hAnsi="Arial" w:cs="Arial"/>
                <w:sz w:val="24"/>
                <w:szCs w:val="24"/>
              </w:rPr>
              <w:t>10/28/2020</w:t>
            </w:r>
          </w:p>
        </w:tc>
        <w:tc>
          <w:tcPr>
            <w:tcW w:w="7470" w:type="dxa"/>
          </w:tcPr>
          <w:p w14:paraId="3889BA8E" w14:textId="77777777" w:rsidR="009B5AA5" w:rsidRPr="00FA3F9C" w:rsidRDefault="009B5AA5" w:rsidP="006F623F">
            <w:pPr>
              <w:rPr>
                <w:rFonts w:ascii="Arial" w:hAnsi="Arial" w:cs="Arial"/>
                <w:sz w:val="24"/>
                <w:szCs w:val="24"/>
              </w:rPr>
            </w:pPr>
            <w:r w:rsidRPr="00FA3F9C">
              <w:rPr>
                <w:rFonts w:ascii="Arial" w:hAnsi="Arial" w:cs="Arial"/>
                <w:sz w:val="24"/>
                <w:szCs w:val="24"/>
              </w:rPr>
              <w:t>I wrote the criteria.</w:t>
            </w:r>
          </w:p>
        </w:tc>
        <w:tc>
          <w:tcPr>
            <w:tcW w:w="2538" w:type="dxa"/>
          </w:tcPr>
          <w:p w14:paraId="16C6A7E4" w14:textId="77777777" w:rsidR="009B5AA5" w:rsidRPr="00FA3F9C" w:rsidRDefault="009B5AA5" w:rsidP="006F623F">
            <w:pPr>
              <w:rPr>
                <w:rFonts w:ascii="Arial" w:hAnsi="Arial" w:cs="Arial"/>
                <w:sz w:val="24"/>
                <w:szCs w:val="24"/>
              </w:rPr>
            </w:pPr>
            <w:r w:rsidRPr="00FA3F9C">
              <w:rPr>
                <w:rFonts w:ascii="Arial" w:hAnsi="Arial" w:cs="Arial"/>
                <w:sz w:val="24"/>
                <w:szCs w:val="24"/>
              </w:rPr>
              <w:t>JJ</w:t>
            </w:r>
          </w:p>
        </w:tc>
      </w:tr>
      <w:tr w:rsidR="009B5AA5" w:rsidRPr="00FA3F9C" w14:paraId="72A5DD52" w14:textId="77777777" w:rsidTr="00FE491B">
        <w:tc>
          <w:tcPr>
            <w:tcW w:w="1008" w:type="dxa"/>
          </w:tcPr>
          <w:p w14:paraId="1346334C" w14:textId="77777777" w:rsidR="009B5AA5" w:rsidRPr="00FA3F9C" w:rsidRDefault="009B5AA5" w:rsidP="006F623F">
            <w:pPr>
              <w:rPr>
                <w:rFonts w:ascii="Arial" w:hAnsi="Arial" w:cs="Arial"/>
                <w:sz w:val="24"/>
                <w:szCs w:val="24"/>
              </w:rPr>
            </w:pPr>
          </w:p>
        </w:tc>
        <w:tc>
          <w:tcPr>
            <w:tcW w:w="7470" w:type="dxa"/>
          </w:tcPr>
          <w:p w14:paraId="072AA582" w14:textId="77777777" w:rsidR="009B5AA5" w:rsidRPr="00FA3F9C" w:rsidRDefault="009B5AA5" w:rsidP="006F623F">
            <w:pPr>
              <w:rPr>
                <w:rFonts w:ascii="Arial" w:hAnsi="Arial" w:cs="Arial"/>
                <w:sz w:val="24"/>
                <w:szCs w:val="24"/>
              </w:rPr>
            </w:pPr>
          </w:p>
        </w:tc>
        <w:tc>
          <w:tcPr>
            <w:tcW w:w="2538" w:type="dxa"/>
          </w:tcPr>
          <w:p w14:paraId="0A1C16DD" w14:textId="77777777" w:rsidR="009B5AA5" w:rsidRPr="00FA3F9C" w:rsidRDefault="009B5AA5" w:rsidP="006F623F">
            <w:pPr>
              <w:rPr>
                <w:rFonts w:ascii="Arial" w:hAnsi="Arial" w:cs="Arial"/>
                <w:sz w:val="24"/>
                <w:szCs w:val="24"/>
              </w:rPr>
            </w:pPr>
          </w:p>
        </w:tc>
      </w:tr>
    </w:tbl>
    <w:p w14:paraId="6028861A" w14:textId="77777777" w:rsidR="009B5AA5" w:rsidRPr="00FA3F9C" w:rsidRDefault="009B5AA5" w:rsidP="006F623F">
      <w:pPr>
        <w:rPr>
          <w:rFonts w:ascii="Arial" w:hAnsi="Arial" w:cs="Arial"/>
          <w:sz w:val="24"/>
          <w:szCs w:val="24"/>
        </w:rPr>
      </w:pPr>
    </w:p>
    <w:p w14:paraId="09575A46" w14:textId="77777777" w:rsidR="00953C90" w:rsidRDefault="009B5AA5" w:rsidP="00953C90">
      <w:pPr>
        <w:pStyle w:val="Heading2"/>
      </w:pPr>
      <w:bookmarkStart w:id="217" w:name="_Toc106369865"/>
      <w:r w:rsidRPr="00FA3F9C">
        <w:t>Natalizumab (Tysabri)</w:t>
      </w:r>
      <w:bookmarkEnd w:id="217"/>
      <w:r w:rsidRPr="00FA3F9C">
        <w:t xml:space="preserve"> </w:t>
      </w:r>
    </w:p>
    <w:p w14:paraId="2F6B736A" w14:textId="50FCB277" w:rsidR="009B5AA5" w:rsidRPr="00FA3F9C" w:rsidRDefault="009B5AA5" w:rsidP="006F623F">
      <w:pPr>
        <w:jc w:val="center"/>
        <w:rPr>
          <w:rFonts w:ascii="Arial" w:hAnsi="Arial" w:cs="Arial"/>
          <w:sz w:val="24"/>
          <w:szCs w:val="24"/>
        </w:rPr>
      </w:pPr>
      <w:r w:rsidRPr="00FA3F9C">
        <w:rPr>
          <w:rFonts w:ascii="Arial" w:hAnsi="Arial" w:cs="Arial"/>
          <w:sz w:val="24"/>
          <w:szCs w:val="24"/>
        </w:rPr>
        <w:t>MEDICAL PA</w:t>
      </w:r>
    </w:p>
    <w:p w14:paraId="48377782" w14:textId="77777777" w:rsidR="009B5AA5" w:rsidRPr="00FA3F9C" w:rsidRDefault="009B5AA5" w:rsidP="006F623F">
      <w:pPr>
        <w:jc w:val="center"/>
        <w:rPr>
          <w:rFonts w:ascii="Arial" w:hAnsi="Arial" w:cs="Arial"/>
          <w:sz w:val="24"/>
          <w:szCs w:val="24"/>
        </w:rPr>
      </w:pPr>
      <w:r w:rsidRPr="00FA3F9C">
        <w:rPr>
          <w:rFonts w:ascii="Arial" w:hAnsi="Arial" w:cs="Arial"/>
          <w:sz w:val="24"/>
          <w:szCs w:val="24"/>
        </w:rPr>
        <w:t>EBRx PA Criteria</w:t>
      </w:r>
    </w:p>
    <w:p w14:paraId="12F09371" w14:textId="77777777" w:rsidR="009B5AA5" w:rsidRPr="00FA3F9C" w:rsidRDefault="009B5AA5" w:rsidP="006F623F">
      <w:pPr>
        <w:rPr>
          <w:rFonts w:ascii="Arial" w:hAnsi="Arial" w:cs="Arial"/>
          <w:b/>
          <w:sz w:val="24"/>
          <w:szCs w:val="24"/>
          <w:u w:val="single"/>
        </w:rPr>
      </w:pPr>
    </w:p>
    <w:p w14:paraId="32550807" w14:textId="77777777" w:rsidR="009B5AA5" w:rsidRPr="00FA3F9C" w:rsidRDefault="009B5AA5" w:rsidP="006F623F">
      <w:pPr>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w:t>
      </w:r>
    </w:p>
    <w:p w14:paraId="0321D44E" w14:textId="77777777" w:rsidR="009B5AA5" w:rsidRPr="00FA3F9C" w:rsidRDefault="009B5AA5" w:rsidP="009B5AA5">
      <w:pPr>
        <w:pStyle w:val="ListParagraph"/>
        <w:numPr>
          <w:ilvl w:val="0"/>
          <w:numId w:val="348"/>
        </w:numPr>
        <w:spacing w:after="0" w:line="276" w:lineRule="auto"/>
        <w:rPr>
          <w:rFonts w:ascii="Arial" w:hAnsi="Arial" w:cs="Arial"/>
          <w:sz w:val="24"/>
          <w:szCs w:val="24"/>
        </w:rPr>
      </w:pPr>
      <w:r w:rsidRPr="00FA3F9C">
        <w:rPr>
          <w:rFonts w:ascii="Arial" w:hAnsi="Arial" w:cs="Arial"/>
          <w:sz w:val="24"/>
          <w:szCs w:val="24"/>
        </w:rPr>
        <w:t xml:space="preserve">relapsing multiple sclerosis, </w:t>
      </w:r>
    </w:p>
    <w:p w14:paraId="43DA6D0F" w14:textId="77777777" w:rsidR="009B5AA5" w:rsidRPr="00FA3F9C" w:rsidRDefault="009B5AA5" w:rsidP="009B5AA5">
      <w:pPr>
        <w:pStyle w:val="ListParagraph"/>
        <w:numPr>
          <w:ilvl w:val="0"/>
          <w:numId w:val="348"/>
        </w:numPr>
        <w:spacing w:after="0" w:line="276" w:lineRule="auto"/>
        <w:rPr>
          <w:rFonts w:ascii="Arial" w:hAnsi="Arial" w:cs="Arial"/>
          <w:sz w:val="24"/>
          <w:szCs w:val="24"/>
        </w:rPr>
      </w:pPr>
      <w:proofErr w:type="spellStart"/>
      <w:r w:rsidRPr="00FA3F9C">
        <w:rPr>
          <w:rFonts w:ascii="Arial" w:hAnsi="Arial" w:cs="Arial"/>
          <w:sz w:val="24"/>
          <w:szCs w:val="24"/>
        </w:rPr>
        <w:t>Crohns</w:t>
      </w:r>
      <w:proofErr w:type="spellEnd"/>
      <w:r w:rsidRPr="00FA3F9C">
        <w:rPr>
          <w:rFonts w:ascii="Arial" w:hAnsi="Arial" w:cs="Arial"/>
          <w:sz w:val="24"/>
          <w:szCs w:val="24"/>
        </w:rPr>
        <w:t xml:space="preserve"> disease</w:t>
      </w:r>
    </w:p>
    <w:tbl>
      <w:tblPr>
        <w:tblStyle w:val="TableGrid"/>
        <w:tblW w:w="0" w:type="auto"/>
        <w:tblLook w:val="04A0" w:firstRow="1" w:lastRow="0" w:firstColumn="1" w:lastColumn="0" w:noHBand="0" w:noVBand="1"/>
      </w:tblPr>
      <w:tblGrid>
        <w:gridCol w:w="8928"/>
        <w:gridCol w:w="2088"/>
      </w:tblGrid>
      <w:tr w:rsidR="009B5AA5" w:rsidRPr="00FA3F9C" w14:paraId="054C2928" w14:textId="77777777" w:rsidTr="00571CAB">
        <w:tc>
          <w:tcPr>
            <w:tcW w:w="8928" w:type="dxa"/>
            <w:shd w:val="clear" w:color="auto" w:fill="000000"/>
          </w:tcPr>
          <w:p w14:paraId="2D969F2F" w14:textId="77777777" w:rsidR="009B5AA5" w:rsidRPr="00FA3F9C" w:rsidRDefault="009B5AA5" w:rsidP="00571CAB">
            <w:pPr>
              <w:rPr>
                <w:rFonts w:ascii="Arial" w:hAnsi="Arial" w:cs="Arial"/>
                <w:b/>
                <w:sz w:val="24"/>
                <w:szCs w:val="24"/>
                <w:u w:val="single"/>
              </w:rPr>
            </w:pPr>
            <w:r w:rsidRPr="00FA3F9C">
              <w:rPr>
                <w:rFonts w:ascii="Arial" w:hAnsi="Arial" w:cs="Arial"/>
                <w:b/>
                <w:sz w:val="24"/>
                <w:szCs w:val="24"/>
                <w:u w:val="single"/>
              </w:rPr>
              <w:t>Relapsing Multiple Sclerosis</w:t>
            </w:r>
          </w:p>
        </w:tc>
        <w:tc>
          <w:tcPr>
            <w:tcW w:w="2088" w:type="dxa"/>
            <w:shd w:val="clear" w:color="auto" w:fill="000000"/>
          </w:tcPr>
          <w:p w14:paraId="0665AA8A" w14:textId="77777777" w:rsidR="009B5AA5" w:rsidRPr="00FA3F9C" w:rsidRDefault="009B5AA5" w:rsidP="006F623F">
            <w:pPr>
              <w:jc w:val="center"/>
              <w:rPr>
                <w:rFonts w:ascii="Arial" w:hAnsi="Arial" w:cs="Arial"/>
                <w:b/>
                <w:sz w:val="24"/>
                <w:szCs w:val="24"/>
                <w:u w:val="single"/>
              </w:rPr>
            </w:pPr>
          </w:p>
        </w:tc>
      </w:tr>
      <w:tr w:rsidR="009B5AA5" w:rsidRPr="00FA3F9C" w14:paraId="0A1EFCA8" w14:textId="77777777" w:rsidTr="00571CAB">
        <w:tc>
          <w:tcPr>
            <w:tcW w:w="8928" w:type="dxa"/>
            <w:shd w:val="clear" w:color="auto" w:fill="000000"/>
          </w:tcPr>
          <w:p w14:paraId="55D39FC6" w14:textId="77777777" w:rsidR="009B5AA5" w:rsidRPr="00FA3F9C" w:rsidRDefault="009B5AA5"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88" w:type="dxa"/>
            <w:shd w:val="clear" w:color="auto" w:fill="000000"/>
          </w:tcPr>
          <w:p w14:paraId="32A54A45" w14:textId="77777777" w:rsidR="009B5AA5" w:rsidRPr="00FA3F9C" w:rsidRDefault="009B5AA5" w:rsidP="006F623F">
            <w:pPr>
              <w:jc w:val="center"/>
              <w:rPr>
                <w:rFonts w:ascii="Arial" w:hAnsi="Arial" w:cs="Arial"/>
                <w:b/>
                <w:sz w:val="24"/>
                <w:szCs w:val="24"/>
                <w:u w:val="single"/>
              </w:rPr>
            </w:pPr>
          </w:p>
        </w:tc>
      </w:tr>
      <w:tr w:rsidR="009B5AA5" w:rsidRPr="00FA3F9C" w14:paraId="6C96D380" w14:textId="77777777" w:rsidTr="00F337AE">
        <w:tc>
          <w:tcPr>
            <w:tcW w:w="11016" w:type="dxa"/>
            <w:gridSpan w:val="2"/>
          </w:tcPr>
          <w:p w14:paraId="61CF665C" w14:textId="77777777" w:rsidR="009B5AA5" w:rsidRPr="00FA3F9C" w:rsidRDefault="009B5AA5" w:rsidP="009B5AA5">
            <w:pPr>
              <w:pStyle w:val="ListParagraph"/>
              <w:numPr>
                <w:ilvl w:val="0"/>
                <w:numId w:val="219"/>
              </w:numPr>
              <w:spacing w:after="200" w:line="276" w:lineRule="auto"/>
              <w:rPr>
                <w:rFonts w:ascii="Arial" w:hAnsi="Arial" w:cs="Arial"/>
                <w:sz w:val="24"/>
                <w:szCs w:val="24"/>
              </w:rPr>
            </w:pPr>
            <w:r w:rsidRPr="00FA3F9C">
              <w:rPr>
                <w:rFonts w:ascii="Arial" w:hAnsi="Arial" w:cs="Arial"/>
                <w:sz w:val="24"/>
                <w:szCs w:val="24"/>
              </w:rPr>
              <w:t>Patient must have the diagnosis of relapsing MS with highly active disease as indicated by the prescriber (high frequency of relapses, MRI changes).</w:t>
            </w:r>
          </w:p>
        </w:tc>
      </w:tr>
      <w:tr w:rsidR="009B5AA5" w:rsidRPr="00FA3F9C" w14:paraId="44B43996" w14:textId="77777777" w:rsidTr="00B1617E">
        <w:tc>
          <w:tcPr>
            <w:tcW w:w="11016" w:type="dxa"/>
            <w:gridSpan w:val="2"/>
          </w:tcPr>
          <w:p w14:paraId="713CCDE8" w14:textId="77777777" w:rsidR="009B5AA5" w:rsidRPr="00FA3F9C" w:rsidRDefault="009B5AA5" w:rsidP="009B5AA5">
            <w:pPr>
              <w:pStyle w:val="ListParagraph"/>
              <w:numPr>
                <w:ilvl w:val="0"/>
                <w:numId w:val="219"/>
              </w:numPr>
              <w:spacing w:after="200" w:line="276" w:lineRule="auto"/>
              <w:rPr>
                <w:rFonts w:ascii="Arial" w:hAnsi="Arial" w:cs="Arial"/>
                <w:sz w:val="24"/>
                <w:szCs w:val="24"/>
              </w:rPr>
            </w:pPr>
            <w:r w:rsidRPr="00FA3F9C">
              <w:rPr>
                <w:rFonts w:ascii="Arial" w:hAnsi="Arial" w:cs="Arial"/>
                <w:sz w:val="24"/>
                <w:szCs w:val="24"/>
              </w:rPr>
              <w:t xml:space="preserve">Patient must be at low risk for progressive multifocal leukoencephalopathy (PML) including those who are antibody positive </w:t>
            </w:r>
            <w:proofErr w:type="gramStart"/>
            <w:r w:rsidRPr="00FA3F9C">
              <w:rPr>
                <w:rFonts w:ascii="Arial" w:hAnsi="Arial" w:cs="Arial"/>
                <w:sz w:val="24"/>
                <w:szCs w:val="24"/>
              </w:rPr>
              <w:t>as long as</w:t>
            </w:r>
            <w:proofErr w:type="gramEnd"/>
            <w:r w:rsidRPr="00FA3F9C">
              <w:rPr>
                <w:rFonts w:ascii="Arial" w:hAnsi="Arial" w:cs="Arial"/>
                <w:sz w:val="24"/>
                <w:szCs w:val="24"/>
              </w:rPr>
              <w:t xml:space="preserve"> the anti-JCV antibody index is below 0.9.</w:t>
            </w:r>
          </w:p>
        </w:tc>
      </w:tr>
      <w:tr w:rsidR="009B5AA5" w:rsidRPr="00FA3F9C" w14:paraId="3DF6BCCA" w14:textId="77777777" w:rsidTr="0010789D">
        <w:tc>
          <w:tcPr>
            <w:tcW w:w="11016" w:type="dxa"/>
            <w:gridSpan w:val="2"/>
          </w:tcPr>
          <w:p w14:paraId="51121685" w14:textId="77777777" w:rsidR="009B5AA5" w:rsidRPr="00FA3F9C" w:rsidRDefault="009B5AA5" w:rsidP="009B5AA5">
            <w:pPr>
              <w:pStyle w:val="ListParagraph"/>
              <w:numPr>
                <w:ilvl w:val="0"/>
                <w:numId w:val="219"/>
              </w:numPr>
              <w:spacing w:after="200" w:line="276" w:lineRule="auto"/>
              <w:rPr>
                <w:rFonts w:ascii="Arial" w:hAnsi="Arial" w:cs="Arial"/>
                <w:sz w:val="24"/>
                <w:szCs w:val="24"/>
              </w:rPr>
            </w:pPr>
            <w:r w:rsidRPr="00FA3F9C">
              <w:rPr>
                <w:rFonts w:ascii="Arial" w:hAnsi="Arial" w:cs="Arial"/>
                <w:sz w:val="24"/>
                <w:szCs w:val="24"/>
              </w:rPr>
              <w:t>No concurrent therapy with immunosuppressive drugs</w:t>
            </w:r>
          </w:p>
        </w:tc>
      </w:tr>
      <w:tr w:rsidR="009B5AA5" w:rsidRPr="00FA3F9C" w14:paraId="7457F5F2" w14:textId="77777777" w:rsidTr="00DA57E0">
        <w:tc>
          <w:tcPr>
            <w:tcW w:w="11016" w:type="dxa"/>
            <w:gridSpan w:val="2"/>
          </w:tcPr>
          <w:p w14:paraId="3DB56E5F" w14:textId="77777777" w:rsidR="009B5AA5" w:rsidRPr="00FA3F9C" w:rsidRDefault="009B5AA5" w:rsidP="009B5AA5">
            <w:pPr>
              <w:pStyle w:val="ListParagraph"/>
              <w:numPr>
                <w:ilvl w:val="0"/>
                <w:numId w:val="219"/>
              </w:numPr>
              <w:spacing w:after="200" w:line="276" w:lineRule="auto"/>
              <w:rPr>
                <w:rFonts w:ascii="Arial" w:hAnsi="Arial" w:cs="Arial"/>
                <w:sz w:val="24"/>
                <w:szCs w:val="24"/>
              </w:rPr>
            </w:pPr>
            <w:r w:rsidRPr="00FA3F9C">
              <w:rPr>
                <w:rFonts w:ascii="Arial" w:hAnsi="Arial" w:cs="Arial"/>
                <w:sz w:val="24"/>
                <w:szCs w:val="24"/>
              </w:rPr>
              <w:lastRenderedPageBreak/>
              <w:t>No concurrent therapy with other RRMS drug therapies.</w:t>
            </w:r>
          </w:p>
        </w:tc>
      </w:tr>
    </w:tbl>
    <w:p w14:paraId="6D833108" w14:textId="77777777" w:rsidR="009B5AA5" w:rsidRPr="00FA3F9C" w:rsidRDefault="009B5AA5" w:rsidP="006F623F">
      <w:pPr>
        <w:rPr>
          <w:rFonts w:ascii="Arial" w:hAnsi="Arial" w:cs="Arial"/>
          <w:b/>
          <w:sz w:val="24"/>
          <w:szCs w:val="24"/>
          <w:u w:val="single"/>
        </w:rPr>
      </w:pPr>
    </w:p>
    <w:tbl>
      <w:tblPr>
        <w:tblStyle w:val="TableGrid"/>
        <w:tblW w:w="0" w:type="auto"/>
        <w:tblLook w:val="04A0" w:firstRow="1" w:lastRow="0" w:firstColumn="1" w:lastColumn="0" w:noHBand="0" w:noVBand="1"/>
      </w:tblPr>
      <w:tblGrid>
        <w:gridCol w:w="8748"/>
        <w:gridCol w:w="2042"/>
      </w:tblGrid>
      <w:tr w:rsidR="009B5AA5" w:rsidRPr="00FA3F9C" w14:paraId="61DC589B" w14:textId="77777777" w:rsidTr="00E32D08">
        <w:tc>
          <w:tcPr>
            <w:tcW w:w="8748" w:type="dxa"/>
            <w:shd w:val="clear" w:color="auto" w:fill="000000"/>
          </w:tcPr>
          <w:p w14:paraId="5CFD044E" w14:textId="77777777" w:rsidR="009B5AA5" w:rsidRPr="00FA3F9C" w:rsidRDefault="009B5AA5" w:rsidP="00E83EB2">
            <w:pPr>
              <w:rPr>
                <w:rFonts w:ascii="Arial" w:hAnsi="Arial" w:cs="Arial"/>
                <w:b/>
                <w:sz w:val="24"/>
                <w:szCs w:val="24"/>
                <w:u w:val="single"/>
              </w:rPr>
            </w:pPr>
            <w:r w:rsidRPr="00FA3F9C">
              <w:rPr>
                <w:rFonts w:ascii="Arial" w:hAnsi="Arial" w:cs="Arial"/>
                <w:b/>
                <w:sz w:val="24"/>
                <w:szCs w:val="24"/>
                <w:u w:val="single"/>
              </w:rPr>
              <w:t>Crohn’s Disease</w:t>
            </w:r>
          </w:p>
        </w:tc>
        <w:tc>
          <w:tcPr>
            <w:tcW w:w="2042" w:type="dxa"/>
            <w:shd w:val="clear" w:color="auto" w:fill="000000"/>
          </w:tcPr>
          <w:p w14:paraId="719AFCAC" w14:textId="77777777" w:rsidR="009B5AA5" w:rsidRPr="00FA3F9C" w:rsidRDefault="009B5AA5" w:rsidP="00E83EB2">
            <w:pPr>
              <w:jc w:val="center"/>
              <w:rPr>
                <w:rFonts w:ascii="Arial" w:hAnsi="Arial" w:cs="Arial"/>
                <w:b/>
                <w:sz w:val="24"/>
                <w:szCs w:val="24"/>
                <w:u w:val="single"/>
              </w:rPr>
            </w:pPr>
          </w:p>
        </w:tc>
      </w:tr>
      <w:tr w:rsidR="009B5AA5" w:rsidRPr="00FA3F9C" w14:paraId="283DECD7" w14:textId="77777777" w:rsidTr="00E32D08">
        <w:tc>
          <w:tcPr>
            <w:tcW w:w="8748" w:type="dxa"/>
            <w:shd w:val="clear" w:color="auto" w:fill="000000"/>
          </w:tcPr>
          <w:p w14:paraId="5D40118A" w14:textId="77777777" w:rsidR="009B5AA5" w:rsidRPr="00FA3F9C" w:rsidRDefault="009B5AA5" w:rsidP="00E83EB2">
            <w:pPr>
              <w:rPr>
                <w:rFonts w:ascii="Arial" w:hAnsi="Arial" w:cs="Arial"/>
                <w:b/>
                <w:sz w:val="24"/>
                <w:szCs w:val="24"/>
                <w:u w:val="single"/>
              </w:rPr>
            </w:pPr>
            <w:r w:rsidRPr="00FA3F9C">
              <w:rPr>
                <w:rFonts w:ascii="Arial" w:hAnsi="Arial" w:cs="Arial"/>
                <w:b/>
                <w:sz w:val="24"/>
                <w:szCs w:val="24"/>
                <w:u w:val="single"/>
              </w:rPr>
              <w:t>Criteria for new users</w:t>
            </w:r>
          </w:p>
        </w:tc>
        <w:tc>
          <w:tcPr>
            <w:tcW w:w="2042" w:type="dxa"/>
            <w:shd w:val="clear" w:color="auto" w:fill="000000"/>
          </w:tcPr>
          <w:p w14:paraId="7DEDD629" w14:textId="77777777" w:rsidR="009B5AA5" w:rsidRPr="00FA3F9C" w:rsidRDefault="009B5AA5" w:rsidP="00E83EB2">
            <w:pPr>
              <w:jc w:val="center"/>
              <w:rPr>
                <w:rFonts w:ascii="Arial" w:hAnsi="Arial" w:cs="Arial"/>
                <w:b/>
                <w:sz w:val="24"/>
                <w:szCs w:val="24"/>
                <w:u w:val="single"/>
              </w:rPr>
            </w:pPr>
          </w:p>
        </w:tc>
      </w:tr>
      <w:tr w:rsidR="009B5AA5" w:rsidRPr="00FA3F9C" w14:paraId="0B80F62A" w14:textId="77777777" w:rsidTr="00E32D08">
        <w:tc>
          <w:tcPr>
            <w:tcW w:w="10790" w:type="dxa"/>
            <w:gridSpan w:val="2"/>
          </w:tcPr>
          <w:p w14:paraId="6AB3B704" w14:textId="77777777" w:rsidR="009B5AA5" w:rsidRPr="00FA3F9C" w:rsidRDefault="009B5AA5" w:rsidP="009B5AA5">
            <w:pPr>
              <w:pStyle w:val="ListParagraph"/>
              <w:numPr>
                <w:ilvl w:val="0"/>
                <w:numId w:val="349"/>
              </w:numPr>
              <w:spacing w:after="200" w:line="276" w:lineRule="auto"/>
              <w:rPr>
                <w:rFonts w:ascii="Arial" w:hAnsi="Arial" w:cs="Arial"/>
                <w:sz w:val="24"/>
                <w:szCs w:val="24"/>
              </w:rPr>
            </w:pPr>
            <w:r w:rsidRPr="00FA3F9C">
              <w:rPr>
                <w:rFonts w:ascii="Arial" w:hAnsi="Arial" w:cs="Arial"/>
                <w:sz w:val="24"/>
                <w:szCs w:val="24"/>
              </w:rPr>
              <w:t>Patient must have the diagnosis of severely active Crohn’s disease with evidence of inflammation who have had an inadequate response to, or are unable to tolerate, conventional Crohn’s disease therapies and TNF-alpha inhibitors.</w:t>
            </w:r>
          </w:p>
        </w:tc>
      </w:tr>
      <w:tr w:rsidR="009B5AA5" w:rsidRPr="00FA3F9C" w14:paraId="09D37349" w14:textId="77777777" w:rsidTr="00E32D08">
        <w:tc>
          <w:tcPr>
            <w:tcW w:w="10790" w:type="dxa"/>
            <w:gridSpan w:val="2"/>
          </w:tcPr>
          <w:p w14:paraId="6D705756" w14:textId="77777777" w:rsidR="009B5AA5" w:rsidRPr="00FA3F9C" w:rsidRDefault="009B5AA5" w:rsidP="009B5AA5">
            <w:pPr>
              <w:pStyle w:val="ListParagraph"/>
              <w:numPr>
                <w:ilvl w:val="0"/>
                <w:numId w:val="349"/>
              </w:numPr>
              <w:spacing w:after="200" w:line="276" w:lineRule="auto"/>
              <w:rPr>
                <w:rFonts w:ascii="Arial" w:hAnsi="Arial" w:cs="Arial"/>
                <w:sz w:val="24"/>
                <w:szCs w:val="24"/>
              </w:rPr>
            </w:pPr>
            <w:r w:rsidRPr="00FA3F9C">
              <w:rPr>
                <w:rFonts w:ascii="Arial" w:hAnsi="Arial" w:cs="Arial"/>
                <w:sz w:val="24"/>
                <w:szCs w:val="24"/>
              </w:rPr>
              <w:t>Patient must have on their profile or in their medical record that they have tried a TNF-alpha inhibitor.</w:t>
            </w:r>
          </w:p>
        </w:tc>
      </w:tr>
      <w:tr w:rsidR="009B5AA5" w:rsidRPr="00FA3F9C" w14:paraId="13551C6B" w14:textId="77777777" w:rsidTr="00E32D08">
        <w:tc>
          <w:tcPr>
            <w:tcW w:w="10790" w:type="dxa"/>
            <w:gridSpan w:val="2"/>
          </w:tcPr>
          <w:p w14:paraId="0FFA6082" w14:textId="77777777" w:rsidR="009B5AA5" w:rsidRPr="00FA3F9C" w:rsidRDefault="009B5AA5" w:rsidP="009B5AA5">
            <w:pPr>
              <w:pStyle w:val="ListParagraph"/>
              <w:numPr>
                <w:ilvl w:val="0"/>
                <w:numId w:val="349"/>
              </w:numPr>
              <w:spacing w:after="200" w:line="276" w:lineRule="auto"/>
              <w:rPr>
                <w:rFonts w:ascii="Arial" w:hAnsi="Arial" w:cs="Arial"/>
                <w:sz w:val="24"/>
                <w:szCs w:val="24"/>
              </w:rPr>
            </w:pPr>
            <w:r w:rsidRPr="00FA3F9C">
              <w:rPr>
                <w:rFonts w:ascii="Arial" w:hAnsi="Arial" w:cs="Arial"/>
                <w:sz w:val="24"/>
                <w:szCs w:val="24"/>
              </w:rPr>
              <w:t>The patient must be considered low risk per the prescriber for PML.</w:t>
            </w:r>
          </w:p>
        </w:tc>
      </w:tr>
    </w:tbl>
    <w:p w14:paraId="432FE965" w14:textId="77777777" w:rsidR="009B5AA5" w:rsidRPr="00FA3F9C" w:rsidRDefault="009B5AA5" w:rsidP="006F623F">
      <w:pPr>
        <w:rPr>
          <w:rFonts w:ascii="Arial" w:hAnsi="Arial" w:cs="Arial"/>
          <w:b/>
          <w:sz w:val="24"/>
          <w:szCs w:val="24"/>
          <w:u w:val="single"/>
        </w:rPr>
      </w:pPr>
    </w:p>
    <w:p w14:paraId="2019AE32" w14:textId="77777777" w:rsidR="009B5AA5" w:rsidRPr="00FA3F9C" w:rsidRDefault="009B5AA5" w:rsidP="006F623F">
      <w:pPr>
        <w:rPr>
          <w:rFonts w:ascii="Arial" w:hAnsi="Arial" w:cs="Arial"/>
          <w:b/>
          <w:sz w:val="24"/>
          <w:szCs w:val="24"/>
          <w:u w:val="single"/>
        </w:rPr>
      </w:pPr>
    </w:p>
    <w:tbl>
      <w:tblPr>
        <w:tblStyle w:val="TableGrid"/>
        <w:tblW w:w="0" w:type="auto"/>
        <w:shd w:val="clear" w:color="auto" w:fill="BFBFBF" w:themeFill="background1" w:themeFillShade="BF"/>
        <w:tblLook w:val="04A0" w:firstRow="1" w:lastRow="0" w:firstColumn="1" w:lastColumn="0" w:noHBand="0" w:noVBand="1"/>
      </w:tblPr>
      <w:tblGrid>
        <w:gridCol w:w="10998"/>
      </w:tblGrid>
      <w:tr w:rsidR="009B5AA5" w:rsidRPr="00FA3F9C" w14:paraId="6F29B02D" w14:textId="77777777" w:rsidTr="00D82B6E">
        <w:tc>
          <w:tcPr>
            <w:tcW w:w="10998" w:type="dxa"/>
            <w:shd w:val="clear" w:color="auto" w:fill="BFBFBF" w:themeFill="background1" w:themeFillShade="BF"/>
          </w:tcPr>
          <w:p w14:paraId="143C7A3A" w14:textId="77777777" w:rsidR="009B5AA5" w:rsidRPr="00FA3F9C" w:rsidRDefault="009B5AA5" w:rsidP="00D82B6E">
            <w:pPr>
              <w:rPr>
                <w:rFonts w:ascii="Arial" w:hAnsi="Arial" w:cs="Arial"/>
                <w:sz w:val="24"/>
                <w:szCs w:val="24"/>
              </w:rPr>
            </w:pPr>
            <w:r w:rsidRPr="00FA3F9C">
              <w:rPr>
                <w:rFonts w:ascii="Arial" w:hAnsi="Arial" w:cs="Arial"/>
                <w:sz w:val="24"/>
                <w:szCs w:val="24"/>
              </w:rPr>
              <w:t>Note: Dose is 300mg IV infusion q4W for either indication</w:t>
            </w:r>
          </w:p>
        </w:tc>
      </w:tr>
    </w:tbl>
    <w:p w14:paraId="2D589586" w14:textId="77777777" w:rsidR="009B5AA5" w:rsidRPr="00FA3F9C" w:rsidRDefault="009B5AA5" w:rsidP="006F623F">
      <w:pPr>
        <w:rPr>
          <w:rFonts w:ascii="Arial" w:hAnsi="Arial" w:cs="Arial"/>
          <w:sz w:val="24"/>
          <w:szCs w:val="24"/>
        </w:rPr>
      </w:pPr>
    </w:p>
    <w:p w14:paraId="3A6D142A" w14:textId="77777777" w:rsidR="009B5AA5" w:rsidRPr="00FA3F9C" w:rsidRDefault="009B5AA5" w:rsidP="006F623F">
      <w:pPr>
        <w:rPr>
          <w:rFonts w:ascii="Arial" w:hAnsi="Arial" w:cs="Arial"/>
          <w:sz w:val="24"/>
          <w:szCs w:val="24"/>
          <w:lang w:val="fr-FR"/>
        </w:rPr>
      </w:pPr>
      <w:proofErr w:type="spellStart"/>
      <w:r w:rsidRPr="00FA3F9C">
        <w:rPr>
          <w:rFonts w:ascii="Arial" w:hAnsi="Arial" w:cs="Arial"/>
          <w:sz w:val="24"/>
          <w:szCs w:val="24"/>
          <w:lang w:val="fr-FR"/>
        </w:rPr>
        <w:t>Quantity</w:t>
      </w:r>
      <w:proofErr w:type="spellEnd"/>
      <w:r w:rsidRPr="00FA3F9C">
        <w:rPr>
          <w:rFonts w:ascii="Arial" w:hAnsi="Arial" w:cs="Arial"/>
          <w:sz w:val="24"/>
          <w:szCs w:val="24"/>
          <w:lang w:val="fr-FR"/>
        </w:rPr>
        <w:t xml:space="preserve"> </w:t>
      </w:r>
      <w:proofErr w:type="gramStart"/>
      <w:r w:rsidRPr="00FA3F9C">
        <w:rPr>
          <w:rFonts w:ascii="Arial" w:hAnsi="Arial" w:cs="Arial"/>
          <w:sz w:val="24"/>
          <w:szCs w:val="24"/>
          <w:lang w:val="fr-FR"/>
        </w:rPr>
        <w:t>Limits:</w:t>
      </w:r>
      <w:proofErr w:type="gramEnd"/>
      <w:r w:rsidRPr="00FA3F9C">
        <w:rPr>
          <w:rFonts w:ascii="Arial" w:hAnsi="Arial" w:cs="Arial"/>
          <w:sz w:val="24"/>
          <w:szCs w:val="24"/>
          <w:lang w:val="fr-FR"/>
        </w:rPr>
        <w:t xml:space="preserve"> 300mg IV infusion q28d</w:t>
      </w:r>
    </w:p>
    <w:p w14:paraId="05AB6AF9" w14:textId="77777777" w:rsidR="009B5AA5" w:rsidRPr="00FA3F9C" w:rsidRDefault="009B5AA5" w:rsidP="006F623F">
      <w:pPr>
        <w:rPr>
          <w:rFonts w:ascii="Arial" w:hAnsi="Arial" w:cs="Arial"/>
          <w:sz w:val="24"/>
          <w:szCs w:val="24"/>
          <w:lang w:val="fr-FR"/>
        </w:rPr>
      </w:pPr>
    </w:p>
    <w:p w14:paraId="1C339286" w14:textId="77777777" w:rsidR="009B5AA5" w:rsidRPr="00FA3F9C" w:rsidRDefault="009B5AA5" w:rsidP="006F623F">
      <w:pPr>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418"/>
        <w:gridCol w:w="7470"/>
        <w:gridCol w:w="2538"/>
      </w:tblGrid>
      <w:tr w:rsidR="009B5AA5" w:rsidRPr="00FA3F9C" w14:paraId="58353159" w14:textId="77777777" w:rsidTr="00FE491B">
        <w:tc>
          <w:tcPr>
            <w:tcW w:w="1008" w:type="dxa"/>
          </w:tcPr>
          <w:p w14:paraId="0188DDC6" w14:textId="77777777" w:rsidR="009B5AA5" w:rsidRPr="00FA3F9C" w:rsidRDefault="009B5AA5" w:rsidP="006F623F">
            <w:pPr>
              <w:rPr>
                <w:rFonts w:ascii="Arial" w:hAnsi="Arial" w:cs="Arial"/>
                <w:sz w:val="24"/>
                <w:szCs w:val="24"/>
              </w:rPr>
            </w:pPr>
            <w:r w:rsidRPr="00FA3F9C">
              <w:rPr>
                <w:rFonts w:ascii="Arial" w:hAnsi="Arial" w:cs="Arial"/>
                <w:sz w:val="24"/>
                <w:szCs w:val="24"/>
              </w:rPr>
              <w:t>Date</w:t>
            </w:r>
          </w:p>
        </w:tc>
        <w:tc>
          <w:tcPr>
            <w:tcW w:w="7470" w:type="dxa"/>
          </w:tcPr>
          <w:p w14:paraId="7AB0A628" w14:textId="77777777" w:rsidR="009B5AA5" w:rsidRPr="00FA3F9C" w:rsidRDefault="009B5AA5" w:rsidP="006F623F">
            <w:pPr>
              <w:rPr>
                <w:rFonts w:ascii="Arial" w:hAnsi="Arial" w:cs="Arial"/>
                <w:sz w:val="24"/>
                <w:szCs w:val="24"/>
              </w:rPr>
            </w:pPr>
            <w:r w:rsidRPr="00FA3F9C">
              <w:rPr>
                <w:rFonts w:ascii="Arial" w:hAnsi="Arial" w:cs="Arial"/>
                <w:sz w:val="24"/>
                <w:szCs w:val="24"/>
              </w:rPr>
              <w:t>What changed</w:t>
            </w:r>
          </w:p>
        </w:tc>
        <w:tc>
          <w:tcPr>
            <w:tcW w:w="2538" w:type="dxa"/>
          </w:tcPr>
          <w:p w14:paraId="65E33355" w14:textId="77777777" w:rsidR="009B5AA5" w:rsidRPr="00FA3F9C" w:rsidRDefault="009B5AA5" w:rsidP="006F623F">
            <w:pPr>
              <w:rPr>
                <w:rFonts w:ascii="Arial" w:hAnsi="Arial" w:cs="Arial"/>
                <w:sz w:val="24"/>
                <w:szCs w:val="24"/>
              </w:rPr>
            </w:pPr>
            <w:r w:rsidRPr="00FA3F9C">
              <w:rPr>
                <w:rFonts w:ascii="Arial" w:hAnsi="Arial" w:cs="Arial"/>
                <w:sz w:val="24"/>
                <w:szCs w:val="24"/>
              </w:rPr>
              <w:t>Pharmacist’s initials</w:t>
            </w:r>
          </w:p>
        </w:tc>
      </w:tr>
      <w:tr w:rsidR="009B5AA5" w:rsidRPr="00FA3F9C" w14:paraId="1E4304BF" w14:textId="77777777" w:rsidTr="00FE491B">
        <w:tc>
          <w:tcPr>
            <w:tcW w:w="1008" w:type="dxa"/>
          </w:tcPr>
          <w:p w14:paraId="0BB30BA3" w14:textId="77777777" w:rsidR="009B5AA5" w:rsidRPr="00FA3F9C" w:rsidRDefault="009B5AA5" w:rsidP="006F623F">
            <w:pPr>
              <w:rPr>
                <w:rFonts w:ascii="Arial" w:hAnsi="Arial" w:cs="Arial"/>
                <w:sz w:val="24"/>
                <w:szCs w:val="24"/>
              </w:rPr>
            </w:pPr>
            <w:r w:rsidRPr="00FA3F9C">
              <w:rPr>
                <w:rFonts w:ascii="Arial" w:hAnsi="Arial" w:cs="Arial"/>
                <w:sz w:val="24"/>
                <w:szCs w:val="24"/>
              </w:rPr>
              <w:t>9/18/19</w:t>
            </w:r>
          </w:p>
        </w:tc>
        <w:tc>
          <w:tcPr>
            <w:tcW w:w="7470" w:type="dxa"/>
          </w:tcPr>
          <w:p w14:paraId="6ED219B2" w14:textId="77777777" w:rsidR="009B5AA5" w:rsidRPr="00FA3F9C" w:rsidRDefault="009B5AA5" w:rsidP="006F623F">
            <w:pPr>
              <w:rPr>
                <w:rFonts w:ascii="Arial" w:hAnsi="Arial" w:cs="Arial"/>
                <w:sz w:val="24"/>
                <w:szCs w:val="24"/>
              </w:rPr>
            </w:pPr>
            <w:r w:rsidRPr="00FA3F9C">
              <w:rPr>
                <w:rFonts w:ascii="Arial" w:hAnsi="Arial" w:cs="Arial"/>
                <w:sz w:val="24"/>
                <w:szCs w:val="24"/>
              </w:rPr>
              <w:t>I wrote the criteria.</w:t>
            </w:r>
          </w:p>
        </w:tc>
        <w:tc>
          <w:tcPr>
            <w:tcW w:w="2538" w:type="dxa"/>
          </w:tcPr>
          <w:p w14:paraId="0D30A552" w14:textId="05EA2B96" w:rsidR="009B5AA5" w:rsidRPr="00FA3F9C" w:rsidRDefault="005C142D" w:rsidP="006F623F">
            <w:pPr>
              <w:rPr>
                <w:rFonts w:ascii="Arial" w:hAnsi="Arial" w:cs="Arial"/>
                <w:sz w:val="24"/>
                <w:szCs w:val="24"/>
              </w:rPr>
            </w:pPr>
            <w:r w:rsidRPr="00FA3F9C">
              <w:rPr>
                <w:rFonts w:ascii="Arial" w:hAnsi="Arial" w:cs="Arial"/>
                <w:sz w:val="24"/>
                <w:szCs w:val="24"/>
              </w:rPr>
              <w:t>JJ</w:t>
            </w:r>
          </w:p>
        </w:tc>
      </w:tr>
      <w:tr w:rsidR="009B5AA5" w:rsidRPr="00FA3F9C" w14:paraId="51D292E9" w14:textId="77777777" w:rsidTr="00FE491B">
        <w:tc>
          <w:tcPr>
            <w:tcW w:w="1008" w:type="dxa"/>
          </w:tcPr>
          <w:p w14:paraId="0C19D195" w14:textId="77777777" w:rsidR="009B5AA5" w:rsidRPr="00FA3F9C" w:rsidRDefault="009B5AA5" w:rsidP="006F623F">
            <w:pPr>
              <w:rPr>
                <w:rFonts w:ascii="Arial" w:hAnsi="Arial" w:cs="Arial"/>
                <w:sz w:val="24"/>
                <w:szCs w:val="24"/>
              </w:rPr>
            </w:pPr>
            <w:r w:rsidRPr="00FA3F9C">
              <w:rPr>
                <w:rFonts w:ascii="Arial" w:hAnsi="Arial" w:cs="Arial"/>
                <w:sz w:val="24"/>
                <w:szCs w:val="24"/>
              </w:rPr>
              <w:t>10/28/2020</w:t>
            </w:r>
          </w:p>
        </w:tc>
        <w:tc>
          <w:tcPr>
            <w:tcW w:w="7470" w:type="dxa"/>
          </w:tcPr>
          <w:p w14:paraId="5589EB76" w14:textId="77777777" w:rsidR="009B5AA5" w:rsidRPr="00FA3F9C" w:rsidRDefault="009B5AA5" w:rsidP="006F623F">
            <w:pPr>
              <w:rPr>
                <w:rFonts w:ascii="Arial" w:hAnsi="Arial" w:cs="Arial"/>
                <w:sz w:val="24"/>
                <w:szCs w:val="24"/>
              </w:rPr>
            </w:pPr>
            <w:r w:rsidRPr="00FA3F9C">
              <w:rPr>
                <w:rFonts w:ascii="Arial" w:hAnsi="Arial" w:cs="Arial"/>
                <w:sz w:val="24"/>
                <w:szCs w:val="24"/>
              </w:rPr>
              <w:t>I updated the criteria.</w:t>
            </w:r>
          </w:p>
        </w:tc>
        <w:tc>
          <w:tcPr>
            <w:tcW w:w="2538" w:type="dxa"/>
          </w:tcPr>
          <w:p w14:paraId="271AFFC3" w14:textId="4A002640" w:rsidR="009B5AA5" w:rsidRPr="00FA3F9C" w:rsidRDefault="005C142D" w:rsidP="006F623F">
            <w:pPr>
              <w:rPr>
                <w:rFonts w:ascii="Arial" w:hAnsi="Arial" w:cs="Arial"/>
                <w:sz w:val="24"/>
                <w:szCs w:val="24"/>
              </w:rPr>
            </w:pPr>
            <w:r w:rsidRPr="00FA3F9C">
              <w:rPr>
                <w:rFonts w:ascii="Arial" w:hAnsi="Arial" w:cs="Arial"/>
                <w:sz w:val="24"/>
                <w:szCs w:val="24"/>
              </w:rPr>
              <w:t>JJ</w:t>
            </w:r>
            <w:r w:rsidR="009B5AA5" w:rsidRPr="00FA3F9C">
              <w:rPr>
                <w:rFonts w:ascii="Arial" w:hAnsi="Arial" w:cs="Arial"/>
                <w:sz w:val="24"/>
                <w:szCs w:val="24"/>
              </w:rPr>
              <w:t xml:space="preserve"> </w:t>
            </w:r>
          </w:p>
        </w:tc>
      </w:tr>
    </w:tbl>
    <w:p w14:paraId="165AE1E5" w14:textId="77777777" w:rsidR="009B5AA5" w:rsidRPr="00FA3F9C" w:rsidRDefault="009B5AA5" w:rsidP="006F623F">
      <w:pPr>
        <w:rPr>
          <w:rFonts w:ascii="Arial" w:hAnsi="Arial" w:cs="Arial"/>
          <w:sz w:val="24"/>
          <w:szCs w:val="24"/>
        </w:rPr>
      </w:pPr>
    </w:p>
    <w:p w14:paraId="3798BB39" w14:textId="77777777" w:rsidR="009B5AA5" w:rsidRPr="00FA3F9C" w:rsidRDefault="009B5AA5" w:rsidP="006F623F">
      <w:pPr>
        <w:rPr>
          <w:rFonts w:ascii="Arial" w:hAnsi="Arial" w:cs="Arial"/>
          <w:sz w:val="24"/>
          <w:szCs w:val="24"/>
        </w:rPr>
      </w:pPr>
      <w:r w:rsidRPr="00FA3F9C">
        <w:rPr>
          <w:rFonts w:ascii="Arial" w:hAnsi="Arial" w:cs="Arial"/>
          <w:sz w:val="24"/>
          <w:szCs w:val="24"/>
        </w:rPr>
        <w:t>References:</w:t>
      </w:r>
    </w:p>
    <w:p w14:paraId="795359E9" w14:textId="77777777" w:rsidR="009B5AA5" w:rsidRPr="00FA3F9C" w:rsidRDefault="009B5AA5" w:rsidP="009B5AA5">
      <w:pPr>
        <w:pStyle w:val="ListParagraph"/>
        <w:numPr>
          <w:ilvl w:val="0"/>
          <w:numId w:val="227"/>
        </w:numPr>
        <w:spacing w:after="0" w:line="276" w:lineRule="auto"/>
        <w:rPr>
          <w:rFonts w:ascii="Arial" w:hAnsi="Arial" w:cs="Arial"/>
          <w:sz w:val="24"/>
          <w:szCs w:val="24"/>
        </w:rPr>
      </w:pPr>
      <w:r w:rsidRPr="00FA3F9C">
        <w:rPr>
          <w:rFonts w:ascii="Arial" w:hAnsi="Arial" w:cs="Arial"/>
          <w:sz w:val="24"/>
          <w:szCs w:val="24"/>
        </w:rPr>
        <w:t>Lexicomp. Natalizumab.  Accessed 9/18/19.</w:t>
      </w:r>
    </w:p>
    <w:p w14:paraId="0DAD488B" w14:textId="77777777" w:rsidR="009B5AA5" w:rsidRPr="00FA3F9C" w:rsidRDefault="009B5AA5" w:rsidP="009B5AA5">
      <w:pPr>
        <w:pStyle w:val="ListParagraph"/>
        <w:numPr>
          <w:ilvl w:val="0"/>
          <w:numId w:val="227"/>
        </w:numPr>
        <w:spacing w:after="0" w:line="276" w:lineRule="auto"/>
        <w:rPr>
          <w:rFonts w:ascii="Arial" w:hAnsi="Arial" w:cs="Arial"/>
          <w:sz w:val="24"/>
          <w:szCs w:val="24"/>
        </w:rPr>
      </w:pPr>
      <w:r w:rsidRPr="00FA3F9C">
        <w:rPr>
          <w:rFonts w:ascii="Arial" w:hAnsi="Arial" w:cs="Arial"/>
          <w:sz w:val="24"/>
          <w:szCs w:val="24"/>
        </w:rPr>
        <w:lastRenderedPageBreak/>
        <w:t>UpToDate. DMT for RRMS. Accessed 9/18/19.</w:t>
      </w:r>
    </w:p>
    <w:p w14:paraId="4BC4AA94" w14:textId="77777777" w:rsidR="009B5AA5" w:rsidRPr="00FA3F9C" w:rsidRDefault="009B5AA5" w:rsidP="009B5AA5">
      <w:pPr>
        <w:pStyle w:val="ListParagraph"/>
        <w:numPr>
          <w:ilvl w:val="0"/>
          <w:numId w:val="227"/>
        </w:numPr>
        <w:spacing w:after="200" w:line="276" w:lineRule="auto"/>
        <w:rPr>
          <w:rFonts w:ascii="Arial" w:eastAsia="Times New Roman" w:hAnsi="Arial" w:cs="Arial"/>
          <w:sz w:val="24"/>
          <w:szCs w:val="24"/>
        </w:rPr>
      </w:pPr>
      <w:r w:rsidRPr="00FA3F9C">
        <w:rPr>
          <w:rFonts w:ascii="Arial" w:hAnsi="Arial" w:cs="Arial"/>
          <w:sz w:val="24"/>
          <w:szCs w:val="24"/>
        </w:rPr>
        <w:t xml:space="preserve">AAN.  Practice Guideline: Disease-modifying Therapies for Adults with multiple sclerosis.  American Academy of Neurology 4/24/2018. </w:t>
      </w:r>
      <w:hyperlink r:id="rId277" w:history="1">
        <w:r w:rsidRPr="00FA3F9C">
          <w:rPr>
            <w:rFonts w:ascii="Arial" w:eastAsia="Times New Roman" w:hAnsi="Arial" w:cs="Arial"/>
            <w:color w:val="0000FF"/>
            <w:sz w:val="24"/>
            <w:szCs w:val="24"/>
            <w:u w:val="single"/>
          </w:rPr>
          <w:t>https://www.aan.com/Guidelines/Home/GetGuidelineContent/900</w:t>
        </w:r>
      </w:hyperlink>
    </w:p>
    <w:p w14:paraId="52D0BE71" w14:textId="77777777" w:rsidR="009B5AA5" w:rsidRPr="00FA3F9C" w:rsidRDefault="009B5AA5" w:rsidP="009B5AA5">
      <w:pPr>
        <w:pStyle w:val="ListParagraph"/>
        <w:numPr>
          <w:ilvl w:val="0"/>
          <w:numId w:val="227"/>
        </w:numPr>
        <w:spacing w:after="200" w:line="276" w:lineRule="auto"/>
        <w:rPr>
          <w:rFonts w:ascii="Arial" w:hAnsi="Arial" w:cs="Arial"/>
          <w:sz w:val="24"/>
          <w:szCs w:val="24"/>
        </w:rPr>
      </w:pPr>
      <w:proofErr w:type="spellStart"/>
      <w:r w:rsidRPr="00FA3F9C">
        <w:rPr>
          <w:rFonts w:ascii="Arial" w:hAnsi="Arial" w:cs="Arial"/>
          <w:color w:val="222222"/>
          <w:sz w:val="24"/>
          <w:szCs w:val="24"/>
          <w:shd w:val="clear" w:color="auto" w:fill="FFFFFF"/>
        </w:rPr>
        <w:t>Sandborn</w:t>
      </w:r>
      <w:proofErr w:type="spellEnd"/>
      <w:r w:rsidRPr="00FA3F9C">
        <w:rPr>
          <w:rFonts w:ascii="Arial" w:hAnsi="Arial" w:cs="Arial"/>
          <w:color w:val="222222"/>
          <w:sz w:val="24"/>
          <w:szCs w:val="24"/>
          <w:shd w:val="clear" w:color="auto" w:fill="FFFFFF"/>
        </w:rPr>
        <w:t>, William J., et al. "Natalizumab induction and maintenance therapy for Crohn's disease." </w:t>
      </w:r>
      <w:r w:rsidRPr="00FA3F9C">
        <w:rPr>
          <w:rFonts w:ascii="Arial" w:hAnsi="Arial" w:cs="Arial"/>
          <w:i/>
          <w:iCs/>
          <w:color w:val="222222"/>
          <w:sz w:val="24"/>
          <w:szCs w:val="24"/>
          <w:shd w:val="clear" w:color="auto" w:fill="FFFFFF"/>
        </w:rPr>
        <w:t>New England Journal of Medicine</w:t>
      </w:r>
      <w:r w:rsidRPr="00FA3F9C">
        <w:rPr>
          <w:rFonts w:ascii="Arial" w:hAnsi="Arial" w:cs="Arial"/>
          <w:color w:val="222222"/>
          <w:sz w:val="24"/>
          <w:szCs w:val="24"/>
          <w:shd w:val="clear" w:color="auto" w:fill="FFFFFF"/>
        </w:rPr>
        <w:t> 353.18 (2005): 1912-1925.</w:t>
      </w:r>
    </w:p>
    <w:p w14:paraId="2D26C440" w14:textId="77777777" w:rsidR="009B5AA5" w:rsidRPr="00FA3F9C" w:rsidRDefault="009B5AA5" w:rsidP="00E32D08">
      <w:pPr>
        <w:pStyle w:val="ListParagraph"/>
        <w:rPr>
          <w:rFonts w:ascii="Arial" w:eastAsia="Times New Roman" w:hAnsi="Arial" w:cs="Arial"/>
          <w:sz w:val="24"/>
          <w:szCs w:val="24"/>
        </w:rPr>
      </w:pPr>
    </w:p>
    <w:p w14:paraId="49DDF409" w14:textId="77777777" w:rsidR="009B5AA5" w:rsidRPr="00FA3F9C" w:rsidRDefault="009B5AA5" w:rsidP="00953C90">
      <w:pPr>
        <w:pStyle w:val="Heading2"/>
      </w:pPr>
      <w:bookmarkStart w:id="218" w:name="_Toc106369866"/>
      <w:r w:rsidRPr="00FA3F9C">
        <w:t>Nilotinib (</w:t>
      </w:r>
      <w:proofErr w:type="spellStart"/>
      <w:r w:rsidRPr="00FA3F9C">
        <w:t>Tasigna</w:t>
      </w:r>
      <w:proofErr w:type="spellEnd"/>
      <w:r w:rsidRPr="00FA3F9C">
        <w:t>)</w:t>
      </w:r>
      <w:bookmarkEnd w:id="218"/>
    </w:p>
    <w:p w14:paraId="62E7E8B7" w14:textId="77777777" w:rsidR="009B5AA5" w:rsidRPr="00FA3F9C" w:rsidRDefault="009B5AA5" w:rsidP="006F623F">
      <w:pPr>
        <w:spacing w:after="0"/>
        <w:jc w:val="center"/>
        <w:rPr>
          <w:rFonts w:ascii="Arial" w:hAnsi="Arial" w:cs="Arial"/>
          <w:sz w:val="24"/>
          <w:szCs w:val="24"/>
        </w:rPr>
      </w:pPr>
      <w:r w:rsidRPr="00FA3F9C">
        <w:rPr>
          <w:rFonts w:ascii="Arial" w:hAnsi="Arial" w:cs="Arial"/>
          <w:sz w:val="24"/>
          <w:szCs w:val="24"/>
        </w:rPr>
        <w:t>EBRx PA Criteria</w:t>
      </w:r>
    </w:p>
    <w:p w14:paraId="75D7A073" w14:textId="77777777" w:rsidR="009B5AA5" w:rsidRPr="00FA3F9C" w:rsidRDefault="009B5AA5" w:rsidP="006F623F">
      <w:pPr>
        <w:spacing w:after="0"/>
        <w:rPr>
          <w:rFonts w:ascii="Arial" w:hAnsi="Arial" w:cs="Arial"/>
          <w:b/>
          <w:sz w:val="24"/>
          <w:szCs w:val="24"/>
          <w:u w:val="single"/>
        </w:rPr>
      </w:pPr>
    </w:p>
    <w:p w14:paraId="6C335229" w14:textId="77777777" w:rsidR="009B5AA5" w:rsidRPr="00FA3F9C" w:rsidRDefault="009B5AA5"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w:t>
      </w:r>
    </w:p>
    <w:p w14:paraId="07E3EECD" w14:textId="77777777" w:rsidR="009B5AA5" w:rsidRPr="00FA3F9C" w:rsidRDefault="009B5AA5" w:rsidP="009B5AA5">
      <w:pPr>
        <w:pStyle w:val="ListParagraph"/>
        <w:numPr>
          <w:ilvl w:val="0"/>
          <w:numId w:val="109"/>
        </w:numPr>
        <w:spacing w:after="0" w:line="276" w:lineRule="auto"/>
        <w:ind w:left="270" w:hanging="180"/>
        <w:rPr>
          <w:rFonts w:ascii="Arial" w:hAnsi="Arial" w:cs="Arial"/>
          <w:sz w:val="24"/>
          <w:szCs w:val="24"/>
        </w:rPr>
      </w:pPr>
      <w:r w:rsidRPr="00FA3F9C">
        <w:rPr>
          <w:rFonts w:ascii="Arial" w:hAnsi="Arial" w:cs="Arial"/>
          <w:sz w:val="24"/>
          <w:szCs w:val="24"/>
        </w:rPr>
        <w:t xml:space="preserve">Adult and pediatric patients greater than or equal to 1 year of age with newly diagnosed Philadelphia chromosome positive chronic myeloid leukemia (Ph+ CML) in chronic phase. </w:t>
      </w:r>
    </w:p>
    <w:p w14:paraId="4E4CE458" w14:textId="77777777" w:rsidR="009B5AA5" w:rsidRPr="00FA3F9C" w:rsidRDefault="009B5AA5" w:rsidP="009B5AA5">
      <w:pPr>
        <w:pStyle w:val="ListParagraph"/>
        <w:numPr>
          <w:ilvl w:val="0"/>
          <w:numId w:val="109"/>
        </w:numPr>
        <w:spacing w:after="0" w:line="276" w:lineRule="auto"/>
        <w:ind w:left="270" w:hanging="180"/>
        <w:rPr>
          <w:rFonts w:ascii="Arial" w:hAnsi="Arial" w:cs="Arial"/>
          <w:sz w:val="24"/>
          <w:szCs w:val="24"/>
        </w:rPr>
      </w:pPr>
      <w:r w:rsidRPr="00FA3F9C">
        <w:rPr>
          <w:rFonts w:ascii="Arial" w:hAnsi="Arial" w:cs="Arial"/>
          <w:sz w:val="24"/>
          <w:szCs w:val="24"/>
        </w:rPr>
        <w:t xml:space="preserve">Adult patients with chronic phase (CP) and accelerated phase (AP) Ph+ CML resistant to or intolerant to prior therapy that included imatinib. </w:t>
      </w:r>
    </w:p>
    <w:p w14:paraId="76E0F4CF" w14:textId="77777777" w:rsidR="009B5AA5" w:rsidRPr="00FA3F9C" w:rsidRDefault="009B5AA5" w:rsidP="009B5AA5">
      <w:pPr>
        <w:pStyle w:val="ListParagraph"/>
        <w:numPr>
          <w:ilvl w:val="0"/>
          <w:numId w:val="109"/>
        </w:numPr>
        <w:spacing w:after="0" w:line="276" w:lineRule="auto"/>
        <w:ind w:left="270" w:hanging="180"/>
        <w:rPr>
          <w:rFonts w:ascii="Arial" w:hAnsi="Arial" w:cs="Arial"/>
          <w:sz w:val="24"/>
          <w:szCs w:val="24"/>
        </w:rPr>
      </w:pPr>
      <w:r w:rsidRPr="00FA3F9C">
        <w:rPr>
          <w:rFonts w:ascii="Arial" w:hAnsi="Arial" w:cs="Arial"/>
          <w:sz w:val="24"/>
          <w:szCs w:val="24"/>
        </w:rPr>
        <w:t xml:space="preserve">Pediatric patients greater than or equal to 1 year of age with Ph+ CML-CP and </w:t>
      </w:r>
      <w:proofErr w:type="spellStart"/>
      <w:r w:rsidRPr="00FA3F9C">
        <w:rPr>
          <w:rFonts w:ascii="Arial" w:hAnsi="Arial" w:cs="Arial"/>
          <w:sz w:val="24"/>
          <w:szCs w:val="24"/>
        </w:rPr>
        <w:t>and</w:t>
      </w:r>
      <w:proofErr w:type="spellEnd"/>
      <w:r w:rsidRPr="00FA3F9C">
        <w:rPr>
          <w:rFonts w:ascii="Arial" w:hAnsi="Arial" w:cs="Arial"/>
          <w:sz w:val="24"/>
          <w:szCs w:val="24"/>
        </w:rPr>
        <w:t xml:space="preserve"> CML-AP resistant or intolerant to prior tyrosine-kinase inhibitor (TKI) therapy.</w:t>
      </w:r>
    </w:p>
    <w:tbl>
      <w:tblPr>
        <w:tblStyle w:val="TableGrid"/>
        <w:tblW w:w="0" w:type="auto"/>
        <w:tblLook w:val="04A0" w:firstRow="1" w:lastRow="0" w:firstColumn="1" w:lastColumn="0" w:noHBand="0" w:noVBand="1"/>
      </w:tblPr>
      <w:tblGrid>
        <w:gridCol w:w="8928"/>
        <w:gridCol w:w="2088"/>
      </w:tblGrid>
      <w:tr w:rsidR="009B5AA5" w:rsidRPr="00FA3F9C" w14:paraId="4FFF56C3" w14:textId="77777777" w:rsidTr="00E924F1">
        <w:tc>
          <w:tcPr>
            <w:tcW w:w="8928" w:type="dxa"/>
            <w:shd w:val="clear" w:color="auto" w:fill="000000"/>
          </w:tcPr>
          <w:p w14:paraId="2F1C982B" w14:textId="77777777" w:rsidR="009B5AA5" w:rsidRPr="00FA3F9C" w:rsidRDefault="009B5AA5" w:rsidP="00E924F1">
            <w:pPr>
              <w:rPr>
                <w:rFonts w:ascii="Arial" w:hAnsi="Arial" w:cs="Arial"/>
                <w:b/>
                <w:sz w:val="24"/>
                <w:szCs w:val="24"/>
                <w:u w:val="single"/>
              </w:rPr>
            </w:pPr>
            <w:r w:rsidRPr="00FA3F9C">
              <w:rPr>
                <w:rFonts w:ascii="Arial" w:hAnsi="Arial" w:cs="Arial"/>
                <w:b/>
                <w:sz w:val="24"/>
                <w:szCs w:val="24"/>
                <w:u w:val="single"/>
              </w:rPr>
              <w:t>Criteria for new users</w:t>
            </w:r>
          </w:p>
        </w:tc>
        <w:tc>
          <w:tcPr>
            <w:tcW w:w="2088" w:type="dxa"/>
            <w:shd w:val="clear" w:color="auto" w:fill="000000"/>
          </w:tcPr>
          <w:p w14:paraId="770683E8" w14:textId="77777777" w:rsidR="009B5AA5" w:rsidRPr="00FA3F9C" w:rsidRDefault="009B5AA5" w:rsidP="00E924F1">
            <w:pPr>
              <w:jc w:val="center"/>
              <w:rPr>
                <w:rFonts w:ascii="Arial" w:hAnsi="Arial" w:cs="Arial"/>
                <w:b/>
                <w:sz w:val="24"/>
                <w:szCs w:val="24"/>
                <w:u w:val="single"/>
              </w:rPr>
            </w:pPr>
          </w:p>
        </w:tc>
      </w:tr>
      <w:tr w:rsidR="009B5AA5" w:rsidRPr="00FA3F9C" w14:paraId="360DDE1F" w14:textId="77777777" w:rsidTr="00E924F1">
        <w:tc>
          <w:tcPr>
            <w:tcW w:w="11016" w:type="dxa"/>
            <w:gridSpan w:val="2"/>
          </w:tcPr>
          <w:p w14:paraId="11B05DDF" w14:textId="77777777" w:rsidR="009B5AA5" w:rsidRPr="00FA3F9C" w:rsidRDefault="009B5AA5" w:rsidP="009B5AA5">
            <w:pPr>
              <w:pStyle w:val="ListParagraph"/>
              <w:numPr>
                <w:ilvl w:val="0"/>
                <w:numId w:val="54"/>
              </w:numPr>
              <w:rPr>
                <w:rFonts w:ascii="Arial" w:hAnsi="Arial" w:cs="Arial"/>
                <w:sz w:val="24"/>
                <w:szCs w:val="24"/>
              </w:rPr>
            </w:pPr>
            <w:r w:rsidRPr="00FA3F9C">
              <w:rPr>
                <w:rFonts w:ascii="Arial" w:hAnsi="Arial" w:cs="Arial"/>
                <w:sz w:val="24"/>
                <w:szCs w:val="24"/>
              </w:rPr>
              <w:t xml:space="preserve">Ph+ chronic myeloid leukemia (CML) in chronic phase, accelerated/advanced phase, or blast crisis with resistance*, intolerance, or contraindication to imatinib AND </w:t>
            </w:r>
            <w:proofErr w:type="spellStart"/>
            <w:r w:rsidRPr="00FA3F9C">
              <w:rPr>
                <w:rFonts w:ascii="Arial" w:hAnsi="Arial" w:cs="Arial"/>
                <w:sz w:val="24"/>
                <w:szCs w:val="24"/>
              </w:rPr>
              <w:t>dasatinib</w:t>
            </w:r>
            <w:proofErr w:type="spellEnd"/>
            <w:r w:rsidRPr="00FA3F9C">
              <w:rPr>
                <w:rFonts w:ascii="Arial" w:hAnsi="Arial" w:cs="Arial"/>
                <w:sz w:val="24"/>
                <w:szCs w:val="24"/>
              </w:rPr>
              <w:t xml:space="preserve"> (note: Ph+ may also be denoted as t(9;22) or BCR/ABL)</w:t>
            </w:r>
          </w:p>
        </w:tc>
      </w:tr>
      <w:tr w:rsidR="009B5AA5" w:rsidRPr="00FA3F9C" w14:paraId="63EDCAC2" w14:textId="77777777" w:rsidTr="00E924F1">
        <w:tc>
          <w:tcPr>
            <w:tcW w:w="11016" w:type="dxa"/>
            <w:gridSpan w:val="2"/>
            <w:shd w:val="clear" w:color="auto" w:fill="F2F2F2" w:themeFill="background1" w:themeFillShade="F2"/>
          </w:tcPr>
          <w:p w14:paraId="4D0F283F" w14:textId="77777777" w:rsidR="009B5AA5" w:rsidRPr="00FA3F9C" w:rsidRDefault="009B5AA5" w:rsidP="00E924F1">
            <w:pPr>
              <w:rPr>
                <w:rFonts w:ascii="Arial" w:hAnsi="Arial" w:cs="Arial"/>
                <w:sz w:val="24"/>
                <w:szCs w:val="24"/>
              </w:rPr>
            </w:pPr>
            <w:r w:rsidRPr="00FA3F9C">
              <w:rPr>
                <w:rFonts w:ascii="Arial" w:hAnsi="Arial" w:cs="Arial"/>
                <w:sz w:val="24"/>
                <w:szCs w:val="24"/>
              </w:rPr>
              <w:t>*Resistance to CML therapy is generally defined as any of the following:</w:t>
            </w:r>
          </w:p>
          <w:p w14:paraId="5987E2AF" w14:textId="77777777" w:rsidR="009B5AA5" w:rsidRPr="00FA3F9C" w:rsidRDefault="009B5AA5" w:rsidP="009B5AA5">
            <w:pPr>
              <w:pStyle w:val="ListParagraph"/>
              <w:numPr>
                <w:ilvl w:val="0"/>
                <w:numId w:val="23"/>
              </w:numPr>
              <w:rPr>
                <w:rFonts w:ascii="Arial" w:hAnsi="Arial" w:cs="Arial"/>
                <w:sz w:val="24"/>
                <w:szCs w:val="24"/>
              </w:rPr>
            </w:pPr>
            <w:r w:rsidRPr="00FA3F9C">
              <w:rPr>
                <w:rFonts w:ascii="Arial" w:hAnsi="Arial" w:cs="Arial"/>
                <w:sz w:val="24"/>
                <w:szCs w:val="24"/>
              </w:rPr>
              <w:t xml:space="preserve">Inadequate response (defined as one of the following): </w:t>
            </w:r>
          </w:p>
          <w:p w14:paraId="4D103FB2" w14:textId="77777777" w:rsidR="009B5AA5" w:rsidRPr="00FA3F9C" w:rsidRDefault="009B5AA5" w:rsidP="009B5AA5">
            <w:pPr>
              <w:pStyle w:val="ListParagraph"/>
              <w:numPr>
                <w:ilvl w:val="2"/>
                <w:numId w:val="23"/>
              </w:numPr>
              <w:ind w:left="1080"/>
              <w:rPr>
                <w:rFonts w:ascii="Arial" w:hAnsi="Arial" w:cs="Arial"/>
                <w:sz w:val="24"/>
                <w:szCs w:val="24"/>
              </w:rPr>
            </w:pPr>
            <w:r w:rsidRPr="00FA3F9C">
              <w:rPr>
                <w:rFonts w:ascii="Arial" w:hAnsi="Arial" w:cs="Arial"/>
                <w:sz w:val="24"/>
                <w:szCs w:val="24"/>
              </w:rPr>
              <w:t>After 3 months of therapy: Lack of complete hematologic response (Platelets &lt;450 x10</w:t>
            </w:r>
            <w:r w:rsidRPr="00FA3F9C">
              <w:rPr>
                <w:rFonts w:ascii="Arial" w:hAnsi="Arial" w:cs="Arial"/>
                <w:sz w:val="24"/>
                <w:szCs w:val="24"/>
                <w:vertAlign w:val="superscript"/>
              </w:rPr>
              <w:t>9</w:t>
            </w:r>
            <w:r w:rsidRPr="00FA3F9C">
              <w:rPr>
                <w:rFonts w:ascii="Arial" w:hAnsi="Arial" w:cs="Arial"/>
                <w:sz w:val="24"/>
                <w:szCs w:val="24"/>
              </w:rPr>
              <w:t>/L; leukocyte count &lt;10 x 10</w:t>
            </w:r>
            <w:r w:rsidRPr="00FA3F9C">
              <w:rPr>
                <w:rFonts w:ascii="Arial" w:hAnsi="Arial" w:cs="Arial"/>
                <w:sz w:val="24"/>
                <w:szCs w:val="24"/>
                <w:vertAlign w:val="superscript"/>
              </w:rPr>
              <w:t>9</w:t>
            </w:r>
            <w:r w:rsidRPr="00FA3F9C">
              <w:rPr>
                <w:rFonts w:ascii="Arial" w:hAnsi="Arial" w:cs="Arial"/>
                <w:sz w:val="24"/>
                <w:szCs w:val="24"/>
              </w:rPr>
              <w:t xml:space="preserve">/L) </w:t>
            </w:r>
          </w:p>
          <w:p w14:paraId="03686DA1" w14:textId="77777777" w:rsidR="009B5AA5" w:rsidRPr="00FA3F9C" w:rsidRDefault="009B5AA5" w:rsidP="009B5AA5">
            <w:pPr>
              <w:pStyle w:val="ListParagraph"/>
              <w:numPr>
                <w:ilvl w:val="2"/>
                <w:numId w:val="23"/>
              </w:numPr>
              <w:ind w:left="1080"/>
              <w:rPr>
                <w:rFonts w:ascii="Arial" w:hAnsi="Arial" w:cs="Arial"/>
                <w:sz w:val="24"/>
                <w:szCs w:val="24"/>
              </w:rPr>
            </w:pPr>
            <w:r w:rsidRPr="00FA3F9C">
              <w:rPr>
                <w:rFonts w:ascii="Arial" w:hAnsi="Arial" w:cs="Arial"/>
                <w:sz w:val="24"/>
                <w:szCs w:val="24"/>
              </w:rPr>
              <w:t xml:space="preserve">After 3 months of therapy: Cytogenetic analysis shows &gt;95% Ph+ metaphases </w:t>
            </w:r>
          </w:p>
          <w:p w14:paraId="5842646C" w14:textId="77777777" w:rsidR="009B5AA5" w:rsidRPr="00FA3F9C" w:rsidRDefault="009B5AA5" w:rsidP="009B5AA5">
            <w:pPr>
              <w:pStyle w:val="ListParagraph"/>
              <w:numPr>
                <w:ilvl w:val="2"/>
                <w:numId w:val="23"/>
              </w:numPr>
              <w:ind w:left="1080"/>
              <w:rPr>
                <w:rFonts w:ascii="Arial" w:hAnsi="Arial" w:cs="Arial"/>
                <w:sz w:val="24"/>
                <w:szCs w:val="24"/>
              </w:rPr>
            </w:pPr>
            <w:r w:rsidRPr="00FA3F9C">
              <w:rPr>
                <w:rFonts w:ascii="Arial" w:hAnsi="Arial" w:cs="Arial"/>
                <w:sz w:val="24"/>
                <w:szCs w:val="24"/>
              </w:rPr>
              <w:t xml:space="preserve">After 6 months of therapy: BCR-ABL1 (IS) &gt;10% by quantitative PCR (qPCR) </w:t>
            </w:r>
          </w:p>
          <w:p w14:paraId="06136026" w14:textId="77777777" w:rsidR="009B5AA5" w:rsidRPr="00FA3F9C" w:rsidRDefault="009B5AA5" w:rsidP="009B5AA5">
            <w:pPr>
              <w:pStyle w:val="ListParagraph"/>
              <w:numPr>
                <w:ilvl w:val="2"/>
                <w:numId w:val="23"/>
              </w:numPr>
              <w:ind w:left="1080"/>
              <w:rPr>
                <w:rFonts w:ascii="Arial" w:hAnsi="Arial" w:cs="Arial"/>
                <w:sz w:val="24"/>
                <w:szCs w:val="24"/>
              </w:rPr>
            </w:pPr>
            <w:r w:rsidRPr="00FA3F9C">
              <w:rPr>
                <w:rFonts w:ascii="Arial" w:hAnsi="Arial" w:cs="Arial"/>
                <w:sz w:val="24"/>
                <w:szCs w:val="24"/>
              </w:rPr>
              <w:t xml:space="preserve">After 6 months of therapy: Cytogenetic analysis shows &gt;35% Ph+ metaphases </w:t>
            </w:r>
          </w:p>
          <w:p w14:paraId="305C4E46" w14:textId="77777777" w:rsidR="009B5AA5" w:rsidRPr="00FA3F9C" w:rsidRDefault="009B5AA5" w:rsidP="009B5AA5">
            <w:pPr>
              <w:pStyle w:val="ListParagraph"/>
              <w:numPr>
                <w:ilvl w:val="2"/>
                <w:numId w:val="23"/>
              </w:numPr>
              <w:ind w:left="1080"/>
              <w:rPr>
                <w:rFonts w:ascii="Arial" w:hAnsi="Arial" w:cs="Arial"/>
                <w:sz w:val="24"/>
                <w:szCs w:val="24"/>
              </w:rPr>
            </w:pPr>
            <w:r w:rsidRPr="00FA3F9C">
              <w:rPr>
                <w:rFonts w:ascii="Arial" w:hAnsi="Arial" w:cs="Arial"/>
                <w:sz w:val="24"/>
                <w:szCs w:val="24"/>
              </w:rPr>
              <w:t xml:space="preserve">After 12 months of therapy: BCR-ABL1 (IS) &gt;1% by quantitative PCR (qPCR) </w:t>
            </w:r>
          </w:p>
          <w:p w14:paraId="60339D4F" w14:textId="77777777" w:rsidR="009B5AA5" w:rsidRPr="00FA3F9C" w:rsidRDefault="009B5AA5" w:rsidP="009B5AA5">
            <w:pPr>
              <w:pStyle w:val="ListParagraph"/>
              <w:numPr>
                <w:ilvl w:val="2"/>
                <w:numId w:val="23"/>
              </w:numPr>
              <w:ind w:left="1080"/>
              <w:rPr>
                <w:rFonts w:ascii="Arial" w:hAnsi="Arial" w:cs="Arial"/>
                <w:sz w:val="24"/>
                <w:szCs w:val="24"/>
              </w:rPr>
            </w:pPr>
            <w:r w:rsidRPr="00FA3F9C">
              <w:rPr>
                <w:rFonts w:ascii="Arial" w:hAnsi="Arial" w:cs="Arial"/>
                <w:sz w:val="24"/>
                <w:szCs w:val="24"/>
              </w:rPr>
              <w:t xml:space="preserve">After 12 months of therapy: Cytogenetic analysis shows &gt;0% Ph+ metaphases </w:t>
            </w:r>
          </w:p>
          <w:p w14:paraId="3726BD49" w14:textId="77777777" w:rsidR="009B5AA5" w:rsidRPr="00FA3F9C" w:rsidRDefault="009B5AA5" w:rsidP="009B5AA5">
            <w:pPr>
              <w:pStyle w:val="ListParagraph"/>
              <w:numPr>
                <w:ilvl w:val="0"/>
                <w:numId w:val="23"/>
              </w:numPr>
              <w:rPr>
                <w:rFonts w:ascii="Arial" w:hAnsi="Arial" w:cs="Arial"/>
                <w:sz w:val="24"/>
                <w:szCs w:val="24"/>
              </w:rPr>
            </w:pPr>
            <w:r w:rsidRPr="00FA3F9C">
              <w:rPr>
                <w:rFonts w:ascii="Arial" w:hAnsi="Arial" w:cs="Arial"/>
                <w:sz w:val="24"/>
                <w:szCs w:val="24"/>
              </w:rPr>
              <w:t xml:space="preserve">Progression of disease after a cytogenetic/hematologic response was achieved </w:t>
            </w:r>
          </w:p>
          <w:p w14:paraId="64386E56" w14:textId="77777777" w:rsidR="009B5AA5" w:rsidRPr="00FA3F9C" w:rsidRDefault="009B5AA5" w:rsidP="009B5AA5">
            <w:pPr>
              <w:pStyle w:val="ListParagraph"/>
              <w:numPr>
                <w:ilvl w:val="0"/>
                <w:numId w:val="23"/>
              </w:numPr>
              <w:rPr>
                <w:rFonts w:ascii="Arial" w:hAnsi="Arial" w:cs="Arial"/>
                <w:sz w:val="24"/>
                <w:szCs w:val="24"/>
              </w:rPr>
            </w:pPr>
            <w:r w:rsidRPr="00FA3F9C">
              <w:rPr>
                <w:rFonts w:ascii="Arial" w:hAnsi="Arial" w:cs="Arial"/>
                <w:sz w:val="24"/>
                <w:szCs w:val="24"/>
              </w:rPr>
              <w:lastRenderedPageBreak/>
              <w:t>Documentation of mutation associated with drug resistance (typically checked after failure of first-line therapy—see below)</w:t>
            </w:r>
          </w:p>
        </w:tc>
      </w:tr>
      <w:tr w:rsidR="009B5AA5" w:rsidRPr="00FA3F9C" w14:paraId="6D425ECF" w14:textId="77777777" w:rsidTr="00E924F1">
        <w:tc>
          <w:tcPr>
            <w:tcW w:w="11016" w:type="dxa"/>
            <w:gridSpan w:val="2"/>
            <w:shd w:val="clear" w:color="auto" w:fill="D9D9D9" w:themeFill="background1" w:themeFillShade="D9"/>
          </w:tcPr>
          <w:p w14:paraId="3488556F" w14:textId="77777777" w:rsidR="009B5AA5" w:rsidRPr="00FA3F9C" w:rsidRDefault="009B5AA5" w:rsidP="00E924F1">
            <w:pPr>
              <w:rPr>
                <w:rFonts w:ascii="Arial" w:hAnsi="Arial" w:cs="Arial"/>
                <w:sz w:val="24"/>
                <w:szCs w:val="24"/>
              </w:rPr>
            </w:pPr>
            <w:r w:rsidRPr="00FA3F9C">
              <w:rPr>
                <w:rFonts w:ascii="Arial" w:hAnsi="Arial" w:cs="Arial"/>
                <w:sz w:val="24"/>
                <w:szCs w:val="24"/>
              </w:rPr>
              <w:lastRenderedPageBreak/>
              <w:t>If criteria 1 is fulfilled, approve for 6 months</w:t>
            </w:r>
          </w:p>
        </w:tc>
      </w:tr>
      <w:tr w:rsidR="009B5AA5" w:rsidRPr="00FA3F9C" w14:paraId="5B6EC1E1" w14:textId="77777777" w:rsidTr="00E924F1">
        <w:tc>
          <w:tcPr>
            <w:tcW w:w="8928" w:type="dxa"/>
            <w:shd w:val="clear" w:color="auto" w:fill="000000"/>
          </w:tcPr>
          <w:p w14:paraId="263C2316" w14:textId="77777777" w:rsidR="009B5AA5" w:rsidRPr="00FA3F9C" w:rsidRDefault="009B5AA5" w:rsidP="00E924F1">
            <w:pPr>
              <w:rPr>
                <w:rFonts w:ascii="Arial" w:hAnsi="Arial" w:cs="Arial"/>
                <w:b/>
                <w:sz w:val="24"/>
                <w:szCs w:val="24"/>
                <w:u w:val="single"/>
              </w:rPr>
            </w:pPr>
            <w:r w:rsidRPr="00FA3F9C">
              <w:rPr>
                <w:rFonts w:ascii="Arial" w:hAnsi="Arial" w:cs="Arial"/>
                <w:b/>
                <w:sz w:val="24"/>
                <w:szCs w:val="24"/>
                <w:u w:val="single"/>
              </w:rPr>
              <w:t>Criteria for continuation</w:t>
            </w:r>
          </w:p>
        </w:tc>
        <w:tc>
          <w:tcPr>
            <w:tcW w:w="2088" w:type="dxa"/>
            <w:shd w:val="clear" w:color="auto" w:fill="000000"/>
          </w:tcPr>
          <w:p w14:paraId="6C1ACE71" w14:textId="77777777" w:rsidR="009B5AA5" w:rsidRPr="00FA3F9C" w:rsidRDefault="009B5AA5" w:rsidP="00E924F1">
            <w:pPr>
              <w:jc w:val="center"/>
              <w:rPr>
                <w:rFonts w:ascii="Arial" w:hAnsi="Arial" w:cs="Arial"/>
                <w:b/>
                <w:sz w:val="24"/>
                <w:szCs w:val="24"/>
                <w:u w:val="single"/>
              </w:rPr>
            </w:pPr>
          </w:p>
        </w:tc>
      </w:tr>
      <w:tr w:rsidR="009B5AA5" w:rsidRPr="00FA3F9C" w14:paraId="75928C91" w14:textId="77777777" w:rsidTr="00E924F1">
        <w:tc>
          <w:tcPr>
            <w:tcW w:w="11016" w:type="dxa"/>
            <w:gridSpan w:val="2"/>
          </w:tcPr>
          <w:p w14:paraId="4310C641" w14:textId="77777777" w:rsidR="009B5AA5" w:rsidRPr="00FA3F9C" w:rsidRDefault="009B5AA5" w:rsidP="00E924F1">
            <w:pPr>
              <w:rPr>
                <w:rFonts w:ascii="Arial" w:hAnsi="Arial" w:cs="Arial"/>
                <w:sz w:val="24"/>
                <w:szCs w:val="24"/>
              </w:rPr>
            </w:pPr>
            <w:r w:rsidRPr="00FA3F9C">
              <w:rPr>
                <w:rFonts w:ascii="Arial" w:hAnsi="Arial" w:cs="Arial"/>
                <w:sz w:val="24"/>
                <w:szCs w:val="24"/>
              </w:rPr>
              <w:t>Review of fill history indicates compliance with therapy</w:t>
            </w:r>
          </w:p>
        </w:tc>
      </w:tr>
      <w:tr w:rsidR="009B5AA5" w:rsidRPr="00FA3F9C" w14:paraId="141344A5" w14:textId="77777777" w:rsidTr="00E924F1">
        <w:tc>
          <w:tcPr>
            <w:tcW w:w="11016" w:type="dxa"/>
            <w:gridSpan w:val="2"/>
          </w:tcPr>
          <w:p w14:paraId="12279888" w14:textId="77777777" w:rsidR="009B5AA5" w:rsidRPr="00FA3F9C" w:rsidRDefault="009B5AA5" w:rsidP="00E924F1">
            <w:pPr>
              <w:rPr>
                <w:rFonts w:ascii="Arial" w:hAnsi="Arial" w:cs="Arial"/>
                <w:sz w:val="24"/>
                <w:szCs w:val="24"/>
              </w:rPr>
            </w:pPr>
            <w:r w:rsidRPr="00FA3F9C">
              <w:rPr>
                <w:rFonts w:ascii="Arial" w:hAnsi="Arial" w:cs="Arial"/>
                <w:sz w:val="24"/>
                <w:szCs w:val="24"/>
              </w:rPr>
              <w:t>No progression of disease</w:t>
            </w:r>
          </w:p>
        </w:tc>
      </w:tr>
      <w:tr w:rsidR="009B5AA5" w:rsidRPr="00FA3F9C" w14:paraId="3D1B4459" w14:textId="77777777" w:rsidTr="00E924F1">
        <w:tc>
          <w:tcPr>
            <w:tcW w:w="11016" w:type="dxa"/>
            <w:gridSpan w:val="2"/>
          </w:tcPr>
          <w:p w14:paraId="423D1A00" w14:textId="77777777" w:rsidR="009B5AA5" w:rsidRPr="00FA3F9C" w:rsidRDefault="009B5AA5" w:rsidP="00E924F1">
            <w:pPr>
              <w:rPr>
                <w:rFonts w:ascii="Arial" w:hAnsi="Arial" w:cs="Arial"/>
                <w:sz w:val="24"/>
                <w:szCs w:val="24"/>
              </w:rPr>
            </w:pPr>
            <w:r w:rsidRPr="00FA3F9C">
              <w:rPr>
                <w:rFonts w:ascii="Arial" w:hAnsi="Arial" w:cs="Arial"/>
                <w:sz w:val="24"/>
                <w:szCs w:val="24"/>
              </w:rPr>
              <w:t>No unacceptable toxicity</w:t>
            </w:r>
          </w:p>
        </w:tc>
      </w:tr>
      <w:tr w:rsidR="009B5AA5" w:rsidRPr="00FA3F9C" w14:paraId="2C28769E" w14:textId="77777777" w:rsidTr="00E924F1">
        <w:tc>
          <w:tcPr>
            <w:tcW w:w="11016" w:type="dxa"/>
            <w:gridSpan w:val="2"/>
            <w:shd w:val="clear" w:color="auto" w:fill="D9D9D9" w:themeFill="background1" w:themeFillShade="D9"/>
          </w:tcPr>
          <w:p w14:paraId="5A19D5B5" w14:textId="77777777" w:rsidR="009B5AA5" w:rsidRPr="00FA3F9C" w:rsidRDefault="009B5AA5" w:rsidP="00E924F1">
            <w:pPr>
              <w:rPr>
                <w:rFonts w:ascii="Arial" w:hAnsi="Arial" w:cs="Arial"/>
                <w:sz w:val="24"/>
                <w:szCs w:val="24"/>
              </w:rPr>
            </w:pPr>
            <w:r w:rsidRPr="00FA3F9C">
              <w:rPr>
                <w:rFonts w:ascii="Arial" w:hAnsi="Arial" w:cs="Arial"/>
                <w:sz w:val="24"/>
                <w:szCs w:val="24"/>
              </w:rPr>
              <w:t>If continuation criteria fulfilled, approve for 1 year</w:t>
            </w:r>
          </w:p>
        </w:tc>
      </w:tr>
    </w:tbl>
    <w:p w14:paraId="275B5A86" w14:textId="77777777" w:rsidR="009B5AA5" w:rsidRPr="00FA3F9C" w:rsidRDefault="009B5AA5" w:rsidP="00D43243">
      <w:pPr>
        <w:spacing w:after="0"/>
        <w:rPr>
          <w:rFonts w:ascii="Arial" w:hAnsi="Arial" w:cs="Arial"/>
          <w:sz w:val="24"/>
          <w:szCs w:val="24"/>
        </w:rPr>
      </w:pPr>
    </w:p>
    <w:p w14:paraId="76AC9953" w14:textId="77777777" w:rsidR="009B5AA5" w:rsidRPr="00FA3F9C" w:rsidRDefault="009B5AA5" w:rsidP="00D43243">
      <w:pPr>
        <w:spacing w:after="0"/>
        <w:rPr>
          <w:rFonts w:ascii="Arial" w:hAnsi="Arial" w:cs="Arial"/>
          <w:sz w:val="24"/>
          <w:szCs w:val="24"/>
        </w:rPr>
      </w:pPr>
      <w:r w:rsidRPr="00FA3F9C">
        <w:rPr>
          <w:rFonts w:ascii="Arial" w:hAnsi="Arial" w:cs="Arial"/>
          <w:sz w:val="24"/>
          <w:szCs w:val="24"/>
          <w:highlight w:val="yellow"/>
        </w:rPr>
        <w:t>Note about EBRx coverage:</w:t>
      </w:r>
      <w:r w:rsidRPr="00FA3F9C">
        <w:rPr>
          <w:rFonts w:ascii="Arial" w:hAnsi="Arial" w:cs="Arial"/>
          <w:sz w:val="24"/>
          <w:szCs w:val="24"/>
        </w:rPr>
        <w:t xml:space="preserve"> EBRx prefers imatinib for treatment of all phases of CML. </w:t>
      </w:r>
      <w:proofErr w:type="spellStart"/>
      <w:r w:rsidRPr="00FA3F9C">
        <w:rPr>
          <w:rFonts w:ascii="Arial" w:hAnsi="Arial" w:cs="Arial"/>
          <w:sz w:val="24"/>
          <w:szCs w:val="24"/>
        </w:rPr>
        <w:t>Dasatinib</w:t>
      </w:r>
      <w:proofErr w:type="spellEnd"/>
      <w:r w:rsidRPr="00FA3F9C">
        <w:rPr>
          <w:rFonts w:ascii="Arial" w:hAnsi="Arial" w:cs="Arial"/>
          <w:sz w:val="24"/>
          <w:szCs w:val="24"/>
        </w:rPr>
        <w:t xml:space="preserve"> is preferred after imatinib therapy because no drug has been shown to be superior to </w:t>
      </w:r>
      <w:proofErr w:type="spellStart"/>
      <w:r w:rsidRPr="00FA3F9C">
        <w:rPr>
          <w:rFonts w:ascii="Arial" w:hAnsi="Arial" w:cs="Arial"/>
          <w:sz w:val="24"/>
          <w:szCs w:val="24"/>
        </w:rPr>
        <w:t>dasatinib</w:t>
      </w:r>
      <w:proofErr w:type="spellEnd"/>
      <w:r w:rsidRPr="00FA3F9C">
        <w:rPr>
          <w:rFonts w:ascii="Arial" w:hAnsi="Arial" w:cs="Arial"/>
          <w:sz w:val="24"/>
          <w:szCs w:val="24"/>
        </w:rPr>
        <w:t xml:space="preserve"> in the second line setting. Also, </w:t>
      </w:r>
      <w:proofErr w:type="spellStart"/>
      <w:r w:rsidRPr="00FA3F9C">
        <w:rPr>
          <w:rFonts w:ascii="Arial" w:hAnsi="Arial" w:cs="Arial"/>
          <w:sz w:val="24"/>
          <w:szCs w:val="24"/>
        </w:rPr>
        <w:t>dasatinib</w:t>
      </w:r>
      <w:proofErr w:type="spellEnd"/>
      <w:r w:rsidRPr="00FA3F9C">
        <w:rPr>
          <w:rFonts w:ascii="Arial" w:hAnsi="Arial" w:cs="Arial"/>
          <w:sz w:val="24"/>
          <w:szCs w:val="24"/>
        </w:rPr>
        <w:t xml:space="preserve"> comes with a cost advantage and impending patent expiration. Nilotinib may be covered if the patient experiences resistance or intolerance to imatinib and </w:t>
      </w:r>
      <w:proofErr w:type="spellStart"/>
      <w:r w:rsidRPr="00FA3F9C">
        <w:rPr>
          <w:rFonts w:ascii="Arial" w:hAnsi="Arial" w:cs="Arial"/>
          <w:sz w:val="24"/>
          <w:szCs w:val="24"/>
        </w:rPr>
        <w:t>dasatinib</w:t>
      </w:r>
      <w:proofErr w:type="spellEnd"/>
      <w:r w:rsidRPr="00FA3F9C">
        <w:rPr>
          <w:rFonts w:ascii="Arial" w:hAnsi="Arial" w:cs="Arial"/>
          <w:sz w:val="24"/>
          <w:szCs w:val="24"/>
        </w:rPr>
        <w:t xml:space="preserve">. NCCN guidelines suggest using a non-imatinib agent for first line therapy for intermediate/high risk patients (risk determined by </w:t>
      </w:r>
      <w:proofErr w:type="spellStart"/>
      <w:r w:rsidRPr="00FA3F9C">
        <w:rPr>
          <w:rFonts w:ascii="Arial" w:hAnsi="Arial" w:cs="Arial"/>
          <w:sz w:val="24"/>
          <w:szCs w:val="24"/>
        </w:rPr>
        <w:t>Sokal</w:t>
      </w:r>
      <w:proofErr w:type="spellEnd"/>
      <w:r w:rsidRPr="00FA3F9C">
        <w:rPr>
          <w:rFonts w:ascii="Arial" w:hAnsi="Arial" w:cs="Arial"/>
          <w:sz w:val="24"/>
          <w:szCs w:val="24"/>
        </w:rPr>
        <w:t xml:space="preserve"> or </w:t>
      </w:r>
      <w:proofErr w:type="spellStart"/>
      <w:r w:rsidRPr="00FA3F9C">
        <w:rPr>
          <w:rFonts w:ascii="Arial" w:hAnsi="Arial" w:cs="Arial"/>
          <w:sz w:val="24"/>
          <w:szCs w:val="24"/>
        </w:rPr>
        <w:t>Hasford</w:t>
      </w:r>
      <w:proofErr w:type="spellEnd"/>
      <w:r w:rsidRPr="00FA3F9C">
        <w:rPr>
          <w:rFonts w:ascii="Arial" w:hAnsi="Arial" w:cs="Arial"/>
          <w:sz w:val="24"/>
          <w:szCs w:val="24"/>
        </w:rPr>
        <w:t xml:space="preserve"> methods) based on quicker time to response.  Although quicker time to response has been associated with improved outcomes, non-imatinib agents have not been shown to improve overall survival compared to imatinib in the first line setting. Therefore, EBRx recommends that non-imatinib agents be denied access for first line use unless there is documentation of resistance or intolerance to a trial of imatinib.</w:t>
      </w:r>
    </w:p>
    <w:p w14:paraId="5682EC67" w14:textId="77777777" w:rsidR="009B5AA5" w:rsidRPr="00FA3F9C" w:rsidRDefault="009B5AA5" w:rsidP="006F623F">
      <w:pPr>
        <w:spacing w:after="0"/>
        <w:rPr>
          <w:rFonts w:ascii="Arial" w:hAnsi="Arial" w:cs="Arial"/>
          <w:sz w:val="24"/>
          <w:szCs w:val="24"/>
        </w:rPr>
      </w:pPr>
    </w:p>
    <w:p w14:paraId="77B410F1" w14:textId="77777777" w:rsidR="009B5AA5" w:rsidRPr="00FA3F9C" w:rsidRDefault="009B5AA5" w:rsidP="006F623F">
      <w:pPr>
        <w:spacing w:after="0"/>
        <w:rPr>
          <w:rFonts w:ascii="Arial" w:hAnsi="Arial" w:cs="Arial"/>
          <w:b/>
          <w:sz w:val="24"/>
          <w:szCs w:val="24"/>
          <w:u w:val="single"/>
        </w:rPr>
      </w:pPr>
    </w:p>
    <w:p w14:paraId="51FAF279" w14:textId="77777777" w:rsidR="009B5AA5" w:rsidRPr="00FA3F9C" w:rsidRDefault="009B5AA5" w:rsidP="006F623F">
      <w:pPr>
        <w:spacing w:after="0"/>
        <w:rPr>
          <w:rFonts w:ascii="Arial" w:hAnsi="Arial" w:cs="Arial"/>
          <w:b/>
          <w:sz w:val="24"/>
          <w:szCs w:val="24"/>
          <w:u w:val="single"/>
        </w:rPr>
      </w:pPr>
    </w:p>
    <w:p w14:paraId="2334EECA" w14:textId="77777777" w:rsidR="009B5AA5" w:rsidRPr="00FA3F9C" w:rsidRDefault="009B5AA5" w:rsidP="006F623F">
      <w:pPr>
        <w:spacing w:after="0"/>
        <w:rPr>
          <w:rFonts w:ascii="Arial" w:hAnsi="Arial" w:cs="Arial"/>
          <w:b/>
          <w:sz w:val="24"/>
          <w:szCs w:val="24"/>
          <w:u w:val="single"/>
        </w:rPr>
      </w:pPr>
    </w:p>
    <w:tbl>
      <w:tblPr>
        <w:tblStyle w:val="TableGrid"/>
        <w:tblW w:w="0" w:type="auto"/>
        <w:shd w:val="clear" w:color="auto" w:fill="BFBFBF" w:themeFill="background1" w:themeFillShade="BF"/>
        <w:tblLook w:val="04A0" w:firstRow="1" w:lastRow="0" w:firstColumn="1" w:lastColumn="0" w:noHBand="0" w:noVBand="1"/>
      </w:tblPr>
      <w:tblGrid>
        <w:gridCol w:w="10998"/>
      </w:tblGrid>
      <w:tr w:rsidR="009B5AA5" w:rsidRPr="00FA3F9C" w14:paraId="65DD786A" w14:textId="77777777" w:rsidTr="00D82B6E">
        <w:tc>
          <w:tcPr>
            <w:tcW w:w="10998" w:type="dxa"/>
            <w:shd w:val="clear" w:color="auto" w:fill="BFBFBF" w:themeFill="background1" w:themeFillShade="BF"/>
          </w:tcPr>
          <w:p w14:paraId="40B98543" w14:textId="77777777" w:rsidR="009B5AA5" w:rsidRPr="00FA3F9C" w:rsidRDefault="009B5AA5" w:rsidP="00D82B6E">
            <w:pPr>
              <w:rPr>
                <w:rFonts w:ascii="Arial" w:hAnsi="Arial" w:cs="Arial"/>
                <w:sz w:val="24"/>
                <w:szCs w:val="24"/>
              </w:rPr>
            </w:pPr>
            <w:r w:rsidRPr="00FA3F9C">
              <w:rPr>
                <w:rFonts w:ascii="Arial" w:hAnsi="Arial" w:cs="Arial"/>
                <w:sz w:val="24"/>
                <w:szCs w:val="24"/>
              </w:rPr>
              <w:t xml:space="preserve">Notes: </w:t>
            </w:r>
          </w:p>
          <w:p w14:paraId="283A38ED" w14:textId="77777777" w:rsidR="009B5AA5" w:rsidRPr="00FA3F9C" w:rsidRDefault="009B5AA5" w:rsidP="00D82B6E">
            <w:pPr>
              <w:rPr>
                <w:rFonts w:ascii="Arial" w:hAnsi="Arial" w:cs="Arial"/>
                <w:sz w:val="24"/>
                <w:szCs w:val="24"/>
              </w:rPr>
            </w:pPr>
            <w:r w:rsidRPr="00FA3F9C">
              <w:rPr>
                <w:rFonts w:ascii="Arial" w:hAnsi="Arial" w:cs="Arial"/>
                <w:sz w:val="24"/>
                <w:szCs w:val="24"/>
              </w:rPr>
              <w:t>General CML information:</w:t>
            </w:r>
          </w:p>
          <w:p w14:paraId="5CA6B0EA" w14:textId="77777777" w:rsidR="009B5AA5" w:rsidRPr="00FA3F9C" w:rsidRDefault="009B5AA5" w:rsidP="009B5AA5">
            <w:pPr>
              <w:pStyle w:val="ListParagraph"/>
              <w:numPr>
                <w:ilvl w:val="0"/>
                <w:numId w:val="24"/>
              </w:numPr>
              <w:rPr>
                <w:rFonts w:ascii="Arial" w:hAnsi="Arial" w:cs="Arial"/>
                <w:sz w:val="24"/>
                <w:szCs w:val="24"/>
              </w:rPr>
            </w:pPr>
            <w:r w:rsidRPr="00FA3F9C">
              <w:rPr>
                <w:rFonts w:ascii="Arial" w:hAnsi="Arial" w:cs="Arial"/>
                <w:sz w:val="24"/>
                <w:szCs w:val="24"/>
              </w:rPr>
              <w:t>Cytogenetic monitoring: Chromosomes are examined directly for BCR-ABL chromosomal translocation. Number of cells in metaphase are examined. The number of metaphase cells that contain BCR-ABL are divided by total number of metaphase cells to get a percentage. Test requires bone marrow aspirate.</w:t>
            </w:r>
          </w:p>
          <w:p w14:paraId="01DDF287" w14:textId="77777777" w:rsidR="009B5AA5" w:rsidRPr="00FA3F9C" w:rsidRDefault="009B5AA5" w:rsidP="009B5AA5">
            <w:pPr>
              <w:pStyle w:val="ListParagraph"/>
              <w:numPr>
                <w:ilvl w:val="0"/>
                <w:numId w:val="24"/>
              </w:numPr>
              <w:rPr>
                <w:rFonts w:ascii="Arial" w:hAnsi="Arial" w:cs="Arial"/>
                <w:sz w:val="24"/>
                <w:szCs w:val="24"/>
              </w:rPr>
            </w:pPr>
            <w:r w:rsidRPr="00FA3F9C">
              <w:rPr>
                <w:rFonts w:ascii="Arial" w:hAnsi="Arial" w:cs="Arial"/>
                <w:sz w:val="24"/>
                <w:szCs w:val="24"/>
              </w:rPr>
              <w:t>Molecular monitoring: Transcripts for BCR-ABL mRNA are quantified via real time PCR. “IS” denotes that the result is obtained via a standardized method. Test requires peripheral blood sample.</w:t>
            </w:r>
          </w:p>
          <w:p w14:paraId="3AADDFA3" w14:textId="77777777" w:rsidR="009B5AA5" w:rsidRPr="00FA3F9C" w:rsidRDefault="009B5AA5" w:rsidP="009B5AA5">
            <w:pPr>
              <w:pStyle w:val="ListParagraph"/>
              <w:numPr>
                <w:ilvl w:val="0"/>
                <w:numId w:val="24"/>
              </w:numPr>
              <w:rPr>
                <w:rFonts w:ascii="Arial" w:hAnsi="Arial" w:cs="Arial"/>
                <w:sz w:val="24"/>
                <w:szCs w:val="24"/>
              </w:rPr>
            </w:pPr>
            <w:r w:rsidRPr="00FA3F9C">
              <w:rPr>
                <w:rFonts w:ascii="Arial" w:hAnsi="Arial" w:cs="Arial"/>
                <w:sz w:val="24"/>
                <w:szCs w:val="24"/>
              </w:rPr>
              <w:t xml:space="preserve">Cytogenetic and molecular monitoring are both valid. Since cytogenetic monitoring requires bone marrow biopsy, molecular monitoring may be preferred. </w:t>
            </w:r>
          </w:p>
          <w:p w14:paraId="3B694BB5" w14:textId="77777777" w:rsidR="009B5AA5" w:rsidRPr="00FA3F9C" w:rsidRDefault="009B5AA5" w:rsidP="009B5AA5">
            <w:pPr>
              <w:pStyle w:val="ListParagraph"/>
              <w:numPr>
                <w:ilvl w:val="0"/>
                <w:numId w:val="24"/>
              </w:numPr>
              <w:rPr>
                <w:rFonts w:ascii="Arial" w:hAnsi="Arial" w:cs="Arial"/>
                <w:sz w:val="24"/>
                <w:szCs w:val="24"/>
              </w:rPr>
            </w:pPr>
            <w:r w:rsidRPr="00FA3F9C">
              <w:rPr>
                <w:rFonts w:ascii="Arial" w:hAnsi="Arial" w:cs="Arial"/>
                <w:sz w:val="24"/>
                <w:szCs w:val="24"/>
              </w:rPr>
              <w:lastRenderedPageBreak/>
              <w:t>Analysis of BCR-ABL mutations is typically not done until failure of first-line therapy for chronic phase CML but may be checked sooner in advanced phase. If a mutation is documented that predicts resistance to imatinib or other therapy, an alternative agent should be used. NCCN has guide for treatment options according to which mutation is identified.</w:t>
            </w:r>
          </w:p>
          <w:p w14:paraId="518A20EA" w14:textId="77777777" w:rsidR="009B5AA5" w:rsidRPr="00FA3F9C" w:rsidRDefault="009B5AA5" w:rsidP="00A828E4">
            <w:pPr>
              <w:rPr>
                <w:rFonts w:ascii="Arial" w:hAnsi="Arial" w:cs="Arial"/>
                <w:sz w:val="24"/>
                <w:szCs w:val="24"/>
              </w:rPr>
            </w:pPr>
          </w:p>
          <w:tbl>
            <w:tblPr>
              <w:tblStyle w:val="TableGrid"/>
              <w:tblW w:w="0" w:type="auto"/>
              <w:tblInd w:w="720" w:type="dxa"/>
              <w:tblLook w:val="04A0" w:firstRow="1" w:lastRow="0" w:firstColumn="1" w:lastColumn="0" w:noHBand="0" w:noVBand="1"/>
            </w:tblPr>
            <w:tblGrid>
              <w:gridCol w:w="3427"/>
              <w:gridCol w:w="6625"/>
            </w:tblGrid>
            <w:tr w:rsidR="009B5AA5" w:rsidRPr="00FA3F9C" w14:paraId="79A07EC4" w14:textId="77777777" w:rsidTr="00291442">
              <w:tc>
                <w:tcPr>
                  <w:tcW w:w="10052" w:type="dxa"/>
                  <w:gridSpan w:val="2"/>
                </w:tcPr>
                <w:p w14:paraId="3B1D99C2" w14:textId="77777777" w:rsidR="009B5AA5" w:rsidRPr="00FA3F9C" w:rsidRDefault="009B5AA5" w:rsidP="00A828E4">
                  <w:pPr>
                    <w:pStyle w:val="ListParagraph"/>
                    <w:ind w:left="0"/>
                    <w:rPr>
                      <w:rFonts w:ascii="Arial" w:hAnsi="Arial" w:cs="Arial"/>
                      <w:b/>
                      <w:sz w:val="24"/>
                      <w:szCs w:val="24"/>
                    </w:rPr>
                  </w:pPr>
                  <w:r w:rsidRPr="00FA3F9C">
                    <w:rPr>
                      <w:rFonts w:ascii="Arial" w:hAnsi="Arial" w:cs="Arial"/>
                      <w:b/>
                      <w:sz w:val="24"/>
                      <w:szCs w:val="24"/>
                    </w:rPr>
                    <w:t>Treatment recommendations based on BCR-ABL1 mutation profile (NCCN CML version 2.2022)</w:t>
                  </w:r>
                </w:p>
              </w:tc>
            </w:tr>
            <w:tr w:rsidR="009B5AA5" w:rsidRPr="00FA3F9C" w14:paraId="0CF7634B" w14:textId="77777777" w:rsidTr="00291442">
              <w:tc>
                <w:tcPr>
                  <w:tcW w:w="3427" w:type="dxa"/>
                </w:tcPr>
                <w:p w14:paraId="1D2C167F" w14:textId="77777777" w:rsidR="009B5AA5" w:rsidRPr="00FA3F9C" w:rsidRDefault="009B5AA5" w:rsidP="00A828E4">
                  <w:pPr>
                    <w:pStyle w:val="ListParagraph"/>
                    <w:ind w:left="0"/>
                    <w:rPr>
                      <w:rFonts w:ascii="Arial" w:hAnsi="Arial" w:cs="Arial"/>
                      <w:sz w:val="24"/>
                      <w:szCs w:val="24"/>
                      <w:u w:val="single"/>
                    </w:rPr>
                  </w:pPr>
                  <w:r w:rsidRPr="00FA3F9C">
                    <w:rPr>
                      <w:rFonts w:ascii="Arial" w:hAnsi="Arial" w:cs="Arial"/>
                      <w:sz w:val="24"/>
                      <w:szCs w:val="24"/>
                      <w:u w:val="single"/>
                    </w:rPr>
                    <w:t>Contraindicated Mutations</w:t>
                  </w:r>
                </w:p>
              </w:tc>
              <w:tc>
                <w:tcPr>
                  <w:tcW w:w="6625" w:type="dxa"/>
                </w:tcPr>
                <w:p w14:paraId="3F67D230" w14:textId="77777777" w:rsidR="009B5AA5" w:rsidRPr="00FA3F9C" w:rsidRDefault="009B5AA5" w:rsidP="00A828E4">
                  <w:pPr>
                    <w:pStyle w:val="ListParagraph"/>
                    <w:ind w:left="0"/>
                    <w:rPr>
                      <w:rFonts w:ascii="Arial" w:hAnsi="Arial" w:cs="Arial"/>
                      <w:sz w:val="24"/>
                      <w:szCs w:val="24"/>
                      <w:u w:val="single"/>
                    </w:rPr>
                  </w:pPr>
                  <w:r w:rsidRPr="00FA3F9C">
                    <w:rPr>
                      <w:rFonts w:ascii="Arial" w:hAnsi="Arial" w:cs="Arial"/>
                      <w:sz w:val="24"/>
                      <w:szCs w:val="24"/>
                      <w:u w:val="single"/>
                    </w:rPr>
                    <w:t>Drugs</w:t>
                  </w:r>
                </w:p>
              </w:tc>
            </w:tr>
            <w:tr w:rsidR="009B5AA5" w:rsidRPr="00FA3F9C" w14:paraId="57E4F3E7" w14:textId="77777777" w:rsidTr="00291442">
              <w:tc>
                <w:tcPr>
                  <w:tcW w:w="3427" w:type="dxa"/>
                </w:tcPr>
                <w:p w14:paraId="09A8DE49" w14:textId="77777777" w:rsidR="009B5AA5" w:rsidRPr="00FA3F9C" w:rsidRDefault="009B5AA5" w:rsidP="00A828E4">
                  <w:pPr>
                    <w:pStyle w:val="ListParagraph"/>
                    <w:ind w:left="0"/>
                    <w:rPr>
                      <w:rFonts w:ascii="Arial" w:hAnsi="Arial" w:cs="Arial"/>
                      <w:sz w:val="24"/>
                      <w:szCs w:val="24"/>
                    </w:rPr>
                  </w:pPr>
                  <w:r w:rsidRPr="00FA3F9C">
                    <w:rPr>
                      <w:rFonts w:ascii="Arial" w:hAnsi="Arial" w:cs="Arial"/>
                      <w:sz w:val="24"/>
                      <w:szCs w:val="24"/>
                    </w:rPr>
                    <w:t>T315I/A, F317L/V/I/C, V299L</w:t>
                  </w:r>
                </w:p>
              </w:tc>
              <w:tc>
                <w:tcPr>
                  <w:tcW w:w="6625" w:type="dxa"/>
                </w:tcPr>
                <w:p w14:paraId="2E64462D" w14:textId="77777777" w:rsidR="009B5AA5" w:rsidRPr="00FA3F9C" w:rsidRDefault="009B5AA5" w:rsidP="00A828E4">
                  <w:pPr>
                    <w:pStyle w:val="ListParagraph"/>
                    <w:ind w:left="0"/>
                    <w:rPr>
                      <w:rFonts w:ascii="Arial" w:hAnsi="Arial" w:cs="Arial"/>
                      <w:sz w:val="24"/>
                      <w:szCs w:val="24"/>
                    </w:rPr>
                  </w:pPr>
                  <w:proofErr w:type="spellStart"/>
                  <w:r w:rsidRPr="00FA3F9C">
                    <w:rPr>
                      <w:rFonts w:ascii="Arial" w:hAnsi="Arial" w:cs="Arial"/>
                      <w:sz w:val="24"/>
                      <w:szCs w:val="24"/>
                    </w:rPr>
                    <w:t>Dasatinib</w:t>
                  </w:r>
                  <w:proofErr w:type="spellEnd"/>
                </w:p>
              </w:tc>
            </w:tr>
            <w:tr w:rsidR="009B5AA5" w:rsidRPr="00FA3F9C" w14:paraId="2F4F6910" w14:textId="77777777" w:rsidTr="00291442">
              <w:tc>
                <w:tcPr>
                  <w:tcW w:w="3427" w:type="dxa"/>
                </w:tcPr>
                <w:p w14:paraId="056DD0AB" w14:textId="77777777" w:rsidR="009B5AA5" w:rsidRPr="00FA3F9C" w:rsidRDefault="009B5AA5" w:rsidP="00A828E4">
                  <w:pPr>
                    <w:pStyle w:val="ListParagraph"/>
                    <w:ind w:left="0"/>
                    <w:rPr>
                      <w:rFonts w:ascii="Arial" w:hAnsi="Arial" w:cs="Arial"/>
                      <w:sz w:val="24"/>
                      <w:szCs w:val="24"/>
                    </w:rPr>
                  </w:pPr>
                  <w:r w:rsidRPr="00FA3F9C">
                    <w:rPr>
                      <w:rFonts w:ascii="Arial" w:hAnsi="Arial" w:cs="Arial"/>
                      <w:sz w:val="24"/>
                      <w:szCs w:val="24"/>
                    </w:rPr>
                    <w:t>T315I, Y253H, E255K/V, F359V/C/I</w:t>
                  </w:r>
                </w:p>
              </w:tc>
              <w:tc>
                <w:tcPr>
                  <w:tcW w:w="6625" w:type="dxa"/>
                </w:tcPr>
                <w:p w14:paraId="60EAEB3D" w14:textId="77777777" w:rsidR="009B5AA5" w:rsidRPr="00FA3F9C" w:rsidRDefault="009B5AA5" w:rsidP="00A828E4">
                  <w:pPr>
                    <w:pStyle w:val="ListParagraph"/>
                    <w:ind w:left="0"/>
                    <w:rPr>
                      <w:rFonts w:ascii="Arial" w:hAnsi="Arial" w:cs="Arial"/>
                      <w:sz w:val="24"/>
                      <w:szCs w:val="24"/>
                    </w:rPr>
                  </w:pPr>
                  <w:r w:rsidRPr="00FA3F9C">
                    <w:rPr>
                      <w:rFonts w:ascii="Arial" w:hAnsi="Arial" w:cs="Arial"/>
                      <w:sz w:val="24"/>
                      <w:szCs w:val="24"/>
                    </w:rPr>
                    <w:t>Nilotinib</w:t>
                  </w:r>
                </w:p>
              </w:tc>
            </w:tr>
            <w:tr w:rsidR="009B5AA5" w:rsidRPr="00FA3F9C" w14:paraId="7D607D3E" w14:textId="77777777" w:rsidTr="00291442">
              <w:tc>
                <w:tcPr>
                  <w:tcW w:w="3427" w:type="dxa"/>
                </w:tcPr>
                <w:p w14:paraId="147E65DA" w14:textId="77777777" w:rsidR="009B5AA5" w:rsidRPr="00FA3F9C" w:rsidRDefault="009B5AA5" w:rsidP="00A828E4">
                  <w:pPr>
                    <w:pStyle w:val="ListParagraph"/>
                    <w:ind w:left="0"/>
                    <w:rPr>
                      <w:rFonts w:ascii="Arial" w:hAnsi="Arial" w:cs="Arial"/>
                      <w:sz w:val="24"/>
                      <w:szCs w:val="24"/>
                    </w:rPr>
                  </w:pPr>
                  <w:r w:rsidRPr="00FA3F9C">
                    <w:rPr>
                      <w:rFonts w:ascii="Arial" w:hAnsi="Arial" w:cs="Arial"/>
                      <w:sz w:val="24"/>
                      <w:szCs w:val="24"/>
                    </w:rPr>
                    <w:t>T315I, V299L, G250E, F317L</w:t>
                  </w:r>
                </w:p>
              </w:tc>
              <w:tc>
                <w:tcPr>
                  <w:tcW w:w="6625" w:type="dxa"/>
                </w:tcPr>
                <w:p w14:paraId="50162A45" w14:textId="77777777" w:rsidR="009B5AA5" w:rsidRPr="00FA3F9C" w:rsidRDefault="009B5AA5" w:rsidP="00A828E4">
                  <w:pPr>
                    <w:pStyle w:val="ListParagraph"/>
                    <w:ind w:left="0"/>
                    <w:rPr>
                      <w:rFonts w:ascii="Arial" w:hAnsi="Arial" w:cs="Arial"/>
                      <w:sz w:val="24"/>
                      <w:szCs w:val="24"/>
                    </w:rPr>
                  </w:pPr>
                  <w:r w:rsidRPr="00FA3F9C">
                    <w:rPr>
                      <w:rFonts w:ascii="Arial" w:hAnsi="Arial" w:cs="Arial"/>
                      <w:sz w:val="24"/>
                      <w:szCs w:val="24"/>
                    </w:rPr>
                    <w:t>Bosutinib</w:t>
                  </w:r>
                </w:p>
              </w:tc>
            </w:tr>
            <w:tr w:rsidR="009B5AA5" w:rsidRPr="00FA3F9C" w14:paraId="7F2FF62F" w14:textId="77777777" w:rsidTr="00291442">
              <w:tc>
                <w:tcPr>
                  <w:tcW w:w="3427" w:type="dxa"/>
                </w:tcPr>
                <w:p w14:paraId="79B1AE1A" w14:textId="77777777" w:rsidR="009B5AA5" w:rsidRPr="00FA3F9C" w:rsidRDefault="009B5AA5" w:rsidP="00A828E4">
                  <w:pPr>
                    <w:pStyle w:val="ListParagraph"/>
                    <w:ind w:left="0"/>
                    <w:rPr>
                      <w:rFonts w:ascii="Arial" w:hAnsi="Arial" w:cs="Arial"/>
                      <w:sz w:val="24"/>
                      <w:szCs w:val="24"/>
                    </w:rPr>
                  </w:pPr>
                  <w:r w:rsidRPr="00FA3F9C">
                    <w:rPr>
                      <w:rFonts w:ascii="Arial" w:hAnsi="Arial" w:cs="Arial"/>
                      <w:sz w:val="24"/>
                      <w:szCs w:val="24"/>
                    </w:rPr>
                    <w:t>None</w:t>
                  </w:r>
                </w:p>
              </w:tc>
              <w:tc>
                <w:tcPr>
                  <w:tcW w:w="6625" w:type="dxa"/>
                </w:tcPr>
                <w:p w14:paraId="307121F1" w14:textId="77777777" w:rsidR="009B5AA5" w:rsidRPr="00FA3F9C" w:rsidRDefault="009B5AA5" w:rsidP="00A828E4">
                  <w:pPr>
                    <w:pStyle w:val="ListParagraph"/>
                    <w:ind w:left="0"/>
                    <w:rPr>
                      <w:rFonts w:ascii="Arial" w:hAnsi="Arial" w:cs="Arial"/>
                      <w:sz w:val="24"/>
                      <w:szCs w:val="24"/>
                    </w:rPr>
                  </w:pPr>
                  <w:proofErr w:type="spellStart"/>
                  <w:r w:rsidRPr="00FA3F9C">
                    <w:rPr>
                      <w:rFonts w:ascii="Arial" w:hAnsi="Arial" w:cs="Arial"/>
                      <w:sz w:val="24"/>
                      <w:szCs w:val="24"/>
                    </w:rPr>
                    <w:t>Asciminib</w:t>
                  </w:r>
                  <w:proofErr w:type="spellEnd"/>
                  <w:r w:rsidRPr="00FA3F9C">
                    <w:rPr>
                      <w:rFonts w:ascii="Arial" w:hAnsi="Arial" w:cs="Arial"/>
                      <w:sz w:val="24"/>
                      <w:szCs w:val="24"/>
                    </w:rPr>
                    <w:t>, Ponatinib, Omacetaxine, stem cell transplant, clinical trial</w:t>
                  </w:r>
                </w:p>
              </w:tc>
            </w:tr>
          </w:tbl>
          <w:p w14:paraId="6E046EE5" w14:textId="77777777" w:rsidR="009B5AA5" w:rsidRPr="00FA3F9C" w:rsidRDefault="009B5AA5" w:rsidP="00A828E4">
            <w:pPr>
              <w:rPr>
                <w:rFonts w:ascii="Arial" w:hAnsi="Arial" w:cs="Arial"/>
                <w:sz w:val="24"/>
                <w:szCs w:val="24"/>
              </w:rPr>
            </w:pPr>
          </w:p>
          <w:p w14:paraId="3B1F30EA" w14:textId="77777777" w:rsidR="009B5AA5" w:rsidRPr="00FA3F9C" w:rsidRDefault="009B5AA5" w:rsidP="00A828E4">
            <w:pPr>
              <w:rPr>
                <w:rFonts w:ascii="Arial" w:hAnsi="Arial" w:cs="Arial"/>
                <w:sz w:val="24"/>
                <w:szCs w:val="24"/>
              </w:rPr>
            </w:pPr>
          </w:p>
          <w:p w14:paraId="36A4663D" w14:textId="77777777" w:rsidR="009B5AA5" w:rsidRPr="00FA3F9C" w:rsidRDefault="009B5AA5" w:rsidP="006664AF">
            <w:pPr>
              <w:rPr>
                <w:rFonts w:ascii="Arial" w:hAnsi="Arial" w:cs="Arial"/>
                <w:sz w:val="24"/>
                <w:szCs w:val="24"/>
              </w:rPr>
            </w:pPr>
            <w:r w:rsidRPr="00FA3F9C">
              <w:rPr>
                <w:rFonts w:ascii="Arial" w:hAnsi="Arial" w:cs="Arial"/>
                <w:sz w:val="24"/>
                <w:szCs w:val="24"/>
              </w:rPr>
              <w:t>Notes regarding EBRx criteria:</w:t>
            </w:r>
          </w:p>
          <w:p w14:paraId="5BF2F4D8" w14:textId="77777777" w:rsidR="009B5AA5" w:rsidRPr="00FA3F9C" w:rsidRDefault="009B5AA5" w:rsidP="009B5AA5">
            <w:pPr>
              <w:pStyle w:val="ListParagraph"/>
              <w:numPr>
                <w:ilvl w:val="0"/>
                <w:numId w:val="25"/>
              </w:numPr>
              <w:rPr>
                <w:rFonts w:ascii="Arial" w:hAnsi="Arial" w:cs="Arial"/>
                <w:sz w:val="24"/>
                <w:szCs w:val="24"/>
              </w:rPr>
            </w:pPr>
            <w:r w:rsidRPr="00FA3F9C">
              <w:rPr>
                <w:rFonts w:ascii="Arial" w:hAnsi="Arial" w:cs="Arial"/>
                <w:sz w:val="24"/>
                <w:szCs w:val="24"/>
              </w:rPr>
              <w:t xml:space="preserve">Above criteria for resistance/failure of imatinib were obtained from NCCN guidelines Early Treatment Response Milestones page CML-3 in version 1.2019 and guideline published by European </w:t>
            </w:r>
            <w:proofErr w:type="spellStart"/>
            <w:r w:rsidRPr="00FA3F9C">
              <w:rPr>
                <w:rFonts w:ascii="Arial" w:hAnsi="Arial" w:cs="Arial"/>
                <w:sz w:val="24"/>
                <w:szCs w:val="24"/>
              </w:rPr>
              <w:t>LeukemiaNet</w:t>
            </w:r>
            <w:proofErr w:type="spellEnd"/>
            <w:r w:rsidRPr="00FA3F9C">
              <w:rPr>
                <w:rFonts w:ascii="Arial" w:hAnsi="Arial" w:cs="Arial"/>
                <w:sz w:val="24"/>
                <w:szCs w:val="24"/>
              </w:rPr>
              <w:t xml:space="preserve"> (ELN).</w:t>
            </w:r>
            <w:r w:rsidRPr="00FA3F9C">
              <w:rPr>
                <w:rFonts w:ascii="Arial" w:hAnsi="Arial" w:cs="Arial"/>
                <w:sz w:val="24"/>
                <w:szCs w:val="24"/>
                <w:vertAlign w:val="superscript"/>
              </w:rPr>
              <w:t>1</w:t>
            </w:r>
            <w:r w:rsidRPr="00FA3F9C">
              <w:rPr>
                <w:rFonts w:ascii="Arial" w:hAnsi="Arial" w:cs="Arial"/>
                <w:sz w:val="24"/>
                <w:szCs w:val="24"/>
              </w:rPr>
              <w:t xml:space="preserve"> ELN proposes more restrictive resistance/failure definitions for second line therapy, however, NCCN has no specific guidelines.  Therefore, will leave resistance/failure definitions as listed above for simplicity.</w:t>
            </w:r>
          </w:p>
          <w:p w14:paraId="12A7F5A3" w14:textId="77777777" w:rsidR="009B5AA5" w:rsidRPr="00FA3F9C" w:rsidRDefault="009B5AA5" w:rsidP="009B5AA5">
            <w:pPr>
              <w:pStyle w:val="ListParagraph"/>
              <w:numPr>
                <w:ilvl w:val="0"/>
                <w:numId w:val="25"/>
              </w:numPr>
              <w:rPr>
                <w:rFonts w:ascii="Arial" w:hAnsi="Arial" w:cs="Arial"/>
                <w:sz w:val="24"/>
                <w:szCs w:val="24"/>
              </w:rPr>
            </w:pPr>
            <w:r w:rsidRPr="00FA3F9C">
              <w:rPr>
                <w:rFonts w:ascii="Arial" w:hAnsi="Arial" w:cs="Arial"/>
                <w:sz w:val="24"/>
                <w:szCs w:val="24"/>
              </w:rPr>
              <w:t>Nilotinib in the first line setting was shown to induce quicker responses as compared to imatinib. Though quicker responses have been associated with improved outcomes, no overall survival benefit has been demonstrated in the primary study.</w:t>
            </w:r>
            <w:r w:rsidRPr="00FA3F9C">
              <w:rPr>
                <w:rFonts w:ascii="Arial" w:hAnsi="Arial" w:cs="Arial"/>
                <w:sz w:val="24"/>
                <w:szCs w:val="24"/>
                <w:vertAlign w:val="superscript"/>
              </w:rPr>
              <w:t>2,3</w:t>
            </w:r>
            <w:r w:rsidRPr="00FA3F9C">
              <w:rPr>
                <w:rFonts w:ascii="Arial" w:hAnsi="Arial" w:cs="Arial"/>
                <w:sz w:val="24"/>
                <w:szCs w:val="24"/>
              </w:rPr>
              <w:t xml:space="preserve"> Imatinib will be preferred until more data is available.</w:t>
            </w:r>
          </w:p>
          <w:p w14:paraId="508728A9" w14:textId="77777777" w:rsidR="009B5AA5" w:rsidRPr="00FA3F9C" w:rsidRDefault="009B5AA5" w:rsidP="009B5AA5">
            <w:pPr>
              <w:pStyle w:val="ListParagraph"/>
              <w:numPr>
                <w:ilvl w:val="0"/>
                <w:numId w:val="25"/>
              </w:numPr>
              <w:rPr>
                <w:rFonts w:ascii="Arial" w:hAnsi="Arial" w:cs="Arial"/>
                <w:sz w:val="24"/>
                <w:szCs w:val="24"/>
              </w:rPr>
            </w:pPr>
            <w:r w:rsidRPr="00FA3F9C">
              <w:rPr>
                <w:rFonts w:ascii="Arial" w:hAnsi="Arial" w:cs="Arial"/>
                <w:sz w:val="24"/>
                <w:szCs w:val="24"/>
              </w:rPr>
              <w:t>After failure of first line therapy, there are no randomized trials showing one TKI to be superior to another.</w:t>
            </w:r>
          </w:p>
          <w:p w14:paraId="6C2FA8F1" w14:textId="77777777" w:rsidR="009B5AA5" w:rsidRPr="00FA3F9C" w:rsidRDefault="009B5AA5" w:rsidP="007A6D5E">
            <w:pPr>
              <w:pStyle w:val="ListParagraph"/>
              <w:rPr>
                <w:rFonts w:ascii="Arial" w:hAnsi="Arial" w:cs="Arial"/>
                <w:sz w:val="24"/>
                <w:szCs w:val="24"/>
              </w:rPr>
            </w:pPr>
          </w:p>
          <w:p w14:paraId="7B7125AD" w14:textId="77777777" w:rsidR="009B5AA5" w:rsidRPr="00FA3F9C" w:rsidRDefault="009B5AA5" w:rsidP="00CF0CC2">
            <w:pPr>
              <w:rPr>
                <w:rFonts w:ascii="Arial" w:hAnsi="Arial" w:cs="Arial"/>
                <w:sz w:val="24"/>
                <w:szCs w:val="24"/>
              </w:rPr>
            </w:pPr>
            <w:r w:rsidRPr="00FA3F9C">
              <w:rPr>
                <w:rFonts w:ascii="Arial" w:hAnsi="Arial" w:cs="Arial"/>
                <w:sz w:val="24"/>
                <w:szCs w:val="24"/>
              </w:rPr>
              <w:t>Adult nilotinib dosing:</w:t>
            </w:r>
          </w:p>
          <w:p w14:paraId="3EBF4F11" w14:textId="77777777" w:rsidR="009B5AA5" w:rsidRPr="00FA3F9C" w:rsidRDefault="009B5AA5" w:rsidP="00CF0CC2">
            <w:pPr>
              <w:rPr>
                <w:rFonts w:ascii="Arial" w:hAnsi="Arial" w:cs="Arial"/>
                <w:sz w:val="24"/>
                <w:szCs w:val="24"/>
              </w:rPr>
            </w:pPr>
            <w:r w:rsidRPr="00FA3F9C">
              <w:rPr>
                <w:rFonts w:ascii="Arial" w:hAnsi="Arial" w:cs="Arial"/>
                <w:sz w:val="24"/>
                <w:szCs w:val="24"/>
              </w:rPr>
              <w:t>300-400 mg BID</w:t>
            </w:r>
          </w:p>
          <w:p w14:paraId="4C490456" w14:textId="77777777" w:rsidR="009B5AA5" w:rsidRPr="00FA3F9C" w:rsidRDefault="009B5AA5" w:rsidP="00CF0CC2">
            <w:pPr>
              <w:rPr>
                <w:rFonts w:ascii="Arial" w:hAnsi="Arial" w:cs="Arial"/>
                <w:sz w:val="24"/>
                <w:szCs w:val="24"/>
              </w:rPr>
            </w:pPr>
          </w:p>
          <w:p w14:paraId="283823D2" w14:textId="77777777" w:rsidR="009B5AA5" w:rsidRPr="00FA3F9C" w:rsidRDefault="009B5AA5" w:rsidP="00CF0CC2">
            <w:pPr>
              <w:rPr>
                <w:rFonts w:ascii="Arial" w:hAnsi="Arial" w:cs="Arial"/>
                <w:sz w:val="24"/>
                <w:szCs w:val="24"/>
              </w:rPr>
            </w:pPr>
            <w:r w:rsidRPr="00FA3F9C">
              <w:rPr>
                <w:rFonts w:ascii="Arial" w:hAnsi="Arial" w:cs="Arial"/>
                <w:sz w:val="24"/>
                <w:szCs w:val="24"/>
              </w:rPr>
              <w:t xml:space="preserve">Pediatric </w:t>
            </w:r>
            <w:proofErr w:type="spellStart"/>
            <w:r w:rsidRPr="00FA3F9C">
              <w:rPr>
                <w:rFonts w:ascii="Arial" w:hAnsi="Arial" w:cs="Arial"/>
                <w:sz w:val="24"/>
                <w:szCs w:val="24"/>
              </w:rPr>
              <w:t>dasatinib</w:t>
            </w:r>
            <w:proofErr w:type="spellEnd"/>
            <w:r w:rsidRPr="00FA3F9C">
              <w:rPr>
                <w:rFonts w:ascii="Arial" w:hAnsi="Arial" w:cs="Arial"/>
                <w:sz w:val="24"/>
                <w:szCs w:val="24"/>
              </w:rPr>
              <w:t xml:space="preserve"> dosing:</w:t>
            </w:r>
          </w:p>
          <w:p w14:paraId="0CC2FB32" w14:textId="77777777" w:rsidR="009B5AA5" w:rsidRPr="00FA3F9C" w:rsidRDefault="009B5AA5" w:rsidP="00CF0CC2">
            <w:pPr>
              <w:rPr>
                <w:rFonts w:ascii="Arial" w:hAnsi="Arial" w:cs="Arial"/>
                <w:sz w:val="24"/>
                <w:szCs w:val="24"/>
              </w:rPr>
            </w:pPr>
            <w:r w:rsidRPr="00FA3F9C">
              <w:rPr>
                <w:rFonts w:ascii="Arial" w:hAnsi="Arial" w:cs="Arial"/>
                <w:sz w:val="24"/>
                <w:szCs w:val="24"/>
              </w:rPr>
              <w:lastRenderedPageBreak/>
              <w:t>230 mg/m</w:t>
            </w:r>
            <w:r w:rsidRPr="00FA3F9C">
              <w:rPr>
                <w:rFonts w:ascii="Arial" w:hAnsi="Arial" w:cs="Arial"/>
                <w:sz w:val="24"/>
                <w:szCs w:val="24"/>
                <w:vertAlign w:val="superscript"/>
              </w:rPr>
              <w:t>2</w:t>
            </w:r>
            <w:r w:rsidRPr="00FA3F9C">
              <w:rPr>
                <w:rFonts w:ascii="Arial" w:hAnsi="Arial" w:cs="Arial"/>
                <w:sz w:val="24"/>
                <w:szCs w:val="24"/>
              </w:rPr>
              <w:t xml:space="preserve"> BID rounded to nearest 50 mg (max 400 mg bid)</w:t>
            </w:r>
          </w:p>
          <w:p w14:paraId="2F2B60B7" w14:textId="77777777" w:rsidR="009B5AA5" w:rsidRPr="00FA3F9C" w:rsidRDefault="009B5AA5" w:rsidP="00CF0CC2">
            <w:pPr>
              <w:rPr>
                <w:rFonts w:ascii="Arial" w:eastAsia="Times New Roman" w:hAnsi="Arial" w:cs="Arial"/>
                <w:sz w:val="24"/>
                <w:szCs w:val="24"/>
              </w:rPr>
            </w:pPr>
          </w:p>
          <w:p w14:paraId="2E2A251F" w14:textId="77777777" w:rsidR="009B5AA5" w:rsidRPr="00FA3F9C" w:rsidRDefault="009B5AA5" w:rsidP="00CF0CC2">
            <w:pPr>
              <w:rPr>
                <w:rFonts w:ascii="Arial" w:eastAsia="Times New Roman" w:hAnsi="Arial" w:cs="Arial"/>
                <w:sz w:val="24"/>
                <w:szCs w:val="24"/>
              </w:rPr>
            </w:pPr>
            <w:r w:rsidRPr="00FA3F9C">
              <w:rPr>
                <w:rFonts w:ascii="Arial" w:eastAsia="Times New Roman" w:hAnsi="Arial" w:cs="Arial"/>
                <w:sz w:val="24"/>
                <w:szCs w:val="24"/>
              </w:rPr>
              <w:t>REFERENCE:</w:t>
            </w:r>
          </w:p>
          <w:p w14:paraId="21DEEB88" w14:textId="77777777" w:rsidR="009B5AA5" w:rsidRPr="00FA3F9C" w:rsidRDefault="009B5AA5" w:rsidP="009B5AA5">
            <w:pPr>
              <w:pStyle w:val="ListParagraph"/>
              <w:numPr>
                <w:ilvl w:val="0"/>
                <w:numId w:val="26"/>
              </w:numPr>
              <w:ind w:left="360" w:hanging="180"/>
              <w:rPr>
                <w:rFonts w:ascii="Arial" w:eastAsia="Times New Roman" w:hAnsi="Arial" w:cs="Arial"/>
                <w:sz w:val="24"/>
                <w:szCs w:val="24"/>
              </w:rPr>
            </w:pPr>
            <w:proofErr w:type="spellStart"/>
            <w:r w:rsidRPr="00FA3F9C">
              <w:rPr>
                <w:rFonts w:ascii="Arial" w:eastAsia="Times New Roman" w:hAnsi="Arial" w:cs="Arial"/>
                <w:sz w:val="24"/>
                <w:szCs w:val="24"/>
                <w:lang w:val="fr-FR"/>
              </w:rPr>
              <w:t>Baccarani</w:t>
            </w:r>
            <w:proofErr w:type="spellEnd"/>
            <w:r w:rsidRPr="00FA3F9C">
              <w:rPr>
                <w:rFonts w:ascii="Arial" w:eastAsia="Times New Roman" w:hAnsi="Arial" w:cs="Arial"/>
                <w:sz w:val="24"/>
                <w:szCs w:val="24"/>
                <w:lang w:val="fr-FR"/>
              </w:rPr>
              <w:t xml:space="preserve"> M et al. </w:t>
            </w:r>
            <w:hyperlink r:id="rId278" w:tooltip="Blood." w:history="1">
              <w:r w:rsidRPr="00FA3F9C">
                <w:rPr>
                  <w:rStyle w:val="highlight"/>
                  <w:rFonts w:ascii="Arial" w:hAnsi="Arial" w:cs="Arial"/>
                  <w:sz w:val="24"/>
                  <w:szCs w:val="24"/>
                  <w:lang w:val="fr-FR"/>
                </w:rPr>
                <w:t>Blood</w:t>
              </w:r>
              <w:r w:rsidRPr="00FA3F9C">
                <w:rPr>
                  <w:rStyle w:val="Hyperlink"/>
                  <w:rFonts w:ascii="Arial" w:hAnsi="Arial" w:cs="Arial"/>
                  <w:sz w:val="24"/>
                  <w:szCs w:val="24"/>
                  <w:lang w:val="fr-FR"/>
                </w:rPr>
                <w:t>.</w:t>
              </w:r>
            </w:hyperlink>
            <w:r w:rsidRPr="00FA3F9C">
              <w:rPr>
                <w:rFonts w:ascii="Arial" w:hAnsi="Arial" w:cs="Arial"/>
                <w:sz w:val="24"/>
                <w:szCs w:val="24"/>
                <w:lang w:val="fr-FR"/>
              </w:rPr>
              <w:t xml:space="preserve"> </w:t>
            </w:r>
            <w:r w:rsidRPr="00FA3F9C">
              <w:rPr>
                <w:rFonts w:ascii="Arial" w:hAnsi="Arial" w:cs="Arial"/>
                <w:sz w:val="24"/>
                <w:szCs w:val="24"/>
              </w:rPr>
              <w:t xml:space="preserve">2013 Aug </w:t>
            </w:r>
            <w:proofErr w:type="gramStart"/>
            <w:r w:rsidRPr="00FA3F9C">
              <w:rPr>
                <w:rFonts w:ascii="Arial" w:hAnsi="Arial" w:cs="Arial"/>
                <w:sz w:val="24"/>
                <w:szCs w:val="24"/>
              </w:rPr>
              <w:t>8;</w:t>
            </w:r>
            <w:proofErr w:type="gramEnd"/>
            <w:r w:rsidRPr="00FA3F9C">
              <w:rPr>
                <w:rStyle w:val="highlight"/>
                <w:rFonts w:ascii="Arial" w:hAnsi="Arial" w:cs="Arial"/>
                <w:sz w:val="24"/>
                <w:szCs w:val="24"/>
              </w:rPr>
              <w:t>122</w:t>
            </w:r>
            <w:r w:rsidRPr="00FA3F9C">
              <w:rPr>
                <w:rFonts w:ascii="Arial" w:hAnsi="Arial" w:cs="Arial"/>
                <w:sz w:val="24"/>
                <w:szCs w:val="24"/>
              </w:rPr>
              <w:t>(6):872-84. PMID 23803709</w:t>
            </w:r>
          </w:p>
          <w:p w14:paraId="7FFE8F01" w14:textId="77777777" w:rsidR="009B5AA5" w:rsidRPr="00FA3F9C" w:rsidRDefault="00500371" w:rsidP="009B5AA5">
            <w:pPr>
              <w:pStyle w:val="ListParagraph"/>
              <w:numPr>
                <w:ilvl w:val="0"/>
                <w:numId w:val="26"/>
              </w:numPr>
              <w:ind w:left="360" w:hanging="180"/>
              <w:rPr>
                <w:rFonts w:ascii="Arial" w:eastAsia="Times New Roman" w:hAnsi="Arial" w:cs="Arial"/>
                <w:sz w:val="24"/>
                <w:szCs w:val="24"/>
              </w:rPr>
            </w:pPr>
            <w:hyperlink r:id="rId279" w:history="1">
              <w:proofErr w:type="spellStart"/>
              <w:r w:rsidR="009B5AA5" w:rsidRPr="00FA3F9C">
                <w:rPr>
                  <w:rStyle w:val="Hyperlink"/>
                  <w:rFonts w:ascii="Arial" w:hAnsi="Arial" w:cs="Arial"/>
                  <w:sz w:val="24"/>
                  <w:szCs w:val="24"/>
                </w:rPr>
                <w:t>Hochhaus</w:t>
              </w:r>
              <w:proofErr w:type="spellEnd"/>
              <w:r w:rsidR="009B5AA5" w:rsidRPr="00FA3F9C">
                <w:rPr>
                  <w:rStyle w:val="Hyperlink"/>
                  <w:rFonts w:ascii="Arial" w:hAnsi="Arial" w:cs="Arial"/>
                  <w:sz w:val="24"/>
                  <w:szCs w:val="24"/>
                </w:rPr>
                <w:t xml:space="preserve"> A</w:t>
              </w:r>
            </w:hyperlink>
            <w:r w:rsidR="009B5AA5" w:rsidRPr="00FA3F9C">
              <w:rPr>
                <w:rFonts w:ascii="Arial" w:hAnsi="Arial" w:cs="Arial"/>
                <w:sz w:val="24"/>
                <w:szCs w:val="24"/>
              </w:rPr>
              <w:t xml:space="preserve"> et al. </w:t>
            </w:r>
            <w:hyperlink r:id="rId280" w:tooltip="Leukemia." w:history="1">
              <w:r w:rsidR="009B5AA5" w:rsidRPr="00FA3F9C">
                <w:rPr>
                  <w:rStyle w:val="Hyperlink"/>
                  <w:rFonts w:ascii="Arial" w:hAnsi="Arial" w:cs="Arial"/>
                  <w:sz w:val="24"/>
                  <w:szCs w:val="24"/>
                </w:rPr>
                <w:t>Leukemia.</w:t>
              </w:r>
            </w:hyperlink>
            <w:r w:rsidR="009B5AA5" w:rsidRPr="00FA3F9C">
              <w:rPr>
                <w:rFonts w:ascii="Arial" w:hAnsi="Arial" w:cs="Arial"/>
                <w:sz w:val="24"/>
                <w:szCs w:val="24"/>
              </w:rPr>
              <w:t xml:space="preserve"> 2016 May;30(5):1044-54. NCT00471497</w:t>
            </w:r>
          </w:p>
          <w:p w14:paraId="63C107F5" w14:textId="77777777" w:rsidR="009B5AA5" w:rsidRPr="00FA3F9C" w:rsidRDefault="00500371" w:rsidP="009B5AA5">
            <w:pPr>
              <w:pStyle w:val="ListParagraph"/>
              <w:numPr>
                <w:ilvl w:val="0"/>
                <w:numId w:val="26"/>
              </w:numPr>
              <w:ind w:left="360" w:hanging="180"/>
              <w:rPr>
                <w:rFonts w:ascii="Arial" w:eastAsia="Times New Roman" w:hAnsi="Arial" w:cs="Arial"/>
                <w:sz w:val="24"/>
                <w:szCs w:val="24"/>
              </w:rPr>
            </w:pPr>
            <w:hyperlink r:id="rId281" w:history="1">
              <w:proofErr w:type="spellStart"/>
              <w:r w:rsidR="009B5AA5" w:rsidRPr="00FA3F9C">
                <w:rPr>
                  <w:rStyle w:val="Hyperlink"/>
                  <w:rFonts w:ascii="Arial" w:hAnsi="Arial" w:cs="Arial"/>
                  <w:sz w:val="24"/>
                  <w:szCs w:val="24"/>
                  <w:lang w:val="fr-FR"/>
                </w:rPr>
                <w:t>Kantarjian</w:t>
              </w:r>
              <w:proofErr w:type="spellEnd"/>
              <w:r w:rsidR="009B5AA5" w:rsidRPr="00FA3F9C">
                <w:rPr>
                  <w:rStyle w:val="Hyperlink"/>
                  <w:rFonts w:ascii="Arial" w:hAnsi="Arial" w:cs="Arial"/>
                  <w:sz w:val="24"/>
                  <w:szCs w:val="24"/>
                  <w:lang w:val="fr-FR"/>
                </w:rPr>
                <w:t xml:space="preserve"> HM</w:t>
              </w:r>
            </w:hyperlink>
            <w:r w:rsidR="009B5AA5" w:rsidRPr="00FA3F9C">
              <w:rPr>
                <w:rFonts w:ascii="Arial" w:hAnsi="Arial" w:cs="Arial"/>
                <w:sz w:val="24"/>
                <w:szCs w:val="24"/>
                <w:lang w:val="fr-FR"/>
              </w:rPr>
              <w:t xml:space="preserve"> et al. </w:t>
            </w:r>
            <w:hyperlink r:id="rId282" w:tooltip="The Lancet. Oncology." w:history="1">
              <w:r w:rsidR="009B5AA5" w:rsidRPr="00FA3F9C">
                <w:rPr>
                  <w:rStyle w:val="Hyperlink"/>
                  <w:rFonts w:ascii="Arial" w:hAnsi="Arial" w:cs="Arial"/>
                  <w:sz w:val="24"/>
                  <w:szCs w:val="24"/>
                  <w:lang w:val="fr-FR"/>
                </w:rPr>
                <w:t xml:space="preserve">Lancet </w:t>
              </w:r>
              <w:proofErr w:type="spellStart"/>
              <w:r w:rsidR="009B5AA5" w:rsidRPr="00FA3F9C">
                <w:rPr>
                  <w:rStyle w:val="Hyperlink"/>
                  <w:rFonts w:ascii="Arial" w:hAnsi="Arial" w:cs="Arial"/>
                  <w:sz w:val="24"/>
                  <w:szCs w:val="24"/>
                  <w:lang w:val="fr-FR"/>
                </w:rPr>
                <w:t>Oncol</w:t>
              </w:r>
              <w:proofErr w:type="spellEnd"/>
              <w:r w:rsidR="009B5AA5" w:rsidRPr="00FA3F9C">
                <w:rPr>
                  <w:rStyle w:val="Hyperlink"/>
                  <w:rFonts w:ascii="Arial" w:hAnsi="Arial" w:cs="Arial"/>
                  <w:sz w:val="24"/>
                  <w:szCs w:val="24"/>
                  <w:lang w:val="fr-FR"/>
                </w:rPr>
                <w:t>.</w:t>
              </w:r>
            </w:hyperlink>
            <w:r w:rsidR="009B5AA5" w:rsidRPr="00FA3F9C">
              <w:rPr>
                <w:rFonts w:ascii="Arial" w:hAnsi="Arial" w:cs="Arial"/>
                <w:sz w:val="24"/>
                <w:szCs w:val="24"/>
                <w:lang w:val="fr-FR"/>
              </w:rPr>
              <w:t xml:space="preserve"> </w:t>
            </w:r>
            <w:r w:rsidR="009B5AA5" w:rsidRPr="00FA3F9C">
              <w:rPr>
                <w:rFonts w:ascii="Arial" w:hAnsi="Arial" w:cs="Arial"/>
                <w:sz w:val="24"/>
                <w:szCs w:val="24"/>
              </w:rPr>
              <w:t xml:space="preserve">2011 </w:t>
            </w:r>
            <w:proofErr w:type="gramStart"/>
            <w:r w:rsidR="009B5AA5" w:rsidRPr="00FA3F9C">
              <w:rPr>
                <w:rFonts w:ascii="Arial" w:hAnsi="Arial" w:cs="Arial"/>
                <w:sz w:val="24"/>
                <w:szCs w:val="24"/>
              </w:rPr>
              <w:t>Sep;</w:t>
            </w:r>
            <w:proofErr w:type="gramEnd"/>
            <w:r w:rsidR="009B5AA5" w:rsidRPr="00FA3F9C">
              <w:rPr>
                <w:rFonts w:ascii="Arial" w:hAnsi="Arial" w:cs="Arial"/>
                <w:sz w:val="24"/>
                <w:szCs w:val="24"/>
              </w:rPr>
              <w:t>12(9):841-51. NCT00471497</w:t>
            </w:r>
          </w:p>
          <w:p w14:paraId="7F5B1FBC" w14:textId="77777777" w:rsidR="009B5AA5" w:rsidRPr="00FA3F9C" w:rsidRDefault="009B5AA5" w:rsidP="00CF0CC2">
            <w:pPr>
              <w:rPr>
                <w:rFonts w:ascii="Arial" w:hAnsi="Arial" w:cs="Arial"/>
                <w:sz w:val="24"/>
                <w:szCs w:val="24"/>
              </w:rPr>
            </w:pPr>
          </w:p>
        </w:tc>
      </w:tr>
    </w:tbl>
    <w:p w14:paraId="7C6163EE" w14:textId="77777777" w:rsidR="009B5AA5" w:rsidRPr="00FA3F9C" w:rsidRDefault="009B5AA5" w:rsidP="006F623F">
      <w:pPr>
        <w:spacing w:after="0"/>
        <w:rPr>
          <w:rFonts w:ascii="Arial" w:hAnsi="Arial" w:cs="Arial"/>
          <w:sz w:val="24"/>
          <w:szCs w:val="24"/>
        </w:rPr>
      </w:pPr>
      <w:r w:rsidRPr="00FA3F9C">
        <w:rPr>
          <w:rFonts w:ascii="Arial" w:hAnsi="Arial" w:cs="Arial"/>
          <w:sz w:val="24"/>
          <w:szCs w:val="24"/>
        </w:rPr>
        <w:lastRenderedPageBreak/>
        <w:t>Quantity limits: 28-day supply max</w:t>
      </w:r>
    </w:p>
    <w:p w14:paraId="3F43911B" w14:textId="77777777" w:rsidR="009B5AA5" w:rsidRPr="00FA3F9C" w:rsidRDefault="009B5AA5" w:rsidP="006F623F">
      <w:pPr>
        <w:spacing w:after="0"/>
        <w:rPr>
          <w:rFonts w:ascii="Arial" w:hAnsi="Arial" w:cs="Arial"/>
          <w:sz w:val="24"/>
          <w:szCs w:val="24"/>
        </w:rPr>
      </w:pPr>
    </w:p>
    <w:p w14:paraId="1E22852A" w14:textId="77777777" w:rsidR="009B5AA5" w:rsidRPr="00FA3F9C" w:rsidRDefault="009B5AA5"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418"/>
        <w:gridCol w:w="7470"/>
        <w:gridCol w:w="2538"/>
      </w:tblGrid>
      <w:tr w:rsidR="009B5AA5" w:rsidRPr="00FA3F9C" w14:paraId="323763CE" w14:textId="77777777" w:rsidTr="0089194C">
        <w:tc>
          <w:tcPr>
            <w:tcW w:w="1008" w:type="dxa"/>
          </w:tcPr>
          <w:p w14:paraId="2D5B5342" w14:textId="77777777" w:rsidR="009B5AA5" w:rsidRPr="00FA3F9C" w:rsidRDefault="009B5AA5" w:rsidP="00B31B9D">
            <w:pPr>
              <w:rPr>
                <w:rFonts w:ascii="Arial" w:hAnsi="Arial" w:cs="Arial"/>
                <w:sz w:val="24"/>
                <w:szCs w:val="24"/>
              </w:rPr>
            </w:pPr>
            <w:r w:rsidRPr="00FA3F9C">
              <w:rPr>
                <w:rFonts w:ascii="Arial" w:hAnsi="Arial" w:cs="Arial"/>
                <w:sz w:val="24"/>
                <w:szCs w:val="24"/>
              </w:rPr>
              <w:t>Date</w:t>
            </w:r>
          </w:p>
        </w:tc>
        <w:tc>
          <w:tcPr>
            <w:tcW w:w="7470" w:type="dxa"/>
          </w:tcPr>
          <w:p w14:paraId="2395CAE4" w14:textId="77777777" w:rsidR="009B5AA5" w:rsidRPr="00FA3F9C" w:rsidRDefault="009B5AA5" w:rsidP="00B31B9D">
            <w:pPr>
              <w:rPr>
                <w:rFonts w:ascii="Arial" w:hAnsi="Arial" w:cs="Arial"/>
                <w:sz w:val="24"/>
                <w:szCs w:val="24"/>
              </w:rPr>
            </w:pPr>
            <w:r w:rsidRPr="00FA3F9C">
              <w:rPr>
                <w:rFonts w:ascii="Arial" w:hAnsi="Arial" w:cs="Arial"/>
                <w:sz w:val="24"/>
                <w:szCs w:val="24"/>
              </w:rPr>
              <w:t>What changed?</w:t>
            </w:r>
          </w:p>
        </w:tc>
        <w:tc>
          <w:tcPr>
            <w:tcW w:w="2538" w:type="dxa"/>
          </w:tcPr>
          <w:p w14:paraId="44956458" w14:textId="77777777" w:rsidR="009B5AA5" w:rsidRPr="00FA3F9C" w:rsidRDefault="009B5AA5" w:rsidP="00B31B9D">
            <w:pPr>
              <w:rPr>
                <w:rFonts w:ascii="Arial" w:hAnsi="Arial" w:cs="Arial"/>
                <w:sz w:val="24"/>
                <w:szCs w:val="24"/>
              </w:rPr>
            </w:pPr>
            <w:r w:rsidRPr="00FA3F9C">
              <w:rPr>
                <w:rFonts w:ascii="Arial" w:hAnsi="Arial" w:cs="Arial"/>
                <w:sz w:val="24"/>
                <w:szCs w:val="24"/>
              </w:rPr>
              <w:t>Pharmacist’s initials</w:t>
            </w:r>
          </w:p>
        </w:tc>
      </w:tr>
      <w:tr w:rsidR="009B5AA5" w:rsidRPr="00FA3F9C" w14:paraId="01E97B38" w14:textId="77777777" w:rsidTr="0089194C">
        <w:tc>
          <w:tcPr>
            <w:tcW w:w="1008" w:type="dxa"/>
          </w:tcPr>
          <w:p w14:paraId="11FC9587" w14:textId="77777777" w:rsidR="009B5AA5" w:rsidRPr="00FA3F9C" w:rsidRDefault="009B5AA5" w:rsidP="00B31B9D">
            <w:pPr>
              <w:rPr>
                <w:rFonts w:ascii="Arial" w:hAnsi="Arial" w:cs="Arial"/>
                <w:sz w:val="24"/>
                <w:szCs w:val="24"/>
              </w:rPr>
            </w:pPr>
            <w:r w:rsidRPr="00FA3F9C">
              <w:rPr>
                <w:rFonts w:ascii="Arial" w:hAnsi="Arial" w:cs="Arial"/>
                <w:sz w:val="24"/>
                <w:szCs w:val="24"/>
              </w:rPr>
              <w:t>2/19/08</w:t>
            </w:r>
          </w:p>
        </w:tc>
        <w:tc>
          <w:tcPr>
            <w:tcW w:w="7470" w:type="dxa"/>
          </w:tcPr>
          <w:p w14:paraId="22011EA8" w14:textId="77777777" w:rsidR="009B5AA5" w:rsidRPr="00FA3F9C" w:rsidRDefault="009B5AA5" w:rsidP="00B31B9D">
            <w:pPr>
              <w:rPr>
                <w:rFonts w:ascii="Arial" w:hAnsi="Arial" w:cs="Arial"/>
                <w:sz w:val="24"/>
                <w:szCs w:val="24"/>
              </w:rPr>
            </w:pPr>
            <w:r w:rsidRPr="00FA3F9C">
              <w:rPr>
                <w:rFonts w:ascii="Arial" w:hAnsi="Arial" w:cs="Arial"/>
                <w:sz w:val="24"/>
                <w:szCs w:val="24"/>
              </w:rPr>
              <w:t>Insurance Board approved coverage at T2PA</w:t>
            </w:r>
          </w:p>
        </w:tc>
        <w:tc>
          <w:tcPr>
            <w:tcW w:w="2538" w:type="dxa"/>
          </w:tcPr>
          <w:p w14:paraId="2001D8DE" w14:textId="77777777" w:rsidR="009B5AA5" w:rsidRPr="00FA3F9C" w:rsidRDefault="009B5AA5" w:rsidP="00B31B9D">
            <w:pPr>
              <w:rPr>
                <w:rFonts w:ascii="Arial" w:hAnsi="Arial" w:cs="Arial"/>
                <w:sz w:val="24"/>
                <w:szCs w:val="24"/>
              </w:rPr>
            </w:pPr>
            <w:r w:rsidRPr="00FA3F9C">
              <w:rPr>
                <w:rFonts w:ascii="Arial" w:hAnsi="Arial" w:cs="Arial"/>
                <w:sz w:val="24"/>
                <w:szCs w:val="24"/>
              </w:rPr>
              <w:t>JJ</w:t>
            </w:r>
          </w:p>
        </w:tc>
      </w:tr>
      <w:tr w:rsidR="009B5AA5" w:rsidRPr="00FA3F9C" w14:paraId="0874B3BC" w14:textId="77777777" w:rsidTr="0089194C">
        <w:tc>
          <w:tcPr>
            <w:tcW w:w="1008" w:type="dxa"/>
          </w:tcPr>
          <w:p w14:paraId="7528BA27" w14:textId="77777777" w:rsidR="009B5AA5" w:rsidRPr="00FA3F9C" w:rsidRDefault="009B5AA5" w:rsidP="00B31B9D">
            <w:pPr>
              <w:rPr>
                <w:rFonts w:ascii="Arial" w:hAnsi="Arial" w:cs="Arial"/>
                <w:sz w:val="24"/>
                <w:szCs w:val="24"/>
              </w:rPr>
            </w:pPr>
            <w:r w:rsidRPr="00FA3F9C">
              <w:rPr>
                <w:rFonts w:ascii="Arial" w:hAnsi="Arial" w:cs="Arial"/>
                <w:sz w:val="24"/>
                <w:szCs w:val="24"/>
              </w:rPr>
              <w:t>3/13/08</w:t>
            </w:r>
          </w:p>
        </w:tc>
        <w:tc>
          <w:tcPr>
            <w:tcW w:w="7470" w:type="dxa"/>
          </w:tcPr>
          <w:p w14:paraId="367A6DD2" w14:textId="77777777" w:rsidR="009B5AA5" w:rsidRPr="00FA3F9C" w:rsidRDefault="009B5AA5" w:rsidP="00B31B9D">
            <w:pPr>
              <w:rPr>
                <w:rFonts w:ascii="Arial" w:hAnsi="Arial" w:cs="Arial"/>
                <w:sz w:val="24"/>
                <w:szCs w:val="24"/>
              </w:rPr>
            </w:pPr>
            <w:r w:rsidRPr="00FA3F9C">
              <w:rPr>
                <w:rFonts w:ascii="Arial" w:hAnsi="Arial" w:cs="Arial"/>
                <w:sz w:val="24"/>
                <w:szCs w:val="24"/>
              </w:rPr>
              <w:t>Criteria were written</w:t>
            </w:r>
          </w:p>
        </w:tc>
        <w:tc>
          <w:tcPr>
            <w:tcW w:w="2538" w:type="dxa"/>
          </w:tcPr>
          <w:p w14:paraId="11D3E13E" w14:textId="77777777" w:rsidR="009B5AA5" w:rsidRPr="00FA3F9C" w:rsidRDefault="009B5AA5" w:rsidP="00B31B9D">
            <w:pPr>
              <w:rPr>
                <w:rFonts w:ascii="Arial" w:hAnsi="Arial" w:cs="Arial"/>
                <w:sz w:val="24"/>
                <w:szCs w:val="24"/>
              </w:rPr>
            </w:pPr>
            <w:r w:rsidRPr="00FA3F9C">
              <w:rPr>
                <w:rFonts w:ascii="Arial" w:hAnsi="Arial" w:cs="Arial"/>
                <w:sz w:val="24"/>
                <w:szCs w:val="24"/>
              </w:rPr>
              <w:t>JJ/SV</w:t>
            </w:r>
          </w:p>
        </w:tc>
      </w:tr>
      <w:tr w:rsidR="009B5AA5" w:rsidRPr="00FA3F9C" w14:paraId="5BEC6D4A" w14:textId="77777777" w:rsidTr="0089194C">
        <w:tc>
          <w:tcPr>
            <w:tcW w:w="1008" w:type="dxa"/>
          </w:tcPr>
          <w:p w14:paraId="001FED38" w14:textId="77777777" w:rsidR="009B5AA5" w:rsidRPr="00FA3F9C" w:rsidRDefault="009B5AA5" w:rsidP="00B31B9D">
            <w:pPr>
              <w:rPr>
                <w:rFonts w:ascii="Arial" w:hAnsi="Arial" w:cs="Arial"/>
                <w:sz w:val="24"/>
                <w:szCs w:val="24"/>
              </w:rPr>
            </w:pPr>
          </w:p>
        </w:tc>
        <w:tc>
          <w:tcPr>
            <w:tcW w:w="7470" w:type="dxa"/>
          </w:tcPr>
          <w:p w14:paraId="63DC407A" w14:textId="77777777" w:rsidR="009B5AA5" w:rsidRPr="00FA3F9C" w:rsidRDefault="009B5AA5" w:rsidP="00B31B9D">
            <w:pPr>
              <w:rPr>
                <w:rFonts w:ascii="Arial" w:hAnsi="Arial" w:cs="Arial"/>
                <w:sz w:val="24"/>
                <w:szCs w:val="24"/>
              </w:rPr>
            </w:pPr>
            <w:r w:rsidRPr="00FA3F9C">
              <w:rPr>
                <w:rFonts w:ascii="Arial" w:hAnsi="Arial" w:cs="Arial"/>
                <w:sz w:val="24"/>
                <w:szCs w:val="24"/>
              </w:rPr>
              <w:t>PA approval was changed from “good for 1 year” to “approve for 6 months”.</w:t>
            </w:r>
          </w:p>
        </w:tc>
        <w:tc>
          <w:tcPr>
            <w:tcW w:w="2538" w:type="dxa"/>
          </w:tcPr>
          <w:p w14:paraId="13A27EF0" w14:textId="77777777" w:rsidR="009B5AA5" w:rsidRPr="00FA3F9C" w:rsidRDefault="009B5AA5" w:rsidP="00B31B9D">
            <w:pPr>
              <w:rPr>
                <w:rFonts w:ascii="Arial" w:hAnsi="Arial" w:cs="Arial"/>
                <w:sz w:val="24"/>
                <w:szCs w:val="24"/>
              </w:rPr>
            </w:pPr>
            <w:r w:rsidRPr="00FA3F9C">
              <w:rPr>
                <w:rFonts w:ascii="Arial" w:hAnsi="Arial" w:cs="Arial"/>
                <w:sz w:val="24"/>
                <w:szCs w:val="24"/>
              </w:rPr>
              <w:t>JJ</w:t>
            </w:r>
          </w:p>
        </w:tc>
      </w:tr>
      <w:tr w:rsidR="009B5AA5" w:rsidRPr="00FA3F9C" w14:paraId="7DAAD3E1" w14:textId="77777777" w:rsidTr="0089194C">
        <w:tc>
          <w:tcPr>
            <w:tcW w:w="1008" w:type="dxa"/>
          </w:tcPr>
          <w:p w14:paraId="1829A141" w14:textId="77777777" w:rsidR="009B5AA5" w:rsidRPr="00FA3F9C" w:rsidRDefault="009B5AA5" w:rsidP="00B31B9D">
            <w:pPr>
              <w:rPr>
                <w:rFonts w:ascii="Arial" w:hAnsi="Arial" w:cs="Arial"/>
                <w:sz w:val="24"/>
                <w:szCs w:val="24"/>
              </w:rPr>
            </w:pPr>
            <w:r w:rsidRPr="00FA3F9C">
              <w:rPr>
                <w:rFonts w:ascii="Arial" w:hAnsi="Arial" w:cs="Arial"/>
                <w:sz w:val="24"/>
                <w:szCs w:val="24"/>
              </w:rPr>
              <w:t>5/15/12</w:t>
            </w:r>
          </w:p>
        </w:tc>
        <w:tc>
          <w:tcPr>
            <w:tcW w:w="7470" w:type="dxa"/>
          </w:tcPr>
          <w:p w14:paraId="101BE746" w14:textId="77777777" w:rsidR="009B5AA5" w:rsidRPr="00FA3F9C" w:rsidRDefault="009B5AA5" w:rsidP="00B31B9D">
            <w:pPr>
              <w:rPr>
                <w:rFonts w:ascii="Arial" w:hAnsi="Arial" w:cs="Arial"/>
                <w:sz w:val="24"/>
                <w:szCs w:val="24"/>
              </w:rPr>
            </w:pPr>
            <w:r w:rsidRPr="00FA3F9C">
              <w:rPr>
                <w:rFonts w:ascii="Arial" w:hAnsi="Arial" w:cs="Arial"/>
                <w:sz w:val="24"/>
                <w:szCs w:val="24"/>
              </w:rPr>
              <w:t xml:space="preserve">Revision </w:t>
            </w:r>
            <w:proofErr w:type="spellStart"/>
            <w:r w:rsidRPr="00FA3F9C">
              <w:rPr>
                <w:rFonts w:ascii="Arial" w:hAnsi="Arial" w:cs="Arial"/>
                <w:sz w:val="24"/>
                <w:szCs w:val="24"/>
              </w:rPr>
              <w:t>Hx</w:t>
            </w:r>
            <w:proofErr w:type="spellEnd"/>
            <w:r w:rsidRPr="00FA3F9C">
              <w:rPr>
                <w:rFonts w:ascii="Arial" w:hAnsi="Arial" w:cs="Arial"/>
                <w:sz w:val="24"/>
                <w:szCs w:val="24"/>
              </w:rPr>
              <w:t xml:space="preserve"> added; NCCN reference added.</w:t>
            </w:r>
          </w:p>
        </w:tc>
        <w:tc>
          <w:tcPr>
            <w:tcW w:w="2538" w:type="dxa"/>
          </w:tcPr>
          <w:p w14:paraId="198425CC" w14:textId="77777777" w:rsidR="009B5AA5" w:rsidRPr="00FA3F9C" w:rsidRDefault="009B5AA5" w:rsidP="00B31B9D">
            <w:pPr>
              <w:rPr>
                <w:rFonts w:ascii="Arial" w:hAnsi="Arial" w:cs="Arial"/>
                <w:sz w:val="24"/>
                <w:szCs w:val="24"/>
              </w:rPr>
            </w:pPr>
            <w:r w:rsidRPr="00FA3F9C">
              <w:rPr>
                <w:rFonts w:ascii="Arial" w:hAnsi="Arial" w:cs="Arial"/>
                <w:sz w:val="24"/>
                <w:szCs w:val="24"/>
              </w:rPr>
              <w:t>JJ</w:t>
            </w:r>
          </w:p>
        </w:tc>
      </w:tr>
      <w:tr w:rsidR="009B5AA5" w:rsidRPr="00FA3F9C" w14:paraId="23D91454" w14:textId="77777777" w:rsidTr="0089194C">
        <w:tc>
          <w:tcPr>
            <w:tcW w:w="1008" w:type="dxa"/>
          </w:tcPr>
          <w:p w14:paraId="1D8F579A" w14:textId="77777777" w:rsidR="009B5AA5" w:rsidRPr="00FA3F9C" w:rsidRDefault="009B5AA5" w:rsidP="00B31B9D">
            <w:pPr>
              <w:rPr>
                <w:rFonts w:ascii="Arial" w:hAnsi="Arial" w:cs="Arial"/>
                <w:sz w:val="24"/>
                <w:szCs w:val="24"/>
              </w:rPr>
            </w:pPr>
            <w:r w:rsidRPr="00FA3F9C">
              <w:rPr>
                <w:rFonts w:ascii="Arial" w:hAnsi="Arial" w:cs="Arial"/>
                <w:sz w:val="24"/>
                <w:szCs w:val="24"/>
              </w:rPr>
              <w:t>7/25/2012</w:t>
            </w:r>
          </w:p>
        </w:tc>
        <w:tc>
          <w:tcPr>
            <w:tcW w:w="7470" w:type="dxa"/>
          </w:tcPr>
          <w:p w14:paraId="1F2061F9" w14:textId="77777777" w:rsidR="009B5AA5" w:rsidRPr="00FA3F9C" w:rsidRDefault="009B5AA5" w:rsidP="00B31B9D">
            <w:pPr>
              <w:rPr>
                <w:rFonts w:ascii="Arial" w:hAnsi="Arial" w:cs="Arial"/>
                <w:sz w:val="24"/>
                <w:szCs w:val="24"/>
              </w:rPr>
            </w:pPr>
            <w:r w:rsidRPr="00FA3F9C">
              <w:rPr>
                <w:rFonts w:ascii="Arial" w:hAnsi="Arial" w:cs="Arial"/>
                <w:sz w:val="24"/>
                <w:szCs w:val="24"/>
              </w:rPr>
              <w:t>Changed QL to accommodate the maximum doses.</w:t>
            </w:r>
          </w:p>
        </w:tc>
        <w:tc>
          <w:tcPr>
            <w:tcW w:w="2538" w:type="dxa"/>
          </w:tcPr>
          <w:p w14:paraId="385B5BAF" w14:textId="77777777" w:rsidR="009B5AA5" w:rsidRPr="00FA3F9C" w:rsidRDefault="009B5AA5" w:rsidP="00B31B9D">
            <w:pPr>
              <w:rPr>
                <w:rFonts w:ascii="Arial" w:hAnsi="Arial" w:cs="Arial"/>
                <w:sz w:val="24"/>
                <w:szCs w:val="24"/>
              </w:rPr>
            </w:pPr>
            <w:r w:rsidRPr="00FA3F9C">
              <w:rPr>
                <w:rFonts w:ascii="Arial" w:hAnsi="Arial" w:cs="Arial"/>
                <w:sz w:val="24"/>
                <w:szCs w:val="24"/>
              </w:rPr>
              <w:t>JJ</w:t>
            </w:r>
          </w:p>
        </w:tc>
      </w:tr>
      <w:tr w:rsidR="009B5AA5" w:rsidRPr="00FA3F9C" w14:paraId="259986BB" w14:textId="77777777" w:rsidTr="0089194C">
        <w:tc>
          <w:tcPr>
            <w:tcW w:w="1008" w:type="dxa"/>
          </w:tcPr>
          <w:p w14:paraId="59EDA67E" w14:textId="77777777" w:rsidR="009B5AA5" w:rsidRPr="00FA3F9C" w:rsidRDefault="009B5AA5" w:rsidP="00B31B9D">
            <w:pPr>
              <w:rPr>
                <w:rFonts w:ascii="Arial" w:hAnsi="Arial" w:cs="Arial"/>
                <w:sz w:val="24"/>
                <w:szCs w:val="24"/>
              </w:rPr>
            </w:pPr>
            <w:r w:rsidRPr="00FA3F9C">
              <w:rPr>
                <w:rFonts w:ascii="Arial" w:hAnsi="Arial" w:cs="Arial"/>
                <w:sz w:val="24"/>
                <w:szCs w:val="24"/>
              </w:rPr>
              <w:t>8/28/2012</w:t>
            </w:r>
          </w:p>
        </w:tc>
        <w:tc>
          <w:tcPr>
            <w:tcW w:w="7470" w:type="dxa"/>
          </w:tcPr>
          <w:p w14:paraId="0D1910A9" w14:textId="77777777" w:rsidR="009B5AA5" w:rsidRPr="00FA3F9C" w:rsidRDefault="009B5AA5" w:rsidP="00B31B9D">
            <w:pPr>
              <w:rPr>
                <w:rFonts w:ascii="Arial" w:hAnsi="Arial" w:cs="Arial"/>
                <w:sz w:val="24"/>
                <w:szCs w:val="24"/>
              </w:rPr>
            </w:pPr>
            <w:r w:rsidRPr="00FA3F9C">
              <w:rPr>
                <w:rFonts w:ascii="Arial" w:hAnsi="Arial" w:cs="Arial"/>
                <w:sz w:val="24"/>
                <w:szCs w:val="24"/>
              </w:rPr>
              <w:t>Added #1, approval for newly diagnosed chronic-CML.</w:t>
            </w:r>
          </w:p>
          <w:p w14:paraId="15A0D18E" w14:textId="77777777" w:rsidR="009B5AA5" w:rsidRPr="00FA3F9C" w:rsidRDefault="009B5AA5" w:rsidP="00B31B9D">
            <w:pPr>
              <w:rPr>
                <w:rFonts w:ascii="Arial" w:hAnsi="Arial" w:cs="Arial"/>
                <w:sz w:val="24"/>
                <w:szCs w:val="24"/>
              </w:rPr>
            </w:pPr>
            <w:r w:rsidRPr="00FA3F9C">
              <w:rPr>
                <w:rFonts w:ascii="Arial" w:hAnsi="Arial" w:cs="Arial"/>
                <w:sz w:val="24"/>
                <w:szCs w:val="24"/>
              </w:rPr>
              <w:t>Deleted requirement to fail imatinib based on reference #3.</w:t>
            </w:r>
          </w:p>
        </w:tc>
        <w:tc>
          <w:tcPr>
            <w:tcW w:w="2538" w:type="dxa"/>
          </w:tcPr>
          <w:p w14:paraId="5593E3DD" w14:textId="77777777" w:rsidR="009B5AA5" w:rsidRPr="00FA3F9C" w:rsidRDefault="009B5AA5" w:rsidP="00B31B9D">
            <w:pPr>
              <w:rPr>
                <w:rFonts w:ascii="Arial" w:hAnsi="Arial" w:cs="Arial"/>
                <w:sz w:val="24"/>
                <w:szCs w:val="24"/>
              </w:rPr>
            </w:pPr>
            <w:r w:rsidRPr="00FA3F9C">
              <w:rPr>
                <w:rFonts w:ascii="Arial" w:hAnsi="Arial" w:cs="Arial"/>
                <w:sz w:val="24"/>
                <w:szCs w:val="24"/>
              </w:rPr>
              <w:t>BA/JJ/JB</w:t>
            </w:r>
          </w:p>
        </w:tc>
      </w:tr>
      <w:tr w:rsidR="009B5AA5" w:rsidRPr="00FA3F9C" w14:paraId="2A36E90F" w14:textId="77777777" w:rsidTr="00FE491B">
        <w:tc>
          <w:tcPr>
            <w:tcW w:w="1008" w:type="dxa"/>
          </w:tcPr>
          <w:p w14:paraId="0DD26790" w14:textId="77777777" w:rsidR="009B5AA5" w:rsidRPr="00FA3F9C" w:rsidRDefault="009B5AA5" w:rsidP="00586C71">
            <w:pPr>
              <w:rPr>
                <w:rFonts w:ascii="Arial" w:hAnsi="Arial" w:cs="Arial"/>
                <w:sz w:val="24"/>
                <w:szCs w:val="24"/>
              </w:rPr>
            </w:pPr>
            <w:r w:rsidRPr="00FA3F9C">
              <w:rPr>
                <w:rFonts w:ascii="Arial" w:hAnsi="Arial" w:cs="Arial"/>
                <w:sz w:val="24"/>
                <w:szCs w:val="24"/>
              </w:rPr>
              <w:t>3/4/19</w:t>
            </w:r>
          </w:p>
        </w:tc>
        <w:tc>
          <w:tcPr>
            <w:tcW w:w="7470" w:type="dxa"/>
          </w:tcPr>
          <w:p w14:paraId="5BDBB88E" w14:textId="77777777" w:rsidR="009B5AA5" w:rsidRPr="00FA3F9C" w:rsidRDefault="009B5AA5" w:rsidP="002F1905">
            <w:pPr>
              <w:rPr>
                <w:rFonts w:ascii="Arial" w:hAnsi="Arial" w:cs="Arial"/>
                <w:sz w:val="24"/>
                <w:szCs w:val="24"/>
              </w:rPr>
            </w:pPr>
            <w:r w:rsidRPr="00FA3F9C">
              <w:rPr>
                <w:rFonts w:ascii="Arial" w:hAnsi="Arial" w:cs="Arial"/>
                <w:sz w:val="24"/>
                <w:szCs w:val="24"/>
              </w:rPr>
              <w:t xml:space="preserve">Updated criteria to require imatinib and </w:t>
            </w:r>
            <w:proofErr w:type="spellStart"/>
            <w:r w:rsidRPr="00FA3F9C">
              <w:rPr>
                <w:rFonts w:ascii="Arial" w:hAnsi="Arial" w:cs="Arial"/>
                <w:sz w:val="24"/>
                <w:szCs w:val="24"/>
              </w:rPr>
              <w:t>dasatinib</w:t>
            </w:r>
            <w:proofErr w:type="spellEnd"/>
            <w:r w:rsidRPr="00FA3F9C">
              <w:rPr>
                <w:rFonts w:ascii="Arial" w:hAnsi="Arial" w:cs="Arial"/>
                <w:sz w:val="24"/>
                <w:szCs w:val="24"/>
              </w:rPr>
              <w:t xml:space="preserve"> CML per 2/2019 P&amp;T meeting.  Added general information about CML monitoring and rationale for criteria. </w:t>
            </w:r>
          </w:p>
        </w:tc>
        <w:tc>
          <w:tcPr>
            <w:tcW w:w="2538" w:type="dxa"/>
          </w:tcPr>
          <w:p w14:paraId="17441719" w14:textId="77777777" w:rsidR="009B5AA5" w:rsidRPr="00FA3F9C" w:rsidRDefault="009B5AA5" w:rsidP="00586C71">
            <w:pPr>
              <w:rPr>
                <w:rFonts w:ascii="Arial" w:hAnsi="Arial" w:cs="Arial"/>
                <w:sz w:val="24"/>
                <w:szCs w:val="24"/>
              </w:rPr>
            </w:pPr>
            <w:r w:rsidRPr="00FA3F9C">
              <w:rPr>
                <w:rFonts w:ascii="Arial" w:hAnsi="Arial" w:cs="Arial"/>
                <w:sz w:val="24"/>
                <w:szCs w:val="24"/>
              </w:rPr>
              <w:t>SK</w:t>
            </w:r>
          </w:p>
        </w:tc>
      </w:tr>
      <w:tr w:rsidR="009B5AA5" w:rsidRPr="00FA3F9C" w14:paraId="05BB69DF" w14:textId="77777777" w:rsidTr="00FE491B">
        <w:tc>
          <w:tcPr>
            <w:tcW w:w="1008" w:type="dxa"/>
          </w:tcPr>
          <w:p w14:paraId="1797A929" w14:textId="77777777" w:rsidR="009B5AA5" w:rsidRPr="00FA3F9C" w:rsidRDefault="009B5AA5" w:rsidP="00586C71">
            <w:pPr>
              <w:rPr>
                <w:rFonts w:ascii="Arial" w:hAnsi="Arial" w:cs="Arial"/>
                <w:sz w:val="24"/>
                <w:szCs w:val="24"/>
              </w:rPr>
            </w:pPr>
            <w:r w:rsidRPr="00FA3F9C">
              <w:rPr>
                <w:rFonts w:ascii="Arial" w:hAnsi="Arial" w:cs="Arial"/>
                <w:sz w:val="24"/>
                <w:szCs w:val="24"/>
              </w:rPr>
              <w:t>8/7/19</w:t>
            </w:r>
          </w:p>
        </w:tc>
        <w:tc>
          <w:tcPr>
            <w:tcW w:w="7470" w:type="dxa"/>
          </w:tcPr>
          <w:p w14:paraId="30415307" w14:textId="77777777" w:rsidR="009B5AA5" w:rsidRPr="00FA3F9C" w:rsidRDefault="009B5AA5" w:rsidP="002F1905">
            <w:pPr>
              <w:rPr>
                <w:rFonts w:ascii="Arial" w:hAnsi="Arial" w:cs="Arial"/>
                <w:sz w:val="24"/>
                <w:szCs w:val="24"/>
              </w:rPr>
            </w:pPr>
            <w:r w:rsidRPr="00FA3F9C">
              <w:rPr>
                <w:rFonts w:ascii="Arial" w:hAnsi="Arial" w:cs="Arial"/>
                <w:sz w:val="24"/>
                <w:szCs w:val="24"/>
              </w:rPr>
              <w:t>Criteria reviewed. No change.</w:t>
            </w:r>
          </w:p>
        </w:tc>
        <w:tc>
          <w:tcPr>
            <w:tcW w:w="2538" w:type="dxa"/>
          </w:tcPr>
          <w:p w14:paraId="551AF1CF" w14:textId="77777777" w:rsidR="009B5AA5" w:rsidRPr="00FA3F9C" w:rsidRDefault="009B5AA5" w:rsidP="00586C71">
            <w:pPr>
              <w:rPr>
                <w:rFonts w:ascii="Arial" w:hAnsi="Arial" w:cs="Arial"/>
                <w:sz w:val="24"/>
                <w:szCs w:val="24"/>
              </w:rPr>
            </w:pPr>
            <w:r w:rsidRPr="00FA3F9C">
              <w:rPr>
                <w:rFonts w:ascii="Arial" w:hAnsi="Arial" w:cs="Arial"/>
                <w:sz w:val="24"/>
                <w:szCs w:val="24"/>
              </w:rPr>
              <w:t>SK</w:t>
            </w:r>
          </w:p>
        </w:tc>
      </w:tr>
      <w:tr w:rsidR="009B5AA5" w:rsidRPr="00FA3F9C" w14:paraId="6CD73A27" w14:textId="77777777" w:rsidTr="00FE491B">
        <w:tc>
          <w:tcPr>
            <w:tcW w:w="1008" w:type="dxa"/>
          </w:tcPr>
          <w:p w14:paraId="01D9310F" w14:textId="77777777" w:rsidR="009B5AA5" w:rsidRPr="00FA3F9C" w:rsidRDefault="009B5AA5" w:rsidP="00586C71">
            <w:pPr>
              <w:rPr>
                <w:rFonts w:ascii="Arial" w:hAnsi="Arial" w:cs="Arial"/>
                <w:sz w:val="24"/>
                <w:szCs w:val="24"/>
              </w:rPr>
            </w:pPr>
            <w:r w:rsidRPr="00FA3F9C">
              <w:rPr>
                <w:rFonts w:ascii="Arial" w:hAnsi="Arial" w:cs="Arial"/>
                <w:sz w:val="24"/>
                <w:szCs w:val="24"/>
              </w:rPr>
              <w:t>8/20/2020</w:t>
            </w:r>
          </w:p>
        </w:tc>
        <w:tc>
          <w:tcPr>
            <w:tcW w:w="7470" w:type="dxa"/>
          </w:tcPr>
          <w:p w14:paraId="043BC3E6" w14:textId="77777777" w:rsidR="009B5AA5" w:rsidRPr="00FA3F9C" w:rsidRDefault="009B5AA5" w:rsidP="002F1905">
            <w:pPr>
              <w:rPr>
                <w:rFonts w:ascii="Arial" w:hAnsi="Arial" w:cs="Arial"/>
                <w:sz w:val="24"/>
                <w:szCs w:val="24"/>
              </w:rPr>
            </w:pPr>
            <w:r w:rsidRPr="00FA3F9C">
              <w:rPr>
                <w:rFonts w:ascii="Arial" w:hAnsi="Arial" w:cs="Arial"/>
                <w:sz w:val="24"/>
                <w:szCs w:val="24"/>
              </w:rPr>
              <w:t>Criteria reviewed. No change.</w:t>
            </w:r>
          </w:p>
        </w:tc>
        <w:tc>
          <w:tcPr>
            <w:tcW w:w="2538" w:type="dxa"/>
          </w:tcPr>
          <w:p w14:paraId="03D711EC" w14:textId="77777777" w:rsidR="009B5AA5" w:rsidRPr="00FA3F9C" w:rsidRDefault="009B5AA5" w:rsidP="00586C71">
            <w:pPr>
              <w:rPr>
                <w:rFonts w:ascii="Arial" w:hAnsi="Arial" w:cs="Arial"/>
                <w:sz w:val="24"/>
                <w:szCs w:val="24"/>
              </w:rPr>
            </w:pPr>
            <w:r w:rsidRPr="00FA3F9C">
              <w:rPr>
                <w:rFonts w:ascii="Arial" w:hAnsi="Arial" w:cs="Arial"/>
                <w:sz w:val="24"/>
                <w:szCs w:val="24"/>
              </w:rPr>
              <w:t>SK</w:t>
            </w:r>
          </w:p>
        </w:tc>
      </w:tr>
      <w:tr w:rsidR="009B5AA5" w:rsidRPr="00FA3F9C" w14:paraId="3D238110" w14:textId="77777777" w:rsidTr="00FE491B">
        <w:tc>
          <w:tcPr>
            <w:tcW w:w="1008" w:type="dxa"/>
          </w:tcPr>
          <w:p w14:paraId="17DEDA4B" w14:textId="77777777" w:rsidR="009B5AA5" w:rsidRPr="00FA3F9C" w:rsidRDefault="009B5AA5" w:rsidP="00586C71">
            <w:pPr>
              <w:rPr>
                <w:rFonts w:ascii="Arial" w:hAnsi="Arial" w:cs="Arial"/>
                <w:sz w:val="24"/>
                <w:szCs w:val="24"/>
              </w:rPr>
            </w:pPr>
            <w:r w:rsidRPr="00FA3F9C">
              <w:rPr>
                <w:rFonts w:ascii="Arial" w:hAnsi="Arial" w:cs="Arial"/>
                <w:sz w:val="24"/>
                <w:szCs w:val="24"/>
              </w:rPr>
              <w:t>4/7/21</w:t>
            </w:r>
          </w:p>
        </w:tc>
        <w:tc>
          <w:tcPr>
            <w:tcW w:w="7470" w:type="dxa"/>
          </w:tcPr>
          <w:p w14:paraId="5B692006" w14:textId="77777777" w:rsidR="009B5AA5" w:rsidRPr="00FA3F9C" w:rsidRDefault="009B5AA5" w:rsidP="002F1905">
            <w:pPr>
              <w:rPr>
                <w:rFonts w:ascii="Arial" w:hAnsi="Arial" w:cs="Arial"/>
                <w:sz w:val="24"/>
                <w:szCs w:val="24"/>
              </w:rPr>
            </w:pPr>
            <w:r w:rsidRPr="00FA3F9C">
              <w:rPr>
                <w:rFonts w:ascii="Arial" w:hAnsi="Arial" w:cs="Arial"/>
                <w:sz w:val="24"/>
                <w:szCs w:val="24"/>
              </w:rPr>
              <w:t>Applied EBRx criteria to UAS.  No current UAS users.</w:t>
            </w:r>
          </w:p>
        </w:tc>
        <w:tc>
          <w:tcPr>
            <w:tcW w:w="2538" w:type="dxa"/>
          </w:tcPr>
          <w:p w14:paraId="6AFE6988" w14:textId="77777777" w:rsidR="009B5AA5" w:rsidRPr="00FA3F9C" w:rsidRDefault="009B5AA5" w:rsidP="00586C71">
            <w:pPr>
              <w:rPr>
                <w:rFonts w:ascii="Arial" w:hAnsi="Arial" w:cs="Arial"/>
                <w:sz w:val="24"/>
                <w:szCs w:val="24"/>
              </w:rPr>
            </w:pPr>
            <w:r w:rsidRPr="00FA3F9C">
              <w:rPr>
                <w:rFonts w:ascii="Arial" w:hAnsi="Arial" w:cs="Arial"/>
                <w:sz w:val="24"/>
                <w:szCs w:val="24"/>
              </w:rPr>
              <w:t>JJ</w:t>
            </w:r>
          </w:p>
        </w:tc>
      </w:tr>
      <w:tr w:rsidR="009B5AA5" w:rsidRPr="00FA3F9C" w14:paraId="2FCC06F5" w14:textId="77777777" w:rsidTr="00FE491B">
        <w:tc>
          <w:tcPr>
            <w:tcW w:w="1008" w:type="dxa"/>
          </w:tcPr>
          <w:p w14:paraId="161B29FE" w14:textId="77777777" w:rsidR="009B5AA5" w:rsidRPr="00FA3F9C" w:rsidRDefault="009B5AA5" w:rsidP="00586C71">
            <w:pPr>
              <w:rPr>
                <w:rFonts w:ascii="Arial" w:hAnsi="Arial" w:cs="Arial"/>
                <w:sz w:val="24"/>
                <w:szCs w:val="24"/>
              </w:rPr>
            </w:pPr>
            <w:r w:rsidRPr="00FA3F9C">
              <w:rPr>
                <w:rFonts w:ascii="Arial" w:hAnsi="Arial" w:cs="Arial"/>
                <w:sz w:val="24"/>
                <w:szCs w:val="24"/>
              </w:rPr>
              <w:t>10/27/2021</w:t>
            </w:r>
          </w:p>
        </w:tc>
        <w:tc>
          <w:tcPr>
            <w:tcW w:w="7470" w:type="dxa"/>
          </w:tcPr>
          <w:p w14:paraId="2B26AD52" w14:textId="77777777" w:rsidR="009B5AA5" w:rsidRPr="00FA3F9C" w:rsidRDefault="009B5AA5" w:rsidP="002F1905">
            <w:pPr>
              <w:rPr>
                <w:rFonts w:ascii="Arial" w:hAnsi="Arial" w:cs="Arial"/>
                <w:sz w:val="24"/>
                <w:szCs w:val="24"/>
              </w:rPr>
            </w:pPr>
            <w:r w:rsidRPr="00FA3F9C">
              <w:rPr>
                <w:rFonts w:ascii="Arial" w:hAnsi="Arial" w:cs="Arial"/>
                <w:sz w:val="24"/>
                <w:szCs w:val="24"/>
              </w:rPr>
              <w:t>Criteria reviewed. No change.</w:t>
            </w:r>
          </w:p>
        </w:tc>
        <w:tc>
          <w:tcPr>
            <w:tcW w:w="2538" w:type="dxa"/>
          </w:tcPr>
          <w:p w14:paraId="05D3F789" w14:textId="77777777" w:rsidR="009B5AA5" w:rsidRPr="00FA3F9C" w:rsidRDefault="009B5AA5" w:rsidP="00586C71">
            <w:pPr>
              <w:rPr>
                <w:rFonts w:ascii="Arial" w:hAnsi="Arial" w:cs="Arial"/>
                <w:sz w:val="24"/>
                <w:szCs w:val="24"/>
              </w:rPr>
            </w:pPr>
            <w:r w:rsidRPr="00FA3F9C">
              <w:rPr>
                <w:rFonts w:ascii="Arial" w:hAnsi="Arial" w:cs="Arial"/>
                <w:sz w:val="24"/>
                <w:szCs w:val="24"/>
              </w:rPr>
              <w:t>SK</w:t>
            </w:r>
          </w:p>
        </w:tc>
      </w:tr>
      <w:tr w:rsidR="009B5AA5" w:rsidRPr="00FA3F9C" w14:paraId="4B674C7E" w14:textId="77777777" w:rsidTr="00FE491B">
        <w:tc>
          <w:tcPr>
            <w:tcW w:w="1008" w:type="dxa"/>
          </w:tcPr>
          <w:p w14:paraId="4133A3B8" w14:textId="77777777" w:rsidR="009B5AA5" w:rsidRPr="00FA3F9C" w:rsidRDefault="009B5AA5" w:rsidP="00586C71">
            <w:pPr>
              <w:rPr>
                <w:rFonts w:ascii="Arial" w:hAnsi="Arial" w:cs="Arial"/>
                <w:sz w:val="24"/>
                <w:szCs w:val="24"/>
              </w:rPr>
            </w:pPr>
            <w:r w:rsidRPr="00FA3F9C">
              <w:rPr>
                <w:rFonts w:ascii="Arial" w:hAnsi="Arial" w:cs="Arial"/>
                <w:sz w:val="24"/>
                <w:szCs w:val="24"/>
              </w:rPr>
              <w:t>12/16/2021</w:t>
            </w:r>
          </w:p>
        </w:tc>
        <w:tc>
          <w:tcPr>
            <w:tcW w:w="7470" w:type="dxa"/>
          </w:tcPr>
          <w:p w14:paraId="751CA4F4" w14:textId="77777777" w:rsidR="009B5AA5" w:rsidRPr="00FA3F9C" w:rsidRDefault="009B5AA5" w:rsidP="00ED04EF">
            <w:pPr>
              <w:rPr>
                <w:rFonts w:ascii="Arial" w:hAnsi="Arial" w:cs="Arial"/>
                <w:sz w:val="24"/>
                <w:szCs w:val="24"/>
              </w:rPr>
            </w:pPr>
            <w:r w:rsidRPr="00FA3F9C">
              <w:rPr>
                <w:rFonts w:ascii="Arial" w:hAnsi="Arial" w:cs="Arial"/>
                <w:sz w:val="24"/>
                <w:szCs w:val="24"/>
              </w:rPr>
              <w:t>Updated Table re: treatments recs based on mutation</w:t>
            </w:r>
          </w:p>
        </w:tc>
        <w:tc>
          <w:tcPr>
            <w:tcW w:w="2538" w:type="dxa"/>
          </w:tcPr>
          <w:p w14:paraId="66F1200C" w14:textId="77777777" w:rsidR="009B5AA5" w:rsidRPr="00FA3F9C" w:rsidRDefault="009B5AA5" w:rsidP="00586C71">
            <w:pPr>
              <w:rPr>
                <w:rFonts w:ascii="Arial" w:hAnsi="Arial" w:cs="Arial"/>
                <w:sz w:val="24"/>
                <w:szCs w:val="24"/>
              </w:rPr>
            </w:pPr>
            <w:r w:rsidRPr="00FA3F9C">
              <w:rPr>
                <w:rFonts w:ascii="Arial" w:hAnsi="Arial" w:cs="Arial"/>
                <w:sz w:val="24"/>
                <w:szCs w:val="24"/>
              </w:rPr>
              <w:t>SK</w:t>
            </w:r>
          </w:p>
        </w:tc>
      </w:tr>
    </w:tbl>
    <w:p w14:paraId="54EE5956" w14:textId="77777777" w:rsidR="009B5AA5" w:rsidRPr="00FA3F9C" w:rsidRDefault="009B5AA5" w:rsidP="006F623F">
      <w:pPr>
        <w:spacing w:after="0"/>
        <w:rPr>
          <w:rFonts w:ascii="Arial" w:hAnsi="Arial" w:cs="Arial"/>
          <w:sz w:val="24"/>
          <w:szCs w:val="24"/>
        </w:rPr>
      </w:pPr>
    </w:p>
    <w:p w14:paraId="44A0F709" w14:textId="77777777" w:rsidR="00953C90" w:rsidRDefault="009B5AA5" w:rsidP="00953C90">
      <w:pPr>
        <w:pStyle w:val="Heading2"/>
      </w:pPr>
      <w:bookmarkStart w:id="219" w:name="_Toc106369867"/>
      <w:r w:rsidRPr="00FA3F9C">
        <w:t>Nimodipine</w:t>
      </w:r>
      <w:bookmarkEnd w:id="219"/>
    </w:p>
    <w:p w14:paraId="29E07C56" w14:textId="47709214" w:rsidR="009B5AA5" w:rsidRPr="00FA3F9C" w:rsidRDefault="009B5AA5" w:rsidP="006F623F">
      <w:pPr>
        <w:spacing w:after="0"/>
        <w:jc w:val="center"/>
        <w:rPr>
          <w:rFonts w:ascii="Arial" w:hAnsi="Arial" w:cs="Arial"/>
          <w:sz w:val="24"/>
          <w:szCs w:val="24"/>
        </w:rPr>
      </w:pPr>
      <w:r w:rsidRPr="00FA3F9C">
        <w:rPr>
          <w:rFonts w:ascii="Arial" w:hAnsi="Arial" w:cs="Arial"/>
          <w:sz w:val="24"/>
          <w:szCs w:val="24"/>
        </w:rPr>
        <w:t xml:space="preserve"> generic oral compounded solution or suspension</w:t>
      </w:r>
    </w:p>
    <w:p w14:paraId="240EBA53" w14:textId="77777777" w:rsidR="009B5AA5" w:rsidRPr="00FA3F9C" w:rsidRDefault="009B5AA5" w:rsidP="006F623F">
      <w:pPr>
        <w:spacing w:after="0"/>
        <w:jc w:val="center"/>
        <w:rPr>
          <w:rFonts w:ascii="Arial" w:hAnsi="Arial" w:cs="Arial"/>
          <w:sz w:val="24"/>
          <w:szCs w:val="24"/>
        </w:rPr>
      </w:pPr>
      <w:r w:rsidRPr="00FA3F9C">
        <w:rPr>
          <w:rFonts w:ascii="Arial" w:hAnsi="Arial" w:cs="Arial"/>
          <w:sz w:val="24"/>
          <w:szCs w:val="24"/>
        </w:rPr>
        <w:t>EBRx PA Criteria</w:t>
      </w:r>
    </w:p>
    <w:p w14:paraId="640EB5C7" w14:textId="77777777" w:rsidR="009B5AA5" w:rsidRPr="00FA3F9C" w:rsidRDefault="009B5AA5" w:rsidP="006F623F">
      <w:pPr>
        <w:spacing w:after="0"/>
        <w:rPr>
          <w:rFonts w:ascii="Arial" w:hAnsi="Arial" w:cs="Arial"/>
          <w:b/>
          <w:sz w:val="24"/>
          <w:szCs w:val="24"/>
          <w:u w:val="single"/>
        </w:rPr>
      </w:pPr>
    </w:p>
    <w:p w14:paraId="236072E7" w14:textId="77777777" w:rsidR="009B5AA5" w:rsidRPr="00FA3F9C" w:rsidRDefault="009B5AA5" w:rsidP="006F623F">
      <w:pPr>
        <w:spacing w:after="0"/>
        <w:rPr>
          <w:rFonts w:ascii="Arial" w:hAnsi="Arial" w:cs="Arial"/>
          <w:sz w:val="24"/>
          <w:szCs w:val="24"/>
        </w:rPr>
      </w:pPr>
      <w:r w:rsidRPr="00FA3F9C">
        <w:rPr>
          <w:rFonts w:ascii="Arial" w:hAnsi="Arial" w:cs="Arial"/>
          <w:b/>
          <w:sz w:val="24"/>
          <w:szCs w:val="24"/>
          <w:u w:val="single"/>
        </w:rPr>
        <w:lastRenderedPageBreak/>
        <w:t>is FDA-approved for:</w:t>
      </w:r>
      <w:r w:rsidRPr="00FA3F9C">
        <w:rPr>
          <w:rFonts w:ascii="Arial" w:hAnsi="Arial" w:cs="Arial"/>
          <w:sz w:val="24"/>
          <w:szCs w:val="24"/>
        </w:rPr>
        <w:t xml:space="preserve">  subarachnoid hemorrhage: for the improvement of neurological outcome by reducing the incidence and severity of ischemic deficits in adult patients with SAH from ruptured intracranial berry aneurysms regardless of their </w:t>
      </w:r>
      <w:proofErr w:type="spellStart"/>
      <w:r w:rsidRPr="00FA3F9C">
        <w:rPr>
          <w:rFonts w:ascii="Arial" w:hAnsi="Arial" w:cs="Arial"/>
          <w:sz w:val="24"/>
          <w:szCs w:val="24"/>
        </w:rPr>
        <w:t>postictus</w:t>
      </w:r>
      <w:proofErr w:type="spellEnd"/>
      <w:r w:rsidRPr="00FA3F9C">
        <w:rPr>
          <w:rFonts w:ascii="Arial" w:hAnsi="Arial" w:cs="Arial"/>
          <w:sz w:val="24"/>
          <w:szCs w:val="24"/>
        </w:rPr>
        <w:t xml:space="preserve"> neurological condition.</w:t>
      </w:r>
    </w:p>
    <w:tbl>
      <w:tblPr>
        <w:tblStyle w:val="TableGrid"/>
        <w:tblW w:w="0" w:type="auto"/>
        <w:tblLook w:val="04A0" w:firstRow="1" w:lastRow="0" w:firstColumn="1" w:lastColumn="0" w:noHBand="0" w:noVBand="1"/>
      </w:tblPr>
      <w:tblGrid>
        <w:gridCol w:w="8928"/>
        <w:gridCol w:w="2088"/>
      </w:tblGrid>
      <w:tr w:rsidR="009B5AA5" w:rsidRPr="00FA3F9C" w14:paraId="654C0CE0" w14:textId="77777777" w:rsidTr="00571CAB">
        <w:tc>
          <w:tcPr>
            <w:tcW w:w="8928" w:type="dxa"/>
            <w:shd w:val="clear" w:color="auto" w:fill="000000"/>
          </w:tcPr>
          <w:p w14:paraId="4624D911" w14:textId="77777777" w:rsidR="009B5AA5" w:rsidRPr="00FA3F9C" w:rsidRDefault="009B5AA5"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88" w:type="dxa"/>
            <w:shd w:val="clear" w:color="auto" w:fill="000000"/>
          </w:tcPr>
          <w:p w14:paraId="0EA83027" w14:textId="77777777" w:rsidR="009B5AA5" w:rsidRPr="00FA3F9C" w:rsidRDefault="009B5AA5" w:rsidP="006F623F">
            <w:pPr>
              <w:jc w:val="center"/>
              <w:rPr>
                <w:rFonts w:ascii="Arial" w:hAnsi="Arial" w:cs="Arial"/>
                <w:b/>
                <w:sz w:val="24"/>
                <w:szCs w:val="24"/>
                <w:u w:val="single"/>
              </w:rPr>
            </w:pPr>
          </w:p>
        </w:tc>
      </w:tr>
      <w:tr w:rsidR="009B5AA5" w:rsidRPr="00FA3F9C" w14:paraId="03A41548" w14:textId="77777777" w:rsidTr="00F337AE">
        <w:tc>
          <w:tcPr>
            <w:tcW w:w="11016" w:type="dxa"/>
            <w:gridSpan w:val="2"/>
          </w:tcPr>
          <w:p w14:paraId="3196DCDF" w14:textId="77777777" w:rsidR="009B5AA5" w:rsidRPr="00FA3F9C" w:rsidRDefault="009B5AA5" w:rsidP="006F623F">
            <w:pPr>
              <w:rPr>
                <w:rFonts w:ascii="Arial" w:hAnsi="Arial" w:cs="Arial"/>
                <w:sz w:val="24"/>
                <w:szCs w:val="24"/>
              </w:rPr>
            </w:pPr>
            <w:r w:rsidRPr="00FA3F9C">
              <w:rPr>
                <w:rFonts w:ascii="Arial" w:hAnsi="Arial" w:cs="Arial"/>
                <w:sz w:val="24"/>
                <w:szCs w:val="24"/>
              </w:rPr>
              <w:t>1. Diagnosis of subarachnoid hemorrhage in the past 30 days.</w:t>
            </w:r>
          </w:p>
        </w:tc>
      </w:tr>
    </w:tbl>
    <w:p w14:paraId="48D11C75" w14:textId="77777777" w:rsidR="009B5AA5" w:rsidRPr="00FA3F9C" w:rsidRDefault="009B5AA5" w:rsidP="006F623F">
      <w:pPr>
        <w:spacing w:after="0"/>
        <w:rPr>
          <w:rFonts w:ascii="Arial" w:hAnsi="Arial" w:cs="Arial"/>
          <w:b/>
          <w:sz w:val="24"/>
          <w:szCs w:val="24"/>
          <w:u w:val="single"/>
        </w:rPr>
      </w:pPr>
    </w:p>
    <w:tbl>
      <w:tblPr>
        <w:tblStyle w:val="TableGrid"/>
        <w:tblW w:w="0" w:type="auto"/>
        <w:shd w:val="clear" w:color="auto" w:fill="BFBFBF" w:themeFill="background1" w:themeFillShade="BF"/>
        <w:tblLook w:val="04A0" w:firstRow="1" w:lastRow="0" w:firstColumn="1" w:lastColumn="0" w:noHBand="0" w:noVBand="1"/>
      </w:tblPr>
      <w:tblGrid>
        <w:gridCol w:w="10998"/>
      </w:tblGrid>
      <w:tr w:rsidR="009B5AA5" w:rsidRPr="00FA3F9C" w14:paraId="6C87353D" w14:textId="77777777" w:rsidTr="00D82B6E">
        <w:tc>
          <w:tcPr>
            <w:tcW w:w="10998" w:type="dxa"/>
            <w:shd w:val="clear" w:color="auto" w:fill="BFBFBF" w:themeFill="background1" w:themeFillShade="BF"/>
          </w:tcPr>
          <w:p w14:paraId="193DA247" w14:textId="77777777" w:rsidR="009B5AA5" w:rsidRPr="00FA3F9C" w:rsidRDefault="009B5AA5" w:rsidP="00D82B6E">
            <w:pPr>
              <w:rPr>
                <w:rFonts w:ascii="Arial" w:hAnsi="Arial" w:cs="Arial"/>
                <w:sz w:val="24"/>
                <w:szCs w:val="24"/>
              </w:rPr>
            </w:pPr>
            <w:r w:rsidRPr="00FA3F9C">
              <w:rPr>
                <w:rFonts w:ascii="Arial" w:hAnsi="Arial" w:cs="Arial"/>
                <w:sz w:val="24"/>
                <w:szCs w:val="24"/>
              </w:rPr>
              <w:t>Note: The dose is 20-90mg q4h for 21 days.</w:t>
            </w:r>
          </w:p>
        </w:tc>
      </w:tr>
      <w:tr w:rsidR="009B5AA5" w:rsidRPr="00FA3F9C" w14:paraId="4B691954" w14:textId="77777777" w:rsidTr="00D82B6E">
        <w:tc>
          <w:tcPr>
            <w:tcW w:w="10998" w:type="dxa"/>
            <w:shd w:val="clear" w:color="auto" w:fill="BFBFBF" w:themeFill="background1" w:themeFillShade="BF"/>
          </w:tcPr>
          <w:p w14:paraId="1A124EE3" w14:textId="77777777" w:rsidR="009B5AA5" w:rsidRPr="00FA3F9C" w:rsidRDefault="009B5AA5" w:rsidP="00D82B6E">
            <w:pPr>
              <w:rPr>
                <w:rFonts w:ascii="Arial" w:hAnsi="Arial" w:cs="Arial"/>
                <w:sz w:val="24"/>
                <w:szCs w:val="24"/>
              </w:rPr>
            </w:pPr>
            <w:r w:rsidRPr="00FA3F9C">
              <w:rPr>
                <w:rFonts w:ascii="Arial" w:hAnsi="Arial" w:cs="Arial"/>
                <w:sz w:val="24"/>
                <w:szCs w:val="24"/>
              </w:rPr>
              <w:t>If approved, the PA is good for 1 month.</w:t>
            </w:r>
          </w:p>
        </w:tc>
      </w:tr>
    </w:tbl>
    <w:p w14:paraId="19FD9491" w14:textId="77777777" w:rsidR="009B5AA5" w:rsidRPr="00FA3F9C" w:rsidRDefault="009B5AA5" w:rsidP="006F623F">
      <w:pPr>
        <w:spacing w:after="0"/>
        <w:rPr>
          <w:rFonts w:ascii="Arial" w:hAnsi="Arial" w:cs="Arial"/>
          <w:sz w:val="24"/>
          <w:szCs w:val="24"/>
        </w:rPr>
      </w:pPr>
    </w:p>
    <w:p w14:paraId="30394B7B" w14:textId="77777777" w:rsidR="009B5AA5" w:rsidRPr="00FA3F9C" w:rsidRDefault="009B5AA5" w:rsidP="006F623F">
      <w:pPr>
        <w:spacing w:after="0"/>
        <w:rPr>
          <w:rFonts w:ascii="Arial" w:hAnsi="Arial" w:cs="Arial"/>
          <w:sz w:val="24"/>
          <w:szCs w:val="24"/>
        </w:rPr>
      </w:pPr>
      <w:r w:rsidRPr="00FA3F9C">
        <w:rPr>
          <w:rFonts w:ascii="Arial" w:hAnsi="Arial" w:cs="Arial"/>
          <w:sz w:val="24"/>
          <w:szCs w:val="24"/>
        </w:rPr>
        <w:t>References:</w:t>
      </w:r>
    </w:p>
    <w:p w14:paraId="21116821" w14:textId="77777777" w:rsidR="009B5AA5" w:rsidRPr="00FA3F9C" w:rsidRDefault="009B5AA5" w:rsidP="006F623F">
      <w:pPr>
        <w:spacing w:after="0"/>
        <w:rPr>
          <w:rFonts w:ascii="Arial" w:hAnsi="Arial" w:cs="Arial"/>
          <w:sz w:val="24"/>
          <w:szCs w:val="24"/>
        </w:rPr>
      </w:pPr>
      <w:r w:rsidRPr="00FA3F9C">
        <w:rPr>
          <w:rFonts w:ascii="Arial" w:hAnsi="Arial" w:cs="Arial"/>
          <w:sz w:val="24"/>
          <w:szCs w:val="24"/>
        </w:rPr>
        <w:t>1. Lexicomp. Nimodipine. Accessed 1/14/21.</w:t>
      </w:r>
    </w:p>
    <w:p w14:paraId="33D4878A" w14:textId="77777777" w:rsidR="009B5AA5" w:rsidRPr="00FA3F9C" w:rsidRDefault="009B5AA5" w:rsidP="006F623F">
      <w:pPr>
        <w:spacing w:after="0"/>
        <w:rPr>
          <w:rFonts w:ascii="Arial" w:hAnsi="Arial" w:cs="Arial"/>
          <w:sz w:val="24"/>
          <w:szCs w:val="24"/>
        </w:rPr>
      </w:pPr>
    </w:p>
    <w:p w14:paraId="7B6092E5" w14:textId="77777777" w:rsidR="009B5AA5" w:rsidRPr="00FA3F9C" w:rsidRDefault="009B5AA5" w:rsidP="006F623F">
      <w:pPr>
        <w:spacing w:after="0"/>
        <w:rPr>
          <w:rFonts w:ascii="Arial" w:hAnsi="Arial" w:cs="Arial"/>
          <w:sz w:val="24"/>
          <w:szCs w:val="24"/>
        </w:rPr>
      </w:pPr>
    </w:p>
    <w:p w14:paraId="42F04C42" w14:textId="77777777" w:rsidR="009B5AA5" w:rsidRPr="00FA3F9C" w:rsidRDefault="009B5AA5"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017"/>
        <w:gridCol w:w="7470"/>
        <w:gridCol w:w="2538"/>
      </w:tblGrid>
      <w:tr w:rsidR="009B5AA5" w:rsidRPr="00FA3F9C" w14:paraId="5AD6EEE5" w14:textId="77777777" w:rsidTr="00FE491B">
        <w:tc>
          <w:tcPr>
            <w:tcW w:w="1008" w:type="dxa"/>
          </w:tcPr>
          <w:p w14:paraId="17AA5D91" w14:textId="77777777" w:rsidR="009B5AA5" w:rsidRPr="00FA3F9C" w:rsidRDefault="009B5AA5" w:rsidP="006F623F">
            <w:pPr>
              <w:rPr>
                <w:rFonts w:ascii="Arial" w:hAnsi="Arial" w:cs="Arial"/>
                <w:sz w:val="24"/>
                <w:szCs w:val="24"/>
              </w:rPr>
            </w:pPr>
            <w:r w:rsidRPr="00FA3F9C">
              <w:rPr>
                <w:rFonts w:ascii="Arial" w:hAnsi="Arial" w:cs="Arial"/>
                <w:sz w:val="24"/>
                <w:szCs w:val="24"/>
              </w:rPr>
              <w:t>Date</w:t>
            </w:r>
          </w:p>
        </w:tc>
        <w:tc>
          <w:tcPr>
            <w:tcW w:w="7470" w:type="dxa"/>
          </w:tcPr>
          <w:p w14:paraId="7DD43221" w14:textId="77777777" w:rsidR="009B5AA5" w:rsidRPr="00FA3F9C" w:rsidRDefault="009B5AA5" w:rsidP="006F623F">
            <w:pPr>
              <w:rPr>
                <w:rFonts w:ascii="Arial" w:hAnsi="Arial" w:cs="Arial"/>
                <w:sz w:val="24"/>
                <w:szCs w:val="24"/>
              </w:rPr>
            </w:pPr>
            <w:r w:rsidRPr="00FA3F9C">
              <w:rPr>
                <w:rFonts w:ascii="Arial" w:hAnsi="Arial" w:cs="Arial"/>
                <w:sz w:val="24"/>
                <w:szCs w:val="24"/>
              </w:rPr>
              <w:t>What changed</w:t>
            </w:r>
          </w:p>
        </w:tc>
        <w:tc>
          <w:tcPr>
            <w:tcW w:w="2538" w:type="dxa"/>
          </w:tcPr>
          <w:p w14:paraId="50940D81" w14:textId="77777777" w:rsidR="009B5AA5" w:rsidRPr="00FA3F9C" w:rsidRDefault="009B5AA5" w:rsidP="006F623F">
            <w:pPr>
              <w:rPr>
                <w:rFonts w:ascii="Arial" w:hAnsi="Arial" w:cs="Arial"/>
                <w:sz w:val="24"/>
                <w:szCs w:val="24"/>
              </w:rPr>
            </w:pPr>
            <w:r w:rsidRPr="00FA3F9C">
              <w:rPr>
                <w:rFonts w:ascii="Arial" w:hAnsi="Arial" w:cs="Arial"/>
                <w:sz w:val="24"/>
                <w:szCs w:val="24"/>
              </w:rPr>
              <w:t>Pharmacist’s initials</w:t>
            </w:r>
          </w:p>
        </w:tc>
      </w:tr>
      <w:tr w:rsidR="009B5AA5" w:rsidRPr="00FA3F9C" w14:paraId="6DD1BF13" w14:textId="77777777" w:rsidTr="00FE491B">
        <w:tc>
          <w:tcPr>
            <w:tcW w:w="1008" w:type="dxa"/>
          </w:tcPr>
          <w:p w14:paraId="0297A9A7" w14:textId="77777777" w:rsidR="009B5AA5" w:rsidRPr="00FA3F9C" w:rsidRDefault="009B5AA5" w:rsidP="006F623F">
            <w:pPr>
              <w:rPr>
                <w:rFonts w:ascii="Arial" w:hAnsi="Arial" w:cs="Arial"/>
                <w:sz w:val="24"/>
                <w:szCs w:val="24"/>
              </w:rPr>
            </w:pPr>
            <w:r w:rsidRPr="00FA3F9C">
              <w:rPr>
                <w:rFonts w:ascii="Arial" w:hAnsi="Arial" w:cs="Arial"/>
                <w:sz w:val="24"/>
                <w:szCs w:val="24"/>
              </w:rPr>
              <w:t>2/20/18</w:t>
            </w:r>
          </w:p>
        </w:tc>
        <w:tc>
          <w:tcPr>
            <w:tcW w:w="7470" w:type="dxa"/>
          </w:tcPr>
          <w:p w14:paraId="0F5412B5" w14:textId="77777777" w:rsidR="009B5AA5" w:rsidRPr="00FA3F9C" w:rsidRDefault="009B5AA5" w:rsidP="006F623F">
            <w:pPr>
              <w:rPr>
                <w:rFonts w:ascii="Arial" w:hAnsi="Arial" w:cs="Arial"/>
                <w:sz w:val="24"/>
                <w:szCs w:val="24"/>
              </w:rPr>
            </w:pPr>
            <w:r w:rsidRPr="00FA3F9C">
              <w:rPr>
                <w:rFonts w:ascii="Arial" w:hAnsi="Arial" w:cs="Arial"/>
                <w:sz w:val="24"/>
                <w:szCs w:val="24"/>
              </w:rPr>
              <w:t>I wrote the criteria.</w:t>
            </w:r>
          </w:p>
        </w:tc>
        <w:tc>
          <w:tcPr>
            <w:tcW w:w="2538" w:type="dxa"/>
          </w:tcPr>
          <w:p w14:paraId="275E7596" w14:textId="77777777" w:rsidR="009B5AA5" w:rsidRPr="00FA3F9C" w:rsidRDefault="009B5AA5" w:rsidP="006F623F">
            <w:pPr>
              <w:rPr>
                <w:rFonts w:ascii="Arial" w:hAnsi="Arial" w:cs="Arial"/>
                <w:sz w:val="24"/>
                <w:szCs w:val="24"/>
              </w:rPr>
            </w:pPr>
            <w:r w:rsidRPr="00FA3F9C">
              <w:rPr>
                <w:rFonts w:ascii="Arial" w:hAnsi="Arial" w:cs="Arial"/>
                <w:sz w:val="24"/>
                <w:szCs w:val="24"/>
              </w:rPr>
              <w:t>JJ</w:t>
            </w:r>
          </w:p>
        </w:tc>
      </w:tr>
      <w:tr w:rsidR="009B5AA5" w:rsidRPr="00FA3F9C" w14:paraId="40453964" w14:textId="77777777" w:rsidTr="00FE491B">
        <w:tc>
          <w:tcPr>
            <w:tcW w:w="1008" w:type="dxa"/>
          </w:tcPr>
          <w:p w14:paraId="229C35F6" w14:textId="77777777" w:rsidR="009B5AA5" w:rsidRPr="00FA3F9C" w:rsidRDefault="009B5AA5" w:rsidP="006F623F">
            <w:pPr>
              <w:rPr>
                <w:rFonts w:ascii="Arial" w:hAnsi="Arial" w:cs="Arial"/>
                <w:sz w:val="24"/>
                <w:szCs w:val="24"/>
              </w:rPr>
            </w:pPr>
            <w:r w:rsidRPr="00FA3F9C">
              <w:rPr>
                <w:rFonts w:ascii="Arial" w:hAnsi="Arial" w:cs="Arial"/>
                <w:sz w:val="24"/>
                <w:szCs w:val="24"/>
              </w:rPr>
              <w:t>1/14/21</w:t>
            </w:r>
          </w:p>
        </w:tc>
        <w:tc>
          <w:tcPr>
            <w:tcW w:w="7470" w:type="dxa"/>
          </w:tcPr>
          <w:p w14:paraId="5DCEF429" w14:textId="77777777" w:rsidR="009B5AA5" w:rsidRPr="00FA3F9C" w:rsidRDefault="009B5AA5" w:rsidP="006F623F">
            <w:pPr>
              <w:rPr>
                <w:rFonts w:ascii="Arial" w:hAnsi="Arial" w:cs="Arial"/>
                <w:sz w:val="24"/>
                <w:szCs w:val="24"/>
              </w:rPr>
            </w:pPr>
            <w:r w:rsidRPr="00FA3F9C">
              <w:rPr>
                <w:rFonts w:ascii="Arial" w:hAnsi="Arial" w:cs="Arial"/>
                <w:sz w:val="24"/>
                <w:szCs w:val="24"/>
              </w:rPr>
              <w:t>I reviewed the criteria. References added.</w:t>
            </w:r>
          </w:p>
        </w:tc>
        <w:tc>
          <w:tcPr>
            <w:tcW w:w="2538" w:type="dxa"/>
          </w:tcPr>
          <w:p w14:paraId="6779A1E8" w14:textId="77777777" w:rsidR="009B5AA5" w:rsidRPr="00FA3F9C" w:rsidRDefault="009B5AA5" w:rsidP="006F623F">
            <w:pPr>
              <w:rPr>
                <w:rFonts w:ascii="Arial" w:hAnsi="Arial" w:cs="Arial"/>
                <w:sz w:val="24"/>
                <w:szCs w:val="24"/>
              </w:rPr>
            </w:pPr>
            <w:r w:rsidRPr="00FA3F9C">
              <w:rPr>
                <w:rFonts w:ascii="Arial" w:hAnsi="Arial" w:cs="Arial"/>
                <w:sz w:val="24"/>
                <w:szCs w:val="24"/>
              </w:rPr>
              <w:t>JJ</w:t>
            </w:r>
          </w:p>
        </w:tc>
      </w:tr>
    </w:tbl>
    <w:p w14:paraId="3AB791B0" w14:textId="77777777" w:rsidR="009B5AA5" w:rsidRPr="00FA3F9C" w:rsidRDefault="009B5AA5" w:rsidP="006F623F">
      <w:pPr>
        <w:spacing w:after="0"/>
        <w:rPr>
          <w:rFonts w:ascii="Arial" w:hAnsi="Arial" w:cs="Arial"/>
          <w:sz w:val="24"/>
          <w:szCs w:val="24"/>
        </w:rPr>
      </w:pPr>
    </w:p>
    <w:p w14:paraId="26619467" w14:textId="77777777" w:rsidR="009B5AA5" w:rsidRPr="00FA3F9C" w:rsidRDefault="009B5AA5" w:rsidP="006F623F">
      <w:pPr>
        <w:spacing w:after="0"/>
        <w:jc w:val="center"/>
        <w:rPr>
          <w:rFonts w:ascii="Arial" w:hAnsi="Arial" w:cs="Arial"/>
          <w:sz w:val="24"/>
          <w:szCs w:val="24"/>
        </w:rPr>
      </w:pPr>
      <w:r w:rsidRPr="00FA3F9C">
        <w:rPr>
          <w:rFonts w:ascii="Arial" w:hAnsi="Arial" w:cs="Arial"/>
          <w:sz w:val="24"/>
          <w:szCs w:val="24"/>
        </w:rPr>
        <w:t>EBRx PA Criteria</w:t>
      </w:r>
    </w:p>
    <w:p w14:paraId="0886FE20" w14:textId="77777777" w:rsidR="009B5AA5" w:rsidRPr="00FA3F9C" w:rsidRDefault="009B5AA5" w:rsidP="006F623F">
      <w:pPr>
        <w:spacing w:after="0"/>
        <w:jc w:val="center"/>
        <w:rPr>
          <w:rFonts w:ascii="Arial" w:hAnsi="Arial" w:cs="Arial"/>
          <w:sz w:val="24"/>
          <w:szCs w:val="24"/>
        </w:rPr>
      </w:pPr>
      <w:bookmarkStart w:id="220" w:name="_Toc106369868"/>
      <w:proofErr w:type="spellStart"/>
      <w:r w:rsidRPr="00953C90">
        <w:rPr>
          <w:rStyle w:val="Heading2Char"/>
          <w:rFonts w:eastAsiaTheme="minorHAnsi"/>
        </w:rPr>
        <w:t>Nitisinone</w:t>
      </w:r>
      <w:proofErr w:type="spellEnd"/>
      <w:r w:rsidRPr="00953C90">
        <w:rPr>
          <w:rStyle w:val="Heading2Char"/>
          <w:rFonts w:eastAsiaTheme="minorHAnsi"/>
        </w:rPr>
        <w:t xml:space="preserve"> (</w:t>
      </w:r>
      <w:proofErr w:type="spellStart"/>
      <w:r w:rsidRPr="00953C90">
        <w:rPr>
          <w:rStyle w:val="Heading2Char"/>
          <w:rFonts w:eastAsiaTheme="minorHAnsi"/>
        </w:rPr>
        <w:t>Nityr</w:t>
      </w:r>
      <w:proofErr w:type="spellEnd"/>
      <w:r w:rsidRPr="00953C90">
        <w:rPr>
          <w:rStyle w:val="Heading2Char"/>
          <w:rFonts w:eastAsiaTheme="minorHAnsi"/>
        </w:rPr>
        <w:t>)</w:t>
      </w:r>
      <w:bookmarkEnd w:id="220"/>
      <w:r w:rsidRPr="00FA3F9C">
        <w:rPr>
          <w:rFonts w:ascii="Arial" w:hAnsi="Arial" w:cs="Arial"/>
          <w:sz w:val="24"/>
          <w:szCs w:val="24"/>
        </w:rPr>
        <w:t xml:space="preserve"> 2, 5, 10mg tablet</w:t>
      </w:r>
    </w:p>
    <w:p w14:paraId="3DCFC8C6" w14:textId="77777777" w:rsidR="009B5AA5" w:rsidRPr="00FA3F9C" w:rsidRDefault="009B5AA5" w:rsidP="006F623F">
      <w:pPr>
        <w:spacing w:after="0"/>
        <w:jc w:val="center"/>
        <w:rPr>
          <w:rFonts w:ascii="Arial" w:hAnsi="Arial" w:cs="Arial"/>
          <w:sz w:val="24"/>
          <w:szCs w:val="24"/>
        </w:rPr>
      </w:pPr>
      <w:bookmarkStart w:id="221" w:name="_Toc106369869"/>
      <w:proofErr w:type="spellStart"/>
      <w:r w:rsidRPr="00953C90">
        <w:rPr>
          <w:rStyle w:val="Heading2Char"/>
          <w:rFonts w:eastAsiaTheme="minorHAnsi"/>
        </w:rPr>
        <w:t>Orfadin</w:t>
      </w:r>
      <w:bookmarkEnd w:id="221"/>
      <w:proofErr w:type="spellEnd"/>
      <w:r w:rsidRPr="00FA3F9C">
        <w:rPr>
          <w:rFonts w:ascii="Arial" w:hAnsi="Arial" w:cs="Arial"/>
          <w:sz w:val="24"/>
          <w:szCs w:val="24"/>
        </w:rPr>
        <w:t xml:space="preserve"> 2, 5, 10, 20mg capsule</w:t>
      </w:r>
    </w:p>
    <w:p w14:paraId="675621C7" w14:textId="77777777" w:rsidR="009B5AA5" w:rsidRPr="00FA3F9C" w:rsidRDefault="009B5AA5" w:rsidP="006F623F">
      <w:pPr>
        <w:spacing w:after="0"/>
        <w:jc w:val="center"/>
        <w:rPr>
          <w:rFonts w:ascii="Arial" w:hAnsi="Arial" w:cs="Arial"/>
          <w:sz w:val="24"/>
          <w:szCs w:val="24"/>
        </w:rPr>
      </w:pPr>
      <w:r w:rsidRPr="00FA3F9C">
        <w:rPr>
          <w:rFonts w:ascii="Arial" w:hAnsi="Arial" w:cs="Arial"/>
          <w:sz w:val="24"/>
          <w:szCs w:val="24"/>
        </w:rPr>
        <w:t>Generic 2, 5, 10mg capsule</w:t>
      </w:r>
    </w:p>
    <w:p w14:paraId="6E5AC4EE" w14:textId="77777777" w:rsidR="009B5AA5" w:rsidRPr="00FA3F9C" w:rsidRDefault="009B5AA5" w:rsidP="006F623F">
      <w:pPr>
        <w:spacing w:after="0"/>
        <w:jc w:val="center"/>
        <w:rPr>
          <w:rFonts w:ascii="Arial" w:hAnsi="Arial" w:cs="Arial"/>
          <w:sz w:val="24"/>
          <w:szCs w:val="24"/>
        </w:rPr>
      </w:pPr>
      <w:proofErr w:type="spellStart"/>
      <w:r w:rsidRPr="00FA3F9C">
        <w:rPr>
          <w:rFonts w:ascii="Arial" w:hAnsi="Arial" w:cs="Arial"/>
          <w:sz w:val="24"/>
          <w:szCs w:val="24"/>
        </w:rPr>
        <w:t>Orfadin</w:t>
      </w:r>
      <w:proofErr w:type="spellEnd"/>
      <w:r w:rsidRPr="00FA3F9C">
        <w:rPr>
          <w:rFonts w:ascii="Arial" w:hAnsi="Arial" w:cs="Arial"/>
          <w:sz w:val="24"/>
          <w:szCs w:val="24"/>
        </w:rPr>
        <w:t xml:space="preserve"> 4mg/mL (90mL) suspension</w:t>
      </w:r>
    </w:p>
    <w:p w14:paraId="2B41BF0C" w14:textId="77777777" w:rsidR="009B5AA5" w:rsidRPr="00FA3F9C" w:rsidRDefault="009B5AA5" w:rsidP="00AE1288">
      <w:pPr>
        <w:spacing w:after="0"/>
        <w:jc w:val="center"/>
        <w:rPr>
          <w:rFonts w:ascii="Arial" w:hAnsi="Arial" w:cs="Arial"/>
          <w:b/>
          <w:sz w:val="24"/>
          <w:szCs w:val="24"/>
          <w:u w:val="single"/>
        </w:rPr>
      </w:pPr>
      <w:r w:rsidRPr="00FA3F9C">
        <w:rPr>
          <w:rFonts w:ascii="Arial" w:hAnsi="Arial" w:cs="Arial"/>
          <w:b/>
          <w:sz w:val="24"/>
          <w:szCs w:val="24"/>
          <w:highlight w:val="yellow"/>
          <w:u w:val="single"/>
        </w:rPr>
        <w:t>[Capsules and suspension 4mg/mL (90mL) suspension are not covered due to tablets being lower cost and the package insert has instructions for making a suspension from tablets.)</w:t>
      </w:r>
    </w:p>
    <w:p w14:paraId="144AE815" w14:textId="77777777" w:rsidR="009B5AA5" w:rsidRPr="00FA3F9C" w:rsidRDefault="009B5AA5" w:rsidP="006F623F">
      <w:pPr>
        <w:spacing w:after="0"/>
        <w:rPr>
          <w:rFonts w:ascii="Arial" w:hAnsi="Arial" w:cs="Arial"/>
          <w:b/>
          <w:sz w:val="24"/>
          <w:szCs w:val="24"/>
          <w:u w:val="single"/>
        </w:rPr>
      </w:pPr>
    </w:p>
    <w:p w14:paraId="18B6345D" w14:textId="77777777" w:rsidR="009B5AA5" w:rsidRPr="00FA3F9C" w:rsidRDefault="009B5AA5"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treatment of hereditary tyrosinemia type 1 (HT-1) as an adjunct to dietary restriction of tyrosine and phenylalanine</w:t>
      </w:r>
    </w:p>
    <w:tbl>
      <w:tblPr>
        <w:tblStyle w:val="TableGrid"/>
        <w:tblW w:w="0" w:type="auto"/>
        <w:tblLook w:val="04A0" w:firstRow="1" w:lastRow="0" w:firstColumn="1" w:lastColumn="0" w:noHBand="0" w:noVBand="1"/>
      </w:tblPr>
      <w:tblGrid>
        <w:gridCol w:w="8928"/>
        <w:gridCol w:w="2088"/>
      </w:tblGrid>
      <w:tr w:rsidR="009B5AA5" w:rsidRPr="00FA3F9C" w14:paraId="78767D3C" w14:textId="77777777" w:rsidTr="00571CAB">
        <w:tc>
          <w:tcPr>
            <w:tcW w:w="8928" w:type="dxa"/>
            <w:shd w:val="clear" w:color="auto" w:fill="000000"/>
          </w:tcPr>
          <w:p w14:paraId="2103993F" w14:textId="77777777" w:rsidR="009B5AA5" w:rsidRPr="00FA3F9C" w:rsidRDefault="009B5AA5"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88" w:type="dxa"/>
            <w:shd w:val="clear" w:color="auto" w:fill="000000"/>
          </w:tcPr>
          <w:p w14:paraId="221AC7FA" w14:textId="77777777" w:rsidR="009B5AA5" w:rsidRPr="00FA3F9C" w:rsidRDefault="009B5AA5" w:rsidP="006F623F">
            <w:pPr>
              <w:jc w:val="center"/>
              <w:rPr>
                <w:rFonts w:ascii="Arial" w:hAnsi="Arial" w:cs="Arial"/>
                <w:b/>
                <w:sz w:val="24"/>
                <w:szCs w:val="24"/>
                <w:u w:val="single"/>
              </w:rPr>
            </w:pPr>
          </w:p>
        </w:tc>
      </w:tr>
      <w:tr w:rsidR="009B5AA5" w:rsidRPr="00FA3F9C" w14:paraId="084B99F6" w14:textId="77777777" w:rsidTr="00646DA3">
        <w:tc>
          <w:tcPr>
            <w:tcW w:w="11016" w:type="dxa"/>
            <w:gridSpan w:val="2"/>
          </w:tcPr>
          <w:p w14:paraId="74AF6892" w14:textId="77777777" w:rsidR="009B5AA5" w:rsidRPr="00FA3F9C" w:rsidRDefault="009B5AA5" w:rsidP="006F623F">
            <w:pPr>
              <w:rPr>
                <w:rFonts w:ascii="Arial" w:hAnsi="Arial" w:cs="Arial"/>
                <w:sz w:val="24"/>
                <w:szCs w:val="24"/>
              </w:rPr>
            </w:pPr>
            <w:r w:rsidRPr="00FA3F9C">
              <w:rPr>
                <w:rFonts w:ascii="Arial" w:hAnsi="Arial" w:cs="Arial"/>
                <w:sz w:val="24"/>
                <w:szCs w:val="24"/>
              </w:rPr>
              <w:t xml:space="preserve">1.  Must be diagnosed with HT-1 by the presence of </w:t>
            </w:r>
            <w:proofErr w:type="spellStart"/>
            <w:r w:rsidRPr="00FA3F9C">
              <w:rPr>
                <w:rFonts w:ascii="Arial" w:hAnsi="Arial" w:cs="Arial"/>
                <w:sz w:val="24"/>
                <w:szCs w:val="24"/>
              </w:rPr>
              <w:t>succinylacetone</w:t>
            </w:r>
            <w:proofErr w:type="spellEnd"/>
          </w:p>
        </w:tc>
      </w:tr>
      <w:tr w:rsidR="009B5AA5" w:rsidRPr="00FA3F9C" w14:paraId="5057B2BA" w14:textId="77777777" w:rsidTr="00646DA3">
        <w:tc>
          <w:tcPr>
            <w:tcW w:w="11016" w:type="dxa"/>
            <w:gridSpan w:val="2"/>
          </w:tcPr>
          <w:p w14:paraId="575E1BA7" w14:textId="77777777" w:rsidR="009B5AA5" w:rsidRPr="00FA3F9C" w:rsidRDefault="009B5AA5" w:rsidP="006F623F">
            <w:pPr>
              <w:rPr>
                <w:rFonts w:ascii="Arial" w:hAnsi="Arial" w:cs="Arial"/>
                <w:sz w:val="24"/>
                <w:szCs w:val="24"/>
              </w:rPr>
            </w:pPr>
            <w:r w:rsidRPr="00FA3F9C">
              <w:rPr>
                <w:rFonts w:ascii="Arial" w:hAnsi="Arial" w:cs="Arial"/>
                <w:sz w:val="24"/>
                <w:szCs w:val="24"/>
              </w:rPr>
              <w:t>2.  Must have evidence of liver disease</w:t>
            </w:r>
          </w:p>
        </w:tc>
      </w:tr>
      <w:tr w:rsidR="009B5AA5" w:rsidRPr="00FA3F9C" w14:paraId="29121D3F" w14:textId="77777777" w:rsidTr="00646DA3">
        <w:tc>
          <w:tcPr>
            <w:tcW w:w="11016" w:type="dxa"/>
            <w:gridSpan w:val="2"/>
          </w:tcPr>
          <w:p w14:paraId="4F707A56" w14:textId="77777777" w:rsidR="009B5AA5" w:rsidRPr="00FA3F9C" w:rsidRDefault="009B5AA5" w:rsidP="009B5AA5">
            <w:pPr>
              <w:pStyle w:val="ListParagraph"/>
              <w:numPr>
                <w:ilvl w:val="0"/>
                <w:numId w:val="350"/>
              </w:numPr>
              <w:rPr>
                <w:rFonts w:ascii="Arial" w:hAnsi="Arial" w:cs="Arial"/>
                <w:sz w:val="24"/>
                <w:szCs w:val="24"/>
              </w:rPr>
            </w:pPr>
            <w:r w:rsidRPr="00FA3F9C">
              <w:rPr>
                <w:rFonts w:ascii="Arial" w:hAnsi="Arial" w:cs="Arial"/>
                <w:sz w:val="24"/>
                <w:szCs w:val="24"/>
              </w:rPr>
              <w:lastRenderedPageBreak/>
              <w:t xml:space="preserve">If criteria are satisfied, PA is good for </w:t>
            </w:r>
            <w:r w:rsidRPr="00FA3F9C">
              <w:rPr>
                <w:rFonts w:ascii="Arial" w:hAnsi="Arial" w:cs="Arial"/>
                <w:b/>
                <w:sz w:val="24"/>
                <w:szCs w:val="24"/>
              </w:rPr>
              <w:t>TABLET FORMULATION</w:t>
            </w:r>
            <w:r w:rsidRPr="00FA3F9C">
              <w:rPr>
                <w:rFonts w:ascii="Arial" w:hAnsi="Arial" w:cs="Arial"/>
                <w:sz w:val="24"/>
                <w:szCs w:val="24"/>
              </w:rPr>
              <w:t xml:space="preserve"> for 6 months; prescriber will need to provide new patient weight q6m until adult age.  At adulthood, the PA can be recorded as valid for 1 year.</w:t>
            </w:r>
          </w:p>
        </w:tc>
      </w:tr>
      <w:tr w:rsidR="009B5AA5" w:rsidRPr="00FA3F9C" w14:paraId="7DCC12B2" w14:textId="77777777" w:rsidTr="00646DA3">
        <w:tc>
          <w:tcPr>
            <w:tcW w:w="11016" w:type="dxa"/>
            <w:gridSpan w:val="2"/>
          </w:tcPr>
          <w:p w14:paraId="36F8B1DC" w14:textId="77777777" w:rsidR="009B5AA5" w:rsidRPr="00FA3F9C" w:rsidRDefault="009B5AA5" w:rsidP="009B5AA5">
            <w:pPr>
              <w:pStyle w:val="ListParagraph"/>
              <w:numPr>
                <w:ilvl w:val="0"/>
                <w:numId w:val="350"/>
              </w:numPr>
              <w:rPr>
                <w:rFonts w:ascii="Arial" w:hAnsi="Arial" w:cs="Arial"/>
                <w:b/>
                <w:sz w:val="24"/>
                <w:szCs w:val="24"/>
              </w:rPr>
            </w:pPr>
            <w:proofErr w:type="spellStart"/>
            <w:r w:rsidRPr="00FA3F9C">
              <w:rPr>
                <w:rFonts w:ascii="Arial" w:hAnsi="Arial" w:cs="Arial"/>
                <w:b/>
                <w:sz w:val="24"/>
                <w:szCs w:val="24"/>
              </w:rPr>
              <w:t>Nitisinone</w:t>
            </w:r>
            <w:proofErr w:type="spellEnd"/>
            <w:r w:rsidRPr="00FA3F9C">
              <w:rPr>
                <w:rFonts w:ascii="Arial" w:hAnsi="Arial" w:cs="Arial"/>
                <w:b/>
                <w:sz w:val="24"/>
                <w:szCs w:val="24"/>
              </w:rPr>
              <w:t xml:space="preserve"> (</w:t>
            </w:r>
            <w:proofErr w:type="spellStart"/>
            <w:r w:rsidRPr="00FA3F9C">
              <w:rPr>
                <w:rFonts w:ascii="Arial" w:hAnsi="Arial" w:cs="Arial"/>
                <w:b/>
                <w:sz w:val="24"/>
                <w:szCs w:val="24"/>
              </w:rPr>
              <w:t>Orfadin</w:t>
            </w:r>
            <w:proofErr w:type="spellEnd"/>
            <w:r w:rsidRPr="00FA3F9C">
              <w:rPr>
                <w:rFonts w:ascii="Arial" w:hAnsi="Arial" w:cs="Arial"/>
                <w:b/>
                <w:sz w:val="24"/>
                <w:szCs w:val="24"/>
              </w:rPr>
              <w:t>) capsules and suspension are excluded.</w:t>
            </w:r>
          </w:p>
        </w:tc>
      </w:tr>
    </w:tbl>
    <w:p w14:paraId="18F62556" w14:textId="77777777" w:rsidR="009B5AA5" w:rsidRPr="00FA3F9C" w:rsidRDefault="009B5AA5" w:rsidP="006F623F">
      <w:pPr>
        <w:spacing w:after="0"/>
        <w:rPr>
          <w:rFonts w:ascii="Arial" w:hAnsi="Arial" w:cs="Arial"/>
          <w:b/>
          <w:sz w:val="24"/>
          <w:szCs w:val="24"/>
          <w:u w:val="single"/>
        </w:rPr>
      </w:pPr>
    </w:p>
    <w:tbl>
      <w:tblPr>
        <w:tblStyle w:val="TableGrid"/>
        <w:tblW w:w="0" w:type="auto"/>
        <w:shd w:val="clear" w:color="auto" w:fill="BFBFBF" w:themeFill="background1" w:themeFillShade="BF"/>
        <w:tblLook w:val="04A0" w:firstRow="1" w:lastRow="0" w:firstColumn="1" w:lastColumn="0" w:noHBand="0" w:noVBand="1"/>
      </w:tblPr>
      <w:tblGrid>
        <w:gridCol w:w="10998"/>
      </w:tblGrid>
      <w:tr w:rsidR="009B5AA5" w:rsidRPr="00FA3F9C" w14:paraId="2EEF9CA3" w14:textId="77777777" w:rsidTr="00D82B6E">
        <w:tc>
          <w:tcPr>
            <w:tcW w:w="10998" w:type="dxa"/>
            <w:shd w:val="clear" w:color="auto" w:fill="BFBFBF" w:themeFill="background1" w:themeFillShade="BF"/>
          </w:tcPr>
          <w:p w14:paraId="360312A9" w14:textId="77777777" w:rsidR="009B5AA5" w:rsidRPr="00FA3F9C" w:rsidRDefault="009B5AA5" w:rsidP="00D82B6E">
            <w:pPr>
              <w:rPr>
                <w:rFonts w:ascii="Arial" w:hAnsi="Arial" w:cs="Arial"/>
                <w:sz w:val="24"/>
                <w:szCs w:val="24"/>
              </w:rPr>
            </w:pPr>
            <w:r w:rsidRPr="00FA3F9C">
              <w:rPr>
                <w:rFonts w:ascii="Arial" w:hAnsi="Arial" w:cs="Arial"/>
                <w:sz w:val="24"/>
                <w:szCs w:val="24"/>
              </w:rPr>
              <w:t xml:space="preserve">Note: </w:t>
            </w:r>
            <w:r w:rsidRPr="00FA3F9C">
              <w:rPr>
                <w:rFonts w:ascii="Arial" w:hAnsi="Arial" w:cs="Arial"/>
                <w:b/>
                <w:sz w:val="24"/>
                <w:szCs w:val="24"/>
              </w:rPr>
              <w:t xml:space="preserve">A diet low or absent phenylalanine, tyrosine, methionine, and restriction of natural protein results in decreased tyrosine levels.  However, this approach does not stop the production of </w:t>
            </w:r>
            <w:proofErr w:type="spellStart"/>
            <w:r w:rsidRPr="00FA3F9C">
              <w:rPr>
                <w:rFonts w:ascii="Arial" w:hAnsi="Arial" w:cs="Arial"/>
                <w:b/>
                <w:sz w:val="24"/>
                <w:szCs w:val="24"/>
              </w:rPr>
              <w:t>succinylacetone</w:t>
            </w:r>
            <w:proofErr w:type="spellEnd"/>
            <w:r w:rsidRPr="00FA3F9C">
              <w:rPr>
                <w:rFonts w:ascii="Arial" w:hAnsi="Arial" w:cs="Arial"/>
                <w:b/>
                <w:sz w:val="24"/>
                <w:szCs w:val="24"/>
              </w:rPr>
              <w:t xml:space="preserve">, prevent the progression of liver or renal disease, or reduce the risk of developing hepatocellular carcinoma or neurologic abnormalities.  Use of </w:t>
            </w:r>
            <w:proofErr w:type="spellStart"/>
            <w:r w:rsidRPr="00FA3F9C">
              <w:rPr>
                <w:rFonts w:ascii="Arial" w:hAnsi="Arial" w:cs="Arial"/>
                <w:b/>
                <w:sz w:val="24"/>
                <w:szCs w:val="24"/>
              </w:rPr>
              <w:t>nitisinone</w:t>
            </w:r>
            <w:proofErr w:type="spellEnd"/>
            <w:r w:rsidRPr="00FA3F9C">
              <w:rPr>
                <w:rFonts w:ascii="Arial" w:hAnsi="Arial" w:cs="Arial"/>
                <w:b/>
                <w:sz w:val="24"/>
                <w:szCs w:val="24"/>
              </w:rPr>
              <w:t xml:space="preserve"> has also NOT shown to reduce the progression of these outcomes.</w:t>
            </w:r>
          </w:p>
        </w:tc>
      </w:tr>
    </w:tbl>
    <w:p w14:paraId="3958D861" w14:textId="77777777" w:rsidR="009B5AA5" w:rsidRPr="00FA3F9C" w:rsidRDefault="009B5AA5" w:rsidP="006F623F">
      <w:pPr>
        <w:spacing w:after="0"/>
        <w:rPr>
          <w:rFonts w:ascii="Arial" w:hAnsi="Arial" w:cs="Arial"/>
          <w:sz w:val="24"/>
          <w:szCs w:val="24"/>
        </w:rPr>
      </w:pPr>
    </w:p>
    <w:p w14:paraId="2071DFCD" w14:textId="77777777" w:rsidR="009B5AA5" w:rsidRPr="00FA3F9C" w:rsidRDefault="009B5AA5" w:rsidP="006F623F">
      <w:pPr>
        <w:spacing w:after="0"/>
        <w:rPr>
          <w:rFonts w:ascii="Arial" w:hAnsi="Arial" w:cs="Arial"/>
          <w:sz w:val="24"/>
          <w:szCs w:val="24"/>
        </w:rPr>
      </w:pPr>
      <w:r w:rsidRPr="00FA3F9C">
        <w:rPr>
          <w:rFonts w:ascii="Arial" w:hAnsi="Arial" w:cs="Arial"/>
          <w:sz w:val="24"/>
          <w:szCs w:val="24"/>
        </w:rPr>
        <w:t>Quantity Limits:  2mg/kg/day is the maximum dose.</w:t>
      </w:r>
    </w:p>
    <w:p w14:paraId="4BA377CA" w14:textId="77777777" w:rsidR="009B5AA5" w:rsidRPr="00FA3F9C" w:rsidRDefault="009B5AA5" w:rsidP="006F623F">
      <w:pPr>
        <w:spacing w:after="0"/>
        <w:rPr>
          <w:rFonts w:ascii="Arial" w:hAnsi="Arial" w:cs="Arial"/>
          <w:sz w:val="24"/>
          <w:szCs w:val="24"/>
        </w:rPr>
      </w:pPr>
    </w:p>
    <w:p w14:paraId="593762B0" w14:textId="77777777" w:rsidR="009B5AA5" w:rsidRPr="00FA3F9C" w:rsidRDefault="009B5AA5"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151"/>
        <w:gridCol w:w="7873"/>
        <w:gridCol w:w="2088"/>
      </w:tblGrid>
      <w:tr w:rsidR="009B5AA5" w:rsidRPr="00FA3F9C" w14:paraId="6470F6ED" w14:textId="77777777" w:rsidTr="00DA2689">
        <w:tc>
          <w:tcPr>
            <w:tcW w:w="1055" w:type="dxa"/>
          </w:tcPr>
          <w:p w14:paraId="3CD1DFC4" w14:textId="77777777" w:rsidR="009B5AA5" w:rsidRPr="00FA3F9C" w:rsidRDefault="009B5AA5" w:rsidP="006F623F">
            <w:pPr>
              <w:rPr>
                <w:rFonts w:ascii="Arial" w:hAnsi="Arial" w:cs="Arial"/>
                <w:sz w:val="24"/>
                <w:szCs w:val="24"/>
              </w:rPr>
            </w:pPr>
            <w:r w:rsidRPr="00FA3F9C">
              <w:rPr>
                <w:rFonts w:ascii="Arial" w:hAnsi="Arial" w:cs="Arial"/>
                <w:sz w:val="24"/>
                <w:szCs w:val="24"/>
              </w:rPr>
              <w:t>Date</w:t>
            </w:r>
          </w:p>
        </w:tc>
        <w:tc>
          <w:tcPr>
            <w:tcW w:w="7873" w:type="dxa"/>
          </w:tcPr>
          <w:p w14:paraId="5A823645" w14:textId="77777777" w:rsidR="009B5AA5" w:rsidRPr="00FA3F9C" w:rsidRDefault="009B5AA5" w:rsidP="006F623F">
            <w:pPr>
              <w:rPr>
                <w:rFonts w:ascii="Arial" w:hAnsi="Arial" w:cs="Arial"/>
                <w:sz w:val="24"/>
                <w:szCs w:val="24"/>
              </w:rPr>
            </w:pPr>
            <w:r w:rsidRPr="00FA3F9C">
              <w:rPr>
                <w:rFonts w:ascii="Arial" w:hAnsi="Arial" w:cs="Arial"/>
                <w:sz w:val="24"/>
                <w:szCs w:val="24"/>
              </w:rPr>
              <w:t>What changed</w:t>
            </w:r>
          </w:p>
        </w:tc>
        <w:tc>
          <w:tcPr>
            <w:tcW w:w="2088" w:type="dxa"/>
          </w:tcPr>
          <w:p w14:paraId="5068EDA0" w14:textId="77777777" w:rsidR="009B5AA5" w:rsidRPr="00FA3F9C" w:rsidRDefault="009B5AA5" w:rsidP="006F623F">
            <w:pPr>
              <w:rPr>
                <w:rFonts w:ascii="Arial" w:hAnsi="Arial" w:cs="Arial"/>
                <w:sz w:val="24"/>
                <w:szCs w:val="24"/>
              </w:rPr>
            </w:pPr>
            <w:r w:rsidRPr="00FA3F9C">
              <w:rPr>
                <w:rFonts w:ascii="Arial" w:hAnsi="Arial" w:cs="Arial"/>
                <w:sz w:val="24"/>
                <w:szCs w:val="24"/>
              </w:rPr>
              <w:t>Pharmacist’s initials</w:t>
            </w:r>
          </w:p>
        </w:tc>
      </w:tr>
      <w:tr w:rsidR="009B5AA5" w:rsidRPr="00FA3F9C" w14:paraId="43CD0980" w14:textId="77777777" w:rsidTr="00DA2689">
        <w:tc>
          <w:tcPr>
            <w:tcW w:w="1055" w:type="dxa"/>
          </w:tcPr>
          <w:p w14:paraId="5CBDE033" w14:textId="77777777" w:rsidR="009B5AA5" w:rsidRPr="00FA3F9C" w:rsidRDefault="009B5AA5" w:rsidP="005D48D3">
            <w:pPr>
              <w:rPr>
                <w:rFonts w:ascii="Arial" w:hAnsi="Arial" w:cs="Arial"/>
                <w:sz w:val="24"/>
                <w:szCs w:val="24"/>
              </w:rPr>
            </w:pPr>
            <w:r w:rsidRPr="00FA3F9C">
              <w:rPr>
                <w:rFonts w:ascii="Arial" w:hAnsi="Arial" w:cs="Arial"/>
                <w:sz w:val="24"/>
                <w:szCs w:val="24"/>
              </w:rPr>
              <w:t>10/26/16</w:t>
            </w:r>
          </w:p>
        </w:tc>
        <w:tc>
          <w:tcPr>
            <w:tcW w:w="7873" w:type="dxa"/>
          </w:tcPr>
          <w:p w14:paraId="7B4EF943" w14:textId="77777777" w:rsidR="009B5AA5" w:rsidRPr="00FA3F9C" w:rsidRDefault="009B5AA5" w:rsidP="005D48D3">
            <w:pPr>
              <w:rPr>
                <w:rFonts w:ascii="Arial" w:hAnsi="Arial" w:cs="Arial"/>
                <w:sz w:val="24"/>
                <w:szCs w:val="24"/>
              </w:rPr>
            </w:pPr>
            <w:r w:rsidRPr="00FA3F9C">
              <w:rPr>
                <w:rFonts w:ascii="Arial" w:hAnsi="Arial" w:cs="Arial"/>
                <w:sz w:val="24"/>
                <w:szCs w:val="24"/>
              </w:rPr>
              <w:t>I wrote the criteria.</w:t>
            </w:r>
          </w:p>
        </w:tc>
        <w:tc>
          <w:tcPr>
            <w:tcW w:w="2088" w:type="dxa"/>
          </w:tcPr>
          <w:p w14:paraId="1FBD7F65" w14:textId="77777777" w:rsidR="009B5AA5" w:rsidRPr="00FA3F9C" w:rsidRDefault="009B5AA5" w:rsidP="005D48D3">
            <w:pPr>
              <w:rPr>
                <w:rFonts w:ascii="Arial" w:hAnsi="Arial" w:cs="Arial"/>
                <w:sz w:val="24"/>
                <w:szCs w:val="24"/>
              </w:rPr>
            </w:pPr>
            <w:r w:rsidRPr="00FA3F9C">
              <w:rPr>
                <w:rFonts w:ascii="Arial" w:hAnsi="Arial" w:cs="Arial"/>
                <w:sz w:val="24"/>
                <w:szCs w:val="24"/>
              </w:rPr>
              <w:t>JJ</w:t>
            </w:r>
          </w:p>
        </w:tc>
      </w:tr>
      <w:tr w:rsidR="009B5AA5" w:rsidRPr="00FA3F9C" w14:paraId="5AC36E3E" w14:textId="77777777" w:rsidTr="00DA2689">
        <w:tc>
          <w:tcPr>
            <w:tcW w:w="1055" w:type="dxa"/>
          </w:tcPr>
          <w:p w14:paraId="2BF25C1A" w14:textId="77777777" w:rsidR="009B5AA5" w:rsidRPr="00FA3F9C" w:rsidRDefault="009B5AA5" w:rsidP="005D48D3">
            <w:pPr>
              <w:rPr>
                <w:rFonts w:ascii="Arial" w:hAnsi="Arial" w:cs="Arial"/>
                <w:sz w:val="24"/>
                <w:szCs w:val="24"/>
              </w:rPr>
            </w:pPr>
            <w:r w:rsidRPr="00FA3F9C">
              <w:rPr>
                <w:rFonts w:ascii="Arial" w:hAnsi="Arial" w:cs="Arial"/>
                <w:sz w:val="24"/>
                <w:szCs w:val="24"/>
              </w:rPr>
              <w:t>12/14/16</w:t>
            </w:r>
          </w:p>
        </w:tc>
        <w:tc>
          <w:tcPr>
            <w:tcW w:w="7873" w:type="dxa"/>
          </w:tcPr>
          <w:p w14:paraId="0BC41ACE" w14:textId="77777777" w:rsidR="009B5AA5" w:rsidRPr="00FA3F9C" w:rsidRDefault="009B5AA5" w:rsidP="005D48D3">
            <w:pPr>
              <w:rPr>
                <w:rFonts w:ascii="Arial" w:hAnsi="Arial" w:cs="Arial"/>
                <w:sz w:val="24"/>
                <w:szCs w:val="24"/>
              </w:rPr>
            </w:pPr>
            <w:r w:rsidRPr="00FA3F9C">
              <w:rPr>
                <w:rFonts w:ascii="Arial" w:hAnsi="Arial" w:cs="Arial"/>
                <w:sz w:val="24"/>
                <w:szCs w:val="24"/>
              </w:rPr>
              <w:t>I added for EBD the requirement for swallowing criteria so that those age 7 and under can have access to suspension unless they are currently taking tabs or caps.</w:t>
            </w:r>
          </w:p>
        </w:tc>
        <w:tc>
          <w:tcPr>
            <w:tcW w:w="2088" w:type="dxa"/>
          </w:tcPr>
          <w:p w14:paraId="7D44FDA4" w14:textId="77777777" w:rsidR="009B5AA5" w:rsidRPr="00FA3F9C" w:rsidRDefault="009B5AA5" w:rsidP="005D48D3">
            <w:pPr>
              <w:rPr>
                <w:rFonts w:ascii="Arial" w:hAnsi="Arial" w:cs="Arial"/>
                <w:sz w:val="24"/>
                <w:szCs w:val="24"/>
              </w:rPr>
            </w:pPr>
            <w:r w:rsidRPr="00FA3F9C">
              <w:rPr>
                <w:rFonts w:ascii="Arial" w:hAnsi="Arial" w:cs="Arial"/>
                <w:sz w:val="24"/>
                <w:szCs w:val="24"/>
              </w:rPr>
              <w:t>JJ</w:t>
            </w:r>
          </w:p>
        </w:tc>
      </w:tr>
      <w:tr w:rsidR="009B5AA5" w:rsidRPr="00FA3F9C" w14:paraId="1B8AC099" w14:textId="77777777" w:rsidTr="00DA2689">
        <w:tc>
          <w:tcPr>
            <w:tcW w:w="1055" w:type="dxa"/>
          </w:tcPr>
          <w:p w14:paraId="16692F7F" w14:textId="77777777" w:rsidR="009B5AA5" w:rsidRPr="00FA3F9C" w:rsidRDefault="009B5AA5" w:rsidP="005D48D3">
            <w:pPr>
              <w:rPr>
                <w:rFonts w:ascii="Arial" w:hAnsi="Arial" w:cs="Arial"/>
                <w:sz w:val="24"/>
                <w:szCs w:val="24"/>
              </w:rPr>
            </w:pPr>
            <w:r w:rsidRPr="00FA3F9C">
              <w:rPr>
                <w:rFonts w:ascii="Arial" w:hAnsi="Arial" w:cs="Arial"/>
                <w:sz w:val="24"/>
                <w:szCs w:val="24"/>
              </w:rPr>
              <w:t>2/20/18</w:t>
            </w:r>
          </w:p>
        </w:tc>
        <w:tc>
          <w:tcPr>
            <w:tcW w:w="7873" w:type="dxa"/>
          </w:tcPr>
          <w:p w14:paraId="5C4FCEFC" w14:textId="77777777" w:rsidR="009B5AA5" w:rsidRPr="00FA3F9C" w:rsidRDefault="009B5AA5" w:rsidP="005D48D3">
            <w:pPr>
              <w:rPr>
                <w:rFonts w:ascii="Arial" w:hAnsi="Arial" w:cs="Arial"/>
                <w:sz w:val="24"/>
                <w:szCs w:val="24"/>
              </w:rPr>
            </w:pPr>
            <w:r w:rsidRPr="00FA3F9C">
              <w:rPr>
                <w:rFonts w:ascii="Arial" w:hAnsi="Arial" w:cs="Arial"/>
                <w:sz w:val="24"/>
                <w:szCs w:val="24"/>
              </w:rPr>
              <w:t>Updated coverage to tablets from capsules and suspension. Capsule and suspension formulations are now EXCLUDED after today’s IB meeting.</w:t>
            </w:r>
          </w:p>
        </w:tc>
        <w:tc>
          <w:tcPr>
            <w:tcW w:w="2088" w:type="dxa"/>
          </w:tcPr>
          <w:p w14:paraId="7CC48E0F" w14:textId="77777777" w:rsidR="009B5AA5" w:rsidRPr="00FA3F9C" w:rsidRDefault="009B5AA5" w:rsidP="005D48D3">
            <w:pPr>
              <w:rPr>
                <w:rFonts w:ascii="Arial" w:hAnsi="Arial" w:cs="Arial"/>
                <w:sz w:val="24"/>
                <w:szCs w:val="24"/>
              </w:rPr>
            </w:pPr>
            <w:r w:rsidRPr="00FA3F9C">
              <w:rPr>
                <w:rFonts w:ascii="Arial" w:hAnsi="Arial" w:cs="Arial"/>
                <w:sz w:val="24"/>
                <w:szCs w:val="24"/>
              </w:rPr>
              <w:t>JJ</w:t>
            </w:r>
          </w:p>
        </w:tc>
      </w:tr>
      <w:tr w:rsidR="009B5AA5" w:rsidRPr="00FA3F9C" w14:paraId="690F26C1" w14:textId="77777777" w:rsidTr="00DA2689">
        <w:tc>
          <w:tcPr>
            <w:tcW w:w="1055" w:type="dxa"/>
          </w:tcPr>
          <w:p w14:paraId="350B7DD5" w14:textId="77777777" w:rsidR="009B5AA5" w:rsidRPr="00FA3F9C" w:rsidRDefault="009B5AA5" w:rsidP="006F623F">
            <w:pPr>
              <w:rPr>
                <w:rFonts w:ascii="Arial" w:hAnsi="Arial" w:cs="Arial"/>
                <w:sz w:val="24"/>
                <w:szCs w:val="24"/>
              </w:rPr>
            </w:pPr>
            <w:r w:rsidRPr="00FA3F9C">
              <w:rPr>
                <w:rFonts w:ascii="Arial" w:hAnsi="Arial" w:cs="Arial"/>
                <w:sz w:val="24"/>
                <w:szCs w:val="24"/>
              </w:rPr>
              <w:t>4/1/21</w:t>
            </w:r>
          </w:p>
        </w:tc>
        <w:tc>
          <w:tcPr>
            <w:tcW w:w="7873" w:type="dxa"/>
          </w:tcPr>
          <w:p w14:paraId="14E71C76" w14:textId="77777777" w:rsidR="009B5AA5" w:rsidRPr="00FA3F9C" w:rsidRDefault="009B5AA5" w:rsidP="00AE1288">
            <w:pPr>
              <w:rPr>
                <w:rFonts w:ascii="Arial" w:hAnsi="Arial" w:cs="Arial"/>
                <w:sz w:val="24"/>
                <w:szCs w:val="24"/>
              </w:rPr>
            </w:pPr>
            <w:r w:rsidRPr="00FA3F9C">
              <w:rPr>
                <w:rFonts w:ascii="Arial" w:hAnsi="Arial" w:cs="Arial"/>
                <w:sz w:val="24"/>
                <w:szCs w:val="24"/>
              </w:rPr>
              <w:t xml:space="preserve">Applied EBRx criteria to UAS.  Rec to UAS to cover generic </w:t>
            </w:r>
            <w:proofErr w:type="spellStart"/>
            <w:r w:rsidRPr="00FA3F9C">
              <w:rPr>
                <w:rFonts w:ascii="Arial" w:hAnsi="Arial" w:cs="Arial"/>
                <w:sz w:val="24"/>
                <w:szCs w:val="24"/>
              </w:rPr>
              <w:t>nitisinone</w:t>
            </w:r>
            <w:proofErr w:type="spellEnd"/>
            <w:r w:rsidRPr="00FA3F9C">
              <w:rPr>
                <w:rFonts w:ascii="Arial" w:hAnsi="Arial" w:cs="Arial"/>
                <w:sz w:val="24"/>
                <w:szCs w:val="24"/>
              </w:rPr>
              <w:t xml:space="preserve"> capsules only.</w:t>
            </w:r>
          </w:p>
        </w:tc>
        <w:tc>
          <w:tcPr>
            <w:tcW w:w="2088" w:type="dxa"/>
          </w:tcPr>
          <w:p w14:paraId="013BAAAC" w14:textId="77777777" w:rsidR="009B5AA5" w:rsidRPr="00FA3F9C" w:rsidRDefault="009B5AA5" w:rsidP="006F623F">
            <w:pPr>
              <w:rPr>
                <w:rFonts w:ascii="Arial" w:hAnsi="Arial" w:cs="Arial"/>
                <w:sz w:val="24"/>
                <w:szCs w:val="24"/>
              </w:rPr>
            </w:pPr>
            <w:r w:rsidRPr="00FA3F9C">
              <w:rPr>
                <w:rFonts w:ascii="Arial" w:hAnsi="Arial" w:cs="Arial"/>
                <w:sz w:val="24"/>
                <w:szCs w:val="24"/>
              </w:rPr>
              <w:t>JJ</w:t>
            </w:r>
          </w:p>
        </w:tc>
      </w:tr>
    </w:tbl>
    <w:p w14:paraId="054EA2A5" w14:textId="77777777" w:rsidR="009B5AA5" w:rsidRPr="00FA3F9C" w:rsidRDefault="009B5AA5" w:rsidP="006F623F">
      <w:pPr>
        <w:spacing w:after="0"/>
        <w:rPr>
          <w:rFonts w:ascii="Arial" w:hAnsi="Arial" w:cs="Arial"/>
          <w:sz w:val="24"/>
          <w:szCs w:val="24"/>
        </w:rPr>
      </w:pPr>
    </w:p>
    <w:p w14:paraId="34C23B6E" w14:textId="77777777" w:rsidR="009B5AA5" w:rsidRPr="00FA3F9C" w:rsidRDefault="009B5AA5" w:rsidP="005D48D3">
      <w:pPr>
        <w:spacing w:after="0" w:line="240" w:lineRule="auto"/>
        <w:rPr>
          <w:rFonts w:ascii="Arial" w:eastAsia="Times New Roman" w:hAnsi="Arial" w:cs="Arial"/>
          <w:color w:val="474747"/>
          <w:sz w:val="24"/>
          <w:szCs w:val="24"/>
          <w:shd w:val="clear" w:color="auto" w:fill="FFFFFF"/>
        </w:rPr>
      </w:pPr>
      <w:r w:rsidRPr="00FA3F9C">
        <w:rPr>
          <w:rFonts w:ascii="Arial" w:eastAsia="Times New Roman" w:hAnsi="Arial" w:cs="Arial"/>
          <w:color w:val="474747"/>
          <w:sz w:val="24"/>
          <w:szCs w:val="24"/>
          <w:shd w:val="clear" w:color="auto" w:fill="FFFFFF"/>
        </w:rPr>
        <w:t xml:space="preserve">Per </w:t>
      </w:r>
      <w:proofErr w:type="spellStart"/>
      <w:r w:rsidRPr="00FA3F9C">
        <w:rPr>
          <w:rFonts w:ascii="Arial" w:eastAsia="Times New Roman" w:hAnsi="Arial" w:cs="Arial"/>
          <w:color w:val="474747"/>
          <w:sz w:val="24"/>
          <w:szCs w:val="24"/>
          <w:shd w:val="clear" w:color="auto" w:fill="FFFFFF"/>
        </w:rPr>
        <w:t>LexiComp</w:t>
      </w:r>
      <w:proofErr w:type="spellEnd"/>
      <w:r w:rsidRPr="00FA3F9C">
        <w:rPr>
          <w:rFonts w:ascii="Arial" w:eastAsia="Times New Roman" w:hAnsi="Arial" w:cs="Arial"/>
          <w:color w:val="474747"/>
          <w:sz w:val="24"/>
          <w:szCs w:val="24"/>
          <w:shd w:val="clear" w:color="auto" w:fill="FFFFFF"/>
        </w:rPr>
        <w:t>:</w:t>
      </w:r>
    </w:p>
    <w:p w14:paraId="1A6EBA3D" w14:textId="77777777" w:rsidR="009B5AA5" w:rsidRPr="00FA3F9C" w:rsidRDefault="009B5AA5" w:rsidP="005D48D3">
      <w:pPr>
        <w:spacing w:after="0" w:line="240" w:lineRule="auto"/>
        <w:rPr>
          <w:rFonts w:ascii="Arial" w:eastAsia="Times New Roman" w:hAnsi="Arial" w:cs="Arial"/>
          <w:sz w:val="24"/>
          <w:szCs w:val="24"/>
        </w:rPr>
      </w:pPr>
      <w:r w:rsidRPr="00FA3F9C">
        <w:rPr>
          <w:rFonts w:ascii="Arial" w:eastAsia="Times New Roman" w:hAnsi="Arial" w:cs="Arial"/>
          <w:color w:val="474747"/>
          <w:sz w:val="24"/>
          <w:szCs w:val="24"/>
          <w:shd w:val="clear" w:color="auto" w:fill="FFFFFF"/>
        </w:rPr>
        <w:t xml:space="preserve">Capsules: Administer at least 1 hour prior to, or 2 hours after a meal. Capsules may be </w:t>
      </w:r>
      <w:proofErr w:type="gramStart"/>
      <w:r w:rsidRPr="00FA3F9C">
        <w:rPr>
          <w:rFonts w:ascii="Arial" w:eastAsia="Times New Roman" w:hAnsi="Arial" w:cs="Arial"/>
          <w:color w:val="474747"/>
          <w:sz w:val="24"/>
          <w:szCs w:val="24"/>
          <w:shd w:val="clear" w:color="auto" w:fill="FFFFFF"/>
        </w:rPr>
        <w:t>opened</w:t>
      </w:r>
      <w:proofErr w:type="gramEnd"/>
      <w:r w:rsidRPr="00FA3F9C">
        <w:rPr>
          <w:rFonts w:ascii="Arial" w:eastAsia="Times New Roman" w:hAnsi="Arial" w:cs="Arial"/>
          <w:color w:val="474747"/>
          <w:sz w:val="24"/>
          <w:szCs w:val="24"/>
          <w:shd w:val="clear" w:color="auto" w:fill="FFFFFF"/>
        </w:rPr>
        <w:t xml:space="preserve"> and contents suspended in a small quantity of water, formula, or apple sauce; administer immediately.</w:t>
      </w:r>
    </w:p>
    <w:p w14:paraId="24EB7062" w14:textId="77777777" w:rsidR="009B5AA5" w:rsidRPr="00FA3F9C" w:rsidRDefault="009B5AA5" w:rsidP="006F623F">
      <w:pPr>
        <w:spacing w:after="0"/>
        <w:rPr>
          <w:rFonts w:ascii="Arial" w:hAnsi="Arial" w:cs="Arial"/>
          <w:sz w:val="24"/>
          <w:szCs w:val="24"/>
        </w:rPr>
      </w:pPr>
    </w:p>
    <w:tbl>
      <w:tblPr>
        <w:tblStyle w:val="TableGrid"/>
        <w:tblW w:w="0" w:type="auto"/>
        <w:tblLook w:val="04A0" w:firstRow="1" w:lastRow="0" w:firstColumn="1" w:lastColumn="0" w:noHBand="0" w:noVBand="1"/>
      </w:tblPr>
      <w:tblGrid>
        <w:gridCol w:w="2088"/>
        <w:gridCol w:w="2340"/>
        <w:gridCol w:w="1710"/>
        <w:gridCol w:w="3330"/>
        <w:gridCol w:w="1530"/>
      </w:tblGrid>
      <w:tr w:rsidR="009B5AA5" w:rsidRPr="00FA3F9C" w14:paraId="1AEBA745" w14:textId="77777777" w:rsidTr="005D48D3">
        <w:tc>
          <w:tcPr>
            <w:tcW w:w="2088" w:type="dxa"/>
          </w:tcPr>
          <w:p w14:paraId="7743183F" w14:textId="77777777" w:rsidR="009B5AA5" w:rsidRPr="00FA3F9C" w:rsidRDefault="009B5AA5" w:rsidP="006F623F">
            <w:pPr>
              <w:rPr>
                <w:rFonts w:ascii="Arial" w:hAnsi="Arial" w:cs="Arial"/>
                <w:sz w:val="24"/>
                <w:szCs w:val="24"/>
              </w:rPr>
            </w:pPr>
            <w:r w:rsidRPr="00FA3F9C">
              <w:rPr>
                <w:rFonts w:ascii="Arial" w:hAnsi="Arial" w:cs="Arial"/>
                <w:sz w:val="24"/>
                <w:szCs w:val="24"/>
              </w:rPr>
              <w:t>AWP cost 4/1/21</w:t>
            </w:r>
          </w:p>
        </w:tc>
        <w:tc>
          <w:tcPr>
            <w:tcW w:w="2340" w:type="dxa"/>
          </w:tcPr>
          <w:p w14:paraId="64060F03" w14:textId="77777777" w:rsidR="009B5AA5" w:rsidRPr="00FA3F9C" w:rsidRDefault="009B5AA5" w:rsidP="006F623F">
            <w:pPr>
              <w:rPr>
                <w:rFonts w:ascii="Arial" w:hAnsi="Arial" w:cs="Arial"/>
                <w:sz w:val="24"/>
                <w:szCs w:val="24"/>
              </w:rPr>
            </w:pPr>
            <w:proofErr w:type="spellStart"/>
            <w:r w:rsidRPr="00FA3F9C">
              <w:rPr>
                <w:rFonts w:ascii="Arial" w:hAnsi="Arial" w:cs="Arial"/>
                <w:sz w:val="24"/>
                <w:szCs w:val="24"/>
              </w:rPr>
              <w:t>Nitisinone</w:t>
            </w:r>
            <w:proofErr w:type="spellEnd"/>
            <w:r w:rsidRPr="00FA3F9C">
              <w:rPr>
                <w:rFonts w:ascii="Arial" w:hAnsi="Arial" w:cs="Arial"/>
                <w:sz w:val="24"/>
                <w:szCs w:val="24"/>
              </w:rPr>
              <w:t xml:space="preserve"> capsules</w:t>
            </w:r>
          </w:p>
        </w:tc>
        <w:tc>
          <w:tcPr>
            <w:tcW w:w="1710" w:type="dxa"/>
          </w:tcPr>
          <w:p w14:paraId="577AD61B" w14:textId="77777777" w:rsidR="009B5AA5" w:rsidRPr="00FA3F9C" w:rsidRDefault="009B5AA5" w:rsidP="006F623F">
            <w:pPr>
              <w:rPr>
                <w:rFonts w:ascii="Arial" w:hAnsi="Arial" w:cs="Arial"/>
                <w:sz w:val="24"/>
                <w:szCs w:val="24"/>
              </w:rPr>
            </w:pPr>
            <w:proofErr w:type="spellStart"/>
            <w:r w:rsidRPr="00FA3F9C">
              <w:rPr>
                <w:rFonts w:ascii="Arial" w:hAnsi="Arial" w:cs="Arial"/>
                <w:sz w:val="24"/>
                <w:szCs w:val="24"/>
              </w:rPr>
              <w:t>Orfadin</w:t>
            </w:r>
            <w:proofErr w:type="spellEnd"/>
            <w:r w:rsidRPr="00FA3F9C">
              <w:rPr>
                <w:rFonts w:ascii="Arial" w:hAnsi="Arial" w:cs="Arial"/>
                <w:sz w:val="24"/>
                <w:szCs w:val="24"/>
              </w:rPr>
              <w:t xml:space="preserve"> capsules</w:t>
            </w:r>
          </w:p>
        </w:tc>
        <w:tc>
          <w:tcPr>
            <w:tcW w:w="3330" w:type="dxa"/>
          </w:tcPr>
          <w:p w14:paraId="1E74B8DB" w14:textId="77777777" w:rsidR="009B5AA5" w:rsidRPr="00FA3F9C" w:rsidRDefault="009B5AA5" w:rsidP="006F623F">
            <w:pPr>
              <w:rPr>
                <w:rFonts w:ascii="Arial" w:hAnsi="Arial" w:cs="Arial"/>
                <w:sz w:val="24"/>
                <w:szCs w:val="24"/>
              </w:rPr>
            </w:pPr>
            <w:proofErr w:type="spellStart"/>
            <w:r w:rsidRPr="00FA3F9C">
              <w:rPr>
                <w:rFonts w:ascii="Arial" w:hAnsi="Arial" w:cs="Arial"/>
                <w:sz w:val="24"/>
                <w:szCs w:val="24"/>
              </w:rPr>
              <w:t>Orfadin</w:t>
            </w:r>
            <w:proofErr w:type="spellEnd"/>
            <w:r w:rsidRPr="00FA3F9C">
              <w:rPr>
                <w:rFonts w:ascii="Arial" w:hAnsi="Arial" w:cs="Arial"/>
                <w:sz w:val="24"/>
                <w:szCs w:val="24"/>
              </w:rPr>
              <w:t xml:space="preserve"> susp 4mg/mL $237.59/mL</w:t>
            </w:r>
          </w:p>
        </w:tc>
        <w:tc>
          <w:tcPr>
            <w:tcW w:w="1530" w:type="dxa"/>
          </w:tcPr>
          <w:p w14:paraId="7EE46460" w14:textId="77777777" w:rsidR="009B5AA5" w:rsidRPr="00FA3F9C" w:rsidRDefault="009B5AA5" w:rsidP="006F623F">
            <w:pPr>
              <w:rPr>
                <w:rFonts w:ascii="Arial" w:hAnsi="Arial" w:cs="Arial"/>
                <w:sz w:val="24"/>
                <w:szCs w:val="24"/>
              </w:rPr>
            </w:pPr>
            <w:proofErr w:type="spellStart"/>
            <w:r w:rsidRPr="00FA3F9C">
              <w:rPr>
                <w:rFonts w:ascii="Arial" w:hAnsi="Arial" w:cs="Arial"/>
                <w:sz w:val="24"/>
                <w:szCs w:val="24"/>
              </w:rPr>
              <w:t>Nityr</w:t>
            </w:r>
            <w:proofErr w:type="spellEnd"/>
            <w:r w:rsidRPr="00FA3F9C">
              <w:rPr>
                <w:rFonts w:ascii="Arial" w:hAnsi="Arial" w:cs="Arial"/>
                <w:sz w:val="24"/>
                <w:szCs w:val="24"/>
              </w:rPr>
              <w:t xml:space="preserve"> tablets</w:t>
            </w:r>
          </w:p>
        </w:tc>
      </w:tr>
      <w:tr w:rsidR="009B5AA5" w:rsidRPr="00FA3F9C" w14:paraId="6CE1C89B" w14:textId="77777777" w:rsidTr="005D48D3">
        <w:tc>
          <w:tcPr>
            <w:tcW w:w="2088" w:type="dxa"/>
          </w:tcPr>
          <w:p w14:paraId="5D7CC739" w14:textId="77777777" w:rsidR="009B5AA5" w:rsidRPr="00FA3F9C" w:rsidRDefault="009B5AA5" w:rsidP="006F623F">
            <w:pPr>
              <w:rPr>
                <w:rFonts w:ascii="Arial" w:hAnsi="Arial" w:cs="Arial"/>
                <w:sz w:val="24"/>
                <w:szCs w:val="24"/>
              </w:rPr>
            </w:pPr>
            <w:r w:rsidRPr="00FA3F9C">
              <w:rPr>
                <w:rFonts w:ascii="Arial" w:hAnsi="Arial" w:cs="Arial"/>
                <w:sz w:val="24"/>
                <w:szCs w:val="24"/>
              </w:rPr>
              <w:lastRenderedPageBreak/>
              <w:t>2mg</w:t>
            </w:r>
          </w:p>
        </w:tc>
        <w:tc>
          <w:tcPr>
            <w:tcW w:w="2340" w:type="dxa"/>
          </w:tcPr>
          <w:p w14:paraId="16F3C8A6" w14:textId="77777777" w:rsidR="009B5AA5" w:rsidRPr="00FA3F9C" w:rsidRDefault="009B5AA5" w:rsidP="006F623F">
            <w:pPr>
              <w:rPr>
                <w:rFonts w:ascii="Arial" w:hAnsi="Arial" w:cs="Arial"/>
                <w:sz w:val="24"/>
                <w:szCs w:val="24"/>
              </w:rPr>
            </w:pPr>
            <w:r w:rsidRPr="00FA3F9C">
              <w:rPr>
                <w:rFonts w:ascii="Arial" w:hAnsi="Arial" w:cs="Arial"/>
                <w:sz w:val="24"/>
                <w:szCs w:val="24"/>
              </w:rPr>
              <w:t>$98.08</w:t>
            </w:r>
          </w:p>
        </w:tc>
        <w:tc>
          <w:tcPr>
            <w:tcW w:w="1710" w:type="dxa"/>
          </w:tcPr>
          <w:p w14:paraId="21655436" w14:textId="77777777" w:rsidR="009B5AA5" w:rsidRPr="00FA3F9C" w:rsidRDefault="009B5AA5" w:rsidP="006F623F">
            <w:pPr>
              <w:rPr>
                <w:rFonts w:ascii="Arial" w:hAnsi="Arial" w:cs="Arial"/>
                <w:sz w:val="24"/>
                <w:szCs w:val="24"/>
              </w:rPr>
            </w:pPr>
            <w:r w:rsidRPr="00FA3F9C">
              <w:rPr>
                <w:rFonts w:ascii="Arial" w:hAnsi="Arial" w:cs="Arial"/>
                <w:sz w:val="24"/>
                <w:szCs w:val="24"/>
              </w:rPr>
              <w:t>$108.99</w:t>
            </w:r>
          </w:p>
        </w:tc>
        <w:tc>
          <w:tcPr>
            <w:tcW w:w="3330" w:type="dxa"/>
          </w:tcPr>
          <w:p w14:paraId="475C4F2B" w14:textId="77777777" w:rsidR="009B5AA5" w:rsidRPr="00FA3F9C" w:rsidRDefault="009B5AA5" w:rsidP="006F623F">
            <w:pPr>
              <w:rPr>
                <w:rFonts w:ascii="Arial" w:hAnsi="Arial" w:cs="Arial"/>
                <w:sz w:val="24"/>
                <w:szCs w:val="24"/>
              </w:rPr>
            </w:pPr>
            <w:r w:rsidRPr="00FA3F9C">
              <w:rPr>
                <w:rFonts w:ascii="Arial" w:hAnsi="Arial" w:cs="Arial"/>
                <w:sz w:val="24"/>
                <w:szCs w:val="24"/>
              </w:rPr>
              <w:t>$118.80</w:t>
            </w:r>
          </w:p>
        </w:tc>
        <w:tc>
          <w:tcPr>
            <w:tcW w:w="1530" w:type="dxa"/>
          </w:tcPr>
          <w:p w14:paraId="3B55FD43" w14:textId="77777777" w:rsidR="009B5AA5" w:rsidRPr="00FA3F9C" w:rsidRDefault="009B5AA5" w:rsidP="006F623F">
            <w:pPr>
              <w:rPr>
                <w:rFonts w:ascii="Arial" w:hAnsi="Arial" w:cs="Arial"/>
                <w:sz w:val="24"/>
                <w:szCs w:val="24"/>
              </w:rPr>
            </w:pPr>
            <w:r w:rsidRPr="00FA3F9C">
              <w:rPr>
                <w:rFonts w:ascii="Arial" w:hAnsi="Arial" w:cs="Arial"/>
                <w:sz w:val="24"/>
                <w:szCs w:val="24"/>
              </w:rPr>
              <w:t>$102.98</w:t>
            </w:r>
          </w:p>
        </w:tc>
      </w:tr>
      <w:tr w:rsidR="009B5AA5" w:rsidRPr="00FA3F9C" w14:paraId="382A7FB0" w14:textId="77777777" w:rsidTr="005D48D3">
        <w:tc>
          <w:tcPr>
            <w:tcW w:w="2088" w:type="dxa"/>
          </w:tcPr>
          <w:p w14:paraId="2CD9D746" w14:textId="77777777" w:rsidR="009B5AA5" w:rsidRPr="00FA3F9C" w:rsidRDefault="009B5AA5" w:rsidP="006F623F">
            <w:pPr>
              <w:rPr>
                <w:rFonts w:ascii="Arial" w:hAnsi="Arial" w:cs="Arial"/>
                <w:sz w:val="24"/>
                <w:szCs w:val="24"/>
              </w:rPr>
            </w:pPr>
            <w:r w:rsidRPr="00FA3F9C">
              <w:rPr>
                <w:rFonts w:ascii="Arial" w:hAnsi="Arial" w:cs="Arial"/>
                <w:sz w:val="24"/>
                <w:szCs w:val="24"/>
              </w:rPr>
              <w:t>5mg</w:t>
            </w:r>
          </w:p>
        </w:tc>
        <w:tc>
          <w:tcPr>
            <w:tcW w:w="2340" w:type="dxa"/>
          </w:tcPr>
          <w:p w14:paraId="3C2460BC" w14:textId="77777777" w:rsidR="009B5AA5" w:rsidRPr="00FA3F9C" w:rsidRDefault="009B5AA5" w:rsidP="006F623F">
            <w:pPr>
              <w:rPr>
                <w:rFonts w:ascii="Arial" w:hAnsi="Arial" w:cs="Arial"/>
                <w:sz w:val="24"/>
                <w:szCs w:val="24"/>
              </w:rPr>
            </w:pPr>
            <w:r w:rsidRPr="00FA3F9C">
              <w:rPr>
                <w:rFonts w:ascii="Arial" w:hAnsi="Arial" w:cs="Arial"/>
                <w:sz w:val="24"/>
                <w:szCs w:val="24"/>
              </w:rPr>
              <w:t>$245.21</w:t>
            </w:r>
          </w:p>
        </w:tc>
        <w:tc>
          <w:tcPr>
            <w:tcW w:w="1710" w:type="dxa"/>
          </w:tcPr>
          <w:p w14:paraId="5A9FF100" w14:textId="77777777" w:rsidR="009B5AA5" w:rsidRPr="00FA3F9C" w:rsidRDefault="009B5AA5" w:rsidP="006F623F">
            <w:pPr>
              <w:rPr>
                <w:rFonts w:ascii="Arial" w:hAnsi="Arial" w:cs="Arial"/>
                <w:sz w:val="24"/>
                <w:szCs w:val="24"/>
              </w:rPr>
            </w:pPr>
            <w:r w:rsidRPr="00FA3F9C">
              <w:rPr>
                <w:rFonts w:ascii="Arial" w:hAnsi="Arial" w:cs="Arial"/>
                <w:sz w:val="24"/>
                <w:szCs w:val="24"/>
              </w:rPr>
              <w:t>$272.47</w:t>
            </w:r>
          </w:p>
        </w:tc>
        <w:tc>
          <w:tcPr>
            <w:tcW w:w="3330" w:type="dxa"/>
          </w:tcPr>
          <w:p w14:paraId="44ED6BA2" w14:textId="77777777" w:rsidR="009B5AA5" w:rsidRPr="00FA3F9C" w:rsidRDefault="009B5AA5" w:rsidP="006F623F">
            <w:pPr>
              <w:rPr>
                <w:rFonts w:ascii="Arial" w:hAnsi="Arial" w:cs="Arial"/>
                <w:sz w:val="24"/>
                <w:szCs w:val="24"/>
              </w:rPr>
            </w:pPr>
            <w:r w:rsidRPr="00FA3F9C">
              <w:rPr>
                <w:rFonts w:ascii="Arial" w:hAnsi="Arial" w:cs="Arial"/>
                <w:sz w:val="24"/>
                <w:szCs w:val="24"/>
              </w:rPr>
              <w:t>$296.99</w:t>
            </w:r>
          </w:p>
        </w:tc>
        <w:tc>
          <w:tcPr>
            <w:tcW w:w="1530" w:type="dxa"/>
          </w:tcPr>
          <w:p w14:paraId="63470F80" w14:textId="77777777" w:rsidR="009B5AA5" w:rsidRPr="00FA3F9C" w:rsidRDefault="009B5AA5" w:rsidP="006F623F">
            <w:pPr>
              <w:rPr>
                <w:rFonts w:ascii="Arial" w:hAnsi="Arial" w:cs="Arial"/>
                <w:sz w:val="24"/>
                <w:szCs w:val="24"/>
              </w:rPr>
            </w:pPr>
            <w:r w:rsidRPr="00FA3F9C">
              <w:rPr>
                <w:rFonts w:ascii="Arial" w:hAnsi="Arial" w:cs="Arial"/>
                <w:sz w:val="24"/>
                <w:szCs w:val="24"/>
              </w:rPr>
              <w:t>$257.48</w:t>
            </w:r>
          </w:p>
        </w:tc>
      </w:tr>
      <w:tr w:rsidR="009B5AA5" w:rsidRPr="00FA3F9C" w14:paraId="78CF88CF" w14:textId="77777777" w:rsidTr="005D48D3">
        <w:tc>
          <w:tcPr>
            <w:tcW w:w="2088" w:type="dxa"/>
          </w:tcPr>
          <w:p w14:paraId="517142C7" w14:textId="77777777" w:rsidR="009B5AA5" w:rsidRPr="00FA3F9C" w:rsidRDefault="009B5AA5" w:rsidP="006F623F">
            <w:pPr>
              <w:rPr>
                <w:rFonts w:ascii="Arial" w:hAnsi="Arial" w:cs="Arial"/>
                <w:sz w:val="24"/>
                <w:szCs w:val="24"/>
              </w:rPr>
            </w:pPr>
            <w:r w:rsidRPr="00FA3F9C">
              <w:rPr>
                <w:rFonts w:ascii="Arial" w:hAnsi="Arial" w:cs="Arial"/>
                <w:sz w:val="24"/>
                <w:szCs w:val="24"/>
              </w:rPr>
              <w:t>10mg</w:t>
            </w:r>
          </w:p>
        </w:tc>
        <w:tc>
          <w:tcPr>
            <w:tcW w:w="2340" w:type="dxa"/>
          </w:tcPr>
          <w:p w14:paraId="011B9CD8" w14:textId="77777777" w:rsidR="009B5AA5" w:rsidRPr="00FA3F9C" w:rsidRDefault="009B5AA5" w:rsidP="006F623F">
            <w:pPr>
              <w:rPr>
                <w:rFonts w:ascii="Arial" w:hAnsi="Arial" w:cs="Arial"/>
                <w:sz w:val="24"/>
                <w:szCs w:val="24"/>
              </w:rPr>
            </w:pPr>
            <w:r w:rsidRPr="00FA3F9C">
              <w:rPr>
                <w:rFonts w:ascii="Arial" w:hAnsi="Arial" w:cs="Arial"/>
                <w:sz w:val="24"/>
                <w:szCs w:val="24"/>
              </w:rPr>
              <w:t>$490.42</w:t>
            </w:r>
          </w:p>
        </w:tc>
        <w:tc>
          <w:tcPr>
            <w:tcW w:w="1710" w:type="dxa"/>
          </w:tcPr>
          <w:p w14:paraId="1B5CC810" w14:textId="77777777" w:rsidR="009B5AA5" w:rsidRPr="00FA3F9C" w:rsidRDefault="009B5AA5" w:rsidP="006F623F">
            <w:pPr>
              <w:rPr>
                <w:rFonts w:ascii="Arial" w:hAnsi="Arial" w:cs="Arial"/>
                <w:sz w:val="24"/>
                <w:szCs w:val="24"/>
              </w:rPr>
            </w:pPr>
            <w:r w:rsidRPr="00FA3F9C">
              <w:rPr>
                <w:rFonts w:ascii="Arial" w:hAnsi="Arial" w:cs="Arial"/>
                <w:sz w:val="24"/>
                <w:szCs w:val="24"/>
              </w:rPr>
              <w:t>$544.94</w:t>
            </w:r>
          </w:p>
        </w:tc>
        <w:tc>
          <w:tcPr>
            <w:tcW w:w="3330" w:type="dxa"/>
          </w:tcPr>
          <w:p w14:paraId="5173CD21" w14:textId="77777777" w:rsidR="009B5AA5" w:rsidRPr="00FA3F9C" w:rsidRDefault="009B5AA5" w:rsidP="006F623F">
            <w:pPr>
              <w:rPr>
                <w:rFonts w:ascii="Arial" w:hAnsi="Arial" w:cs="Arial"/>
                <w:sz w:val="24"/>
                <w:szCs w:val="24"/>
              </w:rPr>
            </w:pPr>
            <w:r w:rsidRPr="00FA3F9C">
              <w:rPr>
                <w:rFonts w:ascii="Arial" w:hAnsi="Arial" w:cs="Arial"/>
                <w:sz w:val="24"/>
                <w:szCs w:val="24"/>
              </w:rPr>
              <w:t>$593.98</w:t>
            </w:r>
          </w:p>
        </w:tc>
        <w:tc>
          <w:tcPr>
            <w:tcW w:w="1530" w:type="dxa"/>
          </w:tcPr>
          <w:p w14:paraId="62913C9F" w14:textId="77777777" w:rsidR="009B5AA5" w:rsidRPr="00FA3F9C" w:rsidRDefault="009B5AA5" w:rsidP="006F623F">
            <w:pPr>
              <w:rPr>
                <w:rFonts w:ascii="Arial" w:hAnsi="Arial" w:cs="Arial"/>
                <w:sz w:val="24"/>
                <w:szCs w:val="24"/>
              </w:rPr>
            </w:pPr>
            <w:r w:rsidRPr="00FA3F9C">
              <w:rPr>
                <w:rFonts w:ascii="Arial" w:hAnsi="Arial" w:cs="Arial"/>
                <w:sz w:val="24"/>
                <w:szCs w:val="24"/>
              </w:rPr>
              <w:t>$514.94</w:t>
            </w:r>
          </w:p>
        </w:tc>
      </w:tr>
      <w:tr w:rsidR="009B5AA5" w:rsidRPr="00FA3F9C" w14:paraId="0FFA3F03" w14:textId="77777777" w:rsidTr="005D48D3">
        <w:tc>
          <w:tcPr>
            <w:tcW w:w="2088" w:type="dxa"/>
          </w:tcPr>
          <w:p w14:paraId="4CC0605D" w14:textId="77777777" w:rsidR="009B5AA5" w:rsidRPr="00FA3F9C" w:rsidRDefault="009B5AA5" w:rsidP="006F623F">
            <w:pPr>
              <w:rPr>
                <w:rFonts w:ascii="Arial" w:hAnsi="Arial" w:cs="Arial"/>
                <w:sz w:val="24"/>
                <w:szCs w:val="24"/>
              </w:rPr>
            </w:pPr>
            <w:r w:rsidRPr="00FA3F9C">
              <w:rPr>
                <w:rFonts w:ascii="Arial" w:hAnsi="Arial" w:cs="Arial"/>
                <w:sz w:val="24"/>
                <w:szCs w:val="24"/>
              </w:rPr>
              <w:t>20mg</w:t>
            </w:r>
          </w:p>
        </w:tc>
        <w:tc>
          <w:tcPr>
            <w:tcW w:w="2340" w:type="dxa"/>
          </w:tcPr>
          <w:p w14:paraId="0B3DB0AC" w14:textId="77777777" w:rsidR="009B5AA5" w:rsidRPr="00FA3F9C" w:rsidRDefault="009B5AA5" w:rsidP="006F623F">
            <w:pPr>
              <w:rPr>
                <w:rFonts w:ascii="Arial" w:hAnsi="Arial" w:cs="Arial"/>
                <w:sz w:val="24"/>
                <w:szCs w:val="24"/>
              </w:rPr>
            </w:pPr>
          </w:p>
        </w:tc>
        <w:tc>
          <w:tcPr>
            <w:tcW w:w="1710" w:type="dxa"/>
          </w:tcPr>
          <w:p w14:paraId="58AF64A4" w14:textId="77777777" w:rsidR="009B5AA5" w:rsidRPr="00FA3F9C" w:rsidRDefault="009B5AA5" w:rsidP="006F623F">
            <w:pPr>
              <w:rPr>
                <w:rFonts w:ascii="Arial" w:hAnsi="Arial" w:cs="Arial"/>
                <w:sz w:val="24"/>
                <w:szCs w:val="24"/>
              </w:rPr>
            </w:pPr>
            <w:r w:rsidRPr="00FA3F9C">
              <w:rPr>
                <w:rFonts w:ascii="Arial" w:hAnsi="Arial" w:cs="Arial"/>
                <w:sz w:val="24"/>
                <w:szCs w:val="24"/>
              </w:rPr>
              <w:t>$1089.87</w:t>
            </w:r>
          </w:p>
        </w:tc>
        <w:tc>
          <w:tcPr>
            <w:tcW w:w="3330" w:type="dxa"/>
          </w:tcPr>
          <w:p w14:paraId="5BB4BD38" w14:textId="77777777" w:rsidR="009B5AA5" w:rsidRPr="00FA3F9C" w:rsidRDefault="009B5AA5" w:rsidP="006F623F">
            <w:pPr>
              <w:rPr>
                <w:rFonts w:ascii="Arial" w:hAnsi="Arial" w:cs="Arial"/>
                <w:sz w:val="24"/>
                <w:szCs w:val="24"/>
              </w:rPr>
            </w:pPr>
            <w:r w:rsidRPr="00FA3F9C">
              <w:rPr>
                <w:rFonts w:ascii="Arial" w:hAnsi="Arial" w:cs="Arial"/>
                <w:sz w:val="24"/>
                <w:szCs w:val="24"/>
              </w:rPr>
              <w:t>$1187.95</w:t>
            </w:r>
          </w:p>
        </w:tc>
        <w:tc>
          <w:tcPr>
            <w:tcW w:w="1530" w:type="dxa"/>
          </w:tcPr>
          <w:p w14:paraId="3FCBFEC9" w14:textId="77777777" w:rsidR="009B5AA5" w:rsidRPr="00FA3F9C" w:rsidRDefault="009B5AA5" w:rsidP="006F623F">
            <w:pPr>
              <w:rPr>
                <w:rFonts w:ascii="Arial" w:hAnsi="Arial" w:cs="Arial"/>
                <w:sz w:val="24"/>
                <w:szCs w:val="24"/>
              </w:rPr>
            </w:pPr>
          </w:p>
        </w:tc>
      </w:tr>
    </w:tbl>
    <w:p w14:paraId="0E500F57" w14:textId="77777777" w:rsidR="009B5AA5" w:rsidRPr="00FA3F9C" w:rsidRDefault="009B5AA5" w:rsidP="006F623F">
      <w:pPr>
        <w:spacing w:after="0"/>
        <w:rPr>
          <w:rFonts w:ascii="Arial" w:hAnsi="Arial" w:cs="Arial"/>
          <w:sz w:val="24"/>
          <w:szCs w:val="24"/>
        </w:rPr>
      </w:pPr>
    </w:p>
    <w:p w14:paraId="68C23A7B" w14:textId="77777777" w:rsidR="009B5AA5" w:rsidRPr="00FA3F9C" w:rsidRDefault="009B5AA5" w:rsidP="006F623F">
      <w:pPr>
        <w:spacing w:after="0"/>
        <w:jc w:val="center"/>
        <w:rPr>
          <w:rFonts w:ascii="Arial" w:hAnsi="Arial" w:cs="Arial"/>
          <w:sz w:val="24"/>
          <w:szCs w:val="24"/>
        </w:rPr>
      </w:pPr>
      <w:bookmarkStart w:id="222" w:name="_Toc106369870"/>
      <w:r w:rsidRPr="00953C90">
        <w:rPr>
          <w:rStyle w:val="Heading2Char"/>
          <w:rFonts w:eastAsiaTheme="minorHAnsi"/>
        </w:rPr>
        <w:t>Nitrofurantoin</w:t>
      </w:r>
      <w:bookmarkEnd w:id="222"/>
      <w:r w:rsidRPr="00FA3F9C">
        <w:rPr>
          <w:rFonts w:ascii="Arial" w:hAnsi="Arial" w:cs="Arial"/>
          <w:sz w:val="24"/>
          <w:szCs w:val="24"/>
        </w:rPr>
        <w:t xml:space="preserve"> </w:t>
      </w:r>
      <w:r w:rsidRPr="00FA3F9C">
        <w:rPr>
          <w:rFonts w:ascii="Arial" w:hAnsi="Arial" w:cs="Arial"/>
          <w:sz w:val="24"/>
          <w:szCs w:val="24"/>
          <w:highlight w:val="cyan"/>
        </w:rPr>
        <w:t>suspension</w:t>
      </w:r>
      <w:r w:rsidRPr="00FA3F9C">
        <w:rPr>
          <w:rFonts w:ascii="Arial" w:hAnsi="Arial" w:cs="Arial"/>
          <w:sz w:val="24"/>
          <w:szCs w:val="24"/>
        </w:rPr>
        <w:t xml:space="preserve"> (brand)</w:t>
      </w:r>
    </w:p>
    <w:p w14:paraId="7E4A7F62" w14:textId="77777777" w:rsidR="009B5AA5" w:rsidRPr="00FA3F9C" w:rsidRDefault="009B5AA5" w:rsidP="006F623F">
      <w:pPr>
        <w:spacing w:after="0"/>
        <w:jc w:val="center"/>
        <w:rPr>
          <w:rFonts w:ascii="Arial" w:hAnsi="Arial" w:cs="Arial"/>
          <w:sz w:val="24"/>
          <w:szCs w:val="24"/>
        </w:rPr>
      </w:pPr>
      <w:r w:rsidRPr="00FA3F9C">
        <w:rPr>
          <w:rFonts w:ascii="Arial" w:hAnsi="Arial" w:cs="Arial"/>
          <w:sz w:val="24"/>
          <w:szCs w:val="24"/>
        </w:rPr>
        <w:t>EBRx PA Criteria</w:t>
      </w:r>
    </w:p>
    <w:p w14:paraId="0B05D8BA" w14:textId="77777777" w:rsidR="009B5AA5" w:rsidRPr="00FA3F9C" w:rsidRDefault="009B5AA5" w:rsidP="006F623F">
      <w:pPr>
        <w:spacing w:after="0"/>
        <w:rPr>
          <w:rFonts w:ascii="Arial" w:hAnsi="Arial" w:cs="Arial"/>
          <w:b/>
          <w:sz w:val="24"/>
          <w:szCs w:val="24"/>
          <w:u w:val="single"/>
        </w:rPr>
      </w:pPr>
    </w:p>
    <w:p w14:paraId="7A581070" w14:textId="77777777" w:rsidR="009B5AA5" w:rsidRPr="00FA3F9C" w:rsidRDefault="009B5AA5"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Cystitis, acute uncomplicated, treatment; Cystitis, uncomplicated, prophylaxis for recurrent infection</w:t>
      </w:r>
    </w:p>
    <w:tbl>
      <w:tblPr>
        <w:tblStyle w:val="TableGrid"/>
        <w:tblW w:w="0" w:type="auto"/>
        <w:tblLook w:val="04A0" w:firstRow="1" w:lastRow="0" w:firstColumn="1" w:lastColumn="0" w:noHBand="0" w:noVBand="1"/>
      </w:tblPr>
      <w:tblGrid>
        <w:gridCol w:w="8928"/>
        <w:gridCol w:w="2088"/>
      </w:tblGrid>
      <w:tr w:rsidR="009B5AA5" w:rsidRPr="00FA3F9C" w14:paraId="1AE7212D" w14:textId="77777777" w:rsidTr="00571CAB">
        <w:tc>
          <w:tcPr>
            <w:tcW w:w="8928" w:type="dxa"/>
            <w:shd w:val="clear" w:color="auto" w:fill="000000"/>
          </w:tcPr>
          <w:p w14:paraId="1F7B93B9" w14:textId="77777777" w:rsidR="009B5AA5" w:rsidRPr="00FA3F9C" w:rsidRDefault="009B5AA5"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88" w:type="dxa"/>
            <w:shd w:val="clear" w:color="auto" w:fill="000000"/>
          </w:tcPr>
          <w:p w14:paraId="62DEDD92" w14:textId="77777777" w:rsidR="009B5AA5" w:rsidRPr="00FA3F9C" w:rsidRDefault="009B5AA5" w:rsidP="006F623F">
            <w:pPr>
              <w:jc w:val="center"/>
              <w:rPr>
                <w:rFonts w:ascii="Arial" w:hAnsi="Arial" w:cs="Arial"/>
                <w:b/>
                <w:sz w:val="24"/>
                <w:szCs w:val="24"/>
                <w:u w:val="single"/>
              </w:rPr>
            </w:pPr>
          </w:p>
        </w:tc>
      </w:tr>
      <w:tr w:rsidR="009B5AA5" w:rsidRPr="00FA3F9C" w14:paraId="3A7E70C9" w14:textId="77777777" w:rsidTr="00F337AE">
        <w:tc>
          <w:tcPr>
            <w:tcW w:w="11016" w:type="dxa"/>
            <w:gridSpan w:val="2"/>
          </w:tcPr>
          <w:p w14:paraId="2FF08DD8" w14:textId="77777777" w:rsidR="009B5AA5" w:rsidRPr="00FA3F9C" w:rsidRDefault="009B5AA5" w:rsidP="006F623F">
            <w:pPr>
              <w:rPr>
                <w:rFonts w:ascii="Arial" w:hAnsi="Arial" w:cs="Arial"/>
                <w:sz w:val="24"/>
                <w:szCs w:val="24"/>
              </w:rPr>
            </w:pPr>
            <w:r w:rsidRPr="00FA3F9C">
              <w:rPr>
                <w:rFonts w:ascii="Arial" w:hAnsi="Arial" w:cs="Arial"/>
                <w:sz w:val="24"/>
                <w:szCs w:val="24"/>
              </w:rPr>
              <w:t>1. The patient must be 7 years old or younger OR be unable to tolerate swallowing pills or capsules, to access the suspension.</w:t>
            </w:r>
          </w:p>
        </w:tc>
      </w:tr>
      <w:tr w:rsidR="009B5AA5" w:rsidRPr="00FA3F9C" w14:paraId="2DC6F1AB" w14:textId="77777777" w:rsidTr="00B1617E">
        <w:tc>
          <w:tcPr>
            <w:tcW w:w="11016" w:type="dxa"/>
            <w:gridSpan w:val="2"/>
          </w:tcPr>
          <w:p w14:paraId="1FB99647" w14:textId="77777777" w:rsidR="009B5AA5" w:rsidRPr="00FA3F9C" w:rsidRDefault="009B5AA5" w:rsidP="006F623F">
            <w:pPr>
              <w:rPr>
                <w:rFonts w:ascii="Arial" w:hAnsi="Arial" w:cs="Arial"/>
                <w:sz w:val="24"/>
                <w:szCs w:val="24"/>
              </w:rPr>
            </w:pPr>
            <w:r w:rsidRPr="00FA3F9C">
              <w:rPr>
                <w:rFonts w:ascii="Arial" w:hAnsi="Arial" w:cs="Arial"/>
                <w:sz w:val="24"/>
                <w:szCs w:val="24"/>
              </w:rPr>
              <w:t>2. The patient must have no other pills or capsules on their profile.</w:t>
            </w:r>
          </w:p>
        </w:tc>
      </w:tr>
    </w:tbl>
    <w:p w14:paraId="4431F8B9" w14:textId="77777777" w:rsidR="009B5AA5" w:rsidRPr="00FA3F9C" w:rsidRDefault="009B5AA5" w:rsidP="006F623F">
      <w:pPr>
        <w:spacing w:after="0"/>
        <w:rPr>
          <w:rFonts w:ascii="Arial" w:hAnsi="Arial" w:cs="Arial"/>
          <w:sz w:val="24"/>
          <w:szCs w:val="24"/>
        </w:rPr>
      </w:pPr>
    </w:p>
    <w:p w14:paraId="4C1FB59C" w14:textId="77777777" w:rsidR="009B5AA5" w:rsidRPr="00FA3F9C" w:rsidRDefault="009B5AA5"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151"/>
        <w:gridCol w:w="7470"/>
        <w:gridCol w:w="2538"/>
      </w:tblGrid>
      <w:tr w:rsidR="009B5AA5" w:rsidRPr="00FA3F9C" w14:paraId="321D2644" w14:textId="77777777" w:rsidTr="00FE491B">
        <w:tc>
          <w:tcPr>
            <w:tcW w:w="1008" w:type="dxa"/>
          </w:tcPr>
          <w:p w14:paraId="77870ACB" w14:textId="77777777" w:rsidR="009B5AA5" w:rsidRPr="00FA3F9C" w:rsidRDefault="009B5AA5" w:rsidP="006F623F">
            <w:pPr>
              <w:rPr>
                <w:rFonts w:ascii="Arial" w:hAnsi="Arial" w:cs="Arial"/>
                <w:sz w:val="24"/>
                <w:szCs w:val="24"/>
              </w:rPr>
            </w:pPr>
            <w:r w:rsidRPr="00FA3F9C">
              <w:rPr>
                <w:rFonts w:ascii="Arial" w:hAnsi="Arial" w:cs="Arial"/>
                <w:sz w:val="24"/>
                <w:szCs w:val="24"/>
              </w:rPr>
              <w:t>Date</w:t>
            </w:r>
          </w:p>
        </w:tc>
        <w:tc>
          <w:tcPr>
            <w:tcW w:w="7470" w:type="dxa"/>
          </w:tcPr>
          <w:p w14:paraId="12B607E2" w14:textId="77777777" w:rsidR="009B5AA5" w:rsidRPr="00FA3F9C" w:rsidRDefault="009B5AA5" w:rsidP="006F623F">
            <w:pPr>
              <w:rPr>
                <w:rFonts w:ascii="Arial" w:hAnsi="Arial" w:cs="Arial"/>
                <w:sz w:val="24"/>
                <w:szCs w:val="24"/>
              </w:rPr>
            </w:pPr>
            <w:r w:rsidRPr="00FA3F9C">
              <w:rPr>
                <w:rFonts w:ascii="Arial" w:hAnsi="Arial" w:cs="Arial"/>
                <w:sz w:val="24"/>
                <w:szCs w:val="24"/>
              </w:rPr>
              <w:t>What changed</w:t>
            </w:r>
          </w:p>
        </w:tc>
        <w:tc>
          <w:tcPr>
            <w:tcW w:w="2538" w:type="dxa"/>
          </w:tcPr>
          <w:p w14:paraId="6C591F92" w14:textId="77777777" w:rsidR="009B5AA5" w:rsidRPr="00FA3F9C" w:rsidRDefault="009B5AA5" w:rsidP="006F623F">
            <w:pPr>
              <w:rPr>
                <w:rFonts w:ascii="Arial" w:hAnsi="Arial" w:cs="Arial"/>
                <w:sz w:val="24"/>
                <w:szCs w:val="24"/>
              </w:rPr>
            </w:pPr>
            <w:r w:rsidRPr="00FA3F9C">
              <w:rPr>
                <w:rFonts w:ascii="Arial" w:hAnsi="Arial" w:cs="Arial"/>
                <w:sz w:val="24"/>
                <w:szCs w:val="24"/>
              </w:rPr>
              <w:t>Pharmacist’s initials</w:t>
            </w:r>
          </w:p>
        </w:tc>
      </w:tr>
      <w:tr w:rsidR="009B5AA5" w:rsidRPr="00FA3F9C" w14:paraId="74032EAE" w14:textId="77777777" w:rsidTr="00FE491B">
        <w:tc>
          <w:tcPr>
            <w:tcW w:w="1008" w:type="dxa"/>
          </w:tcPr>
          <w:p w14:paraId="2351CCDB" w14:textId="77777777" w:rsidR="009B5AA5" w:rsidRPr="00FA3F9C" w:rsidRDefault="009B5AA5" w:rsidP="006F623F">
            <w:pPr>
              <w:rPr>
                <w:rFonts w:ascii="Arial" w:hAnsi="Arial" w:cs="Arial"/>
                <w:sz w:val="24"/>
                <w:szCs w:val="24"/>
              </w:rPr>
            </w:pPr>
            <w:r w:rsidRPr="00FA3F9C">
              <w:rPr>
                <w:rFonts w:ascii="Arial" w:hAnsi="Arial" w:cs="Arial"/>
                <w:sz w:val="24"/>
                <w:szCs w:val="24"/>
              </w:rPr>
              <w:t>3/9/2021</w:t>
            </w:r>
          </w:p>
        </w:tc>
        <w:tc>
          <w:tcPr>
            <w:tcW w:w="7470" w:type="dxa"/>
          </w:tcPr>
          <w:p w14:paraId="142CB259" w14:textId="77777777" w:rsidR="009B5AA5" w:rsidRPr="00FA3F9C" w:rsidRDefault="009B5AA5" w:rsidP="006F623F">
            <w:pPr>
              <w:rPr>
                <w:rFonts w:ascii="Arial" w:hAnsi="Arial" w:cs="Arial"/>
                <w:sz w:val="24"/>
                <w:szCs w:val="24"/>
              </w:rPr>
            </w:pPr>
            <w:r w:rsidRPr="00FA3F9C">
              <w:rPr>
                <w:rFonts w:ascii="Arial" w:hAnsi="Arial" w:cs="Arial"/>
                <w:sz w:val="24"/>
                <w:szCs w:val="24"/>
              </w:rPr>
              <w:t>I wrote the criteria.</w:t>
            </w:r>
          </w:p>
        </w:tc>
        <w:tc>
          <w:tcPr>
            <w:tcW w:w="2538" w:type="dxa"/>
          </w:tcPr>
          <w:p w14:paraId="11C2AA12" w14:textId="77777777" w:rsidR="009B5AA5" w:rsidRPr="00FA3F9C" w:rsidRDefault="009B5AA5" w:rsidP="006F623F">
            <w:pPr>
              <w:rPr>
                <w:rFonts w:ascii="Arial" w:hAnsi="Arial" w:cs="Arial"/>
                <w:sz w:val="24"/>
                <w:szCs w:val="24"/>
              </w:rPr>
            </w:pPr>
            <w:r w:rsidRPr="00FA3F9C">
              <w:rPr>
                <w:rFonts w:ascii="Arial" w:hAnsi="Arial" w:cs="Arial"/>
                <w:sz w:val="24"/>
                <w:szCs w:val="24"/>
              </w:rPr>
              <w:t>JJ</w:t>
            </w:r>
          </w:p>
        </w:tc>
      </w:tr>
      <w:tr w:rsidR="009B5AA5" w:rsidRPr="00FA3F9C" w14:paraId="3AB2DFB2" w14:textId="77777777" w:rsidTr="00FE491B">
        <w:tc>
          <w:tcPr>
            <w:tcW w:w="1008" w:type="dxa"/>
          </w:tcPr>
          <w:p w14:paraId="3922C79E" w14:textId="77777777" w:rsidR="009B5AA5" w:rsidRPr="00FA3F9C" w:rsidRDefault="009B5AA5" w:rsidP="006F623F">
            <w:pPr>
              <w:rPr>
                <w:rFonts w:ascii="Arial" w:hAnsi="Arial" w:cs="Arial"/>
                <w:sz w:val="24"/>
                <w:szCs w:val="24"/>
              </w:rPr>
            </w:pPr>
          </w:p>
        </w:tc>
        <w:tc>
          <w:tcPr>
            <w:tcW w:w="7470" w:type="dxa"/>
          </w:tcPr>
          <w:p w14:paraId="0650BC5D" w14:textId="77777777" w:rsidR="009B5AA5" w:rsidRPr="00FA3F9C" w:rsidRDefault="009B5AA5" w:rsidP="006F623F">
            <w:pPr>
              <w:rPr>
                <w:rFonts w:ascii="Arial" w:hAnsi="Arial" w:cs="Arial"/>
                <w:sz w:val="24"/>
                <w:szCs w:val="24"/>
              </w:rPr>
            </w:pPr>
          </w:p>
        </w:tc>
        <w:tc>
          <w:tcPr>
            <w:tcW w:w="2538" w:type="dxa"/>
          </w:tcPr>
          <w:p w14:paraId="6256E598" w14:textId="77777777" w:rsidR="009B5AA5" w:rsidRPr="00FA3F9C" w:rsidRDefault="009B5AA5" w:rsidP="006F623F">
            <w:pPr>
              <w:rPr>
                <w:rFonts w:ascii="Arial" w:hAnsi="Arial" w:cs="Arial"/>
                <w:sz w:val="24"/>
                <w:szCs w:val="24"/>
              </w:rPr>
            </w:pPr>
          </w:p>
        </w:tc>
      </w:tr>
    </w:tbl>
    <w:p w14:paraId="7B3C8395" w14:textId="77777777" w:rsidR="009B5AA5" w:rsidRPr="00FA3F9C" w:rsidRDefault="009B5AA5" w:rsidP="006F623F">
      <w:pPr>
        <w:spacing w:after="0"/>
        <w:rPr>
          <w:rFonts w:ascii="Arial" w:hAnsi="Arial" w:cs="Arial"/>
          <w:sz w:val="24"/>
          <w:szCs w:val="24"/>
        </w:rPr>
      </w:pPr>
    </w:p>
    <w:p w14:paraId="436C2B73" w14:textId="77777777" w:rsidR="009B5AA5" w:rsidRPr="00FA3F9C" w:rsidRDefault="009B5AA5" w:rsidP="00953C90">
      <w:pPr>
        <w:pStyle w:val="Heading2"/>
      </w:pPr>
      <w:bookmarkStart w:id="223" w:name="_Toc106369871"/>
      <w:r w:rsidRPr="00FA3F9C">
        <w:t>Nivolumab (</w:t>
      </w:r>
      <w:proofErr w:type="spellStart"/>
      <w:r w:rsidRPr="00FA3F9C">
        <w:t>Opdivo</w:t>
      </w:r>
      <w:proofErr w:type="spellEnd"/>
      <w:r w:rsidRPr="00FA3F9C">
        <w:t>)</w:t>
      </w:r>
      <w:bookmarkEnd w:id="223"/>
    </w:p>
    <w:p w14:paraId="27CBAFAC" w14:textId="77777777" w:rsidR="009B5AA5" w:rsidRPr="00FA3F9C" w:rsidRDefault="009B5AA5" w:rsidP="006F623F">
      <w:pPr>
        <w:spacing w:after="0"/>
        <w:jc w:val="center"/>
        <w:rPr>
          <w:rFonts w:ascii="Arial" w:hAnsi="Arial" w:cs="Arial"/>
          <w:sz w:val="24"/>
          <w:szCs w:val="24"/>
        </w:rPr>
      </w:pPr>
      <w:r w:rsidRPr="00FA3F9C">
        <w:rPr>
          <w:rFonts w:ascii="Arial" w:hAnsi="Arial" w:cs="Arial"/>
          <w:sz w:val="24"/>
          <w:szCs w:val="24"/>
        </w:rPr>
        <w:t>EBRx PA Criteria</w:t>
      </w:r>
    </w:p>
    <w:p w14:paraId="4C1F2B9B" w14:textId="77777777" w:rsidR="009B5AA5" w:rsidRPr="00FA3F9C" w:rsidRDefault="009B5AA5" w:rsidP="006F623F">
      <w:pPr>
        <w:spacing w:after="0"/>
        <w:rPr>
          <w:rFonts w:ascii="Arial" w:hAnsi="Arial" w:cs="Arial"/>
          <w:b/>
          <w:sz w:val="24"/>
          <w:szCs w:val="24"/>
          <w:u w:val="single"/>
        </w:rPr>
      </w:pPr>
    </w:p>
    <w:p w14:paraId="62D8B625" w14:textId="77777777" w:rsidR="009B5AA5" w:rsidRPr="00FA3F9C" w:rsidRDefault="009B5AA5" w:rsidP="006F623F">
      <w:pPr>
        <w:spacing w:after="0"/>
        <w:rPr>
          <w:rFonts w:ascii="Arial" w:hAnsi="Arial" w:cs="Arial"/>
          <w:sz w:val="24"/>
          <w:szCs w:val="24"/>
        </w:rPr>
      </w:pPr>
      <w:r w:rsidRPr="00FA3F9C">
        <w:rPr>
          <w:rFonts w:ascii="Arial" w:hAnsi="Arial" w:cs="Arial"/>
          <w:b/>
          <w:sz w:val="24"/>
          <w:szCs w:val="24"/>
          <w:u w:val="single"/>
        </w:rPr>
        <w:t>FDA-approved for:</w:t>
      </w:r>
      <w:r w:rsidRPr="00FA3F9C">
        <w:rPr>
          <w:rFonts w:ascii="Arial" w:hAnsi="Arial" w:cs="Arial"/>
          <w:sz w:val="24"/>
          <w:szCs w:val="24"/>
        </w:rPr>
        <w:t xml:space="preserve">  </w:t>
      </w:r>
    </w:p>
    <w:p w14:paraId="2ED0854E" w14:textId="77777777" w:rsidR="009B5AA5" w:rsidRPr="00FA3F9C" w:rsidRDefault="009B5AA5" w:rsidP="009B5AA5">
      <w:pPr>
        <w:numPr>
          <w:ilvl w:val="0"/>
          <w:numId w:val="277"/>
        </w:numPr>
        <w:spacing w:after="0" w:line="240" w:lineRule="auto"/>
        <w:rPr>
          <w:rFonts w:ascii="Arial" w:hAnsi="Arial" w:cs="Arial"/>
          <w:b/>
          <w:sz w:val="24"/>
          <w:szCs w:val="24"/>
          <w:u w:val="single"/>
        </w:rPr>
      </w:pPr>
      <w:r w:rsidRPr="00FA3F9C">
        <w:rPr>
          <w:rFonts w:ascii="Arial" w:hAnsi="Arial" w:cs="Arial"/>
          <w:b/>
          <w:sz w:val="24"/>
          <w:szCs w:val="24"/>
          <w:u w:val="single"/>
        </w:rPr>
        <w:t>Melanoma</w:t>
      </w:r>
      <w:r w:rsidRPr="00FA3F9C">
        <w:rPr>
          <w:rFonts w:ascii="Arial" w:hAnsi="Arial" w:cs="Arial"/>
          <w:sz w:val="24"/>
          <w:szCs w:val="24"/>
        </w:rPr>
        <w:t xml:space="preserve"> (</w:t>
      </w:r>
      <w:hyperlink w:anchor="met_melanoma" w:history="1">
        <w:r w:rsidRPr="00FA3F9C">
          <w:rPr>
            <w:rStyle w:val="Hyperlink"/>
            <w:rFonts w:ascii="Arial" w:hAnsi="Arial" w:cs="Arial"/>
            <w:sz w:val="24"/>
            <w:szCs w:val="24"/>
          </w:rPr>
          <w:t>link to metastatic melanoma criteria</w:t>
        </w:r>
      </w:hyperlink>
      <w:r w:rsidRPr="00FA3F9C">
        <w:rPr>
          <w:rFonts w:ascii="Arial" w:hAnsi="Arial" w:cs="Arial"/>
          <w:sz w:val="24"/>
          <w:szCs w:val="24"/>
        </w:rPr>
        <w:t>) (</w:t>
      </w:r>
      <w:hyperlink w:anchor="adj_melanoma" w:history="1">
        <w:r w:rsidRPr="00FA3F9C">
          <w:rPr>
            <w:rStyle w:val="Hyperlink"/>
            <w:rFonts w:ascii="Arial" w:hAnsi="Arial" w:cs="Arial"/>
            <w:sz w:val="24"/>
            <w:szCs w:val="24"/>
          </w:rPr>
          <w:t>link to adjuvant criteria</w:t>
        </w:r>
      </w:hyperlink>
      <w:r w:rsidRPr="00FA3F9C">
        <w:rPr>
          <w:rFonts w:ascii="Arial" w:hAnsi="Arial" w:cs="Arial"/>
          <w:sz w:val="24"/>
          <w:szCs w:val="24"/>
        </w:rPr>
        <w:t>)</w:t>
      </w:r>
    </w:p>
    <w:p w14:paraId="1096CF57" w14:textId="77777777" w:rsidR="009B5AA5" w:rsidRPr="00FA3F9C" w:rsidRDefault="009B5AA5" w:rsidP="009B5AA5">
      <w:pPr>
        <w:numPr>
          <w:ilvl w:val="1"/>
          <w:numId w:val="277"/>
        </w:numPr>
        <w:spacing w:after="0" w:line="240" w:lineRule="auto"/>
        <w:rPr>
          <w:rFonts w:ascii="Arial" w:hAnsi="Arial" w:cs="Arial"/>
          <w:sz w:val="24"/>
          <w:szCs w:val="24"/>
        </w:rPr>
      </w:pPr>
      <w:r w:rsidRPr="00FA3F9C">
        <w:rPr>
          <w:rFonts w:ascii="Arial" w:hAnsi="Arial" w:cs="Arial"/>
          <w:sz w:val="24"/>
          <w:szCs w:val="24"/>
        </w:rPr>
        <w:t>Unresectable or metastatic melanoma, as a single agent or in combination with ipilimumab</w:t>
      </w:r>
    </w:p>
    <w:p w14:paraId="049CF375" w14:textId="77777777" w:rsidR="009B5AA5" w:rsidRPr="00FA3F9C" w:rsidRDefault="009B5AA5" w:rsidP="009B5AA5">
      <w:pPr>
        <w:numPr>
          <w:ilvl w:val="1"/>
          <w:numId w:val="277"/>
        </w:numPr>
        <w:spacing w:after="0" w:line="240" w:lineRule="auto"/>
        <w:rPr>
          <w:rFonts w:ascii="Arial" w:hAnsi="Arial" w:cs="Arial"/>
          <w:sz w:val="24"/>
          <w:szCs w:val="24"/>
        </w:rPr>
      </w:pPr>
      <w:r w:rsidRPr="00FA3F9C">
        <w:rPr>
          <w:rFonts w:ascii="Arial" w:hAnsi="Arial" w:cs="Arial"/>
          <w:sz w:val="24"/>
          <w:szCs w:val="24"/>
        </w:rPr>
        <w:t>Patients with melanoma with lymph node involvement or metastatic disease who have undergone complete resection in the adjuvant setting</w:t>
      </w:r>
    </w:p>
    <w:p w14:paraId="1434817C" w14:textId="77777777" w:rsidR="009B5AA5" w:rsidRPr="00FA3F9C" w:rsidRDefault="009B5AA5" w:rsidP="009B5AA5">
      <w:pPr>
        <w:numPr>
          <w:ilvl w:val="0"/>
          <w:numId w:val="276"/>
        </w:numPr>
        <w:spacing w:after="0" w:line="240" w:lineRule="auto"/>
        <w:rPr>
          <w:rFonts w:ascii="Arial" w:hAnsi="Arial" w:cs="Arial"/>
          <w:b/>
          <w:sz w:val="24"/>
          <w:szCs w:val="24"/>
          <w:u w:val="single"/>
        </w:rPr>
      </w:pPr>
      <w:r w:rsidRPr="00FA3F9C">
        <w:rPr>
          <w:rFonts w:ascii="Arial" w:hAnsi="Arial" w:cs="Arial"/>
          <w:b/>
          <w:sz w:val="24"/>
          <w:szCs w:val="24"/>
          <w:u w:val="single"/>
        </w:rPr>
        <w:t xml:space="preserve">Non-Small Cell Lung Cancer (NSCLC) </w:t>
      </w:r>
    </w:p>
    <w:p w14:paraId="3D582B71" w14:textId="77777777" w:rsidR="009B5AA5" w:rsidRPr="00FA3F9C" w:rsidRDefault="009B5AA5" w:rsidP="009B5AA5">
      <w:pPr>
        <w:numPr>
          <w:ilvl w:val="1"/>
          <w:numId w:val="276"/>
        </w:numPr>
        <w:spacing w:after="0" w:line="240" w:lineRule="auto"/>
        <w:rPr>
          <w:rFonts w:ascii="Arial" w:hAnsi="Arial" w:cs="Arial"/>
          <w:sz w:val="24"/>
          <w:szCs w:val="24"/>
        </w:rPr>
      </w:pPr>
      <w:r w:rsidRPr="00FA3F9C">
        <w:rPr>
          <w:rFonts w:ascii="Arial" w:hAnsi="Arial" w:cs="Arial"/>
          <w:sz w:val="24"/>
          <w:szCs w:val="24"/>
        </w:rPr>
        <w:t xml:space="preserve">Adult patients with </w:t>
      </w:r>
      <w:proofErr w:type="spellStart"/>
      <w:r w:rsidRPr="00FA3F9C">
        <w:rPr>
          <w:rFonts w:ascii="Arial" w:hAnsi="Arial" w:cs="Arial"/>
          <w:sz w:val="24"/>
          <w:szCs w:val="24"/>
        </w:rPr>
        <w:t>resectable</w:t>
      </w:r>
      <w:proofErr w:type="spellEnd"/>
      <w:r w:rsidRPr="00FA3F9C">
        <w:rPr>
          <w:rFonts w:ascii="Arial" w:hAnsi="Arial" w:cs="Arial"/>
          <w:sz w:val="24"/>
          <w:szCs w:val="24"/>
        </w:rPr>
        <w:t xml:space="preserve"> (tumors ≥4 cm or node positive) non-small cell lung cancer in the neoadjuvant setting, in combination with platinum-doublet chemotherapy (</w:t>
      </w:r>
      <w:hyperlink w:anchor="ESNSCLC" w:history="1">
        <w:r w:rsidRPr="00FA3F9C">
          <w:rPr>
            <w:rStyle w:val="Hyperlink"/>
            <w:rFonts w:ascii="Arial" w:hAnsi="Arial" w:cs="Arial"/>
            <w:sz w:val="24"/>
            <w:szCs w:val="24"/>
          </w:rPr>
          <w:t>link to criteria</w:t>
        </w:r>
      </w:hyperlink>
      <w:r w:rsidRPr="00FA3F9C">
        <w:rPr>
          <w:rFonts w:ascii="Arial" w:hAnsi="Arial" w:cs="Arial"/>
          <w:sz w:val="24"/>
          <w:szCs w:val="24"/>
        </w:rPr>
        <w:t>)</w:t>
      </w:r>
    </w:p>
    <w:p w14:paraId="7A876D22" w14:textId="77777777" w:rsidR="009B5AA5" w:rsidRPr="00FA3F9C" w:rsidRDefault="009B5AA5" w:rsidP="009B5AA5">
      <w:pPr>
        <w:numPr>
          <w:ilvl w:val="1"/>
          <w:numId w:val="276"/>
        </w:numPr>
        <w:spacing w:after="0" w:line="240" w:lineRule="auto"/>
        <w:rPr>
          <w:rFonts w:ascii="Arial" w:hAnsi="Arial" w:cs="Arial"/>
          <w:sz w:val="24"/>
          <w:szCs w:val="24"/>
        </w:rPr>
      </w:pPr>
      <w:r w:rsidRPr="00FA3F9C">
        <w:rPr>
          <w:rFonts w:ascii="Arial" w:hAnsi="Arial" w:cs="Arial"/>
          <w:sz w:val="24"/>
          <w:szCs w:val="24"/>
        </w:rPr>
        <w:lastRenderedPageBreak/>
        <w:t xml:space="preserve">Adult patients with metastatic non-small cell lung cancer expressing PD-L1 (≥1%) as determined by an FDA-approved test, with no EGFR or ALK genomic tumor aberrations, as first-line treatment </w:t>
      </w:r>
      <w:r w:rsidRPr="00FA3F9C">
        <w:rPr>
          <w:rFonts w:ascii="Arial" w:hAnsi="Arial" w:cs="Arial"/>
          <w:sz w:val="24"/>
          <w:szCs w:val="24"/>
          <w:u w:val="single"/>
        </w:rPr>
        <w:t>in combination with ipilimumab</w:t>
      </w:r>
      <w:r w:rsidRPr="00FA3F9C">
        <w:rPr>
          <w:rFonts w:ascii="Arial" w:hAnsi="Arial" w:cs="Arial"/>
          <w:sz w:val="24"/>
          <w:szCs w:val="24"/>
        </w:rPr>
        <w:t>. (</w:t>
      </w:r>
      <w:hyperlink w:anchor="NSCLC" w:history="1">
        <w:r w:rsidRPr="00FA3F9C">
          <w:rPr>
            <w:rStyle w:val="Hyperlink"/>
            <w:rFonts w:ascii="Arial" w:hAnsi="Arial" w:cs="Arial"/>
            <w:sz w:val="24"/>
            <w:szCs w:val="24"/>
          </w:rPr>
          <w:t>link to criteria</w:t>
        </w:r>
      </w:hyperlink>
      <w:r w:rsidRPr="00FA3F9C">
        <w:rPr>
          <w:rFonts w:ascii="Arial" w:hAnsi="Arial" w:cs="Arial"/>
          <w:sz w:val="24"/>
          <w:szCs w:val="24"/>
        </w:rPr>
        <w:t>)</w:t>
      </w:r>
    </w:p>
    <w:p w14:paraId="38729E73" w14:textId="77777777" w:rsidR="009B5AA5" w:rsidRPr="00FA3F9C" w:rsidRDefault="009B5AA5" w:rsidP="009B5AA5">
      <w:pPr>
        <w:numPr>
          <w:ilvl w:val="1"/>
          <w:numId w:val="276"/>
        </w:numPr>
        <w:spacing w:after="0" w:line="240" w:lineRule="auto"/>
        <w:rPr>
          <w:rFonts w:ascii="Arial" w:hAnsi="Arial" w:cs="Arial"/>
          <w:sz w:val="24"/>
          <w:szCs w:val="24"/>
        </w:rPr>
      </w:pPr>
      <w:r w:rsidRPr="00FA3F9C">
        <w:rPr>
          <w:rFonts w:ascii="Arial" w:hAnsi="Arial" w:cs="Arial"/>
          <w:sz w:val="24"/>
          <w:szCs w:val="24"/>
        </w:rPr>
        <w:t xml:space="preserve">Adult patients with metastatic or recurrent non-small cell lung cancer with no EGFR or ALK genomic tumor aberrations as first-line treatment, </w:t>
      </w:r>
      <w:r w:rsidRPr="00FA3F9C">
        <w:rPr>
          <w:rFonts w:ascii="Arial" w:hAnsi="Arial" w:cs="Arial"/>
          <w:sz w:val="24"/>
          <w:szCs w:val="24"/>
          <w:u w:val="single"/>
        </w:rPr>
        <w:t>in combination with ipilimumab and 2 cycles of platinum-doublet chemotherapy</w:t>
      </w:r>
      <w:r w:rsidRPr="00FA3F9C">
        <w:rPr>
          <w:rFonts w:ascii="Arial" w:hAnsi="Arial" w:cs="Arial"/>
          <w:sz w:val="24"/>
          <w:szCs w:val="24"/>
        </w:rPr>
        <w:t>. (</w:t>
      </w:r>
      <w:hyperlink w:anchor="NSCLC" w:history="1">
        <w:r w:rsidRPr="00FA3F9C">
          <w:rPr>
            <w:rStyle w:val="Hyperlink"/>
            <w:rFonts w:ascii="Arial" w:hAnsi="Arial" w:cs="Arial"/>
            <w:sz w:val="24"/>
            <w:szCs w:val="24"/>
          </w:rPr>
          <w:t>link to criteria</w:t>
        </w:r>
      </w:hyperlink>
      <w:r w:rsidRPr="00FA3F9C">
        <w:rPr>
          <w:rFonts w:ascii="Arial" w:hAnsi="Arial" w:cs="Arial"/>
          <w:sz w:val="24"/>
          <w:szCs w:val="24"/>
        </w:rPr>
        <w:t>)</w:t>
      </w:r>
    </w:p>
    <w:p w14:paraId="2035673D" w14:textId="77777777" w:rsidR="009B5AA5" w:rsidRPr="00FA3F9C" w:rsidRDefault="009B5AA5" w:rsidP="009B5AA5">
      <w:pPr>
        <w:numPr>
          <w:ilvl w:val="1"/>
          <w:numId w:val="276"/>
        </w:numPr>
        <w:spacing w:after="0" w:line="240" w:lineRule="auto"/>
        <w:rPr>
          <w:rFonts w:ascii="Arial" w:hAnsi="Arial" w:cs="Arial"/>
          <w:sz w:val="24"/>
          <w:szCs w:val="24"/>
        </w:rPr>
      </w:pPr>
      <w:r w:rsidRPr="00FA3F9C">
        <w:rPr>
          <w:rFonts w:ascii="Arial" w:hAnsi="Arial" w:cs="Arial"/>
          <w:sz w:val="24"/>
          <w:szCs w:val="24"/>
        </w:rPr>
        <w:t xml:space="preserve">Metastatic NSCLC and progression on or after </w:t>
      </w:r>
      <w:proofErr w:type="gramStart"/>
      <w:r w:rsidRPr="00FA3F9C">
        <w:rPr>
          <w:rFonts w:ascii="Arial" w:hAnsi="Arial" w:cs="Arial"/>
          <w:sz w:val="24"/>
          <w:szCs w:val="24"/>
        </w:rPr>
        <w:t>platinum based</w:t>
      </w:r>
      <w:proofErr w:type="gramEnd"/>
      <w:r w:rsidRPr="00FA3F9C">
        <w:rPr>
          <w:rFonts w:ascii="Arial" w:hAnsi="Arial" w:cs="Arial"/>
          <w:sz w:val="24"/>
          <w:szCs w:val="24"/>
        </w:rPr>
        <w:t xml:space="preserve"> chemotherapy. Patients with EGFR or ALK genomic tumor aberrations should have disease progression on FDA-approved therapy for these aberrations prior to receiving nivolumab. (</w:t>
      </w:r>
      <w:hyperlink w:anchor="NSCLC" w:history="1">
        <w:r w:rsidRPr="00FA3F9C">
          <w:rPr>
            <w:rStyle w:val="Hyperlink"/>
            <w:rFonts w:ascii="Arial" w:hAnsi="Arial" w:cs="Arial"/>
            <w:sz w:val="24"/>
            <w:szCs w:val="24"/>
          </w:rPr>
          <w:t>link to criteria</w:t>
        </w:r>
      </w:hyperlink>
      <w:r w:rsidRPr="00FA3F9C">
        <w:rPr>
          <w:rFonts w:ascii="Arial" w:hAnsi="Arial" w:cs="Arial"/>
          <w:sz w:val="24"/>
          <w:szCs w:val="24"/>
        </w:rPr>
        <w:t>)</w:t>
      </w:r>
    </w:p>
    <w:p w14:paraId="3BC6513F" w14:textId="77777777" w:rsidR="009B5AA5" w:rsidRPr="00FA3F9C" w:rsidRDefault="009B5AA5" w:rsidP="009B5AA5">
      <w:pPr>
        <w:numPr>
          <w:ilvl w:val="0"/>
          <w:numId w:val="276"/>
        </w:numPr>
        <w:spacing w:after="0" w:line="240" w:lineRule="auto"/>
        <w:rPr>
          <w:rFonts w:ascii="Arial" w:hAnsi="Arial" w:cs="Arial"/>
          <w:b/>
          <w:sz w:val="24"/>
          <w:szCs w:val="24"/>
          <w:u w:val="single"/>
        </w:rPr>
      </w:pPr>
      <w:r w:rsidRPr="00FA3F9C">
        <w:rPr>
          <w:rFonts w:ascii="Arial" w:hAnsi="Arial" w:cs="Arial"/>
          <w:b/>
          <w:sz w:val="24"/>
          <w:szCs w:val="24"/>
          <w:u w:val="single"/>
        </w:rPr>
        <w:t xml:space="preserve">Malignant Pleural Mesothelioma </w:t>
      </w:r>
      <w:r w:rsidRPr="00FA3F9C">
        <w:rPr>
          <w:rFonts w:ascii="Arial" w:hAnsi="Arial" w:cs="Arial"/>
          <w:sz w:val="24"/>
          <w:szCs w:val="24"/>
        </w:rPr>
        <w:t>(</w:t>
      </w:r>
      <w:hyperlink w:anchor="mesothelioma" w:history="1">
        <w:r w:rsidRPr="00FA3F9C">
          <w:rPr>
            <w:rStyle w:val="Hyperlink"/>
            <w:rFonts w:ascii="Arial" w:hAnsi="Arial" w:cs="Arial"/>
            <w:sz w:val="24"/>
            <w:szCs w:val="24"/>
          </w:rPr>
          <w:t>link to criteria</w:t>
        </w:r>
      </w:hyperlink>
      <w:r w:rsidRPr="00FA3F9C">
        <w:rPr>
          <w:rFonts w:ascii="Arial" w:hAnsi="Arial" w:cs="Arial"/>
          <w:sz w:val="24"/>
          <w:szCs w:val="24"/>
        </w:rPr>
        <w:t>)</w:t>
      </w:r>
    </w:p>
    <w:p w14:paraId="4227BFAB" w14:textId="77777777" w:rsidR="009B5AA5" w:rsidRPr="00FA3F9C" w:rsidRDefault="009B5AA5" w:rsidP="009B5AA5">
      <w:pPr>
        <w:numPr>
          <w:ilvl w:val="1"/>
          <w:numId w:val="276"/>
        </w:numPr>
        <w:spacing w:after="0" w:line="240" w:lineRule="auto"/>
        <w:rPr>
          <w:rFonts w:ascii="Arial" w:hAnsi="Arial" w:cs="Arial"/>
          <w:b/>
          <w:sz w:val="24"/>
          <w:szCs w:val="24"/>
          <w:u w:val="single"/>
        </w:rPr>
      </w:pPr>
      <w:r w:rsidRPr="00FA3F9C">
        <w:rPr>
          <w:rFonts w:ascii="Arial" w:hAnsi="Arial" w:cs="Arial"/>
          <w:sz w:val="24"/>
          <w:szCs w:val="24"/>
        </w:rPr>
        <w:t xml:space="preserve">Adult patients with unresectable malignant pleural mesothelioma, as first-line treatment in combination with ipilimumab </w:t>
      </w:r>
    </w:p>
    <w:p w14:paraId="09F0DE8A" w14:textId="77777777" w:rsidR="009B5AA5" w:rsidRPr="00FA3F9C" w:rsidRDefault="009B5AA5" w:rsidP="009B5AA5">
      <w:pPr>
        <w:numPr>
          <w:ilvl w:val="0"/>
          <w:numId w:val="276"/>
        </w:numPr>
        <w:spacing w:after="0" w:line="240" w:lineRule="auto"/>
        <w:rPr>
          <w:rFonts w:ascii="Arial" w:hAnsi="Arial" w:cs="Arial"/>
          <w:b/>
          <w:sz w:val="24"/>
          <w:szCs w:val="24"/>
          <w:u w:val="single"/>
        </w:rPr>
      </w:pPr>
      <w:r w:rsidRPr="00FA3F9C">
        <w:rPr>
          <w:rFonts w:ascii="Arial" w:hAnsi="Arial" w:cs="Arial"/>
          <w:b/>
          <w:sz w:val="24"/>
          <w:szCs w:val="24"/>
          <w:u w:val="single"/>
        </w:rPr>
        <w:t xml:space="preserve">Renal Cell Carcinoma (RCC) </w:t>
      </w:r>
      <w:r w:rsidRPr="00FA3F9C">
        <w:rPr>
          <w:rFonts w:ascii="Arial" w:hAnsi="Arial" w:cs="Arial"/>
          <w:sz w:val="24"/>
          <w:szCs w:val="24"/>
        </w:rPr>
        <w:t>(</w:t>
      </w:r>
      <w:hyperlink w:anchor="RCC" w:history="1">
        <w:r w:rsidRPr="00FA3F9C">
          <w:rPr>
            <w:rStyle w:val="Hyperlink"/>
            <w:rFonts w:ascii="Arial" w:hAnsi="Arial" w:cs="Arial"/>
            <w:sz w:val="24"/>
            <w:szCs w:val="24"/>
          </w:rPr>
          <w:t>link to criteria</w:t>
        </w:r>
      </w:hyperlink>
      <w:r w:rsidRPr="00FA3F9C">
        <w:rPr>
          <w:rFonts w:ascii="Arial" w:hAnsi="Arial" w:cs="Arial"/>
          <w:sz w:val="24"/>
          <w:szCs w:val="24"/>
        </w:rPr>
        <w:t>)</w:t>
      </w:r>
    </w:p>
    <w:p w14:paraId="7895F852" w14:textId="77777777" w:rsidR="009B5AA5" w:rsidRPr="00FA3F9C" w:rsidRDefault="009B5AA5" w:rsidP="009B5AA5">
      <w:pPr>
        <w:numPr>
          <w:ilvl w:val="1"/>
          <w:numId w:val="276"/>
        </w:numPr>
        <w:spacing w:after="0" w:line="240" w:lineRule="auto"/>
        <w:rPr>
          <w:rFonts w:ascii="Arial" w:hAnsi="Arial" w:cs="Arial"/>
          <w:sz w:val="24"/>
          <w:szCs w:val="24"/>
        </w:rPr>
      </w:pPr>
      <w:r w:rsidRPr="00FA3F9C">
        <w:rPr>
          <w:rFonts w:ascii="Arial" w:hAnsi="Arial" w:cs="Arial"/>
          <w:sz w:val="24"/>
          <w:szCs w:val="24"/>
        </w:rPr>
        <w:t xml:space="preserve">Patients with intermediate or poor risk advanced RCC, as first-line treatment in combination with ipilimumab </w:t>
      </w:r>
    </w:p>
    <w:p w14:paraId="2C6457BA" w14:textId="77777777" w:rsidR="009B5AA5" w:rsidRPr="00FA3F9C" w:rsidRDefault="009B5AA5" w:rsidP="009B5AA5">
      <w:pPr>
        <w:numPr>
          <w:ilvl w:val="1"/>
          <w:numId w:val="276"/>
        </w:numPr>
        <w:spacing w:after="0" w:line="240" w:lineRule="auto"/>
        <w:rPr>
          <w:rFonts w:ascii="Arial" w:hAnsi="Arial" w:cs="Arial"/>
          <w:sz w:val="24"/>
          <w:szCs w:val="24"/>
        </w:rPr>
      </w:pPr>
      <w:r w:rsidRPr="00FA3F9C">
        <w:rPr>
          <w:rFonts w:ascii="Arial" w:hAnsi="Arial" w:cs="Arial"/>
          <w:sz w:val="24"/>
          <w:szCs w:val="24"/>
        </w:rPr>
        <w:t xml:space="preserve">Patients with advanced RCC, as first-line treatment in combination with </w:t>
      </w:r>
      <w:proofErr w:type="spellStart"/>
      <w:r w:rsidRPr="00FA3F9C">
        <w:rPr>
          <w:rFonts w:ascii="Arial" w:hAnsi="Arial" w:cs="Arial"/>
          <w:sz w:val="24"/>
          <w:szCs w:val="24"/>
        </w:rPr>
        <w:t>cabozantinib</w:t>
      </w:r>
      <w:proofErr w:type="spellEnd"/>
    </w:p>
    <w:p w14:paraId="208650D1" w14:textId="77777777" w:rsidR="009B5AA5" w:rsidRPr="00FA3F9C" w:rsidRDefault="009B5AA5" w:rsidP="009B5AA5">
      <w:pPr>
        <w:numPr>
          <w:ilvl w:val="1"/>
          <w:numId w:val="276"/>
        </w:numPr>
        <w:spacing w:after="0" w:line="240" w:lineRule="auto"/>
        <w:rPr>
          <w:rFonts w:ascii="Arial" w:hAnsi="Arial" w:cs="Arial"/>
          <w:sz w:val="24"/>
          <w:szCs w:val="24"/>
        </w:rPr>
      </w:pPr>
      <w:r w:rsidRPr="00FA3F9C">
        <w:rPr>
          <w:rFonts w:ascii="Arial" w:hAnsi="Arial" w:cs="Arial"/>
          <w:sz w:val="24"/>
          <w:szCs w:val="24"/>
        </w:rPr>
        <w:t>Patients with advanced RCC who have received prior anti-angiogenic therapy</w:t>
      </w:r>
    </w:p>
    <w:p w14:paraId="5BD71806" w14:textId="77777777" w:rsidR="009B5AA5" w:rsidRPr="00FA3F9C" w:rsidRDefault="009B5AA5" w:rsidP="009B5AA5">
      <w:pPr>
        <w:numPr>
          <w:ilvl w:val="0"/>
          <w:numId w:val="278"/>
        </w:numPr>
        <w:spacing w:after="0" w:line="240" w:lineRule="auto"/>
        <w:rPr>
          <w:rFonts w:ascii="Arial" w:hAnsi="Arial" w:cs="Arial"/>
          <w:sz w:val="24"/>
          <w:szCs w:val="24"/>
        </w:rPr>
      </w:pPr>
      <w:r w:rsidRPr="00FA3F9C">
        <w:rPr>
          <w:rFonts w:ascii="Arial" w:hAnsi="Arial" w:cs="Arial"/>
          <w:b/>
          <w:sz w:val="24"/>
          <w:szCs w:val="24"/>
          <w:u w:val="single"/>
        </w:rPr>
        <w:t xml:space="preserve">Classical Hodgkin lymphoma (CHL) </w:t>
      </w:r>
      <w:r w:rsidRPr="00FA3F9C">
        <w:rPr>
          <w:rFonts w:ascii="Arial" w:hAnsi="Arial" w:cs="Arial"/>
          <w:sz w:val="24"/>
          <w:szCs w:val="24"/>
        </w:rPr>
        <w:t>(</w:t>
      </w:r>
      <w:hyperlink w:anchor="hodgkin" w:history="1">
        <w:r w:rsidRPr="00FA3F9C">
          <w:rPr>
            <w:rStyle w:val="Hyperlink"/>
            <w:rFonts w:ascii="Arial" w:hAnsi="Arial" w:cs="Arial"/>
            <w:sz w:val="24"/>
            <w:szCs w:val="24"/>
          </w:rPr>
          <w:t>link to criteria</w:t>
        </w:r>
      </w:hyperlink>
      <w:r w:rsidRPr="00FA3F9C">
        <w:rPr>
          <w:rFonts w:ascii="Arial" w:hAnsi="Arial" w:cs="Arial"/>
          <w:sz w:val="24"/>
          <w:szCs w:val="24"/>
        </w:rPr>
        <w:t>)</w:t>
      </w:r>
    </w:p>
    <w:p w14:paraId="65C17D90" w14:textId="77777777" w:rsidR="009B5AA5" w:rsidRPr="00FA3F9C" w:rsidRDefault="009B5AA5" w:rsidP="009B5AA5">
      <w:pPr>
        <w:numPr>
          <w:ilvl w:val="1"/>
          <w:numId w:val="278"/>
        </w:numPr>
        <w:spacing w:after="0" w:line="240" w:lineRule="auto"/>
        <w:rPr>
          <w:rFonts w:ascii="Arial" w:hAnsi="Arial" w:cs="Arial"/>
          <w:sz w:val="24"/>
          <w:szCs w:val="24"/>
        </w:rPr>
      </w:pPr>
      <w:r w:rsidRPr="00FA3F9C">
        <w:rPr>
          <w:rFonts w:ascii="Arial" w:hAnsi="Arial" w:cs="Arial"/>
          <w:sz w:val="24"/>
          <w:szCs w:val="24"/>
        </w:rPr>
        <w:t xml:space="preserve">CHL that has relapsed or progressed after autologous hematopoietic stem cell transplantation (HSCT) and post-transplantation brentuximab </w:t>
      </w:r>
      <w:proofErr w:type="spellStart"/>
      <w:r w:rsidRPr="00FA3F9C">
        <w:rPr>
          <w:rFonts w:ascii="Arial" w:hAnsi="Arial" w:cs="Arial"/>
          <w:sz w:val="24"/>
          <w:szCs w:val="24"/>
        </w:rPr>
        <w:t>vedotin</w:t>
      </w:r>
      <w:r w:rsidRPr="00FA3F9C">
        <w:rPr>
          <w:rFonts w:ascii="Arial" w:hAnsi="Arial" w:cs="Arial"/>
          <w:sz w:val="24"/>
          <w:szCs w:val="24"/>
          <w:vertAlign w:val="superscript"/>
        </w:rPr>
        <w:t>a</w:t>
      </w:r>
      <w:proofErr w:type="spellEnd"/>
      <w:r w:rsidRPr="00FA3F9C">
        <w:rPr>
          <w:rFonts w:ascii="Arial" w:hAnsi="Arial" w:cs="Arial"/>
          <w:sz w:val="24"/>
          <w:szCs w:val="24"/>
          <w:vertAlign w:val="superscript"/>
        </w:rPr>
        <w:t xml:space="preserve"> </w:t>
      </w:r>
    </w:p>
    <w:p w14:paraId="4AFADFEB" w14:textId="77777777" w:rsidR="009B5AA5" w:rsidRPr="00FA3F9C" w:rsidRDefault="009B5AA5" w:rsidP="009B5AA5">
      <w:pPr>
        <w:numPr>
          <w:ilvl w:val="1"/>
          <w:numId w:val="278"/>
        </w:numPr>
        <w:spacing w:after="0" w:line="240" w:lineRule="auto"/>
        <w:rPr>
          <w:rFonts w:ascii="Arial" w:hAnsi="Arial" w:cs="Arial"/>
          <w:sz w:val="24"/>
          <w:szCs w:val="24"/>
        </w:rPr>
      </w:pPr>
      <w:r w:rsidRPr="00FA3F9C">
        <w:rPr>
          <w:rFonts w:ascii="Arial" w:hAnsi="Arial" w:cs="Arial"/>
          <w:sz w:val="24"/>
          <w:szCs w:val="24"/>
        </w:rPr>
        <w:t xml:space="preserve">CHL that has relapsed or progressed after 3 or more lines of systemic therapy that includes autologous </w:t>
      </w:r>
      <w:proofErr w:type="spellStart"/>
      <w:r w:rsidRPr="00FA3F9C">
        <w:rPr>
          <w:rFonts w:ascii="Arial" w:hAnsi="Arial" w:cs="Arial"/>
          <w:sz w:val="24"/>
          <w:szCs w:val="24"/>
        </w:rPr>
        <w:t>HSCT</w:t>
      </w:r>
      <w:r w:rsidRPr="00FA3F9C">
        <w:rPr>
          <w:rFonts w:ascii="Arial" w:hAnsi="Arial" w:cs="Arial"/>
          <w:sz w:val="24"/>
          <w:szCs w:val="24"/>
          <w:vertAlign w:val="superscript"/>
        </w:rPr>
        <w:t>a</w:t>
      </w:r>
      <w:proofErr w:type="spellEnd"/>
      <w:r w:rsidRPr="00FA3F9C">
        <w:rPr>
          <w:rFonts w:ascii="Arial" w:hAnsi="Arial" w:cs="Arial"/>
          <w:sz w:val="24"/>
          <w:szCs w:val="24"/>
        </w:rPr>
        <w:t xml:space="preserve"> </w:t>
      </w:r>
    </w:p>
    <w:p w14:paraId="156D15B6" w14:textId="77777777" w:rsidR="009B5AA5" w:rsidRPr="00FA3F9C" w:rsidRDefault="009B5AA5" w:rsidP="009B5AA5">
      <w:pPr>
        <w:numPr>
          <w:ilvl w:val="0"/>
          <w:numId w:val="278"/>
        </w:numPr>
        <w:spacing w:after="0" w:line="240" w:lineRule="auto"/>
        <w:rPr>
          <w:rFonts w:ascii="Arial" w:hAnsi="Arial" w:cs="Arial"/>
          <w:sz w:val="24"/>
          <w:szCs w:val="24"/>
        </w:rPr>
      </w:pPr>
      <w:r w:rsidRPr="00FA3F9C">
        <w:rPr>
          <w:rFonts w:ascii="Arial" w:hAnsi="Arial" w:cs="Arial"/>
          <w:b/>
          <w:sz w:val="24"/>
          <w:szCs w:val="24"/>
          <w:u w:val="single"/>
        </w:rPr>
        <w:t xml:space="preserve">Head and Neck Cancer  </w:t>
      </w:r>
      <w:r w:rsidRPr="00FA3F9C">
        <w:rPr>
          <w:rFonts w:ascii="Arial" w:hAnsi="Arial" w:cs="Arial"/>
          <w:sz w:val="24"/>
          <w:szCs w:val="24"/>
        </w:rPr>
        <w:t>(</w:t>
      </w:r>
      <w:hyperlink w:anchor="head_neck" w:history="1">
        <w:r w:rsidRPr="00FA3F9C">
          <w:rPr>
            <w:rStyle w:val="Hyperlink"/>
            <w:rFonts w:ascii="Arial" w:hAnsi="Arial" w:cs="Arial"/>
            <w:sz w:val="24"/>
            <w:szCs w:val="24"/>
          </w:rPr>
          <w:t>link to criteria</w:t>
        </w:r>
      </w:hyperlink>
      <w:r w:rsidRPr="00FA3F9C">
        <w:rPr>
          <w:rFonts w:ascii="Arial" w:hAnsi="Arial" w:cs="Arial"/>
          <w:sz w:val="24"/>
          <w:szCs w:val="24"/>
        </w:rPr>
        <w:t>)</w:t>
      </w:r>
    </w:p>
    <w:p w14:paraId="14E6AAB5" w14:textId="77777777" w:rsidR="009B5AA5" w:rsidRPr="00FA3F9C" w:rsidRDefault="009B5AA5" w:rsidP="009B5AA5">
      <w:pPr>
        <w:numPr>
          <w:ilvl w:val="1"/>
          <w:numId w:val="278"/>
        </w:numPr>
        <w:spacing w:after="0" w:line="240" w:lineRule="auto"/>
        <w:rPr>
          <w:rFonts w:ascii="Arial" w:hAnsi="Arial" w:cs="Arial"/>
          <w:sz w:val="24"/>
          <w:szCs w:val="24"/>
        </w:rPr>
      </w:pPr>
      <w:r w:rsidRPr="00FA3F9C">
        <w:rPr>
          <w:rFonts w:ascii="Arial" w:hAnsi="Arial" w:cs="Arial"/>
          <w:sz w:val="24"/>
          <w:szCs w:val="24"/>
        </w:rPr>
        <w:t>Squamous cell carcinoma of the head and neck with disease progression on or after a platinum-based therapy</w:t>
      </w:r>
    </w:p>
    <w:p w14:paraId="702F8F15" w14:textId="77777777" w:rsidR="009B5AA5" w:rsidRPr="00FA3F9C" w:rsidRDefault="009B5AA5" w:rsidP="009B5AA5">
      <w:pPr>
        <w:numPr>
          <w:ilvl w:val="0"/>
          <w:numId w:val="278"/>
        </w:numPr>
        <w:spacing w:after="0" w:line="240" w:lineRule="auto"/>
        <w:rPr>
          <w:rFonts w:ascii="Arial" w:hAnsi="Arial" w:cs="Arial"/>
          <w:b/>
          <w:sz w:val="24"/>
          <w:szCs w:val="24"/>
        </w:rPr>
      </w:pPr>
      <w:r w:rsidRPr="00FA3F9C">
        <w:rPr>
          <w:rFonts w:ascii="Arial" w:hAnsi="Arial" w:cs="Arial"/>
          <w:b/>
          <w:sz w:val="24"/>
          <w:szCs w:val="24"/>
          <w:u w:val="single"/>
        </w:rPr>
        <w:t>Urothelial carcinoma</w:t>
      </w:r>
    </w:p>
    <w:p w14:paraId="6B9114B5" w14:textId="77777777" w:rsidR="009B5AA5" w:rsidRPr="00FA3F9C" w:rsidRDefault="009B5AA5" w:rsidP="009B5AA5">
      <w:pPr>
        <w:numPr>
          <w:ilvl w:val="1"/>
          <w:numId w:val="278"/>
        </w:numPr>
        <w:spacing w:after="0" w:line="240" w:lineRule="auto"/>
        <w:rPr>
          <w:rFonts w:ascii="Arial" w:hAnsi="Arial" w:cs="Arial"/>
          <w:sz w:val="24"/>
          <w:szCs w:val="24"/>
        </w:rPr>
      </w:pPr>
      <w:r w:rsidRPr="00FA3F9C">
        <w:rPr>
          <w:rFonts w:ascii="Arial" w:hAnsi="Arial" w:cs="Arial"/>
          <w:sz w:val="24"/>
          <w:szCs w:val="24"/>
        </w:rPr>
        <w:t>Adjuvant treatment of patients with urothelial carcinoma who are at high risk of recurrence after undergoing radical resection (</w:t>
      </w:r>
      <w:hyperlink w:anchor="Urothelial" w:history="1">
        <w:r w:rsidRPr="00FA3F9C">
          <w:rPr>
            <w:rStyle w:val="Hyperlink"/>
            <w:rFonts w:ascii="Arial" w:hAnsi="Arial" w:cs="Arial"/>
            <w:sz w:val="24"/>
            <w:szCs w:val="24"/>
          </w:rPr>
          <w:t>link to criteria</w:t>
        </w:r>
      </w:hyperlink>
      <w:r w:rsidRPr="00FA3F9C">
        <w:rPr>
          <w:rFonts w:ascii="Arial" w:hAnsi="Arial" w:cs="Arial"/>
          <w:sz w:val="24"/>
          <w:szCs w:val="24"/>
        </w:rPr>
        <w:t>)</w:t>
      </w:r>
    </w:p>
    <w:p w14:paraId="37D45C2A" w14:textId="77777777" w:rsidR="009B5AA5" w:rsidRPr="00FA3F9C" w:rsidRDefault="009B5AA5" w:rsidP="009B5AA5">
      <w:pPr>
        <w:numPr>
          <w:ilvl w:val="1"/>
          <w:numId w:val="278"/>
        </w:numPr>
        <w:spacing w:after="0" w:line="240" w:lineRule="auto"/>
        <w:rPr>
          <w:rFonts w:ascii="Arial" w:hAnsi="Arial" w:cs="Arial"/>
          <w:sz w:val="24"/>
          <w:szCs w:val="24"/>
        </w:rPr>
      </w:pPr>
      <w:r w:rsidRPr="00FA3F9C">
        <w:rPr>
          <w:rFonts w:ascii="Arial" w:hAnsi="Arial" w:cs="Arial"/>
          <w:sz w:val="24"/>
          <w:szCs w:val="24"/>
        </w:rPr>
        <w:t xml:space="preserve">Locally advanced or metastatic disease with progression during or following platinum-containing </w:t>
      </w:r>
      <w:proofErr w:type="spellStart"/>
      <w:r w:rsidRPr="00FA3F9C">
        <w:rPr>
          <w:rFonts w:ascii="Arial" w:hAnsi="Arial" w:cs="Arial"/>
          <w:sz w:val="24"/>
          <w:szCs w:val="24"/>
        </w:rPr>
        <w:t>chemotherapy</w:t>
      </w:r>
      <w:r w:rsidRPr="00FA3F9C">
        <w:rPr>
          <w:rFonts w:ascii="Arial" w:hAnsi="Arial" w:cs="Arial"/>
          <w:sz w:val="24"/>
          <w:szCs w:val="24"/>
          <w:vertAlign w:val="superscript"/>
        </w:rPr>
        <w:t>a</w:t>
      </w:r>
      <w:proofErr w:type="spellEnd"/>
      <w:r w:rsidRPr="00FA3F9C">
        <w:rPr>
          <w:rFonts w:ascii="Arial" w:hAnsi="Arial" w:cs="Arial"/>
          <w:sz w:val="24"/>
          <w:szCs w:val="24"/>
          <w:vertAlign w:val="superscript"/>
        </w:rPr>
        <w:t xml:space="preserve"> </w:t>
      </w:r>
      <w:r w:rsidRPr="00FA3F9C">
        <w:rPr>
          <w:rFonts w:ascii="Arial" w:hAnsi="Arial" w:cs="Arial"/>
          <w:sz w:val="24"/>
          <w:szCs w:val="24"/>
          <w:highlight w:val="yellow"/>
        </w:rPr>
        <w:t>NOT COVERED</w:t>
      </w:r>
      <w:r w:rsidRPr="00FA3F9C">
        <w:rPr>
          <w:rFonts w:ascii="Arial" w:hAnsi="Arial" w:cs="Arial"/>
          <w:sz w:val="24"/>
          <w:szCs w:val="24"/>
        </w:rPr>
        <w:t>: lack of comparative data</w:t>
      </w:r>
    </w:p>
    <w:p w14:paraId="68E08D33" w14:textId="77777777" w:rsidR="009B5AA5" w:rsidRPr="00FA3F9C" w:rsidRDefault="009B5AA5" w:rsidP="009B5AA5">
      <w:pPr>
        <w:numPr>
          <w:ilvl w:val="1"/>
          <w:numId w:val="278"/>
        </w:numPr>
        <w:spacing w:after="0" w:line="240" w:lineRule="auto"/>
        <w:rPr>
          <w:rFonts w:ascii="Arial" w:hAnsi="Arial" w:cs="Arial"/>
          <w:sz w:val="24"/>
          <w:szCs w:val="24"/>
        </w:rPr>
      </w:pPr>
      <w:r w:rsidRPr="00FA3F9C">
        <w:rPr>
          <w:rFonts w:ascii="Arial" w:hAnsi="Arial" w:cs="Arial"/>
          <w:sz w:val="24"/>
          <w:szCs w:val="24"/>
        </w:rPr>
        <w:t xml:space="preserve">Locally advanced or metastatic disease with progression within 12 months of neoadjuvant or adjuvant treatment with platinum-containing </w:t>
      </w:r>
      <w:proofErr w:type="spellStart"/>
      <w:r w:rsidRPr="00FA3F9C">
        <w:rPr>
          <w:rFonts w:ascii="Arial" w:hAnsi="Arial" w:cs="Arial"/>
          <w:sz w:val="24"/>
          <w:szCs w:val="24"/>
        </w:rPr>
        <w:t>chemotherapy</w:t>
      </w:r>
      <w:r w:rsidRPr="00FA3F9C">
        <w:rPr>
          <w:rFonts w:ascii="Arial" w:hAnsi="Arial" w:cs="Arial"/>
          <w:sz w:val="24"/>
          <w:szCs w:val="24"/>
          <w:vertAlign w:val="superscript"/>
        </w:rPr>
        <w:t>b</w:t>
      </w:r>
      <w:proofErr w:type="spellEnd"/>
      <w:r w:rsidRPr="00FA3F9C">
        <w:rPr>
          <w:rFonts w:ascii="Arial" w:hAnsi="Arial" w:cs="Arial"/>
          <w:sz w:val="24"/>
          <w:szCs w:val="24"/>
        </w:rPr>
        <w:t xml:space="preserve"> </w:t>
      </w:r>
      <w:r w:rsidRPr="00FA3F9C">
        <w:rPr>
          <w:rFonts w:ascii="Arial" w:hAnsi="Arial" w:cs="Arial"/>
          <w:sz w:val="24"/>
          <w:szCs w:val="24"/>
          <w:highlight w:val="yellow"/>
        </w:rPr>
        <w:t>NOT COVERED</w:t>
      </w:r>
      <w:r w:rsidRPr="00FA3F9C">
        <w:rPr>
          <w:rFonts w:ascii="Arial" w:hAnsi="Arial" w:cs="Arial"/>
          <w:sz w:val="24"/>
          <w:szCs w:val="24"/>
        </w:rPr>
        <w:t>: lack of comparative data</w:t>
      </w:r>
    </w:p>
    <w:p w14:paraId="0995C47C" w14:textId="77777777" w:rsidR="009B5AA5" w:rsidRPr="00FA3F9C" w:rsidRDefault="009B5AA5" w:rsidP="009B5AA5">
      <w:pPr>
        <w:numPr>
          <w:ilvl w:val="0"/>
          <w:numId w:val="278"/>
        </w:numPr>
        <w:spacing w:after="0" w:line="240" w:lineRule="auto"/>
        <w:rPr>
          <w:rFonts w:ascii="Arial" w:hAnsi="Arial" w:cs="Arial"/>
          <w:sz w:val="24"/>
          <w:szCs w:val="24"/>
        </w:rPr>
      </w:pPr>
      <w:r w:rsidRPr="00FA3F9C">
        <w:rPr>
          <w:rFonts w:ascii="Arial" w:hAnsi="Arial" w:cs="Arial"/>
          <w:b/>
          <w:sz w:val="24"/>
          <w:szCs w:val="24"/>
          <w:u w:val="single"/>
        </w:rPr>
        <w:t>Colorectal cancer</w:t>
      </w:r>
    </w:p>
    <w:p w14:paraId="519F6C30" w14:textId="77777777" w:rsidR="009B5AA5" w:rsidRPr="00FA3F9C" w:rsidRDefault="009B5AA5" w:rsidP="009B5AA5">
      <w:pPr>
        <w:numPr>
          <w:ilvl w:val="1"/>
          <w:numId w:val="278"/>
        </w:numPr>
        <w:spacing w:after="0" w:line="240" w:lineRule="auto"/>
        <w:rPr>
          <w:rFonts w:ascii="Arial" w:hAnsi="Arial" w:cs="Arial"/>
          <w:sz w:val="24"/>
          <w:szCs w:val="24"/>
        </w:rPr>
      </w:pPr>
      <w:r w:rsidRPr="00FA3F9C">
        <w:rPr>
          <w:rFonts w:ascii="Arial" w:hAnsi="Arial" w:cs="Arial"/>
          <w:sz w:val="24"/>
          <w:szCs w:val="24"/>
        </w:rPr>
        <w:t>Adult and pediatric (age 12 and older) patients with microsatellite instability-high (MSI-H) or mismatch repair deficient (</w:t>
      </w:r>
      <w:proofErr w:type="spellStart"/>
      <w:r w:rsidRPr="00FA3F9C">
        <w:rPr>
          <w:rFonts w:ascii="Arial" w:hAnsi="Arial" w:cs="Arial"/>
          <w:sz w:val="24"/>
          <w:szCs w:val="24"/>
        </w:rPr>
        <w:t>dMMR</w:t>
      </w:r>
      <w:proofErr w:type="spellEnd"/>
      <w:r w:rsidRPr="00FA3F9C">
        <w:rPr>
          <w:rFonts w:ascii="Arial" w:hAnsi="Arial" w:cs="Arial"/>
          <w:sz w:val="24"/>
          <w:szCs w:val="24"/>
        </w:rPr>
        <w:t xml:space="preserve">) metastatic colorectal cancer that has progressed following treatment with a fluoropyrimidine, oxaliplatin, and irinotecan as a single agent or in combination with </w:t>
      </w:r>
      <w:proofErr w:type="spellStart"/>
      <w:r w:rsidRPr="00FA3F9C">
        <w:rPr>
          <w:rFonts w:ascii="Arial" w:hAnsi="Arial" w:cs="Arial"/>
          <w:sz w:val="24"/>
          <w:szCs w:val="24"/>
        </w:rPr>
        <w:t>ipilimumab</w:t>
      </w:r>
      <w:r w:rsidRPr="00FA3F9C">
        <w:rPr>
          <w:rFonts w:ascii="Arial" w:hAnsi="Arial" w:cs="Arial"/>
          <w:sz w:val="24"/>
          <w:szCs w:val="24"/>
          <w:vertAlign w:val="superscript"/>
        </w:rPr>
        <w:t>a</w:t>
      </w:r>
      <w:proofErr w:type="spellEnd"/>
      <w:r w:rsidRPr="00FA3F9C">
        <w:rPr>
          <w:rFonts w:ascii="Arial" w:hAnsi="Arial" w:cs="Arial"/>
          <w:sz w:val="24"/>
          <w:szCs w:val="24"/>
          <w:vertAlign w:val="superscript"/>
        </w:rPr>
        <w:t xml:space="preserve"> </w:t>
      </w:r>
      <w:r w:rsidRPr="00FA3F9C">
        <w:rPr>
          <w:rFonts w:ascii="Arial" w:hAnsi="Arial" w:cs="Arial"/>
          <w:sz w:val="24"/>
          <w:szCs w:val="24"/>
          <w:highlight w:val="yellow"/>
        </w:rPr>
        <w:t>NOT COVERED</w:t>
      </w:r>
      <w:r w:rsidRPr="00FA3F9C">
        <w:rPr>
          <w:rFonts w:ascii="Arial" w:hAnsi="Arial" w:cs="Arial"/>
          <w:sz w:val="24"/>
          <w:szCs w:val="24"/>
        </w:rPr>
        <w:t xml:space="preserve">: lack of comparative data </w:t>
      </w:r>
    </w:p>
    <w:p w14:paraId="6C064E8B" w14:textId="77777777" w:rsidR="009B5AA5" w:rsidRPr="00FA3F9C" w:rsidRDefault="009B5AA5" w:rsidP="009B5AA5">
      <w:pPr>
        <w:numPr>
          <w:ilvl w:val="0"/>
          <w:numId w:val="278"/>
        </w:numPr>
        <w:spacing w:after="0" w:line="240" w:lineRule="auto"/>
        <w:rPr>
          <w:rFonts w:ascii="Arial" w:hAnsi="Arial" w:cs="Arial"/>
          <w:b/>
          <w:sz w:val="24"/>
          <w:szCs w:val="24"/>
          <w:u w:val="single"/>
        </w:rPr>
      </w:pPr>
      <w:r w:rsidRPr="00FA3F9C">
        <w:rPr>
          <w:rFonts w:ascii="Arial" w:hAnsi="Arial" w:cs="Arial"/>
          <w:b/>
          <w:sz w:val="24"/>
          <w:szCs w:val="24"/>
          <w:u w:val="single"/>
        </w:rPr>
        <w:t>Hepatocellular Carcinoma (HCC)</w:t>
      </w:r>
    </w:p>
    <w:p w14:paraId="490013EC" w14:textId="77777777" w:rsidR="009B5AA5" w:rsidRPr="00FA3F9C" w:rsidRDefault="009B5AA5" w:rsidP="009B5AA5">
      <w:pPr>
        <w:numPr>
          <w:ilvl w:val="1"/>
          <w:numId w:val="278"/>
        </w:numPr>
        <w:spacing w:after="0" w:line="240" w:lineRule="auto"/>
        <w:rPr>
          <w:rFonts w:ascii="Arial" w:hAnsi="Arial" w:cs="Arial"/>
          <w:b/>
          <w:sz w:val="24"/>
          <w:szCs w:val="24"/>
          <w:u w:val="single"/>
        </w:rPr>
      </w:pPr>
      <w:r w:rsidRPr="00FA3F9C">
        <w:rPr>
          <w:rFonts w:ascii="Arial" w:hAnsi="Arial" w:cs="Arial"/>
          <w:sz w:val="24"/>
          <w:szCs w:val="24"/>
        </w:rPr>
        <w:lastRenderedPageBreak/>
        <w:t xml:space="preserve">Treatment of patients with hepatocellular carcinoma who have been previously treated with sorafenib in combination with </w:t>
      </w:r>
      <w:proofErr w:type="spellStart"/>
      <w:r w:rsidRPr="00FA3F9C">
        <w:rPr>
          <w:rFonts w:ascii="Arial" w:hAnsi="Arial" w:cs="Arial"/>
          <w:sz w:val="24"/>
          <w:szCs w:val="24"/>
        </w:rPr>
        <w:t>ipilimumab</w:t>
      </w:r>
      <w:r w:rsidRPr="00FA3F9C">
        <w:rPr>
          <w:rFonts w:ascii="Arial" w:hAnsi="Arial" w:cs="Arial"/>
          <w:sz w:val="24"/>
          <w:szCs w:val="24"/>
          <w:vertAlign w:val="superscript"/>
        </w:rPr>
        <w:t>a</w:t>
      </w:r>
      <w:proofErr w:type="spellEnd"/>
      <w:r w:rsidRPr="00FA3F9C">
        <w:rPr>
          <w:rFonts w:ascii="Arial" w:hAnsi="Arial" w:cs="Arial"/>
          <w:sz w:val="24"/>
          <w:szCs w:val="24"/>
          <w:vertAlign w:val="superscript"/>
        </w:rPr>
        <w:t xml:space="preserve"> </w:t>
      </w:r>
      <w:r w:rsidRPr="00FA3F9C">
        <w:rPr>
          <w:rFonts w:ascii="Arial" w:hAnsi="Arial" w:cs="Arial"/>
          <w:sz w:val="24"/>
          <w:szCs w:val="24"/>
          <w:highlight w:val="yellow"/>
        </w:rPr>
        <w:t>NOT COVERED</w:t>
      </w:r>
      <w:r w:rsidRPr="00FA3F9C">
        <w:rPr>
          <w:rFonts w:ascii="Arial" w:hAnsi="Arial" w:cs="Arial"/>
          <w:sz w:val="24"/>
          <w:szCs w:val="24"/>
        </w:rPr>
        <w:t>: lack of comparative data; EBRx does not cover any immunotherapy for HCC</w:t>
      </w:r>
    </w:p>
    <w:p w14:paraId="23090E17" w14:textId="77777777" w:rsidR="009B5AA5" w:rsidRPr="00FA3F9C" w:rsidRDefault="009B5AA5" w:rsidP="009B5AA5">
      <w:pPr>
        <w:numPr>
          <w:ilvl w:val="1"/>
          <w:numId w:val="278"/>
        </w:numPr>
        <w:spacing w:after="0" w:line="240" w:lineRule="auto"/>
        <w:rPr>
          <w:rFonts w:ascii="Arial" w:hAnsi="Arial" w:cs="Arial"/>
          <w:b/>
          <w:sz w:val="24"/>
          <w:szCs w:val="24"/>
          <w:u w:val="single"/>
        </w:rPr>
      </w:pPr>
      <w:r w:rsidRPr="00FA3F9C">
        <w:rPr>
          <w:rFonts w:ascii="Arial" w:hAnsi="Arial" w:cs="Arial"/>
          <w:sz w:val="24"/>
          <w:szCs w:val="24"/>
        </w:rPr>
        <w:t xml:space="preserve">NCT01658878 compared different regimens of nivolumab/ipilimumab in patients with HCC who had been treated previously with sorafenib. Overall survival was promising with one regimen (which is now FDA approved), but no comparative trials have shown it to be superior to other therapies or placebo. </w:t>
      </w:r>
    </w:p>
    <w:p w14:paraId="2D6E5B87" w14:textId="77777777" w:rsidR="009B5AA5" w:rsidRPr="00FA3F9C" w:rsidRDefault="009B5AA5" w:rsidP="00C71A2A">
      <w:pPr>
        <w:spacing w:after="0" w:line="240" w:lineRule="auto"/>
        <w:ind w:left="1080"/>
        <w:rPr>
          <w:rFonts w:ascii="Arial" w:hAnsi="Arial" w:cs="Arial"/>
          <w:b/>
          <w:sz w:val="24"/>
          <w:szCs w:val="24"/>
          <w:u w:val="single"/>
        </w:rPr>
      </w:pPr>
      <w:proofErr w:type="gramStart"/>
      <w:r w:rsidRPr="00FA3F9C">
        <w:rPr>
          <w:rFonts w:ascii="Arial" w:hAnsi="Arial" w:cs="Arial"/>
          <w:sz w:val="24"/>
          <w:szCs w:val="24"/>
          <w:lang w:val="fr-FR"/>
        </w:rPr>
        <w:t>Reference:</w:t>
      </w:r>
      <w:proofErr w:type="gramEnd"/>
      <w:r w:rsidRPr="00FA3F9C">
        <w:rPr>
          <w:rFonts w:ascii="Arial" w:hAnsi="Arial" w:cs="Arial"/>
          <w:sz w:val="24"/>
          <w:szCs w:val="24"/>
          <w:lang w:val="fr-FR"/>
        </w:rPr>
        <w:t xml:space="preserve"> </w:t>
      </w:r>
      <w:proofErr w:type="spellStart"/>
      <w:r w:rsidRPr="00FA3F9C">
        <w:rPr>
          <w:rFonts w:ascii="Arial" w:hAnsi="Arial" w:cs="Arial"/>
          <w:sz w:val="24"/>
          <w:szCs w:val="24"/>
          <w:lang w:val="fr-FR"/>
        </w:rPr>
        <w:t>Yau</w:t>
      </w:r>
      <w:proofErr w:type="spellEnd"/>
      <w:r w:rsidRPr="00FA3F9C">
        <w:rPr>
          <w:rFonts w:ascii="Arial" w:hAnsi="Arial" w:cs="Arial"/>
          <w:sz w:val="24"/>
          <w:szCs w:val="24"/>
          <w:lang w:val="fr-FR"/>
        </w:rPr>
        <w:t xml:space="preserve"> T, Kang YK, Kim TY, et al. </w:t>
      </w:r>
      <w:r w:rsidRPr="00FA3F9C">
        <w:rPr>
          <w:rFonts w:ascii="Arial" w:hAnsi="Arial" w:cs="Arial"/>
          <w:sz w:val="24"/>
          <w:szCs w:val="24"/>
        </w:rPr>
        <w:t xml:space="preserve">Efficacy and Safety of Nivolumab Plus Ipilimumab in Patients </w:t>
      </w:r>
      <w:proofErr w:type="gramStart"/>
      <w:r w:rsidRPr="00FA3F9C">
        <w:rPr>
          <w:rFonts w:ascii="Arial" w:hAnsi="Arial" w:cs="Arial"/>
          <w:sz w:val="24"/>
          <w:szCs w:val="24"/>
        </w:rPr>
        <w:t>With</w:t>
      </w:r>
      <w:proofErr w:type="gramEnd"/>
      <w:r w:rsidRPr="00FA3F9C">
        <w:rPr>
          <w:rFonts w:ascii="Arial" w:hAnsi="Arial" w:cs="Arial"/>
          <w:sz w:val="24"/>
          <w:szCs w:val="24"/>
        </w:rPr>
        <w:t xml:space="preserve"> Advanced Hepatocellular Carcinoma Previously Treated With Sorafenib: The </w:t>
      </w:r>
      <w:proofErr w:type="spellStart"/>
      <w:r w:rsidRPr="00FA3F9C">
        <w:rPr>
          <w:rFonts w:ascii="Arial" w:hAnsi="Arial" w:cs="Arial"/>
          <w:sz w:val="24"/>
          <w:szCs w:val="24"/>
        </w:rPr>
        <w:t>CheckMate</w:t>
      </w:r>
      <w:proofErr w:type="spellEnd"/>
      <w:r w:rsidRPr="00FA3F9C">
        <w:rPr>
          <w:rFonts w:ascii="Arial" w:hAnsi="Arial" w:cs="Arial"/>
          <w:sz w:val="24"/>
          <w:szCs w:val="24"/>
        </w:rPr>
        <w:t xml:space="preserve"> 040 Randomized Clinical Trial [published correction appears in JAMA Oncol. 2021 Jan 1;7(1):140]. JAMA Oncol. 2020;6(11):e204564. doi:10.1001/jamaoncol.2020.4564</w:t>
      </w:r>
    </w:p>
    <w:p w14:paraId="7DBA1558" w14:textId="77777777" w:rsidR="009B5AA5" w:rsidRPr="00FA3F9C" w:rsidRDefault="009B5AA5" w:rsidP="009B5AA5">
      <w:pPr>
        <w:numPr>
          <w:ilvl w:val="0"/>
          <w:numId w:val="278"/>
        </w:numPr>
        <w:spacing w:after="0" w:line="240" w:lineRule="auto"/>
        <w:rPr>
          <w:rFonts w:ascii="Arial" w:hAnsi="Arial" w:cs="Arial"/>
          <w:b/>
          <w:sz w:val="24"/>
          <w:szCs w:val="24"/>
          <w:u w:val="single"/>
        </w:rPr>
      </w:pPr>
      <w:r w:rsidRPr="00FA3F9C">
        <w:rPr>
          <w:rFonts w:ascii="Arial" w:hAnsi="Arial" w:cs="Arial"/>
          <w:b/>
          <w:sz w:val="24"/>
          <w:szCs w:val="24"/>
          <w:u w:val="single"/>
        </w:rPr>
        <w:t xml:space="preserve">Esophageal Cancer </w:t>
      </w:r>
    </w:p>
    <w:p w14:paraId="66D1BFDC" w14:textId="77777777" w:rsidR="009B5AA5" w:rsidRPr="00FA3F9C" w:rsidRDefault="009B5AA5" w:rsidP="009B5AA5">
      <w:pPr>
        <w:numPr>
          <w:ilvl w:val="1"/>
          <w:numId w:val="278"/>
        </w:numPr>
        <w:spacing w:after="0" w:line="240" w:lineRule="auto"/>
        <w:rPr>
          <w:rFonts w:ascii="Arial" w:hAnsi="Arial" w:cs="Arial"/>
          <w:b/>
          <w:sz w:val="24"/>
          <w:szCs w:val="24"/>
          <w:u w:val="single"/>
        </w:rPr>
      </w:pPr>
      <w:r w:rsidRPr="00FA3F9C">
        <w:rPr>
          <w:rFonts w:ascii="Arial" w:hAnsi="Arial" w:cs="Arial"/>
          <w:sz w:val="24"/>
          <w:szCs w:val="24"/>
        </w:rPr>
        <w:t xml:space="preserve">Treatment of patients with </w:t>
      </w:r>
      <w:r w:rsidRPr="00FA3F9C">
        <w:rPr>
          <w:rFonts w:ascii="Arial" w:hAnsi="Arial" w:cs="Arial"/>
          <w:sz w:val="24"/>
          <w:szCs w:val="24"/>
          <w:u w:val="single"/>
        </w:rPr>
        <w:t>completely resected</w:t>
      </w:r>
      <w:r w:rsidRPr="00FA3F9C">
        <w:rPr>
          <w:rFonts w:ascii="Arial" w:hAnsi="Arial" w:cs="Arial"/>
          <w:sz w:val="24"/>
          <w:szCs w:val="24"/>
        </w:rPr>
        <w:t xml:space="preserve"> esophageal or gastroesophageal junction cancer with residual pathologic disease, who have received neoadjuvant chemoradiotherapy (</w:t>
      </w:r>
      <w:hyperlink w:anchor="esoph_adjuvant" w:history="1">
        <w:r w:rsidRPr="00FA3F9C">
          <w:rPr>
            <w:rStyle w:val="Hyperlink"/>
            <w:rFonts w:ascii="Arial" w:hAnsi="Arial" w:cs="Arial"/>
            <w:sz w:val="24"/>
            <w:szCs w:val="24"/>
          </w:rPr>
          <w:t>link to criteria</w:t>
        </w:r>
      </w:hyperlink>
      <w:r w:rsidRPr="00FA3F9C">
        <w:rPr>
          <w:rFonts w:ascii="Arial" w:hAnsi="Arial" w:cs="Arial"/>
          <w:sz w:val="24"/>
          <w:szCs w:val="24"/>
        </w:rPr>
        <w:t>)</w:t>
      </w:r>
    </w:p>
    <w:p w14:paraId="17BA5489" w14:textId="77777777" w:rsidR="009B5AA5" w:rsidRPr="00FA3F9C" w:rsidRDefault="009B5AA5" w:rsidP="009B5AA5">
      <w:pPr>
        <w:numPr>
          <w:ilvl w:val="1"/>
          <w:numId w:val="278"/>
        </w:numPr>
        <w:spacing w:after="0" w:line="240" w:lineRule="auto"/>
        <w:rPr>
          <w:rFonts w:ascii="Arial" w:hAnsi="Arial" w:cs="Arial"/>
          <w:b/>
          <w:sz w:val="24"/>
          <w:szCs w:val="24"/>
          <w:u w:val="single"/>
        </w:rPr>
      </w:pPr>
      <w:r w:rsidRPr="00FA3F9C">
        <w:rPr>
          <w:rFonts w:ascii="Arial" w:hAnsi="Arial" w:cs="Arial"/>
          <w:sz w:val="24"/>
          <w:szCs w:val="24"/>
        </w:rPr>
        <w:t xml:space="preserve">Treatment of patients with </w:t>
      </w:r>
      <w:r w:rsidRPr="00FA3F9C">
        <w:rPr>
          <w:rFonts w:ascii="Arial" w:hAnsi="Arial" w:cs="Arial"/>
          <w:sz w:val="24"/>
          <w:szCs w:val="24"/>
          <w:u w:val="single"/>
        </w:rPr>
        <w:t>unresectable</w:t>
      </w:r>
      <w:r w:rsidRPr="00FA3F9C">
        <w:rPr>
          <w:rFonts w:ascii="Arial" w:hAnsi="Arial" w:cs="Arial"/>
          <w:sz w:val="24"/>
          <w:szCs w:val="24"/>
        </w:rPr>
        <w:t xml:space="preserve"> advanced, recurrent or metastatic esophageal squamous cell carcinoma after prior fluoropyrimidine- and platinum-based chemotherapy. (</w:t>
      </w:r>
      <w:hyperlink w:anchor="esoph" w:history="1">
        <w:r w:rsidRPr="00FA3F9C">
          <w:rPr>
            <w:rStyle w:val="Hyperlink"/>
            <w:rFonts w:ascii="Arial" w:hAnsi="Arial" w:cs="Arial"/>
            <w:sz w:val="24"/>
            <w:szCs w:val="24"/>
          </w:rPr>
          <w:t>link to criteria</w:t>
        </w:r>
      </w:hyperlink>
      <w:r w:rsidRPr="00FA3F9C">
        <w:rPr>
          <w:rFonts w:ascii="Arial" w:hAnsi="Arial" w:cs="Arial"/>
          <w:sz w:val="24"/>
          <w:szCs w:val="24"/>
        </w:rPr>
        <w:t>)</w:t>
      </w:r>
    </w:p>
    <w:p w14:paraId="6249B7AD" w14:textId="77777777" w:rsidR="009B5AA5" w:rsidRPr="00FA3F9C" w:rsidRDefault="009B5AA5" w:rsidP="009B5AA5">
      <w:pPr>
        <w:numPr>
          <w:ilvl w:val="0"/>
          <w:numId w:val="278"/>
        </w:numPr>
        <w:spacing w:after="0" w:line="240" w:lineRule="auto"/>
        <w:rPr>
          <w:rFonts w:ascii="Arial" w:hAnsi="Arial" w:cs="Arial"/>
          <w:b/>
          <w:sz w:val="24"/>
          <w:szCs w:val="24"/>
          <w:u w:val="single"/>
        </w:rPr>
      </w:pPr>
      <w:r w:rsidRPr="00FA3F9C">
        <w:rPr>
          <w:rFonts w:ascii="Arial" w:hAnsi="Arial" w:cs="Arial"/>
          <w:b/>
          <w:sz w:val="24"/>
          <w:szCs w:val="24"/>
          <w:u w:val="single"/>
        </w:rPr>
        <w:t xml:space="preserve">Gastric, gastroesophageal junction, and esophageal cancer </w:t>
      </w:r>
      <w:hyperlink w:anchor="gastric" w:history="1">
        <w:r w:rsidRPr="00FA3F9C">
          <w:rPr>
            <w:rStyle w:val="Hyperlink"/>
            <w:rFonts w:ascii="Arial" w:hAnsi="Arial" w:cs="Arial"/>
            <w:sz w:val="24"/>
            <w:szCs w:val="24"/>
          </w:rPr>
          <w:t>(link to criteria</w:t>
        </w:r>
      </w:hyperlink>
      <w:r w:rsidRPr="00FA3F9C">
        <w:rPr>
          <w:rFonts w:ascii="Arial" w:hAnsi="Arial" w:cs="Arial"/>
          <w:sz w:val="24"/>
          <w:szCs w:val="24"/>
        </w:rPr>
        <w:t>)</w:t>
      </w:r>
    </w:p>
    <w:p w14:paraId="4118529F" w14:textId="77777777" w:rsidR="009B5AA5" w:rsidRPr="00FA3F9C" w:rsidRDefault="009B5AA5" w:rsidP="009B5AA5">
      <w:pPr>
        <w:numPr>
          <w:ilvl w:val="1"/>
          <w:numId w:val="278"/>
        </w:numPr>
        <w:spacing w:after="0" w:line="240" w:lineRule="auto"/>
        <w:rPr>
          <w:rFonts w:ascii="Arial" w:hAnsi="Arial" w:cs="Arial"/>
          <w:b/>
          <w:sz w:val="24"/>
          <w:szCs w:val="24"/>
          <w:u w:val="single"/>
        </w:rPr>
      </w:pPr>
      <w:r w:rsidRPr="00FA3F9C">
        <w:rPr>
          <w:rFonts w:ascii="Arial" w:hAnsi="Arial" w:cs="Arial"/>
          <w:sz w:val="24"/>
          <w:szCs w:val="24"/>
        </w:rPr>
        <w:t>patients with advanced or metastatic gastric cancer, gastroesophageal junction cancer, and esophageal adenocarcinoma in combination with fluoropyrimidine- and platinum-containing chemotherapy</w:t>
      </w:r>
    </w:p>
    <w:p w14:paraId="5D267161" w14:textId="77777777" w:rsidR="009B5AA5" w:rsidRPr="00FA3F9C" w:rsidRDefault="009B5AA5" w:rsidP="00B2474F">
      <w:pPr>
        <w:ind w:left="720"/>
        <w:rPr>
          <w:rFonts w:ascii="Arial" w:hAnsi="Arial" w:cs="Arial"/>
          <w:sz w:val="24"/>
          <w:szCs w:val="24"/>
        </w:rPr>
      </w:pPr>
    </w:p>
    <w:p w14:paraId="26D88B5A" w14:textId="77777777" w:rsidR="009B5AA5" w:rsidRPr="00FA3F9C" w:rsidRDefault="009B5AA5" w:rsidP="00B2474F">
      <w:pPr>
        <w:ind w:left="720"/>
        <w:rPr>
          <w:rFonts w:ascii="Arial" w:hAnsi="Arial" w:cs="Arial"/>
          <w:sz w:val="24"/>
          <w:szCs w:val="24"/>
        </w:rPr>
      </w:pPr>
      <w:r w:rsidRPr="00FA3F9C">
        <w:rPr>
          <w:rFonts w:ascii="Arial" w:hAnsi="Arial" w:cs="Arial"/>
          <w:sz w:val="24"/>
          <w:szCs w:val="24"/>
        </w:rPr>
        <w:t>a=This indication is approved under accelerated approval based on overall response rate (ORR) and duration of response (DOR). Continued approval for this indication may be contingent upon verification and description of clinical benefit in confirmatory trials.</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68"/>
      </w:tblGrid>
      <w:tr w:rsidR="009B5AA5" w:rsidRPr="00FA3F9C" w14:paraId="6F8DE0C7" w14:textId="77777777" w:rsidTr="00105A4A">
        <w:trPr>
          <w:cantSplit/>
        </w:trPr>
        <w:tc>
          <w:tcPr>
            <w:tcW w:w="10368" w:type="dxa"/>
            <w:tcBorders>
              <w:bottom w:val="single" w:sz="4" w:space="0" w:color="auto"/>
            </w:tcBorders>
            <w:shd w:val="clear" w:color="auto" w:fill="000000"/>
          </w:tcPr>
          <w:p w14:paraId="5C66D1DD" w14:textId="77777777" w:rsidR="009B5AA5" w:rsidRPr="00FA3F9C" w:rsidRDefault="009B5AA5" w:rsidP="00105A4A">
            <w:pPr>
              <w:spacing w:after="0"/>
              <w:rPr>
                <w:rFonts w:ascii="Arial" w:hAnsi="Arial" w:cs="Arial"/>
                <w:b/>
                <w:sz w:val="24"/>
                <w:szCs w:val="24"/>
                <w:u w:val="single"/>
              </w:rPr>
            </w:pPr>
            <w:r w:rsidRPr="00FA3F9C">
              <w:rPr>
                <w:rFonts w:ascii="Arial" w:hAnsi="Arial" w:cs="Arial"/>
                <w:sz w:val="24"/>
                <w:szCs w:val="24"/>
              </w:rPr>
              <w:br w:type="page"/>
            </w:r>
            <w:bookmarkStart w:id="224" w:name="met_melanoma"/>
            <w:bookmarkEnd w:id="224"/>
            <w:r w:rsidRPr="00FA3F9C">
              <w:rPr>
                <w:rFonts w:ascii="Arial" w:hAnsi="Arial" w:cs="Arial"/>
                <w:b/>
                <w:sz w:val="24"/>
                <w:szCs w:val="24"/>
                <w:u w:val="single"/>
              </w:rPr>
              <w:t>Melanoma, metastatic (new users)</w:t>
            </w:r>
          </w:p>
        </w:tc>
      </w:tr>
      <w:tr w:rsidR="009B5AA5" w:rsidRPr="00FA3F9C" w14:paraId="45521557" w14:textId="77777777" w:rsidTr="00105A4A">
        <w:trPr>
          <w:cantSplit/>
        </w:trPr>
        <w:tc>
          <w:tcPr>
            <w:tcW w:w="10368" w:type="dxa"/>
            <w:tcBorders>
              <w:bottom w:val="single" w:sz="4" w:space="0" w:color="auto"/>
            </w:tcBorders>
          </w:tcPr>
          <w:p w14:paraId="30F515CD" w14:textId="77777777" w:rsidR="009B5AA5" w:rsidRPr="00FA3F9C" w:rsidRDefault="009B5AA5" w:rsidP="009B5AA5">
            <w:pPr>
              <w:numPr>
                <w:ilvl w:val="0"/>
                <w:numId w:val="85"/>
              </w:numPr>
              <w:spacing w:after="0" w:line="240" w:lineRule="auto"/>
              <w:rPr>
                <w:rFonts w:ascii="Arial" w:hAnsi="Arial" w:cs="Arial"/>
                <w:sz w:val="24"/>
                <w:szCs w:val="24"/>
              </w:rPr>
            </w:pPr>
            <w:r w:rsidRPr="00FA3F9C">
              <w:rPr>
                <w:rFonts w:ascii="Arial" w:hAnsi="Arial" w:cs="Arial"/>
                <w:sz w:val="24"/>
                <w:szCs w:val="24"/>
              </w:rPr>
              <w:t xml:space="preserve">Diagnosis of unresectable or metastatic melanoma. </w:t>
            </w:r>
          </w:p>
        </w:tc>
      </w:tr>
      <w:tr w:rsidR="009B5AA5" w:rsidRPr="00FA3F9C" w14:paraId="7DEB726B" w14:textId="77777777" w:rsidTr="00105A4A">
        <w:trPr>
          <w:cantSplit/>
        </w:trPr>
        <w:tc>
          <w:tcPr>
            <w:tcW w:w="10368" w:type="dxa"/>
          </w:tcPr>
          <w:p w14:paraId="79098976" w14:textId="77777777" w:rsidR="009B5AA5" w:rsidRPr="00FA3F9C" w:rsidRDefault="009B5AA5" w:rsidP="009B5AA5">
            <w:pPr>
              <w:numPr>
                <w:ilvl w:val="0"/>
                <w:numId w:val="85"/>
              </w:numPr>
              <w:spacing w:after="0" w:line="240" w:lineRule="auto"/>
              <w:rPr>
                <w:rFonts w:ascii="Arial" w:hAnsi="Arial" w:cs="Arial"/>
                <w:sz w:val="24"/>
                <w:szCs w:val="24"/>
              </w:rPr>
            </w:pPr>
            <w:r w:rsidRPr="00FA3F9C">
              <w:rPr>
                <w:rFonts w:ascii="Arial" w:hAnsi="Arial" w:cs="Arial"/>
                <w:sz w:val="24"/>
                <w:szCs w:val="24"/>
              </w:rPr>
              <w:t>The patient must be ECOG performance status 0 (fully active) or 1 (ambulatory but restricted in physically strenuous activity) at initiation</w:t>
            </w:r>
          </w:p>
        </w:tc>
      </w:tr>
      <w:tr w:rsidR="009B5AA5" w:rsidRPr="00FA3F9C" w14:paraId="01C7BF5D" w14:textId="77777777" w:rsidTr="00105A4A">
        <w:trPr>
          <w:cantSplit/>
          <w:trHeight w:val="143"/>
        </w:trPr>
        <w:tc>
          <w:tcPr>
            <w:tcW w:w="10368" w:type="dxa"/>
          </w:tcPr>
          <w:p w14:paraId="4C916B21" w14:textId="77777777" w:rsidR="009B5AA5" w:rsidRPr="00FA3F9C" w:rsidRDefault="009B5AA5" w:rsidP="009B5AA5">
            <w:pPr>
              <w:pStyle w:val="ListParagraph"/>
              <w:numPr>
                <w:ilvl w:val="0"/>
                <w:numId w:val="85"/>
              </w:numPr>
              <w:spacing w:after="0" w:line="276" w:lineRule="auto"/>
              <w:rPr>
                <w:rFonts w:ascii="Arial" w:hAnsi="Arial" w:cs="Arial"/>
                <w:sz w:val="24"/>
                <w:szCs w:val="24"/>
              </w:rPr>
            </w:pPr>
            <w:r w:rsidRPr="00FA3F9C">
              <w:rPr>
                <w:rFonts w:ascii="Arial" w:hAnsi="Arial" w:cs="Arial"/>
                <w:sz w:val="24"/>
                <w:szCs w:val="24"/>
              </w:rPr>
              <w:t>Patient does not have diagnosis of ocular/uveal melanoma.</w:t>
            </w:r>
          </w:p>
        </w:tc>
      </w:tr>
      <w:tr w:rsidR="009B5AA5" w:rsidRPr="00FA3F9C" w14:paraId="4441875F" w14:textId="77777777" w:rsidTr="00105A4A">
        <w:trPr>
          <w:cantSplit/>
        </w:trPr>
        <w:tc>
          <w:tcPr>
            <w:tcW w:w="10368" w:type="dxa"/>
          </w:tcPr>
          <w:p w14:paraId="6704F540" w14:textId="77777777" w:rsidR="009B5AA5" w:rsidRPr="00FA3F9C" w:rsidRDefault="009B5AA5" w:rsidP="009B5AA5">
            <w:pPr>
              <w:pStyle w:val="ListParagraph"/>
              <w:numPr>
                <w:ilvl w:val="0"/>
                <w:numId w:val="85"/>
              </w:numPr>
              <w:spacing w:after="0" w:line="276" w:lineRule="auto"/>
              <w:rPr>
                <w:rFonts w:ascii="Arial" w:hAnsi="Arial" w:cs="Arial"/>
                <w:sz w:val="24"/>
                <w:szCs w:val="24"/>
              </w:rPr>
            </w:pPr>
            <w:r w:rsidRPr="00FA3F9C">
              <w:rPr>
                <w:rFonts w:ascii="Arial" w:hAnsi="Arial" w:cs="Arial"/>
                <w:sz w:val="24"/>
                <w:szCs w:val="24"/>
              </w:rPr>
              <w:t xml:space="preserve">No prior treatment for unresectable/metastatic melanoma. </w:t>
            </w:r>
          </w:p>
        </w:tc>
      </w:tr>
      <w:tr w:rsidR="009B5AA5" w:rsidRPr="00FA3F9C" w14:paraId="2A2B0D2E" w14:textId="77777777" w:rsidTr="00105A4A">
        <w:trPr>
          <w:cantSplit/>
        </w:trPr>
        <w:tc>
          <w:tcPr>
            <w:tcW w:w="10368" w:type="dxa"/>
          </w:tcPr>
          <w:p w14:paraId="20F3204E" w14:textId="77777777" w:rsidR="009B5AA5" w:rsidRPr="00FA3F9C" w:rsidRDefault="009B5AA5" w:rsidP="009B5AA5">
            <w:pPr>
              <w:pStyle w:val="ListParagraph"/>
              <w:numPr>
                <w:ilvl w:val="0"/>
                <w:numId w:val="85"/>
              </w:numPr>
              <w:spacing w:after="0" w:line="276" w:lineRule="auto"/>
              <w:rPr>
                <w:rFonts w:ascii="Arial" w:hAnsi="Arial" w:cs="Arial"/>
                <w:sz w:val="24"/>
                <w:szCs w:val="24"/>
              </w:rPr>
            </w:pPr>
            <w:r w:rsidRPr="00FA3F9C">
              <w:rPr>
                <w:rFonts w:ascii="Arial" w:hAnsi="Arial" w:cs="Arial"/>
                <w:sz w:val="24"/>
                <w:szCs w:val="24"/>
              </w:rPr>
              <w:t>Nivolumab will be used as single agent OR in combination with ipilimumab</w:t>
            </w:r>
          </w:p>
        </w:tc>
      </w:tr>
      <w:tr w:rsidR="009B5AA5" w:rsidRPr="00FA3F9C" w14:paraId="73FCCF84" w14:textId="77777777" w:rsidTr="00105A4A">
        <w:trPr>
          <w:cantSplit/>
        </w:trPr>
        <w:tc>
          <w:tcPr>
            <w:tcW w:w="10368" w:type="dxa"/>
          </w:tcPr>
          <w:p w14:paraId="50A56411" w14:textId="77777777" w:rsidR="009B5AA5" w:rsidRPr="00FA3F9C" w:rsidRDefault="009B5AA5" w:rsidP="00105A4A">
            <w:pPr>
              <w:spacing w:after="0"/>
              <w:rPr>
                <w:rFonts w:ascii="Arial" w:hAnsi="Arial" w:cs="Arial"/>
                <w:sz w:val="24"/>
                <w:szCs w:val="24"/>
              </w:rPr>
            </w:pPr>
            <w:r w:rsidRPr="00FA3F9C">
              <w:rPr>
                <w:rFonts w:ascii="Arial" w:hAnsi="Arial" w:cs="Arial"/>
                <w:b/>
                <w:sz w:val="24"/>
                <w:szCs w:val="24"/>
              </w:rPr>
              <w:t>If above criteria fulfilled, approve for 12 months</w:t>
            </w:r>
          </w:p>
        </w:tc>
      </w:tr>
      <w:tr w:rsidR="009B5AA5" w:rsidRPr="00FA3F9C" w14:paraId="333DE753" w14:textId="77777777" w:rsidTr="00105A4A">
        <w:trPr>
          <w:cantSplit/>
        </w:trPr>
        <w:tc>
          <w:tcPr>
            <w:tcW w:w="10368" w:type="dxa"/>
            <w:tcBorders>
              <w:bottom w:val="single" w:sz="4" w:space="0" w:color="auto"/>
            </w:tcBorders>
            <w:shd w:val="clear" w:color="auto" w:fill="BFBFBF" w:themeFill="background1" w:themeFillShade="BF"/>
          </w:tcPr>
          <w:p w14:paraId="44B1F802" w14:textId="77777777" w:rsidR="009B5AA5" w:rsidRPr="00FA3F9C" w:rsidRDefault="009B5AA5" w:rsidP="00105A4A">
            <w:pPr>
              <w:spacing w:after="0"/>
              <w:rPr>
                <w:rFonts w:ascii="Arial" w:hAnsi="Arial" w:cs="Arial"/>
                <w:sz w:val="24"/>
                <w:szCs w:val="24"/>
              </w:rPr>
            </w:pPr>
            <w:r w:rsidRPr="00FA3F9C">
              <w:rPr>
                <w:rFonts w:ascii="Arial" w:hAnsi="Arial" w:cs="Arial"/>
                <w:sz w:val="24"/>
                <w:szCs w:val="24"/>
              </w:rPr>
              <w:lastRenderedPageBreak/>
              <w:t xml:space="preserve">Notes:  </w:t>
            </w:r>
          </w:p>
          <w:p w14:paraId="7A8444B5" w14:textId="77777777" w:rsidR="009B5AA5" w:rsidRPr="00FA3F9C" w:rsidRDefault="009B5AA5" w:rsidP="00105A4A">
            <w:pPr>
              <w:spacing w:after="0"/>
              <w:rPr>
                <w:rFonts w:ascii="Arial" w:hAnsi="Arial" w:cs="Arial"/>
                <w:sz w:val="24"/>
                <w:szCs w:val="24"/>
              </w:rPr>
            </w:pPr>
            <w:r w:rsidRPr="00FA3F9C">
              <w:rPr>
                <w:rFonts w:ascii="Arial" w:hAnsi="Arial" w:cs="Arial"/>
                <w:sz w:val="24"/>
                <w:szCs w:val="24"/>
              </w:rPr>
              <w:t>-Two trials support use of nivolumab in the first line setting in BRAF mutated and non-mutated melanoma. One showed improvement in overall survival vs chemo in untreated BRAF unmutated patients (37.5m vs 11.2 m</w:t>
            </w:r>
            <w:r w:rsidRPr="00FA3F9C">
              <w:rPr>
                <w:rFonts w:ascii="Arial" w:hAnsi="Arial" w:cs="Arial"/>
                <w:sz w:val="24"/>
                <w:szCs w:val="24"/>
                <w:vertAlign w:val="superscript"/>
              </w:rPr>
              <w:t>a</w:t>
            </w:r>
            <w:r w:rsidRPr="00FA3F9C">
              <w:rPr>
                <w:rFonts w:ascii="Arial" w:hAnsi="Arial" w:cs="Arial"/>
                <w:sz w:val="24"/>
                <w:szCs w:val="24"/>
              </w:rPr>
              <w:t>) and another showed improvement in overall survival vs. ipilimumab in untreated patients with or without BRAF mutation (36.9m vs. 19.9 mo</w:t>
            </w:r>
            <w:r w:rsidRPr="00FA3F9C">
              <w:rPr>
                <w:rFonts w:ascii="Arial" w:hAnsi="Arial" w:cs="Arial"/>
                <w:sz w:val="24"/>
                <w:szCs w:val="24"/>
                <w:vertAlign w:val="superscript"/>
              </w:rPr>
              <w:t>b</w:t>
            </w:r>
            <w:r w:rsidRPr="00FA3F9C">
              <w:rPr>
                <w:rFonts w:ascii="Arial" w:hAnsi="Arial" w:cs="Arial"/>
                <w:sz w:val="24"/>
                <w:szCs w:val="24"/>
              </w:rPr>
              <w:t xml:space="preserve">). Nivolumab also studied in second line setting after ipilimumab and showed better response rates vs chemo. Survival not improved in overall population per clinical trials.gov (NCT01721746), so EBRx will not cover in the second line setting. </w:t>
            </w:r>
          </w:p>
          <w:p w14:paraId="3F4CC7BE" w14:textId="77777777" w:rsidR="009B5AA5" w:rsidRPr="00FA3F9C" w:rsidRDefault="009B5AA5" w:rsidP="00105A4A">
            <w:pPr>
              <w:spacing w:after="0"/>
              <w:rPr>
                <w:rFonts w:ascii="Arial" w:hAnsi="Arial" w:cs="Arial"/>
                <w:color w:val="000000"/>
                <w:sz w:val="24"/>
                <w:szCs w:val="24"/>
              </w:rPr>
            </w:pPr>
            <w:r w:rsidRPr="00FA3F9C">
              <w:rPr>
                <w:rFonts w:ascii="Arial" w:hAnsi="Arial" w:cs="Arial"/>
                <w:sz w:val="24"/>
                <w:szCs w:val="24"/>
              </w:rPr>
              <w:t>-</w:t>
            </w:r>
            <w:r w:rsidRPr="00FA3F9C">
              <w:rPr>
                <w:rFonts w:ascii="Arial" w:hAnsi="Arial" w:cs="Arial"/>
                <w:color w:val="000000"/>
                <w:sz w:val="24"/>
                <w:szCs w:val="24"/>
              </w:rPr>
              <w:t xml:space="preserve">Ocular/uveal melanoma behaves differently and is treated differently from cutaneous melanoma. </w:t>
            </w:r>
          </w:p>
          <w:p w14:paraId="7F97A4C1" w14:textId="77777777" w:rsidR="009B5AA5" w:rsidRPr="00FA3F9C" w:rsidRDefault="009B5AA5" w:rsidP="00105A4A">
            <w:pPr>
              <w:spacing w:after="0" w:line="240" w:lineRule="auto"/>
              <w:rPr>
                <w:rFonts w:ascii="Arial" w:hAnsi="Arial" w:cs="Arial"/>
                <w:sz w:val="24"/>
                <w:szCs w:val="24"/>
              </w:rPr>
            </w:pPr>
            <w:r w:rsidRPr="00FA3F9C">
              <w:rPr>
                <w:rFonts w:ascii="Arial" w:hAnsi="Arial" w:cs="Arial"/>
                <w:color w:val="000000"/>
                <w:sz w:val="24"/>
                <w:szCs w:val="24"/>
              </w:rPr>
              <w:t>-</w:t>
            </w:r>
            <w:proofErr w:type="spellStart"/>
            <w:r w:rsidRPr="00FA3F9C">
              <w:rPr>
                <w:rFonts w:ascii="Arial" w:hAnsi="Arial" w:cs="Arial"/>
                <w:color w:val="000000"/>
                <w:sz w:val="24"/>
                <w:szCs w:val="24"/>
              </w:rPr>
              <w:t>Nivolumab+ipilimumab</w:t>
            </w:r>
            <w:proofErr w:type="spellEnd"/>
            <w:r w:rsidRPr="00FA3F9C">
              <w:rPr>
                <w:rFonts w:ascii="Arial" w:hAnsi="Arial" w:cs="Arial"/>
                <w:color w:val="000000"/>
                <w:sz w:val="24"/>
                <w:szCs w:val="24"/>
              </w:rPr>
              <w:t xml:space="preserve"> has been shown to improve overall survival vs ipilimumab alone. Ipilimumab/nivolumab also comes extremely close to statistically improving overall survival compared to nivolumab alone in the 5-year update of the CHECKMATE 067 trial. Due to consistency of results compared to initial release of data and strong trend to improving overall survival, EBRx recommends coverage. However, note that toxicity is also increased in the </w:t>
            </w:r>
            <w:proofErr w:type="spellStart"/>
            <w:r w:rsidRPr="00FA3F9C">
              <w:rPr>
                <w:rFonts w:ascii="Arial" w:hAnsi="Arial" w:cs="Arial"/>
                <w:color w:val="000000"/>
                <w:sz w:val="24"/>
                <w:szCs w:val="24"/>
              </w:rPr>
              <w:t>ipi</w:t>
            </w:r>
            <w:proofErr w:type="spellEnd"/>
            <w:r w:rsidRPr="00FA3F9C">
              <w:rPr>
                <w:rFonts w:ascii="Arial" w:hAnsi="Arial" w:cs="Arial"/>
                <w:color w:val="000000"/>
                <w:sz w:val="24"/>
                <w:szCs w:val="24"/>
              </w:rPr>
              <w:t>/</w:t>
            </w:r>
            <w:proofErr w:type="spellStart"/>
            <w:r w:rsidRPr="00FA3F9C">
              <w:rPr>
                <w:rFonts w:ascii="Arial" w:hAnsi="Arial" w:cs="Arial"/>
                <w:color w:val="000000"/>
                <w:sz w:val="24"/>
                <w:szCs w:val="24"/>
              </w:rPr>
              <w:t>nivo</w:t>
            </w:r>
            <w:proofErr w:type="spellEnd"/>
            <w:r w:rsidRPr="00FA3F9C">
              <w:rPr>
                <w:rFonts w:ascii="Arial" w:hAnsi="Arial" w:cs="Arial"/>
                <w:color w:val="000000"/>
                <w:sz w:val="24"/>
                <w:szCs w:val="24"/>
              </w:rPr>
              <w:t xml:space="preserve"> arm compared to nivolumab alone (grade 3-5 toxicity incidence: 59% vs 23%).</w:t>
            </w:r>
            <w:proofErr w:type="spellStart"/>
            <w:r w:rsidRPr="00FA3F9C">
              <w:rPr>
                <w:rFonts w:ascii="Arial" w:hAnsi="Arial" w:cs="Arial"/>
                <w:color w:val="000000"/>
                <w:sz w:val="24"/>
                <w:szCs w:val="24"/>
                <w:vertAlign w:val="superscript"/>
              </w:rPr>
              <w:t>b,c</w:t>
            </w:r>
            <w:proofErr w:type="spellEnd"/>
            <w:r w:rsidRPr="00FA3F9C">
              <w:rPr>
                <w:rFonts w:ascii="Arial" w:hAnsi="Arial" w:cs="Arial"/>
                <w:color w:val="000000"/>
                <w:sz w:val="24"/>
                <w:szCs w:val="24"/>
              </w:rPr>
              <w:t xml:space="preserve"> </w:t>
            </w:r>
            <w:r w:rsidRPr="00FA3F9C">
              <w:rPr>
                <w:rFonts w:ascii="Arial" w:hAnsi="Arial" w:cs="Arial"/>
                <w:sz w:val="24"/>
                <w:szCs w:val="24"/>
              </w:rPr>
              <w:t xml:space="preserve">NCCN guidelines for cutaneous melanoma (version 2.2019) recommend nivolumab monotherapy as a preferred regimen for this indication. </w:t>
            </w:r>
            <w:proofErr w:type="spellStart"/>
            <w:r w:rsidRPr="00FA3F9C">
              <w:rPr>
                <w:rFonts w:ascii="Arial" w:hAnsi="Arial" w:cs="Arial"/>
                <w:sz w:val="24"/>
                <w:szCs w:val="24"/>
              </w:rPr>
              <w:t>Nivolumab+ipilimumab</w:t>
            </w:r>
            <w:proofErr w:type="spellEnd"/>
            <w:r w:rsidRPr="00FA3F9C">
              <w:rPr>
                <w:rFonts w:ascii="Arial" w:hAnsi="Arial" w:cs="Arial"/>
                <w:sz w:val="24"/>
                <w:szCs w:val="24"/>
              </w:rPr>
              <w:t xml:space="preserve"> has a category 1 recommendation but is non-preferred and should be considered for a very fit patient population.</w:t>
            </w:r>
          </w:p>
          <w:p w14:paraId="77986D0E" w14:textId="77777777" w:rsidR="009B5AA5" w:rsidRPr="00FA3F9C" w:rsidRDefault="009B5AA5" w:rsidP="00105A4A">
            <w:pPr>
              <w:spacing w:after="0"/>
              <w:rPr>
                <w:rFonts w:ascii="Arial" w:hAnsi="Arial" w:cs="Arial"/>
                <w:sz w:val="24"/>
                <w:szCs w:val="24"/>
              </w:rPr>
            </w:pPr>
          </w:p>
          <w:p w14:paraId="2D9CB67C" w14:textId="77777777" w:rsidR="009B5AA5" w:rsidRPr="00FA3F9C" w:rsidRDefault="009B5AA5" w:rsidP="00105A4A">
            <w:pPr>
              <w:spacing w:after="0"/>
              <w:rPr>
                <w:rFonts w:ascii="Arial" w:hAnsi="Arial" w:cs="Arial"/>
                <w:sz w:val="24"/>
                <w:szCs w:val="24"/>
              </w:rPr>
            </w:pPr>
            <w:r w:rsidRPr="00FA3F9C">
              <w:rPr>
                <w:rFonts w:ascii="Arial" w:hAnsi="Arial" w:cs="Arial"/>
                <w:sz w:val="24"/>
                <w:szCs w:val="24"/>
              </w:rPr>
              <w:t>-Nivolumab dosing is 240 mg every 2 weeks or 480 mg every 4 weeks IV infusion until disease progression or unacceptable toxicity</w:t>
            </w:r>
          </w:p>
          <w:p w14:paraId="70118B62" w14:textId="77777777" w:rsidR="009B5AA5" w:rsidRPr="00FA3F9C" w:rsidRDefault="009B5AA5" w:rsidP="00105A4A">
            <w:pPr>
              <w:spacing w:after="0" w:line="240" w:lineRule="auto"/>
              <w:rPr>
                <w:rFonts w:ascii="Arial" w:hAnsi="Arial" w:cs="Arial"/>
                <w:sz w:val="24"/>
                <w:szCs w:val="24"/>
              </w:rPr>
            </w:pPr>
            <w:r w:rsidRPr="00FA3F9C">
              <w:rPr>
                <w:rFonts w:ascii="Arial" w:hAnsi="Arial" w:cs="Arial"/>
                <w:sz w:val="24"/>
                <w:szCs w:val="24"/>
              </w:rPr>
              <w:t>REFERENCES:</w:t>
            </w:r>
          </w:p>
          <w:p w14:paraId="6C1D34B9" w14:textId="77777777" w:rsidR="009B5AA5" w:rsidRPr="00FA3F9C" w:rsidRDefault="00500371" w:rsidP="00FC1E85">
            <w:pPr>
              <w:pStyle w:val="ListParagraph"/>
              <w:numPr>
                <w:ilvl w:val="0"/>
                <w:numId w:val="352"/>
              </w:numPr>
              <w:spacing w:after="0" w:line="276" w:lineRule="auto"/>
              <w:ind w:left="247" w:hanging="157"/>
              <w:rPr>
                <w:rFonts w:ascii="Arial" w:hAnsi="Arial" w:cs="Arial"/>
                <w:sz w:val="24"/>
                <w:szCs w:val="24"/>
              </w:rPr>
            </w:pPr>
            <w:hyperlink r:id="rId283" w:history="1">
              <w:proofErr w:type="spellStart"/>
              <w:r w:rsidR="009B5AA5" w:rsidRPr="00FA3F9C">
                <w:rPr>
                  <w:rStyle w:val="Hyperlink"/>
                  <w:rFonts w:ascii="Arial" w:hAnsi="Arial" w:cs="Arial"/>
                  <w:color w:val="333333"/>
                  <w:sz w:val="24"/>
                  <w:szCs w:val="24"/>
                </w:rPr>
                <w:t>Ascierto</w:t>
              </w:r>
              <w:proofErr w:type="spellEnd"/>
              <w:r w:rsidR="009B5AA5" w:rsidRPr="00FA3F9C">
                <w:rPr>
                  <w:rStyle w:val="Hyperlink"/>
                  <w:rFonts w:ascii="Arial" w:hAnsi="Arial" w:cs="Arial"/>
                  <w:color w:val="333333"/>
                  <w:sz w:val="24"/>
                  <w:szCs w:val="24"/>
                </w:rPr>
                <w:t xml:space="preserve"> PA</w:t>
              </w:r>
            </w:hyperlink>
            <w:r w:rsidR="009B5AA5" w:rsidRPr="00FA3F9C">
              <w:rPr>
                <w:rFonts w:ascii="Arial" w:hAnsi="Arial" w:cs="Arial"/>
                <w:sz w:val="24"/>
                <w:szCs w:val="24"/>
              </w:rPr>
              <w:t xml:space="preserve"> et al. </w:t>
            </w:r>
            <w:r w:rsidR="009B5AA5" w:rsidRPr="00FA3F9C">
              <w:rPr>
                <w:rFonts w:ascii="Arial" w:hAnsi="Arial" w:cs="Arial"/>
                <w:bCs/>
                <w:color w:val="000000"/>
                <w:sz w:val="24"/>
                <w:szCs w:val="24"/>
              </w:rPr>
              <w:t xml:space="preserve">Survival Outcomes in Patients </w:t>
            </w:r>
            <w:proofErr w:type="gramStart"/>
            <w:r w:rsidR="009B5AA5" w:rsidRPr="00FA3F9C">
              <w:rPr>
                <w:rFonts w:ascii="Arial" w:hAnsi="Arial" w:cs="Arial"/>
                <w:bCs/>
                <w:color w:val="000000"/>
                <w:sz w:val="24"/>
                <w:szCs w:val="24"/>
              </w:rPr>
              <w:t>With</w:t>
            </w:r>
            <w:proofErr w:type="gramEnd"/>
            <w:r w:rsidR="009B5AA5" w:rsidRPr="00FA3F9C">
              <w:rPr>
                <w:rFonts w:ascii="Arial" w:hAnsi="Arial" w:cs="Arial"/>
                <w:bCs/>
                <w:color w:val="000000"/>
                <w:sz w:val="24"/>
                <w:szCs w:val="24"/>
              </w:rPr>
              <w:t xml:space="preserve"> Previously Untreated BRAF Wild-Type Advanced Melanoma Treated With Nivolumab Therapy: Three-Year Follow-up of a Randomized Phase 3 Trial. </w:t>
            </w:r>
            <w:hyperlink r:id="rId284" w:tooltip="JAMA oncology." w:history="1">
              <w:r w:rsidR="009B5AA5" w:rsidRPr="00FA3F9C">
                <w:rPr>
                  <w:rStyle w:val="Hyperlink"/>
                  <w:rFonts w:ascii="Arial" w:hAnsi="Arial" w:cs="Arial"/>
                  <w:color w:val="333333"/>
                  <w:sz w:val="24"/>
                  <w:szCs w:val="24"/>
                </w:rPr>
                <w:t>JAMA Oncol.</w:t>
              </w:r>
            </w:hyperlink>
            <w:r w:rsidR="009B5AA5" w:rsidRPr="00FA3F9C">
              <w:rPr>
                <w:rFonts w:ascii="Arial" w:hAnsi="Arial" w:cs="Arial"/>
                <w:color w:val="000000"/>
                <w:sz w:val="24"/>
                <w:szCs w:val="24"/>
              </w:rPr>
              <w:t xml:space="preserve"> 2018 Oct 25.</w:t>
            </w:r>
          </w:p>
          <w:p w14:paraId="377C7C71" w14:textId="77777777" w:rsidR="009B5AA5" w:rsidRPr="00FA3F9C" w:rsidRDefault="009B5AA5" w:rsidP="00FC1E85">
            <w:pPr>
              <w:pStyle w:val="ListParagraph"/>
              <w:numPr>
                <w:ilvl w:val="0"/>
                <w:numId w:val="352"/>
              </w:numPr>
              <w:spacing w:after="0" w:line="276" w:lineRule="auto"/>
              <w:ind w:left="247" w:hanging="157"/>
              <w:rPr>
                <w:rFonts w:ascii="Arial" w:hAnsi="Arial" w:cs="Arial"/>
                <w:sz w:val="24"/>
                <w:szCs w:val="24"/>
              </w:rPr>
            </w:pPr>
            <w:proofErr w:type="spellStart"/>
            <w:r w:rsidRPr="00FA3F9C">
              <w:rPr>
                <w:rFonts w:ascii="Arial" w:hAnsi="Arial" w:cs="Arial"/>
                <w:sz w:val="24"/>
                <w:szCs w:val="24"/>
                <w:lang w:val="fr-FR"/>
              </w:rPr>
              <w:t>Hodi</w:t>
            </w:r>
            <w:proofErr w:type="spellEnd"/>
            <w:r w:rsidRPr="00FA3F9C">
              <w:rPr>
                <w:rFonts w:ascii="Arial" w:hAnsi="Arial" w:cs="Arial"/>
                <w:sz w:val="24"/>
                <w:szCs w:val="24"/>
                <w:lang w:val="fr-FR"/>
              </w:rPr>
              <w:t xml:space="preserve"> F, </w:t>
            </w:r>
            <w:proofErr w:type="spellStart"/>
            <w:r w:rsidRPr="00FA3F9C">
              <w:rPr>
                <w:rFonts w:ascii="Arial" w:hAnsi="Arial" w:cs="Arial"/>
                <w:sz w:val="24"/>
                <w:szCs w:val="24"/>
                <w:lang w:val="fr-FR"/>
              </w:rPr>
              <w:t>VAnna</w:t>
            </w:r>
            <w:proofErr w:type="spellEnd"/>
            <w:r w:rsidRPr="00FA3F9C">
              <w:rPr>
                <w:rFonts w:ascii="Arial" w:hAnsi="Arial" w:cs="Arial"/>
                <w:sz w:val="24"/>
                <w:szCs w:val="24"/>
                <w:lang w:val="fr-FR"/>
              </w:rPr>
              <w:t xml:space="preserve"> C, Rene G et al. </w:t>
            </w:r>
            <w:r w:rsidRPr="00FA3F9C">
              <w:rPr>
                <w:rFonts w:ascii="Arial" w:hAnsi="Arial" w:cs="Arial"/>
                <w:sz w:val="24"/>
                <w:szCs w:val="24"/>
              </w:rPr>
              <w:t>Nivolumab plus ipilimumab or nivolumab alone versus ipilimumab alone in advanced melanoma (Checkmate 067): 4-year outcomes of a multicenter, randomized, phase 3 trial. Lancet Oncol 2018; 19:1480-92. PMID 30361170</w:t>
            </w:r>
          </w:p>
          <w:p w14:paraId="3DBECFCC" w14:textId="77777777" w:rsidR="009B5AA5" w:rsidRPr="00FA3F9C" w:rsidRDefault="009B5AA5" w:rsidP="00FC1E85">
            <w:pPr>
              <w:pStyle w:val="ListParagraph"/>
              <w:numPr>
                <w:ilvl w:val="0"/>
                <w:numId w:val="352"/>
              </w:numPr>
              <w:spacing w:after="0" w:line="276" w:lineRule="auto"/>
              <w:ind w:left="247" w:hanging="157"/>
              <w:rPr>
                <w:rFonts w:ascii="Arial" w:hAnsi="Arial" w:cs="Arial"/>
                <w:sz w:val="24"/>
                <w:szCs w:val="24"/>
              </w:rPr>
            </w:pPr>
            <w:r w:rsidRPr="00FA3F9C">
              <w:rPr>
                <w:rFonts w:ascii="Arial" w:hAnsi="Arial" w:cs="Arial"/>
                <w:sz w:val="24"/>
                <w:szCs w:val="24"/>
              </w:rPr>
              <w:t xml:space="preserve">Larkin J et al. Five-Year Survival with Combined Nivolumab and Ipilimumab in Advanced Melanoma. N </w:t>
            </w:r>
            <w:proofErr w:type="spellStart"/>
            <w:r w:rsidRPr="00FA3F9C">
              <w:rPr>
                <w:rFonts w:ascii="Arial" w:hAnsi="Arial" w:cs="Arial"/>
                <w:sz w:val="24"/>
                <w:szCs w:val="24"/>
              </w:rPr>
              <w:t>Engl</w:t>
            </w:r>
            <w:proofErr w:type="spellEnd"/>
            <w:r w:rsidRPr="00FA3F9C">
              <w:rPr>
                <w:rFonts w:ascii="Arial" w:hAnsi="Arial" w:cs="Arial"/>
                <w:sz w:val="24"/>
                <w:szCs w:val="24"/>
              </w:rPr>
              <w:t xml:space="preserve"> J Med. 2019 Oct 17;381(16):1535-1546. PMID 31562797 NCT01844505</w:t>
            </w:r>
          </w:p>
          <w:p w14:paraId="5C36894B" w14:textId="77777777" w:rsidR="009B5AA5" w:rsidRPr="00FA3F9C" w:rsidRDefault="009B5AA5" w:rsidP="00FC1E85">
            <w:pPr>
              <w:pStyle w:val="ListParagraph"/>
              <w:numPr>
                <w:ilvl w:val="0"/>
                <w:numId w:val="352"/>
              </w:numPr>
              <w:spacing w:after="0" w:line="276" w:lineRule="auto"/>
              <w:ind w:left="247" w:hanging="157"/>
              <w:rPr>
                <w:rFonts w:ascii="Arial" w:hAnsi="Arial" w:cs="Arial"/>
                <w:sz w:val="24"/>
                <w:szCs w:val="24"/>
              </w:rPr>
            </w:pPr>
            <w:r w:rsidRPr="00FA3F9C">
              <w:rPr>
                <w:rFonts w:ascii="Arial" w:hAnsi="Arial" w:cs="Arial"/>
                <w:sz w:val="24"/>
                <w:szCs w:val="24"/>
              </w:rPr>
              <w:lastRenderedPageBreak/>
              <w:t xml:space="preserve">NCCN guidelines for cutaneous melanoma (version 2.2019). </w:t>
            </w:r>
            <w:hyperlink r:id="rId285" w:history="1">
              <w:r w:rsidRPr="00FA3F9C">
                <w:rPr>
                  <w:rStyle w:val="Hyperlink"/>
                  <w:rFonts w:ascii="Arial" w:hAnsi="Arial" w:cs="Arial"/>
                  <w:sz w:val="24"/>
                  <w:szCs w:val="24"/>
                </w:rPr>
                <w:t>https://www.nccn.org/professionals/physician_gls/pdf/cutaneous_melanoma.pdf</w:t>
              </w:r>
            </w:hyperlink>
            <w:r w:rsidRPr="00FA3F9C">
              <w:rPr>
                <w:rFonts w:ascii="Arial" w:hAnsi="Arial" w:cs="Arial"/>
                <w:sz w:val="24"/>
                <w:szCs w:val="24"/>
              </w:rPr>
              <w:t>. Accessed 8/8/19.</w:t>
            </w:r>
          </w:p>
        </w:tc>
      </w:tr>
    </w:tbl>
    <w:p w14:paraId="68E03643" w14:textId="77777777" w:rsidR="009B5AA5" w:rsidRPr="00FA3F9C" w:rsidRDefault="009B5AA5">
      <w:pPr>
        <w:rPr>
          <w:rFonts w:ascii="Arial" w:hAnsi="Arial" w:cs="Arial"/>
          <w:sz w:val="24"/>
          <w:szCs w:val="24"/>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68"/>
      </w:tblGrid>
      <w:tr w:rsidR="009B5AA5" w:rsidRPr="00FA3F9C" w14:paraId="072CB673" w14:textId="77777777" w:rsidTr="00FD753C">
        <w:tc>
          <w:tcPr>
            <w:tcW w:w="10368" w:type="dxa"/>
            <w:tcBorders>
              <w:bottom w:val="single" w:sz="4" w:space="0" w:color="auto"/>
            </w:tcBorders>
            <w:shd w:val="clear" w:color="auto" w:fill="000000"/>
          </w:tcPr>
          <w:p w14:paraId="7C8EA3BE" w14:textId="77777777" w:rsidR="009B5AA5" w:rsidRPr="00FA3F9C" w:rsidRDefault="009B5AA5" w:rsidP="00FD753C">
            <w:pPr>
              <w:spacing w:after="0"/>
              <w:rPr>
                <w:rFonts w:ascii="Arial" w:hAnsi="Arial" w:cs="Arial"/>
                <w:b/>
                <w:sz w:val="24"/>
                <w:szCs w:val="24"/>
                <w:u w:val="single"/>
              </w:rPr>
            </w:pPr>
            <w:r w:rsidRPr="00FA3F9C">
              <w:rPr>
                <w:rFonts w:ascii="Arial" w:hAnsi="Arial" w:cs="Arial"/>
                <w:sz w:val="24"/>
                <w:szCs w:val="24"/>
              </w:rPr>
              <w:br w:type="page"/>
            </w:r>
            <w:r w:rsidRPr="00FA3F9C">
              <w:rPr>
                <w:rFonts w:ascii="Arial" w:hAnsi="Arial" w:cs="Arial"/>
                <w:b/>
                <w:sz w:val="24"/>
                <w:szCs w:val="24"/>
                <w:u w:val="single"/>
              </w:rPr>
              <w:t>Melanoma, adjuvant (new users)</w:t>
            </w:r>
            <w:bookmarkStart w:id="225" w:name="adj_melanoma"/>
            <w:bookmarkEnd w:id="225"/>
          </w:p>
        </w:tc>
      </w:tr>
      <w:tr w:rsidR="009B5AA5" w:rsidRPr="00FA3F9C" w14:paraId="5425D114" w14:textId="77777777" w:rsidTr="00FD753C">
        <w:trPr>
          <w:trHeight w:val="386"/>
        </w:trPr>
        <w:tc>
          <w:tcPr>
            <w:tcW w:w="10368" w:type="dxa"/>
          </w:tcPr>
          <w:p w14:paraId="59600828" w14:textId="77777777" w:rsidR="009B5AA5" w:rsidRPr="00FA3F9C" w:rsidRDefault="009B5AA5" w:rsidP="00FC1E85">
            <w:pPr>
              <w:pStyle w:val="ListParagraph"/>
              <w:numPr>
                <w:ilvl w:val="0"/>
                <w:numId w:val="354"/>
              </w:numPr>
              <w:spacing w:after="0" w:line="276" w:lineRule="auto"/>
              <w:rPr>
                <w:rFonts w:ascii="Arial" w:hAnsi="Arial" w:cs="Arial"/>
                <w:sz w:val="24"/>
                <w:szCs w:val="24"/>
              </w:rPr>
            </w:pPr>
            <w:r w:rsidRPr="00FA3F9C">
              <w:rPr>
                <w:rFonts w:ascii="Arial" w:hAnsi="Arial" w:cs="Arial"/>
                <w:sz w:val="24"/>
                <w:szCs w:val="24"/>
              </w:rPr>
              <w:t>Diagnosis of stage IIIB, IIIC, or IV melanoma (</w:t>
            </w:r>
            <w:proofErr w:type="gramStart"/>
            <w:r w:rsidRPr="00FA3F9C">
              <w:rPr>
                <w:rFonts w:ascii="Arial" w:hAnsi="Arial" w:cs="Arial"/>
                <w:sz w:val="24"/>
                <w:szCs w:val="24"/>
              </w:rPr>
              <w:t>i.e.</w:t>
            </w:r>
            <w:proofErr w:type="gramEnd"/>
            <w:r w:rsidRPr="00FA3F9C">
              <w:rPr>
                <w:rFonts w:ascii="Arial" w:hAnsi="Arial" w:cs="Arial"/>
                <w:sz w:val="24"/>
                <w:szCs w:val="24"/>
              </w:rPr>
              <w:t xml:space="preserve"> with metastasis to regional lymph nodes or distant metastases) that has been surgically resected</w:t>
            </w:r>
          </w:p>
        </w:tc>
      </w:tr>
      <w:tr w:rsidR="009B5AA5" w:rsidRPr="00FA3F9C" w14:paraId="37B5F815" w14:textId="77777777" w:rsidTr="00FD753C">
        <w:tc>
          <w:tcPr>
            <w:tcW w:w="10368" w:type="dxa"/>
          </w:tcPr>
          <w:p w14:paraId="49D2D158" w14:textId="77777777" w:rsidR="009B5AA5" w:rsidRPr="00FA3F9C" w:rsidRDefault="009B5AA5" w:rsidP="00FC1E85">
            <w:pPr>
              <w:pStyle w:val="ListParagraph"/>
              <w:numPr>
                <w:ilvl w:val="0"/>
                <w:numId w:val="354"/>
              </w:numPr>
              <w:spacing w:after="0" w:line="276" w:lineRule="auto"/>
              <w:rPr>
                <w:rFonts w:ascii="Arial" w:hAnsi="Arial" w:cs="Arial"/>
                <w:sz w:val="24"/>
                <w:szCs w:val="24"/>
              </w:rPr>
            </w:pPr>
            <w:r w:rsidRPr="00FA3F9C">
              <w:rPr>
                <w:rFonts w:ascii="Arial" w:hAnsi="Arial" w:cs="Arial"/>
                <w:sz w:val="24"/>
                <w:szCs w:val="24"/>
              </w:rPr>
              <w:t>The patient must be ECOG performance status 0 (fully active) or 1 (ambulatory but restricted in physically strenuous activity) at initiation</w:t>
            </w:r>
          </w:p>
        </w:tc>
      </w:tr>
      <w:tr w:rsidR="009B5AA5" w:rsidRPr="00FA3F9C" w14:paraId="6D08308A" w14:textId="77777777" w:rsidTr="00FD753C">
        <w:tc>
          <w:tcPr>
            <w:tcW w:w="10368" w:type="dxa"/>
          </w:tcPr>
          <w:p w14:paraId="5AFB12AC" w14:textId="77777777" w:rsidR="009B5AA5" w:rsidRPr="00FA3F9C" w:rsidRDefault="009B5AA5" w:rsidP="00FC1E85">
            <w:pPr>
              <w:pStyle w:val="ListParagraph"/>
              <w:numPr>
                <w:ilvl w:val="0"/>
                <w:numId w:val="354"/>
              </w:numPr>
              <w:spacing w:after="0" w:line="276" w:lineRule="auto"/>
              <w:rPr>
                <w:rFonts w:ascii="Arial" w:hAnsi="Arial" w:cs="Arial"/>
                <w:sz w:val="24"/>
                <w:szCs w:val="24"/>
              </w:rPr>
            </w:pPr>
            <w:r w:rsidRPr="00FA3F9C">
              <w:rPr>
                <w:rFonts w:ascii="Arial" w:hAnsi="Arial" w:cs="Arial"/>
                <w:sz w:val="24"/>
                <w:szCs w:val="24"/>
              </w:rPr>
              <w:t>Patient does not have diagnosis of ocular/uveal melanoma.</w:t>
            </w:r>
          </w:p>
        </w:tc>
      </w:tr>
      <w:tr w:rsidR="009B5AA5" w:rsidRPr="00FA3F9C" w14:paraId="6C3E640A" w14:textId="77777777" w:rsidTr="00FD753C">
        <w:tc>
          <w:tcPr>
            <w:tcW w:w="10368" w:type="dxa"/>
          </w:tcPr>
          <w:p w14:paraId="6E3B1916" w14:textId="77777777" w:rsidR="009B5AA5" w:rsidRPr="00FA3F9C" w:rsidRDefault="009B5AA5" w:rsidP="00FD753C">
            <w:pPr>
              <w:spacing w:after="0"/>
              <w:rPr>
                <w:rFonts w:ascii="Arial" w:hAnsi="Arial" w:cs="Arial"/>
                <w:sz w:val="24"/>
                <w:szCs w:val="24"/>
              </w:rPr>
            </w:pPr>
            <w:r w:rsidRPr="00FA3F9C">
              <w:rPr>
                <w:rFonts w:ascii="Arial" w:hAnsi="Arial" w:cs="Arial"/>
                <w:b/>
                <w:sz w:val="24"/>
                <w:szCs w:val="24"/>
              </w:rPr>
              <w:t>If all criteria fulfilled, approve for 12 months. NOTE:  maximum treatment duration is 1 year. Do not approve more than 1 year TOTAL.</w:t>
            </w:r>
          </w:p>
        </w:tc>
      </w:tr>
      <w:tr w:rsidR="009B5AA5" w:rsidRPr="00FA3F9C" w14:paraId="57F8C66C" w14:textId="77777777" w:rsidTr="00FD753C">
        <w:tc>
          <w:tcPr>
            <w:tcW w:w="10368" w:type="dxa"/>
            <w:tcBorders>
              <w:bottom w:val="single" w:sz="4" w:space="0" w:color="auto"/>
            </w:tcBorders>
            <w:shd w:val="clear" w:color="auto" w:fill="BFBFBF" w:themeFill="background1" w:themeFillShade="BF"/>
          </w:tcPr>
          <w:p w14:paraId="3090C7FF" w14:textId="77777777" w:rsidR="009B5AA5" w:rsidRPr="00FA3F9C" w:rsidRDefault="009B5AA5" w:rsidP="00FD753C">
            <w:pPr>
              <w:spacing w:after="0" w:line="240" w:lineRule="auto"/>
              <w:rPr>
                <w:rFonts w:ascii="Arial" w:hAnsi="Arial" w:cs="Arial"/>
                <w:sz w:val="24"/>
                <w:szCs w:val="24"/>
              </w:rPr>
            </w:pPr>
            <w:r w:rsidRPr="00FA3F9C">
              <w:rPr>
                <w:rFonts w:ascii="Arial" w:hAnsi="Arial" w:cs="Arial"/>
                <w:sz w:val="24"/>
                <w:szCs w:val="24"/>
              </w:rPr>
              <w:t xml:space="preserve">Note:  </w:t>
            </w:r>
          </w:p>
          <w:p w14:paraId="3D555EEC" w14:textId="77777777" w:rsidR="009B5AA5" w:rsidRPr="00FA3F9C" w:rsidRDefault="009B5AA5" w:rsidP="00FD753C">
            <w:pPr>
              <w:spacing w:after="0" w:line="240" w:lineRule="auto"/>
              <w:rPr>
                <w:rFonts w:ascii="Arial" w:hAnsi="Arial" w:cs="Arial"/>
                <w:sz w:val="24"/>
                <w:szCs w:val="24"/>
              </w:rPr>
            </w:pPr>
            <w:r w:rsidRPr="00FA3F9C">
              <w:rPr>
                <w:rFonts w:ascii="Arial" w:hAnsi="Arial" w:cs="Arial"/>
                <w:sz w:val="24"/>
                <w:szCs w:val="24"/>
              </w:rPr>
              <w:t xml:space="preserve">The endpoint to the trial showed a hazard ratio for disease </w:t>
            </w:r>
            <w:r w:rsidRPr="00FA3F9C">
              <w:rPr>
                <w:rFonts w:ascii="Arial" w:hAnsi="Arial" w:cs="Arial"/>
                <w:b/>
                <w:i/>
                <w:sz w:val="24"/>
                <w:szCs w:val="24"/>
              </w:rPr>
              <w:t>recurrence or death</w:t>
            </w:r>
            <w:r w:rsidRPr="00FA3F9C">
              <w:rPr>
                <w:rFonts w:ascii="Arial" w:hAnsi="Arial" w:cs="Arial"/>
                <w:sz w:val="24"/>
                <w:szCs w:val="24"/>
              </w:rPr>
              <w:t xml:space="preserve"> of 0.65 (97.56%CI 0.51 to 0.83, P&lt;0.001. In this trial, the grade 3 or 4 AE rates were 14.4% Nivolumab vs 45.9% Ipilimumab.</w:t>
            </w:r>
          </w:p>
          <w:p w14:paraId="0F27630C" w14:textId="77777777" w:rsidR="009B5AA5" w:rsidRPr="00FA3F9C" w:rsidRDefault="009B5AA5" w:rsidP="00FD753C">
            <w:pPr>
              <w:spacing w:after="0" w:line="240" w:lineRule="auto"/>
              <w:rPr>
                <w:rFonts w:ascii="Arial" w:hAnsi="Arial" w:cs="Arial"/>
                <w:sz w:val="24"/>
                <w:szCs w:val="24"/>
              </w:rPr>
            </w:pPr>
          </w:p>
          <w:p w14:paraId="750F78A1" w14:textId="77777777" w:rsidR="009B5AA5" w:rsidRPr="00FA3F9C" w:rsidRDefault="009B5AA5" w:rsidP="00FD753C">
            <w:pPr>
              <w:spacing w:after="0" w:line="240" w:lineRule="auto"/>
              <w:rPr>
                <w:rFonts w:ascii="Arial" w:hAnsi="Arial" w:cs="Arial"/>
                <w:sz w:val="24"/>
                <w:szCs w:val="24"/>
              </w:rPr>
            </w:pPr>
            <w:r w:rsidRPr="00FA3F9C">
              <w:rPr>
                <w:rFonts w:ascii="Arial" w:hAnsi="Arial" w:cs="Arial"/>
                <w:sz w:val="24"/>
                <w:szCs w:val="24"/>
              </w:rPr>
              <w:t>REFERENCE:</w:t>
            </w:r>
          </w:p>
          <w:p w14:paraId="6D93BE4F" w14:textId="77777777" w:rsidR="009B5AA5" w:rsidRPr="00FA3F9C" w:rsidRDefault="009B5AA5" w:rsidP="00FD753C">
            <w:pPr>
              <w:spacing w:after="0" w:line="240" w:lineRule="auto"/>
              <w:rPr>
                <w:rFonts w:ascii="Arial" w:hAnsi="Arial" w:cs="Arial"/>
                <w:sz w:val="24"/>
                <w:szCs w:val="24"/>
              </w:rPr>
            </w:pPr>
            <w:r w:rsidRPr="00FA3F9C">
              <w:rPr>
                <w:rFonts w:ascii="Arial" w:hAnsi="Arial" w:cs="Arial"/>
                <w:sz w:val="24"/>
                <w:szCs w:val="24"/>
              </w:rPr>
              <w:t xml:space="preserve">Weber J et al. Adjuvant nivolumab versus ipilimumab in resected stage III or IV melanoma. NEJM 2017 1826-1835 [CHECKMATE-238] </w:t>
            </w:r>
            <w:hyperlink r:id="rId286" w:tgtFrame="_blank" w:history="1">
              <w:r w:rsidRPr="00FA3F9C">
                <w:rPr>
                  <w:rStyle w:val="Hyperlink"/>
                  <w:rFonts w:ascii="Arial" w:hAnsi="Arial" w:cs="Arial"/>
                  <w:sz w:val="24"/>
                  <w:szCs w:val="24"/>
                </w:rPr>
                <w:t>NCT02388906</w:t>
              </w:r>
            </w:hyperlink>
            <w:r w:rsidRPr="00FA3F9C">
              <w:rPr>
                <w:rStyle w:val="Hyperlink"/>
                <w:rFonts w:ascii="Arial" w:hAnsi="Arial" w:cs="Arial"/>
                <w:sz w:val="24"/>
                <w:szCs w:val="24"/>
              </w:rPr>
              <w:t xml:space="preserve"> PMID 28891423</w:t>
            </w:r>
          </w:p>
        </w:tc>
      </w:tr>
    </w:tbl>
    <w:p w14:paraId="7DE10276" w14:textId="77777777" w:rsidR="009B5AA5" w:rsidRPr="00FA3F9C" w:rsidRDefault="009B5AA5" w:rsidP="002C32D1">
      <w:pPr>
        <w:rPr>
          <w:rFonts w:ascii="Arial" w:hAnsi="Arial" w:cs="Arial"/>
          <w:b/>
          <w:sz w:val="24"/>
          <w:szCs w:val="24"/>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68"/>
      </w:tblGrid>
      <w:tr w:rsidR="009B5AA5" w:rsidRPr="00FA3F9C" w14:paraId="71DB7152" w14:textId="77777777" w:rsidTr="00C7144B">
        <w:tc>
          <w:tcPr>
            <w:tcW w:w="10368" w:type="dxa"/>
            <w:tcBorders>
              <w:bottom w:val="single" w:sz="4" w:space="0" w:color="auto"/>
            </w:tcBorders>
            <w:shd w:val="clear" w:color="auto" w:fill="000000"/>
          </w:tcPr>
          <w:p w14:paraId="3C2851EB" w14:textId="77777777" w:rsidR="009B5AA5" w:rsidRPr="00FA3F9C" w:rsidRDefault="009B5AA5" w:rsidP="00C7144B">
            <w:pPr>
              <w:spacing w:after="0" w:line="240" w:lineRule="auto"/>
              <w:rPr>
                <w:rFonts w:ascii="Arial" w:hAnsi="Arial" w:cs="Arial"/>
                <w:b/>
                <w:sz w:val="24"/>
                <w:szCs w:val="24"/>
                <w:u w:val="single"/>
              </w:rPr>
            </w:pPr>
            <w:proofErr w:type="gramStart"/>
            <w:r w:rsidRPr="00FA3F9C">
              <w:rPr>
                <w:rFonts w:ascii="Arial" w:hAnsi="Arial" w:cs="Arial"/>
                <w:b/>
                <w:sz w:val="24"/>
                <w:szCs w:val="24"/>
                <w:u w:val="single"/>
              </w:rPr>
              <w:t>E</w:t>
            </w:r>
            <w:bookmarkStart w:id="226" w:name="ESNSCLC"/>
            <w:bookmarkEnd w:id="226"/>
            <w:r w:rsidRPr="00FA3F9C">
              <w:rPr>
                <w:rFonts w:ascii="Arial" w:hAnsi="Arial" w:cs="Arial"/>
                <w:b/>
                <w:sz w:val="24"/>
                <w:szCs w:val="24"/>
                <w:u w:val="single"/>
              </w:rPr>
              <w:t>ARLY STAGE</w:t>
            </w:r>
            <w:proofErr w:type="gramEnd"/>
            <w:r w:rsidRPr="00FA3F9C">
              <w:rPr>
                <w:rFonts w:ascii="Arial" w:hAnsi="Arial" w:cs="Arial"/>
                <w:b/>
                <w:sz w:val="24"/>
                <w:szCs w:val="24"/>
                <w:u w:val="single"/>
              </w:rPr>
              <w:t xml:space="preserve"> Non-Small Cell Lung Cancer (NSCLC)</w:t>
            </w:r>
          </w:p>
        </w:tc>
      </w:tr>
      <w:tr w:rsidR="009B5AA5" w:rsidRPr="00FA3F9C" w14:paraId="68535E3A" w14:textId="77777777" w:rsidTr="00B16675">
        <w:trPr>
          <w:trHeight w:val="251"/>
        </w:trPr>
        <w:tc>
          <w:tcPr>
            <w:tcW w:w="10368" w:type="dxa"/>
          </w:tcPr>
          <w:p w14:paraId="0A974589" w14:textId="77777777" w:rsidR="009B5AA5" w:rsidRPr="00FA3F9C" w:rsidRDefault="009B5AA5" w:rsidP="00FC1E85">
            <w:pPr>
              <w:pStyle w:val="ListParagraph"/>
              <w:numPr>
                <w:ilvl w:val="0"/>
                <w:numId w:val="375"/>
              </w:numPr>
              <w:spacing w:after="0" w:line="240" w:lineRule="auto"/>
              <w:ind w:left="242" w:hanging="270"/>
              <w:rPr>
                <w:rFonts w:ascii="Arial" w:hAnsi="Arial" w:cs="Arial"/>
                <w:sz w:val="24"/>
                <w:szCs w:val="24"/>
              </w:rPr>
            </w:pPr>
            <w:r w:rsidRPr="00FA3F9C">
              <w:rPr>
                <w:rFonts w:ascii="Arial" w:hAnsi="Arial" w:cs="Arial"/>
                <w:sz w:val="24"/>
                <w:szCs w:val="24"/>
              </w:rPr>
              <w:t>Diagnosis of non-small cell lung cancer (adenocarcinoma or squamous cell carcinoma)</w:t>
            </w:r>
          </w:p>
        </w:tc>
      </w:tr>
      <w:tr w:rsidR="009B5AA5" w:rsidRPr="00FA3F9C" w14:paraId="3E8A3319" w14:textId="77777777" w:rsidTr="00B16675">
        <w:trPr>
          <w:trHeight w:val="242"/>
        </w:trPr>
        <w:tc>
          <w:tcPr>
            <w:tcW w:w="10368" w:type="dxa"/>
          </w:tcPr>
          <w:p w14:paraId="6152BF85" w14:textId="77777777" w:rsidR="009B5AA5" w:rsidRPr="00FA3F9C" w:rsidRDefault="009B5AA5" w:rsidP="00FC1E85">
            <w:pPr>
              <w:pStyle w:val="ListParagraph"/>
              <w:numPr>
                <w:ilvl w:val="0"/>
                <w:numId w:val="375"/>
              </w:numPr>
              <w:spacing w:after="0" w:line="240" w:lineRule="auto"/>
              <w:ind w:left="242" w:hanging="270"/>
              <w:rPr>
                <w:rFonts w:ascii="Arial" w:hAnsi="Arial" w:cs="Arial"/>
                <w:sz w:val="24"/>
                <w:szCs w:val="24"/>
              </w:rPr>
            </w:pPr>
            <w:r w:rsidRPr="00FA3F9C">
              <w:rPr>
                <w:rFonts w:ascii="Arial" w:hAnsi="Arial" w:cs="Arial"/>
                <w:sz w:val="24"/>
                <w:szCs w:val="24"/>
              </w:rPr>
              <w:t xml:space="preserve">Disease is </w:t>
            </w:r>
            <w:proofErr w:type="spellStart"/>
            <w:r w:rsidRPr="00FA3F9C">
              <w:rPr>
                <w:rFonts w:ascii="Arial" w:hAnsi="Arial" w:cs="Arial"/>
                <w:sz w:val="24"/>
                <w:szCs w:val="24"/>
              </w:rPr>
              <w:t>resectable</w:t>
            </w:r>
            <w:proofErr w:type="spellEnd"/>
          </w:p>
        </w:tc>
      </w:tr>
      <w:tr w:rsidR="009B5AA5" w:rsidRPr="00FA3F9C" w14:paraId="162CCFB1" w14:textId="77777777" w:rsidTr="00B16675">
        <w:trPr>
          <w:trHeight w:val="242"/>
        </w:trPr>
        <w:tc>
          <w:tcPr>
            <w:tcW w:w="10368" w:type="dxa"/>
          </w:tcPr>
          <w:p w14:paraId="56D7217E" w14:textId="77777777" w:rsidR="009B5AA5" w:rsidRPr="00FA3F9C" w:rsidRDefault="009B5AA5" w:rsidP="00FC1E85">
            <w:pPr>
              <w:pStyle w:val="ListParagraph"/>
              <w:numPr>
                <w:ilvl w:val="0"/>
                <w:numId w:val="375"/>
              </w:numPr>
              <w:spacing w:after="0" w:line="240" w:lineRule="auto"/>
              <w:ind w:left="242" w:hanging="270"/>
              <w:rPr>
                <w:rFonts w:ascii="Arial" w:hAnsi="Arial" w:cs="Arial"/>
                <w:sz w:val="24"/>
                <w:szCs w:val="24"/>
              </w:rPr>
            </w:pPr>
            <w:r w:rsidRPr="00FA3F9C">
              <w:rPr>
                <w:rFonts w:ascii="Arial" w:hAnsi="Arial" w:cs="Arial"/>
                <w:sz w:val="24"/>
                <w:szCs w:val="24"/>
              </w:rPr>
              <w:t>Tumor is either lymph node positive or size is 4 cm or greater</w:t>
            </w:r>
          </w:p>
        </w:tc>
      </w:tr>
      <w:tr w:rsidR="009B5AA5" w:rsidRPr="00FA3F9C" w14:paraId="3E17CF78" w14:textId="77777777" w:rsidTr="00B16675">
        <w:trPr>
          <w:trHeight w:val="242"/>
        </w:trPr>
        <w:tc>
          <w:tcPr>
            <w:tcW w:w="10368" w:type="dxa"/>
          </w:tcPr>
          <w:p w14:paraId="502888E0" w14:textId="77777777" w:rsidR="009B5AA5" w:rsidRPr="00FA3F9C" w:rsidRDefault="009B5AA5" w:rsidP="00FC1E85">
            <w:pPr>
              <w:pStyle w:val="ListParagraph"/>
              <w:numPr>
                <w:ilvl w:val="0"/>
                <w:numId w:val="375"/>
              </w:numPr>
              <w:spacing w:after="0" w:line="240" w:lineRule="auto"/>
              <w:ind w:left="242" w:hanging="270"/>
              <w:rPr>
                <w:rFonts w:ascii="Arial" w:hAnsi="Arial" w:cs="Arial"/>
                <w:sz w:val="24"/>
                <w:szCs w:val="24"/>
              </w:rPr>
            </w:pPr>
            <w:r w:rsidRPr="00FA3F9C">
              <w:rPr>
                <w:rFonts w:ascii="Arial" w:hAnsi="Arial" w:cs="Arial"/>
                <w:sz w:val="24"/>
                <w:szCs w:val="24"/>
              </w:rPr>
              <w:t xml:space="preserve">If tested, tumor does not harbor EGFR or ALK mutations (if testing not conducted, disregard this criterion) </w:t>
            </w:r>
          </w:p>
        </w:tc>
      </w:tr>
      <w:tr w:rsidR="009B5AA5" w:rsidRPr="00FA3F9C" w14:paraId="4CC14F86" w14:textId="77777777" w:rsidTr="00B16675">
        <w:trPr>
          <w:trHeight w:val="242"/>
        </w:trPr>
        <w:tc>
          <w:tcPr>
            <w:tcW w:w="10368" w:type="dxa"/>
          </w:tcPr>
          <w:p w14:paraId="327EFD1F" w14:textId="77777777" w:rsidR="009B5AA5" w:rsidRPr="00FA3F9C" w:rsidRDefault="009B5AA5" w:rsidP="00FC1E85">
            <w:pPr>
              <w:pStyle w:val="ListParagraph"/>
              <w:numPr>
                <w:ilvl w:val="0"/>
                <w:numId w:val="375"/>
              </w:numPr>
              <w:spacing w:after="0" w:line="240" w:lineRule="auto"/>
              <w:ind w:left="242" w:hanging="270"/>
              <w:rPr>
                <w:rFonts w:ascii="Arial" w:hAnsi="Arial" w:cs="Arial"/>
                <w:sz w:val="24"/>
                <w:szCs w:val="24"/>
              </w:rPr>
            </w:pPr>
            <w:r w:rsidRPr="00FA3F9C">
              <w:rPr>
                <w:rFonts w:ascii="Arial" w:hAnsi="Arial" w:cs="Arial"/>
                <w:sz w:val="24"/>
                <w:szCs w:val="24"/>
              </w:rPr>
              <w:t>Nivolumab will be given in combination with platinum-based chemotherapy (</w:t>
            </w:r>
            <w:proofErr w:type="gramStart"/>
            <w:r w:rsidRPr="00FA3F9C">
              <w:rPr>
                <w:rFonts w:ascii="Arial" w:hAnsi="Arial" w:cs="Arial"/>
                <w:sz w:val="24"/>
                <w:szCs w:val="24"/>
              </w:rPr>
              <w:t>e.g.</w:t>
            </w:r>
            <w:proofErr w:type="gramEnd"/>
            <w:r w:rsidRPr="00FA3F9C">
              <w:rPr>
                <w:rFonts w:ascii="Arial" w:hAnsi="Arial" w:cs="Arial"/>
                <w:sz w:val="24"/>
                <w:szCs w:val="24"/>
              </w:rPr>
              <w:t xml:space="preserve"> carboplatin or cisplatin plus paclitaxel, pemetrexed, gemcitabine, or other agent)</w:t>
            </w:r>
          </w:p>
        </w:tc>
      </w:tr>
      <w:tr w:rsidR="009B5AA5" w:rsidRPr="00FA3F9C" w14:paraId="46B8CF26" w14:textId="77777777" w:rsidTr="00B16675">
        <w:trPr>
          <w:trHeight w:val="233"/>
        </w:trPr>
        <w:tc>
          <w:tcPr>
            <w:tcW w:w="10368" w:type="dxa"/>
          </w:tcPr>
          <w:p w14:paraId="2F14A98A" w14:textId="77777777" w:rsidR="009B5AA5" w:rsidRPr="00FA3F9C" w:rsidRDefault="009B5AA5" w:rsidP="00FC1E85">
            <w:pPr>
              <w:pStyle w:val="ListParagraph"/>
              <w:numPr>
                <w:ilvl w:val="0"/>
                <w:numId w:val="375"/>
              </w:numPr>
              <w:spacing w:after="0" w:line="240" w:lineRule="auto"/>
              <w:ind w:left="242" w:hanging="270"/>
              <w:rPr>
                <w:rFonts w:ascii="Arial" w:hAnsi="Arial" w:cs="Arial"/>
                <w:sz w:val="24"/>
                <w:szCs w:val="24"/>
              </w:rPr>
            </w:pPr>
            <w:proofErr w:type="spellStart"/>
            <w:r w:rsidRPr="00FA3F9C">
              <w:rPr>
                <w:rFonts w:ascii="Arial" w:hAnsi="Arial" w:cs="Arial"/>
                <w:sz w:val="24"/>
                <w:szCs w:val="24"/>
              </w:rPr>
              <w:t>Nivolumab+chemotherapy</w:t>
            </w:r>
            <w:proofErr w:type="spellEnd"/>
            <w:r w:rsidRPr="00FA3F9C">
              <w:rPr>
                <w:rFonts w:ascii="Arial" w:hAnsi="Arial" w:cs="Arial"/>
                <w:sz w:val="24"/>
                <w:szCs w:val="24"/>
              </w:rPr>
              <w:t xml:space="preserve"> will be given </w:t>
            </w:r>
            <w:proofErr w:type="spellStart"/>
            <w:r w:rsidRPr="00FA3F9C">
              <w:rPr>
                <w:rFonts w:ascii="Arial" w:hAnsi="Arial" w:cs="Arial"/>
                <w:sz w:val="24"/>
                <w:szCs w:val="24"/>
              </w:rPr>
              <w:t>neoadjuvantly</w:t>
            </w:r>
            <w:proofErr w:type="spellEnd"/>
            <w:r w:rsidRPr="00FA3F9C">
              <w:rPr>
                <w:rFonts w:ascii="Arial" w:hAnsi="Arial" w:cs="Arial"/>
                <w:sz w:val="24"/>
                <w:szCs w:val="24"/>
              </w:rPr>
              <w:t xml:space="preserve"> (before surgery) for 3 cycles </w:t>
            </w:r>
          </w:p>
        </w:tc>
      </w:tr>
      <w:tr w:rsidR="009B5AA5" w:rsidRPr="00FA3F9C" w14:paraId="1D48D0E5" w14:textId="77777777" w:rsidTr="00C7144B">
        <w:tc>
          <w:tcPr>
            <w:tcW w:w="10368" w:type="dxa"/>
          </w:tcPr>
          <w:p w14:paraId="3AEFD19A" w14:textId="77777777" w:rsidR="009B5AA5" w:rsidRPr="00FA3F9C" w:rsidRDefault="009B5AA5" w:rsidP="00B16675">
            <w:pPr>
              <w:spacing w:after="0" w:line="240" w:lineRule="auto"/>
              <w:rPr>
                <w:rFonts w:ascii="Arial" w:hAnsi="Arial" w:cs="Arial"/>
                <w:sz w:val="24"/>
                <w:szCs w:val="24"/>
              </w:rPr>
            </w:pPr>
            <w:r w:rsidRPr="00FA3F9C">
              <w:rPr>
                <w:rFonts w:ascii="Arial" w:hAnsi="Arial" w:cs="Arial"/>
                <w:b/>
                <w:sz w:val="24"/>
                <w:szCs w:val="24"/>
              </w:rPr>
              <w:lastRenderedPageBreak/>
              <w:t xml:space="preserve">If criteria are fulfilled, approve for 3 months. For this indication, nivolumab is given for 3 doses only. </w:t>
            </w:r>
          </w:p>
        </w:tc>
      </w:tr>
      <w:tr w:rsidR="009B5AA5" w:rsidRPr="00FA3F9C" w14:paraId="3ECCCC23" w14:textId="77777777" w:rsidTr="00C7144B">
        <w:tc>
          <w:tcPr>
            <w:tcW w:w="10368" w:type="dxa"/>
            <w:tcBorders>
              <w:bottom w:val="single" w:sz="4" w:space="0" w:color="auto"/>
            </w:tcBorders>
            <w:shd w:val="clear" w:color="auto" w:fill="BFBFBF" w:themeFill="background1" w:themeFillShade="BF"/>
          </w:tcPr>
          <w:p w14:paraId="0D82B3C4" w14:textId="77777777" w:rsidR="009B5AA5" w:rsidRPr="00FA3F9C" w:rsidRDefault="009B5AA5" w:rsidP="00C7144B">
            <w:pPr>
              <w:spacing w:after="0" w:line="240" w:lineRule="auto"/>
              <w:rPr>
                <w:rFonts w:ascii="Arial" w:hAnsi="Arial" w:cs="Arial"/>
                <w:sz w:val="24"/>
                <w:szCs w:val="24"/>
              </w:rPr>
            </w:pPr>
            <w:r w:rsidRPr="00FA3F9C">
              <w:rPr>
                <w:rFonts w:ascii="Arial" w:hAnsi="Arial" w:cs="Arial"/>
                <w:sz w:val="24"/>
                <w:szCs w:val="24"/>
              </w:rPr>
              <w:t xml:space="preserve">Notes:  </w:t>
            </w:r>
          </w:p>
          <w:p w14:paraId="6A37201F" w14:textId="77777777" w:rsidR="009B5AA5" w:rsidRPr="00FA3F9C" w:rsidRDefault="009B5AA5" w:rsidP="00C7144B">
            <w:pPr>
              <w:spacing w:after="0" w:line="240" w:lineRule="auto"/>
              <w:rPr>
                <w:rFonts w:ascii="Arial" w:hAnsi="Arial" w:cs="Arial"/>
                <w:sz w:val="24"/>
                <w:szCs w:val="24"/>
              </w:rPr>
            </w:pPr>
            <w:r w:rsidRPr="00FA3F9C">
              <w:rPr>
                <w:rFonts w:ascii="Arial" w:hAnsi="Arial" w:cs="Arial"/>
                <w:sz w:val="24"/>
                <w:szCs w:val="24"/>
              </w:rPr>
              <w:t xml:space="preserve">Dose: nivolumab 360 mg IV every 3 weeks x 3 doses (with </w:t>
            </w:r>
            <w:proofErr w:type="gramStart"/>
            <w:r w:rsidRPr="00FA3F9C">
              <w:rPr>
                <w:rFonts w:ascii="Arial" w:hAnsi="Arial" w:cs="Arial"/>
                <w:sz w:val="24"/>
                <w:szCs w:val="24"/>
              </w:rPr>
              <w:t>platinum based</w:t>
            </w:r>
            <w:proofErr w:type="gramEnd"/>
            <w:r w:rsidRPr="00FA3F9C">
              <w:rPr>
                <w:rFonts w:ascii="Arial" w:hAnsi="Arial" w:cs="Arial"/>
                <w:sz w:val="24"/>
                <w:szCs w:val="24"/>
              </w:rPr>
              <w:t xml:space="preserve"> chemotherapy) given prior to surgery. </w:t>
            </w:r>
          </w:p>
          <w:p w14:paraId="5FD82EC2" w14:textId="77777777" w:rsidR="009B5AA5" w:rsidRPr="00FA3F9C" w:rsidRDefault="009B5AA5" w:rsidP="00C7144B">
            <w:pPr>
              <w:spacing w:after="0" w:line="240" w:lineRule="auto"/>
              <w:rPr>
                <w:rFonts w:ascii="Arial" w:hAnsi="Arial" w:cs="Arial"/>
                <w:sz w:val="24"/>
                <w:szCs w:val="24"/>
              </w:rPr>
            </w:pPr>
          </w:p>
          <w:p w14:paraId="0386BF18" w14:textId="77777777" w:rsidR="009B5AA5" w:rsidRPr="00FA3F9C" w:rsidRDefault="009B5AA5" w:rsidP="00C7144B">
            <w:pPr>
              <w:spacing w:after="0" w:line="240" w:lineRule="auto"/>
              <w:rPr>
                <w:rFonts w:ascii="Arial" w:hAnsi="Arial" w:cs="Arial"/>
                <w:sz w:val="24"/>
                <w:szCs w:val="24"/>
              </w:rPr>
            </w:pPr>
            <w:r w:rsidRPr="00FA3F9C">
              <w:rPr>
                <w:rFonts w:ascii="Arial" w:hAnsi="Arial" w:cs="Arial"/>
                <w:sz w:val="24"/>
                <w:szCs w:val="24"/>
              </w:rPr>
              <w:t xml:space="preserve">Nivolumab + chemotherapy improved event free survival compared to chemo alone in this population. </w:t>
            </w:r>
          </w:p>
          <w:p w14:paraId="635D9D6F" w14:textId="77777777" w:rsidR="009B5AA5" w:rsidRPr="00FA3F9C" w:rsidRDefault="009B5AA5" w:rsidP="00C7144B">
            <w:pPr>
              <w:spacing w:after="0" w:line="240" w:lineRule="auto"/>
              <w:rPr>
                <w:rFonts w:ascii="Arial" w:hAnsi="Arial" w:cs="Arial"/>
                <w:sz w:val="24"/>
                <w:szCs w:val="24"/>
              </w:rPr>
            </w:pPr>
          </w:p>
          <w:tbl>
            <w:tblPr>
              <w:tblStyle w:val="TableGrid"/>
              <w:tblW w:w="0" w:type="auto"/>
              <w:tblLayout w:type="fixed"/>
              <w:tblLook w:val="04A0" w:firstRow="1" w:lastRow="0" w:firstColumn="1" w:lastColumn="0" w:noHBand="0" w:noVBand="1"/>
            </w:tblPr>
            <w:tblGrid>
              <w:gridCol w:w="3116"/>
              <w:gridCol w:w="3117"/>
              <w:gridCol w:w="3117"/>
            </w:tblGrid>
            <w:tr w:rsidR="009B5AA5" w:rsidRPr="00FA3F9C" w14:paraId="13B8ADED" w14:textId="77777777" w:rsidTr="00C7144B">
              <w:tc>
                <w:tcPr>
                  <w:tcW w:w="3116" w:type="dxa"/>
                </w:tcPr>
                <w:p w14:paraId="196DA17D" w14:textId="77777777" w:rsidR="009B5AA5" w:rsidRPr="00FA3F9C" w:rsidRDefault="009B5AA5" w:rsidP="00B16675">
                  <w:pPr>
                    <w:rPr>
                      <w:rFonts w:ascii="Arial" w:hAnsi="Arial" w:cs="Arial"/>
                      <w:sz w:val="24"/>
                      <w:szCs w:val="24"/>
                    </w:rPr>
                  </w:pPr>
                  <w:r w:rsidRPr="00FA3F9C">
                    <w:rPr>
                      <w:rFonts w:ascii="Arial" w:hAnsi="Arial" w:cs="Arial"/>
                      <w:sz w:val="24"/>
                      <w:szCs w:val="24"/>
                    </w:rPr>
                    <w:t xml:space="preserve">CHECKMATE-816 </w:t>
                  </w:r>
                </w:p>
                <w:p w14:paraId="1DD8FD0C" w14:textId="77777777" w:rsidR="009B5AA5" w:rsidRPr="00FA3F9C" w:rsidRDefault="009B5AA5" w:rsidP="00B16675">
                  <w:pPr>
                    <w:rPr>
                      <w:rFonts w:ascii="Arial" w:hAnsi="Arial" w:cs="Arial"/>
                      <w:sz w:val="24"/>
                      <w:szCs w:val="24"/>
                    </w:rPr>
                  </w:pPr>
                  <w:r w:rsidRPr="00FA3F9C">
                    <w:rPr>
                      <w:rFonts w:ascii="Arial" w:hAnsi="Arial" w:cs="Arial"/>
                      <w:sz w:val="24"/>
                      <w:szCs w:val="24"/>
                    </w:rPr>
                    <w:t>NCT02998528</w:t>
                  </w:r>
                </w:p>
                <w:p w14:paraId="28707786" w14:textId="77777777" w:rsidR="009B5AA5" w:rsidRPr="00FA3F9C" w:rsidRDefault="009B5AA5" w:rsidP="00B16675">
                  <w:pPr>
                    <w:rPr>
                      <w:rFonts w:ascii="Arial" w:hAnsi="Arial" w:cs="Arial"/>
                      <w:sz w:val="24"/>
                      <w:szCs w:val="24"/>
                    </w:rPr>
                  </w:pPr>
                  <w:r w:rsidRPr="00FA3F9C">
                    <w:rPr>
                      <w:rFonts w:ascii="Arial" w:hAnsi="Arial" w:cs="Arial"/>
                      <w:sz w:val="24"/>
                      <w:szCs w:val="24"/>
                    </w:rPr>
                    <w:t xml:space="preserve">Randomized, Open </w:t>
                  </w:r>
                  <w:proofErr w:type="spellStart"/>
                  <w:r w:rsidRPr="00FA3F9C">
                    <w:rPr>
                      <w:rFonts w:ascii="Arial" w:hAnsi="Arial" w:cs="Arial"/>
                      <w:sz w:val="24"/>
                      <w:szCs w:val="24"/>
                    </w:rPr>
                    <w:t>Lable</w:t>
                  </w:r>
                  <w:proofErr w:type="spellEnd"/>
                  <w:r w:rsidRPr="00FA3F9C">
                    <w:rPr>
                      <w:rFonts w:ascii="Arial" w:hAnsi="Arial" w:cs="Arial"/>
                      <w:sz w:val="24"/>
                      <w:szCs w:val="24"/>
                    </w:rPr>
                    <w:t>, Multicenter</w:t>
                  </w:r>
                </w:p>
                <w:p w14:paraId="7DA61210" w14:textId="77777777" w:rsidR="009B5AA5" w:rsidRPr="00FA3F9C" w:rsidRDefault="009B5AA5" w:rsidP="00B16675">
                  <w:pPr>
                    <w:rPr>
                      <w:rFonts w:ascii="Arial" w:hAnsi="Arial" w:cs="Arial"/>
                      <w:sz w:val="24"/>
                      <w:szCs w:val="24"/>
                    </w:rPr>
                  </w:pPr>
                </w:p>
                <w:p w14:paraId="670FED77" w14:textId="77777777" w:rsidR="009B5AA5" w:rsidRPr="00FA3F9C" w:rsidRDefault="009B5AA5" w:rsidP="00B16675">
                  <w:pPr>
                    <w:rPr>
                      <w:rFonts w:ascii="Arial" w:hAnsi="Arial" w:cs="Arial"/>
                      <w:sz w:val="24"/>
                      <w:szCs w:val="24"/>
                    </w:rPr>
                  </w:pPr>
                  <w:r w:rsidRPr="00FA3F9C">
                    <w:rPr>
                      <w:rFonts w:ascii="Arial" w:hAnsi="Arial" w:cs="Arial"/>
                      <w:sz w:val="24"/>
                      <w:szCs w:val="24"/>
                    </w:rPr>
                    <w:t>Platinum-based chemotherapy x 3 cycles with or without nivolumab</w:t>
                  </w:r>
                </w:p>
                <w:p w14:paraId="6915DF98" w14:textId="77777777" w:rsidR="009B5AA5" w:rsidRPr="00FA3F9C" w:rsidRDefault="009B5AA5" w:rsidP="00B16675">
                  <w:pPr>
                    <w:rPr>
                      <w:rFonts w:ascii="Arial" w:hAnsi="Arial" w:cs="Arial"/>
                      <w:sz w:val="24"/>
                      <w:szCs w:val="24"/>
                    </w:rPr>
                  </w:pPr>
                </w:p>
                <w:p w14:paraId="072FC39B" w14:textId="77777777" w:rsidR="009B5AA5" w:rsidRPr="00FA3F9C" w:rsidRDefault="009B5AA5" w:rsidP="00B16675">
                  <w:pPr>
                    <w:rPr>
                      <w:rFonts w:ascii="Arial" w:hAnsi="Arial" w:cs="Arial"/>
                      <w:sz w:val="24"/>
                      <w:szCs w:val="24"/>
                    </w:rPr>
                  </w:pPr>
                  <w:r w:rsidRPr="00FA3F9C">
                    <w:rPr>
                      <w:rFonts w:ascii="Arial" w:hAnsi="Arial" w:cs="Arial"/>
                      <w:sz w:val="24"/>
                      <w:szCs w:val="24"/>
                    </w:rPr>
                    <w:t>N=358</w:t>
                  </w:r>
                </w:p>
                <w:p w14:paraId="4E6FCEAD" w14:textId="77777777" w:rsidR="009B5AA5" w:rsidRPr="00FA3F9C" w:rsidRDefault="009B5AA5" w:rsidP="00B16675">
                  <w:pPr>
                    <w:rPr>
                      <w:rFonts w:ascii="Arial" w:hAnsi="Arial" w:cs="Arial"/>
                      <w:sz w:val="24"/>
                      <w:szCs w:val="24"/>
                    </w:rPr>
                  </w:pPr>
                </w:p>
                <w:p w14:paraId="3258939F" w14:textId="77777777" w:rsidR="009B5AA5" w:rsidRPr="00FA3F9C" w:rsidRDefault="009B5AA5" w:rsidP="00B16675">
                  <w:pPr>
                    <w:rPr>
                      <w:rFonts w:ascii="Arial" w:hAnsi="Arial" w:cs="Arial"/>
                      <w:sz w:val="24"/>
                      <w:szCs w:val="24"/>
                    </w:rPr>
                  </w:pPr>
                  <w:r w:rsidRPr="00FA3F9C">
                    <w:rPr>
                      <w:rFonts w:ascii="Arial" w:hAnsi="Arial" w:cs="Arial"/>
                      <w:sz w:val="24"/>
                      <w:szCs w:val="24"/>
                    </w:rPr>
                    <w:t>Primary endpoint: Event free survival</w:t>
                  </w:r>
                </w:p>
                <w:p w14:paraId="0B240D43" w14:textId="77777777" w:rsidR="009B5AA5" w:rsidRPr="00FA3F9C" w:rsidRDefault="009B5AA5" w:rsidP="00B16675">
                  <w:pPr>
                    <w:rPr>
                      <w:rFonts w:ascii="Arial" w:hAnsi="Arial" w:cs="Arial"/>
                      <w:sz w:val="24"/>
                      <w:szCs w:val="24"/>
                    </w:rPr>
                  </w:pPr>
                  <w:r w:rsidRPr="00FA3F9C">
                    <w:rPr>
                      <w:rFonts w:ascii="Arial" w:hAnsi="Arial" w:cs="Arial"/>
                      <w:sz w:val="24"/>
                      <w:szCs w:val="24"/>
                    </w:rPr>
                    <w:t>Time from randomization to any progression of disease precluding surgery, progression or recurrence of disease after surgery, progression of disease in the absence of surgery, or death from any cause.</w:t>
                  </w:r>
                </w:p>
              </w:tc>
              <w:tc>
                <w:tcPr>
                  <w:tcW w:w="3117" w:type="dxa"/>
                </w:tcPr>
                <w:p w14:paraId="011D764C" w14:textId="77777777" w:rsidR="009B5AA5" w:rsidRPr="00FA3F9C" w:rsidRDefault="009B5AA5" w:rsidP="00B16675">
                  <w:pPr>
                    <w:rPr>
                      <w:rFonts w:ascii="Arial" w:hAnsi="Arial" w:cs="Arial"/>
                      <w:sz w:val="24"/>
                      <w:szCs w:val="24"/>
                    </w:rPr>
                  </w:pPr>
                  <w:r w:rsidRPr="00FA3F9C">
                    <w:rPr>
                      <w:rFonts w:ascii="Arial" w:hAnsi="Arial" w:cs="Arial"/>
                      <w:sz w:val="24"/>
                      <w:szCs w:val="24"/>
                    </w:rPr>
                    <w:t xml:space="preserve">Inclusion: </w:t>
                  </w:r>
                  <w:proofErr w:type="spellStart"/>
                  <w:r w:rsidRPr="00FA3F9C">
                    <w:rPr>
                      <w:rFonts w:ascii="Arial" w:hAnsi="Arial" w:cs="Arial"/>
                      <w:sz w:val="24"/>
                      <w:szCs w:val="24"/>
                    </w:rPr>
                    <w:t>Resectable</w:t>
                  </w:r>
                  <w:proofErr w:type="spellEnd"/>
                  <w:r w:rsidRPr="00FA3F9C">
                    <w:rPr>
                      <w:rFonts w:ascii="Arial" w:hAnsi="Arial" w:cs="Arial"/>
                      <w:sz w:val="24"/>
                      <w:szCs w:val="24"/>
                    </w:rPr>
                    <w:t xml:space="preserve"> NSCLC; </w:t>
                  </w:r>
                  <w:proofErr w:type="spellStart"/>
                  <w:r w:rsidRPr="00FA3F9C">
                    <w:rPr>
                      <w:rFonts w:ascii="Arial" w:hAnsi="Arial" w:cs="Arial"/>
                      <w:sz w:val="24"/>
                      <w:szCs w:val="24"/>
                    </w:rPr>
                    <w:t>resectable</w:t>
                  </w:r>
                  <w:proofErr w:type="spellEnd"/>
                  <w:r w:rsidRPr="00FA3F9C">
                    <w:rPr>
                      <w:rFonts w:ascii="Arial" w:hAnsi="Arial" w:cs="Arial"/>
                      <w:sz w:val="24"/>
                      <w:szCs w:val="24"/>
                    </w:rPr>
                    <w:t>, histologically confirmed Stage IB (≥4 cm), II, or IIIA</w:t>
                  </w:r>
                </w:p>
                <w:p w14:paraId="624FE280" w14:textId="77777777" w:rsidR="009B5AA5" w:rsidRPr="00FA3F9C" w:rsidRDefault="009B5AA5" w:rsidP="00B16675">
                  <w:pPr>
                    <w:rPr>
                      <w:rFonts w:ascii="Arial" w:hAnsi="Arial" w:cs="Arial"/>
                      <w:sz w:val="24"/>
                      <w:szCs w:val="24"/>
                    </w:rPr>
                  </w:pPr>
                </w:p>
                <w:p w14:paraId="2DB13EBD" w14:textId="77777777" w:rsidR="009B5AA5" w:rsidRPr="00FA3F9C" w:rsidRDefault="009B5AA5" w:rsidP="00B16675">
                  <w:pPr>
                    <w:rPr>
                      <w:rFonts w:ascii="Arial" w:hAnsi="Arial" w:cs="Arial"/>
                      <w:sz w:val="24"/>
                      <w:szCs w:val="24"/>
                    </w:rPr>
                  </w:pPr>
                  <w:r w:rsidRPr="00FA3F9C">
                    <w:rPr>
                      <w:rFonts w:ascii="Arial" w:hAnsi="Arial" w:cs="Arial"/>
                      <w:sz w:val="24"/>
                      <w:szCs w:val="24"/>
                    </w:rPr>
                    <w:t>Excluded: known EGFR mutations or ALK translocations (testing not required)</w:t>
                  </w:r>
                </w:p>
                <w:p w14:paraId="03C0AFBB" w14:textId="77777777" w:rsidR="009B5AA5" w:rsidRPr="00FA3F9C" w:rsidRDefault="009B5AA5" w:rsidP="00B16675">
                  <w:pPr>
                    <w:rPr>
                      <w:rFonts w:ascii="Arial" w:hAnsi="Arial" w:cs="Arial"/>
                      <w:sz w:val="24"/>
                      <w:szCs w:val="24"/>
                    </w:rPr>
                  </w:pPr>
                </w:p>
                <w:p w14:paraId="12224EF6" w14:textId="77777777" w:rsidR="009B5AA5" w:rsidRPr="00FA3F9C" w:rsidRDefault="009B5AA5" w:rsidP="00B16675">
                  <w:pPr>
                    <w:rPr>
                      <w:rFonts w:ascii="Arial" w:hAnsi="Arial" w:cs="Arial"/>
                      <w:sz w:val="24"/>
                      <w:szCs w:val="24"/>
                    </w:rPr>
                  </w:pPr>
                </w:p>
                <w:p w14:paraId="493BE56B" w14:textId="77777777" w:rsidR="009B5AA5" w:rsidRPr="00FA3F9C" w:rsidRDefault="009B5AA5" w:rsidP="00B16675">
                  <w:pPr>
                    <w:rPr>
                      <w:rFonts w:ascii="Arial" w:hAnsi="Arial" w:cs="Arial"/>
                      <w:sz w:val="24"/>
                      <w:szCs w:val="24"/>
                    </w:rPr>
                  </w:pPr>
                </w:p>
              </w:tc>
              <w:tc>
                <w:tcPr>
                  <w:tcW w:w="3117" w:type="dxa"/>
                </w:tcPr>
                <w:p w14:paraId="19DD209A" w14:textId="77777777" w:rsidR="009B5AA5" w:rsidRPr="00FA3F9C" w:rsidRDefault="009B5AA5" w:rsidP="00B16675">
                  <w:pPr>
                    <w:rPr>
                      <w:rFonts w:ascii="Arial" w:hAnsi="Arial" w:cs="Arial"/>
                      <w:b/>
                      <w:sz w:val="24"/>
                      <w:szCs w:val="24"/>
                    </w:rPr>
                  </w:pPr>
                  <w:r w:rsidRPr="00FA3F9C">
                    <w:rPr>
                      <w:rFonts w:ascii="Arial" w:hAnsi="Arial" w:cs="Arial"/>
                      <w:b/>
                      <w:sz w:val="24"/>
                      <w:szCs w:val="24"/>
                    </w:rPr>
                    <w:t>Event free survival:</w:t>
                  </w:r>
                </w:p>
                <w:p w14:paraId="5338688B" w14:textId="77777777" w:rsidR="009B5AA5" w:rsidRPr="00FA3F9C" w:rsidRDefault="009B5AA5" w:rsidP="00B16675">
                  <w:pPr>
                    <w:rPr>
                      <w:rFonts w:ascii="Arial" w:hAnsi="Arial" w:cs="Arial"/>
                      <w:sz w:val="24"/>
                      <w:szCs w:val="24"/>
                    </w:rPr>
                  </w:pPr>
                  <w:r w:rsidRPr="00FA3F9C">
                    <w:rPr>
                      <w:rFonts w:ascii="Arial" w:hAnsi="Arial" w:cs="Arial"/>
                      <w:sz w:val="24"/>
                      <w:szCs w:val="24"/>
                    </w:rPr>
                    <w:t>Nivolumab/chemo: 31.6</w:t>
                  </w:r>
                </w:p>
                <w:p w14:paraId="360F89F8" w14:textId="77777777" w:rsidR="009B5AA5" w:rsidRPr="00FA3F9C" w:rsidRDefault="009B5AA5" w:rsidP="00B16675">
                  <w:pPr>
                    <w:rPr>
                      <w:rFonts w:ascii="Arial" w:hAnsi="Arial" w:cs="Arial"/>
                      <w:sz w:val="24"/>
                      <w:szCs w:val="24"/>
                    </w:rPr>
                  </w:pPr>
                  <w:r w:rsidRPr="00FA3F9C">
                    <w:rPr>
                      <w:rFonts w:ascii="Arial" w:hAnsi="Arial" w:cs="Arial"/>
                      <w:sz w:val="24"/>
                      <w:szCs w:val="24"/>
                    </w:rPr>
                    <w:t xml:space="preserve">Chemo: 20.8 </w:t>
                  </w:r>
                </w:p>
                <w:p w14:paraId="0D2CB109" w14:textId="77777777" w:rsidR="009B5AA5" w:rsidRPr="00FA3F9C" w:rsidRDefault="009B5AA5" w:rsidP="00B16675">
                  <w:pPr>
                    <w:rPr>
                      <w:rFonts w:ascii="Arial" w:hAnsi="Arial" w:cs="Arial"/>
                      <w:sz w:val="24"/>
                      <w:szCs w:val="24"/>
                    </w:rPr>
                  </w:pPr>
                  <w:r w:rsidRPr="00FA3F9C">
                    <w:rPr>
                      <w:rFonts w:ascii="Arial" w:hAnsi="Arial" w:cs="Arial"/>
                      <w:sz w:val="24"/>
                      <w:szCs w:val="24"/>
                    </w:rPr>
                    <w:t>HR 0.63 0.45-0.87; p=0.0052</w:t>
                  </w:r>
                </w:p>
                <w:p w14:paraId="069053C1" w14:textId="77777777" w:rsidR="009B5AA5" w:rsidRPr="00FA3F9C" w:rsidRDefault="009B5AA5" w:rsidP="00B16675">
                  <w:pPr>
                    <w:rPr>
                      <w:rFonts w:ascii="Arial" w:hAnsi="Arial" w:cs="Arial"/>
                      <w:sz w:val="24"/>
                      <w:szCs w:val="24"/>
                    </w:rPr>
                  </w:pPr>
                </w:p>
                <w:p w14:paraId="69E9D067" w14:textId="77777777" w:rsidR="009B5AA5" w:rsidRPr="00FA3F9C" w:rsidRDefault="009B5AA5" w:rsidP="00B16675">
                  <w:pPr>
                    <w:rPr>
                      <w:rFonts w:ascii="Arial" w:hAnsi="Arial" w:cs="Arial"/>
                      <w:b/>
                      <w:sz w:val="24"/>
                      <w:szCs w:val="24"/>
                    </w:rPr>
                  </w:pPr>
                  <w:r w:rsidRPr="00FA3F9C">
                    <w:rPr>
                      <w:rFonts w:ascii="Arial" w:hAnsi="Arial" w:cs="Arial"/>
                      <w:b/>
                      <w:sz w:val="24"/>
                      <w:szCs w:val="24"/>
                    </w:rPr>
                    <w:t xml:space="preserve">Interim overall survival analysis: </w:t>
                  </w:r>
                </w:p>
                <w:p w14:paraId="49ECEF96" w14:textId="77777777" w:rsidR="009B5AA5" w:rsidRPr="00FA3F9C" w:rsidRDefault="009B5AA5" w:rsidP="00B16675">
                  <w:pPr>
                    <w:rPr>
                      <w:rFonts w:ascii="Arial" w:hAnsi="Arial" w:cs="Arial"/>
                      <w:sz w:val="24"/>
                      <w:szCs w:val="24"/>
                    </w:rPr>
                  </w:pPr>
                  <w:r w:rsidRPr="00FA3F9C">
                    <w:rPr>
                      <w:rFonts w:ascii="Arial" w:hAnsi="Arial" w:cs="Arial"/>
                      <w:sz w:val="24"/>
                      <w:szCs w:val="24"/>
                    </w:rPr>
                    <w:t>HR 0.57 (95% CI: 0.38, 0.87)</w:t>
                  </w:r>
                </w:p>
                <w:p w14:paraId="21B0241D" w14:textId="77777777" w:rsidR="009B5AA5" w:rsidRPr="00FA3F9C" w:rsidRDefault="009B5AA5" w:rsidP="00B16675">
                  <w:pPr>
                    <w:rPr>
                      <w:rFonts w:ascii="Arial" w:hAnsi="Arial" w:cs="Arial"/>
                      <w:sz w:val="24"/>
                      <w:szCs w:val="24"/>
                    </w:rPr>
                  </w:pPr>
                  <w:r w:rsidRPr="00FA3F9C">
                    <w:rPr>
                      <w:rFonts w:ascii="Arial" w:hAnsi="Arial" w:cs="Arial"/>
                      <w:sz w:val="24"/>
                      <w:szCs w:val="24"/>
                    </w:rPr>
                    <w:t>Did not cross the boundary for statistical significance.</w:t>
                  </w:r>
                </w:p>
                <w:p w14:paraId="7D661F1C" w14:textId="77777777" w:rsidR="009B5AA5" w:rsidRPr="00FA3F9C" w:rsidRDefault="009B5AA5" w:rsidP="00B16675">
                  <w:pPr>
                    <w:rPr>
                      <w:rFonts w:ascii="Arial" w:hAnsi="Arial" w:cs="Arial"/>
                      <w:sz w:val="24"/>
                      <w:szCs w:val="24"/>
                    </w:rPr>
                  </w:pPr>
                </w:p>
                <w:p w14:paraId="51C46650" w14:textId="77777777" w:rsidR="009B5AA5" w:rsidRPr="00FA3F9C" w:rsidRDefault="009B5AA5" w:rsidP="00B16675">
                  <w:pPr>
                    <w:rPr>
                      <w:rFonts w:ascii="Arial" w:hAnsi="Arial" w:cs="Arial"/>
                      <w:sz w:val="24"/>
                      <w:szCs w:val="24"/>
                    </w:rPr>
                  </w:pPr>
                  <w:r w:rsidRPr="00FA3F9C">
                    <w:rPr>
                      <w:rFonts w:ascii="Arial" w:hAnsi="Arial" w:cs="Arial"/>
                      <w:b/>
                      <w:sz w:val="24"/>
                      <w:szCs w:val="24"/>
                    </w:rPr>
                    <w:t xml:space="preserve">Complete pathologic response: </w:t>
                  </w:r>
                  <w:proofErr w:type="spellStart"/>
                  <w:r w:rsidRPr="00FA3F9C">
                    <w:rPr>
                      <w:rFonts w:ascii="Arial" w:hAnsi="Arial" w:cs="Arial"/>
                      <w:sz w:val="24"/>
                      <w:szCs w:val="24"/>
                    </w:rPr>
                    <w:t>Nivo</w:t>
                  </w:r>
                  <w:proofErr w:type="spellEnd"/>
                  <w:r w:rsidRPr="00FA3F9C">
                    <w:rPr>
                      <w:rFonts w:ascii="Arial" w:hAnsi="Arial" w:cs="Arial"/>
                      <w:sz w:val="24"/>
                      <w:szCs w:val="24"/>
                    </w:rPr>
                    <w:t xml:space="preserve">/chemo: 24% </w:t>
                  </w:r>
                </w:p>
                <w:p w14:paraId="7695EFB0" w14:textId="77777777" w:rsidR="009B5AA5" w:rsidRPr="00FA3F9C" w:rsidRDefault="009B5AA5" w:rsidP="00B16675">
                  <w:pPr>
                    <w:rPr>
                      <w:rFonts w:ascii="Arial" w:hAnsi="Arial" w:cs="Arial"/>
                      <w:sz w:val="24"/>
                      <w:szCs w:val="24"/>
                    </w:rPr>
                  </w:pPr>
                  <w:r w:rsidRPr="00FA3F9C">
                    <w:rPr>
                      <w:rFonts w:ascii="Arial" w:hAnsi="Arial" w:cs="Arial"/>
                      <w:sz w:val="24"/>
                      <w:szCs w:val="24"/>
                    </w:rPr>
                    <w:t>Chemo: 2.2%</w:t>
                  </w:r>
                </w:p>
                <w:p w14:paraId="711930F7" w14:textId="77777777" w:rsidR="009B5AA5" w:rsidRPr="00FA3F9C" w:rsidRDefault="009B5AA5" w:rsidP="00B16675">
                  <w:pPr>
                    <w:rPr>
                      <w:rFonts w:ascii="Arial" w:hAnsi="Arial" w:cs="Arial"/>
                      <w:sz w:val="24"/>
                      <w:szCs w:val="24"/>
                    </w:rPr>
                  </w:pPr>
                </w:p>
                <w:p w14:paraId="6E7861A6" w14:textId="77777777" w:rsidR="009B5AA5" w:rsidRPr="00FA3F9C" w:rsidRDefault="009B5AA5" w:rsidP="00B16675">
                  <w:pPr>
                    <w:rPr>
                      <w:rFonts w:ascii="Arial" w:hAnsi="Arial" w:cs="Arial"/>
                      <w:b/>
                      <w:sz w:val="24"/>
                      <w:szCs w:val="24"/>
                    </w:rPr>
                  </w:pPr>
                  <w:r w:rsidRPr="00FA3F9C">
                    <w:rPr>
                      <w:rFonts w:ascii="Arial" w:hAnsi="Arial" w:cs="Arial"/>
                      <w:b/>
                      <w:sz w:val="24"/>
                      <w:szCs w:val="24"/>
                    </w:rPr>
                    <w:t>Grade 3 or 4 adverse events:</w:t>
                  </w:r>
                </w:p>
                <w:p w14:paraId="1B470921" w14:textId="77777777" w:rsidR="009B5AA5" w:rsidRPr="00FA3F9C" w:rsidRDefault="009B5AA5" w:rsidP="00B16675">
                  <w:pPr>
                    <w:rPr>
                      <w:rFonts w:ascii="Arial" w:hAnsi="Arial" w:cs="Arial"/>
                      <w:sz w:val="24"/>
                      <w:szCs w:val="24"/>
                    </w:rPr>
                  </w:pPr>
                  <w:proofErr w:type="spellStart"/>
                  <w:r w:rsidRPr="00FA3F9C">
                    <w:rPr>
                      <w:rFonts w:ascii="Arial" w:hAnsi="Arial" w:cs="Arial"/>
                      <w:sz w:val="24"/>
                      <w:szCs w:val="24"/>
                    </w:rPr>
                    <w:t>Nivo</w:t>
                  </w:r>
                  <w:proofErr w:type="spellEnd"/>
                  <w:r w:rsidRPr="00FA3F9C">
                    <w:rPr>
                      <w:rFonts w:ascii="Arial" w:hAnsi="Arial" w:cs="Arial"/>
                      <w:sz w:val="24"/>
                      <w:szCs w:val="24"/>
                    </w:rPr>
                    <w:t xml:space="preserve">/chemo: 41 </w:t>
                  </w:r>
                </w:p>
                <w:p w14:paraId="0F35F927" w14:textId="77777777" w:rsidR="009B5AA5" w:rsidRPr="00FA3F9C" w:rsidRDefault="009B5AA5" w:rsidP="00B16675">
                  <w:pPr>
                    <w:rPr>
                      <w:rFonts w:ascii="Arial" w:hAnsi="Arial" w:cs="Arial"/>
                      <w:sz w:val="24"/>
                      <w:szCs w:val="24"/>
                    </w:rPr>
                  </w:pPr>
                  <w:r w:rsidRPr="00FA3F9C">
                    <w:rPr>
                      <w:rFonts w:ascii="Arial" w:hAnsi="Arial" w:cs="Arial"/>
                      <w:sz w:val="24"/>
                      <w:szCs w:val="24"/>
                    </w:rPr>
                    <w:t>Chemo: 44%</w:t>
                  </w:r>
                </w:p>
                <w:p w14:paraId="24A40F8E" w14:textId="77777777" w:rsidR="009B5AA5" w:rsidRPr="00FA3F9C" w:rsidRDefault="009B5AA5" w:rsidP="00B16675">
                  <w:pPr>
                    <w:rPr>
                      <w:rFonts w:ascii="Arial" w:hAnsi="Arial" w:cs="Arial"/>
                      <w:sz w:val="24"/>
                      <w:szCs w:val="24"/>
                    </w:rPr>
                  </w:pPr>
                </w:p>
                <w:p w14:paraId="44F591E1" w14:textId="77777777" w:rsidR="009B5AA5" w:rsidRPr="00FA3F9C" w:rsidRDefault="009B5AA5" w:rsidP="00B16675">
                  <w:pPr>
                    <w:rPr>
                      <w:rFonts w:ascii="Arial" w:hAnsi="Arial" w:cs="Arial"/>
                      <w:b/>
                      <w:sz w:val="24"/>
                      <w:szCs w:val="24"/>
                    </w:rPr>
                  </w:pPr>
                  <w:r w:rsidRPr="00FA3F9C">
                    <w:rPr>
                      <w:rFonts w:ascii="Arial" w:hAnsi="Arial" w:cs="Arial"/>
                      <w:b/>
                      <w:sz w:val="24"/>
                      <w:szCs w:val="24"/>
                    </w:rPr>
                    <w:lastRenderedPageBreak/>
                    <w:t>Other possible benefits in nivolumab group:</w:t>
                  </w:r>
                </w:p>
                <w:p w14:paraId="1BEA2FAB" w14:textId="77777777" w:rsidR="009B5AA5" w:rsidRPr="00FA3F9C" w:rsidRDefault="009B5AA5" w:rsidP="00B16675">
                  <w:pPr>
                    <w:rPr>
                      <w:rFonts w:ascii="Arial" w:hAnsi="Arial" w:cs="Arial"/>
                      <w:sz w:val="24"/>
                      <w:szCs w:val="24"/>
                    </w:rPr>
                  </w:pPr>
                  <w:r w:rsidRPr="00FA3F9C">
                    <w:rPr>
                      <w:rFonts w:ascii="Arial" w:hAnsi="Arial" w:cs="Arial"/>
                      <w:sz w:val="24"/>
                      <w:szCs w:val="24"/>
                    </w:rPr>
                    <w:t>More proceeded with surgery (83% vs 75%)</w:t>
                  </w:r>
                </w:p>
                <w:p w14:paraId="02337F2D" w14:textId="77777777" w:rsidR="009B5AA5" w:rsidRPr="00FA3F9C" w:rsidRDefault="009B5AA5" w:rsidP="00B16675">
                  <w:pPr>
                    <w:rPr>
                      <w:rFonts w:ascii="Arial" w:hAnsi="Arial" w:cs="Arial"/>
                      <w:sz w:val="24"/>
                      <w:szCs w:val="24"/>
                    </w:rPr>
                  </w:pPr>
                  <w:r w:rsidRPr="00FA3F9C">
                    <w:rPr>
                      <w:rFonts w:ascii="Arial" w:hAnsi="Arial" w:cs="Arial"/>
                      <w:sz w:val="24"/>
                      <w:szCs w:val="24"/>
                    </w:rPr>
                    <w:t>Shorter duration of surgery</w:t>
                  </w:r>
                </w:p>
                <w:p w14:paraId="0CA2A2D7" w14:textId="77777777" w:rsidR="009B5AA5" w:rsidRPr="00FA3F9C" w:rsidRDefault="009B5AA5" w:rsidP="00B16675">
                  <w:pPr>
                    <w:rPr>
                      <w:rFonts w:ascii="Arial" w:hAnsi="Arial" w:cs="Arial"/>
                      <w:sz w:val="24"/>
                      <w:szCs w:val="24"/>
                    </w:rPr>
                  </w:pPr>
                  <w:r w:rsidRPr="00FA3F9C">
                    <w:rPr>
                      <w:rFonts w:ascii="Arial" w:hAnsi="Arial" w:cs="Arial"/>
                      <w:sz w:val="24"/>
                      <w:szCs w:val="24"/>
                    </w:rPr>
                    <w:t>More use of minimally invasive approaches</w:t>
                  </w:r>
                </w:p>
                <w:p w14:paraId="564DBC24" w14:textId="77777777" w:rsidR="009B5AA5" w:rsidRPr="00FA3F9C" w:rsidRDefault="009B5AA5" w:rsidP="00B16675">
                  <w:pPr>
                    <w:rPr>
                      <w:rFonts w:ascii="Arial" w:hAnsi="Arial" w:cs="Arial"/>
                      <w:sz w:val="24"/>
                      <w:szCs w:val="24"/>
                    </w:rPr>
                  </w:pPr>
                  <w:r w:rsidRPr="00FA3F9C">
                    <w:rPr>
                      <w:rFonts w:ascii="Arial" w:hAnsi="Arial" w:cs="Arial"/>
                      <w:sz w:val="24"/>
                      <w:szCs w:val="24"/>
                    </w:rPr>
                    <w:t>Fewer pneumonectomies’</w:t>
                  </w:r>
                </w:p>
                <w:p w14:paraId="7F379E16" w14:textId="77777777" w:rsidR="009B5AA5" w:rsidRPr="00FA3F9C" w:rsidRDefault="009B5AA5" w:rsidP="00B16675">
                  <w:pPr>
                    <w:rPr>
                      <w:rFonts w:ascii="Arial" w:hAnsi="Arial" w:cs="Arial"/>
                      <w:sz w:val="24"/>
                      <w:szCs w:val="24"/>
                    </w:rPr>
                  </w:pPr>
                  <w:r w:rsidRPr="00FA3F9C">
                    <w:rPr>
                      <w:rFonts w:ascii="Arial" w:hAnsi="Arial" w:cs="Arial"/>
                      <w:sz w:val="24"/>
                      <w:szCs w:val="24"/>
                    </w:rPr>
                    <w:t>More R0 resections</w:t>
                  </w:r>
                </w:p>
              </w:tc>
            </w:tr>
          </w:tbl>
          <w:p w14:paraId="2EF5215C" w14:textId="77777777" w:rsidR="009B5AA5" w:rsidRPr="00FA3F9C" w:rsidRDefault="009B5AA5" w:rsidP="00C7144B">
            <w:pPr>
              <w:spacing w:after="0" w:line="240" w:lineRule="auto"/>
              <w:rPr>
                <w:rFonts w:ascii="Arial" w:hAnsi="Arial" w:cs="Arial"/>
                <w:sz w:val="24"/>
                <w:szCs w:val="24"/>
              </w:rPr>
            </w:pPr>
          </w:p>
          <w:p w14:paraId="0D0D8C1C" w14:textId="77777777" w:rsidR="009B5AA5" w:rsidRPr="00FA3F9C" w:rsidRDefault="009B5AA5" w:rsidP="00C7144B">
            <w:pPr>
              <w:spacing w:after="0" w:line="240" w:lineRule="auto"/>
              <w:rPr>
                <w:rFonts w:ascii="Arial" w:hAnsi="Arial" w:cs="Arial"/>
                <w:sz w:val="24"/>
                <w:szCs w:val="24"/>
              </w:rPr>
            </w:pPr>
          </w:p>
          <w:p w14:paraId="5BC4BECD" w14:textId="77777777" w:rsidR="009B5AA5" w:rsidRPr="00FA3F9C" w:rsidRDefault="009B5AA5" w:rsidP="00C7144B">
            <w:pPr>
              <w:spacing w:after="0" w:line="240" w:lineRule="auto"/>
              <w:rPr>
                <w:rFonts w:ascii="Arial" w:hAnsi="Arial" w:cs="Arial"/>
                <w:sz w:val="24"/>
                <w:szCs w:val="24"/>
              </w:rPr>
            </w:pPr>
            <w:r w:rsidRPr="00FA3F9C">
              <w:rPr>
                <w:rFonts w:ascii="Arial" w:hAnsi="Arial" w:cs="Arial"/>
                <w:sz w:val="24"/>
                <w:szCs w:val="24"/>
              </w:rPr>
              <w:t>REFERENCES:</w:t>
            </w:r>
          </w:p>
          <w:p w14:paraId="25D893E5" w14:textId="77777777" w:rsidR="009B5AA5" w:rsidRPr="00FA3F9C" w:rsidRDefault="009B5AA5" w:rsidP="00FC1E85">
            <w:pPr>
              <w:pStyle w:val="ListParagraph"/>
              <w:numPr>
                <w:ilvl w:val="0"/>
                <w:numId w:val="356"/>
              </w:numPr>
              <w:spacing w:after="0" w:line="240" w:lineRule="auto"/>
              <w:rPr>
                <w:rFonts w:ascii="Arial" w:hAnsi="Arial" w:cs="Arial"/>
                <w:sz w:val="24"/>
                <w:szCs w:val="24"/>
              </w:rPr>
            </w:pPr>
            <w:proofErr w:type="spellStart"/>
            <w:r w:rsidRPr="00FA3F9C">
              <w:rPr>
                <w:rFonts w:ascii="Arial" w:hAnsi="Arial" w:cs="Arial"/>
                <w:sz w:val="24"/>
                <w:szCs w:val="24"/>
              </w:rPr>
              <w:t>Opdivo</w:t>
            </w:r>
            <w:proofErr w:type="spellEnd"/>
            <w:r w:rsidRPr="00FA3F9C">
              <w:rPr>
                <w:rFonts w:ascii="Arial" w:hAnsi="Arial" w:cs="Arial"/>
                <w:sz w:val="24"/>
                <w:szCs w:val="24"/>
              </w:rPr>
              <w:t xml:space="preserve"> PI. https://packageinserts.bms.com/pi/pi_opdivo.pdf. Accessed 4/25/2022.</w:t>
            </w:r>
          </w:p>
          <w:p w14:paraId="00AE6E5E" w14:textId="77777777" w:rsidR="009B5AA5" w:rsidRPr="00FA3F9C" w:rsidRDefault="009B5AA5" w:rsidP="00FC1E85">
            <w:pPr>
              <w:pStyle w:val="ListParagraph"/>
              <w:numPr>
                <w:ilvl w:val="0"/>
                <w:numId w:val="356"/>
              </w:numPr>
              <w:spacing w:after="0" w:line="240" w:lineRule="auto"/>
              <w:rPr>
                <w:rFonts w:ascii="Arial" w:hAnsi="Arial" w:cs="Arial"/>
                <w:sz w:val="24"/>
                <w:szCs w:val="24"/>
              </w:rPr>
            </w:pPr>
            <w:r w:rsidRPr="00FA3F9C">
              <w:rPr>
                <w:rFonts w:ascii="Arial" w:hAnsi="Arial" w:cs="Arial"/>
                <w:sz w:val="24"/>
                <w:szCs w:val="24"/>
              </w:rPr>
              <w:t xml:space="preserve">Forde PM, Spicer J, Lu S, et al. Neoadjuvant Nivolumab plus Chemotherapy in </w:t>
            </w:r>
            <w:proofErr w:type="spellStart"/>
            <w:r w:rsidRPr="00FA3F9C">
              <w:rPr>
                <w:rFonts w:ascii="Arial" w:hAnsi="Arial" w:cs="Arial"/>
                <w:sz w:val="24"/>
                <w:szCs w:val="24"/>
              </w:rPr>
              <w:t>Resectable</w:t>
            </w:r>
            <w:proofErr w:type="spellEnd"/>
            <w:r w:rsidRPr="00FA3F9C">
              <w:rPr>
                <w:rFonts w:ascii="Arial" w:hAnsi="Arial" w:cs="Arial"/>
                <w:sz w:val="24"/>
                <w:szCs w:val="24"/>
              </w:rPr>
              <w:t xml:space="preserve"> Lung Cancer [published online ahead of print, 2022 Apr 11]. N </w:t>
            </w:r>
            <w:proofErr w:type="spellStart"/>
            <w:r w:rsidRPr="00FA3F9C">
              <w:rPr>
                <w:rFonts w:ascii="Arial" w:hAnsi="Arial" w:cs="Arial"/>
                <w:sz w:val="24"/>
                <w:szCs w:val="24"/>
              </w:rPr>
              <w:t>Engl</w:t>
            </w:r>
            <w:proofErr w:type="spellEnd"/>
            <w:r w:rsidRPr="00FA3F9C">
              <w:rPr>
                <w:rFonts w:ascii="Arial" w:hAnsi="Arial" w:cs="Arial"/>
                <w:sz w:val="24"/>
                <w:szCs w:val="24"/>
              </w:rPr>
              <w:t xml:space="preserve"> J Med. 2022;10.1056/NEJMoa2202170. doi:10.1056/NEJMoa2202170</w:t>
            </w:r>
          </w:p>
        </w:tc>
      </w:tr>
    </w:tbl>
    <w:p w14:paraId="51C03933" w14:textId="77777777" w:rsidR="009B5AA5" w:rsidRPr="00FA3F9C" w:rsidRDefault="009B5AA5" w:rsidP="002C32D1">
      <w:pPr>
        <w:rPr>
          <w:rFonts w:ascii="Arial" w:hAnsi="Arial" w:cs="Arial"/>
          <w:b/>
          <w:sz w:val="24"/>
          <w:szCs w:val="24"/>
        </w:rPr>
      </w:pPr>
    </w:p>
    <w:p w14:paraId="565F40B4" w14:textId="77777777" w:rsidR="009B5AA5" w:rsidRPr="00FA3F9C" w:rsidRDefault="009B5AA5" w:rsidP="002C32D1">
      <w:pPr>
        <w:rPr>
          <w:rFonts w:ascii="Arial" w:hAnsi="Arial" w:cs="Arial"/>
          <w:b/>
          <w:sz w:val="24"/>
          <w:szCs w:val="24"/>
        </w:rPr>
      </w:pPr>
    </w:p>
    <w:p w14:paraId="1F4217CD" w14:textId="77777777" w:rsidR="009B5AA5" w:rsidRPr="00FA3F9C" w:rsidRDefault="009B5AA5" w:rsidP="002C32D1">
      <w:pPr>
        <w:rPr>
          <w:rFonts w:ascii="Arial" w:hAnsi="Arial" w:cs="Arial"/>
          <w:b/>
          <w:sz w:val="24"/>
          <w:szCs w:val="24"/>
        </w:rPr>
      </w:pPr>
    </w:p>
    <w:p w14:paraId="4597E837" w14:textId="77777777" w:rsidR="009B5AA5" w:rsidRPr="00FA3F9C" w:rsidRDefault="009B5AA5" w:rsidP="002C32D1">
      <w:pPr>
        <w:rPr>
          <w:rFonts w:ascii="Arial" w:hAnsi="Arial" w:cs="Arial"/>
          <w:b/>
          <w:sz w:val="24"/>
          <w:szCs w:val="24"/>
        </w:rPr>
      </w:pPr>
    </w:p>
    <w:p w14:paraId="6FB47087" w14:textId="77777777" w:rsidR="009B5AA5" w:rsidRPr="00FA3F9C" w:rsidRDefault="009B5AA5" w:rsidP="002C32D1">
      <w:pPr>
        <w:rPr>
          <w:rFonts w:ascii="Arial" w:hAnsi="Arial" w:cs="Arial"/>
          <w:b/>
          <w:sz w:val="24"/>
          <w:szCs w:val="24"/>
        </w:rPr>
      </w:pPr>
    </w:p>
    <w:p w14:paraId="784DD01E" w14:textId="77777777" w:rsidR="009B5AA5" w:rsidRPr="00FA3F9C" w:rsidRDefault="009B5AA5" w:rsidP="002C32D1">
      <w:pPr>
        <w:rPr>
          <w:rFonts w:ascii="Arial" w:hAnsi="Arial" w:cs="Arial"/>
          <w:b/>
          <w:sz w:val="24"/>
          <w:szCs w:val="24"/>
        </w:rPr>
      </w:pPr>
    </w:p>
    <w:p w14:paraId="5C361073" w14:textId="77777777" w:rsidR="009B5AA5" w:rsidRPr="00FA3F9C" w:rsidRDefault="009B5AA5" w:rsidP="002C32D1">
      <w:pPr>
        <w:rPr>
          <w:rFonts w:ascii="Arial" w:hAnsi="Arial" w:cs="Arial"/>
          <w:b/>
          <w:sz w:val="24"/>
          <w:szCs w:val="24"/>
        </w:rPr>
      </w:pPr>
    </w:p>
    <w:p w14:paraId="2121E7DE" w14:textId="77777777" w:rsidR="009B5AA5" w:rsidRPr="00FA3F9C" w:rsidRDefault="009B5AA5" w:rsidP="002C32D1">
      <w:pPr>
        <w:rPr>
          <w:rFonts w:ascii="Arial" w:hAnsi="Arial" w:cs="Arial"/>
          <w:b/>
          <w:sz w:val="24"/>
          <w:szCs w:val="24"/>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68"/>
      </w:tblGrid>
      <w:tr w:rsidR="009B5AA5" w:rsidRPr="00FA3F9C" w14:paraId="3319E4A6" w14:textId="77777777" w:rsidTr="003D118F">
        <w:tc>
          <w:tcPr>
            <w:tcW w:w="10368" w:type="dxa"/>
            <w:tcBorders>
              <w:bottom w:val="single" w:sz="4" w:space="0" w:color="auto"/>
            </w:tcBorders>
            <w:shd w:val="clear" w:color="auto" w:fill="000000"/>
          </w:tcPr>
          <w:p w14:paraId="2CC8EC31" w14:textId="77777777" w:rsidR="009B5AA5" w:rsidRPr="00FA3F9C" w:rsidRDefault="009B5AA5" w:rsidP="00451DB8">
            <w:pPr>
              <w:spacing w:after="0" w:line="240" w:lineRule="auto"/>
              <w:rPr>
                <w:rFonts w:ascii="Arial" w:hAnsi="Arial" w:cs="Arial"/>
                <w:b/>
                <w:sz w:val="24"/>
                <w:szCs w:val="24"/>
                <w:u w:val="single"/>
              </w:rPr>
            </w:pPr>
            <w:r w:rsidRPr="00FA3F9C">
              <w:rPr>
                <w:rFonts w:ascii="Arial" w:hAnsi="Arial" w:cs="Arial"/>
                <w:b/>
                <w:sz w:val="24"/>
                <w:szCs w:val="24"/>
                <w:u w:val="single"/>
              </w:rPr>
              <w:t>METASTATIC Non-Small Cell Lung Cancer (NSCLC)</w:t>
            </w:r>
          </w:p>
        </w:tc>
      </w:tr>
      <w:tr w:rsidR="009B5AA5" w:rsidRPr="00FA3F9C" w14:paraId="2EEA6ABA" w14:textId="77777777" w:rsidTr="00451DB8">
        <w:trPr>
          <w:trHeight w:val="3590"/>
        </w:trPr>
        <w:tc>
          <w:tcPr>
            <w:tcW w:w="10368" w:type="dxa"/>
          </w:tcPr>
          <w:p w14:paraId="03658DC6" w14:textId="77777777" w:rsidR="009B5AA5" w:rsidRPr="00FA3F9C" w:rsidRDefault="009B5AA5" w:rsidP="00FC1E85">
            <w:pPr>
              <w:pStyle w:val="ListParagraph"/>
              <w:numPr>
                <w:ilvl w:val="0"/>
                <w:numId w:val="355"/>
              </w:numPr>
              <w:spacing w:after="0" w:line="240" w:lineRule="auto"/>
              <w:ind w:left="610"/>
              <w:rPr>
                <w:rFonts w:ascii="Arial" w:hAnsi="Arial" w:cs="Arial"/>
                <w:b/>
                <w:sz w:val="24"/>
                <w:szCs w:val="24"/>
              </w:rPr>
            </w:pPr>
            <w:r w:rsidRPr="00FA3F9C">
              <w:rPr>
                <w:rFonts w:ascii="Arial" w:hAnsi="Arial" w:cs="Arial"/>
                <w:b/>
                <w:sz w:val="24"/>
                <w:szCs w:val="24"/>
              </w:rPr>
              <w:lastRenderedPageBreak/>
              <w:t xml:space="preserve">If previously treated, </w:t>
            </w:r>
            <w:proofErr w:type="gramStart"/>
            <w:r w:rsidRPr="00FA3F9C">
              <w:rPr>
                <w:rFonts w:ascii="Arial" w:hAnsi="Arial" w:cs="Arial"/>
                <w:b/>
                <w:sz w:val="24"/>
                <w:szCs w:val="24"/>
              </w:rPr>
              <w:t>all of</w:t>
            </w:r>
            <w:proofErr w:type="gramEnd"/>
            <w:r w:rsidRPr="00FA3F9C">
              <w:rPr>
                <w:rFonts w:ascii="Arial" w:hAnsi="Arial" w:cs="Arial"/>
                <w:b/>
                <w:sz w:val="24"/>
                <w:szCs w:val="24"/>
              </w:rPr>
              <w:t xml:space="preserve"> the following criteria must be met:</w:t>
            </w:r>
          </w:p>
          <w:p w14:paraId="69FC93C2" w14:textId="77777777" w:rsidR="009B5AA5" w:rsidRPr="00FA3F9C" w:rsidRDefault="009B5AA5" w:rsidP="00FC1E85">
            <w:pPr>
              <w:pStyle w:val="ListParagraph"/>
              <w:numPr>
                <w:ilvl w:val="0"/>
                <w:numId w:val="365"/>
              </w:numPr>
              <w:spacing w:after="0" w:line="240" w:lineRule="auto"/>
              <w:ind w:left="1060"/>
              <w:rPr>
                <w:rFonts w:ascii="Arial" w:hAnsi="Arial" w:cs="Arial"/>
                <w:b/>
                <w:sz w:val="24"/>
                <w:szCs w:val="24"/>
              </w:rPr>
            </w:pPr>
            <w:r w:rsidRPr="00FA3F9C">
              <w:rPr>
                <w:rFonts w:ascii="Arial" w:hAnsi="Arial" w:cs="Arial"/>
                <w:sz w:val="24"/>
                <w:szCs w:val="24"/>
              </w:rPr>
              <w:t xml:space="preserve">Diagnosis of metastatic NSCLC (squamous or non-squamous) </w:t>
            </w:r>
          </w:p>
          <w:p w14:paraId="19BD6779" w14:textId="77777777" w:rsidR="009B5AA5" w:rsidRPr="00FA3F9C" w:rsidRDefault="009B5AA5" w:rsidP="00FC1E85">
            <w:pPr>
              <w:pStyle w:val="ListParagraph"/>
              <w:numPr>
                <w:ilvl w:val="0"/>
                <w:numId w:val="365"/>
              </w:numPr>
              <w:spacing w:after="0" w:line="240" w:lineRule="auto"/>
              <w:ind w:left="1060"/>
              <w:rPr>
                <w:rFonts w:ascii="Arial" w:hAnsi="Arial" w:cs="Arial"/>
                <w:b/>
                <w:sz w:val="24"/>
                <w:szCs w:val="24"/>
              </w:rPr>
            </w:pPr>
            <w:r w:rsidRPr="00FA3F9C">
              <w:rPr>
                <w:rFonts w:ascii="Arial" w:hAnsi="Arial" w:cs="Arial"/>
                <w:sz w:val="24"/>
                <w:szCs w:val="24"/>
              </w:rPr>
              <w:t>Progression of disease after 1 prior platinum-containing doublet regimen (cisplatin or carboplatin plus another agent).</w:t>
            </w:r>
          </w:p>
          <w:p w14:paraId="12375950" w14:textId="77777777" w:rsidR="009B5AA5" w:rsidRPr="00FA3F9C" w:rsidRDefault="009B5AA5" w:rsidP="00FC1E85">
            <w:pPr>
              <w:pStyle w:val="ListParagraph"/>
              <w:numPr>
                <w:ilvl w:val="0"/>
                <w:numId w:val="365"/>
              </w:numPr>
              <w:spacing w:after="0" w:line="240" w:lineRule="auto"/>
              <w:ind w:left="1060"/>
              <w:rPr>
                <w:rFonts w:ascii="Arial" w:hAnsi="Arial" w:cs="Arial"/>
                <w:b/>
                <w:sz w:val="24"/>
                <w:szCs w:val="24"/>
              </w:rPr>
            </w:pPr>
            <w:r w:rsidRPr="00FA3F9C">
              <w:rPr>
                <w:rFonts w:ascii="Arial" w:hAnsi="Arial" w:cs="Arial"/>
                <w:sz w:val="24"/>
                <w:szCs w:val="24"/>
              </w:rPr>
              <w:t xml:space="preserve">ECOG performance status is 0 (fully active), 1 (ambulatory but restricted in physically strenuous activity), or 2 (Ambulatory and capable of all self-care but unable to carry out any work activities; up and about more than 50% of waking hours) at initiation. </w:t>
            </w:r>
          </w:p>
          <w:p w14:paraId="706A090F" w14:textId="77777777" w:rsidR="009B5AA5" w:rsidRPr="00FA3F9C" w:rsidRDefault="009B5AA5" w:rsidP="00FC1E85">
            <w:pPr>
              <w:pStyle w:val="ListParagraph"/>
              <w:numPr>
                <w:ilvl w:val="0"/>
                <w:numId w:val="365"/>
              </w:numPr>
              <w:spacing w:after="0" w:line="240" w:lineRule="auto"/>
              <w:ind w:left="1060"/>
              <w:rPr>
                <w:rFonts w:ascii="Arial" w:hAnsi="Arial" w:cs="Arial"/>
                <w:b/>
                <w:sz w:val="24"/>
                <w:szCs w:val="24"/>
              </w:rPr>
            </w:pPr>
            <w:r w:rsidRPr="00FA3F9C">
              <w:rPr>
                <w:rFonts w:ascii="Arial" w:hAnsi="Arial" w:cs="Arial"/>
                <w:sz w:val="24"/>
                <w:szCs w:val="24"/>
              </w:rPr>
              <w:t xml:space="preserve">The tumor must be EGFR negative.  </w:t>
            </w:r>
            <w:r w:rsidRPr="00FA3F9C">
              <w:rPr>
                <w:rFonts w:ascii="Arial" w:hAnsi="Arial" w:cs="Arial"/>
                <w:b/>
                <w:sz w:val="24"/>
                <w:szCs w:val="24"/>
              </w:rPr>
              <w:t>(Few EGFR+ patients were in the trials comparing PD-1 immunotherapies with docetaxel; however, two such trials did report on this subgroup.  ICER’s meta-analysis suggests there is a difference in OS for PD-1 immunotherapy.  Compared with docetaxel, PD-1 OS was different in EGFR- and EGFR+ patients.  Their analysis suggests there is little if any benefit with PD-1 immunotherapy compared to docetaxel in EGFR+ patients treated after progression on TKI therapy and prior to treatment with a platinum doublet.  As such, there are reasons to be concerned that PD-1 immunotherapy could be inferior to a platinum doublet, which is more efficacious than docetaxel monotherapy).</w:t>
            </w:r>
            <w:r w:rsidRPr="00FA3F9C">
              <w:rPr>
                <w:rFonts w:ascii="Arial" w:hAnsi="Arial" w:cs="Arial"/>
                <w:b/>
                <w:sz w:val="24"/>
                <w:szCs w:val="24"/>
                <w:vertAlign w:val="superscript"/>
              </w:rPr>
              <w:t>1</w:t>
            </w:r>
          </w:p>
        </w:tc>
      </w:tr>
      <w:tr w:rsidR="009B5AA5" w:rsidRPr="00FA3F9C" w14:paraId="67730691" w14:textId="77777777" w:rsidTr="00FD753C">
        <w:trPr>
          <w:trHeight w:val="341"/>
        </w:trPr>
        <w:tc>
          <w:tcPr>
            <w:tcW w:w="10368" w:type="dxa"/>
          </w:tcPr>
          <w:p w14:paraId="720D3929" w14:textId="77777777" w:rsidR="009B5AA5" w:rsidRPr="00FA3F9C" w:rsidRDefault="009B5AA5" w:rsidP="00FC1E85">
            <w:pPr>
              <w:pStyle w:val="ListParagraph"/>
              <w:numPr>
                <w:ilvl w:val="0"/>
                <w:numId w:val="366"/>
              </w:numPr>
              <w:spacing w:after="0" w:line="240" w:lineRule="auto"/>
              <w:ind w:left="520"/>
              <w:rPr>
                <w:rFonts w:ascii="Arial" w:hAnsi="Arial" w:cs="Arial"/>
                <w:sz w:val="24"/>
                <w:szCs w:val="24"/>
              </w:rPr>
            </w:pPr>
            <w:r w:rsidRPr="00FA3F9C">
              <w:rPr>
                <w:rFonts w:ascii="Arial" w:hAnsi="Arial" w:cs="Arial"/>
                <w:b/>
                <w:sz w:val="24"/>
                <w:szCs w:val="24"/>
              </w:rPr>
              <w:t xml:space="preserve">If no prior therapy for metastatic disease AND PD-L1 is </w:t>
            </w:r>
            <w:r w:rsidRPr="00FA3F9C">
              <w:rPr>
                <w:rFonts w:ascii="Arial" w:hAnsi="Arial" w:cs="Arial"/>
                <w:b/>
                <w:sz w:val="24"/>
                <w:szCs w:val="24"/>
                <w:u w:val="single"/>
              </w:rPr>
              <w:t>&gt;</w:t>
            </w:r>
            <w:r w:rsidRPr="00FA3F9C">
              <w:rPr>
                <w:rFonts w:ascii="Arial" w:hAnsi="Arial" w:cs="Arial"/>
                <w:b/>
                <w:sz w:val="24"/>
                <w:szCs w:val="24"/>
              </w:rPr>
              <w:t xml:space="preserve">1%, </w:t>
            </w:r>
            <w:proofErr w:type="gramStart"/>
            <w:r w:rsidRPr="00FA3F9C">
              <w:rPr>
                <w:rFonts w:ascii="Arial" w:hAnsi="Arial" w:cs="Arial"/>
                <w:b/>
                <w:sz w:val="24"/>
                <w:szCs w:val="24"/>
              </w:rPr>
              <w:t>all of</w:t>
            </w:r>
            <w:proofErr w:type="gramEnd"/>
            <w:r w:rsidRPr="00FA3F9C">
              <w:rPr>
                <w:rFonts w:ascii="Arial" w:hAnsi="Arial" w:cs="Arial"/>
                <w:b/>
                <w:sz w:val="24"/>
                <w:szCs w:val="24"/>
              </w:rPr>
              <w:t xml:space="preserve"> the following criteria must be met:</w:t>
            </w:r>
          </w:p>
          <w:p w14:paraId="0056C0B3" w14:textId="77777777" w:rsidR="009B5AA5" w:rsidRPr="00FA3F9C" w:rsidRDefault="009B5AA5" w:rsidP="00FC1E85">
            <w:pPr>
              <w:pStyle w:val="ListParagraph"/>
              <w:numPr>
                <w:ilvl w:val="0"/>
                <w:numId w:val="367"/>
              </w:numPr>
              <w:spacing w:after="0" w:line="240" w:lineRule="auto"/>
              <w:ind w:left="970"/>
              <w:rPr>
                <w:rFonts w:ascii="Arial" w:hAnsi="Arial" w:cs="Arial"/>
                <w:sz w:val="24"/>
                <w:szCs w:val="24"/>
              </w:rPr>
            </w:pPr>
            <w:r w:rsidRPr="00FA3F9C">
              <w:rPr>
                <w:rFonts w:ascii="Arial" w:hAnsi="Arial" w:cs="Arial"/>
                <w:sz w:val="24"/>
                <w:szCs w:val="24"/>
              </w:rPr>
              <w:t>Nivolumab will be given with ipilimumab with or without 2 cycles of platinum-doublet chemotherapy</w:t>
            </w:r>
          </w:p>
          <w:p w14:paraId="1B2B4E99" w14:textId="77777777" w:rsidR="009B5AA5" w:rsidRPr="00FA3F9C" w:rsidRDefault="009B5AA5" w:rsidP="00FC1E85">
            <w:pPr>
              <w:pStyle w:val="ListParagraph"/>
              <w:numPr>
                <w:ilvl w:val="0"/>
                <w:numId w:val="367"/>
              </w:numPr>
              <w:spacing w:after="0" w:line="240" w:lineRule="auto"/>
              <w:ind w:left="970"/>
              <w:rPr>
                <w:rFonts w:ascii="Arial" w:hAnsi="Arial" w:cs="Arial"/>
                <w:sz w:val="24"/>
                <w:szCs w:val="24"/>
              </w:rPr>
            </w:pPr>
            <w:r w:rsidRPr="00FA3F9C">
              <w:rPr>
                <w:rFonts w:ascii="Arial" w:hAnsi="Arial" w:cs="Arial"/>
                <w:sz w:val="24"/>
                <w:szCs w:val="24"/>
              </w:rPr>
              <w:t>Tumor is EGFR and ALK negative</w:t>
            </w:r>
          </w:p>
        </w:tc>
      </w:tr>
      <w:tr w:rsidR="009B5AA5" w:rsidRPr="00FA3F9C" w14:paraId="7D415741" w14:textId="77777777" w:rsidTr="00451DB8">
        <w:trPr>
          <w:trHeight w:val="818"/>
        </w:trPr>
        <w:tc>
          <w:tcPr>
            <w:tcW w:w="10368" w:type="dxa"/>
          </w:tcPr>
          <w:p w14:paraId="42CFDFBD" w14:textId="77777777" w:rsidR="009B5AA5" w:rsidRPr="00FA3F9C" w:rsidRDefault="009B5AA5" w:rsidP="00FC1E85">
            <w:pPr>
              <w:pStyle w:val="ListParagraph"/>
              <w:numPr>
                <w:ilvl w:val="0"/>
                <w:numId w:val="368"/>
              </w:numPr>
              <w:spacing w:after="0" w:line="240" w:lineRule="auto"/>
              <w:ind w:left="520"/>
              <w:rPr>
                <w:rFonts w:ascii="Arial" w:hAnsi="Arial" w:cs="Arial"/>
                <w:sz w:val="24"/>
                <w:szCs w:val="24"/>
              </w:rPr>
            </w:pPr>
            <w:r w:rsidRPr="00FA3F9C">
              <w:rPr>
                <w:rFonts w:ascii="Arial" w:hAnsi="Arial" w:cs="Arial"/>
                <w:b/>
                <w:sz w:val="24"/>
                <w:szCs w:val="24"/>
              </w:rPr>
              <w:t xml:space="preserve">If no prior therapy for metastatic disease AND PD-L1 &lt;1%, </w:t>
            </w:r>
            <w:proofErr w:type="gramStart"/>
            <w:r w:rsidRPr="00FA3F9C">
              <w:rPr>
                <w:rFonts w:ascii="Arial" w:hAnsi="Arial" w:cs="Arial"/>
                <w:b/>
                <w:sz w:val="24"/>
                <w:szCs w:val="24"/>
              </w:rPr>
              <w:t>all of</w:t>
            </w:r>
            <w:proofErr w:type="gramEnd"/>
            <w:r w:rsidRPr="00FA3F9C">
              <w:rPr>
                <w:rFonts w:ascii="Arial" w:hAnsi="Arial" w:cs="Arial"/>
                <w:b/>
                <w:sz w:val="24"/>
                <w:szCs w:val="24"/>
              </w:rPr>
              <w:t xml:space="preserve"> the following criteria must be met:</w:t>
            </w:r>
          </w:p>
          <w:p w14:paraId="3BC72130" w14:textId="77777777" w:rsidR="009B5AA5" w:rsidRPr="00FA3F9C" w:rsidRDefault="009B5AA5" w:rsidP="00FC1E85">
            <w:pPr>
              <w:pStyle w:val="ListParagraph"/>
              <w:numPr>
                <w:ilvl w:val="0"/>
                <w:numId w:val="369"/>
              </w:numPr>
              <w:spacing w:after="0" w:line="240" w:lineRule="auto"/>
              <w:ind w:left="970"/>
              <w:rPr>
                <w:rFonts w:ascii="Arial" w:hAnsi="Arial" w:cs="Arial"/>
                <w:sz w:val="24"/>
                <w:szCs w:val="24"/>
              </w:rPr>
            </w:pPr>
            <w:r w:rsidRPr="00FA3F9C">
              <w:rPr>
                <w:rFonts w:ascii="Arial" w:hAnsi="Arial" w:cs="Arial"/>
                <w:sz w:val="24"/>
                <w:szCs w:val="24"/>
              </w:rPr>
              <w:t xml:space="preserve">Nivolumab will be given with ipilimumab </w:t>
            </w:r>
            <w:r w:rsidRPr="00FA3F9C">
              <w:rPr>
                <w:rFonts w:ascii="Arial" w:hAnsi="Arial" w:cs="Arial"/>
                <w:sz w:val="24"/>
                <w:szCs w:val="24"/>
                <w:u w:val="single"/>
              </w:rPr>
              <w:t>and</w:t>
            </w:r>
            <w:r w:rsidRPr="00FA3F9C">
              <w:rPr>
                <w:rFonts w:ascii="Arial" w:hAnsi="Arial" w:cs="Arial"/>
                <w:sz w:val="24"/>
                <w:szCs w:val="24"/>
              </w:rPr>
              <w:t xml:space="preserve"> 2 cycles of platinum-doublet chemotherapy</w:t>
            </w:r>
          </w:p>
          <w:p w14:paraId="61510BDF" w14:textId="77777777" w:rsidR="009B5AA5" w:rsidRPr="00FA3F9C" w:rsidRDefault="009B5AA5" w:rsidP="00FC1E85">
            <w:pPr>
              <w:pStyle w:val="ListParagraph"/>
              <w:numPr>
                <w:ilvl w:val="0"/>
                <w:numId w:val="369"/>
              </w:numPr>
              <w:spacing w:after="0" w:line="240" w:lineRule="auto"/>
              <w:ind w:left="970"/>
              <w:rPr>
                <w:rFonts w:ascii="Arial" w:hAnsi="Arial" w:cs="Arial"/>
                <w:sz w:val="24"/>
                <w:szCs w:val="24"/>
              </w:rPr>
            </w:pPr>
            <w:r w:rsidRPr="00FA3F9C">
              <w:rPr>
                <w:rFonts w:ascii="Arial" w:hAnsi="Arial" w:cs="Arial"/>
                <w:sz w:val="24"/>
                <w:szCs w:val="24"/>
              </w:rPr>
              <w:t>Tumor is EGFR and ALK negative</w:t>
            </w:r>
          </w:p>
        </w:tc>
      </w:tr>
      <w:tr w:rsidR="009B5AA5" w:rsidRPr="00FA3F9C" w14:paraId="500DE6CB" w14:textId="77777777" w:rsidTr="003D118F">
        <w:tc>
          <w:tcPr>
            <w:tcW w:w="10368" w:type="dxa"/>
          </w:tcPr>
          <w:p w14:paraId="4EBD525F" w14:textId="77777777" w:rsidR="009B5AA5" w:rsidRPr="00FA3F9C" w:rsidRDefault="009B5AA5" w:rsidP="00451DB8">
            <w:pPr>
              <w:spacing w:after="0" w:line="240" w:lineRule="auto"/>
              <w:rPr>
                <w:rFonts w:ascii="Arial" w:hAnsi="Arial" w:cs="Arial"/>
                <w:sz w:val="24"/>
                <w:szCs w:val="24"/>
              </w:rPr>
            </w:pPr>
            <w:r w:rsidRPr="00FA3F9C">
              <w:rPr>
                <w:rFonts w:ascii="Arial" w:hAnsi="Arial" w:cs="Arial"/>
                <w:b/>
                <w:sz w:val="24"/>
                <w:szCs w:val="24"/>
              </w:rPr>
              <w:t>If all criteria fulfilled from either 1, 2, or 3, approve for 12 months</w:t>
            </w:r>
          </w:p>
        </w:tc>
      </w:tr>
      <w:tr w:rsidR="009B5AA5" w:rsidRPr="00FA3F9C" w14:paraId="72D6DE82" w14:textId="77777777" w:rsidTr="003D118F">
        <w:tc>
          <w:tcPr>
            <w:tcW w:w="10368" w:type="dxa"/>
            <w:tcBorders>
              <w:bottom w:val="single" w:sz="4" w:space="0" w:color="auto"/>
            </w:tcBorders>
            <w:shd w:val="clear" w:color="auto" w:fill="BFBFBF" w:themeFill="background1" w:themeFillShade="BF"/>
          </w:tcPr>
          <w:p w14:paraId="405BE33F" w14:textId="77777777" w:rsidR="009B5AA5" w:rsidRPr="00FA3F9C" w:rsidRDefault="009B5AA5" w:rsidP="00451DB8">
            <w:pPr>
              <w:spacing w:after="0" w:line="240" w:lineRule="auto"/>
              <w:rPr>
                <w:rFonts w:ascii="Arial" w:hAnsi="Arial" w:cs="Arial"/>
                <w:sz w:val="24"/>
                <w:szCs w:val="24"/>
              </w:rPr>
            </w:pPr>
            <w:r w:rsidRPr="00FA3F9C">
              <w:rPr>
                <w:rFonts w:ascii="Arial" w:hAnsi="Arial" w:cs="Arial"/>
                <w:sz w:val="24"/>
                <w:szCs w:val="24"/>
              </w:rPr>
              <w:t xml:space="preserve">Notes:  </w:t>
            </w:r>
          </w:p>
          <w:p w14:paraId="2029B823" w14:textId="77777777" w:rsidR="009B5AA5" w:rsidRPr="00FA3F9C" w:rsidRDefault="009B5AA5" w:rsidP="00451DB8">
            <w:pPr>
              <w:spacing w:after="0" w:line="240" w:lineRule="auto"/>
              <w:rPr>
                <w:rFonts w:ascii="Arial" w:hAnsi="Arial" w:cs="Arial"/>
                <w:sz w:val="24"/>
                <w:szCs w:val="24"/>
                <w:u w:val="single"/>
              </w:rPr>
            </w:pPr>
            <w:r w:rsidRPr="00FA3F9C">
              <w:rPr>
                <w:rFonts w:ascii="Arial" w:hAnsi="Arial" w:cs="Arial"/>
                <w:sz w:val="24"/>
                <w:szCs w:val="24"/>
                <w:u w:val="single"/>
              </w:rPr>
              <w:t>SECOND-LINE SETTING:</w:t>
            </w:r>
          </w:p>
          <w:p w14:paraId="7B89DECB" w14:textId="77777777" w:rsidR="009B5AA5" w:rsidRPr="00FA3F9C" w:rsidRDefault="009B5AA5" w:rsidP="00451DB8">
            <w:pPr>
              <w:spacing w:after="0" w:line="240" w:lineRule="auto"/>
              <w:rPr>
                <w:rFonts w:ascii="Arial" w:hAnsi="Arial" w:cs="Arial"/>
                <w:sz w:val="24"/>
                <w:szCs w:val="24"/>
              </w:rPr>
            </w:pPr>
            <w:r w:rsidRPr="00FA3F9C">
              <w:rPr>
                <w:rFonts w:ascii="Arial" w:hAnsi="Arial" w:cs="Arial"/>
                <w:sz w:val="24"/>
                <w:szCs w:val="24"/>
              </w:rPr>
              <w:t>-CHECKMATE 017/CHECKMATE 057 showed pooled median OS was 11.1m nivolumab vs 8m docetaxel (a difference of 3.1m); HR 0.72, 95% CI 0.62, 0.84 at 2-year f/u.</w:t>
            </w:r>
            <w:r w:rsidRPr="00FA3F9C">
              <w:rPr>
                <w:rFonts w:ascii="Arial" w:hAnsi="Arial" w:cs="Arial"/>
                <w:sz w:val="24"/>
                <w:szCs w:val="24"/>
                <w:vertAlign w:val="superscript"/>
              </w:rPr>
              <w:t>2</w:t>
            </w:r>
          </w:p>
          <w:p w14:paraId="733507E8" w14:textId="77777777" w:rsidR="009B5AA5" w:rsidRPr="00FA3F9C" w:rsidRDefault="009B5AA5" w:rsidP="00451DB8">
            <w:pPr>
              <w:spacing w:after="0" w:line="240" w:lineRule="auto"/>
              <w:rPr>
                <w:rFonts w:ascii="Arial" w:hAnsi="Arial" w:cs="Arial"/>
                <w:sz w:val="24"/>
                <w:szCs w:val="24"/>
              </w:rPr>
            </w:pPr>
          </w:p>
          <w:p w14:paraId="547D3A5A" w14:textId="77777777" w:rsidR="009B5AA5" w:rsidRPr="00FA3F9C" w:rsidRDefault="009B5AA5" w:rsidP="00451DB8">
            <w:pPr>
              <w:spacing w:after="0" w:line="240" w:lineRule="auto"/>
              <w:rPr>
                <w:rFonts w:ascii="Arial" w:hAnsi="Arial" w:cs="Arial"/>
                <w:sz w:val="24"/>
                <w:szCs w:val="24"/>
                <w:u w:val="single"/>
              </w:rPr>
            </w:pPr>
            <w:r w:rsidRPr="00FA3F9C">
              <w:rPr>
                <w:rFonts w:ascii="Arial" w:hAnsi="Arial" w:cs="Arial"/>
                <w:sz w:val="24"/>
                <w:szCs w:val="24"/>
                <w:u w:val="single"/>
              </w:rPr>
              <w:lastRenderedPageBreak/>
              <w:t>FIRST-LINE SETTING (</w:t>
            </w:r>
            <w:proofErr w:type="spellStart"/>
            <w:r w:rsidRPr="00FA3F9C">
              <w:rPr>
                <w:rFonts w:ascii="Arial" w:hAnsi="Arial" w:cs="Arial"/>
                <w:sz w:val="24"/>
                <w:szCs w:val="24"/>
                <w:u w:val="single"/>
              </w:rPr>
              <w:t>nivolumab+ipilimumab</w:t>
            </w:r>
            <w:proofErr w:type="spellEnd"/>
            <w:r w:rsidRPr="00FA3F9C">
              <w:rPr>
                <w:rFonts w:ascii="Arial" w:hAnsi="Arial" w:cs="Arial"/>
                <w:sz w:val="24"/>
                <w:szCs w:val="24"/>
                <w:u w:val="single"/>
              </w:rPr>
              <w:t>):</w:t>
            </w:r>
          </w:p>
          <w:p w14:paraId="63347E43" w14:textId="77777777" w:rsidR="009B5AA5" w:rsidRPr="00FA3F9C" w:rsidRDefault="009B5AA5" w:rsidP="00772DE0">
            <w:pPr>
              <w:spacing w:after="0" w:line="240" w:lineRule="auto"/>
              <w:ind w:left="65" w:hanging="65"/>
              <w:rPr>
                <w:rFonts w:ascii="Arial" w:hAnsi="Arial" w:cs="Arial"/>
                <w:sz w:val="24"/>
                <w:szCs w:val="24"/>
              </w:rPr>
            </w:pPr>
            <w:r w:rsidRPr="00FA3F9C">
              <w:rPr>
                <w:rFonts w:ascii="Arial" w:hAnsi="Arial" w:cs="Arial"/>
                <w:sz w:val="24"/>
                <w:szCs w:val="24"/>
              </w:rPr>
              <w:t xml:space="preserve">-In patients with any level of PD-L1, nivolumab + ipilimumab was compared with platinum-doublet chemotherapy. </w:t>
            </w:r>
          </w:p>
          <w:p w14:paraId="6FDCBBEF" w14:textId="77777777" w:rsidR="009B5AA5" w:rsidRPr="00FA3F9C" w:rsidRDefault="009B5AA5" w:rsidP="00772DE0">
            <w:pPr>
              <w:spacing w:after="0" w:line="240" w:lineRule="auto"/>
              <w:ind w:left="65" w:hanging="65"/>
              <w:rPr>
                <w:rFonts w:ascii="Arial" w:hAnsi="Arial" w:cs="Arial"/>
                <w:sz w:val="24"/>
                <w:szCs w:val="24"/>
              </w:rPr>
            </w:pPr>
            <w:r w:rsidRPr="00FA3F9C">
              <w:rPr>
                <w:rFonts w:ascii="Arial" w:hAnsi="Arial" w:cs="Arial"/>
                <w:sz w:val="24"/>
                <w:szCs w:val="24"/>
              </w:rPr>
              <w:t xml:space="preserve">-In patients with PD-L1 </w:t>
            </w:r>
            <w:r w:rsidRPr="00FA3F9C">
              <w:rPr>
                <w:rFonts w:ascii="Arial" w:hAnsi="Arial" w:cs="Arial"/>
                <w:sz w:val="24"/>
                <w:szCs w:val="24"/>
                <w:u w:val="single"/>
              </w:rPr>
              <w:t>&gt;</w:t>
            </w:r>
            <w:r w:rsidRPr="00FA3F9C">
              <w:rPr>
                <w:rFonts w:ascii="Arial" w:hAnsi="Arial" w:cs="Arial"/>
                <w:sz w:val="24"/>
                <w:szCs w:val="24"/>
              </w:rPr>
              <w:t xml:space="preserve">1%, nivolumab + ipilimumab improved overall survival compared with platinum-doublet chemotherapy (median 17.1 </w:t>
            </w:r>
            <w:proofErr w:type="spellStart"/>
            <w:r w:rsidRPr="00FA3F9C">
              <w:rPr>
                <w:rFonts w:ascii="Arial" w:hAnsi="Arial" w:cs="Arial"/>
                <w:sz w:val="24"/>
                <w:szCs w:val="24"/>
              </w:rPr>
              <w:t>mo</w:t>
            </w:r>
            <w:proofErr w:type="spellEnd"/>
            <w:r w:rsidRPr="00FA3F9C">
              <w:rPr>
                <w:rFonts w:ascii="Arial" w:hAnsi="Arial" w:cs="Arial"/>
                <w:sz w:val="24"/>
                <w:szCs w:val="24"/>
              </w:rPr>
              <w:t xml:space="preserve"> vs 14.9 </w:t>
            </w:r>
            <w:proofErr w:type="spellStart"/>
            <w:r w:rsidRPr="00FA3F9C">
              <w:rPr>
                <w:rFonts w:ascii="Arial" w:hAnsi="Arial" w:cs="Arial"/>
                <w:sz w:val="24"/>
                <w:szCs w:val="24"/>
              </w:rPr>
              <w:t>mo</w:t>
            </w:r>
            <w:proofErr w:type="spellEnd"/>
            <w:r w:rsidRPr="00FA3F9C">
              <w:rPr>
                <w:rFonts w:ascii="Arial" w:hAnsi="Arial" w:cs="Arial"/>
                <w:sz w:val="24"/>
                <w:szCs w:val="24"/>
              </w:rPr>
              <w:t xml:space="preserve">; HR 0.79; rate of survival at 3-yr was 33% vs 22%). </w:t>
            </w:r>
          </w:p>
          <w:p w14:paraId="0222B9BD" w14:textId="77777777" w:rsidR="009B5AA5" w:rsidRPr="00FA3F9C" w:rsidRDefault="009B5AA5" w:rsidP="00772DE0">
            <w:pPr>
              <w:spacing w:after="0" w:line="240" w:lineRule="auto"/>
              <w:ind w:left="65" w:hanging="65"/>
              <w:rPr>
                <w:rFonts w:ascii="Arial" w:hAnsi="Arial" w:cs="Arial"/>
                <w:sz w:val="24"/>
                <w:szCs w:val="24"/>
              </w:rPr>
            </w:pPr>
            <w:r w:rsidRPr="00FA3F9C">
              <w:rPr>
                <w:rFonts w:ascii="Arial" w:hAnsi="Arial" w:cs="Arial"/>
                <w:sz w:val="24"/>
                <w:szCs w:val="24"/>
              </w:rPr>
              <w:t xml:space="preserve">-In patients with PD-L1 &lt;1%, this regimen did not statistically improve overall survival (median 15.2 </w:t>
            </w:r>
            <w:proofErr w:type="spellStart"/>
            <w:r w:rsidRPr="00FA3F9C">
              <w:rPr>
                <w:rFonts w:ascii="Arial" w:hAnsi="Arial" w:cs="Arial"/>
                <w:sz w:val="24"/>
                <w:szCs w:val="24"/>
              </w:rPr>
              <w:t>mo</w:t>
            </w:r>
            <w:proofErr w:type="spellEnd"/>
            <w:r w:rsidRPr="00FA3F9C">
              <w:rPr>
                <w:rFonts w:ascii="Arial" w:hAnsi="Arial" w:cs="Arial"/>
                <w:sz w:val="24"/>
                <w:szCs w:val="24"/>
              </w:rPr>
              <w:t xml:space="preserve"> vs 12.2 </w:t>
            </w:r>
            <w:proofErr w:type="spellStart"/>
            <w:proofErr w:type="gramStart"/>
            <w:r w:rsidRPr="00FA3F9C">
              <w:rPr>
                <w:rFonts w:ascii="Arial" w:hAnsi="Arial" w:cs="Arial"/>
                <w:sz w:val="24"/>
                <w:szCs w:val="24"/>
              </w:rPr>
              <w:t>mo</w:t>
            </w:r>
            <w:proofErr w:type="spellEnd"/>
            <w:r w:rsidRPr="00FA3F9C">
              <w:rPr>
                <w:rFonts w:ascii="Arial" w:hAnsi="Arial" w:cs="Arial"/>
                <w:sz w:val="24"/>
                <w:szCs w:val="24"/>
              </w:rPr>
              <w:t>;</w:t>
            </w:r>
            <w:proofErr w:type="gramEnd"/>
            <w:r w:rsidRPr="00FA3F9C">
              <w:rPr>
                <w:rFonts w:ascii="Arial" w:hAnsi="Arial" w:cs="Arial"/>
                <w:sz w:val="24"/>
                <w:szCs w:val="24"/>
              </w:rPr>
              <w:t xml:space="preserve"> HR 0.78, 95% CI 0.6-1.02). To achieve statistical significance for this </w:t>
            </w:r>
            <w:r w:rsidRPr="00FA3F9C">
              <w:rPr>
                <w:rFonts w:ascii="Arial" w:hAnsi="Arial" w:cs="Arial"/>
                <w:i/>
                <w:sz w:val="24"/>
                <w:szCs w:val="24"/>
              </w:rPr>
              <w:t>interim</w:t>
            </w:r>
            <w:r w:rsidRPr="00FA3F9C">
              <w:rPr>
                <w:rFonts w:ascii="Arial" w:hAnsi="Arial" w:cs="Arial"/>
                <w:sz w:val="24"/>
                <w:szCs w:val="24"/>
              </w:rPr>
              <w:t xml:space="preserve"> analysis, p value must have been &lt;0.023. Actual P value was 0.035).</w:t>
            </w:r>
            <w:r w:rsidRPr="00FA3F9C">
              <w:rPr>
                <w:rFonts w:ascii="Arial" w:hAnsi="Arial" w:cs="Arial"/>
                <w:sz w:val="24"/>
                <w:szCs w:val="24"/>
                <w:vertAlign w:val="superscript"/>
              </w:rPr>
              <w:t>4,5</w:t>
            </w:r>
            <w:r w:rsidRPr="00FA3F9C">
              <w:rPr>
                <w:rFonts w:ascii="Arial" w:hAnsi="Arial" w:cs="Arial"/>
                <w:sz w:val="24"/>
                <w:szCs w:val="24"/>
              </w:rPr>
              <w:t xml:space="preserve"> FDA approved this regimen for PD-L1 </w:t>
            </w:r>
            <w:r w:rsidRPr="00FA3F9C">
              <w:rPr>
                <w:rFonts w:ascii="Arial" w:hAnsi="Arial" w:cs="Arial"/>
                <w:i/>
                <w:sz w:val="24"/>
                <w:szCs w:val="24"/>
                <w:u w:val="single"/>
              </w:rPr>
              <w:t>&gt;</w:t>
            </w:r>
            <w:r w:rsidRPr="00FA3F9C">
              <w:rPr>
                <w:rFonts w:ascii="Arial" w:hAnsi="Arial" w:cs="Arial"/>
                <w:sz w:val="24"/>
                <w:szCs w:val="24"/>
              </w:rPr>
              <w:t>1% only.</w:t>
            </w:r>
          </w:p>
          <w:p w14:paraId="093C2928" w14:textId="77777777" w:rsidR="009B5AA5" w:rsidRPr="00FA3F9C" w:rsidRDefault="009B5AA5" w:rsidP="00451DB8">
            <w:pPr>
              <w:spacing w:after="0" w:line="240" w:lineRule="auto"/>
              <w:rPr>
                <w:rFonts w:ascii="Arial" w:hAnsi="Arial" w:cs="Arial"/>
                <w:sz w:val="24"/>
                <w:szCs w:val="24"/>
              </w:rPr>
            </w:pPr>
          </w:p>
          <w:p w14:paraId="64039E6D" w14:textId="77777777" w:rsidR="009B5AA5" w:rsidRPr="00FA3F9C" w:rsidRDefault="009B5AA5" w:rsidP="00451DB8">
            <w:pPr>
              <w:spacing w:after="0" w:line="240" w:lineRule="auto"/>
              <w:rPr>
                <w:rFonts w:ascii="Arial" w:hAnsi="Arial" w:cs="Arial"/>
                <w:sz w:val="24"/>
                <w:szCs w:val="24"/>
                <w:u w:val="single"/>
              </w:rPr>
            </w:pPr>
            <w:r w:rsidRPr="00FA3F9C">
              <w:rPr>
                <w:rFonts w:ascii="Arial" w:hAnsi="Arial" w:cs="Arial"/>
                <w:sz w:val="24"/>
                <w:szCs w:val="24"/>
                <w:u w:val="single"/>
              </w:rPr>
              <w:t>FIRST-LINE SETTING (nivolumab+ipilimumab+2 cycles of chemo):</w:t>
            </w:r>
          </w:p>
          <w:p w14:paraId="79E1A396" w14:textId="77777777" w:rsidR="009B5AA5" w:rsidRPr="00FA3F9C" w:rsidRDefault="009B5AA5" w:rsidP="00451DB8">
            <w:pPr>
              <w:spacing w:after="0" w:line="240" w:lineRule="auto"/>
              <w:rPr>
                <w:rFonts w:ascii="Arial" w:hAnsi="Arial" w:cs="Arial"/>
                <w:sz w:val="24"/>
                <w:szCs w:val="24"/>
              </w:rPr>
            </w:pPr>
            <w:r w:rsidRPr="00FA3F9C">
              <w:rPr>
                <w:rFonts w:ascii="Arial" w:hAnsi="Arial" w:cs="Arial"/>
                <w:sz w:val="24"/>
                <w:szCs w:val="24"/>
              </w:rPr>
              <w:t xml:space="preserve">-In patients with PD-L1 of any level, nivolumab + ipilimumab + 2 cycles of platinum-doublet chemotherapy improved overall survival compared to platinum-doublet chemotherapy (median 15.6 </w:t>
            </w:r>
            <w:proofErr w:type="spellStart"/>
            <w:r w:rsidRPr="00FA3F9C">
              <w:rPr>
                <w:rFonts w:ascii="Arial" w:hAnsi="Arial" w:cs="Arial"/>
                <w:sz w:val="24"/>
                <w:szCs w:val="24"/>
              </w:rPr>
              <w:t>mo</w:t>
            </w:r>
            <w:proofErr w:type="spellEnd"/>
            <w:r w:rsidRPr="00FA3F9C">
              <w:rPr>
                <w:rFonts w:ascii="Arial" w:hAnsi="Arial" w:cs="Arial"/>
                <w:sz w:val="24"/>
                <w:szCs w:val="24"/>
              </w:rPr>
              <w:t xml:space="preserve"> vs 10.9 </w:t>
            </w:r>
            <w:proofErr w:type="spellStart"/>
            <w:r w:rsidRPr="00FA3F9C">
              <w:rPr>
                <w:rFonts w:ascii="Arial" w:hAnsi="Arial" w:cs="Arial"/>
                <w:sz w:val="24"/>
                <w:szCs w:val="24"/>
              </w:rPr>
              <w:t>mo</w:t>
            </w:r>
            <w:proofErr w:type="spellEnd"/>
            <w:r w:rsidRPr="00FA3F9C">
              <w:rPr>
                <w:rFonts w:ascii="Arial" w:hAnsi="Arial" w:cs="Arial"/>
                <w:sz w:val="24"/>
                <w:szCs w:val="24"/>
              </w:rPr>
              <w:t>; HR 0.66; rate of survival at 1-yr 63% vs 47%.</w:t>
            </w:r>
            <w:r w:rsidRPr="00FA3F9C">
              <w:rPr>
                <w:rFonts w:ascii="Arial" w:hAnsi="Arial" w:cs="Arial"/>
                <w:sz w:val="24"/>
                <w:szCs w:val="24"/>
                <w:vertAlign w:val="superscript"/>
              </w:rPr>
              <w:t>6,7</w:t>
            </w:r>
          </w:p>
          <w:p w14:paraId="604DA6E7" w14:textId="77777777" w:rsidR="009B5AA5" w:rsidRPr="00FA3F9C" w:rsidRDefault="009B5AA5" w:rsidP="00451DB8">
            <w:pPr>
              <w:spacing w:after="0" w:line="240" w:lineRule="auto"/>
              <w:rPr>
                <w:rFonts w:ascii="Arial" w:hAnsi="Arial" w:cs="Arial"/>
                <w:sz w:val="24"/>
                <w:szCs w:val="24"/>
              </w:rPr>
            </w:pPr>
          </w:p>
          <w:p w14:paraId="1E08DE09" w14:textId="77777777" w:rsidR="009B5AA5" w:rsidRPr="00FA3F9C" w:rsidRDefault="009B5AA5" w:rsidP="00451DB8">
            <w:pPr>
              <w:spacing w:after="0" w:line="240" w:lineRule="auto"/>
              <w:rPr>
                <w:rFonts w:ascii="Arial" w:hAnsi="Arial" w:cs="Arial"/>
                <w:sz w:val="24"/>
                <w:szCs w:val="24"/>
              </w:rPr>
            </w:pPr>
          </w:p>
          <w:p w14:paraId="553ACB3F" w14:textId="77777777" w:rsidR="009B5AA5" w:rsidRPr="00FA3F9C" w:rsidRDefault="009B5AA5" w:rsidP="00451DB8">
            <w:pPr>
              <w:spacing w:after="0" w:line="240" w:lineRule="auto"/>
              <w:rPr>
                <w:rFonts w:ascii="Arial" w:hAnsi="Arial" w:cs="Arial"/>
                <w:sz w:val="24"/>
                <w:szCs w:val="24"/>
              </w:rPr>
            </w:pPr>
            <w:r w:rsidRPr="00FA3F9C">
              <w:rPr>
                <w:rFonts w:ascii="Arial" w:hAnsi="Arial" w:cs="Arial"/>
                <w:sz w:val="24"/>
                <w:szCs w:val="24"/>
              </w:rPr>
              <w:t>REFERENCES:</w:t>
            </w:r>
          </w:p>
          <w:p w14:paraId="4B9410C5" w14:textId="77777777" w:rsidR="009B5AA5" w:rsidRPr="00FA3F9C" w:rsidRDefault="009B5AA5" w:rsidP="00FC1E85">
            <w:pPr>
              <w:pStyle w:val="ListParagraph"/>
              <w:numPr>
                <w:ilvl w:val="0"/>
                <w:numId w:val="356"/>
              </w:numPr>
              <w:spacing w:after="0" w:line="240" w:lineRule="auto"/>
              <w:rPr>
                <w:rFonts w:ascii="Arial" w:hAnsi="Arial" w:cs="Arial"/>
                <w:sz w:val="24"/>
                <w:szCs w:val="24"/>
              </w:rPr>
            </w:pPr>
            <w:r w:rsidRPr="00FA3F9C">
              <w:rPr>
                <w:rFonts w:ascii="Arial" w:hAnsi="Arial" w:cs="Arial"/>
                <w:sz w:val="24"/>
                <w:szCs w:val="24"/>
              </w:rPr>
              <w:t xml:space="preserve">ICER review re: use for EGFR negative tumors: </w:t>
            </w:r>
            <w:hyperlink r:id="rId287" w:history="1">
              <w:r w:rsidRPr="00FA3F9C">
                <w:rPr>
                  <w:rStyle w:val="Hyperlink"/>
                  <w:rFonts w:ascii="Arial" w:hAnsi="Arial" w:cs="Arial"/>
                  <w:sz w:val="24"/>
                  <w:szCs w:val="24"/>
                </w:rPr>
                <w:t>https://icer-review.org/wp-content/uploads/2016/08/MWCEPAC_NSCLC_Evidence_Report_Plus_Supplement_101716.pdf</w:t>
              </w:r>
            </w:hyperlink>
          </w:p>
          <w:p w14:paraId="0A542A17" w14:textId="77777777" w:rsidR="009B5AA5" w:rsidRPr="00FA3F9C" w:rsidRDefault="009B5AA5" w:rsidP="00FC1E85">
            <w:pPr>
              <w:pStyle w:val="ListParagraph"/>
              <w:numPr>
                <w:ilvl w:val="0"/>
                <w:numId w:val="356"/>
              </w:numPr>
              <w:spacing w:after="0" w:line="240" w:lineRule="auto"/>
              <w:rPr>
                <w:rFonts w:ascii="Arial" w:hAnsi="Arial" w:cs="Arial"/>
                <w:sz w:val="24"/>
                <w:szCs w:val="24"/>
              </w:rPr>
            </w:pPr>
            <w:r w:rsidRPr="00FA3F9C">
              <w:rPr>
                <w:rFonts w:ascii="Arial" w:hAnsi="Arial" w:cs="Arial"/>
                <w:sz w:val="24"/>
                <w:szCs w:val="24"/>
              </w:rPr>
              <w:t xml:space="preserve">Horn L et al. </w:t>
            </w:r>
            <w:r w:rsidRPr="00FA3F9C">
              <w:rPr>
                <w:rFonts w:ascii="Arial" w:hAnsi="Arial" w:cs="Arial"/>
                <w:bCs/>
                <w:color w:val="000000"/>
                <w:sz w:val="24"/>
                <w:szCs w:val="24"/>
              </w:rPr>
              <w:t xml:space="preserve">Nivolumab Versus Docetaxel in Previously Treated Patients </w:t>
            </w:r>
            <w:proofErr w:type="gramStart"/>
            <w:r w:rsidRPr="00FA3F9C">
              <w:rPr>
                <w:rFonts w:ascii="Arial" w:hAnsi="Arial" w:cs="Arial"/>
                <w:bCs/>
                <w:color w:val="000000"/>
                <w:sz w:val="24"/>
                <w:szCs w:val="24"/>
              </w:rPr>
              <w:t>With</w:t>
            </w:r>
            <w:proofErr w:type="gramEnd"/>
            <w:r w:rsidRPr="00FA3F9C">
              <w:rPr>
                <w:rFonts w:ascii="Arial" w:hAnsi="Arial" w:cs="Arial"/>
                <w:bCs/>
                <w:color w:val="000000"/>
                <w:sz w:val="24"/>
                <w:szCs w:val="24"/>
              </w:rPr>
              <w:t xml:space="preserve"> Advanced Non-Small-Cell Lung Cancer: Two-Year Outcomes From Two Randomized, Open-Label, Phase III Trials (</w:t>
            </w:r>
            <w:proofErr w:type="spellStart"/>
            <w:r w:rsidRPr="00FA3F9C">
              <w:rPr>
                <w:rStyle w:val="highlight"/>
                <w:rFonts w:ascii="Arial" w:hAnsi="Arial" w:cs="Arial"/>
                <w:bCs/>
                <w:color w:val="000000"/>
                <w:sz w:val="24"/>
                <w:szCs w:val="24"/>
              </w:rPr>
              <w:t>CheckMate</w:t>
            </w:r>
            <w:proofErr w:type="spellEnd"/>
            <w:r w:rsidRPr="00FA3F9C">
              <w:rPr>
                <w:rFonts w:ascii="Arial" w:hAnsi="Arial" w:cs="Arial"/>
                <w:bCs/>
                <w:color w:val="000000"/>
                <w:sz w:val="24"/>
                <w:szCs w:val="24"/>
              </w:rPr>
              <w:t xml:space="preserve"> </w:t>
            </w:r>
            <w:r w:rsidRPr="00FA3F9C">
              <w:rPr>
                <w:rStyle w:val="highlight"/>
                <w:rFonts w:ascii="Arial" w:hAnsi="Arial" w:cs="Arial"/>
                <w:bCs/>
                <w:color w:val="000000"/>
                <w:sz w:val="24"/>
                <w:szCs w:val="24"/>
              </w:rPr>
              <w:t>017</w:t>
            </w:r>
            <w:r w:rsidRPr="00FA3F9C">
              <w:rPr>
                <w:rFonts w:ascii="Arial" w:hAnsi="Arial" w:cs="Arial"/>
                <w:bCs/>
                <w:color w:val="000000"/>
                <w:sz w:val="24"/>
                <w:szCs w:val="24"/>
              </w:rPr>
              <w:t xml:space="preserve"> and </w:t>
            </w:r>
            <w:proofErr w:type="spellStart"/>
            <w:r w:rsidRPr="00FA3F9C">
              <w:rPr>
                <w:rStyle w:val="highlight"/>
                <w:rFonts w:ascii="Arial" w:hAnsi="Arial" w:cs="Arial"/>
                <w:bCs/>
                <w:color w:val="000000"/>
                <w:sz w:val="24"/>
                <w:szCs w:val="24"/>
              </w:rPr>
              <w:t>CheckMate</w:t>
            </w:r>
            <w:proofErr w:type="spellEnd"/>
            <w:r w:rsidRPr="00FA3F9C">
              <w:rPr>
                <w:rFonts w:ascii="Arial" w:hAnsi="Arial" w:cs="Arial"/>
                <w:bCs/>
                <w:color w:val="000000"/>
                <w:sz w:val="24"/>
                <w:szCs w:val="24"/>
              </w:rPr>
              <w:t xml:space="preserve"> 057). </w:t>
            </w:r>
            <w:hyperlink r:id="rId288" w:tooltip="Journal of clinical oncology : official journal of the American Society of Clinical Oncology." w:history="1">
              <w:r w:rsidRPr="00FA3F9C">
                <w:rPr>
                  <w:rStyle w:val="Hyperlink"/>
                  <w:rFonts w:ascii="Arial" w:hAnsi="Arial" w:cs="Arial"/>
                  <w:color w:val="333333"/>
                  <w:sz w:val="24"/>
                  <w:szCs w:val="24"/>
                </w:rPr>
                <w:t>J Clin Oncol.</w:t>
              </w:r>
            </w:hyperlink>
            <w:r w:rsidRPr="00FA3F9C">
              <w:rPr>
                <w:rFonts w:ascii="Arial" w:hAnsi="Arial" w:cs="Arial"/>
                <w:color w:val="000000"/>
                <w:sz w:val="24"/>
                <w:szCs w:val="24"/>
              </w:rPr>
              <w:t xml:space="preserve"> 2017 Dec 10;35(35):3924-3933. </w:t>
            </w:r>
            <w:r w:rsidRPr="00FA3F9C">
              <w:rPr>
                <w:rFonts w:ascii="Arial" w:hAnsi="Arial" w:cs="Arial"/>
                <w:sz w:val="24"/>
                <w:szCs w:val="24"/>
              </w:rPr>
              <w:t xml:space="preserve">[CHECKMATE-017 and 057; NCT01642004 and NCT01673867] </w:t>
            </w:r>
          </w:p>
          <w:p w14:paraId="59DF63A2" w14:textId="77777777" w:rsidR="009B5AA5" w:rsidRPr="00FA3F9C" w:rsidRDefault="009B5AA5" w:rsidP="00FC1E85">
            <w:pPr>
              <w:pStyle w:val="ListParagraph"/>
              <w:numPr>
                <w:ilvl w:val="0"/>
                <w:numId w:val="356"/>
              </w:numPr>
              <w:spacing w:after="0" w:line="240" w:lineRule="auto"/>
              <w:rPr>
                <w:rFonts w:ascii="Arial" w:hAnsi="Arial" w:cs="Arial"/>
                <w:sz w:val="24"/>
                <w:szCs w:val="24"/>
              </w:rPr>
            </w:pPr>
            <w:r w:rsidRPr="00FA3F9C">
              <w:rPr>
                <w:rFonts w:ascii="Arial" w:hAnsi="Arial" w:cs="Arial"/>
                <w:sz w:val="24"/>
                <w:szCs w:val="24"/>
              </w:rPr>
              <w:t xml:space="preserve">Carbone DP et al. </w:t>
            </w:r>
            <w:r w:rsidRPr="00FA3F9C">
              <w:rPr>
                <w:rFonts w:ascii="Arial" w:hAnsi="Arial" w:cs="Arial"/>
                <w:color w:val="000000"/>
                <w:sz w:val="24"/>
                <w:szCs w:val="24"/>
              </w:rPr>
              <w:t xml:space="preserve">First-Line Nivolumab in Stage IV or Recurrent Non-Small-Cell Lung Cancer. </w:t>
            </w:r>
            <w:hyperlink r:id="rId289" w:tooltip="The New England journal of medicine." w:history="1">
              <w:r w:rsidRPr="00FA3F9C">
                <w:rPr>
                  <w:rStyle w:val="Hyperlink"/>
                  <w:rFonts w:ascii="Arial" w:hAnsi="Arial" w:cs="Arial"/>
                  <w:color w:val="333333"/>
                  <w:sz w:val="24"/>
                  <w:szCs w:val="24"/>
                </w:rPr>
                <w:t xml:space="preserve">N </w:t>
              </w:r>
              <w:proofErr w:type="spellStart"/>
              <w:r w:rsidRPr="00FA3F9C">
                <w:rPr>
                  <w:rStyle w:val="Hyperlink"/>
                  <w:rFonts w:ascii="Arial" w:hAnsi="Arial" w:cs="Arial"/>
                  <w:color w:val="333333"/>
                  <w:sz w:val="24"/>
                  <w:szCs w:val="24"/>
                </w:rPr>
                <w:t>Engl</w:t>
              </w:r>
              <w:proofErr w:type="spellEnd"/>
              <w:r w:rsidRPr="00FA3F9C">
                <w:rPr>
                  <w:rStyle w:val="Hyperlink"/>
                  <w:rFonts w:ascii="Arial" w:hAnsi="Arial" w:cs="Arial"/>
                  <w:color w:val="333333"/>
                  <w:sz w:val="24"/>
                  <w:szCs w:val="24"/>
                </w:rPr>
                <w:t xml:space="preserve"> J Med.</w:t>
              </w:r>
            </w:hyperlink>
            <w:r w:rsidRPr="00FA3F9C">
              <w:rPr>
                <w:rFonts w:ascii="Arial" w:hAnsi="Arial" w:cs="Arial"/>
                <w:color w:val="000000"/>
                <w:sz w:val="24"/>
                <w:szCs w:val="24"/>
              </w:rPr>
              <w:t xml:space="preserve"> 2017 Jun 22;376(25):2415-2426. CHECKMATE 026, NCT02041533</w:t>
            </w:r>
          </w:p>
          <w:p w14:paraId="69FE2F4A" w14:textId="77777777" w:rsidR="009B5AA5" w:rsidRPr="00FA3F9C" w:rsidRDefault="009B5AA5" w:rsidP="00FC1E85">
            <w:pPr>
              <w:pStyle w:val="ListParagraph"/>
              <w:numPr>
                <w:ilvl w:val="0"/>
                <w:numId w:val="356"/>
              </w:numPr>
              <w:spacing w:after="0" w:line="240" w:lineRule="auto"/>
              <w:rPr>
                <w:rFonts w:ascii="Arial" w:hAnsi="Arial" w:cs="Arial"/>
                <w:sz w:val="24"/>
                <w:szCs w:val="24"/>
              </w:rPr>
            </w:pPr>
            <w:r w:rsidRPr="00FA3F9C">
              <w:rPr>
                <w:rFonts w:ascii="Arial" w:hAnsi="Arial" w:cs="Arial"/>
                <w:sz w:val="24"/>
                <w:szCs w:val="24"/>
                <w:lang w:val="es-ES"/>
              </w:rPr>
              <w:t xml:space="preserve">Hellmann MD, Paz-Ares L, </w:t>
            </w:r>
            <w:proofErr w:type="spellStart"/>
            <w:r w:rsidRPr="00FA3F9C">
              <w:rPr>
                <w:rFonts w:ascii="Arial" w:hAnsi="Arial" w:cs="Arial"/>
                <w:sz w:val="24"/>
                <w:szCs w:val="24"/>
                <w:lang w:val="es-ES"/>
              </w:rPr>
              <w:t>Bernabe</w:t>
            </w:r>
            <w:proofErr w:type="spellEnd"/>
            <w:r w:rsidRPr="00FA3F9C">
              <w:rPr>
                <w:rFonts w:ascii="Arial" w:hAnsi="Arial" w:cs="Arial"/>
                <w:sz w:val="24"/>
                <w:szCs w:val="24"/>
                <w:lang w:val="es-ES"/>
              </w:rPr>
              <w:t xml:space="preserve"> Caro R, et al. </w:t>
            </w:r>
            <w:r w:rsidRPr="00FA3F9C">
              <w:rPr>
                <w:rFonts w:ascii="Arial" w:hAnsi="Arial" w:cs="Arial"/>
                <w:sz w:val="24"/>
                <w:szCs w:val="24"/>
              </w:rPr>
              <w:t xml:space="preserve">Nivolumab plus Ipilimumab in Advanced Non-Small-Cell Lung Cancer. N </w:t>
            </w:r>
            <w:proofErr w:type="spellStart"/>
            <w:r w:rsidRPr="00FA3F9C">
              <w:rPr>
                <w:rFonts w:ascii="Arial" w:hAnsi="Arial" w:cs="Arial"/>
                <w:sz w:val="24"/>
                <w:szCs w:val="24"/>
              </w:rPr>
              <w:t>Engl</w:t>
            </w:r>
            <w:proofErr w:type="spellEnd"/>
            <w:r w:rsidRPr="00FA3F9C">
              <w:rPr>
                <w:rFonts w:ascii="Arial" w:hAnsi="Arial" w:cs="Arial"/>
                <w:sz w:val="24"/>
                <w:szCs w:val="24"/>
              </w:rPr>
              <w:t xml:space="preserve"> J Med. 2019;381(21):2020-2031. doi:10.1056/NEJMoa1910231. PMID 31562796. NCT02477826</w:t>
            </w:r>
          </w:p>
          <w:p w14:paraId="57692A3C" w14:textId="77777777" w:rsidR="009B5AA5" w:rsidRPr="00FA3F9C" w:rsidRDefault="009B5AA5" w:rsidP="00FC1E85">
            <w:pPr>
              <w:pStyle w:val="ListParagraph"/>
              <w:numPr>
                <w:ilvl w:val="0"/>
                <w:numId w:val="356"/>
              </w:numPr>
              <w:spacing w:after="0" w:line="240" w:lineRule="auto"/>
              <w:rPr>
                <w:rFonts w:ascii="Arial" w:hAnsi="Arial" w:cs="Arial"/>
                <w:sz w:val="24"/>
                <w:szCs w:val="24"/>
              </w:rPr>
            </w:pPr>
            <w:r w:rsidRPr="00FA3F9C">
              <w:rPr>
                <w:rFonts w:ascii="Arial" w:hAnsi="Arial" w:cs="Arial"/>
                <w:sz w:val="24"/>
                <w:szCs w:val="24"/>
              </w:rPr>
              <w:t xml:space="preserve">Ramalingam SS et al. Nivolumab + ipilimumab versus platinum-doublet chemotherapy as first-line treatment for advanced non-small cell lung cancer: Three-year update from </w:t>
            </w:r>
            <w:proofErr w:type="spellStart"/>
            <w:r w:rsidRPr="00FA3F9C">
              <w:rPr>
                <w:rFonts w:ascii="Arial" w:hAnsi="Arial" w:cs="Arial"/>
                <w:sz w:val="24"/>
                <w:szCs w:val="24"/>
              </w:rPr>
              <w:lastRenderedPageBreak/>
              <w:t>CheckMate</w:t>
            </w:r>
            <w:proofErr w:type="spellEnd"/>
            <w:r w:rsidRPr="00FA3F9C">
              <w:rPr>
                <w:rFonts w:ascii="Arial" w:hAnsi="Arial" w:cs="Arial"/>
                <w:sz w:val="24"/>
                <w:szCs w:val="24"/>
              </w:rPr>
              <w:t xml:space="preserve"> 227 Part 1. J Clin Oncol 38: 2020 (suppl; </w:t>
            </w:r>
            <w:proofErr w:type="spellStart"/>
            <w:r w:rsidRPr="00FA3F9C">
              <w:rPr>
                <w:rFonts w:ascii="Arial" w:hAnsi="Arial" w:cs="Arial"/>
                <w:sz w:val="24"/>
                <w:szCs w:val="24"/>
              </w:rPr>
              <w:t>abstr</w:t>
            </w:r>
            <w:proofErr w:type="spellEnd"/>
            <w:r w:rsidRPr="00FA3F9C">
              <w:rPr>
                <w:rFonts w:ascii="Arial" w:hAnsi="Arial" w:cs="Arial"/>
                <w:sz w:val="24"/>
                <w:szCs w:val="24"/>
              </w:rPr>
              <w:t xml:space="preserve"> 9500). </w:t>
            </w:r>
            <w:hyperlink r:id="rId290" w:history="1">
              <w:r w:rsidRPr="00FA3F9C">
                <w:rPr>
                  <w:rStyle w:val="Hyperlink"/>
                  <w:rFonts w:ascii="Arial" w:hAnsi="Arial" w:cs="Arial"/>
                  <w:sz w:val="24"/>
                  <w:szCs w:val="24"/>
                </w:rPr>
                <w:t>https://meetinglibrary.asco.org/record/184651/abstract</w:t>
              </w:r>
            </w:hyperlink>
            <w:r w:rsidRPr="00FA3F9C">
              <w:rPr>
                <w:rFonts w:ascii="Arial" w:hAnsi="Arial" w:cs="Arial"/>
                <w:sz w:val="24"/>
                <w:szCs w:val="24"/>
              </w:rPr>
              <w:t>. Accessed 7/9/2020. NCT02477826</w:t>
            </w:r>
          </w:p>
          <w:p w14:paraId="78861F67" w14:textId="77777777" w:rsidR="009B5AA5" w:rsidRPr="00FA3F9C" w:rsidRDefault="009B5AA5" w:rsidP="00FC1E85">
            <w:pPr>
              <w:pStyle w:val="ListParagraph"/>
              <w:numPr>
                <w:ilvl w:val="0"/>
                <w:numId w:val="356"/>
              </w:numPr>
              <w:spacing w:after="0" w:line="240" w:lineRule="auto"/>
              <w:rPr>
                <w:rFonts w:ascii="Arial" w:hAnsi="Arial" w:cs="Arial"/>
                <w:sz w:val="24"/>
                <w:szCs w:val="24"/>
              </w:rPr>
            </w:pPr>
            <w:proofErr w:type="spellStart"/>
            <w:r w:rsidRPr="00FA3F9C">
              <w:rPr>
                <w:rFonts w:ascii="Arial" w:hAnsi="Arial" w:cs="Arial"/>
                <w:sz w:val="24"/>
                <w:szCs w:val="24"/>
                <w:lang w:val="es-ES"/>
              </w:rPr>
              <w:t>Opdivo</w:t>
            </w:r>
            <w:proofErr w:type="spellEnd"/>
            <w:r w:rsidRPr="00FA3F9C">
              <w:rPr>
                <w:rFonts w:ascii="Arial" w:hAnsi="Arial" w:cs="Arial"/>
                <w:sz w:val="24"/>
                <w:szCs w:val="24"/>
                <w:lang w:val="es-ES"/>
              </w:rPr>
              <w:t xml:space="preserve"> PI. </w:t>
            </w:r>
            <w:hyperlink r:id="rId291" w:history="1">
              <w:r w:rsidRPr="00FA3F9C">
                <w:rPr>
                  <w:rStyle w:val="Hyperlink"/>
                  <w:rFonts w:ascii="Arial" w:hAnsi="Arial" w:cs="Arial"/>
                  <w:sz w:val="24"/>
                  <w:szCs w:val="24"/>
                  <w:lang w:val="es-ES"/>
                </w:rPr>
                <w:t>https://packageinserts.bms.com/pi/pi_opdivo.pdf</w:t>
              </w:r>
            </w:hyperlink>
            <w:r w:rsidRPr="00FA3F9C">
              <w:rPr>
                <w:rFonts w:ascii="Arial" w:hAnsi="Arial" w:cs="Arial"/>
                <w:sz w:val="24"/>
                <w:szCs w:val="24"/>
                <w:lang w:val="es-ES"/>
              </w:rPr>
              <w:t xml:space="preserve">. </w:t>
            </w:r>
            <w:r w:rsidRPr="00FA3F9C">
              <w:rPr>
                <w:rFonts w:ascii="Arial" w:hAnsi="Arial" w:cs="Arial"/>
                <w:sz w:val="24"/>
                <w:szCs w:val="24"/>
              </w:rPr>
              <w:t>Accessed 7/9/2020.</w:t>
            </w:r>
          </w:p>
          <w:p w14:paraId="4C6FA9EE" w14:textId="77777777" w:rsidR="009B5AA5" w:rsidRPr="00FA3F9C" w:rsidRDefault="009B5AA5" w:rsidP="00FC1E85">
            <w:pPr>
              <w:pStyle w:val="ListParagraph"/>
              <w:numPr>
                <w:ilvl w:val="0"/>
                <w:numId w:val="356"/>
              </w:numPr>
              <w:spacing w:after="0" w:line="240" w:lineRule="auto"/>
              <w:rPr>
                <w:rFonts w:ascii="Arial" w:hAnsi="Arial" w:cs="Arial"/>
                <w:sz w:val="24"/>
                <w:szCs w:val="24"/>
              </w:rPr>
            </w:pPr>
            <w:r w:rsidRPr="00FA3F9C">
              <w:rPr>
                <w:rFonts w:ascii="Arial" w:hAnsi="Arial" w:cs="Arial"/>
                <w:sz w:val="24"/>
                <w:szCs w:val="24"/>
              </w:rPr>
              <w:t>Reck M et al. Nivolumab (NIVO) + ipilimumab (IPI) + 2 cycles of platinum-doublet chemotherapy (chemo) vs 4 cycles chemo as first-line (1L) treatment (</w:t>
            </w:r>
            <w:proofErr w:type="spellStart"/>
            <w:r w:rsidRPr="00FA3F9C">
              <w:rPr>
                <w:rFonts w:ascii="Arial" w:hAnsi="Arial" w:cs="Arial"/>
                <w:sz w:val="24"/>
                <w:szCs w:val="24"/>
              </w:rPr>
              <w:t>tx</w:t>
            </w:r>
            <w:proofErr w:type="spellEnd"/>
            <w:r w:rsidRPr="00FA3F9C">
              <w:rPr>
                <w:rFonts w:ascii="Arial" w:hAnsi="Arial" w:cs="Arial"/>
                <w:sz w:val="24"/>
                <w:szCs w:val="24"/>
              </w:rPr>
              <w:t xml:space="preserve">) for stage IV/recurrent non-small cell lung cancer (NSCLC): </w:t>
            </w:r>
            <w:proofErr w:type="spellStart"/>
            <w:r w:rsidRPr="00FA3F9C">
              <w:rPr>
                <w:rFonts w:ascii="Arial" w:hAnsi="Arial" w:cs="Arial"/>
                <w:sz w:val="24"/>
                <w:szCs w:val="24"/>
              </w:rPr>
              <w:t>CheckMate</w:t>
            </w:r>
            <w:proofErr w:type="spellEnd"/>
            <w:r w:rsidRPr="00FA3F9C">
              <w:rPr>
                <w:rFonts w:ascii="Arial" w:hAnsi="Arial" w:cs="Arial"/>
                <w:sz w:val="24"/>
                <w:szCs w:val="24"/>
              </w:rPr>
              <w:t xml:space="preserve"> 9LA. </w:t>
            </w:r>
            <w:hyperlink r:id="rId292" w:history="1">
              <w:r w:rsidRPr="00FA3F9C">
                <w:rPr>
                  <w:rStyle w:val="Hyperlink"/>
                  <w:rFonts w:ascii="Arial" w:hAnsi="Arial" w:cs="Arial"/>
                  <w:sz w:val="24"/>
                  <w:szCs w:val="24"/>
                </w:rPr>
                <w:t>https://meetinglibrary.asco.org/record/184688/abstract</w:t>
              </w:r>
            </w:hyperlink>
            <w:r w:rsidRPr="00FA3F9C">
              <w:rPr>
                <w:rFonts w:ascii="Arial" w:hAnsi="Arial" w:cs="Arial"/>
                <w:sz w:val="24"/>
                <w:szCs w:val="24"/>
              </w:rPr>
              <w:t>. NCT03215706</w:t>
            </w:r>
          </w:p>
        </w:tc>
      </w:tr>
    </w:tbl>
    <w:p w14:paraId="38231345" w14:textId="77777777" w:rsidR="009B5AA5" w:rsidRPr="00FA3F9C" w:rsidRDefault="009B5AA5" w:rsidP="002C32D1">
      <w:pPr>
        <w:rPr>
          <w:rFonts w:ascii="Arial" w:hAnsi="Arial" w:cs="Arial"/>
          <w:b/>
          <w:sz w:val="24"/>
          <w:szCs w:val="24"/>
        </w:rPr>
      </w:pPr>
    </w:p>
    <w:tbl>
      <w:tblPr>
        <w:tblStyle w:val="TableGrid"/>
        <w:tblW w:w="0" w:type="auto"/>
        <w:tblLook w:val="04A0" w:firstRow="1" w:lastRow="0" w:firstColumn="1" w:lastColumn="0" w:noHBand="0" w:noVBand="1"/>
      </w:tblPr>
      <w:tblGrid>
        <w:gridCol w:w="8928"/>
        <w:gridCol w:w="2088"/>
      </w:tblGrid>
      <w:tr w:rsidR="009B5AA5" w:rsidRPr="00FA3F9C" w14:paraId="03DA7036" w14:textId="77777777" w:rsidTr="00C7144B">
        <w:tc>
          <w:tcPr>
            <w:tcW w:w="8928" w:type="dxa"/>
            <w:shd w:val="clear" w:color="auto" w:fill="000000"/>
          </w:tcPr>
          <w:p w14:paraId="34A7033A" w14:textId="77777777" w:rsidR="009B5AA5" w:rsidRPr="00FA3F9C" w:rsidRDefault="009B5AA5" w:rsidP="00C7144B">
            <w:pPr>
              <w:rPr>
                <w:rFonts w:ascii="Arial" w:hAnsi="Arial" w:cs="Arial"/>
                <w:b/>
                <w:sz w:val="24"/>
                <w:szCs w:val="24"/>
                <w:u w:val="single"/>
              </w:rPr>
            </w:pPr>
            <w:bookmarkStart w:id="227" w:name="mesothelioma"/>
            <w:r w:rsidRPr="00FA3F9C">
              <w:rPr>
                <w:rFonts w:ascii="Arial" w:hAnsi="Arial" w:cs="Arial"/>
                <w:b/>
                <w:sz w:val="24"/>
                <w:szCs w:val="24"/>
                <w:u w:val="single"/>
              </w:rPr>
              <w:t>Malignant Pleural Mesothelioma</w:t>
            </w:r>
            <w:bookmarkEnd w:id="227"/>
          </w:p>
        </w:tc>
        <w:tc>
          <w:tcPr>
            <w:tcW w:w="2088" w:type="dxa"/>
            <w:shd w:val="clear" w:color="auto" w:fill="000000"/>
          </w:tcPr>
          <w:p w14:paraId="063394A7" w14:textId="77777777" w:rsidR="009B5AA5" w:rsidRPr="00FA3F9C" w:rsidRDefault="009B5AA5" w:rsidP="00C7144B">
            <w:pPr>
              <w:jc w:val="center"/>
              <w:rPr>
                <w:rFonts w:ascii="Arial" w:hAnsi="Arial" w:cs="Arial"/>
                <w:b/>
                <w:sz w:val="24"/>
                <w:szCs w:val="24"/>
                <w:u w:val="single"/>
              </w:rPr>
            </w:pPr>
          </w:p>
        </w:tc>
      </w:tr>
      <w:tr w:rsidR="009B5AA5" w:rsidRPr="00FA3F9C" w14:paraId="62F4F942" w14:textId="77777777" w:rsidTr="00234C07">
        <w:trPr>
          <w:trHeight w:val="170"/>
        </w:trPr>
        <w:tc>
          <w:tcPr>
            <w:tcW w:w="11016" w:type="dxa"/>
            <w:gridSpan w:val="2"/>
          </w:tcPr>
          <w:p w14:paraId="6E0F7B2A" w14:textId="77777777" w:rsidR="009B5AA5" w:rsidRPr="00FA3F9C" w:rsidRDefault="009B5AA5" w:rsidP="008C0625">
            <w:pPr>
              <w:rPr>
                <w:rFonts w:ascii="Arial" w:hAnsi="Arial" w:cs="Arial"/>
                <w:sz w:val="24"/>
                <w:szCs w:val="24"/>
              </w:rPr>
            </w:pPr>
            <w:r w:rsidRPr="00FA3F9C">
              <w:rPr>
                <w:rFonts w:ascii="Arial" w:hAnsi="Arial" w:cs="Arial"/>
                <w:sz w:val="24"/>
                <w:szCs w:val="24"/>
              </w:rPr>
              <w:t>1. Diagnosis of unresectable malignant pleural mesothelioma</w:t>
            </w:r>
          </w:p>
        </w:tc>
      </w:tr>
      <w:tr w:rsidR="009B5AA5" w:rsidRPr="00FA3F9C" w14:paraId="2CBC9325" w14:textId="77777777" w:rsidTr="008C0625">
        <w:trPr>
          <w:trHeight w:val="71"/>
        </w:trPr>
        <w:tc>
          <w:tcPr>
            <w:tcW w:w="11016" w:type="dxa"/>
            <w:gridSpan w:val="2"/>
          </w:tcPr>
          <w:p w14:paraId="6B0B54AE" w14:textId="77777777" w:rsidR="009B5AA5" w:rsidRPr="00FA3F9C" w:rsidRDefault="009B5AA5" w:rsidP="008C0625">
            <w:pPr>
              <w:rPr>
                <w:rFonts w:ascii="Arial" w:hAnsi="Arial" w:cs="Arial"/>
                <w:sz w:val="24"/>
                <w:szCs w:val="24"/>
              </w:rPr>
            </w:pPr>
            <w:r w:rsidRPr="00FA3F9C">
              <w:rPr>
                <w:rFonts w:ascii="Arial" w:hAnsi="Arial" w:cs="Arial"/>
                <w:sz w:val="24"/>
                <w:szCs w:val="24"/>
              </w:rPr>
              <w:t>2. No prior therapy for unresectable malignant pleural mesothelioma</w:t>
            </w:r>
          </w:p>
        </w:tc>
      </w:tr>
      <w:tr w:rsidR="009B5AA5" w:rsidRPr="00FA3F9C" w14:paraId="2E1EDD13" w14:textId="77777777" w:rsidTr="008C0625">
        <w:trPr>
          <w:trHeight w:val="251"/>
        </w:trPr>
        <w:tc>
          <w:tcPr>
            <w:tcW w:w="11016" w:type="dxa"/>
            <w:gridSpan w:val="2"/>
          </w:tcPr>
          <w:p w14:paraId="5965B6B3" w14:textId="77777777" w:rsidR="009B5AA5" w:rsidRPr="00FA3F9C" w:rsidRDefault="009B5AA5" w:rsidP="00234C07">
            <w:pPr>
              <w:rPr>
                <w:rFonts w:ascii="Arial" w:hAnsi="Arial" w:cs="Arial"/>
                <w:sz w:val="24"/>
                <w:szCs w:val="24"/>
              </w:rPr>
            </w:pPr>
            <w:r w:rsidRPr="00FA3F9C">
              <w:rPr>
                <w:rFonts w:ascii="Arial" w:hAnsi="Arial" w:cs="Arial"/>
                <w:sz w:val="24"/>
                <w:szCs w:val="24"/>
              </w:rPr>
              <w:t>3. Nivolumab will be used in combination with ipilimumab</w:t>
            </w:r>
          </w:p>
        </w:tc>
      </w:tr>
      <w:tr w:rsidR="009B5AA5" w:rsidRPr="00FA3F9C" w14:paraId="26403E9D" w14:textId="77777777" w:rsidTr="008C0625">
        <w:trPr>
          <w:trHeight w:val="251"/>
        </w:trPr>
        <w:tc>
          <w:tcPr>
            <w:tcW w:w="11016" w:type="dxa"/>
            <w:gridSpan w:val="2"/>
          </w:tcPr>
          <w:p w14:paraId="7113F8E4" w14:textId="77777777" w:rsidR="009B5AA5" w:rsidRPr="00FA3F9C" w:rsidRDefault="009B5AA5" w:rsidP="008C0625">
            <w:pPr>
              <w:rPr>
                <w:rFonts w:ascii="Arial" w:hAnsi="Arial" w:cs="Arial"/>
                <w:sz w:val="24"/>
                <w:szCs w:val="24"/>
              </w:rPr>
            </w:pPr>
            <w:r w:rsidRPr="00FA3F9C">
              <w:rPr>
                <w:rFonts w:ascii="Arial" w:hAnsi="Arial" w:cs="Arial"/>
                <w:sz w:val="24"/>
                <w:szCs w:val="24"/>
              </w:rPr>
              <w:t>4. No active autoimmune disease, interstitial lung disease, or systemic immunosuppression</w:t>
            </w:r>
          </w:p>
        </w:tc>
      </w:tr>
      <w:tr w:rsidR="009B5AA5" w:rsidRPr="00FA3F9C" w14:paraId="1083AE9C" w14:textId="77777777" w:rsidTr="008C0625">
        <w:trPr>
          <w:trHeight w:val="251"/>
        </w:trPr>
        <w:tc>
          <w:tcPr>
            <w:tcW w:w="11016" w:type="dxa"/>
            <w:gridSpan w:val="2"/>
          </w:tcPr>
          <w:p w14:paraId="09AEC336" w14:textId="77777777" w:rsidR="009B5AA5" w:rsidRPr="00FA3F9C" w:rsidRDefault="009B5AA5" w:rsidP="00C7144B">
            <w:pPr>
              <w:rPr>
                <w:rFonts w:ascii="Arial" w:hAnsi="Arial" w:cs="Arial"/>
                <w:sz w:val="24"/>
                <w:szCs w:val="24"/>
              </w:rPr>
            </w:pPr>
            <w:r w:rsidRPr="00FA3F9C">
              <w:rPr>
                <w:rFonts w:ascii="Arial" w:hAnsi="Arial" w:cs="Arial"/>
                <w:sz w:val="24"/>
                <w:szCs w:val="24"/>
              </w:rPr>
              <w:t>5. No active, untreated brain metastasis</w:t>
            </w:r>
          </w:p>
        </w:tc>
      </w:tr>
      <w:tr w:rsidR="009B5AA5" w:rsidRPr="00FA3F9C" w14:paraId="53B19D75" w14:textId="77777777" w:rsidTr="008C0625">
        <w:trPr>
          <w:trHeight w:val="233"/>
        </w:trPr>
        <w:tc>
          <w:tcPr>
            <w:tcW w:w="11016" w:type="dxa"/>
            <w:gridSpan w:val="2"/>
          </w:tcPr>
          <w:p w14:paraId="26CE4ECC" w14:textId="77777777" w:rsidR="009B5AA5" w:rsidRPr="00FA3F9C" w:rsidRDefault="009B5AA5" w:rsidP="00C7144B">
            <w:pPr>
              <w:rPr>
                <w:rFonts w:ascii="Arial" w:hAnsi="Arial" w:cs="Arial"/>
                <w:sz w:val="24"/>
                <w:szCs w:val="24"/>
              </w:rPr>
            </w:pPr>
            <w:r w:rsidRPr="00FA3F9C">
              <w:rPr>
                <w:rFonts w:ascii="Arial" w:hAnsi="Arial" w:cs="Arial"/>
                <w:sz w:val="24"/>
                <w:szCs w:val="24"/>
              </w:rPr>
              <w:t>6. ECOG performance status of 0 or 1</w:t>
            </w:r>
          </w:p>
        </w:tc>
      </w:tr>
      <w:tr w:rsidR="009B5AA5" w:rsidRPr="00FA3F9C" w14:paraId="73EFCAE9" w14:textId="77777777" w:rsidTr="00C7144B">
        <w:trPr>
          <w:trHeight w:val="440"/>
        </w:trPr>
        <w:tc>
          <w:tcPr>
            <w:tcW w:w="11016" w:type="dxa"/>
            <w:gridSpan w:val="2"/>
            <w:shd w:val="clear" w:color="auto" w:fill="F2F2F2" w:themeFill="background1" w:themeFillShade="F2"/>
          </w:tcPr>
          <w:p w14:paraId="5FF277EE" w14:textId="77777777" w:rsidR="009B5AA5" w:rsidRPr="00FA3F9C" w:rsidRDefault="009B5AA5" w:rsidP="00C7144B">
            <w:pPr>
              <w:rPr>
                <w:rFonts w:ascii="Arial" w:hAnsi="Arial" w:cs="Arial"/>
                <w:sz w:val="24"/>
                <w:szCs w:val="24"/>
              </w:rPr>
            </w:pPr>
            <w:r w:rsidRPr="00FA3F9C">
              <w:rPr>
                <w:rFonts w:ascii="Arial" w:hAnsi="Arial" w:cs="Arial"/>
                <w:sz w:val="24"/>
                <w:szCs w:val="24"/>
              </w:rPr>
              <w:t>If all criteria are met, approve for 12 months. May renew approval if no progression of disease.</w:t>
            </w:r>
          </w:p>
        </w:tc>
      </w:tr>
      <w:tr w:rsidR="009B5AA5" w:rsidRPr="00FA3F9C" w14:paraId="0DE0C274" w14:textId="77777777" w:rsidTr="00C7144B">
        <w:tc>
          <w:tcPr>
            <w:tcW w:w="11016" w:type="dxa"/>
            <w:gridSpan w:val="2"/>
            <w:shd w:val="clear" w:color="auto" w:fill="D9D9D9" w:themeFill="background1" w:themeFillShade="D9"/>
          </w:tcPr>
          <w:p w14:paraId="51484A99" w14:textId="77777777" w:rsidR="009B5AA5" w:rsidRPr="00FA3F9C" w:rsidRDefault="009B5AA5" w:rsidP="00C7144B">
            <w:pPr>
              <w:tabs>
                <w:tab w:val="left" w:pos="947"/>
              </w:tabs>
              <w:rPr>
                <w:rFonts w:ascii="Arial" w:hAnsi="Arial" w:cs="Arial"/>
                <w:sz w:val="24"/>
                <w:szCs w:val="24"/>
              </w:rPr>
            </w:pPr>
            <w:r w:rsidRPr="00FA3F9C">
              <w:rPr>
                <w:rFonts w:ascii="Arial" w:hAnsi="Arial" w:cs="Arial"/>
                <w:sz w:val="24"/>
                <w:szCs w:val="24"/>
              </w:rPr>
              <w:t xml:space="preserve">Note: </w:t>
            </w:r>
          </w:p>
          <w:p w14:paraId="5D62B675" w14:textId="77777777" w:rsidR="009B5AA5" w:rsidRPr="00FA3F9C" w:rsidRDefault="009B5AA5" w:rsidP="009B5AA5">
            <w:pPr>
              <w:pStyle w:val="ListParagraph"/>
              <w:numPr>
                <w:ilvl w:val="0"/>
                <w:numId w:val="104"/>
              </w:numPr>
              <w:tabs>
                <w:tab w:val="left" w:pos="947"/>
              </w:tabs>
              <w:rPr>
                <w:rFonts w:ascii="Arial" w:hAnsi="Arial" w:cs="Arial"/>
                <w:sz w:val="24"/>
                <w:szCs w:val="24"/>
              </w:rPr>
            </w:pPr>
            <w:r w:rsidRPr="00FA3F9C">
              <w:rPr>
                <w:rFonts w:ascii="Arial" w:hAnsi="Arial" w:cs="Arial"/>
                <w:sz w:val="24"/>
                <w:szCs w:val="24"/>
              </w:rPr>
              <w:t xml:space="preserve">Ipilimumab + Nivolumab was compared to standard, platinum-based chemotherapy in the above patient population. Ipilimumab/Nivolumab improved overall survival compared to chemotherapy (median 18.1 </w:t>
            </w:r>
            <w:proofErr w:type="spellStart"/>
            <w:r w:rsidRPr="00FA3F9C">
              <w:rPr>
                <w:rFonts w:ascii="Arial" w:hAnsi="Arial" w:cs="Arial"/>
                <w:sz w:val="24"/>
                <w:szCs w:val="24"/>
              </w:rPr>
              <w:t>mo</w:t>
            </w:r>
            <w:proofErr w:type="spellEnd"/>
            <w:r w:rsidRPr="00FA3F9C">
              <w:rPr>
                <w:rFonts w:ascii="Arial" w:hAnsi="Arial" w:cs="Arial"/>
                <w:sz w:val="24"/>
                <w:szCs w:val="24"/>
              </w:rPr>
              <w:t xml:space="preserve"> vs 14.1 </w:t>
            </w:r>
            <w:proofErr w:type="spellStart"/>
            <w:proofErr w:type="gramStart"/>
            <w:r w:rsidRPr="00FA3F9C">
              <w:rPr>
                <w:rFonts w:ascii="Arial" w:hAnsi="Arial" w:cs="Arial"/>
                <w:sz w:val="24"/>
                <w:szCs w:val="24"/>
              </w:rPr>
              <w:t>mo</w:t>
            </w:r>
            <w:proofErr w:type="spellEnd"/>
            <w:r w:rsidRPr="00FA3F9C">
              <w:rPr>
                <w:rFonts w:ascii="Arial" w:hAnsi="Arial" w:cs="Arial"/>
                <w:sz w:val="24"/>
                <w:szCs w:val="24"/>
              </w:rPr>
              <w:t>;</w:t>
            </w:r>
            <w:proofErr w:type="gramEnd"/>
            <w:r w:rsidRPr="00FA3F9C">
              <w:rPr>
                <w:rFonts w:ascii="Arial" w:hAnsi="Arial" w:cs="Arial"/>
                <w:sz w:val="24"/>
                <w:szCs w:val="24"/>
              </w:rPr>
              <w:t xml:space="preserve"> HR 0.74 95% CI 0.61-0.89). 2-year overall survival rates were 41% in the nivolumab plus ipilimumab group and 27% in the chemotherapy group. 3-year OS rates were 23% versus 15%, respectively. </w:t>
            </w:r>
          </w:p>
          <w:p w14:paraId="2EFE8F68" w14:textId="77777777" w:rsidR="009B5AA5" w:rsidRPr="00FA3F9C" w:rsidRDefault="009B5AA5" w:rsidP="00C7144B">
            <w:pPr>
              <w:tabs>
                <w:tab w:val="left" w:pos="947"/>
              </w:tabs>
              <w:rPr>
                <w:rFonts w:ascii="Arial" w:hAnsi="Arial" w:cs="Arial"/>
                <w:sz w:val="24"/>
                <w:szCs w:val="24"/>
              </w:rPr>
            </w:pPr>
          </w:p>
          <w:p w14:paraId="76D047A5" w14:textId="77777777" w:rsidR="009B5AA5" w:rsidRPr="00FA3F9C" w:rsidRDefault="009B5AA5" w:rsidP="00C7144B">
            <w:pPr>
              <w:tabs>
                <w:tab w:val="left" w:pos="947"/>
              </w:tabs>
              <w:rPr>
                <w:rFonts w:ascii="Arial" w:hAnsi="Arial" w:cs="Arial"/>
                <w:sz w:val="24"/>
                <w:szCs w:val="24"/>
              </w:rPr>
            </w:pPr>
            <w:r w:rsidRPr="00FA3F9C">
              <w:rPr>
                <w:rFonts w:ascii="Arial" w:hAnsi="Arial" w:cs="Arial"/>
                <w:sz w:val="24"/>
                <w:szCs w:val="24"/>
              </w:rPr>
              <w:t>References:</w:t>
            </w:r>
          </w:p>
          <w:p w14:paraId="2F596DFE" w14:textId="77777777" w:rsidR="009B5AA5" w:rsidRPr="00FA3F9C" w:rsidRDefault="009B5AA5" w:rsidP="009B5AA5">
            <w:pPr>
              <w:pStyle w:val="ListParagraph"/>
              <w:numPr>
                <w:ilvl w:val="0"/>
                <w:numId w:val="106"/>
              </w:numPr>
              <w:tabs>
                <w:tab w:val="left" w:pos="947"/>
              </w:tabs>
              <w:ind w:left="332" w:hanging="332"/>
              <w:rPr>
                <w:rFonts w:ascii="Arial" w:hAnsi="Arial" w:cs="Arial"/>
                <w:sz w:val="24"/>
                <w:szCs w:val="24"/>
              </w:rPr>
            </w:pPr>
            <w:proofErr w:type="spellStart"/>
            <w:r w:rsidRPr="00FA3F9C">
              <w:rPr>
                <w:rFonts w:ascii="Arial" w:hAnsi="Arial" w:cs="Arial"/>
                <w:sz w:val="24"/>
                <w:szCs w:val="24"/>
              </w:rPr>
              <w:t>Opdivo</w:t>
            </w:r>
            <w:proofErr w:type="spellEnd"/>
            <w:r w:rsidRPr="00FA3F9C">
              <w:rPr>
                <w:rFonts w:ascii="Arial" w:hAnsi="Arial" w:cs="Arial"/>
                <w:sz w:val="24"/>
                <w:szCs w:val="24"/>
              </w:rPr>
              <w:t xml:space="preserve"> package insert</w:t>
            </w:r>
          </w:p>
          <w:p w14:paraId="14DD763A" w14:textId="77777777" w:rsidR="009B5AA5" w:rsidRPr="00FA3F9C" w:rsidRDefault="009B5AA5" w:rsidP="009B5AA5">
            <w:pPr>
              <w:pStyle w:val="ListParagraph"/>
              <w:numPr>
                <w:ilvl w:val="0"/>
                <w:numId w:val="106"/>
              </w:numPr>
              <w:tabs>
                <w:tab w:val="left" w:pos="947"/>
              </w:tabs>
              <w:ind w:left="332" w:hanging="332"/>
              <w:rPr>
                <w:rFonts w:ascii="Arial" w:hAnsi="Arial" w:cs="Arial"/>
                <w:sz w:val="24"/>
                <w:szCs w:val="24"/>
              </w:rPr>
            </w:pPr>
            <w:r w:rsidRPr="00FA3F9C">
              <w:rPr>
                <w:rFonts w:ascii="Arial" w:hAnsi="Arial" w:cs="Arial"/>
                <w:sz w:val="24"/>
                <w:szCs w:val="24"/>
              </w:rPr>
              <w:t xml:space="preserve">Baas P, </w:t>
            </w:r>
            <w:proofErr w:type="spellStart"/>
            <w:r w:rsidRPr="00FA3F9C">
              <w:rPr>
                <w:rFonts w:ascii="Arial" w:hAnsi="Arial" w:cs="Arial"/>
                <w:sz w:val="24"/>
                <w:szCs w:val="24"/>
              </w:rPr>
              <w:t>Scherpereel</w:t>
            </w:r>
            <w:proofErr w:type="spellEnd"/>
            <w:r w:rsidRPr="00FA3F9C">
              <w:rPr>
                <w:rFonts w:ascii="Arial" w:hAnsi="Arial" w:cs="Arial"/>
                <w:sz w:val="24"/>
                <w:szCs w:val="24"/>
              </w:rPr>
              <w:t xml:space="preserve"> A, Nowak AK, et al. First-line nivolumab plus ipilimumab in unresectable malignant pleural mesothelioma (</w:t>
            </w:r>
            <w:proofErr w:type="spellStart"/>
            <w:r w:rsidRPr="00FA3F9C">
              <w:rPr>
                <w:rFonts w:ascii="Arial" w:hAnsi="Arial" w:cs="Arial"/>
                <w:sz w:val="24"/>
                <w:szCs w:val="24"/>
              </w:rPr>
              <w:t>CheckMate</w:t>
            </w:r>
            <w:proofErr w:type="spellEnd"/>
            <w:r w:rsidRPr="00FA3F9C">
              <w:rPr>
                <w:rFonts w:ascii="Arial" w:hAnsi="Arial" w:cs="Arial"/>
                <w:sz w:val="24"/>
                <w:szCs w:val="24"/>
              </w:rPr>
              <w:t xml:space="preserve"> 743): a </w:t>
            </w:r>
            <w:proofErr w:type="spellStart"/>
            <w:r w:rsidRPr="00FA3F9C">
              <w:rPr>
                <w:rFonts w:ascii="Arial" w:hAnsi="Arial" w:cs="Arial"/>
                <w:sz w:val="24"/>
                <w:szCs w:val="24"/>
              </w:rPr>
              <w:t>multicentre</w:t>
            </w:r>
            <w:proofErr w:type="spellEnd"/>
            <w:r w:rsidRPr="00FA3F9C">
              <w:rPr>
                <w:rFonts w:ascii="Arial" w:hAnsi="Arial" w:cs="Arial"/>
                <w:sz w:val="24"/>
                <w:szCs w:val="24"/>
              </w:rPr>
              <w:t xml:space="preserve">, </w:t>
            </w:r>
            <w:proofErr w:type="spellStart"/>
            <w:r w:rsidRPr="00FA3F9C">
              <w:rPr>
                <w:rFonts w:ascii="Arial" w:hAnsi="Arial" w:cs="Arial"/>
                <w:sz w:val="24"/>
                <w:szCs w:val="24"/>
              </w:rPr>
              <w:t>randomised</w:t>
            </w:r>
            <w:proofErr w:type="spellEnd"/>
            <w:r w:rsidRPr="00FA3F9C">
              <w:rPr>
                <w:rFonts w:ascii="Arial" w:hAnsi="Arial" w:cs="Arial"/>
                <w:sz w:val="24"/>
                <w:szCs w:val="24"/>
              </w:rPr>
              <w:t>, open-label, phase 3 trial [published correction appears in Lancet. 2021 Feb 20;397(10275):670]. Lancet. 2021;397(10272):375-386. doi:10.1016/S0140-6736(20)32714-8</w:t>
            </w:r>
          </w:p>
          <w:p w14:paraId="0F0D5774" w14:textId="77777777" w:rsidR="009B5AA5" w:rsidRPr="00FA3F9C" w:rsidRDefault="009B5AA5" w:rsidP="009B5AA5">
            <w:pPr>
              <w:pStyle w:val="ListParagraph"/>
              <w:numPr>
                <w:ilvl w:val="0"/>
                <w:numId w:val="106"/>
              </w:numPr>
              <w:tabs>
                <w:tab w:val="left" w:pos="947"/>
              </w:tabs>
              <w:ind w:left="332" w:hanging="332"/>
              <w:rPr>
                <w:rFonts w:ascii="Arial" w:hAnsi="Arial" w:cs="Arial"/>
                <w:sz w:val="24"/>
                <w:szCs w:val="24"/>
              </w:rPr>
            </w:pPr>
            <w:r w:rsidRPr="00FA3F9C">
              <w:rPr>
                <w:rFonts w:ascii="Arial" w:hAnsi="Arial" w:cs="Arial"/>
                <w:sz w:val="24"/>
                <w:szCs w:val="24"/>
              </w:rPr>
              <w:lastRenderedPageBreak/>
              <w:t xml:space="preserve">Peters S, </w:t>
            </w:r>
            <w:proofErr w:type="spellStart"/>
            <w:r w:rsidRPr="00FA3F9C">
              <w:rPr>
                <w:rFonts w:ascii="Arial" w:hAnsi="Arial" w:cs="Arial"/>
                <w:sz w:val="24"/>
                <w:szCs w:val="24"/>
              </w:rPr>
              <w:t>Scherpereel</w:t>
            </w:r>
            <w:proofErr w:type="spellEnd"/>
            <w:r w:rsidRPr="00FA3F9C">
              <w:rPr>
                <w:rFonts w:ascii="Arial" w:hAnsi="Arial" w:cs="Arial"/>
                <w:sz w:val="24"/>
                <w:szCs w:val="24"/>
              </w:rPr>
              <w:t xml:space="preserve"> A, Cornelissen R, et al. First-line nivolumab plus ipilimumab versus chemotherapy in patients with unresectable malignant pleural mesothelioma: 3-year outcomes from </w:t>
            </w:r>
            <w:proofErr w:type="spellStart"/>
            <w:r w:rsidRPr="00FA3F9C">
              <w:rPr>
                <w:rFonts w:ascii="Arial" w:hAnsi="Arial" w:cs="Arial"/>
                <w:sz w:val="24"/>
                <w:szCs w:val="24"/>
              </w:rPr>
              <w:t>CheckMate</w:t>
            </w:r>
            <w:proofErr w:type="spellEnd"/>
            <w:r w:rsidRPr="00FA3F9C">
              <w:rPr>
                <w:rFonts w:ascii="Arial" w:hAnsi="Arial" w:cs="Arial"/>
                <w:sz w:val="24"/>
                <w:szCs w:val="24"/>
              </w:rPr>
              <w:t xml:space="preserve"> 743. Ann Oncol. 2022;33(5):488-499. doi:10.1016/j.annonc.2022.01.074</w:t>
            </w:r>
          </w:p>
        </w:tc>
      </w:tr>
    </w:tbl>
    <w:p w14:paraId="0290904B" w14:textId="77777777" w:rsidR="009B5AA5" w:rsidRPr="00FA3F9C" w:rsidRDefault="009B5AA5" w:rsidP="002C32D1">
      <w:pPr>
        <w:rPr>
          <w:rFonts w:ascii="Arial" w:hAnsi="Arial" w:cs="Arial"/>
          <w:b/>
          <w:sz w:val="24"/>
          <w:szCs w:val="24"/>
        </w:rPr>
      </w:pPr>
    </w:p>
    <w:p w14:paraId="7EFC50E7" w14:textId="77777777" w:rsidR="009B5AA5" w:rsidRPr="00FA3F9C" w:rsidRDefault="009B5AA5">
      <w:pPr>
        <w:rPr>
          <w:rFonts w:ascii="Arial" w:hAnsi="Arial" w:cs="Arial"/>
          <w:sz w:val="24"/>
          <w:szCs w:val="24"/>
        </w:rPr>
      </w:pPr>
      <w:r w:rsidRPr="00FA3F9C">
        <w:rPr>
          <w:rFonts w:ascii="Arial" w:hAnsi="Arial" w:cs="Arial"/>
          <w:sz w:val="24"/>
          <w:szCs w:val="24"/>
        </w:rPr>
        <w:br w:type="page"/>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68"/>
      </w:tblGrid>
      <w:tr w:rsidR="009B5AA5" w:rsidRPr="00FA3F9C" w14:paraId="381C6297" w14:textId="77777777" w:rsidTr="00404253">
        <w:tc>
          <w:tcPr>
            <w:tcW w:w="10368" w:type="dxa"/>
            <w:tcBorders>
              <w:bottom w:val="single" w:sz="4" w:space="0" w:color="auto"/>
            </w:tcBorders>
            <w:shd w:val="clear" w:color="auto" w:fill="000000"/>
          </w:tcPr>
          <w:p w14:paraId="30B8AEF3" w14:textId="77777777" w:rsidR="009B5AA5" w:rsidRPr="00FA3F9C" w:rsidRDefault="009B5AA5" w:rsidP="00404253">
            <w:pPr>
              <w:spacing w:after="0"/>
              <w:rPr>
                <w:rFonts w:ascii="Arial" w:hAnsi="Arial" w:cs="Arial"/>
                <w:b/>
                <w:sz w:val="24"/>
                <w:szCs w:val="24"/>
                <w:u w:val="single"/>
              </w:rPr>
            </w:pPr>
            <w:r w:rsidRPr="00FA3F9C">
              <w:rPr>
                <w:rFonts w:ascii="Arial" w:hAnsi="Arial" w:cs="Arial"/>
                <w:sz w:val="24"/>
                <w:szCs w:val="24"/>
              </w:rPr>
              <w:lastRenderedPageBreak/>
              <w:br w:type="page"/>
            </w:r>
            <w:r w:rsidRPr="00FA3F9C">
              <w:rPr>
                <w:rFonts w:ascii="Arial" w:hAnsi="Arial" w:cs="Arial"/>
                <w:b/>
                <w:sz w:val="24"/>
                <w:szCs w:val="24"/>
                <w:u w:val="single"/>
              </w:rPr>
              <w:t>Renal Cell Carcinoma (RCC)</w:t>
            </w:r>
            <w:bookmarkStart w:id="228" w:name="RCC"/>
            <w:bookmarkEnd w:id="228"/>
          </w:p>
        </w:tc>
      </w:tr>
      <w:tr w:rsidR="009B5AA5" w:rsidRPr="00FA3F9C" w14:paraId="5A5CB2C2" w14:textId="77777777" w:rsidTr="00404253">
        <w:trPr>
          <w:trHeight w:val="377"/>
        </w:trPr>
        <w:tc>
          <w:tcPr>
            <w:tcW w:w="10368" w:type="dxa"/>
            <w:shd w:val="clear" w:color="auto" w:fill="D9D9D9" w:themeFill="background1" w:themeFillShade="D9"/>
          </w:tcPr>
          <w:p w14:paraId="33FF0B2E" w14:textId="77777777" w:rsidR="009B5AA5" w:rsidRPr="00FA3F9C" w:rsidRDefault="009B5AA5" w:rsidP="00404253">
            <w:pPr>
              <w:spacing w:after="0"/>
              <w:rPr>
                <w:rFonts w:ascii="Arial" w:hAnsi="Arial" w:cs="Arial"/>
                <w:b/>
                <w:sz w:val="24"/>
                <w:szCs w:val="24"/>
              </w:rPr>
            </w:pPr>
            <w:r w:rsidRPr="00FA3F9C">
              <w:rPr>
                <w:rFonts w:ascii="Arial" w:hAnsi="Arial" w:cs="Arial"/>
                <w:b/>
                <w:sz w:val="24"/>
                <w:szCs w:val="24"/>
              </w:rPr>
              <w:t>FIRST LINE TREATMENT CRITERIA for use with IPILIMUMAB</w:t>
            </w:r>
          </w:p>
        </w:tc>
      </w:tr>
      <w:tr w:rsidR="009B5AA5" w:rsidRPr="00FA3F9C" w14:paraId="1D4F38EF" w14:textId="77777777" w:rsidTr="00404253">
        <w:tc>
          <w:tcPr>
            <w:tcW w:w="10368" w:type="dxa"/>
          </w:tcPr>
          <w:p w14:paraId="3142AE85" w14:textId="77777777" w:rsidR="009B5AA5" w:rsidRPr="00FA3F9C" w:rsidRDefault="009B5AA5" w:rsidP="009B5AA5">
            <w:pPr>
              <w:pStyle w:val="ListParagraph"/>
              <w:numPr>
                <w:ilvl w:val="0"/>
                <w:numId w:val="279"/>
              </w:numPr>
              <w:spacing w:after="0" w:line="276" w:lineRule="auto"/>
              <w:rPr>
                <w:rFonts w:ascii="Arial" w:hAnsi="Arial" w:cs="Arial"/>
                <w:sz w:val="24"/>
                <w:szCs w:val="24"/>
              </w:rPr>
            </w:pPr>
            <w:r w:rsidRPr="00FA3F9C">
              <w:rPr>
                <w:rFonts w:ascii="Arial" w:hAnsi="Arial" w:cs="Arial"/>
                <w:sz w:val="24"/>
                <w:szCs w:val="24"/>
              </w:rPr>
              <w:t>Diagnosis of advanced RCC</w:t>
            </w:r>
          </w:p>
          <w:p w14:paraId="662DE953" w14:textId="77777777" w:rsidR="009B5AA5" w:rsidRPr="00FA3F9C" w:rsidRDefault="009B5AA5" w:rsidP="009B5AA5">
            <w:pPr>
              <w:pStyle w:val="ListParagraph"/>
              <w:numPr>
                <w:ilvl w:val="0"/>
                <w:numId w:val="279"/>
              </w:numPr>
              <w:spacing w:after="0" w:line="276" w:lineRule="auto"/>
              <w:rPr>
                <w:rFonts w:ascii="Arial" w:hAnsi="Arial" w:cs="Arial"/>
                <w:sz w:val="24"/>
                <w:szCs w:val="24"/>
              </w:rPr>
            </w:pPr>
            <w:r w:rsidRPr="00FA3F9C">
              <w:rPr>
                <w:rFonts w:ascii="Arial" w:hAnsi="Arial" w:cs="Arial"/>
                <w:sz w:val="24"/>
                <w:szCs w:val="24"/>
              </w:rPr>
              <w:t>No prior systemic therapy</w:t>
            </w:r>
          </w:p>
          <w:p w14:paraId="0A5CFA29" w14:textId="77777777" w:rsidR="009B5AA5" w:rsidRPr="00FA3F9C" w:rsidRDefault="009B5AA5" w:rsidP="009B5AA5">
            <w:pPr>
              <w:pStyle w:val="ListParagraph"/>
              <w:numPr>
                <w:ilvl w:val="0"/>
                <w:numId w:val="279"/>
              </w:numPr>
              <w:spacing w:after="0" w:line="276" w:lineRule="auto"/>
              <w:rPr>
                <w:rFonts w:ascii="Arial" w:hAnsi="Arial" w:cs="Arial"/>
                <w:sz w:val="24"/>
                <w:szCs w:val="24"/>
              </w:rPr>
            </w:pPr>
            <w:r w:rsidRPr="00FA3F9C">
              <w:rPr>
                <w:rFonts w:ascii="Arial" w:hAnsi="Arial" w:cs="Arial"/>
                <w:sz w:val="24"/>
                <w:szCs w:val="24"/>
              </w:rPr>
              <w:t>Tumor must have clear cell component</w:t>
            </w:r>
          </w:p>
          <w:p w14:paraId="2BF5A4AD" w14:textId="77777777" w:rsidR="009B5AA5" w:rsidRPr="00FA3F9C" w:rsidRDefault="009B5AA5" w:rsidP="009B5AA5">
            <w:pPr>
              <w:pStyle w:val="ListParagraph"/>
              <w:numPr>
                <w:ilvl w:val="0"/>
                <w:numId w:val="279"/>
              </w:numPr>
              <w:spacing w:after="0" w:line="276" w:lineRule="auto"/>
              <w:rPr>
                <w:rFonts w:ascii="Arial" w:hAnsi="Arial" w:cs="Arial"/>
                <w:sz w:val="24"/>
                <w:szCs w:val="24"/>
              </w:rPr>
            </w:pPr>
            <w:r w:rsidRPr="00FA3F9C">
              <w:rPr>
                <w:rFonts w:ascii="Arial" w:hAnsi="Arial" w:cs="Arial"/>
                <w:sz w:val="24"/>
                <w:szCs w:val="24"/>
              </w:rPr>
              <w:t>Nivolumab will be used in combination with ipilimumab</w:t>
            </w:r>
          </w:p>
          <w:p w14:paraId="09BB5A04" w14:textId="77777777" w:rsidR="009B5AA5" w:rsidRPr="00FA3F9C" w:rsidRDefault="009B5AA5" w:rsidP="009B5AA5">
            <w:pPr>
              <w:pStyle w:val="ListParagraph"/>
              <w:numPr>
                <w:ilvl w:val="0"/>
                <w:numId w:val="279"/>
              </w:numPr>
              <w:spacing w:after="0" w:line="276" w:lineRule="auto"/>
              <w:rPr>
                <w:rFonts w:ascii="Arial" w:hAnsi="Arial" w:cs="Arial"/>
                <w:sz w:val="24"/>
                <w:szCs w:val="24"/>
              </w:rPr>
            </w:pPr>
            <w:r w:rsidRPr="00FA3F9C">
              <w:rPr>
                <w:rFonts w:ascii="Arial" w:hAnsi="Arial" w:cs="Arial"/>
                <w:sz w:val="24"/>
                <w:szCs w:val="24"/>
              </w:rPr>
              <w:t xml:space="preserve">The patient must have IMDC </w:t>
            </w:r>
            <w:proofErr w:type="gramStart"/>
            <w:r w:rsidRPr="00FA3F9C">
              <w:rPr>
                <w:rFonts w:ascii="Arial" w:hAnsi="Arial" w:cs="Arial"/>
                <w:sz w:val="24"/>
                <w:szCs w:val="24"/>
              </w:rPr>
              <w:t>intermediate</w:t>
            </w:r>
            <w:proofErr w:type="gramEnd"/>
            <w:r w:rsidRPr="00FA3F9C">
              <w:rPr>
                <w:rFonts w:ascii="Arial" w:hAnsi="Arial" w:cs="Arial"/>
                <w:sz w:val="24"/>
                <w:szCs w:val="24"/>
              </w:rPr>
              <w:t xml:space="preserve"> or poor risk disease indicated by 1 or more of the following characteristics being present: </w:t>
            </w:r>
          </w:p>
          <w:p w14:paraId="737904C5" w14:textId="77777777" w:rsidR="009B5AA5" w:rsidRPr="00FA3F9C" w:rsidRDefault="009B5AA5" w:rsidP="009B5AA5">
            <w:pPr>
              <w:pStyle w:val="ListParagraph"/>
              <w:numPr>
                <w:ilvl w:val="0"/>
                <w:numId w:val="39"/>
              </w:numPr>
              <w:spacing w:after="0" w:line="276" w:lineRule="auto"/>
              <w:ind w:left="990" w:hanging="180"/>
              <w:rPr>
                <w:rFonts w:ascii="Arial" w:hAnsi="Arial" w:cs="Arial"/>
                <w:sz w:val="24"/>
                <w:szCs w:val="24"/>
              </w:rPr>
            </w:pPr>
            <w:r w:rsidRPr="00FA3F9C">
              <w:rPr>
                <w:rFonts w:ascii="Arial" w:hAnsi="Arial" w:cs="Arial"/>
                <w:sz w:val="24"/>
                <w:szCs w:val="24"/>
              </w:rPr>
              <w:t>Less than 1 year from time of diagnosis to systemic therapy</w:t>
            </w:r>
          </w:p>
          <w:p w14:paraId="04B8F80D" w14:textId="77777777" w:rsidR="009B5AA5" w:rsidRPr="00FA3F9C" w:rsidRDefault="009B5AA5" w:rsidP="009B5AA5">
            <w:pPr>
              <w:pStyle w:val="ListParagraph"/>
              <w:numPr>
                <w:ilvl w:val="0"/>
                <w:numId w:val="39"/>
              </w:numPr>
              <w:spacing w:after="0" w:line="276" w:lineRule="auto"/>
              <w:ind w:left="990" w:hanging="180"/>
              <w:rPr>
                <w:rFonts w:ascii="Arial" w:hAnsi="Arial" w:cs="Arial"/>
                <w:sz w:val="24"/>
                <w:szCs w:val="24"/>
              </w:rPr>
            </w:pPr>
            <w:r w:rsidRPr="00FA3F9C">
              <w:rPr>
                <w:rFonts w:ascii="Arial" w:hAnsi="Arial" w:cs="Arial"/>
                <w:sz w:val="24"/>
                <w:szCs w:val="24"/>
              </w:rPr>
              <w:t>Performance status &lt;70% (</w:t>
            </w:r>
            <w:proofErr w:type="spellStart"/>
            <w:r w:rsidRPr="00FA3F9C">
              <w:rPr>
                <w:rFonts w:ascii="Arial" w:hAnsi="Arial" w:cs="Arial"/>
                <w:sz w:val="24"/>
                <w:szCs w:val="24"/>
              </w:rPr>
              <w:t>Karnofsky</w:t>
            </w:r>
            <w:proofErr w:type="spellEnd"/>
            <w:r w:rsidRPr="00FA3F9C">
              <w:rPr>
                <w:rFonts w:ascii="Arial" w:hAnsi="Arial" w:cs="Arial"/>
                <w:sz w:val="24"/>
                <w:szCs w:val="24"/>
              </w:rPr>
              <w:t>)</w:t>
            </w:r>
          </w:p>
          <w:p w14:paraId="4710AF36" w14:textId="77777777" w:rsidR="009B5AA5" w:rsidRPr="00FA3F9C" w:rsidRDefault="009B5AA5" w:rsidP="009B5AA5">
            <w:pPr>
              <w:pStyle w:val="ListParagraph"/>
              <w:numPr>
                <w:ilvl w:val="0"/>
                <w:numId w:val="39"/>
              </w:numPr>
              <w:spacing w:after="0" w:line="276" w:lineRule="auto"/>
              <w:ind w:left="990" w:hanging="180"/>
              <w:rPr>
                <w:rFonts w:ascii="Arial" w:hAnsi="Arial" w:cs="Arial"/>
                <w:sz w:val="24"/>
                <w:szCs w:val="24"/>
              </w:rPr>
            </w:pPr>
            <w:r w:rsidRPr="00FA3F9C">
              <w:rPr>
                <w:rFonts w:ascii="Arial" w:hAnsi="Arial" w:cs="Arial"/>
                <w:sz w:val="24"/>
                <w:szCs w:val="24"/>
              </w:rPr>
              <w:t>Hemoglobin &lt; lower limit of normal (LLN)</w:t>
            </w:r>
          </w:p>
          <w:p w14:paraId="661E9610" w14:textId="77777777" w:rsidR="009B5AA5" w:rsidRPr="00FA3F9C" w:rsidRDefault="009B5AA5" w:rsidP="009B5AA5">
            <w:pPr>
              <w:pStyle w:val="ListParagraph"/>
              <w:numPr>
                <w:ilvl w:val="0"/>
                <w:numId w:val="39"/>
              </w:numPr>
              <w:spacing w:after="0" w:line="276" w:lineRule="auto"/>
              <w:ind w:left="990" w:hanging="180"/>
              <w:rPr>
                <w:rFonts w:ascii="Arial" w:hAnsi="Arial" w:cs="Arial"/>
                <w:sz w:val="24"/>
                <w:szCs w:val="24"/>
              </w:rPr>
            </w:pPr>
            <w:r w:rsidRPr="00FA3F9C">
              <w:rPr>
                <w:rFonts w:ascii="Arial" w:hAnsi="Arial" w:cs="Arial"/>
                <w:sz w:val="24"/>
                <w:szCs w:val="24"/>
              </w:rPr>
              <w:t>calcium &gt; upper limit of normal (ULN)</w:t>
            </w:r>
          </w:p>
          <w:p w14:paraId="3E6FCFC9" w14:textId="77777777" w:rsidR="009B5AA5" w:rsidRPr="00FA3F9C" w:rsidRDefault="009B5AA5" w:rsidP="009B5AA5">
            <w:pPr>
              <w:pStyle w:val="ListParagraph"/>
              <w:numPr>
                <w:ilvl w:val="0"/>
                <w:numId w:val="39"/>
              </w:numPr>
              <w:spacing w:after="0" w:line="276" w:lineRule="auto"/>
              <w:ind w:left="990" w:hanging="180"/>
              <w:rPr>
                <w:rFonts w:ascii="Arial" w:hAnsi="Arial" w:cs="Arial"/>
                <w:sz w:val="24"/>
                <w:szCs w:val="24"/>
              </w:rPr>
            </w:pPr>
            <w:r w:rsidRPr="00FA3F9C">
              <w:rPr>
                <w:rFonts w:ascii="Arial" w:hAnsi="Arial" w:cs="Arial"/>
                <w:sz w:val="24"/>
                <w:szCs w:val="24"/>
              </w:rPr>
              <w:t>Neutrophil &gt; ULN</w:t>
            </w:r>
          </w:p>
          <w:p w14:paraId="6283220B" w14:textId="77777777" w:rsidR="009B5AA5" w:rsidRPr="00FA3F9C" w:rsidRDefault="009B5AA5" w:rsidP="009B5AA5">
            <w:pPr>
              <w:pStyle w:val="ListParagraph"/>
              <w:numPr>
                <w:ilvl w:val="0"/>
                <w:numId w:val="39"/>
              </w:numPr>
              <w:spacing w:after="0" w:line="276" w:lineRule="auto"/>
              <w:ind w:left="990" w:hanging="180"/>
              <w:rPr>
                <w:rFonts w:ascii="Arial" w:hAnsi="Arial" w:cs="Arial"/>
                <w:sz w:val="24"/>
                <w:szCs w:val="24"/>
              </w:rPr>
            </w:pPr>
            <w:r w:rsidRPr="00FA3F9C">
              <w:rPr>
                <w:rFonts w:ascii="Arial" w:hAnsi="Arial" w:cs="Arial"/>
                <w:sz w:val="24"/>
                <w:szCs w:val="24"/>
              </w:rPr>
              <w:t>Platelets &gt; ULN</w:t>
            </w:r>
          </w:p>
          <w:p w14:paraId="5BBDD989" w14:textId="77777777" w:rsidR="009B5AA5" w:rsidRPr="00FA3F9C" w:rsidRDefault="009B5AA5" w:rsidP="009B5AA5">
            <w:pPr>
              <w:pStyle w:val="ListParagraph"/>
              <w:numPr>
                <w:ilvl w:val="0"/>
                <w:numId w:val="279"/>
              </w:numPr>
              <w:spacing w:after="0" w:line="276" w:lineRule="auto"/>
              <w:rPr>
                <w:rFonts w:ascii="Arial" w:hAnsi="Arial" w:cs="Arial"/>
                <w:sz w:val="24"/>
                <w:szCs w:val="24"/>
              </w:rPr>
            </w:pPr>
            <w:r w:rsidRPr="00FA3F9C">
              <w:rPr>
                <w:rFonts w:ascii="Arial" w:hAnsi="Arial" w:cs="Arial"/>
                <w:sz w:val="24"/>
                <w:szCs w:val="24"/>
              </w:rPr>
              <w:t xml:space="preserve">Patient must have </w:t>
            </w:r>
            <w:proofErr w:type="spellStart"/>
            <w:r w:rsidRPr="00FA3F9C">
              <w:rPr>
                <w:rFonts w:ascii="Arial" w:hAnsi="Arial" w:cs="Arial"/>
                <w:sz w:val="24"/>
                <w:szCs w:val="24"/>
              </w:rPr>
              <w:t>Karnofsky</w:t>
            </w:r>
            <w:proofErr w:type="spellEnd"/>
            <w:r w:rsidRPr="00FA3F9C">
              <w:rPr>
                <w:rFonts w:ascii="Arial" w:hAnsi="Arial" w:cs="Arial"/>
                <w:sz w:val="24"/>
                <w:szCs w:val="24"/>
              </w:rPr>
              <w:t xml:space="preserve"> performance status of </w:t>
            </w:r>
            <w:r w:rsidRPr="00FA3F9C">
              <w:rPr>
                <w:rFonts w:ascii="Arial" w:hAnsi="Arial" w:cs="Arial"/>
                <w:sz w:val="24"/>
                <w:szCs w:val="24"/>
                <w:u w:val="single"/>
              </w:rPr>
              <w:t>&gt;</w:t>
            </w:r>
            <w:r w:rsidRPr="00FA3F9C">
              <w:rPr>
                <w:rFonts w:ascii="Arial" w:hAnsi="Arial" w:cs="Arial"/>
                <w:sz w:val="24"/>
                <w:szCs w:val="24"/>
              </w:rPr>
              <w:t>70%</w:t>
            </w:r>
          </w:p>
        </w:tc>
      </w:tr>
      <w:tr w:rsidR="009B5AA5" w:rsidRPr="00FA3F9C" w14:paraId="79426BF7" w14:textId="77777777" w:rsidTr="00404253">
        <w:tc>
          <w:tcPr>
            <w:tcW w:w="10368" w:type="dxa"/>
            <w:shd w:val="clear" w:color="auto" w:fill="D9D9D9" w:themeFill="background1" w:themeFillShade="D9"/>
          </w:tcPr>
          <w:p w14:paraId="0347EC57" w14:textId="77777777" w:rsidR="009B5AA5" w:rsidRPr="00FA3F9C" w:rsidRDefault="009B5AA5" w:rsidP="00404253">
            <w:pPr>
              <w:spacing w:after="0"/>
              <w:rPr>
                <w:rFonts w:ascii="Arial" w:hAnsi="Arial" w:cs="Arial"/>
                <w:b/>
                <w:sz w:val="24"/>
                <w:szCs w:val="24"/>
              </w:rPr>
            </w:pPr>
            <w:r w:rsidRPr="00FA3F9C">
              <w:rPr>
                <w:rFonts w:ascii="Arial" w:hAnsi="Arial" w:cs="Arial"/>
                <w:b/>
                <w:sz w:val="24"/>
                <w:szCs w:val="24"/>
              </w:rPr>
              <w:t>FIRST LINE TREATMENT CRITERIA for use with CABOZANTINIB</w:t>
            </w:r>
          </w:p>
        </w:tc>
      </w:tr>
      <w:tr w:rsidR="009B5AA5" w:rsidRPr="00FA3F9C" w14:paraId="794DD68B" w14:textId="77777777" w:rsidTr="00404253">
        <w:trPr>
          <w:trHeight w:val="908"/>
        </w:trPr>
        <w:tc>
          <w:tcPr>
            <w:tcW w:w="10368" w:type="dxa"/>
            <w:shd w:val="clear" w:color="auto" w:fill="auto"/>
          </w:tcPr>
          <w:p w14:paraId="0434E2F0" w14:textId="77777777" w:rsidR="009B5AA5" w:rsidRPr="00FA3F9C" w:rsidRDefault="009B5AA5" w:rsidP="00FC1E85">
            <w:pPr>
              <w:pStyle w:val="ListParagraph"/>
              <w:numPr>
                <w:ilvl w:val="0"/>
                <w:numId w:val="370"/>
              </w:numPr>
              <w:spacing w:after="0" w:line="276" w:lineRule="auto"/>
              <w:rPr>
                <w:rFonts w:ascii="Arial" w:hAnsi="Arial" w:cs="Arial"/>
                <w:sz w:val="24"/>
                <w:szCs w:val="24"/>
              </w:rPr>
            </w:pPr>
            <w:r w:rsidRPr="00FA3F9C">
              <w:rPr>
                <w:rFonts w:ascii="Arial" w:hAnsi="Arial" w:cs="Arial"/>
                <w:sz w:val="24"/>
                <w:szCs w:val="24"/>
              </w:rPr>
              <w:t>Diagnosis of advanced RCC</w:t>
            </w:r>
          </w:p>
          <w:p w14:paraId="7BF2D37F" w14:textId="77777777" w:rsidR="009B5AA5" w:rsidRPr="00FA3F9C" w:rsidRDefault="009B5AA5" w:rsidP="00FC1E85">
            <w:pPr>
              <w:pStyle w:val="ListParagraph"/>
              <w:numPr>
                <w:ilvl w:val="0"/>
                <w:numId w:val="370"/>
              </w:numPr>
              <w:spacing w:after="0" w:line="276" w:lineRule="auto"/>
              <w:rPr>
                <w:rFonts w:ascii="Arial" w:hAnsi="Arial" w:cs="Arial"/>
                <w:sz w:val="24"/>
                <w:szCs w:val="24"/>
              </w:rPr>
            </w:pPr>
            <w:r w:rsidRPr="00FA3F9C">
              <w:rPr>
                <w:rFonts w:ascii="Arial" w:hAnsi="Arial" w:cs="Arial"/>
                <w:sz w:val="24"/>
                <w:szCs w:val="24"/>
              </w:rPr>
              <w:t>No prior systemic therapy</w:t>
            </w:r>
          </w:p>
          <w:p w14:paraId="2DA8A5D3" w14:textId="77777777" w:rsidR="009B5AA5" w:rsidRPr="00FA3F9C" w:rsidRDefault="009B5AA5" w:rsidP="00FC1E85">
            <w:pPr>
              <w:pStyle w:val="ListParagraph"/>
              <w:numPr>
                <w:ilvl w:val="0"/>
                <w:numId w:val="370"/>
              </w:numPr>
              <w:spacing w:after="0" w:line="276" w:lineRule="auto"/>
              <w:rPr>
                <w:rFonts w:ascii="Arial" w:hAnsi="Arial" w:cs="Arial"/>
                <w:sz w:val="24"/>
                <w:szCs w:val="24"/>
              </w:rPr>
            </w:pPr>
            <w:r w:rsidRPr="00FA3F9C">
              <w:rPr>
                <w:rFonts w:ascii="Arial" w:hAnsi="Arial" w:cs="Arial"/>
                <w:sz w:val="24"/>
                <w:szCs w:val="24"/>
              </w:rPr>
              <w:t>Tumor must have clear cell component</w:t>
            </w:r>
          </w:p>
          <w:p w14:paraId="39EE5EB4" w14:textId="77777777" w:rsidR="009B5AA5" w:rsidRPr="00FA3F9C" w:rsidRDefault="009B5AA5" w:rsidP="00FC1E85">
            <w:pPr>
              <w:pStyle w:val="ListParagraph"/>
              <w:numPr>
                <w:ilvl w:val="0"/>
                <w:numId w:val="370"/>
              </w:numPr>
              <w:spacing w:after="0" w:line="276" w:lineRule="auto"/>
              <w:rPr>
                <w:rFonts w:ascii="Arial" w:hAnsi="Arial" w:cs="Arial"/>
                <w:sz w:val="24"/>
                <w:szCs w:val="24"/>
              </w:rPr>
            </w:pPr>
            <w:r w:rsidRPr="00FA3F9C">
              <w:rPr>
                <w:rFonts w:ascii="Arial" w:hAnsi="Arial" w:cs="Arial"/>
                <w:sz w:val="24"/>
                <w:szCs w:val="24"/>
              </w:rPr>
              <w:t xml:space="preserve">Nivolumab will be used in combination with </w:t>
            </w:r>
            <w:proofErr w:type="spellStart"/>
            <w:r w:rsidRPr="00FA3F9C">
              <w:rPr>
                <w:rFonts w:ascii="Arial" w:hAnsi="Arial" w:cs="Arial"/>
                <w:sz w:val="24"/>
                <w:szCs w:val="24"/>
              </w:rPr>
              <w:t>cabozantinib</w:t>
            </w:r>
            <w:proofErr w:type="spellEnd"/>
          </w:p>
          <w:p w14:paraId="08B3EB12" w14:textId="77777777" w:rsidR="009B5AA5" w:rsidRPr="00FA3F9C" w:rsidRDefault="009B5AA5" w:rsidP="00FC1E85">
            <w:pPr>
              <w:pStyle w:val="ListParagraph"/>
              <w:numPr>
                <w:ilvl w:val="0"/>
                <w:numId w:val="370"/>
              </w:numPr>
              <w:spacing w:after="0" w:line="276" w:lineRule="auto"/>
              <w:rPr>
                <w:rFonts w:ascii="Arial" w:hAnsi="Arial" w:cs="Arial"/>
                <w:sz w:val="24"/>
                <w:szCs w:val="24"/>
              </w:rPr>
            </w:pPr>
            <w:r w:rsidRPr="00FA3F9C">
              <w:rPr>
                <w:rFonts w:ascii="Arial" w:hAnsi="Arial" w:cs="Arial"/>
                <w:sz w:val="24"/>
                <w:szCs w:val="24"/>
              </w:rPr>
              <w:t xml:space="preserve">Patient must have </w:t>
            </w:r>
            <w:proofErr w:type="spellStart"/>
            <w:r w:rsidRPr="00FA3F9C">
              <w:rPr>
                <w:rFonts w:ascii="Arial" w:hAnsi="Arial" w:cs="Arial"/>
                <w:sz w:val="24"/>
                <w:szCs w:val="24"/>
              </w:rPr>
              <w:t>Karnofsky</w:t>
            </w:r>
            <w:proofErr w:type="spellEnd"/>
            <w:r w:rsidRPr="00FA3F9C">
              <w:rPr>
                <w:rFonts w:ascii="Arial" w:hAnsi="Arial" w:cs="Arial"/>
                <w:sz w:val="24"/>
                <w:szCs w:val="24"/>
              </w:rPr>
              <w:t xml:space="preserve"> performance status of </w:t>
            </w:r>
            <w:r w:rsidRPr="00FA3F9C">
              <w:rPr>
                <w:rFonts w:ascii="Arial" w:hAnsi="Arial" w:cs="Arial"/>
                <w:sz w:val="24"/>
                <w:szCs w:val="24"/>
                <w:u w:val="single"/>
              </w:rPr>
              <w:t>&gt;</w:t>
            </w:r>
            <w:r w:rsidRPr="00FA3F9C">
              <w:rPr>
                <w:rFonts w:ascii="Arial" w:hAnsi="Arial" w:cs="Arial"/>
                <w:sz w:val="24"/>
                <w:szCs w:val="24"/>
              </w:rPr>
              <w:t>70%</w:t>
            </w:r>
          </w:p>
        </w:tc>
      </w:tr>
      <w:tr w:rsidR="009B5AA5" w:rsidRPr="00FA3F9C" w14:paraId="5CB0FB6E" w14:textId="77777777" w:rsidTr="00404253">
        <w:tc>
          <w:tcPr>
            <w:tcW w:w="10368" w:type="dxa"/>
            <w:shd w:val="clear" w:color="auto" w:fill="D9D9D9" w:themeFill="background1" w:themeFillShade="D9"/>
          </w:tcPr>
          <w:p w14:paraId="3A2C9DDD" w14:textId="77777777" w:rsidR="009B5AA5" w:rsidRPr="00FA3F9C" w:rsidRDefault="009B5AA5" w:rsidP="00404253">
            <w:pPr>
              <w:spacing w:after="0"/>
              <w:rPr>
                <w:rFonts w:ascii="Arial" w:hAnsi="Arial" w:cs="Arial"/>
                <w:b/>
                <w:sz w:val="24"/>
                <w:szCs w:val="24"/>
              </w:rPr>
            </w:pPr>
            <w:r w:rsidRPr="00FA3F9C">
              <w:rPr>
                <w:rFonts w:ascii="Arial" w:hAnsi="Arial" w:cs="Arial"/>
                <w:b/>
                <w:sz w:val="24"/>
                <w:szCs w:val="24"/>
              </w:rPr>
              <w:t xml:space="preserve">CRITERIA FOR </w:t>
            </w:r>
            <w:proofErr w:type="gramStart"/>
            <w:r w:rsidRPr="00FA3F9C">
              <w:rPr>
                <w:rFonts w:ascii="Arial" w:hAnsi="Arial" w:cs="Arial"/>
                <w:b/>
                <w:sz w:val="24"/>
                <w:szCs w:val="24"/>
              </w:rPr>
              <w:t>PREVIOUSLY-TREATED</w:t>
            </w:r>
            <w:proofErr w:type="gramEnd"/>
            <w:r w:rsidRPr="00FA3F9C">
              <w:rPr>
                <w:rFonts w:ascii="Arial" w:hAnsi="Arial" w:cs="Arial"/>
                <w:b/>
                <w:sz w:val="24"/>
                <w:szCs w:val="24"/>
              </w:rPr>
              <w:t xml:space="preserve"> PATIENTS</w:t>
            </w:r>
          </w:p>
        </w:tc>
      </w:tr>
      <w:tr w:rsidR="009B5AA5" w:rsidRPr="00FA3F9C" w14:paraId="408A29C8" w14:textId="77777777" w:rsidTr="00404253">
        <w:tc>
          <w:tcPr>
            <w:tcW w:w="10368" w:type="dxa"/>
          </w:tcPr>
          <w:p w14:paraId="0CAA8421" w14:textId="77777777" w:rsidR="009B5AA5" w:rsidRPr="00FA3F9C" w:rsidRDefault="009B5AA5" w:rsidP="00FC1E85">
            <w:pPr>
              <w:pStyle w:val="ListParagraph"/>
              <w:numPr>
                <w:ilvl w:val="0"/>
                <w:numId w:val="357"/>
              </w:numPr>
              <w:spacing w:after="0" w:line="276" w:lineRule="auto"/>
              <w:rPr>
                <w:rFonts w:ascii="Arial" w:hAnsi="Arial" w:cs="Arial"/>
                <w:sz w:val="24"/>
                <w:szCs w:val="24"/>
              </w:rPr>
            </w:pPr>
            <w:r w:rsidRPr="00FA3F9C">
              <w:rPr>
                <w:rFonts w:ascii="Arial" w:hAnsi="Arial" w:cs="Arial"/>
                <w:sz w:val="24"/>
                <w:szCs w:val="24"/>
              </w:rPr>
              <w:t xml:space="preserve">Diagnosis of advanced RCC </w:t>
            </w:r>
          </w:p>
          <w:p w14:paraId="049B9F50" w14:textId="77777777" w:rsidR="009B5AA5" w:rsidRPr="00FA3F9C" w:rsidRDefault="009B5AA5" w:rsidP="00FC1E85">
            <w:pPr>
              <w:pStyle w:val="ListParagraph"/>
              <w:numPr>
                <w:ilvl w:val="0"/>
                <w:numId w:val="357"/>
              </w:numPr>
              <w:spacing w:after="0" w:line="276" w:lineRule="auto"/>
              <w:rPr>
                <w:rFonts w:ascii="Arial" w:hAnsi="Arial" w:cs="Arial"/>
                <w:sz w:val="24"/>
                <w:szCs w:val="24"/>
              </w:rPr>
            </w:pPr>
            <w:r w:rsidRPr="00FA3F9C">
              <w:rPr>
                <w:rFonts w:ascii="Arial" w:hAnsi="Arial" w:cs="Arial"/>
                <w:sz w:val="24"/>
                <w:szCs w:val="24"/>
              </w:rPr>
              <w:t>Patient has received at least one prior antiangiogenic therapy (</w:t>
            </w:r>
            <w:proofErr w:type="gramStart"/>
            <w:r w:rsidRPr="00FA3F9C">
              <w:rPr>
                <w:rFonts w:ascii="Arial" w:hAnsi="Arial" w:cs="Arial"/>
                <w:sz w:val="24"/>
                <w:szCs w:val="24"/>
              </w:rPr>
              <w:t>e.g.</w:t>
            </w:r>
            <w:proofErr w:type="gramEnd"/>
            <w:r w:rsidRPr="00FA3F9C">
              <w:rPr>
                <w:rFonts w:ascii="Arial" w:hAnsi="Arial" w:cs="Arial"/>
                <w:sz w:val="24"/>
                <w:szCs w:val="24"/>
              </w:rPr>
              <w:t xml:space="preserve"> VEGF inhibitors: sunitinib, pazopanib, </w:t>
            </w:r>
            <w:proofErr w:type="spellStart"/>
            <w:r w:rsidRPr="00FA3F9C">
              <w:rPr>
                <w:rFonts w:ascii="Arial" w:hAnsi="Arial" w:cs="Arial"/>
                <w:sz w:val="24"/>
                <w:szCs w:val="24"/>
              </w:rPr>
              <w:t>cabozantinib</w:t>
            </w:r>
            <w:proofErr w:type="spellEnd"/>
            <w:r w:rsidRPr="00FA3F9C">
              <w:rPr>
                <w:rFonts w:ascii="Arial" w:hAnsi="Arial" w:cs="Arial"/>
                <w:sz w:val="24"/>
                <w:szCs w:val="24"/>
              </w:rPr>
              <w:t xml:space="preserve">, sorafenib, </w:t>
            </w:r>
            <w:proofErr w:type="spellStart"/>
            <w:r w:rsidRPr="00FA3F9C">
              <w:rPr>
                <w:rFonts w:ascii="Arial" w:hAnsi="Arial" w:cs="Arial"/>
                <w:sz w:val="24"/>
                <w:szCs w:val="24"/>
              </w:rPr>
              <w:t>axitinib</w:t>
            </w:r>
            <w:proofErr w:type="spellEnd"/>
            <w:r w:rsidRPr="00FA3F9C">
              <w:rPr>
                <w:rFonts w:ascii="Arial" w:hAnsi="Arial" w:cs="Arial"/>
                <w:sz w:val="24"/>
                <w:szCs w:val="24"/>
              </w:rPr>
              <w:t xml:space="preserve">, bevacizumab, </w:t>
            </w:r>
            <w:proofErr w:type="spellStart"/>
            <w:r w:rsidRPr="00FA3F9C">
              <w:rPr>
                <w:rFonts w:ascii="Arial" w:hAnsi="Arial" w:cs="Arial"/>
                <w:sz w:val="24"/>
                <w:szCs w:val="24"/>
              </w:rPr>
              <w:t>lenvatinib</w:t>
            </w:r>
            <w:proofErr w:type="spellEnd"/>
            <w:r w:rsidRPr="00FA3F9C">
              <w:rPr>
                <w:rFonts w:ascii="Arial" w:hAnsi="Arial" w:cs="Arial"/>
                <w:sz w:val="24"/>
                <w:szCs w:val="24"/>
              </w:rPr>
              <w:t>)</w:t>
            </w:r>
          </w:p>
          <w:p w14:paraId="613B71D0" w14:textId="77777777" w:rsidR="009B5AA5" w:rsidRPr="00FA3F9C" w:rsidRDefault="009B5AA5" w:rsidP="00FC1E85">
            <w:pPr>
              <w:pStyle w:val="ListParagraph"/>
              <w:numPr>
                <w:ilvl w:val="0"/>
                <w:numId w:val="357"/>
              </w:numPr>
              <w:spacing w:after="0" w:line="276" w:lineRule="auto"/>
              <w:rPr>
                <w:rFonts w:ascii="Arial" w:hAnsi="Arial" w:cs="Arial"/>
                <w:sz w:val="24"/>
                <w:szCs w:val="24"/>
              </w:rPr>
            </w:pPr>
            <w:r w:rsidRPr="00FA3F9C">
              <w:rPr>
                <w:rFonts w:ascii="Arial" w:hAnsi="Arial" w:cs="Arial"/>
                <w:sz w:val="24"/>
                <w:szCs w:val="24"/>
              </w:rPr>
              <w:t xml:space="preserve">Patient must have </w:t>
            </w:r>
            <w:proofErr w:type="spellStart"/>
            <w:r w:rsidRPr="00FA3F9C">
              <w:rPr>
                <w:rFonts w:ascii="Arial" w:hAnsi="Arial" w:cs="Arial"/>
                <w:sz w:val="24"/>
                <w:szCs w:val="24"/>
              </w:rPr>
              <w:t>Karnofsky</w:t>
            </w:r>
            <w:proofErr w:type="spellEnd"/>
            <w:r w:rsidRPr="00FA3F9C">
              <w:rPr>
                <w:rFonts w:ascii="Arial" w:hAnsi="Arial" w:cs="Arial"/>
                <w:sz w:val="24"/>
                <w:szCs w:val="24"/>
              </w:rPr>
              <w:t xml:space="preserve"> performance status of </w:t>
            </w:r>
            <w:r w:rsidRPr="00FA3F9C">
              <w:rPr>
                <w:rFonts w:ascii="Arial" w:hAnsi="Arial" w:cs="Arial"/>
                <w:sz w:val="24"/>
                <w:szCs w:val="24"/>
                <w:u w:val="single"/>
              </w:rPr>
              <w:t>&gt;</w:t>
            </w:r>
            <w:r w:rsidRPr="00FA3F9C">
              <w:rPr>
                <w:rFonts w:ascii="Arial" w:hAnsi="Arial" w:cs="Arial"/>
                <w:sz w:val="24"/>
                <w:szCs w:val="24"/>
              </w:rPr>
              <w:t>70%</w:t>
            </w:r>
          </w:p>
        </w:tc>
      </w:tr>
      <w:tr w:rsidR="009B5AA5" w:rsidRPr="00FA3F9C" w14:paraId="157D18A2" w14:textId="77777777" w:rsidTr="00404253">
        <w:tc>
          <w:tcPr>
            <w:tcW w:w="10368" w:type="dxa"/>
          </w:tcPr>
          <w:p w14:paraId="0F71A2BE" w14:textId="77777777" w:rsidR="009B5AA5" w:rsidRPr="00FA3F9C" w:rsidRDefault="009B5AA5" w:rsidP="00404253">
            <w:pPr>
              <w:spacing w:after="0"/>
              <w:rPr>
                <w:rFonts w:ascii="Arial" w:hAnsi="Arial" w:cs="Arial"/>
                <w:sz w:val="24"/>
                <w:szCs w:val="24"/>
              </w:rPr>
            </w:pPr>
            <w:r w:rsidRPr="00FA3F9C">
              <w:rPr>
                <w:rFonts w:ascii="Arial" w:hAnsi="Arial" w:cs="Arial"/>
                <w:b/>
                <w:sz w:val="24"/>
                <w:szCs w:val="24"/>
              </w:rPr>
              <w:t>If criteria fulfilled, approve for 12 months.</w:t>
            </w:r>
          </w:p>
        </w:tc>
      </w:tr>
      <w:tr w:rsidR="009B5AA5" w:rsidRPr="00FA3F9C" w14:paraId="5835432A" w14:textId="77777777" w:rsidTr="00404253">
        <w:tc>
          <w:tcPr>
            <w:tcW w:w="10368" w:type="dxa"/>
            <w:tcBorders>
              <w:bottom w:val="single" w:sz="4" w:space="0" w:color="auto"/>
            </w:tcBorders>
            <w:shd w:val="clear" w:color="auto" w:fill="BFBFBF" w:themeFill="background1" w:themeFillShade="BF"/>
          </w:tcPr>
          <w:p w14:paraId="7B26CEDF" w14:textId="77777777" w:rsidR="009B5AA5" w:rsidRPr="00FA3F9C" w:rsidRDefault="009B5AA5" w:rsidP="00404253">
            <w:pPr>
              <w:spacing w:after="0" w:line="240" w:lineRule="auto"/>
              <w:rPr>
                <w:rFonts w:ascii="Arial" w:hAnsi="Arial" w:cs="Arial"/>
                <w:sz w:val="24"/>
                <w:szCs w:val="24"/>
              </w:rPr>
            </w:pPr>
            <w:r w:rsidRPr="00FA3F9C">
              <w:rPr>
                <w:rFonts w:ascii="Arial" w:hAnsi="Arial" w:cs="Arial"/>
                <w:sz w:val="24"/>
                <w:szCs w:val="24"/>
              </w:rPr>
              <w:t xml:space="preserve">Notes:  </w:t>
            </w:r>
          </w:p>
          <w:p w14:paraId="1ADB40EB" w14:textId="77777777" w:rsidR="009B5AA5" w:rsidRPr="00FA3F9C" w:rsidRDefault="009B5AA5" w:rsidP="00404253">
            <w:pPr>
              <w:spacing w:after="0" w:line="240" w:lineRule="auto"/>
              <w:rPr>
                <w:rFonts w:ascii="Arial" w:hAnsi="Arial" w:cs="Arial"/>
                <w:sz w:val="24"/>
                <w:szCs w:val="24"/>
                <w:u w:val="single"/>
              </w:rPr>
            </w:pPr>
            <w:r w:rsidRPr="00FA3F9C">
              <w:rPr>
                <w:rFonts w:ascii="Arial" w:hAnsi="Arial" w:cs="Arial"/>
                <w:sz w:val="24"/>
                <w:szCs w:val="24"/>
                <w:u w:val="single"/>
              </w:rPr>
              <w:t>FIRST LINE SETTING WITH IPILIMUMAB:</w:t>
            </w:r>
          </w:p>
          <w:p w14:paraId="68562D3E" w14:textId="77777777" w:rsidR="009B5AA5" w:rsidRPr="00FA3F9C" w:rsidRDefault="009B5AA5" w:rsidP="00404253">
            <w:pPr>
              <w:spacing w:after="0" w:line="240" w:lineRule="auto"/>
              <w:rPr>
                <w:rFonts w:ascii="Arial" w:hAnsi="Arial" w:cs="Arial"/>
                <w:sz w:val="24"/>
                <w:szCs w:val="24"/>
              </w:rPr>
            </w:pPr>
            <w:r w:rsidRPr="00FA3F9C">
              <w:rPr>
                <w:rFonts w:ascii="Arial" w:hAnsi="Arial" w:cs="Arial"/>
                <w:sz w:val="24"/>
                <w:szCs w:val="24"/>
              </w:rPr>
              <w:lastRenderedPageBreak/>
              <w:t xml:space="preserve">-In intermediate/poor risk tumors with clear cell component, </w:t>
            </w:r>
            <w:proofErr w:type="spellStart"/>
            <w:r w:rsidRPr="00FA3F9C">
              <w:rPr>
                <w:rFonts w:ascii="Arial" w:hAnsi="Arial" w:cs="Arial"/>
                <w:sz w:val="24"/>
                <w:szCs w:val="24"/>
              </w:rPr>
              <w:t>nivo</w:t>
            </w:r>
            <w:proofErr w:type="spellEnd"/>
            <w:r w:rsidRPr="00FA3F9C">
              <w:rPr>
                <w:rFonts w:ascii="Arial" w:hAnsi="Arial" w:cs="Arial"/>
                <w:sz w:val="24"/>
                <w:szCs w:val="24"/>
              </w:rPr>
              <w:t>/</w:t>
            </w:r>
            <w:proofErr w:type="spellStart"/>
            <w:r w:rsidRPr="00FA3F9C">
              <w:rPr>
                <w:rFonts w:ascii="Arial" w:hAnsi="Arial" w:cs="Arial"/>
                <w:sz w:val="24"/>
                <w:szCs w:val="24"/>
              </w:rPr>
              <w:t>ipi</w:t>
            </w:r>
            <w:proofErr w:type="spellEnd"/>
            <w:r w:rsidRPr="00FA3F9C">
              <w:rPr>
                <w:rFonts w:ascii="Arial" w:hAnsi="Arial" w:cs="Arial"/>
                <w:sz w:val="24"/>
                <w:szCs w:val="24"/>
              </w:rPr>
              <w:t xml:space="preserve"> was superior to sunitinib alone (median OS not reached for </w:t>
            </w:r>
            <w:proofErr w:type="spellStart"/>
            <w:r w:rsidRPr="00FA3F9C">
              <w:rPr>
                <w:rFonts w:ascii="Arial" w:hAnsi="Arial" w:cs="Arial"/>
                <w:sz w:val="24"/>
                <w:szCs w:val="24"/>
              </w:rPr>
              <w:t>nivo</w:t>
            </w:r>
            <w:proofErr w:type="spellEnd"/>
            <w:r w:rsidRPr="00FA3F9C">
              <w:rPr>
                <w:rFonts w:ascii="Arial" w:hAnsi="Arial" w:cs="Arial"/>
                <w:sz w:val="24"/>
                <w:szCs w:val="24"/>
              </w:rPr>
              <w:t>/</w:t>
            </w:r>
            <w:proofErr w:type="spellStart"/>
            <w:r w:rsidRPr="00FA3F9C">
              <w:rPr>
                <w:rFonts w:ascii="Arial" w:hAnsi="Arial" w:cs="Arial"/>
                <w:sz w:val="24"/>
                <w:szCs w:val="24"/>
              </w:rPr>
              <w:t>ipi</w:t>
            </w:r>
            <w:proofErr w:type="spellEnd"/>
            <w:r w:rsidRPr="00FA3F9C">
              <w:rPr>
                <w:rFonts w:ascii="Arial" w:hAnsi="Arial" w:cs="Arial"/>
                <w:sz w:val="24"/>
                <w:szCs w:val="24"/>
              </w:rPr>
              <w:t xml:space="preserve"> and 26 </w:t>
            </w:r>
            <w:proofErr w:type="spellStart"/>
            <w:r w:rsidRPr="00FA3F9C">
              <w:rPr>
                <w:rFonts w:ascii="Arial" w:hAnsi="Arial" w:cs="Arial"/>
                <w:sz w:val="24"/>
                <w:szCs w:val="24"/>
              </w:rPr>
              <w:t>mo</w:t>
            </w:r>
            <w:proofErr w:type="spellEnd"/>
            <w:r w:rsidRPr="00FA3F9C">
              <w:rPr>
                <w:rFonts w:ascii="Arial" w:hAnsi="Arial" w:cs="Arial"/>
                <w:sz w:val="24"/>
                <w:szCs w:val="24"/>
              </w:rPr>
              <w:t xml:space="preserve"> for </w:t>
            </w:r>
            <w:proofErr w:type="spellStart"/>
            <w:proofErr w:type="gramStart"/>
            <w:r w:rsidRPr="00FA3F9C">
              <w:rPr>
                <w:rFonts w:ascii="Arial" w:hAnsi="Arial" w:cs="Arial"/>
                <w:sz w:val="24"/>
                <w:szCs w:val="24"/>
              </w:rPr>
              <w:t>sunitnib</w:t>
            </w:r>
            <w:proofErr w:type="spellEnd"/>
            <w:r w:rsidRPr="00FA3F9C">
              <w:rPr>
                <w:rFonts w:ascii="Arial" w:hAnsi="Arial" w:cs="Arial"/>
                <w:sz w:val="24"/>
                <w:szCs w:val="24"/>
              </w:rPr>
              <w:t>;</w:t>
            </w:r>
            <w:proofErr w:type="gramEnd"/>
            <w:r w:rsidRPr="00FA3F9C">
              <w:rPr>
                <w:rFonts w:ascii="Arial" w:hAnsi="Arial" w:cs="Arial"/>
                <w:sz w:val="24"/>
                <w:szCs w:val="24"/>
              </w:rPr>
              <w:t xml:space="preserve"> HR 0.63 99.8% CI 0.44-0.89).  Improvement in OS was accompanied by clinically meaningful improvement in QOL.</w:t>
            </w:r>
            <w:r w:rsidRPr="00FA3F9C">
              <w:rPr>
                <w:rFonts w:ascii="Arial" w:hAnsi="Arial" w:cs="Arial"/>
                <w:sz w:val="24"/>
                <w:szCs w:val="24"/>
                <w:vertAlign w:val="superscript"/>
              </w:rPr>
              <w:t>1,2</w:t>
            </w:r>
          </w:p>
          <w:p w14:paraId="4D12945D" w14:textId="77777777" w:rsidR="009B5AA5" w:rsidRPr="00FA3F9C" w:rsidRDefault="009B5AA5" w:rsidP="00404253">
            <w:pPr>
              <w:spacing w:after="0" w:line="240" w:lineRule="auto"/>
              <w:rPr>
                <w:rFonts w:ascii="Arial" w:hAnsi="Arial" w:cs="Arial"/>
                <w:sz w:val="24"/>
                <w:szCs w:val="24"/>
              </w:rPr>
            </w:pPr>
            <w:r w:rsidRPr="00FA3F9C">
              <w:rPr>
                <w:rFonts w:ascii="Arial" w:hAnsi="Arial" w:cs="Arial"/>
                <w:sz w:val="24"/>
                <w:szCs w:val="24"/>
              </w:rPr>
              <w:t>-</w:t>
            </w:r>
            <w:proofErr w:type="spellStart"/>
            <w:r w:rsidRPr="00FA3F9C">
              <w:rPr>
                <w:rFonts w:ascii="Arial" w:hAnsi="Arial" w:cs="Arial"/>
                <w:sz w:val="24"/>
                <w:szCs w:val="24"/>
              </w:rPr>
              <w:t>Nivo</w:t>
            </w:r>
            <w:proofErr w:type="spellEnd"/>
            <w:r w:rsidRPr="00FA3F9C">
              <w:rPr>
                <w:rFonts w:ascii="Arial" w:hAnsi="Arial" w:cs="Arial"/>
                <w:sz w:val="24"/>
                <w:szCs w:val="24"/>
              </w:rPr>
              <w:t>/</w:t>
            </w:r>
            <w:proofErr w:type="spellStart"/>
            <w:r w:rsidRPr="00FA3F9C">
              <w:rPr>
                <w:rFonts w:ascii="Arial" w:hAnsi="Arial" w:cs="Arial"/>
                <w:sz w:val="24"/>
                <w:szCs w:val="24"/>
              </w:rPr>
              <w:t>ipi</w:t>
            </w:r>
            <w:proofErr w:type="spellEnd"/>
            <w:r w:rsidRPr="00FA3F9C">
              <w:rPr>
                <w:rFonts w:ascii="Arial" w:hAnsi="Arial" w:cs="Arial"/>
                <w:sz w:val="24"/>
                <w:szCs w:val="24"/>
              </w:rPr>
              <w:t xml:space="preserve"> does not appear superior to sunitinib in FAVORABLE risk patients and is not FDA approved and should not be used at this time.</w:t>
            </w:r>
            <w:r w:rsidRPr="00FA3F9C">
              <w:rPr>
                <w:rFonts w:ascii="Arial" w:hAnsi="Arial" w:cs="Arial"/>
                <w:sz w:val="24"/>
                <w:szCs w:val="24"/>
                <w:vertAlign w:val="superscript"/>
              </w:rPr>
              <w:t>1</w:t>
            </w:r>
          </w:p>
          <w:p w14:paraId="5CD2A2C1" w14:textId="77777777" w:rsidR="009B5AA5" w:rsidRPr="00FA3F9C" w:rsidRDefault="009B5AA5" w:rsidP="00404253">
            <w:pPr>
              <w:spacing w:after="0" w:line="240" w:lineRule="auto"/>
              <w:rPr>
                <w:rFonts w:ascii="Arial" w:hAnsi="Arial" w:cs="Arial"/>
                <w:sz w:val="24"/>
                <w:szCs w:val="24"/>
              </w:rPr>
            </w:pPr>
            <w:r w:rsidRPr="00FA3F9C">
              <w:rPr>
                <w:rFonts w:ascii="Arial" w:hAnsi="Arial" w:cs="Arial"/>
                <w:sz w:val="24"/>
                <w:szCs w:val="24"/>
              </w:rPr>
              <w:t xml:space="preserve">-Dose: Nivolumab 3 mg/kg every 3 weeks PLUS ipilimumab 1 mg/kg every 3 weeks x </w:t>
            </w:r>
            <w:r w:rsidRPr="00FA3F9C">
              <w:rPr>
                <w:rFonts w:ascii="Arial" w:hAnsi="Arial" w:cs="Arial"/>
                <w:sz w:val="24"/>
                <w:szCs w:val="24"/>
                <w:u w:val="single"/>
              </w:rPr>
              <w:t>4 doses</w:t>
            </w:r>
            <w:r w:rsidRPr="00FA3F9C">
              <w:rPr>
                <w:rFonts w:ascii="Arial" w:hAnsi="Arial" w:cs="Arial"/>
                <w:sz w:val="24"/>
                <w:szCs w:val="24"/>
              </w:rPr>
              <w:t>; THEN nivolumab monotherapy continues at 240 mg every 2 weeks or 480 mg every 4 weeks IV infusion until disease progression or unacceptable toxicity</w:t>
            </w:r>
          </w:p>
          <w:p w14:paraId="17BAA054" w14:textId="77777777" w:rsidR="009B5AA5" w:rsidRPr="00FA3F9C" w:rsidRDefault="009B5AA5" w:rsidP="00404253">
            <w:pPr>
              <w:spacing w:after="0" w:line="240" w:lineRule="auto"/>
              <w:rPr>
                <w:rFonts w:ascii="Arial" w:hAnsi="Arial" w:cs="Arial"/>
                <w:sz w:val="24"/>
                <w:szCs w:val="24"/>
              </w:rPr>
            </w:pPr>
          </w:p>
          <w:p w14:paraId="6DA584AA" w14:textId="77777777" w:rsidR="009B5AA5" w:rsidRPr="00FA3F9C" w:rsidRDefault="009B5AA5" w:rsidP="00404253">
            <w:pPr>
              <w:spacing w:after="0" w:line="240" w:lineRule="auto"/>
              <w:rPr>
                <w:rFonts w:ascii="Arial" w:hAnsi="Arial" w:cs="Arial"/>
                <w:sz w:val="24"/>
                <w:szCs w:val="24"/>
              </w:rPr>
            </w:pPr>
            <w:r w:rsidRPr="00FA3F9C">
              <w:rPr>
                <w:rFonts w:ascii="Arial" w:hAnsi="Arial" w:cs="Arial"/>
                <w:sz w:val="24"/>
                <w:szCs w:val="24"/>
                <w:u w:val="single"/>
              </w:rPr>
              <w:t>FIRST LINE SETTING WITH CABOZANTINIB</w:t>
            </w:r>
            <w:r w:rsidRPr="00FA3F9C">
              <w:rPr>
                <w:rFonts w:ascii="Arial" w:hAnsi="Arial" w:cs="Arial"/>
                <w:sz w:val="24"/>
                <w:szCs w:val="24"/>
              </w:rPr>
              <w:t>:</w:t>
            </w:r>
            <w:r w:rsidRPr="00FA3F9C">
              <w:rPr>
                <w:rFonts w:ascii="Arial" w:hAnsi="Arial" w:cs="Arial"/>
                <w:sz w:val="24"/>
                <w:szCs w:val="24"/>
                <w:vertAlign w:val="superscript"/>
              </w:rPr>
              <w:t>3</w:t>
            </w:r>
          </w:p>
          <w:p w14:paraId="01DF58E9" w14:textId="77777777" w:rsidR="009B5AA5" w:rsidRPr="00FA3F9C" w:rsidRDefault="009B5AA5" w:rsidP="00404253">
            <w:pPr>
              <w:spacing w:after="0" w:line="240" w:lineRule="auto"/>
              <w:rPr>
                <w:rFonts w:ascii="Arial" w:hAnsi="Arial" w:cs="Arial"/>
                <w:sz w:val="24"/>
                <w:szCs w:val="24"/>
              </w:rPr>
            </w:pPr>
            <w:r w:rsidRPr="00FA3F9C">
              <w:rPr>
                <w:rFonts w:ascii="Arial" w:hAnsi="Arial" w:cs="Arial"/>
                <w:sz w:val="24"/>
                <w:szCs w:val="24"/>
              </w:rPr>
              <w:t xml:space="preserve">-In patients with any IMDC risk, </w:t>
            </w:r>
            <w:proofErr w:type="spellStart"/>
            <w:r w:rsidRPr="00FA3F9C">
              <w:rPr>
                <w:rFonts w:ascii="Arial" w:hAnsi="Arial" w:cs="Arial"/>
                <w:sz w:val="24"/>
                <w:szCs w:val="24"/>
              </w:rPr>
              <w:t>nivo</w:t>
            </w:r>
            <w:proofErr w:type="spellEnd"/>
            <w:r w:rsidRPr="00FA3F9C">
              <w:rPr>
                <w:rFonts w:ascii="Arial" w:hAnsi="Arial" w:cs="Arial"/>
                <w:sz w:val="24"/>
                <w:szCs w:val="24"/>
              </w:rPr>
              <w:t>/</w:t>
            </w:r>
            <w:proofErr w:type="spellStart"/>
            <w:r w:rsidRPr="00FA3F9C">
              <w:rPr>
                <w:rFonts w:ascii="Arial" w:hAnsi="Arial" w:cs="Arial"/>
                <w:sz w:val="24"/>
                <w:szCs w:val="24"/>
              </w:rPr>
              <w:t>cabo</w:t>
            </w:r>
            <w:proofErr w:type="spellEnd"/>
            <w:r w:rsidRPr="00FA3F9C">
              <w:rPr>
                <w:rFonts w:ascii="Arial" w:hAnsi="Arial" w:cs="Arial"/>
                <w:sz w:val="24"/>
                <w:szCs w:val="24"/>
              </w:rPr>
              <w:t xml:space="preserve"> improved overall survival compared to sunitinib: at 12 </w:t>
            </w:r>
            <w:proofErr w:type="spellStart"/>
            <w:r w:rsidRPr="00FA3F9C">
              <w:rPr>
                <w:rFonts w:ascii="Arial" w:hAnsi="Arial" w:cs="Arial"/>
                <w:sz w:val="24"/>
                <w:szCs w:val="24"/>
              </w:rPr>
              <w:t>mo</w:t>
            </w:r>
            <w:proofErr w:type="spellEnd"/>
            <w:r w:rsidRPr="00FA3F9C">
              <w:rPr>
                <w:rFonts w:ascii="Arial" w:hAnsi="Arial" w:cs="Arial"/>
                <w:sz w:val="24"/>
                <w:szCs w:val="24"/>
              </w:rPr>
              <w:t xml:space="preserve">: 85.7% vs 75.6%; HR 0.6, 98.89% CI 0.4-0.89.  </w:t>
            </w:r>
          </w:p>
          <w:p w14:paraId="70628C87" w14:textId="77777777" w:rsidR="009B5AA5" w:rsidRPr="00FA3F9C" w:rsidRDefault="009B5AA5" w:rsidP="00404253">
            <w:pPr>
              <w:spacing w:after="0" w:line="240" w:lineRule="auto"/>
              <w:rPr>
                <w:rFonts w:ascii="Arial" w:hAnsi="Arial" w:cs="Arial"/>
                <w:sz w:val="24"/>
                <w:szCs w:val="24"/>
              </w:rPr>
            </w:pPr>
            <w:r w:rsidRPr="00FA3F9C">
              <w:rPr>
                <w:rFonts w:ascii="Arial" w:hAnsi="Arial" w:cs="Arial"/>
                <w:sz w:val="24"/>
                <w:szCs w:val="24"/>
              </w:rPr>
              <w:t>-quality of life indicators statistically and clinically improved (FKSI-19 total scores and FDSI-DRS subscale)</w:t>
            </w:r>
          </w:p>
          <w:p w14:paraId="0FB6057E" w14:textId="77777777" w:rsidR="009B5AA5" w:rsidRPr="00FA3F9C" w:rsidRDefault="009B5AA5" w:rsidP="00404253">
            <w:pPr>
              <w:spacing w:after="0" w:line="240" w:lineRule="auto"/>
              <w:rPr>
                <w:rFonts w:ascii="Arial" w:hAnsi="Arial" w:cs="Arial"/>
                <w:sz w:val="24"/>
                <w:szCs w:val="24"/>
              </w:rPr>
            </w:pPr>
          </w:p>
          <w:p w14:paraId="54FD7349" w14:textId="77777777" w:rsidR="009B5AA5" w:rsidRPr="00FA3F9C" w:rsidRDefault="009B5AA5" w:rsidP="00404253">
            <w:pPr>
              <w:spacing w:after="0" w:line="240" w:lineRule="auto"/>
              <w:rPr>
                <w:rFonts w:ascii="Arial" w:hAnsi="Arial" w:cs="Arial"/>
                <w:sz w:val="24"/>
                <w:szCs w:val="24"/>
              </w:rPr>
            </w:pPr>
            <w:r w:rsidRPr="00FA3F9C">
              <w:rPr>
                <w:rFonts w:ascii="Arial" w:hAnsi="Arial" w:cs="Arial"/>
                <w:sz w:val="24"/>
                <w:szCs w:val="24"/>
              </w:rPr>
              <w:t>PREVIOUSLY TREATED:</w:t>
            </w:r>
          </w:p>
          <w:p w14:paraId="1A3CA06C" w14:textId="77777777" w:rsidR="009B5AA5" w:rsidRPr="00FA3F9C" w:rsidRDefault="009B5AA5" w:rsidP="00404253">
            <w:pPr>
              <w:spacing w:after="0" w:line="240" w:lineRule="auto"/>
              <w:rPr>
                <w:rFonts w:ascii="Arial" w:hAnsi="Arial" w:cs="Arial"/>
                <w:sz w:val="24"/>
                <w:szCs w:val="24"/>
              </w:rPr>
            </w:pPr>
            <w:r w:rsidRPr="00FA3F9C">
              <w:rPr>
                <w:rFonts w:ascii="Arial" w:hAnsi="Arial" w:cs="Arial"/>
                <w:sz w:val="24"/>
                <w:szCs w:val="24"/>
              </w:rPr>
              <w:t xml:space="preserve">-Nivolumab improved overall survival vs </w:t>
            </w:r>
            <w:proofErr w:type="spellStart"/>
            <w:r w:rsidRPr="00FA3F9C">
              <w:rPr>
                <w:rFonts w:ascii="Arial" w:hAnsi="Arial" w:cs="Arial"/>
                <w:sz w:val="24"/>
                <w:szCs w:val="24"/>
              </w:rPr>
              <w:t>everolimus</w:t>
            </w:r>
            <w:proofErr w:type="spellEnd"/>
            <w:r w:rsidRPr="00FA3F9C">
              <w:rPr>
                <w:rFonts w:ascii="Arial" w:hAnsi="Arial" w:cs="Arial"/>
                <w:sz w:val="24"/>
                <w:szCs w:val="24"/>
              </w:rPr>
              <w:t xml:space="preserve"> in patients previously treated with one or two antiangiogenic agents (median OS 25 </w:t>
            </w:r>
            <w:proofErr w:type="spellStart"/>
            <w:r w:rsidRPr="00FA3F9C">
              <w:rPr>
                <w:rFonts w:ascii="Arial" w:hAnsi="Arial" w:cs="Arial"/>
                <w:sz w:val="24"/>
                <w:szCs w:val="24"/>
              </w:rPr>
              <w:t>mo</w:t>
            </w:r>
            <w:proofErr w:type="spellEnd"/>
            <w:r w:rsidRPr="00FA3F9C">
              <w:rPr>
                <w:rFonts w:ascii="Arial" w:hAnsi="Arial" w:cs="Arial"/>
                <w:sz w:val="24"/>
                <w:szCs w:val="24"/>
              </w:rPr>
              <w:t xml:space="preserve"> vs 19.6 </w:t>
            </w:r>
            <w:proofErr w:type="spellStart"/>
            <w:r w:rsidRPr="00FA3F9C">
              <w:rPr>
                <w:rFonts w:ascii="Arial" w:hAnsi="Arial" w:cs="Arial"/>
                <w:sz w:val="24"/>
                <w:szCs w:val="24"/>
              </w:rPr>
              <w:t>mo</w:t>
            </w:r>
            <w:proofErr w:type="spellEnd"/>
            <w:r w:rsidRPr="00FA3F9C">
              <w:rPr>
                <w:rFonts w:ascii="Arial" w:hAnsi="Arial" w:cs="Arial"/>
                <w:sz w:val="24"/>
                <w:szCs w:val="24"/>
              </w:rPr>
              <w:t>)</w:t>
            </w:r>
            <w:r w:rsidRPr="00FA3F9C">
              <w:rPr>
                <w:rFonts w:ascii="Arial" w:hAnsi="Arial" w:cs="Arial"/>
                <w:sz w:val="24"/>
                <w:szCs w:val="24"/>
                <w:vertAlign w:val="superscript"/>
              </w:rPr>
              <w:t>4</w:t>
            </w:r>
          </w:p>
          <w:p w14:paraId="22E30E1A" w14:textId="77777777" w:rsidR="009B5AA5" w:rsidRPr="00FA3F9C" w:rsidRDefault="009B5AA5" w:rsidP="00404253">
            <w:pPr>
              <w:spacing w:after="0" w:line="240" w:lineRule="auto"/>
              <w:rPr>
                <w:rFonts w:ascii="Arial" w:hAnsi="Arial" w:cs="Arial"/>
                <w:sz w:val="24"/>
                <w:szCs w:val="24"/>
              </w:rPr>
            </w:pPr>
            <w:r w:rsidRPr="00FA3F9C">
              <w:rPr>
                <w:rFonts w:ascii="Arial" w:hAnsi="Arial" w:cs="Arial"/>
                <w:sz w:val="24"/>
                <w:szCs w:val="24"/>
              </w:rPr>
              <w:t>REFERENCES:</w:t>
            </w:r>
          </w:p>
          <w:p w14:paraId="7BA0BE21" w14:textId="77777777" w:rsidR="009B5AA5" w:rsidRPr="00FA3F9C" w:rsidRDefault="009B5AA5" w:rsidP="00FC1E85">
            <w:pPr>
              <w:pStyle w:val="ListParagraph"/>
              <w:numPr>
                <w:ilvl w:val="0"/>
                <w:numId w:val="358"/>
              </w:numPr>
              <w:spacing w:after="0" w:line="240" w:lineRule="auto"/>
              <w:rPr>
                <w:rFonts w:ascii="Arial" w:hAnsi="Arial" w:cs="Arial"/>
                <w:sz w:val="24"/>
                <w:szCs w:val="24"/>
              </w:rPr>
            </w:pPr>
            <w:proofErr w:type="spellStart"/>
            <w:r w:rsidRPr="00FA3F9C">
              <w:rPr>
                <w:rFonts w:ascii="Arial" w:hAnsi="Arial" w:cs="Arial"/>
                <w:sz w:val="24"/>
                <w:szCs w:val="24"/>
              </w:rPr>
              <w:t>Motzer</w:t>
            </w:r>
            <w:proofErr w:type="spellEnd"/>
            <w:r w:rsidRPr="00FA3F9C">
              <w:rPr>
                <w:rFonts w:ascii="Arial" w:hAnsi="Arial" w:cs="Arial"/>
                <w:sz w:val="24"/>
                <w:szCs w:val="24"/>
              </w:rPr>
              <w:t xml:space="preserve"> RJ et al. Nivolumab plus Ipilimumab versus Sunitinib in Advanced Renal-Cell Carcinoma. NEJM. 2018 Apr 5;378(14):1277-1290. NCT02231749 PMID 29562145</w:t>
            </w:r>
          </w:p>
          <w:p w14:paraId="60AAEB27" w14:textId="77777777" w:rsidR="009B5AA5" w:rsidRPr="00FA3F9C" w:rsidRDefault="009B5AA5" w:rsidP="00FC1E85">
            <w:pPr>
              <w:pStyle w:val="ListParagraph"/>
              <w:numPr>
                <w:ilvl w:val="0"/>
                <w:numId w:val="358"/>
              </w:numPr>
              <w:spacing w:after="0" w:line="240" w:lineRule="auto"/>
              <w:rPr>
                <w:rFonts w:ascii="Arial" w:hAnsi="Arial" w:cs="Arial"/>
                <w:sz w:val="24"/>
                <w:szCs w:val="24"/>
              </w:rPr>
            </w:pPr>
            <w:proofErr w:type="spellStart"/>
            <w:r w:rsidRPr="00FA3F9C">
              <w:rPr>
                <w:rFonts w:ascii="Arial" w:hAnsi="Arial" w:cs="Arial"/>
                <w:sz w:val="24"/>
                <w:szCs w:val="24"/>
              </w:rPr>
              <w:t>Cella</w:t>
            </w:r>
            <w:proofErr w:type="spellEnd"/>
            <w:r w:rsidRPr="00FA3F9C">
              <w:rPr>
                <w:rFonts w:ascii="Arial" w:hAnsi="Arial" w:cs="Arial"/>
                <w:sz w:val="24"/>
                <w:szCs w:val="24"/>
              </w:rPr>
              <w:t xml:space="preserve"> D et al. Patient-reported outcomes of patients with advanced renal cell carcinoma treated with nivolumab plus ipilimumab versus sunitinib (</w:t>
            </w:r>
            <w:proofErr w:type="spellStart"/>
            <w:r w:rsidRPr="00FA3F9C">
              <w:rPr>
                <w:rFonts w:ascii="Arial" w:hAnsi="Arial" w:cs="Arial"/>
                <w:sz w:val="24"/>
                <w:szCs w:val="24"/>
              </w:rPr>
              <w:t>CheckMate</w:t>
            </w:r>
            <w:proofErr w:type="spellEnd"/>
            <w:r w:rsidRPr="00FA3F9C">
              <w:rPr>
                <w:rFonts w:ascii="Arial" w:hAnsi="Arial" w:cs="Arial"/>
                <w:sz w:val="24"/>
                <w:szCs w:val="24"/>
              </w:rPr>
              <w:t xml:space="preserve"> 214): a </w:t>
            </w:r>
            <w:proofErr w:type="spellStart"/>
            <w:r w:rsidRPr="00FA3F9C">
              <w:rPr>
                <w:rFonts w:ascii="Arial" w:hAnsi="Arial" w:cs="Arial"/>
                <w:sz w:val="24"/>
                <w:szCs w:val="24"/>
              </w:rPr>
              <w:t>randomised</w:t>
            </w:r>
            <w:proofErr w:type="spellEnd"/>
            <w:r w:rsidRPr="00FA3F9C">
              <w:rPr>
                <w:rFonts w:ascii="Arial" w:hAnsi="Arial" w:cs="Arial"/>
                <w:sz w:val="24"/>
                <w:szCs w:val="24"/>
              </w:rPr>
              <w:t>, phase 3 trial. Lancet Oncol. 2019 Feb;20(2):297-310. PMID 30658932 NCT02231749</w:t>
            </w:r>
          </w:p>
          <w:p w14:paraId="180C180E" w14:textId="77777777" w:rsidR="009B5AA5" w:rsidRPr="00FA3F9C" w:rsidRDefault="009B5AA5" w:rsidP="00FC1E85">
            <w:pPr>
              <w:pStyle w:val="ListParagraph"/>
              <w:numPr>
                <w:ilvl w:val="0"/>
                <w:numId w:val="358"/>
              </w:numPr>
              <w:spacing w:after="0" w:line="240" w:lineRule="auto"/>
              <w:rPr>
                <w:rFonts w:ascii="Arial" w:hAnsi="Arial" w:cs="Arial"/>
                <w:sz w:val="24"/>
                <w:szCs w:val="24"/>
              </w:rPr>
            </w:pPr>
            <w:r w:rsidRPr="00FA3F9C">
              <w:rPr>
                <w:rFonts w:ascii="Arial" w:hAnsi="Arial" w:cs="Arial"/>
                <w:sz w:val="24"/>
                <w:szCs w:val="24"/>
              </w:rPr>
              <w:t xml:space="preserve">Choueiri TK et al. Nivolumab plus </w:t>
            </w:r>
            <w:proofErr w:type="spellStart"/>
            <w:r w:rsidRPr="00FA3F9C">
              <w:rPr>
                <w:rFonts w:ascii="Arial" w:hAnsi="Arial" w:cs="Arial"/>
                <w:sz w:val="24"/>
                <w:szCs w:val="24"/>
              </w:rPr>
              <w:t>Cabozantinib</w:t>
            </w:r>
            <w:proofErr w:type="spellEnd"/>
            <w:r w:rsidRPr="00FA3F9C">
              <w:rPr>
                <w:rFonts w:ascii="Arial" w:hAnsi="Arial" w:cs="Arial"/>
                <w:sz w:val="24"/>
                <w:szCs w:val="24"/>
              </w:rPr>
              <w:t xml:space="preserve"> versus Sunitinib for Advanced Renal-Cell Carcinoma. N </w:t>
            </w:r>
            <w:proofErr w:type="spellStart"/>
            <w:r w:rsidRPr="00FA3F9C">
              <w:rPr>
                <w:rFonts w:ascii="Arial" w:hAnsi="Arial" w:cs="Arial"/>
                <w:sz w:val="24"/>
                <w:szCs w:val="24"/>
              </w:rPr>
              <w:t>Engl</w:t>
            </w:r>
            <w:proofErr w:type="spellEnd"/>
            <w:r w:rsidRPr="00FA3F9C">
              <w:rPr>
                <w:rFonts w:ascii="Arial" w:hAnsi="Arial" w:cs="Arial"/>
                <w:sz w:val="24"/>
                <w:szCs w:val="24"/>
              </w:rPr>
              <w:t xml:space="preserve"> J Med. 2021 Mar 4;384(9):829-841. </w:t>
            </w:r>
            <w:proofErr w:type="spellStart"/>
            <w:r w:rsidRPr="00FA3F9C">
              <w:rPr>
                <w:rFonts w:ascii="Arial" w:hAnsi="Arial" w:cs="Arial"/>
                <w:sz w:val="24"/>
                <w:szCs w:val="24"/>
              </w:rPr>
              <w:t>doi</w:t>
            </w:r>
            <w:proofErr w:type="spellEnd"/>
            <w:r w:rsidRPr="00FA3F9C">
              <w:rPr>
                <w:rFonts w:ascii="Arial" w:hAnsi="Arial" w:cs="Arial"/>
                <w:sz w:val="24"/>
                <w:szCs w:val="24"/>
              </w:rPr>
              <w:t>: 10.1056/NEJMoa2026982. PMID: 33657295.</w:t>
            </w:r>
          </w:p>
          <w:p w14:paraId="23037F3E" w14:textId="77777777" w:rsidR="009B5AA5" w:rsidRPr="00FA3F9C" w:rsidRDefault="009B5AA5" w:rsidP="00FC1E85">
            <w:pPr>
              <w:pStyle w:val="ListParagraph"/>
              <w:numPr>
                <w:ilvl w:val="0"/>
                <w:numId w:val="358"/>
              </w:numPr>
              <w:spacing w:after="0" w:line="240" w:lineRule="auto"/>
              <w:rPr>
                <w:rFonts w:ascii="Arial" w:hAnsi="Arial" w:cs="Arial"/>
                <w:sz w:val="24"/>
                <w:szCs w:val="24"/>
              </w:rPr>
            </w:pPr>
            <w:proofErr w:type="spellStart"/>
            <w:r w:rsidRPr="00FA3F9C">
              <w:rPr>
                <w:rFonts w:ascii="Arial" w:hAnsi="Arial" w:cs="Arial"/>
                <w:sz w:val="24"/>
                <w:szCs w:val="24"/>
              </w:rPr>
              <w:t>Motzer</w:t>
            </w:r>
            <w:proofErr w:type="spellEnd"/>
            <w:r w:rsidRPr="00FA3F9C">
              <w:rPr>
                <w:rFonts w:ascii="Arial" w:hAnsi="Arial" w:cs="Arial"/>
                <w:sz w:val="24"/>
                <w:szCs w:val="24"/>
              </w:rPr>
              <w:t xml:space="preserve"> RJ et al. Nivolumab vs </w:t>
            </w:r>
            <w:proofErr w:type="spellStart"/>
            <w:r w:rsidRPr="00FA3F9C">
              <w:rPr>
                <w:rFonts w:ascii="Arial" w:hAnsi="Arial" w:cs="Arial"/>
                <w:sz w:val="24"/>
                <w:szCs w:val="24"/>
              </w:rPr>
              <w:t>everolimus</w:t>
            </w:r>
            <w:proofErr w:type="spellEnd"/>
            <w:r w:rsidRPr="00FA3F9C">
              <w:rPr>
                <w:rFonts w:ascii="Arial" w:hAnsi="Arial" w:cs="Arial"/>
                <w:sz w:val="24"/>
                <w:szCs w:val="24"/>
              </w:rPr>
              <w:t xml:space="preserve"> in advanced RCC. NEJM 2015;373:1803-13. [CHECKMATE 025, NCT01668784] </w:t>
            </w:r>
          </w:p>
        </w:tc>
      </w:tr>
    </w:tbl>
    <w:p w14:paraId="0E5E93B4" w14:textId="77777777" w:rsidR="009B5AA5" w:rsidRPr="00FA3F9C" w:rsidRDefault="009B5AA5" w:rsidP="002C32D1">
      <w:pPr>
        <w:rPr>
          <w:rFonts w:ascii="Arial" w:hAnsi="Arial" w:cs="Arial"/>
          <w:b/>
          <w:sz w:val="24"/>
          <w:szCs w:val="24"/>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68"/>
      </w:tblGrid>
      <w:tr w:rsidR="009B5AA5" w:rsidRPr="00FA3F9C" w14:paraId="23EDBD10" w14:textId="77777777" w:rsidTr="00404253">
        <w:trPr>
          <w:trHeight w:val="170"/>
        </w:trPr>
        <w:tc>
          <w:tcPr>
            <w:tcW w:w="10368" w:type="dxa"/>
            <w:tcBorders>
              <w:bottom w:val="single" w:sz="4" w:space="0" w:color="auto"/>
            </w:tcBorders>
            <w:shd w:val="clear" w:color="auto" w:fill="000000"/>
          </w:tcPr>
          <w:p w14:paraId="5D551404" w14:textId="77777777" w:rsidR="009B5AA5" w:rsidRPr="00FA3F9C" w:rsidRDefault="009B5AA5" w:rsidP="00404253">
            <w:pPr>
              <w:spacing w:after="0"/>
              <w:rPr>
                <w:rFonts w:ascii="Arial" w:hAnsi="Arial" w:cs="Arial"/>
                <w:b/>
                <w:sz w:val="24"/>
                <w:szCs w:val="24"/>
                <w:u w:val="single"/>
              </w:rPr>
            </w:pPr>
            <w:r w:rsidRPr="00FA3F9C">
              <w:rPr>
                <w:rFonts w:ascii="Arial" w:hAnsi="Arial" w:cs="Arial"/>
                <w:sz w:val="24"/>
                <w:szCs w:val="24"/>
              </w:rPr>
              <w:br w:type="page"/>
            </w:r>
            <w:r w:rsidRPr="00FA3F9C">
              <w:rPr>
                <w:rFonts w:ascii="Arial" w:hAnsi="Arial" w:cs="Arial"/>
                <w:b/>
                <w:sz w:val="24"/>
                <w:szCs w:val="24"/>
                <w:u w:val="single"/>
              </w:rPr>
              <w:t>Classical</w:t>
            </w:r>
            <w:r w:rsidRPr="00FA3F9C">
              <w:rPr>
                <w:rFonts w:ascii="Arial" w:hAnsi="Arial" w:cs="Arial"/>
                <w:sz w:val="24"/>
                <w:szCs w:val="24"/>
                <w:u w:val="single"/>
              </w:rPr>
              <w:t xml:space="preserve"> </w:t>
            </w:r>
            <w:r w:rsidRPr="00FA3F9C">
              <w:rPr>
                <w:rFonts w:ascii="Arial" w:hAnsi="Arial" w:cs="Arial"/>
                <w:b/>
                <w:sz w:val="24"/>
                <w:szCs w:val="24"/>
                <w:u w:val="single"/>
              </w:rPr>
              <w:t>Hodgkin Lymphoma (relapsed/refractory)</w:t>
            </w:r>
            <w:bookmarkStart w:id="229" w:name="hodgkin"/>
            <w:bookmarkEnd w:id="229"/>
          </w:p>
        </w:tc>
      </w:tr>
      <w:tr w:rsidR="009B5AA5" w:rsidRPr="00FA3F9C" w14:paraId="6EEEAF57" w14:textId="77777777" w:rsidTr="00404253">
        <w:tc>
          <w:tcPr>
            <w:tcW w:w="10368" w:type="dxa"/>
            <w:tcBorders>
              <w:bottom w:val="single" w:sz="4" w:space="0" w:color="auto"/>
            </w:tcBorders>
          </w:tcPr>
          <w:p w14:paraId="727ADFF5" w14:textId="77777777" w:rsidR="009B5AA5" w:rsidRPr="00FA3F9C" w:rsidRDefault="009B5AA5" w:rsidP="00FC1E85">
            <w:pPr>
              <w:numPr>
                <w:ilvl w:val="0"/>
                <w:numId w:val="362"/>
              </w:numPr>
              <w:spacing w:after="0" w:line="276" w:lineRule="auto"/>
              <w:rPr>
                <w:rFonts w:ascii="Arial" w:hAnsi="Arial" w:cs="Arial"/>
                <w:sz w:val="24"/>
                <w:szCs w:val="24"/>
              </w:rPr>
            </w:pPr>
            <w:r w:rsidRPr="00FA3F9C">
              <w:rPr>
                <w:rFonts w:ascii="Arial" w:hAnsi="Arial" w:cs="Arial"/>
                <w:sz w:val="24"/>
                <w:szCs w:val="24"/>
              </w:rPr>
              <w:t xml:space="preserve">Diagnosis of Classical Hodgkin Lymphoma </w:t>
            </w:r>
          </w:p>
        </w:tc>
      </w:tr>
      <w:tr w:rsidR="009B5AA5" w:rsidRPr="00FA3F9C" w14:paraId="2F6CA729" w14:textId="77777777" w:rsidTr="00404253">
        <w:tc>
          <w:tcPr>
            <w:tcW w:w="10368" w:type="dxa"/>
          </w:tcPr>
          <w:p w14:paraId="55C987D4" w14:textId="77777777" w:rsidR="009B5AA5" w:rsidRPr="00FA3F9C" w:rsidRDefault="009B5AA5" w:rsidP="00FC1E85">
            <w:pPr>
              <w:numPr>
                <w:ilvl w:val="0"/>
                <w:numId w:val="362"/>
              </w:numPr>
              <w:spacing w:after="0" w:line="276" w:lineRule="auto"/>
              <w:rPr>
                <w:rFonts w:ascii="Arial" w:hAnsi="Arial" w:cs="Arial"/>
                <w:sz w:val="24"/>
                <w:szCs w:val="24"/>
              </w:rPr>
            </w:pPr>
            <w:r w:rsidRPr="00FA3F9C">
              <w:rPr>
                <w:rFonts w:ascii="Arial" w:hAnsi="Arial" w:cs="Arial"/>
                <w:sz w:val="24"/>
                <w:szCs w:val="24"/>
              </w:rPr>
              <w:lastRenderedPageBreak/>
              <w:t xml:space="preserve">Classical Hodgkin Lymphoma has relapsed or progressed </w:t>
            </w:r>
            <w:r w:rsidRPr="00FA3F9C">
              <w:rPr>
                <w:rFonts w:ascii="Arial" w:hAnsi="Arial" w:cs="Arial"/>
                <w:sz w:val="24"/>
                <w:szCs w:val="24"/>
                <w:u w:val="single"/>
              </w:rPr>
              <w:t>after</w:t>
            </w:r>
            <w:r w:rsidRPr="00FA3F9C">
              <w:rPr>
                <w:rFonts w:ascii="Arial" w:hAnsi="Arial" w:cs="Arial"/>
                <w:sz w:val="24"/>
                <w:szCs w:val="24"/>
              </w:rPr>
              <w:t xml:space="preserve"> autologous hematopoietic stem cell transplant</w:t>
            </w:r>
          </w:p>
        </w:tc>
      </w:tr>
      <w:tr w:rsidR="009B5AA5" w:rsidRPr="00FA3F9C" w14:paraId="4B0AB4C2" w14:textId="77777777" w:rsidTr="00404253">
        <w:tc>
          <w:tcPr>
            <w:tcW w:w="10368" w:type="dxa"/>
          </w:tcPr>
          <w:p w14:paraId="76558CE2" w14:textId="77777777" w:rsidR="009B5AA5" w:rsidRPr="00FA3F9C" w:rsidRDefault="009B5AA5" w:rsidP="00FC1E85">
            <w:pPr>
              <w:pStyle w:val="ListParagraph"/>
              <w:numPr>
                <w:ilvl w:val="0"/>
                <w:numId w:val="362"/>
              </w:numPr>
              <w:spacing w:after="0" w:line="276" w:lineRule="auto"/>
              <w:rPr>
                <w:rFonts w:ascii="Arial" w:hAnsi="Arial" w:cs="Arial"/>
                <w:sz w:val="24"/>
                <w:szCs w:val="24"/>
              </w:rPr>
            </w:pPr>
            <w:r w:rsidRPr="00FA3F9C">
              <w:rPr>
                <w:rFonts w:ascii="Arial" w:hAnsi="Arial" w:cs="Arial"/>
                <w:sz w:val="24"/>
                <w:szCs w:val="24"/>
              </w:rPr>
              <w:t>No prior PD-L1 or PD-1 inhibitor</w:t>
            </w:r>
          </w:p>
        </w:tc>
      </w:tr>
      <w:tr w:rsidR="009B5AA5" w:rsidRPr="00FA3F9C" w14:paraId="52A6AE14" w14:textId="77777777" w:rsidTr="00404253">
        <w:tc>
          <w:tcPr>
            <w:tcW w:w="10368" w:type="dxa"/>
          </w:tcPr>
          <w:p w14:paraId="74C55DA6" w14:textId="77777777" w:rsidR="009B5AA5" w:rsidRPr="00FA3F9C" w:rsidRDefault="009B5AA5" w:rsidP="00FC1E85">
            <w:pPr>
              <w:pStyle w:val="ListParagraph"/>
              <w:numPr>
                <w:ilvl w:val="0"/>
                <w:numId w:val="362"/>
              </w:numPr>
              <w:spacing w:after="0" w:line="276" w:lineRule="auto"/>
              <w:rPr>
                <w:rFonts w:ascii="Arial" w:hAnsi="Arial" w:cs="Arial"/>
                <w:sz w:val="24"/>
                <w:szCs w:val="24"/>
              </w:rPr>
            </w:pPr>
            <w:r w:rsidRPr="00FA3F9C">
              <w:rPr>
                <w:rFonts w:ascii="Arial" w:hAnsi="Arial" w:cs="Arial"/>
                <w:sz w:val="24"/>
                <w:szCs w:val="24"/>
              </w:rPr>
              <w:t>Nivolumab will be used as single agent</w:t>
            </w:r>
          </w:p>
        </w:tc>
      </w:tr>
      <w:tr w:rsidR="009B5AA5" w:rsidRPr="00FA3F9C" w14:paraId="0E99D947" w14:textId="77777777" w:rsidTr="00404253">
        <w:tc>
          <w:tcPr>
            <w:tcW w:w="10368" w:type="dxa"/>
            <w:shd w:val="clear" w:color="auto" w:fill="F2F2F2" w:themeFill="background1" w:themeFillShade="F2"/>
          </w:tcPr>
          <w:p w14:paraId="5F710A02" w14:textId="77777777" w:rsidR="009B5AA5" w:rsidRPr="00FA3F9C" w:rsidRDefault="009B5AA5" w:rsidP="00404253">
            <w:pPr>
              <w:spacing w:after="0"/>
              <w:rPr>
                <w:rFonts w:ascii="Arial" w:hAnsi="Arial" w:cs="Arial"/>
                <w:sz w:val="24"/>
                <w:szCs w:val="24"/>
              </w:rPr>
            </w:pPr>
            <w:r w:rsidRPr="00FA3F9C">
              <w:rPr>
                <w:rFonts w:ascii="Arial" w:hAnsi="Arial" w:cs="Arial"/>
                <w:b/>
                <w:sz w:val="24"/>
                <w:szCs w:val="24"/>
              </w:rPr>
              <w:t>If above criteria fulfilled, approve x 12 months</w:t>
            </w:r>
          </w:p>
        </w:tc>
      </w:tr>
      <w:tr w:rsidR="009B5AA5" w:rsidRPr="00FA3F9C" w14:paraId="244EFF5D" w14:textId="77777777" w:rsidTr="00404253">
        <w:tc>
          <w:tcPr>
            <w:tcW w:w="10368" w:type="dxa"/>
            <w:shd w:val="clear" w:color="auto" w:fill="F2F2F2" w:themeFill="background1" w:themeFillShade="F2"/>
          </w:tcPr>
          <w:p w14:paraId="3F313782" w14:textId="77777777" w:rsidR="009B5AA5" w:rsidRPr="00FA3F9C" w:rsidRDefault="009B5AA5" w:rsidP="00404253">
            <w:pPr>
              <w:spacing w:after="0"/>
              <w:rPr>
                <w:rFonts w:ascii="Arial" w:hAnsi="Arial" w:cs="Arial"/>
                <w:sz w:val="24"/>
                <w:szCs w:val="24"/>
              </w:rPr>
            </w:pPr>
            <w:r w:rsidRPr="00FA3F9C">
              <w:rPr>
                <w:rFonts w:ascii="Arial" w:hAnsi="Arial" w:cs="Arial"/>
                <w:sz w:val="24"/>
                <w:szCs w:val="24"/>
              </w:rPr>
              <w:t xml:space="preserve">Note: </w:t>
            </w:r>
          </w:p>
          <w:p w14:paraId="5E2B5156" w14:textId="77777777" w:rsidR="009B5AA5" w:rsidRPr="00FA3F9C" w:rsidRDefault="009B5AA5" w:rsidP="00404253">
            <w:pPr>
              <w:spacing w:after="0"/>
              <w:rPr>
                <w:rFonts w:ascii="Arial" w:hAnsi="Arial" w:cs="Arial"/>
                <w:sz w:val="24"/>
                <w:szCs w:val="24"/>
              </w:rPr>
            </w:pPr>
            <w:r w:rsidRPr="00FA3F9C">
              <w:rPr>
                <w:rFonts w:ascii="Arial" w:hAnsi="Arial" w:cs="Arial"/>
                <w:sz w:val="24"/>
                <w:szCs w:val="24"/>
              </w:rPr>
              <w:t xml:space="preserve">-Classical Hodgkin Lymphoma includes the following subtypes: nodular sclerosis, mixed cellularity, lymphocyte-predominant, and lymphocyte-rich, which are all treated similarly.  </w:t>
            </w:r>
          </w:p>
          <w:p w14:paraId="3EDC4BA6" w14:textId="77777777" w:rsidR="009B5AA5" w:rsidRPr="00FA3F9C" w:rsidRDefault="009B5AA5" w:rsidP="00404253">
            <w:pPr>
              <w:spacing w:after="0"/>
              <w:rPr>
                <w:rFonts w:ascii="Arial" w:hAnsi="Arial" w:cs="Arial"/>
                <w:sz w:val="24"/>
                <w:szCs w:val="24"/>
              </w:rPr>
            </w:pPr>
            <w:r w:rsidRPr="00FA3F9C">
              <w:rPr>
                <w:rFonts w:ascii="Arial" w:hAnsi="Arial" w:cs="Arial"/>
                <w:sz w:val="24"/>
                <w:szCs w:val="24"/>
              </w:rPr>
              <w:t xml:space="preserve">- Nodular lymphocyte-predominant Hodgkin lymphoma is NOT a type of classical Hodgkin lymphoma and is not covered under </w:t>
            </w:r>
            <w:proofErr w:type="gramStart"/>
            <w:r w:rsidRPr="00FA3F9C">
              <w:rPr>
                <w:rFonts w:ascii="Arial" w:hAnsi="Arial" w:cs="Arial"/>
                <w:sz w:val="24"/>
                <w:szCs w:val="24"/>
              </w:rPr>
              <w:t>this criteria</w:t>
            </w:r>
            <w:proofErr w:type="gramEnd"/>
          </w:p>
        </w:tc>
      </w:tr>
      <w:tr w:rsidR="009B5AA5" w:rsidRPr="00FA3F9C" w14:paraId="2EBD907F" w14:textId="77777777" w:rsidTr="00404253">
        <w:tc>
          <w:tcPr>
            <w:tcW w:w="10368" w:type="dxa"/>
            <w:tcBorders>
              <w:bottom w:val="single" w:sz="4" w:space="0" w:color="auto"/>
            </w:tcBorders>
            <w:shd w:val="clear" w:color="auto" w:fill="BFBFBF" w:themeFill="background1" w:themeFillShade="BF"/>
          </w:tcPr>
          <w:p w14:paraId="05A76762" w14:textId="77777777" w:rsidR="009B5AA5" w:rsidRPr="00FA3F9C" w:rsidRDefault="009B5AA5" w:rsidP="00404253">
            <w:pPr>
              <w:spacing w:after="0"/>
              <w:rPr>
                <w:rFonts w:ascii="Arial" w:hAnsi="Arial" w:cs="Arial"/>
                <w:sz w:val="24"/>
                <w:szCs w:val="24"/>
              </w:rPr>
            </w:pPr>
            <w:r w:rsidRPr="00FA3F9C">
              <w:rPr>
                <w:rFonts w:ascii="Arial" w:hAnsi="Arial" w:cs="Arial"/>
                <w:sz w:val="24"/>
                <w:szCs w:val="24"/>
              </w:rPr>
              <w:t xml:space="preserve">Notes:  </w:t>
            </w:r>
          </w:p>
          <w:p w14:paraId="0235D0DB" w14:textId="77777777" w:rsidR="009B5AA5" w:rsidRPr="00FA3F9C" w:rsidRDefault="009B5AA5" w:rsidP="00404253">
            <w:pPr>
              <w:spacing w:after="0"/>
              <w:rPr>
                <w:rFonts w:ascii="Arial" w:hAnsi="Arial" w:cs="Arial"/>
                <w:sz w:val="24"/>
                <w:szCs w:val="24"/>
              </w:rPr>
            </w:pPr>
            <w:r w:rsidRPr="00FA3F9C">
              <w:rPr>
                <w:rFonts w:ascii="Arial" w:hAnsi="Arial" w:cs="Arial"/>
                <w:sz w:val="24"/>
                <w:szCs w:val="24"/>
              </w:rPr>
              <w:t xml:space="preserve">Therapy continues until disease progression or unacceptable toxicity. An indirect comparison found that nivolumab was superior for overall survival compared to brentuximab and best supportive care (median overall survival 100 </w:t>
            </w:r>
            <w:proofErr w:type="spellStart"/>
            <w:r w:rsidRPr="00FA3F9C">
              <w:rPr>
                <w:rFonts w:ascii="Arial" w:hAnsi="Arial" w:cs="Arial"/>
                <w:sz w:val="24"/>
                <w:szCs w:val="24"/>
              </w:rPr>
              <w:t>mo</w:t>
            </w:r>
            <w:proofErr w:type="spellEnd"/>
            <w:r w:rsidRPr="00FA3F9C">
              <w:rPr>
                <w:rFonts w:ascii="Arial" w:hAnsi="Arial" w:cs="Arial"/>
                <w:sz w:val="24"/>
                <w:szCs w:val="24"/>
              </w:rPr>
              <w:t xml:space="preserve"> vs 48 </w:t>
            </w:r>
            <w:proofErr w:type="spellStart"/>
            <w:r w:rsidRPr="00FA3F9C">
              <w:rPr>
                <w:rFonts w:ascii="Arial" w:hAnsi="Arial" w:cs="Arial"/>
                <w:sz w:val="24"/>
                <w:szCs w:val="24"/>
              </w:rPr>
              <w:t>mo</w:t>
            </w:r>
            <w:proofErr w:type="spellEnd"/>
            <w:r w:rsidRPr="00FA3F9C">
              <w:rPr>
                <w:rFonts w:ascii="Arial" w:hAnsi="Arial" w:cs="Arial"/>
                <w:sz w:val="24"/>
                <w:szCs w:val="24"/>
              </w:rPr>
              <w:t xml:space="preserve"> vs 25 </w:t>
            </w:r>
            <w:proofErr w:type="spellStart"/>
            <w:r w:rsidRPr="00FA3F9C">
              <w:rPr>
                <w:rFonts w:ascii="Arial" w:hAnsi="Arial" w:cs="Arial"/>
                <w:sz w:val="24"/>
                <w:szCs w:val="24"/>
              </w:rPr>
              <w:t>mo</w:t>
            </w:r>
            <w:proofErr w:type="spellEnd"/>
            <w:r w:rsidRPr="00FA3F9C">
              <w:rPr>
                <w:rFonts w:ascii="Arial" w:hAnsi="Arial" w:cs="Arial"/>
                <w:sz w:val="24"/>
                <w:szCs w:val="24"/>
              </w:rPr>
              <w:t>, respectively) in patients who had undergone previous autologous hematopoietic stem cell transplant.</w:t>
            </w:r>
          </w:p>
          <w:p w14:paraId="659A0227" w14:textId="77777777" w:rsidR="009B5AA5" w:rsidRPr="00FA3F9C" w:rsidRDefault="009B5AA5" w:rsidP="00404253">
            <w:pPr>
              <w:spacing w:after="0" w:line="240" w:lineRule="auto"/>
              <w:rPr>
                <w:rFonts w:ascii="Arial" w:hAnsi="Arial" w:cs="Arial"/>
                <w:sz w:val="24"/>
                <w:szCs w:val="24"/>
              </w:rPr>
            </w:pPr>
            <w:r w:rsidRPr="00FA3F9C">
              <w:rPr>
                <w:rFonts w:ascii="Arial" w:hAnsi="Arial" w:cs="Arial"/>
                <w:sz w:val="24"/>
                <w:szCs w:val="24"/>
              </w:rPr>
              <w:t>REFERENCES:</w:t>
            </w:r>
          </w:p>
          <w:p w14:paraId="60516C88" w14:textId="77777777" w:rsidR="009B5AA5" w:rsidRPr="00FA3F9C" w:rsidRDefault="009B5AA5" w:rsidP="00FC1E85">
            <w:pPr>
              <w:pStyle w:val="ListParagraph"/>
              <w:numPr>
                <w:ilvl w:val="0"/>
                <w:numId w:val="363"/>
              </w:numPr>
              <w:spacing w:after="0" w:line="276" w:lineRule="auto"/>
              <w:rPr>
                <w:rFonts w:ascii="Arial" w:hAnsi="Arial" w:cs="Arial"/>
                <w:sz w:val="24"/>
                <w:szCs w:val="24"/>
              </w:rPr>
            </w:pPr>
            <w:r w:rsidRPr="00FA3F9C">
              <w:rPr>
                <w:rFonts w:ascii="Arial" w:hAnsi="Arial" w:cs="Arial"/>
                <w:sz w:val="24"/>
                <w:szCs w:val="24"/>
                <w:lang w:val="es-ES"/>
              </w:rPr>
              <w:t xml:space="preserve">Lozano-Ortega G et al. </w:t>
            </w:r>
            <w:r w:rsidRPr="00FA3F9C">
              <w:rPr>
                <w:rFonts w:ascii="Arial" w:hAnsi="Arial" w:cs="Arial"/>
                <w:sz w:val="24"/>
                <w:szCs w:val="24"/>
              </w:rPr>
              <w:t xml:space="preserve">Incremental Survival with Nivolumab Relative to Standard of Care in Classical Hodgkin Lymphoma: A Canadian Analysis. Blood 2018 132:5894; </w:t>
            </w:r>
            <w:hyperlink r:id="rId293" w:history="1">
              <w:r w:rsidRPr="00FA3F9C">
                <w:rPr>
                  <w:rStyle w:val="Hyperlink"/>
                  <w:rFonts w:ascii="Arial" w:hAnsi="Arial" w:cs="Arial"/>
                  <w:sz w:val="24"/>
                  <w:szCs w:val="24"/>
                </w:rPr>
                <w:t>http://www.bloodjournal.org/content/132/Suppl_1/5894</w:t>
              </w:r>
            </w:hyperlink>
            <w:r w:rsidRPr="00FA3F9C">
              <w:rPr>
                <w:rFonts w:ascii="Arial" w:hAnsi="Arial" w:cs="Arial"/>
                <w:sz w:val="24"/>
                <w:szCs w:val="24"/>
              </w:rPr>
              <w:t xml:space="preserve">. </w:t>
            </w:r>
          </w:p>
        </w:tc>
      </w:tr>
    </w:tbl>
    <w:p w14:paraId="395D31FA" w14:textId="77777777" w:rsidR="009B5AA5" w:rsidRPr="00FA3F9C" w:rsidRDefault="009B5AA5" w:rsidP="002C32D1">
      <w:pPr>
        <w:rPr>
          <w:rFonts w:ascii="Arial" w:hAnsi="Arial" w:cs="Arial"/>
          <w:b/>
          <w:sz w:val="24"/>
          <w:szCs w:val="24"/>
        </w:rPr>
      </w:pPr>
    </w:p>
    <w:p w14:paraId="4753157E" w14:textId="77777777" w:rsidR="009B5AA5" w:rsidRPr="00FA3F9C" w:rsidRDefault="009B5AA5" w:rsidP="002C32D1">
      <w:pPr>
        <w:rPr>
          <w:rFonts w:ascii="Arial" w:hAnsi="Arial" w:cs="Arial"/>
          <w:b/>
          <w:sz w:val="24"/>
          <w:szCs w:val="24"/>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68"/>
      </w:tblGrid>
      <w:tr w:rsidR="009B5AA5" w:rsidRPr="00FA3F9C" w14:paraId="2D18857C" w14:textId="77777777" w:rsidTr="00404253">
        <w:tc>
          <w:tcPr>
            <w:tcW w:w="10368" w:type="dxa"/>
            <w:tcBorders>
              <w:bottom w:val="single" w:sz="4" w:space="0" w:color="auto"/>
            </w:tcBorders>
            <w:shd w:val="clear" w:color="auto" w:fill="000000"/>
          </w:tcPr>
          <w:p w14:paraId="596C5C29" w14:textId="77777777" w:rsidR="009B5AA5" w:rsidRPr="00FA3F9C" w:rsidRDefault="009B5AA5" w:rsidP="00404253">
            <w:pPr>
              <w:spacing w:after="0"/>
              <w:rPr>
                <w:rFonts w:ascii="Arial" w:hAnsi="Arial" w:cs="Arial"/>
                <w:b/>
                <w:sz w:val="24"/>
                <w:szCs w:val="24"/>
                <w:u w:val="single"/>
              </w:rPr>
            </w:pPr>
            <w:r w:rsidRPr="00FA3F9C">
              <w:rPr>
                <w:rFonts w:ascii="Arial" w:hAnsi="Arial" w:cs="Arial"/>
                <w:sz w:val="24"/>
                <w:szCs w:val="24"/>
              </w:rPr>
              <w:br w:type="page"/>
            </w:r>
            <w:r w:rsidRPr="00FA3F9C">
              <w:rPr>
                <w:rFonts w:ascii="Arial" w:hAnsi="Arial" w:cs="Arial"/>
                <w:b/>
                <w:sz w:val="24"/>
                <w:szCs w:val="24"/>
                <w:u w:val="single"/>
              </w:rPr>
              <w:t>Head and Neck Cancer (squamous cell carcinoma only)</w:t>
            </w:r>
            <w:bookmarkStart w:id="230" w:name="head_neck"/>
            <w:bookmarkEnd w:id="230"/>
          </w:p>
        </w:tc>
      </w:tr>
      <w:tr w:rsidR="009B5AA5" w:rsidRPr="00FA3F9C" w14:paraId="5B42D173" w14:textId="77777777" w:rsidTr="00404253">
        <w:tc>
          <w:tcPr>
            <w:tcW w:w="10368" w:type="dxa"/>
          </w:tcPr>
          <w:p w14:paraId="20C5B1CD" w14:textId="77777777" w:rsidR="009B5AA5" w:rsidRPr="00FA3F9C" w:rsidRDefault="009B5AA5" w:rsidP="00FC1E85">
            <w:pPr>
              <w:pStyle w:val="ListParagraph"/>
              <w:numPr>
                <w:ilvl w:val="0"/>
                <w:numId w:val="359"/>
              </w:numPr>
              <w:spacing w:after="0" w:line="276" w:lineRule="auto"/>
              <w:ind w:left="337" w:hanging="247"/>
              <w:rPr>
                <w:rFonts w:ascii="Arial" w:hAnsi="Arial" w:cs="Arial"/>
                <w:sz w:val="24"/>
                <w:szCs w:val="24"/>
              </w:rPr>
            </w:pPr>
            <w:r w:rsidRPr="00FA3F9C">
              <w:rPr>
                <w:rFonts w:ascii="Arial" w:hAnsi="Arial" w:cs="Arial"/>
                <w:sz w:val="24"/>
                <w:szCs w:val="24"/>
              </w:rPr>
              <w:t>Diagnosis of recurrent or metastatic squamous cell carcinoma of the head and neck that progressed within 6 months after treatment with platinum-based chemotherapy.</w:t>
            </w:r>
          </w:p>
        </w:tc>
      </w:tr>
      <w:tr w:rsidR="009B5AA5" w:rsidRPr="00FA3F9C" w14:paraId="58016CEA" w14:textId="77777777" w:rsidTr="00404253">
        <w:tc>
          <w:tcPr>
            <w:tcW w:w="10368" w:type="dxa"/>
          </w:tcPr>
          <w:p w14:paraId="2D6A09A9" w14:textId="77777777" w:rsidR="009B5AA5" w:rsidRPr="00FA3F9C" w:rsidRDefault="009B5AA5" w:rsidP="00FC1E85">
            <w:pPr>
              <w:pStyle w:val="ListParagraph"/>
              <w:numPr>
                <w:ilvl w:val="0"/>
                <w:numId w:val="359"/>
              </w:numPr>
              <w:spacing w:after="0" w:line="276" w:lineRule="auto"/>
              <w:ind w:left="337" w:hanging="247"/>
              <w:rPr>
                <w:rFonts w:ascii="Arial" w:hAnsi="Arial" w:cs="Arial"/>
                <w:sz w:val="24"/>
                <w:szCs w:val="24"/>
              </w:rPr>
            </w:pPr>
            <w:r w:rsidRPr="00FA3F9C">
              <w:rPr>
                <w:rFonts w:ascii="Arial" w:hAnsi="Arial" w:cs="Arial"/>
                <w:sz w:val="24"/>
                <w:szCs w:val="24"/>
              </w:rPr>
              <w:t xml:space="preserve">Patient does NOT have nasopharyngeal cancer </w:t>
            </w:r>
          </w:p>
        </w:tc>
      </w:tr>
      <w:tr w:rsidR="009B5AA5" w:rsidRPr="00FA3F9C" w14:paraId="518A2BBF" w14:textId="77777777" w:rsidTr="00404253">
        <w:tc>
          <w:tcPr>
            <w:tcW w:w="10368" w:type="dxa"/>
          </w:tcPr>
          <w:p w14:paraId="49BC22A7" w14:textId="77777777" w:rsidR="009B5AA5" w:rsidRPr="00FA3F9C" w:rsidRDefault="009B5AA5" w:rsidP="00FC1E85">
            <w:pPr>
              <w:pStyle w:val="ListParagraph"/>
              <w:numPr>
                <w:ilvl w:val="0"/>
                <w:numId w:val="359"/>
              </w:numPr>
              <w:spacing w:after="0" w:line="276" w:lineRule="auto"/>
              <w:ind w:left="337" w:hanging="247"/>
              <w:rPr>
                <w:rFonts w:ascii="Arial" w:hAnsi="Arial" w:cs="Arial"/>
                <w:sz w:val="24"/>
                <w:szCs w:val="24"/>
              </w:rPr>
            </w:pPr>
            <w:r w:rsidRPr="00FA3F9C">
              <w:rPr>
                <w:rFonts w:ascii="Arial" w:hAnsi="Arial" w:cs="Arial"/>
                <w:sz w:val="24"/>
                <w:szCs w:val="24"/>
              </w:rPr>
              <w:t>The patient must be ECOG performance status 0 (fully active) or 1 (ambulatory but restricted in physically strenuous activity).</w:t>
            </w:r>
          </w:p>
        </w:tc>
      </w:tr>
      <w:tr w:rsidR="009B5AA5" w:rsidRPr="00FA3F9C" w14:paraId="3D5CFA7C" w14:textId="77777777" w:rsidTr="00404253">
        <w:tc>
          <w:tcPr>
            <w:tcW w:w="10368" w:type="dxa"/>
            <w:shd w:val="clear" w:color="auto" w:fill="D9D9D9" w:themeFill="background1" w:themeFillShade="D9"/>
          </w:tcPr>
          <w:p w14:paraId="3CBD1860" w14:textId="77777777" w:rsidR="009B5AA5" w:rsidRPr="00FA3F9C" w:rsidRDefault="009B5AA5" w:rsidP="00404253">
            <w:pPr>
              <w:spacing w:after="0"/>
              <w:rPr>
                <w:rFonts w:ascii="Arial" w:hAnsi="Arial" w:cs="Arial"/>
                <w:b/>
                <w:sz w:val="24"/>
                <w:szCs w:val="24"/>
              </w:rPr>
            </w:pPr>
            <w:r w:rsidRPr="00FA3F9C">
              <w:rPr>
                <w:rFonts w:ascii="Arial" w:hAnsi="Arial" w:cs="Arial"/>
                <w:sz w:val="24"/>
                <w:szCs w:val="24"/>
              </w:rPr>
              <w:t>DENIAL CRITERIA</w:t>
            </w:r>
          </w:p>
        </w:tc>
      </w:tr>
      <w:tr w:rsidR="009B5AA5" w:rsidRPr="00FA3F9C" w14:paraId="7732A523" w14:textId="77777777" w:rsidTr="00404253">
        <w:tc>
          <w:tcPr>
            <w:tcW w:w="10368" w:type="dxa"/>
          </w:tcPr>
          <w:p w14:paraId="33023832" w14:textId="77777777" w:rsidR="009B5AA5" w:rsidRPr="00FA3F9C" w:rsidRDefault="009B5AA5" w:rsidP="00404253">
            <w:pPr>
              <w:spacing w:after="0"/>
              <w:rPr>
                <w:rFonts w:ascii="Arial" w:hAnsi="Arial" w:cs="Arial"/>
                <w:b/>
                <w:sz w:val="24"/>
                <w:szCs w:val="24"/>
              </w:rPr>
            </w:pPr>
            <w:r w:rsidRPr="00FA3F9C">
              <w:rPr>
                <w:rFonts w:ascii="Arial" w:hAnsi="Arial" w:cs="Arial"/>
                <w:sz w:val="24"/>
                <w:szCs w:val="24"/>
              </w:rPr>
              <w:lastRenderedPageBreak/>
              <w:t xml:space="preserve">1.  Deny access if patient has active brain metastases unless adequately treated as shown by the patient being neurologically stable for at least 2 weeks without the use of steroids or on stable or decreasing dose of </w:t>
            </w:r>
            <w:r w:rsidRPr="00FA3F9C">
              <w:rPr>
                <w:rFonts w:ascii="Arial" w:hAnsi="Arial" w:cs="Arial"/>
                <w:sz w:val="24"/>
                <w:szCs w:val="24"/>
                <w:u w:val="single"/>
              </w:rPr>
              <w:t xml:space="preserve">&lt; </w:t>
            </w:r>
            <w:r w:rsidRPr="00FA3F9C">
              <w:rPr>
                <w:rFonts w:ascii="Arial" w:hAnsi="Arial" w:cs="Arial"/>
                <w:sz w:val="24"/>
                <w:szCs w:val="24"/>
              </w:rPr>
              <w:t>10mg daily prednisone (or equivalent).</w:t>
            </w:r>
          </w:p>
        </w:tc>
      </w:tr>
      <w:tr w:rsidR="009B5AA5" w:rsidRPr="00FA3F9C" w14:paraId="386E8097" w14:textId="77777777" w:rsidTr="00404253">
        <w:tc>
          <w:tcPr>
            <w:tcW w:w="10368" w:type="dxa"/>
          </w:tcPr>
          <w:p w14:paraId="6CF61AC9" w14:textId="77777777" w:rsidR="009B5AA5" w:rsidRPr="00FA3F9C" w:rsidRDefault="009B5AA5" w:rsidP="00404253">
            <w:pPr>
              <w:spacing w:after="0"/>
              <w:rPr>
                <w:rFonts w:ascii="Arial" w:hAnsi="Arial" w:cs="Arial"/>
                <w:b/>
                <w:sz w:val="24"/>
                <w:szCs w:val="24"/>
              </w:rPr>
            </w:pPr>
            <w:r w:rsidRPr="00FA3F9C">
              <w:rPr>
                <w:rFonts w:ascii="Arial" w:hAnsi="Arial" w:cs="Arial"/>
                <w:sz w:val="24"/>
                <w:szCs w:val="24"/>
              </w:rPr>
              <w:t>2.  Deny access if receiving therapy for an autoimmune disease or taking an immunosuppressant (&gt;10mg daily prednisone equivalent.</w:t>
            </w:r>
          </w:p>
        </w:tc>
      </w:tr>
      <w:tr w:rsidR="009B5AA5" w:rsidRPr="00FA3F9C" w14:paraId="1B55B3C6" w14:textId="77777777" w:rsidTr="00404253">
        <w:tc>
          <w:tcPr>
            <w:tcW w:w="10368" w:type="dxa"/>
          </w:tcPr>
          <w:p w14:paraId="0247E62B" w14:textId="77777777" w:rsidR="009B5AA5" w:rsidRPr="00FA3F9C" w:rsidRDefault="009B5AA5" w:rsidP="00404253">
            <w:pPr>
              <w:spacing w:after="0"/>
              <w:rPr>
                <w:rFonts w:ascii="Arial" w:hAnsi="Arial" w:cs="Arial"/>
                <w:b/>
                <w:sz w:val="24"/>
                <w:szCs w:val="24"/>
              </w:rPr>
            </w:pPr>
            <w:r w:rsidRPr="00FA3F9C">
              <w:rPr>
                <w:rFonts w:ascii="Arial" w:hAnsi="Arial" w:cs="Arial"/>
                <w:sz w:val="24"/>
                <w:szCs w:val="24"/>
              </w:rPr>
              <w:t>3.  Deny access if the presence of human immunodeficiency virus (HIV), hepatitis B virus infection, or hepatitis C virus infection.</w:t>
            </w:r>
          </w:p>
        </w:tc>
      </w:tr>
      <w:tr w:rsidR="009B5AA5" w:rsidRPr="00FA3F9C" w14:paraId="0E787086" w14:textId="77777777" w:rsidTr="00404253">
        <w:tc>
          <w:tcPr>
            <w:tcW w:w="10368" w:type="dxa"/>
          </w:tcPr>
          <w:p w14:paraId="41DE7698" w14:textId="77777777" w:rsidR="009B5AA5" w:rsidRPr="00FA3F9C" w:rsidRDefault="009B5AA5" w:rsidP="00404253">
            <w:pPr>
              <w:spacing w:after="0"/>
              <w:rPr>
                <w:rFonts w:ascii="Arial" w:hAnsi="Arial" w:cs="Arial"/>
                <w:b/>
                <w:sz w:val="24"/>
                <w:szCs w:val="24"/>
              </w:rPr>
            </w:pPr>
            <w:r w:rsidRPr="00FA3F9C">
              <w:rPr>
                <w:rFonts w:ascii="Arial" w:hAnsi="Arial" w:cs="Arial"/>
                <w:sz w:val="24"/>
                <w:szCs w:val="24"/>
              </w:rPr>
              <w:t xml:space="preserve">4.  Deny access if prior treatment with anti-PD-1, anti-PD-L1, anti-PD-L2, anti-CD-137, or anti-CTLA-4 antibody (including ipilimumab or any other antibody or drug specifically targeting T-cell co stimulation or checkpoint pathways).  </w:t>
            </w:r>
          </w:p>
        </w:tc>
      </w:tr>
      <w:tr w:rsidR="009B5AA5" w:rsidRPr="00FA3F9C" w14:paraId="2E1323DD" w14:textId="77777777" w:rsidTr="00404253">
        <w:tc>
          <w:tcPr>
            <w:tcW w:w="10368" w:type="dxa"/>
          </w:tcPr>
          <w:p w14:paraId="3D818D36" w14:textId="77777777" w:rsidR="009B5AA5" w:rsidRPr="00FA3F9C" w:rsidRDefault="009B5AA5" w:rsidP="00404253">
            <w:pPr>
              <w:spacing w:after="0"/>
              <w:rPr>
                <w:rFonts w:ascii="Arial" w:hAnsi="Arial" w:cs="Arial"/>
                <w:sz w:val="24"/>
                <w:szCs w:val="24"/>
              </w:rPr>
            </w:pPr>
            <w:r w:rsidRPr="00FA3F9C">
              <w:rPr>
                <w:rFonts w:ascii="Arial" w:hAnsi="Arial" w:cs="Arial"/>
                <w:b/>
                <w:sz w:val="24"/>
                <w:szCs w:val="24"/>
              </w:rPr>
              <w:t>If all criteria fulfilled, approve for 12 months</w:t>
            </w:r>
          </w:p>
        </w:tc>
      </w:tr>
      <w:tr w:rsidR="009B5AA5" w:rsidRPr="00FA3F9C" w14:paraId="35B952C5" w14:textId="77777777" w:rsidTr="00404253">
        <w:tc>
          <w:tcPr>
            <w:tcW w:w="10368" w:type="dxa"/>
            <w:tcBorders>
              <w:bottom w:val="single" w:sz="4" w:space="0" w:color="auto"/>
            </w:tcBorders>
            <w:shd w:val="clear" w:color="auto" w:fill="BFBFBF" w:themeFill="background1" w:themeFillShade="BF"/>
          </w:tcPr>
          <w:p w14:paraId="2F53A78F" w14:textId="77777777" w:rsidR="009B5AA5" w:rsidRPr="00FA3F9C" w:rsidRDefault="009B5AA5" w:rsidP="00404253">
            <w:pPr>
              <w:spacing w:after="0" w:line="240" w:lineRule="auto"/>
              <w:rPr>
                <w:rFonts w:ascii="Arial" w:hAnsi="Arial" w:cs="Arial"/>
                <w:sz w:val="24"/>
                <w:szCs w:val="24"/>
              </w:rPr>
            </w:pPr>
            <w:r w:rsidRPr="00FA3F9C">
              <w:rPr>
                <w:rFonts w:ascii="Arial" w:hAnsi="Arial" w:cs="Arial"/>
                <w:sz w:val="24"/>
                <w:szCs w:val="24"/>
              </w:rPr>
              <w:t xml:space="preserve">Note:  </w:t>
            </w:r>
          </w:p>
          <w:p w14:paraId="374FDD5C" w14:textId="77777777" w:rsidR="009B5AA5" w:rsidRPr="00FA3F9C" w:rsidRDefault="009B5AA5" w:rsidP="00404253">
            <w:pPr>
              <w:spacing w:after="0" w:line="240" w:lineRule="auto"/>
              <w:rPr>
                <w:rFonts w:ascii="Arial" w:hAnsi="Arial" w:cs="Arial"/>
                <w:sz w:val="24"/>
                <w:szCs w:val="24"/>
              </w:rPr>
            </w:pPr>
            <w:r w:rsidRPr="00FA3F9C">
              <w:rPr>
                <w:rFonts w:ascii="Arial" w:hAnsi="Arial" w:cs="Arial"/>
                <w:sz w:val="24"/>
                <w:szCs w:val="24"/>
              </w:rPr>
              <w:t xml:space="preserve">-OS benefit vs single agent systemic therapy (methotrexate, docetaxel, cetuximab) was 7.5 </w:t>
            </w:r>
            <w:proofErr w:type="spellStart"/>
            <w:r w:rsidRPr="00FA3F9C">
              <w:rPr>
                <w:rFonts w:ascii="Arial" w:hAnsi="Arial" w:cs="Arial"/>
                <w:sz w:val="24"/>
                <w:szCs w:val="24"/>
              </w:rPr>
              <w:t>mo</w:t>
            </w:r>
            <w:proofErr w:type="spellEnd"/>
            <w:r w:rsidRPr="00FA3F9C">
              <w:rPr>
                <w:rFonts w:ascii="Arial" w:hAnsi="Arial" w:cs="Arial"/>
                <w:sz w:val="24"/>
                <w:szCs w:val="24"/>
              </w:rPr>
              <w:t xml:space="preserve"> for nivolumab vs 5.1 months with standard therapy. At 1 year, 36% of patients were alive in nivolumab group vs 17% in control group. Severe adverse events occurred in fewer nivolumab </w:t>
            </w:r>
            <w:proofErr w:type="gramStart"/>
            <w:r w:rsidRPr="00FA3F9C">
              <w:rPr>
                <w:rFonts w:ascii="Arial" w:hAnsi="Arial" w:cs="Arial"/>
                <w:sz w:val="24"/>
                <w:szCs w:val="24"/>
              </w:rPr>
              <w:t>patients</w:t>
            </w:r>
            <w:proofErr w:type="gramEnd"/>
            <w:r w:rsidRPr="00FA3F9C">
              <w:rPr>
                <w:rFonts w:ascii="Arial" w:hAnsi="Arial" w:cs="Arial"/>
                <w:sz w:val="24"/>
                <w:szCs w:val="24"/>
              </w:rPr>
              <w:t xml:space="preserve"> vs chemotherapy (13% vs 35%).</w:t>
            </w:r>
          </w:p>
          <w:p w14:paraId="0DEBE60C" w14:textId="77777777" w:rsidR="009B5AA5" w:rsidRPr="00FA3F9C" w:rsidRDefault="009B5AA5" w:rsidP="00404253">
            <w:pPr>
              <w:spacing w:after="0" w:line="240" w:lineRule="auto"/>
              <w:rPr>
                <w:rFonts w:ascii="Arial" w:hAnsi="Arial" w:cs="Arial"/>
                <w:sz w:val="24"/>
                <w:szCs w:val="24"/>
              </w:rPr>
            </w:pPr>
            <w:r w:rsidRPr="00FA3F9C">
              <w:rPr>
                <w:rFonts w:ascii="Arial" w:hAnsi="Arial" w:cs="Arial"/>
                <w:sz w:val="24"/>
                <w:szCs w:val="24"/>
              </w:rPr>
              <w:t>-Nivolumab has not been well studied for treatment of nasopharyngeal tumors. These tumors behave differently from other head and neck cancers and were excluded from reference trial.</w:t>
            </w:r>
          </w:p>
          <w:p w14:paraId="2DE502BF" w14:textId="77777777" w:rsidR="009B5AA5" w:rsidRPr="00FA3F9C" w:rsidRDefault="009B5AA5" w:rsidP="00404253">
            <w:pPr>
              <w:spacing w:after="0" w:line="240" w:lineRule="auto"/>
              <w:rPr>
                <w:rFonts w:ascii="Arial" w:hAnsi="Arial" w:cs="Arial"/>
                <w:sz w:val="24"/>
                <w:szCs w:val="24"/>
              </w:rPr>
            </w:pPr>
            <w:r w:rsidRPr="00FA3F9C">
              <w:rPr>
                <w:rFonts w:ascii="Arial" w:hAnsi="Arial" w:cs="Arial"/>
                <w:sz w:val="24"/>
                <w:szCs w:val="24"/>
              </w:rPr>
              <w:t>-Dose: 240 mg every 2 weeks or 480 mg every 4 weeks IV infusion. Continue until disease progression or unacceptable toxicity</w:t>
            </w:r>
          </w:p>
          <w:p w14:paraId="45A72F8E" w14:textId="77777777" w:rsidR="009B5AA5" w:rsidRPr="00FA3F9C" w:rsidRDefault="009B5AA5" w:rsidP="00404253">
            <w:pPr>
              <w:spacing w:after="0" w:line="240" w:lineRule="auto"/>
              <w:rPr>
                <w:rFonts w:ascii="Arial" w:hAnsi="Arial" w:cs="Arial"/>
                <w:sz w:val="24"/>
                <w:szCs w:val="24"/>
              </w:rPr>
            </w:pPr>
            <w:r w:rsidRPr="00FA3F9C">
              <w:rPr>
                <w:rFonts w:ascii="Arial" w:hAnsi="Arial" w:cs="Arial"/>
                <w:sz w:val="24"/>
                <w:szCs w:val="24"/>
              </w:rPr>
              <w:t>REFERENCE:</w:t>
            </w:r>
          </w:p>
          <w:p w14:paraId="39D83014" w14:textId="77777777" w:rsidR="009B5AA5" w:rsidRPr="00FA3F9C" w:rsidRDefault="009B5AA5" w:rsidP="00FC1E85">
            <w:pPr>
              <w:pStyle w:val="ListParagraph"/>
              <w:numPr>
                <w:ilvl w:val="0"/>
                <w:numId w:val="360"/>
              </w:numPr>
              <w:spacing w:after="0" w:line="240" w:lineRule="auto"/>
              <w:rPr>
                <w:rFonts w:ascii="Arial" w:hAnsi="Arial" w:cs="Arial"/>
                <w:sz w:val="24"/>
                <w:szCs w:val="24"/>
              </w:rPr>
            </w:pPr>
            <w:r w:rsidRPr="00FA3F9C">
              <w:rPr>
                <w:rFonts w:ascii="Arial" w:hAnsi="Arial" w:cs="Arial"/>
                <w:sz w:val="24"/>
                <w:szCs w:val="24"/>
              </w:rPr>
              <w:t>Ferris RL et al. Nivolumab for recurrent squamous-cell carcinoma of the head and neck. NEJM 2016;375:1858-67. [CHECKMATE 141 NCT02105636]</w:t>
            </w:r>
          </w:p>
        </w:tc>
      </w:tr>
    </w:tbl>
    <w:p w14:paraId="21A931CD" w14:textId="77777777" w:rsidR="009B5AA5" w:rsidRPr="00FA3F9C" w:rsidRDefault="009B5AA5" w:rsidP="002C32D1">
      <w:pPr>
        <w:rPr>
          <w:rFonts w:ascii="Arial" w:hAnsi="Arial" w:cs="Arial"/>
          <w:b/>
          <w:sz w:val="24"/>
          <w:szCs w:val="24"/>
        </w:rPr>
      </w:pPr>
    </w:p>
    <w:p w14:paraId="72E83DF7" w14:textId="77777777" w:rsidR="009B5AA5" w:rsidRPr="00FA3F9C" w:rsidRDefault="009B5AA5" w:rsidP="002C32D1">
      <w:pPr>
        <w:rPr>
          <w:rFonts w:ascii="Arial" w:hAnsi="Arial" w:cs="Arial"/>
          <w:b/>
          <w:sz w:val="24"/>
          <w:szCs w:val="24"/>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68"/>
      </w:tblGrid>
      <w:tr w:rsidR="009B5AA5" w:rsidRPr="00FA3F9C" w14:paraId="18EF616B" w14:textId="77777777" w:rsidTr="007065E2">
        <w:tc>
          <w:tcPr>
            <w:tcW w:w="10368" w:type="dxa"/>
            <w:tcBorders>
              <w:bottom w:val="single" w:sz="4" w:space="0" w:color="auto"/>
            </w:tcBorders>
            <w:shd w:val="clear" w:color="auto" w:fill="000000"/>
          </w:tcPr>
          <w:p w14:paraId="529E2B49" w14:textId="77777777" w:rsidR="009B5AA5" w:rsidRPr="00FA3F9C" w:rsidRDefault="009B5AA5" w:rsidP="007065E2">
            <w:pPr>
              <w:spacing w:after="0"/>
              <w:rPr>
                <w:rFonts w:ascii="Arial" w:hAnsi="Arial" w:cs="Arial"/>
                <w:b/>
                <w:sz w:val="24"/>
                <w:szCs w:val="24"/>
                <w:u w:val="single"/>
              </w:rPr>
            </w:pPr>
            <w:r w:rsidRPr="00FA3F9C">
              <w:rPr>
                <w:rFonts w:ascii="Arial" w:hAnsi="Arial" w:cs="Arial"/>
                <w:sz w:val="24"/>
                <w:szCs w:val="24"/>
              </w:rPr>
              <w:br w:type="page"/>
            </w:r>
            <w:r w:rsidRPr="00FA3F9C">
              <w:rPr>
                <w:rFonts w:ascii="Arial" w:hAnsi="Arial" w:cs="Arial"/>
                <w:b/>
                <w:sz w:val="24"/>
                <w:szCs w:val="24"/>
                <w:u w:val="single"/>
              </w:rPr>
              <w:t>Urothelial Carcinom</w:t>
            </w:r>
            <w:bookmarkStart w:id="231" w:name="Urothelial"/>
            <w:bookmarkEnd w:id="231"/>
            <w:r w:rsidRPr="00FA3F9C">
              <w:rPr>
                <w:rFonts w:ascii="Arial" w:hAnsi="Arial" w:cs="Arial"/>
                <w:b/>
                <w:sz w:val="24"/>
                <w:szCs w:val="24"/>
                <w:u w:val="single"/>
              </w:rPr>
              <w:t>a</w:t>
            </w:r>
          </w:p>
        </w:tc>
      </w:tr>
      <w:tr w:rsidR="009B5AA5" w:rsidRPr="00FA3F9C" w14:paraId="691359B2" w14:textId="77777777" w:rsidTr="007065E2">
        <w:trPr>
          <w:trHeight w:val="152"/>
        </w:trPr>
        <w:tc>
          <w:tcPr>
            <w:tcW w:w="10368" w:type="dxa"/>
          </w:tcPr>
          <w:p w14:paraId="32790DCE" w14:textId="77777777" w:rsidR="009B5AA5" w:rsidRPr="00FA3F9C" w:rsidRDefault="009B5AA5" w:rsidP="00892E4A">
            <w:pPr>
              <w:spacing w:after="0"/>
              <w:rPr>
                <w:rFonts w:ascii="Arial" w:hAnsi="Arial" w:cs="Arial"/>
                <w:b/>
                <w:sz w:val="24"/>
                <w:szCs w:val="24"/>
                <w:u w:val="single"/>
              </w:rPr>
            </w:pPr>
            <w:proofErr w:type="gramStart"/>
            <w:r w:rsidRPr="00FA3F9C">
              <w:rPr>
                <w:rFonts w:ascii="Arial" w:hAnsi="Arial" w:cs="Arial"/>
                <w:b/>
                <w:sz w:val="24"/>
                <w:szCs w:val="24"/>
                <w:u w:val="single"/>
              </w:rPr>
              <w:t>All of</w:t>
            </w:r>
            <w:proofErr w:type="gramEnd"/>
            <w:r w:rsidRPr="00FA3F9C">
              <w:rPr>
                <w:rFonts w:ascii="Arial" w:hAnsi="Arial" w:cs="Arial"/>
                <w:b/>
                <w:sz w:val="24"/>
                <w:szCs w:val="24"/>
                <w:u w:val="single"/>
              </w:rPr>
              <w:t xml:space="preserve"> the following 3 criteria are required:</w:t>
            </w:r>
          </w:p>
        </w:tc>
      </w:tr>
      <w:tr w:rsidR="009B5AA5" w:rsidRPr="00FA3F9C" w14:paraId="0A1429B3" w14:textId="77777777" w:rsidTr="007065E2">
        <w:trPr>
          <w:trHeight w:val="152"/>
        </w:trPr>
        <w:tc>
          <w:tcPr>
            <w:tcW w:w="10368" w:type="dxa"/>
          </w:tcPr>
          <w:p w14:paraId="2664F4E8" w14:textId="77777777" w:rsidR="009B5AA5" w:rsidRPr="00FA3F9C" w:rsidRDefault="009B5AA5" w:rsidP="00FC1E85">
            <w:pPr>
              <w:pStyle w:val="ListParagraph"/>
              <w:numPr>
                <w:ilvl w:val="0"/>
                <w:numId w:val="376"/>
              </w:numPr>
              <w:spacing w:after="0" w:line="276" w:lineRule="auto"/>
              <w:ind w:left="335" w:hanging="270"/>
              <w:rPr>
                <w:rFonts w:ascii="Arial" w:hAnsi="Arial" w:cs="Arial"/>
                <w:sz w:val="24"/>
                <w:szCs w:val="24"/>
              </w:rPr>
            </w:pPr>
            <w:r w:rsidRPr="00FA3F9C">
              <w:rPr>
                <w:rFonts w:ascii="Arial" w:hAnsi="Arial" w:cs="Arial"/>
                <w:sz w:val="24"/>
                <w:szCs w:val="24"/>
              </w:rPr>
              <w:t>Diagnosis of urothelial carcinoma</w:t>
            </w:r>
          </w:p>
        </w:tc>
      </w:tr>
      <w:tr w:rsidR="009B5AA5" w:rsidRPr="00FA3F9C" w14:paraId="370381DC" w14:textId="77777777" w:rsidTr="007065E2">
        <w:trPr>
          <w:trHeight w:val="98"/>
        </w:trPr>
        <w:tc>
          <w:tcPr>
            <w:tcW w:w="10368" w:type="dxa"/>
          </w:tcPr>
          <w:p w14:paraId="42905B18" w14:textId="77777777" w:rsidR="009B5AA5" w:rsidRPr="00FA3F9C" w:rsidRDefault="009B5AA5" w:rsidP="00FC1E85">
            <w:pPr>
              <w:pStyle w:val="ListParagraph"/>
              <w:numPr>
                <w:ilvl w:val="0"/>
                <w:numId w:val="376"/>
              </w:numPr>
              <w:spacing w:after="0" w:line="276" w:lineRule="auto"/>
              <w:ind w:left="335" w:hanging="270"/>
              <w:rPr>
                <w:rFonts w:ascii="Arial" w:hAnsi="Arial" w:cs="Arial"/>
                <w:sz w:val="24"/>
                <w:szCs w:val="24"/>
              </w:rPr>
            </w:pPr>
            <w:r w:rsidRPr="00FA3F9C">
              <w:rPr>
                <w:rFonts w:ascii="Arial" w:hAnsi="Arial" w:cs="Arial"/>
                <w:sz w:val="24"/>
                <w:szCs w:val="24"/>
              </w:rPr>
              <w:t>Patient underwent radical resection of tumor within 120 days of request</w:t>
            </w:r>
          </w:p>
        </w:tc>
      </w:tr>
      <w:tr w:rsidR="009B5AA5" w:rsidRPr="00FA3F9C" w14:paraId="4C0680B7" w14:textId="77777777" w:rsidTr="007065E2">
        <w:trPr>
          <w:trHeight w:val="45"/>
        </w:trPr>
        <w:tc>
          <w:tcPr>
            <w:tcW w:w="10368" w:type="dxa"/>
          </w:tcPr>
          <w:p w14:paraId="1C999C1B" w14:textId="77777777" w:rsidR="009B5AA5" w:rsidRPr="00FA3F9C" w:rsidRDefault="009B5AA5" w:rsidP="00FC1E85">
            <w:pPr>
              <w:pStyle w:val="ListParagraph"/>
              <w:numPr>
                <w:ilvl w:val="0"/>
                <w:numId w:val="376"/>
              </w:numPr>
              <w:spacing w:after="0" w:line="276" w:lineRule="auto"/>
              <w:ind w:left="335" w:hanging="270"/>
              <w:rPr>
                <w:rFonts w:ascii="Arial" w:hAnsi="Arial" w:cs="Arial"/>
                <w:sz w:val="24"/>
                <w:szCs w:val="24"/>
              </w:rPr>
            </w:pPr>
            <w:r w:rsidRPr="00FA3F9C">
              <w:rPr>
                <w:rFonts w:ascii="Arial" w:hAnsi="Arial" w:cs="Arial"/>
                <w:sz w:val="24"/>
                <w:szCs w:val="24"/>
              </w:rPr>
              <w:t>Negative surgical margins</w:t>
            </w:r>
          </w:p>
        </w:tc>
      </w:tr>
      <w:tr w:rsidR="009B5AA5" w:rsidRPr="00FA3F9C" w14:paraId="6F34FAEB" w14:textId="77777777" w:rsidTr="007065E2">
        <w:trPr>
          <w:trHeight w:val="45"/>
        </w:trPr>
        <w:tc>
          <w:tcPr>
            <w:tcW w:w="10368" w:type="dxa"/>
          </w:tcPr>
          <w:p w14:paraId="3084BC35" w14:textId="77777777" w:rsidR="009B5AA5" w:rsidRPr="00FA3F9C" w:rsidRDefault="009B5AA5" w:rsidP="00404253">
            <w:pPr>
              <w:spacing w:after="0"/>
              <w:rPr>
                <w:rFonts w:ascii="Arial" w:hAnsi="Arial" w:cs="Arial"/>
                <w:sz w:val="24"/>
                <w:szCs w:val="24"/>
              </w:rPr>
            </w:pPr>
            <w:r w:rsidRPr="00FA3F9C">
              <w:rPr>
                <w:rFonts w:ascii="Arial" w:hAnsi="Arial" w:cs="Arial"/>
                <w:b/>
                <w:sz w:val="24"/>
                <w:szCs w:val="24"/>
                <w:u w:val="single"/>
              </w:rPr>
              <w:lastRenderedPageBreak/>
              <w:t>In addition to 1-3, one of the following 2 sets of criteria must be met:</w:t>
            </w:r>
          </w:p>
        </w:tc>
      </w:tr>
      <w:tr w:rsidR="009B5AA5" w:rsidRPr="00FA3F9C" w14:paraId="492E51CF" w14:textId="77777777" w:rsidTr="007065E2">
        <w:tc>
          <w:tcPr>
            <w:tcW w:w="10368" w:type="dxa"/>
            <w:shd w:val="clear" w:color="auto" w:fill="auto"/>
          </w:tcPr>
          <w:p w14:paraId="5E8AF604" w14:textId="77777777" w:rsidR="009B5AA5" w:rsidRPr="00FA3F9C" w:rsidRDefault="009B5AA5" w:rsidP="00FC1E85">
            <w:pPr>
              <w:pStyle w:val="ListParagraph"/>
              <w:numPr>
                <w:ilvl w:val="0"/>
                <w:numId w:val="376"/>
              </w:numPr>
              <w:spacing w:after="0" w:line="276" w:lineRule="auto"/>
              <w:ind w:left="335" w:hanging="270"/>
              <w:rPr>
                <w:rFonts w:ascii="Arial" w:hAnsi="Arial" w:cs="Arial"/>
                <w:sz w:val="24"/>
                <w:szCs w:val="24"/>
              </w:rPr>
            </w:pPr>
            <w:r w:rsidRPr="00FA3F9C">
              <w:rPr>
                <w:rFonts w:ascii="Arial" w:hAnsi="Arial" w:cs="Arial"/>
                <w:sz w:val="24"/>
                <w:szCs w:val="24"/>
              </w:rPr>
              <w:t xml:space="preserve">Patient meets </w:t>
            </w:r>
            <w:proofErr w:type="gramStart"/>
            <w:r w:rsidRPr="00FA3F9C">
              <w:rPr>
                <w:rFonts w:ascii="Arial" w:hAnsi="Arial" w:cs="Arial"/>
                <w:sz w:val="24"/>
                <w:szCs w:val="24"/>
              </w:rPr>
              <w:t>all of</w:t>
            </w:r>
            <w:proofErr w:type="gramEnd"/>
            <w:r w:rsidRPr="00FA3F9C">
              <w:rPr>
                <w:rFonts w:ascii="Arial" w:hAnsi="Arial" w:cs="Arial"/>
                <w:sz w:val="24"/>
                <w:szCs w:val="24"/>
              </w:rPr>
              <w:t xml:space="preserve"> the following criteria:</w:t>
            </w:r>
          </w:p>
          <w:p w14:paraId="140CDFFB" w14:textId="77777777" w:rsidR="009B5AA5" w:rsidRPr="00FA3F9C" w:rsidRDefault="009B5AA5" w:rsidP="00892E4A">
            <w:pPr>
              <w:pStyle w:val="ListParagraph"/>
              <w:spacing w:after="0"/>
              <w:ind w:left="605"/>
              <w:rPr>
                <w:rFonts w:ascii="Arial" w:hAnsi="Arial" w:cs="Arial"/>
                <w:sz w:val="24"/>
                <w:szCs w:val="24"/>
              </w:rPr>
            </w:pPr>
            <w:r w:rsidRPr="00FA3F9C">
              <w:rPr>
                <w:rFonts w:ascii="Arial" w:hAnsi="Arial" w:cs="Arial"/>
                <w:sz w:val="24"/>
                <w:szCs w:val="24"/>
              </w:rPr>
              <w:t>-Neoadjuvant (preoperative) cisplatin-based therapy was NOT given</w:t>
            </w:r>
          </w:p>
          <w:p w14:paraId="4CF96292" w14:textId="77777777" w:rsidR="009B5AA5" w:rsidRPr="00FA3F9C" w:rsidRDefault="009B5AA5" w:rsidP="00892E4A">
            <w:pPr>
              <w:pStyle w:val="ListParagraph"/>
              <w:spacing w:after="0"/>
              <w:ind w:left="605"/>
              <w:rPr>
                <w:rFonts w:ascii="Arial" w:hAnsi="Arial" w:cs="Arial"/>
                <w:sz w:val="24"/>
                <w:szCs w:val="24"/>
              </w:rPr>
            </w:pPr>
            <w:r w:rsidRPr="00FA3F9C">
              <w:rPr>
                <w:rFonts w:ascii="Arial" w:hAnsi="Arial" w:cs="Arial"/>
                <w:sz w:val="24"/>
                <w:szCs w:val="24"/>
              </w:rPr>
              <w:t>-Staging of surgical specimen (</w:t>
            </w:r>
            <w:proofErr w:type="gramStart"/>
            <w:r w:rsidRPr="00FA3F9C">
              <w:rPr>
                <w:rFonts w:ascii="Arial" w:hAnsi="Arial" w:cs="Arial"/>
                <w:sz w:val="24"/>
                <w:szCs w:val="24"/>
              </w:rPr>
              <w:t>i.e.</w:t>
            </w:r>
            <w:proofErr w:type="gramEnd"/>
            <w:r w:rsidRPr="00FA3F9C">
              <w:rPr>
                <w:rFonts w:ascii="Arial" w:hAnsi="Arial" w:cs="Arial"/>
                <w:sz w:val="24"/>
                <w:szCs w:val="24"/>
              </w:rPr>
              <w:t xml:space="preserve"> pathological stage) is pT3, pT4a, or is node positive </w:t>
            </w:r>
          </w:p>
          <w:p w14:paraId="16475255" w14:textId="77777777" w:rsidR="009B5AA5" w:rsidRPr="00FA3F9C" w:rsidRDefault="009B5AA5" w:rsidP="00892E4A">
            <w:pPr>
              <w:pStyle w:val="ListParagraph"/>
              <w:spacing w:after="0"/>
              <w:ind w:left="605"/>
              <w:rPr>
                <w:rFonts w:ascii="Arial" w:hAnsi="Arial" w:cs="Arial"/>
                <w:sz w:val="24"/>
                <w:szCs w:val="24"/>
              </w:rPr>
            </w:pPr>
            <w:r w:rsidRPr="00FA3F9C">
              <w:rPr>
                <w:rFonts w:ascii="Arial" w:hAnsi="Arial" w:cs="Arial"/>
                <w:sz w:val="24"/>
                <w:szCs w:val="24"/>
              </w:rPr>
              <w:t>-Patient is not eligible for adjuvant cisplatin chemotherapy</w:t>
            </w:r>
          </w:p>
        </w:tc>
      </w:tr>
      <w:tr w:rsidR="009B5AA5" w:rsidRPr="00FA3F9C" w14:paraId="1413E27D" w14:textId="77777777" w:rsidTr="007065E2">
        <w:tc>
          <w:tcPr>
            <w:tcW w:w="10368" w:type="dxa"/>
          </w:tcPr>
          <w:p w14:paraId="11053E41" w14:textId="77777777" w:rsidR="009B5AA5" w:rsidRPr="00FA3F9C" w:rsidRDefault="009B5AA5" w:rsidP="00FC1E85">
            <w:pPr>
              <w:pStyle w:val="ListParagraph"/>
              <w:numPr>
                <w:ilvl w:val="0"/>
                <w:numId w:val="376"/>
              </w:numPr>
              <w:spacing w:after="0" w:line="276" w:lineRule="auto"/>
              <w:ind w:left="335" w:hanging="270"/>
              <w:rPr>
                <w:rFonts w:ascii="Arial" w:hAnsi="Arial" w:cs="Arial"/>
                <w:b/>
                <w:sz w:val="24"/>
                <w:szCs w:val="24"/>
              </w:rPr>
            </w:pPr>
            <w:r w:rsidRPr="00FA3F9C">
              <w:rPr>
                <w:rFonts w:ascii="Arial" w:hAnsi="Arial" w:cs="Arial"/>
                <w:sz w:val="24"/>
                <w:szCs w:val="24"/>
              </w:rPr>
              <w:t xml:space="preserve">Patient meets </w:t>
            </w:r>
            <w:proofErr w:type="gramStart"/>
            <w:r w:rsidRPr="00FA3F9C">
              <w:rPr>
                <w:rFonts w:ascii="Arial" w:hAnsi="Arial" w:cs="Arial"/>
                <w:sz w:val="24"/>
                <w:szCs w:val="24"/>
              </w:rPr>
              <w:t>all of</w:t>
            </w:r>
            <w:proofErr w:type="gramEnd"/>
            <w:r w:rsidRPr="00FA3F9C">
              <w:rPr>
                <w:rFonts w:ascii="Arial" w:hAnsi="Arial" w:cs="Arial"/>
                <w:sz w:val="24"/>
                <w:szCs w:val="24"/>
              </w:rPr>
              <w:t xml:space="preserve"> the following criteria:</w:t>
            </w:r>
          </w:p>
          <w:p w14:paraId="1132051B" w14:textId="77777777" w:rsidR="009B5AA5" w:rsidRPr="00FA3F9C" w:rsidRDefault="009B5AA5" w:rsidP="00892E4A">
            <w:pPr>
              <w:pStyle w:val="ListParagraph"/>
              <w:spacing w:after="0"/>
              <w:ind w:left="605"/>
              <w:rPr>
                <w:rFonts w:ascii="Arial" w:hAnsi="Arial" w:cs="Arial"/>
                <w:sz w:val="24"/>
                <w:szCs w:val="24"/>
              </w:rPr>
            </w:pPr>
            <w:r w:rsidRPr="00FA3F9C">
              <w:rPr>
                <w:rFonts w:ascii="Arial" w:hAnsi="Arial" w:cs="Arial"/>
                <w:sz w:val="24"/>
                <w:szCs w:val="24"/>
              </w:rPr>
              <w:t>-Neoadjuvant (preoperative) cisplatin-based therapy WAS given</w:t>
            </w:r>
          </w:p>
          <w:p w14:paraId="46FA86D8" w14:textId="77777777" w:rsidR="009B5AA5" w:rsidRPr="00FA3F9C" w:rsidRDefault="009B5AA5" w:rsidP="00AB7987">
            <w:pPr>
              <w:pStyle w:val="ListParagraph"/>
              <w:spacing w:after="0"/>
              <w:ind w:left="605"/>
              <w:rPr>
                <w:rFonts w:ascii="Arial" w:hAnsi="Arial" w:cs="Arial"/>
                <w:sz w:val="24"/>
                <w:szCs w:val="24"/>
              </w:rPr>
            </w:pPr>
            <w:r w:rsidRPr="00FA3F9C">
              <w:rPr>
                <w:rFonts w:ascii="Arial" w:hAnsi="Arial" w:cs="Arial"/>
                <w:sz w:val="24"/>
                <w:szCs w:val="24"/>
              </w:rPr>
              <w:t>-Staging of surgical specimen (</w:t>
            </w:r>
            <w:proofErr w:type="gramStart"/>
            <w:r w:rsidRPr="00FA3F9C">
              <w:rPr>
                <w:rFonts w:ascii="Arial" w:hAnsi="Arial" w:cs="Arial"/>
                <w:sz w:val="24"/>
                <w:szCs w:val="24"/>
              </w:rPr>
              <w:t>i.e.</w:t>
            </w:r>
            <w:proofErr w:type="gramEnd"/>
            <w:r w:rsidRPr="00FA3F9C">
              <w:rPr>
                <w:rFonts w:ascii="Arial" w:hAnsi="Arial" w:cs="Arial"/>
                <w:sz w:val="24"/>
                <w:szCs w:val="24"/>
              </w:rPr>
              <w:t xml:space="preserve"> pathological stage) is pT2, pT3, pT4a, or is node positive </w:t>
            </w:r>
          </w:p>
        </w:tc>
      </w:tr>
      <w:tr w:rsidR="009B5AA5" w:rsidRPr="00FA3F9C" w14:paraId="32669B7A" w14:textId="77777777" w:rsidTr="00892E4A">
        <w:tc>
          <w:tcPr>
            <w:tcW w:w="10368" w:type="dxa"/>
            <w:shd w:val="clear" w:color="auto" w:fill="F2F2F2" w:themeFill="background1" w:themeFillShade="F2"/>
          </w:tcPr>
          <w:p w14:paraId="59E49CF7" w14:textId="77777777" w:rsidR="009B5AA5" w:rsidRPr="00FA3F9C" w:rsidRDefault="009B5AA5" w:rsidP="00892E4A">
            <w:pPr>
              <w:spacing w:after="0"/>
              <w:rPr>
                <w:rFonts w:ascii="Arial" w:hAnsi="Arial" w:cs="Arial"/>
                <w:sz w:val="24"/>
                <w:szCs w:val="24"/>
              </w:rPr>
            </w:pPr>
            <w:r w:rsidRPr="00FA3F9C">
              <w:rPr>
                <w:rFonts w:ascii="Arial" w:hAnsi="Arial" w:cs="Arial"/>
                <w:b/>
                <w:sz w:val="24"/>
                <w:szCs w:val="24"/>
              </w:rPr>
              <w:t>If 1-3 and either 4 or 5 are fulfilled, approve for 12 months, maximum. The duration of nivolumab for this indication is limited to 1 year.</w:t>
            </w:r>
          </w:p>
        </w:tc>
      </w:tr>
      <w:tr w:rsidR="009B5AA5" w:rsidRPr="00FA3F9C" w14:paraId="651702EC" w14:textId="77777777" w:rsidTr="007065E2">
        <w:tc>
          <w:tcPr>
            <w:tcW w:w="10368" w:type="dxa"/>
            <w:tcBorders>
              <w:bottom w:val="single" w:sz="4" w:space="0" w:color="auto"/>
            </w:tcBorders>
            <w:shd w:val="clear" w:color="auto" w:fill="BFBFBF" w:themeFill="background1" w:themeFillShade="BF"/>
          </w:tcPr>
          <w:p w14:paraId="256778CE" w14:textId="77777777" w:rsidR="009B5AA5" w:rsidRPr="00FA3F9C" w:rsidRDefault="009B5AA5" w:rsidP="007065E2">
            <w:pPr>
              <w:spacing w:after="0" w:line="240" w:lineRule="auto"/>
              <w:rPr>
                <w:rFonts w:ascii="Arial" w:hAnsi="Arial" w:cs="Arial"/>
                <w:sz w:val="24"/>
                <w:szCs w:val="24"/>
              </w:rPr>
            </w:pPr>
            <w:r w:rsidRPr="00FA3F9C">
              <w:rPr>
                <w:rFonts w:ascii="Arial" w:hAnsi="Arial" w:cs="Arial"/>
                <w:sz w:val="24"/>
                <w:szCs w:val="24"/>
              </w:rPr>
              <w:t xml:space="preserve">Note:  </w:t>
            </w:r>
          </w:p>
          <w:p w14:paraId="0D923661" w14:textId="77777777" w:rsidR="009B5AA5" w:rsidRPr="00FA3F9C" w:rsidRDefault="009B5AA5" w:rsidP="007065E2">
            <w:pPr>
              <w:spacing w:after="0" w:line="240" w:lineRule="auto"/>
              <w:rPr>
                <w:rFonts w:ascii="Arial" w:hAnsi="Arial" w:cs="Arial"/>
                <w:sz w:val="24"/>
                <w:szCs w:val="24"/>
              </w:rPr>
            </w:pPr>
            <w:r w:rsidRPr="00FA3F9C">
              <w:rPr>
                <w:rFonts w:ascii="Arial" w:hAnsi="Arial" w:cs="Arial"/>
                <w:sz w:val="24"/>
                <w:szCs w:val="24"/>
              </w:rPr>
              <w:t>Dose: 240 mg every 2 weeks OR 480 mg every 4 weeks for 1 year.</w:t>
            </w:r>
          </w:p>
          <w:p w14:paraId="3D3CDBEA" w14:textId="77777777" w:rsidR="009B5AA5" w:rsidRPr="00FA3F9C" w:rsidRDefault="009B5AA5" w:rsidP="007065E2">
            <w:pPr>
              <w:spacing w:after="0" w:line="240" w:lineRule="auto"/>
              <w:rPr>
                <w:rFonts w:ascii="Arial" w:hAnsi="Arial" w:cs="Arial"/>
                <w:sz w:val="24"/>
                <w:szCs w:val="24"/>
              </w:rPr>
            </w:pPr>
          </w:p>
          <w:p w14:paraId="62CD6E15" w14:textId="77777777" w:rsidR="009B5AA5" w:rsidRPr="00FA3F9C" w:rsidRDefault="009B5AA5" w:rsidP="007065E2">
            <w:pPr>
              <w:spacing w:after="0" w:line="240" w:lineRule="auto"/>
              <w:rPr>
                <w:rFonts w:ascii="Arial" w:hAnsi="Arial" w:cs="Arial"/>
                <w:sz w:val="24"/>
                <w:szCs w:val="24"/>
              </w:rPr>
            </w:pPr>
            <w:r w:rsidRPr="00FA3F9C">
              <w:rPr>
                <w:rFonts w:ascii="Arial" w:hAnsi="Arial" w:cs="Arial"/>
                <w:sz w:val="24"/>
                <w:szCs w:val="24"/>
              </w:rPr>
              <w:t xml:space="preserve">In this patient population, nivolumab improved </w:t>
            </w:r>
            <w:proofErr w:type="gramStart"/>
            <w:r w:rsidRPr="00FA3F9C">
              <w:rPr>
                <w:rFonts w:ascii="Arial" w:hAnsi="Arial" w:cs="Arial"/>
                <w:sz w:val="24"/>
                <w:szCs w:val="24"/>
              </w:rPr>
              <w:t>disease free</w:t>
            </w:r>
            <w:proofErr w:type="gramEnd"/>
            <w:r w:rsidRPr="00FA3F9C">
              <w:rPr>
                <w:rFonts w:ascii="Arial" w:hAnsi="Arial" w:cs="Arial"/>
                <w:sz w:val="24"/>
                <w:szCs w:val="24"/>
              </w:rPr>
              <w:t xml:space="preserve"> survival (DFS) was improved with nivolumab treatment compared to placebo. The median DFS in the intention-to-treat population was 20.8 months with nivolumab and 10.8 months with placebo (HR 0.70; 98.22% CI, 0.55 to 0.90; P&lt;0.001). Overall survival results are pending.</w:t>
            </w:r>
          </w:p>
          <w:p w14:paraId="7E04FFCE" w14:textId="77777777" w:rsidR="009B5AA5" w:rsidRPr="00FA3F9C" w:rsidRDefault="009B5AA5" w:rsidP="007065E2">
            <w:pPr>
              <w:spacing w:after="0" w:line="240" w:lineRule="auto"/>
              <w:rPr>
                <w:rFonts w:ascii="Arial" w:hAnsi="Arial" w:cs="Arial"/>
                <w:sz w:val="24"/>
                <w:szCs w:val="24"/>
              </w:rPr>
            </w:pPr>
          </w:p>
          <w:p w14:paraId="20D67C6C" w14:textId="77777777" w:rsidR="009B5AA5" w:rsidRPr="00FA3F9C" w:rsidRDefault="009B5AA5" w:rsidP="007065E2">
            <w:pPr>
              <w:spacing w:after="0" w:line="240" w:lineRule="auto"/>
              <w:rPr>
                <w:rFonts w:ascii="Arial" w:hAnsi="Arial" w:cs="Arial"/>
                <w:sz w:val="24"/>
                <w:szCs w:val="24"/>
              </w:rPr>
            </w:pPr>
            <w:r w:rsidRPr="00FA3F9C">
              <w:rPr>
                <w:rFonts w:ascii="Arial" w:hAnsi="Arial" w:cs="Arial"/>
                <w:sz w:val="24"/>
                <w:szCs w:val="24"/>
              </w:rPr>
              <w:t>REFERENCE:</w:t>
            </w:r>
          </w:p>
          <w:p w14:paraId="5F6FF501" w14:textId="77777777" w:rsidR="009B5AA5" w:rsidRPr="00FA3F9C" w:rsidRDefault="009B5AA5" w:rsidP="00FC1E85">
            <w:pPr>
              <w:pStyle w:val="ListParagraph"/>
              <w:numPr>
                <w:ilvl w:val="0"/>
                <w:numId w:val="377"/>
              </w:numPr>
              <w:spacing w:after="0" w:line="240" w:lineRule="auto"/>
              <w:rPr>
                <w:rFonts w:ascii="Arial" w:hAnsi="Arial" w:cs="Arial"/>
                <w:sz w:val="24"/>
                <w:szCs w:val="24"/>
              </w:rPr>
            </w:pPr>
            <w:proofErr w:type="spellStart"/>
            <w:r w:rsidRPr="00FA3F9C">
              <w:rPr>
                <w:rFonts w:ascii="Arial" w:hAnsi="Arial" w:cs="Arial"/>
                <w:sz w:val="24"/>
                <w:szCs w:val="24"/>
                <w:lang w:val="fr-FR"/>
              </w:rPr>
              <w:t>Bajorin</w:t>
            </w:r>
            <w:proofErr w:type="spellEnd"/>
            <w:r w:rsidRPr="00FA3F9C">
              <w:rPr>
                <w:rFonts w:ascii="Arial" w:hAnsi="Arial" w:cs="Arial"/>
                <w:sz w:val="24"/>
                <w:szCs w:val="24"/>
                <w:lang w:val="fr-FR"/>
              </w:rPr>
              <w:t xml:space="preserve"> DF, </w:t>
            </w:r>
            <w:proofErr w:type="spellStart"/>
            <w:r w:rsidRPr="00FA3F9C">
              <w:rPr>
                <w:rFonts w:ascii="Arial" w:hAnsi="Arial" w:cs="Arial"/>
                <w:sz w:val="24"/>
                <w:szCs w:val="24"/>
                <w:lang w:val="fr-FR"/>
              </w:rPr>
              <w:t>Witjes</w:t>
            </w:r>
            <w:proofErr w:type="spellEnd"/>
            <w:r w:rsidRPr="00FA3F9C">
              <w:rPr>
                <w:rFonts w:ascii="Arial" w:hAnsi="Arial" w:cs="Arial"/>
                <w:sz w:val="24"/>
                <w:szCs w:val="24"/>
                <w:lang w:val="fr-FR"/>
              </w:rPr>
              <w:t xml:space="preserve"> JA, </w:t>
            </w:r>
            <w:proofErr w:type="spellStart"/>
            <w:r w:rsidRPr="00FA3F9C">
              <w:rPr>
                <w:rFonts w:ascii="Arial" w:hAnsi="Arial" w:cs="Arial"/>
                <w:sz w:val="24"/>
                <w:szCs w:val="24"/>
                <w:lang w:val="fr-FR"/>
              </w:rPr>
              <w:t>Gschwend</w:t>
            </w:r>
            <w:proofErr w:type="spellEnd"/>
            <w:r w:rsidRPr="00FA3F9C">
              <w:rPr>
                <w:rFonts w:ascii="Arial" w:hAnsi="Arial" w:cs="Arial"/>
                <w:sz w:val="24"/>
                <w:szCs w:val="24"/>
                <w:lang w:val="fr-FR"/>
              </w:rPr>
              <w:t xml:space="preserve"> JE, et al. </w:t>
            </w:r>
            <w:r w:rsidRPr="00FA3F9C">
              <w:rPr>
                <w:rFonts w:ascii="Arial" w:hAnsi="Arial" w:cs="Arial"/>
                <w:sz w:val="24"/>
                <w:szCs w:val="24"/>
              </w:rPr>
              <w:t xml:space="preserve">Adjuvant Nivolumab versus Placebo in Muscle-Invasive Urothelial Carcinoma [published correction appears in N </w:t>
            </w:r>
            <w:proofErr w:type="spellStart"/>
            <w:r w:rsidRPr="00FA3F9C">
              <w:rPr>
                <w:rFonts w:ascii="Arial" w:hAnsi="Arial" w:cs="Arial"/>
                <w:sz w:val="24"/>
                <w:szCs w:val="24"/>
              </w:rPr>
              <w:t>Engl</w:t>
            </w:r>
            <w:proofErr w:type="spellEnd"/>
            <w:r w:rsidRPr="00FA3F9C">
              <w:rPr>
                <w:rFonts w:ascii="Arial" w:hAnsi="Arial" w:cs="Arial"/>
                <w:sz w:val="24"/>
                <w:szCs w:val="24"/>
              </w:rPr>
              <w:t xml:space="preserve"> J Med. 2021 Aug 26;385(9):864]. N </w:t>
            </w:r>
            <w:proofErr w:type="spellStart"/>
            <w:r w:rsidRPr="00FA3F9C">
              <w:rPr>
                <w:rFonts w:ascii="Arial" w:hAnsi="Arial" w:cs="Arial"/>
                <w:sz w:val="24"/>
                <w:szCs w:val="24"/>
              </w:rPr>
              <w:t>Engl</w:t>
            </w:r>
            <w:proofErr w:type="spellEnd"/>
            <w:r w:rsidRPr="00FA3F9C">
              <w:rPr>
                <w:rFonts w:ascii="Arial" w:hAnsi="Arial" w:cs="Arial"/>
                <w:sz w:val="24"/>
                <w:szCs w:val="24"/>
              </w:rPr>
              <w:t xml:space="preserve"> J Med. 2021;384(22):2102-2114. doi:10.1056/NEJMoa2034442</w:t>
            </w:r>
          </w:p>
        </w:tc>
      </w:tr>
    </w:tbl>
    <w:p w14:paraId="3ED81697" w14:textId="77777777" w:rsidR="009B5AA5" w:rsidRPr="00FA3F9C" w:rsidRDefault="009B5AA5" w:rsidP="002C32D1">
      <w:pPr>
        <w:rPr>
          <w:rFonts w:ascii="Arial" w:hAnsi="Arial" w:cs="Arial"/>
          <w:b/>
          <w:sz w:val="24"/>
          <w:szCs w:val="24"/>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68"/>
      </w:tblGrid>
      <w:tr w:rsidR="009B5AA5" w:rsidRPr="00FA3F9C" w14:paraId="02481649" w14:textId="77777777" w:rsidTr="0089374E">
        <w:tc>
          <w:tcPr>
            <w:tcW w:w="10368" w:type="dxa"/>
            <w:tcBorders>
              <w:bottom w:val="single" w:sz="4" w:space="0" w:color="auto"/>
            </w:tcBorders>
            <w:shd w:val="clear" w:color="auto" w:fill="000000"/>
          </w:tcPr>
          <w:p w14:paraId="02E76631" w14:textId="77777777" w:rsidR="009B5AA5" w:rsidRPr="00FA3F9C" w:rsidRDefault="009B5AA5" w:rsidP="0089374E">
            <w:pPr>
              <w:spacing w:after="0"/>
              <w:rPr>
                <w:rFonts w:ascii="Arial" w:hAnsi="Arial" w:cs="Arial"/>
                <w:b/>
                <w:sz w:val="24"/>
                <w:szCs w:val="24"/>
                <w:u w:val="single"/>
              </w:rPr>
            </w:pPr>
            <w:r w:rsidRPr="00FA3F9C">
              <w:rPr>
                <w:rFonts w:ascii="Arial" w:hAnsi="Arial" w:cs="Arial"/>
                <w:sz w:val="24"/>
                <w:szCs w:val="24"/>
              </w:rPr>
              <w:br w:type="page"/>
            </w:r>
            <w:r w:rsidRPr="00FA3F9C">
              <w:rPr>
                <w:rFonts w:ascii="Arial" w:hAnsi="Arial" w:cs="Arial"/>
                <w:b/>
                <w:sz w:val="24"/>
                <w:szCs w:val="24"/>
                <w:u w:val="single"/>
              </w:rPr>
              <w:t>Completely Resected Esophageal Cancer</w:t>
            </w:r>
            <w:bookmarkStart w:id="232" w:name="esoph_adjuvant"/>
            <w:bookmarkEnd w:id="232"/>
          </w:p>
        </w:tc>
      </w:tr>
      <w:tr w:rsidR="009B5AA5" w:rsidRPr="00FA3F9C" w14:paraId="5F125BFD" w14:textId="77777777" w:rsidTr="0089374E">
        <w:tc>
          <w:tcPr>
            <w:tcW w:w="10368" w:type="dxa"/>
            <w:tcBorders>
              <w:bottom w:val="single" w:sz="4" w:space="0" w:color="auto"/>
            </w:tcBorders>
          </w:tcPr>
          <w:p w14:paraId="228B8FA4" w14:textId="77777777" w:rsidR="009B5AA5" w:rsidRPr="00FA3F9C" w:rsidRDefault="009B5AA5" w:rsidP="00FC1E85">
            <w:pPr>
              <w:numPr>
                <w:ilvl w:val="0"/>
                <w:numId w:val="364"/>
              </w:numPr>
              <w:spacing w:after="0" w:line="276" w:lineRule="auto"/>
              <w:rPr>
                <w:rFonts w:ascii="Arial" w:hAnsi="Arial" w:cs="Arial"/>
                <w:sz w:val="24"/>
                <w:szCs w:val="24"/>
              </w:rPr>
            </w:pPr>
            <w:r w:rsidRPr="00FA3F9C">
              <w:rPr>
                <w:rFonts w:ascii="Arial" w:hAnsi="Arial" w:cs="Arial"/>
                <w:sz w:val="24"/>
                <w:szCs w:val="24"/>
              </w:rPr>
              <w:t>Diagnosis of esophageal or gastroesophageal junction cancer</w:t>
            </w:r>
          </w:p>
        </w:tc>
      </w:tr>
      <w:tr w:rsidR="009B5AA5" w:rsidRPr="00FA3F9C" w14:paraId="2226E7BF" w14:textId="77777777" w:rsidTr="0089374E">
        <w:tc>
          <w:tcPr>
            <w:tcW w:w="10368" w:type="dxa"/>
            <w:tcBorders>
              <w:bottom w:val="single" w:sz="4" w:space="0" w:color="auto"/>
            </w:tcBorders>
          </w:tcPr>
          <w:p w14:paraId="5E5FF42A" w14:textId="77777777" w:rsidR="009B5AA5" w:rsidRPr="00FA3F9C" w:rsidRDefault="009B5AA5" w:rsidP="00FC1E85">
            <w:pPr>
              <w:numPr>
                <w:ilvl w:val="0"/>
                <w:numId w:val="364"/>
              </w:numPr>
              <w:spacing w:after="0" w:line="276" w:lineRule="auto"/>
              <w:rPr>
                <w:rFonts w:ascii="Arial" w:hAnsi="Arial" w:cs="Arial"/>
                <w:sz w:val="24"/>
                <w:szCs w:val="24"/>
              </w:rPr>
            </w:pPr>
            <w:r w:rsidRPr="00FA3F9C">
              <w:rPr>
                <w:rFonts w:ascii="Arial" w:hAnsi="Arial" w:cs="Arial"/>
                <w:sz w:val="24"/>
                <w:szCs w:val="24"/>
              </w:rPr>
              <w:t>The patient has undergone complete resection of tumor with negative margins</w:t>
            </w:r>
          </w:p>
        </w:tc>
      </w:tr>
      <w:tr w:rsidR="009B5AA5" w:rsidRPr="00FA3F9C" w14:paraId="7DE613C8" w14:textId="77777777" w:rsidTr="0089374E">
        <w:tc>
          <w:tcPr>
            <w:tcW w:w="10368" w:type="dxa"/>
          </w:tcPr>
          <w:p w14:paraId="499540DC" w14:textId="77777777" w:rsidR="009B5AA5" w:rsidRPr="00FA3F9C" w:rsidRDefault="009B5AA5" w:rsidP="00FC1E85">
            <w:pPr>
              <w:numPr>
                <w:ilvl w:val="0"/>
                <w:numId w:val="364"/>
              </w:numPr>
              <w:spacing w:after="0" w:line="276" w:lineRule="auto"/>
              <w:rPr>
                <w:rFonts w:ascii="Arial" w:hAnsi="Arial" w:cs="Arial"/>
                <w:sz w:val="24"/>
                <w:szCs w:val="24"/>
              </w:rPr>
            </w:pPr>
            <w:r w:rsidRPr="00FA3F9C">
              <w:rPr>
                <w:rFonts w:ascii="Arial" w:hAnsi="Arial" w:cs="Arial"/>
                <w:sz w:val="24"/>
                <w:szCs w:val="24"/>
              </w:rPr>
              <w:t>The patient was treated with concurrent chemotherapy and radiation prior to surgery (neoadjuvant chemoradiotherapy/chemoradiation)</w:t>
            </w:r>
          </w:p>
        </w:tc>
      </w:tr>
      <w:tr w:rsidR="009B5AA5" w:rsidRPr="00FA3F9C" w14:paraId="3B7FA11A" w14:textId="77777777" w:rsidTr="0089374E">
        <w:tc>
          <w:tcPr>
            <w:tcW w:w="10368" w:type="dxa"/>
          </w:tcPr>
          <w:p w14:paraId="7E91D404" w14:textId="77777777" w:rsidR="009B5AA5" w:rsidRPr="00FA3F9C" w:rsidRDefault="009B5AA5" w:rsidP="00FC1E85">
            <w:pPr>
              <w:pStyle w:val="ListParagraph"/>
              <w:numPr>
                <w:ilvl w:val="0"/>
                <w:numId w:val="364"/>
              </w:numPr>
              <w:spacing w:after="0" w:line="276" w:lineRule="auto"/>
              <w:rPr>
                <w:rFonts w:ascii="Arial" w:hAnsi="Arial" w:cs="Arial"/>
                <w:sz w:val="24"/>
                <w:szCs w:val="24"/>
              </w:rPr>
            </w:pPr>
            <w:r w:rsidRPr="00FA3F9C">
              <w:rPr>
                <w:rFonts w:ascii="Arial" w:hAnsi="Arial" w:cs="Arial"/>
                <w:sz w:val="24"/>
                <w:szCs w:val="24"/>
              </w:rPr>
              <w:lastRenderedPageBreak/>
              <w:t>The patient has residual disease on surgical pathology specimen (</w:t>
            </w:r>
            <w:proofErr w:type="gramStart"/>
            <w:r w:rsidRPr="00FA3F9C">
              <w:rPr>
                <w:rFonts w:ascii="Arial" w:hAnsi="Arial" w:cs="Arial"/>
                <w:sz w:val="24"/>
                <w:szCs w:val="24"/>
              </w:rPr>
              <w:t>i.e.</w:t>
            </w:r>
            <w:proofErr w:type="gramEnd"/>
            <w:r w:rsidRPr="00FA3F9C">
              <w:rPr>
                <w:rFonts w:ascii="Arial" w:hAnsi="Arial" w:cs="Arial"/>
                <w:sz w:val="24"/>
                <w:szCs w:val="24"/>
              </w:rPr>
              <w:t xml:space="preserve"> after resection, tumor cells still remained in the resected tissue)</w:t>
            </w:r>
          </w:p>
        </w:tc>
      </w:tr>
      <w:tr w:rsidR="009B5AA5" w:rsidRPr="00FA3F9C" w14:paraId="7D6E449E" w14:textId="77777777" w:rsidTr="0089374E">
        <w:tc>
          <w:tcPr>
            <w:tcW w:w="10368" w:type="dxa"/>
          </w:tcPr>
          <w:p w14:paraId="2A5441D5" w14:textId="77777777" w:rsidR="009B5AA5" w:rsidRPr="00FA3F9C" w:rsidRDefault="009B5AA5" w:rsidP="00FC1E85">
            <w:pPr>
              <w:pStyle w:val="ListParagraph"/>
              <w:numPr>
                <w:ilvl w:val="0"/>
                <w:numId w:val="364"/>
              </w:numPr>
              <w:spacing w:after="0" w:line="276" w:lineRule="auto"/>
              <w:rPr>
                <w:rFonts w:ascii="Arial" w:hAnsi="Arial" w:cs="Arial"/>
                <w:sz w:val="24"/>
                <w:szCs w:val="24"/>
              </w:rPr>
            </w:pPr>
            <w:r w:rsidRPr="00FA3F9C">
              <w:rPr>
                <w:rFonts w:ascii="Arial" w:hAnsi="Arial" w:cs="Arial"/>
                <w:sz w:val="24"/>
                <w:szCs w:val="24"/>
              </w:rPr>
              <w:t>The patient does not have metastatic disease</w:t>
            </w:r>
          </w:p>
        </w:tc>
      </w:tr>
      <w:tr w:rsidR="009B5AA5" w:rsidRPr="00FA3F9C" w14:paraId="0925A01C" w14:textId="77777777" w:rsidTr="0089374E">
        <w:tc>
          <w:tcPr>
            <w:tcW w:w="10368" w:type="dxa"/>
          </w:tcPr>
          <w:p w14:paraId="0A4B631A" w14:textId="77777777" w:rsidR="009B5AA5" w:rsidRPr="00FA3F9C" w:rsidRDefault="009B5AA5" w:rsidP="00FC1E85">
            <w:pPr>
              <w:pStyle w:val="ListParagraph"/>
              <w:numPr>
                <w:ilvl w:val="0"/>
                <w:numId w:val="364"/>
              </w:numPr>
              <w:spacing w:after="0" w:line="276" w:lineRule="auto"/>
              <w:rPr>
                <w:rFonts w:ascii="Arial" w:hAnsi="Arial" w:cs="Arial"/>
                <w:sz w:val="24"/>
                <w:szCs w:val="24"/>
              </w:rPr>
            </w:pPr>
            <w:r w:rsidRPr="00FA3F9C">
              <w:rPr>
                <w:rFonts w:ascii="Arial" w:hAnsi="Arial" w:cs="Arial"/>
                <w:sz w:val="24"/>
                <w:szCs w:val="24"/>
              </w:rPr>
              <w:t>Nivolumab will be used as single agent</w:t>
            </w:r>
          </w:p>
        </w:tc>
      </w:tr>
      <w:tr w:rsidR="009B5AA5" w:rsidRPr="00FA3F9C" w14:paraId="4811218E" w14:textId="77777777" w:rsidTr="0089374E">
        <w:tc>
          <w:tcPr>
            <w:tcW w:w="10368" w:type="dxa"/>
            <w:shd w:val="clear" w:color="auto" w:fill="F2F2F2" w:themeFill="background1" w:themeFillShade="F2"/>
          </w:tcPr>
          <w:p w14:paraId="037C067A" w14:textId="77777777" w:rsidR="009B5AA5" w:rsidRPr="00FA3F9C" w:rsidRDefault="009B5AA5" w:rsidP="0089374E">
            <w:pPr>
              <w:spacing w:after="0"/>
              <w:rPr>
                <w:rFonts w:ascii="Arial" w:hAnsi="Arial" w:cs="Arial"/>
                <w:sz w:val="24"/>
                <w:szCs w:val="24"/>
              </w:rPr>
            </w:pPr>
            <w:r w:rsidRPr="00FA3F9C">
              <w:rPr>
                <w:rFonts w:ascii="Arial" w:hAnsi="Arial" w:cs="Arial"/>
                <w:b/>
                <w:sz w:val="24"/>
                <w:szCs w:val="24"/>
              </w:rPr>
              <w:t>If above criteria fulfilled, approve x 12 months ONLY. Note: Maximum duration of therapy for this indication is 1 year.</w:t>
            </w:r>
          </w:p>
        </w:tc>
      </w:tr>
      <w:tr w:rsidR="009B5AA5" w:rsidRPr="00FA3F9C" w14:paraId="001B6FF7" w14:textId="77777777" w:rsidTr="0089374E">
        <w:tc>
          <w:tcPr>
            <w:tcW w:w="10368" w:type="dxa"/>
            <w:tcBorders>
              <w:bottom w:val="single" w:sz="4" w:space="0" w:color="auto"/>
            </w:tcBorders>
            <w:shd w:val="clear" w:color="auto" w:fill="BFBFBF" w:themeFill="background1" w:themeFillShade="BF"/>
          </w:tcPr>
          <w:p w14:paraId="54411702" w14:textId="77777777" w:rsidR="009B5AA5" w:rsidRPr="00FA3F9C" w:rsidRDefault="009B5AA5" w:rsidP="0089374E">
            <w:pPr>
              <w:spacing w:after="0"/>
              <w:rPr>
                <w:rFonts w:ascii="Arial" w:hAnsi="Arial" w:cs="Arial"/>
                <w:sz w:val="24"/>
                <w:szCs w:val="24"/>
              </w:rPr>
            </w:pPr>
            <w:r w:rsidRPr="00FA3F9C">
              <w:rPr>
                <w:rFonts w:ascii="Arial" w:hAnsi="Arial" w:cs="Arial"/>
                <w:sz w:val="24"/>
                <w:szCs w:val="24"/>
              </w:rPr>
              <w:t xml:space="preserve">Notes:  </w:t>
            </w:r>
          </w:p>
          <w:p w14:paraId="601C7A12" w14:textId="77777777" w:rsidR="009B5AA5" w:rsidRPr="00FA3F9C" w:rsidRDefault="009B5AA5" w:rsidP="0089374E">
            <w:pPr>
              <w:spacing w:after="0"/>
              <w:rPr>
                <w:rFonts w:ascii="Arial" w:hAnsi="Arial" w:cs="Arial"/>
                <w:sz w:val="24"/>
                <w:szCs w:val="24"/>
              </w:rPr>
            </w:pPr>
            <w:r w:rsidRPr="00FA3F9C">
              <w:rPr>
                <w:rFonts w:ascii="Arial" w:hAnsi="Arial" w:cs="Arial"/>
                <w:sz w:val="24"/>
                <w:szCs w:val="24"/>
              </w:rPr>
              <w:t>Treatment was continued until disease recurrence, unacceptable toxicity, or for up to 1 year in total duration.</w:t>
            </w:r>
          </w:p>
          <w:p w14:paraId="3F83F648" w14:textId="77777777" w:rsidR="009B5AA5" w:rsidRPr="00FA3F9C" w:rsidRDefault="009B5AA5" w:rsidP="0089374E">
            <w:pPr>
              <w:spacing w:after="0"/>
              <w:rPr>
                <w:rFonts w:ascii="Arial" w:hAnsi="Arial" w:cs="Arial"/>
                <w:sz w:val="24"/>
                <w:szCs w:val="24"/>
              </w:rPr>
            </w:pPr>
            <w:r w:rsidRPr="00FA3F9C">
              <w:rPr>
                <w:rFonts w:ascii="Arial" w:hAnsi="Arial" w:cs="Arial"/>
                <w:sz w:val="24"/>
                <w:szCs w:val="24"/>
              </w:rPr>
              <w:t xml:space="preserve">In the CHECKMATE-577 (NCT02743494) trial, patients meeting the above key criteria were randomized to either 1 year of nivolumab or placebo. Nivolumab statistically improved </w:t>
            </w:r>
            <w:proofErr w:type="gramStart"/>
            <w:r w:rsidRPr="00FA3F9C">
              <w:rPr>
                <w:rFonts w:ascii="Arial" w:hAnsi="Arial" w:cs="Arial"/>
                <w:sz w:val="24"/>
                <w:szCs w:val="24"/>
              </w:rPr>
              <w:t>disease free</w:t>
            </w:r>
            <w:proofErr w:type="gramEnd"/>
            <w:r w:rsidRPr="00FA3F9C">
              <w:rPr>
                <w:rFonts w:ascii="Arial" w:hAnsi="Arial" w:cs="Arial"/>
                <w:sz w:val="24"/>
                <w:szCs w:val="24"/>
              </w:rPr>
              <w:t xml:space="preserve"> survival (DFS) regardless of PD-L1 expression and histology. The following results were taken from the package insert:</w:t>
            </w:r>
          </w:p>
          <w:p w14:paraId="448BF7A8" w14:textId="77777777" w:rsidR="009B5AA5" w:rsidRPr="00FA3F9C" w:rsidRDefault="009B5AA5" w:rsidP="0089374E">
            <w:pPr>
              <w:spacing w:after="0"/>
              <w:jc w:val="center"/>
              <w:rPr>
                <w:rFonts w:ascii="Arial" w:hAnsi="Arial" w:cs="Arial"/>
                <w:sz w:val="24"/>
                <w:szCs w:val="24"/>
              </w:rPr>
            </w:pPr>
            <w:r w:rsidRPr="00FA3F9C">
              <w:rPr>
                <w:rFonts w:ascii="Arial" w:hAnsi="Arial" w:cs="Arial"/>
                <w:noProof/>
                <w:sz w:val="24"/>
                <w:szCs w:val="24"/>
              </w:rPr>
              <w:drawing>
                <wp:inline distT="0" distB="0" distL="0" distR="0" wp14:anchorId="2BD9AA35" wp14:editId="58637138">
                  <wp:extent cx="4947274" cy="1468783"/>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4"/>
                          <a:stretch>
                            <a:fillRect/>
                          </a:stretch>
                        </pic:blipFill>
                        <pic:spPr>
                          <a:xfrm>
                            <a:off x="0" y="0"/>
                            <a:ext cx="4959126" cy="1472302"/>
                          </a:xfrm>
                          <a:prstGeom prst="rect">
                            <a:avLst/>
                          </a:prstGeom>
                        </pic:spPr>
                      </pic:pic>
                    </a:graphicData>
                  </a:graphic>
                </wp:inline>
              </w:drawing>
            </w:r>
          </w:p>
          <w:p w14:paraId="48A8B728" w14:textId="77777777" w:rsidR="009B5AA5" w:rsidRPr="00FA3F9C" w:rsidRDefault="009B5AA5" w:rsidP="0089374E">
            <w:pPr>
              <w:spacing w:after="0" w:line="240" w:lineRule="auto"/>
              <w:rPr>
                <w:rFonts w:ascii="Arial" w:hAnsi="Arial" w:cs="Arial"/>
                <w:sz w:val="24"/>
                <w:szCs w:val="24"/>
              </w:rPr>
            </w:pPr>
            <w:r w:rsidRPr="00FA3F9C">
              <w:rPr>
                <w:rFonts w:ascii="Arial" w:hAnsi="Arial" w:cs="Arial"/>
                <w:sz w:val="24"/>
                <w:szCs w:val="24"/>
              </w:rPr>
              <w:t>REFERENCES:</w:t>
            </w:r>
          </w:p>
          <w:p w14:paraId="0B874C2E" w14:textId="77777777" w:rsidR="009B5AA5" w:rsidRPr="00FA3F9C" w:rsidRDefault="009B5AA5" w:rsidP="00FC1E85">
            <w:pPr>
              <w:pStyle w:val="ListParagraph"/>
              <w:numPr>
                <w:ilvl w:val="0"/>
                <w:numId w:val="374"/>
              </w:numPr>
              <w:spacing w:after="0" w:line="276" w:lineRule="auto"/>
              <w:ind w:left="244" w:hanging="180"/>
              <w:rPr>
                <w:rFonts w:ascii="Arial" w:hAnsi="Arial" w:cs="Arial"/>
                <w:sz w:val="24"/>
                <w:szCs w:val="24"/>
              </w:rPr>
            </w:pPr>
            <w:proofErr w:type="spellStart"/>
            <w:r w:rsidRPr="00FA3F9C">
              <w:rPr>
                <w:rFonts w:ascii="Arial" w:hAnsi="Arial" w:cs="Arial"/>
                <w:sz w:val="24"/>
                <w:szCs w:val="24"/>
              </w:rPr>
              <w:t>Opdivo</w:t>
            </w:r>
            <w:proofErr w:type="spellEnd"/>
            <w:r w:rsidRPr="00FA3F9C">
              <w:rPr>
                <w:rFonts w:ascii="Arial" w:hAnsi="Arial" w:cs="Arial"/>
                <w:sz w:val="24"/>
                <w:szCs w:val="24"/>
              </w:rPr>
              <w:t xml:space="preserve"> package insert.  </w:t>
            </w:r>
            <w:hyperlink r:id="rId295" w:history="1">
              <w:r w:rsidRPr="00FA3F9C">
                <w:rPr>
                  <w:rStyle w:val="Hyperlink"/>
                  <w:rFonts w:ascii="Arial" w:hAnsi="Arial" w:cs="Arial"/>
                  <w:sz w:val="24"/>
                  <w:szCs w:val="24"/>
                </w:rPr>
                <w:t>https://www.accessdata.fda.gov/drugsatfda_docs/label/2021/125554s092lbl.pdf Accessed 6/17/2021</w:t>
              </w:r>
            </w:hyperlink>
            <w:r w:rsidRPr="00FA3F9C">
              <w:rPr>
                <w:rFonts w:ascii="Arial" w:hAnsi="Arial" w:cs="Arial"/>
                <w:sz w:val="24"/>
                <w:szCs w:val="24"/>
              </w:rPr>
              <w:t>.</w:t>
            </w:r>
          </w:p>
          <w:p w14:paraId="60824199" w14:textId="77777777" w:rsidR="009B5AA5" w:rsidRPr="00FA3F9C" w:rsidRDefault="009B5AA5" w:rsidP="00FC1E85">
            <w:pPr>
              <w:pStyle w:val="ListParagraph"/>
              <w:numPr>
                <w:ilvl w:val="0"/>
                <w:numId w:val="374"/>
              </w:numPr>
              <w:spacing w:after="0" w:line="276" w:lineRule="auto"/>
              <w:ind w:left="244" w:hanging="180"/>
              <w:rPr>
                <w:rFonts w:ascii="Arial" w:hAnsi="Arial" w:cs="Arial"/>
                <w:sz w:val="24"/>
                <w:szCs w:val="24"/>
              </w:rPr>
            </w:pPr>
            <w:r w:rsidRPr="00FA3F9C">
              <w:rPr>
                <w:rFonts w:ascii="Arial" w:hAnsi="Arial" w:cs="Arial"/>
                <w:sz w:val="24"/>
                <w:szCs w:val="24"/>
              </w:rPr>
              <w:t xml:space="preserve">Kelly RJ et al. Adjuvant Nivolumab in Resected Esophageal or Gastroesophageal Junction Cancer. N </w:t>
            </w:r>
            <w:proofErr w:type="spellStart"/>
            <w:r w:rsidRPr="00FA3F9C">
              <w:rPr>
                <w:rFonts w:ascii="Arial" w:hAnsi="Arial" w:cs="Arial"/>
                <w:sz w:val="24"/>
                <w:szCs w:val="24"/>
              </w:rPr>
              <w:t>Engl</w:t>
            </w:r>
            <w:proofErr w:type="spellEnd"/>
            <w:r w:rsidRPr="00FA3F9C">
              <w:rPr>
                <w:rFonts w:ascii="Arial" w:hAnsi="Arial" w:cs="Arial"/>
                <w:sz w:val="24"/>
                <w:szCs w:val="24"/>
              </w:rPr>
              <w:t xml:space="preserve"> J Med. 2021 Apr 1;384(13):1191-1203. </w:t>
            </w:r>
            <w:proofErr w:type="spellStart"/>
            <w:r w:rsidRPr="00FA3F9C">
              <w:rPr>
                <w:rFonts w:ascii="Arial" w:hAnsi="Arial" w:cs="Arial"/>
                <w:sz w:val="24"/>
                <w:szCs w:val="24"/>
              </w:rPr>
              <w:t>doi</w:t>
            </w:r>
            <w:proofErr w:type="spellEnd"/>
            <w:r w:rsidRPr="00FA3F9C">
              <w:rPr>
                <w:rFonts w:ascii="Arial" w:hAnsi="Arial" w:cs="Arial"/>
                <w:sz w:val="24"/>
                <w:szCs w:val="24"/>
              </w:rPr>
              <w:t>: 10.1056/NEJMoa2032125. PMID: 33789008.</w:t>
            </w:r>
          </w:p>
        </w:tc>
      </w:tr>
    </w:tbl>
    <w:p w14:paraId="37A300FE" w14:textId="77777777" w:rsidR="009B5AA5" w:rsidRPr="00FA3F9C" w:rsidRDefault="009B5AA5">
      <w:pPr>
        <w:rPr>
          <w:rFonts w:ascii="Arial" w:hAnsi="Arial" w:cs="Arial"/>
          <w:sz w:val="24"/>
          <w:szCs w:val="24"/>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68"/>
      </w:tblGrid>
      <w:tr w:rsidR="009B5AA5" w:rsidRPr="00FA3F9C" w14:paraId="0E16DF53" w14:textId="77777777" w:rsidTr="0089374E">
        <w:tc>
          <w:tcPr>
            <w:tcW w:w="10368" w:type="dxa"/>
            <w:tcBorders>
              <w:bottom w:val="single" w:sz="4" w:space="0" w:color="auto"/>
            </w:tcBorders>
            <w:shd w:val="clear" w:color="auto" w:fill="000000"/>
          </w:tcPr>
          <w:p w14:paraId="0369D4D7" w14:textId="77777777" w:rsidR="009B5AA5" w:rsidRPr="00FA3F9C" w:rsidRDefault="009B5AA5" w:rsidP="0089374E">
            <w:pPr>
              <w:spacing w:after="0"/>
              <w:rPr>
                <w:rFonts w:ascii="Arial" w:hAnsi="Arial" w:cs="Arial"/>
                <w:b/>
                <w:sz w:val="24"/>
                <w:szCs w:val="24"/>
                <w:u w:val="single"/>
              </w:rPr>
            </w:pPr>
            <w:r w:rsidRPr="00FA3F9C">
              <w:rPr>
                <w:rFonts w:ascii="Arial" w:hAnsi="Arial" w:cs="Arial"/>
                <w:sz w:val="24"/>
                <w:szCs w:val="24"/>
              </w:rPr>
              <w:br w:type="page"/>
            </w:r>
            <w:r w:rsidRPr="00FA3F9C">
              <w:rPr>
                <w:rFonts w:ascii="Arial" w:hAnsi="Arial" w:cs="Arial"/>
                <w:b/>
                <w:sz w:val="24"/>
                <w:szCs w:val="24"/>
                <w:u w:val="single"/>
              </w:rPr>
              <w:t>Esop</w:t>
            </w:r>
            <w:bookmarkStart w:id="233" w:name="esoph"/>
            <w:bookmarkEnd w:id="233"/>
            <w:r w:rsidRPr="00FA3F9C">
              <w:rPr>
                <w:rFonts w:ascii="Arial" w:hAnsi="Arial" w:cs="Arial"/>
                <w:b/>
                <w:sz w:val="24"/>
                <w:szCs w:val="24"/>
                <w:u w:val="single"/>
              </w:rPr>
              <w:t>hageal Squamous Cell Carcinoma (ESCC)</w:t>
            </w:r>
          </w:p>
        </w:tc>
      </w:tr>
      <w:tr w:rsidR="009B5AA5" w:rsidRPr="00FA3F9C" w14:paraId="0432E798" w14:textId="77777777" w:rsidTr="0089374E">
        <w:tc>
          <w:tcPr>
            <w:tcW w:w="10368" w:type="dxa"/>
            <w:tcBorders>
              <w:bottom w:val="single" w:sz="4" w:space="0" w:color="auto"/>
            </w:tcBorders>
          </w:tcPr>
          <w:p w14:paraId="1E8234DE" w14:textId="77777777" w:rsidR="009B5AA5" w:rsidRPr="00FA3F9C" w:rsidRDefault="009B5AA5" w:rsidP="00FC1E85">
            <w:pPr>
              <w:numPr>
                <w:ilvl w:val="0"/>
                <w:numId w:val="371"/>
              </w:numPr>
              <w:spacing w:after="0" w:line="276" w:lineRule="auto"/>
              <w:rPr>
                <w:rFonts w:ascii="Arial" w:hAnsi="Arial" w:cs="Arial"/>
                <w:sz w:val="24"/>
                <w:szCs w:val="24"/>
              </w:rPr>
            </w:pPr>
            <w:r w:rsidRPr="00FA3F9C">
              <w:rPr>
                <w:rFonts w:ascii="Arial" w:hAnsi="Arial" w:cs="Arial"/>
                <w:sz w:val="24"/>
                <w:szCs w:val="24"/>
              </w:rPr>
              <w:lastRenderedPageBreak/>
              <w:t>Diagnosis of advanced/metastatic esophageal squamous cell carcinoma (not adenocarcinoma)</w:t>
            </w:r>
          </w:p>
        </w:tc>
      </w:tr>
      <w:tr w:rsidR="009B5AA5" w:rsidRPr="00FA3F9C" w14:paraId="723C4B44" w14:textId="77777777" w:rsidTr="0089374E">
        <w:tc>
          <w:tcPr>
            <w:tcW w:w="10368" w:type="dxa"/>
          </w:tcPr>
          <w:p w14:paraId="2FEB5583" w14:textId="77777777" w:rsidR="009B5AA5" w:rsidRPr="00FA3F9C" w:rsidRDefault="009B5AA5" w:rsidP="00FC1E85">
            <w:pPr>
              <w:numPr>
                <w:ilvl w:val="0"/>
                <w:numId w:val="371"/>
              </w:numPr>
              <w:spacing w:after="0" w:line="276" w:lineRule="auto"/>
              <w:rPr>
                <w:rFonts w:ascii="Arial" w:hAnsi="Arial" w:cs="Arial"/>
                <w:sz w:val="24"/>
                <w:szCs w:val="24"/>
              </w:rPr>
            </w:pPr>
            <w:r w:rsidRPr="00FA3F9C">
              <w:rPr>
                <w:rFonts w:ascii="Arial" w:hAnsi="Arial" w:cs="Arial"/>
                <w:sz w:val="24"/>
                <w:szCs w:val="24"/>
              </w:rPr>
              <w:t xml:space="preserve">Previously treated with fluoropyrimidine- and platinum-based chemotherapy (treatment must have contained a fluoropyrimidine (fluorouracil or capecitabine) AND a platinum agent (oxaliplatin, cisplatin, or carboplatin) </w:t>
            </w:r>
          </w:p>
        </w:tc>
      </w:tr>
      <w:tr w:rsidR="009B5AA5" w:rsidRPr="00FA3F9C" w14:paraId="0E8B9C5C" w14:textId="77777777" w:rsidTr="0089374E">
        <w:tc>
          <w:tcPr>
            <w:tcW w:w="10368" w:type="dxa"/>
          </w:tcPr>
          <w:p w14:paraId="0E207740" w14:textId="77777777" w:rsidR="009B5AA5" w:rsidRPr="00FA3F9C" w:rsidRDefault="009B5AA5" w:rsidP="00FC1E85">
            <w:pPr>
              <w:pStyle w:val="ListParagraph"/>
              <w:numPr>
                <w:ilvl w:val="0"/>
                <w:numId w:val="371"/>
              </w:numPr>
              <w:spacing w:after="0" w:line="276" w:lineRule="auto"/>
              <w:rPr>
                <w:rFonts w:ascii="Arial" w:hAnsi="Arial" w:cs="Arial"/>
                <w:sz w:val="24"/>
                <w:szCs w:val="24"/>
              </w:rPr>
            </w:pPr>
            <w:r w:rsidRPr="00FA3F9C">
              <w:rPr>
                <w:rFonts w:ascii="Arial" w:hAnsi="Arial" w:cs="Arial"/>
                <w:sz w:val="24"/>
                <w:szCs w:val="24"/>
              </w:rPr>
              <w:t>No prior PD-L1 or PD-1 inhibitor</w:t>
            </w:r>
          </w:p>
        </w:tc>
      </w:tr>
      <w:tr w:rsidR="009B5AA5" w:rsidRPr="00FA3F9C" w14:paraId="41F1C8E5" w14:textId="77777777" w:rsidTr="0089374E">
        <w:tc>
          <w:tcPr>
            <w:tcW w:w="10368" w:type="dxa"/>
          </w:tcPr>
          <w:p w14:paraId="1CFA1B30" w14:textId="77777777" w:rsidR="009B5AA5" w:rsidRPr="00FA3F9C" w:rsidRDefault="009B5AA5" w:rsidP="00FC1E85">
            <w:pPr>
              <w:pStyle w:val="ListParagraph"/>
              <w:numPr>
                <w:ilvl w:val="0"/>
                <w:numId w:val="371"/>
              </w:numPr>
              <w:spacing w:after="0" w:line="276" w:lineRule="auto"/>
              <w:rPr>
                <w:rFonts w:ascii="Arial" w:hAnsi="Arial" w:cs="Arial"/>
                <w:sz w:val="24"/>
                <w:szCs w:val="24"/>
              </w:rPr>
            </w:pPr>
            <w:r w:rsidRPr="00FA3F9C">
              <w:rPr>
                <w:rFonts w:ascii="Arial" w:hAnsi="Arial" w:cs="Arial"/>
                <w:sz w:val="24"/>
                <w:szCs w:val="24"/>
              </w:rPr>
              <w:t>Nivolumab will be used as single agent</w:t>
            </w:r>
          </w:p>
        </w:tc>
      </w:tr>
      <w:tr w:rsidR="009B5AA5" w:rsidRPr="00FA3F9C" w14:paraId="790862FC" w14:textId="77777777" w:rsidTr="0089374E">
        <w:tc>
          <w:tcPr>
            <w:tcW w:w="10368" w:type="dxa"/>
            <w:shd w:val="clear" w:color="auto" w:fill="F2F2F2" w:themeFill="background1" w:themeFillShade="F2"/>
          </w:tcPr>
          <w:p w14:paraId="73B4C577" w14:textId="77777777" w:rsidR="009B5AA5" w:rsidRPr="00FA3F9C" w:rsidRDefault="009B5AA5" w:rsidP="0089374E">
            <w:pPr>
              <w:spacing w:after="0"/>
              <w:rPr>
                <w:rFonts w:ascii="Arial" w:hAnsi="Arial" w:cs="Arial"/>
                <w:sz w:val="24"/>
                <w:szCs w:val="24"/>
              </w:rPr>
            </w:pPr>
            <w:r w:rsidRPr="00FA3F9C">
              <w:rPr>
                <w:rFonts w:ascii="Arial" w:hAnsi="Arial" w:cs="Arial"/>
                <w:b/>
                <w:sz w:val="24"/>
                <w:szCs w:val="24"/>
              </w:rPr>
              <w:t>If above criteria fulfilled, approve x 12 months</w:t>
            </w:r>
          </w:p>
        </w:tc>
      </w:tr>
      <w:tr w:rsidR="009B5AA5" w:rsidRPr="00FA3F9C" w14:paraId="6B5B6FA4" w14:textId="77777777" w:rsidTr="0089374E">
        <w:tc>
          <w:tcPr>
            <w:tcW w:w="10368" w:type="dxa"/>
            <w:tcBorders>
              <w:bottom w:val="single" w:sz="4" w:space="0" w:color="auto"/>
            </w:tcBorders>
            <w:shd w:val="clear" w:color="auto" w:fill="BFBFBF" w:themeFill="background1" w:themeFillShade="BF"/>
          </w:tcPr>
          <w:p w14:paraId="51CA4805" w14:textId="77777777" w:rsidR="009B5AA5" w:rsidRPr="00FA3F9C" w:rsidRDefault="009B5AA5" w:rsidP="0089374E">
            <w:pPr>
              <w:spacing w:after="0"/>
              <w:rPr>
                <w:rFonts w:ascii="Arial" w:hAnsi="Arial" w:cs="Arial"/>
                <w:sz w:val="24"/>
                <w:szCs w:val="24"/>
              </w:rPr>
            </w:pPr>
            <w:r w:rsidRPr="00FA3F9C">
              <w:rPr>
                <w:rFonts w:ascii="Arial" w:hAnsi="Arial" w:cs="Arial"/>
                <w:sz w:val="24"/>
                <w:szCs w:val="24"/>
              </w:rPr>
              <w:t xml:space="preserve">Notes:  </w:t>
            </w:r>
          </w:p>
          <w:p w14:paraId="5839C600" w14:textId="77777777" w:rsidR="009B5AA5" w:rsidRPr="00FA3F9C" w:rsidRDefault="009B5AA5" w:rsidP="0089374E">
            <w:pPr>
              <w:spacing w:after="0"/>
              <w:rPr>
                <w:rFonts w:ascii="Arial" w:hAnsi="Arial" w:cs="Arial"/>
                <w:sz w:val="24"/>
                <w:szCs w:val="24"/>
              </w:rPr>
            </w:pPr>
            <w:r w:rsidRPr="00FA3F9C">
              <w:rPr>
                <w:rFonts w:ascii="Arial" w:hAnsi="Arial" w:cs="Arial"/>
                <w:sz w:val="24"/>
                <w:szCs w:val="24"/>
              </w:rPr>
              <w:t xml:space="preserve">In the above population, nivolumab was compared to investigator’s choice of either paclitaxel or docetaxel. Overall survival was improved in the nivolumab group (median 10.9 </w:t>
            </w:r>
            <w:proofErr w:type="spellStart"/>
            <w:r w:rsidRPr="00FA3F9C">
              <w:rPr>
                <w:rFonts w:ascii="Arial" w:hAnsi="Arial" w:cs="Arial"/>
                <w:sz w:val="24"/>
                <w:szCs w:val="24"/>
              </w:rPr>
              <w:t>mo</w:t>
            </w:r>
            <w:proofErr w:type="spellEnd"/>
            <w:r w:rsidRPr="00FA3F9C">
              <w:rPr>
                <w:rFonts w:ascii="Arial" w:hAnsi="Arial" w:cs="Arial"/>
                <w:sz w:val="24"/>
                <w:szCs w:val="24"/>
              </w:rPr>
              <w:t xml:space="preserve"> vs 8.4 </w:t>
            </w:r>
            <w:proofErr w:type="spellStart"/>
            <w:proofErr w:type="gramStart"/>
            <w:r w:rsidRPr="00FA3F9C">
              <w:rPr>
                <w:rFonts w:ascii="Arial" w:hAnsi="Arial" w:cs="Arial"/>
                <w:sz w:val="24"/>
                <w:szCs w:val="24"/>
              </w:rPr>
              <w:t>mo</w:t>
            </w:r>
            <w:proofErr w:type="spellEnd"/>
            <w:r w:rsidRPr="00FA3F9C">
              <w:rPr>
                <w:rFonts w:ascii="Arial" w:hAnsi="Arial" w:cs="Arial"/>
                <w:sz w:val="24"/>
                <w:szCs w:val="24"/>
              </w:rPr>
              <w:t>;</w:t>
            </w:r>
            <w:proofErr w:type="gramEnd"/>
            <w:r w:rsidRPr="00FA3F9C">
              <w:rPr>
                <w:rFonts w:ascii="Arial" w:hAnsi="Arial" w:cs="Arial"/>
                <w:sz w:val="24"/>
                <w:szCs w:val="24"/>
              </w:rPr>
              <w:t xml:space="preserve"> HR 0.77) with fewer grade 3/4 adverse events in the nivolumab group (18% vs 63%). Serious grade 3/4 adverse events were also reduced in the nivolumab group (10% vs 20%).  Quality of life parameters were also significantly improved in the nivolumab group.</w:t>
            </w:r>
          </w:p>
          <w:p w14:paraId="3B6DD434" w14:textId="77777777" w:rsidR="009B5AA5" w:rsidRPr="00FA3F9C" w:rsidRDefault="009B5AA5" w:rsidP="0089374E">
            <w:pPr>
              <w:spacing w:after="0" w:line="240" w:lineRule="auto"/>
              <w:rPr>
                <w:rFonts w:ascii="Arial" w:hAnsi="Arial" w:cs="Arial"/>
                <w:sz w:val="24"/>
                <w:szCs w:val="24"/>
              </w:rPr>
            </w:pPr>
            <w:r w:rsidRPr="00FA3F9C">
              <w:rPr>
                <w:rFonts w:ascii="Arial" w:hAnsi="Arial" w:cs="Arial"/>
                <w:sz w:val="24"/>
                <w:szCs w:val="24"/>
              </w:rPr>
              <w:t>REFERENCES:</w:t>
            </w:r>
          </w:p>
          <w:p w14:paraId="7F729F6F" w14:textId="77777777" w:rsidR="009B5AA5" w:rsidRPr="00FA3F9C" w:rsidRDefault="009B5AA5" w:rsidP="0089374E">
            <w:pPr>
              <w:spacing w:after="0"/>
              <w:rPr>
                <w:rFonts w:ascii="Arial" w:hAnsi="Arial" w:cs="Arial"/>
                <w:sz w:val="24"/>
                <w:szCs w:val="24"/>
              </w:rPr>
            </w:pPr>
            <w:r w:rsidRPr="00FA3F9C">
              <w:rPr>
                <w:rFonts w:ascii="Arial" w:hAnsi="Arial" w:cs="Arial"/>
                <w:sz w:val="24"/>
                <w:szCs w:val="24"/>
              </w:rPr>
              <w:t xml:space="preserve"> Kato K et al. Nivolumab versus chemotherapy in patients with advanced </w:t>
            </w:r>
            <w:proofErr w:type="spellStart"/>
            <w:r w:rsidRPr="00FA3F9C">
              <w:rPr>
                <w:rFonts w:ascii="Arial" w:hAnsi="Arial" w:cs="Arial"/>
                <w:sz w:val="24"/>
                <w:szCs w:val="24"/>
              </w:rPr>
              <w:t>oesophageal</w:t>
            </w:r>
            <w:proofErr w:type="spellEnd"/>
            <w:r w:rsidRPr="00FA3F9C">
              <w:rPr>
                <w:rFonts w:ascii="Arial" w:hAnsi="Arial" w:cs="Arial"/>
                <w:sz w:val="24"/>
                <w:szCs w:val="24"/>
              </w:rPr>
              <w:t xml:space="preserve"> squamous cell carcinoma refractory or intolerant to previous chemotherapy (ATTRACTION-3): a </w:t>
            </w:r>
            <w:proofErr w:type="spellStart"/>
            <w:r w:rsidRPr="00FA3F9C">
              <w:rPr>
                <w:rFonts w:ascii="Arial" w:hAnsi="Arial" w:cs="Arial"/>
                <w:sz w:val="24"/>
                <w:szCs w:val="24"/>
              </w:rPr>
              <w:t>multicentre</w:t>
            </w:r>
            <w:proofErr w:type="spellEnd"/>
            <w:r w:rsidRPr="00FA3F9C">
              <w:rPr>
                <w:rFonts w:ascii="Arial" w:hAnsi="Arial" w:cs="Arial"/>
                <w:sz w:val="24"/>
                <w:szCs w:val="24"/>
              </w:rPr>
              <w:t xml:space="preserve">, </w:t>
            </w:r>
            <w:proofErr w:type="spellStart"/>
            <w:r w:rsidRPr="00FA3F9C">
              <w:rPr>
                <w:rFonts w:ascii="Arial" w:hAnsi="Arial" w:cs="Arial"/>
                <w:sz w:val="24"/>
                <w:szCs w:val="24"/>
              </w:rPr>
              <w:t>randomised</w:t>
            </w:r>
            <w:proofErr w:type="spellEnd"/>
            <w:r w:rsidRPr="00FA3F9C">
              <w:rPr>
                <w:rFonts w:ascii="Arial" w:hAnsi="Arial" w:cs="Arial"/>
                <w:sz w:val="24"/>
                <w:szCs w:val="24"/>
              </w:rPr>
              <w:t>, open-label, phase 3 trial Lancet Oncol. 2019;20(11):1506-1517. doi:10.1016/S1470-2045(19)30626-6. PMID 31582355, NCT02569242</w:t>
            </w:r>
          </w:p>
        </w:tc>
      </w:tr>
    </w:tbl>
    <w:p w14:paraId="2DD6CC68" w14:textId="77777777" w:rsidR="009B5AA5" w:rsidRPr="00FA3F9C" w:rsidRDefault="009B5AA5" w:rsidP="006F623F">
      <w:pPr>
        <w:spacing w:after="0"/>
        <w:rPr>
          <w:rFonts w:ascii="Arial" w:hAnsi="Arial" w:cs="Arial"/>
          <w:sz w:val="24"/>
          <w:szCs w:val="24"/>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68"/>
      </w:tblGrid>
      <w:tr w:rsidR="009B5AA5" w:rsidRPr="00500371" w14:paraId="725AAE42" w14:textId="77777777" w:rsidTr="002F31DB">
        <w:tc>
          <w:tcPr>
            <w:tcW w:w="10368" w:type="dxa"/>
            <w:tcBorders>
              <w:bottom w:val="single" w:sz="4" w:space="0" w:color="auto"/>
            </w:tcBorders>
            <w:shd w:val="clear" w:color="auto" w:fill="000000"/>
          </w:tcPr>
          <w:p w14:paraId="246C85ED" w14:textId="77777777" w:rsidR="009B5AA5" w:rsidRPr="00FA3F9C" w:rsidRDefault="009B5AA5" w:rsidP="004F3D88">
            <w:pPr>
              <w:rPr>
                <w:rFonts w:ascii="Arial" w:hAnsi="Arial" w:cs="Arial"/>
                <w:b/>
                <w:sz w:val="24"/>
                <w:szCs w:val="24"/>
                <w:u w:val="single"/>
                <w:lang w:val="es-ES"/>
              </w:rPr>
            </w:pPr>
            <w:r w:rsidRPr="00FA3F9C">
              <w:rPr>
                <w:rFonts w:ascii="Arial" w:hAnsi="Arial" w:cs="Arial"/>
                <w:sz w:val="24"/>
                <w:szCs w:val="24"/>
                <w:lang w:val="es-ES"/>
              </w:rPr>
              <w:br w:type="page"/>
            </w:r>
            <w:proofErr w:type="spellStart"/>
            <w:r w:rsidRPr="00FA3F9C">
              <w:rPr>
                <w:rFonts w:ascii="Arial" w:hAnsi="Arial" w:cs="Arial"/>
                <w:b/>
                <w:sz w:val="24"/>
                <w:szCs w:val="24"/>
                <w:u w:val="single"/>
                <w:lang w:val="es-ES"/>
              </w:rPr>
              <w:t>Gastric</w:t>
            </w:r>
            <w:proofErr w:type="spellEnd"/>
            <w:r w:rsidRPr="00FA3F9C">
              <w:rPr>
                <w:rFonts w:ascii="Arial" w:hAnsi="Arial" w:cs="Arial"/>
                <w:b/>
                <w:sz w:val="24"/>
                <w:szCs w:val="24"/>
                <w:u w:val="single"/>
                <w:lang w:val="es-ES"/>
              </w:rPr>
              <w:t xml:space="preserve"> </w:t>
            </w:r>
            <w:proofErr w:type="spellStart"/>
            <w:r w:rsidRPr="00FA3F9C">
              <w:rPr>
                <w:rFonts w:ascii="Arial" w:hAnsi="Arial" w:cs="Arial"/>
                <w:b/>
                <w:sz w:val="24"/>
                <w:szCs w:val="24"/>
                <w:u w:val="single"/>
                <w:lang w:val="es-ES"/>
              </w:rPr>
              <w:t>cancer</w:t>
            </w:r>
            <w:proofErr w:type="spellEnd"/>
            <w:r w:rsidRPr="00FA3F9C">
              <w:rPr>
                <w:rFonts w:ascii="Arial" w:hAnsi="Arial" w:cs="Arial"/>
                <w:b/>
                <w:sz w:val="24"/>
                <w:szCs w:val="24"/>
                <w:u w:val="single"/>
                <w:lang w:val="es-ES"/>
              </w:rPr>
              <w:t xml:space="preserve">, </w:t>
            </w:r>
            <w:proofErr w:type="spellStart"/>
            <w:r w:rsidRPr="00FA3F9C">
              <w:rPr>
                <w:rFonts w:ascii="Arial" w:hAnsi="Arial" w:cs="Arial"/>
                <w:b/>
                <w:sz w:val="24"/>
                <w:szCs w:val="24"/>
                <w:u w:val="single"/>
                <w:lang w:val="es-ES"/>
              </w:rPr>
              <w:t>gastroesophageal</w:t>
            </w:r>
            <w:proofErr w:type="spellEnd"/>
            <w:r w:rsidRPr="00FA3F9C">
              <w:rPr>
                <w:rFonts w:ascii="Arial" w:hAnsi="Arial" w:cs="Arial"/>
                <w:b/>
                <w:sz w:val="24"/>
                <w:szCs w:val="24"/>
                <w:u w:val="single"/>
                <w:lang w:val="es-ES"/>
              </w:rPr>
              <w:t xml:space="preserve"> </w:t>
            </w:r>
            <w:proofErr w:type="spellStart"/>
            <w:r w:rsidRPr="00FA3F9C">
              <w:rPr>
                <w:rFonts w:ascii="Arial" w:hAnsi="Arial" w:cs="Arial"/>
                <w:b/>
                <w:sz w:val="24"/>
                <w:szCs w:val="24"/>
                <w:u w:val="single"/>
                <w:lang w:val="es-ES"/>
              </w:rPr>
              <w:t>cancer</w:t>
            </w:r>
            <w:proofErr w:type="spellEnd"/>
            <w:r w:rsidRPr="00FA3F9C">
              <w:rPr>
                <w:rFonts w:ascii="Arial" w:hAnsi="Arial" w:cs="Arial"/>
                <w:b/>
                <w:sz w:val="24"/>
                <w:szCs w:val="24"/>
                <w:u w:val="single"/>
                <w:lang w:val="es-ES"/>
              </w:rPr>
              <w:t xml:space="preserve">, </w:t>
            </w:r>
            <w:proofErr w:type="spellStart"/>
            <w:r w:rsidRPr="00FA3F9C">
              <w:rPr>
                <w:rFonts w:ascii="Arial" w:hAnsi="Arial" w:cs="Arial"/>
                <w:b/>
                <w:sz w:val="24"/>
                <w:szCs w:val="24"/>
                <w:u w:val="single"/>
                <w:lang w:val="es-ES"/>
              </w:rPr>
              <w:t>esophageal</w:t>
            </w:r>
            <w:proofErr w:type="spellEnd"/>
            <w:r w:rsidRPr="00FA3F9C">
              <w:rPr>
                <w:rFonts w:ascii="Arial" w:hAnsi="Arial" w:cs="Arial"/>
                <w:b/>
                <w:sz w:val="24"/>
                <w:szCs w:val="24"/>
                <w:u w:val="single"/>
                <w:lang w:val="es-ES"/>
              </w:rPr>
              <w:t xml:space="preserve"> </w:t>
            </w:r>
            <w:bookmarkStart w:id="234" w:name="gastric"/>
            <w:bookmarkEnd w:id="234"/>
            <w:r w:rsidRPr="00FA3F9C">
              <w:rPr>
                <w:rFonts w:ascii="Arial" w:hAnsi="Arial" w:cs="Arial"/>
                <w:b/>
                <w:sz w:val="24"/>
                <w:szCs w:val="24"/>
                <w:u w:val="single"/>
                <w:lang w:val="es-ES"/>
              </w:rPr>
              <w:t>adenocarcinoma</w:t>
            </w:r>
          </w:p>
        </w:tc>
      </w:tr>
      <w:tr w:rsidR="009B5AA5" w:rsidRPr="00FA3F9C" w14:paraId="66C55E5E" w14:textId="77777777" w:rsidTr="002F31DB">
        <w:tc>
          <w:tcPr>
            <w:tcW w:w="10368" w:type="dxa"/>
            <w:tcBorders>
              <w:bottom w:val="single" w:sz="4" w:space="0" w:color="auto"/>
            </w:tcBorders>
          </w:tcPr>
          <w:p w14:paraId="1BDC2007" w14:textId="77777777" w:rsidR="009B5AA5" w:rsidRPr="00FA3F9C" w:rsidRDefault="009B5AA5" w:rsidP="00FC1E85">
            <w:pPr>
              <w:numPr>
                <w:ilvl w:val="0"/>
                <w:numId w:val="372"/>
              </w:numPr>
              <w:spacing w:after="0" w:line="276" w:lineRule="auto"/>
              <w:rPr>
                <w:rFonts w:ascii="Arial" w:hAnsi="Arial" w:cs="Arial"/>
                <w:sz w:val="24"/>
                <w:szCs w:val="24"/>
              </w:rPr>
            </w:pPr>
            <w:r w:rsidRPr="00FA3F9C">
              <w:rPr>
                <w:rFonts w:ascii="Arial" w:hAnsi="Arial" w:cs="Arial"/>
                <w:sz w:val="24"/>
                <w:szCs w:val="24"/>
              </w:rPr>
              <w:t>Diagnosis of advanced or metastatic gastric cancer, gastroesophageal cancer, or esophageal adenocarcinoma (note: not esophageal squamous cell carcinoma)</w:t>
            </w:r>
          </w:p>
        </w:tc>
      </w:tr>
      <w:tr w:rsidR="009B5AA5" w:rsidRPr="00FA3F9C" w14:paraId="015E8836" w14:textId="77777777" w:rsidTr="002F31DB">
        <w:tc>
          <w:tcPr>
            <w:tcW w:w="10368" w:type="dxa"/>
          </w:tcPr>
          <w:p w14:paraId="3CC23455" w14:textId="77777777" w:rsidR="009B5AA5" w:rsidRPr="00FA3F9C" w:rsidRDefault="009B5AA5" w:rsidP="00FC1E85">
            <w:pPr>
              <w:numPr>
                <w:ilvl w:val="0"/>
                <w:numId w:val="372"/>
              </w:numPr>
              <w:spacing w:after="0" w:line="276" w:lineRule="auto"/>
              <w:rPr>
                <w:rFonts w:ascii="Arial" w:hAnsi="Arial" w:cs="Arial"/>
                <w:sz w:val="24"/>
                <w:szCs w:val="24"/>
              </w:rPr>
            </w:pPr>
            <w:r w:rsidRPr="00FA3F9C">
              <w:rPr>
                <w:rFonts w:ascii="Arial" w:hAnsi="Arial" w:cs="Arial"/>
                <w:sz w:val="24"/>
                <w:szCs w:val="24"/>
              </w:rPr>
              <w:t xml:space="preserve">Tumor is </w:t>
            </w:r>
            <w:r w:rsidRPr="00FA3F9C">
              <w:rPr>
                <w:rFonts w:ascii="Arial" w:hAnsi="Arial" w:cs="Arial"/>
                <w:sz w:val="24"/>
                <w:szCs w:val="24"/>
                <w:u w:val="single"/>
              </w:rPr>
              <w:t>not</w:t>
            </w:r>
            <w:r w:rsidRPr="00FA3F9C">
              <w:rPr>
                <w:rFonts w:ascii="Arial" w:hAnsi="Arial" w:cs="Arial"/>
                <w:sz w:val="24"/>
                <w:szCs w:val="24"/>
              </w:rPr>
              <w:t xml:space="preserve"> HER2 positive</w:t>
            </w:r>
          </w:p>
        </w:tc>
      </w:tr>
      <w:tr w:rsidR="009B5AA5" w:rsidRPr="00FA3F9C" w14:paraId="5A6733A9" w14:textId="77777777" w:rsidTr="002F31DB">
        <w:tc>
          <w:tcPr>
            <w:tcW w:w="10368" w:type="dxa"/>
          </w:tcPr>
          <w:p w14:paraId="229C1F3D" w14:textId="77777777" w:rsidR="009B5AA5" w:rsidRPr="00FA3F9C" w:rsidRDefault="009B5AA5" w:rsidP="00FC1E85">
            <w:pPr>
              <w:pStyle w:val="ListParagraph"/>
              <w:numPr>
                <w:ilvl w:val="0"/>
                <w:numId w:val="372"/>
              </w:numPr>
              <w:spacing w:after="0" w:line="276" w:lineRule="auto"/>
              <w:rPr>
                <w:rFonts w:ascii="Arial" w:hAnsi="Arial" w:cs="Arial"/>
                <w:sz w:val="24"/>
                <w:szCs w:val="24"/>
              </w:rPr>
            </w:pPr>
            <w:r w:rsidRPr="00FA3F9C">
              <w:rPr>
                <w:rFonts w:ascii="Arial" w:hAnsi="Arial" w:cs="Arial"/>
                <w:sz w:val="24"/>
                <w:szCs w:val="24"/>
              </w:rPr>
              <w:t>No prior therapy</w:t>
            </w:r>
          </w:p>
        </w:tc>
      </w:tr>
      <w:tr w:rsidR="009B5AA5" w:rsidRPr="00FA3F9C" w14:paraId="5FA73172" w14:textId="77777777" w:rsidTr="002F31DB">
        <w:tc>
          <w:tcPr>
            <w:tcW w:w="10368" w:type="dxa"/>
          </w:tcPr>
          <w:p w14:paraId="4435D132" w14:textId="77777777" w:rsidR="009B5AA5" w:rsidRPr="00FA3F9C" w:rsidRDefault="009B5AA5" w:rsidP="00FC1E85">
            <w:pPr>
              <w:pStyle w:val="ListParagraph"/>
              <w:numPr>
                <w:ilvl w:val="0"/>
                <w:numId w:val="372"/>
              </w:numPr>
              <w:spacing w:after="0" w:line="276" w:lineRule="auto"/>
              <w:rPr>
                <w:rFonts w:ascii="Arial" w:hAnsi="Arial" w:cs="Arial"/>
                <w:sz w:val="24"/>
                <w:szCs w:val="24"/>
              </w:rPr>
            </w:pPr>
            <w:r w:rsidRPr="00FA3F9C">
              <w:rPr>
                <w:rFonts w:ascii="Arial" w:hAnsi="Arial" w:cs="Arial"/>
                <w:sz w:val="24"/>
                <w:szCs w:val="24"/>
              </w:rPr>
              <w:t xml:space="preserve">Nivolumab will be used in combination with FOLFOX or  </w:t>
            </w:r>
            <w:proofErr w:type="spellStart"/>
            <w:r w:rsidRPr="00FA3F9C">
              <w:rPr>
                <w:rFonts w:ascii="Arial" w:hAnsi="Arial" w:cs="Arial"/>
                <w:sz w:val="24"/>
                <w:szCs w:val="24"/>
              </w:rPr>
              <w:t>CapeOX</w:t>
            </w:r>
            <w:proofErr w:type="spellEnd"/>
          </w:p>
        </w:tc>
      </w:tr>
      <w:tr w:rsidR="009B5AA5" w:rsidRPr="00FA3F9C" w14:paraId="01108233" w14:textId="77777777" w:rsidTr="002F31DB">
        <w:tc>
          <w:tcPr>
            <w:tcW w:w="10368" w:type="dxa"/>
            <w:shd w:val="clear" w:color="auto" w:fill="F2F2F2" w:themeFill="background1" w:themeFillShade="F2"/>
          </w:tcPr>
          <w:p w14:paraId="2C20CACA" w14:textId="77777777" w:rsidR="009B5AA5" w:rsidRPr="00FA3F9C" w:rsidRDefault="009B5AA5" w:rsidP="00C7144B">
            <w:pPr>
              <w:spacing w:after="0"/>
              <w:rPr>
                <w:rFonts w:ascii="Arial" w:hAnsi="Arial" w:cs="Arial"/>
                <w:sz w:val="24"/>
                <w:szCs w:val="24"/>
              </w:rPr>
            </w:pPr>
            <w:r w:rsidRPr="00FA3F9C">
              <w:rPr>
                <w:rFonts w:ascii="Arial" w:hAnsi="Arial" w:cs="Arial"/>
                <w:b/>
                <w:sz w:val="24"/>
                <w:szCs w:val="24"/>
              </w:rPr>
              <w:t>If above criteria fulfilled, approve x 12 months. May renew if no disease progression.</w:t>
            </w:r>
          </w:p>
        </w:tc>
      </w:tr>
      <w:tr w:rsidR="009B5AA5" w:rsidRPr="00FA3F9C" w14:paraId="4E258261" w14:textId="77777777" w:rsidTr="002F31DB">
        <w:tc>
          <w:tcPr>
            <w:tcW w:w="10368" w:type="dxa"/>
            <w:tcBorders>
              <w:bottom w:val="single" w:sz="4" w:space="0" w:color="auto"/>
            </w:tcBorders>
            <w:shd w:val="clear" w:color="auto" w:fill="BFBFBF" w:themeFill="background1" w:themeFillShade="BF"/>
          </w:tcPr>
          <w:p w14:paraId="715F97B2" w14:textId="77777777" w:rsidR="009B5AA5" w:rsidRPr="00FA3F9C" w:rsidRDefault="009B5AA5" w:rsidP="00C7144B">
            <w:pPr>
              <w:rPr>
                <w:rFonts w:ascii="Arial" w:hAnsi="Arial" w:cs="Arial"/>
                <w:sz w:val="24"/>
                <w:szCs w:val="24"/>
              </w:rPr>
            </w:pPr>
            <w:r w:rsidRPr="00FA3F9C">
              <w:rPr>
                <w:rFonts w:ascii="Arial" w:hAnsi="Arial" w:cs="Arial"/>
                <w:sz w:val="24"/>
                <w:szCs w:val="24"/>
              </w:rPr>
              <w:t xml:space="preserve">Notes:  </w:t>
            </w:r>
          </w:p>
          <w:p w14:paraId="7B4B7834" w14:textId="77777777" w:rsidR="009B5AA5" w:rsidRPr="00FA3F9C" w:rsidRDefault="009B5AA5" w:rsidP="00C7144B">
            <w:pPr>
              <w:rPr>
                <w:rFonts w:ascii="Arial" w:hAnsi="Arial" w:cs="Arial"/>
                <w:sz w:val="24"/>
                <w:szCs w:val="24"/>
              </w:rPr>
            </w:pPr>
            <w:r w:rsidRPr="00FA3F9C">
              <w:rPr>
                <w:rFonts w:ascii="Arial" w:hAnsi="Arial" w:cs="Arial"/>
                <w:sz w:val="24"/>
                <w:szCs w:val="24"/>
              </w:rPr>
              <w:lastRenderedPageBreak/>
              <w:t>Therapy is given until disease progression or unacceptable toxicity.</w:t>
            </w:r>
          </w:p>
          <w:p w14:paraId="194F67E4" w14:textId="77777777" w:rsidR="009B5AA5" w:rsidRPr="00FA3F9C" w:rsidRDefault="009B5AA5" w:rsidP="00C7144B">
            <w:pPr>
              <w:rPr>
                <w:rFonts w:ascii="Arial" w:hAnsi="Arial" w:cs="Arial"/>
                <w:sz w:val="24"/>
                <w:szCs w:val="24"/>
              </w:rPr>
            </w:pPr>
            <w:r w:rsidRPr="00FA3F9C">
              <w:rPr>
                <w:rFonts w:ascii="Arial" w:hAnsi="Arial" w:cs="Arial"/>
                <w:sz w:val="24"/>
                <w:szCs w:val="24"/>
              </w:rPr>
              <w:t xml:space="preserve">In the CHECKMATE-649 (NCT02872116) trial, patients meeting the above criteria were randomized to either </w:t>
            </w:r>
            <w:proofErr w:type="spellStart"/>
            <w:r w:rsidRPr="00FA3F9C">
              <w:rPr>
                <w:rFonts w:ascii="Arial" w:hAnsi="Arial" w:cs="Arial"/>
                <w:sz w:val="24"/>
                <w:szCs w:val="24"/>
              </w:rPr>
              <w:t>nivolumab+chemotherapy</w:t>
            </w:r>
            <w:proofErr w:type="spellEnd"/>
            <w:r w:rsidRPr="00FA3F9C">
              <w:rPr>
                <w:rFonts w:ascii="Arial" w:hAnsi="Arial" w:cs="Arial"/>
                <w:sz w:val="24"/>
                <w:szCs w:val="24"/>
              </w:rPr>
              <w:t xml:space="preserve"> or chemotherapy alone. Overall survival was improved in the nivolumab group regardless of level of PD-L1 expression. See the following data summary taken from the package insert.</w:t>
            </w:r>
          </w:p>
          <w:p w14:paraId="16515931" w14:textId="77777777" w:rsidR="009B5AA5" w:rsidRPr="00FA3F9C" w:rsidRDefault="009B5AA5" w:rsidP="00586286">
            <w:pPr>
              <w:jc w:val="center"/>
              <w:rPr>
                <w:rFonts w:ascii="Arial" w:hAnsi="Arial" w:cs="Arial"/>
                <w:sz w:val="24"/>
                <w:szCs w:val="24"/>
              </w:rPr>
            </w:pPr>
            <w:r w:rsidRPr="00FA3F9C">
              <w:rPr>
                <w:rFonts w:ascii="Arial" w:hAnsi="Arial" w:cs="Arial"/>
                <w:noProof/>
                <w:sz w:val="24"/>
                <w:szCs w:val="24"/>
              </w:rPr>
              <w:drawing>
                <wp:inline distT="0" distB="0" distL="0" distR="0" wp14:anchorId="79FB537F" wp14:editId="39BF2D64">
                  <wp:extent cx="4054016" cy="1660821"/>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6"/>
                          <a:stretch>
                            <a:fillRect/>
                          </a:stretch>
                        </pic:blipFill>
                        <pic:spPr>
                          <a:xfrm>
                            <a:off x="0" y="0"/>
                            <a:ext cx="4067331" cy="1666276"/>
                          </a:xfrm>
                          <a:prstGeom prst="rect">
                            <a:avLst/>
                          </a:prstGeom>
                        </pic:spPr>
                      </pic:pic>
                    </a:graphicData>
                  </a:graphic>
                </wp:inline>
              </w:drawing>
            </w:r>
          </w:p>
          <w:p w14:paraId="49D76B97" w14:textId="77777777" w:rsidR="009B5AA5" w:rsidRPr="00FA3F9C" w:rsidRDefault="009B5AA5" w:rsidP="00C7144B">
            <w:pPr>
              <w:rPr>
                <w:rFonts w:ascii="Arial" w:hAnsi="Arial" w:cs="Arial"/>
                <w:sz w:val="24"/>
                <w:szCs w:val="24"/>
              </w:rPr>
            </w:pPr>
          </w:p>
          <w:p w14:paraId="684761EF" w14:textId="77777777" w:rsidR="009B5AA5" w:rsidRPr="00FA3F9C" w:rsidRDefault="009B5AA5" w:rsidP="00C7144B">
            <w:pPr>
              <w:spacing w:after="0" w:line="240" w:lineRule="auto"/>
              <w:rPr>
                <w:rFonts w:ascii="Arial" w:hAnsi="Arial" w:cs="Arial"/>
                <w:sz w:val="24"/>
                <w:szCs w:val="24"/>
              </w:rPr>
            </w:pPr>
            <w:r w:rsidRPr="00FA3F9C">
              <w:rPr>
                <w:rFonts w:ascii="Arial" w:hAnsi="Arial" w:cs="Arial"/>
                <w:sz w:val="24"/>
                <w:szCs w:val="24"/>
              </w:rPr>
              <w:t>REFERENCES:</w:t>
            </w:r>
          </w:p>
          <w:p w14:paraId="1585051D" w14:textId="77777777" w:rsidR="009B5AA5" w:rsidRPr="00FA3F9C" w:rsidRDefault="009B5AA5" w:rsidP="00FC1E85">
            <w:pPr>
              <w:pStyle w:val="ListParagraph"/>
              <w:numPr>
                <w:ilvl w:val="0"/>
                <w:numId w:val="373"/>
              </w:numPr>
              <w:spacing w:line="276" w:lineRule="auto"/>
              <w:ind w:left="154" w:hanging="180"/>
              <w:rPr>
                <w:rFonts w:ascii="Arial" w:hAnsi="Arial" w:cs="Arial"/>
                <w:sz w:val="24"/>
                <w:szCs w:val="24"/>
              </w:rPr>
            </w:pPr>
            <w:proofErr w:type="spellStart"/>
            <w:r w:rsidRPr="00FA3F9C">
              <w:rPr>
                <w:rFonts w:ascii="Arial" w:hAnsi="Arial" w:cs="Arial"/>
                <w:sz w:val="24"/>
                <w:szCs w:val="24"/>
              </w:rPr>
              <w:t>Janjigian</w:t>
            </w:r>
            <w:proofErr w:type="spellEnd"/>
            <w:r w:rsidRPr="00FA3F9C">
              <w:rPr>
                <w:rFonts w:ascii="Arial" w:hAnsi="Arial" w:cs="Arial"/>
                <w:sz w:val="24"/>
                <w:szCs w:val="24"/>
              </w:rPr>
              <w:t xml:space="preserve"> YY et al. First-line nivolumab plus chemotherapy versus chemotherapy alone for advanced gastric, gastro-</w:t>
            </w:r>
            <w:proofErr w:type="spellStart"/>
            <w:r w:rsidRPr="00FA3F9C">
              <w:rPr>
                <w:rFonts w:ascii="Arial" w:hAnsi="Arial" w:cs="Arial"/>
                <w:sz w:val="24"/>
                <w:szCs w:val="24"/>
              </w:rPr>
              <w:t>oesophageal</w:t>
            </w:r>
            <w:proofErr w:type="spellEnd"/>
            <w:r w:rsidRPr="00FA3F9C">
              <w:rPr>
                <w:rFonts w:ascii="Arial" w:hAnsi="Arial" w:cs="Arial"/>
                <w:sz w:val="24"/>
                <w:szCs w:val="24"/>
              </w:rPr>
              <w:t xml:space="preserve"> junction, and </w:t>
            </w:r>
            <w:proofErr w:type="spellStart"/>
            <w:r w:rsidRPr="00FA3F9C">
              <w:rPr>
                <w:rFonts w:ascii="Arial" w:hAnsi="Arial" w:cs="Arial"/>
                <w:sz w:val="24"/>
                <w:szCs w:val="24"/>
              </w:rPr>
              <w:t>oesophageal</w:t>
            </w:r>
            <w:proofErr w:type="spellEnd"/>
            <w:r w:rsidRPr="00FA3F9C">
              <w:rPr>
                <w:rFonts w:ascii="Arial" w:hAnsi="Arial" w:cs="Arial"/>
                <w:sz w:val="24"/>
                <w:szCs w:val="24"/>
              </w:rPr>
              <w:t xml:space="preserve"> adenocarcinoma (</w:t>
            </w:r>
            <w:proofErr w:type="spellStart"/>
            <w:r w:rsidRPr="00FA3F9C">
              <w:rPr>
                <w:rFonts w:ascii="Arial" w:hAnsi="Arial" w:cs="Arial"/>
                <w:sz w:val="24"/>
                <w:szCs w:val="24"/>
              </w:rPr>
              <w:t>CheckMate</w:t>
            </w:r>
            <w:proofErr w:type="spellEnd"/>
            <w:r w:rsidRPr="00FA3F9C">
              <w:rPr>
                <w:rFonts w:ascii="Arial" w:hAnsi="Arial" w:cs="Arial"/>
                <w:sz w:val="24"/>
                <w:szCs w:val="24"/>
              </w:rPr>
              <w:t xml:space="preserve"> 649): a </w:t>
            </w:r>
            <w:proofErr w:type="spellStart"/>
            <w:r w:rsidRPr="00FA3F9C">
              <w:rPr>
                <w:rFonts w:ascii="Arial" w:hAnsi="Arial" w:cs="Arial"/>
                <w:sz w:val="24"/>
                <w:szCs w:val="24"/>
              </w:rPr>
              <w:t>randomised</w:t>
            </w:r>
            <w:proofErr w:type="spellEnd"/>
            <w:r w:rsidRPr="00FA3F9C">
              <w:rPr>
                <w:rFonts w:ascii="Arial" w:hAnsi="Arial" w:cs="Arial"/>
                <w:sz w:val="24"/>
                <w:szCs w:val="24"/>
              </w:rPr>
              <w:t xml:space="preserve">, open-label, phase 3 trial. Lancet. 2021 Jun 4:S0140-6736(21)00797-2. </w:t>
            </w:r>
            <w:proofErr w:type="spellStart"/>
            <w:r w:rsidRPr="00FA3F9C">
              <w:rPr>
                <w:rFonts w:ascii="Arial" w:hAnsi="Arial" w:cs="Arial"/>
                <w:sz w:val="24"/>
                <w:szCs w:val="24"/>
              </w:rPr>
              <w:t>doi</w:t>
            </w:r>
            <w:proofErr w:type="spellEnd"/>
            <w:r w:rsidRPr="00FA3F9C">
              <w:rPr>
                <w:rFonts w:ascii="Arial" w:hAnsi="Arial" w:cs="Arial"/>
                <w:sz w:val="24"/>
                <w:szCs w:val="24"/>
              </w:rPr>
              <w:t xml:space="preserve">: 10.1016/S0140-6736(21)00797-2. </w:t>
            </w:r>
            <w:proofErr w:type="spellStart"/>
            <w:r w:rsidRPr="00FA3F9C">
              <w:rPr>
                <w:rFonts w:ascii="Arial" w:hAnsi="Arial" w:cs="Arial"/>
                <w:sz w:val="24"/>
                <w:szCs w:val="24"/>
              </w:rPr>
              <w:t>Epub</w:t>
            </w:r>
            <w:proofErr w:type="spellEnd"/>
            <w:r w:rsidRPr="00FA3F9C">
              <w:rPr>
                <w:rFonts w:ascii="Arial" w:hAnsi="Arial" w:cs="Arial"/>
                <w:sz w:val="24"/>
                <w:szCs w:val="24"/>
              </w:rPr>
              <w:t xml:space="preserve"> ahead of print. PMID: 34102137.</w:t>
            </w:r>
          </w:p>
          <w:p w14:paraId="2B21E39B" w14:textId="77777777" w:rsidR="009B5AA5" w:rsidRPr="00FA3F9C" w:rsidRDefault="009B5AA5" w:rsidP="00FC1E85">
            <w:pPr>
              <w:pStyle w:val="ListParagraph"/>
              <w:numPr>
                <w:ilvl w:val="0"/>
                <w:numId w:val="373"/>
              </w:numPr>
              <w:spacing w:line="276" w:lineRule="auto"/>
              <w:ind w:left="154" w:hanging="180"/>
              <w:rPr>
                <w:rFonts w:ascii="Arial" w:hAnsi="Arial" w:cs="Arial"/>
                <w:sz w:val="24"/>
                <w:szCs w:val="24"/>
              </w:rPr>
            </w:pPr>
            <w:proofErr w:type="spellStart"/>
            <w:r w:rsidRPr="00FA3F9C">
              <w:rPr>
                <w:rFonts w:ascii="Arial" w:hAnsi="Arial" w:cs="Arial"/>
                <w:sz w:val="24"/>
                <w:szCs w:val="24"/>
              </w:rPr>
              <w:t>Opdivo</w:t>
            </w:r>
            <w:proofErr w:type="spellEnd"/>
            <w:r w:rsidRPr="00FA3F9C">
              <w:rPr>
                <w:rFonts w:ascii="Arial" w:hAnsi="Arial" w:cs="Arial"/>
                <w:sz w:val="24"/>
                <w:szCs w:val="24"/>
              </w:rPr>
              <w:t xml:space="preserve"> Package insert: </w:t>
            </w:r>
            <w:hyperlink r:id="rId297" w:history="1">
              <w:r w:rsidRPr="00FA3F9C">
                <w:rPr>
                  <w:rStyle w:val="Hyperlink"/>
                  <w:rFonts w:ascii="Arial" w:hAnsi="Arial" w:cs="Arial"/>
                  <w:sz w:val="24"/>
                  <w:szCs w:val="24"/>
                </w:rPr>
                <w:t>https://www.accessdata.fda.gov/drugsatfda_docs/label/2021/125554s092lbl.pdf</w:t>
              </w:r>
            </w:hyperlink>
            <w:r w:rsidRPr="00FA3F9C">
              <w:rPr>
                <w:rFonts w:ascii="Arial" w:hAnsi="Arial" w:cs="Arial"/>
                <w:sz w:val="24"/>
                <w:szCs w:val="24"/>
              </w:rPr>
              <w:t>. Accessed 6/17/2021.</w:t>
            </w:r>
          </w:p>
        </w:tc>
      </w:tr>
    </w:tbl>
    <w:p w14:paraId="1007B19C" w14:textId="77777777" w:rsidR="009B5AA5" w:rsidRPr="00FA3F9C" w:rsidRDefault="009B5AA5" w:rsidP="006F623F">
      <w:pPr>
        <w:spacing w:after="0"/>
        <w:rPr>
          <w:rFonts w:ascii="Arial" w:hAnsi="Arial" w:cs="Arial"/>
          <w:b/>
          <w:sz w:val="24"/>
          <w:szCs w:val="24"/>
          <w:u w:val="single"/>
        </w:rPr>
      </w:pPr>
    </w:p>
    <w:p w14:paraId="12357681" w14:textId="77777777" w:rsidR="009B5AA5" w:rsidRPr="00FA3F9C" w:rsidRDefault="009B5AA5" w:rsidP="006F623F">
      <w:pPr>
        <w:spacing w:after="0"/>
        <w:rPr>
          <w:rFonts w:ascii="Arial" w:hAnsi="Arial" w:cs="Arial"/>
          <w:b/>
          <w:sz w:val="24"/>
          <w:szCs w:val="24"/>
          <w:u w:val="single"/>
        </w:rPr>
      </w:pPr>
    </w:p>
    <w:p w14:paraId="280FFB9F" w14:textId="77777777" w:rsidR="009B5AA5" w:rsidRPr="00FA3F9C" w:rsidRDefault="009B5AA5" w:rsidP="006F623F">
      <w:pPr>
        <w:spacing w:after="0"/>
        <w:rPr>
          <w:rFonts w:ascii="Arial" w:hAnsi="Arial" w:cs="Arial"/>
          <w:b/>
          <w:sz w:val="24"/>
          <w:szCs w:val="24"/>
          <w:u w:val="single"/>
        </w:rPr>
      </w:pPr>
    </w:p>
    <w:p w14:paraId="0834C48D" w14:textId="77777777" w:rsidR="009B5AA5" w:rsidRPr="00FA3F9C" w:rsidRDefault="009B5AA5" w:rsidP="006F623F">
      <w:pPr>
        <w:spacing w:after="0"/>
        <w:rPr>
          <w:rFonts w:ascii="Arial" w:hAnsi="Arial" w:cs="Arial"/>
          <w:sz w:val="24"/>
          <w:szCs w:val="24"/>
        </w:rPr>
      </w:pPr>
      <w:r w:rsidRPr="00FA3F9C">
        <w:rPr>
          <w:rFonts w:ascii="Arial" w:hAnsi="Arial" w:cs="Arial"/>
          <w:sz w:val="24"/>
          <w:szCs w:val="24"/>
        </w:rPr>
        <w:t>Revision History:</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8100"/>
        <w:gridCol w:w="900"/>
      </w:tblGrid>
      <w:tr w:rsidR="009B5AA5" w:rsidRPr="00FA3F9C" w14:paraId="18D050FB" w14:textId="77777777" w:rsidTr="00A0317A">
        <w:tc>
          <w:tcPr>
            <w:tcW w:w="1368" w:type="dxa"/>
            <w:tcBorders>
              <w:top w:val="single" w:sz="4" w:space="0" w:color="auto"/>
              <w:left w:val="single" w:sz="4" w:space="0" w:color="auto"/>
              <w:bottom w:val="single" w:sz="4" w:space="0" w:color="auto"/>
              <w:right w:val="single" w:sz="4" w:space="0" w:color="auto"/>
            </w:tcBorders>
            <w:hideMark/>
          </w:tcPr>
          <w:p w14:paraId="6B651B21" w14:textId="77777777" w:rsidR="009B5AA5" w:rsidRPr="00FA3F9C" w:rsidRDefault="009B5AA5" w:rsidP="00A0317A">
            <w:pPr>
              <w:spacing w:after="0" w:line="240" w:lineRule="auto"/>
              <w:rPr>
                <w:rFonts w:ascii="Arial" w:hAnsi="Arial" w:cs="Arial"/>
                <w:sz w:val="24"/>
                <w:szCs w:val="24"/>
              </w:rPr>
            </w:pPr>
            <w:r w:rsidRPr="00FA3F9C">
              <w:rPr>
                <w:rFonts w:ascii="Arial" w:hAnsi="Arial" w:cs="Arial"/>
                <w:sz w:val="24"/>
                <w:szCs w:val="24"/>
              </w:rPr>
              <w:lastRenderedPageBreak/>
              <w:t>Date</w:t>
            </w:r>
          </w:p>
        </w:tc>
        <w:tc>
          <w:tcPr>
            <w:tcW w:w="8100" w:type="dxa"/>
            <w:tcBorders>
              <w:top w:val="single" w:sz="4" w:space="0" w:color="auto"/>
              <w:left w:val="single" w:sz="4" w:space="0" w:color="auto"/>
              <w:bottom w:val="single" w:sz="4" w:space="0" w:color="auto"/>
              <w:right w:val="single" w:sz="4" w:space="0" w:color="auto"/>
            </w:tcBorders>
            <w:hideMark/>
          </w:tcPr>
          <w:p w14:paraId="20CEACE3" w14:textId="77777777" w:rsidR="009B5AA5" w:rsidRPr="00FA3F9C" w:rsidRDefault="009B5AA5" w:rsidP="00A0317A">
            <w:pPr>
              <w:spacing w:after="0" w:line="240" w:lineRule="auto"/>
              <w:rPr>
                <w:rFonts w:ascii="Arial" w:hAnsi="Arial" w:cs="Arial"/>
                <w:sz w:val="24"/>
                <w:szCs w:val="24"/>
              </w:rPr>
            </w:pPr>
            <w:r w:rsidRPr="00FA3F9C">
              <w:rPr>
                <w:rFonts w:ascii="Arial" w:hAnsi="Arial" w:cs="Arial"/>
                <w:sz w:val="24"/>
                <w:szCs w:val="24"/>
              </w:rPr>
              <w:t>What changed?</w:t>
            </w:r>
          </w:p>
        </w:tc>
        <w:tc>
          <w:tcPr>
            <w:tcW w:w="900" w:type="dxa"/>
            <w:tcBorders>
              <w:top w:val="single" w:sz="4" w:space="0" w:color="auto"/>
              <w:left w:val="single" w:sz="4" w:space="0" w:color="auto"/>
              <w:bottom w:val="single" w:sz="4" w:space="0" w:color="auto"/>
              <w:right w:val="single" w:sz="4" w:space="0" w:color="auto"/>
            </w:tcBorders>
            <w:hideMark/>
          </w:tcPr>
          <w:p w14:paraId="33CB4985" w14:textId="77777777" w:rsidR="009B5AA5" w:rsidRPr="00FA3F9C" w:rsidRDefault="009B5AA5" w:rsidP="00A0317A">
            <w:pPr>
              <w:spacing w:after="0" w:line="240" w:lineRule="auto"/>
              <w:rPr>
                <w:rFonts w:ascii="Arial" w:hAnsi="Arial" w:cs="Arial"/>
                <w:sz w:val="24"/>
                <w:szCs w:val="24"/>
              </w:rPr>
            </w:pPr>
            <w:r w:rsidRPr="00FA3F9C">
              <w:rPr>
                <w:rFonts w:ascii="Arial" w:hAnsi="Arial" w:cs="Arial"/>
                <w:sz w:val="24"/>
                <w:szCs w:val="24"/>
              </w:rPr>
              <w:t>PharmD initials</w:t>
            </w:r>
          </w:p>
        </w:tc>
      </w:tr>
      <w:tr w:rsidR="009B5AA5" w:rsidRPr="00FA3F9C" w14:paraId="7C794C3F" w14:textId="77777777" w:rsidTr="00A0317A">
        <w:trPr>
          <w:trHeight w:val="89"/>
        </w:trPr>
        <w:tc>
          <w:tcPr>
            <w:tcW w:w="1368" w:type="dxa"/>
            <w:tcBorders>
              <w:top w:val="single" w:sz="4" w:space="0" w:color="auto"/>
              <w:left w:val="single" w:sz="4" w:space="0" w:color="auto"/>
              <w:bottom w:val="single" w:sz="4" w:space="0" w:color="auto"/>
              <w:right w:val="single" w:sz="4" w:space="0" w:color="auto"/>
            </w:tcBorders>
          </w:tcPr>
          <w:p w14:paraId="0ABF629C" w14:textId="77777777" w:rsidR="009B5AA5" w:rsidRPr="00FA3F9C" w:rsidRDefault="009B5AA5" w:rsidP="00A0317A">
            <w:pPr>
              <w:spacing w:after="0" w:line="240" w:lineRule="auto"/>
              <w:rPr>
                <w:rFonts w:ascii="Arial" w:hAnsi="Arial" w:cs="Arial"/>
                <w:sz w:val="24"/>
                <w:szCs w:val="24"/>
              </w:rPr>
            </w:pPr>
            <w:r w:rsidRPr="00FA3F9C">
              <w:rPr>
                <w:rFonts w:ascii="Arial" w:hAnsi="Arial" w:cs="Arial"/>
                <w:sz w:val="24"/>
                <w:szCs w:val="24"/>
              </w:rPr>
              <w:t>2/20/2015</w:t>
            </w:r>
          </w:p>
        </w:tc>
        <w:tc>
          <w:tcPr>
            <w:tcW w:w="8100" w:type="dxa"/>
            <w:tcBorders>
              <w:top w:val="single" w:sz="4" w:space="0" w:color="auto"/>
              <w:left w:val="single" w:sz="4" w:space="0" w:color="auto"/>
              <w:bottom w:val="single" w:sz="4" w:space="0" w:color="auto"/>
              <w:right w:val="single" w:sz="4" w:space="0" w:color="auto"/>
            </w:tcBorders>
          </w:tcPr>
          <w:p w14:paraId="6B36C1B4" w14:textId="77777777" w:rsidR="009B5AA5" w:rsidRPr="00FA3F9C" w:rsidRDefault="009B5AA5" w:rsidP="00A0317A">
            <w:pPr>
              <w:spacing w:after="0" w:line="240" w:lineRule="auto"/>
              <w:rPr>
                <w:rFonts w:ascii="Arial" w:hAnsi="Arial" w:cs="Arial"/>
                <w:sz w:val="24"/>
                <w:szCs w:val="24"/>
              </w:rPr>
            </w:pPr>
            <w:r w:rsidRPr="00FA3F9C">
              <w:rPr>
                <w:rFonts w:ascii="Arial" w:hAnsi="Arial" w:cs="Arial"/>
                <w:sz w:val="24"/>
                <w:szCs w:val="24"/>
              </w:rPr>
              <w:t>I wrote the criteria</w:t>
            </w:r>
          </w:p>
        </w:tc>
        <w:tc>
          <w:tcPr>
            <w:tcW w:w="900" w:type="dxa"/>
            <w:tcBorders>
              <w:top w:val="single" w:sz="4" w:space="0" w:color="auto"/>
              <w:left w:val="single" w:sz="4" w:space="0" w:color="auto"/>
              <w:bottom w:val="single" w:sz="4" w:space="0" w:color="auto"/>
              <w:right w:val="single" w:sz="4" w:space="0" w:color="auto"/>
            </w:tcBorders>
          </w:tcPr>
          <w:p w14:paraId="2EB1F7B9" w14:textId="77777777" w:rsidR="009B5AA5" w:rsidRPr="00FA3F9C" w:rsidRDefault="009B5AA5" w:rsidP="00A0317A">
            <w:pPr>
              <w:spacing w:after="0" w:line="240" w:lineRule="auto"/>
              <w:rPr>
                <w:rFonts w:ascii="Arial" w:hAnsi="Arial" w:cs="Arial"/>
                <w:sz w:val="24"/>
                <w:szCs w:val="24"/>
              </w:rPr>
            </w:pPr>
            <w:r w:rsidRPr="00FA3F9C">
              <w:rPr>
                <w:rFonts w:ascii="Arial" w:hAnsi="Arial" w:cs="Arial"/>
                <w:sz w:val="24"/>
                <w:szCs w:val="24"/>
              </w:rPr>
              <w:t>JJ</w:t>
            </w:r>
          </w:p>
        </w:tc>
      </w:tr>
      <w:tr w:rsidR="009B5AA5" w:rsidRPr="00FA3F9C" w14:paraId="32BC7D6C" w14:textId="77777777" w:rsidTr="00A0317A">
        <w:tc>
          <w:tcPr>
            <w:tcW w:w="1368" w:type="dxa"/>
            <w:tcBorders>
              <w:top w:val="single" w:sz="4" w:space="0" w:color="auto"/>
              <w:left w:val="single" w:sz="4" w:space="0" w:color="auto"/>
              <w:bottom w:val="single" w:sz="4" w:space="0" w:color="auto"/>
              <w:right w:val="single" w:sz="4" w:space="0" w:color="auto"/>
            </w:tcBorders>
          </w:tcPr>
          <w:p w14:paraId="546EF722" w14:textId="77777777" w:rsidR="009B5AA5" w:rsidRPr="00FA3F9C" w:rsidRDefault="009B5AA5" w:rsidP="00A0317A">
            <w:pPr>
              <w:spacing w:after="0" w:line="240" w:lineRule="auto"/>
              <w:rPr>
                <w:rFonts w:ascii="Arial" w:hAnsi="Arial" w:cs="Arial"/>
                <w:sz w:val="24"/>
                <w:szCs w:val="24"/>
              </w:rPr>
            </w:pPr>
            <w:r w:rsidRPr="00FA3F9C">
              <w:rPr>
                <w:rFonts w:ascii="Arial" w:hAnsi="Arial" w:cs="Arial"/>
                <w:sz w:val="24"/>
                <w:szCs w:val="24"/>
              </w:rPr>
              <w:t>3/4/15</w:t>
            </w:r>
          </w:p>
        </w:tc>
        <w:tc>
          <w:tcPr>
            <w:tcW w:w="8100" w:type="dxa"/>
            <w:tcBorders>
              <w:top w:val="single" w:sz="4" w:space="0" w:color="auto"/>
              <w:left w:val="single" w:sz="4" w:space="0" w:color="auto"/>
              <w:bottom w:val="single" w:sz="4" w:space="0" w:color="auto"/>
              <w:right w:val="single" w:sz="4" w:space="0" w:color="auto"/>
            </w:tcBorders>
          </w:tcPr>
          <w:p w14:paraId="400BC312" w14:textId="77777777" w:rsidR="009B5AA5" w:rsidRPr="00FA3F9C" w:rsidRDefault="009B5AA5" w:rsidP="00A0317A">
            <w:pPr>
              <w:spacing w:after="0" w:line="240" w:lineRule="auto"/>
              <w:rPr>
                <w:rFonts w:ascii="Arial" w:hAnsi="Arial" w:cs="Arial"/>
                <w:sz w:val="24"/>
                <w:szCs w:val="24"/>
              </w:rPr>
            </w:pPr>
            <w:r w:rsidRPr="00FA3F9C">
              <w:rPr>
                <w:rFonts w:ascii="Arial" w:hAnsi="Arial" w:cs="Arial"/>
                <w:sz w:val="24"/>
                <w:szCs w:val="24"/>
              </w:rPr>
              <w:t>FDA approved the indication NSCLC while on or after platinum CTX.  The OS was 3.2m beneficial.  The ASCO states a meaningful outcome over what already exists would provide a benefit of 3.25-4m of OS better than the comparator.</w:t>
            </w:r>
          </w:p>
        </w:tc>
        <w:tc>
          <w:tcPr>
            <w:tcW w:w="900" w:type="dxa"/>
            <w:tcBorders>
              <w:top w:val="single" w:sz="4" w:space="0" w:color="auto"/>
              <w:left w:val="single" w:sz="4" w:space="0" w:color="auto"/>
              <w:bottom w:val="single" w:sz="4" w:space="0" w:color="auto"/>
              <w:right w:val="single" w:sz="4" w:space="0" w:color="auto"/>
            </w:tcBorders>
          </w:tcPr>
          <w:p w14:paraId="1E475CB6" w14:textId="77777777" w:rsidR="009B5AA5" w:rsidRPr="00FA3F9C" w:rsidRDefault="009B5AA5" w:rsidP="00A0317A">
            <w:pPr>
              <w:spacing w:after="0" w:line="240" w:lineRule="auto"/>
              <w:rPr>
                <w:rFonts w:ascii="Arial" w:hAnsi="Arial" w:cs="Arial"/>
                <w:sz w:val="24"/>
                <w:szCs w:val="24"/>
              </w:rPr>
            </w:pPr>
            <w:r w:rsidRPr="00FA3F9C">
              <w:rPr>
                <w:rFonts w:ascii="Arial" w:hAnsi="Arial" w:cs="Arial"/>
                <w:sz w:val="24"/>
                <w:szCs w:val="24"/>
              </w:rPr>
              <w:t>JJ</w:t>
            </w:r>
          </w:p>
        </w:tc>
      </w:tr>
      <w:tr w:rsidR="009B5AA5" w:rsidRPr="00FA3F9C" w14:paraId="53CEEF22" w14:textId="77777777" w:rsidTr="00A0317A">
        <w:tc>
          <w:tcPr>
            <w:tcW w:w="1368" w:type="dxa"/>
            <w:tcBorders>
              <w:top w:val="single" w:sz="4" w:space="0" w:color="auto"/>
              <w:left w:val="single" w:sz="4" w:space="0" w:color="auto"/>
              <w:bottom w:val="single" w:sz="4" w:space="0" w:color="auto"/>
              <w:right w:val="single" w:sz="4" w:space="0" w:color="auto"/>
            </w:tcBorders>
          </w:tcPr>
          <w:p w14:paraId="042460C5" w14:textId="77777777" w:rsidR="009B5AA5" w:rsidRPr="00FA3F9C" w:rsidRDefault="009B5AA5" w:rsidP="00A0317A">
            <w:pPr>
              <w:spacing w:after="0" w:line="240" w:lineRule="auto"/>
              <w:rPr>
                <w:rFonts w:ascii="Arial" w:hAnsi="Arial" w:cs="Arial"/>
                <w:sz w:val="24"/>
                <w:szCs w:val="24"/>
              </w:rPr>
            </w:pPr>
            <w:r w:rsidRPr="00FA3F9C">
              <w:rPr>
                <w:rFonts w:ascii="Arial" w:hAnsi="Arial" w:cs="Arial"/>
                <w:sz w:val="24"/>
                <w:szCs w:val="24"/>
              </w:rPr>
              <w:t>3/10/15</w:t>
            </w:r>
          </w:p>
        </w:tc>
        <w:tc>
          <w:tcPr>
            <w:tcW w:w="8100" w:type="dxa"/>
            <w:tcBorders>
              <w:top w:val="single" w:sz="4" w:space="0" w:color="auto"/>
              <w:left w:val="single" w:sz="4" w:space="0" w:color="auto"/>
              <w:bottom w:val="single" w:sz="4" w:space="0" w:color="auto"/>
              <w:right w:val="single" w:sz="4" w:space="0" w:color="auto"/>
            </w:tcBorders>
          </w:tcPr>
          <w:p w14:paraId="02A11274" w14:textId="77777777" w:rsidR="009B5AA5" w:rsidRPr="00FA3F9C" w:rsidRDefault="009B5AA5" w:rsidP="00A0317A">
            <w:pPr>
              <w:spacing w:after="0" w:line="240" w:lineRule="auto"/>
              <w:rPr>
                <w:rFonts w:ascii="Arial" w:hAnsi="Arial" w:cs="Arial"/>
                <w:sz w:val="24"/>
                <w:szCs w:val="24"/>
              </w:rPr>
            </w:pPr>
            <w:r w:rsidRPr="00FA3F9C">
              <w:rPr>
                <w:rFonts w:ascii="Arial" w:hAnsi="Arial" w:cs="Arial"/>
                <w:sz w:val="24"/>
                <w:szCs w:val="24"/>
              </w:rPr>
              <w:t>DCWG discussed.  There are no peer-reviewed, published data to support the NSCLC indication or the melanoma indication after ipilimumab.  There is however an article supporting 1</w:t>
            </w:r>
            <w:r w:rsidRPr="00FA3F9C">
              <w:rPr>
                <w:rFonts w:ascii="Arial" w:hAnsi="Arial" w:cs="Arial"/>
                <w:sz w:val="24"/>
                <w:szCs w:val="24"/>
                <w:vertAlign w:val="superscript"/>
              </w:rPr>
              <w:t>st</w:t>
            </w:r>
            <w:r w:rsidRPr="00FA3F9C">
              <w:rPr>
                <w:rFonts w:ascii="Arial" w:hAnsi="Arial" w:cs="Arial"/>
                <w:sz w:val="24"/>
                <w:szCs w:val="24"/>
              </w:rPr>
              <w:t xml:space="preserve"> line treatment of melanoma in BRAF – patients.  OS benefit over dacarbazine.</w:t>
            </w:r>
          </w:p>
        </w:tc>
        <w:tc>
          <w:tcPr>
            <w:tcW w:w="900" w:type="dxa"/>
            <w:tcBorders>
              <w:top w:val="single" w:sz="4" w:space="0" w:color="auto"/>
              <w:left w:val="single" w:sz="4" w:space="0" w:color="auto"/>
              <w:bottom w:val="single" w:sz="4" w:space="0" w:color="auto"/>
              <w:right w:val="single" w:sz="4" w:space="0" w:color="auto"/>
            </w:tcBorders>
          </w:tcPr>
          <w:p w14:paraId="784D980C" w14:textId="77777777" w:rsidR="009B5AA5" w:rsidRPr="00FA3F9C" w:rsidRDefault="009B5AA5" w:rsidP="00A0317A">
            <w:pPr>
              <w:spacing w:after="0" w:line="240" w:lineRule="auto"/>
              <w:rPr>
                <w:rFonts w:ascii="Arial" w:hAnsi="Arial" w:cs="Arial"/>
                <w:sz w:val="24"/>
                <w:szCs w:val="24"/>
              </w:rPr>
            </w:pPr>
            <w:r w:rsidRPr="00FA3F9C">
              <w:rPr>
                <w:rFonts w:ascii="Arial" w:hAnsi="Arial" w:cs="Arial"/>
                <w:sz w:val="24"/>
                <w:szCs w:val="24"/>
              </w:rPr>
              <w:t>JJ</w:t>
            </w:r>
          </w:p>
        </w:tc>
      </w:tr>
      <w:tr w:rsidR="009B5AA5" w:rsidRPr="00FA3F9C" w14:paraId="3E008AFB" w14:textId="77777777" w:rsidTr="00A0317A">
        <w:tc>
          <w:tcPr>
            <w:tcW w:w="1368" w:type="dxa"/>
            <w:tcBorders>
              <w:top w:val="single" w:sz="4" w:space="0" w:color="auto"/>
              <w:left w:val="single" w:sz="4" w:space="0" w:color="auto"/>
              <w:bottom w:val="single" w:sz="4" w:space="0" w:color="auto"/>
              <w:right w:val="single" w:sz="4" w:space="0" w:color="auto"/>
            </w:tcBorders>
          </w:tcPr>
          <w:p w14:paraId="44B8D5F9" w14:textId="77777777" w:rsidR="009B5AA5" w:rsidRPr="00FA3F9C" w:rsidRDefault="009B5AA5" w:rsidP="00A0317A">
            <w:pPr>
              <w:spacing w:after="0" w:line="240" w:lineRule="auto"/>
              <w:rPr>
                <w:rFonts w:ascii="Arial" w:hAnsi="Arial" w:cs="Arial"/>
                <w:sz w:val="24"/>
                <w:szCs w:val="24"/>
              </w:rPr>
            </w:pPr>
            <w:r w:rsidRPr="00FA3F9C">
              <w:rPr>
                <w:rFonts w:ascii="Arial" w:hAnsi="Arial" w:cs="Arial"/>
                <w:sz w:val="24"/>
                <w:szCs w:val="24"/>
              </w:rPr>
              <w:t>6/1/15</w:t>
            </w:r>
          </w:p>
        </w:tc>
        <w:tc>
          <w:tcPr>
            <w:tcW w:w="8100" w:type="dxa"/>
            <w:tcBorders>
              <w:top w:val="single" w:sz="4" w:space="0" w:color="auto"/>
              <w:left w:val="single" w:sz="4" w:space="0" w:color="auto"/>
              <w:bottom w:val="single" w:sz="4" w:space="0" w:color="auto"/>
              <w:right w:val="single" w:sz="4" w:space="0" w:color="auto"/>
            </w:tcBorders>
          </w:tcPr>
          <w:p w14:paraId="01F59D82" w14:textId="77777777" w:rsidR="009B5AA5" w:rsidRPr="00FA3F9C" w:rsidRDefault="009B5AA5" w:rsidP="00A0317A">
            <w:pPr>
              <w:spacing w:after="0" w:line="240" w:lineRule="auto"/>
              <w:rPr>
                <w:rFonts w:ascii="Arial" w:hAnsi="Arial" w:cs="Arial"/>
                <w:sz w:val="24"/>
                <w:szCs w:val="24"/>
              </w:rPr>
            </w:pPr>
            <w:r w:rsidRPr="00FA3F9C">
              <w:rPr>
                <w:rFonts w:ascii="Arial" w:hAnsi="Arial" w:cs="Arial"/>
                <w:sz w:val="24"/>
                <w:szCs w:val="24"/>
              </w:rPr>
              <w:t xml:space="preserve">I changed PA criteria to allow NSCLC coverage due to a NEJM article that showed improved survival (median OS was 9.2m nivolumab vs 6m docetaxel) and </w:t>
            </w:r>
            <w:proofErr w:type="gramStart"/>
            <w:r w:rsidRPr="00FA3F9C">
              <w:rPr>
                <w:rFonts w:ascii="Arial" w:hAnsi="Arial" w:cs="Arial"/>
                <w:sz w:val="24"/>
                <w:szCs w:val="24"/>
              </w:rPr>
              <w:t>12 month</w:t>
            </w:r>
            <w:proofErr w:type="gramEnd"/>
            <w:r w:rsidRPr="00FA3F9C">
              <w:rPr>
                <w:rFonts w:ascii="Arial" w:hAnsi="Arial" w:cs="Arial"/>
                <w:sz w:val="24"/>
                <w:szCs w:val="24"/>
              </w:rPr>
              <w:t xml:space="preserve"> survival was 42%N vs 24%D.  SAEs were 7%N vs 24%D; treatment-related AEs leading to withdrawal were 3%N vs 10%D.</w:t>
            </w:r>
          </w:p>
        </w:tc>
        <w:tc>
          <w:tcPr>
            <w:tcW w:w="900" w:type="dxa"/>
            <w:tcBorders>
              <w:top w:val="single" w:sz="4" w:space="0" w:color="auto"/>
              <w:left w:val="single" w:sz="4" w:space="0" w:color="auto"/>
              <w:bottom w:val="single" w:sz="4" w:space="0" w:color="auto"/>
              <w:right w:val="single" w:sz="4" w:space="0" w:color="auto"/>
            </w:tcBorders>
          </w:tcPr>
          <w:p w14:paraId="46A834DB" w14:textId="77777777" w:rsidR="009B5AA5" w:rsidRPr="00FA3F9C" w:rsidRDefault="009B5AA5" w:rsidP="00A0317A">
            <w:pPr>
              <w:spacing w:after="0" w:line="240" w:lineRule="auto"/>
              <w:rPr>
                <w:rFonts w:ascii="Arial" w:hAnsi="Arial" w:cs="Arial"/>
                <w:sz w:val="24"/>
                <w:szCs w:val="24"/>
              </w:rPr>
            </w:pPr>
            <w:r w:rsidRPr="00FA3F9C">
              <w:rPr>
                <w:rFonts w:ascii="Arial" w:hAnsi="Arial" w:cs="Arial"/>
                <w:sz w:val="24"/>
                <w:szCs w:val="24"/>
              </w:rPr>
              <w:t>JJ</w:t>
            </w:r>
          </w:p>
        </w:tc>
      </w:tr>
      <w:tr w:rsidR="009B5AA5" w:rsidRPr="00FA3F9C" w14:paraId="15ADF674" w14:textId="77777777" w:rsidTr="00A0317A">
        <w:tc>
          <w:tcPr>
            <w:tcW w:w="1368" w:type="dxa"/>
            <w:tcBorders>
              <w:top w:val="single" w:sz="4" w:space="0" w:color="auto"/>
              <w:left w:val="single" w:sz="4" w:space="0" w:color="auto"/>
              <w:bottom w:val="single" w:sz="4" w:space="0" w:color="auto"/>
              <w:right w:val="single" w:sz="4" w:space="0" w:color="auto"/>
            </w:tcBorders>
          </w:tcPr>
          <w:p w14:paraId="35E08C5C" w14:textId="77777777" w:rsidR="009B5AA5" w:rsidRPr="00FA3F9C" w:rsidRDefault="009B5AA5" w:rsidP="00A0317A">
            <w:pPr>
              <w:spacing w:after="0" w:line="240" w:lineRule="auto"/>
              <w:rPr>
                <w:rFonts w:ascii="Arial" w:hAnsi="Arial" w:cs="Arial"/>
                <w:sz w:val="24"/>
                <w:szCs w:val="24"/>
              </w:rPr>
            </w:pPr>
            <w:r w:rsidRPr="00FA3F9C">
              <w:rPr>
                <w:rFonts w:ascii="Arial" w:hAnsi="Arial" w:cs="Arial"/>
                <w:sz w:val="24"/>
                <w:szCs w:val="24"/>
              </w:rPr>
              <w:t>1/26/2016</w:t>
            </w:r>
          </w:p>
        </w:tc>
        <w:tc>
          <w:tcPr>
            <w:tcW w:w="8100" w:type="dxa"/>
            <w:tcBorders>
              <w:top w:val="single" w:sz="4" w:space="0" w:color="auto"/>
              <w:left w:val="single" w:sz="4" w:space="0" w:color="auto"/>
              <w:bottom w:val="single" w:sz="4" w:space="0" w:color="auto"/>
              <w:right w:val="single" w:sz="4" w:space="0" w:color="auto"/>
            </w:tcBorders>
          </w:tcPr>
          <w:p w14:paraId="027582B6" w14:textId="77777777" w:rsidR="009B5AA5" w:rsidRPr="00FA3F9C" w:rsidRDefault="009B5AA5" w:rsidP="00A0317A">
            <w:pPr>
              <w:spacing w:after="0" w:line="240" w:lineRule="auto"/>
              <w:rPr>
                <w:rFonts w:ascii="Arial" w:hAnsi="Arial" w:cs="Arial"/>
                <w:sz w:val="24"/>
                <w:szCs w:val="24"/>
              </w:rPr>
            </w:pPr>
            <w:r w:rsidRPr="00FA3F9C">
              <w:rPr>
                <w:rFonts w:ascii="Arial" w:hAnsi="Arial" w:cs="Arial"/>
                <w:sz w:val="24"/>
                <w:szCs w:val="24"/>
              </w:rPr>
              <w:t>I changed the PA criteria after the DCWG meeting 1/25/16.  Please see references under individual criteria indications.</w:t>
            </w:r>
          </w:p>
        </w:tc>
        <w:tc>
          <w:tcPr>
            <w:tcW w:w="900" w:type="dxa"/>
            <w:tcBorders>
              <w:top w:val="single" w:sz="4" w:space="0" w:color="auto"/>
              <w:left w:val="single" w:sz="4" w:space="0" w:color="auto"/>
              <w:bottom w:val="single" w:sz="4" w:space="0" w:color="auto"/>
              <w:right w:val="single" w:sz="4" w:space="0" w:color="auto"/>
            </w:tcBorders>
          </w:tcPr>
          <w:p w14:paraId="7124390F" w14:textId="77777777" w:rsidR="009B5AA5" w:rsidRPr="00FA3F9C" w:rsidRDefault="009B5AA5" w:rsidP="00A0317A">
            <w:pPr>
              <w:spacing w:after="0" w:line="240" w:lineRule="auto"/>
              <w:rPr>
                <w:rFonts w:ascii="Arial" w:hAnsi="Arial" w:cs="Arial"/>
                <w:sz w:val="24"/>
                <w:szCs w:val="24"/>
              </w:rPr>
            </w:pPr>
            <w:r w:rsidRPr="00FA3F9C">
              <w:rPr>
                <w:rFonts w:ascii="Arial" w:hAnsi="Arial" w:cs="Arial"/>
                <w:sz w:val="24"/>
                <w:szCs w:val="24"/>
              </w:rPr>
              <w:t>JJ</w:t>
            </w:r>
          </w:p>
        </w:tc>
      </w:tr>
      <w:tr w:rsidR="009B5AA5" w:rsidRPr="00FA3F9C" w14:paraId="1A354695" w14:textId="77777777" w:rsidTr="00A0317A">
        <w:tc>
          <w:tcPr>
            <w:tcW w:w="1368" w:type="dxa"/>
            <w:tcBorders>
              <w:top w:val="single" w:sz="4" w:space="0" w:color="auto"/>
              <w:left w:val="single" w:sz="4" w:space="0" w:color="auto"/>
              <w:bottom w:val="single" w:sz="4" w:space="0" w:color="auto"/>
              <w:right w:val="single" w:sz="4" w:space="0" w:color="auto"/>
            </w:tcBorders>
          </w:tcPr>
          <w:p w14:paraId="4DD4903D" w14:textId="77777777" w:rsidR="009B5AA5" w:rsidRPr="00FA3F9C" w:rsidRDefault="009B5AA5" w:rsidP="00A0317A">
            <w:pPr>
              <w:spacing w:after="0" w:line="240" w:lineRule="auto"/>
              <w:rPr>
                <w:rFonts w:ascii="Arial" w:hAnsi="Arial" w:cs="Arial"/>
                <w:sz w:val="24"/>
                <w:szCs w:val="24"/>
              </w:rPr>
            </w:pPr>
            <w:r w:rsidRPr="00FA3F9C">
              <w:rPr>
                <w:rFonts w:ascii="Arial" w:hAnsi="Arial" w:cs="Arial"/>
                <w:sz w:val="24"/>
                <w:szCs w:val="24"/>
              </w:rPr>
              <w:t>2/13/17</w:t>
            </w:r>
          </w:p>
        </w:tc>
        <w:tc>
          <w:tcPr>
            <w:tcW w:w="8100" w:type="dxa"/>
            <w:tcBorders>
              <w:top w:val="single" w:sz="4" w:space="0" w:color="auto"/>
              <w:left w:val="single" w:sz="4" w:space="0" w:color="auto"/>
              <w:bottom w:val="single" w:sz="4" w:space="0" w:color="auto"/>
              <w:right w:val="single" w:sz="4" w:space="0" w:color="auto"/>
            </w:tcBorders>
          </w:tcPr>
          <w:p w14:paraId="6EAE54AA" w14:textId="77777777" w:rsidR="009B5AA5" w:rsidRPr="00FA3F9C" w:rsidRDefault="009B5AA5" w:rsidP="00FC1E85">
            <w:pPr>
              <w:numPr>
                <w:ilvl w:val="0"/>
                <w:numId w:val="361"/>
              </w:numPr>
              <w:spacing w:after="0" w:line="240" w:lineRule="auto"/>
              <w:rPr>
                <w:rFonts w:ascii="Arial" w:hAnsi="Arial" w:cs="Arial"/>
                <w:sz w:val="24"/>
                <w:szCs w:val="24"/>
              </w:rPr>
            </w:pPr>
            <w:r w:rsidRPr="00FA3F9C">
              <w:rPr>
                <w:rFonts w:ascii="Arial" w:hAnsi="Arial" w:cs="Arial"/>
                <w:sz w:val="24"/>
                <w:szCs w:val="24"/>
              </w:rPr>
              <w:t>I revised the NSCLC criteria to reflect coverage of nivolumab for 2</w:t>
            </w:r>
            <w:r w:rsidRPr="00FA3F9C">
              <w:rPr>
                <w:rFonts w:ascii="Arial" w:hAnsi="Arial" w:cs="Arial"/>
                <w:sz w:val="24"/>
                <w:szCs w:val="24"/>
                <w:vertAlign w:val="superscript"/>
              </w:rPr>
              <w:t>nd</w:t>
            </w:r>
            <w:r w:rsidRPr="00FA3F9C">
              <w:rPr>
                <w:rFonts w:ascii="Arial" w:hAnsi="Arial" w:cs="Arial"/>
                <w:sz w:val="24"/>
                <w:szCs w:val="24"/>
              </w:rPr>
              <w:t xml:space="preserve"> line therapy but not as monotherapy for 1</w:t>
            </w:r>
            <w:r w:rsidRPr="00FA3F9C">
              <w:rPr>
                <w:rFonts w:ascii="Arial" w:hAnsi="Arial" w:cs="Arial"/>
                <w:sz w:val="24"/>
                <w:szCs w:val="24"/>
                <w:vertAlign w:val="superscript"/>
              </w:rPr>
              <w:t>st</w:t>
            </w:r>
            <w:r w:rsidRPr="00FA3F9C">
              <w:rPr>
                <w:rFonts w:ascii="Arial" w:hAnsi="Arial" w:cs="Arial"/>
                <w:sz w:val="24"/>
                <w:szCs w:val="24"/>
              </w:rPr>
              <w:t xml:space="preserve"> line therapy.  Since CheckMate-026 showed nivolumab failed to meet the primary endpoint of superior PFS compared to chemotherapy.  In pts w/ &gt;5% PD-L1 expression, the median PFS was 4.2m with </w:t>
            </w:r>
            <w:proofErr w:type="spellStart"/>
            <w:r w:rsidRPr="00FA3F9C">
              <w:rPr>
                <w:rFonts w:ascii="Arial" w:hAnsi="Arial" w:cs="Arial"/>
                <w:sz w:val="24"/>
                <w:szCs w:val="24"/>
              </w:rPr>
              <w:t>Opdivo</w:t>
            </w:r>
            <w:proofErr w:type="spellEnd"/>
            <w:r w:rsidRPr="00FA3F9C">
              <w:rPr>
                <w:rFonts w:ascii="Arial" w:hAnsi="Arial" w:cs="Arial"/>
                <w:sz w:val="24"/>
                <w:szCs w:val="24"/>
              </w:rPr>
              <w:t xml:space="preserve"> and 5.9m with platinum-based doublet chemotherapy (stratified HR=1.15 995%Ci: 0.91, 1.45, p=0.25).  Overall survival was 14.4m for </w:t>
            </w:r>
            <w:proofErr w:type="spellStart"/>
            <w:r w:rsidRPr="00FA3F9C">
              <w:rPr>
                <w:rFonts w:ascii="Arial" w:hAnsi="Arial" w:cs="Arial"/>
                <w:sz w:val="24"/>
                <w:szCs w:val="24"/>
              </w:rPr>
              <w:t>Opdivo</w:t>
            </w:r>
            <w:proofErr w:type="spellEnd"/>
            <w:r w:rsidRPr="00FA3F9C">
              <w:rPr>
                <w:rFonts w:ascii="Arial" w:hAnsi="Arial" w:cs="Arial"/>
                <w:sz w:val="24"/>
                <w:szCs w:val="24"/>
              </w:rPr>
              <w:t xml:space="preserve"> vs 13.2m for chemotherapy (HR=1.02 (95%Ci: 0.80, 1.3)</w:t>
            </w:r>
          </w:p>
          <w:p w14:paraId="30F2FC2A" w14:textId="77777777" w:rsidR="009B5AA5" w:rsidRPr="00FA3F9C" w:rsidRDefault="009B5AA5" w:rsidP="00A0317A">
            <w:pPr>
              <w:spacing w:after="0" w:line="240" w:lineRule="auto"/>
              <w:rPr>
                <w:rFonts w:ascii="Arial" w:hAnsi="Arial" w:cs="Arial"/>
                <w:b/>
                <w:sz w:val="24"/>
                <w:szCs w:val="24"/>
                <w:u w:val="single"/>
              </w:rPr>
            </w:pPr>
            <w:r w:rsidRPr="00FA3F9C">
              <w:rPr>
                <w:rFonts w:ascii="Arial" w:hAnsi="Arial" w:cs="Arial"/>
                <w:b/>
                <w:sz w:val="24"/>
                <w:szCs w:val="24"/>
                <w:u w:val="single"/>
              </w:rPr>
              <w:t>Although the press release emerged 10/9/16, the peer reviewed publication still has not been published.</w:t>
            </w:r>
          </w:p>
          <w:p w14:paraId="74C09B37" w14:textId="77777777" w:rsidR="009B5AA5" w:rsidRPr="00FA3F9C" w:rsidRDefault="009B5AA5" w:rsidP="009B5AA5">
            <w:pPr>
              <w:numPr>
                <w:ilvl w:val="0"/>
                <w:numId w:val="277"/>
              </w:numPr>
              <w:spacing w:after="0" w:line="240" w:lineRule="auto"/>
              <w:rPr>
                <w:rFonts w:ascii="Arial" w:hAnsi="Arial" w:cs="Arial"/>
                <w:sz w:val="24"/>
                <w:szCs w:val="24"/>
              </w:rPr>
            </w:pPr>
            <w:r w:rsidRPr="00FA3F9C">
              <w:rPr>
                <w:rFonts w:ascii="Arial" w:hAnsi="Arial" w:cs="Arial"/>
                <w:sz w:val="24"/>
                <w:szCs w:val="24"/>
              </w:rPr>
              <w:t xml:space="preserve">I removed an FDA-approved indication for melanoma because the FDA did.  Of note, we never covered this FDA-approved indication:  (unresectable or metastatic melanoma and disease progression </w:t>
            </w:r>
            <w:r w:rsidRPr="00FA3F9C">
              <w:rPr>
                <w:rFonts w:ascii="Arial" w:hAnsi="Arial" w:cs="Arial"/>
                <w:sz w:val="24"/>
                <w:szCs w:val="24"/>
              </w:rPr>
              <w:lastRenderedPageBreak/>
              <w:t xml:space="preserve">following </w:t>
            </w:r>
            <w:proofErr w:type="spellStart"/>
            <w:r w:rsidRPr="00FA3F9C">
              <w:rPr>
                <w:rFonts w:ascii="Arial" w:hAnsi="Arial" w:cs="Arial"/>
                <w:sz w:val="24"/>
                <w:szCs w:val="24"/>
              </w:rPr>
              <w:t>ipilumumab</w:t>
            </w:r>
            <w:proofErr w:type="spellEnd"/>
            <w:r w:rsidRPr="00FA3F9C">
              <w:rPr>
                <w:rFonts w:ascii="Arial" w:hAnsi="Arial" w:cs="Arial"/>
                <w:sz w:val="24"/>
                <w:szCs w:val="24"/>
              </w:rPr>
              <w:t xml:space="preserve"> and (if BRAF V600 mutation positive) a BRAF inhibitor.—</w:t>
            </w:r>
            <w:r w:rsidRPr="00FA3F9C">
              <w:rPr>
                <w:rFonts w:ascii="Arial" w:hAnsi="Arial" w:cs="Arial"/>
                <w:b/>
                <w:sz w:val="24"/>
                <w:szCs w:val="24"/>
                <w:highlight w:val="yellow"/>
                <w:u w:val="single"/>
              </w:rPr>
              <w:t>NOT a covered use</w:t>
            </w:r>
            <w:r w:rsidRPr="00FA3F9C">
              <w:rPr>
                <w:rFonts w:ascii="Arial" w:hAnsi="Arial" w:cs="Arial"/>
                <w:b/>
                <w:sz w:val="24"/>
                <w:szCs w:val="24"/>
                <w:u w:val="single"/>
              </w:rPr>
              <w:t>)</w:t>
            </w:r>
          </w:p>
        </w:tc>
        <w:tc>
          <w:tcPr>
            <w:tcW w:w="900" w:type="dxa"/>
            <w:tcBorders>
              <w:top w:val="single" w:sz="4" w:space="0" w:color="auto"/>
              <w:left w:val="single" w:sz="4" w:space="0" w:color="auto"/>
              <w:bottom w:val="single" w:sz="4" w:space="0" w:color="auto"/>
              <w:right w:val="single" w:sz="4" w:space="0" w:color="auto"/>
            </w:tcBorders>
          </w:tcPr>
          <w:p w14:paraId="1C0F8385" w14:textId="77777777" w:rsidR="009B5AA5" w:rsidRPr="00FA3F9C" w:rsidRDefault="009B5AA5" w:rsidP="00A0317A">
            <w:pPr>
              <w:spacing w:after="0" w:line="240" w:lineRule="auto"/>
              <w:rPr>
                <w:rFonts w:ascii="Arial" w:hAnsi="Arial" w:cs="Arial"/>
                <w:sz w:val="24"/>
                <w:szCs w:val="24"/>
              </w:rPr>
            </w:pPr>
            <w:r w:rsidRPr="00FA3F9C">
              <w:rPr>
                <w:rFonts w:ascii="Arial" w:hAnsi="Arial" w:cs="Arial"/>
                <w:sz w:val="24"/>
                <w:szCs w:val="24"/>
              </w:rPr>
              <w:lastRenderedPageBreak/>
              <w:t>JJ</w:t>
            </w:r>
          </w:p>
        </w:tc>
      </w:tr>
      <w:tr w:rsidR="009B5AA5" w:rsidRPr="00FA3F9C" w14:paraId="3A1C2553" w14:textId="77777777" w:rsidTr="00A0317A">
        <w:tc>
          <w:tcPr>
            <w:tcW w:w="1368" w:type="dxa"/>
            <w:tcBorders>
              <w:top w:val="single" w:sz="4" w:space="0" w:color="auto"/>
              <w:left w:val="single" w:sz="4" w:space="0" w:color="auto"/>
              <w:bottom w:val="single" w:sz="4" w:space="0" w:color="auto"/>
              <w:right w:val="single" w:sz="4" w:space="0" w:color="auto"/>
            </w:tcBorders>
          </w:tcPr>
          <w:p w14:paraId="08E17DA0" w14:textId="77777777" w:rsidR="009B5AA5" w:rsidRPr="00FA3F9C" w:rsidRDefault="009B5AA5" w:rsidP="00A0317A">
            <w:pPr>
              <w:spacing w:after="0" w:line="240" w:lineRule="auto"/>
              <w:rPr>
                <w:rFonts w:ascii="Arial" w:hAnsi="Arial" w:cs="Arial"/>
                <w:sz w:val="24"/>
                <w:szCs w:val="24"/>
              </w:rPr>
            </w:pPr>
            <w:r w:rsidRPr="00FA3F9C">
              <w:rPr>
                <w:rFonts w:ascii="Arial" w:hAnsi="Arial" w:cs="Arial"/>
                <w:sz w:val="24"/>
                <w:szCs w:val="24"/>
              </w:rPr>
              <w:t>2/13/17</w:t>
            </w:r>
          </w:p>
        </w:tc>
        <w:tc>
          <w:tcPr>
            <w:tcW w:w="8100" w:type="dxa"/>
            <w:tcBorders>
              <w:top w:val="single" w:sz="4" w:space="0" w:color="auto"/>
              <w:left w:val="single" w:sz="4" w:space="0" w:color="auto"/>
              <w:bottom w:val="single" w:sz="4" w:space="0" w:color="auto"/>
              <w:right w:val="single" w:sz="4" w:space="0" w:color="auto"/>
            </w:tcBorders>
          </w:tcPr>
          <w:p w14:paraId="4D9D1F24" w14:textId="77777777" w:rsidR="009B5AA5" w:rsidRPr="00FA3F9C" w:rsidRDefault="009B5AA5" w:rsidP="00A0317A">
            <w:pPr>
              <w:spacing w:after="0" w:line="240" w:lineRule="auto"/>
              <w:rPr>
                <w:rFonts w:ascii="Arial" w:hAnsi="Arial" w:cs="Arial"/>
                <w:sz w:val="24"/>
                <w:szCs w:val="24"/>
              </w:rPr>
            </w:pPr>
            <w:r w:rsidRPr="00FA3F9C">
              <w:rPr>
                <w:rFonts w:ascii="Arial" w:hAnsi="Arial" w:cs="Arial"/>
                <w:sz w:val="24"/>
                <w:szCs w:val="24"/>
              </w:rPr>
              <w:t>I updated PA criteria after DCWG meeting on 1/18/2017 to include coverage for Head and Neck CA</w:t>
            </w:r>
          </w:p>
        </w:tc>
        <w:tc>
          <w:tcPr>
            <w:tcW w:w="900" w:type="dxa"/>
            <w:tcBorders>
              <w:top w:val="single" w:sz="4" w:space="0" w:color="auto"/>
              <w:left w:val="single" w:sz="4" w:space="0" w:color="auto"/>
              <w:bottom w:val="single" w:sz="4" w:space="0" w:color="auto"/>
              <w:right w:val="single" w:sz="4" w:space="0" w:color="auto"/>
            </w:tcBorders>
          </w:tcPr>
          <w:p w14:paraId="1FC094E0" w14:textId="77777777" w:rsidR="009B5AA5" w:rsidRPr="00FA3F9C" w:rsidRDefault="009B5AA5" w:rsidP="00A0317A">
            <w:pPr>
              <w:spacing w:after="0" w:line="240" w:lineRule="auto"/>
              <w:rPr>
                <w:rFonts w:ascii="Arial" w:hAnsi="Arial" w:cs="Arial"/>
                <w:sz w:val="24"/>
                <w:szCs w:val="24"/>
              </w:rPr>
            </w:pPr>
            <w:r w:rsidRPr="00FA3F9C">
              <w:rPr>
                <w:rFonts w:ascii="Arial" w:hAnsi="Arial" w:cs="Arial"/>
                <w:sz w:val="24"/>
                <w:szCs w:val="24"/>
              </w:rPr>
              <w:t>GBB</w:t>
            </w:r>
          </w:p>
        </w:tc>
      </w:tr>
      <w:tr w:rsidR="009B5AA5" w:rsidRPr="00FA3F9C" w14:paraId="7C319BC6" w14:textId="77777777" w:rsidTr="00A0317A">
        <w:trPr>
          <w:trHeight w:val="2663"/>
        </w:trPr>
        <w:tc>
          <w:tcPr>
            <w:tcW w:w="1368" w:type="dxa"/>
            <w:tcBorders>
              <w:top w:val="single" w:sz="4" w:space="0" w:color="auto"/>
              <w:left w:val="single" w:sz="4" w:space="0" w:color="auto"/>
              <w:bottom w:val="single" w:sz="4" w:space="0" w:color="auto"/>
              <w:right w:val="single" w:sz="4" w:space="0" w:color="auto"/>
            </w:tcBorders>
          </w:tcPr>
          <w:p w14:paraId="64D0B3B9" w14:textId="77777777" w:rsidR="009B5AA5" w:rsidRPr="00FA3F9C" w:rsidRDefault="009B5AA5" w:rsidP="00A0317A">
            <w:pPr>
              <w:spacing w:after="0" w:line="240" w:lineRule="auto"/>
              <w:rPr>
                <w:rFonts w:ascii="Arial" w:hAnsi="Arial" w:cs="Arial"/>
                <w:sz w:val="24"/>
                <w:szCs w:val="24"/>
              </w:rPr>
            </w:pPr>
            <w:r w:rsidRPr="00FA3F9C">
              <w:rPr>
                <w:rFonts w:ascii="Arial" w:hAnsi="Arial" w:cs="Arial"/>
                <w:sz w:val="24"/>
                <w:szCs w:val="24"/>
              </w:rPr>
              <w:t>1/28/19</w:t>
            </w:r>
          </w:p>
        </w:tc>
        <w:tc>
          <w:tcPr>
            <w:tcW w:w="8100" w:type="dxa"/>
            <w:tcBorders>
              <w:top w:val="single" w:sz="4" w:space="0" w:color="auto"/>
              <w:left w:val="single" w:sz="4" w:space="0" w:color="auto"/>
              <w:bottom w:val="single" w:sz="4" w:space="0" w:color="auto"/>
              <w:right w:val="single" w:sz="4" w:space="0" w:color="auto"/>
            </w:tcBorders>
          </w:tcPr>
          <w:p w14:paraId="358BA07E" w14:textId="77777777" w:rsidR="009B5AA5" w:rsidRPr="00FA3F9C" w:rsidRDefault="009B5AA5" w:rsidP="00FC1E85">
            <w:pPr>
              <w:pStyle w:val="ListParagraph"/>
              <w:numPr>
                <w:ilvl w:val="0"/>
                <w:numId w:val="351"/>
              </w:numPr>
              <w:spacing w:after="200" w:line="276" w:lineRule="auto"/>
              <w:rPr>
                <w:rFonts w:ascii="Arial" w:hAnsi="Arial" w:cs="Arial"/>
                <w:sz w:val="24"/>
                <w:szCs w:val="24"/>
              </w:rPr>
            </w:pPr>
            <w:r w:rsidRPr="00FA3F9C">
              <w:rPr>
                <w:rFonts w:ascii="Arial" w:hAnsi="Arial" w:cs="Arial"/>
                <w:sz w:val="24"/>
                <w:szCs w:val="24"/>
              </w:rPr>
              <w:t>New FDA indication listed: SCLC (not covered)</w:t>
            </w:r>
          </w:p>
          <w:p w14:paraId="4898C4E9" w14:textId="77777777" w:rsidR="009B5AA5" w:rsidRPr="00FA3F9C" w:rsidRDefault="009B5AA5" w:rsidP="00FC1E85">
            <w:pPr>
              <w:pStyle w:val="ListParagraph"/>
              <w:numPr>
                <w:ilvl w:val="0"/>
                <w:numId w:val="351"/>
              </w:numPr>
              <w:spacing w:after="200" w:line="276" w:lineRule="auto"/>
              <w:rPr>
                <w:rFonts w:ascii="Arial" w:hAnsi="Arial" w:cs="Arial"/>
                <w:sz w:val="24"/>
                <w:szCs w:val="24"/>
              </w:rPr>
            </w:pPr>
            <w:r w:rsidRPr="00FA3F9C">
              <w:rPr>
                <w:rFonts w:ascii="Arial" w:hAnsi="Arial" w:cs="Arial"/>
                <w:sz w:val="24"/>
                <w:szCs w:val="24"/>
              </w:rPr>
              <w:t xml:space="preserve">Melanoma (metastatic): expanded to cover BRAF unmutated </w:t>
            </w:r>
            <w:proofErr w:type="spellStart"/>
            <w:r w:rsidRPr="00FA3F9C">
              <w:rPr>
                <w:rFonts w:ascii="Arial" w:hAnsi="Arial" w:cs="Arial"/>
                <w:sz w:val="24"/>
                <w:szCs w:val="24"/>
              </w:rPr>
              <w:t>pt</w:t>
            </w:r>
            <w:proofErr w:type="spellEnd"/>
            <w:r w:rsidRPr="00FA3F9C">
              <w:rPr>
                <w:rFonts w:ascii="Arial" w:hAnsi="Arial" w:cs="Arial"/>
                <w:sz w:val="24"/>
                <w:szCs w:val="24"/>
              </w:rPr>
              <w:t xml:space="preserve"> (first line therapy only), added exclusion of ocular melanoma, updated notes and references</w:t>
            </w:r>
          </w:p>
          <w:p w14:paraId="27C6EEE5" w14:textId="77777777" w:rsidR="009B5AA5" w:rsidRPr="00FA3F9C" w:rsidRDefault="009B5AA5" w:rsidP="00FC1E85">
            <w:pPr>
              <w:pStyle w:val="ListParagraph"/>
              <w:numPr>
                <w:ilvl w:val="0"/>
                <w:numId w:val="351"/>
              </w:numPr>
              <w:spacing w:after="200" w:line="276" w:lineRule="auto"/>
              <w:rPr>
                <w:rFonts w:ascii="Arial" w:hAnsi="Arial" w:cs="Arial"/>
                <w:sz w:val="24"/>
                <w:szCs w:val="24"/>
              </w:rPr>
            </w:pPr>
            <w:r w:rsidRPr="00FA3F9C">
              <w:rPr>
                <w:rFonts w:ascii="Arial" w:hAnsi="Arial" w:cs="Arial"/>
                <w:sz w:val="24"/>
                <w:szCs w:val="24"/>
              </w:rPr>
              <w:t>Melanoma (adjuvant): Added exclusion for ocular melanoma; added emphasis of duration of 1 year only.</w:t>
            </w:r>
          </w:p>
          <w:p w14:paraId="15C78F46" w14:textId="77777777" w:rsidR="009B5AA5" w:rsidRPr="00FA3F9C" w:rsidRDefault="009B5AA5" w:rsidP="00FC1E85">
            <w:pPr>
              <w:pStyle w:val="ListParagraph"/>
              <w:numPr>
                <w:ilvl w:val="0"/>
                <w:numId w:val="351"/>
              </w:numPr>
              <w:spacing w:after="200" w:line="276" w:lineRule="auto"/>
              <w:rPr>
                <w:rFonts w:ascii="Arial" w:hAnsi="Arial" w:cs="Arial"/>
                <w:sz w:val="24"/>
                <w:szCs w:val="24"/>
              </w:rPr>
            </w:pPr>
            <w:r w:rsidRPr="00FA3F9C">
              <w:rPr>
                <w:rFonts w:ascii="Arial" w:hAnsi="Arial" w:cs="Arial"/>
                <w:sz w:val="24"/>
                <w:szCs w:val="24"/>
              </w:rPr>
              <w:t>NSCLC: updated formatting, notes, references (no change in criteria)</w:t>
            </w:r>
          </w:p>
          <w:p w14:paraId="23D0403B" w14:textId="77777777" w:rsidR="009B5AA5" w:rsidRPr="00FA3F9C" w:rsidRDefault="009B5AA5" w:rsidP="00FC1E85">
            <w:pPr>
              <w:pStyle w:val="ListParagraph"/>
              <w:numPr>
                <w:ilvl w:val="0"/>
                <w:numId w:val="351"/>
              </w:numPr>
              <w:spacing w:after="200" w:line="276" w:lineRule="auto"/>
              <w:rPr>
                <w:rFonts w:ascii="Arial" w:hAnsi="Arial" w:cs="Arial"/>
                <w:sz w:val="24"/>
                <w:szCs w:val="24"/>
              </w:rPr>
            </w:pPr>
            <w:r w:rsidRPr="00FA3F9C">
              <w:rPr>
                <w:rFonts w:ascii="Arial" w:hAnsi="Arial" w:cs="Arial"/>
                <w:sz w:val="24"/>
                <w:szCs w:val="24"/>
              </w:rPr>
              <w:t xml:space="preserve">RCC: Add new indication (in combo with </w:t>
            </w:r>
            <w:proofErr w:type="spellStart"/>
            <w:r w:rsidRPr="00FA3F9C">
              <w:rPr>
                <w:rFonts w:ascii="Arial" w:hAnsi="Arial" w:cs="Arial"/>
                <w:sz w:val="24"/>
                <w:szCs w:val="24"/>
              </w:rPr>
              <w:t>ipi</w:t>
            </w:r>
            <w:proofErr w:type="spellEnd"/>
            <w:r w:rsidRPr="00FA3F9C">
              <w:rPr>
                <w:rFonts w:ascii="Arial" w:hAnsi="Arial" w:cs="Arial"/>
                <w:sz w:val="24"/>
                <w:szCs w:val="24"/>
              </w:rPr>
              <w:t>): cover per criteria</w:t>
            </w:r>
          </w:p>
          <w:p w14:paraId="073CDC12" w14:textId="77777777" w:rsidR="009B5AA5" w:rsidRPr="00FA3F9C" w:rsidRDefault="009B5AA5" w:rsidP="00FC1E85">
            <w:pPr>
              <w:pStyle w:val="ListParagraph"/>
              <w:numPr>
                <w:ilvl w:val="0"/>
                <w:numId w:val="351"/>
              </w:numPr>
              <w:spacing w:after="200" w:line="276" w:lineRule="auto"/>
              <w:rPr>
                <w:rFonts w:ascii="Arial" w:hAnsi="Arial" w:cs="Arial"/>
                <w:sz w:val="24"/>
                <w:szCs w:val="24"/>
              </w:rPr>
            </w:pPr>
            <w:r w:rsidRPr="00FA3F9C">
              <w:rPr>
                <w:rFonts w:ascii="Arial" w:hAnsi="Arial" w:cs="Arial"/>
                <w:sz w:val="24"/>
                <w:szCs w:val="24"/>
              </w:rPr>
              <w:t>Head and Neck: added that patient should NOT have nasopharyngeal cancer</w:t>
            </w:r>
          </w:p>
        </w:tc>
        <w:tc>
          <w:tcPr>
            <w:tcW w:w="900" w:type="dxa"/>
            <w:tcBorders>
              <w:top w:val="single" w:sz="4" w:space="0" w:color="auto"/>
              <w:left w:val="single" w:sz="4" w:space="0" w:color="auto"/>
              <w:bottom w:val="single" w:sz="4" w:space="0" w:color="auto"/>
              <w:right w:val="single" w:sz="4" w:space="0" w:color="auto"/>
            </w:tcBorders>
          </w:tcPr>
          <w:p w14:paraId="44D360B3" w14:textId="77777777" w:rsidR="009B5AA5" w:rsidRPr="00FA3F9C" w:rsidRDefault="009B5AA5" w:rsidP="00A0317A">
            <w:pPr>
              <w:spacing w:after="0" w:line="240" w:lineRule="auto"/>
              <w:rPr>
                <w:rFonts w:ascii="Arial" w:hAnsi="Arial" w:cs="Arial"/>
                <w:sz w:val="24"/>
                <w:szCs w:val="24"/>
              </w:rPr>
            </w:pPr>
            <w:proofErr w:type="spellStart"/>
            <w:r w:rsidRPr="00FA3F9C">
              <w:rPr>
                <w:rFonts w:ascii="Arial" w:hAnsi="Arial" w:cs="Arial"/>
                <w:sz w:val="24"/>
                <w:szCs w:val="24"/>
              </w:rPr>
              <w:t>Sk</w:t>
            </w:r>
            <w:proofErr w:type="spellEnd"/>
          </w:p>
        </w:tc>
      </w:tr>
      <w:tr w:rsidR="009B5AA5" w:rsidRPr="00FA3F9C" w14:paraId="64837642" w14:textId="77777777" w:rsidTr="005F594F">
        <w:trPr>
          <w:trHeight w:val="60"/>
        </w:trPr>
        <w:tc>
          <w:tcPr>
            <w:tcW w:w="1368" w:type="dxa"/>
            <w:tcBorders>
              <w:top w:val="single" w:sz="4" w:space="0" w:color="auto"/>
              <w:left w:val="single" w:sz="4" w:space="0" w:color="auto"/>
              <w:bottom w:val="single" w:sz="4" w:space="0" w:color="auto"/>
              <w:right w:val="single" w:sz="4" w:space="0" w:color="auto"/>
            </w:tcBorders>
          </w:tcPr>
          <w:p w14:paraId="1631F896" w14:textId="77777777" w:rsidR="009B5AA5" w:rsidRPr="00FA3F9C" w:rsidRDefault="009B5AA5" w:rsidP="00A0317A">
            <w:pPr>
              <w:spacing w:after="0" w:line="240" w:lineRule="auto"/>
              <w:rPr>
                <w:rFonts w:ascii="Arial" w:hAnsi="Arial" w:cs="Arial"/>
                <w:sz w:val="24"/>
                <w:szCs w:val="24"/>
              </w:rPr>
            </w:pPr>
            <w:r w:rsidRPr="00FA3F9C">
              <w:rPr>
                <w:rFonts w:ascii="Arial" w:hAnsi="Arial" w:cs="Arial"/>
                <w:sz w:val="24"/>
                <w:szCs w:val="24"/>
              </w:rPr>
              <w:t>6/17/19</w:t>
            </w:r>
          </w:p>
        </w:tc>
        <w:tc>
          <w:tcPr>
            <w:tcW w:w="8100" w:type="dxa"/>
            <w:tcBorders>
              <w:top w:val="single" w:sz="4" w:space="0" w:color="auto"/>
              <w:left w:val="single" w:sz="4" w:space="0" w:color="auto"/>
              <w:bottom w:val="single" w:sz="4" w:space="0" w:color="auto"/>
              <w:right w:val="single" w:sz="4" w:space="0" w:color="auto"/>
            </w:tcBorders>
          </w:tcPr>
          <w:p w14:paraId="161A5D80" w14:textId="77777777" w:rsidR="009B5AA5" w:rsidRPr="00FA3F9C" w:rsidRDefault="009B5AA5" w:rsidP="00537019">
            <w:pPr>
              <w:rPr>
                <w:rFonts w:ascii="Arial" w:hAnsi="Arial" w:cs="Arial"/>
                <w:sz w:val="24"/>
                <w:szCs w:val="24"/>
              </w:rPr>
            </w:pPr>
            <w:r w:rsidRPr="00FA3F9C">
              <w:rPr>
                <w:rFonts w:ascii="Arial" w:hAnsi="Arial" w:cs="Arial"/>
                <w:sz w:val="24"/>
                <w:szCs w:val="24"/>
              </w:rPr>
              <w:t>Focused review: cover relapsed/refractory Hodgkin lymphoma as above</w:t>
            </w:r>
          </w:p>
        </w:tc>
        <w:tc>
          <w:tcPr>
            <w:tcW w:w="900" w:type="dxa"/>
            <w:tcBorders>
              <w:top w:val="single" w:sz="4" w:space="0" w:color="auto"/>
              <w:left w:val="single" w:sz="4" w:space="0" w:color="auto"/>
              <w:bottom w:val="single" w:sz="4" w:space="0" w:color="auto"/>
              <w:right w:val="single" w:sz="4" w:space="0" w:color="auto"/>
            </w:tcBorders>
          </w:tcPr>
          <w:p w14:paraId="0C81A429" w14:textId="77777777" w:rsidR="009B5AA5" w:rsidRPr="00FA3F9C" w:rsidRDefault="009B5AA5" w:rsidP="00A0317A">
            <w:pPr>
              <w:spacing w:after="0" w:line="240" w:lineRule="auto"/>
              <w:rPr>
                <w:rFonts w:ascii="Arial" w:hAnsi="Arial" w:cs="Arial"/>
                <w:sz w:val="24"/>
                <w:szCs w:val="24"/>
              </w:rPr>
            </w:pPr>
            <w:proofErr w:type="spellStart"/>
            <w:r w:rsidRPr="00FA3F9C">
              <w:rPr>
                <w:rFonts w:ascii="Arial" w:hAnsi="Arial" w:cs="Arial"/>
                <w:sz w:val="24"/>
                <w:szCs w:val="24"/>
              </w:rPr>
              <w:t>Sk</w:t>
            </w:r>
            <w:proofErr w:type="spellEnd"/>
          </w:p>
        </w:tc>
      </w:tr>
      <w:tr w:rsidR="009B5AA5" w:rsidRPr="00FA3F9C" w14:paraId="3CC6C1C8" w14:textId="77777777" w:rsidTr="005F594F">
        <w:trPr>
          <w:trHeight w:val="1169"/>
        </w:trPr>
        <w:tc>
          <w:tcPr>
            <w:tcW w:w="1368" w:type="dxa"/>
            <w:tcBorders>
              <w:top w:val="single" w:sz="4" w:space="0" w:color="auto"/>
              <w:left w:val="single" w:sz="4" w:space="0" w:color="auto"/>
              <w:bottom w:val="single" w:sz="4" w:space="0" w:color="auto"/>
              <w:right w:val="single" w:sz="4" w:space="0" w:color="auto"/>
            </w:tcBorders>
          </w:tcPr>
          <w:p w14:paraId="225CB91D" w14:textId="77777777" w:rsidR="009B5AA5" w:rsidRPr="00FA3F9C" w:rsidRDefault="009B5AA5" w:rsidP="00E863F8">
            <w:pPr>
              <w:spacing w:after="0" w:line="240" w:lineRule="auto"/>
              <w:rPr>
                <w:rFonts w:ascii="Arial" w:hAnsi="Arial" w:cs="Arial"/>
                <w:sz w:val="24"/>
                <w:szCs w:val="24"/>
              </w:rPr>
            </w:pPr>
            <w:r w:rsidRPr="00FA3F9C">
              <w:rPr>
                <w:rFonts w:ascii="Arial" w:hAnsi="Arial" w:cs="Arial"/>
                <w:sz w:val="24"/>
                <w:szCs w:val="24"/>
              </w:rPr>
              <w:t>8/26/2019</w:t>
            </w:r>
          </w:p>
        </w:tc>
        <w:tc>
          <w:tcPr>
            <w:tcW w:w="8100" w:type="dxa"/>
            <w:tcBorders>
              <w:top w:val="single" w:sz="4" w:space="0" w:color="auto"/>
              <w:left w:val="single" w:sz="4" w:space="0" w:color="auto"/>
              <w:bottom w:val="single" w:sz="4" w:space="0" w:color="auto"/>
              <w:right w:val="single" w:sz="4" w:space="0" w:color="auto"/>
            </w:tcBorders>
          </w:tcPr>
          <w:p w14:paraId="5A366008" w14:textId="77777777" w:rsidR="009B5AA5" w:rsidRPr="00FA3F9C" w:rsidRDefault="009B5AA5" w:rsidP="00E863F8">
            <w:pPr>
              <w:spacing w:after="0" w:line="240" w:lineRule="auto"/>
              <w:rPr>
                <w:rFonts w:ascii="Arial" w:hAnsi="Arial" w:cs="Arial"/>
                <w:sz w:val="24"/>
                <w:szCs w:val="24"/>
              </w:rPr>
            </w:pPr>
            <w:r w:rsidRPr="00FA3F9C">
              <w:rPr>
                <w:rFonts w:ascii="Arial" w:hAnsi="Arial" w:cs="Arial"/>
                <w:sz w:val="24"/>
                <w:szCs w:val="24"/>
              </w:rPr>
              <w:t xml:space="preserve">All indications reviewed. </w:t>
            </w:r>
          </w:p>
          <w:p w14:paraId="730EEC38" w14:textId="77777777" w:rsidR="009B5AA5" w:rsidRPr="00FA3F9C" w:rsidRDefault="009B5AA5" w:rsidP="00E863F8">
            <w:pPr>
              <w:spacing w:after="0" w:line="240" w:lineRule="auto"/>
              <w:rPr>
                <w:rFonts w:ascii="Arial" w:hAnsi="Arial" w:cs="Arial"/>
                <w:sz w:val="24"/>
                <w:szCs w:val="24"/>
              </w:rPr>
            </w:pPr>
            <w:r w:rsidRPr="00FA3F9C">
              <w:rPr>
                <w:rFonts w:ascii="Arial" w:hAnsi="Arial" w:cs="Arial"/>
                <w:sz w:val="24"/>
                <w:szCs w:val="24"/>
              </w:rPr>
              <w:t xml:space="preserve">Updated FDA approved indications. Changed approval period from 6 </w:t>
            </w:r>
            <w:proofErr w:type="spellStart"/>
            <w:r w:rsidRPr="00FA3F9C">
              <w:rPr>
                <w:rFonts w:ascii="Arial" w:hAnsi="Arial" w:cs="Arial"/>
                <w:sz w:val="24"/>
                <w:szCs w:val="24"/>
              </w:rPr>
              <w:t>mo</w:t>
            </w:r>
            <w:proofErr w:type="spellEnd"/>
            <w:r w:rsidRPr="00FA3F9C">
              <w:rPr>
                <w:rFonts w:ascii="Arial" w:hAnsi="Arial" w:cs="Arial"/>
                <w:sz w:val="24"/>
                <w:szCs w:val="24"/>
              </w:rPr>
              <w:t xml:space="preserve"> to 12 </w:t>
            </w:r>
            <w:proofErr w:type="spellStart"/>
            <w:r w:rsidRPr="00FA3F9C">
              <w:rPr>
                <w:rFonts w:ascii="Arial" w:hAnsi="Arial" w:cs="Arial"/>
                <w:sz w:val="24"/>
                <w:szCs w:val="24"/>
              </w:rPr>
              <w:t>mo</w:t>
            </w:r>
            <w:proofErr w:type="spellEnd"/>
            <w:r w:rsidRPr="00FA3F9C">
              <w:rPr>
                <w:rFonts w:ascii="Arial" w:hAnsi="Arial" w:cs="Arial"/>
                <w:sz w:val="24"/>
                <w:szCs w:val="24"/>
              </w:rPr>
              <w:t xml:space="preserve"> for all indications.</w:t>
            </w:r>
          </w:p>
          <w:p w14:paraId="1E890DF7" w14:textId="77777777" w:rsidR="009B5AA5" w:rsidRPr="00FA3F9C" w:rsidRDefault="009B5AA5" w:rsidP="00E863F8">
            <w:pPr>
              <w:spacing w:after="0" w:line="240" w:lineRule="auto"/>
              <w:rPr>
                <w:rFonts w:ascii="Arial" w:hAnsi="Arial" w:cs="Arial"/>
                <w:sz w:val="24"/>
                <w:szCs w:val="24"/>
              </w:rPr>
            </w:pPr>
            <w:r w:rsidRPr="00FA3F9C">
              <w:rPr>
                <w:rFonts w:ascii="Arial" w:hAnsi="Arial" w:cs="Arial"/>
                <w:sz w:val="24"/>
                <w:szCs w:val="24"/>
              </w:rPr>
              <w:t xml:space="preserve">Metastatic melanoma: added criterion to clarify that </w:t>
            </w:r>
            <w:proofErr w:type="spellStart"/>
            <w:r w:rsidRPr="00FA3F9C">
              <w:rPr>
                <w:rFonts w:ascii="Arial" w:hAnsi="Arial" w:cs="Arial"/>
                <w:sz w:val="24"/>
                <w:szCs w:val="24"/>
              </w:rPr>
              <w:t>nivo</w:t>
            </w:r>
            <w:proofErr w:type="spellEnd"/>
            <w:r w:rsidRPr="00FA3F9C">
              <w:rPr>
                <w:rFonts w:ascii="Arial" w:hAnsi="Arial" w:cs="Arial"/>
                <w:sz w:val="24"/>
                <w:szCs w:val="24"/>
              </w:rPr>
              <w:t xml:space="preserve"> will be covered as monotherapy only.</w:t>
            </w:r>
          </w:p>
        </w:tc>
        <w:tc>
          <w:tcPr>
            <w:tcW w:w="900" w:type="dxa"/>
            <w:tcBorders>
              <w:top w:val="single" w:sz="4" w:space="0" w:color="auto"/>
              <w:left w:val="single" w:sz="4" w:space="0" w:color="auto"/>
              <w:bottom w:val="single" w:sz="4" w:space="0" w:color="auto"/>
              <w:right w:val="single" w:sz="4" w:space="0" w:color="auto"/>
            </w:tcBorders>
          </w:tcPr>
          <w:p w14:paraId="0AE98CAF" w14:textId="77777777" w:rsidR="009B5AA5" w:rsidRPr="00FA3F9C" w:rsidRDefault="009B5AA5" w:rsidP="00E863F8">
            <w:pPr>
              <w:spacing w:after="0" w:line="240" w:lineRule="auto"/>
              <w:rPr>
                <w:rFonts w:ascii="Arial" w:hAnsi="Arial" w:cs="Arial"/>
                <w:sz w:val="24"/>
                <w:szCs w:val="24"/>
              </w:rPr>
            </w:pPr>
            <w:r w:rsidRPr="00FA3F9C">
              <w:rPr>
                <w:rFonts w:ascii="Arial" w:hAnsi="Arial" w:cs="Arial"/>
                <w:sz w:val="24"/>
                <w:szCs w:val="24"/>
              </w:rPr>
              <w:t>SK</w:t>
            </w:r>
          </w:p>
        </w:tc>
      </w:tr>
      <w:tr w:rsidR="009B5AA5" w:rsidRPr="00FA3F9C" w14:paraId="16B11285" w14:textId="77777777" w:rsidTr="00E863F8">
        <w:trPr>
          <w:trHeight w:val="260"/>
        </w:trPr>
        <w:tc>
          <w:tcPr>
            <w:tcW w:w="1368" w:type="dxa"/>
            <w:tcBorders>
              <w:top w:val="single" w:sz="4" w:space="0" w:color="auto"/>
              <w:left w:val="single" w:sz="4" w:space="0" w:color="auto"/>
              <w:bottom w:val="single" w:sz="4" w:space="0" w:color="auto"/>
              <w:right w:val="single" w:sz="4" w:space="0" w:color="auto"/>
            </w:tcBorders>
          </w:tcPr>
          <w:p w14:paraId="3004F5F1" w14:textId="77777777" w:rsidR="009B5AA5" w:rsidRPr="00FA3F9C" w:rsidRDefault="009B5AA5" w:rsidP="00E863F8">
            <w:pPr>
              <w:spacing w:after="0" w:line="240" w:lineRule="auto"/>
              <w:rPr>
                <w:rFonts w:ascii="Arial" w:hAnsi="Arial" w:cs="Arial"/>
                <w:sz w:val="24"/>
                <w:szCs w:val="24"/>
              </w:rPr>
            </w:pPr>
            <w:r w:rsidRPr="00FA3F9C">
              <w:rPr>
                <w:rFonts w:ascii="Arial" w:hAnsi="Arial" w:cs="Arial"/>
                <w:sz w:val="24"/>
                <w:szCs w:val="24"/>
              </w:rPr>
              <w:t>10/28/19</w:t>
            </w:r>
          </w:p>
        </w:tc>
        <w:tc>
          <w:tcPr>
            <w:tcW w:w="8100" w:type="dxa"/>
            <w:tcBorders>
              <w:top w:val="single" w:sz="4" w:space="0" w:color="auto"/>
              <w:left w:val="single" w:sz="4" w:space="0" w:color="auto"/>
              <w:bottom w:val="single" w:sz="4" w:space="0" w:color="auto"/>
              <w:right w:val="single" w:sz="4" w:space="0" w:color="auto"/>
            </w:tcBorders>
          </w:tcPr>
          <w:p w14:paraId="495BE1B0" w14:textId="77777777" w:rsidR="009B5AA5" w:rsidRPr="00FA3F9C" w:rsidRDefault="009B5AA5" w:rsidP="00E863F8">
            <w:pPr>
              <w:spacing w:after="0" w:line="240" w:lineRule="auto"/>
              <w:rPr>
                <w:rFonts w:ascii="Arial" w:hAnsi="Arial" w:cs="Arial"/>
                <w:sz w:val="24"/>
                <w:szCs w:val="24"/>
              </w:rPr>
            </w:pPr>
            <w:r w:rsidRPr="00FA3F9C">
              <w:rPr>
                <w:rFonts w:ascii="Arial" w:hAnsi="Arial" w:cs="Arial"/>
                <w:sz w:val="24"/>
                <w:szCs w:val="24"/>
              </w:rPr>
              <w:t>Criteria reviewed. Update to allow use of nivolumab in combination with ipilimumab for first-line treatment of metastatic melanoma.</w:t>
            </w:r>
          </w:p>
        </w:tc>
        <w:tc>
          <w:tcPr>
            <w:tcW w:w="900" w:type="dxa"/>
            <w:tcBorders>
              <w:top w:val="single" w:sz="4" w:space="0" w:color="auto"/>
              <w:left w:val="single" w:sz="4" w:space="0" w:color="auto"/>
              <w:bottom w:val="single" w:sz="4" w:space="0" w:color="auto"/>
              <w:right w:val="single" w:sz="4" w:space="0" w:color="auto"/>
            </w:tcBorders>
          </w:tcPr>
          <w:p w14:paraId="64EDED2F" w14:textId="77777777" w:rsidR="009B5AA5" w:rsidRPr="00FA3F9C" w:rsidRDefault="009B5AA5" w:rsidP="00E863F8">
            <w:pPr>
              <w:spacing w:after="0" w:line="240" w:lineRule="auto"/>
              <w:rPr>
                <w:rFonts w:ascii="Arial" w:hAnsi="Arial" w:cs="Arial"/>
                <w:sz w:val="24"/>
                <w:szCs w:val="24"/>
              </w:rPr>
            </w:pPr>
            <w:proofErr w:type="spellStart"/>
            <w:r w:rsidRPr="00FA3F9C">
              <w:rPr>
                <w:rFonts w:ascii="Arial" w:hAnsi="Arial" w:cs="Arial"/>
                <w:sz w:val="24"/>
                <w:szCs w:val="24"/>
              </w:rPr>
              <w:t>Sk</w:t>
            </w:r>
            <w:proofErr w:type="spellEnd"/>
          </w:p>
        </w:tc>
      </w:tr>
      <w:tr w:rsidR="009B5AA5" w:rsidRPr="00FA3F9C" w14:paraId="1E94BDE9" w14:textId="77777777" w:rsidTr="00E863F8">
        <w:trPr>
          <w:trHeight w:val="611"/>
        </w:trPr>
        <w:tc>
          <w:tcPr>
            <w:tcW w:w="1368" w:type="dxa"/>
            <w:tcBorders>
              <w:top w:val="single" w:sz="4" w:space="0" w:color="auto"/>
              <w:left w:val="single" w:sz="4" w:space="0" w:color="auto"/>
              <w:bottom w:val="single" w:sz="4" w:space="0" w:color="auto"/>
              <w:right w:val="single" w:sz="4" w:space="0" w:color="auto"/>
            </w:tcBorders>
          </w:tcPr>
          <w:p w14:paraId="2220481E" w14:textId="77777777" w:rsidR="009B5AA5" w:rsidRPr="00FA3F9C" w:rsidRDefault="009B5AA5" w:rsidP="00E863F8">
            <w:pPr>
              <w:spacing w:after="0" w:line="240" w:lineRule="auto"/>
              <w:rPr>
                <w:rFonts w:ascii="Arial" w:hAnsi="Arial" w:cs="Arial"/>
                <w:sz w:val="24"/>
                <w:szCs w:val="24"/>
              </w:rPr>
            </w:pPr>
            <w:r w:rsidRPr="00FA3F9C">
              <w:rPr>
                <w:rFonts w:ascii="Arial" w:hAnsi="Arial" w:cs="Arial"/>
                <w:sz w:val="24"/>
                <w:szCs w:val="24"/>
              </w:rPr>
              <w:t>2/24/2020</w:t>
            </w:r>
          </w:p>
        </w:tc>
        <w:tc>
          <w:tcPr>
            <w:tcW w:w="8100" w:type="dxa"/>
            <w:tcBorders>
              <w:top w:val="single" w:sz="4" w:space="0" w:color="auto"/>
              <w:left w:val="single" w:sz="4" w:space="0" w:color="auto"/>
              <w:bottom w:val="single" w:sz="4" w:space="0" w:color="auto"/>
              <w:right w:val="single" w:sz="4" w:space="0" w:color="auto"/>
            </w:tcBorders>
          </w:tcPr>
          <w:p w14:paraId="4B7B6B88" w14:textId="77777777" w:rsidR="009B5AA5" w:rsidRPr="00FA3F9C" w:rsidRDefault="009B5AA5" w:rsidP="00E863F8">
            <w:pPr>
              <w:spacing w:after="0" w:line="240" w:lineRule="auto"/>
              <w:rPr>
                <w:rFonts w:ascii="Arial" w:hAnsi="Arial" w:cs="Arial"/>
                <w:sz w:val="24"/>
                <w:szCs w:val="24"/>
              </w:rPr>
            </w:pPr>
            <w:r w:rsidRPr="00FA3F9C">
              <w:rPr>
                <w:rFonts w:ascii="Arial" w:hAnsi="Arial" w:cs="Arial"/>
                <w:sz w:val="24"/>
                <w:szCs w:val="24"/>
              </w:rPr>
              <w:t>Criteria reviewed. No changes to any criteria and no addition of new criteria</w:t>
            </w:r>
          </w:p>
          <w:p w14:paraId="58D928EE" w14:textId="77777777" w:rsidR="009B5AA5" w:rsidRPr="00FA3F9C" w:rsidRDefault="009B5AA5" w:rsidP="00E863F8">
            <w:pPr>
              <w:spacing w:after="0" w:line="240" w:lineRule="auto"/>
              <w:rPr>
                <w:rFonts w:ascii="Arial" w:hAnsi="Arial" w:cs="Arial"/>
                <w:b/>
                <w:sz w:val="24"/>
                <w:szCs w:val="24"/>
              </w:rPr>
            </w:pPr>
            <w:r w:rsidRPr="00FA3F9C">
              <w:rPr>
                <w:rFonts w:ascii="Arial" w:hAnsi="Arial" w:cs="Arial"/>
                <w:b/>
                <w:sz w:val="24"/>
                <w:szCs w:val="24"/>
              </w:rPr>
              <w:t xml:space="preserve">[Note: metastatic melanoma: watch for </w:t>
            </w:r>
            <w:proofErr w:type="spellStart"/>
            <w:r w:rsidRPr="00FA3F9C">
              <w:rPr>
                <w:rFonts w:ascii="Arial" w:hAnsi="Arial" w:cs="Arial"/>
                <w:b/>
                <w:sz w:val="24"/>
                <w:szCs w:val="24"/>
              </w:rPr>
              <w:t>BRAFi</w:t>
            </w:r>
            <w:proofErr w:type="spellEnd"/>
            <w:r w:rsidRPr="00FA3F9C">
              <w:rPr>
                <w:rFonts w:ascii="Arial" w:hAnsi="Arial" w:cs="Arial"/>
                <w:b/>
                <w:sz w:val="24"/>
                <w:szCs w:val="24"/>
              </w:rPr>
              <w:t>/IO sequencing trials (NCT02631447 and NCT02224781).]</w:t>
            </w:r>
          </w:p>
        </w:tc>
        <w:tc>
          <w:tcPr>
            <w:tcW w:w="900" w:type="dxa"/>
            <w:tcBorders>
              <w:top w:val="single" w:sz="4" w:space="0" w:color="auto"/>
              <w:left w:val="single" w:sz="4" w:space="0" w:color="auto"/>
              <w:bottom w:val="single" w:sz="4" w:space="0" w:color="auto"/>
              <w:right w:val="single" w:sz="4" w:space="0" w:color="auto"/>
            </w:tcBorders>
          </w:tcPr>
          <w:p w14:paraId="1E041B37" w14:textId="77777777" w:rsidR="009B5AA5" w:rsidRPr="00FA3F9C" w:rsidRDefault="009B5AA5" w:rsidP="00E863F8">
            <w:pPr>
              <w:spacing w:after="0" w:line="240" w:lineRule="auto"/>
              <w:rPr>
                <w:rFonts w:ascii="Arial" w:hAnsi="Arial" w:cs="Arial"/>
                <w:sz w:val="24"/>
                <w:szCs w:val="24"/>
              </w:rPr>
            </w:pPr>
            <w:proofErr w:type="spellStart"/>
            <w:r w:rsidRPr="00FA3F9C">
              <w:rPr>
                <w:rFonts w:ascii="Arial" w:hAnsi="Arial" w:cs="Arial"/>
                <w:sz w:val="24"/>
                <w:szCs w:val="24"/>
              </w:rPr>
              <w:t>Sk</w:t>
            </w:r>
            <w:proofErr w:type="spellEnd"/>
          </w:p>
        </w:tc>
      </w:tr>
      <w:tr w:rsidR="009B5AA5" w:rsidRPr="00FA3F9C" w14:paraId="50F7E6AC" w14:textId="77777777" w:rsidTr="00E863F8">
        <w:trPr>
          <w:trHeight w:val="242"/>
        </w:trPr>
        <w:tc>
          <w:tcPr>
            <w:tcW w:w="1368" w:type="dxa"/>
            <w:tcBorders>
              <w:top w:val="single" w:sz="4" w:space="0" w:color="auto"/>
              <w:left w:val="single" w:sz="4" w:space="0" w:color="auto"/>
              <w:bottom w:val="single" w:sz="4" w:space="0" w:color="auto"/>
              <w:right w:val="single" w:sz="4" w:space="0" w:color="auto"/>
            </w:tcBorders>
          </w:tcPr>
          <w:p w14:paraId="4B465E93" w14:textId="77777777" w:rsidR="009B5AA5" w:rsidRPr="00FA3F9C" w:rsidRDefault="009B5AA5" w:rsidP="00E863F8">
            <w:pPr>
              <w:spacing w:after="0" w:line="240" w:lineRule="auto"/>
              <w:rPr>
                <w:rFonts w:ascii="Arial" w:hAnsi="Arial" w:cs="Arial"/>
                <w:sz w:val="24"/>
                <w:szCs w:val="24"/>
              </w:rPr>
            </w:pPr>
            <w:r w:rsidRPr="00FA3F9C">
              <w:rPr>
                <w:rFonts w:ascii="Arial" w:hAnsi="Arial" w:cs="Arial"/>
                <w:sz w:val="24"/>
                <w:szCs w:val="24"/>
              </w:rPr>
              <w:t>6/5/2020</w:t>
            </w:r>
          </w:p>
        </w:tc>
        <w:tc>
          <w:tcPr>
            <w:tcW w:w="8100" w:type="dxa"/>
            <w:tcBorders>
              <w:top w:val="single" w:sz="4" w:space="0" w:color="auto"/>
              <w:left w:val="single" w:sz="4" w:space="0" w:color="auto"/>
              <w:bottom w:val="single" w:sz="4" w:space="0" w:color="auto"/>
              <w:right w:val="single" w:sz="4" w:space="0" w:color="auto"/>
            </w:tcBorders>
          </w:tcPr>
          <w:p w14:paraId="65A6F974" w14:textId="77777777" w:rsidR="009B5AA5" w:rsidRPr="00FA3F9C" w:rsidRDefault="009B5AA5" w:rsidP="00E863F8">
            <w:pPr>
              <w:spacing w:after="0" w:line="240" w:lineRule="auto"/>
              <w:rPr>
                <w:rFonts w:ascii="Arial" w:hAnsi="Arial" w:cs="Arial"/>
                <w:sz w:val="24"/>
                <w:szCs w:val="24"/>
              </w:rPr>
            </w:pPr>
            <w:r w:rsidRPr="00FA3F9C">
              <w:rPr>
                <w:rFonts w:ascii="Arial" w:hAnsi="Arial" w:cs="Arial"/>
                <w:sz w:val="24"/>
                <w:szCs w:val="24"/>
              </w:rPr>
              <w:t>Added new FDA indication for use of nivolumab with ipilimumab for treatment of hepatocellular carcinoma (not covered)</w:t>
            </w:r>
          </w:p>
        </w:tc>
        <w:tc>
          <w:tcPr>
            <w:tcW w:w="900" w:type="dxa"/>
            <w:tcBorders>
              <w:top w:val="single" w:sz="4" w:space="0" w:color="auto"/>
              <w:left w:val="single" w:sz="4" w:space="0" w:color="auto"/>
              <w:bottom w:val="single" w:sz="4" w:space="0" w:color="auto"/>
              <w:right w:val="single" w:sz="4" w:space="0" w:color="auto"/>
            </w:tcBorders>
          </w:tcPr>
          <w:p w14:paraId="51BCBEFE" w14:textId="77777777" w:rsidR="009B5AA5" w:rsidRPr="00FA3F9C" w:rsidRDefault="009B5AA5" w:rsidP="00E863F8">
            <w:pPr>
              <w:spacing w:after="0" w:line="240" w:lineRule="auto"/>
              <w:rPr>
                <w:rFonts w:ascii="Arial" w:hAnsi="Arial" w:cs="Arial"/>
                <w:sz w:val="24"/>
                <w:szCs w:val="24"/>
              </w:rPr>
            </w:pPr>
            <w:r w:rsidRPr="00FA3F9C">
              <w:rPr>
                <w:rFonts w:ascii="Arial" w:hAnsi="Arial" w:cs="Arial"/>
                <w:sz w:val="24"/>
                <w:szCs w:val="24"/>
              </w:rPr>
              <w:t>SK</w:t>
            </w:r>
          </w:p>
        </w:tc>
      </w:tr>
      <w:tr w:rsidR="009B5AA5" w:rsidRPr="00FA3F9C" w14:paraId="035100E2" w14:textId="77777777" w:rsidTr="00E863F8">
        <w:trPr>
          <w:trHeight w:val="242"/>
        </w:trPr>
        <w:tc>
          <w:tcPr>
            <w:tcW w:w="1368" w:type="dxa"/>
            <w:tcBorders>
              <w:top w:val="single" w:sz="4" w:space="0" w:color="auto"/>
              <w:left w:val="single" w:sz="4" w:space="0" w:color="auto"/>
              <w:bottom w:val="single" w:sz="4" w:space="0" w:color="auto"/>
              <w:right w:val="single" w:sz="4" w:space="0" w:color="auto"/>
            </w:tcBorders>
          </w:tcPr>
          <w:p w14:paraId="51592A80" w14:textId="77777777" w:rsidR="009B5AA5" w:rsidRPr="00FA3F9C" w:rsidRDefault="009B5AA5" w:rsidP="00E863F8">
            <w:pPr>
              <w:spacing w:after="0" w:line="240" w:lineRule="auto"/>
              <w:rPr>
                <w:rFonts w:ascii="Arial" w:hAnsi="Arial" w:cs="Arial"/>
                <w:sz w:val="24"/>
                <w:szCs w:val="24"/>
              </w:rPr>
            </w:pPr>
            <w:r w:rsidRPr="00FA3F9C">
              <w:rPr>
                <w:rFonts w:ascii="Arial" w:hAnsi="Arial" w:cs="Arial"/>
                <w:sz w:val="24"/>
                <w:szCs w:val="24"/>
              </w:rPr>
              <w:lastRenderedPageBreak/>
              <w:t>7/7/2020</w:t>
            </w:r>
          </w:p>
        </w:tc>
        <w:tc>
          <w:tcPr>
            <w:tcW w:w="8100" w:type="dxa"/>
            <w:tcBorders>
              <w:top w:val="single" w:sz="4" w:space="0" w:color="auto"/>
              <w:left w:val="single" w:sz="4" w:space="0" w:color="auto"/>
              <w:bottom w:val="single" w:sz="4" w:space="0" w:color="auto"/>
              <w:right w:val="single" w:sz="4" w:space="0" w:color="auto"/>
            </w:tcBorders>
          </w:tcPr>
          <w:p w14:paraId="64C05E6B" w14:textId="77777777" w:rsidR="009B5AA5" w:rsidRPr="00FA3F9C" w:rsidRDefault="009B5AA5" w:rsidP="00E863F8">
            <w:pPr>
              <w:spacing w:after="0" w:line="240" w:lineRule="auto"/>
              <w:rPr>
                <w:rFonts w:ascii="Arial" w:hAnsi="Arial" w:cs="Arial"/>
                <w:sz w:val="24"/>
                <w:szCs w:val="24"/>
              </w:rPr>
            </w:pPr>
            <w:r w:rsidRPr="00FA3F9C">
              <w:rPr>
                <w:rFonts w:ascii="Arial" w:hAnsi="Arial" w:cs="Arial"/>
                <w:sz w:val="24"/>
                <w:szCs w:val="24"/>
              </w:rPr>
              <w:t xml:space="preserve">Added new indications: esophageal squamous cell carcinoma (covered) and in combination with ipilimumab for </w:t>
            </w:r>
            <w:proofErr w:type="spellStart"/>
            <w:r w:rsidRPr="00FA3F9C">
              <w:rPr>
                <w:rFonts w:ascii="Arial" w:hAnsi="Arial" w:cs="Arial"/>
                <w:sz w:val="24"/>
                <w:szCs w:val="24"/>
              </w:rPr>
              <w:t>non small</w:t>
            </w:r>
            <w:proofErr w:type="spellEnd"/>
            <w:r w:rsidRPr="00FA3F9C">
              <w:rPr>
                <w:rFonts w:ascii="Arial" w:hAnsi="Arial" w:cs="Arial"/>
                <w:sz w:val="24"/>
                <w:szCs w:val="24"/>
              </w:rPr>
              <w:t xml:space="preserve"> cell lung cancer (covered)</w:t>
            </w:r>
          </w:p>
        </w:tc>
        <w:tc>
          <w:tcPr>
            <w:tcW w:w="900" w:type="dxa"/>
            <w:tcBorders>
              <w:top w:val="single" w:sz="4" w:space="0" w:color="auto"/>
              <w:left w:val="single" w:sz="4" w:space="0" w:color="auto"/>
              <w:bottom w:val="single" w:sz="4" w:space="0" w:color="auto"/>
              <w:right w:val="single" w:sz="4" w:space="0" w:color="auto"/>
            </w:tcBorders>
          </w:tcPr>
          <w:p w14:paraId="42F31A9E" w14:textId="77777777" w:rsidR="009B5AA5" w:rsidRPr="00FA3F9C" w:rsidRDefault="009B5AA5" w:rsidP="00E863F8">
            <w:pPr>
              <w:spacing w:after="0" w:line="240" w:lineRule="auto"/>
              <w:rPr>
                <w:rFonts w:ascii="Arial" w:hAnsi="Arial" w:cs="Arial"/>
                <w:sz w:val="24"/>
                <w:szCs w:val="24"/>
              </w:rPr>
            </w:pPr>
            <w:r w:rsidRPr="00FA3F9C">
              <w:rPr>
                <w:rFonts w:ascii="Arial" w:hAnsi="Arial" w:cs="Arial"/>
                <w:sz w:val="24"/>
                <w:szCs w:val="24"/>
              </w:rPr>
              <w:t>SK</w:t>
            </w:r>
          </w:p>
        </w:tc>
      </w:tr>
      <w:tr w:rsidR="009B5AA5" w:rsidRPr="00FA3F9C" w14:paraId="0F5F9C70" w14:textId="77777777" w:rsidTr="00E863F8">
        <w:trPr>
          <w:trHeight w:val="242"/>
        </w:trPr>
        <w:tc>
          <w:tcPr>
            <w:tcW w:w="1368" w:type="dxa"/>
            <w:tcBorders>
              <w:top w:val="single" w:sz="4" w:space="0" w:color="auto"/>
              <w:left w:val="single" w:sz="4" w:space="0" w:color="auto"/>
              <w:bottom w:val="single" w:sz="4" w:space="0" w:color="auto"/>
              <w:right w:val="single" w:sz="4" w:space="0" w:color="auto"/>
            </w:tcBorders>
          </w:tcPr>
          <w:p w14:paraId="559B9DA4" w14:textId="77777777" w:rsidR="009B5AA5" w:rsidRPr="00FA3F9C" w:rsidRDefault="009B5AA5" w:rsidP="00E863F8">
            <w:pPr>
              <w:spacing w:after="0" w:line="240" w:lineRule="auto"/>
              <w:rPr>
                <w:rFonts w:ascii="Arial" w:hAnsi="Arial" w:cs="Arial"/>
                <w:sz w:val="24"/>
                <w:szCs w:val="24"/>
              </w:rPr>
            </w:pPr>
            <w:r w:rsidRPr="00FA3F9C">
              <w:rPr>
                <w:rFonts w:ascii="Arial" w:hAnsi="Arial" w:cs="Arial"/>
                <w:sz w:val="24"/>
                <w:szCs w:val="24"/>
              </w:rPr>
              <w:t>11/19/2020</w:t>
            </w:r>
          </w:p>
        </w:tc>
        <w:tc>
          <w:tcPr>
            <w:tcW w:w="8100" w:type="dxa"/>
            <w:tcBorders>
              <w:top w:val="single" w:sz="4" w:space="0" w:color="auto"/>
              <w:left w:val="single" w:sz="4" w:space="0" w:color="auto"/>
              <w:bottom w:val="single" w:sz="4" w:space="0" w:color="auto"/>
              <w:right w:val="single" w:sz="4" w:space="0" w:color="auto"/>
            </w:tcBorders>
          </w:tcPr>
          <w:p w14:paraId="4DFB779E" w14:textId="77777777" w:rsidR="009B5AA5" w:rsidRPr="00FA3F9C" w:rsidRDefault="009B5AA5" w:rsidP="00E863F8">
            <w:pPr>
              <w:spacing w:after="0" w:line="240" w:lineRule="auto"/>
              <w:rPr>
                <w:rFonts w:ascii="Arial" w:hAnsi="Arial" w:cs="Arial"/>
                <w:sz w:val="24"/>
                <w:szCs w:val="24"/>
              </w:rPr>
            </w:pPr>
            <w:r w:rsidRPr="00FA3F9C">
              <w:rPr>
                <w:rFonts w:ascii="Arial" w:hAnsi="Arial" w:cs="Arial"/>
                <w:sz w:val="24"/>
                <w:szCs w:val="24"/>
              </w:rPr>
              <w:t>Added new indication for mesothelioma (covered); other criteria reviewed (no change)</w:t>
            </w:r>
          </w:p>
        </w:tc>
        <w:tc>
          <w:tcPr>
            <w:tcW w:w="900" w:type="dxa"/>
            <w:tcBorders>
              <w:top w:val="single" w:sz="4" w:space="0" w:color="auto"/>
              <w:left w:val="single" w:sz="4" w:space="0" w:color="auto"/>
              <w:bottom w:val="single" w:sz="4" w:space="0" w:color="auto"/>
              <w:right w:val="single" w:sz="4" w:space="0" w:color="auto"/>
            </w:tcBorders>
          </w:tcPr>
          <w:p w14:paraId="4328CD7A" w14:textId="77777777" w:rsidR="009B5AA5" w:rsidRPr="00FA3F9C" w:rsidRDefault="009B5AA5" w:rsidP="00E863F8">
            <w:pPr>
              <w:spacing w:after="0" w:line="240" w:lineRule="auto"/>
              <w:rPr>
                <w:rFonts w:ascii="Arial" w:hAnsi="Arial" w:cs="Arial"/>
                <w:sz w:val="24"/>
                <w:szCs w:val="24"/>
              </w:rPr>
            </w:pPr>
            <w:r w:rsidRPr="00FA3F9C">
              <w:rPr>
                <w:rFonts w:ascii="Arial" w:hAnsi="Arial" w:cs="Arial"/>
                <w:sz w:val="24"/>
                <w:szCs w:val="24"/>
              </w:rPr>
              <w:t>SK</w:t>
            </w:r>
          </w:p>
        </w:tc>
      </w:tr>
      <w:tr w:rsidR="009B5AA5" w:rsidRPr="00FA3F9C" w14:paraId="671DC771" w14:textId="77777777" w:rsidTr="00E863F8">
        <w:trPr>
          <w:trHeight w:val="242"/>
        </w:trPr>
        <w:tc>
          <w:tcPr>
            <w:tcW w:w="1368" w:type="dxa"/>
            <w:tcBorders>
              <w:top w:val="single" w:sz="4" w:space="0" w:color="auto"/>
              <w:left w:val="single" w:sz="4" w:space="0" w:color="auto"/>
              <w:bottom w:val="single" w:sz="4" w:space="0" w:color="auto"/>
              <w:right w:val="single" w:sz="4" w:space="0" w:color="auto"/>
            </w:tcBorders>
          </w:tcPr>
          <w:p w14:paraId="6201235E" w14:textId="77777777" w:rsidR="009B5AA5" w:rsidRPr="00FA3F9C" w:rsidRDefault="009B5AA5" w:rsidP="00E863F8">
            <w:pPr>
              <w:spacing w:after="0" w:line="240" w:lineRule="auto"/>
              <w:rPr>
                <w:rFonts w:ascii="Arial" w:hAnsi="Arial" w:cs="Arial"/>
                <w:sz w:val="24"/>
                <w:szCs w:val="24"/>
              </w:rPr>
            </w:pPr>
            <w:r w:rsidRPr="00FA3F9C">
              <w:rPr>
                <w:rFonts w:ascii="Arial" w:hAnsi="Arial" w:cs="Arial"/>
                <w:sz w:val="24"/>
                <w:szCs w:val="24"/>
              </w:rPr>
              <w:t>2/10/2021</w:t>
            </w:r>
          </w:p>
        </w:tc>
        <w:tc>
          <w:tcPr>
            <w:tcW w:w="8100" w:type="dxa"/>
            <w:tcBorders>
              <w:top w:val="single" w:sz="4" w:space="0" w:color="auto"/>
              <w:left w:val="single" w:sz="4" w:space="0" w:color="auto"/>
              <w:bottom w:val="single" w:sz="4" w:space="0" w:color="auto"/>
              <w:right w:val="single" w:sz="4" w:space="0" w:color="auto"/>
            </w:tcBorders>
          </w:tcPr>
          <w:p w14:paraId="60B6AD34" w14:textId="77777777" w:rsidR="009B5AA5" w:rsidRPr="00FA3F9C" w:rsidRDefault="009B5AA5" w:rsidP="00EC561D">
            <w:pPr>
              <w:spacing w:after="0" w:line="240" w:lineRule="auto"/>
              <w:rPr>
                <w:rFonts w:ascii="Arial" w:hAnsi="Arial" w:cs="Arial"/>
                <w:sz w:val="24"/>
                <w:szCs w:val="24"/>
              </w:rPr>
            </w:pPr>
            <w:r w:rsidRPr="00FA3F9C">
              <w:rPr>
                <w:rFonts w:ascii="Arial" w:hAnsi="Arial" w:cs="Arial"/>
                <w:sz w:val="24"/>
                <w:szCs w:val="24"/>
              </w:rPr>
              <w:t>Under NSCLC criteria 2 and 3, changed from “If no prior therapy for advanced/metastatic disease” to “If no prior therapy for metastatic disease.”</w:t>
            </w:r>
            <w:r w:rsidRPr="00FA3F9C">
              <w:rPr>
                <w:rFonts w:ascii="Arial" w:hAnsi="Arial" w:cs="Arial"/>
                <w:b/>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tcPr>
          <w:p w14:paraId="5B1F9ED9" w14:textId="77777777" w:rsidR="009B5AA5" w:rsidRPr="00FA3F9C" w:rsidRDefault="009B5AA5" w:rsidP="00E863F8">
            <w:pPr>
              <w:spacing w:after="0" w:line="240" w:lineRule="auto"/>
              <w:rPr>
                <w:rFonts w:ascii="Arial" w:hAnsi="Arial" w:cs="Arial"/>
                <w:sz w:val="24"/>
                <w:szCs w:val="24"/>
              </w:rPr>
            </w:pPr>
            <w:r w:rsidRPr="00FA3F9C">
              <w:rPr>
                <w:rFonts w:ascii="Arial" w:hAnsi="Arial" w:cs="Arial"/>
                <w:sz w:val="24"/>
                <w:szCs w:val="24"/>
              </w:rPr>
              <w:t>SK</w:t>
            </w:r>
          </w:p>
        </w:tc>
      </w:tr>
      <w:tr w:rsidR="009B5AA5" w:rsidRPr="00FA3F9C" w14:paraId="4A87F383" w14:textId="77777777" w:rsidTr="00E863F8">
        <w:trPr>
          <w:trHeight w:val="242"/>
        </w:trPr>
        <w:tc>
          <w:tcPr>
            <w:tcW w:w="1368" w:type="dxa"/>
            <w:tcBorders>
              <w:top w:val="single" w:sz="4" w:space="0" w:color="auto"/>
              <w:left w:val="single" w:sz="4" w:space="0" w:color="auto"/>
              <w:bottom w:val="single" w:sz="4" w:space="0" w:color="auto"/>
              <w:right w:val="single" w:sz="4" w:space="0" w:color="auto"/>
            </w:tcBorders>
          </w:tcPr>
          <w:p w14:paraId="7C79275E" w14:textId="77777777" w:rsidR="009B5AA5" w:rsidRPr="00FA3F9C" w:rsidRDefault="009B5AA5" w:rsidP="00E863F8">
            <w:pPr>
              <w:spacing w:after="0" w:line="240" w:lineRule="auto"/>
              <w:rPr>
                <w:rFonts w:ascii="Arial" w:hAnsi="Arial" w:cs="Arial"/>
                <w:sz w:val="24"/>
                <w:szCs w:val="24"/>
              </w:rPr>
            </w:pPr>
            <w:r w:rsidRPr="00FA3F9C">
              <w:rPr>
                <w:rFonts w:ascii="Arial" w:hAnsi="Arial" w:cs="Arial"/>
                <w:sz w:val="24"/>
                <w:szCs w:val="24"/>
              </w:rPr>
              <w:t>4/29/2021</w:t>
            </w:r>
          </w:p>
        </w:tc>
        <w:tc>
          <w:tcPr>
            <w:tcW w:w="8100" w:type="dxa"/>
            <w:tcBorders>
              <w:top w:val="single" w:sz="4" w:space="0" w:color="auto"/>
              <w:left w:val="single" w:sz="4" w:space="0" w:color="auto"/>
              <w:bottom w:val="single" w:sz="4" w:space="0" w:color="auto"/>
              <w:right w:val="single" w:sz="4" w:space="0" w:color="auto"/>
            </w:tcBorders>
          </w:tcPr>
          <w:p w14:paraId="4EE841E0" w14:textId="77777777" w:rsidR="009B5AA5" w:rsidRPr="00FA3F9C" w:rsidRDefault="009B5AA5" w:rsidP="00EC561D">
            <w:pPr>
              <w:spacing w:after="0" w:line="240" w:lineRule="auto"/>
              <w:rPr>
                <w:rFonts w:ascii="Arial" w:hAnsi="Arial" w:cs="Arial"/>
                <w:sz w:val="24"/>
                <w:szCs w:val="24"/>
              </w:rPr>
            </w:pPr>
            <w:r w:rsidRPr="00FA3F9C">
              <w:rPr>
                <w:rFonts w:ascii="Arial" w:hAnsi="Arial" w:cs="Arial"/>
                <w:sz w:val="24"/>
                <w:szCs w:val="24"/>
              </w:rPr>
              <w:t xml:space="preserve">Added criteria for </w:t>
            </w:r>
            <w:proofErr w:type="spellStart"/>
            <w:r w:rsidRPr="00FA3F9C">
              <w:rPr>
                <w:rFonts w:ascii="Arial" w:hAnsi="Arial" w:cs="Arial"/>
                <w:sz w:val="24"/>
                <w:szCs w:val="24"/>
              </w:rPr>
              <w:t>nivo</w:t>
            </w:r>
            <w:proofErr w:type="spellEnd"/>
            <w:r w:rsidRPr="00FA3F9C">
              <w:rPr>
                <w:rFonts w:ascii="Arial" w:hAnsi="Arial" w:cs="Arial"/>
                <w:sz w:val="24"/>
                <w:szCs w:val="24"/>
              </w:rPr>
              <w:t>/</w:t>
            </w:r>
            <w:proofErr w:type="spellStart"/>
            <w:r w:rsidRPr="00FA3F9C">
              <w:rPr>
                <w:rFonts w:ascii="Arial" w:hAnsi="Arial" w:cs="Arial"/>
                <w:sz w:val="24"/>
                <w:szCs w:val="24"/>
              </w:rPr>
              <w:t>cabo</w:t>
            </w:r>
            <w:proofErr w:type="spellEnd"/>
            <w:r w:rsidRPr="00FA3F9C">
              <w:rPr>
                <w:rFonts w:ascii="Arial" w:hAnsi="Arial" w:cs="Arial"/>
                <w:sz w:val="24"/>
                <w:szCs w:val="24"/>
              </w:rPr>
              <w:t xml:space="preserve"> indication for renal cell carcinoma</w:t>
            </w:r>
          </w:p>
        </w:tc>
        <w:tc>
          <w:tcPr>
            <w:tcW w:w="900" w:type="dxa"/>
            <w:tcBorders>
              <w:top w:val="single" w:sz="4" w:space="0" w:color="auto"/>
              <w:left w:val="single" w:sz="4" w:space="0" w:color="auto"/>
              <w:bottom w:val="single" w:sz="4" w:space="0" w:color="auto"/>
              <w:right w:val="single" w:sz="4" w:space="0" w:color="auto"/>
            </w:tcBorders>
          </w:tcPr>
          <w:p w14:paraId="3F340A9D" w14:textId="77777777" w:rsidR="009B5AA5" w:rsidRPr="00FA3F9C" w:rsidRDefault="009B5AA5" w:rsidP="00E863F8">
            <w:pPr>
              <w:spacing w:after="0" w:line="240" w:lineRule="auto"/>
              <w:rPr>
                <w:rFonts w:ascii="Arial" w:hAnsi="Arial" w:cs="Arial"/>
                <w:sz w:val="24"/>
                <w:szCs w:val="24"/>
              </w:rPr>
            </w:pPr>
            <w:r w:rsidRPr="00FA3F9C">
              <w:rPr>
                <w:rFonts w:ascii="Arial" w:hAnsi="Arial" w:cs="Arial"/>
                <w:sz w:val="24"/>
                <w:szCs w:val="24"/>
              </w:rPr>
              <w:t>SK</w:t>
            </w:r>
          </w:p>
        </w:tc>
      </w:tr>
      <w:tr w:rsidR="009B5AA5" w:rsidRPr="00FA3F9C" w14:paraId="19C26A6F" w14:textId="77777777" w:rsidTr="00E863F8">
        <w:trPr>
          <w:trHeight w:val="242"/>
        </w:trPr>
        <w:tc>
          <w:tcPr>
            <w:tcW w:w="1368" w:type="dxa"/>
            <w:tcBorders>
              <w:top w:val="single" w:sz="4" w:space="0" w:color="auto"/>
              <w:left w:val="single" w:sz="4" w:space="0" w:color="auto"/>
              <w:bottom w:val="single" w:sz="4" w:space="0" w:color="auto"/>
              <w:right w:val="single" w:sz="4" w:space="0" w:color="auto"/>
            </w:tcBorders>
          </w:tcPr>
          <w:p w14:paraId="5C95D78F" w14:textId="77777777" w:rsidR="009B5AA5" w:rsidRPr="00FA3F9C" w:rsidRDefault="009B5AA5" w:rsidP="00E863F8">
            <w:pPr>
              <w:spacing w:after="0" w:line="240" w:lineRule="auto"/>
              <w:rPr>
                <w:rFonts w:ascii="Arial" w:hAnsi="Arial" w:cs="Arial"/>
                <w:sz w:val="24"/>
                <w:szCs w:val="24"/>
              </w:rPr>
            </w:pPr>
            <w:r w:rsidRPr="00FA3F9C">
              <w:rPr>
                <w:rFonts w:ascii="Arial" w:hAnsi="Arial" w:cs="Arial"/>
                <w:sz w:val="24"/>
                <w:szCs w:val="24"/>
              </w:rPr>
              <w:t>6/17/2021</w:t>
            </w:r>
          </w:p>
        </w:tc>
        <w:tc>
          <w:tcPr>
            <w:tcW w:w="8100" w:type="dxa"/>
            <w:tcBorders>
              <w:top w:val="single" w:sz="4" w:space="0" w:color="auto"/>
              <w:left w:val="single" w:sz="4" w:space="0" w:color="auto"/>
              <w:bottom w:val="single" w:sz="4" w:space="0" w:color="auto"/>
              <w:right w:val="single" w:sz="4" w:space="0" w:color="auto"/>
            </w:tcBorders>
          </w:tcPr>
          <w:p w14:paraId="7B7B6329" w14:textId="77777777" w:rsidR="009B5AA5" w:rsidRPr="00FA3F9C" w:rsidRDefault="009B5AA5" w:rsidP="00EC561D">
            <w:pPr>
              <w:spacing w:after="0" w:line="240" w:lineRule="auto"/>
              <w:rPr>
                <w:rFonts w:ascii="Arial" w:hAnsi="Arial" w:cs="Arial"/>
                <w:sz w:val="24"/>
                <w:szCs w:val="24"/>
              </w:rPr>
            </w:pPr>
            <w:r w:rsidRPr="00FA3F9C">
              <w:rPr>
                <w:rFonts w:ascii="Arial" w:hAnsi="Arial" w:cs="Arial"/>
                <w:sz w:val="24"/>
                <w:szCs w:val="24"/>
              </w:rPr>
              <w:t xml:space="preserve">Added criteria for </w:t>
            </w:r>
            <w:proofErr w:type="spellStart"/>
            <w:r w:rsidRPr="00FA3F9C">
              <w:rPr>
                <w:rFonts w:ascii="Arial" w:hAnsi="Arial" w:cs="Arial"/>
                <w:sz w:val="24"/>
                <w:szCs w:val="24"/>
              </w:rPr>
              <w:t>nivo+chemo</w:t>
            </w:r>
            <w:proofErr w:type="spellEnd"/>
            <w:r w:rsidRPr="00FA3F9C">
              <w:rPr>
                <w:rFonts w:ascii="Arial" w:hAnsi="Arial" w:cs="Arial"/>
                <w:sz w:val="24"/>
                <w:szCs w:val="24"/>
              </w:rPr>
              <w:t xml:space="preserve"> for gastric cancer (first line)</w:t>
            </w:r>
          </w:p>
          <w:p w14:paraId="47981068" w14:textId="77777777" w:rsidR="009B5AA5" w:rsidRPr="00FA3F9C" w:rsidRDefault="009B5AA5" w:rsidP="00EC561D">
            <w:pPr>
              <w:spacing w:after="0" w:line="240" w:lineRule="auto"/>
              <w:rPr>
                <w:rFonts w:ascii="Arial" w:hAnsi="Arial" w:cs="Arial"/>
                <w:sz w:val="24"/>
                <w:szCs w:val="24"/>
              </w:rPr>
            </w:pPr>
            <w:r w:rsidRPr="00FA3F9C">
              <w:rPr>
                <w:rFonts w:ascii="Arial" w:hAnsi="Arial" w:cs="Arial"/>
                <w:sz w:val="24"/>
                <w:szCs w:val="24"/>
              </w:rPr>
              <w:t>Added criteria for adjuvant nivolumab for esophageal/GEJ cancer</w:t>
            </w:r>
          </w:p>
        </w:tc>
        <w:tc>
          <w:tcPr>
            <w:tcW w:w="900" w:type="dxa"/>
            <w:tcBorders>
              <w:top w:val="single" w:sz="4" w:space="0" w:color="auto"/>
              <w:left w:val="single" w:sz="4" w:space="0" w:color="auto"/>
              <w:bottom w:val="single" w:sz="4" w:space="0" w:color="auto"/>
              <w:right w:val="single" w:sz="4" w:space="0" w:color="auto"/>
            </w:tcBorders>
          </w:tcPr>
          <w:p w14:paraId="2FBA5101" w14:textId="77777777" w:rsidR="009B5AA5" w:rsidRPr="00FA3F9C" w:rsidRDefault="009B5AA5" w:rsidP="00E863F8">
            <w:pPr>
              <w:spacing w:after="0" w:line="240" w:lineRule="auto"/>
              <w:rPr>
                <w:rFonts w:ascii="Arial" w:hAnsi="Arial" w:cs="Arial"/>
                <w:sz w:val="24"/>
                <w:szCs w:val="24"/>
              </w:rPr>
            </w:pPr>
            <w:r w:rsidRPr="00FA3F9C">
              <w:rPr>
                <w:rFonts w:ascii="Arial" w:hAnsi="Arial" w:cs="Arial"/>
                <w:sz w:val="24"/>
                <w:szCs w:val="24"/>
              </w:rPr>
              <w:t>SK</w:t>
            </w:r>
          </w:p>
        </w:tc>
      </w:tr>
      <w:tr w:rsidR="009B5AA5" w:rsidRPr="00FA3F9C" w14:paraId="6B1C1B9B" w14:textId="77777777" w:rsidTr="00E863F8">
        <w:trPr>
          <w:trHeight w:val="242"/>
        </w:trPr>
        <w:tc>
          <w:tcPr>
            <w:tcW w:w="1368" w:type="dxa"/>
            <w:tcBorders>
              <w:top w:val="single" w:sz="4" w:space="0" w:color="auto"/>
              <w:left w:val="single" w:sz="4" w:space="0" w:color="auto"/>
              <w:bottom w:val="single" w:sz="4" w:space="0" w:color="auto"/>
              <w:right w:val="single" w:sz="4" w:space="0" w:color="auto"/>
            </w:tcBorders>
          </w:tcPr>
          <w:p w14:paraId="5279DA59" w14:textId="77777777" w:rsidR="009B5AA5" w:rsidRPr="00FA3F9C" w:rsidRDefault="009B5AA5" w:rsidP="00740D92">
            <w:pPr>
              <w:spacing w:after="0" w:line="240" w:lineRule="auto"/>
              <w:rPr>
                <w:rFonts w:ascii="Arial" w:hAnsi="Arial" w:cs="Arial"/>
                <w:sz w:val="24"/>
                <w:szCs w:val="24"/>
              </w:rPr>
            </w:pPr>
            <w:r w:rsidRPr="00FA3F9C">
              <w:rPr>
                <w:rFonts w:ascii="Arial" w:hAnsi="Arial" w:cs="Arial"/>
                <w:sz w:val="24"/>
                <w:szCs w:val="24"/>
              </w:rPr>
              <w:t>7/26/2021</w:t>
            </w:r>
          </w:p>
        </w:tc>
        <w:tc>
          <w:tcPr>
            <w:tcW w:w="8100" w:type="dxa"/>
            <w:tcBorders>
              <w:top w:val="single" w:sz="4" w:space="0" w:color="auto"/>
              <w:left w:val="single" w:sz="4" w:space="0" w:color="auto"/>
              <w:bottom w:val="single" w:sz="4" w:space="0" w:color="auto"/>
              <w:right w:val="single" w:sz="4" w:space="0" w:color="auto"/>
            </w:tcBorders>
          </w:tcPr>
          <w:p w14:paraId="27BA60C0" w14:textId="77777777" w:rsidR="009B5AA5" w:rsidRPr="00FA3F9C" w:rsidRDefault="009B5AA5" w:rsidP="00740D92">
            <w:pPr>
              <w:spacing w:after="0" w:line="240" w:lineRule="auto"/>
              <w:rPr>
                <w:rFonts w:ascii="Arial" w:hAnsi="Arial" w:cs="Arial"/>
                <w:sz w:val="24"/>
                <w:szCs w:val="24"/>
              </w:rPr>
            </w:pPr>
            <w:r w:rsidRPr="00FA3F9C">
              <w:rPr>
                <w:rFonts w:ascii="Arial" w:hAnsi="Arial" w:cs="Arial"/>
                <w:sz w:val="24"/>
                <w:szCs w:val="24"/>
              </w:rPr>
              <w:t xml:space="preserve">Removed hepatocellular carcinoma indication. </w:t>
            </w:r>
            <w:proofErr w:type="spellStart"/>
            <w:r w:rsidRPr="00FA3F9C">
              <w:rPr>
                <w:rFonts w:ascii="Arial" w:hAnsi="Arial" w:cs="Arial"/>
                <w:sz w:val="24"/>
                <w:szCs w:val="24"/>
              </w:rPr>
              <w:t>Mfr</w:t>
            </w:r>
            <w:proofErr w:type="spellEnd"/>
            <w:r w:rsidRPr="00FA3F9C">
              <w:rPr>
                <w:rFonts w:ascii="Arial" w:hAnsi="Arial" w:cs="Arial"/>
                <w:sz w:val="24"/>
                <w:szCs w:val="24"/>
              </w:rPr>
              <w:t xml:space="preserve"> voluntarily withdrew indication after ODAC voted against continued accelerated approval. For historical purposes, indication/references included below:</w:t>
            </w:r>
          </w:p>
          <w:p w14:paraId="341E661D" w14:textId="77777777" w:rsidR="009B5AA5" w:rsidRPr="00FA3F9C" w:rsidRDefault="009B5AA5" w:rsidP="009B5AA5">
            <w:pPr>
              <w:numPr>
                <w:ilvl w:val="0"/>
                <w:numId w:val="278"/>
              </w:numPr>
              <w:spacing w:after="0" w:line="240" w:lineRule="auto"/>
              <w:rPr>
                <w:rFonts w:ascii="Arial" w:hAnsi="Arial" w:cs="Arial"/>
                <w:b/>
                <w:sz w:val="24"/>
                <w:szCs w:val="24"/>
                <w:u w:val="single"/>
              </w:rPr>
            </w:pPr>
            <w:r w:rsidRPr="00FA3F9C">
              <w:rPr>
                <w:rFonts w:ascii="Arial" w:hAnsi="Arial" w:cs="Arial"/>
                <w:b/>
                <w:sz w:val="24"/>
                <w:szCs w:val="24"/>
                <w:u w:val="single"/>
              </w:rPr>
              <w:t>Hepatocellular Carcinoma (HCC)</w:t>
            </w:r>
          </w:p>
          <w:p w14:paraId="0D404180" w14:textId="77777777" w:rsidR="009B5AA5" w:rsidRPr="00FA3F9C" w:rsidRDefault="009B5AA5" w:rsidP="009B5AA5">
            <w:pPr>
              <w:numPr>
                <w:ilvl w:val="1"/>
                <w:numId w:val="278"/>
              </w:numPr>
              <w:spacing w:after="0" w:line="240" w:lineRule="auto"/>
              <w:ind w:left="678" w:hanging="228"/>
              <w:rPr>
                <w:rFonts w:ascii="Arial" w:hAnsi="Arial" w:cs="Arial"/>
                <w:b/>
                <w:sz w:val="24"/>
                <w:szCs w:val="24"/>
                <w:u w:val="single"/>
              </w:rPr>
            </w:pPr>
            <w:r w:rsidRPr="00FA3F9C">
              <w:rPr>
                <w:rFonts w:ascii="Arial" w:hAnsi="Arial" w:cs="Arial"/>
                <w:sz w:val="24"/>
                <w:szCs w:val="24"/>
              </w:rPr>
              <w:t xml:space="preserve">Treatment of patients with hepatocellular carcinoma who have been previously treated with sorafenib, as a single agent or in combination with </w:t>
            </w:r>
            <w:proofErr w:type="spellStart"/>
            <w:r w:rsidRPr="00FA3F9C">
              <w:rPr>
                <w:rFonts w:ascii="Arial" w:hAnsi="Arial" w:cs="Arial"/>
                <w:sz w:val="24"/>
                <w:szCs w:val="24"/>
              </w:rPr>
              <w:t>ipilimumab</w:t>
            </w:r>
            <w:r w:rsidRPr="00FA3F9C">
              <w:rPr>
                <w:rFonts w:ascii="Arial" w:hAnsi="Arial" w:cs="Arial"/>
                <w:sz w:val="24"/>
                <w:szCs w:val="24"/>
                <w:vertAlign w:val="superscript"/>
              </w:rPr>
              <w:t>a</w:t>
            </w:r>
            <w:proofErr w:type="spellEnd"/>
            <w:r w:rsidRPr="00FA3F9C">
              <w:rPr>
                <w:rFonts w:ascii="Arial" w:hAnsi="Arial" w:cs="Arial"/>
                <w:sz w:val="24"/>
                <w:szCs w:val="24"/>
                <w:vertAlign w:val="superscript"/>
              </w:rPr>
              <w:t xml:space="preserve"> </w:t>
            </w:r>
            <w:r w:rsidRPr="00FA3F9C">
              <w:rPr>
                <w:rFonts w:ascii="Arial" w:hAnsi="Arial" w:cs="Arial"/>
                <w:sz w:val="24"/>
                <w:szCs w:val="24"/>
                <w:highlight w:val="yellow"/>
              </w:rPr>
              <w:t>NOT COVERED</w:t>
            </w:r>
            <w:r w:rsidRPr="00FA3F9C">
              <w:rPr>
                <w:rFonts w:ascii="Arial" w:hAnsi="Arial" w:cs="Arial"/>
                <w:sz w:val="24"/>
                <w:szCs w:val="24"/>
              </w:rPr>
              <w:t>: lack of comparative data; EBRx does not cover any immunotherapy for HCC</w:t>
            </w:r>
          </w:p>
          <w:p w14:paraId="751D929B" w14:textId="77777777" w:rsidR="009B5AA5" w:rsidRPr="00FA3F9C" w:rsidRDefault="009B5AA5" w:rsidP="009B5AA5">
            <w:pPr>
              <w:numPr>
                <w:ilvl w:val="1"/>
                <w:numId w:val="278"/>
              </w:numPr>
              <w:spacing w:after="0" w:line="240" w:lineRule="auto"/>
              <w:ind w:left="678" w:hanging="228"/>
              <w:rPr>
                <w:rFonts w:ascii="Arial" w:hAnsi="Arial" w:cs="Arial"/>
                <w:b/>
                <w:sz w:val="24"/>
                <w:szCs w:val="24"/>
                <w:u w:val="single"/>
              </w:rPr>
            </w:pPr>
            <w:r w:rsidRPr="00FA3F9C">
              <w:rPr>
                <w:rFonts w:ascii="Arial" w:hAnsi="Arial" w:cs="Arial"/>
                <w:sz w:val="24"/>
                <w:szCs w:val="24"/>
              </w:rPr>
              <w:t xml:space="preserve">Note: In untreated patients with advanced HCC, a randomized trial comparing nivolumab to sorafenib did not find an improvement in overall survival. Full study has not been published as of 2/10/2020. Link to press release: </w:t>
            </w:r>
            <w:hyperlink r:id="rId298" w:history="1">
              <w:r w:rsidRPr="00FA3F9C">
                <w:rPr>
                  <w:rStyle w:val="Hyperlink"/>
                  <w:rFonts w:ascii="Arial" w:hAnsi="Arial" w:cs="Arial"/>
                  <w:sz w:val="24"/>
                  <w:szCs w:val="24"/>
                </w:rPr>
                <w:t>https://www.targetedonc.com/news/phase-iii-checkmate-459-trial-in-unresectable-hcc-misses-primary-endpoint</w:t>
              </w:r>
            </w:hyperlink>
            <w:r w:rsidRPr="00FA3F9C">
              <w:rPr>
                <w:rFonts w:ascii="Arial" w:hAnsi="Arial" w:cs="Arial"/>
                <w:sz w:val="24"/>
                <w:szCs w:val="24"/>
              </w:rPr>
              <w:t xml:space="preserve"> (accessed 2/10/2020) [CHECKMATE-459, NCT02576509]</w:t>
            </w:r>
          </w:p>
          <w:p w14:paraId="0A8E2C9D" w14:textId="77777777" w:rsidR="009B5AA5" w:rsidRPr="00FA3F9C" w:rsidRDefault="009B5AA5" w:rsidP="00740D92">
            <w:pPr>
              <w:spacing w:after="0" w:line="240" w:lineRule="auto"/>
              <w:rPr>
                <w:rFonts w:ascii="Arial" w:hAnsi="Arial" w:cs="Arial"/>
                <w:sz w:val="24"/>
                <w:szCs w:val="24"/>
              </w:rPr>
            </w:pPr>
          </w:p>
        </w:tc>
        <w:tc>
          <w:tcPr>
            <w:tcW w:w="900" w:type="dxa"/>
            <w:tcBorders>
              <w:top w:val="single" w:sz="4" w:space="0" w:color="auto"/>
              <w:left w:val="single" w:sz="4" w:space="0" w:color="auto"/>
              <w:bottom w:val="single" w:sz="4" w:space="0" w:color="auto"/>
              <w:right w:val="single" w:sz="4" w:space="0" w:color="auto"/>
            </w:tcBorders>
          </w:tcPr>
          <w:p w14:paraId="0B523085" w14:textId="77777777" w:rsidR="009B5AA5" w:rsidRPr="00FA3F9C" w:rsidRDefault="009B5AA5" w:rsidP="00740D92">
            <w:pPr>
              <w:spacing w:after="0" w:line="240" w:lineRule="auto"/>
              <w:rPr>
                <w:rFonts w:ascii="Arial" w:hAnsi="Arial" w:cs="Arial"/>
                <w:sz w:val="24"/>
                <w:szCs w:val="24"/>
              </w:rPr>
            </w:pPr>
            <w:r w:rsidRPr="00FA3F9C">
              <w:rPr>
                <w:rFonts w:ascii="Arial" w:hAnsi="Arial" w:cs="Arial"/>
                <w:sz w:val="24"/>
                <w:szCs w:val="24"/>
              </w:rPr>
              <w:t>SK</w:t>
            </w:r>
          </w:p>
        </w:tc>
      </w:tr>
      <w:tr w:rsidR="009B5AA5" w:rsidRPr="00FA3F9C" w14:paraId="56DC21A8" w14:textId="77777777" w:rsidTr="00E863F8">
        <w:trPr>
          <w:trHeight w:val="242"/>
        </w:trPr>
        <w:tc>
          <w:tcPr>
            <w:tcW w:w="1368" w:type="dxa"/>
            <w:tcBorders>
              <w:top w:val="single" w:sz="4" w:space="0" w:color="auto"/>
              <w:left w:val="single" w:sz="4" w:space="0" w:color="auto"/>
              <w:bottom w:val="single" w:sz="4" w:space="0" w:color="auto"/>
              <w:right w:val="single" w:sz="4" w:space="0" w:color="auto"/>
            </w:tcBorders>
          </w:tcPr>
          <w:p w14:paraId="305BF97A" w14:textId="77777777" w:rsidR="009B5AA5" w:rsidRPr="00FA3F9C" w:rsidRDefault="009B5AA5" w:rsidP="00740D92">
            <w:pPr>
              <w:spacing w:after="0" w:line="240" w:lineRule="auto"/>
              <w:rPr>
                <w:rFonts w:ascii="Arial" w:hAnsi="Arial" w:cs="Arial"/>
                <w:sz w:val="24"/>
                <w:szCs w:val="24"/>
              </w:rPr>
            </w:pPr>
            <w:r w:rsidRPr="00FA3F9C">
              <w:rPr>
                <w:rFonts w:ascii="Arial" w:hAnsi="Arial" w:cs="Arial"/>
                <w:sz w:val="24"/>
                <w:szCs w:val="24"/>
              </w:rPr>
              <w:t>3/30/2022</w:t>
            </w:r>
          </w:p>
        </w:tc>
        <w:tc>
          <w:tcPr>
            <w:tcW w:w="8100" w:type="dxa"/>
            <w:tcBorders>
              <w:top w:val="single" w:sz="4" w:space="0" w:color="auto"/>
              <w:left w:val="single" w:sz="4" w:space="0" w:color="auto"/>
              <w:bottom w:val="single" w:sz="4" w:space="0" w:color="auto"/>
              <w:right w:val="single" w:sz="4" w:space="0" w:color="auto"/>
            </w:tcBorders>
          </w:tcPr>
          <w:p w14:paraId="537E9403" w14:textId="77777777" w:rsidR="009B5AA5" w:rsidRPr="00FA3F9C" w:rsidRDefault="009B5AA5" w:rsidP="00537D22">
            <w:pPr>
              <w:spacing w:after="0" w:line="240" w:lineRule="auto"/>
              <w:rPr>
                <w:rFonts w:ascii="Arial" w:hAnsi="Arial" w:cs="Arial"/>
                <w:sz w:val="24"/>
                <w:szCs w:val="24"/>
              </w:rPr>
            </w:pPr>
            <w:r w:rsidRPr="00FA3F9C">
              <w:rPr>
                <w:rFonts w:ascii="Arial" w:hAnsi="Arial" w:cs="Arial"/>
                <w:sz w:val="24"/>
                <w:szCs w:val="24"/>
              </w:rPr>
              <w:t xml:space="preserve">In criteria for nivolumab/ipilimumab for first line treatment of renal cell carcinoma edited </w:t>
            </w:r>
            <w:proofErr w:type="spellStart"/>
            <w:r w:rsidRPr="00FA3F9C">
              <w:rPr>
                <w:rFonts w:ascii="Arial" w:hAnsi="Arial" w:cs="Arial"/>
                <w:sz w:val="24"/>
                <w:szCs w:val="24"/>
              </w:rPr>
              <w:t>Karnofsky</w:t>
            </w:r>
            <w:proofErr w:type="spellEnd"/>
            <w:r w:rsidRPr="00FA3F9C">
              <w:rPr>
                <w:rFonts w:ascii="Arial" w:hAnsi="Arial" w:cs="Arial"/>
                <w:sz w:val="24"/>
                <w:szCs w:val="24"/>
              </w:rPr>
              <w:t xml:space="preserve"> performance status required in IMDC risk staging from 80% to 70% as done in study protocol. I changed this in form as well.</w:t>
            </w:r>
          </w:p>
        </w:tc>
        <w:tc>
          <w:tcPr>
            <w:tcW w:w="900" w:type="dxa"/>
            <w:tcBorders>
              <w:top w:val="single" w:sz="4" w:space="0" w:color="auto"/>
              <w:left w:val="single" w:sz="4" w:space="0" w:color="auto"/>
              <w:bottom w:val="single" w:sz="4" w:space="0" w:color="auto"/>
              <w:right w:val="single" w:sz="4" w:space="0" w:color="auto"/>
            </w:tcBorders>
          </w:tcPr>
          <w:p w14:paraId="3A011700" w14:textId="77777777" w:rsidR="009B5AA5" w:rsidRPr="00FA3F9C" w:rsidRDefault="009B5AA5" w:rsidP="00740D92">
            <w:pPr>
              <w:spacing w:after="0" w:line="240" w:lineRule="auto"/>
              <w:rPr>
                <w:rFonts w:ascii="Arial" w:hAnsi="Arial" w:cs="Arial"/>
                <w:sz w:val="24"/>
                <w:szCs w:val="24"/>
              </w:rPr>
            </w:pPr>
            <w:r w:rsidRPr="00FA3F9C">
              <w:rPr>
                <w:rFonts w:ascii="Arial" w:hAnsi="Arial" w:cs="Arial"/>
                <w:sz w:val="24"/>
                <w:szCs w:val="24"/>
              </w:rPr>
              <w:t>SK</w:t>
            </w:r>
          </w:p>
        </w:tc>
      </w:tr>
      <w:tr w:rsidR="009B5AA5" w:rsidRPr="00FA3F9C" w14:paraId="65F69B65" w14:textId="77777777" w:rsidTr="00E863F8">
        <w:trPr>
          <w:trHeight w:val="242"/>
        </w:trPr>
        <w:tc>
          <w:tcPr>
            <w:tcW w:w="1368" w:type="dxa"/>
            <w:tcBorders>
              <w:top w:val="single" w:sz="4" w:space="0" w:color="auto"/>
              <w:left w:val="single" w:sz="4" w:space="0" w:color="auto"/>
              <w:bottom w:val="single" w:sz="4" w:space="0" w:color="auto"/>
              <w:right w:val="single" w:sz="4" w:space="0" w:color="auto"/>
            </w:tcBorders>
          </w:tcPr>
          <w:p w14:paraId="56040EE2" w14:textId="77777777" w:rsidR="009B5AA5" w:rsidRPr="00FA3F9C" w:rsidRDefault="009B5AA5" w:rsidP="00740D92">
            <w:pPr>
              <w:spacing w:after="0" w:line="240" w:lineRule="auto"/>
              <w:rPr>
                <w:rFonts w:ascii="Arial" w:hAnsi="Arial" w:cs="Arial"/>
                <w:sz w:val="24"/>
                <w:szCs w:val="24"/>
              </w:rPr>
            </w:pPr>
            <w:r w:rsidRPr="00FA3F9C">
              <w:rPr>
                <w:rFonts w:ascii="Arial" w:hAnsi="Arial" w:cs="Arial"/>
                <w:sz w:val="24"/>
                <w:szCs w:val="24"/>
              </w:rPr>
              <w:t>4/25/2022</w:t>
            </w:r>
          </w:p>
        </w:tc>
        <w:tc>
          <w:tcPr>
            <w:tcW w:w="8100" w:type="dxa"/>
            <w:tcBorders>
              <w:top w:val="single" w:sz="4" w:space="0" w:color="auto"/>
              <w:left w:val="single" w:sz="4" w:space="0" w:color="auto"/>
              <w:bottom w:val="single" w:sz="4" w:space="0" w:color="auto"/>
              <w:right w:val="single" w:sz="4" w:space="0" w:color="auto"/>
            </w:tcBorders>
          </w:tcPr>
          <w:p w14:paraId="74BBE0AB" w14:textId="77777777" w:rsidR="009B5AA5" w:rsidRPr="00FA3F9C" w:rsidRDefault="009B5AA5" w:rsidP="00C7144B">
            <w:pPr>
              <w:spacing w:after="0" w:line="240" w:lineRule="auto"/>
              <w:rPr>
                <w:rFonts w:ascii="Arial" w:hAnsi="Arial" w:cs="Arial"/>
                <w:sz w:val="24"/>
                <w:szCs w:val="24"/>
              </w:rPr>
            </w:pPr>
            <w:r w:rsidRPr="00FA3F9C">
              <w:rPr>
                <w:rFonts w:ascii="Arial" w:hAnsi="Arial" w:cs="Arial"/>
                <w:sz w:val="24"/>
                <w:szCs w:val="24"/>
              </w:rPr>
              <w:t>Full review of criteria completed. See changes below.</w:t>
            </w:r>
          </w:p>
          <w:p w14:paraId="66A707E4" w14:textId="77777777" w:rsidR="009B5AA5" w:rsidRPr="00FA3F9C" w:rsidRDefault="009B5AA5" w:rsidP="009B5AA5">
            <w:pPr>
              <w:pStyle w:val="ListParagraph"/>
              <w:numPr>
                <w:ilvl w:val="0"/>
                <w:numId w:val="278"/>
              </w:numPr>
              <w:spacing w:after="0" w:line="240" w:lineRule="auto"/>
              <w:rPr>
                <w:rFonts w:ascii="Arial" w:hAnsi="Arial" w:cs="Arial"/>
                <w:sz w:val="24"/>
                <w:szCs w:val="24"/>
              </w:rPr>
            </w:pPr>
            <w:r w:rsidRPr="00FA3F9C">
              <w:rPr>
                <w:rFonts w:ascii="Arial" w:hAnsi="Arial" w:cs="Arial"/>
                <w:sz w:val="24"/>
                <w:szCs w:val="24"/>
              </w:rPr>
              <w:t xml:space="preserve">Added criteria for neoadjuvant treatment of </w:t>
            </w:r>
            <w:proofErr w:type="spellStart"/>
            <w:r w:rsidRPr="00FA3F9C">
              <w:rPr>
                <w:rFonts w:ascii="Arial" w:hAnsi="Arial" w:cs="Arial"/>
                <w:sz w:val="24"/>
                <w:szCs w:val="24"/>
              </w:rPr>
              <w:t>non small</w:t>
            </w:r>
            <w:proofErr w:type="spellEnd"/>
            <w:r w:rsidRPr="00FA3F9C">
              <w:rPr>
                <w:rFonts w:ascii="Arial" w:hAnsi="Arial" w:cs="Arial"/>
                <w:sz w:val="24"/>
                <w:szCs w:val="24"/>
              </w:rPr>
              <w:t xml:space="preserve"> cell lung cancer</w:t>
            </w:r>
          </w:p>
          <w:p w14:paraId="30E694C3" w14:textId="77777777" w:rsidR="009B5AA5" w:rsidRPr="00FA3F9C" w:rsidRDefault="009B5AA5" w:rsidP="009B5AA5">
            <w:pPr>
              <w:pStyle w:val="ListParagraph"/>
              <w:numPr>
                <w:ilvl w:val="0"/>
                <w:numId w:val="278"/>
              </w:numPr>
              <w:spacing w:after="0" w:line="240" w:lineRule="auto"/>
              <w:rPr>
                <w:rFonts w:ascii="Arial" w:hAnsi="Arial" w:cs="Arial"/>
                <w:sz w:val="24"/>
                <w:szCs w:val="24"/>
              </w:rPr>
            </w:pPr>
            <w:r w:rsidRPr="00FA3F9C">
              <w:rPr>
                <w:rFonts w:ascii="Arial" w:hAnsi="Arial" w:cs="Arial"/>
                <w:sz w:val="24"/>
                <w:szCs w:val="24"/>
              </w:rPr>
              <w:t>Omitted indication for SCLC (no longer FDA approved).</w:t>
            </w:r>
          </w:p>
          <w:p w14:paraId="18E5DC00" w14:textId="77777777" w:rsidR="009B5AA5" w:rsidRPr="00FA3F9C" w:rsidRDefault="009B5AA5" w:rsidP="009B5AA5">
            <w:pPr>
              <w:pStyle w:val="ListParagraph"/>
              <w:numPr>
                <w:ilvl w:val="0"/>
                <w:numId w:val="278"/>
              </w:numPr>
              <w:spacing w:after="0" w:line="240" w:lineRule="auto"/>
              <w:rPr>
                <w:rFonts w:ascii="Arial" w:hAnsi="Arial" w:cs="Arial"/>
                <w:sz w:val="24"/>
                <w:szCs w:val="24"/>
              </w:rPr>
            </w:pPr>
            <w:r w:rsidRPr="00FA3F9C">
              <w:rPr>
                <w:rFonts w:ascii="Arial" w:hAnsi="Arial" w:cs="Arial"/>
                <w:sz w:val="24"/>
                <w:szCs w:val="24"/>
              </w:rPr>
              <w:lastRenderedPageBreak/>
              <w:t>Removed FDA indication for nivolumab monotherapy for HCC. Added reference for nivolumab/ipilimumab indication.</w:t>
            </w:r>
          </w:p>
          <w:p w14:paraId="4535B9B3" w14:textId="77777777" w:rsidR="009B5AA5" w:rsidRPr="00FA3F9C" w:rsidRDefault="009B5AA5" w:rsidP="009B5AA5">
            <w:pPr>
              <w:pStyle w:val="ListParagraph"/>
              <w:numPr>
                <w:ilvl w:val="0"/>
                <w:numId w:val="278"/>
              </w:numPr>
              <w:spacing w:after="0" w:line="240" w:lineRule="auto"/>
              <w:rPr>
                <w:rFonts w:ascii="Arial" w:hAnsi="Arial" w:cs="Arial"/>
                <w:sz w:val="24"/>
                <w:szCs w:val="24"/>
              </w:rPr>
            </w:pPr>
            <w:r w:rsidRPr="00FA3F9C">
              <w:rPr>
                <w:rFonts w:ascii="Arial" w:hAnsi="Arial" w:cs="Arial"/>
                <w:sz w:val="24"/>
                <w:szCs w:val="24"/>
              </w:rPr>
              <w:t>Added various references</w:t>
            </w:r>
          </w:p>
        </w:tc>
        <w:tc>
          <w:tcPr>
            <w:tcW w:w="900" w:type="dxa"/>
            <w:tcBorders>
              <w:top w:val="single" w:sz="4" w:space="0" w:color="auto"/>
              <w:left w:val="single" w:sz="4" w:space="0" w:color="auto"/>
              <w:bottom w:val="single" w:sz="4" w:space="0" w:color="auto"/>
              <w:right w:val="single" w:sz="4" w:space="0" w:color="auto"/>
            </w:tcBorders>
          </w:tcPr>
          <w:p w14:paraId="3921EFBB" w14:textId="77777777" w:rsidR="009B5AA5" w:rsidRPr="00FA3F9C" w:rsidRDefault="009B5AA5" w:rsidP="00740D92">
            <w:pPr>
              <w:spacing w:after="0" w:line="240" w:lineRule="auto"/>
              <w:rPr>
                <w:rFonts w:ascii="Arial" w:hAnsi="Arial" w:cs="Arial"/>
                <w:sz w:val="24"/>
                <w:szCs w:val="24"/>
              </w:rPr>
            </w:pPr>
          </w:p>
        </w:tc>
      </w:tr>
    </w:tbl>
    <w:p w14:paraId="40B44FF4" w14:textId="77777777" w:rsidR="009B5AA5" w:rsidRPr="00FA3F9C" w:rsidRDefault="009B5AA5" w:rsidP="006F623F">
      <w:pPr>
        <w:spacing w:after="0"/>
        <w:rPr>
          <w:rFonts w:ascii="Arial" w:hAnsi="Arial" w:cs="Arial"/>
          <w:sz w:val="24"/>
          <w:szCs w:val="24"/>
        </w:rPr>
      </w:pPr>
    </w:p>
    <w:p w14:paraId="606C0A72" w14:textId="77777777" w:rsidR="009B5AA5" w:rsidRPr="00FA3F9C" w:rsidRDefault="009B5AA5" w:rsidP="00670964">
      <w:pPr>
        <w:spacing w:after="0"/>
        <w:rPr>
          <w:rFonts w:ascii="Arial" w:hAnsi="Arial" w:cs="Arial"/>
          <w:sz w:val="24"/>
          <w:szCs w:val="24"/>
        </w:rPr>
      </w:pPr>
      <w:r w:rsidRPr="00FA3F9C">
        <w:rPr>
          <w:rFonts w:ascii="Arial" w:hAnsi="Arial" w:cs="Arial"/>
          <w:sz w:val="24"/>
          <w:szCs w:val="24"/>
        </w:rPr>
        <w:t xml:space="preserve"> </w:t>
      </w:r>
    </w:p>
    <w:p w14:paraId="059AC167" w14:textId="77777777" w:rsidR="00953C90" w:rsidRDefault="009B5AA5" w:rsidP="00953C90">
      <w:pPr>
        <w:pStyle w:val="Heading2"/>
      </w:pPr>
      <w:bookmarkStart w:id="235" w:name="_Toc106369872"/>
      <w:proofErr w:type="spellStart"/>
      <w:r w:rsidRPr="00FA3F9C">
        <w:t>Nusinersen</w:t>
      </w:r>
      <w:proofErr w:type="spellEnd"/>
      <w:r w:rsidRPr="00FA3F9C">
        <w:t xml:space="preserve"> (</w:t>
      </w:r>
      <w:proofErr w:type="spellStart"/>
      <w:r w:rsidRPr="00FA3F9C">
        <w:t>Spinraza</w:t>
      </w:r>
      <w:proofErr w:type="spellEnd"/>
      <w:r w:rsidRPr="00FA3F9C">
        <w:t>)</w:t>
      </w:r>
      <w:bookmarkEnd w:id="235"/>
    </w:p>
    <w:p w14:paraId="1F8A68A5" w14:textId="1B93867A" w:rsidR="009B5AA5" w:rsidRPr="00953C90" w:rsidRDefault="009B5AA5" w:rsidP="006F623F">
      <w:pPr>
        <w:spacing w:after="0"/>
        <w:jc w:val="center"/>
        <w:rPr>
          <w:rFonts w:ascii="Arial" w:hAnsi="Arial" w:cs="Arial"/>
          <w:sz w:val="24"/>
          <w:szCs w:val="24"/>
          <w:lang w:val="es-ES"/>
        </w:rPr>
      </w:pPr>
      <w:r w:rsidRPr="00953C90">
        <w:rPr>
          <w:rFonts w:ascii="Arial" w:hAnsi="Arial" w:cs="Arial"/>
          <w:sz w:val="24"/>
          <w:szCs w:val="24"/>
          <w:lang w:val="es-ES"/>
        </w:rPr>
        <w:t xml:space="preserve"> 12 mg/5 </w:t>
      </w:r>
      <w:proofErr w:type="spellStart"/>
      <w:r w:rsidRPr="00953C90">
        <w:rPr>
          <w:rFonts w:ascii="Arial" w:hAnsi="Arial" w:cs="Arial"/>
          <w:sz w:val="24"/>
          <w:szCs w:val="24"/>
          <w:lang w:val="es-ES"/>
        </w:rPr>
        <w:t>mL</w:t>
      </w:r>
      <w:proofErr w:type="spellEnd"/>
    </w:p>
    <w:p w14:paraId="3DB31E05" w14:textId="77777777" w:rsidR="00953C90" w:rsidRPr="00953C90" w:rsidRDefault="00953C90" w:rsidP="00953C90">
      <w:pPr>
        <w:spacing w:after="0"/>
        <w:jc w:val="center"/>
        <w:rPr>
          <w:rFonts w:ascii="Arial" w:hAnsi="Arial" w:cs="Arial"/>
          <w:sz w:val="24"/>
          <w:szCs w:val="24"/>
          <w:lang w:val="es-ES"/>
        </w:rPr>
      </w:pPr>
      <w:r w:rsidRPr="00953C90">
        <w:rPr>
          <w:rFonts w:ascii="Arial" w:hAnsi="Arial" w:cs="Arial"/>
          <w:sz w:val="24"/>
          <w:szCs w:val="24"/>
          <w:lang w:val="es-ES"/>
        </w:rPr>
        <w:t xml:space="preserve">EBRx PA </w:t>
      </w:r>
      <w:proofErr w:type="spellStart"/>
      <w:r w:rsidRPr="00953C90">
        <w:rPr>
          <w:rFonts w:ascii="Arial" w:hAnsi="Arial" w:cs="Arial"/>
          <w:sz w:val="24"/>
          <w:szCs w:val="24"/>
          <w:lang w:val="es-ES"/>
        </w:rPr>
        <w:t>Criteria</w:t>
      </w:r>
      <w:proofErr w:type="spellEnd"/>
    </w:p>
    <w:p w14:paraId="012D30BB" w14:textId="77777777" w:rsidR="00953C90" w:rsidRPr="00953C90" w:rsidRDefault="00953C90" w:rsidP="006F623F">
      <w:pPr>
        <w:spacing w:after="0"/>
        <w:jc w:val="center"/>
        <w:rPr>
          <w:rFonts w:ascii="Arial" w:hAnsi="Arial" w:cs="Arial"/>
          <w:sz w:val="24"/>
          <w:szCs w:val="24"/>
          <w:lang w:val="es-ES"/>
        </w:rPr>
      </w:pPr>
    </w:p>
    <w:p w14:paraId="1BDD4647" w14:textId="77777777" w:rsidR="009B5AA5" w:rsidRPr="00953C90" w:rsidRDefault="009B5AA5" w:rsidP="006F623F">
      <w:pPr>
        <w:spacing w:after="0"/>
        <w:rPr>
          <w:rFonts w:ascii="Arial" w:hAnsi="Arial" w:cs="Arial"/>
          <w:b/>
          <w:sz w:val="24"/>
          <w:szCs w:val="24"/>
          <w:u w:val="single"/>
          <w:lang w:val="es-ES"/>
        </w:rPr>
      </w:pPr>
    </w:p>
    <w:p w14:paraId="12DDDE73" w14:textId="77777777" w:rsidR="009B5AA5" w:rsidRPr="00FA3F9C" w:rsidRDefault="009B5AA5"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treatment of spinal muscular atrophy (SMA) in pediatric and adult patients. </w:t>
      </w:r>
    </w:p>
    <w:tbl>
      <w:tblPr>
        <w:tblStyle w:val="TableGrid"/>
        <w:tblW w:w="11028" w:type="dxa"/>
        <w:tblLook w:val="04A0" w:firstRow="1" w:lastRow="0" w:firstColumn="1" w:lastColumn="0" w:noHBand="0" w:noVBand="1"/>
      </w:tblPr>
      <w:tblGrid>
        <w:gridCol w:w="11028"/>
      </w:tblGrid>
      <w:tr w:rsidR="009B5AA5" w:rsidRPr="00FA3F9C" w14:paraId="247E5C50" w14:textId="77777777" w:rsidTr="00D44740">
        <w:trPr>
          <w:trHeight w:val="268"/>
        </w:trPr>
        <w:tc>
          <w:tcPr>
            <w:tcW w:w="11028" w:type="dxa"/>
            <w:shd w:val="clear" w:color="auto" w:fill="000000"/>
          </w:tcPr>
          <w:p w14:paraId="64AB8E48" w14:textId="77777777" w:rsidR="009B5AA5" w:rsidRPr="00FA3F9C" w:rsidRDefault="009B5AA5" w:rsidP="00571CAB">
            <w:pPr>
              <w:rPr>
                <w:rFonts w:ascii="Arial" w:hAnsi="Arial" w:cs="Arial"/>
                <w:b/>
                <w:sz w:val="24"/>
                <w:szCs w:val="24"/>
                <w:u w:val="single"/>
              </w:rPr>
            </w:pPr>
            <w:r w:rsidRPr="00FA3F9C">
              <w:rPr>
                <w:rFonts w:ascii="Arial" w:hAnsi="Arial" w:cs="Arial"/>
                <w:b/>
                <w:sz w:val="24"/>
                <w:szCs w:val="24"/>
                <w:u w:val="single"/>
              </w:rPr>
              <w:t>Criteria for new users</w:t>
            </w:r>
          </w:p>
        </w:tc>
      </w:tr>
      <w:tr w:rsidR="009B5AA5" w:rsidRPr="00FA3F9C" w14:paraId="37FBCB03" w14:textId="77777777" w:rsidTr="00D44740">
        <w:trPr>
          <w:trHeight w:val="253"/>
        </w:trPr>
        <w:tc>
          <w:tcPr>
            <w:tcW w:w="11028" w:type="dxa"/>
          </w:tcPr>
          <w:p w14:paraId="1EA84214" w14:textId="77777777" w:rsidR="009B5AA5" w:rsidRPr="00FA3F9C" w:rsidRDefault="009B5AA5" w:rsidP="009B5AA5">
            <w:pPr>
              <w:pStyle w:val="ListParagraph"/>
              <w:numPr>
                <w:ilvl w:val="0"/>
                <w:numId w:val="136"/>
              </w:numPr>
              <w:rPr>
                <w:rFonts w:ascii="Arial" w:hAnsi="Arial" w:cs="Arial"/>
                <w:sz w:val="24"/>
                <w:szCs w:val="24"/>
              </w:rPr>
            </w:pPr>
            <w:r w:rsidRPr="00FA3F9C">
              <w:rPr>
                <w:rFonts w:ascii="Arial" w:hAnsi="Arial" w:cs="Arial"/>
                <w:sz w:val="24"/>
                <w:szCs w:val="24"/>
              </w:rPr>
              <w:t>The patient must be 12 years or younger at initial request.</w:t>
            </w:r>
            <w:r w:rsidRPr="00FA3F9C">
              <w:rPr>
                <w:rFonts w:ascii="Arial" w:hAnsi="Arial" w:cs="Arial"/>
                <w:sz w:val="24"/>
                <w:szCs w:val="24"/>
                <w:vertAlign w:val="superscript"/>
              </w:rPr>
              <w:t>4</w:t>
            </w:r>
          </w:p>
        </w:tc>
      </w:tr>
      <w:tr w:rsidR="009B5AA5" w:rsidRPr="00FA3F9C" w14:paraId="53E0A8E3" w14:textId="77777777" w:rsidTr="00D44740">
        <w:trPr>
          <w:trHeight w:val="253"/>
        </w:trPr>
        <w:tc>
          <w:tcPr>
            <w:tcW w:w="11028" w:type="dxa"/>
          </w:tcPr>
          <w:p w14:paraId="51A81272" w14:textId="77777777" w:rsidR="009B5AA5" w:rsidRPr="00FA3F9C" w:rsidRDefault="009B5AA5" w:rsidP="009B5AA5">
            <w:pPr>
              <w:pStyle w:val="ListParagraph"/>
              <w:numPr>
                <w:ilvl w:val="0"/>
                <w:numId w:val="137"/>
              </w:numPr>
              <w:rPr>
                <w:rFonts w:ascii="Arial" w:hAnsi="Arial" w:cs="Arial"/>
                <w:sz w:val="24"/>
                <w:szCs w:val="24"/>
              </w:rPr>
            </w:pPr>
            <w:r w:rsidRPr="00FA3F9C">
              <w:rPr>
                <w:rFonts w:ascii="Arial" w:hAnsi="Arial" w:cs="Arial"/>
                <w:sz w:val="24"/>
                <w:szCs w:val="24"/>
              </w:rPr>
              <w:t xml:space="preserve">The patient </w:t>
            </w:r>
            <w:r w:rsidRPr="00FA3F9C">
              <w:rPr>
                <w:rFonts w:ascii="Arial" w:hAnsi="Arial" w:cs="Arial"/>
                <w:b/>
                <w:sz w:val="24"/>
                <w:szCs w:val="24"/>
              </w:rPr>
              <w:t>must have</w:t>
            </w:r>
            <w:r w:rsidRPr="00FA3F9C">
              <w:rPr>
                <w:rFonts w:ascii="Arial" w:hAnsi="Arial" w:cs="Arial"/>
                <w:sz w:val="24"/>
                <w:szCs w:val="24"/>
              </w:rPr>
              <w:t xml:space="preserve"> a diagnosis of Spinal Muscular Atrophy with </w:t>
            </w:r>
            <w:proofErr w:type="gramStart"/>
            <w:r w:rsidRPr="00FA3F9C">
              <w:rPr>
                <w:rFonts w:ascii="Arial" w:hAnsi="Arial" w:cs="Arial"/>
                <w:sz w:val="24"/>
                <w:szCs w:val="24"/>
              </w:rPr>
              <w:t>all of</w:t>
            </w:r>
            <w:proofErr w:type="gramEnd"/>
            <w:r w:rsidRPr="00FA3F9C">
              <w:rPr>
                <w:rFonts w:ascii="Arial" w:hAnsi="Arial" w:cs="Arial"/>
                <w:sz w:val="24"/>
                <w:szCs w:val="24"/>
              </w:rPr>
              <w:t xml:space="preserve"> the following criteria:</w:t>
            </w:r>
            <w:r w:rsidRPr="00FA3F9C">
              <w:rPr>
                <w:rFonts w:ascii="Arial" w:hAnsi="Arial" w:cs="Arial"/>
                <w:sz w:val="24"/>
                <w:szCs w:val="24"/>
                <w:vertAlign w:val="superscript"/>
              </w:rPr>
              <w:t>1,4</w:t>
            </w:r>
            <w:r w:rsidRPr="00FA3F9C">
              <w:rPr>
                <w:rFonts w:ascii="Arial" w:hAnsi="Arial" w:cs="Arial"/>
                <w:sz w:val="24"/>
                <w:szCs w:val="24"/>
              </w:rPr>
              <w:t xml:space="preserve"> including genetic documentation of homozygous deletion or mutation in </w:t>
            </w:r>
            <w:r w:rsidRPr="00FA3F9C">
              <w:rPr>
                <w:rFonts w:ascii="Arial" w:hAnsi="Arial" w:cs="Arial"/>
                <w:b/>
                <w:sz w:val="24"/>
                <w:szCs w:val="24"/>
                <w:u w:val="single"/>
              </w:rPr>
              <w:t>SMN1 gene.</w:t>
            </w:r>
          </w:p>
          <w:p w14:paraId="37D88FE2" w14:textId="77777777" w:rsidR="009B5AA5" w:rsidRPr="00FA3F9C" w:rsidRDefault="009B5AA5" w:rsidP="009B5AA5">
            <w:pPr>
              <w:pStyle w:val="ListParagraph"/>
              <w:numPr>
                <w:ilvl w:val="0"/>
                <w:numId w:val="137"/>
              </w:numPr>
              <w:rPr>
                <w:rFonts w:ascii="Arial" w:hAnsi="Arial" w:cs="Arial"/>
                <w:sz w:val="24"/>
                <w:szCs w:val="24"/>
              </w:rPr>
            </w:pPr>
            <w:r w:rsidRPr="00FA3F9C">
              <w:rPr>
                <w:rFonts w:ascii="Arial" w:hAnsi="Arial" w:cs="Arial"/>
                <w:sz w:val="24"/>
                <w:szCs w:val="24"/>
              </w:rPr>
              <w:t>Onset of clinical signs/symptoms consist with SMA at ≤ 48 months of age.</w:t>
            </w:r>
            <w:r w:rsidRPr="00FA3F9C">
              <w:rPr>
                <w:rFonts w:ascii="Arial" w:hAnsi="Arial" w:cs="Arial"/>
                <w:sz w:val="24"/>
                <w:szCs w:val="24"/>
                <w:vertAlign w:val="superscript"/>
              </w:rPr>
              <w:t>1,4</w:t>
            </w:r>
          </w:p>
          <w:p w14:paraId="0A149D3B" w14:textId="77777777" w:rsidR="009B5AA5" w:rsidRPr="00FA3F9C" w:rsidRDefault="009B5AA5" w:rsidP="009B5AA5">
            <w:pPr>
              <w:pStyle w:val="ListParagraph"/>
              <w:numPr>
                <w:ilvl w:val="0"/>
                <w:numId w:val="137"/>
              </w:numPr>
              <w:rPr>
                <w:rFonts w:ascii="Arial" w:hAnsi="Arial" w:cs="Arial"/>
                <w:sz w:val="24"/>
                <w:szCs w:val="24"/>
              </w:rPr>
            </w:pPr>
            <w:r w:rsidRPr="00FA3F9C">
              <w:rPr>
                <w:rFonts w:ascii="Arial" w:hAnsi="Arial" w:cs="Arial"/>
                <w:sz w:val="24"/>
                <w:szCs w:val="24"/>
              </w:rPr>
              <w:t xml:space="preserve">Disease duration of </w:t>
            </w:r>
            <w:r w:rsidRPr="00FA3F9C">
              <w:rPr>
                <w:rFonts w:ascii="Arial" w:hAnsi="Arial" w:cs="Arial"/>
                <w:sz w:val="24"/>
                <w:szCs w:val="24"/>
                <w:u w:val="single"/>
              </w:rPr>
              <w:t>&lt;</w:t>
            </w:r>
            <w:r w:rsidRPr="00FA3F9C">
              <w:rPr>
                <w:rFonts w:ascii="Arial" w:hAnsi="Arial" w:cs="Arial"/>
                <w:sz w:val="24"/>
                <w:szCs w:val="24"/>
              </w:rPr>
              <w:t xml:space="preserve"> 7 years.</w:t>
            </w:r>
            <w:r w:rsidRPr="00FA3F9C">
              <w:rPr>
                <w:rFonts w:ascii="Arial" w:hAnsi="Arial" w:cs="Arial"/>
                <w:sz w:val="24"/>
                <w:szCs w:val="24"/>
                <w:vertAlign w:val="superscript"/>
              </w:rPr>
              <w:t>4</w:t>
            </w:r>
          </w:p>
        </w:tc>
      </w:tr>
      <w:tr w:rsidR="009B5AA5" w:rsidRPr="00FA3F9C" w14:paraId="03368534" w14:textId="77777777" w:rsidTr="00D44740">
        <w:trPr>
          <w:trHeight w:val="253"/>
        </w:trPr>
        <w:tc>
          <w:tcPr>
            <w:tcW w:w="11028" w:type="dxa"/>
          </w:tcPr>
          <w:p w14:paraId="6CBBFF1A" w14:textId="77777777" w:rsidR="009B5AA5" w:rsidRPr="00FA3F9C" w:rsidRDefault="009B5AA5" w:rsidP="009B5AA5">
            <w:pPr>
              <w:pStyle w:val="ListParagraph"/>
              <w:numPr>
                <w:ilvl w:val="0"/>
                <w:numId w:val="136"/>
              </w:numPr>
              <w:rPr>
                <w:rFonts w:ascii="Arial" w:hAnsi="Arial" w:cs="Arial"/>
                <w:sz w:val="24"/>
                <w:szCs w:val="24"/>
              </w:rPr>
            </w:pPr>
            <w:r w:rsidRPr="00FA3F9C">
              <w:rPr>
                <w:rFonts w:ascii="Arial" w:hAnsi="Arial" w:cs="Arial"/>
                <w:sz w:val="24"/>
                <w:szCs w:val="24"/>
              </w:rPr>
              <w:t>For infantile SMA, then they must also have 2 copies of the SMN2 gene</w:t>
            </w:r>
            <w:r w:rsidRPr="00FA3F9C">
              <w:rPr>
                <w:rFonts w:ascii="Arial" w:hAnsi="Arial" w:cs="Arial"/>
                <w:sz w:val="24"/>
                <w:szCs w:val="24"/>
                <w:vertAlign w:val="superscript"/>
              </w:rPr>
              <w:t>1</w:t>
            </w:r>
            <w:r w:rsidRPr="00FA3F9C">
              <w:rPr>
                <w:rFonts w:ascii="Arial" w:hAnsi="Arial" w:cs="Arial"/>
                <w:sz w:val="24"/>
                <w:szCs w:val="24"/>
              </w:rPr>
              <w:t>, and no more than 3 copies of SMN. (Patients with 4 or more copies of SMN2 are likely to not develop the most severe forms of SMA and it may be reasonable to wait and monitor for signs of disease progression.)</w:t>
            </w:r>
          </w:p>
        </w:tc>
      </w:tr>
      <w:tr w:rsidR="009B5AA5" w:rsidRPr="00FA3F9C" w14:paraId="7FBE3E1C" w14:textId="77777777" w:rsidTr="00D44740">
        <w:trPr>
          <w:trHeight w:val="253"/>
        </w:trPr>
        <w:tc>
          <w:tcPr>
            <w:tcW w:w="11028" w:type="dxa"/>
          </w:tcPr>
          <w:p w14:paraId="5DA0E000" w14:textId="77777777" w:rsidR="009B5AA5" w:rsidRPr="00FA3F9C" w:rsidRDefault="009B5AA5" w:rsidP="009B5AA5">
            <w:pPr>
              <w:pStyle w:val="ListParagraph"/>
              <w:numPr>
                <w:ilvl w:val="0"/>
                <w:numId w:val="136"/>
              </w:numPr>
              <w:rPr>
                <w:rFonts w:ascii="Arial" w:hAnsi="Arial" w:cs="Arial"/>
                <w:sz w:val="24"/>
                <w:szCs w:val="24"/>
              </w:rPr>
            </w:pPr>
            <w:r w:rsidRPr="00FA3F9C">
              <w:rPr>
                <w:rFonts w:ascii="Arial" w:hAnsi="Arial" w:cs="Arial"/>
                <w:sz w:val="24"/>
                <w:szCs w:val="24"/>
              </w:rPr>
              <w:t xml:space="preserve">No prior use of </w:t>
            </w:r>
            <w:proofErr w:type="spellStart"/>
            <w:r w:rsidRPr="00FA3F9C">
              <w:rPr>
                <w:rFonts w:ascii="Arial" w:hAnsi="Arial" w:cs="Arial"/>
                <w:sz w:val="24"/>
                <w:szCs w:val="24"/>
              </w:rPr>
              <w:t>Zolgensma</w:t>
            </w:r>
            <w:proofErr w:type="spellEnd"/>
            <w:r w:rsidRPr="00FA3F9C">
              <w:rPr>
                <w:rFonts w:ascii="Arial" w:hAnsi="Arial" w:cs="Arial"/>
                <w:sz w:val="24"/>
                <w:szCs w:val="24"/>
              </w:rPr>
              <w:t xml:space="preserve">. (There are not data to support subsequent </w:t>
            </w:r>
            <w:proofErr w:type="spellStart"/>
            <w:r w:rsidRPr="00FA3F9C">
              <w:rPr>
                <w:rFonts w:ascii="Arial" w:hAnsi="Arial" w:cs="Arial"/>
                <w:sz w:val="24"/>
                <w:szCs w:val="24"/>
              </w:rPr>
              <w:t>Spinraza</w:t>
            </w:r>
            <w:proofErr w:type="spellEnd"/>
            <w:r w:rsidRPr="00FA3F9C">
              <w:rPr>
                <w:rFonts w:ascii="Arial" w:hAnsi="Arial" w:cs="Arial"/>
                <w:sz w:val="24"/>
                <w:szCs w:val="24"/>
              </w:rPr>
              <w:t xml:space="preserve"> use (benefit or detriment) in patients who were administered </w:t>
            </w:r>
            <w:proofErr w:type="spellStart"/>
            <w:r w:rsidRPr="00FA3F9C">
              <w:rPr>
                <w:rFonts w:ascii="Arial" w:hAnsi="Arial" w:cs="Arial"/>
                <w:sz w:val="24"/>
                <w:szCs w:val="24"/>
              </w:rPr>
              <w:t>Zolgensma</w:t>
            </w:r>
            <w:proofErr w:type="spellEnd"/>
            <w:r w:rsidRPr="00FA3F9C">
              <w:rPr>
                <w:rFonts w:ascii="Arial" w:hAnsi="Arial" w:cs="Arial"/>
                <w:sz w:val="24"/>
                <w:szCs w:val="24"/>
              </w:rPr>
              <w:t>.)</w:t>
            </w:r>
          </w:p>
        </w:tc>
      </w:tr>
      <w:tr w:rsidR="009B5AA5" w:rsidRPr="00FA3F9C" w14:paraId="7E6CBDE5" w14:textId="77777777" w:rsidTr="00D44740">
        <w:trPr>
          <w:trHeight w:val="253"/>
        </w:trPr>
        <w:tc>
          <w:tcPr>
            <w:tcW w:w="11028" w:type="dxa"/>
          </w:tcPr>
          <w:p w14:paraId="4061AE69" w14:textId="77777777" w:rsidR="009B5AA5" w:rsidRPr="00FA3F9C" w:rsidRDefault="009B5AA5" w:rsidP="009B5AA5">
            <w:pPr>
              <w:pStyle w:val="ListParagraph"/>
              <w:numPr>
                <w:ilvl w:val="0"/>
                <w:numId w:val="136"/>
              </w:numPr>
              <w:rPr>
                <w:rFonts w:ascii="Arial" w:hAnsi="Arial" w:cs="Arial"/>
                <w:sz w:val="24"/>
                <w:szCs w:val="24"/>
              </w:rPr>
            </w:pPr>
            <w:r w:rsidRPr="00FA3F9C">
              <w:rPr>
                <w:rFonts w:ascii="Arial" w:hAnsi="Arial" w:cs="Arial"/>
                <w:sz w:val="24"/>
                <w:szCs w:val="24"/>
              </w:rPr>
              <w:t>Prescriber must be a neuromuscular specialist.</w:t>
            </w:r>
          </w:p>
        </w:tc>
      </w:tr>
      <w:tr w:rsidR="009B5AA5" w:rsidRPr="00FA3F9C" w14:paraId="0D27FE71" w14:textId="77777777" w:rsidTr="00D44740">
        <w:trPr>
          <w:trHeight w:val="253"/>
        </w:trPr>
        <w:tc>
          <w:tcPr>
            <w:tcW w:w="11028" w:type="dxa"/>
          </w:tcPr>
          <w:p w14:paraId="2CBDEC89" w14:textId="77777777" w:rsidR="009B5AA5" w:rsidRPr="00FA3F9C" w:rsidRDefault="009B5AA5" w:rsidP="009B5AA5">
            <w:pPr>
              <w:pStyle w:val="ListParagraph"/>
              <w:numPr>
                <w:ilvl w:val="0"/>
                <w:numId w:val="136"/>
              </w:numPr>
              <w:rPr>
                <w:rFonts w:ascii="Arial" w:hAnsi="Arial" w:cs="Arial"/>
                <w:sz w:val="24"/>
                <w:szCs w:val="24"/>
              </w:rPr>
            </w:pPr>
            <w:r w:rsidRPr="00FA3F9C">
              <w:rPr>
                <w:rFonts w:ascii="Arial" w:hAnsi="Arial" w:cs="Arial"/>
                <w:sz w:val="24"/>
                <w:szCs w:val="24"/>
              </w:rPr>
              <w:t xml:space="preserve">At the initial request, the patient must have NO HISTORY of the ability to walk independently (defined as the ability to walk </w:t>
            </w:r>
            <w:r w:rsidRPr="00FA3F9C">
              <w:rPr>
                <w:rFonts w:ascii="Arial" w:hAnsi="Arial" w:cs="Arial"/>
                <w:sz w:val="24"/>
                <w:szCs w:val="24"/>
                <w:u w:val="single"/>
              </w:rPr>
              <w:t>&gt;</w:t>
            </w:r>
            <w:r w:rsidRPr="00FA3F9C">
              <w:rPr>
                <w:rFonts w:ascii="Arial" w:hAnsi="Arial" w:cs="Arial"/>
                <w:sz w:val="24"/>
                <w:szCs w:val="24"/>
              </w:rPr>
              <w:t>15 feet unaided.</w:t>
            </w:r>
          </w:p>
        </w:tc>
      </w:tr>
      <w:tr w:rsidR="009B5AA5" w:rsidRPr="00FA3F9C" w14:paraId="3927E5D8" w14:textId="77777777" w:rsidTr="00D44740">
        <w:trPr>
          <w:trHeight w:val="253"/>
        </w:trPr>
        <w:tc>
          <w:tcPr>
            <w:tcW w:w="11028" w:type="dxa"/>
          </w:tcPr>
          <w:p w14:paraId="5258F124" w14:textId="77777777" w:rsidR="009B5AA5" w:rsidRPr="00FA3F9C" w:rsidRDefault="009B5AA5" w:rsidP="003D25FC">
            <w:pPr>
              <w:rPr>
                <w:rFonts w:ascii="Arial" w:hAnsi="Arial" w:cs="Arial"/>
                <w:sz w:val="24"/>
                <w:szCs w:val="24"/>
              </w:rPr>
            </w:pPr>
            <w:r w:rsidRPr="00FA3F9C">
              <w:rPr>
                <w:rFonts w:ascii="Arial" w:hAnsi="Arial" w:cs="Arial"/>
                <w:sz w:val="24"/>
                <w:szCs w:val="24"/>
              </w:rPr>
              <w:t>If patient meets criteria above approve medical PA for 1 year. Medication is excluded from pharmacy.</w:t>
            </w:r>
          </w:p>
        </w:tc>
      </w:tr>
    </w:tbl>
    <w:p w14:paraId="4AA95B4C" w14:textId="77777777" w:rsidR="009B5AA5" w:rsidRPr="00FA3F9C" w:rsidRDefault="009B5AA5" w:rsidP="006F623F">
      <w:pPr>
        <w:spacing w:after="0"/>
        <w:rPr>
          <w:rFonts w:ascii="Arial" w:hAnsi="Arial" w:cs="Arial"/>
          <w:sz w:val="24"/>
          <w:szCs w:val="24"/>
        </w:rPr>
      </w:pPr>
      <w:r w:rsidRPr="00FA3F9C">
        <w:rPr>
          <w:rFonts w:ascii="Arial" w:hAnsi="Arial" w:cs="Arial"/>
          <w:sz w:val="24"/>
          <w:szCs w:val="24"/>
        </w:rPr>
        <w:t xml:space="preserve">Dosing: Intrathecal: </w:t>
      </w:r>
      <w:r w:rsidRPr="00FA3F9C">
        <w:rPr>
          <w:rFonts w:ascii="Arial" w:hAnsi="Arial" w:cs="Arial"/>
          <w:b/>
          <w:sz w:val="24"/>
          <w:szCs w:val="24"/>
        </w:rPr>
        <w:t>Loading dose</w:t>
      </w:r>
      <w:r w:rsidRPr="00FA3F9C">
        <w:rPr>
          <w:rFonts w:ascii="Arial" w:hAnsi="Arial" w:cs="Arial"/>
          <w:sz w:val="24"/>
          <w:szCs w:val="24"/>
        </w:rPr>
        <w:t>: 12 mg once q14 days for 3 doses; then the 4</w:t>
      </w:r>
      <w:r w:rsidRPr="00FA3F9C">
        <w:rPr>
          <w:rFonts w:ascii="Arial" w:hAnsi="Arial" w:cs="Arial"/>
          <w:sz w:val="24"/>
          <w:szCs w:val="24"/>
          <w:vertAlign w:val="superscript"/>
        </w:rPr>
        <w:t>th</w:t>
      </w:r>
      <w:r w:rsidRPr="00FA3F9C">
        <w:rPr>
          <w:rFonts w:ascii="Arial" w:hAnsi="Arial" w:cs="Arial"/>
          <w:sz w:val="24"/>
          <w:szCs w:val="24"/>
        </w:rPr>
        <w:t xml:space="preserve"> dose is 12 mg administered once 30 days after the third dose. </w:t>
      </w:r>
      <w:r w:rsidRPr="00FA3F9C">
        <w:rPr>
          <w:rFonts w:ascii="Arial" w:hAnsi="Arial" w:cs="Arial"/>
          <w:b/>
          <w:sz w:val="24"/>
          <w:szCs w:val="24"/>
        </w:rPr>
        <w:t>Maintenance:</w:t>
      </w:r>
      <w:r w:rsidRPr="00FA3F9C">
        <w:rPr>
          <w:rFonts w:ascii="Arial" w:hAnsi="Arial" w:cs="Arial"/>
          <w:sz w:val="24"/>
          <w:szCs w:val="24"/>
        </w:rPr>
        <w:t xml:space="preserve"> 12 mg once q4 months.  Year 1 maximum doses is 6 doses.  Year 2 and beyond, maximum doses are 3 per year.</w:t>
      </w:r>
    </w:p>
    <w:p w14:paraId="5E20458E" w14:textId="77777777" w:rsidR="009B5AA5" w:rsidRPr="00FA3F9C" w:rsidRDefault="009B5AA5" w:rsidP="006F623F">
      <w:pPr>
        <w:spacing w:after="0"/>
        <w:rPr>
          <w:rFonts w:ascii="Arial" w:hAnsi="Arial" w:cs="Arial"/>
          <w:sz w:val="24"/>
          <w:szCs w:val="24"/>
        </w:rPr>
      </w:pPr>
    </w:p>
    <w:tbl>
      <w:tblPr>
        <w:tblStyle w:val="TableGrid"/>
        <w:tblW w:w="11028" w:type="dxa"/>
        <w:tblLook w:val="04A0" w:firstRow="1" w:lastRow="0" w:firstColumn="1" w:lastColumn="0" w:noHBand="0" w:noVBand="1"/>
      </w:tblPr>
      <w:tblGrid>
        <w:gridCol w:w="11028"/>
      </w:tblGrid>
      <w:tr w:rsidR="009B5AA5" w:rsidRPr="00FA3F9C" w14:paraId="3D206C3A" w14:textId="77777777" w:rsidTr="00E53BA2">
        <w:trPr>
          <w:trHeight w:val="268"/>
        </w:trPr>
        <w:tc>
          <w:tcPr>
            <w:tcW w:w="11028" w:type="dxa"/>
            <w:shd w:val="clear" w:color="auto" w:fill="000000"/>
          </w:tcPr>
          <w:p w14:paraId="1719355A" w14:textId="77777777" w:rsidR="009B5AA5" w:rsidRPr="00FA3F9C" w:rsidRDefault="009B5AA5" w:rsidP="00E53BA2">
            <w:pPr>
              <w:rPr>
                <w:rFonts w:ascii="Arial" w:hAnsi="Arial" w:cs="Arial"/>
                <w:b/>
                <w:sz w:val="24"/>
                <w:szCs w:val="24"/>
                <w:u w:val="single"/>
              </w:rPr>
            </w:pPr>
            <w:r w:rsidRPr="00FA3F9C">
              <w:rPr>
                <w:rFonts w:ascii="Arial" w:hAnsi="Arial" w:cs="Arial"/>
                <w:b/>
                <w:sz w:val="24"/>
                <w:szCs w:val="24"/>
                <w:u w:val="single"/>
              </w:rPr>
              <w:lastRenderedPageBreak/>
              <w:t>Criteria for CONTINUATION.</w:t>
            </w:r>
          </w:p>
        </w:tc>
      </w:tr>
      <w:tr w:rsidR="009B5AA5" w:rsidRPr="00FA3F9C" w14:paraId="258797A4" w14:textId="77777777" w:rsidTr="00E53BA2">
        <w:trPr>
          <w:trHeight w:val="253"/>
        </w:trPr>
        <w:tc>
          <w:tcPr>
            <w:tcW w:w="11028" w:type="dxa"/>
          </w:tcPr>
          <w:p w14:paraId="1FE4BF32" w14:textId="77777777" w:rsidR="009B5AA5" w:rsidRPr="00FA3F9C" w:rsidRDefault="009B5AA5" w:rsidP="009B5AA5">
            <w:pPr>
              <w:pStyle w:val="ListParagraph"/>
              <w:numPr>
                <w:ilvl w:val="0"/>
                <w:numId w:val="136"/>
              </w:numPr>
              <w:rPr>
                <w:rFonts w:ascii="Arial" w:hAnsi="Arial" w:cs="Arial"/>
                <w:sz w:val="24"/>
                <w:szCs w:val="24"/>
              </w:rPr>
            </w:pPr>
            <w:r w:rsidRPr="00FA3F9C">
              <w:rPr>
                <w:rFonts w:ascii="Arial" w:hAnsi="Arial" w:cs="Arial"/>
                <w:sz w:val="24"/>
                <w:szCs w:val="24"/>
              </w:rPr>
              <w:t xml:space="preserve">The patient must have begun </w:t>
            </w:r>
            <w:proofErr w:type="spellStart"/>
            <w:r w:rsidRPr="00FA3F9C">
              <w:rPr>
                <w:rFonts w:ascii="Arial" w:hAnsi="Arial" w:cs="Arial"/>
                <w:sz w:val="24"/>
                <w:szCs w:val="24"/>
              </w:rPr>
              <w:t>Spinraza</w:t>
            </w:r>
            <w:proofErr w:type="spellEnd"/>
            <w:r w:rsidRPr="00FA3F9C">
              <w:rPr>
                <w:rFonts w:ascii="Arial" w:hAnsi="Arial" w:cs="Arial"/>
                <w:sz w:val="24"/>
                <w:szCs w:val="24"/>
              </w:rPr>
              <w:t xml:space="preserve"> treatment before age 12.</w:t>
            </w:r>
            <w:r w:rsidRPr="00FA3F9C">
              <w:rPr>
                <w:rFonts w:ascii="Arial" w:hAnsi="Arial" w:cs="Arial"/>
                <w:sz w:val="24"/>
                <w:szCs w:val="24"/>
                <w:vertAlign w:val="superscript"/>
              </w:rPr>
              <w:t>4</w:t>
            </w:r>
          </w:p>
        </w:tc>
      </w:tr>
      <w:tr w:rsidR="009B5AA5" w:rsidRPr="00FA3F9C" w14:paraId="3B61E144" w14:textId="77777777" w:rsidTr="00E53BA2">
        <w:trPr>
          <w:trHeight w:val="253"/>
        </w:trPr>
        <w:tc>
          <w:tcPr>
            <w:tcW w:w="11028" w:type="dxa"/>
          </w:tcPr>
          <w:p w14:paraId="5DD12413" w14:textId="77777777" w:rsidR="009B5AA5" w:rsidRPr="00FA3F9C" w:rsidRDefault="009B5AA5" w:rsidP="00A52199">
            <w:pPr>
              <w:ind w:left="336"/>
              <w:rPr>
                <w:rFonts w:ascii="Arial" w:hAnsi="Arial" w:cs="Arial"/>
                <w:sz w:val="24"/>
                <w:szCs w:val="24"/>
              </w:rPr>
            </w:pPr>
            <w:r w:rsidRPr="00FA3F9C">
              <w:rPr>
                <w:rFonts w:ascii="Arial" w:hAnsi="Arial" w:cs="Arial"/>
                <w:sz w:val="24"/>
                <w:szCs w:val="24"/>
              </w:rPr>
              <w:t>7. The patient must have achieved sitting independently and be maintaining the ability to do so.</w:t>
            </w:r>
          </w:p>
        </w:tc>
      </w:tr>
      <w:tr w:rsidR="009B5AA5" w:rsidRPr="00FA3F9C" w14:paraId="20744B5A" w14:textId="77777777" w:rsidTr="00E53BA2">
        <w:trPr>
          <w:trHeight w:val="253"/>
        </w:trPr>
        <w:tc>
          <w:tcPr>
            <w:tcW w:w="11028" w:type="dxa"/>
          </w:tcPr>
          <w:p w14:paraId="350BCAEA" w14:textId="77777777" w:rsidR="009B5AA5" w:rsidRPr="00FA3F9C" w:rsidRDefault="009B5AA5" w:rsidP="00E53BA2">
            <w:pPr>
              <w:rPr>
                <w:rFonts w:ascii="Arial" w:hAnsi="Arial" w:cs="Arial"/>
                <w:sz w:val="24"/>
                <w:szCs w:val="24"/>
              </w:rPr>
            </w:pPr>
            <w:r w:rsidRPr="00FA3F9C">
              <w:rPr>
                <w:rFonts w:ascii="Arial" w:hAnsi="Arial" w:cs="Arial"/>
                <w:sz w:val="24"/>
                <w:szCs w:val="24"/>
              </w:rPr>
              <w:t>If patient meets criteria above approve medical PA for 1 year. Medication is excluded from pharmacy.</w:t>
            </w:r>
          </w:p>
        </w:tc>
      </w:tr>
    </w:tbl>
    <w:p w14:paraId="287B7518" w14:textId="77777777" w:rsidR="009B5AA5" w:rsidRPr="00FA3F9C" w:rsidRDefault="009B5AA5" w:rsidP="006F623F">
      <w:pPr>
        <w:spacing w:after="0"/>
        <w:rPr>
          <w:rFonts w:ascii="Arial" w:hAnsi="Arial" w:cs="Arial"/>
          <w:sz w:val="24"/>
          <w:szCs w:val="24"/>
        </w:rPr>
      </w:pPr>
    </w:p>
    <w:p w14:paraId="2347D271" w14:textId="77777777" w:rsidR="009B5AA5" w:rsidRPr="00FA3F9C" w:rsidRDefault="009B5AA5"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11065" w:type="dxa"/>
        <w:tblLook w:val="04A0" w:firstRow="1" w:lastRow="0" w:firstColumn="1" w:lastColumn="0" w:noHBand="0" w:noVBand="1"/>
      </w:tblPr>
      <w:tblGrid>
        <w:gridCol w:w="1151"/>
        <w:gridCol w:w="8324"/>
        <w:gridCol w:w="1590"/>
      </w:tblGrid>
      <w:tr w:rsidR="009B5AA5" w:rsidRPr="00FA3F9C" w14:paraId="10BCD65A" w14:textId="77777777" w:rsidTr="00A52199">
        <w:tc>
          <w:tcPr>
            <w:tcW w:w="1055" w:type="dxa"/>
          </w:tcPr>
          <w:p w14:paraId="1560FFC9" w14:textId="77777777" w:rsidR="009B5AA5" w:rsidRPr="00FA3F9C" w:rsidRDefault="009B5AA5" w:rsidP="006F623F">
            <w:pPr>
              <w:rPr>
                <w:rFonts w:ascii="Arial" w:hAnsi="Arial" w:cs="Arial"/>
                <w:sz w:val="24"/>
                <w:szCs w:val="24"/>
              </w:rPr>
            </w:pPr>
            <w:r w:rsidRPr="00FA3F9C">
              <w:rPr>
                <w:rFonts w:ascii="Arial" w:hAnsi="Arial" w:cs="Arial"/>
                <w:sz w:val="24"/>
                <w:szCs w:val="24"/>
              </w:rPr>
              <w:t>Date</w:t>
            </w:r>
          </w:p>
        </w:tc>
        <w:tc>
          <w:tcPr>
            <w:tcW w:w="8840" w:type="dxa"/>
          </w:tcPr>
          <w:p w14:paraId="4541877A" w14:textId="77777777" w:rsidR="009B5AA5" w:rsidRPr="00FA3F9C" w:rsidRDefault="009B5AA5" w:rsidP="006F623F">
            <w:pPr>
              <w:rPr>
                <w:rFonts w:ascii="Arial" w:hAnsi="Arial" w:cs="Arial"/>
                <w:sz w:val="24"/>
                <w:szCs w:val="24"/>
              </w:rPr>
            </w:pPr>
            <w:r w:rsidRPr="00FA3F9C">
              <w:rPr>
                <w:rFonts w:ascii="Arial" w:hAnsi="Arial" w:cs="Arial"/>
                <w:sz w:val="24"/>
                <w:szCs w:val="24"/>
              </w:rPr>
              <w:t>What changed</w:t>
            </w:r>
          </w:p>
        </w:tc>
        <w:tc>
          <w:tcPr>
            <w:tcW w:w="1170" w:type="dxa"/>
          </w:tcPr>
          <w:p w14:paraId="7DF73BC4" w14:textId="77777777" w:rsidR="009B5AA5" w:rsidRPr="00FA3F9C" w:rsidRDefault="009B5AA5" w:rsidP="006F623F">
            <w:pPr>
              <w:rPr>
                <w:rFonts w:ascii="Arial" w:hAnsi="Arial" w:cs="Arial"/>
                <w:sz w:val="24"/>
                <w:szCs w:val="24"/>
              </w:rPr>
            </w:pPr>
            <w:r w:rsidRPr="00FA3F9C">
              <w:rPr>
                <w:rFonts w:ascii="Arial" w:hAnsi="Arial" w:cs="Arial"/>
                <w:sz w:val="24"/>
                <w:szCs w:val="24"/>
              </w:rPr>
              <w:t>Pharmacist’s initials</w:t>
            </w:r>
          </w:p>
        </w:tc>
      </w:tr>
      <w:tr w:rsidR="009B5AA5" w:rsidRPr="00FA3F9C" w14:paraId="446A26EC" w14:textId="77777777" w:rsidTr="00A52199">
        <w:tc>
          <w:tcPr>
            <w:tcW w:w="1055" w:type="dxa"/>
          </w:tcPr>
          <w:p w14:paraId="3777EFD2" w14:textId="77777777" w:rsidR="009B5AA5" w:rsidRPr="00FA3F9C" w:rsidRDefault="009B5AA5" w:rsidP="006F623F">
            <w:pPr>
              <w:rPr>
                <w:rFonts w:ascii="Arial" w:hAnsi="Arial" w:cs="Arial"/>
                <w:sz w:val="24"/>
                <w:szCs w:val="24"/>
              </w:rPr>
            </w:pPr>
            <w:r w:rsidRPr="00FA3F9C">
              <w:rPr>
                <w:rFonts w:ascii="Arial" w:hAnsi="Arial" w:cs="Arial"/>
                <w:sz w:val="24"/>
                <w:szCs w:val="24"/>
              </w:rPr>
              <w:t>12/20/17</w:t>
            </w:r>
          </w:p>
        </w:tc>
        <w:tc>
          <w:tcPr>
            <w:tcW w:w="8840" w:type="dxa"/>
          </w:tcPr>
          <w:p w14:paraId="0F381CD0" w14:textId="77777777" w:rsidR="009B5AA5" w:rsidRPr="00FA3F9C" w:rsidRDefault="009B5AA5" w:rsidP="001052D7">
            <w:pPr>
              <w:rPr>
                <w:rFonts w:ascii="Arial" w:hAnsi="Arial" w:cs="Arial"/>
                <w:sz w:val="24"/>
                <w:szCs w:val="24"/>
              </w:rPr>
            </w:pPr>
            <w:r w:rsidRPr="00FA3F9C">
              <w:rPr>
                <w:rFonts w:ascii="Arial" w:hAnsi="Arial" w:cs="Arial"/>
                <w:sz w:val="24"/>
                <w:szCs w:val="24"/>
              </w:rPr>
              <w:t>I wrote the criteria. Current approval is only for pediatric population described above.  SMA has 5 types; this drug is for SMA1.</w:t>
            </w:r>
          </w:p>
        </w:tc>
        <w:tc>
          <w:tcPr>
            <w:tcW w:w="1170" w:type="dxa"/>
          </w:tcPr>
          <w:p w14:paraId="76B62303" w14:textId="77777777" w:rsidR="009B5AA5" w:rsidRPr="00FA3F9C" w:rsidRDefault="009B5AA5" w:rsidP="006F623F">
            <w:pPr>
              <w:rPr>
                <w:rFonts w:ascii="Arial" w:hAnsi="Arial" w:cs="Arial"/>
                <w:sz w:val="24"/>
                <w:szCs w:val="24"/>
              </w:rPr>
            </w:pPr>
            <w:r w:rsidRPr="00FA3F9C">
              <w:rPr>
                <w:rFonts w:ascii="Arial" w:hAnsi="Arial" w:cs="Arial"/>
                <w:sz w:val="24"/>
                <w:szCs w:val="24"/>
              </w:rPr>
              <w:t>JK</w:t>
            </w:r>
          </w:p>
        </w:tc>
      </w:tr>
      <w:tr w:rsidR="009B5AA5" w:rsidRPr="00FA3F9C" w14:paraId="0537C7BC" w14:textId="77777777" w:rsidTr="00A52199">
        <w:tc>
          <w:tcPr>
            <w:tcW w:w="1055" w:type="dxa"/>
          </w:tcPr>
          <w:p w14:paraId="3763F6E3" w14:textId="77777777" w:rsidR="009B5AA5" w:rsidRPr="00FA3F9C" w:rsidRDefault="009B5AA5" w:rsidP="006F623F">
            <w:pPr>
              <w:rPr>
                <w:rFonts w:ascii="Arial" w:hAnsi="Arial" w:cs="Arial"/>
                <w:sz w:val="24"/>
                <w:szCs w:val="24"/>
              </w:rPr>
            </w:pPr>
            <w:r w:rsidRPr="00FA3F9C">
              <w:rPr>
                <w:rFonts w:ascii="Arial" w:hAnsi="Arial" w:cs="Arial"/>
                <w:sz w:val="24"/>
                <w:szCs w:val="24"/>
              </w:rPr>
              <w:t>3/11/19</w:t>
            </w:r>
          </w:p>
        </w:tc>
        <w:tc>
          <w:tcPr>
            <w:tcW w:w="8840" w:type="dxa"/>
          </w:tcPr>
          <w:p w14:paraId="1103436D" w14:textId="77777777" w:rsidR="009B5AA5" w:rsidRPr="00FA3F9C" w:rsidRDefault="009B5AA5" w:rsidP="006F623F">
            <w:pPr>
              <w:rPr>
                <w:rFonts w:ascii="Arial" w:hAnsi="Arial" w:cs="Arial"/>
                <w:sz w:val="24"/>
                <w:szCs w:val="24"/>
              </w:rPr>
            </w:pPr>
            <w:r w:rsidRPr="00FA3F9C">
              <w:rPr>
                <w:rFonts w:ascii="Arial" w:hAnsi="Arial" w:cs="Arial"/>
                <w:sz w:val="24"/>
                <w:szCs w:val="24"/>
              </w:rPr>
              <w:t xml:space="preserve">I changed the age of symptom onset per the CHERISH trial.  Those patients also had meaningful clinical improvement.  I also added references 3&amp;4.  The meaningful improvement was estimated to be a </w:t>
            </w:r>
            <w:proofErr w:type="gramStart"/>
            <w:r w:rsidRPr="00FA3F9C">
              <w:rPr>
                <w:rFonts w:ascii="Arial" w:hAnsi="Arial" w:cs="Arial"/>
                <w:sz w:val="24"/>
                <w:szCs w:val="24"/>
              </w:rPr>
              <w:t>3 point</w:t>
            </w:r>
            <w:proofErr w:type="gramEnd"/>
            <w:r w:rsidRPr="00FA3F9C">
              <w:rPr>
                <w:rFonts w:ascii="Arial" w:hAnsi="Arial" w:cs="Arial"/>
                <w:sz w:val="24"/>
                <w:szCs w:val="24"/>
              </w:rPr>
              <w:t xml:space="preserve"> change in HFMSE following 6 months of treatment.  I also changed the disease duration to &lt;7 years because CHERISH showed improvement in older patients.  I did not include in the criteria a HFMSE score because this is used for research purposes and, to my knowledge, not used clinically.</w:t>
            </w:r>
          </w:p>
        </w:tc>
        <w:tc>
          <w:tcPr>
            <w:tcW w:w="1170" w:type="dxa"/>
          </w:tcPr>
          <w:p w14:paraId="453E61B9" w14:textId="5745E5BC" w:rsidR="009B5AA5" w:rsidRPr="00FA3F9C" w:rsidRDefault="005C142D" w:rsidP="006F623F">
            <w:pPr>
              <w:rPr>
                <w:rFonts w:ascii="Arial" w:hAnsi="Arial" w:cs="Arial"/>
                <w:sz w:val="24"/>
                <w:szCs w:val="24"/>
              </w:rPr>
            </w:pPr>
            <w:r w:rsidRPr="00FA3F9C">
              <w:rPr>
                <w:rFonts w:ascii="Arial" w:hAnsi="Arial" w:cs="Arial"/>
                <w:sz w:val="24"/>
                <w:szCs w:val="24"/>
              </w:rPr>
              <w:t>JJ</w:t>
            </w:r>
          </w:p>
        </w:tc>
      </w:tr>
      <w:tr w:rsidR="009B5AA5" w:rsidRPr="00FA3F9C" w14:paraId="1F5C9A8A" w14:textId="77777777" w:rsidTr="00A52199">
        <w:tc>
          <w:tcPr>
            <w:tcW w:w="1055" w:type="dxa"/>
          </w:tcPr>
          <w:p w14:paraId="47F61C63" w14:textId="77777777" w:rsidR="009B5AA5" w:rsidRPr="00FA3F9C" w:rsidRDefault="009B5AA5" w:rsidP="006F623F">
            <w:pPr>
              <w:rPr>
                <w:rFonts w:ascii="Arial" w:hAnsi="Arial" w:cs="Arial"/>
                <w:sz w:val="24"/>
                <w:szCs w:val="24"/>
              </w:rPr>
            </w:pPr>
            <w:r w:rsidRPr="00FA3F9C">
              <w:rPr>
                <w:rFonts w:ascii="Arial" w:hAnsi="Arial" w:cs="Arial"/>
                <w:sz w:val="24"/>
                <w:szCs w:val="24"/>
              </w:rPr>
              <w:t>7/22/19</w:t>
            </w:r>
          </w:p>
        </w:tc>
        <w:tc>
          <w:tcPr>
            <w:tcW w:w="8840" w:type="dxa"/>
          </w:tcPr>
          <w:p w14:paraId="47ABD86F" w14:textId="77777777" w:rsidR="009B5AA5" w:rsidRPr="00FA3F9C" w:rsidRDefault="009B5AA5" w:rsidP="006F623F">
            <w:pPr>
              <w:rPr>
                <w:rFonts w:ascii="Arial" w:hAnsi="Arial" w:cs="Arial"/>
                <w:sz w:val="24"/>
                <w:szCs w:val="24"/>
              </w:rPr>
            </w:pPr>
            <w:r w:rsidRPr="00FA3F9C">
              <w:rPr>
                <w:rFonts w:ascii="Arial" w:hAnsi="Arial" w:cs="Arial"/>
                <w:sz w:val="24"/>
                <w:szCs w:val="24"/>
              </w:rPr>
              <w:t>I updated the criteria for the medical benefit after the 5/24/19 ICER update.</w:t>
            </w:r>
          </w:p>
        </w:tc>
        <w:tc>
          <w:tcPr>
            <w:tcW w:w="1170" w:type="dxa"/>
          </w:tcPr>
          <w:p w14:paraId="269AE554" w14:textId="0A50A815" w:rsidR="009B5AA5" w:rsidRPr="00FA3F9C" w:rsidRDefault="005C142D" w:rsidP="006F623F">
            <w:pPr>
              <w:rPr>
                <w:rFonts w:ascii="Arial" w:hAnsi="Arial" w:cs="Arial"/>
                <w:sz w:val="24"/>
                <w:szCs w:val="24"/>
              </w:rPr>
            </w:pPr>
            <w:r w:rsidRPr="00FA3F9C">
              <w:rPr>
                <w:rFonts w:ascii="Arial" w:hAnsi="Arial" w:cs="Arial"/>
                <w:sz w:val="24"/>
                <w:szCs w:val="24"/>
              </w:rPr>
              <w:t>JJ</w:t>
            </w:r>
          </w:p>
        </w:tc>
      </w:tr>
    </w:tbl>
    <w:p w14:paraId="3EA15D80" w14:textId="77777777" w:rsidR="009B5AA5" w:rsidRPr="00FA3F9C" w:rsidRDefault="009B5AA5" w:rsidP="005645B3">
      <w:pPr>
        <w:spacing w:after="0"/>
        <w:rPr>
          <w:rFonts w:ascii="Arial" w:hAnsi="Arial" w:cs="Arial"/>
          <w:sz w:val="24"/>
          <w:szCs w:val="24"/>
        </w:rPr>
      </w:pPr>
      <w:r w:rsidRPr="00FA3F9C">
        <w:rPr>
          <w:rFonts w:ascii="Arial" w:hAnsi="Arial" w:cs="Arial"/>
          <w:sz w:val="24"/>
          <w:szCs w:val="24"/>
        </w:rPr>
        <w:t>Ref:</w:t>
      </w:r>
    </w:p>
    <w:p w14:paraId="4F8CC846" w14:textId="77777777" w:rsidR="009B5AA5" w:rsidRPr="00FA3F9C" w:rsidRDefault="009B5AA5" w:rsidP="005645B3">
      <w:pPr>
        <w:spacing w:after="0"/>
        <w:rPr>
          <w:rFonts w:ascii="Arial" w:hAnsi="Arial" w:cs="Arial"/>
          <w:color w:val="222222"/>
          <w:sz w:val="24"/>
          <w:szCs w:val="24"/>
          <w:shd w:val="clear" w:color="auto" w:fill="FFFFFF"/>
        </w:rPr>
      </w:pPr>
      <w:r w:rsidRPr="00FA3F9C">
        <w:rPr>
          <w:rFonts w:ascii="Arial" w:hAnsi="Arial" w:cs="Arial"/>
          <w:color w:val="222222"/>
          <w:sz w:val="24"/>
          <w:szCs w:val="24"/>
          <w:shd w:val="clear" w:color="auto" w:fill="FFFFFF"/>
          <w:lang w:val="fr-FR"/>
        </w:rPr>
        <w:t xml:space="preserve">1.  </w:t>
      </w:r>
      <w:proofErr w:type="spellStart"/>
      <w:r w:rsidRPr="00FA3F9C">
        <w:rPr>
          <w:rFonts w:ascii="Arial" w:hAnsi="Arial" w:cs="Arial"/>
          <w:color w:val="222222"/>
          <w:sz w:val="24"/>
          <w:szCs w:val="24"/>
          <w:shd w:val="clear" w:color="auto" w:fill="FFFFFF"/>
          <w:lang w:val="fr-FR"/>
        </w:rPr>
        <w:t>Finkel</w:t>
      </w:r>
      <w:proofErr w:type="spellEnd"/>
      <w:r w:rsidRPr="00FA3F9C">
        <w:rPr>
          <w:rFonts w:ascii="Arial" w:hAnsi="Arial" w:cs="Arial"/>
          <w:color w:val="222222"/>
          <w:sz w:val="24"/>
          <w:szCs w:val="24"/>
          <w:shd w:val="clear" w:color="auto" w:fill="FFFFFF"/>
          <w:lang w:val="fr-FR"/>
        </w:rPr>
        <w:t xml:space="preserve">, Richard S., et al. </w:t>
      </w:r>
      <w:r w:rsidRPr="00FA3F9C">
        <w:rPr>
          <w:rFonts w:ascii="Arial" w:hAnsi="Arial" w:cs="Arial"/>
          <w:color w:val="222222"/>
          <w:sz w:val="24"/>
          <w:szCs w:val="24"/>
          <w:shd w:val="clear" w:color="auto" w:fill="FFFFFF"/>
        </w:rPr>
        <w:t>"</w:t>
      </w:r>
      <w:proofErr w:type="spellStart"/>
      <w:r w:rsidRPr="00FA3F9C">
        <w:rPr>
          <w:rFonts w:ascii="Arial" w:hAnsi="Arial" w:cs="Arial"/>
          <w:color w:val="222222"/>
          <w:sz w:val="24"/>
          <w:szCs w:val="24"/>
          <w:shd w:val="clear" w:color="auto" w:fill="FFFFFF"/>
        </w:rPr>
        <w:t>Nusinersen</w:t>
      </w:r>
      <w:proofErr w:type="spellEnd"/>
      <w:r w:rsidRPr="00FA3F9C">
        <w:rPr>
          <w:rFonts w:ascii="Arial" w:hAnsi="Arial" w:cs="Arial"/>
          <w:color w:val="222222"/>
          <w:sz w:val="24"/>
          <w:szCs w:val="24"/>
          <w:shd w:val="clear" w:color="auto" w:fill="FFFFFF"/>
        </w:rPr>
        <w:t xml:space="preserve"> versus sham control in infantile-onset spinal muscular atrophy." </w:t>
      </w:r>
      <w:r w:rsidRPr="00FA3F9C">
        <w:rPr>
          <w:rFonts w:ascii="Arial" w:hAnsi="Arial" w:cs="Arial"/>
          <w:i/>
          <w:iCs/>
          <w:color w:val="222222"/>
          <w:sz w:val="24"/>
          <w:szCs w:val="24"/>
          <w:shd w:val="clear" w:color="auto" w:fill="FFFFFF"/>
        </w:rPr>
        <w:t>New England Journal of Medicine</w:t>
      </w:r>
      <w:r w:rsidRPr="00FA3F9C">
        <w:rPr>
          <w:rFonts w:ascii="Arial" w:hAnsi="Arial" w:cs="Arial"/>
          <w:color w:val="222222"/>
          <w:sz w:val="24"/>
          <w:szCs w:val="24"/>
          <w:shd w:val="clear" w:color="auto" w:fill="FFFFFF"/>
        </w:rPr>
        <w:t> 377.18 (2017): 1723-1732.  ENDEAR</w:t>
      </w:r>
    </w:p>
    <w:p w14:paraId="66EBF7EC" w14:textId="77777777" w:rsidR="009B5AA5" w:rsidRPr="00FA3F9C" w:rsidRDefault="009B5AA5" w:rsidP="005645B3">
      <w:pPr>
        <w:spacing w:after="0"/>
        <w:rPr>
          <w:rFonts w:ascii="Arial" w:hAnsi="Arial" w:cs="Arial"/>
          <w:sz w:val="24"/>
          <w:szCs w:val="24"/>
        </w:rPr>
      </w:pPr>
      <w:r w:rsidRPr="00FA3F9C">
        <w:rPr>
          <w:rFonts w:ascii="Arial" w:hAnsi="Arial" w:cs="Arial"/>
          <w:sz w:val="24"/>
          <w:szCs w:val="24"/>
        </w:rPr>
        <w:t>2. ICER SMA Draft Evidence Report.  Accessed 1/17/19.</w:t>
      </w:r>
    </w:p>
    <w:p w14:paraId="0593186B" w14:textId="77777777" w:rsidR="009B5AA5" w:rsidRPr="00FA3F9C" w:rsidRDefault="009B5AA5" w:rsidP="005645B3">
      <w:pPr>
        <w:spacing w:after="0"/>
        <w:rPr>
          <w:rFonts w:ascii="Arial" w:eastAsia="Times New Roman" w:hAnsi="Arial" w:cs="Arial"/>
          <w:color w:val="222222"/>
          <w:sz w:val="24"/>
          <w:szCs w:val="24"/>
          <w:shd w:val="clear" w:color="auto" w:fill="F8F8F8"/>
        </w:rPr>
      </w:pPr>
      <w:r w:rsidRPr="00FA3F9C">
        <w:rPr>
          <w:rFonts w:ascii="Arial" w:hAnsi="Arial" w:cs="Arial"/>
          <w:sz w:val="24"/>
          <w:szCs w:val="24"/>
        </w:rPr>
        <w:t xml:space="preserve">3. </w:t>
      </w:r>
      <w:r w:rsidRPr="00FA3F9C">
        <w:rPr>
          <w:rFonts w:ascii="Arial" w:eastAsia="Times New Roman" w:hAnsi="Arial" w:cs="Arial"/>
          <w:color w:val="222222"/>
          <w:sz w:val="24"/>
          <w:szCs w:val="24"/>
          <w:shd w:val="clear" w:color="auto" w:fill="F8F8F8"/>
        </w:rPr>
        <w:t>Swoboda, Kathryn J., et al. "SMA CARNI-VAL trial part I: double-blind, randomized, placebo-controlled trial of L-carnitine and valproic acid in spinal muscular atrophy." </w:t>
      </w:r>
      <w:proofErr w:type="spellStart"/>
      <w:r w:rsidRPr="00FA3F9C">
        <w:rPr>
          <w:rFonts w:ascii="Arial" w:eastAsia="Times New Roman" w:hAnsi="Arial" w:cs="Arial"/>
          <w:i/>
          <w:iCs/>
          <w:color w:val="222222"/>
          <w:sz w:val="24"/>
          <w:szCs w:val="24"/>
          <w:shd w:val="clear" w:color="auto" w:fill="F8F8F8"/>
        </w:rPr>
        <w:t>PLos</w:t>
      </w:r>
      <w:proofErr w:type="spellEnd"/>
      <w:r w:rsidRPr="00FA3F9C">
        <w:rPr>
          <w:rFonts w:ascii="Arial" w:eastAsia="Times New Roman" w:hAnsi="Arial" w:cs="Arial"/>
          <w:i/>
          <w:iCs/>
          <w:color w:val="222222"/>
          <w:sz w:val="24"/>
          <w:szCs w:val="24"/>
          <w:shd w:val="clear" w:color="auto" w:fill="F8F8F8"/>
        </w:rPr>
        <w:t xml:space="preserve"> one</w:t>
      </w:r>
      <w:r w:rsidRPr="00FA3F9C">
        <w:rPr>
          <w:rFonts w:ascii="Arial" w:eastAsia="Times New Roman" w:hAnsi="Arial" w:cs="Arial"/>
          <w:color w:val="222222"/>
          <w:sz w:val="24"/>
          <w:szCs w:val="24"/>
          <w:shd w:val="clear" w:color="auto" w:fill="F8F8F8"/>
        </w:rPr>
        <w:t> 5.8 (2010): e12140.[estimated meaningful endpoint of HMFSE to be 3 points]</w:t>
      </w:r>
    </w:p>
    <w:p w14:paraId="771C61C3" w14:textId="77777777" w:rsidR="009B5AA5" w:rsidRPr="00FA3F9C" w:rsidRDefault="009B5AA5" w:rsidP="005645B3">
      <w:pPr>
        <w:spacing w:after="0"/>
        <w:rPr>
          <w:rFonts w:ascii="Arial" w:eastAsia="Times New Roman" w:hAnsi="Arial" w:cs="Arial"/>
          <w:color w:val="222222"/>
          <w:sz w:val="24"/>
          <w:szCs w:val="24"/>
          <w:shd w:val="clear" w:color="auto" w:fill="F8F8F8"/>
        </w:rPr>
      </w:pPr>
      <w:r w:rsidRPr="00FA3F9C">
        <w:rPr>
          <w:rFonts w:ascii="Arial" w:eastAsia="Times New Roman" w:hAnsi="Arial" w:cs="Arial"/>
          <w:sz w:val="24"/>
          <w:szCs w:val="24"/>
        </w:rPr>
        <w:t xml:space="preserve">4. </w:t>
      </w:r>
      <w:proofErr w:type="spellStart"/>
      <w:r w:rsidRPr="00FA3F9C">
        <w:rPr>
          <w:rFonts w:ascii="Arial" w:eastAsia="Times New Roman" w:hAnsi="Arial" w:cs="Arial"/>
          <w:color w:val="222222"/>
          <w:sz w:val="24"/>
          <w:szCs w:val="24"/>
          <w:shd w:val="clear" w:color="auto" w:fill="F8F8F8"/>
        </w:rPr>
        <w:t>Mercuri</w:t>
      </w:r>
      <w:proofErr w:type="spellEnd"/>
      <w:r w:rsidRPr="00FA3F9C">
        <w:rPr>
          <w:rFonts w:ascii="Arial" w:eastAsia="Times New Roman" w:hAnsi="Arial" w:cs="Arial"/>
          <w:color w:val="222222"/>
          <w:sz w:val="24"/>
          <w:szCs w:val="24"/>
          <w:shd w:val="clear" w:color="auto" w:fill="F8F8F8"/>
        </w:rPr>
        <w:t>, Eugenio, et al. "</w:t>
      </w:r>
      <w:proofErr w:type="spellStart"/>
      <w:r w:rsidRPr="00FA3F9C">
        <w:rPr>
          <w:rFonts w:ascii="Arial" w:eastAsia="Times New Roman" w:hAnsi="Arial" w:cs="Arial"/>
          <w:color w:val="222222"/>
          <w:sz w:val="24"/>
          <w:szCs w:val="24"/>
          <w:shd w:val="clear" w:color="auto" w:fill="F8F8F8"/>
        </w:rPr>
        <w:t>Nusinersen</w:t>
      </w:r>
      <w:proofErr w:type="spellEnd"/>
      <w:r w:rsidRPr="00FA3F9C">
        <w:rPr>
          <w:rFonts w:ascii="Arial" w:eastAsia="Times New Roman" w:hAnsi="Arial" w:cs="Arial"/>
          <w:color w:val="222222"/>
          <w:sz w:val="24"/>
          <w:szCs w:val="24"/>
          <w:shd w:val="clear" w:color="auto" w:fill="F8F8F8"/>
        </w:rPr>
        <w:t xml:space="preserve"> versus sham control in later-onset spinal muscular atrophy." </w:t>
      </w:r>
      <w:r w:rsidRPr="00FA3F9C">
        <w:rPr>
          <w:rFonts w:ascii="Arial" w:eastAsia="Times New Roman" w:hAnsi="Arial" w:cs="Arial"/>
          <w:i/>
          <w:iCs/>
          <w:color w:val="222222"/>
          <w:sz w:val="24"/>
          <w:szCs w:val="24"/>
          <w:shd w:val="clear" w:color="auto" w:fill="F8F8F8"/>
        </w:rPr>
        <w:t>New England Journal of Medicine</w:t>
      </w:r>
      <w:r w:rsidRPr="00FA3F9C">
        <w:rPr>
          <w:rFonts w:ascii="Arial" w:eastAsia="Times New Roman" w:hAnsi="Arial" w:cs="Arial"/>
          <w:color w:val="222222"/>
          <w:sz w:val="24"/>
          <w:szCs w:val="24"/>
          <w:shd w:val="clear" w:color="auto" w:fill="F8F8F8"/>
        </w:rPr>
        <w:t> 378.7 (2018): 625-635. CHERISH</w:t>
      </w:r>
    </w:p>
    <w:p w14:paraId="16DF6C14" w14:textId="77777777" w:rsidR="009B5AA5" w:rsidRPr="00FA3F9C" w:rsidRDefault="009B5AA5" w:rsidP="00A52199">
      <w:pPr>
        <w:rPr>
          <w:rFonts w:ascii="Arial" w:hAnsi="Arial" w:cs="Arial"/>
          <w:sz w:val="24"/>
          <w:szCs w:val="24"/>
        </w:rPr>
      </w:pPr>
      <w:r w:rsidRPr="00FA3F9C">
        <w:rPr>
          <w:rFonts w:ascii="Arial" w:eastAsia="Times New Roman" w:hAnsi="Arial" w:cs="Arial"/>
          <w:sz w:val="24"/>
          <w:szCs w:val="24"/>
        </w:rPr>
        <w:t xml:space="preserve">5. ICER Report. </w:t>
      </w:r>
      <w:proofErr w:type="spellStart"/>
      <w:r w:rsidRPr="00FA3F9C">
        <w:rPr>
          <w:rFonts w:ascii="Arial" w:eastAsia="Times New Roman" w:hAnsi="Arial" w:cs="Arial"/>
          <w:sz w:val="24"/>
          <w:szCs w:val="24"/>
        </w:rPr>
        <w:t>Spinraza</w:t>
      </w:r>
      <w:proofErr w:type="spellEnd"/>
      <w:r w:rsidRPr="00FA3F9C">
        <w:rPr>
          <w:rFonts w:ascii="Arial" w:eastAsia="Times New Roman" w:hAnsi="Arial" w:cs="Arial"/>
          <w:sz w:val="24"/>
          <w:szCs w:val="24"/>
        </w:rPr>
        <w:t xml:space="preserve"> and </w:t>
      </w:r>
      <w:proofErr w:type="spellStart"/>
      <w:r w:rsidRPr="00FA3F9C">
        <w:rPr>
          <w:rFonts w:ascii="Arial" w:eastAsia="Times New Roman" w:hAnsi="Arial" w:cs="Arial"/>
          <w:sz w:val="24"/>
          <w:szCs w:val="24"/>
        </w:rPr>
        <w:t>Zolgensma</w:t>
      </w:r>
      <w:proofErr w:type="spellEnd"/>
      <w:r w:rsidRPr="00FA3F9C">
        <w:rPr>
          <w:rFonts w:ascii="Arial" w:eastAsia="Times New Roman" w:hAnsi="Arial" w:cs="Arial"/>
          <w:sz w:val="24"/>
          <w:szCs w:val="24"/>
        </w:rPr>
        <w:t xml:space="preserve"> for SMA.  </w:t>
      </w:r>
      <w:hyperlink r:id="rId299" w:history="1">
        <w:r w:rsidRPr="00FA3F9C">
          <w:rPr>
            <w:rStyle w:val="Hyperlink"/>
            <w:rFonts w:ascii="Arial" w:hAnsi="Arial" w:cs="Arial"/>
            <w:sz w:val="24"/>
            <w:szCs w:val="24"/>
          </w:rPr>
          <w:t>https://icer-review.org/wp-content/uploads/2018/07/ICER_SMA_Final_Evidence_Report_052419.pdf</w:t>
        </w:r>
      </w:hyperlink>
    </w:p>
    <w:p w14:paraId="14420705" w14:textId="77777777" w:rsidR="009B5AA5" w:rsidRPr="00FA3F9C" w:rsidRDefault="009B5AA5" w:rsidP="000554B1">
      <w:pPr>
        <w:spacing w:after="0"/>
        <w:rPr>
          <w:rFonts w:ascii="Arial" w:hAnsi="Arial" w:cs="Arial"/>
          <w:sz w:val="24"/>
          <w:szCs w:val="24"/>
        </w:rPr>
      </w:pPr>
    </w:p>
    <w:p w14:paraId="4F970C75" w14:textId="77777777" w:rsidR="00EF3B65" w:rsidRDefault="009B5AA5" w:rsidP="00EF3B65">
      <w:pPr>
        <w:pStyle w:val="Heading2"/>
        <w:rPr>
          <w:lang w:val="es-ES"/>
        </w:rPr>
      </w:pPr>
      <w:bookmarkStart w:id="236" w:name="_Toc106369873"/>
      <w:proofErr w:type="spellStart"/>
      <w:r w:rsidRPr="00FA3F9C">
        <w:rPr>
          <w:lang w:val="es-ES"/>
        </w:rPr>
        <w:t>Obinutuzumab</w:t>
      </w:r>
      <w:proofErr w:type="spellEnd"/>
      <w:r w:rsidRPr="00FA3F9C">
        <w:rPr>
          <w:lang w:val="es-ES"/>
        </w:rPr>
        <w:t xml:space="preserve"> (</w:t>
      </w:r>
      <w:proofErr w:type="spellStart"/>
      <w:r w:rsidRPr="00FA3F9C">
        <w:rPr>
          <w:lang w:val="es-ES"/>
        </w:rPr>
        <w:t>Gazyva</w:t>
      </w:r>
      <w:proofErr w:type="spellEnd"/>
      <w:r w:rsidRPr="00FA3F9C">
        <w:rPr>
          <w:lang w:val="es-ES"/>
        </w:rPr>
        <w:t>)</w:t>
      </w:r>
      <w:bookmarkEnd w:id="236"/>
      <w:r w:rsidRPr="00FA3F9C">
        <w:rPr>
          <w:lang w:val="es-ES"/>
        </w:rPr>
        <w:t xml:space="preserve"> </w:t>
      </w:r>
    </w:p>
    <w:p w14:paraId="7D3F7122" w14:textId="63550469" w:rsidR="009B5AA5" w:rsidRPr="00FA3F9C" w:rsidRDefault="009B5AA5" w:rsidP="0052674A">
      <w:pPr>
        <w:spacing w:after="0"/>
        <w:jc w:val="center"/>
        <w:rPr>
          <w:rFonts w:ascii="Arial" w:hAnsi="Arial" w:cs="Arial"/>
          <w:sz w:val="24"/>
          <w:szCs w:val="24"/>
          <w:lang w:val="es-ES"/>
        </w:rPr>
      </w:pPr>
      <w:r w:rsidRPr="00FA3F9C">
        <w:rPr>
          <w:rFonts w:ascii="Arial" w:hAnsi="Arial" w:cs="Arial"/>
          <w:sz w:val="24"/>
          <w:szCs w:val="24"/>
          <w:lang w:val="es-ES"/>
        </w:rPr>
        <w:t>1000 mg/40 ml vial</w:t>
      </w:r>
    </w:p>
    <w:p w14:paraId="05E418E5" w14:textId="77777777" w:rsidR="009B5AA5" w:rsidRPr="00FA3F9C" w:rsidRDefault="009B5AA5" w:rsidP="0052674A">
      <w:pPr>
        <w:spacing w:after="0"/>
        <w:jc w:val="center"/>
        <w:rPr>
          <w:rFonts w:ascii="Arial" w:hAnsi="Arial" w:cs="Arial"/>
          <w:sz w:val="24"/>
          <w:szCs w:val="24"/>
          <w:lang w:val="es-ES"/>
        </w:rPr>
      </w:pPr>
      <w:r w:rsidRPr="00FA3F9C">
        <w:rPr>
          <w:rFonts w:ascii="Arial" w:hAnsi="Arial" w:cs="Arial"/>
          <w:sz w:val="24"/>
          <w:szCs w:val="24"/>
          <w:lang w:val="es-ES"/>
        </w:rPr>
        <w:lastRenderedPageBreak/>
        <w:t xml:space="preserve">EBRx PA </w:t>
      </w:r>
      <w:proofErr w:type="spellStart"/>
      <w:r w:rsidRPr="00FA3F9C">
        <w:rPr>
          <w:rFonts w:ascii="Arial" w:hAnsi="Arial" w:cs="Arial"/>
          <w:sz w:val="24"/>
          <w:szCs w:val="24"/>
          <w:lang w:val="es-ES"/>
        </w:rPr>
        <w:t>Criteria</w:t>
      </w:r>
      <w:proofErr w:type="spellEnd"/>
    </w:p>
    <w:p w14:paraId="1A9BC044" w14:textId="77777777" w:rsidR="009B5AA5" w:rsidRPr="00FA3F9C" w:rsidRDefault="009B5AA5" w:rsidP="0052674A">
      <w:pPr>
        <w:spacing w:after="0"/>
        <w:jc w:val="center"/>
        <w:rPr>
          <w:rFonts w:ascii="Arial" w:hAnsi="Arial" w:cs="Arial"/>
          <w:b/>
          <w:sz w:val="24"/>
          <w:szCs w:val="24"/>
          <w:lang w:val="es-ES"/>
        </w:rPr>
      </w:pPr>
    </w:p>
    <w:p w14:paraId="642BB795" w14:textId="77777777" w:rsidR="009B5AA5" w:rsidRPr="00FA3F9C" w:rsidRDefault="009B5AA5" w:rsidP="0052674A">
      <w:pPr>
        <w:spacing w:after="0"/>
        <w:rPr>
          <w:rFonts w:ascii="Arial" w:hAnsi="Arial" w:cs="Arial"/>
          <w:b/>
          <w:sz w:val="24"/>
          <w:szCs w:val="24"/>
        </w:rPr>
      </w:pPr>
      <w:r w:rsidRPr="00FA3F9C">
        <w:rPr>
          <w:rFonts w:ascii="Arial" w:hAnsi="Arial" w:cs="Arial"/>
          <w:b/>
          <w:sz w:val="24"/>
          <w:szCs w:val="24"/>
        </w:rPr>
        <w:t xml:space="preserve">FDA Approved Indications: </w:t>
      </w:r>
    </w:p>
    <w:p w14:paraId="7C2EC8E2" w14:textId="77777777" w:rsidR="009B5AA5" w:rsidRPr="00FA3F9C" w:rsidRDefault="009B5AA5" w:rsidP="00FC1E85">
      <w:pPr>
        <w:pStyle w:val="ListParagraph"/>
        <w:numPr>
          <w:ilvl w:val="0"/>
          <w:numId w:val="378"/>
        </w:numPr>
        <w:spacing w:after="0" w:line="276" w:lineRule="auto"/>
        <w:rPr>
          <w:rFonts w:ascii="Arial" w:hAnsi="Arial" w:cs="Arial"/>
          <w:sz w:val="24"/>
          <w:szCs w:val="24"/>
        </w:rPr>
      </w:pPr>
      <w:r w:rsidRPr="00FA3F9C">
        <w:rPr>
          <w:rFonts w:ascii="Arial" w:hAnsi="Arial" w:cs="Arial"/>
          <w:sz w:val="24"/>
          <w:szCs w:val="24"/>
        </w:rPr>
        <w:t xml:space="preserve">Treatment of patients with previously untreated chronic lymphocytic leukemia (CLL) in combination with chlorambucil. </w:t>
      </w:r>
    </w:p>
    <w:p w14:paraId="29DD8CAD" w14:textId="77777777" w:rsidR="009B5AA5" w:rsidRPr="00FA3F9C" w:rsidRDefault="009B5AA5" w:rsidP="00FC1E85">
      <w:pPr>
        <w:pStyle w:val="ListParagraph"/>
        <w:numPr>
          <w:ilvl w:val="0"/>
          <w:numId w:val="378"/>
        </w:numPr>
        <w:spacing w:after="0" w:line="276" w:lineRule="auto"/>
        <w:rPr>
          <w:rFonts w:ascii="Arial" w:hAnsi="Arial" w:cs="Arial"/>
          <w:sz w:val="24"/>
          <w:szCs w:val="24"/>
        </w:rPr>
      </w:pPr>
      <w:r w:rsidRPr="00FA3F9C">
        <w:rPr>
          <w:rFonts w:ascii="Arial" w:hAnsi="Arial" w:cs="Arial"/>
          <w:sz w:val="24"/>
          <w:szCs w:val="24"/>
        </w:rPr>
        <w:t xml:space="preserve">in combination with </w:t>
      </w:r>
      <w:proofErr w:type="spellStart"/>
      <w:r w:rsidRPr="00FA3F9C">
        <w:rPr>
          <w:rFonts w:ascii="Arial" w:hAnsi="Arial" w:cs="Arial"/>
          <w:sz w:val="24"/>
          <w:szCs w:val="24"/>
        </w:rPr>
        <w:t>bendamustine</w:t>
      </w:r>
      <w:proofErr w:type="spellEnd"/>
      <w:r w:rsidRPr="00FA3F9C">
        <w:rPr>
          <w:rFonts w:ascii="Arial" w:hAnsi="Arial" w:cs="Arial"/>
          <w:sz w:val="24"/>
          <w:szCs w:val="24"/>
        </w:rPr>
        <w:t xml:space="preserve"> followed by </w:t>
      </w:r>
      <w:proofErr w:type="spellStart"/>
      <w:r w:rsidRPr="00FA3F9C">
        <w:rPr>
          <w:rFonts w:ascii="Arial" w:hAnsi="Arial" w:cs="Arial"/>
          <w:sz w:val="24"/>
          <w:szCs w:val="24"/>
        </w:rPr>
        <w:t>obinutuzumab</w:t>
      </w:r>
      <w:proofErr w:type="spellEnd"/>
      <w:r w:rsidRPr="00FA3F9C">
        <w:rPr>
          <w:rFonts w:ascii="Arial" w:hAnsi="Arial" w:cs="Arial"/>
          <w:sz w:val="24"/>
          <w:szCs w:val="24"/>
        </w:rPr>
        <w:t xml:space="preserve"> monotherapy for treatment of follicular lymphoma in patients who relapsed after, or are refractory to, a rituximab-containing regimen </w:t>
      </w:r>
    </w:p>
    <w:p w14:paraId="336A8504" w14:textId="77777777" w:rsidR="009B5AA5" w:rsidRPr="00FA3F9C" w:rsidRDefault="009B5AA5" w:rsidP="00FC1E85">
      <w:pPr>
        <w:pStyle w:val="ListParagraph"/>
        <w:numPr>
          <w:ilvl w:val="0"/>
          <w:numId w:val="378"/>
        </w:numPr>
        <w:spacing w:after="0" w:line="276" w:lineRule="auto"/>
        <w:rPr>
          <w:rFonts w:ascii="Arial" w:hAnsi="Arial" w:cs="Arial"/>
          <w:sz w:val="24"/>
          <w:szCs w:val="24"/>
        </w:rPr>
      </w:pPr>
      <w:r w:rsidRPr="00FA3F9C">
        <w:rPr>
          <w:rFonts w:ascii="Arial" w:hAnsi="Arial" w:cs="Arial"/>
          <w:sz w:val="24"/>
          <w:szCs w:val="24"/>
        </w:rPr>
        <w:t xml:space="preserve">In combination with chemotherapy followed by </w:t>
      </w:r>
      <w:proofErr w:type="spellStart"/>
      <w:r w:rsidRPr="00FA3F9C">
        <w:rPr>
          <w:rFonts w:ascii="Arial" w:hAnsi="Arial" w:cs="Arial"/>
          <w:sz w:val="24"/>
          <w:szCs w:val="24"/>
        </w:rPr>
        <w:t>obinutuzumab</w:t>
      </w:r>
      <w:proofErr w:type="spellEnd"/>
      <w:r w:rsidRPr="00FA3F9C">
        <w:rPr>
          <w:rFonts w:ascii="Arial" w:hAnsi="Arial" w:cs="Arial"/>
          <w:sz w:val="24"/>
          <w:szCs w:val="24"/>
        </w:rPr>
        <w:t xml:space="preserve"> monotherapy in patients achieving at least a partial remission, for the treatment of adults with previously untreated stage II bulky, III or IV follicular lymphoma </w:t>
      </w:r>
    </w:p>
    <w:p w14:paraId="187DBED3" w14:textId="77777777" w:rsidR="009B5AA5" w:rsidRPr="00FA3F9C" w:rsidRDefault="009B5AA5" w:rsidP="00FC1E85">
      <w:pPr>
        <w:pStyle w:val="ListParagraph"/>
        <w:numPr>
          <w:ilvl w:val="1"/>
          <w:numId w:val="378"/>
        </w:numPr>
        <w:spacing w:after="0" w:line="276" w:lineRule="auto"/>
        <w:rPr>
          <w:rFonts w:ascii="Arial" w:hAnsi="Arial" w:cs="Arial"/>
          <w:sz w:val="24"/>
          <w:szCs w:val="24"/>
        </w:rPr>
      </w:pPr>
      <w:r w:rsidRPr="00FA3F9C">
        <w:rPr>
          <w:rFonts w:ascii="Arial" w:hAnsi="Arial" w:cs="Arial"/>
          <w:sz w:val="24"/>
          <w:szCs w:val="24"/>
          <w:highlight w:val="yellow"/>
        </w:rPr>
        <w:t>NOT COVERED</w:t>
      </w:r>
      <w:r w:rsidRPr="00FA3F9C">
        <w:rPr>
          <w:rFonts w:ascii="Arial" w:hAnsi="Arial" w:cs="Arial"/>
          <w:sz w:val="24"/>
          <w:szCs w:val="24"/>
        </w:rPr>
        <w:t xml:space="preserve">: Obinutuzumab + chemotherapy was compared to rituximab + chemotherapy. A slight benefit in progression free survival was demonstrated but no benefit has been demonstration for overall survival or quality of life yet. </w:t>
      </w:r>
    </w:p>
    <w:p w14:paraId="2B0E6C5C" w14:textId="77777777" w:rsidR="009B5AA5" w:rsidRPr="00FA3F9C" w:rsidRDefault="009B5AA5" w:rsidP="00FC1E85">
      <w:pPr>
        <w:pStyle w:val="ListParagraph"/>
        <w:numPr>
          <w:ilvl w:val="1"/>
          <w:numId w:val="378"/>
        </w:numPr>
        <w:spacing w:after="0" w:line="276" w:lineRule="auto"/>
        <w:rPr>
          <w:rFonts w:ascii="Arial" w:hAnsi="Arial" w:cs="Arial"/>
          <w:sz w:val="24"/>
          <w:szCs w:val="24"/>
        </w:rPr>
      </w:pPr>
      <w:r w:rsidRPr="00FA3F9C">
        <w:rPr>
          <w:rFonts w:ascii="Arial" w:hAnsi="Arial" w:cs="Arial"/>
          <w:sz w:val="24"/>
          <w:szCs w:val="24"/>
        </w:rPr>
        <w:t xml:space="preserve">Reference: </w:t>
      </w:r>
      <w:proofErr w:type="spellStart"/>
      <w:r w:rsidRPr="00FA3F9C">
        <w:rPr>
          <w:rFonts w:ascii="Arial" w:hAnsi="Arial" w:cs="Arial"/>
          <w:sz w:val="24"/>
          <w:szCs w:val="24"/>
        </w:rPr>
        <w:t>Hiddemann</w:t>
      </w:r>
      <w:proofErr w:type="spellEnd"/>
      <w:r w:rsidRPr="00FA3F9C">
        <w:rPr>
          <w:rFonts w:ascii="Arial" w:hAnsi="Arial" w:cs="Arial"/>
          <w:sz w:val="24"/>
          <w:szCs w:val="24"/>
        </w:rPr>
        <w:t xml:space="preserve"> W et al. Immunochemotherapy </w:t>
      </w:r>
      <w:proofErr w:type="gramStart"/>
      <w:r w:rsidRPr="00FA3F9C">
        <w:rPr>
          <w:rFonts w:ascii="Arial" w:hAnsi="Arial" w:cs="Arial"/>
          <w:sz w:val="24"/>
          <w:szCs w:val="24"/>
        </w:rPr>
        <w:t>With</w:t>
      </w:r>
      <w:proofErr w:type="gramEnd"/>
      <w:r w:rsidRPr="00FA3F9C">
        <w:rPr>
          <w:rFonts w:ascii="Arial" w:hAnsi="Arial" w:cs="Arial"/>
          <w:sz w:val="24"/>
          <w:szCs w:val="24"/>
        </w:rPr>
        <w:t xml:space="preserve"> Obinutuzumab or Rituximab for Previously Untreated Follicular Lymphoma in the GALLIUM Study: Influence of Chemotherapy on Efficacy and Safety. J Clin Oncol. 2018 Aug 10;36(23):2395-2404. NCT01332968 PMID 29856692 </w:t>
      </w:r>
    </w:p>
    <w:p w14:paraId="635FD8BE" w14:textId="77777777" w:rsidR="009B5AA5" w:rsidRPr="00FA3F9C" w:rsidRDefault="009B5AA5" w:rsidP="0093072B">
      <w:pPr>
        <w:spacing w:after="0"/>
        <w:rPr>
          <w:rFonts w:ascii="Arial" w:hAnsi="Arial" w:cs="Arial"/>
          <w:sz w:val="24"/>
          <w:szCs w:val="24"/>
          <w:highlight w:val="cyan"/>
        </w:rPr>
      </w:pPr>
    </w:p>
    <w:p w14:paraId="6F0ACA43" w14:textId="77777777" w:rsidR="009B5AA5" w:rsidRPr="00FA3F9C" w:rsidRDefault="009B5AA5" w:rsidP="0004674B">
      <w:pPr>
        <w:rPr>
          <w:rFonts w:ascii="Arial" w:hAnsi="Arial" w:cs="Arial"/>
          <w:sz w:val="24"/>
          <w:szCs w:val="24"/>
        </w:rPr>
      </w:pPr>
      <w:r w:rsidRPr="00FA3F9C">
        <w:rPr>
          <w:rFonts w:ascii="Arial" w:hAnsi="Arial" w:cs="Arial"/>
          <w:sz w:val="24"/>
          <w:szCs w:val="24"/>
          <w:highlight w:val="cyan"/>
        </w:rPr>
        <w:t>Note</w:t>
      </w:r>
      <w:r w:rsidRPr="00FA3F9C">
        <w:rPr>
          <w:rFonts w:ascii="Arial" w:hAnsi="Arial" w:cs="Arial"/>
          <w:sz w:val="24"/>
          <w:szCs w:val="24"/>
        </w:rPr>
        <w:t xml:space="preserve">: </w:t>
      </w:r>
      <w:proofErr w:type="spellStart"/>
      <w:r w:rsidRPr="00FA3F9C">
        <w:rPr>
          <w:rFonts w:ascii="Arial" w:hAnsi="Arial" w:cs="Arial"/>
          <w:sz w:val="24"/>
          <w:szCs w:val="24"/>
        </w:rPr>
        <w:t>obinutuzumab</w:t>
      </w:r>
      <w:proofErr w:type="spellEnd"/>
      <w:r w:rsidRPr="00FA3F9C">
        <w:rPr>
          <w:rFonts w:ascii="Arial" w:hAnsi="Arial" w:cs="Arial"/>
          <w:sz w:val="24"/>
          <w:szCs w:val="24"/>
        </w:rPr>
        <w:t xml:space="preserve"> is also FDA approved in combination with </w:t>
      </w:r>
      <w:proofErr w:type="spellStart"/>
      <w:r w:rsidRPr="00FA3F9C">
        <w:rPr>
          <w:rFonts w:ascii="Arial" w:hAnsi="Arial" w:cs="Arial"/>
          <w:sz w:val="24"/>
          <w:szCs w:val="24"/>
        </w:rPr>
        <w:t>venetoclax</w:t>
      </w:r>
      <w:proofErr w:type="spellEnd"/>
      <w:r w:rsidRPr="00FA3F9C">
        <w:rPr>
          <w:rFonts w:ascii="Arial" w:hAnsi="Arial" w:cs="Arial"/>
          <w:sz w:val="24"/>
          <w:szCs w:val="24"/>
        </w:rPr>
        <w:t xml:space="preserve"> for </w:t>
      </w:r>
      <w:r w:rsidRPr="00FA3F9C">
        <w:rPr>
          <w:rFonts w:ascii="Arial" w:hAnsi="Arial" w:cs="Arial"/>
          <w:sz w:val="24"/>
          <w:szCs w:val="24"/>
          <w:u w:val="single"/>
        </w:rPr>
        <w:t>untreated CLL/SLL</w:t>
      </w:r>
      <w:r w:rsidRPr="00FA3F9C">
        <w:rPr>
          <w:rFonts w:ascii="Arial" w:hAnsi="Arial" w:cs="Arial"/>
          <w:sz w:val="24"/>
          <w:szCs w:val="24"/>
        </w:rPr>
        <w:t xml:space="preserve">. This indication is listed in the </w:t>
      </w:r>
      <w:proofErr w:type="spellStart"/>
      <w:r w:rsidRPr="00FA3F9C">
        <w:rPr>
          <w:rFonts w:ascii="Arial" w:hAnsi="Arial" w:cs="Arial"/>
          <w:sz w:val="24"/>
          <w:szCs w:val="24"/>
        </w:rPr>
        <w:t>venetoclax</w:t>
      </w:r>
      <w:proofErr w:type="spellEnd"/>
      <w:r w:rsidRPr="00FA3F9C">
        <w:rPr>
          <w:rFonts w:ascii="Arial" w:hAnsi="Arial" w:cs="Arial"/>
          <w:sz w:val="24"/>
          <w:szCs w:val="24"/>
        </w:rPr>
        <w:t xml:space="preserve"> package insert and not in the </w:t>
      </w:r>
      <w:proofErr w:type="spellStart"/>
      <w:r w:rsidRPr="00FA3F9C">
        <w:rPr>
          <w:rFonts w:ascii="Arial" w:hAnsi="Arial" w:cs="Arial"/>
          <w:sz w:val="24"/>
          <w:szCs w:val="24"/>
        </w:rPr>
        <w:t>obinutuzumab</w:t>
      </w:r>
      <w:proofErr w:type="spellEnd"/>
      <w:r w:rsidRPr="00FA3F9C">
        <w:rPr>
          <w:rFonts w:ascii="Arial" w:hAnsi="Arial" w:cs="Arial"/>
          <w:sz w:val="24"/>
          <w:szCs w:val="24"/>
        </w:rPr>
        <w:t xml:space="preserve"> package </w:t>
      </w:r>
      <w:proofErr w:type="gramStart"/>
      <w:r w:rsidRPr="00FA3F9C">
        <w:rPr>
          <w:rFonts w:ascii="Arial" w:hAnsi="Arial" w:cs="Arial"/>
          <w:sz w:val="24"/>
          <w:szCs w:val="24"/>
        </w:rPr>
        <w:t>insert, and</w:t>
      </w:r>
      <w:proofErr w:type="gramEnd"/>
      <w:r w:rsidRPr="00FA3F9C">
        <w:rPr>
          <w:rFonts w:ascii="Arial" w:hAnsi="Arial" w:cs="Arial"/>
          <w:sz w:val="24"/>
          <w:szCs w:val="24"/>
        </w:rPr>
        <w:t xml:space="preserve"> is not covered by EBRx.  The approval for first line use of </w:t>
      </w:r>
      <w:proofErr w:type="spellStart"/>
      <w:r w:rsidRPr="00FA3F9C">
        <w:rPr>
          <w:rFonts w:ascii="Arial" w:hAnsi="Arial" w:cs="Arial"/>
          <w:sz w:val="24"/>
          <w:szCs w:val="24"/>
        </w:rPr>
        <w:t>venetoclax</w:t>
      </w:r>
      <w:proofErr w:type="spellEnd"/>
      <w:r w:rsidRPr="00FA3F9C">
        <w:rPr>
          <w:rFonts w:ascii="Arial" w:hAnsi="Arial" w:cs="Arial"/>
          <w:sz w:val="24"/>
          <w:szCs w:val="24"/>
        </w:rPr>
        <w:t xml:space="preserve"> in combination with </w:t>
      </w:r>
      <w:proofErr w:type="spellStart"/>
      <w:r w:rsidRPr="00FA3F9C">
        <w:rPr>
          <w:rFonts w:ascii="Arial" w:hAnsi="Arial" w:cs="Arial"/>
          <w:sz w:val="24"/>
          <w:szCs w:val="24"/>
        </w:rPr>
        <w:t>obinutuzumab</w:t>
      </w:r>
      <w:proofErr w:type="spellEnd"/>
      <w:r w:rsidRPr="00FA3F9C">
        <w:rPr>
          <w:rFonts w:ascii="Arial" w:hAnsi="Arial" w:cs="Arial"/>
          <w:sz w:val="24"/>
          <w:szCs w:val="24"/>
        </w:rPr>
        <w:t xml:space="preserve"> was based on a study that enrolled older patients or patients with comorbidities. Progression free survival (PFS) was improved with </w:t>
      </w:r>
      <w:proofErr w:type="spellStart"/>
      <w:r w:rsidRPr="00FA3F9C">
        <w:rPr>
          <w:rFonts w:ascii="Arial" w:hAnsi="Arial" w:cs="Arial"/>
          <w:sz w:val="24"/>
          <w:szCs w:val="24"/>
        </w:rPr>
        <w:t>obinutuzumab+venetoclax</w:t>
      </w:r>
      <w:proofErr w:type="spellEnd"/>
      <w:r w:rsidRPr="00FA3F9C">
        <w:rPr>
          <w:rFonts w:ascii="Arial" w:hAnsi="Arial" w:cs="Arial"/>
          <w:sz w:val="24"/>
          <w:szCs w:val="24"/>
        </w:rPr>
        <w:t xml:space="preserve"> compared with </w:t>
      </w:r>
      <w:proofErr w:type="spellStart"/>
      <w:r w:rsidRPr="00FA3F9C">
        <w:rPr>
          <w:rFonts w:ascii="Arial" w:hAnsi="Arial" w:cs="Arial"/>
          <w:sz w:val="24"/>
          <w:szCs w:val="24"/>
        </w:rPr>
        <w:t>obinutuzumab</w:t>
      </w:r>
      <w:proofErr w:type="spellEnd"/>
      <w:r w:rsidRPr="00FA3F9C">
        <w:rPr>
          <w:rFonts w:ascii="Arial" w:hAnsi="Arial" w:cs="Arial"/>
          <w:sz w:val="24"/>
          <w:szCs w:val="24"/>
        </w:rPr>
        <w:t xml:space="preserve"> + chlorambucil (24-month rate of PFS 88% vs 64%). At 4 years, the rate of PFS remained improved with </w:t>
      </w:r>
      <w:proofErr w:type="spellStart"/>
      <w:r w:rsidRPr="00FA3F9C">
        <w:rPr>
          <w:rFonts w:ascii="Arial" w:hAnsi="Arial" w:cs="Arial"/>
          <w:sz w:val="24"/>
          <w:szCs w:val="24"/>
        </w:rPr>
        <w:t>obinutuzumab</w:t>
      </w:r>
      <w:proofErr w:type="spellEnd"/>
      <w:r w:rsidRPr="00FA3F9C">
        <w:rPr>
          <w:rFonts w:ascii="Arial" w:hAnsi="Arial" w:cs="Arial"/>
          <w:sz w:val="24"/>
          <w:szCs w:val="24"/>
        </w:rPr>
        <w:t>/</w:t>
      </w:r>
      <w:proofErr w:type="spellStart"/>
      <w:r w:rsidRPr="00FA3F9C">
        <w:rPr>
          <w:rFonts w:ascii="Arial" w:hAnsi="Arial" w:cs="Arial"/>
          <w:sz w:val="24"/>
          <w:szCs w:val="24"/>
        </w:rPr>
        <w:t>venetoclax</w:t>
      </w:r>
      <w:proofErr w:type="spellEnd"/>
      <w:r w:rsidRPr="00FA3F9C">
        <w:rPr>
          <w:rFonts w:ascii="Arial" w:hAnsi="Arial" w:cs="Arial"/>
          <w:sz w:val="24"/>
          <w:szCs w:val="24"/>
        </w:rPr>
        <w:t xml:space="preserve"> (74% vs 35%). At a median follow up of 52 </w:t>
      </w:r>
      <w:proofErr w:type="spellStart"/>
      <w:r w:rsidRPr="00FA3F9C">
        <w:rPr>
          <w:rFonts w:ascii="Arial" w:hAnsi="Arial" w:cs="Arial"/>
          <w:sz w:val="24"/>
          <w:szCs w:val="24"/>
        </w:rPr>
        <w:t>mo</w:t>
      </w:r>
      <w:proofErr w:type="spellEnd"/>
      <w:r w:rsidRPr="00FA3F9C">
        <w:rPr>
          <w:rFonts w:ascii="Arial" w:hAnsi="Arial" w:cs="Arial"/>
          <w:sz w:val="24"/>
          <w:szCs w:val="24"/>
        </w:rPr>
        <w:t xml:space="preserve">, the median OS has </w:t>
      </w:r>
      <w:proofErr w:type="gramStart"/>
      <w:r w:rsidRPr="00FA3F9C">
        <w:rPr>
          <w:rFonts w:ascii="Arial" w:hAnsi="Arial" w:cs="Arial"/>
          <w:sz w:val="24"/>
          <w:szCs w:val="24"/>
        </w:rPr>
        <w:t>was</w:t>
      </w:r>
      <w:proofErr w:type="gramEnd"/>
      <w:r w:rsidRPr="00FA3F9C">
        <w:rPr>
          <w:rFonts w:ascii="Arial" w:hAnsi="Arial" w:cs="Arial"/>
          <w:sz w:val="24"/>
          <w:szCs w:val="24"/>
        </w:rPr>
        <w:t xml:space="preserve"> not reached in either arm (HR, 0.85; 95% CI, 0.54-1.35; P = 0.4929), and the 4-year OS rate was 85% for the </w:t>
      </w:r>
      <w:proofErr w:type="spellStart"/>
      <w:r w:rsidRPr="00FA3F9C">
        <w:rPr>
          <w:rFonts w:ascii="Arial" w:hAnsi="Arial" w:cs="Arial"/>
          <w:sz w:val="24"/>
          <w:szCs w:val="24"/>
        </w:rPr>
        <w:t>venetoclax</w:t>
      </w:r>
      <w:proofErr w:type="spellEnd"/>
      <w:r w:rsidRPr="00FA3F9C">
        <w:rPr>
          <w:rFonts w:ascii="Arial" w:hAnsi="Arial" w:cs="Arial"/>
          <w:sz w:val="24"/>
          <w:szCs w:val="24"/>
        </w:rPr>
        <w:t xml:space="preserve"> arm and 83% for the control arm.  Quality of life was not improved to a greater extent than the control group. See ibrutinib (Imbruvica) which does have overall survival data reported in the first-line setting. </w:t>
      </w:r>
    </w:p>
    <w:p w14:paraId="0BFE52FF" w14:textId="77777777" w:rsidR="009B5AA5" w:rsidRPr="00FA3F9C" w:rsidRDefault="009B5AA5" w:rsidP="0004674B">
      <w:pPr>
        <w:spacing w:after="0" w:line="240" w:lineRule="auto"/>
        <w:ind w:left="993" w:hanging="187"/>
        <w:rPr>
          <w:rFonts w:ascii="Arial" w:hAnsi="Arial" w:cs="Arial"/>
          <w:sz w:val="24"/>
          <w:szCs w:val="24"/>
        </w:rPr>
      </w:pPr>
      <w:r w:rsidRPr="00FA3F9C">
        <w:rPr>
          <w:rFonts w:ascii="Arial" w:hAnsi="Arial" w:cs="Arial"/>
          <w:sz w:val="24"/>
          <w:szCs w:val="24"/>
        </w:rPr>
        <w:t xml:space="preserve">References: </w:t>
      </w:r>
    </w:p>
    <w:p w14:paraId="36C2AE6B" w14:textId="77777777" w:rsidR="009B5AA5" w:rsidRPr="00FA3F9C" w:rsidRDefault="009B5AA5" w:rsidP="00FC1E85">
      <w:pPr>
        <w:pStyle w:val="ListParagraph"/>
        <w:numPr>
          <w:ilvl w:val="2"/>
          <w:numId w:val="379"/>
        </w:numPr>
        <w:ind w:left="990" w:hanging="180"/>
        <w:rPr>
          <w:rFonts w:ascii="Arial" w:hAnsi="Arial" w:cs="Arial"/>
          <w:sz w:val="24"/>
          <w:szCs w:val="24"/>
        </w:rPr>
      </w:pPr>
      <w:r w:rsidRPr="00FA3F9C">
        <w:rPr>
          <w:rFonts w:ascii="Arial" w:hAnsi="Arial" w:cs="Arial"/>
          <w:sz w:val="24"/>
          <w:szCs w:val="24"/>
        </w:rPr>
        <w:t xml:space="preserve">Fischer K et al. </w:t>
      </w:r>
      <w:proofErr w:type="spellStart"/>
      <w:r w:rsidRPr="00FA3F9C">
        <w:rPr>
          <w:rFonts w:ascii="Arial" w:hAnsi="Arial" w:cs="Arial"/>
          <w:sz w:val="24"/>
          <w:szCs w:val="24"/>
        </w:rPr>
        <w:t>Venetoclax</w:t>
      </w:r>
      <w:proofErr w:type="spellEnd"/>
      <w:r w:rsidRPr="00FA3F9C">
        <w:rPr>
          <w:rFonts w:ascii="Arial" w:hAnsi="Arial" w:cs="Arial"/>
          <w:sz w:val="24"/>
          <w:szCs w:val="24"/>
        </w:rPr>
        <w:t xml:space="preserve"> and Obinutuzumab in Patients with CLL and Coexisting Conditions. N </w:t>
      </w:r>
      <w:proofErr w:type="spellStart"/>
      <w:r w:rsidRPr="00FA3F9C">
        <w:rPr>
          <w:rFonts w:ascii="Arial" w:hAnsi="Arial" w:cs="Arial"/>
          <w:sz w:val="24"/>
          <w:szCs w:val="24"/>
        </w:rPr>
        <w:t>Engl</w:t>
      </w:r>
      <w:proofErr w:type="spellEnd"/>
      <w:r w:rsidRPr="00FA3F9C">
        <w:rPr>
          <w:rFonts w:ascii="Arial" w:hAnsi="Arial" w:cs="Arial"/>
          <w:sz w:val="24"/>
          <w:szCs w:val="24"/>
        </w:rPr>
        <w:t xml:space="preserve"> J Med. 2019 Jun 6;380(23):2225-2236. </w:t>
      </w:r>
      <w:proofErr w:type="spellStart"/>
      <w:r w:rsidRPr="00FA3F9C">
        <w:rPr>
          <w:rFonts w:ascii="Arial" w:hAnsi="Arial" w:cs="Arial"/>
          <w:sz w:val="24"/>
          <w:szCs w:val="24"/>
        </w:rPr>
        <w:t>doi</w:t>
      </w:r>
      <w:proofErr w:type="spellEnd"/>
      <w:r w:rsidRPr="00FA3F9C">
        <w:rPr>
          <w:rFonts w:ascii="Arial" w:hAnsi="Arial" w:cs="Arial"/>
          <w:sz w:val="24"/>
          <w:szCs w:val="24"/>
        </w:rPr>
        <w:t xml:space="preserve">: 10.1056/NEJMoa1815281. </w:t>
      </w:r>
      <w:proofErr w:type="spellStart"/>
      <w:r w:rsidRPr="00FA3F9C">
        <w:rPr>
          <w:rFonts w:ascii="Arial" w:hAnsi="Arial" w:cs="Arial"/>
          <w:sz w:val="24"/>
          <w:szCs w:val="24"/>
        </w:rPr>
        <w:t>Epub</w:t>
      </w:r>
      <w:proofErr w:type="spellEnd"/>
      <w:r w:rsidRPr="00FA3F9C">
        <w:rPr>
          <w:rFonts w:ascii="Arial" w:hAnsi="Arial" w:cs="Arial"/>
          <w:sz w:val="24"/>
          <w:szCs w:val="24"/>
        </w:rPr>
        <w:t xml:space="preserve"> 2019 Jun 4. PMID 31166681 NCT02242942</w:t>
      </w:r>
    </w:p>
    <w:p w14:paraId="65AA1809" w14:textId="77777777" w:rsidR="009B5AA5" w:rsidRPr="00FA3F9C" w:rsidRDefault="009B5AA5" w:rsidP="00FC1E85">
      <w:pPr>
        <w:pStyle w:val="ListParagraph"/>
        <w:numPr>
          <w:ilvl w:val="2"/>
          <w:numId w:val="379"/>
        </w:numPr>
        <w:ind w:left="990" w:hanging="180"/>
        <w:rPr>
          <w:rFonts w:ascii="Arial" w:hAnsi="Arial" w:cs="Arial"/>
          <w:sz w:val="24"/>
          <w:szCs w:val="24"/>
        </w:rPr>
      </w:pPr>
      <w:r w:rsidRPr="00FA3F9C">
        <w:rPr>
          <w:rFonts w:ascii="Arial" w:hAnsi="Arial" w:cs="Arial"/>
          <w:sz w:val="24"/>
          <w:szCs w:val="24"/>
          <w:lang w:val="es-ES"/>
        </w:rPr>
        <w:t>Al-</w:t>
      </w:r>
      <w:proofErr w:type="spellStart"/>
      <w:r w:rsidRPr="00FA3F9C">
        <w:rPr>
          <w:rFonts w:ascii="Arial" w:hAnsi="Arial" w:cs="Arial"/>
          <w:sz w:val="24"/>
          <w:szCs w:val="24"/>
          <w:lang w:val="es-ES"/>
        </w:rPr>
        <w:t>Sawaf</w:t>
      </w:r>
      <w:proofErr w:type="spellEnd"/>
      <w:r w:rsidRPr="00FA3F9C">
        <w:rPr>
          <w:rFonts w:ascii="Arial" w:hAnsi="Arial" w:cs="Arial"/>
          <w:sz w:val="24"/>
          <w:szCs w:val="24"/>
          <w:lang w:val="es-ES"/>
        </w:rPr>
        <w:t xml:space="preserve"> O et al. </w:t>
      </w:r>
      <w:proofErr w:type="spellStart"/>
      <w:r w:rsidRPr="00FA3F9C">
        <w:rPr>
          <w:rFonts w:ascii="Arial" w:hAnsi="Arial" w:cs="Arial"/>
          <w:sz w:val="24"/>
          <w:szCs w:val="24"/>
        </w:rPr>
        <w:t>Venetoclax</w:t>
      </w:r>
      <w:proofErr w:type="spellEnd"/>
      <w:r w:rsidRPr="00FA3F9C">
        <w:rPr>
          <w:rFonts w:ascii="Arial" w:hAnsi="Arial" w:cs="Arial"/>
          <w:sz w:val="24"/>
          <w:szCs w:val="24"/>
        </w:rPr>
        <w:t xml:space="preserve"> plus </w:t>
      </w:r>
      <w:proofErr w:type="spellStart"/>
      <w:r w:rsidRPr="00FA3F9C">
        <w:rPr>
          <w:rFonts w:ascii="Arial" w:hAnsi="Arial" w:cs="Arial"/>
          <w:sz w:val="24"/>
          <w:szCs w:val="24"/>
        </w:rPr>
        <w:t>obinutuzumab</w:t>
      </w:r>
      <w:proofErr w:type="spellEnd"/>
      <w:r w:rsidRPr="00FA3F9C">
        <w:rPr>
          <w:rFonts w:ascii="Arial" w:hAnsi="Arial" w:cs="Arial"/>
          <w:sz w:val="24"/>
          <w:szCs w:val="24"/>
        </w:rPr>
        <w:t xml:space="preserve"> versus chlorambucil plus </w:t>
      </w:r>
      <w:proofErr w:type="spellStart"/>
      <w:r w:rsidRPr="00FA3F9C">
        <w:rPr>
          <w:rFonts w:ascii="Arial" w:hAnsi="Arial" w:cs="Arial"/>
          <w:sz w:val="24"/>
          <w:szCs w:val="24"/>
        </w:rPr>
        <w:t>obinutuzumab</w:t>
      </w:r>
      <w:proofErr w:type="spellEnd"/>
      <w:r w:rsidRPr="00FA3F9C">
        <w:rPr>
          <w:rFonts w:ascii="Arial" w:hAnsi="Arial" w:cs="Arial"/>
          <w:sz w:val="24"/>
          <w:szCs w:val="24"/>
        </w:rPr>
        <w:t xml:space="preserve"> for previously untreated chronic lymphocytic </w:t>
      </w:r>
      <w:proofErr w:type="spellStart"/>
      <w:r w:rsidRPr="00FA3F9C">
        <w:rPr>
          <w:rFonts w:ascii="Arial" w:hAnsi="Arial" w:cs="Arial"/>
          <w:sz w:val="24"/>
          <w:szCs w:val="24"/>
        </w:rPr>
        <w:t>leukaemia</w:t>
      </w:r>
      <w:proofErr w:type="spellEnd"/>
      <w:r w:rsidRPr="00FA3F9C">
        <w:rPr>
          <w:rFonts w:ascii="Arial" w:hAnsi="Arial" w:cs="Arial"/>
          <w:sz w:val="24"/>
          <w:szCs w:val="24"/>
        </w:rPr>
        <w:t xml:space="preserve"> (CLL14): follow-up results from a </w:t>
      </w:r>
      <w:proofErr w:type="spellStart"/>
      <w:r w:rsidRPr="00FA3F9C">
        <w:rPr>
          <w:rFonts w:ascii="Arial" w:hAnsi="Arial" w:cs="Arial"/>
          <w:sz w:val="24"/>
          <w:szCs w:val="24"/>
        </w:rPr>
        <w:t>multicentre</w:t>
      </w:r>
      <w:proofErr w:type="spellEnd"/>
      <w:r w:rsidRPr="00FA3F9C">
        <w:rPr>
          <w:rFonts w:ascii="Arial" w:hAnsi="Arial" w:cs="Arial"/>
          <w:sz w:val="24"/>
          <w:szCs w:val="24"/>
        </w:rPr>
        <w:t xml:space="preserve">, open-label, </w:t>
      </w:r>
      <w:proofErr w:type="spellStart"/>
      <w:r w:rsidRPr="00FA3F9C">
        <w:rPr>
          <w:rFonts w:ascii="Arial" w:hAnsi="Arial" w:cs="Arial"/>
          <w:sz w:val="24"/>
          <w:szCs w:val="24"/>
        </w:rPr>
        <w:t>randomised</w:t>
      </w:r>
      <w:proofErr w:type="spellEnd"/>
      <w:r w:rsidRPr="00FA3F9C">
        <w:rPr>
          <w:rFonts w:ascii="Arial" w:hAnsi="Arial" w:cs="Arial"/>
          <w:sz w:val="24"/>
          <w:szCs w:val="24"/>
        </w:rPr>
        <w:t xml:space="preserve">, phase 3 trial. Lancet Oncol. 2020 Sep;21(9):1188-1200. </w:t>
      </w:r>
      <w:proofErr w:type="spellStart"/>
      <w:r w:rsidRPr="00FA3F9C">
        <w:rPr>
          <w:rFonts w:ascii="Arial" w:hAnsi="Arial" w:cs="Arial"/>
          <w:sz w:val="24"/>
          <w:szCs w:val="24"/>
        </w:rPr>
        <w:t>doi</w:t>
      </w:r>
      <w:proofErr w:type="spellEnd"/>
      <w:r w:rsidRPr="00FA3F9C">
        <w:rPr>
          <w:rFonts w:ascii="Arial" w:hAnsi="Arial" w:cs="Arial"/>
          <w:sz w:val="24"/>
          <w:szCs w:val="24"/>
        </w:rPr>
        <w:t>: 10.1016/S1470-2045(20)30443-5. PMID: 32888452.</w:t>
      </w:r>
    </w:p>
    <w:p w14:paraId="4968F0F4" w14:textId="77777777" w:rsidR="009B5AA5" w:rsidRPr="00FA3F9C" w:rsidRDefault="009B5AA5" w:rsidP="00FC1E85">
      <w:pPr>
        <w:pStyle w:val="ListParagraph"/>
        <w:numPr>
          <w:ilvl w:val="2"/>
          <w:numId w:val="379"/>
        </w:numPr>
        <w:ind w:left="990" w:hanging="180"/>
        <w:rPr>
          <w:rFonts w:ascii="Arial" w:hAnsi="Arial" w:cs="Arial"/>
          <w:sz w:val="24"/>
          <w:szCs w:val="24"/>
        </w:rPr>
      </w:pPr>
      <w:r w:rsidRPr="00FA3F9C">
        <w:rPr>
          <w:rFonts w:ascii="Arial" w:hAnsi="Arial" w:cs="Arial"/>
          <w:sz w:val="24"/>
          <w:szCs w:val="24"/>
          <w:lang w:val="es-ES"/>
        </w:rPr>
        <w:lastRenderedPageBreak/>
        <w:t>Al-</w:t>
      </w:r>
      <w:proofErr w:type="spellStart"/>
      <w:r w:rsidRPr="00FA3F9C">
        <w:rPr>
          <w:rFonts w:ascii="Arial" w:hAnsi="Arial" w:cs="Arial"/>
          <w:sz w:val="24"/>
          <w:szCs w:val="24"/>
          <w:lang w:val="es-ES"/>
        </w:rPr>
        <w:t>Sawaf</w:t>
      </w:r>
      <w:proofErr w:type="spellEnd"/>
      <w:r w:rsidRPr="00FA3F9C">
        <w:rPr>
          <w:rFonts w:ascii="Arial" w:hAnsi="Arial" w:cs="Arial"/>
          <w:sz w:val="24"/>
          <w:szCs w:val="24"/>
          <w:lang w:val="es-ES"/>
        </w:rPr>
        <w:t xml:space="preserve"> O et al.  </w:t>
      </w:r>
      <w:r w:rsidRPr="00FA3F9C">
        <w:rPr>
          <w:rFonts w:ascii="Arial" w:hAnsi="Arial" w:cs="Arial"/>
          <w:sz w:val="24"/>
          <w:szCs w:val="24"/>
        </w:rPr>
        <w:t xml:space="preserve">Rapid Improvement of Patient-Reported Outcomes with </w:t>
      </w:r>
      <w:proofErr w:type="spellStart"/>
      <w:r w:rsidRPr="00FA3F9C">
        <w:rPr>
          <w:rFonts w:ascii="Arial" w:hAnsi="Arial" w:cs="Arial"/>
          <w:sz w:val="24"/>
          <w:szCs w:val="24"/>
        </w:rPr>
        <w:t>Venetoclax</w:t>
      </w:r>
      <w:proofErr w:type="spellEnd"/>
      <w:r w:rsidRPr="00FA3F9C">
        <w:rPr>
          <w:rFonts w:ascii="Arial" w:hAnsi="Arial" w:cs="Arial"/>
          <w:sz w:val="24"/>
          <w:szCs w:val="24"/>
        </w:rPr>
        <w:t xml:space="preserve"> Plus Obinutuzumab in Patients with Previously Untreated CLL and Coexisting Conditions: A Prospective Analysis from the CLL14 Trial. </w:t>
      </w:r>
      <w:hyperlink r:id="rId300" w:history="1">
        <w:r w:rsidRPr="00FA3F9C">
          <w:rPr>
            <w:rStyle w:val="Hyperlink"/>
            <w:rFonts w:ascii="Arial" w:hAnsi="Arial" w:cs="Arial"/>
            <w:sz w:val="24"/>
            <w:szCs w:val="24"/>
          </w:rPr>
          <w:t>https://ash.confex.com/ash/2019/webprogram/Paper126542.html</w:t>
        </w:r>
      </w:hyperlink>
      <w:r w:rsidRPr="00FA3F9C">
        <w:rPr>
          <w:rFonts w:ascii="Arial" w:hAnsi="Arial" w:cs="Arial"/>
          <w:sz w:val="24"/>
          <w:szCs w:val="24"/>
        </w:rPr>
        <w:t>. Accessed 1/21/2020.</w:t>
      </w:r>
    </w:p>
    <w:p w14:paraId="59F098C1" w14:textId="77777777" w:rsidR="009B5AA5" w:rsidRPr="00FA3F9C" w:rsidRDefault="009B5AA5" w:rsidP="00FC1E85">
      <w:pPr>
        <w:pStyle w:val="ListParagraph"/>
        <w:numPr>
          <w:ilvl w:val="2"/>
          <w:numId w:val="379"/>
        </w:numPr>
        <w:ind w:left="990" w:hanging="180"/>
        <w:rPr>
          <w:rFonts w:ascii="Arial" w:hAnsi="Arial" w:cs="Arial"/>
          <w:sz w:val="24"/>
          <w:szCs w:val="24"/>
        </w:rPr>
      </w:pPr>
      <w:r w:rsidRPr="00FA3F9C">
        <w:rPr>
          <w:rFonts w:ascii="Arial" w:hAnsi="Arial" w:cs="Arial"/>
          <w:sz w:val="24"/>
          <w:szCs w:val="24"/>
        </w:rPr>
        <w:t>4-year follow up data (press release only; data presented at European Hematology Association 2021 Virtual Congress): https://www.cancernetwork.com/view/three-year-follow-up-continues-to-support-fixed-dose-venetoclax-obinutuzumab-in-treatment-na-ve-cll. Accessed 9/28/2021.</w:t>
      </w:r>
    </w:p>
    <w:p w14:paraId="7E211554" w14:textId="77777777" w:rsidR="009B5AA5" w:rsidRPr="00FA3F9C" w:rsidRDefault="009B5AA5" w:rsidP="0004674B">
      <w:pPr>
        <w:spacing w:after="0"/>
        <w:rPr>
          <w:rFonts w:ascii="Arial" w:hAnsi="Arial" w:cs="Arial"/>
          <w:sz w:val="24"/>
          <w:szCs w:val="24"/>
        </w:rPr>
      </w:pPr>
    </w:p>
    <w:tbl>
      <w:tblPr>
        <w:tblStyle w:val="TableGrid"/>
        <w:tblW w:w="0" w:type="auto"/>
        <w:tblLook w:val="04A0" w:firstRow="1" w:lastRow="0" w:firstColumn="1" w:lastColumn="0" w:noHBand="0" w:noVBand="1"/>
      </w:tblPr>
      <w:tblGrid>
        <w:gridCol w:w="10908"/>
      </w:tblGrid>
      <w:tr w:rsidR="009B5AA5" w:rsidRPr="00FA3F9C" w14:paraId="5C16237D" w14:textId="77777777" w:rsidTr="00F1569E">
        <w:tc>
          <w:tcPr>
            <w:tcW w:w="10908" w:type="dxa"/>
            <w:shd w:val="clear" w:color="auto" w:fill="000000"/>
          </w:tcPr>
          <w:p w14:paraId="563C22F6" w14:textId="77777777" w:rsidR="009B5AA5" w:rsidRPr="00FA3F9C" w:rsidRDefault="009B5AA5" w:rsidP="004B567A">
            <w:pPr>
              <w:rPr>
                <w:rFonts w:ascii="Arial" w:hAnsi="Arial" w:cs="Arial"/>
                <w:sz w:val="24"/>
                <w:szCs w:val="24"/>
              </w:rPr>
            </w:pPr>
            <w:r w:rsidRPr="00FA3F9C">
              <w:rPr>
                <w:rFonts w:ascii="Arial" w:hAnsi="Arial" w:cs="Arial"/>
                <w:sz w:val="24"/>
                <w:szCs w:val="24"/>
              </w:rPr>
              <w:t>CHRONIC LYMPHOCYTIC LEUKEMIA (CLL) in combination with chlorambucil (first line)</w:t>
            </w:r>
          </w:p>
        </w:tc>
      </w:tr>
      <w:tr w:rsidR="009B5AA5" w:rsidRPr="00FA3F9C" w14:paraId="68841DCF" w14:textId="77777777" w:rsidTr="00F1569E">
        <w:tc>
          <w:tcPr>
            <w:tcW w:w="10908" w:type="dxa"/>
          </w:tcPr>
          <w:p w14:paraId="585C505E" w14:textId="77777777" w:rsidR="009B5AA5" w:rsidRPr="00FA3F9C" w:rsidRDefault="009B5AA5" w:rsidP="004B567A">
            <w:pPr>
              <w:rPr>
                <w:rFonts w:ascii="Arial" w:hAnsi="Arial" w:cs="Arial"/>
                <w:sz w:val="24"/>
                <w:szCs w:val="24"/>
              </w:rPr>
            </w:pPr>
            <w:r w:rsidRPr="00FA3F9C">
              <w:rPr>
                <w:rFonts w:ascii="Arial" w:hAnsi="Arial" w:cs="Arial"/>
                <w:sz w:val="24"/>
                <w:szCs w:val="24"/>
              </w:rPr>
              <w:t>1. The patient must have previously untreated CD20-positive CLL.</w:t>
            </w:r>
          </w:p>
        </w:tc>
      </w:tr>
      <w:tr w:rsidR="009B5AA5" w:rsidRPr="00FA3F9C" w14:paraId="39B1F401" w14:textId="77777777" w:rsidTr="00F1569E">
        <w:tc>
          <w:tcPr>
            <w:tcW w:w="10908" w:type="dxa"/>
          </w:tcPr>
          <w:p w14:paraId="2F786B1D" w14:textId="77777777" w:rsidR="009B5AA5" w:rsidRPr="00FA3F9C" w:rsidRDefault="009B5AA5" w:rsidP="00EA6FAF">
            <w:pPr>
              <w:rPr>
                <w:rFonts w:ascii="Arial" w:hAnsi="Arial" w:cs="Arial"/>
                <w:sz w:val="24"/>
                <w:szCs w:val="24"/>
              </w:rPr>
            </w:pPr>
            <w:r w:rsidRPr="00FA3F9C">
              <w:rPr>
                <w:rFonts w:ascii="Arial" w:hAnsi="Arial" w:cs="Arial"/>
                <w:sz w:val="24"/>
                <w:szCs w:val="24"/>
              </w:rPr>
              <w:t>2. The patient must be planning to use concomitant chlorambucil.*</w:t>
            </w:r>
          </w:p>
        </w:tc>
      </w:tr>
      <w:tr w:rsidR="009B5AA5" w:rsidRPr="00FA3F9C" w14:paraId="1445EC1D" w14:textId="77777777" w:rsidTr="00F1569E">
        <w:tc>
          <w:tcPr>
            <w:tcW w:w="10908" w:type="dxa"/>
          </w:tcPr>
          <w:p w14:paraId="7AEA943D" w14:textId="77777777" w:rsidR="009B5AA5" w:rsidRPr="00FA3F9C" w:rsidRDefault="009B5AA5" w:rsidP="00D65B5B">
            <w:pPr>
              <w:rPr>
                <w:rFonts w:ascii="Arial" w:hAnsi="Arial" w:cs="Arial"/>
                <w:sz w:val="24"/>
                <w:szCs w:val="24"/>
              </w:rPr>
            </w:pPr>
            <w:r w:rsidRPr="00FA3F9C">
              <w:rPr>
                <w:rFonts w:ascii="Arial" w:hAnsi="Arial" w:cs="Arial"/>
                <w:sz w:val="24"/>
                <w:szCs w:val="24"/>
              </w:rPr>
              <w:t>3. The patient must have Binet stage C or symptomatic disease</w:t>
            </w:r>
          </w:p>
        </w:tc>
      </w:tr>
      <w:tr w:rsidR="009B5AA5" w:rsidRPr="00FA3F9C" w14:paraId="156B354D" w14:textId="77777777" w:rsidTr="00F1569E">
        <w:tc>
          <w:tcPr>
            <w:tcW w:w="10908" w:type="dxa"/>
          </w:tcPr>
          <w:p w14:paraId="597FC310" w14:textId="77777777" w:rsidR="009B5AA5" w:rsidRPr="00FA3F9C" w:rsidRDefault="009B5AA5" w:rsidP="00D65B5B">
            <w:pPr>
              <w:rPr>
                <w:rFonts w:ascii="Arial" w:hAnsi="Arial" w:cs="Arial"/>
                <w:sz w:val="24"/>
                <w:szCs w:val="24"/>
              </w:rPr>
            </w:pPr>
            <w:r w:rsidRPr="00FA3F9C">
              <w:rPr>
                <w:rFonts w:ascii="Arial" w:hAnsi="Arial" w:cs="Arial"/>
                <w:sz w:val="24"/>
                <w:szCs w:val="24"/>
              </w:rPr>
              <w:t>4. The patient must have an Absolute Neutrophil Count ≥1.5 x 10</w:t>
            </w:r>
            <w:r w:rsidRPr="00FA3F9C">
              <w:rPr>
                <w:rFonts w:ascii="Arial" w:hAnsi="Arial" w:cs="Arial"/>
                <w:sz w:val="24"/>
                <w:szCs w:val="24"/>
                <w:vertAlign w:val="superscript"/>
              </w:rPr>
              <w:t>9</w:t>
            </w:r>
            <w:r w:rsidRPr="00FA3F9C">
              <w:rPr>
                <w:rFonts w:ascii="Arial" w:hAnsi="Arial" w:cs="Arial"/>
                <w:sz w:val="24"/>
                <w:szCs w:val="24"/>
              </w:rPr>
              <w:t>/L and platelets ≥75 x 10</w:t>
            </w:r>
            <w:r w:rsidRPr="00FA3F9C">
              <w:rPr>
                <w:rFonts w:ascii="Arial" w:hAnsi="Arial" w:cs="Arial"/>
                <w:sz w:val="24"/>
                <w:szCs w:val="24"/>
                <w:vertAlign w:val="superscript"/>
              </w:rPr>
              <w:t>9</w:t>
            </w:r>
            <w:r w:rsidRPr="00FA3F9C">
              <w:rPr>
                <w:rFonts w:ascii="Arial" w:hAnsi="Arial" w:cs="Arial"/>
                <w:sz w:val="24"/>
                <w:szCs w:val="24"/>
              </w:rPr>
              <w:t>/L.</w:t>
            </w:r>
          </w:p>
        </w:tc>
      </w:tr>
      <w:tr w:rsidR="009B5AA5" w:rsidRPr="00FA3F9C" w14:paraId="0EBACE48" w14:textId="77777777" w:rsidTr="00F1569E">
        <w:tc>
          <w:tcPr>
            <w:tcW w:w="10908" w:type="dxa"/>
          </w:tcPr>
          <w:p w14:paraId="4CE88172" w14:textId="77777777" w:rsidR="009B5AA5" w:rsidRPr="00FA3F9C" w:rsidRDefault="009B5AA5" w:rsidP="00F83C9F">
            <w:pPr>
              <w:rPr>
                <w:rFonts w:ascii="Arial" w:hAnsi="Arial" w:cs="Arial"/>
                <w:i/>
                <w:sz w:val="24"/>
                <w:szCs w:val="24"/>
              </w:rPr>
            </w:pPr>
            <w:r w:rsidRPr="00FA3F9C">
              <w:rPr>
                <w:rFonts w:ascii="Arial" w:hAnsi="Arial" w:cs="Arial"/>
                <w:sz w:val="24"/>
                <w:szCs w:val="24"/>
              </w:rPr>
              <w:t>5. The patient must have a life expectancy of &gt;6 months.</w:t>
            </w:r>
          </w:p>
        </w:tc>
      </w:tr>
      <w:tr w:rsidR="009B5AA5" w:rsidRPr="00FA3F9C" w14:paraId="4E057658" w14:textId="77777777" w:rsidTr="00746499">
        <w:tc>
          <w:tcPr>
            <w:tcW w:w="10908" w:type="dxa"/>
            <w:shd w:val="clear" w:color="auto" w:fill="F2F2F2" w:themeFill="background1" w:themeFillShade="F2"/>
          </w:tcPr>
          <w:p w14:paraId="2F8847CB" w14:textId="77777777" w:rsidR="009B5AA5" w:rsidRPr="00FA3F9C" w:rsidRDefault="009B5AA5" w:rsidP="00EA6FAF">
            <w:pPr>
              <w:rPr>
                <w:rFonts w:ascii="Arial" w:hAnsi="Arial" w:cs="Arial"/>
                <w:b/>
                <w:sz w:val="24"/>
                <w:szCs w:val="24"/>
              </w:rPr>
            </w:pPr>
            <w:r w:rsidRPr="00FA3F9C">
              <w:rPr>
                <w:rFonts w:ascii="Arial" w:hAnsi="Arial" w:cs="Arial"/>
                <w:b/>
                <w:sz w:val="24"/>
                <w:szCs w:val="24"/>
              </w:rPr>
              <w:t xml:space="preserve">If the above criteria are met, approve coverage for 6 months. </w:t>
            </w:r>
          </w:p>
          <w:p w14:paraId="1A3713F6" w14:textId="77777777" w:rsidR="009B5AA5" w:rsidRPr="00FA3F9C" w:rsidRDefault="009B5AA5" w:rsidP="00EA6FAF">
            <w:pPr>
              <w:rPr>
                <w:rFonts w:ascii="Arial" w:hAnsi="Arial" w:cs="Arial"/>
                <w:sz w:val="24"/>
                <w:szCs w:val="24"/>
              </w:rPr>
            </w:pPr>
            <w:r w:rsidRPr="00FA3F9C">
              <w:rPr>
                <w:rFonts w:ascii="Arial" w:hAnsi="Arial" w:cs="Arial"/>
                <w:sz w:val="24"/>
                <w:szCs w:val="24"/>
              </w:rPr>
              <w:t>At this time, continuation of treatment beyond 6 cycles has not been studied and will not be approved. However, if the start of a cycle had to be delayed, and the schedule adjusted accordingly, a PA may be extended to account for that and allow the entire 6 cycles to be administered.</w:t>
            </w:r>
          </w:p>
        </w:tc>
      </w:tr>
      <w:tr w:rsidR="009B5AA5" w:rsidRPr="00FA3F9C" w14:paraId="41414DD8" w14:textId="77777777" w:rsidTr="00F1569E">
        <w:trPr>
          <w:trHeight w:val="620"/>
        </w:trPr>
        <w:tc>
          <w:tcPr>
            <w:tcW w:w="10908" w:type="dxa"/>
            <w:shd w:val="clear" w:color="auto" w:fill="FFFFFF" w:themeFill="background1"/>
          </w:tcPr>
          <w:p w14:paraId="4299EDBA" w14:textId="77777777" w:rsidR="009B5AA5" w:rsidRPr="00FA3F9C" w:rsidRDefault="009B5AA5" w:rsidP="00CD6C7E">
            <w:pPr>
              <w:rPr>
                <w:rFonts w:ascii="Arial" w:hAnsi="Arial" w:cs="Arial"/>
                <w:sz w:val="24"/>
                <w:szCs w:val="24"/>
              </w:rPr>
            </w:pPr>
            <w:r w:rsidRPr="00FA3F9C">
              <w:rPr>
                <w:rFonts w:ascii="Arial" w:hAnsi="Arial" w:cs="Arial"/>
                <w:b/>
                <w:sz w:val="24"/>
                <w:szCs w:val="24"/>
              </w:rPr>
              <w:t xml:space="preserve">Dosing: </w:t>
            </w:r>
          </w:p>
          <w:p w14:paraId="2641D7A8" w14:textId="77777777" w:rsidR="009B5AA5" w:rsidRPr="00FA3F9C" w:rsidRDefault="009B5AA5" w:rsidP="00BD0559">
            <w:pPr>
              <w:rPr>
                <w:rFonts w:ascii="Arial" w:hAnsi="Arial" w:cs="Arial"/>
                <w:sz w:val="24"/>
                <w:szCs w:val="24"/>
              </w:rPr>
            </w:pPr>
            <w:r w:rsidRPr="00FA3F9C">
              <w:rPr>
                <w:rFonts w:ascii="Arial" w:hAnsi="Arial" w:cs="Arial"/>
                <w:sz w:val="24"/>
                <w:szCs w:val="24"/>
              </w:rPr>
              <w:t>Dosing is done in cycles of 28 days for a total of 6 cycles.</w:t>
            </w:r>
          </w:p>
          <w:p w14:paraId="46FB0EC3" w14:textId="77777777" w:rsidR="009B5AA5" w:rsidRPr="00FA3F9C" w:rsidRDefault="009B5AA5" w:rsidP="00BD0559">
            <w:pPr>
              <w:rPr>
                <w:rFonts w:ascii="Arial" w:hAnsi="Arial" w:cs="Arial"/>
                <w:sz w:val="24"/>
                <w:szCs w:val="24"/>
              </w:rPr>
            </w:pPr>
            <w:r w:rsidRPr="00FA3F9C">
              <w:rPr>
                <w:rFonts w:ascii="Arial" w:hAnsi="Arial" w:cs="Arial"/>
                <w:sz w:val="24"/>
                <w:szCs w:val="24"/>
              </w:rPr>
              <w:t>Cycle 1: 100mg on day 1, followed by 900mg on day 2, followed by 1,000mg weekly for 2 doses (days 8 and 15).</w:t>
            </w:r>
          </w:p>
          <w:p w14:paraId="28723AAA" w14:textId="77777777" w:rsidR="009B5AA5" w:rsidRPr="00FA3F9C" w:rsidRDefault="009B5AA5" w:rsidP="00BD0559">
            <w:pPr>
              <w:rPr>
                <w:rFonts w:ascii="Arial" w:hAnsi="Arial" w:cs="Arial"/>
                <w:sz w:val="24"/>
                <w:szCs w:val="24"/>
              </w:rPr>
            </w:pPr>
            <w:r w:rsidRPr="00FA3F9C">
              <w:rPr>
                <w:rFonts w:ascii="Arial" w:hAnsi="Arial" w:cs="Arial"/>
                <w:sz w:val="24"/>
                <w:szCs w:val="24"/>
              </w:rPr>
              <w:t>Cycles 2 through 6: 1,000mg on day 1 every 28 days for 5 doses.</w:t>
            </w:r>
          </w:p>
        </w:tc>
      </w:tr>
      <w:tr w:rsidR="009B5AA5" w:rsidRPr="00FA3F9C" w14:paraId="18C5D17B" w14:textId="77777777" w:rsidTr="002536DD">
        <w:trPr>
          <w:trHeight w:val="620"/>
        </w:trPr>
        <w:tc>
          <w:tcPr>
            <w:tcW w:w="10908" w:type="dxa"/>
            <w:shd w:val="clear" w:color="auto" w:fill="D9D9D9" w:themeFill="background1" w:themeFillShade="D9"/>
          </w:tcPr>
          <w:p w14:paraId="01543941" w14:textId="77777777" w:rsidR="009B5AA5" w:rsidRPr="00FA3F9C" w:rsidRDefault="009B5AA5" w:rsidP="00CD6C7E">
            <w:pPr>
              <w:rPr>
                <w:rFonts w:ascii="Arial" w:hAnsi="Arial" w:cs="Arial"/>
                <w:b/>
                <w:sz w:val="24"/>
                <w:szCs w:val="24"/>
              </w:rPr>
            </w:pPr>
            <w:r w:rsidRPr="00FA3F9C">
              <w:rPr>
                <w:rFonts w:ascii="Arial" w:hAnsi="Arial" w:cs="Arial"/>
                <w:b/>
                <w:sz w:val="24"/>
                <w:szCs w:val="24"/>
              </w:rPr>
              <w:t>Evidence:</w:t>
            </w:r>
          </w:p>
          <w:p w14:paraId="172527AA" w14:textId="77777777" w:rsidR="009B5AA5" w:rsidRPr="00FA3F9C" w:rsidRDefault="009B5AA5" w:rsidP="00CD6C7E">
            <w:pPr>
              <w:rPr>
                <w:rFonts w:ascii="Arial" w:hAnsi="Arial" w:cs="Arial"/>
                <w:sz w:val="24"/>
                <w:szCs w:val="24"/>
              </w:rPr>
            </w:pPr>
            <w:proofErr w:type="spellStart"/>
            <w:r w:rsidRPr="00FA3F9C">
              <w:rPr>
                <w:rFonts w:ascii="Arial" w:hAnsi="Arial" w:cs="Arial"/>
                <w:sz w:val="24"/>
                <w:szCs w:val="24"/>
              </w:rPr>
              <w:t>Obinutuzumab+chlorambucil</w:t>
            </w:r>
            <w:proofErr w:type="spellEnd"/>
            <w:r w:rsidRPr="00FA3F9C">
              <w:rPr>
                <w:rFonts w:ascii="Arial" w:hAnsi="Arial" w:cs="Arial"/>
                <w:sz w:val="24"/>
                <w:szCs w:val="24"/>
              </w:rPr>
              <w:t xml:space="preserve"> (OC) or </w:t>
            </w:r>
            <w:proofErr w:type="spellStart"/>
            <w:r w:rsidRPr="00FA3F9C">
              <w:rPr>
                <w:rFonts w:ascii="Arial" w:hAnsi="Arial" w:cs="Arial"/>
                <w:sz w:val="24"/>
                <w:szCs w:val="24"/>
              </w:rPr>
              <w:t>rituximab+chlorambucil</w:t>
            </w:r>
            <w:proofErr w:type="spellEnd"/>
            <w:r w:rsidRPr="00FA3F9C">
              <w:rPr>
                <w:rFonts w:ascii="Arial" w:hAnsi="Arial" w:cs="Arial"/>
                <w:sz w:val="24"/>
                <w:szCs w:val="24"/>
              </w:rPr>
              <w:t xml:space="preserve"> (RC) was compared to chlorambucil (C) alone in CLL patients with coexisting conditions. Progression free survival was improved with OC and RC compared to chlorambucil. Treatment with OC prolonged overall survival compared with chlorambucil. RC did not improve overall survival compared with chlorambucil alone. There was no difference in overall survival between OC and RC.  </w:t>
            </w:r>
          </w:p>
          <w:p w14:paraId="076F6F51" w14:textId="77777777" w:rsidR="009B5AA5" w:rsidRPr="00FA3F9C" w:rsidRDefault="009B5AA5" w:rsidP="00CD6C7E">
            <w:pPr>
              <w:rPr>
                <w:rFonts w:ascii="Arial" w:hAnsi="Arial" w:cs="Arial"/>
                <w:sz w:val="24"/>
                <w:szCs w:val="24"/>
              </w:rPr>
            </w:pPr>
          </w:p>
          <w:p w14:paraId="590E2B23" w14:textId="77777777" w:rsidR="009B5AA5" w:rsidRPr="00FA3F9C" w:rsidRDefault="009B5AA5" w:rsidP="00CD6C7E">
            <w:pPr>
              <w:rPr>
                <w:rFonts w:ascii="Arial" w:hAnsi="Arial" w:cs="Arial"/>
                <w:sz w:val="24"/>
                <w:szCs w:val="24"/>
              </w:rPr>
            </w:pPr>
            <w:r w:rsidRPr="00FA3F9C">
              <w:rPr>
                <w:rFonts w:ascii="Arial" w:hAnsi="Arial" w:cs="Arial"/>
                <w:sz w:val="24"/>
                <w:szCs w:val="24"/>
              </w:rPr>
              <w:t>References:</w:t>
            </w:r>
          </w:p>
          <w:p w14:paraId="0F99C276" w14:textId="77777777" w:rsidR="009B5AA5" w:rsidRPr="00FA3F9C" w:rsidRDefault="009B5AA5" w:rsidP="002536DD">
            <w:pPr>
              <w:rPr>
                <w:rFonts w:ascii="Arial" w:hAnsi="Arial" w:cs="Arial"/>
                <w:sz w:val="24"/>
                <w:szCs w:val="24"/>
              </w:rPr>
            </w:pPr>
            <w:r w:rsidRPr="00FA3F9C">
              <w:rPr>
                <w:rFonts w:ascii="Arial" w:hAnsi="Arial" w:cs="Arial"/>
                <w:sz w:val="24"/>
                <w:szCs w:val="24"/>
              </w:rPr>
              <w:t xml:space="preserve">Goede V et al. Obinutuzumab plus chlorambucil in patients with CLL and coexisting conditions. N </w:t>
            </w:r>
            <w:proofErr w:type="spellStart"/>
            <w:r w:rsidRPr="00FA3F9C">
              <w:rPr>
                <w:rFonts w:ascii="Arial" w:hAnsi="Arial" w:cs="Arial"/>
                <w:sz w:val="24"/>
                <w:szCs w:val="24"/>
              </w:rPr>
              <w:t>Engl</w:t>
            </w:r>
            <w:proofErr w:type="spellEnd"/>
            <w:r w:rsidRPr="00FA3F9C">
              <w:rPr>
                <w:rFonts w:ascii="Arial" w:hAnsi="Arial" w:cs="Arial"/>
                <w:sz w:val="24"/>
                <w:szCs w:val="24"/>
              </w:rPr>
              <w:t xml:space="preserve"> J Med. 2014 Mar 20;370(12):1101-10. PMID 24401022 NCT01010061</w:t>
            </w:r>
          </w:p>
        </w:tc>
      </w:tr>
    </w:tbl>
    <w:p w14:paraId="78022064" w14:textId="77777777" w:rsidR="009B5AA5" w:rsidRPr="00FA3F9C" w:rsidRDefault="009B5AA5" w:rsidP="00EC764A">
      <w:pPr>
        <w:spacing w:after="0"/>
        <w:rPr>
          <w:rFonts w:ascii="Arial" w:hAnsi="Arial" w:cs="Arial"/>
          <w:b/>
          <w:sz w:val="24"/>
          <w:szCs w:val="24"/>
        </w:rPr>
      </w:pPr>
      <w:r w:rsidRPr="00FA3F9C">
        <w:rPr>
          <w:rFonts w:ascii="Arial" w:hAnsi="Arial" w:cs="Arial"/>
          <w:sz w:val="24"/>
          <w:szCs w:val="24"/>
        </w:rPr>
        <w:lastRenderedPageBreak/>
        <w:t>*</w:t>
      </w:r>
      <w:r w:rsidRPr="00FA3F9C">
        <w:rPr>
          <w:rFonts w:ascii="Arial" w:hAnsi="Arial" w:cs="Arial"/>
          <w:b/>
          <w:sz w:val="24"/>
          <w:szCs w:val="24"/>
        </w:rPr>
        <w:t xml:space="preserve">Monotherapy with </w:t>
      </w:r>
      <w:proofErr w:type="spellStart"/>
      <w:r w:rsidRPr="00FA3F9C">
        <w:rPr>
          <w:rFonts w:ascii="Arial" w:hAnsi="Arial" w:cs="Arial"/>
          <w:b/>
          <w:sz w:val="24"/>
          <w:szCs w:val="24"/>
        </w:rPr>
        <w:t>obinutuzumab</w:t>
      </w:r>
      <w:proofErr w:type="spellEnd"/>
      <w:r w:rsidRPr="00FA3F9C">
        <w:rPr>
          <w:rFonts w:ascii="Arial" w:hAnsi="Arial" w:cs="Arial"/>
          <w:b/>
          <w:sz w:val="24"/>
          <w:szCs w:val="24"/>
        </w:rPr>
        <w:t xml:space="preserve"> is not covered on this plan.</w:t>
      </w:r>
    </w:p>
    <w:p w14:paraId="04A18BD3" w14:textId="77777777" w:rsidR="009B5AA5" w:rsidRPr="00FA3F9C" w:rsidRDefault="009B5AA5" w:rsidP="00EC764A">
      <w:pPr>
        <w:spacing w:after="0"/>
        <w:rPr>
          <w:rFonts w:ascii="Arial" w:hAnsi="Arial" w:cs="Arial"/>
          <w:b/>
          <w:sz w:val="24"/>
          <w:szCs w:val="24"/>
        </w:rPr>
      </w:pPr>
    </w:p>
    <w:p w14:paraId="447DDBEB" w14:textId="77777777" w:rsidR="009B5AA5" w:rsidRPr="00FA3F9C" w:rsidRDefault="009B5AA5" w:rsidP="00EC764A">
      <w:pPr>
        <w:spacing w:after="0"/>
        <w:rPr>
          <w:rFonts w:ascii="Arial" w:hAnsi="Arial" w:cs="Arial"/>
          <w:b/>
          <w:sz w:val="24"/>
          <w:szCs w:val="24"/>
        </w:rPr>
      </w:pPr>
    </w:p>
    <w:p w14:paraId="2B6A9E0A" w14:textId="77777777" w:rsidR="009B5AA5" w:rsidRPr="00FA3F9C" w:rsidRDefault="009B5AA5" w:rsidP="00EC764A">
      <w:pPr>
        <w:spacing w:after="0"/>
        <w:rPr>
          <w:rFonts w:ascii="Arial" w:hAnsi="Arial" w:cs="Arial"/>
          <w:b/>
          <w:sz w:val="24"/>
          <w:szCs w:val="24"/>
        </w:rPr>
      </w:pPr>
    </w:p>
    <w:p w14:paraId="343DAD0A" w14:textId="77777777" w:rsidR="009B5AA5" w:rsidRPr="00FA3F9C" w:rsidRDefault="009B5AA5" w:rsidP="00EC764A">
      <w:pPr>
        <w:spacing w:after="0"/>
        <w:rPr>
          <w:rFonts w:ascii="Arial" w:hAnsi="Arial" w:cs="Arial"/>
          <w:sz w:val="24"/>
          <w:szCs w:val="24"/>
        </w:rPr>
      </w:pPr>
    </w:p>
    <w:tbl>
      <w:tblPr>
        <w:tblStyle w:val="TableGrid"/>
        <w:tblW w:w="0" w:type="auto"/>
        <w:tblLook w:val="04A0" w:firstRow="1" w:lastRow="0" w:firstColumn="1" w:lastColumn="0" w:noHBand="0" w:noVBand="1"/>
      </w:tblPr>
      <w:tblGrid>
        <w:gridCol w:w="10908"/>
      </w:tblGrid>
      <w:tr w:rsidR="009B5AA5" w:rsidRPr="00FA3F9C" w14:paraId="314976C7" w14:textId="77777777" w:rsidTr="004B567A">
        <w:tc>
          <w:tcPr>
            <w:tcW w:w="10908" w:type="dxa"/>
            <w:shd w:val="clear" w:color="auto" w:fill="000000"/>
          </w:tcPr>
          <w:p w14:paraId="3D243672" w14:textId="77777777" w:rsidR="009B5AA5" w:rsidRPr="00FA3F9C" w:rsidRDefault="009B5AA5" w:rsidP="004B567A">
            <w:pPr>
              <w:rPr>
                <w:rFonts w:ascii="Arial" w:hAnsi="Arial" w:cs="Arial"/>
                <w:sz w:val="24"/>
                <w:szCs w:val="24"/>
              </w:rPr>
            </w:pPr>
            <w:r w:rsidRPr="00FA3F9C">
              <w:rPr>
                <w:rFonts w:ascii="Arial" w:hAnsi="Arial" w:cs="Arial"/>
                <w:sz w:val="24"/>
                <w:szCs w:val="24"/>
              </w:rPr>
              <w:t xml:space="preserve">FOLLICULAR LYMPHOMA (relapsed/refractory, in combination with </w:t>
            </w:r>
            <w:proofErr w:type="spellStart"/>
            <w:r w:rsidRPr="00FA3F9C">
              <w:rPr>
                <w:rFonts w:ascii="Arial" w:hAnsi="Arial" w:cs="Arial"/>
                <w:sz w:val="24"/>
                <w:szCs w:val="24"/>
              </w:rPr>
              <w:t>bendamustine</w:t>
            </w:r>
            <w:proofErr w:type="spellEnd"/>
            <w:r w:rsidRPr="00FA3F9C">
              <w:rPr>
                <w:rFonts w:ascii="Arial" w:hAnsi="Arial" w:cs="Arial"/>
                <w:sz w:val="24"/>
                <w:szCs w:val="24"/>
              </w:rPr>
              <w:t>)</w:t>
            </w:r>
          </w:p>
        </w:tc>
      </w:tr>
      <w:tr w:rsidR="009B5AA5" w:rsidRPr="00FA3F9C" w14:paraId="43D85AB6" w14:textId="77777777" w:rsidTr="004B567A">
        <w:tc>
          <w:tcPr>
            <w:tcW w:w="10908" w:type="dxa"/>
          </w:tcPr>
          <w:p w14:paraId="6A5E6F15" w14:textId="77777777" w:rsidR="009B5AA5" w:rsidRPr="00FA3F9C" w:rsidRDefault="009B5AA5" w:rsidP="0023230E">
            <w:pPr>
              <w:rPr>
                <w:rFonts w:ascii="Arial" w:hAnsi="Arial" w:cs="Arial"/>
                <w:sz w:val="24"/>
                <w:szCs w:val="24"/>
              </w:rPr>
            </w:pPr>
            <w:r w:rsidRPr="00FA3F9C">
              <w:rPr>
                <w:rFonts w:ascii="Arial" w:hAnsi="Arial" w:cs="Arial"/>
                <w:sz w:val="24"/>
                <w:szCs w:val="24"/>
              </w:rPr>
              <w:t>1. The patient must have the diagnosis of CD20-positive follicular lymphoma refractory to rituximab (defined as failure to respond to or progression during any previous rituximab-containing regimen or progression w/in 6 months of the last rituximab dose).</w:t>
            </w:r>
          </w:p>
        </w:tc>
      </w:tr>
      <w:tr w:rsidR="009B5AA5" w:rsidRPr="00FA3F9C" w14:paraId="11596512" w14:textId="77777777" w:rsidTr="004B567A">
        <w:tc>
          <w:tcPr>
            <w:tcW w:w="10908" w:type="dxa"/>
          </w:tcPr>
          <w:p w14:paraId="5E1CC90A" w14:textId="77777777" w:rsidR="009B5AA5" w:rsidRPr="00FA3F9C" w:rsidRDefault="009B5AA5" w:rsidP="0023230E">
            <w:pPr>
              <w:rPr>
                <w:rFonts w:ascii="Arial" w:hAnsi="Arial" w:cs="Arial"/>
                <w:sz w:val="24"/>
                <w:szCs w:val="24"/>
              </w:rPr>
            </w:pPr>
            <w:r w:rsidRPr="00FA3F9C">
              <w:rPr>
                <w:rFonts w:ascii="Arial" w:hAnsi="Arial" w:cs="Arial"/>
                <w:sz w:val="24"/>
                <w:szCs w:val="24"/>
              </w:rPr>
              <w:t xml:space="preserve">2. The patient must be planning to use concomitant </w:t>
            </w:r>
            <w:proofErr w:type="spellStart"/>
            <w:r w:rsidRPr="00FA3F9C">
              <w:rPr>
                <w:rFonts w:ascii="Arial" w:hAnsi="Arial" w:cs="Arial"/>
                <w:sz w:val="24"/>
                <w:szCs w:val="24"/>
              </w:rPr>
              <w:t>bendamustine</w:t>
            </w:r>
            <w:proofErr w:type="spellEnd"/>
            <w:r w:rsidRPr="00FA3F9C">
              <w:rPr>
                <w:rFonts w:ascii="Arial" w:hAnsi="Arial" w:cs="Arial"/>
                <w:sz w:val="24"/>
                <w:szCs w:val="24"/>
              </w:rPr>
              <w:t>.</w:t>
            </w:r>
          </w:p>
        </w:tc>
      </w:tr>
      <w:tr w:rsidR="009B5AA5" w:rsidRPr="00FA3F9C" w14:paraId="313A7542" w14:textId="77777777" w:rsidTr="004B567A">
        <w:tc>
          <w:tcPr>
            <w:tcW w:w="10908" w:type="dxa"/>
          </w:tcPr>
          <w:p w14:paraId="2D870E40" w14:textId="77777777" w:rsidR="009B5AA5" w:rsidRPr="00FA3F9C" w:rsidRDefault="009B5AA5" w:rsidP="0023230E">
            <w:pPr>
              <w:rPr>
                <w:rFonts w:ascii="Arial" w:hAnsi="Arial" w:cs="Arial"/>
                <w:sz w:val="24"/>
                <w:szCs w:val="24"/>
              </w:rPr>
            </w:pPr>
            <w:r w:rsidRPr="00FA3F9C">
              <w:rPr>
                <w:rFonts w:ascii="Arial" w:hAnsi="Arial" w:cs="Arial"/>
                <w:sz w:val="24"/>
                <w:szCs w:val="24"/>
              </w:rPr>
              <w:t>3. The patient must have an Absolute Neutrophil Count ≥1.5 x 10</w:t>
            </w:r>
            <w:r w:rsidRPr="00FA3F9C">
              <w:rPr>
                <w:rFonts w:ascii="Arial" w:hAnsi="Arial" w:cs="Arial"/>
                <w:sz w:val="24"/>
                <w:szCs w:val="24"/>
                <w:vertAlign w:val="superscript"/>
              </w:rPr>
              <w:t>9</w:t>
            </w:r>
            <w:r w:rsidRPr="00FA3F9C">
              <w:rPr>
                <w:rFonts w:ascii="Arial" w:hAnsi="Arial" w:cs="Arial"/>
                <w:sz w:val="24"/>
                <w:szCs w:val="24"/>
              </w:rPr>
              <w:t>/L and platelets ≥100 x 10</w:t>
            </w:r>
            <w:r w:rsidRPr="00FA3F9C">
              <w:rPr>
                <w:rFonts w:ascii="Arial" w:hAnsi="Arial" w:cs="Arial"/>
                <w:sz w:val="24"/>
                <w:szCs w:val="24"/>
                <w:vertAlign w:val="superscript"/>
              </w:rPr>
              <w:t>9</w:t>
            </w:r>
            <w:r w:rsidRPr="00FA3F9C">
              <w:rPr>
                <w:rFonts w:ascii="Arial" w:hAnsi="Arial" w:cs="Arial"/>
                <w:sz w:val="24"/>
                <w:szCs w:val="24"/>
              </w:rPr>
              <w:t>/L.</w:t>
            </w:r>
          </w:p>
        </w:tc>
      </w:tr>
      <w:tr w:rsidR="009B5AA5" w:rsidRPr="00FA3F9C" w14:paraId="6A3726F4" w14:textId="77777777" w:rsidTr="004B567A">
        <w:tc>
          <w:tcPr>
            <w:tcW w:w="10908" w:type="dxa"/>
          </w:tcPr>
          <w:p w14:paraId="2AB12DCF" w14:textId="77777777" w:rsidR="009B5AA5" w:rsidRPr="00FA3F9C" w:rsidRDefault="009B5AA5" w:rsidP="004B567A">
            <w:pPr>
              <w:rPr>
                <w:rFonts w:ascii="Arial" w:hAnsi="Arial" w:cs="Arial"/>
                <w:i/>
                <w:sz w:val="24"/>
                <w:szCs w:val="24"/>
              </w:rPr>
            </w:pPr>
            <w:r w:rsidRPr="00FA3F9C">
              <w:rPr>
                <w:rFonts w:ascii="Arial" w:hAnsi="Arial" w:cs="Arial"/>
                <w:sz w:val="24"/>
                <w:szCs w:val="24"/>
              </w:rPr>
              <w:t>4. The patient must have a life expectancy of &gt;6 months.</w:t>
            </w:r>
          </w:p>
        </w:tc>
      </w:tr>
      <w:tr w:rsidR="009B5AA5" w:rsidRPr="00FA3F9C" w14:paraId="4A4E9FA7" w14:textId="77777777" w:rsidTr="004B567A">
        <w:tc>
          <w:tcPr>
            <w:tcW w:w="10908" w:type="dxa"/>
          </w:tcPr>
          <w:p w14:paraId="60DE46CA" w14:textId="77777777" w:rsidR="009B5AA5" w:rsidRPr="00FA3F9C" w:rsidRDefault="009B5AA5" w:rsidP="004B567A">
            <w:pPr>
              <w:rPr>
                <w:rFonts w:ascii="Arial" w:hAnsi="Arial" w:cs="Arial"/>
                <w:sz w:val="24"/>
                <w:szCs w:val="24"/>
              </w:rPr>
            </w:pPr>
            <w:r w:rsidRPr="00FA3F9C">
              <w:rPr>
                <w:rFonts w:ascii="Arial" w:hAnsi="Arial" w:cs="Arial"/>
                <w:sz w:val="24"/>
                <w:szCs w:val="24"/>
              </w:rPr>
              <w:t>5.  The patient must be ECOG performance status 0-2 at initial request.</w:t>
            </w:r>
          </w:p>
        </w:tc>
      </w:tr>
      <w:tr w:rsidR="009B5AA5" w:rsidRPr="00FA3F9C" w14:paraId="1DF544BC" w14:textId="77777777" w:rsidTr="00CB6170">
        <w:tc>
          <w:tcPr>
            <w:tcW w:w="10908" w:type="dxa"/>
            <w:shd w:val="clear" w:color="auto" w:fill="F2F2F2" w:themeFill="background1" w:themeFillShade="F2"/>
          </w:tcPr>
          <w:p w14:paraId="454FB591" w14:textId="77777777" w:rsidR="009B5AA5" w:rsidRPr="00FA3F9C" w:rsidRDefault="009B5AA5" w:rsidP="008C586A">
            <w:pPr>
              <w:rPr>
                <w:rFonts w:ascii="Arial" w:hAnsi="Arial" w:cs="Arial"/>
                <w:sz w:val="24"/>
                <w:szCs w:val="24"/>
              </w:rPr>
            </w:pPr>
            <w:r w:rsidRPr="00FA3F9C">
              <w:rPr>
                <w:rFonts w:ascii="Arial" w:hAnsi="Arial" w:cs="Arial"/>
                <w:b/>
                <w:sz w:val="24"/>
                <w:szCs w:val="24"/>
              </w:rPr>
              <w:t>If the above criteria are met, approve coverage for 12 months. Obinutuzumab maintenance should be limited to 2 years (see dosing below).</w:t>
            </w:r>
          </w:p>
        </w:tc>
      </w:tr>
      <w:tr w:rsidR="009B5AA5" w:rsidRPr="00FA3F9C" w14:paraId="59AF7F89" w14:textId="77777777" w:rsidTr="004B567A">
        <w:trPr>
          <w:trHeight w:val="620"/>
        </w:trPr>
        <w:tc>
          <w:tcPr>
            <w:tcW w:w="10908" w:type="dxa"/>
            <w:shd w:val="clear" w:color="auto" w:fill="FFFFFF" w:themeFill="background1"/>
          </w:tcPr>
          <w:p w14:paraId="655A9798" w14:textId="77777777" w:rsidR="009B5AA5" w:rsidRPr="00FA3F9C" w:rsidRDefault="009B5AA5" w:rsidP="004B567A">
            <w:pPr>
              <w:rPr>
                <w:rFonts w:ascii="Arial" w:hAnsi="Arial" w:cs="Arial"/>
                <w:sz w:val="24"/>
                <w:szCs w:val="24"/>
              </w:rPr>
            </w:pPr>
            <w:r w:rsidRPr="00FA3F9C">
              <w:rPr>
                <w:rFonts w:ascii="Arial" w:hAnsi="Arial" w:cs="Arial"/>
                <w:b/>
                <w:sz w:val="24"/>
                <w:szCs w:val="24"/>
              </w:rPr>
              <w:t xml:space="preserve">Dosing: </w:t>
            </w:r>
          </w:p>
          <w:p w14:paraId="5F767E01" w14:textId="77777777" w:rsidR="009B5AA5" w:rsidRPr="00FA3F9C" w:rsidRDefault="009B5AA5" w:rsidP="004B567A">
            <w:pPr>
              <w:rPr>
                <w:rFonts w:ascii="Arial" w:hAnsi="Arial" w:cs="Arial"/>
                <w:sz w:val="24"/>
                <w:szCs w:val="24"/>
              </w:rPr>
            </w:pPr>
            <w:r w:rsidRPr="00FA3F9C">
              <w:rPr>
                <w:rFonts w:ascii="Arial" w:hAnsi="Arial" w:cs="Arial"/>
                <w:sz w:val="24"/>
                <w:szCs w:val="24"/>
              </w:rPr>
              <w:t>Dosing is given in cycles of 28 days for a total of 6 cycles.</w:t>
            </w:r>
          </w:p>
          <w:p w14:paraId="5FCCD9C2" w14:textId="77777777" w:rsidR="009B5AA5" w:rsidRPr="00FA3F9C" w:rsidRDefault="009B5AA5" w:rsidP="004B567A">
            <w:pPr>
              <w:rPr>
                <w:rFonts w:ascii="Arial" w:hAnsi="Arial" w:cs="Arial"/>
                <w:sz w:val="24"/>
                <w:szCs w:val="24"/>
              </w:rPr>
            </w:pPr>
            <w:r w:rsidRPr="00FA3F9C">
              <w:rPr>
                <w:rFonts w:ascii="Arial" w:hAnsi="Arial" w:cs="Arial"/>
                <w:sz w:val="24"/>
                <w:szCs w:val="24"/>
              </w:rPr>
              <w:t xml:space="preserve">Cycle 1:       1000mg IV </w:t>
            </w:r>
            <w:proofErr w:type="spellStart"/>
            <w:r w:rsidRPr="00FA3F9C">
              <w:rPr>
                <w:rFonts w:ascii="Arial" w:hAnsi="Arial" w:cs="Arial"/>
                <w:sz w:val="24"/>
                <w:szCs w:val="24"/>
              </w:rPr>
              <w:t>obinutuzumab</w:t>
            </w:r>
            <w:proofErr w:type="spellEnd"/>
            <w:r w:rsidRPr="00FA3F9C">
              <w:rPr>
                <w:rFonts w:ascii="Arial" w:hAnsi="Arial" w:cs="Arial"/>
                <w:sz w:val="24"/>
                <w:szCs w:val="24"/>
              </w:rPr>
              <w:t xml:space="preserve"> on days 1, 8, &amp; 15 PLUS </w:t>
            </w:r>
            <w:proofErr w:type="spellStart"/>
            <w:r w:rsidRPr="00FA3F9C">
              <w:rPr>
                <w:rFonts w:ascii="Arial" w:hAnsi="Arial" w:cs="Arial"/>
                <w:sz w:val="24"/>
                <w:szCs w:val="24"/>
              </w:rPr>
              <w:t>bendamustine</w:t>
            </w:r>
            <w:proofErr w:type="spellEnd"/>
            <w:r w:rsidRPr="00FA3F9C">
              <w:rPr>
                <w:rFonts w:ascii="Arial" w:hAnsi="Arial" w:cs="Arial"/>
                <w:sz w:val="24"/>
                <w:szCs w:val="24"/>
              </w:rPr>
              <w:t xml:space="preserve"> 90mg/m2/day IV on days 1 &amp; 2.</w:t>
            </w:r>
          </w:p>
          <w:p w14:paraId="50CAC8CF" w14:textId="77777777" w:rsidR="009B5AA5" w:rsidRPr="00FA3F9C" w:rsidRDefault="009B5AA5" w:rsidP="0023230E">
            <w:pPr>
              <w:rPr>
                <w:rFonts w:ascii="Arial" w:hAnsi="Arial" w:cs="Arial"/>
                <w:sz w:val="24"/>
                <w:szCs w:val="24"/>
              </w:rPr>
            </w:pPr>
            <w:r w:rsidRPr="00FA3F9C">
              <w:rPr>
                <w:rFonts w:ascii="Arial" w:hAnsi="Arial" w:cs="Arial"/>
                <w:sz w:val="24"/>
                <w:szCs w:val="24"/>
              </w:rPr>
              <w:t xml:space="preserve">Cycles 2-6:  1000mg IV </w:t>
            </w:r>
            <w:proofErr w:type="spellStart"/>
            <w:r w:rsidRPr="00FA3F9C">
              <w:rPr>
                <w:rFonts w:ascii="Arial" w:hAnsi="Arial" w:cs="Arial"/>
                <w:sz w:val="24"/>
                <w:szCs w:val="24"/>
              </w:rPr>
              <w:t>obinutuzumab</w:t>
            </w:r>
            <w:proofErr w:type="spellEnd"/>
            <w:r w:rsidRPr="00FA3F9C">
              <w:rPr>
                <w:rFonts w:ascii="Arial" w:hAnsi="Arial" w:cs="Arial"/>
                <w:sz w:val="24"/>
                <w:szCs w:val="24"/>
              </w:rPr>
              <w:t xml:space="preserve"> on day 1 every 28 days for 5 doses PLUS </w:t>
            </w:r>
            <w:proofErr w:type="spellStart"/>
            <w:r w:rsidRPr="00FA3F9C">
              <w:rPr>
                <w:rFonts w:ascii="Arial" w:hAnsi="Arial" w:cs="Arial"/>
                <w:sz w:val="24"/>
                <w:szCs w:val="24"/>
              </w:rPr>
              <w:t>bendamustine</w:t>
            </w:r>
            <w:proofErr w:type="spellEnd"/>
            <w:r w:rsidRPr="00FA3F9C">
              <w:rPr>
                <w:rFonts w:ascii="Arial" w:hAnsi="Arial" w:cs="Arial"/>
                <w:sz w:val="24"/>
                <w:szCs w:val="24"/>
              </w:rPr>
              <w:t xml:space="preserve"> 90mg/m2/day IV on days 1 &amp; 2 .</w:t>
            </w:r>
          </w:p>
          <w:p w14:paraId="0E86852B" w14:textId="77777777" w:rsidR="009B5AA5" w:rsidRPr="00FA3F9C" w:rsidRDefault="009B5AA5" w:rsidP="007816F7">
            <w:pPr>
              <w:rPr>
                <w:rFonts w:ascii="Arial" w:hAnsi="Arial" w:cs="Arial"/>
                <w:sz w:val="24"/>
                <w:szCs w:val="24"/>
              </w:rPr>
            </w:pPr>
            <w:r w:rsidRPr="00FA3F9C">
              <w:rPr>
                <w:rFonts w:ascii="Arial" w:hAnsi="Arial" w:cs="Arial"/>
                <w:sz w:val="24"/>
                <w:szCs w:val="24"/>
              </w:rPr>
              <w:t xml:space="preserve">After combination therapy is complete (6-8 cycles), </w:t>
            </w:r>
            <w:proofErr w:type="spellStart"/>
            <w:r w:rsidRPr="00FA3F9C">
              <w:rPr>
                <w:rFonts w:ascii="Arial" w:hAnsi="Arial" w:cs="Arial"/>
                <w:sz w:val="24"/>
                <w:szCs w:val="24"/>
              </w:rPr>
              <w:t>obinutuzumab</w:t>
            </w:r>
            <w:proofErr w:type="spellEnd"/>
            <w:r w:rsidRPr="00FA3F9C">
              <w:rPr>
                <w:rFonts w:ascii="Arial" w:hAnsi="Arial" w:cs="Arial"/>
                <w:sz w:val="24"/>
                <w:szCs w:val="24"/>
              </w:rPr>
              <w:t xml:space="preserve"> may be given every 2 months for up to 2 years beginning ~2 months after the last induction phase </w:t>
            </w:r>
            <w:proofErr w:type="spellStart"/>
            <w:r w:rsidRPr="00FA3F9C">
              <w:rPr>
                <w:rFonts w:ascii="Arial" w:hAnsi="Arial" w:cs="Arial"/>
                <w:sz w:val="24"/>
                <w:szCs w:val="24"/>
              </w:rPr>
              <w:t>obinutuzumab</w:t>
            </w:r>
            <w:proofErr w:type="spellEnd"/>
            <w:r w:rsidRPr="00FA3F9C">
              <w:rPr>
                <w:rFonts w:ascii="Arial" w:hAnsi="Arial" w:cs="Arial"/>
                <w:sz w:val="24"/>
                <w:szCs w:val="24"/>
              </w:rPr>
              <w:t xml:space="preserve"> dose</w:t>
            </w:r>
          </w:p>
        </w:tc>
      </w:tr>
      <w:tr w:rsidR="009B5AA5" w:rsidRPr="00FA3F9C" w14:paraId="74761C8B" w14:textId="77777777" w:rsidTr="002536DD">
        <w:trPr>
          <w:trHeight w:val="620"/>
        </w:trPr>
        <w:tc>
          <w:tcPr>
            <w:tcW w:w="10908" w:type="dxa"/>
            <w:shd w:val="clear" w:color="auto" w:fill="D9D9D9" w:themeFill="background1" w:themeFillShade="D9"/>
          </w:tcPr>
          <w:p w14:paraId="3CBC9E76" w14:textId="77777777" w:rsidR="009B5AA5" w:rsidRPr="00FA3F9C" w:rsidRDefault="009B5AA5" w:rsidP="004B567A">
            <w:pPr>
              <w:rPr>
                <w:rFonts w:ascii="Arial" w:hAnsi="Arial" w:cs="Arial"/>
                <w:b/>
                <w:sz w:val="24"/>
                <w:szCs w:val="24"/>
              </w:rPr>
            </w:pPr>
            <w:r w:rsidRPr="00FA3F9C">
              <w:rPr>
                <w:rFonts w:ascii="Arial" w:hAnsi="Arial" w:cs="Arial"/>
                <w:b/>
                <w:sz w:val="24"/>
                <w:szCs w:val="24"/>
              </w:rPr>
              <w:t>Evidence:</w:t>
            </w:r>
          </w:p>
          <w:p w14:paraId="2B17D9BA" w14:textId="77777777" w:rsidR="009B5AA5" w:rsidRPr="00FA3F9C" w:rsidRDefault="009B5AA5" w:rsidP="002536DD">
            <w:pPr>
              <w:rPr>
                <w:rFonts w:ascii="Arial" w:hAnsi="Arial" w:cs="Arial"/>
                <w:sz w:val="24"/>
                <w:szCs w:val="24"/>
              </w:rPr>
            </w:pPr>
            <w:proofErr w:type="spellStart"/>
            <w:r w:rsidRPr="00FA3F9C">
              <w:rPr>
                <w:rFonts w:ascii="Arial" w:hAnsi="Arial" w:cs="Arial"/>
                <w:sz w:val="24"/>
                <w:szCs w:val="24"/>
              </w:rPr>
              <w:t>Obinutuzumab+bendamustine</w:t>
            </w:r>
            <w:proofErr w:type="spellEnd"/>
            <w:r w:rsidRPr="00FA3F9C">
              <w:rPr>
                <w:rFonts w:ascii="Arial" w:hAnsi="Arial" w:cs="Arial"/>
                <w:sz w:val="24"/>
                <w:szCs w:val="24"/>
              </w:rPr>
              <w:t xml:space="preserve"> was compared to </w:t>
            </w:r>
            <w:proofErr w:type="spellStart"/>
            <w:r w:rsidRPr="00FA3F9C">
              <w:rPr>
                <w:rFonts w:ascii="Arial" w:hAnsi="Arial" w:cs="Arial"/>
                <w:sz w:val="24"/>
                <w:szCs w:val="24"/>
              </w:rPr>
              <w:t>bendamustine</w:t>
            </w:r>
            <w:proofErr w:type="spellEnd"/>
            <w:r w:rsidRPr="00FA3F9C">
              <w:rPr>
                <w:rFonts w:ascii="Arial" w:hAnsi="Arial" w:cs="Arial"/>
                <w:sz w:val="24"/>
                <w:szCs w:val="24"/>
              </w:rPr>
              <w:t xml:space="preserve"> alone in patients with relapsed/refractory follicular lymphoma. Overall survival was improved in the </w:t>
            </w:r>
            <w:proofErr w:type="spellStart"/>
            <w:r w:rsidRPr="00FA3F9C">
              <w:rPr>
                <w:rFonts w:ascii="Arial" w:hAnsi="Arial" w:cs="Arial"/>
                <w:sz w:val="24"/>
                <w:szCs w:val="24"/>
              </w:rPr>
              <w:t>obinutuzumab+bendamustine</w:t>
            </w:r>
            <w:proofErr w:type="spellEnd"/>
            <w:r w:rsidRPr="00FA3F9C">
              <w:rPr>
                <w:rFonts w:ascii="Arial" w:hAnsi="Arial" w:cs="Arial"/>
                <w:sz w:val="24"/>
                <w:szCs w:val="24"/>
              </w:rPr>
              <w:t xml:space="preserve"> group and time to deterioration of HRQOL was prolonged in the </w:t>
            </w:r>
            <w:proofErr w:type="spellStart"/>
            <w:r w:rsidRPr="00FA3F9C">
              <w:rPr>
                <w:rFonts w:ascii="Arial" w:hAnsi="Arial" w:cs="Arial"/>
                <w:sz w:val="24"/>
                <w:szCs w:val="24"/>
              </w:rPr>
              <w:t>obinutuzumab</w:t>
            </w:r>
            <w:proofErr w:type="spellEnd"/>
            <w:r w:rsidRPr="00FA3F9C">
              <w:rPr>
                <w:rFonts w:ascii="Arial" w:hAnsi="Arial" w:cs="Arial"/>
                <w:sz w:val="24"/>
                <w:szCs w:val="24"/>
              </w:rPr>
              <w:t>/</w:t>
            </w:r>
            <w:proofErr w:type="spellStart"/>
            <w:r w:rsidRPr="00FA3F9C">
              <w:rPr>
                <w:rFonts w:ascii="Arial" w:hAnsi="Arial" w:cs="Arial"/>
                <w:sz w:val="24"/>
                <w:szCs w:val="24"/>
              </w:rPr>
              <w:t>bendamustine</w:t>
            </w:r>
            <w:proofErr w:type="spellEnd"/>
            <w:r w:rsidRPr="00FA3F9C">
              <w:rPr>
                <w:rFonts w:ascii="Arial" w:hAnsi="Arial" w:cs="Arial"/>
                <w:sz w:val="24"/>
                <w:szCs w:val="24"/>
              </w:rPr>
              <w:t xml:space="preserve"> group compared with </w:t>
            </w:r>
            <w:proofErr w:type="spellStart"/>
            <w:r w:rsidRPr="00FA3F9C">
              <w:rPr>
                <w:rFonts w:ascii="Arial" w:hAnsi="Arial" w:cs="Arial"/>
                <w:sz w:val="24"/>
                <w:szCs w:val="24"/>
              </w:rPr>
              <w:t>bendamustine</w:t>
            </w:r>
            <w:proofErr w:type="spellEnd"/>
            <w:r w:rsidRPr="00FA3F9C">
              <w:rPr>
                <w:rFonts w:ascii="Arial" w:hAnsi="Arial" w:cs="Arial"/>
                <w:sz w:val="24"/>
                <w:szCs w:val="24"/>
              </w:rPr>
              <w:t xml:space="preserve"> alone (8.0 </w:t>
            </w:r>
            <w:proofErr w:type="spellStart"/>
            <w:r w:rsidRPr="00FA3F9C">
              <w:rPr>
                <w:rFonts w:ascii="Arial" w:hAnsi="Arial" w:cs="Arial"/>
                <w:sz w:val="24"/>
                <w:szCs w:val="24"/>
              </w:rPr>
              <w:t>mo</w:t>
            </w:r>
            <w:proofErr w:type="spellEnd"/>
            <w:r w:rsidRPr="00FA3F9C">
              <w:rPr>
                <w:rFonts w:ascii="Arial" w:hAnsi="Arial" w:cs="Arial"/>
                <w:sz w:val="24"/>
                <w:szCs w:val="24"/>
              </w:rPr>
              <w:t xml:space="preserve"> vs 4.6 </w:t>
            </w:r>
            <w:proofErr w:type="spellStart"/>
            <w:r w:rsidRPr="00FA3F9C">
              <w:rPr>
                <w:rFonts w:ascii="Arial" w:hAnsi="Arial" w:cs="Arial"/>
                <w:sz w:val="24"/>
                <w:szCs w:val="24"/>
              </w:rPr>
              <w:t>mo</w:t>
            </w:r>
            <w:proofErr w:type="spellEnd"/>
            <w:r w:rsidRPr="00FA3F9C">
              <w:rPr>
                <w:rFonts w:ascii="Arial" w:hAnsi="Arial" w:cs="Arial"/>
                <w:sz w:val="24"/>
                <w:szCs w:val="24"/>
              </w:rPr>
              <w:t>).</w:t>
            </w:r>
          </w:p>
          <w:p w14:paraId="4D088BA3" w14:textId="77777777" w:rsidR="009B5AA5" w:rsidRPr="00FA3F9C" w:rsidRDefault="009B5AA5" w:rsidP="002536DD">
            <w:pPr>
              <w:rPr>
                <w:rFonts w:ascii="Arial" w:hAnsi="Arial" w:cs="Arial"/>
                <w:sz w:val="24"/>
                <w:szCs w:val="24"/>
              </w:rPr>
            </w:pPr>
          </w:p>
          <w:p w14:paraId="5BE1C89A" w14:textId="77777777" w:rsidR="009B5AA5" w:rsidRPr="00FA3F9C" w:rsidRDefault="009B5AA5" w:rsidP="002536DD">
            <w:pPr>
              <w:rPr>
                <w:rFonts w:ascii="Arial" w:hAnsi="Arial" w:cs="Arial"/>
                <w:sz w:val="24"/>
                <w:szCs w:val="24"/>
              </w:rPr>
            </w:pPr>
            <w:r w:rsidRPr="00FA3F9C">
              <w:rPr>
                <w:rFonts w:ascii="Arial" w:hAnsi="Arial" w:cs="Arial"/>
                <w:sz w:val="24"/>
                <w:szCs w:val="24"/>
              </w:rPr>
              <w:t>References:</w:t>
            </w:r>
          </w:p>
          <w:p w14:paraId="7FD9945B" w14:textId="77777777" w:rsidR="009B5AA5" w:rsidRPr="00FA3F9C" w:rsidRDefault="009B5AA5" w:rsidP="00FC1E85">
            <w:pPr>
              <w:pStyle w:val="ListParagraph"/>
              <w:numPr>
                <w:ilvl w:val="0"/>
                <w:numId w:val="380"/>
              </w:numPr>
              <w:ind w:left="270" w:hanging="180"/>
              <w:rPr>
                <w:rFonts w:ascii="Arial" w:hAnsi="Arial" w:cs="Arial"/>
                <w:sz w:val="24"/>
                <w:szCs w:val="24"/>
              </w:rPr>
            </w:pPr>
            <w:proofErr w:type="spellStart"/>
            <w:r w:rsidRPr="00FA3F9C">
              <w:rPr>
                <w:rFonts w:ascii="Arial" w:hAnsi="Arial" w:cs="Arial"/>
                <w:sz w:val="24"/>
                <w:szCs w:val="24"/>
              </w:rPr>
              <w:t>Sehn</w:t>
            </w:r>
            <w:proofErr w:type="spellEnd"/>
            <w:r w:rsidRPr="00FA3F9C">
              <w:rPr>
                <w:rFonts w:ascii="Arial" w:hAnsi="Arial" w:cs="Arial"/>
                <w:sz w:val="24"/>
                <w:szCs w:val="24"/>
              </w:rPr>
              <w:t xml:space="preserve"> LH et al. Obinutuzumab plus </w:t>
            </w:r>
            <w:proofErr w:type="spellStart"/>
            <w:r w:rsidRPr="00FA3F9C">
              <w:rPr>
                <w:rFonts w:ascii="Arial" w:hAnsi="Arial" w:cs="Arial"/>
                <w:sz w:val="24"/>
                <w:szCs w:val="24"/>
              </w:rPr>
              <w:t>bendamustine</w:t>
            </w:r>
            <w:proofErr w:type="spellEnd"/>
            <w:r w:rsidRPr="00FA3F9C">
              <w:rPr>
                <w:rFonts w:ascii="Arial" w:hAnsi="Arial" w:cs="Arial"/>
                <w:sz w:val="24"/>
                <w:szCs w:val="24"/>
              </w:rPr>
              <w:t xml:space="preserve"> versus </w:t>
            </w:r>
            <w:proofErr w:type="spellStart"/>
            <w:r w:rsidRPr="00FA3F9C">
              <w:rPr>
                <w:rFonts w:ascii="Arial" w:hAnsi="Arial" w:cs="Arial"/>
                <w:sz w:val="24"/>
                <w:szCs w:val="24"/>
              </w:rPr>
              <w:t>bendamustine</w:t>
            </w:r>
            <w:proofErr w:type="spellEnd"/>
            <w:r w:rsidRPr="00FA3F9C">
              <w:rPr>
                <w:rFonts w:ascii="Arial" w:hAnsi="Arial" w:cs="Arial"/>
                <w:sz w:val="24"/>
                <w:szCs w:val="24"/>
              </w:rPr>
              <w:t xml:space="preserve"> monotherapy in patients with rituximab-refractory indolent non-Hodgkin lymphoma (GADOLIN): a </w:t>
            </w:r>
            <w:proofErr w:type="spellStart"/>
            <w:r w:rsidRPr="00FA3F9C">
              <w:rPr>
                <w:rFonts w:ascii="Arial" w:hAnsi="Arial" w:cs="Arial"/>
                <w:sz w:val="24"/>
                <w:szCs w:val="24"/>
              </w:rPr>
              <w:t>randomised</w:t>
            </w:r>
            <w:proofErr w:type="spellEnd"/>
            <w:r w:rsidRPr="00FA3F9C">
              <w:rPr>
                <w:rFonts w:ascii="Arial" w:hAnsi="Arial" w:cs="Arial"/>
                <w:sz w:val="24"/>
                <w:szCs w:val="24"/>
              </w:rPr>
              <w:t xml:space="preserve">, </w:t>
            </w:r>
            <w:r w:rsidRPr="00FA3F9C">
              <w:rPr>
                <w:rFonts w:ascii="Arial" w:hAnsi="Arial" w:cs="Arial"/>
                <w:sz w:val="24"/>
                <w:szCs w:val="24"/>
              </w:rPr>
              <w:lastRenderedPageBreak/>
              <w:t xml:space="preserve">controlled, open-label, </w:t>
            </w:r>
            <w:proofErr w:type="spellStart"/>
            <w:r w:rsidRPr="00FA3F9C">
              <w:rPr>
                <w:rFonts w:ascii="Arial" w:hAnsi="Arial" w:cs="Arial"/>
                <w:sz w:val="24"/>
                <w:szCs w:val="24"/>
              </w:rPr>
              <w:t>multicentre</w:t>
            </w:r>
            <w:proofErr w:type="spellEnd"/>
            <w:r w:rsidRPr="00FA3F9C">
              <w:rPr>
                <w:rFonts w:ascii="Arial" w:hAnsi="Arial" w:cs="Arial"/>
                <w:sz w:val="24"/>
                <w:szCs w:val="24"/>
              </w:rPr>
              <w:t>, phase 3 trial. Lancet Oncol. 2016 Aug;17(8):1081-1093. PMID 27345636 NCT01059630</w:t>
            </w:r>
          </w:p>
          <w:p w14:paraId="591D7426" w14:textId="77777777" w:rsidR="009B5AA5" w:rsidRPr="00FA3F9C" w:rsidRDefault="009B5AA5" w:rsidP="00FC1E85">
            <w:pPr>
              <w:pStyle w:val="ListParagraph"/>
              <w:numPr>
                <w:ilvl w:val="0"/>
                <w:numId w:val="380"/>
              </w:numPr>
              <w:ind w:left="270" w:hanging="180"/>
              <w:rPr>
                <w:rFonts w:ascii="Arial" w:hAnsi="Arial" w:cs="Arial"/>
                <w:sz w:val="24"/>
                <w:szCs w:val="24"/>
              </w:rPr>
            </w:pPr>
            <w:proofErr w:type="spellStart"/>
            <w:r w:rsidRPr="00FA3F9C">
              <w:rPr>
                <w:rFonts w:ascii="Arial" w:hAnsi="Arial" w:cs="Arial"/>
                <w:sz w:val="24"/>
                <w:szCs w:val="24"/>
              </w:rPr>
              <w:t>Cheson</w:t>
            </w:r>
            <w:proofErr w:type="spellEnd"/>
            <w:r w:rsidRPr="00FA3F9C">
              <w:rPr>
                <w:rFonts w:ascii="Arial" w:hAnsi="Arial" w:cs="Arial"/>
                <w:sz w:val="24"/>
                <w:szCs w:val="24"/>
              </w:rPr>
              <w:t xml:space="preserve"> BD et al. Overall Survival Benefit in Patients </w:t>
            </w:r>
            <w:proofErr w:type="gramStart"/>
            <w:r w:rsidRPr="00FA3F9C">
              <w:rPr>
                <w:rFonts w:ascii="Arial" w:hAnsi="Arial" w:cs="Arial"/>
                <w:sz w:val="24"/>
                <w:szCs w:val="24"/>
              </w:rPr>
              <w:t>With</w:t>
            </w:r>
            <w:proofErr w:type="gramEnd"/>
            <w:r w:rsidRPr="00FA3F9C">
              <w:rPr>
                <w:rFonts w:ascii="Arial" w:hAnsi="Arial" w:cs="Arial"/>
                <w:sz w:val="24"/>
                <w:szCs w:val="24"/>
              </w:rPr>
              <w:t xml:space="preserve"> Rituximab-Refractory Indolent Non-Hodgkin Lymphoma Who Received Obinutuzumab Plus </w:t>
            </w:r>
            <w:proofErr w:type="spellStart"/>
            <w:r w:rsidRPr="00FA3F9C">
              <w:rPr>
                <w:rFonts w:ascii="Arial" w:hAnsi="Arial" w:cs="Arial"/>
                <w:sz w:val="24"/>
                <w:szCs w:val="24"/>
              </w:rPr>
              <w:t>Bendamustine</w:t>
            </w:r>
            <w:proofErr w:type="spellEnd"/>
            <w:r w:rsidRPr="00FA3F9C">
              <w:rPr>
                <w:rFonts w:ascii="Arial" w:hAnsi="Arial" w:cs="Arial"/>
                <w:sz w:val="24"/>
                <w:szCs w:val="24"/>
              </w:rPr>
              <w:t xml:space="preserve"> Induction and Obinutuzumab Maintenance in the GADOLIN Study. J Clin Oncol. 2018 Aug 1;36(22):2259-2266. PMID 29584548 NCT01059630</w:t>
            </w:r>
          </w:p>
          <w:p w14:paraId="59FDB0D7" w14:textId="77777777" w:rsidR="009B5AA5" w:rsidRPr="00FA3F9C" w:rsidRDefault="009B5AA5" w:rsidP="00FC1E85">
            <w:pPr>
              <w:pStyle w:val="ListParagraph"/>
              <w:numPr>
                <w:ilvl w:val="0"/>
                <w:numId w:val="380"/>
              </w:numPr>
              <w:ind w:left="270" w:hanging="180"/>
              <w:rPr>
                <w:rFonts w:ascii="Arial" w:hAnsi="Arial" w:cs="Arial"/>
                <w:sz w:val="24"/>
                <w:szCs w:val="24"/>
              </w:rPr>
            </w:pPr>
            <w:proofErr w:type="spellStart"/>
            <w:r w:rsidRPr="00FA3F9C">
              <w:rPr>
                <w:rFonts w:ascii="Arial" w:hAnsi="Arial" w:cs="Arial"/>
                <w:sz w:val="24"/>
                <w:szCs w:val="24"/>
              </w:rPr>
              <w:t>Cheson</w:t>
            </w:r>
            <w:proofErr w:type="spellEnd"/>
            <w:r w:rsidRPr="00FA3F9C">
              <w:rPr>
                <w:rFonts w:ascii="Arial" w:hAnsi="Arial" w:cs="Arial"/>
                <w:sz w:val="24"/>
                <w:szCs w:val="24"/>
              </w:rPr>
              <w:t xml:space="preserve"> BD et al. Health-related quality of life and symptoms in patients with rituximab-refractory indolent non-Hodgkin lymphoma treated in the phase III GADOLIN study with </w:t>
            </w:r>
            <w:proofErr w:type="spellStart"/>
            <w:r w:rsidRPr="00FA3F9C">
              <w:rPr>
                <w:rFonts w:ascii="Arial" w:hAnsi="Arial" w:cs="Arial"/>
                <w:sz w:val="24"/>
                <w:szCs w:val="24"/>
              </w:rPr>
              <w:t>obinutuzumab</w:t>
            </w:r>
            <w:proofErr w:type="spellEnd"/>
            <w:r w:rsidRPr="00FA3F9C">
              <w:rPr>
                <w:rFonts w:ascii="Arial" w:hAnsi="Arial" w:cs="Arial"/>
                <w:sz w:val="24"/>
                <w:szCs w:val="24"/>
              </w:rPr>
              <w:t xml:space="preserve"> plus </w:t>
            </w:r>
            <w:proofErr w:type="spellStart"/>
            <w:r w:rsidRPr="00FA3F9C">
              <w:rPr>
                <w:rFonts w:ascii="Arial" w:hAnsi="Arial" w:cs="Arial"/>
                <w:sz w:val="24"/>
                <w:szCs w:val="24"/>
              </w:rPr>
              <w:t>bendamustine</w:t>
            </w:r>
            <w:proofErr w:type="spellEnd"/>
            <w:r w:rsidRPr="00FA3F9C">
              <w:rPr>
                <w:rFonts w:ascii="Arial" w:hAnsi="Arial" w:cs="Arial"/>
                <w:sz w:val="24"/>
                <w:szCs w:val="24"/>
              </w:rPr>
              <w:t xml:space="preserve"> versus </w:t>
            </w:r>
            <w:proofErr w:type="spellStart"/>
            <w:r w:rsidRPr="00FA3F9C">
              <w:rPr>
                <w:rFonts w:ascii="Arial" w:hAnsi="Arial" w:cs="Arial"/>
                <w:sz w:val="24"/>
                <w:szCs w:val="24"/>
              </w:rPr>
              <w:t>bendamustine</w:t>
            </w:r>
            <w:proofErr w:type="spellEnd"/>
            <w:r w:rsidRPr="00FA3F9C">
              <w:rPr>
                <w:rFonts w:ascii="Arial" w:hAnsi="Arial" w:cs="Arial"/>
                <w:sz w:val="24"/>
                <w:szCs w:val="24"/>
              </w:rPr>
              <w:t xml:space="preserve"> alone. Ann </w:t>
            </w:r>
            <w:proofErr w:type="spellStart"/>
            <w:r w:rsidRPr="00FA3F9C">
              <w:rPr>
                <w:rFonts w:ascii="Arial" w:hAnsi="Arial" w:cs="Arial"/>
                <w:sz w:val="24"/>
                <w:szCs w:val="24"/>
              </w:rPr>
              <w:t>Hematol</w:t>
            </w:r>
            <w:proofErr w:type="spellEnd"/>
            <w:r w:rsidRPr="00FA3F9C">
              <w:rPr>
                <w:rFonts w:ascii="Arial" w:hAnsi="Arial" w:cs="Arial"/>
                <w:sz w:val="24"/>
                <w:szCs w:val="24"/>
              </w:rPr>
              <w:t>. 2017 Feb;96(2):253-259. PMID 27900446. NCT01059630</w:t>
            </w:r>
          </w:p>
        </w:tc>
      </w:tr>
    </w:tbl>
    <w:p w14:paraId="7231E4AC" w14:textId="77777777" w:rsidR="009B5AA5" w:rsidRPr="00FA3F9C" w:rsidRDefault="009B5AA5" w:rsidP="00EC764A">
      <w:pPr>
        <w:spacing w:after="0"/>
        <w:rPr>
          <w:rFonts w:ascii="Arial" w:hAnsi="Arial" w:cs="Arial"/>
          <w:sz w:val="24"/>
          <w:szCs w:val="24"/>
        </w:rPr>
      </w:pPr>
    </w:p>
    <w:p w14:paraId="7F1E9523" w14:textId="77777777" w:rsidR="009B5AA5" w:rsidRPr="00FA3F9C" w:rsidRDefault="009B5AA5" w:rsidP="0052674A">
      <w:pPr>
        <w:spacing w:after="0"/>
        <w:rPr>
          <w:rFonts w:ascii="Arial" w:hAnsi="Arial" w:cs="Arial"/>
          <w:sz w:val="24"/>
          <w:szCs w:val="24"/>
        </w:rPr>
      </w:pPr>
    </w:p>
    <w:tbl>
      <w:tblPr>
        <w:tblStyle w:val="TableGrid"/>
        <w:tblW w:w="0" w:type="auto"/>
        <w:tblLook w:val="04A0" w:firstRow="1" w:lastRow="0" w:firstColumn="1" w:lastColumn="0" w:noHBand="0" w:noVBand="1"/>
      </w:tblPr>
      <w:tblGrid>
        <w:gridCol w:w="1458"/>
        <w:gridCol w:w="7650"/>
        <w:gridCol w:w="1800"/>
      </w:tblGrid>
      <w:tr w:rsidR="009B5AA5" w:rsidRPr="00FA3F9C" w14:paraId="6DA1E12C" w14:textId="77777777" w:rsidTr="00F1569E">
        <w:tc>
          <w:tcPr>
            <w:tcW w:w="1458" w:type="dxa"/>
          </w:tcPr>
          <w:p w14:paraId="534C6D41" w14:textId="77777777" w:rsidR="009B5AA5" w:rsidRPr="00FA3F9C" w:rsidRDefault="009B5AA5" w:rsidP="004B567A">
            <w:pPr>
              <w:jc w:val="center"/>
              <w:rPr>
                <w:rFonts w:ascii="Arial" w:hAnsi="Arial" w:cs="Arial"/>
                <w:b/>
                <w:sz w:val="24"/>
                <w:szCs w:val="24"/>
              </w:rPr>
            </w:pPr>
            <w:r w:rsidRPr="00FA3F9C">
              <w:rPr>
                <w:rFonts w:ascii="Arial" w:hAnsi="Arial" w:cs="Arial"/>
                <w:b/>
                <w:sz w:val="24"/>
                <w:szCs w:val="24"/>
              </w:rPr>
              <w:t>Date</w:t>
            </w:r>
          </w:p>
        </w:tc>
        <w:tc>
          <w:tcPr>
            <w:tcW w:w="7650" w:type="dxa"/>
          </w:tcPr>
          <w:p w14:paraId="36083519" w14:textId="77777777" w:rsidR="009B5AA5" w:rsidRPr="00FA3F9C" w:rsidRDefault="009B5AA5" w:rsidP="004B567A">
            <w:pPr>
              <w:jc w:val="center"/>
              <w:rPr>
                <w:rFonts w:ascii="Arial" w:hAnsi="Arial" w:cs="Arial"/>
                <w:b/>
                <w:sz w:val="24"/>
                <w:szCs w:val="24"/>
              </w:rPr>
            </w:pPr>
            <w:r w:rsidRPr="00FA3F9C">
              <w:rPr>
                <w:rFonts w:ascii="Arial" w:hAnsi="Arial" w:cs="Arial"/>
                <w:b/>
                <w:sz w:val="24"/>
                <w:szCs w:val="24"/>
              </w:rPr>
              <w:t>What changed</w:t>
            </w:r>
          </w:p>
        </w:tc>
        <w:tc>
          <w:tcPr>
            <w:tcW w:w="1800" w:type="dxa"/>
          </w:tcPr>
          <w:p w14:paraId="73E9DBCB" w14:textId="77777777" w:rsidR="009B5AA5" w:rsidRPr="00FA3F9C" w:rsidRDefault="009B5AA5" w:rsidP="004B567A">
            <w:pPr>
              <w:jc w:val="center"/>
              <w:rPr>
                <w:rFonts w:ascii="Arial" w:hAnsi="Arial" w:cs="Arial"/>
                <w:b/>
                <w:sz w:val="24"/>
                <w:szCs w:val="24"/>
              </w:rPr>
            </w:pPr>
            <w:r w:rsidRPr="00FA3F9C">
              <w:rPr>
                <w:rFonts w:ascii="Arial" w:hAnsi="Arial" w:cs="Arial"/>
                <w:b/>
                <w:sz w:val="24"/>
                <w:szCs w:val="24"/>
              </w:rPr>
              <w:t>PharmD Initials</w:t>
            </w:r>
          </w:p>
        </w:tc>
      </w:tr>
      <w:tr w:rsidR="009B5AA5" w:rsidRPr="00FA3F9C" w14:paraId="76DE271C" w14:textId="77777777" w:rsidTr="00F1569E">
        <w:tc>
          <w:tcPr>
            <w:tcW w:w="1458" w:type="dxa"/>
          </w:tcPr>
          <w:p w14:paraId="76483A82" w14:textId="77777777" w:rsidR="009B5AA5" w:rsidRPr="00FA3F9C" w:rsidRDefault="009B5AA5" w:rsidP="004B567A">
            <w:pPr>
              <w:rPr>
                <w:rFonts w:ascii="Arial" w:hAnsi="Arial" w:cs="Arial"/>
                <w:sz w:val="24"/>
                <w:szCs w:val="24"/>
              </w:rPr>
            </w:pPr>
            <w:r w:rsidRPr="00FA3F9C">
              <w:rPr>
                <w:rFonts w:ascii="Arial" w:hAnsi="Arial" w:cs="Arial"/>
                <w:sz w:val="24"/>
                <w:szCs w:val="24"/>
              </w:rPr>
              <w:t>8.17.2016</w:t>
            </w:r>
          </w:p>
        </w:tc>
        <w:tc>
          <w:tcPr>
            <w:tcW w:w="7650" w:type="dxa"/>
          </w:tcPr>
          <w:p w14:paraId="4BF99239" w14:textId="77777777" w:rsidR="009B5AA5" w:rsidRPr="00FA3F9C" w:rsidRDefault="009B5AA5" w:rsidP="004B567A">
            <w:pPr>
              <w:rPr>
                <w:rFonts w:ascii="Arial" w:hAnsi="Arial" w:cs="Arial"/>
                <w:sz w:val="24"/>
                <w:szCs w:val="24"/>
              </w:rPr>
            </w:pPr>
            <w:r w:rsidRPr="00FA3F9C">
              <w:rPr>
                <w:rFonts w:ascii="Arial" w:hAnsi="Arial" w:cs="Arial"/>
                <w:sz w:val="24"/>
                <w:szCs w:val="24"/>
              </w:rPr>
              <w:t>PA criteria written</w:t>
            </w:r>
          </w:p>
        </w:tc>
        <w:tc>
          <w:tcPr>
            <w:tcW w:w="1800" w:type="dxa"/>
          </w:tcPr>
          <w:p w14:paraId="406B7E6E" w14:textId="77777777" w:rsidR="009B5AA5" w:rsidRPr="00FA3F9C" w:rsidRDefault="009B5AA5" w:rsidP="004B567A">
            <w:pPr>
              <w:rPr>
                <w:rFonts w:ascii="Arial" w:hAnsi="Arial" w:cs="Arial"/>
                <w:sz w:val="24"/>
                <w:szCs w:val="24"/>
              </w:rPr>
            </w:pPr>
            <w:r w:rsidRPr="00FA3F9C">
              <w:rPr>
                <w:rFonts w:ascii="Arial" w:hAnsi="Arial" w:cs="Arial"/>
                <w:sz w:val="24"/>
                <w:szCs w:val="24"/>
              </w:rPr>
              <w:t>GBB</w:t>
            </w:r>
          </w:p>
        </w:tc>
      </w:tr>
      <w:tr w:rsidR="009B5AA5" w:rsidRPr="00FA3F9C" w14:paraId="781DEEAB" w14:textId="77777777" w:rsidTr="00F1569E">
        <w:tc>
          <w:tcPr>
            <w:tcW w:w="1458" w:type="dxa"/>
          </w:tcPr>
          <w:p w14:paraId="438F659E" w14:textId="77777777" w:rsidR="009B5AA5" w:rsidRPr="00FA3F9C" w:rsidRDefault="009B5AA5" w:rsidP="004B567A">
            <w:pPr>
              <w:rPr>
                <w:rFonts w:ascii="Arial" w:hAnsi="Arial" w:cs="Arial"/>
                <w:sz w:val="24"/>
                <w:szCs w:val="24"/>
              </w:rPr>
            </w:pPr>
            <w:r w:rsidRPr="00FA3F9C">
              <w:rPr>
                <w:rFonts w:ascii="Arial" w:hAnsi="Arial" w:cs="Arial"/>
                <w:sz w:val="24"/>
                <w:szCs w:val="24"/>
              </w:rPr>
              <w:t>2/27/17</w:t>
            </w:r>
          </w:p>
        </w:tc>
        <w:tc>
          <w:tcPr>
            <w:tcW w:w="7650" w:type="dxa"/>
          </w:tcPr>
          <w:p w14:paraId="6F3A2F65" w14:textId="77777777" w:rsidR="009B5AA5" w:rsidRPr="00FA3F9C" w:rsidRDefault="009B5AA5" w:rsidP="004B567A">
            <w:pPr>
              <w:rPr>
                <w:rFonts w:ascii="Arial" w:hAnsi="Arial" w:cs="Arial"/>
                <w:sz w:val="24"/>
                <w:szCs w:val="24"/>
              </w:rPr>
            </w:pPr>
            <w:r w:rsidRPr="00FA3F9C">
              <w:rPr>
                <w:rFonts w:ascii="Arial" w:hAnsi="Arial" w:cs="Arial"/>
                <w:sz w:val="24"/>
                <w:szCs w:val="24"/>
              </w:rPr>
              <w:t>I updated the criteria.  Added ref #4.</w:t>
            </w:r>
          </w:p>
        </w:tc>
        <w:tc>
          <w:tcPr>
            <w:tcW w:w="1800" w:type="dxa"/>
          </w:tcPr>
          <w:p w14:paraId="26391D18" w14:textId="77777777" w:rsidR="009B5AA5" w:rsidRPr="00FA3F9C" w:rsidRDefault="009B5AA5" w:rsidP="004B567A">
            <w:pPr>
              <w:rPr>
                <w:rFonts w:ascii="Arial" w:hAnsi="Arial" w:cs="Arial"/>
                <w:sz w:val="24"/>
                <w:szCs w:val="24"/>
              </w:rPr>
            </w:pPr>
            <w:r w:rsidRPr="00FA3F9C">
              <w:rPr>
                <w:rFonts w:ascii="Arial" w:hAnsi="Arial" w:cs="Arial"/>
                <w:sz w:val="24"/>
                <w:szCs w:val="24"/>
              </w:rPr>
              <w:t>JJ</w:t>
            </w:r>
          </w:p>
        </w:tc>
      </w:tr>
      <w:tr w:rsidR="009B5AA5" w:rsidRPr="00FA3F9C" w14:paraId="4AE157C2" w14:textId="77777777" w:rsidTr="00F1569E">
        <w:tc>
          <w:tcPr>
            <w:tcW w:w="1458" w:type="dxa"/>
          </w:tcPr>
          <w:p w14:paraId="2F5A04DE" w14:textId="77777777" w:rsidR="009B5AA5" w:rsidRPr="00FA3F9C" w:rsidRDefault="009B5AA5" w:rsidP="004B567A">
            <w:pPr>
              <w:rPr>
                <w:rFonts w:ascii="Arial" w:hAnsi="Arial" w:cs="Arial"/>
                <w:sz w:val="24"/>
                <w:szCs w:val="24"/>
              </w:rPr>
            </w:pPr>
            <w:r w:rsidRPr="00FA3F9C">
              <w:rPr>
                <w:rFonts w:ascii="Arial" w:hAnsi="Arial" w:cs="Arial"/>
                <w:sz w:val="24"/>
                <w:szCs w:val="24"/>
              </w:rPr>
              <w:t>3/8/17</w:t>
            </w:r>
          </w:p>
        </w:tc>
        <w:tc>
          <w:tcPr>
            <w:tcW w:w="7650" w:type="dxa"/>
          </w:tcPr>
          <w:p w14:paraId="2B797E1C" w14:textId="77777777" w:rsidR="009B5AA5" w:rsidRPr="00FA3F9C" w:rsidRDefault="009B5AA5" w:rsidP="004B567A">
            <w:pPr>
              <w:rPr>
                <w:rFonts w:ascii="Arial" w:hAnsi="Arial" w:cs="Arial"/>
                <w:sz w:val="24"/>
                <w:szCs w:val="24"/>
              </w:rPr>
            </w:pPr>
            <w:r w:rsidRPr="00FA3F9C">
              <w:rPr>
                <w:rFonts w:ascii="Arial" w:hAnsi="Arial" w:cs="Arial"/>
                <w:sz w:val="24"/>
                <w:szCs w:val="24"/>
              </w:rPr>
              <w:t xml:space="preserve">I added ref #5. I also changed the criteria to cover follicular lymphoma due to an improvement in HRQOL, specifically time to deterioration from 8m (combo) vs 4.6m (on monotherapy </w:t>
            </w:r>
            <w:proofErr w:type="spellStart"/>
            <w:r w:rsidRPr="00FA3F9C">
              <w:rPr>
                <w:rFonts w:ascii="Arial" w:hAnsi="Arial" w:cs="Arial"/>
                <w:sz w:val="24"/>
                <w:szCs w:val="24"/>
              </w:rPr>
              <w:t>bendamustine</w:t>
            </w:r>
            <w:proofErr w:type="spellEnd"/>
            <w:r w:rsidRPr="00FA3F9C">
              <w:rPr>
                <w:rFonts w:ascii="Arial" w:hAnsi="Arial" w:cs="Arial"/>
                <w:sz w:val="24"/>
                <w:szCs w:val="24"/>
              </w:rPr>
              <w:t>)</w:t>
            </w:r>
          </w:p>
        </w:tc>
        <w:tc>
          <w:tcPr>
            <w:tcW w:w="1800" w:type="dxa"/>
          </w:tcPr>
          <w:p w14:paraId="6EE7BA42" w14:textId="77777777" w:rsidR="009B5AA5" w:rsidRPr="00FA3F9C" w:rsidRDefault="009B5AA5" w:rsidP="004B567A">
            <w:pPr>
              <w:rPr>
                <w:rFonts w:ascii="Arial" w:hAnsi="Arial" w:cs="Arial"/>
                <w:sz w:val="24"/>
                <w:szCs w:val="24"/>
              </w:rPr>
            </w:pPr>
            <w:r w:rsidRPr="00FA3F9C">
              <w:rPr>
                <w:rFonts w:ascii="Arial" w:hAnsi="Arial" w:cs="Arial"/>
                <w:sz w:val="24"/>
                <w:szCs w:val="24"/>
              </w:rPr>
              <w:t>JJ</w:t>
            </w:r>
          </w:p>
        </w:tc>
      </w:tr>
      <w:tr w:rsidR="009B5AA5" w:rsidRPr="00FA3F9C" w14:paraId="25E90CA5" w14:textId="77777777" w:rsidTr="00F1569E">
        <w:tc>
          <w:tcPr>
            <w:tcW w:w="1458" w:type="dxa"/>
          </w:tcPr>
          <w:p w14:paraId="41F088F7" w14:textId="77777777" w:rsidR="009B5AA5" w:rsidRPr="00FA3F9C" w:rsidRDefault="009B5AA5" w:rsidP="004B567A">
            <w:pPr>
              <w:rPr>
                <w:rFonts w:ascii="Arial" w:hAnsi="Arial" w:cs="Arial"/>
                <w:sz w:val="24"/>
                <w:szCs w:val="24"/>
              </w:rPr>
            </w:pPr>
            <w:r w:rsidRPr="00FA3F9C">
              <w:rPr>
                <w:rFonts w:ascii="Arial" w:hAnsi="Arial" w:cs="Arial"/>
                <w:sz w:val="24"/>
                <w:szCs w:val="24"/>
              </w:rPr>
              <w:t>7/18/19</w:t>
            </w:r>
          </w:p>
        </w:tc>
        <w:tc>
          <w:tcPr>
            <w:tcW w:w="7650" w:type="dxa"/>
          </w:tcPr>
          <w:p w14:paraId="43C33D41" w14:textId="77777777" w:rsidR="009B5AA5" w:rsidRPr="00FA3F9C" w:rsidRDefault="009B5AA5" w:rsidP="0093072B">
            <w:pPr>
              <w:rPr>
                <w:rFonts w:ascii="Arial" w:hAnsi="Arial" w:cs="Arial"/>
                <w:sz w:val="24"/>
                <w:szCs w:val="24"/>
              </w:rPr>
            </w:pPr>
            <w:r w:rsidRPr="00FA3F9C">
              <w:rPr>
                <w:rFonts w:ascii="Arial" w:hAnsi="Arial" w:cs="Arial"/>
                <w:sz w:val="24"/>
                <w:szCs w:val="24"/>
              </w:rPr>
              <w:t xml:space="preserve">Criteria reviewed, will not cover new indication of untreated CLL (in combination with </w:t>
            </w:r>
            <w:proofErr w:type="spellStart"/>
            <w:r w:rsidRPr="00FA3F9C">
              <w:rPr>
                <w:rFonts w:ascii="Arial" w:hAnsi="Arial" w:cs="Arial"/>
                <w:sz w:val="24"/>
                <w:szCs w:val="24"/>
              </w:rPr>
              <w:t>venetoclax</w:t>
            </w:r>
            <w:proofErr w:type="spellEnd"/>
            <w:r w:rsidRPr="00FA3F9C">
              <w:rPr>
                <w:rFonts w:ascii="Arial" w:hAnsi="Arial" w:cs="Arial"/>
                <w:sz w:val="24"/>
                <w:szCs w:val="24"/>
              </w:rPr>
              <w:t>) or new indication of untreated follicular lymphoma.</w:t>
            </w:r>
          </w:p>
        </w:tc>
        <w:tc>
          <w:tcPr>
            <w:tcW w:w="1800" w:type="dxa"/>
          </w:tcPr>
          <w:p w14:paraId="3411B211" w14:textId="77777777" w:rsidR="009B5AA5" w:rsidRPr="00FA3F9C" w:rsidRDefault="009B5AA5" w:rsidP="004B567A">
            <w:pPr>
              <w:rPr>
                <w:rFonts w:ascii="Arial" w:hAnsi="Arial" w:cs="Arial"/>
                <w:sz w:val="24"/>
                <w:szCs w:val="24"/>
              </w:rPr>
            </w:pPr>
            <w:r w:rsidRPr="00FA3F9C">
              <w:rPr>
                <w:rFonts w:ascii="Arial" w:hAnsi="Arial" w:cs="Arial"/>
                <w:sz w:val="24"/>
                <w:szCs w:val="24"/>
              </w:rPr>
              <w:t>SK</w:t>
            </w:r>
          </w:p>
        </w:tc>
      </w:tr>
      <w:tr w:rsidR="009B5AA5" w:rsidRPr="00FA3F9C" w14:paraId="1146225D" w14:textId="77777777" w:rsidTr="00F1569E">
        <w:tc>
          <w:tcPr>
            <w:tcW w:w="1458" w:type="dxa"/>
          </w:tcPr>
          <w:p w14:paraId="7896E0F1" w14:textId="77777777" w:rsidR="009B5AA5" w:rsidRPr="00FA3F9C" w:rsidRDefault="009B5AA5" w:rsidP="004B567A">
            <w:pPr>
              <w:rPr>
                <w:rFonts w:ascii="Arial" w:hAnsi="Arial" w:cs="Arial"/>
                <w:sz w:val="24"/>
                <w:szCs w:val="24"/>
              </w:rPr>
            </w:pPr>
            <w:r w:rsidRPr="00FA3F9C">
              <w:rPr>
                <w:rFonts w:ascii="Arial" w:hAnsi="Arial" w:cs="Arial"/>
                <w:sz w:val="24"/>
                <w:szCs w:val="24"/>
              </w:rPr>
              <w:t>7/7/2020</w:t>
            </w:r>
          </w:p>
        </w:tc>
        <w:tc>
          <w:tcPr>
            <w:tcW w:w="7650" w:type="dxa"/>
          </w:tcPr>
          <w:p w14:paraId="4F4076EF" w14:textId="77777777" w:rsidR="009B5AA5" w:rsidRPr="00FA3F9C" w:rsidRDefault="009B5AA5" w:rsidP="0093072B">
            <w:pPr>
              <w:rPr>
                <w:rFonts w:ascii="Arial" w:hAnsi="Arial" w:cs="Arial"/>
                <w:sz w:val="24"/>
                <w:szCs w:val="24"/>
              </w:rPr>
            </w:pPr>
            <w:r w:rsidRPr="00FA3F9C">
              <w:rPr>
                <w:rFonts w:ascii="Arial" w:hAnsi="Arial" w:cs="Arial"/>
                <w:sz w:val="24"/>
                <w:szCs w:val="24"/>
              </w:rPr>
              <w:t xml:space="preserve">Criteria reviewed. Looked for opportunity to prefer rituximab over </w:t>
            </w:r>
            <w:proofErr w:type="spellStart"/>
            <w:r w:rsidRPr="00FA3F9C">
              <w:rPr>
                <w:rFonts w:ascii="Arial" w:hAnsi="Arial" w:cs="Arial"/>
                <w:sz w:val="24"/>
                <w:szCs w:val="24"/>
              </w:rPr>
              <w:t>obinutuzumab</w:t>
            </w:r>
            <w:proofErr w:type="spellEnd"/>
            <w:r w:rsidRPr="00FA3F9C">
              <w:rPr>
                <w:rFonts w:ascii="Arial" w:hAnsi="Arial" w:cs="Arial"/>
                <w:sz w:val="24"/>
                <w:szCs w:val="24"/>
              </w:rPr>
              <w:t xml:space="preserve"> but </w:t>
            </w:r>
            <w:proofErr w:type="gramStart"/>
            <w:r w:rsidRPr="00FA3F9C">
              <w:rPr>
                <w:rFonts w:ascii="Arial" w:hAnsi="Arial" w:cs="Arial"/>
                <w:sz w:val="24"/>
                <w:szCs w:val="24"/>
              </w:rPr>
              <w:t>don’t</w:t>
            </w:r>
            <w:proofErr w:type="gramEnd"/>
            <w:r w:rsidRPr="00FA3F9C">
              <w:rPr>
                <w:rFonts w:ascii="Arial" w:hAnsi="Arial" w:cs="Arial"/>
                <w:sz w:val="24"/>
                <w:szCs w:val="24"/>
              </w:rPr>
              <w:t xml:space="preserve"> think it would be justified for any covered indications.</w:t>
            </w:r>
          </w:p>
        </w:tc>
        <w:tc>
          <w:tcPr>
            <w:tcW w:w="1800" w:type="dxa"/>
          </w:tcPr>
          <w:p w14:paraId="771F928D" w14:textId="77777777" w:rsidR="009B5AA5" w:rsidRPr="00FA3F9C" w:rsidRDefault="009B5AA5" w:rsidP="004B567A">
            <w:pPr>
              <w:rPr>
                <w:rFonts w:ascii="Arial" w:hAnsi="Arial" w:cs="Arial"/>
                <w:sz w:val="24"/>
                <w:szCs w:val="24"/>
              </w:rPr>
            </w:pPr>
            <w:r w:rsidRPr="00FA3F9C">
              <w:rPr>
                <w:rFonts w:ascii="Arial" w:hAnsi="Arial" w:cs="Arial"/>
                <w:sz w:val="24"/>
                <w:szCs w:val="24"/>
              </w:rPr>
              <w:t>SK</w:t>
            </w:r>
          </w:p>
        </w:tc>
      </w:tr>
      <w:tr w:rsidR="009B5AA5" w:rsidRPr="00FA3F9C" w14:paraId="36C97272" w14:textId="77777777" w:rsidTr="00F1569E">
        <w:tc>
          <w:tcPr>
            <w:tcW w:w="1458" w:type="dxa"/>
          </w:tcPr>
          <w:p w14:paraId="4AA0F611" w14:textId="77777777" w:rsidR="009B5AA5" w:rsidRPr="00FA3F9C" w:rsidRDefault="009B5AA5" w:rsidP="004B567A">
            <w:pPr>
              <w:rPr>
                <w:rFonts w:ascii="Arial" w:hAnsi="Arial" w:cs="Arial"/>
                <w:sz w:val="24"/>
                <w:szCs w:val="24"/>
              </w:rPr>
            </w:pPr>
            <w:r w:rsidRPr="00FA3F9C">
              <w:rPr>
                <w:rFonts w:ascii="Arial" w:hAnsi="Arial" w:cs="Arial"/>
                <w:sz w:val="24"/>
                <w:szCs w:val="24"/>
              </w:rPr>
              <w:t>9/28/2021</w:t>
            </w:r>
          </w:p>
        </w:tc>
        <w:tc>
          <w:tcPr>
            <w:tcW w:w="7650" w:type="dxa"/>
          </w:tcPr>
          <w:p w14:paraId="1C0CD16E" w14:textId="77777777" w:rsidR="009B5AA5" w:rsidRPr="00FA3F9C" w:rsidRDefault="009B5AA5" w:rsidP="0093072B">
            <w:pPr>
              <w:rPr>
                <w:rFonts w:ascii="Arial" w:hAnsi="Arial" w:cs="Arial"/>
                <w:sz w:val="24"/>
                <w:szCs w:val="24"/>
              </w:rPr>
            </w:pPr>
            <w:r w:rsidRPr="00FA3F9C">
              <w:rPr>
                <w:rFonts w:ascii="Arial" w:hAnsi="Arial" w:cs="Arial"/>
                <w:sz w:val="24"/>
                <w:szCs w:val="24"/>
              </w:rPr>
              <w:t xml:space="preserve">Criteria reviewed. Added new info for first line use in combination with </w:t>
            </w:r>
            <w:proofErr w:type="spellStart"/>
            <w:r w:rsidRPr="00FA3F9C">
              <w:rPr>
                <w:rFonts w:ascii="Arial" w:hAnsi="Arial" w:cs="Arial"/>
                <w:sz w:val="24"/>
                <w:szCs w:val="24"/>
              </w:rPr>
              <w:t>venetoclax</w:t>
            </w:r>
            <w:proofErr w:type="spellEnd"/>
            <w:r w:rsidRPr="00FA3F9C">
              <w:rPr>
                <w:rFonts w:ascii="Arial" w:hAnsi="Arial" w:cs="Arial"/>
                <w:sz w:val="24"/>
                <w:szCs w:val="24"/>
              </w:rPr>
              <w:t xml:space="preserve">—substantial PFS benefit, but no OS benefit at this time. No change to criteria. </w:t>
            </w:r>
          </w:p>
        </w:tc>
        <w:tc>
          <w:tcPr>
            <w:tcW w:w="1800" w:type="dxa"/>
          </w:tcPr>
          <w:p w14:paraId="32CB27FA" w14:textId="77777777" w:rsidR="009B5AA5" w:rsidRPr="00FA3F9C" w:rsidRDefault="009B5AA5" w:rsidP="004B567A">
            <w:pPr>
              <w:rPr>
                <w:rFonts w:ascii="Arial" w:hAnsi="Arial" w:cs="Arial"/>
                <w:sz w:val="24"/>
                <w:szCs w:val="24"/>
              </w:rPr>
            </w:pPr>
            <w:r w:rsidRPr="00FA3F9C">
              <w:rPr>
                <w:rFonts w:ascii="Arial" w:hAnsi="Arial" w:cs="Arial"/>
                <w:sz w:val="24"/>
                <w:szCs w:val="24"/>
              </w:rPr>
              <w:t>SK</w:t>
            </w:r>
          </w:p>
        </w:tc>
      </w:tr>
    </w:tbl>
    <w:p w14:paraId="693843F9" w14:textId="77777777" w:rsidR="009B5AA5" w:rsidRPr="00FA3F9C" w:rsidRDefault="009B5AA5" w:rsidP="0052674A">
      <w:pPr>
        <w:spacing w:after="0"/>
        <w:jc w:val="center"/>
        <w:rPr>
          <w:rFonts w:ascii="Arial" w:hAnsi="Arial" w:cs="Arial"/>
          <w:b/>
          <w:sz w:val="24"/>
          <w:szCs w:val="24"/>
        </w:rPr>
      </w:pPr>
    </w:p>
    <w:p w14:paraId="28006520" w14:textId="66732A9F" w:rsidR="009B5AA5" w:rsidRDefault="009B5AA5" w:rsidP="00EF3B65">
      <w:pPr>
        <w:pStyle w:val="Heading2"/>
      </w:pPr>
      <w:r w:rsidRPr="00FA3F9C">
        <w:br/>
      </w:r>
      <w:bookmarkStart w:id="237" w:name="_Toc106369874"/>
      <w:r w:rsidRPr="00FA3F9C">
        <w:t>Ocrelizumab (Ocrevus)</w:t>
      </w:r>
      <w:bookmarkEnd w:id="237"/>
      <w:r w:rsidRPr="00FA3F9C">
        <w:t xml:space="preserve"> </w:t>
      </w:r>
    </w:p>
    <w:p w14:paraId="7A820A2C" w14:textId="69CD3158" w:rsidR="00EF3B65" w:rsidRPr="00EF3B65" w:rsidRDefault="00EF3B65" w:rsidP="00EF3B65">
      <w:pPr>
        <w:ind w:left="4320" w:firstLine="720"/>
        <w:rPr>
          <w:lang w:val="x-none" w:eastAsia="x-none"/>
        </w:rPr>
      </w:pPr>
      <w:r w:rsidRPr="00FA3F9C">
        <w:rPr>
          <w:rFonts w:ascii="Arial" w:hAnsi="Arial" w:cs="Arial"/>
          <w:sz w:val="24"/>
          <w:szCs w:val="24"/>
        </w:rPr>
        <w:t>EBRx Prior Authorization Criteria</w:t>
      </w:r>
    </w:p>
    <w:p w14:paraId="32345292" w14:textId="77777777" w:rsidR="009B5AA5" w:rsidRPr="00FA3F9C" w:rsidRDefault="009B5AA5" w:rsidP="00810BBD">
      <w:pPr>
        <w:spacing w:after="0" w:line="240" w:lineRule="auto"/>
        <w:rPr>
          <w:rFonts w:ascii="Arial" w:hAnsi="Arial" w:cs="Arial"/>
          <w:b/>
          <w:sz w:val="24"/>
          <w:szCs w:val="24"/>
        </w:rPr>
      </w:pPr>
      <w:r w:rsidRPr="00FA3F9C">
        <w:rPr>
          <w:rFonts w:ascii="Arial" w:hAnsi="Arial" w:cs="Arial"/>
          <w:sz w:val="24"/>
          <w:szCs w:val="24"/>
        </w:rPr>
        <w:lastRenderedPageBreak/>
        <w:t xml:space="preserve">Ocrevus is a CD20-directed cytolytic antibody </w:t>
      </w:r>
      <w:r w:rsidRPr="00FA3F9C">
        <w:rPr>
          <w:rFonts w:ascii="Arial" w:hAnsi="Arial" w:cs="Arial"/>
          <w:b/>
          <w:sz w:val="24"/>
          <w:szCs w:val="24"/>
        </w:rPr>
        <w:t>indicated</w:t>
      </w:r>
      <w:r w:rsidRPr="00FA3F9C">
        <w:rPr>
          <w:rFonts w:ascii="Arial" w:hAnsi="Arial" w:cs="Arial"/>
          <w:sz w:val="24"/>
          <w:szCs w:val="24"/>
        </w:rPr>
        <w:t xml:space="preserve"> for the treatment of patients with </w:t>
      </w:r>
      <w:r w:rsidRPr="00FA3F9C">
        <w:rPr>
          <w:rFonts w:ascii="Arial" w:hAnsi="Arial" w:cs="Arial"/>
          <w:b/>
          <w:sz w:val="24"/>
          <w:szCs w:val="24"/>
        </w:rPr>
        <w:t>relapsing or primary progressive forms of multiple sclerosis.</w:t>
      </w:r>
    </w:p>
    <w:tbl>
      <w:tblPr>
        <w:tblW w:w="1089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90"/>
      </w:tblGrid>
      <w:tr w:rsidR="009B5AA5" w:rsidRPr="00FA3F9C" w14:paraId="543DC8FE" w14:textId="77777777" w:rsidTr="001B75C7">
        <w:tc>
          <w:tcPr>
            <w:tcW w:w="10890" w:type="dxa"/>
            <w:shd w:val="clear" w:color="auto" w:fill="C6D9F1"/>
          </w:tcPr>
          <w:p w14:paraId="1C506BA1" w14:textId="77777777" w:rsidR="009B5AA5" w:rsidRPr="00FA3F9C" w:rsidRDefault="009B5AA5" w:rsidP="009C3D20">
            <w:pPr>
              <w:spacing w:after="0" w:line="240" w:lineRule="auto"/>
              <w:rPr>
                <w:rFonts w:ascii="Arial" w:hAnsi="Arial" w:cs="Arial"/>
                <w:sz w:val="24"/>
                <w:szCs w:val="24"/>
              </w:rPr>
            </w:pPr>
            <w:r w:rsidRPr="00FA3F9C">
              <w:rPr>
                <w:rFonts w:ascii="Arial" w:hAnsi="Arial" w:cs="Arial"/>
                <w:b/>
                <w:sz w:val="24"/>
                <w:szCs w:val="24"/>
              </w:rPr>
              <w:t>Primary Progressive Multiple Sclerosis (PPMS)</w:t>
            </w:r>
          </w:p>
        </w:tc>
      </w:tr>
      <w:tr w:rsidR="009B5AA5" w:rsidRPr="00FA3F9C" w14:paraId="058D07AB" w14:textId="77777777" w:rsidTr="001B75C7">
        <w:tc>
          <w:tcPr>
            <w:tcW w:w="10890" w:type="dxa"/>
          </w:tcPr>
          <w:p w14:paraId="61549961" w14:textId="77777777" w:rsidR="009B5AA5" w:rsidRPr="00FA3F9C" w:rsidRDefault="009B5AA5" w:rsidP="004A0BF2">
            <w:pPr>
              <w:spacing w:after="0" w:line="240" w:lineRule="auto"/>
              <w:rPr>
                <w:rFonts w:ascii="Arial" w:hAnsi="Arial" w:cs="Arial"/>
                <w:b/>
                <w:sz w:val="24"/>
                <w:szCs w:val="24"/>
              </w:rPr>
            </w:pPr>
            <w:r w:rsidRPr="00FA3F9C">
              <w:rPr>
                <w:rFonts w:ascii="Arial" w:hAnsi="Arial" w:cs="Arial"/>
                <w:sz w:val="24"/>
                <w:szCs w:val="24"/>
              </w:rPr>
              <w:t xml:space="preserve">1) The patient has a diagnosis of </w:t>
            </w:r>
            <w:r w:rsidRPr="00FA3F9C">
              <w:rPr>
                <w:rFonts w:ascii="Arial" w:hAnsi="Arial" w:cs="Arial"/>
                <w:b/>
                <w:sz w:val="24"/>
                <w:szCs w:val="24"/>
              </w:rPr>
              <w:t>Primary Progressive Multiple Sclerosis (PPMS) AND</w:t>
            </w:r>
          </w:p>
        </w:tc>
      </w:tr>
      <w:tr w:rsidR="009B5AA5" w:rsidRPr="00FA3F9C" w14:paraId="58CC21D5" w14:textId="77777777" w:rsidTr="001B75C7">
        <w:tc>
          <w:tcPr>
            <w:tcW w:w="10890" w:type="dxa"/>
          </w:tcPr>
          <w:p w14:paraId="0E6BCE0B" w14:textId="77777777" w:rsidR="009B5AA5" w:rsidRPr="00FA3F9C" w:rsidRDefault="009B5AA5" w:rsidP="004A0BF2">
            <w:pPr>
              <w:spacing w:after="0" w:line="240" w:lineRule="auto"/>
              <w:rPr>
                <w:rFonts w:ascii="Arial" w:hAnsi="Arial" w:cs="Arial"/>
                <w:b/>
                <w:sz w:val="24"/>
                <w:szCs w:val="24"/>
              </w:rPr>
            </w:pPr>
            <w:r w:rsidRPr="00FA3F9C">
              <w:rPr>
                <w:rFonts w:ascii="Arial" w:hAnsi="Arial" w:cs="Arial"/>
                <w:sz w:val="24"/>
                <w:szCs w:val="24"/>
              </w:rPr>
              <w:t xml:space="preserve">2)  Their most recent Expanded Disability Status Scale (Range 0-10, higher scores = greater disability) (EDSS) score is 3.0 to 6.5 when prescription is requested.  </w:t>
            </w:r>
            <w:r w:rsidRPr="00FA3F9C">
              <w:rPr>
                <w:rFonts w:ascii="Arial" w:hAnsi="Arial" w:cs="Arial"/>
                <w:b/>
                <w:sz w:val="24"/>
                <w:szCs w:val="24"/>
              </w:rPr>
              <w:t>AND</w:t>
            </w:r>
          </w:p>
        </w:tc>
      </w:tr>
      <w:tr w:rsidR="009B5AA5" w:rsidRPr="00FA3F9C" w14:paraId="0BBAAC10" w14:textId="77777777" w:rsidTr="001B75C7">
        <w:tc>
          <w:tcPr>
            <w:tcW w:w="10890" w:type="dxa"/>
          </w:tcPr>
          <w:p w14:paraId="2A3ADE2B" w14:textId="77777777" w:rsidR="009B5AA5" w:rsidRPr="00FA3F9C" w:rsidRDefault="009B5AA5" w:rsidP="007C1D42">
            <w:pPr>
              <w:spacing w:after="0" w:line="240" w:lineRule="auto"/>
              <w:rPr>
                <w:rFonts w:ascii="Arial" w:hAnsi="Arial" w:cs="Arial"/>
                <w:b/>
                <w:sz w:val="24"/>
                <w:szCs w:val="24"/>
              </w:rPr>
            </w:pPr>
            <w:r w:rsidRPr="00FA3F9C">
              <w:rPr>
                <w:rFonts w:ascii="Arial" w:hAnsi="Arial" w:cs="Arial"/>
                <w:sz w:val="24"/>
                <w:szCs w:val="24"/>
              </w:rPr>
              <w:t xml:space="preserve">3) The patient’s duration of MS symptoms must be &lt; 15 years in patients with an </w:t>
            </w:r>
            <w:r w:rsidRPr="00FA3F9C">
              <w:rPr>
                <w:rFonts w:ascii="Arial" w:hAnsi="Arial" w:cs="Arial"/>
                <w:b/>
                <w:sz w:val="24"/>
                <w:szCs w:val="24"/>
              </w:rPr>
              <w:t>EDSS score of &gt; 5.0</w:t>
            </w:r>
            <w:r w:rsidRPr="00FA3F9C">
              <w:rPr>
                <w:rFonts w:ascii="Arial" w:hAnsi="Arial" w:cs="Arial"/>
                <w:sz w:val="24"/>
                <w:szCs w:val="24"/>
              </w:rPr>
              <w:t xml:space="preserve"> at the most recent screening; </w:t>
            </w:r>
            <w:r w:rsidRPr="00FA3F9C">
              <w:rPr>
                <w:rFonts w:ascii="Arial" w:hAnsi="Arial" w:cs="Arial"/>
                <w:b/>
                <w:sz w:val="24"/>
                <w:szCs w:val="24"/>
              </w:rPr>
              <w:t>OR</w:t>
            </w:r>
          </w:p>
          <w:p w14:paraId="2F69DFC7" w14:textId="77777777" w:rsidR="009B5AA5" w:rsidRPr="00FA3F9C" w:rsidRDefault="009B5AA5" w:rsidP="00B86E2D">
            <w:pPr>
              <w:spacing w:after="0" w:line="240" w:lineRule="auto"/>
              <w:rPr>
                <w:rFonts w:ascii="Arial" w:hAnsi="Arial" w:cs="Arial"/>
                <w:sz w:val="24"/>
                <w:szCs w:val="24"/>
              </w:rPr>
            </w:pPr>
            <w:r w:rsidRPr="00FA3F9C">
              <w:rPr>
                <w:rFonts w:ascii="Arial" w:hAnsi="Arial" w:cs="Arial"/>
                <w:sz w:val="24"/>
                <w:szCs w:val="24"/>
              </w:rPr>
              <w:t xml:space="preserve">A duration of MS symptoms of &lt; 10 years in patients with an </w:t>
            </w:r>
            <w:r w:rsidRPr="00FA3F9C">
              <w:rPr>
                <w:rFonts w:ascii="Arial" w:hAnsi="Arial" w:cs="Arial"/>
                <w:b/>
                <w:sz w:val="24"/>
                <w:szCs w:val="24"/>
              </w:rPr>
              <w:t>EDSS score of 5.0 or less during their most recent screening. AND</w:t>
            </w:r>
          </w:p>
        </w:tc>
      </w:tr>
      <w:tr w:rsidR="009B5AA5" w:rsidRPr="00FA3F9C" w14:paraId="09CB330E" w14:textId="77777777" w:rsidTr="001B75C7">
        <w:tc>
          <w:tcPr>
            <w:tcW w:w="10890" w:type="dxa"/>
          </w:tcPr>
          <w:p w14:paraId="1367A254" w14:textId="77777777" w:rsidR="009B5AA5" w:rsidRPr="00FA3F9C" w:rsidRDefault="009B5AA5" w:rsidP="00272C69">
            <w:pPr>
              <w:spacing w:after="0" w:line="240" w:lineRule="auto"/>
              <w:rPr>
                <w:rFonts w:ascii="Arial" w:hAnsi="Arial" w:cs="Arial"/>
                <w:b/>
                <w:sz w:val="24"/>
                <w:szCs w:val="24"/>
              </w:rPr>
            </w:pPr>
            <w:r w:rsidRPr="00FA3F9C">
              <w:rPr>
                <w:rFonts w:ascii="Arial" w:hAnsi="Arial" w:cs="Arial"/>
                <w:sz w:val="24"/>
                <w:szCs w:val="24"/>
              </w:rPr>
              <w:t xml:space="preserve">4) A score on the pyramidal </w:t>
            </w:r>
            <w:proofErr w:type="gramStart"/>
            <w:r w:rsidRPr="00FA3F9C">
              <w:rPr>
                <w:rFonts w:ascii="Arial" w:hAnsi="Arial" w:cs="Arial"/>
                <w:sz w:val="24"/>
                <w:szCs w:val="24"/>
              </w:rPr>
              <w:t>functions</w:t>
            </w:r>
            <w:proofErr w:type="gramEnd"/>
            <w:r w:rsidRPr="00FA3F9C">
              <w:rPr>
                <w:rFonts w:ascii="Arial" w:hAnsi="Arial" w:cs="Arial"/>
                <w:sz w:val="24"/>
                <w:szCs w:val="24"/>
              </w:rPr>
              <w:t xml:space="preserve"> component of the Functional Systems Scale (see next page and ref#4 for link) of at least 2 (range, 0 to 6, with higher scores indicating greater disability). </w:t>
            </w:r>
            <w:r w:rsidRPr="00FA3F9C">
              <w:rPr>
                <w:rFonts w:ascii="Arial" w:hAnsi="Arial" w:cs="Arial"/>
                <w:b/>
                <w:sz w:val="24"/>
                <w:szCs w:val="24"/>
              </w:rPr>
              <w:t>AND</w:t>
            </w:r>
          </w:p>
        </w:tc>
      </w:tr>
      <w:tr w:rsidR="009B5AA5" w:rsidRPr="00FA3F9C" w14:paraId="65B17953" w14:textId="77777777" w:rsidTr="001B75C7">
        <w:tc>
          <w:tcPr>
            <w:tcW w:w="10890" w:type="dxa"/>
          </w:tcPr>
          <w:p w14:paraId="53725EF3" w14:textId="77777777" w:rsidR="009B5AA5" w:rsidRPr="00FA3F9C" w:rsidRDefault="009B5AA5" w:rsidP="00B86E2D">
            <w:pPr>
              <w:spacing w:after="0" w:line="240" w:lineRule="auto"/>
              <w:rPr>
                <w:rFonts w:ascii="Arial" w:hAnsi="Arial" w:cs="Arial"/>
                <w:sz w:val="24"/>
                <w:szCs w:val="24"/>
              </w:rPr>
            </w:pPr>
            <w:r w:rsidRPr="00FA3F9C">
              <w:rPr>
                <w:rFonts w:ascii="Arial" w:hAnsi="Arial" w:cs="Arial"/>
                <w:sz w:val="24"/>
                <w:szCs w:val="24"/>
              </w:rPr>
              <w:t>5) The patient must be both age ≥ 51y AND without gadolinium-enhancing lesions. (If not, rituximab is the alternative treatment.)</w:t>
            </w:r>
          </w:p>
        </w:tc>
      </w:tr>
      <w:tr w:rsidR="009B5AA5" w:rsidRPr="00FA3F9C" w14:paraId="5DB0FC3B" w14:textId="77777777" w:rsidTr="001B75C7">
        <w:trPr>
          <w:trHeight w:val="602"/>
        </w:trPr>
        <w:tc>
          <w:tcPr>
            <w:tcW w:w="10890" w:type="dxa"/>
          </w:tcPr>
          <w:p w14:paraId="64885851" w14:textId="77777777" w:rsidR="009B5AA5" w:rsidRPr="00FA3F9C" w:rsidRDefault="009B5AA5" w:rsidP="004A0BF2">
            <w:pPr>
              <w:spacing w:after="0" w:line="240" w:lineRule="auto"/>
              <w:rPr>
                <w:rFonts w:ascii="Arial" w:hAnsi="Arial" w:cs="Arial"/>
                <w:b/>
                <w:sz w:val="24"/>
                <w:szCs w:val="24"/>
              </w:rPr>
            </w:pPr>
            <w:r w:rsidRPr="00FA3F9C">
              <w:rPr>
                <w:rFonts w:ascii="Arial" w:hAnsi="Arial" w:cs="Arial"/>
                <w:b/>
                <w:sz w:val="24"/>
                <w:szCs w:val="24"/>
              </w:rPr>
              <w:t>OR</w:t>
            </w:r>
          </w:p>
        </w:tc>
      </w:tr>
      <w:tr w:rsidR="009B5AA5" w:rsidRPr="00FA3F9C" w14:paraId="6C28CB18" w14:textId="77777777" w:rsidTr="001B75C7">
        <w:tc>
          <w:tcPr>
            <w:tcW w:w="10890" w:type="dxa"/>
          </w:tcPr>
          <w:p w14:paraId="69C95758" w14:textId="77777777" w:rsidR="009B5AA5" w:rsidRPr="00FA3F9C" w:rsidRDefault="009B5AA5" w:rsidP="004A0BF2">
            <w:pPr>
              <w:spacing w:after="0" w:line="240" w:lineRule="auto"/>
              <w:rPr>
                <w:rFonts w:ascii="Arial" w:hAnsi="Arial" w:cs="Arial"/>
                <w:sz w:val="24"/>
                <w:szCs w:val="24"/>
              </w:rPr>
            </w:pPr>
            <w:r w:rsidRPr="00FA3F9C">
              <w:rPr>
                <w:rFonts w:ascii="Arial" w:hAnsi="Arial" w:cs="Arial"/>
                <w:sz w:val="24"/>
                <w:szCs w:val="24"/>
              </w:rPr>
              <w:t xml:space="preserve">6) The patient has a diagnosis of </w:t>
            </w:r>
            <w:r w:rsidRPr="00FA3F9C">
              <w:rPr>
                <w:rFonts w:ascii="Arial" w:hAnsi="Arial" w:cs="Arial"/>
                <w:b/>
                <w:sz w:val="24"/>
                <w:szCs w:val="24"/>
              </w:rPr>
              <w:t>Primary Progressive Multiple Sclerosis (PPMS) AND</w:t>
            </w:r>
          </w:p>
        </w:tc>
      </w:tr>
      <w:tr w:rsidR="009B5AA5" w:rsidRPr="00FA3F9C" w14:paraId="6369249A" w14:textId="77777777" w:rsidTr="001B75C7">
        <w:trPr>
          <w:trHeight w:val="287"/>
        </w:trPr>
        <w:tc>
          <w:tcPr>
            <w:tcW w:w="10890" w:type="dxa"/>
          </w:tcPr>
          <w:p w14:paraId="740448C8" w14:textId="77777777" w:rsidR="009B5AA5" w:rsidRPr="00FA3F9C" w:rsidRDefault="009B5AA5" w:rsidP="004A0BF2">
            <w:pPr>
              <w:spacing w:after="0" w:line="240" w:lineRule="auto"/>
              <w:rPr>
                <w:rFonts w:ascii="Arial" w:hAnsi="Arial" w:cs="Arial"/>
                <w:sz w:val="24"/>
                <w:szCs w:val="24"/>
              </w:rPr>
            </w:pPr>
            <w:r w:rsidRPr="00FA3F9C">
              <w:rPr>
                <w:rFonts w:ascii="Arial" w:hAnsi="Arial" w:cs="Arial"/>
                <w:sz w:val="24"/>
                <w:szCs w:val="24"/>
              </w:rPr>
              <w:t>7) The patient has failed treatment for PPMS with rituximab characterized by confirmed disease progression (CDP).</w:t>
            </w:r>
          </w:p>
        </w:tc>
      </w:tr>
      <w:tr w:rsidR="009B5AA5" w:rsidRPr="00FA3F9C" w14:paraId="0089C85D" w14:textId="77777777" w:rsidTr="001B75C7">
        <w:trPr>
          <w:trHeight w:val="287"/>
        </w:trPr>
        <w:tc>
          <w:tcPr>
            <w:tcW w:w="10890" w:type="dxa"/>
          </w:tcPr>
          <w:p w14:paraId="53AE2334" w14:textId="77777777" w:rsidR="009B5AA5" w:rsidRPr="00FA3F9C" w:rsidRDefault="009B5AA5" w:rsidP="001B75C7">
            <w:pPr>
              <w:spacing w:after="0" w:line="240" w:lineRule="auto"/>
              <w:jc w:val="center"/>
              <w:rPr>
                <w:rFonts w:ascii="Arial" w:hAnsi="Arial" w:cs="Arial"/>
                <w:sz w:val="24"/>
                <w:szCs w:val="24"/>
              </w:rPr>
            </w:pPr>
            <w:r w:rsidRPr="00FA3F9C">
              <w:rPr>
                <w:rFonts w:ascii="Arial" w:hAnsi="Arial" w:cs="Arial"/>
                <w:sz w:val="24"/>
                <w:szCs w:val="24"/>
              </w:rPr>
              <w:t xml:space="preserve">If the patient fulfills all criteria (1-5) </w:t>
            </w:r>
            <w:r w:rsidRPr="00FA3F9C">
              <w:rPr>
                <w:rFonts w:ascii="Arial" w:hAnsi="Arial" w:cs="Arial"/>
                <w:b/>
                <w:sz w:val="24"/>
                <w:szCs w:val="24"/>
              </w:rPr>
              <w:t xml:space="preserve">OR </w:t>
            </w:r>
            <w:r w:rsidRPr="00FA3F9C">
              <w:rPr>
                <w:rFonts w:ascii="Arial" w:hAnsi="Arial" w:cs="Arial"/>
                <w:sz w:val="24"/>
                <w:szCs w:val="24"/>
              </w:rPr>
              <w:t>all criteria in 6-7, then ocrelizumab will be approved for 1y (max of 1200mg/y.</w:t>
            </w:r>
          </w:p>
          <w:p w14:paraId="5A895403" w14:textId="77777777" w:rsidR="009B5AA5" w:rsidRPr="00FA3F9C" w:rsidRDefault="009B5AA5" w:rsidP="001B75C7">
            <w:pPr>
              <w:spacing w:after="0" w:line="240" w:lineRule="auto"/>
              <w:jc w:val="center"/>
              <w:rPr>
                <w:rFonts w:ascii="Arial" w:hAnsi="Arial" w:cs="Arial"/>
                <w:sz w:val="24"/>
                <w:szCs w:val="24"/>
              </w:rPr>
            </w:pPr>
            <w:r w:rsidRPr="00FA3F9C">
              <w:rPr>
                <w:rFonts w:ascii="Arial" w:hAnsi="Arial" w:cs="Arial"/>
                <w:sz w:val="24"/>
                <w:szCs w:val="24"/>
              </w:rPr>
              <w:t>Dosing Regimen per package insert:</w:t>
            </w:r>
          </w:p>
          <w:p w14:paraId="6168D3ED" w14:textId="77777777" w:rsidR="009B5AA5" w:rsidRPr="00FA3F9C" w:rsidRDefault="009B5AA5" w:rsidP="00FC1E85">
            <w:pPr>
              <w:pStyle w:val="ListParagraph"/>
              <w:numPr>
                <w:ilvl w:val="0"/>
                <w:numId w:val="381"/>
              </w:numPr>
              <w:spacing w:after="0" w:line="240" w:lineRule="auto"/>
              <w:jc w:val="center"/>
              <w:rPr>
                <w:rFonts w:ascii="Arial" w:hAnsi="Arial" w:cs="Arial"/>
                <w:sz w:val="24"/>
                <w:szCs w:val="24"/>
              </w:rPr>
            </w:pPr>
            <w:r w:rsidRPr="00FA3F9C">
              <w:rPr>
                <w:rFonts w:ascii="Arial" w:hAnsi="Arial" w:cs="Arial"/>
                <w:sz w:val="24"/>
                <w:szCs w:val="24"/>
              </w:rPr>
              <w:t>Start dose: 300 mg IV, followed two weeks later by a second 300 mg IV infusion.</w:t>
            </w:r>
          </w:p>
          <w:p w14:paraId="0D9706F7" w14:textId="77777777" w:rsidR="009B5AA5" w:rsidRPr="00FA3F9C" w:rsidRDefault="009B5AA5" w:rsidP="00FC1E85">
            <w:pPr>
              <w:pStyle w:val="ListParagraph"/>
              <w:numPr>
                <w:ilvl w:val="0"/>
                <w:numId w:val="381"/>
              </w:numPr>
              <w:spacing w:after="0" w:line="240" w:lineRule="auto"/>
              <w:jc w:val="center"/>
              <w:rPr>
                <w:rFonts w:ascii="Arial" w:hAnsi="Arial" w:cs="Arial"/>
                <w:sz w:val="24"/>
                <w:szCs w:val="24"/>
              </w:rPr>
            </w:pPr>
            <w:r w:rsidRPr="00FA3F9C">
              <w:rPr>
                <w:rFonts w:ascii="Arial" w:hAnsi="Arial" w:cs="Arial"/>
                <w:sz w:val="24"/>
                <w:szCs w:val="24"/>
              </w:rPr>
              <w:t>Subsequent doses: 600 mg IV every 6 months (beginning 6 months after the first 300 mg dose).</w:t>
            </w:r>
          </w:p>
          <w:p w14:paraId="75F2D95D" w14:textId="77777777" w:rsidR="009B5AA5" w:rsidRPr="00FA3F9C" w:rsidRDefault="009B5AA5" w:rsidP="00FC1E85">
            <w:pPr>
              <w:pStyle w:val="ListParagraph"/>
              <w:numPr>
                <w:ilvl w:val="0"/>
                <w:numId w:val="381"/>
              </w:numPr>
              <w:spacing w:after="0" w:line="240" w:lineRule="auto"/>
              <w:jc w:val="center"/>
              <w:rPr>
                <w:rFonts w:ascii="Arial" w:hAnsi="Arial" w:cs="Arial"/>
                <w:sz w:val="24"/>
                <w:szCs w:val="24"/>
              </w:rPr>
            </w:pPr>
            <w:r w:rsidRPr="00FA3F9C">
              <w:rPr>
                <w:rFonts w:ascii="Arial" w:hAnsi="Arial" w:cs="Arial"/>
                <w:sz w:val="24"/>
                <w:szCs w:val="24"/>
              </w:rPr>
              <w:t>After the two initial 300 mg starting doses, doses must be separated by at least 5 months.</w:t>
            </w:r>
          </w:p>
        </w:tc>
      </w:tr>
      <w:tr w:rsidR="009B5AA5" w:rsidRPr="00FA3F9C" w14:paraId="44929D99" w14:textId="77777777" w:rsidTr="001B75C7">
        <w:trPr>
          <w:trHeight w:val="287"/>
        </w:trPr>
        <w:tc>
          <w:tcPr>
            <w:tcW w:w="10890" w:type="dxa"/>
          </w:tcPr>
          <w:p w14:paraId="40D849C3" w14:textId="77777777" w:rsidR="009B5AA5" w:rsidRPr="00FA3F9C" w:rsidRDefault="009B5AA5" w:rsidP="006C4445">
            <w:pPr>
              <w:spacing w:after="0" w:line="240" w:lineRule="auto"/>
              <w:rPr>
                <w:rFonts w:ascii="Arial" w:hAnsi="Arial" w:cs="Arial"/>
                <w:sz w:val="24"/>
                <w:szCs w:val="24"/>
              </w:rPr>
            </w:pPr>
            <w:r w:rsidRPr="00FA3F9C">
              <w:rPr>
                <w:rFonts w:ascii="Arial" w:hAnsi="Arial" w:cs="Arial"/>
                <w:sz w:val="24"/>
                <w:szCs w:val="24"/>
              </w:rPr>
              <w:t xml:space="preserve">Patients should be denied access if currently taking other MS disease modifying agents (Rituximab, </w:t>
            </w:r>
            <w:proofErr w:type="spellStart"/>
            <w:r w:rsidRPr="00FA3F9C">
              <w:rPr>
                <w:rFonts w:ascii="Arial" w:hAnsi="Arial" w:cs="Arial"/>
                <w:sz w:val="24"/>
                <w:szCs w:val="24"/>
              </w:rPr>
              <w:t>Zinbryta</w:t>
            </w:r>
            <w:proofErr w:type="spellEnd"/>
            <w:r w:rsidRPr="00FA3F9C">
              <w:rPr>
                <w:rFonts w:ascii="Arial" w:hAnsi="Arial" w:cs="Arial"/>
                <w:sz w:val="24"/>
                <w:szCs w:val="24"/>
              </w:rPr>
              <w:t xml:space="preserve">, Copaxone, </w:t>
            </w:r>
            <w:proofErr w:type="spellStart"/>
            <w:r w:rsidRPr="00FA3F9C">
              <w:rPr>
                <w:rFonts w:ascii="Arial" w:hAnsi="Arial" w:cs="Arial"/>
                <w:sz w:val="24"/>
                <w:szCs w:val="24"/>
              </w:rPr>
              <w:t>Glatopa</w:t>
            </w:r>
            <w:proofErr w:type="spellEnd"/>
            <w:r w:rsidRPr="00FA3F9C">
              <w:rPr>
                <w:rFonts w:ascii="Arial" w:hAnsi="Arial" w:cs="Arial"/>
                <w:sz w:val="24"/>
                <w:szCs w:val="24"/>
              </w:rPr>
              <w:t xml:space="preserve">, Interferon, </w:t>
            </w:r>
            <w:proofErr w:type="spellStart"/>
            <w:r w:rsidRPr="00FA3F9C">
              <w:rPr>
                <w:rFonts w:ascii="Arial" w:hAnsi="Arial" w:cs="Arial"/>
                <w:sz w:val="24"/>
                <w:szCs w:val="24"/>
              </w:rPr>
              <w:t>Plegridy</w:t>
            </w:r>
            <w:proofErr w:type="spellEnd"/>
            <w:r w:rsidRPr="00FA3F9C">
              <w:rPr>
                <w:rFonts w:ascii="Arial" w:hAnsi="Arial" w:cs="Arial"/>
                <w:sz w:val="24"/>
                <w:szCs w:val="24"/>
              </w:rPr>
              <w:t xml:space="preserve">, Tecfidera, </w:t>
            </w:r>
            <w:proofErr w:type="spellStart"/>
            <w:r w:rsidRPr="00FA3F9C">
              <w:rPr>
                <w:rFonts w:ascii="Arial" w:hAnsi="Arial" w:cs="Arial"/>
                <w:sz w:val="24"/>
                <w:szCs w:val="24"/>
              </w:rPr>
              <w:t>Gilenya</w:t>
            </w:r>
            <w:proofErr w:type="spellEnd"/>
            <w:r w:rsidRPr="00FA3F9C">
              <w:rPr>
                <w:rFonts w:ascii="Arial" w:hAnsi="Arial" w:cs="Arial"/>
                <w:sz w:val="24"/>
                <w:szCs w:val="24"/>
              </w:rPr>
              <w:t xml:space="preserve">, </w:t>
            </w:r>
            <w:proofErr w:type="spellStart"/>
            <w:r w:rsidRPr="00FA3F9C">
              <w:rPr>
                <w:rFonts w:ascii="Arial" w:hAnsi="Arial" w:cs="Arial"/>
                <w:sz w:val="24"/>
                <w:szCs w:val="24"/>
              </w:rPr>
              <w:t>Aubagio</w:t>
            </w:r>
            <w:proofErr w:type="spellEnd"/>
            <w:r w:rsidRPr="00FA3F9C">
              <w:rPr>
                <w:rFonts w:ascii="Arial" w:hAnsi="Arial" w:cs="Arial"/>
                <w:sz w:val="24"/>
                <w:szCs w:val="24"/>
              </w:rPr>
              <w:t>, Lemtrada, Tysabri, or cladribine).</w:t>
            </w:r>
          </w:p>
        </w:tc>
      </w:tr>
    </w:tbl>
    <w:p w14:paraId="47B4E121" w14:textId="77777777" w:rsidR="009B5AA5" w:rsidRPr="00FA3F9C" w:rsidRDefault="009B5AA5" w:rsidP="00733DF1">
      <w:pPr>
        <w:spacing w:after="0"/>
        <w:rPr>
          <w:rFonts w:ascii="Arial" w:hAnsi="Arial" w:cs="Arial"/>
          <w:b/>
          <w:sz w:val="24"/>
          <w:szCs w:val="24"/>
        </w:rPr>
      </w:pPr>
    </w:p>
    <w:tbl>
      <w:tblPr>
        <w:tblW w:w="1089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90"/>
      </w:tblGrid>
      <w:tr w:rsidR="009B5AA5" w:rsidRPr="00FA3F9C" w14:paraId="4C962B4A" w14:textId="77777777" w:rsidTr="00C64B81">
        <w:tc>
          <w:tcPr>
            <w:tcW w:w="10890" w:type="dxa"/>
            <w:shd w:val="clear" w:color="auto" w:fill="C6D9F1"/>
          </w:tcPr>
          <w:p w14:paraId="012D9412" w14:textId="77777777" w:rsidR="009B5AA5" w:rsidRPr="00FA3F9C" w:rsidRDefault="009B5AA5" w:rsidP="00C64B81">
            <w:pPr>
              <w:spacing w:after="0" w:line="240" w:lineRule="auto"/>
              <w:rPr>
                <w:rFonts w:ascii="Arial" w:hAnsi="Arial" w:cs="Arial"/>
                <w:sz w:val="24"/>
                <w:szCs w:val="24"/>
              </w:rPr>
            </w:pPr>
            <w:r w:rsidRPr="00FA3F9C">
              <w:rPr>
                <w:rFonts w:ascii="Arial" w:hAnsi="Arial" w:cs="Arial"/>
                <w:b/>
                <w:sz w:val="24"/>
                <w:szCs w:val="24"/>
              </w:rPr>
              <w:t>Relapsing Remitting Multiple Sclerosis (RRMS)</w:t>
            </w:r>
          </w:p>
        </w:tc>
      </w:tr>
      <w:tr w:rsidR="009B5AA5" w:rsidRPr="00FA3F9C" w14:paraId="1469919F" w14:textId="77777777" w:rsidTr="00C64B81">
        <w:tc>
          <w:tcPr>
            <w:tcW w:w="10890" w:type="dxa"/>
          </w:tcPr>
          <w:p w14:paraId="38078AEE" w14:textId="77777777" w:rsidR="009B5AA5" w:rsidRPr="00FA3F9C" w:rsidRDefault="009B5AA5" w:rsidP="00C64B81">
            <w:pPr>
              <w:spacing w:after="0" w:line="240" w:lineRule="auto"/>
              <w:rPr>
                <w:rFonts w:ascii="Arial" w:hAnsi="Arial" w:cs="Arial"/>
                <w:b/>
                <w:sz w:val="24"/>
                <w:szCs w:val="24"/>
              </w:rPr>
            </w:pPr>
            <w:r w:rsidRPr="00FA3F9C">
              <w:rPr>
                <w:rFonts w:ascii="Arial" w:hAnsi="Arial" w:cs="Arial"/>
                <w:sz w:val="24"/>
                <w:szCs w:val="24"/>
              </w:rPr>
              <w:t xml:space="preserve">1) The patient has a diagnosis of </w:t>
            </w:r>
            <w:r w:rsidRPr="00FA3F9C">
              <w:rPr>
                <w:rFonts w:ascii="Arial" w:hAnsi="Arial" w:cs="Arial"/>
                <w:b/>
                <w:sz w:val="24"/>
                <w:szCs w:val="24"/>
              </w:rPr>
              <w:t>RRMS and has failed therapy on rituximab.</w:t>
            </w:r>
          </w:p>
        </w:tc>
      </w:tr>
    </w:tbl>
    <w:p w14:paraId="31044D57" w14:textId="77777777" w:rsidR="009B5AA5" w:rsidRPr="00FA3F9C" w:rsidRDefault="009B5AA5" w:rsidP="00733DF1">
      <w:pPr>
        <w:spacing w:after="0"/>
        <w:rPr>
          <w:rFonts w:ascii="Arial" w:hAnsi="Arial" w:cs="Arial"/>
          <w:b/>
          <w:sz w:val="24"/>
          <w:szCs w:val="24"/>
        </w:rPr>
      </w:pPr>
    </w:p>
    <w:p w14:paraId="0D17CE83" w14:textId="77777777" w:rsidR="009B5AA5" w:rsidRPr="00FA3F9C" w:rsidRDefault="009B5AA5" w:rsidP="00733DF1">
      <w:pPr>
        <w:spacing w:after="0"/>
        <w:rPr>
          <w:rFonts w:ascii="Arial" w:hAnsi="Arial" w:cs="Arial"/>
          <w:b/>
          <w:sz w:val="24"/>
          <w:szCs w:val="24"/>
        </w:rPr>
      </w:pPr>
      <w:r w:rsidRPr="00FA3F9C">
        <w:rPr>
          <w:rFonts w:ascii="Arial" w:hAnsi="Arial" w:cs="Arial"/>
          <w:b/>
          <w:sz w:val="24"/>
          <w:szCs w:val="24"/>
        </w:rPr>
        <w:t>References:</w:t>
      </w:r>
    </w:p>
    <w:p w14:paraId="655A2B23" w14:textId="77777777" w:rsidR="009B5AA5" w:rsidRPr="00FA3F9C" w:rsidRDefault="009B5AA5" w:rsidP="00FC1E85">
      <w:pPr>
        <w:pStyle w:val="ListParagraph"/>
        <w:numPr>
          <w:ilvl w:val="0"/>
          <w:numId w:val="382"/>
        </w:numPr>
        <w:spacing w:after="0" w:line="240" w:lineRule="auto"/>
        <w:rPr>
          <w:rFonts w:ascii="Arial" w:eastAsia="Times New Roman" w:hAnsi="Arial" w:cs="Arial"/>
          <w:sz w:val="24"/>
          <w:szCs w:val="24"/>
        </w:rPr>
      </w:pPr>
      <w:r w:rsidRPr="00FA3F9C">
        <w:rPr>
          <w:rFonts w:ascii="Arial" w:eastAsia="Times New Roman" w:hAnsi="Arial" w:cs="Arial"/>
          <w:color w:val="222222"/>
          <w:sz w:val="24"/>
          <w:szCs w:val="24"/>
          <w:shd w:val="clear" w:color="auto" w:fill="FFFFFF"/>
        </w:rPr>
        <w:t>Hawker, Kathleen, et al. "Rituximab in patients with primary progressive multiple sclerosis: results of a randomized double</w:t>
      </w:r>
      <w:r w:rsidRPr="00FA3F9C">
        <w:rPr>
          <w:rFonts w:ascii="Cambria Math" w:hAnsi="Cambria Math" w:cs="Cambria Math"/>
          <w:color w:val="222222"/>
          <w:sz w:val="24"/>
          <w:szCs w:val="24"/>
          <w:shd w:val="clear" w:color="auto" w:fill="FFFFFF"/>
        </w:rPr>
        <w:t>‐</w:t>
      </w:r>
      <w:r w:rsidRPr="00FA3F9C">
        <w:rPr>
          <w:rFonts w:ascii="Arial" w:eastAsia="Times New Roman" w:hAnsi="Arial" w:cs="Arial"/>
          <w:color w:val="222222"/>
          <w:sz w:val="24"/>
          <w:szCs w:val="24"/>
          <w:shd w:val="clear" w:color="auto" w:fill="FFFFFF"/>
        </w:rPr>
        <w:t>blind placebo</w:t>
      </w:r>
      <w:r w:rsidRPr="00FA3F9C">
        <w:rPr>
          <w:rFonts w:ascii="Cambria Math" w:hAnsi="Cambria Math" w:cs="Cambria Math"/>
          <w:color w:val="222222"/>
          <w:sz w:val="24"/>
          <w:szCs w:val="24"/>
          <w:shd w:val="clear" w:color="auto" w:fill="FFFFFF"/>
        </w:rPr>
        <w:t>‐</w:t>
      </w:r>
      <w:r w:rsidRPr="00FA3F9C">
        <w:rPr>
          <w:rFonts w:ascii="Arial" w:eastAsia="Times New Roman" w:hAnsi="Arial" w:cs="Arial"/>
          <w:color w:val="222222"/>
          <w:sz w:val="24"/>
          <w:szCs w:val="24"/>
          <w:shd w:val="clear" w:color="auto" w:fill="FFFFFF"/>
        </w:rPr>
        <w:t>controlled multicenter trial." </w:t>
      </w:r>
      <w:r w:rsidRPr="00FA3F9C">
        <w:rPr>
          <w:rFonts w:ascii="Arial" w:eastAsia="Times New Roman" w:hAnsi="Arial" w:cs="Arial"/>
          <w:i/>
          <w:iCs/>
          <w:color w:val="222222"/>
          <w:sz w:val="24"/>
          <w:szCs w:val="24"/>
          <w:shd w:val="clear" w:color="auto" w:fill="FFFFFF"/>
        </w:rPr>
        <w:t>Annals of neurology</w:t>
      </w:r>
      <w:r w:rsidRPr="00FA3F9C">
        <w:rPr>
          <w:rFonts w:ascii="Arial" w:eastAsia="Times New Roman" w:hAnsi="Arial" w:cs="Arial"/>
          <w:color w:val="222222"/>
          <w:sz w:val="24"/>
          <w:szCs w:val="24"/>
          <w:shd w:val="clear" w:color="auto" w:fill="FFFFFF"/>
        </w:rPr>
        <w:t> 66.4 (2009): 460-471.</w:t>
      </w:r>
    </w:p>
    <w:p w14:paraId="4F35DCB8" w14:textId="77777777" w:rsidR="009B5AA5" w:rsidRPr="00FA3F9C" w:rsidRDefault="009B5AA5" w:rsidP="00FC1E85">
      <w:pPr>
        <w:pStyle w:val="ListParagraph"/>
        <w:numPr>
          <w:ilvl w:val="0"/>
          <w:numId w:val="382"/>
        </w:numPr>
        <w:spacing w:after="200" w:line="276" w:lineRule="auto"/>
        <w:rPr>
          <w:rFonts w:ascii="Arial" w:hAnsi="Arial" w:cs="Arial"/>
          <w:b/>
          <w:sz w:val="24"/>
          <w:szCs w:val="24"/>
        </w:rPr>
      </w:pPr>
      <w:proofErr w:type="spellStart"/>
      <w:r w:rsidRPr="00FA3F9C">
        <w:rPr>
          <w:rFonts w:ascii="Arial" w:hAnsi="Arial" w:cs="Arial"/>
          <w:color w:val="222222"/>
          <w:sz w:val="24"/>
          <w:szCs w:val="24"/>
          <w:shd w:val="clear" w:color="auto" w:fill="FFFFFF"/>
        </w:rPr>
        <w:t>Montalban</w:t>
      </w:r>
      <w:proofErr w:type="spellEnd"/>
      <w:r w:rsidRPr="00FA3F9C">
        <w:rPr>
          <w:rFonts w:ascii="Arial" w:hAnsi="Arial" w:cs="Arial"/>
          <w:color w:val="222222"/>
          <w:sz w:val="24"/>
          <w:szCs w:val="24"/>
          <w:shd w:val="clear" w:color="auto" w:fill="FFFFFF"/>
        </w:rPr>
        <w:t>, Xavier, et al. "Ocrelizumab versus placebo in primary progressive multiple sclerosis." </w:t>
      </w:r>
      <w:r w:rsidRPr="00FA3F9C">
        <w:rPr>
          <w:rFonts w:ascii="Arial" w:hAnsi="Arial" w:cs="Arial"/>
          <w:i/>
          <w:iCs/>
          <w:color w:val="222222"/>
          <w:sz w:val="24"/>
          <w:szCs w:val="24"/>
          <w:shd w:val="clear" w:color="auto" w:fill="FFFFFF"/>
        </w:rPr>
        <w:t xml:space="preserve">N </w:t>
      </w:r>
      <w:proofErr w:type="spellStart"/>
      <w:r w:rsidRPr="00FA3F9C">
        <w:rPr>
          <w:rFonts w:ascii="Arial" w:hAnsi="Arial" w:cs="Arial"/>
          <w:i/>
          <w:iCs/>
          <w:color w:val="222222"/>
          <w:sz w:val="24"/>
          <w:szCs w:val="24"/>
          <w:shd w:val="clear" w:color="auto" w:fill="FFFFFF"/>
        </w:rPr>
        <w:t>Eng</w:t>
      </w:r>
      <w:proofErr w:type="spellEnd"/>
      <w:r w:rsidRPr="00FA3F9C">
        <w:rPr>
          <w:rFonts w:ascii="Arial" w:hAnsi="Arial" w:cs="Arial"/>
          <w:i/>
          <w:iCs/>
          <w:color w:val="222222"/>
          <w:sz w:val="24"/>
          <w:szCs w:val="24"/>
          <w:shd w:val="clear" w:color="auto" w:fill="FFFFFF"/>
        </w:rPr>
        <w:t xml:space="preserve"> J Med</w:t>
      </w:r>
      <w:r w:rsidRPr="00FA3F9C">
        <w:rPr>
          <w:rFonts w:ascii="Arial" w:hAnsi="Arial" w:cs="Arial"/>
          <w:color w:val="222222"/>
          <w:sz w:val="24"/>
          <w:szCs w:val="24"/>
          <w:shd w:val="clear" w:color="auto" w:fill="FFFFFF"/>
        </w:rPr>
        <w:t> 376.3 (2017): 209-220.</w:t>
      </w:r>
    </w:p>
    <w:p w14:paraId="6061541C" w14:textId="77777777" w:rsidR="009B5AA5" w:rsidRPr="00FA3F9C" w:rsidRDefault="009B5AA5" w:rsidP="00FC1E85">
      <w:pPr>
        <w:pStyle w:val="ListParagraph"/>
        <w:numPr>
          <w:ilvl w:val="0"/>
          <w:numId w:val="382"/>
        </w:numPr>
        <w:spacing w:after="200" w:line="276" w:lineRule="auto"/>
        <w:rPr>
          <w:rFonts w:ascii="Arial" w:hAnsi="Arial" w:cs="Arial"/>
          <w:b/>
          <w:sz w:val="24"/>
          <w:szCs w:val="24"/>
        </w:rPr>
      </w:pPr>
      <w:r w:rsidRPr="00FA3F9C">
        <w:rPr>
          <w:rFonts w:ascii="Arial" w:hAnsi="Arial" w:cs="Arial"/>
          <w:color w:val="222222"/>
          <w:sz w:val="24"/>
          <w:szCs w:val="24"/>
          <w:shd w:val="clear" w:color="auto" w:fill="FFFFFF"/>
        </w:rPr>
        <w:t>Ocrelizumab FDA package insert.</w:t>
      </w:r>
    </w:p>
    <w:p w14:paraId="10E4AB23" w14:textId="77777777" w:rsidR="009B5AA5" w:rsidRPr="00FA3F9C" w:rsidRDefault="009B5AA5" w:rsidP="00FC1E85">
      <w:pPr>
        <w:pStyle w:val="ListParagraph"/>
        <w:numPr>
          <w:ilvl w:val="0"/>
          <w:numId w:val="382"/>
        </w:numPr>
        <w:spacing w:after="0" w:line="240" w:lineRule="auto"/>
        <w:rPr>
          <w:rFonts w:ascii="Arial" w:hAnsi="Arial" w:cs="Arial"/>
          <w:b/>
          <w:sz w:val="24"/>
          <w:szCs w:val="24"/>
        </w:rPr>
      </w:pPr>
      <w:proofErr w:type="spellStart"/>
      <w:r w:rsidRPr="00FA3F9C">
        <w:rPr>
          <w:rFonts w:ascii="Arial" w:eastAsia="Times New Roman" w:hAnsi="Arial" w:cs="Arial"/>
          <w:color w:val="222222"/>
          <w:sz w:val="24"/>
          <w:szCs w:val="24"/>
          <w:shd w:val="clear" w:color="auto" w:fill="FFFFFF"/>
        </w:rPr>
        <w:t>Kurtzke</w:t>
      </w:r>
      <w:proofErr w:type="spellEnd"/>
      <w:r w:rsidRPr="00FA3F9C">
        <w:rPr>
          <w:rFonts w:ascii="Arial" w:eastAsia="Times New Roman" w:hAnsi="Arial" w:cs="Arial"/>
          <w:color w:val="222222"/>
          <w:sz w:val="24"/>
          <w:szCs w:val="24"/>
          <w:shd w:val="clear" w:color="auto" w:fill="FFFFFF"/>
        </w:rPr>
        <w:t>, John F. "Rating neurologic impairment in multiple sclerosis an expanded disability status scale (EDSS)." </w:t>
      </w:r>
      <w:r w:rsidRPr="00FA3F9C">
        <w:rPr>
          <w:rFonts w:ascii="Arial" w:eastAsia="Times New Roman" w:hAnsi="Arial" w:cs="Arial"/>
          <w:i/>
          <w:iCs/>
          <w:color w:val="222222"/>
          <w:sz w:val="24"/>
          <w:szCs w:val="24"/>
          <w:shd w:val="clear" w:color="auto" w:fill="FFFFFF"/>
        </w:rPr>
        <w:t>Neurology</w:t>
      </w:r>
      <w:r w:rsidRPr="00FA3F9C">
        <w:rPr>
          <w:rFonts w:ascii="Arial" w:eastAsia="Times New Roman" w:hAnsi="Arial" w:cs="Arial"/>
          <w:color w:val="222222"/>
          <w:sz w:val="24"/>
          <w:szCs w:val="24"/>
          <w:shd w:val="clear" w:color="auto" w:fill="FFFFFF"/>
        </w:rPr>
        <w:t xml:space="preserve"> 33.11 (1983): 1444-1444.  </w:t>
      </w:r>
      <w:hyperlink r:id="rId301" w:history="1">
        <w:r w:rsidRPr="00FA3F9C">
          <w:rPr>
            <w:rStyle w:val="Hyperlink"/>
            <w:rFonts w:ascii="Arial" w:hAnsi="Arial" w:cs="Arial"/>
            <w:b/>
            <w:sz w:val="24"/>
            <w:szCs w:val="24"/>
          </w:rPr>
          <w:t>http://www.neurology.org/content/33/11/1444.full.pdf+html</w:t>
        </w:r>
      </w:hyperlink>
    </w:p>
    <w:p w14:paraId="2F8625F2" w14:textId="77777777" w:rsidR="009B5AA5" w:rsidRPr="00FA3F9C" w:rsidRDefault="009B5AA5" w:rsidP="00FC1E85">
      <w:pPr>
        <w:pStyle w:val="ListParagraph"/>
        <w:numPr>
          <w:ilvl w:val="0"/>
          <w:numId w:val="382"/>
        </w:numPr>
        <w:spacing w:after="200" w:line="276" w:lineRule="auto"/>
        <w:rPr>
          <w:rFonts w:ascii="Arial" w:eastAsia="Times New Roman" w:hAnsi="Arial" w:cs="Arial"/>
          <w:b/>
          <w:sz w:val="24"/>
          <w:szCs w:val="24"/>
        </w:rPr>
      </w:pPr>
      <w:r w:rsidRPr="00FA3F9C">
        <w:rPr>
          <w:rFonts w:ascii="Arial" w:hAnsi="Arial" w:cs="Arial"/>
          <w:b/>
          <w:sz w:val="24"/>
          <w:szCs w:val="24"/>
        </w:rPr>
        <w:t xml:space="preserve">1.  </w:t>
      </w:r>
      <w:r w:rsidRPr="00FA3F9C">
        <w:rPr>
          <w:rFonts w:ascii="Arial" w:eastAsia="Times New Roman" w:hAnsi="Arial" w:cs="Arial"/>
          <w:b/>
          <w:color w:val="222222"/>
          <w:sz w:val="24"/>
          <w:szCs w:val="24"/>
          <w:shd w:val="clear" w:color="auto" w:fill="FFFFFF"/>
        </w:rPr>
        <w:t>He, Dian, et al. "Rituximab for relapsing-remitting multiple sclerosis." </w:t>
      </w:r>
      <w:r w:rsidRPr="00FA3F9C">
        <w:rPr>
          <w:rFonts w:ascii="Arial" w:eastAsia="Times New Roman" w:hAnsi="Arial" w:cs="Arial"/>
          <w:b/>
          <w:i/>
          <w:iCs/>
          <w:color w:val="222222"/>
          <w:sz w:val="24"/>
          <w:szCs w:val="24"/>
          <w:shd w:val="clear" w:color="auto" w:fill="FFFFFF"/>
        </w:rPr>
        <w:t>Cochrane Database Syst Rev</w:t>
      </w:r>
      <w:r w:rsidRPr="00FA3F9C">
        <w:rPr>
          <w:rFonts w:ascii="Arial" w:eastAsia="Times New Roman" w:hAnsi="Arial" w:cs="Arial"/>
          <w:b/>
          <w:color w:val="222222"/>
          <w:sz w:val="24"/>
          <w:szCs w:val="24"/>
          <w:shd w:val="clear" w:color="auto" w:fill="FFFFFF"/>
        </w:rPr>
        <w:t>12 (2011).</w:t>
      </w:r>
    </w:p>
    <w:p w14:paraId="486A92A6" w14:textId="77777777" w:rsidR="009B5AA5" w:rsidRPr="00FA3F9C" w:rsidRDefault="009B5AA5" w:rsidP="00FC1E85">
      <w:pPr>
        <w:pStyle w:val="ListParagraph"/>
        <w:numPr>
          <w:ilvl w:val="0"/>
          <w:numId w:val="382"/>
        </w:numPr>
        <w:spacing w:after="200" w:line="276" w:lineRule="auto"/>
        <w:rPr>
          <w:rFonts w:ascii="Arial" w:eastAsia="Times New Roman" w:hAnsi="Arial" w:cs="Arial"/>
          <w:b/>
          <w:color w:val="222222"/>
          <w:sz w:val="24"/>
          <w:szCs w:val="24"/>
          <w:shd w:val="clear" w:color="auto" w:fill="FFFFFF"/>
        </w:rPr>
      </w:pPr>
      <w:r w:rsidRPr="00FA3F9C">
        <w:rPr>
          <w:rFonts w:ascii="Arial" w:eastAsia="Times New Roman" w:hAnsi="Arial" w:cs="Arial"/>
          <w:b/>
          <w:color w:val="222222"/>
          <w:sz w:val="24"/>
          <w:szCs w:val="24"/>
          <w:shd w:val="clear" w:color="auto" w:fill="FFFFFF"/>
          <w:lang w:val="fr-FR"/>
        </w:rPr>
        <w:t xml:space="preserve">Hauser, Stephen L., et al. </w:t>
      </w:r>
      <w:r w:rsidRPr="00FA3F9C">
        <w:rPr>
          <w:rFonts w:ascii="Arial" w:eastAsia="Times New Roman" w:hAnsi="Arial" w:cs="Arial"/>
          <w:b/>
          <w:color w:val="222222"/>
          <w:sz w:val="24"/>
          <w:szCs w:val="24"/>
          <w:shd w:val="clear" w:color="auto" w:fill="FFFFFF"/>
        </w:rPr>
        <w:t>"B-cell depletion with rituximab in RRMS." </w:t>
      </w:r>
      <w:proofErr w:type="spellStart"/>
      <w:r w:rsidRPr="00FA3F9C">
        <w:rPr>
          <w:rFonts w:ascii="Arial" w:eastAsia="Times New Roman" w:hAnsi="Arial" w:cs="Arial"/>
          <w:b/>
          <w:i/>
          <w:iCs/>
          <w:color w:val="222222"/>
          <w:sz w:val="24"/>
          <w:szCs w:val="24"/>
          <w:shd w:val="clear" w:color="auto" w:fill="FFFFFF"/>
        </w:rPr>
        <w:t>NEngJMed</w:t>
      </w:r>
      <w:proofErr w:type="spellEnd"/>
      <w:r w:rsidRPr="00FA3F9C">
        <w:rPr>
          <w:rFonts w:ascii="Arial" w:eastAsia="Times New Roman" w:hAnsi="Arial" w:cs="Arial"/>
          <w:b/>
          <w:i/>
          <w:iCs/>
          <w:color w:val="222222"/>
          <w:sz w:val="24"/>
          <w:szCs w:val="24"/>
          <w:shd w:val="clear" w:color="auto" w:fill="FFFFFF"/>
        </w:rPr>
        <w:t xml:space="preserve">. </w:t>
      </w:r>
      <w:r w:rsidRPr="00FA3F9C">
        <w:rPr>
          <w:rFonts w:ascii="Arial" w:eastAsia="Times New Roman" w:hAnsi="Arial" w:cs="Arial"/>
          <w:b/>
          <w:color w:val="222222"/>
          <w:sz w:val="24"/>
          <w:szCs w:val="24"/>
          <w:shd w:val="clear" w:color="auto" w:fill="FFFFFF"/>
        </w:rPr>
        <w:t>358.7 (2008): 676-688. HERMES Trial Group; phase 2 trial. [NCT00097188]</w:t>
      </w:r>
    </w:p>
    <w:p w14:paraId="3B88CD10" w14:textId="77777777" w:rsidR="009B5AA5" w:rsidRPr="00FA3F9C" w:rsidRDefault="009B5AA5" w:rsidP="00FC1E85">
      <w:pPr>
        <w:pStyle w:val="ListParagraph"/>
        <w:numPr>
          <w:ilvl w:val="0"/>
          <w:numId w:val="382"/>
        </w:numPr>
        <w:spacing w:after="0" w:line="276" w:lineRule="auto"/>
        <w:rPr>
          <w:rFonts w:ascii="Arial" w:hAnsi="Arial" w:cs="Arial"/>
          <w:sz w:val="24"/>
          <w:szCs w:val="24"/>
        </w:rPr>
      </w:pPr>
      <w:r w:rsidRPr="00FA3F9C">
        <w:rPr>
          <w:rFonts w:ascii="Arial" w:hAnsi="Arial" w:cs="Arial"/>
          <w:b/>
          <w:sz w:val="24"/>
          <w:szCs w:val="24"/>
        </w:rPr>
        <w:t>3.  ICER.  Disease-modifying therapies for RRMS and PPMS:  Effectiveness and Value.  3/6/17, prepared by California Technology Assessment Forum.</w:t>
      </w:r>
      <w:r w:rsidRPr="00FA3F9C">
        <w:rPr>
          <w:rFonts w:ascii="Arial" w:hAnsi="Arial" w:cs="Arial"/>
          <w:sz w:val="24"/>
          <w:szCs w:val="24"/>
        </w:rPr>
        <w:t xml:space="preserve">  </w:t>
      </w:r>
      <w:hyperlink r:id="rId302" w:history="1">
        <w:r w:rsidRPr="00FA3F9C">
          <w:rPr>
            <w:rStyle w:val="Hyperlink"/>
            <w:rFonts w:ascii="Arial" w:hAnsi="Arial" w:cs="Arial"/>
            <w:sz w:val="24"/>
            <w:szCs w:val="24"/>
          </w:rPr>
          <w:t>https://icer-review.org/announcements/final-ms-report/</w:t>
        </w:r>
      </w:hyperlink>
    </w:p>
    <w:p w14:paraId="0A2FA1BA" w14:textId="77777777" w:rsidR="009B5AA5" w:rsidRPr="00FA3F9C" w:rsidRDefault="009B5AA5" w:rsidP="00FC1E85">
      <w:pPr>
        <w:pStyle w:val="Default"/>
        <w:widowControl w:val="0"/>
        <w:numPr>
          <w:ilvl w:val="0"/>
          <w:numId w:val="382"/>
        </w:numPr>
        <w:rPr>
          <w:rFonts w:ascii="Arial" w:eastAsia="Times New Roman" w:hAnsi="Arial" w:cs="Arial"/>
          <w:b/>
        </w:rPr>
      </w:pPr>
      <w:r w:rsidRPr="00FA3F9C">
        <w:rPr>
          <w:rFonts w:ascii="Arial" w:hAnsi="Arial" w:cs="Arial"/>
        </w:rPr>
        <w:t xml:space="preserve">NCT02746744.  </w:t>
      </w:r>
      <w:r w:rsidRPr="00FA3F9C">
        <w:rPr>
          <w:rFonts w:ascii="Arial" w:hAnsi="Arial" w:cs="Arial"/>
          <w:b/>
          <w:bCs/>
        </w:rPr>
        <w:t xml:space="preserve">Rituximab Versus Fumarate in Newly Diagnosed Multiple Sclerosis. (RIFUND-MS). Rituximab, dimethyl fumarate or placebo.  Population:  </w:t>
      </w:r>
      <w:r w:rsidRPr="00FA3F9C">
        <w:rPr>
          <w:rFonts w:ascii="Arial" w:hAnsi="Arial" w:cs="Arial"/>
        </w:rPr>
        <w:t xml:space="preserve">N = 200, ages 18-40, both sexes.  Diagnosis of RRMS or one demyelinating episode with ≥2 asymptomatic high-intensity lesions compatible with MS diagnosis  No previous MS </w:t>
      </w:r>
      <w:proofErr w:type="spellStart"/>
      <w:r w:rsidRPr="00FA3F9C">
        <w:rPr>
          <w:rFonts w:ascii="Arial" w:hAnsi="Arial" w:cs="Arial"/>
        </w:rPr>
        <w:t>tx</w:t>
      </w:r>
      <w:proofErr w:type="spellEnd"/>
      <w:r w:rsidRPr="00FA3F9C">
        <w:rPr>
          <w:rFonts w:ascii="Arial" w:hAnsi="Arial" w:cs="Arial"/>
        </w:rPr>
        <w:t xml:space="preserve"> other than with interferon or glatiramer acetate, &lt;5 years disease duration, ≥1 relapse, ≥ 2 T2 lesions or &gt;Gd+ lesions in previous year, EDSS score 0-5.5.  Primary outcomes:  RR of relapse during study period.  Est. Completion Date 8/2021.</w:t>
      </w:r>
    </w:p>
    <w:p w14:paraId="605C17E9" w14:textId="77777777" w:rsidR="009B5AA5" w:rsidRPr="00FA3F9C" w:rsidRDefault="009B5AA5" w:rsidP="001B75C7">
      <w:pPr>
        <w:pStyle w:val="ListParagraph"/>
        <w:spacing w:after="0" w:line="240" w:lineRule="auto"/>
        <w:ind w:left="0"/>
        <w:rPr>
          <w:rFonts w:ascii="Arial" w:eastAsia="Times New Roman" w:hAnsi="Arial" w:cs="Arial"/>
          <w:b/>
          <w:sz w:val="24"/>
          <w:szCs w:val="24"/>
        </w:rPr>
      </w:pPr>
    </w:p>
    <w:p w14:paraId="480E4074" w14:textId="77777777" w:rsidR="009B5AA5" w:rsidRPr="00FA3F9C" w:rsidRDefault="009B5AA5" w:rsidP="00E9679E">
      <w:pPr>
        <w:pStyle w:val="ListParagraph"/>
        <w:spacing w:after="0" w:line="240" w:lineRule="auto"/>
        <w:rPr>
          <w:rFonts w:ascii="Arial" w:hAnsi="Arial" w:cs="Arial"/>
          <w:b/>
          <w:sz w:val="24"/>
          <w:szCs w:val="24"/>
        </w:rPr>
      </w:pPr>
      <w:r w:rsidRPr="00FA3F9C">
        <w:rPr>
          <w:rFonts w:ascii="Arial" w:eastAsia="Times New Roman" w:hAnsi="Arial" w:cs="Arial"/>
          <w:b/>
          <w:sz w:val="24"/>
          <w:szCs w:val="24"/>
        </w:rPr>
        <w:t>Revision History: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1"/>
        <w:gridCol w:w="8824"/>
        <w:gridCol w:w="1510"/>
      </w:tblGrid>
      <w:tr w:rsidR="009B5AA5" w:rsidRPr="00FA3F9C" w14:paraId="5479114A" w14:textId="77777777" w:rsidTr="00707F86">
        <w:trPr>
          <w:jc w:val="center"/>
        </w:trPr>
        <w:tc>
          <w:tcPr>
            <w:tcW w:w="903" w:type="dxa"/>
            <w:tcBorders>
              <w:top w:val="single" w:sz="4" w:space="0" w:color="auto"/>
              <w:left w:val="single" w:sz="4" w:space="0" w:color="auto"/>
              <w:bottom w:val="single" w:sz="4" w:space="0" w:color="auto"/>
              <w:right w:val="single" w:sz="4" w:space="0" w:color="auto"/>
            </w:tcBorders>
            <w:shd w:val="clear" w:color="auto" w:fill="auto"/>
            <w:hideMark/>
          </w:tcPr>
          <w:p w14:paraId="65CB70D0" w14:textId="77777777" w:rsidR="009B5AA5" w:rsidRPr="00FA3F9C" w:rsidRDefault="009B5AA5" w:rsidP="009C3D20">
            <w:pPr>
              <w:spacing w:after="0" w:line="240" w:lineRule="auto"/>
              <w:jc w:val="center"/>
              <w:rPr>
                <w:rFonts w:ascii="Arial" w:hAnsi="Arial" w:cs="Arial"/>
                <w:b/>
                <w:sz w:val="24"/>
                <w:szCs w:val="24"/>
              </w:rPr>
            </w:pPr>
            <w:r w:rsidRPr="00FA3F9C">
              <w:rPr>
                <w:rFonts w:ascii="Arial" w:hAnsi="Arial" w:cs="Arial"/>
                <w:b/>
                <w:sz w:val="24"/>
                <w:szCs w:val="24"/>
              </w:rPr>
              <w:t>Date</w:t>
            </w:r>
          </w:p>
        </w:tc>
        <w:tc>
          <w:tcPr>
            <w:tcW w:w="8824" w:type="dxa"/>
            <w:tcBorders>
              <w:top w:val="single" w:sz="4" w:space="0" w:color="auto"/>
              <w:left w:val="single" w:sz="4" w:space="0" w:color="auto"/>
              <w:bottom w:val="single" w:sz="4" w:space="0" w:color="auto"/>
              <w:right w:val="single" w:sz="4" w:space="0" w:color="auto"/>
            </w:tcBorders>
            <w:shd w:val="clear" w:color="auto" w:fill="auto"/>
            <w:hideMark/>
          </w:tcPr>
          <w:p w14:paraId="48B3D120" w14:textId="77777777" w:rsidR="009B5AA5" w:rsidRPr="00FA3F9C" w:rsidRDefault="009B5AA5" w:rsidP="009C3D20">
            <w:pPr>
              <w:spacing w:after="0" w:line="240" w:lineRule="auto"/>
              <w:jc w:val="center"/>
              <w:rPr>
                <w:rFonts w:ascii="Arial" w:hAnsi="Arial" w:cs="Arial"/>
                <w:b/>
                <w:sz w:val="24"/>
                <w:szCs w:val="24"/>
              </w:rPr>
            </w:pPr>
            <w:r w:rsidRPr="00FA3F9C">
              <w:rPr>
                <w:rFonts w:ascii="Arial" w:hAnsi="Arial" w:cs="Arial"/>
                <w:b/>
                <w:sz w:val="24"/>
                <w:szCs w:val="24"/>
              </w:rPr>
              <w:t>Changes</w:t>
            </w:r>
          </w:p>
        </w:tc>
        <w:tc>
          <w:tcPr>
            <w:tcW w:w="1051" w:type="dxa"/>
            <w:tcBorders>
              <w:top w:val="single" w:sz="4" w:space="0" w:color="auto"/>
              <w:left w:val="single" w:sz="4" w:space="0" w:color="auto"/>
              <w:bottom w:val="single" w:sz="4" w:space="0" w:color="auto"/>
              <w:right w:val="single" w:sz="4" w:space="0" w:color="auto"/>
            </w:tcBorders>
            <w:shd w:val="clear" w:color="auto" w:fill="auto"/>
            <w:hideMark/>
          </w:tcPr>
          <w:p w14:paraId="356A923D" w14:textId="77777777" w:rsidR="009B5AA5" w:rsidRPr="00FA3F9C" w:rsidRDefault="009B5AA5" w:rsidP="009C3D20">
            <w:pPr>
              <w:spacing w:after="0" w:line="240" w:lineRule="auto"/>
              <w:jc w:val="center"/>
              <w:rPr>
                <w:rFonts w:ascii="Arial" w:hAnsi="Arial" w:cs="Arial"/>
                <w:b/>
                <w:sz w:val="24"/>
                <w:szCs w:val="24"/>
              </w:rPr>
            </w:pPr>
            <w:r w:rsidRPr="00FA3F9C">
              <w:rPr>
                <w:rFonts w:ascii="Arial" w:hAnsi="Arial" w:cs="Arial"/>
                <w:b/>
                <w:sz w:val="24"/>
                <w:szCs w:val="24"/>
              </w:rPr>
              <w:t>Pharmacist</w:t>
            </w:r>
          </w:p>
        </w:tc>
      </w:tr>
      <w:tr w:rsidR="009B5AA5" w:rsidRPr="00FA3F9C" w14:paraId="7F442873" w14:textId="77777777" w:rsidTr="00707F86">
        <w:trPr>
          <w:jc w:val="center"/>
        </w:trPr>
        <w:tc>
          <w:tcPr>
            <w:tcW w:w="903" w:type="dxa"/>
            <w:tcBorders>
              <w:top w:val="single" w:sz="4" w:space="0" w:color="auto"/>
              <w:left w:val="single" w:sz="4" w:space="0" w:color="auto"/>
              <w:bottom w:val="single" w:sz="4" w:space="0" w:color="auto"/>
              <w:right w:val="single" w:sz="4" w:space="0" w:color="auto"/>
            </w:tcBorders>
            <w:shd w:val="clear" w:color="auto" w:fill="auto"/>
          </w:tcPr>
          <w:p w14:paraId="439929A3" w14:textId="77777777" w:rsidR="009B5AA5" w:rsidRPr="00FA3F9C" w:rsidRDefault="009B5AA5" w:rsidP="009C3D20">
            <w:pPr>
              <w:spacing w:after="0" w:line="240" w:lineRule="auto"/>
              <w:rPr>
                <w:rFonts w:ascii="Arial" w:hAnsi="Arial" w:cs="Arial"/>
                <w:sz w:val="24"/>
                <w:szCs w:val="24"/>
              </w:rPr>
            </w:pPr>
            <w:r w:rsidRPr="00FA3F9C">
              <w:rPr>
                <w:rFonts w:ascii="Arial" w:hAnsi="Arial" w:cs="Arial"/>
                <w:sz w:val="24"/>
                <w:szCs w:val="24"/>
              </w:rPr>
              <w:t>07/19/17</w:t>
            </w:r>
          </w:p>
        </w:tc>
        <w:tc>
          <w:tcPr>
            <w:tcW w:w="8824" w:type="dxa"/>
            <w:tcBorders>
              <w:top w:val="single" w:sz="4" w:space="0" w:color="auto"/>
              <w:left w:val="single" w:sz="4" w:space="0" w:color="auto"/>
              <w:bottom w:val="single" w:sz="4" w:space="0" w:color="auto"/>
              <w:right w:val="single" w:sz="4" w:space="0" w:color="auto"/>
            </w:tcBorders>
            <w:shd w:val="clear" w:color="auto" w:fill="auto"/>
          </w:tcPr>
          <w:p w14:paraId="65DF1F50" w14:textId="77777777" w:rsidR="009B5AA5" w:rsidRPr="00FA3F9C" w:rsidRDefault="009B5AA5" w:rsidP="009C3D20">
            <w:pPr>
              <w:spacing w:after="0" w:line="240" w:lineRule="auto"/>
              <w:rPr>
                <w:rFonts w:ascii="Arial" w:hAnsi="Arial" w:cs="Arial"/>
                <w:sz w:val="24"/>
                <w:szCs w:val="24"/>
              </w:rPr>
            </w:pPr>
            <w:r w:rsidRPr="00FA3F9C">
              <w:rPr>
                <w:rFonts w:ascii="Arial" w:hAnsi="Arial" w:cs="Arial"/>
                <w:sz w:val="24"/>
                <w:szCs w:val="24"/>
              </w:rPr>
              <w:t>Document Created.</w:t>
            </w:r>
          </w:p>
        </w:tc>
        <w:tc>
          <w:tcPr>
            <w:tcW w:w="1051" w:type="dxa"/>
            <w:tcBorders>
              <w:top w:val="single" w:sz="4" w:space="0" w:color="auto"/>
              <w:left w:val="single" w:sz="4" w:space="0" w:color="auto"/>
              <w:bottom w:val="single" w:sz="4" w:space="0" w:color="auto"/>
              <w:right w:val="single" w:sz="4" w:space="0" w:color="auto"/>
            </w:tcBorders>
            <w:shd w:val="clear" w:color="auto" w:fill="auto"/>
          </w:tcPr>
          <w:p w14:paraId="3BC13CBE" w14:textId="77777777" w:rsidR="009B5AA5" w:rsidRPr="00FA3F9C" w:rsidRDefault="009B5AA5" w:rsidP="009C3D20">
            <w:pPr>
              <w:spacing w:after="0" w:line="240" w:lineRule="auto"/>
              <w:rPr>
                <w:rFonts w:ascii="Arial" w:hAnsi="Arial" w:cs="Arial"/>
                <w:sz w:val="24"/>
                <w:szCs w:val="24"/>
              </w:rPr>
            </w:pPr>
            <w:r w:rsidRPr="00FA3F9C">
              <w:rPr>
                <w:rFonts w:ascii="Arial" w:hAnsi="Arial" w:cs="Arial"/>
                <w:sz w:val="24"/>
                <w:szCs w:val="24"/>
              </w:rPr>
              <w:t>JK</w:t>
            </w:r>
          </w:p>
        </w:tc>
      </w:tr>
      <w:tr w:rsidR="009B5AA5" w:rsidRPr="00FA3F9C" w14:paraId="754D5212" w14:textId="77777777" w:rsidTr="00707F86">
        <w:trPr>
          <w:jc w:val="center"/>
        </w:trPr>
        <w:tc>
          <w:tcPr>
            <w:tcW w:w="903" w:type="dxa"/>
            <w:tcBorders>
              <w:top w:val="single" w:sz="4" w:space="0" w:color="auto"/>
              <w:left w:val="single" w:sz="4" w:space="0" w:color="auto"/>
              <w:bottom w:val="single" w:sz="4" w:space="0" w:color="auto"/>
              <w:right w:val="single" w:sz="4" w:space="0" w:color="auto"/>
            </w:tcBorders>
            <w:shd w:val="clear" w:color="auto" w:fill="auto"/>
          </w:tcPr>
          <w:p w14:paraId="74D0C567" w14:textId="77777777" w:rsidR="009B5AA5" w:rsidRPr="00FA3F9C" w:rsidRDefault="009B5AA5" w:rsidP="009C3D20">
            <w:pPr>
              <w:spacing w:after="0" w:line="240" w:lineRule="auto"/>
              <w:rPr>
                <w:rFonts w:ascii="Arial" w:hAnsi="Arial" w:cs="Arial"/>
                <w:sz w:val="24"/>
                <w:szCs w:val="24"/>
              </w:rPr>
            </w:pPr>
            <w:r w:rsidRPr="00FA3F9C">
              <w:rPr>
                <w:rFonts w:ascii="Arial" w:hAnsi="Arial" w:cs="Arial"/>
                <w:sz w:val="24"/>
                <w:szCs w:val="24"/>
              </w:rPr>
              <w:t>8/6/17</w:t>
            </w:r>
          </w:p>
        </w:tc>
        <w:tc>
          <w:tcPr>
            <w:tcW w:w="8824" w:type="dxa"/>
            <w:tcBorders>
              <w:top w:val="single" w:sz="4" w:space="0" w:color="auto"/>
              <w:left w:val="single" w:sz="4" w:space="0" w:color="auto"/>
              <w:bottom w:val="single" w:sz="4" w:space="0" w:color="auto"/>
              <w:right w:val="single" w:sz="4" w:space="0" w:color="auto"/>
            </w:tcBorders>
            <w:shd w:val="clear" w:color="auto" w:fill="auto"/>
          </w:tcPr>
          <w:p w14:paraId="0831E38D" w14:textId="77777777" w:rsidR="009B5AA5" w:rsidRPr="00FA3F9C" w:rsidRDefault="009B5AA5" w:rsidP="00707F86">
            <w:pPr>
              <w:spacing w:after="0" w:line="240" w:lineRule="auto"/>
              <w:rPr>
                <w:rFonts w:ascii="Arial" w:hAnsi="Arial" w:cs="Arial"/>
                <w:sz w:val="24"/>
                <w:szCs w:val="24"/>
              </w:rPr>
            </w:pPr>
            <w:r w:rsidRPr="00FA3F9C">
              <w:rPr>
                <w:rFonts w:ascii="Arial" w:hAnsi="Arial" w:cs="Arial"/>
                <w:b/>
                <w:sz w:val="24"/>
                <w:szCs w:val="24"/>
                <w:u w:val="single"/>
              </w:rPr>
              <w:t>For PPMS:</w:t>
            </w:r>
            <w:r w:rsidRPr="00FA3F9C">
              <w:rPr>
                <w:rFonts w:ascii="Arial" w:hAnsi="Arial" w:cs="Arial"/>
                <w:sz w:val="24"/>
                <w:szCs w:val="24"/>
              </w:rPr>
              <w:t xml:space="preserve">  I added reference 1 pertaining to rituximab’s utility in PPMS in the subgroup &lt;51yo or w/ GAD-enhancing lesions.  We chose to prefer rituximab over ocrelizumab in PPMS due to reference 1, however, if the patient is </w:t>
            </w:r>
            <w:r w:rsidRPr="00FA3F9C">
              <w:rPr>
                <w:rFonts w:ascii="Arial" w:hAnsi="Arial" w:cs="Arial"/>
                <w:sz w:val="24"/>
                <w:szCs w:val="24"/>
                <w:u w:val="single"/>
              </w:rPr>
              <w:t>&gt;</w:t>
            </w:r>
            <w:r w:rsidRPr="00FA3F9C">
              <w:rPr>
                <w:rFonts w:ascii="Arial" w:hAnsi="Arial" w:cs="Arial"/>
                <w:sz w:val="24"/>
                <w:szCs w:val="24"/>
              </w:rPr>
              <w:t>51yo AND without GAD-enhancing lesions, we would allow ocrelizumab.</w:t>
            </w:r>
          </w:p>
          <w:p w14:paraId="7CF357AF" w14:textId="77777777" w:rsidR="009B5AA5" w:rsidRPr="00FA3F9C" w:rsidRDefault="009B5AA5" w:rsidP="009D7BA3">
            <w:pPr>
              <w:spacing w:after="0" w:line="240" w:lineRule="auto"/>
              <w:rPr>
                <w:rFonts w:ascii="Arial" w:hAnsi="Arial" w:cs="Arial"/>
                <w:sz w:val="24"/>
                <w:szCs w:val="24"/>
              </w:rPr>
            </w:pPr>
            <w:r w:rsidRPr="00FA3F9C">
              <w:rPr>
                <w:rFonts w:ascii="Arial" w:hAnsi="Arial" w:cs="Arial"/>
                <w:b/>
                <w:sz w:val="24"/>
                <w:szCs w:val="24"/>
              </w:rPr>
              <w:t>For RRMS:</w:t>
            </w:r>
            <w:r w:rsidRPr="00FA3F9C">
              <w:rPr>
                <w:rFonts w:ascii="Arial" w:hAnsi="Arial" w:cs="Arial"/>
                <w:sz w:val="24"/>
                <w:szCs w:val="24"/>
              </w:rPr>
              <w:t xml:space="preserve"> Although rituximab lacks the FDA indication for RRMS, we recommend coverage of rituximab for RRMS.</w:t>
            </w:r>
            <w:r w:rsidRPr="00FA3F9C">
              <w:rPr>
                <w:rFonts w:ascii="Arial" w:hAnsi="Arial" w:cs="Arial"/>
                <w:sz w:val="24"/>
                <w:szCs w:val="24"/>
                <w:vertAlign w:val="superscript"/>
              </w:rPr>
              <w:t>5-8</w:t>
            </w:r>
          </w:p>
        </w:tc>
        <w:tc>
          <w:tcPr>
            <w:tcW w:w="1051" w:type="dxa"/>
            <w:tcBorders>
              <w:top w:val="single" w:sz="4" w:space="0" w:color="auto"/>
              <w:left w:val="single" w:sz="4" w:space="0" w:color="auto"/>
              <w:bottom w:val="single" w:sz="4" w:space="0" w:color="auto"/>
              <w:right w:val="single" w:sz="4" w:space="0" w:color="auto"/>
            </w:tcBorders>
            <w:shd w:val="clear" w:color="auto" w:fill="auto"/>
          </w:tcPr>
          <w:p w14:paraId="1E77CF02" w14:textId="77777777" w:rsidR="009B5AA5" w:rsidRPr="00FA3F9C" w:rsidRDefault="009B5AA5" w:rsidP="009C3D20">
            <w:pPr>
              <w:spacing w:after="0" w:line="240" w:lineRule="auto"/>
              <w:rPr>
                <w:rFonts w:ascii="Arial" w:hAnsi="Arial" w:cs="Arial"/>
                <w:sz w:val="24"/>
                <w:szCs w:val="24"/>
              </w:rPr>
            </w:pPr>
            <w:r w:rsidRPr="00FA3F9C">
              <w:rPr>
                <w:rFonts w:ascii="Arial" w:hAnsi="Arial" w:cs="Arial"/>
                <w:sz w:val="24"/>
                <w:szCs w:val="24"/>
              </w:rPr>
              <w:t>JJ</w:t>
            </w:r>
          </w:p>
        </w:tc>
      </w:tr>
      <w:tr w:rsidR="009B5AA5" w:rsidRPr="00FA3F9C" w14:paraId="5BDC77F5" w14:textId="77777777" w:rsidTr="00707F86">
        <w:trPr>
          <w:jc w:val="center"/>
        </w:trPr>
        <w:tc>
          <w:tcPr>
            <w:tcW w:w="903" w:type="dxa"/>
            <w:tcBorders>
              <w:top w:val="single" w:sz="4" w:space="0" w:color="auto"/>
              <w:left w:val="single" w:sz="4" w:space="0" w:color="auto"/>
              <w:bottom w:val="single" w:sz="4" w:space="0" w:color="auto"/>
              <w:right w:val="single" w:sz="4" w:space="0" w:color="auto"/>
            </w:tcBorders>
            <w:shd w:val="clear" w:color="auto" w:fill="auto"/>
          </w:tcPr>
          <w:p w14:paraId="32526E48" w14:textId="77777777" w:rsidR="009B5AA5" w:rsidRPr="00FA3F9C" w:rsidRDefault="009B5AA5" w:rsidP="009C3D20">
            <w:pPr>
              <w:spacing w:after="0" w:line="240" w:lineRule="auto"/>
              <w:rPr>
                <w:rFonts w:ascii="Arial" w:hAnsi="Arial" w:cs="Arial"/>
                <w:sz w:val="24"/>
                <w:szCs w:val="24"/>
              </w:rPr>
            </w:pPr>
            <w:r w:rsidRPr="00FA3F9C">
              <w:rPr>
                <w:rFonts w:ascii="Arial" w:hAnsi="Arial" w:cs="Arial"/>
                <w:sz w:val="24"/>
                <w:szCs w:val="24"/>
              </w:rPr>
              <w:t>1/8/2021</w:t>
            </w:r>
          </w:p>
        </w:tc>
        <w:tc>
          <w:tcPr>
            <w:tcW w:w="8824" w:type="dxa"/>
            <w:tcBorders>
              <w:top w:val="single" w:sz="4" w:space="0" w:color="auto"/>
              <w:left w:val="single" w:sz="4" w:space="0" w:color="auto"/>
              <w:bottom w:val="single" w:sz="4" w:space="0" w:color="auto"/>
              <w:right w:val="single" w:sz="4" w:space="0" w:color="auto"/>
            </w:tcBorders>
            <w:shd w:val="clear" w:color="auto" w:fill="auto"/>
          </w:tcPr>
          <w:p w14:paraId="1F5D8FCF" w14:textId="77777777" w:rsidR="009B5AA5" w:rsidRPr="00FA3F9C" w:rsidRDefault="009B5AA5" w:rsidP="00707F86">
            <w:pPr>
              <w:spacing w:after="0" w:line="240" w:lineRule="auto"/>
              <w:rPr>
                <w:rFonts w:ascii="Arial" w:hAnsi="Arial" w:cs="Arial"/>
                <w:sz w:val="24"/>
                <w:szCs w:val="24"/>
                <w:u w:val="single"/>
              </w:rPr>
            </w:pPr>
            <w:r w:rsidRPr="00FA3F9C">
              <w:rPr>
                <w:rFonts w:ascii="Arial" w:hAnsi="Arial" w:cs="Arial"/>
                <w:sz w:val="24"/>
                <w:szCs w:val="24"/>
                <w:u w:val="single"/>
              </w:rPr>
              <w:t>I reviewed the criteria. No changes were made except I added no concurrent cladribine.</w:t>
            </w:r>
          </w:p>
        </w:tc>
        <w:tc>
          <w:tcPr>
            <w:tcW w:w="1051" w:type="dxa"/>
            <w:tcBorders>
              <w:top w:val="single" w:sz="4" w:space="0" w:color="auto"/>
              <w:left w:val="single" w:sz="4" w:space="0" w:color="auto"/>
              <w:bottom w:val="single" w:sz="4" w:space="0" w:color="auto"/>
              <w:right w:val="single" w:sz="4" w:space="0" w:color="auto"/>
            </w:tcBorders>
            <w:shd w:val="clear" w:color="auto" w:fill="auto"/>
          </w:tcPr>
          <w:p w14:paraId="6362AEE5" w14:textId="77777777" w:rsidR="009B5AA5" w:rsidRPr="00FA3F9C" w:rsidRDefault="009B5AA5" w:rsidP="009C3D20">
            <w:pPr>
              <w:spacing w:after="0" w:line="240" w:lineRule="auto"/>
              <w:rPr>
                <w:rFonts w:ascii="Arial" w:hAnsi="Arial" w:cs="Arial"/>
                <w:sz w:val="24"/>
                <w:szCs w:val="24"/>
              </w:rPr>
            </w:pPr>
            <w:r w:rsidRPr="00FA3F9C">
              <w:rPr>
                <w:rFonts w:ascii="Arial" w:hAnsi="Arial" w:cs="Arial"/>
                <w:sz w:val="24"/>
                <w:szCs w:val="24"/>
              </w:rPr>
              <w:t>JJ</w:t>
            </w:r>
          </w:p>
        </w:tc>
      </w:tr>
      <w:tr w:rsidR="009B5AA5" w:rsidRPr="00FA3F9C" w14:paraId="1B8B2D25" w14:textId="77777777" w:rsidTr="00707F86">
        <w:trPr>
          <w:jc w:val="center"/>
        </w:trPr>
        <w:tc>
          <w:tcPr>
            <w:tcW w:w="903" w:type="dxa"/>
            <w:tcBorders>
              <w:top w:val="single" w:sz="4" w:space="0" w:color="auto"/>
              <w:left w:val="single" w:sz="4" w:space="0" w:color="auto"/>
              <w:bottom w:val="single" w:sz="4" w:space="0" w:color="auto"/>
              <w:right w:val="single" w:sz="4" w:space="0" w:color="auto"/>
            </w:tcBorders>
            <w:shd w:val="clear" w:color="auto" w:fill="auto"/>
          </w:tcPr>
          <w:p w14:paraId="33F2DA01" w14:textId="77777777" w:rsidR="009B5AA5" w:rsidRPr="00FA3F9C" w:rsidRDefault="009B5AA5" w:rsidP="009C3D20">
            <w:pPr>
              <w:spacing w:after="0" w:line="240" w:lineRule="auto"/>
              <w:rPr>
                <w:rFonts w:ascii="Arial" w:hAnsi="Arial" w:cs="Arial"/>
                <w:sz w:val="24"/>
                <w:szCs w:val="24"/>
              </w:rPr>
            </w:pPr>
            <w:r w:rsidRPr="00FA3F9C">
              <w:rPr>
                <w:rFonts w:ascii="Arial" w:hAnsi="Arial" w:cs="Arial"/>
                <w:sz w:val="24"/>
                <w:szCs w:val="24"/>
              </w:rPr>
              <w:t>5/20/21</w:t>
            </w:r>
          </w:p>
        </w:tc>
        <w:tc>
          <w:tcPr>
            <w:tcW w:w="8824" w:type="dxa"/>
            <w:tcBorders>
              <w:top w:val="single" w:sz="4" w:space="0" w:color="auto"/>
              <w:left w:val="single" w:sz="4" w:space="0" w:color="auto"/>
              <w:bottom w:val="single" w:sz="4" w:space="0" w:color="auto"/>
              <w:right w:val="single" w:sz="4" w:space="0" w:color="auto"/>
            </w:tcBorders>
            <w:shd w:val="clear" w:color="auto" w:fill="auto"/>
          </w:tcPr>
          <w:p w14:paraId="06A236B4" w14:textId="77777777" w:rsidR="009B5AA5" w:rsidRPr="00FA3F9C" w:rsidRDefault="009B5AA5" w:rsidP="00707F86">
            <w:pPr>
              <w:spacing w:after="0" w:line="240" w:lineRule="auto"/>
              <w:rPr>
                <w:rFonts w:ascii="Arial" w:hAnsi="Arial" w:cs="Arial"/>
                <w:sz w:val="24"/>
                <w:szCs w:val="24"/>
                <w:u w:val="single"/>
              </w:rPr>
            </w:pPr>
            <w:r w:rsidRPr="00FA3F9C">
              <w:rPr>
                <w:rFonts w:ascii="Arial" w:hAnsi="Arial" w:cs="Arial"/>
                <w:sz w:val="24"/>
                <w:szCs w:val="24"/>
                <w:u w:val="single"/>
              </w:rPr>
              <w:t>EBRx P&amp;T voted to allow use in RRMS patients who fail rituximab.</w:t>
            </w:r>
          </w:p>
        </w:tc>
        <w:tc>
          <w:tcPr>
            <w:tcW w:w="1051" w:type="dxa"/>
            <w:tcBorders>
              <w:top w:val="single" w:sz="4" w:space="0" w:color="auto"/>
              <w:left w:val="single" w:sz="4" w:space="0" w:color="auto"/>
              <w:bottom w:val="single" w:sz="4" w:space="0" w:color="auto"/>
              <w:right w:val="single" w:sz="4" w:space="0" w:color="auto"/>
            </w:tcBorders>
            <w:shd w:val="clear" w:color="auto" w:fill="auto"/>
          </w:tcPr>
          <w:p w14:paraId="18193ECE" w14:textId="77777777" w:rsidR="009B5AA5" w:rsidRPr="00FA3F9C" w:rsidRDefault="009B5AA5" w:rsidP="009C3D20">
            <w:pPr>
              <w:spacing w:after="0" w:line="240" w:lineRule="auto"/>
              <w:rPr>
                <w:rFonts w:ascii="Arial" w:hAnsi="Arial" w:cs="Arial"/>
                <w:sz w:val="24"/>
                <w:szCs w:val="24"/>
              </w:rPr>
            </w:pPr>
            <w:r w:rsidRPr="00FA3F9C">
              <w:rPr>
                <w:rFonts w:ascii="Arial" w:hAnsi="Arial" w:cs="Arial"/>
                <w:sz w:val="24"/>
                <w:szCs w:val="24"/>
              </w:rPr>
              <w:t>JJ</w:t>
            </w:r>
          </w:p>
        </w:tc>
      </w:tr>
    </w:tbl>
    <w:p w14:paraId="454FA2C8" w14:textId="679F24D2" w:rsidR="009B5AA5" w:rsidRPr="00FA3F9C" w:rsidRDefault="009B5AA5">
      <w:pPr>
        <w:rPr>
          <w:rFonts w:ascii="Arial" w:hAnsi="Arial" w:cs="Arial"/>
          <w:sz w:val="24"/>
          <w:szCs w:val="24"/>
        </w:rPr>
      </w:pPr>
    </w:p>
    <w:p w14:paraId="619CED6F" w14:textId="77777777" w:rsidR="009B5AA5" w:rsidRPr="00FA3F9C" w:rsidRDefault="009B5AA5" w:rsidP="00EF3B65">
      <w:pPr>
        <w:pStyle w:val="Heading2"/>
      </w:pPr>
      <w:bookmarkStart w:id="238" w:name="_Toc106369875"/>
      <w:r w:rsidRPr="00FA3F9C">
        <w:t>Olaparib (Lynparza)</w:t>
      </w:r>
      <w:bookmarkEnd w:id="238"/>
    </w:p>
    <w:p w14:paraId="5C4DA81E" w14:textId="77777777" w:rsidR="009B5AA5" w:rsidRPr="00FA3F9C" w:rsidRDefault="009B5AA5" w:rsidP="006F623F">
      <w:pPr>
        <w:spacing w:after="0"/>
        <w:jc w:val="center"/>
        <w:rPr>
          <w:rFonts w:ascii="Arial" w:hAnsi="Arial" w:cs="Arial"/>
          <w:sz w:val="24"/>
          <w:szCs w:val="24"/>
        </w:rPr>
      </w:pPr>
      <w:r w:rsidRPr="00FA3F9C">
        <w:rPr>
          <w:rFonts w:ascii="Arial" w:hAnsi="Arial" w:cs="Arial"/>
          <w:sz w:val="24"/>
          <w:szCs w:val="24"/>
        </w:rPr>
        <w:t>100 and 150 mg tablets</w:t>
      </w:r>
    </w:p>
    <w:p w14:paraId="2A377D36" w14:textId="77777777" w:rsidR="009B5AA5" w:rsidRPr="00FA3F9C" w:rsidRDefault="009B5AA5" w:rsidP="006F623F">
      <w:pPr>
        <w:spacing w:after="0"/>
        <w:jc w:val="center"/>
        <w:rPr>
          <w:rFonts w:ascii="Arial" w:hAnsi="Arial" w:cs="Arial"/>
          <w:sz w:val="24"/>
          <w:szCs w:val="24"/>
        </w:rPr>
      </w:pPr>
      <w:r w:rsidRPr="00FA3F9C">
        <w:rPr>
          <w:rFonts w:ascii="Arial" w:hAnsi="Arial" w:cs="Arial"/>
          <w:sz w:val="24"/>
          <w:szCs w:val="24"/>
        </w:rPr>
        <w:t>EBRx PA Criteria</w:t>
      </w:r>
    </w:p>
    <w:p w14:paraId="2DCB5331" w14:textId="77777777" w:rsidR="009B5AA5" w:rsidRPr="00FA3F9C" w:rsidRDefault="009B5AA5" w:rsidP="006F623F">
      <w:pPr>
        <w:spacing w:after="0"/>
        <w:rPr>
          <w:rFonts w:ascii="Arial" w:hAnsi="Arial" w:cs="Arial"/>
          <w:b/>
          <w:sz w:val="24"/>
          <w:szCs w:val="24"/>
          <w:u w:val="single"/>
        </w:rPr>
      </w:pPr>
    </w:p>
    <w:p w14:paraId="6C4338B8" w14:textId="77777777" w:rsidR="009B5AA5" w:rsidRPr="00FA3F9C" w:rsidRDefault="009B5AA5" w:rsidP="006F623F">
      <w:pPr>
        <w:spacing w:after="0"/>
        <w:rPr>
          <w:rFonts w:ascii="Arial" w:hAnsi="Arial" w:cs="Arial"/>
          <w:sz w:val="24"/>
          <w:szCs w:val="24"/>
        </w:rPr>
      </w:pPr>
      <w:r w:rsidRPr="00FA3F9C">
        <w:rPr>
          <w:rFonts w:ascii="Arial" w:hAnsi="Arial" w:cs="Arial"/>
          <w:b/>
          <w:sz w:val="24"/>
          <w:szCs w:val="24"/>
          <w:u w:val="single"/>
        </w:rPr>
        <w:t>FDA-approved for:</w:t>
      </w:r>
      <w:r w:rsidRPr="00FA3F9C">
        <w:rPr>
          <w:rFonts w:ascii="Arial" w:hAnsi="Arial" w:cs="Arial"/>
          <w:sz w:val="24"/>
          <w:szCs w:val="24"/>
        </w:rPr>
        <w:t xml:space="preserve">  </w:t>
      </w:r>
    </w:p>
    <w:p w14:paraId="69E3D457" w14:textId="77777777" w:rsidR="009B5AA5" w:rsidRPr="00FA3F9C" w:rsidRDefault="009B5AA5" w:rsidP="00147953">
      <w:pPr>
        <w:pStyle w:val="NormalWeb"/>
        <w:spacing w:before="0" w:beforeAutospacing="0" w:after="0" w:afterAutospacing="0"/>
        <w:ind w:left="400" w:hanging="400"/>
        <w:rPr>
          <w:rFonts w:ascii="Arial" w:hAnsi="Arial" w:cs="Arial"/>
          <w:color w:val="FF0000"/>
          <w:sz w:val="24"/>
          <w:szCs w:val="24"/>
        </w:rPr>
      </w:pPr>
      <w:r w:rsidRPr="00FA3F9C">
        <w:rPr>
          <w:rFonts w:ascii="Arial" w:hAnsi="Arial" w:cs="Arial"/>
          <w:b/>
          <w:bCs/>
          <w:color w:val="000000"/>
          <w:sz w:val="24"/>
          <w:szCs w:val="24"/>
        </w:rPr>
        <w:t>Ovarian cancer, advanced (BRCA-mutated):</w:t>
      </w:r>
      <w:r w:rsidRPr="00FA3F9C">
        <w:rPr>
          <w:rFonts w:ascii="Arial" w:hAnsi="Arial" w:cs="Arial"/>
          <w:color w:val="000000"/>
          <w:sz w:val="24"/>
          <w:szCs w:val="24"/>
        </w:rPr>
        <w:t xml:space="preserve"> Tablets, capsules: Treatment of deleterious or suspected deleterious </w:t>
      </w:r>
      <w:proofErr w:type="spellStart"/>
      <w:r w:rsidRPr="00FA3F9C">
        <w:rPr>
          <w:rFonts w:ascii="Arial" w:hAnsi="Arial" w:cs="Arial"/>
          <w:color w:val="000000"/>
          <w:sz w:val="24"/>
          <w:szCs w:val="24"/>
        </w:rPr>
        <w:t>g</w:t>
      </w:r>
      <w:r w:rsidRPr="00FA3F9C">
        <w:rPr>
          <w:rFonts w:ascii="Arial" w:hAnsi="Arial" w:cs="Arial"/>
          <w:i/>
          <w:iCs/>
          <w:color w:val="000000"/>
          <w:sz w:val="24"/>
          <w:szCs w:val="24"/>
        </w:rPr>
        <w:t>BRCA</w:t>
      </w:r>
      <w:r w:rsidRPr="00FA3F9C">
        <w:rPr>
          <w:rFonts w:ascii="Arial" w:hAnsi="Arial" w:cs="Arial"/>
          <w:color w:val="000000"/>
          <w:sz w:val="24"/>
          <w:szCs w:val="24"/>
        </w:rPr>
        <w:t>m</w:t>
      </w:r>
      <w:proofErr w:type="spellEnd"/>
      <w:r w:rsidRPr="00FA3F9C">
        <w:rPr>
          <w:rFonts w:ascii="Arial" w:hAnsi="Arial" w:cs="Arial"/>
          <w:color w:val="000000"/>
          <w:sz w:val="24"/>
          <w:szCs w:val="24"/>
        </w:rPr>
        <w:t xml:space="preserve"> advanced ovarian cancer in patients who have been treated with 3 or more prior lines of chemotherapy </w:t>
      </w:r>
      <w:r w:rsidRPr="00FA3F9C">
        <w:rPr>
          <w:rFonts w:ascii="Arial" w:hAnsi="Arial" w:cs="Arial"/>
          <w:color w:val="000000"/>
          <w:sz w:val="24"/>
          <w:szCs w:val="24"/>
          <w:highlight w:val="yellow"/>
        </w:rPr>
        <w:t>NOT COVERED</w:t>
      </w:r>
      <w:r w:rsidRPr="00FA3F9C">
        <w:rPr>
          <w:rFonts w:ascii="Arial" w:hAnsi="Arial" w:cs="Arial"/>
          <w:color w:val="000000"/>
          <w:sz w:val="24"/>
          <w:szCs w:val="24"/>
        </w:rPr>
        <w:t xml:space="preserve"> </w:t>
      </w:r>
      <w:r w:rsidRPr="00FA3F9C">
        <w:rPr>
          <w:rFonts w:ascii="Arial" w:hAnsi="Arial" w:cs="Arial"/>
          <w:color w:val="FF0000"/>
          <w:sz w:val="24"/>
          <w:szCs w:val="24"/>
        </w:rPr>
        <w:t xml:space="preserve">Data leading to FDA approval are limited to single arm non comparative trial. A randomized study (SOLO3) has reported a progression free survival benefit with </w:t>
      </w:r>
      <w:proofErr w:type="spellStart"/>
      <w:r w:rsidRPr="00FA3F9C">
        <w:rPr>
          <w:rFonts w:ascii="Arial" w:hAnsi="Arial" w:cs="Arial"/>
          <w:color w:val="FF0000"/>
          <w:sz w:val="24"/>
          <w:szCs w:val="24"/>
        </w:rPr>
        <w:t>olaparib</w:t>
      </w:r>
      <w:proofErr w:type="spellEnd"/>
      <w:r w:rsidRPr="00FA3F9C">
        <w:rPr>
          <w:rFonts w:ascii="Arial" w:hAnsi="Arial" w:cs="Arial"/>
          <w:color w:val="FF0000"/>
          <w:sz w:val="24"/>
          <w:szCs w:val="24"/>
        </w:rPr>
        <w:t xml:space="preserve"> compared to chemo, however, an overall survival, quality of life, or toxicity benefit has been demonstrated to date. </w:t>
      </w:r>
      <w:r w:rsidRPr="00FA3F9C">
        <w:rPr>
          <w:rFonts w:ascii="Arial" w:hAnsi="Arial" w:cs="Arial"/>
          <w:color w:val="FF0000"/>
          <w:sz w:val="24"/>
          <w:szCs w:val="24"/>
          <w:lang w:val="fr-FR"/>
        </w:rPr>
        <w:t>(</w:t>
      </w:r>
      <w:proofErr w:type="spellStart"/>
      <w:proofErr w:type="gramStart"/>
      <w:r w:rsidRPr="00FA3F9C">
        <w:rPr>
          <w:rFonts w:ascii="Arial" w:hAnsi="Arial" w:cs="Arial"/>
          <w:color w:val="FF0000"/>
          <w:sz w:val="24"/>
          <w:szCs w:val="24"/>
          <w:lang w:val="fr-FR"/>
        </w:rPr>
        <w:t>reference</w:t>
      </w:r>
      <w:proofErr w:type="spellEnd"/>
      <w:r w:rsidRPr="00FA3F9C">
        <w:rPr>
          <w:rFonts w:ascii="Arial" w:hAnsi="Arial" w:cs="Arial"/>
          <w:color w:val="FF0000"/>
          <w:sz w:val="24"/>
          <w:szCs w:val="24"/>
          <w:lang w:val="fr-FR"/>
        </w:rPr>
        <w:t>:</w:t>
      </w:r>
      <w:proofErr w:type="gramEnd"/>
      <w:r w:rsidRPr="00FA3F9C">
        <w:rPr>
          <w:rFonts w:ascii="Arial" w:hAnsi="Arial" w:cs="Arial"/>
          <w:color w:val="FF0000"/>
          <w:sz w:val="24"/>
          <w:szCs w:val="24"/>
          <w:lang w:val="fr-FR"/>
        </w:rPr>
        <w:t xml:space="preserve"> </w:t>
      </w:r>
      <w:proofErr w:type="spellStart"/>
      <w:r w:rsidRPr="00FA3F9C">
        <w:rPr>
          <w:rFonts w:ascii="Arial" w:hAnsi="Arial" w:cs="Arial"/>
          <w:color w:val="FF0000"/>
          <w:sz w:val="24"/>
          <w:szCs w:val="24"/>
          <w:lang w:val="fr-FR"/>
        </w:rPr>
        <w:t>Penson</w:t>
      </w:r>
      <w:proofErr w:type="spellEnd"/>
      <w:r w:rsidRPr="00FA3F9C">
        <w:rPr>
          <w:rFonts w:ascii="Arial" w:hAnsi="Arial" w:cs="Arial"/>
          <w:color w:val="FF0000"/>
          <w:sz w:val="24"/>
          <w:szCs w:val="24"/>
          <w:lang w:val="fr-FR"/>
        </w:rPr>
        <w:t xml:space="preserve"> RT et al. J Clin </w:t>
      </w:r>
      <w:proofErr w:type="spellStart"/>
      <w:r w:rsidRPr="00FA3F9C">
        <w:rPr>
          <w:rFonts w:ascii="Arial" w:hAnsi="Arial" w:cs="Arial"/>
          <w:color w:val="FF0000"/>
          <w:sz w:val="24"/>
          <w:szCs w:val="24"/>
          <w:lang w:val="fr-FR"/>
        </w:rPr>
        <w:t>Oncol</w:t>
      </w:r>
      <w:proofErr w:type="spellEnd"/>
      <w:r w:rsidRPr="00FA3F9C">
        <w:rPr>
          <w:rFonts w:ascii="Arial" w:hAnsi="Arial" w:cs="Arial"/>
          <w:color w:val="FF0000"/>
          <w:sz w:val="24"/>
          <w:szCs w:val="24"/>
          <w:lang w:val="fr-FR"/>
        </w:rPr>
        <w:t xml:space="preserve">. </w:t>
      </w:r>
      <w:proofErr w:type="gramStart"/>
      <w:r w:rsidRPr="00FA3F9C">
        <w:rPr>
          <w:rFonts w:ascii="Arial" w:hAnsi="Arial" w:cs="Arial"/>
          <w:color w:val="FF0000"/>
          <w:sz w:val="24"/>
          <w:szCs w:val="24"/>
          <w:lang w:val="fr-FR"/>
        </w:rPr>
        <w:t>2020;</w:t>
      </w:r>
      <w:proofErr w:type="gramEnd"/>
      <w:r w:rsidRPr="00FA3F9C">
        <w:rPr>
          <w:rFonts w:ascii="Arial" w:hAnsi="Arial" w:cs="Arial"/>
          <w:color w:val="FF0000"/>
          <w:sz w:val="24"/>
          <w:szCs w:val="24"/>
          <w:lang w:val="fr-FR"/>
        </w:rPr>
        <w:t xml:space="preserve">38(11):1164-1174. </w:t>
      </w:r>
      <w:proofErr w:type="gramStart"/>
      <w:r w:rsidRPr="00FA3F9C">
        <w:rPr>
          <w:rFonts w:ascii="Arial" w:hAnsi="Arial" w:cs="Arial"/>
          <w:color w:val="FF0000"/>
          <w:sz w:val="24"/>
          <w:szCs w:val="24"/>
          <w:lang w:val="fr-FR"/>
        </w:rPr>
        <w:t>doi:</w:t>
      </w:r>
      <w:proofErr w:type="gramEnd"/>
      <w:r w:rsidRPr="00FA3F9C">
        <w:rPr>
          <w:rFonts w:ascii="Arial" w:hAnsi="Arial" w:cs="Arial"/>
          <w:color w:val="FF0000"/>
          <w:sz w:val="24"/>
          <w:szCs w:val="24"/>
          <w:lang w:val="fr-FR"/>
        </w:rPr>
        <w:t xml:space="preserve">10.1200/JCO.19.02745. </w:t>
      </w:r>
      <w:r w:rsidRPr="00FA3F9C">
        <w:rPr>
          <w:rFonts w:ascii="Arial" w:hAnsi="Arial" w:cs="Arial"/>
          <w:color w:val="FF0000"/>
          <w:sz w:val="24"/>
          <w:szCs w:val="24"/>
        </w:rPr>
        <w:t>PMID 32073956 NCT02282020)</w:t>
      </w:r>
    </w:p>
    <w:p w14:paraId="64560437" w14:textId="77777777" w:rsidR="009B5AA5" w:rsidRPr="00FA3F9C" w:rsidRDefault="009B5AA5" w:rsidP="00147953">
      <w:pPr>
        <w:pStyle w:val="NormalWeb"/>
        <w:spacing w:before="0" w:beforeAutospacing="0" w:after="0" w:afterAutospacing="0"/>
        <w:ind w:left="400" w:hanging="400"/>
        <w:rPr>
          <w:rFonts w:ascii="Arial" w:hAnsi="Arial" w:cs="Arial"/>
          <w:color w:val="000000"/>
          <w:sz w:val="24"/>
          <w:szCs w:val="24"/>
        </w:rPr>
      </w:pPr>
      <w:r w:rsidRPr="00FA3F9C">
        <w:rPr>
          <w:rFonts w:ascii="Arial" w:hAnsi="Arial" w:cs="Arial"/>
          <w:b/>
          <w:bCs/>
          <w:color w:val="000000"/>
          <w:sz w:val="24"/>
          <w:szCs w:val="24"/>
        </w:rPr>
        <w:t xml:space="preserve">Ovarian cancer, advanced (HRD-positive), </w:t>
      </w:r>
      <w:r w:rsidRPr="00FA3F9C">
        <w:rPr>
          <w:rFonts w:ascii="Arial" w:hAnsi="Arial" w:cs="Arial"/>
          <w:b/>
          <w:bCs/>
          <w:color w:val="000000"/>
          <w:sz w:val="24"/>
          <w:szCs w:val="24"/>
          <w:u w:val="single"/>
        </w:rPr>
        <w:t>first-line maintenance therapy:</w:t>
      </w:r>
      <w:r w:rsidRPr="00FA3F9C">
        <w:rPr>
          <w:rFonts w:ascii="Arial" w:hAnsi="Arial" w:cs="Arial"/>
          <w:b/>
          <w:bCs/>
          <w:color w:val="000000"/>
          <w:sz w:val="24"/>
          <w:szCs w:val="24"/>
        </w:rPr>
        <w:t xml:space="preserve"> </w:t>
      </w:r>
      <w:r w:rsidRPr="00FA3F9C">
        <w:rPr>
          <w:rFonts w:ascii="Arial" w:hAnsi="Arial" w:cs="Arial"/>
          <w:bCs/>
          <w:color w:val="000000"/>
          <w:sz w:val="24"/>
          <w:szCs w:val="24"/>
        </w:rPr>
        <w:t>in combination with</w:t>
      </w:r>
      <w:r w:rsidRPr="00FA3F9C">
        <w:rPr>
          <w:rFonts w:ascii="Arial" w:hAnsi="Arial" w:cs="Arial"/>
          <w:b/>
          <w:bCs/>
          <w:color w:val="000000"/>
          <w:sz w:val="24"/>
          <w:szCs w:val="24"/>
        </w:rPr>
        <w:t xml:space="preserve"> </w:t>
      </w:r>
      <w:r w:rsidRPr="00FA3F9C">
        <w:rPr>
          <w:rFonts w:ascii="Arial" w:hAnsi="Arial" w:cs="Arial"/>
          <w:bCs/>
          <w:color w:val="000000"/>
          <w:sz w:val="24"/>
          <w:szCs w:val="24"/>
        </w:rPr>
        <w:t xml:space="preserve">bevacizumab for the maintenance treatment of adult patients with advanced epithelial ovarian, fallopian tube or primary peritoneal cancer who are in complete or partial response to first-line platinum-based chemotherapy and whose cancer is associated with homologous recombination deficiency (HRD)-positive status defined by either a deleterious or suspected deleterious BRCA mutation and/or genomic instability </w:t>
      </w:r>
      <w:r w:rsidRPr="00FA3F9C">
        <w:rPr>
          <w:rFonts w:ascii="Arial" w:hAnsi="Arial" w:cs="Arial"/>
          <w:color w:val="000000"/>
          <w:sz w:val="24"/>
          <w:szCs w:val="24"/>
          <w:highlight w:val="yellow"/>
        </w:rPr>
        <w:t>NOT COVERED</w:t>
      </w:r>
    </w:p>
    <w:p w14:paraId="52ECA06D" w14:textId="77777777" w:rsidR="009B5AA5" w:rsidRPr="00FA3F9C" w:rsidRDefault="009B5AA5" w:rsidP="00147953">
      <w:pPr>
        <w:pStyle w:val="NormalWeb"/>
        <w:spacing w:before="0" w:beforeAutospacing="0" w:after="0" w:afterAutospacing="0"/>
        <w:ind w:left="400" w:hanging="400"/>
        <w:rPr>
          <w:rFonts w:ascii="Arial" w:hAnsi="Arial" w:cs="Arial"/>
          <w:bCs/>
          <w:color w:val="FF0000"/>
          <w:sz w:val="24"/>
          <w:szCs w:val="24"/>
        </w:rPr>
      </w:pPr>
      <w:r w:rsidRPr="00FA3F9C">
        <w:rPr>
          <w:rFonts w:ascii="Arial" w:hAnsi="Arial" w:cs="Arial"/>
          <w:bCs/>
          <w:color w:val="000000"/>
          <w:sz w:val="24"/>
          <w:szCs w:val="24"/>
        </w:rPr>
        <w:tab/>
      </w:r>
      <w:r w:rsidRPr="00FA3F9C">
        <w:rPr>
          <w:rFonts w:ascii="Arial" w:hAnsi="Arial" w:cs="Arial"/>
          <w:bCs/>
          <w:color w:val="FF0000"/>
          <w:sz w:val="24"/>
          <w:szCs w:val="24"/>
        </w:rPr>
        <w:t>Benefit compared to placebo is limited to progression free survival only without overall survival or quality of life benefit. (</w:t>
      </w:r>
      <w:proofErr w:type="gramStart"/>
      <w:r w:rsidRPr="00FA3F9C">
        <w:rPr>
          <w:rFonts w:ascii="Arial" w:hAnsi="Arial" w:cs="Arial"/>
          <w:bCs/>
          <w:color w:val="FF0000"/>
          <w:sz w:val="24"/>
          <w:szCs w:val="24"/>
        </w:rPr>
        <w:t>reference</w:t>
      </w:r>
      <w:proofErr w:type="gramEnd"/>
      <w:r w:rsidRPr="00FA3F9C">
        <w:rPr>
          <w:rFonts w:ascii="Arial" w:hAnsi="Arial" w:cs="Arial"/>
          <w:bCs/>
          <w:color w:val="FF0000"/>
          <w:sz w:val="24"/>
          <w:szCs w:val="24"/>
        </w:rPr>
        <w:t>: Ray-</w:t>
      </w:r>
      <w:proofErr w:type="spellStart"/>
      <w:r w:rsidRPr="00FA3F9C">
        <w:rPr>
          <w:rFonts w:ascii="Arial" w:hAnsi="Arial" w:cs="Arial"/>
          <w:bCs/>
          <w:color w:val="FF0000"/>
          <w:sz w:val="24"/>
          <w:szCs w:val="24"/>
        </w:rPr>
        <w:t>Coquard</w:t>
      </w:r>
      <w:proofErr w:type="spellEnd"/>
      <w:r w:rsidRPr="00FA3F9C">
        <w:rPr>
          <w:rFonts w:ascii="Arial" w:hAnsi="Arial" w:cs="Arial"/>
          <w:bCs/>
          <w:color w:val="FF0000"/>
          <w:sz w:val="24"/>
          <w:szCs w:val="24"/>
        </w:rPr>
        <w:t xml:space="preserve"> et al. NEJM 2019 381(25):2416-2428. PMID 31851799 NCT02477644)</w:t>
      </w:r>
    </w:p>
    <w:p w14:paraId="5AD34565" w14:textId="77777777" w:rsidR="009B5AA5" w:rsidRPr="00FA3F9C" w:rsidRDefault="009B5AA5" w:rsidP="00147953">
      <w:pPr>
        <w:pStyle w:val="NormalWeb"/>
        <w:spacing w:before="0" w:beforeAutospacing="0" w:after="0" w:afterAutospacing="0"/>
        <w:ind w:left="400" w:hanging="400"/>
        <w:rPr>
          <w:rFonts w:ascii="Arial" w:hAnsi="Arial" w:cs="Arial"/>
          <w:color w:val="FF0000"/>
          <w:sz w:val="24"/>
          <w:szCs w:val="24"/>
        </w:rPr>
      </w:pPr>
      <w:r w:rsidRPr="00FA3F9C">
        <w:rPr>
          <w:rFonts w:ascii="Arial" w:hAnsi="Arial" w:cs="Arial"/>
          <w:b/>
          <w:bCs/>
          <w:color w:val="000000"/>
          <w:sz w:val="24"/>
          <w:szCs w:val="24"/>
        </w:rPr>
        <w:t xml:space="preserve">Ovarian cancer, advanced (BRCA-mutated), </w:t>
      </w:r>
      <w:r w:rsidRPr="00FA3F9C">
        <w:rPr>
          <w:rFonts w:ascii="Arial" w:hAnsi="Arial" w:cs="Arial"/>
          <w:b/>
          <w:bCs/>
          <w:color w:val="000000"/>
          <w:sz w:val="24"/>
          <w:szCs w:val="24"/>
          <w:u w:val="single"/>
        </w:rPr>
        <w:t>first-line maintenance therapy</w:t>
      </w:r>
      <w:r w:rsidRPr="00FA3F9C">
        <w:rPr>
          <w:rFonts w:ascii="Arial" w:hAnsi="Arial" w:cs="Arial"/>
          <w:color w:val="000000"/>
          <w:sz w:val="24"/>
          <w:szCs w:val="24"/>
        </w:rPr>
        <w:t xml:space="preserve">: Tablets: First-line maintenance treatment of deleterious or suspected deleterious </w:t>
      </w:r>
      <w:proofErr w:type="spellStart"/>
      <w:r w:rsidRPr="00FA3F9C">
        <w:rPr>
          <w:rFonts w:ascii="Arial" w:hAnsi="Arial" w:cs="Arial"/>
          <w:color w:val="000000"/>
          <w:sz w:val="24"/>
          <w:szCs w:val="24"/>
        </w:rPr>
        <w:t>g</w:t>
      </w:r>
      <w:r w:rsidRPr="00FA3F9C">
        <w:rPr>
          <w:rFonts w:ascii="Arial" w:hAnsi="Arial" w:cs="Arial"/>
          <w:i/>
          <w:iCs/>
          <w:color w:val="000000"/>
          <w:sz w:val="24"/>
          <w:szCs w:val="24"/>
        </w:rPr>
        <w:t>BRCA</w:t>
      </w:r>
      <w:r w:rsidRPr="00FA3F9C">
        <w:rPr>
          <w:rFonts w:ascii="Arial" w:hAnsi="Arial" w:cs="Arial"/>
          <w:color w:val="000000"/>
          <w:sz w:val="24"/>
          <w:szCs w:val="24"/>
        </w:rPr>
        <w:t>m</w:t>
      </w:r>
      <w:proofErr w:type="spellEnd"/>
      <w:r w:rsidRPr="00FA3F9C">
        <w:rPr>
          <w:rFonts w:ascii="Arial" w:hAnsi="Arial" w:cs="Arial"/>
          <w:color w:val="000000"/>
          <w:sz w:val="24"/>
          <w:szCs w:val="24"/>
        </w:rPr>
        <w:t xml:space="preserve"> or somatic </w:t>
      </w:r>
      <w:r w:rsidRPr="00FA3F9C">
        <w:rPr>
          <w:rFonts w:ascii="Arial" w:hAnsi="Arial" w:cs="Arial"/>
          <w:i/>
          <w:iCs/>
          <w:color w:val="000000"/>
          <w:sz w:val="24"/>
          <w:szCs w:val="24"/>
        </w:rPr>
        <w:t>BRCA</w:t>
      </w:r>
      <w:r w:rsidRPr="00FA3F9C">
        <w:rPr>
          <w:rFonts w:ascii="Arial" w:hAnsi="Arial" w:cs="Arial"/>
          <w:color w:val="000000"/>
          <w:sz w:val="24"/>
          <w:szCs w:val="24"/>
        </w:rPr>
        <w:t>-mutated (</w:t>
      </w:r>
      <w:proofErr w:type="spellStart"/>
      <w:r w:rsidRPr="00FA3F9C">
        <w:rPr>
          <w:rFonts w:ascii="Arial" w:hAnsi="Arial" w:cs="Arial"/>
          <w:color w:val="000000"/>
          <w:sz w:val="24"/>
          <w:szCs w:val="24"/>
        </w:rPr>
        <w:t>s</w:t>
      </w:r>
      <w:r w:rsidRPr="00FA3F9C">
        <w:rPr>
          <w:rFonts w:ascii="Arial" w:hAnsi="Arial" w:cs="Arial"/>
          <w:i/>
          <w:iCs/>
          <w:color w:val="000000"/>
          <w:sz w:val="24"/>
          <w:szCs w:val="24"/>
        </w:rPr>
        <w:t>BRCA</w:t>
      </w:r>
      <w:r w:rsidRPr="00FA3F9C">
        <w:rPr>
          <w:rFonts w:ascii="Arial" w:hAnsi="Arial" w:cs="Arial"/>
          <w:color w:val="000000"/>
          <w:sz w:val="24"/>
          <w:szCs w:val="24"/>
        </w:rPr>
        <w:t>m</w:t>
      </w:r>
      <w:proofErr w:type="spellEnd"/>
      <w:r w:rsidRPr="00FA3F9C">
        <w:rPr>
          <w:rFonts w:ascii="Arial" w:hAnsi="Arial" w:cs="Arial"/>
          <w:color w:val="000000"/>
          <w:sz w:val="24"/>
          <w:szCs w:val="24"/>
        </w:rPr>
        <w:t xml:space="preserve">) advanced epithelial ovarian, fallopian tube, or primary peritoneal cancer in adult patients who are in complete or partial response to first-line platinum-based chemotherapy. </w:t>
      </w:r>
      <w:r w:rsidRPr="00FA3F9C">
        <w:rPr>
          <w:rFonts w:ascii="Arial" w:hAnsi="Arial" w:cs="Arial"/>
          <w:color w:val="000000"/>
          <w:sz w:val="24"/>
          <w:szCs w:val="24"/>
          <w:highlight w:val="yellow"/>
        </w:rPr>
        <w:t>NOT COVERED</w:t>
      </w:r>
      <w:r w:rsidRPr="00FA3F9C">
        <w:rPr>
          <w:rFonts w:ascii="Arial" w:hAnsi="Arial" w:cs="Arial"/>
          <w:color w:val="000000"/>
          <w:sz w:val="24"/>
          <w:szCs w:val="24"/>
        </w:rPr>
        <w:t xml:space="preserve"> Data is limited to progression free survival benefit at this time. </w:t>
      </w:r>
      <w:r w:rsidRPr="00FA3F9C">
        <w:rPr>
          <w:rFonts w:ascii="Arial" w:hAnsi="Arial" w:cs="Arial"/>
          <w:bCs/>
          <w:color w:val="FF0000"/>
          <w:sz w:val="24"/>
          <w:szCs w:val="24"/>
        </w:rPr>
        <w:t>Benefit compared to placebo is limited to progression free survival only without overall survival or quality of life benefit. (</w:t>
      </w:r>
      <w:proofErr w:type="gramStart"/>
      <w:r w:rsidRPr="00FA3F9C">
        <w:rPr>
          <w:rFonts w:ascii="Arial" w:hAnsi="Arial" w:cs="Arial"/>
          <w:bCs/>
          <w:color w:val="FF0000"/>
          <w:sz w:val="24"/>
          <w:szCs w:val="24"/>
        </w:rPr>
        <w:t>reference</w:t>
      </w:r>
      <w:proofErr w:type="gramEnd"/>
      <w:r w:rsidRPr="00FA3F9C">
        <w:rPr>
          <w:rFonts w:ascii="Arial" w:hAnsi="Arial" w:cs="Arial"/>
          <w:bCs/>
          <w:color w:val="FF0000"/>
          <w:sz w:val="24"/>
          <w:szCs w:val="24"/>
        </w:rPr>
        <w:t xml:space="preserve">: Moore K et al. N </w:t>
      </w:r>
      <w:proofErr w:type="spellStart"/>
      <w:r w:rsidRPr="00FA3F9C">
        <w:rPr>
          <w:rFonts w:ascii="Arial" w:hAnsi="Arial" w:cs="Arial"/>
          <w:bCs/>
          <w:color w:val="FF0000"/>
          <w:sz w:val="24"/>
          <w:szCs w:val="24"/>
        </w:rPr>
        <w:t>Engl</w:t>
      </w:r>
      <w:proofErr w:type="spellEnd"/>
      <w:r w:rsidRPr="00FA3F9C">
        <w:rPr>
          <w:rFonts w:ascii="Arial" w:hAnsi="Arial" w:cs="Arial"/>
          <w:bCs/>
          <w:color w:val="FF0000"/>
          <w:sz w:val="24"/>
          <w:szCs w:val="24"/>
        </w:rPr>
        <w:t xml:space="preserve"> J Med. 2018;379(26):2495-2505. PMID 30345884 NCT01844986)</w:t>
      </w:r>
    </w:p>
    <w:p w14:paraId="761A1EB0" w14:textId="77777777" w:rsidR="009B5AA5" w:rsidRPr="00FA3F9C" w:rsidRDefault="009B5AA5" w:rsidP="00147953">
      <w:pPr>
        <w:pStyle w:val="NormalWeb"/>
        <w:spacing w:before="0" w:beforeAutospacing="0" w:after="0" w:afterAutospacing="0"/>
        <w:ind w:left="400" w:hanging="400"/>
        <w:rPr>
          <w:rFonts w:ascii="Arial" w:hAnsi="Arial" w:cs="Arial"/>
          <w:color w:val="000000"/>
          <w:sz w:val="24"/>
          <w:szCs w:val="24"/>
        </w:rPr>
      </w:pPr>
      <w:r w:rsidRPr="00FA3F9C">
        <w:rPr>
          <w:rFonts w:ascii="Arial" w:hAnsi="Arial" w:cs="Arial"/>
          <w:b/>
          <w:bCs/>
          <w:color w:val="000000"/>
          <w:sz w:val="24"/>
          <w:szCs w:val="24"/>
        </w:rPr>
        <w:t xml:space="preserve">Ovarian cancer, </w:t>
      </w:r>
      <w:r w:rsidRPr="00FA3F9C">
        <w:rPr>
          <w:rFonts w:ascii="Arial" w:hAnsi="Arial" w:cs="Arial"/>
          <w:b/>
          <w:bCs/>
          <w:color w:val="000000"/>
          <w:sz w:val="24"/>
          <w:szCs w:val="24"/>
          <w:u w:val="single"/>
        </w:rPr>
        <w:t>recurrence maintenance therapy</w:t>
      </w:r>
      <w:r w:rsidRPr="00FA3F9C">
        <w:rPr>
          <w:rFonts w:ascii="Arial" w:hAnsi="Arial" w:cs="Arial"/>
          <w:color w:val="000000"/>
          <w:sz w:val="24"/>
          <w:szCs w:val="24"/>
        </w:rPr>
        <w:t xml:space="preserve">: Tablets: Maintenance treatment of recurrent epithelial ovarian, fallopian tube, or primary peritoneal cancer in patients who are in complete or partial response to platinum-based chemotherapy. </w:t>
      </w:r>
      <w:r w:rsidRPr="00FA3F9C">
        <w:rPr>
          <w:rFonts w:ascii="Arial" w:hAnsi="Arial" w:cs="Arial"/>
          <w:color w:val="000000"/>
          <w:sz w:val="24"/>
          <w:szCs w:val="24"/>
          <w:highlight w:val="cyan"/>
        </w:rPr>
        <w:t>COVERAGE LIMITED TO BRCA MUTATION POSITIVE PATIENTS ONLY</w:t>
      </w:r>
    </w:p>
    <w:p w14:paraId="63182E76" w14:textId="77777777" w:rsidR="009B5AA5" w:rsidRPr="00FA3F9C" w:rsidRDefault="009B5AA5" w:rsidP="008F4F09">
      <w:pPr>
        <w:pStyle w:val="NormalWeb"/>
        <w:spacing w:before="0" w:beforeAutospacing="0" w:after="0" w:afterAutospacing="0"/>
        <w:ind w:left="400" w:hanging="400"/>
        <w:rPr>
          <w:rFonts w:ascii="Arial" w:hAnsi="Arial" w:cs="Arial"/>
          <w:color w:val="000000"/>
          <w:sz w:val="24"/>
          <w:szCs w:val="24"/>
        </w:rPr>
      </w:pPr>
      <w:r w:rsidRPr="00FA3F9C">
        <w:rPr>
          <w:rFonts w:ascii="Arial" w:hAnsi="Arial" w:cs="Arial"/>
          <w:b/>
          <w:bCs/>
          <w:color w:val="000000"/>
          <w:sz w:val="24"/>
          <w:szCs w:val="24"/>
        </w:rPr>
        <w:t>Breast cancer, metastatic (BRCA-mutated, HER2-negative):</w:t>
      </w:r>
      <w:r w:rsidRPr="00FA3F9C">
        <w:rPr>
          <w:rFonts w:ascii="Arial" w:hAnsi="Arial" w:cs="Arial"/>
          <w:color w:val="000000"/>
          <w:sz w:val="24"/>
          <w:szCs w:val="24"/>
        </w:rPr>
        <w:t xml:space="preserve"> </w:t>
      </w:r>
    </w:p>
    <w:p w14:paraId="31BB4DB1" w14:textId="77777777" w:rsidR="009B5AA5" w:rsidRPr="00FA3F9C" w:rsidRDefault="009B5AA5" w:rsidP="00FC1E85">
      <w:pPr>
        <w:pStyle w:val="NormalWeb"/>
        <w:numPr>
          <w:ilvl w:val="0"/>
          <w:numId w:val="388"/>
        </w:numPr>
        <w:spacing w:before="0" w:beforeAutospacing="0" w:after="0" w:afterAutospacing="0"/>
        <w:rPr>
          <w:rFonts w:ascii="Arial" w:hAnsi="Arial" w:cs="Arial"/>
          <w:color w:val="000000"/>
          <w:sz w:val="24"/>
          <w:szCs w:val="24"/>
        </w:rPr>
      </w:pPr>
      <w:proofErr w:type="gramStart"/>
      <w:r w:rsidRPr="00FA3F9C">
        <w:rPr>
          <w:rFonts w:ascii="Arial" w:hAnsi="Arial" w:cs="Arial"/>
          <w:color w:val="000000"/>
          <w:sz w:val="24"/>
          <w:szCs w:val="24"/>
          <w:u w:val="single"/>
        </w:rPr>
        <w:t>Early stage</w:t>
      </w:r>
      <w:proofErr w:type="gramEnd"/>
      <w:r w:rsidRPr="00FA3F9C">
        <w:rPr>
          <w:rFonts w:ascii="Arial" w:hAnsi="Arial" w:cs="Arial"/>
          <w:color w:val="000000"/>
          <w:sz w:val="24"/>
          <w:szCs w:val="24"/>
          <w:u w:val="single"/>
        </w:rPr>
        <w:t xml:space="preserve"> breast cancer:</w:t>
      </w:r>
      <w:r w:rsidRPr="00FA3F9C">
        <w:rPr>
          <w:rFonts w:ascii="Arial" w:hAnsi="Arial" w:cs="Arial"/>
          <w:color w:val="000000"/>
          <w:sz w:val="24"/>
          <w:szCs w:val="24"/>
        </w:rPr>
        <w:t xml:space="preserve"> Adjuvant treatment of adult patients with deleterious or suspected deleterious </w:t>
      </w:r>
      <w:proofErr w:type="spellStart"/>
      <w:r w:rsidRPr="00FA3F9C">
        <w:rPr>
          <w:rFonts w:ascii="Arial" w:hAnsi="Arial" w:cs="Arial"/>
          <w:color w:val="000000"/>
          <w:sz w:val="24"/>
          <w:szCs w:val="24"/>
        </w:rPr>
        <w:t>gBRCAm</w:t>
      </w:r>
      <w:proofErr w:type="spellEnd"/>
      <w:r w:rsidRPr="00FA3F9C">
        <w:rPr>
          <w:rFonts w:ascii="Arial" w:hAnsi="Arial" w:cs="Arial"/>
          <w:color w:val="000000"/>
          <w:sz w:val="24"/>
          <w:szCs w:val="24"/>
        </w:rPr>
        <w:t xml:space="preserve">, human epidermal growth factor receptor 2 (HER2)-negative high risk early breast cancer who have been treated with </w:t>
      </w:r>
      <w:r w:rsidRPr="00FA3F9C">
        <w:rPr>
          <w:rFonts w:ascii="Arial" w:hAnsi="Arial" w:cs="Arial"/>
          <w:color w:val="000000"/>
          <w:sz w:val="24"/>
          <w:szCs w:val="24"/>
        </w:rPr>
        <w:lastRenderedPageBreak/>
        <w:t>neoadjuvant or adjuvant chemotherapy. Select patients for therapy based on an FDA-approved companion diagnostic for Lynparza.</w:t>
      </w:r>
      <w:r w:rsidRPr="00FA3F9C">
        <w:rPr>
          <w:rFonts w:ascii="Arial" w:hAnsi="Arial" w:cs="Arial"/>
          <w:color w:val="000000"/>
          <w:sz w:val="24"/>
          <w:szCs w:val="24"/>
          <w:highlight w:val="cyan"/>
        </w:rPr>
        <w:t xml:space="preserve"> SEE CRITERIA</w:t>
      </w:r>
    </w:p>
    <w:p w14:paraId="79A05D8F" w14:textId="77777777" w:rsidR="009B5AA5" w:rsidRPr="00FA3F9C" w:rsidRDefault="009B5AA5" w:rsidP="00FC1E85">
      <w:pPr>
        <w:pStyle w:val="NormalWeb"/>
        <w:numPr>
          <w:ilvl w:val="0"/>
          <w:numId w:val="388"/>
        </w:numPr>
        <w:spacing w:before="0" w:beforeAutospacing="0" w:after="0" w:afterAutospacing="0"/>
        <w:rPr>
          <w:rFonts w:ascii="Arial" w:hAnsi="Arial" w:cs="Arial"/>
          <w:color w:val="000000"/>
          <w:sz w:val="24"/>
          <w:szCs w:val="24"/>
        </w:rPr>
      </w:pPr>
      <w:r w:rsidRPr="00FA3F9C">
        <w:rPr>
          <w:rFonts w:ascii="Arial" w:hAnsi="Arial" w:cs="Arial"/>
          <w:color w:val="000000"/>
          <w:sz w:val="24"/>
          <w:szCs w:val="24"/>
          <w:u w:val="single"/>
        </w:rPr>
        <w:t>Metastatic breast cancer:</w:t>
      </w:r>
      <w:r w:rsidRPr="00FA3F9C">
        <w:rPr>
          <w:rFonts w:ascii="Arial" w:hAnsi="Arial" w:cs="Arial"/>
          <w:color w:val="000000"/>
          <w:sz w:val="24"/>
          <w:szCs w:val="24"/>
        </w:rPr>
        <w:t xml:space="preserve"> Treatment of deleterious or suspected deleterious germline BRCA-mutated (</w:t>
      </w:r>
      <w:proofErr w:type="spellStart"/>
      <w:r w:rsidRPr="00FA3F9C">
        <w:rPr>
          <w:rFonts w:ascii="Arial" w:hAnsi="Arial" w:cs="Arial"/>
          <w:color w:val="000000"/>
          <w:sz w:val="24"/>
          <w:szCs w:val="24"/>
        </w:rPr>
        <w:t>g</w:t>
      </w:r>
      <w:r w:rsidRPr="00FA3F9C">
        <w:rPr>
          <w:rFonts w:ascii="Arial" w:hAnsi="Arial" w:cs="Arial"/>
          <w:i/>
          <w:iCs/>
          <w:color w:val="000000"/>
          <w:sz w:val="24"/>
          <w:szCs w:val="24"/>
        </w:rPr>
        <w:t>BRCA</w:t>
      </w:r>
      <w:r w:rsidRPr="00FA3F9C">
        <w:rPr>
          <w:rFonts w:ascii="Arial" w:hAnsi="Arial" w:cs="Arial"/>
          <w:color w:val="000000"/>
          <w:sz w:val="24"/>
          <w:szCs w:val="24"/>
        </w:rPr>
        <w:t>m</w:t>
      </w:r>
      <w:proofErr w:type="spellEnd"/>
      <w:r w:rsidRPr="00FA3F9C">
        <w:rPr>
          <w:rFonts w:ascii="Arial" w:hAnsi="Arial" w:cs="Arial"/>
          <w:color w:val="000000"/>
          <w:sz w:val="24"/>
          <w:szCs w:val="24"/>
        </w:rPr>
        <w:t xml:space="preserve">), HER2-negative metastatic breast cancer in patients who have been treated with chemotherapy in the neoadjuvant, adjuvant, or metastatic setting; patients with hormone receptor-positive disease should have received a prior endocrine therapy (or be considered inappropriate for endocrine therapy) </w:t>
      </w:r>
      <w:r w:rsidRPr="00FA3F9C">
        <w:rPr>
          <w:rFonts w:ascii="Arial" w:hAnsi="Arial" w:cs="Arial"/>
          <w:color w:val="000000"/>
          <w:sz w:val="24"/>
          <w:szCs w:val="24"/>
          <w:highlight w:val="cyan"/>
        </w:rPr>
        <w:t>SEE CRITERIA</w:t>
      </w:r>
    </w:p>
    <w:p w14:paraId="1832241F" w14:textId="77777777" w:rsidR="009B5AA5" w:rsidRPr="00FA3F9C" w:rsidRDefault="009B5AA5" w:rsidP="00D122C7">
      <w:pPr>
        <w:spacing w:after="0"/>
        <w:ind w:left="360" w:hanging="360"/>
        <w:rPr>
          <w:rFonts w:ascii="Arial" w:hAnsi="Arial" w:cs="Arial"/>
          <w:sz w:val="24"/>
          <w:szCs w:val="24"/>
        </w:rPr>
      </w:pPr>
      <w:r w:rsidRPr="00FA3F9C">
        <w:rPr>
          <w:rFonts w:ascii="Arial" w:hAnsi="Arial" w:cs="Arial"/>
          <w:b/>
          <w:bCs/>
          <w:color w:val="000000"/>
          <w:sz w:val="24"/>
          <w:szCs w:val="24"/>
        </w:rPr>
        <w:t>Pancreatic Cancer</w:t>
      </w:r>
      <w:r w:rsidRPr="00FA3F9C">
        <w:rPr>
          <w:rFonts w:ascii="Arial" w:hAnsi="Arial" w:cs="Arial"/>
          <w:color w:val="000000"/>
          <w:sz w:val="24"/>
          <w:szCs w:val="24"/>
        </w:rPr>
        <w:t xml:space="preserve">: maintenance treatment of adults with deleterious or suspected deleterious </w:t>
      </w:r>
      <w:proofErr w:type="spellStart"/>
      <w:r w:rsidRPr="00FA3F9C">
        <w:rPr>
          <w:rFonts w:ascii="Arial" w:hAnsi="Arial" w:cs="Arial"/>
          <w:color w:val="000000"/>
          <w:sz w:val="24"/>
          <w:szCs w:val="24"/>
        </w:rPr>
        <w:t>gBRCAm</w:t>
      </w:r>
      <w:proofErr w:type="spellEnd"/>
      <w:r w:rsidRPr="00FA3F9C">
        <w:rPr>
          <w:rFonts w:ascii="Arial" w:hAnsi="Arial" w:cs="Arial"/>
          <w:color w:val="000000"/>
          <w:sz w:val="24"/>
          <w:szCs w:val="24"/>
        </w:rPr>
        <w:t xml:space="preserve"> metastatic pancreatic adenocarcinoma whose disease has not progressed on at least 16 weeks of a first-line platinum-based chemotherapy regimen. </w:t>
      </w:r>
      <w:r w:rsidRPr="00FA3F9C">
        <w:rPr>
          <w:rFonts w:ascii="Arial" w:hAnsi="Arial" w:cs="Arial"/>
          <w:color w:val="000000"/>
          <w:sz w:val="24"/>
          <w:szCs w:val="24"/>
          <w:highlight w:val="yellow"/>
        </w:rPr>
        <w:t>NOT COVERED</w:t>
      </w:r>
      <w:r w:rsidRPr="00FA3F9C">
        <w:rPr>
          <w:rFonts w:ascii="Arial" w:hAnsi="Arial" w:cs="Arial"/>
          <w:color w:val="000000"/>
          <w:sz w:val="24"/>
          <w:szCs w:val="24"/>
        </w:rPr>
        <w:t xml:space="preserve"> Use in this population improved progression free survival by 3.6 months compared with placebo (7.4 </w:t>
      </w:r>
      <w:proofErr w:type="spellStart"/>
      <w:r w:rsidRPr="00FA3F9C">
        <w:rPr>
          <w:rFonts w:ascii="Arial" w:hAnsi="Arial" w:cs="Arial"/>
          <w:color w:val="000000"/>
          <w:sz w:val="24"/>
          <w:szCs w:val="24"/>
        </w:rPr>
        <w:t>mo</w:t>
      </w:r>
      <w:proofErr w:type="spellEnd"/>
      <w:r w:rsidRPr="00FA3F9C">
        <w:rPr>
          <w:rFonts w:ascii="Arial" w:hAnsi="Arial" w:cs="Arial"/>
          <w:color w:val="000000"/>
          <w:sz w:val="24"/>
          <w:szCs w:val="24"/>
        </w:rPr>
        <w:t xml:space="preserve"> vs 3.8 </w:t>
      </w:r>
      <w:proofErr w:type="spellStart"/>
      <w:r w:rsidRPr="00FA3F9C">
        <w:rPr>
          <w:rFonts w:ascii="Arial" w:hAnsi="Arial" w:cs="Arial"/>
          <w:color w:val="000000"/>
          <w:sz w:val="24"/>
          <w:szCs w:val="24"/>
        </w:rPr>
        <w:t>mo</w:t>
      </w:r>
      <w:proofErr w:type="spellEnd"/>
      <w:r w:rsidRPr="00FA3F9C">
        <w:rPr>
          <w:rFonts w:ascii="Arial" w:hAnsi="Arial" w:cs="Arial"/>
          <w:color w:val="000000"/>
          <w:sz w:val="24"/>
          <w:szCs w:val="24"/>
        </w:rPr>
        <w:t xml:space="preserve">). An overall survival benefit has not been demonstrated to date. No differences in quality of life compared to placebo. References: </w:t>
      </w:r>
      <w:r w:rsidRPr="00FA3F9C">
        <w:rPr>
          <w:rFonts w:ascii="Arial" w:hAnsi="Arial" w:cs="Arial"/>
          <w:sz w:val="24"/>
          <w:szCs w:val="24"/>
        </w:rPr>
        <w:t xml:space="preserve">Golan T et al. N </w:t>
      </w:r>
      <w:proofErr w:type="spellStart"/>
      <w:r w:rsidRPr="00FA3F9C">
        <w:rPr>
          <w:rFonts w:ascii="Arial" w:hAnsi="Arial" w:cs="Arial"/>
          <w:sz w:val="24"/>
          <w:szCs w:val="24"/>
        </w:rPr>
        <w:t>Engl</w:t>
      </w:r>
      <w:proofErr w:type="spellEnd"/>
      <w:r w:rsidRPr="00FA3F9C">
        <w:rPr>
          <w:rFonts w:ascii="Arial" w:hAnsi="Arial" w:cs="Arial"/>
          <w:sz w:val="24"/>
          <w:szCs w:val="24"/>
        </w:rPr>
        <w:t xml:space="preserve"> J Med 2019; 381:317-327. PMID 31157963/ NCT02184195; Hall MJ et al. J Clin Oncol 38, 2020 (suppl 4; </w:t>
      </w:r>
      <w:proofErr w:type="spellStart"/>
      <w:r w:rsidRPr="00FA3F9C">
        <w:rPr>
          <w:rFonts w:ascii="Arial" w:hAnsi="Arial" w:cs="Arial"/>
          <w:sz w:val="24"/>
          <w:szCs w:val="24"/>
        </w:rPr>
        <w:t>abstr</w:t>
      </w:r>
      <w:proofErr w:type="spellEnd"/>
      <w:r w:rsidRPr="00FA3F9C">
        <w:rPr>
          <w:rFonts w:ascii="Arial" w:hAnsi="Arial" w:cs="Arial"/>
          <w:sz w:val="24"/>
          <w:szCs w:val="24"/>
        </w:rPr>
        <w:t xml:space="preserve"> 648) https://meetinglibrary.asco.org/record/182333/abstract.</w:t>
      </w:r>
    </w:p>
    <w:p w14:paraId="56A085C3" w14:textId="77777777" w:rsidR="009B5AA5" w:rsidRPr="00FA3F9C" w:rsidRDefault="009B5AA5" w:rsidP="00D122C7">
      <w:pPr>
        <w:spacing w:after="0"/>
        <w:ind w:left="360" w:hanging="360"/>
        <w:rPr>
          <w:rFonts w:ascii="Arial" w:hAnsi="Arial" w:cs="Arial"/>
          <w:color w:val="000000"/>
          <w:sz w:val="24"/>
          <w:szCs w:val="24"/>
        </w:rPr>
      </w:pPr>
      <w:r w:rsidRPr="00FA3F9C">
        <w:rPr>
          <w:rFonts w:ascii="Arial" w:hAnsi="Arial" w:cs="Arial"/>
          <w:b/>
          <w:sz w:val="24"/>
          <w:szCs w:val="24"/>
        </w:rPr>
        <w:t xml:space="preserve">Prostate Cancer: </w:t>
      </w:r>
      <w:r w:rsidRPr="00FA3F9C">
        <w:rPr>
          <w:rFonts w:ascii="Arial" w:hAnsi="Arial" w:cs="Arial"/>
          <w:sz w:val="24"/>
          <w:szCs w:val="24"/>
        </w:rPr>
        <w:t>for the treatment of adult patients with deleterious or suspected deleterious germline or somatic homologous recombination repair (HRR) gene-mutated metastatic castration-resistant prostate cancer (</w:t>
      </w:r>
      <w:proofErr w:type="spellStart"/>
      <w:r w:rsidRPr="00FA3F9C">
        <w:rPr>
          <w:rFonts w:ascii="Arial" w:hAnsi="Arial" w:cs="Arial"/>
          <w:sz w:val="24"/>
          <w:szCs w:val="24"/>
        </w:rPr>
        <w:t>mCRPC</w:t>
      </w:r>
      <w:proofErr w:type="spellEnd"/>
      <w:r w:rsidRPr="00FA3F9C">
        <w:rPr>
          <w:rFonts w:ascii="Arial" w:hAnsi="Arial" w:cs="Arial"/>
          <w:sz w:val="24"/>
          <w:szCs w:val="24"/>
        </w:rPr>
        <w:t xml:space="preserve">) who have progressed following prior treatment with enzalutamide or abiraterone. </w:t>
      </w:r>
      <w:r w:rsidRPr="00FA3F9C">
        <w:rPr>
          <w:rFonts w:ascii="Arial" w:hAnsi="Arial" w:cs="Arial"/>
          <w:color w:val="000000"/>
          <w:sz w:val="24"/>
          <w:szCs w:val="24"/>
          <w:highlight w:val="cyan"/>
        </w:rPr>
        <w:t>SEE CRITERIA</w:t>
      </w:r>
    </w:p>
    <w:p w14:paraId="67387523" w14:textId="77777777" w:rsidR="009B5AA5" w:rsidRPr="00FA3F9C" w:rsidRDefault="009B5AA5" w:rsidP="00D122C7">
      <w:pPr>
        <w:spacing w:after="0"/>
        <w:ind w:left="360" w:hanging="360"/>
        <w:rPr>
          <w:rFonts w:ascii="Arial" w:hAnsi="Arial" w:cs="Arial"/>
          <w:sz w:val="24"/>
          <w:szCs w:val="24"/>
        </w:rPr>
      </w:pPr>
    </w:p>
    <w:p w14:paraId="7BF29DBF" w14:textId="77777777" w:rsidR="009B5AA5" w:rsidRPr="00FA3F9C" w:rsidRDefault="009B5AA5" w:rsidP="00D122C7">
      <w:pPr>
        <w:spacing w:after="0"/>
        <w:ind w:left="360" w:hanging="360"/>
        <w:rPr>
          <w:rFonts w:ascii="Arial" w:hAnsi="Arial" w:cs="Arial"/>
          <w:sz w:val="24"/>
          <w:szCs w:val="24"/>
        </w:rPr>
      </w:pPr>
    </w:p>
    <w:p w14:paraId="259AA704" w14:textId="77777777" w:rsidR="009B5AA5" w:rsidRPr="00FA3F9C" w:rsidRDefault="009B5AA5" w:rsidP="00D122C7">
      <w:pPr>
        <w:spacing w:after="0"/>
        <w:ind w:left="360" w:hanging="360"/>
        <w:rPr>
          <w:rFonts w:ascii="Arial" w:hAnsi="Arial" w:cs="Arial"/>
          <w:sz w:val="24"/>
          <w:szCs w:val="24"/>
        </w:rPr>
      </w:pPr>
    </w:p>
    <w:p w14:paraId="39061D65" w14:textId="77777777" w:rsidR="009B5AA5" w:rsidRPr="00FA3F9C" w:rsidRDefault="009B5AA5" w:rsidP="00D122C7">
      <w:pPr>
        <w:spacing w:after="0"/>
        <w:ind w:left="360" w:hanging="360"/>
        <w:rPr>
          <w:rFonts w:ascii="Arial" w:hAnsi="Arial" w:cs="Arial"/>
          <w:sz w:val="24"/>
          <w:szCs w:val="24"/>
        </w:rPr>
      </w:pPr>
    </w:p>
    <w:p w14:paraId="3AA27678" w14:textId="77777777" w:rsidR="009B5AA5" w:rsidRPr="00FA3F9C" w:rsidRDefault="009B5AA5" w:rsidP="00D122C7">
      <w:pPr>
        <w:spacing w:after="0"/>
        <w:ind w:left="360" w:hanging="360"/>
        <w:rPr>
          <w:rFonts w:ascii="Arial" w:hAnsi="Arial" w:cs="Arial"/>
          <w:sz w:val="24"/>
          <w:szCs w:val="24"/>
        </w:rPr>
      </w:pPr>
    </w:p>
    <w:p w14:paraId="05A7BE14" w14:textId="77777777" w:rsidR="009B5AA5" w:rsidRPr="00FA3F9C" w:rsidRDefault="009B5AA5" w:rsidP="00D122C7">
      <w:pPr>
        <w:spacing w:after="0"/>
        <w:ind w:left="360" w:hanging="360"/>
        <w:rPr>
          <w:rFonts w:ascii="Arial" w:hAnsi="Arial" w:cs="Arial"/>
          <w:sz w:val="24"/>
          <w:szCs w:val="24"/>
        </w:rPr>
      </w:pPr>
    </w:p>
    <w:p w14:paraId="0F33A8A3" w14:textId="77777777" w:rsidR="009B5AA5" w:rsidRPr="00FA3F9C" w:rsidRDefault="009B5AA5" w:rsidP="008F4F09">
      <w:pPr>
        <w:pStyle w:val="NormalWeb"/>
        <w:spacing w:before="0" w:beforeAutospacing="0" w:after="0" w:afterAutospacing="0"/>
        <w:ind w:left="400" w:hanging="400"/>
        <w:rPr>
          <w:rFonts w:ascii="Arial" w:hAnsi="Arial" w:cs="Arial"/>
          <w:color w:val="000000"/>
          <w:sz w:val="24"/>
          <w:szCs w:val="24"/>
        </w:rPr>
      </w:pPr>
    </w:p>
    <w:tbl>
      <w:tblPr>
        <w:tblStyle w:val="TableGrid"/>
        <w:tblW w:w="0" w:type="auto"/>
        <w:tblLook w:val="04A0" w:firstRow="1" w:lastRow="0" w:firstColumn="1" w:lastColumn="0" w:noHBand="0" w:noVBand="1"/>
      </w:tblPr>
      <w:tblGrid>
        <w:gridCol w:w="8397"/>
        <w:gridCol w:w="2619"/>
      </w:tblGrid>
      <w:tr w:rsidR="009B5AA5" w:rsidRPr="00FA3F9C" w14:paraId="7206EBB7" w14:textId="77777777" w:rsidTr="00F425F7">
        <w:tc>
          <w:tcPr>
            <w:tcW w:w="8397" w:type="dxa"/>
            <w:shd w:val="clear" w:color="auto" w:fill="000000"/>
          </w:tcPr>
          <w:p w14:paraId="4BD91E80" w14:textId="77777777" w:rsidR="009B5AA5" w:rsidRPr="00FA3F9C" w:rsidRDefault="009B5AA5" w:rsidP="00F425F7">
            <w:pPr>
              <w:rPr>
                <w:rFonts w:ascii="Arial" w:hAnsi="Arial" w:cs="Arial"/>
                <w:b/>
                <w:sz w:val="24"/>
                <w:szCs w:val="24"/>
                <w:u w:val="single"/>
              </w:rPr>
            </w:pPr>
            <w:proofErr w:type="gramStart"/>
            <w:r w:rsidRPr="00FA3F9C">
              <w:rPr>
                <w:rFonts w:ascii="Arial" w:hAnsi="Arial" w:cs="Arial"/>
                <w:b/>
                <w:sz w:val="24"/>
                <w:szCs w:val="24"/>
                <w:u w:val="single"/>
              </w:rPr>
              <w:t>EARLY STAGE</w:t>
            </w:r>
            <w:proofErr w:type="gramEnd"/>
            <w:r w:rsidRPr="00FA3F9C">
              <w:rPr>
                <w:rFonts w:ascii="Arial" w:hAnsi="Arial" w:cs="Arial"/>
                <w:b/>
                <w:sz w:val="24"/>
                <w:szCs w:val="24"/>
                <w:u w:val="single"/>
              </w:rPr>
              <w:t xml:space="preserve"> BREAST CANCER: Criteria for new users</w:t>
            </w:r>
          </w:p>
        </w:tc>
        <w:tc>
          <w:tcPr>
            <w:tcW w:w="2393" w:type="dxa"/>
            <w:shd w:val="clear" w:color="auto" w:fill="000000"/>
          </w:tcPr>
          <w:p w14:paraId="6373F18F" w14:textId="77777777" w:rsidR="009B5AA5" w:rsidRPr="00FA3F9C" w:rsidRDefault="009B5AA5" w:rsidP="00F425F7">
            <w:pPr>
              <w:jc w:val="center"/>
              <w:rPr>
                <w:rFonts w:ascii="Arial" w:hAnsi="Arial" w:cs="Arial"/>
                <w:b/>
                <w:sz w:val="24"/>
                <w:szCs w:val="24"/>
                <w:u w:val="single"/>
              </w:rPr>
            </w:pPr>
          </w:p>
        </w:tc>
      </w:tr>
      <w:tr w:rsidR="009B5AA5" w:rsidRPr="00FA3F9C" w14:paraId="6D2B5404" w14:textId="77777777" w:rsidTr="00F425F7">
        <w:tc>
          <w:tcPr>
            <w:tcW w:w="11016" w:type="dxa"/>
            <w:gridSpan w:val="2"/>
          </w:tcPr>
          <w:p w14:paraId="0E8DB37C" w14:textId="77777777" w:rsidR="009B5AA5" w:rsidRPr="00FA3F9C" w:rsidRDefault="009B5AA5" w:rsidP="00FC1E85">
            <w:pPr>
              <w:pStyle w:val="ListParagraph"/>
              <w:numPr>
                <w:ilvl w:val="0"/>
                <w:numId w:val="383"/>
              </w:numPr>
              <w:ind w:left="247" w:hanging="270"/>
              <w:rPr>
                <w:rFonts w:ascii="Arial" w:hAnsi="Arial" w:cs="Arial"/>
                <w:sz w:val="24"/>
                <w:szCs w:val="24"/>
              </w:rPr>
            </w:pPr>
            <w:r w:rsidRPr="00FA3F9C">
              <w:rPr>
                <w:rFonts w:ascii="Arial" w:hAnsi="Arial" w:cs="Arial"/>
                <w:sz w:val="24"/>
                <w:szCs w:val="24"/>
              </w:rPr>
              <w:t>Diagnosis of invasive breast cancer</w:t>
            </w:r>
          </w:p>
        </w:tc>
      </w:tr>
      <w:tr w:rsidR="009B5AA5" w:rsidRPr="00FA3F9C" w14:paraId="5206BCAC" w14:textId="77777777" w:rsidTr="00F425F7">
        <w:tc>
          <w:tcPr>
            <w:tcW w:w="11016" w:type="dxa"/>
            <w:gridSpan w:val="2"/>
          </w:tcPr>
          <w:p w14:paraId="32431198" w14:textId="77777777" w:rsidR="009B5AA5" w:rsidRPr="00FA3F9C" w:rsidRDefault="009B5AA5" w:rsidP="00FC1E85">
            <w:pPr>
              <w:pStyle w:val="ListParagraph"/>
              <w:numPr>
                <w:ilvl w:val="0"/>
                <w:numId w:val="383"/>
              </w:numPr>
              <w:ind w:left="247" w:hanging="270"/>
              <w:rPr>
                <w:rFonts w:ascii="Arial" w:hAnsi="Arial" w:cs="Arial"/>
                <w:sz w:val="24"/>
                <w:szCs w:val="24"/>
              </w:rPr>
            </w:pPr>
            <w:r w:rsidRPr="00FA3F9C">
              <w:rPr>
                <w:rFonts w:ascii="Arial" w:hAnsi="Arial" w:cs="Arial"/>
                <w:sz w:val="24"/>
                <w:szCs w:val="24"/>
              </w:rPr>
              <w:t>No evidence of metastatic disease</w:t>
            </w:r>
          </w:p>
        </w:tc>
      </w:tr>
      <w:tr w:rsidR="009B5AA5" w:rsidRPr="00FA3F9C" w14:paraId="5BAE7304" w14:textId="77777777" w:rsidTr="00F425F7">
        <w:tc>
          <w:tcPr>
            <w:tcW w:w="11016" w:type="dxa"/>
            <w:gridSpan w:val="2"/>
          </w:tcPr>
          <w:p w14:paraId="6781051F" w14:textId="77777777" w:rsidR="009B5AA5" w:rsidRPr="00FA3F9C" w:rsidRDefault="009B5AA5" w:rsidP="00FC1E85">
            <w:pPr>
              <w:pStyle w:val="ListParagraph"/>
              <w:numPr>
                <w:ilvl w:val="0"/>
                <w:numId w:val="383"/>
              </w:numPr>
              <w:ind w:left="247" w:hanging="270"/>
              <w:rPr>
                <w:rFonts w:ascii="Arial" w:hAnsi="Arial" w:cs="Arial"/>
                <w:sz w:val="24"/>
                <w:szCs w:val="24"/>
              </w:rPr>
            </w:pPr>
            <w:r w:rsidRPr="00FA3F9C">
              <w:rPr>
                <w:rFonts w:ascii="Arial" w:hAnsi="Arial" w:cs="Arial"/>
                <w:sz w:val="24"/>
                <w:szCs w:val="24"/>
              </w:rPr>
              <w:t>Documented deleterious or suspected deleterious germline BRCA mutation</w:t>
            </w:r>
          </w:p>
        </w:tc>
      </w:tr>
      <w:tr w:rsidR="009B5AA5" w:rsidRPr="00FA3F9C" w14:paraId="04676457" w14:textId="77777777" w:rsidTr="00F425F7">
        <w:tc>
          <w:tcPr>
            <w:tcW w:w="11016" w:type="dxa"/>
            <w:gridSpan w:val="2"/>
          </w:tcPr>
          <w:p w14:paraId="4E7F4ADA" w14:textId="77777777" w:rsidR="009B5AA5" w:rsidRPr="00FA3F9C" w:rsidRDefault="009B5AA5" w:rsidP="00FC1E85">
            <w:pPr>
              <w:pStyle w:val="ListParagraph"/>
              <w:numPr>
                <w:ilvl w:val="0"/>
                <w:numId w:val="383"/>
              </w:numPr>
              <w:ind w:left="247" w:hanging="270"/>
              <w:rPr>
                <w:rFonts w:ascii="Arial" w:hAnsi="Arial" w:cs="Arial"/>
                <w:sz w:val="24"/>
                <w:szCs w:val="24"/>
              </w:rPr>
            </w:pPr>
            <w:r w:rsidRPr="00FA3F9C">
              <w:rPr>
                <w:rFonts w:ascii="Arial" w:hAnsi="Arial" w:cs="Arial"/>
                <w:sz w:val="24"/>
                <w:szCs w:val="24"/>
              </w:rPr>
              <w:t>Tumor is HER2/neu negative</w:t>
            </w:r>
          </w:p>
        </w:tc>
      </w:tr>
      <w:tr w:rsidR="009B5AA5" w:rsidRPr="00FA3F9C" w14:paraId="2CE633E1" w14:textId="77777777" w:rsidTr="00F425F7">
        <w:tc>
          <w:tcPr>
            <w:tcW w:w="11016" w:type="dxa"/>
            <w:gridSpan w:val="2"/>
          </w:tcPr>
          <w:p w14:paraId="0D811A9A" w14:textId="77777777" w:rsidR="009B5AA5" w:rsidRPr="00FA3F9C" w:rsidRDefault="009B5AA5" w:rsidP="00FC1E85">
            <w:pPr>
              <w:pStyle w:val="ListParagraph"/>
              <w:numPr>
                <w:ilvl w:val="0"/>
                <w:numId w:val="383"/>
              </w:numPr>
              <w:ind w:left="247" w:hanging="270"/>
              <w:rPr>
                <w:rFonts w:ascii="Arial" w:hAnsi="Arial" w:cs="Arial"/>
                <w:sz w:val="24"/>
                <w:szCs w:val="24"/>
              </w:rPr>
            </w:pPr>
            <w:r w:rsidRPr="00FA3F9C">
              <w:rPr>
                <w:rFonts w:ascii="Arial" w:hAnsi="Arial" w:cs="Arial"/>
                <w:sz w:val="24"/>
                <w:szCs w:val="24"/>
              </w:rPr>
              <w:t>Patient has received prior neoadjuvant or adjuvant chemotherapy along with surgical resection</w:t>
            </w:r>
          </w:p>
        </w:tc>
      </w:tr>
      <w:tr w:rsidR="009B5AA5" w:rsidRPr="00FA3F9C" w14:paraId="068316EB" w14:textId="77777777" w:rsidTr="00F425F7">
        <w:tc>
          <w:tcPr>
            <w:tcW w:w="11016" w:type="dxa"/>
            <w:gridSpan w:val="2"/>
          </w:tcPr>
          <w:p w14:paraId="1660FF7B" w14:textId="77777777" w:rsidR="009B5AA5" w:rsidRPr="00FA3F9C" w:rsidRDefault="009B5AA5" w:rsidP="00FC1E85">
            <w:pPr>
              <w:pStyle w:val="ListParagraph"/>
              <w:numPr>
                <w:ilvl w:val="0"/>
                <w:numId w:val="383"/>
              </w:numPr>
              <w:ind w:left="247" w:hanging="270"/>
              <w:rPr>
                <w:rFonts w:ascii="Arial" w:hAnsi="Arial" w:cs="Arial"/>
                <w:sz w:val="24"/>
                <w:szCs w:val="24"/>
              </w:rPr>
            </w:pPr>
            <w:r w:rsidRPr="00FA3F9C">
              <w:rPr>
                <w:rFonts w:ascii="Arial" w:hAnsi="Arial" w:cs="Arial"/>
                <w:sz w:val="24"/>
                <w:szCs w:val="24"/>
              </w:rPr>
              <w:t xml:space="preserve">If diagnosis is triple negative adenocarcinoma, pathology showed </w:t>
            </w:r>
            <w:r w:rsidRPr="00FA3F9C">
              <w:rPr>
                <w:rFonts w:ascii="Arial" w:hAnsi="Arial" w:cs="Arial"/>
                <w:b/>
                <w:sz w:val="24"/>
                <w:szCs w:val="24"/>
                <w:u w:val="single"/>
              </w:rPr>
              <w:t>ONE</w:t>
            </w:r>
            <w:r w:rsidRPr="00FA3F9C">
              <w:rPr>
                <w:rFonts w:ascii="Arial" w:hAnsi="Arial" w:cs="Arial"/>
                <w:sz w:val="24"/>
                <w:szCs w:val="24"/>
              </w:rPr>
              <w:t xml:space="preserve"> of the following:</w:t>
            </w:r>
          </w:p>
          <w:p w14:paraId="2235C2C4" w14:textId="77777777" w:rsidR="009B5AA5" w:rsidRPr="00FA3F9C" w:rsidRDefault="009B5AA5" w:rsidP="00807C32">
            <w:pPr>
              <w:pStyle w:val="ListParagraph"/>
              <w:ind w:left="247"/>
              <w:rPr>
                <w:rFonts w:ascii="Arial" w:hAnsi="Arial" w:cs="Arial"/>
                <w:sz w:val="24"/>
                <w:szCs w:val="24"/>
              </w:rPr>
            </w:pPr>
            <w:r w:rsidRPr="00FA3F9C">
              <w:rPr>
                <w:rFonts w:ascii="Arial" w:hAnsi="Arial" w:cs="Arial"/>
                <w:sz w:val="24"/>
                <w:szCs w:val="24"/>
              </w:rPr>
              <w:t>-axillary lymph node positive</w:t>
            </w:r>
          </w:p>
          <w:p w14:paraId="037D8BB5" w14:textId="77777777" w:rsidR="009B5AA5" w:rsidRPr="00FA3F9C" w:rsidRDefault="009B5AA5" w:rsidP="00807C32">
            <w:pPr>
              <w:pStyle w:val="ListParagraph"/>
              <w:ind w:left="247"/>
              <w:rPr>
                <w:rFonts w:ascii="Arial" w:hAnsi="Arial" w:cs="Arial"/>
                <w:sz w:val="24"/>
                <w:szCs w:val="24"/>
              </w:rPr>
            </w:pPr>
            <w:r w:rsidRPr="00FA3F9C">
              <w:rPr>
                <w:rFonts w:ascii="Arial" w:hAnsi="Arial" w:cs="Arial"/>
                <w:sz w:val="24"/>
                <w:szCs w:val="24"/>
              </w:rPr>
              <w:t>-tumor size is greater than 2 cm</w:t>
            </w:r>
          </w:p>
          <w:p w14:paraId="02656291" w14:textId="77777777" w:rsidR="009B5AA5" w:rsidRPr="00FA3F9C" w:rsidRDefault="009B5AA5" w:rsidP="00BB74F5">
            <w:pPr>
              <w:pStyle w:val="ListParagraph"/>
              <w:ind w:left="247"/>
              <w:rPr>
                <w:rFonts w:ascii="Arial" w:hAnsi="Arial" w:cs="Arial"/>
                <w:sz w:val="24"/>
                <w:szCs w:val="24"/>
              </w:rPr>
            </w:pPr>
            <w:r w:rsidRPr="00FA3F9C">
              <w:rPr>
                <w:rFonts w:ascii="Arial" w:hAnsi="Arial" w:cs="Arial"/>
                <w:sz w:val="24"/>
                <w:szCs w:val="24"/>
              </w:rPr>
              <w:lastRenderedPageBreak/>
              <w:t>-if patient received neoadjuvant (preoperative) chemotherapy, residual tumor was present on surgical specimen (</w:t>
            </w:r>
            <w:proofErr w:type="gramStart"/>
            <w:r w:rsidRPr="00FA3F9C">
              <w:rPr>
                <w:rFonts w:ascii="Arial" w:hAnsi="Arial" w:cs="Arial"/>
                <w:sz w:val="24"/>
                <w:szCs w:val="24"/>
              </w:rPr>
              <w:t>i.e.</w:t>
            </w:r>
            <w:proofErr w:type="gramEnd"/>
            <w:r w:rsidRPr="00FA3F9C">
              <w:rPr>
                <w:rFonts w:ascii="Arial" w:hAnsi="Arial" w:cs="Arial"/>
                <w:sz w:val="24"/>
                <w:szCs w:val="24"/>
              </w:rPr>
              <w:t xml:space="preserve"> lack of pathological complete response, or </w:t>
            </w:r>
            <w:proofErr w:type="spellStart"/>
            <w:r w:rsidRPr="00FA3F9C">
              <w:rPr>
                <w:rFonts w:ascii="Arial" w:hAnsi="Arial" w:cs="Arial"/>
                <w:sz w:val="24"/>
                <w:szCs w:val="24"/>
              </w:rPr>
              <w:t>pCR</w:t>
            </w:r>
            <w:proofErr w:type="spellEnd"/>
            <w:r w:rsidRPr="00FA3F9C">
              <w:rPr>
                <w:rFonts w:ascii="Arial" w:hAnsi="Arial" w:cs="Arial"/>
                <w:sz w:val="24"/>
                <w:szCs w:val="24"/>
              </w:rPr>
              <w:t>)</w:t>
            </w:r>
          </w:p>
        </w:tc>
      </w:tr>
      <w:tr w:rsidR="009B5AA5" w:rsidRPr="00FA3F9C" w14:paraId="640351F3" w14:textId="77777777" w:rsidTr="00F425F7">
        <w:tc>
          <w:tcPr>
            <w:tcW w:w="10790" w:type="dxa"/>
            <w:gridSpan w:val="2"/>
          </w:tcPr>
          <w:p w14:paraId="6E12D85D" w14:textId="77777777" w:rsidR="009B5AA5" w:rsidRPr="00FA3F9C" w:rsidRDefault="009B5AA5" w:rsidP="00FC1E85">
            <w:pPr>
              <w:pStyle w:val="ListParagraph"/>
              <w:numPr>
                <w:ilvl w:val="0"/>
                <w:numId w:val="383"/>
              </w:numPr>
              <w:ind w:left="247" w:hanging="270"/>
              <w:rPr>
                <w:rFonts w:ascii="Arial" w:hAnsi="Arial" w:cs="Arial"/>
                <w:sz w:val="24"/>
                <w:szCs w:val="24"/>
              </w:rPr>
            </w:pPr>
            <w:r w:rsidRPr="00FA3F9C">
              <w:rPr>
                <w:rFonts w:ascii="Arial" w:hAnsi="Arial" w:cs="Arial"/>
                <w:sz w:val="24"/>
                <w:szCs w:val="24"/>
              </w:rPr>
              <w:lastRenderedPageBreak/>
              <w:t>If platinum-based chemotherapy was previously given (</w:t>
            </w:r>
            <w:proofErr w:type="gramStart"/>
            <w:r w:rsidRPr="00FA3F9C">
              <w:rPr>
                <w:rFonts w:ascii="Arial" w:hAnsi="Arial" w:cs="Arial"/>
                <w:sz w:val="24"/>
                <w:szCs w:val="24"/>
              </w:rPr>
              <w:t>e.g.</w:t>
            </w:r>
            <w:proofErr w:type="gramEnd"/>
            <w:r w:rsidRPr="00FA3F9C">
              <w:rPr>
                <w:rFonts w:ascii="Arial" w:hAnsi="Arial" w:cs="Arial"/>
                <w:sz w:val="24"/>
                <w:szCs w:val="24"/>
              </w:rPr>
              <w:t xml:space="preserve"> cisplatin, carboplatin), tumor did not progress </w:t>
            </w:r>
            <w:r w:rsidRPr="00FA3F9C">
              <w:rPr>
                <w:rFonts w:ascii="Arial" w:hAnsi="Arial" w:cs="Arial"/>
                <w:sz w:val="24"/>
                <w:szCs w:val="24"/>
                <w:u w:val="single"/>
              </w:rPr>
              <w:t>during</w:t>
            </w:r>
            <w:r w:rsidRPr="00FA3F9C">
              <w:rPr>
                <w:rFonts w:ascii="Arial" w:hAnsi="Arial" w:cs="Arial"/>
                <w:sz w:val="24"/>
                <w:szCs w:val="24"/>
              </w:rPr>
              <w:t xml:space="preserve"> platinum-based therapy </w:t>
            </w:r>
          </w:p>
        </w:tc>
      </w:tr>
      <w:tr w:rsidR="009B5AA5" w:rsidRPr="00FA3F9C" w14:paraId="34655E59" w14:textId="77777777" w:rsidTr="00F425F7">
        <w:tc>
          <w:tcPr>
            <w:tcW w:w="10790" w:type="dxa"/>
            <w:gridSpan w:val="2"/>
          </w:tcPr>
          <w:p w14:paraId="6E6BB0AA" w14:textId="77777777" w:rsidR="009B5AA5" w:rsidRPr="00FA3F9C" w:rsidRDefault="009B5AA5" w:rsidP="00FC1E85">
            <w:pPr>
              <w:pStyle w:val="ListParagraph"/>
              <w:numPr>
                <w:ilvl w:val="0"/>
                <w:numId w:val="383"/>
              </w:numPr>
              <w:ind w:left="247" w:hanging="270"/>
              <w:rPr>
                <w:rFonts w:ascii="Arial" w:hAnsi="Arial" w:cs="Arial"/>
                <w:sz w:val="24"/>
                <w:szCs w:val="24"/>
              </w:rPr>
            </w:pPr>
            <w:r w:rsidRPr="00FA3F9C">
              <w:rPr>
                <w:rFonts w:ascii="Arial" w:hAnsi="Arial" w:cs="Arial"/>
                <w:sz w:val="24"/>
                <w:szCs w:val="24"/>
              </w:rPr>
              <w:t>If tumor is hormone receptor (</w:t>
            </w:r>
            <w:proofErr w:type="gramStart"/>
            <w:r w:rsidRPr="00FA3F9C">
              <w:rPr>
                <w:rFonts w:ascii="Arial" w:hAnsi="Arial" w:cs="Arial"/>
                <w:sz w:val="24"/>
                <w:szCs w:val="24"/>
              </w:rPr>
              <w:t>e.g.</w:t>
            </w:r>
            <w:proofErr w:type="gramEnd"/>
            <w:r w:rsidRPr="00FA3F9C">
              <w:rPr>
                <w:rFonts w:ascii="Arial" w:hAnsi="Arial" w:cs="Arial"/>
                <w:sz w:val="24"/>
                <w:szCs w:val="24"/>
              </w:rPr>
              <w:t xml:space="preserve"> estrogen and/or progesterone receptor) positive, patient has received at least one hormonal therapy for treatment of metastatic disease (e.g. tamoxifen, letrozole, anastrozole, exemestane, </w:t>
            </w:r>
            <w:proofErr w:type="spellStart"/>
            <w:r w:rsidRPr="00FA3F9C">
              <w:rPr>
                <w:rFonts w:ascii="Arial" w:hAnsi="Arial" w:cs="Arial"/>
                <w:sz w:val="24"/>
                <w:szCs w:val="24"/>
              </w:rPr>
              <w:t>fulvestrant</w:t>
            </w:r>
            <w:proofErr w:type="spellEnd"/>
            <w:r w:rsidRPr="00FA3F9C">
              <w:rPr>
                <w:rFonts w:ascii="Arial" w:hAnsi="Arial" w:cs="Arial"/>
                <w:sz w:val="24"/>
                <w:szCs w:val="24"/>
              </w:rPr>
              <w:t>)</w:t>
            </w:r>
          </w:p>
        </w:tc>
      </w:tr>
      <w:tr w:rsidR="009B5AA5" w:rsidRPr="00500371" w14:paraId="70973FF8" w14:textId="77777777" w:rsidTr="00F425F7">
        <w:tc>
          <w:tcPr>
            <w:tcW w:w="10790" w:type="dxa"/>
            <w:gridSpan w:val="2"/>
          </w:tcPr>
          <w:p w14:paraId="2FE14816" w14:textId="77777777" w:rsidR="009B5AA5" w:rsidRPr="00FA3F9C" w:rsidRDefault="009B5AA5" w:rsidP="00FC1E85">
            <w:pPr>
              <w:pStyle w:val="ListParagraph"/>
              <w:numPr>
                <w:ilvl w:val="0"/>
                <w:numId w:val="383"/>
              </w:numPr>
              <w:ind w:left="247" w:hanging="270"/>
              <w:rPr>
                <w:rFonts w:ascii="Arial" w:hAnsi="Arial" w:cs="Arial"/>
                <w:sz w:val="24"/>
                <w:szCs w:val="24"/>
                <w:lang w:val="es-ES"/>
              </w:rPr>
            </w:pPr>
            <w:r w:rsidRPr="00FA3F9C">
              <w:rPr>
                <w:rFonts w:ascii="Arial" w:hAnsi="Arial" w:cs="Arial"/>
                <w:sz w:val="24"/>
                <w:szCs w:val="24"/>
                <w:lang w:val="es-ES"/>
              </w:rPr>
              <w:t xml:space="preserve">No prior PARP </w:t>
            </w:r>
            <w:proofErr w:type="spellStart"/>
            <w:r w:rsidRPr="00FA3F9C">
              <w:rPr>
                <w:rFonts w:ascii="Arial" w:hAnsi="Arial" w:cs="Arial"/>
                <w:sz w:val="24"/>
                <w:szCs w:val="24"/>
                <w:lang w:val="es-ES"/>
              </w:rPr>
              <w:t>inhibitor</w:t>
            </w:r>
            <w:proofErr w:type="spellEnd"/>
            <w:r w:rsidRPr="00FA3F9C">
              <w:rPr>
                <w:rFonts w:ascii="Arial" w:hAnsi="Arial" w:cs="Arial"/>
                <w:sz w:val="24"/>
                <w:szCs w:val="24"/>
                <w:lang w:val="es-ES"/>
              </w:rPr>
              <w:t xml:space="preserve"> (</w:t>
            </w:r>
            <w:proofErr w:type="spellStart"/>
            <w:r w:rsidRPr="00FA3F9C">
              <w:rPr>
                <w:rFonts w:ascii="Arial" w:hAnsi="Arial" w:cs="Arial"/>
                <w:sz w:val="24"/>
                <w:szCs w:val="24"/>
                <w:lang w:val="es-ES"/>
              </w:rPr>
              <w:t>e.g</w:t>
            </w:r>
            <w:proofErr w:type="spellEnd"/>
            <w:r w:rsidRPr="00FA3F9C">
              <w:rPr>
                <w:rFonts w:ascii="Arial" w:hAnsi="Arial" w:cs="Arial"/>
                <w:sz w:val="24"/>
                <w:szCs w:val="24"/>
                <w:lang w:val="es-ES"/>
              </w:rPr>
              <w:t xml:space="preserve">. </w:t>
            </w:r>
            <w:proofErr w:type="spellStart"/>
            <w:r w:rsidRPr="00FA3F9C">
              <w:rPr>
                <w:rFonts w:ascii="Arial" w:hAnsi="Arial" w:cs="Arial"/>
                <w:sz w:val="24"/>
                <w:szCs w:val="24"/>
                <w:lang w:val="es-ES"/>
              </w:rPr>
              <w:t>talazoparib</w:t>
            </w:r>
            <w:proofErr w:type="spellEnd"/>
            <w:r w:rsidRPr="00FA3F9C">
              <w:rPr>
                <w:rFonts w:ascii="Arial" w:hAnsi="Arial" w:cs="Arial"/>
                <w:sz w:val="24"/>
                <w:szCs w:val="24"/>
                <w:lang w:val="es-ES"/>
              </w:rPr>
              <w:t xml:space="preserve">, </w:t>
            </w:r>
            <w:proofErr w:type="spellStart"/>
            <w:r w:rsidRPr="00FA3F9C">
              <w:rPr>
                <w:rFonts w:ascii="Arial" w:hAnsi="Arial" w:cs="Arial"/>
                <w:sz w:val="24"/>
                <w:szCs w:val="24"/>
                <w:lang w:val="es-ES"/>
              </w:rPr>
              <w:t>olaparib</w:t>
            </w:r>
            <w:proofErr w:type="spellEnd"/>
            <w:r w:rsidRPr="00FA3F9C">
              <w:rPr>
                <w:rFonts w:ascii="Arial" w:hAnsi="Arial" w:cs="Arial"/>
                <w:sz w:val="24"/>
                <w:szCs w:val="24"/>
                <w:lang w:val="es-ES"/>
              </w:rPr>
              <w:t xml:space="preserve">, </w:t>
            </w:r>
            <w:proofErr w:type="spellStart"/>
            <w:r w:rsidRPr="00FA3F9C">
              <w:rPr>
                <w:rFonts w:ascii="Arial" w:hAnsi="Arial" w:cs="Arial"/>
                <w:sz w:val="24"/>
                <w:szCs w:val="24"/>
                <w:lang w:val="es-ES"/>
              </w:rPr>
              <w:t>rucaparib</w:t>
            </w:r>
            <w:proofErr w:type="spellEnd"/>
            <w:r w:rsidRPr="00FA3F9C">
              <w:rPr>
                <w:rFonts w:ascii="Arial" w:hAnsi="Arial" w:cs="Arial"/>
                <w:sz w:val="24"/>
                <w:szCs w:val="24"/>
                <w:lang w:val="es-ES"/>
              </w:rPr>
              <w:t>)</w:t>
            </w:r>
          </w:p>
        </w:tc>
      </w:tr>
      <w:tr w:rsidR="009B5AA5" w:rsidRPr="00FA3F9C" w14:paraId="7B1F6469" w14:textId="77777777" w:rsidTr="00F425F7">
        <w:tc>
          <w:tcPr>
            <w:tcW w:w="10790" w:type="dxa"/>
            <w:gridSpan w:val="2"/>
          </w:tcPr>
          <w:p w14:paraId="757DEDF9" w14:textId="77777777" w:rsidR="009B5AA5" w:rsidRPr="00FA3F9C" w:rsidRDefault="009B5AA5" w:rsidP="00BB74F5">
            <w:pPr>
              <w:rPr>
                <w:rFonts w:ascii="Arial" w:hAnsi="Arial" w:cs="Arial"/>
                <w:sz w:val="24"/>
                <w:szCs w:val="24"/>
              </w:rPr>
            </w:pPr>
            <w:r w:rsidRPr="00FA3F9C">
              <w:rPr>
                <w:rFonts w:ascii="Arial" w:hAnsi="Arial" w:cs="Arial"/>
                <w:b/>
                <w:sz w:val="24"/>
                <w:szCs w:val="24"/>
              </w:rPr>
              <w:t>If all criteria fulfilled, approve for 12 months with no renewals. [Duration of therapy is limited to one year.]</w:t>
            </w:r>
          </w:p>
        </w:tc>
      </w:tr>
      <w:tr w:rsidR="009B5AA5" w:rsidRPr="00FA3F9C" w14:paraId="6D9E8DA9" w14:textId="77777777" w:rsidTr="00F425F7">
        <w:trPr>
          <w:trHeight w:val="440"/>
        </w:trPr>
        <w:tc>
          <w:tcPr>
            <w:tcW w:w="10790" w:type="dxa"/>
            <w:gridSpan w:val="2"/>
            <w:shd w:val="clear" w:color="auto" w:fill="BFBFBF" w:themeFill="background1" w:themeFillShade="BF"/>
          </w:tcPr>
          <w:p w14:paraId="7E5C1331" w14:textId="77777777" w:rsidR="009B5AA5" w:rsidRPr="00FA3F9C" w:rsidRDefault="009B5AA5" w:rsidP="00F425F7">
            <w:pPr>
              <w:rPr>
                <w:rFonts w:ascii="Arial" w:hAnsi="Arial" w:cs="Arial"/>
                <w:sz w:val="24"/>
                <w:szCs w:val="24"/>
              </w:rPr>
            </w:pPr>
            <w:r w:rsidRPr="00FA3F9C">
              <w:rPr>
                <w:rFonts w:ascii="Arial" w:hAnsi="Arial" w:cs="Arial"/>
                <w:sz w:val="24"/>
                <w:szCs w:val="24"/>
              </w:rPr>
              <w:t xml:space="preserve">Notes: </w:t>
            </w:r>
          </w:p>
          <w:p w14:paraId="2D59332A" w14:textId="77777777" w:rsidR="009B5AA5" w:rsidRPr="00FA3F9C" w:rsidRDefault="009B5AA5" w:rsidP="00F425F7">
            <w:pPr>
              <w:rPr>
                <w:rFonts w:ascii="Arial" w:hAnsi="Arial" w:cs="Arial"/>
                <w:sz w:val="24"/>
                <w:szCs w:val="24"/>
              </w:rPr>
            </w:pPr>
          </w:p>
          <w:p w14:paraId="520CAF8B" w14:textId="77777777" w:rsidR="009B5AA5" w:rsidRPr="00FA3F9C" w:rsidRDefault="009B5AA5" w:rsidP="00F425F7">
            <w:pPr>
              <w:rPr>
                <w:rFonts w:ascii="Arial" w:hAnsi="Arial" w:cs="Arial"/>
                <w:sz w:val="24"/>
                <w:szCs w:val="24"/>
              </w:rPr>
            </w:pPr>
            <w:r w:rsidRPr="00FA3F9C">
              <w:rPr>
                <w:rFonts w:ascii="Arial" w:hAnsi="Arial" w:cs="Arial"/>
                <w:sz w:val="24"/>
                <w:szCs w:val="24"/>
              </w:rPr>
              <w:t xml:space="preserve">Olaparib was compared to placebo in this patient population.  At a median follow-up of 2.5 years, the 3-year invasive disease–free survival (DFS) was 85.9% in the </w:t>
            </w:r>
            <w:proofErr w:type="spellStart"/>
            <w:r w:rsidRPr="00FA3F9C">
              <w:rPr>
                <w:rFonts w:ascii="Arial" w:hAnsi="Arial" w:cs="Arial"/>
                <w:sz w:val="24"/>
                <w:szCs w:val="24"/>
              </w:rPr>
              <w:t>olaparib</w:t>
            </w:r>
            <w:proofErr w:type="spellEnd"/>
            <w:r w:rsidRPr="00FA3F9C">
              <w:rPr>
                <w:rFonts w:ascii="Arial" w:hAnsi="Arial" w:cs="Arial"/>
                <w:sz w:val="24"/>
                <w:szCs w:val="24"/>
              </w:rPr>
              <w:t xml:space="preserve"> group and 77.1% in the placebo group (HR 0.58; 99.5% CI, 0.41 to 0.82; P&lt;0.001). The 3-year distant DFS was 87.5% in the </w:t>
            </w:r>
            <w:proofErr w:type="spellStart"/>
            <w:r w:rsidRPr="00FA3F9C">
              <w:rPr>
                <w:rFonts w:ascii="Arial" w:hAnsi="Arial" w:cs="Arial"/>
                <w:sz w:val="24"/>
                <w:szCs w:val="24"/>
              </w:rPr>
              <w:t>olaparib</w:t>
            </w:r>
            <w:proofErr w:type="spellEnd"/>
            <w:r w:rsidRPr="00FA3F9C">
              <w:rPr>
                <w:rFonts w:ascii="Arial" w:hAnsi="Arial" w:cs="Arial"/>
                <w:sz w:val="24"/>
                <w:szCs w:val="24"/>
              </w:rPr>
              <w:t xml:space="preserve"> group and 80.4% in the placebo group (HR 0.57; 99.5% CI, 0.39 to 0.83; P&lt;0.001). A trend to improved overall survival in the </w:t>
            </w:r>
            <w:proofErr w:type="spellStart"/>
            <w:r w:rsidRPr="00FA3F9C">
              <w:rPr>
                <w:rFonts w:ascii="Arial" w:hAnsi="Arial" w:cs="Arial"/>
                <w:sz w:val="24"/>
                <w:szCs w:val="24"/>
              </w:rPr>
              <w:t>olaparib</w:t>
            </w:r>
            <w:proofErr w:type="spellEnd"/>
            <w:r w:rsidRPr="00FA3F9C">
              <w:rPr>
                <w:rFonts w:ascii="Arial" w:hAnsi="Arial" w:cs="Arial"/>
                <w:sz w:val="24"/>
                <w:szCs w:val="24"/>
              </w:rPr>
              <w:t xml:space="preserve"> group was noted but did not reach boundary for </w:t>
            </w:r>
            <w:proofErr w:type="gramStart"/>
            <w:r w:rsidRPr="00FA3F9C">
              <w:rPr>
                <w:rFonts w:ascii="Arial" w:hAnsi="Arial" w:cs="Arial"/>
                <w:sz w:val="24"/>
                <w:szCs w:val="24"/>
              </w:rPr>
              <w:t>statistical</w:t>
            </w:r>
            <w:proofErr w:type="gramEnd"/>
            <w:r w:rsidRPr="00FA3F9C">
              <w:rPr>
                <w:rFonts w:ascii="Arial" w:hAnsi="Arial" w:cs="Arial"/>
                <w:sz w:val="24"/>
                <w:szCs w:val="24"/>
              </w:rPr>
              <w:t xml:space="preserve"> significant at this time of f/u (HR 0.68; 99% CI, 0.44 to 1.05; P=0.02). ESMO grading of clinical benefit is A.</w:t>
            </w:r>
          </w:p>
          <w:p w14:paraId="4BB746CE" w14:textId="77777777" w:rsidR="009B5AA5" w:rsidRPr="00FA3F9C" w:rsidRDefault="009B5AA5" w:rsidP="00F425F7">
            <w:pPr>
              <w:rPr>
                <w:rFonts w:ascii="Arial" w:hAnsi="Arial" w:cs="Arial"/>
                <w:sz w:val="24"/>
                <w:szCs w:val="24"/>
              </w:rPr>
            </w:pPr>
          </w:p>
          <w:p w14:paraId="51242879" w14:textId="77777777" w:rsidR="009B5AA5" w:rsidRPr="00FA3F9C" w:rsidRDefault="009B5AA5" w:rsidP="00BB74F5">
            <w:pPr>
              <w:rPr>
                <w:rFonts w:ascii="Arial" w:hAnsi="Arial" w:cs="Arial"/>
                <w:sz w:val="24"/>
                <w:szCs w:val="24"/>
              </w:rPr>
            </w:pPr>
            <w:r w:rsidRPr="00FA3F9C">
              <w:rPr>
                <w:rFonts w:ascii="Arial" w:hAnsi="Arial" w:cs="Arial"/>
                <w:sz w:val="24"/>
                <w:szCs w:val="24"/>
              </w:rPr>
              <w:t>-Dose: 300 mg bid. Treatment is continued for one year total.</w:t>
            </w:r>
          </w:p>
          <w:p w14:paraId="7331896A" w14:textId="77777777" w:rsidR="009B5AA5" w:rsidRPr="00FA3F9C" w:rsidRDefault="009B5AA5" w:rsidP="00F425F7">
            <w:pPr>
              <w:rPr>
                <w:rFonts w:ascii="Arial" w:hAnsi="Arial" w:cs="Arial"/>
                <w:sz w:val="24"/>
                <w:szCs w:val="24"/>
              </w:rPr>
            </w:pPr>
          </w:p>
          <w:p w14:paraId="4E719115" w14:textId="77777777" w:rsidR="009B5AA5" w:rsidRPr="00FA3F9C" w:rsidRDefault="009B5AA5" w:rsidP="00F425F7">
            <w:pPr>
              <w:rPr>
                <w:rFonts w:ascii="Arial" w:hAnsi="Arial" w:cs="Arial"/>
                <w:sz w:val="24"/>
                <w:szCs w:val="24"/>
              </w:rPr>
            </w:pPr>
            <w:r w:rsidRPr="00FA3F9C">
              <w:rPr>
                <w:rFonts w:ascii="Arial" w:hAnsi="Arial" w:cs="Arial"/>
                <w:sz w:val="24"/>
                <w:szCs w:val="24"/>
              </w:rPr>
              <w:t>References:</w:t>
            </w:r>
          </w:p>
          <w:p w14:paraId="75D7A9EB" w14:textId="77777777" w:rsidR="009B5AA5" w:rsidRPr="00FA3F9C" w:rsidRDefault="009B5AA5" w:rsidP="00FC1E85">
            <w:pPr>
              <w:pStyle w:val="ListParagraph"/>
              <w:numPr>
                <w:ilvl w:val="0"/>
                <w:numId w:val="385"/>
              </w:numPr>
              <w:spacing w:after="160" w:line="259" w:lineRule="auto"/>
              <w:rPr>
                <w:rFonts w:ascii="Arial" w:hAnsi="Arial" w:cs="Arial"/>
                <w:sz w:val="24"/>
                <w:szCs w:val="24"/>
              </w:rPr>
            </w:pPr>
            <w:proofErr w:type="spellStart"/>
            <w:r w:rsidRPr="00FA3F9C">
              <w:rPr>
                <w:rFonts w:ascii="Arial" w:hAnsi="Arial" w:cs="Arial"/>
                <w:sz w:val="24"/>
                <w:szCs w:val="24"/>
                <w:lang w:val="fr-FR"/>
              </w:rPr>
              <w:t>Tutt</w:t>
            </w:r>
            <w:proofErr w:type="spellEnd"/>
            <w:r w:rsidRPr="00FA3F9C">
              <w:rPr>
                <w:rFonts w:ascii="Arial" w:hAnsi="Arial" w:cs="Arial"/>
                <w:sz w:val="24"/>
                <w:szCs w:val="24"/>
                <w:lang w:val="fr-FR"/>
              </w:rPr>
              <w:t xml:space="preserve"> ANJ, Garber JE, Kaufman B, et al. </w:t>
            </w:r>
            <w:r w:rsidRPr="00FA3F9C">
              <w:rPr>
                <w:rFonts w:ascii="Arial" w:hAnsi="Arial" w:cs="Arial"/>
                <w:sz w:val="24"/>
                <w:szCs w:val="24"/>
              </w:rPr>
              <w:t xml:space="preserve">Adjuvant Olaparib for Patients with BRCA1- or BRCA2-Mutated Breast Cancer. N </w:t>
            </w:r>
            <w:proofErr w:type="spellStart"/>
            <w:r w:rsidRPr="00FA3F9C">
              <w:rPr>
                <w:rFonts w:ascii="Arial" w:hAnsi="Arial" w:cs="Arial"/>
                <w:sz w:val="24"/>
                <w:szCs w:val="24"/>
              </w:rPr>
              <w:t>Engl</w:t>
            </w:r>
            <w:proofErr w:type="spellEnd"/>
            <w:r w:rsidRPr="00FA3F9C">
              <w:rPr>
                <w:rFonts w:ascii="Arial" w:hAnsi="Arial" w:cs="Arial"/>
                <w:sz w:val="24"/>
                <w:szCs w:val="24"/>
              </w:rPr>
              <w:t xml:space="preserve"> J Med. 2021;384(25):2394-2405. doi:10.1056/NEJMoa2105215</w:t>
            </w:r>
          </w:p>
        </w:tc>
      </w:tr>
    </w:tbl>
    <w:p w14:paraId="76AD7ECF" w14:textId="77777777" w:rsidR="009B5AA5" w:rsidRPr="00FA3F9C" w:rsidRDefault="009B5AA5" w:rsidP="008F4F09">
      <w:pPr>
        <w:pStyle w:val="NormalWeb"/>
        <w:spacing w:before="0" w:beforeAutospacing="0" w:after="0" w:afterAutospacing="0"/>
        <w:ind w:left="400" w:hanging="400"/>
        <w:rPr>
          <w:rFonts w:ascii="Arial" w:hAnsi="Arial" w:cs="Arial"/>
          <w:color w:val="000000"/>
          <w:sz w:val="24"/>
          <w:szCs w:val="24"/>
        </w:rPr>
      </w:pPr>
    </w:p>
    <w:p w14:paraId="78E6B31F" w14:textId="77777777" w:rsidR="009B5AA5" w:rsidRPr="00FA3F9C" w:rsidRDefault="009B5AA5" w:rsidP="006F623F">
      <w:pPr>
        <w:spacing w:after="0"/>
        <w:rPr>
          <w:rFonts w:ascii="Arial" w:hAnsi="Arial" w:cs="Arial"/>
          <w:sz w:val="24"/>
          <w:szCs w:val="24"/>
        </w:rPr>
      </w:pPr>
    </w:p>
    <w:tbl>
      <w:tblPr>
        <w:tblStyle w:val="TableGrid"/>
        <w:tblW w:w="0" w:type="auto"/>
        <w:tblLook w:val="04A0" w:firstRow="1" w:lastRow="0" w:firstColumn="1" w:lastColumn="0" w:noHBand="0" w:noVBand="1"/>
      </w:tblPr>
      <w:tblGrid>
        <w:gridCol w:w="8397"/>
        <w:gridCol w:w="2619"/>
      </w:tblGrid>
      <w:tr w:rsidR="009B5AA5" w:rsidRPr="00FA3F9C" w14:paraId="3D3074AD" w14:textId="77777777" w:rsidTr="008B2EA2">
        <w:tc>
          <w:tcPr>
            <w:tcW w:w="8397" w:type="dxa"/>
            <w:shd w:val="clear" w:color="auto" w:fill="000000"/>
          </w:tcPr>
          <w:p w14:paraId="4572AA11" w14:textId="77777777" w:rsidR="009B5AA5" w:rsidRPr="00FA3F9C" w:rsidRDefault="009B5AA5" w:rsidP="008B6A8D">
            <w:pPr>
              <w:rPr>
                <w:rFonts w:ascii="Arial" w:hAnsi="Arial" w:cs="Arial"/>
                <w:b/>
                <w:sz w:val="24"/>
                <w:szCs w:val="24"/>
                <w:u w:val="single"/>
              </w:rPr>
            </w:pPr>
            <w:r w:rsidRPr="00FA3F9C">
              <w:rPr>
                <w:rFonts w:ascii="Arial" w:hAnsi="Arial" w:cs="Arial"/>
                <w:b/>
                <w:sz w:val="24"/>
                <w:szCs w:val="24"/>
                <w:u w:val="single"/>
              </w:rPr>
              <w:t>METASTATIC BREAST CANCER: Criteria for new users</w:t>
            </w:r>
          </w:p>
        </w:tc>
        <w:tc>
          <w:tcPr>
            <w:tcW w:w="2393" w:type="dxa"/>
            <w:shd w:val="clear" w:color="auto" w:fill="000000"/>
          </w:tcPr>
          <w:p w14:paraId="5AF3271D" w14:textId="77777777" w:rsidR="009B5AA5" w:rsidRPr="00FA3F9C" w:rsidRDefault="009B5AA5" w:rsidP="008B6A8D">
            <w:pPr>
              <w:jc w:val="center"/>
              <w:rPr>
                <w:rFonts w:ascii="Arial" w:hAnsi="Arial" w:cs="Arial"/>
                <w:b/>
                <w:sz w:val="24"/>
                <w:szCs w:val="24"/>
                <w:u w:val="single"/>
              </w:rPr>
            </w:pPr>
          </w:p>
        </w:tc>
      </w:tr>
      <w:tr w:rsidR="009B5AA5" w:rsidRPr="00FA3F9C" w14:paraId="17E8613F" w14:textId="77777777" w:rsidTr="008B6A8D">
        <w:tc>
          <w:tcPr>
            <w:tcW w:w="11016" w:type="dxa"/>
            <w:gridSpan w:val="2"/>
          </w:tcPr>
          <w:p w14:paraId="06F8F555" w14:textId="77777777" w:rsidR="009B5AA5" w:rsidRPr="00FA3F9C" w:rsidRDefault="009B5AA5" w:rsidP="00FC1E85">
            <w:pPr>
              <w:pStyle w:val="ListParagraph"/>
              <w:numPr>
                <w:ilvl w:val="0"/>
                <w:numId w:val="389"/>
              </w:numPr>
              <w:ind w:left="245" w:hanging="270"/>
              <w:rPr>
                <w:rFonts w:ascii="Arial" w:hAnsi="Arial" w:cs="Arial"/>
                <w:sz w:val="24"/>
                <w:szCs w:val="24"/>
              </w:rPr>
            </w:pPr>
            <w:r w:rsidRPr="00FA3F9C">
              <w:rPr>
                <w:rFonts w:ascii="Arial" w:hAnsi="Arial" w:cs="Arial"/>
                <w:sz w:val="24"/>
                <w:szCs w:val="24"/>
              </w:rPr>
              <w:t>Diagnosis of unresectable or metastatic breast cancer</w:t>
            </w:r>
          </w:p>
        </w:tc>
      </w:tr>
      <w:tr w:rsidR="009B5AA5" w:rsidRPr="00FA3F9C" w14:paraId="73C7CDD4" w14:textId="77777777" w:rsidTr="008B6A8D">
        <w:tc>
          <w:tcPr>
            <w:tcW w:w="11016" w:type="dxa"/>
            <w:gridSpan w:val="2"/>
          </w:tcPr>
          <w:p w14:paraId="48E77D89" w14:textId="77777777" w:rsidR="009B5AA5" w:rsidRPr="00FA3F9C" w:rsidRDefault="009B5AA5" w:rsidP="00FC1E85">
            <w:pPr>
              <w:pStyle w:val="ListParagraph"/>
              <w:numPr>
                <w:ilvl w:val="0"/>
                <w:numId w:val="389"/>
              </w:numPr>
              <w:ind w:left="247" w:hanging="270"/>
              <w:rPr>
                <w:rFonts w:ascii="Arial" w:hAnsi="Arial" w:cs="Arial"/>
                <w:sz w:val="24"/>
                <w:szCs w:val="24"/>
              </w:rPr>
            </w:pPr>
            <w:r w:rsidRPr="00FA3F9C">
              <w:rPr>
                <w:rFonts w:ascii="Arial" w:hAnsi="Arial" w:cs="Arial"/>
                <w:sz w:val="24"/>
                <w:szCs w:val="24"/>
              </w:rPr>
              <w:t>Disease is progressing or has recurred after previous therapy</w:t>
            </w:r>
          </w:p>
        </w:tc>
      </w:tr>
      <w:tr w:rsidR="009B5AA5" w:rsidRPr="00FA3F9C" w14:paraId="7A7F96BA" w14:textId="77777777" w:rsidTr="008B6A8D">
        <w:tc>
          <w:tcPr>
            <w:tcW w:w="11016" w:type="dxa"/>
            <w:gridSpan w:val="2"/>
          </w:tcPr>
          <w:p w14:paraId="53302EC8" w14:textId="77777777" w:rsidR="009B5AA5" w:rsidRPr="00FA3F9C" w:rsidRDefault="009B5AA5" w:rsidP="00FC1E85">
            <w:pPr>
              <w:pStyle w:val="ListParagraph"/>
              <w:numPr>
                <w:ilvl w:val="0"/>
                <w:numId w:val="389"/>
              </w:numPr>
              <w:ind w:left="247" w:hanging="270"/>
              <w:rPr>
                <w:rFonts w:ascii="Arial" w:hAnsi="Arial" w:cs="Arial"/>
                <w:sz w:val="24"/>
                <w:szCs w:val="24"/>
              </w:rPr>
            </w:pPr>
            <w:r w:rsidRPr="00FA3F9C">
              <w:rPr>
                <w:rFonts w:ascii="Arial" w:hAnsi="Arial" w:cs="Arial"/>
                <w:sz w:val="24"/>
                <w:szCs w:val="24"/>
              </w:rPr>
              <w:t>Germline BRCA mutation is documented</w:t>
            </w:r>
          </w:p>
        </w:tc>
      </w:tr>
      <w:tr w:rsidR="009B5AA5" w:rsidRPr="00FA3F9C" w14:paraId="55C012D0" w14:textId="77777777" w:rsidTr="008B6A8D">
        <w:tc>
          <w:tcPr>
            <w:tcW w:w="11016" w:type="dxa"/>
            <w:gridSpan w:val="2"/>
          </w:tcPr>
          <w:p w14:paraId="0BC6693D" w14:textId="77777777" w:rsidR="009B5AA5" w:rsidRPr="00FA3F9C" w:rsidRDefault="009B5AA5" w:rsidP="00FC1E85">
            <w:pPr>
              <w:pStyle w:val="ListParagraph"/>
              <w:numPr>
                <w:ilvl w:val="0"/>
                <w:numId w:val="389"/>
              </w:numPr>
              <w:ind w:left="247" w:hanging="270"/>
              <w:rPr>
                <w:rFonts w:ascii="Arial" w:hAnsi="Arial" w:cs="Arial"/>
                <w:sz w:val="24"/>
                <w:szCs w:val="24"/>
              </w:rPr>
            </w:pPr>
            <w:r w:rsidRPr="00FA3F9C">
              <w:rPr>
                <w:rFonts w:ascii="Arial" w:hAnsi="Arial" w:cs="Arial"/>
                <w:sz w:val="24"/>
                <w:szCs w:val="24"/>
              </w:rPr>
              <w:lastRenderedPageBreak/>
              <w:t>Tumor is HER2 negative</w:t>
            </w:r>
          </w:p>
        </w:tc>
      </w:tr>
      <w:tr w:rsidR="009B5AA5" w:rsidRPr="00FA3F9C" w14:paraId="151DAF7E" w14:textId="77777777" w:rsidTr="008B6A8D">
        <w:tc>
          <w:tcPr>
            <w:tcW w:w="11016" w:type="dxa"/>
            <w:gridSpan w:val="2"/>
          </w:tcPr>
          <w:p w14:paraId="449EA49B" w14:textId="77777777" w:rsidR="009B5AA5" w:rsidRPr="00FA3F9C" w:rsidRDefault="009B5AA5" w:rsidP="00FC1E85">
            <w:pPr>
              <w:pStyle w:val="ListParagraph"/>
              <w:numPr>
                <w:ilvl w:val="0"/>
                <w:numId w:val="389"/>
              </w:numPr>
              <w:ind w:left="247" w:hanging="270"/>
              <w:rPr>
                <w:rFonts w:ascii="Arial" w:hAnsi="Arial" w:cs="Arial"/>
                <w:sz w:val="24"/>
                <w:szCs w:val="24"/>
              </w:rPr>
            </w:pPr>
            <w:r w:rsidRPr="00FA3F9C">
              <w:rPr>
                <w:rFonts w:ascii="Arial" w:hAnsi="Arial" w:cs="Arial"/>
                <w:sz w:val="24"/>
                <w:szCs w:val="24"/>
              </w:rPr>
              <w:t xml:space="preserve">Patient has received a </w:t>
            </w:r>
            <w:proofErr w:type="spellStart"/>
            <w:r w:rsidRPr="00FA3F9C">
              <w:rPr>
                <w:rFonts w:ascii="Arial" w:hAnsi="Arial" w:cs="Arial"/>
                <w:sz w:val="24"/>
                <w:szCs w:val="24"/>
              </w:rPr>
              <w:t>taxane</w:t>
            </w:r>
            <w:proofErr w:type="spellEnd"/>
            <w:r w:rsidRPr="00FA3F9C">
              <w:rPr>
                <w:rFonts w:ascii="Arial" w:hAnsi="Arial" w:cs="Arial"/>
                <w:sz w:val="24"/>
                <w:szCs w:val="24"/>
              </w:rPr>
              <w:t xml:space="preserve"> (docetaxel, paclitaxel) </w:t>
            </w:r>
            <w:r w:rsidRPr="00FA3F9C">
              <w:rPr>
                <w:rFonts w:ascii="Arial" w:hAnsi="Arial" w:cs="Arial"/>
                <w:sz w:val="24"/>
                <w:szCs w:val="24"/>
                <w:u w:val="single"/>
              </w:rPr>
              <w:t>and</w:t>
            </w:r>
            <w:r w:rsidRPr="00FA3F9C">
              <w:rPr>
                <w:rFonts w:ascii="Arial" w:hAnsi="Arial" w:cs="Arial"/>
                <w:sz w:val="24"/>
                <w:szCs w:val="24"/>
              </w:rPr>
              <w:t xml:space="preserve"> an anthracycline (</w:t>
            </w:r>
            <w:proofErr w:type="spellStart"/>
            <w:r w:rsidRPr="00FA3F9C">
              <w:rPr>
                <w:rFonts w:ascii="Arial" w:hAnsi="Arial" w:cs="Arial"/>
                <w:sz w:val="24"/>
                <w:szCs w:val="24"/>
              </w:rPr>
              <w:t>epirubicin</w:t>
            </w:r>
            <w:proofErr w:type="spellEnd"/>
            <w:r w:rsidRPr="00FA3F9C">
              <w:rPr>
                <w:rFonts w:ascii="Arial" w:hAnsi="Arial" w:cs="Arial"/>
                <w:sz w:val="24"/>
                <w:szCs w:val="24"/>
              </w:rPr>
              <w:t>, doxorubicin) in the neoadjuvant, adjuvant, or metastatic setting unless contraindicated.</w:t>
            </w:r>
          </w:p>
        </w:tc>
      </w:tr>
      <w:tr w:rsidR="009B5AA5" w:rsidRPr="00FA3F9C" w14:paraId="389029FF" w14:textId="77777777" w:rsidTr="008B2EA2">
        <w:tc>
          <w:tcPr>
            <w:tcW w:w="10790" w:type="dxa"/>
            <w:gridSpan w:val="2"/>
          </w:tcPr>
          <w:p w14:paraId="2EE23ECE" w14:textId="77777777" w:rsidR="009B5AA5" w:rsidRPr="00FA3F9C" w:rsidRDefault="009B5AA5" w:rsidP="00FC1E85">
            <w:pPr>
              <w:pStyle w:val="ListParagraph"/>
              <w:numPr>
                <w:ilvl w:val="0"/>
                <w:numId w:val="389"/>
              </w:numPr>
              <w:ind w:left="247" w:hanging="270"/>
              <w:rPr>
                <w:rFonts w:ascii="Arial" w:hAnsi="Arial" w:cs="Arial"/>
                <w:sz w:val="24"/>
                <w:szCs w:val="24"/>
              </w:rPr>
            </w:pPr>
            <w:r w:rsidRPr="00FA3F9C">
              <w:rPr>
                <w:rFonts w:ascii="Arial" w:hAnsi="Arial" w:cs="Arial"/>
                <w:sz w:val="24"/>
                <w:szCs w:val="24"/>
              </w:rPr>
              <w:t>If platinum-based chemotherapy was previously given (</w:t>
            </w:r>
            <w:proofErr w:type="gramStart"/>
            <w:r w:rsidRPr="00FA3F9C">
              <w:rPr>
                <w:rFonts w:ascii="Arial" w:hAnsi="Arial" w:cs="Arial"/>
                <w:sz w:val="24"/>
                <w:szCs w:val="24"/>
              </w:rPr>
              <w:t>e.g.</w:t>
            </w:r>
            <w:proofErr w:type="gramEnd"/>
            <w:r w:rsidRPr="00FA3F9C">
              <w:rPr>
                <w:rFonts w:ascii="Arial" w:hAnsi="Arial" w:cs="Arial"/>
                <w:sz w:val="24"/>
                <w:szCs w:val="24"/>
              </w:rPr>
              <w:t xml:space="preserve"> cisplatin, carboplatin), tumor did not progress </w:t>
            </w:r>
            <w:r w:rsidRPr="00FA3F9C">
              <w:rPr>
                <w:rFonts w:ascii="Arial" w:hAnsi="Arial" w:cs="Arial"/>
                <w:sz w:val="24"/>
                <w:szCs w:val="24"/>
                <w:u w:val="single"/>
              </w:rPr>
              <w:t>during</w:t>
            </w:r>
            <w:r w:rsidRPr="00FA3F9C">
              <w:rPr>
                <w:rFonts w:ascii="Arial" w:hAnsi="Arial" w:cs="Arial"/>
                <w:sz w:val="24"/>
                <w:szCs w:val="24"/>
              </w:rPr>
              <w:t xml:space="preserve"> platinum-based therapy </w:t>
            </w:r>
          </w:p>
        </w:tc>
      </w:tr>
      <w:tr w:rsidR="009B5AA5" w:rsidRPr="00FA3F9C" w14:paraId="7D8451E1" w14:textId="77777777" w:rsidTr="00381937">
        <w:tc>
          <w:tcPr>
            <w:tcW w:w="10790" w:type="dxa"/>
            <w:gridSpan w:val="2"/>
          </w:tcPr>
          <w:p w14:paraId="0DA7E838" w14:textId="77777777" w:rsidR="009B5AA5" w:rsidRPr="00FA3F9C" w:rsidRDefault="009B5AA5" w:rsidP="00FC1E85">
            <w:pPr>
              <w:pStyle w:val="ListParagraph"/>
              <w:numPr>
                <w:ilvl w:val="0"/>
                <w:numId w:val="389"/>
              </w:numPr>
              <w:ind w:left="247" w:hanging="270"/>
              <w:rPr>
                <w:rFonts w:ascii="Arial" w:hAnsi="Arial" w:cs="Arial"/>
                <w:sz w:val="24"/>
                <w:szCs w:val="24"/>
              </w:rPr>
            </w:pPr>
            <w:r w:rsidRPr="00FA3F9C">
              <w:rPr>
                <w:rFonts w:ascii="Arial" w:hAnsi="Arial" w:cs="Arial"/>
                <w:sz w:val="24"/>
                <w:szCs w:val="24"/>
              </w:rPr>
              <w:t>If tumor is hormone receptor (</w:t>
            </w:r>
            <w:proofErr w:type="gramStart"/>
            <w:r w:rsidRPr="00FA3F9C">
              <w:rPr>
                <w:rFonts w:ascii="Arial" w:hAnsi="Arial" w:cs="Arial"/>
                <w:sz w:val="24"/>
                <w:szCs w:val="24"/>
              </w:rPr>
              <w:t>e.g.</w:t>
            </w:r>
            <w:proofErr w:type="gramEnd"/>
            <w:r w:rsidRPr="00FA3F9C">
              <w:rPr>
                <w:rFonts w:ascii="Arial" w:hAnsi="Arial" w:cs="Arial"/>
                <w:sz w:val="24"/>
                <w:szCs w:val="24"/>
              </w:rPr>
              <w:t xml:space="preserve"> estrogen and/or progesterone receptor) positive, patient has received at least one hormonal therapy for treatment of metastatic disease (e.g. tamoxifen, letrozole, anastrozole, exemestane, </w:t>
            </w:r>
            <w:proofErr w:type="spellStart"/>
            <w:r w:rsidRPr="00FA3F9C">
              <w:rPr>
                <w:rFonts w:ascii="Arial" w:hAnsi="Arial" w:cs="Arial"/>
                <w:sz w:val="24"/>
                <w:szCs w:val="24"/>
              </w:rPr>
              <w:t>fulvestrant</w:t>
            </w:r>
            <w:proofErr w:type="spellEnd"/>
            <w:r w:rsidRPr="00FA3F9C">
              <w:rPr>
                <w:rFonts w:ascii="Arial" w:hAnsi="Arial" w:cs="Arial"/>
                <w:sz w:val="24"/>
                <w:szCs w:val="24"/>
              </w:rPr>
              <w:t>)</w:t>
            </w:r>
          </w:p>
        </w:tc>
      </w:tr>
      <w:tr w:rsidR="009B5AA5" w:rsidRPr="00500371" w14:paraId="1606E319" w14:textId="77777777" w:rsidTr="00381937">
        <w:tc>
          <w:tcPr>
            <w:tcW w:w="10790" w:type="dxa"/>
            <w:gridSpan w:val="2"/>
          </w:tcPr>
          <w:p w14:paraId="58462504" w14:textId="77777777" w:rsidR="009B5AA5" w:rsidRPr="00FA3F9C" w:rsidRDefault="009B5AA5" w:rsidP="00FC1E85">
            <w:pPr>
              <w:pStyle w:val="ListParagraph"/>
              <w:numPr>
                <w:ilvl w:val="0"/>
                <w:numId w:val="389"/>
              </w:numPr>
              <w:ind w:left="247" w:hanging="270"/>
              <w:rPr>
                <w:rFonts w:ascii="Arial" w:hAnsi="Arial" w:cs="Arial"/>
                <w:sz w:val="24"/>
                <w:szCs w:val="24"/>
                <w:lang w:val="es-ES"/>
              </w:rPr>
            </w:pPr>
            <w:r w:rsidRPr="00FA3F9C">
              <w:rPr>
                <w:rFonts w:ascii="Arial" w:hAnsi="Arial" w:cs="Arial"/>
                <w:sz w:val="24"/>
                <w:szCs w:val="24"/>
                <w:lang w:val="es-ES"/>
              </w:rPr>
              <w:t xml:space="preserve">No prior PARP </w:t>
            </w:r>
            <w:proofErr w:type="spellStart"/>
            <w:r w:rsidRPr="00FA3F9C">
              <w:rPr>
                <w:rFonts w:ascii="Arial" w:hAnsi="Arial" w:cs="Arial"/>
                <w:sz w:val="24"/>
                <w:szCs w:val="24"/>
                <w:lang w:val="es-ES"/>
              </w:rPr>
              <w:t>inhibitor</w:t>
            </w:r>
            <w:proofErr w:type="spellEnd"/>
            <w:r w:rsidRPr="00FA3F9C">
              <w:rPr>
                <w:rFonts w:ascii="Arial" w:hAnsi="Arial" w:cs="Arial"/>
                <w:sz w:val="24"/>
                <w:szCs w:val="24"/>
                <w:lang w:val="es-ES"/>
              </w:rPr>
              <w:t xml:space="preserve"> (</w:t>
            </w:r>
            <w:proofErr w:type="spellStart"/>
            <w:r w:rsidRPr="00FA3F9C">
              <w:rPr>
                <w:rFonts w:ascii="Arial" w:hAnsi="Arial" w:cs="Arial"/>
                <w:sz w:val="24"/>
                <w:szCs w:val="24"/>
                <w:lang w:val="es-ES"/>
              </w:rPr>
              <w:t>e.g</w:t>
            </w:r>
            <w:proofErr w:type="spellEnd"/>
            <w:r w:rsidRPr="00FA3F9C">
              <w:rPr>
                <w:rFonts w:ascii="Arial" w:hAnsi="Arial" w:cs="Arial"/>
                <w:sz w:val="24"/>
                <w:szCs w:val="24"/>
                <w:lang w:val="es-ES"/>
              </w:rPr>
              <w:t xml:space="preserve">. </w:t>
            </w:r>
            <w:proofErr w:type="spellStart"/>
            <w:r w:rsidRPr="00FA3F9C">
              <w:rPr>
                <w:rFonts w:ascii="Arial" w:hAnsi="Arial" w:cs="Arial"/>
                <w:sz w:val="24"/>
                <w:szCs w:val="24"/>
                <w:lang w:val="es-ES"/>
              </w:rPr>
              <w:t>talazoparib</w:t>
            </w:r>
            <w:proofErr w:type="spellEnd"/>
            <w:r w:rsidRPr="00FA3F9C">
              <w:rPr>
                <w:rFonts w:ascii="Arial" w:hAnsi="Arial" w:cs="Arial"/>
                <w:sz w:val="24"/>
                <w:szCs w:val="24"/>
                <w:lang w:val="es-ES"/>
              </w:rPr>
              <w:t xml:space="preserve">, </w:t>
            </w:r>
            <w:proofErr w:type="spellStart"/>
            <w:r w:rsidRPr="00FA3F9C">
              <w:rPr>
                <w:rFonts w:ascii="Arial" w:hAnsi="Arial" w:cs="Arial"/>
                <w:sz w:val="24"/>
                <w:szCs w:val="24"/>
                <w:lang w:val="es-ES"/>
              </w:rPr>
              <w:t>olaparib</w:t>
            </w:r>
            <w:proofErr w:type="spellEnd"/>
            <w:r w:rsidRPr="00FA3F9C">
              <w:rPr>
                <w:rFonts w:ascii="Arial" w:hAnsi="Arial" w:cs="Arial"/>
                <w:sz w:val="24"/>
                <w:szCs w:val="24"/>
                <w:lang w:val="es-ES"/>
              </w:rPr>
              <w:t xml:space="preserve">, </w:t>
            </w:r>
            <w:proofErr w:type="spellStart"/>
            <w:r w:rsidRPr="00FA3F9C">
              <w:rPr>
                <w:rFonts w:ascii="Arial" w:hAnsi="Arial" w:cs="Arial"/>
                <w:sz w:val="24"/>
                <w:szCs w:val="24"/>
                <w:lang w:val="es-ES"/>
              </w:rPr>
              <w:t>rucaparib</w:t>
            </w:r>
            <w:proofErr w:type="spellEnd"/>
            <w:r w:rsidRPr="00FA3F9C">
              <w:rPr>
                <w:rFonts w:ascii="Arial" w:hAnsi="Arial" w:cs="Arial"/>
                <w:sz w:val="24"/>
                <w:szCs w:val="24"/>
                <w:lang w:val="es-ES"/>
              </w:rPr>
              <w:t>)</w:t>
            </w:r>
          </w:p>
        </w:tc>
      </w:tr>
      <w:tr w:rsidR="009B5AA5" w:rsidRPr="00FA3F9C" w14:paraId="1E578C83" w14:textId="77777777" w:rsidTr="00381937">
        <w:tc>
          <w:tcPr>
            <w:tcW w:w="10790" w:type="dxa"/>
            <w:gridSpan w:val="2"/>
          </w:tcPr>
          <w:p w14:paraId="2142E4FD" w14:textId="77777777" w:rsidR="009B5AA5" w:rsidRPr="00FA3F9C" w:rsidRDefault="009B5AA5" w:rsidP="008B6A8D">
            <w:pPr>
              <w:rPr>
                <w:rFonts w:ascii="Arial" w:hAnsi="Arial" w:cs="Arial"/>
                <w:sz w:val="24"/>
                <w:szCs w:val="24"/>
              </w:rPr>
            </w:pPr>
            <w:r w:rsidRPr="00FA3F9C">
              <w:rPr>
                <w:rFonts w:ascii="Arial" w:hAnsi="Arial" w:cs="Arial"/>
                <w:b/>
                <w:sz w:val="24"/>
                <w:szCs w:val="24"/>
              </w:rPr>
              <w:t>If all criteria fulfilled, approve for 12 months</w:t>
            </w:r>
          </w:p>
        </w:tc>
      </w:tr>
      <w:tr w:rsidR="009B5AA5" w:rsidRPr="00FA3F9C" w14:paraId="25DB2721" w14:textId="77777777" w:rsidTr="00800D58">
        <w:trPr>
          <w:trHeight w:val="440"/>
        </w:trPr>
        <w:tc>
          <w:tcPr>
            <w:tcW w:w="10790" w:type="dxa"/>
            <w:gridSpan w:val="2"/>
            <w:shd w:val="clear" w:color="auto" w:fill="BFBFBF" w:themeFill="background1" w:themeFillShade="BF"/>
          </w:tcPr>
          <w:p w14:paraId="1FB645D3" w14:textId="77777777" w:rsidR="009B5AA5" w:rsidRPr="00FA3F9C" w:rsidRDefault="009B5AA5" w:rsidP="008B6A8D">
            <w:pPr>
              <w:rPr>
                <w:rFonts w:ascii="Arial" w:hAnsi="Arial" w:cs="Arial"/>
                <w:sz w:val="24"/>
                <w:szCs w:val="24"/>
              </w:rPr>
            </w:pPr>
            <w:r w:rsidRPr="00FA3F9C">
              <w:rPr>
                <w:rFonts w:ascii="Arial" w:hAnsi="Arial" w:cs="Arial"/>
                <w:sz w:val="24"/>
                <w:szCs w:val="24"/>
              </w:rPr>
              <w:t xml:space="preserve">Notes: </w:t>
            </w:r>
          </w:p>
          <w:p w14:paraId="2EA16707" w14:textId="77777777" w:rsidR="009B5AA5" w:rsidRPr="00FA3F9C" w:rsidRDefault="009B5AA5" w:rsidP="008B6A8D">
            <w:pPr>
              <w:rPr>
                <w:rFonts w:ascii="Arial" w:hAnsi="Arial" w:cs="Arial"/>
                <w:sz w:val="24"/>
                <w:szCs w:val="24"/>
              </w:rPr>
            </w:pPr>
          </w:p>
          <w:p w14:paraId="00FA33F0" w14:textId="77777777" w:rsidR="009B5AA5" w:rsidRPr="00FA3F9C" w:rsidRDefault="009B5AA5" w:rsidP="008B6A8D">
            <w:pPr>
              <w:rPr>
                <w:rFonts w:ascii="Arial" w:hAnsi="Arial" w:cs="Arial"/>
                <w:sz w:val="24"/>
                <w:szCs w:val="24"/>
              </w:rPr>
            </w:pPr>
            <w:r w:rsidRPr="00FA3F9C">
              <w:rPr>
                <w:rFonts w:ascii="Arial" w:hAnsi="Arial" w:cs="Arial"/>
                <w:sz w:val="24"/>
                <w:szCs w:val="24"/>
              </w:rPr>
              <w:t xml:space="preserve">Olaparib was compared to physician’s choice of chemotherapy (vinorelbine, capecitabine, or </w:t>
            </w:r>
            <w:proofErr w:type="spellStart"/>
            <w:r w:rsidRPr="00FA3F9C">
              <w:rPr>
                <w:rFonts w:ascii="Arial" w:hAnsi="Arial" w:cs="Arial"/>
                <w:sz w:val="24"/>
                <w:szCs w:val="24"/>
              </w:rPr>
              <w:t>eribulin</w:t>
            </w:r>
            <w:proofErr w:type="spellEnd"/>
            <w:r w:rsidRPr="00FA3F9C">
              <w:rPr>
                <w:rFonts w:ascii="Arial" w:hAnsi="Arial" w:cs="Arial"/>
                <w:sz w:val="24"/>
                <w:szCs w:val="24"/>
              </w:rPr>
              <w:t xml:space="preserve">) in the above patient population. Olaparib improved progression free survival (median 7 vs 4.2 </w:t>
            </w:r>
            <w:proofErr w:type="spellStart"/>
            <w:r w:rsidRPr="00FA3F9C">
              <w:rPr>
                <w:rFonts w:ascii="Arial" w:hAnsi="Arial" w:cs="Arial"/>
                <w:sz w:val="24"/>
                <w:szCs w:val="24"/>
              </w:rPr>
              <w:t>mo</w:t>
            </w:r>
            <w:proofErr w:type="spellEnd"/>
            <w:r w:rsidRPr="00FA3F9C">
              <w:rPr>
                <w:rFonts w:ascii="Arial" w:hAnsi="Arial" w:cs="Arial"/>
                <w:sz w:val="24"/>
                <w:szCs w:val="24"/>
              </w:rPr>
              <w:t xml:space="preserve">). Overall survival was not statistically different between groups (median 19.3 vs </w:t>
            </w:r>
            <w:proofErr w:type="gramStart"/>
            <w:r w:rsidRPr="00FA3F9C">
              <w:rPr>
                <w:rFonts w:ascii="Arial" w:hAnsi="Arial" w:cs="Arial"/>
                <w:sz w:val="24"/>
                <w:szCs w:val="24"/>
              </w:rPr>
              <w:t>17.1;</w:t>
            </w:r>
            <w:proofErr w:type="gramEnd"/>
            <w:r w:rsidRPr="00FA3F9C">
              <w:rPr>
                <w:rFonts w:ascii="Arial" w:hAnsi="Arial" w:cs="Arial"/>
                <w:sz w:val="24"/>
                <w:szCs w:val="24"/>
              </w:rPr>
              <w:t xml:space="preserve"> HR 0.9, 95% CI 0.66-1.23). However, there were fewer grade 3-5 adverse events in the </w:t>
            </w:r>
            <w:proofErr w:type="spellStart"/>
            <w:r w:rsidRPr="00FA3F9C">
              <w:rPr>
                <w:rFonts w:ascii="Arial" w:hAnsi="Arial" w:cs="Arial"/>
                <w:sz w:val="24"/>
                <w:szCs w:val="24"/>
              </w:rPr>
              <w:t>olaparib</w:t>
            </w:r>
            <w:proofErr w:type="spellEnd"/>
            <w:r w:rsidRPr="00FA3F9C">
              <w:rPr>
                <w:rFonts w:ascii="Arial" w:hAnsi="Arial" w:cs="Arial"/>
                <w:sz w:val="24"/>
                <w:szCs w:val="24"/>
              </w:rPr>
              <w:t xml:space="preserve"> group (36.6% vs 50.5%). There was also a longer delay in time to deterioration (TTD) of the EORTC QLQ-C30 global health status (median TTD not reached in </w:t>
            </w:r>
            <w:proofErr w:type="spellStart"/>
            <w:r w:rsidRPr="00FA3F9C">
              <w:rPr>
                <w:rFonts w:ascii="Arial" w:hAnsi="Arial" w:cs="Arial"/>
                <w:sz w:val="24"/>
                <w:szCs w:val="24"/>
              </w:rPr>
              <w:t>olaparib</w:t>
            </w:r>
            <w:proofErr w:type="spellEnd"/>
            <w:r w:rsidRPr="00FA3F9C">
              <w:rPr>
                <w:rFonts w:ascii="Arial" w:hAnsi="Arial" w:cs="Arial"/>
                <w:sz w:val="24"/>
                <w:szCs w:val="24"/>
              </w:rPr>
              <w:t xml:space="preserve"> group versus 15.3 </w:t>
            </w:r>
            <w:proofErr w:type="spellStart"/>
            <w:r w:rsidRPr="00FA3F9C">
              <w:rPr>
                <w:rFonts w:ascii="Arial" w:hAnsi="Arial" w:cs="Arial"/>
                <w:sz w:val="24"/>
                <w:szCs w:val="24"/>
              </w:rPr>
              <w:t>mo</w:t>
            </w:r>
            <w:proofErr w:type="spellEnd"/>
            <w:r w:rsidRPr="00FA3F9C">
              <w:rPr>
                <w:rFonts w:ascii="Arial" w:hAnsi="Arial" w:cs="Arial"/>
                <w:sz w:val="24"/>
                <w:szCs w:val="24"/>
              </w:rPr>
              <w:t xml:space="preserve"> in chemo group). </w:t>
            </w:r>
          </w:p>
          <w:p w14:paraId="19A7411A" w14:textId="77777777" w:rsidR="009B5AA5" w:rsidRPr="00FA3F9C" w:rsidRDefault="009B5AA5" w:rsidP="008B6A8D">
            <w:pPr>
              <w:rPr>
                <w:rFonts w:ascii="Arial" w:hAnsi="Arial" w:cs="Arial"/>
                <w:sz w:val="24"/>
                <w:szCs w:val="24"/>
              </w:rPr>
            </w:pPr>
          </w:p>
          <w:p w14:paraId="40793DCA" w14:textId="77777777" w:rsidR="009B5AA5" w:rsidRPr="00FA3F9C" w:rsidRDefault="009B5AA5" w:rsidP="008B6A8D">
            <w:pPr>
              <w:rPr>
                <w:rFonts w:ascii="Arial" w:hAnsi="Arial" w:cs="Arial"/>
                <w:sz w:val="24"/>
                <w:szCs w:val="24"/>
              </w:rPr>
            </w:pPr>
            <w:r w:rsidRPr="00FA3F9C">
              <w:rPr>
                <w:rFonts w:ascii="Arial" w:hAnsi="Arial" w:cs="Arial"/>
                <w:sz w:val="24"/>
                <w:szCs w:val="24"/>
              </w:rPr>
              <w:t>Note: 8.2% of chemotherapy patients received a subsequent PARP inhibitor. See other notes at end of document.</w:t>
            </w:r>
          </w:p>
          <w:p w14:paraId="06444E55" w14:textId="77777777" w:rsidR="009B5AA5" w:rsidRPr="00FA3F9C" w:rsidRDefault="009B5AA5" w:rsidP="008B6A8D">
            <w:pPr>
              <w:rPr>
                <w:rFonts w:ascii="Arial" w:hAnsi="Arial" w:cs="Arial"/>
                <w:sz w:val="24"/>
                <w:szCs w:val="24"/>
              </w:rPr>
            </w:pPr>
          </w:p>
          <w:p w14:paraId="057DC9E1" w14:textId="77777777" w:rsidR="009B5AA5" w:rsidRPr="00FA3F9C" w:rsidRDefault="009B5AA5" w:rsidP="008B6A8D">
            <w:pPr>
              <w:rPr>
                <w:rFonts w:ascii="Arial" w:hAnsi="Arial" w:cs="Arial"/>
                <w:sz w:val="24"/>
                <w:szCs w:val="24"/>
              </w:rPr>
            </w:pPr>
            <w:r w:rsidRPr="00FA3F9C">
              <w:rPr>
                <w:rFonts w:ascii="Arial" w:hAnsi="Arial" w:cs="Arial"/>
                <w:sz w:val="24"/>
                <w:szCs w:val="24"/>
              </w:rPr>
              <w:t>-Dose: 300 mg bid. Treatment is continued until relapse, progression of disease, or unacceptable toxicity.</w:t>
            </w:r>
          </w:p>
          <w:p w14:paraId="45B67CA7" w14:textId="77777777" w:rsidR="009B5AA5" w:rsidRPr="00FA3F9C" w:rsidRDefault="009B5AA5" w:rsidP="008B6A8D">
            <w:pPr>
              <w:rPr>
                <w:rFonts w:ascii="Arial" w:hAnsi="Arial" w:cs="Arial"/>
                <w:sz w:val="24"/>
                <w:szCs w:val="24"/>
              </w:rPr>
            </w:pPr>
            <w:r w:rsidRPr="00FA3F9C">
              <w:rPr>
                <w:rFonts w:ascii="Arial" w:hAnsi="Arial" w:cs="Arial"/>
                <w:sz w:val="24"/>
                <w:szCs w:val="24"/>
              </w:rPr>
              <w:t xml:space="preserve">-Dose adjustments are recommended for renal impairment (200 mg bid for </w:t>
            </w:r>
            <w:proofErr w:type="spellStart"/>
            <w:r w:rsidRPr="00FA3F9C">
              <w:rPr>
                <w:rFonts w:ascii="Arial" w:hAnsi="Arial" w:cs="Arial"/>
                <w:sz w:val="24"/>
                <w:szCs w:val="24"/>
              </w:rPr>
              <w:t>CrCl</w:t>
            </w:r>
            <w:proofErr w:type="spellEnd"/>
            <w:r w:rsidRPr="00FA3F9C">
              <w:rPr>
                <w:rFonts w:ascii="Arial" w:hAnsi="Arial" w:cs="Arial"/>
                <w:sz w:val="24"/>
                <w:szCs w:val="24"/>
              </w:rPr>
              <w:t xml:space="preserve"> 31-50 ml/min) and toxicity (200-250 mg bid)</w:t>
            </w:r>
          </w:p>
          <w:p w14:paraId="04D8EA30" w14:textId="77777777" w:rsidR="009B5AA5" w:rsidRPr="00FA3F9C" w:rsidRDefault="009B5AA5" w:rsidP="008B6A8D">
            <w:pPr>
              <w:rPr>
                <w:rFonts w:ascii="Arial" w:hAnsi="Arial" w:cs="Arial"/>
                <w:sz w:val="24"/>
                <w:szCs w:val="24"/>
              </w:rPr>
            </w:pPr>
          </w:p>
          <w:p w14:paraId="109CECE9" w14:textId="77777777" w:rsidR="009B5AA5" w:rsidRPr="00FA3F9C" w:rsidRDefault="009B5AA5" w:rsidP="008B6A8D">
            <w:pPr>
              <w:rPr>
                <w:rFonts w:ascii="Arial" w:hAnsi="Arial" w:cs="Arial"/>
                <w:sz w:val="24"/>
                <w:szCs w:val="24"/>
              </w:rPr>
            </w:pPr>
            <w:r w:rsidRPr="00FA3F9C">
              <w:rPr>
                <w:rFonts w:ascii="Arial" w:hAnsi="Arial" w:cs="Arial"/>
                <w:sz w:val="24"/>
                <w:szCs w:val="24"/>
              </w:rPr>
              <w:t>References:</w:t>
            </w:r>
          </w:p>
          <w:p w14:paraId="6F396655" w14:textId="77777777" w:rsidR="009B5AA5" w:rsidRPr="00FA3F9C" w:rsidRDefault="009B5AA5" w:rsidP="00FC1E85">
            <w:pPr>
              <w:pStyle w:val="ListParagraph"/>
              <w:numPr>
                <w:ilvl w:val="0"/>
                <w:numId w:val="385"/>
              </w:numPr>
              <w:spacing w:after="160" w:line="259" w:lineRule="auto"/>
              <w:ind w:left="247" w:hanging="270"/>
              <w:rPr>
                <w:rFonts w:ascii="Arial" w:hAnsi="Arial" w:cs="Arial"/>
                <w:sz w:val="24"/>
                <w:szCs w:val="24"/>
              </w:rPr>
            </w:pPr>
            <w:r w:rsidRPr="00FA3F9C">
              <w:rPr>
                <w:rFonts w:ascii="Arial" w:hAnsi="Arial" w:cs="Arial"/>
                <w:sz w:val="24"/>
                <w:szCs w:val="24"/>
              </w:rPr>
              <w:t xml:space="preserve">Robson M et al. Olaparib for Metastatic Breast Cancer in Patients with a Germline BRCA Mutation. N </w:t>
            </w:r>
            <w:proofErr w:type="spellStart"/>
            <w:r w:rsidRPr="00FA3F9C">
              <w:rPr>
                <w:rFonts w:ascii="Arial" w:hAnsi="Arial" w:cs="Arial"/>
                <w:sz w:val="24"/>
                <w:szCs w:val="24"/>
              </w:rPr>
              <w:t>Engl</w:t>
            </w:r>
            <w:proofErr w:type="spellEnd"/>
            <w:r w:rsidRPr="00FA3F9C">
              <w:rPr>
                <w:rFonts w:ascii="Arial" w:hAnsi="Arial" w:cs="Arial"/>
                <w:sz w:val="24"/>
                <w:szCs w:val="24"/>
              </w:rPr>
              <w:t xml:space="preserve"> J Med. 2017 Aug 10;377(6):523-533. NCT02000622 PMID 28578601</w:t>
            </w:r>
          </w:p>
          <w:p w14:paraId="0817B3DB" w14:textId="77777777" w:rsidR="009B5AA5" w:rsidRPr="00FA3F9C" w:rsidRDefault="009B5AA5" w:rsidP="00FC1E85">
            <w:pPr>
              <w:pStyle w:val="ListParagraph"/>
              <w:numPr>
                <w:ilvl w:val="0"/>
                <w:numId w:val="385"/>
              </w:numPr>
              <w:spacing w:after="160" w:line="259" w:lineRule="auto"/>
              <w:ind w:left="247" w:hanging="270"/>
              <w:rPr>
                <w:rFonts w:ascii="Arial" w:hAnsi="Arial" w:cs="Arial"/>
                <w:sz w:val="24"/>
                <w:szCs w:val="24"/>
              </w:rPr>
            </w:pPr>
            <w:r w:rsidRPr="00FA3F9C">
              <w:rPr>
                <w:rFonts w:ascii="Arial" w:hAnsi="Arial" w:cs="Arial"/>
                <w:sz w:val="24"/>
                <w:szCs w:val="24"/>
              </w:rPr>
              <w:t xml:space="preserve">Robson ME et al. </w:t>
            </w:r>
            <w:proofErr w:type="spellStart"/>
            <w:r w:rsidRPr="00FA3F9C">
              <w:rPr>
                <w:rFonts w:ascii="Arial" w:hAnsi="Arial" w:cs="Arial"/>
                <w:sz w:val="24"/>
                <w:szCs w:val="24"/>
              </w:rPr>
              <w:t>OlympiAD</w:t>
            </w:r>
            <w:proofErr w:type="spellEnd"/>
            <w:r w:rsidRPr="00FA3F9C">
              <w:rPr>
                <w:rFonts w:ascii="Arial" w:hAnsi="Arial" w:cs="Arial"/>
                <w:sz w:val="24"/>
                <w:szCs w:val="24"/>
              </w:rPr>
              <w:t xml:space="preserve"> final overall survival and tolerability results: Olaparib versus chemotherapy treatment of physician's choice in patients with a germline BRCA mutation and </w:t>
            </w:r>
            <w:r w:rsidRPr="00FA3F9C">
              <w:rPr>
                <w:rFonts w:ascii="Arial" w:hAnsi="Arial" w:cs="Arial"/>
                <w:sz w:val="24"/>
                <w:szCs w:val="24"/>
              </w:rPr>
              <w:lastRenderedPageBreak/>
              <w:t>HER2-negative metastatic breast cancer. Ann Oncol. 2019 Apr 1;30(4):558-566. PMID 30689707 NCT02000622</w:t>
            </w:r>
          </w:p>
          <w:p w14:paraId="105B9E78" w14:textId="77777777" w:rsidR="009B5AA5" w:rsidRPr="00FA3F9C" w:rsidRDefault="009B5AA5" w:rsidP="00FC1E85">
            <w:pPr>
              <w:pStyle w:val="ListParagraph"/>
              <w:numPr>
                <w:ilvl w:val="0"/>
                <w:numId w:val="385"/>
              </w:numPr>
              <w:spacing w:after="160" w:line="259" w:lineRule="auto"/>
              <w:ind w:left="247" w:hanging="270"/>
              <w:rPr>
                <w:rFonts w:ascii="Arial" w:hAnsi="Arial" w:cs="Arial"/>
                <w:sz w:val="24"/>
                <w:szCs w:val="24"/>
              </w:rPr>
            </w:pPr>
            <w:r w:rsidRPr="00FA3F9C">
              <w:rPr>
                <w:rFonts w:ascii="Arial" w:hAnsi="Arial" w:cs="Arial"/>
                <w:sz w:val="24"/>
                <w:szCs w:val="24"/>
                <w:lang w:val="fr-FR"/>
              </w:rPr>
              <w:t xml:space="preserve">Robson M, </w:t>
            </w:r>
            <w:proofErr w:type="spellStart"/>
            <w:r w:rsidRPr="00FA3F9C">
              <w:rPr>
                <w:rFonts w:ascii="Arial" w:hAnsi="Arial" w:cs="Arial"/>
                <w:sz w:val="24"/>
                <w:szCs w:val="24"/>
                <w:lang w:val="fr-FR"/>
              </w:rPr>
              <w:t>Ruddy</w:t>
            </w:r>
            <w:proofErr w:type="spellEnd"/>
            <w:r w:rsidRPr="00FA3F9C">
              <w:rPr>
                <w:rFonts w:ascii="Arial" w:hAnsi="Arial" w:cs="Arial"/>
                <w:sz w:val="24"/>
                <w:szCs w:val="24"/>
                <w:lang w:val="fr-FR"/>
              </w:rPr>
              <w:t xml:space="preserve"> KJ, Im SA, et al. </w:t>
            </w:r>
            <w:r w:rsidRPr="00FA3F9C">
              <w:rPr>
                <w:rFonts w:ascii="Arial" w:hAnsi="Arial" w:cs="Arial"/>
                <w:sz w:val="24"/>
                <w:szCs w:val="24"/>
              </w:rPr>
              <w:t xml:space="preserve">Patient-reported outcomes in patients with a germline BRCA mutation and HER2-negative metastatic breast cancer receiving </w:t>
            </w:r>
            <w:proofErr w:type="spellStart"/>
            <w:r w:rsidRPr="00FA3F9C">
              <w:rPr>
                <w:rFonts w:ascii="Arial" w:hAnsi="Arial" w:cs="Arial"/>
                <w:sz w:val="24"/>
                <w:szCs w:val="24"/>
              </w:rPr>
              <w:t>olaparib</w:t>
            </w:r>
            <w:proofErr w:type="spellEnd"/>
            <w:r w:rsidRPr="00FA3F9C">
              <w:rPr>
                <w:rFonts w:ascii="Arial" w:hAnsi="Arial" w:cs="Arial"/>
                <w:sz w:val="24"/>
                <w:szCs w:val="24"/>
              </w:rPr>
              <w:t xml:space="preserve"> versus chemotherapy in the </w:t>
            </w:r>
            <w:proofErr w:type="spellStart"/>
            <w:r w:rsidRPr="00FA3F9C">
              <w:rPr>
                <w:rFonts w:ascii="Arial" w:hAnsi="Arial" w:cs="Arial"/>
                <w:sz w:val="24"/>
                <w:szCs w:val="24"/>
              </w:rPr>
              <w:t>OlympiAD</w:t>
            </w:r>
            <w:proofErr w:type="spellEnd"/>
            <w:r w:rsidRPr="00FA3F9C">
              <w:rPr>
                <w:rFonts w:ascii="Arial" w:hAnsi="Arial" w:cs="Arial"/>
                <w:sz w:val="24"/>
                <w:szCs w:val="24"/>
              </w:rPr>
              <w:t xml:space="preserve"> trial. </w:t>
            </w:r>
            <w:proofErr w:type="spellStart"/>
            <w:r w:rsidRPr="00FA3F9C">
              <w:rPr>
                <w:rFonts w:ascii="Arial" w:hAnsi="Arial" w:cs="Arial"/>
                <w:sz w:val="24"/>
                <w:szCs w:val="24"/>
              </w:rPr>
              <w:t>Eur</w:t>
            </w:r>
            <w:proofErr w:type="spellEnd"/>
            <w:r w:rsidRPr="00FA3F9C">
              <w:rPr>
                <w:rFonts w:ascii="Arial" w:hAnsi="Arial" w:cs="Arial"/>
                <w:sz w:val="24"/>
                <w:szCs w:val="24"/>
              </w:rPr>
              <w:t xml:space="preserve"> J Cancer. 2019;120:20-30. doi:10.1016/j.ejca.2019.06.023 PMID 31446213 NCT02000622</w:t>
            </w:r>
          </w:p>
        </w:tc>
      </w:tr>
    </w:tbl>
    <w:p w14:paraId="6378E60B" w14:textId="77777777" w:rsidR="009B5AA5" w:rsidRPr="00FA3F9C" w:rsidRDefault="009B5AA5" w:rsidP="006F623F">
      <w:pPr>
        <w:spacing w:after="0"/>
        <w:rPr>
          <w:rFonts w:ascii="Arial" w:hAnsi="Arial" w:cs="Arial"/>
          <w:sz w:val="24"/>
          <w:szCs w:val="24"/>
        </w:rPr>
      </w:pPr>
    </w:p>
    <w:p w14:paraId="301E11A8" w14:textId="77777777" w:rsidR="009B5AA5" w:rsidRPr="00FA3F9C" w:rsidRDefault="009B5AA5" w:rsidP="006F623F">
      <w:pPr>
        <w:spacing w:after="0"/>
        <w:rPr>
          <w:rFonts w:ascii="Arial" w:hAnsi="Arial" w:cs="Arial"/>
          <w:sz w:val="24"/>
          <w:szCs w:val="24"/>
        </w:rPr>
      </w:pPr>
    </w:p>
    <w:tbl>
      <w:tblPr>
        <w:tblStyle w:val="TableGrid"/>
        <w:tblW w:w="0" w:type="auto"/>
        <w:tblLook w:val="04A0" w:firstRow="1" w:lastRow="0" w:firstColumn="1" w:lastColumn="0" w:noHBand="0" w:noVBand="1"/>
      </w:tblPr>
      <w:tblGrid>
        <w:gridCol w:w="8755"/>
        <w:gridCol w:w="2261"/>
      </w:tblGrid>
      <w:tr w:rsidR="009B5AA5" w:rsidRPr="00FA3F9C" w14:paraId="5928AB1F" w14:textId="77777777" w:rsidTr="007A6790">
        <w:tc>
          <w:tcPr>
            <w:tcW w:w="8755" w:type="dxa"/>
            <w:shd w:val="clear" w:color="auto" w:fill="000000"/>
          </w:tcPr>
          <w:p w14:paraId="0C9835D2" w14:textId="77777777" w:rsidR="009B5AA5" w:rsidRPr="00FA3F9C" w:rsidRDefault="009B5AA5" w:rsidP="00571CAB">
            <w:pPr>
              <w:rPr>
                <w:rFonts w:ascii="Arial" w:hAnsi="Arial" w:cs="Arial"/>
                <w:b/>
                <w:sz w:val="24"/>
                <w:szCs w:val="24"/>
                <w:u w:val="single"/>
              </w:rPr>
            </w:pPr>
            <w:r w:rsidRPr="00FA3F9C">
              <w:rPr>
                <w:rFonts w:ascii="Arial" w:hAnsi="Arial" w:cs="Arial"/>
                <w:b/>
                <w:sz w:val="24"/>
                <w:szCs w:val="24"/>
                <w:u w:val="single"/>
              </w:rPr>
              <w:t>OVARIAN CANCER: Criteria for new users</w:t>
            </w:r>
          </w:p>
        </w:tc>
        <w:tc>
          <w:tcPr>
            <w:tcW w:w="2035" w:type="dxa"/>
            <w:shd w:val="clear" w:color="auto" w:fill="000000"/>
          </w:tcPr>
          <w:p w14:paraId="46558052" w14:textId="77777777" w:rsidR="009B5AA5" w:rsidRPr="00FA3F9C" w:rsidRDefault="009B5AA5" w:rsidP="006F623F">
            <w:pPr>
              <w:jc w:val="center"/>
              <w:rPr>
                <w:rFonts w:ascii="Arial" w:hAnsi="Arial" w:cs="Arial"/>
                <w:b/>
                <w:sz w:val="24"/>
                <w:szCs w:val="24"/>
                <w:u w:val="single"/>
              </w:rPr>
            </w:pPr>
          </w:p>
        </w:tc>
      </w:tr>
      <w:tr w:rsidR="009B5AA5" w:rsidRPr="00FA3F9C" w14:paraId="252B405A" w14:textId="77777777" w:rsidTr="00F337AE">
        <w:tc>
          <w:tcPr>
            <w:tcW w:w="11016" w:type="dxa"/>
            <w:gridSpan w:val="2"/>
          </w:tcPr>
          <w:p w14:paraId="08399C3B" w14:textId="77777777" w:rsidR="009B5AA5" w:rsidRPr="00FA3F9C" w:rsidRDefault="009B5AA5" w:rsidP="00FC1E85">
            <w:pPr>
              <w:pStyle w:val="ListParagraph"/>
              <w:numPr>
                <w:ilvl w:val="0"/>
                <w:numId w:val="386"/>
              </w:numPr>
              <w:rPr>
                <w:rFonts w:ascii="Arial" w:hAnsi="Arial" w:cs="Arial"/>
                <w:sz w:val="24"/>
                <w:szCs w:val="24"/>
              </w:rPr>
            </w:pPr>
            <w:r w:rsidRPr="00FA3F9C">
              <w:rPr>
                <w:rFonts w:ascii="Arial" w:hAnsi="Arial" w:cs="Arial"/>
                <w:sz w:val="24"/>
                <w:szCs w:val="24"/>
              </w:rPr>
              <w:t>Diagnosis of RECURRENT epithelial ovarian, fallopian tube or primary peritoneal cancer</w:t>
            </w:r>
          </w:p>
        </w:tc>
      </w:tr>
      <w:tr w:rsidR="009B5AA5" w:rsidRPr="00FA3F9C" w14:paraId="37CBCD0A" w14:textId="77777777" w:rsidTr="00B1617E">
        <w:tc>
          <w:tcPr>
            <w:tcW w:w="11016" w:type="dxa"/>
            <w:gridSpan w:val="2"/>
          </w:tcPr>
          <w:p w14:paraId="07508A06" w14:textId="77777777" w:rsidR="009B5AA5" w:rsidRPr="00FA3F9C" w:rsidRDefault="009B5AA5" w:rsidP="00FC1E85">
            <w:pPr>
              <w:pStyle w:val="ListParagraph"/>
              <w:numPr>
                <w:ilvl w:val="0"/>
                <w:numId w:val="386"/>
              </w:numPr>
              <w:rPr>
                <w:rFonts w:ascii="Arial" w:hAnsi="Arial" w:cs="Arial"/>
                <w:sz w:val="24"/>
                <w:szCs w:val="24"/>
              </w:rPr>
            </w:pPr>
            <w:r w:rsidRPr="00FA3F9C">
              <w:rPr>
                <w:rFonts w:ascii="Arial" w:hAnsi="Arial" w:cs="Arial"/>
                <w:sz w:val="24"/>
                <w:szCs w:val="24"/>
              </w:rPr>
              <w:t>Deleterious or suspected deleterious BRCA mutation positive</w:t>
            </w:r>
          </w:p>
        </w:tc>
      </w:tr>
      <w:tr w:rsidR="009B5AA5" w:rsidRPr="00FA3F9C" w14:paraId="487DE26A" w14:textId="77777777" w:rsidTr="0010789D">
        <w:tc>
          <w:tcPr>
            <w:tcW w:w="11016" w:type="dxa"/>
            <w:gridSpan w:val="2"/>
          </w:tcPr>
          <w:p w14:paraId="2085CFB4" w14:textId="77777777" w:rsidR="009B5AA5" w:rsidRPr="00FA3F9C" w:rsidRDefault="009B5AA5" w:rsidP="00FC1E85">
            <w:pPr>
              <w:pStyle w:val="ListParagraph"/>
              <w:numPr>
                <w:ilvl w:val="0"/>
                <w:numId w:val="386"/>
              </w:numPr>
              <w:rPr>
                <w:rFonts w:ascii="Arial" w:hAnsi="Arial" w:cs="Arial"/>
                <w:sz w:val="24"/>
                <w:szCs w:val="24"/>
              </w:rPr>
            </w:pPr>
            <w:r w:rsidRPr="00FA3F9C">
              <w:rPr>
                <w:rFonts w:ascii="Arial" w:hAnsi="Arial" w:cs="Arial"/>
                <w:sz w:val="24"/>
                <w:szCs w:val="24"/>
              </w:rPr>
              <w:t>Patient has completed platinum-based chemotherapy for treatment of recurrent disease and has achieved a partial or complete response.</w:t>
            </w:r>
          </w:p>
        </w:tc>
      </w:tr>
      <w:tr w:rsidR="009B5AA5" w:rsidRPr="00FA3F9C" w14:paraId="30EC4876" w14:textId="77777777" w:rsidTr="00DA57E0">
        <w:tc>
          <w:tcPr>
            <w:tcW w:w="11016" w:type="dxa"/>
            <w:gridSpan w:val="2"/>
          </w:tcPr>
          <w:p w14:paraId="2063D4ED" w14:textId="77777777" w:rsidR="009B5AA5" w:rsidRPr="00FA3F9C" w:rsidRDefault="009B5AA5" w:rsidP="00E42684">
            <w:pPr>
              <w:rPr>
                <w:rFonts w:ascii="Arial" w:hAnsi="Arial" w:cs="Arial"/>
                <w:sz w:val="24"/>
                <w:szCs w:val="24"/>
              </w:rPr>
            </w:pPr>
            <w:r w:rsidRPr="00FA3F9C">
              <w:rPr>
                <w:rFonts w:ascii="Arial" w:hAnsi="Arial" w:cs="Arial"/>
                <w:b/>
                <w:sz w:val="24"/>
                <w:szCs w:val="24"/>
              </w:rPr>
              <w:t>If all 3 criteria fulfilled, approve for 12 months</w:t>
            </w:r>
          </w:p>
        </w:tc>
      </w:tr>
      <w:tr w:rsidR="009B5AA5" w:rsidRPr="00FA3F9C" w14:paraId="11039FD6" w14:textId="77777777" w:rsidTr="007A6790">
        <w:tc>
          <w:tcPr>
            <w:tcW w:w="10790" w:type="dxa"/>
            <w:gridSpan w:val="2"/>
            <w:shd w:val="clear" w:color="auto" w:fill="BFBFBF" w:themeFill="background1" w:themeFillShade="BF"/>
          </w:tcPr>
          <w:p w14:paraId="73A4B1D4" w14:textId="77777777" w:rsidR="009B5AA5" w:rsidRPr="00FA3F9C" w:rsidRDefault="009B5AA5" w:rsidP="00546D0E">
            <w:pPr>
              <w:rPr>
                <w:rFonts w:ascii="Arial" w:hAnsi="Arial" w:cs="Arial"/>
                <w:sz w:val="24"/>
                <w:szCs w:val="24"/>
              </w:rPr>
            </w:pPr>
            <w:r w:rsidRPr="00FA3F9C">
              <w:rPr>
                <w:rFonts w:ascii="Arial" w:hAnsi="Arial" w:cs="Arial"/>
                <w:sz w:val="24"/>
                <w:szCs w:val="24"/>
              </w:rPr>
              <w:t xml:space="preserve">Note: </w:t>
            </w:r>
          </w:p>
          <w:p w14:paraId="1046FF7D" w14:textId="77777777" w:rsidR="009B5AA5" w:rsidRPr="00FA3F9C" w:rsidRDefault="009B5AA5" w:rsidP="00F85C78">
            <w:pPr>
              <w:rPr>
                <w:rFonts w:ascii="Arial" w:hAnsi="Arial" w:cs="Arial"/>
                <w:sz w:val="24"/>
                <w:szCs w:val="24"/>
              </w:rPr>
            </w:pPr>
            <w:r w:rsidRPr="00FA3F9C">
              <w:rPr>
                <w:rFonts w:ascii="Arial" w:hAnsi="Arial" w:cs="Arial"/>
                <w:sz w:val="24"/>
                <w:szCs w:val="24"/>
              </w:rPr>
              <w:t xml:space="preserve">-For </w:t>
            </w:r>
            <w:r w:rsidRPr="00FA3F9C">
              <w:rPr>
                <w:rFonts w:ascii="Arial" w:hAnsi="Arial" w:cs="Arial"/>
                <w:sz w:val="24"/>
                <w:szCs w:val="24"/>
                <w:highlight w:val="yellow"/>
              </w:rPr>
              <w:t>RECURRENT ovarian cancer</w:t>
            </w:r>
            <w:r w:rsidRPr="00FA3F9C">
              <w:rPr>
                <w:rFonts w:ascii="Arial" w:hAnsi="Arial" w:cs="Arial"/>
                <w:sz w:val="24"/>
                <w:szCs w:val="24"/>
              </w:rPr>
              <w:t xml:space="preserve">, </w:t>
            </w:r>
            <w:proofErr w:type="spellStart"/>
            <w:r w:rsidRPr="00FA3F9C">
              <w:rPr>
                <w:rFonts w:ascii="Arial" w:hAnsi="Arial" w:cs="Arial"/>
                <w:sz w:val="24"/>
                <w:szCs w:val="24"/>
              </w:rPr>
              <w:t>olaparib</w:t>
            </w:r>
            <w:proofErr w:type="spellEnd"/>
            <w:r w:rsidRPr="00FA3F9C">
              <w:rPr>
                <w:rFonts w:ascii="Arial" w:hAnsi="Arial" w:cs="Arial"/>
                <w:sz w:val="24"/>
                <w:szCs w:val="24"/>
              </w:rPr>
              <w:t xml:space="preserve"> has been shown to improve progression free survival (vs placebo) when given as maintenance therapy after a complete or partial response after chemotherapy</w:t>
            </w:r>
            <w:r w:rsidRPr="00FA3F9C">
              <w:rPr>
                <w:rFonts w:ascii="Arial" w:hAnsi="Arial" w:cs="Arial"/>
                <w:sz w:val="24"/>
                <w:szCs w:val="24"/>
                <w:vertAlign w:val="superscript"/>
              </w:rPr>
              <w:t>1,2</w:t>
            </w:r>
            <w:r w:rsidRPr="00FA3F9C">
              <w:rPr>
                <w:rFonts w:ascii="Arial" w:hAnsi="Arial" w:cs="Arial"/>
                <w:sz w:val="24"/>
                <w:szCs w:val="24"/>
              </w:rPr>
              <w:t xml:space="preserve">.  </w:t>
            </w:r>
          </w:p>
          <w:p w14:paraId="0EC4206D" w14:textId="77777777" w:rsidR="009B5AA5" w:rsidRPr="00FA3F9C" w:rsidRDefault="009B5AA5" w:rsidP="00546D0E">
            <w:pPr>
              <w:rPr>
                <w:rFonts w:ascii="Arial" w:hAnsi="Arial" w:cs="Arial"/>
                <w:sz w:val="24"/>
                <w:szCs w:val="24"/>
              </w:rPr>
            </w:pPr>
            <w:r w:rsidRPr="00FA3F9C">
              <w:rPr>
                <w:rFonts w:ascii="Arial" w:hAnsi="Arial" w:cs="Arial"/>
                <w:sz w:val="24"/>
                <w:szCs w:val="24"/>
              </w:rPr>
              <w:t xml:space="preserve">-Overall survival has not been shown to be improved in overall populations in clinical trials which included patients with BRCA mutated </w:t>
            </w:r>
            <w:r w:rsidRPr="00FA3F9C">
              <w:rPr>
                <w:rFonts w:ascii="Arial" w:hAnsi="Arial" w:cs="Arial"/>
                <w:sz w:val="24"/>
                <w:szCs w:val="24"/>
                <w:u w:val="single"/>
              </w:rPr>
              <w:t>and</w:t>
            </w:r>
            <w:r w:rsidRPr="00FA3F9C">
              <w:rPr>
                <w:rFonts w:ascii="Arial" w:hAnsi="Arial" w:cs="Arial"/>
                <w:sz w:val="24"/>
                <w:szCs w:val="24"/>
              </w:rPr>
              <w:t xml:space="preserve"> unmuted tumors. However, evidence shows improvement in overall survival in the subgroup of patients with a BRCA mutation.</w:t>
            </w:r>
          </w:p>
          <w:p w14:paraId="151CAA0D" w14:textId="77777777" w:rsidR="009B5AA5" w:rsidRPr="00FA3F9C" w:rsidRDefault="009B5AA5" w:rsidP="00F85C78">
            <w:pPr>
              <w:ind w:left="422"/>
              <w:rPr>
                <w:rFonts w:ascii="Arial" w:hAnsi="Arial" w:cs="Arial"/>
                <w:sz w:val="24"/>
                <w:szCs w:val="24"/>
              </w:rPr>
            </w:pPr>
            <w:r w:rsidRPr="00FA3F9C">
              <w:rPr>
                <w:rFonts w:ascii="Arial" w:hAnsi="Arial" w:cs="Arial"/>
                <w:sz w:val="24"/>
                <w:szCs w:val="24"/>
              </w:rPr>
              <w:t xml:space="preserve">-A post-hoc analysis of BRCA-mutated patients from NCT00753545, showed that, when study sites which enrolled patients who used a PARP inhibitor after the trial were excluded, overall survival was improved (POST HOC, HR 0.52 (95%CI 0.28-0.97), median OS was 34.9m </w:t>
            </w:r>
            <w:proofErr w:type="spellStart"/>
            <w:r w:rsidRPr="00FA3F9C">
              <w:rPr>
                <w:rFonts w:ascii="Arial" w:hAnsi="Arial" w:cs="Arial"/>
                <w:sz w:val="24"/>
                <w:szCs w:val="24"/>
              </w:rPr>
              <w:t>olaparib</w:t>
            </w:r>
            <w:proofErr w:type="spellEnd"/>
            <w:r w:rsidRPr="00FA3F9C">
              <w:rPr>
                <w:rFonts w:ascii="Arial" w:hAnsi="Arial" w:cs="Arial"/>
                <w:sz w:val="24"/>
                <w:szCs w:val="24"/>
              </w:rPr>
              <w:t xml:space="preserve"> vs 26.6m placebo. </w:t>
            </w:r>
          </w:p>
          <w:p w14:paraId="07B46DE6" w14:textId="77777777" w:rsidR="009B5AA5" w:rsidRPr="00FA3F9C" w:rsidRDefault="009B5AA5" w:rsidP="00F85C78">
            <w:pPr>
              <w:ind w:left="422"/>
              <w:rPr>
                <w:rFonts w:ascii="Arial" w:hAnsi="Arial" w:cs="Arial"/>
                <w:sz w:val="24"/>
                <w:szCs w:val="24"/>
              </w:rPr>
            </w:pPr>
            <w:r w:rsidRPr="00FA3F9C">
              <w:rPr>
                <w:rFonts w:ascii="Arial" w:hAnsi="Arial" w:cs="Arial"/>
                <w:sz w:val="24"/>
                <w:szCs w:val="24"/>
              </w:rPr>
              <w:t>-A follow up analysis of the SOLO2 trial</w:t>
            </w:r>
            <w:r w:rsidRPr="00FA3F9C">
              <w:rPr>
                <w:rFonts w:ascii="Arial" w:hAnsi="Arial" w:cs="Arial"/>
                <w:sz w:val="24"/>
                <w:szCs w:val="24"/>
                <w:vertAlign w:val="superscript"/>
              </w:rPr>
              <w:t>1,4</w:t>
            </w:r>
            <w:r w:rsidRPr="00FA3F9C">
              <w:rPr>
                <w:rFonts w:ascii="Arial" w:hAnsi="Arial" w:cs="Arial"/>
                <w:sz w:val="24"/>
                <w:szCs w:val="24"/>
              </w:rPr>
              <w:t xml:space="preserve"> found an improvement in overall survival in BRCA-mutated patients as assessed by Myriad’s assay. Median 52.4 </w:t>
            </w:r>
            <w:proofErr w:type="spellStart"/>
            <w:r w:rsidRPr="00FA3F9C">
              <w:rPr>
                <w:rFonts w:ascii="Arial" w:hAnsi="Arial" w:cs="Arial"/>
                <w:sz w:val="24"/>
                <w:szCs w:val="24"/>
              </w:rPr>
              <w:t>mo</w:t>
            </w:r>
            <w:proofErr w:type="spellEnd"/>
            <w:r w:rsidRPr="00FA3F9C">
              <w:rPr>
                <w:rFonts w:ascii="Arial" w:hAnsi="Arial" w:cs="Arial"/>
                <w:sz w:val="24"/>
                <w:szCs w:val="24"/>
              </w:rPr>
              <w:t xml:space="preserve"> vs 37.4 </w:t>
            </w:r>
            <w:proofErr w:type="spellStart"/>
            <w:r w:rsidRPr="00FA3F9C">
              <w:rPr>
                <w:rFonts w:ascii="Arial" w:hAnsi="Arial" w:cs="Arial"/>
                <w:sz w:val="24"/>
                <w:szCs w:val="24"/>
              </w:rPr>
              <w:t>mo</w:t>
            </w:r>
            <w:proofErr w:type="spellEnd"/>
            <w:r w:rsidRPr="00FA3F9C">
              <w:rPr>
                <w:rFonts w:ascii="Arial" w:hAnsi="Arial" w:cs="Arial"/>
                <w:sz w:val="24"/>
                <w:szCs w:val="24"/>
              </w:rPr>
              <w:t>; HR 0.71, 95% CI 0.52-0.97; p=0.0306)</w:t>
            </w:r>
          </w:p>
          <w:p w14:paraId="2FE8B45F" w14:textId="77777777" w:rsidR="009B5AA5" w:rsidRPr="00FA3F9C" w:rsidRDefault="009B5AA5" w:rsidP="00546D0E">
            <w:pPr>
              <w:rPr>
                <w:rFonts w:ascii="Arial" w:hAnsi="Arial" w:cs="Arial"/>
                <w:sz w:val="24"/>
                <w:szCs w:val="24"/>
              </w:rPr>
            </w:pPr>
            <w:r w:rsidRPr="00FA3F9C">
              <w:rPr>
                <w:rFonts w:ascii="Arial" w:hAnsi="Arial" w:cs="Arial"/>
                <w:sz w:val="24"/>
                <w:szCs w:val="24"/>
              </w:rPr>
              <w:t>-Based on the above data, EBRx will restrict use to this very specific population (</w:t>
            </w:r>
            <w:r w:rsidRPr="00FA3F9C">
              <w:rPr>
                <w:rFonts w:ascii="Arial" w:hAnsi="Arial" w:cs="Arial"/>
                <w:sz w:val="24"/>
                <w:szCs w:val="24"/>
                <w:u w:val="single"/>
              </w:rPr>
              <w:t>BRCA mutated</w:t>
            </w:r>
            <w:r w:rsidRPr="00FA3F9C">
              <w:rPr>
                <w:rFonts w:ascii="Arial" w:hAnsi="Arial" w:cs="Arial"/>
                <w:sz w:val="24"/>
                <w:szCs w:val="24"/>
              </w:rPr>
              <w:t xml:space="preserve">, RECURRENT ovarian cancer for maintenance </w:t>
            </w:r>
            <w:proofErr w:type="spellStart"/>
            <w:r w:rsidRPr="00FA3F9C">
              <w:rPr>
                <w:rFonts w:ascii="Arial" w:hAnsi="Arial" w:cs="Arial"/>
                <w:sz w:val="24"/>
                <w:szCs w:val="24"/>
              </w:rPr>
              <w:t>tx</w:t>
            </w:r>
            <w:proofErr w:type="spellEnd"/>
            <w:r w:rsidRPr="00FA3F9C">
              <w:rPr>
                <w:rFonts w:ascii="Arial" w:hAnsi="Arial" w:cs="Arial"/>
                <w:sz w:val="24"/>
                <w:szCs w:val="24"/>
              </w:rPr>
              <w:t xml:space="preserve"> after response to chemotherapy). </w:t>
            </w:r>
          </w:p>
          <w:p w14:paraId="0D5C739C" w14:textId="77777777" w:rsidR="009B5AA5" w:rsidRPr="00FA3F9C" w:rsidRDefault="009B5AA5" w:rsidP="00546D0E">
            <w:pPr>
              <w:rPr>
                <w:rFonts w:ascii="Arial" w:hAnsi="Arial" w:cs="Arial"/>
                <w:sz w:val="24"/>
                <w:szCs w:val="24"/>
              </w:rPr>
            </w:pPr>
          </w:p>
          <w:p w14:paraId="2ECBEC02" w14:textId="77777777" w:rsidR="009B5AA5" w:rsidRPr="00FA3F9C" w:rsidRDefault="009B5AA5" w:rsidP="00546D0E">
            <w:pPr>
              <w:rPr>
                <w:rFonts w:ascii="Arial" w:hAnsi="Arial" w:cs="Arial"/>
                <w:sz w:val="24"/>
                <w:szCs w:val="24"/>
              </w:rPr>
            </w:pPr>
            <w:r w:rsidRPr="00FA3F9C">
              <w:rPr>
                <w:rFonts w:ascii="Arial" w:hAnsi="Arial" w:cs="Arial"/>
                <w:sz w:val="24"/>
                <w:szCs w:val="24"/>
              </w:rPr>
              <w:lastRenderedPageBreak/>
              <w:t>-Dose: 300 mg bid. Treatment is continued until relapse, progression of disease, or unacceptable toxicity.</w:t>
            </w:r>
          </w:p>
          <w:p w14:paraId="6029D560" w14:textId="77777777" w:rsidR="009B5AA5" w:rsidRPr="00FA3F9C" w:rsidRDefault="009B5AA5" w:rsidP="00546D0E">
            <w:pPr>
              <w:rPr>
                <w:rFonts w:ascii="Arial" w:hAnsi="Arial" w:cs="Arial"/>
                <w:sz w:val="24"/>
                <w:szCs w:val="24"/>
              </w:rPr>
            </w:pPr>
            <w:r w:rsidRPr="00FA3F9C">
              <w:rPr>
                <w:rFonts w:ascii="Arial" w:hAnsi="Arial" w:cs="Arial"/>
                <w:sz w:val="24"/>
                <w:szCs w:val="24"/>
              </w:rPr>
              <w:t xml:space="preserve">-Dose adjustments are recommended for renal impairment (200 mg bid for </w:t>
            </w:r>
            <w:proofErr w:type="spellStart"/>
            <w:r w:rsidRPr="00FA3F9C">
              <w:rPr>
                <w:rFonts w:ascii="Arial" w:hAnsi="Arial" w:cs="Arial"/>
                <w:sz w:val="24"/>
                <w:szCs w:val="24"/>
              </w:rPr>
              <w:t>CrCl</w:t>
            </w:r>
            <w:proofErr w:type="spellEnd"/>
            <w:r w:rsidRPr="00FA3F9C">
              <w:rPr>
                <w:rFonts w:ascii="Arial" w:hAnsi="Arial" w:cs="Arial"/>
                <w:sz w:val="24"/>
                <w:szCs w:val="24"/>
              </w:rPr>
              <w:t xml:space="preserve"> 31-50 ml/min) and toxicity (200-250 mg bid)</w:t>
            </w:r>
          </w:p>
          <w:p w14:paraId="3FEBBD1C" w14:textId="77777777" w:rsidR="009B5AA5" w:rsidRPr="00FA3F9C" w:rsidRDefault="009B5AA5" w:rsidP="00546D0E">
            <w:pPr>
              <w:rPr>
                <w:rFonts w:ascii="Arial" w:hAnsi="Arial" w:cs="Arial"/>
                <w:sz w:val="24"/>
                <w:szCs w:val="24"/>
              </w:rPr>
            </w:pPr>
          </w:p>
          <w:p w14:paraId="51C2B0F7" w14:textId="77777777" w:rsidR="009B5AA5" w:rsidRPr="00FA3F9C" w:rsidRDefault="009B5AA5" w:rsidP="00546D0E">
            <w:pPr>
              <w:rPr>
                <w:rFonts w:ascii="Arial" w:hAnsi="Arial" w:cs="Arial"/>
                <w:sz w:val="24"/>
                <w:szCs w:val="24"/>
              </w:rPr>
            </w:pPr>
            <w:r w:rsidRPr="00FA3F9C">
              <w:rPr>
                <w:rFonts w:ascii="Arial" w:hAnsi="Arial" w:cs="Arial"/>
                <w:sz w:val="24"/>
                <w:szCs w:val="24"/>
              </w:rPr>
              <w:t>References:</w:t>
            </w:r>
          </w:p>
          <w:p w14:paraId="350BCCBF" w14:textId="77777777" w:rsidR="009B5AA5" w:rsidRPr="00FA3F9C" w:rsidRDefault="009B5AA5" w:rsidP="00FC1E85">
            <w:pPr>
              <w:pStyle w:val="ListParagraph"/>
              <w:numPr>
                <w:ilvl w:val="0"/>
                <w:numId w:val="384"/>
              </w:numPr>
              <w:ind w:left="158" w:hanging="181"/>
              <w:rPr>
                <w:rFonts w:ascii="Arial" w:hAnsi="Arial" w:cs="Arial"/>
                <w:sz w:val="24"/>
                <w:szCs w:val="24"/>
              </w:rPr>
            </w:pPr>
            <w:proofErr w:type="spellStart"/>
            <w:r w:rsidRPr="00FA3F9C">
              <w:rPr>
                <w:rFonts w:ascii="Arial" w:hAnsi="Arial" w:cs="Arial"/>
                <w:sz w:val="24"/>
                <w:szCs w:val="24"/>
                <w:lang w:val="fr-FR"/>
              </w:rPr>
              <w:t>Pujade-Lauraine</w:t>
            </w:r>
            <w:proofErr w:type="spellEnd"/>
            <w:r w:rsidRPr="00FA3F9C">
              <w:rPr>
                <w:rFonts w:ascii="Arial" w:hAnsi="Arial" w:cs="Arial"/>
                <w:sz w:val="24"/>
                <w:szCs w:val="24"/>
                <w:lang w:val="fr-FR"/>
              </w:rPr>
              <w:t xml:space="preserve">, </w:t>
            </w:r>
            <w:proofErr w:type="spellStart"/>
            <w:r w:rsidRPr="00FA3F9C">
              <w:rPr>
                <w:rFonts w:ascii="Arial" w:hAnsi="Arial" w:cs="Arial"/>
                <w:sz w:val="24"/>
                <w:szCs w:val="24"/>
                <w:lang w:val="fr-FR"/>
              </w:rPr>
              <w:t>Eric</w:t>
            </w:r>
            <w:proofErr w:type="spellEnd"/>
            <w:r w:rsidRPr="00FA3F9C">
              <w:rPr>
                <w:rFonts w:ascii="Arial" w:hAnsi="Arial" w:cs="Arial"/>
                <w:sz w:val="24"/>
                <w:szCs w:val="24"/>
                <w:lang w:val="fr-FR"/>
              </w:rPr>
              <w:t xml:space="preserve">, et al. </w:t>
            </w:r>
            <w:r w:rsidRPr="00FA3F9C">
              <w:rPr>
                <w:rFonts w:ascii="Arial" w:hAnsi="Arial" w:cs="Arial"/>
                <w:sz w:val="24"/>
                <w:szCs w:val="24"/>
              </w:rPr>
              <w:t xml:space="preserve">"Olaparib tablets as maintenance therapy in patients with platinum-sensitive, relapsed ovarian cancer and a BRCA1/2 mutation (SOLO2/ENGOT-Ov21): a double-blind, </w:t>
            </w:r>
            <w:proofErr w:type="spellStart"/>
            <w:r w:rsidRPr="00FA3F9C">
              <w:rPr>
                <w:rFonts w:ascii="Arial" w:hAnsi="Arial" w:cs="Arial"/>
                <w:sz w:val="24"/>
                <w:szCs w:val="24"/>
              </w:rPr>
              <w:t>randomised</w:t>
            </w:r>
            <w:proofErr w:type="spellEnd"/>
            <w:r w:rsidRPr="00FA3F9C">
              <w:rPr>
                <w:rFonts w:ascii="Arial" w:hAnsi="Arial" w:cs="Arial"/>
                <w:sz w:val="24"/>
                <w:szCs w:val="24"/>
              </w:rPr>
              <w:t>, placebo-controlled, phase 3 trial." The Lancet Oncology 18.9 (2017): 1274-1284.</w:t>
            </w:r>
          </w:p>
          <w:p w14:paraId="20BA8D23" w14:textId="77777777" w:rsidR="009B5AA5" w:rsidRPr="00FA3F9C" w:rsidRDefault="009B5AA5" w:rsidP="00FC1E85">
            <w:pPr>
              <w:pStyle w:val="ListParagraph"/>
              <w:numPr>
                <w:ilvl w:val="0"/>
                <w:numId w:val="384"/>
              </w:numPr>
              <w:ind w:left="158" w:hanging="181"/>
              <w:rPr>
                <w:rFonts w:ascii="Arial" w:hAnsi="Arial" w:cs="Arial"/>
                <w:sz w:val="24"/>
                <w:szCs w:val="24"/>
              </w:rPr>
            </w:pPr>
            <w:r w:rsidRPr="00FA3F9C">
              <w:rPr>
                <w:rFonts w:ascii="Arial" w:hAnsi="Arial" w:cs="Arial"/>
                <w:sz w:val="24"/>
                <w:szCs w:val="24"/>
              </w:rPr>
              <w:t xml:space="preserve">Ledermann, Jonathan A., et al. "Overall survival in patients with platinum-sensitive recurrent serous ovarian cancer receiving </w:t>
            </w:r>
            <w:proofErr w:type="spellStart"/>
            <w:r w:rsidRPr="00FA3F9C">
              <w:rPr>
                <w:rFonts w:ascii="Arial" w:hAnsi="Arial" w:cs="Arial"/>
                <w:sz w:val="24"/>
                <w:szCs w:val="24"/>
              </w:rPr>
              <w:t>olaparib</w:t>
            </w:r>
            <w:proofErr w:type="spellEnd"/>
            <w:r w:rsidRPr="00FA3F9C">
              <w:rPr>
                <w:rFonts w:ascii="Arial" w:hAnsi="Arial" w:cs="Arial"/>
                <w:sz w:val="24"/>
                <w:szCs w:val="24"/>
              </w:rPr>
              <w:t xml:space="preserve"> maintenance monotherapy: an updated analysis from a </w:t>
            </w:r>
            <w:proofErr w:type="spellStart"/>
            <w:r w:rsidRPr="00FA3F9C">
              <w:rPr>
                <w:rFonts w:ascii="Arial" w:hAnsi="Arial" w:cs="Arial"/>
                <w:sz w:val="24"/>
                <w:szCs w:val="24"/>
              </w:rPr>
              <w:t>randomised</w:t>
            </w:r>
            <w:proofErr w:type="spellEnd"/>
            <w:r w:rsidRPr="00FA3F9C">
              <w:rPr>
                <w:rFonts w:ascii="Arial" w:hAnsi="Arial" w:cs="Arial"/>
                <w:sz w:val="24"/>
                <w:szCs w:val="24"/>
              </w:rPr>
              <w:t>, placebo-controlled, double-blind, phase 2 trial." The lancet oncology 17.11 (2016): 1579-1589. NCT00753545</w:t>
            </w:r>
          </w:p>
          <w:p w14:paraId="2FC531B6" w14:textId="77777777" w:rsidR="009B5AA5" w:rsidRPr="00FA3F9C" w:rsidRDefault="009B5AA5" w:rsidP="00FC1E85">
            <w:pPr>
              <w:pStyle w:val="ListParagraph"/>
              <w:numPr>
                <w:ilvl w:val="0"/>
                <w:numId w:val="384"/>
              </w:numPr>
              <w:ind w:left="158" w:hanging="181"/>
              <w:rPr>
                <w:rFonts w:ascii="Arial" w:hAnsi="Arial" w:cs="Arial"/>
                <w:sz w:val="24"/>
                <w:szCs w:val="24"/>
              </w:rPr>
            </w:pPr>
            <w:proofErr w:type="spellStart"/>
            <w:r w:rsidRPr="00FA3F9C">
              <w:rPr>
                <w:rFonts w:ascii="Arial" w:hAnsi="Arial" w:cs="Arial"/>
                <w:sz w:val="24"/>
                <w:szCs w:val="24"/>
              </w:rPr>
              <w:t>Matulonis</w:t>
            </w:r>
            <w:proofErr w:type="spellEnd"/>
            <w:r w:rsidRPr="00FA3F9C">
              <w:rPr>
                <w:rFonts w:ascii="Arial" w:hAnsi="Arial" w:cs="Arial"/>
                <w:sz w:val="24"/>
                <w:szCs w:val="24"/>
              </w:rPr>
              <w:t xml:space="preserve"> UA et al. Olaparib maintenance therapy in patients with platinum-sensitive, relapsed serous ovarian cancer and a BRCA mutation: Overall survival adjusted for </w:t>
            </w:r>
            <w:proofErr w:type="spellStart"/>
            <w:r w:rsidRPr="00FA3F9C">
              <w:rPr>
                <w:rFonts w:ascii="Arial" w:hAnsi="Arial" w:cs="Arial"/>
                <w:sz w:val="24"/>
                <w:szCs w:val="24"/>
              </w:rPr>
              <w:t>postprogression</w:t>
            </w:r>
            <w:proofErr w:type="spellEnd"/>
            <w:r w:rsidRPr="00FA3F9C">
              <w:rPr>
                <w:rFonts w:ascii="Arial" w:hAnsi="Arial" w:cs="Arial"/>
                <w:sz w:val="24"/>
                <w:szCs w:val="24"/>
              </w:rPr>
              <w:t xml:space="preserve"> poly(adenosine diphosphate ribose) polymerase inhibitor therapy. Cancer. 2016 Jun 15;122(12):1844-52. </w:t>
            </w:r>
            <w:hyperlink r:id="rId303" w:history="1">
              <w:r w:rsidRPr="00FA3F9C">
                <w:rPr>
                  <w:rStyle w:val="Hyperlink"/>
                  <w:rFonts w:ascii="Arial" w:hAnsi="Arial" w:cs="Arial"/>
                  <w:sz w:val="24"/>
                  <w:szCs w:val="24"/>
                </w:rPr>
                <w:t>https://onlinelibrary.wiley.com/doi/epdf/10.1002/cncr.29995</w:t>
              </w:r>
            </w:hyperlink>
          </w:p>
          <w:p w14:paraId="3B10DD39" w14:textId="77777777" w:rsidR="009B5AA5" w:rsidRPr="00FA3F9C" w:rsidRDefault="009B5AA5" w:rsidP="00FC1E85">
            <w:pPr>
              <w:pStyle w:val="ListParagraph"/>
              <w:numPr>
                <w:ilvl w:val="0"/>
                <w:numId w:val="384"/>
              </w:numPr>
              <w:ind w:left="158" w:hanging="181"/>
              <w:rPr>
                <w:rFonts w:ascii="Arial" w:hAnsi="Arial" w:cs="Arial"/>
                <w:b/>
                <w:sz w:val="24"/>
                <w:szCs w:val="24"/>
              </w:rPr>
            </w:pPr>
            <w:r w:rsidRPr="00FA3F9C">
              <w:rPr>
                <w:rFonts w:ascii="Arial" w:hAnsi="Arial" w:cs="Arial"/>
                <w:color w:val="000000"/>
                <w:sz w:val="24"/>
                <w:szCs w:val="24"/>
              </w:rPr>
              <w:t xml:space="preserve">Poveda A et al. Final overall survival (OS) results from SOLO2/ENGOT-ov21: A phase III trial assessing maintenance </w:t>
            </w:r>
            <w:proofErr w:type="spellStart"/>
            <w:r w:rsidRPr="00FA3F9C">
              <w:rPr>
                <w:rFonts w:ascii="Arial" w:hAnsi="Arial" w:cs="Arial"/>
                <w:color w:val="000000"/>
                <w:sz w:val="24"/>
                <w:szCs w:val="24"/>
              </w:rPr>
              <w:t>olaparib</w:t>
            </w:r>
            <w:proofErr w:type="spellEnd"/>
            <w:r w:rsidRPr="00FA3F9C">
              <w:rPr>
                <w:rFonts w:ascii="Arial" w:hAnsi="Arial" w:cs="Arial"/>
                <w:color w:val="000000"/>
                <w:sz w:val="24"/>
                <w:szCs w:val="24"/>
              </w:rPr>
              <w:t xml:space="preserve"> in patients (pts) with platinum-sensitive, relapsed ovarian cancer and a BRCA </w:t>
            </w:r>
            <w:proofErr w:type="spellStart"/>
            <w:r w:rsidRPr="00FA3F9C">
              <w:rPr>
                <w:rFonts w:ascii="Arial" w:hAnsi="Arial" w:cs="Arial"/>
                <w:color w:val="000000"/>
                <w:sz w:val="24"/>
                <w:szCs w:val="24"/>
              </w:rPr>
              <w:t>mutation.J</w:t>
            </w:r>
            <w:proofErr w:type="spellEnd"/>
            <w:r w:rsidRPr="00FA3F9C">
              <w:rPr>
                <w:rFonts w:ascii="Arial" w:hAnsi="Arial" w:cs="Arial"/>
                <w:color w:val="000000"/>
                <w:sz w:val="24"/>
                <w:szCs w:val="24"/>
              </w:rPr>
              <w:t xml:space="preserve"> Clin Oncol 38: 2020 (suppl; </w:t>
            </w:r>
            <w:proofErr w:type="spellStart"/>
            <w:r w:rsidRPr="00FA3F9C">
              <w:rPr>
                <w:rFonts w:ascii="Arial" w:hAnsi="Arial" w:cs="Arial"/>
                <w:color w:val="000000"/>
                <w:sz w:val="24"/>
                <w:szCs w:val="24"/>
              </w:rPr>
              <w:t>abstr</w:t>
            </w:r>
            <w:proofErr w:type="spellEnd"/>
            <w:r w:rsidRPr="00FA3F9C">
              <w:rPr>
                <w:rFonts w:ascii="Arial" w:hAnsi="Arial" w:cs="Arial"/>
                <w:color w:val="000000"/>
                <w:sz w:val="24"/>
                <w:szCs w:val="24"/>
              </w:rPr>
              <w:t xml:space="preserve"> 6002). </w:t>
            </w:r>
            <w:hyperlink r:id="rId304" w:history="1">
              <w:r w:rsidRPr="00FA3F9C">
                <w:rPr>
                  <w:rStyle w:val="Hyperlink"/>
                  <w:rFonts w:ascii="Arial" w:hAnsi="Arial" w:cs="Arial"/>
                  <w:sz w:val="24"/>
                  <w:szCs w:val="24"/>
                </w:rPr>
                <w:t>https://meetinglibrary.asco.org/record/185419/abstract</w:t>
              </w:r>
            </w:hyperlink>
            <w:r w:rsidRPr="00FA3F9C">
              <w:rPr>
                <w:rFonts w:ascii="Arial" w:hAnsi="Arial" w:cs="Arial"/>
                <w:sz w:val="24"/>
                <w:szCs w:val="24"/>
              </w:rPr>
              <w:t>.</w:t>
            </w:r>
            <w:r w:rsidRPr="00FA3F9C">
              <w:rPr>
                <w:rFonts w:ascii="Arial" w:hAnsi="Arial" w:cs="Arial"/>
                <w:b/>
                <w:sz w:val="24"/>
                <w:szCs w:val="24"/>
              </w:rPr>
              <w:t xml:space="preserve"> </w:t>
            </w:r>
          </w:p>
        </w:tc>
      </w:tr>
    </w:tbl>
    <w:p w14:paraId="53179D32" w14:textId="77777777" w:rsidR="009B5AA5" w:rsidRPr="00FA3F9C" w:rsidRDefault="009B5AA5" w:rsidP="006F623F">
      <w:pPr>
        <w:spacing w:after="0"/>
        <w:rPr>
          <w:rFonts w:ascii="Arial" w:hAnsi="Arial" w:cs="Arial"/>
          <w:b/>
          <w:sz w:val="24"/>
          <w:szCs w:val="24"/>
          <w:u w:val="single"/>
        </w:rPr>
      </w:pPr>
    </w:p>
    <w:tbl>
      <w:tblPr>
        <w:tblStyle w:val="TableGrid"/>
        <w:tblW w:w="0" w:type="auto"/>
        <w:tblLook w:val="04A0" w:firstRow="1" w:lastRow="0" w:firstColumn="1" w:lastColumn="0" w:noHBand="0" w:noVBand="1"/>
      </w:tblPr>
      <w:tblGrid>
        <w:gridCol w:w="8928"/>
        <w:gridCol w:w="2088"/>
      </w:tblGrid>
      <w:tr w:rsidR="009B5AA5" w:rsidRPr="00FA3F9C" w14:paraId="59AE5D78" w14:textId="77777777" w:rsidTr="00000444">
        <w:tc>
          <w:tcPr>
            <w:tcW w:w="8928" w:type="dxa"/>
            <w:shd w:val="clear" w:color="auto" w:fill="000000"/>
          </w:tcPr>
          <w:p w14:paraId="4BF679CE" w14:textId="77777777" w:rsidR="009B5AA5" w:rsidRPr="00FA3F9C" w:rsidRDefault="009B5AA5" w:rsidP="00000444">
            <w:pPr>
              <w:rPr>
                <w:rFonts w:ascii="Arial" w:hAnsi="Arial" w:cs="Arial"/>
                <w:b/>
                <w:sz w:val="24"/>
                <w:szCs w:val="24"/>
                <w:u w:val="single"/>
              </w:rPr>
            </w:pPr>
            <w:r w:rsidRPr="00FA3F9C">
              <w:rPr>
                <w:rFonts w:ascii="Arial" w:hAnsi="Arial" w:cs="Arial"/>
                <w:b/>
                <w:sz w:val="24"/>
                <w:szCs w:val="24"/>
                <w:u w:val="single"/>
              </w:rPr>
              <w:t>PROSTATE CANCER: Criteria for new users</w:t>
            </w:r>
          </w:p>
        </w:tc>
        <w:tc>
          <w:tcPr>
            <w:tcW w:w="2088" w:type="dxa"/>
            <w:shd w:val="clear" w:color="auto" w:fill="000000"/>
          </w:tcPr>
          <w:p w14:paraId="49ABAA3A" w14:textId="77777777" w:rsidR="009B5AA5" w:rsidRPr="00FA3F9C" w:rsidRDefault="009B5AA5" w:rsidP="00000444">
            <w:pPr>
              <w:jc w:val="center"/>
              <w:rPr>
                <w:rFonts w:ascii="Arial" w:hAnsi="Arial" w:cs="Arial"/>
                <w:b/>
                <w:sz w:val="24"/>
                <w:szCs w:val="24"/>
                <w:u w:val="single"/>
              </w:rPr>
            </w:pPr>
          </w:p>
        </w:tc>
      </w:tr>
      <w:tr w:rsidR="009B5AA5" w:rsidRPr="00FA3F9C" w14:paraId="10175EA8" w14:textId="77777777" w:rsidTr="00000444">
        <w:tc>
          <w:tcPr>
            <w:tcW w:w="11016" w:type="dxa"/>
            <w:gridSpan w:val="2"/>
          </w:tcPr>
          <w:p w14:paraId="11449BBD" w14:textId="77777777" w:rsidR="009B5AA5" w:rsidRPr="00FA3F9C" w:rsidRDefault="009B5AA5" w:rsidP="00FC1E85">
            <w:pPr>
              <w:pStyle w:val="ListParagraph"/>
              <w:numPr>
                <w:ilvl w:val="0"/>
                <w:numId w:val="387"/>
              </w:numPr>
              <w:ind w:left="242" w:hanging="270"/>
              <w:rPr>
                <w:rFonts w:ascii="Arial" w:hAnsi="Arial" w:cs="Arial"/>
                <w:sz w:val="24"/>
                <w:szCs w:val="24"/>
              </w:rPr>
            </w:pPr>
            <w:r w:rsidRPr="00FA3F9C">
              <w:rPr>
                <w:rFonts w:ascii="Arial" w:hAnsi="Arial" w:cs="Arial"/>
                <w:sz w:val="24"/>
                <w:szCs w:val="24"/>
              </w:rPr>
              <w:t>Diagnosis of castration resistant prostate cancer (</w:t>
            </w:r>
            <w:proofErr w:type="spellStart"/>
            <w:r w:rsidRPr="00FA3F9C">
              <w:rPr>
                <w:rFonts w:ascii="Arial" w:hAnsi="Arial" w:cs="Arial"/>
                <w:sz w:val="24"/>
                <w:szCs w:val="24"/>
              </w:rPr>
              <w:t>mCRPC</w:t>
            </w:r>
            <w:proofErr w:type="spellEnd"/>
            <w:r w:rsidRPr="00FA3F9C">
              <w:rPr>
                <w:rFonts w:ascii="Arial" w:hAnsi="Arial" w:cs="Arial"/>
                <w:sz w:val="24"/>
                <w:szCs w:val="24"/>
              </w:rPr>
              <w:t>). Note:  Castration-resistant prostate cancer (CRPC) is defined as progression of disease (rising PSA or increase in tumor size on imaging) when testosterone level is &lt;50 ng/dl (due to LHRH agonist/antagonist OR orchiectomy).</w:t>
            </w:r>
          </w:p>
        </w:tc>
      </w:tr>
      <w:tr w:rsidR="009B5AA5" w:rsidRPr="00FA3F9C" w14:paraId="1B0CC479" w14:textId="77777777" w:rsidTr="00000444">
        <w:tc>
          <w:tcPr>
            <w:tcW w:w="11016" w:type="dxa"/>
            <w:gridSpan w:val="2"/>
          </w:tcPr>
          <w:p w14:paraId="6B9700F6" w14:textId="77777777" w:rsidR="009B5AA5" w:rsidRPr="00FA3F9C" w:rsidRDefault="009B5AA5" w:rsidP="00FC1E85">
            <w:pPr>
              <w:pStyle w:val="ListParagraph"/>
              <w:numPr>
                <w:ilvl w:val="0"/>
                <w:numId w:val="387"/>
              </w:numPr>
              <w:ind w:left="242" w:hanging="270"/>
              <w:rPr>
                <w:rFonts w:ascii="Arial" w:hAnsi="Arial" w:cs="Arial"/>
                <w:sz w:val="24"/>
                <w:szCs w:val="24"/>
              </w:rPr>
            </w:pPr>
            <w:r w:rsidRPr="00FA3F9C">
              <w:rPr>
                <w:rFonts w:ascii="Arial" w:hAnsi="Arial" w:cs="Arial"/>
                <w:sz w:val="24"/>
                <w:szCs w:val="24"/>
              </w:rPr>
              <w:t>Presence of metastatic disease</w:t>
            </w:r>
          </w:p>
        </w:tc>
      </w:tr>
      <w:tr w:rsidR="009B5AA5" w:rsidRPr="00FA3F9C" w14:paraId="6E4CBD22" w14:textId="77777777" w:rsidTr="00000444">
        <w:tc>
          <w:tcPr>
            <w:tcW w:w="11016" w:type="dxa"/>
            <w:gridSpan w:val="2"/>
          </w:tcPr>
          <w:p w14:paraId="53DA0709" w14:textId="77777777" w:rsidR="009B5AA5" w:rsidRPr="00FA3F9C" w:rsidRDefault="009B5AA5" w:rsidP="00FC1E85">
            <w:pPr>
              <w:pStyle w:val="ListParagraph"/>
              <w:numPr>
                <w:ilvl w:val="0"/>
                <w:numId w:val="387"/>
              </w:numPr>
              <w:ind w:left="242" w:hanging="270"/>
              <w:rPr>
                <w:rFonts w:ascii="Arial" w:hAnsi="Arial" w:cs="Arial"/>
                <w:sz w:val="24"/>
                <w:szCs w:val="24"/>
              </w:rPr>
            </w:pPr>
            <w:r w:rsidRPr="00FA3F9C">
              <w:rPr>
                <w:rFonts w:ascii="Arial" w:hAnsi="Arial" w:cs="Arial"/>
                <w:sz w:val="24"/>
                <w:szCs w:val="24"/>
              </w:rPr>
              <w:t>Disease progression on abiraterone OR enzalutamide</w:t>
            </w:r>
          </w:p>
        </w:tc>
      </w:tr>
      <w:tr w:rsidR="009B5AA5" w:rsidRPr="00FA3F9C" w14:paraId="48699F62" w14:textId="77777777" w:rsidTr="00000444">
        <w:tc>
          <w:tcPr>
            <w:tcW w:w="11016" w:type="dxa"/>
            <w:gridSpan w:val="2"/>
          </w:tcPr>
          <w:p w14:paraId="1100AB87" w14:textId="77777777" w:rsidR="009B5AA5" w:rsidRPr="00FA3F9C" w:rsidRDefault="009B5AA5" w:rsidP="00FC1E85">
            <w:pPr>
              <w:pStyle w:val="ListParagraph"/>
              <w:numPr>
                <w:ilvl w:val="0"/>
                <w:numId w:val="387"/>
              </w:numPr>
              <w:ind w:left="242" w:hanging="270"/>
              <w:rPr>
                <w:rFonts w:ascii="Arial" w:hAnsi="Arial" w:cs="Arial"/>
                <w:sz w:val="24"/>
                <w:szCs w:val="24"/>
              </w:rPr>
            </w:pPr>
            <w:r w:rsidRPr="00FA3F9C">
              <w:rPr>
                <w:rFonts w:ascii="Arial" w:hAnsi="Arial" w:cs="Arial"/>
                <w:sz w:val="24"/>
                <w:szCs w:val="24"/>
              </w:rPr>
              <w:t xml:space="preserve">Alteration in at least 1 of the following 15 genes: </w:t>
            </w:r>
          </w:p>
          <w:p w14:paraId="61C11C5A" w14:textId="77777777" w:rsidR="009B5AA5" w:rsidRPr="00FA3F9C" w:rsidRDefault="009B5AA5" w:rsidP="00F9088C">
            <w:pPr>
              <w:pStyle w:val="ListParagraph"/>
              <w:ind w:left="242" w:hanging="270"/>
              <w:rPr>
                <w:rFonts w:ascii="Arial" w:hAnsi="Arial" w:cs="Arial"/>
                <w:i/>
                <w:sz w:val="24"/>
                <w:szCs w:val="24"/>
              </w:rPr>
            </w:pPr>
            <w:r w:rsidRPr="00FA3F9C">
              <w:rPr>
                <w:rFonts w:ascii="Arial" w:hAnsi="Arial" w:cs="Arial"/>
                <w:sz w:val="24"/>
                <w:szCs w:val="24"/>
              </w:rPr>
              <w:t xml:space="preserve">     </w:t>
            </w:r>
            <w:r w:rsidRPr="00FA3F9C">
              <w:rPr>
                <w:rFonts w:ascii="Arial" w:hAnsi="Arial" w:cs="Arial"/>
                <w:i/>
                <w:sz w:val="24"/>
                <w:szCs w:val="24"/>
              </w:rPr>
              <w:t>BRCA1, BRCA2, ATM, BRIP1, BARD1, CDK12, CHEK1, CHEK2, FANCL, PALB2, PPP2R2A, RAD51B, RAD51C, RAD51D, RAD54L</w:t>
            </w:r>
          </w:p>
        </w:tc>
      </w:tr>
      <w:tr w:rsidR="009B5AA5" w:rsidRPr="00FA3F9C" w14:paraId="7F276F58" w14:textId="77777777" w:rsidTr="00000444">
        <w:tc>
          <w:tcPr>
            <w:tcW w:w="11016" w:type="dxa"/>
            <w:gridSpan w:val="2"/>
          </w:tcPr>
          <w:p w14:paraId="171441A7" w14:textId="77777777" w:rsidR="009B5AA5" w:rsidRPr="00FA3F9C" w:rsidRDefault="009B5AA5" w:rsidP="00000444">
            <w:pPr>
              <w:rPr>
                <w:rFonts w:ascii="Arial" w:hAnsi="Arial" w:cs="Arial"/>
                <w:sz w:val="24"/>
                <w:szCs w:val="24"/>
              </w:rPr>
            </w:pPr>
            <w:r w:rsidRPr="00FA3F9C">
              <w:rPr>
                <w:rFonts w:ascii="Arial" w:hAnsi="Arial" w:cs="Arial"/>
                <w:b/>
                <w:sz w:val="24"/>
                <w:szCs w:val="24"/>
              </w:rPr>
              <w:t>If all criteria fulfilled, approve for 12 months</w:t>
            </w:r>
          </w:p>
        </w:tc>
      </w:tr>
      <w:tr w:rsidR="009B5AA5" w:rsidRPr="00FA3F9C" w14:paraId="73072F32" w14:textId="77777777" w:rsidTr="00000444">
        <w:tc>
          <w:tcPr>
            <w:tcW w:w="11016" w:type="dxa"/>
            <w:gridSpan w:val="2"/>
            <w:shd w:val="clear" w:color="auto" w:fill="BFBFBF" w:themeFill="background1" w:themeFillShade="BF"/>
          </w:tcPr>
          <w:p w14:paraId="26E76E58" w14:textId="77777777" w:rsidR="009B5AA5" w:rsidRPr="00FA3F9C" w:rsidRDefault="009B5AA5" w:rsidP="00000444">
            <w:pPr>
              <w:rPr>
                <w:rFonts w:ascii="Arial" w:hAnsi="Arial" w:cs="Arial"/>
                <w:sz w:val="24"/>
                <w:szCs w:val="24"/>
              </w:rPr>
            </w:pPr>
            <w:r w:rsidRPr="00FA3F9C">
              <w:rPr>
                <w:rFonts w:ascii="Arial" w:hAnsi="Arial" w:cs="Arial"/>
                <w:sz w:val="24"/>
                <w:szCs w:val="24"/>
              </w:rPr>
              <w:t xml:space="preserve">Note: </w:t>
            </w:r>
          </w:p>
          <w:p w14:paraId="1780E4B0" w14:textId="77777777" w:rsidR="009B5AA5" w:rsidRPr="00FA3F9C" w:rsidRDefault="009B5AA5" w:rsidP="00F9088C">
            <w:pPr>
              <w:rPr>
                <w:rFonts w:ascii="Arial" w:hAnsi="Arial" w:cs="Arial"/>
                <w:sz w:val="24"/>
                <w:szCs w:val="24"/>
              </w:rPr>
            </w:pPr>
            <w:r w:rsidRPr="00FA3F9C">
              <w:rPr>
                <w:rFonts w:ascii="Arial" w:hAnsi="Arial" w:cs="Arial"/>
                <w:sz w:val="24"/>
                <w:szCs w:val="24"/>
              </w:rPr>
              <w:lastRenderedPageBreak/>
              <w:t xml:space="preserve">-The population described in the criteria were randomized to either </w:t>
            </w:r>
            <w:proofErr w:type="spellStart"/>
            <w:r w:rsidRPr="00FA3F9C">
              <w:rPr>
                <w:rFonts w:ascii="Arial" w:hAnsi="Arial" w:cs="Arial"/>
                <w:sz w:val="24"/>
                <w:szCs w:val="24"/>
              </w:rPr>
              <w:t>olaparib</w:t>
            </w:r>
            <w:proofErr w:type="spellEnd"/>
            <w:r w:rsidRPr="00FA3F9C">
              <w:rPr>
                <w:rFonts w:ascii="Arial" w:hAnsi="Arial" w:cs="Arial"/>
                <w:sz w:val="24"/>
                <w:szCs w:val="24"/>
              </w:rPr>
              <w:t xml:space="preserve"> or physician’s choice of enzalutamide or abiraterone. The median overall survival at interim analysis was 17.5 months in the </w:t>
            </w:r>
            <w:proofErr w:type="spellStart"/>
            <w:r w:rsidRPr="00FA3F9C">
              <w:rPr>
                <w:rFonts w:ascii="Arial" w:hAnsi="Arial" w:cs="Arial"/>
                <w:sz w:val="24"/>
                <w:szCs w:val="24"/>
              </w:rPr>
              <w:t>olaparib</w:t>
            </w:r>
            <w:proofErr w:type="spellEnd"/>
            <w:r w:rsidRPr="00FA3F9C">
              <w:rPr>
                <w:rFonts w:ascii="Arial" w:hAnsi="Arial" w:cs="Arial"/>
                <w:sz w:val="24"/>
                <w:szCs w:val="24"/>
              </w:rPr>
              <w:t xml:space="preserve"> group and 14.3 months in the control group (HR, 0.67; 95% CI, 0.49 to 0.93). This improvement occurred despite 82% of control group crossing over to </w:t>
            </w:r>
            <w:proofErr w:type="spellStart"/>
            <w:r w:rsidRPr="00FA3F9C">
              <w:rPr>
                <w:rFonts w:ascii="Arial" w:hAnsi="Arial" w:cs="Arial"/>
                <w:sz w:val="24"/>
                <w:szCs w:val="24"/>
              </w:rPr>
              <w:t>olaparib</w:t>
            </w:r>
            <w:proofErr w:type="spellEnd"/>
            <w:r w:rsidRPr="00FA3F9C">
              <w:rPr>
                <w:rFonts w:ascii="Arial" w:hAnsi="Arial" w:cs="Arial"/>
                <w:sz w:val="24"/>
                <w:szCs w:val="24"/>
              </w:rPr>
              <w:t xml:space="preserve"> treatment. Also, at 6 months, more patients in the </w:t>
            </w:r>
            <w:proofErr w:type="spellStart"/>
            <w:r w:rsidRPr="00FA3F9C">
              <w:rPr>
                <w:rFonts w:ascii="Arial" w:hAnsi="Arial" w:cs="Arial"/>
                <w:sz w:val="24"/>
                <w:szCs w:val="24"/>
              </w:rPr>
              <w:t>olaparib</w:t>
            </w:r>
            <w:proofErr w:type="spellEnd"/>
            <w:r w:rsidRPr="00FA3F9C">
              <w:rPr>
                <w:rFonts w:ascii="Arial" w:hAnsi="Arial" w:cs="Arial"/>
                <w:sz w:val="24"/>
                <w:szCs w:val="24"/>
              </w:rPr>
              <w:t xml:space="preserve"> group were free of pain progression (85% vs 75%).</w:t>
            </w:r>
          </w:p>
          <w:p w14:paraId="46D1E8B0" w14:textId="77777777" w:rsidR="009B5AA5" w:rsidRPr="00FA3F9C" w:rsidRDefault="009B5AA5" w:rsidP="00000444">
            <w:pPr>
              <w:rPr>
                <w:rFonts w:ascii="Arial" w:hAnsi="Arial" w:cs="Arial"/>
                <w:sz w:val="24"/>
                <w:szCs w:val="24"/>
              </w:rPr>
            </w:pPr>
          </w:p>
          <w:p w14:paraId="7DD87CFA" w14:textId="77777777" w:rsidR="009B5AA5" w:rsidRPr="00FA3F9C" w:rsidRDefault="009B5AA5" w:rsidP="00000444">
            <w:pPr>
              <w:rPr>
                <w:rFonts w:ascii="Arial" w:hAnsi="Arial" w:cs="Arial"/>
                <w:sz w:val="24"/>
                <w:szCs w:val="24"/>
              </w:rPr>
            </w:pPr>
            <w:r w:rsidRPr="00FA3F9C">
              <w:rPr>
                <w:rFonts w:ascii="Arial" w:hAnsi="Arial" w:cs="Arial"/>
                <w:sz w:val="24"/>
                <w:szCs w:val="24"/>
              </w:rPr>
              <w:t>-Dose: 300 mg bid. Treatment is continued until progression of disease or unacceptable toxicity.</w:t>
            </w:r>
          </w:p>
          <w:p w14:paraId="753F893D" w14:textId="77777777" w:rsidR="009B5AA5" w:rsidRPr="00FA3F9C" w:rsidRDefault="009B5AA5" w:rsidP="00000444">
            <w:pPr>
              <w:rPr>
                <w:rFonts w:ascii="Arial" w:hAnsi="Arial" w:cs="Arial"/>
                <w:sz w:val="24"/>
                <w:szCs w:val="24"/>
              </w:rPr>
            </w:pPr>
          </w:p>
          <w:p w14:paraId="2180E445" w14:textId="77777777" w:rsidR="009B5AA5" w:rsidRPr="00FA3F9C" w:rsidRDefault="009B5AA5" w:rsidP="00000444">
            <w:pPr>
              <w:rPr>
                <w:rFonts w:ascii="Arial" w:hAnsi="Arial" w:cs="Arial"/>
                <w:sz w:val="24"/>
                <w:szCs w:val="24"/>
              </w:rPr>
            </w:pPr>
            <w:r w:rsidRPr="00FA3F9C">
              <w:rPr>
                <w:rFonts w:ascii="Arial" w:hAnsi="Arial" w:cs="Arial"/>
                <w:sz w:val="24"/>
                <w:szCs w:val="24"/>
              </w:rPr>
              <w:t>Reference:</w:t>
            </w:r>
          </w:p>
          <w:p w14:paraId="68C1EF53" w14:textId="77777777" w:rsidR="009B5AA5" w:rsidRPr="00FA3F9C" w:rsidRDefault="009B5AA5" w:rsidP="00194C49">
            <w:pPr>
              <w:rPr>
                <w:rFonts w:ascii="Arial" w:hAnsi="Arial" w:cs="Arial"/>
                <w:sz w:val="24"/>
                <w:szCs w:val="24"/>
              </w:rPr>
            </w:pPr>
            <w:r w:rsidRPr="00FA3F9C">
              <w:rPr>
                <w:rFonts w:ascii="Arial" w:hAnsi="Arial" w:cs="Arial"/>
                <w:sz w:val="24"/>
                <w:szCs w:val="24"/>
              </w:rPr>
              <w:t xml:space="preserve">de Bono J, Mateo J, </w:t>
            </w:r>
            <w:proofErr w:type="spellStart"/>
            <w:r w:rsidRPr="00FA3F9C">
              <w:rPr>
                <w:rFonts w:ascii="Arial" w:hAnsi="Arial" w:cs="Arial"/>
                <w:sz w:val="24"/>
                <w:szCs w:val="24"/>
              </w:rPr>
              <w:t>Fizazi</w:t>
            </w:r>
            <w:proofErr w:type="spellEnd"/>
            <w:r w:rsidRPr="00FA3F9C">
              <w:rPr>
                <w:rFonts w:ascii="Arial" w:hAnsi="Arial" w:cs="Arial"/>
                <w:sz w:val="24"/>
                <w:szCs w:val="24"/>
              </w:rPr>
              <w:t xml:space="preserve"> K, et al. Olaparib for Metastatic Castration-Resistant Prostate Cancer. N </w:t>
            </w:r>
            <w:proofErr w:type="spellStart"/>
            <w:r w:rsidRPr="00FA3F9C">
              <w:rPr>
                <w:rFonts w:ascii="Arial" w:hAnsi="Arial" w:cs="Arial"/>
                <w:sz w:val="24"/>
                <w:szCs w:val="24"/>
              </w:rPr>
              <w:t>Engl</w:t>
            </w:r>
            <w:proofErr w:type="spellEnd"/>
            <w:r w:rsidRPr="00FA3F9C">
              <w:rPr>
                <w:rFonts w:ascii="Arial" w:hAnsi="Arial" w:cs="Arial"/>
                <w:sz w:val="24"/>
                <w:szCs w:val="24"/>
              </w:rPr>
              <w:t xml:space="preserve"> J Med. 2020;382(22):2091-2102. doi:10.1056/NEJMoa1911440. PMID 32343890 NCT02987543</w:t>
            </w:r>
          </w:p>
        </w:tc>
      </w:tr>
    </w:tbl>
    <w:p w14:paraId="75AA8E84" w14:textId="77777777" w:rsidR="009B5AA5" w:rsidRPr="00FA3F9C" w:rsidRDefault="009B5AA5" w:rsidP="006F623F">
      <w:pPr>
        <w:spacing w:after="0"/>
        <w:rPr>
          <w:rFonts w:ascii="Arial" w:hAnsi="Arial" w:cs="Arial"/>
          <w:b/>
          <w:sz w:val="24"/>
          <w:szCs w:val="24"/>
          <w:u w:val="single"/>
        </w:rPr>
      </w:pPr>
    </w:p>
    <w:p w14:paraId="2B2A59D0" w14:textId="77777777" w:rsidR="009B5AA5" w:rsidRPr="00FA3F9C" w:rsidRDefault="009B5AA5" w:rsidP="006F623F">
      <w:pPr>
        <w:spacing w:after="0"/>
        <w:rPr>
          <w:rFonts w:ascii="Arial" w:hAnsi="Arial" w:cs="Arial"/>
          <w:sz w:val="24"/>
          <w:szCs w:val="24"/>
        </w:rPr>
      </w:pPr>
      <w:r w:rsidRPr="00FA3F9C">
        <w:rPr>
          <w:rFonts w:ascii="Arial" w:hAnsi="Arial" w:cs="Arial"/>
          <w:sz w:val="24"/>
          <w:szCs w:val="24"/>
        </w:rPr>
        <w:t xml:space="preserve">Quantity Limits: </w:t>
      </w:r>
    </w:p>
    <w:p w14:paraId="12C43DC8" w14:textId="77777777" w:rsidR="009B5AA5" w:rsidRPr="00FA3F9C" w:rsidRDefault="009B5AA5" w:rsidP="006F623F">
      <w:pPr>
        <w:spacing w:after="0"/>
        <w:rPr>
          <w:rFonts w:ascii="Arial" w:hAnsi="Arial" w:cs="Arial"/>
          <w:sz w:val="24"/>
          <w:szCs w:val="24"/>
        </w:rPr>
      </w:pPr>
      <w:r w:rsidRPr="00FA3F9C">
        <w:rPr>
          <w:rFonts w:ascii="Arial" w:hAnsi="Arial" w:cs="Arial"/>
          <w:sz w:val="24"/>
          <w:szCs w:val="24"/>
        </w:rPr>
        <w:t>100 mg tablets: 120 tablets/30 days</w:t>
      </w:r>
    </w:p>
    <w:p w14:paraId="0D82E47F" w14:textId="77777777" w:rsidR="009B5AA5" w:rsidRPr="00FA3F9C" w:rsidRDefault="009B5AA5" w:rsidP="006F623F">
      <w:pPr>
        <w:spacing w:after="0"/>
        <w:rPr>
          <w:rFonts w:ascii="Arial" w:hAnsi="Arial" w:cs="Arial"/>
          <w:sz w:val="24"/>
          <w:szCs w:val="24"/>
        </w:rPr>
      </w:pPr>
      <w:r w:rsidRPr="00FA3F9C">
        <w:rPr>
          <w:rFonts w:ascii="Arial" w:hAnsi="Arial" w:cs="Arial"/>
          <w:sz w:val="24"/>
          <w:szCs w:val="24"/>
        </w:rPr>
        <w:t>150 mg tablets: 120 tablets/30 days</w:t>
      </w:r>
    </w:p>
    <w:p w14:paraId="71849082" w14:textId="77777777" w:rsidR="009B5AA5" w:rsidRPr="00FA3F9C" w:rsidRDefault="009B5AA5" w:rsidP="006F623F">
      <w:pPr>
        <w:spacing w:after="0"/>
        <w:rPr>
          <w:rFonts w:ascii="Arial" w:hAnsi="Arial" w:cs="Arial"/>
          <w:sz w:val="24"/>
          <w:szCs w:val="24"/>
        </w:rPr>
      </w:pPr>
    </w:p>
    <w:p w14:paraId="05A8CA29" w14:textId="77777777" w:rsidR="009B5AA5" w:rsidRPr="00FA3F9C" w:rsidRDefault="009B5AA5"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284"/>
        <w:gridCol w:w="7470"/>
        <w:gridCol w:w="2538"/>
      </w:tblGrid>
      <w:tr w:rsidR="009B5AA5" w:rsidRPr="00FA3F9C" w14:paraId="33A5F8B6" w14:textId="77777777" w:rsidTr="00FE491B">
        <w:tc>
          <w:tcPr>
            <w:tcW w:w="1008" w:type="dxa"/>
          </w:tcPr>
          <w:p w14:paraId="37602EFB" w14:textId="77777777" w:rsidR="009B5AA5" w:rsidRPr="00FA3F9C" w:rsidRDefault="009B5AA5" w:rsidP="006F623F">
            <w:pPr>
              <w:rPr>
                <w:rFonts w:ascii="Arial" w:hAnsi="Arial" w:cs="Arial"/>
                <w:sz w:val="24"/>
                <w:szCs w:val="24"/>
              </w:rPr>
            </w:pPr>
            <w:r w:rsidRPr="00FA3F9C">
              <w:rPr>
                <w:rFonts w:ascii="Arial" w:hAnsi="Arial" w:cs="Arial"/>
                <w:sz w:val="24"/>
                <w:szCs w:val="24"/>
              </w:rPr>
              <w:t>Date</w:t>
            </w:r>
          </w:p>
        </w:tc>
        <w:tc>
          <w:tcPr>
            <w:tcW w:w="7470" w:type="dxa"/>
          </w:tcPr>
          <w:p w14:paraId="7FF733D6" w14:textId="77777777" w:rsidR="009B5AA5" w:rsidRPr="00FA3F9C" w:rsidRDefault="009B5AA5" w:rsidP="006F623F">
            <w:pPr>
              <w:rPr>
                <w:rFonts w:ascii="Arial" w:hAnsi="Arial" w:cs="Arial"/>
                <w:sz w:val="24"/>
                <w:szCs w:val="24"/>
              </w:rPr>
            </w:pPr>
            <w:r w:rsidRPr="00FA3F9C">
              <w:rPr>
                <w:rFonts w:ascii="Arial" w:hAnsi="Arial" w:cs="Arial"/>
                <w:sz w:val="24"/>
                <w:szCs w:val="24"/>
              </w:rPr>
              <w:t>What changed</w:t>
            </w:r>
          </w:p>
        </w:tc>
        <w:tc>
          <w:tcPr>
            <w:tcW w:w="2538" w:type="dxa"/>
          </w:tcPr>
          <w:p w14:paraId="498CA515" w14:textId="77777777" w:rsidR="009B5AA5" w:rsidRPr="00FA3F9C" w:rsidRDefault="009B5AA5" w:rsidP="006F623F">
            <w:pPr>
              <w:rPr>
                <w:rFonts w:ascii="Arial" w:hAnsi="Arial" w:cs="Arial"/>
                <w:sz w:val="24"/>
                <w:szCs w:val="24"/>
              </w:rPr>
            </w:pPr>
            <w:r w:rsidRPr="00FA3F9C">
              <w:rPr>
                <w:rFonts w:ascii="Arial" w:hAnsi="Arial" w:cs="Arial"/>
                <w:sz w:val="24"/>
                <w:szCs w:val="24"/>
              </w:rPr>
              <w:t>Pharmacist’s initials</w:t>
            </w:r>
          </w:p>
        </w:tc>
      </w:tr>
      <w:tr w:rsidR="009B5AA5" w:rsidRPr="00FA3F9C" w14:paraId="72AA7EC1" w14:textId="77777777" w:rsidTr="00FE491B">
        <w:tc>
          <w:tcPr>
            <w:tcW w:w="1008" w:type="dxa"/>
          </w:tcPr>
          <w:p w14:paraId="01432F0B" w14:textId="77777777" w:rsidR="009B5AA5" w:rsidRPr="00FA3F9C" w:rsidRDefault="009B5AA5" w:rsidP="006F623F">
            <w:pPr>
              <w:rPr>
                <w:rFonts w:ascii="Arial" w:hAnsi="Arial" w:cs="Arial"/>
                <w:sz w:val="24"/>
                <w:szCs w:val="24"/>
              </w:rPr>
            </w:pPr>
            <w:r w:rsidRPr="00FA3F9C">
              <w:rPr>
                <w:rFonts w:ascii="Arial" w:hAnsi="Arial" w:cs="Arial"/>
                <w:sz w:val="24"/>
                <w:szCs w:val="24"/>
              </w:rPr>
              <w:t>1/28/19</w:t>
            </w:r>
          </w:p>
        </w:tc>
        <w:tc>
          <w:tcPr>
            <w:tcW w:w="7470" w:type="dxa"/>
          </w:tcPr>
          <w:p w14:paraId="09707312" w14:textId="77777777" w:rsidR="009B5AA5" w:rsidRPr="00FA3F9C" w:rsidRDefault="009B5AA5" w:rsidP="00FA43AF">
            <w:pPr>
              <w:rPr>
                <w:rFonts w:ascii="Arial" w:hAnsi="Arial" w:cs="Arial"/>
                <w:sz w:val="24"/>
                <w:szCs w:val="24"/>
              </w:rPr>
            </w:pPr>
            <w:r w:rsidRPr="00FA3F9C">
              <w:rPr>
                <w:rFonts w:ascii="Arial" w:hAnsi="Arial" w:cs="Arial"/>
                <w:sz w:val="24"/>
                <w:szCs w:val="24"/>
              </w:rPr>
              <w:t>Wrote criteria</w:t>
            </w:r>
          </w:p>
        </w:tc>
        <w:tc>
          <w:tcPr>
            <w:tcW w:w="2538" w:type="dxa"/>
          </w:tcPr>
          <w:p w14:paraId="39FB2440" w14:textId="77777777" w:rsidR="009B5AA5" w:rsidRPr="00FA3F9C" w:rsidRDefault="009B5AA5" w:rsidP="006F623F">
            <w:pPr>
              <w:rPr>
                <w:rFonts w:ascii="Arial" w:hAnsi="Arial" w:cs="Arial"/>
                <w:sz w:val="24"/>
                <w:szCs w:val="24"/>
              </w:rPr>
            </w:pPr>
            <w:proofErr w:type="spellStart"/>
            <w:r w:rsidRPr="00FA3F9C">
              <w:rPr>
                <w:rFonts w:ascii="Arial" w:hAnsi="Arial" w:cs="Arial"/>
                <w:sz w:val="24"/>
                <w:szCs w:val="24"/>
              </w:rPr>
              <w:t>sk</w:t>
            </w:r>
            <w:proofErr w:type="spellEnd"/>
          </w:p>
        </w:tc>
      </w:tr>
      <w:tr w:rsidR="009B5AA5" w:rsidRPr="00FA3F9C" w14:paraId="410648E6" w14:textId="77777777" w:rsidTr="00FE491B">
        <w:tc>
          <w:tcPr>
            <w:tcW w:w="1008" w:type="dxa"/>
          </w:tcPr>
          <w:p w14:paraId="11CDAFFF" w14:textId="77777777" w:rsidR="009B5AA5" w:rsidRPr="00FA3F9C" w:rsidRDefault="009B5AA5" w:rsidP="006F623F">
            <w:pPr>
              <w:rPr>
                <w:rFonts w:ascii="Arial" w:hAnsi="Arial" w:cs="Arial"/>
                <w:sz w:val="24"/>
                <w:szCs w:val="24"/>
              </w:rPr>
            </w:pPr>
            <w:r w:rsidRPr="00FA3F9C">
              <w:rPr>
                <w:rFonts w:ascii="Arial" w:hAnsi="Arial" w:cs="Arial"/>
                <w:sz w:val="24"/>
                <w:szCs w:val="24"/>
              </w:rPr>
              <w:t>1/29/19</w:t>
            </w:r>
          </w:p>
        </w:tc>
        <w:tc>
          <w:tcPr>
            <w:tcW w:w="7470" w:type="dxa"/>
          </w:tcPr>
          <w:p w14:paraId="1AE5831C" w14:textId="77777777" w:rsidR="009B5AA5" w:rsidRPr="00FA3F9C" w:rsidRDefault="009B5AA5" w:rsidP="006F623F">
            <w:pPr>
              <w:rPr>
                <w:rFonts w:ascii="Arial" w:hAnsi="Arial" w:cs="Arial"/>
                <w:sz w:val="24"/>
                <w:szCs w:val="24"/>
              </w:rPr>
            </w:pPr>
            <w:r w:rsidRPr="00FA3F9C">
              <w:rPr>
                <w:rFonts w:ascii="Arial" w:hAnsi="Arial" w:cs="Arial"/>
                <w:sz w:val="24"/>
                <w:szCs w:val="24"/>
              </w:rPr>
              <w:t>I inserted the median OS from the post hoc analysis.</w:t>
            </w:r>
          </w:p>
        </w:tc>
        <w:tc>
          <w:tcPr>
            <w:tcW w:w="2538" w:type="dxa"/>
          </w:tcPr>
          <w:p w14:paraId="71E388DC" w14:textId="77777777" w:rsidR="009B5AA5" w:rsidRPr="00FA3F9C" w:rsidRDefault="009B5AA5" w:rsidP="006F623F">
            <w:pPr>
              <w:rPr>
                <w:rFonts w:ascii="Arial" w:hAnsi="Arial" w:cs="Arial"/>
                <w:sz w:val="24"/>
                <w:szCs w:val="24"/>
              </w:rPr>
            </w:pPr>
            <w:r w:rsidRPr="00FA3F9C">
              <w:rPr>
                <w:rFonts w:ascii="Arial" w:hAnsi="Arial" w:cs="Arial"/>
                <w:sz w:val="24"/>
                <w:szCs w:val="24"/>
              </w:rPr>
              <w:t>JJ</w:t>
            </w:r>
          </w:p>
        </w:tc>
      </w:tr>
      <w:tr w:rsidR="009B5AA5" w:rsidRPr="00FA3F9C" w14:paraId="57BD2CA3" w14:textId="77777777" w:rsidTr="00FE491B">
        <w:tc>
          <w:tcPr>
            <w:tcW w:w="1008" w:type="dxa"/>
          </w:tcPr>
          <w:p w14:paraId="29276577" w14:textId="77777777" w:rsidR="009B5AA5" w:rsidRPr="00FA3F9C" w:rsidRDefault="009B5AA5" w:rsidP="006F623F">
            <w:pPr>
              <w:rPr>
                <w:rFonts w:ascii="Arial" w:hAnsi="Arial" w:cs="Arial"/>
                <w:sz w:val="24"/>
                <w:szCs w:val="24"/>
              </w:rPr>
            </w:pPr>
            <w:r w:rsidRPr="00FA3F9C">
              <w:rPr>
                <w:rFonts w:ascii="Arial" w:hAnsi="Arial" w:cs="Arial"/>
                <w:sz w:val="24"/>
                <w:szCs w:val="24"/>
              </w:rPr>
              <w:t>8/26/19</w:t>
            </w:r>
          </w:p>
        </w:tc>
        <w:tc>
          <w:tcPr>
            <w:tcW w:w="7470" w:type="dxa"/>
          </w:tcPr>
          <w:p w14:paraId="676C4BC3" w14:textId="77777777" w:rsidR="009B5AA5" w:rsidRPr="00FA3F9C" w:rsidRDefault="009B5AA5" w:rsidP="00E27424">
            <w:pPr>
              <w:rPr>
                <w:rFonts w:ascii="Arial" w:hAnsi="Arial" w:cs="Arial"/>
                <w:sz w:val="24"/>
                <w:szCs w:val="24"/>
              </w:rPr>
            </w:pPr>
            <w:r w:rsidRPr="00FA3F9C">
              <w:rPr>
                <w:rFonts w:ascii="Arial" w:hAnsi="Arial" w:cs="Arial"/>
                <w:sz w:val="24"/>
                <w:szCs w:val="24"/>
              </w:rPr>
              <w:t>All criteria reviewed. Added criteria for breast cancer indication.</w:t>
            </w:r>
          </w:p>
        </w:tc>
        <w:tc>
          <w:tcPr>
            <w:tcW w:w="2538" w:type="dxa"/>
          </w:tcPr>
          <w:p w14:paraId="40A36742" w14:textId="77777777" w:rsidR="009B5AA5" w:rsidRPr="00FA3F9C" w:rsidRDefault="009B5AA5" w:rsidP="006F623F">
            <w:pPr>
              <w:rPr>
                <w:rFonts w:ascii="Arial" w:hAnsi="Arial" w:cs="Arial"/>
                <w:sz w:val="24"/>
                <w:szCs w:val="24"/>
              </w:rPr>
            </w:pPr>
            <w:r w:rsidRPr="00FA3F9C">
              <w:rPr>
                <w:rFonts w:ascii="Arial" w:hAnsi="Arial" w:cs="Arial"/>
                <w:sz w:val="24"/>
                <w:szCs w:val="24"/>
              </w:rPr>
              <w:t>SK</w:t>
            </w:r>
          </w:p>
        </w:tc>
      </w:tr>
      <w:tr w:rsidR="009B5AA5" w:rsidRPr="00FA3F9C" w14:paraId="49D9A025" w14:textId="77777777" w:rsidTr="00FE491B">
        <w:tc>
          <w:tcPr>
            <w:tcW w:w="1008" w:type="dxa"/>
          </w:tcPr>
          <w:p w14:paraId="0F664501" w14:textId="77777777" w:rsidR="009B5AA5" w:rsidRPr="00FA3F9C" w:rsidRDefault="009B5AA5" w:rsidP="006F623F">
            <w:pPr>
              <w:rPr>
                <w:rFonts w:ascii="Arial" w:hAnsi="Arial" w:cs="Arial"/>
                <w:sz w:val="24"/>
                <w:szCs w:val="24"/>
              </w:rPr>
            </w:pPr>
            <w:r w:rsidRPr="00FA3F9C">
              <w:rPr>
                <w:rFonts w:ascii="Arial" w:hAnsi="Arial" w:cs="Arial"/>
                <w:sz w:val="24"/>
                <w:szCs w:val="24"/>
              </w:rPr>
              <w:t>1/29/2020</w:t>
            </w:r>
          </w:p>
        </w:tc>
        <w:tc>
          <w:tcPr>
            <w:tcW w:w="7470" w:type="dxa"/>
          </w:tcPr>
          <w:p w14:paraId="6171FE65" w14:textId="77777777" w:rsidR="009B5AA5" w:rsidRPr="00FA3F9C" w:rsidRDefault="009B5AA5" w:rsidP="00E27424">
            <w:pPr>
              <w:rPr>
                <w:rFonts w:ascii="Arial" w:hAnsi="Arial" w:cs="Arial"/>
                <w:sz w:val="24"/>
                <w:szCs w:val="24"/>
              </w:rPr>
            </w:pPr>
            <w:r w:rsidRPr="00FA3F9C">
              <w:rPr>
                <w:rFonts w:ascii="Arial" w:hAnsi="Arial" w:cs="Arial"/>
                <w:sz w:val="24"/>
                <w:szCs w:val="24"/>
              </w:rPr>
              <w:t>Reviewed new pancreatic cancer indication (not covered, see above)</w:t>
            </w:r>
          </w:p>
        </w:tc>
        <w:tc>
          <w:tcPr>
            <w:tcW w:w="2538" w:type="dxa"/>
          </w:tcPr>
          <w:p w14:paraId="6D394A05" w14:textId="77777777" w:rsidR="009B5AA5" w:rsidRPr="00FA3F9C" w:rsidRDefault="009B5AA5" w:rsidP="006F623F">
            <w:pPr>
              <w:rPr>
                <w:rFonts w:ascii="Arial" w:hAnsi="Arial" w:cs="Arial"/>
                <w:sz w:val="24"/>
                <w:szCs w:val="24"/>
              </w:rPr>
            </w:pPr>
            <w:r w:rsidRPr="00FA3F9C">
              <w:rPr>
                <w:rFonts w:ascii="Arial" w:hAnsi="Arial" w:cs="Arial"/>
                <w:sz w:val="24"/>
                <w:szCs w:val="24"/>
              </w:rPr>
              <w:t>SK</w:t>
            </w:r>
          </w:p>
        </w:tc>
      </w:tr>
      <w:tr w:rsidR="009B5AA5" w:rsidRPr="00FA3F9C" w14:paraId="17352FF7" w14:textId="77777777" w:rsidTr="00FE491B">
        <w:tc>
          <w:tcPr>
            <w:tcW w:w="1008" w:type="dxa"/>
          </w:tcPr>
          <w:p w14:paraId="3CE18EDF" w14:textId="77777777" w:rsidR="009B5AA5" w:rsidRPr="00FA3F9C" w:rsidRDefault="009B5AA5" w:rsidP="006F623F">
            <w:pPr>
              <w:rPr>
                <w:rFonts w:ascii="Arial" w:hAnsi="Arial" w:cs="Arial"/>
                <w:sz w:val="24"/>
                <w:szCs w:val="24"/>
              </w:rPr>
            </w:pPr>
            <w:r w:rsidRPr="00FA3F9C">
              <w:rPr>
                <w:rFonts w:ascii="Arial" w:hAnsi="Arial" w:cs="Arial"/>
                <w:sz w:val="24"/>
                <w:szCs w:val="24"/>
              </w:rPr>
              <w:t>2/10/2020</w:t>
            </w:r>
          </w:p>
        </w:tc>
        <w:tc>
          <w:tcPr>
            <w:tcW w:w="7470" w:type="dxa"/>
          </w:tcPr>
          <w:p w14:paraId="3432DC47" w14:textId="77777777" w:rsidR="009B5AA5" w:rsidRPr="00FA3F9C" w:rsidRDefault="009B5AA5" w:rsidP="00110557">
            <w:pPr>
              <w:rPr>
                <w:rFonts w:ascii="Arial" w:hAnsi="Arial" w:cs="Arial"/>
                <w:sz w:val="24"/>
                <w:szCs w:val="24"/>
              </w:rPr>
            </w:pPr>
            <w:r w:rsidRPr="00FA3F9C">
              <w:rPr>
                <w:rFonts w:ascii="Arial" w:hAnsi="Arial" w:cs="Arial"/>
                <w:sz w:val="24"/>
                <w:szCs w:val="24"/>
              </w:rPr>
              <w:t>Criteria reviewed. No changes made.</w:t>
            </w:r>
          </w:p>
        </w:tc>
        <w:tc>
          <w:tcPr>
            <w:tcW w:w="2538" w:type="dxa"/>
          </w:tcPr>
          <w:p w14:paraId="1E394C6A" w14:textId="77777777" w:rsidR="009B5AA5" w:rsidRPr="00FA3F9C" w:rsidRDefault="009B5AA5" w:rsidP="006F623F">
            <w:pPr>
              <w:rPr>
                <w:rFonts w:ascii="Arial" w:hAnsi="Arial" w:cs="Arial"/>
                <w:sz w:val="24"/>
                <w:szCs w:val="24"/>
              </w:rPr>
            </w:pPr>
            <w:r w:rsidRPr="00FA3F9C">
              <w:rPr>
                <w:rFonts w:ascii="Arial" w:hAnsi="Arial" w:cs="Arial"/>
                <w:sz w:val="24"/>
                <w:szCs w:val="24"/>
              </w:rPr>
              <w:t>SK</w:t>
            </w:r>
          </w:p>
        </w:tc>
      </w:tr>
      <w:tr w:rsidR="009B5AA5" w:rsidRPr="00FA3F9C" w14:paraId="246D8A36" w14:textId="77777777" w:rsidTr="00FE491B">
        <w:tc>
          <w:tcPr>
            <w:tcW w:w="1008" w:type="dxa"/>
          </w:tcPr>
          <w:p w14:paraId="6E7DC5B5" w14:textId="77777777" w:rsidR="009B5AA5" w:rsidRPr="00FA3F9C" w:rsidRDefault="009B5AA5" w:rsidP="006F623F">
            <w:pPr>
              <w:rPr>
                <w:rFonts w:ascii="Arial" w:hAnsi="Arial" w:cs="Arial"/>
                <w:sz w:val="24"/>
                <w:szCs w:val="24"/>
              </w:rPr>
            </w:pPr>
            <w:r w:rsidRPr="00FA3F9C">
              <w:rPr>
                <w:rFonts w:ascii="Arial" w:hAnsi="Arial" w:cs="Arial"/>
                <w:sz w:val="24"/>
                <w:szCs w:val="24"/>
              </w:rPr>
              <w:t>6/24/2020</w:t>
            </w:r>
          </w:p>
        </w:tc>
        <w:tc>
          <w:tcPr>
            <w:tcW w:w="7470" w:type="dxa"/>
          </w:tcPr>
          <w:p w14:paraId="6A16ACAF" w14:textId="77777777" w:rsidR="009B5AA5" w:rsidRPr="00FA3F9C" w:rsidRDefault="009B5AA5" w:rsidP="00C91923">
            <w:pPr>
              <w:rPr>
                <w:rFonts w:ascii="Arial" w:hAnsi="Arial" w:cs="Arial"/>
                <w:sz w:val="24"/>
                <w:szCs w:val="24"/>
              </w:rPr>
            </w:pPr>
            <w:r w:rsidRPr="00FA3F9C">
              <w:rPr>
                <w:rFonts w:ascii="Arial" w:hAnsi="Arial" w:cs="Arial"/>
                <w:sz w:val="24"/>
                <w:szCs w:val="24"/>
              </w:rPr>
              <w:t>All criteria reviewed. Added new study results for relapsed ovarian maintenance indication. Added coverage for prostate cancer.</w:t>
            </w:r>
          </w:p>
        </w:tc>
        <w:tc>
          <w:tcPr>
            <w:tcW w:w="2538" w:type="dxa"/>
          </w:tcPr>
          <w:p w14:paraId="02EBA034" w14:textId="77777777" w:rsidR="009B5AA5" w:rsidRPr="00FA3F9C" w:rsidRDefault="009B5AA5" w:rsidP="006F623F">
            <w:pPr>
              <w:rPr>
                <w:rFonts w:ascii="Arial" w:hAnsi="Arial" w:cs="Arial"/>
                <w:sz w:val="24"/>
                <w:szCs w:val="24"/>
              </w:rPr>
            </w:pPr>
            <w:r w:rsidRPr="00FA3F9C">
              <w:rPr>
                <w:rFonts w:ascii="Arial" w:hAnsi="Arial" w:cs="Arial"/>
                <w:sz w:val="24"/>
                <w:szCs w:val="24"/>
              </w:rPr>
              <w:t>SK</w:t>
            </w:r>
          </w:p>
        </w:tc>
      </w:tr>
      <w:tr w:rsidR="009B5AA5" w:rsidRPr="00FA3F9C" w14:paraId="0AB919C4" w14:textId="77777777" w:rsidTr="00FE491B">
        <w:tc>
          <w:tcPr>
            <w:tcW w:w="1008" w:type="dxa"/>
          </w:tcPr>
          <w:p w14:paraId="195C109D" w14:textId="77777777" w:rsidR="009B5AA5" w:rsidRPr="00FA3F9C" w:rsidRDefault="009B5AA5" w:rsidP="006F623F">
            <w:pPr>
              <w:rPr>
                <w:rFonts w:ascii="Arial" w:hAnsi="Arial" w:cs="Arial"/>
                <w:sz w:val="24"/>
                <w:szCs w:val="24"/>
              </w:rPr>
            </w:pPr>
            <w:r w:rsidRPr="00FA3F9C">
              <w:rPr>
                <w:rFonts w:ascii="Arial" w:hAnsi="Arial" w:cs="Arial"/>
                <w:sz w:val="24"/>
                <w:szCs w:val="24"/>
              </w:rPr>
              <w:t>8/4/2020</w:t>
            </w:r>
          </w:p>
        </w:tc>
        <w:tc>
          <w:tcPr>
            <w:tcW w:w="7470" w:type="dxa"/>
          </w:tcPr>
          <w:p w14:paraId="7BF61D17" w14:textId="77777777" w:rsidR="009B5AA5" w:rsidRPr="00FA3F9C" w:rsidRDefault="009B5AA5" w:rsidP="00C91923">
            <w:pPr>
              <w:rPr>
                <w:rFonts w:ascii="Arial" w:hAnsi="Arial" w:cs="Arial"/>
                <w:sz w:val="24"/>
                <w:szCs w:val="24"/>
              </w:rPr>
            </w:pPr>
            <w:r w:rsidRPr="00FA3F9C">
              <w:rPr>
                <w:rFonts w:ascii="Arial" w:hAnsi="Arial" w:cs="Arial"/>
                <w:sz w:val="24"/>
                <w:szCs w:val="24"/>
              </w:rPr>
              <w:t>Edits to evidence summary for ovarian cancer. No change to criteria.</w:t>
            </w:r>
          </w:p>
        </w:tc>
        <w:tc>
          <w:tcPr>
            <w:tcW w:w="2538" w:type="dxa"/>
          </w:tcPr>
          <w:p w14:paraId="2BC6F531" w14:textId="77777777" w:rsidR="009B5AA5" w:rsidRPr="00FA3F9C" w:rsidRDefault="009B5AA5" w:rsidP="006F623F">
            <w:pPr>
              <w:rPr>
                <w:rFonts w:ascii="Arial" w:hAnsi="Arial" w:cs="Arial"/>
                <w:sz w:val="24"/>
                <w:szCs w:val="24"/>
              </w:rPr>
            </w:pPr>
            <w:r w:rsidRPr="00FA3F9C">
              <w:rPr>
                <w:rFonts w:ascii="Arial" w:hAnsi="Arial" w:cs="Arial"/>
                <w:sz w:val="24"/>
                <w:szCs w:val="24"/>
              </w:rPr>
              <w:t>SK</w:t>
            </w:r>
          </w:p>
        </w:tc>
      </w:tr>
      <w:tr w:rsidR="009B5AA5" w:rsidRPr="00FA3F9C" w14:paraId="52D23407" w14:textId="77777777" w:rsidTr="00FE491B">
        <w:tc>
          <w:tcPr>
            <w:tcW w:w="1008" w:type="dxa"/>
          </w:tcPr>
          <w:p w14:paraId="7A1E3A2F" w14:textId="77777777" w:rsidR="009B5AA5" w:rsidRPr="00FA3F9C" w:rsidRDefault="009B5AA5" w:rsidP="006F623F">
            <w:pPr>
              <w:rPr>
                <w:rFonts w:ascii="Arial" w:hAnsi="Arial" w:cs="Arial"/>
                <w:sz w:val="24"/>
                <w:szCs w:val="24"/>
              </w:rPr>
            </w:pPr>
            <w:r w:rsidRPr="00FA3F9C">
              <w:rPr>
                <w:rFonts w:ascii="Arial" w:hAnsi="Arial" w:cs="Arial"/>
                <w:sz w:val="24"/>
                <w:szCs w:val="24"/>
              </w:rPr>
              <w:t>9/21/2021</w:t>
            </w:r>
          </w:p>
        </w:tc>
        <w:tc>
          <w:tcPr>
            <w:tcW w:w="7470" w:type="dxa"/>
          </w:tcPr>
          <w:p w14:paraId="74AB0FF0" w14:textId="77777777" w:rsidR="009B5AA5" w:rsidRPr="00FA3F9C" w:rsidRDefault="009B5AA5" w:rsidP="00C91923">
            <w:pPr>
              <w:rPr>
                <w:rFonts w:ascii="Arial" w:hAnsi="Arial" w:cs="Arial"/>
                <w:sz w:val="24"/>
                <w:szCs w:val="24"/>
              </w:rPr>
            </w:pPr>
            <w:r w:rsidRPr="00FA3F9C">
              <w:rPr>
                <w:rFonts w:ascii="Arial" w:hAnsi="Arial" w:cs="Arial"/>
                <w:sz w:val="24"/>
                <w:szCs w:val="24"/>
              </w:rPr>
              <w:t xml:space="preserve">Criteria reviewed. No change. </w:t>
            </w:r>
          </w:p>
        </w:tc>
        <w:tc>
          <w:tcPr>
            <w:tcW w:w="2538" w:type="dxa"/>
          </w:tcPr>
          <w:p w14:paraId="618F558F" w14:textId="77777777" w:rsidR="009B5AA5" w:rsidRPr="00FA3F9C" w:rsidRDefault="009B5AA5" w:rsidP="006F623F">
            <w:pPr>
              <w:rPr>
                <w:rFonts w:ascii="Arial" w:hAnsi="Arial" w:cs="Arial"/>
                <w:sz w:val="24"/>
                <w:szCs w:val="24"/>
              </w:rPr>
            </w:pPr>
            <w:r w:rsidRPr="00FA3F9C">
              <w:rPr>
                <w:rFonts w:ascii="Arial" w:hAnsi="Arial" w:cs="Arial"/>
                <w:sz w:val="24"/>
                <w:szCs w:val="24"/>
              </w:rPr>
              <w:t>SK</w:t>
            </w:r>
          </w:p>
        </w:tc>
      </w:tr>
      <w:tr w:rsidR="009B5AA5" w:rsidRPr="00FA3F9C" w14:paraId="1CCF12F7" w14:textId="77777777" w:rsidTr="00FE491B">
        <w:tc>
          <w:tcPr>
            <w:tcW w:w="1008" w:type="dxa"/>
          </w:tcPr>
          <w:p w14:paraId="6522CBA7" w14:textId="77777777" w:rsidR="009B5AA5" w:rsidRPr="00FA3F9C" w:rsidRDefault="009B5AA5" w:rsidP="006F623F">
            <w:pPr>
              <w:rPr>
                <w:rFonts w:ascii="Arial" w:hAnsi="Arial" w:cs="Arial"/>
                <w:sz w:val="24"/>
                <w:szCs w:val="24"/>
              </w:rPr>
            </w:pPr>
            <w:r w:rsidRPr="00FA3F9C">
              <w:rPr>
                <w:rFonts w:ascii="Arial" w:hAnsi="Arial" w:cs="Arial"/>
                <w:sz w:val="24"/>
                <w:szCs w:val="24"/>
              </w:rPr>
              <w:t>4/25/2022</w:t>
            </w:r>
          </w:p>
        </w:tc>
        <w:tc>
          <w:tcPr>
            <w:tcW w:w="7470" w:type="dxa"/>
          </w:tcPr>
          <w:p w14:paraId="02EBC114" w14:textId="77777777" w:rsidR="009B5AA5" w:rsidRPr="00FA3F9C" w:rsidRDefault="009B5AA5" w:rsidP="00FB47D2">
            <w:pPr>
              <w:rPr>
                <w:rFonts w:ascii="Arial" w:hAnsi="Arial" w:cs="Arial"/>
                <w:sz w:val="24"/>
                <w:szCs w:val="24"/>
              </w:rPr>
            </w:pPr>
            <w:r w:rsidRPr="00FA3F9C">
              <w:rPr>
                <w:rFonts w:ascii="Arial" w:hAnsi="Arial" w:cs="Arial"/>
                <w:sz w:val="24"/>
                <w:szCs w:val="24"/>
              </w:rPr>
              <w:t xml:space="preserve">Added criteria for adjuvant treatment of </w:t>
            </w:r>
            <w:proofErr w:type="gramStart"/>
            <w:r w:rsidRPr="00FA3F9C">
              <w:rPr>
                <w:rFonts w:ascii="Arial" w:hAnsi="Arial" w:cs="Arial"/>
                <w:sz w:val="24"/>
                <w:szCs w:val="24"/>
              </w:rPr>
              <w:t>early stage</w:t>
            </w:r>
            <w:proofErr w:type="gramEnd"/>
            <w:r w:rsidRPr="00FA3F9C">
              <w:rPr>
                <w:rFonts w:ascii="Arial" w:hAnsi="Arial" w:cs="Arial"/>
                <w:sz w:val="24"/>
                <w:szCs w:val="24"/>
              </w:rPr>
              <w:t xml:space="preserve"> breast cancer (new indication)</w:t>
            </w:r>
          </w:p>
        </w:tc>
        <w:tc>
          <w:tcPr>
            <w:tcW w:w="2538" w:type="dxa"/>
          </w:tcPr>
          <w:p w14:paraId="295AD5F6" w14:textId="77777777" w:rsidR="009B5AA5" w:rsidRPr="00FA3F9C" w:rsidRDefault="009B5AA5" w:rsidP="006F623F">
            <w:pPr>
              <w:rPr>
                <w:rFonts w:ascii="Arial" w:hAnsi="Arial" w:cs="Arial"/>
                <w:sz w:val="24"/>
                <w:szCs w:val="24"/>
              </w:rPr>
            </w:pPr>
            <w:r w:rsidRPr="00FA3F9C">
              <w:rPr>
                <w:rFonts w:ascii="Arial" w:hAnsi="Arial" w:cs="Arial"/>
                <w:sz w:val="24"/>
                <w:szCs w:val="24"/>
              </w:rPr>
              <w:t>SK</w:t>
            </w:r>
          </w:p>
        </w:tc>
      </w:tr>
    </w:tbl>
    <w:p w14:paraId="4F175AFB" w14:textId="77777777" w:rsidR="009B5AA5" w:rsidRPr="00FA3F9C" w:rsidRDefault="009B5AA5" w:rsidP="006F623F">
      <w:pPr>
        <w:spacing w:after="0"/>
        <w:rPr>
          <w:rFonts w:ascii="Arial" w:hAnsi="Arial" w:cs="Arial"/>
          <w:sz w:val="24"/>
          <w:szCs w:val="24"/>
        </w:rPr>
      </w:pPr>
    </w:p>
    <w:p w14:paraId="4E0A3370" w14:textId="77777777" w:rsidR="009B5AA5" w:rsidRPr="00FA3F9C" w:rsidRDefault="009B5AA5" w:rsidP="00B469A1">
      <w:pPr>
        <w:spacing w:after="0"/>
        <w:rPr>
          <w:rFonts w:ascii="Arial" w:hAnsi="Arial" w:cs="Arial"/>
          <w:sz w:val="24"/>
          <w:szCs w:val="24"/>
        </w:rPr>
      </w:pPr>
      <w:r w:rsidRPr="00FA3F9C">
        <w:rPr>
          <w:rFonts w:ascii="Arial" w:hAnsi="Arial" w:cs="Arial"/>
          <w:sz w:val="24"/>
          <w:szCs w:val="24"/>
        </w:rPr>
        <w:lastRenderedPageBreak/>
        <w:t>FOR BREAST CANCER INDICATION: Differences between study inclusion/exclusion criteria and EBRx criteria with rationale</w:t>
      </w:r>
    </w:p>
    <w:p w14:paraId="78642ADF" w14:textId="77777777" w:rsidR="009B5AA5" w:rsidRPr="00FA3F9C" w:rsidRDefault="009B5AA5" w:rsidP="008259B1">
      <w:pPr>
        <w:spacing w:after="0"/>
        <w:ind w:left="90" w:hanging="90"/>
        <w:rPr>
          <w:rFonts w:ascii="Arial" w:hAnsi="Arial" w:cs="Arial"/>
          <w:sz w:val="24"/>
          <w:szCs w:val="24"/>
        </w:rPr>
      </w:pPr>
      <w:r w:rsidRPr="00FA3F9C">
        <w:rPr>
          <w:rFonts w:ascii="Arial" w:hAnsi="Arial" w:cs="Arial"/>
          <w:sz w:val="24"/>
          <w:szCs w:val="24"/>
        </w:rPr>
        <w:t xml:space="preserve">-Study required previous treatment with hormonal therapy in the adjuvant or metastatic setting. EBRx will require prior treatment with hormonal therapy for </w:t>
      </w:r>
      <w:r w:rsidRPr="00FA3F9C">
        <w:rPr>
          <w:rFonts w:ascii="Arial" w:hAnsi="Arial" w:cs="Arial"/>
          <w:sz w:val="24"/>
          <w:szCs w:val="24"/>
          <w:u w:val="single"/>
        </w:rPr>
        <w:t>metastatic disease</w:t>
      </w:r>
      <w:r w:rsidRPr="00FA3F9C">
        <w:rPr>
          <w:rFonts w:ascii="Arial" w:hAnsi="Arial" w:cs="Arial"/>
          <w:sz w:val="24"/>
          <w:szCs w:val="24"/>
        </w:rPr>
        <w:t xml:space="preserve"> to push for use of less expensive therapies first.</w:t>
      </w:r>
    </w:p>
    <w:p w14:paraId="35CDAF63" w14:textId="77777777" w:rsidR="009B5AA5" w:rsidRPr="00FA3F9C" w:rsidRDefault="009B5AA5" w:rsidP="008259B1">
      <w:pPr>
        <w:spacing w:after="0"/>
        <w:ind w:left="90" w:hanging="90"/>
        <w:rPr>
          <w:rFonts w:ascii="Arial" w:hAnsi="Arial" w:cs="Arial"/>
          <w:sz w:val="24"/>
          <w:szCs w:val="24"/>
        </w:rPr>
      </w:pPr>
    </w:p>
    <w:p w14:paraId="2ECE44E7" w14:textId="77777777" w:rsidR="009B5AA5" w:rsidRPr="00FA3F9C" w:rsidRDefault="009B5AA5" w:rsidP="00C9223C">
      <w:pPr>
        <w:spacing w:after="0"/>
        <w:rPr>
          <w:rFonts w:ascii="Arial" w:hAnsi="Arial" w:cs="Arial"/>
          <w:sz w:val="24"/>
          <w:szCs w:val="24"/>
        </w:rPr>
      </w:pPr>
    </w:p>
    <w:p w14:paraId="01F6B547" w14:textId="77777777" w:rsidR="009B5AA5" w:rsidRPr="00FA3F9C" w:rsidRDefault="009B5AA5" w:rsidP="00EF3B65">
      <w:pPr>
        <w:pStyle w:val="Heading2"/>
      </w:pPr>
      <w:r w:rsidRPr="00FA3F9C">
        <w:t xml:space="preserve"> </w:t>
      </w:r>
      <w:bookmarkStart w:id="239" w:name="_Toc106369876"/>
      <w:r w:rsidRPr="00FA3F9C">
        <w:t>Omalizumab (Xolair</w:t>
      </w:r>
      <w:r w:rsidRPr="00FA3F9C">
        <w:sym w:font="Symbol" w:char="F0D2"/>
      </w:r>
      <w:r w:rsidRPr="00FA3F9C">
        <w:t>)</w:t>
      </w:r>
      <w:bookmarkEnd w:id="239"/>
      <w:r w:rsidRPr="00FA3F9C">
        <w:t xml:space="preserve">  </w:t>
      </w:r>
    </w:p>
    <w:p w14:paraId="709520A8" w14:textId="77777777" w:rsidR="009B5AA5" w:rsidRPr="00FA3F9C" w:rsidRDefault="009B5AA5" w:rsidP="008A055E">
      <w:pPr>
        <w:jc w:val="center"/>
        <w:rPr>
          <w:rFonts w:ascii="Arial" w:hAnsi="Arial" w:cs="Arial"/>
          <w:b/>
          <w:sz w:val="24"/>
          <w:szCs w:val="24"/>
        </w:rPr>
      </w:pPr>
      <w:r w:rsidRPr="00FA3F9C">
        <w:rPr>
          <w:rFonts w:ascii="Arial" w:hAnsi="Arial" w:cs="Arial"/>
          <w:b/>
          <w:sz w:val="24"/>
          <w:szCs w:val="24"/>
        </w:rPr>
        <w:t>EBRx PA Criteria</w:t>
      </w:r>
    </w:p>
    <w:p w14:paraId="2412D242" w14:textId="77777777" w:rsidR="009B5AA5" w:rsidRPr="00FA3F9C" w:rsidRDefault="009B5AA5" w:rsidP="008A055E">
      <w:pPr>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70"/>
      </w:tblGrid>
      <w:tr w:rsidR="009B5AA5" w:rsidRPr="00FA3F9C" w14:paraId="35C40BD4" w14:textId="77777777" w:rsidTr="004831CA">
        <w:tc>
          <w:tcPr>
            <w:tcW w:w="0" w:type="auto"/>
            <w:shd w:val="clear" w:color="auto" w:fill="000000" w:themeFill="text1"/>
          </w:tcPr>
          <w:p w14:paraId="0118F6E3" w14:textId="77777777" w:rsidR="009B5AA5" w:rsidRPr="00FA3F9C" w:rsidRDefault="009B5AA5" w:rsidP="004831CA">
            <w:pPr>
              <w:rPr>
                <w:rFonts w:ascii="Arial" w:hAnsi="Arial" w:cs="Arial"/>
                <w:sz w:val="24"/>
                <w:szCs w:val="24"/>
              </w:rPr>
            </w:pPr>
            <w:r w:rsidRPr="00FA3F9C">
              <w:rPr>
                <w:rFonts w:ascii="Arial" w:hAnsi="Arial" w:cs="Arial"/>
                <w:b/>
                <w:sz w:val="24"/>
                <w:szCs w:val="24"/>
              </w:rPr>
              <w:t>ASTHMA</w:t>
            </w:r>
          </w:p>
        </w:tc>
      </w:tr>
      <w:tr w:rsidR="009B5AA5" w:rsidRPr="00FA3F9C" w14:paraId="3DA9E852" w14:textId="77777777" w:rsidTr="00B06128">
        <w:tc>
          <w:tcPr>
            <w:tcW w:w="0" w:type="auto"/>
          </w:tcPr>
          <w:p w14:paraId="3D0681AF" w14:textId="77777777" w:rsidR="009B5AA5" w:rsidRPr="00FA3F9C" w:rsidRDefault="009B5AA5" w:rsidP="009B5AA5">
            <w:pPr>
              <w:numPr>
                <w:ilvl w:val="0"/>
                <w:numId w:val="326"/>
              </w:numPr>
              <w:spacing w:after="0" w:line="240" w:lineRule="auto"/>
              <w:rPr>
                <w:rFonts w:ascii="Arial" w:hAnsi="Arial" w:cs="Arial"/>
                <w:sz w:val="24"/>
                <w:szCs w:val="24"/>
              </w:rPr>
            </w:pPr>
            <w:r w:rsidRPr="00FA3F9C">
              <w:rPr>
                <w:rFonts w:ascii="Arial" w:hAnsi="Arial" w:cs="Arial"/>
                <w:sz w:val="24"/>
                <w:szCs w:val="24"/>
              </w:rPr>
              <w:t>The patient must be age 6y or older.</w:t>
            </w:r>
          </w:p>
        </w:tc>
      </w:tr>
      <w:tr w:rsidR="009B5AA5" w:rsidRPr="00FA3F9C" w14:paraId="2221E5E9" w14:textId="77777777" w:rsidTr="00B06128">
        <w:tc>
          <w:tcPr>
            <w:tcW w:w="0" w:type="auto"/>
          </w:tcPr>
          <w:p w14:paraId="3A427226" w14:textId="77777777" w:rsidR="009B5AA5" w:rsidRPr="00FA3F9C" w:rsidRDefault="009B5AA5" w:rsidP="00B06128">
            <w:pPr>
              <w:rPr>
                <w:rFonts w:ascii="Arial" w:hAnsi="Arial" w:cs="Arial"/>
                <w:sz w:val="24"/>
                <w:szCs w:val="24"/>
              </w:rPr>
            </w:pPr>
            <w:r w:rsidRPr="00FA3F9C">
              <w:rPr>
                <w:rFonts w:ascii="Arial" w:hAnsi="Arial" w:cs="Arial"/>
                <w:sz w:val="24"/>
                <w:szCs w:val="24"/>
              </w:rPr>
              <w:t>2.  The patient must have a diagnosis of moderate or severe persistent asthma with either a positive skin test or with in vitro reactivity to a perennial aeroallergen.</w:t>
            </w:r>
          </w:p>
        </w:tc>
      </w:tr>
      <w:tr w:rsidR="009B5AA5" w:rsidRPr="00FA3F9C" w14:paraId="3E315F63" w14:textId="77777777" w:rsidTr="00B06128">
        <w:tc>
          <w:tcPr>
            <w:tcW w:w="0" w:type="auto"/>
          </w:tcPr>
          <w:p w14:paraId="097DE7C6" w14:textId="77777777" w:rsidR="009B5AA5" w:rsidRPr="00FA3F9C" w:rsidRDefault="009B5AA5" w:rsidP="00B06128">
            <w:pPr>
              <w:rPr>
                <w:rFonts w:ascii="Arial" w:hAnsi="Arial" w:cs="Arial"/>
                <w:sz w:val="24"/>
                <w:szCs w:val="24"/>
              </w:rPr>
            </w:pPr>
            <w:r w:rsidRPr="00FA3F9C">
              <w:rPr>
                <w:rFonts w:ascii="Arial" w:hAnsi="Arial" w:cs="Arial"/>
                <w:sz w:val="24"/>
                <w:szCs w:val="24"/>
              </w:rPr>
              <w:t xml:space="preserve">3.  The patient must have a total serum </w:t>
            </w:r>
            <w:proofErr w:type="spellStart"/>
            <w:r w:rsidRPr="00FA3F9C">
              <w:rPr>
                <w:rFonts w:ascii="Arial" w:hAnsi="Arial" w:cs="Arial"/>
                <w:sz w:val="24"/>
                <w:szCs w:val="24"/>
              </w:rPr>
              <w:t>IgE</w:t>
            </w:r>
            <w:proofErr w:type="spellEnd"/>
            <w:r w:rsidRPr="00FA3F9C">
              <w:rPr>
                <w:rFonts w:ascii="Arial" w:hAnsi="Arial" w:cs="Arial"/>
                <w:sz w:val="24"/>
                <w:szCs w:val="24"/>
              </w:rPr>
              <w:t xml:space="preserve"> level </w:t>
            </w:r>
            <w:r w:rsidRPr="00FA3F9C">
              <w:rPr>
                <w:rFonts w:ascii="Arial" w:hAnsi="Arial" w:cs="Arial"/>
                <w:sz w:val="24"/>
                <w:szCs w:val="24"/>
                <w:u w:val="single"/>
              </w:rPr>
              <w:t>&gt;</w:t>
            </w:r>
            <w:r w:rsidRPr="00FA3F9C">
              <w:rPr>
                <w:rFonts w:ascii="Arial" w:hAnsi="Arial" w:cs="Arial"/>
                <w:sz w:val="24"/>
                <w:szCs w:val="24"/>
              </w:rPr>
              <w:t>30 IU/</w:t>
            </w:r>
            <w:proofErr w:type="spellStart"/>
            <w:r w:rsidRPr="00FA3F9C">
              <w:rPr>
                <w:rFonts w:ascii="Arial" w:hAnsi="Arial" w:cs="Arial"/>
                <w:sz w:val="24"/>
                <w:szCs w:val="24"/>
              </w:rPr>
              <w:t>mL.</w:t>
            </w:r>
            <w:proofErr w:type="spellEnd"/>
          </w:p>
        </w:tc>
      </w:tr>
      <w:tr w:rsidR="009B5AA5" w:rsidRPr="00FA3F9C" w14:paraId="371291EB" w14:textId="77777777" w:rsidTr="00B06128">
        <w:tc>
          <w:tcPr>
            <w:tcW w:w="0" w:type="auto"/>
          </w:tcPr>
          <w:p w14:paraId="0725253F" w14:textId="77777777" w:rsidR="009B5AA5" w:rsidRPr="00FA3F9C" w:rsidRDefault="009B5AA5" w:rsidP="00FC1E85">
            <w:pPr>
              <w:numPr>
                <w:ilvl w:val="0"/>
                <w:numId w:val="390"/>
              </w:numPr>
              <w:spacing w:after="0" w:line="240" w:lineRule="auto"/>
              <w:rPr>
                <w:rFonts w:ascii="Arial" w:hAnsi="Arial" w:cs="Arial"/>
                <w:sz w:val="24"/>
                <w:szCs w:val="24"/>
                <w:u w:val="single"/>
              </w:rPr>
            </w:pPr>
            <w:r w:rsidRPr="00FA3F9C">
              <w:rPr>
                <w:rFonts w:ascii="Arial" w:hAnsi="Arial" w:cs="Arial"/>
                <w:sz w:val="24"/>
                <w:szCs w:val="24"/>
              </w:rPr>
              <w:t xml:space="preserve">The patient must be adherent to prescribed asthma controller medications and must have filled inhaled corticosteroids/LABA combination for a minimum of the past 3 of 4 months prior to this request. </w:t>
            </w:r>
          </w:p>
        </w:tc>
      </w:tr>
      <w:tr w:rsidR="009B5AA5" w:rsidRPr="00FA3F9C" w14:paraId="3C6D74EC" w14:textId="77777777" w:rsidTr="00B06128">
        <w:tc>
          <w:tcPr>
            <w:tcW w:w="0" w:type="auto"/>
          </w:tcPr>
          <w:p w14:paraId="5E74A868" w14:textId="77777777" w:rsidR="009B5AA5" w:rsidRPr="00FA3F9C" w:rsidRDefault="009B5AA5" w:rsidP="00FC1E85">
            <w:pPr>
              <w:numPr>
                <w:ilvl w:val="0"/>
                <w:numId w:val="390"/>
              </w:numPr>
              <w:spacing w:after="0" w:line="240" w:lineRule="auto"/>
              <w:rPr>
                <w:rFonts w:ascii="Arial" w:hAnsi="Arial" w:cs="Arial"/>
                <w:sz w:val="24"/>
                <w:szCs w:val="24"/>
              </w:rPr>
            </w:pPr>
            <w:r w:rsidRPr="00FA3F9C">
              <w:rPr>
                <w:rFonts w:ascii="Arial" w:hAnsi="Arial" w:cs="Arial"/>
                <w:sz w:val="24"/>
                <w:szCs w:val="24"/>
              </w:rPr>
              <w:t>The patient must NOT be dependent on systemic steroids to prevent serious asthma exacerbations</w:t>
            </w:r>
            <w:r w:rsidRPr="00FA3F9C">
              <w:rPr>
                <w:rFonts w:ascii="Arial" w:hAnsi="Arial" w:cs="Arial"/>
                <w:sz w:val="24"/>
                <w:szCs w:val="24"/>
                <w:vertAlign w:val="superscript"/>
              </w:rPr>
              <w:t>2</w:t>
            </w:r>
            <w:r w:rsidRPr="00FA3F9C">
              <w:rPr>
                <w:rFonts w:ascii="Arial" w:hAnsi="Arial" w:cs="Arial"/>
                <w:sz w:val="24"/>
                <w:szCs w:val="24"/>
              </w:rPr>
              <w:t>.</w:t>
            </w:r>
          </w:p>
        </w:tc>
      </w:tr>
      <w:tr w:rsidR="009B5AA5" w:rsidRPr="00FA3F9C" w14:paraId="71D1F7A6" w14:textId="77777777" w:rsidTr="00B06128">
        <w:tc>
          <w:tcPr>
            <w:tcW w:w="0" w:type="auto"/>
          </w:tcPr>
          <w:p w14:paraId="4E2B6517" w14:textId="77777777" w:rsidR="009B5AA5" w:rsidRPr="00FA3F9C" w:rsidRDefault="009B5AA5" w:rsidP="00FC1E85">
            <w:pPr>
              <w:numPr>
                <w:ilvl w:val="0"/>
                <w:numId w:val="390"/>
              </w:numPr>
              <w:spacing w:after="0" w:line="240" w:lineRule="auto"/>
              <w:rPr>
                <w:rFonts w:ascii="Arial" w:hAnsi="Arial" w:cs="Arial"/>
                <w:sz w:val="24"/>
                <w:szCs w:val="24"/>
              </w:rPr>
            </w:pPr>
            <w:r w:rsidRPr="00FA3F9C">
              <w:rPr>
                <w:rFonts w:ascii="Arial" w:hAnsi="Arial" w:cs="Arial"/>
                <w:sz w:val="24"/>
                <w:szCs w:val="24"/>
              </w:rPr>
              <w:t>The patient’s FEV1 must NOT be better than 80% of the predicted value at the time he/she is requesting the first prior authorization</w:t>
            </w:r>
            <w:r w:rsidRPr="00FA3F9C">
              <w:rPr>
                <w:rFonts w:ascii="Arial" w:hAnsi="Arial" w:cs="Arial"/>
                <w:sz w:val="24"/>
                <w:szCs w:val="24"/>
                <w:vertAlign w:val="superscript"/>
              </w:rPr>
              <w:t>3.</w:t>
            </w:r>
          </w:p>
        </w:tc>
      </w:tr>
      <w:tr w:rsidR="009B5AA5" w:rsidRPr="00FA3F9C" w14:paraId="313D0E93" w14:textId="77777777" w:rsidTr="00B06128">
        <w:tc>
          <w:tcPr>
            <w:tcW w:w="0" w:type="auto"/>
          </w:tcPr>
          <w:p w14:paraId="1F168269" w14:textId="77777777" w:rsidR="009B5AA5" w:rsidRPr="00FA3F9C" w:rsidRDefault="009B5AA5" w:rsidP="00181944">
            <w:pPr>
              <w:shd w:val="clear" w:color="auto" w:fill="FFFFFF"/>
              <w:rPr>
                <w:rFonts w:ascii="Arial" w:hAnsi="Arial" w:cs="Arial"/>
                <w:sz w:val="24"/>
                <w:szCs w:val="24"/>
              </w:rPr>
            </w:pPr>
            <w:r w:rsidRPr="00FA3F9C">
              <w:rPr>
                <w:rFonts w:ascii="Arial" w:hAnsi="Arial" w:cs="Arial"/>
                <w:sz w:val="24"/>
                <w:szCs w:val="24"/>
              </w:rPr>
              <w:t xml:space="preserve">Xolair failed to show a benefit in patients with FEV1 &gt;80% at initiation.  </w:t>
            </w:r>
          </w:p>
          <w:p w14:paraId="3D95A739" w14:textId="77777777" w:rsidR="009B5AA5" w:rsidRPr="00FA3F9C" w:rsidRDefault="009B5AA5" w:rsidP="00181944">
            <w:pPr>
              <w:shd w:val="clear" w:color="auto" w:fill="FFFFFF"/>
              <w:rPr>
                <w:rFonts w:ascii="Arial" w:hAnsi="Arial" w:cs="Arial"/>
                <w:sz w:val="24"/>
                <w:szCs w:val="24"/>
              </w:rPr>
            </w:pPr>
            <w:r w:rsidRPr="00FA3F9C">
              <w:rPr>
                <w:rFonts w:ascii="Arial" w:hAnsi="Arial" w:cs="Arial"/>
                <w:sz w:val="24"/>
                <w:szCs w:val="24"/>
              </w:rPr>
              <w:t xml:space="preserve">Xolair also failed to reduce exacerbations requiring maintenance systemic steroids. </w:t>
            </w:r>
          </w:p>
        </w:tc>
      </w:tr>
      <w:tr w:rsidR="009B5AA5" w:rsidRPr="00FA3F9C" w14:paraId="4F20BD37" w14:textId="77777777" w:rsidTr="00B06128">
        <w:tc>
          <w:tcPr>
            <w:tcW w:w="0" w:type="auto"/>
          </w:tcPr>
          <w:p w14:paraId="0E64E137" w14:textId="77777777" w:rsidR="009B5AA5" w:rsidRPr="00FA3F9C" w:rsidRDefault="009B5AA5" w:rsidP="00181944">
            <w:pPr>
              <w:rPr>
                <w:rFonts w:ascii="Arial" w:hAnsi="Arial" w:cs="Arial"/>
                <w:sz w:val="24"/>
                <w:szCs w:val="24"/>
              </w:rPr>
            </w:pPr>
            <w:r w:rsidRPr="00FA3F9C">
              <w:rPr>
                <w:rFonts w:ascii="Arial" w:hAnsi="Arial" w:cs="Arial"/>
                <w:sz w:val="24"/>
                <w:szCs w:val="24"/>
              </w:rPr>
              <w:t>Note:  Xolair</w:t>
            </w:r>
            <w:r w:rsidRPr="00FA3F9C">
              <w:rPr>
                <w:rFonts w:ascii="Arial" w:hAnsi="Arial" w:cs="Arial"/>
                <w:sz w:val="24"/>
                <w:szCs w:val="24"/>
              </w:rPr>
              <w:sym w:font="Symbol" w:char="F0D2"/>
            </w:r>
            <w:r w:rsidRPr="00FA3F9C">
              <w:rPr>
                <w:rFonts w:ascii="Arial" w:hAnsi="Arial" w:cs="Arial"/>
                <w:sz w:val="24"/>
                <w:szCs w:val="24"/>
              </w:rPr>
              <w:t xml:space="preserve"> (omalizumab) is FDA approved as add-on therapy to optimal asthma therapy.  Currently there is not peer-reviewed published literature to support its use as monotherapy in asthma and therefore will not be covered in this manner.  </w:t>
            </w:r>
          </w:p>
        </w:tc>
      </w:tr>
      <w:tr w:rsidR="009B5AA5" w:rsidRPr="00FA3F9C" w14:paraId="65C46432" w14:textId="77777777" w:rsidTr="00B06128">
        <w:tc>
          <w:tcPr>
            <w:tcW w:w="0" w:type="auto"/>
          </w:tcPr>
          <w:p w14:paraId="3607D6B3" w14:textId="77777777" w:rsidR="009B5AA5" w:rsidRPr="00FA3F9C" w:rsidRDefault="009B5AA5" w:rsidP="00B06128">
            <w:pPr>
              <w:rPr>
                <w:rFonts w:ascii="Arial" w:hAnsi="Arial" w:cs="Arial"/>
                <w:b/>
                <w:sz w:val="24"/>
                <w:szCs w:val="24"/>
              </w:rPr>
            </w:pPr>
            <w:r w:rsidRPr="00FA3F9C">
              <w:rPr>
                <w:rFonts w:ascii="Arial" w:hAnsi="Arial" w:cs="Arial"/>
                <w:b/>
                <w:sz w:val="24"/>
                <w:szCs w:val="24"/>
              </w:rPr>
              <w:t xml:space="preserve">DOSE is 150-375mg SC q2 or 4w as determined by serum total </w:t>
            </w:r>
            <w:proofErr w:type="spellStart"/>
            <w:r w:rsidRPr="00FA3F9C">
              <w:rPr>
                <w:rFonts w:ascii="Arial" w:hAnsi="Arial" w:cs="Arial"/>
                <w:b/>
                <w:sz w:val="24"/>
                <w:szCs w:val="24"/>
              </w:rPr>
              <w:t>IgE</w:t>
            </w:r>
            <w:proofErr w:type="spellEnd"/>
            <w:r w:rsidRPr="00FA3F9C">
              <w:rPr>
                <w:rFonts w:ascii="Arial" w:hAnsi="Arial" w:cs="Arial"/>
                <w:b/>
                <w:sz w:val="24"/>
                <w:szCs w:val="24"/>
              </w:rPr>
              <w:t xml:space="preserve"> level measured before the start of therapy. (See chart in the package insert.)</w:t>
            </w:r>
          </w:p>
        </w:tc>
      </w:tr>
      <w:tr w:rsidR="009B5AA5" w:rsidRPr="00FA3F9C" w14:paraId="7B198AE8" w14:textId="77777777" w:rsidTr="004831CA">
        <w:tc>
          <w:tcPr>
            <w:tcW w:w="0" w:type="auto"/>
            <w:tcBorders>
              <w:bottom w:val="single" w:sz="4" w:space="0" w:color="auto"/>
            </w:tcBorders>
          </w:tcPr>
          <w:p w14:paraId="3A44C3D5" w14:textId="77777777" w:rsidR="009B5AA5" w:rsidRPr="00FA3F9C" w:rsidRDefault="009B5AA5" w:rsidP="00B06128">
            <w:pPr>
              <w:rPr>
                <w:rFonts w:ascii="Arial" w:hAnsi="Arial" w:cs="Arial"/>
                <w:sz w:val="24"/>
                <w:szCs w:val="24"/>
              </w:rPr>
            </w:pPr>
            <w:r w:rsidRPr="00FA3F9C">
              <w:rPr>
                <w:rFonts w:ascii="Arial" w:hAnsi="Arial" w:cs="Arial"/>
                <w:sz w:val="24"/>
                <w:szCs w:val="24"/>
              </w:rPr>
              <w:lastRenderedPageBreak/>
              <w:t>If approved for coverage, PA is good for 6 months.  Re-authorization for a PA will require the patient to be compliant with optimal asthma drug therapy as per the current NHLBI Asthma guidelines</w:t>
            </w:r>
            <w:r w:rsidRPr="00FA3F9C">
              <w:rPr>
                <w:rFonts w:ascii="Arial" w:hAnsi="Arial" w:cs="Arial"/>
                <w:sz w:val="24"/>
                <w:szCs w:val="24"/>
                <w:vertAlign w:val="superscript"/>
              </w:rPr>
              <w:t>4</w:t>
            </w:r>
            <w:r w:rsidRPr="00FA3F9C">
              <w:rPr>
                <w:rFonts w:ascii="Arial" w:hAnsi="Arial" w:cs="Arial"/>
                <w:sz w:val="24"/>
                <w:szCs w:val="24"/>
              </w:rPr>
              <w:t>.</w:t>
            </w:r>
          </w:p>
        </w:tc>
      </w:tr>
      <w:tr w:rsidR="009B5AA5" w:rsidRPr="00FA3F9C" w14:paraId="0984002E" w14:textId="77777777" w:rsidTr="004831CA">
        <w:tc>
          <w:tcPr>
            <w:tcW w:w="0" w:type="auto"/>
            <w:shd w:val="clear" w:color="auto" w:fill="000000" w:themeFill="text1"/>
          </w:tcPr>
          <w:p w14:paraId="1DF2DFE4" w14:textId="77777777" w:rsidR="009B5AA5" w:rsidRPr="00FA3F9C" w:rsidRDefault="009B5AA5" w:rsidP="00B06128">
            <w:pPr>
              <w:rPr>
                <w:rFonts w:ascii="Arial" w:hAnsi="Arial" w:cs="Arial"/>
                <w:sz w:val="24"/>
                <w:szCs w:val="24"/>
              </w:rPr>
            </w:pPr>
            <w:r w:rsidRPr="00FA3F9C">
              <w:rPr>
                <w:rFonts w:ascii="Arial" w:hAnsi="Arial" w:cs="Arial"/>
                <w:sz w:val="24"/>
                <w:szCs w:val="24"/>
              </w:rPr>
              <w:t>Continuation Criteria for Asthma</w:t>
            </w:r>
          </w:p>
        </w:tc>
      </w:tr>
      <w:tr w:rsidR="009B5AA5" w:rsidRPr="00FA3F9C" w14:paraId="443B7412" w14:textId="77777777" w:rsidTr="00B06128">
        <w:tc>
          <w:tcPr>
            <w:tcW w:w="0" w:type="auto"/>
          </w:tcPr>
          <w:p w14:paraId="280789BA" w14:textId="77777777" w:rsidR="009B5AA5" w:rsidRPr="00FA3F9C" w:rsidRDefault="009B5AA5" w:rsidP="00B06128">
            <w:pPr>
              <w:rPr>
                <w:rFonts w:ascii="Arial" w:hAnsi="Arial" w:cs="Arial"/>
                <w:sz w:val="24"/>
                <w:szCs w:val="24"/>
              </w:rPr>
            </w:pPr>
            <w:r w:rsidRPr="00FA3F9C">
              <w:rPr>
                <w:rFonts w:ascii="Arial" w:hAnsi="Arial" w:cs="Arial"/>
                <w:sz w:val="24"/>
                <w:szCs w:val="24"/>
              </w:rPr>
              <w:t>1. The patient may not miss more than 33% of scheduled omalizumab doses. (</w:t>
            </w:r>
            <w:proofErr w:type="gramStart"/>
            <w:r w:rsidRPr="00FA3F9C">
              <w:rPr>
                <w:rFonts w:ascii="Arial" w:hAnsi="Arial" w:cs="Arial"/>
                <w:sz w:val="24"/>
                <w:szCs w:val="24"/>
              </w:rPr>
              <w:t>must</w:t>
            </w:r>
            <w:proofErr w:type="gramEnd"/>
            <w:r w:rsidRPr="00FA3F9C">
              <w:rPr>
                <w:rFonts w:ascii="Arial" w:hAnsi="Arial" w:cs="Arial"/>
                <w:sz w:val="24"/>
                <w:szCs w:val="24"/>
              </w:rPr>
              <w:t xml:space="preserve"> receive at least 4 of the last 6 scheduled doses) on time.</w:t>
            </w:r>
          </w:p>
        </w:tc>
      </w:tr>
      <w:tr w:rsidR="009B5AA5" w:rsidRPr="00FA3F9C" w14:paraId="0BAEA881" w14:textId="77777777" w:rsidTr="00B06128">
        <w:tc>
          <w:tcPr>
            <w:tcW w:w="0" w:type="auto"/>
          </w:tcPr>
          <w:p w14:paraId="37E0A5AA" w14:textId="77777777" w:rsidR="009B5AA5" w:rsidRPr="00FA3F9C" w:rsidRDefault="009B5AA5" w:rsidP="00B06128">
            <w:pPr>
              <w:rPr>
                <w:rFonts w:ascii="Arial" w:hAnsi="Arial" w:cs="Arial"/>
                <w:sz w:val="24"/>
                <w:szCs w:val="24"/>
              </w:rPr>
            </w:pPr>
            <w:r w:rsidRPr="00FA3F9C">
              <w:rPr>
                <w:rFonts w:ascii="Arial" w:hAnsi="Arial" w:cs="Arial"/>
                <w:sz w:val="24"/>
                <w:szCs w:val="24"/>
              </w:rPr>
              <w:t>2. The patient must meet ONE of the following criteria:</w:t>
            </w:r>
          </w:p>
          <w:p w14:paraId="40403D67" w14:textId="77777777" w:rsidR="009B5AA5" w:rsidRPr="00FA3F9C" w:rsidRDefault="009B5AA5" w:rsidP="00FC1E85">
            <w:pPr>
              <w:pStyle w:val="ListParagraph"/>
              <w:numPr>
                <w:ilvl w:val="0"/>
                <w:numId w:val="391"/>
              </w:numPr>
              <w:spacing w:after="0" w:line="240" w:lineRule="auto"/>
              <w:rPr>
                <w:rFonts w:ascii="Arial" w:hAnsi="Arial" w:cs="Arial"/>
                <w:sz w:val="24"/>
                <w:szCs w:val="24"/>
              </w:rPr>
            </w:pPr>
            <w:r w:rsidRPr="00FA3F9C">
              <w:rPr>
                <w:rFonts w:ascii="Arial" w:hAnsi="Arial" w:cs="Arial"/>
                <w:sz w:val="24"/>
                <w:szCs w:val="24"/>
              </w:rPr>
              <w:t>A 25% reduction in asthma exacerbations (</w:t>
            </w:r>
            <w:proofErr w:type="gramStart"/>
            <w:r w:rsidRPr="00FA3F9C">
              <w:rPr>
                <w:rFonts w:ascii="Arial" w:hAnsi="Arial" w:cs="Arial"/>
                <w:sz w:val="24"/>
                <w:szCs w:val="24"/>
              </w:rPr>
              <w:t>i.e.</w:t>
            </w:r>
            <w:proofErr w:type="gramEnd"/>
            <w:r w:rsidRPr="00FA3F9C">
              <w:rPr>
                <w:rFonts w:ascii="Arial" w:hAnsi="Arial" w:cs="Arial"/>
                <w:sz w:val="24"/>
                <w:szCs w:val="24"/>
              </w:rPr>
              <w:t xml:space="preserve"> hospitalizations, urgent or emergent care visits, use of rescue medications) compared to their baseline prior to omalizumab</w:t>
            </w:r>
          </w:p>
          <w:p w14:paraId="7B807FAA" w14:textId="77777777" w:rsidR="009B5AA5" w:rsidRPr="00FA3F9C" w:rsidRDefault="009B5AA5" w:rsidP="00FC1E85">
            <w:pPr>
              <w:pStyle w:val="ListParagraph"/>
              <w:numPr>
                <w:ilvl w:val="0"/>
                <w:numId w:val="391"/>
              </w:numPr>
              <w:spacing w:after="0" w:line="240" w:lineRule="auto"/>
              <w:rPr>
                <w:rFonts w:ascii="Arial" w:hAnsi="Arial" w:cs="Arial"/>
                <w:sz w:val="24"/>
                <w:szCs w:val="24"/>
              </w:rPr>
            </w:pPr>
            <w:r w:rsidRPr="00FA3F9C">
              <w:rPr>
                <w:rFonts w:ascii="Arial" w:hAnsi="Arial" w:cs="Arial"/>
                <w:sz w:val="24"/>
                <w:szCs w:val="24"/>
              </w:rPr>
              <w:t xml:space="preserve">The patient has been able to reduce their oral corticosteroid dose from their pre-omalizumab baseline dose </w:t>
            </w:r>
          </w:p>
        </w:tc>
      </w:tr>
      <w:tr w:rsidR="009B5AA5" w:rsidRPr="00FA3F9C" w14:paraId="2BB7FB0E" w14:textId="77777777" w:rsidTr="00B06128">
        <w:tc>
          <w:tcPr>
            <w:tcW w:w="0" w:type="auto"/>
          </w:tcPr>
          <w:p w14:paraId="46830733" w14:textId="77777777" w:rsidR="009B5AA5" w:rsidRPr="00FA3F9C" w:rsidRDefault="009B5AA5" w:rsidP="00B06128">
            <w:pPr>
              <w:rPr>
                <w:rFonts w:ascii="Arial" w:hAnsi="Arial" w:cs="Arial"/>
                <w:sz w:val="24"/>
                <w:szCs w:val="24"/>
              </w:rPr>
            </w:pPr>
            <w:r w:rsidRPr="00FA3F9C">
              <w:rPr>
                <w:rFonts w:ascii="Arial" w:hAnsi="Arial" w:cs="Arial"/>
                <w:sz w:val="24"/>
                <w:szCs w:val="24"/>
              </w:rPr>
              <w:t xml:space="preserve">If so, may approve a </w:t>
            </w:r>
            <w:proofErr w:type="gramStart"/>
            <w:r w:rsidRPr="00FA3F9C">
              <w:rPr>
                <w:rFonts w:ascii="Arial" w:hAnsi="Arial" w:cs="Arial"/>
                <w:sz w:val="24"/>
                <w:szCs w:val="24"/>
              </w:rPr>
              <w:t>12 month</w:t>
            </w:r>
            <w:proofErr w:type="gramEnd"/>
            <w:r w:rsidRPr="00FA3F9C">
              <w:rPr>
                <w:rFonts w:ascii="Arial" w:hAnsi="Arial" w:cs="Arial"/>
                <w:sz w:val="24"/>
                <w:szCs w:val="24"/>
              </w:rPr>
              <w:t xml:space="preserve"> PA.</w:t>
            </w:r>
          </w:p>
        </w:tc>
      </w:tr>
    </w:tbl>
    <w:p w14:paraId="4C272585" w14:textId="77777777" w:rsidR="009B5AA5" w:rsidRPr="00FA3F9C" w:rsidRDefault="009B5AA5" w:rsidP="008A055E">
      <w:pPr>
        <w:rPr>
          <w:rFonts w:ascii="Arial" w:hAnsi="Arial" w:cs="Arial"/>
          <w:sz w:val="24"/>
          <w:szCs w:val="24"/>
        </w:rPr>
      </w:pPr>
      <w:r w:rsidRPr="00FA3F9C">
        <w:rPr>
          <w:rFonts w:ascii="Arial" w:hAnsi="Arial" w:cs="Arial"/>
          <w:sz w:val="24"/>
          <w:szCs w:val="24"/>
        </w:rPr>
        <w:t xml:space="preserve"> </w:t>
      </w:r>
    </w:p>
    <w:p w14:paraId="14D74C91" w14:textId="77777777" w:rsidR="009B5AA5" w:rsidRPr="00FA3F9C" w:rsidRDefault="009B5AA5" w:rsidP="008A055E">
      <w:pPr>
        <w:rPr>
          <w:rFonts w:ascii="Arial" w:hAnsi="Arial" w:cs="Arial"/>
          <w:b/>
          <w:sz w:val="24"/>
          <w:szCs w:val="24"/>
        </w:rPr>
      </w:pPr>
    </w:p>
    <w:p w14:paraId="22A103B6" w14:textId="77777777" w:rsidR="009B5AA5" w:rsidRPr="00FA3F9C" w:rsidRDefault="009B5AA5" w:rsidP="008A055E">
      <w:pPr>
        <w:rPr>
          <w:rFonts w:ascii="Arial" w:hAnsi="Arial" w:cs="Arial"/>
          <w:b/>
          <w:sz w:val="24"/>
          <w:szCs w:val="24"/>
        </w:rPr>
      </w:pPr>
    </w:p>
    <w:tbl>
      <w:tblPr>
        <w:tblStyle w:val="TableGrid"/>
        <w:tblW w:w="0" w:type="auto"/>
        <w:tblLook w:val="04A0" w:firstRow="1" w:lastRow="0" w:firstColumn="1" w:lastColumn="0" w:noHBand="0" w:noVBand="1"/>
      </w:tblPr>
      <w:tblGrid>
        <w:gridCol w:w="10998"/>
      </w:tblGrid>
      <w:tr w:rsidR="009B5AA5" w:rsidRPr="00FA3F9C" w14:paraId="3535BDE6" w14:textId="77777777" w:rsidTr="004831CA">
        <w:tc>
          <w:tcPr>
            <w:tcW w:w="10998" w:type="dxa"/>
            <w:shd w:val="clear" w:color="auto" w:fill="000000" w:themeFill="text1"/>
          </w:tcPr>
          <w:p w14:paraId="161816F7" w14:textId="77777777" w:rsidR="009B5AA5" w:rsidRPr="00FA3F9C" w:rsidRDefault="009B5AA5" w:rsidP="008A055E">
            <w:pPr>
              <w:rPr>
                <w:rFonts w:ascii="Arial" w:hAnsi="Arial" w:cs="Arial"/>
                <w:b/>
                <w:sz w:val="24"/>
                <w:szCs w:val="24"/>
              </w:rPr>
            </w:pPr>
            <w:r w:rsidRPr="00FA3F9C">
              <w:rPr>
                <w:rFonts w:ascii="Arial" w:hAnsi="Arial" w:cs="Arial"/>
                <w:b/>
                <w:sz w:val="24"/>
                <w:szCs w:val="24"/>
              </w:rPr>
              <w:t>CHRONIC IDIOPATHIC URTICARIA</w:t>
            </w:r>
          </w:p>
        </w:tc>
      </w:tr>
      <w:tr w:rsidR="009B5AA5" w:rsidRPr="00FA3F9C" w14:paraId="38D55898" w14:textId="77777777" w:rsidTr="008A055E">
        <w:tc>
          <w:tcPr>
            <w:tcW w:w="10998" w:type="dxa"/>
          </w:tcPr>
          <w:p w14:paraId="69C2F4EC" w14:textId="77777777" w:rsidR="009B5AA5" w:rsidRPr="00FA3F9C" w:rsidRDefault="009B5AA5" w:rsidP="008A055E">
            <w:pPr>
              <w:rPr>
                <w:rFonts w:ascii="Arial" w:hAnsi="Arial" w:cs="Arial"/>
                <w:b/>
                <w:sz w:val="24"/>
                <w:szCs w:val="24"/>
              </w:rPr>
            </w:pPr>
            <w:r w:rsidRPr="00FA3F9C">
              <w:rPr>
                <w:rFonts w:ascii="Arial" w:hAnsi="Arial" w:cs="Arial"/>
                <w:b/>
                <w:sz w:val="24"/>
                <w:szCs w:val="24"/>
              </w:rPr>
              <w:t>1.  The patient must be 12 years or older.</w:t>
            </w:r>
          </w:p>
          <w:p w14:paraId="773AEFCD" w14:textId="77777777" w:rsidR="009B5AA5" w:rsidRPr="00FA3F9C" w:rsidRDefault="009B5AA5" w:rsidP="008A055E">
            <w:pPr>
              <w:rPr>
                <w:rFonts w:ascii="Arial" w:hAnsi="Arial" w:cs="Arial"/>
                <w:b/>
                <w:sz w:val="24"/>
                <w:szCs w:val="24"/>
              </w:rPr>
            </w:pPr>
            <w:r w:rsidRPr="00FA3F9C">
              <w:rPr>
                <w:rFonts w:ascii="Arial" w:hAnsi="Arial" w:cs="Arial"/>
                <w:b/>
                <w:sz w:val="24"/>
                <w:szCs w:val="24"/>
              </w:rPr>
              <w:t>2.  The patient must have a diagnosis of chronic idiopathic pruritis with the presence of itch AND hives for &gt;8 consecutive weeks despite current use of H1 antihistamine treatment during this time period.</w:t>
            </w:r>
          </w:p>
          <w:p w14:paraId="2B0E8528" w14:textId="77777777" w:rsidR="009B5AA5" w:rsidRPr="00FA3F9C" w:rsidRDefault="009B5AA5" w:rsidP="008A055E">
            <w:pPr>
              <w:rPr>
                <w:rFonts w:ascii="Arial" w:hAnsi="Arial" w:cs="Arial"/>
                <w:b/>
                <w:sz w:val="24"/>
                <w:szCs w:val="24"/>
              </w:rPr>
            </w:pPr>
            <w:r w:rsidRPr="00FA3F9C">
              <w:rPr>
                <w:rFonts w:ascii="Arial" w:hAnsi="Arial" w:cs="Arial"/>
                <w:b/>
                <w:sz w:val="24"/>
                <w:szCs w:val="24"/>
              </w:rPr>
              <w:t>3.  The patient must have tried: cetirizine 10mg daily, levocetirizine 5mg daily, fexofenadine 180mg daily, loratadine 10mg daily, or desloratadine 5mg daily for 2 weeks.</w:t>
            </w:r>
          </w:p>
          <w:p w14:paraId="671728C5" w14:textId="77777777" w:rsidR="009B5AA5" w:rsidRPr="00FA3F9C" w:rsidRDefault="009B5AA5" w:rsidP="008A055E">
            <w:pPr>
              <w:rPr>
                <w:rFonts w:ascii="Arial" w:hAnsi="Arial" w:cs="Arial"/>
                <w:b/>
                <w:sz w:val="24"/>
                <w:szCs w:val="24"/>
              </w:rPr>
            </w:pPr>
            <w:r w:rsidRPr="00FA3F9C">
              <w:rPr>
                <w:rFonts w:ascii="Arial" w:hAnsi="Arial" w:cs="Arial"/>
                <w:b/>
                <w:sz w:val="24"/>
                <w:szCs w:val="24"/>
              </w:rPr>
              <w:t>4.  The patient must also avoid non-steroidal anti-inflammatory drugs and any other relevant triggers.</w:t>
            </w:r>
          </w:p>
          <w:p w14:paraId="7E83F437" w14:textId="77777777" w:rsidR="009B5AA5" w:rsidRPr="00FA3F9C" w:rsidRDefault="009B5AA5" w:rsidP="008A055E">
            <w:pPr>
              <w:rPr>
                <w:rFonts w:ascii="Arial" w:hAnsi="Arial" w:cs="Arial"/>
                <w:b/>
                <w:sz w:val="24"/>
                <w:szCs w:val="24"/>
              </w:rPr>
            </w:pPr>
            <w:r w:rsidRPr="00FA3F9C">
              <w:rPr>
                <w:rFonts w:ascii="Arial" w:hAnsi="Arial" w:cs="Arial"/>
                <w:b/>
                <w:sz w:val="24"/>
                <w:szCs w:val="24"/>
              </w:rPr>
              <w:t>5.  Dose elevation of desloratadine or levocetirizine should be advanced to 4X the labeled dose.</w:t>
            </w:r>
          </w:p>
          <w:p w14:paraId="273CDC57" w14:textId="77777777" w:rsidR="009B5AA5" w:rsidRPr="00FA3F9C" w:rsidRDefault="009B5AA5" w:rsidP="008A055E">
            <w:pPr>
              <w:rPr>
                <w:rFonts w:ascii="Arial" w:hAnsi="Arial" w:cs="Arial"/>
                <w:b/>
                <w:sz w:val="24"/>
                <w:szCs w:val="24"/>
              </w:rPr>
            </w:pPr>
            <w:r w:rsidRPr="00FA3F9C">
              <w:rPr>
                <w:rFonts w:ascii="Arial" w:hAnsi="Arial" w:cs="Arial"/>
                <w:b/>
                <w:sz w:val="24"/>
                <w:szCs w:val="24"/>
              </w:rPr>
              <w:t>6.  A second, different antihistamine should be added if dose escalation does not help.</w:t>
            </w:r>
          </w:p>
          <w:p w14:paraId="64DDC0E8" w14:textId="77777777" w:rsidR="009B5AA5" w:rsidRPr="00FA3F9C" w:rsidRDefault="009B5AA5" w:rsidP="008A055E">
            <w:pPr>
              <w:rPr>
                <w:rFonts w:ascii="Arial" w:hAnsi="Arial" w:cs="Arial"/>
                <w:b/>
                <w:sz w:val="24"/>
                <w:szCs w:val="24"/>
              </w:rPr>
            </w:pPr>
            <w:r w:rsidRPr="00FA3F9C">
              <w:rPr>
                <w:rFonts w:ascii="Arial" w:hAnsi="Arial" w:cs="Arial"/>
                <w:b/>
                <w:sz w:val="24"/>
                <w:szCs w:val="24"/>
              </w:rPr>
              <w:t>7.  Montelukast 10mg daily must be tried for at least 4 weeks.</w:t>
            </w:r>
          </w:p>
          <w:p w14:paraId="2A3E732D" w14:textId="77777777" w:rsidR="009B5AA5" w:rsidRPr="00FA3F9C" w:rsidRDefault="009B5AA5" w:rsidP="008A055E">
            <w:pPr>
              <w:rPr>
                <w:rFonts w:ascii="Arial" w:hAnsi="Arial" w:cs="Arial"/>
                <w:b/>
                <w:sz w:val="24"/>
                <w:szCs w:val="24"/>
              </w:rPr>
            </w:pPr>
            <w:r w:rsidRPr="00FA3F9C">
              <w:rPr>
                <w:rFonts w:ascii="Arial" w:hAnsi="Arial" w:cs="Arial"/>
                <w:b/>
                <w:sz w:val="24"/>
                <w:szCs w:val="24"/>
              </w:rPr>
              <w:t>8.  If still not controlled, first generation antihistamines hydroxyzine 100mg-200mg, or doxepin 100-150mg, must be tried at bedtime.</w:t>
            </w:r>
          </w:p>
        </w:tc>
      </w:tr>
      <w:tr w:rsidR="009B5AA5" w:rsidRPr="00FA3F9C" w14:paraId="093E5330" w14:textId="77777777" w:rsidTr="008A055E">
        <w:tc>
          <w:tcPr>
            <w:tcW w:w="10998" w:type="dxa"/>
          </w:tcPr>
          <w:p w14:paraId="6BB4917D" w14:textId="77777777" w:rsidR="009B5AA5" w:rsidRPr="00FA3F9C" w:rsidRDefault="009B5AA5" w:rsidP="008A055E">
            <w:pPr>
              <w:rPr>
                <w:rFonts w:ascii="Arial" w:hAnsi="Arial" w:cs="Arial"/>
                <w:b/>
                <w:sz w:val="24"/>
                <w:szCs w:val="24"/>
              </w:rPr>
            </w:pPr>
            <w:r w:rsidRPr="00FA3F9C">
              <w:rPr>
                <w:rFonts w:ascii="Arial" w:hAnsi="Arial" w:cs="Arial"/>
                <w:b/>
                <w:sz w:val="24"/>
                <w:szCs w:val="24"/>
              </w:rPr>
              <w:lastRenderedPageBreak/>
              <w:t xml:space="preserve">Usual dose is 150-300mg q4 weeks regardless of </w:t>
            </w:r>
            <w:proofErr w:type="spellStart"/>
            <w:r w:rsidRPr="00FA3F9C">
              <w:rPr>
                <w:rFonts w:ascii="Arial" w:hAnsi="Arial" w:cs="Arial"/>
                <w:b/>
                <w:sz w:val="24"/>
                <w:szCs w:val="24"/>
              </w:rPr>
              <w:t>IgE</w:t>
            </w:r>
            <w:proofErr w:type="spellEnd"/>
            <w:r w:rsidRPr="00FA3F9C">
              <w:rPr>
                <w:rFonts w:ascii="Arial" w:hAnsi="Arial" w:cs="Arial"/>
                <w:b/>
                <w:sz w:val="24"/>
                <w:szCs w:val="24"/>
              </w:rPr>
              <w:t xml:space="preserve"> or body weight.  </w:t>
            </w:r>
            <w:proofErr w:type="gramStart"/>
            <w:r w:rsidRPr="00FA3F9C">
              <w:rPr>
                <w:rFonts w:ascii="Arial" w:hAnsi="Arial" w:cs="Arial"/>
                <w:b/>
                <w:sz w:val="24"/>
                <w:szCs w:val="24"/>
              </w:rPr>
              <w:t>Don’t</w:t>
            </w:r>
            <w:proofErr w:type="gramEnd"/>
            <w:r w:rsidRPr="00FA3F9C">
              <w:rPr>
                <w:rFonts w:ascii="Arial" w:hAnsi="Arial" w:cs="Arial"/>
                <w:b/>
                <w:sz w:val="24"/>
                <w:szCs w:val="24"/>
              </w:rPr>
              <w:t xml:space="preserve"> exceed 300mg q4w.</w:t>
            </w:r>
          </w:p>
        </w:tc>
      </w:tr>
      <w:tr w:rsidR="009B5AA5" w:rsidRPr="00FA3F9C" w14:paraId="168C2C4A" w14:textId="77777777" w:rsidTr="008A055E">
        <w:tc>
          <w:tcPr>
            <w:tcW w:w="10998" w:type="dxa"/>
          </w:tcPr>
          <w:p w14:paraId="370A05C5" w14:textId="77777777" w:rsidR="009B5AA5" w:rsidRPr="00FA3F9C" w:rsidRDefault="009B5AA5" w:rsidP="008A055E">
            <w:pPr>
              <w:rPr>
                <w:rFonts w:ascii="Arial" w:hAnsi="Arial" w:cs="Arial"/>
                <w:b/>
                <w:sz w:val="24"/>
                <w:szCs w:val="24"/>
              </w:rPr>
            </w:pPr>
            <w:r w:rsidRPr="00FA3F9C">
              <w:rPr>
                <w:rFonts w:ascii="Arial" w:hAnsi="Arial" w:cs="Arial"/>
                <w:b/>
                <w:sz w:val="24"/>
                <w:szCs w:val="24"/>
              </w:rPr>
              <w:t>If approved, the PA may be approved for 12m.</w:t>
            </w:r>
          </w:p>
        </w:tc>
      </w:tr>
      <w:tr w:rsidR="009B5AA5" w:rsidRPr="00FA3F9C" w14:paraId="7E1A968A" w14:textId="77777777" w:rsidTr="008A055E">
        <w:tc>
          <w:tcPr>
            <w:tcW w:w="10998" w:type="dxa"/>
          </w:tcPr>
          <w:p w14:paraId="1A8BBE92" w14:textId="77777777" w:rsidR="009B5AA5" w:rsidRPr="00FA3F9C" w:rsidRDefault="009B5AA5" w:rsidP="008A055E">
            <w:pPr>
              <w:rPr>
                <w:rFonts w:ascii="Arial" w:hAnsi="Arial" w:cs="Arial"/>
                <w:b/>
                <w:sz w:val="24"/>
                <w:szCs w:val="24"/>
              </w:rPr>
            </w:pPr>
            <w:r w:rsidRPr="00FA3F9C">
              <w:rPr>
                <w:rFonts w:ascii="Arial" w:hAnsi="Arial" w:cs="Arial"/>
                <w:b/>
                <w:sz w:val="24"/>
                <w:szCs w:val="24"/>
              </w:rPr>
              <w:t>Continuation Criteria for Chronic Idiopathic Urticaria</w:t>
            </w:r>
          </w:p>
        </w:tc>
      </w:tr>
      <w:tr w:rsidR="009B5AA5" w:rsidRPr="00FA3F9C" w14:paraId="04B36663" w14:textId="77777777" w:rsidTr="008A055E">
        <w:tc>
          <w:tcPr>
            <w:tcW w:w="10998" w:type="dxa"/>
          </w:tcPr>
          <w:p w14:paraId="5D0E327A" w14:textId="77777777" w:rsidR="009B5AA5" w:rsidRPr="00FA3F9C" w:rsidRDefault="009B5AA5" w:rsidP="008A055E">
            <w:pPr>
              <w:rPr>
                <w:rFonts w:ascii="Arial" w:hAnsi="Arial" w:cs="Arial"/>
                <w:b/>
                <w:sz w:val="24"/>
                <w:szCs w:val="24"/>
              </w:rPr>
            </w:pPr>
            <w:r w:rsidRPr="00FA3F9C">
              <w:rPr>
                <w:rFonts w:ascii="Arial" w:hAnsi="Arial" w:cs="Arial"/>
                <w:b/>
                <w:sz w:val="24"/>
                <w:szCs w:val="24"/>
              </w:rPr>
              <w:t>1. The patient must not have missed more than 33% of scheduled omalizumab doses. (</w:t>
            </w:r>
            <w:proofErr w:type="gramStart"/>
            <w:r w:rsidRPr="00FA3F9C">
              <w:rPr>
                <w:rFonts w:ascii="Arial" w:hAnsi="Arial" w:cs="Arial"/>
                <w:b/>
                <w:sz w:val="24"/>
                <w:szCs w:val="24"/>
              </w:rPr>
              <w:t>must</w:t>
            </w:r>
            <w:proofErr w:type="gramEnd"/>
            <w:r w:rsidRPr="00FA3F9C">
              <w:rPr>
                <w:rFonts w:ascii="Arial" w:hAnsi="Arial" w:cs="Arial"/>
                <w:b/>
                <w:sz w:val="24"/>
                <w:szCs w:val="24"/>
              </w:rPr>
              <w:t xml:space="preserve"> receive at least 4 of the last 6 scheduled doses) on time.</w:t>
            </w:r>
          </w:p>
        </w:tc>
      </w:tr>
    </w:tbl>
    <w:p w14:paraId="716BA54D" w14:textId="77777777" w:rsidR="009B5AA5" w:rsidRPr="00FA3F9C" w:rsidRDefault="009B5AA5" w:rsidP="008A055E">
      <w:pPr>
        <w:rPr>
          <w:rFonts w:ascii="Arial" w:hAnsi="Arial" w:cs="Arial"/>
          <w:b/>
          <w:sz w:val="24"/>
          <w:szCs w:val="24"/>
        </w:rPr>
      </w:pPr>
    </w:p>
    <w:p w14:paraId="49B163CC" w14:textId="77777777" w:rsidR="009B5AA5" w:rsidRPr="00FA3F9C" w:rsidRDefault="009B5AA5" w:rsidP="00500AD5">
      <w:pPr>
        <w:rPr>
          <w:lang w:val="fr-FR"/>
        </w:rPr>
      </w:pPr>
      <w:proofErr w:type="spellStart"/>
      <w:proofErr w:type="gramStart"/>
      <w:r w:rsidRPr="00FA3F9C">
        <w:rPr>
          <w:lang w:val="fr-FR"/>
        </w:rPr>
        <w:t>References</w:t>
      </w:r>
      <w:proofErr w:type="spellEnd"/>
      <w:r w:rsidRPr="00FA3F9C">
        <w:rPr>
          <w:lang w:val="fr-FR"/>
        </w:rPr>
        <w:t>:</w:t>
      </w:r>
      <w:proofErr w:type="gramEnd"/>
    </w:p>
    <w:p w14:paraId="354E6772" w14:textId="77777777" w:rsidR="009B5AA5" w:rsidRPr="00FA3F9C" w:rsidRDefault="009B5AA5" w:rsidP="00500AD5">
      <w:pPr>
        <w:rPr>
          <w:lang w:val="fr-FR"/>
        </w:rPr>
      </w:pPr>
      <w:r w:rsidRPr="00FA3F9C">
        <w:rPr>
          <w:lang w:val="fr-FR"/>
        </w:rPr>
        <w:t xml:space="preserve">1.  Xolair PI. </w:t>
      </w:r>
    </w:p>
    <w:p w14:paraId="1BE34E31" w14:textId="77777777" w:rsidR="009B5AA5" w:rsidRPr="00FA3F9C" w:rsidRDefault="009B5AA5" w:rsidP="00500AD5">
      <w:pPr>
        <w:rPr>
          <w:lang w:val="fr-FR"/>
        </w:rPr>
      </w:pPr>
      <w:r w:rsidRPr="00FA3F9C">
        <w:rPr>
          <w:lang w:val="fr-FR"/>
        </w:rPr>
        <w:t xml:space="preserve">2.  NHLBI </w:t>
      </w:r>
      <w:proofErr w:type="spellStart"/>
      <w:r w:rsidRPr="00FA3F9C">
        <w:rPr>
          <w:lang w:val="fr-FR"/>
        </w:rPr>
        <w:t>Asthma</w:t>
      </w:r>
      <w:proofErr w:type="spellEnd"/>
      <w:r w:rsidRPr="00FA3F9C">
        <w:rPr>
          <w:lang w:val="fr-FR"/>
        </w:rPr>
        <w:t xml:space="preserve"> Guidelines. </w:t>
      </w:r>
    </w:p>
    <w:p w14:paraId="7A3B761A" w14:textId="77777777" w:rsidR="009B5AA5" w:rsidRPr="00FA3F9C" w:rsidRDefault="009B5AA5" w:rsidP="00500AD5">
      <w:r w:rsidRPr="00FA3F9C">
        <w:rPr>
          <w:lang w:val="fr-FR"/>
        </w:rPr>
        <w:t xml:space="preserve">3.  Humbert M, et al.  </w:t>
      </w:r>
      <w:r w:rsidRPr="00FA3F9C">
        <w:t>Benefits of omalizumab as add-on therapy in patients with severe persistent asthma who are inadequately controlled despite best available therapy:  INNOVATE.  Allergy 2005: 60: 309–316.</w:t>
      </w:r>
    </w:p>
    <w:p w14:paraId="562ECE83" w14:textId="77777777" w:rsidR="009B5AA5" w:rsidRPr="00FA3F9C" w:rsidRDefault="009B5AA5" w:rsidP="00500AD5">
      <w:pPr>
        <w:rPr>
          <w:b/>
          <w:bdr w:val="none" w:sz="0" w:space="0" w:color="auto" w:frame="1"/>
        </w:rPr>
      </w:pPr>
      <w:r w:rsidRPr="00FA3F9C">
        <w:t xml:space="preserve">4.  Maurer M, Rosen K, Hsieh HJ, et al.  Omalizumab for the Treatment of Chronic Idiopathic or Spontaneous Urticaria.  </w:t>
      </w:r>
      <w:r w:rsidRPr="00FA3F9C">
        <w:rPr>
          <w:bdr w:val="none" w:sz="0" w:space="0" w:color="auto" w:frame="1"/>
        </w:rPr>
        <w:t>NEJM 2013; 368:924-935.</w:t>
      </w:r>
    </w:p>
    <w:p w14:paraId="5CB55639" w14:textId="77777777" w:rsidR="009B5AA5" w:rsidRPr="00FA3F9C" w:rsidRDefault="009B5AA5" w:rsidP="00500AD5">
      <w:pPr>
        <w:rPr>
          <w:b/>
          <w:bCs/>
          <w:color w:val="000000"/>
        </w:rPr>
      </w:pPr>
      <w:r w:rsidRPr="00FA3F9C">
        <w:rPr>
          <w:bdr w:val="none" w:sz="0" w:space="0" w:color="auto" w:frame="1"/>
        </w:rPr>
        <w:t>5.  THIS GUIDELINE WAS PRODUCED BY HIGHLY CONFLICTED EDITORS: Bernstein JA, Lang DM, Khan DA.  The diagnosis and management of acute and chronic urticarial: 2014 update.  J Allergy Clin Immunol. 2014;133(5):1270-1277.</w:t>
      </w:r>
    </w:p>
    <w:p w14:paraId="33B9B25B" w14:textId="77777777" w:rsidR="009B5AA5" w:rsidRPr="00FA3F9C" w:rsidRDefault="009B5AA5" w:rsidP="008A055E">
      <w:pPr>
        <w:ind w:left="270" w:hanging="270"/>
        <w:rPr>
          <w:rFonts w:ascii="Arial" w:hAnsi="Arial" w:cs="Arial"/>
          <w:sz w:val="24"/>
          <w:szCs w:val="24"/>
        </w:rPr>
      </w:pPr>
    </w:p>
    <w:p w14:paraId="75FC2B3E" w14:textId="77777777" w:rsidR="009B5AA5" w:rsidRPr="00FA3F9C" w:rsidRDefault="009B5AA5" w:rsidP="008A055E">
      <w:pPr>
        <w:rPr>
          <w:rFonts w:ascii="Arial" w:hAnsi="Arial" w:cs="Arial"/>
          <w:sz w:val="24"/>
          <w:szCs w:val="24"/>
        </w:rPr>
      </w:pPr>
      <w:r w:rsidRPr="00FA3F9C">
        <w:rPr>
          <w:rFonts w:ascii="Arial" w:hAnsi="Arial" w:cs="Arial"/>
          <w:sz w:val="24"/>
          <w:szCs w:val="24"/>
        </w:rPr>
        <w:t>Notes:</w:t>
      </w:r>
    </w:p>
    <w:p w14:paraId="6613CFB9" w14:textId="77777777" w:rsidR="009B5AA5" w:rsidRPr="00FA3F9C" w:rsidRDefault="009B5AA5" w:rsidP="008A055E">
      <w:pPr>
        <w:autoSpaceDE w:val="0"/>
        <w:autoSpaceDN w:val="0"/>
        <w:adjustRightInd w:val="0"/>
        <w:rPr>
          <w:rFonts w:ascii="Arial" w:hAnsi="Arial" w:cs="Arial"/>
          <w:sz w:val="24"/>
          <w:szCs w:val="24"/>
        </w:rPr>
      </w:pPr>
      <w:r w:rsidRPr="00FA3F9C">
        <w:rPr>
          <w:rFonts w:ascii="Arial" w:hAnsi="Arial" w:cs="Arial"/>
          <w:sz w:val="24"/>
          <w:szCs w:val="24"/>
          <w:vertAlign w:val="superscript"/>
        </w:rPr>
        <w:t>1</w:t>
      </w:r>
      <w:r w:rsidRPr="00FA3F9C">
        <w:rPr>
          <w:rFonts w:ascii="Arial" w:hAnsi="Arial" w:cs="Arial"/>
          <w:sz w:val="24"/>
          <w:szCs w:val="24"/>
        </w:rPr>
        <w:t>Per the PI:  Considering the risk of anaphylaxis and malignancy seen in Xolair-treated patients ≥12 years old and the modest efficacy of Xolair in the pivotal pediatric study, the risk-benefit assessment does not support the use of  Xolair in patients 6-&lt;12 years of age.</w:t>
      </w:r>
    </w:p>
    <w:p w14:paraId="2114E31F" w14:textId="77777777" w:rsidR="009B5AA5" w:rsidRPr="00FA3F9C" w:rsidRDefault="009B5AA5" w:rsidP="008A055E">
      <w:pPr>
        <w:autoSpaceDE w:val="0"/>
        <w:autoSpaceDN w:val="0"/>
        <w:adjustRightInd w:val="0"/>
        <w:rPr>
          <w:rFonts w:ascii="Arial" w:hAnsi="Arial" w:cs="Arial"/>
          <w:sz w:val="24"/>
          <w:szCs w:val="24"/>
        </w:rPr>
      </w:pPr>
      <w:r w:rsidRPr="00FA3F9C">
        <w:rPr>
          <w:rFonts w:ascii="Arial" w:hAnsi="Arial" w:cs="Arial"/>
          <w:sz w:val="24"/>
          <w:szCs w:val="24"/>
          <w:vertAlign w:val="superscript"/>
        </w:rPr>
        <w:t>2</w:t>
      </w:r>
      <w:r w:rsidRPr="00FA3F9C">
        <w:rPr>
          <w:rFonts w:ascii="Arial" w:hAnsi="Arial" w:cs="Arial"/>
          <w:sz w:val="24"/>
          <w:szCs w:val="24"/>
        </w:rPr>
        <w:t>Reductions in exacerbations were not seen in patients who required oral steroids as maintenance therapy.</w:t>
      </w:r>
    </w:p>
    <w:p w14:paraId="3959D9DA" w14:textId="77777777" w:rsidR="009B5AA5" w:rsidRPr="00FA3F9C" w:rsidRDefault="009B5AA5" w:rsidP="008A055E">
      <w:pPr>
        <w:autoSpaceDE w:val="0"/>
        <w:autoSpaceDN w:val="0"/>
        <w:adjustRightInd w:val="0"/>
        <w:rPr>
          <w:rFonts w:ascii="Arial" w:hAnsi="Arial" w:cs="Arial"/>
          <w:sz w:val="24"/>
          <w:szCs w:val="24"/>
        </w:rPr>
      </w:pPr>
      <w:r w:rsidRPr="00FA3F9C">
        <w:rPr>
          <w:rFonts w:ascii="Arial" w:hAnsi="Arial" w:cs="Arial"/>
          <w:sz w:val="24"/>
          <w:szCs w:val="24"/>
          <w:vertAlign w:val="superscript"/>
        </w:rPr>
        <w:t>3</w:t>
      </w:r>
      <w:r w:rsidRPr="00FA3F9C">
        <w:rPr>
          <w:rFonts w:ascii="Arial" w:hAnsi="Arial" w:cs="Arial"/>
          <w:sz w:val="24"/>
          <w:szCs w:val="24"/>
        </w:rPr>
        <w:t xml:space="preserve">In all three of the studies, a reduction of asthma exacerbations was not observed in the Xolair-treated patients who had FEV1 &gt; 80% at the time of randomization. </w:t>
      </w:r>
    </w:p>
    <w:p w14:paraId="470765DF" w14:textId="77777777" w:rsidR="009B5AA5" w:rsidRPr="00FA3F9C" w:rsidRDefault="009B5AA5" w:rsidP="008A055E">
      <w:pPr>
        <w:autoSpaceDE w:val="0"/>
        <w:autoSpaceDN w:val="0"/>
        <w:adjustRightInd w:val="0"/>
        <w:rPr>
          <w:rFonts w:ascii="Arial" w:hAnsi="Arial" w:cs="Arial"/>
          <w:bCs/>
          <w:iCs/>
          <w:w w:val="90"/>
          <w:sz w:val="24"/>
          <w:szCs w:val="24"/>
        </w:rPr>
      </w:pPr>
      <w:r w:rsidRPr="00FA3F9C">
        <w:rPr>
          <w:rFonts w:ascii="Arial" w:hAnsi="Arial" w:cs="Arial"/>
          <w:b/>
          <w:bCs/>
          <w:i/>
          <w:iCs/>
          <w:w w:val="90"/>
          <w:sz w:val="24"/>
          <w:szCs w:val="24"/>
          <w:vertAlign w:val="superscript"/>
        </w:rPr>
        <w:t>4</w:t>
      </w:r>
      <w:r w:rsidRPr="00FA3F9C">
        <w:rPr>
          <w:rFonts w:ascii="Arial" w:hAnsi="Arial" w:cs="Arial"/>
          <w:bCs/>
          <w:iCs/>
          <w:w w:val="90"/>
          <w:sz w:val="24"/>
          <w:szCs w:val="24"/>
        </w:rPr>
        <w:t>NHLBI Asthma Guidelines 2007.</w:t>
      </w:r>
    </w:p>
    <w:p w14:paraId="01DC0883" w14:textId="77777777" w:rsidR="009B5AA5" w:rsidRPr="00FA3F9C" w:rsidRDefault="009B5AA5" w:rsidP="008A055E">
      <w:pPr>
        <w:autoSpaceDE w:val="0"/>
        <w:autoSpaceDN w:val="0"/>
        <w:adjustRightInd w:val="0"/>
        <w:jc w:val="both"/>
        <w:rPr>
          <w:rFonts w:ascii="Arial" w:hAnsi="Arial" w:cs="Arial"/>
          <w:b/>
          <w:bCs/>
          <w:i/>
          <w:iCs/>
          <w:w w:val="90"/>
          <w:sz w:val="24"/>
          <w:szCs w:val="24"/>
        </w:rPr>
      </w:pPr>
      <w:r w:rsidRPr="00FA3F9C">
        <w:rPr>
          <w:rFonts w:ascii="Arial" w:hAnsi="Arial" w:cs="Arial"/>
          <w:b/>
          <w:bCs/>
          <w:i/>
          <w:iCs/>
          <w:w w:val="90"/>
          <w:sz w:val="24"/>
          <w:szCs w:val="24"/>
        </w:rPr>
        <w:t>Omalizumab</w:t>
      </w:r>
    </w:p>
    <w:p w14:paraId="713F3DAA" w14:textId="77777777" w:rsidR="009B5AA5" w:rsidRPr="00FA3F9C" w:rsidRDefault="009B5AA5" w:rsidP="008A055E">
      <w:pPr>
        <w:autoSpaceDE w:val="0"/>
        <w:autoSpaceDN w:val="0"/>
        <w:adjustRightInd w:val="0"/>
        <w:jc w:val="both"/>
        <w:rPr>
          <w:rFonts w:ascii="Arial" w:hAnsi="Arial" w:cs="Arial"/>
          <w:b/>
          <w:bCs/>
          <w:w w:val="90"/>
          <w:sz w:val="24"/>
          <w:szCs w:val="24"/>
        </w:rPr>
      </w:pPr>
      <w:r w:rsidRPr="00FA3F9C">
        <w:rPr>
          <w:rFonts w:ascii="Arial" w:hAnsi="Arial" w:cs="Arial"/>
          <w:b/>
          <w:bCs/>
          <w:w w:val="90"/>
          <w:sz w:val="24"/>
          <w:szCs w:val="24"/>
        </w:rPr>
        <w:lastRenderedPageBreak/>
        <w:t xml:space="preserve">The Expert Panel recommends that omalizumab may be considered as adjunctive therapy in </w:t>
      </w:r>
      <w:proofErr w:type="gramStart"/>
      <w:r w:rsidRPr="00FA3F9C">
        <w:rPr>
          <w:rFonts w:ascii="Arial" w:hAnsi="Arial" w:cs="Arial"/>
          <w:b/>
          <w:bCs/>
          <w:w w:val="90"/>
          <w:sz w:val="24"/>
          <w:szCs w:val="24"/>
        </w:rPr>
        <w:t>step</w:t>
      </w:r>
      <w:proofErr w:type="gramEnd"/>
      <w:r w:rsidRPr="00FA3F9C">
        <w:rPr>
          <w:rFonts w:ascii="Arial" w:hAnsi="Arial" w:cs="Arial"/>
          <w:b/>
          <w:bCs/>
          <w:w w:val="90"/>
          <w:sz w:val="24"/>
          <w:szCs w:val="24"/>
        </w:rPr>
        <w:t xml:space="preserve"> 5 or 6 care for patients who have allergies and severe persistent asthma that is inadequately controlled with the combination of high-dose ICS and LABA (Evidence B). </w:t>
      </w:r>
    </w:p>
    <w:p w14:paraId="222D85D1" w14:textId="77777777" w:rsidR="009B5AA5" w:rsidRPr="00FA3F9C" w:rsidRDefault="009B5AA5" w:rsidP="008A055E">
      <w:pPr>
        <w:autoSpaceDE w:val="0"/>
        <w:autoSpaceDN w:val="0"/>
        <w:adjustRightInd w:val="0"/>
        <w:jc w:val="both"/>
        <w:rPr>
          <w:rFonts w:ascii="Arial" w:hAnsi="Arial" w:cs="Arial"/>
          <w:sz w:val="24"/>
          <w:szCs w:val="24"/>
        </w:rPr>
      </w:pPr>
      <w:r w:rsidRPr="00FA3F9C">
        <w:rPr>
          <w:rFonts w:ascii="Arial" w:hAnsi="Arial" w:cs="Arial"/>
          <w:sz w:val="24"/>
          <w:szCs w:val="24"/>
        </w:rPr>
        <w:t>(See Evidence Table 13, Immunomodulators: Anti-</w:t>
      </w:r>
      <w:proofErr w:type="spellStart"/>
      <w:r w:rsidRPr="00FA3F9C">
        <w:rPr>
          <w:rFonts w:ascii="Arial" w:hAnsi="Arial" w:cs="Arial"/>
          <w:sz w:val="24"/>
          <w:szCs w:val="24"/>
        </w:rPr>
        <w:t>IgE</w:t>
      </w:r>
      <w:proofErr w:type="spellEnd"/>
      <w:r w:rsidRPr="00FA3F9C">
        <w:rPr>
          <w:rFonts w:ascii="Arial" w:hAnsi="Arial" w:cs="Arial"/>
          <w:sz w:val="24"/>
          <w:szCs w:val="24"/>
        </w:rPr>
        <w:t>.)</w:t>
      </w:r>
    </w:p>
    <w:p w14:paraId="4773726D" w14:textId="77777777" w:rsidR="009B5AA5" w:rsidRPr="00FA3F9C" w:rsidRDefault="009B5AA5" w:rsidP="008A055E">
      <w:pPr>
        <w:autoSpaceDE w:val="0"/>
        <w:autoSpaceDN w:val="0"/>
        <w:adjustRightInd w:val="0"/>
        <w:jc w:val="both"/>
        <w:rPr>
          <w:rFonts w:ascii="Arial" w:hAnsi="Arial" w:cs="Arial"/>
          <w:sz w:val="24"/>
          <w:szCs w:val="24"/>
        </w:rPr>
      </w:pPr>
      <w:r w:rsidRPr="00FA3F9C">
        <w:rPr>
          <w:rFonts w:ascii="Arial" w:hAnsi="Arial" w:cs="Arial"/>
          <w:sz w:val="24"/>
          <w:szCs w:val="24"/>
        </w:rPr>
        <w:t xml:space="preserve">Omalizumab, a recombinant DNA-derived humanized monoclonal antibody to the Fc portion of the </w:t>
      </w:r>
      <w:proofErr w:type="spellStart"/>
      <w:r w:rsidRPr="00FA3F9C">
        <w:rPr>
          <w:rFonts w:ascii="Arial" w:hAnsi="Arial" w:cs="Arial"/>
          <w:sz w:val="24"/>
          <w:szCs w:val="24"/>
        </w:rPr>
        <w:t>IgE</w:t>
      </w:r>
      <w:proofErr w:type="spellEnd"/>
      <w:r w:rsidRPr="00FA3F9C">
        <w:rPr>
          <w:rFonts w:ascii="Arial" w:hAnsi="Arial" w:cs="Arial"/>
          <w:sz w:val="24"/>
          <w:szCs w:val="24"/>
        </w:rPr>
        <w:t xml:space="preserve"> antibody, binds to that portion preventing the binding of </w:t>
      </w:r>
      <w:proofErr w:type="spellStart"/>
      <w:r w:rsidRPr="00FA3F9C">
        <w:rPr>
          <w:rFonts w:ascii="Arial" w:hAnsi="Arial" w:cs="Arial"/>
          <w:sz w:val="24"/>
          <w:szCs w:val="24"/>
        </w:rPr>
        <w:t>IgE</w:t>
      </w:r>
      <w:proofErr w:type="spellEnd"/>
      <w:r w:rsidRPr="00FA3F9C">
        <w:rPr>
          <w:rFonts w:ascii="Arial" w:hAnsi="Arial" w:cs="Arial"/>
          <w:sz w:val="24"/>
          <w:szCs w:val="24"/>
        </w:rPr>
        <w:t xml:space="preserve"> to its high-affinity receptor (</w:t>
      </w:r>
      <w:proofErr w:type="spellStart"/>
      <w:r w:rsidRPr="00FA3F9C">
        <w:rPr>
          <w:rFonts w:ascii="Arial" w:hAnsi="Arial" w:cs="Arial"/>
          <w:sz w:val="24"/>
          <w:szCs w:val="24"/>
        </w:rPr>
        <w:t>Fc</w:t>
      </w:r>
      <w:r w:rsidRPr="00FA3F9C">
        <w:rPr>
          <w:rFonts w:ascii="Arial" w:eastAsia="SymbolMT" w:hAnsi="Arial" w:cs="Arial"/>
          <w:sz w:val="24"/>
          <w:szCs w:val="24"/>
        </w:rPr>
        <w:t>ε</w:t>
      </w:r>
      <w:r w:rsidRPr="00FA3F9C">
        <w:rPr>
          <w:rFonts w:ascii="Arial" w:hAnsi="Arial" w:cs="Arial"/>
          <w:sz w:val="24"/>
          <w:szCs w:val="24"/>
        </w:rPr>
        <w:t>RI</w:t>
      </w:r>
      <w:proofErr w:type="spellEnd"/>
      <w:r w:rsidRPr="00FA3F9C">
        <w:rPr>
          <w:rFonts w:ascii="Arial" w:hAnsi="Arial" w:cs="Arial"/>
          <w:sz w:val="24"/>
          <w:szCs w:val="24"/>
        </w:rPr>
        <w:t xml:space="preserve">) on mast cells and basophils. The decreased binding of </w:t>
      </w:r>
      <w:proofErr w:type="spellStart"/>
      <w:r w:rsidRPr="00FA3F9C">
        <w:rPr>
          <w:rFonts w:ascii="Arial" w:hAnsi="Arial" w:cs="Arial"/>
          <w:sz w:val="24"/>
          <w:szCs w:val="24"/>
        </w:rPr>
        <w:t>IgE</w:t>
      </w:r>
      <w:proofErr w:type="spellEnd"/>
      <w:r w:rsidRPr="00FA3F9C">
        <w:rPr>
          <w:rFonts w:ascii="Arial" w:hAnsi="Arial" w:cs="Arial"/>
          <w:sz w:val="24"/>
          <w:szCs w:val="24"/>
        </w:rPr>
        <w:t xml:space="preserve"> on the surface of mast cells leads to a decrease in the release of mediators in response to allergen exposure. Omalizumab also decreases </w:t>
      </w:r>
      <w:proofErr w:type="spellStart"/>
      <w:r w:rsidRPr="00FA3F9C">
        <w:rPr>
          <w:rFonts w:ascii="Arial" w:hAnsi="Arial" w:cs="Arial"/>
          <w:sz w:val="24"/>
          <w:szCs w:val="24"/>
        </w:rPr>
        <w:t>Fc</w:t>
      </w:r>
      <w:r w:rsidRPr="00FA3F9C">
        <w:rPr>
          <w:rFonts w:ascii="Arial" w:eastAsia="SymbolMT" w:hAnsi="Arial" w:cs="Arial"/>
          <w:sz w:val="24"/>
          <w:szCs w:val="24"/>
        </w:rPr>
        <w:t>ε</w:t>
      </w:r>
      <w:r w:rsidRPr="00FA3F9C">
        <w:rPr>
          <w:rFonts w:ascii="Arial" w:hAnsi="Arial" w:cs="Arial"/>
          <w:sz w:val="24"/>
          <w:szCs w:val="24"/>
        </w:rPr>
        <w:t>RI</w:t>
      </w:r>
      <w:proofErr w:type="spellEnd"/>
      <w:r w:rsidRPr="00FA3F9C">
        <w:rPr>
          <w:rFonts w:ascii="Arial" w:hAnsi="Arial" w:cs="Arial"/>
          <w:sz w:val="24"/>
          <w:szCs w:val="24"/>
        </w:rPr>
        <w:t xml:space="preserve"> expression on basophils and airway submucosal cells (</w:t>
      </w:r>
      <w:proofErr w:type="spellStart"/>
      <w:r w:rsidRPr="00FA3F9C">
        <w:rPr>
          <w:rFonts w:ascii="Arial" w:hAnsi="Arial" w:cs="Arial"/>
          <w:sz w:val="24"/>
          <w:szCs w:val="24"/>
        </w:rPr>
        <w:t>Djukanovic</w:t>
      </w:r>
      <w:proofErr w:type="spellEnd"/>
      <w:r w:rsidRPr="00FA3F9C">
        <w:rPr>
          <w:rFonts w:ascii="Arial" w:hAnsi="Arial" w:cs="Arial"/>
          <w:sz w:val="24"/>
          <w:szCs w:val="24"/>
        </w:rPr>
        <w:t xml:space="preserve"> et al. 2004; Lin et al. 2004). That study also showed significant decreases in sputum and bronchial eosinophils as well as in CD3+, CD4+, and CD8+ T cells in bronchial biopsy (</w:t>
      </w:r>
      <w:proofErr w:type="spellStart"/>
      <w:r w:rsidRPr="00FA3F9C">
        <w:rPr>
          <w:rFonts w:ascii="Arial" w:hAnsi="Arial" w:cs="Arial"/>
          <w:sz w:val="24"/>
          <w:szCs w:val="24"/>
        </w:rPr>
        <w:t>Djukanovic</w:t>
      </w:r>
      <w:proofErr w:type="spellEnd"/>
      <w:r w:rsidRPr="00FA3F9C">
        <w:rPr>
          <w:rFonts w:ascii="Arial" w:hAnsi="Arial" w:cs="Arial"/>
          <w:sz w:val="24"/>
          <w:szCs w:val="24"/>
        </w:rPr>
        <w:t xml:space="preserve"> et al. 2004). </w:t>
      </w:r>
      <w:proofErr w:type="gramStart"/>
      <w:r w:rsidRPr="00FA3F9C">
        <w:rPr>
          <w:rFonts w:ascii="Arial" w:hAnsi="Arial" w:cs="Arial"/>
          <w:sz w:val="24"/>
          <w:szCs w:val="24"/>
        </w:rPr>
        <w:t>The vast majority of</w:t>
      </w:r>
      <w:proofErr w:type="gramEnd"/>
      <w:r w:rsidRPr="00FA3F9C">
        <w:rPr>
          <w:rFonts w:ascii="Arial" w:hAnsi="Arial" w:cs="Arial"/>
          <w:sz w:val="24"/>
          <w:szCs w:val="24"/>
        </w:rPr>
        <w:t xml:space="preserve"> patients in clinical trials of omalizumab had moderate or severe persistent asthma incompletely controlled with ICS (Walker et al. 2004); all had atopy and </w:t>
      </w:r>
      <w:proofErr w:type="spellStart"/>
      <w:r w:rsidRPr="00FA3F9C">
        <w:rPr>
          <w:rFonts w:ascii="Arial" w:hAnsi="Arial" w:cs="Arial"/>
          <w:sz w:val="24"/>
          <w:szCs w:val="24"/>
        </w:rPr>
        <w:t>IgE</w:t>
      </w:r>
      <w:proofErr w:type="spellEnd"/>
      <w:r w:rsidRPr="00FA3F9C">
        <w:rPr>
          <w:rFonts w:ascii="Arial" w:hAnsi="Arial" w:cs="Arial"/>
          <w:sz w:val="24"/>
          <w:szCs w:val="24"/>
        </w:rPr>
        <w:t xml:space="preserve"> ≥30 IU/</w:t>
      </w:r>
      <w:proofErr w:type="spellStart"/>
      <w:r w:rsidRPr="00FA3F9C">
        <w:rPr>
          <w:rFonts w:ascii="Arial" w:hAnsi="Arial" w:cs="Arial"/>
          <w:sz w:val="24"/>
          <w:szCs w:val="24"/>
        </w:rPr>
        <w:t>mL.</w:t>
      </w:r>
      <w:proofErr w:type="spellEnd"/>
      <w:r w:rsidRPr="00FA3F9C">
        <w:rPr>
          <w:rFonts w:ascii="Arial" w:hAnsi="Arial" w:cs="Arial"/>
          <w:sz w:val="24"/>
          <w:szCs w:val="24"/>
        </w:rPr>
        <w:t xml:space="preserve"> Adding omalizumab to ICS therapy generally produced a significant reduction in asthma exacerbations (</w:t>
      </w:r>
      <w:proofErr w:type="spellStart"/>
      <w:r w:rsidRPr="00FA3F9C">
        <w:rPr>
          <w:rFonts w:ascii="Arial" w:hAnsi="Arial" w:cs="Arial"/>
          <w:sz w:val="24"/>
          <w:szCs w:val="24"/>
        </w:rPr>
        <w:t>Busse</w:t>
      </w:r>
      <w:proofErr w:type="spellEnd"/>
      <w:r w:rsidRPr="00FA3F9C">
        <w:rPr>
          <w:rFonts w:ascii="Arial" w:hAnsi="Arial" w:cs="Arial"/>
          <w:sz w:val="24"/>
          <w:szCs w:val="24"/>
        </w:rPr>
        <w:t xml:space="preserve"> et al. 2001a; Soler et al. 2001; Vignola et al. 2004) but not always (Holgate et al. 2004; Milgrom et al. 2001). (See Evidence Table 13, Immunomodulators: Anti- </w:t>
      </w:r>
      <w:proofErr w:type="spellStart"/>
      <w:r w:rsidRPr="00FA3F9C">
        <w:rPr>
          <w:rFonts w:ascii="Arial" w:hAnsi="Arial" w:cs="Arial"/>
          <w:sz w:val="24"/>
          <w:szCs w:val="24"/>
        </w:rPr>
        <w:t>IgE</w:t>
      </w:r>
      <w:proofErr w:type="spellEnd"/>
      <w:r w:rsidRPr="00FA3F9C">
        <w:rPr>
          <w:rFonts w:ascii="Arial" w:hAnsi="Arial" w:cs="Arial"/>
          <w:sz w:val="24"/>
          <w:szCs w:val="24"/>
        </w:rPr>
        <w:t>.) Omalizumab, added to ICS, was associated with a small but significant improvement in lung function (</w:t>
      </w:r>
      <w:proofErr w:type="spellStart"/>
      <w:r w:rsidRPr="00FA3F9C">
        <w:rPr>
          <w:rFonts w:ascii="Arial" w:hAnsi="Arial" w:cs="Arial"/>
          <w:sz w:val="24"/>
          <w:szCs w:val="24"/>
        </w:rPr>
        <w:t>Busse</w:t>
      </w:r>
      <w:proofErr w:type="spellEnd"/>
      <w:r w:rsidRPr="00FA3F9C">
        <w:rPr>
          <w:rFonts w:ascii="Arial" w:hAnsi="Arial" w:cs="Arial"/>
          <w:sz w:val="24"/>
          <w:szCs w:val="24"/>
        </w:rPr>
        <w:t xml:space="preserve"> et al. 2001a; Soler et al. 2001). In two trials, one open-label, in patients who had severe persistent asthma inadequately controlled on ICS plus LABAs, omalizumab reduced asthma exacerbations and ED visits (Ayres et al. 2004; Humbert et al. 2005).  Omalizumab appears to have a modest steroid-sparing effect, allowing a median reduction of 25 percent over that of placebo in the trials (</w:t>
      </w:r>
      <w:proofErr w:type="spellStart"/>
      <w:r w:rsidRPr="00FA3F9C">
        <w:rPr>
          <w:rFonts w:ascii="Arial" w:hAnsi="Arial" w:cs="Arial"/>
          <w:sz w:val="24"/>
          <w:szCs w:val="24"/>
        </w:rPr>
        <w:t>Busse</w:t>
      </w:r>
      <w:proofErr w:type="spellEnd"/>
      <w:r w:rsidRPr="00FA3F9C">
        <w:rPr>
          <w:rFonts w:ascii="Arial" w:hAnsi="Arial" w:cs="Arial"/>
          <w:sz w:val="24"/>
          <w:szCs w:val="24"/>
        </w:rPr>
        <w:t xml:space="preserve"> et al. 2001a; Holgate et al. 2004; Milgrom et al. 2001; Soler et al. 2001). Omalizumab has not been compared in clinical trials to the other adjunctive therapies for moderate persistent asthma (LABAs, leukotriene modifiers, and theophylline), all of which improve outcomes and allow reduction of ICS dose. Omalizumab is the only adjunctive therapy, however, to demonstrate added efficacy to high-dose ICS plus LABA in patients who have severe persistent allergic asthma (Humbert et al. 2005). In studies Section 3, Component 4: Medications 226 August 28, </w:t>
      </w:r>
      <w:proofErr w:type="gramStart"/>
      <w:r w:rsidRPr="00FA3F9C">
        <w:rPr>
          <w:rFonts w:ascii="Arial" w:hAnsi="Arial" w:cs="Arial"/>
          <w:sz w:val="24"/>
          <w:szCs w:val="24"/>
        </w:rPr>
        <w:t>2007</w:t>
      </w:r>
      <w:proofErr w:type="gramEnd"/>
      <w:r w:rsidRPr="00FA3F9C">
        <w:rPr>
          <w:rFonts w:ascii="Arial" w:hAnsi="Arial" w:cs="Arial"/>
          <w:sz w:val="24"/>
          <w:szCs w:val="24"/>
        </w:rPr>
        <w:t xml:space="preserve"> of patients who have severe persistent asthma, omalizumab resulted in clinically relevant improvements in quality-of-life scores in significantly more patients (approximately 60 percent) than did placebo (approximately 43 percent) (Holgate et al. 2004; Humbert et al. 2005). Omalizumab is approved for patients 12 years and older who have proven sensitivity to aeroallergens: studies have been done in patients who have sensitivity to dust mite, cockroach, cat, or dog. One study of omalizumab in children 6–12 years of age demonstrated nonsignificant reductions in exacerbations and no improvement in lung function but did show small but significant reduction in ICS dose compared to placebo (Milgrom et al. 2001). Urticaria and anaphylactic reactions have been reported in 0.1 percent of cases (Berger et al. 2003; FDA 2003; Holgate et al. 2004; Lanier et al. 2003). </w:t>
      </w:r>
      <w:proofErr w:type="spellStart"/>
      <w:r w:rsidRPr="00FA3F9C">
        <w:rPr>
          <w:rFonts w:ascii="Arial" w:hAnsi="Arial" w:cs="Arial"/>
          <w:sz w:val="24"/>
          <w:szCs w:val="24"/>
        </w:rPr>
        <w:t>Postmarketing</w:t>
      </w:r>
      <w:proofErr w:type="spellEnd"/>
      <w:r w:rsidRPr="00FA3F9C">
        <w:rPr>
          <w:rFonts w:ascii="Arial" w:hAnsi="Arial" w:cs="Arial"/>
          <w:sz w:val="24"/>
          <w:szCs w:val="24"/>
        </w:rPr>
        <w:t xml:space="preserve"> surveys have identified anaphylaxis in an estimated 0.2 percent of treated patients, which resulted in an FDA alert (FDA 2007). Most of these reactions occurred within 2 hours of the omalizumab injection, and after the first, second, or third injections. However, reactions have occurred after many injections and after many hours. Therefore, clinicians who administer omalizumab are advised </w:t>
      </w:r>
      <w:r w:rsidRPr="00FA3F9C">
        <w:rPr>
          <w:rFonts w:ascii="Arial" w:hAnsi="Arial" w:cs="Arial"/>
          <w:sz w:val="24"/>
          <w:szCs w:val="24"/>
        </w:rPr>
        <w:lastRenderedPageBreak/>
        <w:t xml:space="preserve">to be prepared and equipped for the identification and treatment of anaphylaxis that may occur, to observe patients for an appropriate </w:t>
      </w:r>
      <w:proofErr w:type="gramStart"/>
      <w:r w:rsidRPr="00FA3F9C">
        <w:rPr>
          <w:rFonts w:ascii="Arial" w:hAnsi="Arial" w:cs="Arial"/>
          <w:sz w:val="24"/>
          <w:szCs w:val="24"/>
        </w:rPr>
        <w:t>period of time</w:t>
      </w:r>
      <w:proofErr w:type="gramEnd"/>
      <w:r w:rsidRPr="00FA3F9C">
        <w:rPr>
          <w:rFonts w:ascii="Arial" w:hAnsi="Arial" w:cs="Arial"/>
          <w:sz w:val="24"/>
          <w:szCs w:val="24"/>
        </w:rPr>
        <w:t xml:space="preserve"> following each injection (the optimal length of</w:t>
      </w:r>
    </w:p>
    <w:p w14:paraId="32F98EB9" w14:textId="77777777" w:rsidR="009B5AA5" w:rsidRPr="00FA3F9C" w:rsidRDefault="009B5AA5" w:rsidP="008A055E">
      <w:pPr>
        <w:autoSpaceDE w:val="0"/>
        <w:autoSpaceDN w:val="0"/>
        <w:adjustRightInd w:val="0"/>
        <w:jc w:val="both"/>
        <w:rPr>
          <w:rFonts w:ascii="Arial" w:hAnsi="Arial" w:cs="Arial"/>
          <w:sz w:val="24"/>
          <w:szCs w:val="24"/>
        </w:rPr>
      </w:pPr>
      <w:r w:rsidRPr="00FA3F9C">
        <w:rPr>
          <w:rFonts w:ascii="Arial" w:hAnsi="Arial" w:cs="Arial"/>
          <w:sz w:val="24"/>
          <w:szCs w:val="24"/>
        </w:rPr>
        <w:t>the observation is not established), and to educate patients about the risks of anaphylaxis and how to recognize and treat it if it occurs (e.g., using prescription auto injectors for emergency self-treatment, and seeking immediate medical care) (FDA 2007). Adverse effects reported from omalizumab in the trials have also included injection-site pain and</w:t>
      </w:r>
    </w:p>
    <w:p w14:paraId="2AE521DB" w14:textId="77777777" w:rsidR="009B5AA5" w:rsidRPr="00FA3F9C" w:rsidRDefault="009B5AA5" w:rsidP="008A055E">
      <w:pPr>
        <w:autoSpaceDE w:val="0"/>
        <w:autoSpaceDN w:val="0"/>
        <w:adjustRightInd w:val="0"/>
        <w:jc w:val="both"/>
        <w:rPr>
          <w:rFonts w:ascii="Arial" w:hAnsi="Arial" w:cs="Arial"/>
          <w:sz w:val="24"/>
          <w:szCs w:val="24"/>
        </w:rPr>
      </w:pPr>
      <w:r w:rsidRPr="00FA3F9C">
        <w:rPr>
          <w:rFonts w:ascii="Arial" w:hAnsi="Arial" w:cs="Arial"/>
          <w:sz w:val="24"/>
          <w:szCs w:val="24"/>
        </w:rPr>
        <w:t xml:space="preserve">bruising in up to 20 percent of patients (Holgate et al. 2004). In the trials reported to the FDA, twice as many patients receiving omalizumab had malignancies (20 of 48,127, or 0.5 percent) as did those receiving placebo (5 of 2,236, or 0.2 percent), but there were no trends for a specific tumor type. </w:t>
      </w:r>
    </w:p>
    <w:p w14:paraId="33508F73" w14:textId="77777777" w:rsidR="009B5AA5" w:rsidRPr="00FA3F9C" w:rsidRDefault="009B5AA5" w:rsidP="008A055E">
      <w:pPr>
        <w:autoSpaceDE w:val="0"/>
        <w:autoSpaceDN w:val="0"/>
        <w:adjustRightInd w:val="0"/>
        <w:rPr>
          <w:rFonts w:ascii="Arial" w:eastAsia="Calibri" w:hAnsi="Arial" w:cs="Arial"/>
          <w:color w:val="1F497D"/>
          <w:w w:val="90"/>
          <w:sz w:val="24"/>
          <w:szCs w:val="24"/>
        </w:rPr>
      </w:pP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7674"/>
        <w:gridCol w:w="1950"/>
      </w:tblGrid>
      <w:tr w:rsidR="009B5AA5" w:rsidRPr="00FA3F9C" w14:paraId="2976AE19" w14:textId="77777777" w:rsidTr="008A055E">
        <w:tc>
          <w:tcPr>
            <w:tcW w:w="828" w:type="dxa"/>
          </w:tcPr>
          <w:p w14:paraId="349BEDCB" w14:textId="77777777" w:rsidR="009B5AA5" w:rsidRPr="00FA3F9C" w:rsidRDefault="009B5AA5" w:rsidP="00B06128">
            <w:pPr>
              <w:autoSpaceDE w:val="0"/>
              <w:autoSpaceDN w:val="0"/>
              <w:adjustRightInd w:val="0"/>
              <w:rPr>
                <w:rFonts w:ascii="Arial" w:hAnsi="Arial" w:cs="Arial"/>
                <w:sz w:val="24"/>
                <w:szCs w:val="24"/>
              </w:rPr>
            </w:pPr>
            <w:r w:rsidRPr="00FA3F9C">
              <w:rPr>
                <w:rFonts w:ascii="Arial" w:hAnsi="Arial" w:cs="Arial"/>
                <w:sz w:val="24"/>
                <w:szCs w:val="24"/>
              </w:rPr>
              <w:t>Date</w:t>
            </w:r>
          </w:p>
        </w:tc>
        <w:tc>
          <w:tcPr>
            <w:tcW w:w="8100" w:type="dxa"/>
          </w:tcPr>
          <w:p w14:paraId="5CFE555E" w14:textId="77777777" w:rsidR="009B5AA5" w:rsidRPr="00FA3F9C" w:rsidRDefault="009B5AA5" w:rsidP="00B06128">
            <w:pPr>
              <w:autoSpaceDE w:val="0"/>
              <w:autoSpaceDN w:val="0"/>
              <w:adjustRightInd w:val="0"/>
              <w:rPr>
                <w:rFonts w:ascii="Arial" w:hAnsi="Arial" w:cs="Arial"/>
                <w:sz w:val="24"/>
                <w:szCs w:val="24"/>
              </w:rPr>
            </w:pPr>
            <w:r w:rsidRPr="00FA3F9C">
              <w:rPr>
                <w:rFonts w:ascii="Arial" w:hAnsi="Arial" w:cs="Arial"/>
                <w:sz w:val="24"/>
                <w:szCs w:val="24"/>
              </w:rPr>
              <w:t>What Changed?</w:t>
            </w:r>
          </w:p>
        </w:tc>
        <w:tc>
          <w:tcPr>
            <w:tcW w:w="1980" w:type="dxa"/>
          </w:tcPr>
          <w:p w14:paraId="241DE213" w14:textId="77777777" w:rsidR="009B5AA5" w:rsidRPr="00FA3F9C" w:rsidRDefault="009B5AA5" w:rsidP="00B06128">
            <w:pPr>
              <w:autoSpaceDE w:val="0"/>
              <w:autoSpaceDN w:val="0"/>
              <w:adjustRightInd w:val="0"/>
              <w:rPr>
                <w:rFonts w:ascii="Arial" w:hAnsi="Arial" w:cs="Arial"/>
                <w:sz w:val="24"/>
                <w:szCs w:val="24"/>
              </w:rPr>
            </w:pPr>
            <w:r w:rsidRPr="00FA3F9C">
              <w:rPr>
                <w:rFonts w:ascii="Arial" w:hAnsi="Arial" w:cs="Arial"/>
                <w:sz w:val="24"/>
                <w:szCs w:val="24"/>
              </w:rPr>
              <w:t>Pharmacist’s initials</w:t>
            </w:r>
          </w:p>
        </w:tc>
      </w:tr>
      <w:tr w:rsidR="009B5AA5" w:rsidRPr="00FA3F9C" w14:paraId="7679D1E5" w14:textId="77777777" w:rsidTr="008A055E">
        <w:tc>
          <w:tcPr>
            <w:tcW w:w="828" w:type="dxa"/>
          </w:tcPr>
          <w:p w14:paraId="4901BB97" w14:textId="77777777" w:rsidR="009B5AA5" w:rsidRPr="00FA3F9C" w:rsidRDefault="009B5AA5" w:rsidP="00B06128">
            <w:pPr>
              <w:autoSpaceDE w:val="0"/>
              <w:autoSpaceDN w:val="0"/>
              <w:adjustRightInd w:val="0"/>
              <w:rPr>
                <w:rFonts w:ascii="Arial" w:hAnsi="Arial" w:cs="Arial"/>
                <w:sz w:val="24"/>
                <w:szCs w:val="24"/>
              </w:rPr>
            </w:pPr>
            <w:r w:rsidRPr="00FA3F9C">
              <w:rPr>
                <w:rFonts w:ascii="Arial" w:hAnsi="Arial" w:cs="Arial"/>
                <w:sz w:val="24"/>
                <w:szCs w:val="24"/>
              </w:rPr>
              <w:t>?</w:t>
            </w:r>
          </w:p>
        </w:tc>
        <w:tc>
          <w:tcPr>
            <w:tcW w:w="8100" w:type="dxa"/>
          </w:tcPr>
          <w:p w14:paraId="628666C5" w14:textId="77777777" w:rsidR="009B5AA5" w:rsidRPr="00FA3F9C" w:rsidRDefault="009B5AA5" w:rsidP="00B06128">
            <w:pPr>
              <w:autoSpaceDE w:val="0"/>
              <w:autoSpaceDN w:val="0"/>
              <w:adjustRightInd w:val="0"/>
              <w:rPr>
                <w:rFonts w:ascii="Arial" w:hAnsi="Arial" w:cs="Arial"/>
                <w:sz w:val="24"/>
                <w:szCs w:val="24"/>
              </w:rPr>
            </w:pPr>
            <w:r w:rsidRPr="00FA3F9C">
              <w:rPr>
                <w:rFonts w:ascii="Arial" w:hAnsi="Arial" w:cs="Arial"/>
                <w:sz w:val="24"/>
                <w:szCs w:val="24"/>
              </w:rPr>
              <w:t>Criteria written</w:t>
            </w:r>
          </w:p>
        </w:tc>
        <w:tc>
          <w:tcPr>
            <w:tcW w:w="1980" w:type="dxa"/>
          </w:tcPr>
          <w:p w14:paraId="59218861" w14:textId="77777777" w:rsidR="009B5AA5" w:rsidRPr="00FA3F9C" w:rsidRDefault="009B5AA5" w:rsidP="00B06128">
            <w:pPr>
              <w:autoSpaceDE w:val="0"/>
              <w:autoSpaceDN w:val="0"/>
              <w:adjustRightInd w:val="0"/>
              <w:rPr>
                <w:rFonts w:ascii="Arial" w:hAnsi="Arial" w:cs="Arial"/>
                <w:sz w:val="24"/>
                <w:szCs w:val="24"/>
              </w:rPr>
            </w:pPr>
            <w:r w:rsidRPr="00FA3F9C">
              <w:rPr>
                <w:rFonts w:ascii="Arial" w:hAnsi="Arial" w:cs="Arial"/>
                <w:sz w:val="24"/>
                <w:szCs w:val="24"/>
              </w:rPr>
              <w:t>JJ</w:t>
            </w:r>
          </w:p>
        </w:tc>
      </w:tr>
      <w:tr w:rsidR="009B5AA5" w:rsidRPr="00FA3F9C" w14:paraId="706B1E7E" w14:textId="77777777" w:rsidTr="008A055E">
        <w:tc>
          <w:tcPr>
            <w:tcW w:w="828" w:type="dxa"/>
          </w:tcPr>
          <w:p w14:paraId="3A76242B" w14:textId="77777777" w:rsidR="009B5AA5" w:rsidRPr="00FA3F9C" w:rsidRDefault="009B5AA5" w:rsidP="00B06128">
            <w:pPr>
              <w:autoSpaceDE w:val="0"/>
              <w:autoSpaceDN w:val="0"/>
              <w:adjustRightInd w:val="0"/>
              <w:rPr>
                <w:rFonts w:ascii="Arial" w:hAnsi="Arial" w:cs="Arial"/>
                <w:sz w:val="24"/>
                <w:szCs w:val="24"/>
              </w:rPr>
            </w:pPr>
            <w:r w:rsidRPr="00FA3F9C">
              <w:rPr>
                <w:rFonts w:ascii="Arial" w:hAnsi="Arial" w:cs="Arial"/>
                <w:sz w:val="24"/>
                <w:szCs w:val="24"/>
              </w:rPr>
              <w:t>10/3/11</w:t>
            </w:r>
          </w:p>
        </w:tc>
        <w:tc>
          <w:tcPr>
            <w:tcW w:w="8100" w:type="dxa"/>
          </w:tcPr>
          <w:p w14:paraId="615667B3" w14:textId="77777777" w:rsidR="009B5AA5" w:rsidRPr="00FA3F9C" w:rsidRDefault="009B5AA5" w:rsidP="00B06128">
            <w:pPr>
              <w:autoSpaceDE w:val="0"/>
              <w:autoSpaceDN w:val="0"/>
              <w:adjustRightInd w:val="0"/>
              <w:rPr>
                <w:rFonts w:ascii="Arial" w:hAnsi="Arial" w:cs="Arial"/>
                <w:sz w:val="24"/>
                <w:szCs w:val="24"/>
              </w:rPr>
            </w:pPr>
            <w:r w:rsidRPr="00FA3F9C">
              <w:rPr>
                <w:rFonts w:ascii="Arial" w:hAnsi="Arial" w:cs="Arial"/>
                <w:sz w:val="24"/>
                <w:szCs w:val="24"/>
              </w:rPr>
              <w:t>Added information/references included.</w:t>
            </w:r>
          </w:p>
        </w:tc>
        <w:tc>
          <w:tcPr>
            <w:tcW w:w="1980" w:type="dxa"/>
          </w:tcPr>
          <w:p w14:paraId="4AD53550" w14:textId="77777777" w:rsidR="009B5AA5" w:rsidRPr="00FA3F9C" w:rsidRDefault="009B5AA5" w:rsidP="00B06128">
            <w:pPr>
              <w:autoSpaceDE w:val="0"/>
              <w:autoSpaceDN w:val="0"/>
              <w:adjustRightInd w:val="0"/>
              <w:rPr>
                <w:rFonts w:ascii="Arial" w:hAnsi="Arial" w:cs="Arial"/>
                <w:sz w:val="24"/>
                <w:szCs w:val="24"/>
              </w:rPr>
            </w:pPr>
            <w:r w:rsidRPr="00FA3F9C">
              <w:rPr>
                <w:rFonts w:ascii="Arial" w:hAnsi="Arial" w:cs="Arial"/>
                <w:sz w:val="24"/>
                <w:szCs w:val="24"/>
              </w:rPr>
              <w:t>JJ</w:t>
            </w:r>
          </w:p>
        </w:tc>
      </w:tr>
      <w:tr w:rsidR="009B5AA5" w:rsidRPr="00FA3F9C" w14:paraId="3A979FB1" w14:textId="77777777" w:rsidTr="008A055E">
        <w:tc>
          <w:tcPr>
            <w:tcW w:w="828" w:type="dxa"/>
          </w:tcPr>
          <w:p w14:paraId="587DBF35" w14:textId="77777777" w:rsidR="009B5AA5" w:rsidRPr="00FA3F9C" w:rsidRDefault="009B5AA5" w:rsidP="00B06128">
            <w:pPr>
              <w:autoSpaceDE w:val="0"/>
              <w:autoSpaceDN w:val="0"/>
              <w:adjustRightInd w:val="0"/>
              <w:rPr>
                <w:rFonts w:ascii="Arial" w:hAnsi="Arial" w:cs="Arial"/>
                <w:sz w:val="24"/>
                <w:szCs w:val="24"/>
              </w:rPr>
            </w:pPr>
            <w:r w:rsidRPr="00FA3F9C">
              <w:rPr>
                <w:rFonts w:ascii="Arial" w:hAnsi="Arial" w:cs="Arial"/>
                <w:sz w:val="24"/>
                <w:szCs w:val="24"/>
              </w:rPr>
              <w:t>6/2/15</w:t>
            </w:r>
          </w:p>
        </w:tc>
        <w:tc>
          <w:tcPr>
            <w:tcW w:w="8100" w:type="dxa"/>
          </w:tcPr>
          <w:p w14:paraId="6B1D42C5" w14:textId="77777777" w:rsidR="009B5AA5" w:rsidRPr="00FA3F9C" w:rsidRDefault="009B5AA5" w:rsidP="00B06128">
            <w:pPr>
              <w:autoSpaceDE w:val="0"/>
              <w:autoSpaceDN w:val="0"/>
              <w:adjustRightInd w:val="0"/>
              <w:rPr>
                <w:rFonts w:ascii="Arial" w:hAnsi="Arial" w:cs="Arial"/>
                <w:sz w:val="24"/>
                <w:szCs w:val="24"/>
              </w:rPr>
            </w:pPr>
            <w:r w:rsidRPr="00FA3F9C">
              <w:rPr>
                <w:rFonts w:ascii="Arial" w:hAnsi="Arial" w:cs="Arial"/>
                <w:sz w:val="24"/>
                <w:szCs w:val="24"/>
              </w:rPr>
              <w:t>I included the diagnosis of chronic idiopathic pruritis and specified what the patient must have in order to gain access.</w:t>
            </w:r>
          </w:p>
        </w:tc>
        <w:tc>
          <w:tcPr>
            <w:tcW w:w="1980" w:type="dxa"/>
          </w:tcPr>
          <w:p w14:paraId="5C977CB2" w14:textId="77777777" w:rsidR="009B5AA5" w:rsidRPr="00FA3F9C" w:rsidRDefault="009B5AA5" w:rsidP="00B06128">
            <w:pPr>
              <w:autoSpaceDE w:val="0"/>
              <w:autoSpaceDN w:val="0"/>
              <w:adjustRightInd w:val="0"/>
              <w:rPr>
                <w:rFonts w:ascii="Arial" w:hAnsi="Arial" w:cs="Arial"/>
                <w:sz w:val="24"/>
                <w:szCs w:val="24"/>
              </w:rPr>
            </w:pPr>
            <w:r w:rsidRPr="00FA3F9C">
              <w:rPr>
                <w:rFonts w:ascii="Arial" w:hAnsi="Arial" w:cs="Arial"/>
                <w:sz w:val="24"/>
                <w:szCs w:val="24"/>
              </w:rPr>
              <w:t>JJ</w:t>
            </w:r>
          </w:p>
        </w:tc>
      </w:tr>
      <w:tr w:rsidR="009B5AA5" w:rsidRPr="00FA3F9C" w14:paraId="2938E1F6" w14:textId="77777777" w:rsidTr="008A055E">
        <w:tc>
          <w:tcPr>
            <w:tcW w:w="828" w:type="dxa"/>
          </w:tcPr>
          <w:p w14:paraId="65D619C6" w14:textId="77777777" w:rsidR="009B5AA5" w:rsidRPr="00FA3F9C" w:rsidRDefault="009B5AA5" w:rsidP="00B06128">
            <w:pPr>
              <w:autoSpaceDE w:val="0"/>
              <w:autoSpaceDN w:val="0"/>
              <w:adjustRightInd w:val="0"/>
              <w:rPr>
                <w:rFonts w:ascii="Arial" w:hAnsi="Arial" w:cs="Arial"/>
                <w:sz w:val="24"/>
                <w:szCs w:val="24"/>
              </w:rPr>
            </w:pPr>
            <w:r w:rsidRPr="00FA3F9C">
              <w:rPr>
                <w:rFonts w:ascii="Arial" w:hAnsi="Arial" w:cs="Arial"/>
                <w:sz w:val="24"/>
                <w:szCs w:val="24"/>
              </w:rPr>
              <w:t>12/8/2020</w:t>
            </w:r>
          </w:p>
        </w:tc>
        <w:tc>
          <w:tcPr>
            <w:tcW w:w="8100" w:type="dxa"/>
          </w:tcPr>
          <w:p w14:paraId="61A79DEA" w14:textId="77777777" w:rsidR="009B5AA5" w:rsidRPr="00FA3F9C" w:rsidRDefault="009B5AA5" w:rsidP="00B06128">
            <w:pPr>
              <w:autoSpaceDE w:val="0"/>
              <w:autoSpaceDN w:val="0"/>
              <w:adjustRightInd w:val="0"/>
              <w:rPr>
                <w:rFonts w:ascii="Arial" w:hAnsi="Arial" w:cs="Arial"/>
                <w:sz w:val="24"/>
                <w:szCs w:val="24"/>
              </w:rPr>
            </w:pPr>
            <w:r w:rsidRPr="00FA3F9C">
              <w:rPr>
                <w:rFonts w:ascii="Arial" w:hAnsi="Arial" w:cs="Arial"/>
                <w:sz w:val="24"/>
                <w:szCs w:val="24"/>
              </w:rPr>
              <w:t>I reviewed the criteria.  I lowered the age to 6y per FDA approval.</w:t>
            </w:r>
          </w:p>
        </w:tc>
        <w:tc>
          <w:tcPr>
            <w:tcW w:w="1980" w:type="dxa"/>
          </w:tcPr>
          <w:p w14:paraId="766203CE" w14:textId="77777777" w:rsidR="009B5AA5" w:rsidRPr="00FA3F9C" w:rsidRDefault="009B5AA5" w:rsidP="00B06128">
            <w:pPr>
              <w:autoSpaceDE w:val="0"/>
              <w:autoSpaceDN w:val="0"/>
              <w:adjustRightInd w:val="0"/>
              <w:rPr>
                <w:rFonts w:ascii="Arial" w:hAnsi="Arial" w:cs="Arial"/>
                <w:sz w:val="24"/>
                <w:szCs w:val="24"/>
              </w:rPr>
            </w:pPr>
            <w:r w:rsidRPr="00FA3F9C">
              <w:rPr>
                <w:rFonts w:ascii="Arial" w:hAnsi="Arial" w:cs="Arial"/>
                <w:sz w:val="24"/>
                <w:szCs w:val="24"/>
              </w:rPr>
              <w:t>JJ</w:t>
            </w:r>
          </w:p>
        </w:tc>
      </w:tr>
      <w:tr w:rsidR="009B5AA5" w:rsidRPr="00FA3F9C" w14:paraId="7BFE0C2C" w14:textId="77777777" w:rsidTr="008A055E">
        <w:tc>
          <w:tcPr>
            <w:tcW w:w="828" w:type="dxa"/>
          </w:tcPr>
          <w:p w14:paraId="0641520B" w14:textId="77777777" w:rsidR="009B5AA5" w:rsidRPr="00FA3F9C" w:rsidRDefault="009B5AA5" w:rsidP="00B06128">
            <w:pPr>
              <w:autoSpaceDE w:val="0"/>
              <w:autoSpaceDN w:val="0"/>
              <w:adjustRightInd w:val="0"/>
              <w:rPr>
                <w:rFonts w:ascii="Arial" w:hAnsi="Arial" w:cs="Arial"/>
                <w:sz w:val="24"/>
                <w:szCs w:val="24"/>
              </w:rPr>
            </w:pPr>
            <w:r w:rsidRPr="00FA3F9C">
              <w:rPr>
                <w:rFonts w:ascii="Arial" w:hAnsi="Arial" w:cs="Arial"/>
                <w:sz w:val="24"/>
                <w:szCs w:val="24"/>
              </w:rPr>
              <w:t>12/11/20</w:t>
            </w:r>
          </w:p>
        </w:tc>
        <w:tc>
          <w:tcPr>
            <w:tcW w:w="8100" w:type="dxa"/>
          </w:tcPr>
          <w:p w14:paraId="12F521E7" w14:textId="77777777" w:rsidR="009B5AA5" w:rsidRPr="00FA3F9C" w:rsidRDefault="009B5AA5" w:rsidP="00B06128">
            <w:pPr>
              <w:autoSpaceDE w:val="0"/>
              <w:autoSpaceDN w:val="0"/>
              <w:adjustRightInd w:val="0"/>
              <w:rPr>
                <w:rFonts w:ascii="Arial" w:hAnsi="Arial" w:cs="Arial"/>
                <w:sz w:val="24"/>
                <w:szCs w:val="24"/>
              </w:rPr>
            </w:pPr>
            <w:r w:rsidRPr="00FA3F9C">
              <w:rPr>
                <w:rFonts w:ascii="Arial" w:hAnsi="Arial" w:cs="Arial"/>
                <w:sz w:val="24"/>
                <w:szCs w:val="24"/>
              </w:rPr>
              <w:t xml:space="preserve">I added continuation criteria to the asthma and CIU indications. </w:t>
            </w:r>
          </w:p>
        </w:tc>
        <w:tc>
          <w:tcPr>
            <w:tcW w:w="1980" w:type="dxa"/>
          </w:tcPr>
          <w:p w14:paraId="61224D58" w14:textId="77777777" w:rsidR="009B5AA5" w:rsidRPr="00FA3F9C" w:rsidRDefault="009B5AA5" w:rsidP="00B06128">
            <w:pPr>
              <w:autoSpaceDE w:val="0"/>
              <w:autoSpaceDN w:val="0"/>
              <w:adjustRightInd w:val="0"/>
              <w:rPr>
                <w:rFonts w:ascii="Arial" w:hAnsi="Arial" w:cs="Arial"/>
                <w:sz w:val="24"/>
                <w:szCs w:val="24"/>
              </w:rPr>
            </w:pPr>
            <w:r w:rsidRPr="00FA3F9C">
              <w:rPr>
                <w:rFonts w:ascii="Arial" w:hAnsi="Arial" w:cs="Arial"/>
                <w:sz w:val="24"/>
                <w:szCs w:val="24"/>
              </w:rPr>
              <w:t>JJ</w:t>
            </w:r>
          </w:p>
        </w:tc>
      </w:tr>
      <w:tr w:rsidR="009B5AA5" w:rsidRPr="00FA3F9C" w14:paraId="620575B5" w14:textId="77777777" w:rsidTr="008A055E">
        <w:tc>
          <w:tcPr>
            <w:tcW w:w="828" w:type="dxa"/>
          </w:tcPr>
          <w:p w14:paraId="5C25E0B4" w14:textId="77777777" w:rsidR="009B5AA5" w:rsidRPr="00FA3F9C" w:rsidRDefault="009B5AA5" w:rsidP="00B06128">
            <w:pPr>
              <w:autoSpaceDE w:val="0"/>
              <w:autoSpaceDN w:val="0"/>
              <w:adjustRightInd w:val="0"/>
              <w:rPr>
                <w:rFonts w:ascii="Arial" w:hAnsi="Arial" w:cs="Arial"/>
                <w:sz w:val="24"/>
                <w:szCs w:val="24"/>
              </w:rPr>
            </w:pPr>
            <w:r w:rsidRPr="00FA3F9C">
              <w:rPr>
                <w:rFonts w:ascii="Arial" w:hAnsi="Arial" w:cs="Arial"/>
                <w:sz w:val="24"/>
                <w:szCs w:val="24"/>
              </w:rPr>
              <w:t>3/9/2021</w:t>
            </w:r>
          </w:p>
        </w:tc>
        <w:tc>
          <w:tcPr>
            <w:tcW w:w="8100" w:type="dxa"/>
          </w:tcPr>
          <w:p w14:paraId="342A48CF" w14:textId="77777777" w:rsidR="009B5AA5" w:rsidRPr="00FA3F9C" w:rsidRDefault="009B5AA5" w:rsidP="00B06128">
            <w:pPr>
              <w:autoSpaceDE w:val="0"/>
              <w:autoSpaceDN w:val="0"/>
              <w:adjustRightInd w:val="0"/>
              <w:rPr>
                <w:rFonts w:ascii="Arial" w:hAnsi="Arial" w:cs="Arial"/>
                <w:sz w:val="24"/>
                <w:szCs w:val="24"/>
              </w:rPr>
            </w:pPr>
            <w:r w:rsidRPr="00FA3F9C">
              <w:rPr>
                <w:rFonts w:ascii="Arial" w:hAnsi="Arial" w:cs="Arial"/>
                <w:sz w:val="24"/>
                <w:szCs w:val="24"/>
              </w:rPr>
              <w:t>I reviewed the criteria. No changes.</w:t>
            </w:r>
          </w:p>
        </w:tc>
        <w:tc>
          <w:tcPr>
            <w:tcW w:w="1980" w:type="dxa"/>
          </w:tcPr>
          <w:p w14:paraId="55380ADC" w14:textId="77777777" w:rsidR="009B5AA5" w:rsidRPr="00FA3F9C" w:rsidRDefault="009B5AA5" w:rsidP="00B06128">
            <w:pPr>
              <w:autoSpaceDE w:val="0"/>
              <w:autoSpaceDN w:val="0"/>
              <w:adjustRightInd w:val="0"/>
              <w:rPr>
                <w:rFonts w:ascii="Arial" w:hAnsi="Arial" w:cs="Arial"/>
                <w:sz w:val="24"/>
                <w:szCs w:val="24"/>
              </w:rPr>
            </w:pPr>
            <w:r w:rsidRPr="00FA3F9C">
              <w:rPr>
                <w:rFonts w:ascii="Arial" w:hAnsi="Arial" w:cs="Arial"/>
                <w:sz w:val="24"/>
                <w:szCs w:val="24"/>
              </w:rPr>
              <w:t>JJ</w:t>
            </w:r>
          </w:p>
        </w:tc>
      </w:tr>
    </w:tbl>
    <w:p w14:paraId="06818E27" w14:textId="77777777" w:rsidR="009B5AA5" w:rsidRPr="00FA3F9C" w:rsidRDefault="009B5AA5" w:rsidP="008A055E">
      <w:pPr>
        <w:rPr>
          <w:rFonts w:ascii="Arial" w:hAnsi="Arial" w:cs="Arial"/>
          <w:sz w:val="24"/>
          <w:szCs w:val="24"/>
        </w:rPr>
      </w:pPr>
    </w:p>
    <w:p w14:paraId="4756FBBE" w14:textId="77777777" w:rsidR="00EF3B65" w:rsidRDefault="009B5AA5" w:rsidP="00EF3B65">
      <w:pPr>
        <w:pStyle w:val="Heading2"/>
      </w:pPr>
      <w:bookmarkStart w:id="240" w:name="_Toc106369877"/>
      <w:proofErr w:type="spellStart"/>
      <w:r w:rsidRPr="00FA3F9C">
        <w:t>Onasemnogene</w:t>
      </w:r>
      <w:proofErr w:type="spellEnd"/>
      <w:r w:rsidRPr="00FA3F9C">
        <w:t xml:space="preserve"> </w:t>
      </w:r>
      <w:proofErr w:type="spellStart"/>
      <w:r w:rsidRPr="00FA3F9C">
        <w:t>Abeparvovec</w:t>
      </w:r>
      <w:proofErr w:type="spellEnd"/>
      <w:r w:rsidRPr="00FA3F9C">
        <w:t xml:space="preserve"> (</w:t>
      </w:r>
      <w:proofErr w:type="spellStart"/>
      <w:r w:rsidRPr="00FA3F9C">
        <w:t>Zolgensma</w:t>
      </w:r>
      <w:proofErr w:type="spellEnd"/>
      <w:r w:rsidR="00EF3B65">
        <w:t>)</w:t>
      </w:r>
      <w:bookmarkEnd w:id="240"/>
    </w:p>
    <w:p w14:paraId="6E2D31D8" w14:textId="6F047E6A" w:rsidR="009B5AA5" w:rsidRDefault="009B5AA5" w:rsidP="00F02624">
      <w:pPr>
        <w:spacing w:after="0"/>
        <w:jc w:val="center"/>
        <w:rPr>
          <w:rFonts w:ascii="Arial" w:hAnsi="Arial" w:cs="Arial"/>
          <w:sz w:val="24"/>
          <w:szCs w:val="24"/>
        </w:rPr>
      </w:pPr>
      <w:r w:rsidRPr="00FA3F9C">
        <w:rPr>
          <w:rFonts w:ascii="Arial" w:hAnsi="Arial" w:cs="Arial"/>
          <w:sz w:val="24"/>
          <w:szCs w:val="24"/>
        </w:rPr>
        <w:t xml:space="preserve"> Kit</w:t>
      </w:r>
      <w:r w:rsidR="00EF3B65">
        <w:rPr>
          <w:rFonts w:ascii="Arial" w:hAnsi="Arial" w:cs="Arial"/>
          <w:sz w:val="24"/>
          <w:szCs w:val="24"/>
        </w:rPr>
        <w:t xml:space="preserve"> </w:t>
      </w:r>
      <w:r w:rsidRPr="00FA3F9C">
        <w:rPr>
          <w:rFonts w:ascii="Arial" w:hAnsi="Arial" w:cs="Arial"/>
          <w:sz w:val="24"/>
          <w:szCs w:val="24"/>
        </w:rPr>
        <w:t>for 1-time IV infusion</w:t>
      </w:r>
    </w:p>
    <w:p w14:paraId="62BEC8D2" w14:textId="77777777" w:rsidR="00EF3B65" w:rsidRPr="00FA3F9C" w:rsidRDefault="00EF3B65" w:rsidP="00EF3B65">
      <w:pPr>
        <w:spacing w:after="0"/>
        <w:jc w:val="center"/>
        <w:rPr>
          <w:rFonts w:ascii="Arial" w:hAnsi="Arial" w:cs="Arial"/>
          <w:sz w:val="24"/>
          <w:szCs w:val="24"/>
        </w:rPr>
      </w:pPr>
      <w:r w:rsidRPr="00FA3F9C">
        <w:rPr>
          <w:rFonts w:ascii="Arial" w:hAnsi="Arial" w:cs="Arial"/>
          <w:sz w:val="24"/>
          <w:szCs w:val="24"/>
        </w:rPr>
        <w:t>EBRx PA Criteria—MEDICAL PA</w:t>
      </w:r>
    </w:p>
    <w:p w14:paraId="104FDC30" w14:textId="77777777" w:rsidR="00EF3B65" w:rsidRPr="00FA3F9C" w:rsidRDefault="00EF3B65" w:rsidP="00F02624">
      <w:pPr>
        <w:spacing w:after="0"/>
        <w:jc w:val="center"/>
        <w:rPr>
          <w:rFonts w:ascii="Arial" w:hAnsi="Arial" w:cs="Arial"/>
          <w:sz w:val="24"/>
          <w:szCs w:val="24"/>
        </w:rPr>
      </w:pPr>
    </w:p>
    <w:p w14:paraId="56DE1711" w14:textId="77777777" w:rsidR="009B5AA5" w:rsidRPr="00FA3F9C" w:rsidRDefault="009B5AA5" w:rsidP="00F02624">
      <w:pPr>
        <w:spacing w:after="0"/>
        <w:jc w:val="center"/>
        <w:rPr>
          <w:rFonts w:ascii="Arial" w:hAnsi="Arial" w:cs="Arial"/>
          <w:b/>
          <w:sz w:val="24"/>
          <w:szCs w:val="24"/>
          <w:u w:val="single"/>
        </w:rPr>
      </w:pPr>
    </w:p>
    <w:p w14:paraId="2127BAB9" w14:textId="77777777" w:rsidR="009B5AA5" w:rsidRPr="00FA3F9C" w:rsidRDefault="009B5AA5" w:rsidP="006F623F">
      <w:pPr>
        <w:spacing w:after="0"/>
        <w:rPr>
          <w:rFonts w:ascii="Arial" w:hAnsi="Arial" w:cs="Arial"/>
          <w:sz w:val="24"/>
          <w:szCs w:val="24"/>
        </w:rPr>
      </w:pPr>
      <w:r w:rsidRPr="00FA3F9C">
        <w:rPr>
          <w:rFonts w:ascii="Arial" w:hAnsi="Arial" w:cs="Arial"/>
          <w:b/>
          <w:sz w:val="24"/>
          <w:szCs w:val="24"/>
          <w:u w:val="single"/>
        </w:rPr>
        <w:lastRenderedPageBreak/>
        <w:t>is FDA-approved for:</w:t>
      </w:r>
      <w:r w:rsidRPr="00FA3F9C">
        <w:rPr>
          <w:rFonts w:ascii="Arial" w:hAnsi="Arial" w:cs="Arial"/>
          <w:sz w:val="24"/>
          <w:szCs w:val="24"/>
        </w:rPr>
        <w:t xml:space="preserve"> treatment of pediatric patients &lt;2 years of age with spinal muscular atrophy (SMA) with bi-allelic mutations in the survival motor neuron 1 (SMN1) gene.</w:t>
      </w:r>
    </w:p>
    <w:tbl>
      <w:tblPr>
        <w:tblStyle w:val="TableGrid"/>
        <w:tblW w:w="11028" w:type="dxa"/>
        <w:tblLook w:val="04A0" w:firstRow="1" w:lastRow="0" w:firstColumn="1" w:lastColumn="0" w:noHBand="0" w:noVBand="1"/>
      </w:tblPr>
      <w:tblGrid>
        <w:gridCol w:w="11028"/>
      </w:tblGrid>
      <w:tr w:rsidR="009B5AA5" w:rsidRPr="00FA3F9C" w14:paraId="1E6C4E33" w14:textId="77777777" w:rsidTr="00D44740">
        <w:trPr>
          <w:trHeight w:val="268"/>
        </w:trPr>
        <w:tc>
          <w:tcPr>
            <w:tcW w:w="11028" w:type="dxa"/>
            <w:shd w:val="clear" w:color="auto" w:fill="000000"/>
          </w:tcPr>
          <w:p w14:paraId="0C3312FE" w14:textId="77777777" w:rsidR="009B5AA5" w:rsidRPr="00FA3F9C" w:rsidRDefault="009B5AA5" w:rsidP="00571CAB">
            <w:pPr>
              <w:rPr>
                <w:rFonts w:ascii="Arial" w:hAnsi="Arial" w:cs="Arial"/>
                <w:b/>
                <w:sz w:val="24"/>
                <w:szCs w:val="24"/>
                <w:u w:val="single"/>
              </w:rPr>
            </w:pPr>
            <w:r w:rsidRPr="00FA3F9C">
              <w:rPr>
                <w:rFonts w:ascii="Arial" w:hAnsi="Arial" w:cs="Arial"/>
                <w:b/>
                <w:sz w:val="24"/>
                <w:szCs w:val="24"/>
                <w:u w:val="single"/>
              </w:rPr>
              <w:t>Criteria for new users</w:t>
            </w:r>
          </w:p>
        </w:tc>
      </w:tr>
      <w:tr w:rsidR="009B5AA5" w:rsidRPr="00FA3F9C" w14:paraId="062AD3F9" w14:textId="77777777" w:rsidTr="00D44740">
        <w:trPr>
          <w:trHeight w:val="253"/>
        </w:trPr>
        <w:tc>
          <w:tcPr>
            <w:tcW w:w="11028" w:type="dxa"/>
          </w:tcPr>
          <w:p w14:paraId="3C00CFA5" w14:textId="77777777" w:rsidR="009B5AA5" w:rsidRPr="00FA3F9C" w:rsidRDefault="009B5AA5" w:rsidP="009B5AA5">
            <w:pPr>
              <w:pStyle w:val="ListParagraph"/>
              <w:numPr>
                <w:ilvl w:val="0"/>
                <w:numId w:val="136"/>
              </w:numPr>
              <w:rPr>
                <w:rFonts w:ascii="Arial" w:hAnsi="Arial" w:cs="Arial"/>
                <w:sz w:val="24"/>
                <w:szCs w:val="24"/>
              </w:rPr>
            </w:pPr>
            <w:r w:rsidRPr="00FA3F9C">
              <w:rPr>
                <w:rFonts w:ascii="Arial" w:hAnsi="Arial" w:cs="Arial"/>
                <w:sz w:val="24"/>
                <w:szCs w:val="24"/>
              </w:rPr>
              <w:t>The patient must be 2 (two) years or younger.</w:t>
            </w:r>
          </w:p>
        </w:tc>
      </w:tr>
      <w:tr w:rsidR="009B5AA5" w:rsidRPr="00FA3F9C" w14:paraId="49CD14A9" w14:textId="77777777" w:rsidTr="00D44740">
        <w:trPr>
          <w:trHeight w:val="253"/>
        </w:trPr>
        <w:tc>
          <w:tcPr>
            <w:tcW w:w="11028" w:type="dxa"/>
          </w:tcPr>
          <w:p w14:paraId="3412A191" w14:textId="77777777" w:rsidR="009B5AA5" w:rsidRPr="00FA3F9C" w:rsidRDefault="009B5AA5" w:rsidP="009B5AA5">
            <w:pPr>
              <w:pStyle w:val="ListParagraph"/>
              <w:numPr>
                <w:ilvl w:val="0"/>
                <w:numId w:val="136"/>
              </w:numPr>
              <w:rPr>
                <w:rFonts w:ascii="Arial" w:hAnsi="Arial" w:cs="Arial"/>
                <w:sz w:val="24"/>
                <w:szCs w:val="24"/>
              </w:rPr>
            </w:pPr>
            <w:r w:rsidRPr="00FA3F9C">
              <w:rPr>
                <w:rFonts w:ascii="Arial" w:hAnsi="Arial" w:cs="Arial"/>
                <w:sz w:val="24"/>
                <w:szCs w:val="24"/>
              </w:rPr>
              <w:t xml:space="preserve">The patient must have the confirmed diagnosis of SMA-1 by genetic testing for both symptomatic and </w:t>
            </w:r>
            <w:proofErr w:type="spellStart"/>
            <w:r w:rsidRPr="00FA3F9C">
              <w:rPr>
                <w:rFonts w:ascii="Arial" w:hAnsi="Arial" w:cs="Arial"/>
                <w:sz w:val="24"/>
                <w:szCs w:val="24"/>
              </w:rPr>
              <w:t>presymptomatic</w:t>
            </w:r>
            <w:proofErr w:type="spellEnd"/>
            <w:r w:rsidRPr="00FA3F9C">
              <w:rPr>
                <w:rFonts w:ascii="Arial" w:hAnsi="Arial" w:cs="Arial"/>
                <w:sz w:val="24"/>
                <w:szCs w:val="24"/>
              </w:rPr>
              <w:t xml:space="preserve"> patients.</w:t>
            </w:r>
          </w:p>
        </w:tc>
      </w:tr>
      <w:tr w:rsidR="009B5AA5" w:rsidRPr="00FA3F9C" w14:paraId="6ACF20EC" w14:textId="77777777" w:rsidTr="00D44740">
        <w:trPr>
          <w:trHeight w:val="253"/>
        </w:trPr>
        <w:tc>
          <w:tcPr>
            <w:tcW w:w="11028" w:type="dxa"/>
          </w:tcPr>
          <w:p w14:paraId="5B9E8131" w14:textId="77777777" w:rsidR="009B5AA5" w:rsidRPr="00FA3F9C" w:rsidRDefault="009B5AA5" w:rsidP="009B5AA5">
            <w:pPr>
              <w:pStyle w:val="ListParagraph"/>
              <w:numPr>
                <w:ilvl w:val="0"/>
                <w:numId w:val="136"/>
              </w:numPr>
              <w:rPr>
                <w:rFonts w:ascii="Arial" w:hAnsi="Arial" w:cs="Arial"/>
                <w:sz w:val="24"/>
                <w:szCs w:val="24"/>
              </w:rPr>
            </w:pPr>
            <w:r w:rsidRPr="00FA3F9C">
              <w:rPr>
                <w:rFonts w:ascii="Arial" w:hAnsi="Arial" w:cs="Arial"/>
                <w:sz w:val="24"/>
                <w:szCs w:val="24"/>
              </w:rPr>
              <w:t>The patient must have not more than 3 copies of SMN.  (Patients with 4 or more copies of SMN2 are likely to NOT develop the most severe forms of SMA and it may be reasonable to wait and monitor for signs of disease progression.)</w:t>
            </w:r>
          </w:p>
        </w:tc>
      </w:tr>
      <w:tr w:rsidR="009B5AA5" w:rsidRPr="00FA3F9C" w14:paraId="4BAF0D1C" w14:textId="77777777" w:rsidTr="00D44740">
        <w:trPr>
          <w:trHeight w:val="253"/>
        </w:trPr>
        <w:tc>
          <w:tcPr>
            <w:tcW w:w="11028" w:type="dxa"/>
          </w:tcPr>
          <w:p w14:paraId="272EDBB2" w14:textId="77777777" w:rsidR="009B5AA5" w:rsidRPr="00FA3F9C" w:rsidRDefault="009B5AA5" w:rsidP="009B5AA5">
            <w:pPr>
              <w:pStyle w:val="ListParagraph"/>
              <w:numPr>
                <w:ilvl w:val="0"/>
                <w:numId w:val="136"/>
              </w:numPr>
              <w:rPr>
                <w:rFonts w:ascii="Arial" w:hAnsi="Arial" w:cs="Arial"/>
                <w:sz w:val="24"/>
                <w:szCs w:val="24"/>
              </w:rPr>
            </w:pPr>
            <w:r w:rsidRPr="00FA3F9C">
              <w:rPr>
                <w:rFonts w:ascii="Arial" w:hAnsi="Arial" w:cs="Arial"/>
                <w:sz w:val="24"/>
                <w:szCs w:val="24"/>
              </w:rPr>
              <w:t>The patient must have bi-allelic mutations in the survival motor neuron 1 (SMN1) gene.</w:t>
            </w:r>
          </w:p>
        </w:tc>
      </w:tr>
      <w:tr w:rsidR="009B5AA5" w:rsidRPr="00FA3F9C" w14:paraId="6D555868" w14:textId="77777777" w:rsidTr="00D44740">
        <w:trPr>
          <w:trHeight w:val="253"/>
        </w:trPr>
        <w:tc>
          <w:tcPr>
            <w:tcW w:w="11028" w:type="dxa"/>
          </w:tcPr>
          <w:p w14:paraId="1596D606" w14:textId="77777777" w:rsidR="009B5AA5" w:rsidRPr="00FA3F9C" w:rsidRDefault="009B5AA5" w:rsidP="009B5AA5">
            <w:pPr>
              <w:pStyle w:val="ListParagraph"/>
              <w:numPr>
                <w:ilvl w:val="0"/>
                <w:numId w:val="136"/>
              </w:numPr>
              <w:rPr>
                <w:rFonts w:ascii="Arial" w:hAnsi="Arial" w:cs="Arial"/>
                <w:sz w:val="24"/>
                <w:szCs w:val="24"/>
              </w:rPr>
            </w:pPr>
            <w:r w:rsidRPr="00FA3F9C">
              <w:rPr>
                <w:rFonts w:ascii="Arial" w:hAnsi="Arial" w:cs="Arial"/>
                <w:sz w:val="24"/>
                <w:szCs w:val="24"/>
              </w:rPr>
              <w:t xml:space="preserve">No prior use of </w:t>
            </w:r>
            <w:proofErr w:type="spellStart"/>
            <w:r w:rsidRPr="00FA3F9C">
              <w:rPr>
                <w:rFonts w:ascii="Arial" w:hAnsi="Arial" w:cs="Arial"/>
                <w:sz w:val="24"/>
                <w:szCs w:val="24"/>
              </w:rPr>
              <w:t>Zolgensma</w:t>
            </w:r>
            <w:proofErr w:type="spellEnd"/>
            <w:r w:rsidRPr="00FA3F9C">
              <w:rPr>
                <w:rFonts w:ascii="Arial" w:hAnsi="Arial" w:cs="Arial"/>
                <w:sz w:val="24"/>
                <w:szCs w:val="24"/>
              </w:rPr>
              <w:t xml:space="preserve">. </w:t>
            </w:r>
          </w:p>
          <w:p w14:paraId="569D5867" w14:textId="77777777" w:rsidR="009B5AA5" w:rsidRPr="00FA3F9C" w:rsidRDefault="009B5AA5" w:rsidP="00F02624">
            <w:pPr>
              <w:pStyle w:val="ListParagraph"/>
              <w:rPr>
                <w:rFonts w:ascii="Arial" w:hAnsi="Arial" w:cs="Arial"/>
                <w:sz w:val="24"/>
                <w:szCs w:val="24"/>
              </w:rPr>
            </w:pPr>
            <w:r w:rsidRPr="00FA3F9C">
              <w:rPr>
                <w:rFonts w:ascii="Arial" w:hAnsi="Arial" w:cs="Arial"/>
                <w:sz w:val="24"/>
                <w:szCs w:val="24"/>
              </w:rPr>
              <w:t xml:space="preserve">Previous use of </w:t>
            </w:r>
            <w:proofErr w:type="spellStart"/>
            <w:r w:rsidRPr="00FA3F9C">
              <w:rPr>
                <w:rFonts w:ascii="Arial" w:hAnsi="Arial" w:cs="Arial"/>
                <w:sz w:val="24"/>
                <w:szCs w:val="24"/>
              </w:rPr>
              <w:t>Spinraza</w:t>
            </w:r>
            <w:proofErr w:type="spellEnd"/>
            <w:r w:rsidRPr="00FA3F9C">
              <w:rPr>
                <w:rFonts w:ascii="Arial" w:hAnsi="Arial" w:cs="Arial"/>
                <w:sz w:val="24"/>
                <w:szCs w:val="24"/>
              </w:rPr>
              <w:t xml:space="preserve"> does not preclude the </w:t>
            </w:r>
            <w:proofErr w:type="gramStart"/>
            <w:r w:rsidRPr="00FA3F9C">
              <w:rPr>
                <w:rFonts w:ascii="Arial" w:hAnsi="Arial" w:cs="Arial"/>
                <w:sz w:val="24"/>
                <w:szCs w:val="24"/>
              </w:rPr>
              <w:t>one time</w:t>
            </w:r>
            <w:proofErr w:type="gramEnd"/>
            <w:r w:rsidRPr="00FA3F9C">
              <w:rPr>
                <w:rFonts w:ascii="Arial" w:hAnsi="Arial" w:cs="Arial"/>
                <w:sz w:val="24"/>
                <w:szCs w:val="24"/>
              </w:rPr>
              <w:t xml:space="preserve"> </w:t>
            </w:r>
            <w:proofErr w:type="spellStart"/>
            <w:r w:rsidRPr="00FA3F9C">
              <w:rPr>
                <w:rFonts w:ascii="Arial" w:hAnsi="Arial" w:cs="Arial"/>
                <w:sz w:val="24"/>
                <w:szCs w:val="24"/>
              </w:rPr>
              <w:t>Zolgensma</w:t>
            </w:r>
            <w:proofErr w:type="spellEnd"/>
            <w:r w:rsidRPr="00FA3F9C">
              <w:rPr>
                <w:rFonts w:ascii="Arial" w:hAnsi="Arial" w:cs="Arial"/>
                <w:sz w:val="24"/>
                <w:szCs w:val="24"/>
              </w:rPr>
              <w:t xml:space="preserve"> gene therapy; however, after </w:t>
            </w:r>
            <w:proofErr w:type="spellStart"/>
            <w:r w:rsidRPr="00FA3F9C">
              <w:rPr>
                <w:rFonts w:ascii="Arial" w:hAnsi="Arial" w:cs="Arial"/>
                <w:sz w:val="24"/>
                <w:szCs w:val="24"/>
              </w:rPr>
              <w:t>Zolgensma</w:t>
            </w:r>
            <w:proofErr w:type="spellEnd"/>
            <w:r w:rsidRPr="00FA3F9C">
              <w:rPr>
                <w:rFonts w:ascii="Arial" w:hAnsi="Arial" w:cs="Arial"/>
                <w:sz w:val="24"/>
                <w:szCs w:val="24"/>
              </w:rPr>
              <w:t xml:space="preserve">, no further </w:t>
            </w:r>
            <w:proofErr w:type="spellStart"/>
            <w:r w:rsidRPr="00FA3F9C">
              <w:rPr>
                <w:rFonts w:ascii="Arial" w:hAnsi="Arial" w:cs="Arial"/>
                <w:sz w:val="24"/>
                <w:szCs w:val="24"/>
              </w:rPr>
              <w:t>Spinraza</w:t>
            </w:r>
            <w:proofErr w:type="spellEnd"/>
            <w:r w:rsidRPr="00FA3F9C">
              <w:rPr>
                <w:rFonts w:ascii="Arial" w:hAnsi="Arial" w:cs="Arial"/>
                <w:sz w:val="24"/>
                <w:szCs w:val="24"/>
              </w:rPr>
              <w:t xml:space="preserve"> will be covered.</w:t>
            </w:r>
          </w:p>
        </w:tc>
      </w:tr>
      <w:tr w:rsidR="009B5AA5" w:rsidRPr="00FA3F9C" w14:paraId="342E53FC" w14:textId="77777777" w:rsidTr="00D44740">
        <w:trPr>
          <w:trHeight w:val="253"/>
        </w:trPr>
        <w:tc>
          <w:tcPr>
            <w:tcW w:w="11028" w:type="dxa"/>
          </w:tcPr>
          <w:p w14:paraId="7E2D8AAF" w14:textId="77777777" w:rsidR="009B5AA5" w:rsidRPr="00FA3F9C" w:rsidRDefault="009B5AA5" w:rsidP="009B5AA5">
            <w:pPr>
              <w:pStyle w:val="ListParagraph"/>
              <w:numPr>
                <w:ilvl w:val="0"/>
                <w:numId w:val="136"/>
              </w:numPr>
              <w:rPr>
                <w:rFonts w:ascii="Arial" w:hAnsi="Arial" w:cs="Arial"/>
                <w:sz w:val="24"/>
                <w:szCs w:val="24"/>
              </w:rPr>
            </w:pPr>
            <w:r w:rsidRPr="00FA3F9C">
              <w:rPr>
                <w:rFonts w:ascii="Arial" w:hAnsi="Arial" w:cs="Arial"/>
                <w:sz w:val="24"/>
                <w:szCs w:val="24"/>
              </w:rPr>
              <w:t>Prescriber must be a neuromuscular specialist.</w:t>
            </w:r>
          </w:p>
        </w:tc>
      </w:tr>
      <w:tr w:rsidR="009B5AA5" w:rsidRPr="00FA3F9C" w14:paraId="17DD625D" w14:textId="77777777" w:rsidTr="00D44740">
        <w:trPr>
          <w:trHeight w:val="253"/>
        </w:trPr>
        <w:tc>
          <w:tcPr>
            <w:tcW w:w="11028" w:type="dxa"/>
          </w:tcPr>
          <w:p w14:paraId="7058C07D" w14:textId="77777777" w:rsidR="009B5AA5" w:rsidRPr="00FA3F9C" w:rsidRDefault="009B5AA5" w:rsidP="009B5AA5">
            <w:pPr>
              <w:pStyle w:val="ListParagraph"/>
              <w:numPr>
                <w:ilvl w:val="0"/>
                <w:numId w:val="136"/>
              </w:numPr>
              <w:rPr>
                <w:rFonts w:ascii="Arial" w:hAnsi="Arial" w:cs="Arial"/>
                <w:sz w:val="24"/>
                <w:szCs w:val="24"/>
              </w:rPr>
            </w:pPr>
            <w:r w:rsidRPr="00FA3F9C">
              <w:rPr>
                <w:rFonts w:ascii="Arial" w:hAnsi="Arial" w:cs="Arial"/>
                <w:sz w:val="24"/>
                <w:szCs w:val="24"/>
              </w:rPr>
              <w:t xml:space="preserve">At request, the patient must have NO HISTORY of the ability to walk independently (defined as the ability to walk </w:t>
            </w:r>
            <w:r w:rsidRPr="00FA3F9C">
              <w:rPr>
                <w:rFonts w:ascii="Arial" w:hAnsi="Arial" w:cs="Arial"/>
                <w:sz w:val="24"/>
                <w:szCs w:val="24"/>
                <w:u w:val="single"/>
              </w:rPr>
              <w:t>&gt;</w:t>
            </w:r>
            <w:r w:rsidRPr="00FA3F9C">
              <w:rPr>
                <w:rFonts w:ascii="Arial" w:hAnsi="Arial" w:cs="Arial"/>
                <w:sz w:val="24"/>
                <w:szCs w:val="24"/>
              </w:rPr>
              <w:t>15 feet unaided.</w:t>
            </w:r>
          </w:p>
        </w:tc>
      </w:tr>
      <w:tr w:rsidR="009B5AA5" w:rsidRPr="00FA3F9C" w14:paraId="3774DEBB" w14:textId="77777777" w:rsidTr="00D44740">
        <w:trPr>
          <w:trHeight w:val="253"/>
        </w:trPr>
        <w:tc>
          <w:tcPr>
            <w:tcW w:w="11028" w:type="dxa"/>
          </w:tcPr>
          <w:p w14:paraId="23135371" w14:textId="77777777" w:rsidR="009B5AA5" w:rsidRPr="00FA3F9C" w:rsidRDefault="009B5AA5" w:rsidP="003D25FC">
            <w:pPr>
              <w:rPr>
                <w:rFonts w:ascii="Arial" w:hAnsi="Arial" w:cs="Arial"/>
                <w:sz w:val="24"/>
                <w:szCs w:val="24"/>
              </w:rPr>
            </w:pPr>
            <w:r w:rsidRPr="00FA3F9C">
              <w:rPr>
                <w:rFonts w:ascii="Arial" w:hAnsi="Arial" w:cs="Arial"/>
                <w:sz w:val="24"/>
                <w:szCs w:val="24"/>
              </w:rPr>
              <w:t>Medication is excluded from pharmacy.</w:t>
            </w:r>
          </w:p>
        </w:tc>
      </w:tr>
    </w:tbl>
    <w:p w14:paraId="19918D1E" w14:textId="77777777" w:rsidR="009B5AA5" w:rsidRPr="00FA3F9C" w:rsidRDefault="009B5AA5" w:rsidP="006F623F">
      <w:pPr>
        <w:spacing w:after="0"/>
        <w:rPr>
          <w:rFonts w:ascii="Arial" w:hAnsi="Arial" w:cs="Arial"/>
          <w:sz w:val="24"/>
          <w:szCs w:val="24"/>
        </w:rPr>
      </w:pPr>
      <w:r w:rsidRPr="00FA3F9C">
        <w:rPr>
          <w:rFonts w:ascii="Arial" w:hAnsi="Arial" w:cs="Arial"/>
          <w:sz w:val="24"/>
          <w:szCs w:val="24"/>
        </w:rPr>
        <w:t>It is recommended that this medication be administered at a Center of Excellence.</w:t>
      </w:r>
    </w:p>
    <w:p w14:paraId="7FDF81ED" w14:textId="77777777" w:rsidR="009B5AA5" w:rsidRPr="00FA3F9C" w:rsidRDefault="009B5AA5" w:rsidP="006F623F">
      <w:pPr>
        <w:spacing w:after="0"/>
        <w:rPr>
          <w:rFonts w:ascii="Arial" w:hAnsi="Arial" w:cs="Arial"/>
          <w:sz w:val="24"/>
          <w:szCs w:val="24"/>
        </w:rPr>
      </w:pPr>
    </w:p>
    <w:p w14:paraId="3C884C9F" w14:textId="77777777" w:rsidR="009B5AA5" w:rsidRPr="00FA3F9C" w:rsidRDefault="009B5AA5" w:rsidP="006F623F">
      <w:pPr>
        <w:spacing w:after="0"/>
        <w:rPr>
          <w:rFonts w:ascii="Arial" w:hAnsi="Arial" w:cs="Arial"/>
          <w:sz w:val="24"/>
          <w:szCs w:val="24"/>
        </w:rPr>
      </w:pPr>
    </w:p>
    <w:p w14:paraId="53F03C6A" w14:textId="77777777" w:rsidR="009B5AA5" w:rsidRPr="00FA3F9C" w:rsidRDefault="009B5AA5"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11065" w:type="dxa"/>
        <w:tblLook w:val="04A0" w:firstRow="1" w:lastRow="0" w:firstColumn="1" w:lastColumn="0" w:noHBand="0" w:noVBand="1"/>
      </w:tblPr>
      <w:tblGrid>
        <w:gridCol w:w="1054"/>
        <w:gridCol w:w="8421"/>
        <w:gridCol w:w="1590"/>
      </w:tblGrid>
      <w:tr w:rsidR="009B5AA5" w:rsidRPr="00FA3F9C" w14:paraId="36C94A7B" w14:textId="77777777" w:rsidTr="00F02624">
        <w:tc>
          <w:tcPr>
            <w:tcW w:w="1055" w:type="dxa"/>
          </w:tcPr>
          <w:p w14:paraId="424A8161" w14:textId="77777777" w:rsidR="009B5AA5" w:rsidRPr="00FA3F9C" w:rsidRDefault="009B5AA5" w:rsidP="006F623F">
            <w:pPr>
              <w:rPr>
                <w:rFonts w:ascii="Arial" w:hAnsi="Arial" w:cs="Arial"/>
                <w:sz w:val="24"/>
                <w:szCs w:val="24"/>
              </w:rPr>
            </w:pPr>
            <w:r w:rsidRPr="00FA3F9C">
              <w:rPr>
                <w:rFonts w:ascii="Arial" w:hAnsi="Arial" w:cs="Arial"/>
                <w:sz w:val="24"/>
                <w:szCs w:val="24"/>
              </w:rPr>
              <w:t>Date</w:t>
            </w:r>
          </w:p>
        </w:tc>
        <w:tc>
          <w:tcPr>
            <w:tcW w:w="8657" w:type="dxa"/>
          </w:tcPr>
          <w:p w14:paraId="3F523C08" w14:textId="77777777" w:rsidR="009B5AA5" w:rsidRPr="00FA3F9C" w:rsidRDefault="009B5AA5" w:rsidP="006F623F">
            <w:pPr>
              <w:rPr>
                <w:rFonts w:ascii="Arial" w:hAnsi="Arial" w:cs="Arial"/>
                <w:sz w:val="24"/>
                <w:szCs w:val="24"/>
              </w:rPr>
            </w:pPr>
            <w:r w:rsidRPr="00FA3F9C">
              <w:rPr>
                <w:rFonts w:ascii="Arial" w:hAnsi="Arial" w:cs="Arial"/>
                <w:sz w:val="24"/>
                <w:szCs w:val="24"/>
              </w:rPr>
              <w:t>What changed</w:t>
            </w:r>
          </w:p>
        </w:tc>
        <w:tc>
          <w:tcPr>
            <w:tcW w:w="1353" w:type="dxa"/>
          </w:tcPr>
          <w:p w14:paraId="50D5D7EC" w14:textId="77777777" w:rsidR="009B5AA5" w:rsidRPr="00FA3F9C" w:rsidRDefault="009B5AA5" w:rsidP="006F623F">
            <w:pPr>
              <w:rPr>
                <w:rFonts w:ascii="Arial" w:hAnsi="Arial" w:cs="Arial"/>
                <w:sz w:val="24"/>
                <w:szCs w:val="24"/>
              </w:rPr>
            </w:pPr>
            <w:r w:rsidRPr="00FA3F9C">
              <w:rPr>
                <w:rFonts w:ascii="Arial" w:hAnsi="Arial" w:cs="Arial"/>
                <w:sz w:val="24"/>
                <w:szCs w:val="24"/>
              </w:rPr>
              <w:t>Pharmacist’s initials</w:t>
            </w:r>
          </w:p>
        </w:tc>
      </w:tr>
      <w:tr w:rsidR="009B5AA5" w:rsidRPr="00FA3F9C" w14:paraId="72EF01DB" w14:textId="77777777" w:rsidTr="00F02624">
        <w:tc>
          <w:tcPr>
            <w:tcW w:w="1055" w:type="dxa"/>
          </w:tcPr>
          <w:p w14:paraId="633B310A" w14:textId="77777777" w:rsidR="009B5AA5" w:rsidRPr="00FA3F9C" w:rsidRDefault="009B5AA5" w:rsidP="00F02624">
            <w:pPr>
              <w:rPr>
                <w:rFonts w:ascii="Arial" w:hAnsi="Arial" w:cs="Arial"/>
                <w:sz w:val="24"/>
                <w:szCs w:val="24"/>
              </w:rPr>
            </w:pPr>
            <w:r w:rsidRPr="00FA3F9C">
              <w:rPr>
                <w:rFonts w:ascii="Arial" w:hAnsi="Arial" w:cs="Arial"/>
                <w:sz w:val="24"/>
                <w:szCs w:val="24"/>
              </w:rPr>
              <w:t>7/22/19</w:t>
            </w:r>
          </w:p>
        </w:tc>
        <w:tc>
          <w:tcPr>
            <w:tcW w:w="8657" w:type="dxa"/>
          </w:tcPr>
          <w:p w14:paraId="70D53D19" w14:textId="77777777" w:rsidR="009B5AA5" w:rsidRPr="00FA3F9C" w:rsidRDefault="009B5AA5" w:rsidP="00F02624">
            <w:pPr>
              <w:rPr>
                <w:rFonts w:ascii="Arial" w:hAnsi="Arial" w:cs="Arial"/>
                <w:sz w:val="24"/>
                <w:szCs w:val="24"/>
              </w:rPr>
            </w:pPr>
            <w:r w:rsidRPr="00FA3F9C">
              <w:rPr>
                <w:rFonts w:ascii="Arial" w:hAnsi="Arial" w:cs="Arial"/>
                <w:sz w:val="24"/>
                <w:szCs w:val="24"/>
              </w:rPr>
              <w:t>I wrote the criteria for the medical benefit after the 5/24/19 ICER update.</w:t>
            </w:r>
          </w:p>
        </w:tc>
        <w:tc>
          <w:tcPr>
            <w:tcW w:w="1353" w:type="dxa"/>
          </w:tcPr>
          <w:p w14:paraId="3F95DA93" w14:textId="4A24DACC" w:rsidR="009B5AA5" w:rsidRPr="00FA3F9C" w:rsidRDefault="005C142D" w:rsidP="00F02624">
            <w:pPr>
              <w:rPr>
                <w:rFonts w:ascii="Arial" w:hAnsi="Arial" w:cs="Arial"/>
                <w:sz w:val="24"/>
                <w:szCs w:val="24"/>
              </w:rPr>
            </w:pPr>
            <w:r w:rsidRPr="00FA3F9C">
              <w:rPr>
                <w:rFonts w:ascii="Arial" w:hAnsi="Arial" w:cs="Arial"/>
                <w:sz w:val="24"/>
                <w:szCs w:val="24"/>
              </w:rPr>
              <w:t>JJ</w:t>
            </w:r>
          </w:p>
        </w:tc>
      </w:tr>
    </w:tbl>
    <w:p w14:paraId="56272133" w14:textId="77777777" w:rsidR="009B5AA5" w:rsidRPr="00FA3F9C" w:rsidRDefault="009B5AA5" w:rsidP="005645B3">
      <w:pPr>
        <w:spacing w:after="0"/>
        <w:rPr>
          <w:rFonts w:ascii="Arial" w:hAnsi="Arial" w:cs="Arial"/>
          <w:sz w:val="24"/>
          <w:szCs w:val="24"/>
        </w:rPr>
      </w:pPr>
      <w:r w:rsidRPr="00FA3F9C">
        <w:rPr>
          <w:rFonts w:ascii="Arial" w:hAnsi="Arial" w:cs="Arial"/>
          <w:sz w:val="24"/>
          <w:szCs w:val="24"/>
        </w:rPr>
        <w:t>Ref:</w:t>
      </w:r>
    </w:p>
    <w:p w14:paraId="36317812" w14:textId="77777777" w:rsidR="009B5AA5" w:rsidRPr="00FA3F9C" w:rsidRDefault="009B5AA5" w:rsidP="00F02624">
      <w:pPr>
        <w:spacing w:after="0"/>
        <w:rPr>
          <w:rFonts w:ascii="Arial" w:eastAsia="Times New Roman" w:hAnsi="Arial" w:cs="Arial"/>
          <w:color w:val="222222"/>
          <w:sz w:val="24"/>
          <w:szCs w:val="24"/>
          <w:shd w:val="clear" w:color="auto" w:fill="F8F8F8"/>
        </w:rPr>
      </w:pPr>
      <w:r w:rsidRPr="00FA3F9C">
        <w:rPr>
          <w:rFonts w:ascii="Arial" w:hAnsi="Arial" w:cs="Arial"/>
          <w:color w:val="222222"/>
          <w:sz w:val="24"/>
          <w:szCs w:val="24"/>
          <w:shd w:val="clear" w:color="auto" w:fill="FFFFFF"/>
        </w:rPr>
        <w:t xml:space="preserve">1.  </w:t>
      </w:r>
      <w:r w:rsidRPr="00FA3F9C">
        <w:rPr>
          <w:rFonts w:ascii="Arial" w:eastAsia="Times New Roman" w:hAnsi="Arial" w:cs="Arial"/>
          <w:sz w:val="24"/>
          <w:szCs w:val="24"/>
        </w:rPr>
        <w:t xml:space="preserve">ICER Report. </w:t>
      </w:r>
      <w:proofErr w:type="spellStart"/>
      <w:r w:rsidRPr="00FA3F9C">
        <w:rPr>
          <w:rFonts w:ascii="Arial" w:eastAsia="Times New Roman" w:hAnsi="Arial" w:cs="Arial"/>
          <w:sz w:val="24"/>
          <w:szCs w:val="24"/>
        </w:rPr>
        <w:t>Spinraza</w:t>
      </w:r>
      <w:proofErr w:type="spellEnd"/>
      <w:r w:rsidRPr="00FA3F9C">
        <w:rPr>
          <w:rFonts w:ascii="Arial" w:eastAsia="Times New Roman" w:hAnsi="Arial" w:cs="Arial"/>
          <w:sz w:val="24"/>
          <w:szCs w:val="24"/>
        </w:rPr>
        <w:t xml:space="preserve"> and </w:t>
      </w:r>
      <w:proofErr w:type="spellStart"/>
      <w:r w:rsidRPr="00FA3F9C">
        <w:rPr>
          <w:rFonts w:ascii="Arial" w:eastAsia="Times New Roman" w:hAnsi="Arial" w:cs="Arial"/>
          <w:sz w:val="24"/>
          <w:szCs w:val="24"/>
        </w:rPr>
        <w:t>Zolgensma</w:t>
      </w:r>
      <w:proofErr w:type="spellEnd"/>
      <w:r w:rsidRPr="00FA3F9C">
        <w:rPr>
          <w:rFonts w:ascii="Arial" w:eastAsia="Times New Roman" w:hAnsi="Arial" w:cs="Arial"/>
          <w:sz w:val="24"/>
          <w:szCs w:val="24"/>
        </w:rPr>
        <w:t xml:space="preserve"> for SMA.  </w:t>
      </w:r>
      <w:hyperlink r:id="rId305" w:history="1">
        <w:r w:rsidRPr="00FA3F9C">
          <w:rPr>
            <w:rStyle w:val="Hyperlink"/>
            <w:rFonts w:ascii="Arial" w:hAnsi="Arial" w:cs="Arial"/>
            <w:sz w:val="24"/>
            <w:szCs w:val="24"/>
          </w:rPr>
          <w:t>https://icer-review.org/wp-content/uploads/2018/07/ICER_SMA_Final_Evidence_Report_052419.pdf</w:t>
        </w:r>
      </w:hyperlink>
    </w:p>
    <w:p w14:paraId="22D81C83" w14:textId="77777777" w:rsidR="009B5AA5" w:rsidRPr="00FA3F9C" w:rsidRDefault="009B5AA5" w:rsidP="000554B1">
      <w:pPr>
        <w:spacing w:after="0"/>
        <w:rPr>
          <w:rFonts w:ascii="Arial" w:hAnsi="Arial" w:cs="Arial"/>
          <w:sz w:val="24"/>
          <w:szCs w:val="24"/>
        </w:rPr>
      </w:pPr>
    </w:p>
    <w:p w14:paraId="4158A59F" w14:textId="77777777" w:rsidR="009B5AA5" w:rsidRPr="00FA3F9C" w:rsidRDefault="009B5AA5" w:rsidP="00EF3B65">
      <w:pPr>
        <w:pStyle w:val="Heading2"/>
      </w:pPr>
      <w:bookmarkStart w:id="241" w:name="_Toc106369878"/>
      <w:r w:rsidRPr="00FA3F9C">
        <w:t>Long-acting Opiates or short-acting opiates of users of 60/90 past days</w:t>
      </w:r>
      <w:bookmarkEnd w:id="241"/>
    </w:p>
    <w:p w14:paraId="00D6A6B2" w14:textId="77777777" w:rsidR="009B5AA5" w:rsidRPr="00FA3F9C" w:rsidRDefault="009B5AA5" w:rsidP="006F623F">
      <w:pPr>
        <w:spacing w:after="0"/>
        <w:jc w:val="center"/>
        <w:rPr>
          <w:rFonts w:ascii="Arial" w:hAnsi="Arial" w:cs="Arial"/>
          <w:sz w:val="24"/>
          <w:szCs w:val="24"/>
        </w:rPr>
      </w:pPr>
      <w:r w:rsidRPr="00FA3F9C">
        <w:rPr>
          <w:rFonts w:ascii="Arial" w:hAnsi="Arial" w:cs="Arial"/>
          <w:sz w:val="24"/>
          <w:szCs w:val="24"/>
        </w:rPr>
        <w:t>EBRx PA Criteria</w:t>
      </w:r>
    </w:p>
    <w:tbl>
      <w:tblPr>
        <w:tblStyle w:val="TableGrid"/>
        <w:tblW w:w="0" w:type="auto"/>
        <w:tblLook w:val="04A0" w:firstRow="1" w:lastRow="0" w:firstColumn="1" w:lastColumn="0" w:noHBand="0" w:noVBand="1"/>
      </w:tblPr>
      <w:tblGrid>
        <w:gridCol w:w="8928"/>
        <w:gridCol w:w="2088"/>
      </w:tblGrid>
      <w:tr w:rsidR="009B5AA5" w:rsidRPr="00FA3F9C" w14:paraId="5B6685F8" w14:textId="77777777" w:rsidTr="005B18BD">
        <w:tc>
          <w:tcPr>
            <w:tcW w:w="8928" w:type="dxa"/>
            <w:shd w:val="clear" w:color="auto" w:fill="000000"/>
          </w:tcPr>
          <w:p w14:paraId="45C5BDA6" w14:textId="77777777" w:rsidR="009B5AA5" w:rsidRPr="00FA3F9C" w:rsidRDefault="009B5AA5" w:rsidP="005B18BD">
            <w:pPr>
              <w:rPr>
                <w:rFonts w:ascii="Arial" w:hAnsi="Arial" w:cs="Arial"/>
                <w:b/>
                <w:sz w:val="24"/>
                <w:szCs w:val="24"/>
                <w:u w:val="single"/>
              </w:rPr>
            </w:pPr>
            <w:r w:rsidRPr="00FA3F9C">
              <w:rPr>
                <w:rFonts w:ascii="Arial" w:hAnsi="Arial" w:cs="Arial"/>
                <w:b/>
                <w:sz w:val="24"/>
                <w:szCs w:val="24"/>
                <w:u w:val="single"/>
              </w:rPr>
              <w:t>Criteria for new users with cancer, palliative care, or hospice</w:t>
            </w:r>
          </w:p>
        </w:tc>
        <w:tc>
          <w:tcPr>
            <w:tcW w:w="2088" w:type="dxa"/>
            <w:shd w:val="clear" w:color="auto" w:fill="000000"/>
          </w:tcPr>
          <w:p w14:paraId="4E0971FB" w14:textId="77777777" w:rsidR="009B5AA5" w:rsidRPr="00FA3F9C" w:rsidRDefault="009B5AA5" w:rsidP="005B18BD">
            <w:pPr>
              <w:jc w:val="center"/>
              <w:rPr>
                <w:rFonts w:ascii="Arial" w:hAnsi="Arial" w:cs="Arial"/>
                <w:b/>
                <w:sz w:val="24"/>
                <w:szCs w:val="24"/>
                <w:u w:val="single"/>
              </w:rPr>
            </w:pPr>
          </w:p>
        </w:tc>
      </w:tr>
      <w:tr w:rsidR="009B5AA5" w:rsidRPr="00FA3F9C" w14:paraId="1A6B64BF" w14:textId="77777777" w:rsidTr="005B18BD">
        <w:trPr>
          <w:trHeight w:val="260"/>
        </w:trPr>
        <w:tc>
          <w:tcPr>
            <w:tcW w:w="11016" w:type="dxa"/>
            <w:gridSpan w:val="2"/>
          </w:tcPr>
          <w:p w14:paraId="072E687E" w14:textId="77777777" w:rsidR="009B5AA5" w:rsidRPr="00FA3F9C" w:rsidRDefault="009B5AA5" w:rsidP="00FC1E85">
            <w:pPr>
              <w:pStyle w:val="ListParagraph"/>
              <w:numPr>
                <w:ilvl w:val="0"/>
                <w:numId w:val="392"/>
              </w:numPr>
              <w:rPr>
                <w:rFonts w:ascii="Arial" w:hAnsi="Arial" w:cs="Arial"/>
                <w:sz w:val="24"/>
                <w:szCs w:val="24"/>
              </w:rPr>
            </w:pPr>
            <w:r w:rsidRPr="00FA3F9C">
              <w:rPr>
                <w:rFonts w:ascii="Arial" w:hAnsi="Arial" w:cs="Arial"/>
                <w:sz w:val="24"/>
                <w:szCs w:val="24"/>
              </w:rPr>
              <w:t>Dx of cancer, palliative care, or hospice</w:t>
            </w:r>
          </w:p>
        </w:tc>
      </w:tr>
      <w:tr w:rsidR="009B5AA5" w:rsidRPr="00FA3F9C" w14:paraId="3E3A6131" w14:textId="77777777" w:rsidTr="005B18BD">
        <w:trPr>
          <w:trHeight w:val="260"/>
        </w:trPr>
        <w:tc>
          <w:tcPr>
            <w:tcW w:w="11016" w:type="dxa"/>
            <w:gridSpan w:val="2"/>
          </w:tcPr>
          <w:p w14:paraId="2504A4FE" w14:textId="77777777" w:rsidR="009B5AA5" w:rsidRPr="00FA3F9C" w:rsidRDefault="009B5AA5" w:rsidP="0045533F">
            <w:pPr>
              <w:rPr>
                <w:rFonts w:ascii="Arial" w:hAnsi="Arial" w:cs="Arial"/>
                <w:sz w:val="24"/>
                <w:szCs w:val="24"/>
              </w:rPr>
            </w:pPr>
            <w:r w:rsidRPr="00FA3F9C">
              <w:rPr>
                <w:rFonts w:ascii="Arial" w:hAnsi="Arial" w:cs="Arial"/>
                <w:sz w:val="24"/>
                <w:szCs w:val="24"/>
              </w:rPr>
              <w:lastRenderedPageBreak/>
              <w:t>If any of the above conditions are fulfilled, the PA will be approved for 1 year.  Any amount, and any product or combination of opiate product may be approved.</w:t>
            </w:r>
          </w:p>
        </w:tc>
      </w:tr>
    </w:tbl>
    <w:p w14:paraId="60AF6220" w14:textId="77777777" w:rsidR="009B5AA5" w:rsidRPr="00FA3F9C" w:rsidRDefault="009B5AA5" w:rsidP="006F623F">
      <w:pPr>
        <w:spacing w:after="0"/>
        <w:rPr>
          <w:rFonts w:ascii="Arial" w:hAnsi="Arial" w:cs="Arial"/>
          <w:b/>
          <w:sz w:val="24"/>
          <w:szCs w:val="24"/>
          <w:u w:val="single"/>
        </w:rPr>
      </w:pPr>
    </w:p>
    <w:tbl>
      <w:tblPr>
        <w:tblStyle w:val="TableGrid"/>
        <w:tblW w:w="0" w:type="auto"/>
        <w:tblLook w:val="04A0" w:firstRow="1" w:lastRow="0" w:firstColumn="1" w:lastColumn="0" w:noHBand="0" w:noVBand="1"/>
      </w:tblPr>
      <w:tblGrid>
        <w:gridCol w:w="11016"/>
      </w:tblGrid>
      <w:tr w:rsidR="009B5AA5" w:rsidRPr="00FA3F9C" w14:paraId="14AE6BE7" w14:textId="77777777" w:rsidTr="005A75AA">
        <w:tc>
          <w:tcPr>
            <w:tcW w:w="11016" w:type="dxa"/>
            <w:shd w:val="clear" w:color="auto" w:fill="000000" w:themeFill="text1"/>
          </w:tcPr>
          <w:p w14:paraId="435450D9" w14:textId="77777777" w:rsidR="009B5AA5" w:rsidRPr="00FA3F9C" w:rsidRDefault="009B5AA5" w:rsidP="0045533F">
            <w:pPr>
              <w:rPr>
                <w:rFonts w:ascii="Arial" w:hAnsi="Arial" w:cs="Arial"/>
                <w:b/>
                <w:sz w:val="24"/>
                <w:szCs w:val="24"/>
              </w:rPr>
            </w:pPr>
            <w:r w:rsidRPr="00FA3F9C">
              <w:rPr>
                <w:rFonts w:ascii="Arial" w:hAnsi="Arial" w:cs="Arial"/>
                <w:b/>
                <w:sz w:val="24"/>
                <w:szCs w:val="24"/>
                <w:u w:val="single"/>
              </w:rPr>
              <w:t>LONG-ACTING OPIATE:  Criteria for new users WITHOUT cancer, palliative care, or hospice</w:t>
            </w:r>
          </w:p>
        </w:tc>
      </w:tr>
      <w:tr w:rsidR="009B5AA5" w:rsidRPr="00FA3F9C" w14:paraId="58A51FF7" w14:textId="77777777" w:rsidTr="0045533F">
        <w:tc>
          <w:tcPr>
            <w:tcW w:w="11016" w:type="dxa"/>
          </w:tcPr>
          <w:p w14:paraId="026E32F2" w14:textId="77777777" w:rsidR="009B5AA5" w:rsidRPr="00FA3F9C" w:rsidRDefault="009B5AA5" w:rsidP="0045533F">
            <w:pPr>
              <w:rPr>
                <w:rFonts w:ascii="Arial" w:hAnsi="Arial" w:cs="Arial"/>
                <w:b/>
                <w:sz w:val="24"/>
                <w:szCs w:val="24"/>
              </w:rPr>
            </w:pPr>
            <w:r w:rsidRPr="00FA3F9C">
              <w:rPr>
                <w:rFonts w:ascii="Arial" w:hAnsi="Arial" w:cs="Arial"/>
                <w:b/>
                <w:sz w:val="24"/>
                <w:szCs w:val="24"/>
              </w:rPr>
              <w:t xml:space="preserve">If the following prior authorization is approved, the maximum amount of combined total opioid the plan will pay for is 50 morphine milligram equivalents (MMEs)/ day </w:t>
            </w:r>
            <w:r w:rsidRPr="00FA3F9C">
              <w:rPr>
                <w:rFonts w:ascii="Arial" w:hAnsi="Arial" w:cs="Arial"/>
                <w:b/>
                <w:sz w:val="24"/>
                <w:szCs w:val="24"/>
                <w:highlight w:val="yellow"/>
              </w:rPr>
              <w:t xml:space="preserve">for new users of </w:t>
            </w:r>
            <w:proofErr w:type="gramStart"/>
            <w:r w:rsidRPr="00FA3F9C">
              <w:rPr>
                <w:rFonts w:ascii="Arial" w:hAnsi="Arial" w:cs="Arial"/>
                <w:b/>
                <w:sz w:val="24"/>
                <w:szCs w:val="24"/>
                <w:highlight w:val="yellow"/>
              </w:rPr>
              <w:t>long acting</w:t>
            </w:r>
            <w:proofErr w:type="gramEnd"/>
            <w:r w:rsidRPr="00FA3F9C">
              <w:rPr>
                <w:rFonts w:ascii="Arial" w:hAnsi="Arial" w:cs="Arial"/>
                <w:b/>
                <w:sz w:val="24"/>
                <w:szCs w:val="24"/>
                <w:highlight w:val="yellow"/>
              </w:rPr>
              <w:t xml:space="preserve"> opiates</w:t>
            </w:r>
            <w:r w:rsidRPr="00FA3F9C">
              <w:rPr>
                <w:rFonts w:ascii="Arial" w:hAnsi="Arial" w:cs="Arial"/>
                <w:b/>
                <w:sz w:val="24"/>
                <w:szCs w:val="24"/>
              </w:rPr>
              <w:t xml:space="preserve"> or </w:t>
            </w:r>
            <w:r w:rsidRPr="00FA3F9C">
              <w:rPr>
                <w:rFonts w:ascii="Arial" w:hAnsi="Arial" w:cs="Arial"/>
                <w:b/>
                <w:sz w:val="24"/>
                <w:szCs w:val="24"/>
                <w:highlight w:val="yellow"/>
              </w:rPr>
              <w:t>for users of short acting opiates who exceed a day’s supply limit of more than 90 days of short acting opiates within a rolling 180 days</w:t>
            </w:r>
            <w:r w:rsidRPr="00FA3F9C">
              <w:rPr>
                <w:rFonts w:ascii="Arial" w:hAnsi="Arial" w:cs="Arial"/>
                <w:b/>
                <w:sz w:val="24"/>
                <w:szCs w:val="24"/>
              </w:rPr>
              <w:t>.</w:t>
            </w:r>
          </w:p>
        </w:tc>
      </w:tr>
      <w:tr w:rsidR="009B5AA5" w:rsidRPr="00FA3F9C" w14:paraId="0784D379" w14:textId="77777777" w:rsidTr="00CD3319">
        <w:tc>
          <w:tcPr>
            <w:tcW w:w="11016" w:type="dxa"/>
          </w:tcPr>
          <w:p w14:paraId="51C82D75" w14:textId="77777777" w:rsidR="009B5AA5" w:rsidRPr="00FA3F9C" w:rsidRDefault="009B5AA5" w:rsidP="00FC1E85">
            <w:pPr>
              <w:pStyle w:val="ListParagraph"/>
              <w:numPr>
                <w:ilvl w:val="0"/>
                <w:numId w:val="393"/>
              </w:numPr>
              <w:rPr>
                <w:rFonts w:ascii="Arial" w:hAnsi="Arial" w:cs="Arial"/>
                <w:b/>
                <w:sz w:val="24"/>
                <w:szCs w:val="24"/>
                <w:u w:val="single"/>
              </w:rPr>
            </w:pPr>
            <w:r w:rsidRPr="00FA3F9C">
              <w:rPr>
                <w:rFonts w:ascii="Arial" w:hAnsi="Arial" w:cs="Arial"/>
                <w:sz w:val="24"/>
                <w:szCs w:val="24"/>
              </w:rPr>
              <w:t xml:space="preserve"> The prescriber must attest that he/she has a plan in the medical record to taper off the prescribed opiate.</w:t>
            </w:r>
          </w:p>
        </w:tc>
      </w:tr>
      <w:tr w:rsidR="009B5AA5" w:rsidRPr="00FA3F9C" w14:paraId="6E94CDC2" w14:textId="77777777" w:rsidTr="0045533F">
        <w:trPr>
          <w:trHeight w:val="314"/>
        </w:trPr>
        <w:tc>
          <w:tcPr>
            <w:tcW w:w="11016" w:type="dxa"/>
          </w:tcPr>
          <w:p w14:paraId="0DB18700" w14:textId="77777777" w:rsidR="009B5AA5" w:rsidRPr="00FA3F9C" w:rsidRDefault="009B5AA5" w:rsidP="00FC1E85">
            <w:pPr>
              <w:pStyle w:val="ListParagraph"/>
              <w:numPr>
                <w:ilvl w:val="0"/>
                <w:numId w:val="393"/>
              </w:numPr>
              <w:rPr>
                <w:rFonts w:ascii="Arial" w:hAnsi="Arial" w:cs="Arial"/>
                <w:b/>
                <w:sz w:val="24"/>
                <w:szCs w:val="24"/>
                <w:u w:val="single"/>
              </w:rPr>
            </w:pPr>
            <w:r w:rsidRPr="00FA3F9C">
              <w:rPr>
                <w:rFonts w:ascii="Arial" w:hAnsi="Arial" w:cs="Arial"/>
                <w:sz w:val="24"/>
                <w:szCs w:val="24"/>
              </w:rPr>
              <w:t xml:space="preserve"> The prescriber must attest to having prescribed other pain relief methods (physical therapy)</w:t>
            </w:r>
          </w:p>
        </w:tc>
      </w:tr>
      <w:tr w:rsidR="009B5AA5" w:rsidRPr="00FA3F9C" w14:paraId="58608E82" w14:textId="77777777" w:rsidTr="00CD3319">
        <w:tc>
          <w:tcPr>
            <w:tcW w:w="11016" w:type="dxa"/>
          </w:tcPr>
          <w:p w14:paraId="5DA6859C" w14:textId="77777777" w:rsidR="009B5AA5" w:rsidRPr="00FA3F9C" w:rsidRDefault="009B5AA5" w:rsidP="00FC1E85">
            <w:pPr>
              <w:pStyle w:val="ListParagraph"/>
              <w:numPr>
                <w:ilvl w:val="0"/>
                <w:numId w:val="393"/>
              </w:numPr>
              <w:rPr>
                <w:rFonts w:ascii="Arial" w:hAnsi="Arial" w:cs="Arial"/>
                <w:sz w:val="24"/>
                <w:szCs w:val="24"/>
              </w:rPr>
            </w:pPr>
            <w:r w:rsidRPr="00FA3F9C">
              <w:rPr>
                <w:rFonts w:ascii="Arial" w:hAnsi="Arial" w:cs="Arial"/>
                <w:sz w:val="24"/>
                <w:szCs w:val="24"/>
              </w:rPr>
              <w:t xml:space="preserve"> The prescriber must be </w:t>
            </w:r>
            <w:proofErr w:type="gramStart"/>
            <w:r w:rsidRPr="00FA3F9C">
              <w:rPr>
                <w:rFonts w:ascii="Arial" w:hAnsi="Arial" w:cs="Arial"/>
                <w:sz w:val="24"/>
                <w:szCs w:val="24"/>
              </w:rPr>
              <w:t>attest</w:t>
            </w:r>
            <w:proofErr w:type="gramEnd"/>
            <w:r w:rsidRPr="00FA3F9C">
              <w:rPr>
                <w:rFonts w:ascii="Arial" w:hAnsi="Arial" w:cs="Arial"/>
                <w:sz w:val="24"/>
                <w:szCs w:val="24"/>
              </w:rPr>
              <w:t xml:space="preserve"> to checking the AR Prescription Monitoring Program and provide the date of the most recent query:_____/_____/_____</w:t>
            </w:r>
          </w:p>
        </w:tc>
      </w:tr>
      <w:tr w:rsidR="009B5AA5" w:rsidRPr="00FA3F9C" w14:paraId="615F595B" w14:textId="77777777" w:rsidTr="00CD3319">
        <w:tc>
          <w:tcPr>
            <w:tcW w:w="11016" w:type="dxa"/>
          </w:tcPr>
          <w:p w14:paraId="0B47ED18" w14:textId="77777777" w:rsidR="009B5AA5" w:rsidRPr="00FA3F9C" w:rsidRDefault="009B5AA5" w:rsidP="00FC1E85">
            <w:pPr>
              <w:pStyle w:val="ListParagraph"/>
              <w:numPr>
                <w:ilvl w:val="0"/>
                <w:numId w:val="393"/>
              </w:numPr>
              <w:rPr>
                <w:rFonts w:ascii="Arial" w:hAnsi="Arial" w:cs="Arial"/>
                <w:b/>
                <w:sz w:val="24"/>
                <w:szCs w:val="24"/>
                <w:u w:val="single"/>
              </w:rPr>
            </w:pPr>
            <w:r w:rsidRPr="00FA3F9C">
              <w:rPr>
                <w:rFonts w:ascii="Arial" w:hAnsi="Arial" w:cs="Arial"/>
                <w:sz w:val="24"/>
                <w:szCs w:val="24"/>
              </w:rPr>
              <w:t>After checking the PMP, the prescriber must agree to being one of not more than 2 prescribers of LA opiates for the patient and have a written pain contract in the patient’s medical record.</w:t>
            </w:r>
          </w:p>
        </w:tc>
      </w:tr>
      <w:tr w:rsidR="009B5AA5" w:rsidRPr="00FA3F9C" w14:paraId="22499069" w14:textId="77777777" w:rsidTr="00CD3319">
        <w:tc>
          <w:tcPr>
            <w:tcW w:w="11016" w:type="dxa"/>
          </w:tcPr>
          <w:p w14:paraId="21F3D546" w14:textId="77777777" w:rsidR="009B5AA5" w:rsidRPr="00FA3F9C" w:rsidRDefault="009B5AA5" w:rsidP="00FC1E85">
            <w:pPr>
              <w:pStyle w:val="ListParagraph"/>
              <w:numPr>
                <w:ilvl w:val="0"/>
                <w:numId w:val="393"/>
              </w:numPr>
              <w:rPr>
                <w:rFonts w:ascii="Arial" w:hAnsi="Arial" w:cs="Arial"/>
                <w:b/>
                <w:sz w:val="24"/>
                <w:szCs w:val="24"/>
                <w:u w:val="single"/>
              </w:rPr>
            </w:pPr>
            <w:r w:rsidRPr="00FA3F9C">
              <w:rPr>
                <w:rFonts w:ascii="Arial" w:hAnsi="Arial" w:cs="Arial"/>
                <w:sz w:val="24"/>
                <w:szCs w:val="24"/>
              </w:rPr>
              <w:t>The prescriber must agree to order, complete, and document the results of the patient’s urine drug screen annually.</w:t>
            </w:r>
          </w:p>
        </w:tc>
      </w:tr>
      <w:tr w:rsidR="009B5AA5" w:rsidRPr="00FA3F9C" w14:paraId="58E81E37" w14:textId="77777777" w:rsidTr="00CD3319">
        <w:tc>
          <w:tcPr>
            <w:tcW w:w="11016" w:type="dxa"/>
          </w:tcPr>
          <w:p w14:paraId="7B35C589" w14:textId="77777777" w:rsidR="009B5AA5" w:rsidRPr="00FA3F9C" w:rsidRDefault="009B5AA5" w:rsidP="006F623F">
            <w:pPr>
              <w:rPr>
                <w:rFonts w:ascii="Arial" w:hAnsi="Arial" w:cs="Arial"/>
                <w:b/>
                <w:sz w:val="24"/>
                <w:szCs w:val="24"/>
              </w:rPr>
            </w:pPr>
            <w:r w:rsidRPr="00FA3F9C">
              <w:rPr>
                <w:rFonts w:ascii="Arial" w:hAnsi="Arial" w:cs="Arial"/>
                <w:b/>
                <w:sz w:val="24"/>
                <w:szCs w:val="24"/>
              </w:rPr>
              <w:t>If these criteria are fulfilled, the PA may be approved for 1 year. 30 days’ supply, Allow up to 50 MME of combined total opioid.</w:t>
            </w:r>
          </w:p>
        </w:tc>
      </w:tr>
    </w:tbl>
    <w:p w14:paraId="5BDC1126" w14:textId="77777777" w:rsidR="009B5AA5" w:rsidRPr="00FA3F9C" w:rsidRDefault="009B5AA5" w:rsidP="006F623F">
      <w:pPr>
        <w:spacing w:after="0"/>
        <w:rPr>
          <w:rFonts w:ascii="Arial" w:hAnsi="Arial" w:cs="Arial"/>
          <w:b/>
          <w:sz w:val="24"/>
          <w:szCs w:val="24"/>
          <w:u w:val="single"/>
        </w:rPr>
      </w:pPr>
    </w:p>
    <w:tbl>
      <w:tblPr>
        <w:tblStyle w:val="TableGrid"/>
        <w:tblW w:w="0" w:type="auto"/>
        <w:tblLook w:val="04A0" w:firstRow="1" w:lastRow="0" w:firstColumn="1" w:lastColumn="0" w:noHBand="0" w:noVBand="1"/>
      </w:tblPr>
      <w:tblGrid>
        <w:gridCol w:w="11016"/>
      </w:tblGrid>
      <w:tr w:rsidR="009B5AA5" w:rsidRPr="00FA3F9C" w14:paraId="7C97988B" w14:textId="77777777" w:rsidTr="005A75AA">
        <w:tc>
          <w:tcPr>
            <w:tcW w:w="11016" w:type="dxa"/>
            <w:shd w:val="clear" w:color="auto" w:fill="000000" w:themeFill="text1"/>
          </w:tcPr>
          <w:p w14:paraId="248AD199" w14:textId="77777777" w:rsidR="009B5AA5" w:rsidRPr="00FA3F9C" w:rsidRDefault="009B5AA5" w:rsidP="005B18BD">
            <w:pPr>
              <w:rPr>
                <w:rFonts w:ascii="Arial" w:hAnsi="Arial" w:cs="Arial"/>
                <w:b/>
                <w:sz w:val="24"/>
                <w:szCs w:val="24"/>
              </w:rPr>
            </w:pPr>
            <w:r w:rsidRPr="00FA3F9C">
              <w:rPr>
                <w:rFonts w:ascii="Arial" w:hAnsi="Arial" w:cs="Arial"/>
                <w:b/>
                <w:sz w:val="24"/>
                <w:szCs w:val="24"/>
                <w:u w:val="single"/>
              </w:rPr>
              <w:t xml:space="preserve">SHORT-ACTING OPIATE USERS SEEKING MORE THAN A 7 </w:t>
            </w:r>
            <w:proofErr w:type="gramStart"/>
            <w:r w:rsidRPr="00FA3F9C">
              <w:rPr>
                <w:rFonts w:ascii="Arial" w:hAnsi="Arial" w:cs="Arial"/>
                <w:b/>
                <w:sz w:val="24"/>
                <w:szCs w:val="24"/>
                <w:u w:val="single"/>
              </w:rPr>
              <w:t>DAYS</w:t>
            </w:r>
            <w:proofErr w:type="gramEnd"/>
            <w:r w:rsidRPr="00FA3F9C">
              <w:rPr>
                <w:rFonts w:ascii="Arial" w:hAnsi="Arial" w:cs="Arial"/>
                <w:b/>
                <w:sz w:val="24"/>
                <w:szCs w:val="24"/>
                <w:u w:val="single"/>
              </w:rPr>
              <w:t xml:space="preserve"> SUPPLY:  Criteria for new users WITHOUT cancer, palliative care, or hospice </w:t>
            </w:r>
          </w:p>
        </w:tc>
      </w:tr>
      <w:tr w:rsidR="009B5AA5" w:rsidRPr="00FA3F9C" w14:paraId="2367127F" w14:textId="77777777" w:rsidTr="005B18BD">
        <w:tc>
          <w:tcPr>
            <w:tcW w:w="11016" w:type="dxa"/>
          </w:tcPr>
          <w:p w14:paraId="5EC41504" w14:textId="77777777" w:rsidR="009B5AA5" w:rsidRPr="00FA3F9C" w:rsidRDefault="009B5AA5" w:rsidP="005A75AA">
            <w:pPr>
              <w:rPr>
                <w:rFonts w:ascii="Arial" w:hAnsi="Arial" w:cs="Arial"/>
                <w:b/>
                <w:sz w:val="24"/>
                <w:szCs w:val="24"/>
              </w:rPr>
            </w:pPr>
            <w:r w:rsidRPr="00FA3F9C">
              <w:rPr>
                <w:rFonts w:ascii="Arial" w:hAnsi="Arial" w:cs="Arial"/>
                <w:b/>
                <w:sz w:val="24"/>
                <w:szCs w:val="24"/>
              </w:rPr>
              <w:t xml:space="preserve">If the following prior authorization is approved, the maximum amount of combined total opioid the plan will pay for is 50 morphine milligram equivalents (MMEs)/day </w:t>
            </w:r>
            <w:r w:rsidRPr="00FA3F9C">
              <w:rPr>
                <w:rFonts w:ascii="Arial" w:hAnsi="Arial" w:cs="Arial"/>
                <w:b/>
                <w:sz w:val="24"/>
                <w:szCs w:val="24"/>
                <w:highlight w:val="yellow"/>
              </w:rPr>
              <w:t xml:space="preserve">for new users of </w:t>
            </w:r>
            <w:proofErr w:type="gramStart"/>
            <w:r w:rsidRPr="00FA3F9C">
              <w:rPr>
                <w:rFonts w:ascii="Arial" w:hAnsi="Arial" w:cs="Arial"/>
                <w:b/>
                <w:sz w:val="24"/>
                <w:szCs w:val="24"/>
                <w:highlight w:val="yellow"/>
              </w:rPr>
              <w:t>long acting</w:t>
            </w:r>
            <w:proofErr w:type="gramEnd"/>
            <w:r w:rsidRPr="00FA3F9C">
              <w:rPr>
                <w:rFonts w:ascii="Arial" w:hAnsi="Arial" w:cs="Arial"/>
                <w:b/>
                <w:sz w:val="24"/>
                <w:szCs w:val="24"/>
                <w:highlight w:val="yellow"/>
              </w:rPr>
              <w:t xml:space="preserve"> opiates</w:t>
            </w:r>
            <w:r w:rsidRPr="00FA3F9C">
              <w:rPr>
                <w:rFonts w:ascii="Arial" w:hAnsi="Arial" w:cs="Arial"/>
                <w:b/>
                <w:sz w:val="24"/>
                <w:szCs w:val="24"/>
              </w:rPr>
              <w:t xml:space="preserve"> or </w:t>
            </w:r>
            <w:r w:rsidRPr="00FA3F9C">
              <w:rPr>
                <w:rFonts w:ascii="Arial" w:hAnsi="Arial" w:cs="Arial"/>
                <w:b/>
                <w:sz w:val="24"/>
                <w:szCs w:val="24"/>
                <w:highlight w:val="yellow"/>
              </w:rPr>
              <w:t>for users of short acting opiates who exceed a day’s supply limit of more than 90 days of short acting opiates within a rolling 180 days</w:t>
            </w:r>
            <w:r w:rsidRPr="00FA3F9C">
              <w:rPr>
                <w:rFonts w:ascii="Arial" w:hAnsi="Arial" w:cs="Arial"/>
                <w:b/>
                <w:sz w:val="24"/>
                <w:szCs w:val="24"/>
              </w:rPr>
              <w:t>.</w:t>
            </w:r>
          </w:p>
        </w:tc>
      </w:tr>
      <w:tr w:rsidR="009B5AA5" w:rsidRPr="00FA3F9C" w14:paraId="0019ED64" w14:textId="77777777" w:rsidTr="005B18BD">
        <w:tc>
          <w:tcPr>
            <w:tcW w:w="11016" w:type="dxa"/>
          </w:tcPr>
          <w:p w14:paraId="443D5606" w14:textId="77777777" w:rsidR="009B5AA5" w:rsidRPr="00FA3F9C" w:rsidRDefault="009B5AA5" w:rsidP="00FC1E85">
            <w:pPr>
              <w:pStyle w:val="ListParagraph"/>
              <w:numPr>
                <w:ilvl w:val="0"/>
                <w:numId w:val="394"/>
              </w:numPr>
              <w:rPr>
                <w:rFonts w:ascii="Arial" w:hAnsi="Arial" w:cs="Arial"/>
                <w:b/>
                <w:sz w:val="24"/>
                <w:szCs w:val="24"/>
                <w:u w:val="single"/>
              </w:rPr>
            </w:pPr>
            <w:r w:rsidRPr="00FA3F9C">
              <w:rPr>
                <w:rFonts w:ascii="Arial" w:hAnsi="Arial" w:cs="Arial"/>
                <w:sz w:val="24"/>
                <w:szCs w:val="24"/>
              </w:rPr>
              <w:t xml:space="preserve"> The prescriber must share the plan to taper off the prescribed opiate.</w:t>
            </w:r>
          </w:p>
        </w:tc>
      </w:tr>
      <w:tr w:rsidR="009B5AA5" w:rsidRPr="00FA3F9C" w14:paraId="1871DC14" w14:textId="77777777" w:rsidTr="005B18BD">
        <w:trPr>
          <w:trHeight w:val="314"/>
        </w:trPr>
        <w:tc>
          <w:tcPr>
            <w:tcW w:w="11016" w:type="dxa"/>
          </w:tcPr>
          <w:p w14:paraId="7DB4B432" w14:textId="77777777" w:rsidR="009B5AA5" w:rsidRPr="00FA3F9C" w:rsidRDefault="009B5AA5" w:rsidP="00FC1E85">
            <w:pPr>
              <w:pStyle w:val="ListParagraph"/>
              <w:numPr>
                <w:ilvl w:val="0"/>
                <w:numId w:val="394"/>
              </w:numPr>
              <w:rPr>
                <w:rFonts w:ascii="Arial" w:hAnsi="Arial" w:cs="Arial"/>
                <w:b/>
                <w:sz w:val="24"/>
                <w:szCs w:val="24"/>
                <w:u w:val="single"/>
              </w:rPr>
            </w:pPr>
            <w:r w:rsidRPr="00FA3F9C">
              <w:rPr>
                <w:rFonts w:ascii="Arial" w:hAnsi="Arial" w:cs="Arial"/>
                <w:sz w:val="24"/>
                <w:szCs w:val="24"/>
              </w:rPr>
              <w:t xml:space="preserve"> The prescriber must attest to having prescribed other pain relief methods (physical therapy)</w:t>
            </w:r>
          </w:p>
        </w:tc>
      </w:tr>
      <w:tr w:rsidR="009B5AA5" w:rsidRPr="00FA3F9C" w14:paraId="2873F833" w14:textId="77777777" w:rsidTr="005B18BD">
        <w:tc>
          <w:tcPr>
            <w:tcW w:w="11016" w:type="dxa"/>
          </w:tcPr>
          <w:p w14:paraId="63149A65" w14:textId="77777777" w:rsidR="009B5AA5" w:rsidRPr="00FA3F9C" w:rsidRDefault="009B5AA5" w:rsidP="00FC1E85">
            <w:pPr>
              <w:pStyle w:val="ListParagraph"/>
              <w:numPr>
                <w:ilvl w:val="0"/>
                <w:numId w:val="394"/>
              </w:numPr>
              <w:rPr>
                <w:rFonts w:ascii="Arial" w:hAnsi="Arial" w:cs="Arial"/>
                <w:sz w:val="24"/>
                <w:szCs w:val="24"/>
              </w:rPr>
            </w:pPr>
            <w:r w:rsidRPr="00FA3F9C">
              <w:rPr>
                <w:rFonts w:ascii="Arial" w:hAnsi="Arial" w:cs="Arial"/>
                <w:sz w:val="24"/>
                <w:szCs w:val="24"/>
              </w:rPr>
              <w:t xml:space="preserve"> The prescriber must be </w:t>
            </w:r>
            <w:proofErr w:type="gramStart"/>
            <w:r w:rsidRPr="00FA3F9C">
              <w:rPr>
                <w:rFonts w:ascii="Arial" w:hAnsi="Arial" w:cs="Arial"/>
                <w:sz w:val="24"/>
                <w:szCs w:val="24"/>
              </w:rPr>
              <w:t>attest</w:t>
            </w:r>
            <w:proofErr w:type="gramEnd"/>
            <w:r w:rsidRPr="00FA3F9C">
              <w:rPr>
                <w:rFonts w:ascii="Arial" w:hAnsi="Arial" w:cs="Arial"/>
                <w:sz w:val="24"/>
                <w:szCs w:val="24"/>
              </w:rPr>
              <w:t xml:space="preserve"> to checking the AR Prescription Monitoring Program and provide the date of the most recent query:_____/_____/_____</w:t>
            </w:r>
          </w:p>
        </w:tc>
      </w:tr>
      <w:tr w:rsidR="009B5AA5" w:rsidRPr="00FA3F9C" w14:paraId="60E8998D" w14:textId="77777777" w:rsidTr="005B18BD">
        <w:tc>
          <w:tcPr>
            <w:tcW w:w="11016" w:type="dxa"/>
          </w:tcPr>
          <w:p w14:paraId="04057866" w14:textId="77777777" w:rsidR="009B5AA5" w:rsidRPr="00FA3F9C" w:rsidRDefault="009B5AA5" w:rsidP="00FC1E85">
            <w:pPr>
              <w:pStyle w:val="ListParagraph"/>
              <w:numPr>
                <w:ilvl w:val="0"/>
                <w:numId w:val="394"/>
              </w:numPr>
              <w:rPr>
                <w:rFonts w:ascii="Arial" w:hAnsi="Arial" w:cs="Arial"/>
                <w:b/>
                <w:sz w:val="24"/>
                <w:szCs w:val="24"/>
                <w:u w:val="single"/>
              </w:rPr>
            </w:pPr>
            <w:r w:rsidRPr="00FA3F9C">
              <w:rPr>
                <w:rFonts w:ascii="Arial" w:hAnsi="Arial" w:cs="Arial"/>
                <w:sz w:val="24"/>
                <w:szCs w:val="24"/>
              </w:rPr>
              <w:t xml:space="preserve"> After checking the PMP, the prescriber must agree to being one of not more than 2 prescribers of opiates for the patient and have a written pain contract in the patient’s medical record.</w:t>
            </w:r>
          </w:p>
        </w:tc>
      </w:tr>
      <w:tr w:rsidR="009B5AA5" w:rsidRPr="00FA3F9C" w14:paraId="77FF4A54" w14:textId="77777777" w:rsidTr="005B18BD">
        <w:tc>
          <w:tcPr>
            <w:tcW w:w="11016" w:type="dxa"/>
          </w:tcPr>
          <w:p w14:paraId="56578E6A" w14:textId="77777777" w:rsidR="009B5AA5" w:rsidRPr="00FA3F9C" w:rsidRDefault="009B5AA5" w:rsidP="00FC1E85">
            <w:pPr>
              <w:pStyle w:val="ListParagraph"/>
              <w:numPr>
                <w:ilvl w:val="0"/>
                <w:numId w:val="394"/>
              </w:numPr>
              <w:rPr>
                <w:rFonts w:ascii="Arial" w:hAnsi="Arial" w:cs="Arial"/>
                <w:b/>
                <w:sz w:val="24"/>
                <w:szCs w:val="24"/>
                <w:u w:val="single"/>
              </w:rPr>
            </w:pPr>
            <w:r w:rsidRPr="00FA3F9C">
              <w:rPr>
                <w:rFonts w:ascii="Arial" w:hAnsi="Arial" w:cs="Arial"/>
                <w:sz w:val="24"/>
                <w:szCs w:val="24"/>
              </w:rPr>
              <w:lastRenderedPageBreak/>
              <w:t>The prescriber must agree to order, complete, and document the results of the patient’s urine drug screen annually.</w:t>
            </w:r>
          </w:p>
        </w:tc>
      </w:tr>
      <w:tr w:rsidR="009B5AA5" w:rsidRPr="00FA3F9C" w14:paraId="2310A787" w14:textId="77777777" w:rsidTr="005B18BD">
        <w:tc>
          <w:tcPr>
            <w:tcW w:w="11016" w:type="dxa"/>
          </w:tcPr>
          <w:p w14:paraId="17D35FD8" w14:textId="77777777" w:rsidR="009B5AA5" w:rsidRPr="00FA3F9C" w:rsidRDefault="009B5AA5" w:rsidP="005B18BD">
            <w:pPr>
              <w:rPr>
                <w:rFonts w:ascii="Arial" w:hAnsi="Arial" w:cs="Arial"/>
                <w:b/>
                <w:sz w:val="24"/>
                <w:szCs w:val="24"/>
              </w:rPr>
            </w:pPr>
            <w:r w:rsidRPr="00FA3F9C">
              <w:rPr>
                <w:rFonts w:ascii="Arial" w:hAnsi="Arial" w:cs="Arial"/>
                <w:b/>
                <w:sz w:val="24"/>
                <w:szCs w:val="24"/>
              </w:rPr>
              <w:t>If these criteria are fulfilled, the PA may be approved for 1 year. 30 days’ supply, Allow up to 50 MME of combined total opioids.</w:t>
            </w:r>
          </w:p>
        </w:tc>
      </w:tr>
    </w:tbl>
    <w:p w14:paraId="50F7B983" w14:textId="77777777" w:rsidR="009B5AA5" w:rsidRPr="00FA3F9C" w:rsidRDefault="009B5AA5" w:rsidP="006F623F">
      <w:pPr>
        <w:spacing w:after="0"/>
        <w:rPr>
          <w:rFonts w:ascii="Arial" w:hAnsi="Arial" w:cs="Arial"/>
          <w:b/>
          <w:sz w:val="24"/>
          <w:szCs w:val="24"/>
          <w:u w:val="single"/>
        </w:rPr>
      </w:pPr>
    </w:p>
    <w:tbl>
      <w:tblPr>
        <w:tblStyle w:val="TableGrid"/>
        <w:tblW w:w="0" w:type="auto"/>
        <w:tblLook w:val="04A0" w:firstRow="1" w:lastRow="0" w:firstColumn="1" w:lastColumn="0" w:noHBand="0" w:noVBand="1"/>
      </w:tblPr>
      <w:tblGrid>
        <w:gridCol w:w="11016"/>
      </w:tblGrid>
      <w:tr w:rsidR="009B5AA5" w:rsidRPr="00FA3F9C" w14:paraId="4740E69D" w14:textId="77777777" w:rsidTr="00CA3B27">
        <w:tc>
          <w:tcPr>
            <w:tcW w:w="11016" w:type="dxa"/>
            <w:shd w:val="clear" w:color="auto" w:fill="000000" w:themeFill="text1"/>
          </w:tcPr>
          <w:p w14:paraId="4A94BDC4" w14:textId="77777777" w:rsidR="009B5AA5" w:rsidRPr="00FA3F9C" w:rsidRDefault="009B5AA5" w:rsidP="00571CAB">
            <w:pPr>
              <w:rPr>
                <w:rFonts w:ascii="Arial" w:hAnsi="Arial" w:cs="Arial"/>
                <w:sz w:val="24"/>
                <w:szCs w:val="24"/>
              </w:rPr>
            </w:pPr>
            <w:r w:rsidRPr="00FA3F9C">
              <w:rPr>
                <w:rFonts w:ascii="Arial" w:hAnsi="Arial" w:cs="Arial"/>
                <w:sz w:val="24"/>
                <w:szCs w:val="24"/>
              </w:rPr>
              <w:t>ER OPIATES:  Criteria for continuation on ER</w:t>
            </w:r>
          </w:p>
        </w:tc>
      </w:tr>
      <w:tr w:rsidR="009B5AA5" w:rsidRPr="00FA3F9C" w14:paraId="52A461D7" w14:textId="77777777" w:rsidTr="001376D5">
        <w:tc>
          <w:tcPr>
            <w:tcW w:w="11016" w:type="dxa"/>
            <w:shd w:val="clear" w:color="auto" w:fill="auto"/>
          </w:tcPr>
          <w:p w14:paraId="1FDBE9C8" w14:textId="77777777" w:rsidR="009B5AA5" w:rsidRPr="00FA3F9C" w:rsidRDefault="009B5AA5" w:rsidP="00571CAB">
            <w:pPr>
              <w:rPr>
                <w:rFonts w:ascii="Arial" w:hAnsi="Arial" w:cs="Arial"/>
                <w:sz w:val="24"/>
                <w:szCs w:val="24"/>
              </w:rPr>
            </w:pPr>
          </w:p>
        </w:tc>
      </w:tr>
    </w:tbl>
    <w:p w14:paraId="074A5A30" w14:textId="77777777" w:rsidR="009B5AA5" w:rsidRPr="00FA3F9C" w:rsidRDefault="009B5AA5" w:rsidP="006F623F">
      <w:pPr>
        <w:spacing w:after="0"/>
        <w:rPr>
          <w:rFonts w:ascii="Arial" w:hAnsi="Arial" w:cs="Arial"/>
          <w:b/>
          <w:sz w:val="24"/>
          <w:szCs w:val="24"/>
          <w:u w:val="single"/>
        </w:rPr>
      </w:pPr>
    </w:p>
    <w:tbl>
      <w:tblPr>
        <w:tblStyle w:val="TableGrid"/>
        <w:tblW w:w="0" w:type="auto"/>
        <w:tblLook w:val="04A0" w:firstRow="1" w:lastRow="0" w:firstColumn="1" w:lastColumn="0" w:noHBand="0" w:noVBand="1"/>
      </w:tblPr>
      <w:tblGrid>
        <w:gridCol w:w="11016"/>
      </w:tblGrid>
      <w:tr w:rsidR="009B5AA5" w:rsidRPr="00FA3F9C" w14:paraId="29453E7C" w14:textId="77777777" w:rsidTr="00CA3B27">
        <w:tc>
          <w:tcPr>
            <w:tcW w:w="11016" w:type="dxa"/>
            <w:shd w:val="clear" w:color="auto" w:fill="000000" w:themeFill="text1"/>
          </w:tcPr>
          <w:p w14:paraId="4A729830" w14:textId="77777777" w:rsidR="009B5AA5" w:rsidRPr="00FA3F9C" w:rsidRDefault="009B5AA5" w:rsidP="005B18BD">
            <w:pPr>
              <w:rPr>
                <w:rFonts w:ascii="Arial" w:hAnsi="Arial" w:cs="Arial"/>
                <w:sz w:val="24"/>
                <w:szCs w:val="24"/>
              </w:rPr>
            </w:pPr>
            <w:r w:rsidRPr="00FA3F9C">
              <w:rPr>
                <w:rFonts w:ascii="Arial" w:hAnsi="Arial" w:cs="Arial"/>
                <w:sz w:val="24"/>
                <w:szCs w:val="24"/>
              </w:rPr>
              <w:t>IR OPIATES:  Criteria for continuation on ER</w:t>
            </w:r>
          </w:p>
        </w:tc>
      </w:tr>
      <w:tr w:rsidR="009B5AA5" w:rsidRPr="00FA3F9C" w14:paraId="6340519E" w14:textId="77777777" w:rsidTr="005B18BD">
        <w:tc>
          <w:tcPr>
            <w:tcW w:w="11016" w:type="dxa"/>
            <w:shd w:val="clear" w:color="auto" w:fill="auto"/>
          </w:tcPr>
          <w:p w14:paraId="607AD4BD" w14:textId="77777777" w:rsidR="009B5AA5" w:rsidRPr="00FA3F9C" w:rsidRDefault="009B5AA5" w:rsidP="005B18BD">
            <w:pPr>
              <w:rPr>
                <w:rFonts w:ascii="Arial" w:hAnsi="Arial" w:cs="Arial"/>
                <w:sz w:val="24"/>
                <w:szCs w:val="24"/>
              </w:rPr>
            </w:pPr>
          </w:p>
        </w:tc>
      </w:tr>
    </w:tbl>
    <w:p w14:paraId="3587F703" w14:textId="77777777" w:rsidR="009B5AA5" w:rsidRPr="00FA3F9C" w:rsidRDefault="009B5AA5"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008"/>
        <w:gridCol w:w="7470"/>
        <w:gridCol w:w="2538"/>
      </w:tblGrid>
      <w:tr w:rsidR="009B5AA5" w:rsidRPr="00FA3F9C" w14:paraId="5AF66026" w14:textId="77777777" w:rsidTr="00FE491B">
        <w:tc>
          <w:tcPr>
            <w:tcW w:w="1008" w:type="dxa"/>
          </w:tcPr>
          <w:p w14:paraId="3C1BF50C" w14:textId="77777777" w:rsidR="009B5AA5" w:rsidRPr="00FA3F9C" w:rsidRDefault="009B5AA5" w:rsidP="006F623F">
            <w:pPr>
              <w:rPr>
                <w:rFonts w:ascii="Arial" w:hAnsi="Arial" w:cs="Arial"/>
                <w:sz w:val="24"/>
                <w:szCs w:val="24"/>
              </w:rPr>
            </w:pPr>
            <w:r w:rsidRPr="00FA3F9C">
              <w:rPr>
                <w:rFonts w:ascii="Arial" w:hAnsi="Arial" w:cs="Arial"/>
                <w:sz w:val="24"/>
                <w:szCs w:val="24"/>
              </w:rPr>
              <w:t>Date</w:t>
            </w:r>
          </w:p>
        </w:tc>
        <w:tc>
          <w:tcPr>
            <w:tcW w:w="7470" w:type="dxa"/>
          </w:tcPr>
          <w:p w14:paraId="1794A7BA" w14:textId="77777777" w:rsidR="009B5AA5" w:rsidRPr="00FA3F9C" w:rsidRDefault="009B5AA5" w:rsidP="006F623F">
            <w:pPr>
              <w:rPr>
                <w:rFonts w:ascii="Arial" w:hAnsi="Arial" w:cs="Arial"/>
                <w:sz w:val="24"/>
                <w:szCs w:val="24"/>
              </w:rPr>
            </w:pPr>
            <w:r w:rsidRPr="00FA3F9C">
              <w:rPr>
                <w:rFonts w:ascii="Arial" w:hAnsi="Arial" w:cs="Arial"/>
                <w:sz w:val="24"/>
                <w:szCs w:val="24"/>
              </w:rPr>
              <w:t>What changed</w:t>
            </w:r>
          </w:p>
        </w:tc>
        <w:tc>
          <w:tcPr>
            <w:tcW w:w="2538" w:type="dxa"/>
          </w:tcPr>
          <w:p w14:paraId="3CF3404B" w14:textId="77777777" w:rsidR="009B5AA5" w:rsidRPr="00FA3F9C" w:rsidRDefault="009B5AA5" w:rsidP="006F623F">
            <w:pPr>
              <w:rPr>
                <w:rFonts w:ascii="Arial" w:hAnsi="Arial" w:cs="Arial"/>
                <w:sz w:val="24"/>
                <w:szCs w:val="24"/>
              </w:rPr>
            </w:pPr>
            <w:r w:rsidRPr="00FA3F9C">
              <w:rPr>
                <w:rFonts w:ascii="Arial" w:hAnsi="Arial" w:cs="Arial"/>
                <w:sz w:val="24"/>
                <w:szCs w:val="24"/>
              </w:rPr>
              <w:t>Pharmacist’s initials</w:t>
            </w:r>
          </w:p>
        </w:tc>
      </w:tr>
      <w:tr w:rsidR="009B5AA5" w:rsidRPr="00FA3F9C" w14:paraId="20410D4F" w14:textId="77777777" w:rsidTr="00FE491B">
        <w:tc>
          <w:tcPr>
            <w:tcW w:w="1008" w:type="dxa"/>
          </w:tcPr>
          <w:p w14:paraId="38D38904" w14:textId="77777777" w:rsidR="009B5AA5" w:rsidRPr="00FA3F9C" w:rsidRDefault="009B5AA5" w:rsidP="006F623F">
            <w:pPr>
              <w:rPr>
                <w:rFonts w:ascii="Arial" w:hAnsi="Arial" w:cs="Arial"/>
                <w:sz w:val="24"/>
                <w:szCs w:val="24"/>
              </w:rPr>
            </w:pPr>
            <w:r w:rsidRPr="00FA3F9C">
              <w:rPr>
                <w:rFonts w:ascii="Arial" w:hAnsi="Arial" w:cs="Arial"/>
                <w:sz w:val="24"/>
                <w:szCs w:val="24"/>
              </w:rPr>
              <w:t>9/1/17</w:t>
            </w:r>
          </w:p>
        </w:tc>
        <w:tc>
          <w:tcPr>
            <w:tcW w:w="7470" w:type="dxa"/>
          </w:tcPr>
          <w:p w14:paraId="263C37EB" w14:textId="77777777" w:rsidR="009B5AA5" w:rsidRPr="00FA3F9C" w:rsidRDefault="009B5AA5" w:rsidP="006F623F">
            <w:pPr>
              <w:rPr>
                <w:rFonts w:ascii="Arial" w:hAnsi="Arial" w:cs="Arial"/>
                <w:sz w:val="24"/>
                <w:szCs w:val="24"/>
              </w:rPr>
            </w:pPr>
            <w:r w:rsidRPr="00FA3F9C">
              <w:rPr>
                <w:rFonts w:ascii="Arial" w:hAnsi="Arial" w:cs="Arial"/>
                <w:sz w:val="24"/>
                <w:szCs w:val="24"/>
              </w:rPr>
              <w:t xml:space="preserve">We wrote the criteria.  </w:t>
            </w:r>
          </w:p>
        </w:tc>
        <w:tc>
          <w:tcPr>
            <w:tcW w:w="2538" w:type="dxa"/>
          </w:tcPr>
          <w:p w14:paraId="6F3A0790" w14:textId="5D3AC925" w:rsidR="009B5AA5" w:rsidRPr="00FA3F9C" w:rsidRDefault="009B5AA5" w:rsidP="006F623F">
            <w:pPr>
              <w:rPr>
                <w:rFonts w:ascii="Arial" w:hAnsi="Arial" w:cs="Arial"/>
                <w:sz w:val="24"/>
                <w:szCs w:val="24"/>
              </w:rPr>
            </w:pPr>
            <w:r w:rsidRPr="00FA3F9C">
              <w:rPr>
                <w:rFonts w:ascii="Arial" w:hAnsi="Arial" w:cs="Arial"/>
                <w:sz w:val="24"/>
                <w:szCs w:val="24"/>
              </w:rPr>
              <w:t>JJ/GB/</w:t>
            </w:r>
            <w:r w:rsidR="005C142D" w:rsidRPr="00FA3F9C">
              <w:rPr>
                <w:rFonts w:ascii="Arial" w:hAnsi="Arial" w:cs="Arial"/>
                <w:sz w:val="24"/>
                <w:szCs w:val="24"/>
              </w:rPr>
              <w:t>JK</w:t>
            </w:r>
          </w:p>
        </w:tc>
      </w:tr>
      <w:tr w:rsidR="009B5AA5" w:rsidRPr="00FA3F9C" w14:paraId="65BEB30F" w14:textId="77777777" w:rsidTr="00FE491B">
        <w:tc>
          <w:tcPr>
            <w:tcW w:w="1008" w:type="dxa"/>
          </w:tcPr>
          <w:p w14:paraId="7AA85C0C" w14:textId="77777777" w:rsidR="009B5AA5" w:rsidRPr="00FA3F9C" w:rsidRDefault="009B5AA5" w:rsidP="006F623F">
            <w:pPr>
              <w:rPr>
                <w:rFonts w:ascii="Arial" w:hAnsi="Arial" w:cs="Arial"/>
                <w:sz w:val="24"/>
                <w:szCs w:val="24"/>
              </w:rPr>
            </w:pPr>
          </w:p>
        </w:tc>
        <w:tc>
          <w:tcPr>
            <w:tcW w:w="7470" w:type="dxa"/>
          </w:tcPr>
          <w:p w14:paraId="27E03C16" w14:textId="77777777" w:rsidR="009B5AA5" w:rsidRPr="00FA3F9C" w:rsidRDefault="009B5AA5" w:rsidP="00756A11">
            <w:pPr>
              <w:rPr>
                <w:rFonts w:ascii="Arial" w:hAnsi="Arial" w:cs="Arial"/>
                <w:sz w:val="24"/>
                <w:szCs w:val="24"/>
              </w:rPr>
            </w:pPr>
            <w:r w:rsidRPr="00FA3F9C">
              <w:rPr>
                <w:rFonts w:ascii="Arial" w:hAnsi="Arial" w:cs="Arial"/>
                <w:sz w:val="24"/>
                <w:szCs w:val="24"/>
              </w:rPr>
              <w:t>Claim denials at the pharmacy counter:</w:t>
            </w:r>
          </w:p>
          <w:p w14:paraId="606DD80E" w14:textId="77777777" w:rsidR="009B5AA5" w:rsidRPr="00FA3F9C" w:rsidRDefault="009B5AA5" w:rsidP="00756A11">
            <w:pPr>
              <w:rPr>
                <w:rFonts w:ascii="Arial" w:hAnsi="Arial" w:cs="Arial"/>
                <w:sz w:val="24"/>
                <w:szCs w:val="24"/>
              </w:rPr>
            </w:pPr>
            <w:r w:rsidRPr="00FA3F9C">
              <w:rPr>
                <w:rFonts w:ascii="Arial" w:hAnsi="Arial" w:cs="Arial"/>
                <w:sz w:val="24"/>
                <w:szCs w:val="24"/>
              </w:rPr>
              <w:t>o   </w:t>
            </w:r>
            <w:r w:rsidRPr="00FA3F9C">
              <w:rPr>
                <w:rFonts w:ascii="Arial" w:hAnsi="Arial" w:cs="Arial"/>
                <w:b/>
                <w:bCs/>
                <w:sz w:val="24"/>
                <w:szCs w:val="24"/>
              </w:rPr>
              <w:t>Fast acting</w:t>
            </w:r>
            <w:r w:rsidRPr="00FA3F9C">
              <w:rPr>
                <w:rFonts w:ascii="Arial" w:hAnsi="Arial" w:cs="Arial"/>
                <w:sz w:val="24"/>
                <w:szCs w:val="24"/>
              </w:rPr>
              <w:t xml:space="preserve">: These claims that hit either over the </w:t>
            </w:r>
            <w:proofErr w:type="gramStart"/>
            <w:r w:rsidRPr="00FA3F9C">
              <w:rPr>
                <w:rFonts w:ascii="Arial" w:hAnsi="Arial" w:cs="Arial"/>
                <w:sz w:val="24"/>
                <w:szCs w:val="24"/>
              </w:rPr>
              <w:t>7 day</w:t>
            </w:r>
            <w:proofErr w:type="gramEnd"/>
            <w:r w:rsidRPr="00FA3F9C">
              <w:rPr>
                <w:rFonts w:ascii="Arial" w:hAnsi="Arial" w:cs="Arial"/>
                <w:sz w:val="24"/>
                <w:szCs w:val="24"/>
              </w:rPr>
              <w:t xml:space="preserve"> limit (8, 9, 10 days, </w:t>
            </w:r>
            <w:proofErr w:type="spellStart"/>
            <w:r w:rsidRPr="00FA3F9C">
              <w:rPr>
                <w:rFonts w:ascii="Arial" w:hAnsi="Arial" w:cs="Arial"/>
                <w:sz w:val="24"/>
                <w:szCs w:val="24"/>
              </w:rPr>
              <w:t>etc</w:t>
            </w:r>
            <w:proofErr w:type="spellEnd"/>
            <w:r w:rsidRPr="00FA3F9C">
              <w:rPr>
                <w:rFonts w:ascii="Arial" w:hAnsi="Arial" w:cs="Arial"/>
                <w:sz w:val="24"/>
                <w:szCs w:val="24"/>
              </w:rPr>
              <w:t>) or over the QL/day will deny with a message back to the pharmacy that reads: “Plan limitations exceeded. Plan covers 50MED/Day for 7 days at a time. Call EBRx at 855-757-9526 with questions.”</w:t>
            </w:r>
          </w:p>
          <w:p w14:paraId="71067689" w14:textId="77777777" w:rsidR="009B5AA5" w:rsidRPr="00FA3F9C" w:rsidRDefault="009B5AA5" w:rsidP="00756A11">
            <w:pPr>
              <w:rPr>
                <w:rFonts w:ascii="Arial" w:hAnsi="Arial" w:cs="Arial"/>
                <w:sz w:val="24"/>
                <w:szCs w:val="24"/>
              </w:rPr>
            </w:pPr>
            <w:r w:rsidRPr="00FA3F9C">
              <w:rPr>
                <w:rFonts w:ascii="Arial" w:hAnsi="Arial" w:cs="Arial"/>
                <w:sz w:val="24"/>
                <w:szCs w:val="24"/>
              </w:rPr>
              <w:t>o   </w:t>
            </w:r>
            <w:r w:rsidRPr="00FA3F9C">
              <w:rPr>
                <w:rFonts w:ascii="Arial" w:hAnsi="Arial" w:cs="Arial"/>
                <w:b/>
                <w:bCs/>
                <w:sz w:val="24"/>
                <w:szCs w:val="24"/>
              </w:rPr>
              <w:t>Long acting: </w:t>
            </w:r>
            <w:r w:rsidRPr="00FA3F9C">
              <w:rPr>
                <w:rFonts w:ascii="Arial" w:hAnsi="Arial" w:cs="Arial"/>
                <w:sz w:val="24"/>
                <w:szCs w:val="24"/>
              </w:rPr>
              <w:t>These claims deny with the normal PA required denial. Calls will be directed to the PA pharmacy line.</w:t>
            </w:r>
          </w:p>
          <w:p w14:paraId="1FFE63BA" w14:textId="77777777" w:rsidR="009B5AA5" w:rsidRPr="00FA3F9C" w:rsidRDefault="009B5AA5" w:rsidP="00756A11">
            <w:pPr>
              <w:rPr>
                <w:rFonts w:ascii="Arial" w:hAnsi="Arial" w:cs="Arial"/>
                <w:sz w:val="24"/>
                <w:szCs w:val="24"/>
              </w:rPr>
            </w:pPr>
            <w:r w:rsidRPr="00FA3F9C">
              <w:rPr>
                <w:rFonts w:ascii="Arial" w:hAnsi="Arial" w:cs="Arial"/>
                <w:sz w:val="24"/>
                <w:szCs w:val="24"/>
              </w:rPr>
              <w:t xml:space="preserve">-          PAs have been loaded on members who were identified as chronic opioid users. Anyone who used more than 60 days’ worth of opioid in a </w:t>
            </w:r>
            <w:proofErr w:type="gramStart"/>
            <w:r w:rsidRPr="00FA3F9C">
              <w:rPr>
                <w:rFonts w:ascii="Arial" w:hAnsi="Arial" w:cs="Arial"/>
                <w:sz w:val="24"/>
                <w:szCs w:val="24"/>
              </w:rPr>
              <w:t>90 day</w:t>
            </w:r>
            <w:proofErr w:type="gramEnd"/>
            <w:r w:rsidRPr="00FA3F9C">
              <w:rPr>
                <w:rFonts w:ascii="Arial" w:hAnsi="Arial" w:cs="Arial"/>
                <w:sz w:val="24"/>
                <w:szCs w:val="24"/>
              </w:rPr>
              <w:t xml:space="preserve"> time frame was granted a PA (and several others as well who weren’t quite within that time frame). This was a manual process, so there will be people who were missed in the initial file load due to human (aka – me) error. </w:t>
            </w:r>
            <w:proofErr w:type="gramStart"/>
            <w:r w:rsidRPr="00FA3F9C">
              <w:rPr>
                <w:rFonts w:ascii="Arial" w:hAnsi="Arial" w:cs="Arial"/>
                <w:sz w:val="24"/>
                <w:szCs w:val="24"/>
              </w:rPr>
              <w:t>Hopefully</w:t>
            </w:r>
            <w:proofErr w:type="gramEnd"/>
            <w:r w:rsidRPr="00FA3F9C">
              <w:rPr>
                <w:rFonts w:ascii="Arial" w:hAnsi="Arial" w:cs="Arial"/>
                <w:sz w:val="24"/>
                <w:szCs w:val="24"/>
              </w:rPr>
              <w:t xml:space="preserve"> those are minimal. </w:t>
            </w:r>
            <w:r w:rsidRPr="00FA3F9C">
              <w:rPr>
                <w:rFonts w:ascii="Arial" w:hAnsi="Arial" w:cs="Arial"/>
                <w:b/>
                <w:bCs/>
                <w:sz w:val="24"/>
                <w:szCs w:val="24"/>
              </w:rPr>
              <w:t xml:space="preserve">If someone calls in stating they </w:t>
            </w:r>
            <w:proofErr w:type="gramStart"/>
            <w:r w:rsidRPr="00FA3F9C">
              <w:rPr>
                <w:rFonts w:ascii="Arial" w:hAnsi="Arial" w:cs="Arial"/>
                <w:b/>
                <w:bCs/>
                <w:sz w:val="24"/>
                <w:szCs w:val="24"/>
              </w:rPr>
              <w:t>can’t</w:t>
            </w:r>
            <w:proofErr w:type="gramEnd"/>
            <w:r w:rsidRPr="00FA3F9C">
              <w:rPr>
                <w:rFonts w:ascii="Arial" w:hAnsi="Arial" w:cs="Arial"/>
                <w:b/>
                <w:bCs/>
                <w:sz w:val="24"/>
                <w:szCs w:val="24"/>
              </w:rPr>
              <w:t xml:space="preserve"> get the claim to pay and the member has been getting opioids, first check the following:</w:t>
            </w:r>
          </w:p>
          <w:p w14:paraId="7D449715" w14:textId="77777777" w:rsidR="009B5AA5" w:rsidRPr="00FA3F9C" w:rsidRDefault="009B5AA5" w:rsidP="00756A11">
            <w:pPr>
              <w:rPr>
                <w:rFonts w:ascii="Arial" w:hAnsi="Arial" w:cs="Arial"/>
                <w:sz w:val="24"/>
                <w:szCs w:val="24"/>
              </w:rPr>
            </w:pPr>
            <w:r w:rsidRPr="00FA3F9C">
              <w:rPr>
                <w:rFonts w:ascii="Arial" w:hAnsi="Arial" w:cs="Arial"/>
                <w:sz w:val="24"/>
                <w:szCs w:val="24"/>
              </w:rPr>
              <w:t>o   Has the opioid changed? Opioid PAs are entered in at the HICL level (whereas most PAs are entered in at the GPID level.), so a member should be covered if the strength of the drug changes. (</w:t>
            </w:r>
            <w:proofErr w:type="gramStart"/>
            <w:r w:rsidRPr="00FA3F9C">
              <w:rPr>
                <w:rFonts w:ascii="Arial" w:hAnsi="Arial" w:cs="Arial"/>
                <w:sz w:val="24"/>
                <w:szCs w:val="24"/>
              </w:rPr>
              <w:t>i.e.</w:t>
            </w:r>
            <w:proofErr w:type="gramEnd"/>
            <w:r w:rsidRPr="00FA3F9C">
              <w:rPr>
                <w:rFonts w:ascii="Arial" w:hAnsi="Arial" w:cs="Arial"/>
                <w:sz w:val="24"/>
                <w:szCs w:val="24"/>
              </w:rPr>
              <w:t xml:space="preserve"> if Billy changes from hydrocodone-</w:t>
            </w:r>
            <w:proofErr w:type="spellStart"/>
            <w:r w:rsidRPr="00FA3F9C">
              <w:rPr>
                <w:rFonts w:ascii="Arial" w:hAnsi="Arial" w:cs="Arial"/>
                <w:sz w:val="24"/>
                <w:szCs w:val="24"/>
              </w:rPr>
              <w:t>apap</w:t>
            </w:r>
            <w:proofErr w:type="spellEnd"/>
            <w:r w:rsidRPr="00FA3F9C">
              <w:rPr>
                <w:rFonts w:ascii="Arial" w:hAnsi="Arial" w:cs="Arial"/>
                <w:sz w:val="24"/>
                <w:szCs w:val="24"/>
              </w:rPr>
              <w:t xml:space="preserve"> 5-325 to hydrocodone-</w:t>
            </w:r>
            <w:proofErr w:type="spellStart"/>
            <w:r w:rsidRPr="00FA3F9C">
              <w:rPr>
                <w:rFonts w:ascii="Arial" w:hAnsi="Arial" w:cs="Arial"/>
                <w:sz w:val="24"/>
                <w:szCs w:val="24"/>
              </w:rPr>
              <w:t>apap</w:t>
            </w:r>
            <w:proofErr w:type="spellEnd"/>
            <w:r w:rsidRPr="00FA3F9C">
              <w:rPr>
                <w:rFonts w:ascii="Arial" w:hAnsi="Arial" w:cs="Arial"/>
                <w:sz w:val="24"/>
                <w:szCs w:val="24"/>
              </w:rPr>
              <w:t xml:space="preserve"> </w:t>
            </w:r>
            <w:r w:rsidRPr="00FA3F9C">
              <w:rPr>
                <w:rFonts w:ascii="Arial" w:hAnsi="Arial" w:cs="Arial"/>
                <w:sz w:val="24"/>
                <w:szCs w:val="24"/>
              </w:rPr>
              <w:lastRenderedPageBreak/>
              <w:t>10-325, his PA will still work for that. However, if Billy switches from hydrocodone to oxycodone, the PA will not pick up.) For now, if this happens, please call or send a task to pharmacy services to confirm a PA update can be done.</w:t>
            </w:r>
          </w:p>
          <w:p w14:paraId="4B64E987" w14:textId="77777777" w:rsidR="009B5AA5" w:rsidRPr="00FA3F9C" w:rsidRDefault="009B5AA5" w:rsidP="00756A11">
            <w:pPr>
              <w:rPr>
                <w:rFonts w:ascii="Arial" w:hAnsi="Arial" w:cs="Arial"/>
                <w:sz w:val="24"/>
                <w:szCs w:val="24"/>
              </w:rPr>
            </w:pPr>
            <w:r w:rsidRPr="00FA3F9C">
              <w:rPr>
                <w:rFonts w:ascii="Arial" w:hAnsi="Arial" w:cs="Arial"/>
                <w:sz w:val="24"/>
                <w:szCs w:val="24"/>
              </w:rPr>
              <w:t xml:space="preserve">o   No PA exists, but the pharmacy states the member is a chronic user and/or states that the member has an ongoing (not new) cancer </w:t>
            </w:r>
            <w:proofErr w:type="gramStart"/>
            <w:r w:rsidRPr="00FA3F9C">
              <w:rPr>
                <w:rFonts w:ascii="Arial" w:hAnsi="Arial" w:cs="Arial"/>
                <w:sz w:val="24"/>
                <w:szCs w:val="24"/>
              </w:rPr>
              <w:t>diagnosis</w:t>
            </w:r>
            <w:proofErr w:type="gramEnd"/>
            <w:r w:rsidRPr="00FA3F9C">
              <w:rPr>
                <w:rFonts w:ascii="Arial" w:hAnsi="Arial" w:cs="Arial"/>
                <w:sz w:val="24"/>
                <w:szCs w:val="24"/>
              </w:rPr>
              <w:t xml:space="preserve"> and they should not be subject to the limits: please gather as much info as you can from the pharmacy, and then call or send a task to pharmacy services so that someone can research the patient’s history.</w:t>
            </w:r>
          </w:p>
          <w:p w14:paraId="795FC545" w14:textId="77777777" w:rsidR="009B5AA5" w:rsidRPr="00FA3F9C" w:rsidRDefault="009B5AA5" w:rsidP="00756A11">
            <w:pPr>
              <w:rPr>
                <w:rFonts w:ascii="Arial" w:hAnsi="Arial" w:cs="Arial"/>
                <w:sz w:val="24"/>
                <w:szCs w:val="24"/>
              </w:rPr>
            </w:pPr>
            <w:r w:rsidRPr="00FA3F9C">
              <w:rPr>
                <w:rFonts w:ascii="Arial" w:hAnsi="Arial" w:cs="Arial"/>
                <w:sz w:val="24"/>
                <w:szCs w:val="24"/>
              </w:rPr>
              <w:t>o   Has the patient filled another opioid in the last 7 days, thus explaining the denial? </w:t>
            </w:r>
            <w:r w:rsidRPr="00FA3F9C">
              <w:rPr>
                <w:rFonts w:ascii="Arial" w:hAnsi="Arial" w:cs="Arial"/>
                <w:b/>
                <w:bCs/>
                <w:sz w:val="24"/>
                <w:szCs w:val="24"/>
              </w:rPr>
              <w:t>Opioid claims will follow the same refill logic as other medications</w:t>
            </w:r>
            <w:r w:rsidRPr="00FA3F9C">
              <w:rPr>
                <w:rFonts w:ascii="Arial" w:hAnsi="Arial" w:cs="Arial"/>
                <w:sz w:val="24"/>
                <w:szCs w:val="24"/>
              </w:rPr>
              <w:t xml:space="preserve">. Meaning, a new claim will pay at 75% of the previous claim’s day supply. A </w:t>
            </w:r>
            <w:proofErr w:type="gramStart"/>
            <w:r w:rsidRPr="00FA3F9C">
              <w:rPr>
                <w:rFonts w:ascii="Arial" w:hAnsi="Arial" w:cs="Arial"/>
                <w:sz w:val="24"/>
                <w:szCs w:val="24"/>
              </w:rPr>
              <w:t>7 day</w:t>
            </w:r>
            <w:proofErr w:type="gramEnd"/>
            <w:r w:rsidRPr="00FA3F9C">
              <w:rPr>
                <w:rFonts w:ascii="Arial" w:hAnsi="Arial" w:cs="Arial"/>
                <w:sz w:val="24"/>
                <w:szCs w:val="24"/>
              </w:rPr>
              <w:t xml:space="preserve"> claim will allow for a refill at 5.5 days.</w:t>
            </w:r>
          </w:p>
          <w:p w14:paraId="6A1FD11D" w14:textId="77777777" w:rsidR="009B5AA5" w:rsidRPr="00FA3F9C" w:rsidRDefault="009B5AA5" w:rsidP="00756A11">
            <w:pPr>
              <w:rPr>
                <w:rFonts w:ascii="Arial" w:hAnsi="Arial" w:cs="Arial"/>
                <w:sz w:val="24"/>
                <w:szCs w:val="24"/>
              </w:rPr>
            </w:pPr>
            <w:r w:rsidRPr="00FA3F9C">
              <w:rPr>
                <w:rFonts w:ascii="Arial" w:hAnsi="Arial" w:cs="Arial"/>
                <w:sz w:val="24"/>
                <w:szCs w:val="24"/>
              </w:rPr>
              <w:t xml:space="preserve">-          Pharmacists: an updated spreadsheet with QLs for the </w:t>
            </w:r>
            <w:proofErr w:type="gramStart"/>
            <w:r w:rsidRPr="00FA3F9C">
              <w:rPr>
                <w:rFonts w:ascii="Arial" w:hAnsi="Arial" w:cs="Arial"/>
                <w:sz w:val="24"/>
                <w:szCs w:val="24"/>
              </w:rPr>
              <w:t>long acting</w:t>
            </w:r>
            <w:proofErr w:type="gramEnd"/>
            <w:r w:rsidRPr="00FA3F9C">
              <w:rPr>
                <w:rFonts w:ascii="Arial" w:hAnsi="Arial" w:cs="Arial"/>
                <w:sz w:val="24"/>
                <w:szCs w:val="24"/>
              </w:rPr>
              <w:t xml:space="preserve"> opioids will be sent your way. When entering PAs on these members, please enter the PA at the GPID level. Also, please enter QL approved. The maximum for most people will be 50MED/day for 30 days on long acting. To do this, it will be the same as our normal QL PAs, but </w:t>
            </w:r>
            <w:proofErr w:type="gramStart"/>
            <w:r w:rsidRPr="00FA3F9C">
              <w:rPr>
                <w:rFonts w:ascii="Arial" w:hAnsi="Arial" w:cs="Arial"/>
                <w:sz w:val="24"/>
                <w:szCs w:val="24"/>
              </w:rPr>
              <w:t>we’ll</w:t>
            </w:r>
            <w:proofErr w:type="gramEnd"/>
            <w:r w:rsidRPr="00FA3F9C">
              <w:rPr>
                <w:rFonts w:ascii="Arial" w:hAnsi="Arial" w:cs="Arial"/>
                <w:sz w:val="24"/>
                <w:szCs w:val="24"/>
              </w:rPr>
              <w:t xml:space="preserve"> want to make sure to enter in the max DS as well. Under overrides, </w:t>
            </w:r>
            <w:proofErr w:type="gramStart"/>
            <w:r w:rsidRPr="00FA3F9C">
              <w:rPr>
                <w:rFonts w:ascii="Arial" w:hAnsi="Arial" w:cs="Arial"/>
                <w:sz w:val="24"/>
                <w:szCs w:val="24"/>
              </w:rPr>
              <w:t>you’ll</w:t>
            </w:r>
            <w:proofErr w:type="gramEnd"/>
            <w:r w:rsidRPr="00FA3F9C">
              <w:rPr>
                <w:rFonts w:ascii="Arial" w:hAnsi="Arial" w:cs="Arial"/>
                <w:sz w:val="24"/>
                <w:szCs w:val="24"/>
              </w:rPr>
              <w:t xml:space="preserve"> enter in your quantity under Max Qty Supply and 30 under the max day supply.</w:t>
            </w:r>
          </w:p>
          <w:p w14:paraId="61A638D9" w14:textId="77777777" w:rsidR="009B5AA5" w:rsidRPr="00FA3F9C" w:rsidRDefault="009B5AA5" w:rsidP="00756A11">
            <w:pPr>
              <w:rPr>
                <w:rFonts w:ascii="Arial" w:hAnsi="Arial" w:cs="Arial"/>
                <w:sz w:val="24"/>
                <w:szCs w:val="24"/>
              </w:rPr>
            </w:pPr>
          </w:p>
          <w:p w14:paraId="40DFCB94" w14:textId="77777777" w:rsidR="009B5AA5" w:rsidRPr="00FA3F9C" w:rsidRDefault="009B5AA5" w:rsidP="00FC1E85">
            <w:pPr>
              <w:numPr>
                <w:ilvl w:val="0"/>
                <w:numId w:val="395"/>
              </w:numPr>
              <w:spacing w:before="60" w:after="60"/>
              <w:rPr>
                <w:rFonts w:ascii="Arial" w:hAnsi="Arial" w:cs="Arial"/>
                <w:sz w:val="24"/>
                <w:szCs w:val="24"/>
              </w:rPr>
            </w:pPr>
            <w:r w:rsidRPr="00FA3F9C">
              <w:rPr>
                <w:rFonts w:ascii="Arial" w:hAnsi="Arial" w:cs="Arial"/>
                <w:b/>
                <w:bCs/>
                <w:sz w:val="24"/>
                <w:szCs w:val="24"/>
              </w:rPr>
              <w:t>Fast acting</w:t>
            </w:r>
            <w:r w:rsidRPr="00FA3F9C">
              <w:rPr>
                <w:rFonts w:ascii="Arial" w:hAnsi="Arial" w:cs="Arial"/>
                <w:sz w:val="24"/>
                <w:szCs w:val="24"/>
              </w:rPr>
              <w:t xml:space="preserve"> opioids listed on the attached spreadsheet will have a set quantity limit per 7 DS depending on the drug.  The qty allowed per 7 days is noted in column “L”</w:t>
            </w:r>
          </w:p>
          <w:p w14:paraId="6491B213" w14:textId="77777777" w:rsidR="009B5AA5" w:rsidRPr="00FA3F9C" w:rsidRDefault="009B5AA5" w:rsidP="00FC1E85">
            <w:pPr>
              <w:numPr>
                <w:ilvl w:val="0"/>
                <w:numId w:val="395"/>
              </w:numPr>
              <w:spacing w:before="60" w:after="60"/>
              <w:rPr>
                <w:rFonts w:ascii="Arial" w:hAnsi="Arial" w:cs="Arial"/>
                <w:sz w:val="24"/>
                <w:szCs w:val="24"/>
              </w:rPr>
            </w:pPr>
            <w:r w:rsidRPr="00FA3F9C">
              <w:rPr>
                <w:rFonts w:ascii="Arial" w:hAnsi="Arial" w:cs="Arial"/>
                <w:b/>
                <w:bCs/>
                <w:sz w:val="24"/>
                <w:szCs w:val="24"/>
              </w:rPr>
              <w:t>Fast acting</w:t>
            </w:r>
            <w:r w:rsidRPr="00FA3F9C">
              <w:rPr>
                <w:rFonts w:ascii="Arial" w:hAnsi="Arial" w:cs="Arial"/>
                <w:sz w:val="24"/>
                <w:szCs w:val="24"/>
              </w:rPr>
              <w:t xml:space="preserve"> opioids listed on the attached spreadsheet should not exceed more than a </w:t>
            </w:r>
            <w:proofErr w:type="gramStart"/>
            <w:r w:rsidRPr="00FA3F9C">
              <w:rPr>
                <w:rFonts w:ascii="Arial" w:hAnsi="Arial" w:cs="Arial"/>
                <w:sz w:val="24"/>
                <w:szCs w:val="24"/>
              </w:rPr>
              <w:t>90 day</w:t>
            </w:r>
            <w:proofErr w:type="gramEnd"/>
            <w:r w:rsidRPr="00FA3F9C">
              <w:rPr>
                <w:rFonts w:ascii="Arial" w:hAnsi="Arial" w:cs="Arial"/>
                <w:sz w:val="24"/>
                <w:szCs w:val="24"/>
              </w:rPr>
              <w:t xml:space="preserve"> supply in a 6 month period cumulatively. </w:t>
            </w:r>
          </w:p>
          <w:p w14:paraId="44695D6A" w14:textId="77777777" w:rsidR="009B5AA5" w:rsidRPr="00FA3F9C" w:rsidRDefault="009B5AA5" w:rsidP="00FC1E85">
            <w:pPr>
              <w:numPr>
                <w:ilvl w:val="0"/>
                <w:numId w:val="395"/>
              </w:numPr>
              <w:spacing w:before="60" w:after="60"/>
              <w:rPr>
                <w:rFonts w:ascii="Arial" w:hAnsi="Arial" w:cs="Arial"/>
                <w:sz w:val="24"/>
                <w:szCs w:val="24"/>
              </w:rPr>
            </w:pPr>
            <w:proofErr w:type="gramStart"/>
            <w:r w:rsidRPr="00FA3F9C">
              <w:rPr>
                <w:rFonts w:ascii="Arial" w:hAnsi="Arial" w:cs="Arial"/>
                <w:b/>
                <w:bCs/>
                <w:sz w:val="24"/>
                <w:szCs w:val="24"/>
              </w:rPr>
              <w:t>Long acting</w:t>
            </w:r>
            <w:proofErr w:type="gramEnd"/>
            <w:r w:rsidRPr="00FA3F9C">
              <w:rPr>
                <w:rFonts w:ascii="Arial" w:hAnsi="Arial" w:cs="Arial"/>
                <w:sz w:val="24"/>
                <w:szCs w:val="24"/>
              </w:rPr>
              <w:t xml:space="preserve"> opioids listed on the attached spreadsheet should be coded as PA required.</w:t>
            </w:r>
          </w:p>
          <w:p w14:paraId="19319589" w14:textId="77777777" w:rsidR="009B5AA5" w:rsidRPr="00FA3F9C" w:rsidRDefault="009B5AA5" w:rsidP="00FC1E85">
            <w:pPr>
              <w:numPr>
                <w:ilvl w:val="0"/>
                <w:numId w:val="395"/>
              </w:numPr>
              <w:spacing w:before="60" w:after="60"/>
              <w:rPr>
                <w:rFonts w:ascii="Arial" w:hAnsi="Arial" w:cs="Arial"/>
                <w:sz w:val="24"/>
                <w:szCs w:val="24"/>
              </w:rPr>
            </w:pPr>
            <w:r w:rsidRPr="00FA3F9C">
              <w:rPr>
                <w:rFonts w:ascii="Arial" w:hAnsi="Arial" w:cs="Arial"/>
                <w:sz w:val="24"/>
                <w:szCs w:val="24"/>
              </w:rPr>
              <w:lastRenderedPageBreak/>
              <w:t xml:space="preserve">A member should not be able to fill two opioids at the same time. </w:t>
            </w:r>
            <w:r w:rsidRPr="00FA3F9C">
              <w:rPr>
                <w:rFonts w:ascii="Arial" w:hAnsi="Arial" w:cs="Arial"/>
                <w:color w:val="1F497D"/>
                <w:sz w:val="24"/>
                <w:szCs w:val="24"/>
              </w:rPr>
              <w:t>Example:  member is on their 3</w:t>
            </w:r>
            <w:r w:rsidRPr="00FA3F9C">
              <w:rPr>
                <w:rFonts w:ascii="Arial" w:hAnsi="Arial" w:cs="Arial"/>
                <w:color w:val="1F497D"/>
                <w:sz w:val="24"/>
                <w:szCs w:val="24"/>
                <w:vertAlign w:val="superscript"/>
              </w:rPr>
              <w:t>rd</w:t>
            </w:r>
            <w:r w:rsidRPr="00FA3F9C">
              <w:rPr>
                <w:rFonts w:ascii="Arial" w:hAnsi="Arial" w:cs="Arial"/>
                <w:color w:val="1F497D"/>
                <w:sz w:val="24"/>
                <w:szCs w:val="24"/>
              </w:rPr>
              <w:t xml:space="preserve"> day of Tramadol and tries to fill an RX for Hydromorphone HCL.  The claim for Hydromorphone should deny.</w:t>
            </w:r>
          </w:p>
          <w:p w14:paraId="1E425D12" w14:textId="77777777" w:rsidR="009B5AA5" w:rsidRPr="00FA3F9C" w:rsidRDefault="009B5AA5" w:rsidP="00756A11">
            <w:pPr>
              <w:rPr>
                <w:rFonts w:ascii="Arial" w:hAnsi="Arial" w:cs="Arial"/>
                <w:sz w:val="24"/>
                <w:szCs w:val="24"/>
              </w:rPr>
            </w:pPr>
          </w:p>
          <w:p w14:paraId="72F94D22" w14:textId="77777777" w:rsidR="009B5AA5" w:rsidRPr="00FA3F9C" w:rsidRDefault="009B5AA5" w:rsidP="006F623F">
            <w:pPr>
              <w:rPr>
                <w:rFonts w:ascii="Arial" w:hAnsi="Arial" w:cs="Arial"/>
                <w:sz w:val="24"/>
                <w:szCs w:val="24"/>
              </w:rPr>
            </w:pPr>
          </w:p>
        </w:tc>
        <w:tc>
          <w:tcPr>
            <w:tcW w:w="2538" w:type="dxa"/>
          </w:tcPr>
          <w:p w14:paraId="61110A22" w14:textId="77777777" w:rsidR="009B5AA5" w:rsidRPr="00FA3F9C" w:rsidRDefault="009B5AA5" w:rsidP="006F623F">
            <w:pPr>
              <w:rPr>
                <w:rFonts w:ascii="Arial" w:hAnsi="Arial" w:cs="Arial"/>
                <w:sz w:val="24"/>
                <w:szCs w:val="24"/>
              </w:rPr>
            </w:pPr>
          </w:p>
        </w:tc>
      </w:tr>
    </w:tbl>
    <w:p w14:paraId="5FE83830" w14:textId="77777777" w:rsidR="009B5AA5" w:rsidRPr="00FA3F9C" w:rsidRDefault="009B5AA5" w:rsidP="006F623F">
      <w:pPr>
        <w:spacing w:after="0"/>
        <w:rPr>
          <w:rFonts w:ascii="Arial" w:hAnsi="Arial" w:cs="Arial"/>
          <w:sz w:val="24"/>
          <w:szCs w:val="24"/>
        </w:rPr>
      </w:pPr>
    </w:p>
    <w:p w14:paraId="5A1B285B" w14:textId="77777777" w:rsidR="00EF3B65" w:rsidRDefault="009B5AA5" w:rsidP="00EF3B65">
      <w:pPr>
        <w:pStyle w:val="Heading2"/>
      </w:pPr>
      <w:bookmarkStart w:id="242" w:name="_Toc106369879"/>
      <w:proofErr w:type="spellStart"/>
      <w:r w:rsidRPr="00FA3F9C">
        <w:t>Osilodrostat</w:t>
      </w:r>
      <w:proofErr w:type="spellEnd"/>
      <w:r w:rsidRPr="00FA3F9C">
        <w:t xml:space="preserve"> (</w:t>
      </w:r>
      <w:proofErr w:type="spellStart"/>
      <w:r w:rsidRPr="00FA3F9C">
        <w:t>Isturisa</w:t>
      </w:r>
      <w:proofErr w:type="spellEnd"/>
      <w:r w:rsidRPr="00FA3F9C">
        <w:t>)</w:t>
      </w:r>
      <w:bookmarkEnd w:id="242"/>
      <w:r w:rsidRPr="00FA3F9C">
        <w:t xml:space="preserve"> </w:t>
      </w:r>
    </w:p>
    <w:p w14:paraId="33796F60" w14:textId="36FE6FFE" w:rsidR="009B5AA5" w:rsidRPr="00FA3F9C" w:rsidRDefault="009B5AA5" w:rsidP="006F623F">
      <w:pPr>
        <w:spacing w:after="0"/>
        <w:jc w:val="center"/>
        <w:rPr>
          <w:rFonts w:ascii="Arial" w:hAnsi="Arial" w:cs="Arial"/>
          <w:sz w:val="24"/>
          <w:szCs w:val="24"/>
        </w:rPr>
      </w:pPr>
      <w:r w:rsidRPr="00FA3F9C">
        <w:rPr>
          <w:rFonts w:ascii="Arial" w:hAnsi="Arial" w:cs="Arial"/>
          <w:sz w:val="24"/>
          <w:szCs w:val="24"/>
        </w:rPr>
        <w:t>1,5,10mg tablets</w:t>
      </w:r>
    </w:p>
    <w:p w14:paraId="54B27F01" w14:textId="77777777" w:rsidR="009B5AA5" w:rsidRPr="00FA3F9C" w:rsidRDefault="009B5AA5" w:rsidP="006F623F">
      <w:pPr>
        <w:spacing w:after="0"/>
        <w:jc w:val="center"/>
        <w:rPr>
          <w:rFonts w:ascii="Arial" w:hAnsi="Arial" w:cs="Arial"/>
          <w:sz w:val="24"/>
          <w:szCs w:val="24"/>
        </w:rPr>
      </w:pPr>
      <w:r w:rsidRPr="00FA3F9C">
        <w:rPr>
          <w:rFonts w:ascii="Arial" w:hAnsi="Arial" w:cs="Arial"/>
          <w:sz w:val="24"/>
          <w:szCs w:val="24"/>
        </w:rPr>
        <w:t>EBRx PA Criteria</w:t>
      </w:r>
    </w:p>
    <w:p w14:paraId="5EBF2DFE" w14:textId="77777777" w:rsidR="009B5AA5" w:rsidRPr="00FA3F9C" w:rsidRDefault="009B5AA5" w:rsidP="006F623F">
      <w:pPr>
        <w:spacing w:after="0"/>
        <w:rPr>
          <w:rFonts w:ascii="Arial" w:hAnsi="Arial" w:cs="Arial"/>
          <w:b/>
          <w:sz w:val="24"/>
          <w:szCs w:val="24"/>
          <w:u w:val="single"/>
        </w:rPr>
      </w:pPr>
    </w:p>
    <w:p w14:paraId="675440F0" w14:textId="77777777" w:rsidR="009B5AA5" w:rsidRPr="00FA3F9C" w:rsidRDefault="009B5AA5"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treating Cushing disease</w:t>
      </w:r>
    </w:p>
    <w:tbl>
      <w:tblPr>
        <w:tblStyle w:val="TableGrid"/>
        <w:tblW w:w="0" w:type="auto"/>
        <w:tblLook w:val="04A0" w:firstRow="1" w:lastRow="0" w:firstColumn="1" w:lastColumn="0" w:noHBand="0" w:noVBand="1"/>
      </w:tblPr>
      <w:tblGrid>
        <w:gridCol w:w="8928"/>
        <w:gridCol w:w="2088"/>
      </w:tblGrid>
      <w:tr w:rsidR="009B5AA5" w:rsidRPr="00FA3F9C" w14:paraId="7C831D48" w14:textId="77777777" w:rsidTr="00571CAB">
        <w:tc>
          <w:tcPr>
            <w:tcW w:w="8928" w:type="dxa"/>
            <w:shd w:val="clear" w:color="auto" w:fill="000000"/>
          </w:tcPr>
          <w:p w14:paraId="264C24F6" w14:textId="77777777" w:rsidR="009B5AA5" w:rsidRPr="00FA3F9C" w:rsidRDefault="009B5AA5"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88" w:type="dxa"/>
            <w:shd w:val="clear" w:color="auto" w:fill="000000"/>
          </w:tcPr>
          <w:p w14:paraId="5232A8D0" w14:textId="77777777" w:rsidR="009B5AA5" w:rsidRPr="00FA3F9C" w:rsidRDefault="009B5AA5" w:rsidP="006F623F">
            <w:pPr>
              <w:jc w:val="center"/>
              <w:rPr>
                <w:rFonts w:ascii="Arial" w:hAnsi="Arial" w:cs="Arial"/>
                <w:b/>
                <w:sz w:val="24"/>
                <w:szCs w:val="24"/>
                <w:u w:val="single"/>
              </w:rPr>
            </w:pPr>
          </w:p>
        </w:tc>
      </w:tr>
      <w:tr w:rsidR="009B5AA5" w:rsidRPr="00FA3F9C" w14:paraId="2EC7CEB7" w14:textId="77777777" w:rsidTr="00F337AE">
        <w:tc>
          <w:tcPr>
            <w:tcW w:w="11016" w:type="dxa"/>
            <w:gridSpan w:val="2"/>
          </w:tcPr>
          <w:p w14:paraId="4D075EAC" w14:textId="77777777" w:rsidR="009B5AA5" w:rsidRPr="00FA3F9C" w:rsidRDefault="009B5AA5" w:rsidP="00FC1E85">
            <w:pPr>
              <w:pStyle w:val="ListParagraph"/>
              <w:numPr>
                <w:ilvl w:val="0"/>
                <w:numId w:val="396"/>
              </w:numPr>
              <w:rPr>
                <w:rFonts w:ascii="Arial" w:hAnsi="Arial" w:cs="Arial"/>
                <w:sz w:val="24"/>
                <w:szCs w:val="24"/>
              </w:rPr>
            </w:pPr>
            <w:r w:rsidRPr="00FA3F9C">
              <w:rPr>
                <w:rFonts w:ascii="Arial" w:hAnsi="Arial" w:cs="Arial"/>
                <w:sz w:val="24"/>
                <w:szCs w:val="24"/>
              </w:rPr>
              <w:t>Diagnosis of Cushing’s Disease</w:t>
            </w:r>
          </w:p>
        </w:tc>
      </w:tr>
      <w:tr w:rsidR="009B5AA5" w:rsidRPr="00FA3F9C" w14:paraId="63D5DECB" w14:textId="77777777" w:rsidTr="00B1617E">
        <w:tc>
          <w:tcPr>
            <w:tcW w:w="11016" w:type="dxa"/>
            <w:gridSpan w:val="2"/>
          </w:tcPr>
          <w:p w14:paraId="42522157" w14:textId="77777777" w:rsidR="009B5AA5" w:rsidRPr="00FA3F9C" w:rsidRDefault="009B5AA5" w:rsidP="00FC1E85">
            <w:pPr>
              <w:pStyle w:val="ListParagraph"/>
              <w:numPr>
                <w:ilvl w:val="0"/>
                <w:numId w:val="396"/>
              </w:numPr>
              <w:rPr>
                <w:rFonts w:ascii="Arial" w:hAnsi="Arial" w:cs="Arial"/>
                <w:sz w:val="24"/>
                <w:szCs w:val="24"/>
              </w:rPr>
            </w:pPr>
            <w:r w:rsidRPr="00FA3F9C">
              <w:rPr>
                <w:rFonts w:ascii="Arial" w:hAnsi="Arial" w:cs="Arial"/>
                <w:sz w:val="24"/>
                <w:szCs w:val="24"/>
              </w:rPr>
              <w:t>Patient must be age 18 years or older.</w:t>
            </w:r>
          </w:p>
        </w:tc>
      </w:tr>
      <w:tr w:rsidR="009B5AA5" w:rsidRPr="00FA3F9C" w14:paraId="5476D6C9" w14:textId="77777777" w:rsidTr="00B1617E">
        <w:tc>
          <w:tcPr>
            <w:tcW w:w="11016" w:type="dxa"/>
            <w:gridSpan w:val="2"/>
          </w:tcPr>
          <w:p w14:paraId="1ED109EF" w14:textId="77777777" w:rsidR="009B5AA5" w:rsidRPr="00FA3F9C" w:rsidRDefault="009B5AA5" w:rsidP="00FC1E85">
            <w:pPr>
              <w:pStyle w:val="ListParagraph"/>
              <w:numPr>
                <w:ilvl w:val="0"/>
                <w:numId w:val="396"/>
              </w:numPr>
              <w:rPr>
                <w:rFonts w:ascii="Arial" w:hAnsi="Arial" w:cs="Arial"/>
                <w:sz w:val="24"/>
                <w:szCs w:val="24"/>
              </w:rPr>
            </w:pPr>
            <w:r w:rsidRPr="00FA3F9C">
              <w:rPr>
                <w:rFonts w:ascii="Arial" w:hAnsi="Arial" w:cs="Arial"/>
                <w:sz w:val="24"/>
                <w:szCs w:val="24"/>
              </w:rPr>
              <w:t>The patient must be unable to be treated successfully with pituitary surgery and/or radiation.</w:t>
            </w:r>
          </w:p>
        </w:tc>
      </w:tr>
      <w:tr w:rsidR="009B5AA5" w:rsidRPr="00FA3F9C" w14:paraId="14ABE7A7" w14:textId="77777777" w:rsidTr="00B1617E">
        <w:tc>
          <w:tcPr>
            <w:tcW w:w="11016" w:type="dxa"/>
            <w:gridSpan w:val="2"/>
          </w:tcPr>
          <w:p w14:paraId="6E1AC95D" w14:textId="77777777" w:rsidR="009B5AA5" w:rsidRPr="00FA3F9C" w:rsidRDefault="009B5AA5" w:rsidP="00FC1E85">
            <w:pPr>
              <w:pStyle w:val="ListParagraph"/>
              <w:numPr>
                <w:ilvl w:val="0"/>
                <w:numId w:val="396"/>
              </w:numPr>
              <w:rPr>
                <w:rFonts w:ascii="Arial" w:hAnsi="Arial" w:cs="Arial"/>
                <w:sz w:val="24"/>
                <w:szCs w:val="24"/>
              </w:rPr>
            </w:pPr>
            <w:r w:rsidRPr="00FA3F9C">
              <w:rPr>
                <w:rFonts w:ascii="Arial" w:hAnsi="Arial" w:cs="Arial"/>
                <w:sz w:val="24"/>
                <w:szCs w:val="24"/>
              </w:rPr>
              <w:t>The patient must be unable to be treated with bilateral adrenalectomy.</w:t>
            </w:r>
          </w:p>
        </w:tc>
      </w:tr>
      <w:tr w:rsidR="009B5AA5" w:rsidRPr="00FA3F9C" w14:paraId="1186EFDB" w14:textId="77777777" w:rsidTr="0010789D">
        <w:tc>
          <w:tcPr>
            <w:tcW w:w="11016" w:type="dxa"/>
            <w:gridSpan w:val="2"/>
          </w:tcPr>
          <w:p w14:paraId="21E2B6AE" w14:textId="77777777" w:rsidR="009B5AA5" w:rsidRPr="00FA3F9C" w:rsidRDefault="009B5AA5" w:rsidP="00FC1E85">
            <w:pPr>
              <w:pStyle w:val="ListParagraph"/>
              <w:numPr>
                <w:ilvl w:val="0"/>
                <w:numId w:val="396"/>
              </w:numPr>
              <w:rPr>
                <w:rFonts w:ascii="Arial" w:hAnsi="Arial" w:cs="Arial"/>
                <w:sz w:val="24"/>
                <w:szCs w:val="24"/>
              </w:rPr>
            </w:pPr>
            <w:r w:rsidRPr="00FA3F9C">
              <w:rPr>
                <w:rFonts w:ascii="Arial" w:hAnsi="Arial" w:cs="Arial"/>
                <w:sz w:val="24"/>
                <w:szCs w:val="24"/>
              </w:rPr>
              <w:t>The patient must have tried and either failed or not tolerated ketoconazole, metyrapone, mitotane.</w:t>
            </w:r>
          </w:p>
        </w:tc>
      </w:tr>
      <w:tr w:rsidR="009B5AA5" w:rsidRPr="00FA3F9C" w14:paraId="6DDFACC5" w14:textId="77777777" w:rsidTr="0010789D">
        <w:tc>
          <w:tcPr>
            <w:tcW w:w="11016" w:type="dxa"/>
            <w:gridSpan w:val="2"/>
          </w:tcPr>
          <w:p w14:paraId="00AC5258" w14:textId="77777777" w:rsidR="009B5AA5" w:rsidRPr="00FA3F9C" w:rsidRDefault="009B5AA5" w:rsidP="00FC1E85">
            <w:pPr>
              <w:pStyle w:val="ListParagraph"/>
              <w:numPr>
                <w:ilvl w:val="0"/>
                <w:numId w:val="396"/>
              </w:numPr>
              <w:rPr>
                <w:rFonts w:ascii="Arial" w:hAnsi="Arial" w:cs="Arial"/>
                <w:sz w:val="24"/>
                <w:szCs w:val="24"/>
              </w:rPr>
            </w:pPr>
            <w:r w:rsidRPr="00FA3F9C">
              <w:rPr>
                <w:rFonts w:ascii="Arial" w:hAnsi="Arial" w:cs="Arial"/>
                <w:sz w:val="24"/>
                <w:szCs w:val="24"/>
              </w:rPr>
              <w:t>The prescriber must be an endocrinologist.</w:t>
            </w:r>
          </w:p>
        </w:tc>
      </w:tr>
      <w:tr w:rsidR="009B5AA5" w:rsidRPr="00FA3F9C" w14:paraId="7F1537FA" w14:textId="77777777" w:rsidTr="00DA57E0">
        <w:tc>
          <w:tcPr>
            <w:tcW w:w="11016" w:type="dxa"/>
            <w:gridSpan w:val="2"/>
          </w:tcPr>
          <w:p w14:paraId="38F3E140" w14:textId="77777777" w:rsidR="009B5AA5" w:rsidRPr="00FA3F9C" w:rsidRDefault="009B5AA5" w:rsidP="006F623F">
            <w:pPr>
              <w:rPr>
                <w:rFonts w:ascii="Arial" w:hAnsi="Arial" w:cs="Arial"/>
                <w:sz w:val="24"/>
                <w:szCs w:val="24"/>
              </w:rPr>
            </w:pPr>
            <w:r w:rsidRPr="00FA3F9C">
              <w:rPr>
                <w:rFonts w:ascii="Arial" w:hAnsi="Arial" w:cs="Arial"/>
                <w:sz w:val="24"/>
                <w:szCs w:val="24"/>
              </w:rPr>
              <w:t>If all 4 of the above criteria are yes, the PA will be approved for 6 months.</w:t>
            </w:r>
          </w:p>
        </w:tc>
      </w:tr>
    </w:tbl>
    <w:p w14:paraId="6C1168F4" w14:textId="77777777" w:rsidR="009B5AA5" w:rsidRPr="00FA3F9C" w:rsidRDefault="009B5AA5" w:rsidP="006F623F">
      <w:pPr>
        <w:spacing w:after="0"/>
        <w:rPr>
          <w:rFonts w:ascii="Arial" w:hAnsi="Arial" w:cs="Arial"/>
          <w:b/>
          <w:sz w:val="24"/>
          <w:szCs w:val="24"/>
          <w:u w:val="single"/>
        </w:rPr>
      </w:pPr>
    </w:p>
    <w:tbl>
      <w:tblPr>
        <w:tblStyle w:val="TableGrid"/>
        <w:tblW w:w="0" w:type="auto"/>
        <w:tblLook w:val="04A0" w:firstRow="1" w:lastRow="0" w:firstColumn="1" w:lastColumn="0" w:noHBand="0" w:noVBand="1"/>
      </w:tblPr>
      <w:tblGrid>
        <w:gridCol w:w="8928"/>
        <w:gridCol w:w="2088"/>
      </w:tblGrid>
      <w:tr w:rsidR="009B5AA5" w:rsidRPr="00FA3F9C" w14:paraId="2408F0E9" w14:textId="77777777" w:rsidTr="00571CAB">
        <w:tc>
          <w:tcPr>
            <w:tcW w:w="8928" w:type="dxa"/>
            <w:shd w:val="clear" w:color="auto" w:fill="000000"/>
          </w:tcPr>
          <w:p w14:paraId="72F451A6" w14:textId="77777777" w:rsidR="009B5AA5" w:rsidRPr="00FA3F9C" w:rsidRDefault="009B5AA5" w:rsidP="00571CAB">
            <w:pPr>
              <w:rPr>
                <w:rFonts w:ascii="Arial" w:hAnsi="Arial" w:cs="Arial"/>
                <w:b/>
                <w:sz w:val="24"/>
                <w:szCs w:val="24"/>
                <w:u w:val="single"/>
              </w:rPr>
            </w:pPr>
            <w:r w:rsidRPr="00FA3F9C">
              <w:rPr>
                <w:rFonts w:ascii="Arial" w:hAnsi="Arial" w:cs="Arial"/>
                <w:b/>
                <w:sz w:val="24"/>
                <w:szCs w:val="24"/>
                <w:u w:val="single"/>
              </w:rPr>
              <w:t>Criteria for continuation</w:t>
            </w:r>
          </w:p>
        </w:tc>
        <w:tc>
          <w:tcPr>
            <w:tcW w:w="2088" w:type="dxa"/>
            <w:shd w:val="clear" w:color="auto" w:fill="000000"/>
          </w:tcPr>
          <w:p w14:paraId="21ED34A2" w14:textId="77777777" w:rsidR="009B5AA5" w:rsidRPr="00FA3F9C" w:rsidRDefault="009B5AA5" w:rsidP="00571CAB">
            <w:pPr>
              <w:jc w:val="center"/>
              <w:rPr>
                <w:rFonts w:ascii="Arial" w:hAnsi="Arial" w:cs="Arial"/>
                <w:b/>
                <w:sz w:val="24"/>
                <w:szCs w:val="24"/>
                <w:u w:val="single"/>
              </w:rPr>
            </w:pPr>
          </w:p>
        </w:tc>
      </w:tr>
      <w:tr w:rsidR="009B5AA5" w:rsidRPr="00FA3F9C" w14:paraId="05D1B5B7" w14:textId="77777777" w:rsidTr="00FE7E94">
        <w:tc>
          <w:tcPr>
            <w:tcW w:w="11016" w:type="dxa"/>
            <w:gridSpan w:val="2"/>
          </w:tcPr>
          <w:p w14:paraId="060EEE1E" w14:textId="77777777" w:rsidR="009B5AA5" w:rsidRPr="00FA3F9C" w:rsidRDefault="009B5AA5" w:rsidP="00FC1E85">
            <w:pPr>
              <w:pStyle w:val="ListParagraph"/>
              <w:numPr>
                <w:ilvl w:val="0"/>
                <w:numId w:val="397"/>
              </w:numPr>
              <w:rPr>
                <w:rFonts w:ascii="Arial" w:hAnsi="Arial" w:cs="Arial"/>
                <w:sz w:val="24"/>
                <w:szCs w:val="24"/>
              </w:rPr>
            </w:pPr>
            <w:r w:rsidRPr="00FA3F9C">
              <w:rPr>
                <w:rFonts w:ascii="Arial" w:hAnsi="Arial" w:cs="Arial"/>
                <w:sz w:val="24"/>
                <w:szCs w:val="24"/>
              </w:rPr>
              <w:t>After 6 months of use, the mean urinary free cortisol concentration returned to the normal range.</w:t>
            </w:r>
          </w:p>
        </w:tc>
      </w:tr>
      <w:tr w:rsidR="009B5AA5" w:rsidRPr="00FA3F9C" w14:paraId="5D5640C9" w14:textId="77777777" w:rsidTr="00FE7E94">
        <w:tc>
          <w:tcPr>
            <w:tcW w:w="11016" w:type="dxa"/>
            <w:gridSpan w:val="2"/>
          </w:tcPr>
          <w:p w14:paraId="5934E587" w14:textId="77777777" w:rsidR="009B5AA5" w:rsidRPr="00FA3F9C" w:rsidRDefault="009B5AA5" w:rsidP="004B6FF6">
            <w:pPr>
              <w:ind w:left="360"/>
              <w:rPr>
                <w:rFonts w:ascii="Arial" w:hAnsi="Arial" w:cs="Arial"/>
                <w:sz w:val="24"/>
                <w:szCs w:val="24"/>
              </w:rPr>
            </w:pPr>
            <w:r w:rsidRPr="00FA3F9C">
              <w:rPr>
                <w:rFonts w:ascii="Arial" w:hAnsi="Arial" w:cs="Arial"/>
                <w:sz w:val="24"/>
                <w:szCs w:val="24"/>
              </w:rPr>
              <w:t>After identifying the patient as a responder, the PA will be good for 12 months.</w:t>
            </w:r>
          </w:p>
        </w:tc>
      </w:tr>
    </w:tbl>
    <w:p w14:paraId="51004991" w14:textId="77777777" w:rsidR="009B5AA5" w:rsidRPr="00FA3F9C" w:rsidRDefault="009B5AA5" w:rsidP="006F623F">
      <w:pPr>
        <w:spacing w:after="0"/>
        <w:rPr>
          <w:rFonts w:ascii="Arial" w:hAnsi="Arial" w:cs="Arial"/>
          <w:b/>
          <w:sz w:val="24"/>
          <w:szCs w:val="24"/>
          <w:u w:val="single"/>
        </w:rPr>
      </w:pPr>
    </w:p>
    <w:p w14:paraId="131324C2" w14:textId="77777777" w:rsidR="009B5AA5" w:rsidRPr="00FA3F9C" w:rsidRDefault="009B5AA5" w:rsidP="006F623F">
      <w:pPr>
        <w:spacing w:after="0"/>
        <w:rPr>
          <w:rFonts w:ascii="Arial" w:hAnsi="Arial" w:cs="Arial"/>
          <w:b/>
          <w:sz w:val="24"/>
          <w:szCs w:val="24"/>
          <w:u w:val="single"/>
        </w:rPr>
      </w:pPr>
    </w:p>
    <w:tbl>
      <w:tblPr>
        <w:tblStyle w:val="TableGrid"/>
        <w:tblW w:w="0" w:type="auto"/>
        <w:shd w:val="clear" w:color="auto" w:fill="BFBFBF" w:themeFill="background1" w:themeFillShade="BF"/>
        <w:tblLook w:val="04A0" w:firstRow="1" w:lastRow="0" w:firstColumn="1" w:lastColumn="0" w:noHBand="0" w:noVBand="1"/>
      </w:tblPr>
      <w:tblGrid>
        <w:gridCol w:w="10998"/>
      </w:tblGrid>
      <w:tr w:rsidR="009B5AA5" w:rsidRPr="00FA3F9C" w14:paraId="2468151E" w14:textId="77777777" w:rsidTr="00D82B6E">
        <w:tc>
          <w:tcPr>
            <w:tcW w:w="10998" w:type="dxa"/>
            <w:shd w:val="clear" w:color="auto" w:fill="BFBFBF" w:themeFill="background1" w:themeFillShade="BF"/>
          </w:tcPr>
          <w:p w14:paraId="6075DB39" w14:textId="77777777" w:rsidR="009B5AA5" w:rsidRPr="00FA3F9C" w:rsidRDefault="009B5AA5" w:rsidP="00D82B6E">
            <w:pPr>
              <w:rPr>
                <w:rFonts w:ascii="Arial" w:hAnsi="Arial" w:cs="Arial"/>
                <w:sz w:val="24"/>
                <w:szCs w:val="24"/>
              </w:rPr>
            </w:pPr>
            <w:r w:rsidRPr="00FA3F9C">
              <w:rPr>
                <w:rFonts w:ascii="Arial" w:hAnsi="Arial" w:cs="Arial"/>
                <w:sz w:val="24"/>
                <w:szCs w:val="24"/>
              </w:rPr>
              <w:t>Note: The usual dose is 2-7mg BID.  The max dose is 30mg BID.</w:t>
            </w:r>
          </w:p>
        </w:tc>
      </w:tr>
    </w:tbl>
    <w:p w14:paraId="47FED998" w14:textId="77777777" w:rsidR="009B5AA5" w:rsidRPr="00FA3F9C" w:rsidRDefault="009B5AA5" w:rsidP="006F623F">
      <w:pPr>
        <w:spacing w:after="0"/>
        <w:rPr>
          <w:rFonts w:ascii="Arial" w:hAnsi="Arial" w:cs="Arial"/>
          <w:sz w:val="24"/>
          <w:szCs w:val="24"/>
        </w:rPr>
      </w:pPr>
    </w:p>
    <w:p w14:paraId="16EE70D1" w14:textId="77777777" w:rsidR="009B5AA5" w:rsidRPr="00FA3F9C" w:rsidRDefault="009B5AA5" w:rsidP="006F623F">
      <w:pPr>
        <w:spacing w:after="0"/>
        <w:rPr>
          <w:rFonts w:ascii="Arial" w:hAnsi="Arial" w:cs="Arial"/>
          <w:sz w:val="24"/>
          <w:szCs w:val="24"/>
        </w:rPr>
      </w:pPr>
      <w:r w:rsidRPr="00FA3F9C">
        <w:rPr>
          <w:rFonts w:ascii="Arial" w:hAnsi="Arial" w:cs="Arial"/>
          <w:sz w:val="24"/>
          <w:szCs w:val="24"/>
        </w:rPr>
        <w:t>Quantity Limits: 6/1 (to allow for the 30mg BID dosing)</w:t>
      </w:r>
    </w:p>
    <w:p w14:paraId="546AB82C" w14:textId="77777777" w:rsidR="009B5AA5" w:rsidRPr="00FA3F9C" w:rsidRDefault="009B5AA5" w:rsidP="006F623F">
      <w:pPr>
        <w:spacing w:after="0"/>
        <w:rPr>
          <w:rFonts w:ascii="Arial" w:hAnsi="Arial" w:cs="Arial"/>
          <w:sz w:val="24"/>
          <w:szCs w:val="24"/>
        </w:rPr>
      </w:pPr>
    </w:p>
    <w:p w14:paraId="1D285D4F" w14:textId="77777777" w:rsidR="009B5AA5" w:rsidRPr="00FA3F9C" w:rsidRDefault="009B5AA5"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284"/>
        <w:gridCol w:w="7150"/>
        <w:gridCol w:w="2473"/>
      </w:tblGrid>
      <w:tr w:rsidR="009B5AA5" w:rsidRPr="00FA3F9C" w14:paraId="4B2734E6" w14:textId="77777777" w:rsidTr="007735D0">
        <w:tc>
          <w:tcPr>
            <w:tcW w:w="1167" w:type="dxa"/>
          </w:tcPr>
          <w:p w14:paraId="309053B3" w14:textId="77777777" w:rsidR="009B5AA5" w:rsidRPr="00FA3F9C" w:rsidRDefault="009B5AA5" w:rsidP="006F623F">
            <w:pPr>
              <w:rPr>
                <w:rFonts w:ascii="Arial" w:hAnsi="Arial" w:cs="Arial"/>
                <w:sz w:val="24"/>
                <w:szCs w:val="24"/>
              </w:rPr>
            </w:pPr>
            <w:r w:rsidRPr="00FA3F9C">
              <w:rPr>
                <w:rFonts w:ascii="Arial" w:hAnsi="Arial" w:cs="Arial"/>
                <w:sz w:val="24"/>
                <w:szCs w:val="24"/>
              </w:rPr>
              <w:lastRenderedPageBreak/>
              <w:t>Date</w:t>
            </w:r>
          </w:p>
        </w:tc>
        <w:tc>
          <w:tcPr>
            <w:tcW w:w="7150" w:type="dxa"/>
          </w:tcPr>
          <w:p w14:paraId="2BE7D61E" w14:textId="77777777" w:rsidR="009B5AA5" w:rsidRPr="00FA3F9C" w:rsidRDefault="009B5AA5" w:rsidP="006F623F">
            <w:pPr>
              <w:rPr>
                <w:rFonts w:ascii="Arial" w:hAnsi="Arial" w:cs="Arial"/>
                <w:sz w:val="24"/>
                <w:szCs w:val="24"/>
              </w:rPr>
            </w:pPr>
            <w:r w:rsidRPr="00FA3F9C">
              <w:rPr>
                <w:rFonts w:ascii="Arial" w:hAnsi="Arial" w:cs="Arial"/>
                <w:sz w:val="24"/>
                <w:szCs w:val="24"/>
              </w:rPr>
              <w:t>What changed</w:t>
            </w:r>
          </w:p>
        </w:tc>
        <w:tc>
          <w:tcPr>
            <w:tcW w:w="2473" w:type="dxa"/>
          </w:tcPr>
          <w:p w14:paraId="780DF970" w14:textId="77777777" w:rsidR="009B5AA5" w:rsidRPr="00FA3F9C" w:rsidRDefault="009B5AA5" w:rsidP="006F623F">
            <w:pPr>
              <w:rPr>
                <w:rFonts w:ascii="Arial" w:hAnsi="Arial" w:cs="Arial"/>
                <w:sz w:val="24"/>
                <w:szCs w:val="24"/>
              </w:rPr>
            </w:pPr>
            <w:r w:rsidRPr="00FA3F9C">
              <w:rPr>
                <w:rFonts w:ascii="Arial" w:hAnsi="Arial" w:cs="Arial"/>
                <w:sz w:val="24"/>
                <w:szCs w:val="24"/>
              </w:rPr>
              <w:t>Pharmacist’s initials</w:t>
            </w:r>
          </w:p>
        </w:tc>
      </w:tr>
      <w:tr w:rsidR="009B5AA5" w:rsidRPr="00FA3F9C" w14:paraId="3BABEDC3" w14:textId="77777777" w:rsidTr="007735D0">
        <w:tc>
          <w:tcPr>
            <w:tcW w:w="1167" w:type="dxa"/>
          </w:tcPr>
          <w:p w14:paraId="3A253518" w14:textId="77777777" w:rsidR="009B5AA5" w:rsidRPr="00FA3F9C" w:rsidRDefault="009B5AA5" w:rsidP="007735D0">
            <w:pPr>
              <w:rPr>
                <w:rFonts w:ascii="Arial" w:hAnsi="Arial" w:cs="Arial"/>
                <w:sz w:val="24"/>
                <w:szCs w:val="24"/>
              </w:rPr>
            </w:pPr>
            <w:r w:rsidRPr="00FA3F9C">
              <w:rPr>
                <w:rFonts w:ascii="Arial" w:hAnsi="Arial" w:cs="Arial"/>
                <w:sz w:val="24"/>
                <w:szCs w:val="24"/>
              </w:rPr>
              <w:t>5/27/2020</w:t>
            </w:r>
          </w:p>
        </w:tc>
        <w:tc>
          <w:tcPr>
            <w:tcW w:w="7150" w:type="dxa"/>
          </w:tcPr>
          <w:p w14:paraId="4072B5E1" w14:textId="77777777" w:rsidR="009B5AA5" w:rsidRPr="00FA3F9C" w:rsidRDefault="009B5AA5" w:rsidP="007735D0">
            <w:pPr>
              <w:rPr>
                <w:rFonts w:ascii="Arial" w:hAnsi="Arial" w:cs="Arial"/>
                <w:sz w:val="24"/>
                <w:szCs w:val="24"/>
              </w:rPr>
            </w:pPr>
            <w:r w:rsidRPr="00FA3F9C">
              <w:rPr>
                <w:rFonts w:ascii="Arial" w:hAnsi="Arial" w:cs="Arial"/>
                <w:sz w:val="24"/>
                <w:szCs w:val="24"/>
              </w:rPr>
              <w:t>I wrote the criteria.</w:t>
            </w:r>
          </w:p>
        </w:tc>
        <w:tc>
          <w:tcPr>
            <w:tcW w:w="2473" w:type="dxa"/>
          </w:tcPr>
          <w:p w14:paraId="0BB8629E" w14:textId="77777777" w:rsidR="009B5AA5" w:rsidRPr="00FA3F9C" w:rsidRDefault="009B5AA5" w:rsidP="007735D0">
            <w:pPr>
              <w:rPr>
                <w:rFonts w:ascii="Arial" w:hAnsi="Arial" w:cs="Arial"/>
                <w:sz w:val="24"/>
                <w:szCs w:val="24"/>
              </w:rPr>
            </w:pPr>
            <w:r w:rsidRPr="00FA3F9C">
              <w:rPr>
                <w:rFonts w:ascii="Arial" w:hAnsi="Arial" w:cs="Arial"/>
                <w:sz w:val="24"/>
                <w:szCs w:val="24"/>
              </w:rPr>
              <w:t>JJ</w:t>
            </w:r>
          </w:p>
        </w:tc>
      </w:tr>
      <w:tr w:rsidR="009B5AA5" w:rsidRPr="00FA3F9C" w14:paraId="4DB90600" w14:textId="77777777" w:rsidTr="007735D0">
        <w:tc>
          <w:tcPr>
            <w:tcW w:w="1167" w:type="dxa"/>
          </w:tcPr>
          <w:p w14:paraId="4DCD2BAE" w14:textId="77777777" w:rsidR="009B5AA5" w:rsidRPr="00FA3F9C" w:rsidRDefault="009B5AA5" w:rsidP="007735D0">
            <w:pPr>
              <w:rPr>
                <w:rFonts w:ascii="Arial" w:hAnsi="Arial" w:cs="Arial"/>
                <w:sz w:val="24"/>
                <w:szCs w:val="24"/>
              </w:rPr>
            </w:pPr>
            <w:r w:rsidRPr="00FA3F9C">
              <w:rPr>
                <w:rFonts w:ascii="Arial" w:hAnsi="Arial" w:cs="Arial"/>
                <w:sz w:val="24"/>
                <w:szCs w:val="24"/>
              </w:rPr>
              <w:t>6/11/2020</w:t>
            </w:r>
          </w:p>
        </w:tc>
        <w:tc>
          <w:tcPr>
            <w:tcW w:w="7150" w:type="dxa"/>
          </w:tcPr>
          <w:p w14:paraId="531183E2" w14:textId="77777777" w:rsidR="009B5AA5" w:rsidRPr="00FA3F9C" w:rsidRDefault="009B5AA5" w:rsidP="007735D0">
            <w:pPr>
              <w:rPr>
                <w:rFonts w:ascii="Arial" w:hAnsi="Arial" w:cs="Arial"/>
                <w:sz w:val="24"/>
                <w:szCs w:val="24"/>
              </w:rPr>
            </w:pPr>
            <w:r w:rsidRPr="00FA3F9C">
              <w:rPr>
                <w:rFonts w:ascii="Arial" w:hAnsi="Arial" w:cs="Arial"/>
                <w:sz w:val="24"/>
                <w:szCs w:val="24"/>
              </w:rPr>
              <w:t>I excluded etomidate from the requirement to fail because it is a continuous infusion and therefore not feasible.</w:t>
            </w:r>
          </w:p>
        </w:tc>
        <w:tc>
          <w:tcPr>
            <w:tcW w:w="2473" w:type="dxa"/>
          </w:tcPr>
          <w:p w14:paraId="61FD4E7D" w14:textId="77777777" w:rsidR="009B5AA5" w:rsidRPr="00FA3F9C" w:rsidRDefault="009B5AA5" w:rsidP="007735D0">
            <w:pPr>
              <w:rPr>
                <w:rFonts w:ascii="Arial" w:hAnsi="Arial" w:cs="Arial"/>
                <w:sz w:val="24"/>
                <w:szCs w:val="24"/>
              </w:rPr>
            </w:pPr>
            <w:r w:rsidRPr="00FA3F9C">
              <w:rPr>
                <w:rFonts w:ascii="Arial" w:hAnsi="Arial" w:cs="Arial"/>
                <w:sz w:val="24"/>
                <w:szCs w:val="24"/>
              </w:rPr>
              <w:t>JJ</w:t>
            </w:r>
          </w:p>
        </w:tc>
      </w:tr>
      <w:tr w:rsidR="009B5AA5" w:rsidRPr="00FA3F9C" w14:paraId="413F74C1" w14:textId="77777777" w:rsidTr="007735D0">
        <w:tc>
          <w:tcPr>
            <w:tcW w:w="1167" w:type="dxa"/>
          </w:tcPr>
          <w:p w14:paraId="4E27F9C1" w14:textId="77777777" w:rsidR="009B5AA5" w:rsidRPr="00FA3F9C" w:rsidRDefault="009B5AA5" w:rsidP="007735D0">
            <w:pPr>
              <w:rPr>
                <w:rFonts w:ascii="Arial" w:hAnsi="Arial" w:cs="Arial"/>
                <w:sz w:val="24"/>
                <w:szCs w:val="24"/>
              </w:rPr>
            </w:pPr>
            <w:r w:rsidRPr="00FA3F9C">
              <w:rPr>
                <w:rFonts w:ascii="Arial" w:hAnsi="Arial" w:cs="Arial"/>
                <w:sz w:val="24"/>
                <w:szCs w:val="24"/>
              </w:rPr>
              <w:t>7/15/2020</w:t>
            </w:r>
          </w:p>
        </w:tc>
        <w:tc>
          <w:tcPr>
            <w:tcW w:w="7150" w:type="dxa"/>
          </w:tcPr>
          <w:p w14:paraId="6EA52D17" w14:textId="77777777" w:rsidR="009B5AA5" w:rsidRPr="00FA3F9C" w:rsidRDefault="009B5AA5" w:rsidP="007735D0">
            <w:pPr>
              <w:rPr>
                <w:rFonts w:ascii="Arial" w:hAnsi="Arial" w:cs="Arial"/>
                <w:sz w:val="24"/>
                <w:szCs w:val="24"/>
              </w:rPr>
            </w:pPr>
            <w:r w:rsidRPr="00FA3F9C">
              <w:rPr>
                <w:rFonts w:ascii="Arial" w:hAnsi="Arial" w:cs="Arial"/>
                <w:sz w:val="24"/>
                <w:szCs w:val="24"/>
              </w:rPr>
              <w:t>I added the requirement for the prescriber to be an endocrinologist.</w:t>
            </w:r>
          </w:p>
        </w:tc>
        <w:tc>
          <w:tcPr>
            <w:tcW w:w="2473" w:type="dxa"/>
          </w:tcPr>
          <w:p w14:paraId="51BFAC3D" w14:textId="77777777" w:rsidR="009B5AA5" w:rsidRPr="00FA3F9C" w:rsidRDefault="009B5AA5" w:rsidP="007735D0">
            <w:pPr>
              <w:rPr>
                <w:rFonts w:ascii="Arial" w:hAnsi="Arial" w:cs="Arial"/>
                <w:sz w:val="24"/>
                <w:szCs w:val="24"/>
              </w:rPr>
            </w:pPr>
            <w:r w:rsidRPr="00FA3F9C">
              <w:rPr>
                <w:rFonts w:ascii="Arial" w:hAnsi="Arial" w:cs="Arial"/>
                <w:sz w:val="24"/>
                <w:szCs w:val="24"/>
              </w:rPr>
              <w:t>JJ</w:t>
            </w:r>
          </w:p>
        </w:tc>
      </w:tr>
      <w:tr w:rsidR="009B5AA5" w:rsidRPr="00FA3F9C" w14:paraId="5F4204DE" w14:textId="77777777" w:rsidTr="007735D0">
        <w:tc>
          <w:tcPr>
            <w:tcW w:w="1167" w:type="dxa"/>
          </w:tcPr>
          <w:p w14:paraId="3A6EECBA" w14:textId="77777777" w:rsidR="009B5AA5" w:rsidRPr="00FA3F9C" w:rsidRDefault="009B5AA5" w:rsidP="006F623F">
            <w:pPr>
              <w:rPr>
                <w:rFonts w:ascii="Arial" w:hAnsi="Arial" w:cs="Arial"/>
                <w:sz w:val="24"/>
                <w:szCs w:val="24"/>
              </w:rPr>
            </w:pPr>
            <w:r w:rsidRPr="00FA3F9C">
              <w:rPr>
                <w:rFonts w:ascii="Arial" w:hAnsi="Arial" w:cs="Arial"/>
                <w:sz w:val="24"/>
                <w:szCs w:val="24"/>
              </w:rPr>
              <w:t>3/29/2021</w:t>
            </w:r>
          </w:p>
        </w:tc>
        <w:tc>
          <w:tcPr>
            <w:tcW w:w="7150" w:type="dxa"/>
          </w:tcPr>
          <w:p w14:paraId="4C7C6287" w14:textId="77777777" w:rsidR="009B5AA5" w:rsidRPr="00FA3F9C" w:rsidRDefault="009B5AA5" w:rsidP="006F623F">
            <w:pPr>
              <w:rPr>
                <w:rFonts w:ascii="Arial" w:hAnsi="Arial" w:cs="Arial"/>
                <w:sz w:val="24"/>
                <w:szCs w:val="24"/>
              </w:rPr>
            </w:pPr>
            <w:r w:rsidRPr="00FA3F9C">
              <w:rPr>
                <w:rFonts w:ascii="Arial" w:hAnsi="Arial" w:cs="Arial"/>
                <w:sz w:val="24"/>
                <w:szCs w:val="24"/>
              </w:rPr>
              <w:t>I added the 18y age requirement.  Applied criteria to UAS Plan.</w:t>
            </w:r>
          </w:p>
        </w:tc>
        <w:tc>
          <w:tcPr>
            <w:tcW w:w="2473" w:type="dxa"/>
          </w:tcPr>
          <w:p w14:paraId="5ADCAF68" w14:textId="77777777" w:rsidR="009B5AA5" w:rsidRPr="00FA3F9C" w:rsidRDefault="009B5AA5" w:rsidP="006F623F">
            <w:pPr>
              <w:rPr>
                <w:rFonts w:ascii="Arial" w:hAnsi="Arial" w:cs="Arial"/>
                <w:sz w:val="24"/>
                <w:szCs w:val="24"/>
              </w:rPr>
            </w:pPr>
            <w:r w:rsidRPr="00FA3F9C">
              <w:rPr>
                <w:rFonts w:ascii="Arial" w:hAnsi="Arial" w:cs="Arial"/>
                <w:sz w:val="24"/>
                <w:szCs w:val="24"/>
              </w:rPr>
              <w:t>JJ</w:t>
            </w:r>
          </w:p>
        </w:tc>
      </w:tr>
    </w:tbl>
    <w:p w14:paraId="02C19B8F" w14:textId="77777777" w:rsidR="009B5AA5" w:rsidRPr="00FA3F9C" w:rsidRDefault="009B5AA5" w:rsidP="006F623F">
      <w:pPr>
        <w:spacing w:after="0"/>
        <w:rPr>
          <w:rFonts w:ascii="Arial" w:hAnsi="Arial" w:cs="Arial"/>
          <w:sz w:val="24"/>
          <w:szCs w:val="24"/>
        </w:rPr>
      </w:pPr>
    </w:p>
    <w:p w14:paraId="53CBB764" w14:textId="77777777" w:rsidR="009B5AA5" w:rsidRPr="00FA3F9C" w:rsidRDefault="009B5AA5" w:rsidP="00EF3B65">
      <w:pPr>
        <w:pStyle w:val="Heading2"/>
      </w:pPr>
      <w:bookmarkStart w:id="243" w:name="_Toc106369880"/>
      <w:r w:rsidRPr="00FA3F9C">
        <w:t>Osimertinib (</w:t>
      </w:r>
      <w:proofErr w:type="spellStart"/>
      <w:r w:rsidRPr="00FA3F9C">
        <w:t>Tagrisso</w:t>
      </w:r>
      <w:proofErr w:type="spellEnd"/>
      <w:r w:rsidRPr="00FA3F9C">
        <w:t>)</w:t>
      </w:r>
      <w:bookmarkEnd w:id="243"/>
      <w:r w:rsidRPr="00FA3F9C">
        <w:t xml:space="preserve"> </w:t>
      </w:r>
    </w:p>
    <w:p w14:paraId="49475477" w14:textId="77777777" w:rsidR="009B5AA5" w:rsidRPr="00FA3F9C" w:rsidRDefault="009B5AA5" w:rsidP="006F623F">
      <w:pPr>
        <w:spacing w:after="0"/>
        <w:jc w:val="center"/>
        <w:rPr>
          <w:rFonts w:ascii="Arial" w:hAnsi="Arial" w:cs="Arial"/>
          <w:sz w:val="24"/>
          <w:szCs w:val="24"/>
        </w:rPr>
      </w:pPr>
      <w:r w:rsidRPr="00FA3F9C">
        <w:rPr>
          <w:rFonts w:ascii="Arial" w:hAnsi="Arial" w:cs="Arial"/>
          <w:sz w:val="24"/>
          <w:szCs w:val="24"/>
        </w:rPr>
        <w:t>40 mg, 80 mg tablets</w:t>
      </w:r>
    </w:p>
    <w:p w14:paraId="50802A9A" w14:textId="77777777" w:rsidR="009B5AA5" w:rsidRPr="00FA3F9C" w:rsidRDefault="009B5AA5" w:rsidP="006F623F">
      <w:pPr>
        <w:spacing w:after="0"/>
        <w:jc w:val="center"/>
        <w:rPr>
          <w:rFonts w:ascii="Arial" w:hAnsi="Arial" w:cs="Arial"/>
          <w:sz w:val="24"/>
          <w:szCs w:val="24"/>
        </w:rPr>
      </w:pPr>
      <w:r w:rsidRPr="00FA3F9C">
        <w:rPr>
          <w:rFonts w:ascii="Arial" w:hAnsi="Arial" w:cs="Arial"/>
          <w:sz w:val="24"/>
          <w:szCs w:val="24"/>
        </w:rPr>
        <w:t>EBRx PA Criteria</w:t>
      </w:r>
    </w:p>
    <w:p w14:paraId="5FEF39D3" w14:textId="77777777" w:rsidR="009B5AA5" w:rsidRPr="00FA3F9C" w:rsidRDefault="009B5AA5" w:rsidP="006F623F">
      <w:pPr>
        <w:spacing w:after="0"/>
        <w:rPr>
          <w:rFonts w:ascii="Arial" w:hAnsi="Arial" w:cs="Arial"/>
          <w:b/>
          <w:sz w:val="24"/>
          <w:szCs w:val="24"/>
          <w:u w:val="single"/>
        </w:rPr>
      </w:pPr>
    </w:p>
    <w:p w14:paraId="778A325C" w14:textId="77777777" w:rsidR="009B5AA5" w:rsidRPr="00FA3F9C" w:rsidRDefault="009B5AA5"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w:t>
      </w:r>
    </w:p>
    <w:p w14:paraId="0BBAE40B" w14:textId="77777777" w:rsidR="009B5AA5" w:rsidRPr="00FA3F9C" w:rsidRDefault="009B5AA5" w:rsidP="00FC1E85">
      <w:pPr>
        <w:pStyle w:val="ListParagraph"/>
        <w:numPr>
          <w:ilvl w:val="0"/>
          <w:numId w:val="398"/>
        </w:numPr>
        <w:spacing w:after="0" w:line="240" w:lineRule="auto"/>
        <w:ind w:left="270" w:right="-274" w:hanging="180"/>
        <w:rPr>
          <w:rFonts w:ascii="Arial" w:hAnsi="Arial" w:cs="Arial"/>
          <w:sz w:val="24"/>
          <w:szCs w:val="24"/>
        </w:rPr>
      </w:pPr>
      <w:r w:rsidRPr="00FA3F9C">
        <w:rPr>
          <w:rFonts w:ascii="Arial" w:hAnsi="Arial" w:cs="Arial"/>
          <w:sz w:val="24"/>
          <w:szCs w:val="24"/>
        </w:rPr>
        <w:t>Adjuvant treatment after tumor resection in adult patients with non-small cell lung cancer (NSCLC) whose tumors have epidermal growth factor receptor (EGFR) exon 19 deletions or exon 21 L858R mutations, as detected by an FDA-approved test</w:t>
      </w:r>
    </w:p>
    <w:p w14:paraId="1BCB2DC6" w14:textId="77777777" w:rsidR="009B5AA5" w:rsidRPr="00FA3F9C" w:rsidRDefault="009B5AA5" w:rsidP="00FC1E85">
      <w:pPr>
        <w:pStyle w:val="ListParagraph"/>
        <w:numPr>
          <w:ilvl w:val="0"/>
          <w:numId w:val="398"/>
        </w:numPr>
        <w:spacing w:after="0" w:line="240" w:lineRule="auto"/>
        <w:ind w:left="270" w:right="-274" w:hanging="180"/>
        <w:rPr>
          <w:rFonts w:ascii="Arial" w:hAnsi="Arial" w:cs="Arial"/>
          <w:sz w:val="24"/>
          <w:szCs w:val="24"/>
        </w:rPr>
      </w:pPr>
      <w:r w:rsidRPr="00FA3F9C">
        <w:rPr>
          <w:rFonts w:ascii="Arial" w:hAnsi="Arial" w:cs="Arial"/>
          <w:sz w:val="24"/>
          <w:szCs w:val="24"/>
        </w:rPr>
        <w:t xml:space="preserve">first-line treatment of metastatic NSCLC with EGFR exon 19 deletions or exon 21 L858R mutations </w:t>
      </w:r>
    </w:p>
    <w:p w14:paraId="5CA7CC1C" w14:textId="77777777" w:rsidR="009B5AA5" w:rsidRPr="00FA3F9C" w:rsidRDefault="009B5AA5" w:rsidP="00FC1E85">
      <w:pPr>
        <w:pStyle w:val="ListParagraph"/>
        <w:numPr>
          <w:ilvl w:val="0"/>
          <w:numId w:val="398"/>
        </w:numPr>
        <w:spacing w:after="0" w:line="240" w:lineRule="auto"/>
        <w:ind w:left="270" w:right="-274" w:hanging="180"/>
        <w:rPr>
          <w:rFonts w:ascii="Arial" w:hAnsi="Arial" w:cs="Arial"/>
          <w:sz w:val="24"/>
          <w:szCs w:val="24"/>
        </w:rPr>
      </w:pPr>
      <w:r w:rsidRPr="00FA3F9C">
        <w:rPr>
          <w:rFonts w:ascii="Arial" w:hAnsi="Arial" w:cs="Arial"/>
          <w:sz w:val="24"/>
          <w:szCs w:val="24"/>
        </w:rPr>
        <w:t>metastatic non-small cell lung cancer (NSCLC) with EGFR T790M mutation which has progressed on or after EGFR tyrosine kinase inhibitor therapy</w:t>
      </w:r>
    </w:p>
    <w:p w14:paraId="2C4E3D71" w14:textId="77777777" w:rsidR="009B5AA5" w:rsidRPr="00FA3F9C" w:rsidRDefault="009B5AA5" w:rsidP="006F623F">
      <w:pPr>
        <w:spacing w:after="0"/>
        <w:rPr>
          <w:rFonts w:ascii="Arial" w:hAnsi="Arial" w:cs="Arial"/>
          <w:sz w:val="24"/>
          <w:szCs w:val="24"/>
        </w:rPr>
      </w:pPr>
    </w:p>
    <w:tbl>
      <w:tblPr>
        <w:tblStyle w:val="TableGrid"/>
        <w:tblW w:w="0" w:type="auto"/>
        <w:tblLook w:val="04A0" w:firstRow="1" w:lastRow="0" w:firstColumn="1" w:lastColumn="0" w:noHBand="0" w:noVBand="1"/>
      </w:tblPr>
      <w:tblGrid>
        <w:gridCol w:w="8928"/>
        <w:gridCol w:w="2088"/>
      </w:tblGrid>
      <w:tr w:rsidR="009B5AA5" w:rsidRPr="00FA3F9C" w14:paraId="10B0F5A7" w14:textId="77777777" w:rsidTr="00571CAB">
        <w:tc>
          <w:tcPr>
            <w:tcW w:w="8928" w:type="dxa"/>
            <w:shd w:val="clear" w:color="auto" w:fill="000000"/>
          </w:tcPr>
          <w:p w14:paraId="5097E7C6" w14:textId="77777777" w:rsidR="009B5AA5" w:rsidRPr="00FA3F9C" w:rsidRDefault="009B5AA5" w:rsidP="00437EC5">
            <w:pPr>
              <w:rPr>
                <w:rFonts w:ascii="Arial" w:hAnsi="Arial" w:cs="Arial"/>
                <w:b/>
                <w:sz w:val="24"/>
                <w:szCs w:val="24"/>
                <w:u w:val="single"/>
              </w:rPr>
            </w:pPr>
            <w:r w:rsidRPr="00FA3F9C">
              <w:rPr>
                <w:rFonts w:ascii="Arial" w:hAnsi="Arial" w:cs="Arial"/>
                <w:b/>
                <w:sz w:val="24"/>
                <w:szCs w:val="24"/>
                <w:u w:val="single"/>
              </w:rPr>
              <w:t>METASTATIC NON-SMALL CELL LUNG CANCER (NSCLC)</w:t>
            </w:r>
          </w:p>
        </w:tc>
        <w:tc>
          <w:tcPr>
            <w:tcW w:w="2088" w:type="dxa"/>
            <w:shd w:val="clear" w:color="auto" w:fill="000000"/>
          </w:tcPr>
          <w:p w14:paraId="6EA37AF5" w14:textId="77777777" w:rsidR="009B5AA5" w:rsidRPr="00FA3F9C" w:rsidRDefault="009B5AA5" w:rsidP="006F623F">
            <w:pPr>
              <w:jc w:val="center"/>
              <w:rPr>
                <w:rFonts w:ascii="Arial" w:hAnsi="Arial" w:cs="Arial"/>
                <w:b/>
                <w:sz w:val="24"/>
                <w:szCs w:val="24"/>
                <w:u w:val="single"/>
              </w:rPr>
            </w:pPr>
          </w:p>
        </w:tc>
      </w:tr>
      <w:tr w:rsidR="009B5AA5" w:rsidRPr="00FA3F9C" w14:paraId="1E67B2C5" w14:textId="77777777" w:rsidTr="00F337AE">
        <w:tc>
          <w:tcPr>
            <w:tcW w:w="11016" w:type="dxa"/>
            <w:gridSpan w:val="2"/>
          </w:tcPr>
          <w:p w14:paraId="6FCCC9D4" w14:textId="77777777" w:rsidR="009B5AA5" w:rsidRPr="00FA3F9C" w:rsidRDefault="009B5AA5" w:rsidP="00067994">
            <w:pPr>
              <w:rPr>
                <w:rFonts w:ascii="Arial" w:hAnsi="Arial" w:cs="Arial"/>
                <w:sz w:val="24"/>
                <w:szCs w:val="24"/>
              </w:rPr>
            </w:pPr>
            <w:r w:rsidRPr="00FA3F9C">
              <w:rPr>
                <w:rFonts w:ascii="Arial" w:hAnsi="Arial" w:cs="Arial"/>
                <w:sz w:val="24"/>
                <w:szCs w:val="24"/>
              </w:rPr>
              <w:t xml:space="preserve">1. Diagnosis of locally advanced or metastatic non-small cell lung cancer </w:t>
            </w:r>
          </w:p>
        </w:tc>
      </w:tr>
      <w:tr w:rsidR="009B5AA5" w:rsidRPr="00FA3F9C" w14:paraId="7953F2CE" w14:textId="77777777" w:rsidTr="00B1617E">
        <w:tc>
          <w:tcPr>
            <w:tcW w:w="11016" w:type="dxa"/>
            <w:gridSpan w:val="2"/>
          </w:tcPr>
          <w:p w14:paraId="0B41E0A6" w14:textId="77777777" w:rsidR="009B5AA5" w:rsidRPr="00FA3F9C" w:rsidRDefault="009B5AA5" w:rsidP="006F623F">
            <w:pPr>
              <w:rPr>
                <w:rFonts w:ascii="Arial" w:hAnsi="Arial" w:cs="Arial"/>
                <w:sz w:val="24"/>
                <w:szCs w:val="24"/>
              </w:rPr>
            </w:pPr>
            <w:r w:rsidRPr="00FA3F9C">
              <w:rPr>
                <w:rFonts w:ascii="Arial" w:hAnsi="Arial" w:cs="Arial"/>
                <w:sz w:val="24"/>
                <w:szCs w:val="24"/>
              </w:rPr>
              <w:t>2. Tumor is positive for EGFR mutation (exon 19 deletion or exon 21 L858R)</w:t>
            </w:r>
          </w:p>
        </w:tc>
      </w:tr>
      <w:tr w:rsidR="009B5AA5" w:rsidRPr="00FA3F9C" w14:paraId="445E3C67" w14:textId="77777777" w:rsidTr="0010789D">
        <w:tc>
          <w:tcPr>
            <w:tcW w:w="11016" w:type="dxa"/>
            <w:gridSpan w:val="2"/>
          </w:tcPr>
          <w:p w14:paraId="2496B303" w14:textId="77777777" w:rsidR="009B5AA5" w:rsidRPr="00FA3F9C" w:rsidRDefault="009B5AA5" w:rsidP="006F623F">
            <w:pPr>
              <w:rPr>
                <w:rFonts w:ascii="Arial" w:hAnsi="Arial" w:cs="Arial"/>
                <w:sz w:val="24"/>
                <w:szCs w:val="24"/>
              </w:rPr>
            </w:pPr>
            <w:r w:rsidRPr="00FA3F9C">
              <w:rPr>
                <w:rFonts w:ascii="Arial" w:hAnsi="Arial" w:cs="Arial"/>
                <w:sz w:val="24"/>
                <w:szCs w:val="24"/>
              </w:rPr>
              <w:t xml:space="preserve">3. If patient was previously treated with </w:t>
            </w:r>
            <w:proofErr w:type="spellStart"/>
            <w:r w:rsidRPr="00FA3F9C">
              <w:rPr>
                <w:rFonts w:ascii="Arial" w:hAnsi="Arial" w:cs="Arial"/>
                <w:sz w:val="24"/>
                <w:szCs w:val="24"/>
              </w:rPr>
              <w:t>afatinib</w:t>
            </w:r>
            <w:proofErr w:type="spellEnd"/>
            <w:r w:rsidRPr="00FA3F9C">
              <w:rPr>
                <w:rFonts w:ascii="Arial" w:hAnsi="Arial" w:cs="Arial"/>
                <w:sz w:val="24"/>
                <w:szCs w:val="24"/>
              </w:rPr>
              <w:t>, erlotinib, dacomitinib, or gefitinib, tumor is positive for T790M mutation</w:t>
            </w:r>
          </w:p>
        </w:tc>
      </w:tr>
      <w:tr w:rsidR="009B5AA5" w:rsidRPr="00FA3F9C" w14:paraId="2A0F4713" w14:textId="77777777" w:rsidTr="00923622">
        <w:tc>
          <w:tcPr>
            <w:tcW w:w="11016" w:type="dxa"/>
            <w:gridSpan w:val="2"/>
            <w:shd w:val="clear" w:color="auto" w:fill="F2F2F2" w:themeFill="background1" w:themeFillShade="F2"/>
          </w:tcPr>
          <w:p w14:paraId="6E400BBD" w14:textId="77777777" w:rsidR="009B5AA5" w:rsidRPr="00FA3F9C" w:rsidRDefault="009B5AA5" w:rsidP="00067994">
            <w:pPr>
              <w:rPr>
                <w:rFonts w:ascii="Arial" w:hAnsi="Arial" w:cs="Arial"/>
                <w:sz w:val="24"/>
                <w:szCs w:val="24"/>
              </w:rPr>
            </w:pPr>
            <w:r w:rsidRPr="00FA3F9C">
              <w:rPr>
                <w:rFonts w:ascii="Arial" w:hAnsi="Arial" w:cs="Arial"/>
                <w:sz w:val="24"/>
                <w:szCs w:val="24"/>
              </w:rPr>
              <w:t>If all criteria are met, approve x 1 year</w:t>
            </w:r>
          </w:p>
        </w:tc>
      </w:tr>
      <w:tr w:rsidR="009B5AA5" w:rsidRPr="00FA3F9C" w14:paraId="3E720122" w14:textId="77777777" w:rsidTr="006B14B9">
        <w:tc>
          <w:tcPr>
            <w:tcW w:w="11016" w:type="dxa"/>
            <w:gridSpan w:val="2"/>
            <w:shd w:val="clear" w:color="auto" w:fill="BFBFBF" w:themeFill="background1" w:themeFillShade="BF"/>
          </w:tcPr>
          <w:p w14:paraId="27266FA8" w14:textId="77777777" w:rsidR="009B5AA5" w:rsidRPr="00FA3F9C" w:rsidRDefault="009B5AA5" w:rsidP="006B14B9">
            <w:pPr>
              <w:rPr>
                <w:rFonts w:ascii="Arial" w:hAnsi="Arial" w:cs="Arial"/>
                <w:sz w:val="24"/>
                <w:szCs w:val="24"/>
              </w:rPr>
            </w:pPr>
            <w:r w:rsidRPr="00FA3F9C">
              <w:rPr>
                <w:rFonts w:ascii="Arial" w:hAnsi="Arial" w:cs="Arial"/>
                <w:sz w:val="24"/>
                <w:szCs w:val="24"/>
              </w:rPr>
              <w:t xml:space="preserve">Notes: </w:t>
            </w:r>
          </w:p>
          <w:p w14:paraId="08964C03" w14:textId="77777777" w:rsidR="009B5AA5" w:rsidRPr="00FA3F9C" w:rsidRDefault="009B5AA5" w:rsidP="006B14B9">
            <w:pPr>
              <w:rPr>
                <w:rFonts w:ascii="Arial" w:hAnsi="Arial" w:cs="Arial"/>
                <w:sz w:val="24"/>
                <w:szCs w:val="24"/>
              </w:rPr>
            </w:pPr>
            <w:r w:rsidRPr="00FA3F9C">
              <w:rPr>
                <w:rFonts w:ascii="Arial" w:hAnsi="Arial" w:cs="Arial"/>
                <w:sz w:val="24"/>
                <w:szCs w:val="24"/>
              </w:rPr>
              <w:t>Dose: 80 mg once daily</w:t>
            </w:r>
          </w:p>
          <w:p w14:paraId="08EEC99D" w14:textId="77777777" w:rsidR="009B5AA5" w:rsidRPr="00FA3F9C" w:rsidRDefault="009B5AA5" w:rsidP="006B14B9">
            <w:pPr>
              <w:rPr>
                <w:rFonts w:ascii="Arial" w:hAnsi="Arial" w:cs="Arial"/>
                <w:sz w:val="24"/>
                <w:szCs w:val="24"/>
              </w:rPr>
            </w:pPr>
          </w:p>
          <w:p w14:paraId="4BB93A31" w14:textId="77777777" w:rsidR="009B5AA5" w:rsidRPr="00FA3F9C" w:rsidRDefault="009B5AA5" w:rsidP="00FC1E85">
            <w:pPr>
              <w:pStyle w:val="ListParagraph"/>
              <w:numPr>
                <w:ilvl w:val="0"/>
                <w:numId w:val="400"/>
              </w:numPr>
              <w:ind w:left="180" w:hanging="180"/>
              <w:rPr>
                <w:rFonts w:ascii="Arial" w:hAnsi="Arial" w:cs="Arial"/>
                <w:sz w:val="24"/>
                <w:szCs w:val="24"/>
              </w:rPr>
            </w:pPr>
            <w:r w:rsidRPr="00FA3F9C">
              <w:rPr>
                <w:rFonts w:ascii="Arial" w:hAnsi="Arial" w:cs="Arial"/>
                <w:sz w:val="24"/>
                <w:szCs w:val="24"/>
              </w:rPr>
              <w:t xml:space="preserve">Options for first-line treatment of EGFR-mutated advanced NSCLC include </w:t>
            </w:r>
            <w:proofErr w:type="spellStart"/>
            <w:r w:rsidRPr="00FA3F9C">
              <w:rPr>
                <w:rFonts w:ascii="Arial" w:hAnsi="Arial" w:cs="Arial"/>
                <w:sz w:val="24"/>
                <w:szCs w:val="24"/>
              </w:rPr>
              <w:t>osimertinib</w:t>
            </w:r>
            <w:proofErr w:type="spellEnd"/>
            <w:r w:rsidRPr="00FA3F9C">
              <w:rPr>
                <w:rFonts w:ascii="Arial" w:hAnsi="Arial" w:cs="Arial"/>
                <w:sz w:val="24"/>
                <w:szCs w:val="24"/>
              </w:rPr>
              <w:t xml:space="preserve"> OR an earlier generation EGFR inhibitor (dacomitinib, erlotinib, gefitinib, </w:t>
            </w:r>
            <w:proofErr w:type="spellStart"/>
            <w:r w:rsidRPr="00FA3F9C">
              <w:rPr>
                <w:rFonts w:ascii="Arial" w:hAnsi="Arial" w:cs="Arial"/>
                <w:sz w:val="24"/>
                <w:szCs w:val="24"/>
              </w:rPr>
              <w:t>afatinib</w:t>
            </w:r>
            <w:proofErr w:type="spellEnd"/>
            <w:r w:rsidRPr="00FA3F9C">
              <w:rPr>
                <w:rFonts w:ascii="Arial" w:hAnsi="Arial" w:cs="Arial"/>
                <w:sz w:val="24"/>
                <w:szCs w:val="24"/>
              </w:rPr>
              <w:t xml:space="preserve">). </w:t>
            </w:r>
          </w:p>
          <w:p w14:paraId="1BFA3F72" w14:textId="77777777" w:rsidR="009B5AA5" w:rsidRPr="00FA3F9C" w:rsidRDefault="009B5AA5" w:rsidP="00FC1E85">
            <w:pPr>
              <w:pStyle w:val="ListParagraph"/>
              <w:numPr>
                <w:ilvl w:val="0"/>
                <w:numId w:val="400"/>
              </w:numPr>
              <w:ind w:left="180" w:hanging="180"/>
              <w:rPr>
                <w:rFonts w:ascii="Arial" w:hAnsi="Arial" w:cs="Arial"/>
                <w:sz w:val="24"/>
                <w:szCs w:val="24"/>
              </w:rPr>
            </w:pPr>
            <w:r w:rsidRPr="00FA3F9C">
              <w:rPr>
                <w:rFonts w:ascii="Arial" w:hAnsi="Arial" w:cs="Arial"/>
                <w:sz w:val="24"/>
                <w:szCs w:val="24"/>
              </w:rPr>
              <w:lastRenderedPageBreak/>
              <w:t xml:space="preserve">After progression of disease on first-line therapy, patients treated initially with </w:t>
            </w:r>
            <w:proofErr w:type="spellStart"/>
            <w:r w:rsidRPr="00FA3F9C">
              <w:rPr>
                <w:rFonts w:ascii="Arial" w:hAnsi="Arial" w:cs="Arial"/>
                <w:sz w:val="24"/>
                <w:szCs w:val="24"/>
              </w:rPr>
              <w:t>osimertinib</w:t>
            </w:r>
            <w:proofErr w:type="spellEnd"/>
            <w:r w:rsidRPr="00FA3F9C">
              <w:rPr>
                <w:rFonts w:ascii="Arial" w:hAnsi="Arial" w:cs="Arial"/>
                <w:sz w:val="24"/>
                <w:szCs w:val="24"/>
              </w:rPr>
              <w:t xml:space="preserve"> must then be treated with chemotherapy. Patients who were first treated with an earlier generation EGFR inhibitor qualify for </w:t>
            </w:r>
            <w:proofErr w:type="gramStart"/>
            <w:r w:rsidRPr="00FA3F9C">
              <w:rPr>
                <w:rFonts w:ascii="Arial" w:hAnsi="Arial" w:cs="Arial"/>
                <w:sz w:val="24"/>
                <w:szCs w:val="24"/>
              </w:rPr>
              <w:t>second-line</w:t>
            </w:r>
            <w:proofErr w:type="gramEnd"/>
            <w:r w:rsidRPr="00FA3F9C">
              <w:rPr>
                <w:rFonts w:ascii="Arial" w:hAnsi="Arial" w:cs="Arial"/>
                <w:sz w:val="24"/>
                <w:szCs w:val="24"/>
              </w:rPr>
              <w:t xml:space="preserve"> </w:t>
            </w:r>
            <w:proofErr w:type="spellStart"/>
            <w:r w:rsidRPr="00FA3F9C">
              <w:rPr>
                <w:rFonts w:ascii="Arial" w:hAnsi="Arial" w:cs="Arial"/>
                <w:sz w:val="24"/>
                <w:szCs w:val="24"/>
              </w:rPr>
              <w:t>osimertinib</w:t>
            </w:r>
            <w:proofErr w:type="spellEnd"/>
            <w:r w:rsidRPr="00FA3F9C">
              <w:rPr>
                <w:rFonts w:ascii="Arial" w:hAnsi="Arial" w:cs="Arial"/>
                <w:sz w:val="24"/>
                <w:szCs w:val="24"/>
              </w:rPr>
              <w:t xml:space="preserve"> </w:t>
            </w:r>
            <w:r w:rsidRPr="00FA3F9C">
              <w:rPr>
                <w:rFonts w:ascii="Arial" w:hAnsi="Arial" w:cs="Arial"/>
                <w:sz w:val="24"/>
                <w:szCs w:val="24"/>
                <w:u w:val="single"/>
              </w:rPr>
              <w:t>only</w:t>
            </w:r>
            <w:r w:rsidRPr="00FA3F9C">
              <w:rPr>
                <w:rFonts w:ascii="Arial" w:hAnsi="Arial" w:cs="Arial"/>
                <w:sz w:val="24"/>
                <w:szCs w:val="24"/>
              </w:rPr>
              <w:t xml:space="preserve"> if the T790M EGFR resistance mutation is present. </w:t>
            </w:r>
          </w:p>
          <w:p w14:paraId="6A60C37D" w14:textId="77777777" w:rsidR="009B5AA5" w:rsidRPr="00FA3F9C" w:rsidRDefault="009B5AA5" w:rsidP="00FC1E85">
            <w:pPr>
              <w:pStyle w:val="ListParagraph"/>
              <w:numPr>
                <w:ilvl w:val="0"/>
                <w:numId w:val="400"/>
              </w:numPr>
              <w:ind w:left="180" w:hanging="180"/>
              <w:rPr>
                <w:rFonts w:ascii="Arial" w:hAnsi="Arial" w:cs="Arial"/>
                <w:sz w:val="24"/>
                <w:szCs w:val="24"/>
              </w:rPr>
            </w:pPr>
            <w:r w:rsidRPr="00FA3F9C">
              <w:rPr>
                <w:rFonts w:ascii="Arial" w:hAnsi="Arial" w:cs="Arial"/>
                <w:sz w:val="24"/>
                <w:szCs w:val="24"/>
              </w:rPr>
              <w:t>Osimertinib improves overall survival and/or quality of life in these treatment settings and is associated with less toxicity.</w:t>
            </w:r>
          </w:p>
          <w:p w14:paraId="1D3892C4" w14:textId="77777777" w:rsidR="009B5AA5" w:rsidRPr="00FA3F9C" w:rsidRDefault="009B5AA5" w:rsidP="006B14B9">
            <w:pPr>
              <w:rPr>
                <w:rFonts w:ascii="Arial" w:hAnsi="Arial" w:cs="Arial"/>
                <w:sz w:val="24"/>
                <w:szCs w:val="24"/>
              </w:rPr>
            </w:pPr>
          </w:p>
          <w:p w14:paraId="1E632273" w14:textId="77777777" w:rsidR="009B5AA5" w:rsidRPr="00FA3F9C" w:rsidRDefault="009B5AA5" w:rsidP="006B14B9">
            <w:pPr>
              <w:rPr>
                <w:rFonts w:ascii="Arial" w:hAnsi="Arial" w:cs="Arial"/>
                <w:sz w:val="24"/>
                <w:szCs w:val="24"/>
              </w:rPr>
            </w:pPr>
            <w:r w:rsidRPr="00FA3F9C">
              <w:rPr>
                <w:rFonts w:ascii="Arial" w:hAnsi="Arial" w:cs="Arial"/>
                <w:sz w:val="24"/>
                <w:szCs w:val="24"/>
              </w:rPr>
              <w:t>References:</w:t>
            </w:r>
          </w:p>
          <w:p w14:paraId="5C2D66EC" w14:textId="77777777" w:rsidR="009B5AA5" w:rsidRPr="00FA3F9C" w:rsidRDefault="009B5AA5" w:rsidP="00FC1E85">
            <w:pPr>
              <w:pStyle w:val="ListParagraph"/>
              <w:numPr>
                <w:ilvl w:val="0"/>
                <w:numId w:val="399"/>
              </w:numPr>
              <w:spacing w:after="160" w:line="259" w:lineRule="auto"/>
              <w:ind w:left="158" w:hanging="160"/>
              <w:rPr>
                <w:rFonts w:ascii="Arial" w:hAnsi="Arial" w:cs="Arial"/>
                <w:sz w:val="24"/>
                <w:szCs w:val="24"/>
              </w:rPr>
            </w:pPr>
            <w:r w:rsidRPr="00FA3F9C">
              <w:rPr>
                <w:rFonts w:ascii="Arial" w:hAnsi="Arial" w:cs="Arial"/>
                <w:sz w:val="24"/>
                <w:szCs w:val="24"/>
              </w:rPr>
              <w:t xml:space="preserve">Soria JC et al. Osimertinib in Untreated EGFR-Mutated Advanced Non-Small-Cell Lung Cancer. N </w:t>
            </w:r>
            <w:proofErr w:type="spellStart"/>
            <w:r w:rsidRPr="00FA3F9C">
              <w:rPr>
                <w:rFonts w:ascii="Arial" w:hAnsi="Arial" w:cs="Arial"/>
                <w:sz w:val="24"/>
                <w:szCs w:val="24"/>
              </w:rPr>
              <w:t>Engl</w:t>
            </w:r>
            <w:proofErr w:type="spellEnd"/>
            <w:r w:rsidRPr="00FA3F9C">
              <w:rPr>
                <w:rFonts w:ascii="Arial" w:hAnsi="Arial" w:cs="Arial"/>
                <w:sz w:val="24"/>
                <w:szCs w:val="24"/>
              </w:rPr>
              <w:t xml:space="preserve"> J Med. 2018 Jan 11;378(2):113-125. PMID 29151359 NCT02296125</w:t>
            </w:r>
          </w:p>
          <w:p w14:paraId="54D26112" w14:textId="77777777" w:rsidR="009B5AA5" w:rsidRPr="00FA3F9C" w:rsidRDefault="009B5AA5" w:rsidP="00FC1E85">
            <w:pPr>
              <w:pStyle w:val="ListParagraph"/>
              <w:numPr>
                <w:ilvl w:val="0"/>
                <w:numId w:val="399"/>
              </w:numPr>
              <w:spacing w:after="160" w:line="259" w:lineRule="auto"/>
              <w:ind w:left="158" w:hanging="160"/>
              <w:rPr>
                <w:rFonts w:ascii="Arial" w:hAnsi="Arial" w:cs="Arial"/>
                <w:sz w:val="24"/>
                <w:szCs w:val="24"/>
              </w:rPr>
            </w:pPr>
            <w:r w:rsidRPr="00FA3F9C">
              <w:rPr>
                <w:rFonts w:ascii="Arial" w:hAnsi="Arial" w:cs="Arial"/>
                <w:sz w:val="24"/>
                <w:szCs w:val="24"/>
              </w:rPr>
              <w:t xml:space="preserve">Ramalingam SS et al. Overall survival with </w:t>
            </w:r>
            <w:proofErr w:type="spellStart"/>
            <w:r w:rsidRPr="00FA3F9C">
              <w:rPr>
                <w:rFonts w:ascii="Arial" w:hAnsi="Arial" w:cs="Arial"/>
                <w:sz w:val="24"/>
                <w:szCs w:val="24"/>
              </w:rPr>
              <w:t>osimertinib</w:t>
            </w:r>
            <w:proofErr w:type="spellEnd"/>
            <w:r w:rsidRPr="00FA3F9C">
              <w:rPr>
                <w:rFonts w:ascii="Arial" w:hAnsi="Arial" w:cs="Arial"/>
                <w:sz w:val="24"/>
                <w:szCs w:val="24"/>
              </w:rPr>
              <w:t xml:space="preserve"> in untreated, EGFR-mutated advanced NSCLC. N </w:t>
            </w:r>
            <w:proofErr w:type="spellStart"/>
            <w:r w:rsidRPr="00FA3F9C">
              <w:rPr>
                <w:rFonts w:ascii="Arial" w:hAnsi="Arial" w:cs="Arial"/>
                <w:sz w:val="24"/>
                <w:szCs w:val="24"/>
              </w:rPr>
              <w:t>Engl</w:t>
            </w:r>
            <w:proofErr w:type="spellEnd"/>
            <w:r w:rsidRPr="00FA3F9C">
              <w:rPr>
                <w:rFonts w:ascii="Arial" w:hAnsi="Arial" w:cs="Arial"/>
                <w:sz w:val="24"/>
                <w:szCs w:val="24"/>
              </w:rPr>
              <w:t xml:space="preserve"> J Med. 2020 Jan 2;382(1):41-50. PMID 31751012 NCT02296125</w:t>
            </w:r>
          </w:p>
          <w:p w14:paraId="25E2DA9D" w14:textId="77777777" w:rsidR="009B5AA5" w:rsidRPr="00FA3F9C" w:rsidRDefault="009B5AA5" w:rsidP="00FC1E85">
            <w:pPr>
              <w:pStyle w:val="ListParagraph"/>
              <w:numPr>
                <w:ilvl w:val="0"/>
                <w:numId w:val="399"/>
              </w:numPr>
              <w:spacing w:after="160" w:line="259" w:lineRule="auto"/>
              <w:ind w:left="158" w:hanging="160"/>
              <w:rPr>
                <w:rFonts w:ascii="Arial" w:hAnsi="Arial" w:cs="Arial"/>
                <w:sz w:val="24"/>
                <w:szCs w:val="24"/>
              </w:rPr>
            </w:pPr>
            <w:r w:rsidRPr="00FA3F9C">
              <w:rPr>
                <w:rFonts w:ascii="Arial" w:hAnsi="Arial" w:cs="Arial"/>
                <w:sz w:val="24"/>
                <w:szCs w:val="24"/>
              </w:rPr>
              <w:t xml:space="preserve">Holleman MS et al. First-line tyrosine kinase inhibitors in EGFR mutation-positive non-small-cell lung cancer: a network meta-analysis. </w:t>
            </w:r>
            <w:proofErr w:type="spellStart"/>
            <w:r w:rsidRPr="00FA3F9C">
              <w:rPr>
                <w:rFonts w:ascii="Arial" w:hAnsi="Arial" w:cs="Arial"/>
                <w:sz w:val="24"/>
                <w:szCs w:val="24"/>
              </w:rPr>
              <w:t>Onco</w:t>
            </w:r>
            <w:proofErr w:type="spellEnd"/>
            <w:r w:rsidRPr="00FA3F9C">
              <w:rPr>
                <w:rFonts w:ascii="Arial" w:hAnsi="Arial" w:cs="Arial"/>
                <w:sz w:val="24"/>
                <w:szCs w:val="24"/>
              </w:rPr>
              <w:t xml:space="preserve"> Targets </w:t>
            </w:r>
            <w:proofErr w:type="spellStart"/>
            <w:r w:rsidRPr="00FA3F9C">
              <w:rPr>
                <w:rFonts w:ascii="Arial" w:hAnsi="Arial" w:cs="Arial"/>
                <w:sz w:val="24"/>
                <w:szCs w:val="24"/>
              </w:rPr>
              <w:t>Ther</w:t>
            </w:r>
            <w:proofErr w:type="spellEnd"/>
            <w:r w:rsidRPr="00FA3F9C">
              <w:rPr>
                <w:rFonts w:ascii="Arial" w:hAnsi="Arial" w:cs="Arial"/>
                <w:sz w:val="24"/>
                <w:szCs w:val="24"/>
              </w:rPr>
              <w:t xml:space="preserve">. 2019 Feb 20;12:1413-1421. PMID 30863108 </w:t>
            </w:r>
          </w:p>
          <w:p w14:paraId="0AE9822B" w14:textId="77777777" w:rsidR="009B5AA5" w:rsidRPr="00FA3F9C" w:rsidRDefault="009B5AA5" w:rsidP="00FC1E85">
            <w:pPr>
              <w:pStyle w:val="ListParagraph"/>
              <w:numPr>
                <w:ilvl w:val="0"/>
                <w:numId w:val="399"/>
              </w:numPr>
              <w:spacing w:after="160" w:line="259" w:lineRule="auto"/>
              <w:ind w:left="158" w:hanging="160"/>
              <w:rPr>
                <w:rFonts w:ascii="Arial" w:hAnsi="Arial" w:cs="Arial"/>
                <w:sz w:val="24"/>
                <w:szCs w:val="24"/>
              </w:rPr>
            </w:pPr>
            <w:proofErr w:type="spellStart"/>
            <w:r w:rsidRPr="00FA3F9C">
              <w:rPr>
                <w:rFonts w:ascii="Arial" w:hAnsi="Arial" w:cs="Arial"/>
                <w:sz w:val="24"/>
                <w:szCs w:val="24"/>
              </w:rPr>
              <w:t>Mok</w:t>
            </w:r>
            <w:proofErr w:type="spellEnd"/>
            <w:r w:rsidRPr="00FA3F9C">
              <w:rPr>
                <w:rFonts w:ascii="Arial" w:hAnsi="Arial" w:cs="Arial"/>
                <w:sz w:val="24"/>
                <w:szCs w:val="24"/>
              </w:rPr>
              <w:t xml:space="preserve"> TS et al. Osimertinib or Platinum-Pemetrexed in EGFR T790M-Positive Lung Cancer. N </w:t>
            </w:r>
            <w:proofErr w:type="spellStart"/>
            <w:r w:rsidRPr="00FA3F9C">
              <w:rPr>
                <w:rFonts w:ascii="Arial" w:hAnsi="Arial" w:cs="Arial"/>
                <w:sz w:val="24"/>
                <w:szCs w:val="24"/>
              </w:rPr>
              <w:t>Engl</w:t>
            </w:r>
            <w:proofErr w:type="spellEnd"/>
            <w:r w:rsidRPr="00FA3F9C">
              <w:rPr>
                <w:rFonts w:ascii="Arial" w:hAnsi="Arial" w:cs="Arial"/>
                <w:sz w:val="24"/>
                <w:szCs w:val="24"/>
              </w:rPr>
              <w:t xml:space="preserve"> J Med. 2017 Feb 16;376(7):629-640. PMID 27959700 NCT02151981</w:t>
            </w:r>
          </w:p>
          <w:p w14:paraId="3B3369E3" w14:textId="77777777" w:rsidR="009B5AA5" w:rsidRPr="00FA3F9C" w:rsidRDefault="009B5AA5" w:rsidP="006B14B9">
            <w:pPr>
              <w:rPr>
                <w:rFonts w:ascii="Arial" w:hAnsi="Arial" w:cs="Arial"/>
                <w:sz w:val="24"/>
                <w:szCs w:val="24"/>
              </w:rPr>
            </w:pPr>
            <w:r w:rsidRPr="00FA3F9C">
              <w:rPr>
                <w:rFonts w:ascii="Arial" w:hAnsi="Arial" w:cs="Arial"/>
                <w:sz w:val="24"/>
                <w:szCs w:val="24"/>
              </w:rPr>
              <w:t xml:space="preserve">Lee CK et al. Patient-Reported Symptoms and Impact of Treatment </w:t>
            </w:r>
            <w:proofErr w:type="gramStart"/>
            <w:r w:rsidRPr="00FA3F9C">
              <w:rPr>
                <w:rFonts w:ascii="Arial" w:hAnsi="Arial" w:cs="Arial"/>
                <w:sz w:val="24"/>
                <w:szCs w:val="24"/>
              </w:rPr>
              <w:t>With</w:t>
            </w:r>
            <w:proofErr w:type="gramEnd"/>
            <w:r w:rsidRPr="00FA3F9C">
              <w:rPr>
                <w:rFonts w:ascii="Arial" w:hAnsi="Arial" w:cs="Arial"/>
                <w:sz w:val="24"/>
                <w:szCs w:val="24"/>
              </w:rPr>
              <w:t xml:space="preserve"> Osimertinib Versus Chemotherapy in Advanced Non-Small-Cell Lung Cancer: The AURA3 Trial. J Clin Oncol. 2018 Jun 20;36(18):1853-1860. PMID 29733770</w:t>
            </w:r>
          </w:p>
        </w:tc>
      </w:tr>
    </w:tbl>
    <w:p w14:paraId="36A23CC2" w14:textId="77777777" w:rsidR="009B5AA5" w:rsidRPr="00FA3F9C" w:rsidRDefault="009B5AA5" w:rsidP="006F623F">
      <w:pPr>
        <w:spacing w:after="0"/>
        <w:rPr>
          <w:rFonts w:ascii="Arial" w:hAnsi="Arial" w:cs="Arial"/>
          <w:b/>
          <w:sz w:val="24"/>
          <w:szCs w:val="24"/>
          <w:u w:val="single"/>
        </w:rPr>
      </w:pPr>
    </w:p>
    <w:tbl>
      <w:tblPr>
        <w:tblStyle w:val="TableGrid"/>
        <w:tblW w:w="0" w:type="auto"/>
        <w:tblLook w:val="04A0" w:firstRow="1" w:lastRow="0" w:firstColumn="1" w:lastColumn="0" w:noHBand="0" w:noVBand="1"/>
      </w:tblPr>
      <w:tblGrid>
        <w:gridCol w:w="11016"/>
      </w:tblGrid>
      <w:tr w:rsidR="009B5AA5" w:rsidRPr="00FA3F9C" w14:paraId="22A1263F" w14:textId="77777777" w:rsidTr="00437EC5">
        <w:tc>
          <w:tcPr>
            <w:tcW w:w="11016" w:type="dxa"/>
            <w:shd w:val="clear" w:color="auto" w:fill="000000"/>
            <w:vAlign w:val="center"/>
          </w:tcPr>
          <w:p w14:paraId="0901BC4A" w14:textId="77777777" w:rsidR="009B5AA5" w:rsidRPr="00FA3F9C" w:rsidRDefault="009B5AA5" w:rsidP="00437EC5">
            <w:pPr>
              <w:rPr>
                <w:rFonts w:ascii="Arial" w:hAnsi="Arial" w:cs="Arial"/>
                <w:b/>
                <w:sz w:val="24"/>
                <w:szCs w:val="24"/>
                <w:u w:val="single"/>
              </w:rPr>
            </w:pPr>
            <w:r w:rsidRPr="00FA3F9C">
              <w:rPr>
                <w:rFonts w:ascii="Arial" w:hAnsi="Arial" w:cs="Arial"/>
                <w:b/>
                <w:sz w:val="24"/>
                <w:szCs w:val="24"/>
                <w:u w:val="single"/>
              </w:rPr>
              <w:t xml:space="preserve">ADJUVANT (POSTOPERATIVE) TREATMENT OF </w:t>
            </w:r>
            <w:proofErr w:type="gramStart"/>
            <w:r w:rsidRPr="00FA3F9C">
              <w:rPr>
                <w:rFonts w:ascii="Arial" w:hAnsi="Arial" w:cs="Arial"/>
                <w:b/>
                <w:sz w:val="24"/>
                <w:szCs w:val="24"/>
                <w:u w:val="single"/>
              </w:rPr>
              <w:t>EARLY STAGE</w:t>
            </w:r>
            <w:proofErr w:type="gramEnd"/>
            <w:r w:rsidRPr="00FA3F9C">
              <w:rPr>
                <w:rFonts w:ascii="Arial" w:hAnsi="Arial" w:cs="Arial"/>
                <w:b/>
                <w:sz w:val="24"/>
                <w:szCs w:val="24"/>
                <w:u w:val="single"/>
              </w:rPr>
              <w:t xml:space="preserve"> NON-SMALL CELL LUNG CANCER (NSCLC)</w:t>
            </w:r>
          </w:p>
        </w:tc>
      </w:tr>
      <w:tr w:rsidR="009B5AA5" w:rsidRPr="00FA3F9C" w14:paraId="40C4B7EE" w14:textId="77777777" w:rsidTr="00D91832">
        <w:tc>
          <w:tcPr>
            <w:tcW w:w="11016" w:type="dxa"/>
          </w:tcPr>
          <w:p w14:paraId="1B44FDAE" w14:textId="77777777" w:rsidR="009B5AA5" w:rsidRPr="00FA3F9C" w:rsidRDefault="009B5AA5" w:rsidP="006B14B9">
            <w:pPr>
              <w:rPr>
                <w:rFonts w:ascii="Arial" w:hAnsi="Arial" w:cs="Arial"/>
                <w:sz w:val="24"/>
                <w:szCs w:val="24"/>
              </w:rPr>
            </w:pPr>
            <w:r w:rsidRPr="00FA3F9C">
              <w:rPr>
                <w:rFonts w:ascii="Arial" w:hAnsi="Arial" w:cs="Arial"/>
                <w:sz w:val="24"/>
                <w:szCs w:val="24"/>
              </w:rPr>
              <w:t>1. Diagnosis of non-squamous (</w:t>
            </w:r>
            <w:proofErr w:type="gramStart"/>
            <w:r w:rsidRPr="00FA3F9C">
              <w:rPr>
                <w:rFonts w:ascii="Arial" w:hAnsi="Arial" w:cs="Arial"/>
                <w:sz w:val="24"/>
                <w:szCs w:val="24"/>
              </w:rPr>
              <w:t>e.g.</w:t>
            </w:r>
            <w:proofErr w:type="gramEnd"/>
            <w:r w:rsidRPr="00FA3F9C">
              <w:rPr>
                <w:rFonts w:ascii="Arial" w:hAnsi="Arial" w:cs="Arial"/>
                <w:sz w:val="24"/>
                <w:szCs w:val="24"/>
              </w:rPr>
              <w:t xml:space="preserve"> adenocarcinoma) non-small cell lung cancer </w:t>
            </w:r>
          </w:p>
        </w:tc>
      </w:tr>
      <w:tr w:rsidR="009B5AA5" w:rsidRPr="00FA3F9C" w14:paraId="4C88EE09" w14:textId="77777777" w:rsidTr="00D91832">
        <w:tc>
          <w:tcPr>
            <w:tcW w:w="11016" w:type="dxa"/>
          </w:tcPr>
          <w:p w14:paraId="55D0F662" w14:textId="77777777" w:rsidR="009B5AA5" w:rsidRPr="00FA3F9C" w:rsidRDefault="009B5AA5" w:rsidP="003B69FE">
            <w:pPr>
              <w:rPr>
                <w:rFonts w:ascii="Arial" w:hAnsi="Arial" w:cs="Arial"/>
                <w:sz w:val="24"/>
                <w:szCs w:val="24"/>
              </w:rPr>
            </w:pPr>
            <w:r w:rsidRPr="00FA3F9C">
              <w:rPr>
                <w:rFonts w:ascii="Arial" w:hAnsi="Arial" w:cs="Arial"/>
                <w:sz w:val="24"/>
                <w:szCs w:val="24"/>
              </w:rPr>
              <w:t>2. Patient has undergone complete resection of the tumor [no residual disease]</w:t>
            </w:r>
          </w:p>
        </w:tc>
      </w:tr>
      <w:tr w:rsidR="009B5AA5" w:rsidRPr="00FA3F9C" w14:paraId="4AB417F9" w14:textId="77777777" w:rsidTr="00D91832">
        <w:tc>
          <w:tcPr>
            <w:tcW w:w="11016" w:type="dxa"/>
          </w:tcPr>
          <w:p w14:paraId="3C20A058" w14:textId="77777777" w:rsidR="009B5AA5" w:rsidRPr="00FA3F9C" w:rsidRDefault="009B5AA5" w:rsidP="00BE286F">
            <w:pPr>
              <w:rPr>
                <w:rFonts w:ascii="Arial" w:hAnsi="Arial" w:cs="Arial"/>
                <w:sz w:val="24"/>
                <w:szCs w:val="24"/>
              </w:rPr>
            </w:pPr>
            <w:r w:rsidRPr="00FA3F9C">
              <w:rPr>
                <w:rFonts w:ascii="Arial" w:hAnsi="Arial" w:cs="Arial"/>
                <w:sz w:val="24"/>
                <w:szCs w:val="24"/>
              </w:rPr>
              <w:t>3. Postsurgical pathological stage is IB, II, or IIIA</w:t>
            </w:r>
          </w:p>
        </w:tc>
      </w:tr>
      <w:tr w:rsidR="009B5AA5" w:rsidRPr="00FA3F9C" w14:paraId="3721C16D" w14:textId="77777777" w:rsidTr="00D91832">
        <w:tc>
          <w:tcPr>
            <w:tcW w:w="11016" w:type="dxa"/>
          </w:tcPr>
          <w:p w14:paraId="7A089AA6" w14:textId="77777777" w:rsidR="009B5AA5" w:rsidRPr="00FA3F9C" w:rsidRDefault="009B5AA5" w:rsidP="00BE286F">
            <w:pPr>
              <w:rPr>
                <w:rFonts w:ascii="Arial" w:hAnsi="Arial" w:cs="Arial"/>
                <w:sz w:val="24"/>
                <w:szCs w:val="24"/>
              </w:rPr>
            </w:pPr>
            <w:r w:rsidRPr="00FA3F9C">
              <w:rPr>
                <w:rFonts w:ascii="Arial" w:hAnsi="Arial" w:cs="Arial"/>
                <w:sz w:val="24"/>
                <w:szCs w:val="24"/>
              </w:rPr>
              <w:t>4. Tumor is positive for EGFR mutation (exon 19 deletion or exon 21 L858R)</w:t>
            </w:r>
          </w:p>
        </w:tc>
      </w:tr>
      <w:tr w:rsidR="009B5AA5" w:rsidRPr="00FA3F9C" w14:paraId="7A175FBE" w14:textId="77777777" w:rsidTr="00D91832">
        <w:tc>
          <w:tcPr>
            <w:tcW w:w="11016" w:type="dxa"/>
          </w:tcPr>
          <w:p w14:paraId="25063476" w14:textId="77777777" w:rsidR="009B5AA5" w:rsidRPr="00FA3F9C" w:rsidRDefault="009B5AA5" w:rsidP="00D91832">
            <w:pPr>
              <w:rPr>
                <w:rFonts w:ascii="Arial" w:hAnsi="Arial" w:cs="Arial"/>
                <w:sz w:val="24"/>
                <w:szCs w:val="24"/>
              </w:rPr>
            </w:pPr>
            <w:r w:rsidRPr="00FA3F9C">
              <w:rPr>
                <w:rFonts w:ascii="Arial" w:hAnsi="Arial" w:cs="Arial"/>
                <w:sz w:val="24"/>
                <w:szCs w:val="24"/>
              </w:rPr>
              <w:t>5. ECOG performance status is 0 or 1 (on a scale of 0 to 5, with higher numbers indicating greater disability)</w:t>
            </w:r>
          </w:p>
        </w:tc>
      </w:tr>
      <w:tr w:rsidR="009B5AA5" w:rsidRPr="00FA3F9C" w14:paraId="1BEFF8FB" w14:textId="77777777" w:rsidTr="00D91832">
        <w:tc>
          <w:tcPr>
            <w:tcW w:w="11016" w:type="dxa"/>
            <w:shd w:val="clear" w:color="auto" w:fill="F2F2F2" w:themeFill="background1" w:themeFillShade="F2"/>
          </w:tcPr>
          <w:p w14:paraId="6DC0E3CC" w14:textId="77777777" w:rsidR="009B5AA5" w:rsidRPr="00FA3F9C" w:rsidRDefault="009B5AA5" w:rsidP="00D91832">
            <w:pPr>
              <w:rPr>
                <w:rFonts w:ascii="Arial" w:hAnsi="Arial" w:cs="Arial"/>
                <w:sz w:val="24"/>
                <w:szCs w:val="24"/>
              </w:rPr>
            </w:pPr>
            <w:r w:rsidRPr="00FA3F9C">
              <w:rPr>
                <w:rFonts w:ascii="Arial" w:hAnsi="Arial" w:cs="Arial"/>
                <w:sz w:val="24"/>
                <w:szCs w:val="24"/>
              </w:rPr>
              <w:t>If all criteria are met, approve x 1 year. PA may be renewed for up to 3 years MAXIMUM.</w:t>
            </w:r>
          </w:p>
        </w:tc>
      </w:tr>
      <w:tr w:rsidR="009B5AA5" w:rsidRPr="00FA3F9C" w14:paraId="0738BD38" w14:textId="77777777" w:rsidTr="00D91832">
        <w:tc>
          <w:tcPr>
            <w:tcW w:w="11016" w:type="dxa"/>
            <w:shd w:val="clear" w:color="auto" w:fill="BFBFBF" w:themeFill="background1" w:themeFillShade="BF"/>
          </w:tcPr>
          <w:p w14:paraId="602F7000" w14:textId="77777777" w:rsidR="009B5AA5" w:rsidRPr="00FA3F9C" w:rsidRDefault="009B5AA5" w:rsidP="00D91832">
            <w:pPr>
              <w:rPr>
                <w:rFonts w:ascii="Arial" w:hAnsi="Arial" w:cs="Arial"/>
                <w:sz w:val="24"/>
                <w:szCs w:val="24"/>
              </w:rPr>
            </w:pPr>
            <w:r w:rsidRPr="00FA3F9C">
              <w:rPr>
                <w:rFonts w:ascii="Arial" w:hAnsi="Arial" w:cs="Arial"/>
                <w:sz w:val="24"/>
                <w:szCs w:val="24"/>
              </w:rPr>
              <w:t xml:space="preserve">Notes: </w:t>
            </w:r>
          </w:p>
          <w:p w14:paraId="16E8A065" w14:textId="77777777" w:rsidR="009B5AA5" w:rsidRPr="00FA3F9C" w:rsidRDefault="009B5AA5" w:rsidP="00D91832">
            <w:pPr>
              <w:rPr>
                <w:rFonts w:ascii="Arial" w:hAnsi="Arial" w:cs="Arial"/>
                <w:sz w:val="24"/>
                <w:szCs w:val="24"/>
              </w:rPr>
            </w:pPr>
          </w:p>
          <w:p w14:paraId="755E07D9" w14:textId="77777777" w:rsidR="009B5AA5" w:rsidRPr="00FA3F9C" w:rsidRDefault="009B5AA5" w:rsidP="00D91832">
            <w:pPr>
              <w:rPr>
                <w:rFonts w:ascii="Arial" w:hAnsi="Arial" w:cs="Arial"/>
                <w:sz w:val="24"/>
                <w:szCs w:val="24"/>
              </w:rPr>
            </w:pPr>
            <w:r w:rsidRPr="00FA3F9C">
              <w:rPr>
                <w:rFonts w:ascii="Arial" w:hAnsi="Arial" w:cs="Arial"/>
                <w:sz w:val="24"/>
                <w:szCs w:val="24"/>
              </w:rPr>
              <w:t>Dose: 80 mg once daily for 3 years total</w:t>
            </w:r>
          </w:p>
          <w:p w14:paraId="336002C6" w14:textId="77777777" w:rsidR="009B5AA5" w:rsidRPr="00FA3F9C" w:rsidRDefault="009B5AA5" w:rsidP="00D91832">
            <w:pPr>
              <w:rPr>
                <w:rFonts w:ascii="Arial" w:hAnsi="Arial" w:cs="Arial"/>
                <w:sz w:val="24"/>
                <w:szCs w:val="24"/>
              </w:rPr>
            </w:pPr>
          </w:p>
          <w:p w14:paraId="055731FC" w14:textId="77777777" w:rsidR="009B5AA5" w:rsidRPr="00FA3F9C" w:rsidRDefault="009B5AA5" w:rsidP="00FC1E85">
            <w:pPr>
              <w:pStyle w:val="ListParagraph"/>
              <w:numPr>
                <w:ilvl w:val="0"/>
                <w:numId w:val="400"/>
              </w:numPr>
              <w:rPr>
                <w:rFonts w:ascii="Arial" w:hAnsi="Arial" w:cs="Arial"/>
                <w:sz w:val="24"/>
                <w:szCs w:val="24"/>
              </w:rPr>
            </w:pPr>
            <w:r w:rsidRPr="00FA3F9C">
              <w:rPr>
                <w:rFonts w:ascii="Arial" w:hAnsi="Arial" w:cs="Arial"/>
                <w:sz w:val="24"/>
                <w:szCs w:val="24"/>
              </w:rPr>
              <w:t xml:space="preserve">Osimertinib was compared to placebo in this population. Prior adjuvant platinum-based chemotherapy was allowed but not mandatory. </w:t>
            </w:r>
          </w:p>
          <w:p w14:paraId="7D255208" w14:textId="77777777" w:rsidR="009B5AA5" w:rsidRPr="00FA3F9C" w:rsidRDefault="009B5AA5" w:rsidP="00FC1E85">
            <w:pPr>
              <w:pStyle w:val="ListParagraph"/>
              <w:numPr>
                <w:ilvl w:val="0"/>
                <w:numId w:val="400"/>
              </w:numPr>
              <w:rPr>
                <w:rFonts w:ascii="Arial" w:hAnsi="Arial" w:cs="Arial"/>
                <w:sz w:val="24"/>
                <w:szCs w:val="24"/>
              </w:rPr>
            </w:pPr>
            <w:r w:rsidRPr="00FA3F9C">
              <w:rPr>
                <w:rFonts w:ascii="Arial" w:hAnsi="Arial" w:cs="Arial"/>
                <w:sz w:val="24"/>
                <w:szCs w:val="24"/>
              </w:rPr>
              <w:t xml:space="preserve">Disease free survival (% of patients alive and disease free at 24 </w:t>
            </w:r>
            <w:proofErr w:type="spellStart"/>
            <w:r w:rsidRPr="00FA3F9C">
              <w:rPr>
                <w:rFonts w:ascii="Arial" w:hAnsi="Arial" w:cs="Arial"/>
                <w:sz w:val="24"/>
                <w:szCs w:val="24"/>
              </w:rPr>
              <w:t>mo</w:t>
            </w:r>
            <w:proofErr w:type="spellEnd"/>
            <w:r w:rsidRPr="00FA3F9C">
              <w:rPr>
                <w:rFonts w:ascii="Arial" w:hAnsi="Arial" w:cs="Arial"/>
                <w:sz w:val="24"/>
                <w:szCs w:val="24"/>
              </w:rPr>
              <w:t>): 90% (</w:t>
            </w:r>
            <w:proofErr w:type="spellStart"/>
            <w:r w:rsidRPr="00FA3F9C">
              <w:rPr>
                <w:rFonts w:ascii="Arial" w:hAnsi="Arial" w:cs="Arial"/>
                <w:sz w:val="24"/>
                <w:szCs w:val="24"/>
              </w:rPr>
              <w:t>osimertinib</w:t>
            </w:r>
            <w:proofErr w:type="spellEnd"/>
            <w:r w:rsidRPr="00FA3F9C">
              <w:rPr>
                <w:rFonts w:ascii="Arial" w:hAnsi="Arial" w:cs="Arial"/>
                <w:sz w:val="24"/>
                <w:szCs w:val="24"/>
              </w:rPr>
              <w:t>) vs 44% (placebo) HR 0.17; 99.06% CI, 0.11 to 0.26</w:t>
            </w:r>
          </w:p>
          <w:p w14:paraId="1BC8F3AC" w14:textId="77777777" w:rsidR="009B5AA5" w:rsidRPr="00FA3F9C" w:rsidRDefault="009B5AA5" w:rsidP="00FC1E85">
            <w:pPr>
              <w:pStyle w:val="ListParagraph"/>
              <w:numPr>
                <w:ilvl w:val="0"/>
                <w:numId w:val="400"/>
              </w:numPr>
              <w:rPr>
                <w:rFonts w:ascii="Arial" w:hAnsi="Arial" w:cs="Arial"/>
                <w:sz w:val="24"/>
                <w:szCs w:val="24"/>
              </w:rPr>
            </w:pPr>
            <w:r w:rsidRPr="00FA3F9C">
              <w:rPr>
                <w:rFonts w:ascii="Arial" w:hAnsi="Arial" w:cs="Arial"/>
                <w:sz w:val="24"/>
                <w:szCs w:val="24"/>
              </w:rPr>
              <w:t>Percent of patients with distance/metastatic recurrence: 4% (</w:t>
            </w:r>
            <w:proofErr w:type="spellStart"/>
            <w:r w:rsidRPr="00FA3F9C">
              <w:rPr>
                <w:rFonts w:ascii="Arial" w:hAnsi="Arial" w:cs="Arial"/>
                <w:sz w:val="24"/>
                <w:szCs w:val="24"/>
              </w:rPr>
              <w:t>osimertinib</w:t>
            </w:r>
            <w:proofErr w:type="spellEnd"/>
            <w:r w:rsidRPr="00FA3F9C">
              <w:rPr>
                <w:rFonts w:ascii="Arial" w:hAnsi="Arial" w:cs="Arial"/>
                <w:sz w:val="24"/>
                <w:szCs w:val="24"/>
              </w:rPr>
              <w:t>) vs 28% (placebo)</w:t>
            </w:r>
          </w:p>
        </w:tc>
      </w:tr>
    </w:tbl>
    <w:p w14:paraId="26BFB582" w14:textId="77777777" w:rsidR="009B5AA5" w:rsidRPr="00FA3F9C" w:rsidRDefault="009B5AA5" w:rsidP="006F623F">
      <w:pPr>
        <w:spacing w:after="0"/>
        <w:rPr>
          <w:rFonts w:ascii="Arial" w:hAnsi="Arial" w:cs="Arial"/>
          <w:b/>
          <w:sz w:val="24"/>
          <w:szCs w:val="24"/>
          <w:u w:val="single"/>
        </w:rPr>
      </w:pPr>
    </w:p>
    <w:p w14:paraId="23A2FD7E" w14:textId="77777777" w:rsidR="009B5AA5" w:rsidRPr="00FA3F9C" w:rsidRDefault="009B5AA5" w:rsidP="006F623F">
      <w:pPr>
        <w:spacing w:after="0"/>
        <w:rPr>
          <w:rFonts w:ascii="Arial" w:hAnsi="Arial" w:cs="Arial"/>
          <w:sz w:val="24"/>
          <w:szCs w:val="24"/>
        </w:rPr>
      </w:pPr>
      <w:r w:rsidRPr="00FA3F9C">
        <w:rPr>
          <w:rFonts w:ascii="Arial" w:hAnsi="Arial" w:cs="Arial"/>
          <w:sz w:val="24"/>
          <w:szCs w:val="24"/>
        </w:rPr>
        <w:t>Quantity Limits:  30 tablets/30 days</w:t>
      </w:r>
    </w:p>
    <w:p w14:paraId="3EE38644" w14:textId="77777777" w:rsidR="009B5AA5" w:rsidRPr="00FA3F9C" w:rsidRDefault="009B5AA5" w:rsidP="006F623F">
      <w:pPr>
        <w:spacing w:after="0"/>
        <w:rPr>
          <w:rFonts w:ascii="Arial" w:hAnsi="Arial" w:cs="Arial"/>
          <w:sz w:val="24"/>
          <w:szCs w:val="24"/>
        </w:rPr>
      </w:pPr>
    </w:p>
    <w:p w14:paraId="39A2C116" w14:textId="77777777" w:rsidR="009B5AA5" w:rsidRPr="00FA3F9C" w:rsidRDefault="009B5AA5"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284"/>
        <w:gridCol w:w="7470"/>
        <w:gridCol w:w="2538"/>
      </w:tblGrid>
      <w:tr w:rsidR="009B5AA5" w:rsidRPr="00FA3F9C" w14:paraId="78ECCD3E" w14:textId="77777777" w:rsidTr="00FE491B">
        <w:tc>
          <w:tcPr>
            <w:tcW w:w="1008" w:type="dxa"/>
          </w:tcPr>
          <w:p w14:paraId="33D62F6D" w14:textId="77777777" w:rsidR="009B5AA5" w:rsidRPr="00FA3F9C" w:rsidRDefault="009B5AA5" w:rsidP="006F623F">
            <w:pPr>
              <w:rPr>
                <w:rFonts w:ascii="Arial" w:hAnsi="Arial" w:cs="Arial"/>
                <w:sz w:val="24"/>
                <w:szCs w:val="24"/>
              </w:rPr>
            </w:pPr>
            <w:r w:rsidRPr="00FA3F9C">
              <w:rPr>
                <w:rFonts w:ascii="Arial" w:hAnsi="Arial" w:cs="Arial"/>
                <w:sz w:val="24"/>
                <w:szCs w:val="24"/>
              </w:rPr>
              <w:t>Date</w:t>
            </w:r>
          </w:p>
        </w:tc>
        <w:tc>
          <w:tcPr>
            <w:tcW w:w="7470" w:type="dxa"/>
          </w:tcPr>
          <w:p w14:paraId="3AE6388C" w14:textId="77777777" w:rsidR="009B5AA5" w:rsidRPr="00FA3F9C" w:rsidRDefault="009B5AA5" w:rsidP="006F623F">
            <w:pPr>
              <w:rPr>
                <w:rFonts w:ascii="Arial" w:hAnsi="Arial" w:cs="Arial"/>
                <w:sz w:val="24"/>
                <w:szCs w:val="24"/>
              </w:rPr>
            </w:pPr>
            <w:r w:rsidRPr="00FA3F9C">
              <w:rPr>
                <w:rFonts w:ascii="Arial" w:hAnsi="Arial" w:cs="Arial"/>
                <w:sz w:val="24"/>
                <w:szCs w:val="24"/>
              </w:rPr>
              <w:t>What changed</w:t>
            </w:r>
          </w:p>
        </w:tc>
        <w:tc>
          <w:tcPr>
            <w:tcW w:w="2538" w:type="dxa"/>
          </w:tcPr>
          <w:p w14:paraId="2D14256F" w14:textId="77777777" w:rsidR="009B5AA5" w:rsidRPr="00FA3F9C" w:rsidRDefault="009B5AA5" w:rsidP="006F623F">
            <w:pPr>
              <w:rPr>
                <w:rFonts w:ascii="Arial" w:hAnsi="Arial" w:cs="Arial"/>
                <w:sz w:val="24"/>
                <w:szCs w:val="24"/>
              </w:rPr>
            </w:pPr>
            <w:r w:rsidRPr="00FA3F9C">
              <w:rPr>
                <w:rFonts w:ascii="Arial" w:hAnsi="Arial" w:cs="Arial"/>
                <w:sz w:val="24"/>
                <w:szCs w:val="24"/>
              </w:rPr>
              <w:t>Pharmacist’s initials</w:t>
            </w:r>
          </w:p>
        </w:tc>
      </w:tr>
      <w:tr w:rsidR="009B5AA5" w:rsidRPr="00FA3F9C" w14:paraId="4FC770F2" w14:textId="77777777" w:rsidTr="00FE491B">
        <w:tc>
          <w:tcPr>
            <w:tcW w:w="1008" w:type="dxa"/>
          </w:tcPr>
          <w:p w14:paraId="2F8AAD06" w14:textId="77777777" w:rsidR="009B5AA5" w:rsidRPr="00FA3F9C" w:rsidRDefault="009B5AA5" w:rsidP="006F623F">
            <w:pPr>
              <w:rPr>
                <w:rFonts w:ascii="Arial" w:hAnsi="Arial" w:cs="Arial"/>
                <w:sz w:val="24"/>
                <w:szCs w:val="24"/>
              </w:rPr>
            </w:pPr>
            <w:r w:rsidRPr="00FA3F9C">
              <w:rPr>
                <w:rFonts w:ascii="Arial" w:hAnsi="Arial" w:cs="Arial"/>
                <w:sz w:val="24"/>
                <w:szCs w:val="24"/>
              </w:rPr>
              <w:t>6/17/19</w:t>
            </w:r>
          </w:p>
        </w:tc>
        <w:tc>
          <w:tcPr>
            <w:tcW w:w="7470" w:type="dxa"/>
          </w:tcPr>
          <w:p w14:paraId="761C8F6D" w14:textId="77777777" w:rsidR="009B5AA5" w:rsidRPr="00FA3F9C" w:rsidRDefault="009B5AA5" w:rsidP="006F623F">
            <w:pPr>
              <w:rPr>
                <w:rFonts w:ascii="Arial" w:hAnsi="Arial" w:cs="Arial"/>
                <w:sz w:val="24"/>
                <w:szCs w:val="24"/>
              </w:rPr>
            </w:pPr>
            <w:r w:rsidRPr="00FA3F9C">
              <w:rPr>
                <w:rFonts w:ascii="Arial" w:hAnsi="Arial" w:cs="Arial"/>
                <w:sz w:val="24"/>
                <w:szCs w:val="24"/>
              </w:rPr>
              <w:t>Criteria written</w:t>
            </w:r>
          </w:p>
        </w:tc>
        <w:tc>
          <w:tcPr>
            <w:tcW w:w="2538" w:type="dxa"/>
          </w:tcPr>
          <w:p w14:paraId="40B7370B" w14:textId="77777777" w:rsidR="009B5AA5" w:rsidRPr="00FA3F9C" w:rsidRDefault="009B5AA5" w:rsidP="006F623F">
            <w:pPr>
              <w:rPr>
                <w:rFonts w:ascii="Arial" w:hAnsi="Arial" w:cs="Arial"/>
                <w:sz w:val="24"/>
                <w:szCs w:val="24"/>
              </w:rPr>
            </w:pPr>
            <w:r w:rsidRPr="00FA3F9C">
              <w:rPr>
                <w:rFonts w:ascii="Arial" w:hAnsi="Arial" w:cs="Arial"/>
                <w:sz w:val="24"/>
                <w:szCs w:val="24"/>
              </w:rPr>
              <w:t>SK</w:t>
            </w:r>
          </w:p>
        </w:tc>
      </w:tr>
      <w:tr w:rsidR="009B5AA5" w:rsidRPr="00FA3F9C" w14:paraId="6F6CA4B3" w14:textId="77777777" w:rsidTr="00FE491B">
        <w:tc>
          <w:tcPr>
            <w:tcW w:w="1008" w:type="dxa"/>
          </w:tcPr>
          <w:p w14:paraId="3144C67C" w14:textId="77777777" w:rsidR="009B5AA5" w:rsidRPr="00FA3F9C" w:rsidRDefault="009B5AA5" w:rsidP="006F623F">
            <w:pPr>
              <w:rPr>
                <w:rFonts w:ascii="Arial" w:hAnsi="Arial" w:cs="Arial"/>
                <w:sz w:val="24"/>
                <w:szCs w:val="24"/>
              </w:rPr>
            </w:pPr>
            <w:r w:rsidRPr="00FA3F9C">
              <w:rPr>
                <w:rFonts w:ascii="Arial" w:hAnsi="Arial" w:cs="Arial"/>
                <w:sz w:val="24"/>
                <w:szCs w:val="24"/>
              </w:rPr>
              <w:t>3/30/2020</w:t>
            </w:r>
          </w:p>
        </w:tc>
        <w:tc>
          <w:tcPr>
            <w:tcW w:w="7470" w:type="dxa"/>
          </w:tcPr>
          <w:p w14:paraId="367F6355" w14:textId="77777777" w:rsidR="009B5AA5" w:rsidRPr="00FA3F9C" w:rsidRDefault="009B5AA5" w:rsidP="006F623F">
            <w:pPr>
              <w:rPr>
                <w:rFonts w:ascii="Arial" w:hAnsi="Arial" w:cs="Arial"/>
                <w:sz w:val="24"/>
                <w:szCs w:val="24"/>
              </w:rPr>
            </w:pPr>
            <w:r w:rsidRPr="00FA3F9C">
              <w:rPr>
                <w:rFonts w:ascii="Arial" w:hAnsi="Arial" w:cs="Arial"/>
                <w:sz w:val="24"/>
                <w:szCs w:val="24"/>
              </w:rPr>
              <w:t>Added study for updated OS data for first line use. No change to criteria</w:t>
            </w:r>
          </w:p>
        </w:tc>
        <w:tc>
          <w:tcPr>
            <w:tcW w:w="2538" w:type="dxa"/>
          </w:tcPr>
          <w:p w14:paraId="50127704" w14:textId="77777777" w:rsidR="009B5AA5" w:rsidRPr="00FA3F9C" w:rsidRDefault="009B5AA5" w:rsidP="006F623F">
            <w:pPr>
              <w:rPr>
                <w:rFonts w:ascii="Arial" w:hAnsi="Arial" w:cs="Arial"/>
                <w:sz w:val="24"/>
                <w:szCs w:val="24"/>
              </w:rPr>
            </w:pPr>
            <w:r w:rsidRPr="00FA3F9C">
              <w:rPr>
                <w:rFonts w:ascii="Arial" w:hAnsi="Arial" w:cs="Arial"/>
                <w:sz w:val="24"/>
                <w:szCs w:val="24"/>
              </w:rPr>
              <w:t>SK</w:t>
            </w:r>
          </w:p>
        </w:tc>
      </w:tr>
      <w:tr w:rsidR="009B5AA5" w:rsidRPr="00FA3F9C" w14:paraId="552FEBA1" w14:textId="77777777" w:rsidTr="00FE491B">
        <w:tc>
          <w:tcPr>
            <w:tcW w:w="1008" w:type="dxa"/>
          </w:tcPr>
          <w:p w14:paraId="35F75579" w14:textId="77777777" w:rsidR="009B5AA5" w:rsidRPr="00FA3F9C" w:rsidRDefault="009B5AA5" w:rsidP="006F623F">
            <w:pPr>
              <w:rPr>
                <w:rFonts w:ascii="Arial" w:hAnsi="Arial" w:cs="Arial"/>
                <w:sz w:val="24"/>
                <w:szCs w:val="24"/>
              </w:rPr>
            </w:pPr>
            <w:r w:rsidRPr="00FA3F9C">
              <w:rPr>
                <w:rFonts w:ascii="Arial" w:hAnsi="Arial" w:cs="Arial"/>
                <w:sz w:val="24"/>
                <w:szCs w:val="24"/>
              </w:rPr>
              <w:t>1/28/2021</w:t>
            </w:r>
          </w:p>
        </w:tc>
        <w:tc>
          <w:tcPr>
            <w:tcW w:w="7470" w:type="dxa"/>
          </w:tcPr>
          <w:p w14:paraId="6C96D2E7" w14:textId="77777777" w:rsidR="009B5AA5" w:rsidRPr="00FA3F9C" w:rsidRDefault="009B5AA5" w:rsidP="006F623F">
            <w:pPr>
              <w:rPr>
                <w:rFonts w:ascii="Arial" w:hAnsi="Arial" w:cs="Arial"/>
                <w:sz w:val="24"/>
                <w:szCs w:val="24"/>
              </w:rPr>
            </w:pPr>
            <w:r w:rsidRPr="00FA3F9C">
              <w:rPr>
                <w:rFonts w:ascii="Arial" w:hAnsi="Arial" w:cs="Arial"/>
                <w:sz w:val="24"/>
                <w:szCs w:val="24"/>
              </w:rPr>
              <w:t>Add criteria for new indication (adjuvant treatment of EGFR mutated lung cancer)</w:t>
            </w:r>
          </w:p>
        </w:tc>
        <w:tc>
          <w:tcPr>
            <w:tcW w:w="2538" w:type="dxa"/>
          </w:tcPr>
          <w:p w14:paraId="7125E0D9" w14:textId="77777777" w:rsidR="009B5AA5" w:rsidRPr="00FA3F9C" w:rsidRDefault="009B5AA5" w:rsidP="006F623F">
            <w:pPr>
              <w:rPr>
                <w:rFonts w:ascii="Arial" w:hAnsi="Arial" w:cs="Arial"/>
                <w:sz w:val="24"/>
                <w:szCs w:val="24"/>
              </w:rPr>
            </w:pPr>
            <w:r w:rsidRPr="00FA3F9C">
              <w:rPr>
                <w:rFonts w:ascii="Arial" w:hAnsi="Arial" w:cs="Arial"/>
                <w:sz w:val="24"/>
                <w:szCs w:val="24"/>
              </w:rPr>
              <w:t>SK</w:t>
            </w:r>
          </w:p>
        </w:tc>
      </w:tr>
      <w:tr w:rsidR="009B5AA5" w:rsidRPr="00FA3F9C" w14:paraId="39CB42B8" w14:textId="77777777" w:rsidTr="00FE491B">
        <w:tc>
          <w:tcPr>
            <w:tcW w:w="1008" w:type="dxa"/>
          </w:tcPr>
          <w:p w14:paraId="2A6F50A3" w14:textId="77777777" w:rsidR="009B5AA5" w:rsidRPr="00FA3F9C" w:rsidRDefault="009B5AA5" w:rsidP="006F623F">
            <w:pPr>
              <w:rPr>
                <w:rFonts w:ascii="Arial" w:hAnsi="Arial" w:cs="Arial"/>
                <w:sz w:val="24"/>
                <w:szCs w:val="24"/>
              </w:rPr>
            </w:pPr>
            <w:r w:rsidRPr="00FA3F9C">
              <w:rPr>
                <w:rFonts w:ascii="Arial" w:hAnsi="Arial" w:cs="Arial"/>
                <w:sz w:val="24"/>
                <w:szCs w:val="24"/>
              </w:rPr>
              <w:t>7/26/2021</w:t>
            </w:r>
          </w:p>
        </w:tc>
        <w:tc>
          <w:tcPr>
            <w:tcW w:w="7470" w:type="dxa"/>
          </w:tcPr>
          <w:p w14:paraId="0B754C31" w14:textId="77777777" w:rsidR="009B5AA5" w:rsidRPr="00FA3F9C" w:rsidRDefault="009B5AA5" w:rsidP="006F623F">
            <w:pPr>
              <w:rPr>
                <w:rFonts w:ascii="Arial" w:hAnsi="Arial" w:cs="Arial"/>
                <w:sz w:val="24"/>
                <w:szCs w:val="24"/>
              </w:rPr>
            </w:pPr>
            <w:r w:rsidRPr="00FA3F9C">
              <w:rPr>
                <w:rFonts w:ascii="Arial" w:hAnsi="Arial" w:cs="Arial"/>
                <w:sz w:val="24"/>
                <w:szCs w:val="24"/>
              </w:rPr>
              <w:t>Criteria reviewed. No change</w:t>
            </w:r>
          </w:p>
        </w:tc>
        <w:tc>
          <w:tcPr>
            <w:tcW w:w="2538" w:type="dxa"/>
          </w:tcPr>
          <w:p w14:paraId="2DF8B883" w14:textId="77777777" w:rsidR="009B5AA5" w:rsidRPr="00FA3F9C" w:rsidRDefault="009B5AA5" w:rsidP="006F623F">
            <w:pPr>
              <w:rPr>
                <w:rFonts w:ascii="Arial" w:hAnsi="Arial" w:cs="Arial"/>
                <w:sz w:val="24"/>
                <w:szCs w:val="24"/>
              </w:rPr>
            </w:pPr>
            <w:r w:rsidRPr="00FA3F9C">
              <w:rPr>
                <w:rFonts w:ascii="Arial" w:hAnsi="Arial" w:cs="Arial"/>
                <w:sz w:val="24"/>
                <w:szCs w:val="24"/>
              </w:rPr>
              <w:t>SK</w:t>
            </w:r>
          </w:p>
        </w:tc>
      </w:tr>
    </w:tbl>
    <w:p w14:paraId="45CB7179" w14:textId="77777777" w:rsidR="009B5AA5" w:rsidRPr="00FA3F9C" w:rsidRDefault="009B5AA5" w:rsidP="006F623F">
      <w:pPr>
        <w:spacing w:after="0"/>
        <w:rPr>
          <w:rFonts w:ascii="Arial" w:hAnsi="Arial" w:cs="Arial"/>
          <w:sz w:val="24"/>
          <w:szCs w:val="24"/>
        </w:rPr>
      </w:pPr>
    </w:p>
    <w:p w14:paraId="0EEACCEF" w14:textId="77777777" w:rsidR="009B5AA5" w:rsidRPr="00FA3F9C" w:rsidRDefault="009B5AA5" w:rsidP="006F623F">
      <w:pPr>
        <w:spacing w:after="0"/>
        <w:jc w:val="center"/>
        <w:rPr>
          <w:rFonts w:ascii="Arial" w:hAnsi="Arial" w:cs="Arial"/>
          <w:sz w:val="24"/>
          <w:szCs w:val="24"/>
        </w:rPr>
      </w:pPr>
    </w:p>
    <w:p w14:paraId="75B05454" w14:textId="77777777" w:rsidR="009B5AA5" w:rsidRPr="00FA3F9C" w:rsidRDefault="009B5AA5" w:rsidP="00EF3B65">
      <w:pPr>
        <w:pStyle w:val="Heading2"/>
        <w:rPr>
          <w:lang w:val="es-ES"/>
        </w:rPr>
      </w:pPr>
      <w:bookmarkStart w:id="244" w:name="_Toc106369881"/>
      <w:proofErr w:type="spellStart"/>
      <w:r w:rsidRPr="00FA3F9C">
        <w:rPr>
          <w:lang w:val="es-ES"/>
        </w:rPr>
        <w:t>Oxycodone</w:t>
      </w:r>
      <w:proofErr w:type="spellEnd"/>
      <w:r w:rsidRPr="00FA3F9C">
        <w:rPr>
          <w:lang w:val="es-ES"/>
        </w:rPr>
        <w:t xml:space="preserve"> ER abuse </w:t>
      </w:r>
      <w:proofErr w:type="spellStart"/>
      <w:r w:rsidRPr="00FA3F9C">
        <w:rPr>
          <w:lang w:val="es-ES"/>
        </w:rPr>
        <w:t>deterrent</w:t>
      </w:r>
      <w:proofErr w:type="spellEnd"/>
      <w:r w:rsidRPr="00FA3F9C">
        <w:rPr>
          <w:lang w:val="es-ES"/>
        </w:rPr>
        <w:t xml:space="preserve"> (</w:t>
      </w:r>
      <w:proofErr w:type="spellStart"/>
      <w:r w:rsidRPr="00FA3F9C">
        <w:rPr>
          <w:lang w:val="es-ES"/>
        </w:rPr>
        <w:t>Xtampza</w:t>
      </w:r>
      <w:proofErr w:type="spellEnd"/>
      <w:r w:rsidRPr="00FA3F9C">
        <w:rPr>
          <w:lang w:val="es-ES"/>
        </w:rPr>
        <w:t xml:space="preserve"> ER)</w:t>
      </w:r>
      <w:bookmarkEnd w:id="244"/>
    </w:p>
    <w:p w14:paraId="08A00119" w14:textId="1871A76D" w:rsidR="009B5AA5" w:rsidRDefault="009B5AA5" w:rsidP="006F623F">
      <w:pPr>
        <w:spacing w:after="0"/>
        <w:jc w:val="center"/>
        <w:rPr>
          <w:rFonts w:ascii="Arial" w:hAnsi="Arial" w:cs="Arial"/>
          <w:sz w:val="24"/>
          <w:szCs w:val="24"/>
        </w:rPr>
      </w:pPr>
      <w:r w:rsidRPr="00FA3F9C">
        <w:rPr>
          <w:rFonts w:ascii="Arial" w:hAnsi="Arial" w:cs="Arial"/>
          <w:sz w:val="24"/>
          <w:szCs w:val="24"/>
        </w:rPr>
        <w:t>9, 13.5, 18, 27, 36mg ER capsules</w:t>
      </w:r>
    </w:p>
    <w:p w14:paraId="791B203E" w14:textId="77777777" w:rsidR="00EF3B65" w:rsidRPr="00222A23" w:rsidRDefault="00EF3B65" w:rsidP="00EF3B65">
      <w:pPr>
        <w:spacing w:after="0"/>
        <w:jc w:val="center"/>
        <w:rPr>
          <w:rFonts w:ascii="Arial" w:hAnsi="Arial" w:cs="Arial"/>
          <w:sz w:val="24"/>
          <w:szCs w:val="24"/>
        </w:rPr>
      </w:pPr>
      <w:r w:rsidRPr="00222A23">
        <w:rPr>
          <w:rFonts w:ascii="Arial" w:hAnsi="Arial" w:cs="Arial"/>
          <w:sz w:val="24"/>
          <w:szCs w:val="24"/>
        </w:rPr>
        <w:t>EBRx PA Criteria</w:t>
      </w:r>
    </w:p>
    <w:p w14:paraId="5B30C5A5" w14:textId="77777777" w:rsidR="00EF3B65" w:rsidRPr="00FA3F9C" w:rsidRDefault="00EF3B65" w:rsidP="006F623F">
      <w:pPr>
        <w:spacing w:after="0"/>
        <w:jc w:val="center"/>
        <w:rPr>
          <w:rFonts w:ascii="Arial" w:hAnsi="Arial" w:cs="Arial"/>
          <w:sz w:val="24"/>
          <w:szCs w:val="24"/>
        </w:rPr>
      </w:pPr>
    </w:p>
    <w:p w14:paraId="7D56C2D1" w14:textId="77777777" w:rsidR="009B5AA5" w:rsidRPr="00FA3F9C" w:rsidRDefault="009B5AA5" w:rsidP="006F623F">
      <w:pPr>
        <w:spacing w:after="0"/>
        <w:rPr>
          <w:rFonts w:ascii="Arial" w:hAnsi="Arial" w:cs="Arial"/>
          <w:b/>
          <w:sz w:val="24"/>
          <w:szCs w:val="24"/>
          <w:u w:val="single"/>
        </w:rPr>
      </w:pPr>
    </w:p>
    <w:p w14:paraId="047CC89C" w14:textId="77777777" w:rsidR="009B5AA5" w:rsidRPr="00FA3F9C" w:rsidRDefault="009B5AA5" w:rsidP="0080764D">
      <w:pPr>
        <w:rPr>
          <w:rFonts w:ascii="Arial" w:eastAsia="Times New Roman"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treatment of pain:  It </w:t>
      </w:r>
      <w:r w:rsidRPr="00FA3F9C">
        <w:rPr>
          <w:rFonts w:ascii="Arial" w:eastAsia="Times New Roman" w:hAnsi="Arial" w:cs="Arial"/>
          <w:sz w:val="24"/>
          <w:szCs w:val="24"/>
        </w:rPr>
        <w:t xml:space="preserve">is an opioid agonist product indicated for the management of pain severe enough to require daily, around-the-clock, long-term opioid treatment and for which alternative treatment options are inadequate.  Limitations of Use • Because of the risks of addiction, abuse, and misuse with opioids, even at recommended doses, and because of the greater risks of overdose and death with extended-release opioid formulations, reserve XTAMPZA ER for use in patients for whom alternative treatment options (e.g., nonopioid analgesics or immediate-release opioids) are ineffective, not tolerated, or would be otherwise inadequate to provide sufficient management of pain. (1) • XTAMPZA ER is not indicated as an as-needed (prn) analgesic. </w:t>
      </w:r>
    </w:p>
    <w:tbl>
      <w:tblPr>
        <w:tblStyle w:val="TableGrid"/>
        <w:tblW w:w="0" w:type="auto"/>
        <w:tblLook w:val="04A0" w:firstRow="1" w:lastRow="0" w:firstColumn="1" w:lastColumn="0" w:noHBand="0" w:noVBand="1"/>
      </w:tblPr>
      <w:tblGrid>
        <w:gridCol w:w="8928"/>
        <w:gridCol w:w="2088"/>
      </w:tblGrid>
      <w:tr w:rsidR="009B5AA5" w:rsidRPr="00FA3F9C" w14:paraId="1C4746B8" w14:textId="77777777" w:rsidTr="00571CAB">
        <w:tc>
          <w:tcPr>
            <w:tcW w:w="8928" w:type="dxa"/>
            <w:shd w:val="clear" w:color="auto" w:fill="000000"/>
          </w:tcPr>
          <w:p w14:paraId="4228C5BD" w14:textId="77777777" w:rsidR="009B5AA5" w:rsidRPr="00FA3F9C" w:rsidRDefault="009B5AA5" w:rsidP="0080764D">
            <w:pPr>
              <w:rPr>
                <w:rFonts w:ascii="Arial" w:hAnsi="Arial" w:cs="Arial"/>
                <w:b/>
                <w:sz w:val="24"/>
                <w:szCs w:val="24"/>
                <w:u w:val="single"/>
              </w:rPr>
            </w:pPr>
            <w:r w:rsidRPr="00FA3F9C">
              <w:rPr>
                <w:rFonts w:ascii="Arial" w:hAnsi="Arial" w:cs="Arial"/>
                <w:b/>
                <w:sz w:val="24"/>
                <w:szCs w:val="24"/>
                <w:u w:val="single"/>
              </w:rPr>
              <w:lastRenderedPageBreak/>
              <w:t xml:space="preserve">Criteria </w:t>
            </w:r>
          </w:p>
        </w:tc>
        <w:tc>
          <w:tcPr>
            <w:tcW w:w="2088" w:type="dxa"/>
            <w:shd w:val="clear" w:color="auto" w:fill="000000"/>
          </w:tcPr>
          <w:p w14:paraId="3136BEED" w14:textId="77777777" w:rsidR="009B5AA5" w:rsidRPr="00FA3F9C" w:rsidRDefault="009B5AA5" w:rsidP="006F623F">
            <w:pPr>
              <w:jc w:val="center"/>
              <w:rPr>
                <w:rFonts w:ascii="Arial" w:hAnsi="Arial" w:cs="Arial"/>
                <w:b/>
                <w:sz w:val="24"/>
                <w:szCs w:val="24"/>
                <w:u w:val="single"/>
              </w:rPr>
            </w:pPr>
          </w:p>
        </w:tc>
      </w:tr>
      <w:tr w:rsidR="009B5AA5" w:rsidRPr="00FA3F9C" w14:paraId="7F74E2F3" w14:textId="77777777" w:rsidTr="00F337AE">
        <w:tc>
          <w:tcPr>
            <w:tcW w:w="11016" w:type="dxa"/>
            <w:gridSpan w:val="2"/>
          </w:tcPr>
          <w:p w14:paraId="7570B24B" w14:textId="77777777" w:rsidR="009B5AA5" w:rsidRPr="00FA3F9C" w:rsidRDefault="009B5AA5" w:rsidP="006F623F">
            <w:pPr>
              <w:rPr>
                <w:rFonts w:ascii="Arial" w:hAnsi="Arial" w:cs="Arial"/>
                <w:sz w:val="24"/>
                <w:szCs w:val="24"/>
              </w:rPr>
            </w:pPr>
            <w:r w:rsidRPr="00FA3F9C">
              <w:rPr>
                <w:rFonts w:ascii="Arial" w:hAnsi="Arial" w:cs="Arial"/>
                <w:sz w:val="24"/>
                <w:szCs w:val="24"/>
              </w:rPr>
              <w:t xml:space="preserve">1.  No overlapping </w:t>
            </w:r>
            <w:proofErr w:type="spellStart"/>
            <w:r w:rsidRPr="00FA3F9C">
              <w:rPr>
                <w:rFonts w:ascii="Arial" w:hAnsi="Arial" w:cs="Arial"/>
                <w:sz w:val="24"/>
                <w:szCs w:val="24"/>
              </w:rPr>
              <w:t>days</w:t>
            </w:r>
            <w:proofErr w:type="spellEnd"/>
            <w:r w:rsidRPr="00FA3F9C">
              <w:rPr>
                <w:rFonts w:ascii="Arial" w:hAnsi="Arial" w:cs="Arial"/>
                <w:sz w:val="24"/>
                <w:szCs w:val="24"/>
              </w:rPr>
              <w:t xml:space="preserve"> supply with another </w:t>
            </w:r>
            <w:proofErr w:type="gramStart"/>
            <w:r w:rsidRPr="00FA3F9C">
              <w:rPr>
                <w:rFonts w:ascii="Arial" w:hAnsi="Arial" w:cs="Arial"/>
                <w:sz w:val="24"/>
                <w:szCs w:val="24"/>
              </w:rPr>
              <w:t>long acting</w:t>
            </w:r>
            <w:proofErr w:type="gramEnd"/>
            <w:r w:rsidRPr="00FA3F9C">
              <w:rPr>
                <w:rFonts w:ascii="Arial" w:hAnsi="Arial" w:cs="Arial"/>
                <w:sz w:val="24"/>
                <w:szCs w:val="24"/>
              </w:rPr>
              <w:t xml:space="preserve"> opiate unless, by the discretion of the call pharmacist, they are in the process of switching from another long acting opiate to </w:t>
            </w:r>
            <w:proofErr w:type="spellStart"/>
            <w:r w:rsidRPr="00FA3F9C">
              <w:rPr>
                <w:rFonts w:ascii="Arial" w:hAnsi="Arial" w:cs="Arial"/>
                <w:sz w:val="24"/>
                <w:szCs w:val="24"/>
              </w:rPr>
              <w:t>Xtampza</w:t>
            </w:r>
            <w:proofErr w:type="spellEnd"/>
            <w:r w:rsidRPr="00FA3F9C">
              <w:rPr>
                <w:rFonts w:ascii="Arial" w:hAnsi="Arial" w:cs="Arial"/>
                <w:sz w:val="24"/>
                <w:szCs w:val="24"/>
              </w:rPr>
              <w:t xml:space="preserve"> ER.</w:t>
            </w:r>
          </w:p>
        </w:tc>
      </w:tr>
      <w:tr w:rsidR="009B5AA5" w:rsidRPr="00FA3F9C" w14:paraId="4CCD3BAC" w14:textId="77777777" w:rsidTr="00B1617E">
        <w:tc>
          <w:tcPr>
            <w:tcW w:w="11016" w:type="dxa"/>
            <w:gridSpan w:val="2"/>
          </w:tcPr>
          <w:p w14:paraId="42338049" w14:textId="77777777" w:rsidR="009B5AA5" w:rsidRPr="00FA3F9C" w:rsidRDefault="009B5AA5" w:rsidP="006F623F">
            <w:pPr>
              <w:rPr>
                <w:rFonts w:ascii="Arial" w:hAnsi="Arial" w:cs="Arial"/>
                <w:sz w:val="24"/>
                <w:szCs w:val="24"/>
              </w:rPr>
            </w:pPr>
            <w:r w:rsidRPr="00FA3F9C">
              <w:rPr>
                <w:rFonts w:ascii="Arial" w:hAnsi="Arial" w:cs="Arial"/>
                <w:sz w:val="24"/>
                <w:szCs w:val="24"/>
              </w:rPr>
              <w:t>2.  Doses above 72mg per day may be allowed by the call pharmacist if the patient is opiate tolerant</w:t>
            </w:r>
          </w:p>
        </w:tc>
      </w:tr>
    </w:tbl>
    <w:p w14:paraId="78771670" w14:textId="77777777" w:rsidR="009B5AA5" w:rsidRPr="00FA3F9C" w:rsidRDefault="009B5AA5" w:rsidP="006F623F">
      <w:pPr>
        <w:spacing w:after="0"/>
        <w:rPr>
          <w:rFonts w:ascii="Arial" w:hAnsi="Arial" w:cs="Arial"/>
          <w:b/>
          <w:sz w:val="24"/>
          <w:szCs w:val="24"/>
          <w:u w:val="single"/>
        </w:rPr>
      </w:pPr>
    </w:p>
    <w:tbl>
      <w:tblPr>
        <w:tblStyle w:val="TableGrid"/>
        <w:tblW w:w="0" w:type="auto"/>
        <w:shd w:val="clear" w:color="auto" w:fill="BFBFBF" w:themeFill="background1" w:themeFillShade="BF"/>
        <w:tblLook w:val="04A0" w:firstRow="1" w:lastRow="0" w:firstColumn="1" w:lastColumn="0" w:noHBand="0" w:noVBand="1"/>
      </w:tblPr>
      <w:tblGrid>
        <w:gridCol w:w="10998"/>
      </w:tblGrid>
      <w:tr w:rsidR="009B5AA5" w:rsidRPr="00FA3F9C" w14:paraId="4BAE27BB" w14:textId="77777777" w:rsidTr="00D82B6E">
        <w:tc>
          <w:tcPr>
            <w:tcW w:w="10998" w:type="dxa"/>
            <w:shd w:val="clear" w:color="auto" w:fill="BFBFBF" w:themeFill="background1" w:themeFillShade="BF"/>
          </w:tcPr>
          <w:p w14:paraId="0BA4C88B" w14:textId="77777777" w:rsidR="009B5AA5" w:rsidRPr="00FA3F9C" w:rsidRDefault="009B5AA5" w:rsidP="0080764D">
            <w:pPr>
              <w:rPr>
                <w:rFonts w:ascii="Arial" w:hAnsi="Arial" w:cs="Arial"/>
                <w:sz w:val="24"/>
                <w:szCs w:val="24"/>
              </w:rPr>
            </w:pPr>
            <w:r w:rsidRPr="00FA3F9C">
              <w:rPr>
                <w:rFonts w:ascii="Arial" w:hAnsi="Arial" w:cs="Arial"/>
                <w:sz w:val="24"/>
                <w:szCs w:val="24"/>
              </w:rPr>
              <w:t>Note: Quantity Limits:  2/1; max dose is 288mg per day</w:t>
            </w:r>
          </w:p>
        </w:tc>
      </w:tr>
    </w:tbl>
    <w:p w14:paraId="7337035A" w14:textId="77777777" w:rsidR="009B5AA5" w:rsidRPr="00FA3F9C" w:rsidRDefault="009B5AA5" w:rsidP="006F623F">
      <w:pPr>
        <w:spacing w:after="0"/>
        <w:rPr>
          <w:rFonts w:ascii="Arial" w:hAnsi="Arial" w:cs="Arial"/>
          <w:sz w:val="24"/>
          <w:szCs w:val="24"/>
        </w:rPr>
      </w:pPr>
    </w:p>
    <w:p w14:paraId="20888C68" w14:textId="77777777" w:rsidR="009B5AA5" w:rsidRPr="00FA3F9C" w:rsidRDefault="009B5AA5" w:rsidP="006F623F">
      <w:pPr>
        <w:spacing w:after="0"/>
        <w:rPr>
          <w:rFonts w:ascii="Arial" w:hAnsi="Arial" w:cs="Arial"/>
          <w:sz w:val="24"/>
          <w:szCs w:val="24"/>
        </w:rPr>
      </w:pPr>
      <w:r w:rsidRPr="00FA3F9C">
        <w:rPr>
          <w:rFonts w:ascii="Arial" w:hAnsi="Arial" w:cs="Arial"/>
          <w:sz w:val="24"/>
          <w:szCs w:val="24"/>
        </w:rPr>
        <w:t>References:</w:t>
      </w:r>
    </w:p>
    <w:p w14:paraId="317F3D3C" w14:textId="77777777" w:rsidR="009B5AA5" w:rsidRPr="00FA3F9C" w:rsidRDefault="009B5AA5" w:rsidP="0080764D">
      <w:pPr>
        <w:rPr>
          <w:rFonts w:ascii="Arial" w:hAnsi="Arial" w:cs="Arial"/>
          <w:sz w:val="24"/>
          <w:szCs w:val="24"/>
        </w:rPr>
      </w:pPr>
      <w:r w:rsidRPr="00FA3F9C">
        <w:rPr>
          <w:rFonts w:ascii="Arial" w:hAnsi="Arial" w:cs="Arial"/>
          <w:sz w:val="24"/>
          <w:szCs w:val="24"/>
        </w:rPr>
        <w:t xml:space="preserve">1.  Katz, Nathaniel, et al. "A phase 3, multicenter, randomized, double-blind, placebo-controlled, safety, tolerability, and efficacy study of </w:t>
      </w:r>
      <w:proofErr w:type="spellStart"/>
      <w:r w:rsidRPr="00FA3F9C">
        <w:rPr>
          <w:rFonts w:ascii="Arial" w:hAnsi="Arial" w:cs="Arial"/>
          <w:sz w:val="24"/>
          <w:szCs w:val="24"/>
        </w:rPr>
        <w:t>Xtampza</w:t>
      </w:r>
      <w:proofErr w:type="spellEnd"/>
      <w:r w:rsidRPr="00FA3F9C">
        <w:rPr>
          <w:rFonts w:ascii="Arial" w:hAnsi="Arial" w:cs="Arial"/>
          <w:sz w:val="24"/>
          <w:szCs w:val="24"/>
        </w:rPr>
        <w:t xml:space="preserve"> ER in patients with moderate-to-severe chronic low back pain." Pain 156.12 (2015): 2458-2467.</w:t>
      </w:r>
    </w:p>
    <w:p w14:paraId="795CFD43" w14:textId="77777777" w:rsidR="009B5AA5" w:rsidRPr="00FA3F9C" w:rsidRDefault="009B5AA5" w:rsidP="006F623F">
      <w:pPr>
        <w:spacing w:after="0"/>
        <w:rPr>
          <w:rFonts w:ascii="Arial" w:hAnsi="Arial" w:cs="Arial"/>
          <w:sz w:val="24"/>
          <w:szCs w:val="24"/>
        </w:rPr>
      </w:pPr>
    </w:p>
    <w:p w14:paraId="7F6CE4B4" w14:textId="77777777" w:rsidR="009B5AA5" w:rsidRPr="00FA3F9C" w:rsidRDefault="009B5AA5"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008"/>
        <w:gridCol w:w="7470"/>
        <w:gridCol w:w="2538"/>
      </w:tblGrid>
      <w:tr w:rsidR="009B5AA5" w:rsidRPr="00FA3F9C" w14:paraId="0E503737" w14:textId="77777777" w:rsidTr="00FE491B">
        <w:tc>
          <w:tcPr>
            <w:tcW w:w="1008" w:type="dxa"/>
          </w:tcPr>
          <w:p w14:paraId="0F8EC6DA" w14:textId="77777777" w:rsidR="009B5AA5" w:rsidRPr="00FA3F9C" w:rsidRDefault="009B5AA5" w:rsidP="006F623F">
            <w:pPr>
              <w:rPr>
                <w:rFonts w:ascii="Arial" w:hAnsi="Arial" w:cs="Arial"/>
                <w:sz w:val="24"/>
                <w:szCs w:val="24"/>
              </w:rPr>
            </w:pPr>
            <w:r w:rsidRPr="00FA3F9C">
              <w:rPr>
                <w:rFonts w:ascii="Arial" w:hAnsi="Arial" w:cs="Arial"/>
                <w:sz w:val="24"/>
                <w:szCs w:val="24"/>
              </w:rPr>
              <w:t>Date</w:t>
            </w:r>
          </w:p>
        </w:tc>
        <w:tc>
          <w:tcPr>
            <w:tcW w:w="7470" w:type="dxa"/>
          </w:tcPr>
          <w:p w14:paraId="736F5D9A" w14:textId="77777777" w:rsidR="009B5AA5" w:rsidRPr="00FA3F9C" w:rsidRDefault="009B5AA5" w:rsidP="006F623F">
            <w:pPr>
              <w:rPr>
                <w:rFonts w:ascii="Arial" w:hAnsi="Arial" w:cs="Arial"/>
                <w:sz w:val="24"/>
                <w:szCs w:val="24"/>
              </w:rPr>
            </w:pPr>
            <w:r w:rsidRPr="00FA3F9C">
              <w:rPr>
                <w:rFonts w:ascii="Arial" w:hAnsi="Arial" w:cs="Arial"/>
                <w:sz w:val="24"/>
                <w:szCs w:val="24"/>
              </w:rPr>
              <w:t>What changed</w:t>
            </w:r>
          </w:p>
        </w:tc>
        <w:tc>
          <w:tcPr>
            <w:tcW w:w="2538" w:type="dxa"/>
          </w:tcPr>
          <w:p w14:paraId="1266D6EF" w14:textId="77777777" w:rsidR="009B5AA5" w:rsidRPr="00FA3F9C" w:rsidRDefault="009B5AA5" w:rsidP="006F623F">
            <w:pPr>
              <w:rPr>
                <w:rFonts w:ascii="Arial" w:hAnsi="Arial" w:cs="Arial"/>
                <w:sz w:val="24"/>
                <w:szCs w:val="24"/>
              </w:rPr>
            </w:pPr>
            <w:r w:rsidRPr="00FA3F9C">
              <w:rPr>
                <w:rFonts w:ascii="Arial" w:hAnsi="Arial" w:cs="Arial"/>
                <w:sz w:val="24"/>
                <w:szCs w:val="24"/>
              </w:rPr>
              <w:t>Pharmacist’s initials</w:t>
            </w:r>
          </w:p>
        </w:tc>
      </w:tr>
      <w:tr w:rsidR="009B5AA5" w:rsidRPr="00FA3F9C" w14:paraId="6DAAE7F3" w14:textId="77777777" w:rsidTr="00FE491B">
        <w:tc>
          <w:tcPr>
            <w:tcW w:w="1008" w:type="dxa"/>
          </w:tcPr>
          <w:p w14:paraId="3662E8C9" w14:textId="77777777" w:rsidR="009B5AA5" w:rsidRPr="00FA3F9C" w:rsidRDefault="009B5AA5" w:rsidP="006F623F">
            <w:pPr>
              <w:rPr>
                <w:rFonts w:ascii="Arial" w:hAnsi="Arial" w:cs="Arial"/>
                <w:sz w:val="24"/>
                <w:szCs w:val="24"/>
              </w:rPr>
            </w:pPr>
            <w:r w:rsidRPr="00FA3F9C">
              <w:rPr>
                <w:rFonts w:ascii="Arial" w:hAnsi="Arial" w:cs="Arial"/>
                <w:sz w:val="24"/>
                <w:szCs w:val="24"/>
              </w:rPr>
              <w:t>7/1/16</w:t>
            </w:r>
          </w:p>
        </w:tc>
        <w:tc>
          <w:tcPr>
            <w:tcW w:w="7470" w:type="dxa"/>
          </w:tcPr>
          <w:p w14:paraId="0B893C84" w14:textId="77777777" w:rsidR="009B5AA5" w:rsidRPr="00FA3F9C" w:rsidRDefault="009B5AA5" w:rsidP="006F623F">
            <w:pPr>
              <w:rPr>
                <w:rFonts w:ascii="Arial" w:hAnsi="Arial" w:cs="Arial"/>
                <w:sz w:val="24"/>
                <w:szCs w:val="24"/>
              </w:rPr>
            </w:pPr>
            <w:r w:rsidRPr="00FA3F9C">
              <w:rPr>
                <w:rFonts w:ascii="Arial" w:hAnsi="Arial" w:cs="Arial"/>
                <w:sz w:val="24"/>
                <w:szCs w:val="24"/>
              </w:rPr>
              <w:t>I wrote the criteria.</w:t>
            </w:r>
          </w:p>
        </w:tc>
        <w:tc>
          <w:tcPr>
            <w:tcW w:w="2538" w:type="dxa"/>
          </w:tcPr>
          <w:p w14:paraId="2AE35119" w14:textId="7BD47ACD" w:rsidR="009B5AA5" w:rsidRPr="00FA3F9C" w:rsidRDefault="005C142D" w:rsidP="006F623F">
            <w:pPr>
              <w:rPr>
                <w:rFonts w:ascii="Arial" w:hAnsi="Arial" w:cs="Arial"/>
                <w:sz w:val="24"/>
                <w:szCs w:val="24"/>
              </w:rPr>
            </w:pPr>
            <w:r w:rsidRPr="00FA3F9C">
              <w:rPr>
                <w:rFonts w:ascii="Arial" w:hAnsi="Arial" w:cs="Arial"/>
                <w:sz w:val="24"/>
                <w:szCs w:val="24"/>
              </w:rPr>
              <w:t>JJ</w:t>
            </w:r>
          </w:p>
        </w:tc>
      </w:tr>
      <w:tr w:rsidR="009B5AA5" w:rsidRPr="00FA3F9C" w14:paraId="4D1268B4" w14:textId="77777777" w:rsidTr="00FE491B">
        <w:tc>
          <w:tcPr>
            <w:tcW w:w="1008" w:type="dxa"/>
          </w:tcPr>
          <w:p w14:paraId="50913423" w14:textId="77777777" w:rsidR="009B5AA5" w:rsidRPr="00FA3F9C" w:rsidRDefault="009B5AA5" w:rsidP="006F623F">
            <w:pPr>
              <w:rPr>
                <w:rFonts w:ascii="Arial" w:hAnsi="Arial" w:cs="Arial"/>
                <w:sz w:val="24"/>
                <w:szCs w:val="24"/>
              </w:rPr>
            </w:pPr>
          </w:p>
        </w:tc>
        <w:tc>
          <w:tcPr>
            <w:tcW w:w="7470" w:type="dxa"/>
          </w:tcPr>
          <w:p w14:paraId="6D89FB0E" w14:textId="77777777" w:rsidR="009B5AA5" w:rsidRPr="00FA3F9C" w:rsidRDefault="009B5AA5" w:rsidP="006F623F">
            <w:pPr>
              <w:rPr>
                <w:rFonts w:ascii="Arial" w:hAnsi="Arial" w:cs="Arial"/>
                <w:sz w:val="24"/>
                <w:szCs w:val="24"/>
              </w:rPr>
            </w:pPr>
          </w:p>
        </w:tc>
        <w:tc>
          <w:tcPr>
            <w:tcW w:w="2538" w:type="dxa"/>
          </w:tcPr>
          <w:p w14:paraId="617127D8" w14:textId="77777777" w:rsidR="009B5AA5" w:rsidRPr="00FA3F9C" w:rsidRDefault="009B5AA5" w:rsidP="006F623F">
            <w:pPr>
              <w:rPr>
                <w:rFonts w:ascii="Arial" w:hAnsi="Arial" w:cs="Arial"/>
                <w:sz w:val="24"/>
                <w:szCs w:val="24"/>
              </w:rPr>
            </w:pPr>
          </w:p>
        </w:tc>
      </w:tr>
    </w:tbl>
    <w:p w14:paraId="5647960F" w14:textId="77777777" w:rsidR="009B5AA5" w:rsidRPr="00FA3F9C" w:rsidRDefault="009B5AA5" w:rsidP="006F623F">
      <w:pPr>
        <w:spacing w:after="0"/>
        <w:rPr>
          <w:rFonts w:ascii="Arial" w:hAnsi="Arial" w:cs="Arial"/>
          <w:sz w:val="24"/>
          <w:szCs w:val="24"/>
        </w:rPr>
      </w:pPr>
    </w:p>
    <w:p w14:paraId="3476259E" w14:textId="77777777" w:rsidR="009B5AA5" w:rsidRPr="00FA3F9C" w:rsidRDefault="009B5AA5" w:rsidP="00EF3B65">
      <w:pPr>
        <w:pStyle w:val="Heading2"/>
      </w:pPr>
      <w:bookmarkStart w:id="245" w:name="_Toc106369882"/>
      <w:r w:rsidRPr="00FA3F9C">
        <w:t>Ozanimod (</w:t>
      </w:r>
      <w:proofErr w:type="spellStart"/>
      <w:r w:rsidRPr="00FA3F9C">
        <w:t>Zeposia</w:t>
      </w:r>
      <w:proofErr w:type="spellEnd"/>
      <w:r w:rsidRPr="00FA3F9C">
        <w:t>)</w:t>
      </w:r>
      <w:bookmarkEnd w:id="245"/>
    </w:p>
    <w:p w14:paraId="338DE5A8" w14:textId="77777777" w:rsidR="009B5AA5" w:rsidRPr="00FA3F9C" w:rsidRDefault="009B5AA5" w:rsidP="006F623F">
      <w:pPr>
        <w:spacing w:after="0"/>
        <w:jc w:val="center"/>
        <w:rPr>
          <w:rFonts w:ascii="Arial" w:hAnsi="Arial" w:cs="Arial"/>
          <w:sz w:val="24"/>
          <w:szCs w:val="24"/>
        </w:rPr>
      </w:pPr>
      <w:r w:rsidRPr="00FA3F9C">
        <w:rPr>
          <w:rFonts w:ascii="Arial" w:hAnsi="Arial" w:cs="Arial"/>
          <w:sz w:val="24"/>
          <w:szCs w:val="24"/>
        </w:rPr>
        <w:t>EBRx PA Criteria</w:t>
      </w:r>
    </w:p>
    <w:p w14:paraId="65B02DE7" w14:textId="77777777" w:rsidR="009B5AA5" w:rsidRPr="00FA3F9C" w:rsidRDefault="009B5AA5" w:rsidP="006F623F">
      <w:pPr>
        <w:spacing w:after="0"/>
        <w:rPr>
          <w:rFonts w:ascii="Arial" w:hAnsi="Arial" w:cs="Arial"/>
          <w:b/>
          <w:sz w:val="24"/>
          <w:szCs w:val="24"/>
          <w:u w:val="single"/>
        </w:rPr>
      </w:pPr>
    </w:p>
    <w:p w14:paraId="32DDE8E3" w14:textId="77777777" w:rsidR="009B5AA5" w:rsidRPr="00FA3F9C" w:rsidRDefault="009B5AA5"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treating relapsing forms of multiple sclerosis, including clinically isolated syndrome, relapsing-remitting disease, and active secondary progressive disease, in adults.</w:t>
      </w:r>
    </w:p>
    <w:tbl>
      <w:tblPr>
        <w:tblStyle w:val="TableGrid"/>
        <w:tblW w:w="0" w:type="auto"/>
        <w:tblLook w:val="04A0" w:firstRow="1" w:lastRow="0" w:firstColumn="1" w:lastColumn="0" w:noHBand="0" w:noVBand="1"/>
      </w:tblPr>
      <w:tblGrid>
        <w:gridCol w:w="8928"/>
        <w:gridCol w:w="2088"/>
      </w:tblGrid>
      <w:tr w:rsidR="009B5AA5" w:rsidRPr="00FA3F9C" w14:paraId="6D7CC0AD" w14:textId="77777777" w:rsidTr="00571CAB">
        <w:tc>
          <w:tcPr>
            <w:tcW w:w="8928" w:type="dxa"/>
            <w:shd w:val="clear" w:color="auto" w:fill="000000"/>
          </w:tcPr>
          <w:p w14:paraId="063C0A82" w14:textId="77777777" w:rsidR="009B5AA5" w:rsidRPr="00FA3F9C" w:rsidRDefault="009B5AA5"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88" w:type="dxa"/>
            <w:shd w:val="clear" w:color="auto" w:fill="000000"/>
          </w:tcPr>
          <w:p w14:paraId="486BDFFD" w14:textId="77777777" w:rsidR="009B5AA5" w:rsidRPr="00FA3F9C" w:rsidRDefault="009B5AA5" w:rsidP="006F623F">
            <w:pPr>
              <w:jc w:val="center"/>
              <w:rPr>
                <w:rFonts w:ascii="Arial" w:hAnsi="Arial" w:cs="Arial"/>
                <w:b/>
                <w:sz w:val="24"/>
                <w:szCs w:val="24"/>
                <w:u w:val="single"/>
              </w:rPr>
            </w:pPr>
          </w:p>
        </w:tc>
      </w:tr>
      <w:tr w:rsidR="009B5AA5" w:rsidRPr="00FA3F9C" w14:paraId="1080D88F" w14:textId="77777777" w:rsidTr="00F337AE">
        <w:tc>
          <w:tcPr>
            <w:tcW w:w="11016" w:type="dxa"/>
            <w:gridSpan w:val="2"/>
          </w:tcPr>
          <w:p w14:paraId="65F8AFE5" w14:textId="77777777" w:rsidR="009B5AA5" w:rsidRPr="00FA3F9C" w:rsidRDefault="009B5AA5" w:rsidP="006F623F">
            <w:pPr>
              <w:rPr>
                <w:rFonts w:ascii="Arial" w:hAnsi="Arial" w:cs="Arial"/>
                <w:sz w:val="24"/>
                <w:szCs w:val="24"/>
              </w:rPr>
            </w:pPr>
            <w:r w:rsidRPr="00FA3F9C">
              <w:rPr>
                <w:rFonts w:ascii="Arial" w:hAnsi="Arial" w:cs="Arial"/>
                <w:sz w:val="24"/>
                <w:szCs w:val="24"/>
              </w:rPr>
              <w:t>1. The patient must have the diagnosis of relapsing MS, clinically isolated syndrome, or active secondary progressive disease.</w:t>
            </w:r>
          </w:p>
        </w:tc>
      </w:tr>
      <w:tr w:rsidR="009B5AA5" w:rsidRPr="00FA3F9C" w14:paraId="448C1673" w14:textId="77777777" w:rsidTr="00B1617E">
        <w:tc>
          <w:tcPr>
            <w:tcW w:w="11016" w:type="dxa"/>
            <w:gridSpan w:val="2"/>
          </w:tcPr>
          <w:p w14:paraId="3A009CCC" w14:textId="77777777" w:rsidR="009B5AA5" w:rsidRPr="00FA3F9C" w:rsidRDefault="009B5AA5" w:rsidP="006F623F">
            <w:pPr>
              <w:rPr>
                <w:rFonts w:ascii="Arial" w:hAnsi="Arial" w:cs="Arial"/>
                <w:sz w:val="24"/>
                <w:szCs w:val="24"/>
              </w:rPr>
            </w:pPr>
            <w:r w:rsidRPr="00FA3F9C">
              <w:rPr>
                <w:rFonts w:ascii="Arial" w:hAnsi="Arial" w:cs="Arial"/>
                <w:sz w:val="24"/>
                <w:szCs w:val="24"/>
              </w:rPr>
              <w:t xml:space="preserve">2. The patient must be at low risk for progressive multifocal leukoencephalopathy (PML) including those who are antibody positive </w:t>
            </w:r>
            <w:proofErr w:type="gramStart"/>
            <w:r w:rsidRPr="00FA3F9C">
              <w:rPr>
                <w:rFonts w:ascii="Arial" w:hAnsi="Arial" w:cs="Arial"/>
                <w:sz w:val="24"/>
                <w:szCs w:val="24"/>
              </w:rPr>
              <w:t>as long as</w:t>
            </w:r>
            <w:proofErr w:type="gramEnd"/>
            <w:r w:rsidRPr="00FA3F9C">
              <w:rPr>
                <w:rFonts w:ascii="Arial" w:hAnsi="Arial" w:cs="Arial"/>
                <w:sz w:val="24"/>
                <w:szCs w:val="24"/>
              </w:rPr>
              <w:t xml:space="preserve"> the anti-JCV antibody index is below 0.9.</w:t>
            </w:r>
          </w:p>
        </w:tc>
      </w:tr>
      <w:tr w:rsidR="009B5AA5" w:rsidRPr="00FA3F9C" w14:paraId="154E7BDB" w14:textId="77777777" w:rsidTr="0010789D">
        <w:tc>
          <w:tcPr>
            <w:tcW w:w="11016" w:type="dxa"/>
            <w:gridSpan w:val="2"/>
          </w:tcPr>
          <w:p w14:paraId="4D461989" w14:textId="77777777" w:rsidR="009B5AA5" w:rsidRPr="00FA3F9C" w:rsidRDefault="009B5AA5" w:rsidP="006F623F">
            <w:pPr>
              <w:rPr>
                <w:rFonts w:ascii="Arial" w:hAnsi="Arial" w:cs="Arial"/>
                <w:sz w:val="24"/>
                <w:szCs w:val="24"/>
              </w:rPr>
            </w:pPr>
            <w:r w:rsidRPr="00FA3F9C">
              <w:rPr>
                <w:rFonts w:ascii="Arial" w:hAnsi="Arial" w:cs="Arial"/>
                <w:sz w:val="24"/>
                <w:szCs w:val="24"/>
              </w:rPr>
              <w:t>3. No concurrent therapy with other multiple sclerosis drug therapies.</w:t>
            </w:r>
          </w:p>
        </w:tc>
      </w:tr>
    </w:tbl>
    <w:p w14:paraId="7EF2474A" w14:textId="77777777" w:rsidR="009B5AA5" w:rsidRPr="00FA3F9C" w:rsidRDefault="009B5AA5" w:rsidP="006F623F">
      <w:pPr>
        <w:spacing w:after="0"/>
        <w:rPr>
          <w:rFonts w:ascii="Arial" w:hAnsi="Arial" w:cs="Arial"/>
          <w:b/>
          <w:sz w:val="24"/>
          <w:szCs w:val="24"/>
          <w:u w:val="single"/>
        </w:rPr>
      </w:pPr>
    </w:p>
    <w:tbl>
      <w:tblPr>
        <w:tblStyle w:val="TableGrid"/>
        <w:tblW w:w="0" w:type="auto"/>
        <w:shd w:val="clear" w:color="auto" w:fill="BFBFBF" w:themeFill="background1" w:themeFillShade="BF"/>
        <w:tblLook w:val="04A0" w:firstRow="1" w:lastRow="0" w:firstColumn="1" w:lastColumn="0" w:noHBand="0" w:noVBand="1"/>
      </w:tblPr>
      <w:tblGrid>
        <w:gridCol w:w="10998"/>
      </w:tblGrid>
      <w:tr w:rsidR="009B5AA5" w:rsidRPr="00FA3F9C" w14:paraId="2899ABC2" w14:textId="77777777" w:rsidTr="00D82B6E">
        <w:tc>
          <w:tcPr>
            <w:tcW w:w="10998" w:type="dxa"/>
            <w:shd w:val="clear" w:color="auto" w:fill="BFBFBF" w:themeFill="background1" w:themeFillShade="BF"/>
          </w:tcPr>
          <w:p w14:paraId="2FA5CDB5" w14:textId="77777777" w:rsidR="009B5AA5" w:rsidRPr="00FA3F9C" w:rsidRDefault="009B5AA5" w:rsidP="00D82B6E">
            <w:pPr>
              <w:rPr>
                <w:rFonts w:ascii="Arial" w:hAnsi="Arial" w:cs="Arial"/>
                <w:sz w:val="24"/>
                <w:szCs w:val="24"/>
              </w:rPr>
            </w:pPr>
            <w:r w:rsidRPr="00FA3F9C">
              <w:rPr>
                <w:rFonts w:ascii="Arial" w:hAnsi="Arial" w:cs="Arial"/>
                <w:sz w:val="24"/>
                <w:szCs w:val="24"/>
              </w:rPr>
              <w:t xml:space="preserve">Note: The dose is 0.23mg QD on days 1-4, then 0.46mg daily on days 5-7, then a maintenance dose of 0.92mg daily.  </w:t>
            </w:r>
          </w:p>
          <w:p w14:paraId="06D15AEB" w14:textId="77777777" w:rsidR="009B5AA5" w:rsidRPr="00FA3F9C" w:rsidRDefault="009B5AA5" w:rsidP="00D82B6E">
            <w:pPr>
              <w:rPr>
                <w:rFonts w:ascii="Arial" w:hAnsi="Arial" w:cs="Arial"/>
                <w:sz w:val="24"/>
                <w:szCs w:val="24"/>
              </w:rPr>
            </w:pPr>
            <w:r w:rsidRPr="00FA3F9C">
              <w:rPr>
                <w:rFonts w:ascii="Arial" w:hAnsi="Arial" w:cs="Arial"/>
                <w:sz w:val="24"/>
                <w:szCs w:val="24"/>
              </w:rPr>
              <w:lastRenderedPageBreak/>
              <w:t xml:space="preserve">If a dose is missed during the first 2 weeks, </w:t>
            </w:r>
            <w:proofErr w:type="spellStart"/>
            <w:r w:rsidRPr="00FA3F9C">
              <w:rPr>
                <w:rFonts w:ascii="Arial" w:hAnsi="Arial" w:cs="Arial"/>
                <w:sz w:val="24"/>
                <w:szCs w:val="24"/>
              </w:rPr>
              <w:t>reinitiation</w:t>
            </w:r>
            <w:proofErr w:type="spellEnd"/>
            <w:r w:rsidRPr="00FA3F9C">
              <w:rPr>
                <w:rFonts w:ascii="Arial" w:hAnsi="Arial" w:cs="Arial"/>
                <w:sz w:val="24"/>
                <w:szCs w:val="24"/>
              </w:rPr>
              <w:t xml:space="preserve"> of titration must be done with 0.23mg QD, then increasing per above.</w:t>
            </w:r>
          </w:p>
        </w:tc>
      </w:tr>
    </w:tbl>
    <w:p w14:paraId="2A5F08C5" w14:textId="77777777" w:rsidR="009B5AA5" w:rsidRPr="00FA3F9C" w:rsidRDefault="009B5AA5" w:rsidP="006F623F">
      <w:pPr>
        <w:spacing w:after="0"/>
        <w:rPr>
          <w:rFonts w:ascii="Arial" w:hAnsi="Arial" w:cs="Arial"/>
          <w:sz w:val="24"/>
          <w:szCs w:val="24"/>
        </w:rPr>
      </w:pPr>
    </w:p>
    <w:p w14:paraId="1AE0387F" w14:textId="77777777" w:rsidR="009B5AA5" w:rsidRPr="00FA3F9C" w:rsidRDefault="009B5AA5" w:rsidP="006F623F">
      <w:pPr>
        <w:spacing w:after="0"/>
        <w:rPr>
          <w:rFonts w:ascii="Arial" w:hAnsi="Arial" w:cs="Arial"/>
          <w:sz w:val="24"/>
          <w:szCs w:val="24"/>
        </w:rPr>
      </w:pPr>
      <w:r w:rsidRPr="00FA3F9C">
        <w:rPr>
          <w:rFonts w:ascii="Arial" w:hAnsi="Arial" w:cs="Arial"/>
          <w:sz w:val="24"/>
          <w:szCs w:val="24"/>
        </w:rPr>
        <w:t>Quantity Limits: QL of 1/1.</w:t>
      </w:r>
    </w:p>
    <w:p w14:paraId="26E42C31" w14:textId="77777777" w:rsidR="009B5AA5" w:rsidRPr="00FA3F9C" w:rsidRDefault="009B5AA5" w:rsidP="006F623F">
      <w:pPr>
        <w:spacing w:after="0"/>
        <w:rPr>
          <w:rFonts w:ascii="Arial" w:hAnsi="Arial" w:cs="Arial"/>
          <w:sz w:val="24"/>
          <w:szCs w:val="24"/>
        </w:rPr>
      </w:pPr>
    </w:p>
    <w:p w14:paraId="1A80154A" w14:textId="77777777" w:rsidR="009B5AA5" w:rsidRPr="00FA3F9C" w:rsidRDefault="009B5AA5" w:rsidP="00905E36">
      <w:pPr>
        <w:spacing w:after="0"/>
        <w:rPr>
          <w:rFonts w:ascii="Arial" w:hAnsi="Arial" w:cs="Arial"/>
          <w:sz w:val="24"/>
          <w:szCs w:val="24"/>
        </w:rPr>
      </w:pPr>
      <w:r w:rsidRPr="00FA3F9C">
        <w:rPr>
          <w:rFonts w:ascii="Arial" w:hAnsi="Arial" w:cs="Arial"/>
          <w:sz w:val="24"/>
          <w:szCs w:val="24"/>
        </w:rPr>
        <w:t>References:</w:t>
      </w:r>
    </w:p>
    <w:p w14:paraId="3EBD8848" w14:textId="77777777" w:rsidR="009B5AA5" w:rsidRPr="00FA3F9C" w:rsidRDefault="009B5AA5" w:rsidP="00905E36">
      <w:pPr>
        <w:spacing w:after="0"/>
        <w:rPr>
          <w:rFonts w:ascii="Arial" w:eastAsia="Times New Roman" w:hAnsi="Arial" w:cs="Arial"/>
          <w:sz w:val="24"/>
          <w:szCs w:val="24"/>
        </w:rPr>
      </w:pPr>
      <w:r w:rsidRPr="00FA3F9C">
        <w:rPr>
          <w:rFonts w:ascii="Arial" w:hAnsi="Arial" w:cs="Arial"/>
          <w:sz w:val="24"/>
          <w:szCs w:val="24"/>
          <w:lang w:val="fr-FR"/>
        </w:rPr>
        <w:t xml:space="preserve">1. </w:t>
      </w:r>
      <w:r w:rsidRPr="00FA3F9C">
        <w:rPr>
          <w:rFonts w:ascii="Arial" w:eastAsia="Times New Roman" w:hAnsi="Arial" w:cs="Arial"/>
          <w:color w:val="222222"/>
          <w:sz w:val="24"/>
          <w:szCs w:val="24"/>
          <w:shd w:val="clear" w:color="auto" w:fill="FFFFFF"/>
          <w:lang w:val="fr-FR"/>
        </w:rPr>
        <w:t xml:space="preserve">Cohen, Jeffrey A., et al. </w:t>
      </w:r>
      <w:r w:rsidRPr="00FA3F9C">
        <w:rPr>
          <w:rFonts w:ascii="Arial" w:eastAsia="Times New Roman" w:hAnsi="Arial" w:cs="Arial"/>
          <w:color w:val="222222"/>
          <w:sz w:val="24"/>
          <w:szCs w:val="24"/>
          <w:shd w:val="clear" w:color="auto" w:fill="FFFFFF"/>
        </w:rPr>
        <w:t xml:space="preserve">"Safety and efficacy of ozanimod versus interferon beta-1a in relapsing multiple sclerosis (RADIANCE): a </w:t>
      </w:r>
      <w:proofErr w:type="spellStart"/>
      <w:r w:rsidRPr="00FA3F9C">
        <w:rPr>
          <w:rFonts w:ascii="Arial" w:eastAsia="Times New Roman" w:hAnsi="Arial" w:cs="Arial"/>
          <w:color w:val="222222"/>
          <w:sz w:val="24"/>
          <w:szCs w:val="24"/>
          <w:shd w:val="clear" w:color="auto" w:fill="FFFFFF"/>
        </w:rPr>
        <w:t>multicentre</w:t>
      </w:r>
      <w:proofErr w:type="spellEnd"/>
      <w:r w:rsidRPr="00FA3F9C">
        <w:rPr>
          <w:rFonts w:ascii="Arial" w:eastAsia="Times New Roman" w:hAnsi="Arial" w:cs="Arial"/>
          <w:color w:val="222222"/>
          <w:sz w:val="24"/>
          <w:szCs w:val="24"/>
          <w:shd w:val="clear" w:color="auto" w:fill="FFFFFF"/>
        </w:rPr>
        <w:t xml:space="preserve">, </w:t>
      </w:r>
      <w:proofErr w:type="spellStart"/>
      <w:r w:rsidRPr="00FA3F9C">
        <w:rPr>
          <w:rFonts w:ascii="Arial" w:eastAsia="Times New Roman" w:hAnsi="Arial" w:cs="Arial"/>
          <w:color w:val="222222"/>
          <w:sz w:val="24"/>
          <w:szCs w:val="24"/>
          <w:shd w:val="clear" w:color="auto" w:fill="FFFFFF"/>
        </w:rPr>
        <w:t>randomised</w:t>
      </w:r>
      <w:proofErr w:type="spellEnd"/>
      <w:r w:rsidRPr="00FA3F9C">
        <w:rPr>
          <w:rFonts w:ascii="Arial" w:eastAsia="Times New Roman" w:hAnsi="Arial" w:cs="Arial"/>
          <w:color w:val="222222"/>
          <w:sz w:val="24"/>
          <w:szCs w:val="24"/>
          <w:shd w:val="clear" w:color="auto" w:fill="FFFFFF"/>
        </w:rPr>
        <w:t>, 24-month, phase 3 trial." </w:t>
      </w:r>
      <w:r w:rsidRPr="00FA3F9C">
        <w:rPr>
          <w:rFonts w:ascii="Arial" w:eastAsia="Times New Roman" w:hAnsi="Arial" w:cs="Arial"/>
          <w:i/>
          <w:iCs/>
          <w:color w:val="222222"/>
          <w:sz w:val="24"/>
          <w:szCs w:val="24"/>
          <w:shd w:val="clear" w:color="auto" w:fill="FFFFFF"/>
        </w:rPr>
        <w:t>The Lancet Neurology</w:t>
      </w:r>
      <w:r w:rsidRPr="00FA3F9C">
        <w:rPr>
          <w:rFonts w:ascii="Arial" w:eastAsia="Times New Roman" w:hAnsi="Arial" w:cs="Arial"/>
          <w:color w:val="222222"/>
          <w:sz w:val="24"/>
          <w:szCs w:val="24"/>
          <w:shd w:val="clear" w:color="auto" w:fill="FFFFFF"/>
        </w:rPr>
        <w:t> 18.11 (2019): 1021-1033.</w:t>
      </w:r>
    </w:p>
    <w:p w14:paraId="0822082D" w14:textId="77777777" w:rsidR="009B5AA5" w:rsidRPr="00FA3F9C" w:rsidRDefault="009B5AA5" w:rsidP="00905E36">
      <w:pPr>
        <w:spacing w:after="0"/>
        <w:rPr>
          <w:rFonts w:ascii="Arial" w:eastAsia="Times New Roman" w:hAnsi="Arial" w:cs="Arial"/>
          <w:sz w:val="24"/>
          <w:szCs w:val="24"/>
        </w:rPr>
      </w:pPr>
      <w:r w:rsidRPr="00FA3F9C">
        <w:rPr>
          <w:rFonts w:ascii="Arial" w:hAnsi="Arial" w:cs="Arial"/>
          <w:sz w:val="24"/>
          <w:szCs w:val="24"/>
        </w:rPr>
        <w:t xml:space="preserve">2. </w:t>
      </w:r>
      <w:r w:rsidRPr="00FA3F9C">
        <w:rPr>
          <w:rFonts w:ascii="Arial" w:eastAsia="Times New Roman" w:hAnsi="Arial" w:cs="Arial"/>
          <w:color w:val="222222"/>
          <w:sz w:val="24"/>
          <w:szCs w:val="24"/>
          <w:shd w:val="clear" w:color="auto" w:fill="FFFFFF"/>
        </w:rPr>
        <w:t>Cohen, Jeffrey A., et al. "Efficacy and safety of ozanimod in multiple sclerosis: dose-blinded extension of a randomized phase II study." </w:t>
      </w:r>
      <w:r w:rsidRPr="00FA3F9C">
        <w:rPr>
          <w:rFonts w:ascii="Arial" w:eastAsia="Times New Roman" w:hAnsi="Arial" w:cs="Arial"/>
          <w:i/>
          <w:iCs/>
          <w:color w:val="222222"/>
          <w:sz w:val="24"/>
          <w:szCs w:val="24"/>
          <w:shd w:val="clear" w:color="auto" w:fill="FFFFFF"/>
        </w:rPr>
        <w:t>Multiple Sclerosis Journal</w:t>
      </w:r>
      <w:r w:rsidRPr="00FA3F9C">
        <w:rPr>
          <w:rFonts w:ascii="Arial" w:eastAsia="Times New Roman" w:hAnsi="Arial" w:cs="Arial"/>
          <w:color w:val="222222"/>
          <w:sz w:val="24"/>
          <w:szCs w:val="24"/>
          <w:shd w:val="clear" w:color="auto" w:fill="FFFFFF"/>
        </w:rPr>
        <w:t> 25.9 (2019): 1255-1262.</w:t>
      </w:r>
    </w:p>
    <w:p w14:paraId="1CA06DE8" w14:textId="77777777" w:rsidR="009B5AA5" w:rsidRPr="00FA3F9C" w:rsidRDefault="009B5AA5" w:rsidP="006F623F">
      <w:pPr>
        <w:spacing w:after="0"/>
        <w:rPr>
          <w:rFonts w:ascii="Arial" w:hAnsi="Arial" w:cs="Arial"/>
          <w:sz w:val="24"/>
          <w:szCs w:val="24"/>
        </w:rPr>
      </w:pPr>
    </w:p>
    <w:p w14:paraId="51A522AA" w14:textId="77777777" w:rsidR="009B5AA5" w:rsidRPr="00FA3F9C" w:rsidRDefault="009B5AA5" w:rsidP="006F623F">
      <w:pPr>
        <w:spacing w:after="0"/>
        <w:rPr>
          <w:rFonts w:ascii="Arial" w:hAnsi="Arial" w:cs="Arial"/>
          <w:sz w:val="24"/>
          <w:szCs w:val="24"/>
        </w:rPr>
      </w:pPr>
    </w:p>
    <w:p w14:paraId="472FB53D" w14:textId="77777777" w:rsidR="009B5AA5" w:rsidRPr="00FA3F9C" w:rsidRDefault="009B5AA5"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704"/>
        <w:gridCol w:w="7470"/>
        <w:gridCol w:w="2538"/>
      </w:tblGrid>
      <w:tr w:rsidR="009B5AA5" w:rsidRPr="00FA3F9C" w14:paraId="68CF673E" w14:textId="77777777" w:rsidTr="00FE491B">
        <w:tc>
          <w:tcPr>
            <w:tcW w:w="1008" w:type="dxa"/>
          </w:tcPr>
          <w:p w14:paraId="0C48CB11" w14:textId="77777777" w:rsidR="009B5AA5" w:rsidRPr="00FA3F9C" w:rsidRDefault="009B5AA5" w:rsidP="006F623F">
            <w:pPr>
              <w:rPr>
                <w:rFonts w:ascii="Arial" w:hAnsi="Arial" w:cs="Arial"/>
                <w:sz w:val="24"/>
                <w:szCs w:val="24"/>
              </w:rPr>
            </w:pPr>
            <w:r w:rsidRPr="00FA3F9C">
              <w:rPr>
                <w:rFonts w:ascii="Arial" w:hAnsi="Arial" w:cs="Arial"/>
                <w:sz w:val="24"/>
                <w:szCs w:val="24"/>
              </w:rPr>
              <w:t>Date</w:t>
            </w:r>
          </w:p>
        </w:tc>
        <w:tc>
          <w:tcPr>
            <w:tcW w:w="7470" w:type="dxa"/>
          </w:tcPr>
          <w:p w14:paraId="5FA2FFD9" w14:textId="77777777" w:rsidR="009B5AA5" w:rsidRPr="00FA3F9C" w:rsidRDefault="009B5AA5" w:rsidP="006F623F">
            <w:pPr>
              <w:rPr>
                <w:rFonts w:ascii="Arial" w:hAnsi="Arial" w:cs="Arial"/>
                <w:sz w:val="24"/>
                <w:szCs w:val="24"/>
              </w:rPr>
            </w:pPr>
            <w:r w:rsidRPr="00FA3F9C">
              <w:rPr>
                <w:rFonts w:ascii="Arial" w:hAnsi="Arial" w:cs="Arial"/>
                <w:sz w:val="24"/>
                <w:szCs w:val="24"/>
              </w:rPr>
              <w:t>What changed</w:t>
            </w:r>
          </w:p>
        </w:tc>
        <w:tc>
          <w:tcPr>
            <w:tcW w:w="2538" w:type="dxa"/>
          </w:tcPr>
          <w:p w14:paraId="0B3E1C46" w14:textId="77777777" w:rsidR="009B5AA5" w:rsidRPr="00FA3F9C" w:rsidRDefault="009B5AA5" w:rsidP="006F623F">
            <w:pPr>
              <w:rPr>
                <w:rFonts w:ascii="Arial" w:hAnsi="Arial" w:cs="Arial"/>
                <w:sz w:val="24"/>
                <w:szCs w:val="24"/>
              </w:rPr>
            </w:pPr>
            <w:r w:rsidRPr="00FA3F9C">
              <w:rPr>
                <w:rFonts w:ascii="Arial" w:hAnsi="Arial" w:cs="Arial"/>
                <w:sz w:val="24"/>
                <w:szCs w:val="24"/>
              </w:rPr>
              <w:t>Pharmacist’s initials</w:t>
            </w:r>
          </w:p>
        </w:tc>
      </w:tr>
      <w:tr w:rsidR="009B5AA5" w:rsidRPr="00FA3F9C" w14:paraId="03B778E7" w14:textId="77777777" w:rsidTr="00FE491B">
        <w:tc>
          <w:tcPr>
            <w:tcW w:w="1008" w:type="dxa"/>
          </w:tcPr>
          <w:p w14:paraId="77B8B01A" w14:textId="77777777" w:rsidR="009B5AA5" w:rsidRPr="00FA3F9C" w:rsidRDefault="009B5AA5" w:rsidP="00905E36">
            <w:pPr>
              <w:tabs>
                <w:tab w:val="left" w:pos="420"/>
              </w:tabs>
              <w:rPr>
                <w:rFonts w:ascii="Arial" w:hAnsi="Arial" w:cs="Arial"/>
                <w:sz w:val="24"/>
                <w:szCs w:val="24"/>
              </w:rPr>
            </w:pPr>
            <w:r w:rsidRPr="00FA3F9C">
              <w:rPr>
                <w:rFonts w:ascii="Arial" w:hAnsi="Arial" w:cs="Arial"/>
                <w:sz w:val="24"/>
                <w:szCs w:val="24"/>
              </w:rPr>
              <w:tab/>
              <w:t>1/29/2021</w:t>
            </w:r>
          </w:p>
        </w:tc>
        <w:tc>
          <w:tcPr>
            <w:tcW w:w="7470" w:type="dxa"/>
          </w:tcPr>
          <w:p w14:paraId="0348DBF2" w14:textId="77777777" w:rsidR="009B5AA5" w:rsidRPr="00FA3F9C" w:rsidRDefault="009B5AA5" w:rsidP="006F623F">
            <w:pPr>
              <w:rPr>
                <w:rFonts w:ascii="Arial" w:hAnsi="Arial" w:cs="Arial"/>
                <w:sz w:val="24"/>
                <w:szCs w:val="24"/>
              </w:rPr>
            </w:pPr>
            <w:r w:rsidRPr="00FA3F9C">
              <w:rPr>
                <w:rFonts w:ascii="Arial" w:hAnsi="Arial" w:cs="Arial"/>
                <w:sz w:val="24"/>
                <w:szCs w:val="24"/>
              </w:rPr>
              <w:t>I wrote the criteria.</w:t>
            </w:r>
          </w:p>
        </w:tc>
        <w:tc>
          <w:tcPr>
            <w:tcW w:w="2538" w:type="dxa"/>
          </w:tcPr>
          <w:p w14:paraId="1D2A8831" w14:textId="77777777" w:rsidR="009B5AA5" w:rsidRPr="00FA3F9C" w:rsidRDefault="009B5AA5" w:rsidP="006F623F">
            <w:pPr>
              <w:rPr>
                <w:rFonts w:ascii="Arial" w:hAnsi="Arial" w:cs="Arial"/>
                <w:sz w:val="24"/>
                <w:szCs w:val="24"/>
              </w:rPr>
            </w:pPr>
            <w:r w:rsidRPr="00FA3F9C">
              <w:rPr>
                <w:rFonts w:ascii="Arial" w:hAnsi="Arial" w:cs="Arial"/>
                <w:sz w:val="24"/>
                <w:szCs w:val="24"/>
              </w:rPr>
              <w:t>JJ</w:t>
            </w:r>
          </w:p>
        </w:tc>
      </w:tr>
      <w:tr w:rsidR="009B5AA5" w:rsidRPr="00FA3F9C" w14:paraId="127E4397" w14:textId="77777777" w:rsidTr="00FE491B">
        <w:tc>
          <w:tcPr>
            <w:tcW w:w="1008" w:type="dxa"/>
          </w:tcPr>
          <w:p w14:paraId="30A5E9C5" w14:textId="77777777" w:rsidR="009B5AA5" w:rsidRPr="00FA3F9C" w:rsidRDefault="009B5AA5" w:rsidP="006F623F">
            <w:pPr>
              <w:rPr>
                <w:rFonts w:ascii="Arial" w:hAnsi="Arial" w:cs="Arial"/>
                <w:sz w:val="24"/>
                <w:szCs w:val="24"/>
              </w:rPr>
            </w:pPr>
            <w:r w:rsidRPr="00FA3F9C">
              <w:rPr>
                <w:rFonts w:ascii="Arial" w:hAnsi="Arial" w:cs="Arial"/>
                <w:sz w:val="24"/>
                <w:szCs w:val="24"/>
              </w:rPr>
              <w:t>7/6/21</w:t>
            </w:r>
          </w:p>
        </w:tc>
        <w:tc>
          <w:tcPr>
            <w:tcW w:w="7470" w:type="dxa"/>
          </w:tcPr>
          <w:p w14:paraId="6805F8B7" w14:textId="77777777" w:rsidR="009B5AA5" w:rsidRPr="00FA3F9C" w:rsidRDefault="009B5AA5" w:rsidP="006F623F">
            <w:pPr>
              <w:rPr>
                <w:rFonts w:ascii="Arial" w:hAnsi="Arial" w:cs="Arial"/>
                <w:sz w:val="24"/>
                <w:szCs w:val="24"/>
              </w:rPr>
            </w:pPr>
            <w:r w:rsidRPr="00FA3F9C">
              <w:rPr>
                <w:rFonts w:ascii="Arial" w:hAnsi="Arial" w:cs="Arial"/>
                <w:sz w:val="24"/>
                <w:szCs w:val="24"/>
              </w:rPr>
              <w:t>Copied to UAS criteria as intended.</w:t>
            </w:r>
          </w:p>
        </w:tc>
        <w:tc>
          <w:tcPr>
            <w:tcW w:w="2538" w:type="dxa"/>
          </w:tcPr>
          <w:p w14:paraId="48236FA1" w14:textId="77777777" w:rsidR="009B5AA5" w:rsidRPr="00FA3F9C" w:rsidRDefault="009B5AA5" w:rsidP="006F623F">
            <w:pPr>
              <w:rPr>
                <w:rFonts w:ascii="Arial" w:hAnsi="Arial" w:cs="Arial"/>
                <w:sz w:val="24"/>
                <w:szCs w:val="24"/>
              </w:rPr>
            </w:pPr>
            <w:r w:rsidRPr="00FA3F9C">
              <w:rPr>
                <w:rFonts w:ascii="Arial" w:hAnsi="Arial" w:cs="Arial"/>
                <w:sz w:val="24"/>
                <w:szCs w:val="24"/>
              </w:rPr>
              <w:t>JJ</w:t>
            </w:r>
          </w:p>
        </w:tc>
      </w:tr>
      <w:tr w:rsidR="009B5AA5" w:rsidRPr="00FA3F9C" w14:paraId="6160DE74" w14:textId="77777777" w:rsidTr="00FE491B">
        <w:tc>
          <w:tcPr>
            <w:tcW w:w="1008" w:type="dxa"/>
          </w:tcPr>
          <w:p w14:paraId="10F3B201" w14:textId="77777777" w:rsidR="009B5AA5" w:rsidRPr="00FA3F9C" w:rsidRDefault="009B5AA5" w:rsidP="006F623F">
            <w:pPr>
              <w:rPr>
                <w:rFonts w:ascii="Arial" w:hAnsi="Arial" w:cs="Arial"/>
                <w:sz w:val="24"/>
                <w:szCs w:val="24"/>
              </w:rPr>
            </w:pPr>
            <w:r w:rsidRPr="00FA3F9C">
              <w:rPr>
                <w:rFonts w:ascii="Arial" w:hAnsi="Arial" w:cs="Arial"/>
                <w:sz w:val="24"/>
                <w:szCs w:val="24"/>
              </w:rPr>
              <w:t>4/19/22</w:t>
            </w:r>
          </w:p>
        </w:tc>
        <w:tc>
          <w:tcPr>
            <w:tcW w:w="7470" w:type="dxa"/>
          </w:tcPr>
          <w:p w14:paraId="7000820A" w14:textId="77777777" w:rsidR="009B5AA5" w:rsidRPr="00FA3F9C" w:rsidRDefault="009B5AA5" w:rsidP="006F623F">
            <w:pPr>
              <w:rPr>
                <w:rFonts w:ascii="Arial" w:hAnsi="Arial" w:cs="Arial"/>
                <w:sz w:val="24"/>
                <w:szCs w:val="24"/>
              </w:rPr>
            </w:pPr>
            <w:r w:rsidRPr="00FA3F9C">
              <w:rPr>
                <w:rFonts w:ascii="Arial" w:hAnsi="Arial" w:cs="Arial"/>
                <w:sz w:val="24"/>
                <w:szCs w:val="24"/>
              </w:rPr>
              <w:t>EBRx voted 3/15/22 to not cover ozanimod for mod-</w:t>
            </w:r>
            <w:proofErr w:type="spellStart"/>
            <w:r w:rsidRPr="00FA3F9C">
              <w:rPr>
                <w:rFonts w:ascii="Arial" w:hAnsi="Arial" w:cs="Arial"/>
                <w:sz w:val="24"/>
                <w:szCs w:val="24"/>
              </w:rPr>
              <w:t>sev</w:t>
            </w:r>
            <w:proofErr w:type="spellEnd"/>
            <w:r w:rsidRPr="00FA3F9C">
              <w:rPr>
                <w:rFonts w:ascii="Arial" w:hAnsi="Arial" w:cs="Arial"/>
                <w:sz w:val="24"/>
                <w:szCs w:val="24"/>
              </w:rPr>
              <w:t xml:space="preserve"> ulcerative colitis since it is the least effective and ranked highest for serious AEs among other treatment choices.</w:t>
            </w:r>
          </w:p>
        </w:tc>
        <w:tc>
          <w:tcPr>
            <w:tcW w:w="2538" w:type="dxa"/>
          </w:tcPr>
          <w:p w14:paraId="5E89A3E1" w14:textId="77777777" w:rsidR="009B5AA5" w:rsidRPr="00FA3F9C" w:rsidRDefault="009B5AA5" w:rsidP="006F623F">
            <w:pPr>
              <w:rPr>
                <w:rFonts w:ascii="Arial" w:hAnsi="Arial" w:cs="Arial"/>
                <w:sz w:val="24"/>
                <w:szCs w:val="24"/>
              </w:rPr>
            </w:pPr>
            <w:r w:rsidRPr="00FA3F9C">
              <w:rPr>
                <w:rFonts w:ascii="Arial" w:hAnsi="Arial" w:cs="Arial"/>
                <w:sz w:val="24"/>
                <w:szCs w:val="24"/>
              </w:rPr>
              <w:t>JJ</w:t>
            </w:r>
          </w:p>
        </w:tc>
      </w:tr>
    </w:tbl>
    <w:p w14:paraId="5C4301AC" w14:textId="77777777" w:rsidR="009B5AA5" w:rsidRPr="00FA3F9C" w:rsidRDefault="009B5AA5" w:rsidP="006F623F">
      <w:pPr>
        <w:spacing w:after="0"/>
        <w:rPr>
          <w:rFonts w:ascii="Arial" w:hAnsi="Arial" w:cs="Arial"/>
          <w:sz w:val="24"/>
          <w:szCs w:val="24"/>
        </w:rPr>
      </w:pPr>
    </w:p>
    <w:p w14:paraId="4FB84850" w14:textId="77777777" w:rsidR="009B5AA5" w:rsidRPr="00FA3F9C" w:rsidRDefault="009B5AA5" w:rsidP="00EF3B65">
      <w:pPr>
        <w:pStyle w:val="Heading2"/>
      </w:pPr>
      <w:bookmarkStart w:id="246" w:name="_Toc106369883"/>
      <w:proofErr w:type="spellStart"/>
      <w:r w:rsidRPr="00FA3F9C">
        <w:t>Pacritinib</w:t>
      </w:r>
      <w:proofErr w:type="spellEnd"/>
      <w:r w:rsidRPr="00FA3F9C">
        <w:t xml:space="preserve"> (</w:t>
      </w:r>
      <w:proofErr w:type="spellStart"/>
      <w:r w:rsidRPr="00FA3F9C">
        <w:t>Vonjo</w:t>
      </w:r>
      <w:proofErr w:type="spellEnd"/>
      <w:r w:rsidRPr="00FA3F9C">
        <w:t>)</w:t>
      </w:r>
      <w:bookmarkEnd w:id="246"/>
    </w:p>
    <w:p w14:paraId="6BBAFFCC" w14:textId="77777777" w:rsidR="009B5AA5" w:rsidRPr="00FA3F9C" w:rsidRDefault="009B5AA5" w:rsidP="006F623F">
      <w:pPr>
        <w:spacing w:after="0"/>
        <w:jc w:val="center"/>
        <w:rPr>
          <w:rFonts w:ascii="Arial" w:hAnsi="Arial" w:cs="Arial"/>
          <w:sz w:val="24"/>
          <w:szCs w:val="24"/>
        </w:rPr>
      </w:pPr>
      <w:r w:rsidRPr="00FA3F9C">
        <w:rPr>
          <w:rFonts w:ascii="Arial" w:hAnsi="Arial" w:cs="Arial"/>
          <w:sz w:val="24"/>
          <w:szCs w:val="24"/>
        </w:rPr>
        <w:t>100 mg capsules</w:t>
      </w:r>
    </w:p>
    <w:p w14:paraId="7FF43409" w14:textId="77777777" w:rsidR="009B5AA5" w:rsidRPr="00FA3F9C" w:rsidRDefault="009B5AA5" w:rsidP="006F623F">
      <w:pPr>
        <w:spacing w:after="0"/>
        <w:jc w:val="center"/>
        <w:rPr>
          <w:rFonts w:ascii="Arial" w:hAnsi="Arial" w:cs="Arial"/>
          <w:sz w:val="24"/>
          <w:szCs w:val="24"/>
        </w:rPr>
      </w:pPr>
      <w:r w:rsidRPr="00FA3F9C">
        <w:rPr>
          <w:rFonts w:ascii="Arial" w:hAnsi="Arial" w:cs="Arial"/>
          <w:sz w:val="24"/>
          <w:szCs w:val="24"/>
        </w:rPr>
        <w:t>EBRx PA Criteria</w:t>
      </w:r>
    </w:p>
    <w:p w14:paraId="567D3215" w14:textId="77777777" w:rsidR="009B5AA5" w:rsidRPr="00FA3F9C" w:rsidRDefault="009B5AA5" w:rsidP="006F623F">
      <w:pPr>
        <w:spacing w:after="0"/>
        <w:rPr>
          <w:rFonts w:ascii="Arial" w:hAnsi="Arial" w:cs="Arial"/>
          <w:b/>
          <w:sz w:val="24"/>
          <w:szCs w:val="24"/>
          <w:u w:val="single"/>
        </w:rPr>
      </w:pPr>
    </w:p>
    <w:p w14:paraId="1BF7305D" w14:textId="77777777" w:rsidR="009B5AA5" w:rsidRPr="00FA3F9C" w:rsidRDefault="009B5AA5"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treatment of adults with intermediate or high-risk primary or secondary (post-polycythemia vera or post-essential thrombocythemia) myelofibrosis with a platelet count below 50 × 10</w:t>
      </w:r>
      <w:r w:rsidRPr="00FA3F9C">
        <w:rPr>
          <w:rFonts w:ascii="Arial" w:hAnsi="Arial" w:cs="Arial"/>
          <w:sz w:val="24"/>
          <w:szCs w:val="24"/>
          <w:vertAlign w:val="superscript"/>
        </w:rPr>
        <w:t>9</w:t>
      </w:r>
      <w:r w:rsidRPr="00FA3F9C">
        <w:rPr>
          <w:rFonts w:ascii="Arial" w:hAnsi="Arial" w:cs="Arial"/>
          <w:sz w:val="24"/>
          <w:szCs w:val="24"/>
        </w:rPr>
        <w:t xml:space="preserve"> /L</w:t>
      </w:r>
    </w:p>
    <w:p w14:paraId="7507265D" w14:textId="77777777" w:rsidR="009B5AA5" w:rsidRPr="00FA3F9C" w:rsidRDefault="009B5AA5" w:rsidP="006F623F">
      <w:pPr>
        <w:spacing w:after="0"/>
        <w:rPr>
          <w:rFonts w:ascii="Arial" w:hAnsi="Arial" w:cs="Arial"/>
          <w:sz w:val="24"/>
          <w:szCs w:val="24"/>
        </w:rPr>
      </w:pPr>
    </w:p>
    <w:tbl>
      <w:tblPr>
        <w:tblStyle w:val="TableGrid"/>
        <w:tblW w:w="0" w:type="auto"/>
        <w:tblLook w:val="04A0" w:firstRow="1" w:lastRow="0" w:firstColumn="1" w:lastColumn="0" w:noHBand="0" w:noVBand="1"/>
      </w:tblPr>
      <w:tblGrid>
        <w:gridCol w:w="8928"/>
        <w:gridCol w:w="2088"/>
      </w:tblGrid>
      <w:tr w:rsidR="009B5AA5" w:rsidRPr="00FA3F9C" w14:paraId="739CB77B" w14:textId="77777777" w:rsidTr="00571CAB">
        <w:tc>
          <w:tcPr>
            <w:tcW w:w="8928" w:type="dxa"/>
            <w:shd w:val="clear" w:color="auto" w:fill="000000"/>
          </w:tcPr>
          <w:p w14:paraId="2E57C209" w14:textId="77777777" w:rsidR="009B5AA5" w:rsidRPr="00FA3F9C" w:rsidRDefault="009B5AA5"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88" w:type="dxa"/>
            <w:shd w:val="clear" w:color="auto" w:fill="000000"/>
          </w:tcPr>
          <w:p w14:paraId="77BB9DAC" w14:textId="77777777" w:rsidR="009B5AA5" w:rsidRPr="00FA3F9C" w:rsidRDefault="009B5AA5" w:rsidP="006F623F">
            <w:pPr>
              <w:jc w:val="center"/>
              <w:rPr>
                <w:rFonts w:ascii="Arial" w:hAnsi="Arial" w:cs="Arial"/>
                <w:b/>
                <w:sz w:val="24"/>
                <w:szCs w:val="24"/>
                <w:u w:val="single"/>
              </w:rPr>
            </w:pPr>
          </w:p>
        </w:tc>
      </w:tr>
      <w:tr w:rsidR="009B5AA5" w:rsidRPr="00FA3F9C" w14:paraId="22C0F374" w14:textId="77777777" w:rsidTr="00F337AE">
        <w:tc>
          <w:tcPr>
            <w:tcW w:w="11016" w:type="dxa"/>
            <w:gridSpan w:val="2"/>
          </w:tcPr>
          <w:p w14:paraId="5E37EE61" w14:textId="77777777" w:rsidR="009B5AA5" w:rsidRPr="00FA3F9C" w:rsidRDefault="009B5AA5" w:rsidP="00355C04">
            <w:pPr>
              <w:rPr>
                <w:rFonts w:ascii="Arial" w:hAnsi="Arial" w:cs="Arial"/>
                <w:sz w:val="24"/>
                <w:szCs w:val="24"/>
              </w:rPr>
            </w:pPr>
            <w:r w:rsidRPr="00FA3F9C">
              <w:rPr>
                <w:rFonts w:ascii="Arial" w:hAnsi="Arial" w:cs="Arial"/>
                <w:sz w:val="24"/>
                <w:szCs w:val="24"/>
              </w:rPr>
              <w:t>1. Diagnosis of primary myelofibrosis (MF) OR myelofibrosis secondary to polycythemia vera or essential thrombocythemia</w:t>
            </w:r>
          </w:p>
        </w:tc>
      </w:tr>
      <w:tr w:rsidR="009B5AA5" w:rsidRPr="00FA3F9C" w14:paraId="7A405B16" w14:textId="77777777" w:rsidTr="00B1617E">
        <w:tc>
          <w:tcPr>
            <w:tcW w:w="11016" w:type="dxa"/>
            <w:gridSpan w:val="2"/>
          </w:tcPr>
          <w:p w14:paraId="5F48786A" w14:textId="77777777" w:rsidR="009B5AA5" w:rsidRPr="00FA3F9C" w:rsidRDefault="009B5AA5" w:rsidP="00355C04">
            <w:pPr>
              <w:rPr>
                <w:rFonts w:ascii="Arial" w:hAnsi="Arial" w:cs="Arial"/>
                <w:sz w:val="24"/>
                <w:szCs w:val="24"/>
              </w:rPr>
            </w:pPr>
            <w:r w:rsidRPr="00FA3F9C">
              <w:rPr>
                <w:rFonts w:ascii="Arial" w:hAnsi="Arial" w:cs="Arial"/>
                <w:sz w:val="24"/>
                <w:szCs w:val="24"/>
              </w:rPr>
              <w:lastRenderedPageBreak/>
              <w:t>2. Intermediate-1, intermediate-2, or high-risk disease per the Dynamic International Prognostic Scoring System (DIPSS; see scoring criteria below)</w:t>
            </w:r>
          </w:p>
        </w:tc>
      </w:tr>
      <w:tr w:rsidR="009B5AA5" w:rsidRPr="00FA3F9C" w14:paraId="40C4B5EA" w14:textId="77777777" w:rsidTr="0010789D">
        <w:tc>
          <w:tcPr>
            <w:tcW w:w="11016" w:type="dxa"/>
            <w:gridSpan w:val="2"/>
          </w:tcPr>
          <w:p w14:paraId="11F3605E" w14:textId="77777777" w:rsidR="009B5AA5" w:rsidRPr="00FA3F9C" w:rsidRDefault="009B5AA5" w:rsidP="006F623F">
            <w:pPr>
              <w:rPr>
                <w:rFonts w:ascii="Arial" w:hAnsi="Arial" w:cs="Arial"/>
                <w:sz w:val="24"/>
                <w:szCs w:val="24"/>
              </w:rPr>
            </w:pPr>
            <w:r w:rsidRPr="00FA3F9C">
              <w:rPr>
                <w:rFonts w:ascii="Arial" w:hAnsi="Arial" w:cs="Arial"/>
                <w:sz w:val="24"/>
                <w:szCs w:val="24"/>
              </w:rPr>
              <w:t xml:space="preserve">3. Platelet count at baseline is </w:t>
            </w:r>
            <w:r w:rsidRPr="00FA3F9C">
              <w:rPr>
                <w:rFonts w:ascii="Arial" w:hAnsi="Arial" w:cs="Arial"/>
                <w:b/>
                <w:sz w:val="24"/>
                <w:szCs w:val="24"/>
              </w:rPr>
              <w:t>less than</w:t>
            </w:r>
            <w:r w:rsidRPr="00FA3F9C">
              <w:rPr>
                <w:rFonts w:ascii="Arial" w:hAnsi="Arial" w:cs="Arial"/>
                <w:sz w:val="24"/>
                <w:szCs w:val="24"/>
              </w:rPr>
              <w:t xml:space="preserve"> 50 × 10</w:t>
            </w:r>
            <w:r w:rsidRPr="00FA3F9C">
              <w:rPr>
                <w:rFonts w:ascii="Arial" w:hAnsi="Arial" w:cs="Arial"/>
                <w:sz w:val="24"/>
                <w:szCs w:val="24"/>
                <w:vertAlign w:val="superscript"/>
              </w:rPr>
              <w:t>9</w:t>
            </w:r>
            <w:r w:rsidRPr="00FA3F9C">
              <w:rPr>
                <w:rFonts w:ascii="Arial" w:hAnsi="Arial" w:cs="Arial"/>
                <w:sz w:val="24"/>
                <w:szCs w:val="24"/>
              </w:rPr>
              <w:t xml:space="preserve"> /Liter (see </w:t>
            </w:r>
            <w:proofErr w:type="spellStart"/>
            <w:r w:rsidRPr="00FA3F9C">
              <w:rPr>
                <w:rFonts w:ascii="Arial" w:hAnsi="Arial" w:cs="Arial"/>
                <w:sz w:val="24"/>
                <w:szCs w:val="24"/>
              </w:rPr>
              <w:t>ruxolitinib</w:t>
            </w:r>
            <w:proofErr w:type="spellEnd"/>
            <w:r w:rsidRPr="00FA3F9C">
              <w:rPr>
                <w:rFonts w:ascii="Arial" w:hAnsi="Arial" w:cs="Arial"/>
                <w:sz w:val="24"/>
                <w:szCs w:val="24"/>
              </w:rPr>
              <w:t xml:space="preserve"> if platelets are &gt;50 × 10</w:t>
            </w:r>
            <w:r w:rsidRPr="00FA3F9C">
              <w:rPr>
                <w:rFonts w:ascii="Arial" w:hAnsi="Arial" w:cs="Arial"/>
                <w:sz w:val="24"/>
                <w:szCs w:val="24"/>
                <w:vertAlign w:val="superscript"/>
              </w:rPr>
              <w:t>9</w:t>
            </w:r>
            <w:r w:rsidRPr="00FA3F9C">
              <w:rPr>
                <w:rFonts w:ascii="Arial" w:hAnsi="Arial" w:cs="Arial"/>
                <w:sz w:val="24"/>
                <w:szCs w:val="24"/>
              </w:rPr>
              <w:t xml:space="preserve"> /Liter)</w:t>
            </w:r>
          </w:p>
        </w:tc>
      </w:tr>
      <w:tr w:rsidR="009B5AA5" w:rsidRPr="00FA3F9C" w14:paraId="34F4B192" w14:textId="77777777" w:rsidTr="00DA57E0">
        <w:tc>
          <w:tcPr>
            <w:tcW w:w="11016" w:type="dxa"/>
            <w:gridSpan w:val="2"/>
          </w:tcPr>
          <w:p w14:paraId="55839B96" w14:textId="77777777" w:rsidR="009B5AA5" w:rsidRPr="00FA3F9C" w:rsidRDefault="009B5AA5" w:rsidP="00DD3731">
            <w:pPr>
              <w:rPr>
                <w:rFonts w:ascii="Arial" w:hAnsi="Arial" w:cs="Arial"/>
                <w:sz w:val="24"/>
                <w:szCs w:val="24"/>
              </w:rPr>
            </w:pPr>
            <w:r w:rsidRPr="00FA3F9C">
              <w:rPr>
                <w:rFonts w:ascii="Arial" w:hAnsi="Arial" w:cs="Arial"/>
                <w:sz w:val="24"/>
                <w:szCs w:val="24"/>
              </w:rPr>
              <w:t>4. Presence of palpable splenomegaly 5 cm or larger below the left costal margin</w:t>
            </w:r>
          </w:p>
        </w:tc>
      </w:tr>
      <w:tr w:rsidR="009B5AA5" w:rsidRPr="00FA3F9C" w14:paraId="642C22D6" w14:textId="77777777" w:rsidTr="00DA57E0">
        <w:tc>
          <w:tcPr>
            <w:tcW w:w="11016" w:type="dxa"/>
            <w:gridSpan w:val="2"/>
          </w:tcPr>
          <w:p w14:paraId="2A4CECFB" w14:textId="77777777" w:rsidR="009B5AA5" w:rsidRPr="00FA3F9C" w:rsidRDefault="009B5AA5" w:rsidP="00DD3731">
            <w:pPr>
              <w:rPr>
                <w:rFonts w:ascii="Arial" w:hAnsi="Arial" w:cs="Arial"/>
                <w:sz w:val="24"/>
                <w:szCs w:val="24"/>
              </w:rPr>
            </w:pPr>
            <w:r w:rsidRPr="00FA3F9C">
              <w:rPr>
                <w:rFonts w:ascii="Arial" w:hAnsi="Arial" w:cs="Arial"/>
                <w:sz w:val="24"/>
                <w:szCs w:val="24"/>
              </w:rPr>
              <w:t>5. Total symptom score (TSS) greater than or equal to 13 on the Myeloproliferative Neoplasm Symptom Assessment Form Total Symptom Score (MPN-SAF TSS 2.0)</w:t>
            </w:r>
          </w:p>
        </w:tc>
      </w:tr>
      <w:tr w:rsidR="009B5AA5" w:rsidRPr="00FA3F9C" w14:paraId="4244B234" w14:textId="77777777" w:rsidTr="00AF6548">
        <w:tc>
          <w:tcPr>
            <w:tcW w:w="11016" w:type="dxa"/>
            <w:gridSpan w:val="2"/>
            <w:shd w:val="clear" w:color="auto" w:fill="F2F2F2" w:themeFill="background1" w:themeFillShade="F2"/>
          </w:tcPr>
          <w:p w14:paraId="0C415ACA" w14:textId="77777777" w:rsidR="009B5AA5" w:rsidRPr="00FA3F9C" w:rsidRDefault="009B5AA5" w:rsidP="00AF6548">
            <w:pPr>
              <w:rPr>
                <w:rFonts w:ascii="Arial" w:hAnsi="Arial" w:cs="Arial"/>
                <w:sz w:val="24"/>
                <w:szCs w:val="24"/>
              </w:rPr>
            </w:pPr>
            <w:r w:rsidRPr="00FA3F9C">
              <w:rPr>
                <w:rFonts w:ascii="Arial" w:hAnsi="Arial" w:cs="Arial"/>
                <w:sz w:val="24"/>
                <w:szCs w:val="24"/>
              </w:rPr>
              <w:t>If all criteria met, approve for 1 year.</w:t>
            </w:r>
          </w:p>
        </w:tc>
      </w:tr>
    </w:tbl>
    <w:p w14:paraId="60753EEB" w14:textId="77777777" w:rsidR="009B5AA5" w:rsidRPr="00FA3F9C" w:rsidRDefault="009B5AA5" w:rsidP="006F623F">
      <w:pPr>
        <w:spacing w:after="0"/>
        <w:rPr>
          <w:rFonts w:ascii="Arial" w:hAnsi="Arial" w:cs="Arial"/>
          <w:b/>
          <w:sz w:val="24"/>
          <w:szCs w:val="24"/>
          <w:u w:val="single"/>
        </w:rPr>
      </w:pPr>
    </w:p>
    <w:tbl>
      <w:tblPr>
        <w:tblStyle w:val="TableGrid"/>
        <w:tblW w:w="0" w:type="auto"/>
        <w:tblLook w:val="04A0" w:firstRow="1" w:lastRow="0" w:firstColumn="1" w:lastColumn="0" w:noHBand="0" w:noVBand="1"/>
      </w:tblPr>
      <w:tblGrid>
        <w:gridCol w:w="11016"/>
      </w:tblGrid>
      <w:tr w:rsidR="009B5AA5" w:rsidRPr="00FA3F9C" w14:paraId="696FD0F8" w14:textId="77777777" w:rsidTr="00DD3731">
        <w:trPr>
          <w:trHeight w:val="1383"/>
        </w:trPr>
        <w:tc>
          <w:tcPr>
            <w:tcW w:w="11016" w:type="dxa"/>
            <w:shd w:val="clear" w:color="auto" w:fill="auto"/>
          </w:tcPr>
          <w:p w14:paraId="0CFBA8E6" w14:textId="77777777" w:rsidR="009B5AA5" w:rsidRPr="00FA3F9C" w:rsidRDefault="009B5AA5" w:rsidP="00DD3731">
            <w:pPr>
              <w:rPr>
                <w:rFonts w:ascii="Arial" w:hAnsi="Arial" w:cs="Arial"/>
                <w:sz w:val="24"/>
                <w:szCs w:val="24"/>
              </w:rPr>
            </w:pPr>
            <w:r w:rsidRPr="00FA3F9C">
              <w:rPr>
                <w:rFonts w:ascii="Arial" w:hAnsi="Arial" w:cs="Arial"/>
                <w:sz w:val="24"/>
                <w:szCs w:val="24"/>
              </w:rPr>
              <w:t>Dose: 200 mg PO twice daily</w:t>
            </w:r>
          </w:p>
          <w:p w14:paraId="2D8B25C5" w14:textId="77777777" w:rsidR="009B5AA5" w:rsidRPr="00FA3F9C" w:rsidRDefault="009B5AA5" w:rsidP="00DD3731">
            <w:pPr>
              <w:rPr>
                <w:rFonts w:ascii="Arial" w:hAnsi="Arial" w:cs="Arial"/>
                <w:sz w:val="24"/>
                <w:szCs w:val="24"/>
              </w:rPr>
            </w:pPr>
          </w:p>
          <w:p w14:paraId="4E34C278" w14:textId="77777777" w:rsidR="009B5AA5" w:rsidRPr="00FA3F9C" w:rsidRDefault="009B5AA5" w:rsidP="00DD3731">
            <w:pPr>
              <w:rPr>
                <w:rFonts w:ascii="Arial" w:hAnsi="Arial" w:cs="Arial"/>
                <w:sz w:val="24"/>
                <w:szCs w:val="24"/>
              </w:rPr>
            </w:pPr>
            <w:r w:rsidRPr="00FA3F9C">
              <w:rPr>
                <w:rFonts w:ascii="Arial" w:hAnsi="Arial" w:cs="Arial"/>
                <w:sz w:val="24"/>
                <w:szCs w:val="24"/>
              </w:rPr>
              <w:t xml:space="preserve">In the PERSIST-2 trial, </w:t>
            </w:r>
            <w:proofErr w:type="spellStart"/>
            <w:r w:rsidRPr="00FA3F9C">
              <w:rPr>
                <w:rFonts w:ascii="Arial" w:hAnsi="Arial" w:cs="Arial"/>
                <w:sz w:val="24"/>
                <w:szCs w:val="24"/>
              </w:rPr>
              <w:t>pacritinib</w:t>
            </w:r>
            <w:proofErr w:type="spellEnd"/>
            <w:r w:rsidRPr="00FA3F9C">
              <w:rPr>
                <w:rFonts w:ascii="Arial" w:hAnsi="Arial" w:cs="Arial"/>
                <w:sz w:val="24"/>
                <w:szCs w:val="24"/>
              </w:rPr>
              <w:t xml:space="preserve"> was compared to best available care (BAT; any physician-selected treatment for MF and may have included </w:t>
            </w:r>
            <w:proofErr w:type="spellStart"/>
            <w:r w:rsidRPr="00FA3F9C">
              <w:rPr>
                <w:rFonts w:ascii="Arial" w:hAnsi="Arial" w:cs="Arial"/>
                <w:sz w:val="24"/>
                <w:szCs w:val="24"/>
              </w:rPr>
              <w:t>ruxolitinib</w:t>
            </w:r>
            <w:proofErr w:type="spellEnd"/>
            <w:r w:rsidRPr="00FA3F9C">
              <w:rPr>
                <w:rFonts w:ascii="Arial" w:hAnsi="Arial" w:cs="Arial"/>
                <w:sz w:val="24"/>
                <w:szCs w:val="24"/>
              </w:rPr>
              <w:t xml:space="preserve"> hydroxyurea, glucocorticoids, erythropoietic agents, immunomodulatory agents, mercaptopurine, danazol, interferons, cytarabine, melphalan or observation). </w:t>
            </w:r>
          </w:p>
          <w:p w14:paraId="59154F82" w14:textId="77777777" w:rsidR="009B5AA5" w:rsidRPr="00FA3F9C" w:rsidRDefault="009B5AA5" w:rsidP="00DD3731">
            <w:pPr>
              <w:rPr>
                <w:rFonts w:ascii="Arial" w:hAnsi="Arial" w:cs="Arial"/>
                <w:sz w:val="24"/>
                <w:szCs w:val="24"/>
              </w:rPr>
            </w:pPr>
          </w:p>
          <w:p w14:paraId="219806DE" w14:textId="77777777" w:rsidR="009B5AA5" w:rsidRPr="00FA3F9C" w:rsidRDefault="009B5AA5" w:rsidP="00DD3731">
            <w:pPr>
              <w:rPr>
                <w:rFonts w:ascii="Arial" w:hAnsi="Arial" w:cs="Arial"/>
                <w:sz w:val="24"/>
                <w:szCs w:val="24"/>
              </w:rPr>
            </w:pPr>
            <w:r w:rsidRPr="00FA3F9C">
              <w:rPr>
                <w:rFonts w:ascii="Arial" w:hAnsi="Arial" w:cs="Arial"/>
                <w:sz w:val="24"/>
                <w:szCs w:val="24"/>
              </w:rPr>
              <w:t>Among patients with platelets &lt;50 × 10</w:t>
            </w:r>
            <w:r w:rsidRPr="00FA3F9C">
              <w:rPr>
                <w:rFonts w:ascii="Arial" w:hAnsi="Arial" w:cs="Arial"/>
                <w:sz w:val="24"/>
                <w:szCs w:val="24"/>
                <w:vertAlign w:val="superscript"/>
              </w:rPr>
              <w:t>9</w:t>
            </w:r>
            <w:r w:rsidRPr="00FA3F9C">
              <w:rPr>
                <w:rFonts w:ascii="Arial" w:hAnsi="Arial" w:cs="Arial"/>
                <w:sz w:val="24"/>
                <w:szCs w:val="24"/>
              </w:rPr>
              <w:t xml:space="preserve"> /Liter, the proportion of patients who achieved a ≥ 35% reduction in spleen volume as measured MRI or CT from baseline to week 24 was higher in the </w:t>
            </w:r>
            <w:proofErr w:type="spellStart"/>
            <w:r w:rsidRPr="00FA3F9C">
              <w:rPr>
                <w:rFonts w:ascii="Arial" w:hAnsi="Arial" w:cs="Arial"/>
                <w:sz w:val="24"/>
                <w:szCs w:val="24"/>
              </w:rPr>
              <w:t>pacritinib</w:t>
            </w:r>
            <w:proofErr w:type="spellEnd"/>
            <w:r w:rsidRPr="00FA3F9C">
              <w:rPr>
                <w:rFonts w:ascii="Arial" w:hAnsi="Arial" w:cs="Arial"/>
                <w:sz w:val="24"/>
                <w:szCs w:val="24"/>
              </w:rPr>
              <w:t xml:space="preserve"> 200 mg bid group compared to BAT (29% versus 3%). Additionally Total Symptom Score (TSS) was reduced by at least 30% in more patients in the </w:t>
            </w:r>
            <w:proofErr w:type="spellStart"/>
            <w:r w:rsidRPr="00FA3F9C">
              <w:rPr>
                <w:rFonts w:ascii="Arial" w:hAnsi="Arial" w:cs="Arial"/>
                <w:sz w:val="24"/>
                <w:szCs w:val="24"/>
              </w:rPr>
              <w:t>pacritinib</w:t>
            </w:r>
            <w:proofErr w:type="spellEnd"/>
            <w:r w:rsidRPr="00FA3F9C">
              <w:rPr>
                <w:rFonts w:ascii="Arial" w:hAnsi="Arial" w:cs="Arial"/>
                <w:sz w:val="24"/>
                <w:szCs w:val="24"/>
              </w:rPr>
              <w:t xml:space="preserve"> group compared to BAT (23% versus 13%). </w:t>
            </w:r>
          </w:p>
          <w:p w14:paraId="604C47EA" w14:textId="77777777" w:rsidR="009B5AA5" w:rsidRPr="00FA3F9C" w:rsidRDefault="009B5AA5" w:rsidP="00DD3731">
            <w:pPr>
              <w:rPr>
                <w:rFonts w:ascii="Arial" w:hAnsi="Arial" w:cs="Arial"/>
                <w:sz w:val="24"/>
                <w:szCs w:val="24"/>
              </w:rPr>
            </w:pPr>
          </w:p>
        </w:tc>
      </w:tr>
    </w:tbl>
    <w:p w14:paraId="01B0A8B1" w14:textId="77777777" w:rsidR="009B5AA5" w:rsidRPr="00FA3F9C" w:rsidRDefault="009B5AA5" w:rsidP="006F623F">
      <w:pPr>
        <w:spacing w:after="0"/>
        <w:rPr>
          <w:rFonts w:ascii="Arial" w:hAnsi="Arial" w:cs="Arial"/>
          <w:b/>
          <w:sz w:val="24"/>
          <w:szCs w:val="24"/>
          <w:u w:val="single"/>
        </w:rPr>
      </w:pPr>
    </w:p>
    <w:p w14:paraId="714445AC" w14:textId="77777777" w:rsidR="009B5AA5" w:rsidRPr="00FA3F9C" w:rsidRDefault="009B5AA5" w:rsidP="006F623F">
      <w:pPr>
        <w:spacing w:after="0"/>
        <w:rPr>
          <w:rFonts w:ascii="Arial" w:hAnsi="Arial" w:cs="Arial"/>
          <w:b/>
          <w:sz w:val="24"/>
          <w:szCs w:val="24"/>
        </w:rPr>
      </w:pPr>
      <w:r w:rsidRPr="00FA3F9C">
        <w:rPr>
          <w:rFonts w:ascii="Arial" w:hAnsi="Arial" w:cs="Arial"/>
          <w:b/>
          <w:sz w:val="24"/>
          <w:szCs w:val="24"/>
          <w:u w:val="single"/>
        </w:rPr>
        <w:t xml:space="preserve">NCCN guidelines for Myeloproliferative Neoplasms </w:t>
      </w:r>
      <w:r w:rsidRPr="00FA3F9C">
        <w:rPr>
          <w:rFonts w:ascii="Arial" w:hAnsi="Arial" w:cs="Arial"/>
          <w:b/>
          <w:sz w:val="24"/>
          <w:szCs w:val="24"/>
        </w:rPr>
        <w:t>(</w:t>
      </w:r>
      <w:hyperlink r:id="rId306" w:history="1">
        <w:r w:rsidRPr="00FA3F9C">
          <w:rPr>
            <w:rStyle w:val="Hyperlink"/>
            <w:rFonts w:ascii="Arial" w:hAnsi="Arial" w:cs="Arial"/>
            <w:sz w:val="24"/>
            <w:szCs w:val="24"/>
          </w:rPr>
          <w:t>https://www.nccn.org/professionals/physician_gls/pdf/mpn.pdf</w:t>
        </w:r>
      </w:hyperlink>
      <w:r w:rsidRPr="00FA3F9C">
        <w:rPr>
          <w:rFonts w:ascii="Arial" w:hAnsi="Arial" w:cs="Arial"/>
          <w:b/>
          <w:sz w:val="24"/>
          <w:szCs w:val="24"/>
        </w:rPr>
        <w:t>)</w:t>
      </w:r>
    </w:p>
    <w:p w14:paraId="6331BA3E" w14:textId="77777777" w:rsidR="009B5AA5" w:rsidRPr="00FA3F9C" w:rsidRDefault="009B5AA5" w:rsidP="006F623F">
      <w:pPr>
        <w:spacing w:after="0"/>
        <w:rPr>
          <w:rFonts w:ascii="Arial" w:hAnsi="Arial" w:cs="Arial"/>
          <w:b/>
          <w:sz w:val="24"/>
          <w:szCs w:val="24"/>
          <w:u w:val="single"/>
        </w:rPr>
      </w:pPr>
    </w:p>
    <w:p w14:paraId="05C2B684" w14:textId="77777777" w:rsidR="009B5AA5" w:rsidRPr="00FA3F9C" w:rsidRDefault="009B5AA5" w:rsidP="006F623F">
      <w:pPr>
        <w:spacing w:after="0"/>
        <w:rPr>
          <w:rFonts w:ascii="Arial" w:hAnsi="Arial" w:cs="Arial"/>
          <w:b/>
          <w:sz w:val="24"/>
          <w:szCs w:val="24"/>
          <w:u w:val="single"/>
        </w:rPr>
      </w:pPr>
      <w:r w:rsidRPr="00FA3F9C">
        <w:rPr>
          <w:rFonts w:ascii="Arial" w:hAnsi="Arial" w:cs="Arial"/>
          <w:b/>
          <w:noProof/>
          <w:sz w:val="24"/>
          <w:szCs w:val="24"/>
          <w:u w:val="single"/>
        </w:rPr>
        <w:lastRenderedPageBreak/>
        <w:drawing>
          <wp:inline distT="0" distB="0" distL="0" distR="0" wp14:anchorId="01A8A30C" wp14:editId="3D83C107">
            <wp:extent cx="4868883" cy="3303627"/>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7"/>
                    <a:stretch>
                      <a:fillRect/>
                    </a:stretch>
                  </pic:blipFill>
                  <pic:spPr>
                    <a:xfrm>
                      <a:off x="0" y="0"/>
                      <a:ext cx="4932848" cy="3347029"/>
                    </a:xfrm>
                    <a:prstGeom prst="rect">
                      <a:avLst/>
                    </a:prstGeom>
                  </pic:spPr>
                </pic:pic>
              </a:graphicData>
            </a:graphic>
          </wp:inline>
        </w:drawing>
      </w:r>
    </w:p>
    <w:p w14:paraId="19E09F33" w14:textId="77777777" w:rsidR="009B5AA5" w:rsidRPr="00FA3F9C" w:rsidRDefault="009B5AA5" w:rsidP="006F623F">
      <w:pPr>
        <w:spacing w:after="0"/>
        <w:rPr>
          <w:rFonts w:ascii="Arial" w:hAnsi="Arial" w:cs="Arial"/>
          <w:b/>
          <w:sz w:val="24"/>
          <w:szCs w:val="24"/>
          <w:u w:val="single"/>
        </w:rPr>
      </w:pPr>
    </w:p>
    <w:p w14:paraId="594838AC" w14:textId="77777777" w:rsidR="009B5AA5" w:rsidRPr="00FA3F9C" w:rsidRDefault="009B5AA5" w:rsidP="006F623F">
      <w:pPr>
        <w:spacing w:after="0"/>
        <w:rPr>
          <w:rFonts w:ascii="Arial" w:hAnsi="Arial" w:cs="Arial"/>
          <w:sz w:val="24"/>
          <w:szCs w:val="24"/>
        </w:rPr>
      </w:pPr>
      <w:r w:rsidRPr="00FA3F9C">
        <w:rPr>
          <w:rFonts w:ascii="Arial" w:hAnsi="Arial" w:cs="Arial"/>
          <w:sz w:val="24"/>
          <w:szCs w:val="24"/>
        </w:rPr>
        <w:t>Quantity Limits:  4/1</w:t>
      </w:r>
    </w:p>
    <w:p w14:paraId="42B313D2" w14:textId="77777777" w:rsidR="009B5AA5" w:rsidRPr="00FA3F9C" w:rsidRDefault="009B5AA5" w:rsidP="006F623F">
      <w:pPr>
        <w:spacing w:after="0"/>
        <w:rPr>
          <w:rFonts w:ascii="Arial" w:hAnsi="Arial" w:cs="Arial"/>
          <w:sz w:val="24"/>
          <w:szCs w:val="24"/>
        </w:rPr>
      </w:pPr>
    </w:p>
    <w:p w14:paraId="6B0C4A5C" w14:textId="77777777" w:rsidR="009B5AA5" w:rsidRPr="00FA3F9C" w:rsidRDefault="009B5AA5"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284"/>
        <w:gridCol w:w="7470"/>
        <w:gridCol w:w="2538"/>
      </w:tblGrid>
      <w:tr w:rsidR="009B5AA5" w:rsidRPr="00FA3F9C" w14:paraId="316CB882" w14:textId="77777777" w:rsidTr="00FE491B">
        <w:tc>
          <w:tcPr>
            <w:tcW w:w="1008" w:type="dxa"/>
          </w:tcPr>
          <w:p w14:paraId="518D9AEA" w14:textId="77777777" w:rsidR="009B5AA5" w:rsidRPr="00FA3F9C" w:rsidRDefault="009B5AA5" w:rsidP="006F623F">
            <w:pPr>
              <w:rPr>
                <w:rFonts w:ascii="Arial" w:hAnsi="Arial" w:cs="Arial"/>
                <w:sz w:val="24"/>
                <w:szCs w:val="24"/>
              </w:rPr>
            </w:pPr>
            <w:r w:rsidRPr="00FA3F9C">
              <w:rPr>
                <w:rFonts w:ascii="Arial" w:hAnsi="Arial" w:cs="Arial"/>
                <w:sz w:val="24"/>
                <w:szCs w:val="24"/>
              </w:rPr>
              <w:t>Date</w:t>
            </w:r>
          </w:p>
        </w:tc>
        <w:tc>
          <w:tcPr>
            <w:tcW w:w="7470" w:type="dxa"/>
          </w:tcPr>
          <w:p w14:paraId="407CE7A3" w14:textId="77777777" w:rsidR="009B5AA5" w:rsidRPr="00FA3F9C" w:rsidRDefault="009B5AA5" w:rsidP="006F623F">
            <w:pPr>
              <w:rPr>
                <w:rFonts w:ascii="Arial" w:hAnsi="Arial" w:cs="Arial"/>
                <w:sz w:val="24"/>
                <w:szCs w:val="24"/>
              </w:rPr>
            </w:pPr>
            <w:r w:rsidRPr="00FA3F9C">
              <w:rPr>
                <w:rFonts w:ascii="Arial" w:hAnsi="Arial" w:cs="Arial"/>
                <w:sz w:val="24"/>
                <w:szCs w:val="24"/>
              </w:rPr>
              <w:t>What changed</w:t>
            </w:r>
          </w:p>
        </w:tc>
        <w:tc>
          <w:tcPr>
            <w:tcW w:w="2538" w:type="dxa"/>
          </w:tcPr>
          <w:p w14:paraId="12CF2FE2" w14:textId="77777777" w:rsidR="009B5AA5" w:rsidRPr="00FA3F9C" w:rsidRDefault="009B5AA5" w:rsidP="006F623F">
            <w:pPr>
              <w:rPr>
                <w:rFonts w:ascii="Arial" w:hAnsi="Arial" w:cs="Arial"/>
                <w:sz w:val="24"/>
                <w:szCs w:val="24"/>
              </w:rPr>
            </w:pPr>
            <w:r w:rsidRPr="00FA3F9C">
              <w:rPr>
                <w:rFonts w:ascii="Arial" w:hAnsi="Arial" w:cs="Arial"/>
                <w:sz w:val="24"/>
                <w:szCs w:val="24"/>
              </w:rPr>
              <w:t>Pharmacist’s initials</w:t>
            </w:r>
          </w:p>
        </w:tc>
      </w:tr>
      <w:tr w:rsidR="009B5AA5" w:rsidRPr="00FA3F9C" w14:paraId="4FDDFFAE" w14:textId="77777777" w:rsidTr="00FE491B">
        <w:tc>
          <w:tcPr>
            <w:tcW w:w="1008" w:type="dxa"/>
          </w:tcPr>
          <w:p w14:paraId="32EF310A" w14:textId="77777777" w:rsidR="009B5AA5" w:rsidRPr="00FA3F9C" w:rsidRDefault="009B5AA5" w:rsidP="006F623F">
            <w:pPr>
              <w:rPr>
                <w:rFonts w:ascii="Arial" w:hAnsi="Arial" w:cs="Arial"/>
                <w:sz w:val="24"/>
                <w:szCs w:val="24"/>
              </w:rPr>
            </w:pPr>
            <w:r w:rsidRPr="00FA3F9C">
              <w:rPr>
                <w:rFonts w:ascii="Arial" w:hAnsi="Arial" w:cs="Arial"/>
                <w:sz w:val="24"/>
                <w:szCs w:val="24"/>
              </w:rPr>
              <w:t>4/21/2022</w:t>
            </w:r>
          </w:p>
        </w:tc>
        <w:tc>
          <w:tcPr>
            <w:tcW w:w="7470" w:type="dxa"/>
          </w:tcPr>
          <w:p w14:paraId="1D390FFF" w14:textId="77777777" w:rsidR="009B5AA5" w:rsidRPr="00FA3F9C" w:rsidRDefault="009B5AA5" w:rsidP="006F623F">
            <w:pPr>
              <w:rPr>
                <w:rFonts w:ascii="Arial" w:hAnsi="Arial" w:cs="Arial"/>
                <w:sz w:val="24"/>
                <w:szCs w:val="24"/>
              </w:rPr>
            </w:pPr>
            <w:r w:rsidRPr="00FA3F9C">
              <w:rPr>
                <w:rFonts w:ascii="Arial" w:hAnsi="Arial" w:cs="Arial"/>
                <w:sz w:val="24"/>
                <w:szCs w:val="24"/>
              </w:rPr>
              <w:t>Criteria written</w:t>
            </w:r>
          </w:p>
        </w:tc>
        <w:tc>
          <w:tcPr>
            <w:tcW w:w="2538" w:type="dxa"/>
          </w:tcPr>
          <w:p w14:paraId="3127686E" w14:textId="77777777" w:rsidR="009B5AA5" w:rsidRPr="00FA3F9C" w:rsidRDefault="009B5AA5" w:rsidP="006F623F">
            <w:pPr>
              <w:rPr>
                <w:rFonts w:ascii="Arial" w:hAnsi="Arial" w:cs="Arial"/>
                <w:sz w:val="24"/>
                <w:szCs w:val="24"/>
              </w:rPr>
            </w:pPr>
            <w:r w:rsidRPr="00FA3F9C">
              <w:rPr>
                <w:rFonts w:ascii="Arial" w:hAnsi="Arial" w:cs="Arial"/>
                <w:sz w:val="24"/>
                <w:szCs w:val="24"/>
              </w:rPr>
              <w:t>SK</w:t>
            </w:r>
          </w:p>
        </w:tc>
      </w:tr>
      <w:tr w:rsidR="009B5AA5" w:rsidRPr="00FA3F9C" w14:paraId="2235EBBA" w14:textId="77777777" w:rsidTr="00FE491B">
        <w:tc>
          <w:tcPr>
            <w:tcW w:w="1008" w:type="dxa"/>
          </w:tcPr>
          <w:p w14:paraId="12A68723" w14:textId="77777777" w:rsidR="009B5AA5" w:rsidRPr="00FA3F9C" w:rsidRDefault="009B5AA5" w:rsidP="006F623F">
            <w:pPr>
              <w:rPr>
                <w:rFonts w:ascii="Arial" w:hAnsi="Arial" w:cs="Arial"/>
                <w:sz w:val="24"/>
                <w:szCs w:val="24"/>
              </w:rPr>
            </w:pPr>
          </w:p>
        </w:tc>
        <w:tc>
          <w:tcPr>
            <w:tcW w:w="7470" w:type="dxa"/>
          </w:tcPr>
          <w:p w14:paraId="199B03C9" w14:textId="77777777" w:rsidR="009B5AA5" w:rsidRPr="00FA3F9C" w:rsidRDefault="009B5AA5" w:rsidP="006F623F">
            <w:pPr>
              <w:rPr>
                <w:rFonts w:ascii="Arial" w:hAnsi="Arial" w:cs="Arial"/>
                <w:sz w:val="24"/>
                <w:szCs w:val="24"/>
              </w:rPr>
            </w:pPr>
          </w:p>
        </w:tc>
        <w:tc>
          <w:tcPr>
            <w:tcW w:w="2538" w:type="dxa"/>
          </w:tcPr>
          <w:p w14:paraId="6AED0717" w14:textId="77777777" w:rsidR="009B5AA5" w:rsidRPr="00FA3F9C" w:rsidRDefault="009B5AA5" w:rsidP="006F623F">
            <w:pPr>
              <w:rPr>
                <w:rFonts w:ascii="Arial" w:hAnsi="Arial" w:cs="Arial"/>
                <w:sz w:val="24"/>
                <w:szCs w:val="24"/>
              </w:rPr>
            </w:pPr>
          </w:p>
        </w:tc>
      </w:tr>
    </w:tbl>
    <w:p w14:paraId="09A1077B" w14:textId="77777777" w:rsidR="009B5AA5" w:rsidRPr="00FA3F9C" w:rsidRDefault="009B5AA5" w:rsidP="006F623F">
      <w:pPr>
        <w:spacing w:after="0"/>
        <w:rPr>
          <w:rFonts w:ascii="Arial" w:hAnsi="Arial" w:cs="Arial"/>
          <w:sz w:val="24"/>
          <w:szCs w:val="24"/>
        </w:rPr>
      </w:pPr>
    </w:p>
    <w:p w14:paraId="2E7508E8" w14:textId="77777777" w:rsidR="009B5AA5" w:rsidRPr="00FA3F9C" w:rsidRDefault="009B5AA5" w:rsidP="00EF3B65">
      <w:pPr>
        <w:pStyle w:val="Heading2"/>
      </w:pPr>
      <w:bookmarkStart w:id="247" w:name="_Toc106369884"/>
      <w:proofErr w:type="spellStart"/>
      <w:r w:rsidRPr="00FA3F9C">
        <w:t>Ibrance</w:t>
      </w:r>
      <w:proofErr w:type="spellEnd"/>
      <w:r w:rsidRPr="00FA3F9C">
        <w:t xml:space="preserve"> (Palbociclib)</w:t>
      </w:r>
      <w:bookmarkEnd w:id="247"/>
    </w:p>
    <w:p w14:paraId="5AE373FC" w14:textId="77777777" w:rsidR="009B5AA5" w:rsidRPr="00FA3F9C" w:rsidRDefault="009B5AA5" w:rsidP="008F647B">
      <w:pPr>
        <w:spacing w:after="0" w:line="240" w:lineRule="auto"/>
        <w:jc w:val="center"/>
        <w:rPr>
          <w:rFonts w:ascii="Arial" w:hAnsi="Arial" w:cs="Arial"/>
          <w:sz w:val="24"/>
          <w:szCs w:val="24"/>
        </w:rPr>
      </w:pPr>
      <w:r w:rsidRPr="00FA3F9C">
        <w:rPr>
          <w:rFonts w:ascii="Arial" w:hAnsi="Arial" w:cs="Arial"/>
          <w:sz w:val="24"/>
          <w:szCs w:val="24"/>
        </w:rPr>
        <w:t>75 mg, 100 mg, 125 mg capsules</w:t>
      </w:r>
    </w:p>
    <w:p w14:paraId="62E5843B" w14:textId="77777777" w:rsidR="009B5AA5" w:rsidRPr="00FA3F9C" w:rsidRDefault="009B5AA5" w:rsidP="00E55B09">
      <w:pPr>
        <w:spacing w:after="0" w:line="240" w:lineRule="auto"/>
        <w:jc w:val="center"/>
        <w:rPr>
          <w:rFonts w:ascii="Arial" w:hAnsi="Arial" w:cs="Arial"/>
          <w:sz w:val="24"/>
          <w:szCs w:val="24"/>
        </w:rPr>
      </w:pPr>
      <w:r w:rsidRPr="00FA3F9C">
        <w:rPr>
          <w:rFonts w:ascii="Arial" w:hAnsi="Arial" w:cs="Arial"/>
          <w:sz w:val="24"/>
          <w:szCs w:val="24"/>
        </w:rPr>
        <w:t>EBRx PA Criteria</w:t>
      </w:r>
    </w:p>
    <w:p w14:paraId="1A0EA4AD" w14:textId="77777777" w:rsidR="009B5AA5" w:rsidRPr="00FA3F9C" w:rsidRDefault="009B5AA5" w:rsidP="0052674A">
      <w:pPr>
        <w:spacing w:after="0"/>
        <w:rPr>
          <w:rFonts w:ascii="Arial" w:hAnsi="Arial" w:cs="Arial"/>
          <w:b/>
          <w:sz w:val="24"/>
          <w:szCs w:val="24"/>
          <w:u w:val="single"/>
        </w:rPr>
      </w:pPr>
    </w:p>
    <w:p w14:paraId="3ED04123" w14:textId="77777777" w:rsidR="009B5AA5" w:rsidRPr="00FA3F9C" w:rsidRDefault="009B5AA5" w:rsidP="0052674A">
      <w:pPr>
        <w:spacing w:after="0"/>
        <w:rPr>
          <w:rFonts w:ascii="Arial" w:hAnsi="Arial" w:cs="Arial"/>
          <w:b/>
          <w:sz w:val="24"/>
          <w:szCs w:val="24"/>
          <w:u w:val="single"/>
        </w:rPr>
      </w:pPr>
      <w:r w:rsidRPr="00FA3F9C">
        <w:rPr>
          <w:rFonts w:ascii="Arial" w:hAnsi="Arial" w:cs="Arial"/>
          <w:b/>
          <w:sz w:val="24"/>
          <w:szCs w:val="24"/>
          <w:u w:val="single"/>
        </w:rPr>
        <w:t xml:space="preserve">FDA Approved Indications: </w:t>
      </w:r>
    </w:p>
    <w:p w14:paraId="565FAFB5" w14:textId="77777777" w:rsidR="009B5AA5" w:rsidRPr="00FA3F9C" w:rsidRDefault="009B5AA5" w:rsidP="00FC1E85">
      <w:pPr>
        <w:pStyle w:val="ListParagraph"/>
        <w:numPr>
          <w:ilvl w:val="0"/>
          <w:numId w:val="401"/>
        </w:numPr>
        <w:spacing w:after="0" w:line="276" w:lineRule="auto"/>
        <w:ind w:left="180" w:hanging="180"/>
        <w:rPr>
          <w:rFonts w:ascii="Arial" w:hAnsi="Arial" w:cs="Arial"/>
          <w:sz w:val="24"/>
          <w:szCs w:val="24"/>
        </w:rPr>
      </w:pPr>
      <w:r w:rsidRPr="00FA3F9C">
        <w:rPr>
          <w:rFonts w:ascii="Arial" w:hAnsi="Arial" w:cs="Arial"/>
          <w:sz w:val="24"/>
          <w:szCs w:val="24"/>
        </w:rPr>
        <w:lastRenderedPageBreak/>
        <w:t>Treatment of adult patients with hormone receptor (HR)-positive, human epidermal growth factor receptor 2 (HER2)-negative advanced or metastatic breast cancer in the following settings:</w:t>
      </w:r>
    </w:p>
    <w:p w14:paraId="2FE4A459" w14:textId="77777777" w:rsidR="009B5AA5" w:rsidRPr="00FA3F9C" w:rsidRDefault="009B5AA5" w:rsidP="00FC1E85">
      <w:pPr>
        <w:pStyle w:val="ListParagraph"/>
        <w:numPr>
          <w:ilvl w:val="1"/>
          <w:numId w:val="401"/>
        </w:numPr>
        <w:spacing w:after="0" w:line="276" w:lineRule="auto"/>
        <w:ind w:left="810"/>
        <w:rPr>
          <w:rFonts w:ascii="Arial" w:hAnsi="Arial" w:cs="Arial"/>
          <w:sz w:val="24"/>
          <w:szCs w:val="24"/>
        </w:rPr>
      </w:pPr>
      <w:r w:rsidRPr="00FA3F9C">
        <w:rPr>
          <w:rFonts w:ascii="Arial" w:hAnsi="Arial" w:cs="Arial"/>
          <w:sz w:val="24"/>
          <w:szCs w:val="24"/>
        </w:rPr>
        <w:t xml:space="preserve">With an aromatase inhibitor as initial endocrine-based therapy in postmenopausal women or men </w:t>
      </w:r>
      <w:r w:rsidRPr="00FA3F9C">
        <w:rPr>
          <w:rFonts w:ascii="Arial" w:hAnsi="Arial" w:cs="Arial"/>
          <w:sz w:val="24"/>
          <w:szCs w:val="24"/>
          <w:highlight w:val="yellow"/>
        </w:rPr>
        <w:t>(NOT COVERED)</w:t>
      </w:r>
      <w:r w:rsidRPr="00FA3F9C">
        <w:rPr>
          <w:rFonts w:ascii="Arial" w:hAnsi="Arial" w:cs="Arial"/>
          <w:sz w:val="24"/>
          <w:szCs w:val="24"/>
        </w:rPr>
        <w:t xml:space="preserve"> [alternative for first-line use: </w:t>
      </w:r>
      <w:proofErr w:type="spellStart"/>
      <w:r w:rsidRPr="00FA3F9C">
        <w:rPr>
          <w:rFonts w:ascii="Arial" w:hAnsi="Arial" w:cs="Arial"/>
          <w:sz w:val="24"/>
          <w:szCs w:val="24"/>
        </w:rPr>
        <w:t>ribociclib+fulvestrant</w:t>
      </w:r>
      <w:proofErr w:type="spellEnd"/>
      <w:r w:rsidRPr="00FA3F9C">
        <w:rPr>
          <w:rFonts w:ascii="Arial" w:hAnsi="Arial" w:cs="Arial"/>
          <w:sz w:val="24"/>
          <w:szCs w:val="24"/>
        </w:rPr>
        <w:t>]</w:t>
      </w:r>
    </w:p>
    <w:p w14:paraId="7181ABE4" w14:textId="77777777" w:rsidR="009B5AA5" w:rsidRPr="00FA3F9C" w:rsidRDefault="009B5AA5" w:rsidP="00727DB7">
      <w:pPr>
        <w:pStyle w:val="ListParagraph"/>
        <w:spacing w:after="0"/>
        <w:ind w:left="810"/>
        <w:rPr>
          <w:rFonts w:ascii="Arial" w:hAnsi="Arial" w:cs="Arial"/>
          <w:sz w:val="24"/>
          <w:szCs w:val="24"/>
          <w:u w:val="single"/>
        </w:rPr>
      </w:pPr>
    </w:p>
    <w:p w14:paraId="16AC4790" w14:textId="77777777" w:rsidR="009B5AA5" w:rsidRPr="00FA3F9C" w:rsidRDefault="009B5AA5" w:rsidP="00727DB7">
      <w:pPr>
        <w:pStyle w:val="ListParagraph"/>
        <w:spacing w:after="0"/>
        <w:ind w:left="810"/>
        <w:rPr>
          <w:rFonts w:ascii="Arial" w:hAnsi="Arial" w:cs="Arial"/>
          <w:sz w:val="24"/>
          <w:szCs w:val="24"/>
        </w:rPr>
      </w:pPr>
      <w:r w:rsidRPr="00FA3F9C">
        <w:rPr>
          <w:rFonts w:ascii="Arial" w:hAnsi="Arial" w:cs="Arial"/>
          <w:sz w:val="24"/>
          <w:szCs w:val="24"/>
          <w:u w:val="single"/>
        </w:rPr>
        <w:t>NOTE:</w:t>
      </w:r>
      <w:r w:rsidRPr="00FA3F9C">
        <w:rPr>
          <w:rFonts w:ascii="Arial" w:hAnsi="Arial" w:cs="Arial"/>
          <w:sz w:val="24"/>
          <w:szCs w:val="24"/>
        </w:rPr>
        <w:t xml:space="preserve"> As of 11/25/19 EBRx P&amp;T Committee meeting: </w:t>
      </w:r>
      <w:r w:rsidRPr="00FA3F9C">
        <w:rPr>
          <w:rFonts w:ascii="Arial" w:hAnsi="Arial" w:cs="Arial"/>
          <w:b/>
          <w:sz w:val="24"/>
          <w:szCs w:val="24"/>
          <w:u w:val="single"/>
        </w:rPr>
        <w:t>NEW</w:t>
      </w:r>
      <w:r w:rsidRPr="00FA3F9C">
        <w:rPr>
          <w:rFonts w:ascii="Arial" w:hAnsi="Arial" w:cs="Arial"/>
          <w:sz w:val="24"/>
          <w:szCs w:val="24"/>
        </w:rPr>
        <w:t xml:space="preserve"> requests for </w:t>
      </w:r>
      <w:proofErr w:type="spellStart"/>
      <w:r w:rsidRPr="00FA3F9C">
        <w:rPr>
          <w:rFonts w:ascii="Arial" w:hAnsi="Arial" w:cs="Arial"/>
          <w:sz w:val="24"/>
          <w:szCs w:val="24"/>
        </w:rPr>
        <w:t>palbociclib</w:t>
      </w:r>
      <w:proofErr w:type="spellEnd"/>
      <w:r w:rsidRPr="00FA3F9C">
        <w:rPr>
          <w:rFonts w:ascii="Arial" w:hAnsi="Arial" w:cs="Arial"/>
          <w:sz w:val="24"/>
          <w:szCs w:val="24"/>
        </w:rPr>
        <w:t xml:space="preserve"> as FIRST-LINE therapy will no longer be covered due to lack of overall survival benefit. This indication is based on progression free survival (PFS) benefit only without </w:t>
      </w:r>
      <w:proofErr w:type="gramStart"/>
      <w:r w:rsidRPr="00FA3F9C">
        <w:rPr>
          <w:rFonts w:ascii="Arial" w:hAnsi="Arial" w:cs="Arial"/>
          <w:sz w:val="24"/>
          <w:szCs w:val="24"/>
        </w:rPr>
        <w:t>quality of life</w:t>
      </w:r>
      <w:proofErr w:type="gramEnd"/>
      <w:r w:rsidRPr="00FA3F9C">
        <w:rPr>
          <w:rFonts w:ascii="Arial" w:hAnsi="Arial" w:cs="Arial"/>
          <w:sz w:val="24"/>
          <w:szCs w:val="24"/>
        </w:rPr>
        <w:t xml:space="preserve"> benefit. </w:t>
      </w:r>
      <w:r w:rsidRPr="00FA3F9C">
        <w:rPr>
          <w:rFonts w:ascii="Arial" w:hAnsi="Arial" w:cs="Arial"/>
          <w:sz w:val="24"/>
          <w:szCs w:val="24"/>
          <w:u w:val="single"/>
        </w:rPr>
        <w:t>Patients with a previously approved PA will be grandfathered.</w:t>
      </w:r>
      <w:r w:rsidRPr="00FA3F9C">
        <w:rPr>
          <w:rFonts w:ascii="Arial" w:hAnsi="Arial" w:cs="Arial"/>
          <w:sz w:val="24"/>
          <w:szCs w:val="24"/>
        </w:rPr>
        <w:t xml:space="preserve"> </w:t>
      </w:r>
    </w:p>
    <w:p w14:paraId="6A420AFE" w14:textId="77777777" w:rsidR="009B5AA5" w:rsidRPr="00FA3F9C" w:rsidRDefault="009B5AA5" w:rsidP="004C11A3">
      <w:pPr>
        <w:pStyle w:val="ListParagraph"/>
        <w:ind w:left="810"/>
        <w:rPr>
          <w:rFonts w:ascii="Arial" w:hAnsi="Arial" w:cs="Arial"/>
          <w:sz w:val="24"/>
          <w:szCs w:val="24"/>
        </w:rPr>
      </w:pPr>
    </w:p>
    <w:p w14:paraId="02ACAE82" w14:textId="77777777" w:rsidR="009B5AA5" w:rsidRPr="00FA3F9C" w:rsidRDefault="009B5AA5" w:rsidP="004C11A3">
      <w:pPr>
        <w:pStyle w:val="ListParagraph"/>
        <w:ind w:left="810"/>
        <w:rPr>
          <w:rFonts w:ascii="Arial" w:hAnsi="Arial" w:cs="Arial"/>
          <w:sz w:val="24"/>
          <w:szCs w:val="24"/>
        </w:rPr>
      </w:pPr>
      <w:r w:rsidRPr="00FA3F9C">
        <w:rPr>
          <w:rFonts w:ascii="Arial" w:hAnsi="Arial" w:cs="Arial"/>
          <w:sz w:val="24"/>
          <w:szCs w:val="24"/>
        </w:rPr>
        <w:t xml:space="preserve">The phase 2 PALOMA-1 trial did not demonstrate statistical improvement of OS with </w:t>
      </w:r>
      <w:proofErr w:type="spellStart"/>
      <w:r w:rsidRPr="00FA3F9C">
        <w:rPr>
          <w:rFonts w:ascii="Arial" w:hAnsi="Arial" w:cs="Arial"/>
          <w:sz w:val="24"/>
          <w:szCs w:val="24"/>
        </w:rPr>
        <w:t>palbociclib</w:t>
      </w:r>
      <w:proofErr w:type="spellEnd"/>
      <w:r w:rsidRPr="00FA3F9C">
        <w:rPr>
          <w:rFonts w:ascii="Arial" w:hAnsi="Arial" w:cs="Arial"/>
          <w:sz w:val="24"/>
          <w:szCs w:val="24"/>
        </w:rPr>
        <w:t>/letrozole compared to letrozole alone.</w:t>
      </w:r>
    </w:p>
    <w:p w14:paraId="35AF6AD9" w14:textId="77777777" w:rsidR="009B5AA5" w:rsidRPr="00FA3F9C" w:rsidRDefault="009B5AA5" w:rsidP="004C11A3">
      <w:pPr>
        <w:pStyle w:val="ListParagraph"/>
        <w:ind w:left="810"/>
        <w:rPr>
          <w:rFonts w:ascii="Arial" w:hAnsi="Arial" w:cs="Arial"/>
          <w:sz w:val="24"/>
          <w:szCs w:val="24"/>
        </w:rPr>
      </w:pPr>
    </w:p>
    <w:p w14:paraId="25A2D476" w14:textId="77777777" w:rsidR="009B5AA5" w:rsidRPr="00FA3F9C" w:rsidRDefault="009B5AA5" w:rsidP="004C11A3">
      <w:pPr>
        <w:pStyle w:val="ListParagraph"/>
        <w:ind w:left="810"/>
        <w:rPr>
          <w:rFonts w:ascii="Arial" w:hAnsi="Arial" w:cs="Arial"/>
          <w:sz w:val="24"/>
          <w:szCs w:val="24"/>
        </w:rPr>
      </w:pPr>
      <w:r w:rsidRPr="00FA3F9C">
        <w:rPr>
          <w:rFonts w:ascii="Arial" w:hAnsi="Arial" w:cs="Arial"/>
          <w:sz w:val="24"/>
          <w:szCs w:val="24"/>
        </w:rPr>
        <w:t xml:space="preserve">In the phase 3 PALOMA-2 trial: for first-line treatment of metastatic breast cancer, </w:t>
      </w:r>
      <w:proofErr w:type="spellStart"/>
      <w:r w:rsidRPr="00FA3F9C">
        <w:rPr>
          <w:rFonts w:ascii="Arial" w:hAnsi="Arial" w:cs="Arial"/>
          <w:sz w:val="24"/>
          <w:szCs w:val="24"/>
        </w:rPr>
        <w:t>palbociclib</w:t>
      </w:r>
      <w:proofErr w:type="spellEnd"/>
      <w:r w:rsidRPr="00FA3F9C">
        <w:rPr>
          <w:rFonts w:ascii="Arial" w:hAnsi="Arial" w:cs="Arial"/>
          <w:sz w:val="24"/>
          <w:szCs w:val="24"/>
        </w:rPr>
        <w:t xml:space="preserve"> was given in combination with letrozole 2.5mg daily and compared with </w:t>
      </w:r>
      <w:proofErr w:type="spellStart"/>
      <w:r w:rsidRPr="00FA3F9C">
        <w:rPr>
          <w:rFonts w:ascii="Arial" w:hAnsi="Arial" w:cs="Arial"/>
          <w:sz w:val="24"/>
          <w:szCs w:val="24"/>
        </w:rPr>
        <w:t>placebo+letrozole</w:t>
      </w:r>
      <w:proofErr w:type="spellEnd"/>
      <w:r w:rsidRPr="00FA3F9C">
        <w:rPr>
          <w:rFonts w:ascii="Arial" w:hAnsi="Arial" w:cs="Arial"/>
          <w:sz w:val="24"/>
          <w:szCs w:val="24"/>
        </w:rPr>
        <w:t xml:space="preserve">. The </w:t>
      </w:r>
      <w:proofErr w:type="spellStart"/>
      <w:r w:rsidRPr="00FA3F9C">
        <w:rPr>
          <w:rFonts w:ascii="Arial" w:hAnsi="Arial" w:cs="Arial"/>
          <w:sz w:val="24"/>
          <w:szCs w:val="24"/>
        </w:rPr>
        <w:t>palbociclib</w:t>
      </w:r>
      <w:proofErr w:type="spellEnd"/>
      <w:r w:rsidRPr="00FA3F9C">
        <w:rPr>
          <w:rFonts w:ascii="Arial" w:hAnsi="Arial" w:cs="Arial"/>
          <w:sz w:val="24"/>
          <w:szCs w:val="24"/>
        </w:rPr>
        <w:t xml:space="preserve"> group was found to have significantly improved progression free survival (25 </w:t>
      </w:r>
      <w:proofErr w:type="spellStart"/>
      <w:r w:rsidRPr="00FA3F9C">
        <w:rPr>
          <w:rFonts w:ascii="Arial" w:hAnsi="Arial" w:cs="Arial"/>
          <w:sz w:val="24"/>
          <w:szCs w:val="24"/>
        </w:rPr>
        <w:t>mo</w:t>
      </w:r>
      <w:proofErr w:type="spellEnd"/>
      <w:r w:rsidRPr="00FA3F9C">
        <w:rPr>
          <w:rFonts w:ascii="Arial" w:hAnsi="Arial" w:cs="Arial"/>
          <w:sz w:val="24"/>
          <w:szCs w:val="24"/>
        </w:rPr>
        <w:t xml:space="preserve"> vs 15 </w:t>
      </w:r>
      <w:proofErr w:type="spellStart"/>
      <w:r w:rsidRPr="00FA3F9C">
        <w:rPr>
          <w:rFonts w:ascii="Arial" w:hAnsi="Arial" w:cs="Arial"/>
          <w:sz w:val="24"/>
          <w:szCs w:val="24"/>
        </w:rPr>
        <w:t>mo</w:t>
      </w:r>
      <w:proofErr w:type="spellEnd"/>
      <w:r w:rsidRPr="00FA3F9C">
        <w:rPr>
          <w:rFonts w:ascii="Arial" w:hAnsi="Arial" w:cs="Arial"/>
          <w:sz w:val="24"/>
          <w:szCs w:val="24"/>
        </w:rPr>
        <w:t>). Overall survival data are not mature after 38 months of follow up. Crossover was not allowed in study, but 10% of placebo patients received a CDK inhibitor after the trial. There was also no demonstrated significant improvement in QOL.</w:t>
      </w:r>
    </w:p>
    <w:p w14:paraId="72BD843D" w14:textId="77777777" w:rsidR="009B5AA5" w:rsidRPr="00FA3F9C" w:rsidRDefault="009B5AA5" w:rsidP="009F14D6">
      <w:pPr>
        <w:pStyle w:val="ListParagraph"/>
        <w:ind w:left="990"/>
        <w:rPr>
          <w:rFonts w:ascii="Arial" w:eastAsia="Times New Roman" w:hAnsi="Arial" w:cs="Arial"/>
          <w:sz w:val="24"/>
          <w:szCs w:val="24"/>
          <w:u w:val="single"/>
        </w:rPr>
      </w:pPr>
      <w:r w:rsidRPr="00FA3F9C">
        <w:rPr>
          <w:rFonts w:ascii="Arial" w:hAnsi="Arial" w:cs="Arial"/>
          <w:sz w:val="24"/>
          <w:szCs w:val="24"/>
          <w:u w:val="single"/>
        </w:rPr>
        <w:t>References:</w:t>
      </w:r>
    </w:p>
    <w:p w14:paraId="6B86FC0A" w14:textId="77777777" w:rsidR="009B5AA5" w:rsidRPr="00FA3F9C" w:rsidRDefault="009B5AA5" w:rsidP="00FC1E85">
      <w:pPr>
        <w:pStyle w:val="ListParagraph"/>
        <w:numPr>
          <w:ilvl w:val="0"/>
          <w:numId w:val="406"/>
        </w:numPr>
        <w:spacing w:after="0" w:line="240" w:lineRule="auto"/>
        <w:ind w:left="1260" w:hanging="180"/>
        <w:rPr>
          <w:rFonts w:ascii="Arial" w:hAnsi="Arial" w:cs="Arial"/>
          <w:sz w:val="24"/>
          <w:szCs w:val="24"/>
        </w:rPr>
      </w:pPr>
      <w:r w:rsidRPr="00FA3F9C">
        <w:rPr>
          <w:rFonts w:ascii="Arial" w:hAnsi="Arial" w:cs="Arial"/>
          <w:sz w:val="24"/>
          <w:szCs w:val="24"/>
        </w:rPr>
        <w:t xml:space="preserve">Finn RS et al. Overall survival results from the randomized phase 2 study of </w:t>
      </w:r>
      <w:proofErr w:type="spellStart"/>
      <w:r w:rsidRPr="00FA3F9C">
        <w:rPr>
          <w:rFonts w:ascii="Arial" w:hAnsi="Arial" w:cs="Arial"/>
          <w:sz w:val="24"/>
          <w:szCs w:val="24"/>
        </w:rPr>
        <w:t>palbociclib</w:t>
      </w:r>
      <w:proofErr w:type="spellEnd"/>
      <w:r w:rsidRPr="00FA3F9C">
        <w:rPr>
          <w:rFonts w:ascii="Arial" w:hAnsi="Arial" w:cs="Arial"/>
          <w:sz w:val="24"/>
          <w:szCs w:val="24"/>
        </w:rPr>
        <w:t xml:space="preserve"> in combination with letrozole versus letrozole alone for first-line treatment of ER+/HER2- advanced breast cancer (PALOMA-1, TRIO-18). Breast Cancer Res Treat. 2020 Sep;183(2):419-428. PMID: 32683565; PMCID: PMC7383036.</w:t>
      </w:r>
    </w:p>
    <w:p w14:paraId="347FEA6B" w14:textId="77777777" w:rsidR="009B5AA5" w:rsidRPr="00FA3F9C" w:rsidRDefault="00500371" w:rsidP="00FC1E85">
      <w:pPr>
        <w:pStyle w:val="ListParagraph"/>
        <w:numPr>
          <w:ilvl w:val="0"/>
          <w:numId w:val="406"/>
        </w:numPr>
        <w:spacing w:after="0" w:line="240" w:lineRule="auto"/>
        <w:ind w:left="1260" w:hanging="180"/>
        <w:rPr>
          <w:rFonts w:ascii="Arial" w:eastAsia="Times New Roman" w:hAnsi="Arial" w:cs="Arial"/>
          <w:sz w:val="24"/>
          <w:szCs w:val="24"/>
        </w:rPr>
      </w:pPr>
      <w:hyperlink r:id="rId308" w:history="1">
        <w:proofErr w:type="spellStart"/>
        <w:r w:rsidR="009B5AA5" w:rsidRPr="00FA3F9C">
          <w:rPr>
            <w:rFonts w:ascii="Arial" w:eastAsia="Times New Roman" w:hAnsi="Arial" w:cs="Arial"/>
            <w:sz w:val="24"/>
            <w:szCs w:val="24"/>
          </w:rPr>
          <w:t>Rugo</w:t>
        </w:r>
        <w:proofErr w:type="spellEnd"/>
        <w:r w:rsidR="009B5AA5" w:rsidRPr="00FA3F9C">
          <w:rPr>
            <w:rFonts w:ascii="Arial" w:eastAsia="Times New Roman" w:hAnsi="Arial" w:cs="Arial"/>
            <w:sz w:val="24"/>
            <w:szCs w:val="24"/>
          </w:rPr>
          <w:t xml:space="preserve"> HS</w:t>
        </w:r>
      </w:hyperlink>
      <w:r w:rsidR="009B5AA5" w:rsidRPr="00FA3F9C">
        <w:rPr>
          <w:rFonts w:ascii="Arial" w:eastAsia="Times New Roman" w:hAnsi="Arial" w:cs="Arial"/>
          <w:sz w:val="24"/>
          <w:szCs w:val="24"/>
        </w:rPr>
        <w:t xml:space="preserve"> et al. </w:t>
      </w:r>
      <w:r w:rsidR="009B5AA5" w:rsidRPr="00FA3F9C">
        <w:rPr>
          <w:rFonts w:ascii="Arial" w:eastAsia="Times New Roman" w:hAnsi="Arial" w:cs="Arial"/>
          <w:bCs/>
          <w:kern w:val="36"/>
          <w:sz w:val="24"/>
          <w:szCs w:val="24"/>
        </w:rPr>
        <w:t>Palbociclib plus letrozole as first-line therapy in estrogen receptor-positive/human epidermal growth factor receptor 2-negative advanced breast cancer with extended follow-up.</w:t>
      </w:r>
      <w:r w:rsidR="009B5AA5" w:rsidRPr="00FA3F9C">
        <w:rPr>
          <w:rFonts w:ascii="Arial" w:eastAsia="Times New Roman" w:hAnsi="Arial" w:cs="Arial"/>
          <w:sz w:val="24"/>
          <w:szCs w:val="24"/>
        </w:rPr>
        <w:t xml:space="preserve"> </w:t>
      </w:r>
      <w:hyperlink r:id="rId309" w:tooltip="Breast cancer research and treatment." w:history="1">
        <w:r w:rsidR="009B5AA5" w:rsidRPr="00FA3F9C">
          <w:rPr>
            <w:rFonts w:ascii="Arial" w:eastAsia="Times New Roman" w:hAnsi="Arial" w:cs="Arial"/>
            <w:sz w:val="24"/>
            <w:szCs w:val="24"/>
          </w:rPr>
          <w:t>Breast Cancer Res Treat.</w:t>
        </w:r>
      </w:hyperlink>
      <w:r w:rsidR="009B5AA5" w:rsidRPr="00FA3F9C">
        <w:rPr>
          <w:rFonts w:ascii="Arial" w:eastAsia="Times New Roman" w:hAnsi="Arial" w:cs="Arial"/>
          <w:sz w:val="24"/>
          <w:szCs w:val="24"/>
        </w:rPr>
        <w:t xml:space="preserve"> 2019 Jan 10. PMID 30632023 NCT01740427</w:t>
      </w:r>
    </w:p>
    <w:p w14:paraId="2A50DC2C" w14:textId="77777777" w:rsidR="009B5AA5" w:rsidRPr="00FA3F9C" w:rsidRDefault="009B5AA5" w:rsidP="00FC1E85">
      <w:pPr>
        <w:pStyle w:val="ListParagraph"/>
        <w:numPr>
          <w:ilvl w:val="0"/>
          <w:numId w:val="406"/>
        </w:numPr>
        <w:spacing w:after="0" w:line="240" w:lineRule="auto"/>
        <w:ind w:left="1260" w:hanging="180"/>
        <w:rPr>
          <w:rFonts w:ascii="Arial" w:hAnsi="Arial" w:cs="Arial"/>
          <w:sz w:val="24"/>
          <w:szCs w:val="24"/>
        </w:rPr>
      </w:pPr>
      <w:proofErr w:type="spellStart"/>
      <w:r w:rsidRPr="00FA3F9C">
        <w:rPr>
          <w:rFonts w:ascii="Arial" w:hAnsi="Arial" w:cs="Arial"/>
          <w:sz w:val="24"/>
          <w:szCs w:val="24"/>
        </w:rPr>
        <w:t>Rugo</w:t>
      </w:r>
      <w:proofErr w:type="spellEnd"/>
      <w:r w:rsidRPr="00FA3F9C">
        <w:rPr>
          <w:rFonts w:ascii="Arial" w:hAnsi="Arial" w:cs="Arial"/>
          <w:sz w:val="24"/>
          <w:szCs w:val="24"/>
        </w:rPr>
        <w:t xml:space="preserve"> HS et al. Impact of </w:t>
      </w:r>
      <w:proofErr w:type="spellStart"/>
      <w:r w:rsidRPr="00FA3F9C">
        <w:rPr>
          <w:rFonts w:ascii="Arial" w:hAnsi="Arial" w:cs="Arial"/>
          <w:sz w:val="24"/>
          <w:szCs w:val="24"/>
        </w:rPr>
        <w:t>palbociclib</w:t>
      </w:r>
      <w:proofErr w:type="spellEnd"/>
      <w:r w:rsidRPr="00FA3F9C">
        <w:rPr>
          <w:rFonts w:ascii="Arial" w:hAnsi="Arial" w:cs="Arial"/>
          <w:sz w:val="24"/>
          <w:szCs w:val="24"/>
        </w:rPr>
        <w:t xml:space="preserve"> plus letrozole on patient-reported health-related quality of life: results from the PALOMA-2 trial. Ann Oncol. 2018 Apr 1;29(4):888-894. PMID 29360932</w:t>
      </w:r>
    </w:p>
    <w:p w14:paraId="7B1B3A87" w14:textId="77777777" w:rsidR="009B5AA5" w:rsidRPr="00FA3F9C" w:rsidRDefault="009B5AA5" w:rsidP="009F14D6">
      <w:pPr>
        <w:spacing w:after="0" w:line="240" w:lineRule="auto"/>
        <w:ind w:left="994"/>
        <w:rPr>
          <w:rFonts w:ascii="Arial" w:hAnsi="Arial" w:cs="Arial"/>
          <w:sz w:val="24"/>
          <w:szCs w:val="24"/>
        </w:rPr>
      </w:pPr>
    </w:p>
    <w:p w14:paraId="5EA1563C" w14:textId="77777777" w:rsidR="009B5AA5" w:rsidRPr="00FA3F9C" w:rsidRDefault="009B5AA5" w:rsidP="00FC1E85">
      <w:pPr>
        <w:pStyle w:val="ListParagraph"/>
        <w:numPr>
          <w:ilvl w:val="1"/>
          <w:numId w:val="401"/>
        </w:numPr>
        <w:spacing w:after="0" w:line="276" w:lineRule="auto"/>
        <w:ind w:left="810"/>
        <w:rPr>
          <w:rFonts w:ascii="Arial" w:hAnsi="Arial" w:cs="Arial"/>
          <w:sz w:val="24"/>
          <w:szCs w:val="24"/>
        </w:rPr>
      </w:pPr>
      <w:r w:rsidRPr="00FA3F9C">
        <w:rPr>
          <w:rFonts w:ascii="Arial" w:hAnsi="Arial" w:cs="Arial"/>
          <w:sz w:val="24"/>
          <w:szCs w:val="24"/>
        </w:rPr>
        <w:t xml:space="preserve">With </w:t>
      </w:r>
      <w:proofErr w:type="spellStart"/>
      <w:r w:rsidRPr="00FA3F9C">
        <w:rPr>
          <w:rFonts w:ascii="Arial" w:hAnsi="Arial" w:cs="Arial"/>
          <w:sz w:val="24"/>
          <w:szCs w:val="24"/>
        </w:rPr>
        <w:t>fulvestrant</w:t>
      </w:r>
      <w:proofErr w:type="spellEnd"/>
      <w:r w:rsidRPr="00FA3F9C">
        <w:rPr>
          <w:rFonts w:ascii="Arial" w:hAnsi="Arial" w:cs="Arial"/>
          <w:sz w:val="24"/>
          <w:szCs w:val="24"/>
        </w:rPr>
        <w:t xml:space="preserve"> in patients with disease progression following endocrine therapy  </w:t>
      </w:r>
      <w:r w:rsidRPr="00FA3F9C">
        <w:rPr>
          <w:rFonts w:ascii="Arial" w:hAnsi="Arial" w:cs="Arial"/>
          <w:sz w:val="24"/>
          <w:szCs w:val="24"/>
          <w:highlight w:val="cyan"/>
        </w:rPr>
        <w:t>(COVERED FOR ENDOCRINE SENSITIVE DISEASE ONLY)</w:t>
      </w:r>
    </w:p>
    <w:p w14:paraId="6E762C1D" w14:textId="77777777" w:rsidR="009B5AA5" w:rsidRPr="00FA3F9C" w:rsidRDefault="009B5AA5" w:rsidP="00EE45AD">
      <w:pPr>
        <w:pStyle w:val="ListParagraph"/>
        <w:spacing w:after="0"/>
        <w:ind w:left="810"/>
        <w:rPr>
          <w:rFonts w:ascii="Arial" w:hAnsi="Arial" w:cs="Arial"/>
          <w:sz w:val="24"/>
          <w:szCs w:val="24"/>
        </w:rPr>
      </w:pPr>
    </w:p>
    <w:p w14:paraId="46873917" w14:textId="77777777" w:rsidR="009B5AA5" w:rsidRPr="00FA3F9C" w:rsidRDefault="009B5AA5" w:rsidP="00EC764A">
      <w:pPr>
        <w:spacing w:after="0"/>
        <w:rPr>
          <w:rFonts w:ascii="Arial" w:hAnsi="Arial" w:cs="Arial"/>
          <w:sz w:val="24"/>
          <w:szCs w:val="24"/>
        </w:rPr>
      </w:pPr>
    </w:p>
    <w:tbl>
      <w:tblPr>
        <w:tblStyle w:val="TableGrid"/>
        <w:tblW w:w="0" w:type="auto"/>
        <w:tblLook w:val="04A0" w:firstRow="1" w:lastRow="0" w:firstColumn="1" w:lastColumn="0" w:noHBand="0" w:noVBand="1"/>
      </w:tblPr>
      <w:tblGrid>
        <w:gridCol w:w="10908"/>
      </w:tblGrid>
      <w:tr w:rsidR="009B5AA5" w:rsidRPr="00FA3F9C" w14:paraId="162FBC5C" w14:textId="77777777" w:rsidTr="008663DD">
        <w:tc>
          <w:tcPr>
            <w:tcW w:w="10908" w:type="dxa"/>
            <w:shd w:val="clear" w:color="auto" w:fill="000000" w:themeFill="text1"/>
          </w:tcPr>
          <w:p w14:paraId="4CA5F834" w14:textId="77777777" w:rsidR="009B5AA5" w:rsidRPr="00FA3F9C" w:rsidRDefault="009B5AA5" w:rsidP="006A6DE7">
            <w:pPr>
              <w:spacing w:line="276" w:lineRule="auto"/>
              <w:rPr>
                <w:rFonts w:ascii="Arial" w:hAnsi="Arial" w:cs="Arial"/>
                <w:sz w:val="24"/>
                <w:szCs w:val="24"/>
                <w:vertAlign w:val="superscript"/>
              </w:rPr>
            </w:pPr>
            <w:r w:rsidRPr="00FA3F9C">
              <w:rPr>
                <w:rFonts w:ascii="Arial" w:hAnsi="Arial" w:cs="Arial"/>
                <w:b/>
                <w:sz w:val="24"/>
                <w:szCs w:val="24"/>
              </w:rPr>
              <w:lastRenderedPageBreak/>
              <w:t xml:space="preserve">Patients who have received prior endocrine therapy </w:t>
            </w:r>
          </w:p>
        </w:tc>
      </w:tr>
      <w:tr w:rsidR="009B5AA5" w:rsidRPr="00FA3F9C" w14:paraId="4ECAB93F" w14:textId="77777777" w:rsidTr="008663DD">
        <w:tc>
          <w:tcPr>
            <w:tcW w:w="10908" w:type="dxa"/>
          </w:tcPr>
          <w:p w14:paraId="4059C441" w14:textId="77777777" w:rsidR="009B5AA5" w:rsidRPr="00FA3F9C" w:rsidRDefault="009B5AA5" w:rsidP="00FC1E85">
            <w:pPr>
              <w:pStyle w:val="ListParagraph"/>
              <w:numPr>
                <w:ilvl w:val="0"/>
                <w:numId w:val="402"/>
              </w:numPr>
              <w:spacing w:line="276" w:lineRule="auto"/>
              <w:ind w:left="270" w:hanging="270"/>
              <w:rPr>
                <w:rFonts w:ascii="Arial" w:hAnsi="Arial" w:cs="Arial"/>
                <w:sz w:val="24"/>
                <w:szCs w:val="24"/>
              </w:rPr>
            </w:pPr>
            <w:r w:rsidRPr="00FA3F9C">
              <w:rPr>
                <w:rFonts w:ascii="Arial" w:hAnsi="Arial" w:cs="Arial"/>
                <w:sz w:val="24"/>
                <w:szCs w:val="24"/>
              </w:rPr>
              <w:t>Diagnosis of hormone-receptor positive (aka HR+ or ER/PR+), HER2-negative (aka HER2/neu-negative), advanced/unresectable or metastatic breast cancer</w:t>
            </w:r>
          </w:p>
        </w:tc>
      </w:tr>
      <w:tr w:rsidR="009B5AA5" w:rsidRPr="00FA3F9C" w14:paraId="4DF86B85" w14:textId="77777777" w:rsidTr="008663DD">
        <w:tc>
          <w:tcPr>
            <w:tcW w:w="10908" w:type="dxa"/>
          </w:tcPr>
          <w:p w14:paraId="5231723D" w14:textId="77777777" w:rsidR="009B5AA5" w:rsidRPr="00FA3F9C" w:rsidRDefault="009B5AA5" w:rsidP="00FC1E85">
            <w:pPr>
              <w:pStyle w:val="ListParagraph"/>
              <w:numPr>
                <w:ilvl w:val="0"/>
                <w:numId w:val="402"/>
              </w:numPr>
              <w:ind w:left="270" w:hanging="270"/>
              <w:rPr>
                <w:rFonts w:ascii="Arial" w:hAnsi="Arial" w:cs="Arial"/>
                <w:sz w:val="24"/>
                <w:szCs w:val="24"/>
              </w:rPr>
            </w:pPr>
            <w:r w:rsidRPr="00FA3F9C">
              <w:rPr>
                <w:rFonts w:ascii="Arial" w:hAnsi="Arial" w:cs="Arial"/>
                <w:sz w:val="24"/>
                <w:szCs w:val="24"/>
              </w:rPr>
              <w:t xml:space="preserve">Presence of </w:t>
            </w:r>
            <w:r w:rsidRPr="00FA3F9C">
              <w:rPr>
                <w:rFonts w:ascii="Arial" w:hAnsi="Arial" w:cs="Arial"/>
                <w:sz w:val="24"/>
                <w:szCs w:val="24"/>
                <w:highlight w:val="cyan"/>
              </w:rPr>
              <w:t>endocrine-sensitive disease</w:t>
            </w:r>
            <w:r w:rsidRPr="00FA3F9C">
              <w:rPr>
                <w:rFonts w:ascii="Arial" w:hAnsi="Arial" w:cs="Arial"/>
                <w:sz w:val="24"/>
                <w:szCs w:val="24"/>
              </w:rPr>
              <w:t xml:space="preserve"> (see definition below)</w:t>
            </w:r>
          </w:p>
        </w:tc>
      </w:tr>
      <w:tr w:rsidR="009B5AA5" w:rsidRPr="00FA3F9C" w14:paraId="4993A5BC" w14:textId="77777777" w:rsidTr="008663DD">
        <w:tc>
          <w:tcPr>
            <w:tcW w:w="10908" w:type="dxa"/>
          </w:tcPr>
          <w:p w14:paraId="4E41B398" w14:textId="77777777" w:rsidR="009B5AA5" w:rsidRPr="00FA3F9C" w:rsidRDefault="009B5AA5" w:rsidP="00FC1E85">
            <w:pPr>
              <w:pStyle w:val="ListParagraph"/>
              <w:numPr>
                <w:ilvl w:val="0"/>
                <w:numId w:val="402"/>
              </w:numPr>
              <w:ind w:left="270" w:hanging="270"/>
              <w:rPr>
                <w:rFonts w:ascii="Arial" w:hAnsi="Arial" w:cs="Arial"/>
                <w:sz w:val="24"/>
                <w:szCs w:val="24"/>
              </w:rPr>
            </w:pPr>
            <w:r w:rsidRPr="00FA3F9C">
              <w:rPr>
                <w:rFonts w:ascii="Arial" w:hAnsi="Arial" w:cs="Arial"/>
                <w:sz w:val="24"/>
                <w:szCs w:val="24"/>
              </w:rPr>
              <w:t xml:space="preserve">EITHER disease progression on endocrine therapy given for advanced disease OR disease progression/recurrence within 12 months of completion of adjuvant endocrine therapy (tamoxifen or aromatase inhibitor; see example scenarios below) </w:t>
            </w:r>
          </w:p>
        </w:tc>
      </w:tr>
      <w:tr w:rsidR="009B5AA5" w:rsidRPr="00FA3F9C" w14:paraId="7180C10A" w14:textId="77777777" w:rsidTr="008B2B95">
        <w:trPr>
          <w:trHeight w:val="80"/>
        </w:trPr>
        <w:tc>
          <w:tcPr>
            <w:tcW w:w="10908" w:type="dxa"/>
            <w:shd w:val="clear" w:color="auto" w:fill="auto"/>
          </w:tcPr>
          <w:p w14:paraId="4049FD21" w14:textId="77777777" w:rsidR="009B5AA5" w:rsidRPr="00FA3F9C" w:rsidRDefault="009B5AA5" w:rsidP="00FC1E85">
            <w:pPr>
              <w:pStyle w:val="ListParagraph"/>
              <w:numPr>
                <w:ilvl w:val="0"/>
                <w:numId w:val="402"/>
              </w:numPr>
              <w:ind w:left="270" w:hanging="270"/>
              <w:rPr>
                <w:rFonts w:ascii="Arial" w:hAnsi="Arial" w:cs="Arial"/>
                <w:sz w:val="24"/>
                <w:szCs w:val="24"/>
              </w:rPr>
            </w:pPr>
            <w:r w:rsidRPr="00FA3F9C">
              <w:rPr>
                <w:rFonts w:ascii="Arial" w:hAnsi="Arial" w:cs="Arial"/>
                <w:sz w:val="24"/>
                <w:szCs w:val="24"/>
              </w:rPr>
              <w:t>If patient is pre- or perimenopausal, concurrent ovarian suppression/ablation will be employed.</w:t>
            </w:r>
          </w:p>
        </w:tc>
      </w:tr>
      <w:tr w:rsidR="009B5AA5" w:rsidRPr="00FA3F9C" w14:paraId="3E647795" w14:textId="77777777" w:rsidTr="008B2B95">
        <w:trPr>
          <w:trHeight w:val="80"/>
        </w:trPr>
        <w:tc>
          <w:tcPr>
            <w:tcW w:w="10908" w:type="dxa"/>
            <w:shd w:val="clear" w:color="auto" w:fill="auto"/>
          </w:tcPr>
          <w:p w14:paraId="737A859B" w14:textId="77777777" w:rsidR="009B5AA5" w:rsidRPr="00FA3F9C" w:rsidRDefault="009B5AA5" w:rsidP="00FC1E85">
            <w:pPr>
              <w:pStyle w:val="ListParagraph"/>
              <w:numPr>
                <w:ilvl w:val="0"/>
                <w:numId w:val="402"/>
              </w:numPr>
              <w:ind w:left="270" w:hanging="270"/>
              <w:rPr>
                <w:rFonts w:ascii="Arial" w:hAnsi="Arial" w:cs="Arial"/>
                <w:sz w:val="24"/>
                <w:szCs w:val="24"/>
              </w:rPr>
            </w:pPr>
            <w:r w:rsidRPr="00FA3F9C">
              <w:rPr>
                <w:rFonts w:ascii="Arial" w:hAnsi="Arial" w:cs="Arial"/>
                <w:sz w:val="24"/>
                <w:szCs w:val="24"/>
              </w:rPr>
              <w:t>No prior treatment with a CDK 4/6 inhibitor (</w:t>
            </w:r>
            <w:proofErr w:type="spellStart"/>
            <w:r w:rsidRPr="00FA3F9C">
              <w:rPr>
                <w:rFonts w:ascii="Arial" w:hAnsi="Arial" w:cs="Arial"/>
                <w:sz w:val="24"/>
                <w:szCs w:val="24"/>
              </w:rPr>
              <w:t>abemaciclib</w:t>
            </w:r>
            <w:proofErr w:type="spellEnd"/>
            <w:r w:rsidRPr="00FA3F9C">
              <w:rPr>
                <w:rFonts w:ascii="Arial" w:hAnsi="Arial" w:cs="Arial"/>
                <w:sz w:val="24"/>
                <w:szCs w:val="24"/>
              </w:rPr>
              <w:t xml:space="preserve">, </w:t>
            </w:r>
            <w:proofErr w:type="spellStart"/>
            <w:r w:rsidRPr="00FA3F9C">
              <w:rPr>
                <w:rFonts w:ascii="Arial" w:hAnsi="Arial" w:cs="Arial"/>
                <w:sz w:val="24"/>
                <w:szCs w:val="24"/>
              </w:rPr>
              <w:t>palbociclib</w:t>
            </w:r>
            <w:proofErr w:type="spellEnd"/>
            <w:r w:rsidRPr="00FA3F9C">
              <w:rPr>
                <w:rFonts w:ascii="Arial" w:hAnsi="Arial" w:cs="Arial"/>
                <w:sz w:val="24"/>
                <w:szCs w:val="24"/>
              </w:rPr>
              <w:t xml:space="preserve">, </w:t>
            </w:r>
            <w:proofErr w:type="spellStart"/>
            <w:r w:rsidRPr="00FA3F9C">
              <w:rPr>
                <w:rFonts w:ascii="Arial" w:hAnsi="Arial" w:cs="Arial"/>
                <w:sz w:val="24"/>
                <w:szCs w:val="24"/>
              </w:rPr>
              <w:t>ribociclib</w:t>
            </w:r>
            <w:proofErr w:type="spellEnd"/>
            <w:r w:rsidRPr="00FA3F9C">
              <w:rPr>
                <w:rFonts w:ascii="Arial" w:hAnsi="Arial" w:cs="Arial"/>
                <w:sz w:val="24"/>
                <w:szCs w:val="24"/>
              </w:rPr>
              <w:t>)</w:t>
            </w:r>
          </w:p>
        </w:tc>
      </w:tr>
      <w:tr w:rsidR="009B5AA5" w:rsidRPr="00FA3F9C" w14:paraId="1E5BA6B0" w14:textId="77777777" w:rsidTr="008B2B95">
        <w:trPr>
          <w:trHeight w:val="80"/>
        </w:trPr>
        <w:tc>
          <w:tcPr>
            <w:tcW w:w="10908" w:type="dxa"/>
            <w:shd w:val="clear" w:color="auto" w:fill="auto"/>
          </w:tcPr>
          <w:p w14:paraId="2F4C54BD" w14:textId="77777777" w:rsidR="009B5AA5" w:rsidRPr="00FA3F9C" w:rsidRDefault="009B5AA5" w:rsidP="00FC1E85">
            <w:pPr>
              <w:pStyle w:val="ListParagraph"/>
              <w:numPr>
                <w:ilvl w:val="0"/>
                <w:numId w:val="402"/>
              </w:numPr>
              <w:ind w:left="270" w:hanging="270"/>
              <w:rPr>
                <w:rFonts w:ascii="Arial" w:hAnsi="Arial" w:cs="Arial"/>
                <w:sz w:val="24"/>
                <w:szCs w:val="24"/>
              </w:rPr>
            </w:pPr>
            <w:r w:rsidRPr="00FA3F9C">
              <w:rPr>
                <w:rFonts w:ascii="Arial" w:hAnsi="Arial" w:cs="Arial"/>
                <w:sz w:val="24"/>
                <w:szCs w:val="24"/>
              </w:rPr>
              <w:t xml:space="preserve">Palbociclib with be given with </w:t>
            </w:r>
            <w:proofErr w:type="spellStart"/>
            <w:r w:rsidRPr="00FA3F9C">
              <w:rPr>
                <w:rFonts w:ascii="Arial" w:hAnsi="Arial" w:cs="Arial"/>
                <w:sz w:val="24"/>
                <w:szCs w:val="24"/>
              </w:rPr>
              <w:t>fulvestrant</w:t>
            </w:r>
            <w:proofErr w:type="spellEnd"/>
          </w:p>
        </w:tc>
      </w:tr>
      <w:tr w:rsidR="009B5AA5" w:rsidRPr="00FA3F9C" w14:paraId="594EA389" w14:textId="77777777" w:rsidTr="00EF778F">
        <w:trPr>
          <w:trHeight w:val="80"/>
        </w:trPr>
        <w:tc>
          <w:tcPr>
            <w:tcW w:w="10908" w:type="dxa"/>
            <w:shd w:val="clear" w:color="auto" w:fill="F2F2F2" w:themeFill="background1" w:themeFillShade="F2"/>
          </w:tcPr>
          <w:p w14:paraId="3D16611D" w14:textId="77777777" w:rsidR="009B5AA5" w:rsidRPr="00FA3F9C" w:rsidRDefault="009B5AA5" w:rsidP="00EF778F">
            <w:pPr>
              <w:spacing w:line="276" w:lineRule="auto"/>
              <w:rPr>
                <w:rFonts w:ascii="Arial" w:hAnsi="Arial" w:cs="Arial"/>
                <w:sz w:val="24"/>
                <w:szCs w:val="24"/>
              </w:rPr>
            </w:pPr>
            <w:r w:rsidRPr="00FA3F9C">
              <w:rPr>
                <w:rFonts w:ascii="Arial" w:hAnsi="Arial" w:cs="Arial"/>
                <w:sz w:val="24"/>
                <w:szCs w:val="24"/>
              </w:rPr>
              <w:t>If the above criteria are met, approve for 6 months.</w:t>
            </w:r>
          </w:p>
          <w:p w14:paraId="1E9871B3" w14:textId="77777777" w:rsidR="009B5AA5" w:rsidRPr="00FA3F9C" w:rsidRDefault="009B5AA5" w:rsidP="00EF778F">
            <w:pPr>
              <w:spacing w:line="276" w:lineRule="auto"/>
              <w:rPr>
                <w:rFonts w:ascii="Arial" w:hAnsi="Arial" w:cs="Arial"/>
                <w:sz w:val="24"/>
                <w:szCs w:val="24"/>
              </w:rPr>
            </w:pPr>
            <w:r w:rsidRPr="00FA3F9C">
              <w:rPr>
                <w:rFonts w:ascii="Arial" w:hAnsi="Arial" w:cs="Arial"/>
                <w:sz w:val="24"/>
                <w:szCs w:val="24"/>
              </w:rPr>
              <w:t>QL: #21/28d</w:t>
            </w:r>
          </w:p>
        </w:tc>
      </w:tr>
      <w:tr w:rsidR="009B5AA5" w:rsidRPr="00FA3F9C" w14:paraId="38881EC3" w14:textId="77777777" w:rsidTr="00857CB6">
        <w:trPr>
          <w:trHeight w:val="359"/>
        </w:trPr>
        <w:tc>
          <w:tcPr>
            <w:tcW w:w="10908" w:type="dxa"/>
            <w:shd w:val="clear" w:color="auto" w:fill="F2F2F2" w:themeFill="background1" w:themeFillShade="F2"/>
          </w:tcPr>
          <w:p w14:paraId="38E4B1DC" w14:textId="77777777" w:rsidR="009B5AA5" w:rsidRPr="00FA3F9C" w:rsidRDefault="009B5AA5" w:rsidP="00E86669">
            <w:pPr>
              <w:spacing w:line="276" w:lineRule="auto"/>
              <w:rPr>
                <w:rFonts w:ascii="Arial" w:hAnsi="Arial" w:cs="Arial"/>
                <w:sz w:val="24"/>
                <w:szCs w:val="24"/>
              </w:rPr>
            </w:pPr>
            <w:r w:rsidRPr="00FA3F9C">
              <w:rPr>
                <w:rFonts w:ascii="Arial" w:hAnsi="Arial" w:cs="Arial"/>
                <w:sz w:val="24"/>
                <w:szCs w:val="24"/>
                <w:u w:val="single"/>
              </w:rPr>
              <w:t>Not covered</w:t>
            </w:r>
            <w:r w:rsidRPr="00FA3F9C">
              <w:rPr>
                <w:rFonts w:ascii="Arial" w:hAnsi="Arial" w:cs="Arial"/>
                <w:sz w:val="24"/>
                <w:szCs w:val="24"/>
              </w:rPr>
              <w:t xml:space="preserve">: HER2+ or HR/ER/PR negative disease; </w:t>
            </w:r>
            <w:proofErr w:type="spellStart"/>
            <w:r w:rsidRPr="00FA3F9C">
              <w:rPr>
                <w:rFonts w:ascii="Arial" w:hAnsi="Arial" w:cs="Arial"/>
                <w:sz w:val="24"/>
                <w:szCs w:val="24"/>
              </w:rPr>
              <w:t>palbociclib</w:t>
            </w:r>
            <w:proofErr w:type="spellEnd"/>
            <w:r w:rsidRPr="00FA3F9C">
              <w:rPr>
                <w:rFonts w:ascii="Arial" w:hAnsi="Arial" w:cs="Arial"/>
                <w:sz w:val="24"/>
                <w:szCs w:val="24"/>
              </w:rPr>
              <w:t xml:space="preserve"> monotherapy</w:t>
            </w:r>
          </w:p>
        </w:tc>
      </w:tr>
      <w:tr w:rsidR="009B5AA5" w:rsidRPr="00FA3F9C" w14:paraId="1581A389" w14:textId="77777777" w:rsidTr="00EF778F">
        <w:trPr>
          <w:trHeight w:val="595"/>
        </w:trPr>
        <w:tc>
          <w:tcPr>
            <w:tcW w:w="10908" w:type="dxa"/>
            <w:shd w:val="clear" w:color="auto" w:fill="F2F2F2" w:themeFill="background1" w:themeFillShade="F2"/>
          </w:tcPr>
          <w:p w14:paraId="5910F083" w14:textId="77777777" w:rsidR="009B5AA5" w:rsidRPr="00FA3F9C" w:rsidRDefault="009B5AA5" w:rsidP="00857CB6">
            <w:pPr>
              <w:spacing w:line="276" w:lineRule="auto"/>
              <w:rPr>
                <w:rFonts w:ascii="Arial" w:hAnsi="Arial" w:cs="Arial"/>
                <w:sz w:val="24"/>
                <w:szCs w:val="24"/>
              </w:rPr>
            </w:pPr>
            <w:r w:rsidRPr="00FA3F9C">
              <w:rPr>
                <w:rFonts w:ascii="Arial" w:hAnsi="Arial" w:cs="Arial"/>
                <w:sz w:val="24"/>
                <w:szCs w:val="24"/>
                <w:highlight w:val="cyan"/>
                <w:u w:val="single"/>
              </w:rPr>
              <w:t>Endocrine-sensitive disease</w:t>
            </w:r>
            <w:r w:rsidRPr="00FA3F9C">
              <w:rPr>
                <w:rFonts w:ascii="Arial" w:hAnsi="Arial" w:cs="Arial"/>
                <w:sz w:val="24"/>
                <w:szCs w:val="24"/>
              </w:rPr>
              <w:t xml:space="preserve"> </w:t>
            </w:r>
          </w:p>
          <w:p w14:paraId="79E7AAFA" w14:textId="77777777" w:rsidR="009B5AA5" w:rsidRPr="00FA3F9C" w:rsidRDefault="009B5AA5" w:rsidP="00857CB6">
            <w:pPr>
              <w:spacing w:line="276" w:lineRule="auto"/>
              <w:rPr>
                <w:rFonts w:ascii="Arial" w:hAnsi="Arial" w:cs="Arial"/>
                <w:sz w:val="24"/>
                <w:szCs w:val="24"/>
              </w:rPr>
            </w:pPr>
            <w:r w:rsidRPr="00FA3F9C">
              <w:rPr>
                <w:rFonts w:ascii="Arial" w:hAnsi="Arial" w:cs="Arial"/>
                <w:sz w:val="24"/>
                <w:szCs w:val="24"/>
              </w:rPr>
              <w:t>Defined as one of the following (may verify through pharmacy records):</w:t>
            </w:r>
          </w:p>
          <w:p w14:paraId="47972D69" w14:textId="77777777" w:rsidR="009B5AA5" w:rsidRPr="00FA3F9C" w:rsidRDefault="009B5AA5" w:rsidP="00FC1E85">
            <w:pPr>
              <w:pStyle w:val="ListParagraph"/>
              <w:numPr>
                <w:ilvl w:val="0"/>
                <w:numId w:val="403"/>
              </w:numPr>
              <w:rPr>
                <w:rFonts w:ascii="Arial" w:hAnsi="Arial" w:cs="Arial"/>
                <w:sz w:val="24"/>
                <w:szCs w:val="24"/>
              </w:rPr>
            </w:pPr>
            <w:r w:rsidRPr="00FA3F9C">
              <w:rPr>
                <w:rFonts w:ascii="Arial" w:hAnsi="Arial" w:cs="Arial"/>
                <w:sz w:val="24"/>
                <w:szCs w:val="24"/>
              </w:rPr>
              <w:t>At least one previous endocrine-based therapy (</w:t>
            </w:r>
            <w:proofErr w:type="gramStart"/>
            <w:r w:rsidRPr="00FA3F9C">
              <w:rPr>
                <w:rFonts w:ascii="Arial" w:hAnsi="Arial" w:cs="Arial"/>
                <w:sz w:val="24"/>
                <w:szCs w:val="24"/>
              </w:rPr>
              <w:t>e.g.</w:t>
            </w:r>
            <w:proofErr w:type="gramEnd"/>
            <w:r w:rsidRPr="00FA3F9C">
              <w:rPr>
                <w:rFonts w:ascii="Arial" w:hAnsi="Arial" w:cs="Arial"/>
                <w:sz w:val="24"/>
                <w:szCs w:val="24"/>
              </w:rPr>
              <w:t xml:space="preserve"> tamoxifen or aromatase inhibitor) was given for metastatic disease for a duration of at least 24 weeks without disease progression.</w:t>
            </w:r>
          </w:p>
          <w:p w14:paraId="0DB5E0E7" w14:textId="77777777" w:rsidR="009B5AA5" w:rsidRPr="00FA3F9C" w:rsidRDefault="009B5AA5" w:rsidP="00FC1E85">
            <w:pPr>
              <w:pStyle w:val="ListParagraph"/>
              <w:numPr>
                <w:ilvl w:val="0"/>
                <w:numId w:val="403"/>
              </w:numPr>
              <w:rPr>
                <w:rFonts w:ascii="Arial" w:hAnsi="Arial" w:cs="Arial"/>
                <w:sz w:val="24"/>
                <w:szCs w:val="24"/>
              </w:rPr>
            </w:pPr>
            <w:r w:rsidRPr="00FA3F9C">
              <w:rPr>
                <w:rFonts w:ascii="Arial" w:hAnsi="Arial" w:cs="Arial"/>
                <w:sz w:val="24"/>
                <w:szCs w:val="24"/>
              </w:rPr>
              <w:t>At least 24 months of adjuvant/postoperative endocrine therapy was given before recurrence of disease</w:t>
            </w:r>
          </w:p>
        </w:tc>
      </w:tr>
      <w:tr w:rsidR="009B5AA5" w:rsidRPr="00FA3F9C" w14:paraId="6A7A21E3" w14:textId="77777777" w:rsidTr="00EF778F">
        <w:trPr>
          <w:trHeight w:val="80"/>
        </w:trPr>
        <w:tc>
          <w:tcPr>
            <w:tcW w:w="10908" w:type="dxa"/>
            <w:shd w:val="clear" w:color="auto" w:fill="F2F2F2" w:themeFill="background1" w:themeFillShade="F2"/>
          </w:tcPr>
          <w:p w14:paraId="296B794A" w14:textId="77777777" w:rsidR="009B5AA5" w:rsidRPr="00FA3F9C" w:rsidRDefault="009B5AA5" w:rsidP="00AF5385">
            <w:pPr>
              <w:rPr>
                <w:rFonts w:ascii="Arial" w:hAnsi="Arial" w:cs="Arial"/>
                <w:sz w:val="24"/>
                <w:szCs w:val="24"/>
              </w:rPr>
            </w:pPr>
            <w:r w:rsidRPr="00FA3F9C">
              <w:rPr>
                <w:rFonts w:ascii="Arial" w:hAnsi="Arial" w:cs="Arial"/>
                <w:sz w:val="24"/>
                <w:szCs w:val="24"/>
                <w:u w:val="single"/>
              </w:rPr>
              <w:t>Example scenarios that are covered</w:t>
            </w:r>
            <w:r w:rsidRPr="00FA3F9C">
              <w:rPr>
                <w:rFonts w:ascii="Arial" w:hAnsi="Arial" w:cs="Arial"/>
                <w:sz w:val="24"/>
                <w:szCs w:val="24"/>
              </w:rPr>
              <w:t>:</w:t>
            </w:r>
          </w:p>
          <w:p w14:paraId="1B18E068" w14:textId="77777777" w:rsidR="009B5AA5" w:rsidRPr="00FA3F9C" w:rsidRDefault="009B5AA5" w:rsidP="00E86669">
            <w:pPr>
              <w:ind w:left="540" w:hanging="180"/>
              <w:rPr>
                <w:rFonts w:ascii="Arial" w:hAnsi="Arial" w:cs="Arial"/>
                <w:sz w:val="24"/>
                <w:szCs w:val="24"/>
              </w:rPr>
            </w:pPr>
            <w:r w:rsidRPr="00FA3F9C">
              <w:rPr>
                <w:rFonts w:ascii="Arial" w:hAnsi="Arial" w:cs="Arial"/>
                <w:sz w:val="24"/>
                <w:szCs w:val="24"/>
              </w:rPr>
              <w:t xml:space="preserve">1. Patient presented with metastatic disease, was treated initially with an aromatase inhibitor for 24 weeks, and now has progression of disease </w:t>
            </w:r>
          </w:p>
          <w:p w14:paraId="2465A510" w14:textId="77777777" w:rsidR="009B5AA5" w:rsidRPr="00FA3F9C" w:rsidRDefault="009B5AA5" w:rsidP="00885745">
            <w:pPr>
              <w:ind w:left="540" w:hanging="180"/>
              <w:rPr>
                <w:rFonts w:ascii="Arial" w:hAnsi="Arial" w:cs="Arial"/>
                <w:sz w:val="24"/>
                <w:szCs w:val="24"/>
              </w:rPr>
            </w:pPr>
            <w:r w:rsidRPr="00FA3F9C">
              <w:rPr>
                <w:rFonts w:ascii="Arial" w:hAnsi="Arial" w:cs="Arial"/>
                <w:sz w:val="24"/>
                <w:szCs w:val="24"/>
              </w:rPr>
              <w:t xml:space="preserve">2. Patient underwent surgery with a plan to continue adjuvant endocrine therapy (tamoxifen or aromatase inhibitor) for 5 years. Pt developed recurrent disease 2 years after starting endocrine therapy </w:t>
            </w:r>
          </w:p>
        </w:tc>
      </w:tr>
      <w:tr w:rsidR="009B5AA5" w:rsidRPr="00FA3F9C" w14:paraId="160023FE" w14:textId="77777777" w:rsidTr="00EF778F">
        <w:trPr>
          <w:trHeight w:val="1502"/>
        </w:trPr>
        <w:tc>
          <w:tcPr>
            <w:tcW w:w="10908" w:type="dxa"/>
            <w:shd w:val="clear" w:color="auto" w:fill="D9D9D9" w:themeFill="background1" w:themeFillShade="D9"/>
          </w:tcPr>
          <w:p w14:paraId="6A7301D1" w14:textId="77777777" w:rsidR="009B5AA5" w:rsidRPr="00FA3F9C" w:rsidRDefault="009B5AA5" w:rsidP="00EF778F">
            <w:pPr>
              <w:spacing w:line="276" w:lineRule="auto"/>
              <w:rPr>
                <w:rFonts w:ascii="Arial" w:hAnsi="Arial" w:cs="Arial"/>
                <w:sz w:val="24"/>
                <w:szCs w:val="24"/>
                <w:u w:val="single"/>
              </w:rPr>
            </w:pPr>
            <w:r w:rsidRPr="00FA3F9C">
              <w:rPr>
                <w:rFonts w:ascii="Arial" w:hAnsi="Arial" w:cs="Arial"/>
                <w:sz w:val="24"/>
                <w:szCs w:val="24"/>
                <w:u w:val="single"/>
              </w:rPr>
              <w:t xml:space="preserve">Dosing: </w:t>
            </w:r>
          </w:p>
          <w:p w14:paraId="59198E88" w14:textId="77777777" w:rsidR="009B5AA5" w:rsidRPr="00FA3F9C" w:rsidRDefault="009B5AA5" w:rsidP="00EF778F">
            <w:pPr>
              <w:spacing w:line="276" w:lineRule="auto"/>
              <w:rPr>
                <w:rFonts w:ascii="Arial" w:hAnsi="Arial" w:cs="Arial"/>
                <w:sz w:val="24"/>
                <w:szCs w:val="24"/>
              </w:rPr>
            </w:pPr>
            <w:r w:rsidRPr="00FA3F9C">
              <w:rPr>
                <w:rFonts w:ascii="Arial" w:hAnsi="Arial" w:cs="Arial"/>
                <w:sz w:val="24"/>
                <w:szCs w:val="24"/>
              </w:rPr>
              <w:t xml:space="preserve">125mg once daily for 21 days, followed by a 7-day rest period to complete a 28-day treatment cycle. Palbociclib is given in combination with </w:t>
            </w:r>
            <w:proofErr w:type="spellStart"/>
            <w:r w:rsidRPr="00FA3F9C">
              <w:rPr>
                <w:rFonts w:ascii="Arial" w:hAnsi="Arial" w:cs="Arial"/>
                <w:sz w:val="24"/>
                <w:szCs w:val="24"/>
              </w:rPr>
              <w:t>fulvestrant</w:t>
            </w:r>
            <w:proofErr w:type="spellEnd"/>
            <w:r w:rsidRPr="00FA3F9C">
              <w:rPr>
                <w:rFonts w:ascii="Arial" w:hAnsi="Arial" w:cs="Arial"/>
                <w:sz w:val="24"/>
                <w:szCs w:val="24"/>
              </w:rPr>
              <w:t xml:space="preserve"> (given IM) in this setting.</w:t>
            </w:r>
          </w:p>
          <w:p w14:paraId="447DEEEB" w14:textId="77777777" w:rsidR="009B5AA5" w:rsidRPr="00FA3F9C" w:rsidRDefault="009B5AA5" w:rsidP="00EF778F">
            <w:pPr>
              <w:spacing w:line="276" w:lineRule="auto"/>
              <w:rPr>
                <w:rFonts w:ascii="Arial" w:hAnsi="Arial" w:cs="Arial"/>
                <w:sz w:val="24"/>
                <w:szCs w:val="24"/>
              </w:rPr>
            </w:pPr>
          </w:p>
          <w:p w14:paraId="2E437C59" w14:textId="77777777" w:rsidR="009B5AA5" w:rsidRPr="00FA3F9C" w:rsidRDefault="009B5AA5" w:rsidP="00EF778F">
            <w:pPr>
              <w:spacing w:line="276" w:lineRule="auto"/>
              <w:rPr>
                <w:rFonts w:ascii="Arial" w:hAnsi="Arial" w:cs="Arial"/>
                <w:sz w:val="24"/>
                <w:szCs w:val="24"/>
                <w:u w:val="single"/>
              </w:rPr>
            </w:pPr>
            <w:r w:rsidRPr="00FA3F9C">
              <w:rPr>
                <w:rFonts w:ascii="Arial" w:hAnsi="Arial" w:cs="Arial"/>
                <w:sz w:val="24"/>
                <w:szCs w:val="24"/>
                <w:u w:val="single"/>
              </w:rPr>
              <w:t>Evidence:</w:t>
            </w:r>
          </w:p>
          <w:p w14:paraId="6E06270A" w14:textId="77777777" w:rsidR="009B5AA5" w:rsidRPr="00FA3F9C" w:rsidRDefault="009B5AA5" w:rsidP="00EF778F">
            <w:pPr>
              <w:spacing w:line="276" w:lineRule="auto"/>
              <w:rPr>
                <w:rFonts w:ascii="Arial" w:hAnsi="Arial" w:cs="Arial"/>
                <w:sz w:val="24"/>
                <w:szCs w:val="24"/>
              </w:rPr>
            </w:pPr>
            <w:r w:rsidRPr="00FA3F9C">
              <w:rPr>
                <w:rFonts w:ascii="Arial" w:hAnsi="Arial" w:cs="Arial"/>
                <w:sz w:val="24"/>
                <w:szCs w:val="24"/>
              </w:rPr>
              <w:lastRenderedPageBreak/>
              <w:t xml:space="preserve">In patients with advanced/metastatic breast cancer who progressed on prior endocrine therapy, </w:t>
            </w:r>
            <w:proofErr w:type="spellStart"/>
            <w:r w:rsidRPr="00FA3F9C">
              <w:rPr>
                <w:rFonts w:ascii="Arial" w:hAnsi="Arial" w:cs="Arial"/>
                <w:sz w:val="24"/>
                <w:szCs w:val="24"/>
              </w:rPr>
              <w:t>palbociclib+fulvestrant</w:t>
            </w:r>
            <w:proofErr w:type="spellEnd"/>
            <w:r w:rsidRPr="00FA3F9C">
              <w:rPr>
                <w:rFonts w:ascii="Arial" w:hAnsi="Arial" w:cs="Arial"/>
                <w:sz w:val="24"/>
                <w:szCs w:val="24"/>
              </w:rPr>
              <w:t xml:space="preserve"> improved overall survival in a subgroup of patients with endocrine-sensitive disease as defined above. </w:t>
            </w:r>
          </w:p>
          <w:p w14:paraId="7D149A1F" w14:textId="77777777" w:rsidR="009B5AA5" w:rsidRPr="00FA3F9C" w:rsidRDefault="009B5AA5" w:rsidP="00EF778F">
            <w:pPr>
              <w:spacing w:line="276" w:lineRule="auto"/>
              <w:rPr>
                <w:rFonts w:ascii="Arial" w:hAnsi="Arial" w:cs="Arial"/>
                <w:sz w:val="24"/>
                <w:szCs w:val="24"/>
              </w:rPr>
            </w:pPr>
            <w:r w:rsidRPr="00FA3F9C">
              <w:rPr>
                <w:rFonts w:ascii="Arial" w:hAnsi="Arial" w:cs="Arial"/>
                <w:sz w:val="24"/>
                <w:szCs w:val="24"/>
              </w:rPr>
              <w:t xml:space="preserve">   </w:t>
            </w:r>
          </w:p>
          <w:tbl>
            <w:tblPr>
              <w:tblStyle w:val="TableGrid"/>
              <w:tblW w:w="0" w:type="auto"/>
              <w:tblLook w:val="04A0" w:firstRow="1" w:lastRow="0" w:firstColumn="1" w:lastColumn="0" w:noHBand="0" w:noVBand="1"/>
            </w:tblPr>
            <w:tblGrid>
              <w:gridCol w:w="2245"/>
              <w:gridCol w:w="4320"/>
              <w:gridCol w:w="4112"/>
            </w:tblGrid>
            <w:tr w:rsidR="009B5AA5" w:rsidRPr="00FA3F9C" w14:paraId="3C9F4D30" w14:textId="77777777" w:rsidTr="00E0266D">
              <w:tc>
                <w:tcPr>
                  <w:tcW w:w="2245" w:type="dxa"/>
                  <w:shd w:val="clear" w:color="auto" w:fill="FFFFFF" w:themeFill="background1"/>
                </w:tcPr>
                <w:p w14:paraId="1A69A242" w14:textId="77777777" w:rsidR="009B5AA5" w:rsidRPr="00FA3F9C" w:rsidRDefault="009B5AA5" w:rsidP="006F008E">
                  <w:pPr>
                    <w:jc w:val="center"/>
                    <w:rPr>
                      <w:rFonts w:ascii="Arial" w:hAnsi="Arial" w:cs="Arial"/>
                      <w:b/>
                      <w:sz w:val="24"/>
                      <w:szCs w:val="24"/>
                      <w:lang w:val="fr-FR"/>
                    </w:rPr>
                  </w:pPr>
                  <w:r w:rsidRPr="00FA3F9C">
                    <w:rPr>
                      <w:rFonts w:ascii="Arial" w:hAnsi="Arial" w:cs="Arial"/>
                      <w:b/>
                      <w:sz w:val="24"/>
                      <w:szCs w:val="24"/>
                      <w:lang w:val="fr-FR"/>
                    </w:rPr>
                    <w:t xml:space="preserve">PFS, </w:t>
                  </w:r>
                  <w:proofErr w:type="spellStart"/>
                  <w:r w:rsidRPr="00FA3F9C">
                    <w:rPr>
                      <w:rFonts w:ascii="Arial" w:hAnsi="Arial" w:cs="Arial"/>
                      <w:b/>
                      <w:sz w:val="24"/>
                      <w:szCs w:val="24"/>
                      <w:lang w:val="fr-FR"/>
                    </w:rPr>
                    <w:t>months</w:t>
                  </w:r>
                  <w:proofErr w:type="spellEnd"/>
                </w:p>
                <w:p w14:paraId="61826F5A" w14:textId="77777777" w:rsidR="009B5AA5" w:rsidRPr="00FA3F9C" w:rsidRDefault="009B5AA5" w:rsidP="006F008E">
                  <w:pPr>
                    <w:rPr>
                      <w:rFonts w:ascii="Arial" w:hAnsi="Arial" w:cs="Arial"/>
                      <w:sz w:val="24"/>
                      <w:szCs w:val="24"/>
                      <w:lang w:val="fr-FR"/>
                    </w:rPr>
                  </w:pPr>
                  <w:r w:rsidRPr="00FA3F9C">
                    <w:rPr>
                      <w:rFonts w:ascii="Arial" w:hAnsi="Arial" w:cs="Arial"/>
                      <w:b/>
                      <w:sz w:val="24"/>
                      <w:szCs w:val="24"/>
                      <w:lang w:val="fr-FR"/>
                    </w:rPr>
                    <w:t xml:space="preserve">(ET + </w:t>
                  </w:r>
                  <w:proofErr w:type="spellStart"/>
                  <w:r w:rsidRPr="00FA3F9C">
                    <w:rPr>
                      <w:rFonts w:ascii="Arial" w:hAnsi="Arial" w:cs="Arial"/>
                      <w:b/>
                      <w:sz w:val="24"/>
                      <w:szCs w:val="24"/>
                      <w:lang w:val="fr-FR"/>
                    </w:rPr>
                    <w:t>CDKi</w:t>
                  </w:r>
                  <w:proofErr w:type="spellEnd"/>
                  <w:r w:rsidRPr="00FA3F9C">
                    <w:rPr>
                      <w:rFonts w:ascii="Arial" w:hAnsi="Arial" w:cs="Arial"/>
                      <w:b/>
                      <w:sz w:val="24"/>
                      <w:szCs w:val="24"/>
                      <w:lang w:val="fr-FR"/>
                    </w:rPr>
                    <w:t xml:space="preserve"> versus ET +)</w:t>
                  </w:r>
                </w:p>
              </w:tc>
              <w:tc>
                <w:tcPr>
                  <w:tcW w:w="4320" w:type="dxa"/>
                  <w:shd w:val="clear" w:color="auto" w:fill="FFFFFF" w:themeFill="background1"/>
                </w:tcPr>
                <w:p w14:paraId="63F6C46F" w14:textId="77777777" w:rsidR="009B5AA5" w:rsidRPr="00FA3F9C" w:rsidRDefault="009B5AA5" w:rsidP="006F008E">
                  <w:pPr>
                    <w:rPr>
                      <w:rFonts w:ascii="Arial" w:hAnsi="Arial" w:cs="Arial"/>
                      <w:sz w:val="24"/>
                      <w:szCs w:val="24"/>
                    </w:rPr>
                  </w:pPr>
                  <w:r w:rsidRPr="00FA3F9C">
                    <w:rPr>
                      <w:rFonts w:ascii="Arial" w:hAnsi="Arial" w:cs="Arial"/>
                      <w:sz w:val="24"/>
                      <w:szCs w:val="24"/>
                    </w:rPr>
                    <w:t>OS</w:t>
                  </w:r>
                </w:p>
              </w:tc>
              <w:tc>
                <w:tcPr>
                  <w:tcW w:w="4112" w:type="dxa"/>
                  <w:shd w:val="clear" w:color="auto" w:fill="FFFFFF" w:themeFill="background1"/>
                </w:tcPr>
                <w:p w14:paraId="0CDAB004" w14:textId="77777777" w:rsidR="009B5AA5" w:rsidRPr="00FA3F9C" w:rsidRDefault="009B5AA5" w:rsidP="006F008E">
                  <w:pPr>
                    <w:rPr>
                      <w:rFonts w:ascii="Arial" w:hAnsi="Arial" w:cs="Arial"/>
                      <w:sz w:val="24"/>
                      <w:szCs w:val="24"/>
                    </w:rPr>
                  </w:pPr>
                  <w:r w:rsidRPr="00FA3F9C">
                    <w:rPr>
                      <w:rFonts w:ascii="Arial" w:hAnsi="Arial" w:cs="Arial"/>
                      <w:sz w:val="24"/>
                      <w:szCs w:val="24"/>
                    </w:rPr>
                    <w:t>QOL</w:t>
                  </w:r>
                </w:p>
              </w:tc>
            </w:tr>
            <w:tr w:rsidR="009B5AA5" w:rsidRPr="00FA3F9C" w14:paraId="0981999A" w14:textId="77777777" w:rsidTr="00E0266D">
              <w:tc>
                <w:tcPr>
                  <w:tcW w:w="2245" w:type="dxa"/>
                  <w:shd w:val="clear" w:color="auto" w:fill="FFFFFF" w:themeFill="background1"/>
                </w:tcPr>
                <w:p w14:paraId="46610C12" w14:textId="77777777" w:rsidR="009B5AA5" w:rsidRPr="00FA3F9C" w:rsidRDefault="009B5AA5" w:rsidP="006F008E">
                  <w:pPr>
                    <w:rPr>
                      <w:rFonts w:ascii="Arial" w:hAnsi="Arial" w:cs="Arial"/>
                      <w:sz w:val="24"/>
                      <w:szCs w:val="24"/>
                    </w:rPr>
                  </w:pPr>
                  <w:r w:rsidRPr="00FA3F9C">
                    <w:rPr>
                      <w:rFonts w:ascii="Arial" w:hAnsi="Arial" w:cs="Arial"/>
                      <w:sz w:val="24"/>
                      <w:szCs w:val="24"/>
                    </w:rPr>
                    <w:t xml:space="preserve"> 9.5 vs 4.6</w:t>
                  </w:r>
                  <w:r w:rsidRPr="00FA3F9C">
                    <w:rPr>
                      <w:rFonts w:ascii="Arial" w:hAnsi="Arial" w:cs="Arial"/>
                      <w:sz w:val="24"/>
                      <w:szCs w:val="24"/>
                      <w:vertAlign w:val="superscript"/>
                    </w:rPr>
                    <w:t>3</w:t>
                  </w:r>
                </w:p>
                <w:p w14:paraId="1418DC05" w14:textId="77777777" w:rsidR="009B5AA5" w:rsidRPr="00FA3F9C" w:rsidRDefault="009B5AA5" w:rsidP="006F008E">
                  <w:pPr>
                    <w:rPr>
                      <w:rFonts w:ascii="Arial" w:hAnsi="Arial" w:cs="Arial"/>
                      <w:sz w:val="24"/>
                      <w:szCs w:val="24"/>
                    </w:rPr>
                  </w:pPr>
                  <w:r w:rsidRPr="00FA3F9C">
                    <w:rPr>
                      <w:rFonts w:ascii="Arial" w:hAnsi="Arial" w:cs="Arial"/>
                      <w:sz w:val="24"/>
                      <w:szCs w:val="24"/>
                    </w:rPr>
                    <w:t>[HR 0.42; 95% CI, 0.32 to 0.56]</w:t>
                  </w:r>
                </w:p>
              </w:tc>
              <w:tc>
                <w:tcPr>
                  <w:tcW w:w="4320" w:type="dxa"/>
                  <w:shd w:val="clear" w:color="auto" w:fill="FFFFFF" w:themeFill="background1"/>
                </w:tcPr>
                <w:p w14:paraId="18BD5840" w14:textId="77777777" w:rsidR="009B5AA5" w:rsidRPr="00FA3F9C" w:rsidRDefault="009B5AA5" w:rsidP="006F008E">
                  <w:pPr>
                    <w:rPr>
                      <w:rFonts w:ascii="Arial" w:hAnsi="Arial" w:cs="Arial"/>
                      <w:sz w:val="24"/>
                      <w:szCs w:val="24"/>
                    </w:rPr>
                  </w:pPr>
                  <w:r w:rsidRPr="00FA3F9C">
                    <w:rPr>
                      <w:rFonts w:ascii="Arial" w:hAnsi="Arial" w:cs="Arial"/>
                      <w:sz w:val="24"/>
                      <w:szCs w:val="24"/>
                    </w:rPr>
                    <w:t xml:space="preserve">45 </w:t>
                  </w:r>
                  <w:proofErr w:type="spellStart"/>
                  <w:r w:rsidRPr="00FA3F9C">
                    <w:rPr>
                      <w:rFonts w:ascii="Arial" w:hAnsi="Arial" w:cs="Arial"/>
                      <w:sz w:val="24"/>
                      <w:szCs w:val="24"/>
                    </w:rPr>
                    <w:t>mo</w:t>
                  </w:r>
                  <w:proofErr w:type="spellEnd"/>
                  <w:r w:rsidRPr="00FA3F9C">
                    <w:rPr>
                      <w:rFonts w:ascii="Arial" w:hAnsi="Arial" w:cs="Arial"/>
                      <w:sz w:val="24"/>
                      <w:szCs w:val="24"/>
                    </w:rPr>
                    <w:t xml:space="preserve"> f/u: </w:t>
                  </w:r>
                </w:p>
                <w:p w14:paraId="32EF5E13" w14:textId="77777777" w:rsidR="009B5AA5" w:rsidRPr="00FA3F9C" w:rsidRDefault="009B5AA5" w:rsidP="00FC1E85">
                  <w:pPr>
                    <w:pStyle w:val="ListParagraph"/>
                    <w:numPr>
                      <w:ilvl w:val="0"/>
                      <w:numId w:val="404"/>
                    </w:numPr>
                    <w:ind w:left="166" w:hanging="166"/>
                    <w:rPr>
                      <w:rFonts w:ascii="Arial" w:hAnsi="Arial" w:cs="Arial"/>
                      <w:sz w:val="24"/>
                      <w:szCs w:val="24"/>
                    </w:rPr>
                  </w:pPr>
                  <w:r w:rsidRPr="00FA3F9C">
                    <w:rPr>
                      <w:rFonts w:ascii="Arial" w:hAnsi="Arial" w:cs="Arial"/>
                      <w:sz w:val="24"/>
                      <w:szCs w:val="24"/>
                    </w:rPr>
                    <w:t xml:space="preserve">All </w:t>
                  </w:r>
                  <w:proofErr w:type="spellStart"/>
                  <w:r w:rsidRPr="00FA3F9C">
                    <w:rPr>
                      <w:rFonts w:ascii="Arial" w:hAnsi="Arial" w:cs="Arial"/>
                      <w:sz w:val="24"/>
                      <w:szCs w:val="24"/>
                    </w:rPr>
                    <w:t>pt</w:t>
                  </w:r>
                  <w:proofErr w:type="spellEnd"/>
                  <w:r w:rsidRPr="00FA3F9C">
                    <w:rPr>
                      <w:rFonts w:ascii="Arial" w:hAnsi="Arial" w:cs="Arial"/>
                      <w:sz w:val="24"/>
                      <w:szCs w:val="24"/>
                    </w:rPr>
                    <w:t xml:space="preserve">: 35 vs 28 </w:t>
                  </w:r>
                  <w:proofErr w:type="spellStart"/>
                  <w:r w:rsidRPr="00FA3F9C">
                    <w:rPr>
                      <w:rFonts w:ascii="Arial" w:hAnsi="Arial" w:cs="Arial"/>
                      <w:sz w:val="24"/>
                      <w:szCs w:val="24"/>
                    </w:rPr>
                    <w:t>mo</w:t>
                  </w:r>
                  <w:proofErr w:type="spellEnd"/>
                  <w:r w:rsidRPr="00FA3F9C">
                    <w:rPr>
                      <w:rFonts w:ascii="Arial" w:hAnsi="Arial" w:cs="Arial"/>
                      <w:sz w:val="24"/>
                      <w:szCs w:val="24"/>
                    </w:rPr>
                    <w:t xml:space="preserve"> (HR 0.81; 95% CI, 0.64 to 1.03; p=0.09) [Not significant]</w:t>
                  </w:r>
                </w:p>
                <w:p w14:paraId="23F8DC0A" w14:textId="77777777" w:rsidR="009B5AA5" w:rsidRPr="00FA3F9C" w:rsidRDefault="009B5AA5" w:rsidP="00FC1E85">
                  <w:pPr>
                    <w:pStyle w:val="ListParagraph"/>
                    <w:numPr>
                      <w:ilvl w:val="0"/>
                      <w:numId w:val="404"/>
                    </w:numPr>
                    <w:ind w:left="166" w:hanging="166"/>
                    <w:rPr>
                      <w:rFonts w:ascii="Arial" w:hAnsi="Arial" w:cs="Arial"/>
                      <w:sz w:val="24"/>
                      <w:szCs w:val="24"/>
                    </w:rPr>
                  </w:pPr>
                  <w:r w:rsidRPr="00FA3F9C">
                    <w:rPr>
                      <w:rFonts w:ascii="Arial" w:hAnsi="Arial" w:cs="Arial"/>
                      <w:sz w:val="24"/>
                      <w:szCs w:val="24"/>
                    </w:rPr>
                    <w:t xml:space="preserve">In prespecified subgroup sensitive to endocrine therapy: 39.7 </w:t>
                  </w:r>
                  <w:proofErr w:type="spellStart"/>
                  <w:r w:rsidRPr="00FA3F9C">
                    <w:rPr>
                      <w:rFonts w:ascii="Arial" w:hAnsi="Arial" w:cs="Arial"/>
                      <w:sz w:val="24"/>
                      <w:szCs w:val="24"/>
                    </w:rPr>
                    <w:t>mo</w:t>
                  </w:r>
                  <w:proofErr w:type="spellEnd"/>
                  <w:r w:rsidRPr="00FA3F9C">
                    <w:rPr>
                      <w:rFonts w:ascii="Arial" w:hAnsi="Arial" w:cs="Arial"/>
                      <w:sz w:val="24"/>
                      <w:szCs w:val="24"/>
                    </w:rPr>
                    <w:t xml:space="preserve"> vs 29.7 </w:t>
                  </w:r>
                  <w:proofErr w:type="spellStart"/>
                  <w:r w:rsidRPr="00FA3F9C">
                    <w:rPr>
                      <w:rFonts w:ascii="Arial" w:hAnsi="Arial" w:cs="Arial"/>
                      <w:sz w:val="24"/>
                      <w:szCs w:val="24"/>
                    </w:rPr>
                    <w:t>mo</w:t>
                  </w:r>
                  <w:proofErr w:type="spellEnd"/>
                  <w:r w:rsidRPr="00FA3F9C">
                    <w:rPr>
                      <w:rFonts w:ascii="Arial" w:hAnsi="Arial" w:cs="Arial"/>
                      <w:sz w:val="24"/>
                      <w:szCs w:val="24"/>
                    </w:rPr>
                    <w:t xml:space="preserve"> (HR 0.72, 95% CI 0.55-0.94)</w:t>
                  </w:r>
                </w:p>
                <w:p w14:paraId="1D1E3D02" w14:textId="77777777" w:rsidR="009B5AA5" w:rsidRPr="00FA3F9C" w:rsidRDefault="009B5AA5" w:rsidP="006F008E">
                  <w:pPr>
                    <w:rPr>
                      <w:rFonts w:ascii="Arial" w:hAnsi="Arial" w:cs="Arial"/>
                      <w:sz w:val="24"/>
                      <w:szCs w:val="24"/>
                    </w:rPr>
                  </w:pPr>
                  <w:r w:rsidRPr="00FA3F9C">
                    <w:rPr>
                      <w:rFonts w:ascii="Arial" w:hAnsi="Arial" w:cs="Arial"/>
                      <w:sz w:val="24"/>
                      <w:szCs w:val="24"/>
                    </w:rPr>
                    <w:t xml:space="preserve">-Endocrine sensitive definition: documented clinical benefit (response or stable disease </w:t>
                  </w:r>
                  <w:r w:rsidRPr="00FA3F9C">
                    <w:rPr>
                      <w:rFonts w:ascii="Arial" w:hAnsi="Arial" w:cs="Arial"/>
                      <w:sz w:val="24"/>
                      <w:szCs w:val="24"/>
                      <w:u w:val="single"/>
                    </w:rPr>
                    <w:t>&gt;</w:t>
                  </w:r>
                  <w:r w:rsidRPr="00FA3F9C">
                    <w:rPr>
                      <w:rFonts w:ascii="Arial" w:hAnsi="Arial" w:cs="Arial"/>
                      <w:sz w:val="24"/>
                      <w:szCs w:val="24"/>
                    </w:rPr>
                    <w:t xml:space="preserve">24 weeks) from a prior endocrine therapy regimen given for metastatic disease OR receipt of </w:t>
                  </w:r>
                  <w:r w:rsidRPr="00FA3F9C">
                    <w:rPr>
                      <w:rFonts w:ascii="Arial" w:hAnsi="Arial" w:cs="Arial"/>
                      <w:sz w:val="24"/>
                      <w:szCs w:val="24"/>
                      <w:u w:val="single"/>
                    </w:rPr>
                    <w:t>&gt;</w:t>
                  </w:r>
                  <w:r w:rsidRPr="00FA3F9C">
                    <w:rPr>
                      <w:rFonts w:ascii="Arial" w:hAnsi="Arial" w:cs="Arial"/>
                      <w:sz w:val="24"/>
                      <w:szCs w:val="24"/>
                    </w:rPr>
                    <w:t>24 months of adjuvant endocrine therapy before recurrence.</w:t>
                  </w:r>
                </w:p>
              </w:tc>
              <w:tc>
                <w:tcPr>
                  <w:tcW w:w="4112" w:type="dxa"/>
                  <w:shd w:val="clear" w:color="auto" w:fill="FFFFFF" w:themeFill="background1"/>
                </w:tcPr>
                <w:p w14:paraId="2C17333F" w14:textId="77777777" w:rsidR="009B5AA5" w:rsidRPr="00FA3F9C" w:rsidRDefault="009B5AA5" w:rsidP="006F008E">
                  <w:pPr>
                    <w:rPr>
                      <w:rFonts w:ascii="Arial" w:hAnsi="Arial" w:cs="Arial"/>
                      <w:sz w:val="24"/>
                      <w:szCs w:val="24"/>
                    </w:rPr>
                  </w:pPr>
                  <w:r w:rsidRPr="00FA3F9C">
                    <w:rPr>
                      <w:rFonts w:ascii="Arial" w:hAnsi="Arial" w:cs="Arial"/>
                      <w:sz w:val="24"/>
                      <w:szCs w:val="24"/>
                    </w:rPr>
                    <w:t>EORTC QLQ-C30 (MCID 10):</w:t>
                  </w:r>
                  <w:r w:rsidRPr="00FA3F9C">
                    <w:rPr>
                      <w:rFonts w:ascii="Arial" w:hAnsi="Arial" w:cs="Arial"/>
                      <w:sz w:val="24"/>
                      <w:szCs w:val="24"/>
                      <w:vertAlign w:val="superscript"/>
                    </w:rPr>
                    <w:t>4</w:t>
                  </w:r>
                </w:p>
                <w:p w14:paraId="1115B03C" w14:textId="77777777" w:rsidR="009B5AA5" w:rsidRPr="00FA3F9C" w:rsidRDefault="009B5AA5" w:rsidP="00FC1E85">
                  <w:pPr>
                    <w:pStyle w:val="ListParagraph"/>
                    <w:numPr>
                      <w:ilvl w:val="0"/>
                      <w:numId w:val="405"/>
                    </w:numPr>
                    <w:ind w:left="156" w:hanging="180"/>
                    <w:rPr>
                      <w:rFonts w:ascii="Arial" w:hAnsi="Arial" w:cs="Arial"/>
                      <w:sz w:val="24"/>
                      <w:szCs w:val="24"/>
                    </w:rPr>
                  </w:pPr>
                  <w:r w:rsidRPr="00FA3F9C">
                    <w:rPr>
                      <w:rFonts w:ascii="Arial" w:hAnsi="Arial" w:cs="Arial"/>
                      <w:sz w:val="24"/>
                      <w:szCs w:val="24"/>
                    </w:rPr>
                    <w:t>Global QOL score: statistically more worsening in control group but did not meet MCID</w:t>
                  </w:r>
                </w:p>
                <w:p w14:paraId="0816B80E" w14:textId="77777777" w:rsidR="009B5AA5" w:rsidRPr="00FA3F9C" w:rsidRDefault="009B5AA5" w:rsidP="00FC1E85">
                  <w:pPr>
                    <w:pStyle w:val="ListParagraph"/>
                    <w:numPr>
                      <w:ilvl w:val="0"/>
                      <w:numId w:val="405"/>
                    </w:numPr>
                    <w:ind w:left="156" w:hanging="180"/>
                    <w:rPr>
                      <w:rFonts w:ascii="Arial" w:hAnsi="Arial" w:cs="Arial"/>
                      <w:sz w:val="24"/>
                      <w:szCs w:val="24"/>
                    </w:rPr>
                  </w:pPr>
                  <w:r w:rsidRPr="00FA3F9C">
                    <w:rPr>
                      <w:rFonts w:ascii="Arial" w:hAnsi="Arial" w:cs="Arial"/>
                      <w:sz w:val="24"/>
                      <w:szCs w:val="24"/>
                    </w:rPr>
                    <w:t xml:space="preserve">Time to deterioration (global QOL): prolonged in </w:t>
                  </w:r>
                  <w:proofErr w:type="spellStart"/>
                  <w:r w:rsidRPr="00FA3F9C">
                    <w:rPr>
                      <w:rFonts w:ascii="Arial" w:hAnsi="Arial" w:cs="Arial"/>
                      <w:sz w:val="24"/>
                      <w:szCs w:val="24"/>
                    </w:rPr>
                    <w:t>palbociclib</w:t>
                  </w:r>
                  <w:proofErr w:type="spellEnd"/>
                  <w:r w:rsidRPr="00FA3F9C">
                    <w:rPr>
                      <w:rFonts w:ascii="Arial" w:hAnsi="Arial" w:cs="Arial"/>
                      <w:sz w:val="24"/>
                      <w:szCs w:val="24"/>
                    </w:rPr>
                    <w:t xml:space="preserve"> group; medians not reached (HR 0.641; 95% CI: 0.451-0.910)</w:t>
                  </w:r>
                </w:p>
                <w:p w14:paraId="6A9FA4C9" w14:textId="77777777" w:rsidR="009B5AA5" w:rsidRPr="00FA3F9C" w:rsidRDefault="009B5AA5" w:rsidP="00FC1E85">
                  <w:pPr>
                    <w:pStyle w:val="ListParagraph"/>
                    <w:numPr>
                      <w:ilvl w:val="0"/>
                      <w:numId w:val="405"/>
                    </w:numPr>
                    <w:ind w:left="156" w:hanging="180"/>
                    <w:rPr>
                      <w:rFonts w:ascii="Arial" w:hAnsi="Arial" w:cs="Arial"/>
                      <w:sz w:val="24"/>
                      <w:szCs w:val="24"/>
                    </w:rPr>
                  </w:pPr>
                  <w:r w:rsidRPr="00FA3F9C">
                    <w:rPr>
                      <w:rFonts w:ascii="Arial" w:hAnsi="Arial" w:cs="Arial"/>
                      <w:sz w:val="24"/>
                      <w:szCs w:val="24"/>
                    </w:rPr>
                    <w:t xml:space="preserve">Time to deterioration (pain): median 8 </w:t>
                  </w:r>
                  <w:proofErr w:type="spellStart"/>
                  <w:r w:rsidRPr="00FA3F9C">
                    <w:rPr>
                      <w:rFonts w:ascii="Arial" w:hAnsi="Arial" w:cs="Arial"/>
                      <w:sz w:val="24"/>
                      <w:szCs w:val="24"/>
                    </w:rPr>
                    <w:t>mo</w:t>
                  </w:r>
                  <w:proofErr w:type="spellEnd"/>
                  <w:r w:rsidRPr="00FA3F9C">
                    <w:rPr>
                      <w:rFonts w:ascii="Arial" w:hAnsi="Arial" w:cs="Arial"/>
                      <w:sz w:val="24"/>
                      <w:szCs w:val="24"/>
                    </w:rPr>
                    <w:t xml:space="preserve"> vs 2.8 </w:t>
                  </w:r>
                  <w:proofErr w:type="spellStart"/>
                  <w:r w:rsidRPr="00FA3F9C">
                    <w:rPr>
                      <w:rFonts w:ascii="Arial" w:hAnsi="Arial" w:cs="Arial"/>
                      <w:sz w:val="24"/>
                      <w:szCs w:val="24"/>
                    </w:rPr>
                    <w:t>mo</w:t>
                  </w:r>
                  <w:proofErr w:type="spellEnd"/>
                  <w:r w:rsidRPr="00FA3F9C">
                    <w:rPr>
                      <w:rFonts w:ascii="Arial" w:hAnsi="Arial" w:cs="Arial"/>
                      <w:sz w:val="24"/>
                      <w:szCs w:val="24"/>
                    </w:rPr>
                    <w:t xml:space="preserve"> (HR 0.642, 95% CI 0.487-0.846)</w:t>
                  </w:r>
                </w:p>
              </w:tc>
            </w:tr>
          </w:tbl>
          <w:p w14:paraId="4BEE4F9C" w14:textId="77777777" w:rsidR="009B5AA5" w:rsidRPr="00FA3F9C" w:rsidRDefault="009B5AA5" w:rsidP="00857CB6">
            <w:pPr>
              <w:spacing w:line="276" w:lineRule="auto"/>
              <w:ind w:left="90" w:hanging="90"/>
              <w:rPr>
                <w:rFonts w:ascii="Arial" w:hAnsi="Arial" w:cs="Arial"/>
                <w:sz w:val="24"/>
                <w:szCs w:val="24"/>
              </w:rPr>
            </w:pPr>
            <w:r w:rsidRPr="00FA3F9C">
              <w:rPr>
                <w:rFonts w:ascii="Arial" w:hAnsi="Arial" w:cs="Arial"/>
                <w:sz w:val="24"/>
                <w:szCs w:val="24"/>
              </w:rPr>
              <w:t>References:</w:t>
            </w:r>
          </w:p>
          <w:p w14:paraId="1070E306" w14:textId="77777777" w:rsidR="009B5AA5" w:rsidRPr="00FA3F9C" w:rsidRDefault="009B5AA5" w:rsidP="00857CB6">
            <w:pPr>
              <w:spacing w:line="276" w:lineRule="auto"/>
              <w:ind w:left="90" w:hanging="90"/>
              <w:rPr>
                <w:rFonts w:ascii="Arial" w:eastAsia="Times New Roman" w:hAnsi="Arial" w:cs="Arial"/>
                <w:sz w:val="24"/>
                <w:szCs w:val="24"/>
              </w:rPr>
            </w:pPr>
            <w:r w:rsidRPr="00FA3F9C">
              <w:rPr>
                <w:rFonts w:ascii="Arial" w:hAnsi="Arial" w:cs="Arial"/>
                <w:sz w:val="24"/>
                <w:szCs w:val="24"/>
              </w:rPr>
              <w:t xml:space="preserve">1. </w:t>
            </w:r>
            <w:hyperlink r:id="rId310" w:history="1">
              <w:proofErr w:type="spellStart"/>
              <w:r w:rsidRPr="00FA3F9C">
                <w:rPr>
                  <w:rFonts w:ascii="Arial" w:eastAsia="Times New Roman" w:hAnsi="Arial" w:cs="Arial"/>
                  <w:sz w:val="24"/>
                  <w:szCs w:val="24"/>
                </w:rPr>
                <w:t>Rugo</w:t>
              </w:r>
              <w:proofErr w:type="spellEnd"/>
              <w:r w:rsidRPr="00FA3F9C">
                <w:rPr>
                  <w:rFonts w:ascii="Arial" w:eastAsia="Times New Roman" w:hAnsi="Arial" w:cs="Arial"/>
                  <w:sz w:val="24"/>
                  <w:szCs w:val="24"/>
                </w:rPr>
                <w:t xml:space="preserve"> HS</w:t>
              </w:r>
            </w:hyperlink>
            <w:r w:rsidRPr="00FA3F9C">
              <w:rPr>
                <w:rFonts w:ascii="Arial" w:eastAsia="Times New Roman" w:hAnsi="Arial" w:cs="Arial"/>
                <w:sz w:val="24"/>
                <w:szCs w:val="24"/>
              </w:rPr>
              <w:t xml:space="preserve"> et al. </w:t>
            </w:r>
            <w:r w:rsidRPr="00FA3F9C">
              <w:rPr>
                <w:rFonts w:ascii="Arial" w:eastAsia="Times New Roman" w:hAnsi="Arial" w:cs="Arial"/>
                <w:bCs/>
                <w:kern w:val="36"/>
                <w:sz w:val="24"/>
                <w:szCs w:val="24"/>
              </w:rPr>
              <w:t>Palbociclib plus letrozole as first-line therapy in estrogen receptor-positive/human epidermal growth factor receptor 2-negative advanced breast cancer with extended follow-up.</w:t>
            </w:r>
            <w:r w:rsidRPr="00FA3F9C">
              <w:rPr>
                <w:rFonts w:ascii="Arial" w:eastAsia="Times New Roman" w:hAnsi="Arial" w:cs="Arial"/>
                <w:sz w:val="24"/>
                <w:szCs w:val="24"/>
              </w:rPr>
              <w:t xml:space="preserve"> </w:t>
            </w:r>
            <w:hyperlink r:id="rId311" w:tooltip="Breast cancer research and treatment." w:history="1">
              <w:r w:rsidRPr="00FA3F9C">
                <w:rPr>
                  <w:rFonts w:ascii="Arial" w:eastAsia="Times New Roman" w:hAnsi="Arial" w:cs="Arial"/>
                  <w:sz w:val="24"/>
                  <w:szCs w:val="24"/>
                </w:rPr>
                <w:t>Breast Cancer Res Treat.</w:t>
              </w:r>
            </w:hyperlink>
            <w:r w:rsidRPr="00FA3F9C">
              <w:rPr>
                <w:rFonts w:ascii="Arial" w:eastAsia="Times New Roman" w:hAnsi="Arial" w:cs="Arial"/>
                <w:sz w:val="24"/>
                <w:szCs w:val="24"/>
              </w:rPr>
              <w:t xml:space="preserve"> 2019 Jan 10. PMID 30632023 NCT01740427</w:t>
            </w:r>
          </w:p>
          <w:p w14:paraId="55C21E5E" w14:textId="77777777" w:rsidR="009B5AA5" w:rsidRPr="00FA3F9C" w:rsidRDefault="009B5AA5" w:rsidP="00857CB6">
            <w:pPr>
              <w:spacing w:line="276" w:lineRule="auto"/>
              <w:ind w:left="90" w:hanging="90"/>
              <w:rPr>
                <w:rFonts w:ascii="Arial" w:hAnsi="Arial" w:cs="Arial"/>
                <w:sz w:val="24"/>
                <w:szCs w:val="24"/>
              </w:rPr>
            </w:pPr>
            <w:r w:rsidRPr="00FA3F9C">
              <w:rPr>
                <w:rFonts w:ascii="Arial" w:hAnsi="Arial" w:cs="Arial"/>
                <w:sz w:val="24"/>
                <w:szCs w:val="24"/>
              </w:rPr>
              <w:t xml:space="preserve">2. </w:t>
            </w:r>
            <w:proofErr w:type="spellStart"/>
            <w:r w:rsidRPr="00FA3F9C">
              <w:rPr>
                <w:rFonts w:ascii="Arial" w:hAnsi="Arial" w:cs="Arial"/>
                <w:sz w:val="24"/>
                <w:szCs w:val="24"/>
              </w:rPr>
              <w:t>Rugo</w:t>
            </w:r>
            <w:proofErr w:type="spellEnd"/>
            <w:r w:rsidRPr="00FA3F9C">
              <w:rPr>
                <w:rFonts w:ascii="Arial" w:hAnsi="Arial" w:cs="Arial"/>
                <w:sz w:val="24"/>
                <w:szCs w:val="24"/>
              </w:rPr>
              <w:t xml:space="preserve"> HS et al. Impact of </w:t>
            </w:r>
            <w:proofErr w:type="spellStart"/>
            <w:r w:rsidRPr="00FA3F9C">
              <w:rPr>
                <w:rFonts w:ascii="Arial" w:hAnsi="Arial" w:cs="Arial"/>
                <w:sz w:val="24"/>
                <w:szCs w:val="24"/>
              </w:rPr>
              <w:t>palbociclib</w:t>
            </w:r>
            <w:proofErr w:type="spellEnd"/>
            <w:r w:rsidRPr="00FA3F9C">
              <w:rPr>
                <w:rFonts w:ascii="Arial" w:hAnsi="Arial" w:cs="Arial"/>
                <w:sz w:val="24"/>
                <w:szCs w:val="24"/>
              </w:rPr>
              <w:t xml:space="preserve"> plus letrozole on patient-reported health-related quality of life: results from the PALOMA-2 trial. Ann Oncol. 2018 Apr 1;29(4):888-894. PMID 29360932</w:t>
            </w:r>
          </w:p>
          <w:p w14:paraId="1313D70A" w14:textId="77777777" w:rsidR="009B5AA5" w:rsidRPr="00FA3F9C" w:rsidRDefault="009B5AA5" w:rsidP="006F008E">
            <w:pPr>
              <w:ind w:left="67" w:hanging="134"/>
              <w:rPr>
                <w:rFonts w:ascii="Arial" w:hAnsi="Arial" w:cs="Arial"/>
                <w:sz w:val="24"/>
                <w:szCs w:val="24"/>
              </w:rPr>
            </w:pPr>
            <w:r w:rsidRPr="00FA3F9C">
              <w:rPr>
                <w:rFonts w:ascii="Arial" w:hAnsi="Arial" w:cs="Arial"/>
                <w:sz w:val="24"/>
                <w:szCs w:val="24"/>
              </w:rPr>
              <w:t xml:space="preserve">3. Turner NC et al. Overall Survival with Palbociclib and </w:t>
            </w:r>
            <w:proofErr w:type="spellStart"/>
            <w:r w:rsidRPr="00FA3F9C">
              <w:rPr>
                <w:rFonts w:ascii="Arial" w:hAnsi="Arial" w:cs="Arial"/>
                <w:sz w:val="24"/>
                <w:szCs w:val="24"/>
              </w:rPr>
              <w:t>Fulvestrant</w:t>
            </w:r>
            <w:proofErr w:type="spellEnd"/>
            <w:r w:rsidRPr="00FA3F9C">
              <w:rPr>
                <w:rFonts w:ascii="Arial" w:hAnsi="Arial" w:cs="Arial"/>
                <w:sz w:val="24"/>
                <w:szCs w:val="24"/>
              </w:rPr>
              <w:t xml:space="preserve"> in Advanced Breast Cancer. N </w:t>
            </w:r>
            <w:proofErr w:type="spellStart"/>
            <w:r w:rsidRPr="00FA3F9C">
              <w:rPr>
                <w:rFonts w:ascii="Arial" w:hAnsi="Arial" w:cs="Arial"/>
                <w:sz w:val="24"/>
                <w:szCs w:val="24"/>
              </w:rPr>
              <w:t>Engl</w:t>
            </w:r>
            <w:proofErr w:type="spellEnd"/>
            <w:r w:rsidRPr="00FA3F9C">
              <w:rPr>
                <w:rFonts w:ascii="Arial" w:hAnsi="Arial" w:cs="Arial"/>
                <w:sz w:val="24"/>
                <w:szCs w:val="24"/>
              </w:rPr>
              <w:t xml:space="preserve"> J Med. 2018 Nov 15;379(20):1926-1936.  PMID 30345905 NCT01942135</w:t>
            </w:r>
          </w:p>
          <w:p w14:paraId="7B2D5AC5" w14:textId="77777777" w:rsidR="009B5AA5" w:rsidRPr="00FA3F9C" w:rsidRDefault="009B5AA5" w:rsidP="006F008E">
            <w:pPr>
              <w:spacing w:line="276" w:lineRule="auto"/>
              <w:ind w:left="90" w:hanging="90"/>
              <w:rPr>
                <w:rFonts w:ascii="Arial" w:hAnsi="Arial" w:cs="Arial"/>
                <w:sz w:val="24"/>
                <w:szCs w:val="24"/>
              </w:rPr>
            </w:pPr>
            <w:r w:rsidRPr="00FA3F9C">
              <w:rPr>
                <w:rFonts w:ascii="Arial" w:hAnsi="Arial" w:cs="Arial"/>
                <w:sz w:val="24"/>
                <w:szCs w:val="24"/>
              </w:rPr>
              <w:lastRenderedPageBreak/>
              <w:t xml:space="preserve">4. </w:t>
            </w:r>
            <w:proofErr w:type="spellStart"/>
            <w:r w:rsidRPr="00FA3F9C">
              <w:rPr>
                <w:rFonts w:ascii="Arial" w:hAnsi="Arial" w:cs="Arial"/>
                <w:sz w:val="24"/>
                <w:szCs w:val="24"/>
              </w:rPr>
              <w:t>Harbeck</w:t>
            </w:r>
            <w:proofErr w:type="spellEnd"/>
            <w:r w:rsidRPr="00FA3F9C">
              <w:rPr>
                <w:rFonts w:ascii="Arial" w:hAnsi="Arial" w:cs="Arial"/>
                <w:sz w:val="24"/>
                <w:szCs w:val="24"/>
              </w:rPr>
              <w:t xml:space="preserve"> N et al. Quality of life with </w:t>
            </w:r>
            <w:proofErr w:type="spellStart"/>
            <w:r w:rsidRPr="00FA3F9C">
              <w:rPr>
                <w:rFonts w:ascii="Arial" w:hAnsi="Arial" w:cs="Arial"/>
                <w:sz w:val="24"/>
                <w:szCs w:val="24"/>
              </w:rPr>
              <w:t>palbociclib</w:t>
            </w:r>
            <w:proofErr w:type="spellEnd"/>
            <w:r w:rsidRPr="00FA3F9C">
              <w:rPr>
                <w:rFonts w:ascii="Arial" w:hAnsi="Arial" w:cs="Arial"/>
                <w:sz w:val="24"/>
                <w:szCs w:val="24"/>
              </w:rPr>
              <w:t xml:space="preserve"> plus </w:t>
            </w:r>
            <w:proofErr w:type="spellStart"/>
            <w:r w:rsidRPr="00FA3F9C">
              <w:rPr>
                <w:rFonts w:ascii="Arial" w:hAnsi="Arial" w:cs="Arial"/>
                <w:sz w:val="24"/>
                <w:szCs w:val="24"/>
              </w:rPr>
              <w:t>fulvestrant</w:t>
            </w:r>
            <w:proofErr w:type="spellEnd"/>
            <w:r w:rsidRPr="00FA3F9C">
              <w:rPr>
                <w:rFonts w:ascii="Arial" w:hAnsi="Arial" w:cs="Arial"/>
                <w:sz w:val="24"/>
                <w:szCs w:val="24"/>
              </w:rPr>
              <w:t xml:space="preserve"> in previously treated hormone receptor-positive, HER2-negative metastatic breast cancer: patient-reported outcomes from the PALOMA-3 trial. Ann Oncol. 2016 Jun;27(6):1047-54. PMID 27029704</w:t>
            </w:r>
          </w:p>
        </w:tc>
      </w:tr>
    </w:tbl>
    <w:p w14:paraId="1E717475" w14:textId="77777777" w:rsidR="009B5AA5" w:rsidRPr="00FA3F9C" w:rsidRDefault="009B5AA5" w:rsidP="00EC764A">
      <w:pPr>
        <w:spacing w:after="0"/>
        <w:rPr>
          <w:rFonts w:ascii="Arial" w:hAnsi="Arial" w:cs="Arial"/>
          <w:sz w:val="24"/>
          <w:szCs w:val="24"/>
        </w:rPr>
      </w:pPr>
    </w:p>
    <w:p w14:paraId="018D744A" w14:textId="77777777" w:rsidR="009B5AA5" w:rsidRPr="00FA3F9C" w:rsidRDefault="009B5AA5" w:rsidP="00EC764A">
      <w:pPr>
        <w:spacing w:after="0"/>
        <w:rPr>
          <w:rFonts w:ascii="Arial" w:hAnsi="Arial" w:cs="Arial"/>
          <w:sz w:val="24"/>
          <w:szCs w:val="24"/>
        </w:rPr>
      </w:pPr>
    </w:p>
    <w:tbl>
      <w:tblPr>
        <w:tblStyle w:val="TableGrid"/>
        <w:tblW w:w="10998" w:type="dxa"/>
        <w:tblLook w:val="04A0" w:firstRow="1" w:lastRow="0" w:firstColumn="1" w:lastColumn="0" w:noHBand="0" w:noVBand="1"/>
      </w:tblPr>
      <w:tblGrid>
        <w:gridCol w:w="910"/>
        <w:gridCol w:w="10088"/>
      </w:tblGrid>
      <w:tr w:rsidR="009B5AA5" w:rsidRPr="00FA3F9C" w14:paraId="2E9625F4" w14:textId="77777777" w:rsidTr="00D03FF8">
        <w:tc>
          <w:tcPr>
            <w:tcW w:w="738" w:type="dxa"/>
          </w:tcPr>
          <w:p w14:paraId="2AB2EECF" w14:textId="77777777" w:rsidR="009B5AA5" w:rsidRPr="00FA3F9C" w:rsidRDefault="009B5AA5" w:rsidP="00EC764A">
            <w:pPr>
              <w:rPr>
                <w:rFonts w:ascii="Arial" w:hAnsi="Arial" w:cs="Arial"/>
                <w:b/>
                <w:sz w:val="24"/>
                <w:szCs w:val="24"/>
              </w:rPr>
            </w:pPr>
            <w:r w:rsidRPr="00FA3F9C">
              <w:rPr>
                <w:rFonts w:ascii="Arial" w:hAnsi="Arial" w:cs="Arial"/>
                <w:b/>
                <w:sz w:val="24"/>
                <w:szCs w:val="24"/>
              </w:rPr>
              <w:t>Grade</w:t>
            </w:r>
          </w:p>
        </w:tc>
        <w:tc>
          <w:tcPr>
            <w:tcW w:w="10260" w:type="dxa"/>
          </w:tcPr>
          <w:p w14:paraId="2D805052" w14:textId="77777777" w:rsidR="009B5AA5" w:rsidRPr="00FA3F9C" w:rsidRDefault="009B5AA5" w:rsidP="00EC764A">
            <w:pPr>
              <w:rPr>
                <w:rFonts w:ascii="Arial" w:hAnsi="Arial" w:cs="Arial"/>
                <w:b/>
                <w:sz w:val="24"/>
                <w:szCs w:val="24"/>
              </w:rPr>
            </w:pPr>
            <w:r w:rsidRPr="00FA3F9C">
              <w:rPr>
                <w:rFonts w:ascii="Arial" w:hAnsi="Arial" w:cs="Arial"/>
                <w:b/>
                <w:sz w:val="24"/>
                <w:szCs w:val="24"/>
              </w:rPr>
              <w:t>ECOG Performance Status</w:t>
            </w:r>
          </w:p>
        </w:tc>
      </w:tr>
      <w:tr w:rsidR="009B5AA5" w:rsidRPr="00FA3F9C" w14:paraId="173DD8C8" w14:textId="77777777" w:rsidTr="00D03FF8">
        <w:tc>
          <w:tcPr>
            <w:tcW w:w="738" w:type="dxa"/>
          </w:tcPr>
          <w:p w14:paraId="513AE0C3" w14:textId="77777777" w:rsidR="009B5AA5" w:rsidRPr="00FA3F9C" w:rsidRDefault="009B5AA5" w:rsidP="00EC764A">
            <w:pPr>
              <w:rPr>
                <w:rFonts w:ascii="Arial" w:hAnsi="Arial" w:cs="Arial"/>
                <w:sz w:val="24"/>
                <w:szCs w:val="24"/>
              </w:rPr>
            </w:pPr>
            <w:r w:rsidRPr="00FA3F9C">
              <w:rPr>
                <w:rFonts w:ascii="Arial" w:hAnsi="Arial" w:cs="Arial"/>
                <w:sz w:val="24"/>
                <w:szCs w:val="24"/>
              </w:rPr>
              <w:t>0</w:t>
            </w:r>
          </w:p>
        </w:tc>
        <w:tc>
          <w:tcPr>
            <w:tcW w:w="10260" w:type="dxa"/>
          </w:tcPr>
          <w:p w14:paraId="5ACD763D" w14:textId="77777777" w:rsidR="009B5AA5" w:rsidRPr="00FA3F9C" w:rsidRDefault="009B5AA5" w:rsidP="00EC764A">
            <w:pPr>
              <w:rPr>
                <w:rFonts w:ascii="Arial" w:hAnsi="Arial" w:cs="Arial"/>
                <w:sz w:val="24"/>
                <w:szCs w:val="24"/>
              </w:rPr>
            </w:pPr>
            <w:r w:rsidRPr="00FA3F9C">
              <w:rPr>
                <w:rFonts w:ascii="Arial" w:hAnsi="Arial" w:cs="Arial"/>
                <w:sz w:val="24"/>
                <w:szCs w:val="24"/>
              </w:rPr>
              <w:t>Fully active, able to carry on all pre-disease performance without restriction.</w:t>
            </w:r>
          </w:p>
        </w:tc>
      </w:tr>
      <w:tr w:rsidR="009B5AA5" w:rsidRPr="00FA3F9C" w14:paraId="64710EE1" w14:textId="77777777" w:rsidTr="00D03FF8">
        <w:tc>
          <w:tcPr>
            <w:tcW w:w="738" w:type="dxa"/>
          </w:tcPr>
          <w:p w14:paraId="3AB2233C" w14:textId="77777777" w:rsidR="009B5AA5" w:rsidRPr="00FA3F9C" w:rsidRDefault="009B5AA5" w:rsidP="00EC764A">
            <w:pPr>
              <w:rPr>
                <w:rFonts w:ascii="Arial" w:hAnsi="Arial" w:cs="Arial"/>
                <w:sz w:val="24"/>
                <w:szCs w:val="24"/>
              </w:rPr>
            </w:pPr>
            <w:r w:rsidRPr="00FA3F9C">
              <w:rPr>
                <w:rFonts w:ascii="Arial" w:hAnsi="Arial" w:cs="Arial"/>
                <w:sz w:val="24"/>
                <w:szCs w:val="24"/>
              </w:rPr>
              <w:t>1</w:t>
            </w:r>
          </w:p>
        </w:tc>
        <w:tc>
          <w:tcPr>
            <w:tcW w:w="10260" w:type="dxa"/>
          </w:tcPr>
          <w:p w14:paraId="5EFE7F93" w14:textId="77777777" w:rsidR="009B5AA5" w:rsidRPr="00FA3F9C" w:rsidRDefault="009B5AA5" w:rsidP="00EC764A">
            <w:pPr>
              <w:rPr>
                <w:rFonts w:ascii="Arial" w:hAnsi="Arial" w:cs="Arial"/>
                <w:sz w:val="24"/>
                <w:szCs w:val="24"/>
              </w:rPr>
            </w:pPr>
            <w:r w:rsidRPr="00FA3F9C">
              <w:rPr>
                <w:rFonts w:ascii="Arial" w:hAnsi="Arial" w:cs="Arial"/>
                <w:sz w:val="24"/>
                <w:szCs w:val="24"/>
              </w:rPr>
              <w:t>Restricted in physically strenuous activity but ambulatory and able to carry out work of a light or sedentary nature (</w:t>
            </w:r>
            <w:proofErr w:type="gramStart"/>
            <w:r w:rsidRPr="00FA3F9C">
              <w:rPr>
                <w:rFonts w:ascii="Arial" w:hAnsi="Arial" w:cs="Arial"/>
                <w:sz w:val="24"/>
                <w:szCs w:val="24"/>
              </w:rPr>
              <w:t>e.g.</w:t>
            </w:r>
            <w:proofErr w:type="gramEnd"/>
            <w:r w:rsidRPr="00FA3F9C">
              <w:rPr>
                <w:rFonts w:ascii="Arial" w:hAnsi="Arial" w:cs="Arial"/>
                <w:sz w:val="24"/>
                <w:szCs w:val="24"/>
              </w:rPr>
              <w:t xml:space="preserve"> light house work, office work).</w:t>
            </w:r>
          </w:p>
        </w:tc>
      </w:tr>
      <w:tr w:rsidR="009B5AA5" w:rsidRPr="00FA3F9C" w14:paraId="53213D9A" w14:textId="77777777" w:rsidTr="00D03FF8">
        <w:tc>
          <w:tcPr>
            <w:tcW w:w="738" w:type="dxa"/>
          </w:tcPr>
          <w:p w14:paraId="6054BDD4" w14:textId="77777777" w:rsidR="009B5AA5" w:rsidRPr="00FA3F9C" w:rsidRDefault="009B5AA5" w:rsidP="00EC764A">
            <w:pPr>
              <w:rPr>
                <w:rFonts w:ascii="Arial" w:hAnsi="Arial" w:cs="Arial"/>
                <w:sz w:val="24"/>
                <w:szCs w:val="24"/>
              </w:rPr>
            </w:pPr>
            <w:r w:rsidRPr="00FA3F9C">
              <w:rPr>
                <w:rFonts w:ascii="Arial" w:hAnsi="Arial" w:cs="Arial"/>
                <w:sz w:val="24"/>
                <w:szCs w:val="24"/>
              </w:rPr>
              <w:t>2</w:t>
            </w:r>
          </w:p>
        </w:tc>
        <w:tc>
          <w:tcPr>
            <w:tcW w:w="10260" w:type="dxa"/>
          </w:tcPr>
          <w:p w14:paraId="2E036407" w14:textId="77777777" w:rsidR="009B5AA5" w:rsidRPr="00FA3F9C" w:rsidRDefault="009B5AA5" w:rsidP="00EC764A">
            <w:pPr>
              <w:rPr>
                <w:rFonts w:ascii="Arial" w:hAnsi="Arial" w:cs="Arial"/>
                <w:sz w:val="24"/>
                <w:szCs w:val="24"/>
              </w:rPr>
            </w:pPr>
            <w:r w:rsidRPr="00FA3F9C">
              <w:rPr>
                <w:rFonts w:ascii="Arial" w:hAnsi="Arial" w:cs="Arial"/>
                <w:sz w:val="24"/>
                <w:szCs w:val="24"/>
              </w:rPr>
              <w:t>Ambulatory and capable of all self-care but unable to carry out any work activities; up and about more than 50% of waking hours.</w:t>
            </w:r>
          </w:p>
        </w:tc>
      </w:tr>
      <w:tr w:rsidR="009B5AA5" w:rsidRPr="00FA3F9C" w14:paraId="3007683C" w14:textId="77777777" w:rsidTr="00D03FF8">
        <w:tc>
          <w:tcPr>
            <w:tcW w:w="738" w:type="dxa"/>
          </w:tcPr>
          <w:p w14:paraId="3D452DB6" w14:textId="77777777" w:rsidR="009B5AA5" w:rsidRPr="00FA3F9C" w:rsidRDefault="009B5AA5" w:rsidP="00EC764A">
            <w:pPr>
              <w:rPr>
                <w:rFonts w:ascii="Arial" w:hAnsi="Arial" w:cs="Arial"/>
                <w:sz w:val="24"/>
                <w:szCs w:val="24"/>
              </w:rPr>
            </w:pPr>
            <w:r w:rsidRPr="00FA3F9C">
              <w:rPr>
                <w:rFonts w:ascii="Arial" w:hAnsi="Arial" w:cs="Arial"/>
                <w:sz w:val="24"/>
                <w:szCs w:val="24"/>
              </w:rPr>
              <w:t>3</w:t>
            </w:r>
          </w:p>
        </w:tc>
        <w:tc>
          <w:tcPr>
            <w:tcW w:w="10260" w:type="dxa"/>
          </w:tcPr>
          <w:p w14:paraId="21F7871F" w14:textId="77777777" w:rsidR="009B5AA5" w:rsidRPr="00FA3F9C" w:rsidRDefault="009B5AA5" w:rsidP="00EC764A">
            <w:pPr>
              <w:rPr>
                <w:rFonts w:ascii="Arial" w:hAnsi="Arial" w:cs="Arial"/>
                <w:sz w:val="24"/>
                <w:szCs w:val="24"/>
              </w:rPr>
            </w:pPr>
            <w:r w:rsidRPr="00FA3F9C">
              <w:rPr>
                <w:rFonts w:ascii="Arial" w:hAnsi="Arial" w:cs="Arial"/>
                <w:sz w:val="24"/>
                <w:szCs w:val="24"/>
              </w:rPr>
              <w:t>Capable of only limited self-care; confined to bed or chair more than 50% of waking hours.</w:t>
            </w:r>
          </w:p>
        </w:tc>
      </w:tr>
      <w:tr w:rsidR="009B5AA5" w:rsidRPr="00FA3F9C" w14:paraId="62E7A275" w14:textId="77777777" w:rsidTr="00D03FF8">
        <w:tc>
          <w:tcPr>
            <w:tcW w:w="738" w:type="dxa"/>
          </w:tcPr>
          <w:p w14:paraId="27369393" w14:textId="77777777" w:rsidR="009B5AA5" w:rsidRPr="00FA3F9C" w:rsidRDefault="009B5AA5" w:rsidP="00EC764A">
            <w:pPr>
              <w:rPr>
                <w:rFonts w:ascii="Arial" w:hAnsi="Arial" w:cs="Arial"/>
                <w:sz w:val="24"/>
                <w:szCs w:val="24"/>
              </w:rPr>
            </w:pPr>
            <w:r w:rsidRPr="00FA3F9C">
              <w:rPr>
                <w:rFonts w:ascii="Arial" w:hAnsi="Arial" w:cs="Arial"/>
                <w:sz w:val="24"/>
                <w:szCs w:val="24"/>
              </w:rPr>
              <w:t>4</w:t>
            </w:r>
          </w:p>
        </w:tc>
        <w:tc>
          <w:tcPr>
            <w:tcW w:w="10260" w:type="dxa"/>
          </w:tcPr>
          <w:p w14:paraId="73C836B5" w14:textId="77777777" w:rsidR="009B5AA5" w:rsidRPr="00FA3F9C" w:rsidRDefault="009B5AA5" w:rsidP="00EC764A">
            <w:pPr>
              <w:rPr>
                <w:rFonts w:ascii="Arial" w:hAnsi="Arial" w:cs="Arial"/>
                <w:sz w:val="24"/>
                <w:szCs w:val="24"/>
              </w:rPr>
            </w:pPr>
            <w:r w:rsidRPr="00FA3F9C">
              <w:rPr>
                <w:rFonts w:ascii="Arial" w:hAnsi="Arial" w:cs="Arial"/>
                <w:sz w:val="24"/>
                <w:szCs w:val="24"/>
              </w:rPr>
              <w:t>Completely disabled; cannot carry on any self-care; totally confined to bed or chair.</w:t>
            </w:r>
          </w:p>
        </w:tc>
      </w:tr>
      <w:tr w:rsidR="009B5AA5" w:rsidRPr="00FA3F9C" w14:paraId="23A35F1F" w14:textId="77777777" w:rsidTr="00D03FF8">
        <w:tc>
          <w:tcPr>
            <w:tcW w:w="738" w:type="dxa"/>
          </w:tcPr>
          <w:p w14:paraId="6B504123" w14:textId="77777777" w:rsidR="009B5AA5" w:rsidRPr="00FA3F9C" w:rsidRDefault="009B5AA5" w:rsidP="00EC764A">
            <w:pPr>
              <w:rPr>
                <w:rFonts w:ascii="Arial" w:hAnsi="Arial" w:cs="Arial"/>
                <w:sz w:val="24"/>
                <w:szCs w:val="24"/>
              </w:rPr>
            </w:pPr>
            <w:r w:rsidRPr="00FA3F9C">
              <w:rPr>
                <w:rFonts w:ascii="Arial" w:hAnsi="Arial" w:cs="Arial"/>
                <w:sz w:val="24"/>
                <w:szCs w:val="24"/>
              </w:rPr>
              <w:t>5</w:t>
            </w:r>
          </w:p>
        </w:tc>
        <w:tc>
          <w:tcPr>
            <w:tcW w:w="10260" w:type="dxa"/>
          </w:tcPr>
          <w:p w14:paraId="00DFC55E" w14:textId="77777777" w:rsidR="009B5AA5" w:rsidRPr="00FA3F9C" w:rsidRDefault="009B5AA5" w:rsidP="00EC764A">
            <w:pPr>
              <w:rPr>
                <w:rFonts w:ascii="Arial" w:hAnsi="Arial" w:cs="Arial"/>
                <w:sz w:val="24"/>
                <w:szCs w:val="24"/>
              </w:rPr>
            </w:pPr>
            <w:r w:rsidRPr="00FA3F9C">
              <w:rPr>
                <w:rFonts w:ascii="Arial" w:hAnsi="Arial" w:cs="Arial"/>
                <w:sz w:val="24"/>
                <w:szCs w:val="24"/>
              </w:rPr>
              <w:t>Dead.</w:t>
            </w:r>
          </w:p>
        </w:tc>
      </w:tr>
    </w:tbl>
    <w:p w14:paraId="4D84F60A" w14:textId="77777777" w:rsidR="009B5AA5" w:rsidRPr="00FA3F9C" w:rsidRDefault="009B5AA5" w:rsidP="0052674A">
      <w:pPr>
        <w:spacing w:after="0"/>
        <w:rPr>
          <w:rFonts w:ascii="Arial" w:hAnsi="Arial" w:cs="Arial"/>
          <w:sz w:val="24"/>
          <w:szCs w:val="24"/>
        </w:rPr>
      </w:pPr>
    </w:p>
    <w:tbl>
      <w:tblPr>
        <w:tblStyle w:val="TableGrid"/>
        <w:tblW w:w="0" w:type="auto"/>
        <w:tblLook w:val="04A0" w:firstRow="1" w:lastRow="0" w:firstColumn="1" w:lastColumn="0" w:noHBand="0" w:noVBand="1"/>
      </w:tblPr>
      <w:tblGrid>
        <w:gridCol w:w="1418"/>
        <w:gridCol w:w="9078"/>
        <w:gridCol w:w="1137"/>
      </w:tblGrid>
      <w:tr w:rsidR="009B5AA5" w:rsidRPr="00FA3F9C" w14:paraId="74416116" w14:textId="77777777" w:rsidTr="00C00644">
        <w:tc>
          <w:tcPr>
            <w:tcW w:w="1098" w:type="dxa"/>
          </w:tcPr>
          <w:p w14:paraId="00DFB172" w14:textId="77777777" w:rsidR="009B5AA5" w:rsidRPr="00FA3F9C" w:rsidRDefault="009B5AA5" w:rsidP="003343EE">
            <w:pPr>
              <w:jc w:val="center"/>
              <w:rPr>
                <w:rFonts w:ascii="Arial" w:hAnsi="Arial" w:cs="Arial"/>
                <w:b/>
                <w:sz w:val="24"/>
                <w:szCs w:val="24"/>
              </w:rPr>
            </w:pPr>
            <w:r w:rsidRPr="00FA3F9C">
              <w:rPr>
                <w:rFonts w:ascii="Arial" w:hAnsi="Arial" w:cs="Arial"/>
                <w:b/>
                <w:sz w:val="24"/>
                <w:szCs w:val="24"/>
              </w:rPr>
              <w:t>Date</w:t>
            </w:r>
          </w:p>
        </w:tc>
        <w:tc>
          <w:tcPr>
            <w:tcW w:w="9078" w:type="dxa"/>
          </w:tcPr>
          <w:p w14:paraId="20A70914" w14:textId="77777777" w:rsidR="009B5AA5" w:rsidRPr="00FA3F9C" w:rsidRDefault="009B5AA5" w:rsidP="003343EE">
            <w:pPr>
              <w:jc w:val="center"/>
              <w:rPr>
                <w:rFonts w:ascii="Arial" w:hAnsi="Arial" w:cs="Arial"/>
                <w:b/>
                <w:sz w:val="24"/>
                <w:szCs w:val="24"/>
              </w:rPr>
            </w:pPr>
            <w:r w:rsidRPr="00FA3F9C">
              <w:rPr>
                <w:rFonts w:ascii="Arial" w:hAnsi="Arial" w:cs="Arial"/>
                <w:b/>
                <w:sz w:val="24"/>
                <w:szCs w:val="24"/>
              </w:rPr>
              <w:t>What changed</w:t>
            </w:r>
          </w:p>
        </w:tc>
        <w:tc>
          <w:tcPr>
            <w:tcW w:w="822" w:type="dxa"/>
          </w:tcPr>
          <w:p w14:paraId="4314139E" w14:textId="77777777" w:rsidR="009B5AA5" w:rsidRPr="00FA3F9C" w:rsidRDefault="009B5AA5" w:rsidP="003343EE">
            <w:pPr>
              <w:jc w:val="center"/>
              <w:rPr>
                <w:rFonts w:ascii="Arial" w:hAnsi="Arial" w:cs="Arial"/>
                <w:b/>
                <w:sz w:val="24"/>
                <w:szCs w:val="24"/>
              </w:rPr>
            </w:pPr>
            <w:r w:rsidRPr="00FA3F9C">
              <w:rPr>
                <w:rFonts w:ascii="Arial" w:hAnsi="Arial" w:cs="Arial"/>
                <w:b/>
                <w:sz w:val="24"/>
                <w:szCs w:val="24"/>
              </w:rPr>
              <w:t>PharmD Initials</w:t>
            </w:r>
          </w:p>
        </w:tc>
      </w:tr>
      <w:tr w:rsidR="009B5AA5" w:rsidRPr="00FA3F9C" w14:paraId="2E500C24" w14:textId="77777777" w:rsidTr="00C00644">
        <w:tc>
          <w:tcPr>
            <w:tcW w:w="1098" w:type="dxa"/>
          </w:tcPr>
          <w:p w14:paraId="0B36727F" w14:textId="77777777" w:rsidR="009B5AA5" w:rsidRPr="00FA3F9C" w:rsidRDefault="009B5AA5" w:rsidP="003343EE">
            <w:pPr>
              <w:rPr>
                <w:rFonts w:ascii="Arial" w:hAnsi="Arial" w:cs="Arial"/>
                <w:sz w:val="24"/>
                <w:szCs w:val="24"/>
              </w:rPr>
            </w:pPr>
            <w:r w:rsidRPr="00FA3F9C">
              <w:rPr>
                <w:rFonts w:ascii="Arial" w:hAnsi="Arial" w:cs="Arial"/>
                <w:sz w:val="24"/>
                <w:szCs w:val="24"/>
              </w:rPr>
              <w:t>12.11.2015</w:t>
            </w:r>
          </w:p>
        </w:tc>
        <w:tc>
          <w:tcPr>
            <w:tcW w:w="9078" w:type="dxa"/>
          </w:tcPr>
          <w:p w14:paraId="42D31C06" w14:textId="77777777" w:rsidR="009B5AA5" w:rsidRPr="00FA3F9C" w:rsidRDefault="009B5AA5" w:rsidP="003343EE">
            <w:pPr>
              <w:rPr>
                <w:rFonts w:ascii="Arial" w:hAnsi="Arial" w:cs="Arial"/>
                <w:sz w:val="24"/>
                <w:szCs w:val="24"/>
              </w:rPr>
            </w:pPr>
            <w:r w:rsidRPr="00FA3F9C">
              <w:rPr>
                <w:rFonts w:ascii="Arial" w:hAnsi="Arial" w:cs="Arial"/>
                <w:sz w:val="24"/>
                <w:szCs w:val="24"/>
              </w:rPr>
              <w:t>PA criteria written</w:t>
            </w:r>
          </w:p>
        </w:tc>
        <w:tc>
          <w:tcPr>
            <w:tcW w:w="822" w:type="dxa"/>
          </w:tcPr>
          <w:p w14:paraId="37E6DA43" w14:textId="77777777" w:rsidR="009B5AA5" w:rsidRPr="00FA3F9C" w:rsidRDefault="009B5AA5" w:rsidP="003343EE">
            <w:pPr>
              <w:rPr>
                <w:rFonts w:ascii="Arial" w:hAnsi="Arial" w:cs="Arial"/>
                <w:sz w:val="24"/>
                <w:szCs w:val="24"/>
              </w:rPr>
            </w:pPr>
            <w:r w:rsidRPr="00FA3F9C">
              <w:rPr>
                <w:rFonts w:ascii="Arial" w:hAnsi="Arial" w:cs="Arial"/>
                <w:sz w:val="24"/>
                <w:szCs w:val="24"/>
              </w:rPr>
              <w:t>GBB</w:t>
            </w:r>
          </w:p>
        </w:tc>
      </w:tr>
      <w:tr w:rsidR="009B5AA5" w:rsidRPr="00FA3F9C" w14:paraId="5D3230CE" w14:textId="77777777" w:rsidTr="00C00644">
        <w:tc>
          <w:tcPr>
            <w:tcW w:w="1098" w:type="dxa"/>
          </w:tcPr>
          <w:p w14:paraId="4FEE85B6" w14:textId="77777777" w:rsidR="009B5AA5" w:rsidRPr="00FA3F9C" w:rsidRDefault="009B5AA5" w:rsidP="003343EE">
            <w:pPr>
              <w:rPr>
                <w:rFonts w:ascii="Arial" w:hAnsi="Arial" w:cs="Arial"/>
                <w:sz w:val="24"/>
                <w:szCs w:val="24"/>
              </w:rPr>
            </w:pPr>
            <w:r w:rsidRPr="00FA3F9C">
              <w:rPr>
                <w:rFonts w:ascii="Arial" w:hAnsi="Arial" w:cs="Arial"/>
                <w:sz w:val="24"/>
                <w:szCs w:val="24"/>
              </w:rPr>
              <w:t>7/14/16</w:t>
            </w:r>
          </w:p>
        </w:tc>
        <w:tc>
          <w:tcPr>
            <w:tcW w:w="9078" w:type="dxa"/>
          </w:tcPr>
          <w:p w14:paraId="0C8C7FA5" w14:textId="77777777" w:rsidR="009B5AA5" w:rsidRPr="00FA3F9C" w:rsidRDefault="009B5AA5" w:rsidP="003343EE">
            <w:pPr>
              <w:rPr>
                <w:rFonts w:ascii="Arial" w:hAnsi="Arial" w:cs="Arial"/>
                <w:sz w:val="24"/>
                <w:szCs w:val="24"/>
              </w:rPr>
            </w:pPr>
            <w:r w:rsidRPr="00FA3F9C">
              <w:rPr>
                <w:rFonts w:ascii="Arial" w:hAnsi="Arial" w:cs="Arial"/>
                <w:sz w:val="24"/>
                <w:szCs w:val="24"/>
              </w:rPr>
              <w:t xml:space="preserve">I removed the criteria that would deny the patient access if they had brain </w:t>
            </w:r>
            <w:proofErr w:type="spellStart"/>
            <w:r w:rsidRPr="00FA3F9C">
              <w:rPr>
                <w:rFonts w:ascii="Arial" w:hAnsi="Arial" w:cs="Arial"/>
                <w:sz w:val="24"/>
                <w:szCs w:val="24"/>
              </w:rPr>
              <w:t>mets</w:t>
            </w:r>
            <w:proofErr w:type="spellEnd"/>
            <w:r w:rsidRPr="00FA3F9C">
              <w:rPr>
                <w:rFonts w:ascii="Arial" w:hAnsi="Arial" w:cs="Arial"/>
                <w:sz w:val="24"/>
                <w:szCs w:val="24"/>
              </w:rPr>
              <w:t xml:space="preserve">.  Although these pts were excluded from the key trials, having brain </w:t>
            </w:r>
            <w:proofErr w:type="spellStart"/>
            <w:r w:rsidRPr="00FA3F9C">
              <w:rPr>
                <w:rFonts w:ascii="Arial" w:hAnsi="Arial" w:cs="Arial"/>
                <w:sz w:val="24"/>
                <w:szCs w:val="24"/>
              </w:rPr>
              <w:t>mets</w:t>
            </w:r>
            <w:proofErr w:type="spellEnd"/>
            <w:r w:rsidRPr="00FA3F9C">
              <w:rPr>
                <w:rFonts w:ascii="Arial" w:hAnsi="Arial" w:cs="Arial"/>
                <w:sz w:val="24"/>
                <w:szCs w:val="24"/>
              </w:rPr>
              <w:t xml:space="preserve"> is not a contraindication.</w:t>
            </w:r>
          </w:p>
        </w:tc>
        <w:tc>
          <w:tcPr>
            <w:tcW w:w="822" w:type="dxa"/>
          </w:tcPr>
          <w:p w14:paraId="05099F55" w14:textId="77777777" w:rsidR="009B5AA5" w:rsidRPr="00FA3F9C" w:rsidRDefault="009B5AA5" w:rsidP="003343EE">
            <w:pPr>
              <w:rPr>
                <w:rFonts w:ascii="Arial" w:hAnsi="Arial" w:cs="Arial"/>
                <w:sz w:val="24"/>
                <w:szCs w:val="24"/>
              </w:rPr>
            </w:pPr>
            <w:r w:rsidRPr="00FA3F9C">
              <w:rPr>
                <w:rFonts w:ascii="Arial" w:hAnsi="Arial" w:cs="Arial"/>
                <w:sz w:val="24"/>
                <w:szCs w:val="24"/>
              </w:rPr>
              <w:t>JJ</w:t>
            </w:r>
          </w:p>
        </w:tc>
      </w:tr>
      <w:tr w:rsidR="009B5AA5" w:rsidRPr="00FA3F9C" w14:paraId="287D3E72" w14:textId="77777777" w:rsidTr="00C00644">
        <w:tc>
          <w:tcPr>
            <w:tcW w:w="1098" w:type="dxa"/>
          </w:tcPr>
          <w:p w14:paraId="69874020" w14:textId="77777777" w:rsidR="009B5AA5" w:rsidRPr="00FA3F9C" w:rsidRDefault="009B5AA5" w:rsidP="003343EE">
            <w:pPr>
              <w:rPr>
                <w:rFonts w:ascii="Arial" w:hAnsi="Arial" w:cs="Arial"/>
                <w:sz w:val="24"/>
                <w:szCs w:val="24"/>
              </w:rPr>
            </w:pPr>
            <w:r w:rsidRPr="00FA3F9C">
              <w:rPr>
                <w:rFonts w:ascii="Arial" w:hAnsi="Arial" w:cs="Arial"/>
                <w:sz w:val="24"/>
                <w:szCs w:val="24"/>
              </w:rPr>
              <w:t>10/18/16</w:t>
            </w:r>
          </w:p>
        </w:tc>
        <w:tc>
          <w:tcPr>
            <w:tcW w:w="9078" w:type="dxa"/>
          </w:tcPr>
          <w:p w14:paraId="04B3FE0B" w14:textId="77777777" w:rsidR="009B5AA5" w:rsidRPr="00FA3F9C" w:rsidRDefault="009B5AA5" w:rsidP="003343EE">
            <w:pPr>
              <w:rPr>
                <w:rFonts w:ascii="Arial" w:hAnsi="Arial" w:cs="Arial"/>
                <w:sz w:val="24"/>
                <w:szCs w:val="24"/>
              </w:rPr>
            </w:pPr>
            <w:r w:rsidRPr="00FA3F9C">
              <w:rPr>
                <w:rFonts w:ascii="Arial" w:hAnsi="Arial" w:cs="Arial"/>
                <w:sz w:val="24"/>
                <w:szCs w:val="24"/>
              </w:rPr>
              <w:t>I added anastrozole as an acceptable endocrine therapy to have received as endocrine therapy.  Should be in postmenopausal women.</w:t>
            </w:r>
          </w:p>
        </w:tc>
        <w:tc>
          <w:tcPr>
            <w:tcW w:w="822" w:type="dxa"/>
          </w:tcPr>
          <w:p w14:paraId="0825AD7D" w14:textId="77777777" w:rsidR="009B5AA5" w:rsidRPr="00FA3F9C" w:rsidRDefault="009B5AA5" w:rsidP="003343EE">
            <w:pPr>
              <w:rPr>
                <w:rFonts w:ascii="Arial" w:hAnsi="Arial" w:cs="Arial"/>
                <w:sz w:val="24"/>
                <w:szCs w:val="24"/>
              </w:rPr>
            </w:pPr>
            <w:r w:rsidRPr="00FA3F9C">
              <w:rPr>
                <w:rFonts w:ascii="Arial" w:hAnsi="Arial" w:cs="Arial"/>
                <w:sz w:val="24"/>
                <w:szCs w:val="24"/>
              </w:rPr>
              <w:t>JJ</w:t>
            </w:r>
          </w:p>
        </w:tc>
      </w:tr>
      <w:tr w:rsidR="009B5AA5" w:rsidRPr="00FA3F9C" w14:paraId="371747F2" w14:textId="77777777" w:rsidTr="00C00644">
        <w:tc>
          <w:tcPr>
            <w:tcW w:w="1098" w:type="dxa"/>
          </w:tcPr>
          <w:p w14:paraId="67D1716E" w14:textId="77777777" w:rsidR="009B5AA5" w:rsidRPr="00FA3F9C" w:rsidRDefault="009B5AA5" w:rsidP="003343EE">
            <w:pPr>
              <w:rPr>
                <w:rFonts w:ascii="Arial" w:hAnsi="Arial" w:cs="Arial"/>
                <w:sz w:val="24"/>
                <w:szCs w:val="24"/>
              </w:rPr>
            </w:pPr>
            <w:r w:rsidRPr="00FA3F9C">
              <w:rPr>
                <w:rFonts w:ascii="Arial" w:hAnsi="Arial" w:cs="Arial"/>
                <w:sz w:val="24"/>
                <w:szCs w:val="24"/>
              </w:rPr>
              <w:t>1/15/19</w:t>
            </w:r>
          </w:p>
        </w:tc>
        <w:tc>
          <w:tcPr>
            <w:tcW w:w="9078" w:type="dxa"/>
          </w:tcPr>
          <w:p w14:paraId="68F976E1" w14:textId="77777777" w:rsidR="009B5AA5" w:rsidRPr="00FA3F9C" w:rsidRDefault="009B5AA5" w:rsidP="00E81B26">
            <w:pPr>
              <w:rPr>
                <w:rFonts w:ascii="Arial" w:hAnsi="Arial" w:cs="Arial"/>
                <w:sz w:val="24"/>
                <w:szCs w:val="24"/>
              </w:rPr>
            </w:pPr>
            <w:r w:rsidRPr="00FA3F9C">
              <w:rPr>
                <w:rFonts w:ascii="Arial" w:hAnsi="Arial" w:cs="Arial"/>
                <w:sz w:val="24"/>
                <w:szCs w:val="24"/>
              </w:rPr>
              <w:t>Added “</w:t>
            </w:r>
            <w:r w:rsidRPr="00FA3F9C">
              <w:rPr>
                <w:rFonts w:ascii="Arial" w:hAnsi="Arial" w:cs="Arial"/>
                <w:b/>
                <w:sz w:val="24"/>
                <w:szCs w:val="24"/>
              </w:rPr>
              <w:t>[Note: HER2 is often referred to as HER2/neu]</w:t>
            </w:r>
            <w:r w:rsidRPr="00FA3F9C">
              <w:rPr>
                <w:rFonts w:ascii="Arial" w:hAnsi="Arial" w:cs="Arial"/>
                <w:sz w:val="24"/>
                <w:szCs w:val="24"/>
              </w:rPr>
              <w:t>” to first criteria. HER2 is often referred to as HER2/neu in path reports and chart notes and they represent the same thing.</w:t>
            </w:r>
          </w:p>
          <w:p w14:paraId="4552817C" w14:textId="77777777" w:rsidR="009B5AA5" w:rsidRPr="00FA3F9C" w:rsidRDefault="009B5AA5" w:rsidP="003343EE">
            <w:pPr>
              <w:rPr>
                <w:rFonts w:ascii="Arial" w:hAnsi="Arial" w:cs="Arial"/>
                <w:sz w:val="24"/>
                <w:szCs w:val="24"/>
              </w:rPr>
            </w:pPr>
          </w:p>
        </w:tc>
        <w:tc>
          <w:tcPr>
            <w:tcW w:w="822" w:type="dxa"/>
          </w:tcPr>
          <w:p w14:paraId="093E5388" w14:textId="77777777" w:rsidR="009B5AA5" w:rsidRPr="00FA3F9C" w:rsidRDefault="009B5AA5" w:rsidP="003343EE">
            <w:pPr>
              <w:rPr>
                <w:rFonts w:ascii="Arial" w:hAnsi="Arial" w:cs="Arial"/>
                <w:sz w:val="24"/>
                <w:szCs w:val="24"/>
              </w:rPr>
            </w:pPr>
            <w:r w:rsidRPr="00FA3F9C">
              <w:rPr>
                <w:rFonts w:ascii="Arial" w:hAnsi="Arial" w:cs="Arial"/>
                <w:sz w:val="24"/>
                <w:szCs w:val="24"/>
              </w:rPr>
              <w:t>SK</w:t>
            </w:r>
          </w:p>
        </w:tc>
      </w:tr>
      <w:tr w:rsidR="009B5AA5" w:rsidRPr="00FA3F9C" w14:paraId="3BCB929D" w14:textId="77777777" w:rsidTr="00C00644">
        <w:tc>
          <w:tcPr>
            <w:tcW w:w="1098" w:type="dxa"/>
          </w:tcPr>
          <w:p w14:paraId="132FE9F4" w14:textId="77777777" w:rsidR="009B5AA5" w:rsidRPr="00FA3F9C" w:rsidRDefault="009B5AA5" w:rsidP="003343EE">
            <w:pPr>
              <w:rPr>
                <w:rFonts w:ascii="Arial" w:hAnsi="Arial" w:cs="Arial"/>
                <w:sz w:val="24"/>
                <w:szCs w:val="24"/>
              </w:rPr>
            </w:pPr>
            <w:r w:rsidRPr="00FA3F9C">
              <w:rPr>
                <w:rFonts w:ascii="Arial" w:hAnsi="Arial" w:cs="Arial"/>
                <w:sz w:val="24"/>
                <w:szCs w:val="24"/>
              </w:rPr>
              <w:t>5/20/19</w:t>
            </w:r>
          </w:p>
        </w:tc>
        <w:tc>
          <w:tcPr>
            <w:tcW w:w="9078" w:type="dxa"/>
          </w:tcPr>
          <w:p w14:paraId="302F03B8" w14:textId="77777777" w:rsidR="009B5AA5" w:rsidRPr="00FA3F9C" w:rsidRDefault="009B5AA5" w:rsidP="006A6DE7">
            <w:pPr>
              <w:rPr>
                <w:rFonts w:ascii="Arial" w:hAnsi="Arial" w:cs="Arial"/>
                <w:sz w:val="24"/>
                <w:szCs w:val="24"/>
              </w:rPr>
            </w:pPr>
            <w:r w:rsidRPr="00FA3F9C">
              <w:rPr>
                <w:rFonts w:ascii="Arial" w:hAnsi="Arial" w:cs="Arial"/>
                <w:sz w:val="24"/>
                <w:szCs w:val="24"/>
              </w:rPr>
              <w:t>Revised criteria for first line use and added criteria for subsequent lines of therapy as above.</w:t>
            </w:r>
          </w:p>
        </w:tc>
        <w:tc>
          <w:tcPr>
            <w:tcW w:w="822" w:type="dxa"/>
          </w:tcPr>
          <w:p w14:paraId="16AE67AA" w14:textId="77777777" w:rsidR="009B5AA5" w:rsidRPr="00FA3F9C" w:rsidRDefault="009B5AA5" w:rsidP="003343EE">
            <w:pPr>
              <w:rPr>
                <w:rFonts w:ascii="Arial" w:hAnsi="Arial" w:cs="Arial"/>
                <w:sz w:val="24"/>
                <w:szCs w:val="24"/>
              </w:rPr>
            </w:pPr>
            <w:r w:rsidRPr="00FA3F9C">
              <w:rPr>
                <w:rFonts w:ascii="Arial" w:hAnsi="Arial" w:cs="Arial"/>
                <w:sz w:val="24"/>
                <w:szCs w:val="24"/>
              </w:rPr>
              <w:t>SK</w:t>
            </w:r>
          </w:p>
        </w:tc>
      </w:tr>
      <w:tr w:rsidR="009B5AA5" w:rsidRPr="00FA3F9C" w14:paraId="302CA302" w14:textId="77777777" w:rsidTr="00C00644">
        <w:tc>
          <w:tcPr>
            <w:tcW w:w="1098" w:type="dxa"/>
          </w:tcPr>
          <w:p w14:paraId="0BC4712C" w14:textId="77777777" w:rsidR="009B5AA5" w:rsidRPr="00FA3F9C" w:rsidRDefault="009B5AA5" w:rsidP="003343EE">
            <w:pPr>
              <w:rPr>
                <w:rFonts w:ascii="Arial" w:hAnsi="Arial" w:cs="Arial"/>
                <w:sz w:val="24"/>
                <w:szCs w:val="24"/>
              </w:rPr>
            </w:pPr>
            <w:r w:rsidRPr="00FA3F9C">
              <w:rPr>
                <w:rFonts w:ascii="Arial" w:hAnsi="Arial" w:cs="Arial"/>
                <w:sz w:val="24"/>
                <w:szCs w:val="24"/>
              </w:rPr>
              <w:t>11/25/19</w:t>
            </w:r>
          </w:p>
        </w:tc>
        <w:tc>
          <w:tcPr>
            <w:tcW w:w="9078" w:type="dxa"/>
          </w:tcPr>
          <w:p w14:paraId="0A365A30" w14:textId="77777777" w:rsidR="009B5AA5" w:rsidRPr="00FA3F9C" w:rsidRDefault="009B5AA5" w:rsidP="00C50EDD">
            <w:pPr>
              <w:rPr>
                <w:rFonts w:ascii="Arial" w:hAnsi="Arial" w:cs="Arial"/>
                <w:sz w:val="24"/>
                <w:szCs w:val="24"/>
              </w:rPr>
            </w:pPr>
            <w:r w:rsidRPr="00FA3F9C">
              <w:rPr>
                <w:rFonts w:ascii="Arial" w:hAnsi="Arial" w:cs="Arial"/>
                <w:sz w:val="24"/>
                <w:szCs w:val="24"/>
              </w:rPr>
              <w:t>Criteria reviewed. Remove first-line indication from criteria due to PFS benefit only.</w:t>
            </w:r>
          </w:p>
        </w:tc>
        <w:tc>
          <w:tcPr>
            <w:tcW w:w="822" w:type="dxa"/>
          </w:tcPr>
          <w:p w14:paraId="622E9590" w14:textId="77777777" w:rsidR="009B5AA5" w:rsidRPr="00FA3F9C" w:rsidRDefault="009B5AA5" w:rsidP="003343EE">
            <w:pPr>
              <w:rPr>
                <w:rFonts w:ascii="Arial" w:hAnsi="Arial" w:cs="Arial"/>
                <w:sz w:val="24"/>
                <w:szCs w:val="24"/>
              </w:rPr>
            </w:pPr>
            <w:r w:rsidRPr="00FA3F9C">
              <w:rPr>
                <w:rFonts w:ascii="Arial" w:hAnsi="Arial" w:cs="Arial"/>
                <w:sz w:val="24"/>
                <w:szCs w:val="24"/>
              </w:rPr>
              <w:t>SK</w:t>
            </w:r>
          </w:p>
        </w:tc>
      </w:tr>
      <w:tr w:rsidR="009B5AA5" w:rsidRPr="00FA3F9C" w14:paraId="5F2CCF52" w14:textId="77777777" w:rsidTr="00C00644">
        <w:tc>
          <w:tcPr>
            <w:tcW w:w="1098" w:type="dxa"/>
          </w:tcPr>
          <w:p w14:paraId="3B765A92" w14:textId="77777777" w:rsidR="009B5AA5" w:rsidRPr="00FA3F9C" w:rsidRDefault="009B5AA5" w:rsidP="003343EE">
            <w:pPr>
              <w:rPr>
                <w:rFonts w:ascii="Arial" w:hAnsi="Arial" w:cs="Arial"/>
                <w:sz w:val="24"/>
                <w:szCs w:val="24"/>
              </w:rPr>
            </w:pPr>
            <w:r w:rsidRPr="00FA3F9C">
              <w:rPr>
                <w:rFonts w:ascii="Arial" w:hAnsi="Arial" w:cs="Arial"/>
                <w:sz w:val="24"/>
                <w:szCs w:val="24"/>
              </w:rPr>
              <w:lastRenderedPageBreak/>
              <w:t>7/7/2020</w:t>
            </w:r>
          </w:p>
        </w:tc>
        <w:tc>
          <w:tcPr>
            <w:tcW w:w="9078" w:type="dxa"/>
          </w:tcPr>
          <w:p w14:paraId="467D5A85" w14:textId="77777777" w:rsidR="009B5AA5" w:rsidRPr="00FA3F9C" w:rsidRDefault="009B5AA5" w:rsidP="00C50EDD">
            <w:pPr>
              <w:rPr>
                <w:rFonts w:ascii="Arial" w:hAnsi="Arial" w:cs="Arial"/>
                <w:sz w:val="24"/>
                <w:szCs w:val="24"/>
              </w:rPr>
            </w:pPr>
            <w:r w:rsidRPr="00FA3F9C">
              <w:rPr>
                <w:rFonts w:ascii="Arial" w:hAnsi="Arial" w:cs="Arial"/>
                <w:sz w:val="24"/>
                <w:szCs w:val="24"/>
              </w:rPr>
              <w:t>Minor wording change</w:t>
            </w:r>
          </w:p>
        </w:tc>
        <w:tc>
          <w:tcPr>
            <w:tcW w:w="822" w:type="dxa"/>
          </w:tcPr>
          <w:p w14:paraId="52068518" w14:textId="77777777" w:rsidR="009B5AA5" w:rsidRPr="00FA3F9C" w:rsidRDefault="009B5AA5" w:rsidP="003343EE">
            <w:pPr>
              <w:rPr>
                <w:rFonts w:ascii="Arial" w:hAnsi="Arial" w:cs="Arial"/>
                <w:sz w:val="24"/>
                <w:szCs w:val="24"/>
              </w:rPr>
            </w:pPr>
            <w:r w:rsidRPr="00FA3F9C">
              <w:rPr>
                <w:rFonts w:ascii="Arial" w:hAnsi="Arial" w:cs="Arial"/>
                <w:sz w:val="24"/>
                <w:szCs w:val="24"/>
              </w:rPr>
              <w:t>SK</w:t>
            </w:r>
          </w:p>
        </w:tc>
      </w:tr>
      <w:tr w:rsidR="009B5AA5" w:rsidRPr="00FA3F9C" w14:paraId="08929474" w14:textId="77777777" w:rsidTr="00C00644">
        <w:tc>
          <w:tcPr>
            <w:tcW w:w="1098" w:type="dxa"/>
          </w:tcPr>
          <w:p w14:paraId="551A6251" w14:textId="77777777" w:rsidR="009B5AA5" w:rsidRPr="00FA3F9C" w:rsidRDefault="009B5AA5" w:rsidP="003343EE">
            <w:pPr>
              <w:rPr>
                <w:rFonts w:ascii="Arial" w:hAnsi="Arial" w:cs="Arial"/>
                <w:sz w:val="24"/>
                <w:szCs w:val="24"/>
              </w:rPr>
            </w:pPr>
            <w:r w:rsidRPr="00FA3F9C">
              <w:rPr>
                <w:rFonts w:ascii="Arial" w:hAnsi="Arial" w:cs="Arial"/>
                <w:sz w:val="24"/>
                <w:szCs w:val="24"/>
              </w:rPr>
              <w:t>8/3/2020</w:t>
            </w:r>
          </w:p>
        </w:tc>
        <w:tc>
          <w:tcPr>
            <w:tcW w:w="9078" w:type="dxa"/>
          </w:tcPr>
          <w:p w14:paraId="703A9BFC" w14:textId="77777777" w:rsidR="009B5AA5" w:rsidRPr="00FA3F9C" w:rsidRDefault="009B5AA5" w:rsidP="00C50EDD">
            <w:pPr>
              <w:rPr>
                <w:rFonts w:ascii="Arial" w:hAnsi="Arial" w:cs="Arial"/>
                <w:sz w:val="24"/>
                <w:szCs w:val="24"/>
              </w:rPr>
            </w:pPr>
            <w:r w:rsidRPr="00FA3F9C">
              <w:rPr>
                <w:rFonts w:ascii="Arial" w:hAnsi="Arial" w:cs="Arial"/>
                <w:sz w:val="24"/>
                <w:szCs w:val="24"/>
              </w:rPr>
              <w:t>Typo correction in evidence discussion</w:t>
            </w:r>
          </w:p>
        </w:tc>
        <w:tc>
          <w:tcPr>
            <w:tcW w:w="822" w:type="dxa"/>
          </w:tcPr>
          <w:p w14:paraId="137EF53B" w14:textId="77777777" w:rsidR="009B5AA5" w:rsidRPr="00FA3F9C" w:rsidRDefault="009B5AA5" w:rsidP="003343EE">
            <w:pPr>
              <w:rPr>
                <w:rFonts w:ascii="Arial" w:hAnsi="Arial" w:cs="Arial"/>
                <w:sz w:val="24"/>
                <w:szCs w:val="24"/>
              </w:rPr>
            </w:pPr>
            <w:r w:rsidRPr="00FA3F9C">
              <w:rPr>
                <w:rFonts w:ascii="Arial" w:hAnsi="Arial" w:cs="Arial"/>
                <w:sz w:val="24"/>
                <w:szCs w:val="24"/>
              </w:rPr>
              <w:t>SK</w:t>
            </w:r>
          </w:p>
        </w:tc>
      </w:tr>
      <w:tr w:rsidR="009B5AA5" w:rsidRPr="00FA3F9C" w14:paraId="53860EDB" w14:textId="77777777" w:rsidTr="00C00644">
        <w:tc>
          <w:tcPr>
            <w:tcW w:w="1098" w:type="dxa"/>
          </w:tcPr>
          <w:p w14:paraId="7A55EC92" w14:textId="77777777" w:rsidR="009B5AA5" w:rsidRPr="00FA3F9C" w:rsidRDefault="009B5AA5" w:rsidP="003343EE">
            <w:pPr>
              <w:rPr>
                <w:rFonts w:ascii="Arial" w:hAnsi="Arial" w:cs="Arial"/>
                <w:sz w:val="24"/>
                <w:szCs w:val="24"/>
              </w:rPr>
            </w:pPr>
            <w:r w:rsidRPr="00FA3F9C">
              <w:rPr>
                <w:rFonts w:ascii="Arial" w:hAnsi="Arial" w:cs="Arial"/>
                <w:sz w:val="24"/>
                <w:szCs w:val="24"/>
              </w:rPr>
              <w:t>8/21/2020</w:t>
            </w:r>
          </w:p>
        </w:tc>
        <w:tc>
          <w:tcPr>
            <w:tcW w:w="9078" w:type="dxa"/>
          </w:tcPr>
          <w:p w14:paraId="4D61935A" w14:textId="77777777" w:rsidR="009B5AA5" w:rsidRPr="00FA3F9C" w:rsidRDefault="009B5AA5" w:rsidP="00C50EDD">
            <w:pPr>
              <w:rPr>
                <w:rFonts w:ascii="Arial" w:hAnsi="Arial" w:cs="Arial"/>
                <w:sz w:val="24"/>
                <w:szCs w:val="24"/>
              </w:rPr>
            </w:pPr>
            <w:r w:rsidRPr="00FA3F9C">
              <w:rPr>
                <w:rFonts w:ascii="Arial" w:hAnsi="Arial" w:cs="Arial"/>
                <w:sz w:val="24"/>
                <w:szCs w:val="24"/>
              </w:rPr>
              <w:t>Criteria reviewed. No change</w:t>
            </w:r>
          </w:p>
        </w:tc>
        <w:tc>
          <w:tcPr>
            <w:tcW w:w="822" w:type="dxa"/>
          </w:tcPr>
          <w:p w14:paraId="335EB658" w14:textId="77777777" w:rsidR="009B5AA5" w:rsidRPr="00FA3F9C" w:rsidRDefault="009B5AA5" w:rsidP="003343EE">
            <w:pPr>
              <w:rPr>
                <w:rFonts w:ascii="Arial" w:hAnsi="Arial" w:cs="Arial"/>
                <w:sz w:val="24"/>
                <w:szCs w:val="24"/>
              </w:rPr>
            </w:pPr>
            <w:r w:rsidRPr="00FA3F9C">
              <w:rPr>
                <w:rFonts w:ascii="Arial" w:hAnsi="Arial" w:cs="Arial"/>
                <w:sz w:val="24"/>
                <w:szCs w:val="24"/>
              </w:rPr>
              <w:t>SK</w:t>
            </w:r>
          </w:p>
        </w:tc>
      </w:tr>
      <w:tr w:rsidR="009B5AA5" w:rsidRPr="00FA3F9C" w14:paraId="7506F1D1" w14:textId="77777777" w:rsidTr="00C00644">
        <w:tc>
          <w:tcPr>
            <w:tcW w:w="1098" w:type="dxa"/>
          </w:tcPr>
          <w:p w14:paraId="58F4CCEF" w14:textId="77777777" w:rsidR="009B5AA5" w:rsidRPr="00FA3F9C" w:rsidRDefault="009B5AA5" w:rsidP="003343EE">
            <w:pPr>
              <w:rPr>
                <w:rFonts w:ascii="Arial" w:hAnsi="Arial" w:cs="Arial"/>
                <w:sz w:val="24"/>
                <w:szCs w:val="24"/>
              </w:rPr>
            </w:pPr>
            <w:r w:rsidRPr="00FA3F9C">
              <w:rPr>
                <w:rFonts w:ascii="Arial" w:hAnsi="Arial" w:cs="Arial"/>
                <w:sz w:val="24"/>
                <w:szCs w:val="24"/>
              </w:rPr>
              <w:t>9/28/2021</w:t>
            </w:r>
          </w:p>
        </w:tc>
        <w:tc>
          <w:tcPr>
            <w:tcW w:w="9078" w:type="dxa"/>
          </w:tcPr>
          <w:p w14:paraId="4266E3CF" w14:textId="77777777" w:rsidR="009B5AA5" w:rsidRPr="00FA3F9C" w:rsidRDefault="009B5AA5" w:rsidP="00D05C2D">
            <w:pPr>
              <w:rPr>
                <w:rFonts w:ascii="Arial" w:hAnsi="Arial" w:cs="Arial"/>
                <w:sz w:val="24"/>
                <w:szCs w:val="24"/>
              </w:rPr>
            </w:pPr>
            <w:r w:rsidRPr="00FA3F9C">
              <w:rPr>
                <w:rFonts w:ascii="Arial" w:hAnsi="Arial" w:cs="Arial"/>
                <w:sz w:val="24"/>
                <w:szCs w:val="24"/>
              </w:rPr>
              <w:t>Criteria reviewed. No change. Added new reference for first-line indication.</w:t>
            </w:r>
          </w:p>
        </w:tc>
        <w:tc>
          <w:tcPr>
            <w:tcW w:w="822" w:type="dxa"/>
          </w:tcPr>
          <w:p w14:paraId="003E6720" w14:textId="77777777" w:rsidR="009B5AA5" w:rsidRPr="00FA3F9C" w:rsidRDefault="009B5AA5" w:rsidP="003343EE">
            <w:pPr>
              <w:rPr>
                <w:rFonts w:ascii="Arial" w:hAnsi="Arial" w:cs="Arial"/>
                <w:sz w:val="24"/>
                <w:szCs w:val="24"/>
              </w:rPr>
            </w:pPr>
            <w:r w:rsidRPr="00FA3F9C">
              <w:rPr>
                <w:rFonts w:ascii="Arial" w:hAnsi="Arial" w:cs="Arial"/>
                <w:sz w:val="24"/>
                <w:szCs w:val="24"/>
              </w:rPr>
              <w:t>SK</w:t>
            </w:r>
          </w:p>
        </w:tc>
      </w:tr>
      <w:tr w:rsidR="009B5AA5" w:rsidRPr="00FA3F9C" w14:paraId="01365FD5" w14:textId="77777777" w:rsidTr="00C00644">
        <w:tc>
          <w:tcPr>
            <w:tcW w:w="1098" w:type="dxa"/>
          </w:tcPr>
          <w:p w14:paraId="2677CBCD" w14:textId="77777777" w:rsidR="009B5AA5" w:rsidRPr="00FA3F9C" w:rsidRDefault="009B5AA5" w:rsidP="003343EE">
            <w:pPr>
              <w:rPr>
                <w:rFonts w:ascii="Arial" w:hAnsi="Arial" w:cs="Arial"/>
                <w:sz w:val="24"/>
                <w:szCs w:val="24"/>
              </w:rPr>
            </w:pPr>
            <w:r w:rsidRPr="00FA3F9C">
              <w:rPr>
                <w:rFonts w:ascii="Arial" w:hAnsi="Arial" w:cs="Arial"/>
                <w:sz w:val="24"/>
                <w:szCs w:val="24"/>
              </w:rPr>
              <w:t>10/21/2021</w:t>
            </w:r>
          </w:p>
        </w:tc>
        <w:tc>
          <w:tcPr>
            <w:tcW w:w="9078" w:type="dxa"/>
          </w:tcPr>
          <w:p w14:paraId="5CD2367C" w14:textId="77777777" w:rsidR="009B5AA5" w:rsidRPr="00FA3F9C" w:rsidRDefault="009B5AA5" w:rsidP="00D05C2D">
            <w:pPr>
              <w:rPr>
                <w:rFonts w:ascii="Arial" w:hAnsi="Arial" w:cs="Arial"/>
                <w:sz w:val="24"/>
                <w:szCs w:val="24"/>
              </w:rPr>
            </w:pPr>
            <w:r w:rsidRPr="00FA3F9C">
              <w:rPr>
                <w:rFonts w:ascii="Arial" w:hAnsi="Arial" w:cs="Arial"/>
                <w:sz w:val="24"/>
                <w:szCs w:val="24"/>
              </w:rPr>
              <w:t xml:space="preserve">Added “not” to the following statement: The phase 2 PALOMA-1 trial did not demonstrate statistical improvement of OS with </w:t>
            </w:r>
            <w:proofErr w:type="spellStart"/>
            <w:r w:rsidRPr="00FA3F9C">
              <w:rPr>
                <w:rFonts w:ascii="Arial" w:hAnsi="Arial" w:cs="Arial"/>
                <w:sz w:val="24"/>
                <w:szCs w:val="24"/>
              </w:rPr>
              <w:t>palbociclib</w:t>
            </w:r>
            <w:proofErr w:type="spellEnd"/>
            <w:r w:rsidRPr="00FA3F9C">
              <w:rPr>
                <w:rFonts w:ascii="Arial" w:hAnsi="Arial" w:cs="Arial"/>
                <w:sz w:val="24"/>
                <w:szCs w:val="24"/>
              </w:rPr>
              <w:t>/letrozole compared to letrozole alone.</w:t>
            </w:r>
          </w:p>
        </w:tc>
        <w:tc>
          <w:tcPr>
            <w:tcW w:w="822" w:type="dxa"/>
          </w:tcPr>
          <w:p w14:paraId="07812A09" w14:textId="77777777" w:rsidR="009B5AA5" w:rsidRPr="00FA3F9C" w:rsidRDefault="009B5AA5" w:rsidP="003343EE">
            <w:pPr>
              <w:rPr>
                <w:rFonts w:ascii="Arial" w:hAnsi="Arial" w:cs="Arial"/>
                <w:sz w:val="24"/>
                <w:szCs w:val="24"/>
              </w:rPr>
            </w:pPr>
            <w:r w:rsidRPr="00FA3F9C">
              <w:rPr>
                <w:rFonts w:ascii="Arial" w:hAnsi="Arial" w:cs="Arial"/>
                <w:sz w:val="24"/>
                <w:szCs w:val="24"/>
              </w:rPr>
              <w:t>SK</w:t>
            </w:r>
          </w:p>
        </w:tc>
      </w:tr>
    </w:tbl>
    <w:p w14:paraId="1E072993" w14:textId="77777777" w:rsidR="009B5AA5" w:rsidRPr="00FA3F9C" w:rsidRDefault="009B5AA5" w:rsidP="004C11A3">
      <w:pPr>
        <w:spacing w:after="0"/>
        <w:rPr>
          <w:rFonts w:ascii="Arial" w:hAnsi="Arial" w:cs="Arial"/>
          <w:sz w:val="24"/>
          <w:szCs w:val="24"/>
        </w:rPr>
      </w:pPr>
    </w:p>
    <w:p w14:paraId="777019E7" w14:textId="7B1F85E5" w:rsidR="009B5AA5" w:rsidRDefault="009B5AA5" w:rsidP="00EF3B65">
      <w:pPr>
        <w:pStyle w:val="Heading2"/>
      </w:pPr>
      <w:bookmarkStart w:id="248" w:name="_Toc106369885"/>
      <w:r w:rsidRPr="00FA3F9C">
        <w:t xml:space="preserve">Paliperidone Extended Release 1-month injection (Invega </w:t>
      </w:r>
      <w:proofErr w:type="spellStart"/>
      <w:r w:rsidRPr="00FA3F9C">
        <w:t>Sustenna</w:t>
      </w:r>
      <w:proofErr w:type="spellEnd"/>
      <w:r w:rsidRPr="00FA3F9C">
        <w:t>)</w:t>
      </w:r>
      <w:bookmarkEnd w:id="248"/>
    </w:p>
    <w:p w14:paraId="229EAB1B" w14:textId="29F55B3C" w:rsidR="009B5AA5" w:rsidRDefault="009B5AA5" w:rsidP="00412F5C">
      <w:pPr>
        <w:jc w:val="center"/>
        <w:rPr>
          <w:rFonts w:ascii="Arial" w:hAnsi="Arial" w:cs="Arial"/>
          <w:sz w:val="24"/>
          <w:szCs w:val="24"/>
        </w:rPr>
      </w:pPr>
      <w:r w:rsidRPr="00FA3F9C">
        <w:rPr>
          <w:rFonts w:ascii="Arial" w:hAnsi="Arial" w:cs="Arial"/>
          <w:sz w:val="24"/>
          <w:szCs w:val="24"/>
        </w:rPr>
        <w:t>39mg, 78mg, 117mg, 156mg, 234mg</w:t>
      </w:r>
    </w:p>
    <w:p w14:paraId="44B9C511" w14:textId="5274AAD6" w:rsidR="00EF3B65" w:rsidRPr="00FA3F9C" w:rsidRDefault="00EF3B65" w:rsidP="00EF3B65">
      <w:pPr>
        <w:jc w:val="center"/>
        <w:rPr>
          <w:rFonts w:ascii="Arial" w:hAnsi="Arial" w:cs="Arial"/>
          <w:sz w:val="24"/>
          <w:szCs w:val="24"/>
        </w:rPr>
      </w:pPr>
      <w:r w:rsidRPr="00FA3F9C">
        <w:rPr>
          <w:rFonts w:ascii="Arial" w:hAnsi="Arial" w:cs="Arial"/>
          <w:sz w:val="24"/>
          <w:szCs w:val="24"/>
        </w:rPr>
        <w:t>EBRx PA Criteria</w:t>
      </w:r>
    </w:p>
    <w:p w14:paraId="3C16EBC6" w14:textId="77777777" w:rsidR="009B5AA5" w:rsidRPr="00FA3F9C" w:rsidRDefault="009B5AA5" w:rsidP="00412F5C">
      <w:pPr>
        <w:jc w:val="center"/>
        <w:rPr>
          <w:rFonts w:ascii="Arial" w:hAnsi="Arial" w:cs="Arial"/>
          <w:sz w:val="24"/>
          <w:szCs w:val="24"/>
        </w:rPr>
      </w:pPr>
    </w:p>
    <w:p w14:paraId="565FD0E9" w14:textId="77777777" w:rsidR="009B5AA5" w:rsidRPr="00FA3F9C" w:rsidRDefault="009B5AA5" w:rsidP="00412F5C">
      <w:pPr>
        <w:jc w:val="center"/>
        <w:rPr>
          <w:rFonts w:ascii="Arial" w:hAnsi="Arial" w:cs="Arial"/>
          <w:sz w:val="24"/>
          <w:szCs w:val="24"/>
        </w:rPr>
      </w:pPr>
    </w:p>
    <w:tbl>
      <w:tblPr>
        <w:tblStyle w:val="TableGrid"/>
        <w:tblW w:w="0" w:type="auto"/>
        <w:tblLook w:val="04A0" w:firstRow="1" w:lastRow="0" w:firstColumn="1" w:lastColumn="0" w:noHBand="0" w:noVBand="1"/>
      </w:tblPr>
      <w:tblGrid>
        <w:gridCol w:w="10638"/>
      </w:tblGrid>
      <w:tr w:rsidR="009B5AA5" w:rsidRPr="00FA3F9C" w14:paraId="541BFF86" w14:textId="77777777" w:rsidTr="008F3121">
        <w:tc>
          <w:tcPr>
            <w:tcW w:w="10638" w:type="dxa"/>
            <w:shd w:val="clear" w:color="auto" w:fill="000000"/>
          </w:tcPr>
          <w:p w14:paraId="34DE6D83" w14:textId="77777777" w:rsidR="009B5AA5" w:rsidRPr="00FA3F9C" w:rsidRDefault="009B5AA5" w:rsidP="00412F5C">
            <w:pPr>
              <w:rPr>
                <w:rFonts w:ascii="Arial" w:hAnsi="Arial" w:cs="Arial"/>
                <w:sz w:val="24"/>
                <w:szCs w:val="24"/>
              </w:rPr>
            </w:pPr>
            <w:r w:rsidRPr="00FA3F9C">
              <w:rPr>
                <w:rFonts w:ascii="Arial" w:hAnsi="Arial" w:cs="Arial"/>
                <w:sz w:val="24"/>
                <w:szCs w:val="24"/>
              </w:rPr>
              <w:t>Initial Access</w:t>
            </w:r>
          </w:p>
        </w:tc>
      </w:tr>
      <w:tr w:rsidR="009B5AA5" w:rsidRPr="00FA3F9C" w14:paraId="504A65BF" w14:textId="77777777" w:rsidTr="00412F5C">
        <w:tc>
          <w:tcPr>
            <w:tcW w:w="10638" w:type="dxa"/>
          </w:tcPr>
          <w:p w14:paraId="512695B7" w14:textId="77777777" w:rsidR="009B5AA5" w:rsidRPr="00FA3F9C" w:rsidRDefault="009B5AA5" w:rsidP="00BC10D6">
            <w:pPr>
              <w:rPr>
                <w:rFonts w:ascii="Arial" w:hAnsi="Arial" w:cs="Arial"/>
                <w:sz w:val="24"/>
                <w:szCs w:val="24"/>
              </w:rPr>
            </w:pPr>
            <w:r w:rsidRPr="00FA3F9C">
              <w:rPr>
                <w:rFonts w:ascii="Arial" w:hAnsi="Arial" w:cs="Arial"/>
                <w:sz w:val="24"/>
                <w:szCs w:val="24"/>
              </w:rPr>
              <w:t>1.  Requires the patient to have a diagnosis of schizophrenia or schizoaffective disorder.</w:t>
            </w:r>
          </w:p>
        </w:tc>
      </w:tr>
      <w:tr w:rsidR="009B5AA5" w:rsidRPr="00FA3F9C" w14:paraId="72EE868D" w14:textId="77777777" w:rsidTr="00412F5C">
        <w:tc>
          <w:tcPr>
            <w:tcW w:w="10638" w:type="dxa"/>
          </w:tcPr>
          <w:p w14:paraId="512E292D" w14:textId="77777777" w:rsidR="009B5AA5" w:rsidRPr="00FA3F9C" w:rsidRDefault="009B5AA5" w:rsidP="003904FA">
            <w:pPr>
              <w:rPr>
                <w:rFonts w:ascii="Arial" w:hAnsi="Arial" w:cs="Arial"/>
                <w:sz w:val="24"/>
                <w:szCs w:val="24"/>
              </w:rPr>
            </w:pPr>
            <w:r w:rsidRPr="00FA3F9C">
              <w:rPr>
                <w:rFonts w:ascii="Arial" w:hAnsi="Arial" w:cs="Arial"/>
                <w:sz w:val="24"/>
                <w:szCs w:val="24"/>
              </w:rPr>
              <w:t xml:space="preserve">2.  Must have a </w:t>
            </w:r>
            <w:proofErr w:type="gramStart"/>
            <w:r w:rsidRPr="00FA3F9C">
              <w:rPr>
                <w:rFonts w:ascii="Arial" w:hAnsi="Arial" w:cs="Arial"/>
                <w:sz w:val="24"/>
                <w:szCs w:val="24"/>
              </w:rPr>
              <w:t>history intolerable extrapyramidal symptoms</w:t>
            </w:r>
            <w:proofErr w:type="gramEnd"/>
            <w:r w:rsidRPr="00FA3F9C">
              <w:rPr>
                <w:rFonts w:ascii="Arial" w:hAnsi="Arial" w:cs="Arial"/>
                <w:sz w:val="24"/>
                <w:szCs w:val="24"/>
              </w:rPr>
              <w:t xml:space="preserve"> not responsive to benztropine, trihexyphenidyl, or propranolol in the medical records; look back 5 years or as long as our profile’s history and as long a history available in the medical records.</w:t>
            </w:r>
          </w:p>
        </w:tc>
      </w:tr>
      <w:tr w:rsidR="009B5AA5" w:rsidRPr="00FA3F9C" w14:paraId="54B2FBF8" w14:textId="77777777" w:rsidTr="00412F5C">
        <w:tc>
          <w:tcPr>
            <w:tcW w:w="10638" w:type="dxa"/>
          </w:tcPr>
          <w:p w14:paraId="43ACBBF2" w14:textId="77777777" w:rsidR="009B5AA5" w:rsidRPr="00FA3F9C" w:rsidRDefault="009B5AA5" w:rsidP="003904FA">
            <w:pPr>
              <w:rPr>
                <w:rFonts w:ascii="Arial" w:hAnsi="Arial" w:cs="Arial"/>
                <w:sz w:val="24"/>
                <w:szCs w:val="24"/>
              </w:rPr>
            </w:pPr>
            <w:r w:rsidRPr="00FA3F9C">
              <w:rPr>
                <w:rFonts w:ascii="Arial" w:hAnsi="Arial" w:cs="Arial"/>
                <w:sz w:val="24"/>
                <w:szCs w:val="24"/>
              </w:rPr>
              <w:t xml:space="preserve">3.  Must have in the previous month’s profile Invega ER oral tablets and be transitioning to </w:t>
            </w:r>
            <w:proofErr w:type="spellStart"/>
            <w:r w:rsidRPr="00FA3F9C">
              <w:rPr>
                <w:rFonts w:ascii="Arial" w:hAnsi="Arial" w:cs="Arial"/>
                <w:sz w:val="24"/>
                <w:szCs w:val="24"/>
              </w:rPr>
              <w:t>Sustenna</w:t>
            </w:r>
            <w:proofErr w:type="spellEnd"/>
            <w:r w:rsidRPr="00FA3F9C">
              <w:rPr>
                <w:rFonts w:ascii="Arial" w:hAnsi="Arial" w:cs="Arial"/>
                <w:sz w:val="24"/>
                <w:szCs w:val="24"/>
              </w:rPr>
              <w:t>.</w:t>
            </w:r>
          </w:p>
        </w:tc>
      </w:tr>
      <w:tr w:rsidR="009B5AA5" w:rsidRPr="00FA3F9C" w14:paraId="523665E6" w14:textId="77777777" w:rsidTr="00412F5C">
        <w:tc>
          <w:tcPr>
            <w:tcW w:w="10638" w:type="dxa"/>
          </w:tcPr>
          <w:p w14:paraId="717936C0" w14:textId="77777777" w:rsidR="009B5AA5" w:rsidRPr="00FA3F9C" w:rsidRDefault="009B5AA5" w:rsidP="003904FA">
            <w:pPr>
              <w:rPr>
                <w:rFonts w:ascii="Arial" w:hAnsi="Arial" w:cs="Arial"/>
                <w:sz w:val="24"/>
                <w:szCs w:val="24"/>
              </w:rPr>
            </w:pPr>
            <w:r w:rsidRPr="00FA3F9C">
              <w:rPr>
                <w:rFonts w:ascii="Arial" w:hAnsi="Arial" w:cs="Arial"/>
                <w:sz w:val="24"/>
                <w:szCs w:val="24"/>
              </w:rPr>
              <w:t xml:space="preserve">If </w:t>
            </w:r>
            <w:proofErr w:type="gramStart"/>
            <w:r w:rsidRPr="00FA3F9C">
              <w:rPr>
                <w:rFonts w:ascii="Arial" w:hAnsi="Arial" w:cs="Arial"/>
                <w:sz w:val="24"/>
                <w:szCs w:val="24"/>
              </w:rPr>
              <w:t>all of</w:t>
            </w:r>
            <w:proofErr w:type="gramEnd"/>
            <w:r w:rsidRPr="00FA3F9C">
              <w:rPr>
                <w:rFonts w:ascii="Arial" w:hAnsi="Arial" w:cs="Arial"/>
                <w:sz w:val="24"/>
                <w:szCs w:val="24"/>
              </w:rPr>
              <w:t xml:space="preserve"> these criteria are fulfilled, approve for 12 months.</w:t>
            </w:r>
          </w:p>
        </w:tc>
      </w:tr>
    </w:tbl>
    <w:p w14:paraId="0BF01607" w14:textId="77777777" w:rsidR="009B5AA5" w:rsidRPr="00FA3F9C" w:rsidRDefault="009B5AA5" w:rsidP="009B5AA5">
      <w:pPr>
        <w:pStyle w:val="ListParagraph"/>
        <w:numPr>
          <w:ilvl w:val="0"/>
          <w:numId w:val="21"/>
        </w:numPr>
        <w:spacing w:after="0" w:line="240" w:lineRule="auto"/>
        <w:rPr>
          <w:rFonts w:ascii="Arial" w:hAnsi="Arial" w:cs="Arial"/>
          <w:sz w:val="24"/>
          <w:szCs w:val="24"/>
        </w:rPr>
      </w:pPr>
      <w:r w:rsidRPr="00FA3F9C">
        <w:rPr>
          <w:rFonts w:ascii="Arial" w:hAnsi="Arial" w:cs="Arial"/>
          <w:sz w:val="24"/>
          <w:szCs w:val="24"/>
        </w:rPr>
        <w:t xml:space="preserve">No concurrent </w:t>
      </w:r>
      <w:proofErr w:type="spellStart"/>
      <w:proofErr w:type="gramStart"/>
      <w:r w:rsidRPr="00FA3F9C">
        <w:rPr>
          <w:rFonts w:ascii="Arial" w:hAnsi="Arial" w:cs="Arial"/>
          <w:sz w:val="24"/>
          <w:szCs w:val="24"/>
        </w:rPr>
        <w:t>days</w:t>
      </w:r>
      <w:proofErr w:type="spellEnd"/>
      <w:proofErr w:type="gramEnd"/>
      <w:r w:rsidRPr="00FA3F9C">
        <w:rPr>
          <w:rFonts w:ascii="Arial" w:hAnsi="Arial" w:cs="Arial"/>
          <w:sz w:val="24"/>
          <w:szCs w:val="24"/>
        </w:rPr>
        <w:t xml:space="preserve"> supply of therapeutic duplication with other forms of paliperidone, risperidone, olanzapine, quetiapine, ziprasidone, chlorpromazine, haloperidol, trifluoperazine, prochlorperazine, thioridazine, thiothixene, aripiprazole, or </w:t>
      </w:r>
      <w:proofErr w:type="spellStart"/>
      <w:r w:rsidRPr="00FA3F9C">
        <w:rPr>
          <w:rFonts w:ascii="Arial" w:hAnsi="Arial" w:cs="Arial"/>
          <w:sz w:val="24"/>
          <w:szCs w:val="24"/>
        </w:rPr>
        <w:t>brexpiprazole</w:t>
      </w:r>
      <w:proofErr w:type="spellEnd"/>
      <w:r w:rsidRPr="00FA3F9C">
        <w:rPr>
          <w:rFonts w:ascii="Arial" w:hAnsi="Arial" w:cs="Arial"/>
          <w:sz w:val="24"/>
          <w:szCs w:val="24"/>
        </w:rPr>
        <w:t>.</w:t>
      </w:r>
    </w:p>
    <w:p w14:paraId="1489CC7C" w14:textId="77777777" w:rsidR="009B5AA5" w:rsidRPr="00FA3F9C" w:rsidRDefault="009B5AA5" w:rsidP="009B5AA5">
      <w:pPr>
        <w:pStyle w:val="ListParagraph"/>
        <w:numPr>
          <w:ilvl w:val="0"/>
          <w:numId w:val="21"/>
        </w:numPr>
        <w:spacing w:after="0" w:line="240" w:lineRule="auto"/>
        <w:rPr>
          <w:rFonts w:ascii="Arial" w:hAnsi="Arial" w:cs="Arial"/>
          <w:sz w:val="24"/>
          <w:szCs w:val="24"/>
        </w:rPr>
      </w:pPr>
      <w:r w:rsidRPr="00FA3F9C">
        <w:rPr>
          <w:rFonts w:ascii="Arial" w:hAnsi="Arial" w:cs="Arial"/>
          <w:sz w:val="24"/>
          <w:szCs w:val="24"/>
        </w:rPr>
        <w:t>Deny if the patient has not been taking Invega ER oral tablets or risperidone.</w:t>
      </w:r>
    </w:p>
    <w:p w14:paraId="05765E88" w14:textId="77777777" w:rsidR="009B5AA5" w:rsidRPr="00FA3F9C" w:rsidRDefault="009B5AA5" w:rsidP="00857F03">
      <w:pPr>
        <w:rPr>
          <w:rFonts w:ascii="Arial" w:hAnsi="Arial" w:cs="Arial"/>
          <w:sz w:val="24"/>
          <w:szCs w:val="24"/>
        </w:rPr>
      </w:pPr>
    </w:p>
    <w:p w14:paraId="291544B3" w14:textId="77777777" w:rsidR="009B5AA5" w:rsidRPr="00FA3F9C" w:rsidRDefault="009B5AA5" w:rsidP="00857F03">
      <w:pPr>
        <w:rPr>
          <w:rFonts w:ascii="Arial" w:hAnsi="Arial" w:cs="Arial"/>
          <w:sz w:val="24"/>
          <w:szCs w:val="24"/>
        </w:rPr>
      </w:pPr>
    </w:p>
    <w:tbl>
      <w:tblPr>
        <w:tblStyle w:val="TableGrid"/>
        <w:tblW w:w="0" w:type="auto"/>
        <w:tblLook w:val="04A0" w:firstRow="1" w:lastRow="0" w:firstColumn="1" w:lastColumn="0" w:noHBand="0" w:noVBand="1"/>
      </w:tblPr>
      <w:tblGrid>
        <w:gridCol w:w="10638"/>
      </w:tblGrid>
      <w:tr w:rsidR="009B5AA5" w:rsidRPr="00FA3F9C" w14:paraId="0A9ED200" w14:textId="77777777" w:rsidTr="008F3121">
        <w:tc>
          <w:tcPr>
            <w:tcW w:w="10638" w:type="dxa"/>
            <w:shd w:val="clear" w:color="auto" w:fill="000000"/>
          </w:tcPr>
          <w:p w14:paraId="2FF950D5" w14:textId="77777777" w:rsidR="009B5AA5" w:rsidRPr="00FA3F9C" w:rsidRDefault="009B5AA5" w:rsidP="008F3121">
            <w:pPr>
              <w:rPr>
                <w:rFonts w:ascii="Arial" w:hAnsi="Arial" w:cs="Arial"/>
                <w:sz w:val="24"/>
                <w:szCs w:val="24"/>
              </w:rPr>
            </w:pPr>
            <w:r w:rsidRPr="00FA3F9C">
              <w:rPr>
                <w:rFonts w:ascii="Arial" w:hAnsi="Arial" w:cs="Arial"/>
                <w:sz w:val="24"/>
                <w:szCs w:val="24"/>
              </w:rPr>
              <w:t>Continuation Criteria</w:t>
            </w:r>
          </w:p>
        </w:tc>
      </w:tr>
      <w:tr w:rsidR="009B5AA5" w:rsidRPr="00FA3F9C" w14:paraId="16E8848C" w14:textId="77777777" w:rsidTr="008F3121">
        <w:tc>
          <w:tcPr>
            <w:tcW w:w="10638" w:type="dxa"/>
          </w:tcPr>
          <w:p w14:paraId="09EAFC95" w14:textId="77777777" w:rsidR="009B5AA5" w:rsidRPr="00FA3F9C" w:rsidRDefault="009B5AA5" w:rsidP="008F3121">
            <w:pPr>
              <w:rPr>
                <w:rFonts w:ascii="Arial" w:hAnsi="Arial" w:cs="Arial"/>
                <w:sz w:val="24"/>
                <w:szCs w:val="24"/>
              </w:rPr>
            </w:pPr>
            <w:r w:rsidRPr="00FA3F9C">
              <w:rPr>
                <w:rFonts w:ascii="Arial" w:hAnsi="Arial" w:cs="Arial"/>
                <w:sz w:val="24"/>
                <w:szCs w:val="24"/>
              </w:rPr>
              <w:t>1.  Requires the patient to have a diagnosis of schizophrenia or psychosis.</w:t>
            </w:r>
          </w:p>
        </w:tc>
      </w:tr>
      <w:tr w:rsidR="009B5AA5" w:rsidRPr="00FA3F9C" w14:paraId="19C5BC8D" w14:textId="77777777" w:rsidTr="008F3121">
        <w:tc>
          <w:tcPr>
            <w:tcW w:w="10638" w:type="dxa"/>
          </w:tcPr>
          <w:p w14:paraId="7131ACF9" w14:textId="77777777" w:rsidR="009B5AA5" w:rsidRPr="00FA3F9C" w:rsidRDefault="009B5AA5" w:rsidP="00BC10D6">
            <w:pPr>
              <w:rPr>
                <w:rFonts w:ascii="Arial" w:hAnsi="Arial" w:cs="Arial"/>
                <w:sz w:val="24"/>
                <w:szCs w:val="24"/>
              </w:rPr>
            </w:pPr>
            <w:r w:rsidRPr="00FA3F9C">
              <w:rPr>
                <w:rFonts w:ascii="Arial" w:hAnsi="Arial" w:cs="Arial"/>
                <w:sz w:val="24"/>
                <w:szCs w:val="24"/>
              </w:rPr>
              <w:lastRenderedPageBreak/>
              <w:t xml:space="preserve">2.  Requires the patient to have received the previous Invega </w:t>
            </w:r>
            <w:proofErr w:type="spellStart"/>
            <w:r w:rsidRPr="00FA3F9C">
              <w:rPr>
                <w:rFonts w:ascii="Arial" w:hAnsi="Arial" w:cs="Arial"/>
                <w:sz w:val="24"/>
                <w:szCs w:val="24"/>
              </w:rPr>
              <w:t>Sustenna</w:t>
            </w:r>
            <w:proofErr w:type="spellEnd"/>
            <w:r w:rsidRPr="00FA3F9C">
              <w:rPr>
                <w:rFonts w:ascii="Arial" w:hAnsi="Arial" w:cs="Arial"/>
                <w:sz w:val="24"/>
                <w:szCs w:val="24"/>
              </w:rPr>
              <w:t xml:space="preserve"> not more than 5 weeks ago from today’s date.  If it has been longer than 5 weeks, deny coverage.  The patient must go back to paliperidone or risperidone tablets.</w:t>
            </w:r>
          </w:p>
        </w:tc>
      </w:tr>
      <w:tr w:rsidR="009B5AA5" w:rsidRPr="00FA3F9C" w14:paraId="7C2F1412" w14:textId="77777777" w:rsidTr="008F3121">
        <w:tc>
          <w:tcPr>
            <w:tcW w:w="10638" w:type="dxa"/>
          </w:tcPr>
          <w:p w14:paraId="51DF3CDF" w14:textId="77777777" w:rsidR="009B5AA5" w:rsidRPr="00FA3F9C" w:rsidRDefault="009B5AA5" w:rsidP="008F3121">
            <w:pPr>
              <w:rPr>
                <w:rFonts w:ascii="Arial" w:hAnsi="Arial" w:cs="Arial"/>
                <w:sz w:val="24"/>
                <w:szCs w:val="24"/>
              </w:rPr>
            </w:pPr>
            <w:r w:rsidRPr="00FA3F9C">
              <w:rPr>
                <w:rFonts w:ascii="Arial" w:hAnsi="Arial" w:cs="Arial"/>
                <w:sz w:val="24"/>
                <w:szCs w:val="24"/>
              </w:rPr>
              <w:t xml:space="preserve">3.  Must have a </w:t>
            </w:r>
            <w:proofErr w:type="gramStart"/>
            <w:r w:rsidRPr="00FA3F9C">
              <w:rPr>
                <w:rFonts w:ascii="Arial" w:hAnsi="Arial" w:cs="Arial"/>
                <w:sz w:val="24"/>
                <w:szCs w:val="24"/>
              </w:rPr>
              <w:t>history intolerable extrapyramidal symptoms</w:t>
            </w:r>
            <w:proofErr w:type="gramEnd"/>
            <w:r w:rsidRPr="00FA3F9C">
              <w:rPr>
                <w:rFonts w:ascii="Arial" w:hAnsi="Arial" w:cs="Arial"/>
                <w:sz w:val="24"/>
                <w:szCs w:val="24"/>
              </w:rPr>
              <w:t xml:space="preserve"> not responsive to benztropine, trihexyphenidyl, or propranolol in the medical records; look back 5 years or as long as our profile’s history and as long a history available in the medical records.</w:t>
            </w:r>
          </w:p>
        </w:tc>
      </w:tr>
    </w:tbl>
    <w:p w14:paraId="3521E74F" w14:textId="77777777" w:rsidR="009B5AA5" w:rsidRPr="00FA3F9C" w:rsidRDefault="009B5AA5" w:rsidP="00857F03">
      <w:pPr>
        <w:rPr>
          <w:rFonts w:ascii="Arial" w:hAnsi="Arial" w:cs="Arial"/>
          <w:sz w:val="24"/>
          <w:szCs w:val="24"/>
        </w:rPr>
      </w:pPr>
    </w:p>
    <w:p w14:paraId="70B38369" w14:textId="77777777" w:rsidR="009B5AA5" w:rsidRPr="00FA3F9C" w:rsidRDefault="009B5AA5" w:rsidP="00857F03">
      <w:pPr>
        <w:rPr>
          <w:rFonts w:ascii="Arial" w:hAnsi="Arial" w:cs="Arial"/>
          <w:sz w:val="24"/>
          <w:szCs w:val="24"/>
        </w:rPr>
      </w:pPr>
    </w:p>
    <w:p w14:paraId="31C53873" w14:textId="77777777" w:rsidR="009B5AA5" w:rsidRPr="00FA3F9C" w:rsidRDefault="009B5AA5" w:rsidP="00857F03">
      <w:pPr>
        <w:rPr>
          <w:rFonts w:ascii="Arial" w:hAnsi="Arial" w:cs="Arial"/>
          <w:sz w:val="24"/>
          <w:szCs w:val="24"/>
        </w:rPr>
      </w:pPr>
      <w:r w:rsidRPr="00FA3F9C">
        <w:rPr>
          <w:rFonts w:ascii="Arial" w:hAnsi="Arial" w:cs="Arial"/>
          <w:sz w:val="24"/>
          <w:szCs w:val="24"/>
        </w:rPr>
        <w:t>Ref:</w:t>
      </w:r>
    </w:p>
    <w:p w14:paraId="76135D6E" w14:textId="77777777" w:rsidR="009B5AA5" w:rsidRPr="00FA3F9C" w:rsidRDefault="009B5AA5" w:rsidP="00857F03">
      <w:pPr>
        <w:rPr>
          <w:rFonts w:ascii="Arial" w:hAnsi="Arial" w:cs="Arial"/>
          <w:sz w:val="24"/>
          <w:szCs w:val="24"/>
        </w:rPr>
      </w:pPr>
      <w:r w:rsidRPr="00FA3F9C">
        <w:rPr>
          <w:rFonts w:ascii="Arial" w:hAnsi="Arial" w:cs="Arial"/>
          <w:sz w:val="24"/>
          <w:szCs w:val="24"/>
        </w:rPr>
        <w:t xml:space="preserve">1.  PI Invega </w:t>
      </w:r>
      <w:proofErr w:type="spellStart"/>
      <w:r w:rsidRPr="00FA3F9C">
        <w:rPr>
          <w:rFonts w:ascii="Arial" w:hAnsi="Arial" w:cs="Arial"/>
          <w:sz w:val="24"/>
          <w:szCs w:val="24"/>
        </w:rPr>
        <w:t>Sustenna</w:t>
      </w:r>
      <w:proofErr w:type="spellEnd"/>
      <w:r w:rsidRPr="00FA3F9C">
        <w:rPr>
          <w:rFonts w:ascii="Arial" w:hAnsi="Arial" w:cs="Arial"/>
          <w:sz w:val="24"/>
          <w:szCs w:val="24"/>
        </w:rPr>
        <w:t>. Accessed 10/30/15.</w:t>
      </w:r>
    </w:p>
    <w:p w14:paraId="5FF43401" w14:textId="77777777" w:rsidR="009B5AA5" w:rsidRPr="00FA3F9C" w:rsidRDefault="009B5AA5" w:rsidP="00857F03">
      <w:pPr>
        <w:rPr>
          <w:rFonts w:ascii="Arial" w:hAnsi="Arial" w:cs="Arial"/>
          <w:sz w:val="24"/>
          <w:szCs w:val="24"/>
        </w:rPr>
      </w:pPr>
    </w:p>
    <w:p w14:paraId="367BEBB2" w14:textId="77777777" w:rsidR="009B5AA5" w:rsidRPr="00FA3F9C" w:rsidRDefault="009B5AA5" w:rsidP="00857F03">
      <w:pPr>
        <w:rPr>
          <w:rFonts w:ascii="Arial" w:hAnsi="Arial" w:cs="Arial"/>
          <w:sz w:val="24"/>
          <w:szCs w:val="24"/>
        </w:rPr>
      </w:pPr>
    </w:p>
    <w:p w14:paraId="4B0DE3A1" w14:textId="77777777" w:rsidR="009B5AA5" w:rsidRPr="00FA3F9C" w:rsidRDefault="009B5AA5" w:rsidP="00857F03">
      <w:pPr>
        <w:rPr>
          <w:rFonts w:ascii="Arial" w:hAnsi="Arial" w:cs="Arial"/>
          <w:sz w:val="24"/>
          <w:szCs w:val="24"/>
        </w:rPr>
      </w:pPr>
    </w:p>
    <w:p w14:paraId="6EE27AC4" w14:textId="77777777" w:rsidR="009B5AA5" w:rsidRPr="00FA3F9C" w:rsidRDefault="009B5AA5" w:rsidP="00857F03">
      <w:pPr>
        <w:rPr>
          <w:rFonts w:ascii="Arial" w:hAnsi="Arial" w:cs="Arial"/>
          <w:sz w:val="24"/>
          <w:szCs w:val="24"/>
        </w:rPr>
      </w:pPr>
    </w:p>
    <w:tbl>
      <w:tblPr>
        <w:tblStyle w:val="TableGrid"/>
        <w:tblW w:w="0" w:type="auto"/>
        <w:tblLook w:val="04A0" w:firstRow="1" w:lastRow="0" w:firstColumn="1" w:lastColumn="0" w:noHBand="0" w:noVBand="1"/>
      </w:tblPr>
      <w:tblGrid>
        <w:gridCol w:w="1278"/>
        <w:gridCol w:w="7290"/>
        <w:gridCol w:w="2448"/>
      </w:tblGrid>
      <w:tr w:rsidR="009B5AA5" w:rsidRPr="00FA3F9C" w14:paraId="3A75AC46" w14:textId="77777777" w:rsidTr="009F1EDE">
        <w:tc>
          <w:tcPr>
            <w:tcW w:w="1278" w:type="dxa"/>
          </w:tcPr>
          <w:p w14:paraId="018CA4E6" w14:textId="77777777" w:rsidR="009B5AA5" w:rsidRPr="00FA3F9C" w:rsidRDefault="009B5AA5" w:rsidP="00857F03">
            <w:pPr>
              <w:rPr>
                <w:rFonts w:ascii="Arial" w:hAnsi="Arial" w:cs="Arial"/>
                <w:sz w:val="24"/>
                <w:szCs w:val="24"/>
              </w:rPr>
            </w:pPr>
            <w:r w:rsidRPr="00FA3F9C">
              <w:rPr>
                <w:rFonts w:ascii="Arial" w:hAnsi="Arial" w:cs="Arial"/>
                <w:sz w:val="24"/>
                <w:szCs w:val="24"/>
              </w:rPr>
              <w:t>Date</w:t>
            </w:r>
          </w:p>
        </w:tc>
        <w:tc>
          <w:tcPr>
            <w:tcW w:w="7290" w:type="dxa"/>
          </w:tcPr>
          <w:p w14:paraId="0B9EAA0E" w14:textId="77777777" w:rsidR="009B5AA5" w:rsidRPr="00FA3F9C" w:rsidRDefault="009B5AA5" w:rsidP="00857F03">
            <w:pPr>
              <w:rPr>
                <w:rFonts w:ascii="Arial" w:hAnsi="Arial" w:cs="Arial"/>
                <w:sz w:val="24"/>
                <w:szCs w:val="24"/>
              </w:rPr>
            </w:pPr>
            <w:r w:rsidRPr="00FA3F9C">
              <w:rPr>
                <w:rFonts w:ascii="Arial" w:hAnsi="Arial" w:cs="Arial"/>
                <w:sz w:val="24"/>
                <w:szCs w:val="24"/>
              </w:rPr>
              <w:t>What was changed?</w:t>
            </w:r>
          </w:p>
        </w:tc>
        <w:tc>
          <w:tcPr>
            <w:tcW w:w="2448" w:type="dxa"/>
          </w:tcPr>
          <w:p w14:paraId="60EE8BCA" w14:textId="77777777" w:rsidR="009B5AA5" w:rsidRPr="00FA3F9C" w:rsidRDefault="009B5AA5" w:rsidP="00857F03">
            <w:pPr>
              <w:rPr>
                <w:rFonts w:ascii="Arial" w:hAnsi="Arial" w:cs="Arial"/>
                <w:sz w:val="24"/>
                <w:szCs w:val="24"/>
              </w:rPr>
            </w:pPr>
            <w:r w:rsidRPr="00FA3F9C">
              <w:rPr>
                <w:rFonts w:ascii="Arial" w:hAnsi="Arial" w:cs="Arial"/>
                <w:sz w:val="24"/>
                <w:szCs w:val="24"/>
              </w:rPr>
              <w:t>Pharmacist’s initials</w:t>
            </w:r>
          </w:p>
        </w:tc>
      </w:tr>
      <w:tr w:rsidR="009B5AA5" w:rsidRPr="00FA3F9C" w14:paraId="05175007" w14:textId="77777777" w:rsidTr="009F1EDE">
        <w:tc>
          <w:tcPr>
            <w:tcW w:w="1278" w:type="dxa"/>
          </w:tcPr>
          <w:p w14:paraId="4F5EBA2B" w14:textId="77777777" w:rsidR="009B5AA5" w:rsidRPr="00FA3F9C" w:rsidRDefault="009B5AA5" w:rsidP="00BC10D6">
            <w:pPr>
              <w:rPr>
                <w:rFonts w:ascii="Arial" w:hAnsi="Arial" w:cs="Arial"/>
                <w:sz w:val="24"/>
                <w:szCs w:val="24"/>
              </w:rPr>
            </w:pPr>
            <w:r w:rsidRPr="00FA3F9C">
              <w:rPr>
                <w:rFonts w:ascii="Arial" w:hAnsi="Arial" w:cs="Arial"/>
                <w:sz w:val="24"/>
                <w:szCs w:val="24"/>
              </w:rPr>
              <w:t>10/30/15</w:t>
            </w:r>
          </w:p>
        </w:tc>
        <w:tc>
          <w:tcPr>
            <w:tcW w:w="7290" w:type="dxa"/>
          </w:tcPr>
          <w:p w14:paraId="0018DB11" w14:textId="77777777" w:rsidR="009B5AA5" w:rsidRPr="00FA3F9C" w:rsidRDefault="009B5AA5" w:rsidP="00857F03">
            <w:pPr>
              <w:rPr>
                <w:rFonts w:ascii="Arial" w:hAnsi="Arial" w:cs="Arial"/>
                <w:sz w:val="24"/>
                <w:szCs w:val="24"/>
              </w:rPr>
            </w:pPr>
            <w:r w:rsidRPr="00FA3F9C">
              <w:rPr>
                <w:rFonts w:ascii="Arial" w:hAnsi="Arial" w:cs="Arial"/>
                <w:sz w:val="24"/>
                <w:szCs w:val="24"/>
              </w:rPr>
              <w:t>I wrote the criteria.</w:t>
            </w:r>
          </w:p>
        </w:tc>
        <w:tc>
          <w:tcPr>
            <w:tcW w:w="2448" w:type="dxa"/>
          </w:tcPr>
          <w:p w14:paraId="5498CDAD" w14:textId="7FAC3123" w:rsidR="009B5AA5" w:rsidRPr="00FA3F9C" w:rsidRDefault="005C142D" w:rsidP="00857F03">
            <w:pPr>
              <w:rPr>
                <w:rFonts w:ascii="Arial" w:hAnsi="Arial" w:cs="Arial"/>
                <w:sz w:val="24"/>
                <w:szCs w:val="24"/>
              </w:rPr>
            </w:pPr>
            <w:r w:rsidRPr="00FA3F9C">
              <w:rPr>
                <w:rFonts w:ascii="Arial" w:hAnsi="Arial" w:cs="Arial"/>
                <w:sz w:val="24"/>
                <w:szCs w:val="24"/>
              </w:rPr>
              <w:t>JJ</w:t>
            </w:r>
          </w:p>
        </w:tc>
      </w:tr>
      <w:tr w:rsidR="009B5AA5" w:rsidRPr="00FA3F9C" w14:paraId="6E2788BA" w14:textId="77777777" w:rsidTr="009F1EDE">
        <w:tc>
          <w:tcPr>
            <w:tcW w:w="1278" w:type="dxa"/>
          </w:tcPr>
          <w:p w14:paraId="6A65C60D" w14:textId="77777777" w:rsidR="009B5AA5" w:rsidRPr="00FA3F9C" w:rsidRDefault="009B5AA5" w:rsidP="00857F03">
            <w:pPr>
              <w:rPr>
                <w:rFonts w:ascii="Arial" w:hAnsi="Arial" w:cs="Arial"/>
                <w:sz w:val="24"/>
                <w:szCs w:val="24"/>
              </w:rPr>
            </w:pPr>
          </w:p>
        </w:tc>
        <w:tc>
          <w:tcPr>
            <w:tcW w:w="7290" w:type="dxa"/>
          </w:tcPr>
          <w:p w14:paraId="5D6BD2B0" w14:textId="77777777" w:rsidR="009B5AA5" w:rsidRPr="00FA3F9C" w:rsidRDefault="009B5AA5" w:rsidP="00857F03">
            <w:pPr>
              <w:rPr>
                <w:rFonts w:ascii="Arial" w:hAnsi="Arial" w:cs="Arial"/>
                <w:sz w:val="24"/>
                <w:szCs w:val="24"/>
              </w:rPr>
            </w:pPr>
          </w:p>
        </w:tc>
        <w:tc>
          <w:tcPr>
            <w:tcW w:w="2448" w:type="dxa"/>
          </w:tcPr>
          <w:p w14:paraId="0C7E8E58" w14:textId="77777777" w:rsidR="009B5AA5" w:rsidRPr="00FA3F9C" w:rsidRDefault="009B5AA5" w:rsidP="00857F03">
            <w:pPr>
              <w:rPr>
                <w:rFonts w:ascii="Arial" w:hAnsi="Arial" w:cs="Arial"/>
                <w:sz w:val="24"/>
                <w:szCs w:val="24"/>
              </w:rPr>
            </w:pPr>
          </w:p>
        </w:tc>
      </w:tr>
    </w:tbl>
    <w:p w14:paraId="7DB541B3" w14:textId="77777777" w:rsidR="009B5AA5" w:rsidRPr="00FA3F9C" w:rsidRDefault="009B5AA5" w:rsidP="00857F03">
      <w:pPr>
        <w:rPr>
          <w:rFonts w:ascii="Arial" w:hAnsi="Arial" w:cs="Arial"/>
          <w:sz w:val="24"/>
          <w:szCs w:val="24"/>
        </w:rPr>
      </w:pPr>
    </w:p>
    <w:p w14:paraId="2DA6733A" w14:textId="77777777" w:rsidR="009B5AA5" w:rsidRPr="00FA3F9C" w:rsidRDefault="009B5AA5" w:rsidP="00857F03">
      <w:pPr>
        <w:rPr>
          <w:rFonts w:ascii="Arial" w:hAnsi="Arial" w:cs="Arial"/>
          <w:sz w:val="24"/>
          <w:szCs w:val="24"/>
        </w:rPr>
      </w:pPr>
      <w:r w:rsidRPr="00FA3F9C">
        <w:rPr>
          <w:rFonts w:ascii="Arial" w:hAnsi="Arial" w:cs="Arial"/>
          <w:sz w:val="24"/>
          <w:szCs w:val="24"/>
        </w:rPr>
        <w:t>References</w:t>
      </w:r>
    </w:p>
    <w:p w14:paraId="659F5401" w14:textId="77777777" w:rsidR="009B5AA5" w:rsidRPr="00FA3F9C" w:rsidRDefault="009B5AA5" w:rsidP="00857F03">
      <w:pPr>
        <w:rPr>
          <w:rFonts w:ascii="Arial" w:hAnsi="Arial" w:cs="Arial"/>
          <w:sz w:val="24"/>
          <w:szCs w:val="24"/>
        </w:rPr>
      </w:pPr>
      <w:r w:rsidRPr="00FA3F9C">
        <w:rPr>
          <w:rFonts w:ascii="Arial" w:hAnsi="Arial" w:cs="Arial"/>
          <w:sz w:val="24"/>
          <w:szCs w:val="24"/>
        </w:rPr>
        <w:t xml:space="preserve">1.  PI, Invega </w:t>
      </w:r>
      <w:proofErr w:type="spellStart"/>
      <w:r w:rsidRPr="00FA3F9C">
        <w:rPr>
          <w:rFonts w:ascii="Arial" w:hAnsi="Arial" w:cs="Arial"/>
          <w:sz w:val="24"/>
          <w:szCs w:val="24"/>
        </w:rPr>
        <w:t>Trinza</w:t>
      </w:r>
      <w:proofErr w:type="spellEnd"/>
      <w:r w:rsidRPr="00FA3F9C">
        <w:rPr>
          <w:rFonts w:ascii="Arial" w:hAnsi="Arial" w:cs="Arial"/>
          <w:sz w:val="24"/>
          <w:szCs w:val="24"/>
        </w:rPr>
        <w:t>, accessed 10/29/15.</w:t>
      </w:r>
    </w:p>
    <w:p w14:paraId="26875353" w14:textId="77777777" w:rsidR="009B5AA5" w:rsidRPr="00FA3F9C" w:rsidRDefault="009B5AA5" w:rsidP="00EF3B65">
      <w:pPr>
        <w:pStyle w:val="Heading2"/>
      </w:pPr>
      <w:bookmarkStart w:id="249" w:name="_Toc106369886"/>
      <w:r w:rsidRPr="00FA3F9C">
        <w:t xml:space="preserve">Paliperidone </w:t>
      </w:r>
      <w:proofErr w:type="gramStart"/>
      <w:r w:rsidRPr="00FA3F9C">
        <w:t>Extended Release</w:t>
      </w:r>
      <w:proofErr w:type="gramEnd"/>
      <w:r w:rsidRPr="00FA3F9C">
        <w:t xml:space="preserve"> ORAL tablets (Invega ER oral)</w:t>
      </w:r>
      <w:bookmarkEnd w:id="249"/>
    </w:p>
    <w:p w14:paraId="30945E69" w14:textId="6D9BA7B0" w:rsidR="009B5AA5" w:rsidRDefault="009B5AA5" w:rsidP="00412F5C">
      <w:pPr>
        <w:jc w:val="center"/>
        <w:rPr>
          <w:rFonts w:ascii="Arial" w:hAnsi="Arial" w:cs="Arial"/>
          <w:sz w:val="24"/>
          <w:szCs w:val="24"/>
        </w:rPr>
      </w:pPr>
      <w:r w:rsidRPr="00FA3F9C">
        <w:rPr>
          <w:rFonts w:ascii="Arial" w:hAnsi="Arial" w:cs="Arial"/>
          <w:sz w:val="24"/>
          <w:szCs w:val="24"/>
        </w:rPr>
        <w:t>1.5mg, 3mg, 6mg, 9mg tablets</w:t>
      </w:r>
    </w:p>
    <w:p w14:paraId="6385D15F" w14:textId="77777777" w:rsidR="00EF3B65" w:rsidRPr="00FA3F9C" w:rsidRDefault="00EF3B65" w:rsidP="00EF3B65">
      <w:pPr>
        <w:jc w:val="center"/>
        <w:rPr>
          <w:rFonts w:ascii="Arial" w:hAnsi="Arial" w:cs="Arial"/>
          <w:sz w:val="24"/>
          <w:szCs w:val="24"/>
        </w:rPr>
      </w:pPr>
      <w:r w:rsidRPr="00FA3F9C">
        <w:rPr>
          <w:rFonts w:ascii="Arial" w:hAnsi="Arial" w:cs="Arial"/>
          <w:sz w:val="24"/>
          <w:szCs w:val="24"/>
        </w:rPr>
        <w:t>EBRx PA Criteria</w:t>
      </w:r>
    </w:p>
    <w:p w14:paraId="077D0DC4" w14:textId="77777777" w:rsidR="00EF3B65" w:rsidRPr="00FA3F9C" w:rsidRDefault="00EF3B65" w:rsidP="00412F5C">
      <w:pPr>
        <w:jc w:val="center"/>
        <w:rPr>
          <w:rFonts w:ascii="Arial" w:hAnsi="Arial" w:cs="Arial"/>
          <w:sz w:val="24"/>
          <w:szCs w:val="24"/>
        </w:rPr>
      </w:pPr>
    </w:p>
    <w:p w14:paraId="46F6B205" w14:textId="77777777" w:rsidR="009B5AA5" w:rsidRPr="00FA3F9C" w:rsidRDefault="009B5AA5" w:rsidP="00412F5C">
      <w:pPr>
        <w:jc w:val="center"/>
        <w:rPr>
          <w:rFonts w:ascii="Arial" w:hAnsi="Arial" w:cs="Arial"/>
          <w:sz w:val="24"/>
          <w:szCs w:val="24"/>
        </w:rPr>
      </w:pPr>
    </w:p>
    <w:p w14:paraId="0118356C" w14:textId="77777777" w:rsidR="009B5AA5" w:rsidRPr="00FA3F9C" w:rsidRDefault="009B5AA5" w:rsidP="00412F5C">
      <w:pPr>
        <w:jc w:val="center"/>
        <w:rPr>
          <w:rFonts w:ascii="Arial" w:hAnsi="Arial" w:cs="Arial"/>
          <w:sz w:val="24"/>
          <w:szCs w:val="24"/>
        </w:rPr>
      </w:pPr>
    </w:p>
    <w:tbl>
      <w:tblPr>
        <w:tblStyle w:val="TableGrid"/>
        <w:tblW w:w="0" w:type="auto"/>
        <w:tblLook w:val="04A0" w:firstRow="1" w:lastRow="0" w:firstColumn="1" w:lastColumn="0" w:noHBand="0" w:noVBand="1"/>
      </w:tblPr>
      <w:tblGrid>
        <w:gridCol w:w="10638"/>
      </w:tblGrid>
      <w:tr w:rsidR="009B5AA5" w:rsidRPr="00FA3F9C" w14:paraId="05EA1C8F" w14:textId="77777777" w:rsidTr="008F3121">
        <w:tc>
          <w:tcPr>
            <w:tcW w:w="10638" w:type="dxa"/>
            <w:shd w:val="clear" w:color="auto" w:fill="000000"/>
          </w:tcPr>
          <w:p w14:paraId="18C62E47" w14:textId="77777777" w:rsidR="009B5AA5" w:rsidRPr="00FA3F9C" w:rsidRDefault="009B5AA5" w:rsidP="00412F5C">
            <w:pPr>
              <w:rPr>
                <w:rFonts w:ascii="Arial" w:hAnsi="Arial" w:cs="Arial"/>
                <w:sz w:val="24"/>
                <w:szCs w:val="24"/>
              </w:rPr>
            </w:pPr>
            <w:r w:rsidRPr="00FA3F9C">
              <w:rPr>
                <w:rFonts w:ascii="Arial" w:hAnsi="Arial" w:cs="Arial"/>
                <w:sz w:val="24"/>
                <w:szCs w:val="24"/>
              </w:rPr>
              <w:t>Initial Access</w:t>
            </w:r>
          </w:p>
        </w:tc>
      </w:tr>
      <w:tr w:rsidR="009B5AA5" w:rsidRPr="00FA3F9C" w14:paraId="67B586E4" w14:textId="77777777" w:rsidTr="00412F5C">
        <w:tc>
          <w:tcPr>
            <w:tcW w:w="10638" w:type="dxa"/>
          </w:tcPr>
          <w:p w14:paraId="015652DD" w14:textId="77777777" w:rsidR="009B5AA5" w:rsidRPr="00FA3F9C" w:rsidRDefault="009B5AA5" w:rsidP="00BC10D6">
            <w:pPr>
              <w:rPr>
                <w:rFonts w:ascii="Arial" w:hAnsi="Arial" w:cs="Arial"/>
                <w:sz w:val="24"/>
                <w:szCs w:val="24"/>
              </w:rPr>
            </w:pPr>
            <w:r w:rsidRPr="00FA3F9C">
              <w:rPr>
                <w:rFonts w:ascii="Arial" w:hAnsi="Arial" w:cs="Arial"/>
                <w:sz w:val="24"/>
                <w:szCs w:val="24"/>
              </w:rPr>
              <w:t>1.  Requires the patient to have a diagnosis of schizophrenia or schizoaffective disorder.</w:t>
            </w:r>
          </w:p>
        </w:tc>
      </w:tr>
      <w:tr w:rsidR="009B5AA5" w:rsidRPr="00FA3F9C" w14:paraId="654DA8EE" w14:textId="77777777" w:rsidTr="00412F5C">
        <w:tc>
          <w:tcPr>
            <w:tcW w:w="10638" w:type="dxa"/>
          </w:tcPr>
          <w:p w14:paraId="3A04CD88" w14:textId="77777777" w:rsidR="009B5AA5" w:rsidRPr="00FA3F9C" w:rsidRDefault="009B5AA5" w:rsidP="003904FA">
            <w:pPr>
              <w:rPr>
                <w:rFonts w:ascii="Arial" w:hAnsi="Arial" w:cs="Arial"/>
                <w:sz w:val="24"/>
                <w:szCs w:val="24"/>
              </w:rPr>
            </w:pPr>
            <w:r w:rsidRPr="00FA3F9C">
              <w:rPr>
                <w:rFonts w:ascii="Arial" w:hAnsi="Arial" w:cs="Arial"/>
                <w:sz w:val="24"/>
                <w:szCs w:val="24"/>
              </w:rPr>
              <w:t xml:space="preserve">2.  Must have a </w:t>
            </w:r>
            <w:proofErr w:type="gramStart"/>
            <w:r w:rsidRPr="00FA3F9C">
              <w:rPr>
                <w:rFonts w:ascii="Arial" w:hAnsi="Arial" w:cs="Arial"/>
                <w:sz w:val="24"/>
                <w:szCs w:val="24"/>
              </w:rPr>
              <w:t>history intolerable extrapyramidal symptoms</w:t>
            </w:r>
            <w:proofErr w:type="gramEnd"/>
            <w:r w:rsidRPr="00FA3F9C">
              <w:rPr>
                <w:rFonts w:ascii="Arial" w:hAnsi="Arial" w:cs="Arial"/>
                <w:sz w:val="24"/>
                <w:szCs w:val="24"/>
              </w:rPr>
              <w:t xml:space="preserve"> not responsive to benztropine, trihexyphenidyl, or propranolol in the medical records; look back 5 years or as long as our profile’s history and as long a history available in the medical records.</w:t>
            </w:r>
          </w:p>
        </w:tc>
      </w:tr>
      <w:tr w:rsidR="009B5AA5" w:rsidRPr="00FA3F9C" w14:paraId="68621FD9" w14:textId="77777777" w:rsidTr="00412F5C">
        <w:tc>
          <w:tcPr>
            <w:tcW w:w="10638" w:type="dxa"/>
          </w:tcPr>
          <w:p w14:paraId="6F569A16" w14:textId="77777777" w:rsidR="009B5AA5" w:rsidRPr="00FA3F9C" w:rsidRDefault="009B5AA5" w:rsidP="00A224F2">
            <w:pPr>
              <w:rPr>
                <w:rFonts w:ascii="Arial" w:hAnsi="Arial" w:cs="Arial"/>
                <w:sz w:val="24"/>
                <w:szCs w:val="24"/>
              </w:rPr>
            </w:pPr>
            <w:r w:rsidRPr="00FA3F9C">
              <w:rPr>
                <w:rFonts w:ascii="Arial" w:hAnsi="Arial" w:cs="Arial"/>
                <w:sz w:val="24"/>
                <w:szCs w:val="24"/>
              </w:rPr>
              <w:t>3.  Must have taken risperidone in the past 90 days and developed EPS.</w:t>
            </w:r>
          </w:p>
        </w:tc>
      </w:tr>
      <w:tr w:rsidR="009B5AA5" w:rsidRPr="00FA3F9C" w14:paraId="3ED08628" w14:textId="77777777" w:rsidTr="00412F5C">
        <w:tc>
          <w:tcPr>
            <w:tcW w:w="10638" w:type="dxa"/>
          </w:tcPr>
          <w:p w14:paraId="176CAA5E" w14:textId="77777777" w:rsidR="009B5AA5" w:rsidRPr="00FA3F9C" w:rsidRDefault="009B5AA5" w:rsidP="003904FA">
            <w:pPr>
              <w:rPr>
                <w:rFonts w:ascii="Arial" w:hAnsi="Arial" w:cs="Arial"/>
                <w:sz w:val="24"/>
                <w:szCs w:val="24"/>
              </w:rPr>
            </w:pPr>
            <w:r w:rsidRPr="00FA3F9C">
              <w:rPr>
                <w:rFonts w:ascii="Arial" w:hAnsi="Arial" w:cs="Arial"/>
                <w:sz w:val="24"/>
                <w:szCs w:val="24"/>
              </w:rPr>
              <w:t xml:space="preserve">If </w:t>
            </w:r>
            <w:proofErr w:type="gramStart"/>
            <w:r w:rsidRPr="00FA3F9C">
              <w:rPr>
                <w:rFonts w:ascii="Arial" w:hAnsi="Arial" w:cs="Arial"/>
                <w:sz w:val="24"/>
                <w:szCs w:val="24"/>
              </w:rPr>
              <w:t>all of</w:t>
            </w:r>
            <w:proofErr w:type="gramEnd"/>
            <w:r w:rsidRPr="00FA3F9C">
              <w:rPr>
                <w:rFonts w:ascii="Arial" w:hAnsi="Arial" w:cs="Arial"/>
                <w:sz w:val="24"/>
                <w:szCs w:val="24"/>
              </w:rPr>
              <w:t xml:space="preserve"> these criteria are fulfilled, approve for 12 months.</w:t>
            </w:r>
          </w:p>
        </w:tc>
      </w:tr>
    </w:tbl>
    <w:p w14:paraId="60B7743C" w14:textId="77777777" w:rsidR="009B5AA5" w:rsidRPr="00FA3F9C" w:rsidRDefault="009B5AA5" w:rsidP="009B5AA5">
      <w:pPr>
        <w:pStyle w:val="ListParagraph"/>
        <w:numPr>
          <w:ilvl w:val="0"/>
          <w:numId w:val="21"/>
        </w:numPr>
        <w:spacing w:after="0" w:line="240" w:lineRule="auto"/>
        <w:rPr>
          <w:rFonts w:ascii="Arial" w:hAnsi="Arial" w:cs="Arial"/>
          <w:sz w:val="24"/>
          <w:szCs w:val="24"/>
        </w:rPr>
      </w:pPr>
      <w:r w:rsidRPr="00FA3F9C">
        <w:rPr>
          <w:rFonts w:ascii="Arial" w:hAnsi="Arial" w:cs="Arial"/>
          <w:sz w:val="24"/>
          <w:szCs w:val="24"/>
        </w:rPr>
        <w:t xml:space="preserve">No concurrent </w:t>
      </w:r>
      <w:proofErr w:type="spellStart"/>
      <w:proofErr w:type="gramStart"/>
      <w:r w:rsidRPr="00FA3F9C">
        <w:rPr>
          <w:rFonts w:ascii="Arial" w:hAnsi="Arial" w:cs="Arial"/>
          <w:sz w:val="24"/>
          <w:szCs w:val="24"/>
        </w:rPr>
        <w:t>days</w:t>
      </w:r>
      <w:proofErr w:type="spellEnd"/>
      <w:proofErr w:type="gramEnd"/>
      <w:r w:rsidRPr="00FA3F9C">
        <w:rPr>
          <w:rFonts w:ascii="Arial" w:hAnsi="Arial" w:cs="Arial"/>
          <w:sz w:val="24"/>
          <w:szCs w:val="24"/>
        </w:rPr>
        <w:t xml:space="preserve"> supply of therapeutic duplication with other forms of paliperidone, risperidone, olanzapine, quetiapine, ziprasidone, chlorpromazine, haloperidol, trifluoperazine, prochlorperazine, thioridazine, thiothixene, aripiprazole, or </w:t>
      </w:r>
      <w:proofErr w:type="spellStart"/>
      <w:r w:rsidRPr="00FA3F9C">
        <w:rPr>
          <w:rFonts w:ascii="Arial" w:hAnsi="Arial" w:cs="Arial"/>
          <w:sz w:val="24"/>
          <w:szCs w:val="24"/>
        </w:rPr>
        <w:t>brexpiprazole</w:t>
      </w:r>
      <w:proofErr w:type="spellEnd"/>
      <w:r w:rsidRPr="00FA3F9C">
        <w:rPr>
          <w:rFonts w:ascii="Arial" w:hAnsi="Arial" w:cs="Arial"/>
          <w:sz w:val="24"/>
          <w:szCs w:val="24"/>
        </w:rPr>
        <w:t>.</w:t>
      </w:r>
    </w:p>
    <w:p w14:paraId="78F31B7A" w14:textId="77777777" w:rsidR="009B5AA5" w:rsidRPr="00FA3F9C" w:rsidRDefault="009B5AA5" w:rsidP="009B5AA5">
      <w:pPr>
        <w:pStyle w:val="ListParagraph"/>
        <w:numPr>
          <w:ilvl w:val="0"/>
          <w:numId w:val="21"/>
        </w:numPr>
        <w:spacing w:after="0" w:line="240" w:lineRule="auto"/>
        <w:rPr>
          <w:rFonts w:ascii="Arial" w:hAnsi="Arial" w:cs="Arial"/>
          <w:sz w:val="24"/>
          <w:szCs w:val="24"/>
        </w:rPr>
      </w:pPr>
      <w:r w:rsidRPr="00FA3F9C">
        <w:rPr>
          <w:rFonts w:ascii="Arial" w:hAnsi="Arial" w:cs="Arial"/>
          <w:sz w:val="24"/>
          <w:szCs w:val="24"/>
        </w:rPr>
        <w:t>Deny if the patient is taking concurrent risperidone.</w:t>
      </w:r>
    </w:p>
    <w:p w14:paraId="217216ED" w14:textId="77777777" w:rsidR="009B5AA5" w:rsidRPr="00FA3F9C" w:rsidRDefault="009B5AA5" w:rsidP="00857F03">
      <w:pPr>
        <w:rPr>
          <w:rFonts w:ascii="Arial" w:hAnsi="Arial" w:cs="Arial"/>
          <w:sz w:val="24"/>
          <w:szCs w:val="24"/>
        </w:rPr>
      </w:pPr>
    </w:p>
    <w:p w14:paraId="30E64276" w14:textId="77777777" w:rsidR="009B5AA5" w:rsidRPr="00FA3F9C" w:rsidRDefault="009B5AA5" w:rsidP="00857F03">
      <w:pPr>
        <w:rPr>
          <w:rFonts w:ascii="Arial" w:hAnsi="Arial" w:cs="Arial"/>
          <w:sz w:val="24"/>
          <w:szCs w:val="24"/>
        </w:rPr>
      </w:pPr>
    </w:p>
    <w:p w14:paraId="0C9083D5" w14:textId="77777777" w:rsidR="009B5AA5" w:rsidRPr="00FA3F9C" w:rsidRDefault="009B5AA5" w:rsidP="00857F03">
      <w:pPr>
        <w:rPr>
          <w:rFonts w:ascii="Arial" w:hAnsi="Arial" w:cs="Arial"/>
          <w:sz w:val="24"/>
          <w:szCs w:val="24"/>
        </w:rPr>
      </w:pPr>
      <w:r w:rsidRPr="00FA3F9C">
        <w:rPr>
          <w:rFonts w:ascii="Arial" w:hAnsi="Arial" w:cs="Arial"/>
          <w:sz w:val="24"/>
          <w:szCs w:val="24"/>
        </w:rPr>
        <w:t>Ref:</w:t>
      </w:r>
    </w:p>
    <w:p w14:paraId="1F1E497D" w14:textId="77777777" w:rsidR="009B5AA5" w:rsidRPr="00FA3F9C" w:rsidRDefault="009B5AA5" w:rsidP="00857F03">
      <w:pPr>
        <w:rPr>
          <w:rFonts w:ascii="Arial" w:hAnsi="Arial" w:cs="Arial"/>
          <w:sz w:val="24"/>
          <w:szCs w:val="24"/>
        </w:rPr>
      </w:pPr>
      <w:r w:rsidRPr="00FA3F9C">
        <w:rPr>
          <w:rFonts w:ascii="Arial" w:hAnsi="Arial" w:cs="Arial"/>
          <w:sz w:val="24"/>
          <w:szCs w:val="24"/>
        </w:rPr>
        <w:t>1.  PI Invega. Accessed 10/30/15.</w:t>
      </w:r>
    </w:p>
    <w:p w14:paraId="67F60258" w14:textId="77777777" w:rsidR="009B5AA5" w:rsidRPr="00FA3F9C" w:rsidRDefault="009B5AA5" w:rsidP="00857F03">
      <w:pPr>
        <w:rPr>
          <w:rFonts w:ascii="Arial" w:hAnsi="Arial" w:cs="Arial"/>
          <w:sz w:val="24"/>
          <w:szCs w:val="24"/>
        </w:rPr>
      </w:pPr>
    </w:p>
    <w:p w14:paraId="63C4E42D" w14:textId="77777777" w:rsidR="009B5AA5" w:rsidRPr="00FA3F9C" w:rsidRDefault="009B5AA5" w:rsidP="00857F03">
      <w:pPr>
        <w:rPr>
          <w:rFonts w:ascii="Arial" w:hAnsi="Arial" w:cs="Arial"/>
          <w:sz w:val="24"/>
          <w:szCs w:val="24"/>
        </w:rPr>
      </w:pPr>
    </w:p>
    <w:p w14:paraId="13727601" w14:textId="77777777" w:rsidR="009B5AA5" w:rsidRPr="00FA3F9C" w:rsidRDefault="009B5AA5" w:rsidP="00857F03">
      <w:pPr>
        <w:rPr>
          <w:rFonts w:ascii="Arial" w:hAnsi="Arial" w:cs="Arial"/>
          <w:sz w:val="24"/>
          <w:szCs w:val="24"/>
        </w:rPr>
      </w:pPr>
    </w:p>
    <w:p w14:paraId="2925CE2B" w14:textId="77777777" w:rsidR="009B5AA5" w:rsidRPr="00FA3F9C" w:rsidRDefault="009B5AA5" w:rsidP="00857F03">
      <w:pPr>
        <w:rPr>
          <w:rFonts w:ascii="Arial" w:hAnsi="Arial" w:cs="Arial"/>
          <w:sz w:val="24"/>
          <w:szCs w:val="24"/>
        </w:rPr>
      </w:pPr>
    </w:p>
    <w:tbl>
      <w:tblPr>
        <w:tblStyle w:val="TableGrid"/>
        <w:tblW w:w="0" w:type="auto"/>
        <w:tblLook w:val="04A0" w:firstRow="1" w:lastRow="0" w:firstColumn="1" w:lastColumn="0" w:noHBand="0" w:noVBand="1"/>
      </w:tblPr>
      <w:tblGrid>
        <w:gridCol w:w="1278"/>
        <w:gridCol w:w="7290"/>
        <w:gridCol w:w="2448"/>
      </w:tblGrid>
      <w:tr w:rsidR="009B5AA5" w:rsidRPr="00FA3F9C" w14:paraId="2AB19A30" w14:textId="77777777" w:rsidTr="009F1EDE">
        <w:tc>
          <w:tcPr>
            <w:tcW w:w="1278" w:type="dxa"/>
          </w:tcPr>
          <w:p w14:paraId="2A631E3D" w14:textId="77777777" w:rsidR="009B5AA5" w:rsidRPr="00FA3F9C" w:rsidRDefault="009B5AA5" w:rsidP="00857F03">
            <w:pPr>
              <w:rPr>
                <w:rFonts w:ascii="Arial" w:hAnsi="Arial" w:cs="Arial"/>
                <w:sz w:val="24"/>
                <w:szCs w:val="24"/>
              </w:rPr>
            </w:pPr>
            <w:r w:rsidRPr="00FA3F9C">
              <w:rPr>
                <w:rFonts w:ascii="Arial" w:hAnsi="Arial" w:cs="Arial"/>
                <w:sz w:val="24"/>
                <w:szCs w:val="24"/>
              </w:rPr>
              <w:t>Date</w:t>
            </w:r>
          </w:p>
        </w:tc>
        <w:tc>
          <w:tcPr>
            <w:tcW w:w="7290" w:type="dxa"/>
          </w:tcPr>
          <w:p w14:paraId="378BE31A" w14:textId="77777777" w:rsidR="009B5AA5" w:rsidRPr="00FA3F9C" w:rsidRDefault="009B5AA5" w:rsidP="00857F03">
            <w:pPr>
              <w:rPr>
                <w:rFonts w:ascii="Arial" w:hAnsi="Arial" w:cs="Arial"/>
                <w:sz w:val="24"/>
                <w:szCs w:val="24"/>
              </w:rPr>
            </w:pPr>
            <w:r w:rsidRPr="00FA3F9C">
              <w:rPr>
                <w:rFonts w:ascii="Arial" w:hAnsi="Arial" w:cs="Arial"/>
                <w:sz w:val="24"/>
                <w:szCs w:val="24"/>
              </w:rPr>
              <w:t>What was changed?</w:t>
            </w:r>
          </w:p>
        </w:tc>
        <w:tc>
          <w:tcPr>
            <w:tcW w:w="2448" w:type="dxa"/>
          </w:tcPr>
          <w:p w14:paraId="0C94273A" w14:textId="77777777" w:rsidR="009B5AA5" w:rsidRPr="00FA3F9C" w:rsidRDefault="009B5AA5" w:rsidP="00857F03">
            <w:pPr>
              <w:rPr>
                <w:rFonts w:ascii="Arial" w:hAnsi="Arial" w:cs="Arial"/>
                <w:sz w:val="24"/>
                <w:szCs w:val="24"/>
              </w:rPr>
            </w:pPr>
            <w:r w:rsidRPr="00FA3F9C">
              <w:rPr>
                <w:rFonts w:ascii="Arial" w:hAnsi="Arial" w:cs="Arial"/>
                <w:sz w:val="24"/>
                <w:szCs w:val="24"/>
              </w:rPr>
              <w:t>Pharmacist’s initials</w:t>
            </w:r>
          </w:p>
        </w:tc>
      </w:tr>
      <w:tr w:rsidR="009B5AA5" w:rsidRPr="00FA3F9C" w14:paraId="70C62A56" w14:textId="77777777" w:rsidTr="009F1EDE">
        <w:tc>
          <w:tcPr>
            <w:tcW w:w="1278" w:type="dxa"/>
          </w:tcPr>
          <w:p w14:paraId="7A74ED2A" w14:textId="77777777" w:rsidR="009B5AA5" w:rsidRPr="00FA3F9C" w:rsidRDefault="009B5AA5" w:rsidP="00BC10D6">
            <w:pPr>
              <w:rPr>
                <w:rFonts w:ascii="Arial" w:hAnsi="Arial" w:cs="Arial"/>
                <w:sz w:val="24"/>
                <w:szCs w:val="24"/>
              </w:rPr>
            </w:pPr>
            <w:r w:rsidRPr="00FA3F9C">
              <w:rPr>
                <w:rFonts w:ascii="Arial" w:hAnsi="Arial" w:cs="Arial"/>
                <w:sz w:val="24"/>
                <w:szCs w:val="24"/>
              </w:rPr>
              <w:t>10/30/15</w:t>
            </w:r>
          </w:p>
        </w:tc>
        <w:tc>
          <w:tcPr>
            <w:tcW w:w="7290" w:type="dxa"/>
          </w:tcPr>
          <w:p w14:paraId="72BB5A44" w14:textId="77777777" w:rsidR="009B5AA5" w:rsidRPr="00FA3F9C" w:rsidRDefault="009B5AA5" w:rsidP="00857F03">
            <w:pPr>
              <w:rPr>
                <w:rFonts w:ascii="Arial" w:hAnsi="Arial" w:cs="Arial"/>
                <w:sz w:val="24"/>
                <w:szCs w:val="24"/>
              </w:rPr>
            </w:pPr>
            <w:r w:rsidRPr="00FA3F9C">
              <w:rPr>
                <w:rFonts w:ascii="Arial" w:hAnsi="Arial" w:cs="Arial"/>
                <w:sz w:val="24"/>
                <w:szCs w:val="24"/>
              </w:rPr>
              <w:t>I wrote the criteria.</w:t>
            </w:r>
          </w:p>
        </w:tc>
        <w:tc>
          <w:tcPr>
            <w:tcW w:w="2448" w:type="dxa"/>
          </w:tcPr>
          <w:p w14:paraId="1882E634" w14:textId="14DC9741" w:rsidR="009B5AA5" w:rsidRPr="00FA3F9C" w:rsidRDefault="005C142D" w:rsidP="00857F03">
            <w:pPr>
              <w:rPr>
                <w:rFonts w:ascii="Arial" w:hAnsi="Arial" w:cs="Arial"/>
                <w:sz w:val="24"/>
                <w:szCs w:val="24"/>
              </w:rPr>
            </w:pPr>
            <w:r w:rsidRPr="00FA3F9C">
              <w:rPr>
                <w:rFonts w:ascii="Arial" w:hAnsi="Arial" w:cs="Arial"/>
                <w:sz w:val="24"/>
                <w:szCs w:val="24"/>
              </w:rPr>
              <w:t>JJ</w:t>
            </w:r>
          </w:p>
        </w:tc>
      </w:tr>
      <w:tr w:rsidR="009B5AA5" w:rsidRPr="00FA3F9C" w14:paraId="239E70C4" w14:textId="77777777" w:rsidTr="009F1EDE">
        <w:tc>
          <w:tcPr>
            <w:tcW w:w="1278" w:type="dxa"/>
          </w:tcPr>
          <w:p w14:paraId="7D531016" w14:textId="77777777" w:rsidR="009B5AA5" w:rsidRPr="00FA3F9C" w:rsidRDefault="009B5AA5" w:rsidP="00857F03">
            <w:pPr>
              <w:rPr>
                <w:rFonts w:ascii="Arial" w:hAnsi="Arial" w:cs="Arial"/>
                <w:sz w:val="24"/>
                <w:szCs w:val="24"/>
              </w:rPr>
            </w:pPr>
          </w:p>
        </w:tc>
        <w:tc>
          <w:tcPr>
            <w:tcW w:w="7290" w:type="dxa"/>
          </w:tcPr>
          <w:p w14:paraId="769D1D17" w14:textId="77777777" w:rsidR="009B5AA5" w:rsidRPr="00FA3F9C" w:rsidRDefault="009B5AA5" w:rsidP="00857F03">
            <w:pPr>
              <w:rPr>
                <w:rFonts w:ascii="Arial" w:hAnsi="Arial" w:cs="Arial"/>
                <w:sz w:val="24"/>
                <w:szCs w:val="24"/>
              </w:rPr>
            </w:pPr>
          </w:p>
        </w:tc>
        <w:tc>
          <w:tcPr>
            <w:tcW w:w="2448" w:type="dxa"/>
          </w:tcPr>
          <w:p w14:paraId="0471FA5D" w14:textId="77777777" w:rsidR="009B5AA5" w:rsidRPr="00FA3F9C" w:rsidRDefault="009B5AA5" w:rsidP="00857F03">
            <w:pPr>
              <w:rPr>
                <w:rFonts w:ascii="Arial" w:hAnsi="Arial" w:cs="Arial"/>
                <w:sz w:val="24"/>
                <w:szCs w:val="24"/>
              </w:rPr>
            </w:pPr>
          </w:p>
        </w:tc>
      </w:tr>
    </w:tbl>
    <w:p w14:paraId="1058E4C6" w14:textId="77777777" w:rsidR="009B5AA5" w:rsidRPr="00FA3F9C" w:rsidRDefault="009B5AA5" w:rsidP="00857F03">
      <w:pPr>
        <w:rPr>
          <w:rFonts w:ascii="Arial" w:hAnsi="Arial" w:cs="Arial"/>
          <w:sz w:val="24"/>
          <w:szCs w:val="24"/>
        </w:rPr>
      </w:pPr>
    </w:p>
    <w:p w14:paraId="3D4D440A" w14:textId="77777777" w:rsidR="009B5AA5" w:rsidRPr="00FA3F9C" w:rsidRDefault="009B5AA5" w:rsidP="00857F03">
      <w:pPr>
        <w:rPr>
          <w:rFonts w:ascii="Arial" w:hAnsi="Arial" w:cs="Arial"/>
          <w:sz w:val="24"/>
          <w:szCs w:val="24"/>
        </w:rPr>
      </w:pPr>
      <w:r w:rsidRPr="00FA3F9C">
        <w:rPr>
          <w:rFonts w:ascii="Arial" w:hAnsi="Arial" w:cs="Arial"/>
          <w:sz w:val="24"/>
          <w:szCs w:val="24"/>
        </w:rPr>
        <w:t>References</w:t>
      </w:r>
    </w:p>
    <w:p w14:paraId="583811BE" w14:textId="77777777" w:rsidR="009B5AA5" w:rsidRPr="00FA3F9C" w:rsidRDefault="009B5AA5" w:rsidP="00857F03">
      <w:pPr>
        <w:rPr>
          <w:rFonts w:ascii="Arial" w:hAnsi="Arial" w:cs="Arial"/>
          <w:sz w:val="24"/>
          <w:szCs w:val="24"/>
        </w:rPr>
      </w:pPr>
      <w:r w:rsidRPr="00FA3F9C">
        <w:rPr>
          <w:rFonts w:ascii="Arial" w:hAnsi="Arial" w:cs="Arial"/>
          <w:sz w:val="24"/>
          <w:szCs w:val="24"/>
        </w:rPr>
        <w:lastRenderedPageBreak/>
        <w:t>1.  PI, Invega. Accessed 10/29/15.</w:t>
      </w:r>
    </w:p>
    <w:p w14:paraId="5D8F8B38" w14:textId="77777777" w:rsidR="009B5AA5" w:rsidRPr="00FA3F9C" w:rsidRDefault="009B5AA5" w:rsidP="00EF3B65">
      <w:pPr>
        <w:pStyle w:val="Heading2"/>
      </w:pPr>
      <w:bookmarkStart w:id="250" w:name="_Toc106369887"/>
      <w:r w:rsidRPr="00FA3F9C">
        <w:t xml:space="preserve">Paliperidone Palmitate Extended Release 3-month injection (Invega </w:t>
      </w:r>
      <w:proofErr w:type="spellStart"/>
      <w:r w:rsidRPr="00FA3F9C">
        <w:t>Trinza</w:t>
      </w:r>
      <w:proofErr w:type="spellEnd"/>
      <w:r w:rsidRPr="00FA3F9C">
        <w:t>)</w:t>
      </w:r>
      <w:bookmarkEnd w:id="250"/>
    </w:p>
    <w:p w14:paraId="66DCC725" w14:textId="07E8D6FE" w:rsidR="009B5AA5" w:rsidRPr="00222A23" w:rsidRDefault="009B5AA5" w:rsidP="00412F5C">
      <w:pPr>
        <w:jc w:val="center"/>
        <w:rPr>
          <w:rFonts w:ascii="Arial" w:hAnsi="Arial" w:cs="Arial"/>
          <w:sz w:val="24"/>
          <w:szCs w:val="24"/>
          <w:lang w:val="es-ES"/>
        </w:rPr>
      </w:pPr>
      <w:r w:rsidRPr="00222A23">
        <w:rPr>
          <w:rFonts w:ascii="Arial" w:hAnsi="Arial" w:cs="Arial"/>
          <w:sz w:val="24"/>
          <w:szCs w:val="24"/>
          <w:lang w:val="es-ES"/>
        </w:rPr>
        <w:t>273mg, 410mg, 546mg, 819mg</w:t>
      </w:r>
    </w:p>
    <w:p w14:paraId="49C80687" w14:textId="77777777" w:rsidR="00EF3B65" w:rsidRPr="00222A23" w:rsidRDefault="00EF3B65" w:rsidP="00EF3B65">
      <w:pPr>
        <w:jc w:val="center"/>
        <w:rPr>
          <w:rFonts w:ascii="Arial" w:hAnsi="Arial" w:cs="Arial"/>
          <w:sz w:val="24"/>
          <w:szCs w:val="24"/>
          <w:lang w:val="es-ES"/>
        </w:rPr>
      </w:pPr>
      <w:r w:rsidRPr="00222A23">
        <w:rPr>
          <w:rFonts w:ascii="Arial" w:hAnsi="Arial" w:cs="Arial"/>
          <w:sz w:val="24"/>
          <w:szCs w:val="24"/>
          <w:lang w:val="es-ES"/>
        </w:rPr>
        <w:t xml:space="preserve">EBRx PA </w:t>
      </w:r>
      <w:proofErr w:type="spellStart"/>
      <w:r w:rsidRPr="00222A23">
        <w:rPr>
          <w:rFonts w:ascii="Arial" w:hAnsi="Arial" w:cs="Arial"/>
          <w:sz w:val="24"/>
          <w:szCs w:val="24"/>
          <w:lang w:val="es-ES"/>
        </w:rPr>
        <w:t>Criteria</w:t>
      </w:r>
      <w:proofErr w:type="spellEnd"/>
    </w:p>
    <w:p w14:paraId="0A8C7743" w14:textId="77777777" w:rsidR="00EF3B65" w:rsidRPr="00222A23" w:rsidRDefault="00EF3B65" w:rsidP="00412F5C">
      <w:pPr>
        <w:jc w:val="center"/>
        <w:rPr>
          <w:rFonts w:ascii="Arial" w:hAnsi="Arial" w:cs="Arial"/>
          <w:sz w:val="24"/>
          <w:szCs w:val="24"/>
          <w:lang w:val="es-ES"/>
        </w:rPr>
      </w:pPr>
    </w:p>
    <w:p w14:paraId="3ED0D48C" w14:textId="77777777" w:rsidR="009B5AA5" w:rsidRPr="00222A23" w:rsidRDefault="009B5AA5" w:rsidP="00412F5C">
      <w:pPr>
        <w:jc w:val="center"/>
        <w:rPr>
          <w:rFonts w:ascii="Arial" w:hAnsi="Arial" w:cs="Arial"/>
          <w:sz w:val="24"/>
          <w:szCs w:val="24"/>
          <w:lang w:val="es-ES"/>
        </w:rPr>
      </w:pPr>
    </w:p>
    <w:p w14:paraId="6C76CD3B" w14:textId="77777777" w:rsidR="009B5AA5" w:rsidRPr="00222A23" w:rsidRDefault="009B5AA5" w:rsidP="00412F5C">
      <w:pPr>
        <w:jc w:val="center"/>
        <w:rPr>
          <w:rFonts w:ascii="Arial" w:hAnsi="Arial" w:cs="Arial"/>
          <w:sz w:val="24"/>
          <w:szCs w:val="24"/>
          <w:lang w:val="es-ES"/>
        </w:rPr>
      </w:pPr>
    </w:p>
    <w:tbl>
      <w:tblPr>
        <w:tblStyle w:val="TableGrid"/>
        <w:tblW w:w="0" w:type="auto"/>
        <w:tblLook w:val="04A0" w:firstRow="1" w:lastRow="0" w:firstColumn="1" w:lastColumn="0" w:noHBand="0" w:noVBand="1"/>
      </w:tblPr>
      <w:tblGrid>
        <w:gridCol w:w="10638"/>
      </w:tblGrid>
      <w:tr w:rsidR="009B5AA5" w:rsidRPr="00FA3F9C" w14:paraId="01988F39" w14:textId="77777777" w:rsidTr="008F3121">
        <w:tc>
          <w:tcPr>
            <w:tcW w:w="10638" w:type="dxa"/>
            <w:shd w:val="clear" w:color="auto" w:fill="000000"/>
          </w:tcPr>
          <w:p w14:paraId="24AC507D" w14:textId="77777777" w:rsidR="009B5AA5" w:rsidRPr="00FA3F9C" w:rsidRDefault="009B5AA5" w:rsidP="00412F5C">
            <w:pPr>
              <w:rPr>
                <w:rFonts w:ascii="Arial" w:hAnsi="Arial" w:cs="Arial"/>
                <w:sz w:val="24"/>
                <w:szCs w:val="24"/>
              </w:rPr>
            </w:pPr>
            <w:r w:rsidRPr="00FA3F9C">
              <w:rPr>
                <w:rFonts w:ascii="Arial" w:hAnsi="Arial" w:cs="Arial"/>
                <w:sz w:val="24"/>
                <w:szCs w:val="24"/>
              </w:rPr>
              <w:t>Initial Access</w:t>
            </w:r>
          </w:p>
        </w:tc>
      </w:tr>
      <w:tr w:rsidR="009B5AA5" w:rsidRPr="00FA3F9C" w14:paraId="2E90F045" w14:textId="77777777" w:rsidTr="00412F5C">
        <w:tc>
          <w:tcPr>
            <w:tcW w:w="10638" w:type="dxa"/>
          </w:tcPr>
          <w:p w14:paraId="54BB3FF1" w14:textId="77777777" w:rsidR="009B5AA5" w:rsidRPr="00FA3F9C" w:rsidRDefault="009B5AA5" w:rsidP="00412F5C">
            <w:pPr>
              <w:rPr>
                <w:rFonts w:ascii="Arial" w:hAnsi="Arial" w:cs="Arial"/>
                <w:sz w:val="24"/>
                <w:szCs w:val="24"/>
              </w:rPr>
            </w:pPr>
            <w:r w:rsidRPr="00FA3F9C">
              <w:rPr>
                <w:rFonts w:ascii="Arial" w:hAnsi="Arial" w:cs="Arial"/>
                <w:sz w:val="24"/>
                <w:szCs w:val="24"/>
              </w:rPr>
              <w:t>1.  Requires the patient to have a diagnosis of schizophrenia or psychosis.</w:t>
            </w:r>
          </w:p>
        </w:tc>
      </w:tr>
      <w:tr w:rsidR="009B5AA5" w:rsidRPr="00FA3F9C" w14:paraId="05706DAE" w14:textId="77777777" w:rsidTr="00412F5C">
        <w:tc>
          <w:tcPr>
            <w:tcW w:w="10638" w:type="dxa"/>
          </w:tcPr>
          <w:p w14:paraId="095E65B4" w14:textId="77777777" w:rsidR="009B5AA5" w:rsidRPr="00FA3F9C" w:rsidRDefault="009B5AA5" w:rsidP="00412F5C">
            <w:pPr>
              <w:rPr>
                <w:rFonts w:ascii="Arial" w:hAnsi="Arial" w:cs="Arial"/>
                <w:sz w:val="24"/>
                <w:szCs w:val="24"/>
              </w:rPr>
            </w:pPr>
            <w:r w:rsidRPr="00FA3F9C">
              <w:rPr>
                <w:rFonts w:ascii="Arial" w:hAnsi="Arial" w:cs="Arial"/>
                <w:sz w:val="24"/>
                <w:szCs w:val="24"/>
              </w:rPr>
              <w:t xml:space="preserve">2.  Requires the patient to have been adequately treated with Invega </w:t>
            </w:r>
            <w:proofErr w:type="spellStart"/>
            <w:r w:rsidRPr="00FA3F9C">
              <w:rPr>
                <w:rFonts w:ascii="Arial" w:hAnsi="Arial" w:cs="Arial"/>
                <w:sz w:val="24"/>
                <w:szCs w:val="24"/>
              </w:rPr>
              <w:t>Sustenna</w:t>
            </w:r>
            <w:proofErr w:type="spellEnd"/>
            <w:r w:rsidRPr="00FA3F9C">
              <w:rPr>
                <w:rFonts w:ascii="Arial" w:hAnsi="Arial" w:cs="Arial"/>
                <w:sz w:val="24"/>
                <w:szCs w:val="24"/>
              </w:rPr>
              <w:t xml:space="preserve"> (1-month) for at least the previous 4 months.</w:t>
            </w:r>
          </w:p>
        </w:tc>
      </w:tr>
      <w:tr w:rsidR="009B5AA5" w:rsidRPr="00FA3F9C" w14:paraId="53066D1C" w14:textId="77777777" w:rsidTr="00412F5C">
        <w:tc>
          <w:tcPr>
            <w:tcW w:w="10638" w:type="dxa"/>
          </w:tcPr>
          <w:p w14:paraId="452C6408" w14:textId="77777777" w:rsidR="009B5AA5" w:rsidRPr="00FA3F9C" w:rsidRDefault="009B5AA5" w:rsidP="009F1EDE">
            <w:pPr>
              <w:rPr>
                <w:rFonts w:ascii="Arial" w:hAnsi="Arial" w:cs="Arial"/>
                <w:sz w:val="24"/>
                <w:szCs w:val="24"/>
              </w:rPr>
            </w:pPr>
            <w:r w:rsidRPr="00FA3F9C">
              <w:rPr>
                <w:rFonts w:ascii="Arial" w:hAnsi="Arial" w:cs="Arial"/>
                <w:sz w:val="24"/>
                <w:szCs w:val="24"/>
              </w:rPr>
              <w:t xml:space="preserve">3.  Must have a </w:t>
            </w:r>
            <w:proofErr w:type="gramStart"/>
            <w:r w:rsidRPr="00FA3F9C">
              <w:rPr>
                <w:rFonts w:ascii="Arial" w:hAnsi="Arial" w:cs="Arial"/>
                <w:sz w:val="24"/>
                <w:szCs w:val="24"/>
              </w:rPr>
              <w:t>history intolerable extrapyramidal symptoms</w:t>
            </w:r>
            <w:proofErr w:type="gramEnd"/>
            <w:r w:rsidRPr="00FA3F9C">
              <w:rPr>
                <w:rFonts w:ascii="Arial" w:hAnsi="Arial" w:cs="Arial"/>
                <w:sz w:val="24"/>
                <w:szCs w:val="24"/>
              </w:rPr>
              <w:t xml:space="preserve"> not responsive to benztropine, trihexyphenidyl, or propranolol in the medical records; look back 5 years or as long as our profile’s history and as long a history available in the medical records.</w:t>
            </w:r>
          </w:p>
        </w:tc>
      </w:tr>
      <w:tr w:rsidR="009B5AA5" w:rsidRPr="00FA3F9C" w14:paraId="3826C5CD" w14:textId="77777777" w:rsidTr="00412F5C">
        <w:tc>
          <w:tcPr>
            <w:tcW w:w="10638" w:type="dxa"/>
          </w:tcPr>
          <w:p w14:paraId="38949BB8" w14:textId="77777777" w:rsidR="009B5AA5" w:rsidRPr="00FA3F9C" w:rsidRDefault="009B5AA5" w:rsidP="00A904F6">
            <w:pPr>
              <w:rPr>
                <w:rFonts w:ascii="Arial" w:hAnsi="Arial" w:cs="Arial"/>
                <w:sz w:val="24"/>
                <w:szCs w:val="24"/>
              </w:rPr>
            </w:pPr>
            <w:r w:rsidRPr="00FA3F9C">
              <w:rPr>
                <w:rFonts w:ascii="Arial" w:hAnsi="Arial" w:cs="Arial"/>
                <w:sz w:val="24"/>
                <w:szCs w:val="24"/>
              </w:rPr>
              <w:t xml:space="preserve">If </w:t>
            </w:r>
            <w:proofErr w:type="gramStart"/>
            <w:r w:rsidRPr="00FA3F9C">
              <w:rPr>
                <w:rFonts w:ascii="Arial" w:hAnsi="Arial" w:cs="Arial"/>
                <w:sz w:val="24"/>
                <w:szCs w:val="24"/>
              </w:rPr>
              <w:t>all of</w:t>
            </w:r>
            <w:proofErr w:type="gramEnd"/>
            <w:r w:rsidRPr="00FA3F9C">
              <w:rPr>
                <w:rFonts w:ascii="Arial" w:hAnsi="Arial" w:cs="Arial"/>
                <w:sz w:val="24"/>
                <w:szCs w:val="24"/>
              </w:rPr>
              <w:t xml:space="preserve"> these criteria are fulfilled, approve for 3 months.</w:t>
            </w:r>
          </w:p>
        </w:tc>
      </w:tr>
    </w:tbl>
    <w:p w14:paraId="427F08CA" w14:textId="77777777" w:rsidR="009B5AA5" w:rsidRPr="00FA3F9C" w:rsidRDefault="009B5AA5" w:rsidP="009B5AA5">
      <w:pPr>
        <w:pStyle w:val="ListParagraph"/>
        <w:numPr>
          <w:ilvl w:val="0"/>
          <w:numId w:val="21"/>
        </w:numPr>
        <w:spacing w:after="0" w:line="240" w:lineRule="auto"/>
        <w:rPr>
          <w:rFonts w:ascii="Arial" w:hAnsi="Arial" w:cs="Arial"/>
          <w:sz w:val="24"/>
          <w:szCs w:val="24"/>
        </w:rPr>
      </w:pPr>
      <w:r w:rsidRPr="00FA3F9C">
        <w:rPr>
          <w:rFonts w:ascii="Arial" w:hAnsi="Arial" w:cs="Arial"/>
          <w:sz w:val="24"/>
          <w:szCs w:val="24"/>
        </w:rPr>
        <w:t xml:space="preserve">PA is good for 3 months.  </w:t>
      </w:r>
    </w:p>
    <w:p w14:paraId="1E80F385" w14:textId="77777777" w:rsidR="009B5AA5" w:rsidRPr="00FA3F9C" w:rsidRDefault="009B5AA5" w:rsidP="009B5AA5">
      <w:pPr>
        <w:pStyle w:val="ListParagraph"/>
        <w:numPr>
          <w:ilvl w:val="0"/>
          <w:numId w:val="21"/>
        </w:numPr>
        <w:spacing w:after="0" w:line="240" w:lineRule="auto"/>
        <w:rPr>
          <w:rFonts w:ascii="Arial" w:hAnsi="Arial" w:cs="Arial"/>
          <w:sz w:val="24"/>
          <w:szCs w:val="24"/>
        </w:rPr>
      </w:pPr>
      <w:r w:rsidRPr="00FA3F9C">
        <w:rPr>
          <w:rFonts w:ascii="Arial" w:hAnsi="Arial" w:cs="Arial"/>
          <w:sz w:val="24"/>
          <w:szCs w:val="24"/>
        </w:rPr>
        <w:t xml:space="preserve">No therapeutic duplication with other forms of paliperidone, risperidone, olanzapine, quetiapine, ziprasidone, chlorpromazine, haloperidol, trifluoperazine, prochlorperazine, thioridazine, thiothixene, aripiprazole, or </w:t>
      </w:r>
      <w:proofErr w:type="spellStart"/>
      <w:r w:rsidRPr="00FA3F9C">
        <w:rPr>
          <w:rFonts w:ascii="Arial" w:hAnsi="Arial" w:cs="Arial"/>
          <w:sz w:val="24"/>
          <w:szCs w:val="24"/>
        </w:rPr>
        <w:t>brexpiprazole</w:t>
      </w:r>
      <w:proofErr w:type="spellEnd"/>
      <w:r w:rsidRPr="00FA3F9C">
        <w:rPr>
          <w:rFonts w:ascii="Arial" w:hAnsi="Arial" w:cs="Arial"/>
          <w:sz w:val="24"/>
          <w:szCs w:val="24"/>
        </w:rPr>
        <w:t>.</w:t>
      </w:r>
    </w:p>
    <w:p w14:paraId="540AE964" w14:textId="77777777" w:rsidR="009B5AA5" w:rsidRPr="00FA3F9C" w:rsidRDefault="009B5AA5" w:rsidP="00857F03">
      <w:pPr>
        <w:rPr>
          <w:rFonts w:ascii="Arial" w:hAnsi="Arial" w:cs="Arial"/>
          <w:sz w:val="24"/>
          <w:szCs w:val="24"/>
        </w:rPr>
      </w:pPr>
    </w:p>
    <w:p w14:paraId="41A88462" w14:textId="77777777" w:rsidR="009B5AA5" w:rsidRPr="00FA3F9C" w:rsidRDefault="009B5AA5" w:rsidP="00857F03">
      <w:pPr>
        <w:rPr>
          <w:rFonts w:ascii="Arial" w:hAnsi="Arial" w:cs="Arial"/>
          <w:sz w:val="24"/>
          <w:szCs w:val="24"/>
        </w:rPr>
      </w:pPr>
    </w:p>
    <w:tbl>
      <w:tblPr>
        <w:tblStyle w:val="TableGrid"/>
        <w:tblW w:w="0" w:type="auto"/>
        <w:tblLook w:val="04A0" w:firstRow="1" w:lastRow="0" w:firstColumn="1" w:lastColumn="0" w:noHBand="0" w:noVBand="1"/>
      </w:tblPr>
      <w:tblGrid>
        <w:gridCol w:w="10638"/>
      </w:tblGrid>
      <w:tr w:rsidR="009B5AA5" w:rsidRPr="00FA3F9C" w14:paraId="7DF5E12F" w14:textId="77777777" w:rsidTr="008F3121">
        <w:tc>
          <w:tcPr>
            <w:tcW w:w="10638" w:type="dxa"/>
            <w:shd w:val="clear" w:color="auto" w:fill="000000"/>
          </w:tcPr>
          <w:p w14:paraId="78EB8262" w14:textId="77777777" w:rsidR="009B5AA5" w:rsidRPr="00FA3F9C" w:rsidRDefault="009B5AA5" w:rsidP="008F3121">
            <w:pPr>
              <w:rPr>
                <w:rFonts w:ascii="Arial" w:hAnsi="Arial" w:cs="Arial"/>
                <w:sz w:val="24"/>
                <w:szCs w:val="24"/>
              </w:rPr>
            </w:pPr>
            <w:r w:rsidRPr="00FA3F9C">
              <w:rPr>
                <w:rFonts w:ascii="Arial" w:hAnsi="Arial" w:cs="Arial"/>
                <w:sz w:val="24"/>
                <w:szCs w:val="24"/>
              </w:rPr>
              <w:t>Continuation Criteria</w:t>
            </w:r>
          </w:p>
        </w:tc>
      </w:tr>
      <w:tr w:rsidR="009B5AA5" w:rsidRPr="00FA3F9C" w14:paraId="3696A444" w14:textId="77777777" w:rsidTr="008F3121">
        <w:tc>
          <w:tcPr>
            <w:tcW w:w="10638" w:type="dxa"/>
          </w:tcPr>
          <w:p w14:paraId="5CCCC461" w14:textId="77777777" w:rsidR="009B5AA5" w:rsidRPr="00FA3F9C" w:rsidRDefault="009B5AA5" w:rsidP="008F3121">
            <w:pPr>
              <w:rPr>
                <w:rFonts w:ascii="Arial" w:hAnsi="Arial" w:cs="Arial"/>
                <w:sz w:val="24"/>
                <w:szCs w:val="24"/>
              </w:rPr>
            </w:pPr>
            <w:r w:rsidRPr="00FA3F9C">
              <w:rPr>
                <w:rFonts w:ascii="Arial" w:hAnsi="Arial" w:cs="Arial"/>
                <w:sz w:val="24"/>
                <w:szCs w:val="24"/>
              </w:rPr>
              <w:t>1.  Requires the patient to have a diagnosis of schizophrenia or psychosis.</w:t>
            </w:r>
          </w:p>
        </w:tc>
      </w:tr>
      <w:tr w:rsidR="009B5AA5" w:rsidRPr="00FA3F9C" w14:paraId="4BEFBC55" w14:textId="77777777" w:rsidTr="008F3121">
        <w:tc>
          <w:tcPr>
            <w:tcW w:w="10638" w:type="dxa"/>
          </w:tcPr>
          <w:p w14:paraId="4C28952D" w14:textId="77777777" w:rsidR="009B5AA5" w:rsidRPr="00FA3F9C" w:rsidRDefault="009B5AA5" w:rsidP="00A904F6">
            <w:pPr>
              <w:rPr>
                <w:rFonts w:ascii="Arial" w:hAnsi="Arial" w:cs="Arial"/>
                <w:sz w:val="24"/>
                <w:szCs w:val="24"/>
              </w:rPr>
            </w:pPr>
            <w:r w:rsidRPr="00FA3F9C">
              <w:rPr>
                <w:rFonts w:ascii="Arial" w:hAnsi="Arial" w:cs="Arial"/>
                <w:sz w:val="24"/>
                <w:szCs w:val="24"/>
              </w:rPr>
              <w:t xml:space="preserve">2.  Requires the patient to have received the previous Invega </w:t>
            </w:r>
            <w:proofErr w:type="spellStart"/>
            <w:r w:rsidRPr="00FA3F9C">
              <w:rPr>
                <w:rFonts w:ascii="Arial" w:hAnsi="Arial" w:cs="Arial"/>
                <w:sz w:val="24"/>
                <w:szCs w:val="24"/>
              </w:rPr>
              <w:t>Trinza</w:t>
            </w:r>
            <w:proofErr w:type="spellEnd"/>
            <w:r w:rsidRPr="00FA3F9C">
              <w:rPr>
                <w:rFonts w:ascii="Arial" w:hAnsi="Arial" w:cs="Arial"/>
                <w:sz w:val="24"/>
                <w:szCs w:val="24"/>
              </w:rPr>
              <w:t xml:space="preserve"> not more than 3.5m ago from today’s date.</w:t>
            </w:r>
          </w:p>
        </w:tc>
      </w:tr>
      <w:tr w:rsidR="009B5AA5" w:rsidRPr="00FA3F9C" w14:paraId="2322C2F9" w14:textId="77777777" w:rsidTr="008F3121">
        <w:tc>
          <w:tcPr>
            <w:tcW w:w="10638" w:type="dxa"/>
          </w:tcPr>
          <w:p w14:paraId="4718F2AD" w14:textId="77777777" w:rsidR="009B5AA5" w:rsidRPr="00FA3F9C" w:rsidRDefault="009B5AA5" w:rsidP="008F3121">
            <w:pPr>
              <w:rPr>
                <w:rFonts w:ascii="Arial" w:hAnsi="Arial" w:cs="Arial"/>
                <w:sz w:val="24"/>
                <w:szCs w:val="24"/>
              </w:rPr>
            </w:pPr>
            <w:r w:rsidRPr="00FA3F9C">
              <w:rPr>
                <w:rFonts w:ascii="Arial" w:hAnsi="Arial" w:cs="Arial"/>
                <w:sz w:val="24"/>
                <w:szCs w:val="24"/>
              </w:rPr>
              <w:t xml:space="preserve">3.  Must have a </w:t>
            </w:r>
            <w:proofErr w:type="gramStart"/>
            <w:r w:rsidRPr="00FA3F9C">
              <w:rPr>
                <w:rFonts w:ascii="Arial" w:hAnsi="Arial" w:cs="Arial"/>
                <w:sz w:val="24"/>
                <w:szCs w:val="24"/>
              </w:rPr>
              <w:t>history intolerable extrapyramidal symptoms</w:t>
            </w:r>
            <w:proofErr w:type="gramEnd"/>
            <w:r w:rsidRPr="00FA3F9C">
              <w:rPr>
                <w:rFonts w:ascii="Arial" w:hAnsi="Arial" w:cs="Arial"/>
                <w:sz w:val="24"/>
                <w:szCs w:val="24"/>
              </w:rPr>
              <w:t xml:space="preserve"> not responsive to benztropine, trihexyphenidyl, or propranolol in the medical records; look back 5 years or as long as our profile’s history and as long a history available in the medical records.</w:t>
            </w:r>
          </w:p>
        </w:tc>
      </w:tr>
      <w:tr w:rsidR="009B5AA5" w:rsidRPr="00FA3F9C" w14:paraId="66F02462" w14:textId="77777777" w:rsidTr="008F3121">
        <w:tc>
          <w:tcPr>
            <w:tcW w:w="10638" w:type="dxa"/>
          </w:tcPr>
          <w:p w14:paraId="079E820F" w14:textId="77777777" w:rsidR="009B5AA5" w:rsidRPr="00FA3F9C" w:rsidRDefault="009B5AA5" w:rsidP="008F3121">
            <w:pPr>
              <w:rPr>
                <w:rFonts w:ascii="Arial" w:hAnsi="Arial" w:cs="Arial"/>
                <w:sz w:val="24"/>
                <w:szCs w:val="24"/>
              </w:rPr>
            </w:pPr>
            <w:r w:rsidRPr="00FA3F9C">
              <w:rPr>
                <w:rFonts w:ascii="Arial" w:hAnsi="Arial" w:cs="Arial"/>
                <w:sz w:val="24"/>
                <w:szCs w:val="24"/>
              </w:rPr>
              <w:lastRenderedPageBreak/>
              <w:t xml:space="preserve">If </w:t>
            </w:r>
            <w:proofErr w:type="gramStart"/>
            <w:r w:rsidRPr="00FA3F9C">
              <w:rPr>
                <w:rFonts w:ascii="Arial" w:hAnsi="Arial" w:cs="Arial"/>
                <w:sz w:val="24"/>
                <w:szCs w:val="24"/>
              </w:rPr>
              <w:t>all of</w:t>
            </w:r>
            <w:proofErr w:type="gramEnd"/>
            <w:r w:rsidRPr="00FA3F9C">
              <w:rPr>
                <w:rFonts w:ascii="Arial" w:hAnsi="Arial" w:cs="Arial"/>
                <w:sz w:val="24"/>
                <w:szCs w:val="24"/>
              </w:rPr>
              <w:t xml:space="preserve"> these criteria are fulfilled, approve for 1 year.  If the patient waits more than 3.5 m since the last </w:t>
            </w:r>
            <w:proofErr w:type="spellStart"/>
            <w:r w:rsidRPr="00FA3F9C">
              <w:rPr>
                <w:rFonts w:ascii="Arial" w:hAnsi="Arial" w:cs="Arial"/>
                <w:sz w:val="24"/>
                <w:szCs w:val="24"/>
              </w:rPr>
              <w:t>Trinza</w:t>
            </w:r>
            <w:proofErr w:type="spellEnd"/>
            <w:r w:rsidRPr="00FA3F9C">
              <w:rPr>
                <w:rFonts w:ascii="Arial" w:hAnsi="Arial" w:cs="Arial"/>
                <w:sz w:val="24"/>
                <w:szCs w:val="24"/>
              </w:rPr>
              <w:t xml:space="preserve"> injection, the next Invega </w:t>
            </w:r>
            <w:proofErr w:type="spellStart"/>
            <w:r w:rsidRPr="00FA3F9C">
              <w:rPr>
                <w:rFonts w:ascii="Arial" w:hAnsi="Arial" w:cs="Arial"/>
                <w:sz w:val="24"/>
                <w:szCs w:val="24"/>
              </w:rPr>
              <w:t>Trinza</w:t>
            </w:r>
            <w:proofErr w:type="spellEnd"/>
            <w:r w:rsidRPr="00FA3F9C">
              <w:rPr>
                <w:rFonts w:ascii="Arial" w:hAnsi="Arial" w:cs="Arial"/>
                <w:sz w:val="24"/>
                <w:szCs w:val="24"/>
              </w:rPr>
              <w:t xml:space="preserve"> injection, he/she must start over with Invega </w:t>
            </w:r>
            <w:proofErr w:type="spellStart"/>
            <w:r w:rsidRPr="00FA3F9C">
              <w:rPr>
                <w:rFonts w:ascii="Arial" w:hAnsi="Arial" w:cs="Arial"/>
                <w:sz w:val="24"/>
                <w:szCs w:val="24"/>
              </w:rPr>
              <w:t>Sustenna</w:t>
            </w:r>
            <w:proofErr w:type="spellEnd"/>
            <w:r w:rsidRPr="00FA3F9C">
              <w:rPr>
                <w:rFonts w:ascii="Arial" w:hAnsi="Arial" w:cs="Arial"/>
                <w:sz w:val="24"/>
                <w:szCs w:val="24"/>
              </w:rPr>
              <w:t>.</w:t>
            </w:r>
          </w:p>
        </w:tc>
      </w:tr>
    </w:tbl>
    <w:p w14:paraId="25B0A084" w14:textId="77777777" w:rsidR="009B5AA5" w:rsidRPr="00FA3F9C" w:rsidRDefault="009B5AA5" w:rsidP="00857F03">
      <w:pPr>
        <w:rPr>
          <w:rFonts w:ascii="Arial" w:hAnsi="Arial" w:cs="Arial"/>
          <w:sz w:val="24"/>
          <w:szCs w:val="24"/>
        </w:rPr>
      </w:pPr>
    </w:p>
    <w:p w14:paraId="040AA46D" w14:textId="77777777" w:rsidR="009B5AA5" w:rsidRPr="00FA3F9C" w:rsidRDefault="009B5AA5" w:rsidP="00857F03">
      <w:pPr>
        <w:rPr>
          <w:rFonts w:ascii="Arial" w:hAnsi="Arial" w:cs="Arial"/>
          <w:sz w:val="24"/>
          <w:szCs w:val="24"/>
        </w:rPr>
      </w:pPr>
    </w:p>
    <w:p w14:paraId="27528D1E" w14:textId="77777777" w:rsidR="009B5AA5" w:rsidRPr="00FA3F9C" w:rsidRDefault="009B5AA5" w:rsidP="00857F03">
      <w:pPr>
        <w:rPr>
          <w:rFonts w:ascii="Arial" w:hAnsi="Arial" w:cs="Arial"/>
          <w:sz w:val="24"/>
          <w:szCs w:val="24"/>
        </w:rPr>
      </w:pPr>
    </w:p>
    <w:p w14:paraId="24FC6F1F" w14:textId="77777777" w:rsidR="009B5AA5" w:rsidRPr="00FA3F9C" w:rsidRDefault="009B5AA5" w:rsidP="00857F03">
      <w:pPr>
        <w:rPr>
          <w:rFonts w:ascii="Arial" w:hAnsi="Arial" w:cs="Arial"/>
          <w:sz w:val="24"/>
          <w:szCs w:val="24"/>
        </w:rPr>
      </w:pPr>
    </w:p>
    <w:p w14:paraId="033FCD16" w14:textId="77777777" w:rsidR="009B5AA5" w:rsidRPr="00FA3F9C" w:rsidRDefault="009B5AA5" w:rsidP="00857F03">
      <w:pPr>
        <w:rPr>
          <w:rFonts w:ascii="Arial" w:hAnsi="Arial" w:cs="Arial"/>
          <w:sz w:val="24"/>
          <w:szCs w:val="24"/>
        </w:rPr>
      </w:pPr>
    </w:p>
    <w:p w14:paraId="41AB69C8" w14:textId="77777777" w:rsidR="009B5AA5" w:rsidRPr="00FA3F9C" w:rsidRDefault="009B5AA5" w:rsidP="00857F03">
      <w:pPr>
        <w:rPr>
          <w:rFonts w:ascii="Arial" w:hAnsi="Arial" w:cs="Arial"/>
          <w:sz w:val="24"/>
          <w:szCs w:val="24"/>
        </w:rPr>
      </w:pPr>
    </w:p>
    <w:p w14:paraId="6805FE9D" w14:textId="77777777" w:rsidR="009B5AA5" w:rsidRPr="00FA3F9C" w:rsidRDefault="009B5AA5" w:rsidP="00857F03">
      <w:pPr>
        <w:rPr>
          <w:rFonts w:ascii="Arial" w:hAnsi="Arial" w:cs="Arial"/>
          <w:sz w:val="24"/>
          <w:szCs w:val="24"/>
        </w:rPr>
      </w:pPr>
    </w:p>
    <w:p w14:paraId="4905BF86" w14:textId="77777777" w:rsidR="009B5AA5" w:rsidRPr="00FA3F9C" w:rsidRDefault="009B5AA5" w:rsidP="00857F03">
      <w:pPr>
        <w:rPr>
          <w:rFonts w:ascii="Arial" w:hAnsi="Arial" w:cs="Arial"/>
          <w:sz w:val="24"/>
          <w:szCs w:val="24"/>
        </w:rPr>
      </w:pPr>
    </w:p>
    <w:p w14:paraId="7C91667F" w14:textId="77777777" w:rsidR="009B5AA5" w:rsidRPr="00FA3F9C" w:rsidRDefault="009B5AA5" w:rsidP="00857F03">
      <w:pPr>
        <w:rPr>
          <w:rFonts w:ascii="Arial" w:hAnsi="Arial" w:cs="Arial"/>
          <w:sz w:val="24"/>
          <w:szCs w:val="24"/>
        </w:rPr>
      </w:pPr>
    </w:p>
    <w:tbl>
      <w:tblPr>
        <w:tblStyle w:val="TableGrid"/>
        <w:tblW w:w="0" w:type="auto"/>
        <w:tblLook w:val="04A0" w:firstRow="1" w:lastRow="0" w:firstColumn="1" w:lastColumn="0" w:noHBand="0" w:noVBand="1"/>
      </w:tblPr>
      <w:tblGrid>
        <w:gridCol w:w="1278"/>
        <w:gridCol w:w="7290"/>
        <w:gridCol w:w="2448"/>
      </w:tblGrid>
      <w:tr w:rsidR="009B5AA5" w:rsidRPr="00FA3F9C" w14:paraId="525FA253" w14:textId="77777777" w:rsidTr="009F1EDE">
        <w:tc>
          <w:tcPr>
            <w:tcW w:w="1278" w:type="dxa"/>
          </w:tcPr>
          <w:p w14:paraId="711608C6" w14:textId="77777777" w:rsidR="009B5AA5" w:rsidRPr="00FA3F9C" w:rsidRDefault="009B5AA5" w:rsidP="00857F03">
            <w:pPr>
              <w:rPr>
                <w:rFonts w:ascii="Arial" w:hAnsi="Arial" w:cs="Arial"/>
                <w:sz w:val="24"/>
                <w:szCs w:val="24"/>
              </w:rPr>
            </w:pPr>
            <w:r w:rsidRPr="00FA3F9C">
              <w:rPr>
                <w:rFonts w:ascii="Arial" w:hAnsi="Arial" w:cs="Arial"/>
                <w:sz w:val="24"/>
                <w:szCs w:val="24"/>
              </w:rPr>
              <w:t>Date</w:t>
            </w:r>
          </w:p>
        </w:tc>
        <w:tc>
          <w:tcPr>
            <w:tcW w:w="7290" w:type="dxa"/>
          </w:tcPr>
          <w:p w14:paraId="755B90D5" w14:textId="77777777" w:rsidR="009B5AA5" w:rsidRPr="00FA3F9C" w:rsidRDefault="009B5AA5" w:rsidP="00857F03">
            <w:pPr>
              <w:rPr>
                <w:rFonts w:ascii="Arial" w:hAnsi="Arial" w:cs="Arial"/>
                <w:sz w:val="24"/>
                <w:szCs w:val="24"/>
              </w:rPr>
            </w:pPr>
            <w:r w:rsidRPr="00FA3F9C">
              <w:rPr>
                <w:rFonts w:ascii="Arial" w:hAnsi="Arial" w:cs="Arial"/>
                <w:sz w:val="24"/>
                <w:szCs w:val="24"/>
              </w:rPr>
              <w:t>What was changed?</w:t>
            </w:r>
          </w:p>
        </w:tc>
        <w:tc>
          <w:tcPr>
            <w:tcW w:w="2448" w:type="dxa"/>
          </w:tcPr>
          <w:p w14:paraId="54D033CA" w14:textId="77777777" w:rsidR="009B5AA5" w:rsidRPr="00FA3F9C" w:rsidRDefault="009B5AA5" w:rsidP="00857F03">
            <w:pPr>
              <w:rPr>
                <w:rFonts w:ascii="Arial" w:hAnsi="Arial" w:cs="Arial"/>
                <w:sz w:val="24"/>
                <w:szCs w:val="24"/>
              </w:rPr>
            </w:pPr>
            <w:r w:rsidRPr="00FA3F9C">
              <w:rPr>
                <w:rFonts w:ascii="Arial" w:hAnsi="Arial" w:cs="Arial"/>
                <w:sz w:val="24"/>
                <w:szCs w:val="24"/>
              </w:rPr>
              <w:t>Pharmacist’s initials</w:t>
            </w:r>
          </w:p>
        </w:tc>
      </w:tr>
      <w:tr w:rsidR="009B5AA5" w:rsidRPr="00FA3F9C" w14:paraId="3F40330C" w14:textId="77777777" w:rsidTr="009F1EDE">
        <w:tc>
          <w:tcPr>
            <w:tcW w:w="1278" w:type="dxa"/>
          </w:tcPr>
          <w:p w14:paraId="39E3311B" w14:textId="77777777" w:rsidR="009B5AA5" w:rsidRPr="00FA3F9C" w:rsidRDefault="009B5AA5" w:rsidP="00857F03">
            <w:pPr>
              <w:rPr>
                <w:rFonts w:ascii="Arial" w:hAnsi="Arial" w:cs="Arial"/>
                <w:sz w:val="24"/>
                <w:szCs w:val="24"/>
              </w:rPr>
            </w:pPr>
            <w:r w:rsidRPr="00FA3F9C">
              <w:rPr>
                <w:rFonts w:ascii="Arial" w:hAnsi="Arial" w:cs="Arial"/>
                <w:sz w:val="24"/>
                <w:szCs w:val="24"/>
              </w:rPr>
              <w:t>10/29/15</w:t>
            </w:r>
          </w:p>
        </w:tc>
        <w:tc>
          <w:tcPr>
            <w:tcW w:w="7290" w:type="dxa"/>
          </w:tcPr>
          <w:p w14:paraId="5BDFA250" w14:textId="77777777" w:rsidR="009B5AA5" w:rsidRPr="00FA3F9C" w:rsidRDefault="009B5AA5" w:rsidP="00857F03">
            <w:pPr>
              <w:rPr>
                <w:rFonts w:ascii="Arial" w:hAnsi="Arial" w:cs="Arial"/>
                <w:sz w:val="24"/>
                <w:szCs w:val="24"/>
              </w:rPr>
            </w:pPr>
            <w:r w:rsidRPr="00FA3F9C">
              <w:rPr>
                <w:rFonts w:ascii="Arial" w:hAnsi="Arial" w:cs="Arial"/>
                <w:sz w:val="24"/>
                <w:szCs w:val="24"/>
              </w:rPr>
              <w:t>I wrote the criteria.</w:t>
            </w:r>
          </w:p>
        </w:tc>
        <w:tc>
          <w:tcPr>
            <w:tcW w:w="2448" w:type="dxa"/>
          </w:tcPr>
          <w:p w14:paraId="2D62B82C" w14:textId="2E45ED89" w:rsidR="009B5AA5" w:rsidRPr="00FA3F9C" w:rsidRDefault="005C142D" w:rsidP="00857F03">
            <w:pPr>
              <w:rPr>
                <w:rFonts w:ascii="Arial" w:hAnsi="Arial" w:cs="Arial"/>
                <w:sz w:val="24"/>
                <w:szCs w:val="24"/>
              </w:rPr>
            </w:pPr>
            <w:r w:rsidRPr="00FA3F9C">
              <w:rPr>
                <w:rFonts w:ascii="Arial" w:hAnsi="Arial" w:cs="Arial"/>
                <w:sz w:val="24"/>
                <w:szCs w:val="24"/>
              </w:rPr>
              <w:t>JJ</w:t>
            </w:r>
          </w:p>
        </w:tc>
      </w:tr>
      <w:tr w:rsidR="009B5AA5" w:rsidRPr="00FA3F9C" w14:paraId="2E64B8C9" w14:textId="77777777" w:rsidTr="009F1EDE">
        <w:tc>
          <w:tcPr>
            <w:tcW w:w="1278" w:type="dxa"/>
          </w:tcPr>
          <w:p w14:paraId="1CF31CA4" w14:textId="77777777" w:rsidR="009B5AA5" w:rsidRPr="00FA3F9C" w:rsidRDefault="009B5AA5" w:rsidP="00857F03">
            <w:pPr>
              <w:rPr>
                <w:rFonts w:ascii="Arial" w:hAnsi="Arial" w:cs="Arial"/>
                <w:sz w:val="24"/>
                <w:szCs w:val="24"/>
              </w:rPr>
            </w:pPr>
          </w:p>
        </w:tc>
        <w:tc>
          <w:tcPr>
            <w:tcW w:w="7290" w:type="dxa"/>
          </w:tcPr>
          <w:p w14:paraId="359E8BC8" w14:textId="77777777" w:rsidR="009B5AA5" w:rsidRPr="00FA3F9C" w:rsidRDefault="009B5AA5" w:rsidP="00857F03">
            <w:pPr>
              <w:rPr>
                <w:rFonts w:ascii="Arial" w:hAnsi="Arial" w:cs="Arial"/>
                <w:sz w:val="24"/>
                <w:szCs w:val="24"/>
              </w:rPr>
            </w:pPr>
          </w:p>
        </w:tc>
        <w:tc>
          <w:tcPr>
            <w:tcW w:w="2448" w:type="dxa"/>
          </w:tcPr>
          <w:p w14:paraId="1E654715" w14:textId="77777777" w:rsidR="009B5AA5" w:rsidRPr="00FA3F9C" w:rsidRDefault="009B5AA5" w:rsidP="00857F03">
            <w:pPr>
              <w:rPr>
                <w:rFonts w:ascii="Arial" w:hAnsi="Arial" w:cs="Arial"/>
                <w:sz w:val="24"/>
                <w:szCs w:val="24"/>
              </w:rPr>
            </w:pPr>
          </w:p>
        </w:tc>
      </w:tr>
    </w:tbl>
    <w:p w14:paraId="6911CDC9" w14:textId="77777777" w:rsidR="009B5AA5" w:rsidRPr="00FA3F9C" w:rsidRDefault="009B5AA5" w:rsidP="00857F03">
      <w:pPr>
        <w:rPr>
          <w:rFonts w:ascii="Arial" w:hAnsi="Arial" w:cs="Arial"/>
          <w:sz w:val="24"/>
          <w:szCs w:val="24"/>
        </w:rPr>
      </w:pPr>
    </w:p>
    <w:p w14:paraId="6B107EE5" w14:textId="77777777" w:rsidR="009B5AA5" w:rsidRPr="00FA3F9C" w:rsidRDefault="009B5AA5" w:rsidP="00857F03">
      <w:pPr>
        <w:rPr>
          <w:rFonts w:ascii="Arial" w:hAnsi="Arial" w:cs="Arial"/>
          <w:sz w:val="24"/>
          <w:szCs w:val="24"/>
        </w:rPr>
      </w:pPr>
      <w:r w:rsidRPr="00FA3F9C">
        <w:rPr>
          <w:rFonts w:ascii="Arial" w:hAnsi="Arial" w:cs="Arial"/>
          <w:sz w:val="24"/>
          <w:szCs w:val="24"/>
        </w:rPr>
        <w:t>References</w:t>
      </w:r>
    </w:p>
    <w:p w14:paraId="72E10017" w14:textId="77777777" w:rsidR="009B5AA5" w:rsidRPr="00FA3F9C" w:rsidRDefault="009B5AA5" w:rsidP="00857F03">
      <w:pPr>
        <w:rPr>
          <w:rFonts w:ascii="Arial" w:hAnsi="Arial" w:cs="Arial"/>
          <w:sz w:val="24"/>
          <w:szCs w:val="24"/>
        </w:rPr>
      </w:pPr>
      <w:r w:rsidRPr="00FA3F9C">
        <w:rPr>
          <w:rFonts w:ascii="Arial" w:hAnsi="Arial" w:cs="Arial"/>
          <w:sz w:val="24"/>
          <w:szCs w:val="24"/>
        </w:rPr>
        <w:t xml:space="preserve">1.  PI, Invega </w:t>
      </w:r>
      <w:proofErr w:type="spellStart"/>
      <w:r w:rsidRPr="00FA3F9C">
        <w:rPr>
          <w:rFonts w:ascii="Arial" w:hAnsi="Arial" w:cs="Arial"/>
          <w:sz w:val="24"/>
          <w:szCs w:val="24"/>
        </w:rPr>
        <w:t>Trinza</w:t>
      </w:r>
      <w:proofErr w:type="spellEnd"/>
      <w:r w:rsidRPr="00FA3F9C">
        <w:rPr>
          <w:rFonts w:ascii="Arial" w:hAnsi="Arial" w:cs="Arial"/>
          <w:sz w:val="24"/>
          <w:szCs w:val="24"/>
        </w:rPr>
        <w:t>, accessed 10/29/15.</w:t>
      </w:r>
    </w:p>
    <w:p w14:paraId="7EB3D34A" w14:textId="1F874B77" w:rsidR="009B5AA5" w:rsidRPr="00FA3F9C" w:rsidRDefault="009B5AA5" w:rsidP="00C45FBD">
      <w:pPr>
        <w:pStyle w:val="Heading2"/>
        <w:rPr>
          <w:sz w:val="24"/>
          <w:szCs w:val="24"/>
        </w:rPr>
      </w:pPr>
    </w:p>
    <w:p w14:paraId="0C7B4D78" w14:textId="77777777" w:rsidR="00EF3B65" w:rsidRDefault="00EF3B65" w:rsidP="00EF3B65">
      <w:pPr>
        <w:pStyle w:val="Heading2"/>
      </w:pPr>
      <w:bookmarkStart w:id="251" w:name="_Toc106369888"/>
      <w:proofErr w:type="spellStart"/>
      <w:r>
        <w:t>Palvizumab</w:t>
      </w:r>
      <w:proofErr w:type="spellEnd"/>
      <w:r>
        <w:t xml:space="preserve"> (</w:t>
      </w:r>
      <w:proofErr w:type="spellStart"/>
      <w:r w:rsidR="009B5AA5" w:rsidRPr="00FA3F9C">
        <w:t>Synagis</w:t>
      </w:r>
      <w:proofErr w:type="spellEnd"/>
      <w:r w:rsidR="009B5AA5" w:rsidRPr="00FA3F9C">
        <w:rPr>
          <w:rFonts w:eastAsia="Batang"/>
          <w:bCs/>
          <w:color w:val="231F20"/>
          <w:lang w:eastAsia="ko-KR"/>
        </w:rPr>
        <w:t>®</w:t>
      </w:r>
      <w:r>
        <w:t>)</w:t>
      </w:r>
      <w:bookmarkEnd w:id="251"/>
    </w:p>
    <w:p w14:paraId="674B04D9" w14:textId="4D352FE5" w:rsidR="009B5AA5" w:rsidRPr="00FA3F9C" w:rsidRDefault="009B5AA5" w:rsidP="00EF3B65">
      <w:pPr>
        <w:jc w:val="center"/>
        <w:rPr>
          <w:rFonts w:ascii="Arial" w:hAnsi="Arial" w:cs="Arial"/>
          <w:b/>
          <w:sz w:val="24"/>
          <w:szCs w:val="24"/>
          <w:u w:val="single"/>
        </w:rPr>
      </w:pPr>
      <w:r w:rsidRPr="00FA3F9C">
        <w:rPr>
          <w:rFonts w:ascii="Arial" w:hAnsi="Arial" w:cs="Arial"/>
          <w:b/>
          <w:sz w:val="24"/>
          <w:szCs w:val="24"/>
        </w:rPr>
        <w:t>Prior Authorization (PA) Request Form</w:t>
      </w:r>
    </w:p>
    <w:p w14:paraId="53D40B76" w14:textId="24E950E5" w:rsidR="009B5AA5" w:rsidRPr="00FA3F9C" w:rsidRDefault="009B5AA5" w:rsidP="00B36B25">
      <w:pPr>
        <w:pStyle w:val="Heading1"/>
        <w:tabs>
          <w:tab w:val="left" w:pos="5040"/>
          <w:tab w:val="right" w:pos="10800"/>
        </w:tabs>
        <w:rPr>
          <w:rFonts w:ascii="Arial" w:hAnsi="Arial" w:cs="Arial"/>
          <w:sz w:val="24"/>
          <w:szCs w:val="24"/>
        </w:rPr>
      </w:pPr>
      <w:r w:rsidRPr="00FA3F9C">
        <w:rPr>
          <w:rFonts w:ascii="Arial" w:hAnsi="Arial" w:cs="Arial"/>
          <w:sz w:val="24"/>
          <w:szCs w:val="24"/>
        </w:rPr>
        <w:tab/>
      </w:r>
    </w:p>
    <w:p w14:paraId="08C88A08" w14:textId="77777777" w:rsidR="009B5AA5" w:rsidRPr="00FA3F9C" w:rsidRDefault="009B5AA5" w:rsidP="00B36B25">
      <w:pPr>
        <w:pStyle w:val="BodyText"/>
        <w:rPr>
          <w:rFonts w:ascii="Arial" w:hAnsi="Arial" w:cs="Arial"/>
          <w:sz w:val="24"/>
          <w:szCs w:val="24"/>
        </w:rPr>
      </w:pPr>
    </w:p>
    <w:p w14:paraId="1064186B" w14:textId="77777777" w:rsidR="009B5AA5" w:rsidRPr="00FA3F9C" w:rsidRDefault="009B5AA5" w:rsidP="00B36B25">
      <w:pPr>
        <w:pStyle w:val="BodyText"/>
        <w:rPr>
          <w:rFonts w:ascii="Arial" w:hAnsi="Arial" w:cs="Arial"/>
          <w:sz w:val="24"/>
          <w:szCs w:val="24"/>
        </w:rPr>
      </w:pPr>
      <w:r w:rsidRPr="00FA3F9C">
        <w:rPr>
          <w:rFonts w:ascii="Arial" w:hAnsi="Arial" w:cs="Arial"/>
          <w:sz w:val="24"/>
          <w:szCs w:val="24"/>
        </w:rPr>
        <w:lastRenderedPageBreak/>
        <w:t xml:space="preserve">The form on this page is to be </w:t>
      </w:r>
      <w:r w:rsidRPr="00FA3F9C">
        <w:rPr>
          <w:rFonts w:ascii="Arial" w:hAnsi="Arial" w:cs="Arial"/>
          <w:b/>
          <w:sz w:val="24"/>
          <w:szCs w:val="24"/>
          <w:u w:val="single"/>
        </w:rPr>
        <w:t>COMPLETED</w:t>
      </w:r>
      <w:r w:rsidRPr="00FA3F9C">
        <w:rPr>
          <w:rFonts w:ascii="Arial" w:hAnsi="Arial" w:cs="Arial"/>
          <w:sz w:val="24"/>
          <w:szCs w:val="24"/>
        </w:rPr>
        <w:t xml:space="preserve"> by and </w:t>
      </w:r>
      <w:r w:rsidRPr="00FA3F9C">
        <w:rPr>
          <w:rFonts w:ascii="Arial" w:hAnsi="Arial" w:cs="Arial"/>
          <w:b/>
          <w:sz w:val="24"/>
          <w:szCs w:val="24"/>
          <w:u w:val="single"/>
        </w:rPr>
        <w:t>RECEIVED</w:t>
      </w:r>
      <w:r w:rsidRPr="00FA3F9C">
        <w:rPr>
          <w:rFonts w:ascii="Arial" w:hAnsi="Arial" w:cs="Arial"/>
          <w:sz w:val="24"/>
          <w:szCs w:val="24"/>
        </w:rPr>
        <w:t xml:space="preserve"> from the </w:t>
      </w:r>
      <w:r w:rsidRPr="00FA3F9C">
        <w:rPr>
          <w:rFonts w:ascii="Arial" w:hAnsi="Arial" w:cs="Arial"/>
          <w:b/>
          <w:sz w:val="24"/>
          <w:szCs w:val="24"/>
          <w:u w:val="single"/>
        </w:rPr>
        <w:t>prescribing provider</w:t>
      </w:r>
      <w:r w:rsidRPr="00FA3F9C">
        <w:rPr>
          <w:rFonts w:ascii="Arial" w:hAnsi="Arial" w:cs="Arial"/>
          <w:sz w:val="24"/>
          <w:szCs w:val="24"/>
        </w:rPr>
        <w:t xml:space="preserve">. The form </w:t>
      </w:r>
      <w:r w:rsidRPr="00FA3F9C">
        <w:rPr>
          <w:rFonts w:ascii="Arial" w:hAnsi="Arial" w:cs="Arial"/>
          <w:b/>
          <w:sz w:val="24"/>
          <w:szCs w:val="24"/>
        </w:rPr>
        <w:t>will not</w:t>
      </w:r>
      <w:r w:rsidRPr="00FA3F9C">
        <w:rPr>
          <w:rFonts w:ascii="Arial" w:hAnsi="Arial" w:cs="Arial"/>
          <w:sz w:val="24"/>
          <w:szCs w:val="24"/>
        </w:rPr>
        <w:t xml:space="preserve"> be accepted from the providing pharmacy. Please fax this completed form to the PA Call Center for evaluation and processing.</w:t>
      </w:r>
    </w:p>
    <w:p w14:paraId="6B098D98" w14:textId="77777777" w:rsidR="009B5AA5" w:rsidRPr="00FA3F9C" w:rsidRDefault="009B5AA5" w:rsidP="00B36B25">
      <w:pPr>
        <w:pStyle w:val="BodyText"/>
        <w:rPr>
          <w:rFonts w:ascii="Arial" w:hAnsi="Arial" w:cs="Arial"/>
          <w:sz w:val="24"/>
          <w:szCs w:val="24"/>
        </w:rPr>
      </w:pPr>
      <w:r w:rsidRPr="00FA3F9C">
        <w:rPr>
          <w:rFonts w:ascii="Arial" w:hAnsi="Arial" w:cs="Arial"/>
          <w:sz w:val="24"/>
          <w:szCs w:val="24"/>
        </w:rPr>
        <w:t xml:space="preserve"> </w:t>
      </w:r>
    </w:p>
    <w:p w14:paraId="688A006B" w14:textId="77777777" w:rsidR="009B5AA5" w:rsidRPr="00FA3F9C" w:rsidRDefault="009B5AA5" w:rsidP="00B36B25">
      <w:pPr>
        <w:pStyle w:val="BodyText"/>
        <w:tabs>
          <w:tab w:val="left" w:pos="4950"/>
          <w:tab w:val="left" w:pos="6120"/>
        </w:tabs>
        <w:jc w:val="center"/>
        <w:rPr>
          <w:rFonts w:ascii="Arial" w:hAnsi="Arial" w:cs="Arial"/>
          <w:b/>
          <w:sz w:val="24"/>
          <w:szCs w:val="24"/>
        </w:rPr>
      </w:pPr>
      <w:r w:rsidRPr="00FA3F9C">
        <w:rPr>
          <w:rFonts w:ascii="Arial" w:hAnsi="Arial" w:cs="Arial"/>
          <w:sz w:val="24"/>
          <w:szCs w:val="24"/>
        </w:rPr>
        <w:sym w:font="Wingdings" w:char="F0FE"/>
      </w:r>
      <w:r w:rsidRPr="00FA3F9C">
        <w:rPr>
          <w:rFonts w:ascii="Arial" w:hAnsi="Arial" w:cs="Arial"/>
          <w:sz w:val="24"/>
          <w:szCs w:val="24"/>
        </w:rPr>
        <w:t xml:space="preserve"> </w:t>
      </w:r>
      <w:r w:rsidRPr="00FA3F9C">
        <w:rPr>
          <w:rFonts w:ascii="Arial" w:hAnsi="Arial" w:cs="Arial"/>
          <w:b/>
          <w:sz w:val="24"/>
          <w:szCs w:val="24"/>
        </w:rPr>
        <w:t>PLEASE COMPLETE ALL SECTIONS</w:t>
      </w:r>
    </w:p>
    <w:p w14:paraId="113F00FC" w14:textId="77777777" w:rsidR="009B5AA5" w:rsidRPr="00FA3F9C" w:rsidRDefault="009B5AA5" w:rsidP="00B36B25">
      <w:pPr>
        <w:pStyle w:val="BodyText"/>
        <w:tabs>
          <w:tab w:val="left" w:pos="4950"/>
          <w:tab w:val="left" w:pos="6120"/>
        </w:tabs>
        <w:jc w:val="center"/>
        <w:rPr>
          <w:rFonts w:ascii="Arial" w:hAnsi="Arial" w:cs="Arial"/>
          <w:b/>
          <w:sz w:val="24"/>
          <w:szCs w:val="24"/>
        </w:rPr>
      </w:pPr>
    </w:p>
    <w:p w14:paraId="39157D8B" w14:textId="77777777" w:rsidR="009B5AA5" w:rsidRPr="00FA3F9C" w:rsidRDefault="009B5AA5" w:rsidP="00B36B25">
      <w:pPr>
        <w:pStyle w:val="BodyText"/>
        <w:tabs>
          <w:tab w:val="left" w:pos="4950"/>
          <w:tab w:val="left" w:pos="6120"/>
        </w:tabs>
        <w:rPr>
          <w:rFonts w:ascii="Arial" w:hAnsi="Arial" w:cs="Arial"/>
          <w:b/>
          <w:sz w:val="24"/>
          <w:szCs w:val="24"/>
          <w:lang w:val="fr-FR"/>
        </w:rPr>
      </w:pPr>
      <w:r w:rsidRPr="00FA3F9C">
        <w:rPr>
          <w:rFonts w:ascii="Arial" w:hAnsi="Arial" w:cs="Arial"/>
          <w:b/>
          <w:sz w:val="24"/>
          <w:szCs w:val="24"/>
          <w:lang w:val="fr-FR"/>
        </w:rPr>
        <w:t xml:space="preserve">              </w:t>
      </w:r>
      <w:proofErr w:type="spellStart"/>
      <w:r w:rsidRPr="00FA3F9C">
        <w:rPr>
          <w:rFonts w:ascii="Arial" w:hAnsi="Arial" w:cs="Arial"/>
          <w:b/>
          <w:sz w:val="24"/>
          <w:szCs w:val="24"/>
          <w:lang w:val="fr-FR"/>
        </w:rPr>
        <w:t>Prescriber</w:t>
      </w:r>
      <w:proofErr w:type="spellEnd"/>
      <w:r w:rsidRPr="00FA3F9C">
        <w:rPr>
          <w:rFonts w:ascii="Arial" w:hAnsi="Arial" w:cs="Arial"/>
          <w:b/>
          <w:sz w:val="24"/>
          <w:szCs w:val="24"/>
          <w:lang w:val="fr-FR"/>
        </w:rPr>
        <w:t xml:space="preserve"> Information                                              </w:t>
      </w:r>
      <w:proofErr w:type="spellStart"/>
      <w:r w:rsidRPr="00FA3F9C">
        <w:rPr>
          <w:rFonts w:ascii="Arial" w:hAnsi="Arial" w:cs="Arial"/>
          <w:b/>
          <w:sz w:val="24"/>
          <w:szCs w:val="24"/>
          <w:lang w:val="fr-FR"/>
        </w:rPr>
        <w:t>Recipient</w:t>
      </w:r>
      <w:proofErr w:type="spellEnd"/>
      <w:r w:rsidRPr="00FA3F9C">
        <w:rPr>
          <w:rFonts w:ascii="Arial" w:hAnsi="Arial" w:cs="Arial"/>
          <w:b/>
          <w:sz w:val="24"/>
          <w:szCs w:val="24"/>
          <w:lang w:val="fr-FR"/>
        </w:rPr>
        <w:t>/Patient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8"/>
        <w:gridCol w:w="5598"/>
      </w:tblGrid>
      <w:tr w:rsidR="009B5AA5" w:rsidRPr="00FA3F9C" w14:paraId="3976805C" w14:textId="77777777" w:rsidTr="00263223">
        <w:trPr>
          <w:trHeight w:val="440"/>
        </w:trPr>
        <w:tc>
          <w:tcPr>
            <w:tcW w:w="5418" w:type="dxa"/>
            <w:vAlign w:val="bottom"/>
          </w:tcPr>
          <w:p w14:paraId="087E079B" w14:textId="77777777" w:rsidR="009B5AA5" w:rsidRPr="00FA3F9C" w:rsidRDefault="009B5AA5" w:rsidP="0087129E">
            <w:pPr>
              <w:pStyle w:val="BodyText"/>
              <w:tabs>
                <w:tab w:val="left" w:pos="5670"/>
                <w:tab w:val="left" w:pos="6120"/>
              </w:tabs>
              <w:rPr>
                <w:rFonts w:ascii="Arial" w:hAnsi="Arial" w:cs="Arial"/>
                <w:sz w:val="24"/>
                <w:szCs w:val="24"/>
              </w:rPr>
            </w:pPr>
            <w:r w:rsidRPr="00FA3F9C">
              <w:rPr>
                <w:rFonts w:ascii="Arial" w:hAnsi="Arial" w:cs="Arial"/>
                <w:sz w:val="24"/>
                <w:szCs w:val="24"/>
              </w:rPr>
              <w:t>NPI Number:</w:t>
            </w:r>
          </w:p>
        </w:tc>
        <w:tc>
          <w:tcPr>
            <w:tcW w:w="5598" w:type="dxa"/>
            <w:vAlign w:val="bottom"/>
          </w:tcPr>
          <w:p w14:paraId="65F66B12" w14:textId="77777777" w:rsidR="009B5AA5" w:rsidRPr="00FA3F9C" w:rsidRDefault="009B5AA5" w:rsidP="0087129E">
            <w:pPr>
              <w:pStyle w:val="BodyText"/>
              <w:tabs>
                <w:tab w:val="left" w:pos="5670"/>
                <w:tab w:val="left" w:pos="6120"/>
              </w:tabs>
              <w:rPr>
                <w:rFonts w:ascii="Arial" w:hAnsi="Arial" w:cs="Arial"/>
                <w:sz w:val="24"/>
                <w:szCs w:val="24"/>
              </w:rPr>
            </w:pPr>
            <w:r w:rsidRPr="00FA3F9C">
              <w:rPr>
                <w:rFonts w:ascii="Arial" w:hAnsi="Arial" w:cs="Arial"/>
                <w:sz w:val="24"/>
                <w:szCs w:val="24"/>
              </w:rPr>
              <w:t>ID Number:</w:t>
            </w:r>
          </w:p>
        </w:tc>
      </w:tr>
      <w:tr w:rsidR="009B5AA5" w:rsidRPr="00FA3F9C" w14:paraId="21CBD545" w14:textId="77777777" w:rsidTr="00263223">
        <w:trPr>
          <w:trHeight w:val="440"/>
        </w:trPr>
        <w:tc>
          <w:tcPr>
            <w:tcW w:w="5418" w:type="dxa"/>
            <w:vAlign w:val="bottom"/>
          </w:tcPr>
          <w:p w14:paraId="122715B4" w14:textId="77777777" w:rsidR="009B5AA5" w:rsidRPr="00FA3F9C" w:rsidRDefault="009B5AA5" w:rsidP="0087129E">
            <w:pPr>
              <w:pStyle w:val="BodyText"/>
              <w:tabs>
                <w:tab w:val="left" w:pos="5670"/>
                <w:tab w:val="left" w:pos="6120"/>
              </w:tabs>
              <w:rPr>
                <w:rFonts w:ascii="Arial" w:hAnsi="Arial" w:cs="Arial"/>
                <w:sz w:val="24"/>
                <w:szCs w:val="24"/>
              </w:rPr>
            </w:pPr>
            <w:r w:rsidRPr="00FA3F9C">
              <w:rPr>
                <w:rFonts w:ascii="Arial" w:hAnsi="Arial" w:cs="Arial"/>
                <w:sz w:val="24"/>
                <w:szCs w:val="24"/>
              </w:rPr>
              <w:t>Name:</w:t>
            </w:r>
          </w:p>
        </w:tc>
        <w:tc>
          <w:tcPr>
            <w:tcW w:w="5598" w:type="dxa"/>
            <w:vAlign w:val="bottom"/>
          </w:tcPr>
          <w:p w14:paraId="00784A6D" w14:textId="77777777" w:rsidR="009B5AA5" w:rsidRPr="00FA3F9C" w:rsidRDefault="009B5AA5" w:rsidP="0087129E">
            <w:pPr>
              <w:pStyle w:val="BodyText"/>
              <w:tabs>
                <w:tab w:val="left" w:pos="5670"/>
                <w:tab w:val="left" w:pos="6120"/>
              </w:tabs>
              <w:rPr>
                <w:rFonts w:ascii="Arial" w:hAnsi="Arial" w:cs="Arial"/>
                <w:sz w:val="24"/>
                <w:szCs w:val="24"/>
              </w:rPr>
            </w:pPr>
            <w:r w:rsidRPr="00FA3F9C">
              <w:rPr>
                <w:rFonts w:ascii="Arial" w:hAnsi="Arial" w:cs="Arial"/>
                <w:sz w:val="24"/>
                <w:szCs w:val="24"/>
              </w:rPr>
              <w:t>Name:</w:t>
            </w:r>
          </w:p>
        </w:tc>
      </w:tr>
      <w:tr w:rsidR="009B5AA5" w:rsidRPr="00FA3F9C" w14:paraId="0DA78C17" w14:textId="77777777" w:rsidTr="00263223">
        <w:trPr>
          <w:trHeight w:val="440"/>
        </w:trPr>
        <w:tc>
          <w:tcPr>
            <w:tcW w:w="5418" w:type="dxa"/>
            <w:vAlign w:val="center"/>
          </w:tcPr>
          <w:p w14:paraId="23C18F36" w14:textId="77777777" w:rsidR="009B5AA5" w:rsidRPr="00FA3F9C" w:rsidRDefault="009B5AA5" w:rsidP="0087129E">
            <w:pPr>
              <w:pStyle w:val="BodyText"/>
              <w:tabs>
                <w:tab w:val="left" w:pos="5670"/>
                <w:tab w:val="left" w:pos="6120"/>
              </w:tabs>
              <w:rPr>
                <w:rFonts w:ascii="Arial" w:hAnsi="Arial" w:cs="Arial"/>
                <w:sz w:val="24"/>
                <w:szCs w:val="24"/>
              </w:rPr>
            </w:pPr>
          </w:p>
          <w:p w14:paraId="539FD31C" w14:textId="77777777" w:rsidR="009B5AA5" w:rsidRPr="00FA3F9C" w:rsidRDefault="009B5AA5" w:rsidP="0087129E">
            <w:pPr>
              <w:pStyle w:val="BodyText"/>
              <w:tabs>
                <w:tab w:val="left" w:pos="5670"/>
                <w:tab w:val="left" w:pos="6120"/>
              </w:tabs>
              <w:rPr>
                <w:rFonts w:ascii="Arial" w:hAnsi="Arial" w:cs="Arial"/>
                <w:sz w:val="24"/>
                <w:szCs w:val="24"/>
              </w:rPr>
            </w:pPr>
            <w:r w:rsidRPr="00FA3F9C">
              <w:rPr>
                <w:rFonts w:ascii="Arial" w:hAnsi="Arial" w:cs="Arial"/>
                <w:sz w:val="24"/>
                <w:szCs w:val="24"/>
              </w:rPr>
              <w:t>Phone:   (                 )</w:t>
            </w:r>
          </w:p>
        </w:tc>
        <w:tc>
          <w:tcPr>
            <w:tcW w:w="5598" w:type="dxa"/>
            <w:vAlign w:val="bottom"/>
          </w:tcPr>
          <w:p w14:paraId="3572BC1E" w14:textId="77777777" w:rsidR="009B5AA5" w:rsidRPr="00FA3F9C" w:rsidRDefault="009B5AA5" w:rsidP="0087129E">
            <w:pPr>
              <w:pStyle w:val="BodyText"/>
              <w:tabs>
                <w:tab w:val="left" w:pos="5670"/>
                <w:tab w:val="left" w:pos="6120"/>
              </w:tabs>
              <w:rPr>
                <w:rFonts w:ascii="Arial" w:hAnsi="Arial" w:cs="Arial"/>
                <w:sz w:val="24"/>
                <w:szCs w:val="24"/>
              </w:rPr>
            </w:pPr>
            <w:r w:rsidRPr="00FA3F9C">
              <w:rPr>
                <w:rFonts w:ascii="Arial" w:hAnsi="Arial" w:cs="Arial"/>
                <w:sz w:val="24"/>
                <w:szCs w:val="24"/>
              </w:rPr>
              <w:t>Date of Birth:             /               /</w:t>
            </w:r>
          </w:p>
        </w:tc>
      </w:tr>
      <w:tr w:rsidR="009B5AA5" w:rsidRPr="00FA3F9C" w14:paraId="62E50F99" w14:textId="77777777" w:rsidTr="00263223">
        <w:tc>
          <w:tcPr>
            <w:tcW w:w="5418" w:type="dxa"/>
            <w:vAlign w:val="center"/>
          </w:tcPr>
          <w:p w14:paraId="6FB602E1" w14:textId="77777777" w:rsidR="009B5AA5" w:rsidRPr="00FA3F9C" w:rsidRDefault="009B5AA5" w:rsidP="0087129E">
            <w:pPr>
              <w:pStyle w:val="BodyText"/>
              <w:tabs>
                <w:tab w:val="left" w:pos="5670"/>
                <w:tab w:val="left" w:pos="6120"/>
              </w:tabs>
              <w:rPr>
                <w:rFonts w:ascii="Arial" w:hAnsi="Arial" w:cs="Arial"/>
                <w:sz w:val="24"/>
                <w:szCs w:val="24"/>
              </w:rPr>
            </w:pPr>
          </w:p>
          <w:p w14:paraId="3499583E" w14:textId="77777777" w:rsidR="009B5AA5" w:rsidRPr="00FA3F9C" w:rsidRDefault="009B5AA5" w:rsidP="0087129E">
            <w:pPr>
              <w:pStyle w:val="BodyText"/>
              <w:tabs>
                <w:tab w:val="left" w:pos="5670"/>
                <w:tab w:val="left" w:pos="6120"/>
              </w:tabs>
              <w:rPr>
                <w:rFonts w:ascii="Arial" w:hAnsi="Arial" w:cs="Arial"/>
                <w:sz w:val="24"/>
                <w:szCs w:val="24"/>
              </w:rPr>
            </w:pPr>
            <w:r w:rsidRPr="00FA3F9C">
              <w:rPr>
                <w:rFonts w:ascii="Arial" w:hAnsi="Arial" w:cs="Arial"/>
                <w:sz w:val="24"/>
                <w:szCs w:val="24"/>
              </w:rPr>
              <w:t>Fax:        (                 )</w:t>
            </w:r>
          </w:p>
        </w:tc>
        <w:tc>
          <w:tcPr>
            <w:tcW w:w="5598" w:type="dxa"/>
            <w:vMerge w:val="restart"/>
            <w:vAlign w:val="center"/>
          </w:tcPr>
          <w:p w14:paraId="79DB0894" w14:textId="77777777" w:rsidR="009B5AA5" w:rsidRPr="00FA3F9C" w:rsidRDefault="009B5AA5" w:rsidP="0087129E">
            <w:pPr>
              <w:pStyle w:val="BodyText"/>
              <w:tabs>
                <w:tab w:val="left" w:pos="5670"/>
                <w:tab w:val="left" w:pos="6120"/>
              </w:tabs>
              <w:rPr>
                <w:rFonts w:ascii="Arial" w:hAnsi="Arial" w:cs="Arial"/>
                <w:sz w:val="24"/>
                <w:szCs w:val="24"/>
              </w:rPr>
            </w:pPr>
            <w:r w:rsidRPr="00FA3F9C">
              <w:rPr>
                <w:rFonts w:ascii="Arial" w:hAnsi="Arial" w:cs="Arial"/>
                <w:sz w:val="24"/>
                <w:szCs w:val="24"/>
              </w:rPr>
              <w:t>Address:</w:t>
            </w:r>
          </w:p>
        </w:tc>
      </w:tr>
      <w:tr w:rsidR="009B5AA5" w:rsidRPr="00FA3F9C" w14:paraId="3D6E9BFE" w14:textId="77777777" w:rsidTr="00263223">
        <w:tc>
          <w:tcPr>
            <w:tcW w:w="5418" w:type="dxa"/>
            <w:vAlign w:val="bottom"/>
          </w:tcPr>
          <w:p w14:paraId="089447E9" w14:textId="77777777" w:rsidR="009B5AA5" w:rsidRPr="00FA3F9C" w:rsidRDefault="009B5AA5" w:rsidP="0087129E">
            <w:pPr>
              <w:pStyle w:val="BodyText"/>
              <w:tabs>
                <w:tab w:val="left" w:pos="5670"/>
                <w:tab w:val="left" w:pos="6120"/>
              </w:tabs>
              <w:rPr>
                <w:rFonts w:ascii="Arial" w:hAnsi="Arial" w:cs="Arial"/>
                <w:sz w:val="24"/>
                <w:szCs w:val="24"/>
              </w:rPr>
            </w:pPr>
            <w:r w:rsidRPr="00FA3F9C">
              <w:rPr>
                <w:rFonts w:ascii="Arial" w:hAnsi="Arial" w:cs="Arial"/>
                <w:sz w:val="24"/>
                <w:szCs w:val="24"/>
              </w:rPr>
              <w:t>Address:</w:t>
            </w:r>
          </w:p>
        </w:tc>
        <w:tc>
          <w:tcPr>
            <w:tcW w:w="5598" w:type="dxa"/>
            <w:vMerge/>
            <w:shd w:val="clear" w:color="auto" w:fill="auto"/>
            <w:vAlign w:val="center"/>
          </w:tcPr>
          <w:p w14:paraId="3B977BA1" w14:textId="77777777" w:rsidR="009B5AA5" w:rsidRPr="00FA3F9C" w:rsidRDefault="009B5AA5" w:rsidP="0087129E">
            <w:pPr>
              <w:pStyle w:val="BodyText"/>
              <w:tabs>
                <w:tab w:val="left" w:pos="5670"/>
                <w:tab w:val="left" w:pos="6120"/>
              </w:tabs>
              <w:rPr>
                <w:rFonts w:ascii="Arial" w:hAnsi="Arial" w:cs="Arial"/>
                <w:sz w:val="24"/>
                <w:szCs w:val="24"/>
              </w:rPr>
            </w:pPr>
          </w:p>
        </w:tc>
      </w:tr>
      <w:tr w:rsidR="009B5AA5" w:rsidRPr="00FA3F9C" w14:paraId="32CC6626" w14:textId="77777777" w:rsidTr="00263223">
        <w:trPr>
          <w:trHeight w:val="278"/>
        </w:trPr>
        <w:tc>
          <w:tcPr>
            <w:tcW w:w="5418" w:type="dxa"/>
            <w:vAlign w:val="bottom"/>
          </w:tcPr>
          <w:p w14:paraId="57632435" w14:textId="77777777" w:rsidR="009B5AA5" w:rsidRPr="00FA3F9C" w:rsidRDefault="009B5AA5" w:rsidP="0087129E">
            <w:pPr>
              <w:pStyle w:val="BodyText"/>
              <w:tabs>
                <w:tab w:val="left" w:pos="5670"/>
                <w:tab w:val="left" w:pos="6120"/>
              </w:tabs>
              <w:rPr>
                <w:rFonts w:ascii="Arial" w:hAnsi="Arial" w:cs="Arial"/>
                <w:sz w:val="24"/>
                <w:szCs w:val="24"/>
              </w:rPr>
            </w:pPr>
            <w:r w:rsidRPr="00FA3F9C">
              <w:rPr>
                <w:rFonts w:ascii="Arial" w:hAnsi="Arial" w:cs="Arial"/>
                <w:sz w:val="24"/>
                <w:szCs w:val="24"/>
              </w:rPr>
              <w:t>City:                                      State:      ZIP:</w:t>
            </w:r>
          </w:p>
        </w:tc>
        <w:tc>
          <w:tcPr>
            <w:tcW w:w="5598" w:type="dxa"/>
            <w:shd w:val="clear" w:color="auto" w:fill="auto"/>
          </w:tcPr>
          <w:p w14:paraId="1170E34B" w14:textId="77777777" w:rsidR="009B5AA5" w:rsidRPr="00FA3F9C" w:rsidRDefault="009B5AA5" w:rsidP="0087129E">
            <w:pPr>
              <w:pStyle w:val="BodyText"/>
              <w:tabs>
                <w:tab w:val="left" w:pos="5670"/>
                <w:tab w:val="left" w:pos="6120"/>
              </w:tabs>
              <w:rPr>
                <w:rFonts w:ascii="Arial" w:hAnsi="Arial" w:cs="Arial"/>
                <w:sz w:val="24"/>
                <w:szCs w:val="24"/>
              </w:rPr>
            </w:pPr>
            <w:r w:rsidRPr="00FA3F9C">
              <w:rPr>
                <w:rFonts w:ascii="Arial" w:hAnsi="Arial" w:cs="Arial"/>
                <w:sz w:val="24"/>
                <w:szCs w:val="24"/>
              </w:rPr>
              <w:t>City:                                      State:      ZIP:</w:t>
            </w:r>
          </w:p>
        </w:tc>
      </w:tr>
    </w:tbl>
    <w:p w14:paraId="66779898" w14:textId="77777777" w:rsidR="009B5AA5" w:rsidRPr="00FA3F9C" w:rsidRDefault="009B5AA5" w:rsidP="00B36B25">
      <w:pPr>
        <w:pStyle w:val="BodyText"/>
        <w:pBdr>
          <w:left w:val="single" w:sz="4" w:space="4" w:color="auto"/>
          <w:bottom w:val="single" w:sz="4" w:space="1" w:color="auto"/>
          <w:right w:val="single" w:sz="4" w:space="4" w:color="auto"/>
        </w:pBdr>
        <w:tabs>
          <w:tab w:val="left" w:pos="5670"/>
          <w:tab w:val="left" w:pos="6120"/>
        </w:tabs>
        <w:rPr>
          <w:rFonts w:ascii="Arial" w:hAnsi="Arial" w:cs="Arial"/>
          <w:b/>
          <w:sz w:val="24"/>
          <w:szCs w:val="24"/>
        </w:rPr>
      </w:pPr>
    </w:p>
    <w:p w14:paraId="1525E26D" w14:textId="77777777" w:rsidR="009B5AA5" w:rsidRPr="00FA3F9C" w:rsidRDefault="009B5AA5" w:rsidP="00B36B25">
      <w:pPr>
        <w:pStyle w:val="BodyText"/>
        <w:pBdr>
          <w:left w:val="single" w:sz="4" w:space="4" w:color="auto"/>
          <w:bottom w:val="single" w:sz="4" w:space="1" w:color="auto"/>
          <w:right w:val="single" w:sz="4" w:space="4" w:color="auto"/>
        </w:pBdr>
        <w:tabs>
          <w:tab w:val="left" w:pos="5670"/>
          <w:tab w:val="left" w:pos="6120"/>
        </w:tabs>
        <w:rPr>
          <w:rFonts w:ascii="Arial" w:hAnsi="Arial" w:cs="Arial"/>
          <w:bCs/>
          <w:sz w:val="24"/>
          <w:szCs w:val="24"/>
          <w:u w:val="single"/>
        </w:rPr>
      </w:pPr>
      <w:r w:rsidRPr="00FA3F9C">
        <w:rPr>
          <w:rFonts w:ascii="Arial" w:hAnsi="Arial" w:cs="Arial"/>
          <w:sz w:val="24"/>
          <w:szCs w:val="24"/>
        </w:rPr>
        <w:sym w:font="Wingdings" w:char="F0FE"/>
      </w:r>
      <w:r w:rsidRPr="00FA3F9C">
        <w:rPr>
          <w:rFonts w:ascii="Arial" w:hAnsi="Arial" w:cs="Arial"/>
          <w:b/>
          <w:sz w:val="24"/>
          <w:szCs w:val="24"/>
        </w:rPr>
        <w:t xml:space="preserve"> Birth Weight:  _______ kg,    </w:t>
      </w:r>
      <w:r w:rsidRPr="00FA3F9C">
        <w:rPr>
          <w:rFonts w:ascii="Arial" w:hAnsi="Arial" w:cs="Arial"/>
          <w:sz w:val="24"/>
          <w:szCs w:val="24"/>
        </w:rPr>
        <w:sym w:font="Wingdings" w:char="F0FE"/>
      </w:r>
      <w:r w:rsidRPr="00FA3F9C">
        <w:rPr>
          <w:rFonts w:ascii="Arial" w:hAnsi="Arial" w:cs="Arial"/>
          <w:b/>
          <w:sz w:val="24"/>
          <w:szCs w:val="24"/>
        </w:rPr>
        <w:t xml:space="preserve"> </w:t>
      </w:r>
      <w:r w:rsidRPr="00FA3F9C">
        <w:rPr>
          <w:rFonts w:ascii="Arial" w:hAnsi="Arial" w:cs="Arial"/>
          <w:b/>
          <w:bCs/>
          <w:sz w:val="24"/>
          <w:szCs w:val="24"/>
        </w:rPr>
        <w:t xml:space="preserve">Current Weight*: _______ kg,    </w:t>
      </w:r>
      <w:r w:rsidRPr="00FA3F9C">
        <w:rPr>
          <w:rFonts w:ascii="Arial" w:hAnsi="Arial" w:cs="Arial"/>
          <w:bCs/>
          <w:sz w:val="24"/>
          <w:szCs w:val="24"/>
        </w:rPr>
        <w:sym w:font="Wingdings" w:char="F0FE"/>
      </w:r>
      <w:r w:rsidRPr="00FA3F9C">
        <w:rPr>
          <w:rFonts w:ascii="Arial" w:hAnsi="Arial" w:cs="Arial"/>
          <w:b/>
          <w:bCs/>
          <w:sz w:val="24"/>
          <w:szCs w:val="24"/>
        </w:rPr>
        <w:t xml:space="preserve"> Date Measured: </w:t>
      </w:r>
      <w:r w:rsidRPr="00FA3F9C">
        <w:rPr>
          <w:rFonts w:ascii="Arial" w:hAnsi="Arial" w:cs="Arial"/>
          <w:b/>
          <w:bCs/>
          <w:sz w:val="24"/>
          <w:szCs w:val="24"/>
          <w:u w:val="thick"/>
        </w:rPr>
        <w:t xml:space="preserve">         /          /____         </w:t>
      </w:r>
    </w:p>
    <w:p w14:paraId="696C35F4" w14:textId="77777777" w:rsidR="009B5AA5" w:rsidRPr="00FA3F9C" w:rsidRDefault="009B5AA5" w:rsidP="00B36B25">
      <w:pPr>
        <w:pStyle w:val="BodyText"/>
        <w:pBdr>
          <w:left w:val="single" w:sz="4" w:space="4" w:color="auto"/>
          <w:bottom w:val="single" w:sz="4" w:space="1" w:color="auto"/>
          <w:right w:val="single" w:sz="4" w:space="4" w:color="auto"/>
        </w:pBdr>
        <w:tabs>
          <w:tab w:val="left" w:pos="5670"/>
          <w:tab w:val="left" w:pos="6120"/>
        </w:tabs>
        <w:jc w:val="center"/>
        <w:rPr>
          <w:rFonts w:ascii="Arial" w:hAnsi="Arial" w:cs="Arial"/>
          <w:bCs/>
          <w:sz w:val="24"/>
          <w:szCs w:val="24"/>
        </w:rPr>
      </w:pPr>
      <w:r w:rsidRPr="00FA3F9C">
        <w:rPr>
          <w:rFonts w:ascii="Arial" w:hAnsi="Arial" w:cs="Arial"/>
          <w:bCs/>
          <w:sz w:val="24"/>
          <w:szCs w:val="24"/>
        </w:rPr>
        <w:t>*Current weight will need to be measured within the past 30 days</w:t>
      </w:r>
    </w:p>
    <w:p w14:paraId="775EC0FB" w14:textId="77777777" w:rsidR="009B5AA5" w:rsidRPr="00FA3F9C" w:rsidRDefault="009B5AA5" w:rsidP="00B36B25">
      <w:pPr>
        <w:pStyle w:val="BodyText"/>
        <w:pBdr>
          <w:left w:val="single" w:sz="4" w:space="4" w:color="auto"/>
          <w:bottom w:val="single" w:sz="4" w:space="1" w:color="auto"/>
          <w:right w:val="single" w:sz="4" w:space="4" w:color="auto"/>
        </w:pBdr>
        <w:tabs>
          <w:tab w:val="left" w:pos="5670"/>
          <w:tab w:val="left" w:pos="6120"/>
        </w:tabs>
        <w:rPr>
          <w:rFonts w:ascii="Arial" w:hAnsi="Arial" w:cs="Arial"/>
          <w:b/>
          <w:bCs/>
          <w:sz w:val="24"/>
          <w:szCs w:val="24"/>
        </w:rPr>
      </w:pPr>
      <w:r w:rsidRPr="00FA3F9C">
        <w:rPr>
          <w:rFonts w:ascii="Arial" w:hAnsi="Arial" w:cs="Arial"/>
          <w:bCs/>
          <w:sz w:val="24"/>
          <w:szCs w:val="24"/>
        </w:rPr>
        <w:sym w:font="Wingdings" w:char="F0FE"/>
      </w:r>
      <w:r w:rsidRPr="00FA3F9C">
        <w:rPr>
          <w:rFonts w:ascii="Arial" w:hAnsi="Arial" w:cs="Arial"/>
          <w:b/>
          <w:bCs/>
          <w:sz w:val="24"/>
          <w:szCs w:val="24"/>
        </w:rPr>
        <w:t xml:space="preserve"> Estimated Gestational Age at Birth: ______________________ </w:t>
      </w:r>
    </w:p>
    <w:p w14:paraId="091E5A3E" w14:textId="77777777" w:rsidR="009B5AA5" w:rsidRPr="00FA3F9C" w:rsidRDefault="009B5AA5" w:rsidP="00B36B25">
      <w:pPr>
        <w:pBdr>
          <w:left w:val="single" w:sz="4" w:space="4" w:color="auto"/>
          <w:bottom w:val="single" w:sz="4" w:space="1" w:color="auto"/>
          <w:right w:val="single" w:sz="4" w:space="4" w:color="auto"/>
        </w:pBdr>
        <w:rPr>
          <w:rFonts w:ascii="Arial" w:hAnsi="Arial" w:cs="Arial"/>
          <w:b/>
          <w:sz w:val="24"/>
          <w:szCs w:val="24"/>
        </w:rPr>
      </w:pPr>
    </w:p>
    <w:p w14:paraId="6C78B624" w14:textId="77777777" w:rsidR="009B5AA5" w:rsidRPr="00FA3F9C" w:rsidRDefault="009B5AA5" w:rsidP="00B36B25">
      <w:pPr>
        <w:pBdr>
          <w:bottom w:val="single" w:sz="4" w:space="1" w:color="auto"/>
        </w:pBdr>
        <w:jc w:val="center"/>
        <w:rPr>
          <w:rFonts w:ascii="Arial" w:hAnsi="Arial" w:cs="Arial"/>
          <w:sz w:val="24"/>
          <w:szCs w:val="24"/>
        </w:rPr>
      </w:pPr>
      <w:r w:rsidRPr="00FA3F9C">
        <w:rPr>
          <w:rFonts w:ascii="Arial" w:hAnsi="Arial" w:cs="Arial"/>
          <w:sz w:val="24"/>
          <w:szCs w:val="24"/>
        </w:rPr>
        <w:sym w:font="Wingdings" w:char="F0FE"/>
      </w:r>
      <w:r w:rsidRPr="00FA3F9C">
        <w:rPr>
          <w:rFonts w:ascii="Arial" w:hAnsi="Arial" w:cs="Arial"/>
          <w:sz w:val="24"/>
          <w:szCs w:val="24"/>
        </w:rPr>
        <w:t xml:space="preserve"> Select </w:t>
      </w:r>
      <w:r w:rsidRPr="00FA3F9C">
        <w:rPr>
          <w:rFonts w:ascii="Arial" w:hAnsi="Arial" w:cs="Arial"/>
          <w:b/>
          <w:sz w:val="24"/>
          <w:szCs w:val="24"/>
          <w:u w:val="single"/>
        </w:rPr>
        <w:t>ONE</w:t>
      </w:r>
      <w:r w:rsidRPr="00FA3F9C">
        <w:rPr>
          <w:rFonts w:ascii="Arial" w:hAnsi="Arial" w:cs="Arial"/>
          <w:b/>
          <w:sz w:val="24"/>
          <w:szCs w:val="24"/>
        </w:rPr>
        <w:t>**</w:t>
      </w:r>
      <w:r w:rsidRPr="00FA3F9C">
        <w:rPr>
          <w:rFonts w:ascii="Arial" w:hAnsi="Arial" w:cs="Arial"/>
          <w:sz w:val="24"/>
          <w:szCs w:val="24"/>
        </w:rPr>
        <w:t xml:space="preserve"> of the following criteria the patient currently meets to be considered for RSV prophylaxis: </w:t>
      </w:r>
    </w:p>
    <w:p w14:paraId="6DF07711" w14:textId="77777777" w:rsidR="009B5AA5" w:rsidRPr="00FA3F9C" w:rsidRDefault="009B5AA5" w:rsidP="00054380">
      <w:pPr>
        <w:pBdr>
          <w:top w:val="single" w:sz="4" w:space="1" w:color="auto"/>
          <w:left w:val="single" w:sz="4" w:space="22" w:color="auto"/>
          <w:bottom w:val="single" w:sz="4" w:space="1" w:color="auto"/>
          <w:right w:val="single" w:sz="4" w:space="4" w:color="auto"/>
        </w:pBdr>
        <w:ind w:left="360"/>
        <w:rPr>
          <w:rFonts w:ascii="Arial" w:hAnsi="Arial" w:cs="Arial"/>
          <w:sz w:val="24"/>
          <w:szCs w:val="24"/>
        </w:rPr>
      </w:pPr>
    </w:p>
    <w:p w14:paraId="3D14A7E9" w14:textId="77777777" w:rsidR="009B5AA5" w:rsidRPr="00FA3F9C" w:rsidRDefault="009B5AA5" w:rsidP="00FC1E85">
      <w:pPr>
        <w:numPr>
          <w:ilvl w:val="0"/>
          <w:numId w:val="407"/>
        </w:numPr>
        <w:pBdr>
          <w:top w:val="single" w:sz="4" w:space="1" w:color="auto"/>
          <w:left w:val="single" w:sz="4" w:space="4" w:color="auto"/>
          <w:bottom w:val="single" w:sz="4" w:space="1" w:color="auto"/>
          <w:right w:val="single" w:sz="4" w:space="4" w:color="auto"/>
        </w:pBdr>
        <w:tabs>
          <w:tab w:val="num" w:pos="360"/>
        </w:tabs>
        <w:spacing w:after="0" w:line="240" w:lineRule="auto"/>
        <w:ind w:left="360" w:hanging="360"/>
        <w:rPr>
          <w:rFonts w:ascii="Arial" w:hAnsi="Arial" w:cs="Arial"/>
          <w:sz w:val="24"/>
          <w:szCs w:val="24"/>
        </w:rPr>
      </w:pPr>
      <w:r w:rsidRPr="00FA3F9C">
        <w:rPr>
          <w:rFonts w:ascii="Arial" w:hAnsi="Arial" w:cs="Arial"/>
          <w:sz w:val="24"/>
          <w:szCs w:val="24"/>
        </w:rPr>
        <w:t xml:space="preserve">1.  Chronic lung disease of prematurity (CLD) AND &lt; 12 months of age at </w:t>
      </w:r>
      <w:r w:rsidRPr="00FA3F9C">
        <w:rPr>
          <w:rFonts w:ascii="Arial" w:hAnsi="Arial" w:cs="Arial"/>
          <w:b/>
          <w:i/>
          <w:sz w:val="24"/>
          <w:szCs w:val="24"/>
        </w:rPr>
        <w:t>start</w:t>
      </w:r>
      <w:r w:rsidRPr="00FA3F9C">
        <w:rPr>
          <w:rFonts w:ascii="Arial" w:hAnsi="Arial" w:cs="Arial"/>
          <w:sz w:val="24"/>
          <w:szCs w:val="24"/>
        </w:rPr>
        <w:t xml:space="preserve"> of RSV season. CLD of prematurity is defined as gestational age &lt;32 weeks, 0 days and a requirement for &gt;21% oxygen for at least the first 28 days after birth.  Palivizumab prophylaxis is recommended in the second year of life only for infants with CLD of prematurity as defined above and who continue to require supplemental oxygen, chronic systemic corticosteroid therapy or diuretic therapy during the </w:t>
      </w:r>
      <w:proofErr w:type="gramStart"/>
      <w:r w:rsidRPr="00FA3F9C">
        <w:rPr>
          <w:rFonts w:ascii="Arial" w:hAnsi="Arial" w:cs="Arial"/>
          <w:sz w:val="24"/>
          <w:szCs w:val="24"/>
        </w:rPr>
        <w:t>6 month</w:t>
      </w:r>
      <w:proofErr w:type="gramEnd"/>
      <w:r w:rsidRPr="00FA3F9C">
        <w:rPr>
          <w:rFonts w:ascii="Arial" w:hAnsi="Arial" w:cs="Arial"/>
          <w:sz w:val="24"/>
          <w:szCs w:val="24"/>
        </w:rPr>
        <w:t xml:space="preserve"> period before the start of the second RSV season.</w:t>
      </w:r>
    </w:p>
    <w:p w14:paraId="5C7A5C4D" w14:textId="77777777" w:rsidR="009B5AA5" w:rsidRPr="00FA3F9C" w:rsidRDefault="009B5AA5" w:rsidP="00B36B25">
      <w:pPr>
        <w:pBdr>
          <w:top w:val="single" w:sz="4" w:space="1" w:color="auto"/>
          <w:left w:val="single" w:sz="4" w:space="4" w:color="auto"/>
          <w:bottom w:val="single" w:sz="4" w:space="1" w:color="auto"/>
          <w:right w:val="single" w:sz="4" w:space="4" w:color="auto"/>
        </w:pBdr>
        <w:rPr>
          <w:rFonts w:ascii="Arial" w:hAnsi="Arial" w:cs="Arial"/>
          <w:sz w:val="24"/>
          <w:szCs w:val="24"/>
        </w:rPr>
      </w:pPr>
    </w:p>
    <w:p w14:paraId="5D33DAD3" w14:textId="77777777" w:rsidR="009B5AA5" w:rsidRPr="00FA3F9C" w:rsidRDefault="009B5AA5" w:rsidP="00FC1E85">
      <w:pPr>
        <w:numPr>
          <w:ilvl w:val="0"/>
          <w:numId w:val="407"/>
        </w:numPr>
        <w:pBdr>
          <w:top w:val="single" w:sz="4" w:space="1" w:color="auto"/>
          <w:left w:val="single" w:sz="4" w:space="4" w:color="auto"/>
          <w:bottom w:val="single" w:sz="4" w:space="1" w:color="auto"/>
          <w:right w:val="single" w:sz="4" w:space="4" w:color="auto"/>
        </w:pBdr>
        <w:tabs>
          <w:tab w:val="num" w:pos="360"/>
        </w:tabs>
        <w:spacing w:after="0" w:line="240" w:lineRule="auto"/>
        <w:ind w:left="360" w:hanging="360"/>
        <w:rPr>
          <w:rFonts w:ascii="Arial" w:hAnsi="Arial" w:cs="Arial"/>
          <w:sz w:val="24"/>
          <w:szCs w:val="24"/>
          <w:u w:val="single"/>
        </w:rPr>
      </w:pPr>
      <w:r w:rsidRPr="00FA3F9C">
        <w:rPr>
          <w:rFonts w:ascii="Arial" w:hAnsi="Arial" w:cs="Arial"/>
          <w:sz w:val="24"/>
          <w:szCs w:val="24"/>
        </w:rPr>
        <w:t xml:space="preserve">2. Former premature (≤ 28 weeks, 6 days estimated gestational age (EGA)) </w:t>
      </w:r>
      <w:r w:rsidRPr="00FA3F9C">
        <w:rPr>
          <w:rFonts w:ascii="Arial" w:hAnsi="Arial" w:cs="Arial"/>
          <w:b/>
          <w:sz w:val="24"/>
          <w:szCs w:val="24"/>
        </w:rPr>
        <w:t>AND</w:t>
      </w:r>
      <w:r w:rsidRPr="00FA3F9C">
        <w:rPr>
          <w:rFonts w:ascii="Arial" w:hAnsi="Arial" w:cs="Arial"/>
          <w:sz w:val="24"/>
          <w:szCs w:val="24"/>
        </w:rPr>
        <w:t xml:space="preserve"> &lt; 12 months of age at the </w:t>
      </w:r>
      <w:r w:rsidRPr="00FA3F9C">
        <w:rPr>
          <w:rFonts w:ascii="Arial" w:hAnsi="Arial" w:cs="Arial"/>
          <w:b/>
          <w:i/>
          <w:sz w:val="24"/>
          <w:szCs w:val="24"/>
        </w:rPr>
        <w:t>start</w:t>
      </w:r>
      <w:r w:rsidRPr="00FA3F9C">
        <w:rPr>
          <w:rFonts w:ascii="Arial" w:hAnsi="Arial" w:cs="Arial"/>
          <w:sz w:val="24"/>
          <w:szCs w:val="24"/>
        </w:rPr>
        <w:t xml:space="preserve"> of RSV season.  For infants born during RSV season, fewer than 5 monthly doses will be needed.</w:t>
      </w:r>
    </w:p>
    <w:p w14:paraId="295EBD3A" w14:textId="77777777" w:rsidR="009B5AA5" w:rsidRPr="00FA3F9C" w:rsidRDefault="009B5AA5" w:rsidP="00B36B25">
      <w:pPr>
        <w:pBdr>
          <w:top w:val="single" w:sz="4" w:space="1" w:color="auto"/>
          <w:left w:val="single" w:sz="4" w:space="4" w:color="auto"/>
          <w:bottom w:val="single" w:sz="4" w:space="1" w:color="auto"/>
          <w:right w:val="single" w:sz="4" w:space="4" w:color="auto"/>
        </w:pBdr>
        <w:rPr>
          <w:rFonts w:ascii="Arial" w:hAnsi="Arial" w:cs="Arial"/>
          <w:sz w:val="24"/>
          <w:szCs w:val="24"/>
          <w:u w:val="single"/>
        </w:rPr>
      </w:pPr>
    </w:p>
    <w:p w14:paraId="328E151D" w14:textId="77777777" w:rsidR="009B5AA5" w:rsidRPr="00FA3F9C" w:rsidRDefault="009B5AA5" w:rsidP="00FC1E85">
      <w:pPr>
        <w:numPr>
          <w:ilvl w:val="0"/>
          <w:numId w:val="407"/>
        </w:numPr>
        <w:pBdr>
          <w:top w:val="single" w:sz="4" w:space="1" w:color="auto"/>
          <w:left w:val="single" w:sz="4" w:space="4" w:color="auto"/>
          <w:bottom w:val="single" w:sz="4" w:space="1" w:color="auto"/>
          <w:right w:val="single" w:sz="4" w:space="4" w:color="auto"/>
        </w:pBdr>
        <w:tabs>
          <w:tab w:val="num" w:pos="360"/>
        </w:tabs>
        <w:spacing w:after="0" w:line="240" w:lineRule="auto"/>
        <w:ind w:left="360" w:hanging="360"/>
        <w:rPr>
          <w:rFonts w:ascii="Arial" w:hAnsi="Arial" w:cs="Arial"/>
          <w:b/>
          <w:sz w:val="24"/>
          <w:szCs w:val="24"/>
          <w:u w:val="single"/>
        </w:rPr>
      </w:pPr>
      <w:r w:rsidRPr="00FA3F9C">
        <w:rPr>
          <w:rFonts w:ascii="Arial" w:hAnsi="Arial" w:cs="Arial"/>
          <w:sz w:val="24"/>
          <w:szCs w:val="24"/>
        </w:rPr>
        <w:t xml:space="preserve">3. Infants </w:t>
      </w:r>
      <w:r w:rsidRPr="00FA3F9C">
        <w:rPr>
          <w:rFonts w:ascii="Arial" w:hAnsi="Arial" w:cs="Arial"/>
          <w:sz w:val="24"/>
          <w:szCs w:val="24"/>
          <w:u w:val="single"/>
        </w:rPr>
        <w:t>&lt;</w:t>
      </w:r>
      <w:r w:rsidRPr="00FA3F9C">
        <w:rPr>
          <w:rFonts w:ascii="Arial" w:hAnsi="Arial" w:cs="Arial"/>
          <w:sz w:val="24"/>
          <w:szCs w:val="24"/>
        </w:rPr>
        <w:t xml:space="preserve"> 12 months of age at start of RSV season with hemodynamically significant congenital heart disease (CHD).  Children that meet </w:t>
      </w:r>
      <w:proofErr w:type="gramStart"/>
      <w:r w:rsidRPr="00FA3F9C">
        <w:rPr>
          <w:rFonts w:ascii="Arial" w:hAnsi="Arial" w:cs="Arial"/>
          <w:sz w:val="24"/>
          <w:szCs w:val="24"/>
        </w:rPr>
        <w:t>this criteria</w:t>
      </w:r>
      <w:proofErr w:type="gramEnd"/>
      <w:r w:rsidRPr="00FA3F9C">
        <w:rPr>
          <w:rFonts w:ascii="Arial" w:hAnsi="Arial" w:cs="Arial"/>
          <w:sz w:val="24"/>
          <w:szCs w:val="24"/>
        </w:rPr>
        <w:t xml:space="preserve"> will be: </w:t>
      </w:r>
      <w:r w:rsidRPr="00FA3F9C">
        <w:rPr>
          <w:rFonts w:ascii="Arial" w:hAnsi="Arial" w:cs="Arial"/>
          <w:b/>
          <w:sz w:val="24"/>
          <w:szCs w:val="24"/>
        </w:rPr>
        <w:t>a)</w:t>
      </w:r>
      <w:r w:rsidRPr="00FA3F9C">
        <w:rPr>
          <w:rFonts w:ascii="Arial" w:hAnsi="Arial" w:cs="Arial"/>
          <w:sz w:val="24"/>
          <w:szCs w:val="24"/>
        </w:rPr>
        <w:t xml:space="preserve"> infants with </w:t>
      </w:r>
      <w:proofErr w:type="spellStart"/>
      <w:r w:rsidRPr="00FA3F9C">
        <w:rPr>
          <w:rFonts w:ascii="Arial" w:hAnsi="Arial" w:cs="Arial"/>
          <w:sz w:val="24"/>
          <w:szCs w:val="24"/>
        </w:rPr>
        <w:t>acyanotic</w:t>
      </w:r>
      <w:proofErr w:type="spellEnd"/>
      <w:r w:rsidRPr="00FA3F9C">
        <w:rPr>
          <w:rFonts w:ascii="Arial" w:hAnsi="Arial" w:cs="Arial"/>
          <w:sz w:val="24"/>
          <w:szCs w:val="24"/>
        </w:rPr>
        <w:t xml:space="preserve"> heart disease who are receiving medication to control congestive heart failure and will require cardiac surgical procedures and </w:t>
      </w:r>
      <w:r w:rsidRPr="00FA3F9C">
        <w:rPr>
          <w:rFonts w:ascii="Arial" w:hAnsi="Arial" w:cs="Arial"/>
          <w:b/>
          <w:sz w:val="24"/>
          <w:szCs w:val="24"/>
        </w:rPr>
        <w:t>b)</w:t>
      </w:r>
      <w:r w:rsidRPr="00FA3F9C">
        <w:rPr>
          <w:rFonts w:ascii="Arial" w:hAnsi="Arial" w:cs="Arial"/>
          <w:sz w:val="24"/>
          <w:szCs w:val="24"/>
        </w:rPr>
        <w:t xml:space="preserve"> infants with moderate to severe pulmonary hypertension.  Infants with cyanotic heart defects in the first year of life will be reviewed on a </w:t>
      </w:r>
      <w:proofErr w:type="gramStart"/>
      <w:r w:rsidRPr="00FA3F9C">
        <w:rPr>
          <w:rFonts w:ascii="Arial" w:hAnsi="Arial" w:cs="Arial"/>
          <w:sz w:val="24"/>
          <w:szCs w:val="24"/>
        </w:rPr>
        <w:t>case by case</w:t>
      </w:r>
      <w:proofErr w:type="gramEnd"/>
      <w:r w:rsidRPr="00FA3F9C">
        <w:rPr>
          <w:rFonts w:ascii="Arial" w:hAnsi="Arial" w:cs="Arial"/>
          <w:sz w:val="24"/>
          <w:szCs w:val="24"/>
        </w:rPr>
        <w:t xml:space="preserve"> basis.</w:t>
      </w:r>
    </w:p>
    <w:p w14:paraId="0FCCD879" w14:textId="77777777" w:rsidR="009B5AA5" w:rsidRPr="00FA3F9C" w:rsidRDefault="009B5AA5" w:rsidP="00B36B25">
      <w:pPr>
        <w:pBdr>
          <w:top w:val="single" w:sz="4" w:space="1" w:color="auto"/>
          <w:left w:val="single" w:sz="4" w:space="4" w:color="auto"/>
          <w:bottom w:val="single" w:sz="4" w:space="1" w:color="auto"/>
          <w:right w:val="single" w:sz="4" w:space="4" w:color="auto"/>
        </w:pBdr>
        <w:tabs>
          <w:tab w:val="num" w:pos="720"/>
        </w:tabs>
        <w:ind w:left="360" w:hanging="360"/>
        <w:rPr>
          <w:rFonts w:ascii="Arial" w:hAnsi="Arial" w:cs="Arial"/>
          <w:i/>
          <w:sz w:val="24"/>
          <w:szCs w:val="24"/>
        </w:rPr>
      </w:pPr>
      <w:r w:rsidRPr="00FA3F9C">
        <w:rPr>
          <w:rFonts w:ascii="Arial" w:hAnsi="Arial" w:cs="Arial"/>
          <w:sz w:val="24"/>
          <w:szCs w:val="24"/>
        </w:rPr>
        <w:tab/>
      </w:r>
      <w:r w:rsidRPr="00FA3F9C">
        <w:rPr>
          <w:rFonts w:ascii="Arial" w:hAnsi="Arial" w:cs="Arial"/>
          <w:sz w:val="24"/>
          <w:szCs w:val="24"/>
        </w:rPr>
        <w:tab/>
      </w:r>
    </w:p>
    <w:p w14:paraId="409952C1" w14:textId="77777777" w:rsidR="009B5AA5" w:rsidRPr="00FA3F9C" w:rsidRDefault="009B5AA5" w:rsidP="00FC1E85">
      <w:pPr>
        <w:numPr>
          <w:ilvl w:val="0"/>
          <w:numId w:val="407"/>
        </w:numPr>
        <w:pBdr>
          <w:top w:val="single" w:sz="4" w:space="1" w:color="auto"/>
          <w:left w:val="single" w:sz="4" w:space="4" w:color="auto"/>
          <w:bottom w:val="single" w:sz="4" w:space="1" w:color="auto"/>
          <w:right w:val="single" w:sz="4" w:space="4" w:color="auto"/>
        </w:pBdr>
        <w:tabs>
          <w:tab w:val="num" w:pos="360"/>
        </w:tabs>
        <w:spacing w:after="0" w:line="240" w:lineRule="auto"/>
        <w:ind w:left="360" w:hanging="360"/>
        <w:rPr>
          <w:rFonts w:ascii="Arial" w:hAnsi="Arial" w:cs="Arial"/>
          <w:i/>
          <w:sz w:val="24"/>
          <w:szCs w:val="24"/>
        </w:rPr>
      </w:pPr>
      <w:r w:rsidRPr="00FA3F9C">
        <w:rPr>
          <w:rFonts w:ascii="Arial" w:hAnsi="Arial" w:cs="Arial"/>
          <w:sz w:val="24"/>
          <w:szCs w:val="24"/>
        </w:rPr>
        <w:t>4. Infants &lt;12 months of age at the start of RSV season with neuromuscular disease or congenital anomaly that impairs the ability to clear secretions from the upper airway because of ineffective cough.</w:t>
      </w:r>
    </w:p>
    <w:p w14:paraId="550883D0" w14:textId="77777777" w:rsidR="009B5AA5" w:rsidRPr="00FA3F9C" w:rsidRDefault="009B5AA5" w:rsidP="00B36B25">
      <w:pPr>
        <w:pBdr>
          <w:top w:val="single" w:sz="4" w:space="1" w:color="auto"/>
          <w:left w:val="single" w:sz="4" w:space="4" w:color="auto"/>
          <w:bottom w:val="single" w:sz="4" w:space="1" w:color="auto"/>
          <w:right w:val="single" w:sz="4" w:space="4" w:color="auto"/>
        </w:pBdr>
        <w:rPr>
          <w:rFonts w:ascii="Arial" w:hAnsi="Arial" w:cs="Arial"/>
          <w:i/>
          <w:sz w:val="24"/>
          <w:szCs w:val="24"/>
        </w:rPr>
      </w:pPr>
    </w:p>
    <w:p w14:paraId="42B5AA43" w14:textId="77777777" w:rsidR="009B5AA5" w:rsidRPr="00FA3F9C" w:rsidRDefault="009B5AA5" w:rsidP="00FC1E85">
      <w:pPr>
        <w:numPr>
          <w:ilvl w:val="0"/>
          <w:numId w:val="407"/>
        </w:numPr>
        <w:pBdr>
          <w:top w:val="single" w:sz="4" w:space="1" w:color="auto"/>
          <w:left w:val="single" w:sz="4" w:space="4" w:color="auto"/>
          <w:bottom w:val="single" w:sz="4" w:space="1" w:color="auto"/>
          <w:right w:val="single" w:sz="4" w:space="4" w:color="auto"/>
        </w:pBdr>
        <w:tabs>
          <w:tab w:val="num" w:pos="360"/>
        </w:tabs>
        <w:spacing w:after="0" w:line="240" w:lineRule="auto"/>
        <w:ind w:left="360" w:hanging="360"/>
        <w:rPr>
          <w:rFonts w:ascii="Arial" w:hAnsi="Arial" w:cs="Arial"/>
          <w:i/>
          <w:sz w:val="24"/>
          <w:szCs w:val="24"/>
        </w:rPr>
      </w:pPr>
      <w:r w:rsidRPr="00FA3F9C">
        <w:rPr>
          <w:rFonts w:ascii="Arial" w:hAnsi="Arial" w:cs="Arial"/>
          <w:sz w:val="24"/>
          <w:szCs w:val="24"/>
        </w:rPr>
        <w:t>5</w:t>
      </w:r>
      <w:r w:rsidRPr="00FA3F9C">
        <w:rPr>
          <w:rFonts w:ascii="Arial" w:hAnsi="Arial" w:cs="Arial"/>
          <w:i/>
          <w:sz w:val="24"/>
          <w:szCs w:val="24"/>
        </w:rPr>
        <w:t xml:space="preserve">.  </w:t>
      </w:r>
      <w:r w:rsidRPr="00FA3F9C">
        <w:rPr>
          <w:rFonts w:ascii="Arial" w:hAnsi="Arial" w:cs="Arial"/>
          <w:sz w:val="24"/>
          <w:szCs w:val="24"/>
        </w:rPr>
        <w:t>Severe immunocompromised AND patient is &lt; 2 years of age.</w:t>
      </w:r>
    </w:p>
    <w:p w14:paraId="4E51B52A" w14:textId="77777777" w:rsidR="009B5AA5" w:rsidRPr="00FA3F9C" w:rsidRDefault="009B5AA5" w:rsidP="00B36B25">
      <w:pPr>
        <w:pBdr>
          <w:top w:val="single" w:sz="4" w:space="1" w:color="auto"/>
          <w:left w:val="single" w:sz="4" w:space="4" w:color="auto"/>
          <w:bottom w:val="single" w:sz="4" w:space="1" w:color="auto"/>
          <w:right w:val="single" w:sz="4" w:space="4" w:color="auto"/>
        </w:pBdr>
        <w:ind w:firstLine="360"/>
        <w:rPr>
          <w:rFonts w:ascii="Arial" w:hAnsi="Arial" w:cs="Arial"/>
          <w:i/>
          <w:sz w:val="24"/>
          <w:szCs w:val="24"/>
        </w:rPr>
      </w:pPr>
    </w:p>
    <w:p w14:paraId="2F9FEA85" w14:textId="77777777" w:rsidR="009B5AA5" w:rsidRPr="00FA3F9C" w:rsidRDefault="009B5AA5" w:rsidP="00B36B25">
      <w:pPr>
        <w:pBdr>
          <w:top w:val="single" w:sz="4" w:space="1" w:color="auto"/>
          <w:left w:val="single" w:sz="4" w:space="4" w:color="auto"/>
          <w:bottom w:val="single" w:sz="4" w:space="1" w:color="auto"/>
          <w:right w:val="single" w:sz="4" w:space="4" w:color="auto"/>
        </w:pBdr>
        <w:rPr>
          <w:rFonts w:ascii="Arial" w:hAnsi="Arial" w:cs="Arial"/>
          <w:b/>
          <w:sz w:val="24"/>
          <w:szCs w:val="24"/>
        </w:rPr>
      </w:pPr>
      <w:r w:rsidRPr="00FA3F9C">
        <w:rPr>
          <w:rFonts w:ascii="Arial" w:hAnsi="Arial" w:cs="Arial"/>
          <w:b/>
          <w:sz w:val="24"/>
          <w:szCs w:val="24"/>
        </w:rPr>
        <w:sym w:font="Wingdings" w:char="F0FE"/>
      </w:r>
      <w:r w:rsidRPr="00FA3F9C">
        <w:rPr>
          <w:rFonts w:ascii="Arial" w:hAnsi="Arial" w:cs="Arial"/>
          <w:b/>
          <w:sz w:val="24"/>
          <w:szCs w:val="24"/>
        </w:rPr>
        <w:t xml:space="preserve"> Signature of person completing form: ___________________________________Date:_____________________</w:t>
      </w:r>
    </w:p>
    <w:p w14:paraId="24F4B720" w14:textId="77777777" w:rsidR="009B5AA5" w:rsidRPr="00FA3F9C" w:rsidRDefault="009B5AA5" w:rsidP="00B36B25">
      <w:pPr>
        <w:pBdr>
          <w:top w:val="single" w:sz="4" w:space="1" w:color="auto"/>
          <w:left w:val="single" w:sz="4" w:space="4" w:color="auto"/>
          <w:bottom w:val="single" w:sz="4" w:space="1" w:color="auto"/>
          <w:right w:val="single" w:sz="4" w:space="4" w:color="auto"/>
        </w:pBdr>
        <w:rPr>
          <w:rFonts w:ascii="Arial" w:hAnsi="Arial" w:cs="Arial"/>
          <w:b/>
          <w:sz w:val="24"/>
          <w:szCs w:val="24"/>
        </w:rPr>
      </w:pPr>
    </w:p>
    <w:p w14:paraId="5B22130D" w14:textId="77777777" w:rsidR="009B5AA5" w:rsidRPr="00FA3F9C" w:rsidRDefault="009B5AA5" w:rsidP="00B36B25">
      <w:pPr>
        <w:pBdr>
          <w:top w:val="single" w:sz="4" w:space="1" w:color="auto"/>
          <w:left w:val="single" w:sz="4" w:space="4" w:color="auto"/>
          <w:bottom w:val="single" w:sz="4" w:space="1" w:color="auto"/>
          <w:right w:val="single" w:sz="4" w:space="4" w:color="auto"/>
        </w:pBdr>
        <w:rPr>
          <w:rFonts w:ascii="Arial" w:hAnsi="Arial" w:cs="Arial"/>
          <w:b/>
          <w:sz w:val="24"/>
          <w:szCs w:val="24"/>
        </w:rPr>
      </w:pPr>
      <w:r w:rsidRPr="00FA3F9C">
        <w:rPr>
          <w:rFonts w:ascii="Arial" w:hAnsi="Arial" w:cs="Arial"/>
          <w:b/>
          <w:sz w:val="24"/>
          <w:szCs w:val="24"/>
        </w:rPr>
        <w:sym w:font="Wingdings" w:char="F0FE"/>
      </w:r>
      <w:r w:rsidRPr="00FA3F9C">
        <w:rPr>
          <w:rFonts w:ascii="Arial" w:hAnsi="Arial" w:cs="Arial"/>
          <w:b/>
          <w:sz w:val="24"/>
          <w:szCs w:val="24"/>
        </w:rPr>
        <w:t xml:space="preserve">  Prescriber Signature: _________________________________________ Date: ___________________________</w:t>
      </w:r>
    </w:p>
    <w:p w14:paraId="4541BE0D" w14:textId="77777777" w:rsidR="009B5AA5" w:rsidRPr="00FA3F9C" w:rsidRDefault="009B5AA5" w:rsidP="00B36B25">
      <w:pPr>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FA3F9C">
        <w:rPr>
          <w:rFonts w:ascii="Arial" w:hAnsi="Arial" w:cs="Arial"/>
          <w:sz w:val="24"/>
          <w:szCs w:val="24"/>
        </w:rPr>
        <w:t xml:space="preserve">(By signature, the prescriber confirms the criteria information above is accurate and verifiable </w:t>
      </w:r>
      <w:proofErr w:type="gramStart"/>
      <w:r w:rsidRPr="00FA3F9C">
        <w:rPr>
          <w:rFonts w:ascii="Arial" w:hAnsi="Arial" w:cs="Arial"/>
          <w:sz w:val="24"/>
          <w:szCs w:val="24"/>
        </w:rPr>
        <w:t>in patient</w:t>
      </w:r>
      <w:proofErr w:type="gramEnd"/>
      <w:r w:rsidRPr="00FA3F9C">
        <w:rPr>
          <w:rFonts w:ascii="Arial" w:hAnsi="Arial" w:cs="Arial"/>
          <w:sz w:val="24"/>
          <w:szCs w:val="24"/>
        </w:rPr>
        <w:t xml:space="preserve"> records)</w:t>
      </w:r>
    </w:p>
    <w:p w14:paraId="0624DAE2" w14:textId="77777777" w:rsidR="009B5AA5" w:rsidRPr="00FA3F9C" w:rsidRDefault="009B5AA5" w:rsidP="00B36B25">
      <w:pPr>
        <w:rPr>
          <w:rFonts w:ascii="Arial" w:hAnsi="Arial" w:cs="Arial"/>
          <w:b/>
          <w:sz w:val="24"/>
          <w:szCs w:val="24"/>
        </w:rPr>
      </w:pPr>
    </w:p>
    <w:p w14:paraId="4EEDC1A1" w14:textId="77777777" w:rsidR="009B5AA5" w:rsidRPr="00FA3F9C" w:rsidRDefault="009B5AA5" w:rsidP="00B36B25">
      <w:pPr>
        <w:rPr>
          <w:rFonts w:ascii="Arial" w:hAnsi="Arial" w:cs="Arial"/>
          <w:b/>
          <w:sz w:val="24"/>
          <w:szCs w:val="24"/>
        </w:rPr>
      </w:pPr>
      <w:r w:rsidRPr="00FA3F9C">
        <w:rPr>
          <w:rFonts w:ascii="Arial" w:hAnsi="Arial" w:cs="Arial"/>
          <w:b/>
          <w:sz w:val="24"/>
          <w:szCs w:val="24"/>
        </w:rPr>
        <w:t xml:space="preserve">**Note: </w:t>
      </w:r>
      <w:r w:rsidRPr="00FA3F9C">
        <w:rPr>
          <w:rFonts w:ascii="Arial" w:hAnsi="Arial" w:cs="Arial"/>
          <w:sz w:val="24"/>
          <w:szCs w:val="24"/>
        </w:rPr>
        <w:t xml:space="preserve">If none of the above criteria are met, an exception request may be submitted in the form of a letter by the prescriber, identifying the patient and documenting the conditions for which the exception is being requested. These letters may be faxed to EBRx at </w:t>
      </w:r>
      <w:r w:rsidRPr="00FA3F9C">
        <w:rPr>
          <w:rFonts w:ascii="Arial" w:hAnsi="Arial" w:cs="Arial"/>
          <w:b/>
          <w:sz w:val="24"/>
          <w:szCs w:val="24"/>
        </w:rPr>
        <w:t>501-526-4189.</w:t>
      </w:r>
    </w:p>
    <w:p w14:paraId="122A19CE" w14:textId="77777777" w:rsidR="009B5AA5" w:rsidRPr="00FA3F9C" w:rsidRDefault="009B5AA5" w:rsidP="00AD49C9">
      <w:pPr>
        <w:rPr>
          <w:rFonts w:ascii="Arial" w:hAnsi="Arial" w:cs="Arial"/>
          <w:b/>
          <w:sz w:val="24"/>
          <w:szCs w:val="24"/>
        </w:rPr>
      </w:pPr>
    </w:p>
    <w:p w14:paraId="742C9EEB" w14:textId="77777777" w:rsidR="009B5AA5" w:rsidRPr="00FA3F9C" w:rsidRDefault="009B5AA5" w:rsidP="00AD49C9">
      <w:pPr>
        <w:rPr>
          <w:rFonts w:ascii="Arial" w:hAnsi="Arial" w:cs="Arial"/>
          <w:b/>
          <w:sz w:val="24"/>
          <w:szCs w:val="24"/>
        </w:rPr>
      </w:pPr>
    </w:p>
    <w:p w14:paraId="6ED98837" w14:textId="77777777" w:rsidR="009B5AA5" w:rsidRPr="00FA3F9C" w:rsidRDefault="009B5AA5" w:rsidP="00AD49C9">
      <w:pPr>
        <w:rPr>
          <w:rFonts w:ascii="Arial" w:hAnsi="Arial" w:cs="Arial"/>
          <w:b/>
          <w:sz w:val="24"/>
          <w:szCs w:val="24"/>
        </w:rPr>
      </w:pPr>
    </w:p>
    <w:p w14:paraId="2A4BA715" w14:textId="77777777" w:rsidR="009B5AA5" w:rsidRPr="00FA3F9C" w:rsidRDefault="009B5AA5" w:rsidP="00AD49C9">
      <w:pPr>
        <w:rPr>
          <w:rFonts w:ascii="Arial" w:hAnsi="Arial" w:cs="Arial"/>
          <w:b/>
          <w:sz w:val="24"/>
          <w:szCs w:val="24"/>
        </w:rPr>
      </w:pPr>
    </w:p>
    <w:p w14:paraId="3355A945" w14:textId="77777777" w:rsidR="009B5AA5" w:rsidRPr="00FA3F9C" w:rsidRDefault="009B5AA5" w:rsidP="00AD49C9">
      <w:pPr>
        <w:rPr>
          <w:rFonts w:ascii="Arial" w:hAnsi="Arial" w:cs="Arial"/>
          <w:b/>
          <w:sz w:val="24"/>
          <w:szCs w:val="24"/>
        </w:rPr>
      </w:pPr>
    </w:p>
    <w:p w14:paraId="784B9155" w14:textId="77777777" w:rsidR="009B5AA5" w:rsidRPr="00FA3F9C" w:rsidRDefault="009B5AA5" w:rsidP="00AD49C9">
      <w:pPr>
        <w:rPr>
          <w:rFonts w:ascii="Arial" w:hAnsi="Arial" w:cs="Arial"/>
          <w:b/>
          <w:sz w:val="24"/>
          <w:szCs w:val="24"/>
        </w:rPr>
      </w:pPr>
    </w:p>
    <w:p w14:paraId="06135ED9" w14:textId="77777777" w:rsidR="009B5AA5" w:rsidRPr="00FA3F9C" w:rsidRDefault="009B5AA5" w:rsidP="00B36B25">
      <w:pPr>
        <w:pBdr>
          <w:top w:val="single" w:sz="4" w:space="1" w:color="auto"/>
        </w:pBdr>
        <w:rPr>
          <w:rFonts w:ascii="Arial" w:hAnsi="Arial" w:cs="Arial"/>
          <w:sz w:val="24"/>
          <w:szCs w:val="24"/>
        </w:rPr>
      </w:pPr>
    </w:p>
    <w:p w14:paraId="302A4CC7" w14:textId="77777777" w:rsidR="009B5AA5" w:rsidRPr="00FA3F9C" w:rsidRDefault="009B5AA5" w:rsidP="00B36B25">
      <w:pPr>
        <w:pBdr>
          <w:top w:val="single" w:sz="4" w:space="1" w:color="auto"/>
        </w:pBdr>
        <w:rPr>
          <w:rFonts w:ascii="Arial" w:hAnsi="Arial" w:cs="Arial"/>
          <w:sz w:val="24"/>
          <w:szCs w:val="24"/>
        </w:rPr>
      </w:pPr>
      <w:r w:rsidRPr="00FA3F9C">
        <w:rPr>
          <w:rFonts w:ascii="Arial" w:hAnsi="Arial" w:cs="Arial"/>
          <w:sz w:val="24"/>
          <w:szCs w:val="24"/>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7920"/>
        <w:gridCol w:w="2178"/>
      </w:tblGrid>
      <w:tr w:rsidR="009B5AA5" w:rsidRPr="00FA3F9C" w14:paraId="493839D9" w14:textId="77777777" w:rsidTr="00263223">
        <w:tc>
          <w:tcPr>
            <w:tcW w:w="918" w:type="dxa"/>
          </w:tcPr>
          <w:p w14:paraId="61D02CA2" w14:textId="77777777" w:rsidR="009B5AA5" w:rsidRPr="00FA3F9C" w:rsidRDefault="009B5AA5" w:rsidP="00263223">
            <w:pPr>
              <w:rPr>
                <w:rFonts w:ascii="Arial" w:hAnsi="Arial" w:cs="Arial"/>
                <w:sz w:val="24"/>
                <w:szCs w:val="24"/>
              </w:rPr>
            </w:pPr>
            <w:r w:rsidRPr="00FA3F9C">
              <w:rPr>
                <w:rFonts w:ascii="Arial" w:hAnsi="Arial" w:cs="Arial"/>
                <w:sz w:val="24"/>
                <w:szCs w:val="24"/>
              </w:rPr>
              <w:t>Date</w:t>
            </w:r>
          </w:p>
        </w:tc>
        <w:tc>
          <w:tcPr>
            <w:tcW w:w="7920" w:type="dxa"/>
          </w:tcPr>
          <w:p w14:paraId="0A4D217D" w14:textId="77777777" w:rsidR="009B5AA5" w:rsidRPr="00FA3F9C" w:rsidRDefault="009B5AA5" w:rsidP="00263223">
            <w:pPr>
              <w:rPr>
                <w:rFonts w:ascii="Arial" w:hAnsi="Arial" w:cs="Arial"/>
                <w:sz w:val="24"/>
                <w:szCs w:val="24"/>
              </w:rPr>
            </w:pPr>
            <w:r w:rsidRPr="00FA3F9C">
              <w:rPr>
                <w:rFonts w:ascii="Arial" w:hAnsi="Arial" w:cs="Arial"/>
                <w:sz w:val="24"/>
                <w:szCs w:val="24"/>
              </w:rPr>
              <w:t>What changed?</w:t>
            </w:r>
          </w:p>
        </w:tc>
        <w:tc>
          <w:tcPr>
            <w:tcW w:w="2178" w:type="dxa"/>
          </w:tcPr>
          <w:p w14:paraId="4C0A7BB2" w14:textId="77777777" w:rsidR="009B5AA5" w:rsidRPr="00FA3F9C" w:rsidRDefault="009B5AA5" w:rsidP="00263223">
            <w:pPr>
              <w:rPr>
                <w:rFonts w:ascii="Arial" w:hAnsi="Arial" w:cs="Arial"/>
                <w:sz w:val="24"/>
                <w:szCs w:val="24"/>
              </w:rPr>
            </w:pPr>
            <w:r w:rsidRPr="00FA3F9C">
              <w:rPr>
                <w:rFonts w:ascii="Arial" w:hAnsi="Arial" w:cs="Arial"/>
                <w:sz w:val="24"/>
                <w:szCs w:val="24"/>
              </w:rPr>
              <w:t>Pharmacist’s initials</w:t>
            </w:r>
          </w:p>
        </w:tc>
      </w:tr>
      <w:tr w:rsidR="009B5AA5" w:rsidRPr="00FA3F9C" w14:paraId="0DCFAF6B" w14:textId="77777777" w:rsidTr="00263223">
        <w:tc>
          <w:tcPr>
            <w:tcW w:w="918" w:type="dxa"/>
          </w:tcPr>
          <w:p w14:paraId="0D10200A" w14:textId="77777777" w:rsidR="009B5AA5" w:rsidRPr="00FA3F9C" w:rsidRDefault="009B5AA5" w:rsidP="00263223">
            <w:pPr>
              <w:rPr>
                <w:rFonts w:ascii="Arial" w:hAnsi="Arial" w:cs="Arial"/>
                <w:sz w:val="24"/>
                <w:szCs w:val="24"/>
              </w:rPr>
            </w:pPr>
            <w:r w:rsidRPr="00FA3F9C">
              <w:rPr>
                <w:rFonts w:ascii="Arial" w:hAnsi="Arial" w:cs="Arial"/>
                <w:sz w:val="24"/>
                <w:szCs w:val="24"/>
              </w:rPr>
              <w:t>5/15/12</w:t>
            </w:r>
          </w:p>
        </w:tc>
        <w:tc>
          <w:tcPr>
            <w:tcW w:w="7920" w:type="dxa"/>
          </w:tcPr>
          <w:p w14:paraId="3EA9C9D1" w14:textId="77777777" w:rsidR="009B5AA5" w:rsidRPr="00FA3F9C" w:rsidRDefault="009B5AA5" w:rsidP="00263223">
            <w:pPr>
              <w:rPr>
                <w:rFonts w:ascii="Arial" w:hAnsi="Arial" w:cs="Arial"/>
                <w:sz w:val="24"/>
                <w:szCs w:val="24"/>
              </w:rPr>
            </w:pPr>
            <w:r w:rsidRPr="00FA3F9C">
              <w:rPr>
                <w:rFonts w:ascii="Arial" w:hAnsi="Arial" w:cs="Arial"/>
                <w:sz w:val="24"/>
                <w:szCs w:val="24"/>
              </w:rPr>
              <w:t>Revision History added</w:t>
            </w:r>
          </w:p>
        </w:tc>
        <w:tc>
          <w:tcPr>
            <w:tcW w:w="2178" w:type="dxa"/>
          </w:tcPr>
          <w:p w14:paraId="12B03AE2" w14:textId="77777777" w:rsidR="009B5AA5" w:rsidRPr="00FA3F9C" w:rsidRDefault="009B5AA5" w:rsidP="00263223">
            <w:pPr>
              <w:rPr>
                <w:rFonts w:ascii="Arial" w:hAnsi="Arial" w:cs="Arial"/>
                <w:sz w:val="24"/>
                <w:szCs w:val="24"/>
              </w:rPr>
            </w:pPr>
            <w:r w:rsidRPr="00FA3F9C">
              <w:rPr>
                <w:rFonts w:ascii="Arial" w:hAnsi="Arial" w:cs="Arial"/>
                <w:sz w:val="24"/>
                <w:szCs w:val="24"/>
              </w:rPr>
              <w:t>JJ</w:t>
            </w:r>
          </w:p>
        </w:tc>
      </w:tr>
      <w:tr w:rsidR="009B5AA5" w:rsidRPr="00FA3F9C" w14:paraId="257132C6" w14:textId="77777777" w:rsidTr="00263223">
        <w:tc>
          <w:tcPr>
            <w:tcW w:w="918" w:type="dxa"/>
          </w:tcPr>
          <w:p w14:paraId="73896200" w14:textId="77777777" w:rsidR="009B5AA5" w:rsidRPr="00FA3F9C" w:rsidRDefault="009B5AA5" w:rsidP="00263223">
            <w:pPr>
              <w:rPr>
                <w:rFonts w:ascii="Arial" w:hAnsi="Arial" w:cs="Arial"/>
                <w:sz w:val="24"/>
                <w:szCs w:val="24"/>
              </w:rPr>
            </w:pPr>
            <w:r w:rsidRPr="00FA3F9C">
              <w:rPr>
                <w:rFonts w:ascii="Arial" w:hAnsi="Arial" w:cs="Arial"/>
                <w:sz w:val="24"/>
                <w:szCs w:val="24"/>
              </w:rPr>
              <w:t>1/29/13</w:t>
            </w:r>
          </w:p>
        </w:tc>
        <w:tc>
          <w:tcPr>
            <w:tcW w:w="7920" w:type="dxa"/>
          </w:tcPr>
          <w:p w14:paraId="78819ACC" w14:textId="77777777" w:rsidR="009B5AA5" w:rsidRPr="00FA3F9C" w:rsidRDefault="009B5AA5" w:rsidP="00263223">
            <w:pPr>
              <w:rPr>
                <w:rFonts w:ascii="Arial" w:hAnsi="Arial" w:cs="Arial"/>
                <w:sz w:val="24"/>
                <w:szCs w:val="24"/>
              </w:rPr>
            </w:pPr>
            <w:r w:rsidRPr="00FA3F9C">
              <w:rPr>
                <w:rFonts w:ascii="Arial" w:hAnsi="Arial" w:cs="Arial"/>
                <w:sz w:val="24"/>
                <w:szCs w:val="24"/>
              </w:rPr>
              <w:t>Updated dates to reflect 2012-2013 season  and added reference</w:t>
            </w:r>
          </w:p>
        </w:tc>
        <w:tc>
          <w:tcPr>
            <w:tcW w:w="2178" w:type="dxa"/>
          </w:tcPr>
          <w:p w14:paraId="1F1C8D9B" w14:textId="77777777" w:rsidR="009B5AA5" w:rsidRPr="00FA3F9C" w:rsidRDefault="009B5AA5" w:rsidP="00263223">
            <w:pPr>
              <w:rPr>
                <w:rFonts w:ascii="Arial" w:hAnsi="Arial" w:cs="Arial"/>
                <w:sz w:val="24"/>
                <w:szCs w:val="24"/>
              </w:rPr>
            </w:pPr>
            <w:r w:rsidRPr="00FA3F9C">
              <w:rPr>
                <w:rFonts w:ascii="Arial" w:hAnsi="Arial" w:cs="Arial"/>
                <w:sz w:val="24"/>
                <w:szCs w:val="24"/>
              </w:rPr>
              <w:t>DD</w:t>
            </w:r>
          </w:p>
        </w:tc>
      </w:tr>
      <w:tr w:rsidR="009B5AA5" w:rsidRPr="00FA3F9C" w14:paraId="727689D6" w14:textId="77777777" w:rsidTr="00263223">
        <w:tc>
          <w:tcPr>
            <w:tcW w:w="918" w:type="dxa"/>
          </w:tcPr>
          <w:p w14:paraId="02B5AA01" w14:textId="77777777" w:rsidR="009B5AA5" w:rsidRPr="00FA3F9C" w:rsidRDefault="009B5AA5" w:rsidP="00263223">
            <w:pPr>
              <w:rPr>
                <w:rFonts w:ascii="Arial" w:hAnsi="Arial" w:cs="Arial"/>
                <w:sz w:val="24"/>
                <w:szCs w:val="24"/>
              </w:rPr>
            </w:pPr>
            <w:r w:rsidRPr="00FA3F9C">
              <w:rPr>
                <w:rFonts w:ascii="Arial" w:hAnsi="Arial" w:cs="Arial"/>
                <w:sz w:val="24"/>
                <w:szCs w:val="24"/>
              </w:rPr>
              <w:t>7/30/14</w:t>
            </w:r>
          </w:p>
        </w:tc>
        <w:tc>
          <w:tcPr>
            <w:tcW w:w="7920" w:type="dxa"/>
          </w:tcPr>
          <w:p w14:paraId="0E479433" w14:textId="77777777" w:rsidR="009B5AA5" w:rsidRPr="00FA3F9C" w:rsidRDefault="009B5AA5" w:rsidP="00263223">
            <w:pPr>
              <w:rPr>
                <w:rFonts w:ascii="Arial" w:hAnsi="Arial" w:cs="Arial"/>
                <w:sz w:val="24"/>
                <w:szCs w:val="24"/>
              </w:rPr>
            </w:pPr>
            <w:r w:rsidRPr="00FA3F9C">
              <w:rPr>
                <w:rFonts w:ascii="Arial" w:hAnsi="Arial" w:cs="Arial"/>
                <w:sz w:val="24"/>
                <w:szCs w:val="24"/>
              </w:rPr>
              <w:t>Updated to include the 2014 RSV recommendations from AAP. Pediatrics. 2014;134:415-20.</w:t>
            </w:r>
          </w:p>
        </w:tc>
        <w:tc>
          <w:tcPr>
            <w:tcW w:w="2178" w:type="dxa"/>
          </w:tcPr>
          <w:p w14:paraId="6B0D25F8" w14:textId="77777777" w:rsidR="009B5AA5" w:rsidRPr="00FA3F9C" w:rsidRDefault="009B5AA5" w:rsidP="00263223">
            <w:pPr>
              <w:rPr>
                <w:rFonts w:ascii="Arial" w:hAnsi="Arial" w:cs="Arial"/>
                <w:sz w:val="24"/>
                <w:szCs w:val="24"/>
              </w:rPr>
            </w:pPr>
            <w:r w:rsidRPr="00FA3F9C">
              <w:rPr>
                <w:rFonts w:ascii="Arial" w:hAnsi="Arial" w:cs="Arial"/>
                <w:sz w:val="24"/>
                <w:szCs w:val="24"/>
              </w:rPr>
              <w:t>JJ</w:t>
            </w:r>
          </w:p>
        </w:tc>
      </w:tr>
      <w:tr w:rsidR="009B5AA5" w:rsidRPr="00FA3F9C" w14:paraId="679FB110" w14:textId="77777777" w:rsidTr="00263223">
        <w:tc>
          <w:tcPr>
            <w:tcW w:w="918" w:type="dxa"/>
          </w:tcPr>
          <w:p w14:paraId="4892C290" w14:textId="77777777" w:rsidR="009B5AA5" w:rsidRPr="00FA3F9C" w:rsidRDefault="009B5AA5" w:rsidP="00263223">
            <w:pPr>
              <w:rPr>
                <w:rFonts w:ascii="Arial" w:hAnsi="Arial" w:cs="Arial"/>
                <w:sz w:val="24"/>
                <w:szCs w:val="24"/>
              </w:rPr>
            </w:pPr>
            <w:r w:rsidRPr="00FA3F9C">
              <w:rPr>
                <w:rFonts w:ascii="Arial" w:hAnsi="Arial" w:cs="Arial"/>
                <w:sz w:val="24"/>
                <w:szCs w:val="24"/>
              </w:rPr>
              <w:t>9/29/16</w:t>
            </w:r>
          </w:p>
        </w:tc>
        <w:tc>
          <w:tcPr>
            <w:tcW w:w="7920" w:type="dxa"/>
          </w:tcPr>
          <w:p w14:paraId="413EF6D6" w14:textId="77777777" w:rsidR="009B5AA5" w:rsidRPr="00FA3F9C" w:rsidRDefault="009B5AA5" w:rsidP="00263223">
            <w:pPr>
              <w:rPr>
                <w:rFonts w:ascii="Arial" w:hAnsi="Arial" w:cs="Arial"/>
                <w:sz w:val="24"/>
                <w:szCs w:val="24"/>
              </w:rPr>
            </w:pPr>
            <w:r w:rsidRPr="00FA3F9C">
              <w:rPr>
                <w:rFonts w:ascii="Arial" w:hAnsi="Arial" w:cs="Arial"/>
                <w:sz w:val="24"/>
                <w:szCs w:val="24"/>
              </w:rPr>
              <w:t xml:space="preserve">Updated to match the AAP recommendations from 2014.  </w:t>
            </w:r>
            <w:r w:rsidRPr="00FA3F9C">
              <w:rPr>
                <w:rFonts w:ascii="Arial" w:hAnsi="Arial" w:cs="Arial"/>
                <w:i/>
                <w:sz w:val="24"/>
                <w:szCs w:val="24"/>
              </w:rPr>
              <w:t xml:space="preserve">Removed </w:t>
            </w:r>
            <w:r w:rsidRPr="00FA3F9C">
              <w:rPr>
                <w:rStyle w:val="PageNumber"/>
                <w:rFonts w:ascii="Arial" w:hAnsi="Arial" w:cs="Arial"/>
                <w:i/>
                <w:sz w:val="24"/>
                <w:szCs w:val="24"/>
              </w:rPr>
              <w:t xml:space="preserve">Chronic lung disease of prematurity (CLD) </w:t>
            </w:r>
            <w:r w:rsidRPr="00FA3F9C">
              <w:rPr>
                <w:rStyle w:val="PageNumber"/>
                <w:rFonts w:ascii="Arial" w:hAnsi="Arial" w:cs="Arial"/>
                <w:b/>
                <w:bCs/>
                <w:i/>
                <w:sz w:val="24"/>
                <w:szCs w:val="24"/>
              </w:rPr>
              <w:t>AND</w:t>
            </w:r>
            <w:r w:rsidRPr="00FA3F9C">
              <w:rPr>
                <w:rStyle w:val="PageNumber"/>
                <w:rFonts w:ascii="Arial" w:hAnsi="Arial" w:cs="Arial"/>
                <w:i/>
                <w:sz w:val="24"/>
                <w:szCs w:val="24"/>
              </w:rPr>
              <w:t xml:space="preserve"> </w:t>
            </w:r>
            <w:r w:rsidRPr="00FA3F9C">
              <w:rPr>
                <w:rStyle w:val="PageNumber"/>
                <w:rFonts w:ascii="Arial" w:hAnsi="Arial" w:cs="Arial"/>
                <w:i/>
                <w:sz w:val="24"/>
                <w:szCs w:val="24"/>
                <w:u w:val="single"/>
              </w:rPr>
              <w:t>&lt;</w:t>
            </w:r>
            <w:r w:rsidRPr="00FA3F9C">
              <w:rPr>
                <w:rStyle w:val="PageNumber"/>
                <w:rFonts w:ascii="Arial" w:hAnsi="Arial" w:cs="Arial"/>
                <w:i/>
                <w:sz w:val="24"/>
                <w:szCs w:val="24"/>
              </w:rPr>
              <w:t>12 months of age at the start of RSV season (November 1)</w:t>
            </w:r>
            <w:r w:rsidRPr="00FA3F9C">
              <w:rPr>
                <w:rStyle w:val="PageNumber"/>
                <w:rFonts w:ascii="Arial" w:hAnsi="Arial" w:cs="Arial"/>
                <w:sz w:val="24"/>
                <w:szCs w:val="24"/>
              </w:rPr>
              <w:t xml:space="preserve">, redefined the requirement for CLD including coverage in the second year of life, updated the requirements for hemodynamically significant cyanotic congenital heart disease (CHD) or hemodynamically significant </w:t>
            </w:r>
            <w:proofErr w:type="spellStart"/>
            <w:r w:rsidRPr="00FA3F9C">
              <w:rPr>
                <w:rStyle w:val="PageNumber"/>
                <w:rFonts w:ascii="Arial" w:hAnsi="Arial" w:cs="Arial"/>
                <w:sz w:val="24"/>
                <w:szCs w:val="24"/>
              </w:rPr>
              <w:t>acyanotic</w:t>
            </w:r>
            <w:proofErr w:type="spellEnd"/>
            <w:r w:rsidRPr="00FA3F9C">
              <w:rPr>
                <w:rStyle w:val="PageNumber"/>
                <w:rFonts w:ascii="Arial" w:hAnsi="Arial" w:cs="Arial"/>
                <w:sz w:val="24"/>
                <w:szCs w:val="24"/>
              </w:rPr>
              <w:t xml:space="preserve"> CHD.</w:t>
            </w:r>
          </w:p>
        </w:tc>
        <w:tc>
          <w:tcPr>
            <w:tcW w:w="2178" w:type="dxa"/>
          </w:tcPr>
          <w:p w14:paraId="2790587E" w14:textId="77777777" w:rsidR="009B5AA5" w:rsidRPr="00FA3F9C" w:rsidRDefault="009B5AA5" w:rsidP="00263223">
            <w:pPr>
              <w:rPr>
                <w:rFonts w:ascii="Arial" w:hAnsi="Arial" w:cs="Arial"/>
                <w:sz w:val="24"/>
                <w:szCs w:val="24"/>
              </w:rPr>
            </w:pPr>
            <w:r w:rsidRPr="00FA3F9C">
              <w:rPr>
                <w:rFonts w:ascii="Arial" w:hAnsi="Arial" w:cs="Arial"/>
                <w:sz w:val="24"/>
                <w:szCs w:val="24"/>
              </w:rPr>
              <w:t>CP</w:t>
            </w:r>
          </w:p>
        </w:tc>
      </w:tr>
      <w:tr w:rsidR="009B5AA5" w:rsidRPr="00FA3F9C" w14:paraId="5684106C" w14:textId="77777777" w:rsidTr="00263223">
        <w:tc>
          <w:tcPr>
            <w:tcW w:w="918" w:type="dxa"/>
          </w:tcPr>
          <w:p w14:paraId="7458A41A" w14:textId="77777777" w:rsidR="009B5AA5" w:rsidRPr="00FA3F9C" w:rsidRDefault="009B5AA5" w:rsidP="00263223">
            <w:pPr>
              <w:rPr>
                <w:rFonts w:ascii="Arial" w:hAnsi="Arial" w:cs="Arial"/>
                <w:sz w:val="24"/>
                <w:szCs w:val="24"/>
              </w:rPr>
            </w:pPr>
            <w:r w:rsidRPr="00FA3F9C">
              <w:rPr>
                <w:rFonts w:ascii="Arial" w:hAnsi="Arial" w:cs="Arial"/>
                <w:sz w:val="24"/>
                <w:szCs w:val="24"/>
              </w:rPr>
              <w:t>10/28/2020</w:t>
            </w:r>
          </w:p>
        </w:tc>
        <w:tc>
          <w:tcPr>
            <w:tcW w:w="7920" w:type="dxa"/>
          </w:tcPr>
          <w:p w14:paraId="079C6BDD" w14:textId="77777777" w:rsidR="009B5AA5" w:rsidRPr="00FA3F9C" w:rsidRDefault="009B5AA5" w:rsidP="00263223">
            <w:pPr>
              <w:rPr>
                <w:rFonts w:ascii="Arial" w:hAnsi="Arial" w:cs="Arial"/>
                <w:sz w:val="24"/>
                <w:szCs w:val="24"/>
              </w:rPr>
            </w:pPr>
            <w:r w:rsidRPr="00FA3F9C">
              <w:rPr>
                <w:rFonts w:ascii="Arial" w:hAnsi="Arial" w:cs="Arial"/>
                <w:sz w:val="24"/>
                <w:szCs w:val="24"/>
              </w:rPr>
              <w:t xml:space="preserve">I searched for new recs.  The CDC website and PubMed sent me to the same article.  The 2014 guidelines are still the latest.  </w:t>
            </w:r>
            <w:hyperlink r:id="rId312" w:history="1">
              <w:r w:rsidRPr="00FA3F9C">
                <w:rPr>
                  <w:rStyle w:val="Hyperlink"/>
                  <w:rFonts w:ascii="Arial" w:hAnsi="Arial" w:cs="Arial"/>
                  <w:sz w:val="24"/>
                  <w:szCs w:val="24"/>
                </w:rPr>
                <w:t>https://pediatrics.aappublications.org/content/134/2/415.full</w:t>
              </w:r>
            </w:hyperlink>
          </w:p>
          <w:p w14:paraId="16E2BEDA" w14:textId="77777777" w:rsidR="009B5AA5" w:rsidRPr="00FA3F9C" w:rsidRDefault="009B5AA5" w:rsidP="00263223">
            <w:pPr>
              <w:rPr>
                <w:rFonts w:ascii="Arial" w:hAnsi="Arial" w:cs="Arial"/>
                <w:sz w:val="24"/>
                <w:szCs w:val="24"/>
              </w:rPr>
            </w:pPr>
          </w:p>
        </w:tc>
        <w:tc>
          <w:tcPr>
            <w:tcW w:w="2178" w:type="dxa"/>
          </w:tcPr>
          <w:p w14:paraId="13C06234" w14:textId="77777777" w:rsidR="009B5AA5" w:rsidRPr="00FA3F9C" w:rsidRDefault="009B5AA5" w:rsidP="00263223">
            <w:pPr>
              <w:rPr>
                <w:rFonts w:ascii="Arial" w:hAnsi="Arial" w:cs="Arial"/>
                <w:sz w:val="24"/>
                <w:szCs w:val="24"/>
              </w:rPr>
            </w:pPr>
            <w:r w:rsidRPr="00FA3F9C">
              <w:rPr>
                <w:rFonts w:ascii="Arial" w:hAnsi="Arial" w:cs="Arial"/>
                <w:sz w:val="24"/>
                <w:szCs w:val="24"/>
              </w:rPr>
              <w:t>JJ</w:t>
            </w:r>
          </w:p>
        </w:tc>
      </w:tr>
      <w:tr w:rsidR="009B5AA5" w:rsidRPr="00FA3F9C" w14:paraId="3420D854" w14:textId="77777777" w:rsidTr="00263223">
        <w:tc>
          <w:tcPr>
            <w:tcW w:w="918" w:type="dxa"/>
          </w:tcPr>
          <w:p w14:paraId="2376ED88" w14:textId="77777777" w:rsidR="009B5AA5" w:rsidRPr="00FA3F9C" w:rsidRDefault="009B5AA5" w:rsidP="00263223">
            <w:pPr>
              <w:rPr>
                <w:rFonts w:ascii="Arial" w:hAnsi="Arial" w:cs="Arial"/>
                <w:sz w:val="24"/>
                <w:szCs w:val="24"/>
              </w:rPr>
            </w:pPr>
            <w:r w:rsidRPr="00FA3F9C">
              <w:rPr>
                <w:rFonts w:ascii="Arial" w:hAnsi="Arial" w:cs="Arial"/>
                <w:sz w:val="24"/>
                <w:szCs w:val="24"/>
              </w:rPr>
              <w:t>7/29/21</w:t>
            </w:r>
          </w:p>
        </w:tc>
        <w:tc>
          <w:tcPr>
            <w:tcW w:w="7920" w:type="dxa"/>
          </w:tcPr>
          <w:p w14:paraId="24833C45" w14:textId="77777777" w:rsidR="009B5AA5" w:rsidRPr="00FA3F9C" w:rsidRDefault="009B5AA5" w:rsidP="00263223">
            <w:pPr>
              <w:rPr>
                <w:rFonts w:ascii="Arial" w:hAnsi="Arial" w:cs="Arial"/>
                <w:sz w:val="24"/>
                <w:szCs w:val="24"/>
              </w:rPr>
            </w:pPr>
            <w:r w:rsidRPr="00FA3F9C">
              <w:rPr>
                <w:rFonts w:ascii="Arial" w:hAnsi="Arial" w:cs="Arial"/>
                <w:sz w:val="24"/>
                <w:szCs w:val="24"/>
              </w:rPr>
              <w:t xml:space="preserve">Discussion at EBRx P&amp;T:  For the next month (August 2021) EBRx will suspend the PA criteria requiring it to be Nov-March to qualify for </w:t>
            </w:r>
            <w:proofErr w:type="spellStart"/>
            <w:r w:rsidRPr="00FA3F9C">
              <w:rPr>
                <w:rFonts w:ascii="Arial" w:hAnsi="Arial" w:cs="Arial"/>
                <w:sz w:val="24"/>
                <w:szCs w:val="24"/>
              </w:rPr>
              <w:t>Synagis</w:t>
            </w:r>
            <w:proofErr w:type="spellEnd"/>
            <w:r w:rsidRPr="00FA3F9C">
              <w:rPr>
                <w:rFonts w:ascii="Arial" w:hAnsi="Arial" w:cs="Arial"/>
                <w:sz w:val="24"/>
                <w:szCs w:val="24"/>
              </w:rPr>
              <w:t xml:space="preserve">.  We are doing this on a </w:t>
            </w:r>
            <w:proofErr w:type="gramStart"/>
            <w:r w:rsidRPr="00FA3F9C">
              <w:rPr>
                <w:rFonts w:ascii="Arial" w:hAnsi="Arial" w:cs="Arial"/>
                <w:sz w:val="24"/>
                <w:szCs w:val="24"/>
              </w:rPr>
              <w:t>month to month</w:t>
            </w:r>
            <w:proofErr w:type="gramEnd"/>
            <w:r w:rsidRPr="00FA3F9C">
              <w:rPr>
                <w:rFonts w:ascii="Arial" w:hAnsi="Arial" w:cs="Arial"/>
                <w:sz w:val="24"/>
                <w:szCs w:val="24"/>
              </w:rPr>
              <w:t xml:space="preserve"> basis and will readdress at August EBRx P&amp;T meeting. </w:t>
            </w:r>
          </w:p>
        </w:tc>
        <w:tc>
          <w:tcPr>
            <w:tcW w:w="2178" w:type="dxa"/>
          </w:tcPr>
          <w:p w14:paraId="59ABEFF1" w14:textId="77777777" w:rsidR="009B5AA5" w:rsidRPr="00FA3F9C" w:rsidRDefault="009B5AA5" w:rsidP="00263223">
            <w:pPr>
              <w:rPr>
                <w:rFonts w:ascii="Arial" w:hAnsi="Arial" w:cs="Arial"/>
                <w:sz w:val="24"/>
                <w:szCs w:val="24"/>
              </w:rPr>
            </w:pPr>
            <w:r w:rsidRPr="00FA3F9C">
              <w:rPr>
                <w:rFonts w:ascii="Arial" w:hAnsi="Arial" w:cs="Arial"/>
                <w:sz w:val="24"/>
                <w:szCs w:val="24"/>
              </w:rPr>
              <w:t>JJ</w:t>
            </w:r>
          </w:p>
        </w:tc>
      </w:tr>
    </w:tbl>
    <w:p w14:paraId="6B17D7F1" w14:textId="77777777" w:rsidR="009B5AA5" w:rsidRPr="00FA3F9C" w:rsidRDefault="009B5AA5" w:rsidP="00AD49C9">
      <w:pPr>
        <w:rPr>
          <w:rFonts w:ascii="Arial" w:hAnsi="Arial" w:cs="Arial"/>
          <w:b/>
          <w:sz w:val="24"/>
          <w:szCs w:val="24"/>
        </w:rPr>
      </w:pPr>
    </w:p>
    <w:p w14:paraId="7682AEE8" w14:textId="77777777" w:rsidR="009B5AA5" w:rsidRPr="00FA3F9C" w:rsidRDefault="009B5AA5">
      <w:pPr>
        <w:rPr>
          <w:rFonts w:ascii="Arial" w:hAnsi="Arial" w:cs="Arial"/>
          <w:bCs/>
          <w:sz w:val="24"/>
          <w:szCs w:val="24"/>
        </w:rPr>
      </w:pPr>
      <w:r w:rsidRPr="00FA3F9C">
        <w:rPr>
          <w:rFonts w:ascii="Arial" w:hAnsi="Arial" w:cs="Arial"/>
          <w:b/>
          <w:sz w:val="24"/>
          <w:szCs w:val="24"/>
        </w:rPr>
        <w:lastRenderedPageBreak/>
        <w:tab/>
      </w:r>
      <w:r w:rsidRPr="00FA3F9C">
        <w:rPr>
          <w:rFonts w:ascii="Arial" w:hAnsi="Arial" w:cs="Arial"/>
          <w:b/>
          <w:sz w:val="24"/>
          <w:szCs w:val="24"/>
        </w:rPr>
        <w:tab/>
      </w:r>
      <w:r w:rsidRPr="00FA3F9C">
        <w:rPr>
          <w:rFonts w:ascii="Arial" w:hAnsi="Arial" w:cs="Arial"/>
          <w:b/>
          <w:sz w:val="24"/>
          <w:szCs w:val="24"/>
        </w:rPr>
        <w:tab/>
      </w:r>
      <w:r w:rsidRPr="00FA3F9C">
        <w:rPr>
          <w:rFonts w:ascii="Arial" w:hAnsi="Arial" w:cs="Arial"/>
          <w:b/>
          <w:sz w:val="24"/>
          <w:szCs w:val="24"/>
        </w:rPr>
        <w:tab/>
      </w:r>
      <w:r w:rsidRPr="00FA3F9C">
        <w:rPr>
          <w:rFonts w:ascii="Arial" w:hAnsi="Arial" w:cs="Arial"/>
          <w:b/>
          <w:sz w:val="24"/>
          <w:szCs w:val="24"/>
        </w:rPr>
        <w:tab/>
      </w:r>
      <w:r w:rsidRPr="00FA3F9C">
        <w:rPr>
          <w:rFonts w:ascii="Arial" w:hAnsi="Arial" w:cs="Arial"/>
          <w:b/>
          <w:sz w:val="24"/>
          <w:szCs w:val="24"/>
        </w:rPr>
        <w:tab/>
      </w:r>
      <w:r w:rsidRPr="00FA3F9C">
        <w:rPr>
          <w:rFonts w:ascii="Arial" w:hAnsi="Arial" w:cs="Arial"/>
          <w:b/>
          <w:sz w:val="24"/>
          <w:szCs w:val="24"/>
        </w:rPr>
        <w:tab/>
      </w:r>
      <w:r w:rsidRPr="00FA3F9C">
        <w:rPr>
          <w:rFonts w:ascii="Arial" w:hAnsi="Arial" w:cs="Arial"/>
          <w:b/>
          <w:sz w:val="24"/>
          <w:szCs w:val="24"/>
        </w:rPr>
        <w:tab/>
      </w:r>
      <w:r w:rsidRPr="00FA3F9C">
        <w:rPr>
          <w:rFonts w:ascii="Arial" w:hAnsi="Arial" w:cs="Arial"/>
          <w:b/>
          <w:sz w:val="24"/>
          <w:szCs w:val="24"/>
        </w:rPr>
        <w:tab/>
        <w:t xml:space="preserve">    </w:t>
      </w:r>
    </w:p>
    <w:p w14:paraId="0E7CE1C3" w14:textId="77777777" w:rsidR="009B5AA5" w:rsidRPr="00FA3F9C" w:rsidRDefault="009B5AA5" w:rsidP="00EF3B65">
      <w:pPr>
        <w:pStyle w:val="Heading2"/>
      </w:pPr>
      <w:bookmarkStart w:id="252" w:name="_Toc106369889"/>
      <w:r w:rsidRPr="00FA3F9C">
        <w:t>Panitumumab (</w:t>
      </w:r>
      <w:proofErr w:type="spellStart"/>
      <w:r w:rsidRPr="00FA3F9C">
        <w:t>Vectibix</w:t>
      </w:r>
      <w:proofErr w:type="spellEnd"/>
      <w:r w:rsidRPr="00FA3F9C">
        <w:t>®)</w:t>
      </w:r>
      <w:bookmarkEnd w:id="252"/>
      <w:r w:rsidRPr="00FA3F9C">
        <w:t xml:space="preserve"> </w:t>
      </w:r>
    </w:p>
    <w:p w14:paraId="67EDB1DB" w14:textId="77777777" w:rsidR="009B5AA5" w:rsidRPr="00FA3F9C" w:rsidRDefault="009B5AA5">
      <w:pPr>
        <w:jc w:val="center"/>
        <w:rPr>
          <w:rFonts w:ascii="Arial" w:hAnsi="Arial" w:cs="Arial"/>
          <w:sz w:val="24"/>
          <w:szCs w:val="24"/>
        </w:rPr>
      </w:pPr>
      <w:r w:rsidRPr="00FA3F9C">
        <w:rPr>
          <w:rFonts w:ascii="Arial" w:hAnsi="Arial" w:cs="Arial"/>
          <w:sz w:val="24"/>
          <w:szCs w:val="24"/>
        </w:rPr>
        <w:t>100 mg/5 ml and 400 mg/20 ml vials</w:t>
      </w:r>
    </w:p>
    <w:p w14:paraId="24CD0B5B" w14:textId="77777777" w:rsidR="009B5AA5" w:rsidRPr="00FA3F9C" w:rsidRDefault="009B5AA5" w:rsidP="00F05F2C">
      <w:pPr>
        <w:jc w:val="center"/>
        <w:rPr>
          <w:rFonts w:ascii="Arial" w:hAnsi="Arial" w:cs="Arial"/>
          <w:sz w:val="24"/>
          <w:szCs w:val="24"/>
        </w:rPr>
      </w:pPr>
      <w:r w:rsidRPr="00FA3F9C">
        <w:rPr>
          <w:rFonts w:ascii="Arial" w:hAnsi="Arial" w:cs="Arial"/>
          <w:sz w:val="24"/>
          <w:szCs w:val="24"/>
        </w:rPr>
        <w:t>EBRx PA Criteria</w:t>
      </w:r>
    </w:p>
    <w:p w14:paraId="69397201" w14:textId="77777777" w:rsidR="009B5AA5" w:rsidRPr="00FA3F9C" w:rsidRDefault="009B5AA5">
      <w:pPr>
        <w:jc w:val="center"/>
        <w:rPr>
          <w:rFonts w:ascii="Arial" w:hAnsi="Arial" w:cs="Arial"/>
          <w:b/>
          <w:sz w:val="24"/>
          <w:szCs w:val="24"/>
        </w:rPr>
      </w:pPr>
    </w:p>
    <w:p w14:paraId="5BD7894C" w14:textId="77777777" w:rsidR="009B5AA5" w:rsidRPr="00FA3F9C" w:rsidRDefault="009B5AA5" w:rsidP="00F05F2C">
      <w:pPr>
        <w:rPr>
          <w:rFonts w:ascii="Arial" w:hAnsi="Arial" w:cs="Arial"/>
          <w:b/>
          <w:sz w:val="24"/>
          <w:szCs w:val="24"/>
          <w:u w:val="single"/>
        </w:rPr>
      </w:pPr>
      <w:r w:rsidRPr="00FA3F9C">
        <w:rPr>
          <w:rFonts w:ascii="Arial" w:hAnsi="Arial" w:cs="Arial"/>
          <w:b/>
          <w:sz w:val="24"/>
          <w:szCs w:val="24"/>
          <w:u w:val="single"/>
        </w:rPr>
        <w:t>FDA approved for:</w:t>
      </w:r>
    </w:p>
    <w:p w14:paraId="76BB08E4" w14:textId="77777777" w:rsidR="009B5AA5" w:rsidRPr="00FA3F9C" w:rsidRDefault="009B5AA5" w:rsidP="00FC1E85">
      <w:pPr>
        <w:numPr>
          <w:ilvl w:val="0"/>
          <w:numId w:val="408"/>
        </w:numPr>
        <w:spacing w:after="0" w:line="240" w:lineRule="auto"/>
        <w:ind w:left="180" w:hanging="180"/>
        <w:rPr>
          <w:rFonts w:ascii="Arial" w:hAnsi="Arial" w:cs="Arial"/>
          <w:b/>
          <w:sz w:val="24"/>
          <w:szCs w:val="24"/>
        </w:rPr>
      </w:pPr>
      <w:proofErr w:type="spellStart"/>
      <w:r w:rsidRPr="00FA3F9C">
        <w:rPr>
          <w:rFonts w:ascii="Arial" w:hAnsi="Arial" w:cs="Arial"/>
          <w:sz w:val="24"/>
          <w:szCs w:val="24"/>
        </w:rPr>
        <w:t>Vectibix</w:t>
      </w:r>
      <w:proofErr w:type="spellEnd"/>
      <w:r w:rsidRPr="00FA3F9C">
        <w:rPr>
          <w:rFonts w:ascii="Arial" w:hAnsi="Arial" w:cs="Arial"/>
          <w:sz w:val="24"/>
          <w:szCs w:val="24"/>
        </w:rPr>
        <w:t xml:space="preserve"> is an epidermal growth factor receptor (EGFR) antagonist indicated for the treatment of wild-type RAS (defined as wild-type in both KRAS and NRAS as determined by an FDA-approved test for this use) metastatic colorectal cancer (mCRC) either:</w:t>
      </w:r>
    </w:p>
    <w:p w14:paraId="0050FC55" w14:textId="77777777" w:rsidR="009B5AA5" w:rsidRPr="00FA3F9C" w:rsidRDefault="009B5AA5" w:rsidP="00FC1E85">
      <w:pPr>
        <w:numPr>
          <w:ilvl w:val="1"/>
          <w:numId w:val="408"/>
        </w:numPr>
        <w:spacing w:after="0" w:line="240" w:lineRule="auto"/>
        <w:ind w:left="720"/>
        <w:rPr>
          <w:rFonts w:ascii="Arial" w:hAnsi="Arial" w:cs="Arial"/>
          <w:b/>
          <w:sz w:val="24"/>
          <w:szCs w:val="24"/>
        </w:rPr>
      </w:pPr>
      <w:r w:rsidRPr="00FA3F9C">
        <w:rPr>
          <w:rFonts w:ascii="Arial" w:hAnsi="Arial" w:cs="Arial"/>
          <w:sz w:val="24"/>
          <w:szCs w:val="24"/>
        </w:rPr>
        <w:t xml:space="preserve">In combination with FOLFOX for first-line treatment. </w:t>
      </w:r>
    </w:p>
    <w:p w14:paraId="3DECF2C4" w14:textId="77777777" w:rsidR="009B5AA5" w:rsidRPr="00FA3F9C" w:rsidRDefault="009B5AA5" w:rsidP="00FC1E85">
      <w:pPr>
        <w:numPr>
          <w:ilvl w:val="1"/>
          <w:numId w:val="408"/>
        </w:numPr>
        <w:spacing w:after="0" w:line="240" w:lineRule="auto"/>
        <w:ind w:left="720"/>
        <w:rPr>
          <w:rFonts w:ascii="Arial" w:hAnsi="Arial" w:cs="Arial"/>
          <w:b/>
          <w:sz w:val="24"/>
          <w:szCs w:val="24"/>
        </w:rPr>
      </w:pPr>
      <w:r w:rsidRPr="00FA3F9C">
        <w:rPr>
          <w:rFonts w:ascii="Arial" w:hAnsi="Arial" w:cs="Arial"/>
          <w:sz w:val="24"/>
          <w:szCs w:val="24"/>
        </w:rPr>
        <w:t xml:space="preserve">As monotherapy following disease progression after prior treatment with fluoropyrimidine, oxaliplatin, and irinotecan-containing chemotherapy. </w:t>
      </w:r>
    </w:p>
    <w:p w14:paraId="462A1149" w14:textId="77777777" w:rsidR="009B5AA5" w:rsidRPr="00FA3F9C" w:rsidRDefault="009B5AA5" w:rsidP="00F05F2C">
      <w:pPr>
        <w:ind w:left="720"/>
        <w:rPr>
          <w:rFonts w:ascii="Arial" w:hAnsi="Arial" w:cs="Arial"/>
          <w:sz w:val="24"/>
          <w:szCs w:val="24"/>
          <w:u w:val="single"/>
        </w:rPr>
      </w:pPr>
    </w:p>
    <w:p w14:paraId="56E5FBB4" w14:textId="77777777" w:rsidR="009B5AA5" w:rsidRPr="00FA3F9C" w:rsidRDefault="009B5AA5" w:rsidP="00F05F2C">
      <w:pPr>
        <w:ind w:left="720"/>
        <w:rPr>
          <w:rFonts w:ascii="Arial" w:hAnsi="Arial" w:cs="Arial"/>
          <w:b/>
          <w:sz w:val="24"/>
          <w:szCs w:val="24"/>
        </w:rPr>
      </w:pPr>
      <w:r w:rsidRPr="00FA3F9C">
        <w:rPr>
          <w:rFonts w:ascii="Arial" w:hAnsi="Arial" w:cs="Arial"/>
          <w:sz w:val="24"/>
          <w:szCs w:val="24"/>
          <w:u w:val="single"/>
        </w:rPr>
        <w:t>Limitation of Use</w:t>
      </w:r>
      <w:r w:rsidRPr="00FA3F9C">
        <w:rPr>
          <w:rFonts w:ascii="Arial" w:hAnsi="Arial" w:cs="Arial"/>
          <w:sz w:val="24"/>
          <w:szCs w:val="24"/>
        </w:rPr>
        <w:t xml:space="preserve">: </w:t>
      </w:r>
      <w:proofErr w:type="spellStart"/>
      <w:r w:rsidRPr="00FA3F9C">
        <w:rPr>
          <w:rFonts w:ascii="Arial" w:hAnsi="Arial" w:cs="Arial"/>
          <w:sz w:val="24"/>
          <w:szCs w:val="24"/>
        </w:rPr>
        <w:t>Vectibix</w:t>
      </w:r>
      <w:proofErr w:type="spellEnd"/>
      <w:r w:rsidRPr="00FA3F9C">
        <w:rPr>
          <w:rFonts w:ascii="Arial" w:hAnsi="Arial" w:cs="Arial"/>
          <w:sz w:val="24"/>
          <w:szCs w:val="24"/>
        </w:rPr>
        <w:t xml:space="preserve"> is not indicated for the treatment of patients with RAS-mutant mCRC or for whom RAS mutation status is unknown.</w:t>
      </w:r>
    </w:p>
    <w:p w14:paraId="4FF60E98" w14:textId="77777777" w:rsidR="009B5AA5" w:rsidRPr="00FA3F9C" w:rsidRDefault="009B5AA5" w:rsidP="00515C91">
      <w:pPr>
        <w:rPr>
          <w:rFonts w:ascii="Arial" w:hAnsi="Arial" w:cs="Arial"/>
          <w:b/>
          <w:sz w:val="24"/>
          <w:szCs w:val="24"/>
        </w:rPr>
      </w:pP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08"/>
      </w:tblGrid>
      <w:tr w:rsidR="009B5AA5" w:rsidRPr="00FA3F9C" w14:paraId="22091C29" w14:textId="77777777" w:rsidTr="003A3269">
        <w:trPr>
          <w:trHeight w:val="89"/>
        </w:trPr>
        <w:tc>
          <w:tcPr>
            <w:tcW w:w="10908" w:type="dxa"/>
            <w:shd w:val="clear" w:color="auto" w:fill="000000"/>
          </w:tcPr>
          <w:p w14:paraId="2D9AADC5" w14:textId="77777777" w:rsidR="009B5AA5" w:rsidRPr="00FA3F9C" w:rsidRDefault="009B5AA5" w:rsidP="00855C7C">
            <w:pPr>
              <w:rPr>
                <w:rFonts w:ascii="Arial" w:hAnsi="Arial" w:cs="Arial"/>
                <w:sz w:val="24"/>
                <w:szCs w:val="24"/>
                <w:u w:val="single"/>
              </w:rPr>
            </w:pPr>
            <w:r w:rsidRPr="00FA3F9C">
              <w:rPr>
                <w:rFonts w:ascii="Arial" w:hAnsi="Arial" w:cs="Arial"/>
                <w:sz w:val="24"/>
                <w:szCs w:val="24"/>
                <w:u w:val="single"/>
              </w:rPr>
              <w:t>Criteria for patients with NO PRIOR THERAPY for advanced colorectal cancer</w:t>
            </w:r>
          </w:p>
        </w:tc>
      </w:tr>
      <w:tr w:rsidR="009B5AA5" w:rsidRPr="00FA3F9C" w14:paraId="159CADC1" w14:textId="77777777" w:rsidTr="00515C91">
        <w:trPr>
          <w:trHeight w:val="386"/>
        </w:trPr>
        <w:tc>
          <w:tcPr>
            <w:tcW w:w="10908" w:type="dxa"/>
            <w:shd w:val="clear" w:color="auto" w:fill="auto"/>
          </w:tcPr>
          <w:p w14:paraId="528A1035" w14:textId="77777777" w:rsidR="009B5AA5" w:rsidRPr="00FA3F9C" w:rsidRDefault="009B5AA5" w:rsidP="00515C91">
            <w:pPr>
              <w:rPr>
                <w:rFonts w:ascii="Arial" w:hAnsi="Arial" w:cs="Arial"/>
                <w:sz w:val="24"/>
                <w:szCs w:val="24"/>
                <w:u w:val="double"/>
              </w:rPr>
            </w:pPr>
            <w:r w:rsidRPr="00FA3F9C">
              <w:rPr>
                <w:rFonts w:ascii="Arial" w:hAnsi="Arial" w:cs="Arial"/>
                <w:sz w:val="24"/>
                <w:szCs w:val="24"/>
              </w:rPr>
              <w:t xml:space="preserve">1. The patient must have a diagnosis of advanced/metastatic colorectal cancer </w:t>
            </w:r>
          </w:p>
        </w:tc>
      </w:tr>
      <w:tr w:rsidR="009B5AA5" w:rsidRPr="00FA3F9C" w14:paraId="5DB0097E" w14:textId="77777777" w:rsidTr="00515C91">
        <w:trPr>
          <w:trHeight w:val="386"/>
        </w:trPr>
        <w:tc>
          <w:tcPr>
            <w:tcW w:w="10908" w:type="dxa"/>
            <w:shd w:val="clear" w:color="auto" w:fill="auto"/>
          </w:tcPr>
          <w:p w14:paraId="36C27930" w14:textId="77777777" w:rsidR="009B5AA5" w:rsidRPr="00FA3F9C" w:rsidRDefault="009B5AA5" w:rsidP="00D3539E">
            <w:pPr>
              <w:rPr>
                <w:rFonts w:ascii="Arial" w:hAnsi="Arial" w:cs="Arial"/>
                <w:sz w:val="24"/>
                <w:szCs w:val="24"/>
              </w:rPr>
            </w:pPr>
            <w:r w:rsidRPr="00FA3F9C">
              <w:rPr>
                <w:rFonts w:ascii="Arial" w:hAnsi="Arial" w:cs="Arial"/>
                <w:sz w:val="24"/>
                <w:szCs w:val="24"/>
              </w:rPr>
              <w:t>2. The patient has received no prior therapy for advanced/metastatic colorectal cancer.</w:t>
            </w:r>
          </w:p>
        </w:tc>
      </w:tr>
      <w:tr w:rsidR="009B5AA5" w:rsidRPr="00FA3F9C" w14:paraId="6907102B" w14:textId="77777777" w:rsidTr="00515C91">
        <w:trPr>
          <w:trHeight w:val="359"/>
        </w:trPr>
        <w:tc>
          <w:tcPr>
            <w:tcW w:w="10908" w:type="dxa"/>
            <w:shd w:val="clear" w:color="auto" w:fill="auto"/>
          </w:tcPr>
          <w:p w14:paraId="4569058F" w14:textId="77777777" w:rsidR="009B5AA5" w:rsidRPr="00FA3F9C" w:rsidRDefault="009B5AA5" w:rsidP="00515C91">
            <w:pPr>
              <w:rPr>
                <w:rFonts w:ascii="Arial" w:hAnsi="Arial" w:cs="Arial"/>
                <w:sz w:val="24"/>
                <w:szCs w:val="24"/>
              </w:rPr>
            </w:pPr>
            <w:r w:rsidRPr="00FA3F9C">
              <w:rPr>
                <w:rFonts w:ascii="Arial" w:hAnsi="Arial" w:cs="Arial"/>
                <w:sz w:val="24"/>
                <w:szCs w:val="24"/>
              </w:rPr>
              <w:t>3. Primary tumor is left sided (</w:t>
            </w:r>
            <w:proofErr w:type="gramStart"/>
            <w:r w:rsidRPr="00FA3F9C">
              <w:rPr>
                <w:rFonts w:ascii="Arial" w:hAnsi="Arial" w:cs="Arial"/>
                <w:sz w:val="24"/>
                <w:szCs w:val="24"/>
              </w:rPr>
              <w:t>e.g.</w:t>
            </w:r>
            <w:proofErr w:type="gramEnd"/>
            <w:r w:rsidRPr="00FA3F9C">
              <w:rPr>
                <w:rFonts w:ascii="Arial" w:hAnsi="Arial" w:cs="Arial"/>
                <w:sz w:val="24"/>
                <w:szCs w:val="24"/>
              </w:rPr>
              <w:t xml:space="preserve"> from the splenic flexure to the rectum).</w:t>
            </w:r>
          </w:p>
        </w:tc>
      </w:tr>
      <w:tr w:rsidR="009B5AA5" w:rsidRPr="00FA3F9C" w14:paraId="70C8940C" w14:textId="77777777" w:rsidTr="00515C91">
        <w:trPr>
          <w:trHeight w:val="350"/>
        </w:trPr>
        <w:tc>
          <w:tcPr>
            <w:tcW w:w="10908" w:type="dxa"/>
            <w:shd w:val="clear" w:color="auto" w:fill="auto"/>
          </w:tcPr>
          <w:p w14:paraId="4F043DED" w14:textId="77777777" w:rsidR="009B5AA5" w:rsidRPr="00FA3F9C" w:rsidRDefault="009B5AA5" w:rsidP="00291710">
            <w:pPr>
              <w:rPr>
                <w:rFonts w:ascii="Arial" w:hAnsi="Arial" w:cs="Arial"/>
                <w:sz w:val="24"/>
                <w:szCs w:val="24"/>
              </w:rPr>
            </w:pPr>
            <w:r w:rsidRPr="00FA3F9C">
              <w:rPr>
                <w:rFonts w:ascii="Arial" w:hAnsi="Arial" w:cs="Arial"/>
                <w:sz w:val="24"/>
                <w:szCs w:val="24"/>
              </w:rPr>
              <w:t>4. The tumor is documented to be wild type (</w:t>
            </w:r>
            <w:proofErr w:type="gramStart"/>
            <w:r w:rsidRPr="00FA3F9C">
              <w:rPr>
                <w:rFonts w:ascii="Arial" w:hAnsi="Arial" w:cs="Arial"/>
                <w:sz w:val="24"/>
                <w:szCs w:val="24"/>
              </w:rPr>
              <w:t>e.g.</w:t>
            </w:r>
            <w:proofErr w:type="gramEnd"/>
            <w:r w:rsidRPr="00FA3F9C">
              <w:rPr>
                <w:rFonts w:ascii="Arial" w:hAnsi="Arial" w:cs="Arial"/>
                <w:sz w:val="24"/>
                <w:szCs w:val="24"/>
              </w:rPr>
              <w:t xml:space="preserve"> no mutation) in KRAS, NRAS, and BRAF genes. </w:t>
            </w:r>
          </w:p>
        </w:tc>
      </w:tr>
      <w:tr w:rsidR="009B5AA5" w:rsidRPr="00FA3F9C" w14:paraId="2E181241" w14:textId="77777777" w:rsidTr="00515C91">
        <w:trPr>
          <w:trHeight w:val="350"/>
        </w:trPr>
        <w:tc>
          <w:tcPr>
            <w:tcW w:w="10908" w:type="dxa"/>
            <w:shd w:val="clear" w:color="auto" w:fill="auto"/>
          </w:tcPr>
          <w:p w14:paraId="59E4803A" w14:textId="77777777" w:rsidR="009B5AA5" w:rsidRPr="00FA3F9C" w:rsidRDefault="009B5AA5" w:rsidP="001C753E">
            <w:pPr>
              <w:rPr>
                <w:rFonts w:ascii="Arial" w:hAnsi="Arial" w:cs="Arial"/>
                <w:sz w:val="24"/>
                <w:szCs w:val="24"/>
              </w:rPr>
            </w:pPr>
            <w:r w:rsidRPr="00FA3F9C">
              <w:rPr>
                <w:rFonts w:ascii="Arial" w:hAnsi="Arial" w:cs="Arial"/>
                <w:sz w:val="24"/>
                <w:szCs w:val="24"/>
              </w:rPr>
              <w:t>5. Panitumumab will be used in combination with fluorouracil-based chemotherapy</w:t>
            </w:r>
          </w:p>
        </w:tc>
      </w:tr>
      <w:tr w:rsidR="009B5AA5" w:rsidRPr="00FA3F9C" w14:paraId="2E8EAC1A" w14:textId="77777777" w:rsidTr="003E37EE">
        <w:trPr>
          <w:trHeight w:val="229"/>
        </w:trPr>
        <w:tc>
          <w:tcPr>
            <w:tcW w:w="10908" w:type="dxa"/>
            <w:shd w:val="clear" w:color="auto" w:fill="F2F2F2"/>
          </w:tcPr>
          <w:p w14:paraId="6C8111A4" w14:textId="77777777" w:rsidR="009B5AA5" w:rsidRPr="00FA3F9C" w:rsidRDefault="009B5AA5" w:rsidP="00515C91">
            <w:pPr>
              <w:rPr>
                <w:rFonts w:ascii="Arial" w:hAnsi="Arial" w:cs="Arial"/>
                <w:sz w:val="24"/>
                <w:szCs w:val="24"/>
              </w:rPr>
            </w:pPr>
            <w:r w:rsidRPr="00FA3F9C">
              <w:rPr>
                <w:rFonts w:ascii="Arial" w:hAnsi="Arial" w:cs="Arial"/>
                <w:sz w:val="24"/>
                <w:szCs w:val="24"/>
              </w:rPr>
              <w:t xml:space="preserve">If the above criteria are met, approve for 1 year. </w:t>
            </w:r>
          </w:p>
        </w:tc>
      </w:tr>
      <w:tr w:rsidR="009B5AA5" w:rsidRPr="00FA3F9C" w14:paraId="5FAEF2E4" w14:textId="77777777" w:rsidTr="003E37EE">
        <w:trPr>
          <w:trHeight w:val="229"/>
        </w:trPr>
        <w:tc>
          <w:tcPr>
            <w:tcW w:w="10908" w:type="dxa"/>
            <w:shd w:val="clear" w:color="auto" w:fill="D9D9D9"/>
          </w:tcPr>
          <w:p w14:paraId="326D2E19" w14:textId="77777777" w:rsidR="009B5AA5" w:rsidRPr="00FA3F9C" w:rsidRDefault="009B5AA5" w:rsidP="00515C91">
            <w:pPr>
              <w:rPr>
                <w:rFonts w:ascii="Arial" w:hAnsi="Arial" w:cs="Arial"/>
                <w:sz w:val="24"/>
                <w:szCs w:val="24"/>
              </w:rPr>
            </w:pPr>
            <w:r w:rsidRPr="00FA3F9C">
              <w:rPr>
                <w:rFonts w:ascii="Arial" w:hAnsi="Arial" w:cs="Arial"/>
                <w:sz w:val="24"/>
                <w:szCs w:val="24"/>
              </w:rPr>
              <w:lastRenderedPageBreak/>
              <w:t>Notes:</w:t>
            </w:r>
          </w:p>
          <w:p w14:paraId="218E47F4" w14:textId="77777777" w:rsidR="009B5AA5" w:rsidRPr="00FA3F9C" w:rsidRDefault="009B5AA5" w:rsidP="00515C91">
            <w:pPr>
              <w:rPr>
                <w:rFonts w:ascii="Arial" w:hAnsi="Arial" w:cs="Arial"/>
                <w:sz w:val="24"/>
                <w:szCs w:val="24"/>
              </w:rPr>
            </w:pPr>
            <w:proofErr w:type="spellStart"/>
            <w:r w:rsidRPr="00FA3F9C">
              <w:rPr>
                <w:rFonts w:ascii="Arial" w:hAnsi="Arial" w:cs="Arial"/>
                <w:sz w:val="24"/>
                <w:szCs w:val="24"/>
              </w:rPr>
              <w:t>Panitumumab+FOLFOX</w:t>
            </w:r>
            <w:proofErr w:type="spellEnd"/>
            <w:r w:rsidRPr="00FA3F9C">
              <w:rPr>
                <w:rFonts w:ascii="Arial" w:hAnsi="Arial" w:cs="Arial"/>
                <w:sz w:val="24"/>
                <w:szCs w:val="24"/>
              </w:rPr>
              <w:t xml:space="preserve"> was compared to FOLFOX alone in a patient population regardless of location of tumor. The panitumumab arm had improved overall survival compared to FOLFOX alone (median 23.8 </w:t>
            </w:r>
            <w:proofErr w:type="spellStart"/>
            <w:r w:rsidRPr="00FA3F9C">
              <w:rPr>
                <w:rFonts w:ascii="Arial" w:hAnsi="Arial" w:cs="Arial"/>
                <w:sz w:val="24"/>
                <w:szCs w:val="24"/>
              </w:rPr>
              <w:t>mo</w:t>
            </w:r>
            <w:proofErr w:type="spellEnd"/>
            <w:r w:rsidRPr="00FA3F9C">
              <w:rPr>
                <w:rFonts w:ascii="Arial" w:hAnsi="Arial" w:cs="Arial"/>
                <w:sz w:val="24"/>
                <w:szCs w:val="24"/>
              </w:rPr>
              <w:t xml:space="preserve"> vs 19.4 </w:t>
            </w:r>
            <w:proofErr w:type="spellStart"/>
            <w:r w:rsidRPr="00FA3F9C">
              <w:rPr>
                <w:rFonts w:ascii="Arial" w:hAnsi="Arial" w:cs="Arial"/>
                <w:sz w:val="24"/>
                <w:szCs w:val="24"/>
              </w:rPr>
              <w:t>mo</w:t>
            </w:r>
            <w:proofErr w:type="spellEnd"/>
            <w:r w:rsidRPr="00FA3F9C">
              <w:rPr>
                <w:rFonts w:ascii="Arial" w:hAnsi="Arial" w:cs="Arial"/>
                <w:sz w:val="24"/>
                <w:szCs w:val="24"/>
              </w:rPr>
              <w:t>, HR 0.83 95% CI 0.70-0.98).</w:t>
            </w:r>
          </w:p>
          <w:p w14:paraId="6A6B316E" w14:textId="77777777" w:rsidR="009B5AA5" w:rsidRPr="00FA3F9C" w:rsidRDefault="009B5AA5" w:rsidP="00515C91">
            <w:pPr>
              <w:rPr>
                <w:rFonts w:ascii="Arial" w:hAnsi="Arial" w:cs="Arial"/>
                <w:sz w:val="24"/>
                <w:szCs w:val="24"/>
              </w:rPr>
            </w:pPr>
          </w:p>
          <w:p w14:paraId="2D544857" w14:textId="77777777" w:rsidR="009B5AA5" w:rsidRPr="00FA3F9C" w:rsidRDefault="009B5AA5" w:rsidP="00515C91">
            <w:pPr>
              <w:rPr>
                <w:rFonts w:ascii="Arial" w:hAnsi="Arial" w:cs="Arial"/>
                <w:sz w:val="24"/>
                <w:szCs w:val="24"/>
              </w:rPr>
            </w:pPr>
            <w:r w:rsidRPr="00FA3F9C">
              <w:rPr>
                <w:rFonts w:ascii="Arial" w:hAnsi="Arial" w:cs="Arial"/>
                <w:sz w:val="24"/>
                <w:szCs w:val="24"/>
              </w:rPr>
              <w:t>Recent data show that left-sided tumors (</w:t>
            </w:r>
            <w:proofErr w:type="spellStart"/>
            <w:r w:rsidRPr="00FA3F9C">
              <w:rPr>
                <w:rFonts w:ascii="Arial" w:hAnsi="Arial" w:cs="Arial"/>
                <w:sz w:val="24"/>
                <w:szCs w:val="24"/>
              </w:rPr>
              <w:t>splenix</w:t>
            </w:r>
            <w:proofErr w:type="spellEnd"/>
            <w:r w:rsidRPr="00FA3F9C">
              <w:rPr>
                <w:rFonts w:ascii="Arial" w:hAnsi="Arial" w:cs="Arial"/>
                <w:sz w:val="24"/>
                <w:szCs w:val="24"/>
              </w:rPr>
              <w:t xml:space="preserve"> flexure to rectum) derive significantly more benefit from EGFR inhibitors compared to left-sided tumors. Right-sided tumors may even have worse outcomes if treated with EGFR inhibitors. Data is strongest for the first-line setting. NCCN guidelines support this.</w:t>
            </w:r>
          </w:p>
          <w:p w14:paraId="1568035B" w14:textId="77777777" w:rsidR="009B5AA5" w:rsidRPr="00FA3F9C" w:rsidRDefault="009B5AA5" w:rsidP="00515C91">
            <w:pPr>
              <w:rPr>
                <w:rFonts w:ascii="Arial" w:hAnsi="Arial" w:cs="Arial"/>
                <w:sz w:val="24"/>
                <w:szCs w:val="24"/>
              </w:rPr>
            </w:pPr>
          </w:p>
          <w:p w14:paraId="5255740D" w14:textId="77777777" w:rsidR="009B5AA5" w:rsidRPr="00FA3F9C" w:rsidRDefault="009B5AA5" w:rsidP="00515C91">
            <w:pPr>
              <w:rPr>
                <w:rFonts w:ascii="Arial" w:hAnsi="Arial" w:cs="Arial"/>
                <w:sz w:val="24"/>
                <w:szCs w:val="24"/>
              </w:rPr>
            </w:pPr>
            <w:r w:rsidRPr="00FA3F9C">
              <w:rPr>
                <w:rFonts w:ascii="Arial" w:hAnsi="Arial" w:cs="Arial"/>
                <w:sz w:val="24"/>
                <w:szCs w:val="24"/>
              </w:rPr>
              <w:t>Colorectal tumors with KRAS, NRAS, and/or BRAF mutations do not derive benefit from EGFR inhibitors and may even have worse outcomes if treated with EGFR inhibitors.</w:t>
            </w:r>
          </w:p>
          <w:p w14:paraId="33520731" w14:textId="77777777" w:rsidR="009B5AA5" w:rsidRPr="00FA3F9C" w:rsidRDefault="009B5AA5" w:rsidP="00515C91">
            <w:pPr>
              <w:rPr>
                <w:rFonts w:ascii="Arial" w:hAnsi="Arial" w:cs="Arial"/>
                <w:sz w:val="24"/>
                <w:szCs w:val="24"/>
              </w:rPr>
            </w:pPr>
          </w:p>
          <w:p w14:paraId="6CEAAEED" w14:textId="77777777" w:rsidR="009B5AA5" w:rsidRPr="00FA3F9C" w:rsidRDefault="009B5AA5" w:rsidP="00D3539E">
            <w:pPr>
              <w:rPr>
                <w:rFonts w:ascii="Arial" w:hAnsi="Arial" w:cs="Arial"/>
                <w:sz w:val="24"/>
                <w:szCs w:val="24"/>
              </w:rPr>
            </w:pPr>
            <w:r w:rsidRPr="00FA3F9C">
              <w:rPr>
                <w:rFonts w:ascii="Arial" w:hAnsi="Arial" w:cs="Arial"/>
                <w:sz w:val="24"/>
                <w:szCs w:val="24"/>
              </w:rPr>
              <w:t xml:space="preserve">Panitumumab has not been shown to improve or be detrimental to quality of life. </w:t>
            </w:r>
          </w:p>
          <w:p w14:paraId="0245A8EC" w14:textId="77777777" w:rsidR="009B5AA5" w:rsidRPr="00FA3F9C" w:rsidRDefault="009B5AA5" w:rsidP="00D3539E">
            <w:pPr>
              <w:rPr>
                <w:rFonts w:ascii="Arial" w:hAnsi="Arial" w:cs="Arial"/>
                <w:sz w:val="24"/>
                <w:szCs w:val="24"/>
              </w:rPr>
            </w:pPr>
          </w:p>
          <w:p w14:paraId="456E0BB9" w14:textId="77777777" w:rsidR="009B5AA5" w:rsidRPr="00FA3F9C" w:rsidRDefault="009B5AA5" w:rsidP="00D3539E">
            <w:pPr>
              <w:rPr>
                <w:rFonts w:ascii="Arial" w:hAnsi="Arial" w:cs="Arial"/>
                <w:sz w:val="24"/>
                <w:szCs w:val="24"/>
              </w:rPr>
            </w:pPr>
            <w:r w:rsidRPr="00FA3F9C">
              <w:rPr>
                <w:rFonts w:ascii="Arial" w:hAnsi="Arial" w:cs="Arial"/>
                <w:sz w:val="24"/>
                <w:szCs w:val="24"/>
              </w:rPr>
              <w:t>References:</w:t>
            </w:r>
          </w:p>
          <w:p w14:paraId="29C49592" w14:textId="77777777" w:rsidR="009B5AA5" w:rsidRPr="00FA3F9C" w:rsidRDefault="009B5AA5" w:rsidP="00FC1E85">
            <w:pPr>
              <w:numPr>
                <w:ilvl w:val="0"/>
                <w:numId w:val="409"/>
              </w:numPr>
              <w:spacing w:after="0" w:line="240" w:lineRule="auto"/>
              <w:ind w:left="180" w:hanging="180"/>
              <w:rPr>
                <w:rFonts w:ascii="Arial" w:hAnsi="Arial" w:cs="Arial"/>
                <w:sz w:val="24"/>
                <w:szCs w:val="24"/>
              </w:rPr>
            </w:pPr>
            <w:r w:rsidRPr="00FA3F9C">
              <w:rPr>
                <w:rFonts w:ascii="Arial" w:hAnsi="Arial" w:cs="Arial"/>
                <w:sz w:val="24"/>
                <w:szCs w:val="24"/>
              </w:rPr>
              <w:t xml:space="preserve">Douillard JY et al. </w:t>
            </w:r>
            <w:proofErr w:type="gramStart"/>
            <w:r w:rsidRPr="00FA3F9C">
              <w:rPr>
                <w:rFonts w:ascii="Arial" w:hAnsi="Arial" w:cs="Arial"/>
                <w:sz w:val="24"/>
                <w:szCs w:val="24"/>
              </w:rPr>
              <w:t>Final results</w:t>
            </w:r>
            <w:proofErr w:type="gramEnd"/>
            <w:r w:rsidRPr="00FA3F9C">
              <w:rPr>
                <w:rFonts w:ascii="Arial" w:hAnsi="Arial" w:cs="Arial"/>
                <w:sz w:val="24"/>
                <w:szCs w:val="24"/>
              </w:rPr>
              <w:t xml:space="preserve"> from PRIME: randomized phase III study of panitumumab with FOLFOX4 for first-line treatment of metastatic colorectal cancer. Ann Oncol. 2014 Jul;25(7):1346-55. PMID 24718886</w:t>
            </w:r>
          </w:p>
          <w:p w14:paraId="75AAD8F4" w14:textId="77777777" w:rsidR="009B5AA5" w:rsidRPr="00FA3F9C" w:rsidRDefault="009B5AA5" w:rsidP="00FC1E85">
            <w:pPr>
              <w:numPr>
                <w:ilvl w:val="0"/>
                <w:numId w:val="409"/>
              </w:numPr>
              <w:spacing w:after="0" w:line="240" w:lineRule="auto"/>
              <w:ind w:left="180" w:hanging="180"/>
              <w:rPr>
                <w:rFonts w:ascii="Arial" w:hAnsi="Arial" w:cs="Arial"/>
                <w:sz w:val="24"/>
                <w:szCs w:val="24"/>
              </w:rPr>
            </w:pPr>
            <w:proofErr w:type="spellStart"/>
            <w:r w:rsidRPr="00FA3F9C">
              <w:rPr>
                <w:rFonts w:ascii="Arial" w:hAnsi="Arial" w:cs="Arial"/>
                <w:sz w:val="24"/>
                <w:szCs w:val="24"/>
              </w:rPr>
              <w:t>Venook</w:t>
            </w:r>
            <w:proofErr w:type="spellEnd"/>
            <w:r w:rsidRPr="00FA3F9C">
              <w:rPr>
                <w:rFonts w:ascii="Arial" w:hAnsi="Arial" w:cs="Arial"/>
                <w:sz w:val="24"/>
                <w:szCs w:val="24"/>
              </w:rPr>
              <w:t xml:space="preserve"> AP et al.  Impact of primary (1º) tumor location on overall survival (OS) and progression-free survival (PFS) in patients (pts) with metastatic colorectal cancer (mCRC): Analysis of CALGB/SWOG 80405 (Alliance). J Clin Oncol 34, 2016 (suppl; </w:t>
            </w:r>
            <w:proofErr w:type="spellStart"/>
            <w:r w:rsidRPr="00FA3F9C">
              <w:rPr>
                <w:rFonts w:ascii="Arial" w:hAnsi="Arial" w:cs="Arial"/>
                <w:sz w:val="24"/>
                <w:szCs w:val="24"/>
              </w:rPr>
              <w:t>abstr</w:t>
            </w:r>
            <w:proofErr w:type="spellEnd"/>
            <w:r w:rsidRPr="00FA3F9C">
              <w:rPr>
                <w:rFonts w:ascii="Arial" w:hAnsi="Arial" w:cs="Arial"/>
                <w:sz w:val="24"/>
                <w:szCs w:val="24"/>
              </w:rPr>
              <w:t xml:space="preserve"> 3504).</w:t>
            </w:r>
          </w:p>
          <w:p w14:paraId="3651FD74" w14:textId="77777777" w:rsidR="009B5AA5" w:rsidRPr="00FA3F9C" w:rsidRDefault="009B5AA5" w:rsidP="00FC1E85">
            <w:pPr>
              <w:numPr>
                <w:ilvl w:val="0"/>
                <w:numId w:val="409"/>
              </w:numPr>
              <w:spacing w:after="0" w:line="240" w:lineRule="auto"/>
              <w:ind w:left="180" w:hanging="180"/>
              <w:rPr>
                <w:rFonts w:ascii="Arial" w:hAnsi="Arial" w:cs="Arial"/>
                <w:sz w:val="24"/>
                <w:szCs w:val="24"/>
              </w:rPr>
            </w:pPr>
            <w:r w:rsidRPr="00FA3F9C">
              <w:rPr>
                <w:rFonts w:ascii="Arial" w:hAnsi="Arial" w:cs="Arial"/>
                <w:sz w:val="24"/>
                <w:szCs w:val="24"/>
              </w:rPr>
              <w:t xml:space="preserve"> Lee MS et al.  Association of primary (1°) site and molecular features with progression-free survival (PFS) and overall survival (OS) of metastatic colorectal cancer (mCRC) after anti-epidermal growth factor receptor (αEGFR) therapy. J Clin Oncol 34, 2016 (suppl; </w:t>
            </w:r>
            <w:proofErr w:type="spellStart"/>
            <w:r w:rsidRPr="00FA3F9C">
              <w:rPr>
                <w:rFonts w:ascii="Arial" w:hAnsi="Arial" w:cs="Arial"/>
                <w:sz w:val="24"/>
                <w:szCs w:val="24"/>
              </w:rPr>
              <w:t>abstr</w:t>
            </w:r>
            <w:proofErr w:type="spellEnd"/>
            <w:r w:rsidRPr="00FA3F9C">
              <w:rPr>
                <w:rFonts w:ascii="Arial" w:hAnsi="Arial" w:cs="Arial"/>
                <w:sz w:val="24"/>
                <w:szCs w:val="24"/>
              </w:rPr>
              <w:t xml:space="preserve"> 3506).</w:t>
            </w:r>
          </w:p>
          <w:p w14:paraId="02752BE1" w14:textId="77777777" w:rsidR="009B5AA5" w:rsidRPr="00FA3F9C" w:rsidRDefault="009B5AA5" w:rsidP="00FC1E85">
            <w:pPr>
              <w:numPr>
                <w:ilvl w:val="0"/>
                <w:numId w:val="409"/>
              </w:numPr>
              <w:spacing w:after="0" w:line="240" w:lineRule="auto"/>
              <w:ind w:left="180" w:hanging="180"/>
              <w:rPr>
                <w:rFonts w:ascii="Arial" w:hAnsi="Arial" w:cs="Arial"/>
                <w:sz w:val="24"/>
                <w:szCs w:val="24"/>
              </w:rPr>
            </w:pPr>
            <w:r w:rsidRPr="00FA3F9C">
              <w:rPr>
                <w:rFonts w:ascii="Arial" w:hAnsi="Arial" w:cs="Arial"/>
                <w:sz w:val="24"/>
                <w:szCs w:val="24"/>
              </w:rPr>
              <w:lastRenderedPageBreak/>
              <w:t xml:space="preserve">NCCN Colon Cancer Guidelines (version 2.2019).  </w:t>
            </w:r>
            <w:hyperlink r:id="rId313" w:history="1">
              <w:r w:rsidRPr="00FA3F9C">
                <w:rPr>
                  <w:rStyle w:val="Hyperlink"/>
                  <w:rFonts w:ascii="Arial" w:hAnsi="Arial" w:cs="Arial"/>
                  <w:sz w:val="24"/>
                  <w:szCs w:val="24"/>
                </w:rPr>
                <w:t>https://www.nccn.org/professionals/physician_gls/pdf/colon.pdf</w:t>
              </w:r>
            </w:hyperlink>
          </w:p>
          <w:p w14:paraId="6420F6F5" w14:textId="77777777" w:rsidR="009B5AA5" w:rsidRPr="00FA3F9C" w:rsidRDefault="009B5AA5" w:rsidP="00FC1E85">
            <w:pPr>
              <w:numPr>
                <w:ilvl w:val="0"/>
                <w:numId w:val="409"/>
              </w:numPr>
              <w:spacing w:after="0" w:line="240" w:lineRule="auto"/>
              <w:ind w:left="180" w:hanging="180"/>
              <w:rPr>
                <w:rFonts w:ascii="Arial" w:hAnsi="Arial" w:cs="Arial"/>
                <w:sz w:val="24"/>
                <w:szCs w:val="24"/>
              </w:rPr>
            </w:pPr>
            <w:proofErr w:type="spellStart"/>
            <w:r w:rsidRPr="00FA3F9C">
              <w:rPr>
                <w:rFonts w:ascii="Arial" w:hAnsi="Arial" w:cs="Arial"/>
                <w:sz w:val="24"/>
                <w:szCs w:val="24"/>
              </w:rPr>
              <w:t>Koukakis</w:t>
            </w:r>
            <w:proofErr w:type="spellEnd"/>
            <w:r w:rsidRPr="00FA3F9C">
              <w:rPr>
                <w:rFonts w:ascii="Arial" w:hAnsi="Arial" w:cs="Arial"/>
                <w:sz w:val="24"/>
                <w:szCs w:val="24"/>
              </w:rPr>
              <w:t xml:space="preserve"> R et al. Skin toxicity and quality of life during treatment with panitumumab for RAS wild-type metastatic colorectal carcinoma: results from three </w:t>
            </w:r>
            <w:proofErr w:type="spellStart"/>
            <w:r w:rsidRPr="00FA3F9C">
              <w:rPr>
                <w:rFonts w:ascii="Arial" w:hAnsi="Arial" w:cs="Arial"/>
                <w:sz w:val="24"/>
                <w:szCs w:val="24"/>
              </w:rPr>
              <w:t>randomised</w:t>
            </w:r>
            <w:proofErr w:type="spellEnd"/>
            <w:r w:rsidRPr="00FA3F9C">
              <w:rPr>
                <w:rFonts w:ascii="Arial" w:hAnsi="Arial" w:cs="Arial"/>
                <w:sz w:val="24"/>
                <w:szCs w:val="24"/>
              </w:rPr>
              <w:t xml:space="preserve"> clinical trials. Qual Life Res. 2016 Oct;25(10):2645-2656. PMID 27083443</w:t>
            </w:r>
          </w:p>
        </w:tc>
      </w:tr>
    </w:tbl>
    <w:p w14:paraId="55A8F629" w14:textId="77777777" w:rsidR="009B5AA5" w:rsidRPr="00FA3F9C" w:rsidRDefault="009B5AA5">
      <w:pPr>
        <w:jc w:val="center"/>
        <w:rPr>
          <w:rFonts w:ascii="Arial" w:hAnsi="Arial" w:cs="Arial"/>
          <w:b/>
          <w:sz w:val="24"/>
          <w:szCs w:val="24"/>
        </w:rPr>
      </w:pPr>
    </w:p>
    <w:p w14:paraId="4DF85ADC" w14:textId="77777777" w:rsidR="009B5AA5" w:rsidRPr="00FA3F9C" w:rsidRDefault="009B5AA5">
      <w:pPr>
        <w:jc w:val="center"/>
        <w:rPr>
          <w:rFonts w:ascii="Arial" w:hAnsi="Arial" w:cs="Arial"/>
          <w:sz w:val="24"/>
          <w:szCs w:val="24"/>
        </w:rPr>
      </w:pPr>
    </w:p>
    <w:tbl>
      <w:tblPr>
        <w:tblW w:w="10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6"/>
      </w:tblGrid>
      <w:tr w:rsidR="009B5AA5" w:rsidRPr="00FA3F9C" w14:paraId="01AFD139" w14:textId="77777777" w:rsidTr="003E37EE">
        <w:trPr>
          <w:trHeight w:val="89"/>
        </w:trPr>
        <w:tc>
          <w:tcPr>
            <w:tcW w:w="10976" w:type="dxa"/>
            <w:shd w:val="clear" w:color="auto" w:fill="000000"/>
          </w:tcPr>
          <w:p w14:paraId="4BC28D34" w14:textId="77777777" w:rsidR="009B5AA5" w:rsidRPr="00FA3F9C" w:rsidRDefault="009B5AA5" w:rsidP="00855C7C">
            <w:pPr>
              <w:rPr>
                <w:rFonts w:ascii="Arial" w:hAnsi="Arial" w:cs="Arial"/>
                <w:sz w:val="24"/>
                <w:szCs w:val="24"/>
                <w:u w:val="single"/>
              </w:rPr>
            </w:pPr>
            <w:r w:rsidRPr="00FA3F9C">
              <w:rPr>
                <w:rFonts w:ascii="Arial" w:hAnsi="Arial" w:cs="Arial"/>
                <w:sz w:val="24"/>
                <w:szCs w:val="24"/>
                <w:u w:val="single"/>
              </w:rPr>
              <w:t>Criteria for advanced colorectal cancer which has been PREVIOUSLY TREATED</w:t>
            </w:r>
          </w:p>
        </w:tc>
      </w:tr>
      <w:tr w:rsidR="009B5AA5" w:rsidRPr="00FA3F9C" w14:paraId="25329FF6" w14:textId="77777777" w:rsidTr="00855C7C">
        <w:trPr>
          <w:trHeight w:val="70"/>
        </w:trPr>
        <w:tc>
          <w:tcPr>
            <w:tcW w:w="10976" w:type="dxa"/>
            <w:shd w:val="clear" w:color="auto" w:fill="auto"/>
          </w:tcPr>
          <w:p w14:paraId="50FA1634" w14:textId="77777777" w:rsidR="009B5AA5" w:rsidRPr="00FA3F9C" w:rsidRDefault="009B5AA5" w:rsidP="00855C7C">
            <w:pPr>
              <w:rPr>
                <w:rFonts w:ascii="Arial" w:hAnsi="Arial" w:cs="Arial"/>
                <w:sz w:val="24"/>
                <w:szCs w:val="24"/>
                <w:u w:val="double"/>
              </w:rPr>
            </w:pPr>
            <w:r w:rsidRPr="00FA3F9C">
              <w:rPr>
                <w:rFonts w:ascii="Arial" w:hAnsi="Arial" w:cs="Arial"/>
                <w:sz w:val="24"/>
                <w:szCs w:val="24"/>
              </w:rPr>
              <w:t xml:space="preserve">1.  The patient must have a diagnosis of metastatic colorectal cancer </w:t>
            </w:r>
          </w:p>
        </w:tc>
      </w:tr>
      <w:tr w:rsidR="009B5AA5" w:rsidRPr="00FA3F9C" w14:paraId="10848B0B" w14:textId="77777777" w:rsidTr="00855C7C">
        <w:trPr>
          <w:trHeight w:val="269"/>
        </w:trPr>
        <w:tc>
          <w:tcPr>
            <w:tcW w:w="10976" w:type="dxa"/>
            <w:shd w:val="clear" w:color="auto" w:fill="auto"/>
          </w:tcPr>
          <w:p w14:paraId="222F6D65" w14:textId="77777777" w:rsidR="009B5AA5" w:rsidRPr="00FA3F9C" w:rsidRDefault="009B5AA5" w:rsidP="00291710">
            <w:pPr>
              <w:rPr>
                <w:rFonts w:ascii="Arial" w:hAnsi="Arial" w:cs="Arial"/>
                <w:sz w:val="24"/>
                <w:szCs w:val="24"/>
              </w:rPr>
            </w:pPr>
            <w:r w:rsidRPr="00FA3F9C">
              <w:rPr>
                <w:rFonts w:ascii="Arial" w:hAnsi="Arial" w:cs="Arial"/>
                <w:sz w:val="24"/>
                <w:szCs w:val="24"/>
              </w:rPr>
              <w:t>2. The tumor is documented to be wild type (</w:t>
            </w:r>
            <w:proofErr w:type="gramStart"/>
            <w:r w:rsidRPr="00FA3F9C">
              <w:rPr>
                <w:rFonts w:ascii="Arial" w:hAnsi="Arial" w:cs="Arial"/>
                <w:sz w:val="24"/>
                <w:szCs w:val="24"/>
              </w:rPr>
              <w:t>e.g.</w:t>
            </w:r>
            <w:proofErr w:type="gramEnd"/>
            <w:r w:rsidRPr="00FA3F9C">
              <w:rPr>
                <w:rFonts w:ascii="Arial" w:hAnsi="Arial" w:cs="Arial"/>
                <w:sz w:val="24"/>
                <w:szCs w:val="24"/>
              </w:rPr>
              <w:t xml:space="preserve"> no mutation) in KRAS, NRAS, and BRAF genes.</w:t>
            </w:r>
          </w:p>
        </w:tc>
      </w:tr>
      <w:tr w:rsidR="009B5AA5" w:rsidRPr="00FA3F9C" w14:paraId="1A4973F7" w14:textId="77777777" w:rsidTr="00855C7C">
        <w:trPr>
          <w:trHeight w:val="287"/>
        </w:trPr>
        <w:tc>
          <w:tcPr>
            <w:tcW w:w="10976" w:type="dxa"/>
            <w:shd w:val="clear" w:color="auto" w:fill="auto"/>
          </w:tcPr>
          <w:p w14:paraId="47D6E62F" w14:textId="77777777" w:rsidR="009B5AA5" w:rsidRPr="00FA3F9C" w:rsidRDefault="009B5AA5" w:rsidP="00855C7C">
            <w:pPr>
              <w:rPr>
                <w:rFonts w:ascii="Arial" w:hAnsi="Arial" w:cs="Arial"/>
                <w:sz w:val="24"/>
                <w:szCs w:val="24"/>
              </w:rPr>
            </w:pPr>
            <w:r w:rsidRPr="00FA3F9C">
              <w:rPr>
                <w:rFonts w:ascii="Arial" w:hAnsi="Arial" w:cs="Arial"/>
                <w:sz w:val="24"/>
                <w:szCs w:val="24"/>
              </w:rPr>
              <w:t>3. The patient had disease progression on or following fluoropyrimidine-, oxaliplatin-, and irinotecan-containing chemotherapy regimens</w:t>
            </w:r>
          </w:p>
        </w:tc>
      </w:tr>
      <w:tr w:rsidR="009B5AA5" w:rsidRPr="00FA3F9C" w14:paraId="09C65313" w14:textId="77777777" w:rsidTr="00855C7C">
        <w:trPr>
          <w:trHeight w:val="287"/>
        </w:trPr>
        <w:tc>
          <w:tcPr>
            <w:tcW w:w="10976" w:type="dxa"/>
            <w:shd w:val="clear" w:color="auto" w:fill="auto"/>
          </w:tcPr>
          <w:p w14:paraId="0EF28ADF" w14:textId="77777777" w:rsidR="009B5AA5" w:rsidRPr="00FA3F9C" w:rsidRDefault="009B5AA5" w:rsidP="007F3A09">
            <w:pPr>
              <w:rPr>
                <w:rFonts w:ascii="Arial" w:hAnsi="Arial" w:cs="Arial"/>
                <w:sz w:val="24"/>
                <w:szCs w:val="24"/>
              </w:rPr>
            </w:pPr>
            <w:r w:rsidRPr="00FA3F9C">
              <w:rPr>
                <w:rFonts w:ascii="Arial" w:hAnsi="Arial" w:cs="Arial"/>
                <w:sz w:val="24"/>
                <w:szCs w:val="24"/>
              </w:rPr>
              <w:t>4. Panitumumab will be used as single agent</w:t>
            </w:r>
          </w:p>
        </w:tc>
      </w:tr>
      <w:tr w:rsidR="009B5AA5" w:rsidRPr="00FA3F9C" w14:paraId="42930CE7" w14:textId="77777777" w:rsidTr="003E37EE">
        <w:trPr>
          <w:trHeight w:val="170"/>
        </w:trPr>
        <w:tc>
          <w:tcPr>
            <w:tcW w:w="10976" w:type="dxa"/>
            <w:shd w:val="clear" w:color="auto" w:fill="F2F2F2"/>
          </w:tcPr>
          <w:p w14:paraId="186DAD03" w14:textId="77777777" w:rsidR="009B5AA5" w:rsidRPr="00FA3F9C" w:rsidRDefault="009B5AA5" w:rsidP="00855C7C">
            <w:pPr>
              <w:rPr>
                <w:rFonts w:ascii="Arial" w:hAnsi="Arial" w:cs="Arial"/>
                <w:sz w:val="24"/>
                <w:szCs w:val="24"/>
              </w:rPr>
            </w:pPr>
            <w:r w:rsidRPr="00FA3F9C">
              <w:rPr>
                <w:rFonts w:ascii="Arial" w:hAnsi="Arial" w:cs="Arial"/>
                <w:sz w:val="24"/>
                <w:szCs w:val="24"/>
              </w:rPr>
              <w:t xml:space="preserve">If the above criteria are met, approve for 1 year. </w:t>
            </w:r>
          </w:p>
        </w:tc>
      </w:tr>
      <w:tr w:rsidR="009B5AA5" w:rsidRPr="00FA3F9C" w14:paraId="210A7D38" w14:textId="77777777" w:rsidTr="003E37EE">
        <w:trPr>
          <w:trHeight w:val="170"/>
        </w:trPr>
        <w:tc>
          <w:tcPr>
            <w:tcW w:w="10976" w:type="dxa"/>
            <w:shd w:val="clear" w:color="auto" w:fill="D9D9D9"/>
          </w:tcPr>
          <w:p w14:paraId="1E62D854" w14:textId="77777777" w:rsidR="009B5AA5" w:rsidRPr="00FA3F9C" w:rsidRDefault="009B5AA5" w:rsidP="00855C7C">
            <w:pPr>
              <w:rPr>
                <w:rFonts w:ascii="Arial" w:hAnsi="Arial" w:cs="Arial"/>
                <w:sz w:val="24"/>
                <w:szCs w:val="24"/>
              </w:rPr>
            </w:pPr>
            <w:r w:rsidRPr="00FA3F9C">
              <w:rPr>
                <w:rFonts w:ascii="Arial" w:hAnsi="Arial" w:cs="Arial"/>
                <w:sz w:val="24"/>
                <w:szCs w:val="24"/>
              </w:rPr>
              <w:t>Notes:</w:t>
            </w:r>
          </w:p>
          <w:p w14:paraId="5111E342" w14:textId="77777777" w:rsidR="009B5AA5" w:rsidRPr="00FA3F9C" w:rsidRDefault="009B5AA5" w:rsidP="00855C7C">
            <w:pPr>
              <w:rPr>
                <w:rFonts w:ascii="Arial" w:hAnsi="Arial" w:cs="Arial"/>
                <w:sz w:val="24"/>
                <w:szCs w:val="24"/>
              </w:rPr>
            </w:pPr>
            <w:r w:rsidRPr="00FA3F9C">
              <w:rPr>
                <w:rFonts w:ascii="Arial" w:hAnsi="Arial" w:cs="Arial"/>
                <w:sz w:val="24"/>
                <w:szCs w:val="24"/>
              </w:rPr>
              <w:t xml:space="preserve">Panitumumab monotherapy was compared with best supportive care in this patient population and was found to improve overall survival in tumors with wild type RAS and wild type BRAF (median 10 </w:t>
            </w:r>
            <w:proofErr w:type="spellStart"/>
            <w:r w:rsidRPr="00FA3F9C">
              <w:rPr>
                <w:rFonts w:ascii="Arial" w:hAnsi="Arial" w:cs="Arial"/>
                <w:sz w:val="24"/>
                <w:szCs w:val="24"/>
              </w:rPr>
              <w:t>mo</w:t>
            </w:r>
            <w:proofErr w:type="spellEnd"/>
            <w:r w:rsidRPr="00FA3F9C">
              <w:rPr>
                <w:rFonts w:ascii="Arial" w:hAnsi="Arial" w:cs="Arial"/>
                <w:sz w:val="24"/>
                <w:szCs w:val="24"/>
              </w:rPr>
              <w:t xml:space="preserve"> vs 6.9 </w:t>
            </w:r>
            <w:proofErr w:type="spellStart"/>
            <w:r w:rsidRPr="00FA3F9C">
              <w:rPr>
                <w:rFonts w:ascii="Arial" w:hAnsi="Arial" w:cs="Arial"/>
                <w:sz w:val="24"/>
                <w:szCs w:val="24"/>
              </w:rPr>
              <w:t>mo</w:t>
            </w:r>
            <w:proofErr w:type="spellEnd"/>
            <w:r w:rsidRPr="00FA3F9C">
              <w:rPr>
                <w:rFonts w:ascii="Arial" w:hAnsi="Arial" w:cs="Arial"/>
                <w:sz w:val="24"/>
                <w:szCs w:val="24"/>
              </w:rPr>
              <w:t>).</w:t>
            </w:r>
          </w:p>
          <w:p w14:paraId="36484587" w14:textId="77777777" w:rsidR="009B5AA5" w:rsidRPr="00FA3F9C" w:rsidRDefault="009B5AA5" w:rsidP="00855C7C">
            <w:pPr>
              <w:rPr>
                <w:rFonts w:ascii="Arial" w:hAnsi="Arial" w:cs="Arial"/>
                <w:sz w:val="24"/>
                <w:szCs w:val="24"/>
              </w:rPr>
            </w:pPr>
          </w:p>
          <w:p w14:paraId="0DA00AC3" w14:textId="77777777" w:rsidR="009B5AA5" w:rsidRPr="00FA3F9C" w:rsidRDefault="009B5AA5" w:rsidP="004B7280">
            <w:pPr>
              <w:rPr>
                <w:rFonts w:ascii="Arial" w:hAnsi="Arial" w:cs="Arial"/>
                <w:sz w:val="24"/>
                <w:szCs w:val="24"/>
              </w:rPr>
            </w:pPr>
            <w:r w:rsidRPr="00FA3F9C">
              <w:rPr>
                <w:rFonts w:ascii="Arial" w:hAnsi="Arial" w:cs="Arial"/>
                <w:sz w:val="24"/>
                <w:szCs w:val="24"/>
              </w:rPr>
              <w:t xml:space="preserve">Colorectal tumors with KRAS, NRAS, and/or BRAF mutations do not derive benefit from EGFR inhibitors and may even have worse outcomes if treated with EGFR inhibitor monotherapy. </w:t>
            </w:r>
          </w:p>
          <w:p w14:paraId="4FC98F97" w14:textId="77777777" w:rsidR="009B5AA5" w:rsidRPr="00FA3F9C" w:rsidRDefault="009B5AA5" w:rsidP="00855C7C">
            <w:pPr>
              <w:rPr>
                <w:rFonts w:ascii="Arial" w:hAnsi="Arial" w:cs="Arial"/>
                <w:sz w:val="24"/>
                <w:szCs w:val="24"/>
              </w:rPr>
            </w:pPr>
          </w:p>
          <w:p w14:paraId="029668E7" w14:textId="77777777" w:rsidR="009B5AA5" w:rsidRPr="00FA3F9C" w:rsidRDefault="009B5AA5" w:rsidP="00855C7C">
            <w:pPr>
              <w:rPr>
                <w:rFonts w:ascii="Arial" w:hAnsi="Arial" w:cs="Arial"/>
                <w:sz w:val="24"/>
                <w:szCs w:val="24"/>
              </w:rPr>
            </w:pPr>
            <w:r w:rsidRPr="00FA3F9C">
              <w:rPr>
                <w:rFonts w:ascii="Arial" w:hAnsi="Arial" w:cs="Arial"/>
                <w:sz w:val="24"/>
                <w:szCs w:val="24"/>
              </w:rPr>
              <w:t xml:space="preserve">Panitumumab has not been shown to improve or be detrimental to quality of life. </w:t>
            </w:r>
          </w:p>
          <w:p w14:paraId="5F431F9C" w14:textId="77777777" w:rsidR="009B5AA5" w:rsidRPr="00FA3F9C" w:rsidRDefault="009B5AA5" w:rsidP="00855C7C">
            <w:pPr>
              <w:rPr>
                <w:rFonts w:ascii="Arial" w:hAnsi="Arial" w:cs="Arial"/>
                <w:sz w:val="24"/>
                <w:szCs w:val="24"/>
              </w:rPr>
            </w:pPr>
          </w:p>
          <w:p w14:paraId="2D209EA2" w14:textId="77777777" w:rsidR="009B5AA5" w:rsidRPr="00FA3F9C" w:rsidRDefault="009B5AA5" w:rsidP="00855C7C">
            <w:pPr>
              <w:rPr>
                <w:rFonts w:ascii="Arial" w:hAnsi="Arial" w:cs="Arial"/>
                <w:sz w:val="24"/>
                <w:szCs w:val="24"/>
              </w:rPr>
            </w:pPr>
            <w:r w:rsidRPr="00FA3F9C">
              <w:rPr>
                <w:rFonts w:ascii="Arial" w:hAnsi="Arial" w:cs="Arial"/>
                <w:sz w:val="24"/>
                <w:szCs w:val="24"/>
              </w:rPr>
              <w:t>Reference:</w:t>
            </w:r>
          </w:p>
          <w:p w14:paraId="57727A1A" w14:textId="77777777" w:rsidR="009B5AA5" w:rsidRPr="00FA3F9C" w:rsidRDefault="009B5AA5" w:rsidP="00855C7C">
            <w:pPr>
              <w:rPr>
                <w:rFonts w:ascii="Arial" w:hAnsi="Arial" w:cs="Arial"/>
                <w:sz w:val="24"/>
                <w:szCs w:val="24"/>
              </w:rPr>
            </w:pPr>
            <w:r w:rsidRPr="00FA3F9C">
              <w:rPr>
                <w:rFonts w:ascii="Arial" w:hAnsi="Arial" w:cs="Arial"/>
                <w:sz w:val="24"/>
                <w:szCs w:val="24"/>
              </w:rPr>
              <w:t xml:space="preserve">Kim TW et al. Final Analysis of Outcomes and RAS/BRAF Status in a Randomized Phase 3 Study of Panitumumab and Best Supportive Care in </w:t>
            </w:r>
            <w:proofErr w:type="spellStart"/>
            <w:r w:rsidRPr="00FA3F9C">
              <w:rPr>
                <w:rFonts w:ascii="Arial" w:hAnsi="Arial" w:cs="Arial"/>
                <w:sz w:val="24"/>
                <w:szCs w:val="24"/>
              </w:rPr>
              <w:t>Chemorefractory</w:t>
            </w:r>
            <w:proofErr w:type="spellEnd"/>
            <w:r w:rsidRPr="00FA3F9C">
              <w:rPr>
                <w:rFonts w:ascii="Arial" w:hAnsi="Arial" w:cs="Arial"/>
                <w:sz w:val="24"/>
                <w:szCs w:val="24"/>
              </w:rPr>
              <w:t xml:space="preserve"> Wild Type KRAS Metastatic Colorectal Cancer. Clin Colorectal Cancer. 2018 Sep;17(3):206-214. PMID 29703606</w:t>
            </w:r>
          </w:p>
          <w:p w14:paraId="5DC31BB3" w14:textId="77777777" w:rsidR="009B5AA5" w:rsidRPr="00FA3F9C" w:rsidRDefault="009B5AA5" w:rsidP="00D3539E">
            <w:pPr>
              <w:rPr>
                <w:rFonts w:ascii="Arial" w:hAnsi="Arial" w:cs="Arial"/>
                <w:sz w:val="24"/>
                <w:szCs w:val="24"/>
              </w:rPr>
            </w:pPr>
            <w:proofErr w:type="spellStart"/>
            <w:r w:rsidRPr="00FA3F9C">
              <w:rPr>
                <w:rFonts w:ascii="Arial" w:hAnsi="Arial" w:cs="Arial"/>
                <w:sz w:val="24"/>
                <w:szCs w:val="24"/>
              </w:rPr>
              <w:t>Koukakis</w:t>
            </w:r>
            <w:proofErr w:type="spellEnd"/>
            <w:r w:rsidRPr="00FA3F9C">
              <w:rPr>
                <w:rFonts w:ascii="Arial" w:hAnsi="Arial" w:cs="Arial"/>
                <w:sz w:val="24"/>
                <w:szCs w:val="24"/>
              </w:rPr>
              <w:t xml:space="preserve"> R et al. Skin toxicity and quality of life during treatment with panitumumab for RAS wild-type metastatic colorectal carcinoma: results from three </w:t>
            </w:r>
            <w:proofErr w:type="spellStart"/>
            <w:r w:rsidRPr="00FA3F9C">
              <w:rPr>
                <w:rFonts w:ascii="Arial" w:hAnsi="Arial" w:cs="Arial"/>
                <w:sz w:val="24"/>
                <w:szCs w:val="24"/>
              </w:rPr>
              <w:t>randomised</w:t>
            </w:r>
            <w:proofErr w:type="spellEnd"/>
            <w:r w:rsidRPr="00FA3F9C">
              <w:rPr>
                <w:rFonts w:ascii="Arial" w:hAnsi="Arial" w:cs="Arial"/>
                <w:sz w:val="24"/>
                <w:szCs w:val="24"/>
              </w:rPr>
              <w:t xml:space="preserve"> clinical trials. Qual Life Res. 2016 Oct;25(10):2645-2656. PMID 27083443</w:t>
            </w:r>
          </w:p>
        </w:tc>
      </w:tr>
    </w:tbl>
    <w:p w14:paraId="2A7282FE" w14:textId="77777777" w:rsidR="009B5AA5" w:rsidRPr="00FA3F9C" w:rsidRDefault="009B5AA5">
      <w:pPr>
        <w:rPr>
          <w:rFonts w:ascii="Arial" w:hAnsi="Arial" w:cs="Arial"/>
          <w:sz w:val="24"/>
          <w:szCs w:val="24"/>
        </w:rPr>
      </w:pPr>
    </w:p>
    <w:p w14:paraId="06182637" w14:textId="77777777" w:rsidR="009B5AA5" w:rsidRPr="00FA3F9C" w:rsidRDefault="009B5AA5">
      <w:pPr>
        <w:rPr>
          <w:rFonts w:ascii="Arial" w:hAnsi="Arial" w:cs="Arial"/>
          <w:sz w:val="24"/>
          <w:szCs w:val="24"/>
        </w:rPr>
      </w:pPr>
    </w:p>
    <w:p w14:paraId="677EBA95" w14:textId="77777777" w:rsidR="009B5AA5" w:rsidRPr="00FA3F9C" w:rsidRDefault="009B5AA5">
      <w:pPr>
        <w:rPr>
          <w:rFonts w:ascii="Arial" w:hAnsi="Arial" w:cs="Arial"/>
          <w:sz w:val="24"/>
          <w:szCs w:val="24"/>
        </w:rPr>
      </w:pPr>
    </w:p>
    <w:p w14:paraId="03C8E596" w14:textId="77777777" w:rsidR="009B5AA5" w:rsidRPr="00FA3F9C" w:rsidRDefault="009B5AA5">
      <w:pPr>
        <w:rPr>
          <w:rFonts w:ascii="Arial" w:hAnsi="Arial" w:cs="Arial"/>
          <w:sz w:val="24"/>
          <w:szCs w:val="24"/>
        </w:rPr>
      </w:pPr>
      <w:r w:rsidRPr="00FA3F9C">
        <w:rPr>
          <w:rFonts w:ascii="Arial" w:hAnsi="Arial" w:cs="Arial"/>
          <w:sz w:val="24"/>
          <w:szCs w:val="24"/>
        </w:rPr>
        <w:t>Revision History:</w:t>
      </w: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7743"/>
        <w:gridCol w:w="1881"/>
      </w:tblGrid>
      <w:tr w:rsidR="009B5AA5" w:rsidRPr="00FA3F9C" w14:paraId="36DC2367" w14:textId="77777777" w:rsidTr="00DA6E55">
        <w:tc>
          <w:tcPr>
            <w:tcW w:w="1098" w:type="dxa"/>
          </w:tcPr>
          <w:p w14:paraId="4D1C5DD8" w14:textId="77777777" w:rsidR="009B5AA5" w:rsidRPr="00FA3F9C" w:rsidRDefault="009B5AA5">
            <w:pPr>
              <w:rPr>
                <w:rFonts w:ascii="Arial" w:hAnsi="Arial" w:cs="Arial"/>
                <w:sz w:val="24"/>
                <w:szCs w:val="24"/>
              </w:rPr>
            </w:pPr>
            <w:r w:rsidRPr="00FA3F9C">
              <w:rPr>
                <w:rFonts w:ascii="Arial" w:hAnsi="Arial" w:cs="Arial"/>
                <w:sz w:val="24"/>
                <w:szCs w:val="24"/>
              </w:rPr>
              <w:t>Date</w:t>
            </w:r>
          </w:p>
        </w:tc>
        <w:tc>
          <w:tcPr>
            <w:tcW w:w="7920" w:type="dxa"/>
          </w:tcPr>
          <w:p w14:paraId="544903B4" w14:textId="77777777" w:rsidR="009B5AA5" w:rsidRPr="00FA3F9C" w:rsidRDefault="009B5AA5">
            <w:pPr>
              <w:rPr>
                <w:rFonts w:ascii="Arial" w:hAnsi="Arial" w:cs="Arial"/>
                <w:sz w:val="24"/>
                <w:szCs w:val="24"/>
              </w:rPr>
            </w:pPr>
            <w:r w:rsidRPr="00FA3F9C">
              <w:rPr>
                <w:rFonts w:ascii="Arial" w:hAnsi="Arial" w:cs="Arial"/>
                <w:sz w:val="24"/>
                <w:szCs w:val="24"/>
              </w:rPr>
              <w:t>What changed?</w:t>
            </w:r>
          </w:p>
        </w:tc>
        <w:tc>
          <w:tcPr>
            <w:tcW w:w="1890" w:type="dxa"/>
          </w:tcPr>
          <w:p w14:paraId="1020013C" w14:textId="77777777" w:rsidR="009B5AA5" w:rsidRPr="00FA3F9C" w:rsidRDefault="009B5AA5">
            <w:pPr>
              <w:rPr>
                <w:rFonts w:ascii="Arial" w:hAnsi="Arial" w:cs="Arial"/>
                <w:sz w:val="24"/>
                <w:szCs w:val="24"/>
              </w:rPr>
            </w:pPr>
            <w:r w:rsidRPr="00FA3F9C">
              <w:rPr>
                <w:rFonts w:ascii="Arial" w:hAnsi="Arial" w:cs="Arial"/>
                <w:sz w:val="24"/>
                <w:szCs w:val="24"/>
              </w:rPr>
              <w:t>Pharmacist’s initials</w:t>
            </w:r>
          </w:p>
        </w:tc>
      </w:tr>
      <w:tr w:rsidR="009B5AA5" w:rsidRPr="00FA3F9C" w14:paraId="3CA75DE7" w14:textId="77777777" w:rsidTr="00DA6E55">
        <w:tc>
          <w:tcPr>
            <w:tcW w:w="1098" w:type="dxa"/>
          </w:tcPr>
          <w:p w14:paraId="364700A2" w14:textId="77777777" w:rsidR="009B5AA5" w:rsidRPr="00FA3F9C" w:rsidRDefault="009B5AA5">
            <w:pPr>
              <w:rPr>
                <w:rFonts w:ascii="Arial" w:hAnsi="Arial" w:cs="Arial"/>
                <w:sz w:val="24"/>
                <w:szCs w:val="24"/>
              </w:rPr>
            </w:pPr>
            <w:r w:rsidRPr="00FA3F9C">
              <w:rPr>
                <w:rFonts w:ascii="Arial" w:hAnsi="Arial" w:cs="Arial"/>
                <w:sz w:val="24"/>
                <w:szCs w:val="24"/>
              </w:rPr>
              <w:t>2/6/07</w:t>
            </w:r>
          </w:p>
        </w:tc>
        <w:tc>
          <w:tcPr>
            <w:tcW w:w="7920" w:type="dxa"/>
          </w:tcPr>
          <w:p w14:paraId="5CF01500" w14:textId="77777777" w:rsidR="009B5AA5" w:rsidRPr="00FA3F9C" w:rsidRDefault="009B5AA5">
            <w:pPr>
              <w:rPr>
                <w:rFonts w:ascii="Arial" w:hAnsi="Arial" w:cs="Arial"/>
                <w:sz w:val="24"/>
                <w:szCs w:val="24"/>
              </w:rPr>
            </w:pPr>
            <w:r w:rsidRPr="00FA3F9C">
              <w:rPr>
                <w:rFonts w:ascii="Arial" w:hAnsi="Arial" w:cs="Arial"/>
                <w:sz w:val="24"/>
                <w:szCs w:val="24"/>
              </w:rPr>
              <w:t xml:space="preserve">Criteria were written </w:t>
            </w:r>
          </w:p>
        </w:tc>
        <w:tc>
          <w:tcPr>
            <w:tcW w:w="1890" w:type="dxa"/>
          </w:tcPr>
          <w:p w14:paraId="01628C27" w14:textId="77777777" w:rsidR="009B5AA5" w:rsidRPr="00FA3F9C" w:rsidRDefault="009B5AA5">
            <w:pPr>
              <w:rPr>
                <w:rFonts w:ascii="Arial" w:hAnsi="Arial" w:cs="Arial"/>
                <w:sz w:val="24"/>
                <w:szCs w:val="24"/>
              </w:rPr>
            </w:pPr>
            <w:r w:rsidRPr="00FA3F9C">
              <w:rPr>
                <w:rFonts w:ascii="Arial" w:hAnsi="Arial" w:cs="Arial"/>
                <w:sz w:val="24"/>
                <w:szCs w:val="24"/>
              </w:rPr>
              <w:t>JJ</w:t>
            </w:r>
          </w:p>
        </w:tc>
      </w:tr>
      <w:tr w:rsidR="009B5AA5" w:rsidRPr="00FA3F9C" w14:paraId="493B3AB5" w14:textId="77777777" w:rsidTr="00DA6E55">
        <w:tc>
          <w:tcPr>
            <w:tcW w:w="1098" w:type="dxa"/>
          </w:tcPr>
          <w:p w14:paraId="7BCA476C" w14:textId="77777777" w:rsidR="009B5AA5" w:rsidRPr="00FA3F9C" w:rsidRDefault="009B5AA5">
            <w:pPr>
              <w:rPr>
                <w:rFonts w:ascii="Arial" w:hAnsi="Arial" w:cs="Arial"/>
                <w:sz w:val="24"/>
                <w:szCs w:val="24"/>
              </w:rPr>
            </w:pPr>
            <w:r w:rsidRPr="00FA3F9C">
              <w:rPr>
                <w:rFonts w:ascii="Arial" w:hAnsi="Arial" w:cs="Arial"/>
                <w:sz w:val="24"/>
                <w:szCs w:val="24"/>
              </w:rPr>
              <w:t>5/16/12</w:t>
            </w:r>
          </w:p>
        </w:tc>
        <w:tc>
          <w:tcPr>
            <w:tcW w:w="7920" w:type="dxa"/>
          </w:tcPr>
          <w:p w14:paraId="1A23041B" w14:textId="77777777" w:rsidR="009B5AA5" w:rsidRPr="00FA3F9C" w:rsidRDefault="009B5AA5">
            <w:pPr>
              <w:rPr>
                <w:rFonts w:ascii="Arial" w:hAnsi="Arial" w:cs="Arial"/>
                <w:sz w:val="24"/>
                <w:szCs w:val="24"/>
              </w:rPr>
            </w:pPr>
            <w:r w:rsidRPr="00FA3F9C">
              <w:rPr>
                <w:rFonts w:ascii="Arial" w:hAnsi="Arial" w:cs="Arial"/>
                <w:sz w:val="24"/>
                <w:szCs w:val="24"/>
              </w:rPr>
              <w:t xml:space="preserve">Revision </w:t>
            </w:r>
            <w:proofErr w:type="spellStart"/>
            <w:r w:rsidRPr="00FA3F9C">
              <w:rPr>
                <w:rFonts w:ascii="Arial" w:hAnsi="Arial" w:cs="Arial"/>
                <w:sz w:val="24"/>
                <w:szCs w:val="24"/>
              </w:rPr>
              <w:t>hx</w:t>
            </w:r>
            <w:proofErr w:type="spellEnd"/>
            <w:r w:rsidRPr="00FA3F9C">
              <w:rPr>
                <w:rFonts w:ascii="Arial" w:hAnsi="Arial" w:cs="Arial"/>
                <w:sz w:val="24"/>
                <w:szCs w:val="24"/>
              </w:rPr>
              <w:t xml:space="preserve"> table added</w:t>
            </w:r>
          </w:p>
        </w:tc>
        <w:tc>
          <w:tcPr>
            <w:tcW w:w="1890" w:type="dxa"/>
          </w:tcPr>
          <w:p w14:paraId="4C613BAD" w14:textId="77777777" w:rsidR="009B5AA5" w:rsidRPr="00FA3F9C" w:rsidRDefault="009B5AA5">
            <w:pPr>
              <w:rPr>
                <w:rFonts w:ascii="Arial" w:hAnsi="Arial" w:cs="Arial"/>
                <w:sz w:val="24"/>
                <w:szCs w:val="24"/>
              </w:rPr>
            </w:pPr>
            <w:r w:rsidRPr="00FA3F9C">
              <w:rPr>
                <w:rFonts w:ascii="Arial" w:hAnsi="Arial" w:cs="Arial"/>
                <w:sz w:val="24"/>
                <w:szCs w:val="24"/>
              </w:rPr>
              <w:t>JJ</w:t>
            </w:r>
          </w:p>
        </w:tc>
      </w:tr>
      <w:tr w:rsidR="009B5AA5" w:rsidRPr="00FA3F9C" w14:paraId="065D5F80" w14:textId="77777777" w:rsidTr="00DA6E55">
        <w:trPr>
          <w:trHeight w:val="395"/>
        </w:trPr>
        <w:tc>
          <w:tcPr>
            <w:tcW w:w="1098" w:type="dxa"/>
          </w:tcPr>
          <w:p w14:paraId="004809F3" w14:textId="77777777" w:rsidR="009B5AA5" w:rsidRPr="00FA3F9C" w:rsidRDefault="009B5AA5">
            <w:pPr>
              <w:rPr>
                <w:rFonts w:ascii="Arial" w:hAnsi="Arial" w:cs="Arial"/>
                <w:sz w:val="24"/>
                <w:szCs w:val="24"/>
              </w:rPr>
            </w:pPr>
            <w:r w:rsidRPr="00FA3F9C">
              <w:rPr>
                <w:rFonts w:ascii="Arial" w:hAnsi="Arial" w:cs="Arial"/>
                <w:sz w:val="24"/>
                <w:szCs w:val="24"/>
              </w:rPr>
              <w:t>11/8/17</w:t>
            </w:r>
          </w:p>
        </w:tc>
        <w:tc>
          <w:tcPr>
            <w:tcW w:w="7920" w:type="dxa"/>
          </w:tcPr>
          <w:p w14:paraId="66B25ABC" w14:textId="77777777" w:rsidR="009B5AA5" w:rsidRPr="00FA3F9C" w:rsidRDefault="009B5AA5" w:rsidP="00DA6E55">
            <w:pPr>
              <w:rPr>
                <w:rFonts w:ascii="Arial" w:hAnsi="Arial" w:cs="Arial"/>
                <w:sz w:val="24"/>
                <w:szCs w:val="24"/>
              </w:rPr>
            </w:pPr>
            <w:r w:rsidRPr="00FA3F9C">
              <w:rPr>
                <w:rFonts w:ascii="Arial" w:hAnsi="Arial" w:cs="Arial"/>
                <w:sz w:val="24"/>
                <w:szCs w:val="24"/>
              </w:rPr>
              <w:t>PA criteria updated w/ first line and monotherapy revision; first line use is not covered because reference #3 showed a nonsignificant improvement in OS vs FOLFOX4 CTX.</w:t>
            </w:r>
          </w:p>
        </w:tc>
        <w:tc>
          <w:tcPr>
            <w:tcW w:w="1890" w:type="dxa"/>
          </w:tcPr>
          <w:p w14:paraId="634FC59F" w14:textId="77777777" w:rsidR="009B5AA5" w:rsidRPr="00FA3F9C" w:rsidRDefault="009B5AA5">
            <w:pPr>
              <w:rPr>
                <w:rFonts w:ascii="Arial" w:hAnsi="Arial" w:cs="Arial"/>
                <w:sz w:val="24"/>
                <w:szCs w:val="24"/>
              </w:rPr>
            </w:pPr>
            <w:r w:rsidRPr="00FA3F9C">
              <w:rPr>
                <w:rFonts w:ascii="Arial" w:hAnsi="Arial" w:cs="Arial"/>
                <w:sz w:val="24"/>
                <w:szCs w:val="24"/>
              </w:rPr>
              <w:t>JK</w:t>
            </w:r>
          </w:p>
        </w:tc>
      </w:tr>
      <w:tr w:rsidR="009B5AA5" w:rsidRPr="00FA3F9C" w14:paraId="44B5B37D" w14:textId="77777777" w:rsidTr="00DA6E55">
        <w:trPr>
          <w:trHeight w:val="395"/>
        </w:trPr>
        <w:tc>
          <w:tcPr>
            <w:tcW w:w="1098" w:type="dxa"/>
          </w:tcPr>
          <w:p w14:paraId="472552D8" w14:textId="77777777" w:rsidR="009B5AA5" w:rsidRPr="00FA3F9C" w:rsidRDefault="009B5AA5">
            <w:pPr>
              <w:rPr>
                <w:rFonts w:ascii="Arial" w:hAnsi="Arial" w:cs="Arial"/>
                <w:sz w:val="24"/>
                <w:szCs w:val="24"/>
              </w:rPr>
            </w:pPr>
            <w:r w:rsidRPr="00FA3F9C">
              <w:rPr>
                <w:rFonts w:ascii="Arial" w:hAnsi="Arial" w:cs="Arial"/>
                <w:sz w:val="24"/>
                <w:szCs w:val="24"/>
              </w:rPr>
              <w:t>7/18/19</w:t>
            </w:r>
          </w:p>
        </w:tc>
        <w:tc>
          <w:tcPr>
            <w:tcW w:w="7920" w:type="dxa"/>
          </w:tcPr>
          <w:p w14:paraId="7DE7FBC9" w14:textId="77777777" w:rsidR="009B5AA5" w:rsidRPr="00FA3F9C" w:rsidRDefault="009B5AA5" w:rsidP="00DA6E55">
            <w:pPr>
              <w:rPr>
                <w:rFonts w:ascii="Arial" w:hAnsi="Arial" w:cs="Arial"/>
                <w:sz w:val="24"/>
                <w:szCs w:val="24"/>
              </w:rPr>
            </w:pPr>
            <w:r w:rsidRPr="00FA3F9C">
              <w:rPr>
                <w:rFonts w:ascii="Arial" w:hAnsi="Arial" w:cs="Arial"/>
                <w:sz w:val="24"/>
                <w:szCs w:val="24"/>
              </w:rPr>
              <w:t xml:space="preserve">Criteria reviewed. Added first line indication due to OS benefit that was demonstrated in a follow up analysis. Revised refractory criteria to include BRAF mutation status </w:t>
            </w:r>
          </w:p>
        </w:tc>
        <w:tc>
          <w:tcPr>
            <w:tcW w:w="1890" w:type="dxa"/>
          </w:tcPr>
          <w:p w14:paraId="47B34D9F" w14:textId="77777777" w:rsidR="009B5AA5" w:rsidRPr="00FA3F9C" w:rsidRDefault="009B5AA5">
            <w:pPr>
              <w:rPr>
                <w:rFonts w:ascii="Arial" w:hAnsi="Arial" w:cs="Arial"/>
                <w:sz w:val="24"/>
                <w:szCs w:val="24"/>
              </w:rPr>
            </w:pPr>
            <w:proofErr w:type="spellStart"/>
            <w:r w:rsidRPr="00FA3F9C">
              <w:rPr>
                <w:rFonts w:ascii="Arial" w:hAnsi="Arial" w:cs="Arial"/>
                <w:sz w:val="24"/>
                <w:szCs w:val="24"/>
              </w:rPr>
              <w:t>Sk</w:t>
            </w:r>
            <w:proofErr w:type="spellEnd"/>
          </w:p>
        </w:tc>
      </w:tr>
      <w:tr w:rsidR="009B5AA5" w:rsidRPr="00FA3F9C" w14:paraId="52F9FBE4" w14:textId="77777777" w:rsidTr="00DA6E55">
        <w:trPr>
          <w:trHeight w:val="395"/>
        </w:trPr>
        <w:tc>
          <w:tcPr>
            <w:tcW w:w="1098" w:type="dxa"/>
          </w:tcPr>
          <w:p w14:paraId="09B39D60" w14:textId="77777777" w:rsidR="009B5AA5" w:rsidRPr="00FA3F9C" w:rsidRDefault="009B5AA5">
            <w:pPr>
              <w:rPr>
                <w:rFonts w:ascii="Arial" w:hAnsi="Arial" w:cs="Arial"/>
                <w:sz w:val="24"/>
                <w:szCs w:val="24"/>
              </w:rPr>
            </w:pPr>
            <w:r w:rsidRPr="00FA3F9C">
              <w:rPr>
                <w:rFonts w:ascii="Arial" w:hAnsi="Arial" w:cs="Arial"/>
                <w:sz w:val="24"/>
                <w:szCs w:val="24"/>
              </w:rPr>
              <w:t>7/7/2020</w:t>
            </w:r>
          </w:p>
        </w:tc>
        <w:tc>
          <w:tcPr>
            <w:tcW w:w="7920" w:type="dxa"/>
          </w:tcPr>
          <w:p w14:paraId="4AA932FB" w14:textId="77777777" w:rsidR="009B5AA5" w:rsidRPr="00FA3F9C" w:rsidRDefault="009B5AA5" w:rsidP="00DA6E55">
            <w:pPr>
              <w:rPr>
                <w:rFonts w:ascii="Arial" w:hAnsi="Arial" w:cs="Arial"/>
                <w:sz w:val="24"/>
                <w:szCs w:val="24"/>
              </w:rPr>
            </w:pPr>
            <w:r w:rsidRPr="00FA3F9C">
              <w:rPr>
                <w:rFonts w:ascii="Arial" w:hAnsi="Arial" w:cs="Arial"/>
                <w:sz w:val="24"/>
                <w:szCs w:val="24"/>
              </w:rPr>
              <w:t>Criteria reviewed. No change.</w:t>
            </w:r>
          </w:p>
        </w:tc>
        <w:tc>
          <w:tcPr>
            <w:tcW w:w="1890" w:type="dxa"/>
          </w:tcPr>
          <w:p w14:paraId="5815AF7C" w14:textId="77777777" w:rsidR="009B5AA5" w:rsidRPr="00FA3F9C" w:rsidRDefault="009B5AA5">
            <w:pPr>
              <w:rPr>
                <w:rFonts w:ascii="Arial" w:hAnsi="Arial" w:cs="Arial"/>
                <w:sz w:val="24"/>
                <w:szCs w:val="24"/>
              </w:rPr>
            </w:pPr>
            <w:r w:rsidRPr="00FA3F9C">
              <w:rPr>
                <w:rFonts w:ascii="Arial" w:hAnsi="Arial" w:cs="Arial"/>
                <w:sz w:val="24"/>
                <w:szCs w:val="24"/>
              </w:rPr>
              <w:t>SK</w:t>
            </w:r>
          </w:p>
        </w:tc>
      </w:tr>
      <w:tr w:rsidR="009B5AA5" w:rsidRPr="00FA3F9C" w14:paraId="58CEE080" w14:textId="77777777" w:rsidTr="00DA6E55">
        <w:trPr>
          <w:trHeight w:val="395"/>
        </w:trPr>
        <w:tc>
          <w:tcPr>
            <w:tcW w:w="1098" w:type="dxa"/>
          </w:tcPr>
          <w:p w14:paraId="5B413D7B" w14:textId="77777777" w:rsidR="009B5AA5" w:rsidRPr="00FA3F9C" w:rsidRDefault="009B5AA5">
            <w:pPr>
              <w:rPr>
                <w:rFonts w:ascii="Arial" w:hAnsi="Arial" w:cs="Arial"/>
                <w:sz w:val="24"/>
                <w:szCs w:val="24"/>
              </w:rPr>
            </w:pPr>
            <w:r w:rsidRPr="00FA3F9C">
              <w:rPr>
                <w:rFonts w:ascii="Arial" w:hAnsi="Arial" w:cs="Arial"/>
                <w:sz w:val="24"/>
                <w:szCs w:val="24"/>
              </w:rPr>
              <w:lastRenderedPageBreak/>
              <w:t>1/26/2022</w:t>
            </w:r>
          </w:p>
        </w:tc>
        <w:tc>
          <w:tcPr>
            <w:tcW w:w="7920" w:type="dxa"/>
          </w:tcPr>
          <w:p w14:paraId="70E087D9" w14:textId="77777777" w:rsidR="009B5AA5" w:rsidRPr="00FA3F9C" w:rsidRDefault="009B5AA5" w:rsidP="00DA6E55">
            <w:pPr>
              <w:rPr>
                <w:rFonts w:ascii="Arial" w:hAnsi="Arial" w:cs="Arial"/>
                <w:sz w:val="24"/>
                <w:szCs w:val="24"/>
              </w:rPr>
            </w:pPr>
            <w:r w:rsidRPr="00FA3F9C">
              <w:rPr>
                <w:rFonts w:ascii="Arial" w:hAnsi="Arial" w:cs="Arial"/>
                <w:sz w:val="24"/>
                <w:szCs w:val="24"/>
              </w:rPr>
              <w:t>Criteria reviewed. No change</w:t>
            </w:r>
          </w:p>
        </w:tc>
        <w:tc>
          <w:tcPr>
            <w:tcW w:w="1890" w:type="dxa"/>
          </w:tcPr>
          <w:p w14:paraId="70C88CCF" w14:textId="77777777" w:rsidR="009B5AA5" w:rsidRPr="00FA3F9C" w:rsidRDefault="009B5AA5">
            <w:pPr>
              <w:rPr>
                <w:rFonts w:ascii="Arial" w:hAnsi="Arial" w:cs="Arial"/>
                <w:sz w:val="24"/>
                <w:szCs w:val="24"/>
              </w:rPr>
            </w:pPr>
            <w:r w:rsidRPr="00FA3F9C">
              <w:rPr>
                <w:rFonts w:ascii="Arial" w:hAnsi="Arial" w:cs="Arial"/>
                <w:sz w:val="24"/>
                <w:szCs w:val="24"/>
              </w:rPr>
              <w:t>SK</w:t>
            </w:r>
          </w:p>
        </w:tc>
      </w:tr>
    </w:tbl>
    <w:p w14:paraId="13877FB8" w14:textId="77777777" w:rsidR="009B5AA5" w:rsidRPr="00FA3F9C" w:rsidRDefault="009B5AA5">
      <w:pPr>
        <w:rPr>
          <w:rFonts w:ascii="Arial" w:hAnsi="Arial" w:cs="Arial"/>
          <w:sz w:val="24"/>
          <w:szCs w:val="24"/>
        </w:rPr>
      </w:pPr>
    </w:p>
    <w:p w14:paraId="43E3CC6D" w14:textId="77777777" w:rsidR="009B5AA5" w:rsidRPr="00FA3F9C" w:rsidRDefault="009B5AA5" w:rsidP="00EF3B65">
      <w:pPr>
        <w:pStyle w:val="Heading2"/>
      </w:pPr>
      <w:bookmarkStart w:id="253" w:name="_Toc106369890"/>
      <w:proofErr w:type="spellStart"/>
      <w:r w:rsidRPr="00FA3F9C">
        <w:t>Pasireotide</w:t>
      </w:r>
      <w:proofErr w:type="spellEnd"/>
      <w:r w:rsidRPr="00FA3F9C">
        <w:t xml:space="preserve"> (</w:t>
      </w:r>
      <w:proofErr w:type="spellStart"/>
      <w:r w:rsidRPr="00FA3F9C">
        <w:t>Signifor</w:t>
      </w:r>
      <w:proofErr w:type="spellEnd"/>
      <w:r w:rsidRPr="00FA3F9C">
        <w:t xml:space="preserve"> and </w:t>
      </w:r>
      <w:proofErr w:type="spellStart"/>
      <w:r w:rsidRPr="00FA3F9C">
        <w:t>Signifor</w:t>
      </w:r>
      <w:proofErr w:type="spellEnd"/>
      <w:r w:rsidRPr="00FA3F9C">
        <w:t xml:space="preserve"> LAR) injection</w:t>
      </w:r>
      <w:bookmarkEnd w:id="253"/>
    </w:p>
    <w:p w14:paraId="15264F56" w14:textId="77777777" w:rsidR="009B5AA5" w:rsidRPr="00FA3F9C" w:rsidRDefault="009B5AA5" w:rsidP="00CB36FE">
      <w:pPr>
        <w:spacing w:after="0"/>
        <w:jc w:val="center"/>
        <w:rPr>
          <w:rFonts w:ascii="Arial" w:hAnsi="Arial" w:cs="Arial"/>
          <w:sz w:val="24"/>
          <w:szCs w:val="24"/>
        </w:rPr>
      </w:pPr>
      <w:r w:rsidRPr="00FA3F9C">
        <w:rPr>
          <w:rFonts w:ascii="Arial" w:hAnsi="Arial" w:cs="Arial"/>
          <w:sz w:val="24"/>
          <w:szCs w:val="24"/>
        </w:rPr>
        <w:t>[</w:t>
      </w:r>
      <w:proofErr w:type="spellStart"/>
      <w:r w:rsidRPr="00FA3F9C">
        <w:rPr>
          <w:rFonts w:ascii="Arial" w:hAnsi="Arial" w:cs="Arial"/>
          <w:sz w:val="24"/>
          <w:szCs w:val="24"/>
        </w:rPr>
        <w:t>Signifor</w:t>
      </w:r>
      <w:proofErr w:type="spellEnd"/>
      <w:r w:rsidRPr="00FA3F9C">
        <w:rPr>
          <w:rFonts w:ascii="Arial" w:hAnsi="Arial" w:cs="Arial"/>
          <w:sz w:val="24"/>
          <w:szCs w:val="24"/>
        </w:rPr>
        <w:t>: 0.3mg/mL (1mL), 0.6mg/mL (1mL), 0.9mg/mL (1mL)]</w:t>
      </w:r>
    </w:p>
    <w:p w14:paraId="79BE52A2" w14:textId="77777777" w:rsidR="009B5AA5" w:rsidRPr="00FA3F9C" w:rsidRDefault="009B5AA5" w:rsidP="00CB36FE">
      <w:pPr>
        <w:spacing w:after="0"/>
        <w:jc w:val="center"/>
        <w:rPr>
          <w:rFonts w:ascii="Arial" w:hAnsi="Arial" w:cs="Arial"/>
          <w:sz w:val="24"/>
          <w:szCs w:val="24"/>
          <w:lang w:val="es-ES"/>
        </w:rPr>
      </w:pPr>
      <w:r w:rsidRPr="00FA3F9C">
        <w:rPr>
          <w:rFonts w:ascii="Arial" w:hAnsi="Arial" w:cs="Arial"/>
          <w:sz w:val="24"/>
          <w:szCs w:val="24"/>
          <w:lang w:val="es-ES"/>
        </w:rPr>
        <w:t>[</w:t>
      </w:r>
      <w:proofErr w:type="spellStart"/>
      <w:r w:rsidRPr="00FA3F9C">
        <w:rPr>
          <w:rFonts w:ascii="Arial" w:hAnsi="Arial" w:cs="Arial"/>
          <w:sz w:val="24"/>
          <w:szCs w:val="24"/>
          <w:lang w:val="es-ES"/>
        </w:rPr>
        <w:t>Signifor</w:t>
      </w:r>
      <w:proofErr w:type="spellEnd"/>
      <w:r w:rsidRPr="00FA3F9C">
        <w:rPr>
          <w:rFonts w:ascii="Arial" w:hAnsi="Arial" w:cs="Arial"/>
          <w:sz w:val="24"/>
          <w:szCs w:val="24"/>
          <w:lang w:val="es-ES"/>
        </w:rPr>
        <w:t xml:space="preserve"> </w:t>
      </w:r>
      <w:r w:rsidRPr="00FA3F9C">
        <w:rPr>
          <w:rFonts w:ascii="Arial" w:hAnsi="Arial" w:cs="Arial"/>
          <w:b/>
          <w:sz w:val="24"/>
          <w:szCs w:val="24"/>
          <w:lang w:val="es-ES"/>
        </w:rPr>
        <w:t>LAR</w:t>
      </w:r>
      <w:r w:rsidRPr="00FA3F9C">
        <w:rPr>
          <w:rFonts w:ascii="Arial" w:hAnsi="Arial" w:cs="Arial"/>
          <w:sz w:val="24"/>
          <w:szCs w:val="24"/>
          <w:lang w:val="es-ES"/>
        </w:rPr>
        <w:t xml:space="preserve"> 10, 20, 30, 40, 60mg]</w:t>
      </w:r>
    </w:p>
    <w:p w14:paraId="1574FA21" w14:textId="77777777" w:rsidR="009B5AA5" w:rsidRPr="00FA3F9C" w:rsidRDefault="009B5AA5" w:rsidP="006F623F">
      <w:pPr>
        <w:spacing w:after="0"/>
        <w:jc w:val="center"/>
        <w:rPr>
          <w:rFonts w:ascii="Arial" w:hAnsi="Arial" w:cs="Arial"/>
          <w:sz w:val="24"/>
          <w:szCs w:val="24"/>
          <w:lang w:val="es-ES"/>
        </w:rPr>
      </w:pPr>
      <w:r w:rsidRPr="00FA3F9C">
        <w:rPr>
          <w:rFonts w:ascii="Arial" w:hAnsi="Arial" w:cs="Arial"/>
          <w:sz w:val="24"/>
          <w:szCs w:val="24"/>
          <w:lang w:val="es-ES"/>
        </w:rPr>
        <w:t xml:space="preserve">EBRx PA </w:t>
      </w:r>
      <w:proofErr w:type="spellStart"/>
      <w:r w:rsidRPr="00FA3F9C">
        <w:rPr>
          <w:rFonts w:ascii="Arial" w:hAnsi="Arial" w:cs="Arial"/>
          <w:sz w:val="24"/>
          <w:szCs w:val="24"/>
          <w:lang w:val="es-ES"/>
        </w:rPr>
        <w:t>Criteria</w:t>
      </w:r>
      <w:proofErr w:type="spellEnd"/>
    </w:p>
    <w:p w14:paraId="43AC7F68" w14:textId="77777777" w:rsidR="009B5AA5" w:rsidRPr="00FA3F9C" w:rsidRDefault="009B5AA5" w:rsidP="006F623F">
      <w:pPr>
        <w:spacing w:after="0"/>
        <w:rPr>
          <w:rFonts w:ascii="Arial" w:hAnsi="Arial" w:cs="Arial"/>
          <w:b/>
          <w:sz w:val="24"/>
          <w:szCs w:val="24"/>
          <w:u w:val="single"/>
          <w:lang w:val="es-ES"/>
        </w:rPr>
      </w:pPr>
    </w:p>
    <w:p w14:paraId="4BA09432" w14:textId="77777777" w:rsidR="009B5AA5" w:rsidRPr="00FA3F9C" w:rsidRDefault="009B5AA5"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w:t>
      </w:r>
    </w:p>
    <w:p w14:paraId="6A620CB7" w14:textId="77777777" w:rsidR="009B5AA5" w:rsidRPr="00FA3F9C" w:rsidRDefault="009B5AA5" w:rsidP="00FC1E85">
      <w:pPr>
        <w:pStyle w:val="ListParagraph"/>
        <w:numPr>
          <w:ilvl w:val="0"/>
          <w:numId w:val="410"/>
        </w:numPr>
        <w:spacing w:after="0" w:line="276" w:lineRule="auto"/>
        <w:rPr>
          <w:rFonts w:ascii="Arial" w:hAnsi="Arial" w:cs="Arial"/>
          <w:sz w:val="24"/>
          <w:szCs w:val="24"/>
        </w:rPr>
      </w:pPr>
      <w:r w:rsidRPr="00FA3F9C">
        <w:rPr>
          <w:rFonts w:ascii="Arial" w:hAnsi="Arial" w:cs="Arial"/>
          <w:sz w:val="24"/>
          <w:szCs w:val="24"/>
        </w:rPr>
        <w:t>(</w:t>
      </w:r>
      <w:proofErr w:type="spellStart"/>
      <w:r w:rsidRPr="00FA3F9C">
        <w:rPr>
          <w:rFonts w:ascii="Arial" w:hAnsi="Arial" w:cs="Arial"/>
          <w:sz w:val="24"/>
          <w:szCs w:val="24"/>
        </w:rPr>
        <w:t>Signifor</w:t>
      </w:r>
      <w:proofErr w:type="spellEnd"/>
      <w:r w:rsidRPr="00FA3F9C">
        <w:rPr>
          <w:rFonts w:ascii="Arial" w:hAnsi="Arial" w:cs="Arial"/>
          <w:sz w:val="24"/>
          <w:szCs w:val="24"/>
        </w:rPr>
        <w:t xml:space="preserve"> LAR) Treatment of acromegaly in patients with an inadequate response to surgery and/or for whom surgery is not an option.</w:t>
      </w:r>
    </w:p>
    <w:p w14:paraId="4E8EBE6B" w14:textId="77777777" w:rsidR="009B5AA5" w:rsidRPr="00FA3F9C" w:rsidRDefault="009B5AA5" w:rsidP="00FC1E85">
      <w:pPr>
        <w:pStyle w:val="ListParagraph"/>
        <w:numPr>
          <w:ilvl w:val="0"/>
          <w:numId w:val="410"/>
        </w:numPr>
        <w:spacing w:after="0" w:line="276" w:lineRule="auto"/>
        <w:rPr>
          <w:rFonts w:ascii="Arial" w:hAnsi="Arial" w:cs="Arial"/>
          <w:sz w:val="24"/>
          <w:szCs w:val="24"/>
        </w:rPr>
      </w:pPr>
      <w:r w:rsidRPr="00FA3F9C">
        <w:rPr>
          <w:rFonts w:ascii="Arial" w:hAnsi="Arial" w:cs="Arial"/>
          <w:sz w:val="24"/>
          <w:szCs w:val="24"/>
        </w:rPr>
        <w:t>(</w:t>
      </w:r>
      <w:proofErr w:type="spellStart"/>
      <w:r w:rsidRPr="00FA3F9C">
        <w:rPr>
          <w:rFonts w:ascii="Arial" w:hAnsi="Arial" w:cs="Arial"/>
          <w:sz w:val="24"/>
          <w:szCs w:val="24"/>
        </w:rPr>
        <w:t>Signifor</w:t>
      </w:r>
      <w:proofErr w:type="spellEnd"/>
      <w:r w:rsidRPr="00FA3F9C">
        <w:rPr>
          <w:rFonts w:ascii="Arial" w:hAnsi="Arial" w:cs="Arial"/>
          <w:sz w:val="24"/>
          <w:szCs w:val="24"/>
        </w:rPr>
        <w:t xml:space="preserve"> or </w:t>
      </w:r>
      <w:proofErr w:type="spellStart"/>
      <w:r w:rsidRPr="00FA3F9C">
        <w:rPr>
          <w:rFonts w:ascii="Arial" w:hAnsi="Arial" w:cs="Arial"/>
          <w:sz w:val="24"/>
          <w:szCs w:val="24"/>
        </w:rPr>
        <w:t>Signifor</w:t>
      </w:r>
      <w:proofErr w:type="spellEnd"/>
      <w:r w:rsidRPr="00FA3F9C">
        <w:rPr>
          <w:rFonts w:ascii="Arial" w:hAnsi="Arial" w:cs="Arial"/>
          <w:sz w:val="24"/>
          <w:szCs w:val="24"/>
        </w:rPr>
        <w:t xml:space="preserve"> LAR) Cushing disease in patients for whom pituitary surgery is not an option or has not been curative.</w:t>
      </w:r>
    </w:p>
    <w:tbl>
      <w:tblPr>
        <w:tblStyle w:val="TableGrid"/>
        <w:tblW w:w="0" w:type="auto"/>
        <w:tblLook w:val="04A0" w:firstRow="1" w:lastRow="0" w:firstColumn="1" w:lastColumn="0" w:noHBand="0" w:noVBand="1"/>
      </w:tblPr>
      <w:tblGrid>
        <w:gridCol w:w="8747"/>
        <w:gridCol w:w="2043"/>
      </w:tblGrid>
      <w:tr w:rsidR="009B5AA5" w:rsidRPr="00FA3F9C" w14:paraId="4425F33D" w14:textId="77777777" w:rsidTr="003811DF">
        <w:tc>
          <w:tcPr>
            <w:tcW w:w="8747" w:type="dxa"/>
            <w:shd w:val="clear" w:color="auto" w:fill="000000"/>
          </w:tcPr>
          <w:p w14:paraId="552BE4F6" w14:textId="77777777" w:rsidR="009B5AA5" w:rsidRPr="00FA3F9C" w:rsidRDefault="009B5AA5" w:rsidP="00571CAB">
            <w:pPr>
              <w:rPr>
                <w:rFonts w:ascii="Arial" w:hAnsi="Arial" w:cs="Arial"/>
                <w:b/>
                <w:sz w:val="24"/>
                <w:szCs w:val="24"/>
                <w:u w:val="single"/>
              </w:rPr>
            </w:pPr>
            <w:r w:rsidRPr="00FA3F9C">
              <w:rPr>
                <w:rFonts w:ascii="Arial" w:hAnsi="Arial" w:cs="Arial"/>
                <w:b/>
                <w:sz w:val="24"/>
                <w:szCs w:val="24"/>
                <w:u w:val="single"/>
              </w:rPr>
              <w:t>Acromegaly (</w:t>
            </w:r>
            <w:proofErr w:type="spellStart"/>
            <w:r w:rsidRPr="00FA3F9C">
              <w:rPr>
                <w:rFonts w:ascii="Arial" w:hAnsi="Arial" w:cs="Arial"/>
                <w:b/>
                <w:sz w:val="24"/>
                <w:szCs w:val="24"/>
                <w:u w:val="single"/>
              </w:rPr>
              <w:t>Signifor</w:t>
            </w:r>
            <w:proofErr w:type="spellEnd"/>
            <w:r w:rsidRPr="00FA3F9C">
              <w:rPr>
                <w:rFonts w:ascii="Arial" w:hAnsi="Arial" w:cs="Arial"/>
                <w:b/>
                <w:sz w:val="24"/>
                <w:szCs w:val="24"/>
                <w:u w:val="single"/>
              </w:rPr>
              <w:t xml:space="preserve"> LAR—administered IM)</w:t>
            </w:r>
          </w:p>
        </w:tc>
        <w:tc>
          <w:tcPr>
            <w:tcW w:w="2043" w:type="dxa"/>
            <w:shd w:val="clear" w:color="auto" w:fill="000000"/>
          </w:tcPr>
          <w:p w14:paraId="0FFBA642" w14:textId="77777777" w:rsidR="009B5AA5" w:rsidRPr="00FA3F9C" w:rsidRDefault="009B5AA5" w:rsidP="006F623F">
            <w:pPr>
              <w:jc w:val="center"/>
              <w:rPr>
                <w:rFonts w:ascii="Arial" w:hAnsi="Arial" w:cs="Arial"/>
                <w:b/>
                <w:sz w:val="24"/>
                <w:szCs w:val="24"/>
                <w:u w:val="single"/>
              </w:rPr>
            </w:pPr>
          </w:p>
        </w:tc>
      </w:tr>
      <w:tr w:rsidR="009B5AA5" w:rsidRPr="00FA3F9C" w14:paraId="0A2474D6" w14:textId="77777777" w:rsidTr="003811DF">
        <w:tc>
          <w:tcPr>
            <w:tcW w:w="10790" w:type="dxa"/>
            <w:gridSpan w:val="2"/>
          </w:tcPr>
          <w:p w14:paraId="7EF14D03" w14:textId="77777777" w:rsidR="009B5AA5" w:rsidRPr="00FA3F9C" w:rsidRDefault="009B5AA5" w:rsidP="006F623F">
            <w:pPr>
              <w:rPr>
                <w:rFonts w:ascii="Arial" w:hAnsi="Arial" w:cs="Arial"/>
                <w:sz w:val="24"/>
                <w:szCs w:val="24"/>
              </w:rPr>
            </w:pPr>
            <w:r w:rsidRPr="00FA3F9C">
              <w:rPr>
                <w:rFonts w:ascii="Arial" w:hAnsi="Arial" w:cs="Arial"/>
                <w:sz w:val="24"/>
                <w:szCs w:val="24"/>
              </w:rPr>
              <w:t>1. The patient must have the diagnosis of acromegaly with an inadequate response to surgery or else not be a candidate for surgery.</w:t>
            </w:r>
          </w:p>
        </w:tc>
      </w:tr>
      <w:tr w:rsidR="009B5AA5" w:rsidRPr="00FA3F9C" w14:paraId="0EB3FA2C" w14:textId="77777777" w:rsidTr="003811DF">
        <w:tc>
          <w:tcPr>
            <w:tcW w:w="10790" w:type="dxa"/>
            <w:gridSpan w:val="2"/>
          </w:tcPr>
          <w:p w14:paraId="33A2FC40" w14:textId="77777777" w:rsidR="009B5AA5" w:rsidRPr="00FA3F9C" w:rsidRDefault="009B5AA5" w:rsidP="006F623F">
            <w:pPr>
              <w:rPr>
                <w:rFonts w:ascii="Arial" w:hAnsi="Arial" w:cs="Arial"/>
                <w:sz w:val="24"/>
                <w:szCs w:val="24"/>
              </w:rPr>
            </w:pPr>
            <w:r w:rsidRPr="00FA3F9C">
              <w:rPr>
                <w:rFonts w:ascii="Arial" w:hAnsi="Arial" w:cs="Arial"/>
                <w:sz w:val="24"/>
                <w:szCs w:val="24"/>
              </w:rPr>
              <w:t>2. The patient must be either non-</w:t>
            </w:r>
            <w:proofErr w:type="gramStart"/>
            <w:r w:rsidRPr="00FA3F9C">
              <w:rPr>
                <w:rFonts w:ascii="Arial" w:hAnsi="Arial" w:cs="Arial"/>
                <w:sz w:val="24"/>
                <w:szCs w:val="24"/>
              </w:rPr>
              <w:t>diabetic, or</w:t>
            </w:r>
            <w:proofErr w:type="gramEnd"/>
            <w:r w:rsidRPr="00FA3F9C">
              <w:rPr>
                <w:rFonts w:ascii="Arial" w:hAnsi="Arial" w:cs="Arial"/>
                <w:sz w:val="24"/>
                <w:szCs w:val="24"/>
              </w:rPr>
              <w:t xml:space="preserve"> have HbA1c &lt;8%.</w:t>
            </w:r>
          </w:p>
        </w:tc>
      </w:tr>
      <w:tr w:rsidR="009B5AA5" w:rsidRPr="00FA3F9C" w14:paraId="3D6F1D32" w14:textId="77777777" w:rsidTr="003811DF">
        <w:tc>
          <w:tcPr>
            <w:tcW w:w="10790" w:type="dxa"/>
            <w:gridSpan w:val="2"/>
            <w:shd w:val="clear" w:color="auto" w:fill="D9D9D9" w:themeFill="background1" w:themeFillShade="D9"/>
          </w:tcPr>
          <w:p w14:paraId="29911213" w14:textId="77777777" w:rsidR="009B5AA5" w:rsidRPr="00FA3F9C" w:rsidRDefault="009B5AA5" w:rsidP="006F623F">
            <w:pPr>
              <w:rPr>
                <w:rFonts w:ascii="Arial" w:hAnsi="Arial" w:cs="Arial"/>
                <w:sz w:val="24"/>
                <w:szCs w:val="24"/>
              </w:rPr>
            </w:pPr>
            <w:r w:rsidRPr="00FA3F9C">
              <w:rPr>
                <w:rFonts w:ascii="Arial" w:hAnsi="Arial" w:cs="Arial"/>
                <w:sz w:val="24"/>
                <w:szCs w:val="24"/>
              </w:rPr>
              <w:t>Dosing: IM 40mg q28d; if GH and/or IGF-1 not normalized in 3m, may increase to 60mg q28d.  If AE occur or IGF-1 level decreases to less than lower limit of normal, decrease dose by 20mg decrements.  If miss a dose, it may be given up to but no later than 14 days prior to the next dose.</w:t>
            </w:r>
          </w:p>
        </w:tc>
      </w:tr>
    </w:tbl>
    <w:p w14:paraId="6ABFED24" w14:textId="77777777" w:rsidR="009B5AA5" w:rsidRPr="00FA3F9C" w:rsidRDefault="009B5AA5" w:rsidP="006F623F">
      <w:pPr>
        <w:spacing w:after="0"/>
        <w:rPr>
          <w:rFonts w:ascii="Arial" w:hAnsi="Arial" w:cs="Arial"/>
          <w:b/>
          <w:sz w:val="24"/>
          <w:szCs w:val="24"/>
          <w:u w:val="single"/>
        </w:rPr>
      </w:pPr>
    </w:p>
    <w:p w14:paraId="5FF96015" w14:textId="77777777" w:rsidR="009B5AA5" w:rsidRPr="00FA3F9C" w:rsidRDefault="009B5AA5" w:rsidP="006F623F">
      <w:pPr>
        <w:spacing w:after="0"/>
        <w:rPr>
          <w:rFonts w:ascii="Arial" w:hAnsi="Arial" w:cs="Arial"/>
          <w:b/>
          <w:sz w:val="24"/>
          <w:szCs w:val="24"/>
          <w:u w:val="single"/>
        </w:rPr>
      </w:pPr>
      <w:r w:rsidRPr="00FA3F9C">
        <w:rPr>
          <w:rFonts w:ascii="Arial" w:hAnsi="Arial" w:cs="Arial"/>
          <w:b/>
          <w:sz w:val="24"/>
          <w:szCs w:val="24"/>
          <w:u w:val="single"/>
        </w:rPr>
        <w:t>OR</w:t>
      </w:r>
    </w:p>
    <w:p w14:paraId="7CE7F5F1" w14:textId="77777777" w:rsidR="009B5AA5" w:rsidRPr="00FA3F9C" w:rsidRDefault="009B5AA5" w:rsidP="006F623F">
      <w:pPr>
        <w:spacing w:after="0"/>
        <w:rPr>
          <w:rFonts w:ascii="Arial" w:hAnsi="Arial" w:cs="Arial"/>
          <w:b/>
          <w:sz w:val="24"/>
          <w:szCs w:val="24"/>
          <w:u w:val="single"/>
        </w:rPr>
      </w:pPr>
    </w:p>
    <w:tbl>
      <w:tblPr>
        <w:tblStyle w:val="TableGrid"/>
        <w:tblW w:w="0" w:type="auto"/>
        <w:tblLook w:val="04A0" w:firstRow="1" w:lastRow="0" w:firstColumn="1" w:lastColumn="0" w:noHBand="0" w:noVBand="1"/>
      </w:tblPr>
      <w:tblGrid>
        <w:gridCol w:w="8928"/>
        <w:gridCol w:w="2088"/>
      </w:tblGrid>
      <w:tr w:rsidR="009B5AA5" w:rsidRPr="00FA3F9C" w14:paraId="70943E25" w14:textId="77777777" w:rsidTr="00571CAB">
        <w:tc>
          <w:tcPr>
            <w:tcW w:w="8928" w:type="dxa"/>
            <w:shd w:val="clear" w:color="auto" w:fill="000000"/>
          </w:tcPr>
          <w:p w14:paraId="69D32977" w14:textId="77777777" w:rsidR="009B5AA5" w:rsidRPr="00FA3F9C" w:rsidRDefault="009B5AA5" w:rsidP="00571CAB">
            <w:pPr>
              <w:rPr>
                <w:rFonts w:ascii="Arial" w:hAnsi="Arial" w:cs="Arial"/>
                <w:b/>
                <w:sz w:val="24"/>
                <w:szCs w:val="24"/>
                <w:u w:val="single"/>
              </w:rPr>
            </w:pPr>
            <w:r w:rsidRPr="00FA3F9C">
              <w:rPr>
                <w:rFonts w:ascii="Arial" w:hAnsi="Arial" w:cs="Arial"/>
                <w:b/>
                <w:sz w:val="24"/>
                <w:szCs w:val="24"/>
                <w:u w:val="single"/>
              </w:rPr>
              <w:t>Cushing Disease</w:t>
            </w:r>
          </w:p>
          <w:p w14:paraId="64EAB170" w14:textId="77777777" w:rsidR="009B5AA5" w:rsidRPr="00FA3F9C" w:rsidRDefault="009B5AA5" w:rsidP="00571CAB">
            <w:pPr>
              <w:rPr>
                <w:rFonts w:ascii="Arial" w:hAnsi="Arial" w:cs="Arial"/>
                <w:b/>
                <w:sz w:val="24"/>
                <w:szCs w:val="24"/>
                <w:u w:val="single"/>
              </w:rPr>
            </w:pPr>
            <w:r w:rsidRPr="00FA3F9C">
              <w:rPr>
                <w:rFonts w:ascii="Arial" w:hAnsi="Arial" w:cs="Arial"/>
                <w:b/>
                <w:sz w:val="24"/>
                <w:szCs w:val="24"/>
                <w:u w:val="single"/>
              </w:rPr>
              <w:t xml:space="preserve"> (</w:t>
            </w:r>
            <w:proofErr w:type="gramStart"/>
            <w:r w:rsidRPr="00FA3F9C">
              <w:rPr>
                <w:rFonts w:ascii="Arial" w:hAnsi="Arial" w:cs="Arial"/>
                <w:b/>
                <w:sz w:val="24"/>
                <w:szCs w:val="24"/>
                <w:u w:val="single"/>
              </w:rPr>
              <w:t>either</w:t>
            </w:r>
            <w:proofErr w:type="gramEnd"/>
            <w:r w:rsidRPr="00FA3F9C">
              <w:rPr>
                <w:rFonts w:ascii="Arial" w:hAnsi="Arial" w:cs="Arial"/>
                <w:b/>
                <w:sz w:val="24"/>
                <w:szCs w:val="24"/>
                <w:u w:val="single"/>
              </w:rPr>
              <w:t xml:space="preserve"> </w:t>
            </w:r>
            <w:proofErr w:type="spellStart"/>
            <w:r w:rsidRPr="00FA3F9C">
              <w:rPr>
                <w:rFonts w:ascii="Arial" w:hAnsi="Arial" w:cs="Arial"/>
                <w:b/>
                <w:sz w:val="24"/>
                <w:szCs w:val="24"/>
                <w:u w:val="single"/>
              </w:rPr>
              <w:t>Signifor</w:t>
            </w:r>
            <w:proofErr w:type="spellEnd"/>
            <w:r w:rsidRPr="00FA3F9C">
              <w:rPr>
                <w:rFonts w:ascii="Arial" w:hAnsi="Arial" w:cs="Arial"/>
                <w:b/>
                <w:sz w:val="24"/>
                <w:szCs w:val="24"/>
                <w:u w:val="single"/>
              </w:rPr>
              <w:t xml:space="preserve"> –administered SC or </w:t>
            </w:r>
            <w:proofErr w:type="spellStart"/>
            <w:r w:rsidRPr="00FA3F9C">
              <w:rPr>
                <w:rFonts w:ascii="Arial" w:hAnsi="Arial" w:cs="Arial"/>
                <w:b/>
                <w:sz w:val="24"/>
                <w:szCs w:val="24"/>
                <w:u w:val="single"/>
              </w:rPr>
              <w:t>Signifor</w:t>
            </w:r>
            <w:proofErr w:type="spellEnd"/>
            <w:r w:rsidRPr="00FA3F9C">
              <w:rPr>
                <w:rFonts w:ascii="Arial" w:hAnsi="Arial" w:cs="Arial"/>
                <w:b/>
                <w:sz w:val="24"/>
                <w:szCs w:val="24"/>
                <w:u w:val="single"/>
              </w:rPr>
              <w:t xml:space="preserve"> LAR—administered IM)</w:t>
            </w:r>
          </w:p>
        </w:tc>
        <w:tc>
          <w:tcPr>
            <w:tcW w:w="2088" w:type="dxa"/>
            <w:shd w:val="clear" w:color="auto" w:fill="000000"/>
          </w:tcPr>
          <w:p w14:paraId="1AA61585" w14:textId="77777777" w:rsidR="009B5AA5" w:rsidRPr="00FA3F9C" w:rsidRDefault="009B5AA5" w:rsidP="00571CAB">
            <w:pPr>
              <w:jc w:val="center"/>
              <w:rPr>
                <w:rFonts w:ascii="Arial" w:hAnsi="Arial" w:cs="Arial"/>
                <w:b/>
                <w:sz w:val="24"/>
                <w:szCs w:val="24"/>
                <w:u w:val="single"/>
              </w:rPr>
            </w:pPr>
          </w:p>
        </w:tc>
      </w:tr>
      <w:tr w:rsidR="009B5AA5" w:rsidRPr="00FA3F9C" w14:paraId="46F4380A" w14:textId="77777777" w:rsidTr="00FE7E94">
        <w:tc>
          <w:tcPr>
            <w:tcW w:w="11016" w:type="dxa"/>
            <w:gridSpan w:val="2"/>
          </w:tcPr>
          <w:p w14:paraId="0220FF71" w14:textId="77777777" w:rsidR="009B5AA5" w:rsidRPr="00FA3F9C" w:rsidRDefault="009B5AA5" w:rsidP="00571CAB">
            <w:pPr>
              <w:rPr>
                <w:rFonts w:ascii="Arial" w:hAnsi="Arial" w:cs="Arial"/>
                <w:sz w:val="24"/>
                <w:szCs w:val="24"/>
              </w:rPr>
            </w:pPr>
            <w:r w:rsidRPr="00FA3F9C">
              <w:rPr>
                <w:rFonts w:ascii="Arial" w:hAnsi="Arial" w:cs="Arial"/>
                <w:sz w:val="24"/>
                <w:szCs w:val="24"/>
              </w:rPr>
              <w:t>1. The patient must have the diagnosis of Cushing disease and is not a candidate for surgery or for whom surgery was not curative.</w:t>
            </w:r>
          </w:p>
        </w:tc>
      </w:tr>
      <w:tr w:rsidR="009B5AA5" w:rsidRPr="00FA3F9C" w14:paraId="5C2A718D" w14:textId="77777777" w:rsidTr="00E85040">
        <w:tc>
          <w:tcPr>
            <w:tcW w:w="11016" w:type="dxa"/>
            <w:gridSpan w:val="2"/>
          </w:tcPr>
          <w:p w14:paraId="2216B4FF" w14:textId="77777777" w:rsidR="009B5AA5" w:rsidRPr="00FA3F9C" w:rsidRDefault="009B5AA5" w:rsidP="00571CAB">
            <w:pPr>
              <w:rPr>
                <w:rFonts w:ascii="Arial" w:hAnsi="Arial" w:cs="Arial"/>
                <w:sz w:val="24"/>
                <w:szCs w:val="24"/>
              </w:rPr>
            </w:pPr>
            <w:r w:rsidRPr="00FA3F9C">
              <w:rPr>
                <w:rFonts w:ascii="Arial" w:hAnsi="Arial" w:cs="Arial"/>
                <w:sz w:val="24"/>
                <w:szCs w:val="24"/>
              </w:rPr>
              <w:t xml:space="preserve">2. The patient’s HbA1C must be less than 8% before </w:t>
            </w:r>
            <w:proofErr w:type="spellStart"/>
            <w:r w:rsidRPr="00FA3F9C">
              <w:rPr>
                <w:rFonts w:ascii="Arial" w:hAnsi="Arial" w:cs="Arial"/>
                <w:sz w:val="24"/>
                <w:szCs w:val="24"/>
              </w:rPr>
              <w:t>pasireotide</w:t>
            </w:r>
            <w:proofErr w:type="spellEnd"/>
            <w:r w:rsidRPr="00FA3F9C">
              <w:rPr>
                <w:rFonts w:ascii="Arial" w:hAnsi="Arial" w:cs="Arial"/>
                <w:sz w:val="24"/>
                <w:szCs w:val="24"/>
              </w:rPr>
              <w:t xml:space="preserve"> injection.</w:t>
            </w:r>
          </w:p>
        </w:tc>
      </w:tr>
      <w:tr w:rsidR="009B5AA5" w:rsidRPr="00FA3F9C" w14:paraId="0773F0EE" w14:textId="77777777" w:rsidTr="00AD0E38">
        <w:tc>
          <w:tcPr>
            <w:tcW w:w="11016" w:type="dxa"/>
            <w:gridSpan w:val="2"/>
          </w:tcPr>
          <w:p w14:paraId="63532309" w14:textId="77777777" w:rsidR="009B5AA5" w:rsidRPr="00FA3F9C" w:rsidRDefault="009B5AA5" w:rsidP="00571CAB">
            <w:pPr>
              <w:rPr>
                <w:rFonts w:ascii="Arial" w:hAnsi="Arial" w:cs="Arial"/>
                <w:sz w:val="24"/>
                <w:szCs w:val="24"/>
              </w:rPr>
            </w:pPr>
            <w:r w:rsidRPr="00FA3F9C">
              <w:rPr>
                <w:rFonts w:ascii="Arial" w:hAnsi="Arial" w:cs="Arial"/>
                <w:sz w:val="24"/>
                <w:szCs w:val="24"/>
              </w:rPr>
              <w:t>3. The patient must have tried and failed to normalize serum cortisol levels with adequately dosed cabergoline.</w:t>
            </w:r>
          </w:p>
        </w:tc>
      </w:tr>
      <w:tr w:rsidR="009B5AA5" w:rsidRPr="00FA3F9C" w14:paraId="25D44223" w14:textId="77777777" w:rsidTr="00CB36FE">
        <w:tc>
          <w:tcPr>
            <w:tcW w:w="11016" w:type="dxa"/>
            <w:gridSpan w:val="2"/>
            <w:shd w:val="clear" w:color="auto" w:fill="D9D9D9" w:themeFill="background1" w:themeFillShade="D9"/>
          </w:tcPr>
          <w:p w14:paraId="05EE9A14" w14:textId="77777777" w:rsidR="009B5AA5" w:rsidRPr="00FA3F9C" w:rsidRDefault="009B5AA5" w:rsidP="00571CAB">
            <w:pPr>
              <w:rPr>
                <w:rFonts w:ascii="Arial" w:hAnsi="Arial" w:cs="Arial"/>
                <w:sz w:val="24"/>
                <w:szCs w:val="24"/>
              </w:rPr>
            </w:pPr>
            <w:r w:rsidRPr="00FA3F9C">
              <w:rPr>
                <w:rFonts w:ascii="Arial" w:hAnsi="Arial" w:cs="Arial"/>
                <w:sz w:val="24"/>
                <w:szCs w:val="24"/>
              </w:rPr>
              <w:t>Dosing:</w:t>
            </w:r>
          </w:p>
          <w:p w14:paraId="2D99ACE9" w14:textId="77777777" w:rsidR="009B5AA5" w:rsidRPr="00FA3F9C" w:rsidRDefault="009B5AA5" w:rsidP="00571CAB">
            <w:pPr>
              <w:rPr>
                <w:rFonts w:ascii="Arial" w:hAnsi="Arial" w:cs="Arial"/>
                <w:sz w:val="24"/>
                <w:szCs w:val="24"/>
              </w:rPr>
            </w:pPr>
            <w:proofErr w:type="spellStart"/>
            <w:r w:rsidRPr="00FA3F9C">
              <w:rPr>
                <w:rFonts w:ascii="Arial" w:hAnsi="Arial" w:cs="Arial"/>
                <w:sz w:val="24"/>
                <w:szCs w:val="24"/>
              </w:rPr>
              <w:t>Signifor</w:t>
            </w:r>
            <w:proofErr w:type="spellEnd"/>
            <w:r w:rsidRPr="00FA3F9C">
              <w:rPr>
                <w:rFonts w:ascii="Arial" w:hAnsi="Arial" w:cs="Arial"/>
                <w:sz w:val="24"/>
                <w:szCs w:val="24"/>
              </w:rPr>
              <w:t xml:space="preserve"> </w:t>
            </w:r>
            <w:proofErr w:type="spellStart"/>
            <w:r w:rsidRPr="00FA3F9C">
              <w:rPr>
                <w:rFonts w:ascii="Arial" w:hAnsi="Arial" w:cs="Arial"/>
                <w:sz w:val="24"/>
                <w:szCs w:val="24"/>
              </w:rPr>
              <w:t>subQ</w:t>
            </w:r>
            <w:proofErr w:type="spellEnd"/>
            <w:r w:rsidRPr="00FA3F9C">
              <w:rPr>
                <w:rFonts w:ascii="Arial" w:hAnsi="Arial" w:cs="Arial"/>
                <w:sz w:val="24"/>
                <w:szCs w:val="24"/>
              </w:rPr>
              <w:t>: 0.6 or 0.9mg BID.</w:t>
            </w:r>
          </w:p>
          <w:p w14:paraId="7B8B3098" w14:textId="77777777" w:rsidR="009B5AA5" w:rsidRPr="00FA3F9C" w:rsidRDefault="009B5AA5" w:rsidP="00571CAB">
            <w:pPr>
              <w:rPr>
                <w:rFonts w:ascii="Arial" w:hAnsi="Arial" w:cs="Arial"/>
                <w:sz w:val="24"/>
                <w:szCs w:val="24"/>
              </w:rPr>
            </w:pPr>
            <w:proofErr w:type="spellStart"/>
            <w:r w:rsidRPr="00FA3F9C">
              <w:rPr>
                <w:rFonts w:ascii="Arial" w:hAnsi="Arial" w:cs="Arial"/>
                <w:sz w:val="24"/>
                <w:szCs w:val="24"/>
              </w:rPr>
              <w:lastRenderedPageBreak/>
              <w:t>SigniforLAR</w:t>
            </w:r>
            <w:proofErr w:type="spellEnd"/>
            <w:r w:rsidRPr="00FA3F9C">
              <w:rPr>
                <w:rFonts w:ascii="Arial" w:hAnsi="Arial" w:cs="Arial"/>
                <w:sz w:val="24"/>
                <w:szCs w:val="24"/>
              </w:rPr>
              <w:t xml:space="preserve"> (IM) initial 10mg q28d; may increase after 4m if 24h urinary free cortisol level is not normalized. Max 40mg q28d. If miss a dose, it may be given up to but no later than 14 days prior to the next dose.</w:t>
            </w:r>
          </w:p>
        </w:tc>
      </w:tr>
    </w:tbl>
    <w:p w14:paraId="5AFA0990" w14:textId="77777777" w:rsidR="009B5AA5" w:rsidRPr="00FA3F9C" w:rsidRDefault="009B5AA5" w:rsidP="006F623F">
      <w:pPr>
        <w:spacing w:after="0"/>
        <w:rPr>
          <w:rFonts w:ascii="Arial" w:hAnsi="Arial" w:cs="Arial"/>
          <w:b/>
          <w:sz w:val="24"/>
          <w:szCs w:val="24"/>
          <w:u w:val="single"/>
        </w:rPr>
      </w:pPr>
    </w:p>
    <w:p w14:paraId="454DB2C7" w14:textId="77777777" w:rsidR="009B5AA5" w:rsidRPr="00FA3F9C" w:rsidRDefault="009B5AA5" w:rsidP="006F623F">
      <w:pPr>
        <w:spacing w:after="0"/>
        <w:rPr>
          <w:rFonts w:ascii="Arial" w:hAnsi="Arial" w:cs="Arial"/>
          <w:sz w:val="24"/>
          <w:szCs w:val="24"/>
        </w:rPr>
      </w:pPr>
      <w:r w:rsidRPr="00FA3F9C">
        <w:rPr>
          <w:rFonts w:ascii="Arial" w:hAnsi="Arial" w:cs="Arial"/>
          <w:sz w:val="24"/>
          <w:szCs w:val="24"/>
        </w:rPr>
        <w:t>Quantity Limits: 4 weeks’ supply</w:t>
      </w:r>
    </w:p>
    <w:p w14:paraId="50D0517C" w14:textId="77777777" w:rsidR="009B5AA5" w:rsidRPr="00FA3F9C" w:rsidRDefault="009B5AA5" w:rsidP="006F623F">
      <w:pPr>
        <w:spacing w:after="0"/>
        <w:rPr>
          <w:rFonts w:ascii="Arial" w:hAnsi="Arial" w:cs="Arial"/>
          <w:sz w:val="24"/>
          <w:szCs w:val="24"/>
        </w:rPr>
      </w:pPr>
    </w:p>
    <w:p w14:paraId="62D2F00A" w14:textId="77777777" w:rsidR="009B5AA5" w:rsidRPr="00FA3F9C" w:rsidRDefault="009B5AA5" w:rsidP="00C23122">
      <w:pPr>
        <w:spacing w:after="0"/>
        <w:rPr>
          <w:rFonts w:ascii="Arial" w:hAnsi="Arial" w:cs="Arial"/>
          <w:sz w:val="24"/>
          <w:szCs w:val="24"/>
        </w:rPr>
      </w:pPr>
      <w:r w:rsidRPr="00FA3F9C">
        <w:rPr>
          <w:rFonts w:ascii="Arial" w:hAnsi="Arial" w:cs="Arial"/>
          <w:sz w:val="24"/>
          <w:szCs w:val="24"/>
        </w:rPr>
        <w:t>Ref 2 stated the 2</w:t>
      </w:r>
      <w:r w:rsidRPr="00FA3F9C">
        <w:rPr>
          <w:rFonts w:ascii="Arial" w:hAnsi="Arial" w:cs="Arial"/>
          <w:sz w:val="24"/>
          <w:szCs w:val="24"/>
          <w:vertAlign w:val="superscript"/>
        </w:rPr>
        <w:t>nd</w:t>
      </w:r>
      <w:r w:rsidRPr="00FA3F9C">
        <w:rPr>
          <w:rFonts w:ascii="Arial" w:hAnsi="Arial" w:cs="Arial"/>
          <w:sz w:val="24"/>
          <w:szCs w:val="24"/>
        </w:rPr>
        <w:t xml:space="preserve"> generation somatostatin analog, </w:t>
      </w:r>
      <w:proofErr w:type="spellStart"/>
      <w:r w:rsidRPr="00FA3F9C">
        <w:rPr>
          <w:rFonts w:ascii="Arial" w:hAnsi="Arial" w:cs="Arial"/>
          <w:sz w:val="24"/>
          <w:szCs w:val="24"/>
        </w:rPr>
        <w:t>pasireotide</w:t>
      </w:r>
      <w:proofErr w:type="spellEnd"/>
      <w:r w:rsidRPr="00FA3F9C">
        <w:rPr>
          <w:rFonts w:ascii="Arial" w:hAnsi="Arial" w:cs="Arial"/>
          <w:sz w:val="24"/>
          <w:szCs w:val="24"/>
        </w:rPr>
        <w:t>, improved mean growth hormone concentration to &lt;2.5ug/L and normalized IGF-1 concentration better than the 1</w:t>
      </w:r>
      <w:r w:rsidRPr="00FA3F9C">
        <w:rPr>
          <w:rFonts w:ascii="Arial" w:hAnsi="Arial" w:cs="Arial"/>
          <w:sz w:val="24"/>
          <w:szCs w:val="24"/>
          <w:vertAlign w:val="superscript"/>
        </w:rPr>
        <w:t>st</w:t>
      </w:r>
      <w:r w:rsidRPr="00FA3F9C">
        <w:rPr>
          <w:rFonts w:ascii="Arial" w:hAnsi="Arial" w:cs="Arial"/>
          <w:sz w:val="24"/>
          <w:szCs w:val="24"/>
        </w:rPr>
        <w:t xml:space="preserve"> gen, octreotide; 31.3% vs 19.2%; OR 1.94, 95%CI 1.19-3.17, p=0.007, respectively.  </w:t>
      </w:r>
    </w:p>
    <w:p w14:paraId="514FA259" w14:textId="77777777" w:rsidR="009B5AA5" w:rsidRPr="00FA3F9C" w:rsidRDefault="009B5AA5" w:rsidP="00C23122">
      <w:pPr>
        <w:spacing w:after="0"/>
        <w:rPr>
          <w:rFonts w:ascii="Arial" w:hAnsi="Arial" w:cs="Arial"/>
          <w:sz w:val="24"/>
          <w:szCs w:val="24"/>
        </w:rPr>
      </w:pPr>
      <w:r w:rsidRPr="00FA3F9C">
        <w:rPr>
          <w:rFonts w:ascii="Arial" w:hAnsi="Arial" w:cs="Arial"/>
          <w:sz w:val="24"/>
          <w:szCs w:val="24"/>
        </w:rPr>
        <w:t xml:space="preserve">However, the </w:t>
      </w:r>
      <w:proofErr w:type="spellStart"/>
      <w:r w:rsidRPr="00FA3F9C">
        <w:rPr>
          <w:rFonts w:ascii="Arial" w:hAnsi="Arial" w:cs="Arial"/>
          <w:sz w:val="24"/>
          <w:szCs w:val="24"/>
        </w:rPr>
        <w:t>pasireotide</w:t>
      </w:r>
      <w:proofErr w:type="spellEnd"/>
      <w:r w:rsidRPr="00FA3F9C">
        <w:rPr>
          <w:rFonts w:ascii="Arial" w:hAnsi="Arial" w:cs="Arial"/>
          <w:sz w:val="24"/>
          <w:szCs w:val="24"/>
        </w:rPr>
        <w:t xml:space="preserve"> group experienced more hyperglycemia, DM, and diarrhea; most were mild-moderate in severity.  SAEs 10% in </w:t>
      </w:r>
      <w:proofErr w:type="spellStart"/>
      <w:r w:rsidRPr="00FA3F9C">
        <w:rPr>
          <w:rFonts w:ascii="Arial" w:hAnsi="Arial" w:cs="Arial"/>
          <w:sz w:val="24"/>
          <w:szCs w:val="24"/>
        </w:rPr>
        <w:t>pasireotide</w:t>
      </w:r>
      <w:proofErr w:type="spellEnd"/>
      <w:r w:rsidRPr="00FA3F9C">
        <w:rPr>
          <w:rFonts w:ascii="Arial" w:hAnsi="Arial" w:cs="Arial"/>
          <w:sz w:val="24"/>
          <w:szCs w:val="24"/>
        </w:rPr>
        <w:t xml:space="preserve"> 40mg, 3% in </w:t>
      </w:r>
      <w:proofErr w:type="spellStart"/>
      <w:r w:rsidRPr="00FA3F9C">
        <w:rPr>
          <w:rFonts w:ascii="Arial" w:hAnsi="Arial" w:cs="Arial"/>
          <w:sz w:val="24"/>
          <w:szCs w:val="24"/>
        </w:rPr>
        <w:t>pasireotide</w:t>
      </w:r>
      <w:proofErr w:type="spellEnd"/>
      <w:r w:rsidRPr="00FA3F9C">
        <w:rPr>
          <w:rFonts w:ascii="Arial" w:hAnsi="Arial" w:cs="Arial"/>
          <w:sz w:val="24"/>
          <w:szCs w:val="24"/>
        </w:rPr>
        <w:t xml:space="preserve"> 60mg group, and 5% in octreotide.</w:t>
      </w:r>
    </w:p>
    <w:p w14:paraId="77140DB1" w14:textId="77777777" w:rsidR="009B5AA5" w:rsidRPr="00FA3F9C" w:rsidRDefault="009B5AA5" w:rsidP="00C23122">
      <w:pPr>
        <w:spacing w:after="0"/>
        <w:rPr>
          <w:rFonts w:ascii="Arial" w:hAnsi="Arial" w:cs="Arial"/>
          <w:sz w:val="24"/>
          <w:szCs w:val="24"/>
        </w:rPr>
      </w:pPr>
      <w:r w:rsidRPr="00FA3F9C">
        <w:rPr>
          <w:rFonts w:ascii="Arial" w:hAnsi="Arial" w:cs="Arial"/>
          <w:sz w:val="24"/>
          <w:szCs w:val="24"/>
        </w:rPr>
        <w:t xml:space="preserve">Specifically, hyperglycemia-related AEs: 67% </w:t>
      </w:r>
      <w:proofErr w:type="spellStart"/>
      <w:r w:rsidRPr="00FA3F9C">
        <w:rPr>
          <w:rFonts w:ascii="Arial" w:hAnsi="Arial" w:cs="Arial"/>
          <w:sz w:val="24"/>
          <w:szCs w:val="24"/>
        </w:rPr>
        <w:t>pasireotide</w:t>
      </w:r>
      <w:proofErr w:type="spellEnd"/>
      <w:r w:rsidRPr="00FA3F9C">
        <w:rPr>
          <w:rFonts w:ascii="Arial" w:hAnsi="Arial" w:cs="Arial"/>
          <w:sz w:val="24"/>
          <w:szCs w:val="24"/>
        </w:rPr>
        <w:t xml:space="preserve"> 40mg group, 61% </w:t>
      </w:r>
      <w:proofErr w:type="spellStart"/>
      <w:r w:rsidRPr="00FA3F9C">
        <w:rPr>
          <w:rFonts w:ascii="Arial" w:hAnsi="Arial" w:cs="Arial"/>
          <w:sz w:val="24"/>
          <w:szCs w:val="24"/>
        </w:rPr>
        <w:t>pasireotide</w:t>
      </w:r>
      <w:proofErr w:type="spellEnd"/>
      <w:r w:rsidRPr="00FA3F9C">
        <w:rPr>
          <w:rFonts w:ascii="Arial" w:hAnsi="Arial" w:cs="Arial"/>
          <w:sz w:val="24"/>
          <w:szCs w:val="24"/>
        </w:rPr>
        <w:t xml:space="preserve"> 60mg group, 30% octreotide group.</w:t>
      </w:r>
    </w:p>
    <w:p w14:paraId="575E2594" w14:textId="77777777" w:rsidR="009B5AA5" w:rsidRPr="00FA3F9C" w:rsidRDefault="009B5AA5" w:rsidP="00C23122">
      <w:pPr>
        <w:spacing w:after="0" w:line="240" w:lineRule="auto"/>
        <w:rPr>
          <w:rFonts w:ascii="Arial" w:hAnsi="Arial" w:cs="Arial"/>
          <w:color w:val="222222"/>
          <w:sz w:val="24"/>
          <w:szCs w:val="24"/>
          <w:shd w:val="clear" w:color="auto" w:fill="FFFFFF"/>
        </w:rPr>
      </w:pPr>
    </w:p>
    <w:p w14:paraId="51D4765B" w14:textId="77777777" w:rsidR="009B5AA5" w:rsidRPr="00FA3F9C" w:rsidRDefault="009B5AA5" w:rsidP="00C23122">
      <w:pPr>
        <w:spacing w:after="0" w:line="240" w:lineRule="auto"/>
        <w:rPr>
          <w:rFonts w:ascii="Arial" w:hAnsi="Arial" w:cs="Arial"/>
          <w:color w:val="222222"/>
          <w:sz w:val="24"/>
          <w:szCs w:val="24"/>
          <w:shd w:val="clear" w:color="auto" w:fill="FFFFFF"/>
        </w:rPr>
      </w:pPr>
      <w:r w:rsidRPr="00FA3F9C">
        <w:rPr>
          <w:rFonts w:ascii="Arial" w:hAnsi="Arial" w:cs="Arial"/>
          <w:color w:val="222222"/>
          <w:sz w:val="24"/>
          <w:szCs w:val="24"/>
          <w:shd w:val="clear" w:color="auto" w:fill="FFFFFF"/>
        </w:rPr>
        <w:t>References:</w:t>
      </w:r>
    </w:p>
    <w:p w14:paraId="5ECD67DC" w14:textId="77777777" w:rsidR="009B5AA5" w:rsidRPr="00FA3F9C" w:rsidRDefault="009B5AA5" w:rsidP="00C23122">
      <w:pPr>
        <w:spacing w:after="0" w:line="240" w:lineRule="auto"/>
        <w:rPr>
          <w:rFonts w:ascii="Arial" w:hAnsi="Arial" w:cs="Arial"/>
          <w:color w:val="222222"/>
          <w:sz w:val="24"/>
          <w:szCs w:val="24"/>
          <w:shd w:val="clear" w:color="auto" w:fill="FFFFFF"/>
        </w:rPr>
      </w:pPr>
      <w:r w:rsidRPr="00FA3F9C">
        <w:rPr>
          <w:rFonts w:ascii="Arial" w:hAnsi="Arial" w:cs="Arial"/>
          <w:color w:val="222222"/>
          <w:sz w:val="24"/>
          <w:szCs w:val="24"/>
          <w:shd w:val="clear" w:color="auto" w:fill="FFFFFF"/>
        </w:rPr>
        <w:t xml:space="preserve">1. Lexicomp. </w:t>
      </w:r>
      <w:proofErr w:type="spellStart"/>
      <w:r w:rsidRPr="00FA3F9C">
        <w:rPr>
          <w:rFonts w:ascii="Arial" w:hAnsi="Arial" w:cs="Arial"/>
          <w:color w:val="222222"/>
          <w:sz w:val="24"/>
          <w:szCs w:val="24"/>
          <w:shd w:val="clear" w:color="auto" w:fill="FFFFFF"/>
        </w:rPr>
        <w:t>Signifor</w:t>
      </w:r>
      <w:proofErr w:type="spellEnd"/>
      <w:r w:rsidRPr="00FA3F9C">
        <w:rPr>
          <w:rFonts w:ascii="Arial" w:hAnsi="Arial" w:cs="Arial"/>
          <w:color w:val="222222"/>
          <w:sz w:val="24"/>
          <w:szCs w:val="24"/>
          <w:shd w:val="clear" w:color="auto" w:fill="FFFFFF"/>
        </w:rPr>
        <w:t>. Accessed 11/5/2020.</w:t>
      </w:r>
    </w:p>
    <w:p w14:paraId="091644DB" w14:textId="77777777" w:rsidR="009B5AA5" w:rsidRPr="00FA3F9C" w:rsidRDefault="009B5AA5" w:rsidP="00C23122">
      <w:pPr>
        <w:spacing w:after="0" w:line="240" w:lineRule="auto"/>
        <w:rPr>
          <w:rFonts w:ascii="Arial" w:eastAsia="Times New Roman" w:hAnsi="Arial" w:cs="Arial"/>
          <w:color w:val="222222"/>
          <w:sz w:val="24"/>
          <w:szCs w:val="24"/>
          <w:shd w:val="clear" w:color="auto" w:fill="FFFFFF"/>
        </w:rPr>
      </w:pPr>
      <w:r w:rsidRPr="00FA3F9C">
        <w:rPr>
          <w:rFonts w:ascii="Arial" w:hAnsi="Arial" w:cs="Arial"/>
          <w:color w:val="222222"/>
          <w:sz w:val="24"/>
          <w:szCs w:val="24"/>
          <w:shd w:val="clear" w:color="auto" w:fill="FFFFFF"/>
        </w:rPr>
        <w:t>2</w:t>
      </w:r>
      <w:r w:rsidRPr="00FA3F9C">
        <w:rPr>
          <w:rFonts w:ascii="Arial" w:eastAsia="Times New Roman" w:hAnsi="Arial" w:cs="Arial"/>
          <w:color w:val="222222"/>
          <w:sz w:val="24"/>
          <w:szCs w:val="24"/>
          <w:shd w:val="clear" w:color="auto" w:fill="FFFFFF"/>
        </w:rPr>
        <w:t xml:space="preserve">. Gadelha, </w:t>
      </w:r>
      <w:proofErr w:type="spellStart"/>
      <w:r w:rsidRPr="00FA3F9C">
        <w:rPr>
          <w:rFonts w:ascii="Arial" w:eastAsia="Times New Roman" w:hAnsi="Arial" w:cs="Arial"/>
          <w:color w:val="222222"/>
          <w:sz w:val="24"/>
          <w:szCs w:val="24"/>
          <w:shd w:val="clear" w:color="auto" w:fill="FFFFFF"/>
        </w:rPr>
        <w:t>Mônica</w:t>
      </w:r>
      <w:proofErr w:type="spellEnd"/>
      <w:r w:rsidRPr="00FA3F9C">
        <w:rPr>
          <w:rFonts w:ascii="Arial" w:eastAsia="Times New Roman" w:hAnsi="Arial" w:cs="Arial"/>
          <w:color w:val="222222"/>
          <w:sz w:val="24"/>
          <w:szCs w:val="24"/>
          <w:shd w:val="clear" w:color="auto" w:fill="FFFFFF"/>
        </w:rPr>
        <w:t xml:space="preserve"> R., et al. "</w:t>
      </w:r>
      <w:proofErr w:type="spellStart"/>
      <w:r w:rsidRPr="00FA3F9C">
        <w:rPr>
          <w:rFonts w:ascii="Arial" w:eastAsia="Times New Roman" w:hAnsi="Arial" w:cs="Arial"/>
          <w:color w:val="222222"/>
          <w:sz w:val="24"/>
          <w:szCs w:val="24"/>
          <w:shd w:val="clear" w:color="auto" w:fill="FFFFFF"/>
        </w:rPr>
        <w:t>Pasireotide</w:t>
      </w:r>
      <w:proofErr w:type="spellEnd"/>
      <w:r w:rsidRPr="00FA3F9C">
        <w:rPr>
          <w:rFonts w:ascii="Arial" w:eastAsia="Times New Roman" w:hAnsi="Arial" w:cs="Arial"/>
          <w:color w:val="222222"/>
          <w:sz w:val="24"/>
          <w:szCs w:val="24"/>
          <w:shd w:val="clear" w:color="auto" w:fill="FFFFFF"/>
        </w:rPr>
        <w:t xml:space="preserve"> versus continued treatment with octreotide or </w:t>
      </w:r>
      <w:proofErr w:type="spellStart"/>
      <w:r w:rsidRPr="00FA3F9C">
        <w:rPr>
          <w:rFonts w:ascii="Arial" w:eastAsia="Times New Roman" w:hAnsi="Arial" w:cs="Arial"/>
          <w:color w:val="222222"/>
          <w:sz w:val="24"/>
          <w:szCs w:val="24"/>
          <w:shd w:val="clear" w:color="auto" w:fill="FFFFFF"/>
        </w:rPr>
        <w:t>lanreotide</w:t>
      </w:r>
      <w:proofErr w:type="spellEnd"/>
      <w:r w:rsidRPr="00FA3F9C">
        <w:rPr>
          <w:rFonts w:ascii="Arial" w:eastAsia="Times New Roman" w:hAnsi="Arial" w:cs="Arial"/>
          <w:color w:val="222222"/>
          <w:sz w:val="24"/>
          <w:szCs w:val="24"/>
          <w:shd w:val="clear" w:color="auto" w:fill="FFFFFF"/>
        </w:rPr>
        <w:t xml:space="preserve"> in patients with inadequately controlled acromegaly (PAOLA): a </w:t>
      </w:r>
      <w:proofErr w:type="spellStart"/>
      <w:r w:rsidRPr="00FA3F9C">
        <w:rPr>
          <w:rFonts w:ascii="Arial" w:eastAsia="Times New Roman" w:hAnsi="Arial" w:cs="Arial"/>
          <w:color w:val="222222"/>
          <w:sz w:val="24"/>
          <w:szCs w:val="24"/>
          <w:shd w:val="clear" w:color="auto" w:fill="FFFFFF"/>
        </w:rPr>
        <w:t>randomised</w:t>
      </w:r>
      <w:proofErr w:type="spellEnd"/>
      <w:r w:rsidRPr="00FA3F9C">
        <w:rPr>
          <w:rFonts w:ascii="Arial" w:eastAsia="Times New Roman" w:hAnsi="Arial" w:cs="Arial"/>
          <w:color w:val="222222"/>
          <w:sz w:val="24"/>
          <w:szCs w:val="24"/>
          <w:shd w:val="clear" w:color="auto" w:fill="FFFFFF"/>
        </w:rPr>
        <w:t>, phase 3 trial." </w:t>
      </w:r>
      <w:r w:rsidRPr="00FA3F9C">
        <w:rPr>
          <w:rFonts w:ascii="Arial" w:eastAsia="Times New Roman" w:hAnsi="Arial" w:cs="Arial"/>
          <w:i/>
          <w:iCs/>
          <w:color w:val="222222"/>
          <w:sz w:val="24"/>
          <w:szCs w:val="24"/>
          <w:shd w:val="clear" w:color="auto" w:fill="FFFFFF"/>
        </w:rPr>
        <w:t>The lancet Diabetes &amp; endocrinology</w:t>
      </w:r>
      <w:r w:rsidRPr="00FA3F9C">
        <w:rPr>
          <w:rFonts w:ascii="Arial" w:eastAsia="Times New Roman" w:hAnsi="Arial" w:cs="Arial"/>
          <w:color w:val="222222"/>
          <w:sz w:val="24"/>
          <w:szCs w:val="24"/>
          <w:shd w:val="clear" w:color="auto" w:fill="FFFFFF"/>
        </w:rPr>
        <w:t> 2.11 (2014): 875-884.</w:t>
      </w:r>
    </w:p>
    <w:p w14:paraId="365C488C" w14:textId="77777777" w:rsidR="009B5AA5" w:rsidRPr="00FA3F9C" w:rsidRDefault="009B5AA5" w:rsidP="00C23122">
      <w:pPr>
        <w:spacing w:after="0" w:line="240" w:lineRule="auto"/>
        <w:rPr>
          <w:rFonts w:ascii="Arial" w:hAnsi="Arial" w:cs="Arial"/>
          <w:sz w:val="24"/>
          <w:szCs w:val="24"/>
        </w:rPr>
      </w:pPr>
      <w:r w:rsidRPr="00FA3F9C">
        <w:rPr>
          <w:rFonts w:ascii="Arial" w:hAnsi="Arial" w:cs="Arial"/>
          <w:sz w:val="24"/>
          <w:szCs w:val="24"/>
        </w:rPr>
        <w:t xml:space="preserve">3. </w:t>
      </w:r>
      <w:proofErr w:type="spellStart"/>
      <w:r w:rsidRPr="00FA3F9C">
        <w:rPr>
          <w:rFonts w:ascii="Arial" w:hAnsi="Arial" w:cs="Arial"/>
          <w:sz w:val="24"/>
          <w:szCs w:val="24"/>
        </w:rPr>
        <w:t>Colao</w:t>
      </w:r>
      <w:proofErr w:type="spellEnd"/>
      <w:r w:rsidRPr="00FA3F9C">
        <w:rPr>
          <w:rFonts w:ascii="Arial" w:hAnsi="Arial" w:cs="Arial"/>
          <w:sz w:val="24"/>
          <w:szCs w:val="24"/>
        </w:rPr>
        <w:t xml:space="preserve"> A, </w:t>
      </w:r>
      <w:proofErr w:type="spellStart"/>
      <w:r w:rsidRPr="00FA3F9C">
        <w:rPr>
          <w:rFonts w:ascii="Arial" w:hAnsi="Arial" w:cs="Arial"/>
          <w:sz w:val="24"/>
          <w:szCs w:val="24"/>
        </w:rPr>
        <w:t>Petersenn</w:t>
      </w:r>
      <w:proofErr w:type="spellEnd"/>
      <w:r w:rsidRPr="00FA3F9C">
        <w:rPr>
          <w:rFonts w:ascii="Arial" w:hAnsi="Arial" w:cs="Arial"/>
          <w:sz w:val="24"/>
          <w:szCs w:val="24"/>
        </w:rPr>
        <w:t xml:space="preserve"> S, Newell-Price J, et al.  A </w:t>
      </w:r>
      <w:proofErr w:type="gramStart"/>
      <w:r w:rsidRPr="00FA3F9C">
        <w:rPr>
          <w:rFonts w:ascii="Arial" w:hAnsi="Arial" w:cs="Arial"/>
          <w:sz w:val="24"/>
          <w:szCs w:val="24"/>
        </w:rPr>
        <w:t>12 month</w:t>
      </w:r>
      <w:proofErr w:type="gramEnd"/>
      <w:r w:rsidRPr="00FA3F9C">
        <w:rPr>
          <w:rFonts w:ascii="Arial" w:hAnsi="Arial" w:cs="Arial"/>
          <w:sz w:val="24"/>
          <w:szCs w:val="24"/>
        </w:rPr>
        <w:t xml:space="preserve"> phase 3 study of </w:t>
      </w:r>
      <w:proofErr w:type="spellStart"/>
      <w:r w:rsidRPr="00FA3F9C">
        <w:rPr>
          <w:rFonts w:ascii="Arial" w:hAnsi="Arial" w:cs="Arial"/>
          <w:sz w:val="24"/>
          <w:szCs w:val="24"/>
        </w:rPr>
        <w:t>pasireotide</w:t>
      </w:r>
      <w:proofErr w:type="spellEnd"/>
      <w:r w:rsidRPr="00FA3F9C">
        <w:rPr>
          <w:rFonts w:ascii="Arial" w:hAnsi="Arial" w:cs="Arial"/>
          <w:sz w:val="24"/>
          <w:szCs w:val="24"/>
        </w:rPr>
        <w:t xml:space="preserve"> in Cushing’s Disease.  N </w:t>
      </w:r>
      <w:proofErr w:type="spellStart"/>
      <w:r w:rsidRPr="00FA3F9C">
        <w:rPr>
          <w:rFonts w:ascii="Arial" w:hAnsi="Arial" w:cs="Arial"/>
          <w:sz w:val="24"/>
          <w:szCs w:val="24"/>
        </w:rPr>
        <w:t>Engl</w:t>
      </w:r>
      <w:proofErr w:type="spellEnd"/>
      <w:r w:rsidRPr="00FA3F9C">
        <w:rPr>
          <w:rFonts w:ascii="Arial" w:hAnsi="Arial" w:cs="Arial"/>
          <w:sz w:val="24"/>
          <w:szCs w:val="24"/>
        </w:rPr>
        <w:t xml:space="preserve"> J Med. 2012;366:914-24.</w:t>
      </w:r>
    </w:p>
    <w:p w14:paraId="0D57E52D" w14:textId="77777777" w:rsidR="009B5AA5" w:rsidRPr="00FA3F9C" w:rsidRDefault="009B5AA5" w:rsidP="0019482D">
      <w:pPr>
        <w:rPr>
          <w:rFonts w:ascii="Arial" w:eastAsia="Times New Roman" w:hAnsi="Arial" w:cs="Arial"/>
          <w:sz w:val="24"/>
          <w:szCs w:val="24"/>
        </w:rPr>
      </w:pPr>
      <w:r w:rsidRPr="00FA3F9C">
        <w:rPr>
          <w:rFonts w:ascii="Arial" w:hAnsi="Arial" w:cs="Arial"/>
          <w:sz w:val="24"/>
          <w:szCs w:val="24"/>
        </w:rPr>
        <w:t xml:space="preserve">4. </w:t>
      </w:r>
      <w:proofErr w:type="spellStart"/>
      <w:r w:rsidRPr="00FA3F9C">
        <w:rPr>
          <w:rFonts w:ascii="Arial" w:eastAsia="Times New Roman" w:hAnsi="Arial" w:cs="Arial"/>
          <w:color w:val="222222"/>
          <w:sz w:val="24"/>
          <w:szCs w:val="24"/>
          <w:shd w:val="clear" w:color="auto" w:fill="FFFFFF"/>
        </w:rPr>
        <w:t>Broersen</w:t>
      </w:r>
      <w:proofErr w:type="spellEnd"/>
      <w:r w:rsidRPr="00FA3F9C">
        <w:rPr>
          <w:rFonts w:ascii="Arial" w:eastAsia="Times New Roman" w:hAnsi="Arial" w:cs="Arial"/>
          <w:color w:val="222222"/>
          <w:sz w:val="24"/>
          <w:szCs w:val="24"/>
          <w:shd w:val="clear" w:color="auto" w:fill="FFFFFF"/>
        </w:rPr>
        <w:t>, Leonie HA, et al. "Effectiveness of medical treatment for Cushing’s syndrome: a systematic review and meta-analysis." </w:t>
      </w:r>
      <w:r w:rsidRPr="00FA3F9C">
        <w:rPr>
          <w:rFonts w:ascii="Arial" w:eastAsia="Times New Roman" w:hAnsi="Arial" w:cs="Arial"/>
          <w:i/>
          <w:iCs/>
          <w:color w:val="222222"/>
          <w:sz w:val="24"/>
          <w:szCs w:val="24"/>
          <w:shd w:val="clear" w:color="auto" w:fill="FFFFFF"/>
        </w:rPr>
        <w:t>Pituitary</w:t>
      </w:r>
      <w:r w:rsidRPr="00FA3F9C">
        <w:rPr>
          <w:rFonts w:ascii="Arial" w:eastAsia="Times New Roman" w:hAnsi="Arial" w:cs="Arial"/>
          <w:color w:val="222222"/>
          <w:sz w:val="24"/>
          <w:szCs w:val="24"/>
          <w:shd w:val="clear" w:color="auto" w:fill="FFFFFF"/>
        </w:rPr>
        <w:t> 21.6 (2018): 631-641.</w:t>
      </w:r>
    </w:p>
    <w:p w14:paraId="7FFF994E" w14:textId="77777777" w:rsidR="009B5AA5" w:rsidRPr="00FA3F9C" w:rsidRDefault="009B5AA5"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284"/>
        <w:gridCol w:w="8260"/>
        <w:gridCol w:w="1590"/>
      </w:tblGrid>
      <w:tr w:rsidR="009B5AA5" w:rsidRPr="00FA3F9C" w14:paraId="2AE6B424" w14:textId="77777777" w:rsidTr="003811DF">
        <w:tc>
          <w:tcPr>
            <w:tcW w:w="1005" w:type="dxa"/>
          </w:tcPr>
          <w:p w14:paraId="0BA93AC1" w14:textId="77777777" w:rsidR="009B5AA5" w:rsidRPr="00FA3F9C" w:rsidRDefault="009B5AA5" w:rsidP="006F623F">
            <w:pPr>
              <w:rPr>
                <w:rFonts w:ascii="Arial" w:hAnsi="Arial" w:cs="Arial"/>
                <w:sz w:val="24"/>
                <w:szCs w:val="24"/>
              </w:rPr>
            </w:pPr>
            <w:r w:rsidRPr="00FA3F9C">
              <w:rPr>
                <w:rFonts w:ascii="Arial" w:hAnsi="Arial" w:cs="Arial"/>
                <w:sz w:val="24"/>
                <w:szCs w:val="24"/>
              </w:rPr>
              <w:t>Date</w:t>
            </w:r>
          </w:p>
        </w:tc>
        <w:tc>
          <w:tcPr>
            <w:tcW w:w="8260" w:type="dxa"/>
          </w:tcPr>
          <w:p w14:paraId="763FA380" w14:textId="77777777" w:rsidR="009B5AA5" w:rsidRPr="00FA3F9C" w:rsidRDefault="009B5AA5" w:rsidP="006F623F">
            <w:pPr>
              <w:rPr>
                <w:rFonts w:ascii="Arial" w:hAnsi="Arial" w:cs="Arial"/>
                <w:sz w:val="24"/>
                <w:szCs w:val="24"/>
              </w:rPr>
            </w:pPr>
            <w:r w:rsidRPr="00FA3F9C">
              <w:rPr>
                <w:rFonts w:ascii="Arial" w:hAnsi="Arial" w:cs="Arial"/>
                <w:sz w:val="24"/>
                <w:szCs w:val="24"/>
              </w:rPr>
              <w:t>What changed</w:t>
            </w:r>
          </w:p>
        </w:tc>
        <w:tc>
          <w:tcPr>
            <w:tcW w:w="1525" w:type="dxa"/>
          </w:tcPr>
          <w:p w14:paraId="027057D8" w14:textId="77777777" w:rsidR="009B5AA5" w:rsidRPr="00FA3F9C" w:rsidRDefault="009B5AA5" w:rsidP="006F623F">
            <w:pPr>
              <w:rPr>
                <w:rFonts w:ascii="Arial" w:hAnsi="Arial" w:cs="Arial"/>
                <w:sz w:val="24"/>
                <w:szCs w:val="24"/>
              </w:rPr>
            </w:pPr>
            <w:r w:rsidRPr="00FA3F9C">
              <w:rPr>
                <w:rFonts w:ascii="Arial" w:hAnsi="Arial" w:cs="Arial"/>
                <w:sz w:val="24"/>
                <w:szCs w:val="24"/>
              </w:rPr>
              <w:t>Pharmacist’s initials</w:t>
            </w:r>
          </w:p>
        </w:tc>
      </w:tr>
      <w:tr w:rsidR="009B5AA5" w:rsidRPr="00FA3F9C" w14:paraId="783E9E32" w14:textId="77777777" w:rsidTr="003811DF">
        <w:tc>
          <w:tcPr>
            <w:tcW w:w="1005" w:type="dxa"/>
          </w:tcPr>
          <w:p w14:paraId="6F99852C" w14:textId="77777777" w:rsidR="009B5AA5" w:rsidRPr="00FA3F9C" w:rsidRDefault="009B5AA5" w:rsidP="00C23122">
            <w:pPr>
              <w:rPr>
                <w:rFonts w:ascii="Arial" w:hAnsi="Arial" w:cs="Arial"/>
                <w:sz w:val="24"/>
                <w:szCs w:val="24"/>
              </w:rPr>
            </w:pPr>
            <w:r w:rsidRPr="00FA3F9C">
              <w:rPr>
                <w:rFonts w:ascii="Arial" w:hAnsi="Arial" w:cs="Arial"/>
                <w:sz w:val="24"/>
                <w:szCs w:val="24"/>
              </w:rPr>
              <w:t>5/24/13</w:t>
            </w:r>
          </w:p>
        </w:tc>
        <w:tc>
          <w:tcPr>
            <w:tcW w:w="8260" w:type="dxa"/>
          </w:tcPr>
          <w:p w14:paraId="6F96CD63" w14:textId="77777777" w:rsidR="009B5AA5" w:rsidRPr="00FA3F9C" w:rsidRDefault="009B5AA5" w:rsidP="00C23122">
            <w:pPr>
              <w:rPr>
                <w:rFonts w:ascii="Arial" w:hAnsi="Arial" w:cs="Arial"/>
                <w:sz w:val="24"/>
                <w:szCs w:val="24"/>
              </w:rPr>
            </w:pPr>
            <w:r w:rsidRPr="00FA3F9C">
              <w:rPr>
                <w:rFonts w:ascii="Arial" w:hAnsi="Arial" w:cs="Arial"/>
                <w:sz w:val="24"/>
                <w:szCs w:val="24"/>
              </w:rPr>
              <w:t>JJ wrote the PA.</w:t>
            </w:r>
          </w:p>
        </w:tc>
        <w:tc>
          <w:tcPr>
            <w:tcW w:w="1525" w:type="dxa"/>
          </w:tcPr>
          <w:p w14:paraId="07523818" w14:textId="77777777" w:rsidR="009B5AA5" w:rsidRPr="00FA3F9C" w:rsidRDefault="009B5AA5" w:rsidP="00C23122">
            <w:pPr>
              <w:rPr>
                <w:rFonts w:ascii="Arial" w:hAnsi="Arial" w:cs="Arial"/>
                <w:sz w:val="24"/>
                <w:szCs w:val="24"/>
              </w:rPr>
            </w:pPr>
            <w:r w:rsidRPr="00FA3F9C">
              <w:rPr>
                <w:rFonts w:ascii="Arial" w:hAnsi="Arial" w:cs="Arial"/>
                <w:sz w:val="24"/>
                <w:szCs w:val="24"/>
              </w:rPr>
              <w:t>JJ</w:t>
            </w:r>
          </w:p>
        </w:tc>
      </w:tr>
      <w:tr w:rsidR="009B5AA5" w:rsidRPr="00FA3F9C" w14:paraId="1911FFC8" w14:textId="77777777" w:rsidTr="003811DF">
        <w:tc>
          <w:tcPr>
            <w:tcW w:w="1005" w:type="dxa"/>
          </w:tcPr>
          <w:p w14:paraId="1547EE2F" w14:textId="77777777" w:rsidR="009B5AA5" w:rsidRPr="00FA3F9C" w:rsidRDefault="009B5AA5" w:rsidP="006F623F">
            <w:pPr>
              <w:rPr>
                <w:rFonts w:ascii="Arial" w:hAnsi="Arial" w:cs="Arial"/>
                <w:sz w:val="24"/>
                <w:szCs w:val="24"/>
              </w:rPr>
            </w:pPr>
            <w:r w:rsidRPr="00FA3F9C">
              <w:rPr>
                <w:rFonts w:ascii="Arial" w:hAnsi="Arial" w:cs="Arial"/>
                <w:sz w:val="24"/>
                <w:szCs w:val="24"/>
              </w:rPr>
              <w:t>12/8/2020</w:t>
            </w:r>
          </w:p>
        </w:tc>
        <w:tc>
          <w:tcPr>
            <w:tcW w:w="8260" w:type="dxa"/>
          </w:tcPr>
          <w:p w14:paraId="03894B08" w14:textId="77777777" w:rsidR="009B5AA5" w:rsidRPr="00FA3F9C" w:rsidRDefault="009B5AA5" w:rsidP="006F623F">
            <w:pPr>
              <w:rPr>
                <w:rFonts w:ascii="Arial" w:hAnsi="Arial" w:cs="Arial"/>
                <w:sz w:val="24"/>
                <w:szCs w:val="24"/>
              </w:rPr>
            </w:pPr>
            <w:r w:rsidRPr="00FA3F9C">
              <w:rPr>
                <w:rFonts w:ascii="Arial" w:hAnsi="Arial" w:cs="Arial"/>
                <w:sz w:val="24"/>
                <w:szCs w:val="24"/>
              </w:rPr>
              <w:t xml:space="preserve">JJ reviewed the criteria.  Added acromegaly indication.  Required cabergoline use in </w:t>
            </w:r>
            <w:proofErr w:type="spellStart"/>
            <w:r w:rsidRPr="00FA3F9C">
              <w:rPr>
                <w:rFonts w:ascii="Arial" w:hAnsi="Arial" w:cs="Arial"/>
                <w:sz w:val="24"/>
                <w:szCs w:val="24"/>
              </w:rPr>
              <w:t>Cushings</w:t>
            </w:r>
            <w:proofErr w:type="spellEnd"/>
            <w:r w:rsidRPr="00FA3F9C">
              <w:rPr>
                <w:rFonts w:ascii="Arial" w:hAnsi="Arial" w:cs="Arial"/>
                <w:sz w:val="24"/>
                <w:szCs w:val="24"/>
              </w:rPr>
              <w:t xml:space="preserve"> before access to </w:t>
            </w:r>
            <w:proofErr w:type="spellStart"/>
            <w:r w:rsidRPr="00FA3F9C">
              <w:rPr>
                <w:rFonts w:ascii="Arial" w:hAnsi="Arial" w:cs="Arial"/>
                <w:sz w:val="24"/>
                <w:szCs w:val="24"/>
              </w:rPr>
              <w:t>Signifor</w:t>
            </w:r>
            <w:proofErr w:type="spellEnd"/>
            <w:r w:rsidRPr="00FA3F9C">
              <w:rPr>
                <w:rFonts w:ascii="Arial" w:hAnsi="Arial" w:cs="Arial"/>
                <w:sz w:val="24"/>
                <w:szCs w:val="24"/>
              </w:rPr>
              <w:t>.  Added references 1 and 4.</w:t>
            </w:r>
          </w:p>
        </w:tc>
        <w:tc>
          <w:tcPr>
            <w:tcW w:w="1525" w:type="dxa"/>
          </w:tcPr>
          <w:p w14:paraId="45103019" w14:textId="77777777" w:rsidR="009B5AA5" w:rsidRPr="00FA3F9C" w:rsidRDefault="009B5AA5" w:rsidP="006F623F">
            <w:pPr>
              <w:rPr>
                <w:rFonts w:ascii="Arial" w:hAnsi="Arial" w:cs="Arial"/>
                <w:sz w:val="24"/>
                <w:szCs w:val="24"/>
              </w:rPr>
            </w:pPr>
            <w:r w:rsidRPr="00FA3F9C">
              <w:rPr>
                <w:rFonts w:ascii="Arial" w:hAnsi="Arial" w:cs="Arial"/>
                <w:sz w:val="24"/>
                <w:szCs w:val="24"/>
              </w:rPr>
              <w:t>JJ</w:t>
            </w:r>
          </w:p>
        </w:tc>
      </w:tr>
    </w:tbl>
    <w:p w14:paraId="628E672F" w14:textId="77777777" w:rsidR="009B5AA5" w:rsidRPr="00FA3F9C" w:rsidRDefault="009B5AA5" w:rsidP="006F623F">
      <w:pPr>
        <w:spacing w:after="0"/>
        <w:rPr>
          <w:rFonts w:ascii="Arial" w:hAnsi="Arial" w:cs="Arial"/>
          <w:sz w:val="24"/>
          <w:szCs w:val="24"/>
        </w:rPr>
      </w:pPr>
    </w:p>
    <w:p w14:paraId="7653A1C5" w14:textId="77777777" w:rsidR="009B5AA5" w:rsidRPr="00FA3F9C" w:rsidRDefault="009B5AA5" w:rsidP="00EF3B65">
      <w:pPr>
        <w:pStyle w:val="Heading2"/>
      </w:pPr>
      <w:bookmarkStart w:id="254" w:name="_Toc106369891"/>
      <w:r w:rsidRPr="00FA3F9C">
        <w:t>Pazopanib (</w:t>
      </w:r>
      <w:proofErr w:type="spellStart"/>
      <w:r w:rsidRPr="00FA3F9C">
        <w:t>Votrient</w:t>
      </w:r>
      <w:proofErr w:type="spellEnd"/>
      <w:r w:rsidRPr="00FA3F9C">
        <w:t>®)</w:t>
      </w:r>
      <w:bookmarkEnd w:id="254"/>
      <w:r w:rsidRPr="00FA3F9C">
        <w:t xml:space="preserve"> </w:t>
      </w:r>
    </w:p>
    <w:p w14:paraId="0171EDB8" w14:textId="0095AF64" w:rsidR="009B5AA5" w:rsidRDefault="009B5AA5" w:rsidP="00D13926">
      <w:pPr>
        <w:jc w:val="center"/>
        <w:rPr>
          <w:rFonts w:ascii="Arial" w:hAnsi="Arial" w:cs="Arial"/>
          <w:sz w:val="24"/>
          <w:szCs w:val="24"/>
        </w:rPr>
      </w:pPr>
      <w:r w:rsidRPr="00FA3F9C">
        <w:rPr>
          <w:rFonts w:ascii="Arial" w:hAnsi="Arial" w:cs="Arial"/>
          <w:sz w:val="24"/>
          <w:szCs w:val="24"/>
        </w:rPr>
        <w:t>200 mg tablets</w:t>
      </w:r>
    </w:p>
    <w:p w14:paraId="15A65046" w14:textId="77777777" w:rsidR="00EF3B65" w:rsidRPr="00FA3F9C" w:rsidRDefault="00EF3B65" w:rsidP="00EF3B65">
      <w:pPr>
        <w:jc w:val="center"/>
        <w:rPr>
          <w:rFonts w:ascii="Arial" w:hAnsi="Arial" w:cs="Arial"/>
          <w:sz w:val="24"/>
          <w:szCs w:val="24"/>
        </w:rPr>
      </w:pPr>
      <w:r w:rsidRPr="00FA3F9C">
        <w:rPr>
          <w:rFonts w:ascii="Arial" w:hAnsi="Arial" w:cs="Arial"/>
          <w:sz w:val="24"/>
          <w:szCs w:val="24"/>
        </w:rPr>
        <w:lastRenderedPageBreak/>
        <w:t>EBRx PA Criteria</w:t>
      </w:r>
    </w:p>
    <w:p w14:paraId="09762CEE" w14:textId="77777777" w:rsidR="00EF3B65" w:rsidRPr="00FA3F9C" w:rsidRDefault="00EF3B65" w:rsidP="00D13926">
      <w:pPr>
        <w:jc w:val="center"/>
        <w:rPr>
          <w:rFonts w:ascii="Arial" w:hAnsi="Arial" w:cs="Arial"/>
          <w:b/>
          <w:sz w:val="24"/>
          <w:szCs w:val="24"/>
        </w:rPr>
      </w:pPr>
    </w:p>
    <w:p w14:paraId="0AB955BB" w14:textId="77777777" w:rsidR="009B5AA5" w:rsidRPr="00FA3F9C" w:rsidRDefault="009B5AA5" w:rsidP="004769A3">
      <w:pPr>
        <w:rPr>
          <w:rFonts w:ascii="Arial" w:hAnsi="Arial" w:cs="Arial"/>
          <w:b/>
          <w:sz w:val="24"/>
          <w:szCs w:val="24"/>
        </w:rPr>
      </w:pPr>
    </w:p>
    <w:p w14:paraId="031AAF05" w14:textId="77777777" w:rsidR="009B5AA5" w:rsidRPr="00FA3F9C" w:rsidRDefault="009B5AA5" w:rsidP="004769A3">
      <w:pPr>
        <w:rPr>
          <w:rFonts w:ascii="Arial" w:hAnsi="Arial" w:cs="Arial"/>
          <w:b/>
          <w:sz w:val="24"/>
          <w:szCs w:val="24"/>
          <w:u w:val="single"/>
        </w:rPr>
      </w:pPr>
      <w:r w:rsidRPr="00FA3F9C">
        <w:rPr>
          <w:rFonts w:ascii="Arial" w:hAnsi="Arial" w:cs="Arial"/>
          <w:b/>
          <w:sz w:val="24"/>
          <w:szCs w:val="24"/>
          <w:u w:val="single"/>
        </w:rPr>
        <w:t>FDA-approved for:</w:t>
      </w:r>
    </w:p>
    <w:p w14:paraId="31B907C1" w14:textId="77777777" w:rsidR="009B5AA5" w:rsidRPr="00FA3F9C" w:rsidRDefault="009B5AA5" w:rsidP="00FC1E85">
      <w:pPr>
        <w:pStyle w:val="ListParagraph"/>
        <w:numPr>
          <w:ilvl w:val="0"/>
          <w:numId w:val="412"/>
        </w:numPr>
        <w:spacing w:after="0" w:line="240" w:lineRule="auto"/>
        <w:rPr>
          <w:rFonts w:ascii="Arial" w:hAnsi="Arial" w:cs="Arial"/>
          <w:sz w:val="24"/>
          <w:szCs w:val="24"/>
        </w:rPr>
      </w:pPr>
      <w:r w:rsidRPr="00FA3F9C">
        <w:rPr>
          <w:rFonts w:ascii="Arial" w:hAnsi="Arial" w:cs="Arial"/>
          <w:sz w:val="24"/>
          <w:szCs w:val="24"/>
        </w:rPr>
        <w:t xml:space="preserve">Advanced renal cell carcinoma </w:t>
      </w:r>
      <w:r w:rsidRPr="00FA3F9C">
        <w:rPr>
          <w:rFonts w:ascii="Arial" w:hAnsi="Arial" w:cs="Arial"/>
          <w:sz w:val="24"/>
          <w:szCs w:val="24"/>
          <w:highlight w:val="cyan"/>
        </w:rPr>
        <w:t>See criteria</w:t>
      </w:r>
    </w:p>
    <w:p w14:paraId="226B4A67" w14:textId="77777777" w:rsidR="009B5AA5" w:rsidRPr="00FA3F9C" w:rsidRDefault="009B5AA5" w:rsidP="00FC1E85">
      <w:pPr>
        <w:pStyle w:val="ListParagraph"/>
        <w:numPr>
          <w:ilvl w:val="0"/>
          <w:numId w:val="412"/>
        </w:numPr>
        <w:spacing w:after="0" w:line="240" w:lineRule="auto"/>
        <w:rPr>
          <w:rFonts w:ascii="Arial" w:hAnsi="Arial" w:cs="Arial"/>
          <w:sz w:val="24"/>
          <w:szCs w:val="24"/>
        </w:rPr>
      </w:pPr>
      <w:r w:rsidRPr="00FA3F9C">
        <w:rPr>
          <w:rFonts w:ascii="Arial" w:hAnsi="Arial" w:cs="Arial"/>
          <w:sz w:val="24"/>
          <w:szCs w:val="24"/>
        </w:rPr>
        <w:t xml:space="preserve">Advanced soft tissue sarcoma previously treated with chemotherapy </w:t>
      </w:r>
      <w:r w:rsidRPr="00FA3F9C">
        <w:rPr>
          <w:rFonts w:ascii="Arial" w:hAnsi="Arial" w:cs="Arial"/>
          <w:sz w:val="24"/>
          <w:szCs w:val="24"/>
          <w:highlight w:val="yellow"/>
        </w:rPr>
        <w:t>NOT COVERED</w:t>
      </w:r>
    </w:p>
    <w:p w14:paraId="091204A3" w14:textId="77777777" w:rsidR="009B5AA5" w:rsidRPr="00FA3F9C" w:rsidRDefault="009B5AA5" w:rsidP="00FC1E85">
      <w:pPr>
        <w:pStyle w:val="ListParagraph"/>
        <w:numPr>
          <w:ilvl w:val="1"/>
          <w:numId w:val="412"/>
        </w:numPr>
        <w:spacing w:after="0" w:line="240" w:lineRule="auto"/>
        <w:ind w:left="900" w:hanging="270"/>
        <w:rPr>
          <w:rFonts w:ascii="Arial" w:hAnsi="Arial" w:cs="Arial"/>
          <w:sz w:val="24"/>
          <w:szCs w:val="24"/>
        </w:rPr>
      </w:pPr>
      <w:r w:rsidRPr="00FA3F9C">
        <w:rPr>
          <w:rFonts w:ascii="Arial" w:hAnsi="Arial" w:cs="Arial"/>
          <w:b/>
          <w:sz w:val="24"/>
          <w:szCs w:val="24"/>
        </w:rPr>
        <w:t>Although there was a PFS advantage with pazopanib versus placebo, it translated to no improvement in OS.  Grade 3 fatigue was worse with pazopanib 13% vs 5% with placebo.</w:t>
      </w:r>
    </w:p>
    <w:p w14:paraId="13488752" w14:textId="77777777" w:rsidR="009B5AA5" w:rsidRPr="00FA3F9C" w:rsidRDefault="009B5AA5" w:rsidP="00FC1E85">
      <w:pPr>
        <w:pStyle w:val="ListParagraph"/>
        <w:numPr>
          <w:ilvl w:val="1"/>
          <w:numId w:val="412"/>
        </w:numPr>
        <w:spacing w:after="0" w:line="240" w:lineRule="auto"/>
        <w:ind w:left="900" w:hanging="270"/>
        <w:rPr>
          <w:rFonts w:ascii="Arial" w:hAnsi="Arial" w:cs="Arial"/>
          <w:sz w:val="24"/>
          <w:szCs w:val="24"/>
        </w:rPr>
      </w:pPr>
      <w:r w:rsidRPr="00FA3F9C">
        <w:rPr>
          <w:rFonts w:ascii="Arial" w:hAnsi="Arial" w:cs="Arial"/>
          <w:sz w:val="24"/>
          <w:szCs w:val="24"/>
        </w:rPr>
        <w:t>RCT, phase 3, N=372. Pts w/ angiogenesis inhibitor-naïve, metastatic STS, progressing despite previous standard CTX, randomized to pazopanib 800mg QD or placebo, with NO SUBSEQUENT CROSSOVER.  1` endpoint PFS, ITT. Median follow-up was 14.5 m.  Median PFS was 4.6m for P vs 1.6m for placebo (HR 0.31, 95%CI 0.24-0.40, p&lt;0.0001). OS was 12.5m (10.6-14.8) with P vs 10.7m (8.7-12.8) with placebo (HR 0.86, 0.67-1.11, p=0.25)</w:t>
      </w:r>
    </w:p>
    <w:p w14:paraId="607C030E" w14:textId="77777777" w:rsidR="009B5AA5" w:rsidRPr="00FA3F9C" w:rsidRDefault="009B5AA5" w:rsidP="002B1B4E">
      <w:pPr>
        <w:ind w:left="720" w:firstLine="450"/>
        <w:rPr>
          <w:rFonts w:ascii="Arial" w:hAnsi="Arial" w:cs="Arial"/>
          <w:sz w:val="24"/>
          <w:szCs w:val="24"/>
        </w:rPr>
      </w:pPr>
      <w:r w:rsidRPr="00FA3F9C">
        <w:rPr>
          <w:rFonts w:ascii="Arial" w:hAnsi="Arial" w:cs="Arial"/>
          <w:color w:val="222222"/>
          <w:sz w:val="24"/>
          <w:szCs w:val="24"/>
          <w:shd w:val="clear" w:color="auto" w:fill="FFFFFF"/>
        </w:rPr>
        <w:t xml:space="preserve">References: </w:t>
      </w:r>
    </w:p>
    <w:p w14:paraId="108E235E" w14:textId="77777777" w:rsidR="009B5AA5" w:rsidRPr="00FA3F9C" w:rsidRDefault="009B5AA5" w:rsidP="00FC1E85">
      <w:pPr>
        <w:pStyle w:val="ListParagraph"/>
        <w:numPr>
          <w:ilvl w:val="2"/>
          <w:numId w:val="412"/>
        </w:numPr>
        <w:spacing w:after="0" w:line="240" w:lineRule="auto"/>
        <w:ind w:left="1350" w:hanging="180"/>
        <w:rPr>
          <w:rFonts w:ascii="Arial" w:hAnsi="Arial" w:cs="Arial"/>
          <w:sz w:val="24"/>
          <w:szCs w:val="24"/>
        </w:rPr>
      </w:pPr>
      <w:proofErr w:type="gramStart"/>
      <w:r w:rsidRPr="00FA3F9C">
        <w:rPr>
          <w:rFonts w:ascii="Arial" w:eastAsia="Times New Roman" w:hAnsi="Arial" w:cs="Arial"/>
          <w:color w:val="222222"/>
          <w:sz w:val="24"/>
          <w:szCs w:val="24"/>
          <w:shd w:val="clear" w:color="auto" w:fill="FFFFFF"/>
          <w:lang w:val="fr-FR"/>
        </w:rPr>
        <w:t>van</w:t>
      </w:r>
      <w:proofErr w:type="gramEnd"/>
      <w:r w:rsidRPr="00FA3F9C">
        <w:rPr>
          <w:rFonts w:ascii="Arial" w:eastAsia="Times New Roman" w:hAnsi="Arial" w:cs="Arial"/>
          <w:color w:val="222222"/>
          <w:sz w:val="24"/>
          <w:szCs w:val="24"/>
          <w:shd w:val="clear" w:color="auto" w:fill="FFFFFF"/>
          <w:lang w:val="fr-FR"/>
        </w:rPr>
        <w:t xml:space="preserve"> der Graaf, </w:t>
      </w:r>
      <w:proofErr w:type="spellStart"/>
      <w:r w:rsidRPr="00FA3F9C">
        <w:rPr>
          <w:rFonts w:ascii="Arial" w:eastAsia="Times New Roman" w:hAnsi="Arial" w:cs="Arial"/>
          <w:color w:val="222222"/>
          <w:sz w:val="24"/>
          <w:szCs w:val="24"/>
          <w:shd w:val="clear" w:color="auto" w:fill="FFFFFF"/>
          <w:lang w:val="fr-FR"/>
        </w:rPr>
        <w:t>Winette</w:t>
      </w:r>
      <w:proofErr w:type="spellEnd"/>
      <w:r w:rsidRPr="00FA3F9C">
        <w:rPr>
          <w:rFonts w:ascii="Arial" w:eastAsia="Times New Roman" w:hAnsi="Arial" w:cs="Arial"/>
          <w:color w:val="222222"/>
          <w:sz w:val="24"/>
          <w:szCs w:val="24"/>
          <w:shd w:val="clear" w:color="auto" w:fill="FFFFFF"/>
          <w:lang w:val="fr-FR"/>
        </w:rPr>
        <w:t xml:space="preserve"> TA, et al. </w:t>
      </w:r>
      <w:r w:rsidRPr="00FA3F9C">
        <w:rPr>
          <w:rFonts w:ascii="Arial" w:eastAsia="Times New Roman" w:hAnsi="Arial" w:cs="Arial"/>
          <w:color w:val="222222"/>
          <w:sz w:val="24"/>
          <w:szCs w:val="24"/>
          <w:shd w:val="clear" w:color="auto" w:fill="FFFFFF"/>
        </w:rPr>
        <w:t xml:space="preserve">"Pazopanib for metastatic soft-tissue sarcoma (PALETTE): a </w:t>
      </w:r>
      <w:proofErr w:type="spellStart"/>
      <w:r w:rsidRPr="00FA3F9C">
        <w:rPr>
          <w:rFonts w:ascii="Arial" w:eastAsia="Times New Roman" w:hAnsi="Arial" w:cs="Arial"/>
          <w:color w:val="222222"/>
          <w:sz w:val="24"/>
          <w:szCs w:val="24"/>
          <w:shd w:val="clear" w:color="auto" w:fill="FFFFFF"/>
        </w:rPr>
        <w:t>randomised</w:t>
      </w:r>
      <w:proofErr w:type="spellEnd"/>
      <w:r w:rsidRPr="00FA3F9C">
        <w:rPr>
          <w:rFonts w:ascii="Arial" w:eastAsia="Times New Roman" w:hAnsi="Arial" w:cs="Arial"/>
          <w:color w:val="222222"/>
          <w:sz w:val="24"/>
          <w:szCs w:val="24"/>
          <w:shd w:val="clear" w:color="auto" w:fill="FFFFFF"/>
        </w:rPr>
        <w:t>, double-blind, placebo-controlled phase 3 trial." </w:t>
      </w:r>
      <w:r w:rsidRPr="00FA3F9C">
        <w:rPr>
          <w:rFonts w:ascii="Arial" w:eastAsia="Times New Roman" w:hAnsi="Arial" w:cs="Arial"/>
          <w:i/>
          <w:iCs/>
          <w:color w:val="222222"/>
          <w:sz w:val="24"/>
          <w:szCs w:val="24"/>
          <w:shd w:val="clear" w:color="auto" w:fill="FFFFFF"/>
        </w:rPr>
        <w:t>The Lancet</w:t>
      </w:r>
      <w:r w:rsidRPr="00FA3F9C">
        <w:rPr>
          <w:rFonts w:ascii="Arial" w:eastAsia="Times New Roman" w:hAnsi="Arial" w:cs="Arial"/>
          <w:color w:val="222222"/>
          <w:sz w:val="24"/>
          <w:szCs w:val="24"/>
          <w:shd w:val="clear" w:color="auto" w:fill="FFFFFF"/>
        </w:rPr>
        <w:t> 379.9829 (2012): 1879-1886.</w:t>
      </w:r>
    </w:p>
    <w:p w14:paraId="37EF7EE7" w14:textId="77777777" w:rsidR="009B5AA5" w:rsidRPr="00FA3F9C" w:rsidRDefault="009B5AA5" w:rsidP="00FC1E85">
      <w:pPr>
        <w:pStyle w:val="ListParagraph"/>
        <w:numPr>
          <w:ilvl w:val="2"/>
          <w:numId w:val="412"/>
        </w:numPr>
        <w:spacing w:after="0" w:line="240" w:lineRule="auto"/>
        <w:ind w:left="1350" w:hanging="180"/>
        <w:rPr>
          <w:rFonts w:ascii="Arial" w:hAnsi="Arial" w:cs="Arial"/>
          <w:sz w:val="24"/>
          <w:szCs w:val="24"/>
        </w:rPr>
      </w:pPr>
      <w:proofErr w:type="spellStart"/>
      <w:r w:rsidRPr="00FA3F9C">
        <w:rPr>
          <w:rFonts w:ascii="Arial" w:hAnsi="Arial" w:cs="Arial"/>
          <w:sz w:val="24"/>
          <w:szCs w:val="24"/>
        </w:rPr>
        <w:t>Cesne</w:t>
      </w:r>
      <w:proofErr w:type="spellEnd"/>
      <w:r w:rsidRPr="00FA3F9C">
        <w:rPr>
          <w:rFonts w:ascii="Arial" w:hAnsi="Arial" w:cs="Arial"/>
          <w:sz w:val="24"/>
          <w:szCs w:val="24"/>
        </w:rPr>
        <w:t xml:space="preserve"> AL et al. Safety and efficacy of Pazopanib in advanced soft tissue sarcoma: PALETTE (EORTC 62072) subgroup analyses. BMC Cancer. 2019 Aug 13;19(1):794. </w:t>
      </w:r>
      <w:proofErr w:type="spellStart"/>
      <w:r w:rsidRPr="00FA3F9C">
        <w:rPr>
          <w:rFonts w:ascii="Arial" w:hAnsi="Arial" w:cs="Arial"/>
          <w:sz w:val="24"/>
          <w:szCs w:val="24"/>
        </w:rPr>
        <w:t>doi</w:t>
      </w:r>
      <w:proofErr w:type="spellEnd"/>
      <w:r w:rsidRPr="00FA3F9C">
        <w:rPr>
          <w:rFonts w:ascii="Arial" w:hAnsi="Arial" w:cs="Arial"/>
          <w:sz w:val="24"/>
          <w:szCs w:val="24"/>
        </w:rPr>
        <w:t>: 10.1186/s12885-019-5988-3.</w:t>
      </w:r>
    </w:p>
    <w:p w14:paraId="79E42EC5" w14:textId="77777777" w:rsidR="009B5AA5" w:rsidRPr="00FA3F9C" w:rsidRDefault="009B5AA5">
      <w:pPr>
        <w:rPr>
          <w:rFonts w:ascii="Arial" w:hAnsi="Arial" w:cs="Arial"/>
          <w:sz w:val="24"/>
          <w:szCs w:val="24"/>
        </w:rPr>
      </w:pPr>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98"/>
      </w:tblGrid>
      <w:tr w:rsidR="009B5AA5" w:rsidRPr="00FA3F9C" w14:paraId="425C8A36" w14:textId="77777777" w:rsidTr="006C5A6C">
        <w:tc>
          <w:tcPr>
            <w:tcW w:w="10998" w:type="dxa"/>
            <w:shd w:val="clear" w:color="auto" w:fill="000000" w:themeFill="text1"/>
          </w:tcPr>
          <w:p w14:paraId="41E32704" w14:textId="77777777" w:rsidR="009B5AA5" w:rsidRPr="00FA3F9C" w:rsidRDefault="009B5AA5" w:rsidP="001D3AA3">
            <w:pPr>
              <w:rPr>
                <w:rFonts w:ascii="Arial" w:hAnsi="Arial" w:cs="Arial"/>
                <w:sz w:val="24"/>
                <w:szCs w:val="24"/>
              </w:rPr>
            </w:pPr>
            <w:r w:rsidRPr="00FA3F9C">
              <w:rPr>
                <w:rFonts w:ascii="Arial" w:hAnsi="Arial" w:cs="Arial"/>
                <w:sz w:val="24"/>
                <w:szCs w:val="24"/>
              </w:rPr>
              <w:t>Renal Cell Carcinoma</w:t>
            </w:r>
          </w:p>
        </w:tc>
      </w:tr>
      <w:tr w:rsidR="009B5AA5" w:rsidRPr="00FA3F9C" w14:paraId="70A85A0F" w14:textId="77777777" w:rsidTr="000734F5">
        <w:tc>
          <w:tcPr>
            <w:tcW w:w="10998" w:type="dxa"/>
          </w:tcPr>
          <w:p w14:paraId="732F1793" w14:textId="77777777" w:rsidR="009B5AA5" w:rsidRPr="00FA3F9C" w:rsidRDefault="009B5AA5" w:rsidP="001D3AA3">
            <w:pPr>
              <w:rPr>
                <w:rFonts w:ascii="Arial" w:hAnsi="Arial" w:cs="Arial"/>
                <w:sz w:val="24"/>
                <w:szCs w:val="24"/>
              </w:rPr>
            </w:pPr>
            <w:r w:rsidRPr="00FA3F9C">
              <w:rPr>
                <w:rFonts w:ascii="Arial" w:hAnsi="Arial" w:cs="Arial"/>
                <w:sz w:val="24"/>
                <w:szCs w:val="24"/>
              </w:rPr>
              <w:t>1.  Patient must have a diagnosis of advanced renal cell carcinoma.</w:t>
            </w:r>
          </w:p>
        </w:tc>
      </w:tr>
      <w:tr w:rsidR="009B5AA5" w:rsidRPr="00FA3F9C" w14:paraId="18231FFC" w14:textId="77777777" w:rsidTr="000734F5">
        <w:tc>
          <w:tcPr>
            <w:tcW w:w="10998" w:type="dxa"/>
          </w:tcPr>
          <w:p w14:paraId="0593F4CD" w14:textId="77777777" w:rsidR="009B5AA5" w:rsidRPr="00FA3F9C" w:rsidRDefault="009B5AA5" w:rsidP="001D3AA3">
            <w:pPr>
              <w:rPr>
                <w:rFonts w:ascii="Arial" w:hAnsi="Arial" w:cs="Arial"/>
                <w:b/>
                <w:sz w:val="24"/>
                <w:szCs w:val="24"/>
              </w:rPr>
            </w:pPr>
            <w:r w:rsidRPr="00FA3F9C">
              <w:rPr>
                <w:rFonts w:ascii="Arial" w:hAnsi="Arial" w:cs="Arial"/>
                <w:b/>
                <w:sz w:val="24"/>
                <w:szCs w:val="24"/>
              </w:rPr>
              <w:t xml:space="preserve"> “Yes” to allow PA to be approved for 1y. QL is 30 </w:t>
            </w:r>
            <w:proofErr w:type="spellStart"/>
            <w:r w:rsidRPr="00FA3F9C">
              <w:rPr>
                <w:rFonts w:ascii="Arial" w:hAnsi="Arial" w:cs="Arial"/>
                <w:b/>
                <w:sz w:val="24"/>
                <w:szCs w:val="24"/>
              </w:rPr>
              <w:t>days</w:t>
            </w:r>
            <w:proofErr w:type="spellEnd"/>
            <w:r w:rsidRPr="00FA3F9C">
              <w:rPr>
                <w:rFonts w:ascii="Arial" w:hAnsi="Arial" w:cs="Arial"/>
                <w:b/>
                <w:sz w:val="24"/>
                <w:szCs w:val="24"/>
              </w:rPr>
              <w:t xml:space="preserve"> supply.</w:t>
            </w:r>
          </w:p>
        </w:tc>
      </w:tr>
      <w:tr w:rsidR="009B5AA5" w:rsidRPr="00FA3F9C" w14:paraId="171B25F7" w14:textId="77777777" w:rsidTr="004769A3">
        <w:tc>
          <w:tcPr>
            <w:tcW w:w="10998" w:type="dxa"/>
            <w:shd w:val="clear" w:color="auto" w:fill="BFBFBF" w:themeFill="background1" w:themeFillShade="BF"/>
          </w:tcPr>
          <w:p w14:paraId="168ED347" w14:textId="77777777" w:rsidR="009B5AA5" w:rsidRPr="00FA3F9C" w:rsidRDefault="009B5AA5" w:rsidP="001D3AA3">
            <w:pPr>
              <w:rPr>
                <w:rFonts w:ascii="Arial" w:hAnsi="Arial" w:cs="Arial"/>
                <w:b/>
                <w:sz w:val="24"/>
                <w:szCs w:val="24"/>
              </w:rPr>
            </w:pPr>
            <w:r w:rsidRPr="00FA3F9C">
              <w:rPr>
                <w:rFonts w:ascii="Arial" w:hAnsi="Arial" w:cs="Arial"/>
                <w:b/>
                <w:sz w:val="24"/>
                <w:szCs w:val="24"/>
              </w:rPr>
              <w:t>Note:</w:t>
            </w:r>
          </w:p>
          <w:p w14:paraId="004BFE46" w14:textId="77777777" w:rsidR="009B5AA5" w:rsidRPr="00FA3F9C" w:rsidRDefault="009B5AA5" w:rsidP="004769A3">
            <w:pPr>
              <w:rPr>
                <w:rFonts w:ascii="Arial" w:hAnsi="Arial" w:cs="Arial"/>
                <w:sz w:val="24"/>
                <w:szCs w:val="24"/>
              </w:rPr>
            </w:pPr>
            <w:r w:rsidRPr="00FA3F9C">
              <w:rPr>
                <w:rFonts w:ascii="Arial" w:hAnsi="Arial" w:cs="Arial"/>
                <w:sz w:val="24"/>
                <w:szCs w:val="24"/>
              </w:rPr>
              <w:t>Pazopanib has been shown to improve overall survival in patients with metastatic renal cell carcinoma. It has also been shown to be non-inferior and better tolerated than sunitinib in the first line setting.  See specifics of non-inferiority trial below.</w:t>
            </w:r>
          </w:p>
          <w:p w14:paraId="7E666EBC" w14:textId="77777777" w:rsidR="009B5AA5" w:rsidRPr="00FA3F9C" w:rsidRDefault="009B5AA5" w:rsidP="004769A3">
            <w:pPr>
              <w:rPr>
                <w:rFonts w:ascii="Arial" w:hAnsi="Arial" w:cs="Arial"/>
                <w:sz w:val="24"/>
                <w:szCs w:val="24"/>
              </w:rPr>
            </w:pPr>
          </w:p>
          <w:p w14:paraId="3AB3220D" w14:textId="77777777" w:rsidR="009B5AA5" w:rsidRPr="00FA3F9C" w:rsidRDefault="009B5AA5" w:rsidP="004769A3">
            <w:pPr>
              <w:ind w:left="360"/>
              <w:rPr>
                <w:rFonts w:ascii="Arial" w:hAnsi="Arial" w:cs="Arial"/>
                <w:sz w:val="24"/>
                <w:szCs w:val="24"/>
              </w:rPr>
            </w:pPr>
            <w:r w:rsidRPr="00FA3F9C">
              <w:rPr>
                <w:rFonts w:ascii="Arial" w:hAnsi="Arial" w:cs="Arial"/>
                <w:sz w:val="24"/>
                <w:szCs w:val="24"/>
              </w:rPr>
              <w:t xml:space="preserve">RCT, N=1110, phase 3. Pazopanib 800mg daily or sunitinib 50mg daily X4w, then 2 w w/o treatment. 1` outcome was PFS, 2` outcomes were OS, safety, and QOL. P was non-inferior to sunitinib for PFS (HR 1.05; 95%CI, 0.90 to 1.22), NI margin was upper bound of 95%CI, &lt;1.25).  OS was similar (HR for death with P, 0.91; 95%CI, 0.76 to 1.08).  Sunitinib had higher fatigue (63% vs 55%), higher hand-foot syndrome (50% vs 29%), higher thrombocytopenia (78% vs 41%); Pazopanib had higher ALT (60% vs 43%). The mean change from baseline in 11 of 14 </w:t>
            </w:r>
            <w:proofErr w:type="spellStart"/>
            <w:r w:rsidRPr="00FA3F9C">
              <w:rPr>
                <w:rFonts w:ascii="Arial" w:hAnsi="Arial" w:cs="Arial"/>
                <w:sz w:val="24"/>
                <w:szCs w:val="24"/>
              </w:rPr>
              <w:t>HRQoL</w:t>
            </w:r>
            <w:proofErr w:type="spellEnd"/>
            <w:r w:rsidRPr="00FA3F9C">
              <w:rPr>
                <w:rFonts w:ascii="Arial" w:hAnsi="Arial" w:cs="Arial"/>
                <w:sz w:val="24"/>
                <w:szCs w:val="24"/>
              </w:rPr>
              <w:t xml:space="preserve"> domains during the first 6m favored P (p&lt;0.05 for all 11 comparisons).</w:t>
            </w:r>
            <w:r w:rsidRPr="00FA3F9C">
              <w:rPr>
                <w:rFonts w:ascii="Arial" w:hAnsi="Arial" w:cs="Arial"/>
                <w:sz w:val="24"/>
                <w:szCs w:val="24"/>
                <w:vertAlign w:val="superscript"/>
              </w:rPr>
              <w:t>1</w:t>
            </w:r>
          </w:p>
          <w:p w14:paraId="052E296A" w14:textId="77777777" w:rsidR="009B5AA5" w:rsidRPr="00FA3F9C" w:rsidRDefault="009B5AA5" w:rsidP="004769A3">
            <w:pPr>
              <w:ind w:left="360"/>
              <w:rPr>
                <w:rFonts w:ascii="Arial" w:hAnsi="Arial" w:cs="Arial"/>
                <w:sz w:val="24"/>
                <w:szCs w:val="24"/>
              </w:rPr>
            </w:pPr>
          </w:p>
          <w:p w14:paraId="56F76F12" w14:textId="77777777" w:rsidR="009B5AA5" w:rsidRPr="00FA3F9C" w:rsidRDefault="009B5AA5" w:rsidP="004769A3">
            <w:pPr>
              <w:rPr>
                <w:rFonts w:ascii="Arial" w:hAnsi="Arial" w:cs="Arial"/>
                <w:sz w:val="24"/>
                <w:szCs w:val="24"/>
                <w:vertAlign w:val="superscript"/>
              </w:rPr>
            </w:pPr>
            <w:r w:rsidRPr="00FA3F9C">
              <w:rPr>
                <w:rFonts w:ascii="Arial" w:hAnsi="Arial" w:cs="Arial"/>
                <w:sz w:val="24"/>
                <w:szCs w:val="24"/>
              </w:rPr>
              <w:t>Pazopanib may also be cost effective compared with sunitinib in the first-line setting.</w:t>
            </w:r>
            <w:r w:rsidRPr="00FA3F9C">
              <w:rPr>
                <w:rFonts w:ascii="Arial" w:hAnsi="Arial" w:cs="Arial"/>
                <w:sz w:val="24"/>
                <w:szCs w:val="24"/>
                <w:vertAlign w:val="superscript"/>
              </w:rPr>
              <w:t>2</w:t>
            </w:r>
          </w:p>
          <w:p w14:paraId="6D6CDBC7" w14:textId="77777777" w:rsidR="009B5AA5" w:rsidRPr="00FA3F9C" w:rsidRDefault="009B5AA5" w:rsidP="004769A3">
            <w:pPr>
              <w:rPr>
                <w:rFonts w:ascii="Arial" w:hAnsi="Arial" w:cs="Arial"/>
                <w:sz w:val="24"/>
                <w:szCs w:val="24"/>
                <w:vertAlign w:val="superscript"/>
              </w:rPr>
            </w:pPr>
          </w:p>
          <w:p w14:paraId="0438641F" w14:textId="77777777" w:rsidR="009B5AA5" w:rsidRPr="00FA3F9C" w:rsidRDefault="009B5AA5" w:rsidP="004769A3">
            <w:pPr>
              <w:rPr>
                <w:rFonts w:ascii="Arial" w:hAnsi="Arial" w:cs="Arial"/>
                <w:sz w:val="24"/>
                <w:szCs w:val="24"/>
                <w:vertAlign w:val="superscript"/>
              </w:rPr>
            </w:pPr>
            <w:r w:rsidRPr="00FA3F9C">
              <w:rPr>
                <w:rFonts w:ascii="Arial" w:hAnsi="Arial" w:cs="Arial"/>
                <w:sz w:val="24"/>
                <w:szCs w:val="24"/>
                <w:vertAlign w:val="superscript"/>
              </w:rPr>
              <w:t>REFERENCES</w:t>
            </w:r>
          </w:p>
          <w:p w14:paraId="0265B270" w14:textId="77777777" w:rsidR="009B5AA5" w:rsidRPr="00FA3F9C" w:rsidRDefault="009B5AA5" w:rsidP="00FC1E85">
            <w:pPr>
              <w:pStyle w:val="ListParagraph"/>
              <w:numPr>
                <w:ilvl w:val="0"/>
                <w:numId w:val="411"/>
              </w:numPr>
              <w:shd w:val="clear" w:color="auto" w:fill="BFBFBF" w:themeFill="background1" w:themeFillShade="BF"/>
              <w:spacing w:after="0" w:line="240" w:lineRule="auto"/>
              <w:rPr>
                <w:rFonts w:ascii="Arial" w:eastAsia="Times New Roman" w:hAnsi="Arial" w:cs="Arial"/>
                <w:sz w:val="24"/>
                <w:szCs w:val="24"/>
              </w:rPr>
            </w:pPr>
            <w:proofErr w:type="spellStart"/>
            <w:r w:rsidRPr="00FA3F9C">
              <w:rPr>
                <w:rFonts w:ascii="Arial" w:eastAsia="Times New Roman" w:hAnsi="Arial" w:cs="Arial"/>
                <w:sz w:val="24"/>
                <w:szCs w:val="24"/>
              </w:rPr>
              <w:t>Motzer</w:t>
            </w:r>
            <w:proofErr w:type="spellEnd"/>
            <w:r w:rsidRPr="00FA3F9C">
              <w:rPr>
                <w:rFonts w:ascii="Arial" w:eastAsia="Times New Roman" w:hAnsi="Arial" w:cs="Arial"/>
                <w:sz w:val="24"/>
                <w:szCs w:val="24"/>
              </w:rPr>
              <w:t xml:space="preserve"> RJ et al. Pazopanib versus sunitinib in metastatic RCC. N </w:t>
            </w:r>
            <w:proofErr w:type="spellStart"/>
            <w:r w:rsidRPr="00FA3F9C">
              <w:rPr>
                <w:rFonts w:ascii="Arial" w:eastAsia="Times New Roman" w:hAnsi="Arial" w:cs="Arial"/>
                <w:sz w:val="24"/>
                <w:szCs w:val="24"/>
              </w:rPr>
              <w:t>Engl</w:t>
            </w:r>
            <w:proofErr w:type="spellEnd"/>
            <w:r w:rsidRPr="00FA3F9C">
              <w:rPr>
                <w:rFonts w:ascii="Arial" w:eastAsia="Times New Roman" w:hAnsi="Arial" w:cs="Arial"/>
                <w:sz w:val="24"/>
                <w:szCs w:val="24"/>
              </w:rPr>
              <w:t xml:space="preserve"> J Med 2013;369:722-31. (COMPARZ) NCT00720941</w:t>
            </w:r>
          </w:p>
          <w:p w14:paraId="127B1682" w14:textId="77777777" w:rsidR="009B5AA5" w:rsidRPr="00FA3F9C" w:rsidRDefault="009B5AA5" w:rsidP="00FC1E85">
            <w:pPr>
              <w:pStyle w:val="ListParagraph"/>
              <w:numPr>
                <w:ilvl w:val="0"/>
                <w:numId w:val="411"/>
              </w:numPr>
              <w:shd w:val="clear" w:color="auto" w:fill="BFBFBF" w:themeFill="background1" w:themeFillShade="BF"/>
              <w:spacing w:after="0" w:line="240" w:lineRule="auto"/>
              <w:rPr>
                <w:rFonts w:ascii="Arial" w:hAnsi="Arial" w:cs="Arial"/>
                <w:sz w:val="24"/>
                <w:szCs w:val="24"/>
              </w:rPr>
            </w:pPr>
            <w:proofErr w:type="spellStart"/>
            <w:r w:rsidRPr="00FA3F9C">
              <w:rPr>
                <w:rFonts w:ascii="Arial" w:eastAsia="Times New Roman" w:hAnsi="Arial" w:cs="Arial"/>
                <w:sz w:val="24"/>
                <w:szCs w:val="24"/>
              </w:rPr>
              <w:t>Delea</w:t>
            </w:r>
            <w:proofErr w:type="spellEnd"/>
            <w:r w:rsidRPr="00FA3F9C">
              <w:rPr>
                <w:rFonts w:ascii="Arial" w:eastAsia="Times New Roman" w:hAnsi="Arial" w:cs="Arial"/>
                <w:sz w:val="24"/>
                <w:szCs w:val="24"/>
              </w:rPr>
              <w:t xml:space="preserve"> TE et al. Cost-effectiveness of pazopanib versus sunitinib for renal cancer in the United States. Journal of managed care &amp; specialty pharmacy 21.1 (2015):46-54.</w:t>
            </w:r>
          </w:p>
        </w:tc>
      </w:tr>
    </w:tbl>
    <w:p w14:paraId="078C29B5" w14:textId="77777777" w:rsidR="009B5AA5" w:rsidRPr="00FA3F9C" w:rsidRDefault="009B5AA5" w:rsidP="006325AF">
      <w:pPr>
        <w:rPr>
          <w:rFonts w:ascii="Arial" w:hAnsi="Arial" w:cs="Arial"/>
          <w:sz w:val="24"/>
          <w:szCs w:val="24"/>
        </w:rPr>
      </w:pPr>
    </w:p>
    <w:p w14:paraId="2728C857" w14:textId="77777777" w:rsidR="009B5AA5" w:rsidRPr="00FA3F9C" w:rsidRDefault="009B5AA5" w:rsidP="006325AF">
      <w:pPr>
        <w:rPr>
          <w:rFonts w:ascii="Arial" w:hAnsi="Arial" w:cs="Arial"/>
          <w:sz w:val="24"/>
          <w:szCs w:val="24"/>
        </w:rPr>
      </w:pPr>
      <w:r w:rsidRPr="00FA3F9C">
        <w:rPr>
          <w:rFonts w:ascii="Arial" w:hAnsi="Arial" w:cs="Arial"/>
          <w:sz w:val="24"/>
          <w:szCs w:val="24"/>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8745"/>
        <w:gridCol w:w="1590"/>
      </w:tblGrid>
      <w:tr w:rsidR="009B5AA5" w:rsidRPr="00FA3F9C" w14:paraId="38A75433" w14:textId="77777777" w:rsidTr="000734F5">
        <w:tc>
          <w:tcPr>
            <w:tcW w:w="918" w:type="dxa"/>
          </w:tcPr>
          <w:p w14:paraId="629A854C" w14:textId="77777777" w:rsidR="009B5AA5" w:rsidRPr="00FA3F9C" w:rsidRDefault="009B5AA5" w:rsidP="006325AF">
            <w:pPr>
              <w:rPr>
                <w:rFonts w:ascii="Arial" w:hAnsi="Arial" w:cs="Arial"/>
                <w:sz w:val="24"/>
                <w:szCs w:val="24"/>
              </w:rPr>
            </w:pPr>
            <w:r w:rsidRPr="00FA3F9C">
              <w:rPr>
                <w:rFonts w:ascii="Arial" w:hAnsi="Arial" w:cs="Arial"/>
                <w:sz w:val="24"/>
                <w:szCs w:val="24"/>
              </w:rPr>
              <w:t xml:space="preserve">Date </w:t>
            </w:r>
          </w:p>
        </w:tc>
        <w:tc>
          <w:tcPr>
            <w:tcW w:w="8745" w:type="dxa"/>
          </w:tcPr>
          <w:p w14:paraId="5CF8B0B0" w14:textId="77777777" w:rsidR="009B5AA5" w:rsidRPr="00FA3F9C" w:rsidRDefault="009B5AA5" w:rsidP="006325AF">
            <w:pPr>
              <w:rPr>
                <w:rFonts w:ascii="Arial" w:hAnsi="Arial" w:cs="Arial"/>
                <w:sz w:val="24"/>
                <w:szCs w:val="24"/>
              </w:rPr>
            </w:pPr>
            <w:r w:rsidRPr="00FA3F9C">
              <w:rPr>
                <w:rFonts w:ascii="Arial" w:hAnsi="Arial" w:cs="Arial"/>
                <w:sz w:val="24"/>
                <w:szCs w:val="24"/>
              </w:rPr>
              <w:t>What changed?</w:t>
            </w:r>
          </w:p>
        </w:tc>
        <w:tc>
          <w:tcPr>
            <w:tcW w:w="1353" w:type="dxa"/>
          </w:tcPr>
          <w:p w14:paraId="4B9F4859" w14:textId="77777777" w:rsidR="009B5AA5" w:rsidRPr="00FA3F9C" w:rsidRDefault="009B5AA5" w:rsidP="006325AF">
            <w:pPr>
              <w:rPr>
                <w:rFonts w:ascii="Arial" w:hAnsi="Arial" w:cs="Arial"/>
                <w:sz w:val="24"/>
                <w:szCs w:val="24"/>
              </w:rPr>
            </w:pPr>
            <w:r w:rsidRPr="00FA3F9C">
              <w:rPr>
                <w:rFonts w:ascii="Arial" w:hAnsi="Arial" w:cs="Arial"/>
                <w:sz w:val="24"/>
                <w:szCs w:val="24"/>
              </w:rPr>
              <w:t>Pharmacist’s initials</w:t>
            </w:r>
          </w:p>
        </w:tc>
      </w:tr>
      <w:tr w:rsidR="009B5AA5" w:rsidRPr="00FA3F9C" w14:paraId="11A06811" w14:textId="77777777" w:rsidTr="000734F5">
        <w:tc>
          <w:tcPr>
            <w:tcW w:w="918" w:type="dxa"/>
          </w:tcPr>
          <w:p w14:paraId="06560884" w14:textId="77777777" w:rsidR="009B5AA5" w:rsidRPr="00FA3F9C" w:rsidRDefault="009B5AA5" w:rsidP="006325AF">
            <w:pPr>
              <w:rPr>
                <w:rFonts w:ascii="Arial" w:hAnsi="Arial" w:cs="Arial"/>
                <w:sz w:val="24"/>
                <w:szCs w:val="24"/>
              </w:rPr>
            </w:pPr>
            <w:r w:rsidRPr="00FA3F9C">
              <w:rPr>
                <w:rFonts w:ascii="Arial" w:hAnsi="Arial" w:cs="Arial"/>
                <w:sz w:val="24"/>
                <w:szCs w:val="24"/>
              </w:rPr>
              <w:t>1/11/10</w:t>
            </w:r>
          </w:p>
        </w:tc>
        <w:tc>
          <w:tcPr>
            <w:tcW w:w="8745" w:type="dxa"/>
          </w:tcPr>
          <w:p w14:paraId="2D915738" w14:textId="77777777" w:rsidR="009B5AA5" w:rsidRPr="00FA3F9C" w:rsidRDefault="009B5AA5" w:rsidP="006325AF">
            <w:pPr>
              <w:rPr>
                <w:rFonts w:ascii="Arial" w:hAnsi="Arial" w:cs="Arial"/>
                <w:sz w:val="24"/>
                <w:szCs w:val="24"/>
              </w:rPr>
            </w:pPr>
            <w:r w:rsidRPr="00FA3F9C">
              <w:rPr>
                <w:rFonts w:ascii="Arial" w:hAnsi="Arial" w:cs="Arial"/>
                <w:sz w:val="24"/>
                <w:szCs w:val="24"/>
              </w:rPr>
              <w:t xml:space="preserve">DUEC voted to approve T2PA with 2 w supply allowed per fill.  </w:t>
            </w:r>
          </w:p>
        </w:tc>
        <w:tc>
          <w:tcPr>
            <w:tcW w:w="1353" w:type="dxa"/>
          </w:tcPr>
          <w:p w14:paraId="3BCBB9B7" w14:textId="77777777" w:rsidR="009B5AA5" w:rsidRPr="00FA3F9C" w:rsidRDefault="009B5AA5" w:rsidP="006325AF">
            <w:pPr>
              <w:rPr>
                <w:rFonts w:ascii="Arial" w:hAnsi="Arial" w:cs="Arial"/>
                <w:sz w:val="24"/>
                <w:szCs w:val="24"/>
              </w:rPr>
            </w:pPr>
            <w:r w:rsidRPr="00FA3F9C">
              <w:rPr>
                <w:rFonts w:ascii="Arial" w:hAnsi="Arial" w:cs="Arial"/>
                <w:sz w:val="24"/>
                <w:szCs w:val="24"/>
              </w:rPr>
              <w:t>JJ</w:t>
            </w:r>
          </w:p>
        </w:tc>
      </w:tr>
      <w:tr w:rsidR="009B5AA5" w:rsidRPr="00FA3F9C" w14:paraId="31BEC4D0" w14:textId="77777777" w:rsidTr="000734F5">
        <w:tc>
          <w:tcPr>
            <w:tcW w:w="918" w:type="dxa"/>
          </w:tcPr>
          <w:p w14:paraId="51C50BB2" w14:textId="77777777" w:rsidR="009B5AA5" w:rsidRPr="00FA3F9C" w:rsidRDefault="009B5AA5" w:rsidP="006325AF">
            <w:pPr>
              <w:rPr>
                <w:rFonts w:ascii="Arial" w:hAnsi="Arial" w:cs="Arial"/>
                <w:sz w:val="24"/>
                <w:szCs w:val="24"/>
              </w:rPr>
            </w:pPr>
            <w:r w:rsidRPr="00FA3F9C">
              <w:rPr>
                <w:rFonts w:ascii="Arial" w:hAnsi="Arial" w:cs="Arial"/>
                <w:sz w:val="24"/>
                <w:szCs w:val="24"/>
              </w:rPr>
              <w:t>1/19/10</w:t>
            </w:r>
          </w:p>
        </w:tc>
        <w:tc>
          <w:tcPr>
            <w:tcW w:w="8745" w:type="dxa"/>
          </w:tcPr>
          <w:p w14:paraId="0F5E9C5C" w14:textId="77777777" w:rsidR="009B5AA5" w:rsidRPr="00FA3F9C" w:rsidRDefault="009B5AA5" w:rsidP="006325AF">
            <w:pPr>
              <w:rPr>
                <w:rFonts w:ascii="Arial" w:hAnsi="Arial" w:cs="Arial"/>
                <w:sz w:val="24"/>
                <w:szCs w:val="24"/>
              </w:rPr>
            </w:pPr>
            <w:r w:rsidRPr="00FA3F9C">
              <w:rPr>
                <w:rFonts w:ascii="Arial" w:hAnsi="Arial" w:cs="Arial"/>
                <w:sz w:val="24"/>
                <w:szCs w:val="24"/>
              </w:rPr>
              <w:t>IB voted for T3PA with 2 w supply allowed per fill</w:t>
            </w:r>
          </w:p>
        </w:tc>
        <w:tc>
          <w:tcPr>
            <w:tcW w:w="1353" w:type="dxa"/>
          </w:tcPr>
          <w:p w14:paraId="3BA13017" w14:textId="77777777" w:rsidR="009B5AA5" w:rsidRPr="00FA3F9C" w:rsidRDefault="009B5AA5" w:rsidP="006325AF">
            <w:pPr>
              <w:rPr>
                <w:rFonts w:ascii="Arial" w:hAnsi="Arial" w:cs="Arial"/>
                <w:sz w:val="24"/>
                <w:szCs w:val="24"/>
              </w:rPr>
            </w:pPr>
            <w:r w:rsidRPr="00FA3F9C">
              <w:rPr>
                <w:rFonts w:ascii="Arial" w:hAnsi="Arial" w:cs="Arial"/>
                <w:sz w:val="24"/>
                <w:szCs w:val="24"/>
              </w:rPr>
              <w:t>JJ</w:t>
            </w:r>
          </w:p>
        </w:tc>
      </w:tr>
      <w:tr w:rsidR="009B5AA5" w:rsidRPr="00FA3F9C" w14:paraId="4444D0F4" w14:textId="77777777" w:rsidTr="000734F5">
        <w:tc>
          <w:tcPr>
            <w:tcW w:w="918" w:type="dxa"/>
          </w:tcPr>
          <w:p w14:paraId="7E912CF6" w14:textId="77777777" w:rsidR="009B5AA5" w:rsidRPr="00FA3F9C" w:rsidRDefault="009B5AA5" w:rsidP="006325AF">
            <w:pPr>
              <w:rPr>
                <w:rFonts w:ascii="Arial" w:hAnsi="Arial" w:cs="Arial"/>
                <w:sz w:val="24"/>
                <w:szCs w:val="24"/>
              </w:rPr>
            </w:pPr>
            <w:r w:rsidRPr="00FA3F9C">
              <w:rPr>
                <w:rFonts w:ascii="Arial" w:hAnsi="Arial" w:cs="Arial"/>
                <w:sz w:val="24"/>
                <w:szCs w:val="24"/>
              </w:rPr>
              <w:t>5/15/12</w:t>
            </w:r>
          </w:p>
        </w:tc>
        <w:tc>
          <w:tcPr>
            <w:tcW w:w="8745" w:type="dxa"/>
          </w:tcPr>
          <w:p w14:paraId="2276CB8F" w14:textId="77777777" w:rsidR="009B5AA5" w:rsidRPr="00FA3F9C" w:rsidRDefault="009B5AA5" w:rsidP="006325AF">
            <w:pPr>
              <w:rPr>
                <w:rFonts w:ascii="Arial" w:hAnsi="Arial" w:cs="Arial"/>
                <w:sz w:val="24"/>
                <w:szCs w:val="24"/>
              </w:rPr>
            </w:pPr>
            <w:r w:rsidRPr="00FA3F9C">
              <w:rPr>
                <w:rFonts w:ascii="Arial" w:hAnsi="Arial" w:cs="Arial"/>
                <w:sz w:val="24"/>
                <w:szCs w:val="24"/>
              </w:rPr>
              <w:t xml:space="preserve">Revision </w:t>
            </w:r>
            <w:proofErr w:type="spellStart"/>
            <w:r w:rsidRPr="00FA3F9C">
              <w:rPr>
                <w:rFonts w:ascii="Arial" w:hAnsi="Arial" w:cs="Arial"/>
                <w:sz w:val="24"/>
                <w:szCs w:val="24"/>
              </w:rPr>
              <w:t>Hx</w:t>
            </w:r>
            <w:proofErr w:type="spellEnd"/>
            <w:r w:rsidRPr="00FA3F9C">
              <w:rPr>
                <w:rFonts w:ascii="Arial" w:hAnsi="Arial" w:cs="Arial"/>
                <w:sz w:val="24"/>
                <w:szCs w:val="24"/>
              </w:rPr>
              <w:t xml:space="preserve"> table added</w:t>
            </w:r>
          </w:p>
        </w:tc>
        <w:tc>
          <w:tcPr>
            <w:tcW w:w="1353" w:type="dxa"/>
          </w:tcPr>
          <w:p w14:paraId="426BFFE5" w14:textId="77777777" w:rsidR="009B5AA5" w:rsidRPr="00FA3F9C" w:rsidRDefault="009B5AA5" w:rsidP="006325AF">
            <w:pPr>
              <w:rPr>
                <w:rFonts w:ascii="Arial" w:hAnsi="Arial" w:cs="Arial"/>
                <w:sz w:val="24"/>
                <w:szCs w:val="24"/>
              </w:rPr>
            </w:pPr>
            <w:r w:rsidRPr="00FA3F9C">
              <w:rPr>
                <w:rFonts w:ascii="Arial" w:hAnsi="Arial" w:cs="Arial"/>
                <w:sz w:val="24"/>
                <w:szCs w:val="24"/>
              </w:rPr>
              <w:t>JJ</w:t>
            </w:r>
          </w:p>
        </w:tc>
      </w:tr>
      <w:tr w:rsidR="009B5AA5" w:rsidRPr="00FA3F9C" w14:paraId="12E68A9F" w14:textId="77777777" w:rsidTr="000734F5">
        <w:tc>
          <w:tcPr>
            <w:tcW w:w="918" w:type="dxa"/>
          </w:tcPr>
          <w:p w14:paraId="1F10F589" w14:textId="77777777" w:rsidR="009B5AA5" w:rsidRPr="00FA3F9C" w:rsidRDefault="009B5AA5" w:rsidP="006325AF">
            <w:pPr>
              <w:rPr>
                <w:rFonts w:ascii="Arial" w:hAnsi="Arial" w:cs="Arial"/>
                <w:sz w:val="24"/>
                <w:szCs w:val="24"/>
              </w:rPr>
            </w:pPr>
            <w:r w:rsidRPr="00FA3F9C">
              <w:rPr>
                <w:rFonts w:ascii="Arial" w:hAnsi="Arial" w:cs="Arial"/>
                <w:sz w:val="24"/>
                <w:szCs w:val="24"/>
              </w:rPr>
              <w:t>10/1/12</w:t>
            </w:r>
          </w:p>
        </w:tc>
        <w:tc>
          <w:tcPr>
            <w:tcW w:w="8745" w:type="dxa"/>
          </w:tcPr>
          <w:p w14:paraId="68A85AE4" w14:textId="77777777" w:rsidR="009B5AA5" w:rsidRPr="00FA3F9C" w:rsidRDefault="009B5AA5" w:rsidP="006325AF">
            <w:pPr>
              <w:rPr>
                <w:rFonts w:ascii="Arial" w:hAnsi="Arial" w:cs="Arial"/>
                <w:sz w:val="24"/>
                <w:szCs w:val="24"/>
              </w:rPr>
            </w:pPr>
            <w:r w:rsidRPr="00FA3F9C">
              <w:rPr>
                <w:rFonts w:ascii="Arial" w:hAnsi="Arial" w:cs="Arial"/>
                <w:sz w:val="24"/>
                <w:szCs w:val="24"/>
              </w:rPr>
              <w:t xml:space="preserve">Clay said the PBM has already programmed a </w:t>
            </w:r>
            <w:proofErr w:type="gramStart"/>
            <w:r w:rsidRPr="00FA3F9C">
              <w:rPr>
                <w:rFonts w:ascii="Arial" w:hAnsi="Arial" w:cs="Arial"/>
                <w:sz w:val="24"/>
                <w:szCs w:val="24"/>
              </w:rPr>
              <w:t>2 w</w:t>
            </w:r>
            <w:proofErr w:type="gramEnd"/>
            <w:r w:rsidRPr="00FA3F9C">
              <w:rPr>
                <w:rFonts w:ascii="Arial" w:hAnsi="Arial" w:cs="Arial"/>
                <w:sz w:val="24"/>
                <w:szCs w:val="24"/>
              </w:rPr>
              <w:t xml:space="preserve"> supply limit for pazopanib.</w:t>
            </w:r>
          </w:p>
        </w:tc>
        <w:tc>
          <w:tcPr>
            <w:tcW w:w="1353" w:type="dxa"/>
          </w:tcPr>
          <w:p w14:paraId="1DB3B9AB" w14:textId="77777777" w:rsidR="009B5AA5" w:rsidRPr="00FA3F9C" w:rsidRDefault="009B5AA5" w:rsidP="006325AF">
            <w:pPr>
              <w:rPr>
                <w:rFonts w:ascii="Arial" w:hAnsi="Arial" w:cs="Arial"/>
                <w:sz w:val="24"/>
                <w:szCs w:val="24"/>
              </w:rPr>
            </w:pPr>
            <w:r w:rsidRPr="00FA3F9C">
              <w:rPr>
                <w:rFonts w:ascii="Arial" w:hAnsi="Arial" w:cs="Arial"/>
                <w:sz w:val="24"/>
                <w:szCs w:val="24"/>
              </w:rPr>
              <w:t>JJ</w:t>
            </w:r>
          </w:p>
        </w:tc>
      </w:tr>
      <w:tr w:rsidR="009B5AA5" w:rsidRPr="00FA3F9C" w14:paraId="3A161992" w14:textId="77777777" w:rsidTr="000734F5">
        <w:tc>
          <w:tcPr>
            <w:tcW w:w="918" w:type="dxa"/>
          </w:tcPr>
          <w:p w14:paraId="3160C3C3" w14:textId="77777777" w:rsidR="009B5AA5" w:rsidRPr="00FA3F9C" w:rsidRDefault="009B5AA5" w:rsidP="006325AF">
            <w:pPr>
              <w:rPr>
                <w:rFonts w:ascii="Arial" w:hAnsi="Arial" w:cs="Arial"/>
                <w:sz w:val="24"/>
                <w:szCs w:val="24"/>
              </w:rPr>
            </w:pPr>
            <w:r w:rsidRPr="00FA3F9C">
              <w:rPr>
                <w:rFonts w:ascii="Arial" w:hAnsi="Arial" w:cs="Arial"/>
                <w:sz w:val="24"/>
                <w:szCs w:val="24"/>
              </w:rPr>
              <w:lastRenderedPageBreak/>
              <w:t>7/5/17</w:t>
            </w:r>
          </w:p>
        </w:tc>
        <w:tc>
          <w:tcPr>
            <w:tcW w:w="8745" w:type="dxa"/>
          </w:tcPr>
          <w:p w14:paraId="6842ED0C" w14:textId="77777777" w:rsidR="009B5AA5" w:rsidRPr="00FA3F9C" w:rsidRDefault="009B5AA5" w:rsidP="006325AF">
            <w:pPr>
              <w:rPr>
                <w:rFonts w:ascii="Arial" w:hAnsi="Arial" w:cs="Arial"/>
                <w:sz w:val="24"/>
                <w:szCs w:val="24"/>
              </w:rPr>
            </w:pPr>
            <w:r w:rsidRPr="00FA3F9C">
              <w:rPr>
                <w:rFonts w:ascii="Arial" w:hAnsi="Arial" w:cs="Arial"/>
                <w:sz w:val="24"/>
                <w:szCs w:val="24"/>
              </w:rPr>
              <w:t>James Barr informed me the PBM (MI) did not hardwire the 2w supply once they took over from Optum.  He said the drug is NOT limited distribution but that regular pharmacies (Walmart) will not break a bottle and will only supply 30ds.</w:t>
            </w:r>
          </w:p>
        </w:tc>
        <w:tc>
          <w:tcPr>
            <w:tcW w:w="1353" w:type="dxa"/>
          </w:tcPr>
          <w:p w14:paraId="6A8CE410" w14:textId="77777777" w:rsidR="009B5AA5" w:rsidRPr="00FA3F9C" w:rsidRDefault="009B5AA5" w:rsidP="006325AF">
            <w:pPr>
              <w:rPr>
                <w:rFonts w:ascii="Arial" w:hAnsi="Arial" w:cs="Arial"/>
                <w:sz w:val="24"/>
                <w:szCs w:val="24"/>
              </w:rPr>
            </w:pPr>
            <w:r w:rsidRPr="00FA3F9C">
              <w:rPr>
                <w:rFonts w:ascii="Arial" w:hAnsi="Arial" w:cs="Arial"/>
                <w:sz w:val="24"/>
                <w:szCs w:val="24"/>
              </w:rPr>
              <w:t>JJ</w:t>
            </w:r>
          </w:p>
        </w:tc>
      </w:tr>
      <w:tr w:rsidR="009B5AA5" w:rsidRPr="00FA3F9C" w14:paraId="6A450130" w14:textId="77777777" w:rsidTr="000734F5">
        <w:tc>
          <w:tcPr>
            <w:tcW w:w="918" w:type="dxa"/>
          </w:tcPr>
          <w:p w14:paraId="7CDFD51F" w14:textId="77777777" w:rsidR="009B5AA5" w:rsidRPr="00FA3F9C" w:rsidRDefault="009B5AA5" w:rsidP="006325AF">
            <w:pPr>
              <w:rPr>
                <w:rFonts w:ascii="Arial" w:hAnsi="Arial" w:cs="Arial"/>
                <w:sz w:val="24"/>
                <w:szCs w:val="24"/>
              </w:rPr>
            </w:pPr>
            <w:r w:rsidRPr="00FA3F9C">
              <w:rPr>
                <w:rFonts w:ascii="Arial" w:hAnsi="Arial" w:cs="Arial"/>
                <w:sz w:val="24"/>
                <w:szCs w:val="24"/>
              </w:rPr>
              <w:t>7/28/17</w:t>
            </w:r>
          </w:p>
        </w:tc>
        <w:tc>
          <w:tcPr>
            <w:tcW w:w="8745" w:type="dxa"/>
          </w:tcPr>
          <w:p w14:paraId="31FFF35C" w14:textId="77777777" w:rsidR="009B5AA5" w:rsidRPr="00FA3F9C" w:rsidRDefault="009B5AA5" w:rsidP="006325AF">
            <w:pPr>
              <w:rPr>
                <w:rFonts w:ascii="Arial" w:hAnsi="Arial" w:cs="Arial"/>
                <w:sz w:val="24"/>
                <w:szCs w:val="24"/>
              </w:rPr>
            </w:pPr>
            <w:r w:rsidRPr="00FA3F9C">
              <w:rPr>
                <w:rFonts w:ascii="Arial" w:hAnsi="Arial" w:cs="Arial"/>
                <w:sz w:val="24"/>
                <w:szCs w:val="24"/>
              </w:rPr>
              <w:t xml:space="preserve">I reviewed the data for soft tissue sarcoma.  There was no OS improvement for angiogenesis inhibitor-naïve, metastatic STS patients who progressed despite previous standard CTX.  Although pazopanib is FDA approved for </w:t>
            </w:r>
            <w:proofErr w:type="spellStart"/>
            <w:r w:rsidRPr="00FA3F9C">
              <w:rPr>
                <w:rFonts w:ascii="Arial" w:hAnsi="Arial" w:cs="Arial"/>
                <w:sz w:val="24"/>
                <w:szCs w:val="24"/>
              </w:rPr>
              <w:t>tx</w:t>
            </w:r>
            <w:proofErr w:type="spellEnd"/>
            <w:r w:rsidRPr="00FA3F9C">
              <w:rPr>
                <w:rFonts w:ascii="Arial" w:hAnsi="Arial" w:cs="Arial"/>
                <w:sz w:val="24"/>
                <w:szCs w:val="24"/>
              </w:rPr>
              <w:t xml:space="preserve"> of advanced STS in pts who have received prior CTX, we do not recommend coverage of pazopanib for this purpose until evidence supports a benefit.</w:t>
            </w:r>
          </w:p>
        </w:tc>
        <w:tc>
          <w:tcPr>
            <w:tcW w:w="1353" w:type="dxa"/>
          </w:tcPr>
          <w:p w14:paraId="4327D5E1" w14:textId="77777777" w:rsidR="009B5AA5" w:rsidRPr="00FA3F9C" w:rsidRDefault="009B5AA5" w:rsidP="006325AF">
            <w:pPr>
              <w:rPr>
                <w:rFonts w:ascii="Arial" w:hAnsi="Arial" w:cs="Arial"/>
                <w:sz w:val="24"/>
                <w:szCs w:val="24"/>
              </w:rPr>
            </w:pPr>
            <w:r w:rsidRPr="00FA3F9C">
              <w:rPr>
                <w:rFonts w:ascii="Arial" w:hAnsi="Arial" w:cs="Arial"/>
                <w:sz w:val="24"/>
                <w:szCs w:val="24"/>
              </w:rPr>
              <w:t>JJ</w:t>
            </w:r>
          </w:p>
        </w:tc>
      </w:tr>
      <w:tr w:rsidR="009B5AA5" w:rsidRPr="00FA3F9C" w14:paraId="293BF27B" w14:textId="77777777" w:rsidTr="000734F5">
        <w:tc>
          <w:tcPr>
            <w:tcW w:w="918" w:type="dxa"/>
          </w:tcPr>
          <w:p w14:paraId="744B7037" w14:textId="77777777" w:rsidR="009B5AA5" w:rsidRPr="00FA3F9C" w:rsidRDefault="009B5AA5" w:rsidP="006325AF">
            <w:pPr>
              <w:rPr>
                <w:rFonts w:ascii="Arial" w:hAnsi="Arial" w:cs="Arial"/>
                <w:sz w:val="24"/>
                <w:szCs w:val="24"/>
              </w:rPr>
            </w:pPr>
            <w:r w:rsidRPr="00FA3F9C">
              <w:rPr>
                <w:rFonts w:ascii="Arial" w:hAnsi="Arial" w:cs="Arial"/>
                <w:sz w:val="24"/>
                <w:szCs w:val="24"/>
              </w:rPr>
              <w:t>4/18/19</w:t>
            </w:r>
          </w:p>
        </w:tc>
        <w:tc>
          <w:tcPr>
            <w:tcW w:w="8745" w:type="dxa"/>
          </w:tcPr>
          <w:p w14:paraId="0D1CEFC2" w14:textId="77777777" w:rsidR="009B5AA5" w:rsidRPr="00FA3F9C" w:rsidRDefault="009B5AA5" w:rsidP="006C5A6C">
            <w:pPr>
              <w:rPr>
                <w:rFonts w:ascii="Arial" w:hAnsi="Arial" w:cs="Arial"/>
                <w:sz w:val="24"/>
                <w:szCs w:val="24"/>
              </w:rPr>
            </w:pPr>
            <w:r w:rsidRPr="00FA3F9C">
              <w:rPr>
                <w:rFonts w:ascii="Arial" w:hAnsi="Arial" w:cs="Arial"/>
                <w:sz w:val="24"/>
                <w:szCs w:val="24"/>
              </w:rPr>
              <w:t>Criteria reviewed. Formatting updated. No significant changes</w:t>
            </w:r>
          </w:p>
        </w:tc>
        <w:tc>
          <w:tcPr>
            <w:tcW w:w="1353" w:type="dxa"/>
          </w:tcPr>
          <w:p w14:paraId="2A26B008" w14:textId="77777777" w:rsidR="009B5AA5" w:rsidRPr="00FA3F9C" w:rsidRDefault="009B5AA5" w:rsidP="006325AF">
            <w:pPr>
              <w:rPr>
                <w:rFonts w:ascii="Arial" w:hAnsi="Arial" w:cs="Arial"/>
                <w:sz w:val="24"/>
                <w:szCs w:val="24"/>
              </w:rPr>
            </w:pPr>
            <w:r w:rsidRPr="00FA3F9C">
              <w:rPr>
                <w:rFonts w:ascii="Arial" w:hAnsi="Arial" w:cs="Arial"/>
                <w:sz w:val="24"/>
                <w:szCs w:val="24"/>
              </w:rPr>
              <w:t>SK</w:t>
            </w:r>
          </w:p>
        </w:tc>
      </w:tr>
      <w:tr w:rsidR="009B5AA5" w:rsidRPr="00FA3F9C" w14:paraId="404B3E14" w14:textId="77777777" w:rsidTr="000734F5">
        <w:tc>
          <w:tcPr>
            <w:tcW w:w="918" w:type="dxa"/>
          </w:tcPr>
          <w:p w14:paraId="7BD22EC6" w14:textId="77777777" w:rsidR="009B5AA5" w:rsidRPr="00FA3F9C" w:rsidRDefault="009B5AA5" w:rsidP="006325AF">
            <w:pPr>
              <w:rPr>
                <w:rFonts w:ascii="Arial" w:hAnsi="Arial" w:cs="Arial"/>
                <w:sz w:val="24"/>
                <w:szCs w:val="24"/>
              </w:rPr>
            </w:pPr>
            <w:r w:rsidRPr="00FA3F9C">
              <w:rPr>
                <w:rFonts w:ascii="Arial" w:hAnsi="Arial" w:cs="Arial"/>
                <w:sz w:val="24"/>
                <w:szCs w:val="24"/>
              </w:rPr>
              <w:t>1/29/2020</w:t>
            </w:r>
          </w:p>
        </w:tc>
        <w:tc>
          <w:tcPr>
            <w:tcW w:w="8745" w:type="dxa"/>
          </w:tcPr>
          <w:p w14:paraId="495956D1" w14:textId="77777777" w:rsidR="009B5AA5" w:rsidRPr="00FA3F9C" w:rsidRDefault="009B5AA5" w:rsidP="00B71417">
            <w:pPr>
              <w:rPr>
                <w:rFonts w:ascii="Arial" w:hAnsi="Arial" w:cs="Arial"/>
                <w:sz w:val="24"/>
                <w:szCs w:val="24"/>
              </w:rPr>
            </w:pPr>
            <w:r w:rsidRPr="00FA3F9C">
              <w:rPr>
                <w:rFonts w:ascii="Arial" w:hAnsi="Arial" w:cs="Arial"/>
                <w:sz w:val="24"/>
                <w:szCs w:val="24"/>
              </w:rPr>
              <w:t>Criteria reviewed, no changes. Added reference for subgroup analysis of sarcoma trial. I could not locate any studies showing an overall survival benefit of pazopanib over another therapy or placebo.</w:t>
            </w:r>
          </w:p>
        </w:tc>
        <w:tc>
          <w:tcPr>
            <w:tcW w:w="1353" w:type="dxa"/>
          </w:tcPr>
          <w:p w14:paraId="0364778E" w14:textId="77777777" w:rsidR="009B5AA5" w:rsidRPr="00FA3F9C" w:rsidRDefault="009B5AA5" w:rsidP="006325AF">
            <w:pPr>
              <w:rPr>
                <w:rFonts w:ascii="Arial" w:hAnsi="Arial" w:cs="Arial"/>
                <w:sz w:val="24"/>
                <w:szCs w:val="24"/>
              </w:rPr>
            </w:pPr>
            <w:r w:rsidRPr="00FA3F9C">
              <w:rPr>
                <w:rFonts w:ascii="Arial" w:hAnsi="Arial" w:cs="Arial"/>
                <w:sz w:val="24"/>
                <w:szCs w:val="24"/>
              </w:rPr>
              <w:t>SK</w:t>
            </w:r>
          </w:p>
        </w:tc>
      </w:tr>
      <w:tr w:rsidR="009B5AA5" w:rsidRPr="00FA3F9C" w14:paraId="6FB5E63E" w14:textId="77777777" w:rsidTr="000734F5">
        <w:tc>
          <w:tcPr>
            <w:tcW w:w="918" w:type="dxa"/>
          </w:tcPr>
          <w:p w14:paraId="219967A6" w14:textId="77777777" w:rsidR="009B5AA5" w:rsidRPr="00FA3F9C" w:rsidRDefault="009B5AA5" w:rsidP="006325AF">
            <w:pPr>
              <w:rPr>
                <w:rFonts w:ascii="Arial" w:hAnsi="Arial" w:cs="Arial"/>
                <w:sz w:val="24"/>
                <w:szCs w:val="24"/>
              </w:rPr>
            </w:pPr>
            <w:r w:rsidRPr="00FA3F9C">
              <w:rPr>
                <w:rFonts w:ascii="Arial" w:hAnsi="Arial" w:cs="Arial"/>
                <w:sz w:val="24"/>
                <w:szCs w:val="24"/>
              </w:rPr>
              <w:t>11/19/2020</w:t>
            </w:r>
          </w:p>
        </w:tc>
        <w:tc>
          <w:tcPr>
            <w:tcW w:w="8745" w:type="dxa"/>
          </w:tcPr>
          <w:p w14:paraId="152A11BD" w14:textId="77777777" w:rsidR="009B5AA5" w:rsidRPr="00FA3F9C" w:rsidRDefault="009B5AA5" w:rsidP="00B71417">
            <w:pPr>
              <w:rPr>
                <w:rFonts w:ascii="Arial" w:hAnsi="Arial" w:cs="Arial"/>
                <w:sz w:val="24"/>
                <w:szCs w:val="24"/>
              </w:rPr>
            </w:pPr>
            <w:r w:rsidRPr="00FA3F9C">
              <w:rPr>
                <w:rFonts w:ascii="Arial" w:hAnsi="Arial" w:cs="Arial"/>
                <w:sz w:val="24"/>
                <w:szCs w:val="24"/>
              </w:rPr>
              <w:t xml:space="preserve">Criteria reviewed. No changes. </w:t>
            </w:r>
          </w:p>
        </w:tc>
        <w:tc>
          <w:tcPr>
            <w:tcW w:w="1353" w:type="dxa"/>
          </w:tcPr>
          <w:p w14:paraId="09F74F9D" w14:textId="77777777" w:rsidR="009B5AA5" w:rsidRPr="00FA3F9C" w:rsidRDefault="009B5AA5" w:rsidP="006325AF">
            <w:pPr>
              <w:rPr>
                <w:rFonts w:ascii="Arial" w:hAnsi="Arial" w:cs="Arial"/>
                <w:sz w:val="24"/>
                <w:szCs w:val="24"/>
              </w:rPr>
            </w:pPr>
            <w:r w:rsidRPr="00FA3F9C">
              <w:rPr>
                <w:rFonts w:ascii="Arial" w:hAnsi="Arial" w:cs="Arial"/>
                <w:sz w:val="24"/>
                <w:szCs w:val="24"/>
              </w:rPr>
              <w:t>SK</w:t>
            </w:r>
          </w:p>
        </w:tc>
      </w:tr>
      <w:tr w:rsidR="009B5AA5" w:rsidRPr="00FA3F9C" w14:paraId="2B9FBABF" w14:textId="77777777" w:rsidTr="000734F5">
        <w:tc>
          <w:tcPr>
            <w:tcW w:w="918" w:type="dxa"/>
          </w:tcPr>
          <w:p w14:paraId="304EB8CF" w14:textId="77777777" w:rsidR="009B5AA5" w:rsidRPr="00FA3F9C" w:rsidRDefault="009B5AA5" w:rsidP="006325AF">
            <w:pPr>
              <w:rPr>
                <w:rFonts w:ascii="Arial" w:hAnsi="Arial" w:cs="Arial"/>
                <w:sz w:val="24"/>
                <w:szCs w:val="24"/>
              </w:rPr>
            </w:pPr>
            <w:r w:rsidRPr="00FA3F9C">
              <w:rPr>
                <w:rFonts w:ascii="Arial" w:hAnsi="Arial" w:cs="Arial"/>
                <w:sz w:val="24"/>
                <w:szCs w:val="24"/>
              </w:rPr>
              <w:t>4/7/21</w:t>
            </w:r>
          </w:p>
        </w:tc>
        <w:tc>
          <w:tcPr>
            <w:tcW w:w="8745" w:type="dxa"/>
          </w:tcPr>
          <w:p w14:paraId="5714A069" w14:textId="77777777" w:rsidR="009B5AA5" w:rsidRPr="00FA3F9C" w:rsidRDefault="009B5AA5" w:rsidP="00B71417">
            <w:pPr>
              <w:rPr>
                <w:rFonts w:ascii="Arial" w:hAnsi="Arial" w:cs="Arial"/>
                <w:sz w:val="24"/>
                <w:szCs w:val="24"/>
              </w:rPr>
            </w:pPr>
            <w:r w:rsidRPr="00FA3F9C">
              <w:rPr>
                <w:rFonts w:ascii="Arial" w:hAnsi="Arial" w:cs="Arial"/>
                <w:sz w:val="24"/>
                <w:szCs w:val="24"/>
              </w:rPr>
              <w:t>Applied EBRx criteria to UAS. No current users</w:t>
            </w:r>
          </w:p>
        </w:tc>
        <w:tc>
          <w:tcPr>
            <w:tcW w:w="1353" w:type="dxa"/>
          </w:tcPr>
          <w:p w14:paraId="4D5AB35C" w14:textId="77777777" w:rsidR="009B5AA5" w:rsidRPr="00FA3F9C" w:rsidRDefault="009B5AA5" w:rsidP="006325AF">
            <w:pPr>
              <w:rPr>
                <w:rFonts w:ascii="Arial" w:hAnsi="Arial" w:cs="Arial"/>
                <w:sz w:val="24"/>
                <w:szCs w:val="24"/>
              </w:rPr>
            </w:pPr>
            <w:r w:rsidRPr="00FA3F9C">
              <w:rPr>
                <w:rFonts w:ascii="Arial" w:hAnsi="Arial" w:cs="Arial"/>
                <w:sz w:val="24"/>
                <w:szCs w:val="24"/>
              </w:rPr>
              <w:t>JJ</w:t>
            </w:r>
          </w:p>
        </w:tc>
      </w:tr>
      <w:tr w:rsidR="009B5AA5" w:rsidRPr="00FA3F9C" w14:paraId="5F485993" w14:textId="77777777" w:rsidTr="000734F5">
        <w:tc>
          <w:tcPr>
            <w:tcW w:w="918" w:type="dxa"/>
          </w:tcPr>
          <w:p w14:paraId="29CC0190" w14:textId="77777777" w:rsidR="009B5AA5" w:rsidRPr="00FA3F9C" w:rsidRDefault="009B5AA5" w:rsidP="006325AF">
            <w:pPr>
              <w:rPr>
                <w:rFonts w:ascii="Arial" w:hAnsi="Arial" w:cs="Arial"/>
                <w:sz w:val="24"/>
                <w:szCs w:val="24"/>
              </w:rPr>
            </w:pPr>
            <w:r w:rsidRPr="00FA3F9C">
              <w:rPr>
                <w:rFonts w:ascii="Arial" w:hAnsi="Arial" w:cs="Arial"/>
                <w:sz w:val="24"/>
                <w:szCs w:val="24"/>
              </w:rPr>
              <w:t>10/2021</w:t>
            </w:r>
          </w:p>
        </w:tc>
        <w:tc>
          <w:tcPr>
            <w:tcW w:w="8745" w:type="dxa"/>
          </w:tcPr>
          <w:p w14:paraId="1264B26E" w14:textId="77777777" w:rsidR="009B5AA5" w:rsidRPr="00FA3F9C" w:rsidRDefault="009B5AA5" w:rsidP="00B71417">
            <w:pPr>
              <w:rPr>
                <w:rFonts w:ascii="Arial" w:hAnsi="Arial" w:cs="Arial"/>
                <w:sz w:val="24"/>
                <w:szCs w:val="24"/>
              </w:rPr>
            </w:pPr>
            <w:r w:rsidRPr="00FA3F9C">
              <w:rPr>
                <w:rFonts w:ascii="Arial" w:hAnsi="Arial" w:cs="Arial"/>
                <w:sz w:val="24"/>
                <w:szCs w:val="24"/>
              </w:rPr>
              <w:t>Criteria reviewed. No change.</w:t>
            </w:r>
          </w:p>
        </w:tc>
        <w:tc>
          <w:tcPr>
            <w:tcW w:w="1353" w:type="dxa"/>
          </w:tcPr>
          <w:p w14:paraId="3C1DD385" w14:textId="77777777" w:rsidR="009B5AA5" w:rsidRPr="00FA3F9C" w:rsidRDefault="009B5AA5" w:rsidP="006325AF">
            <w:pPr>
              <w:rPr>
                <w:rFonts w:ascii="Arial" w:hAnsi="Arial" w:cs="Arial"/>
                <w:sz w:val="24"/>
                <w:szCs w:val="24"/>
              </w:rPr>
            </w:pPr>
            <w:r w:rsidRPr="00FA3F9C">
              <w:rPr>
                <w:rFonts w:ascii="Arial" w:hAnsi="Arial" w:cs="Arial"/>
                <w:sz w:val="24"/>
                <w:szCs w:val="24"/>
              </w:rPr>
              <w:t>SK</w:t>
            </w:r>
          </w:p>
        </w:tc>
      </w:tr>
    </w:tbl>
    <w:p w14:paraId="75A14872" w14:textId="77777777" w:rsidR="009B5AA5" w:rsidRPr="00FA3F9C" w:rsidRDefault="009B5AA5" w:rsidP="006325AF">
      <w:pPr>
        <w:rPr>
          <w:rFonts w:ascii="Arial" w:hAnsi="Arial" w:cs="Arial"/>
          <w:sz w:val="24"/>
          <w:szCs w:val="24"/>
        </w:rPr>
      </w:pPr>
    </w:p>
    <w:p w14:paraId="47653AC5" w14:textId="77777777" w:rsidR="009B5AA5" w:rsidRPr="00FA3F9C" w:rsidRDefault="009B5AA5" w:rsidP="006325AF">
      <w:pPr>
        <w:rPr>
          <w:rFonts w:ascii="Arial" w:hAnsi="Arial" w:cs="Arial"/>
          <w:sz w:val="24"/>
          <w:szCs w:val="24"/>
        </w:rPr>
      </w:pPr>
    </w:p>
    <w:p w14:paraId="60B02D4C" w14:textId="77777777" w:rsidR="009B5AA5" w:rsidRPr="00FA3F9C" w:rsidRDefault="009B5AA5" w:rsidP="00EF3B65">
      <w:pPr>
        <w:pStyle w:val="Heading2"/>
      </w:pPr>
      <w:bookmarkStart w:id="255" w:name="_Toc106369892"/>
      <w:r w:rsidRPr="00FA3F9C">
        <w:t>Peginterferon alfa 2a (</w:t>
      </w:r>
      <w:proofErr w:type="spellStart"/>
      <w:r w:rsidRPr="00FA3F9C">
        <w:t>Pegasys</w:t>
      </w:r>
      <w:proofErr w:type="spellEnd"/>
      <w:r w:rsidRPr="00FA3F9C">
        <w:t>)</w:t>
      </w:r>
      <w:bookmarkEnd w:id="255"/>
    </w:p>
    <w:p w14:paraId="61C693D3" w14:textId="77777777" w:rsidR="009B5AA5" w:rsidRPr="00FA3F9C" w:rsidRDefault="009B5AA5" w:rsidP="006F623F">
      <w:pPr>
        <w:spacing w:after="0"/>
        <w:jc w:val="center"/>
        <w:rPr>
          <w:rFonts w:ascii="Arial" w:hAnsi="Arial" w:cs="Arial"/>
          <w:sz w:val="24"/>
          <w:szCs w:val="24"/>
        </w:rPr>
      </w:pPr>
      <w:r w:rsidRPr="00FA3F9C">
        <w:rPr>
          <w:rFonts w:ascii="Arial" w:hAnsi="Arial" w:cs="Arial"/>
          <w:sz w:val="24"/>
          <w:szCs w:val="24"/>
        </w:rPr>
        <w:t>EBRx PA Criteria</w:t>
      </w:r>
    </w:p>
    <w:p w14:paraId="1A21EFFA" w14:textId="77777777" w:rsidR="009B5AA5" w:rsidRPr="00FA3F9C" w:rsidRDefault="009B5AA5" w:rsidP="006F623F">
      <w:pPr>
        <w:spacing w:after="0"/>
        <w:rPr>
          <w:rFonts w:ascii="Arial" w:hAnsi="Arial" w:cs="Arial"/>
          <w:b/>
          <w:sz w:val="24"/>
          <w:szCs w:val="24"/>
          <w:u w:val="single"/>
        </w:rPr>
      </w:pPr>
    </w:p>
    <w:p w14:paraId="230019FF" w14:textId="77777777" w:rsidR="009B5AA5" w:rsidRPr="00FA3F9C" w:rsidRDefault="009B5AA5"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w:t>
      </w:r>
    </w:p>
    <w:p w14:paraId="55F20CC0" w14:textId="77777777" w:rsidR="009B5AA5" w:rsidRPr="00FA3F9C" w:rsidRDefault="009B5AA5" w:rsidP="006F623F">
      <w:pPr>
        <w:spacing w:after="0"/>
        <w:rPr>
          <w:rFonts w:ascii="Arial" w:hAnsi="Arial" w:cs="Arial"/>
          <w:sz w:val="24"/>
          <w:szCs w:val="24"/>
          <w:u w:val="single"/>
        </w:rPr>
      </w:pPr>
      <w:r w:rsidRPr="00FA3F9C">
        <w:rPr>
          <w:rFonts w:ascii="Arial" w:hAnsi="Arial" w:cs="Arial"/>
          <w:sz w:val="24"/>
          <w:szCs w:val="24"/>
          <w:u w:val="single"/>
        </w:rPr>
        <w:t>Chronic Hepatitis B</w:t>
      </w:r>
    </w:p>
    <w:p w14:paraId="41DFF5AB" w14:textId="77777777" w:rsidR="009B5AA5" w:rsidRPr="00FA3F9C" w:rsidRDefault="009B5AA5" w:rsidP="00FC1E85">
      <w:pPr>
        <w:pStyle w:val="ListParagraph"/>
        <w:numPr>
          <w:ilvl w:val="0"/>
          <w:numId w:val="413"/>
        </w:numPr>
        <w:spacing w:after="0" w:line="276" w:lineRule="auto"/>
        <w:ind w:left="540"/>
        <w:rPr>
          <w:rFonts w:ascii="Arial" w:hAnsi="Arial" w:cs="Arial"/>
          <w:sz w:val="24"/>
          <w:szCs w:val="24"/>
        </w:rPr>
      </w:pPr>
      <w:r w:rsidRPr="00FA3F9C">
        <w:rPr>
          <w:rFonts w:ascii="Arial" w:hAnsi="Arial" w:cs="Arial"/>
          <w:sz w:val="24"/>
          <w:szCs w:val="24"/>
        </w:rPr>
        <w:t xml:space="preserve">Adult Patients: In combination therapy with other hepatitis C virus drugs for adults with compensated liver disease. PEGASYS monotherapy is indicated only if patient has contraindication or significant intolerance to other HCV drugs. </w:t>
      </w:r>
    </w:p>
    <w:p w14:paraId="47E08BBE" w14:textId="77777777" w:rsidR="009B5AA5" w:rsidRPr="00FA3F9C" w:rsidRDefault="009B5AA5" w:rsidP="00FC1E85">
      <w:pPr>
        <w:pStyle w:val="ListParagraph"/>
        <w:numPr>
          <w:ilvl w:val="0"/>
          <w:numId w:val="413"/>
        </w:numPr>
        <w:spacing w:after="0" w:line="276" w:lineRule="auto"/>
        <w:ind w:left="540"/>
        <w:rPr>
          <w:rFonts w:ascii="Arial" w:hAnsi="Arial" w:cs="Arial"/>
          <w:sz w:val="24"/>
          <w:szCs w:val="24"/>
        </w:rPr>
      </w:pPr>
      <w:r w:rsidRPr="00FA3F9C">
        <w:rPr>
          <w:rFonts w:ascii="Arial" w:hAnsi="Arial" w:cs="Arial"/>
          <w:sz w:val="24"/>
          <w:szCs w:val="24"/>
        </w:rPr>
        <w:t>Pediatric Patients: In combination with ribavirin for pediatric patients 5 years of age and older with compensated liver disease</w:t>
      </w:r>
    </w:p>
    <w:p w14:paraId="0C5DE413" w14:textId="77777777" w:rsidR="009B5AA5" w:rsidRPr="00FA3F9C" w:rsidRDefault="009B5AA5" w:rsidP="006F623F">
      <w:pPr>
        <w:spacing w:after="0"/>
        <w:rPr>
          <w:rFonts w:ascii="Arial" w:hAnsi="Arial" w:cs="Arial"/>
          <w:sz w:val="24"/>
          <w:szCs w:val="24"/>
        </w:rPr>
      </w:pPr>
    </w:p>
    <w:p w14:paraId="09035D89" w14:textId="77777777" w:rsidR="009B5AA5" w:rsidRPr="00FA3F9C" w:rsidRDefault="009B5AA5" w:rsidP="006F623F">
      <w:pPr>
        <w:spacing w:after="0"/>
        <w:rPr>
          <w:rFonts w:ascii="Arial" w:hAnsi="Arial" w:cs="Arial"/>
          <w:sz w:val="24"/>
          <w:szCs w:val="24"/>
          <w:u w:val="single"/>
        </w:rPr>
      </w:pPr>
      <w:r w:rsidRPr="00FA3F9C">
        <w:rPr>
          <w:rFonts w:ascii="Arial" w:hAnsi="Arial" w:cs="Arial"/>
          <w:sz w:val="24"/>
          <w:szCs w:val="24"/>
          <w:u w:val="single"/>
        </w:rPr>
        <w:t>Chronic Hepatitis C</w:t>
      </w:r>
    </w:p>
    <w:p w14:paraId="6127FFD3" w14:textId="77777777" w:rsidR="009B5AA5" w:rsidRPr="00FA3F9C" w:rsidRDefault="009B5AA5" w:rsidP="00FC1E85">
      <w:pPr>
        <w:pStyle w:val="ListParagraph"/>
        <w:numPr>
          <w:ilvl w:val="0"/>
          <w:numId w:val="414"/>
        </w:numPr>
        <w:spacing w:after="0" w:line="276" w:lineRule="auto"/>
        <w:ind w:left="540"/>
        <w:rPr>
          <w:rFonts w:ascii="Arial" w:hAnsi="Arial" w:cs="Arial"/>
          <w:sz w:val="24"/>
          <w:szCs w:val="24"/>
        </w:rPr>
      </w:pPr>
      <w:r w:rsidRPr="00FA3F9C">
        <w:rPr>
          <w:rFonts w:ascii="Arial" w:hAnsi="Arial" w:cs="Arial"/>
          <w:sz w:val="24"/>
          <w:szCs w:val="24"/>
        </w:rPr>
        <w:t xml:space="preserve">Adult Patients: Treatment of adults with </w:t>
      </w:r>
      <w:proofErr w:type="spellStart"/>
      <w:r w:rsidRPr="00FA3F9C">
        <w:rPr>
          <w:rFonts w:ascii="Arial" w:hAnsi="Arial" w:cs="Arial"/>
          <w:sz w:val="24"/>
          <w:szCs w:val="24"/>
        </w:rPr>
        <w:t>HBeAg</w:t>
      </w:r>
      <w:proofErr w:type="spellEnd"/>
      <w:r w:rsidRPr="00FA3F9C">
        <w:rPr>
          <w:rFonts w:ascii="Arial" w:hAnsi="Arial" w:cs="Arial"/>
          <w:sz w:val="24"/>
          <w:szCs w:val="24"/>
        </w:rPr>
        <w:t xml:space="preserve">-positive and </w:t>
      </w:r>
      <w:proofErr w:type="spellStart"/>
      <w:r w:rsidRPr="00FA3F9C">
        <w:rPr>
          <w:rFonts w:ascii="Arial" w:hAnsi="Arial" w:cs="Arial"/>
          <w:sz w:val="24"/>
          <w:szCs w:val="24"/>
        </w:rPr>
        <w:t>HBeAgnegative</w:t>
      </w:r>
      <w:proofErr w:type="spellEnd"/>
      <w:r w:rsidRPr="00FA3F9C">
        <w:rPr>
          <w:rFonts w:ascii="Arial" w:hAnsi="Arial" w:cs="Arial"/>
          <w:sz w:val="24"/>
          <w:szCs w:val="24"/>
        </w:rPr>
        <w:t xml:space="preserve"> chronic hepatitis B (CHB) infection who have compensated liver disease and evidence of viral replication and liver inflammation </w:t>
      </w:r>
    </w:p>
    <w:p w14:paraId="568E1E30" w14:textId="77777777" w:rsidR="009B5AA5" w:rsidRPr="00FA3F9C" w:rsidRDefault="009B5AA5" w:rsidP="00FC1E85">
      <w:pPr>
        <w:pStyle w:val="ListParagraph"/>
        <w:numPr>
          <w:ilvl w:val="0"/>
          <w:numId w:val="414"/>
        </w:numPr>
        <w:spacing w:after="0" w:line="276" w:lineRule="auto"/>
        <w:ind w:left="540"/>
        <w:rPr>
          <w:rFonts w:ascii="Arial" w:hAnsi="Arial" w:cs="Arial"/>
          <w:sz w:val="24"/>
          <w:szCs w:val="24"/>
        </w:rPr>
      </w:pPr>
      <w:r w:rsidRPr="00FA3F9C">
        <w:rPr>
          <w:rFonts w:ascii="Arial" w:hAnsi="Arial" w:cs="Arial"/>
          <w:sz w:val="24"/>
          <w:szCs w:val="24"/>
        </w:rPr>
        <w:t xml:space="preserve">Pediatric Patients: Treatment of non-cirrhotic pediatric patients 3 years of age and older with </w:t>
      </w:r>
      <w:proofErr w:type="spellStart"/>
      <w:r w:rsidRPr="00FA3F9C">
        <w:rPr>
          <w:rFonts w:ascii="Arial" w:hAnsi="Arial" w:cs="Arial"/>
          <w:sz w:val="24"/>
          <w:szCs w:val="24"/>
        </w:rPr>
        <w:t>HBeAg</w:t>
      </w:r>
      <w:proofErr w:type="spellEnd"/>
      <w:r w:rsidRPr="00FA3F9C">
        <w:rPr>
          <w:rFonts w:ascii="Arial" w:hAnsi="Arial" w:cs="Arial"/>
          <w:sz w:val="24"/>
          <w:szCs w:val="24"/>
        </w:rPr>
        <w:t>-positive CHB and evidence of viral replication and elevations in serum alanine aminotransferase (ALT)</w:t>
      </w:r>
    </w:p>
    <w:p w14:paraId="2528FDCB" w14:textId="77777777" w:rsidR="009B5AA5" w:rsidRPr="00FA3F9C" w:rsidRDefault="009B5AA5" w:rsidP="00EE69DA">
      <w:pPr>
        <w:spacing w:after="0"/>
        <w:rPr>
          <w:rFonts w:ascii="Arial" w:hAnsi="Arial" w:cs="Arial"/>
          <w:sz w:val="24"/>
          <w:szCs w:val="24"/>
        </w:rPr>
      </w:pPr>
    </w:p>
    <w:p w14:paraId="309D0CDE" w14:textId="77777777" w:rsidR="009B5AA5" w:rsidRPr="00FA3F9C" w:rsidRDefault="009B5AA5" w:rsidP="00EE69DA">
      <w:pPr>
        <w:spacing w:after="0"/>
        <w:rPr>
          <w:rFonts w:ascii="Arial" w:hAnsi="Arial" w:cs="Arial"/>
          <w:b/>
          <w:sz w:val="24"/>
          <w:szCs w:val="24"/>
        </w:rPr>
      </w:pPr>
      <w:r w:rsidRPr="00FA3F9C">
        <w:rPr>
          <w:rFonts w:ascii="Arial" w:hAnsi="Arial" w:cs="Arial"/>
          <w:b/>
          <w:sz w:val="24"/>
          <w:szCs w:val="24"/>
          <w:u w:val="single"/>
        </w:rPr>
        <w:t>Off Label Indication</w:t>
      </w:r>
    </w:p>
    <w:p w14:paraId="14037C5D" w14:textId="77777777" w:rsidR="009B5AA5" w:rsidRPr="00FA3F9C" w:rsidRDefault="009B5AA5" w:rsidP="00FC1E85">
      <w:pPr>
        <w:pStyle w:val="ListParagraph"/>
        <w:numPr>
          <w:ilvl w:val="0"/>
          <w:numId w:val="414"/>
        </w:numPr>
        <w:spacing w:after="0" w:line="276" w:lineRule="auto"/>
        <w:rPr>
          <w:rFonts w:ascii="Arial" w:hAnsi="Arial" w:cs="Arial"/>
          <w:sz w:val="24"/>
          <w:szCs w:val="24"/>
        </w:rPr>
      </w:pPr>
      <w:r w:rsidRPr="00FA3F9C">
        <w:rPr>
          <w:rFonts w:ascii="Arial" w:hAnsi="Arial" w:cs="Arial"/>
          <w:sz w:val="24"/>
          <w:szCs w:val="24"/>
        </w:rPr>
        <w:t>Polycythemia vera</w:t>
      </w:r>
    </w:p>
    <w:p w14:paraId="64C6BBD9" w14:textId="77777777" w:rsidR="009B5AA5" w:rsidRPr="00FA3F9C" w:rsidRDefault="009B5AA5" w:rsidP="006F623F">
      <w:pPr>
        <w:spacing w:after="0"/>
        <w:rPr>
          <w:rFonts w:ascii="Arial" w:hAnsi="Arial" w:cs="Arial"/>
          <w:sz w:val="24"/>
          <w:szCs w:val="24"/>
        </w:rPr>
      </w:pPr>
    </w:p>
    <w:tbl>
      <w:tblPr>
        <w:tblStyle w:val="TableGrid"/>
        <w:tblW w:w="0" w:type="auto"/>
        <w:tblLook w:val="04A0" w:firstRow="1" w:lastRow="0" w:firstColumn="1" w:lastColumn="0" w:noHBand="0" w:noVBand="1"/>
      </w:tblPr>
      <w:tblGrid>
        <w:gridCol w:w="8928"/>
        <w:gridCol w:w="2088"/>
      </w:tblGrid>
      <w:tr w:rsidR="009B5AA5" w:rsidRPr="00FA3F9C" w14:paraId="4948A1F9" w14:textId="77777777" w:rsidTr="00571CAB">
        <w:tc>
          <w:tcPr>
            <w:tcW w:w="8928" w:type="dxa"/>
            <w:shd w:val="clear" w:color="auto" w:fill="000000"/>
          </w:tcPr>
          <w:p w14:paraId="37215949" w14:textId="77777777" w:rsidR="009B5AA5" w:rsidRPr="00FA3F9C" w:rsidRDefault="009B5AA5"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88" w:type="dxa"/>
            <w:shd w:val="clear" w:color="auto" w:fill="000000"/>
          </w:tcPr>
          <w:p w14:paraId="156B1D1D" w14:textId="77777777" w:rsidR="009B5AA5" w:rsidRPr="00FA3F9C" w:rsidRDefault="009B5AA5" w:rsidP="006F623F">
            <w:pPr>
              <w:jc w:val="center"/>
              <w:rPr>
                <w:rFonts w:ascii="Arial" w:hAnsi="Arial" w:cs="Arial"/>
                <w:b/>
                <w:sz w:val="24"/>
                <w:szCs w:val="24"/>
                <w:u w:val="single"/>
              </w:rPr>
            </w:pPr>
          </w:p>
        </w:tc>
      </w:tr>
      <w:tr w:rsidR="009B5AA5" w:rsidRPr="00FA3F9C" w14:paraId="37A75251" w14:textId="77777777" w:rsidTr="00F337AE">
        <w:tc>
          <w:tcPr>
            <w:tcW w:w="11016" w:type="dxa"/>
            <w:gridSpan w:val="2"/>
          </w:tcPr>
          <w:p w14:paraId="027AAF64" w14:textId="77777777" w:rsidR="009B5AA5" w:rsidRPr="00FA3F9C" w:rsidRDefault="009B5AA5" w:rsidP="00EE69DA">
            <w:pPr>
              <w:rPr>
                <w:rFonts w:ascii="Arial" w:hAnsi="Arial" w:cs="Arial"/>
                <w:sz w:val="24"/>
                <w:szCs w:val="24"/>
              </w:rPr>
            </w:pPr>
            <w:r w:rsidRPr="00FA3F9C">
              <w:rPr>
                <w:rFonts w:ascii="Arial" w:hAnsi="Arial" w:cs="Arial"/>
                <w:sz w:val="24"/>
                <w:szCs w:val="24"/>
              </w:rPr>
              <w:t xml:space="preserve">Diagnosis of chronic hepatitis B </w:t>
            </w:r>
          </w:p>
        </w:tc>
      </w:tr>
      <w:tr w:rsidR="009B5AA5" w:rsidRPr="00FA3F9C" w14:paraId="0D1BCCFD" w14:textId="77777777" w:rsidTr="00B1617E">
        <w:tc>
          <w:tcPr>
            <w:tcW w:w="11016" w:type="dxa"/>
            <w:gridSpan w:val="2"/>
          </w:tcPr>
          <w:p w14:paraId="290DAFBE" w14:textId="77777777" w:rsidR="009B5AA5" w:rsidRPr="00FA3F9C" w:rsidRDefault="009B5AA5" w:rsidP="00EE69DA">
            <w:pPr>
              <w:rPr>
                <w:rFonts w:ascii="Arial" w:hAnsi="Arial" w:cs="Arial"/>
                <w:sz w:val="24"/>
                <w:szCs w:val="24"/>
              </w:rPr>
            </w:pPr>
            <w:r w:rsidRPr="00FA3F9C">
              <w:rPr>
                <w:rFonts w:ascii="Arial" w:hAnsi="Arial" w:cs="Arial"/>
                <w:sz w:val="24"/>
                <w:szCs w:val="24"/>
              </w:rPr>
              <w:t>Diagnosis of chronic hepatitis C</w:t>
            </w:r>
          </w:p>
        </w:tc>
      </w:tr>
      <w:tr w:rsidR="009B5AA5" w:rsidRPr="00FA3F9C" w14:paraId="0701DCB2" w14:textId="77777777" w:rsidTr="0010789D">
        <w:tc>
          <w:tcPr>
            <w:tcW w:w="11016" w:type="dxa"/>
            <w:gridSpan w:val="2"/>
          </w:tcPr>
          <w:p w14:paraId="7E93CBE4" w14:textId="77777777" w:rsidR="009B5AA5" w:rsidRPr="00FA3F9C" w:rsidRDefault="009B5AA5" w:rsidP="006F623F">
            <w:pPr>
              <w:rPr>
                <w:rFonts w:ascii="Arial" w:hAnsi="Arial" w:cs="Arial"/>
                <w:sz w:val="24"/>
                <w:szCs w:val="24"/>
              </w:rPr>
            </w:pPr>
            <w:r w:rsidRPr="00FA3F9C">
              <w:rPr>
                <w:rFonts w:ascii="Arial" w:hAnsi="Arial" w:cs="Arial"/>
                <w:sz w:val="24"/>
                <w:szCs w:val="24"/>
              </w:rPr>
              <w:t>Diagnosis of polycythemia vera</w:t>
            </w:r>
          </w:p>
        </w:tc>
      </w:tr>
      <w:tr w:rsidR="009B5AA5" w:rsidRPr="00FA3F9C" w14:paraId="5722747D" w14:textId="77777777" w:rsidTr="00DA57E0">
        <w:tc>
          <w:tcPr>
            <w:tcW w:w="11016" w:type="dxa"/>
            <w:gridSpan w:val="2"/>
          </w:tcPr>
          <w:p w14:paraId="6D7C5DAC" w14:textId="77777777" w:rsidR="009B5AA5" w:rsidRPr="00FA3F9C" w:rsidRDefault="009B5AA5" w:rsidP="006F623F">
            <w:pPr>
              <w:rPr>
                <w:rFonts w:ascii="Arial" w:hAnsi="Arial" w:cs="Arial"/>
                <w:sz w:val="24"/>
                <w:szCs w:val="24"/>
              </w:rPr>
            </w:pPr>
            <w:r w:rsidRPr="00FA3F9C">
              <w:rPr>
                <w:rFonts w:ascii="Arial" w:hAnsi="Arial" w:cs="Arial"/>
                <w:sz w:val="24"/>
                <w:szCs w:val="24"/>
              </w:rPr>
              <w:t>If one of the above criteria is met, approve for 12 months.</w:t>
            </w:r>
          </w:p>
        </w:tc>
      </w:tr>
    </w:tbl>
    <w:p w14:paraId="5FDBB38E" w14:textId="77777777" w:rsidR="009B5AA5" w:rsidRPr="00FA3F9C" w:rsidRDefault="009B5AA5" w:rsidP="006F623F">
      <w:pPr>
        <w:spacing w:after="0"/>
        <w:rPr>
          <w:rFonts w:ascii="Arial" w:hAnsi="Arial" w:cs="Arial"/>
          <w:b/>
          <w:sz w:val="24"/>
          <w:szCs w:val="24"/>
          <w:u w:val="single"/>
        </w:rPr>
      </w:pPr>
    </w:p>
    <w:p w14:paraId="0A8427C1" w14:textId="77777777" w:rsidR="009B5AA5" w:rsidRPr="00FA3F9C" w:rsidRDefault="009B5AA5" w:rsidP="006F623F">
      <w:pPr>
        <w:spacing w:after="0"/>
        <w:rPr>
          <w:rFonts w:ascii="Arial" w:hAnsi="Arial" w:cs="Arial"/>
          <w:sz w:val="24"/>
          <w:szCs w:val="24"/>
        </w:rPr>
      </w:pPr>
      <w:r w:rsidRPr="00FA3F9C">
        <w:rPr>
          <w:rFonts w:ascii="Arial" w:hAnsi="Arial" w:cs="Arial"/>
          <w:sz w:val="24"/>
          <w:szCs w:val="24"/>
        </w:rPr>
        <w:t xml:space="preserve">Quantity Limits:  </w:t>
      </w:r>
      <w:proofErr w:type="gramStart"/>
      <w:r w:rsidRPr="00FA3F9C">
        <w:rPr>
          <w:rFonts w:ascii="Arial" w:hAnsi="Arial" w:cs="Arial"/>
          <w:sz w:val="24"/>
          <w:szCs w:val="24"/>
        </w:rPr>
        <w:t>30 day</w:t>
      </w:r>
      <w:proofErr w:type="gramEnd"/>
      <w:r w:rsidRPr="00FA3F9C">
        <w:rPr>
          <w:rFonts w:ascii="Arial" w:hAnsi="Arial" w:cs="Arial"/>
          <w:sz w:val="24"/>
          <w:szCs w:val="24"/>
        </w:rPr>
        <w:t xml:space="preserve"> supply</w:t>
      </w:r>
    </w:p>
    <w:p w14:paraId="0AF5D070" w14:textId="77777777" w:rsidR="009B5AA5" w:rsidRPr="00FA3F9C" w:rsidRDefault="009B5AA5" w:rsidP="006F623F">
      <w:pPr>
        <w:spacing w:after="0"/>
        <w:rPr>
          <w:rFonts w:ascii="Arial" w:hAnsi="Arial" w:cs="Arial"/>
          <w:sz w:val="24"/>
          <w:szCs w:val="24"/>
        </w:rPr>
      </w:pPr>
    </w:p>
    <w:p w14:paraId="134A0A71" w14:textId="77777777" w:rsidR="009B5AA5" w:rsidRPr="00FA3F9C" w:rsidRDefault="009B5AA5"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418"/>
        <w:gridCol w:w="7470"/>
        <w:gridCol w:w="2538"/>
      </w:tblGrid>
      <w:tr w:rsidR="009B5AA5" w:rsidRPr="00FA3F9C" w14:paraId="1C79C981" w14:textId="77777777" w:rsidTr="00FE491B">
        <w:tc>
          <w:tcPr>
            <w:tcW w:w="1008" w:type="dxa"/>
          </w:tcPr>
          <w:p w14:paraId="1A7F5BE8" w14:textId="77777777" w:rsidR="009B5AA5" w:rsidRPr="00FA3F9C" w:rsidRDefault="009B5AA5" w:rsidP="006F623F">
            <w:pPr>
              <w:rPr>
                <w:rFonts w:ascii="Arial" w:hAnsi="Arial" w:cs="Arial"/>
                <w:sz w:val="24"/>
                <w:szCs w:val="24"/>
              </w:rPr>
            </w:pPr>
            <w:r w:rsidRPr="00FA3F9C">
              <w:rPr>
                <w:rFonts w:ascii="Arial" w:hAnsi="Arial" w:cs="Arial"/>
                <w:sz w:val="24"/>
                <w:szCs w:val="24"/>
              </w:rPr>
              <w:t>Date</w:t>
            </w:r>
          </w:p>
        </w:tc>
        <w:tc>
          <w:tcPr>
            <w:tcW w:w="7470" w:type="dxa"/>
          </w:tcPr>
          <w:p w14:paraId="22F5985E" w14:textId="77777777" w:rsidR="009B5AA5" w:rsidRPr="00FA3F9C" w:rsidRDefault="009B5AA5" w:rsidP="006F623F">
            <w:pPr>
              <w:rPr>
                <w:rFonts w:ascii="Arial" w:hAnsi="Arial" w:cs="Arial"/>
                <w:sz w:val="24"/>
                <w:szCs w:val="24"/>
              </w:rPr>
            </w:pPr>
            <w:r w:rsidRPr="00FA3F9C">
              <w:rPr>
                <w:rFonts w:ascii="Arial" w:hAnsi="Arial" w:cs="Arial"/>
                <w:sz w:val="24"/>
                <w:szCs w:val="24"/>
              </w:rPr>
              <w:t>What changed</w:t>
            </w:r>
          </w:p>
        </w:tc>
        <w:tc>
          <w:tcPr>
            <w:tcW w:w="2538" w:type="dxa"/>
          </w:tcPr>
          <w:p w14:paraId="42E313C2" w14:textId="77777777" w:rsidR="009B5AA5" w:rsidRPr="00FA3F9C" w:rsidRDefault="009B5AA5" w:rsidP="006F623F">
            <w:pPr>
              <w:rPr>
                <w:rFonts w:ascii="Arial" w:hAnsi="Arial" w:cs="Arial"/>
                <w:sz w:val="24"/>
                <w:szCs w:val="24"/>
              </w:rPr>
            </w:pPr>
            <w:r w:rsidRPr="00FA3F9C">
              <w:rPr>
                <w:rFonts w:ascii="Arial" w:hAnsi="Arial" w:cs="Arial"/>
                <w:sz w:val="24"/>
                <w:szCs w:val="24"/>
              </w:rPr>
              <w:t>Pharmacist’s initials</w:t>
            </w:r>
          </w:p>
        </w:tc>
      </w:tr>
      <w:tr w:rsidR="009B5AA5" w:rsidRPr="00FA3F9C" w14:paraId="2A213591" w14:textId="77777777" w:rsidTr="00FE491B">
        <w:tc>
          <w:tcPr>
            <w:tcW w:w="1008" w:type="dxa"/>
          </w:tcPr>
          <w:p w14:paraId="07340D0B" w14:textId="77777777" w:rsidR="009B5AA5" w:rsidRPr="00FA3F9C" w:rsidRDefault="009B5AA5" w:rsidP="006F623F">
            <w:pPr>
              <w:rPr>
                <w:rFonts w:ascii="Arial" w:hAnsi="Arial" w:cs="Arial"/>
                <w:sz w:val="24"/>
                <w:szCs w:val="24"/>
              </w:rPr>
            </w:pPr>
            <w:r w:rsidRPr="00FA3F9C">
              <w:rPr>
                <w:rFonts w:ascii="Arial" w:hAnsi="Arial" w:cs="Arial"/>
                <w:sz w:val="24"/>
                <w:szCs w:val="24"/>
              </w:rPr>
              <w:t>12/16/2021</w:t>
            </w:r>
          </w:p>
        </w:tc>
        <w:tc>
          <w:tcPr>
            <w:tcW w:w="7470" w:type="dxa"/>
          </w:tcPr>
          <w:p w14:paraId="72E514CB" w14:textId="77777777" w:rsidR="009B5AA5" w:rsidRPr="00FA3F9C" w:rsidRDefault="009B5AA5" w:rsidP="006F623F">
            <w:pPr>
              <w:rPr>
                <w:rFonts w:ascii="Arial" w:hAnsi="Arial" w:cs="Arial"/>
                <w:sz w:val="24"/>
                <w:szCs w:val="24"/>
              </w:rPr>
            </w:pPr>
            <w:r w:rsidRPr="00FA3F9C">
              <w:rPr>
                <w:rFonts w:ascii="Arial" w:hAnsi="Arial" w:cs="Arial"/>
                <w:sz w:val="24"/>
                <w:szCs w:val="24"/>
              </w:rPr>
              <w:t>Noted no criteria in PA folder. Criteria written.</w:t>
            </w:r>
          </w:p>
        </w:tc>
        <w:tc>
          <w:tcPr>
            <w:tcW w:w="2538" w:type="dxa"/>
          </w:tcPr>
          <w:p w14:paraId="595B999E" w14:textId="77777777" w:rsidR="009B5AA5" w:rsidRPr="00FA3F9C" w:rsidRDefault="009B5AA5" w:rsidP="006F623F">
            <w:pPr>
              <w:rPr>
                <w:rFonts w:ascii="Arial" w:hAnsi="Arial" w:cs="Arial"/>
                <w:sz w:val="24"/>
                <w:szCs w:val="24"/>
              </w:rPr>
            </w:pPr>
            <w:r w:rsidRPr="00FA3F9C">
              <w:rPr>
                <w:rFonts w:ascii="Arial" w:hAnsi="Arial" w:cs="Arial"/>
                <w:sz w:val="24"/>
                <w:szCs w:val="24"/>
              </w:rPr>
              <w:t>SK</w:t>
            </w:r>
          </w:p>
        </w:tc>
      </w:tr>
      <w:tr w:rsidR="009B5AA5" w:rsidRPr="00FA3F9C" w14:paraId="76354237" w14:textId="77777777" w:rsidTr="00FE491B">
        <w:tc>
          <w:tcPr>
            <w:tcW w:w="1008" w:type="dxa"/>
          </w:tcPr>
          <w:p w14:paraId="5710B61E" w14:textId="77777777" w:rsidR="009B5AA5" w:rsidRPr="00FA3F9C" w:rsidRDefault="009B5AA5" w:rsidP="006F623F">
            <w:pPr>
              <w:rPr>
                <w:rFonts w:ascii="Arial" w:hAnsi="Arial" w:cs="Arial"/>
                <w:sz w:val="24"/>
                <w:szCs w:val="24"/>
              </w:rPr>
            </w:pPr>
          </w:p>
        </w:tc>
        <w:tc>
          <w:tcPr>
            <w:tcW w:w="7470" w:type="dxa"/>
          </w:tcPr>
          <w:p w14:paraId="372790D0" w14:textId="77777777" w:rsidR="009B5AA5" w:rsidRPr="00FA3F9C" w:rsidRDefault="009B5AA5" w:rsidP="006F623F">
            <w:pPr>
              <w:rPr>
                <w:rFonts w:ascii="Arial" w:hAnsi="Arial" w:cs="Arial"/>
                <w:sz w:val="24"/>
                <w:szCs w:val="24"/>
              </w:rPr>
            </w:pPr>
          </w:p>
        </w:tc>
        <w:tc>
          <w:tcPr>
            <w:tcW w:w="2538" w:type="dxa"/>
          </w:tcPr>
          <w:p w14:paraId="03EB5555" w14:textId="77777777" w:rsidR="009B5AA5" w:rsidRPr="00FA3F9C" w:rsidRDefault="009B5AA5" w:rsidP="006F623F">
            <w:pPr>
              <w:rPr>
                <w:rFonts w:ascii="Arial" w:hAnsi="Arial" w:cs="Arial"/>
                <w:sz w:val="24"/>
                <w:szCs w:val="24"/>
              </w:rPr>
            </w:pPr>
          </w:p>
        </w:tc>
      </w:tr>
    </w:tbl>
    <w:p w14:paraId="743A3BDA" w14:textId="77777777" w:rsidR="009B5AA5" w:rsidRPr="00FA3F9C" w:rsidRDefault="009B5AA5" w:rsidP="006F623F">
      <w:pPr>
        <w:spacing w:after="0"/>
        <w:rPr>
          <w:rFonts w:ascii="Arial" w:hAnsi="Arial" w:cs="Arial"/>
          <w:sz w:val="24"/>
          <w:szCs w:val="24"/>
        </w:rPr>
      </w:pPr>
    </w:p>
    <w:p w14:paraId="195E88D2" w14:textId="209B58C1" w:rsidR="009B5AA5" w:rsidRDefault="009B5AA5" w:rsidP="00EF3B65">
      <w:pPr>
        <w:pStyle w:val="Heading2"/>
      </w:pPr>
      <w:bookmarkStart w:id="256" w:name="_Toc106369893"/>
      <w:r w:rsidRPr="00FA3F9C">
        <w:t>Peginterferon beta 1a (</w:t>
      </w:r>
      <w:proofErr w:type="spellStart"/>
      <w:r w:rsidRPr="00FA3F9C">
        <w:t>Plegridy</w:t>
      </w:r>
      <w:proofErr w:type="spellEnd"/>
      <w:r w:rsidRPr="00FA3F9C">
        <w:t>)</w:t>
      </w:r>
      <w:bookmarkEnd w:id="256"/>
    </w:p>
    <w:p w14:paraId="1C83C2B9" w14:textId="77777777" w:rsidR="00EF3B65" w:rsidRPr="00FA3F9C" w:rsidRDefault="00EF3B65" w:rsidP="00EF3B65">
      <w:pPr>
        <w:spacing w:after="0"/>
        <w:jc w:val="center"/>
        <w:rPr>
          <w:rFonts w:ascii="Arial" w:hAnsi="Arial" w:cs="Arial"/>
          <w:sz w:val="24"/>
          <w:szCs w:val="24"/>
        </w:rPr>
      </w:pPr>
      <w:r w:rsidRPr="00FA3F9C">
        <w:rPr>
          <w:rFonts w:ascii="Arial" w:hAnsi="Arial" w:cs="Arial"/>
          <w:sz w:val="24"/>
          <w:szCs w:val="24"/>
        </w:rPr>
        <w:t>EBRx PA Criteria</w:t>
      </w:r>
    </w:p>
    <w:p w14:paraId="02A8B065" w14:textId="77777777" w:rsidR="00EF3B65" w:rsidRPr="00FA3F9C" w:rsidRDefault="00EF3B65" w:rsidP="006F623F">
      <w:pPr>
        <w:spacing w:after="0"/>
        <w:jc w:val="center"/>
        <w:rPr>
          <w:rFonts w:ascii="Arial" w:hAnsi="Arial" w:cs="Arial"/>
          <w:sz w:val="24"/>
          <w:szCs w:val="24"/>
        </w:rPr>
      </w:pPr>
    </w:p>
    <w:p w14:paraId="5AB3A359" w14:textId="77777777" w:rsidR="009B5AA5" w:rsidRPr="00FA3F9C" w:rsidRDefault="009B5AA5" w:rsidP="006F623F">
      <w:pPr>
        <w:spacing w:after="0"/>
        <w:rPr>
          <w:rFonts w:ascii="Arial" w:hAnsi="Arial" w:cs="Arial"/>
          <w:b/>
          <w:sz w:val="24"/>
          <w:szCs w:val="24"/>
          <w:u w:val="single"/>
        </w:rPr>
      </w:pPr>
    </w:p>
    <w:p w14:paraId="388E7CFA" w14:textId="77777777" w:rsidR="009B5AA5" w:rsidRPr="00FA3F9C" w:rsidRDefault="009B5AA5"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treatment of patients with relapsing forms of multiple sclerosis</w:t>
      </w:r>
    </w:p>
    <w:tbl>
      <w:tblPr>
        <w:tblStyle w:val="TableGrid"/>
        <w:tblW w:w="0" w:type="auto"/>
        <w:tblLook w:val="04A0" w:firstRow="1" w:lastRow="0" w:firstColumn="1" w:lastColumn="0" w:noHBand="0" w:noVBand="1"/>
      </w:tblPr>
      <w:tblGrid>
        <w:gridCol w:w="8928"/>
        <w:gridCol w:w="2088"/>
      </w:tblGrid>
      <w:tr w:rsidR="009B5AA5" w:rsidRPr="00FA3F9C" w14:paraId="0A92CA78" w14:textId="77777777" w:rsidTr="00571CAB">
        <w:tc>
          <w:tcPr>
            <w:tcW w:w="8928" w:type="dxa"/>
            <w:shd w:val="clear" w:color="auto" w:fill="000000"/>
          </w:tcPr>
          <w:p w14:paraId="4D5D4F06" w14:textId="77777777" w:rsidR="009B5AA5" w:rsidRPr="00FA3F9C" w:rsidRDefault="009B5AA5"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88" w:type="dxa"/>
            <w:shd w:val="clear" w:color="auto" w:fill="000000"/>
          </w:tcPr>
          <w:p w14:paraId="0FAD689B" w14:textId="77777777" w:rsidR="009B5AA5" w:rsidRPr="00FA3F9C" w:rsidRDefault="009B5AA5" w:rsidP="006F623F">
            <w:pPr>
              <w:jc w:val="center"/>
              <w:rPr>
                <w:rFonts w:ascii="Arial" w:hAnsi="Arial" w:cs="Arial"/>
                <w:b/>
                <w:sz w:val="24"/>
                <w:szCs w:val="24"/>
                <w:u w:val="single"/>
              </w:rPr>
            </w:pPr>
          </w:p>
        </w:tc>
      </w:tr>
      <w:tr w:rsidR="009B5AA5" w:rsidRPr="00FA3F9C" w14:paraId="651BD683" w14:textId="77777777" w:rsidTr="00853A54">
        <w:tc>
          <w:tcPr>
            <w:tcW w:w="11016" w:type="dxa"/>
            <w:gridSpan w:val="2"/>
          </w:tcPr>
          <w:p w14:paraId="3C6E0DFF" w14:textId="77777777" w:rsidR="009B5AA5" w:rsidRPr="00FA3F9C" w:rsidRDefault="009B5AA5" w:rsidP="006F623F">
            <w:pPr>
              <w:rPr>
                <w:rFonts w:ascii="Arial" w:hAnsi="Arial" w:cs="Arial"/>
                <w:sz w:val="24"/>
                <w:szCs w:val="24"/>
              </w:rPr>
            </w:pPr>
            <w:r w:rsidRPr="00FA3F9C">
              <w:rPr>
                <w:rFonts w:ascii="Arial" w:hAnsi="Arial" w:cs="Arial"/>
                <w:sz w:val="24"/>
                <w:szCs w:val="24"/>
              </w:rPr>
              <w:t xml:space="preserve">1.  The patient must have a diagnosis of a </w:t>
            </w:r>
            <w:r w:rsidRPr="00FA3F9C">
              <w:rPr>
                <w:rFonts w:ascii="Arial" w:hAnsi="Arial" w:cs="Arial"/>
                <w:b/>
                <w:sz w:val="24"/>
                <w:szCs w:val="24"/>
              </w:rPr>
              <w:t>relapsing form</w:t>
            </w:r>
            <w:r w:rsidRPr="00FA3F9C">
              <w:rPr>
                <w:rFonts w:ascii="Arial" w:hAnsi="Arial" w:cs="Arial"/>
                <w:sz w:val="24"/>
                <w:szCs w:val="24"/>
              </w:rPr>
              <w:t xml:space="preserve"> of multiple sclerosis.</w:t>
            </w:r>
          </w:p>
        </w:tc>
      </w:tr>
      <w:tr w:rsidR="009B5AA5" w:rsidRPr="00FA3F9C" w14:paraId="6446C8A3" w14:textId="77777777" w:rsidTr="00853A54">
        <w:tc>
          <w:tcPr>
            <w:tcW w:w="11016" w:type="dxa"/>
            <w:gridSpan w:val="2"/>
          </w:tcPr>
          <w:p w14:paraId="7801487D" w14:textId="77777777" w:rsidR="009B5AA5" w:rsidRPr="00FA3F9C" w:rsidRDefault="009B5AA5" w:rsidP="006F623F">
            <w:pPr>
              <w:rPr>
                <w:rFonts w:ascii="Arial" w:hAnsi="Arial" w:cs="Arial"/>
                <w:sz w:val="24"/>
                <w:szCs w:val="24"/>
              </w:rPr>
            </w:pPr>
            <w:r w:rsidRPr="00FA3F9C">
              <w:rPr>
                <w:rFonts w:ascii="Arial" w:hAnsi="Arial" w:cs="Arial"/>
                <w:sz w:val="24"/>
                <w:szCs w:val="24"/>
              </w:rPr>
              <w:t>2. The patient must be receiving no other interferons, or MS disease-modifying drugs (no data).</w:t>
            </w:r>
          </w:p>
        </w:tc>
      </w:tr>
    </w:tbl>
    <w:p w14:paraId="0A8BFE58" w14:textId="77777777" w:rsidR="009B5AA5" w:rsidRPr="00FA3F9C" w:rsidRDefault="009B5AA5" w:rsidP="006F623F">
      <w:pPr>
        <w:spacing w:after="0"/>
        <w:rPr>
          <w:rFonts w:ascii="Arial" w:hAnsi="Arial" w:cs="Arial"/>
          <w:b/>
          <w:sz w:val="24"/>
          <w:szCs w:val="24"/>
          <w:u w:val="single"/>
        </w:rPr>
      </w:pPr>
    </w:p>
    <w:tbl>
      <w:tblPr>
        <w:tblStyle w:val="TableGrid"/>
        <w:tblW w:w="0" w:type="auto"/>
        <w:shd w:val="clear" w:color="auto" w:fill="BFBFBF" w:themeFill="background1" w:themeFillShade="BF"/>
        <w:tblLook w:val="04A0" w:firstRow="1" w:lastRow="0" w:firstColumn="1" w:lastColumn="0" w:noHBand="0" w:noVBand="1"/>
      </w:tblPr>
      <w:tblGrid>
        <w:gridCol w:w="10998"/>
      </w:tblGrid>
      <w:tr w:rsidR="009B5AA5" w:rsidRPr="00FA3F9C" w14:paraId="6EBEF68F" w14:textId="77777777" w:rsidTr="00D82B6E">
        <w:tc>
          <w:tcPr>
            <w:tcW w:w="10998" w:type="dxa"/>
            <w:shd w:val="clear" w:color="auto" w:fill="BFBFBF" w:themeFill="background1" w:themeFillShade="BF"/>
          </w:tcPr>
          <w:p w14:paraId="37A92360" w14:textId="77777777" w:rsidR="009B5AA5" w:rsidRPr="00FA3F9C" w:rsidRDefault="009B5AA5" w:rsidP="00D82B6E">
            <w:pPr>
              <w:rPr>
                <w:rFonts w:ascii="Arial" w:hAnsi="Arial" w:cs="Arial"/>
                <w:sz w:val="24"/>
                <w:szCs w:val="24"/>
              </w:rPr>
            </w:pPr>
            <w:r w:rsidRPr="00FA3F9C">
              <w:rPr>
                <w:rFonts w:ascii="Arial" w:hAnsi="Arial" w:cs="Arial"/>
                <w:sz w:val="24"/>
                <w:szCs w:val="24"/>
              </w:rPr>
              <w:t xml:space="preserve">Note: The dosing is SC.  Initial 63mcg on day 1, 94mcg on day 15.  Then maintenance dosing is 125mcg every 14 days beginning on day 29.  </w:t>
            </w:r>
          </w:p>
        </w:tc>
      </w:tr>
      <w:tr w:rsidR="009B5AA5" w:rsidRPr="00FA3F9C" w14:paraId="0AACBA68" w14:textId="77777777" w:rsidTr="00D82B6E">
        <w:tc>
          <w:tcPr>
            <w:tcW w:w="10998" w:type="dxa"/>
            <w:shd w:val="clear" w:color="auto" w:fill="BFBFBF" w:themeFill="background1" w:themeFillShade="BF"/>
          </w:tcPr>
          <w:p w14:paraId="2F05C03D" w14:textId="77777777" w:rsidR="009B5AA5" w:rsidRPr="00FA3F9C" w:rsidRDefault="009B5AA5" w:rsidP="00D82B6E">
            <w:pPr>
              <w:rPr>
                <w:rFonts w:ascii="Arial" w:hAnsi="Arial" w:cs="Arial"/>
                <w:sz w:val="24"/>
                <w:szCs w:val="24"/>
              </w:rPr>
            </w:pPr>
            <w:r w:rsidRPr="00FA3F9C">
              <w:rPr>
                <w:rFonts w:ascii="Arial" w:hAnsi="Arial" w:cs="Arial"/>
                <w:sz w:val="24"/>
                <w:szCs w:val="24"/>
              </w:rPr>
              <w:t>The maximum dose is 125mcg every 14 days.  This is also the quantity limit.</w:t>
            </w:r>
          </w:p>
        </w:tc>
      </w:tr>
    </w:tbl>
    <w:p w14:paraId="1F77DDE2" w14:textId="77777777" w:rsidR="009B5AA5" w:rsidRPr="00FA3F9C" w:rsidRDefault="009B5AA5" w:rsidP="006F623F">
      <w:pPr>
        <w:spacing w:after="0"/>
        <w:rPr>
          <w:rFonts w:ascii="Arial" w:hAnsi="Arial" w:cs="Arial"/>
          <w:sz w:val="24"/>
          <w:szCs w:val="24"/>
        </w:rPr>
      </w:pPr>
    </w:p>
    <w:p w14:paraId="5487E01F" w14:textId="77777777" w:rsidR="009B5AA5" w:rsidRPr="00FA3F9C" w:rsidRDefault="009B5AA5" w:rsidP="006F623F">
      <w:pPr>
        <w:spacing w:after="0"/>
        <w:rPr>
          <w:rFonts w:ascii="Arial" w:hAnsi="Arial" w:cs="Arial"/>
          <w:sz w:val="24"/>
          <w:szCs w:val="24"/>
        </w:rPr>
      </w:pPr>
      <w:r w:rsidRPr="00FA3F9C">
        <w:rPr>
          <w:rFonts w:ascii="Arial" w:hAnsi="Arial" w:cs="Arial"/>
          <w:sz w:val="24"/>
          <w:szCs w:val="24"/>
        </w:rPr>
        <w:t>Reference:</w:t>
      </w:r>
    </w:p>
    <w:p w14:paraId="7BADE7DD" w14:textId="77777777" w:rsidR="009B5AA5" w:rsidRPr="00FA3F9C" w:rsidRDefault="009B5AA5" w:rsidP="00853A54">
      <w:pPr>
        <w:spacing w:after="0"/>
        <w:rPr>
          <w:rFonts w:ascii="Arial" w:hAnsi="Arial" w:cs="Arial"/>
          <w:b/>
          <w:i/>
          <w:sz w:val="24"/>
          <w:szCs w:val="24"/>
        </w:rPr>
      </w:pPr>
      <w:r w:rsidRPr="00FA3F9C">
        <w:rPr>
          <w:rFonts w:ascii="Arial" w:hAnsi="Arial" w:cs="Arial"/>
          <w:b/>
          <w:i/>
          <w:sz w:val="24"/>
          <w:szCs w:val="24"/>
        </w:rPr>
        <w:t xml:space="preserve">Tolley K, Hutchinson M, You X, Wang P, et al.  A network </w:t>
      </w:r>
      <w:proofErr w:type="spellStart"/>
      <w:proofErr w:type="gramStart"/>
      <w:r w:rsidRPr="00FA3F9C">
        <w:rPr>
          <w:rFonts w:ascii="Arial" w:hAnsi="Arial" w:cs="Arial"/>
          <w:b/>
          <w:i/>
          <w:sz w:val="24"/>
          <w:szCs w:val="24"/>
        </w:rPr>
        <w:t>meta analysis</w:t>
      </w:r>
      <w:proofErr w:type="spellEnd"/>
      <w:proofErr w:type="gramEnd"/>
      <w:r w:rsidRPr="00FA3F9C">
        <w:rPr>
          <w:rFonts w:ascii="Arial" w:hAnsi="Arial" w:cs="Arial"/>
          <w:b/>
          <w:i/>
          <w:sz w:val="24"/>
          <w:szCs w:val="24"/>
        </w:rPr>
        <w:t xml:space="preserve"> of efficacy and evaluation of safety of subcutaneous pegylated interferon beta-1a versus other injectable therapies for the treatment of RRMS.  </w:t>
      </w:r>
      <w:proofErr w:type="spellStart"/>
      <w:r w:rsidRPr="00FA3F9C">
        <w:rPr>
          <w:rFonts w:ascii="Arial" w:hAnsi="Arial" w:cs="Arial"/>
          <w:b/>
          <w:i/>
          <w:sz w:val="24"/>
          <w:szCs w:val="24"/>
        </w:rPr>
        <w:t>PLoS</w:t>
      </w:r>
      <w:proofErr w:type="spellEnd"/>
      <w:r w:rsidRPr="00FA3F9C">
        <w:rPr>
          <w:rFonts w:ascii="Arial" w:hAnsi="Arial" w:cs="Arial"/>
          <w:b/>
          <w:i/>
          <w:sz w:val="24"/>
          <w:szCs w:val="24"/>
        </w:rPr>
        <w:t xml:space="preserve"> ONE 10(6):e0127960.doi:10.1371/journal.pone.0127960.  Published June 3, 2015.</w:t>
      </w:r>
    </w:p>
    <w:p w14:paraId="59A50AFC" w14:textId="77777777" w:rsidR="009B5AA5" w:rsidRPr="00FA3F9C" w:rsidRDefault="009B5AA5" w:rsidP="006F623F">
      <w:pPr>
        <w:spacing w:after="0"/>
        <w:rPr>
          <w:rFonts w:ascii="Arial" w:hAnsi="Arial" w:cs="Arial"/>
          <w:sz w:val="24"/>
          <w:szCs w:val="24"/>
        </w:rPr>
      </w:pPr>
    </w:p>
    <w:p w14:paraId="2BA34F92" w14:textId="77777777" w:rsidR="009B5AA5" w:rsidRPr="00FA3F9C" w:rsidRDefault="009B5AA5" w:rsidP="006F623F">
      <w:pPr>
        <w:spacing w:after="0"/>
        <w:rPr>
          <w:rFonts w:ascii="Arial" w:hAnsi="Arial" w:cs="Arial"/>
          <w:sz w:val="24"/>
          <w:szCs w:val="24"/>
        </w:rPr>
      </w:pPr>
    </w:p>
    <w:p w14:paraId="33306EB4" w14:textId="77777777" w:rsidR="009B5AA5" w:rsidRPr="00FA3F9C" w:rsidRDefault="009B5AA5" w:rsidP="006F623F">
      <w:pPr>
        <w:spacing w:after="0"/>
        <w:rPr>
          <w:rFonts w:ascii="Arial" w:hAnsi="Arial" w:cs="Arial"/>
          <w:sz w:val="24"/>
          <w:szCs w:val="24"/>
        </w:rPr>
      </w:pPr>
    </w:p>
    <w:p w14:paraId="6413C0FC" w14:textId="77777777" w:rsidR="009B5AA5" w:rsidRPr="00FA3F9C" w:rsidRDefault="009B5AA5"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284"/>
        <w:gridCol w:w="7470"/>
        <w:gridCol w:w="2538"/>
      </w:tblGrid>
      <w:tr w:rsidR="009B5AA5" w:rsidRPr="00FA3F9C" w14:paraId="3E35CA6D" w14:textId="77777777" w:rsidTr="00FE491B">
        <w:tc>
          <w:tcPr>
            <w:tcW w:w="1008" w:type="dxa"/>
          </w:tcPr>
          <w:p w14:paraId="64DF7C54" w14:textId="77777777" w:rsidR="009B5AA5" w:rsidRPr="00FA3F9C" w:rsidRDefault="009B5AA5" w:rsidP="006F623F">
            <w:pPr>
              <w:rPr>
                <w:rFonts w:ascii="Arial" w:hAnsi="Arial" w:cs="Arial"/>
                <w:sz w:val="24"/>
                <w:szCs w:val="24"/>
              </w:rPr>
            </w:pPr>
            <w:r w:rsidRPr="00FA3F9C">
              <w:rPr>
                <w:rFonts w:ascii="Arial" w:hAnsi="Arial" w:cs="Arial"/>
                <w:sz w:val="24"/>
                <w:szCs w:val="24"/>
              </w:rPr>
              <w:t>Date</w:t>
            </w:r>
          </w:p>
        </w:tc>
        <w:tc>
          <w:tcPr>
            <w:tcW w:w="7470" w:type="dxa"/>
          </w:tcPr>
          <w:p w14:paraId="6CB19B39" w14:textId="77777777" w:rsidR="009B5AA5" w:rsidRPr="00FA3F9C" w:rsidRDefault="009B5AA5" w:rsidP="006F623F">
            <w:pPr>
              <w:rPr>
                <w:rFonts w:ascii="Arial" w:hAnsi="Arial" w:cs="Arial"/>
                <w:sz w:val="24"/>
                <w:szCs w:val="24"/>
              </w:rPr>
            </w:pPr>
            <w:r w:rsidRPr="00FA3F9C">
              <w:rPr>
                <w:rFonts w:ascii="Arial" w:hAnsi="Arial" w:cs="Arial"/>
                <w:sz w:val="24"/>
                <w:szCs w:val="24"/>
              </w:rPr>
              <w:t>What changed</w:t>
            </w:r>
          </w:p>
        </w:tc>
        <w:tc>
          <w:tcPr>
            <w:tcW w:w="2538" w:type="dxa"/>
          </w:tcPr>
          <w:p w14:paraId="749CCB72" w14:textId="77777777" w:rsidR="009B5AA5" w:rsidRPr="00FA3F9C" w:rsidRDefault="009B5AA5" w:rsidP="006F623F">
            <w:pPr>
              <w:rPr>
                <w:rFonts w:ascii="Arial" w:hAnsi="Arial" w:cs="Arial"/>
                <w:sz w:val="24"/>
                <w:szCs w:val="24"/>
              </w:rPr>
            </w:pPr>
            <w:r w:rsidRPr="00FA3F9C">
              <w:rPr>
                <w:rFonts w:ascii="Arial" w:hAnsi="Arial" w:cs="Arial"/>
                <w:sz w:val="24"/>
                <w:szCs w:val="24"/>
              </w:rPr>
              <w:t>Pharmacist’s initials</w:t>
            </w:r>
          </w:p>
        </w:tc>
      </w:tr>
      <w:tr w:rsidR="009B5AA5" w:rsidRPr="00FA3F9C" w14:paraId="2F071F5F" w14:textId="77777777" w:rsidTr="00FE491B">
        <w:tc>
          <w:tcPr>
            <w:tcW w:w="1008" w:type="dxa"/>
          </w:tcPr>
          <w:p w14:paraId="30A394BC" w14:textId="77777777" w:rsidR="009B5AA5" w:rsidRPr="00FA3F9C" w:rsidRDefault="009B5AA5" w:rsidP="006F623F">
            <w:pPr>
              <w:rPr>
                <w:rFonts w:ascii="Arial" w:hAnsi="Arial" w:cs="Arial"/>
                <w:sz w:val="24"/>
                <w:szCs w:val="24"/>
              </w:rPr>
            </w:pPr>
            <w:r w:rsidRPr="00FA3F9C">
              <w:rPr>
                <w:rFonts w:ascii="Arial" w:hAnsi="Arial" w:cs="Arial"/>
                <w:sz w:val="24"/>
                <w:szCs w:val="24"/>
              </w:rPr>
              <w:t>3/8/17</w:t>
            </w:r>
          </w:p>
        </w:tc>
        <w:tc>
          <w:tcPr>
            <w:tcW w:w="7470" w:type="dxa"/>
          </w:tcPr>
          <w:p w14:paraId="0E8DC1AC" w14:textId="77777777" w:rsidR="009B5AA5" w:rsidRPr="00FA3F9C" w:rsidRDefault="009B5AA5" w:rsidP="00853A54">
            <w:pPr>
              <w:rPr>
                <w:rFonts w:ascii="Arial" w:hAnsi="Arial" w:cs="Arial"/>
                <w:b/>
                <w:sz w:val="24"/>
                <w:szCs w:val="24"/>
              </w:rPr>
            </w:pPr>
            <w:r w:rsidRPr="00FA3F9C">
              <w:rPr>
                <w:rFonts w:ascii="Arial" w:hAnsi="Arial" w:cs="Arial"/>
                <w:sz w:val="24"/>
                <w:szCs w:val="24"/>
              </w:rPr>
              <w:t xml:space="preserve">I wrote the criteria.  </w:t>
            </w:r>
            <w:r w:rsidRPr="00FA3F9C">
              <w:rPr>
                <w:rFonts w:ascii="Arial" w:hAnsi="Arial" w:cs="Arial"/>
                <w:b/>
                <w:sz w:val="24"/>
                <w:szCs w:val="24"/>
              </w:rPr>
              <w:t xml:space="preserve">In 11/2014, the committee voted to exclude </w:t>
            </w:r>
            <w:proofErr w:type="spellStart"/>
            <w:r w:rsidRPr="00FA3F9C">
              <w:rPr>
                <w:rFonts w:ascii="Arial" w:hAnsi="Arial" w:cs="Arial"/>
                <w:b/>
                <w:sz w:val="24"/>
                <w:szCs w:val="24"/>
              </w:rPr>
              <w:t>Plegridy</w:t>
            </w:r>
            <w:proofErr w:type="spellEnd"/>
            <w:r w:rsidRPr="00FA3F9C">
              <w:rPr>
                <w:rFonts w:ascii="Arial" w:hAnsi="Arial" w:cs="Arial"/>
                <w:b/>
                <w:sz w:val="24"/>
                <w:szCs w:val="24"/>
              </w:rPr>
              <w:t xml:space="preserve"> due to lack of comparative evidence.  A newer network meta-analysis provides this evidence and shows that in RRMS patients, the product peginterferon beta 1A (</w:t>
            </w:r>
            <w:proofErr w:type="spellStart"/>
            <w:r w:rsidRPr="00FA3F9C">
              <w:rPr>
                <w:rFonts w:ascii="Arial" w:hAnsi="Arial" w:cs="Arial"/>
                <w:b/>
                <w:sz w:val="24"/>
                <w:szCs w:val="24"/>
              </w:rPr>
              <w:t>Plegridy</w:t>
            </w:r>
            <w:proofErr w:type="spellEnd"/>
            <w:r w:rsidRPr="00FA3F9C">
              <w:rPr>
                <w:rFonts w:ascii="Arial" w:hAnsi="Arial" w:cs="Arial"/>
                <w:b/>
                <w:sz w:val="24"/>
                <w:szCs w:val="24"/>
              </w:rPr>
              <w:t xml:space="preserve">) provides similar efficacy for annualized relapse rate, 3- and 6-month confirmed disability progression when compared indirectly to Avonex 30ugQW, </w:t>
            </w:r>
            <w:proofErr w:type="spellStart"/>
            <w:r w:rsidRPr="00FA3F9C">
              <w:rPr>
                <w:rFonts w:ascii="Arial" w:hAnsi="Arial" w:cs="Arial"/>
                <w:b/>
                <w:sz w:val="24"/>
                <w:szCs w:val="24"/>
              </w:rPr>
              <w:t>Betaseron</w:t>
            </w:r>
            <w:proofErr w:type="spellEnd"/>
            <w:r w:rsidRPr="00FA3F9C">
              <w:rPr>
                <w:rFonts w:ascii="Arial" w:hAnsi="Arial" w:cs="Arial"/>
                <w:b/>
                <w:sz w:val="24"/>
                <w:szCs w:val="24"/>
              </w:rPr>
              <w:t xml:space="preserve"> 250ug QOD, Rebif 44ug TIW, and Copaxone 20mg QD.  The injecting fatigue is less than the others while the injection site reactions are more frequent with </w:t>
            </w:r>
            <w:proofErr w:type="spellStart"/>
            <w:r w:rsidRPr="00FA3F9C">
              <w:rPr>
                <w:rFonts w:ascii="Arial" w:hAnsi="Arial" w:cs="Arial"/>
                <w:b/>
                <w:sz w:val="24"/>
                <w:szCs w:val="24"/>
              </w:rPr>
              <w:t>Plegridy</w:t>
            </w:r>
            <w:proofErr w:type="spellEnd"/>
            <w:r w:rsidRPr="00FA3F9C">
              <w:rPr>
                <w:rFonts w:ascii="Arial" w:hAnsi="Arial" w:cs="Arial"/>
                <w:b/>
                <w:sz w:val="24"/>
                <w:szCs w:val="24"/>
              </w:rPr>
              <w:t xml:space="preserve">.  The limitations regarding this paper are that it was authored by </w:t>
            </w:r>
            <w:proofErr w:type="spellStart"/>
            <w:r w:rsidRPr="00FA3F9C">
              <w:rPr>
                <w:rFonts w:ascii="Arial" w:hAnsi="Arial" w:cs="Arial"/>
                <w:b/>
                <w:sz w:val="24"/>
                <w:szCs w:val="24"/>
              </w:rPr>
              <w:t>Plegridy</w:t>
            </w:r>
            <w:proofErr w:type="spellEnd"/>
            <w:r w:rsidRPr="00FA3F9C">
              <w:rPr>
                <w:rFonts w:ascii="Arial" w:hAnsi="Arial" w:cs="Arial"/>
                <w:b/>
                <w:sz w:val="24"/>
                <w:szCs w:val="24"/>
              </w:rPr>
              <w:t xml:space="preserve"> makers, it is an indirect comparison that included RCTs with different durations, and inherent differences between trials and populations exist.</w:t>
            </w:r>
          </w:p>
          <w:p w14:paraId="6F4BA0FF" w14:textId="77777777" w:rsidR="009B5AA5" w:rsidRPr="00FA3F9C" w:rsidRDefault="009B5AA5" w:rsidP="006F623F">
            <w:pPr>
              <w:rPr>
                <w:rFonts w:ascii="Arial" w:hAnsi="Arial" w:cs="Arial"/>
                <w:sz w:val="24"/>
                <w:szCs w:val="24"/>
              </w:rPr>
            </w:pPr>
          </w:p>
        </w:tc>
        <w:tc>
          <w:tcPr>
            <w:tcW w:w="2538" w:type="dxa"/>
          </w:tcPr>
          <w:p w14:paraId="436C5BB6" w14:textId="77777777" w:rsidR="009B5AA5" w:rsidRPr="00FA3F9C" w:rsidRDefault="009B5AA5" w:rsidP="006F623F">
            <w:pPr>
              <w:rPr>
                <w:rFonts w:ascii="Arial" w:hAnsi="Arial" w:cs="Arial"/>
                <w:sz w:val="24"/>
                <w:szCs w:val="24"/>
              </w:rPr>
            </w:pPr>
            <w:r w:rsidRPr="00FA3F9C">
              <w:rPr>
                <w:rFonts w:ascii="Arial" w:hAnsi="Arial" w:cs="Arial"/>
                <w:sz w:val="24"/>
                <w:szCs w:val="24"/>
              </w:rPr>
              <w:t>JJ</w:t>
            </w:r>
          </w:p>
        </w:tc>
      </w:tr>
      <w:tr w:rsidR="009B5AA5" w:rsidRPr="00FA3F9C" w14:paraId="57873AF7" w14:textId="77777777" w:rsidTr="00FE491B">
        <w:tc>
          <w:tcPr>
            <w:tcW w:w="1008" w:type="dxa"/>
          </w:tcPr>
          <w:p w14:paraId="3F4B5993" w14:textId="77777777" w:rsidR="009B5AA5" w:rsidRPr="00FA3F9C" w:rsidRDefault="009B5AA5" w:rsidP="006F623F">
            <w:pPr>
              <w:rPr>
                <w:rFonts w:ascii="Arial" w:hAnsi="Arial" w:cs="Arial"/>
                <w:sz w:val="24"/>
                <w:szCs w:val="24"/>
              </w:rPr>
            </w:pPr>
            <w:r w:rsidRPr="00FA3F9C">
              <w:rPr>
                <w:rFonts w:ascii="Arial" w:hAnsi="Arial" w:cs="Arial"/>
                <w:sz w:val="24"/>
                <w:szCs w:val="24"/>
              </w:rPr>
              <w:t>8/12/2020</w:t>
            </w:r>
          </w:p>
        </w:tc>
        <w:tc>
          <w:tcPr>
            <w:tcW w:w="7470" w:type="dxa"/>
          </w:tcPr>
          <w:p w14:paraId="48B842FB" w14:textId="77777777" w:rsidR="009B5AA5" w:rsidRPr="00FA3F9C" w:rsidRDefault="009B5AA5" w:rsidP="006F623F">
            <w:pPr>
              <w:rPr>
                <w:rFonts w:ascii="Arial" w:hAnsi="Arial" w:cs="Arial"/>
                <w:sz w:val="24"/>
                <w:szCs w:val="24"/>
              </w:rPr>
            </w:pPr>
            <w:r w:rsidRPr="00FA3F9C">
              <w:rPr>
                <w:rFonts w:ascii="Arial" w:hAnsi="Arial" w:cs="Arial"/>
                <w:sz w:val="24"/>
                <w:szCs w:val="24"/>
              </w:rPr>
              <w:t>I added the no concurrent MS disease-modifying drugs due to no data on combination therapy.</w:t>
            </w:r>
          </w:p>
        </w:tc>
        <w:tc>
          <w:tcPr>
            <w:tcW w:w="2538" w:type="dxa"/>
          </w:tcPr>
          <w:p w14:paraId="5FEE6435" w14:textId="77777777" w:rsidR="009B5AA5" w:rsidRPr="00FA3F9C" w:rsidRDefault="009B5AA5" w:rsidP="006F623F">
            <w:pPr>
              <w:rPr>
                <w:rFonts w:ascii="Arial" w:hAnsi="Arial" w:cs="Arial"/>
                <w:sz w:val="24"/>
                <w:szCs w:val="24"/>
              </w:rPr>
            </w:pPr>
            <w:r w:rsidRPr="00FA3F9C">
              <w:rPr>
                <w:rFonts w:ascii="Arial" w:hAnsi="Arial" w:cs="Arial"/>
                <w:sz w:val="24"/>
                <w:szCs w:val="24"/>
              </w:rPr>
              <w:t>JJ</w:t>
            </w:r>
          </w:p>
        </w:tc>
      </w:tr>
      <w:tr w:rsidR="009B5AA5" w:rsidRPr="00FA3F9C" w14:paraId="43E32E6E" w14:textId="77777777" w:rsidTr="00FE491B">
        <w:tc>
          <w:tcPr>
            <w:tcW w:w="1008" w:type="dxa"/>
          </w:tcPr>
          <w:p w14:paraId="79EDFD47" w14:textId="77777777" w:rsidR="009B5AA5" w:rsidRPr="00FA3F9C" w:rsidRDefault="009B5AA5" w:rsidP="006F623F">
            <w:pPr>
              <w:rPr>
                <w:rFonts w:ascii="Arial" w:hAnsi="Arial" w:cs="Arial"/>
                <w:sz w:val="24"/>
                <w:szCs w:val="24"/>
              </w:rPr>
            </w:pPr>
            <w:r w:rsidRPr="00FA3F9C">
              <w:rPr>
                <w:rFonts w:ascii="Arial" w:hAnsi="Arial" w:cs="Arial"/>
                <w:sz w:val="24"/>
                <w:szCs w:val="24"/>
              </w:rPr>
              <w:t>4/7/21</w:t>
            </w:r>
          </w:p>
        </w:tc>
        <w:tc>
          <w:tcPr>
            <w:tcW w:w="7470" w:type="dxa"/>
          </w:tcPr>
          <w:p w14:paraId="3A1A8E0C" w14:textId="77777777" w:rsidR="009B5AA5" w:rsidRPr="00FA3F9C" w:rsidRDefault="009B5AA5" w:rsidP="006F623F">
            <w:pPr>
              <w:rPr>
                <w:rFonts w:ascii="Arial" w:hAnsi="Arial" w:cs="Arial"/>
                <w:sz w:val="24"/>
                <w:szCs w:val="24"/>
              </w:rPr>
            </w:pPr>
            <w:r w:rsidRPr="00FA3F9C">
              <w:rPr>
                <w:rFonts w:ascii="Arial" w:hAnsi="Arial" w:cs="Arial"/>
                <w:sz w:val="24"/>
                <w:szCs w:val="24"/>
              </w:rPr>
              <w:t>Applied EBRx criteria to UAS plan</w:t>
            </w:r>
          </w:p>
        </w:tc>
        <w:tc>
          <w:tcPr>
            <w:tcW w:w="2538" w:type="dxa"/>
          </w:tcPr>
          <w:p w14:paraId="27C82293" w14:textId="77777777" w:rsidR="009B5AA5" w:rsidRPr="00FA3F9C" w:rsidRDefault="009B5AA5" w:rsidP="006F623F">
            <w:pPr>
              <w:rPr>
                <w:rFonts w:ascii="Arial" w:hAnsi="Arial" w:cs="Arial"/>
                <w:sz w:val="24"/>
                <w:szCs w:val="24"/>
              </w:rPr>
            </w:pPr>
            <w:r w:rsidRPr="00FA3F9C">
              <w:rPr>
                <w:rFonts w:ascii="Arial" w:hAnsi="Arial" w:cs="Arial"/>
                <w:sz w:val="24"/>
                <w:szCs w:val="24"/>
              </w:rPr>
              <w:t>JJ</w:t>
            </w:r>
          </w:p>
        </w:tc>
      </w:tr>
    </w:tbl>
    <w:p w14:paraId="7D79014E" w14:textId="77777777" w:rsidR="009B5AA5" w:rsidRPr="00FA3F9C" w:rsidRDefault="009B5AA5" w:rsidP="006F623F">
      <w:pPr>
        <w:spacing w:after="0"/>
        <w:rPr>
          <w:rFonts w:ascii="Arial" w:hAnsi="Arial" w:cs="Arial"/>
          <w:sz w:val="24"/>
          <w:szCs w:val="24"/>
        </w:rPr>
      </w:pPr>
    </w:p>
    <w:p w14:paraId="433788A8" w14:textId="77777777" w:rsidR="002D375E" w:rsidRDefault="009B5AA5" w:rsidP="002D375E">
      <w:pPr>
        <w:pStyle w:val="Heading2"/>
      </w:pPr>
      <w:bookmarkStart w:id="257" w:name="_Toc106369894"/>
      <w:proofErr w:type="spellStart"/>
      <w:r w:rsidRPr="00FA3F9C">
        <w:lastRenderedPageBreak/>
        <w:t>Pegvisomant</w:t>
      </w:r>
      <w:proofErr w:type="spellEnd"/>
      <w:r w:rsidRPr="00FA3F9C">
        <w:t xml:space="preserve"> (</w:t>
      </w:r>
      <w:proofErr w:type="spellStart"/>
      <w:r w:rsidRPr="00FA3F9C">
        <w:t>Somavert</w:t>
      </w:r>
      <w:proofErr w:type="spellEnd"/>
      <w:r w:rsidRPr="00FA3F9C">
        <w:t>)</w:t>
      </w:r>
      <w:bookmarkEnd w:id="257"/>
      <w:r w:rsidRPr="00FA3F9C">
        <w:t xml:space="preserve"> </w:t>
      </w:r>
    </w:p>
    <w:p w14:paraId="0DB22B7E" w14:textId="5C6B2118" w:rsidR="009B5AA5" w:rsidRPr="00FA3F9C" w:rsidRDefault="009B5AA5" w:rsidP="00B50482">
      <w:pPr>
        <w:spacing w:after="0"/>
        <w:jc w:val="center"/>
        <w:rPr>
          <w:rFonts w:ascii="Arial" w:hAnsi="Arial" w:cs="Arial"/>
          <w:b/>
          <w:sz w:val="24"/>
          <w:szCs w:val="24"/>
        </w:rPr>
      </w:pPr>
      <w:r w:rsidRPr="00FA3F9C">
        <w:rPr>
          <w:rFonts w:ascii="Arial" w:hAnsi="Arial" w:cs="Arial"/>
          <w:b/>
          <w:sz w:val="24"/>
          <w:szCs w:val="24"/>
        </w:rPr>
        <w:t>SC injection</w:t>
      </w:r>
    </w:p>
    <w:p w14:paraId="073B415E" w14:textId="77777777" w:rsidR="009B5AA5" w:rsidRPr="00FA3F9C" w:rsidRDefault="009B5AA5" w:rsidP="00B50482">
      <w:pPr>
        <w:spacing w:after="0"/>
        <w:jc w:val="center"/>
        <w:rPr>
          <w:rFonts w:ascii="Arial" w:hAnsi="Arial" w:cs="Arial"/>
          <w:b/>
          <w:sz w:val="24"/>
          <w:szCs w:val="24"/>
        </w:rPr>
      </w:pPr>
      <w:r w:rsidRPr="00FA3F9C">
        <w:rPr>
          <w:rFonts w:ascii="Arial" w:hAnsi="Arial" w:cs="Arial"/>
          <w:b/>
          <w:sz w:val="24"/>
          <w:szCs w:val="24"/>
        </w:rPr>
        <w:t>10mg, 15mg, 20mg injection , powder for reconstitution</w:t>
      </w:r>
    </w:p>
    <w:p w14:paraId="0747564B" w14:textId="77777777" w:rsidR="009B5AA5" w:rsidRPr="00FA3F9C" w:rsidRDefault="009B5AA5" w:rsidP="00E768F0">
      <w:pPr>
        <w:spacing w:after="0"/>
        <w:jc w:val="center"/>
        <w:rPr>
          <w:rFonts w:ascii="Arial" w:hAnsi="Arial" w:cs="Arial"/>
          <w:sz w:val="24"/>
          <w:szCs w:val="24"/>
        </w:rPr>
      </w:pPr>
      <w:r w:rsidRPr="00FA3F9C">
        <w:rPr>
          <w:rFonts w:ascii="Arial" w:hAnsi="Arial" w:cs="Arial"/>
          <w:sz w:val="24"/>
          <w:szCs w:val="24"/>
        </w:rPr>
        <w:t>EBRx PA Criteria</w:t>
      </w:r>
    </w:p>
    <w:p w14:paraId="56C635FD" w14:textId="77777777" w:rsidR="009B5AA5" w:rsidRPr="00FA3F9C" w:rsidRDefault="009B5AA5" w:rsidP="00B50482">
      <w:pPr>
        <w:spacing w:after="0"/>
        <w:jc w:val="center"/>
        <w:rPr>
          <w:rFonts w:ascii="Arial" w:hAnsi="Arial" w:cs="Arial"/>
          <w:b/>
          <w:sz w:val="24"/>
          <w:szCs w:val="24"/>
        </w:rPr>
      </w:pPr>
    </w:p>
    <w:p w14:paraId="0D121456" w14:textId="77777777" w:rsidR="009B5AA5" w:rsidRPr="00FA3F9C" w:rsidRDefault="009B5AA5" w:rsidP="00DC0129">
      <w:pPr>
        <w:spacing w:after="0"/>
        <w:rPr>
          <w:rFonts w:ascii="Arial" w:hAnsi="Arial" w:cs="Arial"/>
          <w:b/>
          <w:sz w:val="24"/>
          <w:szCs w:val="24"/>
        </w:rPr>
      </w:pPr>
      <w:r w:rsidRPr="00FA3F9C">
        <w:rPr>
          <w:rFonts w:ascii="Arial" w:hAnsi="Arial" w:cs="Arial"/>
          <w:b/>
          <w:sz w:val="24"/>
          <w:szCs w:val="24"/>
        </w:rPr>
        <w:t>FDA use: treatment of acromegaly in patients who have had an inadequate response to surgery or radiation therapy, or for whom these therapies are not appropriate.</w:t>
      </w:r>
    </w:p>
    <w:tbl>
      <w:tblPr>
        <w:tblStyle w:val="TableGrid"/>
        <w:tblW w:w="11088" w:type="dxa"/>
        <w:tblLook w:val="04A0" w:firstRow="1" w:lastRow="0" w:firstColumn="1" w:lastColumn="0" w:noHBand="0" w:noVBand="1"/>
      </w:tblPr>
      <w:tblGrid>
        <w:gridCol w:w="7759"/>
        <w:gridCol w:w="3329"/>
      </w:tblGrid>
      <w:tr w:rsidR="009B5AA5" w:rsidRPr="00FA3F9C" w14:paraId="437E7D87" w14:textId="77777777" w:rsidTr="00B31889">
        <w:tc>
          <w:tcPr>
            <w:tcW w:w="7759" w:type="dxa"/>
            <w:shd w:val="clear" w:color="auto" w:fill="000000"/>
          </w:tcPr>
          <w:p w14:paraId="09A2F087" w14:textId="77777777" w:rsidR="009B5AA5" w:rsidRPr="00FA3F9C" w:rsidRDefault="009B5AA5" w:rsidP="00C34C54">
            <w:pPr>
              <w:rPr>
                <w:rFonts w:ascii="Arial" w:hAnsi="Arial" w:cs="Arial"/>
                <w:b/>
                <w:sz w:val="24"/>
                <w:szCs w:val="24"/>
                <w:u w:val="single"/>
              </w:rPr>
            </w:pPr>
            <w:r w:rsidRPr="00FA3F9C">
              <w:rPr>
                <w:rFonts w:ascii="Arial" w:hAnsi="Arial" w:cs="Arial"/>
                <w:b/>
                <w:sz w:val="24"/>
                <w:szCs w:val="24"/>
                <w:u w:val="single"/>
              </w:rPr>
              <w:t>Criteria for new users</w:t>
            </w:r>
          </w:p>
        </w:tc>
        <w:tc>
          <w:tcPr>
            <w:tcW w:w="3329" w:type="dxa"/>
            <w:shd w:val="clear" w:color="auto" w:fill="000000"/>
          </w:tcPr>
          <w:p w14:paraId="4AF210E2" w14:textId="77777777" w:rsidR="009B5AA5" w:rsidRPr="00FA3F9C" w:rsidRDefault="009B5AA5" w:rsidP="00C34C54">
            <w:pPr>
              <w:jc w:val="center"/>
              <w:rPr>
                <w:rFonts w:ascii="Arial" w:hAnsi="Arial" w:cs="Arial"/>
                <w:b/>
                <w:sz w:val="24"/>
                <w:szCs w:val="24"/>
                <w:u w:val="single"/>
              </w:rPr>
            </w:pPr>
          </w:p>
        </w:tc>
      </w:tr>
      <w:tr w:rsidR="009B5AA5" w:rsidRPr="00FA3F9C" w14:paraId="001DB74C" w14:textId="77777777" w:rsidTr="00B31889">
        <w:tc>
          <w:tcPr>
            <w:tcW w:w="11088" w:type="dxa"/>
            <w:gridSpan w:val="2"/>
          </w:tcPr>
          <w:p w14:paraId="66A26C32" w14:textId="77777777" w:rsidR="009B5AA5" w:rsidRPr="00FA3F9C" w:rsidRDefault="009B5AA5" w:rsidP="00E768F0">
            <w:pPr>
              <w:rPr>
                <w:rFonts w:ascii="Arial" w:hAnsi="Arial" w:cs="Arial"/>
                <w:sz w:val="24"/>
                <w:szCs w:val="24"/>
              </w:rPr>
            </w:pPr>
            <w:r w:rsidRPr="00FA3F9C">
              <w:rPr>
                <w:rFonts w:ascii="Arial" w:hAnsi="Arial" w:cs="Arial"/>
                <w:sz w:val="24"/>
                <w:szCs w:val="24"/>
              </w:rPr>
              <w:t>1. The patient must have the diagnosis of acromegaly and either an inadequate response to surgery or radiation OR is not a candidate for surgery or radiation.</w:t>
            </w:r>
          </w:p>
        </w:tc>
      </w:tr>
      <w:tr w:rsidR="009B5AA5" w:rsidRPr="00FA3F9C" w14:paraId="189E512A" w14:textId="77777777" w:rsidTr="00B31889">
        <w:tc>
          <w:tcPr>
            <w:tcW w:w="11088" w:type="dxa"/>
            <w:gridSpan w:val="2"/>
          </w:tcPr>
          <w:p w14:paraId="0F0D9F20" w14:textId="77777777" w:rsidR="009B5AA5" w:rsidRPr="00FA3F9C" w:rsidRDefault="009B5AA5" w:rsidP="00E768F0">
            <w:pPr>
              <w:rPr>
                <w:rFonts w:ascii="Arial" w:hAnsi="Arial" w:cs="Arial"/>
                <w:sz w:val="24"/>
                <w:szCs w:val="24"/>
              </w:rPr>
            </w:pPr>
            <w:r w:rsidRPr="00FA3F9C">
              <w:rPr>
                <w:rFonts w:ascii="Arial" w:hAnsi="Arial" w:cs="Arial"/>
                <w:sz w:val="24"/>
                <w:szCs w:val="24"/>
              </w:rPr>
              <w:t xml:space="preserve">2. The patient did not respond adequately to somatostatin analog therapy (octreotide, </w:t>
            </w:r>
            <w:proofErr w:type="spellStart"/>
            <w:r w:rsidRPr="00FA3F9C">
              <w:rPr>
                <w:rFonts w:ascii="Arial" w:hAnsi="Arial" w:cs="Arial"/>
                <w:sz w:val="24"/>
                <w:szCs w:val="24"/>
              </w:rPr>
              <w:t>lanreotide</w:t>
            </w:r>
            <w:proofErr w:type="spellEnd"/>
            <w:r w:rsidRPr="00FA3F9C">
              <w:rPr>
                <w:rFonts w:ascii="Arial" w:hAnsi="Arial" w:cs="Arial"/>
                <w:sz w:val="24"/>
                <w:szCs w:val="24"/>
              </w:rPr>
              <w:t xml:space="preserve">, </w:t>
            </w:r>
            <w:proofErr w:type="spellStart"/>
            <w:r w:rsidRPr="00FA3F9C">
              <w:rPr>
                <w:rFonts w:ascii="Arial" w:hAnsi="Arial" w:cs="Arial"/>
                <w:sz w:val="24"/>
                <w:szCs w:val="24"/>
              </w:rPr>
              <w:t>pasireotide</w:t>
            </w:r>
            <w:proofErr w:type="spellEnd"/>
            <w:r w:rsidRPr="00FA3F9C">
              <w:rPr>
                <w:rFonts w:ascii="Arial" w:hAnsi="Arial" w:cs="Arial"/>
                <w:sz w:val="24"/>
                <w:szCs w:val="24"/>
              </w:rPr>
              <w:t xml:space="preserve">).  </w:t>
            </w:r>
          </w:p>
        </w:tc>
      </w:tr>
      <w:tr w:rsidR="009B5AA5" w:rsidRPr="00FA3F9C" w14:paraId="6BB9F883" w14:textId="77777777" w:rsidTr="00B31889">
        <w:tc>
          <w:tcPr>
            <w:tcW w:w="11088" w:type="dxa"/>
            <w:gridSpan w:val="2"/>
          </w:tcPr>
          <w:p w14:paraId="0C9C857E" w14:textId="77777777" w:rsidR="009B5AA5" w:rsidRPr="00FA3F9C" w:rsidRDefault="009B5AA5" w:rsidP="00E768F0">
            <w:pPr>
              <w:rPr>
                <w:rFonts w:ascii="Arial" w:hAnsi="Arial" w:cs="Arial"/>
                <w:sz w:val="24"/>
                <w:szCs w:val="24"/>
              </w:rPr>
            </w:pPr>
            <w:r w:rsidRPr="00FA3F9C">
              <w:rPr>
                <w:rFonts w:ascii="Arial" w:hAnsi="Arial" w:cs="Arial"/>
                <w:sz w:val="24"/>
                <w:szCs w:val="24"/>
              </w:rPr>
              <w:t xml:space="preserve">3. The patient did not respond adequately to cabergoline.  </w:t>
            </w:r>
          </w:p>
        </w:tc>
      </w:tr>
    </w:tbl>
    <w:p w14:paraId="587F9F66" w14:textId="77777777" w:rsidR="009B5AA5" w:rsidRPr="00FA3F9C" w:rsidRDefault="009B5AA5" w:rsidP="00DC0129">
      <w:pPr>
        <w:spacing w:after="0"/>
        <w:rPr>
          <w:rFonts w:ascii="Arial" w:hAnsi="Arial" w:cs="Arial"/>
          <w:b/>
          <w:sz w:val="24"/>
          <w:szCs w:val="24"/>
          <w:u w:val="single"/>
        </w:rPr>
      </w:pPr>
    </w:p>
    <w:tbl>
      <w:tblPr>
        <w:tblStyle w:val="TableGrid"/>
        <w:tblW w:w="11088" w:type="dxa"/>
        <w:shd w:val="clear" w:color="auto" w:fill="BFBFBF" w:themeFill="background1" w:themeFillShade="BF"/>
        <w:tblLook w:val="04A0" w:firstRow="1" w:lastRow="0" w:firstColumn="1" w:lastColumn="0" w:noHBand="0" w:noVBand="1"/>
      </w:tblPr>
      <w:tblGrid>
        <w:gridCol w:w="11088"/>
      </w:tblGrid>
      <w:tr w:rsidR="009B5AA5" w:rsidRPr="00FA3F9C" w14:paraId="2D3E66D4" w14:textId="77777777" w:rsidTr="00B31889">
        <w:tc>
          <w:tcPr>
            <w:tcW w:w="11088" w:type="dxa"/>
            <w:shd w:val="clear" w:color="auto" w:fill="BFBFBF" w:themeFill="background1" w:themeFillShade="BF"/>
          </w:tcPr>
          <w:p w14:paraId="3312E7FE" w14:textId="77777777" w:rsidR="009B5AA5" w:rsidRPr="00FA3F9C" w:rsidRDefault="009B5AA5" w:rsidP="00C34C54">
            <w:pPr>
              <w:rPr>
                <w:rFonts w:ascii="Arial" w:hAnsi="Arial" w:cs="Arial"/>
                <w:sz w:val="24"/>
                <w:szCs w:val="24"/>
              </w:rPr>
            </w:pPr>
            <w:r w:rsidRPr="00FA3F9C">
              <w:rPr>
                <w:rFonts w:ascii="Arial" w:hAnsi="Arial" w:cs="Arial"/>
                <w:sz w:val="24"/>
                <w:szCs w:val="24"/>
              </w:rPr>
              <w:t xml:space="preserve">Note:  </w:t>
            </w:r>
            <w:proofErr w:type="spellStart"/>
            <w:r w:rsidRPr="00FA3F9C">
              <w:rPr>
                <w:rFonts w:ascii="Arial" w:hAnsi="Arial" w:cs="Arial"/>
                <w:sz w:val="24"/>
                <w:szCs w:val="24"/>
              </w:rPr>
              <w:t>Pegvisomant</w:t>
            </w:r>
            <w:proofErr w:type="spellEnd"/>
            <w:r w:rsidRPr="00FA3F9C">
              <w:rPr>
                <w:rFonts w:ascii="Arial" w:hAnsi="Arial" w:cs="Arial"/>
                <w:sz w:val="24"/>
                <w:szCs w:val="24"/>
              </w:rPr>
              <w:t xml:space="preserve"> may be given together with a somatostatin analog (octreotide or </w:t>
            </w:r>
            <w:proofErr w:type="spellStart"/>
            <w:r w:rsidRPr="00FA3F9C">
              <w:rPr>
                <w:rFonts w:ascii="Arial" w:hAnsi="Arial" w:cs="Arial"/>
                <w:sz w:val="24"/>
                <w:szCs w:val="24"/>
              </w:rPr>
              <w:t>lanreotide</w:t>
            </w:r>
            <w:proofErr w:type="spellEnd"/>
            <w:r w:rsidRPr="00FA3F9C">
              <w:rPr>
                <w:rFonts w:ascii="Arial" w:hAnsi="Arial" w:cs="Arial"/>
                <w:sz w:val="24"/>
                <w:szCs w:val="24"/>
              </w:rPr>
              <w:t xml:space="preserve"> or </w:t>
            </w:r>
            <w:proofErr w:type="spellStart"/>
            <w:r w:rsidRPr="00FA3F9C">
              <w:rPr>
                <w:rFonts w:ascii="Arial" w:hAnsi="Arial" w:cs="Arial"/>
                <w:sz w:val="24"/>
                <w:szCs w:val="24"/>
              </w:rPr>
              <w:t>pasireotide</w:t>
            </w:r>
            <w:proofErr w:type="spellEnd"/>
            <w:r w:rsidRPr="00FA3F9C">
              <w:rPr>
                <w:rFonts w:ascii="Arial" w:hAnsi="Arial" w:cs="Arial"/>
                <w:sz w:val="24"/>
                <w:szCs w:val="24"/>
              </w:rPr>
              <w:t>) in patients with an inadequate response to somatostatin analog monotherapy.</w:t>
            </w:r>
          </w:p>
          <w:p w14:paraId="775AD03D" w14:textId="77777777" w:rsidR="009B5AA5" w:rsidRPr="00FA3F9C" w:rsidRDefault="009B5AA5" w:rsidP="00C34C54">
            <w:pPr>
              <w:rPr>
                <w:rFonts w:ascii="Arial" w:hAnsi="Arial" w:cs="Arial"/>
                <w:sz w:val="24"/>
                <w:szCs w:val="24"/>
              </w:rPr>
            </w:pPr>
          </w:p>
          <w:p w14:paraId="71F3B39C" w14:textId="77777777" w:rsidR="009B5AA5" w:rsidRPr="00FA3F9C" w:rsidRDefault="009B5AA5" w:rsidP="00C34C54">
            <w:pPr>
              <w:rPr>
                <w:rFonts w:ascii="Arial" w:hAnsi="Arial" w:cs="Arial"/>
                <w:sz w:val="24"/>
                <w:szCs w:val="24"/>
              </w:rPr>
            </w:pPr>
            <w:r w:rsidRPr="00FA3F9C">
              <w:rPr>
                <w:rFonts w:ascii="Arial" w:hAnsi="Arial" w:cs="Arial"/>
                <w:sz w:val="24"/>
                <w:szCs w:val="24"/>
              </w:rPr>
              <w:t xml:space="preserve">The Acromegaly Consensus Group suggests use of </w:t>
            </w:r>
            <w:proofErr w:type="spellStart"/>
            <w:r w:rsidRPr="00FA3F9C">
              <w:rPr>
                <w:rFonts w:ascii="Arial" w:hAnsi="Arial" w:cs="Arial"/>
                <w:sz w:val="24"/>
                <w:szCs w:val="24"/>
              </w:rPr>
              <w:t>pegvisomant</w:t>
            </w:r>
            <w:proofErr w:type="spellEnd"/>
            <w:r w:rsidRPr="00FA3F9C">
              <w:rPr>
                <w:rFonts w:ascii="Arial" w:hAnsi="Arial" w:cs="Arial"/>
                <w:sz w:val="24"/>
                <w:szCs w:val="24"/>
              </w:rPr>
              <w:t xml:space="preserve"> as second-line therapy in acromegaly patients with persistent, significant disease despite surgical resection and minimal/no response to 1</w:t>
            </w:r>
            <w:r w:rsidRPr="00FA3F9C">
              <w:rPr>
                <w:rFonts w:ascii="Arial" w:hAnsi="Arial" w:cs="Arial"/>
                <w:sz w:val="24"/>
                <w:szCs w:val="24"/>
                <w:vertAlign w:val="superscript"/>
              </w:rPr>
              <w:t>st</w:t>
            </w:r>
            <w:r w:rsidRPr="00FA3F9C">
              <w:rPr>
                <w:rFonts w:ascii="Arial" w:hAnsi="Arial" w:cs="Arial"/>
                <w:sz w:val="24"/>
                <w:szCs w:val="24"/>
              </w:rPr>
              <w:t xml:space="preserve"> line therapy, either as monotherapy (in patients without concern for tumor growth) or in combo with a somatostatin analog (in patients with concern for tumor growth).  </w:t>
            </w:r>
            <w:proofErr w:type="spellStart"/>
            <w:r w:rsidRPr="00FA3F9C">
              <w:rPr>
                <w:rFonts w:ascii="Arial" w:hAnsi="Arial" w:cs="Arial"/>
                <w:sz w:val="24"/>
                <w:szCs w:val="24"/>
              </w:rPr>
              <w:t>Pegvisomant</w:t>
            </w:r>
            <w:proofErr w:type="spellEnd"/>
            <w:r w:rsidRPr="00FA3F9C">
              <w:rPr>
                <w:rFonts w:ascii="Arial" w:hAnsi="Arial" w:cs="Arial"/>
                <w:sz w:val="24"/>
                <w:szCs w:val="24"/>
              </w:rPr>
              <w:t xml:space="preserve"> may be a preferred option in patients with comorbid diabetes mellitus due to favorable glycemic effects. (ACG [</w:t>
            </w:r>
            <w:proofErr w:type="spellStart"/>
            <w:r w:rsidRPr="00FA3F9C">
              <w:rPr>
                <w:rFonts w:ascii="Arial" w:hAnsi="Arial" w:cs="Arial"/>
                <w:sz w:val="24"/>
                <w:szCs w:val="24"/>
              </w:rPr>
              <w:t>Melmed</w:t>
            </w:r>
            <w:proofErr w:type="spellEnd"/>
            <w:r w:rsidRPr="00FA3F9C">
              <w:rPr>
                <w:rFonts w:ascii="Arial" w:hAnsi="Arial" w:cs="Arial"/>
                <w:sz w:val="24"/>
                <w:szCs w:val="24"/>
              </w:rPr>
              <w:t xml:space="preserve"> 2018]).</w:t>
            </w:r>
          </w:p>
        </w:tc>
      </w:tr>
    </w:tbl>
    <w:p w14:paraId="4DFB8FEF" w14:textId="77777777" w:rsidR="009B5AA5" w:rsidRPr="00FA3F9C" w:rsidRDefault="009B5AA5" w:rsidP="00DC0129">
      <w:pPr>
        <w:spacing w:after="0"/>
        <w:rPr>
          <w:rFonts w:ascii="Arial" w:hAnsi="Arial" w:cs="Arial"/>
          <w:sz w:val="24"/>
          <w:szCs w:val="24"/>
        </w:rPr>
      </w:pPr>
    </w:p>
    <w:p w14:paraId="46CD9126" w14:textId="77777777" w:rsidR="009B5AA5" w:rsidRPr="00FA3F9C" w:rsidRDefault="009B5AA5" w:rsidP="00DC0129">
      <w:pPr>
        <w:spacing w:after="0"/>
        <w:rPr>
          <w:rFonts w:ascii="Arial" w:hAnsi="Arial" w:cs="Arial"/>
          <w:sz w:val="24"/>
          <w:szCs w:val="24"/>
        </w:rPr>
      </w:pPr>
      <w:r w:rsidRPr="00FA3F9C">
        <w:rPr>
          <w:rFonts w:ascii="Arial" w:hAnsi="Arial" w:cs="Arial"/>
          <w:sz w:val="24"/>
          <w:szCs w:val="24"/>
        </w:rPr>
        <w:t>Quantity Limits: Maximum dose is 30mg/day.</w:t>
      </w:r>
    </w:p>
    <w:p w14:paraId="57464A07" w14:textId="77777777" w:rsidR="009B5AA5" w:rsidRPr="00FA3F9C" w:rsidRDefault="009B5AA5" w:rsidP="00DC0129">
      <w:pPr>
        <w:spacing w:after="0"/>
        <w:rPr>
          <w:rFonts w:ascii="Arial" w:hAnsi="Arial" w:cs="Arial"/>
          <w:sz w:val="24"/>
          <w:szCs w:val="24"/>
        </w:rPr>
      </w:pPr>
    </w:p>
    <w:p w14:paraId="3E92C59C" w14:textId="77777777" w:rsidR="009B5AA5" w:rsidRPr="00FA3F9C" w:rsidRDefault="009B5AA5" w:rsidP="005D270F">
      <w:pPr>
        <w:spacing w:after="0" w:line="240" w:lineRule="auto"/>
        <w:rPr>
          <w:rFonts w:ascii="Arial" w:hAnsi="Arial" w:cs="Arial"/>
          <w:sz w:val="24"/>
          <w:szCs w:val="24"/>
          <w:lang w:val="fr-FR"/>
        </w:rPr>
      </w:pPr>
      <w:proofErr w:type="spellStart"/>
      <w:proofErr w:type="gramStart"/>
      <w:r w:rsidRPr="00FA3F9C">
        <w:rPr>
          <w:rFonts w:ascii="Arial" w:hAnsi="Arial" w:cs="Arial"/>
          <w:sz w:val="24"/>
          <w:szCs w:val="24"/>
          <w:lang w:val="fr-FR"/>
        </w:rPr>
        <w:t>References</w:t>
      </w:r>
      <w:proofErr w:type="spellEnd"/>
      <w:r w:rsidRPr="00FA3F9C">
        <w:rPr>
          <w:rFonts w:ascii="Arial" w:hAnsi="Arial" w:cs="Arial"/>
          <w:sz w:val="24"/>
          <w:szCs w:val="24"/>
          <w:lang w:val="fr-FR"/>
        </w:rPr>
        <w:t>:</w:t>
      </w:r>
      <w:proofErr w:type="gramEnd"/>
    </w:p>
    <w:p w14:paraId="1FB3CE10" w14:textId="77777777" w:rsidR="009B5AA5" w:rsidRPr="00FA3F9C" w:rsidRDefault="009B5AA5" w:rsidP="005D270F">
      <w:pPr>
        <w:spacing w:after="0" w:line="240" w:lineRule="auto"/>
        <w:rPr>
          <w:rFonts w:ascii="Arial" w:hAnsi="Arial" w:cs="Arial"/>
          <w:sz w:val="24"/>
          <w:szCs w:val="24"/>
          <w:lang w:val="fr-FR"/>
        </w:rPr>
      </w:pPr>
      <w:r w:rsidRPr="00FA3F9C">
        <w:rPr>
          <w:rFonts w:ascii="Arial" w:hAnsi="Arial" w:cs="Arial"/>
          <w:sz w:val="24"/>
          <w:szCs w:val="24"/>
          <w:lang w:val="fr-FR"/>
        </w:rPr>
        <w:t xml:space="preserve">1. </w:t>
      </w:r>
      <w:proofErr w:type="spellStart"/>
      <w:r w:rsidRPr="00FA3F9C">
        <w:rPr>
          <w:rFonts w:ascii="Arial" w:hAnsi="Arial" w:cs="Arial"/>
          <w:sz w:val="24"/>
          <w:szCs w:val="24"/>
          <w:lang w:val="fr-FR"/>
        </w:rPr>
        <w:t>LexiComp</w:t>
      </w:r>
      <w:proofErr w:type="spellEnd"/>
      <w:r w:rsidRPr="00FA3F9C">
        <w:rPr>
          <w:rFonts w:ascii="Arial" w:hAnsi="Arial" w:cs="Arial"/>
          <w:sz w:val="24"/>
          <w:szCs w:val="24"/>
          <w:lang w:val="fr-FR"/>
        </w:rPr>
        <w:t xml:space="preserve">. </w:t>
      </w:r>
      <w:proofErr w:type="spellStart"/>
      <w:r w:rsidRPr="00FA3F9C">
        <w:rPr>
          <w:rFonts w:ascii="Arial" w:hAnsi="Arial" w:cs="Arial"/>
          <w:sz w:val="24"/>
          <w:szCs w:val="24"/>
          <w:lang w:val="fr-FR"/>
        </w:rPr>
        <w:t>Pegvisomant</w:t>
      </w:r>
      <w:proofErr w:type="spellEnd"/>
      <w:r w:rsidRPr="00FA3F9C">
        <w:rPr>
          <w:rFonts w:ascii="Arial" w:hAnsi="Arial" w:cs="Arial"/>
          <w:sz w:val="24"/>
          <w:szCs w:val="24"/>
          <w:lang w:val="fr-FR"/>
        </w:rPr>
        <w:t xml:space="preserve">. </w:t>
      </w:r>
      <w:proofErr w:type="spellStart"/>
      <w:r w:rsidRPr="00FA3F9C">
        <w:rPr>
          <w:rFonts w:ascii="Arial" w:hAnsi="Arial" w:cs="Arial"/>
          <w:sz w:val="24"/>
          <w:szCs w:val="24"/>
          <w:lang w:val="fr-FR"/>
        </w:rPr>
        <w:t>Accessed</w:t>
      </w:r>
      <w:proofErr w:type="spellEnd"/>
      <w:r w:rsidRPr="00FA3F9C">
        <w:rPr>
          <w:rFonts w:ascii="Arial" w:hAnsi="Arial" w:cs="Arial"/>
          <w:sz w:val="24"/>
          <w:szCs w:val="24"/>
          <w:lang w:val="fr-FR"/>
        </w:rPr>
        <w:t xml:space="preserve"> 11/5/2020.</w:t>
      </w:r>
    </w:p>
    <w:p w14:paraId="4FF4EDDD" w14:textId="77777777" w:rsidR="009B5AA5" w:rsidRPr="00FA3F9C" w:rsidRDefault="009B5AA5" w:rsidP="005D270F">
      <w:pPr>
        <w:spacing w:after="0" w:line="240" w:lineRule="auto"/>
        <w:rPr>
          <w:rFonts w:ascii="Arial" w:eastAsia="Times New Roman" w:hAnsi="Arial" w:cs="Arial"/>
          <w:color w:val="222222"/>
          <w:sz w:val="24"/>
          <w:szCs w:val="24"/>
          <w:shd w:val="clear" w:color="auto" w:fill="FFFFFF"/>
        </w:rPr>
      </w:pPr>
      <w:r w:rsidRPr="00FA3F9C">
        <w:rPr>
          <w:rFonts w:ascii="Arial" w:hAnsi="Arial" w:cs="Arial"/>
          <w:sz w:val="24"/>
          <w:szCs w:val="24"/>
          <w:lang w:val="fr-FR"/>
        </w:rPr>
        <w:t xml:space="preserve">2. </w:t>
      </w:r>
      <w:r w:rsidRPr="00FA3F9C">
        <w:rPr>
          <w:rFonts w:ascii="Arial" w:eastAsia="Times New Roman" w:hAnsi="Arial" w:cs="Arial"/>
          <w:color w:val="222222"/>
          <w:sz w:val="24"/>
          <w:szCs w:val="24"/>
          <w:shd w:val="clear" w:color="auto" w:fill="FFFFFF"/>
          <w:lang w:val="fr-FR"/>
        </w:rPr>
        <w:t xml:space="preserve">Ma, </w:t>
      </w:r>
      <w:proofErr w:type="spellStart"/>
      <w:r w:rsidRPr="00FA3F9C">
        <w:rPr>
          <w:rFonts w:ascii="Arial" w:eastAsia="Times New Roman" w:hAnsi="Arial" w:cs="Arial"/>
          <w:color w:val="222222"/>
          <w:sz w:val="24"/>
          <w:szCs w:val="24"/>
          <w:shd w:val="clear" w:color="auto" w:fill="FFFFFF"/>
          <w:lang w:val="fr-FR"/>
        </w:rPr>
        <w:t>Lingyun</w:t>
      </w:r>
      <w:proofErr w:type="spellEnd"/>
      <w:r w:rsidRPr="00FA3F9C">
        <w:rPr>
          <w:rFonts w:ascii="Arial" w:eastAsia="Times New Roman" w:hAnsi="Arial" w:cs="Arial"/>
          <w:color w:val="222222"/>
          <w:sz w:val="24"/>
          <w:szCs w:val="24"/>
          <w:shd w:val="clear" w:color="auto" w:fill="FFFFFF"/>
          <w:lang w:val="fr-FR"/>
        </w:rPr>
        <w:t xml:space="preserve">, et al. </w:t>
      </w:r>
      <w:r w:rsidRPr="00FA3F9C">
        <w:rPr>
          <w:rFonts w:ascii="Arial" w:eastAsia="Times New Roman" w:hAnsi="Arial" w:cs="Arial"/>
          <w:color w:val="222222"/>
          <w:sz w:val="24"/>
          <w:szCs w:val="24"/>
          <w:shd w:val="clear" w:color="auto" w:fill="FFFFFF"/>
        </w:rPr>
        <w:t xml:space="preserve">"Combined therapy of somatostatin analogues with </w:t>
      </w:r>
      <w:proofErr w:type="spellStart"/>
      <w:r w:rsidRPr="00FA3F9C">
        <w:rPr>
          <w:rFonts w:ascii="Arial" w:eastAsia="Times New Roman" w:hAnsi="Arial" w:cs="Arial"/>
          <w:color w:val="222222"/>
          <w:sz w:val="24"/>
          <w:szCs w:val="24"/>
          <w:shd w:val="clear" w:color="auto" w:fill="FFFFFF"/>
        </w:rPr>
        <w:t>pegvisomant</w:t>
      </w:r>
      <w:proofErr w:type="spellEnd"/>
      <w:r w:rsidRPr="00FA3F9C">
        <w:rPr>
          <w:rFonts w:ascii="Arial" w:eastAsia="Times New Roman" w:hAnsi="Arial" w:cs="Arial"/>
          <w:color w:val="222222"/>
          <w:sz w:val="24"/>
          <w:szCs w:val="24"/>
          <w:shd w:val="clear" w:color="auto" w:fill="FFFFFF"/>
        </w:rPr>
        <w:t xml:space="preserve"> for the treatment of acromegaly: a meta-analysis of prospective studies." (2020) BMCC Endocrine Disorders; 20:126.</w:t>
      </w:r>
    </w:p>
    <w:p w14:paraId="02561E04" w14:textId="77777777" w:rsidR="009B5AA5" w:rsidRPr="00FA3F9C" w:rsidRDefault="009B5AA5" w:rsidP="00DC0129">
      <w:pPr>
        <w:spacing w:after="0"/>
        <w:rPr>
          <w:rFonts w:ascii="Arial" w:hAnsi="Arial" w:cs="Arial"/>
          <w:sz w:val="24"/>
          <w:szCs w:val="24"/>
        </w:rPr>
      </w:pPr>
    </w:p>
    <w:p w14:paraId="3CCA340E" w14:textId="77777777" w:rsidR="009B5AA5" w:rsidRPr="00FA3F9C" w:rsidRDefault="009B5AA5" w:rsidP="00DC0129">
      <w:pPr>
        <w:spacing w:after="0"/>
        <w:rPr>
          <w:rFonts w:ascii="Arial" w:hAnsi="Arial" w:cs="Arial"/>
          <w:sz w:val="24"/>
          <w:szCs w:val="24"/>
        </w:rPr>
      </w:pPr>
    </w:p>
    <w:p w14:paraId="343BC432" w14:textId="77777777" w:rsidR="009B5AA5" w:rsidRPr="00FA3F9C" w:rsidRDefault="009B5AA5" w:rsidP="00DC0129">
      <w:pPr>
        <w:spacing w:after="0"/>
        <w:rPr>
          <w:rFonts w:ascii="Arial" w:hAnsi="Arial" w:cs="Arial"/>
          <w:sz w:val="24"/>
          <w:szCs w:val="24"/>
        </w:rPr>
      </w:pPr>
      <w:r w:rsidRPr="00FA3F9C">
        <w:rPr>
          <w:rFonts w:ascii="Arial" w:hAnsi="Arial" w:cs="Arial"/>
          <w:sz w:val="24"/>
          <w:szCs w:val="24"/>
        </w:rPr>
        <w:lastRenderedPageBreak/>
        <w:t>Revision History:</w:t>
      </w:r>
    </w:p>
    <w:tbl>
      <w:tblPr>
        <w:tblStyle w:val="TableGrid"/>
        <w:tblW w:w="0" w:type="auto"/>
        <w:tblLook w:val="04A0" w:firstRow="1" w:lastRow="0" w:firstColumn="1" w:lastColumn="0" w:noHBand="0" w:noVBand="1"/>
      </w:tblPr>
      <w:tblGrid>
        <w:gridCol w:w="1284"/>
        <w:gridCol w:w="7470"/>
        <w:gridCol w:w="2538"/>
      </w:tblGrid>
      <w:tr w:rsidR="009B5AA5" w:rsidRPr="00FA3F9C" w14:paraId="603FBCED" w14:textId="77777777" w:rsidTr="00C34C54">
        <w:tc>
          <w:tcPr>
            <w:tcW w:w="1008" w:type="dxa"/>
          </w:tcPr>
          <w:p w14:paraId="73E28B1A" w14:textId="77777777" w:rsidR="009B5AA5" w:rsidRPr="00FA3F9C" w:rsidRDefault="009B5AA5" w:rsidP="00C34C54">
            <w:pPr>
              <w:rPr>
                <w:rFonts w:ascii="Arial" w:hAnsi="Arial" w:cs="Arial"/>
                <w:sz w:val="24"/>
                <w:szCs w:val="24"/>
              </w:rPr>
            </w:pPr>
            <w:r w:rsidRPr="00FA3F9C">
              <w:rPr>
                <w:rFonts w:ascii="Arial" w:hAnsi="Arial" w:cs="Arial"/>
                <w:sz w:val="24"/>
                <w:szCs w:val="24"/>
              </w:rPr>
              <w:t>Date</w:t>
            </w:r>
          </w:p>
        </w:tc>
        <w:tc>
          <w:tcPr>
            <w:tcW w:w="7470" w:type="dxa"/>
          </w:tcPr>
          <w:p w14:paraId="54FF5596" w14:textId="77777777" w:rsidR="009B5AA5" w:rsidRPr="00FA3F9C" w:rsidRDefault="009B5AA5" w:rsidP="00C34C54">
            <w:pPr>
              <w:rPr>
                <w:rFonts w:ascii="Arial" w:hAnsi="Arial" w:cs="Arial"/>
                <w:sz w:val="24"/>
                <w:szCs w:val="24"/>
              </w:rPr>
            </w:pPr>
            <w:r w:rsidRPr="00FA3F9C">
              <w:rPr>
                <w:rFonts w:ascii="Arial" w:hAnsi="Arial" w:cs="Arial"/>
                <w:sz w:val="24"/>
                <w:szCs w:val="24"/>
              </w:rPr>
              <w:t>What changed</w:t>
            </w:r>
          </w:p>
        </w:tc>
        <w:tc>
          <w:tcPr>
            <w:tcW w:w="2538" w:type="dxa"/>
          </w:tcPr>
          <w:p w14:paraId="6283401E" w14:textId="77777777" w:rsidR="009B5AA5" w:rsidRPr="00FA3F9C" w:rsidRDefault="009B5AA5" w:rsidP="00C34C54">
            <w:pPr>
              <w:rPr>
                <w:rFonts w:ascii="Arial" w:hAnsi="Arial" w:cs="Arial"/>
                <w:sz w:val="24"/>
                <w:szCs w:val="24"/>
              </w:rPr>
            </w:pPr>
            <w:r w:rsidRPr="00FA3F9C">
              <w:rPr>
                <w:rFonts w:ascii="Arial" w:hAnsi="Arial" w:cs="Arial"/>
                <w:sz w:val="24"/>
                <w:szCs w:val="24"/>
              </w:rPr>
              <w:t>Pharmacist’s initials</w:t>
            </w:r>
          </w:p>
        </w:tc>
      </w:tr>
      <w:tr w:rsidR="009B5AA5" w:rsidRPr="00FA3F9C" w14:paraId="7A4A6338" w14:textId="77777777" w:rsidTr="00C34C54">
        <w:tc>
          <w:tcPr>
            <w:tcW w:w="1008" w:type="dxa"/>
          </w:tcPr>
          <w:p w14:paraId="083FBDDF" w14:textId="77777777" w:rsidR="009B5AA5" w:rsidRPr="00FA3F9C" w:rsidRDefault="009B5AA5" w:rsidP="00C34C54">
            <w:pPr>
              <w:rPr>
                <w:rFonts w:ascii="Arial" w:hAnsi="Arial" w:cs="Arial"/>
                <w:sz w:val="24"/>
                <w:szCs w:val="24"/>
              </w:rPr>
            </w:pPr>
            <w:r w:rsidRPr="00FA3F9C">
              <w:rPr>
                <w:rFonts w:ascii="Arial" w:hAnsi="Arial" w:cs="Arial"/>
                <w:sz w:val="24"/>
                <w:szCs w:val="24"/>
              </w:rPr>
              <w:t>2011</w:t>
            </w:r>
          </w:p>
        </w:tc>
        <w:tc>
          <w:tcPr>
            <w:tcW w:w="7470" w:type="dxa"/>
          </w:tcPr>
          <w:p w14:paraId="1063CB76" w14:textId="30685CEB" w:rsidR="009B5AA5" w:rsidRPr="00FA3F9C" w:rsidRDefault="009B5AA5" w:rsidP="00C34C54">
            <w:pPr>
              <w:rPr>
                <w:rFonts w:ascii="Arial" w:hAnsi="Arial" w:cs="Arial"/>
                <w:sz w:val="24"/>
                <w:szCs w:val="24"/>
              </w:rPr>
            </w:pPr>
            <w:r w:rsidRPr="00FA3F9C">
              <w:rPr>
                <w:rFonts w:ascii="Arial" w:hAnsi="Arial" w:cs="Arial"/>
                <w:sz w:val="24"/>
                <w:szCs w:val="24"/>
              </w:rPr>
              <w:t>Someone wrote the criteria (</w:t>
            </w:r>
            <w:r w:rsidR="005C142D" w:rsidRPr="00FA3F9C">
              <w:rPr>
                <w:rFonts w:ascii="Arial" w:hAnsi="Arial" w:cs="Arial"/>
                <w:sz w:val="24"/>
                <w:szCs w:val="24"/>
              </w:rPr>
              <w:t>JJ</w:t>
            </w:r>
            <w:r w:rsidRPr="00FA3F9C">
              <w:rPr>
                <w:rFonts w:ascii="Arial" w:hAnsi="Arial" w:cs="Arial"/>
                <w:sz w:val="24"/>
                <w:szCs w:val="24"/>
              </w:rPr>
              <w:t xml:space="preserve"> did not write the original criteria.)</w:t>
            </w:r>
          </w:p>
        </w:tc>
        <w:tc>
          <w:tcPr>
            <w:tcW w:w="2538" w:type="dxa"/>
          </w:tcPr>
          <w:p w14:paraId="5F81313A" w14:textId="77777777" w:rsidR="009B5AA5" w:rsidRPr="00FA3F9C" w:rsidRDefault="009B5AA5" w:rsidP="00C34C54">
            <w:pPr>
              <w:rPr>
                <w:rFonts w:ascii="Arial" w:hAnsi="Arial" w:cs="Arial"/>
                <w:sz w:val="24"/>
                <w:szCs w:val="24"/>
              </w:rPr>
            </w:pPr>
            <w:r w:rsidRPr="00FA3F9C">
              <w:rPr>
                <w:rFonts w:ascii="Arial" w:hAnsi="Arial" w:cs="Arial"/>
                <w:sz w:val="24"/>
                <w:szCs w:val="24"/>
              </w:rPr>
              <w:t>JJ</w:t>
            </w:r>
          </w:p>
        </w:tc>
      </w:tr>
      <w:tr w:rsidR="009B5AA5" w:rsidRPr="00FA3F9C" w14:paraId="012A4589" w14:textId="77777777" w:rsidTr="00C34C54">
        <w:tc>
          <w:tcPr>
            <w:tcW w:w="1008" w:type="dxa"/>
          </w:tcPr>
          <w:p w14:paraId="12CD63CB" w14:textId="77777777" w:rsidR="009B5AA5" w:rsidRPr="00FA3F9C" w:rsidRDefault="009B5AA5" w:rsidP="00C34C54">
            <w:pPr>
              <w:rPr>
                <w:rFonts w:ascii="Arial" w:hAnsi="Arial" w:cs="Arial"/>
                <w:sz w:val="24"/>
                <w:szCs w:val="24"/>
              </w:rPr>
            </w:pPr>
            <w:r w:rsidRPr="00FA3F9C">
              <w:rPr>
                <w:rFonts w:ascii="Arial" w:hAnsi="Arial" w:cs="Arial"/>
                <w:sz w:val="24"/>
                <w:szCs w:val="24"/>
              </w:rPr>
              <w:t>11/5/2020</w:t>
            </w:r>
          </w:p>
        </w:tc>
        <w:tc>
          <w:tcPr>
            <w:tcW w:w="7470" w:type="dxa"/>
          </w:tcPr>
          <w:p w14:paraId="6C7A0D61" w14:textId="77777777" w:rsidR="009B5AA5" w:rsidRPr="00FA3F9C" w:rsidRDefault="009B5AA5" w:rsidP="00C34C54">
            <w:pPr>
              <w:rPr>
                <w:rFonts w:ascii="Arial" w:hAnsi="Arial" w:cs="Arial"/>
                <w:sz w:val="24"/>
                <w:szCs w:val="24"/>
              </w:rPr>
            </w:pPr>
            <w:r w:rsidRPr="00FA3F9C">
              <w:rPr>
                <w:rFonts w:ascii="Arial" w:hAnsi="Arial" w:cs="Arial"/>
                <w:sz w:val="24"/>
                <w:szCs w:val="24"/>
              </w:rPr>
              <w:t>I updated the criteria.  Not much changed.  I added the references.</w:t>
            </w:r>
          </w:p>
        </w:tc>
        <w:tc>
          <w:tcPr>
            <w:tcW w:w="2538" w:type="dxa"/>
          </w:tcPr>
          <w:p w14:paraId="216029A4" w14:textId="77777777" w:rsidR="009B5AA5" w:rsidRPr="00FA3F9C" w:rsidRDefault="009B5AA5" w:rsidP="00C34C54">
            <w:pPr>
              <w:rPr>
                <w:rFonts w:ascii="Arial" w:hAnsi="Arial" w:cs="Arial"/>
                <w:sz w:val="24"/>
                <w:szCs w:val="24"/>
              </w:rPr>
            </w:pPr>
            <w:r w:rsidRPr="00FA3F9C">
              <w:rPr>
                <w:rFonts w:ascii="Arial" w:hAnsi="Arial" w:cs="Arial"/>
                <w:sz w:val="24"/>
                <w:szCs w:val="24"/>
              </w:rPr>
              <w:t>JJ</w:t>
            </w:r>
          </w:p>
        </w:tc>
      </w:tr>
    </w:tbl>
    <w:p w14:paraId="4DBA3AC9" w14:textId="77777777" w:rsidR="009B5AA5" w:rsidRPr="00FA3F9C" w:rsidRDefault="009B5AA5" w:rsidP="00DC0129">
      <w:pPr>
        <w:spacing w:after="0"/>
        <w:rPr>
          <w:rFonts w:ascii="Arial" w:hAnsi="Arial" w:cs="Arial"/>
          <w:sz w:val="24"/>
          <w:szCs w:val="24"/>
        </w:rPr>
      </w:pPr>
    </w:p>
    <w:p w14:paraId="7C6E1CB0" w14:textId="77777777" w:rsidR="009B5AA5" w:rsidRPr="00FA3F9C" w:rsidRDefault="009B5AA5" w:rsidP="00B50482">
      <w:pPr>
        <w:spacing w:after="0"/>
        <w:rPr>
          <w:rFonts w:ascii="Arial" w:hAnsi="Arial" w:cs="Arial"/>
          <w:sz w:val="24"/>
          <w:szCs w:val="24"/>
        </w:rPr>
      </w:pPr>
    </w:p>
    <w:p w14:paraId="274F9848" w14:textId="77777777" w:rsidR="009B5AA5" w:rsidRPr="00FA3F9C" w:rsidRDefault="009B5AA5" w:rsidP="00B50482">
      <w:pPr>
        <w:spacing w:after="0"/>
        <w:rPr>
          <w:rFonts w:ascii="Arial" w:hAnsi="Arial" w:cs="Arial"/>
          <w:sz w:val="24"/>
          <w:szCs w:val="24"/>
        </w:rPr>
      </w:pPr>
    </w:p>
    <w:p w14:paraId="3391BDE0" w14:textId="77777777" w:rsidR="009B5AA5" w:rsidRPr="00FA3F9C" w:rsidRDefault="009B5AA5" w:rsidP="00B50482">
      <w:pPr>
        <w:spacing w:after="0"/>
        <w:rPr>
          <w:rFonts w:ascii="Arial" w:hAnsi="Arial" w:cs="Arial"/>
          <w:sz w:val="24"/>
          <w:szCs w:val="24"/>
        </w:rPr>
      </w:pPr>
    </w:p>
    <w:p w14:paraId="792E0B4B" w14:textId="77777777" w:rsidR="009B5AA5" w:rsidRPr="00FA3F9C" w:rsidRDefault="009B5AA5" w:rsidP="00B50482">
      <w:pPr>
        <w:spacing w:after="0"/>
        <w:rPr>
          <w:rFonts w:ascii="Arial" w:hAnsi="Arial" w:cs="Arial"/>
          <w:sz w:val="24"/>
          <w:szCs w:val="24"/>
        </w:rPr>
      </w:pPr>
    </w:p>
    <w:p w14:paraId="604694A1" w14:textId="77777777" w:rsidR="009B5AA5" w:rsidRPr="00FA3F9C" w:rsidRDefault="009B5AA5" w:rsidP="002D375E">
      <w:pPr>
        <w:pStyle w:val="Heading2"/>
      </w:pPr>
      <w:bookmarkStart w:id="258" w:name="_Toc106369895"/>
      <w:r w:rsidRPr="00FA3F9C">
        <w:t>Pembrolizumab (Keytruda)</w:t>
      </w:r>
      <w:bookmarkEnd w:id="258"/>
    </w:p>
    <w:p w14:paraId="0EC0C1ED" w14:textId="77777777" w:rsidR="009B5AA5" w:rsidRPr="00FA3F9C" w:rsidRDefault="009B5AA5" w:rsidP="006F623F">
      <w:pPr>
        <w:spacing w:after="0"/>
        <w:jc w:val="center"/>
        <w:rPr>
          <w:rFonts w:ascii="Arial" w:hAnsi="Arial" w:cs="Arial"/>
          <w:sz w:val="24"/>
          <w:szCs w:val="24"/>
        </w:rPr>
      </w:pPr>
      <w:r w:rsidRPr="00FA3F9C">
        <w:rPr>
          <w:rFonts w:ascii="Arial" w:hAnsi="Arial" w:cs="Arial"/>
          <w:sz w:val="24"/>
          <w:szCs w:val="24"/>
        </w:rPr>
        <w:t>100 mg vials</w:t>
      </w:r>
    </w:p>
    <w:p w14:paraId="13DC67FC" w14:textId="77777777" w:rsidR="009B5AA5" w:rsidRPr="00FA3F9C" w:rsidRDefault="009B5AA5" w:rsidP="006F623F">
      <w:pPr>
        <w:spacing w:after="0"/>
        <w:jc w:val="center"/>
        <w:rPr>
          <w:rFonts w:ascii="Arial" w:hAnsi="Arial" w:cs="Arial"/>
          <w:sz w:val="24"/>
          <w:szCs w:val="24"/>
        </w:rPr>
      </w:pPr>
      <w:r w:rsidRPr="00FA3F9C">
        <w:rPr>
          <w:rFonts w:ascii="Arial" w:hAnsi="Arial" w:cs="Arial"/>
          <w:sz w:val="24"/>
          <w:szCs w:val="24"/>
        </w:rPr>
        <w:t>EBRx PA Criteria</w:t>
      </w:r>
    </w:p>
    <w:p w14:paraId="098DDB95" w14:textId="77777777" w:rsidR="009B5AA5" w:rsidRPr="00FA3F9C" w:rsidRDefault="009B5AA5" w:rsidP="006F623F">
      <w:pPr>
        <w:spacing w:after="0"/>
        <w:rPr>
          <w:rFonts w:ascii="Arial" w:hAnsi="Arial" w:cs="Arial"/>
          <w:b/>
          <w:sz w:val="24"/>
          <w:szCs w:val="24"/>
          <w:u w:val="single"/>
        </w:rPr>
      </w:pPr>
    </w:p>
    <w:p w14:paraId="222D9CFA" w14:textId="77777777" w:rsidR="009B5AA5" w:rsidRPr="00FA3F9C" w:rsidRDefault="009B5AA5" w:rsidP="006F623F">
      <w:pPr>
        <w:spacing w:after="0"/>
        <w:rPr>
          <w:rFonts w:ascii="Arial" w:hAnsi="Arial" w:cs="Arial"/>
          <w:sz w:val="24"/>
          <w:szCs w:val="24"/>
        </w:rPr>
      </w:pPr>
      <w:r w:rsidRPr="00FA3F9C">
        <w:rPr>
          <w:rFonts w:ascii="Arial" w:hAnsi="Arial" w:cs="Arial"/>
          <w:b/>
          <w:sz w:val="24"/>
          <w:szCs w:val="24"/>
          <w:u w:val="single"/>
        </w:rPr>
        <w:t>FDA-approved for:</w:t>
      </w:r>
      <w:r w:rsidRPr="00FA3F9C">
        <w:rPr>
          <w:rFonts w:ascii="Arial" w:hAnsi="Arial" w:cs="Arial"/>
          <w:sz w:val="24"/>
          <w:szCs w:val="24"/>
        </w:rPr>
        <w:t xml:space="preserve">  </w:t>
      </w:r>
    </w:p>
    <w:p w14:paraId="4AEBDEFD" w14:textId="77777777" w:rsidR="009B5AA5" w:rsidRPr="00FA3F9C" w:rsidRDefault="009B5AA5" w:rsidP="009B5AA5">
      <w:pPr>
        <w:numPr>
          <w:ilvl w:val="0"/>
          <w:numId w:val="277"/>
        </w:numPr>
        <w:spacing w:after="0" w:line="240" w:lineRule="auto"/>
        <w:rPr>
          <w:rFonts w:ascii="Arial" w:hAnsi="Arial" w:cs="Arial"/>
          <w:b/>
          <w:sz w:val="24"/>
          <w:szCs w:val="24"/>
          <w:u w:val="single"/>
        </w:rPr>
      </w:pPr>
      <w:r w:rsidRPr="00FA3F9C">
        <w:rPr>
          <w:rFonts w:ascii="Arial" w:hAnsi="Arial" w:cs="Arial"/>
          <w:b/>
          <w:sz w:val="24"/>
          <w:szCs w:val="24"/>
          <w:u w:val="single"/>
        </w:rPr>
        <w:t xml:space="preserve">Melanoma </w:t>
      </w:r>
    </w:p>
    <w:p w14:paraId="55D66447" w14:textId="77777777" w:rsidR="009B5AA5" w:rsidRPr="00FA3F9C" w:rsidRDefault="009B5AA5" w:rsidP="009B5AA5">
      <w:pPr>
        <w:numPr>
          <w:ilvl w:val="1"/>
          <w:numId w:val="277"/>
        </w:numPr>
        <w:spacing w:after="0" w:line="240" w:lineRule="auto"/>
        <w:rPr>
          <w:rFonts w:ascii="Arial" w:hAnsi="Arial" w:cs="Arial"/>
          <w:sz w:val="24"/>
          <w:szCs w:val="24"/>
        </w:rPr>
      </w:pPr>
      <w:r w:rsidRPr="00FA3F9C">
        <w:rPr>
          <w:rFonts w:ascii="Arial" w:hAnsi="Arial" w:cs="Arial"/>
          <w:sz w:val="24"/>
          <w:szCs w:val="24"/>
        </w:rPr>
        <w:t>Unresectable or metastatic melanoma [</w:t>
      </w:r>
      <w:hyperlink w:anchor="met_melanoma" w:history="1">
        <w:r w:rsidRPr="00FA3F9C">
          <w:rPr>
            <w:rStyle w:val="Hyperlink"/>
            <w:rFonts w:ascii="Arial" w:hAnsi="Arial" w:cs="Arial"/>
            <w:sz w:val="24"/>
            <w:szCs w:val="24"/>
          </w:rPr>
          <w:t>jump to criteria</w:t>
        </w:r>
      </w:hyperlink>
      <w:r w:rsidRPr="00FA3F9C">
        <w:rPr>
          <w:rFonts w:ascii="Arial" w:hAnsi="Arial" w:cs="Arial"/>
          <w:sz w:val="24"/>
          <w:szCs w:val="24"/>
        </w:rPr>
        <w:t>]</w:t>
      </w:r>
    </w:p>
    <w:p w14:paraId="1CD1E5DD" w14:textId="77777777" w:rsidR="009B5AA5" w:rsidRPr="00FA3F9C" w:rsidRDefault="009B5AA5" w:rsidP="009B5AA5">
      <w:pPr>
        <w:numPr>
          <w:ilvl w:val="1"/>
          <w:numId w:val="277"/>
        </w:numPr>
        <w:spacing w:after="0" w:line="240" w:lineRule="auto"/>
        <w:rPr>
          <w:rFonts w:ascii="Arial" w:hAnsi="Arial" w:cs="Arial"/>
          <w:sz w:val="24"/>
          <w:szCs w:val="24"/>
        </w:rPr>
      </w:pPr>
      <w:r w:rsidRPr="00FA3F9C">
        <w:rPr>
          <w:rFonts w:ascii="Arial" w:hAnsi="Arial" w:cs="Arial"/>
          <w:sz w:val="24"/>
          <w:szCs w:val="24"/>
        </w:rPr>
        <w:t>Adjuvant treatment of patients with melanoma with stage IIB, IIC, or III following complete resection [</w:t>
      </w:r>
      <w:hyperlink w:anchor="adj_melanoma" w:history="1">
        <w:r w:rsidRPr="00FA3F9C">
          <w:rPr>
            <w:rStyle w:val="Hyperlink"/>
            <w:rFonts w:ascii="Arial" w:hAnsi="Arial" w:cs="Arial"/>
            <w:sz w:val="24"/>
            <w:szCs w:val="24"/>
          </w:rPr>
          <w:t>jump to criteria</w:t>
        </w:r>
      </w:hyperlink>
      <w:r w:rsidRPr="00FA3F9C">
        <w:rPr>
          <w:rFonts w:ascii="Arial" w:hAnsi="Arial" w:cs="Arial"/>
          <w:sz w:val="24"/>
          <w:szCs w:val="24"/>
        </w:rPr>
        <w:t>]</w:t>
      </w:r>
    </w:p>
    <w:p w14:paraId="3B6C229B" w14:textId="77777777" w:rsidR="009B5AA5" w:rsidRPr="00FA3F9C" w:rsidRDefault="009B5AA5" w:rsidP="009B5AA5">
      <w:pPr>
        <w:numPr>
          <w:ilvl w:val="0"/>
          <w:numId w:val="276"/>
        </w:numPr>
        <w:spacing w:after="0" w:line="240" w:lineRule="auto"/>
        <w:rPr>
          <w:rFonts w:ascii="Arial" w:hAnsi="Arial" w:cs="Arial"/>
          <w:b/>
          <w:sz w:val="24"/>
          <w:szCs w:val="24"/>
          <w:u w:val="single"/>
        </w:rPr>
      </w:pPr>
      <w:r w:rsidRPr="00FA3F9C">
        <w:rPr>
          <w:rFonts w:ascii="Arial" w:hAnsi="Arial" w:cs="Arial"/>
          <w:b/>
          <w:sz w:val="24"/>
          <w:szCs w:val="24"/>
          <w:u w:val="single"/>
        </w:rPr>
        <w:t xml:space="preserve">Non-Small Cell Lung Cancer (NSCLC) </w:t>
      </w:r>
      <w:r w:rsidRPr="00FA3F9C">
        <w:rPr>
          <w:rFonts w:ascii="Arial" w:hAnsi="Arial" w:cs="Arial"/>
          <w:sz w:val="24"/>
          <w:szCs w:val="24"/>
        </w:rPr>
        <w:t>[</w:t>
      </w:r>
      <w:hyperlink w:anchor="nsclc" w:history="1">
        <w:r w:rsidRPr="00FA3F9C">
          <w:rPr>
            <w:rStyle w:val="Hyperlink"/>
            <w:rFonts w:ascii="Arial" w:hAnsi="Arial" w:cs="Arial"/>
            <w:sz w:val="24"/>
            <w:szCs w:val="24"/>
          </w:rPr>
          <w:t>jump to criteria</w:t>
        </w:r>
      </w:hyperlink>
      <w:r w:rsidRPr="00FA3F9C">
        <w:rPr>
          <w:rFonts w:ascii="Arial" w:hAnsi="Arial" w:cs="Arial"/>
          <w:sz w:val="24"/>
          <w:szCs w:val="24"/>
        </w:rPr>
        <w:t>]</w:t>
      </w:r>
    </w:p>
    <w:p w14:paraId="3E786D8C" w14:textId="77777777" w:rsidR="009B5AA5" w:rsidRPr="00FA3F9C" w:rsidRDefault="009B5AA5" w:rsidP="009B5AA5">
      <w:pPr>
        <w:numPr>
          <w:ilvl w:val="1"/>
          <w:numId w:val="276"/>
        </w:numPr>
        <w:spacing w:after="0" w:line="240" w:lineRule="auto"/>
        <w:rPr>
          <w:rFonts w:ascii="Arial" w:hAnsi="Arial" w:cs="Arial"/>
          <w:sz w:val="24"/>
          <w:szCs w:val="24"/>
        </w:rPr>
      </w:pPr>
      <w:r w:rsidRPr="00FA3F9C">
        <w:rPr>
          <w:rFonts w:ascii="Arial" w:hAnsi="Arial" w:cs="Arial"/>
          <w:sz w:val="24"/>
          <w:szCs w:val="24"/>
        </w:rPr>
        <w:t xml:space="preserve">In combination with pemetrexed and platinum chemotherapy as first line treatment of patients with metastatic </w:t>
      </w:r>
      <w:proofErr w:type="spellStart"/>
      <w:r w:rsidRPr="00FA3F9C">
        <w:rPr>
          <w:rFonts w:ascii="Arial" w:hAnsi="Arial" w:cs="Arial"/>
          <w:sz w:val="24"/>
          <w:szCs w:val="24"/>
        </w:rPr>
        <w:t>nonsquamous</w:t>
      </w:r>
      <w:proofErr w:type="spellEnd"/>
      <w:r w:rsidRPr="00FA3F9C">
        <w:rPr>
          <w:rFonts w:ascii="Arial" w:hAnsi="Arial" w:cs="Arial"/>
          <w:sz w:val="24"/>
          <w:szCs w:val="24"/>
        </w:rPr>
        <w:t xml:space="preserve"> NSCLC, with no EGFR or ALK genomic tumor aberrations.</w:t>
      </w:r>
    </w:p>
    <w:p w14:paraId="2D0F7A83" w14:textId="77777777" w:rsidR="009B5AA5" w:rsidRPr="00FA3F9C" w:rsidRDefault="009B5AA5" w:rsidP="009B5AA5">
      <w:pPr>
        <w:numPr>
          <w:ilvl w:val="1"/>
          <w:numId w:val="276"/>
        </w:numPr>
        <w:spacing w:after="0" w:line="240" w:lineRule="auto"/>
        <w:rPr>
          <w:rFonts w:ascii="Arial" w:hAnsi="Arial" w:cs="Arial"/>
          <w:sz w:val="24"/>
          <w:szCs w:val="24"/>
        </w:rPr>
      </w:pPr>
      <w:r w:rsidRPr="00FA3F9C">
        <w:rPr>
          <w:rFonts w:ascii="Arial" w:hAnsi="Arial" w:cs="Arial"/>
          <w:sz w:val="24"/>
          <w:szCs w:val="24"/>
        </w:rPr>
        <w:t xml:space="preserve">In combination with carboplatin and either paclitaxel or nab-paclitaxel, as first-line treatment of patients with metastatic squamous NSCLC. </w:t>
      </w:r>
      <w:r w:rsidRPr="00FA3F9C">
        <w:rPr>
          <w:rFonts w:ascii="Arial" w:hAnsi="Arial" w:cs="Arial"/>
          <w:sz w:val="24"/>
          <w:szCs w:val="24"/>
          <w:highlight w:val="yellow"/>
        </w:rPr>
        <w:t>Covered with conventional paclitaxel only</w:t>
      </w:r>
    </w:p>
    <w:p w14:paraId="45DBC796" w14:textId="77777777" w:rsidR="009B5AA5" w:rsidRPr="00FA3F9C" w:rsidRDefault="009B5AA5" w:rsidP="009B5AA5">
      <w:pPr>
        <w:numPr>
          <w:ilvl w:val="1"/>
          <w:numId w:val="276"/>
        </w:numPr>
        <w:spacing w:after="0" w:line="240" w:lineRule="auto"/>
        <w:rPr>
          <w:rFonts w:ascii="Arial" w:hAnsi="Arial" w:cs="Arial"/>
          <w:sz w:val="24"/>
          <w:szCs w:val="24"/>
        </w:rPr>
      </w:pPr>
      <w:r w:rsidRPr="00FA3F9C">
        <w:rPr>
          <w:rFonts w:ascii="Arial" w:hAnsi="Arial" w:cs="Arial"/>
          <w:sz w:val="24"/>
          <w:szCs w:val="24"/>
        </w:rPr>
        <w:t xml:space="preserve">As a single agent for the first-line treatment of patients with stage III NSCLC, who are not candidates for surgical resection or definitive chemoradiation, or metastatic NSCLC, and whose tumors express PD-L1 [tumor proportion score (TPS) </w:t>
      </w:r>
      <w:r w:rsidRPr="00FA3F9C">
        <w:rPr>
          <w:rFonts w:ascii="Arial" w:hAnsi="Arial" w:cs="Arial"/>
          <w:sz w:val="24"/>
          <w:szCs w:val="24"/>
          <w:u w:val="single"/>
        </w:rPr>
        <w:t>&gt;</w:t>
      </w:r>
      <w:r w:rsidRPr="00FA3F9C">
        <w:rPr>
          <w:rFonts w:ascii="Arial" w:hAnsi="Arial" w:cs="Arial"/>
          <w:sz w:val="24"/>
          <w:szCs w:val="24"/>
        </w:rPr>
        <w:t>1%] with no EGFR or ALK genomic tumor aberrations</w:t>
      </w:r>
    </w:p>
    <w:p w14:paraId="1B8490B9" w14:textId="77777777" w:rsidR="009B5AA5" w:rsidRPr="00FA3F9C" w:rsidRDefault="009B5AA5" w:rsidP="009B5AA5">
      <w:pPr>
        <w:numPr>
          <w:ilvl w:val="1"/>
          <w:numId w:val="276"/>
        </w:numPr>
        <w:spacing w:after="0" w:line="240" w:lineRule="auto"/>
        <w:rPr>
          <w:rFonts w:ascii="Arial" w:hAnsi="Arial" w:cs="Arial"/>
          <w:sz w:val="24"/>
          <w:szCs w:val="24"/>
        </w:rPr>
      </w:pPr>
      <w:r w:rsidRPr="00FA3F9C">
        <w:rPr>
          <w:rFonts w:ascii="Arial" w:hAnsi="Arial" w:cs="Arial"/>
          <w:sz w:val="24"/>
          <w:szCs w:val="24"/>
        </w:rPr>
        <w:t xml:space="preserve">As a single agent for the treatment of patients with metastatic NSCLC whose tumors express PD-L1 (TPS </w:t>
      </w:r>
      <w:r w:rsidRPr="00FA3F9C">
        <w:rPr>
          <w:rFonts w:ascii="Arial" w:hAnsi="Arial" w:cs="Arial"/>
          <w:sz w:val="24"/>
          <w:szCs w:val="24"/>
          <w:u w:val="single"/>
        </w:rPr>
        <w:t>&gt;</w:t>
      </w:r>
      <w:r w:rsidRPr="00FA3F9C">
        <w:rPr>
          <w:rFonts w:ascii="Arial" w:hAnsi="Arial" w:cs="Arial"/>
          <w:sz w:val="24"/>
          <w:szCs w:val="24"/>
        </w:rPr>
        <w:t>1%) with disease progression on or after platinum-containing chemotherapy. Patients with EGFR or ALK genomic tumor aberrations should have disease progression on FDA-approved therapy for these aberrations prior to receiving pembrolizumab.</w:t>
      </w:r>
    </w:p>
    <w:p w14:paraId="47B0CAC5" w14:textId="77777777" w:rsidR="009B5AA5" w:rsidRPr="00FA3F9C" w:rsidRDefault="009B5AA5" w:rsidP="009B5AA5">
      <w:pPr>
        <w:numPr>
          <w:ilvl w:val="0"/>
          <w:numId w:val="278"/>
        </w:numPr>
        <w:spacing w:after="0" w:line="240" w:lineRule="auto"/>
        <w:rPr>
          <w:rFonts w:ascii="Arial" w:hAnsi="Arial" w:cs="Arial"/>
          <w:sz w:val="24"/>
          <w:szCs w:val="24"/>
        </w:rPr>
      </w:pPr>
      <w:r w:rsidRPr="00FA3F9C">
        <w:rPr>
          <w:rFonts w:ascii="Arial" w:hAnsi="Arial" w:cs="Arial"/>
          <w:b/>
          <w:sz w:val="24"/>
          <w:szCs w:val="24"/>
          <w:u w:val="single"/>
        </w:rPr>
        <w:t>Head and Neck Squamous Cell Carcinoma (HNSCC)</w:t>
      </w:r>
      <w:r w:rsidRPr="00FA3F9C">
        <w:rPr>
          <w:rFonts w:ascii="Arial" w:hAnsi="Arial" w:cs="Arial"/>
          <w:sz w:val="24"/>
          <w:szCs w:val="24"/>
        </w:rPr>
        <w:t xml:space="preserve"> </w:t>
      </w:r>
    </w:p>
    <w:p w14:paraId="645FBEEE" w14:textId="77777777" w:rsidR="009B5AA5" w:rsidRPr="00FA3F9C" w:rsidRDefault="009B5AA5" w:rsidP="009B5AA5">
      <w:pPr>
        <w:numPr>
          <w:ilvl w:val="1"/>
          <w:numId w:val="278"/>
        </w:numPr>
        <w:spacing w:after="0" w:line="240" w:lineRule="auto"/>
        <w:rPr>
          <w:rFonts w:ascii="Arial" w:hAnsi="Arial" w:cs="Arial"/>
          <w:color w:val="FF0000"/>
          <w:sz w:val="24"/>
          <w:szCs w:val="24"/>
        </w:rPr>
      </w:pPr>
      <w:r w:rsidRPr="00FA3F9C">
        <w:rPr>
          <w:rFonts w:ascii="Arial" w:hAnsi="Arial" w:cs="Arial"/>
          <w:sz w:val="24"/>
          <w:szCs w:val="24"/>
        </w:rPr>
        <w:t>In combination with platinum and fluorouracil for the first-line treatment of patients with metastatic or with unresectable, recurrent HNSCC [</w:t>
      </w:r>
      <w:hyperlink w:anchor="hnscc_untreated" w:history="1">
        <w:r w:rsidRPr="00FA3F9C">
          <w:rPr>
            <w:rStyle w:val="Hyperlink"/>
            <w:rFonts w:ascii="Arial" w:hAnsi="Arial" w:cs="Arial"/>
            <w:sz w:val="24"/>
            <w:szCs w:val="24"/>
          </w:rPr>
          <w:t>jump to criteria</w:t>
        </w:r>
      </w:hyperlink>
      <w:r w:rsidRPr="00FA3F9C">
        <w:rPr>
          <w:rFonts w:ascii="Arial" w:hAnsi="Arial" w:cs="Arial"/>
          <w:sz w:val="24"/>
          <w:szCs w:val="24"/>
        </w:rPr>
        <w:t>]</w:t>
      </w:r>
    </w:p>
    <w:p w14:paraId="482CA8B8" w14:textId="77777777" w:rsidR="009B5AA5" w:rsidRPr="00FA3F9C" w:rsidRDefault="009B5AA5" w:rsidP="009B5AA5">
      <w:pPr>
        <w:numPr>
          <w:ilvl w:val="1"/>
          <w:numId w:val="278"/>
        </w:numPr>
        <w:spacing w:after="0" w:line="240" w:lineRule="auto"/>
        <w:rPr>
          <w:rFonts w:ascii="Arial" w:hAnsi="Arial" w:cs="Arial"/>
          <w:color w:val="FF0000"/>
          <w:sz w:val="24"/>
          <w:szCs w:val="24"/>
        </w:rPr>
      </w:pPr>
      <w:r w:rsidRPr="00FA3F9C">
        <w:rPr>
          <w:rFonts w:ascii="Arial" w:hAnsi="Arial" w:cs="Arial"/>
          <w:sz w:val="24"/>
          <w:szCs w:val="24"/>
        </w:rPr>
        <w:lastRenderedPageBreak/>
        <w:t>As a single agent for the first-line treatment of patients with metastatic or with unresectable, recurrent HNSCC whose tumors express PD-L1 [Combined Positive Score (CPS) ≥1] as determined by an FDA-approved test [</w:t>
      </w:r>
      <w:hyperlink w:anchor="hnscc_untreated" w:history="1">
        <w:r w:rsidRPr="00FA3F9C">
          <w:rPr>
            <w:rStyle w:val="Hyperlink"/>
            <w:rFonts w:ascii="Arial" w:hAnsi="Arial" w:cs="Arial"/>
            <w:sz w:val="24"/>
            <w:szCs w:val="24"/>
          </w:rPr>
          <w:t>jump to criteria</w:t>
        </w:r>
      </w:hyperlink>
      <w:r w:rsidRPr="00FA3F9C">
        <w:rPr>
          <w:rFonts w:ascii="Arial" w:hAnsi="Arial" w:cs="Arial"/>
          <w:sz w:val="24"/>
          <w:szCs w:val="24"/>
        </w:rPr>
        <w:t>]</w:t>
      </w:r>
    </w:p>
    <w:p w14:paraId="74518923" w14:textId="77777777" w:rsidR="009B5AA5" w:rsidRPr="00FA3F9C" w:rsidRDefault="009B5AA5" w:rsidP="009B5AA5">
      <w:pPr>
        <w:numPr>
          <w:ilvl w:val="1"/>
          <w:numId w:val="278"/>
        </w:numPr>
        <w:spacing w:after="0" w:line="240" w:lineRule="auto"/>
        <w:rPr>
          <w:rFonts w:ascii="Arial" w:hAnsi="Arial" w:cs="Arial"/>
          <w:sz w:val="24"/>
          <w:szCs w:val="24"/>
        </w:rPr>
      </w:pPr>
      <w:r w:rsidRPr="00FA3F9C">
        <w:rPr>
          <w:rFonts w:ascii="Arial" w:hAnsi="Arial" w:cs="Arial"/>
          <w:sz w:val="24"/>
          <w:szCs w:val="24"/>
        </w:rPr>
        <w:t>As a single agent for the treatment of patients with recurrent or metastatic HNSCC with disease progression on or after platinum containing chemotherapy. [</w:t>
      </w:r>
      <w:hyperlink w:anchor="hnscc_prev_tx" w:history="1">
        <w:r w:rsidRPr="00FA3F9C">
          <w:rPr>
            <w:rStyle w:val="Hyperlink"/>
            <w:rFonts w:ascii="Arial" w:hAnsi="Arial" w:cs="Arial"/>
            <w:sz w:val="24"/>
            <w:szCs w:val="24"/>
          </w:rPr>
          <w:t>jump to criteria</w:t>
        </w:r>
      </w:hyperlink>
      <w:r w:rsidRPr="00FA3F9C">
        <w:rPr>
          <w:rFonts w:ascii="Arial" w:hAnsi="Arial" w:cs="Arial"/>
          <w:sz w:val="24"/>
          <w:szCs w:val="24"/>
        </w:rPr>
        <w:t>]</w:t>
      </w:r>
    </w:p>
    <w:p w14:paraId="7706EBF0" w14:textId="77777777" w:rsidR="009B5AA5" w:rsidRPr="00FA3F9C" w:rsidRDefault="009B5AA5" w:rsidP="009B5AA5">
      <w:pPr>
        <w:numPr>
          <w:ilvl w:val="0"/>
          <w:numId w:val="278"/>
        </w:numPr>
        <w:spacing w:after="0" w:line="240" w:lineRule="auto"/>
        <w:rPr>
          <w:rFonts w:ascii="Arial" w:hAnsi="Arial" w:cs="Arial"/>
          <w:sz w:val="24"/>
          <w:szCs w:val="24"/>
        </w:rPr>
      </w:pPr>
      <w:r w:rsidRPr="00FA3F9C">
        <w:rPr>
          <w:rFonts w:ascii="Arial" w:hAnsi="Arial" w:cs="Arial"/>
          <w:b/>
          <w:sz w:val="24"/>
          <w:szCs w:val="24"/>
          <w:u w:val="single"/>
        </w:rPr>
        <w:t xml:space="preserve">Classical Hodgkin lymphoma (CHL) </w:t>
      </w:r>
      <w:r w:rsidRPr="00FA3F9C">
        <w:rPr>
          <w:rFonts w:ascii="Arial" w:hAnsi="Arial" w:cs="Arial"/>
          <w:sz w:val="24"/>
          <w:szCs w:val="24"/>
          <w:shd w:val="clear" w:color="auto" w:fill="FFFF00"/>
        </w:rPr>
        <w:t>NOT COVERED (see nivolumab)</w:t>
      </w:r>
    </w:p>
    <w:p w14:paraId="5F964980" w14:textId="77777777" w:rsidR="009B5AA5" w:rsidRPr="00FA3F9C" w:rsidRDefault="009B5AA5" w:rsidP="009B5AA5">
      <w:pPr>
        <w:numPr>
          <w:ilvl w:val="1"/>
          <w:numId w:val="278"/>
        </w:numPr>
        <w:spacing w:after="0" w:line="240" w:lineRule="auto"/>
        <w:rPr>
          <w:rFonts w:ascii="Arial" w:hAnsi="Arial" w:cs="Arial"/>
          <w:sz w:val="24"/>
          <w:szCs w:val="24"/>
        </w:rPr>
      </w:pPr>
      <w:r w:rsidRPr="00FA3F9C">
        <w:rPr>
          <w:rFonts w:ascii="Arial" w:hAnsi="Arial" w:cs="Arial"/>
          <w:sz w:val="24"/>
          <w:szCs w:val="24"/>
        </w:rPr>
        <w:t xml:space="preserve">Treatment of adult patients with relapsed or refractory </w:t>
      </w:r>
      <w:proofErr w:type="spellStart"/>
      <w:r w:rsidRPr="00FA3F9C">
        <w:rPr>
          <w:rFonts w:ascii="Arial" w:hAnsi="Arial" w:cs="Arial"/>
          <w:sz w:val="24"/>
          <w:szCs w:val="24"/>
        </w:rPr>
        <w:t>cHL.</w:t>
      </w:r>
      <w:proofErr w:type="spellEnd"/>
      <w:r w:rsidRPr="00FA3F9C">
        <w:rPr>
          <w:rFonts w:ascii="Arial" w:hAnsi="Arial" w:cs="Arial"/>
          <w:sz w:val="24"/>
          <w:szCs w:val="24"/>
        </w:rPr>
        <w:t xml:space="preserve"> </w:t>
      </w:r>
    </w:p>
    <w:p w14:paraId="238EA252" w14:textId="77777777" w:rsidR="009B5AA5" w:rsidRPr="00FA3F9C" w:rsidRDefault="009B5AA5" w:rsidP="009B5AA5">
      <w:pPr>
        <w:numPr>
          <w:ilvl w:val="2"/>
          <w:numId w:val="278"/>
        </w:numPr>
        <w:spacing w:after="0" w:line="240" w:lineRule="auto"/>
        <w:rPr>
          <w:rFonts w:ascii="Arial" w:hAnsi="Arial" w:cs="Arial"/>
          <w:sz w:val="24"/>
          <w:szCs w:val="24"/>
        </w:rPr>
      </w:pPr>
      <w:r w:rsidRPr="00FA3F9C">
        <w:rPr>
          <w:rFonts w:ascii="Arial" w:hAnsi="Arial" w:cs="Arial"/>
          <w:sz w:val="24"/>
          <w:szCs w:val="24"/>
        </w:rPr>
        <w:t>Pembrolizumab was compared to brentuximab. Pembrolizumab was associated with an improvement in progression free survival only.</w:t>
      </w:r>
    </w:p>
    <w:p w14:paraId="31F5F011" w14:textId="77777777" w:rsidR="009B5AA5" w:rsidRPr="00FA3F9C" w:rsidRDefault="009B5AA5" w:rsidP="009B5AA5">
      <w:pPr>
        <w:numPr>
          <w:ilvl w:val="1"/>
          <w:numId w:val="278"/>
        </w:numPr>
        <w:spacing w:after="0" w:line="240" w:lineRule="auto"/>
        <w:rPr>
          <w:rFonts w:ascii="Arial" w:hAnsi="Arial" w:cs="Arial"/>
          <w:sz w:val="24"/>
          <w:szCs w:val="24"/>
        </w:rPr>
      </w:pPr>
      <w:r w:rsidRPr="00FA3F9C">
        <w:rPr>
          <w:rFonts w:ascii="Arial" w:hAnsi="Arial" w:cs="Arial"/>
          <w:sz w:val="24"/>
          <w:szCs w:val="24"/>
        </w:rPr>
        <w:t xml:space="preserve">For the treatment of pediatric patients with refractory </w:t>
      </w:r>
      <w:proofErr w:type="spellStart"/>
      <w:r w:rsidRPr="00FA3F9C">
        <w:rPr>
          <w:rFonts w:ascii="Arial" w:hAnsi="Arial" w:cs="Arial"/>
          <w:sz w:val="24"/>
          <w:szCs w:val="24"/>
        </w:rPr>
        <w:t>cHL</w:t>
      </w:r>
      <w:proofErr w:type="spellEnd"/>
      <w:r w:rsidRPr="00FA3F9C">
        <w:rPr>
          <w:rFonts w:ascii="Arial" w:hAnsi="Arial" w:cs="Arial"/>
          <w:sz w:val="24"/>
          <w:szCs w:val="24"/>
        </w:rPr>
        <w:t xml:space="preserve">, or </w:t>
      </w:r>
      <w:proofErr w:type="spellStart"/>
      <w:r w:rsidRPr="00FA3F9C">
        <w:rPr>
          <w:rFonts w:ascii="Arial" w:hAnsi="Arial" w:cs="Arial"/>
          <w:sz w:val="24"/>
          <w:szCs w:val="24"/>
        </w:rPr>
        <w:t>cHL</w:t>
      </w:r>
      <w:proofErr w:type="spellEnd"/>
      <w:r w:rsidRPr="00FA3F9C">
        <w:rPr>
          <w:rFonts w:ascii="Arial" w:hAnsi="Arial" w:cs="Arial"/>
          <w:sz w:val="24"/>
          <w:szCs w:val="24"/>
        </w:rPr>
        <w:t xml:space="preserve"> that has relapsed after 2 or more lines of therapy.</w:t>
      </w:r>
    </w:p>
    <w:p w14:paraId="43079291" w14:textId="77777777" w:rsidR="009B5AA5" w:rsidRPr="00FA3F9C" w:rsidRDefault="009B5AA5" w:rsidP="009B5AA5">
      <w:pPr>
        <w:numPr>
          <w:ilvl w:val="1"/>
          <w:numId w:val="278"/>
        </w:numPr>
        <w:spacing w:after="0" w:line="240" w:lineRule="auto"/>
        <w:rPr>
          <w:rFonts w:ascii="Arial" w:hAnsi="Arial" w:cs="Arial"/>
          <w:sz w:val="24"/>
          <w:szCs w:val="24"/>
        </w:rPr>
      </w:pPr>
      <w:r w:rsidRPr="00FA3F9C">
        <w:rPr>
          <w:rFonts w:ascii="Arial" w:hAnsi="Arial" w:cs="Arial"/>
          <w:sz w:val="24"/>
          <w:szCs w:val="24"/>
        </w:rPr>
        <w:t xml:space="preserve">References: </w:t>
      </w:r>
    </w:p>
    <w:p w14:paraId="148EAF14" w14:textId="77777777" w:rsidR="009B5AA5" w:rsidRPr="00FA3F9C" w:rsidRDefault="009B5AA5" w:rsidP="00436D8D">
      <w:pPr>
        <w:spacing w:after="0" w:line="240" w:lineRule="auto"/>
        <w:ind w:left="1080"/>
        <w:rPr>
          <w:rFonts w:ascii="Arial" w:hAnsi="Arial" w:cs="Arial"/>
          <w:sz w:val="24"/>
          <w:szCs w:val="24"/>
        </w:rPr>
      </w:pPr>
      <w:r w:rsidRPr="00FA3F9C">
        <w:rPr>
          <w:rFonts w:ascii="Arial" w:hAnsi="Arial" w:cs="Arial"/>
          <w:sz w:val="24"/>
          <w:szCs w:val="24"/>
        </w:rPr>
        <w:t>-Chen R et al. Pembrolizumab in relapsed or refractory Hodgkin lymphoma: Two-year follow-up of KEYNOTE-087. Blood. 2019 Aug 13. [</w:t>
      </w:r>
      <w:proofErr w:type="spellStart"/>
      <w:r w:rsidRPr="00FA3F9C">
        <w:rPr>
          <w:rFonts w:ascii="Arial" w:hAnsi="Arial" w:cs="Arial"/>
          <w:sz w:val="24"/>
          <w:szCs w:val="24"/>
        </w:rPr>
        <w:t>Epub</w:t>
      </w:r>
      <w:proofErr w:type="spellEnd"/>
      <w:r w:rsidRPr="00FA3F9C">
        <w:rPr>
          <w:rFonts w:ascii="Arial" w:hAnsi="Arial" w:cs="Arial"/>
          <w:sz w:val="24"/>
          <w:szCs w:val="24"/>
        </w:rPr>
        <w:t xml:space="preserve"> ahead of print] PMID </w:t>
      </w:r>
      <w:proofErr w:type="gramStart"/>
      <w:r w:rsidRPr="00FA3F9C">
        <w:rPr>
          <w:rFonts w:ascii="Arial" w:hAnsi="Arial" w:cs="Arial"/>
          <w:sz w:val="24"/>
          <w:szCs w:val="24"/>
        </w:rPr>
        <w:t>31409671;</w:t>
      </w:r>
      <w:proofErr w:type="gramEnd"/>
      <w:r w:rsidRPr="00FA3F9C">
        <w:rPr>
          <w:rFonts w:ascii="Arial" w:hAnsi="Arial" w:cs="Arial"/>
          <w:sz w:val="24"/>
          <w:szCs w:val="24"/>
        </w:rPr>
        <w:t xml:space="preserve"> </w:t>
      </w:r>
    </w:p>
    <w:p w14:paraId="40DF430B" w14:textId="77777777" w:rsidR="009B5AA5" w:rsidRPr="00FA3F9C" w:rsidRDefault="009B5AA5" w:rsidP="00436D8D">
      <w:pPr>
        <w:spacing w:after="0" w:line="240" w:lineRule="auto"/>
        <w:ind w:left="1080"/>
        <w:rPr>
          <w:rFonts w:ascii="Arial" w:hAnsi="Arial" w:cs="Arial"/>
          <w:sz w:val="24"/>
          <w:szCs w:val="24"/>
        </w:rPr>
      </w:pPr>
      <w:r w:rsidRPr="00FA3F9C">
        <w:rPr>
          <w:rFonts w:ascii="Arial" w:hAnsi="Arial" w:cs="Arial"/>
          <w:sz w:val="24"/>
          <w:szCs w:val="24"/>
        </w:rPr>
        <w:t xml:space="preserve">-Chen R et al. Phase II Study of the Efficacy and Safety of Pembrolizumab for Relapsed/Refractory Classic Hodgkin Lymphoma. J Clin Oncol. 2017 Jul 1;35(19):2125-2132. </w:t>
      </w:r>
      <w:proofErr w:type="spellStart"/>
      <w:r w:rsidRPr="00FA3F9C">
        <w:rPr>
          <w:rFonts w:ascii="Arial" w:hAnsi="Arial" w:cs="Arial"/>
          <w:sz w:val="24"/>
          <w:szCs w:val="24"/>
        </w:rPr>
        <w:t>Epub</w:t>
      </w:r>
      <w:proofErr w:type="spellEnd"/>
      <w:r w:rsidRPr="00FA3F9C">
        <w:rPr>
          <w:rFonts w:ascii="Arial" w:hAnsi="Arial" w:cs="Arial"/>
          <w:sz w:val="24"/>
          <w:szCs w:val="24"/>
        </w:rPr>
        <w:t xml:space="preserve"> 2017 Apr 25 .PMID 28441111</w:t>
      </w:r>
    </w:p>
    <w:p w14:paraId="501BE05A" w14:textId="77777777" w:rsidR="009B5AA5" w:rsidRPr="00FA3F9C" w:rsidRDefault="009B5AA5" w:rsidP="001D1334">
      <w:pPr>
        <w:spacing w:after="0" w:line="240" w:lineRule="auto"/>
        <w:ind w:left="1080"/>
        <w:rPr>
          <w:rFonts w:ascii="Arial" w:hAnsi="Arial" w:cs="Arial"/>
          <w:sz w:val="24"/>
          <w:szCs w:val="24"/>
        </w:rPr>
      </w:pPr>
      <w:r w:rsidRPr="00FA3F9C">
        <w:rPr>
          <w:rFonts w:ascii="Arial" w:hAnsi="Arial" w:cs="Arial"/>
          <w:sz w:val="24"/>
          <w:szCs w:val="24"/>
        </w:rPr>
        <w:t xml:space="preserve">-Pembrolizumab Package Insert </w:t>
      </w:r>
    </w:p>
    <w:p w14:paraId="587AB0FD" w14:textId="77777777" w:rsidR="009B5AA5" w:rsidRPr="00FA3F9C" w:rsidRDefault="009B5AA5" w:rsidP="001D1334">
      <w:pPr>
        <w:spacing w:after="0" w:line="240" w:lineRule="auto"/>
        <w:ind w:left="1080"/>
        <w:rPr>
          <w:rFonts w:ascii="Arial" w:hAnsi="Arial" w:cs="Arial"/>
          <w:sz w:val="24"/>
          <w:szCs w:val="24"/>
        </w:rPr>
      </w:pPr>
    </w:p>
    <w:p w14:paraId="75E4C102" w14:textId="77777777" w:rsidR="009B5AA5" w:rsidRPr="00FA3F9C" w:rsidRDefault="009B5AA5" w:rsidP="009B5AA5">
      <w:pPr>
        <w:numPr>
          <w:ilvl w:val="0"/>
          <w:numId w:val="278"/>
        </w:numPr>
        <w:spacing w:after="0" w:line="240" w:lineRule="auto"/>
        <w:rPr>
          <w:rFonts w:ascii="Arial" w:hAnsi="Arial" w:cs="Arial"/>
          <w:sz w:val="24"/>
          <w:szCs w:val="24"/>
        </w:rPr>
      </w:pPr>
      <w:r w:rsidRPr="00FA3F9C">
        <w:rPr>
          <w:rFonts w:ascii="Arial" w:hAnsi="Arial" w:cs="Arial"/>
          <w:b/>
          <w:sz w:val="24"/>
          <w:szCs w:val="24"/>
          <w:u w:val="single"/>
        </w:rPr>
        <w:t>Primary Mediastinal Large B-Cell Lymphoma (PMBCL)</w:t>
      </w:r>
    </w:p>
    <w:p w14:paraId="63CD6788" w14:textId="77777777" w:rsidR="009B5AA5" w:rsidRPr="00FA3F9C" w:rsidRDefault="009B5AA5" w:rsidP="009B5AA5">
      <w:pPr>
        <w:numPr>
          <w:ilvl w:val="1"/>
          <w:numId w:val="278"/>
        </w:numPr>
        <w:spacing w:after="0" w:line="240" w:lineRule="auto"/>
        <w:rPr>
          <w:rFonts w:ascii="Arial" w:hAnsi="Arial" w:cs="Arial"/>
          <w:b/>
          <w:sz w:val="24"/>
          <w:szCs w:val="24"/>
          <w:u w:val="single"/>
        </w:rPr>
      </w:pPr>
      <w:r w:rsidRPr="00FA3F9C">
        <w:rPr>
          <w:rFonts w:ascii="Arial" w:hAnsi="Arial" w:cs="Arial"/>
          <w:sz w:val="24"/>
          <w:szCs w:val="24"/>
        </w:rPr>
        <w:t xml:space="preserve">Treatment of adult and pediatric patients with refractory PMBCL, or who have relapsed after 2 or more prior lines of </w:t>
      </w:r>
      <w:proofErr w:type="spellStart"/>
      <w:r w:rsidRPr="00FA3F9C">
        <w:rPr>
          <w:rFonts w:ascii="Arial" w:hAnsi="Arial" w:cs="Arial"/>
          <w:sz w:val="24"/>
          <w:szCs w:val="24"/>
        </w:rPr>
        <w:t>therapy</w:t>
      </w:r>
      <w:r w:rsidRPr="00FA3F9C">
        <w:rPr>
          <w:rFonts w:ascii="Arial" w:hAnsi="Arial" w:cs="Arial"/>
          <w:sz w:val="24"/>
          <w:szCs w:val="24"/>
          <w:vertAlign w:val="superscript"/>
        </w:rPr>
        <w:t>a</w:t>
      </w:r>
      <w:proofErr w:type="spellEnd"/>
      <w:r w:rsidRPr="00FA3F9C">
        <w:rPr>
          <w:rFonts w:ascii="Arial" w:hAnsi="Arial" w:cs="Arial"/>
          <w:sz w:val="24"/>
          <w:szCs w:val="24"/>
        </w:rPr>
        <w:t xml:space="preserve"> </w:t>
      </w:r>
      <w:r w:rsidRPr="00FA3F9C">
        <w:rPr>
          <w:rFonts w:ascii="Arial" w:hAnsi="Arial" w:cs="Arial"/>
          <w:sz w:val="24"/>
          <w:szCs w:val="24"/>
          <w:highlight w:val="yellow"/>
        </w:rPr>
        <w:t>NOT COVERED</w:t>
      </w:r>
      <w:r w:rsidRPr="00FA3F9C">
        <w:rPr>
          <w:rFonts w:ascii="Arial" w:hAnsi="Arial" w:cs="Arial"/>
          <w:sz w:val="24"/>
          <w:szCs w:val="24"/>
        </w:rPr>
        <w:t>: lack of comparative data; EBRx does not cover any immunotherapy for PMBCL</w:t>
      </w:r>
    </w:p>
    <w:p w14:paraId="5A09A558" w14:textId="77777777" w:rsidR="009B5AA5" w:rsidRPr="00FA3F9C" w:rsidRDefault="009B5AA5" w:rsidP="009B5AA5">
      <w:pPr>
        <w:numPr>
          <w:ilvl w:val="0"/>
          <w:numId w:val="278"/>
        </w:numPr>
        <w:spacing w:after="0" w:line="240" w:lineRule="auto"/>
        <w:rPr>
          <w:rFonts w:ascii="Arial" w:hAnsi="Arial" w:cs="Arial"/>
          <w:b/>
          <w:sz w:val="24"/>
          <w:szCs w:val="24"/>
        </w:rPr>
      </w:pPr>
      <w:r w:rsidRPr="00FA3F9C">
        <w:rPr>
          <w:rFonts w:ascii="Arial" w:hAnsi="Arial" w:cs="Arial"/>
          <w:b/>
          <w:sz w:val="24"/>
          <w:szCs w:val="24"/>
          <w:u w:val="single"/>
        </w:rPr>
        <w:t>Urothelial carcinoma</w:t>
      </w:r>
    </w:p>
    <w:p w14:paraId="3F19121C" w14:textId="77777777" w:rsidR="009B5AA5" w:rsidRPr="00FA3F9C" w:rsidRDefault="009B5AA5" w:rsidP="009B5AA5">
      <w:pPr>
        <w:numPr>
          <w:ilvl w:val="1"/>
          <w:numId w:val="278"/>
        </w:numPr>
        <w:spacing w:after="0" w:line="240" w:lineRule="auto"/>
        <w:rPr>
          <w:rFonts w:ascii="Arial" w:hAnsi="Arial" w:cs="Arial"/>
          <w:sz w:val="24"/>
          <w:szCs w:val="24"/>
        </w:rPr>
      </w:pPr>
      <w:r w:rsidRPr="00FA3F9C">
        <w:rPr>
          <w:rFonts w:ascii="Arial" w:hAnsi="Arial" w:cs="Arial"/>
          <w:sz w:val="24"/>
          <w:szCs w:val="24"/>
        </w:rPr>
        <w:t xml:space="preserve">Locally advanced or metastatic disease and not eligible for any platinum-containing chemotherapy </w:t>
      </w:r>
      <w:r w:rsidRPr="00FA3F9C">
        <w:rPr>
          <w:rFonts w:ascii="Arial" w:hAnsi="Arial" w:cs="Arial"/>
          <w:sz w:val="24"/>
          <w:szCs w:val="24"/>
          <w:highlight w:val="yellow"/>
        </w:rPr>
        <w:t>NOT COVERED</w:t>
      </w:r>
      <w:r w:rsidRPr="00FA3F9C">
        <w:rPr>
          <w:rFonts w:ascii="Arial" w:hAnsi="Arial" w:cs="Arial"/>
          <w:sz w:val="24"/>
          <w:szCs w:val="24"/>
        </w:rPr>
        <w:t>: lack of comparative data</w:t>
      </w:r>
    </w:p>
    <w:p w14:paraId="3FD8A0A7" w14:textId="77777777" w:rsidR="009B5AA5" w:rsidRPr="00FA3F9C" w:rsidRDefault="009B5AA5" w:rsidP="009B5AA5">
      <w:pPr>
        <w:numPr>
          <w:ilvl w:val="1"/>
          <w:numId w:val="278"/>
        </w:numPr>
        <w:spacing w:after="0" w:line="240" w:lineRule="auto"/>
        <w:rPr>
          <w:rFonts w:ascii="Arial" w:hAnsi="Arial" w:cs="Arial"/>
          <w:sz w:val="24"/>
          <w:szCs w:val="24"/>
        </w:rPr>
      </w:pPr>
      <w:r w:rsidRPr="00FA3F9C">
        <w:rPr>
          <w:rFonts w:ascii="Arial" w:hAnsi="Arial" w:cs="Arial"/>
          <w:sz w:val="24"/>
          <w:szCs w:val="24"/>
        </w:rPr>
        <w:t>Locally advanced or metastatic disease with progression during or following platinum-containing chemotherapy or within 12 months of neoadjuvant or adjuvant treatment with platinum-containing chemotherapy [</w:t>
      </w:r>
      <w:hyperlink w:anchor="urothelia" w:history="1">
        <w:r w:rsidRPr="00FA3F9C">
          <w:rPr>
            <w:rStyle w:val="Hyperlink"/>
            <w:rFonts w:ascii="Arial" w:hAnsi="Arial" w:cs="Arial"/>
            <w:sz w:val="24"/>
            <w:szCs w:val="24"/>
          </w:rPr>
          <w:t>jump to criteria</w:t>
        </w:r>
      </w:hyperlink>
      <w:r w:rsidRPr="00FA3F9C">
        <w:rPr>
          <w:rFonts w:ascii="Arial" w:hAnsi="Arial" w:cs="Arial"/>
          <w:sz w:val="24"/>
          <w:szCs w:val="24"/>
        </w:rPr>
        <w:t>]</w:t>
      </w:r>
    </w:p>
    <w:p w14:paraId="7497F065" w14:textId="77777777" w:rsidR="009B5AA5" w:rsidRPr="00FA3F9C" w:rsidRDefault="009B5AA5" w:rsidP="009B5AA5">
      <w:pPr>
        <w:numPr>
          <w:ilvl w:val="1"/>
          <w:numId w:val="278"/>
        </w:numPr>
        <w:spacing w:after="0" w:line="240" w:lineRule="auto"/>
        <w:rPr>
          <w:rFonts w:ascii="Arial" w:hAnsi="Arial" w:cs="Arial"/>
          <w:sz w:val="24"/>
          <w:szCs w:val="24"/>
        </w:rPr>
      </w:pPr>
      <w:r w:rsidRPr="00FA3F9C">
        <w:rPr>
          <w:rFonts w:ascii="Arial" w:hAnsi="Arial" w:cs="Arial"/>
          <w:sz w:val="24"/>
          <w:szCs w:val="24"/>
        </w:rPr>
        <w:t xml:space="preserve">Bacillus Calmette-Guerin (BCG)-unresponsive, high-risk, non-muscle invasive bladder cancer (NMIBC) with carcinoma in situ (CIS) with or without papillary tumors who are ineligible for or have elected not to undergo cystectomy. </w:t>
      </w:r>
      <w:r w:rsidRPr="00FA3F9C">
        <w:rPr>
          <w:rFonts w:ascii="Arial" w:hAnsi="Arial" w:cs="Arial"/>
          <w:sz w:val="24"/>
          <w:szCs w:val="24"/>
          <w:highlight w:val="yellow"/>
        </w:rPr>
        <w:t>NOT COVERED</w:t>
      </w:r>
      <w:r w:rsidRPr="00FA3F9C">
        <w:rPr>
          <w:rFonts w:ascii="Arial" w:hAnsi="Arial" w:cs="Arial"/>
          <w:sz w:val="24"/>
          <w:szCs w:val="24"/>
        </w:rPr>
        <w:t>: data is limited to single arm non-comparative trial showing response rates only</w:t>
      </w:r>
    </w:p>
    <w:p w14:paraId="03EE48B5" w14:textId="77777777" w:rsidR="009B5AA5" w:rsidRPr="00FA3F9C" w:rsidRDefault="009B5AA5" w:rsidP="009B5AA5">
      <w:pPr>
        <w:numPr>
          <w:ilvl w:val="2"/>
          <w:numId w:val="278"/>
        </w:numPr>
        <w:spacing w:after="0" w:line="240" w:lineRule="auto"/>
        <w:rPr>
          <w:rFonts w:ascii="Arial" w:hAnsi="Arial" w:cs="Arial"/>
          <w:sz w:val="24"/>
          <w:szCs w:val="24"/>
        </w:rPr>
      </w:pPr>
      <w:r w:rsidRPr="00FA3F9C">
        <w:rPr>
          <w:rFonts w:ascii="Arial" w:hAnsi="Arial" w:cs="Arial"/>
          <w:sz w:val="24"/>
          <w:szCs w:val="24"/>
        </w:rPr>
        <w:t xml:space="preserve">Reference: </w:t>
      </w:r>
      <w:proofErr w:type="spellStart"/>
      <w:r w:rsidRPr="00FA3F9C">
        <w:rPr>
          <w:rFonts w:ascii="Arial" w:hAnsi="Arial" w:cs="Arial"/>
          <w:sz w:val="24"/>
          <w:szCs w:val="24"/>
        </w:rPr>
        <w:t>Balar</w:t>
      </w:r>
      <w:proofErr w:type="spellEnd"/>
      <w:r w:rsidRPr="00FA3F9C">
        <w:rPr>
          <w:rFonts w:ascii="Arial" w:hAnsi="Arial" w:cs="Arial"/>
          <w:sz w:val="24"/>
          <w:szCs w:val="24"/>
        </w:rPr>
        <w:t xml:space="preserve"> AV et al. Keynote 057: Phase II trial of Pembrolizumab (</w:t>
      </w:r>
      <w:proofErr w:type="spellStart"/>
      <w:r w:rsidRPr="00FA3F9C">
        <w:rPr>
          <w:rFonts w:ascii="Arial" w:hAnsi="Arial" w:cs="Arial"/>
          <w:sz w:val="24"/>
          <w:szCs w:val="24"/>
        </w:rPr>
        <w:t>pembro</w:t>
      </w:r>
      <w:proofErr w:type="spellEnd"/>
      <w:r w:rsidRPr="00FA3F9C">
        <w:rPr>
          <w:rFonts w:ascii="Arial" w:hAnsi="Arial" w:cs="Arial"/>
          <w:sz w:val="24"/>
          <w:szCs w:val="24"/>
        </w:rPr>
        <w:t xml:space="preserve">) for patients (pts) with high-risk (HR) </w:t>
      </w:r>
      <w:proofErr w:type="spellStart"/>
      <w:r w:rsidRPr="00FA3F9C">
        <w:rPr>
          <w:rFonts w:ascii="Arial" w:hAnsi="Arial" w:cs="Arial"/>
          <w:sz w:val="24"/>
          <w:szCs w:val="24"/>
        </w:rPr>
        <w:t>nonmuscle</w:t>
      </w:r>
      <w:proofErr w:type="spellEnd"/>
      <w:r w:rsidRPr="00FA3F9C">
        <w:rPr>
          <w:rFonts w:ascii="Arial" w:hAnsi="Arial" w:cs="Arial"/>
          <w:sz w:val="24"/>
          <w:szCs w:val="24"/>
        </w:rPr>
        <w:t xml:space="preserve"> invasive bladder cancer (NMIBC) unresponsive to bacillus </w:t>
      </w:r>
      <w:proofErr w:type="spellStart"/>
      <w:r w:rsidRPr="00FA3F9C">
        <w:rPr>
          <w:rFonts w:ascii="Arial" w:hAnsi="Arial" w:cs="Arial"/>
          <w:sz w:val="24"/>
          <w:szCs w:val="24"/>
        </w:rPr>
        <w:t>calmette-guérin</w:t>
      </w:r>
      <w:proofErr w:type="spellEnd"/>
      <w:r w:rsidRPr="00FA3F9C">
        <w:rPr>
          <w:rFonts w:ascii="Arial" w:hAnsi="Arial" w:cs="Arial"/>
          <w:sz w:val="24"/>
          <w:szCs w:val="24"/>
        </w:rPr>
        <w:t xml:space="preserve"> (BCG). DOI: 10.1200/JCO.2019.37.7_suppl.350 Journal of Clinical Oncology 37, no. 7_suppl (March 01, 2019) 350-350. </w:t>
      </w:r>
      <w:hyperlink r:id="rId314" w:history="1">
        <w:r w:rsidRPr="00FA3F9C">
          <w:rPr>
            <w:rStyle w:val="Hyperlink"/>
            <w:rFonts w:ascii="Arial" w:hAnsi="Arial" w:cs="Arial"/>
            <w:sz w:val="24"/>
            <w:szCs w:val="24"/>
          </w:rPr>
          <w:t>https://ascopubs.org/doi/abs/10.1200/JCO.2019.37.7_suppl.350</w:t>
        </w:r>
      </w:hyperlink>
      <w:r w:rsidRPr="00FA3F9C">
        <w:rPr>
          <w:rFonts w:ascii="Arial" w:hAnsi="Arial" w:cs="Arial"/>
          <w:sz w:val="24"/>
          <w:szCs w:val="24"/>
        </w:rPr>
        <w:t>. Accessed 6/16/2020.</w:t>
      </w:r>
    </w:p>
    <w:p w14:paraId="6767FE86" w14:textId="77777777" w:rsidR="009B5AA5" w:rsidRPr="00FA3F9C" w:rsidRDefault="009B5AA5" w:rsidP="009B5AA5">
      <w:pPr>
        <w:numPr>
          <w:ilvl w:val="0"/>
          <w:numId w:val="278"/>
        </w:numPr>
        <w:spacing w:after="0" w:line="240" w:lineRule="auto"/>
        <w:rPr>
          <w:rFonts w:ascii="Arial" w:hAnsi="Arial" w:cs="Arial"/>
          <w:sz w:val="24"/>
          <w:szCs w:val="24"/>
        </w:rPr>
      </w:pPr>
      <w:r w:rsidRPr="00FA3F9C">
        <w:rPr>
          <w:rFonts w:ascii="Arial" w:hAnsi="Arial" w:cs="Arial"/>
          <w:b/>
          <w:sz w:val="24"/>
          <w:szCs w:val="24"/>
          <w:u w:val="single"/>
        </w:rPr>
        <w:t xml:space="preserve">Microsatellite Instability-High or Mismatch Repair Deficient Cancer </w:t>
      </w:r>
      <w:r w:rsidRPr="00FA3F9C">
        <w:rPr>
          <w:rFonts w:ascii="Arial" w:hAnsi="Arial" w:cs="Arial"/>
          <w:sz w:val="24"/>
          <w:szCs w:val="24"/>
        </w:rPr>
        <w:t>(regardless of tumor type)</w:t>
      </w:r>
    </w:p>
    <w:p w14:paraId="1B9C526B" w14:textId="77777777" w:rsidR="009B5AA5" w:rsidRPr="00FA3F9C" w:rsidRDefault="009B5AA5" w:rsidP="00FC1E85">
      <w:pPr>
        <w:pStyle w:val="ListParagraph"/>
        <w:numPr>
          <w:ilvl w:val="0"/>
          <w:numId w:val="430"/>
        </w:numPr>
        <w:spacing w:after="0" w:line="240" w:lineRule="auto"/>
        <w:ind w:left="1170"/>
        <w:rPr>
          <w:rFonts w:ascii="Arial" w:hAnsi="Arial" w:cs="Arial"/>
          <w:sz w:val="24"/>
          <w:szCs w:val="24"/>
        </w:rPr>
      </w:pPr>
      <w:r w:rsidRPr="00FA3F9C">
        <w:rPr>
          <w:rFonts w:ascii="Arial" w:hAnsi="Arial" w:cs="Arial"/>
          <w:sz w:val="24"/>
          <w:szCs w:val="24"/>
        </w:rPr>
        <w:lastRenderedPageBreak/>
        <w:t>Adult and pediatric patients with unresectable or metastatic, microsatellite instability-high (MSI-H) or mismatch repair deficient (</w:t>
      </w:r>
      <w:proofErr w:type="spellStart"/>
      <w:r w:rsidRPr="00FA3F9C">
        <w:rPr>
          <w:rFonts w:ascii="Arial" w:hAnsi="Arial" w:cs="Arial"/>
          <w:sz w:val="24"/>
          <w:szCs w:val="24"/>
        </w:rPr>
        <w:t>dMMR</w:t>
      </w:r>
      <w:proofErr w:type="spellEnd"/>
      <w:r w:rsidRPr="00FA3F9C">
        <w:rPr>
          <w:rFonts w:ascii="Arial" w:hAnsi="Arial" w:cs="Arial"/>
          <w:sz w:val="24"/>
          <w:szCs w:val="24"/>
        </w:rPr>
        <w:t xml:space="preserve">) solid tumors that have progressed following prior treatment and who have no satisfactory alternative treatment </w:t>
      </w:r>
      <w:proofErr w:type="spellStart"/>
      <w:r w:rsidRPr="00FA3F9C">
        <w:rPr>
          <w:rFonts w:ascii="Arial" w:hAnsi="Arial" w:cs="Arial"/>
          <w:sz w:val="24"/>
          <w:szCs w:val="24"/>
        </w:rPr>
        <w:t>options</w:t>
      </w:r>
      <w:r w:rsidRPr="00FA3F9C">
        <w:rPr>
          <w:rFonts w:ascii="Arial" w:hAnsi="Arial" w:cs="Arial"/>
          <w:sz w:val="24"/>
          <w:szCs w:val="24"/>
          <w:vertAlign w:val="superscript"/>
        </w:rPr>
        <w:t>a</w:t>
      </w:r>
      <w:proofErr w:type="spellEnd"/>
      <w:r w:rsidRPr="00FA3F9C">
        <w:rPr>
          <w:rFonts w:ascii="Arial" w:hAnsi="Arial" w:cs="Arial"/>
          <w:sz w:val="24"/>
          <w:szCs w:val="24"/>
        </w:rPr>
        <w:t xml:space="preserve"> </w:t>
      </w:r>
    </w:p>
    <w:p w14:paraId="57129063" w14:textId="77777777" w:rsidR="009B5AA5" w:rsidRPr="00FA3F9C" w:rsidRDefault="009B5AA5" w:rsidP="00875015">
      <w:pPr>
        <w:spacing w:after="0" w:line="240" w:lineRule="auto"/>
        <w:ind w:left="1440"/>
        <w:rPr>
          <w:rFonts w:ascii="Arial" w:hAnsi="Arial" w:cs="Arial"/>
          <w:sz w:val="24"/>
          <w:szCs w:val="24"/>
        </w:rPr>
      </w:pPr>
      <w:r w:rsidRPr="00FA3F9C">
        <w:rPr>
          <w:rFonts w:ascii="Arial" w:hAnsi="Arial" w:cs="Arial"/>
          <w:sz w:val="24"/>
          <w:szCs w:val="24"/>
        </w:rPr>
        <w:t>*Limitations of use: The safety and effectiveness of pembrolizumab in pediatric patients with MSI-H central nervous system cancers have not been established.</w:t>
      </w:r>
    </w:p>
    <w:p w14:paraId="7E3A04AC" w14:textId="77777777" w:rsidR="009B5AA5" w:rsidRPr="00FA3F9C" w:rsidRDefault="009B5AA5" w:rsidP="00875015">
      <w:pPr>
        <w:spacing w:after="0" w:line="240" w:lineRule="auto"/>
        <w:ind w:left="1440"/>
        <w:rPr>
          <w:rFonts w:ascii="Arial" w:hAnsi="Arial" w:cs="Arial"/>
          <w:sz w:val="24"/>
          <w:szCs w:val="24"/>
        </w:rPr>
      </w:pPr>
      <w:r w:rsidRPr="00FA3F9C">
        <w:rPr>
          <w:rFonts w:ascii="Arial" w:hAnsi="Arial" w:cs="Arial"/>
          <w:sz w:val="24"/>
          <w:szCs w:val="24"/>
        </w:rPr>
        <w:t xml:space="preserve"> *</w:t>
      </w:r>
      <w:r w:rsidRPr="00FA3F9C">
        <w:rPr>
          <w:rFonts w:ascii="Arial" w:hAnsi="Arial" w:cs="Arial"/>
          <w:sz w:val="24"/>
          <w:szCs w:val="24"/>
          <w:highlight w:val="yellow"/>
        </w:rPr>
        <w:t>NOT COVERED</w:t>
      </w:r>
      <w:r w:rsidRPr="00FA3F9C">
        <w:rPr>
          <w:rFonts w:ascii="Arial" w:hAnsi="Arial" w:cs="Arial"/>
          <w:sz w:val="24"/>
          <w:szCs w:val="24"/>
        </w:rPr>
        <w:t>: lack of comparative data</w:t>
      </w:r>
    </w:p>
    <w:p w14:paraId="12D22B1B" w14:textId="77777777" w:rsidR="009B5AA5" w:rsidRPr="00FA3F9C" w:rsidRDefault="009B5AA5" w:rsidP="009B5AA5">
      <w:pPr>
        <w:numPr>
          <w:ilvl w:val="0"/>
          <w:numId w:val="278"/>
        </w:numPr>
        <w:spacing w:after="0" w:line="240" w:lineRule="auto"/>
        <w:rPr>
          <w:rFonts w:ascii="Arial" w:hAnsi="Arial" w:cs="Arial"/>
          <w:b/>
          <w:sz w:val="24"/>
          <w:szCs w:val="24"/>
          <w:u w:val="single"/>
        </w:rPr>
      </w:pPr>
      <w:r w:rsidRPr="00FA3F9C">
        <w:rPr>
          <w:rFonts w:ascii="Arial" w:hAnsi="Arial" w:cs="Arial"/>
          <w:b/>
          <w:sz w:val="24"/>
          <w:szCs w:val="24"/>
          <w:u w:val="single"/>
        </w:rPr>
        <w:t xml:space="preserve">Microsatellite Instability-High or Mismatch Repair Deficient Colorectal Cancer </w:t>
      </w:r>
      <w:r w:rsidRPr="00FA3F9C">
        <w:rPr>
          <w:rFonts w:ascii="Arial" w:hAnsi="Arial" w:cs="Arial"/>
          <w:sz w:val="24"/>
          <w:szCs w:val="24"/>
        </w:rPr>
        <w:t>[</w:t>
      </w:r>
      <w:hyperlink w:anchor="msi_crc" w:history="1">
        <w:r w:rsidRPr="00FA3F9C">
          <w:rPr>
            <w:rStyle w:val="Hyperlink"/>
            <w:rFonts w:ascii="Arial" w:hAnsi="Arial" w:cs="Arial"/>
            <w:sz w:val="24"/>
            <w:szCs w:val="24"/>
          </w:rPr>
          <w:t>jump to criteria</w:t>
        </w:r>
      </w:hyperlink>
      <w:r w:rsidRPr="00FA3F9C">
        <w:rPr>
          <w:rFonts w:ascii="Arial" w:hAnsi="Arial" w:cs="Arial"/>
          <w:sz w:val="24"/>
          <w:szCs w:val="24"/>
        </w:rPr>
        <w:t>]</w:t>
      </w:r>
    </w:p>
    <w:p w14:paraId="23CC5E96" w14:textId="77777777" w:rsidR="009B5AA5" w:rsidRPr="00FA3F9C" w:rsidRDefault="009B5AA5" w:rsidP="009B5AA5">
      <w:pPr>
        <w:numPr>
          <w:ilvl w:val="1"/>
          <w:numId w:val="278"/>
        </w:numPr>
        <w:spacing w:after="0" w:line="240" w:lineRule="auto"/>
        <w:rPr>
          <w:rFonts w:ascii="Arial" w:hAnsi="Arial" w:cs="Arial"/>
          <w:b/>
          <w:sz w:val="24"/>
          <w:szCs w:val="24"/>
          <w:u w:val="single"/>
        </w:rPr>
      </w:pPr>
      <w:r w:rsidRPr="00FA3F9C">
        <w:rPr>
          <w:rFonts w:ascii="Arial" w:hAnsi="Arial" w:cs="Arial"/>
          <w:sz w:val="24"/>
          <w:szCs w:val="24"/>
        </w:rPr>
        <w:t xml:space="preserve">Treatment of patients with unresectable or metastatic MSI-H or </w:t>
      </w:r>
      <w:proofErr w:type="spellStart"/>
      <w:r w:rsidRPr="00FA3F9C">
        <w:rPr>
          <w:rFonts w:ascii="Arial" w:hAnsi="Arial" w:cs="Arial"/>
          <w:sz w:val="24"/>
          <w:szCs w:val="24"/>
        </w:rPr>
        <w:t>dMMR</w:t>
      </w:r>
      <w:proofErr w:type="spellEnd"/>
      <w:r w:rsidRPr="00FA3F9C">
        <w:rPr>
          <w:rFonts w:ascii="Arial" w:hAnsi="Arial" w:cs="Arial"/>
          <w:sz w:val="24"/>
          <w:szCs w:val="24"/>
        </w:rPr>
        <w:t xml:space="preserve"> colorectal cancer </w:t>
      </w:r>
    </w:p>
    <w:p w14:paraId="725567AC" w14:textId="77777777" w:rsidR="009B5AA5" w:rsidRPr="00FA3F9C" w:rsidRDefault="009B5AA5" w:rsidP="009B5AA5">
      <w:pPr>
        <w:numPr>
          <w:ilvl w:val="0"/>
          <w:numId w:val="278"/>
        </w:numPr>
        <w:spacing w:after="0" w:line="240" w:lineRule="auto"/>
        <w:rPr>
          <w:rFonts w:ascii="Arial" w:hAnsi="Arial" w:cs="Arial"/>
          <w:sz w:val="24"/>
          <w:szCs w:val="24"/>
        </w:rPr>
      </w:pPr>
      <w:r w:rsidRPr="00FA3F9C">
        <w:rPr>
          <w:rFonts w:ascii="Arial" w:hAnsi="Arial" w:cs="Arial"/>
          <w:b/>
          <w:sz w:val="24"/>
          <w:szCs w:val="24"/>
          <w:u w:val="single"/>
        </w:rPr>
        <w:t>Gastric Cancer</w:t>
      </w:r>
    </w:p>
    <w:p w14:paraId="517720C1" w14:textId="77777777" w:rsidR="009B5AA5" w:rsidRPr="00FA3F9C" w:rsidRDefault="009B5AA5" w:rsidP="009B5AA5">
      <w:pPr>
        <w:pStyle w:val="ListParagraph"/>
        <w:numPr>
          <w:ilvl w:val="1"/>
          <w:numId w:val="278"/>
        </w:numPr>
        <w:spacing w:after="200" w:line="276" w:lineRule="auto"/>
        <w:rPr>
          <w:rFonts w:ascii="Arial" w:hAnsi="Arial" w:cs="Arial"/>
          <w:sz w:val="24"/>
          <w:szCs w:val="24"/>
        </w:rPr>
      </w:pPr>
      <w:r w:rsidRPr="00FA3F9C">
        <w:rPr>
          <w:rFonts w:ascii="Arial" w:hAnsi="Arial" w:cs="Arial"/>
          <w:sz w:val="24"/>
          <w:szCs w:val="24"/>
        </w:rPr>
        <w:t xml:space="preserve">In combination with trastuzumab, fluoropyrimidine- and platinum-containing chemotherapy, for the first-line treatment of patients with locally advanced unresectable or metastatic HER2-positive gastric or gastroesophageal junction (GEJ) </w:t>
      </w:r>
      <w:proofErr w:type="spellStart"/>
      <w:r w:rsidRPr="00FA3F9C">
        <w:rPr>
          <w:rFonts w:ascii="Arial" w:hAnsi="Arial" w:cs="Arial"/>
          <w:sz w:val="24"/>
          <w:szCs w:val="24"/>
        </w:rPr>
        <w:t>adenocarcinoma</w:t>
      </w:r>
      <w:r w:rsidRPr="00FA3F9C">
        <w:rPr>
          <w:rFonts w:ascii="Arial" w:hAnsi="Arial" w:cs="Arial"/>
          <w:sz w:val="24"/>
          <w:szCs w:val="24"/>
          <w:vertAlign w:val="superscript"/>
        </w:rPr>
        <w:t>a</w:t>
      </w:r>
      <w:proofErr w:type="spellEnd"/>
      <w:r w:rsidRPr="00FA3F9C">
        <w:rPr>
          <w:rFonts w:ascii="Arial" w:hAnsi="Arial" w:cs="Arial"/>
          <w:sz w:val="24"/>
          <w:szCs w:val="24"/>
        </w:rPr>
        <w:t xml:space="preserve"> </w:t>
      </w:r>
      <w:r w:rsidRPr="00FA3F9C">
        <w:rPr>
          <w:rFonts w:ascii="Arial" w:hAnsi="Arial" w:cs="Arial"/>
          <w:sz w:val="24"/>
          <w:szCs w:val="24"/>
          <w:highlight w:val="yellow"/>
        </w:rPr>
        <w:t>NOT COVERED</w:t>
      </w:r>
      <w:r w:rsidRPr="00FA3F9C">
        <w:rPr>
          <w:rFonts w:ascii="Arial" w:hAnsi="Arial" w:cs="Arial"/>
          <w:sz w:val="24"/>
          <w:szCs w:val="24"/>
        </w:rPr>
        <w:t xml:space="preserve"> Trial was </w:t>
      </w:r>
      <w:proofErr w:type="gramStart"/>
      <w:r w:rsidRPr="00FA3F9C">
        <w:rPr>
          <w:rFonts w:ascii="Arial" w:hAnsi="Arial" w:cs="Arial"/>
          <w:sz w:val="24"/>
          <w:szCs w:val="24"/>
        </w:rPr>
        <w:t>randomized, but</w:t>
      </w:r>
      <w:proofErr w:type="gramEnd"/>
      <w:r w:rsidRPr="00FA3F9C">
        <w:rPr>
          <w:rFonts w:ascii="Arial" w:hAnsi="Arial" w:cs="Arial"/>
          <w:sz w:val="24"/>
          <w:szCs w:val="24"/>
        </w:rPr>
        <w:t xml:space="preserve"> demonstrated/reported benefit limited to response rate only at this time. </w:t>
      </w:r>
    </w:p>
    <w:p w14:paraId="62305BE9" w14:textId="77777777" w:rsidR="009B5AA5" w:rsidRPr="00FA3F9C" w:rsidRDefault="009B5AA5" w:rsidP="009B5AA5">
      <w:pPr>
        <w:pStyle w:val="ListParagraph"/>
        <w:numPr>
          <w:ilvl w:val="2"/>
          <w:numId w:val="278"/>
        </w:numPr>
        <w:spacing w:after="200" w:line="276" w:lineRule="auto"/>
        <w:rPr>
          <w:rFonts w:ascii="Arial" w:hAnsi="Arial" w:cs="Arial"/>
          <w:sz w:val="24"/>
          <w:szCs w:val="24"/>
        </w:rPr>
      </w:pPr>
      <w:r w:rsidRPr="00FA3F9C">
        <w:rPr>
          <w:rFonts w:ascii="Arial" w:hAnsi="Arial" w:cs="Arial"/>
          <w:sz w:val="24"/>
          <w:szCs w:val="24"/>
        </w:rPr>
        <w:t xml:space="preserve">Reference: </w:t>
      </w:r>
      <w:proofErr w:type="spellStart"/>
      <w:r w:rsidRPr="00FA3F9C">
        <w:rPr>
          <w:rFonts w:ascii="Arial" w:hAnsi="Arial" w:cs="Arial"/>
          <w:sz w:val="24"/>
          <w:szCs w:val="24"/>
        </w:rPr>
        <w:t>Janjigian</w:t>
      </w:r>
      <w:proofErr w:type="spellEnd"/>
      <w:r w:rsidRPr="00FA3F9C">
        <w:rPr>
          <w:rFonts w:ascii="Arial" w:hAnsi="Arial" w:cs="Arial"/>
          <w:sz w:val="24"/>
          <w:szCs w:val="24"/>
        </w:rPr>
        <w:t xml:space="preserve"> YY, Kawazoe A, </w:t>
      </w:r>
      <w:proofErr w:type="spellStart"/>
      <w:r w:rsidRPr="00FA3F9C">
        <w:rPr>
          <w:rFonts w:ascii="Arial" w:hAnsi="Arial" w:cs="Arial"/>
          <w:sz w:val="24"/>
          <w:szCs w:val="24"/>
        </w:rPr>
        <w:t>Yañez</w:t>
      </w:r>
      <w:proofErr w:type="spellEnd"/>
      <w:r w:rsidRPr="00FA3F9C">
        <w:rPr>
          <w:rFonts w:ascii="Arial" w:hAnsi="Arial" w:cs="Arial"/>
          <w:sz w:val="24"/>
          <w:szCs w:val="24"/>
        </w:rPr>
        <w:t xml:space="preserve"> P, et al. The KEYNOTE-811 trial of dual PD-1 and HER2 blockade in HER2-positive gastric cancer. Nature. 2021;600(7890):727-730. doi:10.1038/s41586-021-04161-3</w:t>
      </w:r>
    </w:p>
    <w:p w14:paraId="7442E4A4" w14:textId="77777777" w:rsidR="009B5AA5" w:rsidRPr="00FA3F9C" w:rsidRDefault="009B5AA5" w:rsidP="009B5AA5">
      <w:pPr>
        <w:pStyle w:val="ListParagraph"/>
        <w:numPr>
          <w:ilvl w:val="1"/>
          <w:numId w:val="278"/>
        </w:numPr>
        <w:spacing w:after="200" w:line="276" w:lineRule="auto"/>
        <w:rPr>
          <w:rFonts w:ascii="Arial" w:hAnsi="Arial" w:cs="Arial"/>
          <w:sz w:val="24"/>
          <w:szCs w:val="24"/>
        </w:rPr>
      </w:pPr>
      <w:r w:rsidRPr="00FA3F9C">
        <w:rPr>
          <w:rFonts w:ascii="Arial" w:hAnsi="Arial" w:cs="Arial"/>
          <w:sz w:val="24"/>
          <w:szCs w:val="24"/>
        </w:rPr>
        <w:t xml:space="preserve">As single agent for recurrent locally advanced or metastatic gastric or gastroesophageal junction adenocarcinoma whose tumors express PD-L1 (CPS </w:t>
      </w:r>
      <w:r w:rsidRPr="00FA3F9C">
        <w:rPr>
          <w:rFonts w:ascii="Arial" w:hAnsi="Arial" w:cs="Arial"/>
          <w:sz w:val="24"/>
          <w:szCs w:val="24"/>
          <w:u w:val="single"/>
        </w:rPr>
        <w:t>&gt;</w:t>
      </w:r>
      <w:r w:rsidRPr="00FA3F9C">
        <w:rPr>
          <w:rFonts w:ascii="Arial" w:hAnsi="Arial" w:cs="Arial"/>
          <w:sz w:val="24"/>
          <w:szCs w:val="24"/>
        </w:rPr>
        <w:t xml:space="preserve">1) with disease progression on or after two or more prior lines of therapy including fluoropyrimidine- and platinum-containing chemotherapy and if appropriate, HER2/new-targeted </w:t>
      </w:r>
      <w:proofErr w:type="spellStart"/>
      <w:r w:rsidRPr="00FA3F9C">
        <w:rPr>
          <w:rFonts w:ascii="Arial" w:hAnsi="Arial" w:cs="Arial"/>
          <w:sz w:val="24"/>
          <w:szCs w:val="24"/>
        </w:rPr>
        <w:t>therapy</w:t>
      </w:r>
      <w:r w:rsidRPr="00FA3F9C">
        <w:rPr>
          <w:rFonts w:ascii="Arial" w:hAnsi="Arial" w:cs="Arial"/>
          <w:sz w:val="24"/>
          <w:szCs w:val="24"/>
          <w:vertAlign w:val="superscript"/>
        </w:rPr>
        <w:t>a</w:t>
      </w:r>
      <w:proofErr w:type="spellEnd"/>
      <w:r w:rsidRPr="00FA3F9C">
        <w:rPr>
          <w:rFonts w:ascii="Arial" w:hAnsi="Arial" w:cs="Arial"/>
          <w:sz w:val="24"/>
          <w:szCs w:val="24"/>
        </w:rPr>
        <w:t xml:space="preserve"> </w:t>
      </w:r>
      <w:r w:rsidRPr="00FA3F9C">
        <w:rPr>
          <w:rFonts w:ascii="Arial" w:hAnsi="Arial" w:cs="Arial"/>
          <w:sz w:val="24"/>
          <w:szCs w:val="24"/>
          <w:highlight w:val="yellow"/>
        </w:rPr>
        <w:t>NOT COVERED</w:t>
      </w:r>
      <w:r w:rsidRPr="00FA3F9C">
        <w:rPr>
          <w:rFonts w:ascii="Arial" w:hAnsi="Arial" w:cs="Arial"/>
          <w:sz w:val="24"/>
          <w:szCs w:val="24"/>
        </w:rPr>
        <w:t xml:space="preserve">: initial registration trial was single arm data (NCT02335411; keynote 059). A subsequent RCT (NCT02370498; keynote 061) in previously treated PD-L1 positive patients randomized to pembrolizumab vs paclitaxel showed no improvement in PFS or OS. Reference: </w:t>
      </w:r>
      <w:proofErr w:type="spellStart"/>
      <w:r w:rsidRPr="00FA3F9C">
        <w:rPr>
          <w:rFonts w:ascii="Arial" w:hAnsi="Arial" w:cs="Arial"/>
          <w:sz w:val="24"/>
          <w:szCs w:val="24"/>
        </w:rPr>
        <w:t>Shitara</w:t>
      </w:r>
      <w:proofErr w:type="spellEnd"/>
      <w:r w:rsidRPr="00FA3F9C">
        <w:rPr>
          <w:rFonts w:ascii="Arial" w:hAnsi="Arial" w:cs="Arial"/>
          <w:sz w:val="24"/>
          <w:szCs w:val="24"/>
        </w:rPr>
        <w:t xml:space="preserve"> K et al. Lancet. 2018;392(10142):123-133. PMID 29880231</w:t>
      </w:r>
    </w:p>
    <w:p w14:paraId="454A501A" w14:textId="77777777" w:rsidR="009B5AA5" w:rsidRPr="00FA3F9C" w:rsidRDefault="009B5AA5" w:rsidP="009B5AA5">
      <w:pPr>
        <w:numPr>
          <w:ilvl w:val="0"/>
          <w:numId w:val="278"/>
        </w:numPr>
        <w:spacing w:after="0" w:line="240" w:lineRule="auto"/>
        <w:rPr>
          <w:rFonts w:ascii="Arial" w:hAnsi="Arial" w:cs="Arial"/>
          <w:sz w:val="24"/>
          <w:szCs w:val="24"/>
        </w:rPr>
      </w:pPr>
      <w:r w:rsidRPr="00FA3F9C">
        <w:rPr>
          <w:rFonts w:ascii="Arial" w:hAnsi="Arial" w:cs="Arial"/>
          <w:b/>
          <w:sz w:val="24"/>
          <w:szCs w:val="24"/>
          <w:u w:val="single"/>
        </w:rPr>
        <w:t>Esophageal Cancer</w:t>
      </w:r>
      <w:r w:rsidRPr="00FA3F9C">
        <w:rPr>
          <w:rFonts w:ascii="Arial" w:hAnsi="Arial" w:cs="Arial"/>
          <w:sz w:val="24"/>
          <w:szCs w:val="24"/>
        </w:rPr>
        <w:t xml:space="preserve"> </w:t>
      </w:r>
    </w:p>
    <w:p w14:paraId="4EEFDE45" w14:textId="77777777" w:rsidR="009B5AA5" w:rsidRPr="00FA3F9C" w:rsidRDefault="009B5AA5" w:rsidP="009B5AA5">
      <w:pPr>
        <w:numPr>
          <w:ilvl w:val="1"/>
          <w:numId w:val="278"/>
        </w:numPr>
        <w:spacing w:after="0" w:line="240" w:lineRule="auto"/>
        <w:rPr>
          <w:rFonts w:ascii="Arial" w:hAnsi="Arial" w:cs="Arial"/>
          <w:sz w:val="24"/>
          <w:szCs w:val="24"/>
        </w:rPr>
      </w:pPr>
      <w:r w:rsidRPr="00FA3F9C">
        <w:rPr>
          <w:rFonts w:ascii="Arial" w:hAnsi="Arial" w:cs="Arial"/>
          <w:sz w:val="24"/>
          <w:szCs w:val="24"/>
        </w:rPr>
        <w:t>Treatment of patients with locally advanced or metastatic esophageal or gastroesophageal junction (GEJ) (tumors with epicenter 1 to 5 cm above the GEJ carcinoma that is not amenable to surgical resection or definitive chemoradiation either:</w:t>
      </w:r>
    </w:p>
    <w:p w14:paraId="632EDB53" w14:textId="77777777" w:rsidR="009B5AA5" w:rsidRPr="00FA3F9C" w:rsidRDefault="009B5AA5" w:rsidP="009B5AA5">
      <w:pPr>
        <w:numPr>
          <w:ilvl w:val="2"/>
          <w:numId w:val="278"/>
        </w:numPr>
        <w:spacing w:after="0" w:line="240" w:lineRule="auto"/>
        <w:rPr>
          <w:rFonts w:ascii="Arial" w:hAnsi="Arial" w:cs="Arial"/>
          <w:sz w:val="24"/>
          <w:szCs w:val="24"/>
        </w:rPr>
      </w:pPr>
      <w:r w:rsidRPr="00FA3F9C">
        <w:rPr>
          <w:rFonts w:ascii="Arial" w:hAnsi="Arial" w:cs="Arial"/>
          <w:sz w:val="24"/>
          <w:szCs w:val="24"/>
        </w:rPr>
        <w:t>In combination with platinum- and fluoropyrimidine-based chemotherapy, [</w:t>
      </w:r>
      <w:hyperlink w:anchor="esoph_first_line" w:history="1">
        <w:r w:rsidRPr="00FA3F9C">
          <w:rPr>
            <w:rStyle w:val="Hyperlink"/>
            <w:rFonts w:ascii="Arial" w:hAnsi="Arial" w:cs="Arial"/>
            <w:sz w:val="24"/>
            <w:szCs w:val="24"/>
          </w:rPr>
          <w:t>jump to criteria</w:t>
        </w:r>
      </w:hyperlink>
      <w:r w:rsidRPr="00FA3F9C">
        <w:rPr>
          <w:rFonts w:ascii="Arial" w:hAnsi="Arial" w:cs="Arial"/>
          <w:sz w:val="24"/>
          <w:szCs w:val="24"/>
        </w:rPr>
        <w:t xml:space="preserve">] </w:t>
      </w:r>
      <w:r w:rsidRPr="00FA3F9C">
        <w:rPr>
          <w:rFonts w:ascii="Arial" w:hAnsi="Arial" w:cs="Arial"/>
          <w:b/>
          <w:sz w:val="24"/>
          <w:szCs w:val="24"/>
          <w:u w:val="single"/>
        </w:rPr>
        <w:t>OR</w:t>
      </w:r>
      <w:r w:rsidRPr="00FA3F9C">
        <w:rPr>
          <w:rFonts w:ascii="Arial" w:hAnsi="Arial" w:cs="Arial"/>
          <w:sz w:val="24"/>
          <w:szCs w:val="24"/>
        </w:rPr>
        <w:t xml:space="preserve"> </w:t>
      </w:r>
    </w:p>
    <w:p w14:paraId="17A0EC53" w14:textId="77777777" w:rsidR="009B5AA5" w:rsidRPr="00FA3F9C" w:rsidRDefault="009B5AA5" w:rsidP="009B5AA5">
      <w:pPr>
        <w:numPr>
          <w:ilvl w:val="2"/>
          <w:numId w:val="278"/>
        </w:numPr>
        <w:spacing w:after="0" w:line="240" w:lineRule="auto"/>
        <w:rPr>
          <w:rFonts w:ascii="Arial" w:hAnsi="Arial" w:cs="Arial"/>
          <w:sz w:val="24"/>
          <w:szCs w:val="24"/>
        </w:rPr>
      </w:pPr>
      <w:r w:rsidRPr="00FA3F9C">
        <w:rPr>
          <w:rFonts w:ascii="Arial" w:hAnsi="Arial" w:cs="Arial"/>
          <w:sz w:val="24"/>
          <w:szCs w:val="24"/>
        </w:rPr>
        <w:t xml:space="preserve"> As single agent after one or more prior lines of systemic therapy for patients with tumors of squamous cell histology that express PD-L1 (CPS ≥10) as determined by an FDA-approved test. [</w:t>
      </w:r>
      <w:hyperlink w:anchor="esoph" w:history="1">
        <w:r w:rsidRPr="00FA3F9C">
          <w:rPr>
            <w:rStyle w:val="Hyperlink"/>
            <w:rFonts w:ascii="Arial" w:hAnsi="Arial" w:cs="Arial"/>
            <w:sz w:val="24"/>
            <w:szCs w:val="24"/>
          </w:rPr>
          <w:t>jump to criteria</w:t>
        </w:r>
      </w:hyperlink>
      <w:r w:rsidRPr="00FA3F9C">
        <w:rPr>
          <w:rFonts w:ascii="Arial" w:hAnsi="Arial" w:cs="Arial"/>
          <w:sz w:val="24"/>
          <w:szCs w:val="24"/>
        </w:rPr>
        <w:t>]</w:t>
      </w:r>
    </w:p>
    <w:p w14:paraId="1396F895" w14:textId="77777777" w:rsidR="009B5AA5" w:rsidRPr="00FA3F9C" w:rsidRDefault="009B5AA5" w:rsidP="009B5AA5">
      <w:pPr>
        <w:numPr>
          <w:ilvl w:val="0"/>
          <w:numId w:val="278"/>
        </w:numPr>
        <w:spacing w:after="0" w:line="240" w:lineRule="auto"/>
        <w:rPr>
          <w:rFonts w:ascii="Arial" w:hAnsi="Arial" w:cs="Arial"/>
          <w:sz w:val="24"/>
          <w:szCs w:val="24"/>
        </w:rPr>
      </w:pPr>
      <w:r w:rsidRPr="00FA3F9C">
        <w:rPr>
          <w:rFonts w:ascii="Arial" w:hAnsi="Arial" w:cs="Arial"/>
          <w:b/>
          <w:sz w:val="24"/>
          <w:szCs w:val="24"/>
          <w:u w:val="single"/>
        </w:rPr>
        <w:t>Cervical Cancer</w:t>
      </w:r>
    </w:p>
    <w:p w14:paraId="21CB2A19" w14:textId="77777777" w:rsidR="009B5AA5" w:rsidRPr="00FA3F9C" w:rsidRDefault="009B5AA5" w:rsidP="009B5AA5">
      <w:pPr>
        <w:numPr>
          <w:ilvl w:val="1"/>
          <w:numId w:val="278"/>
        </w:numPr>
        <w:spacing w:after="0" w:line="240" w:lineRule="auto"/>
        <w:rPr>
          <w:rFonts w:ascii="Arial" w:hAnsi="Arial" w:cs="Arial"/>
          <w:sz w:val="24"/>
          <w:szCs w:val="24"/>
        </w:rPr>
      </w:pPr>
      <w:r w:rsidRPr="00FA3F9C">
        <w:rPr>
          <w:rFonts w:ascii="Arial" w:hAnsi="Arial" w:cs="Arial"/>
          <w:sz w:val="24"/>
          <w:szCs w:val="24"/>
        </w:rPr>
        <w:lastRenderedPageBreak/>
        <w:t xml:space="preserve">In combination with chemotherapy, with or without bevacizumab, for the treatment of patients with persistent, recurrent, or metastatic cervical cancer whose tumors express PD-L1 (CPS </w:t>
      </w:r>
      <w:r w:rsidRPr="00FA3F9C">
        <w:rPr>
          <w:rFonts w:ascii="Arial" w:hAnsi="Arial" w:cs="Arial"/>
          <w:sz w:val="24"/>
          <w:szCs w:val="24"/>
          <w:u w:val="single"/>
        </w:rPr>
        <w:t>&gt;</w:t>
      </w:r>
      <w:r w:rsidRPr="00FA3F9C">
        <w:rPr>
          <w:rFonts w:ascii="Arial" w:hAnsi="Arial" w:cs="Arial"/>
          <w:sz w:val="24"/>
          <w:szCs w:val="24"/>
        </w:rPr>
        <w:t>1) as determined by an FDA-approved test. [</w:t>
      </w:r>
      <w:hyperlink w:anchor="cervical" w:history="1">
        <w:r w:rsidRPr="00FA3F9C">
          <w:rPr>
            <w:rStyle w:val="Hyperlink"/>
            <w:rFonts w:ascii="Arial" w:hAnsi="Arial" w:cs="Arial"/>
            <w:sz w:val="24"/>
            <w:szCs w:val="24"/>
          </w:rPr>
          <w:t>jump to criteria</w:t>
        </w:r>
      </w:hyperlink>
      <w:r w:rsidRPr="00FA3F9C">
        <w:rPr>
          <w:rFonts w:ascii="Arial" w:hAnsi="Arial" w:cs="Arial"/>
          <w:sz w:val="24"/>
          <w:szCs w:val="24"/>
        </w:rPr>
        <w:t>]</w:t>
      </w:r>
    </w:p>
    <w:p w14:paraId="0A1ABCE1" w14:textId="77777777" w:rsidR="009B5AA5" w:rsidRPr="00FA3F9C" w:rsidRDefault="009B5AA5" w:rsidP="009B5AA5">
      <w:pPr>
        <w:numPr>
          <w:ilvl w:val="1"/>
          <w:numId w:val="278"/>
        </w:numPr>
        <w:spacing w:after="0" w:line="240" w:lineRule="auto"/>
        <w:rPr>
          <w:rFonts w:ascii="Arial" w:hAnsi="Arial" w:cs="Arial"/>
          <w:b/>
          <w:sz w:val="24"/>
          <w:szCs w:val="24"/>
          <w:u w:val="single"/>
        </w:rPr>
      </w:pPr>
      <w:r w:rsidRPr="00FA3F9C">
        <w:rPr>
          <w:rFonts w:ascii="Arial" w:hAnsi="Arial" w:cs="Arial"/>
          <w:sz w:val="24"/>
          <w:szCs w:val="24"/>
        </w:rPr>
        <w:t>As single agent for recurrent or metastatic cervical cancer with disease progression on or after chemotherapy whose tumors express PD-L1 (CPS</w:t>
      </w:r>
      <w:r w:rsidRPr="00FA3F9C">
        <w:rPr>
          <w:rFonts w:ascii="Arial" w:hAnsi="Arial" w:cs="Arial"/>
          <w:sz w:val="24"/>
          <w:szCs w:val="24"/>
          <w:u w:val="single"/>
        </w:rPr>
        <w:t>&gt;</w:t>
      </w:r>
      <w:r w:rsidRPr="00FA3F9C">
        <w:rPr>
          <w:rFonts w:ascii="Arial" w:hAnsi="Arial" w:cs="Arial"/>
          <w:sz w:val="24"/>
          <w:szCs w:val="24"/>
        </w:rPr>
        <w:t>1)</w:t>
      </w:r>
      <w:r w:rsidRPr="00FA3F9C">
        <w:rPr>
          <w:rFonts w:ascii="Arial" w:hAnsi="Arial" w:cs="Arial"/>
          <w:sz w:val="24"/>
          <w:szCs w:val="24"/>
          <w:vertAlign w:val="superscript"/>
        </w:rPr>
        <w:t>a</w:t>
      </w:r>
      <w:r w:rsidRPr="00FA3F9C">
        <w:rPr>
          <w:rFonts w:ascii="Arial" w:hAnsi="Arial" w:cs="Arial"/>
          <w:sz w:val="24"/>
          <w:szCs w:val="24"/>
        </w:rPr>
        <w:t xml:space="preserve"> </w:t>
      </w:r>
      <w:r w:rsidRPr="00FA3F9C">
        <w:rPr>
          <w:rFonts w:ascii="Arial" w:hAnsi="Arial" w:cs="Arial"/>
          <w:sz w:val="24"/>
          <w:szCs w:val="24"/>
          <w:highlight w:val="yellow"/>
        </w:rPr>
        <w:t>NOT COVERED</w:t>
      </w:r>
      <w:r w:rsidRPr="00FA3F9C">
        <w:rPr>
          <w:rFonts w:ascii="Arial" w:hAnsi="Arial" w:cs="Arial"/>
          <w:sz w:val="24"/>
          <w:szCs w:val="24"/>
        </w:rPr>
        <w:t>: lack of comparative data</w:t>
      </w:r>
    </w:p>
    <w:p w14:paraId="3ECCB544" w14:textId="77777777" w:rsidR="009B5AA5" w:rsidRPr="00FA3F9C" w:rsidRDefault="009B5AA5" w:rsidP="009B5AA5">
      <w:pPr>
        <w:numPr>
          <w:ilvl w:val="0"/>
          <w:numId w:val="278"/>
        </w:numPr>
        <w:spacing w:after="0" w:line="240" w:lineRule="auto"/>
        <w:rPr>
          <w:rFonts w:ascii="Arial" w:hAnsi="Arial" w:cs="Arial"/>
          <w:b/>
          <w:sz w:val="24"/>
          <w:szCs w:val="24"/>
          <w:u w:val="single"/>
        </w:rPr>
      </w:pPr>
      <w:r w:rsidRPr="00FA3F9C">
        <w:rPr>
          <w:rFonts w:ascii="Arial" w:hAnsi="Arial" w:cs="Arial"/>
          <w:b/>
          <w:sz w:val="24"/>
          <w:szCs w:val="24"/>
          <w:u w:val="single"/>
        </w:rPr>
        <w:t>Hepatocellular Carcinoma (HCC)</w:t>
      </w:r>
    </w:p>
    <w:p w14:paraId="4E52CE04" w14:textId="77777777" w:rsidR="009B5AA5" w:rsidRPr="00FA3F9C" w:rsidRDefault="009B5AA5" w:rsidP="009B5AA5">
      <w:pPr>
        <w:numPr>
          <w:ilvl w:val="1"/>
          <w:numId w:val="278"/>
        </w:numPr>
        <w:spacing w:after="0" w:line="240" w:lineRule="auto"/>
        <w:rPr>
          <w:rFonts w:ascii="Arial" w:hAnsi="Arial" w:cs="Arial"/>
          <w:b/>
          <w:sz w:val="24"/>
          <w:szCs w:val="24"/>
          <w:u w:val="single"/>
        </w:rPr>
      </w:pPr>
      <w:r w:rsidRPr="00FA3F9C">
        <w:rPr>
          <w:rFonts w:ascii="Arial" w:hAnsi="Arial" w:cs="Arial"/>
          <w:sz w:val="24"/>
          <w:szCs w:val="24"/>
        </w:rPr>
        <w:t xml:space="preserve">HCC previously treated with </w:t>
      </w:r>
      <w:proofErr w:type="spellStart"/>
      <w:r w:rsidRPr="00FA3F9C">
        <w:rPr>
          <w:rFonts w:ascii="Arial" w:hAnsi="Arial" w:cs="Arial"/>
          <w:sz w:val="24"/>
          <w:szCs w:val="24"/>
        </w:rPr>
        <w:t>sorafenib</w:t>
      </w:r>
      <w:r w:rsidRPr="00FA3F9C">
        <w:rPr>
          <w:rFonts w:ascii="Arial" w:hAnsi="Arial" w:cs="Arial"/>
          <w:sz w:val="24"/>
          <w:szCs w:val="24"/>
          <w:vertAlign w:val="superscript"/>
        </w:rPr>
        <w:t>a</w:t>
      </w:r>
      <w:proofErr w:type="spellEnd"/>
      <w:r w:rsidRPr="00FA3F9C">
        <w:rPr>
          <w:rFonts w:ascii="Arial" w:hAnsi="Arial" w:cs="Arial"/>
          <w:sz w:val="24"/>
          <w:szCs w:val="24"/>
          <w:vertAlign w:val="superscript"/>
        </w:rPr>
        <w:t xml:space="preserve"> </w:t>
      </w:r>
      <w:r w:rsidRPr="00FA3F9C">
        <w:rPr>
          <w:rFonts w:ascii="Arial" w:hAnsi="Arial" w:cs="Arial"/>
          <w:sz w:val="24"/>
          <w:szCs w:val="24"/>
          <w:highlight w:val="yellow"/>
        </w:rPr>
        <w:t>NOT COVERED</w:t>
      </w:r>
      <w:r w:rsidRPr="00FA3F9C">
        <w:rPr>
          <w:rFonts w:ascii="Arial" w:hAnsi="Arial" w:cs="Arial"/>
          <w:sz w:val="24"/>
          <w:szCs w:val="24"/>
        </w:rPr>
        <w:t>: Head-to-head study of Pembrolizumab versus placebo in patients previously treated with or did not tolerate sorafenib did not find statistically significant difference for co-primary endpoints of overall survival or progression free survival; EBRx does not cover any immunotherapy for HCC</w:t>
      </w:r>
    </w:p>
    <w:p w14:paraId="59B640E6" w14:textId="77777777" w:rsidR="009B5AA5" w:rsidRPr="00FA3F9C" w:rsidRDefault="009B5AA5" w:rsidP="0025412B">
      <w:pPr>
        <w:spacing w:after="0" w:line="240" w:lineRule="auto"/>
        <w:ind w:left="720" w:firstLine="720"/>
        <w:rPr>
          <w:rFonts w:ascii="Arial" w:hAnsi="Arial" w:cs="Arial"/>
          <w:b/>
          <w:sz w:val="24"/>
          <w:szCs w:val="24"/>
          <w:u w:val="single"/>
        </w:rPr>
      </w:pPr>
      <w:r w:rsidRPr="00FA3F9C">
        <w:rPr>
          <w:rFonts w:ascii="Arial" w:hAnsi="Arial" w:cs="Arial"/>
          <w:sz w:val="24"/>
          <w:szCs w:val="24"/>
        </w:rPr>
        <w:t xml:space="preserve">References: </w:t>
      </w:r>
    </w:p>
    <w:p w14:paraId="3FE4A267" w14:textId="77777777" w:rsidR="009B5AA5" w:rsidRPr="00FA3F9C" w:rsidRDefault="009B5AA5" w:rsidP="009B5AA5">
      <w:pPr>
        <w:numPr>
          <w:ilvl w:val="2"/>
          <w:numId w:val="278"/>
        </w:numPr>
        <w:spacing w:after="0" w:line="240" w:lineRule="auto"/>
        <w:rPr>
          <w:rFonts w:ascii="Arial" w:hAnsi="Arial" w:cs="Arial"/>
          <w:b/>
          <w:sz w:val="24"/>
          <w:szCs w:val="24"/>
          <w:u w:val="single"/>
        </w:rPr>
      </w:pPr>
      <w:r w:rsidRPr="00FA3F9C">
        <w:rPr>
          <w:rFonts w:ascii="Arial" w:hAnsi="Arial" w:cs="Arial"/>
          <w:sz w:val="24"/>
          <w:szCs w:val="24"/>
        </w:rPr>
        <w:t xml:space="preserve">Press release: </w:t>
      </w:r>
      <w:hyperlink r:id="rId315" w:history="1">
        <w:r w:rsidRPr="00FA3F9C">
          <w:rPr>
            <w:rStyle w:val="Hyperlink"/>
            <w:rFonts w:ascii="Arial" w:hAnsi="Arial" w:cs="Arial"/>
            <w:sz w:val="24"/>
            <w:szCs w:val="24"/>
          </w:rPr>
          <w:t>https://investors.merck.com/news/press-release-details/2019/Merck-Provides-Update-on-KEYNOTE-240-a-Phase-3-Study-of-KEYTRUDA-pembrolizumab-in-Previously-Treated-Patients-with-Advanced-Hepatocellular-Carcinoma/default.aspx</w:t>
        </w:r>
      </w:hyperlink>
    </w:p>
    <w:p w14:paraId="41372402" w14:textId="77777777" w:rsidR="009B5AA5" w:rsidRPr="00FA3F9C" w:rsidRDefault="009B5AA5" w:rsidP="009B5AA5">
      <w:pPr>
        <w:numPr>
          <w:ilvl w:val="2"/>
          <w:numId w:val="278"/>
        </w:numPr>
        <w:spacing w:after="0" w:line="240" w:lineRule="auto"/>
        <w:rPr>
          <w:rFonts w:ascii="Arial" w:hAnsi="Arial" w:cs="Arial"/>
          <w:b/>
          <w:sz w:val="24"/>
          <w:szCs w:val="24"/>
          <w:u w:val="single"/>
        </w:rPr>
      </w:pPr>
      <w:r w:rsidRPr="00FA3F9C">
        <w:rPr>
          <w:rFonts w:ascii="Arial" w:hAnsi="Arial" w:cs="Arial"/>
          <w:sz w:val="24"/>
          <w:szCs w:val="24"/>
        </w:rPr>
        <w:t xml:space="preserve">Clinical trials.gov: </w:t>
      </w:r>
      <w:hyperlink r:id="rId316" w:history="1">
        <w:r w:rsidRPr="00FA3F9C">
          <w:rPr>
            <w:rStyle w:val="Hyperlink"/>
            <w:rFonts w:ascii="Arial" w:hAnsi="Arial" w:cs="Arial"/>
            <w:sz w:val="24"/>
            <w:szCs w:val="24"/>
          </w:rPr>
          <w:t>https://clinicaltrials.gov/ct2/show/NCT02702401?term=NCT02702401&amp;rank=1</w:t>
        </w:r>
      </w:hyperlink>
      <w:r w:rsidRPr="00FA3F9C">
        <w:rPr>
          <w:rFonts w:ascii="Arial" w:hAnsi="Arial" w:cs="Arial"/>
          <w:sz w:val="24"/>
          <w:szCs w:val="24"/>
        </w:rPr>
        <w:t xml:space="preserve"> </w:t>
      </w:r>
    </w:p>
    <w:p w14:paraId="7B6D2B5A" w14:textId="77777777" w:rsidR="009B5AA5" w:rsidRPr="00FA3F9C" w:rsidRDefault="009B5AA5" w:rsidP="009B5AA5">
      <w:pPr>
        <w:numPr>
          <w:ilvl w:val="0"/>
          <w:numId w:val="278"/>
        </w:numPr>
        <w:spacing w:after="0" w:line="240" w:lineRule="auto"/>
        <w:rPr>
          <w:rFonts w:ascii="Arial" w:hAnsi="Arial" w:cs="Arial"/>
          <w:sz w:val="24"/>
          <w:szCs w:val="24"/>
        </w:rPr>
      </w:pPr>
      <w:r w:rsidRPr="00FA3F9C">
        <w:rPr>
          <w:rFonts w:ascii="Arial" w:hAnsi="Arial" w:cs="Arial"/>
          <w:b/>
          <w:sz w:val="24"/>
          <w:szCs w:val="24"/>
          <w:u w:val="single"/>
        </w:rPr>
        <w:t xml:space="preserve">Merkel Cell Carcinoma (MCC) </w:t>
      </w:r>
      <w:r w:rsidRPr="00FA3F9C">
        <w:rPr>
          <w:rFonts w:ascii="Arial" w:hAnsi="Arial" w:cs="Arial"/>
          <w:sz w:val="24"/>
          <w:szCs w:val="24"/>
        </w:rPr>
        <w:t>[</w:t>
      </w:r>
      <w:hyperlink w:anchor="merkel" w:history="1">
        <w:r w:rsidRPr="00FA3F9C">
          <w:rPr>
            <w:rStyle w:val="Hyperlink"/>
            <w:rFonts w:ascii="Arial" w:hAnsi="Arial" w:cs="Arial"/>
            <w:sz w:val="24"/>
            <w:szCs w:val="24"/>
          </w:rPr>
          <w:t>jump to criteria</w:t>
        </w:r>
      </w:hyperlink>
      <w:r w:rsidRPr="00FA3F9C">
        <w:rPr>
          <w:rFonts w:ascii="Arial" w:hAnsi="Arial" w:cs="Arial"/>
          <w:sz w:val="24"/>
          <w:szCs w:val="24"/>
        </w:rPr>
        <w:t>]</w:t>
      </w:r>
    </w:p>
    <w:p w14:paraId="2625189A" w14:textId="77777777" w:rsidR="009B5AA5" w:rsidRPr="00FA3F9C" w:rsidRDefault="009B5AA5" w:rsidP="009B5AA5">
      <w:pPr>
        <w:numPr>
          <w:ilvl w:val="1"/>
          <w:numId w:val="278"/>
        </w:numPr>
        <w:spacing w:after="0" w:line="240" w:lineRule="auto"/>
        <w:rPr>
          <w:rFonts w:ascii="Arial" w:hAnsi="Arial" w:cs="Arial"/>
          <w:b/>
          <w:sz w:val="24"/>
          <w:szCs w:val="24"/>
          <w:u w:val="single"/>
        </w:rPr>
      </w:pPr>
      <w:r w:rsidRPr="00FA3F9C">
        <w:rPr>
          <w:rFonts w:ascii="Arial" w:hAnsi="Arial" w:cs="Arial"/>
          <w:sz w:val="24"/>
          <w:szCs w:val="24"/>
        </w:rPr>
        <w:t xml:space="preserve">Adult and pediatric patients with recurrent locally advanced or metastatic Merkel cell </w:t>
      </w:r>
      <w:proofErr w:type="spellStart"/>
      <w:r w:rsidRPr="00FA3F9C">
        <w:rPr>
          <w:rFonts w:ascii="Arial" w:hAnsi="Arial" w:cs="Arial"/>
          <w:sz w:val="24"/>
          <w:szCs w:val="24"/>
        </w:rPr>
        <w:t>carcinoma</w:t>
      </w:r>
      <w:r w:rsidRPr="00FA3F9C">
        <w:rPr>
          <w:rFonts w:ascii="Arial" w:hAnsi="Arial" w:cs="Arial"/>
          <w:sz w:val="24"/>
          <w:szCs w:val="24"/>
          <w:vertAlign w:val="superscript"/>
        </w:rPr>
        <w:t>a</w:t>
      </w:r>
      <w:proofErr w:type="spellEnd"/>
      <w:r w:rsidRPr="00FA3F9C">
        <w:rPr>
          <w:rFonts w:ascii="Arial" w:hAnsi="Arial" w:cs="Arial"/>
          <w:sz w:val="24"/>
          <w:szCs w:val="24"/>
        </w:rPr>
        <w:t xml:space="preserve"> </w:t>
      </w:r>
    </w:p>
    <w:p w14:paraId="782D9DFD" w14:textId="77777777" w:rsidR="009B5AA5" w:rsidRPr="00FA3F9C" w:rsidRDefault="009B5AA5" w:rsidP="009B5AA5">
      <w:pPr>
        <w:numPr>
          <w:ilvl w:val="0"/>
          <w:numId w:val="278"/>
        </w:numPr>
        <w:spacing w:after="0" w:line="240" w:lineRule="auto"/>
        <w:rPr>
          <w:rFonts w:ascii="Arial" w:hAnsi="Arial" w:cs="Arial"/>
          <w:sz w:val="24"/>
          <w:szCs w:val="24"/>
        </w:rPr>
      </w:pPr>
      <w:r w:rsidRPr="00FA3F9C">
        <w:rPr>
          <w:rFonts w:ascii="Arial" w:hAnsi="Arial" w:cs="Arial"/>
          <w:b/>
          <w:sz w:val="24"/>
          <w:szCs w:val="24"/>
          <w:u w:val="single"/>
        </w:rPr>
        <w:t xml:space="preserve">Renal Cell Carcinoma (RCC) </w:t>
      </w:r>
    </w:p>
    <w:p w14:paraId="0912EF25" w14:textId="77777777" w:rsidR="009B5AA5" w:rsidRPr="00FA3F9C" w:rsidRDefault="009B5AA5" w:rsidP="009B5AA5">
      <w:pPr>
        <w:numPr>
          <w:ilvl w:val="1"/>
          <w:numId w:val="278"/>
        </w:numPr>
        <w:spacing w:after="0" w:line="240" w:lineRule="auto"/>
        <w:rPr>
          <w:rFonts w:ascii="Arial" w:hAnsi="Arial" w:cs="Arial"/>
          <w:sz w:val="24"/>
          <w:szCs w:val="24"/>
        </w:rPr>
      </w:pPr>
      <w:r w:rsidRPr="00FA3F9C">
        <w:rPr>
          <w:rFonts w:ascii="Arial" w:hAnsi="Arial" w:cs="Arial"/>
          <w:sz w:val="24"/>
          <w:szCs w:val="24"/>
        </w:rPr>
        <w:t xml:space="preserve">In combination with </w:t>
      </w:r>
      <w:proofErr w:type="spellStart"/>
      <w:r w:rsidRPr="00FA3F9C">
        <w:rPr>
          <w:rFonts w:ascii="Arial" w:hAnsi="Arial" w:cs="Arial"/>
          <w:sz w:val="24"/>
          <w:szCs w:val="24"/>
        </w:rPr>
        <w:t>axitinib</w:t>
      </w:r>
      <w:proofErr w:type="spellEnd"/>
      <w:r w:rsidRPr="00FA3F9C">
        <w:rPr>
          <w:rFonts w:ascii="Arial" w:hAnsi="Arial" w:cs="Arial"/>
          <w:sz w:val="24"/>
          <w:szCs w:val="24"/>
        </w:rPr>
        <w:t>, for the first-line treatment of patients with advanced RCC [</w:t>
      </w:r>
      <w:hyperlink w:anchor="renal" w:history="1">
        <w:r w:rsidRPr="00FA3F9C">
          <w:rPr>
            <w:rStyle w:val="Hyperlink"/>
            <w:rFonts w:ascii="Arial" w:hAnsi="Arial" w:cs="Arial"/>
            <w:sz w:val="24"/>
            <w:szCs w:val="24"/>
          </w:rPr>
          <w:t>jump to criteria</w:t>
        </w:r>
      </w:hyperlink>
      <w:r w:rsidRPr="00FA3F9C">
        <w:rPr>
          <w:rFonts w:ascii="Arial" w:hAnsi="Arial" w:cs="Arial"/>
          <w:sz w:val="24"/>
          <w:szCs w:val="24"/>
        </w:rPr>
        <w:t>]</w:t>
      </w:r>
    </w:p>
    <w:p w14:paraId="366D1836" w14:textId="77777777" w:rsidR="009B5AA5" w:rsidRPr="00FA3F9C" w:rsidRDefault="009B5AA5" w:rsidP="009B5AA5">
      <w:pPr>
        <w:numPr>
          <w:ilvl w:val="1"/>
          <w:numId w:val="278"/>
        </w:numPr>
        <w:spacing w:after="0" w:line="240" w:lineRule="auto"/>
        <w:rPr>
          <w:rStyle w:val="Hyperlink"/>
          <w:rFonts w:ascii="Arial" w:hAnsi="Arial" w:cs="Arial"/>
          <w:sz w:val="24"/>
          <w:szCs w:val="24"/>
        </w:rPr>
      </w:pPr>
      <w:r w:rsidRPr="00FA3F9C">
        <w:rPr>
          <w:rFonts w:ascii="Arial" w:hAnsi="Arial" w:cs="Arial"/>
          <w:sz w:val="24"/>
          <w:szCs w:val="24"/>
        </w:rPr>
        <w:t xml:space="preserve">in combination with </w:t>
      </w:r>
      <w:proofErr w:type="spellStart"/>
      <w:r w:rsidRPr="00FA3F9C">
        <w:rPr>
          <w:rFonts w:ascii="Arial" w:hAnsi="Arial" w:cs="Arial"/>
          <w:sz w:val="24"/>
          <w:szCs w:val="24"/>
        </w:rPr>
        <w:t>lenvatinib</w:t>
      </w:r>
      <w:proofErr w:type="spellEnd"/>
      <w:r w:rsidRPr="00FA3F9C">
        <w:rPr>
          <w:rFonts w:ascii="Arial" w:hAnsi="Arial" w:cs="Arial"/>
          <w:sz w:val="24"/>
          <w:szCs w:val="24"/>
        </w:rPr>
        <w:t xml:space="preserve">, for the first-line treatment of adult patients with advanced RCC </w:t>
      </w:r>
      <w:hyperlink w:anchor="rena_lenvat" w:history="1">
        <w:r w:rsidRPr="00FA3F9C">
          <w:rPr>
            <w:rStyle w:val="Hyperlink"/>
            <w:rFonts w:ascii="Arial" w:hAnsi="Arial" w:cs="Arial"/>
            <w:sz w:val="24"/>
            <w:szCs w:val="24"/>
          </w:rPr>
          <w:t>[jump to criteria]</w:t>
        </w:r>
      </w:hyperlink>
    </w:p>
    <w:p w14:paraId="1246AB2F" w14:textId="77777777" w:rsidR="009B5AA5" w:rsidRPr="00FA3F9C" w:rsidRDefault="009B5AA5" w:rsidP="009B5AA5">
      <w:pPr>
        <w:numPr>
          <w:ilvl w:val="1"/>
          <w:numId w:val="278"/>
        </w:numPr>
        <w:spacing w:after="0" w:line="240" w:lineRule="auto"/>
        <w:rPr>
          <w:rFonts w:ascii="Arial" w:hAnsi="Arial" w:cs="Arial"/>
          <w:sz w:val="24"/>
          <w:szCs w:val="24"/>
        </w:rPr>
      </w:pPr>
      <w:r w:rsidRPr="00FA3F9C">
        <w:rPr>
          <w:rFonts w:ascii="Arial" w:hAnsi="Arial" w:cs="Arial"/>
          <w:sz w:val="24"/>
          <w:szCs w:val="24"/>
        </w:rPr>
        <w:t>for the adjuvant treatment of patients with RCC at intermediate-high or high risk of recurrence following nephrectomy, or following nephrectomy and resection of metastatic lesions [</w:t>
      </w:r>
      <w:hyperlink w:anchor="renal_adj" w:history="1">
        <w:r w:rsidRPr="00FA3F9C">
          <w:rPr>
            <w:rStyle w:val="Hyperlink"/>
            <w:rFonts w:ascii="Arial" w:hAnsi="Arial" w:cs="Arial"/>
            <w:sz w:val="24"/>
            <w:szCs w:val="24"/>
          </w:rPr>
          <w:t>jump to criteria</w:t>
        </w:r>
      </w:hyperlink>
      <w:r w:rsidRPr="00FA3F9C">
        <w:rPr>
          <w:rFonts w:ascii="Arial" w:hAnsi="Arial" w:cs="Arial"/>
          <w:sz w:val="24"/>
          <w:szCs w:val="24"/>
        </w:rPr>
        <w:t>]</w:t>
      </w:r>
    </w:p>
    <w:p w14:paraId="3C21DC34" w14:textId="77777777" w:rsidR="009B5AA5" w:rsidRPr="00FA3F9C" w:rsidRDefault="009B5AA5" w:rsidP="009B5AA5">
      <w:pPr>
        <w:numPr>
          <w:ilvl w:val="0"/>
          <w:numId w:val="278"/>
        </w:numPr>
        <w:spacing w:after="0" w:line="240" w:lineRule="auto"/>
        <w:rPr>
          <w:rFonts w:ascii="Arial" w:hAnsi="Arial" w:cs="Arial"/>
          <w:sz w:val="24"/>
          <w:szCs w:val="24"/>
        </w:rPr>
      </w:pPr>
      <w:r w:rsidRPr="00FA3F9C">
        <w:rPr>
          <w:rFonts w:ascii="Arial" w:hAnsi="Arial" w:cs="Arial"/>
          <w:b/>
          <w:sz w:val="24"/>
          <w:szCs w:val="24"/>
          <w:u w:val="single"/>
        </w:rPr>
        <w:t>Endometrial Carcinoma</w:t>
      </w:r>
      <w:r w:rsidRPr="00FA3F9C">
        <w:rPr>
          <w:rFonts w:ascii="Arial" w:hAnsi="Arial" w:cs="Arial"/>
          <w:sz w:val="24"/>
          <w:szCs w:val="24"/>
        </w:rPr>
        <w:t xml:space="preserve"> [</w:t>
      </w:r>
      <w:hyperlink w:anchor="endometrial" w:history="1">
        <w:r w:rsidRPr="00FA3F9C">
          <w:rPr>
            <w:rStyle w:val="Hyperlink"/>
            <w:rFonts w:ascii="Arial" w:hAnsi="Arial" w:cs="Arial"/>
            <w:sz w:val="24"/>
            <w:szCs w:val="24"/>
          </w:rPr>
          <w:t>jump to criteria</w:t>
        </w:r>
      </w:hyperlink>
      <w:r w:rsidRPr="00FA3F9C">
        <w:rPr>
          <w:rFonts w:ascii="Arial" w:hAnsi="Arial" w:cs="Arial"/>
          <w:sz w:val="24"/>
          <w:szCs w:val="24"/>
        </w:rPr>
        <w:t>]</w:t>
      </w:r>
    </w:p>
    <w:p w14:paraId="7A097E38" w14:textId="77777777" w:rsidR="009B5AA5" w:rsidRPr="00FA3F9C" w:rsidRDefault="009B5AA5" w:rsidP="009B5AA5">
      <w:pPr>
        <w:numPr>
          <w:ilvl w:val="1"/>
          <w:numId w:val="278"/>
        </w:numPr>
        <w:spacing w:after="0" w:line="240" w:lineRule="auto"/>
        <w:rPr>
          <w:rFonts w:ascii="Arial" w:hAnsi="Arial" w:cs="Arial"/>
          <w:sz w:val="24"/>
          <w:szCs w:val="24"/>
        </w:rPr>
      </w:pPr>
      <w:r w:rsidRPr="00FA3F9C">
        <w:rPr>
          <w:rFonts w:ascii="Arial" w:hAnsi="Arial" w:cs="Arial"/>
          <w:sz w:val="24"/>
          <w:szCs w:val="24"/>
        </w:rPr>
        <w:t xml:space="preserve">In combination with </w:t>
      </w:r>
      <w:proofErr w:type="spellStart"/>
      <w:r w:rsidRPr="00FA3F9C">
        <w:rPr>
          <w:rFonts w:ascii="Arial" w:hAnsi="Arial" w:cs="Arial"/>
          <w:sz w:val="24"/>
          <w:szCs w:val="24"/>
        </w:rPr>
        <w:t>lenvatinib</w:t>
      </w:r>
      <w:proofErr w:type="spellEnd"/>
      <w:r w:rsidRPr="00FA3F9C">
        <w:rPr>
          <w:rFonts w:ascii="Arial" w:hAnsi="Arial" w:cs="Arial"/>
          <w:sz w:val="24"/>
          <w:szCs w:val="24"/>
        </w:rPr>
        <w:t xml:space="preserve">, for the treatment of patients with advanced endometrial carcinoma that is not MSI-H or </w:t>
      </w:r>
      <w:proofErr w:type="spellStart"/>
      <w:r w:rsidRPr="00FA3F9C">
        <w:rPr>
          <w:rFonts w:ascii="Arial" w:hAnsi="Arial" w:cs="Arial"/>
          <w:sz w:val="24"/>
          <w:szCs w:val="24"/>
        </w:rPr>
        <w:t>dMMR</w:t>
      </w:r>
      <w:proofErr w:type="spellEnd"/>
      <w:r w:rsidRPr="00FA3F9C">
        <w:rPr>
          <w:rFonts w:ascii="Arial" w:hAnsi="Arial" w:cs="Arial"/>
          <w:sz w:val="24"/>
          <w:szCs w:val="24"/>
        </w:rPr>
        <w:t>, who have disease progression following prior systemic therapy in any setting and are not candidates for curative surgery or radiation.</w:t>
      </w:r>
    </w:p>
    <w:p w14:paraId="593C278C" w14:textId="77777777" w:rsidR="009B5AA5" w:rsidRPr="00FA3F9C" w:rsidRDefault="009B5AA5" w:rsidP="009B5AA5">
      <w:pPr>
        <w:numPr>
          <w:ilvl w:val="0"/>
          <w:numId w:val="278"/>
        </w:numPr>
        <w:spacing w:after="0" w:line="240" w:lineRule="auto"/>
        <w:rPr>
          <w:rFonts w:ascii="Arial" w:hAnsi="Arial" w:cs="Arial"/>
          <w:sz w:val="24"/>
          <w:szCs w:val="24"/>
        </w:rPr>
      </w:pPr>
      <w:r w:rsidRPr="00FA3F9C">
        <w:rPr>
          <w:rFonts w:ascii="Arial" w:hAnsi="Arial" w:cs="Arial"/>
          <w:b/>
          <w:sz w:val="24"/>
          <w:szCs w:val="24"/>
          <w:u w:val="single"/>
        </w:rPr>
        <w:t xml:space="preserve">Tumor Mutational Burden-High (TMB-H) </w:t>
      </w:r>
      <w:proofErr w:type="spellStart"/>
      <w:r w:rsidRPr="00FA3F9C">
        <w:rPr>
          <w:rFonts w:ascii="Arial" w:hAnsi="Arial" w:cs="Arial"/>
          <w:b/>
          <w:sz w:val="24"/>
          <w:szCs w:val="24"/>
          <w:u w:val="single"/>
        </w:rPr>
        <w:t>Cancer</w:t>
      </w:r>
      <w:r w:rsidRPr="00FA3F9C">
        <w:rPr>
          <w:rFonts w:ascii="Arial" w:hAnsi="Arial" w:cs="Arial"/>
          <w:sz w:val="24"/>
          <w:szCs w:val="24"/>
          <w:vertAlign w:val="superscript"/>
        </w:rPr>
        <w:t>a</w:t>
      </w:r>
      <w:proofErr w:type="spellEnd"/>
    </w:p>
    <w:p w14:paraId="73C613C7" w14:textId="77777777" w:rsidR="009B5AA5" w:rsidRPr="00FA3F9C" w:rsidRDefault="009B5AA5" w:rsidP="009B5AA5">
      <w:pPr>
        <w:numPr>
          <w:ilvl w:val="1"/>
          <w:numId w:val="278"/>
        </w:numPr>
        <w:spacing w:after="0" w:line="240" w:lineRule="auto"/>
        <w:rPr>
          <w:rFonts w:ascii="Arial" w:hAnsi="Arial" w:cs="Arial"/>
          <w:sz w:val="24"/>
          <w:szCs w:val="24"/>
        </w:rPr>
      </w:pPr>
      <w:r w:rsidRPr="00FA3F9C">
        <w:rPr>
          <w:rFonts w:ascii="Arial" w:hAnsi="Arial" w:cs="Arial"/>
          <w:sz w:val="24"/>
          <w:szCs w:val="24"/>
        </w:rPr>
        <w:t>Treatment of adult and pediatric patients with unresectable or metastatic tumor mutational burden-high (TMB-H) [</w:t>
      </w:r>
      <w:r w:rsidRPr="00FA3F9C">
        <w:rPr>
          <w:rFonts w:ascii="Arial" w:hAnsi="Arial" w:cs="Arial"/>
          <w:sz w:val="24"/>
          <w:szCs w:val="24"/>
          <w:u w:val="single"/>
        </w:rPr>
        <w:t>&gt;</w:t>
      </w:r>
      <w:r w:rsidRPr="00FA3F9C">
        <w:rPr>
          <w:rFonts w:ascii="Arial" w:hAnsi="Arial" w:cs="Arial"/>
          <w:sz w:val="24"/>
          <w:szCs w:val="24"/>
        </w:rPr>
        <w:t>10 mutations/</w:t>
      </w:r>
      <w:proofErr w:type="spellStart"/>
      <w:r w:rsidRPr="00FA3F9C">
        <w:rPr>
          <w:rFonts w:ascii="Arial" w:hAnsi="Arial" w:cs="Arial"/>
          <w:sz w:val="24"/>
          <w:szCs w:val="24"/>
        </w:rPr>
        <w:t>megabase</w:t>
      </w:r>
      <w:proofErr w:type="spellEnd"/>
      <w:r w:rsidRPr="00FA3F9C">
        <w:rPr>
          <w:rFonts w:ascii="Arial" w:hAnsi="Arial" w:cs="Arial"/>
          <w:sz w:val="24"/>
          <w:szCs w:val="24"/>
        </w:rPr>
        <w:t xml:space="preserve"> (mut/Mb) solid tumors, as determined by an FDA-approved test, that have progressed following prior treatment and who have no satisfactory alternative treatment options: </w:t>
      </w:r>
      <w:r w:rsidRPr="00FA3F9C">
        <w:rPr>
          <w:rFonts w:ascii="Arial" w:hAnsi="Arial" w:cs="Arial"/>
          <w:sz w:val="24"/>
          <w:szCs w:val="24"/>
          <w:u w:val="single"/>
        </w:rPr>
        <w:t>Limitations of use:</w:t>
      </w:r>
      <w:r w:rsidRPr="00FA3F9C">
        <w:rPr>
          <w:rFonts w:ascii="Arial" w:hAnsi="Arial" w:cs="Arial"/>
          <w:sz w:val="24"/>
          <w:szCs w:val="24"/>
        </w:rPr>
        <w:t xml:space="preserve"> the safety and effectiveness of pembrolizumab in pediatric patients with TMB-H central nervous system cancer have not been established.</w:t>
      </w:r>
      <w:r w:rsidRPr="00FA3F9C">
        <w:rPr>
          <w:rFonts w:ascii="Arial" w:hAnsi="Arial" w:cs="Arial"/>
          <w:sz w:val="24"/>
          <w:szCs w:val="24"/>
          <w:highlight w:val="yellow"/>
        </w:rPr>
        <w:t xml:space="preserve"> NOT COVERED</w:t>
      </w:r>
      <w:r w:rsidRPr="00FA3F9C">
        <w:rPr>
          <w:rFonts w:ascii="Arial" w:hAnsi="Arial" w:cs="Arial"/>
          <w:sz w:val="24"/>
          <w:szCs w:val="24"/>
        </w:rPr>
        <w:t xml:space="preserve"> Data for this indication is limited to a single arm, non-comparing trial. Therefore, EBRx will not cover at this time.</w:t>
      </w:r>
    </w:p>
    <w:p w14:paraId="10F1A50B" w14:textId="77777777" w:rsidR="009B5AA5" w:rsidRPr="00FA3F9C" w:rsidRDefault="009B5AA5" w:rsidP="009B5AA5">
      <w:pPr>
        <w:numPr>
          <w:ilvl w:val="0"/>
          <w:numId w:val="278"/>
        </w:numPr>
        <w:spacing w:after="0" w:line="240" w:lineRule="auto"/>
        <w:rPr>
          <w:rFonts w:ascii="Arial" w:hAnsi="Arial" w:cs="Arial"/>
          <w:b/>
          <w:sz w:val="24"/>
          <w:szCs w:val="24"/>
          <w:u w:val="single"/>
        </w:rPr>
      </w:pPr>
      <w:r w:rsidRPr="00FA3F9C">
        <w:rPr>
          <w:rFonts w:ascii="Arial" w:hAnsi="Arial" w:cs="Arial"/>
          <w:b/>
          <w:sz w:val="24"/>
          <w:szCs w:val="24"/>
          <w:u w:val="single"/>
        </w:rPr>
        <w:t>Cutaneous Squamous Cell Carcinoma (</w:t>
      </w:r>
      <w:proofErr w:type="spellStart"/>
      <w:r w:rsidRPr="00FA3F9C">
        <w:rPr>
          <w:rFonts w:ascii="Arial" w:hAnsi="Arial" w:cs="Arial"/>
          <w:b/>
          <w:sz w:val="24"/>
          <w:szCs w:val="24"/>
          <w:u w:val="single"/>
        </w:rPr>
        <w:t>cSCC</w:t>
      </w:r>
      <w:proofErr w:type="spellEnd"/>
      <w:r w:rsidRPr="00FA3F9C">
        <w:rPr>
          <w:rFonts w:ascii="Arial" w:hAnsi="Arial" w:cs="Arial"/>
          <w:b/>
          <w:sz w:val="24"/>
          <w:szCs w:val="24"/>
          <w:u w:val="single"/>
        </w:rPr>
        <w:t>)</w:t>
      </w:r>
    </w:p>
    <w:p w14:paraId="21555244" w14:textId="77777777" w:rsidR="009B5AA5" w:rsidRPr="00FA3F9C" w:rsidRDefault="009B5AA5" w:rsidP="009B5AA5">
      <w:pPr>
        <w:numPr>
          <w:ilvl w:val="1"/>
          <w:numId w:val="278"/>
        </w:numPr>
        <w:spacing w:after="0" w:line="240" w:lineRule="auto"/>
        <w:rPr>
          <w:rFonts w:ascii="Arial" w:hAnsi="Arial" w:cs="Arial"/>
          <w:b/>
          <w:sz w:val="24"/>
          <w:szCs w:val="24"/>
          <w:u w:val="single"/>
        </w:rPr>
      </w:pPr>
      <w:r w:rsidRPr="00FA3F9C">
        <w:rPr>
          <w:rFonts w:ascii="Arial" w:hAnsi="Arial" w:cs="Arial"/>
          <w:sz w:val="24"/>
          <w:szCs w:val="24"/>
        </w:rPr>
        <w:lastRenderedPageBreak/>
        <w:t xml:space="preserve">Treatment of patients with recurrent or metastatic </w:t>
      </w:r>
      <w:proofErr w:type="spellStart"/>
      <w:r w:rsidRPr="00FA3F9C">
        <w:rPr>
          <w:rFonts w:ascii="Arial" w:hAnsi="Arial" w:cs="Arial"/>
          <w:sz w:val="24"/>
          <w:szCs w:val="24"/>
        </w:rPr>
        <w:t>cSCC</w:t>
      </w:r>
      <w:proofErr w:type="spellEnd"/>
      <w:r w:rsidRPr="00FA3F9C">
        <w:rPr>
          <w:rFonts w:ascii="Arial" w:hAnsi="Arial" w:cs="Arial"/>
          <w:sz w:val="24"/>
          <w:szCs w:val="24"/>
        </w:rPr>
        <w:t xml:space="preserve"> or locally advanced </w:t>
      </w:r>
      <w:proofErr w:type="spellStart"/>
      <w:r w:rsidRPr="00FA3F9C">
        <w:rPr>
          <w:rFonts w:ascii="Arial" w:hAnsi="Arial" w:cs="Arial"/>
          <w:sz w:val="24"/>
          <w:szCs w:val="24"/>
        </w:rPr>
        <w:t>cSCC</w:t>
      </w:r>
      <w:proofErr w:type="spellEnd"/>
      <w:r w:rsidRPr="00FA3F9C">
        <w:rPr>
          <w:rFonts w:ascii="Arial" w:hAnsi="Arial" w:cs="Arial"/>
          <w:sz w:val="24"/>
          <w:szCs w:val="24"/>
        </w:rPr>
        <w:t xml:space="preserve"> that is not curable by surgery or radiation. </w:t>
      </w:r>
      <w:r w:rsidRPr="00FA3F9C">
        <w:rPr>
          <w:rFonts w:ascii="Arial" w:hAnsi="Arial" w:cs="Arial"/>
          <w:sz w:val="24"/>
          <w:szCs w:val="24"/>
          <w:highlight w:val="yellow"/>
        </w:rPr>
        <w:t>NOT COVERED</w:t>
      </w:r>
      <w:r w:rsidRPr="00FA3F9C">
        <w:rPr>
          <w:rFonts w:ascii="Arial" w:hAnsi="Arial" w:cs="Arial"/>
          <w:sz w:val="24"/>
          <w:szCs w:val="24"/>
        </w:rPr>
        <w:t xml:space="preserve"> Data for this indication is limited to a single arm, non-comparative trial. Therefore, EBRx will not cover at this time.</w:t>
      </w:r>
    </w:p>
    <w:p w14:paraId="6141C82D" w14:textId="77777777" w:rsidR="009B5AA5" w:rsidRPr="00FA3F9C" w:rsidRDefault="009B5AA5" w:rsidP="009B5AA5">
      <w:pPr>
        <w:numPr>
          <w:ilvl w:val="0"/>
          <w:numId w:val="278"/>
        </w:numPr>
        <w:spacing w:after="0" w:line="240" w:lineRule="auto"/>
        <w:rPr>
          <w:rFonts w:ascii="Arial" w:hAnsi="Arial" w:cs="Arial"/>
          <w:b/>
          <w:sz w:val="24"/>
          <w:szCs w:val="24"/>
          <w:u w:val="single"/>
        </w:rPr>
      </w:pPr>
      <w:r w:rsidRPr="00FA3F9C">
        <w:rPr>
          <w:rFonts w:ascii="Arial" w:hAnsi="Arial" w:cs="Arial"/>
          <w:b/>
          <w:sz w:val="24"/>
          <w:szCs w:val="24"/>
          <w:u w:val="single"/>
        </w:rPr>
        <w:t xml:space="preserve">Triple-Negative Breast Cancer (TNBC) </w:t>
      </w:r>
    </w:p>
    <w:p w14:paraId="33A95F82" w14:textId="77777777" w:rsidR="009B5AA5" w:rsidRPr="00FA3F9C" w:rsidRDefault="009B5AA5" w:rsidP="009B5AA5">
      <w:pPr>
        <w:numPr>
          <w:ilvl w:val="1"/>
          <w:numId w:val="278"/>
        </w:numPr>
        <w:spacing w:after="0" w:line="240" w:lineRule="auto"/>
        <w:rPr>
          <w:rFonts w:ascii="Arial" w:hAnsi="Arial" w:cs="Arial"/>
          <w:sz w:val="24"/>
          <w:szCs w:val="24"/>
        </w:rPr>
      </w:pPr>
      <w:r w:rsidRPr="00FA3F9C">
        <w:rPr>
          <w:rFonts w:ascii="Arial" w:hAnsi="Arial" w:cs="Arial"/>
          <w:sz w:val="24"/>
          <w:szCs w:val="24"/>
        </w:rPr>
        <w:t>Treatment of patients with high-risk early-stage TNBC in combination with chemotherapy as neoadjuvant treatment, and then continued as a single agent as adjuvant treatment after surgery. [</w:t>
      </w:r>
      <w:hyperlink w:anchor="tnbc" w:history="1">
        <w:r w:rsidRPr="00FA3F9C">
          <w:rPr>
            <w:rStyle w:val="Hyperlink"/>
            <w:rFonts w:ascii="Arial" w:hAnsi="Arial" w:cs="Arial"/>
            <w:sz w:val="24"/>
            <w:szCs w:val="24"/>
          </w:rPr>
          <w:t>jump to criteria</w:t>
        </w:r>
      </w:hyperlink>
      <w:r w:rsidRPr="00FA3F9C">
        <w:rPr>
          <w:rFonts w:ascii="Arial" w:hAnsi="Arial" w:cs="Arial"/>
          <w:sz w:val="24"/>
          <w:szCs w:val="24"/>
        </w:rPr>
        <w:t>]</w:t>
      </w:r>
    </w:p>
    <w:p w14:paraId="03C1CD0E" w14:textId="77777777" w:rsidR="009B5AA5" w:rsidRPr="00FA3F9C" w:rsidRDefault="009B5AA5" w:rsidP="009B5AA5">
      <w:pPr>
        <w:numPr>
          <w:ilvl w:val="1"/>
          <w:numId w:val="278"/>
        </w:numPr>
        <w:spacing w:after="0" w:line="240" w:lineRule="auto"/>
        <w:rPr>
          <w:rFonts w:ascii="Arial" w:hAnsi="Arial" w:cs="Arial"/>
          <w:sz w:val="24"/>
          <w:szCs w:val="24"/>
        </w:rPr>
      </w:pPr>
      <w:r w:rsidRPr="00FA3F9C">
        <w:rPr>
          <w:rFonts w:ascii="Arial" w:hAnsi="Arial" w:cs="Arial"/>
          <w:sz w:val="24"/>
          <w:szCs w:val="24"/>
        </w:rPr>
        <w:t xml:space="preserve">In combination with chemotherapy, for the treatment of patients with locally recurrent unresectable or metastatic TNBC whose tumors express PD-L1 [Combined Positive Score (CPS) ≥10] as determined by an FDA approved </w:t>
      </w:r>
      <w:proofErr w:type="spellStart"/>
      <w:r w:rsidRPr="00FA3F9C">
        <w:rPr>
          <w:rFonts w:ascii="Arial" w:hAnsi="Arial" w:cs="Arial"/>
          <w:sz w:val="24"/>
          <w:szCs w:val="24"/>
        </w:rPr>
        <w:t>test</w:t>
      </w:r>
      <w:r w:rsidRPr="00FA3F9C">
        <w:rPr>
          <w:rFonts w:ascii="Arial" w:hAnsi="Arial" w:cs="Arial"/>
          <w:sz w:val="24"/>
          <w:szCs w:val="24"/>
          <w:vertAlign w:val="superscript"/>
        </w:rPr>
        <w:t>b</w:t>
      </w:r>
      <w:proofErr w:type="spellEnd"/>
      <w:r w:rsidRPr="00FA3F9C">
        <w:rPr>
          <w:rFonts w:ascii="Arial" w:hAnsi="Arial" w:cs="Arial"/>
          <w:sz w:val="24"/>
          <w:szCs w:val="24"/>
          <w:vertAlign w:val="superscript"/>
        </w:rPr>
        <w:t xml:space="preserve"> </w:t>
      </w:r>
      <w:r w:rsidRPr="00FA3F9C">
        <w:rPr>
          <w:rFonts w:ascii="Arial" w:hAnsi="Arial" w:cs="Arial"/>
          <w:sz w:val="24"/>
          <w:szCs w:val="24"/>
          <w:highlight w:val="yellow"/>
        </w:rPr>
        <w:t>NOT COVERED</w:t>
      </w:r>
    </w:p>
    <w:p w14:paraId="3CE448DC" w14:textId="77777777" w:rsidR="009B5AA5" w:rsidRPr="00FA3F9C" w:rsidRDefault="009B5AA5" w:rsidP="009B5AA5">
      <w:pPr>
        <w:numPr>
          <w:ilvl w:val="2"/>
          <w:numId w:val="278"/>
        </w:numPr>
        <w:spacing w:after="0" w:line="240" w:lineRule="auto"/>
        <w:ind w:left="1440" w:hanging="270"/>
        <w:rPr>
          <w:rFonts w:ascii="Arial" w:hAnsi="Arial" w:cs="Arial"/>
          <w:sz w:val="24"/>
          <w:szCs w:val="24"/>
        </w:rPr>
      </w:pPr>
      <w:r w:rsidRPr="00FA3F9C">
        <w:rPr>
          <w:rFonts w:ascii="Arial" w:hAnsi="Arial" w:cs="Arial"/>
          <w:sz w:val="24"/>
          <w:szCs w:val="24"/>
        </w:rPr>
        <w:t xml:space="preserve">Pembrolizumab + chemotherapy was compared to chemotherapy alone. In patients with CPS </w:t>
      </w:r>
      <w:r w:rsidRPr="00FA3F9C">
        <w:rPr>
          <w:rFonts w:ascii="Arial" w:hAnsi="Arial" w:cs="Arial"/>
          <w:sz w:val="24"/>
          <w:szCs w:val="24"/>
          <w:u w:val="single"/>
        </w:rPr>
        <w:t>&gt;</w:t>
      </w:r>
      <w:r w:rsidRPr="00FA3F9C">
        <w:rPr>
          <w:rFonts w:ascii="Arial" w:hAnsi="Arial" w:cs="Arial"/>
          <w:sz w:val="24"/>
          <w:szCs w:val="24"/>
        </w:rPr>
        <w:t>10, pembrolizumab + chemotherapy improved progression free survival. Improvement in overall survival or quality of life have not been demonstrated to date.</w:t>
      </w:r>
    </w:p>
    <w:p w14:paraId="1CCBF14C" w14:textId="77777777" w:rsidR="009B5AA5" w:rsidRPr="00FA3F9C" w:rsidRDefault="009B5AA5" w:rsidP="009B5AA5">
      <w:pPr>
        <w:numPr>
          <w:ilvl w:val="2"/>
          <w:numId w:val="278"/>
        </w:numPr>
        <w:spacing w:after="0" w:line="240" w:lineRule="auto"/>
        <w:ind w:left="1440" w:hanging="270"/>
        <w:rPr>
          <w:rFonts w:ascii="Arial" w:hAnsi="Arial" w:cs="Arial"/>
          <w:sz w:val="24"/>
          <w:szCs w:val="24"/>
        </w:rPr>
      </w:pPr>
      <w:r w:rsidRPr="00FA3F9C">
        <w:rPr>
          <w:rFonts w:ascii="Arial" w:hAnsi="Arial" w:cs="Arial"/>
          <w:sz w:val="24"/>
          <w:szCs w:val="24"/>
        </w:rPr>
        <w:t xml:space="preserve">Reference: </w:t>
      </w:r>
      <w:r w:rsidRPr="00FA3F9C">
        <w:rPr>
          <w:rFonts w:ascii="Arial" w:hAnsi="Arial" w:cs="Arial"/>
          <w:color w:val="212121"/>
          <w:sz w:val="24"/>
          <w:szCs w:val="24"/>
          <w:shd w:val="clear" w:color="auto" w:fill="FFFFFF"/>
        </w:rPr>
        <w:t xml:space="preserve">Cortes J et al. Pembrolizumab plus chemotherapy versus placebo plus chemotherapy for previously untreated locally recurrent inoperable or metastatic triple-negative breast cancer (KEYNOTE-355): a </w:t>
      </w:r>
      <w:proofErr w:type="spellStart"/>
      <w:r w:rsidRPr="00FA3F9C">
        <w:rPr>
          <w:rFonts w:ascii="Arial" w:hAnsi="Arial" w:cs="Arial"/>
          <w:color w:val="212121"/>
          <w:sz w:val="24"/>
          <w:szCs w:val="24"/>
          <w:shd w:val="clear" w:color="auto" w:fill="FFFFFF"/>
        </w:rPr>
        <w:t>randomised</w:t>
      </w:r>
      <w:proofErr w:type="spellEnd"/>
      <w:r w:rsidRPr="00FA3F9C">
        <w:rPr>
          <w:rFonts w:ascii="Arial" w:hAnsi="Arial" w:cs="Arial"/>
          <w:color w:val="212121"/>
          <w:sz w:val="24"/>
          <w:szCs w:val="24"/>
          <w:shd w:val="clear" w:color="auto" w:fill="FFFFFF"/>
        </w:rPr>
        <w:t>, placebo-controlled, double-blind, phase 3 clinical trial. Lancet. 2020 Dec 5;396(10265):1817-1828. PMID: 33278935.</w:t>
      </w:r>
    </w:p>
    <w:p w14:paraId="56F4AE20" w14:textId="77777777" w:rsidR="009B5AA5" w:rsidRPr="00FA3F9C" w:rsidRDefault="009B5AA5" w:rsidP="00C374AE">
      <w:pPr>
        <w:spacing w:after="0" w:line="240" w:lineRule="auto"/>
        <w:ind w:left="1080"/>
        <w:rPr>
          <w:rFonts w:ascii="Arial" w:hAnsi="Arial" w:cs="Arial"/>
          <w:b/>
          <w:sz w:val="24"/>
          <w:szCs w:val="24"/>
          <w:u w:val="single"/>
        </w:rPr>
      </w:pPr>
    </w:p>
    <w:p w14:paraId="03C8E057" w14:textId="77777777" w:rsidR="009B5AA5" w:rsidRPr="00FA3F9C" w:rsidRDefault="009B5AA5" w:rsidP="00C374AE">
      <w:pPr>
        <w:spacing w:after="0" w:line="240" w:lineRule="auto"/>
        <w:ind w:left="720"/>
        <w:rPr>
          <w:rFonts w:ascii="Arial" w:hAnsi="Arial" w:cs="Arial"/>
          <w:sz w:val="24"/>
          <w:szCs w:val="24"/>
        </w:rPr>
      </w:pPr>
      <w:r w:rsidRPr="00FA3F9C">
        <w:rPr>
          <w:rFonts w:ascii="Arial" w:hAnsi="Arial" w:cs="Arial"/>
          <w:sz w:val="24"/>
          <w:szCs w:val="24"/>
        </w:rPr>
        <w:t>a=This indication is approved under accelerated approval based on tumor response rate and duration of response. Continued approval for this indication may be contingent upon verification and description of clinical benefit in confirmatory trials.</w:t>
      </w:r>
    </w:p>
    <w:p w14:paraId="4C530D7F" w14:textId="77777777" w:rsidR="009B5AA5" w:rsidRPr="00FA3F9C" w:rsidRDefault="009B5AA5" w:rsidP="00C374AE">
      <w:pPr>
        <w:spacing w:after="0" w:line="240" w:lineRule="auto"/>
        <w:ind w:left="720"/>
        <w:rPr>
          <w:rFonts w:ascii="Arial" w:hAnsi="Arial" w:cs="Arial"/>
          <w:sz w:val="24"/>
          <w:szCs w:val="24"/>
        </w:rPr>
      </w:pPr>
    </w:p>
    <w:p w14:paraId="29399B34" w14:textId="77777777" w:rsidR="009B5AA5" w:rsidRPr="00FA3F9C" w:rsidRDefault="009B5AA5" w:rsidP="00C374AE">
      <w:pPr>
        <w:spacing w:after="0" w:line="240" w:lineRule="auto"/>
        <w:ind w:left="720"/>
        <w:rPr>
          <w:rFonts w:ascii="Arial" w:hAnsi="Arial" w:cs="Arial"/>
          <w:b/>
          <w:sz w:val="24"/>
          <w:szCs w:val="24"/>
        </w:rPr>
      </w:pPr>
      <w:r w:rsidRPr="00FA3F9C">
        <w:rPr>
          <w:rFonts w:ascii="Arial" w:hAnsi="Arial" w:cs="Arial"/>
          <w:sz w:val="24"/>
          <w:szCs w:val="24"/>
        </w:rPr>
        <w:t>b= This indication is approved under accelerated approval based on progression-free survival. Continued approval for this indication may be contingent upon verification and description of clinical benefit in the confirmatory trials</w:t>
      </w:r>
    </w:p>
    <w:p w14:paraId="2203DA1B" w14:textId="77777777" w:rsidR="009B5AA5" w:rsidRPr="00FA3F9C" w:rsidRDefault="009B5AA5" w:rsidP="00C374AE">
      <w:pPr>
        <w:spacing w:after="0" w:line="240" w:lineRule="auto"/>
        <w:ind w:left="720"/>
        <w:rPr>
          <w:rFonts w:ascii="Arial" w:hAnsi="Arial" w:cs="Arial"/>
          <w:sz w:val="24"/>
          <w:szCs w:val="24"/>
        </w:rPr>
      </w:pPr>
    </w:p>
    <w:p w14:paraId="08D30AD7" w14:textId="77777777" w:rsidR="009B5AA5" w:rsidRPr="00FA3F9C" w:rsidRDefault="009B5AA5" w:rsidP="00C374AE">
      <w:pPr>
        <w:spacing w:after="0" w:line="240" w:lineRule="auto"/>
        <w:ind w:left="720"/>
        <w:rPr>
          <w:rFonts w:ascii="Arial" w:hAnsi="Arial" w:cs="Arial"/>
          <w:sz w:val="24"/>
          <w:szCs w:val="24"/>
        </w:rPr>
      </w:pPr>
    </w:p>
    <w:p w14:paraId="23538318" w14:textId="77777777" w:rsidR="009B5AA5" w:rsidRPr="00FA3F9C" w:rsidRDefault="009B5AA5" w:rsidP="00C374AE">
      <w:pPr>
        <w:spacing w:after="0" w:line="240" w:lineRule="auto"/>
        <w:ind w:left="720"/>
        <w:rPr>
          <w:rFonts w:ascii="Arial" w:hAnsi="Arial" w:cs="Arial"/>
          <w:sz w:val="24"/>
          <w:szCs w:val="24"/>
        </w:rPr>
      </w:pPr>
    </w:p>
    <w:tbl>
      <w:tblPr>
        <w:tblW w:w="108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0"/>
      </w:tblGrid>
      <w:tr w:rsidR="009B5AA5" w:rsidRPr="00FA3F9C" w14:paraId="7E9ECF2A" w14:textId="77777777" w:rsidTr="00BB4BCD">
        <w:trPr>
          <w:trHeight w:hRule="exact" w:val="379"/>
        </w:trPr>
        <w:tc>
          <w:tcPr>
            <w:tcW w:w="10800" w:type="dxa"/>
            <w:tcBorders>
              <w:bottom w:val="single" w:sz="4" w:space="0" w:color="auto"/>
            </w:tcBorders>
            <w:shd w:val="clear" w:color="auto" w:fill="000000"/>
          </w:tcPr>
          <w:p w14:paraId="55D8F0E8" w14:textId="77777777" w:rsidR="009B5AA5" w:rsidRPr="00FA3F9C" w:rsidRDefault="009B5AA5" w:rsidP="00DF6CBB">
            <w:pPr>
              <w:rPr>
                <w:rFonts w:ascii="Arial" w:hAnsi="Arial" w:cs="Arial"/>
                <w:b/>
                <w:sz w:val="24"/>
                <w:szCs w:val="24"/>
                <w:u w:val="single"/>
              </w:rPr>
            </w:pPr>
            <w:r w:rsidRPr="00FA3F9C">
              <w:rPr>
                <w:rFonts w:ascii="Arial" w:hAnsi="Arial" w:cs="Arial"/>
                <w:sz w:val="24"/>
                <w:szCs w:val="24"/>
              </w:rPr>
              <w:br w:type="page"/>
            </w:r>
            <w:r w:rsidRPr="00FA3F9C">
              <w:rPr>
                <w:rFonts w:ascii="Arial" w:hAnsi="Arial" w:cs="Arial"/>
                <w:b/>
                <w:sz w:val="24"/>
                <w:szCs w:val="24"/>
                <w:u w:val="single"/>
              </w:rPr>
              <w:t xml:space="preserve">Melanoma, metastatic </w:t>
            </w:r>
          </w:p>
        </w:tc>
      </w:tr>
      <w:tr w:rsidR="009B5AA5" w:rsidRPr="00FA3F9C" w14:paraId="6AAC10AE" w14:textId="77777777" w:rsidTr="004F4209">
        <w:trPr>
          <w:trHeight w:hRule="exact" w:val="262"/>
        </w:trPr>
        <w:tc>
          <w:tcPr>
            <w:tcW w:w="10800" w:type="dxa"/>
            <w:tcBorders>
              <w:bottom w:val="single" w:sz="4" w:space="0" w:color="auto"/>
            </w:tcBorders>
          </w:tcPr>
          <w:p w14:paraId="2D7E8B20" w14:textId="77777777" w:rsidR="009B5AA5" w:rsidRPr="00FA3F9C" w:rsidRDefault="009B5AA5" w:rsidP="009B5AA5">
            <w:pPr>
              <w:numPr>
                <w:ilvl w:val="0"/>
                <w:numId w:val="85"/>
              </w:numPr>
              <w:spacing w:after="0" w:line="240" w:lineRule="auto"/>
              <w:rPr>
                <w:rFonts w:ascii="Arial" w:hAnsi="Arial" w:cs="Arial"/>
                <w:sz w:val="24"/>
                <w:szCs w:val="24"/>
              </w:rPr>
            </w:pPr>
            <w:r w:rsidRPr="00FA3F9C">
              <w:rPr>
                <w:rFonts w:ascii="Arial" w:hAnsi="Arial" w:cs="Arial"/>
                <w:sz w:val="24"/>
                <w:szCs w:val="24"/>
              </w:rPr>
              <w:t xml:space="preserve">Diagnosis of unresectable or metastatic melanoma </w:t>
            </w:r>
          </w:p>
        </w:tc>
      </w:tr>
      <w:tr w:rsidR="009B5AA5" w:rsidRPr="00FA3F9C" w14:paraId="7D14D62B" w14:textId="77777777" w:rsidTr="00BB4BCD">
        <w:trPr>
          <w:trHeight w:hRule="exact" w:val="622"/>
        </w:trPr>
        <w:tc>
          <w:tcPr>
            <w:tcW w:w="10800" w:type="dxa"/>
          </w:tcPr>
          <w:p w14:paraId="6608DD0B" w14:textId="77777777" w:rsidR="009B5AA5" w:rsidRPr="00FA3F9C" w:rsidRDefault="009B5AA5" w:rsidP="009B5AA5">
            <w:pPr>
              <w:numPr>
                <w:ilvl w:val="0"/>
                <w:numId w:val="85"/>
              </w:numPr>
              <w:spacing w:after="0" w:line="240" w:lineRule="auto"/>
              <w:rPr>
                <w:rFonts w:ascii="Arial" w:hAnsi="Arial" w:cs="Arial"/>
                <w:sz w:val="24"/>
                <w:szCs w:val="24"/>
              </w:rPr>
            </w:pPr>
            <w:r w:rsidRPr="00FA3F9C">
              <w:rPr>
                <w:rFonts w:ascii="Arial" w:hAnsi="Arial" w:cs="Arial"/>
                <w:sz w:val="24"/>
                <w:szCs w:val="24"/>
              </w:rPr>
              <w:t>The patient must be ECOG performance status 0 (fully active) or 1 (ambulatory but restricted in physically strenuous activity) at initiation</w:t>
            </w:r>
          </w:p>
        </w:tc>
      </w:tr>
      <w:tr w:rsidR="009B5AA5" w:rsidRPr="00FA3F9C" w14:paraId="160BDB70" w14:textId="77777777" w:rsidTr="00BB4BCD">
        <w:trPr>
          <w:trHeight w:hRule="exact" w:val="370"/>
        </w:trPr>
        <w:tc>
          <w:tcPr>
            <w:tcW w:w="10800" w:type="dxa"/>
          </w:tcPr>
          <w:p w14:paraId="23693465" w14:textId="77777777" w:rsidR="009B5AA5" w:rsidRPr="00FA3F9C" w:rsidRDefault="009B5AA5" w:rsidP="009B5AA5">
            <w:pPr>
              <w:pStyle w:val="ListParagraph"/>
              <w:numPr>
                <w:ilvl w:val="0"/>
                <w:numId w:val="85"/>
              </w:numPr>
              <w:spacing w:after="200" w:line="276" w:lineRule="auto"/>
              <w:rPr>
                <w:rFonts w:ascii="Arial" w:hAnsi="Arial" w:cs="Arial"/>
                <w:sz w:val="24"/>
                <w:szCs w:val="24"/>
              </w:rPr>
            </w:pPr>
            <w:r w:rsidRPr="00FA3F9C">
              <w:rPr>
                <w:rFonts w:ascii="Arial" w:hAnsi="Arial" w:cs="Arial"/>
                <w:sz w:val="24"/>
                <w:szCs w:val="24"/>
              </w:rPr>
              <w:t>Patient does NOT have diagnosis of ocular/uveal melanoma.</w:t>
            </w:r>
          </w:p>
        </w:tc>
      </w:tr>
      <w:tr w:rsidR="009B5AA5" w:rsidRPr="00FA3F9C" w14:paraId="4CB01F17" w14:textId="77777777" w:rsidTr="00C374AE">
        <w:trPr>
          <w:trHeight w:hRule="exact" w:val="658"/>
        </w:trPr>
        <w:tc>
          <w:tcPr>
            <w:tcW w:w="10800" w:type="dxa"/>
          </w:tcPr>
          <w:p w14:paraId="5FEE1BDF" w14:textId="77777777" w:rsidR="009B5AA5" w:rsidRPr="00FA3F9C" w:rsidRDefault="009B5AA5" w:rsidP="009B5AA5">
            <w:pPr>
              <w:pStyle w:val="ListParagraph"/>
              <w:numPr>
                <w:ilvl w:val="0"/>
                <w:numId w:val="85"/>
              </w:numPr>
              <w:spacing w:after="200" w:line="276" w:lineRule="auto"/>
              <w:rPr>
                <w:rFonts w:ascii="Arial" w:hAnsi="Arial" w:cs="Arial"/>
                <w:sz w:val="24"/>
                <w:szCs w:val="24"/>
              </w:rPr>
            </w:pPr>
            <w:r w:rsidRPr="00FA3F9C">
              <w:rPr>
                <w:rFonts w:ascii="Arial" w:hAnsi="Arial" w:cs="Arial"/>
                <w:sz w:val="24"/>
                <w:szCs w:val="24"/>
              </w:rPr>
              <w:lastRenderedPageBreak/>
              <w:t>Patient has NOT received prior PD-1 or PD-L1 inhibitor (</w:t>
            </w:r>
            <w:proofErr w:type="gramStart"/>
            <w:r w:rsidRPr="00FA3F9C">
              <w:rPr>
                <w:rFonts w:ascii="Arial" w:hAnsi="Arial" w:cs="Arial"/>
                <w:sz w:val="24"/>
                <w:szCs w:val="24"/>
              </w:rPr>
              <w:t>e.g.</w:t>
            </w:r>
            <w:proofErr w:type="gramEnd"/>
            <w:r w:rsidRPr="00FA3F9C">
              <w:rPr>
                <w:rFonts w:ascii="Arial" w:hAnsi="Arial" w:cs="Arial"/>
                <w:sz w:val="24"/>
                <w:szCs w:val="24"/>
              </w:rPr>
              <w:t xml:space="preserve"> nivolumab, pembrolizumab, atezolizumab, durvalumab) </w:t>
            </w:r>
          </w:p>
        </w:tc>
      </w:tr>
      <w:tr w:rsidR="009B5AA5" w:rsidRPr="00FA3F9C" w14:paraId="6884ED45" w14:textId="77777777" w:rsidTr="00BB4BCD">
        <w:trPr>
          <w:trHeight w:hRule="exact" w:val="370"/>
        </w:trPr>
        <w:tc>
          <w:tcPr>
            <w:tcW w:w="10800" w:type="dxa"/>
          </w:tcPr>
          <w:p w14:paraId="1BA59079" w14:textId="77777777" w:rsidR="009B5AA5" w:rsidRPr="00FA3F9C" w:rsidRDefault="009B5AA5" w:rsidP="00920569">
            <w:pPr>
              <w:rPr>
                <w:rFonts w:ascii="Arial" w:hAnsi="Arial" w:cs="Arial"/>
                <w:sz w:val="24"/>
                <w:szCs w:val="24"/>
              </w:rPr>
            </w:pPr>
            <w:r w:rsidRPr="00FA3F9C">
              <w:rPr>
                <w:rFonts w:ascii="Arial" w:hAnsi="Arial" w:cs="Arial"/>
                <w:b/>
                <w:sz w:val="24"/>
                <w:szCs w:val="24"/>
              </w:rPr>
              <w:t>If both criteria fulfilled, approve for 12 months</w:t>
            </w:r>
          </w:p>
          <w:p w14:paraId="39A420A3" w14:textId="77777777" w:rsidR="009B5AA5" w:rsidRPr="00FA3F9C" w:rsidRDefault="009B5AA5" w:rsidP="00920569">
            <w:pPr>
              <w:rPr>
                <w:rFonts w:ascii="Arial" w:hAnsi="Arial" w:cs="Arial"/>
                <w:sz w:val="24"/>
                <w:szCs w:val="24"/>
              </w:rPr>
            </w:pPr>
          </w:p>
        </w:tc>
      </w:tr>
      <w:tr w:rsidR="009B5AA5" w:rsidRPr="00FA3F9C" w14:paraId="6F09A1CA" w14:textId="77777777" w:rsidTr="00BB4BCD">
        <w:trPr>
          <w:trHeight w:hRule="exact" w:val="352"/>
        </w:trPr>
        <w:tc>
          <w:tcPr>
            <w:tcW w:w="10800" w:type="dxa"/>
            <w:tcBorders>
              <w:bottom w:val="single" w:sz="4" w:space="0" w:color="auto"/>
            </w:tcBorders>
            <w:shd w:val="clear" w:color="auto" w:fill="000000" w:themeFill="text1"/>
          </w:tcPr>
          <w:p w14:paraId="4E8F6B06" w14:textId="77777777" w:rsidR="009B5AA5" w:rsidRPr="00FA3F9C" w:rsidRDefault="009B5AA5" w:rsidP="00920569">
            <w:pPr>
              <w:rPr>
                <w:rFonts w:ascii="Arial" w:hAnsi="Arial" w:cs="Arial"/>
                <w:sz w:val="24"/>
                <w:szCs w:val="24"/>
              </w:rPr>
            </w:pPr>
            <w:r w:rsidRPr="00FA3F9C">
              <w:rPr>
                <w:rFonts w:ascii="Arial" w:hAnsi="Arial" w:cs="Arial"/>
                <w:b/>
                <w:sz w:val="24"/>
                <w:szCs w:val="24"/>
                <w:u w:val="single"/>
              </w:rPr>
              <w:t>Criteria for continuation</w:t>
            </w:r>
          </w:p>
        </w:tc>
      </w:tr>
      <w:tr w:rsidR="009B5AA5" w:rsidRPr="00FA3F9C" w14:paraId="4CB166D4" w14:textId="77777777" w:rsidTr="00BB4BCD">
        <w:trPr>
          <w:trHeight w:hRule="exact" w:val="361"/>
        </w:trPr>
        <w:tc>
          <w:tcPr>
            <w:tcW w:w="10800" w:type="dxa"/>
          </w:tcPr>
          <w:p w14:paraId="5F90AFB4" w14:textId="77777777" w:rsidR="009B5AA5" w:rsidRPr="00FA3F9C" w:rsidRDefault="009B5AA5" w:rsidP="00FC1E85">
            <w:pPr>
              <w:pStyle w:val="ListParagraph"/>
              <w:numPr>
                <w:ilvl w:val="0"/>
                <w:numId w:val="353"/>
              </w:numPr>
              <w:spacing w:after="200" w:line="276" w:lineRule="auto"/>
              <w:ind w:left="360"/>
              <w:rPr>
                <w:rFonts w:ascii="Arial" w:hAnsi="Arial" w:cs="Arial"/>
                <w:sz w:val="24"/>
                <w:szCs w:val="24"/>
              </w:rPr>
            </w:pPr>
            <w:r w:rsidRPr="00FA3F9C">
              <w:rPr>
                <w:rFonts w:ascii="Arial" w:hAnsi="Arial" w:cs="Arial"/>
                <w:sz w:val="24"/>
                <w:szCs w:val="24"/>
              </w:rPr>
              <w:t>No disease progression</w:t>
            </w:r>
          </w:p>
        </w:tc>
      </w:tr>
      <w:tr w:rsidR="009B5AA5" w:rsidRPr="00FA3F9C" w14:paraId="64CFAF52" w14:textId="77777777" w:rsidTr="00BB4BCD">
        <w:trPr>
          <w:trHeight w:hRule="exact" w:val="361"/>
        </w:trPr>
        <w:tc>
          <w:tcPr>
            <w:tcW w:w="10800" w:type="dxa"/>
          </w:tcPr>
          <w:p w14:paraId="4CC2B612" w14:textId="77777777" w:rsidR="009B5AA5" w:rsidRPr="00FA3F9C" w:rsidRDefault="009B5AA5" w:rsidP="00FC1E85">
            <w:pPr>
              <w:pStyle w:val="ListParagraph"/>
              <w:numPr>
                <w:ilvl w:val="0"/>
                <w:numId w:val="353"/>
              </w:numPr>
              <w:spacing w:after="200" w:line="276" w:lineRule="auto"/>
              <w:ind w:left="360"/>
              <w:rPr>
                <w:rFonts w:ascii="Arial" w:hAnsi="Arial" w:cs="Arial"/>
                <w:sz w:val="24"/>
                <w:szCs w:val="24"/>
              </w:rPr>
            </w:pPr>
            <w:r w:rsidRPr="00FA3F9C">
              <w:rPr>
                <w:rFonts w:ascii="Arial" w:hAnsi="Arial" w:cs="Arial"/>
                <w:sz w:val="24"/>
                <w:szCs w:val="24"/>
              </w:rPr>
              <w:t>No unacceptable toxicity</w:t>
            </w:r>
          </w:p>
        </w:tc>
      </w:tr>
      <w:tr w:rsidR="009B5AA5" w:rsidRPr="00FA3F9C" w14:paraId="3F313CD1" w14:textId="77777777" w:rsidTr="00BB4BCD">
        <w:trPr>
          <w:trHeight w:hRule="exact" w:val="361"/>
        </w:trPr>
        <w:tc>
          <w:tcPr>
            <w:tcW w:w="10800" w:type="dxa"/>
          </w:tcPr>
          <w:p w14:paraId="0E85D461" w14:textId="77777777" w:rsidR="009B5AA5" w:rsidRPr="00FA3F9C" w:rsidRDefault="009B5AA5" w:rsidP="00920569">
            <w:pPr>
              <w:rPr>
                <w:rFonts w:ascii="Arial" w:hAnsi="Arial" w:cs="Arial"/>
                <w:sz w:val="24"/>
                <w:szCs w:val="24"/>
              </w:rPr>
            </w:pPr>
            <w:r w:rsidRPr="00FA3F9C">
              <w:rPr>
                <w:rFonts w:ascii="Arial" w:hAnsi="Arial" w:cs="Arial"/>
                <w:b/>
                <w:sz w:val="24"/>
                <w:szCs w:val="24"/>
              </w:rPr>
              <w:t xml:space="preserve">If </w:t>
            </w:r>
            <w:proofErr w:type="gramStart"/>
            <w:r w:rsidRPr="00FA3F9C">
              <w:rPr>
                <w:rFonts w:ascii="Arial" w:hAnsi="Arial" w:cs="Arial"/>
                <w:b/>
                <w:sz w:val="24"/>
                <w:szCs w:val="24"/>
              </w:rPr>
              <w:t>both of the continuation</w:t>
            </w:r>
            <w:proofErr w:type="gramEnd"/>
            <w:r w:rsidRPr="00FA3F9C">
              <w:rPr>
                <w:rFonts w:ascii="Arial" w:hAnsi="Arial" w:cs="Arial"/>
                <w:b/>
                <w:sz w:val="24"/>
                <w:szCs w:val="24"/>
              </w:rPr>
              <w:t xml:space="preserve"> criteria are fulfilled, approve for 12 months.</w:t>
            </w:r>
          </w:p>
        </w:tc>
      </w:tr>
      <w:tr w:rsidR="009B5AA5" w:rsidRPr="00FA3F9C" w14:paraId="56FF014C" w14:textId="77777777" w:rsidTr="00DF6CBB">
        <w:trPr>
          <w:trHeight w:hRule="exact" w:val="4960"/>
        </w:trPr>
        <w:tc>
          <w:tcPr>
            <w:tcW w:w="10800" w:type="dxa"/>
            <w:tcBorders>
              <w:bottom w:val="single" w:sz="4" w:space="0" w:color="auto"/>
            </w:tcBorders>
            <w:shd w:val="clear" w:color="auto" w:fill="BFBFBF" w:themeFill="background1" w:themeFillShade="BF"/>
          </w:tcPr>
          <w:p w14:paraId="5EF704E0" w14:textId="77777777" w:rsidR="009B5AA5" w:rsidRPr="00FA3F9C" w:rsidRDefault="009B5AA5" w:rsidP="00895905">
            <w:pPr>
              <w:rPr>
                <w:rFonts w:ascii="Arial" w:hAnsi="Arial" w:cs="Arial"/>
                <w:sz w:val="24"/>
                <w:szCs w:val="24"/>
              </w:rPr>
            </w:pPr>
            <w:r w:rsidRPr="00FA3F9C">
              <w:rPr>
                <w:rFonts w:ascii="Arial" w:hAnsi="Arial" w:cs="Arial"/>
                <w:sz w:val="24"/>
                <w:szCs w:val="24"/>
              </w:rPr>
              <w:t xml:space="preserve">Notes:  </w:t>
            </w:r>
          </w:p>
          <w:p w14:paraId="4582F53E" w14:textId="77777777" w:rsidR="009B5AA5" w:rsidRPr="00FA3F9C" w:rsidRDefault="009B5AA5" w:rsidP="00895905">
            <w:pPr>
              <w:spacing w:after="0" w:line="240" w:lineRule="auto"/>
              <w:rPr>
                <w:rFonts w:ascii="Arial" w:hAnsi="Arial" w:cs="Arial"/>
                <w:sz w:val="24"/>
                <w:szCs w:val="24"/>
              </w:rPr>
            </w:pPr>
            <w:r w:rsidRPr="00FA3F9C">
              <w:rPr>
                <w:rFonts w:ascii="Arial" w:hAnsi="Arial" w:cs="Arial"/>
                <w:sz w:val="24"/>
                <w:szCs w:val="24"/>
              </w:rPr>
              <w:t xml:space="preserve">-Phase 3 KEYNOTE 006 (NCT01866319): in </w:t>
            </w:r>
            <w:proofErr w:type="gramStart"/>
            <w:r w:rsidRPr="00FA3F9C">
              <w:rPr>
                <w:rFonts w:ascii="Arial" w:hAnsi="Arial" w:cs="Arial"/>
                <w:sz w:val="24"/>
                <w:szCs w:val="24"/>
              </w:rPr>
              <w:t>first or second line</w:t>
            </w:r>
            <w:proofErr w:type="gramEnd"/>
            <w:r w:rsidRPr="00FA3F9C">
              <w:rPr>
                <w:rFonts w:ascii="Arial" w:hAnsi="Arial" w:cs="Arial"/>
                <w:sz w:val="24"/>
                <w:szCs w:val="24"/>
              </w:rPr>
              <w:t xml:space="preserve"> treatment setting (previous checkpoint inhibitor not allowed; previous BRAF targeted </w:t>
            </w:r>
            <w:proofErr w:type="spellStart"/>
            <w:r w:rsidRPr="00FA3F9C">
              <w:rPr>
                <w:rFonts w:ascii="Arial" w:hAnsi="Arial" w:cs="Arial"/>
                <w:sz w:val="24"/>
                <w:szCs w:val="24"/>
              </w:rPr>
              <w:t>tx</w:t>
            </w:r>
            <w:proofErr w:type="spellEnd"/>
            <w:r w:rsidRPr="00FA3F9C">
              <w:rPr>
                <w:rFonts w:ascii="Arial" w:hAnsi="Arial" w:cs="Arial"/>
                <w:sz w:val="24"/>
                <w:szCs w:val="24"/>
              </w:rPr>
              <w:t xml:space="preserve"> allowed), demonstrated improved overall survival vs ipilimumab (median OS not reached in </w:t>
            </w:r>
            <w:proofErr w:type="spellStart"/>
            <w:r w:rsidRPr="00FA3F9C">
              <w:rPr>
                <w:rFonts w:ascii="Arial" w:hAnsi="Arial" w:cs="Arial"/>
                <w:sz w:val="24"/>
                <w:szCs w:val="24"/>
              </w:rPr>
              <w:t>pembro</w:t>
            </w:r>
            <w:proofErr w:type="spellEnd"/>
            <w:r w:rsidRPr="00FA3F9C">
              <w:rPr>
                <w:rFonts w:ascii="Arial" w:hAnsi="Arial" w:cs="Arial"/>
                <w:sz w:val="24"/>
                <w:szCs w:val="24"/>
              </w:rPr>
              <w:t xml:space="preserve"> arm vs 16 </w:t>
            </w:r>
            <w:proofErr w:type="spellStart"/>
            <w:r w:rsidRPr="00FA3F9C">
              <w:rPr>
                <w:rFonts w:ascii="Arial" w:hAnsi="Arial" w:cs="Arial"/>
                <w:sz w:val="24"/>
                <w:szCs w:val="24"/>
              </w:rPr>
              <w:t>mo</w:t>
            </w:r>
            <w:proofErr w:type="spellEnd"/>
            <w:r w:rsidRPr="00FA3F9C">
              <w:rPr>
                <w:rFonts w:ascii="Arial" w:hAnsi="Arial" w:cs="Arial"/>
                <w:sz w:val="24"/>
                <w:szCs w:val="24"/>
              </w:rPr>
              <w:t xml:space="preserve"> in </w:t>
            </w:r>
            <w:proofErr w:type="spellStart"/>
            <w:r w:rsidRPr="00FA3F9C">
              <w:rPr>
                <w:rFonts w:ascii="Arial" w:hAnsi="Arial" w:cs="Arial"/>
                <w:sz w:val="24"/>
                <w:szCs w:val="24"/>
              </w:rPr>
              <w:t>ipi</w:t>
            </w:r>
            <w:proofErr w:type="spellEnd"/>
            <w:r w:rsidRPr="00FA3F9C">
              <w:rPr>
                <w:rFonts w:ascii="Arial" w:hAnsi="Arial" w:cs="Arial"/>
                <w:sz w:val="24"/>
                <w:szCs w:val="24"/>
              </w:rPr>
              <w:t xml:space="preserve"> arm (HR 0.68, 95% CI 0.53-0.86)</w:t>
            </w:r>
            <w:r w:rsidRPr="00FA3F9C">
              <w:rPr>
                <w:rFonts w:ascii="Arial" w:hAnsi="Arial" w:cs="Arial"/>
                <w:sz w:val="24"/>
                <w:szCs w:val="24"/>
                <w:vertAlign w:val="superscript"/>
              </w:rPr>
              <w:t>a</w:t>
            </w:r>
            <w:r w:rsidRPr="00FA3F9C">
              <w:rPr>
                <w:rFonts w:ascii="Arial" w:hAnsi="Arial" w:cs="Arial"/>
                <w:sz w:val="24"/>
                <w:szCs w:val="24"/>
              </w:rPr>
              <w:t xml:space="preserve"> </w:t>
            </w:r>
          </w:p>
          <w:p w14:paraId="4C072CA1" w14:textId="77777777" w:rsidR="009B5AA5" w:rsidRPr="00FA3F9C" w:rsidRDefault="009B5AA5" w:rsidP="00895905">
            <w:pPr>
              <w:spacing w:after="0" w:line="240" w:lineRule="auto"/>
              <w:rPr>
                <w:rFonts w:ascii="Arial" w:hAnsi="Arial" w:cs="Arial"/>
                <w:sz w:val="24"/>
                <w:szCs w:val="24"/>
              </w:rPr>
            </w:pPr>
            <w:r w:rsidRPr="00FA3F9C">
              <w:rPr>
                <w:rFonts w:ascii="Arial" w:hAnsi="Arial" w:cs="Arial"/>
                <w:sz w:val="24"/>
                <w:szCs w:val="24"/>
              </w:rPr>
              <w:t>-Phase 2 KEYNOTE 002 (NCT01704287): in patients previously treated with ipilimumab, demonstrated improved progression free survival compared with chemo but no improvement in overall survival. Lack of improvement in OS may have been confounded by post-study immunotherapy use (25-35% of patients received post-study immunotherapy).</w:t>
            </w:r>
            <w:r w:rsidRPr="00FA3F9C">
              <w:rPr>
                <w:rFonts w:ascii="Arial" w:hAnsi="Arial" w:cs="Arial"/>
                <w:sz w:val="24"/>
                <w:szCs w:val="24"/>
                <w:vertAlign w:val="superscript"/>
              </w:rPr>
              <w:t>b</w:t>
            </w:r>
          </w:p>
          <w:p w14:paraId="4A4805E9" w14:textId="77777777" w:rsidR="009B5AA5" w:rsidRPr="00FA3F9C" w:rsidRDefault="009B5AA5" w:rsidP="00895905">
            <w:pPr>
              <w:spacing w:after="0" w:line="240" w:lineRule="auto"/>
              <w:rPr>
                <w:rFonts w:ascii="Arial" w:hAnsi="Arial" w:cs="Arial"/>
                <w:sz w:val="24"/>
                <w:szCs w:val="24"/>
              </w:rPr>
            </w:pPr>
            <w:r w:rsidRPr="00FA3F9C">
              <w:rPr>
                <w:rFonts w:ascii="Arial" w:hAnsi="Arial" w:cs="Arial"/>
                <w:sz w:val="24"/>
                <w:szCs w:val="24"/>
              </w:rPr>
              <w:t xml:space="preserve">-Uveal/ocular melanoma behaves differently from cutaneous melanoma. Uveal/ocular melanomas were excluded from above trials. Data are emerging for use of immunotherapy in ocular </w:t>
            </w:r>
            <w:proofErr w:type="gramStart"/>
            <w:r w:rsidRPr="00FA3F9C">
              <w:rPr>
                <w:rFonts w:ascii="Arial" w:hAnsi="Arial" w:cs="Arial"/>
                <w:sz w:val="24"/>
                <w:szCs w:val="24"/>
              </w:rPr>
              <w:t>melanoma,</w:t>
            </w:r>
            <w:proofErr w:type="gramEnd"/>
            <w:r w:rsidRPr="00FA3F9C">
              <w:rPr>
                <w:rFonts w:ascii="Arial" w:hAnsi="Arial" w:cs="Arial"/>
                <w:sz w:val="24"/>
                <w:szCs w:val="24"/>
              </w:rPr>
              <w:t xml:space="preserve"> however, use should be limited to clinical trial at this time.</w:t>
            </w:r>
          </w:p>
          <w:p w14:paraId="4817AB4A" w14:textId="77777777" w:rsidR="009B5AA5" w:rsidRPr="00FA3F9C" w:rsidRDefault="009B5AA5" w:rsidP="00895905">
            <w:pPr>
              <w:spacing w:after="0" w:line="240" w:lineRule="auto"/>
              <w:rPr>
                <w:rFonts w:ascii="Arial" w:hAnsi="Arial" w:cs="Arial"/>
                <w:sz w:val="24"/>
                <w:szCs w:val="24"/>
              </w:rPr>
            </w:pPr>
            <w:r w:rsidRPr="00FA3F9C">
              <w:rPr>
                <w:rFonts w:ascii="Arial" w:hAnsi="Arial" w:cs="Arial"/>
                <w:sz w:val="24"/>
                <w:szCs w:val="24"/>
              </w:rPr>
              <w:t>- Pembrolizumab is continued until disease progression or unacceptable toxicity</w:t>
            </w:r>
          </w:p>
          <w:p w14:paraId="4F130216" w14:textId="77777777" w:rsidR="009B5AA5" w:rsidRPr="00FA3F9C" w:rsidRDefault="009B5AA5" w:rsidP="00895905">
            <w:pPr>
              <w:spacing w:after="0" w:line="240" w:lineRule="auto"/>
              <w:rPr>
                <w:rFonts w:ascii="Arial" w:hAnsi="Arial" w:cs="Arial"/>
                <w:sz w:val="24"/>
                <w:szCs w:val="24"/>
              </w:rPr>
            </w:pPr>
          </w:p>
          <w:p w14:paraId="2743D56B" w14:textId="77777777" w:rsidR="009B5AA5" w:rsidRPr="00FA3F9C" w:rsidRDefault="009B5AA5" w:rsidP="00895905">
            <w:pPr>
              <w:spacing w:after="0" w:line="240" w:lineRule="auto"/>
              <w:rPr>
                <w:rFonts w:ascii="Arial" w:hAnsi="Arial" w:cs="Arial"/>
                <w:sz w:val="24"/>
                <w:szCs w:val="24"/>
              </w:rPr>
            </w:pPr>
            <w:r w:rsidRPr="00FA3F9C">
              <w:rPr>
                <w:rFonts w:ascii="Arial" w:hAnsi="Arial" w:cs="Arial"/>
                <w:sz w:val="24"/>
                <w:szCs w:val="24"/>
              </w:rPr>
              <w:t>REFERENCES:</w:t>
            </w:r>
          </w:p>
          <w:p w14:paraId="705F3206" w14:textId="77777777" w:rsidR="009B5AA5" w:rsidRPr="00FA3F9C" w:rsidRDefault="009B5AA5" w:rsidP="00FC1E85">
            <w:pPr>
              <w:pStyle w:val="ListParagraph"/>
              <w:numPr>
                <w:ilvl w:val="0"/>
                <w:numId w:val="415"/>
              </w:numPr>
              <w:spacing w:after="200" w:line="238" w:lineRule="atLeast"/>
              <w:ind w:left="317" w:hanging="227"/>
              <w:rPr>
                <w:rFonts w:ascii="Arial" w:hAnsi="Arial" w:cs="Arial"/>
                <w:color w:val="000000"/>
                <w:sz w:val="24"/>
                <w:szCs w:val="24"/>
              </w:rPr>
            </w:pPr>
            <w:r w:rsidRPr="00FA3F9C">
              <w:rPr>
                <w:rFonts w:ascii="Arial" w:hAnsi="Arial" w:cs="Arial"/>
                <w:sz w:val="24"/>
                <w:szCs w:val="24"/>
              </w:rPr>
              <w:t xml:space="preserve">Schachter J et al. </w:t>
            </w:r>
            <w:r w:rsidRPr="00FA3F9C">
              <w:rPr>
                <w:rFonts w:ascii="Arial" w:hAnsi="Arial" w:cs="Arial"/>
                <w:color w:val="000000"/>
                <w:sz w:val="24"/>
                <w:szCs w:val="24"/>
              </w:rPr>
              <w:t xml:space="preserve"> Pembrolizumab versus ipilimumab for advanced melanoma: final overall survival results of a </w:t>
            </w:r>
            <w:proofErr w:type="spellStart"/>
            <w:r w:rsidRPr="00FA3F9C">
              <w:rPr>
                <w:rFonts w:ascii="Arial" w:hAnsi="Arial" w:cs="Arial"/>
                <w:color w:val="000000"/>
                <w:sz w:val="24"/>
                <w:szCs w:val="24"/>
              </w:rPr>
              <w:t>multicentre</w:t>
            </w:r>
            <w:proofErr w:type="spellEnd"/>
            <w:r w:rsidRPr="00FA3F9C">
              <w:rPr>
                <w:rFonts w:ascii="Arial" w:hAnsi="Arial" w:cs="Arial"/>
                <w:color w:val="000000"/>
                <w:sz w:val="24"/>
                <w:szCs w:val="24"/>
              </w:rPr>
              <w:t xml:space="preserve">, </w:t>
            </w:r>
            <w:proofErr w:type="spellStart"/>
            <w:r w:rsidRPr="00FA3F9C">
              <w:rPr>
                <w:rFonts w:ascii="Arial" w:hAnsi="Arial" w:cs="Arial"/>
                <w:color w:val="000000"/>
                <w:sz w:val="24"/>
                <w:szCs w:val="24"/>
              </w:rPr>
              <w:t>randomised</w:t>
            </w:r>
            <w:proofErr w:type="spellEnd"/>
            <w:r w:rsidRPr="00FA3F9C">
              <w:rPr>
                <w:rFonts w:ascii="Arial" w:hAnsi="Arial" w:cs="Arial"/>
                <w:color w:val="000000"/>
                <w:sz w:val="24"/>
                <w:szCs w:val="24"/>
              </w:rPr>
              <w:t xml:space="preserve">, open-label phase 3 study (KEYNOTE-006). </w:t>
            </w:r>
            <w:hyperlink r:id="rId317" w:tooltip="Lancet (London, England)." w:history="1">
              <w:r w:rsidRPr="00FA3F9C">
                <w:rPr>
                  <w:rStyle w:val="Hyperlink"/>
                  <w:rFonts w:ascii="Arial" w:hAnsi="Arial" w:cs="Arial"/>
                  <w:color w:val="333333"/>
                  <w:sz w:val="24"/>
                  <w:szCs w:val="24"/>
                </w:rPr>
                <w:t>Lancet.</w:t>
              </w:r>
            </w:hyperlink>
            <w:r w:rsidRPr="00FA3F9C">
              <w:rPr>
                <w:rFonts w:ascii="Arial" w:hAnsi="Arial" w:cs="Arial"/>
                <w:color w:val="000000"/>
                <w:sz w:val="24"/>
                <w:szCs w:val="24"/>
              </w:rPr>
              <w:t xml:space="preserve"> 2017 Oct 21;390(10105):1853-1862. NCT01866319</w:t>
            </w:r>
          </w:p>
          <w:p w14:paraId="0F0F0D50" w14:textId="77777777" w:rsidR="009B5AA5" w:rsidRPr="00FA3F9C" w:rsidRDefault="00500371" w:rsidP="00FC1E85">
            <w:pPr>
              <w:pStyle w:val="ListParagraph"/>
              <w:numPr>
                <w:ilvl w:val="0"/>
                <w:numId w:val="415"/>
              </w:numPr>
              <w:spacing w:after="200" w:line="238" w:lineRule="atLeast"/>
              <w:ind w:left="317" w:hanging="227"/>
              <w:rPr>
                <w:rFonts w:ascii="Arial" w:hAnsi="Arial" w:cs="Arial"/>
                <w:color w:val="000000"/>
                <w:sz w:val="24"/>
                <w:szCs w:val="24"/>
              </w:rPr>
            </w:pPr>
            <w:hyperlink r:id="rId318" w:history="1">
              <w:r w:rsidR="009B5AA5" w:rsidRPr="00FA3F9C">
                <w:rPr>
                  <w:rStyle w:val="Hyperlink"/>
                  <w:rFonts w:ascii="Arial" w:hAnsi="Arial" w:cs="Arial"/>
                  <w:sz w:val="24"/>
                  <w:szCs w:val="24"/>
                </w:rPr>
                <w:t>Hamid O</w:t>
              </w:r>
            </w:hyperlink>
            <w:r w:rsidR="009B5AA5" w:rsidRPr="00FA3F9C">
              <w:rPr>
                <w:rFonts w:ascii="Arial" w:hAnsi="Arial" w:cs="Arial"/>
                <w:sz w:val="24"/>
                <w:szCs w:val="24"/>
              </w:rPr>
              <w:t xml:space="preserve"> et al. Final analysis of a </w:t>
            </w:r>
            <w:proofErr w:type="spellStart"/>
            <w:r w:rsidR="009B5AA5" w:rsidRPr="00FA3F9C">
              <w:rPr>
                <w:rFonts w:ascii="Arial" w:hAnsi="Arial" w:cs="Arial"/>
                <w:sz w:val="24"/>
                <w:szCs w:val="24"/>
              </w:rPr>
              <w:t>randomised</w:t>
            </w:r>
            <w:proofErr w:type="spellEnd"/>
            <w:r w:rsidR="009B5AA5" w:rsidRPr="00FA3F9C">
              <w:rPr>
                <w:rFonts w:ascii="Arial" w:hAnsi="Arial" w:cs="Arial"/>
                <w:sz w:val="24"/>
                <w:szCs w:val="24"/>
              </w:rPr>
              <w:t xml:space="preserve"> trial comparing pembrolizumab versus investigator-choice chemotherapy for ipilimumab-refractory advanced melanoma. </w:t>
            </w:r>
            <w:hyperlink r:id="rId319" w:tooltip="European journal of cancer (Oxford, England : 1990)." w:history="1">
              <w:proofErr w:type="spellStart"/>
              <w:r w:rsidR="009B5AA5" w:rsidRPr="00FA3F9C">
                <w:rPr>
                  <w:rStyle w:val="Hyperlink"/>
                  <w:rFonts w:ascii="Arial" w:hAnsi="Arial" w:cs="Arial"/>
                  <w:sz w:val="24"/>
                  <w:szCs w:val="24"/>
                </w:rPr>
                <w:t>Eur</w:t>
              </w:r>
              <w:proofErr w:type="spellEnd"/>
              <w:r w:rsidR="009B5AA5" w:rsidRPr="00FA3F9C">
                <w:rPr>
                  <w:rStyle w:val="Hyperlink"/>
                  <w:rFonts w:ascii="Arial" w:hAnsi="Arial" w:cs="Arial"/>
                  <w:sz w:val="24"/>
                  <w:szCs w:val="24"/>
                </w:rPr>
                <w:t xml:space="preserve"> J Cancer.</w:t>
              </w:r>
            </w:hyperlink>
            <w:r w:rsidR="009B5AA5" w:rsidRPr="00FA3F9C">
              <w:rPr>
                <w:rFonts w:ascii="Arial" w:hAnsi="Arial" w:cs="Arial"/>
                <w:sz w:val="24"/>
                <w:szCs w:val="24"/>
              </w:rPr>
              <w:t xml:space="preserve"> 2017 Nov;86:37-45. NCT01866319 KEYNOTE 002</w:t>
            </w:r>
          </w:p>
          <w:p w14:paraId="4F7E76BA" w14:textId="77777777" w:rsidR="009B5AA5" w:rsidRPr="00FA3F9C" w:rsidRDefault="009B5AA5" w:rsidP="007B2E63">
            <w:pPr>
              <w:rPr>
                <w:rFonts w:ascii="Arial" w:hAnsi="Arial" w:cs="Arial"/>
                <w:sz w:val="24"/>
                <w:szCs w:val="24"/>
              </w:rPr>
            </w:pPr>
          </w:p>
          <w:p w14:paraId="419D8E0B" w14:textId="77777777" w:rsidR="009B5AA5" w:rsidRPr="00FA3F9C" w:rsidRDefault="009B5AA5" w:rsidP="0002652C">
            <w:pPr>
              <w:ind w:left="360"/>
              <w:rPr>
                <w:rFonts w:ascii="Arial" w:hAnsi="Arial" w:cs="Arial"/>
                <w:sz w:val="24"/>
                <w:szCs w:val="24"/>
              </w:rPr>
            </w:pPr>
          </w:p>
          <w:p w14:paraId="545F18FB" w14:textId="77777777" w:rsidR="009B5AA5" w:rsidRPr="00FA3F9C" w:rsidRDefault="009B5AA5" w:rsidP="0002652C">
            <w:pPr>
              <w:ind w:left="360"/>
              <w:rPr>
                <w:rFonts w:ascii="Arial" w:hAnsi="Arial" w:cs="Arial"/>
                <w:sz w:val="24"/>
                <w:szCs w:val="24"/>
              </w:rPr>
            </w:pPr>
          </w:p>
          <w:p w14:paraId="5F4E3EFB" w14:textId="77777777" w:rsidR="009B5AA5" w:rsidRPr="00FA3F9C" w:rsidRDefault="009B5AA5" w:rsidP="0002652C">
            <w:pPr>
              <w:ind w:left="360"/>
              <w:rPr>
                <w:rFonts w:ascii="Arial" w:hAnsi="Arial" w:cs="Arial"/>
                <w:sz w:val="24"/>
                <w:szCs w:val="24"/>
              </w:rPr>
            </w:pPr>
          </w:p>
          <w:p w14:paraId="57D30F4E" w14:textId="77777777" w:rsidR="009B5AA5" w:rsidRPr="00FA3F9C" w:rsidRDefault="009B5AA5" w:rsidP="0002652C">
            <w:pPr>
              <w:ind w:left="360"/>
              <w:rPr>
                <w:rFonts w:ascii="Arial" w:hAnsi="Arial" w:cs="Arial"/>
                <w:sz w:val="24"/>
                <w:szCs w:val="24"/>
              </w:rPr>
            </w:pPr>
          </w:p>
        </w:tc>
      </w:tr>
    </w:tbl>
    <w:p w14:paraId="0FE191E9" w14:textId="77777777" w:rsidR="009B5AA5" w:rsidRPr="00FA3F9C" w:rsidRDefault="009B5AA5">
      <w:pPr>
        <w:rPr>
          <w:rFonts w:ascii="Arial" w:hAnsi="Arial" w:cs="Arial"/>
          <w:sz w:val="24"/>
          <w:szCs w:val="24"/>
        </w:rPr>
      </w:pPr>
    </w:p>
    <w:tbl>
      <w:tblPr>
        <w:tblW w:w="108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0"/>
      </w:tblGrid>
      <w:tr w:rsidR="009B5AA5" w:rsidRPr="00FA3F9C" w14:paraId="3C6F90A2" w14:textId="77777777" w:rsidTr="00DF6CBB">
        <w:trPr>
          <w:trHeight w:hRule="exact" w:val="280"/>
        </w:trPr>
        <w:tc>
          <w:tcPr>
            <w:tcW w:w="10800" w:type="dxa"/>
            <w:tcBorders>
              <w:bottom w:val="single" w:sz="4" w:space="0" w:color="auto"/>
            </w:tcBorders>
            <w:shd w:val="clear" w:color="auto" w:fill="000000"/>
          </w:tcPr>
          <w:p w14:paraId="5BA74E31" w14:textId="77777777" w:rsidR="009B5AA5" w:rsidRPr="00FA3F9C" w:rsidRDefault="009B5AA5" w:rsidP="00DF6CBB">
            <w:pPr>
              <w:rPr>
                <w:rFonts w:ascii="Arial" w:hAnsi="Arial" w:cs="Arial"/>
                <w:sz w:val="24"/>
                <w:szCs w:val="24"/>
              </w:rPr>
            </w:pPr>
            <w:r w:rsidRPr="00FA3F9C">
              <w:rPr>
                <w:rFonts w:ascii="Arial" w:hAnsi="Arial" w:cs="Arial"/>
                <w:sz w:val="24"/>
                <w:szCs w:val="24"/>
              </w:rPr>
              <w:br w:type="page"/>
            </w:r>
            <w:r w:rsidRPr="00FA3F9C">
              <w:rPr>
                <w:rFonts w:ascii="Arial" w:hAnsi="Arial" w:cs="Arial"/>
                <w:b/>
                <w:sz w:val="24"/>
                <w:szCs w:val="24"/>
                <w:u w:val="single"/>
              </w:rPr>
              <w:t xml:space="preserve">Melanoma, adjuvant </w:t>
            </w:r>
          </w:p>
        </w:tc>
      </w:tr>
      <w:tr w:rsidR="009B5AA5" w:rsidRPr="00FA3F9C" w14:paraId="38E7C385" w14:textId="77777777" w:rsidTr="00DF6CBB">
        <w:trPr>
          <w:trHeight w:hRule="exact" w:val="361"/>
        </w:trPr>
        <w:tc>
          <w:tcPr>
            <w:tcW w:w="10800" w:type="dxa"/>
          </w:tcPr>
          <w:p w14:paraId="1F0C60BC" w14:textId="77777777" w:rsidR="009B5AA5" w:rsidRPr="00FA3F9C" w:rsidRDefault="009B5AA5" w:rsidP="00FC1E85">
            <w:pPr>
              <w:pStyle w:val="ListParagraph"/>
              <w:numPr>
                <w:ilvl w:val="0"/>
                <w:numId w:val="421"/>
              </w:numPr>
              <w:spacing w:after="0" w:line="240" w:lineRule="auto"/>
              <w:rPr>
                <w:rFonts w:ascii="Arial" w:hAnsi="Arial" w:cs="Arial"/>
                <w:sz w:val="24"/>
                <w:szCs w:val="24"/>
              </w:rPr>
            </w:pPr>
            <w:r w:rsidRPr="00FA3F9C">
              <w:rPr>
                <w:rFonts w:ascii="Arial" w:hAnsi="Arial" w:cs="Arial"/>
                <w:sz w:val="24"/>
                <w:szCs w:val="24"/>
              </w:rPr>
              <w:t xml:space="preserve">Diagnosis of stage IIB, IIC, or III melanoma that has been completely resected </w:t>
            </w:r>
          </w:p>
        </w:tc>
      </w:tr>
      <w:tr w:rsidR="009B5AA5" w:rsidRPr="00FA3F9C" w14:paraId="18D9FBDF" w14:textId="77777777" w:rsidTr="00DF6CBB">
        <w:trPr>
          <w:trHeight w:hRule="exact" w:val="631"/>
        </w:trPr>
        <w:tc>
          <w:tcPr>
            <w:tcW w:w="10800" w:type="dxa"/>
          </w:tcPr>
          <w:p w14:paraId="2E449A23" w14:textId="77777777" w:rsidR="009B5AA5" w:rsidRPr="00FA3F9C" w:rsidRDefault="009B5AA5" w:rsidP="00FC1E85">
            <w:pPr>
              <w:pStyle w:val="ListParagraph"/>
              <w:numPr>
                <w:ilvl w:val="0"/>
                <w:numId w:val="421"/>
              </w:numPr>
              <w:spacing w:after="200" w:line="276" w:lineRule="auto"/>
              <w:rPr>
                <w:rFonts w:ascii="Arial" w:hAnsi="Arial" w:cs="Arial"/>
                <w:sz w:val="24"/>
                <w:szCs w:val="24"/>
              </w:rPr>
            </w:pPr>
            <w:r w:rsidRPr="00FA3F9C">
              <w:rPr>
                <w:rFonts w:ascii="Arial" w:hAnsi="Arial" w:cs="Arial"/>
                <w:sz w:val="24"/>
                <w:szCs w:val="24"/>
              </w:rPr>
              <w:t>The patient must be ECOG performance status 0 (fully active) or 1 (ambulatory but restricted in physically strenuous activity) at initiation</w:t>
            </w:r>
          </w:p>
        </w:tc>
      </w:tr>
      <w:tr w:rsidR="009B5AA5" w:rsidRPr="00FA3F9C" w14:paraId="0ADA99CD" w14:textId="77777777" w:rsidTr="00DF6CBB">
        <w:trPr>
          <w:trHeight w:hRule="exact" w:val="361"/>
        </w:trPr>
        <w:tc>
          <w:tcPr>
            <w:tcW w:w="10800" w:type="dxa"/>
          </w:tcPr>
          <w:p w14:paraId="7DA0549A" w14:textId="77777777" w:rsidR="009B5AA5" w:rsidRPr="00FA3F9C" w:rsidRDefault="009B5AA5" w:rsidP="00FC1E85">
            <w:pPr>
              <w:pStyle w:val="ListParagraph"/>
              <w:numPr>
                <w:ilvl w:val="0"/>
                <w:numId w:val="421"/>
              </w:numPr>
              <w:spacing w:after="200" w:line="276" w:lineRule="auto"/>
              <w:rPr>
                <w:rFonts w:ascii="Arial" w:hAnsi="Arial" w:cs="Arial"/>
                <w:sz w:val="24"/>
                <w:szCs w:val="24"/>
              </w:rPr>
            </w:pPr>
            <w:r w:rsidRPr="00FA3F9C">
              <w:rPr>
                <w:rFonts w:ascii="Arial" w:hAnsi="Arial" w:cs="Arial"/>
                <w:sz w:val="24"/>
                <w:szCs w:val="24"/>
              </w:rPr>
              <w:lastRenderedPageBreak/>
              <w:t>Patient does not have diagnosis of ocular/uveal melanoma.</w:t>
            </w:r>
          </w:p>
        </w:tc>
      </w:tr>
      <w:tr w:rsidR="009B5AA5" w:rsidRPr="00FA3F9C" w14:paraId="397732B2" w14:textId="77777777" w:rsidTr="00DF6CBB">
        <w:trPr>
          <w:trHeight w:hRule="exact" w:val="622"/>
        </w:trPr>
        <w:tc>
          <w:tcPr>
            <w:tcW w:w="10800" w:type="dxa"/>
          </w:tcPr>
          <w:p w14:paraId="7F4AF8B4" w14:textId="77777777" w:rsidR="009B5AA5" w:rsidRPr="00FA3F9C" w:rsidRDefault="009B5AA5" w:rsidP="007B2E63">
            <w:pPr>
              <w:rPr>
                <w:rFonts w:ascii="Arial" w:hAnsi="Arial" w:cs="Arial"/>
                <w:sz w:val="24"/>
                <w:szCs w:val="24"/>
              </w:rPr>
            </w:pPr>
            <w:r w:rsidRPr="00FA3F9C">
              <w:rPr>
                <w:rFonts w:ascii="Arial" w:hAnsi="Arial" w:cs="Arial"/>
                <w:b/>
                <w:sz w:val="24"/>
                <w:szCs w:val="24"/>
              </w:rPr>
              <w:t>If all criteria fulfilled, approve for 12 months. NOTE:  for adjuvant indication, maximum treatment duration is 1 year. Do not approve more than 1 year TOTAL.</w:t>
            </w:r>
          </w:p>
          <w:p w14:paraId="7A340A2C" w14:textId="77777777" w:rsidR="009B5AA5" w:rsidRPr="00FA3F9C" w:rsidRDefault="009B5AA5" w:rsidP="007B2E63">
            <w:pPr>
              <w:rPr>
                <w:rFonts w:ascii="Arial" w:hAnsi="Arial" w:cs="Arial"/>
                <w:sz w:val="24"/>
                <w:szCs w:val="24"/>
              </w:rPr>
            </w:pPr>
          </w:p>
        </w:tc>
      </w:tr>
      <w:tr w:rsidR="009B5AA5" w:rsidRPr="00FA3F9C" w14:paraId="7C94C5C0" w14:textId="77777777" w:rsidTr="00DF6CBB">
        <w:trPr>
          <w:trHeight w:hRule="exact" w:val="1621"/>
        </w:trPr>
        <w:tc>
          <w:tcPr>
            <w:tcW w:w="10800" w:type="dxa"/>
            <w:shd w:val="clear" w:color="auto" w:fill="BFBFBF" w:themeFill="background1" w:themeFillShade="BF"/>
          </w:tcPr>
          <w:p w14:paraId="2CE0A21E" w14:textId="77777777" w:rsidR="009B5AA5" w:rsidRPr="00FA3F9C" w:rsidRDefault="009B5AA5" w:rsidP="007B2E63">
            <w:pPr>
              <w:spacing w:after="0" w:line="240" w:lineRule="auto"/>
              <w:rPr>
                <w:rFonts w:ascii="Arial" w:hAnsi="Arial" w:cs="Arial"/>
                <w:sz w:val="24"/>
                <w:szCs w:val="24"/>
              </w:rPr>
            </w:pPr>
            <w:r w:rsidRPr="00FA3F9C">
              <w:rPr>
                <w:rFonts w:ascii="Arial" w:hAnsi="Arial" w:cs="Arial"/>
                <w:sz w:val="24"/>
                <w:szCs w:val="24"/>
              </w:rPr>
              <w:t xml:space="preserve">Notes:  </w:t>
            </w:r>
          </w:p>
          <w:p w14:paraId="40B82F5E" w14:textId="77777777" w:rsidR="009B5AA5" w:rsidRPr="00FA3F9C" w:rsidRDefault="009B5AA5" w:rsidP="000C7CE7">
            <w:pPr>
              <w:spacing w:after="0" w:line="240" w:lineRule="auto"/>
              <w:rPr>
                <w:rFonts w:ascii="Arial" w:hAnsi="Arial" w:cs="Arial"/>
                <w:sz w:val="24"/>
                <w:szCs w:val="24"/>
              </w:rPr>
            </w:pPr>
            <w:r w:rsidRPr="00FA3F9C">
              <w:rPr>
                <w:rFonts w:ascii="Arial" w:hAnsi="Arial" w:cs="Arial"/>
                <w:sz w:val="24"/>
                <w:szCs w:val="24"/>
              </w:rPr>
              <w:t xml:space="preserve">-Pembrolizumab improved recurrence free survival (RFS) compared with placebo in this patient population. At a median f/u of 15 months, the RFS was 75% for pembrolizumab and 61% for placebo (HR 0.57, 95% CI 0.43-0.74). These numbers are </w:t>
            </w:r>
            <w:proofErr w:type="gramStart"/>
            <w:r w:rsidRPr="00FA3F9C">
              <w:rPr>
                <w:rFonts w:ascii="Arial" w:hAnsi="Arial" w:cs="Arial"/>
                <w:sz w:val="24"/>
                <w:szCs w:val="24"/>
              </w:rPr>
              <w:t>similar to</w:t>
            </w:r>
            <w:proofErr w:type="gramEnd"/>
            <w:r w:rsidRPr="00FA3F9C">
              <w:rPr>
                <w:rFonts w:ascii="Arial" w:hAnsi="Arial" w:cs="Arial"/>
                <w:sz w:val="24"/>
                <w:szCs w:val="24"/>
              </w:rPr>
              <w:t xml:space="preserve"> nivolumab data even though study included patients with less advanced disease (included stage IIIA and no stage IV). </w:t>
            </w:r>
          </w:p>
          <w:p w14:paraId="74FDF426" w14:textId="77777777" w:rsidR="009B5AA5" w:rsidRPr="00FA3F9C" w:rsidRDefault="009B5AA5" w:rsidP="000C7CE7">
            <w:pPr>
              <w:spacing w:after="0" w:line="240" w:lineRule="auto"/>
              <w:rPr>
                <w:rFonts w:ascii="Arial" w:hAnsi="Arial" w:cs="Arial"/>
                <w:sz w:val="24"/>
                <w:szCs w:val="24"/>
              </w:rPr>
            </w:pPr>
            <w:r w:rsidRPr="00FA3F9C">
              <w:rPr>
                <w:rFonts w:ascii="Arial" w:hAnsi="Arial" w:cs="Arial"/>
                <w:sz w:val="24"/>
                <w:szCs w:val="24"/>
              </w:rPr>
              <w:t>-Pembrolizumab is continued until disease progression or unacceptable toxicity</w:t>
            </w:r>
          </w:p>
          <w:p w14:paraId="4D8C4F30" w14:textId="77777777" w:rsidR="009B5AA5" w:rsidRPr="00FA3F9C" w:rsidRDefault="009B5AA5" w:rsidP="007B2E63">
            <w:pPr>
              <w:spacing w:before="120" w:after="0" w:line="240" w:lineRule="auto"/>
              <w:rPr>
                <w:rFonts w:ascii="Arial" w:hAnsi="Arial" w:cs="Arial"/>
                <w:sz w:val="24"/>
                <w:szCs w:val="24"/>
              </w:rPr>
            </w:pPr>
            <w:r w:rsidRPr="00FA3F9C">
              <w:rPr>
                <w:rFonts w:ascii="Arial" w:hAnsi="Arial" w:cs="Arial"/>
                <w:sz w:val="24"/>
                <w:szCs w:val="24"/>
              </w:rPr>
              <w:t>REFERENCE:</w:t>
            </w:r>
          </w:p>
          <w:p w14:paraId="1AC6C82B" w14:textId="77777777" w:rsidR="009B5AA5" w:rsidRPr="00FA3F9C" w:rsidRDefault="009B5AA5" w:rsidP="001D3AFD">
            <w:pPr>
              <w:spacing w:after="0" w:line="240" w:lineRule="auto"/>
              <w:rPr>
                <w:rFonts w:ascii="Arial" w:hAnsi="Arial" w:cs="Arial"/>
                <w:sz w:val="24"/>
                <w:szCs w:val="24"/>
              </w:rPr>
            </w:pPr>
            <w:proofErr w:type="spellStart"/>
            <w:r w:rsidRPr="00FA3F9C">
              <w:rPr>
                <w:rStyle w:val="highlight"/>
                <w:rFonts w:ascii="Arial" w:hAnsi="Arial" w:cs="Arial"/>
                <w:sz w:val="24"/>
                <w:szCs w:val="24"/>
              </w:rPr>
              <w:t>Eggermont</w:t>
            </w:r>
            <w:proofErr w:type="spellEnd"/>
            <w:r w:rsidRPr="00FA3F9C">
              <w:rPr>
                <w:rFonts w:ascii="Arial" w:hAnsi="Arial" w:cs="Arial"/>
                <w:sz w:val="24"/>
                <w:szCs w:val="24"/>
              </w:rPr>
              <w:t xml:space="preserve"> et al. Adjuvant pembrolizumab versus placebo in resected stage III melanoma. N </w:t>
            </w:r>
            <w:proofErr w:type="spellStart"/>
            <w:r w:rsidRPr="00FA3F9C">
              <w:rPr>
                <w:rFonts w:ascii="Arial" w:hAnsi="Arial" w:cs="Arial"/>
                <w:sz w:val="24"/>
                <w:szCs w:val="24"/>
              </w:rPr>
              <w:t>Engl</w:t>
            </w:r>
            <w:proofErr w:type="spellEnd"/>
            <w:r w:rsidRPr="00FA3F9C">
              <w:rPr>
                <w:rFonts w:ascii="Arial" w:hAnsi="Arial" w:cs="Arial"/>
                <w:sz w:val="24"/>
                <w:szCs w:val="24"/>
              </w:rPr>
              <w:t xml:space="preserve"> J Med 2018; 378:1789-1801. [NCT02362594]</w:t>
            </w:r>
          </w:p>
          <w:p w14:paraId="56F9EA65" w14:textId="77777777" w:rsidR="009B5AA5" w:rsidRPr="00FA3F9C" w:rsidRDefault="009B5AA5" w:rsidP="007B2E63">
            <w:pPr>
              <w:spacing w:after="0" w:line="240" w:lineRule="auto"/>
              <w:rPr>
                <w:rFonts w:ascii="Arial" w:hAnsi="Arial" w:cs="Arial"/>
                <w:sz w:val="24"/>
                <w:szCs w:val="24"/>
              </w:rPr>
            </w:pPr>
          </w:p>
          <w:p w14:paraId="4CA1F730" w14:textId="77777777" w:rsidR="009B5AA5" w:rsidRPr="00FA3F9C" w:rsidRDefault="009B5AA5" w:rsidP="007B2E63">
            <w:pPr>
              <w:spacing w:after="0" w:line="240" w:lineRule="auto"/>
              <w:rPr>
                <w:rFonts w:ascii="Arial" w:hAnsi="Arial" w:cs="Arial"/>
                <w:sz w:val="24"/>
                <w:szCs w:val="24"/>
              </w:rPr>
            </w:pPr>
          </w:p>
        </w:tc>
      </w:tr>
    </w:tbl>
    <w:p w14:paraId="7273445E" w14:textId="77777777" w:rsidR="009B5AA5" w:rsidRPr="00FA3F9C" w:rsidRDefault="009B5AA5" w:rsidP="002C32D1">
      <w:pPr>
        <w:rPr>
          <w:rFonts w:ascii="Arial" w:hAnsi="Arial" w:cs="Arial"/>
          <w:b/>
          <w:sz w:val="24"/>
          <w:szCs w:val="24"/>
        </w:rPr>
      </w:pPr>
    </w:p>
    <w:tbl>
      <w:tblP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0"/>
      </w:tblGrid>
      <w:tr w:rsidR="009B5AA5" w:rsidRPr="00FA3F9C" w14:paraId="296E4184" w14:textId="77777777" w:rsidTr="00DF6CBB">
        <w:tc>
          <w:tcPr>
            <w:tcW w:w="10800" w:type="dxa"/>
            <w:tcBorders>
              <w:bottom w:val="single" w:sz="4" w:space="0" w:color="auto"/>
            </w:tcBorders>
            <w:shd w:val="clear" w:color="auto" w:fill="000000"/>
          </w:tcPr>
          <w:p w14:paraId="4B12C076" w14:textId="77777777" w:rsidR="009B5AA5" w:rsidRPr="00FA3F9C" w:rsidRDefault="009B5AA5" w:rsidP="00DF6CBB">
            <w:pPr>
              <w:spacing w:after="0"/>
              <w:rPr>
                <w:rFonts w:ascii="Arial" w:hAnsi="Arial" w:cs="Arial"/>
                <w:sz w:val="24"/>
                <w:szCs w:val="24"/>
              </w:rPr>
            </w:pPr>
            <w:r w:rsidRPr="00FA3F9C">
              <w:rPr>
                <w:rFonts w:ascii="Arial" w:hAnsi="Arial" w:cs="Arial"/>
                <w:sz w:val="24"/>
                <w:szCs w:val="24"/>
              </w:rPr>
              <w:br w:type="page"/>
            </w:r>
            <w:r w:rsidRPr="00FA3F9C">
              <w:rPr>
                <w:rFonts w:ascii="Arial" w:hAnsi="Arial" w:cs="Arial"/>
                <w:b/>
                <w:sz w:val="24"/>
                <w:szCs w:val="24"/>
                <w:u w:val="single"/>
              </w:rPr>
              <w:t>Non-Small Cell Lung Cancer (NSCLC)</w:t>
            </w:r>
          </w:p>
        </w:tc>
      </w:tr>
      <w:tr w:rsidR="009B5AA5" w:rsidRPr="00FA3F9C" w14:paraId="34186ECC" w14:textId="77777777" w:rsidTr="00DF6CBB">
        <w:trPr>
          <w:trHeight w:val="2411"/>
        </w:trPr>
        <w:tc>
          <w:tcPr>
            <w:tcW w:w="10800" w:type="dxa"/>
          </w:tcPr>
          <w:p w14:paraId="05D425D8" w14:textId="77777777" w:rsidR="009B5AA5" w:rsidRPr="00FA3F9C" w:rsidRDefault="009B5AA5" w:rsidP="00FC1E85">
            <w:pPr>
              <w:pStyle w:val="ListParagraph"/>
              <w:numPr>
                <w:ilvl w:val="0"/>
                <w:numId w:val="418"/>
              </w:numPr>
              <w:spacing w:after="0" w:line="240" w:lineRule="auto"/>
              <w:rPr>
                <w:rFonts w:ascii="Arial" w:hAnsi="Arial" w:cs="Arial"/>
                <w:sz w:val="24"/>
                <w:szCs w:val="24"/>
              </w:rPr>
            </w:pPr>
            <w:r w:rsidRPr="00FA3F9C">
              <w:rPr>
                <w:rFonts w:ascii="Arial" w:hAnsi="Arial" w:cs="Arial"/>
                <w:sz w:val="24"/>
                <w:szCs w:val="24"/>
              </w:rPr>
              <w:t>Presence of metastatic disease OR presence of stage III disease and patient is not a candidate for definitive chemoradiation or surgical resection</w:t>
            </w:r>
          </w:p>
          <w:p w14:paraId="36BC8E7C" w14:textId="77777777" w:rsidR="009B5AA5" w:rsidRPr="00FA3F9C" w:rsidRDefault="009B5AA5" w:rsidP="00FC1E85">
            <w:pPr>
              <w:pStyle w:val="ListParagraph"/>
              <w:numPr>
                <w:ilvl w:val="0"/>
                <w:numId w:val="418"/>
              </w:numPr>
              <w:spacing w:after="0" w:line="240" w:lineRule="auto"/>
              <w:rPr>
                <w:rFonts w:ascii="Arial" w:hAnsi="Arial" w:cs="Arial"/>
                <w:sz w:val="24"/>
                <w:szCs w:val="24"/>
              </w:rPr>
            </w:pPr>
            <w:r w:rsidRPr="00FA3F9C">
              <w:rPr>
                <w:rFonts w:ascii="Arial" w:hAnsi="Arial" w:cs="Arial"/>
                <w:sz w:val="24"/>
                <w:szCs w:val="24"/>
              </w:rPr>
              <w:t xml:space="preserve">ECOG performance status 0-2 </w:t>
            </w:r>
          </w:p>
          <w:p w14:paraId="7AB2FBAB" w14:textId="77777777" w:rsidR="009B5AA5" w:rsidRPr="00FA3F9C" w:rsidRDefault="009B5AA5" w:rsidP="00FC1E85">
            <w:pPr>
              <w:pStyle w:val="ListParagraph"/>
              <w:numPr>
                <w:ilvl w:val="0"/>
                <w:numId w:val="418"/>
              </w:numPr>
              <w:spacing w:after="0" w:line="240" w:lineRule="auto"/>
              <w:rPr>
                <w:rFonts w:ascii="Arial" w:hAnsi="Arial" w:cs="Arial"/>
                <w:sz w:val="24"/>
                <w:szCs w:val="24"/>
              </w:rPr>
            </w:pPr>
            <w:r w:rsidRPr="00FA3F9C">
              <w:rPr>
                <w:rFonts w:ascii="Arial" w:hAnsi="Arial" w:cs="Arial"/>
                <w:sz w:val="24"/>
                <w:szCs w:val="24"/>
              </w:rPr>
              <w:t>No EGFR or ALK genomic tumor aberrations</w:t>
            </w:r>
          </w:p>
          <w:p w14:paraId="3F6DBA0B" w14:textId="77777777" w:rsidR="009B5AA5" w:rsidRPr="00FA3F9C" w:rsidRDefault="009B5AA5" w:rsidP="00DF6CBB">
            <w:pPr>
              <w:pStyle w:val="ListParagraph"/>
              <w:spacing w:after="0" w:line="240" w:lineRule="auto"/>
              <w:rPr>
                <w:rFonts w:ascii="Arial" w:hAnsi="Arial" w:cs="Arial"/>
                <w:sz w:val="24"/>
                <w:szCs w:val="24"/>
              </w:rPr>
            </w:pPr>
          </w:p>
          <w:p w14:paraId="6F8719A0" w14:textId="77777777" w:rsidR="009B5AA5" w:rsidRPr="00FA3F9C" w:rsidRDefault="009B5AA5" w:rsidP="00DF6CBB">
            <w:pPr>
              <w:spacing w:after="0" w:line="240" w:lineRule="auto"/>
              <w:ind w:left="360"/>
              <w:rPr>
                <w:rFonts w:ascii="Arial" w:hAnsi="Arial" w:cs="Arial"/>
                <w:b/>
                <w:sz w:val="24"/>
                <w:szCs w:val="24"/>
                <w:u w:val="single"/>
              </w:rPr>
            </w:pPr>
            <w:r w:rsidRPr="00FA3F9C">
              <w:rPr>
                <w:rFonts w:ascii="Arial" w:hAnsi="Arial" w:cs="Arial"/>
                <w:b/>
                <w:sz w:val="24"/>
                <w:szCs w:val="24"/>
                <w:u w:val="single"/>
              </w:rPr>
              <w:t>*</w:t>
            </w:r>
            <w:proofErr w:type="gramStart"/>
            <w:r w:rsidRPr="00FA3F9C">
              <w:rPr>
                <w:rFonts w:ascii="Arial" w:hAnsi="Arial" w:cs="Arial"/>
                <w:b/>
                <w:sz w:val="24"/>
                <w:szCs w:val="24"/>
                <w:u w:val="single"/>
              </w:rPr>
              <w:t>All of</w:t>
            </w:r>
            <w:proofErr w:type="gramEnd"/>
            <w:r w:rsidRPr="00FA3F9C">
              <w:rPr>
                <w:rFonts w:ascii="Arial" w:hAnsi="Arial" w:cs="Arial"/>
                <w:b/>
                <w:sz w:val="24"/>
                <w:szCs w:val="24"/>
                <w:u w:val="single"/>
              </w:rPr>
              <w:t xml:space="preserve"> the above (1-3) must be met PLUS one of the following*</w:t>
            </w:r>
          </w:p>
          <w:p w14:paraId="2CEF02F7" w14:textId="77777777" w:rsidR="009B5AA5" w:rsidRPr="00FA3F9C" w:rsidRDefault="009B5AA5" w:rsidP="00DF6CBB">
            <w:pPr>
              <w:spacing w:after="0" w:line="240" w:lineRule="auto"/>
              <w:ind w:left="360"/>
              <w:rPr>
                <w:rFonts w:ascii="Arial" w:hAnsi="Arial" w:cs="Arial"/>
                <w:b/>
                <w:sz w:val="24"/>
                <w:szCs w:val="24"/>
                <w:u w:val="single"/>
              </w:rPr>
            </w:pPr>
          </w:p>
          <w:p w14:paraId="685190AD" w14:textId="77777777" w:rsidR="009B5AA5" w:rsidRPr="00FA3F9C" w:rsidRDefault="009B5AA5" w:rsidP="00FC1E85">
            <w:pPr>
              <w:pStyle w:val="ListParagraph"/>
              <w:numPr>
                <w:ilvl w:val="0"/>
                <w:numId w:val="419"/>
              </w:numPr>
              <w:spacing w:after="0" w:line="240" w:lineRule="auto"/>
              <w:rPr>
                <w:rFonts w:ascii="Arial" w:hAnsi="Arial" w:cs="Arial"/>
                <w:sz w:val="24"/>
                <w:szCs w:val="24"/>
              </w:rPr>
            </w:pPr>
            <w:r w:rsidRPr="00FA3F9C">
              <w:rPr>
                <w:rFonts w:ascii="Arial" w:hAnsi="Arial" w:cs="Arial"/>
                <w:sz w:val="24"/>
                <w:szCs w:val="24"/>
              </w:rPr>
              <w:t xml:space="preserve">PD-L1 TPS </w:t>
            </w:r>
            <w:r w:rsidRPr="00FA3F9C">
              <w:rPr>
                <w:rFonts w:ascii="Arial" w:hAnsi="Arial" w:cs="Arial"/>
                <w:sz w:val="24"/>
                <w:szCs w:val="24"/>
                <w:u w:val="single"/>
              </w:rPr>
              <w:t>&gt;</w:t>
            </w:r>
            <w:r w:rsidRPr="00FA3F9C">
              <w:rPr>
                <w:rFonts w:ascii="Arial" w:hAnsi="Arial" w:cs="Arial"/>
                <w:sz w:val="24"/>
                <w:szCs w:val="24"/>
              </w:rPr>
              <w:t xml:space="preserve">1% and no prior systemic therapy </w:t>
            </w:r>
          </w:p>
          <w:p w14:paraId="1C28199D" w14:textId="77777777" w:rsidR="009B5AA5" w:rsidRPr="00FA3F9C" w:rsidRDefault="009B5AA5" w:rsidP="00FC1E85">
            <w:pPr>
              <w:pStyle w:val="ListParagraph"/>
              <w:numPr>
                <w:ilvl w:val="0"/>
                <w:numId w:val="419"/>
              </w:numPr>
              <w:spacing w:after="0" w:line="240" w:lineRule="auto"/>
              <w:rPr>
                <w:rFonts w:ascii="Arial" w:hAnsi="Arial" w:cs="Arial"/>
                <w:sz w:val="24"/>
                <w:szCs w:val="24"/>
              </w:rPr>
            </w:pPr>
            <w:r w:rsidRPr="00FA3F9C">
              <w:rPr>
                <w:rFonts w:ascii="Arial" w:hAnsi="Arial" w:cs="Arial"/>
                <w:sz w:val="24"/>
                <w:szCs w:val="24"/>
              </w:rPr>
              <w:t xml:space="preserve">PD-L1 TPS </w:t>
            </w:r>
            <w:r w:rsidRPr="00FA3F9C">
              <w:rPr>
                <w:rFonts w:ascii="Arial" w:hAnsi="Arial" w:cs="Arial"/>
                <w:sz w:val="24"/>
                <w:szCs w:val="24"/>
                <w:u w:val="single"/>
              </w:rPr>
              <w:t>&gt;</w:t>
            </w:r>
            <w:r w:rsidRPr="00FA3F9C">
              <w:rPr>
                <w:rFonts w:ascii="Arial" w:hAnsi="Arial" w:cs="Arial"/>
                <w:sz w:val="24"/>
                <w:szCs w:val="24"/>
              </w:rPr>
              <w:t xml:space="preserve">1% </w:t>
            </w:r>
            <w:r w:rsidRPr="00FA3F9C">
              <w:rPr>
                <w:rFonts w:ascii="Arial" w:hAnsi="Arial" w:cs="Arial"/>
                <w:sz w:val="24"/>
                <w:szCs w:val="24"/>
                <w:u w:val="single"/>
              </w:rPr>
              <w:t>and</w:t>
            </w:r>
            <w:r w:rsidRPr="00FA3F9C">
              <w:rPr>
                <w:rFonts w:ascii="Arial" w:hAnsi="Arial" w:cs="Arial"/>
                <w:sz w:val="24"/>
                <w:szCs w:val="24"/>
              </w:rPr>
              <w:t xml:space="preserve"> disease progression on or after platinum-based chemotherapy </w:t>
            </w:r>
            <w:r w:rsidRPr="00FA3F9C">
              <w:rPr>
                <w:rFonts w:ascii="Arial" w:hAnsi="Arial" w:cs="Arial"/>
                <w:sz w:val="24"/>
                <w:szCs w:val="24"/>
                <w:u w:val="single"/>
              </w:rPr>
              <w:t>and</w:t>
            </w:r>
            <w:r w:rsidRPr="00FA3F9C">
              <w:rPr>
                <w:rFonts w:ascii="Arial" w:hAnsi="Arial" w:cs="Arial"/>
                <w:sz w:val="24"/>
                <w:szCs w:val="24"/>
              </w:rPr>
              <w:t xml:space="preserve"> no prior immunotherapy for advanced disease (</w:t>
            </w:r>
            <w:proofErr w:type="gramStart"/>
            <w:r w:rsidRPr="00FA3F9C">
              <w:rPr>
                <w:rFonts w:ascii="Arial" w:hAnsi="Arial" w:cs="Arial"/>
                <w:sz w:val="24"/>
                <w:szCs w:val="24"/>
              </w:rPr>
              <w:t>e.g.</w:t>
            </w:r>
            <w:proofErr w:type="gramEnd"/>
            <w:r w:rsidRPr="00FA3F9C">
              <w:rPr>
                <w:rFonts w:ascii="Arial" w:hAnsi="Arial" w:cs="Arial"/>
                <w:sz w:val="24"/>
                <w:szCs w:val="24"/>
              </w:rPr>
              <w:t xml:space="preserve"> nivolumab, atezolizumab)</w:t>
            </w:r>
          </w:p>
          <w:p w14:paraId="496B4A91" w14:textId="77777777" w:rsidR="009B5AA5" w:rsidRPr="00FA3F9C" w:rsidRDefault="009B5AA5" w:rsidP="00FC1E85">
            <w:pPr>
              <w:pStyle w:val="ListParagraph"/>
              <w:numPr>
                <w:ilvl w:val="0"/>
                <w:numId w:val="419"/>
              </w:numPr>
              <w:spacing w:after="0" w:line="240" w:lineRule="auto"/>
              <w:rPr>
                <w:rFonts w:ascii="Arial" w:hAnsi="Arial" w:cs="Arial"/>
                <w:sz w:val="24"/>
                <w:szCs w:val="24"/>
              </w:rPr>
            </w:pPr>
            <w:r w:rsidRPr="00FA3F9C">
              <w:rPr>
                <w:rFonts w:ascii="Arial" w:hAnsi="Arial" w:cs="Arial"/>
                <w:sz w:val="24"/>
                <w:szCs w:val="24"/>
              </w:rPr>
              <w:t xml:space="preserve">PD-L1 TPS &lt;1%, no prior systemic therapy, and pembrolizumab will be used in combination with platinum-based chemotherapy  </w:t>
            </w:r>
          </w:p>
        </w:tc>
      </w:tr>
      <w:tr w:rsidR="009B5AA5" w:rsidRPr="00FA3F9C" w14:paraId="0256674C" w14:textId="77777777" w:rsidTr="00DF6CBB">
        <w:trPr>
          <w:trHeight w:val="359"/>
        </w:trPr>
        <w:tc>
          <w:tcPr>
            <w:tcW w:w="10800" w:type="dxa"/>
          </w:tcPr>
          <w:p w14:paraId="285F64F3" w14:textId="77777777" w:rsidR="009B5AA5" w:rsidRPr="00FA3F9C" w:rsidRDefault="009B5AA5" w:rsidP="00DF6CBB">
            <w:pPr>
              <w:spacing w:after="0"/>
              <w:rPr>
                <w:rFonts w:ascii="Arial" w:hAnsi="Arial" w:cs="Arial"/>
                <w:b/>
                <w:sz w:val="24"/>
                <w:szCs w:val="24"/>
              </w:rPr>
            </w:pPr>
            <w:r w:rsidRPr="00FA3F9C">
              <w:rPr>
                <w:rFonts w:ascii="Arial" w:hAnsi="Arial" w:cs="Arial"/>
                <w:b/>
                <w:sz w:val="24"/>
                <w:szCs w:val="24"/>
              </w:rPr>
              <w:t>If criteria fulfilled, approve for 12 months</w:t>
            </w:r>
          </w:p>
          <w:p w14:paraId="6EB073C6" w14:textId="77777777" w:rsidR="009B5AA5" w:rsidRPr="00FA3F9C" w:rsidRDefault="009B5AA5" w:rsidP="001626A3">
            <w:pPr>
              <w:spacing w:after="0"/>
              <w:rPr>
                <w:rFonts w:ascii="Arial" w:hAnsi="Arial" w:cs="Arial"/>
                <w:sz w:val="24"/>
                <w:szCs w:val="24"/>
              </w:rPr>
            </w:pPr>
            <w:r w:rsidRPr="00FA3F9C">
              <w:rPr>
                <w:rFonts w:ascii="Arial" w:hAnsi="Arial" w:cs="Arial"/>
                <w:sz w:val="24"/>
                <w:szCs w:val="24"/>
              </w:rPr>
              <w:t xml:space="preserve">Note: For </w:t>
            </w:r>
            <w:r w:rsidRPr="00FA3F9C">
              <w:rPr>
                <w:rFonts w:ascii="Arial" w:hAnsi="Arial" w:cs="Arial"/>
                <w:sz w:val="24"/>
                <w:szCs w:val="24"/>
                <w:u w:val="single"/>
              </w:rPr>
              <w:t>squamous</w:t>
            </w:r>
            <w:r w:rsidRPr="00FA3F9C">
              <w:rPr>
                <w:rFonts w:ascii="Arial" w:hAnsi="Arial" w:cs="Arial"/>
                <w:sz w:val="24"/>
                <w:szCs w:val="24"/>
              </w:rPr>
              <w:t xml:space="preserve"> NSCLC, EBRx covers pembrolizumab in combination with </w:t>
            </w:r>
            <w:r w:rsidRPr="00FA3F9C">
              <w:rPr>
                <w:rFonts w:ascii="Arial" w:hAnsi="Arial" w:cs="Arial"/>
                <w:sz w:val="24"/>
                <w:szCs w:val="24"/>
                <w:u w:val="single"/>
              </w:rPr>
              <w:t>conventional</w:t>
            </w:r>
            <w:r w:rsidRPr="00FA3F9C">
              <w:rPr>
                <w:rFonts w:ascii="Arial" w:hAnsi="Arial" w:cs="Arial"/>
                <w:sz w:val="24"/>
                <w:szCs w:val="24"/>
              </w:rPr>
              <w:t xml:space="preserve"> paclitaxel and carboplatin and NOT in combination with Abraxane and carboplatin. [See Abraxane criteria].</w:t>
            </w:r>
          </w:p>
        </w:tc>
      </w:tr>
      <w:tr w:rsidR="009B5AA5" w:rsidRPr="00FA3F9C" w14:paraId="7FA091B7" w14:textId="77777777" w:rsidTr="00DF6CBB">
        <w:tc>
          <w:tcPr>
            <w:tcW w:w="10800" w:type="dxa"/>
            <w:tcBorders>
              <w:bottom w:val="single" w:sz="4" w:space="0" w:color="auto"/>
            </w:tcBorders>
            <w:shd w:val="clear" w:color="auto" w:fill="000000" w:themeFill="text1"/>
          </w:tcPr>
          <w:p w14:paraId="47C58588" w14:textId="77777777" w:rsidR="009B5AA5" w:rsidRPr="00FA3F9C" w:rsidRDefault="009B5AA5" w:rsidP="00DF6CBB">
            <w:pPr>
              <w:spacing w:after="0"/>
              <w:rPr>
                <w:rFonts w:ascii="Arial" w:hAnsi="Arial" w:cs="Arial"/>
                <w:sz w:val="24"/>
                <w:szCs w:val="24"/>
              </w:rPr>
            </w:pPr>
            <w:r w:rsidRPr="00FA3F9C">
              <w:rPr>
                <w:rFonts w:ascii="Arial" w:hAnsi="Arial" w:cs="Arial"/>
                <w:b/>
                <w:sz w:val="24"/>
                <w:szCs w:val="24"/>
                <w:u w:val="single"/>
              </w:rPr>
              <w:t>Criteria for continuation</w:t>
            </w:r>
          </w:p>
        </w:tc>
      </w:tr>
      <w:tr w:rsidR="009B5AA5" w:rsidRPr="00FA3F9C" w14:paraId="65F4D7CD" w14:textId="77777777" w:rsidTr="00DF6CBB">
        <w:tc>
          <w:tcPr>
            <w:tcW w:w="10800" w:type="dxa"/>
          </w:tcPr>
          <w:p w14:paraId="4E030C1F" w14:textId="77777777" w:rsidR="009B5AA5" w:rsidRPr="00FA3F9C" w:rsidRDefault="009B5AA5" w:rsidP="00DF6CBB">
            <w:pPr>
              <w:spacing w:after="0"/>
              <w:rPr>
                <w:rFonts w:ascii="Arial" w:hAnsi="Arial" w:cs="Arial"/>
                <w:sz w:val="24"/>
                <w:szCs w:val="24"/>
              </w:rPr>
            </w:pPr>
            <w:r w:rsidRPr="00FA3F9C">
              <w:rPr>
                <w:rFonts w:ascii="Arial" w:hAnsi="Arial" w:cs="Arial"/>
                <w:sz w:val="24"/>
                <w:szCs w:val="24"/>
              </w:rPr>
              <w:t>No disease progression</w:t>
            </w:r>
          </w:p>
        </w:tc>
      </w:tr>
      <w:tr w:rsidR="009B5AA5" w:rsidRPr="00FA3F9C" w14:paraId="2F22931A" w14:textId="77777777" w:rsidTr="00DF6CBB">
        <w:tc>
          <w:tcPr>
            <w:tcW w:w="10800" w:type="dxa"/>
          </w:tcPr>
          <w:p w14:paraId="7D07CBCE" w14:textId="77777777" w:rsidR="009B5AA5" w:rsidRPr="00FA3F9C" w:rsidRDefault="009B5AA5" w:rsidP="00DF6CBB">
            <w:pPr>
              <w:spacing w:after="0"/>
              <w:rPr>
                <w:rFonts w:ascii="Arial" w:hAnsi="Arial" w:cs="Arial"/>
                <w:sz w:val="24"/>
                <w:szCs w:val="24"/>
              </w:rPr>
            </w:pPr>
            <w:r w:rsidRPr="00FA3F9C">
              <w:rPr>
                <w:rFonts w:ascii="Arial" w:hAnsi="Arial" w:cs="Arial"/>
                <w:sz w:val="24"/>
                <w:szCs w:val="24"/>
              </w:rPr>
              <w:t>No unacceptable toxicity</w:t>
            </w:r>
          </w:p>
        </w:tc>
      </w:tr>
      <w:tr w:rsidR="009B5AA5" w:rsidRPr="00FA3F9C" w14:paraId="1E008090" w14:textId="77777777" w:rsidTr="00DF6CBB">
        <w:tc>
          <w:tcPr>
            <w:tcW w:w="10800" w:type="dxa"/>
          </w:tcPr>
          <w:p w14:paraId="5C720A42" w14:textId="77777777" w:rsidR="009B5AA5" w:rsidRPr="00FA3F9C" w:rsidRDefault="009B5AA5" w:rsidP="00DF6CBB">
            <w:pPr>
              <w:spacing w:after="0"/>
              <w:rPr>
                <w:rFonts w:ascii="Arial" w:hAnsi="Arial" w:cs="Arial"/>
                <w:sz w:val="24"/>
                <w:szCs w:val="24"/>
              </w:rPr>
            </w:pPr>
            <w:r w:rsidRPr="00FA3F9C">
              <w:rPr>
                <w:rFonts w:ascii="Arial" w:hAnsi="Arial" w:cs="Arial"/>
                <w:b/>
                <w:sz w:val="24"/>
                <w:szCs w:val="24"/>
              </w:rPr>
              <w:t xml:space="preserve">If both continuation criteria are fulfilled, approve for 12 months. </w:t>
            </w:r>
          </w:p>
        </w:tc>
      </w:tr>
      <w:tr w:rsidR="009B5AA5" w:rsidRPr="00FA3F9C" w14:paraId="4BB674B2" w14:textId="77777777" w:rsidTr="00DF6CBB">
        <w:tc>
          <w:tcPr>
            <w:tcW w:w="10800" w:type="dxa"/>
            <w:shd w:val="clear" w:color="auto" w:fill="BFBFBF" w:themeFill="background1" w:themeFillShade="BF"/>
          </w:tcPr>
          <w:p w14:paraId="1450CE16" w14:textId="77777777" w:rsidR="009B5AA5" w:rsidRPr="00FA3F9C" w:rsidRDefault="009B5AA5" w:rsidP="00DF6CBB">
            <w:pPr>
              <w:spacing w:after="0" w:line="240" w:lineRule="auto"/>
              <w:rPr>
                <w:rFonts w:ascii="Arial" w:hAnsi="Arial" w:cs="Arial"/>
                <w:sz w:val="24"/>
                <w:szCs w:val="24"/>
              </w:rPr>
            </w:pPr>
            <w:r w:rsidRPr="00FA3F9C">
              <w:rPr>
                <w:rFonts w:ascii="Arial" w:hAnsi="Arial" w:cs="Arial"/>
                <w:sz w:val="24"/>
                <w:szCs w:val="24"/>
              </w:rPr>
              <w:lastRenderedPageBreak/>
              <w:t xml:space="preserve">Notes:  </w:t>
            </w:r>
          </w:p>
          <w:p w14:paraId="7AFED730" w14:textId="77777777" w:rsidR="009B5AA5" w:rsidRPr="00FA3F9C" w:rsidRDefault="009B5AA5" w:rsidP="00DF6CBB">
            <w:pPr>
              <w:spacing w:after="0" w:line="240" w:lineRule="auto"/>
              <w:rPr>
                <w:rFonts w:ascii="Arial" w:hAnsi="Arial" w:cs="Arial"/>
                <w:sz w:val="24"/>
                <w:szCs w:val="24"/>
              </w:rPr>
            </w:pPr>
            <w:r w:rsidRPr="00FA3F9C">
              <w:rPr>
                <w:rFonts w:ascii="Arial" w:hAnsi="Arial" w:cs="Arial"/>
                <w:sz w:val="24"/>
                <w:szCs w:val="24"/>
              </w:rPr>
              <w:t xml:space="preserve">1. General principles: Pembrolizumab </w:t>
            </w:r>
            <w:r w:rsidRPr="00FA3F9C">
              <w:rPr>
                <w:rFonts w:ascii="Arial" w:hAnsi="Arial" w:cs="Arial"/>
                <w:sz w:val="24"/>
                <w:szCs w:val="24"/>
                <w:u w:val="single"/>
              </w:rPr>
              <w:t>monotherapy</w:t>
            </w:r>
            <w:r w:rsidRPr="00FA3F9C">
              <w:rPr>
                <w:rFonts w:ascii="Arial" w:hAnsi="Arial" w:cs="Arial"/>
                <w:sz w:val="24"/>
                <w:szCs w:val="24"/>
              </w:rPr>
              <w:t xml:space="preserve"> may be considered in the </w:t>
            </w:r>
            <w:proofErr w:type="gramStart"/>
            <w:r w:rsidRPr="00FA3F9C">
              <w:rPr>
                <w:rFonts w:ascii="Arial" w:hAnsi="Arial" w:cs="Arial"/>
                <w:sz w:val="24"/>
                <w:szCs w:val="24"/>
              </w:rPr>
              <w:t>first or second line</w:t>
            </w:r>
            <w:proofErr w:type="gramEnd"/>
            <w:r w:rsidRPr="00FA3F9C">
              <w:rPr>
                <w:rFonts w:ascii="Arial" w:hAnsi="Arial" w:cs="Arial"/>
                <w:sz w:val="24"/>
                <w:szCs w:val="24"/>
              </w:rPr>
              <w:t xml:space="preserve"> setting (after chemotherapy) as long as PD-L1 is </w:t>
            </w:r>
            <w:r w:rsidRPr="00FA3F9C">
              <w:rPr>
                <w:rFonts w:ascii="Arial" w:hAnsi="Arial" w:cs="Arial"/>
                <w:sz w:val="24"/>
                <w:szCs w:val="24"/>
                <w:u w:val="single"/>
              </w:rPr>
              <w:t>&gt;</w:t>
            </w:r>
            <w:r w:rsidRPr="00FA3F9C">
              <w:rPr>
                <w:rFonts w:ascii="Arial" w:hAnsi="Arial" w:cs="Arial"/>
                <w:sz w:val="24"/>
                <w:szCs w:val="24"/>
              </w:rPr>
              <w:t xml:space="preserve">1%. Pembrolizumab plus chemotherapy is appropriate for any level of PD-L1. </w:t>
            </w:r>
          </w:p>
          <w:p w14:paraId="1D924B4B" w14:textId="77777777" w:rsidR="009B5AA5" w:rsidRPr="00FA3F9C" w:rsidRDefault="009B5AA5" w:rsidP="00DF6CBB">
            <w:pPr>
              <w:spacing w:after="0" w:line="240" w:lineRule="auto"/>
              <w:rPr>
                <w:rFonts w:ascii="Arial" w:hAnsi="Arial" w:cs="Arial"/>
                <w:sz w:val="24"/>
                <w:szCs w:val="24"/>
              </w:rPr>
            </w:pPr>
            <w:r w:rsidRPr="00FA3F9C">
              <w:rPr>
                <w:rFonts w:ascii="Arial" w:hAnsi="Arial" w:cs="Arial"/>
                <w:sz w:val="24"/>
                <w:szCs w:val="24"/>
              </w:rPr>
              <w:t>2. FIRST LINE SETTING:</w:t>
            </w:r>
          </w:p>
          <w:p w14:paraId="105F43A8" w14:textId="77777777" w:rsidR="009B5AA5" w:rsidRPr="00FA3F9C" w:rsidRDefault="009B5AA5" w:rsidP="00DF6CBB">
            <w:pPr>
              <w:spacing w:after="0" w:line="240" w:lineRule="auto"/>
              <w:ind w:left="450" w:hanging="180"/>
              <w:rPr>
                <w:rFonts w:ascii="Arial" w:hAnsi="Arial" w:cs="Arial"/>
                <w:sz w:val="24"/>
                <w:szCs w:val="24"/>
              </w:rPr>
            </w:pPr>
            <w:r w:rsidRPr="00FA3F9C">
              <w:rPr>
                <w:rFonts w:ascii="Arial" w:hAnsi="Arial" w:cs="Arial"/>
                <w:sz w:val="24"/>
                <w:szCs w:val="24"/>
              </w:rPr>
              <w:t xml:space="preserve">a. </w:t>
            </w:r>
            <w:r w:rsidRPr="00FA3F9C">
              <w:rPr>
                <w:rFonts w:ascii="Arial" w:hAnsi="Arial" w:cs="Arial"/>
                <w:sz w:val="24"/>
                <w:szCs w:val="24"/>
                <w:u w:val="single"/>
              </w:rPr>
              <w:t>PD-L1 &gt;50%, any histology</w:t>
            </w:r>
            <w:r w:rsidRPr="00FA3F9C">
              <w:rPr>
                <w:rFonts w:ascii="Arial" w:hAnsi="Arial" w:cs="Arial"/>
                <w:sz w:val="24"/>
                <w:szCs w:val="24"/>
              </w:rPr>
              <w:t xml:space="preserve">: pembrolizumab monotherapy was superior to standard chemotherapy. </w:t>
            </w:r>
            <w:r w:rsidRPr="00FA3F9C">
              <w:rPr>
                <w:rFonts w:ascii="Arial" w:hAnsi="Arial" w:cs="Arial"/>
                <w:sz w:val="24"/>
                <w:szCs w:val="24"/>
                <w:lang w:val="es-ES"/>
              </w:rPr>
              <w:t xml:space="preserve">Median OS </w:t>
            </w:r>
            <w:proofErr w:type="spellStart"/>
            <w:r w:rsidRPr="00FA3F9C">
              <w:rPr>
                <w:rFonts w:ascii="Arial" w:hAnsi="Arial" w:cs="Arial"/>
                <w:sz w:val="24"/>
                <w:szCs w:val="24"/>
                <w:lang w:val="es-ES"/>
              </w:rPr>
              <w:t>was</w:t>
            </w:r>
            <w:proofErr w:type="spellEnd"/>
            <w:r w:rsidRPr="00FA3F9C">
              <w:rPr>
                <w:rFonts w:ascii="Arial" w:hAnsi="Arial" w:cs="Arial"/>
                <w:sz w:val="24"/>
                <w:szCs w:val="24"/>
                <w:lang w:val="es-ES"/>
              </w:rPr>
              <w:t xml:space="preserve"> 30 </w:t>
            </w:r>
            <w:proofErr w:type="spellStart"/>
            <w:r w:rsidRPr="00FA3F9C">
              <w:rPr>
                <w:rFonts w:ascii="Arial" w:hAnsi="Arial" w:cs="Arial"/>
                <w:sz w:val="24"/>
                <w:szCs w:val="24"/>
                <w:lang w:val="es-ES"/>
              </w:rPr>
              <w:t>mo</w:t>
            </w:r>
            <w:proofErr w:type="spellEnd"/>
            <w:r w:rsidRPr="00FA3F9C">
              <w:rPr>
                <w:rFonts w:ascii="Arial" w:hAnsi="Arial" w:cs="Arial"/>
                <w:sz w:val="24"/>
                <w:szCs w:val="24"/>
                <w:lang w:val="es-ES"/>
              </w:rPr>
              <w:t xml:space="preserve"> (</w:t>
            </w:r>
            <w:proofErr w:type="spellStart"/>
            <w:r w:rsidRPr="00FA3F9C">
              <w:rPr>
                <w:rFonts w:ascii="Arial" w:hAnsi="Arial" w:cs="Arial"/>
                <w:sz w:val="24"/>
                <w:szCs w:val="24"/>
                <w:lang w:val="es-ES"/>
              </w:rPr>
              <w:t>pembro</w:t>
            </w:r>
            <w:proofErr w:type="spellEnd"/>
            <w:r w:rsidRPr="00FA3F9C">
              <w:rPr>
                <w:rFonts w:ascii="Arial" w:hAnsi="Arial" w:cs="Arial"/>
                <w:sz w:val="24"/>
                <w:szCs w:val="24"/>
                <w:lang w:val="es-ES"/>
              </w:rPr>
              <w:t xml:space="preserve">) vs 14 </w:t>
            </w:r>
            <w:proofErr w:type="spellStart"/>
            <w:r w:rsidRPr="00FA3F9C">
              <w:rPr>
                <w:rFonts w:ascii="Arial" w:hAnsi="Arial" w:cs="Arial"/>
                <w:sz w:val="24"/>
                <w:szCs w:val="24"/>
                <w:lang w:val="es-ES"/>
              </w:rPr>
              <w:t>mo</w:t>
            </w:r>
            <w:proofErr w:type="spellEnd"/>
            <w:r w:rsidRPr="00FA3F9C">
              <w:rPr>
                <w:rFonts w:ascii="Arial" w:hAnsi="Arial" w:cs="Arial"/>
                <w:sz w:val="24"/>
                <w:szCs w:val="24"/>
                <w:lang w:val="es-ES"/>
              </w:rPr>
              <w:t xml:space="preserve"> (</w:t>
            </w:r>
            <w:proofErr w:type="spellStart"/>
            <w:r w:rsidRPr="00FA3F9C">
              <w:rPr>
                <w:rFonts w:ascii="Arial" w:hAnsi="Arial" w:cs="Arial"/>
                <w:sz w:val="24"/>
                <w:szCs w:val="24"/>
                <w:lang w:val="es-ES"/>
              </w:rPr>
              <w:t>chemo</w:t>
            </w:r>
            <w:proofErr w:type="spellEnd"/>
            <w:r w:rsidRPr="00FA3F9C">
              <w:rPr>
                <w:rFonts w:ascii="Arial" w:hAnsi="Arial" w:cs="Arial"/>
                <w:sz w:val="24"/>
                <w:szCs w:val="24"/>
                <w:lang w:val="es-ES"/>
              </w:rPr>
              <w:t xml:space="preserve">) (HR 0.63; 95% CI, 0.47 </w:t>
            </w:r>
            <w:proofErr w:type="spellStart"/>
            <w:r w:rsidRPr="00FA3F9C">
              <w:rPr>
                <w:rFonts w:ascii="Arial" w:hAnsi="Arial" w:cs="Arial"/>
                <w:sz w:val="24"/>
                <w:szCs w:val="24"/>
                <w:lang w:val="es-ES"/>
              </w:rPr>
              <w:t>to</w:t>
            </w:r>
            <w:proofErr w:type="spellEnd"/>
            <w:r w:rsidRPr="00FA3F9C">
              <w:rPr>
                <w:rFonts w:ascii="Arial" w:hAnsi="Arial" w:cs="Arial"/>
                <w:sz w:val="24"/>
                <w:szCs w:val="24"/>
                <w:lang w:val="es-ES"/>
              </w:rPr>
              <w:t xml:space="preserve"> 0.86). </w:t>
            </w:r>
            <w:r w:rsidRPr="00FA3F9C">
              <w:rPr>
                <w:rFonts w:ascii="Arial" w:hAnsi="Arial" w:cs="Arial"/>
                <w:sz w:val="24"/>
                <w:szCs w:val="24"/>
              </w:rPr>
              <w:t>Fewer severe adverse events with pembrolizumab (31% vs 53%)</w:t>
            </w:r>
            <w:r w:rsidRPr="00FA3F9C">
              <w:rPr>
                <w:rFonts w:ascii="Arial" w:hAnsi="Arial" w:cs="Arial"/>
                <w:sz w:val="24"/>
                <w:szCs w:val="24"/>
                <w:vertAlign w:val="superscript"/>
              </w:rPr>
              <w:t>1</w:t>
            </w:r>
          </w:p>
          <w:p w14:paraId="31B33B7B" w14:textId="77777777" w:rsidR="009B5AA5" w:rsidRPr="00FA3F9C" w:rsidRDefault="009B5AA5" w:rsidP="00DF6CBB">
            <w:pPr>
              <w:spacing w:after="0" w:line="240" w:lineRule="auto"/>
              <w:ind w:left="450" w:hanging="180"/>
              <w:rPr>
                <w:rFonts w:ascii="Arial" w:hAnsi="Arial" w:cs="Arial"/>
                <w:sz w:val="24"/>
                <w:szCs w:val="24"/>
                <w:vertAlign w:val="superscript"/>
              </w:rPr>
            </w:pPr>
            <w:r w:rsidRPr="00FA3F9C">
              <w:rPr>
                <w:rFonts w:ascii="Arial" w:hAnsi="Arial" w:cs="Arial"/>
                <w:sz w:val="24"/>
                <w:szCs w:val="24"/>
              </w:rPr>
              <w:t xml:space="preserve">b. </w:t>
            </w:r>
            <w:r w:rsidRPr="00FA3F9C">
              <w:rPr>
                <w:rFonts w:ascii="Arial" w:hAnsi="Arial" w:cs="Arial"/>
                <w:sz w:val="24"/>
                <w:szCs w:val="24"/>
                <w:u w:val="single"/>
              </w:rPr>
              <w:t>PD-L1 any level, non-squamous histology</w:t>
            </w:r>
            <w:r w:rsidRPr="00FA3F9C">
              <w:rPr>
                <w:rFonts w:ascii="Arial" w:hAnsi="Arial" w:cs="Arial"/>
                <w:sz w:val="24"/>
                <w:szCs w:val="24"/>
              </w:rPr>
              <w:t xml:space="preserve">: </w:t>
            </w:r>
            <w:proofErr w:type="spellStart"/>
            <w:r w:rsidRPr="00FA3F9C">
              <w:rPr>
                <w:rFonts w:ascii="Arial" w:hAnsi="Arial" w:cs="Arial"/>
                <w:sz w:val="24"/>
                <w:szCs w:val="24"/>
              </w:rPr>
              <w:t>pembrolizumab+pemetrexed+carboplatin</w:t>
            </w:r>
            <w:proofErr w:type="spellEnd"/>
            <w:r w:rsidRPr="00FA3F9C">
              <w:rPr>
                <w:rFonts w:ascii="Arial" w:hAnsi="Arial" w:cs="Arial"/>
                <w:sz w:val="24"/>
                <w:szCs w:val="24"/>
              </w:rPr>
              <w:t xml:space="preserve"> improved OS vs </w:t>
            </w:r>
            <w:proofErr w:type="spellStart"/>
            <w:r w:rsidRPr="00FA3F9C">
              <w:rPr>
                <w:rFonts w:ascii="Arial" w:hAnsi="Arial" w:cs="Arial"/>
                <w:sz w:val="24"/>
                <w:szCs w:val="24"/>
              </w:rPr>
              <w:t>pemetrexed+carboplatin</w:t>
            </w:r>
            <w:proofErr w:type="spellEnd"/>
            <w:r w:rsidRPr="00FA3F9C">
              <w:rPr>
                <w:rFonts w:ascii="Arial" w:hAnsi="Arial" w:cs="Arial"/>
                <w:sz w:val="24"/>
                <w:szCs w:val="24"/>
              </w:rPr>
              <w:t xml:space="preserve">. Median OS: 22 </w:t>
            </w:r>
            <w:proofErr w:type="spellStart"/>
            <w:r w:rsidRPr="00FA3F9C">
              <w:rPr>
                <w:rFonts w:ascii="Arial" w:hAnsi="Arial" w:cs="Arial"/>
                <w:sz w:val="24"/>
                <w:szCs w:val="24"/>
              </w:rPr>
              <w:t>mo</w:t>
            </w:r>
            <w:proofErr w:type="spellEnd"/>
            <w:r w:rsidRPr="00FA3F9C">
              <w:rPr>
                <w:rFonts w:ascii="Arial" w:hAnsi="Arial" w:cs="Arial"/>
                <w:sz w:val="24"/>
                <w:szCs w:val="24"/>
              </w:rPr>
              <w:t xml:space="preserve"> in pembrolizumab/chemo group and 10.7 </w:t>
            </w:r>
            <w:proofErr w:type="spellStart"/>
            <w:r w:rsidRPr="00FA3F9C">
              <w:rPr>
                <w:rFonts w:ascii="Arial" w:hAnsi="Arial" w:cs="Arial"/>
                <w:sz w:val="24"/>
                <w:szCs w:val="24"/>
              </w:rPr>
              <w:t>mo</w:t>
            </w:r>
            <w:proofErr w:type="spellEnd"/>
            <w:r w:rsidRPr="00FA3F9C">
              <w:rPr>
                <w:rFonts w:ascii="Arial" w:hAnsi="Arial" w:cs="Arial"/>
                <w:sz w:val="24"/>
                <w:szCs w:val="24"/>
              </w:rPr>
              <w:t xml:space="preserve"> in chemo group (HR 0.56; 95% CI, 0.45 to 0.70). One-year OS was 70% (</w:t>
            </w:r>
            <w:proofErr w:type="spellStart"/>
            <w:r w:rsidRPr="00FA3F9C">
              <w:rPr>
                <w:rFonts w:ascii="Arial" w:hAnsi="Arial" w:cs="Arial"/>
                <w:sz w:val="24"/>
                <w:szCs w:val="24"/>
              </w:rPr>
              <w:t>pembro</w:t>
            </w:r>
            <w:proofErr w:type="spellEnd"/>
            <w:r w:rsidRPr="00FA3F9C">
              <w:rPr>
                <w:rFonts w:ascii="Arial" w:hAnsi="Arial" w:cs="Arial"/>
                <w:sz w:val="24"/>
                <w:szCs w:val="24"/>
              </w:rPr>
              <w:t>/chemo) vs 48% (chemo). Incidence of severe toxicities was similar between groups.</w:t>
            </w:r>
            <w:r w:rsidRPr="00FA3F9C">
              <w:rPr>
                <w:rFonts w:ascii="Arial" w:hAnsi="Arial" w:cs="Arial"/>
                <w:sz w:val="24"/>
                <w:szCs w:val="24"/>
                <w:vertAlign w:val="superscript"/>
              </w:rPr>
              <w:t>2,3</w:t>
            </w:r>
          </w:p>
          <w:p w14:paraId="43FDA10B" w14:textId="77777777" w:rsidR="009B5AA5" w:rsidRPr="00FA3F9C" w:rsidRDefault="009B5AA5" w:rsidP="00DF6CBB">
            <w:pPr>
              <w:spacing w:after="0" w:line="240" w:lineRule="auto"/>
              <w:ind w:left="450" w:hanging="180"/>
              <w:rPr>
                <w:rFonts w:ascii="Arial" w:hAnsi="Arial" w:cs="Arial"/>
                <w:sz w:val="24"/>
                <w:szCs w:val="24"/>
              </w:rPr>
            </w:pPr>
            <w:r w:rsidRPr="00FA3F9C">
              <w:rPr>
                <w:rFonts w:ascii="Arial" w:hAnsi="Arial" w:cs="Arial"/>
                <w:sz w:val="24"/>
                <w:szCs w:val="24"/>
              </w:rPr>
              <w:t xml:space="preserve">c. </w:t>
            </w:r>
            <w:r w:rsidRPr="00FA3F9C">
              <w:rPr>
                <w:rFonts w:ascii="Arial" w:hAnsi="Arial" w:cs="Arial"/>
                <w:sz w:val="24"/>
                <w:szCs w:val="24"/>
                <w:u w:val="single"/>
              </w:rPr>
              <w:t>PD-L1 any level, squamous histology</w:t>
            </w:r>
            <w:r w:rsidRPr="00FA3F9C">
              <w:rPr>
                <w:rFonts w:ascii="Arial" w:hAnsi="Arial" w:cs="Arial"/>
                <w:sz w:val="24"/>
                <w:szCs w:val="24"/>
              </w:rPr>
              <w:t xml:space="preserve">: </w:t>
            </w:r>
            <w:proofErr w:type="spellStart"/>
            <w:r w:rsidRPr="00FA3F9C">
              <w:rPr>
                <w:rFonts w:ascii="Arial" w:hAnsi="Arial" w:cs="Arial"/>
                <w:sz w:val="24"/>
                <w:szCs w:val="24"/>
              </w:rPr>
              <w:t>pembrolizumab+carboplatin+paclitaxel</w:t>
            </w:r>
            <w:proofErr w:type="spellEnd"/>
            <w:r w:rsidRPr="00FA3F9C">
              <w:rPr>
                <w:rFonts w:ascii="Arial" w:hAnsi="Arial" w:cs="Arial"/>
                <w:sz w:val="24"/>
                <w:szCs w:val="24"/>
              </w:rPr>
              <w:t xml:space="preserve">/nab-paclitaxel improved OS vs </w:t>
            </w:r>
            <w:proofErr w:type="spellStart"/>
            <w:r w:rsidRPr="00FA3F9C">
              <w:rPr>
                <w:rFonts w:ascii="Arial" w:hAnsi="Arial" w:cs="Arial"/>
                <w:sz w:val="24"/>
                <w:szCs w:val="24"/>
              </w:rPr>
              <w:t>carboplatin+paclitaxel</w:t>
            </w:r>
            <w:proofErr w:type="spellEnd"/>
            <w:r w:rsidRPr="00FA3F9C">
              <w:rPr>
                <w:rFonts w:ascii="Arial" w:hAnsi="Arial" w:cs="Arial"/>
                <w:sz w:val="24"/>
                <w:szCs w:val="24"/>
              </w:rPr>
              <w:t xml:space="preserve">/nab-paclitaxel.  </w:t>
            </w:r>
            <w:r w:rsidRPr="00FA3F9C">
              <w:rPr>
                <w:rFonts w:ascii="Arial" w:hAnsi="Arial" w:cs="Arial"/>
                <w:sz w:val="24"/>
                <w:szCs w:val="24"/>
                <w:lang w:val="es-ES"/>
              </w:rPr>
              <w:t xml:space="preserve">Median OS 15.9 </w:t>
            </w:r>
            <w:proofErr w:type="spellStart"/>
            <w:r w:rsidRPr="00FA3F9C">
              <w:rPr>
                <w:rFonts w:ascii="Arial" w:hAnsi="Arial" w:cs="Arial"/>
                <w:sz w:val="24"/>
                <w:szCs w:val="24"/>
                <w:lang w:val="es-ES"/>
              </w:rPr>
              <w:t>mo</w:t>
            </w:r>
            <w:proofErr w:type="spellEnd"/>
            <w:r w:rsidRPr="00FA3F9C">
              <w:rPr>
                <w:rFonts w:ascii="Arial" w:hAnsi="Arial" w:cs="Arial"/>
                <w:sz w:val="24"/>
                <w:szCs w:val="24"/>
                <w:lang w:val="es-ES"/>
              </w:rPr>
              <w:t xml:space="preserve"> (</w:t>
            </w:r>
            <w:proofErr w:type="spellStart"/>
            <w:r w:rsidRPr="00FA3F9C">
              <w:rPr>
                <w:rFonts w:ascii="Arial" w:hAnsi="Arial" w:cs="Arial"/>
                <w:sz w:val="24"/>
                <w:szCs w:val="24"/>
                <w:lang w:val="es-ES"/>
              </w:rPr>
              <w:t>pembro</w:t>
            </w:r>
            <w:proofErr w:type="spellEnd"/>
            <w:r w:rsidRPr="00FA3F9C">
              <w:rPr>
                <w:rFonts w:ascii="Arial" w:hAnsi="Arial" w:cs="Arial"/>
                <w:sz w:val="24"/>
                <w:szCs w:val="24"/>
                <w:lang w:val="es-ES"/>
              </w:rPr>
              <w:t>/</w:t>
            </w:r>
            <w:proofErr w:type="spellStart"/>
            <w:r w:rsidRPr="00FA3F9C">
              <w:rPr>
                <w:rFonts w:ascii="Arial" w:hAnsi="Arial" w:cs="Arial"/>
                <w:sz w:val="24"/>
                <w:szCs w:val="24"/>
                <w:lang w:val="es-ES"/>
              </w:rPr>
              <w:t>chemo</w:t>
            </w:r>
            <w:proofErr w:type="spellEnd"/>
            <w:r w:rsidRPr="00FA3F9C">
              <w:rPr>
                <w:rFonts w:ascii="Arial" w:hAnsi="Arial" w:cs="Arial"/>
                <w:sz w:val="24"/>
                <w:szCs w:val="24"/>
                <w:lang w:val="es-ES"/>
              </w:rPr>
              <w:t xml:space="preserve">) vs 11.3 </w:t>
            </w:r>
            <w:proofErr w:type="spellStart"/>
            <w:r w:rsidRPr="00FA3F9C">
              <w:rPr>
                <w:rFonts w:ascii="Arial" w:hAnsi="Arial" w:cs="Arial"/>
                <w:sz w:val="24"/>
                <w:szCs w:val="24"/>
                <w:lang w:val="es-ES"/>
              </w:rPr>
              <w:t>mo</w:t>
            </w:r>
            <w:proofErr w:type="spellEnd"/>
            <w:r w:rsidRPr="00FA3F9C">
              <w:rPr>
                <w:rFonts w:ascii="Arial" w:hAnsi="Arial" w:cs="Arial"/>
                <w:sz w:val="24"/>
                <w:szCs w:val="24"/>
                <w:lang w:val="es-ES"/>
              </w:rPr>
              <w:t xml:space="preserve"> (</w:t>
            </w:r>
            <w:proofErr w:type="spellStart"/>
            <w:r w:rsidRPr="00FA3F9C">
              <w:rPr>
                <w:rFonts w:ascii="Arial" w:hAnsi="Arial" w:cs="Arial"/>
                <w:sz w:val="24"/>
                <w:szCs w:val="24"/>
                <w:lang w:val="es-ES"/>
              </w:rPr>
              <w:t>chemo</w:t>
            </w:r>
            <w:proofErr w:type="spellEnd"/>
            <w:r w:rsidRPr="00FA3F9C">
              <w:rPr>
                <w:rFonts w:ascii="Arial" w:hAnsi="Arial" w:cs="Arial"/>
                <w:sz w:val="24"/>
                <w:szCs w:val="24"/>
                <w:lang w:val="es-ES"/>
              </w:rPr>
              <w:t xml:space="preserve">) </w:t>
            </w:r>
            <w:proofErr w:type="spellStart"/>
            <w:r w:rsidRPr="00FA3F9C">
              <w:rPr>
                <w:rFonts w:ascii="Arial" w:hAnsi="Arial" w:cs="Arial"/>
                <w:sz w:val="24"/>
                <w:szCs w:val="24"/>
                <w:lang w:val="es-ES"/>
              </w:rPr>
              <w:t>with</w:t>
            </w:r>
            <w:proofErr w:type="spellEnd"/>
            <w:r w:rsidRPr="00FA3F9C">
              <w:rPr>
                <w:rFonts w:ascii="Arial" w:hAnsi="Arial" w:cs="Arial"/>
                <w:sz w:val="24"/>
                <w:szCs w:val="24"/>
                <w:lang w:val="es-ES"/>
              </w:rPr>
              <w:t xml:space="preserve"> HR 0.64 95% CI 0.49-0.85). </w:t>
            </w:r>
            <w:r w:rsidRPr="00FA3F9C">
              <w:rPr>
                <w:rFonts w:ascii="Arial" w:hAnsi="Arial" w:cs="Arial"/>
                <w:sz w:val="24"/>
                <w:szCs w:val="24"/>
              </w:rPr>
              <w:t>Incidence of severe toxicities was similar between groups.</w:t>
            </w:r>
            <w:r w:rsidRPr="00FA3F9C">
              <w:rPr>
                <w:rFonts w:ascii="Arial" w:hAnsi="Arial" w:cs="Arial"/>
                <w:sz w:val="24"/>
                <w:szCs w:val="24"/>
                <w:vertAlign w:val="superscript"/>
              </w:rPr>
              <w:t>4</w:t>
            </w:r>
          </w:p>
          <w:p w14:paraId="74180825" w14:textId="77777777" w:rsidR="009B5AA5" w:rsidRPr="00FA3F9C" w:rsidRDefault="009B5AA5" w:rsidP="00DF6CBB">
            <w:pPr>
              <w:spacing w:after="0" w:line="240" w:lineRule="auto"/>
              <w:ind w:left="450" w:hanging="180"/>
              <w:rPr>
                <w:rFonts w:ascii="Arial" w:hAnsi="Arial" w:cs="Arial"/>
                <w:sz w:val="24"/>
                <w:szCs w:val="24"/>
              </w:rPr>
            </w:pPr>
            <w:r w:rsidRPr="00FA3F9C">
              <w:rPr>
                <w:rFonts w:ascii="Arial" w:hAnsi="Arial" w:cs="Arial"/>
                <w:sz w:val="24"/>
                <w:szCs w:val="24"/>
              </w:rPr>
              <w:t xml:space="preserve">d. </w:t>
            </w:r>
            <w:r w:rsidRPr="00FA3F9C">
              <w:rPr>
                <w:rFonts w:ascii="Arial" w:hAnsi="Arial" w:cs="Arial"/>
                <w:sz w:val="24"/>
                <w:szCs w:val="24"/>
                <w:u w:val="single"/>
              </w:rPr>
              <w:t>PD-L1 &gt;1%, any histology</w:t>
            </w:r>
            <w:r w:rsidRPr="00FA3F9C">
              <w:rPr>
                <w:rFonts w:ascii="Arial" w:hAnsi="Arial" w:cs="Arial"/>
                <w:sz w:val="24"/>
                <w:szCs w:val="24"/>
              </w:rPr>
              <w:t>: Pembrolizumab monotherapy improved OS vs chemotherapy for all levels of PD-L1 with fewer adverse effects. Difference in OS likely driven by subgroup with PD-L1 &gt;50%. OS survival was similar between groups if PD-L1 was 1-49%.</w:t>
            </w:r>
            <w:r w:rsidRPr="00FA3F9C">
              <w:rPr>
                <w:rFonts w:ascii="Arial" w:hAnsi="Arial" w:cs="Arial"/>
                <w:sz w:val="24"/>
                <w:szCs w:val="24"/>
                <w:vertAlign w:val="superscript"/>
              </w:rPr>
              <w:t>5</w:t>
            </w:r>
          </w:p>
          <w:p w14:paraId="58FD7BE2" w14:textId="77777777" w:rsidR="009B5AA5" w:rsidRPr="00FA3F9C" w:rsidRDefault="009B5AA5" w:rsidP="00DF6CBB">
            <w:pPr>
              <w:spacing w:after="0" w:line="240" w:lineRule="auto"/>
              <w:rPr>
                <w:rFonts w:ascii="Arial" w:hAnsi="Arial" w:cs="Arial"/>
                <w:sz w:val="24"/>
                <w:szCs w:val="24"/>
              </w:rPr>
            </w:pPr>
            <w:r w:rsidRPr="00FA3F9C">
              <w:rPr>
                <w:rFonts w:ascii="Arial" w:hAnsi="Arial" w:cs="Arial"/>
                <w:sz w:val="24"/>
                <w:szCs w:val="24"/>
              </w:rPr>
              <w:t>2. NON-FIRST LINE SETTING:</w:t>
            </w:r>
          </w:p>
          <w:p w14:paraId="0F868477" w14:textId="77777777" w:rsidR="009B5AA5" w:rsidRPr="00FA3F9C" w:rsidRDefault="009B5AA5" w:rsidP="00DF6CBB">
            <w:pPr>
              <w:spacing w:after="0" w:line="240" w:lineRule="auto"/>
              <w:ind w:left="540" w:hanging="270"/>
              <w:rPr>
                <w:rFonts w:ascii="Arial" w:hAnsi="Arial" w:cs="Arial"/>
                <w:sz w:val="24"/>
                <w:szCs w:val="24"/>
              </w:rPr>
            </w:pPr>
            <w:r w:rsidRPr="00FA3F9C">
              <w:rPr>
                <w:rFonts w:ascii="Arial" w:hAnsi="Arial" w:cs="Arial"/>
                <w:sz w:val="24"/>
                <w:szCs w:val="24"/>
              </w:rPr>
              <w:t xml:space="preserve">a. PD-L1 </w:t>
            </w:r>
            <w:r w:rsidRPr="00FA3F9C">
              <w:rPr>
                <w:rFonts w:ascii="Arial" w:hAnsi="Arial" w:cs="Arial"/>
                <w:sz w:val="24"/>
                <w:szCs w:val="24"/>
                <w:u w:val="single"/>
              </w:rPr>
              <w:t>&gt;</w:t>
            </w:r>
            <w:r w:rsidRPr="00FA3F9C">
              <w:rPr>
                <w:rFonts w:ascii="Arial" w:hAnsi="Arial" w:cs="Arial"/>
                <w:sz w:val="24"/>
                <w:szCs w:val="24"/>
              </w:rPr>
              <w:t xml:space="preserve">1%: Pembrolizumab improved overall survival vs docetaxel with median OS of 10.4 </w:t>
            </w:r>
            <w:proofErr w:type="spellStart"/>
            <w:r w:rsidRPr="00FA3F9C">
              <w:rPr>
                <w:rFonts w:ascii="Arial" w:hAnsi="Arial" w:cs="Arial"/>
                <w:sz w:val="24"/>
                <w:szCs w:val="24"/>
              </w:rPr>
              <w:t>mo</w:t>
            </w:r>
            <w:proofErr w:type="spellEnd"/>
            <w:r w:rsidRPr="00FA3F9C">
              <w:rPr>
                <w:rFonts w:ascii="Arial" w:hAnsi="Arial" w:cs="Arial"/>
                <w:sz w:val="24"/>
                <w:szCs w:val="24"/>
              </w:rPr>
              <w:t xml:space="preserve"> (</w:t>
            </w:r>
            <w:proofErr w:type="spellStart"/>
            <w:r w:rsidRPr="00FA3F9C">
              <w:rPr>
                <w:rFonts w:ascii="Arial" w:hAnsi="Arial" w:cs="Arial"/>
                <w:sz w:val="24"/>
                <w:szCs w:val="24"/>
              </w:rPr>
              <w:t>pembro</w:t>
            </w:r>
            <w:proofErr w:type="spellEnd"/>
            <w:r w:rsidRPr="00FA3F9C">
              <w:rPr>
                <w:rFonts w:ascii="Arial" w:hAnsi="Arial" w:cs="Arial"/>
                <w:sz w:val="24"/>
                <w:szCs w:val="24"/>
              </w:rPr>
              <w:t xml:space="preserve">) vs 8.5 </w:t>
            </w:r>
            <w:proofErr w:type="spellStart"/>
            <w:r w:rsidRPr="00FA3F9C">
              <w:rPr>
                <w:rFonts w:ascii="Arial" w:hAnsi="Arial" w:cs="Arial"/>
                <w:sz w:val="24"/>
                <w:szCs w:val="24"/>
              </w:rPr>
              <w:t>mo</w:t>
            </w:r>
            <w:proofErr w:type="spellEnd"/>
            <w:r w:rsidRPr="00FA3F9C">
              <w:rPr>
                <w:rFonts w:ascii="Arial" w:hAnsi="Arial" w:cs="Arial"/>
                <w:sz w:val="24"/>
                <w:szCs w:val="24"/>
              </w:rPr>
              <w:t xml:space="preserve"> (chemo) with HR 0.71, 95% CI 0.58-0.88). Incidence of severe toxicities was lower with pembrolizumab (13% vs 35%).</w:t>
            </w:r>
            <w:r w:rsidRPr="00FA3F9C">
              <w:rPr>
                <w:rFonts w:ascii="Arial" w:hAnsi="Arial" w:cs="Arial"/>
                <w:sz w:val="24"/>
                <w:szCs w:val="24"/>
                <w:vertAlign w:val="superscript"/>
              </w:rPr>
              <w:t>6</w:t>
            </w:r>
          </w:p>
          <w:p w14:paraId="36948A45" w14:textId="77777777" w:rsidR="009B5AA5" w:rsidRPr="00FA3F9C" w:rsidRDefault="009B5AA5" w:rsidP="00DF6CBB">
            <w:pPr>
              <w:spacing w:after="0" w:line="240" w:lineRule="auto"/>
              <w:rPr>
                <w:rFonts w:ascii="Arial" w:hAnsi="Arial" w:cs="Arial"/>
                <w:sz w:val="24"/>
                <w:szCs w:val="24"/>
              </w:rPr>
            </w:pPr>
          </w:p>
          <w:p w14:paraId="7B894604" w14:textId="77777777" w:rsidR="009B5AA5" w:rsidRPr="00FA3F9C" w:rsidRDefault="009B5AA5" w:rsidP="00DF6CBB">
            <w:pPr>
              <w:spacing w:after="0" w:line="240" w:lineRule="auto"/>
              <w:rPr>
                <w:rFonts w:ascii="Arial" w:hAnsi="Arial" w:cs="Arial"/>
                <w:sz w:val="24"/>
                <w:szCs w:val="24"/>
              </w:rPr>
            </w:pPr>
            <w:r w:rsidRPr="00FA3F9C">
              <w:rPr>
                <w:rFonts w:ascii="Arial" w:hAnsi="Arial" w:cs="Arial"/>
                <w:sz w:val="24"/>
                <w:szCs w:val="24"/>
              </w:rPr>
              <w:t>REFERENCES:</w:t>
            </w:r>
          </w:p>
          <w:p w14:paraId="5C4FF632" w14:textId="77777777" w:rsidR="009B5AA5" w:rsidRPr="00FA3F9C" w:rsidRDefault="00500371" w:rsidP="00FC1E85">
            <w:pPr>
              <w:pStyle w:val="ListParagraph"/>
              <w:numPr>
                <w:ilvl w:val="0"/>
                <w:numId w:val="420"/>
              </w:numPr>
              <w:spacing w:after="0" w:line="240" w:lineRule="auto"/>
              <w:rPr>
                <w:rFonts w:ascii="Arial" w:hAnsi="Arial" w:cs="Arial"/>
                <w:sz w:val="24"/>
                <w:szCs w:val="24"/>
              </w:rPr>
            </w:pPr>
            <w:hyperlink r:id="rId320" w:history="1">
              <w:r w:rsidR="009B5AA5" w:rsidRPr="00FA3F9C">
                <w:rPr>
                  <w:rStyle w:val="highlight"/>
                  <w:rFonts w:ascii="Arial" w:hAnsi="Arial" w:cs="Arial"/>
                  <w:sz w:val="24"/>
                  <w:szCs w:val="24"/>
                </w:rPr>
                <w:t>Reck</w:t>
              </w:r>
              <w:r w:rsidR="009B5AA5" w:rsidRPr="00FA3F9C">
                <w:rPr>
                  <w:rStyle w:val="Hyperlink"/>
                  <w:rFonts w:ascii="Arial" w:hAnsi="Arial" w:cs="Arial"/>
                  <w:sz w:val="24"/>
                  <w:szCs w:val="24"/>
                </w:rPr>
                <w:t xml:space="preserve"> M</w:t>
              </w:r>
            </w:hyperlink>
            <w:r w:rsidR="009B5AA5" w:rsidRPr="00FA3F9C">
              <w:rPr>
                <w:rFonts w:ascii="Arial" w:hAnsi="Arial" w:cs="Arial"/>
                <w:sz w:val="24"/>
                <w:szCs w:val="24"/>
              </w:rPr>
              <w:t xml:space="preserve"> et al. Updated Analysis of KEYNOTE-024: </w:t>
            </w:r>
            <w:r w:rsidR="009B5AA5" w:rsidRPr="00FA3F9C">
              <w:rPr>
                <w:rStyle w:val="highlight"/>
                <w:rFonts w:ascii="Arial" w:hAnsi="Arial" w:cs="Arial"/>
                <w:sz w:val="24"/>
                <w:szCs w:val="24"/>
              </w:rPr>
              <w:t>Pembrolizumab</w:t>
            </w:r>
            <w:r w:rsidR="009B5AA5" w:rsidRPr="00FA3F9C">
              <w:rPr>
                <w:rFonts w:ascii="Arial" w:hAnsi="Arial" w:cs="Arial"/>
                <w:sz w:val="24"/>
                <w:szCs w:val="24"/>
              </w:rPr>
              <w:t xml:space="preserve"> Versus Platinum-Based Chemotherapy for Advanced Non-Small-Cell </w:t>
            </w:r>
            <w:r w:rsidR="009B5AA5" w:rsidRPr="00FA3F9C">
              <w:rPr>
                <w:rStyle w:val="highlight"/>
                <w:rFonts w:ascii="Arial" w:hAnsi="Arial" w:cs="Arial"/>
                <w:sz w:val="24"/>
                <w:szCs w:val="24"/>
              </w:rPr>
              <w:t>Lung</w:t>
            </w:r>
            <w:r w:rsidR="009B5AA5" w:rsidRPr="00FA3F9C">
              <w:rPr>
                <w:rFonts w:ascii="Arial" w:hAnsi="Arial" w:cs="Arial"/>
                <w:sz w:val="24"/>
                <w:szCs w:val="24"/>
              </w:rPr>
              <w:t xml:space="preserve"> Cancer With PD-L1 Tumor Proportion Score of 50% or Greater. </w:t>
            </w:r>
            <w:hyperlink r:id="rId321" w:tooltip="Journal of clinical oncology : official journal of the American Society of Clinical Oncology." w:history="1">
              <w:r w:rsidR="009B5AA5" w:rsidRPr="00FA3F9C">
                <w:rPr>
                  <w:rStyle w:val="Hyperlink"/>
                  <w:rFonts w:ascii="Arial" w:hAnsi="Arial" w:cs="Arial"/>
                  <w:sz w:val="24"/>
                  <w:szCs w:val="24"/>
                </w:rPr>
                <w:t>J Clin Oncol.</w:t>
              </w:r>
            </w:hyperlink>
            <w:r w:rsidR="009B5AA5" w:rsidRPr="00FA3F9C">
              <w:rPr>
                <w:rFonts w:ascii="Arial" w:hAnsi="Arial" w:cs="Arial"/>
                <w:sz w:val="24"/>
                <w:szCs w:val="24"/>
              </w:rPr>
              <w:t xml:space="preserve"> 2019 Jan 8:JCO1800149. [KEYNOTE 024; NCT02142738]</w:t>
            </w:r>
          </w:p>
          <w:p w14:paraId="02A4C7FD" w14:textId="77777777" w:rsidR="009B5AA5" w:rsidRPr="00FA3F9C" w:rsidRDefault="00500371" w:rsidP="00FC1E85">
            <w:pPr>
              <w:pStyle w:val="ListParagraph"/>
              <w:numPr>
                <w:ilvl w:val="0"/>
                <w:numId w:val="420"/>
              </w:numPr>
              <w:spacing w:after="0" w:line="240" w:lineRule="auto"/>
              <w:rPr>
                <w:rFonts w:ascii="Arial" w:hAnsi="Arial" w:cs="Arial"/>
                <w:sz w:val="24"/>
                <w:szCs w:val="24"/>
              </w:rPr>
            </w:pPr>
            <w:hyperlink r:id="rId322" w:history="1">
              <w:r w:rsidR="009B5AA5" w:rsidRPr="00FA3F9C">
                <w:rPr>
                  <w:rStyle w:val="highlight"/>
                  <w:rFonts w:ascii="Arial" w:hAnsi="Arial" w:cs="Arial"/>
                  <w:sz w:val="24"/>
                  <w:szCs w:val="24"/>
                </w:rPr>
                <w:t>Gandhi</w:t>
              </w:r>
              <w:r w:rsidR="009B5AA5" w:rsidRPr="00FA3F9C">
                <w:rPr>
                  <w:rStyle w:val="Hyperlink"/>
                  <w:rFonts w:ascii="Arial" w:hAnsi="Arial" w:cs="Arial"/>
                  <w:sz w:val="24"/>
                  <w:szCs w:val="24"/>
                </w:rPr>
                <w:t xml:space="preserve"> L</w:t>
              </w:r>
            </w:hyperlink>
            <w:r w:rsidR="009B5AA5" w:rsidRPr="00FA3F9C">
              <w:rPr>
                <w:rFonts w:ascii="Arial" w:hAnsi="Arial" w:cs="Arial"/>
                <w:sz w:val="24"/>
                <w:szCs w:val="24"/>
              </w:rPr>
              <w:t xml:space="preserve"> et al. </w:t>
            </w:r>
            <w:r w:rsidR="009B5AA5" w:rsidRPr="00FA3F9C">
              <w:rPr>
                <w:rStyle w:val="highlight"/>
                <w:rFonts w:ascii="Arial" w:hAnsi="Arial" w:cs="Arial"/>
                <w:sz w:val="24"/>
                <w:szCs w:val="24"/>
              </w:rPr>
              <w:t>Pembrolizumab</w:t>
            </w:r>
            <w:r w:rsidR="009B5AA5" w:rsidRPr="00FA3F9C">
              <w:rPr>
                <w:rFonts w:ascii="Arial" w:hAnsi="Arial" w:cs="Arial"/>
                <w:sz w:val="24"/>
                <w:szCs w:val="24"/>
              </w:rPr>
              <w:t xml:space="preserve"> plus Chemotherapy in Metastatic Non-Small-Cell </w:t>
            </w:r>
            <w:r w:rsidR="009B5AA5" w:rsidRPr="00FA3F9C">
              <w:rPr>
                <w:rStyle w:val="highlight"/>
                <w:rFonts w:ascii="Arial" w:hAnsi="Arial" w:cs="Arial"/>
                <w:sz w:val="24"/>
                <w:szCs w:val="24"/>
              </w:rPr>
              <w:t>Lung</w:t>
            </w:r>
            <w:r w:rsidR="009B5AA5" w:rsidRPr="00FA3F9C">
              <w:rPr>
                <w:rFonts w:ascii="Arial" w:hAnsi="Arial" w:cs="Arial"/>
                <w:sz w:val="24"/>
                <w:szCs w:val="24"/>
              </w:rPr>
              <w:t xml:space="preserve"> Cancer. </w:t>
            </w:r>
            <w:hyperlink r:id="rId323" w:tooltip="The New England journal of medicine." w:history="1">
              <w:r w:rsidR="009B5AA5" w:rsidRPr="00FA3F9C">
                <w:rPr>
                  <w:rStyle w:val="Hyperlink"/>
                  <w:rFonts w:ascii="Arial" w:hAnsi="Arial" w:cs="Arial"/>
                  <w:sz w:val="24"/>
                  <w:szCs w:val="24"/>
                </w:rPr>
                <w:t xml:space="preserve">N </w:t>
              </w:r>
              <w:proofErr w:type="spellStart"/>
              <w:r w:rsidR="009B5AA5" w:rsidRPr="00FA3F9C">
                <w:rPr>
                  <w:rStyle w:val="Hyperlink"/>
                  <w:rFonts w:ascii="Arial" w:hAnsi="Arial" w:cs="Arial"/>
                  <w:sz w:val="24"/>
                  <w:szCs w:val="24"/>
                </w:rPr>
                <w:t>Engl</w:t>
              </w:r>
              <w:proofErr w:type="spellEnd"/>
              <w:r w:rsidR="009B5AA5" w:rsidRPr="00FA3F9C">
                <w:rPr>
                  <w:rStyle w:val="Hyperlink"/>
                  <w:rFonts w:ascii="Arial" w:hAnsi="Arial" w:cs="Arial"/>
                  <w:sz w:val="24"/>
                  <w:szCs w:val="24"/>
                </w:rPr>
                <w:t xml:space="preserve"> J Med.</w:t>
              </w:r>
            </w:hyperlink>
            <w:r w:rsidR="009B5AA5" w:rsidRPr="00FA3F9C">
              <w:rPr>
                <w:rFonts w:ascii="Arial" w:hAnsi="Arial" w:cs="Arial"/>
                <w:sz w:val="24"/>
                <w:szCs w:val="24"/>
              </w:rPr>
              <w:t xml:space="preserve"> 2018 May 31;378(22):2078-2092.  [KEYNOTE 189; NCT02578680]</w:t>
            </w:r>
          </w:p>
          <w:p w14:paraId="0698F700" w14:textId="77777777" w:rsidR="009B5AA5" w:rsidRPr="00FA3F9C" w:rsidRDefault="009B5AA5" w:rsidP="00FC1E85">
            <w:pPr>
              <w:pStyle w:val="ListParagraph"/>
              <w:numPr>
                <w:ilvl w:val="0"/>
                <w:numId w:val="420"/>
              </w:numPr>
              <w:spacing w:after="200" w:line="276" w:lineRule="auto"/>
              <w:rPr>
                <w:rFonts w:ascii="Arial" w:hAnsi="Arial" w:cs="Arial"/>
                <w:sz w:val="24"/>
                <w:szCs w:val="24"/>
              </w:rPr>
            </w:pPr>
            <w:proofErr w:type="spellStart"/>
            <w:r w:rsidRPr="00FA3F9C">
              <w:rPr>
                <w:rFonts w:ascii="Arial" w:hAnsi="Arial" w:cs="Arial"/>
                <w:sz w:val="24"/>
                <w:szCs w:val="24"/>
              </w:rPr>
              <w:t>Gadgeel</w:t>
            </w:r>
            <w:proofErr w:type="spellEnd"/>
            <w:r w:rsidRPr="00FA3F9C">
              <w:rPr>
                <w:rFonts w:ascii="Arial" w:hAnsi="Arial" w:cs="Arial"/>
                <w:sz w:val="24"/>
                <w:szCs w:val="24"/>
              </w:rPr>
              <w:t xml:space="preserve"> S et al. Updated Analysis From KEYNOTE-189: Pembrolizumab or Placebo Plus Pemetrexed and Platinum for Previously Untreated Metastatic </w:t>
            </w:r>
            <w:proofErr w:type="spellStart"/>
            <w:r w:rsidRPr="00FA3F9C">
              <w:rPr>
                <w:rFonts w:ascii="Arial" w:hAnsi="Arial" w:cs="Arial"/>
                <w:sz w:val="24"/>
                <w:szCs w:val="24"/>
              </w:rPr>
              <w:t>Nonsquamous</w:t>
            </w:r>
            <w:proofErr w:type="spellEnd"/>
            <w:r w:rsidRPr="00FA3F9C">
              <w:rPr>
                <w:rFonts w:ascii="Arial" w:hAnsi="Arial" w:cs="Arial"/>
                <w:sz w:val="24"/>
                <w:szCs w:val="24"/>
              </w:rPr>
              <w:t xml:space="preserve"> Non-Small-Cell </w:t>
            </w:r>
            <w:r w:rsidRPr="00FA3F9C">
              <w:rPr>
                <w:rFonts w:ascii="Arial" w:hAnsi="Arial" w:cs="Arial"/>
                <w:sz w:val="24"/>
                <w:szCs w:val="24"/>
              </w:rPr>
              <w:lastRenderedPageBreak/>
              <w:t>Lung Cancer. J Clin Oncol. 2020;38(14):1505</w:t>
            </w:r>
            <w:r w:rsidRPr="00FA3F9C">
              <w:rPr>
                <w:rFonts w:ascii="Cambria Math" w:hAnsi="Cambria Math" w:cs="Cambria Math"/>
                <w:sz w:val="24"/>
                <w:szCs w:val="24"/>
              </w:rPr>
              <w:t>‐</w:t>
            </w:r>
            <w:r w:rsidRPr="00FA3F9C">
              <w:rPr>
                <w:rFonts w:ascii="Arial" w:hAnsi="Arial" w:cs="Arial"/>
                <w:sz w:val="24"/>
                <w:szCs w:val="24"/>
              </w:rPr>
              <w:t>1517. [PMID 32150489; KEYNOTE 189; NCT02578680]</w:t>
            </w:r>
          </w:p>
          <w:p w14:paraId="3548766C" w14:textId="77777777" w:rsidR="009B5AA5" w:rsidRPr="00FA3F9C" w:rsidRDefault="00500371" w:rsidP="00FC1E85">
            <w:pPr>
              <w:pStyle w:val="ListParagraph"/>
              <w:numPr>
                <w:ilvl w:val="0"/>
                <w:numId w:val="420"/>
              </w:numPr>
              <w:spacing w:after="0" w:line="240" w:lineRule="auto"/>
              <w:rPr>
                <w:rFonts w:ascii="Arial" w:hAnsi="Arial" w:cs="Arial"/>
                <w:sz w:val="24"/>
                <w:szCs w:val="24"/>
              </w:rPr>
            </w:pPr>
            <w:hyperlink r:id="rId324" w:history="1">
              <w:r w:rsidR="009B5AA5" w:rsidRPr="00FA3F9C">
                <w:rPr>
                  <w:rStyle w:val="Hyperlink"/>
                  <w:rFonts w:ascii="Arial" w:hAnsi="Arial" w:cs="Arial"/>
                  <w:sz w:val="24"/>
                  <w:szCs w:val="24"/>
                </w:rPr>
                <w:t>Paz-Ares L</w:t>
              </w:r>
            </w:hyperlink>
            <w:r w:rsidR="009B5AA5" w:rsidRPr="00FA3F9C">
              <w:rPr>
                <w:rFonts w:ascii="Arial" w:hAnsi="Arial" w:cs="Arial"/>
                <w:sz w:val="24"/>
                <w:szCs w:val="24"/>
              </w:rPr>
              <w:t xml:space="preserve"> et al. Pembrolizumab plus Chemotherapy for Squamous Non-Small-Cell Lung Cancer. </w:t>
            </w:r>
            <w:hyperlink r:id="rId325" w:tooltip="The New England journal of medicine." w:history="1">
              <w:r w:rsidR="009B5AA5" w:rsidRPr="00FA3F9C">
                <w:rPr>
                  <w:rStyle w:val="Hyperlink"/>
                  <w:rFonts w:ascii="Arial" w:hAnsi="Arial" w:cs="Arial"/>
                  <w:sz w:val="24"/>
                  <w:szCs w:val="24"/>
                </w:rPr>
                <w:t xml:space="preserve">N </w:t>
              </w:r>
              <w:proofErr w:type="spellStart"/>
              <w:r w:rsidR="009B5AA5" w:rsidRPr="00FA3F9C">
                <w:rPr>
                  <w:rStyle w:val="Hyperlink"/>
                  <w:rFonts w:ascii="Arial" w:hAnsi="Arial" w:cs="Arial"/>
                  <w:sz w:val="24"/>
                  <w:szCs w:val="24"/>
                </w:rPr>
                <w:t>Engl</w:t>
              </w:r>
              <w:proofErr w:type="spellEnd"/>
              <w:r w:rsidR="009B5AA5" w:rsidRPr="00FA3F9C">
                <w:rPr>
                  <w:rStyle w:val="Hyperlink"/>
                  <w:rFonts w:ascii="Arial" w:hAnsi="Arial" w:cs="Arial"/>
                  <w:sz w:val="24"/>
                  <w:szCs w:val="24"/>
                </w:rPr>
                <w:t xml:space="preserve"> J Med.</w:t>
              </w:r>
            </w:hyperlink>
            <w:r w:rsidR="009B5AA5" w:rsidRPr="00FA3F9C">
              <w:rPr>
                <w:rFonts w:ascii="Arial" w:hAnsi="Arial" w:cs="Arial"/>
                <w:sz w:val="24"/>
                <w:szCs w:val="24"/>
              </w:rPr>
              <w:t xml:space="preserve"> 2018 Nov 22;379(21):2040-2051. [KEYNOTE 407; NCT02775435]</w:t>
            </w:r>
          </w:p>
          <w:p w14:paraId="37F3D947" w14:textId="77777777" w:rsidR="009B5AA5" w:rsidRPr="00FA3F9C" w:rsidRDefault="009B5AA5" w:rsidP="00FC1E85">
            <w:pPr>
              <w:pStyle w:val="ListParagraph"/>
              <w:numPr>
                <w:ilvl w:val="0"/>
                <w:numId w:val="420"/>
              </w:numPr>
              <w:spacing w:after="0" w:line="240" w:lineRule="auto"/>
              <w:rPr>
                <w:rFonts w:ascii="Arial" w:hAnsi="Arial" w:cs="Arial"/>
                <w:sz w:val="24"/>
                <w:szCs w:val="24"/>
              </w:rPr>
            </w:pPr>
            <w:proofErr w:type="spellStart"/>
            <w:r w:rsidRPr="00FA3F9C">
              <w:rPr>
                <w:rFonts w:ascii="Arial" w:hAnsi="Arial" w:cs="Arial"/>
                <w:sz w:val="24"/>
                <w:szCs w:val="24"/>
              </w:rPr>
              <w:t>Mok</w:t>
            </w:r>
            <w:proofErr w:type="spellEnd"/>
            <w:r w:rsidRPr="00FA3F9C">
              <w:rPr>
                <w:rFonts w:ascii="Arial" w:hAnsi="Arial" w:cs="Arial"/>
                <w:sz w:val="24"/>
                <w:szCs w:val="24"/>
              </w:rPr>
              <w:t xml:space="preserve"> TSK et al. Pembrolizumab versus chemotherapy for previously untreated, PD-L1-expressing, locally advanced or metastatic non-small-cell lung cancer (KEYNOTE-042): a </w:t>
            </w:r>
            <w:proofErr w:type="spellStart"/>
            <w:r w:rsidRPr="00FA3F9C">
              <w:rPr>
                <w:rFonts w:ascii="Arial" w:hAnsi="Arial" w:cs="Arial"/>
                <w:sz w:val="24"/>
                <w:szCs w:val="24"/>
              </w:rPr>
              <w:t>randomised</w:t>
            </w:r>
            <w:proofErr w:type="spellEnd"/>
            <w:r w:rsidRPr="00FA3F9C">
              <w:rPr>
                <w:rFonts w:ascii="Arial" w:hAnsi="Arial" w:cs="Arial"/>
                <w:sz w:val="24"/>
                <w:szCs w:val="24"/>
              </w:rPr>
              <w:t>, open-label, controlled, phase 3 trial. Lancet. 2019 May 4;393(10183):1819-1830. NCT02220894 PMID 30955977</w:t>
            </w:r>
          </w:p>
          <w:p w14:paraId="20E35166" w14:textId="77777777" w:rsidR="009B5AA5" w:rsidRPr="00FA3F9C" w:rsidRDefault="00500371" w:rsidP="00FC1E85">
            <w:pPr>
              <w:pStyle w:val="ListParagraph"/>
              <w:numPr>
                <w:ilvl w:val="0"/>
                <w:numId w:val="420"/>
              </w:numPr>
              <w:spacing w:after="0" w:line="240" w:lineRule="auto"/>
              <w:rPr>
                <w:rFonts w:ascii="Arial" w:hAnsi="Arial" w:cs="Arial"/>
                <w:sz w:val="24"/>
                <w:szCs w:val="24"/>
              </w:rPr>
            </w:pPr>
            <w:hyperlink r:id="rId326" w:history="1">
              <w:r w:rsidR="009B5AA5" w:rsidRPr="00FA3F9C">
                <w:rPr>
                  <w:rStyle w:val="Hyperlink"/>
                  <w:rFonts w:ascii="Arial" w:hAnsi="Arial" w:cs="Arial"/>
                  <w:sz w:val="24"/>
                  <w:szCs w:val="24"/>
                </w:rPr>
                <w:t>Herbst RS</w:t>
              </w:r>
            </w:hyperlink>
            <w:r w:rsidR="009B5AA5" w:rsidRPr="00FA3F9C">
              <w:rPr>
                <w:rStyle w:val="highlight"/>
                <w:rFonts w:ascii="Arial" w:hAnsi="Arial" w:cs="Arial"/>
                <w:sz w:val="24"/>
                <w:szCs w:val="24"/>
              </w:rPr>
              <w:t xml:space="preserve"> et al. Pembrolizumab</w:t>
            </w:r>
            <w:r w:rsidR="009B5AA5" w:rsidRPr="00FA3F9C">
              <w:rPr>
                <w:rFonts w:ascii="Arial" w:hAnsi="Arial" w:cs="Arial"/>
                <w:sz w:val="24"/>
                <w:szCs w:val="24"/>
              </w:rPr>
              <w:t xml:space="preserve"> versus docetaxel for previously treated, PD-L1-positive, advanced non-small-cell </w:t>
            </w:r>
            <w:r w:rsidR="009B5AA5" w:rsidRPr="00FA3F9C">
              <w:rPr>
                <w:rStyle w:val="highlight"/>
                <w:rFonts w:ascii="Arial" w:hAnsi="Arial" w:cs="Arial"/>
                <w:sz w:val="24"/>
                <w:szCs w:val="24"/>
              </w:rPr>
              <w:t>lung</w:t>
            </w:r>
            <w:r w:rsidR="009B5AA5" w:rsidRPr="00FA3F9C">
              <w:rPr>
                <w:rFonts w:ascii="Arial" w:hAnsi="Arial" w:cs="Arial"/>
                <w:sz w:val="24"/>
                <w:szCs w:val="24"/>
              </w:rPr>
              <w:t xml:space="preserve"> cancer (KEYNOTE-010): a </w:t>
            </w:r>
            <w:proofErr w:type="spellStart"/>
            <w:r w:rsidR="009B5AA5" w:rsidRPr="00FA3F9C">
              <w:rPr>
                <w:rFonts w:ascii="Arial" w:hAnsi="Arial" w:cs="Arial"/>
                <w:sz w:val="24"/>
                <w:szCs w:val="24"/>
              </w:rPr>
              <w:t>randomised</w:t>
            </w:r>
            <w:proofErr w:type="spellEnd"/>
            <w:r w:rsidR="009B5AA5" w:rsidRPr="00FA3F9C">
              <w:rPr>
                <w:rFonts w:ascii="Arial" w:hAnsi="Arial" w:cs="Arial"/>
                <w:sz w:val="24"/>
                <w:szCs w:val="24"/>
              </w:rPr>
              <w:t xml:space="preserve"> controlled trial. </w:t>
            </w:r>
            <w:hyperlink r:id="rId327" w:tooltip="Lancet (London, England)." w:history="1">
              <w:r w:rsidR="009B5AA5" w:rsidRPr="00FA3F9C">
                <w:rPr>
                  <w:rStyle w:val="Hyperlink"/>
                  <w:rFonts w:ascii="Arial" w:hAnsi="Arial" w:cs="Arial"/>
                  <w:sz w:val="24"/>
                  <w:szCs w:val="24"/>
                </w:rPr>
                <w:t>Lancet.</w:t>
              </w:r>
            </w:hyperlink>
            <w:r w:rsidR="009B5AA5" w:rsidRPr="00FA3F9C">
              <w:rPr>
                <w:rFonts w:ascii="Arial" w:hAnsi="Arial" w:cs="Arial"/>
                <w:sz w:val="24"/>
                <w:szCs w:val="24"/>
              </w:rPr>
              <w:t xml:space="preserve"> 2016 Apr 9;387(10027):1540-50. [KEYNOTE 010; NCT01905657]</w:t>
            </w:r>
          </w:p>
        </w:tc>
      </w:tr>
    </w:tbl>
    <w:p w14:paraId="31A7A4CF" w14:textId="77777777" w:rsidR="009B5AA5" w:rsidRPr="00FA3F9C" w:rsidRDefault="009B5AA5" w:rsidP="002C32D1">
      <w:pPr>
        <w:rPr>
          <w:rFonts w:ascii="Arial" w:hAnsi="Arial" w:cs="Arial"/>
          <w:b/>
          <w:sz w:val="24"/>
          <w:szCs w:val="24"/>
        </w:rPr>
      </w:pPr>
    </w:p>
    <w:p w14:paraId="076A725E" w14:textId="77777777" w:rsidR="009B5AA5" w:rsidRPr="00FA3F9C" w:rsidRDefault="009B5AA5" w:rsidP="002C32D1">
      <w:pPr>
        <w:rPr>
          <w:rFonts w:ascii="Arial" w:hAnsi="Arial" w:cs="Arial"/>
          <w:b/>
          <w:sz w:val="24"/>
          <w:szCs w:val="24"/>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68"/>
      </w:tblGrid>
      <w:tr w:rsidR="009B5AA5" w:rsidRPr="00FA3F9C" w14:paraId="655388B5" w14:textId="77777777" w:rsidTr="00920569">
        <w:tc>
          <w:tcPr>
            <w:tcW w:w="10368" w:type="dxa"/>
            <w:tcBorders>
              <w:bottom w:val="single" w:sz="4" w:space="0" w:color="auto"/>
            </w:tcBorders>
            <w:shd w:val="clear" w:color="auto" w:fill="000000"/>
          </w:tcPr>
          <w:p w14:paraId="19B23979" w14:textId="77777777" w:rsidR="009B5AA5" w:rsidRPr="00FA3F9C" w:rsidRDefault="009B5AA5" w:rsidP="00920569">
            <w:pPr>
              <w:spacing w:after="0"/>
              <w:rPr>
                <w:rFonts w:ascii="Arial" w:hAnsi="Arial" w:cs="Arial"/>
                <w:b/>
                <w:sz w:val="24"/>
                <w:szCs w:val="24"/>
                <w:u w:val="single"/>
              </w:rPr>
            </w:pPr>
            <w:bookmarkStart w:id="259" w:name="hnscc_untreated"/>
            <w:bookmarkEnd w:id="259"/>
            <w:r w:rsidRPr="00FA3F9C">
              <w:rPr>
                <w:rFonts w:ascii="Arial" w:hAnsi="Arial" w:cs="Arial"/>
                <w:sz w:val="24"/>
                <w:szCs w:val="24"/>
              </w:rPr>
              <w:br w:type="page"/>
            </w:r>
            <w:r w:rsidRPr="00FA3F9C">
              <w:rPr>
                <w:rFonts w:ascii="Arial" w:hAnsi="Arial" w:cs="Arial"/>
                <w:b/>
                <w:sz w:val="24"/>
                <w:szCs w:val="24"/>
                <w:u w:val="single"/>
              </w:rPr>
              <w:t>Head and Neck Squamous Cell Carcinoma (PREVIOUSLY UNTREATED)</w:t>
            </w:r>
          </w:p>
        </w:tc>
      </w:tr>
      <w:tr w:rsidR="009B5AA5" w:rsidRPr="00FA3F9C" w14:paraId="1D1DAD8B" w14:textId="77777777" w:rsidTr="00920569">
        <w:tc>
          <w:tcPr>
            <w:tcW w:w="10368" w:type="dxa"/>
          </w:tcPr>
          <w:p w14:paraId="50B078F8" w14:textId="77777777" w:rsidR="009B5AA5" w:rsidRPr="00FA3F9C" w:rsidRDefault="009B5AA5" w:rsidP="00FC1E85">
            <w:pPr>
              <w:pStyle w:val="ListParagraph"/>
              <w:numPr>
                <w:ilvl w:val="0"/>
                <w:numId w:val="359"/>
              </w:numPr>
              <w:spacing w:after="0" w:line="276" w:lineRule="auto"/>
              <w:ind w:left="242" w:hanging="270"/>
              <w:rPr>
                <w:rFonts w:ascii="Arial" w:hAnsi="Arial" w:cs="Arial"/>
                <w:sz w:val="24"/>
                <w:szCs w:val="24"/>
              </w:rPr>
            </w:pPr>
            <w:r w:rsidRPr="00FA3F9C">
              <w:rPr>
                <w:rFonts w:ascii="Arial" w:hAnsi="Arial" w:cs="Arial"/>
                <w:sz w:val="24"/>
                <w:szCs w:val="24"/>
              </w:rPr>
              <w:t>Diagnosis of recurrent or metastatic head and neck squamous cell carcinoma (HNSCC) that is not amenable to local therapies. [not adenocarcinoma]</w:t>
            </w:r>
          </w:p>
        </w:tc>
      </w:tr>
      <w:tr w:rsidR="009B5AA5" w:rsidRPr="00FA3F9C" w14:paraId="4A9E9EEB" w14:textId="77777777" w:rsidTr="00920569">
        <w:tc>
          <w:tcPr>
            <w:tcW w:w="10368" w:type="dxa"/>
          </w:tcPr>
          <w:p w14:paraId="1697731B" w14:textId="77777777" w:rsidR="009B5AA5" w:rsidRPr="00FA3F9C" w:rsidRDefault="009B5AA5" w:rsidP="00FC1E85">
            <w:pPr>
              <w:pStyle w:val="ListParagraph"/>
              <w:numPr>
                <w:ilvl w:val="0"/>
                <w:numId w:val="359"/>
              </w:numPr>
              <w:spacing w:after="0" w:line="276" w:lineRule="auto"/>
              <w:ind w:left="242" w:hanging="270"/>
              <w:rPr>
                <w:rFonts w:ascii="Arial" w:hAnsi="Arial" w:cs="Arial"/>
                <w:sz w:val="24"/>
                <w:szCs w:val="24"/>
              </w:rPr>
            </w:pPr>
            <w:r w:rsidRPr="00FA3F9C">
              <w:rPr>
                <w:rFonts w:ascii="Arial" w:hAnsi="Arial" w:cs="Arial"/>
                <w:sz w:val="24"/>
                <w:szCs w:val="24"/>
              </w:rPr>
              <w:t>No prior therapy for advanced/recurrent disease AND, if applicable, it has been at least 6 months since completion of curative-intent systemic therapy for locoregionally advanced HNSCC*</w:t>
            </w:r>
          </w:p>
          <w:p w14:paraId="4B27A2D5" w14:textId="77777777" w:rsidR="009B5AA5" w:rsidRPr="00FA3F9C" w:rsidRDefault="009B5AA5" w:rsidP="00CD1756">
            <w:pPr>
              <w:pStyle w:val="ListParagraph"/>
              <w:spacing w:after="0"/>
              <w:ind w:left="242"/>
              <w:rPr>
                <w:rFonts w:ascii="Arial" w:hAnsi="Arial" w:cs="Arial"/>
                <w:sz w:val="24"/>
                <w:szCs w:val="24"/>
              </w:rPr>
            </w:pPr>
            <w:r w:rsidRPr="00FA3F9C">
              <w:rPr>
                <w:rFonts w:ascii="Arial" w:hAnsi="Arial" w:cs="Arial"/>
                <w:sz w:val="24"/>
                <w:szCs w:val="24"/>
              </w:rPr>
              <w:t>*</w:t>
            </w:r>
            <w:proofErr w:type="gramStart"/>
            <w:r w:rsidRPr="00FA3F9C">
              <w:rPr>
                <w:rFonts w:ascii="Arial" w:hAnsi="Arial" w:cs="Arial"/>
                <w:sz w:val="24"/>
                <w:szCs w:val="24"/>
              </w:rPr>
              <w:t>if</w:t>
            </w:r>
            <w:proofErr w:type="gramEnd"/>
            <w:r w:rsidRPr="00FA3F9C">
              <w:rPr>
                <w:rFonts w:ascii="Arial" w:hAnsi="Arial" w:cs="Arial"/>
                <w:sz w:val="24"/>
                <w:szCs w:val="24"/>
              </w:rPr>
              <w:t xml:space="preserve"> it has been &lt;6 months since curative-intent systemic therapy, see “previously-treated” criteria</w:t>
            </w:r>
          </w:p>
        </w:tc>
      </w:tr>
      <w:tr w:rsidR="009B5AA5" w:rsidRPr="00FA3F9C" w14:paraId="319A4048" w14:textId="77777777" w:rsidTr="00920569">
        <w:tc>
          <w:tcPr>
            <w:tcW w:w="10368" w:type="dxa"/>
          </w:tcPr>
          <w:p w14:paraId="42437988" w14:textId="77777777" w:rsidR="009B5AA5" w:rsidRPr="00FA3F9C" w:rsidRDefault="009B5AA5" w:rsidP="00FC1E85">
            <w:pPr>
              <w:pStyle w:val="ListParagraph"/>
              <w:numPr>
                <w:ilvl w:val="0"/>
                <w:numId w:val="359"/>
              </w:numPr>
              <w:spacing w:after="0" w:line="276" w:lineRule="auto"/>
              <w:ind w:left="242" w:hanging="270"/>
              <w:rPr>
                <w:rFonts w:ascii="Arial" w:hAnsi="Arial" w:cs="Arial"/>
                <w:sz w:val="24"/>
                <w:szCs w:val="24"/>
              </w:rPr>
            </w:pPr>
            <w:r w:rsidRPr="00FA3F9C">
              <w:rPr>
                <w:rFonts w:ascii="Arial" w:hAnsi="Arial" w:cs="Arial"/>
                <w:sz w:val="24"/>
                <w:szCs w:val="24"/>
              </w:rPr>
              <w:t xml:space="preserve">Patient does NOT have nasopharyngeal cancer </w:t>
            </w:r>
          </w:p>
        </w:tc>
      </w:tr>
      <w:tr w:rsidR="009B5AA5" w:rsidRPr="00FA3F9C" w14:paraId="066075F2" w14:textId="77777777" w:rsidTr="00920569">
        <w:tc>
          <w:tcPr>
            <w:tcW w:w="10368" w:type="dxa"/>
          </w:tcPr>
          <w:p w14:paraId="05A0D6E3" w14:textId="77777777" w:rsidR="009B5AA5" w:rsidRPr="00FA3F9C" w:rsidRDefault="009B5AA5" w:rsidP="00FC1E85">
            <w:pPr>
              <w:pStyle w:val="ListParagraph"/>
              <w:numPr>
                <w:ilvl w:val="0"/>
                <w:numId w:val="359"/>
              </w:numPr>
              <w:spacing w:after="0" w:line="276" w:lineRule="auto"/>
              <w:ind w:left="242" w:hanging="270"/>
              <w:rPr>
                <w:rFonts w:ascii="Arial" w:hAnsi="Arial" w:cs="Arial"/>
                <w:sz w:val="24"/>
                <w:szCs w:val="24"/>
              </w:rPr>
            </w:pPr>
            <w:r w:rsidRPr="00FA3F9C">
              <w:rPr>
                <w:rFonts w:ascii="Arial" w:hAnsi="Arial" w:cs="Arial"/>
                <w:sz w:val="24"/>
                <w:szCs w:val="24"/>
              </w:rPr>
              <w:t>The patient must be ECOG performance status 0 (fully active) or 1 (ambulatory but restricted in physically strenuous activity).</w:t>
            </w:r>
          </w:p>
        </w:tc>
      </w:tr>
      <w:tr w:rsidR="009B5AA5" w:rsidRPr="00FA3F9C" w14:paraId="42731419" w14:textId="77777777" w:rsidTr="00920569">
        <w:tc>
          <w:tcPr>
            <w:tcW w:w="10368" w:type="dxa"/>
          </w:tcPr>
          <w:p w14:paraId="3D997039" w14:textId="77777777" w:rsidR="009B5AA5" w:rsidRPr="00FA3F9C" w:rsidRDefault="009B5AA5" w:rsidP="00FC1E85">
            <w:pPr>
              <w:pStyle w:val="ListParagraph"/>
              <w:numPr>
                <w:ilvl w:val="0"/>
                <w:numId w:val="359"/>
              </w:numPr>
              <w:spacing w:after="0" w:line="276" w:lineRule="auto"/>
              <w:ind w:left="242" w:hanging="270"/>
              <w:rPr>
                <w:rFonts w:ascii="Arial" w:hAnsi="Arial" w:cs="Arial"/>
                <w:sz w:val="24"/>
                <w:szCs w:val="24"/>
              </w:rPr>
            </w:pPr>
            <w:r w:rsidRPr="00FA3F9C">
              <w:rPr>
                <w:rFonts w:ascii="Arial" w:hAnsi="Arial" w:cs="Arial"/>
                <w:sz w:val="24"/>
                <w:szCs w:val="24"/>
              </w:rPr>
              <w:t xml:space="preserve">If PD-L1 Combined Positive Score (CPS) &lt;1, pembrolizumab will be used in combination with platinum and fluorouracil. If PD-L1 CPS is </w:t>
            </w:r>
            <w:r w:rsidRPr="00FA3F9C">
              <w:rPr>
                <w:rFonts w:ascii="Arial" w:hAnsi="Arial" w:cs="Arial"/>
                <w:sz w:val="24"/>
                <w:szCs w:val="24"/>
                <w:u w:val="single"/>
              </w:rPr>
              <w:t>&gt;</w:t>
            </w:r>
            <w:r w:rsidRPr="00FA3F9C">
              <w:rPr>
                <w:rFonts w:ascii="Arial" w:hAnsi="Arial" w:cs="Arial"/>
                <w:sz w:val="24"/>
                <w:szCs w:val="24"/>
              </w:rPr>
              <w:t>1, pembrolizumab may be used as monotherapy.</w:t>
            </w:r>
          </w:p>
        </w:tc>
      </w:tr>
      <w:tr w:rsidR="009B5AA5" w:rsidRPr="00FA3F9C" w14:paraId="73288F73" w14:textId="77777777" w:rsidTr="00920569">
        <w:trPr>
          <w:trHeight w:val="278"/>
        </w:trPr>
        <w:tc>
          <w:tcPr>
            <w:tcW w:w="10368" w:type="dxa"/>
          </w:tcPr>
          <w:p w14:paraId="53D6D14E" w14:textId="77777777" w:rsidR="009B5AA5" w:rsidRPr="00FA3F9C" w:rsidRDefault="009B5AA5" w:rsidP="00920569">
            <w:pPr>
              <w:spacing w:after="0"/>
              <w:rPr>
                <w:rFonts w:ascii="Arial" w:hAnsi="Arial" w:cs="Arial"/>
                <w:sz w:val="24"/>
                <w:szCs w:val="24"/>
              </w:rPr>
            </w:pPr>
            <w:r w:rsidRPr="00FA3F9C">
              <w:rPr>
                <w:rFonts w:ascii="Arial" w:hAnsi="Arial" w:cs="Arial"/>
                <w:b/>
                <w:sz w:val="24"/>
                <w:szCs w:val="24"/>
              </w:rPr>
              <w:t>If all criteria fulfilled, approve for 12 months</w:t>
            </w:r>
          </w:p>
        </w:tc>
      </w:tr>
      <w:tr w:rsidR="009B5AA5" w:rsidRPr="00FA3F9C" w14:paraId="7D475CED" w14:textId="77777777" w:rsidTr="00920569">
        <w:tc>
          <w:tcPr>
            <w:tcW w:w="10368" w:type="dxa"/>
            <w:tcBorders>
              <w:bottom w:val="single" w:sz="4" w:space="0" w:color="auto"/>
            </w:tcBorders>
            <w:shd w:val="clear" w:color="auto" w:fill="000000" w:themeFill="text1"/>
          </w:tcPr>
          <w:p w14:paraId="7614211D" w14:textId="77777777" w:rsidR="009B5AA5" w:rsidRPr="00FA3F9C" w:rsidRDefault="009B5AA5" w:rsidP="00920569">
            <w:pPr>
              <w:spacing w:after="0"/>
              <w:rPr>
                <w:rFonts w:ascii="Arial" w:hAnsi="Arial" w:cs="Arial"/>
                <w:sz w:val="24"/>
                <w:szCs w:val="24"/>
              </w:rPr>
            </w:pPr>
            <w:r w:rsidRPr="00FA3F9C">
              <w:rPr>
                <w:rFonts w:ascii="Arial" w:hAnsi="Arial" w:cs="Arial"/>
                <w:b/>
                <w:sz w:val="24"/>
                <w:szCs w:val="24"/>
                <w:u w:val="single"/>
              </w:rPr>
              <w:t>Criteria for continuation</w:t>
            </w:r>
          </w:p>
        </w:tc>
      </w:tr>
      <w:tr w:rsidR="009B5AA5" w:rsidRPr="00FA3F9C" w14:paraId="6090FCB7" w14:textId="77777777" w:rsidTr="00920569">
        <w:tc>
          <w:tcPr>
            <w:tcW w:w="10368" w:type="dxa"/>
          </w:tcPr>
          <w:p w14:paraId="35C4F8FE" w14:textId="77777777" w:rsidR="009B5AA5" w:rsidRPr="00FA3F9C" w:rsidRDefault="009B5AA5" w:rsidP="00920569">
            <w:pPr>
              <w:spacing w:after="0"/>
              <w:rPr>
                <w:rFonts w:ascii="Arial" w:hAnsi="Arial" w:cs="Arial"/>
                <w:sz w:val="24"/>
                <w:szCs w:val="24"/>
              </w:rPr>
            </w:pPr>
            <w:r w:rsidRPr="00FA3F9C">
              <w:rPr>
                <w:rFonts w:ascii="Arial" w:hAnsi="Arial" w:cs="Arial"/>
                <w:sz w:val="24"/>
                <w:szCs w:val="24"/>
              </w:rPr>
              <w:t>No disease progression</w:t>
            </w:r>
          </w:p>
        </w:tc>
      </w:tr>
      <w:tr w:rsidR="009B5AA5" w:rsidRPr="00FA3F9C" w14:paraId="5713D684" w14:textId="77777777" w:rsidTr="00920569">
        <w:tc>
          <w:tcPr>
            <w:tcW w:w="10368" w:type="dxa"/>
          </w:tcPr>
          <w:p w14:paraId="353BED85" w14:textId="77777777" w:rsidR="009B5AA5" w:rsidRPr="00FA3F9C" w:rsidRDefault="009B5AA5" w:rsidP="00920569">
            <w:pPr>
              <w:spacing w:after="0"/>
              <w:rPr>
                <w:rFonts w:ascii="Arial" w:hAnsi="Arial" w:cs="Arial"/>
                <w:sz w:val="24"/>
                <w:szCs w:val="24"/>
              </w:rPr>
            </w:pPr>
            <w:r w:rsidRPr="00FA3F9C">
              <w:rPr>
                <w:rFonts w:ascii="Arial" w:hAnsi="Arial" w:cs="Arial"/>
                <w:sz w:val="24"/>
                <w:szCs w:val="24"/>
              </w:rPr>
              <w:lastRenderedPageBreak/>
              <w:t>No unacceptable toxicity</w:t>
            </w:r>
          </w:p>
        </w:tc>
      </w:tr>
      <w:tr w:rsidR="009B5AA5" w:rsidRPr="00FA3F9C" w14:paraId="7B7420CD" w14:textId="77777777" w:rsidTr="00920569">
        <w:tc>
          <w:tcPr>
            <w:tcW w:w="10368" w:type="dxa"/>
          </w:tcPr>
          <w:p w14:paraId="2F195F92" w14:textId="77777777" w:rsidR="009B5AA5" w:rsidRPr="00FA3F9C" w:rsidRDefault="009B5AA5" w:rsidP="00920569">
            <w:pPr>
              <w:spacing w:after="0"/>
              <w:rPr>
                <w:rFonts w:ascii="Arial" w:hAnsi="Arial" w:cs="Arial"/>
                <w:sz w:val="24"/>
                <w:szCs w:val="24"/>
              </w:rPr>
            </w:pPr>
            <w:r w:rsidRPr="00FA3F9C">
              <w:rPr>
                <w:rFonts w:ascii="Arial" w:hAnsi="Arial" w:cs="Arial"/>
                <w:b/>
                <w:sz w:val="24"/>
                <w:szCs w:val="24"/>
              </w:rPr>
              <w:t xml:space="preserve">If </w:t>
            </w:r>
            <w:proofErr w:type="gramStart"/>
            <w:r w:rsidRPr="00FA3F9C">
              <w:rPr>
                <w:rFonts w:ascii="Arial" w:hAnsi="Arial" w:cs="Arial"/>
                <w:b/>
                <w:sz w:val="24"/>
                <w:szCs w:val="24"/>
              </w:rPr>
              <w:t>both of the continuation</w:t>
            </w:r>
            <w:proofErr w:type="gramEnd"/>
            <w:r w:rsidRPr="00FA3F9C">
              <w:rPr>
                <w:rFonts w:ascii="Arial" w:hAnsi="Arial" w:cs="Arial"/>
                <w:b/>
                <w:sz w:val="24"/>
                <w:szCs w:val="24"/>
              </w:rPr>
              <w:t xml:space="preserve"> criteria are fulfilled, approve for 12 months. </w:t>
            </w:r>
          </w:p>
        </w:tc>
      </w:tr>
      <w:tr w:rsidR="009B5AA5" w:rsidRPr="00FA3F9C" w14:paraId="3E29F247" w14:textId="77777777" w:rsidTr="00C83D25">
        <w:tc>
          <w:tcPr>
            <w:tcW w:w="10368" w:type="dxa"/>
            <w:shd w:val="clear" w:color="auto" w:fill="BFBFBF" w:themeFill="background1" w:themeFillShade="BF"/>
          </w:tcPr>
          <w:p w14:paraId="311B6497" w14:textId="77777777" w:rsidR="009B5AA5" w:rsidRPr="00FA3F9C" w:rsidRDefault="009B5AA5" w:rsidP="00920569">
            <w:pPr>
              <w:spacing w:after="0" w:line="240" w:lineRule="auto"/>
              <w:rPr>
                <w:rFonts w:ascii="Arial" w:hAnsi="Arial" w:cs="Arial"/>
                <w:sz w:val="24"/>
                <w:szCs w:val="24"/>
              </w:rPr>
            </w:pPr>
            <w:r w:rsidRPr="00FA3F9C">
              <w:rPr>
                <w:rFonts w:ascii="Arial" w:hAnsi="Arial" w:cs="Arial"/>
                <w:sz w:val="24"/>
                <w:szCs w:val="24"/>
              </w:rPr>
              <w:t xml:space="preserve">Note:  </w:t>
            </w:r>
          </w:p>
          <w:p w14:paraId="02EEC21C" w14:textId="77777777" w:rsidR="009B5AA5" w:rsidRPr="00FA3F9C" w:rsidRDefault="009B5AA5" w:rsidP="00920569">
            <w:pPr>
              <w:spacing w:after="0" w:line="240" w:lineRule="auto"/>
              <w:rPr>
                <w:rFonts w:ascii="Arial" w:hAnsi="Arial" w:cs="Arial"/>
                <w:sz w:val="24"/>
                <w:szCs w:val="24"/>
              </w:rPr>
            </w:pPr>
            <w:r w:rsidRPr="00FA3F9C">
              <w:rPr>
                <w:rFonts w:ascii="Arial" w:hAnsi="Arial" w:cs="Arial"/>
                <w:sz w:val="24"/>
                <w:szCs w:val="24"/>
              </w:rPr>
              <w:t xml:space="preserve">-KEYNOTE-048 (N=822) included patients with advanced/metastatic disease, any PD-L1 level, no prior therapy. Patients were randomized to three treatment groups (see below). Chemo was given x 6 cycles and the monoclonal antibodies were given until progression of disease. </w:t>
            </w:r>
          </w:p>
          <w:p w14:paraId="1C996A11" w14:textId="77777777" w:rsidR="009B5AA5" w:rsidRPr="00FA3F9C" w:rsidRDefault="009B5AA5" w:rsidP="00FC1E85">
            <w:pPr>
              <w:pStyle w:val="ListParagraph"/>
              <w:numPr>
                <w:ilvl w:val="0"/>
                <w:numId w:val="423"/>
              </w:numPr>
              <w:spacing w:after="200" w:line="276" w:lineRule="auto"/>
              <w:ind w:left="245" w:hanging="155"/>
              <w:rPr>
                <w:rFonts w:ascii="Arial" w:hAnsi="Arial" w:cs="Arial"/>
                <w:b/>
                <w:sz w:val="24"/>
                <w:szCs w:val="24"/>
              </w:rPr>
            </w:pPr>
            <w:r w:rsidRPr="00FA3F9C">
              <w:rPr>
                <w:rFonts w:ascii="Arial" w:hAnsi="Arial" w:cs="Arial"/>
                <w:sz w:val="24"/>
                <w:szCs w:val="24"/>
              </w:rPr>
              <w:t xml:space="preserve">Among all patients, pembrolizumab/chemo has similar rates of severe toxicity as cetuximab/chemo, and </w:t>
            </w:r>
            <w:proofErr w:type="spellStart"/>
            <w:r w:rsidRPr="00FA3F9C">
              <w:rPr>
                <w:rFonts w:ascii="Arial" w:hAnsi="Arial" w:cs="Arial"/>
                <w:sz w:val="24"/>
                <w:szCs w:val="24"/>
              </w:rPr>
              <w:t>pembro</w:t>
            </w:r>
            <w:proofErr w:type="spellEnd"/>
            <w:r w:rsidRPr="00FA3F9C">
              <w:rPr>
                <w:rFonts w:ascii="Arial" w:hAnsi="Arial" w:cs="Arial"/>
                <w:sz w:val="24"/>
                <w:szCs w:val="24"/>
              </w:rPr>
              <w:t xml:space="preserve">/chemo is associated with modest 2.3 </w:t>
            </w:r>
            <w:proofErr w:type="spellStart"/>
            <w:r w:rsidRPr="00FA3F9C">
              <w:rPr>
                <w:rFonts w:ascii="Arial" w:hAnsi="Arial" w:cs="Arial"/>
                <w:sz w:val="24"/>
                <w:szCs w:val="24"/>
              </w:rPr>
              <w:t>mo</w:t>
            </w:r>
            <w:proofErr w:type="spellEnd"/>
            <w:r w:rsidRPr="00FA3F9C">
              <w:rPr>
                <w:rFonts w:ascii="Arial" w:hAnsi="Arial" w:cs="Arial"/>
                <w:sz w:val="24"/>
                <w:szCs w:val="24"/>
              </w:rPr>
              <w:t xml:space="preserve"> benefit in OS. Monthly cost of maintenance pembrolizumab is </w:t>
            </w:r>
            <w:proofErr w:type="gramStart"/>
            <w:r w:rsidRPr="00FA3F9C">
              <w:rPr>
                <w:rFonts w:ascii="Arial" w:hAnsi="Arial" w:cs="Arial"/>
                <w:sz w:val="24"/>
                <w:szCs w:val="24"/>
              </w:rPr>
              <w:t>similar to</w:t>
            </w:r>
            <w:proofErr w:type="gramEnd"/>
            <w:r w:rsidRPr="00FA3F9C">
              <w:rPr>
                <w:rFonts w:ascii="Arial" w:hAnsi="Arial" w:cs="Arial"/>
                <w:sz w:val="24"/>
                <w:szCs w:val="24"/>
              </w:rPr>
              <w:t xml:space="preserve"> cetuximab, so EBRx will cover.</w:t>
            </w:r>
          </w:p>
          <w:p w14:paraId="4486C301" w14:textId="77777777" w:rsidR="009B5AA5" w:rsidRPr="00FA3F9C" w:rsidRDefault="009B5AA5" w:rsidP="00FC1E85">
            <w:pPr>
              <w:pStyle w:val="ListParagraph"/>
              <w:numPr>
                <w:ilvl w:val="0"/>
                <w:numId w:val="423"/>
              </w:numPr>
              <w:spacing w:after="0" w:line="240" w:lineRule="auto"/>
              <w:ind w:left="245" w:hanging="155"/>
              <w:rPr>
                <w:rFonts w:ascii="Arial" w:hAnsi="Arial" w:cs="Arial"/>
                <w:sz w:val="24"/>
                <w:szCs w:val="24"/>
              </w:rPr>
            </w:pPr>
            <w:r w:rsidRPr="00FA3F9C">
              <w:rPr>
                <w:rFonts w:ascii="Arial" w:hAnsi="Arial" w:cs="Arial"/>
                <w:sz w:val="24"/>
                <w:szCs w:val="24"/>
              </w:rPr>
              <w:t xml:space="preserve">Due to less toxicity and modest improvement in OS, EBRx will cover pembrolizumab monotherapy </w:t>
            </w:r>
            <w:r w:rsidRPr="00FA3F9C">
              <w:rPr>
                <w:rFonts w:ascii="Arial" w:hAnsi="Arial" w:cs="Arial"/>
                <w:b/>
                <w:sz w:val="24"/>
                <w:szCs w:val="24"/>
                <w:u w:val="single"/>
              </w:rPr>
              <w:t>if</w:t>
            </w:r>
            <w:r w:rsidRPr="00FA3F9C">
              <w:rPr>
                <w:rFonts w:ascii="Arial" w:hAnsi="Arial" w:cs="Arial"/>
                <w:sz w:val="24"/>
                <w:szCs w:val="24"/>
              </w:rPr>
              <w:t xml:space="preserve"> PD-L1 </w:t>
            </w:r>
            <w:r w:rsidRPr="00FA3F9C">
              <w:rPr>
                <w:rFonts w:ascii="Arial" w:hAnsi="Arial" w:cs="Arial"/>
                <w:sz w:val="24"/>
                <w:szCs w:val="24"/>
                <w:u w:val="single"/>
              </w:rPr>
              <w:t>&gt;</w:t>
            </w:r>
            <w:r w:rsidRPr="00FA3F9C">
              <w:rPr>
                <w:rFonts w:ascii="Arial" w:hAnsi="Arial" w:cs="Arial"/>
                <w:sz w:val="24"/>
                <w:szCs w:val="24"/>
              </w:rPr>
              <w:t>1.</w:t>
            </w:r>
          </w:p>
          <w:tbl>
            <w:tblPr>
              <w:tblStyle w:val="TableGrid"/>
              <w:tblpPr w:leftFromText="180" w:rightFromText="180" w:vertAnchor="text" w:horzAnchor="margin" w:tblpXSpec="center" w:tblpY="150"/>
              <w:tblOverlap w:val="never"/>
              <w:tblW w:w="0" w:type="auto"/>
              <w:tblLayout w:type="fixed"/>
              <w:tblLook w:val="04A0" w:firstRow="1" w:lastRow="0" w:firstColumn="1" w:lastColumn="0" w:noHBand="0" w:noVBand="1"/>
            </w:tblPr>
            <w:tblGrid>
              <w:gridCol w:w="1525"/>
              <w:gridCol w:w="972"/>
              <w:gridCol w:w="2088"/>
              <w:gridCol w:w="2160"/>
              <w:gridCol w:w="1150"/>
              <w:gridCol w:w="2610"/>
            </w:tblGrid>
            <w:tr w:rsidR="009B5AA5" w:rsidRPr="00FA3F9C" w14:paraId="2399CE53" w14:textId="77777777" w:rsidTr="00920569">
              <w:trPr>
                <w:trHeight w:val="320"/>
              </w:trPr>
              <w:tc>
                <w:tcPr>
                  <w:tcW w:w="10505" w:type="dxa"/>
                  <w:gridSpan w:val="6"/>
                  <w:shd w:val="clear" w:color="auto" w:fill="D9D9D9" w:themeFill="background1" w:themeFillShade="D9"/>
                  <w:vAlign w:val="center"/>
                </w:tcPr>
                <w:p w14:paraId="00F3CA05" w14:textId="77777777" w:rsidR="009B5AA5" w:rsidRPr="00FA3F9C" w:rsidRDefault="009B5AA5" w:rsidP="00C83D25">
                  <w:pPr>
                    <w:rPr>
                      <w:rFonts w:ascii="Arial" w:hAnsi="Arial" w:cs="Arial"/>
                      <w:b/>
                      <w:sz w:val="24"/>
                      <w:szCs w:val="24"/>
                    </w:rPr>
                  </w:pPr>
                  <w:r w:rsidRPr="00FA3F9C">
                    <w:rPr>
                      <w:rFonts w:ascii="Arial" w:hAnsi="Arial" w:cs="Arial"/>
                      <w:b/>
                      <w:sz w:val="24"/>
                      <w:szCs w:val="24"/>
                    </w:rPr>
                    <w:t>Overall survival</w:t>
                  </w:r>
                </w:p>
              </w:tc>
            </w:tr>
            <w:tr w:rsidR="009B5AA5" w:rsidRPr="00FA3F9C" w14:paraId="055C1353" w14:textId="77777777" w:rsidTr="00C83D25">
              <w:trPr>
                <w:trHeight w:val="320"/>
              </w:trPr>
              <w:tc>
                <w:tcPr>
                  <w:tcW w:w="1525" w:type="dxa"/>
                  <w:shd w:val="clear" w:color="auto" w:fill="F2F2F2" w:themeFill="background1" w:themeFillShade="F2"/>
                </w:tcPr>
                <w:p w14:paraId="5E8D1BF2" w14:textId="77777777" w:rsidR="009B5AA5" w:rsidRPr="00FA3F9C" w:rsidRDefault="009B5AA5" w:rsidP="00C83D25">
                  <w:pPr>
                    <w:rPr>
                      <w:rFonts w:ascii="Arial" w:hAnsi="Arial" w:cs="Arial"/>
                      <w:sz w:val="24"/>
                      <w:szCs w:val="24"/>
                    </w:rPr>
                  </w:pPr>
                </w:p>
              </w:tc>
              <w:tc>
                <w:tcPr>
                  <w:tcW w:w="5220" w:type="dxa"/>
                  <w:gridSpan w:val="3"/>
                  <w:shd w:val="clear" w:color="auto" w:fill="F2F2F2" w:themeFill="background1" w:themeFillShade="F2"/>
                  <w:vAlign w:val="center"/>
                </w:tcPr>
                <w:p w14:paraId="6675F76E" w14:textId="77777777" w:rsidR="009B5AA5" w:rsidRPr="00FA3F9C" w:rsidRDefault="009B5AA5" w:rsidP="00C83D25">
                  <w:pPr>
                    <w:jc w:val="center"/>
                    <w:rPr>
                      <w:rFonts w:ascii="Arial" w:hAnsi="Arial" w:cs="Arial"/>
                      <w:sz w:val="24"/>
                      <w:szCs w:val="24"/>
                    </w:rPr>
                  </w:pPr>
                  <w:r w:rsidRPr="00FA3F9C">
                    <w:rPr>
                      <w:rFonts w:ascii="Arial" w:hAnsi="Arial" w:cs="Arial"/>
                      <w:sz w:val="24"/>
                      <w:szCs w:val="24"/>
                    </w:rPr>
                    <w:t>Overall survival (median, months)</w:t>
                  </w:r>
                </w:p>
              </w:tc>
              <w:tc>
                <w:tcPr>
                  <w:tcW w:w="1150" w:type="dxa"/>
                  <w:vMerge w:val="restart"/>
                  <w:shd w:val="clear" w:color="auto" w:fill="F2F2F2" w:themeFill="background1" w:themeFillShade="F2"/>
                  <w:vAlign w:val="center"/>
                </w:tcPr>
                <w:p w14:paraId="56A21751" w14:textId="77777777" w:rsidR="009B5AA5" w:rsidRPr="00FA3F9C" w:rsidRDefault="009B5AA5" w:rsidP="00C83D25">
                  <w:pPr>
                    <w:jc w:val="center"/>
                    <w:rPr>
                      <w:rFonts w:ascii="Arial" w:hAnsi="Arial" w:cs="Arial"/>
                      <w:sz w:val="24"/>
                      <w:szCs w:val="24"/>
                    </w:rPr>
                  </w:pPr>
                  <w:r w:rsidRPr="00FA3F9C">
                    <w:rPr>
                      <w:rFonts w:ascii="Arial" w:hAnsi="Arial" w:cs="Arial"/>
                      <w:sz w:val="24"/>
                      <w:szCs w:val="24"/>
                    </w:rPr>
                    <w:t>Difference (</w:t>
                  </w:r>
                  <w:proofErr w:type="spellStart"/>
                  <w:r w:rsidRPr="00FA3F9C">
                    <w:rPr>
                      <w:rFonts w:ascii="Arial" w:hAnsi="Arial" w:cs="Arial"/>
                      <w:sz w:val="24"/>
                      <w:szCs w:val="24"/>
                    </w:rPr>
                    <w:t>mo</w:t>
                  </w:r>
                  <w:proofErr w:type="spellEnd"/>
                  <w:r w:rsidRPr="00FA3F9C">
                    <w:rPr>
                      <w:rFonts w:ascii="Arial" w:hAnsi="Arial" w:cs="Arial"/>
                      <w:sz w:val="24"/>
                      <w:szCs w:val="24"/>
                    </w:rPr>
                    <w:t>)</w:t>
                  </w:r>
                </w:p>
              </w:tc>
              <w:tc>
                <w:tcPr>
                  <w:tcW w:w="2610" w:type="dxa"/>
                  <w:vMerge w:val="restart"/>
                  <w:shd w:val="clear" w:color="auto" w:fill="F2F2F2" w:themeFill="background1" w:themeFillShade="F2"/>
                  <w:vAlign w:val="center"/>
                </w:tcPr>
                <w:p w14:paraId="23656EE5" w14:textId="77777777" w:rsidR="009B5AA5" w:rsidRPr="00FA3F9C" w:rsidRDefault="009B5AA5" w:rsidP="00C83D25">
                  <w:pPr>
                    <w:jc w:val="center"/>
                    <w:rPr>
                      <w:rFonts w:ascii="Arial" w:hAnsi="Arial" w:cs="Arial"/>
                      <w:sz w:val="24"/>
                      <w:szCs w:val="24"/>
                    </w:rPr>
                  </w:pPr>
                  <w:r w:rsidRPr="00FA3F9C">
                    <w:rPr>
                      <w:rFonts w:ascii="Arial" w:hAnsi="Arial" w:cs="Arial"/>
                      <w:sz w:val="24"/>
                      <w:szCs w:val="24"/>
                    </w:rPr>
                    <w:t>HR, 95% CI</w:t>
                  </w:r>
                </w:p>
              </w:tc>
            </w:tr>
            <w:tr w:rsidR="009B5AA5" w:rsidRPr="00FA3F9C" w14:paraId="5C7BBE22" w14:textId="77777777" w:rsidTr="00C83D25">
              <w:trPr>
                <w:trHeight w:val="320"/>
              </w:trPr>
              <w:tc>
                <w:tcPr>
                  <w:tcW w:w="1525" w:type="dxa"/>
                  <w:shd w:val="clear" w:color="auto" w:fill="F2F2F2" w:themeFill="background1" w:themeFillShade="F2"/>
                </w:tcPr>
                <w:p w14:paraId="385DF93F" w14:textId="77777777" w:rsidR="009B5AA5" w:rsidRPr="00FA3F9C" w:rsidRDefault="009B5AA5" w:rsidP="00C83D25">
                  <w:pPr>
                    <w:rPr>
                      <w:rFonts w:ascii="Arial" w:hAnsi="Arial" w:cs="Arial"/>
                      <w:sz w:val="24"/>
                      <w:szCs w:val="24"/>
                    </w:rPr>
                  </w:pPr>
                </w:p>
              </w:tc>
              <w:tc>
                <w:tcPr>
                  <w:tcW w:w="972" w:type="dxa"/>
                  <w:shd w:val="clear" w:color="auto" w:fill="F2F2F2" w:themeFill="background1" w:themeFillShade="F2"/>
                </w:tcPr>
                <w:p w14:paraId="082FB22B" w14:textId="77777777" w:rsidR="009B5AA5" w:rsidRPr="00FA3F9C" w:rsidRDefault="009B5AA5" w:rsidP="00C83D25">
                  <w:pPr>
                    <w:rPr>
                      <w:rFonts w:ascii="Arial" w:hAnsi="Arial" w:cs="Arial"/>
                      <w:sz w:val="24"/>
                      <w:szCs w:val="24"/>
                    </w:rPr>
                  </w:pPr>
                  <w:proofErr w:type="spellStart"/>
                  <w:r w:rsidRPr="00FA3F9C">
                    <w:rPr>
                      <w:rFonts w:ascii="Arial" w:hAnsi="Arial" w:cs="Arial"/>
                      <w:sz w:val="24"/>
                      <w:szCs w:val="24"/>
                    </w:rPr>
                    <w:t>Pembro</w:t>
                  </w:r>
                  <w:proofErr w:type="spellEnd"/>
                </w:p>
              </w:tc>
              <w:tc>
                <w:tcPr>
                  <w:tcW w:w="2088" w:type="dxa"/>
                  <w:shd w:val="clear" w:color="auto" w:fill="F2F2F2" w:themeFill="background1" w:themeFillShade="F2"/>
                </w:tcPr>
                <w:p w14:paraId="28D2CBA7" w14:textId="77777777" w:rsidR="009B5AA5" w:rsidRPr="00FA3F9C" w:rsidRDefault="009B5AA5" w:rsidP="00C83D25">
                  <w:pPr>
                    <w:rPr>
                      <w:rFonts w:ascii="Arial" w:hAnsi="Arial" w:cs="Arial"/>
                      <w:sz w:val="24"/>
                      <w:szCs w:val="24"/>
                    </w:rPr>
                  </w:pPr>
                  <w:proofErr w:type="spellStart"/>
                  <w:r w:rsidRPr="00FA3F9C">
                    <w:rPr>
                      <w:rFonts w:ascii="Arial" w:hAnsi="Arial" w:cs="Arial"/>
                      <w:sz w:val="24"/>
                      <w:szCs w:val="24"/>
                    </w:rPr>
                    <w:t>Pembro</w:t>
                  </w:r>
                  <w:proofErr w:type="spellEnd"/>
                  <w:r w:rsidRPr="00FA3F9C">
                    <w:rPr>
                      <w:rFonts w:ascii="Arial" w:hAnsi="Arial" w:cs="Arial"/>
                      <w:sz w:val="24"/>
                      <w:szCs w:val="24"/>
                    </w:rPr>
                    <w:t>/chemo</w:t>
                  </w:r>
                </w:p>
              </w:tc>
              <w:tc>
                <w:tcPr>
                  <w:tcW w:w="2160" w:type="dxa"/>
                  <w:shd w:val="clear" w:color="auto" w:fill="F2F2F2" w:themeFill="background1" w:themeFillShade="F2"/>
                </w:tcPr>
                <w:p w14:paraId="39DB89B4" w14:textId="77777777" w:rsidR="009B5AA5" w:rsidRPr="00FA3F9C" w:rsidRDefault="009B5AA5" w:rsidP="00C83D25">
                  <w:pPr>
                    <w:rPr>
                      <w:rFonts w:ascii="Arial" w:hAnsi="Arial" w:cs="Arial"/>
                      <w:sz w:val="24"/>
                      <w:szCs w:val="24"/>
                    </w:rPr>
                  </w:pPr>
                  <w:r w:rsidRPr="00FA3F9C">
                    <w:rPr>
                      <w:rFonts w:ascii="Arial" w:hAnsi="Arial" w:cs="Arial"/>
                      <w:sz w:val="24"/>
                      <w:szCs w:val="24"/>
                    </w:rPr>
                    <w:t>Cetuximab/chemo</w:t>
                  </w:r>
                </w:p>
              </w:tc>
              <w:tc>
                <w:tcPr>
                  <w:tcW w:w="1150" w:type="dxa"/>
                  <w:vMerge/>
                  <w:shd w:val="clear" w:color="auto" w:fill="F2F2F2" w:themeFill="background1" w:themeFillShade="F2"/>
                </w:tcPr>
                <w:p w14:paraId="363E9588" w14:textId="77777777" w:rsidR="009B5AA5" w:rsidRPr="00FA3F9C" w:rsidRDefault="009B5AA5" w:rsidP="00C83D25">
                  <w:pPr>
                    <w:rPr>
                      <w:rFonts w:ascii="Arial" w:hAnsi="Arial" w:cs="Arial"/>
                      <w:sz w:val="24"/>
                      <w:szCs w:val="24"/>
                    </w:rPr>
                  </w:pPr>
                </w:p>
              </w:tc>
              <w:tc>
                <w:tcPr>
                  <w:tcW w:w="2610" w:type="dxa"/>
                  <w:vMerge/>
                  <w:shd w:val="clear" w:color="auto" w:fill="F2F2F2" w:themeFill="background1" w:themeFillShade="F2"/>
                </w:tcPr>
                <w:p w14:paraId="19FB65C4" w14:textId="77777777" w:rsidR="009B5AA5" w:rsidRPr="00FA3F9C" w:rsidRDefault="009B5AA5" w:rsidP="00C83D25">
                  <w:pPr>
                    <w:rPr>
                      <w:rFonts w:ascii="Arial" w:hAnsi="Arial" w:cs="Arial"/>
                      <w:sz w:val="24"/>
                      <w:szCs w:val="24"/>
                    </w:rPr>
                  </w:pPr>
                </w:p>
              </w:tc>
            </w:tr>
            <w:tr w:rsidR="009B5AA5" w:rsidRPr="00FA3F9C" w14:paraId="23F1F05F" w14:textId="77777777" w:rsidTr="00C83D25">
              <w:trPr>
                <w:trHeight w:val="320"/>
              </w:trPr>
              <w:tc>
                <w:tcPr>
                  <w:tcW w:w="1525" w:type="dxa"/>
                  <w:shd w:val="clear" w:color="auto" w:fill="F2F2F2" w:themeFill="background1" w:themeFillShade="F2"/>
                </w:tcPr>
                <w:p w14:paraId="123A0575" w14:textId="77777777" w:rsidR="009B5AA5" w:rsidRPr="00FA3F9C" w:rsidRDefault="009B5AA5" w:rsidP="00C83D25">
                  <w:pPr>
                    <w:rPr>
                      <w:rFonts w:ascii="Arial" w:hAnsi="Arial" w:cs="Arial"/>
                      <w:sz w:val="24"/>
                      <w:szCs w:val="24"/>
                    </w:rPr>
                  </w:pPr>
                  <w:r w:rsidRPr="00FA3F9C">
                    <w:rPr>
                      <w:rFonts w:ascii="Arial" w:hAnsi="Arial" w:cs="Arial"/>
                      <w:sz w:val="24"/>
                      <w:szCs w:val="24"/>
                    </w:rPr>
                    <w:t>All patients</w:t>
                  </w:r>
                </w:p>
              </w:tc>
              <w:tc>
                <w:tcPr>
                  <w:tcW w:w="972" w:type="dxa"/>
                  <w:shd w:val="clear" w:color="auto" w:fill="F2F2F2" w:themeFill="background1" w:themeFillShade="F2"/>
                  <w:vAlign w:val="center"/>
                </w:tcPr>
                <w:p w14:paraId="56F00A95" w14:textId="77777777" w:rsidR="009B5AA5" w:rsidRPr="00FA3F9C" w:rsidRDefault="009B5AA5" w:rsidP="00C83D25">
                  <w:pPr>
                    <w:jc w:val="center"/>
                    <w:rPr>
                      <w:rFonts w:ascii="Arial" w:hAnsi="Arial" w:cs="Arial"/>
                      <w:sz w:val="24"/>
                      <w:szCs w:val="24"/>
                    </w:rPr>
                  </w:pPr>
                  <w:r w:rsidRPr="00FA3F9C">
                    <w:rPr>
                      <w:rFonts w:ascii="Arial" w:hAnsi="Arial" w:cs="Arial"/>
                      <w:sz w:val="24"/>
                      <w:szCs w:val="24"/>
                    </w:rPr>
                    <w:t>--</w:t>
                  </w:r>
                </w:p>
              </w:tc>
              <w:tc>
                <w:tcPr>
                  <w:tcW w:w="2088" w:type="dxa"/>
                  <w:shd w:val="clear" w:color="auto" w:fill="F2F2F2" w:themeFill="background1" w:themeFillShade="F2"/>
                  <w:vAlign w:val="center"/>
                </w:tcPr>
                <w:p w14:paraId="51D2CEFE" w14:textId="77777777" w:rsidR="009B5AA5" w:rsidRPr="00FA3F9C" w:rsidRDefault="009B5AA5" w:rsidP="00C83D25">
                  <w:pPr>
                    <w:jc w:val="center"/>
                    <w:rPr>
                      <w:rFonts w:ascii="Arial" w:hAnsi="Arial" w:cs="Arial"/>
                      <w:sz w:val="24"/>
                      <w:szCs w:val="24"/>
                    </w:rPr>
                  </w:pPr>
                  <w:r w:rsidRPr="00FA3F9C">
                    <w:rPr>
                      <w:rFonts w:ascii="Arial" w:hAnsi="Arial" w:cs="Arial"/>
                      <w:sz w:val="24"/>
                      <w:szCs w:val="24"/>
                    </w:rPr>
                    <w:t>13</w:t>
                  </w:r>
                </w:p>
              </w:tc>
              <w:tc>
                <w:tcPr>
                  <w:tcW w:w="2160" w:type="dxa"/>
                  <w:shd w:val="clear" w:color="auto" w:fill="F2F2F2" w:themeFill="background1" w:themeFillShade="F2"/>
                  <w:vAlign w:val="center"/>
                </w:tcPr>
                <w:p w14:paraId="1F5BD073" w14:textId="77777777" w:rsidR="009B5AA5" w:rsidRPr="00FA3F9C" w:rsidRDefault="009B5AA5" w:rsidP="00C83D25">
                  <w:pPr>
                    <w:jc w:val="center"/>
                    <w:rPr>
                      <w:rFonts w:ascii="Arial" w:hAnsi="Arial" w:cs="Arial"/>
                      <w:sz w:val="24"/>
                      <w:szCs w:val="24"/>
                    </w:rPr>
                  </w:pPr>
                  <w:r w:rsidRPr="00FA3F9C">
                    <w:rPr>
                      <w:rFonts w:ascii="Arial" w:hAnsi="Arial" w:cs="Arial"/>
                      <w:sz w:val="24"/>
                      <w:szCs w:val="24"/>
                    </w:rPr>
                    <w:t>10.7</w:t>
                  </w:r>
                </w:p>
              </w:tc>
              <w:tc>
                <w:tcPr>
                  <w:tcW w:w="1150" w:type="dxa"/>
                  <w:shd w:val="clear" w:color="auto" w:fill="F2F2F2" w:themeFill="background1" w:themeFillShade="F2"/>
                  <w:vAlign w:val="center"/>
                </w:tcPr>
                <w:p w14:paraId="20588E04" w14:textId="77777777" w:rsidR="009B5AA5" w:rsidRPr="00FA3F9C" w:rsidRDefault="009B5AA5" w:rsidP="00C83D25">
                  <w:pPr>
                    <w:jc w:val="center"/>
                    <w:rPr>
                      <w:rFonts w:ascii="Arial" w:hAnsi="Arial" w:cs="Arial"/>
                      <w:sz w:val="24"/>
                      <w:szCs w:val="24"/>
                    </w:rPr>
                  </w:pPr>
                  <w:r w:rsidRPr="00FA3F9C">
                    <w:rPr>
                      <w:rFonts w:ascii="Arial" w:hAnsi="Arial" w:cs="Arial"/>
                      <w:sz w:val="24"/>
                      <w:szCs w:val="24"/>
                    </w:rPr>
                    <w:t>2.3</w:t>
                  </w:r>
                </w:p>
              </w:tc>
              <w:tc>
                <w:tcPr>
                  <w:tcW w:w="2610" w:type="dxa"/>
                  <w:shd w:val="clear" w:color="auto" w:fill="F2F2F2" w:themeFill="background1" w:themeFillShade="F2"/>
                </w:tcPr>
                <w:p w14:paraId="004CF8D0" w14:textId="77777777" w:rsidR="009B5AA5" w:rsidRPr="00FA3F9C" w:rsidRDefault="009B5AA5" w:rsidP="00C83D25">
                  <w:pPr>
                    <w:rPr>
                      <w:rFonts w:ascii="Arial" w:hAnsi="Arial" w:cs="Arial"/>
                      <w:sz w:val="24"/>
                      <w:szCs w:val="24"/>
                    </w:rPr>
                  </w:pPr>
                  <w:r w:rsidRPr="00FA3F9C">
                    <w:rPr>
                      <w:rFonts w:ascii="Arial" w:hAnsi="Arial" w:cs="Arial"/>
                      <w:sz w:val="24"/>
                      <w:szCs w:val="24"/>
                    </w:rPr>
                    <w:t>0.77, 0.63-0.93</w:t>
                  </w:r>
                </w:p>
              </w:tc>
            </w:tr>
            <w:tr w:rsidR="009B5AA5" w:rsidRPr="00FA3F9C" w14:paraId="4B44971B" w14:textId="77777777" w:rsidTr="00C83D25">
              <w:trPr>
                <w:trHeight w:val="320"/>
              </w:trPr>
              <w:tc>
                <w:tcPr>
                  <w:tcW w:w="1525" w:type="dxa"/>
                  <w:shd w:val="clear" w:color="auto" w:fill="F2F2F2" w:themeFill="background1" w:themeFillShade="F2"/>
                </w:tcPr>
                <w:p w14:paraId="139F37D2" w14:textId="77777777" w:rsidR="009B5AA5" w:rsidRPr="00FA3F9C" w:rsidRDefault="009B5AA5" w:rsidP="00C83D25">
                  <w:pPr>
                    <w:rPr>
                      <w:rFonts w:ascii="Arial" w:hAnsi="Arial" w:cs="Arial"/>
                      <w:sz w:val="24"/>
                      <w:szCs w:val="24"/>
                    </w:rPr>
                  </w:pPr>
                  <w:r w:rsidRPr="00FA3F9C">
                    <w:rPr>
                      <w:rFonts w:ascii="Arial" w:hAnsi="Arial" w:cs="Arial"/>
                      <w:sz w:val="24"/>
                      <w:szCs w:val="24"/>
                    </w:rPr>
                    <w:t xml:space="preserve">PD-L1 </w:t>
                  </w:r>
                  <w:r w:rsidRPr="00FA3F9C">
                    <w:rPr>
                      <w:rFonts w:ascii="Arial" w:hAnsi="Arial" w:cs="Arial"/>
                      <w:sz w:val="24"/>
                      <w:szCs w:val="24"/>
                      <w:u w:val="single"/>
                    </w:rPr>
                    <w:t>&gt;</w:t>
                  </w:r>
                  <w:r w:rsidRPr="00FA3F9C">
                    <w:rPr>
                      <w:rFonts w:ascii="Arial" w:hAnsi="Arial" w:cs="Arial"/>
                      <w:sz w:val="24"/>
                      <w:szCs w:val="24"/>
                    </w:rPr>
                    <w:t>1</w:t>
                  </w:r>
                </w:p>
              </w:tc>
              <w:tc>
                <w:tcPr>
                  <w:tcW w:w="972" w:type="dxa"/>
                  <w:shd w:val="clear" w:color="auto" w:fill="F2F2F2" w:themeFill="background1" w:themeFillShade="F2"/>
                  <w:vAlign w:val="center"/>
                </w:tcPr>
                <w:p w14:paraId="5E2D23D7" w14:textId="77777777" w:rsidR="009B5AA5" w:rsidRPr="00FA3F9C" w:rsidRDefault="009B5AA5" w:rsidP="00C83D25">
                  <w:pPr>
                    <w:jc w:val="center"/>
                    <w:rPr>
                      <w:rFonts w:ascii="Arial" w:hAnsi="Arial" w:cs="Arial"/>
                      <w:sz w:val="24"/>
                      <w:szCs w:val="24"/>
                    </w:rPr>
                  </w:pPr>
                  <w:r w:rsidRPr="00FA3F9C">
                    <w:rPr>
                      <w:rFonts w:ascii="Arial" w:hAnsi="Arial" w:cs="Arial"/>
                      <w:sz w:val="24"/>
                      <w:szCs w:val="24"/>
                    </w:rPr>
                    <w:t>12.3</w:t>
                  </w:r>
                </w:p>
              </w:tc>
              <w:tc>
                <w:tcPr>
                  <w:tcW w:w="2088" w:type="dxa"/>
                  <w:shd w:val="clear" w:color="auto" w:fill="F2F2F2" w:themeFill="background1" w:themeFillShade="F2"/>
                  <w:vAlign w:val="center"/>
                </w:tcPr>
                <w:p w14:paraId="04C4E3EC" w14:textId="77777777" w:rsidR="009B5AA5" w:rsidRPr="00FA3F9C" w:rsidRDefault="009B5AA5" w:rsidP="00C83D25">
                  <w:pPr>
                    <w:jc w:val="center"/>
                    <w:rPr>
                      <w:rFonts w:ascii="Arial" w:hAnsi="Arial" w:cs="Arial"/>
                      <w:sz w:val="24"/>
                      <w:szCs w:val="24"/>
                    </w:rPr>
                  </w:pPr>
                  <w:r w:rsidRPr="00FA3F9C">
                    <w:rPr>
                      <w:rFonts w:ascii="Arial" w:hAnsi="Arial" w:cs="Arial"/>
                      <w:sz w:val="24"/>
                      <w:szCs w:val="24"/>
                    </w:rPr>
                    <w:t>--</w:t>
                  </w:r>
                </w:p>
              </w:tc>
              <w:tc>
                <w:tcPr>
                  <w:tcW w:w="2160" w:type="dxa"/>
                  <w:shd w:val="clear" w:color="auto" w:fill="F2F2F2" w:themeFill="background1" w:themeFillShade="F2"/>
                  <w:vAlign w:val="center"/>
                </w:tcPr>
                <w:p w14:paraId="10688F08" w14:textId="77777777" w:rsidR="009B5AA5" w:rsidRPr="00FA3F9C" w:rsidRDefault="009B5AA5" w:rsidP="00C83D25">
                  <w:pPr>
                    <w:jc w:val="center"/>
                    <w:rPr>
                      <w:rFonts w:ascii="Arial" w:hAnsi="Arial" w:cs="Arial"/>
                      <w:sz w:val="24"/>
                      <w:szCs w:val="24"/>
                    </w:rPr>
                  </w:pPr>
                  <w:r w:rsidRPr="00FA3F9C">
                    <w:rPr>
                      <w:rFonts w:ascii="Arial" w:hAnsi="Arial" w:cs="Arial"/>
                      <w:sz w:val="24"/>
                      <w:szCs w:val="24"/>
                    </w:rPr>
                    <w:t>10.3</w:t>
                  </w:r>
                </w:p>
              </w:tc>
              <w:tc>
                <w:tcPr>
                  <w:tcW w:w="1150" w:type="dxa"/>
                  <w:shd w:val="clear" w:color="auto" w:fill="F2F2F2" w:themeFill="background1" w:themeFillShade="F2"/>
                  <w:vAlign w:val="center"/>
                </w:tcPr>
                <w:p w14:paraId="1643E586" w14:textId="77777777" w:rsidR="009B5AA5" w:rsidRPr="00FA3F9C" w:rsidRDefault="009B5AA5" w:rsidP="00C83D25">
                  <w:pPr>
                    <w:jc w:val="center"/>
                    <w:rPr>
                      <w:rFonts w:ascii="Arial" w:hAnsi="Arial" w:cs="Arial"/>
                      <w:sz w:val="24"/>
                      <w:szCs w:val="24"/>
                    </w:rPr>
                  </w:pPr>
                  <w:r w:rsidRPr="00FA3F9C">
                    <w:rPr>
                      <w:rFonts w:ascii="Arial" w:hAnsi="Arial" w:cs="Arial"/>
                      <w:sz w:val="24"/>
                      <w:szCs w:val="24"/>
                    </w:rPr>
                    <w:t>2</w:t>
                  </w:r>
                </w:p>
              </w:tc>
              <w:tc>
                <w:tcPr>
                  <w:tcW w:w="2610" w:type="dxa"/>
                  <w:shd w:val="clear" w:color="auto" w:fill="F2F2F2" w:themeFill="background1" w:themeFillShade="F2"/>
                </w:tcPr>
                <w:p w14:paraId="45C90153" w14:textId="77777777" w:rsidR="009B5AA5" w:rsidRPr="00FA3F9C" w:rsidRDefault="009B5AA5" w:rsidP="00C83D25">
                  <w:pPr>
                    <w:rPr>
                      <w:rFonts w:ascii="Arial" w:hAnsi="Arial" w:cs="Arial"/>
                      <w:sz w:val="24"/>
                      <w:szCs w:val="24"/>
                    </w:rPr>
                  </w:pPr>
                  <w:r w:rsidRPr="00FA3F9C">
                    <w:rPr>
                      <w:rFonts w:ascii="Arial" w:hAnsi="Arial" w:cs="Arial"/>
                      <w:sz w:val="24"/>
                      <w:szCs w:val="24"/>
                    </w:rPr>
                    <w:t>0.78, 0.64-0.96</w:t>
                  </w:r>
                </w:p>
              </w:tc>
            </w:tr>
            <w:tr w:rsidR="009B5AA5" w:rsidRPr="00FA3F9C" w14:paraId="3A1F0E8C" w14:textId="77777777" w:rsidTr="00C83D25">
              <w:trPr>
                <w:trHeight w:val="320"/>
              </w:trPr>
              <w:tc>
                <w:tcPr>
                  <w:tcW w:w="1525" w:type="dxa"/>
                  <w:shd w:val="clear" w:color="auto" w:fill="F2F2F2" w:themeFill="background1" w:themeFillShade="F2"/>
                </w:tcPr>
                <w:p w14:paraId="2165CB5D" w14:textId="77777777" w:rsidR="009B5AA5" w:rsidRPr="00FA3F9C" w:rsidRDefault="009B5AA5" w:rsidP="00C83D25">
                  <w:pPr>
                    <w:rPr>
                      <w:rFonts w:ascii="Arial" w:hAnsi="Arial" w:cs="Arial"/>
                      <w:sz w:val="24"/>
                      <w:szCs w:val="24"/>
                    </w:rPr>
                  </w:pPr>
                  <w:r w:rsidRPr="00FA3F9C">
                    <w:rPr>
                      <w:rFonts w:ascii="Arial" w:hAnsi="Arial" w:cs="Arial"/>
                      <w:sz w:val="24"/>
                      <w:szCs w:val="24"/>
                    </w:rPr>
                    <w:t xml:space="preserve">PD-L1 </w:t>
                  </w:r>
                  <w:r w:rsidRPr="00FA3F9C">
                    <w:rPr>
                      <w:rFonts w:ascii="Arial" w:hAnsi="Arial" w:cs="Arial"/>
                      <w:sz w:val="24"/>
                      <w:szCs w:val="24"/>
                      <w:u w:val="single"/>
                    </w:rPr>
                    <w:t>&gt;</w:t>
                  </w:r>
                  <w:r w:rsidRPr="00FA3F9C">
                    <w:rPr>
                      <w:rFonts w:ascii="Arial" w:hAnsi="Arial" w:cs="Arial"/>
                      <w:sz w:val="24"/>
                      <w:szCs w:val="24"/>
                    </w:rPr>
                    <w:t>20</w:t>
                  </w:r>
                </w:p>
              </w:tc>
              <w:tc>
                <w:tcPr>
                  <w:tcW w:w="972" w:type="dxa"/>
                  <w:shd w:val="clear" w:color="auto" w:fill="F2F2F2" w:themeFill="background1" w:themeFillShade="F2"/>
                  <w:vAlign w:val="center"/>
                </w:tcPr>
                <w:p w14:paraId="59377F7B" w14:textId="77777777" w:rsidR="009B5AA5" w:rsidRPr="00FA3F9C" w:rsidRDefault="009B5AA5" w:rsidP="00C83D25">
                  <w:pPr>
                    <w:jc w:val="center"/>
                    <w:rPr>
                      <w:rFonts w:ascii="Arial" w:hAnsi="Arial" w:cs="Arial"/>
                      <w:sz w:val="24"/>
                      <w:szCs w:val="24"/>
                    </w:rPr>
                  </w:pPr>
                  <w:r w:rsidRPr="00FA3F9C">
                    <w:rPr>
                      <w:rFonts w:ascii="Arial" w:hAnsi="Arial" w:cs="Arial"/>
                      <w:sz w:val="24"/>
                      <w:szCs w:val="24"/>
                    </w:rPr>
                    <w:t>14.9</w:t>
                  </w:r>
                </w:p>
              </w:tc>
              <w:tc>
                <w:tcPr>
                  <w:tcW w:w="2088" w:type="dxa"/>
                  <w:shd w:val="clear" w:color="auto" w:fill="F2F2F2" w:themeFill="background1" w:themeFillShade="F2"/>
                  <w:vAlign w:val="center"/>
                </w:tcPr>
                <w:p w14:paraId="41228393" w14:textId="77777777" w:rsidR="009B5AA5" w:rsidRPr="00FA3F9C" w:rsidRDefault="009B5AA5" w:rsidP="00C83D25">
                  <w:pPr>
                    <w:jc w:val="center"/>
                    <w:rPr>
                      <w:rFonts w:ascii="Arial" w:hAnsi="Arial" w:cs="Arial"/>
                      <w:sz w:val="24"/>
                      <w:szCs w:val="24"/>
                    </w:rPr>
                  </w:pPr>
                  <w:r w:rsidRPr="00FA3F9C">
                    <w:rPr>
                      <w:rFonts w:ascii="Arial" w:hAnsi="Arial" w:cs="Arial"/>
                      <w:sz w:val="24"/>
                      <w:szCs w:val="24"/>
                    </w:rPr>
                    <w:t>--</w:t>
                  </w:r>
                </w:p>
              </w:tc>
              <w:tc>
                <w:tcPr>
                  <w:tcW w:w="2160" w:type="dxa"/>
                  <w:shd w:val="clear" w:color="auto" w:fill="F2F2F2" w:themeFill="background1" w:themeFillShade="F2"/>
                  <w:vAlign w:val="center"/>
                </w:tcPr>
                <w:p w14:paraId="641E7BD6" w14:textId="77777777" w:rsidR="009B5AA5" w:rsidRPr="00FA3F9C" w:rsidRDefault="009B5AA5" w:rsidP="00C83D25">
                  <w:pPr>
                    <w:jc w:val="center"/>
                    <w:rPr>
                      <w:rFonts w:ascii="Arial" w:hAnsi="Arial" w:cs="Arial"/>
                      <w:sz w:val="24"/>
                      <w:szCs w:val="24"/>
                    </w:rPr>
                  </w:pPr>
                  <w:r w:rsidRPr="00FA3F9C">
                    <w:rPr>
                      <w:rFonts w:ascii="Arial" w:hAnsi="Arial" w:cs="Arial"/>
                      <w:sz w:val="24"/>
                      <w:szCs w:val="24"/>
                    </w:rPr>
                    <w:t>10.7</w:t>
                  </w:r>
                </w:p>
              </w:tc>
              <w:tc>
                <w:tcPr>
                  <w:tcW w:w="1150" w:type="dxa"/>
                  <w:shd w:val="clear" w:color="auto" w:fill="F2F2F2" w:themeFill="background1" w:themeFillShade="F2"/>
                  <w:vAlign w:val="center"/>
                </w:tcPr>
                <w:p w14:paraId="0081ADFE" w14:textId="77777777" w:rsidR="009B5AA5" w:rsidRPr="00FA3F9C" w:rsidRDefault="009B5AA5" w:rsidP="00C83D25">
                  <w:pPr>
                    <w:jc w:val="center"/>
                    <w:rPr>
                      <w:rFonts w:ascii="Arial" w:hAnsi="Arial" w:cs="Arial"/>
                      <w:sz w:val="24"/>
                      <w:szCs w:val="24"/>
                    </w:rPr>
                  </w:pPr>
                  <w:r w:rsidRPr="00FA3F9C">
                    <w:rPr>
                      <w:rFonts w:ascii="Arial" w:hAnsi="Arial" w:cs="Arial"/>
                      <w:sz w:val="24"/>
                      <w:szCs w:val="24"/>
                    </w:rPr>
                    <w:t>4.2</w:t>
                  </w:r>
                </w:p>
              </w:tc>
              <w:tc>
                <w:tcPr>
                  <w:tcW w:w="2610" w:type="dxa"/>
                  <w:shd w:val="clear" w:color="auto" w:fill="F2F2F2" w:themeFill="background1" w:themeFillShade="F2"/>
                </w:tcPr>
                <w:p w14:paraId="09FC964F" w14:textId="77777777" w:rsidR="009B5AA5" w:rsidRPr="00FA3F9C" w:rsidRDefault="009B5AA5" w:rsidP="00C83D25">
                  <w:pPr>
                    <w:rPr>
                      <w:rFonts w:ascii="Arial" w:hAnsi="Arial" w:cs="Arial"/>
                      <w:sz w:val="24"/>
                      <w:szCs w:val="24"/>
                    </w:rPr>
                  </w:pPr>
                  <w:r w:rsidRPr="00FA3F9C">
                    <w:rPr>
                      <w:rFonts w:ascii="Arial" w:hAnsi="Arial" w:cs="Arial"/>
                      <w:sz w:val="24"/>
                      <w:szCs w:val="24"/>
                    </w:rPr>
                    <w:t>0.61, 0.45-0.83</w:t>
                  </w:r>
                </w:p>
              </w:tc>
            </w:tr>
            <w:tr w:rsidR="009B5AA5" w:rsidRPr="00FA3F9C" w14:paraId="5E26CFED" w14:textId="77777777" w:rsidTr="00C83D25">
              <w:trPr>
                <w:trHeight w:val="320"/>
              </w:trPr>
              <w:tc>
                <w:tcPr>
                  <w:tcW w:w="1525" w:type="dxa"/>
                  <w:shd w:val="clear" w:color="auto" w:fill="F2F2F2" w:themeFill="background1" w:themeFillShade="F2"/>
                </w:tcPr>
                <w:p w14:paraId="547DD887" w14:textId="77777777" w:rsidR="009B5AA5" w:rsidRPr="00FA3F9C" w:rsidRDefault="009B5AA5" w:rsidP="00C83D25">
                  <w:pPr>
                    <w:rPr>
                      <w:rFonts w:ascii="Arial" w:hAnsi="Arial" w:cs="Arial"/>
                      <w:sz w:val="24"/>
                      <w:szCs w:val="24"/>
                    </w:rPr>
                  </w:pPr>
                  <w:r w:rsidRPr="00FA3F9C">
                    <w:rPr>
                      <w:rFonts w:ascii="Arial" w:hAnsi="Arial" w:cs="Arial"/>
                      <w:sz w:val="24"/>
                      <w:szCs w:val="24"/>
                    </w:rPr>
                    <w:t>PD-L1 1-19*</w:t>
                  </w:r>
                </w:p>
              </w:tc>
              <w:tc>
                <w:tcPr>
                  <w:tcW w:w="972" w:type="dxa"/>
                  <w:shd w:val="clear" w:color="auto" w:fill="F2F2F2" w:themeFill="background1" w:themeFillShade="F2"/>
                  <w:vAlign w:val="center"/>
                </w:tcPr>
                <w:p w14:paraId="7AE89618" w14:textId="77777777" w:rsidR="009B5AA5" w:rsidRPr="00FA3F9C" w:rsidRDefault="009B5AA5" w:rsidP="00C83D25">
                  <w:pPr>
                    <w:jc w:val="center"/>
                    <w:rPr>
                      <w:rFonts w:ascii="Arial" w:hAnsi="Arial" w:cs="Arial"/>
                      <w:sz w:val="24"/>
                      <w:szCs w:val="24"/>
                    </w:rPr>
                  </w:pPr>
                  <w:r w:rsidRPr="00FA3F9C">
                    <w:rPr>
                      <w:rFonts w:ascii="Arial" w:hAnsi="Arial" w:cs="Arial"/>
                      <w:sz w:val="24"/>
                      <w:szCs w:val="24"/>
                    </w:rPr>
                    <w:t>10.8</w:t>
                  </w:r>
                </w:p>
              </w:tc>
              <w:tc>
                <w:tcPr>
                  <w:tcW w:w="2088" w:type="dxa"/>
                  <w:shd w:val="clear" w:color="auto" w:fill="F2F2F2" w:themeFill="background1" w:themeFillShade="F2"/>
                  <w:vAlign w:val="center"/>
                </w:tcPr>
                <w:p w14:paraId="47D31BDE" w14:textId="77777777" w:rsidR="009B5AA5" w:rsidRPr="00FA3F9C" w:rsidRDefault="009B5AA5" w:rsidP="00C83D25">
                  <w:pPr>
                    <w:jc w:val="center"/>
                    <w:rPr>
                      <w:rFonts w:ascii="Arial" w:hAnsi="Arial" w:cs="Arial"/>
                      <w:sz w:val="24"/>
                      <w:szCs w:val="24"/>
                    </w:rPr>
                  </w:pPr>
                  <w:r w:rsidRPr="00FA3F9C">
                    <w:rPr>
                      <w:rFonts w:ascii="Arial" w:hAnsi="Arial" w:cs="Arial"/>
                      <w:sz w:val="24"/>
                      <w:szCs w:val="24"/>
                    </w:rPr>
                    <w:t>--</w:t>
                  </w:r>
                </w:p>
              </w:tc>
              <w:tc>
                <w:tcPr>
                  <w:tcW w:w="2160" w:type="dxa"/>
                  <w:shd w:val="clear" w:color="auto" w:fill="F2F2F2" w:themeFill="background1" w:themeFillShade="F2"/>
                  <w:vAlign w:val="center"/>
                </w:tcPr>
                <w:p w14:paraId="08E0E4F3" w14:textId="77777777" w:rsidR="009B5AA5" w:rsidRPr="00FA3F9C" w:rsidRDefault="009B5AA5" w:rsidP="00C83D25">
                  <w:pPr>
                    <w:jc w:val="center"/>
                    <w:rPr>
                      <w:rFonts w:ascii="Arial" w:hAnsi="Arial" w:cs="Arial"/>
                      <w:sz w:val="24"/>
                      <w:szCs w:val="24"/>
                    </w:rPr>
                  </w:pPr>
                  <w:r w:rsidRPr="00FA3F9C">
                    <w:rPr>
                      <w:rFonts w:ascii="Arial" w:hAnsi="Arial" w:cs="Arial"/>
                      <w:sz w:val="24"/>
                      <w:szCs w:val="24"/>
                    </w:rPr>
                    <w:t>10.1</w:t>
                  </w:r>
                </w:p>
              </w:tc>
              <w:tc>
                <w:tcPr>
                  <w:tcW w:w="1150" w:type="dxa"/>
                  <w:shd w:val="clear" w:color="auto" w:fill="F2F2F2" w:themeFill="background1" w:themeFillShade="F2"/>
                  <w:vAlign w:val="center"/>
                </w:tcPr>
                <w:p w14:paraId="36BBF4D3" w14:textId="77777777" w:rsidR="009B5AA5" w:rsidRPr="00FA3F9C" w:rsidRDefault="009B5AA5" w:rsidP="00C83D25">
                  <w:pPr>
                    <w:jc w:val="center"/>
                    <w:rPr>
                      <w:rFonts w:ascii="Arial" w:hAnsi="Arial" w:cs="Arial"/>
                      <w:sz w:val="24"/>
                      <w:szCs w:val="24"/>
                    </w:rPr>
                  </w:pPr>
                  <w:r w:rsidRPr="00FA3F9C">
                    <w:rPr>
                      <w:rFonts w:ascii="Arial" w:hAnsi="Arial" w:cs="Arial"/>
                      <w:sz w:val="24"/>
                      <w:szCs w:val="24"/>
                    </w:rPr>
                    <w:t>0.7</w:t>
                  </w:r>
                </w:p>
              </w:tc>
              <w:tc>
                <w:tcPr>
                  <w:tcW w:w="2610" w:type="dxa"/>
                  <w:shd w:val="clear" w:color="auto" w:fill="F2F2F2" w:themeFill="background1" w:themeFillShade="F2"/>
                </w:tcPr>
                <w:p w14:paraId="63AC257B" w14:textId="77777777" w:rsidR="009B5AA5" w:rsidRPr="00FA3F9C" w:rsidRDefault="009B5AA5" w:rsidP="00C83D25">
                  <w:pPr>
                    <w:rPr>
                      <w:rFonts w:ascii="Arial" w:hAnsi="Arial" w:cs="Arial"/>
                      <w:sz w:val="24"/>
                      <w:szCs w:val="24"/>
                    </w:rPr>
                  </w:pPr>
                  <w:r w:rsidRPr="00FA3F9C">
                    <w:rPr>
                      <w:rFonts w:ascii="Arial" w:hAnsi="Arial" w:cs="Arial"/>
                      <w:sz w:val="24"/>
                      <w:szCs w:val="24"/>
                    </w:rPr>
                    <w:t>0.90, 0.68-1.18</w:t>
                  </w:r>
                </w:p>
              </w:tc>
            </w:tr>
            <w:tr w:rsidR="009B5AA5" w:rsidRPr="00FA3F9C" w14:paraId="2E6BD265" w14:textId="77777777" w:rsidTr="00920569">
              <w:trPr>
                <w:trHeight w:val="320"/>
              </w:trPr>
              <w:tc>
                <w:tcPr>
                  <w:tcW w:w="10505" w:type="dxa"/>
                  <w:gridSpan w:val="6"/>
                  <w:shd w:val="clear" w:color="auto" w:fill="D9D9D9" w:themeFill="background1" w:themeFillShade="D9"/>
                  <w:vAlign w:val="center"/>
                </w:tcPr>
                <w:p w14:paraId="120394B0" w14:textId="77777777" w:rsidR="009B5AA5" w:rsidRPr="00FA3F9C" w:rsidRDefault="009B5AA5" w:rsidP="00C83D25">
                  <w:pPr>
                    <w:rPr>
                      <w:rFonts w:ascii="Arial" w:hAnsi="Arial" w:cs="Arial"/>
                      <w:b/>
                      <w:sz w:val="24"/>
                      <w:szCs w:val="24"/>
                    </w:rPr>
                  </w:pPr>
                  <w:r w:rsidRPr="00FA3F9C">
                    <w:rPr>
                      <w:rFonts w:ascii="Arial" w:hAnsi="Arial" w:cs="Arial"/>
                      <w:b/>
                      <w:sz w:val="24"/>
                      <w:szCs w:val="24"/>
                    </w:rPr>
                    <w:t>Toxicity</w:t>
                  </w:r>
                </w:p>
              </w:tc>
            </w:tr>
            <w:tr w:rsidR="009B5AA5" w:rsidRPr="00FA3F9C" w14:paraId="0769FBFF" w14:textId="77777777" w:rsidTr="00C83D25">
              <w:trPr>
                <w:trHeight w:val="320"/>
              </w:trPr>
              <w:tc>
                <w:tcPr>
                  <w:tcW w:w="1525" w:type="dxa"/>
                  <w:shd w:val="clear" w:color="auto" w:fill="F2F2F2" w:themeFill="background1" w:themeFillShade="F2"/>
                </w:tcPr>
                <w:p w14:paraId="797337D7" w14:textId="77777777" w:rsidR="009B5AA5" w:rsidRPr="00FA3F9C" w:rsidRDefault="009B5AA5" w:rsidP="00C83D25">
                  <w:pPr>
                    <w:rPr>
                      <w:rFonts w:ascii="Arial" w:hAnsi="Arial" w:cs="Arial"/>
                      <w:sz w:val="24"/>
                      <w:szCs w:val="24"/>
                    </w:rPr>
                  </w:pPr>
                  <w:r w:rsidRPr="00FA3F9C">
                    <w:rPr>
                      <w:rFonts w:ascii="Arial" w:hAnsi="Arial" w:cs="Arial"/>
                      <w:sz w:val="24"/>
                      <w:szCs w:val="24"/>
                    </w:rPr>
                    <w:t>Grade 3-5 AEs incidence</w:t>
                  </w:r>
                </w:p>
              </w:tc>
              <w:tc>
                <w:tcPr>
                  <w:tcW w:w="972" w:type="dxa"/>
                  <w:shd w:val="clear" w:color="auto" w:fill="F2F2F2" w:themeFill="background1" w:themeFillShade="F2"/>
                  <w:vAlign w:val="center"/>
                </w:tcPr>
                <w:p w14:paraId="54323A6D" w14:textId="77777777" w:rsidR="009B5AA5" w:rsidRPr="00FA3F9C" w:rsidRDefault="009B5AA5" w:rsidP="00C83D25">
                  <w:pPr>
                    <w:jc w:val="center"/>
                    <w:rPr>
                      <w:rFonts w:ascii="Arial" w:hAnsi="Arial" w:cs="Arial"/>
                      <w:sz w:val="24"/>
                      <w:szCs w:val="24"/>
                    </w:rPr>
                  </w:pPr>
                  <w:r w:rsidRPr="00FA3F9C">
                    <w:rPr>
                      <w:rFonts w:ascii="Arial" w:hAnsi="Arial" w:cs="Arial"/>
                      <w:sz w:val="24"/>
                      <w:szCs w:val="24"/>
                    </w:rPr>
                    <w:t>54.7%</w:t>
                  </w:r>
                </w:p>
              </w:tc>
              <w:tc>
                <w:tcPr>
                  <w:tcW w:w="2088" w:type="dxa"/>
                  <w:shd w:val="clear" w:color="auto" w:fill="F2F2F2" w:themeFill="background1" w:themeFillShade="F2"/>
                  <w:vAlign w:val="center"/>
                </w:tcPr>
                <w:p w14:paraId="25F8433D" w14:textId="77777777" w:rsidR="009B5AA5" w:rsidRPr="00FA3F9C" w:rsidRDefault="009B5AA5" w:rsidP="00C83D25">
                  <w:pPr>
                    <w:jc w:val="center"/>
                    <w:rPr>
                      <w:rFonts w:ascii="Arial" w:hAnsi="Arial" w:cs="Arial"/>
                      <w:sz w:val="24"/>
                      <w:szCs w:val="24"/>
                    </w:rPr>
                  </w:pPr>
                  <w:r w:rsidRPr="00FA3F9C">
                    <w:rPr>
                      <w:rFonts w:ascii="Arial" w:hAnsi="Arial" w:cs="Arial"/>
                      <w:sz w:val="24"/>
                      <w:szCs w:val="24"/>
                    </w:rPr>
                    <w:t>85.1%</w:t>
                  </w:r>
                </w:p>
              </w:tc>
              <w:tc>
                <w:tcPr>
                  <w:tcW w:w="2160" w:type="dxa"/>
                  <w:shd w:val="clear" w:color="auto" w:fill="F2F2F2" w:themeFill="background1" w:themeFillShade="F2"/>
                  <w:vAlign w:val="center"/>
                </w:tcPr>
                <w:p w14:paraId="40383441" w14:textId="77777777" w:rsidR="009B5AA5" w:rsidRPr="00FA3F9C" w:rsidRDefault="009B5AA5" w:rsidP="00C83D25">
                  <w:pPr>
                    <w:jc w:val="center"/>
                    <w:rPr>
                      <w:rFonts w:ascii="Arial" w:hAnsi="Arial" w:cs="Arial"/>
                      <w:sz w:val="24"/>
                      <w:szCs w:val="24"/>
                    </w:rPr>
                  </w:pPr>
                  <w:r w:rsidRPr="00FA3F9C">
                    <w:rPr>
                      <w:rFonts w:ascii="Arial" w:hAnsi="Arial" w:cs="Arial"/>
                      <w:sz w:val="24"/>
                      <w:szCs w:val="24"/>
                    </w:rPr>
                    <w:t>83.3%</w:t>
                  </w:r>
                </w:p>
              </w:tc>
              <w:tc>
                <w:tcPr>
                  <w:tcW w:w="1150" w:type="dxa"/>
                  <w:tcBorders>
                    <w:bottom w:val="nil"/>
                    <w:right w:val="nil"/>
                  </w:tcBorders>
                  <w:shd w:val="clear" w:color="auto" w:fill="D9D9D9" w:themeFill="background1" w:themeFillShade="D9"/>
                  <w:vAlign w:val="center"/>
                </w:tcPr>
                <w:p w14:paraId="47398B30" w14:textId="77777777" w:rsidR="009B5AA5" w:rsidRPr="00FA3F9C" w:rsidRDefault="009B5AA5" w:rsidP="00C83D25">
                  <w:pPr>
                    <w:jc w:val="center"/>
                    <w:rPr>
                      <w:rFonts w:ascii="Arial" w:hAnsi="Arial" w:cs="Arial"/>
                      <w:sz w:val="24"/>
                      <w:szCs w:val="24"/>
                    </w:rPr>
                  </w:pPr>
                </w:p>
              </w:tc>
              <w:tc>
                <w:tcPr>
                  <w:tcW w:w="2610" w:type="dxa"/>
                  <w:tcBorders>
                    <w:left w:val="nil"/>
                    <w:bottom w:val="nil"/>
                  </w:tcBorders>
                  <w:shd w:val="clear" w:color="auto" w:fill="D9D9D9" w:themeFill="background1" w:themeFillShade="D9"/>
                </w:tcPr>
                <w:p w14:paraId="059D87A8" w14:textId="77777777" w:rsidR="009B5AA5" w:rsidRPr="00FA3F9C" w:rsidRDefault="009B5AA5" w:rsidP="00C83D25">
                  <w:pPr>
                    <w:rPr>
                      <w:rFonts w:ascii="Arial" w:hAnsi="Arial" w:cs="Arial"/>
                      <w:sz w:val="24"/>
                      <w:szCs w:val="24"/>
                    </w:rPr>
                  </w:pPr>
                </w:p>
              </w:tc>
            </w:tr>
            <w:tr w:rsidR="009B5AA5" w:rsidRPr="00500371" w14:paraId="39C63827" w14:textId="77777777" w:rsidTr="00C83D25">
              <w:trPr>
                <w:trHeight w:val="320"/>
              </w:trPr>
              <w:tc>
                <w:tcPr>
                  <w:tcW w:w="1525" w:type="dxa"/>
                  <w:shd w:val="clear" w:color="auto" w:fill="F2F2F2" w:themeFill="background1" w:themeFillShade="F2"/>
                </w:tcPr>
                <w:p w14:paraId="07F50F73" w14:textId="77777777" w:rsidR="009B5AA5" w:rsidRPr="00FA3F9C" w:rsidRDefault="009B5AA5" w:rsidP="00C83D25">
                  <w:pPr>
                    <w:rPr>
                      <w:rFonts w:ascii="Arial" w:hAnsi="Arial" w:cs="Arial"/>
                      <w:sz w:val="24"/>
                      <w:szCs w:val="24"/>
                    </w:rPr>
                  </w:pPr>
                  <w:r w:rsidRPr="00FA3F9C">
                    <w:rPr>
                      <w:rFonts w:ascii="Arial" w:hAnsi="Arial" w:cs="Arial"/>
                      <w:sz w:val="24"/>
                      <w:szCs w:val="24"/>
                    </w:rPr>
                    <w:t xml:space="preserve">Grade 3-5 AEs with </w:t>
                  </w:r>
                  <w:r w:rsidRPr="00FA3F9C">
                    <w:rPr>
                      <w:rFonts w:ascii="Arial" w:hAnsi="Arial" w:cs="Arial"/>
                      <w:sz w:val="24"/>
                      <w:szCs w:val="24"/>
                      <w:u w:val="single"/>
                    </w:rPr>
                    <w:t>&gt;</w:t>
                  </w:r>
                  <w:r w:rsidRPr="00FA3F9C">
                    <w:rPr>
                      <w:rFonts w:ascii="Arial" w:hAnsi="Arial" w:cs="Arial"/>
                      <w:sz w:val="24"/>
                      <w:szCs w:val="24"/>
                    </w:rPr>
                    <w:t>5% incidence^</w:t>
                  </w:r>
                </w:p>
              </w:tc>
              <w:tc>
                <w:tcPr>
                  <w:tcW w:w="972" w:type="dxa"/>
                  <w:shd w:val="clear" w:color="auto" w:fill="F2F2F2" w:themeFill="background1" w:themeFillShade="F2"/>
                  <w:vAlign w:val="center"/>
                </w:tcPr>
                <w:p w14:paraId="5F5E6FE3" w14:textId="77777777" w:rsidR="009B5AA5" w:rsidRPr="00FA3F9C" w:rsidRDefault="009B5AA5" w:rsidP="00C83D25">
                  <w:pPr>
                    <w:jc w:val="center"/>
                    <w:rPr>
                      <w:rFonts w:ascii="Arial" w:hAnsi="Arial" w:cs="Arial"/>
                      <w:sz w:val="24"/>
                      <w:szCs w:val="24"/>
                    </w:rPr>
                  </w:pPr>
                  <w:r w:rsidRPr="00FA3F9C">
                    <w:rPr>
                      <w:rFonts w:ascii="Arial" w:hAnsi="Arial" w:cs="Arial"/>
                      <w:sz w:val="24"/>
                      <w:szCs w:val="24"/>
                    </w:rPr>
                    <w:t>None</w:t>
                  </w:r>
                </w:p>
              </w:tc>
              <w:tc>
                <w:tcPr>
                  <w:tcW w:w="2088" w:type="dxa"/>
                  <w:shd w:val="clear" w:color="auto" w:fill="F2F2F2" w:themeFill="background1" w:themeFillShade="F2"/>
                  <w:vAlign w:val="center"/>
                </w:tcPr>
                <w:p w14:paraId="44F751BF" w14:textId="77777777" w:rsidR="009B5AA5" w:rsidRPr="00FA3F9C" w:rsidRDefault="009B5AA5" w:rsidP="00C83D25">
                  <w:pPr>
                    <w:jc w:val="center"/>
                    <w:rPr>
                      <w:rFonts w:ascii="Arial" w:hAnsi="Arial" w:cs="Arial"/>
                      <w:sz w:val="24"/>
                      <w:szCs w:val="24"/>
                    </w:rPr>
                  </w:pPr>
                  <w:r w:rsidRPr="00FA3F9C">
                    <w:rPr>
                      <w:rFonts w:ascii="Arial" w:hAnsi="Arial" w:cs="Arial"/>
                      <w:sz w:val="24"/>
                      <w:szCs w:val="24"/>
                    </w:rPr>
                    <w:t>Fatigue, mucosal inflammation, nausea, pneumonia, stomatitis</w:t>
                  </w:r>
                </w:p>
              </w:tc>
              <w:tc>
                <w:tcPr>
                  <w:tcW w:w="2160" w:type="dxa"/>
                  <w:shd w:val="clear" w:color="auto" w:fill="F2F2F2" w:themeFill="background1" w:themeFillShade="F2"/>
                  <w:vAlign w:val="center"/>
                </w:tcPr>
                <w:p w14:paraId="5F07F702" w14:textId="77777777" w:rsidR="009B5AA5" w:rsidRPr="00FA3F9C" w:rsidRDefault="009B5AA5" w:rsidP="00C83D25">
                  <w:pPr>
                    <w:jc w:val="center"/>
                    <w:rPr>
                      <w:rFonts w:ascii="Arial" w:hAnsi="Arial" w:cs="Arial"/>
                      <w:sz w:val="24"/>
                      <w:szCs w:val="24"/>
                      <w:lang w:val="fr-FR"/>
                    </w:rPr>
                  </w:pPr>
                  <w:r w:rsidRPr="00FA3F9C">
                    <w:rPr>
                      <w:rFonts w:ascii="Arial" w:hAnsi="Arial" w:cs="Arial"/>
                      <w:sz w:val="24"/>
                      <w:szCs w:val="24"/>
                      <w:lang w:val="fr-FR"/>
                    </w:rPr>
                    <w:t xml:space="preserve">Fatigue, </w:t>
                  </w:r>
                  <w:proofErr w:type="spellStart"/>
                  <w:r w:rsidRPr="00FA3F9C">
                    <w:rPr>
                      <w:rFonts w:ascii="Arial" w:hAnsi="Arial" w:cs="Arial"/>
                      <w:sz w:val="24"/>
                      <w:szCs w:val="24"/>
                      <w:lang w:val="fr-FR"/>
                    </w:rPr>
                    <w:t>mucosal</w:t>
                  </w:r>
                  <w:proofErr w:type="spellEnd"/>
                  <w:r w:rsidRPr="00FA3F9C">
                    <w:rPr>
                      <w:rFonts w:ascii="Arial" w:hAnsi="Arial" w:cs="Arial"/>
                      <w:sz w:val="24"/>
                      <w:szCs w:val="24"/>
                      <w:lang w:val="fr-FR"/>
                    </w:rPr>
                    <w:t xml:space="preserve"> inflammation, </w:t>
                  </w:r>
                  <w:proofErr w:type="spellStart"/>
                  <w:r w:rsidRPr="00FA3F9C">
                    <w:rPr>
                      <w:rFonts w:ascii="Arial" w:hAnsi="Arial" w:cs="Arial"/>
                      <w:sz w:val="24"/>
                      <w:szCs w:val="24"/>
                      <w:lang w:val="fr-FR"/>
                    </w:rPr>
                    <w:t>nausea</w:t>
                  </w:r>
                  <w:proofErr w:type="spellEnd"/>
                  <w:r w:rsidRPr="00FA3F9C">
                    <w:rPr>
                      <w:rFonts w:ascii="Arial" w:hAnsi="Arial" w:cs="Arial"/>
                      <w:sz w:val="24"/>
                      <w:szCs w:val="24"/>
                      <w:lang w:val="fr-FR"/>
                    </w:rPr>
                    <w:t xml:space="preserve">, </w:t>
                  </w:r>
                  <w:proofErr w:type="spellStart"/>
                  <w:r w:rsidRPr="00FA3F9C">
                    <w:rPr>
                      <w:rFonts w:ascii="Arial" w:hAnsi="Arial" w:cs="Arial"/>
                      <w:sz w:val="24"/>
                      <w:szCs w:val="24"/>
                      <w:lang w:val="fr-FR"/>
                    </w:rPr>
                    <w:t>pneumonia</w:t>
                  </w:r>
                  <w:proofErr w:type="spellEnd"/>
                  <w:r w:rsidRPr="00FA3F9C">
                    <w:rPr>
                      <w:rFonts w:ascii="Arial" w:hAnsi="Arial" w:cs="Arial"/>
                      <w:sz w:val="24"/>
                      <w:szCs w:val="24"/>
                      <w:lang w:val="fr-FR"/>
                    </w:rPr>
                    <w:t>, rash</w:t>
                  </w:r>
                </w:p>
              </w:tc>
              <w:tc>
                <w:tcPr>
                  <w:tcW w:w="1150" w:type="dxa"/>
                  <w:tcBorders>
                    <w:top w:val="nil"/>
                    <w:right w:val="nil"/>
                  </w:tcBorders>
                  <w:shd w:val="clear" w:color="auto" w:fill="D9D9D9" w:themeFill="background1" w:themeFillShade="D9"/>
                  <w:vAlign w:val="center"/>
                </w:tcPr>
                <w:p w14:paraId="4F9BF3C6" w14:textId="77777777" w:rsidR="009B5AA5" w:rsidRPr="00FA3F9C" w:rsidRDefault="009B5AA5" w:rsidP="00C83D25">
                  <w:pPr>
                    <w:jc w:val="center"/>
                    <w:rPr>
                      <w:rFonts w:ascii="Arial" w:hAnsi="Arial" w:cs="Arial"/>
                      <w:sz w:val="24"/>
                      <w:szCs w:val="24"/>
                      <w:lang w:val="fr-FR"/>
                    </w:rPr>
                  </w:pPr>
                </w:p>
              </w:tc>
              <w:tc>
                <w:tcPr>
                  <w:tcW w:w="2610" w:type="dxa"/>
                  <w:tcBorders>
                    <w:top w:val="nil"/>
                    <w:left w:val="nil"/>
                  </w:tcBorders>
                  <w:shd w:val="clear" w:color="auto" w:fill="D9D9D9" w:themeFill="background1" w:themeFillShade="D9"/>
                </w:tcPr>
                <w:p w14:paraId="2CE3C9EC" w14:textId="77777777" w:rsidR="009B5AA5" w:rsidRPr="00FA3F9C" w:rsidRDefault="009B5AA5" w:rsidP="00C83D25">
                  <w:pPr>
                    <w:rPr>
                      <w:rFonts w:ascii="Arial" w:hAnsi="Arial" w:cs="Arial"/>
                      <w:sz w:val="24"/>
                      <w:szCs w:val="24"/>
                      <w:lang w:val="fr-FR"/>
                    </w:rPr>
                  </w:pPr>
                </w:p>
              </w:tc>
            </w:tr>
            <w:tr w:rsidR="009B5AA5" w:rsidRPr="00FA3F9C" w14:paraId="33A53BBE" w14:textId="77777777" w:rsidTr="00C83D25">
              <w:trPr>
                <w:trHeight w:val="320"/>
              </w:trPr>
              <w:tc>
                <w:tcPr>
                  <w:tcW w:w="10505" w:type="dxa"/>
                  <w:gridSpan w:val="6"/>
                  <w:shd w:val="clear" w:color="auto" w:fill="D9D9D9" w:themeFill="background1" w:themeFillShade="D9"/>
                  <w:vAlign w:val="center"/>
                </w:tcPr>
                <w:p w14:paraId="04650CB5" w14:textId="77777777" w:rsidR="009B5AA5" w:rsidRPr="00FA3F9C" w:rsidRDefault="009B5AA5" w:rsidP="00C83D25">
                  <w:pPr>
                    <w:rPr>
                      <w:rFonts w:ascii="Arial" w:hAnsi="Arial" w:cs="Arial"/>
                      <w:b/>
                      <w:sz w:val="24"/>
                      <w:szCs w:val="24"/>
                    </w:rPr>
                  </w:pPr>
                  <w:r w:rsidRPr="00FA3F9C">
                    <w:rPr>
                      <w:rFonts w:ascii="Arial" w:hAnsi="Arial" w:cs="Arial"/>
                      <w:b/>
                      <w:sz w:val="24"/>
                      <w:szCs w:val="24"/>
                    </w:rPr>
                    <w:t>Cost (as of 9/10/19)</w:t>
                  </w:r>
                </w:p>
              </w:tc>
            </w:tr>
            <w:tr w:rsidR="009B5AA5" w:rsidRPr="00FA3F9C" w14:paraId="74FCCFE0" w14:textId="77777777" w:rsidTr="00C83D25">
              <w:trPr>
                <w:trHeight w:val="320"/>
              </w:trPr>
              <w:tc>
                <w:tcPr>
                  <w:tcW w:w="1525" w:type="dxa"/>
                  <w:shd w:val="clear" w:color="auto" w:fill="F2F2F2" w:themeFill="background1" w:themeFillShade="F2"/>
                  <w:vAlign w:val="center"/>
                </w:tcPr>
                <w:p w14:paraId="64F1C682" w14:textId="77777777" w:rsidR="009B5AA5" w:rsidRPr="00FA3F9C" w:rsidRDefault="009B5AA5" w:rsidP="00C83D25">
                  <w:pPr>
                    <w:rPr>
                      <w:rFonts w:ascii="Arial" w:hAnsi="Arial" w:cs="Arial"/>
                      <w:sz w:val="24"/>
                      <w:szCs w:val="24"/>
                    </w:rPr>
                  </w:pPr>
                  <w:r w:rsidRPr="00FA3F9C">
                    <w:rPr>
                      <w:rFonts w:ascii="Arial" w:hAnsi="Arial" w:cs="Arial"/>
                      <w:sz w:val="24"/>
                      <w:szCs w:val="24"/>
                    </w:rPr>
                    <w:lastRenderedPageBreak/>
                    <w:t>AWP/28 days</w:t>
                  </w:r>
                </w:p>
              </w:tc>
              <w:tc>
                <w:tcPr>
                  <w:tcW w:w="972" w:type="dxa"/>
                  <w:shd w:val="clear" w:color="auto" w:fill="F2F2F2" w:themeFill="background1" w:themeFillShade="F2"/>
                  <w:vAlign w:val="center"/>
                </w:tcPr>
                <w:p w14:paraId="2A5944F1" w14:textId="77777777" w:rsidR="009B5AA5" w:rsidRPr="00FA3F9C" w:rsidRDefault="009B5AA5" w:rsidP="00C83D25">
                  <w:pPr>
                    <w:jc w:val="center"/>
                    <w:rPr>
                      <w:rFonts w:ascii="Arial" w:hAnsi="Arial" w:cs="Arial"/>
                      <w:sz w:val="24"/>
                      <w:szCs w:val="24"/>
                    </w:rPr>
                  </w:pPr>
                  <w:r w:rsidRPr="00FA3F9C">
                    <w:rPr>
                      <w:rFonts w:ascii="Arial" w:hAnsi="Arial" w:cs="Arial"/>
                      <w:sz w:val="24"/>
                      <w:szCs w:val="24"/>
                    </w:rPr>
                    <w:t>$15,328</w:t>
                  </w:r>
                </w:p>
              </w:tc>
              <w:tc>
                <w:tcPr>
                  <w:tcW w:w="2088" w:type="dxa"/>
                  <w:shd w:val="clear" w:color="auto" w:fill="F2F2F2" w:themeFill="background1" w:themeFillShade="F2"/>
                  <w:vAlign w:val="center"/>
                </w:tcPr>
                <w:p w14:paraId="3DB6919D" w14:textId="77777777" w:rsidR="009B5AA5" w:rsidRPr="00FA3F9C" w:rsidRDefault="009B5AA5" w:rsidP="00C83D25">
                  <w:pPr>
                    <w:jc w:val="center"/>
                    <w:rPr>
                      <w:rFonts w:ascii="Arial" w:hAnsi="Arial" w:cs="Arial"/>
                      <w:sz w:val="24"/>
                      <w:szCs w:val="24"/>
                    </w:rPr>
                  </w:pPr>
                  <w:r w:rsidRPr="00FA3F9C">
                    <w:rPr>
                      <w:rFonts w:ascii="Arial" w:hAnsi="Arial" w:cs="Arial"/>
                      <w:sz w:val="24"/>
                      <w:szCs w:val="24"/>
                    </w:rPr>
                    <w:t>$15,328+chemo</w:t>
                  </w:r>
                </w:p>
              </w:tc>
              <w:tc>
                <w:tcPr>
                  <w:tcW w:w="2160" w:type="dxa"/>
                  <w:shd w:val="clear" w:color="auto" w:fill="F2F2F2" w:themeFill="background1" w:themeFillShade="F2"/>
                  <w:vAlign w:val="center"/>
                </w:tcPr>
                <w:p w14:paraId="1FFD197E" w14:textId="77777777" w:rsidR="009B5AA5" w:rsidRPr="00FA3F9C" w:rsidRDefault="009B5AA5" w:rsidP="00C83D25">
                  <w:pPr>
                    <w:jc w:val="center"/>
                    <w:rPr>
                      <w:rFonts w:ascii="Arial" w:hAnsi="Arial" w:cs="Arial"/>
                      <w:sz w:val="24"/>
                      <w:szCs w:val="24"/>
                    </w:rPr>
                  </w:pPr>
                  <w:r w:rsidRPr="00FA3F9C">
                    <w:rPr>
                      <w:rFonts w:ascii="Arial" w:hAnsi="Arial" w:cs="Arial"/>
                      <w:sz w:val="24"/>
                      <w:szCs w:val="24"/>
                    </w:rPr>
                    <w:t>400 mg: $12,240</w:t>
                  </w:r>
                </w:p>
                <w:p w14:paraId="4BC7A800" w14:textId="77777777" w:rsidR="009B5AA5" w:rsidRPr="00FA3F9C" w:rsidRDefault="009B5AA5" w:rsidP="00C83D25">
                  <w:pPr>
                    <w:jc w:val="center"/>
                    <w:rPr>
                      <w:rFonts w:ascii="Arial" w:hAnsi="Arial" w:cs="Arial"/>
                      <w:sz w:val="24"/>
                      <w:szCs w:val="24"/>
                    </w:rPr>
                  </w:pPr>
                  <w:r w:rsidRPr="00FA3F9C">
                    <w:rPr>
                      <w:rFonts w:ascii="Arial" w:hAnsi="Arial" w:cs="Arial"/>
                      <w:sz w:val="24"/>
                      <w:szCs w:val="24"/>
                    </w:rPr>
                    <w:t>500 mg: $15,300</w:t>
                  </w:r>
                </w:p>
                <w:p w14:paraId="4584EECD" w14:textId="77777777" w:rsidR="009B5AA5" w:rsidRPr="00FA3F9C" w:rsidRDefault="009B5AA5" w:rsidP="00C83D25">
                  <w:pPr>
                    <w:jc w:val="center"/>
                    <w:rPr>
                      <w:rFonts w:ascii="Arial" w:hAnsi="Arial" w:cs="Arial"/>
                      <w:sz w:val="24"/>
                      <w:szCs w:val="24"/>
                    </w:rPr>
                  </w:pPr>
                  <w:r w:rsidRPr="00FA3F9C">
                    <w:rPr>
                      <w:rFonts w:ascii="Arial" w:hAnsi="Arial" w:cs="Arial"/>
                      <w:sz w:val="24"/>
                      <w:szCs w:val="24"/>
                    </w:rPr>
                    <w:t>600 mg: $18,360</w:t>
                  </w:r>
                </w:p>
              </w:tc>
              <w:tc>
                <w:tcPr>
                  <w:tcW w:w="1150" w:type="dxa"/>
                  <w:tcBorders>
                    <w:top w:val="nil"/>
                    <w:bottom w:val="single" w:sz="4" w:space="0" w:color="auto"/>
                    <w:right w:val="nil"/>
                  </w:tcBorders>
                  <w:shd w:val="clear" w:color="auto" w:fill="D9D9D9" w:themeFill="background1" w:themeFillShade="D9"/>
                  <w:vAlign w:val="center"/>
                </w:tcPr>
                <w:p w14:paraId="17CA1068" w14:textId="77777777" w:rsidR="009B5AA5" w:rsidRPr="00FA3F9C" w:rsidRDefault="009B5AA5" w:rsidP="00C83D25">
                  <w:pPr>
                    <w:jc w:val="center"/>
                    <w:rPr>
                      <w:rFonts w:ascii="Arial" w:hAnsi="Arial" w:cs="Arial"/>
                      <w:sz w:val="24"/>
                      <w:szCs w:val="24"/>
                    </w:rPr>
                  </w:pPr>
                </w:p>
              </w:tc>
              <w:tc>
                <w:tcPr>
                  <w:tcW w:w="2610" w:type="dxa"/>
                  <w:tcBorders>
                    <w:top w:val="nil"/>
                    <w:left w:val="nil"/>
                    <w:bottom w:val="single" w:sz="4" w:space="0" w:color="auto"/>
                  </w:tcBorders>
                  <w:shd w:val="clear" w:color="auto" w:fill="D9D9D9" w:themeFill="background1" w:themeFillShade="D9"/>
                </w:tcPr>
                <w:p w14:paraId="3DE428C5" w14:textId="77777777" w:rsidR="009B5AA5" w:rsidRPr="00FA3F9C" w:rsidRDefault="009B5AA5" w:rsidP="00C83D25">
                  <w:pPr>
                    <w:rPr>
                      <w:rFonts w:ascii="Arial" w:hAnsi="Arial" w:cs="Arial"/>
                      <w:sz w:val="24"/>
                      <w:szCs w:val="24"/>
                    </w:rPr>
                  </w:pPr>
                  <w:r w:rsidRPr="00FA3F9C">
                    <w:rPr>
                      <w:rFonts w:ascii="Arial" w:hAnsi="Arial" w:cs="Arial"/>
                      <w:sz w:val="24"/>
                      <w:szCs w:val="24"/>
                    </w:rPr>
                    <w:t xml:space="preserve"> </w:t>
                  </w:r>
                </w:p>
              </w:tc>
            </w:tr>
            <w:tr w:rsidR="009B5AA5" w:rsidRPr="00FA3F9C" w14:paraId="22E0452E" w14:textId="77777777" w:rsidTr="00C83D25">
              <w:trPr>
                <w:trHeight w:val="320"/>
              </w:trPr>
              <w:tc>
                <w:tcPr>
                  <w:tcW w:w="1525" w:type="dxa"/>
                  <w:shd w:val="clear" w:color="auto" w:fill="F2F2F2" w:themeFill="background1" w:themeFillShade="F2"/>
                  <w:vAlign w:val="center"/>
                </w:tcPr>
                <w:p w14:paraId="21BFBB10" w14:textId="77777777" w:rsidR="009B5AA5" w:rsidRPr="00FA3F9C" w:rsidRDefault="009B5AA5" w:rsidP="00C83D25">
                  <w:pPr>
                    <w:rPr>
                      <w:rFonts w:ascii="Arial" w:hAnsi="Arial" w:cs="Arial"/>
                      <w:sz w:val="24"/>
                      <w:szCs w:val="24"/>
                    </w:rPr>
                  </w:pPr>
                  <w:r w:rsidRPr="00FA3F9C">
                    <w:rPr>
                      <w:rFonts w:ascii="Arial" w:hAnsi="Arial" w:cs="Arial"/>
                      <w:sz w:val="24"/>
                      <w:szCs w:val="24"/>
                    </w:rPr>
                    <w:t>ASP/28 days</w:t>
                  </w:r>
                </w:p>
              </w:tc>
              <w:tc>
                <w:tcPr>
                  <w:tcW w:w="972" w:type="dxa"/>
                  <w:shd w:val="clear" w:color="auto" w:fill="F2F2F2" w:themeFill="background1" w:themeFillShade="F2"/>
                  <w:vAlign w:val="center"/>
                </w:tcPr>
                <w:p w14:paraId="537823DC" w14:textId="77777777" w:rsidR="009B5AA5" w:rsidRPr="00FA3F9C" w:rsidRDefault="009B5AA5" w:rsidP="00C83D25">
                  <w:pPr>
                    <w:jc w:val="center"/>
                    <w:rPr>
                      <w:rFonts w:ascii="Arial" w:hAnsi="Arial" w:cs="Arial"/>
                      <w:sz w:val="24"/>
                      <w:szCs w:val="24"/>
                    </w:rPr>
                  </w:pPr>
                  <w:r w:rsidRPr="00FA3F9C">
                    <w:rPr>
                      <w:rFonts w:ascii="Arial" w:hAnsi="Arial" w:cs="Arial"/>
                      <w:sz w:val="24"/>
                      <w:szCs w:val="24"/>
                    </w:rPr>
                    <w:t>$12,474</w:t>
                  </w:r>
                </w:p>
              </w:tc>
              <w:tc>
                <w:tcPr>
                  <w:tcW w:w="2088" w:type="dxa"/>
                  <w:shd w:val="clear" w:color="auto" w:fill="F2F2F2" w:themeFill="background1" w:themeFillShade="F2"/>
                  <w:vAlign w:val="center"/>
                </w:tcPr>
                <w:p w14:paraId="4304A0F6" w14:textId="77777777" w:rsidR="009B5AA5" w:rsidRPr="00FA3F9C" w:rsidRDefault="009B5AA5" w:rsidP="00C83D25">
                  <w:pPr>
                    <w:jc w:val="center"/>
                    <w:rPr>
                      <w:rFonts w:ascii="Arial" w:hAnsi="Arial" w:cs="Arial"/>
                      <w:sz w:val="24"/>
                      <w:szCs w:val="24"/>
                    </w:rPr>
                  </w:pPr>
                  <w:r w:rsidRPr="00FA3F9C">
                    <w:rPr>
                      <w:rFonts w:ascii="Arial" w:hAnsi="Arial" w:cs="Arial"/>
                      <w:sz w:val="24"/>
                      <w:szCs w:val="24"/>
                    </w:rPr>
                    <w:t>$12,474+chemo</w:t>
                  </w:r>
                </w:p>
              </w:tc>
              <w:tc>
                <w:tcPr>
                  <w:tcW w:w="2160" w:type="dxa"/>
                  <w:shd w:val="clear" w:color="auto" w:fill="F2F2F2" w:themeFill="background1" w:themeFillShade="F2"/>
                  <w:vAlign w:val="center"/>
                </w:tcPr>
                <w:p w14:paraId="239FE8BE" w14:textId="77777777" w:rsidR="009B5AA5" w:rsidRPr="00FA3F9C" w:rsidRDefault="009B5AA5" w:rsidP="00C83D25">
                  <w:pPr>
                    <w:jc w:val="center"/>
                    <w:rPr>
                      <w:rFonts w:ascii="Arial" w:hAnsi="Arial" w:cs="Arial"/>
                      <w:sz w:val="24"/>
                      <w:szCs w:val="24"/>
                    </w:rPr>
                  </w:pPr>
                  <w:r w:rsidRPr="00FA3F9C">
                    <w:rPr>
                      <w:rFonts w:ascii="Arial" w:hAnsi="Arial" w:cs="Arial"/>
                      <w:sz w:val="24"/>
                      <w:szCs w:val="24"/>
                    </w:rPr>
                    <w:t>400 mg: $9,375</w:t>
                  </w:r>
                </w:p>
                <w:p w14:paraId="48B07FAA" w14:textId="77777777" w:rsidR="009B5AA5" w:rsidRPr="00FA3F9C" w:rsidRDefault="009B5AA5" w:rsidP="00C83D25">
                  <w:pPr>
                    <w:jc w:val="center"/>
                    <w:rPr>
                      <w:rFonts w:ascii="Arial" w:hAnsi="Arial" w:cs="Arial"/>
                      <w:sz w:val="24"/>
                      <w:szCs w:val="24"/>
                    </w:rPr>
                  </w:pPr>
                  <w:r w:rsidRPr="00FA3F9C">
                    <w:rPr>
                      <w:rFonts w:ascii="Arial" w:hAnsi="Arial" w:cs="Arial"/>
                      <w:sz w:val="24"/>
                      <w:szCs w:val="24"/>
                    </w:rPr>
                    <w:t>500 mg: $11,719</w:t>
                  </w:r>
                </w:p>
                <w:p w14:paraId="361E70E7" w14:textId="77777777" w:rsidR="009B5AA5" w:rsidRPr="00FA3F9C" w:rsidRDefault="009B5AA5" w:rsidP="00C83D25">
                  <w:pPr>
                    <w:jc w:val="center"/>
                    <w:rPr>
                      <w:rFonts w:ascii="Arial" w:hAnsi="Arial" w:cs="Arial"/>
                      <w:sz w:val="24"/>
                      <w:szCs w:val="24"/>
                    </w:rPr>
                  </w:pPr>
                  <w:r w:rsidRPr="00FA3F9C">
                    <w:rPr>
                      <w:rFonts w:ascii="Arial" w:hAnsi="Arial" w:cs="Arial"/>
                      <w:sz w:val="24"/>
                      <w:szCs w:val="24"/>
                    </w:rPr>
                    <w:t>600 mg: $14,063</w:t>
                  </w:r>
                </w:p>
              </w:tc>
              <w:tc>
                <w:tcPr>
                  <w:tcW w:w="1150" w:type="dxa"/>
                  <w:tcBorders>
                    <w:top w:val="single" w:sz="4" w:space="0" w:color="auto"/>
                    <w:right w:val="nil"/>
                  </w:tcBorders>
                  <w:shd w:val="clear" w:color="auto" w:fill="D9D9D9" w:themeFill="background1" w:themeFillShade="D9"/>
                  <w:vAlign w:val="center"/>
                </w:tcPr>
                <w:p w14:paraId="48DE2715" w14:textId="77777777" w:rsidR="009B5AA5" w:rsidRPr="00FA3F9C" w:rsidRDefault="009B5AA5" w:rsidP="00C83D25">
                  <w:pPr>
                    <w:jc w:val="center"/>
                    <w:rPr>
                      <w:rFonts w:ascii="Arial" w:hAnsi="Arial" w:cs="Arial"/>
                      <w:sz w:val="24"/>
                      <w:szCs w:val="24"/>
                    </w:rPr>
                  </w:pPr>
                </w:p>
              </w:tc>
              <w:tc>
                <w:tcPr>
                  <w:tcW w:w="2610" w:type="dxa"/>
                  <w:tcBorders>
                    <w:top w:val="single" w:sz="4" w:space="0" w:color="auto"/>
                    <w:left w:val="nil"/>
                  </w:tcBorders>
                  <w:shd w:val="clear" w:color="auto" w:fill="D9D9D9" w:themeFill="background1" w:themeFillShade="D9"/>
                </w:tcPr>
                <w:p w14:paraId="0D8E3051" w14:textId="77777777" w:rsidR="009B5AA5" w:rsidRPr="00FA3F9C" w:rsidRDefault="009B5AA5" w:rsidP="00C83D25">
                  <w:pPr>
                    <w:rPr>
                      <w:rFonts w:ascii="Arial" w:hAnsi="Arial" w:cs="Arial"/>
                      <w:sz w:val="24"/>
                      <w:szCs w:val="24"/>
                    </w:rPr>
                  </w:pPr>
                </w:p>
              </w:tc>
            </w:tr>
            <w:tr w:rsidR="009B5AA5" w:rsidRPr="00FA3F9C" w14:paraId="347CE173" w14:textId="77777777" w:rsidTr="00C83D25">
              <w:trPr>
                <w:trHeight w:val="307"/>
              </w:trPr>
              <w:tc>
                <w:tcPr>
                  <w:tcW w:w="10505" w:type="dxa"/>
                  <w:gridSpan w:val="6"/>
                  <w:shd w:val="clear" w:color="auto" w:fill="F2F2F2" w:themeFill="background1" w:themeFillShade="F2"/>
                </w:tcPr>
                <w:p w14:paraId="10CAC091" w14:textId="77777777" w:rsidR="009B5AA5" w:rsidRPr="00FA3F9C" w:rsidRDefault="009B5AA5" w:rsidP="00C83D25">
                  <w:pPr>
                    <w:rPr>
                      <w:rFonts w:ascii="Arial" w:hAnsi="Arial" w:cs="Arial"/>
                      <w:sz w:val="24"/>
                      <w:szCs w:val="24"/>
                    </w:rPr>
                  </w:pPr>
                  <w:r w:rsidRPr="00FA3F9C">
                    <w:rPr>
                      <w:rFonts w:ascii="Arial" w:hAnsi="Arial" w:cs="Arial"/>
                      <w:sz w:val="24"/>
                      <w:szCs w:val="24"/>
                    </w:rPr>
                    <w:t>*</w:t>
                  </w:r>
                  <w:proofErr w:type="gramStart"/>
                  <w:r w:rsidRPr="00FA3F9C">
                    <w:rPr>
                      <w:rFonts w:ascii="Arial" w:hAnsi="Arial" w:cs="Arial"/>
                      <w:sz w:val="24"/>
                      <w:szCs w:val="24"/>
                    </w:rPr>
                    <w:t>exploratory</w:t>
                  </w:r>
                  <w:proofErr w:type="gramEnd"/>
                  <w:r w:rsidRPr="00FA3F9C">
                    <w:rPr>
                      <w:rFonts w:ascii="Arial" w:hAnsi="Arial" w:cs="Arial"/>
                      <w:sz w:val="24"/>
                      <w:szCs w:val="24"/>
                    </w:rPr>
                    <w:t xml:space="preserve"> endpoint</w:t>
                  </w:r>
                </w:p>
                <w:p w14:paraId="4D4A3FC2" w14:textId="77777777" w:rsidR="009B5AA5" w:rsidRPr="00FA3F9C" w:rsidRDefault="009B5AA5" w:rsidP="00C83D25">
                  <w:pPr>
                    <w:rPr>
                      <w:rFonts w:ascii="Arial" w:hAnsi="Arial" w:cs="Arial"/>
                      <w:sz w:val="24"/>
                      <w:szCs w:val="24"/>
                    </w:rPr>
                  </w:pPr>
                  <w:r w:rsidRPr="00FA3F9C">
                    <w:rPr>
                      <w:rFonts w:ascii="Arial" w:hAnsi="Arial" w:cs="Arial"/>
                      <w:sz w:val="24"/>
                      <w:szCs w:val="24"/>
                    </w:rPr>
                    <w:t>^not including lab abnormalities; most AEs listed occurred in &lt;10% of patients</w:t>
                  </w:r>
                </w:p>
              </w:tc>
            </w:tr>
          </w:tbl>
          <w:p w14:paraId="35E1C8CD" w14:textId="77777777" w:rsidR="009B5AA5" w:rsidRPr="00FA3F9C" w:rsidRDefault="009B5AA5" w:rsidP="00920569">
            <w:pPr>
              <w:spacing w:after="0" w:line="240" w:lineRule="auto"/>
              <w:rPr>
                <w:rFonts w:ascii="Arial" w:hAnsi="Arial" w:cs="Arial"/>
                <w:sz w:val="24"/>
                <w:szCs w:val="24"/>
              </w:rPr>
            </w:pPr>
            <w:r w:rsidRPr="00FA3F9C">
              <w:rPr>
                <w:rFonts w:ascii="Arial" w:hAnsi="Arial" w:cs="Arial"/>
                <w:sz w:val="24"/>
                <w:szCs w:val="24"/>
              </w:rPr>
              <w:t xml:space="preserve"> </w:t>
            </w:r>
          </w:p>
          <w:p w14:paraId="31E13A03" w14:textId="77777777" w:rsidR="009B5AA5" w:rsidRPr="00FA3F9C" w:rsidRDefault="009B5AA5" w:rsidP="00920569">
            <w:pPr>
              <w:spacing w:after="0" w:line="240" w:lineRule="auto"/>
              <w:rPr>
                <w:rFonts w:ascii="Arial" w:hAnsi="Arial" w:cs="Arial"/>
                <w:sz w:val="24"/>
                <w:szCs w:val="24"/>
              </w:rPr>
            </w:pPr>
            <w:r w:rsidRPr="00FA3F9C">
              <w:rPr>
                <w:rFonts w:ascii="Arial" w:hAnsi="Arial" w:cs="Arial"/>
                <w:sz w:val="24"/>
                <w:szCs w:val="24"/>
              </w:rPr>
              <w:t>-Pembrolizumab is continued until disease progression or unacceptable toxicity</w:t>
            </w:r>
          </w:p>
          <w:p w14:paraId="287B6141" w14:textId="77777777" w:rsidR="009B5AA5" w:rsidRPr="00FA3F9C" w:rsidRDefault="009B5AA5" w:rsidP="00920569">
            <w:pPr>
              <w:spacing w:after="0" w:line="240" w:lineRule="auto"/>
              <w:rPr>
                <w:rFonts w:ascii="Arial" w:hAnsi="Arial" w:cs="Arial"/>
                <w:sz w:val="24"/>
                <w:szCs w:val="24"/>
              </w:rPr>
            </w:pPr>
            <w:r w:rsidRPr="00FA3F9C">
              <w:rPr>
                <w:rFonts w:ascii="Arial" w:hAnsi="Arial" w:cs="Arial"/>
                <w:sz w:val="24"/>
                <w:szCs w:val="24"/>
              </w:rPr>
              <w:t>-Pembrolizumab has not been well studied for treatment of nasopharyngeal tumors. These tumors behave differently from other head and neck cancers and were excluded from referenced trial.</w:t>
            </w:r>
          </w:p>
          <w:p w14:paraId="204EBE20" w14:textId="77777777" w:rsidR="009B5AA5" w:rsidRPr="00FA3F9C" w:rsidRDefault="009B5AA5" w:rsidP="00920569">
            <w:pPr>
              <w:spacing w:after="0" w:line="240" w:lineRule="auto"/>
              <w:rPr>
                <w:rFonts w:ascii="Arial" w:hAnsi="Arial" w:cs="Arial"/>
                <w:sz w:val="24"/>
                <w:szCs w:val="24"/>
              </w:rPr>
            </w:pPr>
          </w:p>
          <w:p w14:paraId="07E09E5B" w14:textId="77777777" w:rsidR="009B5AA5" w:rsidRPr="00FA3F9C" w:rsidRDefault="009B5AA5" w:rsidP="00920569">
            <w:pPr>
              <w:spacing w:after="0" w:line="240" w:lineRule="auto"/>
              <w:rPr>
                <w:rFonts w:ascii="Arial" w:hAnsi="Arial" w:cs="Arial"/>
                <w:sz w:val="24"/>
                <w:szCs w:val="24"/>
              </w:rPr>
            </w:pPr>
            <w:r w:rsidRPr="00FA3F9C">
              <w:rPr>
                <w:rFonts w:ascii="Arial" w:hAnsi="Arial" w:cs="Arial"/>
                <w:sz w:val="24"/>
                <w:szCs w:val="24"/>
              </w:rPr>
              <w:t>REFERENCES:</w:t>
            </w:r>
          </w:p>
          <w:p w14:paraId="4F27BC89" w14:textId="77777777" w:rsidR="009B5AA5" w:rsidRPr="00FA3F9C" w:rsidRDefault="009B5AA5" w:rsidP="00920569">
            <w:pPr>
              <w:shd w:val="clear" w:color="auto" w:fill="BFBFBF" w:themeFill="background1" w:themeFillShade="BF"/>
              <w:spacing w:after="0" w:line="240" w:lineRule="auto"/>
              <w:rPr>
                <w:rFonts w:ascii="Arial" w:hAnsi="Arial" w:cs="Arial"/>
                <w:sz w:val="24"/>
                <w:szCs w:val="24"/>
              </w:rPr>
            </w:pPr>
            <w:r w:rsidRPr="00FA3F9C">
              <w:rPr>
                <w:rFonts w:ascii="Arial" w:hAnsi="Arial" w:cs="Arial"/>
                <w:sz w:val="24"/>
                <w:szCs w:val="24"/>
              </w:rPr>
              <w:t xml:space="preserve">1. </w:t>
            </w:r>
            <w:hyperlink r:id="rId328" w:history="1">
              <w:r w:rsidRPr="00FA3F9C">
                <w:rPr>
                  <w:rStyle w:val="Hyperlink"/>
                  <w:rFonts w:ascii="Arial" w:hAnsi="Arial" w:cs="Arial"/>
                  <w:sz w:val="24"/>
                  <w:szCs w:val="24"/>
                </w:rPr>
                <w:t>https://clinicaltrials.gov/ct2/show/NCT02358031. Accessed 9/10/19</w:t>
              </w:r>
            </w:hyperlink>
            <w:r w:rsidRPr="00FA3F9C">
              <w:rPr>
                <w:rFonts w:ascii="Arial" w:hAnsi="Arial" w:cs="Arial"/>
                <w:sz w:val="24"/>
                <w:szCs w:val="24"/>
              </w:rPr>
              <w:t>.</w:t>
            </w:r>
          </w:p>
          <w:p w14:paraId="4278A571" w14:textId="77777777" w:rsidR="009B5AA5" w:rsidRPr="00FA3F9C" w:rsidRDefault="009B5AA5" w:rsidP="00920569">
            <w:pPr>
              <w:shd w:val="clear" w:color="auto" w:fill="BFBFBF" w:themeFill="background1" w:themeFillShade="BF"/>
              <w:spacing w:after="0" w:line="240" w:lineRule="auto"/>
              <w:rPr>
                <w:rFonts w:ascii="Arial" w:hAnsi="Arial" w:cs="Arial"/>
                <w:sz w:val="24"/>
                <w:szCs w:val="24"/>
              </w:rPr>
            </w:pPr>
            <w:r w:rsidRPr="00FA3F9C">
              <w:rPr>
                <w:rFonts w:ascii="Arial" w:hAnsi="Arial" w:cs="Arial"/>
                <w:sz w:val="24"/>
                <w:szCs w:val="24"/>
              </w:rPr>
              <w:t xml:space="preserve">2. Keytruda Package Insert. </w:t>
            </w:r>
            <w:hyperlink r:id="rId329" w:history="1">
              <w:r w:rsidRPr="00FA3F9C">
                <w:rPr>
                  <w:rStyle w:val="Hyperlink"/>
                  <w:rFonts w:ascii="Arial" w:hAnsi="Arial" w:cs="Arial"/>
                  <w:sz w:val="24"/>
                  <w:szCs w:val="24"/>
                </w:rPr>
                <w:t>https://www.merck.com/product/usa/pi_circulars/k/keytruda/keytruda_pi.pdf. Accessed 9/10/19</w:t>
              </w:r>
            </w:hyperlink>
            <w:r w:rsidRPr="00FA3F9C">
              <w:rPr>
                <w:rFonts w:ascii="Arial" w:hAnsi="Arial" w:cs="Arial"/>
                <w:sz w:val="24"/>
                <w:szCs w:val="24"/>
              </w:rPr>
              <w:t>.</w:t>
            </w:r>
          </w:p>
          <w:p w14:paraId="296FB971" w14:textId="77777777" w:rsidR="009B5AA5" w:rsidRPr="00FA3F9C" w:rsidRDefault="009B5AA5" w:rsidP="00920569">
            <w:pPr>
              <w:shd w:val="clear" w:color="auto" w:fill="BFBFBF" w:themeFill="background1" w:themeFillShade="BF"/>
              <w:spacing w:after="0" w:line="240" w:lineRule="auto"/>
              <w:rPr>
                <w:rFonts w:ascii="Arial" w:hAnsi="Arial" w:cs="Arial"/>
                <w:sz w:val="24"/>
                <w:szCs w:val="24"/>
              </w:rPr>
            </w:pPr>
            <w:r w:rsidRPr="00FA3F9C">
              <w:rPr>
                <w:rFonts w:ascii="Arial" w:hAnsi="Arial" w:cs="Arial"/>
                <w:sz w:val="24"/>
                <w:szCs w:val="24"/>
              </w:rPr>
              <w:t xml:space="preserve">3. 2019 ASCO: Final Analysis of KEYNOTE-048: </w:t>
            </w:r>
            <w:proofErr w:type="gramStart"/>
            <w:r w:rsidRPr="00FA3F9C">
              <w:rPr>
                <w:rFonts w:ascii="Arial" w:hAnsi="Arial" w:cs="Arial"/>
                <w:sz w:val="24"/>
                <w:szCs w:val="24"/>
              </w:rPr>
              <w:t>First-Line</w:t>
            </w:r>
            <w:proofErr w:type="gramEnd"/>
            <w:r w:rsidRPr="00FA3F9C">
              <w:rPr>
                <w:rFonts w:ascii="Arial" w:hAnsi="Arial" w:cs="Arial"/>
                <w:sz w:val="24"/>
                <w:szCs w:val="24"/>
              </w:rPr>
              <w:t xml:space="preserve"> Pembrolizumab for Recurrent or Metastatic Head and Neck Squamous Cell Carcinoma </w:t>
            </w:r>
            <w:hyperlink r:id="rId330" w:history="1">
              <w:r w:rsidRPr="00FA3F9C">
                <w:rPr>
                  <w:rStyle w:val="Hyperlink"/>
                  <w:rFonts w:ascii="Arial" w:hAnsi="Arial" w:cs="Arial"/>
                  <w:sz w:val="24"/>
                  <w:szCs w:val="24"/>
                </w:rPr>
                <w:t>https://www.ascopost.com/News/60093</w:t>
              </w:r>
            </w:hyperlink>
          </w:p>
        </w:tc>
      </w:tr>
    </w:tbl>
    <w:p w14:paraId="6A40598B" w14:textId="77777777" w:rsidR="009B5AA5" w:rsidRPr="00FA3F9C" w:rsidRDefault="009B5AA5" w:rsidP="002C32D1">
      <w:pPr>
        <w:rPr>
          <w:rFonts w:ascii="Arial" w:hAnsi="Arial" w:cs="Arial"/>
          <w:b/>
          <w:sz w:val="24"/>
          <w:szCs w:val="24"/>
        </w:rPr>
      </w:pPr>
    </w:p>
    <w:p w14:paraId="41B81BD6" w14:textId="77777777" w:rsidR="009B5AA5" w:rsidRPr="00FA3F9C" w:rsidRDefault="009B5AA5" w:rsidP="002C32D1">
      <w:pPr>
        <w:rPr>
          <w:rFonts w:ascii="Arial" w:hAnsi="Arial" w:cs="Arial"/>
          <w:b/>
          <w:sz w:val="24"/>
          <w:szCs w:val="24"/>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68"/>
      </w:tblGrid>
      <w:tr w:rsidR="009B5AA5" w:rsidRPr="00FA3F9C" w14:paraId="50E0EBA5" w14:textId="77777777" w:rsidTr="00614038">
        <w:tc>
          <w:tcPr>
            <w:tcW w:w="10368" w:type="dxa"/>
            <w:tcBorders>
              <w:bottom w:val="single" w:sz="4" w:space="0" w:color="auto"/>
            </w:tcBorders>
            <w:shd w:val="clear" w:color="auto" w:fill="000000"/>
          </w:tcPr>
          <w:p w14:paraId="4F10C1A0" w14:textId="77777777" w:rsidR="009B5AA5" w:rsidRPr="00FA3F9C" w:rsidRDefault="009B5AA5" w:rsidP="00614038">
            <w:pPr>
              <w:spacing w:after="0"/>
              <w:rPr>
                <w:rFonts w:ascii="Arial" w:hAnsi="Arial" w:cs="Arial"/>
                <w:b/>
                <w:sz w:val="24"/>
                <w:szCs w:val="24"/>
                <w:u w:val="single"/>
              </w:rPr>
            </w:pPr>
            <w:r w:rsidRPr="00FA3F9C">
              <w:rPr>
                <w:rFonts w:ascii="Arial" w:hAnsi="Arial" w:cs="Arial"/>
                <w:sz w:val="24"/>
                <w:szCs w:val="24"/>
              </w:rPr>
              <w:br w:type="page"/>
            </w:r>
            <w:r w:rsidRPr="00FA3F9C">
              <w:rPr>
                <w:rFonts w:ascii="Arial" w:hAnsi="Arial" w:cs="Arial"/>
                <w:b/>
                <w:sz w:val="24"/>
                <w:szCs w:val="24"/>
                <w:u w:val="single"/>
              </w:rPr>
              <w:t>Head and Neck Squamous Cell Carcinoma (PREVIOUSLY TREATED)</w:t>
            </w:r>
            <w:bookmarkStart w:id="260" w:name="hnscc_prev_tx"/>
            <w:bookmarkEnd w:id="260"/>
          </w:p>
        </w:tc>
      </w:tr>
      <w:tr w:rsidR="009B5AA5" w:rsidRPr="00FA3F9C" w14:paraId="6E19BB91" w14:textId="77777777" w:rsidTr="00614038">
        <w:tc>
          <w:tcPr>
            <w:tcW w:w="10368" w:type="dxa"/>
          </w:tcPr>
          <w:p w14:paraId="5FBCEE95" w14:textId="77777777" w:rsidR="009B5AA5" w:rsidRPr="00FA3F9C" w:rsidRDefault="009B5AA5" w:rsidP="00FC1E85">
            <w:pPr>
              <w:pStyle w:val="ListParagraph"/>
              <w:numPr>
                <w:ilvl w:val="0"/>
                <w:numId w:val="424"/>
              </w:numPr>
              <w:spacing w:after="0" w:line="276" w:lineRule="auto"/>
              <w:ind w:left="242" w:hanging="270"/>
              <w:rPr>
                <w:rFonts w:ascii="Arial" w:hAnsi="Arial" w:cs="Arial"/>
                <w:sz w:val="24"/>
                <w:szCs w:val="24"/>
              </w:rPr>
            </w:pPr>
            <w:r w:rsidRPr="00FA3F9C">
              <w:rPr>
                <w:rFonts w:ascii="Arial" w:hAnsi="Arial" w:cs="Arial"/>
                <w:sz w:val="24"/>
                <w:szCs w:val="24"/>
              </w:rPr>
              <w:t>Diagnosis of recurrent or metastatic squamous cell carcinoma of the head and neck (not adenocarcinoma)</w:t>
            </w:r>
          </w:p>
        </w:tc>
      </w:tr>
      <w:tr w:rsidR="009B5AA5" w:rsidRPr="00FA3F9C" w14:paraId="14B0AE3B" w14:textId="77777777" w:rsidTr="00614038">
        <w:tc>
          <w:tcPr>
            <w:tcW w:w="10368" w:type="dxa"/>
          </w:tcPr>
          <w:p w14:paraId="6C3DAA07" w14:textId="77777777" w:rsidR="009B5AA5" w:rsidRPr="00FA3F9C" w:rsidRDefault="009B5AA5" w:rsidP="00FC1E85">
            <w:pPr>
              <w:pStyle w:val="ListParagraph"/>
              <w:numPr>
                <w:ilvl w:val="0"/>
                <w:numId w:val="424"/>
              </w:numPr>
              <w:spacing w:after="0" w:line="276" w:lineRule="auto"/>
              <w:ind w:left="242" w:hanging="270"/>
              <w:rPr>
                <w:rFonts w:ascii="Arial" w:hAnsi="Arial" w:cs="Arial"/>
                <w:sz w:val="24"/>
                <w:szCs w:val="24"/>
              </w:rPr>
            </w:pPr>
            <w:r w:rsidRPr="00FA3F9C">
              <w:rPr>
                <w:rFonts w:ascii="Arial" w:hAnsi="Arial" w:cs="Arial"/>
                <w:sz w:val="24"/>
                <w:szCs w:val="24"/>
              </w:rPr>
              <w:t xml:space="preserve">History of disease progression during or after platinum-containing treatment for recurrent/metastatic disease </w:t>
            </w:r>
            <w:r w:rsidRPr="00FA3F9C">
              <w:rPr>
                <w:rFonts w:ascii="Arial" w:hAnsi="Arial" w:cs="Arial"/>
                <w:b/>
                <w:sz w:val="24"/>
                <w:szCs w:val="24"/>
                <w:u w:val="single"/>
              </w:rPr>
              <w:t>OR</w:t>
            </w:r>
            <w:r w:rsidRPr="00FA3F9C">
              <w:rPr>
                <w:rFonts w:ascii="Arial" w:hAnsi="Arial" w:cs="Arial"/>
                <w:sz w:val="24"/>
                <w:szCs w:val="24"/>
              </w:rPr>
              <w:t xml:space="preserve"> history of recurrence or progression within 3-6 months of previous multimodal therapy containing platinum for locally advanced disease</w:t>
            </w:r>
          </w:p>
        </w:tc>
      </w:tr>
      <w:tr w:rsidR="009B5AA5" w:rsidRPr="00FA3F9C" w14:paraId="256E3F2A" w14:textId="77777777" w:rsidTr="00614038">
        <w:tc>
          <w:tcPr>
            <w:tcW w:w="10368" w:type="dxa"/>
          </w:tcPr>
          <w:p w14:paraId="5918BF42" w14:textId="77777777" w:rsidR="009B5AA5" w:rsidRPr="00FA3F9C" w:rsidRDefault="009B5AA5" w:rsidP="00FC1E85">
            <w:pPr>
              <w:pStyle w:val="ListParagraph"/>
              <w:numPr>
                <w:ilvl w:val="0"/>
                <w:numId w:val="424"/>
              </w:numPr>
              <w:spacing w:after="0" w:line="276" w:lineRule="auto"/>
              <w:ind w:left="242" w:hanging="270"/>
              <w:rPr>
                <w:rFonts w:ascii="Arial" w:hAnsi="Arial" w:cs="Arial"/>
                <w:sz w:val="24"/>
                <w:szCs w:val="24"/>
              </w:rPr>
            </w:pPr>
            <w:r w:rsidRPr="00FA3F9C">
              <w:rPr>
                <w:rFonts w:ascii="Arial" w:hAnsi="Arial" w:cs="Arial"/>
                <w:sz w:val="24"/>
                <w:szCs w:val="24"/>
              </w:rPr>
              <w:t xml:space="preserve">Patient does NOT have nasopharyngeal cancer </w:t>
            </w:r>
          </w:p>
        </w:tc>
      </w:tr>
      <w:tr w:rsidR="009B5AA5" w:rsidRPr="00FA3F9C" w14:paraId="0DDB23B2" w14:textId="77777777" w:rsidTr="00614038">
        <w:tc>
          <w:tcPr>
            <w:tcW w:w="10368" w:type="dxa"/>
          </w:tcPr>
          <w:p w14:paraId="1179EF39" w14:textId="77777777" w:rsidR="009B5AA5" w:rsidRPr="00FA3F9C" w:rsidRDefault="009B5AA5" w:rsidP="00FC1E85">
            <w:pPr>
              <w:pStyle w:val="ListParagraph"/>
              <w:numPr>
                <w:ilvl w:val="0"/>
                <w:numId w:val="424"/>
              </w:numPr>
              <w:spacing w:after="0" w:line="276" w:lineRule="auto"/>
              <w:ind w:left="242" w:hanging="270"/>
              <w:rPr>
                <w:rFonts w:ascii="Arial" w:hAnsi="Arial" w:cs="Arial"/>
                <w:sz w:val="24"/>
                <w:szCs w:val="24"/>
              </w:rPr>
            </w:pPr>
            <w:r w:rsidRPr="00FA3F9C">
              <w:rPr>
                <w:rFonts w:ascii="Arial" w:hAnsi="Arial" w:cs="Arial"/>
                <w:sz w:val="24"/>
                <w:szCs w:val="24"/>
              </w:rPr>
              <w:lastRenderedPageBreak/>
              <w:t>The patient must be ECOG performance status 0 (fully active) or 1 (ambulatory but restricted in physically strenuous activity).</w:t>
            </w:r>
          </w:p>
        </w:tc>
      </w:tr>
      <w:tr w:rsidR="009B5AA5" w:rsidRPr="00FA3F9C" w14:paraId="1585E8C6" w14:textId="77777777" w:rsidTr="00614038">
        <w:tc>
          <w:tcPr>
            <w:tcW w:w="10368" w:type="dxa"/>
          </w:tcPr>
          <w:p w14:paraId="2AF509CE" w14:textId="77777777" w:rsidR="009B5AA5" w:rsidRPr="00FA3F9C" w:rsidRDefault="009B5AA5" w:rsidP="00FC1E85">
            <w:pPr>
              <w:pStyle w:val="ListParagraph"/>
              <w:numPr>
                <w:ilvl w:val="0"/>
                <w:numId w:val="424"/>
              </w:numPr>
              <w:spacing w:after="0" w:line="276" w:lineRule="auto"/>
              <w:ind w:left="332"/>
              <w:rPr>
                <w:rFonts w:ascii="Arial" w:hAnsi="Arial" w:cs="Arial"/>
                <w:sz w:val="24"/>
                <w:szCs w:val="24"/>
              </w:rPr>
            </w:pPr>
            <w:r w:rsidRPr="00FA3F9C">
              <w:rPr>
                <w:rFonts w:ascii="Arial" w:hAnsi="Arial" w:cs="Arial"/>
                <w:sz w:val="24"/>
                <w:szCs w:val="24"/>
              </w:rPr>
              <w:t>Patient has not been treated with prior PD-1 or PD-L1 inhibitor (</w:t>
            </w:r>
            <w:proofErr w:type="gramStart"/>
            <w:r w:rsidRPr="00FA3F9C">
              <w:rPr>
                <w:rFonts w:ascii="Arial" w:hAnsi="Arial" w:cs="Arial"/>
                <w:sz w:val="24"/>
                <w:szCs w:val="24"/>
              </w:rPr>
              <w:t>e.g.</w:t>
            </w:r>
            <w:proofErr w:type="gramEnd"/>
            <w:r w:rsidRPr="00FA3F9C">
              <w:rPr>
                <w:rFonts w:ascii="Arial" w:hAnsi="Arial" w:cs="Arial"/>
                <w:sz w:val="24"/>
                <w:szCs w:val="24"/>
              </w:rPr>
              <w:t xml:space="preserve"> nivolumab, pembrolizumab, atezolizumab, durvalumab)</w:t>
            </w:r>
          </w:p>
        </w:tc>
      </w:tr>
      <w:tr w:rsidR="009B5AA5" w:rsidRPr="00FA3F9C" w14:paraId="1EA70B37" w14:textId="77777777" w:rsidTr="00614038">
        <w:trPr>
          <w:trHeight w:val="278"/>
        </w:trPr>
        <w:tc>
          <w:tcPr>
            <w:tcW w:w="10368" w:type="dxa"/>
          </w:tcPr>
          <w:p w14:paraId="4D3FAB9A" w14:textId="77777777" w:rsidR="009B5AA5" w:rsidRPr="00FA3F9C" w:rsidRDefault="009B5AA5" w:rsidP="00614038">
            <w:pPr>
              <w:spacing w:after="0"/>
              <w:rPr>
                <w:rFonts w:ascii="Arial" w:hAnsi="Arial" w:cs="Arial"/>
                <w:sz w:val="24"/>
                <w:szCs w:val="24"/>
              </w:rPr>
            </w:pPr>
            <w:r w:rsidRPr="00FA3F9C">
              <w:rPr>
                <w:rFonts w:ascii="Arial" w:hAnsi="Arial" w:cs="Arial"/>
                <w:b/>
                <w:sz w:val="24"/>
                <w:szCs w:val="24"/>
              </w:rPr>
              <w:t>If all criteria fulfilled, approve for 12 months</w:t>
            </w:r>
          </w:p>
        </w:tc>
      </w:tr>
      <w:tr w:rsidR="009B5AA5" w:rsidRPr="00FA3F9C" w14:paraId="269E4BFD" w14:textId="77777777" w:rsidTr="00614038">
        <w:tc>
          <w:tcPr>
            <w:tcW w:w="10368" w:type="dxa"/>
            <w:tcBorders>
              <w:bottom w:val="single" w:sz="4" w:space="0" w:color="auto"/>
            </w:tcBorders>
            <w:shd w:val="clear" w:color="auto" w:fill="000000" w:themeFill="text1"/>
          </w:tcPr>
          <w:p w14:paraId="0965EF69" w14:textId="77777777" w:rsidR="009B5AA5" w:rsidRPr="00FA3F9C" w:rsidRDefault="009B5AA5" w:rsidP="00614038">
            <w:pPr>
              <w:spacing w:after="0"/>
              <w:rPr>
                <w:rFonts w:ascii="Arial" w:hAnsi="Arial" w:cs="Arial"/>
                <w:sz w:val="24"/>
                <w:szCs w:val="24"/>
              </w:rPr>
            </w:pPr>
            <w:r w:rsidRPr="00FA3F9C">
              <w:rPr>
                <w:rFonts w:ascii="Arial" w:hAnsi="Arial" w:cs="Arial"/>
                <w:b/>
                <w:sz w:val="24"/>
                <w:szCs w:val="24"/>
                <w:u w:val="single"/>
              </w:rPr>
              <w:t>Criteria for continuation</w:t>
            </w:r>
          </w:p>
        </w:tc>
      </w:tr>
      <w:tr w:rsidR="009B5AA5" w:rsidRPr="00FA3F9C" w14:paraId="2748F30C" w14:textId="77777777" w:rsidTr="00614038">
        <w:tc>
          <w:tcPr>
            <w:tcW w:w="10368" w:type="dxa"/>
          </w:tcPr>
          <w:p w14:paraId="21D5EF45" w14:textId="77777777" w:rsidR="009B5AA5" w:rsidRPr="00FA3F9C" w:rsidRDefault="009B5AA5" w:rsidP="00614038">
            <w:pPr>
              <w:spacing w:after="0"/>
              <w:rPr>
                <w:rFonts w:ascii="Arial" w:hAnsi="Arial" w:cs="Arial"/>
                <w:sz w:val="24"/>
                <w:szCs w:val="24"/>
              </w:rPr>
            </w:pPr>
            <w:r w:rsidRPr="00FA3F9C">
              <w:rPr>
                <w:rFonts w:ascii="Arial" w:hAnsi="Arial" w:cs="Arial"/>
                <w:sz w:val="24"/>
                <w:szCs w:val="24"/>
              </w:rPr>
              <w:t>No disease progression</w:t>
            </w:r>
          </w:p>
        </w:tc>
      </w:tr>
      <w:tr w:rsidR="009B5AA5" w:rsidRPr="00FA3F9C" w14:paraId="1C3FD4A2" w14:textId="77777777" w:rsidTr="00614038">
        <w:tc>
          <w:tcPr>
            <w:tcW w:w="10368" w:type="dxa"/>
          </w:tcPr>
          <w:p w14:paraId="34A0EA0D" w14:textId="77777777" w:rsidR="009B5AA5" w:rsidRPr="00FA3F9C" w:rsidRDefault="009B5AA5" w:rsidP="00614038">
            <w:pPr>
              <w:spacing w:after="0"/>
              <w:rPr>
                <w:rFonts w:ascii="Arial" w:hAnsi="Arial" w:cs="Arial"/>
                <w:sz w:val="24"/>
                <w:szCs w:val="24"/>
              </w:rPr>
            </w:pPr>
            <w:r w:rsidRPr="00FA3F9C">
              <w:rPr>
                <w:rFonts w:ascii="Arial" w:hAnsi="Arial" w:cs="Arial"/>
                <w:sz w:val="24"/>
                <w:szCs w:val="24"/>
              </w:rPr>
              <w:t>No unacceptable toxicity</w:t>
            </w:r>
          </w:p>
        </w:tc>
      </w:tr>
      <w:tr w:rsidR="009B5AA5" w:rsidRPr="00FA3F9C" w14:paraId="71258D14" w14:textId="77777777" w:rsidTr="00614038">
        <w:tc>
          <w:tcPr>
            <w:tcW w:w="10368" w:type="dxa"/>
          </w:tcPr>
          <w:p w14:paraId="57CD1182" w14:textId="77777777" w:rsidR="009B5AA5" w:rsidRPr="00FA3F9C" w:rsidRDefault="009B5AA5" w:rsidP="00614038">
            <w:pPr>
              <w:spacing w:after="0"/>
              <w:rPr>
                <w:rFonts w:ascii="Arial" w:hAnsi="Arial" w:cs="Arial"/>
                <w:sz w:val="24"/>
                <w:szCs w:val="24"/>
              </w:rPr>
            </w:pPr>
            <w:r w:rsidRPr="00FA3F9C">
              <w:rPr>
                <w:rFonts w:ascii="Arial" w:hAnsi="Arial" w:cs="Arial"/>
                <w:b/>
                <w:sz w:val="24"/>
                <w:szCs w:val="24"/>
              </w:rPr>
              <w:t xml:space="preserve">If </w:t>
            </w:r>
            <w:proofErr w:type="gramStart"/>
            <w:r w:rsidRPr="00FA3F9C">
              <w:rPr>
                <w:rFonts w:ascii="Arial" w:hAnsi="Arial" w:cs="Arial"/>
                <w:b/>
                <w:sz w:val="24"/>
                <w:szCs w:val="24"/>
              </w:rPr>
              <w:t>both of the continuation</w:t>
            </w:r>
            <w:proofErr w:type="gramEnd"/>
            <w:r w:rsidRPr="00FA3F9C">
              <w:rPr>
                <w:rFonts w:ascii="Arial" w:hAnsi="Arial" w:cs="Arial"/>
                <w:b/>
                <w:sz w:val="24"/>
                <w:szCs w:val="24"/>
              </w:rPr>
              <w:t xml:space="preserve"> criteria are fulfilled, approve for 12 months. </w:t>
            </w:r>
          </w:p>
        </w:tc>
      </w:tr>
      <w:tr w:rsidR="009B5AA5" w:rsidRPr="00FA3F9C" w14:paraId="7BB87D6B" w14:textId="77777777" w:rsidTr="00614038">
        <w:tc>
          <w:tcPr>
            <w:tcW w:w="10368" w:type="dxa"/>
            <w:tcBorders>
              <w:bottom w:val="single" w:sz="4" w:space="0" w:color="auto"/>
            </w:tcBorders>
            <w:shd w:val="clear" w:color="auto" w:fill="BFBFBF" w:themeFill="background1" w:themeFillShade="BF"/>
          </w:tcPr>
          <w:p w14:paraId="48A224D6" w14:textId="77777777" w:rsidR="009B5AA5" w:rsidRPr="00FA3F9C" w:rsidRDefault="009B5AA5" w:rsidP="00614038">
            <w:pPr>
              <w:spacing w:after="0" w:line="240" w:lineRule="auto"/>
              <w:rPr>
                <w:rFonts w:ascii="Arial" w:hAnsi="Arial" w:cs="Arial"/>
                <w:sz w:val="24"/>
                <w:szCs w:val="24"/>
              </w:rPr>
            </w:pPr>
            <w:r w:rsidRPr="00FA3F9C">
              <w:rPr>
                <w:rFonts w:ascii="Arial" w:hAnsi="Arial" w:cs="Arial"/>
                <w:sz w:val="24"/>
                <w:szCs w:val="24"/>
              </w:rPr>
              <w:t xml:space="preserve">Note:  </w:t>
            </w:r>
          </w:p>
          <w:p w14:paraId="0F6C073A" w14:textId="77777777" w:rsidR="009B5AA5" w:rsidRPr="00FA3F9C" w:rsidRDefault="009B5AA5" w:rsidP="00614038">
            <w:pPr>
              <w:spacing w:after="0" w:line="240" w:lineRule="auto"/>
              <w:rPr>
                <w:rFonts w:ascii="Arial" w:hAnsi="Arial" w:cs="Arial"/>
                <w:sz w:val="24"/>
                <w:szCs w:val="24"/>
              </w:rPr>
            </w:pPr>
            <w:r w:rsidRPr="00FA3F9C">
              <w:rPr>
                <w:rFonts w:ascii="Arial" w:hAnsi="Arial" w:cs="Arial"/>
                <w:sz w:val="24"/>
                <w:szCs w:val="24"/>
              </w:rPr>
              <w:t xml:space="preserve">-OS benefit of pembrolizumab vs single agent systemic therapy (methotrexate, docetaxel, cetuximab) was 8.4mo vs  6.9 </w:t>
            </w:r>
            <w:proofErr w:type="spellStart"/>
            <w:r w:rsidRPr="00FA3F9C">
              <w:rPr>
                <w:rFonts w:ascii="Arial" w:hAnsi="Arial" w:cs="Arial"/>
                <w:sz w:val="24"/>
                <w:szCs w:val="24"/>
              </w:rPr>
              <w:t>mo</w:t>
            </w:r>
            <w:proofErr w:type="spellEnd"/>
            <w:r w:rsidRPr="00FA3F9C">
              <w:rPr>
                <w:rFonts w:ascii="Arial" w:hAnsi="Arial" w:cs="Arial"/>
                <w:sz w:val="24"/>
                <w:szCs w:val="24"/>
              </w:rPr>
              <w:t xml:space="preserve"> (HR 0.8, 0.65-0.98). Fewer severe adverse effects with pembrolizumab (13% vs. 36%). </w:t>
            </w:r>
          </w:p>
          <w:p w14:paraId="3E5DFB9C" w14:textId="77777777" w:rsidR="009B5AA5" w:rsidRPr="00FA3F9C" w:rsidRDefault="009B5AA5" w:rsidP="00614038">
            <w:pPr>
              <w:spacing w:after="0" w:line="240" w:lineRule="auto"/>
              <w:rPr>
                <w:rFonts w:ascii="Arial" w:hAnsi="Arial" w:cs="Arial"/>
                <w:sz w:val="24"/>
                <w:szCs w:val="24"/>
              </w:rPr>
            </w:pPr>
            <w:r w:rsidRPr="00FA3F9C">
              <w:rPr>
                <w:rFonts w:ascii="Arial" w:hAnsi="Arial" w:cs="Arial"/>
                <w:sz w:val="24"/>
                <w:szCs w:val="24"/>
              </w:rPr>
              <w:t>- Pembrolizumab is continued until disease progression or unacceptable toxicity</w:t>
            </w:r>
          </w:p>
          <w:p w14:paraId="368A6AB6" w14:textId="77777777" w:rsidR="009B5AA5" w:rsidRPr="00FA3F9C" w:rsidRDefault="009B5AA5" w:rsidP="00614038">
            <w:pPr>
              <w:spacing w:after="0" w:line="240" w:lineRule="auto"/>
              <w:rPr>
                <w:rFonts w:ascii="Arial" w:hAnsi="Arial" w:cs="Arial"/>
                <w:sz w:val="24"/>
                <w:szCs w:val="24"/>
              </w:rPr>
            </w:pPr>
            <w:r w:rsidRPr="00FA3F9C">
              <w:rPr>
                <w:rFonts w:ascii="Arial" w:hAnsi="Arial" w:cs="Arial"/>
                <w:sz w:val="24"/>
                <w:szCs w:val="24"/>
              </w:rPr>
              <w:t>-Pembrolizumab has not been well studied for treatment of nasopharyngeal tumors. These tumors behave differently from other head and neck cancers and were excluded from referenced trial.</w:t>
            </w:r>
          </w:p>
          <w:p w14:paraId="772C9630" w14:textId="77777777" w:rsidR="009B5AA5" w:rsidRPr="00FA3F9C" w:rsidRDefault="009B5AA5" w:rsidP="00614038">
            <w:pPr>
              <w:spacing w:after="0" w:line="240" w:lineRule="auto"/>
              <w:rPr>
                <w:rFonts w:ascii="Arial" w:hAnsi="Arial" w:cs="Arial"/>
                <w:sz w:val="24"/>
                <w:szCs w:val="24"/>
              </w:rPr>
            </w:pPr>
          </w:p>
          <w:p w14:paraId="048AB9FC" w14:textId="77777777" w:rsidR="009B5AA5" w:rsidRPr="00FA3F9C" w:rsidRDefault="009B5AA5" w:rsidP="00614038">
            <w:pPr>
              <w:spacing w:after="0" w:line="240" w:lineRule="auto"/>
              <w:rPr>
                <w:rFonts w:ascii="Arial" w:hAnsi="Arial" w:cs="Arial"/>
                <w:sz w:val="24"/>
                <w:szCs w:val="24"/>
                <w:lang w:val="es-ES"/>
              </w:rPr>
            </w:pPr>
            <w:r w:rsidRPr="00FA3F9C">
              <w:rPr>
                <w:rFonts w:ascii="Arial" w:hAnsi="Arial" w:cs="Arial"/>
                <w:sz w:val="24"/>
                <w:szCs w:val="24"/>
                <w:lang w:val="es-ES"/>
              </w:rPr>
              <w:t>REFERENCE:</w:t>
            </w:r>
          </w:p>
          <w:p w14:paraId="590DA67A" w14:textId="77777777" w:rsidR="009B5AA5" w:rsidRPr="00FA3F9C" w:rsidRDefault="00500371" w:rsidP="00614038">
            <w:pPr>
              <w:shd w:val="clear" w:color="auto" w:fill="BFBFBF" w:themeFill="background1" w:themeFillShade="BF"/>
              <w:spacing w:after="0" w:line="240" w:lineRule="auto"/>
              <w:rPr>
                <w:rFonts w:ascii="Arial" w:hAnsi="Arial" w:cs="Arial"/>
                <w:sz w:val="24"/>
                <w:szCs w:val="24"/>
              </w:rPr>
            </w:pPr>
            <w:hyperlink r:id="rId331" w:history="1">
              <w:r w:rsidR="009B5AA5" w:rsidRPr="00FA3F9C">
                <w:rPr>
                  <w:rFonts w:ascii="Arial" w:hAnsi="Arial" w:cs="Arial"/>
                  <w:sz w:val="24"/>
                  <w:szCs w:val="24"/>
                  <w:lang w:val="es-ES"/>
                </w:rPr>
                <w:t>Cohen EEW</w:t>
              </w:r>
            </w:hyperlink>
            <w:r w:rsidR="009B5AA5" w:rsidRPr="00FA3F9C">
              <w:rPr>
                <w:rFonts w:ascii="Arial" w:hAnsi="Arial" w:cs="Arial"/>
                <w:sz w:val="24"/>
                <w:szCs w:val="24"/>
                <w:lang w:val="es-ES"/>
              </w:rPr>
              <w:t xml:space="preserve"> et al.</w:t>
            </w:r>
            <w:r w:rsidR="009B5AA5" w:rsidRPr="00FA3F9C">
              <w:rPr>
                <w:rFonts w:ascii="Arial" w:hAnsi="Arial" w:cs="Arial"/>
                <w:b/>
                <w:sz w:val="24"/>
                <w:szCs w:val="24"/>
                <w:lang w:val="es-ES"/>
              </w:rPr>
              <w:t xml:space="preserve"> </w:t>
            </w:r>
            <w:r w:rsidR="009B5AA5" w:rsidRPr="00FA3F9C">
              <w:rPr>
                <w:rFonts w:ascii="Arial" w:hAnsi="Arial" w:cs="Arial"/>
                <w:sz w:val="24"/>
                <w:szCs w:val="24"/>
              </w:rPr>
              <w:t xml:space="preserve">Pembrolizumab versus methotrexate, docetaxel, or cetuximab for recurrent or metastatic head-and-neck squamous cell carcinoma (KEYNOTE-040): a </w:t>
            </w:r>
            <w:proofErr w:type="spellStart"/>
            <w:r w:rsidR="009B5AA5" w:rsidRPr="00FA3F9C">
              <w:rPr>
                <w:rFonts w:ascii="Arial" w:hAnsi="Arial" w:cs="Arial"/>
                <w:sz w:val="24"/>
                <w:szCs w:val="24"/>
              </w:rPr>
              <w:t>randomised</w:t>
            </w:r>
            <w:proofErr w:type="spellEnd"/>
            <w:r w:rsidR="009B5AA5" w:rsidRPr="00FA3F9C">
              <w:rPr>
                <w:rFonts w:ascii="Arial" w:hAnsi="Arial" w:cs="Arial"/>
                <w:sz w:val="24"/>
                <w:szCs w:val="24"/>
              </w:rPr>
              <w:t xml:space="preserve">, open-label, phase 3 study. </w:t>
            </w:r>
            <w:hyperlink r:id="rId332" w:tooltip="Lancet (London, England)." w:history="1">
              <w:r w:rsidR="009B5AA5" w:rsidRPr="00FA3F9C">
                <w:rPr>
                  <w:rFonts w:ascii="Arial" w:hAnsi="Arial" w:cs="Arial"/>
                  <w:sz w:val="24"/>
                  <w:szCs w:val="24"/>
                </w:rPr>
                <w:t>Lancet.</w:t>
              </w:r>
            </w:hyperlink>
            <w:r w:rsidR="009B5AA5" w:rsidRPr="00FA3F9C">
              <w:rPr>
                <w:rFonts w:ascii="Arial" w:hAnsi="Arial" w:cs="Arial"/>
                <w:sz w:val="24"/>
                <w:szCs w:val="24"/>
              </w:rPr>
              <w:t xml:space="preserve"> 2019 Jan 12;393(10167):156-167. [keynote 040; NCT02252042]</w:t>
            </w:r>
          </w:p>
        </w:tc>
      </w:tr>
    </w:tbl>
    <w:p w14:paraId="6FB06FAC" w14:textId="77777777" w:rsidR="009B5AA5" w:rsidRPr="00FA3F9C" w:rsidRDefault="009B5AA5" w:rsidP="002C32D1">
      <w:pPr>
        <w:rPr>
          <w:rFonts w:ascii="Arial" w:hAnsi="Arial" w:cs="Arial"/>
          <w:b/>
          <w:sz w:val="24"/>
          <w:szCs w:val="24"/>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68"/>
      </w:tblGrid>
      <w:tr w:rsidR="009B5AA5" w:rsidRPr="00FA3F9C" w14:paraId="7DF8C83C" w14:textId="77777777" w:rsidTr="00614038">
        <w:tc>
          <w:tcPr>
            <w:tcW w:w="10368" w:type="dxa"/>
            <w:tcBorders>
              <w:bottom w:val="single" w:sz="4" w:space="0" w:color="auto"/>
            </w:tcBorders>
            <w:shd w:val="clear" w:color="auto" w:fill="000000"/>
          </w:tcPr>
          <w:p w14:paraId="5EB918C9" w14:textId="77777777" w:rsidR="009B5AA5" w:rsidRPr="00FA3F9C" w:rsidRDefault="009B5AA5" w:rsidP="00614038">
            <w:pPr>
              <w:spacing w:after="0" w:line="240" w:lineRule="auto"/>
              <w:rPr>
                <w:rFonts w:ascii="Arial" w:hAnsi="Arial" w:cs="Arial"/>
                <w:b/>
                <w:sz w:val="24"/>
                <w:szCs w:val="24"/>
                <w:u w:val="single"/>
              </w:rPr>
            </w:pPr>
            <w:r w:rsidRPr="00FA3F9C">
              <w:rPr>
                <w:rFonts w:ascii="Arial" w:hAnsi="Arial" w:cs="Arial"/>
                <w:sz w:val="24"/>
                <w:szCs w:val="24"/>
              </w:rPr>
              <w:br w:type="page"/>
            </w:r>
            <w:r w:rsidRPr="00FA3F9C">
              <w:rPr>
                <w:rFonts w:ascii="Arial" w:hAnsi="Arial" w:cs="Arial"/>
                <w:b/>
                <w:sz w:val="24"/>
                <w:szCs w:val="24"/>
                <w:u w:val="single"/>
              </w:rPr>
              <w:t>Urothelial Cancer (aka bladder aka transitional cell carcinoma)</w:t>
            </w:r>
            <w:bookmarkStart w:id="261" w:name="urothelia"/>
            <w:bookmarkEnd w:id="261"/>
          </w:p>
        </w:tc>
      </w:tr>
      <w:tr w:rsidR="009B5AA5" w:rsidRPr="00FA3F9C" w14:paraId="7E9EE3A4" w14:textId="77777777" w:rsidTr="00614038">
        <w:tc>
          <w:tcPr>
            <w:tcW w:w="10368" w:type="dxa"/>
          </w:tcPr>
          <w:p w14:paraId="4C26913E" w14:textId="77777777" w:rsidR="009B5AA5" w:rsidRPr="00FA3F9C" w:rsidRDefault="009B5AA5" w:rsidP="00FC1E85">
            <w:pPr>
              <w:pStyle w:val="ListParagraph"/>
              <w:numPr>
                <w:ilvl w:val="0"/>
                <w:numId w:val="417"/>
              </w:numPr>
              <w:spacing w:after="0" w:line="240" w:lineRule="auto"/>
              <w:ind w:left="332" w:hanging="332"/>
              <w:rPr>
                <w:rFonts w:ascii="Arial" w:hAnsi="Arial" w:cs="Arial"/>
                <w:sz w:val="24"/>
                <w:szCs w:val="24"/>
              </w:rPr>
            </w:pPr>
            <w:r w:rsidRPr="00FA3F9C">
              <w:rPr>
                <w:rFonts w:ascii="Arial" w:hAnsi="Arial" w:cs="Arial"/>
                <w:sz w:val="24"/>
                <w:szCs w:val="24"/>
              </w:rPr>
              <w:t xml:space="preserve">Urothelial carcinoma with advanced/metastatic disease with progression of disease after platinum-based chemotherapy </w:t>
            </w:r>
            <w:r w:rsidRPr="00FA3F9C">
              <w:rPr>
                <w:rFonts w:ascii="Arial" w:hAnsi="Arial" w:cs="Arial"/>
                <w:b/>
                <w:sz w:val="24"/>
                <w:szCs w:val="24"/>
                <w:u w:val="single"/>
              </w:rPr>
              <w:t>OR</w:t>
            </w:r>
            <w:r w:rsidRPr="00FA3F9C">
              <w:rPr>
                <w:rFonts w:ascii="Arial" w:hAnsi="Arial" w:cs="Arial"/>
                <w:sz w:val="24"/>
                <w:szCs w:val="24"/>
              </w:rPr>
              <w:t xml:space="preserve"> recurrence within 12 months of platinum-based adjuvant or neoadjuvant therapy.</w:t>
            </w:r>
          </w:p>
        </w:tc>
      </w:tr>
      <w:tr w:rsidR="009B5AA5" w:rsidRPr="00FA3F9C" w14:paraId="2198855E" w14:textId="77777777" w:rsidTr="00614038">
        <w:tc>
          <w:tcPr>
            <w:tcW w:w="10368" w:type="dxa"/>
          </w:tcPr>
          <w:p w14:paraId="30900EE7" w14:textId="77777777" w:rsidR="009B5AA5" w:rsidRPr="00FA3F9C" w:rsidRDefault="009B5AA5" w:rsidP="00FC1E85">
            <w:pPr>
              <w:pStyle w:val="ListParagraph"/>
              <w:numPr>
                <w:ilvl w:val="0"/>
                <w:numId w:val="417"/>
              </w:numPr>
              <w:spacing w:after="0" w:line="240" w:lineRule="auto"/>
              <w:ind w:left="332" w:hanging="332"/>
              <w:rPr>
                <w:rFonts w:ascii="Arial" w:hAnsi="Arial" w:cs="Arial"/>
                <w:sz w:val="24"/>
                <w:szCs w:val="24"/>
              </w:rPr>
            </w:pPr>
            <w:r w:rsidRPr="00FA3F9C">
              <w:rPr>
                <w:rFonts w:ascii="Arial" w:hAnsi="Arial" w:cs="Arial"/>
                <w:sz w:val="24"/>
                <w:szCs w:val="24"/>
              </w:rPr>
              <w:t>Patient has not been treated with prior PD-1 or PD-L1 inhibitor (</w:t>
            </w:r>
            <w:proofErr w:type="gramStart"/>
            <w:r w:rsidRPr="00FA3F9C">
              <w:rPr>
                <w:rFonts w:ascii="Arial" w:hAnsi="Arial" w:cs="Arial"/>
                <w:sz w:val="24"/>
                <w:szCs w:val="24"/>
              </w:rPr>
              <w:t>e.g.</w:t>
            </w:r>
            <w:proofErr w:type="gramEnd"/>
            <w:r w:rsidRPr="00FA3F9C">
              <w:rPr>
                <w:rFonts w:ascii="Arial" w:hAnsi="Arial" w:cs="Arial"/>
                <w:sz w:val="24"/>
                <w:szCs w:val="24"/>
              </w:rPr>
              <w:t xml:space="preserve"> nivolumab, pembrolizumab, atezolizumab, durvalumab)</w:t>
            </w:r>
          </w:p>
        </w:tc>
      </w:tr>
      <w:tr w:rsidR="009B5AA5" w:rsidRPr="00FA3F9C" w14:paraId="2633C071" w14:textId="77777777" w:rsidTr="00614038">
        <w:tc>
          <w:tcPr>
            <w:tcW w:w="10368" w:type="dxa"/>
          </w:tcPr>
          <w:p w14:paraId="73412BA1" w14:textId="77777777" w:rsidR="009B5AA5" w:rsidRPr="00FA3F9C" w:rsidRDefault="009B5AA5" w:rsidP="00FC1E85">
            <w:pPr>
              <w:pStyle w:val="ListParagraph"/>
              <w:numPr>
                <w:ilvl w:val="0"/>
                <w:numId w:val="417"/>
              </w:numPr>
              <w:spacing w:after="0" w:line="240" w:lineRule="auto"/>
              <w:ind w:left="332" w:hanging="332"/>
              <w:rPr>
                <w:rFonts w:ascii="Arial" w:hAnsi="Arial" w:cs="Arial"/>
                <w:sz w:val="24"/>
                <w:szCs w:val="24"/>
              </w:rPr>
            </w:pPr>
            <w:r w:rsidRPr="00FA3F9C">
              <w:rPr>
                <w:rFonts w:ascii="Arial" w:hAnsi="Arial" w:cs="Arial"/>
                <w:sz w:val="24"/>
                <w:szCs w:val="24"/>
              </w:rPr>
              <w:t>The patient must be ECOG performance status 0, 1, or 2 at initiation.</w:t>
            </w:r>
          </w:p>
        </w:tc>
      </w:tr>
      <w:tr w:rsidR="009B5AA5" w:rsidRPr="00FA3F9C" w14:paraId="51CDBE9F" w14:textId="77777777" w:rsidTr="00614038">
        <w:tc>
          <w:tcPr>
            <w:tcW w:w="10368" w:type="dxa"/>
          </w:tcPr>
          <w:p w14:paraId="2A6A79C2" w14:textId="77777777" w:rsidR="009B5AA5" w:rsidRPr="00FA3F9C" w:rsidRDefault="009B5AA5" w:rsidP="00614038">
            <w:pPr>
              <w:spacing w:after="0" w:line="240" w:lineRule="auto"/>
              <w:rPr>
                <w:rFonts w:ascii="Arial" w:hAnsi="Arial" w:cs="Arial"/>
                <w:sz w:val="24"/>
                <w:szCs w:val="24"/>
              </w:rPr>
            </w:pPr>
            <w:r w:rsidRPr="00FA3F9C">
              <w:rPr>
                <w:rFonts w:ascii="Arial" w:hAnsi="Arial" w:cs="Arial"/>
                <w:b/>
                <w:sz w:val="24"/>
                <w:szCs w:val="24"/>
              </w:rPr>
              <w:t>If all criteria fulfilled, approve for 12 months</w:t>
            </w:r>
          </w:p>
        </w:tc>
      </w:tr>
      <w:tr w:rsidR="009B5AA5" w:rsidRPr="00FA3F9C" w14:paraId="4EE8BF18" w14:textId="77777777" w:rsidTr="00614038">
        <w:tc>
          <w:tcPr>
            <w:tcW w:w="10368" w:type="dxa"/>
            <w:tcBorders>
              <w:bottom w:val="single" w:sz="4" w:space="0" w:color="auto"/>
            </w:tcBorders>
            <w:shd w:val="clear" w:color="auto" w:fill="000000" w:themeFill="text1"/>
          </w:tcPr>
          <w:p w14:paraId="5D16CDF9" w14:textId="77777777" w:rsidR="009B5AA5" w:rsidRPr="00FA3F9C" w:rsidRDefault="009B5AA5" w:rsidP="00614038">
            <w:pPr>
              <w:spacing w:after="0" w:line="240" w:lineRule="auto"/>
              <w:rPr>
                <w:rFonts w:ascii="Arial" w:hAnsi="Arial" w:cs="Arial"/>
                <w:sz w:val="24"/>
                <w:szCs w:val="24"/>
              </w:rPr>
            </w:pPr>
            <w:r w:rsidRPr="00FA3F9C">
              <w:rPr>
                <w:rFonts w:ascii="Arial" w:hAnsi="Arial" w:cs="Arial"/>
                <w:b/>
                <w:sz w:val="24"/>
                <w:szCs w:val="24"/>
                <w:u w:val="single"/>
              </w:rPr>
              <w:lastRenderedPageBreak/>
              <w:t>Criteria for continuation</w:t>
            </w:r>
          </w:p>
        </w:tc>
      </w:tr>
      <w:tr w:rsidR="009B5AA5" w:rsidRPr="00FA3F9C" w14:paraId="2CCB54FC" w14:textId="77777777" w:rsidTr="00614038">
        <w:tc>
          <w:tcPr>
            <w:tcW w:w="10368" w:type="dxa"/>
          </w:tcPr>
          <w:p w14:paraId="51F7DC4D" w14:textId="77777777" w:rsidR="009B5AA5" w:rsidRPr="00FA3F9C" w:rsidRDefault="009B5AA5" w:rsidP="00614038">
            <w:pPr>
              <w:spacing w:after="0" w:line="240" w:lineRule="auto"/>
              <w:rPr>
                <w:rFonts w:ascii="Arial" w:hAnsi="Arial" w:cs="Arial"/>
                <w:sz w:val="24"/>
                <w:szCs w:val="24"/>
              </w:rPr>
            </w:pPr>
            <w:r w:rsidRPr="00FA3F9C">
              <w:rPr>
                <w:rFonts w:ascii="Arial" w:hAnsi="Arial" w:cs="Arial"/>
                <w:sz w:val="24"/>
                <w:szCs w:val="24"/>
              </w:rPr>
              <w:t>No disease progression</w:t>
            </w:r>
          </w:p>
        </w:tc>
      </w:tr>
      <w:tr w:rsidR="009B5AA5" w:rsidRPr="00FA3F9C" w14:paraId="708D51A4" w14:textId="77777777" w:rsidTr="00614038">
        <w:tc>
          <w:tcPr>
            <w:tcW w:w="10368" w:type="dxa"/>
          </w:tcPr>
          <w:p w14:paraId="0F880750" w14:textId="77777777" w:rsidR="009B5AA5" w:rsidRPr="00FA3F9C" w:rsidRDefault="009B5AA5" w:rsidP="00614038">
            <w:pPr>
              <w:spacing w:after="0" w:line="240" w:lineRule="auto"/>
              <w:rPr>
                <w:rFonts w:ascii="Arial" w:hAnsi="Arial" w:cs="Arial"/>
                <w:sz w:val="24"/>
                <w:szCs w:val="24"/>
              </w:rPr>
            </w:pPr>
            <w:r w:rsidRPr="00FA3F9C">
              <w:rPr>
                <w:rFonts w:ascii="Arial" w:hAnsi="Arial" w:cs="Arial"/>
                <w:sz w:val="24"/>
                <w:szCs w:val="24"/>
              </w:rPr>
              <w:t>No unacceptable toxicity</w:t>
            </w:r>
          </w:p>
        </w:tc>
      </w:tr>
      <w:tr w:rsidR="009B5AA5" w:rsidRPr="00FA3F9C" w14:paraId="2AC7340C" w14:textId="77777777" w:rsidTr="00614038">
        <w:tc>
          <w:tcPr>
            <w:tcW w:w="10368" w:type="dxa"/>
          </w:tcPr>
          <w:p w14:paraId="7881E8A7" w14:textId="77777777" w:rsidR="009B5AA5" w:rsidRPr="00FA3F9C" w:rsidRDefault="009B5AA5" w:rsidP="00614038">
            <w:pPr>
              <w:spacing w:after="0" w:line="240" w:lineRule="auto"/>
              <w:rPr>
                <w:rFonts w:ascii="Arial" w:hAnsi="Arial" w:cs="Arial"/>
                <w:sz w:val="24"/>
                <w:szCs w:val="24"/>
              </w:rPr>
            </w:pPr>
            <w:r w:rsidRPr="00FA3F9C">
              <w:rPr>
                <w:rFonts w:ascii="Arial" w:hAnsi="Arial" w:cs="Arial"/>
                <w:b/>
                <w:sz w:val="24"/>
                <w:szCs w:val="24"/>
              </w:rPr>
              <w:t xml:space="preserve">If </w:t>
            </w:r>
            <w:proofErr w:type="gramStart"/>
            <w:r w:rsidRPr="00FA3F9C">
              <w:rPr>
                <w:rFonts w:ascii="Arial" w:hAnsi="Arial" w:cs="Arial"/>
                <w:b/>
                <w:sz w:val="24"/>
                <w:szCs w:val="24"/>
              </w:rPr>
              <w:t>both of the continuation</w:t>
            </w:r>
            <w:proofErr w:type="gramEnd"/>
            <w:r w:rsidRPr="00FA3F9C">
              <w:rPr>
                <w:rFonts w:ascii="Arial" w:hAnsi="Arial" w:cs="Arial"/>
                <w:b/>
                <w:sz w:val="24"/>
                <w:szCs w:val="24"/>
              </w:rPr>
              <w:t xml:space="preserve"> criteria are fulfilled, approve for 12 months. </w:t>
            </w:r>
          </w:p>
        </w:tc>
      </w:tr>
      <w:tr w:rsidR="009B5AA5" w:rsidRPr="00FA3F9C" w14:paraId="259CD7F9" w14:textId="77777777" w:rsidTr="00614038">
        <w:tc>
          <w:tcPr>
            <w:tcW w:w="10368" w:type="dxa"/>
            <w:tcBorders>
              <w:bottom w:val="single" w:sz="4" w:space="0" w:color="auto"/>
            </w:tcBorders>
            <w:shd w:val="clear" w:color="auto" w:fill="BFBFBF" w:themeFill="background1" w:themeFillShade="BF"/>
          </w:tcPr>
          <w:p w14:paraId="3724810F" w14:textId="77777777" w:rsidR="009B5AA5" w:rsidRPr="00FA3F9C" w:rsidRDefault="009B5AA5" w:rsidP="00614038">
            <w:pPr>
              <w:spacing w:after="0" w:line="240" w:lineRule="auto"/>
              <w:rPr>
                <w:rFonts w:ascii="Arial" w:hAnsi="Arial" w:cs="Arial"/>
                <w:sz w:val="24"/>
                <w:szCs w:val="24"/>
              </w:rPr>
            </w:pPr>
            <w:r w:rsidRPr="00FA3F9C">
              <w:rPr>
                <w:rFonts w:ascii="Arial" w:hAnsi="Arial" w:cs="Arial"/>
                <w:sz w:val="24"/>
                <w:szCs w:val="24"/>
              </w:rPr>
              <w:t xml:space="preserve">Note:  </w:t>
            </w:r>
          </w:p>
          <w:p w14:paraId="0E77E7FB" w14:textId="77777777" w:rsidR="009B5AA5" w:rsidRPr="00FA3F9C" w:rsidRDefault="009B5AA5" w:rsidP="00614038">
            <w:pPr>
              <w:spacing w:after="0" w:line="240" w:lineRule="auto"/>
              <w:rPr>
                <w:rFonts w:ascii="Arial" w:hAnsi="Arial" w:cs="Arial"/>
                <w:sz w:val="24"/>
                <w:szCs w:val="24"/>
              </w:rPr>
            </w:pPr>
            <w:r w:rsidRPr="00FA3F9C">
              <w:rPr>
                <w:rFonts w:ascii="Arial" w:hAnsi="Arial" w:cs="Arial"/>
                <w:sz w:val="24"/>
                <w:szCs w:val="24"/>
              </w:rPr>
              <w:t xml:space="preserve">-OS was improved with pembrolizumab versus chemotherapy in this population (median OS 10.3 </w:t>
            </w:r>
            <w:proofErr w:type="spellStart"/>
            <w:r w:rsidRPr="00FA3F9C">
              <w:rPr>
                <w:rFonts w:ascii="Arial" w:hAnsi="Arial" w:cs="Arial"/>
                <w:sz w:val="24"/>
                <w:szCs w:val="24"/>
              </w:rPr>
              <w:t>mo</w:t>
            </w:r>
            <w:proofErr w:type="spellEnd"/>
            <w:r w:rsidRPr="00FA3F9C">
              <w:rPr>
                <w:rFonts w:ascii="Arial" w:hAnsi="Arial" w:cs="Arial"/>
                <w:sz w:val="24"/>
                <w:szCs w:val="24"/>
              </w:rPr>
              <w:t xml:space="preserve"> vs 7.4 </w:t>
            </w:r>
            <w:proofErr w:type="spellStart"/>
            <w:r w:rsidRPr="00FA3F9C">
              <w:rPr>
                <w:rFonts w:ascii="Arial" w:hAnsi="Arial" w:cs="Arial"/>
                <w:sz w:val="24"/>
                <w:szCs w:val="24"/>
              </w:rPr>
              <w:t>mo</w:t>
            </w:r>
            <w:proofErr w:type="spellEnd"/>
            <w:r w:rsidRPr="00FA3F9C">
              <w:rPr>
                <w:rFonts w:ascii="Arial" w:hAnsi="Arial" w:cs="Arial"/>
                <w:sz w:val="24"/>
                <w:szCs w:val="24"/>
              </w:rPr>
              <w:t>; HR 0.73; 95% CI 0.59-0.91). Fewer severe adverse events in pembrolizumab arm (15% vs 49%).</w:t>
            </w:r>
          </w:p>
          <w:p w14:paraId="290B3F42" w14:textId="77777777" w:rsidR="009B5AA5" w:rsidRPr="00FA3F9C" w:rsidRDefault="009B5AA5" w:rsidP="00614038">
            <w:pPr>
              <w:spacing w:after="0" w:line="240" w:lineRule="auto"/>
              <w:rPr>
                <w:rFonts w:ascii="Arial" w:hAnsi="Arial" w:cs="Arial"/>
                <w:sz w:val="24"/>
                <w:szCs w:val="24"/>
              </w:rPr>
            </w:pPr>
            <w:r w:rsidRPr="00FA3F9C">
              <w:rPr>
                <w:rFonts w:ascii="Arial" w:hAnsi="Arial" w:cs="Arial"/>
                <w:sz w:val="24"/>
                <w:szCs w:val="24"/>
              </w:rPr>
              <w:t>-First line therapy for cisplatin or chemo-ineligible patients is not covered. Data is limited to single arm trials at this time. No other immunotherapy is covered by EBRx for first-line treatment of urothelial cancer and chemotherapy should be used.</w:t>
            </w:r>
          </w:p>
          <w:p w14:paraId="2F868DDC" w14:textId="77777777" w:rsidR="009B5AA5" w:rsidRPr="00FA3F9C" w:rsidRDefault="009B5AA5" w:rsidP="00614038">
            <w:pPr>
              <w:spacing w:after="0" w:line="240" w:lineRule="auto"/>
              <w:rPr>
                <w:rFonts w:ascii="Arial" w:hAnsi="Arial" w:cs="Arial"/>
                <w:sz w:val="24"/>
                <w:szCs w:val="24"/>
              </w:rPr>
            </w:pPr>
            <w:r w:rsidRPr="00FA3F9C">
              <w:rPr>
                <w:rFonts w:ascii="Arial" w:hAnsi="Arial" w:cs="Arial"/>
                <w:sz w:val="24"/>
                <w:szCs w:val="24"/>
              </w:rPr>
              <w:t>- Pembrolizumab is continued until disease progression or unacceptable toxicity.</w:t>
            </w:r>
          </w:p>
          <w:p w14:paraId="57FD0451" w14:textId="77777777" w:rsidR="009B5AA5" w:rsidRPr="00FA3F9C" w:rsidRDefault="009B5AA5" w:rsidP="00614038">
            <w:pPr>
              <w:spacing w:after="0" w:line="240" w:lineRule="auto"/>
              <w:rPr>
                <w:rFonts w:ascii="Arial" w:hAnsi="Arial" w:cs="Arial"/>
                <w:sz w:val="24"/>
                <w:szCs w:val="24"/>
              </w:rPr>
            </w:pPr>
          </w:p>
          <w:p w14:paraId="209B77A3" w14:textId="77777777" w:rsidR="009B5AA5" w:rsidRPr="00FA3F9C" w:rsidRDefault="009B5AA5" w:rsidP="00500AD5">
            <w:r w:rsidRPr="00FA3F9C">
              <w:t>REFERENCE:</w:t>
            </w:r>
          </w:p>
          <w:p w14:paraId="07496463" w14:textId="77777777" w:rsidR="009B5AA5" w:rsidRPr="00FA3F9C" w:rsidRDefault="00500371" w:rsidP="00500AD5">
            <w:hyperlink r:id="rId333" w:history="1">
              <w:proofErr w:type="spellStart"/>
              <w:r w:rsidR="009B5AA5" w:rsidRPr="00FA3F9C">
                <w:rPr>
                  <w:rStyle w:val="Hyperlink"/>
                  <w:rFonts w:ascii="Arial" w:hAnsi="Arial" w:cs="Arial"/>
                  <w:color w:val="333333"/>
                  <w:sz w:val="24"/>
                  <w:szCs w:val="24"/>
                </w:rPr>
                <w:t>Bellmunt</w:t>
              </w:r>
              <w:proofErr w:type="spellEnd"/>
              <w:r w:rsidR="009B5AA5" w:rsidRPr="00FA3F9C">
                <w:rPr>
                  <w:rStyle w:val="Hyperlink"/>
                  <w:rFonts w:ascii="Arial" w:hAnsi="Arial" w:cs="Arial"/>
                  <w:color w:val="333333"/>
                  <w:sz w:val="24"/>
                  <w:szCs w:val="24"/>
                </w:rPr>
                <w:t xml:space="preserve"> J</w:t>
              </w:r>
            </w:hyperlink>
            <w:r w:rsidR="009B5AA5" w:rsidRPr="00FA3F9C">
              <w:rPr>
                <w:color w:val="000000"/>
              </w:rPr>
              <w:t xml:space="preserve"> et al. Pembrolizumab as Second-Line Therapy for Advanced Urothelial Carcinoma. </w:t>
            </w:r>
            <w:hyperlink r:id="rId334" w:tooltip="The New England journal of medicine." w:history="1">
              <w:r w:rsidR="009B5AA5" w:rsidRPr="00FA3F9C">
                <w:rPr>
                  <w:rStyle w:val="Hyperlink"/>
                  <w:rFonts w:ascii="Arial" w:hAnsi="Arial" w:cs="Arial"/>
                  <w:color w:val="333333"/>
                  <w:sz w:val="24"/>
                  <w:szCs w:val="24"/>
                </w:rPr>
                <w:t xml:space="preserve">N </w:t>
              </w:r>
              <w:proofErr w:type="spellStart"/>
              <w:r w:rsidR="009B5AA5" w:rsidRPr="00FA3F9C">
                <w:rPr>
                  <w:rStyle w:val="Hyperlink"/>
                  <w:rFonts w:ascii="Arial" w:hAnsi="Arial" w:cs="Arial"/>
                  <w:color w:val="333333"/>
                  <w:sz w:val="24"/>
                  <w:szCs w:val="24"/>
                </w:rPr>
                <w:t>Engl</w:t>
              </w:r>
              <w:proofErr w:type="spellEnd"/>
              <w:r w:rsidR="009B5AA5" w:rsidRPr="00FA3F9C">
                <w:rPr>
                  <w:rStyle w:val="Hyperlink"/>
                  <w:rFonts w:ascii="Arial" w:hAnsi="Arial" w:cs="Arial"/>
                  <w:color w:val="333333"/>
                  <w:sz w:val="24"/>
                  <w:szCs w:val="24"/>
                </w:rPr>
                <w:t xml:space="preserve"> J Med.</w:t>
              </w:r>
            </w:hyperlink>
            <w:r w:rsidR="009B5AA5" w:rsidRPr="00FA3F9C">
              <w:rPr>
                <w:color w:val="000000"/>
              </w:rPr>
              <w:t xml:space="preserve"> 2017 Mar 16;376(11):1015-1026. </w:t>
            </w:r>
            <w:r w:rsidR="009B5AA5" w:rsidRPr="00FA3F9C">
              <w:t>[keynote 045; NCT02256436]</w:t>
            </w:r>
          </w:p>
        </w:tc>
      </w:tr>
    </w:tbl>
    <w:p w14:paraId="0D16332B" w14:textId="77777777" w:rsidR="009B5AA5" w:rsidRPr="00FA3F9C" w:rsidRDefault="009B5AA5">
      <w:pPr>
        <w:rPr>
          <w:rFonts w:ascii="Arial" w:hAnsi="Arial" w:cs="Arial"/>
          <w:sz w:val="24"/>
          <w:szCs w:val="24"/>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68"/>
      </w:tblGrid>
      <w:tr w:rsidR="009B5AA5" w:rsidRPr="00FA3F9C" w14:paraId="7E9DF800" w14:textId="77777777" w:rsidTr="006B7399">
        <w:tc>
          <w:tcPr>
            <w:tcW w:w="10368" w:type="dxa"/>
            <w:tcBorders>
              <w:bottom w:val="single" w:sz="4" w:space="0" w:color="auto"/>
            </w:tcBorders>
            <w:shd w:val="clear" w:color="auto" w:fill="000000"/>
          </w:tcPr>
          <w:p w14:paraId="27B5A594" w14:textId="77777777" w:rsidR="009B5AA5" w:rsidRPr="00FA3F9C" w:rsidRDefault="009B5AA5" w:rsidP="006B7399">
            <w:pPr>
              <w:spacing w:after="0"/>
              <w:rPr>
                <w:rFonts w:ascii="Arial" w:hAnsi="Arial" w:cs="Arial"/>
                <w:b/>
                <w:sz w:val="24"/>
                <w:szCs w:val="24"/>
                <w:u w:val="single"/>
              </w:rPr>
            </w:pPr>
            <w:r w:rsidRPr="00FA3F9C">
              <w:rPr>
                <w:rFonts w:ascii="Arial" w:hAnsi="Arial" w:cs="Arial"/>
                <w:sz w:val="24"/>
                <w:szCs w:val="24"/>
              </w:rPr>
              <w:br w:type="page"/>
            </w:r>
            <w:r w:rsidRPr="00FA3F9C">
              <w:rPr>
                <w:rFonts w:ascii="Arial" w:hAnsi="Arial" w:cs="Arial"/>
                <w:b/>
                <w:sz w:val="24"/>
                <w:szCs w:val="24"/>
                <w:u w:val="single"/>
              </w:rPr>
              <w:t>Renal Cell Carcinoma</w:t>
            </w:r>
            <w:bookmarkStart w:id="262" w:name="renal"/>
            <w:bookmarkEnd w:id="262"/>
            <w:r w:rsidRPr="00FA3F9C">
              <w:rPr>
                <w:rFonts w:ascii="Arial" w:hAnsi="Arial" w:cs="Arial"/>
                <w:b/>
                <w:sz w:val="24"/>
                <w:szCs w:val="24"/>
                <w:u w:val="single"/>
              </w:rPr>
              <w:t xml:space="preserve"> (in combination with </w:t>
            </w:r>
            <w:proofErr w:type="spellStart"/>
            <w:r w:rsidRPr="00FA3F9C">
              <w:rPr>
                <w:rFonts w:ascii="Arial" w:hAnsi="Arial" w:cs="Arial"/>
                <w:b/>
                <w:sz w:val="24"/>
                <w:szCs w:val="24"/>
                <w:u w:val="single"/>
              </w:rPr>
              <w:t>axitinib</w:t>
            </w:r>
            <w:proofErr w:type="spellEnd"/>
            <w:r w:rsidRPr="00FA3F9C">
              <w:rPr>
                <w:rFonts w:ascii="Arial" w:hAnsi="Arial" w:cs="Arial"/>
                <w:b/>
                <w:sz w:val="24"/>
                <w:szCs w:val="24"/>
                <w:u w:val="single"/>
              </w:rPr>
              <w:t>)</w:t>
            </w:r>
          </w:p>
        </w:tc>
      </w:tr>
      <w:tr w:rsidR="009B5AA5" w:rsidRPr="00FA3F9C" w14:paraId="70D8DE98" w14:textId="77777777" w:rsidTr="006B7399">
        <w:tc>
          <w:tcPr>
            <w:tcW w:w="10368" w:type="dxa"/>
          </w:tcPr>
          <w:p w14:paraId="0D402505" w14:textId="77777777" w:rsidR="009B5AA5" w:rsidRPr="00FA3F9C" w:rsidRDefault="009B5AA5" w:rsidP="009B5AA5">
            <w:pPr>
              <w:pStyle w:val="ListParagraph"/>
              <w:numPr>
                <w:ilvl w:val="0"/>
                <w:numId w:val="40"/>
              </w:numPr>
              <w:spacing w:after="0" w:line="276" w:lineRule="auto"/>
              <w:ind w:left="425" w:hanging="245"/>
              <w:rPr>
                <w:rFonts w:ascii="Arial" w:hAnsi="Arial" w:cs="Arial"/>
                <w:sz w:val="24"/>
                <w:szCs w:val="24"/>
              </w:rPr>
            </w:pPr>
            <w:r w:rsidRPr="00FA3F9C">
              <w:rPr>
                <w:rFonts w:ascii="Arial" w:hAnsi="Arial" w:cs="Arial"/>
                <w:sz w:val="24"/>
                <w:szCs w:val="24"/>
              </w:rPr>
              <w:t>Advanced or metastatic clear cell renal cell carcinoma</w:t>
            </w:r>
          </w:p>
        </w:tc>
      </w:tr>
      <w:tr w:rsidR="009B5AA5" w:rsidRPr="00FA3F9C" w14:paraId="1EB8BB39" w14:textId="77777777" w:rsidTr="006B7399">
        <w:tc>
          <w:tcPr>
            <w:tcW w:w="10368" w:type="dxa"/>
          </w:tcPr>
          <w:p w14:paraId="4AE06CBF" w14:textId="77777777" w:rsidR="009B5AA5" w:rsidRPr="00FA3F9C" w:rsidRDefault="009B5AA5" w:rsidP="009B5AA5">
            <w:pPr>
              <w:pStyle w:val="ListParagraph"/>
              <w:numPr>
                <w:ilvl w:val="0"/>
                <w:numId w:val="40"/>
              </w:numPr>
              <w:spacing w:after="0" w:line="276" w:lineRule="auto"/>
              <w:ind w:left="425" w:hanging="245"/>
              <w:rPr>
                <w:rFonts w:ascii="Arial" w:hAnsi="Arial" w:cs="Arial"/>
                <w:sz w:val="24"/>
                <w:szCs w:val="24"/>
              </w:rPr>
            </w:pPr>
            <w:r w:rsidRPr="00FA3F9C">
              <w:rPr>
                <w:rFonts w:ascii="Arial" w:hAnsi="Arial" w:cs="Arial"/>
                <w:sz w:val="24"/>
                <w:szCs w:val="24"/>
              </w:rPr>
              <w:t>No prior therapy for advanced disease</w:t>
            </w:r>
          </w:p>
        </w:tc>
      </w:tr>
      <w:tr w:rsidR="009B5AA5" w:rsidRPr="00FA3F9C" w14:paraId="20EDC0AB" w14:textId="77777777" w:rsidTr="006B7399">
        <w:tc>
          <w:tcPr>
            <w:tcW w:w="10368" w:type="dxa"/>
          </w:tcPr>
          <w:p w14:paraId="2FF33966" w14:textId="77777777" w:rsidR="009B5AA5" w:rsidRPr="00FA3F9C" w:rsidRDefault="009B5AA5" w:rsidP="009B5AA5">
            <w:pPr>
              <w:pStyle w:val="ListParagraph"/>
              <w:numPr>
                <w:ilvl w:val="0"/>
                <w:numId w:val="40"/>
              </w:numPr>
              <w:spacing w:after="0" w:line="276" w:lineRule="auto"/>
              <w:ind w:left="432" w:hanging="245"/>
              <w:rPr>
                <w:rFonts w:ascii="Arial" w:hAnsi="Arial" w:cs="Arial"/>
                <w:sz w:val="24"/>
                <w:szCs w:val="24"/>
              </w:rPr>
            </w:pPr>
            <w:r w:rsidRPr="00FA3F9C">
              <w:rPr>
                <w:rFonts w:ascii="Arial" w:hAnsi="Arial" w:cs="Arial"/>
                <w:sz w:val="24"/>
                <w:szCs w:val="24"/>
              </w:rPr>
              <w:t xml:space="preserve">Pembrolizumab must be given in combination with </w:t>
            </w:r>
            <w:proofErr w:type="spellStart"/>
            <w:r w:rsidRPr="00FA3F9C">
              <w:rPr>
                <w:rFonts w:ascii="Arial" w:hAnsi="Arial" w:cs="Arial"/>
                <w:sz w:val="24"/>
                <w:szCs w:val="24"/>
              </w:rPr>
              <w:t>axitinib</w:t>
            </w:r>
            <w:proofErr w:type="spellEnd"/>
          </w:p>
        </w:tc>
      </w:tr>
      <w:tr w:rsidR="009B5AA5" w:rsidRPr="00FA3F9C" w14:paraId="4C8DE692" w14:textId="77777777" w:rsidTr="006B7399">
        <w:tc>
          <w:tcPr>
            <w:tcW w:w="10368" w:type="dxa"/>
          </w:tcPr>
          <w:p w14:paraId="5C0525F4" w14:textId="77777777" w:rsidR="009B5AA5" w:rsidRPr="00FA3F9C" w:rsidRDefault="009B5AA5" w:rsidP="009B5AA5">
            <w:pPr>
              <w:pStyle w:val="ListParagraph"/>
              <w:numPr>
                <w:ilvl w:val="0"/>
                <w:numId w:val="40"/>
              </w:numPr>
              <w:spacing w:after="0" w:line="276" w:lineRule="auto"/>
              <w:ind w:left="425" w:hanging="245"/>
              <w:rPr>
                <w:rFonts w:ascii="Arial" w:hAnsi="Arial" w:cs="Arial"/>
                <w:sz w:val="24"/>
                <w:szCs w:val="24"/>
              </w:rPr>
            </w:pPr>
            <w:r w:rsidRPr="00FA3F9C">
              <w:rPr>
                <w:rFonts w:ascii="Arial" w:hAnsi="Arial" w:cs="Arial"/>
                <w:sz w:val="24"/>
                <w:szCs w:val="24"/>
              </w:rPr>
              <w:t xml:space="preserve">Patient must have </w:t>
            </w:r>
            <w:proofErr w:type="spellStart"/>
            <w:r w:rsidRPr="00FA3F9C">
              <w:rPr>
                <w:rFonts w:ascii="Arial" w:hAnsi="Arial" w:cs="Arial"/>
                <w:sz w:val="24"/>
                <w:szCs w:val="24"/>
              </w:rPr>
              <w:t>Karnofsky</w:t>
            </w:r>
            <w:proofErr w:type="spellEnd"/>
            <w:r w:rsidRPr="00FA3F9C">
              <w:rPr>
                <w:rFonts w:ascii="Arial" w:hAnsi="Arial" w:cs="Arial"/>
                <w:sz w:val="24"/>
                <w:szCs w:val="24"/>
              </w:rPr>
              <w:t xml:space="preserve"> performance status of </w:t>
            </w:r>
            <w:r w:rsidRPr="00FA3F9C">
              <w:rPr>
                <w:rFonts w:ascii="Arial" w:hAnsi="Arial" w:cs="Arial"/>
                <w:sz w:val="24"/>
                <w:szCs w:val="24"/>
                <w:u w:val="single"/>
              </w:rPr>
              <w:t>&gt;</w:t>
            </w:r>
            <w:r w:rsidRPr="00FA3F9C">
              <w:rPr>
                <w:rFonts w:ascii="Arial" w:hAnsi="Arial" w:cs="Arial"/>
                <w:sz w:val="24"/>
                <w:szCs w:val="24"/>
              </w:rPr>
              <w:t>70% (see below)</w:t>
            </w:r>
          </w:p>
        </w:tc>
      </w:tr>
      <w:tr w:rsidR="009B5AA5" w:rsidRPr="00FA3F9C" w14:paraId="14B9E745" w14:textId="77777777" w:rsidTr="006B7399">
        <w:tc>
          <w:tcPr>
            <w:tcW w:w="10368" w:type="dxa"/>
          </w:tcPr>
          <w:p w14:paraId="7AD33C36" w14:textId="77777777" w:rsidR="009B5AA5" w:rsidRPr="00FA3F9C" w:rsidRDefault="009B5AA5" w:rsidP="009B5AA5">
            <w:pPr>
              <w:pStyle w:val="ListParagraph"/>
              <w:numPr>
                <w:ilvl w:val="0"/>
                <w:numId w:val="40"/>
              </w:numPr>
              <w:spacing w:after="0" w:line="276" w:lineRule="auto"/>
              <w:ind w:left="425" w:hanging="245"/>
              <w:rPr>
                <w:rFonts w:ascii="Arial" w:hAnsi="Arial" w:cs="Arial"/>
                <w:sz w:val="24"/>
                <w:szCs w:val="24"/>
              </w:rPr>
            </w:pPr>
            <w:r w:rsidRPr="00FA3F9C">
              <w:rPr>
                <w:rFonts w:ascii="Arial" w:hAnsi="Arial" w:cs="Arial"/>
                <w:sz w:val="24"/>
                <w:szCs w:val="24"/>
              </w:rPr>
              <w:t>Intermediate or poor risk disease as measured by IMDC criteria (see below)</w:t>
            </w:r>
          </w:p>
        </w:tc>
      </w:tr>
      <w:tr w:rsidR="009B5AA5" w:rsidRPr="00FA3F9C" w14:paraId="3D525D99" w14:textId="77777777" w:rsidTr="00614038">
        <w:trPr>
          <w:trHeight w:val="152"/>
        </w:trPr>
        <w:tc>
          <w:tcPr>
            <w:tcW w:w="10368" w:type="dxa"/>
          </w:tcPr>
          <w:p w14:paraId="3AE9FB16" w14:textId="77777777" w:rsidR="009B5AA5" w:rsidRPr="00FA3F9C" w:rsidRDefault="009B5AA5" w:rsidP="006B7399">
            <w:pPr>
              <w:spacing w:after="0"/>
              <w:rPr>
                <w:rFonts w:ascii="Arial" w:hAnsi="Arial" w:cs="Arial"/>
                <w:sz w:val="24"/>
                <w:szCs w:val="24"/>
              </w:rPr>
            </w:pPr>
            <w:r w:rsidRPr="00FA3F9C">
              <w:rPr>
                <w:rFonts w:ascii="Arial" w:hAnsi="Arial" w:cs="Arial"/>
                <w:b/>
                <w:sz w:val="24"/>
                <w:szCs w:val="24"/>
              </w:rPr>
              <w:t>If all criteria fulfilled, approve for 12 months</w:t>
            </w:r>
          </w:p>
        </w:tc>
      </w:tr>
      <w:tr w:rsidR="009B5AA5" w:rsidRPr="00FA3F9C" w14:paraId="1E33CE52" w14:textId="77777777" w:rsidTr="006B7399">
        <w:tc>
          <w:tcPr>
            <w:tcW w:w="10368" w:type="dxa"/>
            <w:tcBorders>
              <w:bottom w:val="single" w:sz="4" w:space="0" w:color="auto"/>
            </w:tcBorders>
            <w:shd w:val="clear" w:color="auto" w:fill="000000" w:themeFill="text1"/>
          </w:tcPr>
          <w:p w14:paraId="1BDD91EC" w14:textId="77777777" w:rsidR="009B5AA5" w:rsidRPr="00FA3F9C" w:rsidRDefault="009B5AA5" w:rsidP="006B7399">
            <w:pPr>
              <w:spacing w:after="0"/>
              <w:rPr>
                <w:rFonts w:ascii="Arial" w:hAnsi="Arial" w:cs="Arial"/>
                <w:sz w:val="24"/>
                <w:szCs w:val="24"/>
              </w:rPr>
            </w:pPr>
            <w:r w:rsidRPr="00FA3F9C">
              <w:rPr>
                <w:rFonts w:ascii="Arial" w:hAnsi="Arial" w:cs="Arial"/>
                <w:b/>
                <w:sz w:val="24"/>
                <w:szCs w:val="24"/>
                <w:u w:val="single"/>
              </w:rPr>
              <w:t>Criteria for continuation</w:t>
            </w:r>
          </w:p>
        </w:tc>
      </w:tr>
      <w:tr w:rsidR="009B5AA5" w:rsidRPr="00FA3F9C" w14:paraId="554FB1C4" w14:textId="77777777" w:rsidTr="006B7399">
        <w:tc>
          <w:tcPr>
            <w:tcW w:w="10368" w:type="dxa"/>
          </w:tcPr>
          <w:p w14:paraId="447EF37C" w14:textId="77777777" w:rsidR="009B5AA5" w:rsidRPr="00FA3F9C" w:rsidRDefault="009B5AA5" w:rsidP="006B7399">
            <w:pPr>
              <w:spacing w:after="0"/>
              <w:rPr>
                <w:rFonts w:ascii="Arial" w:hAnsi="Arial" w:cs="Arial"/>
                <w:sz w:val="24"/>
                <w:szCs w:val="24"/>
              </w:rPr>
            </w:pPr>
            <w:r w:rsidRPr="00FA3F9C">
              <w:rPr>
                <w:rFonts w:ascii="Arial" w:hAnsi="Arial" w:cs="Arial"/>
                <w:sz w:val="24"/>
                <w:szCs w:val="24"/>
              </w:rPr>
              <w:t>No disease progression</w:t>
            </w:r>
          </w:p>
        </w:tc>
      </w:tr>
      <w:tr w:rsidR="009B5AA5" w:rsidRPr="00FA3F9C" w14:paraId="1CEF331F" w14:textId="77777777" w:rsidTr="006B7399">
        <w:tc>
          <w:tcPr>
            <w:tcW w:w="10368" w:type="dxa"/>
          </w:tcPr>
          <w:p w14:paraId="6D637E3F" w14:textId="77777777" w:rsidR="009B5AA5" w:rsidRPr="00FA3F9C" w:rsidRDefault="009B5AA5" w:rsidP="006B7399">
            <w:pPr>
              <w:spacing w:after="0"/>
              <w:rPr>
                <w:rFonts w:ascii="Arial" w:hAnsi="Arial" w:cs="Arial"/>
                <w:sz w:val="24"/>
                <w:szCs w:val="24"/>
              </w:rPr>
            </w:pPr>
            <w:r w:rsidRPr="00FA3F9C">
              <w:rPr>
                <w:rFonts w:ascii="Arial" w:hAnsi="Arial" w:cs="Arial"/>
                <w:sz w:val="24"/>
                <w:szCs w:val="24"/>
              </w:rPr>
              <w:t>No unacceptable toxicity</w:t>
            </w:r>
          </w:p>
        </w:tc>
      </w:tr>
      <w:tr w:rsidR="009B5AA5" w:rsidRPr="00FA3F9C" w14:paraId="61ED9C78" w14:textId="77777777" w:rsidTr="006B7399">
        <w:tc>
          <w:tcPr>
            <w:tcW w:w="10368" w:type="dxa"/>
          </w:tcPr>
          <w:p w14:paraId="1F88E609" w14:textId="77777777" w:rsidR="009B5AA5" w:rsidRPr="00FA3F9C" w:rsidRDefault="009B5AA5" w:rsidP="006B7399">
            <w:pPr>
              <w:spacing w:after="0"/>
              <w:rPr>
                <w:rFonts w:ascii="Arial" w:hAnsi="Arial" w:cs="Arial"/>
                <w:sz w:val="24"/>
                <w:szCs w:val="24"/>
              </w:rPr>
            </w:pPr>
            <w:r w:rsidRPr="00FA3F9C">
              <w:rPr>
                <w:rFonts w:ascii="Arial" w:hAnsi="Arial" w:cs="Arial"/>
                <w:b/>
                <w:sz w:val="24"/>
                <w:szCs w:val="24"/>
              </w:rPr>
              <w:t xml:space="preserve">If </w:t>
            </w:r>
            <w:proofErr w:type="gramStart"/>
            <w:r w:rsidRPr="00FA3F9C">
              <w:rPr>
                <w:rFonts w:ascii="Arial" w:hAnsi="Arial" w:cs="Arial"/>
                <w:b/>
                <w:sz w:val="24"/>
                <w:szCs w:val="24"/>
              </w:rPr>
              <w:t>both of the continuation</w:t>
            </w:r>
            <w:proofErr w:type="gramEnd"/>
            <w:r w:rsidRPr="00FA3F9C">
              <w:rPr>
                <w:rFonts w:ascii="Arial" w:hAnsi="Arial" w:cs="Arial"/>
                <w:b/>
                <w:sz w:val="24"/>
                <w:szCs w:val="24"/>
              </w:rPr>
              <w:t xml:space="preserve"> criteria are fulfilled, approve for 12 months. </w:t>
            </w:r>
          </w:p>
        </w:tc>
      </w:tr>
      <w:tr w:rsidR="009B5AA5" w:rsidRPr="00FA3F9C" w14:paraId="4D57B0A7" w14:textId="77777777" w:rsidTr="006B7399">
        <w:tc>
          <w:tcPr>
            <w:tcW w:w="10368" w:type="dxa"/>
            <w:shd w:val="clear" w:color="auto" w:fill="BFBFBF" w:themeFill="background1" w:themeFillShade="BF"/>
          </w:tcPr>
          <w:p w14:paraId="73988015" w14:textId="77777777" w:rsidR="009B5AA5" w:rsidRPr="00FA3F9C" w:rsidRDefault="009B5AA5" w:rsidP="006B7399">
            <w:pPr>
              <w:spacing w:after="0" w:line="240" w:lineRule="auto"/>
              <w:rPr>
                <w:rFonts w:ascii="Arial" w:hAnsi="Arial" w:cs="Arial"/>
                <w:sz w:val="24"/>
                <w:szCs w:val="24"/>
              </w:rPr>
            </w:pPr>
            <w:r w:rsidRPr="00FA3F9C">
              <w:rPr>
                <w:rFonts w:ascii="Arial" w:hAnsi="Arial" w:cs="Arial"/>
                <w:sz w:val="24"/>
                <w:szCs w:val="24"/>
              </w:rPr>
              <w:t xml:space="preserve">Note:  </w:t>
            </w:r>
          </w:p>
          <w:p w14:paraId="3C769353" w14:textId="77777777" w:rsidR="009B5AA5" w:rsidRPr="00FA3F9C" w:rsidRDefault="009B5AA5" w:rsidP="006B7399">
            <w:pPr>
              <w:spacing w:after="0" w:line="240" w:lineRule="auto"/>
              <w:rPr>
                <w:rFonts w:ascii="Arial" w:hAnsi="Arial" w:cs="Arial"/>
                <w:sz w:val="24"/>
                <w:szCs w:val="24"/>
              </w:rPr>
            </w:pPr>
            <w:r w:rsidRPr="00FA3F9C">
              <w:rPr>
                <w:rFonts w:ascii="Arial" w:hAnsi="Arial" w:cs="Arial"/>
                <w:sz w:val="24"/>
                <w:szCs w:val="24"/>
              </w:rPr>
              <w:lastRenderedPageBreak/>
              <w:t xml:space="preserve">In the first line setting, pembrolizumab + </w:t>
            </w:r>
            <w:proofErr w:type="spellStart"/>
            <w:r w:rsidRPr="00FA3F9C">
              <w:rPr>
                <w:rFonts w:ascii="Arial" w:hAnsi="Arial" w:cs="Arial"/>
                <w:sz w:val="24"/>
                <w:szCs w:val="24"/>
              </w:rPr>
              <w:t>axitinib</w:t>
            </w:r>
            <w:proofErr w:type="spellEnd"/>
            <w:r w:rsidRPr="00FA3F9C">
              <w:rPr>
                <w:rFonts w:ascii="Arial" w:hAnsi="Arial" w:cs="Arial"/>
                <w:sz w:val="24"/>
                <w:szCs w:val="24"/>
              </w:rPr>
              <w:t xml:space="preserve"> improved overall survival regardless of IMDC risk (12-month OS: 89.9% vs 78.3%). No difference was found in subgroup with favorable risk per IMDC criteria below. The lack of benefit seen in the favorable risk subgroup is consistent with the ipilimumab/nivolumab data. </w:t>
            </w:r>
          </w:p>
          <w:p w14:paraId="2BFEADFF" w14:textId="77777777" w:rsidR="009B5AA5" w:rsidRPr="00FA3F9C" w:rsidRDefault="009B5AA5" w:rsidP="006B7399">
            <w:pPr>
              <w:pStyle w:val="Heading1"/>
              <w:spacing w:before="0" w:beforeAutospacing="0" w:after="0" w:afterAutospacing="0"/>
              <w:rPr>
                <w:rFonts w:ascii="Arial" w:hAnsi="Arial" w:cs="Arial"/>
                <w:sz w:val="24"/>
                <w:szCs w:val="24"/>
              </w:rPr>
            </w:pPr>
          </w:p>
          <w:p w14:paraId="6465D71E" w14:textId="77777777" w:rsidR="009B5AA5" w:rsidRPr="00FA3F9C" w:rsidRDefault="009B5AA5" w:rsidP="006B7399">
            <w:pPr>
              <w:spacing w:after="0" w:line="240" w:lineRule="auto"/>
              <w:rPr>
                <w:rFonts w:ascii="Arial" w:hAnsi="Arial" w:cs="Arial"/>
                <w:sz w:val="24"/>
                <w:szCs w:val="24"/>
              </w:rPr>
            </w:pPr>
            <w:r w:rsidRPr="00FA3F9C">
              <w:rPr>
                <w:rFonts w:ascii="Arial" w:hAnsi="Arial" w:cs="Arial"/>
                <w:b/>
                <w:sz w:val="24"/>
                <w:szCs w:val="24"/>
                <w:u w:val="single"/>
              </w:rPr>
              <w:t>IMDC risk:</w:t>
            </w:r>
            <w:r w:rsidRPr="00FA3F9C">
              <w:rPr>
                <w:rFonts w:ascii="Arial" w:hAnsi="Arial" w:cs="Arial"/>
                <w:sz w:val="24"/>
                <w:szCs w:val="24"/>
              </w:rPr>
              <w:t xml:space="preserve"> </w:t>
            </w:r>
          </w:p>
          <w:p w14:paraId="31FA7EAE" w14:textId="77777777" w:rsidR="009B5AA5" w:rsidRPr="00FA3F9C" w:rsidRDefault="009B5AA5" w:rsidP="006B7399">
            <w:pPr>
              <w:spacing w:after="0" w:line="240" w:lineRule="auto"/>
              <w:ind w:left="245"/>
              <w:rPr>
                <w:rFonts w:ascii="Arial" w:hAnsi="Arial" w:cs="Arial"/>
                <w:sz w:val="24"/>
                <w:szCs w:val="24"/>
              </w:rPr>
            </w:pPr>
            <w:r w:rsidRPr="00FA3F9C">
              <w:rPr>
                <w:rFonts w:ascii="Arial" w:hAnsi="Arial" w:cs="Arial"/>
                <w:sz w:val="24"/>
                <w:szCs w:val="24"/>
              </w:rPr>
              <w:t>Favorable risk: no risk factors</w:t>
            </w:r>
          </w:p>
          <w:p w14:paraId="71DA9873" w14:textId="77777777" w:rsidR="009B5AA5" w:rsidRPr="00FA3F9C" w:rsidRDefault="009B5AA5" w:rsidP="006B7399">
            <w:pPr>
              <w:spacing w:after="0" w:line="240" w:lineRule="auto"/>
              <w:ind w:left="245"/>
              <w:rPr>
                <w:rFonts w:ascii="Arial" w:hAnsi="Arial" w:cs="Arial"/>
                <w:sz w:val="24"/>
                <w:szCs w:val="24"/>
              </w:rPr>
            </w:pPr>
            <w:r w:rsidRPr="00FA3F9C">
              <w:rPr>
                <w:rFonts w:ascii="Arial" w:hAnsi="Arial" w:cs="Arial"/>
                <w:sz w:val="24"/>
                <w:szCs w:val="24"/>
              </w:rPr>
              <w:t>Intermediate risk: 1-2 risk factors</w:t>
            </w:r>
          </w:p>
          <w:p w14:paraId="6A17594E" w14:textId="77777777" w:rsidR="009B5AA5" w:rsidRPr="00FA3F9C" w:rsidRDefault="009B5AA5" w:rsidP="006B7399">
            <w:pPr>
              <w:spacing w:after="0" w:line="240" w:lineRule="auto"/>
              <w:ind w:left="245"/>
              <w:rPr>
                <w:rFonts w:ascii="Arial" w:hAnsi="Arial" w:cs="Arial"/>
                <w:sz w:val="24"/>
                <w:szCs w:val="24"/>
              </w:rPr>
            </w:pPr>
            <w:r w:rsidRPr="00FA3F9C">
              <w:rPr>
                <w:rFonts w:ascii="Arial" w:hAnsi="Arial" w:cs="Arial"/>
                <w:sz w:val="24"/>
                <w:szCs w:val="24"/>
              </w:rPr>
              <w:t>Poor risk: 3 or more risk factors</w:t>
            </w:r>
          </w:p>
          <w:p w14:paraId="1CC9E3F9" w14:textId="77777777" w:rsidR="009B5AA5" w:rsidRPr="00FA3F9C" w:rsidRDefault="009B5AA5" w:rsidP="006B7399">
            <w:pPr>
              <w:spacing w:after="0" w:line="240" w:lineRule="auto"/>
              <w:rPr>
                <w:rFonts w:ascii="Arial" w:hAnsi="Arial" w:cs="Arial"/>
                <w:sz w:val="24"/>
                <w:szCs w:val="24"/>
                <w:u w:val="single"/>
              </w:rPr>
            </w:pPr>
            <w:r w:rsidRPr="00FA3F9C">
              <w:rPr>
                <w:rFonts w:ascii="Arial" w:hAnsi="Arial" w:cs="Arial"/>
                <w:sz w:val="24"/>
                <w:szCs w:val="24"/>
                <w:u w:val="single"/>
              </w:rPr>
              <w:t>Risk factors:</w:t>
            </w:r>
          </w:p>
          <w:p w14:paraId="083B8ABF" w14:textId="77777777" w:rsidR="009B5AA5" w:rsidRPr="00FA3F9C" w:rsidRDefault="009B5AA5" w:rsidP="009B5AA5">
            <w:pPr>
              <w:pStyle w:val="ListParagraph"/>
              <w:numPr>
                <w:ilvl w:val="0"/>
                <w:numId w:val="39"/>
              </w:numPr>
              <w:spacing w:after="0" w:line="276" w:lineRule="auto"/>
              <w:ind w:left="425" w:hanging="180"/>
              <w:rPr>
                <w:rFonts w:ascii="Arial" w:hAnsi="Arial" w:cs="Arial"/>
                <w:sz w:val="24"/>
                <w:szCs w:val="24"/>
              </w:rPr>
            </w:pPr>
            <w:r w:rsidRPr="00FA3F9C">
              <w:rPr>
                <w:rFonts w:ascii="Arial" w:hAnsi="Arial" w:cs="Arial"/>
                <w:sz w:val="24"/>
                <w:szCs w:val="24"/>
              </w:rPr>
              <w:t>Less than 1 year from time of diagnosis to systemic therapy</w:t>
            </w:r>
          </w:p>
          <w:p w14:paraId="6F467935" w14:textId="77777777" w:rsidR="009B5AA5" w:rsidRPr="00FA3F9C" w:rsidRDefault="009B5AA5" w:rsidP="009B5AA5">
            <w:pPr>
              <w:pStyle w:val="ListParagraph"/>
              <w:numPr>
                <w:ilvl w:val="0"/>
                <w:numId w:val="39"/>
              </w:numPr>
              <w:spacing w:after="0" w:line="276" w:lineRule="auto"/>
              <w:ind w:left="425" w:hanging="180"/>
              <w:rPr>
                <w:rFonts w:ascii="Arial" w:hAnsi="Arial" w:cs="Arial"/>
                <w:sz w:val="24"/>
                <w:szCs w:val="24"/>
              </w:rPr>
            </w:pPr>
            <w:r w:rsidRPr="00FA3F9C">
              <w:rPr>
                <w:rFonts w:ascii="Arial" w:hAnsi="Arial" w:cs="Arial"/>
                <w:sz w:val="24"/>
                <w:szCs w:val="24"/>
              </w:rPr>
              <w:t>Performance status &lt;80% (</w:t>
            </w:r>
            <w:proofErr w:type="spellStart"/>
            <w:r w:rsidRPr="00FA3F9C">
              <w:rPr>
                <w:rFonts w:ascii="Arial" w:hAnsi="Arial" w:cs="Arial"/>
                <w:sz w:val="24"/>
                <w:szCs w:val="24"/>
              </w:rPr>
              <w:t>Karnofsky</w:t>
            </w:r>
            <w:proofErr w:type="spellEnd"/>
            <w:r w:rsidRPr="00FA3F9C">
              <w:rPr>
                <w:rFonts w:ascii="Arial" w:hAnsi="Arial" w:cs="Arial"/>
                <w:sz w:val="24"/>
                <w:szCs w:val="24"/>
              </w:rPr>
              <w:t>—see guide below)</w:t>
            </w:r>
          </w:p>
          <w:p w14:paraId="7DA4CC74" w14:textId="77777777" w:rsidR="009B5AA5" w:rsidRPr="00FA3F9C" w:rsidRDefault="009B5AA5" w:rsidP="009B5AA5">
            <w:pPr>
              <w:pStyle w:val="ListParagraph"/>
              <w:numPr>
                <w:ilvl w:val="0"/>
                <w:numId w:val="39"/>
              </w:numPr>
              <w:spacing w:after="0" w:line="276" w:lineRule="auto"/>
              <w:ind w:left="425" w:hanging="180"/>
              <w:rPr>
                <w:rFonts w:ascii="Arial" w:hAnsi="Arial" w:cs="Arial"/>
                <w:sz w:val="24"/>
                <w:szCs w:val="24"/>
              </w:rPr>
            </w:pPr>
            <w:r w:rsidRPr="00FA3F9C">
              <w:rPr>
                <w:rFonts w:ascii="Arial" w:hAnsi="Arial" w:cs="Arial"/>
                <w:sz w:val="24"/>
                <w:szCs w:val="24"/>
              </w:rPr>
              <w:t>Hemoglobin &lt; lower limit of normal (LLN)</w:t>
            </w:r>
          </w:p>
          <w:p w14:paraId="3644750E" w14:textId="77777777" w:rsidR="009B5AA5" w:rsidRPr="00FA3F9C" w:rsidRDefault="009B5AA5" w:rsidP="009B5AA5">
            <w:pPr>
              <w:pStyle w:val="ListParagraph"/>
              <w:numPr>
                <w:ilvl w:val="0"/>
                <w:numId w:val="39"/>
              </w:numPr>
              <w:spacing w:after="0" w:line="276" w:lineRule="auto"/>
              <w:ind w:left="425" w:hanging="180"/>
              <w:rPr>
                <w:rFonts w:ascii="Arial" w:hAnsi="Arial" w:cs="Arial"/>
                <w:sz w:val="24"/>
                <w:szCs w:val="24"/>
              </w:rPr>
            </w:pPr>
            <w:r w:rsidRPr="00FA3F9C">
              <w:rPr>
                <w:rFonts w:ascii="Arial" w:hAnsi="Arial" w:cs="Arial"/>
                <w:sz w:val="24"/>
                <w:szCs w:val="24"/>
              </w:rPr>
              <w:t>calcium &gt; upper limit of normal (ULN)</w:t>
            </w:r>
          </w:p>
          <w:p w14:paraId="7B4B57C0" w14:textId="77777777" w:rsidR="009B5AA5" w:rsidRPr="00FA3F9C" w:rsidRDefault="009B5AA5" w:rsidP="009B5AA5">
            <w:pPr>
              <w:pStyle w:val="ListParagraph"/>
              <w:numPr>
                <w:ilvl w:val="0"/>
                <w:numId w:val="39"/>
              </w:numPr>
              <w:spacing w:after="0" w:line="276" w:lineRule="auto"/>
              <w:ind w:left="425" w:hanging="180"/>
              <w:rPr>
                <w:rFonts w:ascii="Arial" w:hAnsi="Arial" w:cs="Arial"/>
                <w:sz w:val="24"/>
                <w:szCs w:val="24"/>
              </w:rPr>
            </w:pPr>
            <w:r w:rsidRPr="00FA3F9C">
              <w:rPr>
                <w:rFonts w:ascii="Arial" w:hAnsi="Arial" w:cs="Arial"/>
                <w:sz w:val="24"/>
                <w:szCs w:val="24"/>
              </w:rPr>
              <w:t>Neutrophil &gt; ULN</w:t>
            </w:r>
          </w:p>
          <w:p w14:paraId="14724D66" w14:textId="77777777" w:rsidR="009B5AA5" w:rsidRPr="00FA3F9C" w:rsidRDefault="009B5AA5" w:rsidP="009B5AA5">
            <w:pPr>
              <w:pStyle w:val="ListParagraph"/>
              <w:numPr>
                <w:ilvl w:val="0"/>
                <w:numId w:val="39"/>
              </w:numPr>
              <w:spacing w:after="0" w:line="276" w:lineRule="auto"/>
              <w:ind w:left="425" w:hanging="180"/>
              <w:rPr>
                <w:rFonts w:ascii="Arial" w:hAnsi="Arial" w:cs="Arial"/>
                <w:sz w:val="24"/>
                <w:szCs w:val="24"/>
              </w:rPr>
            </w:pPr>
            <w:r w:rsidRPr="00FA3F9C">
              <w:rPr>
                <w:rFonts w:ascii="Arial" w:hAnsi="Arial" w:cs="Arial"/>
                <w:sz w:val="24"/>
                <w:szCs w:val="24"/>
              </w:rPr>
              <w:t>Platelets &gt; ULN</w:t>
            </w:r>
          </w:p>
          <w:tbl>
            <w:tblPr>
              <w:tblW w:w="6565" w:type="dxa"/>
              <w:tblBorders>
                <w:top w:val="outset" w:sz="12" w:space="0" w:color="C0C0C0"/>
                <w:left w:val="outset" w:sz="12" w:space="0" w:color="C0C0C0"/>
                <w:bottom w:val="outset" w:sz="12" w:space="0" w:color="C0C0C0"/>
                <w:right w:val="outset" w:sz="12" w:space="0" w:color="C0C0C0"/>
              </w:tblBorders>
              <w:tblLayout w:type="fixed"/>
              <w:tblCellMar>
                <w:top w:w="45" w:type="dxa"/>
                <w:left w:w="45" w:type="dxa"/>
                <w:bottom w:w="45" w:type="dxa"/>
                <w:right w:w="45" w:type="dxa"/>
              </w:tblCellMar>
              <w:tblLook w:val="04A0" w:firstRow="1" w:lastRow="0" w:firstColumn="1" w:lastColumn="0" w:noHBand="0" w:noVBand="1"/>
            </w:tblPr>
            <w:tblGrid>
              <w:gridCol w:w="1247"/>
              <w:gridCol w:w="5318"/>
            </w:tblGrid>
            <w:tr w:rsidR="009B5AA5" w:rsidRPr="00FA3F9C" w14:paraId="7102CF39" w14:textId="77777777" w:rsidTr="006B7399">
              <w:trPr>
                <w:trHeight w:val="254"/>
              </w:trPr>
              <w:tc>
                <w:tcPr>
                  <w:tcW w:w="1247" w:type="dxa"/>
                  <w:tcBorders>
                    <w:top w:val="outset" w:sz="6" w:space="0" w:color="C0C0C0"/>
                    <w:left w:val="outset" w:sz="6" w:space="0" w:color="C0C0C0"/>
                    <w:bottom w:val="outset" w:sz="6" w:space="0" w:color="C0C0C0"/>
                    <w:right w:val="outset" w:sz="6" w:space="0" w:color="C0C0C0"/>
                  </w:tcBorders>
                  <w:shd w:val="clear" w:color="auto" w:fill="D9E2F3" w:themeFill="accent1" w:themeFillTint="33"/>
                  <w:vAlign w:val="center"/>
                  <w:hideMark/>
                </w:tcPr>
                <w:p w14:paraId="00100438" w14:textId="77777777" w:rsidR="009B5AA5" w:rsidRPr="00FA3F9C" w:rsidRDefault="009B5AA5" w:rsidP="006B7399">
                  <w:pPr>
                    <w:spacing w:after="0" w:line="240" w:lineRule="auto"/>
                    <w:jc w:val="center"/>
                    <w:rPr>
                      <w:rFonts w:ascii="Arial" w:eastAsia="Times New Roman" w:hAnsi="Arial" w:cs="Arial"/>
                      <w:color w:val="000000"/>
                      <w:sz w:val="24"/>
                      <w:szCs w:val="24"/>
                    </w:rPr>
                  </w:pPr>
                  <w:proofErr w:type="spellStart"/>
                  <w:r w:rsidRPr="00FA3F9C">
                    <w:rPr>
                      <w:rFonts w:ascii="Arial" w:eastAsia="Times New Roman" w:hAnsi="Arial" w:cs="Arial"/>
                      <w:color w:val="0000FF"/>
                      <w:sz w:val="24"/>
                      <w:szCs w:val="24"/>
                    </w:rPr>
                    <w:t>Karnofsky</w:t>
                  </w:r>
                  <w:proofErr w:type="spellEnd"/>
                  <w:r w:rsidRPr="00FA3F9C">
                    <w:rPr>
                      <w:rFonts w:ascii="Arial" w:eastAsia="Times New Roman" w:hAnsi="Arial" w:cs="Arial"/>
                      <w:color w:val="0000FF"/>
                      <w:sz w:val="24"/>
                      <w:szCs w:val="24"/>
                    </w:rPr>
                    <w:t xml:space="preserve"> Score (KS)</w:t>
                  </w:r>
                </w:p>
              </w:tc>
              <w:tc>
                <w:tcPr>
                  <w:tcW w:w="5318" w:type="dxa"/>
                  <w:tcBorders>
                    <w:top w:val="outset" w:sz="6" w:space="0" w:color="C0C0C0"/>
                    <w:left w:val="outset" w:sz="6" w:space="0" w:color="C0C0C0"/>
                    <w:bottom w:val="outset" w:sz="6" w:space="0" w:color="C0C0C0"/>
                    <w:right w:val="outset" w:sz="6" w:space="0" w:color="C0C0C0"/>
                  </w:tcBorders>
                  <w:shd w:val="clear" w:color="auto" w:fill="D9E2F3" w:themeFill="accent1" w:themeFillTint="33"/>
                  <w:vAlign w:val="center"/>
                  <w:hideMark/>
                </w:tcPr>
                <w:p w14:paraId="017E9ABC" w14:textId="77777777" w:rsidR="009B5AA5" w:rsidRPr="00FA3F9C" w:rsidRDefault="009B5AA5" w:rsidP="006B7399">
                  <w:pPr>
                    <w:spacing w:after="0" w:line="240" w:lineRule="auto"/>
                    <w:rPr>
                      <w:rFonts w:ascii="Arial" w:eastAsia="Times New Roman" w:hAnsi="Arial" w:cs="Arial"/>
                      <w:color w:val="000000"/>
                      <w:sz w:val="24"/>
                      <w:szCs w:val="24"/>
                    </w:rPr>
                  </w:pPr>
                  <w:r w:rsidRPr="00FA3F9C">
                    <w:rPr>
                      <w:rFonts w:ascii="Arial" w:eastAsia="Times New Roman" w:hAnsi="Arial" w:cs="Arial"/>
                      <w:color w:val="0000FF"/>
                      <w:sz w:val="24"/>
                      <w:szCs w:val="24"/>
                    </w:rPr>
                    <w:t>                  Definition</w:t>
                  </w:r>
                </w:p>
              </w:tc>
            </w:tr>
            <w:tr w:rsidR="009B5AA5" w:rsidRPr="00FA3F9C" w14:paraId="7D15BBF6" w14:textId="77777777" w:rsidTr="006B7399">
              <w:trPr>
                <w:trHeight w:val="124"/>
              </w:trPr>
              <w:tc>
                <w:tcPr>
                  <w:tcW w:w="1247" w:type="dxa"/>
                  <w:tcBorders>
                    <w:top w:val="outset" w:sz="6" w:space="0" w:color="C0C0C0"/>
                    <w:left w:val="outset" w:sz="6" w:space="0" w:color="C0C0C0"/>
                    <w:bottom w:val="outset" w:sz="6" w:space="0" w:color="C0C0C0"/>
                    <w:right w:val="outset" w:sz="6" w:space="0" w:color="C0C0C0"/>
                  </w:tcBorders>
                  <w:shd w:val="clear" w:color="auto" w:fill="D9E2F3" w:themeFill="accent1" w:themeFillTint="33"/>
                  <w:vAlign w:val="center"/>
                  <w:hideMark/>
                </w:tcPr>
                <w:p w14:paraId="13D4BCA8" w14:textId="77777777" w:rsidR="009B5AA5" w:rsidRPr="00FA3F9C" w:rsidRDefault="009B5AA5" w:rsidP="006B7399">
                  <w:pPr>
                    <w:spacing w:after="0" w:line="240" w:lineRule="auto"/>
                    <w:jc w:val="center"/>
                    <w:rPr>
                      <w:rFonts w:ascii="Arial" w:eastAsia="Times New Roman" w:hAnsi="Arial" w:cs="Arial"/>
                      <w:color w:val="000000"/>
                      <w:sz w:val="24"/>
                      <w:szCs w:val="24"/>
                    </w:rPr>
                  </w:pPr>
                  <w:r w:rsidRPr="00FA3F9C">
                    <w:rPr>
                      <w:rFonts w:ascii="Arial" w:eastAsia="Times New Roman" w:hAnsi="Arial" w:cs="Arial"/>
                      <w:color w:val="FF0000"/>
                      <w:sz w:val="24"/>
                      <w:szCs w:val="24"/>
                    </w:rPr>
                    <w:t>`100</w:t>
                  </w:r>
                </w:p>
              </w:tc>
              <w:tc>
                <w:tcPr>
                  <w:tcW w:w="5318" w:type="dxa"/>
                  <w:tcBorders>
                    <w:top w:val="outset" w:sz="6" w:space="0" w:color="C0C0C0"/>
                    <w:left w:val="outset" w:sz="6" w:space="0" w:color="C0C0C0"/>
                    <w:bottom w:val="outset" w:sz="6" w:space="0" w:color="C0C0C0"/>
                    <w:right w:val="outset" w:sz="6" w:space="0" w:color="C0C0C0"/>
                  </w:tcBorders>
                  <w:shd w:val="clear" w:color="auto" w:fill="D9E2F3" w:themeFill="accent1" w:themeFillTint="33"/>
                  <w:vAlign w:val="center"/>
                  <w:hideMark/>
                </w:tcPr>
                <w:p w14:paraId="635633FF" w14:textId="77777777" w:rsidR="009B5AA5" w:rsidRPr="00FA3F9C" w:rsidRDefault="009B5AA5" w:rsidP="006B7399">
                  <w:pPr>
                    <w:spacing w:after="0"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Normal; no complaints; no evidence of disease</w:t>
                  </w:r>
                </w:p>
              </w:tc>
            </w:tr>
            <w:tr w:rsidR="009B5AA5" w:rsidRPr="00FA3F9C" w14:paraId="7DADF399" w14:textId="77777777" w:rsidTr="006B7399">
              <w:trPr>
                <w:trHeight w:val="129"/>
              </w:trPr>
              <w:tc>
                <w:tcPr>
                  <w:tcW w:w="1247" w:type="dxa"/>
                  <w:tcBorders>
                    <w:top w:val="outset" w:sz="6" w:space="0" w:color="C0C0C0"/>
                    <w:left w:val="outset" w:sz="6" w:space="0" w:color="C0C0C0"/>
                    <w:bottom w:val="outset" w:sz="6" w:space="0" w:color="C0C0C0"/>
                    <w:right w:val="outset" w:sz="6" w:space="0" w:color="C0C0C0"/>
                  </w:tcBorders>
                  <w:shd w:val="clear" w:color="auto" w:fill="D9E2F3" w:themeFill="accent1" w:themeFillTint="33"/>
                  <w:vAlign w:val="center"/>
                  <w:hideMark/>
                </w:tcPr>
                <w:p w14:paraId="45D8D603" w14:textId="77777777" w:rsidR="009B5AA5" w:rsidRPr="00FA3F9C" w:rsidRDefault="009B5AA5" w:rsidP="006B7399">
                  <w:pPr>
                    <w:spacing w:after="0" w:line="240" w:lineRule="auto"/>
                    <w:jc w:val="center"/>
                    <w:rPr>
                      <w:rFonts w:ascii="Arial" w:eastAsia="Times New Roman" w:hAnsi="Arial" w:cs="Arial"/>
                      <w:color w:val="000000"/>
                      <w:sz w:val="24"/>
                      <w:szCs w:val="24"/>
                    </w:rPr>
                  </w:pPr>
                  <w:r w:rsidRPr="00FA3F9C">
                    <w:rPr>
                      <w:rFonts w:ascii="Arial" w:eastAsia="Times New Roman" w:hAnsi="Arial" w:cs="Arial"/>
                      <w:color w:val="FF0000"/>
                      <w:sz w:val="24"/>
                      <w:szCs w:val="24"/>
                    </w:rPr>
                    <w:t>90</w:t>
                  </w:r>
                </w:p>
              </w:tc>
              <w:tc>
                <w:tcPr>
                  <w:tcW w:w="5318" w:type="dxa"/>
                  <w:tcBorders>
                    <w:top w:val="outset" w:sz="6" w:space="0" w:color="C0C0C0"/>
                    <w:left w:val="outset" w:sz="6" w:space="0" w:color="C0C0C0"/>
                    <w:bottom w:val="outset" w:sz="6" w:space="0" w:color="C0C0C0"/>
                    <w:right w:val="outset" w:sz="6" w:space="0" w:color="C0C0C0"/>
                  </w:tcBorders>
                  <w:shd w:val="clear" w:color="auto" w:fill="D9E2F3" w:themeFill="accent1" w:themeFillTint="33"/>
                  <w:vAlign w:val="center"/>
                  <w:hideMark/>
                </w:tcPr>
                <w:p w14:paraId="2A96FE7E" w14:textId="77777777" w:rsidR="009B5AA5" w:rsidRPr="00FA3F9C" w:rsidRDefault="009B5AA5" w:rsidP="006B7399">
                  <w:pPr>
                    <w:spacing w:after="0"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Able to carry on normal activity; minor signs or symptoms of disease</w:t>
                  </w:r>
                </w:p>
              </w:tc>
            </w:tr>
            <w:tr w:rsidR="009B5AA5" w:rsidRPr="00FA3F9C" w14:paraId="038135A0" w14:textId="77777777" w:rsidTr="006B7399">
              <w:trPr>
                <w:trHeight w:val="124"/>
              </w:trPr>
              <w:tc>
                <w:tcPr>
                  <w:tcW w:w="1247" w:type="dxa"/>
                  <w:tcBorders>
                    <w:top w:val="outset" w:sz="6" w:space="0" w:color="C0C0C0"/>
                    <w:left w:val="outset" w:sz="6" w:space="0" w:color="C0C0C0"/>
                    <w:bottom w:val="outset" w:sz="6" w:space="0" w:color="C0C0C0"/>
                    <w:right w:val="outset" w:sz="6" w:space="0" w:color="C0C0C0"/>
                  </w:tcBorders>
                  <w:shd w:val="clear" w:color="auto" w:fill="D9E2F3" w:themeFill="accent1" w:themeFillTint="33"/>
                  <w:vAlign w:val="center"/>
                  <w:hideMark/>
                </w:tcPr>
                <w:p w14:paraId="15672DE5" w14:textId="77777777" w:rsidR="009B5AA5" w:rsidRPr="00FA3F9C" w:rsidRDefault="009B5AA5" w:rsidP="006B7399">
                  <w:pPr>
                    <w:spacing w:after="0" w:line="240" w:lineRule="auto"/>
                    <w:jc w:val="center"/>
                    <w:rPr>
                      <w:rFonts w:ascii="Arial" w:eastAsia="Times New Roman" w:hAnsi="Arial" w:cs="Arial"/>
                      <w:color w:val="000000"/>
                      <w:sz w:val="24"/>
                      <w:szCs w:val="24"/>
                    </w:rPr>
                  </w:pPr>
                  <w:r w:rsidRPr="00FA3F9C">
                    <w:rPr>
                      <w:rFonts w:ascii="Arial" w:eastAsia="Times New Roman" w:hAnsi="Arial" w:cs="Arial"/>
                      <w:color w:val="FF0000"/>
                      <w:sz w:val="24"/>
                      <w:szCs w:val="24"/>
                    </w:rPr>
                    <w:t>80</w:t>
                  </w:r>
                </w:p>
              </w:tc>
              <w:tc>
                <w:tcPr>
                  <w:tcW w:w="5318" w:type="dxa"/>
                  <w:tcBorders>
                    <w:top w:val="outset" w:sz="6" w:space="0" w:color="C0C0C0"/>
                    <w:left w:val="outset" w:sz="6" w:space="0" w:color="C0C0C0"/>
                    <w:bottom w:val="outset" w:sz="6" w:space="0" w:color="C0C0C0"/>
                    <w:right w:val="outset" w:sz="6" w:space="0" w:color="C0C0C0"/>
                  </w:tcBorders>
                  <w:shd w:val="clear" w:color="auto" w:fill="D9E2F3" w:themeFill="accent1" w:themeFillTint="33"/>
                  <w:vAlign w:val="center"/>
                  <w:hideMark/>
                </w:tcPr>
                <w:p w14:paraId="325860AA" w14:textId="77777777" w:rsidR="009B5AA5" w:rsidRPr="00FA3F9C" w:rsidRDefault="009B5AA5" w:rsidP="006B7399">
                  <w:pPr>
                    <w:spacing w:after="0"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Normal activity with effort; some sign or symptoms of disease</w:t>
                  </w:r>
                </w:p>
              </w:tc>
            </w:tr>
            <w:tr w:rsidR="009B5AA5" w:rsidRPr="00FA3F9C" w14:paraId="642A3B10" w14:textId="77777777" w:rsidTr="006B7399">
              <w:trPr>
                <w:trHeight w:val="124"/>
              </w:trPr>
              <w:tc>
                <w:tcPr>
                  <w:tcW w:w="1247" w:type="dxa"/>
                  <w:tcBorders>
                    <w:top w:val="outset" w:sz="6" w:space="0" w:color="C0C0C0"/>
                    <w:left w:val="outset" w:sz="6" w:space="0" w:color="C0C0C0"/>
                    <w:bottom w:val="outset" w:sz="6" w:space="0" w:color="C0C0C0"/>
                    <w:right w:val="outset" w:sz="6" w:space="0" w:color="C0C0C0"/>
                  </w:tcBorders>
                  <w:shd w:val="clear" w:color="auto" w:fill="D9E2F3" w:themeFill="accent1" w:themeFillTint="33"/>
                  <w:vAlign w:val="center"/>
                  <w:hideMark/>
                </w:tcPr>
                <w:p w14:paraId="0EF2E2C4" w14:textId="77777777" w:rsidR="009B5AA5" w:rsidRPr="00FA3F9C" w:rsidRDefault="009B5AA5" w:rsidP="006B7399">
                  <w:pPr>
                    <w:spacing w:after="0" w:line="240" w:lineRule="auto"/>
                    <w:jc w:val="center"/>
                    <w:rPr>
                      <w:rFonts w:ascii="Arial" w:eastAsia="Times New Roman" w:hAnsi="Arial" w:cs="Arial"/>
                      <w:color w:val="000000"/>
                      <w:sz w:val="24"/>
                      <w:szCs w:val="24"/>
                    </w:rPr>
                  </w:pPr>
                  <w:r w:rsidRPr="00FA3F9C">
                    <w:rPr>
                      <w:rFonts w:ascii="Arial" w:eastAsia="Times New Roman" w:hAnsi="Arial" w:cs="Arial"/>
                      <w:color w:val="FF0000"/>
                      <w:sz w:val="24"/>
                      <w:szCs w:val="24"/>
                    </w:rPr>
                    <w:t>70</w:t>
                  </w:r>
                </w:p>
              </w:tc>
              <w:tc>
                <w:tcPr>
                  <w:tcW w:w="5318" w:type="dxa"/>
                  <w:tcBorders>
                    <w:top w:val="outset" w:sz="6" w:space="0" w:color="C0C0C0"/>
                    <w:left w:val="outset" w:sz="6" w:space="0" w:color="C0C0C0"/>
                    <w:bottom w:val="outset" w:sz="6" w:space="0" w:color="C0C0C0"/>
                    <w:right w:val="outset" w:sz="6" w:space="0" w:color="C0C0C0"/>
                  </w:tcBorders>
                  <w:shd w:val="clear" w:color="auto" w:fill="D9E2F3" w:themeFill="accent1" w:themeFillTint="33"/>
                  <w:vAlign w:val="center"/>
                  <w:hideMark/>
                </w:tcPr>
                <w:p w14:paraId="16F2300E" w14:textId="77777777" w:rsidR="009B5AA5" w:rsidRPr="00FA3F9C" w:rsidRDefault="009B5AA5" w:rsidP="006B7399">
                  <w:pPr>
                    <w:spacing w:after="0"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Cares for self; unable to carry on normal activity or do active work</w:t>
                  </w:r>
                </w:p>
              </w:tc>
            </w:tr>
            <w:tr w:rsidR="009B5AA5" w:rsidRPr="00FA3F9C" w14:paraId="330AA65C" w14:textId="77777777" w:rsidTr="006B7399">
              <w:trPr>
                <w:trHeight w:val="129"/>
              </w:trPr>
              <w:tc>
                <w:tcPr>
                  <w:tcW w:w="1247" w:type="dxa"/>
                  <w:tcBorders>
                    <w:top w:val="outset" w:sz="6" w:space="0" w:color="C0C0C0"/>
                    <w:left w:val="outset" w:sz="6" w:space="0" w:color="C0C0C0"/>
                    <w:bottom w:val="outset" w:sz="6" w:space="0" w:color="C0C0C0"/>
                    <w:right w:val="outset" w:sz="6" w:space="0" w:color="C0C0C0"/>
                  </w:tcBorders>
                  <w:shd w:val="clear" w:color="auto" w:fill="D9E2F3" w:themeFill="accent1" w:themeFillTint="33"/>
                  <w:vAlign w:val="center"/>
                  <w:hideMark/>
                </w:tcPr>
                <w:p w14:paraId="4328B492" w14:textId="77777777" w:rsidR="009B5AA5" w:rsidRPr="00FA3F9C" w:rsidRDefault="009B5AA5" w:rsidP="006B7399">
                  <w:pPr>
                    <w:spacing w:after="0" w:line="240" w:lineRule="auto"/>
                    <w:jc w:val="center"/>
                    <w:rPr>
                      <w:rFonts w:ascii="Arial" w:eastAsia="Times New Roman" w:hAnsi="Arial" w:cs="Arial"/>
                      <w:color w:val="000000"/>
                      <w:sz w:val="24"/>
                      <w:szCs w:val="24"/>
                    </w:rPr>
                  </w:pPr>
                  <w:r w:rsidRPr="00FA3F9C">
                    <w:rPr>
                      <w:rFonts w:ascii="Arial" w:eastAsia="Times New Roman" w:hAnsi="Arial" w:cs="Arial"/>
                      <w:color w:val="FF0000"/>
                      <w:sz w:val="24"/>
                      <w:szCs w:val="24"/>
                    </w:rPr>
                    <w:t>60</w:t>
                  </w:r>
                </w:p>
              </w:tc>
              <w:tc>
                <w:tcPr>
                  <w:tcW w:w="5318" w:type="dxa"/>
                  <w:tcBorders>
                    <w:top w:val="outset" w:sz="6" w:space="0" w:color="C0C0C0"/>
                    <w:left w:val="outset" w:sz="6" w:space="0" w:color="C0C0C0"/>
                    <w:bottom w:val="outset" w:sz="6" w:space="0" w:color="C0C0C0"/>
                    <w:right w:val="outset" w:sz="6" w:space="0" w:color="C0C0C0"/>
                  </w:tcBorders>
                  <w:shd w:val="clear" w:color="auto" w:fill="D9E2F3" w:themeFill="accent1" w:themeFillTint="33"/>
                  <w:vAlign w:val="center"/>
                  <w:hideMark/>
                </w:tcPr>
                <w:p w14:paraId="0BA42420" w14:textId="77777777" w:rsidR="009B5AA5" w:rsidRPr="00FA3F9C" w:rsidRDefault="009B5AA5" w:rsidP="006B7399">
                  <w:pPr>
                    <w:spacing w:after="0"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 xml:space="preserve">Requires occasional assistance, but </w:t>
                  </w:r>
                  <w:proofErr w:type="gramStart"/>
                  <w:r w:rsidRPr="00FA3F9C">
                    <w:rPr>
                      <w:rFonts w:ascii="Arial" w:eastAsia="Times New Roman" w:hAnsi="Arial" w:cs="Arial"/>
                      <w:color w:val="000000"/>
                      <w:sz w:val="24"/>
                      <w:szCs w:val="24"/>
                    </w:rPr>
                    <w:t>is able to</w:t>
                  </w:r>
                  <w:proofErr w:type="gramEnd"/>
                  <w:r w:rsidRPr="00FA3F9C">
                    <w:rPr>
                      <w:rFonts w:ascii="Arial" w:eastAsia="Times New Roman" w:hAnsi="Arial" w:cs="Arial"/>
                      <w:color w:val="000000"/>
                      <w:sz w:val="24"/>
                      <w:szCs w:val="24"/>
                    </w:rPr>
                    <w:t xml:space="preserve"> care for most personal needs</w:t>
                  </w:r>
                </w:p>
              </w:tc>
            </w:tr>
            <w:tr w:rsidR="009B5AA5" w:rsidRPr="00FA3F9C" w14:paraId="5E58EF38" w14:textId="77777777" w:rsidTr="006B7399">
              <w:trPr>
                <w:trHeight w:val="124"/>
              </w:trPr>
              <w:tc>
                <w:tcPr>
                  <w:tcW w:w="1247" w:type="dxa"/>
                  <w:tcBorders>
                    <w:top w:val="outset" w:sz="6" w:space="0" w:color="C0C0C0"/>
                    <w:left w:val="outset" w:sz="6" w:space="0" w:color="C0C0C0"/>
                    <w:bottom w:val="outset" w:sz="6" w:space="0" w:color="C0C0C0"/>
                    <w:right w:val="outset" w:sz="6" w:space="0" w:color="C0C0C0"/>
                  </w:tcBorders>
                  <w:shd w:val="clear" w:color="auto" w:fill="D9E2F3" w:themeFill="accent1" w:themeFillTint="33"/>
                  <w:vAlign w:val="center"/>
                  <w:hideMark/>
                </w:tcPr>
                <w:p w14:paraId="3A9CDCE2" w14:textId="77777777" w:rsidR="009B5AA5" w:rsidRPr="00FA3F9C" w:rsidRDefault="009B5AA5" w:rsidP="006B7399">
                  <w:pPr>
                    <w:spacing w:after="0" w:line="240" w:lineRule="auto"/>
                    <w:jc w:val="center"/>
                    <w:rPr>
                      <w:rFonts w:ascii="Arial" w:eastAsia="Times New Roman" w:hAnsi="Arial" w:cs="Arial"/>
                      <w:color w:val="000000"/>
                      <w:sz w:val="24"/>
                      <w:szCs w:val="24"/>
                    </w:rPr>
                  </w:pPr>
                  <w:r w:rsidRPr="00FA3F9C">
                    <w:rPr>
                      <w:rFonts w:ascii="Arial" w:eastAsia="Times New Roman" w:hAnsi="Arial" w:cs="Arial"/>
                      <w:color w:val="FF0000"/>
                      <w:sz w:val="24"/>
                      <w:szCs w:val="24"/>
                    </w:rPr>
                    <w:lastRenderedPageBreak/>
                    <w:t>50</w:t>
                  </w:r>
                </w:p>
              </w:tc>
              <w:tc>
                <w:tcPr>
                  <w:tcW w:w="5318" w:type="dxa"/>
                  <w:tcBorders>
                    <w:top w:val="outset" w:sz="6" w:space="0" w:color="C0C0C0"/>
                    <w:left w:val="outset" w:sz="6" w:space="0" w:color="C0C0C0"/>
                    <w:bottom w:val="outset" w:sz="6" w:space="0" w:color="C0C0C0"/>
                    <w:right w:val="outset" w:sz="6" w:space="0" w:color="C0C0C0"/>
                  </w:tcBorders>
                  <w:shd w:val="clear" w:color="auto" w:fill="D9E2F3" w:themeFill="accent1" w:themeFillTint="33"/>
                  <w:vAlign w:val="center"/>
                  <w:hideMark/>
                </w:tcPr>
                <w:p w14:paraId="2ED28C31" w14:textId="77777777" w:rsidR="009B5AA5" w:rsidRPr="00FA3F9C" w:rsidRDefault="009B5AA5" w:rsidP="006B7399">
                  <w:pPr>
                    <w:spacing w:after="0"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Requires considerable assistance and frequent medical care</w:t>
                  </w:r>
                </w:p>
              </w:tc>
            </w:tr>
            <w:tr w:rsidR="009B5AA5" w:rsidRPr="00FA3F9C" w14:paraId="73B76D7A" w14:textId="77777777" w:rsidTr="006B7399">
              <w:trPr>
                <w:trHeight w:val="124"/>
              </w:trPr>
              <w:tc>
                <w:tcPr>
                  <w:tcW w:w="1247" w:type="dxa"/>
                  <w:tcBorders>
                    <w:top w:val="outset" w:sz="6" w:space="0" w:color="C0C0C0"/>
                    <w:left w:val="outset" w:sz="6" w:space="0" w:color="C0C0C0"/>
                    <w:bottom w:val="outset" w:sz="6" w:space="0" w:color="C0C0C0"/>
                    <w:right w:val="outset" w:sz="6" w:space="0" w:color="C0C0C0"/>
                  </w:tcBorders>
                  <w:shd w:val="clear" w:color="auto" w:fill="D9E2F3" w:themeFill="accent1" w:themeFillTint="33"/>
                  <w:vAlign w:val="center"/>
                  <w:hideMark/>
                </w:tcPr>
                <w:p w14:paraId="14DE12C2" w14:textId="77777777" w:rsidR="009B5AA5" w:rsidRPr="00FA3F9C" w:rsidRDefault="009B5AA5" w:rsidP="006B7399">
                  <w:pPr>
                    <w:spacing w:after="0" w:line="240" w:lineRule="auto"/>
                    <w:jc w:val="center"/>
                    <w:rPr>
                      <w:rFonts w:ascii="Arial" w:eastAsia="Times New Roman" w:hAnsi="Arial" w:cs="Arial"/>
                      <w:color w:val="000000"/>
                      <w:sz w:val="24"/>
                      <w:szCs w:val="24"/>
                    </w:rPr>
                  </w:pPr>
                  <w:r w:rsidRPr="00FA3F9C">
                    <w:rPr>
                      <w:rFonts w:ascii="Arial" w:eastAsia="Times New Roman" w:hAnsi="Arial" w:cs="Arial"/>
                      <w:color w:val="FF0000"/>
                      <w:sz w:val="24"/>
                      <w:szCs w:val="24"/>
                    </w:rPr>
                    <w:t>40</w:t>
                  </w:r>
                </w:p>
              </w:tc>
              <w:tc>
                <w:tcPr>
                  <w:tcW w:w="5318" w:type="dxa"/>
                  <w:tcBorders>
                    <w:top w:val="outset" w:sz="6" w:space="0" w:color="C0C0C0"/>
                    <w:left w:val="outset" w:sz="6" w:space="0" w:color="C0C0C0"/>
                    <w:bottom w:val="outset" w:sz="6" w:space="0" w:color="C0C0C0"/>
                    <w:right w:val="outset" w:sz="6" w:space="0" w:color="C0C0C0"/>
                  </w:tcBorders>
                  <w:shd w:val="clear" w:color="auto" w:fill="D9E2F3" w:themeFill="accent1" w:themeFillTint="33"/>
                  <w:vAlign w:val="center"/>
                  <w:hideMark/>
                </w:tcPr>
                <w:p w14:paraId="26826708" w14:textId="77777777" w:rsidR="009B5AA5" w:rsidRPr="00FA3F9C" w:rsidRDefault="009B5AA5" w:rsidP="006B7399">
                  <w:pPr>
                    <w:spacing w:after="0"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Disabled; requires special care and assistance</w:t>
                  </w:r>
                </w:p>
              </w:tc>
            </w:tr>
            <w:tr w:rsidR="009B5AA5" w:rsidRPr="00FA3F9C" w14:paraId="50E8BE6C" w14:textId="77777777" w:rsidTr="006B7399">
              <w:trPr>
                <w:trHeight w:val="129"/>
              </w:trPr>
              <w:tc>
                <w:tcPr>
                  <w:tcW w:w="1247" w:type="dxa"/>
                  <w:tcBorders>
                    <w:top w:val="outset" w:sz="6" w:space="0" w:color="C0C0C0"/>
                    <w:left w:val="outset" w:sz="6" w:space="0" w:color="C0C0C0"/>
                    <w:bottom w:val="outset" w:sz="6" w:space="0" w:color="C0C0C0"/>
                    <w:right w:val="outset" w:sz="6" w:space="0" w:color="C0C0C0"/>
                  </w:tcBorders>
                  <w:shd w:val="clear" w:color="auto" w:fill="D9E2F3" w:themeFill="accent1" w:themeFillTint="33"/>
                  <w:vAlign w:val="center"/>
                  <w:hideMark/>
                </w:tcPr>
                <w:p w14:paraId="5EEFDDC6" w14:textId="77777777" w:rsidR="009B5AA5" w:rsidRPr="00FA3F9C" w:rsidRDefault="009B5AA5" w:rsidP="006B7399">
                  <w:pPr>
                    <w:spacing w:after="0" w:line="240" w:lineRule="auto"/>
                    <w:jc w:val="center"/>
                    <w:rPr>
                      <w:rFonts w:ascii="Arial" w:eastAsia="Times New Roman" w:hAnsi="Arial" w:cs="Arial"/>
                      <w:color w:val="000000"/>
                      <w:sz w:val="24"/>
                      <w:szCs w:val="24"/>
                    </w:rPr>
                  </w:pPr>
                  <w:r w:rsidRPr="00FA3F9C">
                    <w:rPr>
                      <w:rFonts w:ascii="Arial" w:eastAsia="Times New Roman" w:hAnsi="Arial" w:cs="Arial"/>
                      <w:color w:val="FF0000"/>
                      <w:sz w:val="24"/>
                      <w:szCs w:val="24"/>
                    </w:rPr>
                    <w:t>30</w:t>
                  </w:r>
                </w:p>
              </w:tc>
              <w:tc>
                <w:tcPr>
                  <w:tcW w:w="5318" w:type="dxa"/>
                  <w:tcBorders>
                    <w:top w:val="outset" w:sz="6" w:space="0" w:color="C0C0C0"/>
                    <w:left w:val="outset" w:sz="6" w:space="0" w:color="C0C0C0"/>
                    <w:bottom w:val="outset" w:sz="6" w:space="0" w:color="C0C0C0"/>
                    <w:right w:val="outset" w:sz="6" w:space="0" w:color="C0C0C0"/>
                  </w:tcBorders>
                  <w:shd w:val="clear" w:color="auto" w:fill="D9E2F3" w:themeFill="accent1" w:themeFillTint="33"/>
                  <w:vAlign w:val="center"/>
                  <w:hideMark/>
                </w:tcPr>
                <w:p w14:paraId="331BE9E5" w14:textId="77777777" w:rsidR="009B5AA5" w:rsidRPr="00FA3F9C" w:rsidRDefault="009B5AA5" w:rsidP="006B7399">
                  <w:pPr>
                    <w:spacing w:after="0"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Severely disabled; hospitalization is indicated, although death not imminent</w:t>
                  </w:r>
                </w:p>
              </w:tc>
            </w:tr>
            <w:tr w:rsidR="009B5AA5" w:rsidRPr="00FA3F9C" w14:paraId="1CC9EC1C" w14:textId="77777777" w:rsidTr="006B7399">
              <w:trPr>
                <w:trHeight w:val="124"/>
              </w:trPr>
              <w:tc>
                <w:tcPr>
                  <w:tcW w:w="1247" w:type="dxa"/>
                  <w:tcBorders>
                    <w:top w:val="outset" w:sz="6" w:space="0" w:color="C0C0C0"/>
                    <w:left w:val="outset" w:sz="6" w:space="0" w:color="C0C0C0"/>
                    <w:bottom w:val="outset" w:sz="6" w:space="0" w:color="C0C0C0"/>
                    <w:right w:val="outset" w:sz="6" w:space="0" w:color="C0C0C0"/>
                  </w:tcBorders>
                  <w:shd w:val="clear" w:color="auto" w:fill="D9E2F3" w:themeFill="accent1" w:themeFillTint="33"/>
                  <w:vAlign w:val="center"/>
                  <w:hideMark/>
                </w:tcPr>
                <w:p w14:paraId="0BDE12F9" w14:textId="77777777" w:rsidR="009B5AA5" w:rsidRPr="00FA3F9C" w:rsidRDefault="009B5AA5" w:rsidP="006B7399">
                  <w:pPr>
                    <w:spacing w:after="0" w:line="240" w:lineRule="auto"/>
                    <w:jc w:val="center"/>
                    <w:rPr>
                      <w:rFonts w:ascii="Arial" w:eastAsia="Times New Roman" w:hAnsi="Arial" w:cs="Arial"/>
                      <w:color w:val="000000"/>
                      <w:sz w:val="24"/>
                      <w:szCs w:val="24"/>
                    </w:rPr>
                  </w:pPr>
                  <w:r w:rsidRPr="00FA3F9C">
                    <w:rPr>
                      <w:rFonts w:ascii="Arial" w:eastAsia="Times New Roman" w:hAnsi="Arial" w:cs="Arial"/>
                      <w:color w:val="FF0000"/>
                      <w:sz w:val="24"/>
                      <w:szCs w:val="24"/>
                    </w:rPr>
                    <w:t>20</w:t>
                  </w:r>
                </w:p>
              </w:tc>
              <w:tc>
                <w:tcPr>
                  <w:tcW w:w="5318" w:type="dxa"/>
                  <w:tcBorders>
                    <w:top w:val="outset" w:sz="6" w:space="0" w:color="C0C0C0"/>
                    <w:left w:val="outset" w:sz="6" w:space="0" w:color="C0C0C0"/>
                    <w:bottom w:val="outset" w:sz="6" w:space="0" w:color="C0C0C0"/>
                    <w:right w:val="outset" w:sz="6" w:space="0" w:color="C0C0C0"/>
                  </w:tcBorders>
                  <w:shd w:val="clear" w:color="auto" w:fill="D9E2F3" w:themeFill="accent1" w:themeFillTint="33"/>
                  <w:vAlign w:val="center"/>
                  <w:hideMark/>
                </w:tcPr>
                <w:p w14:paraId="618A96D9" w14:textId="77777777" w:rsidR="009B5AA5" w:rsidRPr="00FA3F9C" w:rsidRDefault="009B5AA5" w:rsidP="006B7399">
                  <w:pPr>
                    <w:spacing w:after="0"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Very sick; hospitalization necessary; active support treatment is necessary</w:t>
                  </w:r>
                </w:p>
              </w:tc>
            </w:tr>
            <w:tr w:rsidR="009B5AA5" w:rsidRPr="00FA3F9C" w14:paraId="33B174BB" w14:textId="77777777" w:rsidTr="006B7399">
              <w:trPr>
                <w:trHeight w:val="124"/>
              </w:trPr>
              <w:tc>
                <w:tcPr>
                  <w:tcW w:w="1247" w:type="dxa"/>
                  <w:tcBorders>
                    <w:top w:val="outset" w:sz="6" w:space="0" w:color="C0C0C0"/>
                    <w:left w:val="outset" w:sz="6" w:space="0" w:color="C0C0C0"/>
                    <w:bottom w:val="outset" w:sz="6" w:space="0" w:color="C0C0C0"/>
                    <w:right w:val="outset" w:sz="6" w:space="0" w:color="C0C0C0"/>
                  </w:tcBorders>
                  <w:shd w:val="clear" w:color="auto" w:fill="D9E2F3" w:themeFill="accent1" w:themeFillTint="33"/>
                  <w:vAlign w:val="center"/>
                  <w:hideMark/>
                </w:tcPr>
                <w:p w14:paraId="0973A985" w14:textId="77777777" w:rsidR="009B5AA5" w:rsidRPr="00FA3F9C" w:rsidRDefault="009B5AA5" w:rsidP="006B7399">
                  <w:pPr>
                    <w:spacing w:after="0" w:line="240" w:lineRule="auto"/>
                    <w:jc w:val="center"/>
                    <w:rPr>
                      <w:rFonts w:ascii="Arial" w:eastAsia="Times New Roman" w:hAnsi="Arial" w:cs="Arial"/>
                      <w:color w:val="000000"/>
                      <w:sz w:val="24"/>
                      <w:szCs w:val="24"/>
                    </w:rPr>
                  </w:pPr>
                  <w:r w:rsidRPr="00FA3F9C">
                    <w:rPr>
                      <w:rFonts w:ascii="Arial" w:eastAsia="Times New Roman" w:hAnsi="Arial" w:cs="Arial"/>
                      <w:color w:val="FF0000"/>
                      <w:sz w:val="24"/>
                      <w:szCs w:val="24"/>
                    </w:rPr>
                    <w:t>10</w:t>
                  </w:r>
                </w:p>
              </w:tc>
              <w:tc>
                <w:tcPr>
                  <w:tcW w:w="5318" w:type="dxa"/>
                  <w:tcBorders>
                    <w:top w:val="outset" w:sz="6" w:space="0" w:color="C0C0C0"/>
                    <w:left w:val="outset" w:sz="6" w:space="0" w:color="C0C0C0"/>
                    <w:bottom w:val="outset" w:sz="6" w:space="0" w:color="C0C0C0"/>
                    <w:right w:val="outset" w:sz="6" w:space="0" w:color="C0C0C0"/>
                  </w:tcBorders>
                  <w:shd w:val="clear" w:color="auto" w:fill="D9E2F3" w:themeFill="accent1" w:themeFillTint="33"/>
                  <w:vAlign w:val="center"/>
                  <w:hideMark/>
                </w:tcPr>
                <w:p w14:paraId="353B0166" w14:textId="77777777" w:rsidR="009B5AA5" w:rsidRPr="00FA3F9C" w:rsidRDefault="009B5AA5" w:rsidP="006B7399">
                  <w:pPr>
                    <w:spacing w:after="0"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 xml:space="preserve">Moribund; fatal processes progressing rapidly </w:t>
                  </w:r>
                </w:p>
              </w:tc>
            </w:tr>
            <w:tr w:rsidR="009B5AA5" w:rsidRPr="00FA3F9C" w14:paraId="3EE3F4DC" w14:textId="77777777" w:rsidTr="006B7399">
              <w:trPr>
                <w:trHeight w:val="124"/>
              </w:trPr>
              <w:tc>
                <w:tcPr>
                  <w:tcW w:w="1247" w:type="dxa"/>
                  <w:tcBorders>
                    <w:top w:val="outset" w:sz="6" w:space="0" w:color="C0C0C0"/>
                    <w:left w:val="outset" w:sz="6" w:space="0" w:color="C0C0C0"/>
                    <w:bottom w:val="outset" w:sz="6" w:space="0" w:color="C0C0C0"/>
                    <w:right w:val="outset" w:sz="6" w:space="0" w:color="C0C0C0"/>
                  </w:tcBorders>
                  <w:shd w:val="clear" w:color="auto" w:fill="D9E2F3" w:themeFill="accent1" w:themeFillTint="33"/>
                  <w:vAlign w:val="center"/>
                  <w:hideMark/>
                </w:tcPr>
                <w:p w14:paraId="39D7F922" w14:textId="77777777" w:rsidR="009B5AA5" w:rsidRPr="00FA3F9C" w:rsidRDefault="009B5AA5" w:rsidP="006B7399">
                  <w:pPr>
                    <w:spacing w:after="0" w:line="240" w:lineRule="auto"/>
                    <w:jc w:val="center"/>
                    <w:rPr>
                      <w:rFonts w:ascii="Arial" w:eastAsia="Times New Roman" w:hAnsi="Arial" w:cs="Arial"/>
                      <w:color w:val="000000"/>
                      <w:sz w:val="24"/>
                      <w:szCs w:val="24"/>
                    </w:rPr>
                  </w:pPr>
                  <w:r w:rsidRPr="00FA3F9C">
                    <w:rPr>
                      <w:rFonts w:ascii="Arial" w:eastAsia="Times New Roman" w:hAnsi="Arial" w:cs="Arial"/>
                      <w:color w:val="FF0000"/>
                      <w:sz w:val="24"/>
                      <w:szCs w:val="24"/>
                    </w:rPr>
                    <w:t>0</w:t>
                  </w:r>
                </w:p>
              </w:tc>
              <w:tc>
                <w:tcPr>
                  <w:tcW w:w="5318" w:type="dxa"/>
                  <w:tcBorders>
                    <w:top w:val="outset" w:sz="6" w:space="0" w:color="C0C0C0"/>
                    <w:left w:val="outset" w:sz="6" w:space="0" w:color="C0C0C0"/>
                    <w:bottom w:val="outset" w:sz="6" w:space="0" w:color="C0C0C0"/>
                    <w:right w:val="outset" w:sz="6" w:space="0" w:color="C0C0C0"/>
                  </w:tcBorders>
                  <w:shd w:val="clear" w:color="auto" w:fill="D9E2F3" w:themeFill="accent1" w:themeFillTint="33"/>
                  <w:vAlign w:val="center"/>
                  <w:hideMark/>
                </w:tcPr>
                <w:p w14:paraId="2D7D66F8" w14:textId="77777777" w:rsidR="009B5AA5" w:rsidRPr="00FA3F9C" w:rsidRDefault="009B5AA5" w:rsidP="006B7399">
                  <w:pPr>
                    <w:spacing w:after="0" w:line="240" w:lineRule="auto"/>
                    <w:rPr>
                      <w:rFonts w:ascii="Arial" w:eastAsia="Times New Roman" w:hAnsi="Arial" w:cs="Arial"/>
                      <w:color w:val="000000"/>
                      <w:sz w:val="24"/>
                      <w:szCs w:val="24"/>
                    </w:rPr>
                  </w:pPr>
                  <w:r w:rsidRPr="00FA3F9C">
                    <w:rPr>
                      <w:rFonts w:ascii="Arial" w:eastAsia="Times New Roman" w:hAnsi="Arial" w:cs="Arial"/>
                      <w:color w:val="000000"/>
                      <w:sz w:val="24"/>
                      <w:szCs w:val="24"/>
                    </w:rPr>
                    <w:t>Dead</w:t>
                  </w:r>
                </w:p>
              </w:tc>
            </w:tr>
          </w:tbl>
          <w:p w14:paraId="4A3581AD" w14:textId="77777777" w:rsidR="009B5AA5" w:rsidRPr="00FA3F9C" w:rsidRDefault="009B5AA5" w:rsidP="006B7399">
            <w:pPr>
              <w:pStyle w:val="Heading1"/>
              <w:spacing w:before="0" w:beforeAutospacing="0" w:after="0" w:afterAutospacing="0"/>
              <w:rPr>
                <w:rFonts w:ascii="Arial" w:hAnsi="Arial" w:cs="Arial"/>
                <w:sz w:val="24"/>
                <w:szCs w:val="24"/>
              </w:rPr>
            </w:pPr>
          </w:p>
          <w:p w14:paraId="01BC96F4" w14:textId="77777777" w:rsidR="009B5AA5" w:rsidRPr="00FA3F9C" w:rsidRDefault="009B5AA5" w:rsidP="00500AD5">
            <w:pPr>
              <w:rPr>
                <w:b/>
              </w:rPr>
            </w:pPr>
            <w:r w:rsidRPr="00FA3F9C">
              <w:t>REFERENCE</w:t>
            </w:r>
          </w:p>
          <w:p w14:paraId="3AF7BE98" w14:textId="77777777" w:rsidR="009B5AA5" w:rsidRPr="00FA3F9C" w:rsidRDefault="009B5AA5" w:rsidP="00500AD5">
            <w:pPr>
              <w:rPr>
                <w:b/>
              </w:rPr>
            </w:pPr>
            <w:proofErr w:type="spellStart"/>
            <w:r w:rsidRPr="00FA3F9C">
              <w:t>Rini</w:t>
            </w:r>
            <w:proofErr w:type="spellEnd"/>
            <w:r w:rsidRPr="00FA3F9C">
              <w:t xml:space="preserve"> et al. Pembrolizumab plus </w:t>
            </w:r>
            <w:proofErr w:type="spellStart"/>
            <w:r w:rsidRPr="00FA3F9C">
              <w:t>Axitinib</w:t>
            </w:r>
            <w:proofErr w:type="spellEnd"/>
            <w:r w:rsidRPr="00FA3F9C">
              <w:t xml:space="preserve"> versus Sunitinib for Advanced Renal-Cell Carcinoma. N </w:t>
            </w:r>
            <w:proofErr w:type="spellStart"/>
            <w:r w:rsidRPr="00FA3F9C">
              <w:t>Engl</w:t>
            </w:r>
            <w:proofErr w:type="spellEnd"/>
            <w:r w:rsidRPr="00FA3F9C">
              <w:t xml:space="preserve"> J Med. 2019 Mar 21;380(12):1116-1127. NCT02853331 PMID 30779529</w:t>
            </w:r>
          </w:p>
        </w:tc>
      </w:tr>
    </w:tbl>
    <w:p w14:paraId="3820C292" w14:textId="77777777" w:rsidR="009B5AA5" w:rsidRPr="00FA3F9C" w:rsidRDefault="009B5AA5" w:rsidP="006F623F">
      <w:pPr>
        <w:spacing w:after="0"/>
        <w:rPr>
          <w:rFonts w:ascii="Arial" w:hAnsi="Arial" w:cs="Arial"/>
          <w:sz w:val="24"/>
          <w:szCs w:val="24"/>
        </w:rPr>
      </w:pPr>
    </w:p>
    <w:p w14:paraId="5BD534F4" w14:textId="77777777" w:rsidR="009B5AA5" w:rsidRPr="00FA3F9C" w:rsidRDefault="009B5AA5" w:rsidP="006F623F">
      <w:pPr>
        <w:spacing w:after="0"/>
        <w:rPr>
          <w:rFonts w:ascii="Arial" w:hAnsi="Arial" w:cs="Arial"/>
          <w:sz w:val="24"/>
          <w:szCs w:val="24"/>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68"/>
      </w:tblGrid>
      <w:tr w:rsidR="009B5AA5" w:rsidRPr="00FA3F9C" w14:paraId="1F6A986D" w14:textId="77777777" w:rsidTr="000946BD">
        <w:tc>
          <w:tcPr>
            <w:tcW w:w="10368" w:type="dxa"/>
            <w:tcBorders>
              <w:bottom w:val="single" w:sz="4" w:space="0" w:color="auto"/>
            </w:tcBorders>
            <w:shd w:val="clear" w:color="auto" w:fill="000000"/>
          </w:tcPr>
          <w:p w14:paraId="1D5D4D49" w14:textId="77777777" w:rsidR="009B5AA5" w:rsidRPr="00FA3F9C" w:rsidRDefault="009B5AA5" w:rsidP="00BA74E9">
            <w:pPr>
              <w:spacing w:after="0"/>
              <w:rPr>
                <w:rFonts w:ascii="Arial" w:hAnsi="Arial" w:cs="Arial"/>
                <w:b/>
                <w:sz w:val="24"/>
                <w:szCs w:val="24"/>
                <w:u w:val="single"/>
              </w:rPr>
            </w:pPr>
            <w:r w:rsidRPr="00FA3F9C">
              <w:rPr>
                <w:rFonts w:ascii="Arial" w:hAnsi="Arial" w:cs="Arial"/>
                <w:sz w:val="24"/>
                <w:szCs w:val="24"/>
              </w:rPr>
              <w:br w:type="page"/>
            </w:r>
            <w:r w:rsidRPr="00FA3F9C">
              <w:rPr>
                <w:rFonts w:ascii="Arial" w:hAnsi="Arial" w:cs="Arial"/>
                <w:b/>
                <w:sz w:val="24"/>
                <w:szCs w:val="24"/>
                <w:u w:val="single"/>
              </w:rPr>
              <w:t>R</w:t>
            </w:r>
            <w:bookmarkStart w:id="263" w:name="rena_lenvat"/>
            <w:bookmarkEnd w:id="263"/>
            <w:r w:rsidRPr="00FA3F9C">
              <w:rPr>
                <w:rFonts w:ascii="Arial" w:hAnsi="Arial" w:cs="Arial"/>
                <w:b/>
                <w:sz w:val="24"/>
                <w:szCs w:val="24"/>
                <w:u w:val="single"/>
              </w:rPr>
              <w:t xml:space="preserve">enal Cell Carcinoma (in combination with </w:t>
            </w:r>
            <w:proofErr w:type="spellStart"/>
            <w:r w:rsidRPr="00FA3F9C">
              <w:rPr>
                <w:rFonts w:ascii="Arial" w:hAnsi="Arial" w:cs="Arial"/>
                <w:b/>
                <w:sz w:val="24"/>
                <w:szCs w:val="24"/>
                <w:u w:val="single"/>
              </w:rPr>
              <w:t>lenvatinib</w:t>
            </w:r>
            <w:proofErr w:type="spellEnd"/>
            <w:r w:rsidRPr="00FA3F9C">
              <w:rPr>
                <w:rFonts w:ascii="Arial" w:hAnsi="Arial" w:cs="Arial"/>
                <w:b/>
                <w:sz w:val="24"/>
                <w:szCs w:val="24"/>
                <w:u w:val="single"/>
              </w:rPr>
              <w:t>)</w:t>
            </w:r>
          </w:p>
        </w:tc>
      </w:tr>
      <w:tr w:rsidR="009B5AA5" w:rsidRPr="00FA3F9C" w14:paraId="0CEBD8C3" w14:textId="77777777" w:rsidTr="000946BD">
        <w:tc>
          <w:tcPr>
            <w:tcW w:w="10368" w:type="dxa"/>
          </w:tcPr>
          <w:p w14:paraId="57665C32" w14:textId="77777777" w:rsidR="009B5AA5" w:rsidRPr="00FA3F9C" w:rsidRDefault="009B5AA5" w:rsidP="00BA74E9">
            <w:pPr>
              <w:spacing w:after="0"/>
              <w:rPr>
                <w:rFonts w:ascii="Arial" w:hAnsi="Arial" w:cs="Arial"/>
                <w:sz w:val="24"/>
                <w:szCs w:val="24"/>
              </w:rPr>
            </w:pPr>
            <w:r w:rsidRPr="00FA3F9C">
              <w:rPr>
                <w:rFonts w:ascii="Arial" w:hAnsi="Arial" w:cs="Arial"/>
                <w:sz w:val="24"/>
                <w:szCs w:val="24"/>
              </w:rPr>
              <w:t xml:space="preserve">See </w:t>
            </w:r>
            <w:proofErr w:type="spellStart"/>
            <w:r w:rsidRPr="00FA3F9C">
              <w:rPr>
                <w:rFonts w:ascii="Arial" w:hAnsi="Arial" w:cs="Arial"/>
                <w:sz w:val="24"/>
                <w:szCs w:val="24"/>
              </w:rPr>
              <w:t>lenvatinib</w:t>
            </w:r>
            <w:proofErr w:type="spellEnd"/>
            <w:r w:rsidRPr="00FA3F9C">
              <w:rPr>
                <w:rFonts w:ascii="Arial" w:hAnsi="Arial" w:cs="Arial"/>
                <w:sz w:val="24"/>
                <w:szCs w:val="24"/>
              </w:rPr>
              <w:t xml:space="preserve"> (</w:t>
            </w:r>
            <w:proofErr w:type="spellStart"/>
            <w:r w:rsidRPr="00FA3F9C">
              <w:rPr>
                <w:rFonts w:ascii="Arial" w:hAnsi="Arial" w:cs="Arial"/>
                <w:sz w:val="24"/>
                <w:szCs w:val="24"/>
              </w:rPr>
              <w:t>Lenvima</w:t>
            </w:r>
            <w:proofErr w:type="spellEnd"/>
            <w:r w:rsidRPr="00FA3F9C">
              <w:rPr>
                <w:rFonts w:ascii="Arial" w:hAnsi="Arial" w:cs="Arial"/>
                <w:sz w:val="24"/>
                <w:szCs w:val="24"/>
              </w:rPr>
              <w:t xml:space="preserve">) criteria. If patient meets </w:t>
            </w:r>
            <w:proofErr w:type="spellStart"/>
            <w:r w:rsidRPr="00FA3F9C">
              <w:rPr>
                <w:rFonts w:ascii="Arial" w:hAnsi="Arial" w:cs="Arial"/>
                <w:sz w:val="24"/>
                <w:szCs w:val="24"/>
              </w:rPr>
              <w:t>lenvatinib</w:t>
            </w:r>
            <w:proofErr w:type="spellEnd"/>
            <w:r w:rsidRPr="00FA3F9C">
              <w:rPr>
                <w:rFonts w:ascii="Arial" w:hAnsi="Arial" w:cs="Arial"/>
                <w:sz w:val="24"/>
                <w:szCs w:val="24"/>
              </w:rPr>
              <w:t xml:space="preserve"> criteria, approve pembrolizumab for 12 months.</w:t>
            </w:r>
          </w:p>
        </w:tc>
      </w:tr>
    </w:tbl>
    <w:p w14:paraId="4EE76836" w14:textId="77777777" w:rsidR="009B5AA5" w:rsidRPr="00FA3F9C" w:rsidRDefault="009B5AA5" w:rsidP="006F623F">
      <w:pPr>
        <w:spacing w:after="0"/>
        <w:rPr>
          <w:rFonts w:ascii="Arial" w:hAnsi="Arial" w:cs="Arial"/>
          <w:sz w:val="24"/>
          <w:szCs w:val="24"/>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68"/>
      </w:tblGrid>
      <w:tr w:rsidR="009B5AA5" w:rsidRPr="00FA3F9C" w14:paraId="724E9FC9" w14:textId="77777777" w:rsidTr="008C1FC3">
        <w:tc>
          <w:tcPr>
            <w:tcW w:w="10368" w:type="dxa"/>
            <w:tcBorders>
              <w:bottom w:val="single" w:sz="4" w:space="0" w:color="auto"/>
            </w:tcBorders>
            <w:shd w:val="clear" w:color="auto" w:fill="000000"/>
          </w:tcPr>
          <w:p w14:paraId="1E95C260" w14:textId="77777777" w:rsidR="009B5AA5" w:rsidRPr="00FA3F9C" w:rsidRDefault="009B5AA5" w:rsidP="005A2461">
            <w:pPr>
              <w:spacing w:after="0"/>
              <w:rPr>
                <w:rFonts w:ascii="Arial" w:hAnsi="Arial" w:cs="Arial"/>
                <w:b/>
                <w:sz w:val="24"/>
                <w:szCs w:val="24"/>
                <w:u w:val="single"/>
              </w:rPr>
            </w:pPr>
            <w:r w:rsidRPr="00FA3F9C">
              <w:rPr>
                <w:rFonts w:ascii="Arial" w:hAnsi="Arial" w:cs="Arial"/>
                <w:sz w:val="24"/>
                <w:szCs w:val="24"/>
              </w:rPr>
              <w:br w:type="page"/>
            </w:r>
            <w:r w:rsidRPr="00FA3F9C">
              <w:rPr>
                <w:rFonts w:ascii="Arial" w:hAnsi="Arial" w:cs="Arial"/>
                <w:b/>
                <w:sz w:val="24"/>
                <w:szCs w:val="24"/>
                <w:u w:val="single"/>
              </w:rPr>
              <w:t>Renal Cell Carcinoma (adjuvant therapy)</w:t>
            </w:r>
            <w:bookmarkStart w:id="264" w:name="renal_adj"/>
            <w:bookmarkEnd w:id="264"/>
          </w:p>
        </w:tc>
      </w:tr>
      <w:tr w:rsidR="009B5AA5" w:rsidRPr="00FA3F9C" w14:paraId="47E58B04" w14:textId="77777777" w:rsidTr="008C1FC3">
        <w:tc>
          <w:tcPr>
            <w:tcW w:w="10368" w:type="dxa"/>
          </w:tcPr>
          <w:p w14:paraId="4D54C3BA" w14:textId="77777777" w:rsidR="009B5AA5" w:rsidRPr="00FA3F9C" w:rsidRDefault="009B5AA5" w:rsidP="00FC1E85">
            <w:pPr>
              <w:pStyle w:val="ListParagraph"/>
              <w:numPr>
                <w:ilvl w:val="0"/>
                <w:numId w:val="428"/>
              </w:numPr>
              <w:spacing w:after="0" w:line="276" w:lineRule="auto"/>
              <w:ind w:left="431" w:hanging="270"/>
              <w:rPr>
                <w:rFonts w:ascii="Arial" w:hAnsi="Arial" w:cs="Arial"/>
                <w:sz w:val="24"/>
                <w:szCs w:val="24"/>
              </w:rPr>
            </w:pPr>
            <w:r w:rsidRPr="00FA3F9C">
              <w:rPr>
                <w:rFonts w:ascii="Arial" w:hAnsi="Arial" w:cs="Arial"/>
                <w:sz w:val="24"/>
                <w:szCs w:val="24"/>
              </w:rPr>
              <w:t>Diagnosis of renal cell carcinoma that has been completely resected</w:t>
            </w:r>
          </w:p>
        </w:tc>
      </w:tr>
      <w:tr w:rsidR="009B5AA5" w:rsidRPr="00FA3F9C" w14:paraId="00728A60" w14:textId="77777777" w:rsidTr="008C1FC3">
        <w:tc>
          <w:tcPr>
            <w:tcW w:w="10368" w:type="dxa"/>
          </w:tcPr>
          <w:p w14:paraId="4C12E721" w14:textId="77777777" w:rsidR="009B5AA5" w:rsidRPr="00FA3F9C" w:rsidRDefault="009B5AA5" w:rsidP="00FC1E85">
            <w:pPr>
              <w:pStyle w:val="ListParagraph"/>
              <w:numPr>
                <w:ilvl w:val="0"/>
                <w:numId w:val="428"/>
              </w:numPr>
              <w:spacing w:after="0" w:line="276" w:lineRule="auto"/>
              <w:ind w:left="425" w:hanging="270"/>
              <w:rPr>
                <w:rFonts w:ascii="Arial" w:hAnsi="Arial" w:cs="Arial"/>
                <w:sz w:val="24"/>
                <w:szCs w:val="24"/>
              </w:rPr>
            </w:pPr>
            <w:r w:rsidRPr="00FA3F9C">
              <w:rPr>
                <w:rFonts w:ascii="Arial" w:hAnsi="Arial" w:cs="Arial"/>
                <w:sz w:val="24"/>
                <w:szCs w:val="24"/>
              </w:rPr>
              <w:t>Patient is at intermediate-high or high risk of recurrence of renal cell carcinoma defined as presence of ONE of the following:</w:t>
            </w:r>
          </w:p>
          <w:p w14:paraId="0C39AC31" w14:textId="77777777" w:rsidR="009B5AA5" w:rsidRPr="00FA3F9C" w:rsidRDefault="009B5AA5" w:rsidP="005A2461">
            <w:pPr>
              <w:pStyle w:val="ListParagraph"/>
              <w:spacing w:after="0"/>
              <w:ind w:left="425"/>
              <w:rPr>
                <w:rFonts w:ascii="Arial" w:hAnsi="Arial" w:cs="Arial"/>
                <w:sz w:val="24"/>
                <w:szCs w:val="24"/>
              </w:rPr>
            </w:pPr>
            <w:r w:rsidRPr="00FA3F9C">
              <w:rPr>
                <w:rFonts w:ascii="Arial" w:hAnsi="Arial" w:cs="Arial"/>
                <w:sz w:val="24"/>
                <w:szCs w:val="24"/>
              </w:rPr>
              <w:t xml:space="preserve">-pT2 with Grade 4 </w:t>
            </w:r>
            <w:proofErr w:type="spellStart"/>
            <w:r w:rsidRPr="00FA3F9C">
              <w:rPr>
                <w:rFonts w:ascii="Arial" w:hAnsi="Arial" w:cs="Arial"/>
                <w:sz w:val="24"/>
                <w:szCs w:val="24"/>
              </w:rPr>
              <w:t>sarcomatoid</w:t>
            </w:r>
            <w:proofErr w:type="spellEnd"/>
            <w:r w:rsidRPr="00FA3F9C">
              <w:rPr>
                <w:rFonts w:ascii="Arial" w:hAnsi="Arial" w:cs="Arial"/>
                <w:sz w:val="24"/>
                <w:szCs w:val="24"/>
              </w:rPr>
              <w:t xml:space="preserve"> features</w:t>
            </w:r>
          </w:p>
          <w:p w14:paraId="1B8F870E" w14:textId="77777777" w:rsidR="009B5AA5" w:rsidRPr="00FA3F9C" w:rsidRDefault="009B5AA5" w:rsidP="005A2461">
            <w:pPr>
              <w:pStyle w:val="ListParagraph"/>
              <w:spacing w:after="0"/>
              <w:ind w:left="425"/>
              <w:rPr>
                <w:rFonts w:ascii="Arial" w:hAnsi="Arial" w:cs="Arial"/>
                <w:sz w:val="24"/>
                <w:szCs w:val="24"/>
              </w:rPr>
            </w:pPr>
            <w:r w:rsidRPr="00FA3F9C">
              <w:rPr>
                <w:rFonts w:ascii="Arial" w:hAnsi="Arial" w:cs="Arial"/>
                <w:sz w:val="24"/>
                <w:szCs w:val="24"/>
              </w:rPr>
              <w:t>-pT3, any grade</w:t>
            </w:r>
          </w:p>
          <w:p w14:paraId="6C3CE0DA" w14:textId="77777777" w:rsidR="009B5AA5" w:rsidRPr="00FA3F9C" w:rsidRDefault="009B5AA5" w:rsidP="005A2461">
            <w:pPr>
              <w:pStyle w:val="ListParagraph"/>
              <w:spacing w:after="0"/>
              <w:ind w:left="425"/>
              <w:rPr>
                <w:rFonts w:ascii="Arial" w:hAnsi="Arial" w:cs="Arial"/>
                <w:sz w:val="24"/>
                <w:szCs w:val="24"/>
              </w:rPr>
            </w:pPr>
            <w:r w:rsidRPr="00FA3F9C">
              <w:rPr>
                <w:rFonts w:ascii="Arial" w:hAnsi="Arial" w:cs="Arial"/>
                <w:sz w:val="24"/>
                <w:szCs w:val="24"/>
              </w:rPr>
              <w:t>-pT4, any grade</w:t>
            </w:r>
          </w:p>
          <w:p w14:paraId="768AF0F2" w14:textId="77777777" w:rsidR="009B5AA5" w:rsidRPr="00FA3F9C" w:rsidRDefault="009B5AA5" w:rsidP="005A2461">
            <w:pPr>
              <w:pStyle w:val="ListParagraph"/>
              <w:spacing w:after="0"/>
              <w:ind w:left="425"/>
              <w:rPr>
                <w:rFonts w:ascii="Arial" w:hAnsi="Arial" w:cs="Arial"/>
                <w:sz w:val="24"/>
                <w:szCs w:val="24"/>
              </w:rPr>
            </w:pPr>
            <w:r w:rsidRPr="00FA3F9C">
              <w:rPr>
                <w:rFonts w:ascii="Arial" w:hAnsi="Arial" w:cs="Arial"/>
                <w:sz w:val="24"/>
                <w:szCs w:val="24"/>
              </w:rPr>
              <w:t xml:space="preserve">-any </w:t>
            </w:r>
            <w:proofErr w:type="spellStart"/>
            <w:r w:rsidRPr="00FA3F9C">
              <w:rPr>
                <w:rFonts w:ascii="Arial" w:hAnsi="Arial" w:cs="Arial"/>
                <w:sz w:val="24"/>
                <w:szCs w:val="24"/>
              </w:rPr>
              <w:t>pT</w:t>
            </w:r>
            <w:proofErr w:type="spellEnd"/>
            <w:r w:rsidRPr="00FA3F9C">
              <w:rPr>
                <w:rFonts w:ascii="Arial" w:hAnsi="Arial" w:cs="Arial"/>
                <w:sz w:val="24"/>
                <w:szCs w:val="24"/>
              </w:rPr>
              <w:t>, any grade with nodal involvement</w:t>
            </w:r>
          </w:p>
          <w:p w14:paraId="4B4A6787" w14:textId="77777777" w:rsidR="009B5AA5" w:rsidRPr="00FA3F9C" w:rsidRDefault="009B5AA5" w:rsidP="005A2461">
            <w:pPr>
              <w:pStyle w:val="ListParagraph"/>
              <w:spacing w:after="0"/>
              <w:ind w:left="425"/>
              <w:rPr>
                <w:rFonts w:ascii="Arial" w:hAnsi="Arial" w:cs="Arial"/>
                <w:sz w:val="24"/>
                <w:szCs w:val="24"/>
              </w:rPr>
            </w:pPr>
            <w:r w:rsidRPr="00FA3F9C">
              <w:rPr>
                <w:rFonts w:ascii="Arial" w:hAnsi="Arial" w:cs="Arial"/>
                <w:sz w:val="24"/>
                <w:szCs w:val="24"/>
              </w:rPr>
              <w:t>-M1 with no evidence of disease after resection of primary and metastatic lesions</w:t>
            </w:r>
          </w:p>
        </w:tc>
      </w:tr>
      <w:tr w:rsidR="009B5AA5" w:rsidRPr="00FA3F9C" w14:paraId="5A44B803" w14:textId="77777777" w:rsidTr="008C1FC3">
        <w:trPr>
          <w:trHeight w:val="152"/>
        </w:trPr>
        <w:tc>
          <w:tcPr>
            <w:tcW w:w="10368" w:type="dxa"/>
          </w:tcPr>
          <w:p w14:paraId="453340AB" w14:textId="77777777" w:rsidR="009B5AA5" w:rsidRPr="00FA3F9C" w:rsidRDefault="009B5AA5" w:rsidP="005A2461">
            <w:pPr>
              <w:spacing w:after="0"/>
              <w:rPr>
                <w:rFonts w:ascii="Arial" w:hAnsi="Arial" w:cs="Arial"/>
                <w:sz w:val="24"/>
                <w:szCs w:val="24"/>
              </w:rPr>
            </w:pPr>
            <w:r w:rsidRPr="00FA3F9C">
              <w:rPr>
                <w:rFonts w:ascii="Arial" w:hAnsi="Arial" w:cs="Arial"/>
                <w:b/>
                <w:sz w:val="24"/>
                <w:szCs w:val="24"/>
              </w:rPr>
              <w:lastRenderedPageBreak/>
              <w:t xml:space="preserve">If all criteria fulfilled, approve for 12 months. Therapy is limited to </w:t>
            </w:r>
            <w:proofErr w:type="gramStart"/>
            <w:r w:rsidRPr="00FA3F9C">
              <w:rPr>
                <w:rFonts w:ascii="Arial" w:hAnsi="Arial" w:cs="Arial"/>
                <w:b/>
                <w:sz w:val="24"/>
                <w:szCs w:val="24"/>
              </w:rPr>
              <w:t>one year</w:t>
            </w:r>
            <w:proofErr w:type="gramEnd"/>
            <w:r w:rsidRPr="00FA3F9C">
              <w:rPr>
                <w:rFonts w:ascii="Arial" w:hAnsi="Arial" w:cs="Arial"/>
                <w:b/>
                <w:sz w:val="24"/>
                <w:szCs w:val="24"/>
              </w:rPr>
              <w:t xml:space="preserve"> total duration. Do not approve renewal requests.</w:t>
            </w:r>
          </w:p>
        </w:tc>
      </w:tr>
      <w:tr w:rsidR="009B5AA5" w:rsidRPr="00FA3F9C" w14:paraId="47C5A037" w14:textId="77777777" w:rsidTr="008C1FC3">
        <w:tc>
          <w:tcPr>
            <w:tcW w:w="10368" w:type="dxa"/>
            <w:shd w:val="clear" w:color="auto" w:fill="BFBFBF" w:themeFill="background1" w:themeFillShade="BF"/>
          </w:tcPr>
          <w:p w14:paraId="195432DE" w14:textId="77777777" w:rsidR="009B5AA5" w:rsidRPr="00FA3F9C" w:rsidRDefault="009B5AA5" w:rsidP="008C1FC3">
            <w:pPr>
              <w:spacing w:after="0" w:line="240" w:lineRule="auto"/>
              <w:rPr>
                <w:rFonts w:ascii="Arial" w:hAnsi="Arial" w:cs="Arial"/>
                <w:sz w:val="24"/>
                <w:szCs w:val="24"/>
              </w:rPr>
            </w:pPr>
            <w:r w:rsidRPr="00FA3F9C">
              <w:rPr>
                <w:rFonts w:ascii="Arial" w:hAnsi="Arial" w:cs="Arial"/>
                <w:sz w:val="24"/>
                <w:szCs w:val="24"/>
              </w:rPr>
              <w:t xml:space="preserve">Note:  </w:t>
            </w:r>
          </w:p>
          <w:p w14:paraId="4E303814" w14:textId="77777777" w:rsidR="009B5AA5" w:rsidRPr="00FA3F9C" w:rsidRDefault="009B5AA5" w:rsidP="008C1FC3">
            <w:pPr>
              <w:spacing w:after="0"/>
              <w:rPr>
                <w:rFonts w:ascii="Arial" w:hAnsi="Arial" w:cs="Arial"/>
                <w:sz w:val="24"/>
                <w:szCs w:val="24"/>
              </w:rPr>
            </w:pPr>
          </w:p>
          <w:p w14:paraId="2AE43168" w14:textId="77777777" w:rsidR="009B5AA5" w:rsidRPr="00FA3F9C" w:rsidRDefault="009B5AA5" w:rsidP="008C1FC3">
            <w:pPr>
              <w:spacing w:after="0"/>
              <w:rPr>
                <w:rFonts w:ascii="Arial" w:hAnsi="Arial" w:cs="Arial"/>
                <w:sz w:val="24"/>
                <w:szCs w:val="24"/>
              </w:rPr>
            </w:pPr>
            <w:r w:rsidRPr="00FA3F9C">
              <w:rPr>
                <w:rFonts w:ascii="Arial" w:hAnsi="Arial" w:cs="Arial"/>
                <w:sz w:val="24"/>
                <w:szCs w:val="24"/>
              </w:rPr>
              <w:t xml:space="preserve">The KEYNOTE-564 trial (NCT03142334) randomized patients to Pembrolizumab or placebo. Pembrolizumab associated with an improvement in disease free survival (median DFS not reached in either group; HR 0.68). </w:t>
            </w:r>
          </w:p>
          <w:p w14:paraId="0F4829F7" w14:textId="77777777" w:rsidR="009B5AA5" w:rsidRPr="00FA3F9C" w:rsidRDefault="009B5AA5" w:rsidP="008C1FC3">
            <w:pPr>
              <w:pStyle w:val="Heading1"/>
              <w:spacing w:before="0" w:beforeAutospacing="0" w:after="0" w:afterAutospacing="0"/>
              <w:rPr>
                <w:rFonts w:ascii="Arial" w:hAnsi="Arial" w:cs="Arial"/>
                <w:sz w:val="24"/>
                <w:szCs w:val="24"/>
              </w:rPr>
            </w:pPr>
          </w:p>
          <w:p w14:paraId="5E7EB1A2" w14:textId="77777777" w:rsidR="009B5AA5" w:rsidRPr="00FA3F9C" w:rsidRDefault="009B5AA5" w:rsidP="00500AD5">
            <w:pPr>
              <w:rPr>
                <w:b/>
              </w:rPr>
            </w:pPr>
            <w:r w:rsidRPr="00FA3F9C">
              <w:t>REFERENCE</w:t>
            </w:r>
          </w:p>
          <w:p w14:paraId="3D7189F0" w14:textId="77777777" w:rsidR="009B5AA5" w:rsidRPr="00FA3F9C" w:rsidRDefault="009B5AA5" w:rsidP="00500AD5">
            <w:pPr>
              <w:rPr>
                <w:b/>
              </w:rPr>
            </w:pPr>
            <w:r w:rsidRPr="00FA3F9C">
              <w:t xml:space="preserve">Choueiri TK, Tomczak P, Park SH, et al. Adjuvant Pembrolizumab after Nephrectomy in Renal-Cell Carcinoma. N </w:t>
            </w:r>
            <w:proofErr w:type="spellStart"/>
            <w:r w:rsidRPr="00FA3F9C">
              <w:t>Engl</w:t>
            </w:r>
            <w:proofErr w:type="spellEnd"/>
            <w:r w:rsidRPr="00FA3F9C">
              <w:t xml:space="preserve"> J Med. 2021;385(8):683-694. doi:10.1056/NEJMoa2106391</w:t>
            </w:r>
          </w:p>
        </w:tc>
      </w:tr>
    </w:tbl>
    <w:p w14:paraId="03A04AA1" w14:textId="77777777" w:rsidR="009B5AA5" w:rsidRPr="00FA3F9C" w:rsidRDefault="009B5AA5" w:rsidP="006F623F">
      <w:pPr>
        <w:spacing w:after="0"/>
        <w:rPr>
          <w:rFonts w:ascii="Arial" w:hAnsi="Arial" w:cs="Arial"/>
          <w:sz w:val="24"/>
          <w:szCs w:val="24"/>
        </w:rPr>
      </w:pPr>
    </w:p>
    <w:p w14:paraId="375BC480" w14:textId="77777777" w:rsidR="009B5AA5" w:rsidRPr="00FA3F9C" w:rsidRDefault="009B5AA5" w:rsidP="006F623F">
      <w:pPr>
        <w:spacing w:after="0"/>
        <w:rPr>
          <w:rFonts w:ascii="Arial" w:hAnsi="Arial" w:cs="Arial"/>
          <w:sz w:val="24"/>
          <w:szCs w:val="24"/>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68"/>
      </w:tblGrid>
      <w:tr w:rsidR="009B5AA5" w:rsidRPr="00FA3F9C" w14:paraId="29D30599" w14:textId="77777777" w:rsidTr="00E36702">
        <w:tc>
          <w:tcPr>
            <w:tcW w:w="10368" w:type="dxa"/>
            <w:tcBorders>
              <w:bottom w:val="single" w:sz="4" w:space="0" w:color="auto"/>
            </w:tcBorders>
            <w:shd w:val="clear" w:color="auto" w:fill="000000"/>
          </w:tcPr>
          <w:p w14:paraId="568E3D50" w14:textId="77777777" w:rsidR="009B5AA5" w:rsidRPr="00FA3F9C" w:rsidRDefault="009B5AA5" w:rsidP="00E36702">
            <w:pPr>
              <w:spacing w:after="0"/>
              <w:rPr>
                <w:rFonts w:ascii="Arial" w:hAnsi="Arial" w:cs="Arial"/>
                <w:b/>
                <w:sz w:val="24"/>
                <w:szCs w:val="24"/>
                <w:u w:val="single"/>
              </w:rPr>
            </w:pPr>
            <w:r w:rsidRPr="00FA3F9C">
              <w:rPr>
                <w:rFonts w:ascii="Arial" w:hAnsi="Arial" w:cs="Arial"/>
                <w:sz w:val="24"/>
                <w:szCs w:val="24"/>
              </w:rPr>
              <w:br w:type="page"/>
            </w:r>
            <w:r w:rsidRPr="00FA3F9C">
              <w:rPr>
                <w:rFonts w:ascii="Arial" w:hAnsi="Arial" w:cs="Arial"/>
                <w:b/>
                <w:sz w:val="24"/>
                <w:szCs w:val="24"/>
                <w:u w:val="single"/>
              </w:rPr>
              <w:t>Endometri</w:t>
            </w:r>
            <w:bookmarkStart w:id="265" w:name="endometrial"/>
            <w:bookmarkEnd w:id="265"/>
            <w:r w:rsidRPr="00FA3F9C">
              <w:rPr>
                <w:rFonts w:ascii="Arial" w:hAnsi="Arial" w:cs="Arial"/>
                <w:b/>
                <w:sz w:val="24"/>
                <w:szCs w:val="24"/>
                <w:u w:val="single"/>
              </w:rPr>
              <w:t>al Carcinoma</w:t>
            </w:r>
          </w:p>
        </w:tc>
      </w:tr>
      <w:tr w:rsidR="009B5AA5" w:rsidRPr="00FA3F9C" w14:paraId="20AD73F0" w14:textId="77777777" w:rsidTr="00E36702">
        <w:tc>
          <w:tcPr>
            <w:tcW w:w="10368" w:type="dxa"/>
          </w:tcPr>
          <w:p w14:paraId="1F8A88C3" w14:textId="77777777" w:rsidR="009B5AA5" w:rsidRPr="00FA3F9C" w:rsidRDefault="009B5AA5" w:rsidP="00FC1E85">
            <w:pPr>
              <w:pStyle w:val="ListParagraph"/>
              <w:numPr>
                <w:ilvl w:val="0"/>
                <w:numId w:val="428"/>
              </w:numPr>
              <w:spacing w:after="0" w:line="276" w:lineRule="auto"/>
              <w:ind w:left="431" w:hanging="270"/>
              <w:rPr>
                <w:rFonts w:ascii="Arial" w:hAnsi="Arial" w:cs="Arial"/>
                <w:sz w:val="24"/>
                <w:szCs w:val="24"/>
              </w:rPr>
            </w:pPr>
            <w:r w:rsidRPr="00FA3F9C">
              <w:rPr>
                <w:rFonts w:ascii="Arial" w:hAnsi="Arial" w:cs="Arial"/>
                <w:sz w:val="24"/>
                <w:szCs w:val="24"/>
              </w:rPr>
              <w:t xml:space="preserve">Diagnosis of advanced, recurrent, or metastatic endometrial carcinoma (NOT endometrial sarcoma, carcinosarcoma, malignant </w:t>
            </w:r>
            <w:proofErr w:type="spellStart"/>
            <w:r w:rsidRPr="00FA3F9C">
              <w:rPr>
                <w:rFonts w:ascii="Arial" w:hAnsi="Arial" w:cs="Arial"/>
                <w:sz w:val="24"/>
                <w:szCs w:val="24"/>
              </w:rPr>
              <w:t>mullerian</w:t>
            </w:r>
            <w:proofErr w:type="spellEnd"/>
            <w:r w:rsidRPr="00FA3F9C">
              <w:rPr>
                <w:rFonts w:ascii="Arial" w:hAnsi="Arial" w:cs="Arial"/>
                <w:sz w:val="24"/>
                <w:szCs w:val="24"/>
              </w:rPr>
              <w:t xml:space="preserve"> tumor, endometrial leiomyosarcoma, or endometrial stromal sarcoma)</w:t>
            </w:r>
          </w:p>
        </w:tc>
      </w:tr>
      <w:tr w:rsidR="009B5AA5" w:rsidRPr="00FA3F9C" w14:paraId="3AAD1B55" w14:textId="77777777" w:rsidTr="00E36702">
        <w:tc>
          <w:tcPr>
            <w:tcW w:w="10368" w:type="dxa"/>
          </w:tcPr>
          <w:p w14:paraId="39458286" w14:textId="77777777" w:rsidR="009B5AA5" w:rsidRPr="00FA3F9C" w:rsidRDefault="009B5AA5" w:rsidP="00FC1E85">
            <w:pPr>
              <w:pStyle w:val="ListParagraph"/>
              <w:numPr>
                <w:ilvl w:val="0"/>
                <w:numId w:val="428"/>
              </w:numPr>
              <w:spacing w:after="0" w:line="276" w:lineRule="auto"/>
              <w:ind w:left="425" w:hanging="270"/>
              <w:rPr>
                <w:rFonts w:ascii="Arial" w:hAnsi="Arial" w:cs="Arial"/>
                <w:sz w:val="24"/>
                <w:szCs w:val="24"/>
              </w:rPr>
            </w:pPr>
            <w:r w:rsidRPr="00FA3F9C">
              <w:rPr>
                <w:rFonts w:ascii="Arial" w:hAnsi="Arial" w:cs="Arial"/>
                <w:sz w:val="24"/>
                <w:szCs w:val="24"/>
              </w:rPr>
              <w:t>Tumor is NOT microsatellite instability high (MSI-H) or deficient in mismatch repair (</w:t>
            </w:r>
            <w:proofErr w:type="spellStart"/>
            <w:r w:rsidRPr="00FA3F9C">
              <w:rPr>
                <w:rFonts w:ascii="Arial" w:hAnsi="Arial" w:cs="Arial"/>
                <w:sz w:val="24"/>
                <w:szCs w:val="24"/>
              </w:rPr>
              <w:t>dMMR</w:t>
            </w:r>
            <w:proofErr w:type="spellEnd"/>
            <w:r w:rsidRPr="00FA3F9C">
              <w:rPr>
                <w:rFonts w:ascii="Arial" w:hAnsi="Arial" w:cs="Arial"/>
                <w:sz w:val="24"/>
                <w:szCs w:val="24"/>
              </w:rPr>
              <w:t>)</w:t>
            </w:r>
          </w:p>
        </w:tc>
      </w:tr>
      <w:tr w:rsidR="009B5AA5" w:rsidRPr="00FA3F9C" w14:paraId="4285C18B" w14:textId="77777777" w:rsidTr="00E36702">
        <w:tc>
          <w:tcPr>
            <w:tcW w:w="10368" w:type="dxa"/>
          </w:tcPr>
          <w:p w14:paraId="1DFE5EC1" w14:textId="77777777" w:rsidR="009B5AA5" w:rsidRPr="00FA3F9C" w:rsidRDefault="009B5AA5" w:rsidP="00FC1E85">
            <w:pPr>
              <w:pStyle w:val="ListParagraph"/>
              <w:numPr>
                <w:ilvl w:val="0"/>
                <w:numId w:val="428"/>
              </w:numPr>
              <w:spacing w:after="0" w:line="276" w:lineRule="auto"/>
              <w:ind w:left="425" w:hanging="245"/>
              <w:rPr>
                <w:rFonts w:ascii="Arial" w:hAnsi="Arial" w:cs="Arial"/>
                <w:sz w:val="24"/>
                <w:szCs w:val="24"/>
              </w:rPr>
            </w:pPr>
            <w:r w:rsidRPr="00FA3F9C">
              <w:rPr>
                <w:rFonts w:ascii="Arial" w:hAnsi="Arial" w:cs="Arial"/>
                <w:sz w:val="24"/>
                <w:szCs w:val="24"/>
              </w:rPr>
              <w:t>Previously treated with a platinum-based chemotherapy regimen</w:t>
            </w:r>
          </w:p>
        </w:tc>
      </w:tr>
      <w:tr w:rsidR="009B5AA5" w:rsidRPr="00FA3F9C" w14:paraId="6F8BD556" w14:textId="77777777" w:rsidTr="00E36702">
        <w:tc>
          <w:tcPr>
            <w:tcW w:w="10368" w:type="dxa"/>
          </w:tcPr>
          <w:p w14:paraId="205ECA83" w14:textId="77777777" w:rsidR="009B5AA5" w:rsidRPr="00FA3F9C" w:rsidRDefault="009B5AA5" w:rsidP="00FC1E85">
            <w:pPr>
              <w:pStyle w:val="ListParagraph"/>
              <w:numPr>
                <w:ilvl w:val="0"/>
                <w:numId w:val="428"/>
              </w:numPr>
              <w:spacing w:after="0" w:line="276" w:lineRule="auto"/>
              <w:ind w:left="425" w:hanging="245"/>
              <w:rPr>
                <w:rFonts w:ascii="Arial" w:hAnsi="Arial" w:cs="Arial"/>
                <w:sz w:val="24"/>
                <w:szCs w:val="24"/>
              </w:rPr>
            </w:pPr>
            <w:r w:rsidRPr="00FA3F9C">
              <w:rPr>
                <w:rFonts w:ascii="Arial" w:hAnsi="Arial" w:cs="Arial"/>
                <w:sz w:val="24"/>
                <w:szCs w:val="24"/>
              </w:rPr>
              <w:t>Patient is not a candidate for curative surgery or radiation</w:t>
            </w:r>
          </w:p>
        </w:tc>
      </w:tr>
      <w:tr w:rsidR="009B5AA5" w:rsidRPr="00FA3F9C" w14:paraId="027CF234" w14:textId="77777777" w:rsidTr="00E36702">
        <w:tc>
          <w:tcPr>
            <w:tcW w:w="10368" w:type="dxa"/>
          </w:tcPr>
          <w:p w14:paraId="62842499" w14:textId="77777777" w:rsidR="009B5AA5" w:rsidRPr="00FA3F9C" w:rsidRDefault="009B5AA5" w:rsidP="00FC1E85">
            <w:pPr>
              <w:pStyle w:val="ListParagraph"/>
              <w:numPr>
                <w:ilvl w:val="0"/>
                <w:numId w:val="428"/>
              </w:numPr>
              <w:spacing w:after="0" w:line="276" w:lineRule="auto"/>
              <w:ind w:left="432" w:hanging="245"/>
              <w:rPr>
                <w:rFonts w:ascii="Arial" w:hAnsi="Arial" w:cs="Arial"/>
                <w:sz w:val="24"/>
                <w:szCs w:val="24"/>
              </w:rPr>
            </w:pPr>
            <w:r w:rsidRPr="00FA3F9C">
              <w:rPr>
                <w:rFonts w:ascii="Arial" w:hAnsi="Arial" w:cs="Arial"/>
                <w:sz w:val="24"/>
                <w:szCs w:val="24"/>
              </w:rPr>
              <w:t xml:space="preserve">Pembrolizumab must be given in combination with </w:t>
            </w:r>
            <w:proofErr w:type="spellStart"/>
            <w:r w:rsidRPr="00FA3F9C">
              <w:rPr>
                <w:rFonts w:ascii="Arial" w:hAnsi="Arial" w:cs="Arial"/>
                <w:sz w:val="24"/>
                <w:szCs w:val="24"/>
              </w:rPr>
              <w:t>lenvatinib</w:t>
            </w:r>
            <w:proofErr w:type="spellEnd"/>
          </w:p>
        </w:tc>
      </w:tr>
      <w:tr w:rsidR="009B5AA5" w:rsidRPr="00FA3F9C" w14:paraId="3D0D4F6F" w14:textId="77777777" w:rsidTr="00E36702">
        <w:trPr>
          <w:trHeight w:val="152"/>
        </w:trPr>
        <w:tc>
          <w:tcPr>
            <w:tcW w:w="10368" w:type="dxa"/>
          </w:tcPr>
          <w:p w14:paraId="0E646898" w14:textId="77777777" w:rsidR="009B5AA5" w:rsidRPr="00FA3F9C" w:rsidRDefault="009B5AA5" w:rsidP="00E36702">
            <w:pPr>
              <w:spacing w:after="0"/>
              <w:rPr>
                <w:rFonts w:ascii="Arial" w:hAnsi="Arial" w:cs="Arial"/>
                <w:sz w:val="24"/>
                <w:szCs w:val="24"/>
              </w:rPr>
            </w:pPr>
            <w:r w:rsidRPr="00FA3F9C">
              <w:rPr>
                <w:rFonts w:ascii="Arial" w:hAnsi="Arial" w:cs="Arial"/>
                <w:b/>
                <w:sz w:val="24"/>
                <w:szCs w:val="24"/>
              </w:rPr>
              <w:t>If all criteria fulfilled, approve for 12 months</w:t>
            </w:r>
          </w:p>
        </w:tc>
      </w:tr>
      <w:tr w:rsidR="009B5AA5" w:rsidRPr="00FA3F9C" w14:paraId="69B7D236" w14:textId="77777777" w:rsidTr="00E36702">
        <w:tc>
          <w:tcPr>
            <w:tcW w:w="10368" w:type="dxa"/>
            <w:shd w:val="clear" w:color="auto" w:fill="BFBFBF" w:themeFill="background1" w:themeFillShade="BF"/>
          </w:tcPr>
          <w:p w14:paraId="42AD395B" w14:textId="77777777" w:rsidR="009B5AA5" w:rsidRPr="00FA3F9C" w:rsidRDefault="009B5AA5" w:rsidP="00E36702">
            <w:pPr>
              <w:spacing w:after="0" w:line="240" w:lineRule="auto"/>
              <w:rPr>
                <w:rFonts w:ascii="Arial" w:hAnsi="Arial" w:cs="Arial"/>
                <w:sz w:val="24"/>
                <w:szCs w:val="24"/>
              </w:rPr>
            </w:pPr>
            <w:r w:rsidRPr="00FA3F9C">
              <w:rPr>
                <w:rFonts w:ascii="Arial" w:hAnsi="Arial" w:cs="Arial"/>
                <w:sz w:val="24"/>
                <w:szCs w:val="24"/>
              </w:rPr>
              <w:t xml:space="preserve">Note:  </w:t>
            </w:r>
          </w:p>
          <w:p w14:paraId="0A7E1E58" w14:textId="77777777" w:rsidR="009B5AA5" w:rsidRPr="00FA3F9C" w:rsidRDefault="009B5AA5" w:rsidP="009B5AA5">
            <w:pPr>
              <w:pStyle w:val="ListParagraph"/>
              <w:numPr>
                <w:ilvl w:val="0"/>
                <w:numId w:val="39"/>
              </w:numPr>
              <w:spacing w:after="0" w:line="276" w:lineRule="auto"/>
              <w:ind w:left="425" w:hanging="180"/>
              <w:rPr>
                <w:rFonts w:ascii="Arial" w:hAnsi="Arial" w:cs="Arial"/>
                <w:sz w:val="24"/>
                <w:szCs w:val="24"/>
              </w:rPr>
            </w:pPr>
            <w:r w:rsidRPr="00FA3F9C">
              <w:rPr>
                <w:rFonts w:ascii="Arial" w:hAnsi="Arial" w:cs="Arial"/>
                <w:sz w:val="24"/>
                <w:szCs w:val="24"/>
              </w:rPr>
              <w:t xml:space="preserve">Dose: 200 mg every 3 weeks or 400 mg every 6 weeks with </w:t>
            </w:r>
            <w:proofErr w:type="spellStart"/>
            <w:r w:rsidRPr="00FA3F9C">
              <w:rPr>
                <w:rFonts w:ascii="Arial" w:hAnsi="Arial" w:cs="Arial"/>
                <w:sz w:val="24"/>
                <w:szCs w:val="24"/>
              </w:rPr>
              <w:t>lenvatinib</w:t>
            </w:r>
            <w:proofErr w:type="spellEnd"/>
            <w:r w:rsidRPr="00FA3F9C">
              <w:rPr>
                <w:rFonts w:ascii="Arial" w:hAnsi="Arial" w:cs="Arial"/>
                <w:sz w:val="24"/>
                <w:szCs w:val="24"/>
              </w:rPr>
              <w:t xml:space="preserve"> 20 mg orally once daily. Continue until disease progression or unacceptable toxicity.</w:t>
            </w:r>
          </w:p>
          <w:p w14:paraId="235ED7FC" w14:textId="77777777" w:rsidR="009B5AA5" w:rsidRPr="00FA3F9C" w:rsidRDefault="009B5AA5" w:rsidP="00E36702">
            <w:pPr>
              <w:spacing w:after="0"/>
              <w:rPr>
                <w:rFonts w:ascii="Arial" w:hAnsi="Arial" w:cs="Arial"/>
                <w:sz w:val="24"/>
                <w:szCs w:val="24"/>
              </w:rPr>
            </w:pPr>
          </w:p>
          <w:p w14:paraId="08909300" w14:textId="77777777" w:rsidR="009B5AA5" w:rsidRPr="00FA3F9C" w:rsidRDefault="009B5AA5" w:rsidP="00E36702">
            <w:pPr>
              <w:spacing w:after="0"/>
              <w:rPr>
                <w:rFonts w:ascii="Arial" w:hAnsi="Arial" w:cs="Arial"/>
                <w:sz w:val="24"/>
                <w:szCs w:val="24"/>
              </w:rPr>
            </w:pPr>
            <w:r w:rsidRPr="00FA3F9C">
              <w:rPr>
                <w:rFonts w:ascii="Arial" w:hAnsi="Arial" w:cs="Arial"/>
                <w:sz w:val="24"/>
                <w:szCs w:val="24"/>
              </w:rPr>
              <w:t xml:space="preserve">The KEYNOTE-775 trial (NCT03517449) which randomized patients to </w:t>
            </w:r>
            <w:proofErr w:type="spellStart"/>
            <w:r w:rsidRPr="00FA3F9C">
              <w:rPr>
                <w:rFonts w:ascii="Arial" w:hAnsi="Arial" w:cs="Arial"/>
                <w:sz w:val="24"/>
                <w:szCs w:val="24"/>
              </w:rPr>
              <w:t>Pembrolizumab+lenvatinib</w:t>
            </w:r>
            <w:proofErr w:type="spellEnd"/>
            <w:r w:rsidRPr="00FA3F9C">
              <w:rPr>
                <w:rFonts w:ascii="Arial" w:hAnsi="Arial" w:cs="Arial"/>
                <w:sz w:val="24"/>
                <w:szCs w:val="24"/>
              </w:rPr>
              <w:t xml:space="preserve"> or investigator’s choice of doxorubicin or paclitaxel. </w:t>
            </w:r>
            <w:proofErr w:type="spellStart"/>
            <w:r w:rsidRPr="00FA3F9C">
              <w:rPr>
                <w:rFonts w:ascii="Arial" w:hAnsi="Arial" w:cs="Arial"/>
                <w:sz w:val="24"/>
                <w:szCs w:val="24"/>
              </w:rPr>
              <w:lastRenderedPageBreak/>
              <w:t>Pembrolizumab+lenvatinib</w:t>
            </w:r>
            <w:proofErr w:type="spellEnd"/>
            <w:r w:rsidRPr="00FA3F9C">
              <w:rPr>
                <w:rFonts w:ascii="Arial" w:hAnsi="Arial" w:cs="Arial"/>
                <w:sz w:val="24"/>
                <w:szCs w:val="24"/>
              </w:rPr>
              <w:t xml:space="preserve"> was associated with an improvement in overall survival (median OS 17.4 </w:t>
            </w:r>
            <w:proofErr w:type="spellStart"/>
            <w:r w:rsidRPr="00FA3F9C">
              <w:rPr>
                <w:rFonts w:ascii="Arial" w:hAnsi="Arial" w:cs="Arial"/>
                <w:sz w:val="24"/>
                <w:szCs w:val="24"/>
              </w:rPr>
              <w:t>mo</w:t>
            </w:r>
            <w:proofErr w:type="spellEnd"/>
            <w:r w:rsidRPr="00FA3F9C">
              <w:rPr>
                <w:rFonts w:ascii="Arial" w:hAnsi="Arial" w:cs="Arial"/>
                <w:sz w:val="24"/>
                <w:szCs w:val="24"/>
              </w:rPr>
              <w:t xml:space="preserve"> versus 12 </w:t>
            </w:r>
            <w:proofErr w:type="gramStart"/>
            <w:r w:rsidRPr="00FA3F9C">
              <w:rPr>
                <w:rFonts w:ascii="Arial" w:hAnsi="Arial" w:cs="Arial"/>
                <w:sz w:val="24"/>
                <w:szCs w:val="24"/>
              </w:rPr>
              <w:t>months;</w:t>
            </w:r>
            <w:proofErr w:type="gramEnd"/>
            <w:r w:rsidRPr="00FA3F9C">
              <w:rPr>
                <w:rFonts w:ascii="Arial" w:hAnsi="Arial" w:cs="Arial"/>
                <w:sz w:val="24"/>
                <w:szCs w:val="24"/>
              </w:rPr>
              <w:t xml:space="preserve"> HR 0.68). </w:t>
            </w:r>
          </w:p>
          <w:p w14:paraId="2D64202C" w14:textId="77777777" w:rsidR="009B5AA5" w:rsidRPr="00FA3F9C" w:rsidRDefault="009B5AA5" w:rsidP="00E36702">
            <w:pPr>
              <w:pStyle w:val="Heading1"/>
              <w:spacing w:before="0" w:beforeAutospacing="0" w:after="0" w:afterAutospacing="0"/>
              <w:rPr>
                <w:rFonts w:ascii="Arial" w:hAnsi="Arial" w:cs="Arial"/>
                <w:sz w:val="24"/>
                <w:szCs w:val="24"/>
              </w:rPr>
            </w:pPr>
          </w:p>
          <w:p w14:paraId="75330229" w14:textId="77777777" w:rsidR="009B5AA5" w:rsidRPr="00FA3F9C" w:rsidRDefault="009B5AA5" w:rsidP="00500AD5">
            <w:pPr>
              <w:rPr>
                <w:b/>
              </w:rPr>
            </w:pPr>
            <w:r w:rsidRPr="00FA3F9C">
              <w:t>REFERENCE</w:t>
            </w:r>
          </w:p>
          <w:p w14:paraId="40E6D85B" w14:textId="77777777" w:rsidR="009B5AA5" w:rsidRPr="00FA3F9C" w:rsidRDefault="009B5AA5" w:rsidP="00500AD5">
            <w:pPr>
              <w:rPr>
                <w:b/>
              </w:rPr>
            </w:pPr>
            <w:r w:rsidRPr="00FA3F9C">
              <w:t xml:space="preserve">Keytruda PI. Accessed 7/30/2021. </w:t>
            </w:r>
            <w:hyperlink r:id="rId335" w:history="1">
              <w:r w:rsidRPr="00FA3F9C">
                <w:rPr>
                  <w:rStyle w:val="Hyperlink"/>
                  <w:rFonts w:ascii="Arial" w:hAnsi="Arial" w:cs="Arial"/>
                  <w:sz w:val="24"/>
                  <w:szCs w:val="24"/>
                </w:rPr>
                <w:t>https://www.merck.com/product/usa/pi_circulars/k/keytruda/keytruda_pi.pdf</w:t>
              </w:r>
            </w:hyperlink>
            <w:r w:rsidRPr="00FA3F9C">
              <w:t xml:space="preserve"> </w:t>
            </w:r>
          </w:p>
          <w:p w14:paraId="7306DF77" w14:textId="77777777" w:rsidR="009B5AA5" w:rsidRPr="00FA3F9C" w:rsidRDefault="009B5AA5" w:rsidP="00500AD5">
            <w:pPr>
              <w:rPr>
                <w:b/>
              </w:rPr>
            </w:pPr>
            <w:r w:rsidRPr="00FA3F9C">
              <w:t xml:space="preserve">Clinicaltrials.gov. </w:t>
            </w:r>
            <w:hyperlink r:id="rId336" w:history="1">
              <w:r w:rsidRPr="00FA3F9C">
                <w:rPr>
                  <w:rStyle w:val="Hyperlink"/>
                  <w:rFonts w:ascii="Arial" w:hAnsi="Arial" w:cs="Arial"/>
                  <w:sz w:val="24"/>
                  <w:szCs w:val="24"/>
                </w:rPr>
                <w:t>https://www.clinicaltrials.gov/ct2/show/NCT03517449</w:t>
              </w:r>
            </w:hyperlink>
            <w:r w:rsidRPr="00FA3F9C">
              <w:t>. Accessed 7/30/2021</w:t>
            </w:r>
          </w:p>
        </w:tc>
      </w:tr>
    </w:tbl>
    <w:p w14:paraId="4C0856BB" w14:textId="77777777" w:rsidR="009B5AA5" w:rsidRPr="00FA3F9C" w:rsidRDefault="009B5AA5" w:rsidP="006F623F">
      <w:pPr>
        <w:spacing w:after="0"/>
        <w:rPr>
          <w:rFonts w:ascii="Arial" w:hAnsi="Arial" w:cs="Arial"/>
          <w:sz w:val="24"/>
          <w:szCs w:val="24"/>
        </w:rPr>
      </w:pPr>
    </w:p>
    <w:p w14:paraId="76F41A19" w14:textId="77777777" w:rsidR="009B5AA5" w:rsidRPr="00FA3F9C" w:rsidRDefault="009B5AA5" w:rsidP="006F623F">
      <w:pPr>
        <w:spacing w:after="0"/>
        <w:rPr>
          <w:rFonts w:ascii="Arial" w:hAnsi="Arial" w:cs="Arial"/>
          <w:sz w:val="24"/>
          <w:szCs w:val="24"/>
        </w:rPr>
      </w:pPr>
    </w:p>
    <w:p w14:paraId="0D9A2CF1" w14:textId="77777777" w:rsidR="009B5AA5" w:rsidRPr="00FA3F9C" w:rsidRDefault="009B5AA5" w:rsidP="006F623F">
      <w:pPr>
        <w:spacing w:after="0"/>
        <w:rPr>
          <w:rFonts w:ascii="Arial" w:hAnsi="Arial" w:cs="Arial"/>
          <w:sz w:val="24"/>
          <w:szCs w:val="24"/>
        </w:rPr>
      </w:pPr>
    </w:p>
    <w:p w14:paraId="6EBAD6C4" w14:textId="77777777" w:rsidR="009B5AA5" w:rsidRPr="00FA3F9C" w:rsidRDefault="009B5AA5" w:rsidP="006F623F">
      <w:pPr>
        <w:spacing w:after="0"/>
        <w:rPr>
          <w:rFonts w:ascii="Arial" w:hAnsi="Arial" w:cs="Arial"/>
          <w:sz w:val="24"/>
          <w:szCs w:val="24"/>
        </w:rPr>
      </w:pPr>
    </w:p>
    <w:p w14:paraId="10CE0668" w14:textId="77777777" w:rsidR="009B5AA5" w:rsidRPr="00FA3F9C" w:rsidRDefault="009B5AA5" w:rsidP="006F623F">
      <w:pPr>
        <w:spacing w:after="0"/>
        <w:rPr>
          <w:rFonts w:ascii="Arial" w:hAnsi="Arial" w:cs="Arial"/>
          <w:sz w:val="24"/>
          <w:szCs w:val="24"/>
        </w:rPr>
      </w:pPr>
    </w:p>
    <w:p w14:paraId="4AD87828" w14:textId="77777777" w:rsidR="009B5AA5" w:rsidRPr="00FA3F9C" w:rsidRDefault="009B5AA5" w:rsidP="006F623F">
      <w:pPr>
        <w:spacing w:after="0"/>
        <w:rPr>
          <w:rFonts w:ascii="Arial" w:hAnsi="Arial" w:cs="Arial"/>
          <w:sz w:val="24"/>
          <w:szCs w:val="24"/>
        </w:rPr>
      </w:pPr>
    </w:p>
    <w:p w14:paraId="6D866F18" w14:textId="77777777" w:rsidR="009B5AA5" w:rsidRPr="00FA3F9C" w:rsidRDefault="009B5AA5" w:rsidP="006F623F">
      <w:pPr>
        <w:spacing w:after="0"/>
        <w:rPr>
          <w:rFonts w:ascii="Arial" w:hAnsi="Arial" w:cs="Arial"/>
          <w:sz w:val="24"/>
          <w:szCs w:val="24"/>
        </w:rPr>
      </w:pPr>
    </w:p>
    <w:p w14:paraId="5960E062" w14:textId="77777777" w:rsidR="009B5AA5" w:rsidRPr="00FA3F9C" w:rsidRDefault="009B5AA5" w:rsidP="006F623F">
      <w:pPr>
        <w:spacing w:after="0"/>
        <w:rPr>
          <w:rFonts w:ascii="Arial" w:hAnsi="Arial" w:cs="Arial"/>
          <w:sz w:val="24"/>
          <w:szCs w:val="24"/>
        </w:rPr>
      </w:pPr>
    </w:p>
    <w:p w14:paraId="748CE265" w14:textId="77777777" w:rsidR="009B5AA5" w:rsidRPr="00FA3F9C" w:rsidRDefault="009B5AA5" w:rsidP="006F623F">
      <w:pPr>
        <w:spacing w:after="0"/>
        <w:rPr>
          <w:rFonts w:ascii="Arial" w:hAnsi="Arial" w:cs="Arial"/>
          <w:sz w:val="24"/>
          <w:szCs w:val="24"/>
        </w:rPr>
      </w:pPr>
    </w:p>
    <w:p w14:paraId="5BD631E1" w14:textId="77777777" w:rsidR="009B5AA5" w:rsidRPr="00FA3F9C" w:rsidRDefault="009B5AA5" w:rsidP="006F623F">
      <w:pPr>
        <w:spacing w:after="0"/>
        <w:rPr>
          <w:rFonts w:ascii="Arial" w:hAnsi="Arial" w:cs="Arial"/>
          <w:sz w:val="24"/>
          <w:szCs w:val="24"/>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68"/>
      </w:tblGrid>
      <w:tr w:rsidR="009B5AA5" w:rsidRPr="00FA3F9C" w14:paraId="316B9FC0" w14:textId="77777777" w:rsidTr="00816171">
        <w:tc>
          <w:tcPr>
            <w:tcW w:w="10368" w:type="dxa"/>
            <w:tcBorders>
              <w:bottom w:val="single" w:sz="4" w:space="0" w:color="auto"/>
            </w:tcBorders>
            <w:shd w:val="clear" w:color="auto" w:fill="000000"/>
          </w:tcPr>
          <w:p w14:paraId="434461E0" w14:textId="77777777" w:rsidR="009B5AA5" w:rsidRPr="00FA3F9C" w:rsidRDefault="009B5AA5" w:rsidP="00844B7E">
            <w:pPr>
              <w:spacing w:after="0"/>
              <w:rPr>
                <w:rFonts w:ascii="Arial" w:hAnsi="Arial" w:cs="Arial"/>
                <w:b/>
                <w:sz w:val="24"/>
                <w:szCs w:val="24"/>
                <w:u w:val="single"/>
              </w:rPr>
            </w:pPr>
            <w:r w:rsidRPr="00FA3F9C">
              <w:rPr>
                <w:rFonts w:ascii="Arial" w:hAnsi="Arial" w:cs="Arial"/>
                <w:sz w:val="24"/>
                <w:szCs w:val="24"/>
              </w:rPr>
              <w:br w:type="page"/>
            </w:r>
            <w:r w:rsidRPr="00FA3F9C">
              <w:rPr>
                <w:rFonts w:ascii="Arial" w:hAnsi="Arial" w:cs="Arial"/>
                <w:b/>
                <w:sz w:val="24"/>
                <w:szCs w:val="24"/>
                <w:u w:val="single"/>
              </w:rPr>
              <w:t>Triple Negative Breast Cancer (early stage)</w:t>
            </w:r>
            <w:bookmarkStart w:id="266" w:name="tnbc"/>
            <w:bookmarkEnd w:id="266"/>
          </w:p>
        </w:tc>
      </w:tr>
      <w:tr w:rsidR="009B5AA5" w:rsidRPr="00FA3F9C" w14:paraId="05807D6B" w14:textId="77777777" w:rsidTr="00816171">
        <w:tc>
          <w:tcPr>
            <w:tcW w:w="10368" w:type="dxa"/>
          </w:tcPr>
          <w:p w14:paraId="08DC4645" w14:textId="77777777" w:rsidR="009B5AA5" w:rsidRPr="00FA3F9C" w:rsidRDefault="009B5AA5" w:rsidP="00FC1E85">
            <w:pPr>
              <w:pStyle w:val="ListParagraph"/>
              <w:numPr>
                <w:ilvl w:val="0"/>
                <w:numId w:val="431"/>
              </w:numPr>
              <w:spacing w:after="0" w:line="276" w:lineRule="auto"/>
              <w:ind w:left="430" w:hanging="270"/>
              <w:rPr>
                <w:rFonts w:ascii="Arial" w:hAnsi="Arial" w:cs="Arial"/>
                <w:sz w:val="24"/>
                <w:szCs w:val="24"/>
              </w:rPr>
            </w:pPr>
            <w:r w:rsidRPr="00FA3F9C">
              <w:rPr>
                <w:rFonts w:ascii="Arial" w:hAnsi="Arial" w:cs="Arial"/>
                <w:sz w:val="24"/>
                <w:szCs w:val="24"/>
              </w:rPr>
              <w:t>Diagnosis of triple negative breast cancer (estrogen receptor, progesterone receptor, and HER2/neu negative)</w:t>
            </w:r>
          </w:p>
        </w:tc>
      </w:tr>
      <w:tr w:rsidR="009B5AA5" w:rsidRPr="00FA3F9C" w14:paraId="3BCB87DC" w14:textId="77777777" w:rsidTr="00816171">
        <w:tc>
          <w:tcPr>
            <w:tcW w:w="10368" w:type="dxa"/>
          </w:tcPr>
          <w:p w14:paraId="2D5815C3" w14:textId="77777777" w:rsidR="009B5AA5" w:rsidRPr="00FA3F9C" w:rsidRDefault="009B5AA5" w:rsidP="00FC1E85">
            <w:pPr>
              <w:pStyle w:val="ListParagraph"/>
              <w:numPr>
                <w:ilvl w:val="0"/>
                <w:numId w:val="431"/>
              </w:numPr>
              <w:spacing w:after="0" w:line="276" w:lineRule="auto"/>
              <w:ind w:left="425" w:hanging="270"/>
              <w:rPr>
                <w:rFonts w:ascii="Arial" w:hAnsi="Arial" w:cs="Arial"/>
                <w:sz w:val="24"/>
                <w:szCs w:val="24"/>
              </w:rPr>
            </w:pPr>
            <w:r w:rsidRPr="00FA3F9C">
              <w:rPr>
                <w:rFonts w:ascii="Arial" w:hAnsi="Arial" w:cs="Arial"/>
                <w:sz w:val="24"/>
                <w:szCs w:val="24"/>
              </w:rPr>
              <w:t xml:space="preserve">Tumor staging falls in one of the following groups: </w:t>
            </w:r>
          </w:p>
          <w:p w14:paraId="2747B3E8" w14:textId="77777777" w:rsidR="009B5AA5" w:rsidRPr="00FA3F9C" w:rsidRDefault="009B5AA5" w:rsidP="008963BD">
            <w:pPr>
              <w:pStyle w:val="ListParagraph"/>
              <w:spacing w:after="0"/>
              <w:ind w:left="425"/>
              <w:rPr>
                <w:rFonts w:ascii="Arial" w:hAnsi="Arial" w:cs="Arial"/>
                <w:sz w:val="24"/>
                <w:szCs w:val="24"/>
                <w:lang w:val="fr-FR"/>
              </w:rPr>
            </w:pPr>
            <w:r w:rsidRPr="00FA3F9C">
              <w:rPr>
                <w:rFonts w:ascii="Arial" w:hAnsi="Arial" w:cs="Arial"/>
                <w:sz w:val="24"/>
                <w:szCs w:val="24"/>
              </w:rPr>
              <w:sym w:font="Symbol" w:char="F0B7"/>
            </w:r>
            <w:r w:rsidRPr="00FA3F9C">
              <w:rPr>
                <w:rFonts w:ascii="Arial" w:hAnsi="Arial" w:cs="Arial"/>
                <w:sz w:val="24"/>
                <w:szCs w:val="24"/>
                <w:lang w:val="fr-FR"/>
              </w:rPr>
              <w:t xml:space="preserve"> T1c, N1-N2 </w:t>
            </w:r>
          </w:p>
          <w:p w14:paraId="04CD8B80" w14:textId="77777777" w:rsidR="009B5AA5" w:rsidRPr="00FA3F9C" w:rsidRDefault="009B5AA5" w:rsidP="008963BD">
            <w:pPr>
              <w:pStyle w:val="ListParagraph"/>
              <w:spacing w:after="0"/>
              <w:ind w:left="425"/>
              <w:rPr>
                <w:rFonts w:ascii="Arial" w:hAnsi="Arial" w:cs="Arial"/>
                <w:sz w:val="24"/>
                <w:szCs w:val="24"/>
                <w:lang w:val="fr-FR"/>
              </w:rPr>
            </w:pPr>
            <w:r w:rsidRPr="00FA3F9C">
              <w:rPr>
                <w:rFonts w:ascii="Arial" w:hAnsi="Arial" w:cs="Arial"/>
                <w:sz w:val="24"/>
                <w:szCs w:val="24"/>
              </w:rPr>
              <w:sym w:font="Symbol" w:char="F0B7"/>
            </w:r>
            <w:r w:rsidRPr="00FA3F9C">
              <w:rPr>
                <w:rFonts w:ascii="Arial" w:hAnsi="Arial" w:cs="Arial"/>
                <w:sz w:val="24"/>
                <w:szCs w:val="24"/>
                <w:lang w:val="fr-FR"/>
              </w:rPr>
              <w:t xml:space="preserve"> T2, N0-N2 </w:t>
            </w:r>
          </w:p>
          <w:p w14:paraId="5C6D5429" w14:textId="77777777" w:rsidR="009B5AA5" w:rsidRPr="00FA3F9C" w:rsidRDefault="009B5AA5" w:rsidP="008963BD">
            <w:pPr>
              <w:pStyle w:val="ListParagraph"/>
              <w:spacing w:after="0"/>
              <w:ind w:left="425"/>
              <w:rPr>
                <w:rFonts w:ascii="Arial" w:hAnsi="Arial" w:cs="Arial"/>
                <w:sz w:val="24"/>
                <w:szCs w:val="24"/>
                <w:lang w:val="fr-FR"/>
              </w:rPr>
            </w:pPr>
            <w:r w:rsidRPr="00FA3F9C">
              <w:rPr>
                <w:rFonts w:ascii="Arial" w:hAnsi="Arial" w:cs="Arial"/>
                <w:sz w:val="24"/>
                <w:szCs w:val="24"/>
              </w:rPr>
              <w:sym w:font="Symbol" w:char="F0B7"/>
            </w:r>
            <w:r w:rsidRPr="00FA3F9C">
              <w:rPr>
                <w:rFonts w:ascii="Arial" w:hAnsi="Arial" w:cs="Arial"/>
                <w:sz w:val="24"/>
                <w:szCs w:val="24"/>
                <w:lang w:val="fr-FR"/>
              </w:rPr>
              <w:t xml:space="preserve"> T3, N0-N2 </w:t>
            </w:r>
          </w:p>
          <w:p w14:paraId="69429E9B" w14:textId="77777777" w:rsidR="009B5AA5" w:rsidRPr="00FA3F9C" w:rsidRDefault="009B5AA5" w:rsidP="008963BD">
            <w:pPr>
              <w:pStyle w:val="ListParagraph"/>
              <w:spacing w:after="0"/>
              <w:ind w:left="425"/>
              <w:rPr>
                <w:rFonts w:ascii="Arial" w:hAnsi="Arial" w:cs="Arial"/>
                <w:sz w:val="24"/>
                <w:szCs w:val="24"/>
              </w:rPr>
            </w:pPr>
            <w:r w:rsidRPr="00FA3F9C">
              <w:rPr>
                <w:rFonts w:ascii="Arial" w:hAnsi="Arial" w:cs="Arial"/>
                <w:sz w:val="24"/>
                <w:szCs w:val="24"/>
              </w:rPr>
              <w:sym w:font="Symbol" w:char="F0B7"/>
            </w:r>
            <w:r w:rsidRPr="00FA3F9C">
              <w:rPr>
                <w:rFonts w:ascii="Arial" w:hAnsi="Arial" w:cs="Arial"/>
                <w:sz w:val="24"/>
                <w:szCs w:val="24"/>
              </w:rPr>
              <w:t xml:space="preserve"> T4a-d, N0-N2</w:t>
            </w:r>
          </w:p>
        </w:tc>
      </w:tr>
      <w:tr w:rsidR="009B5AA5" w:rsidRPr="00FA3F9C" w14:paraId="367534B4" w14:textId="77777777" w:rsidTr="00816171">
        <w:tc>
          <w:tcPr>
            <w:tcW w:w="10368" w:type="dxa"/>
          </w:tcPr>
          <w:p w14:paraId="0A27DDD0" w14:textId="77777777" w:rsidR="009B5AA5" w:rsidRPr="00FA3F9C" w:rsidRDefault="009B5AA5" w:rsidP="00FC1E85">
            <w:pPr>
              <w:pStyle w:val="ListParagraph"/>
              <w:numPr>
                <w:ilvl w:val="0"/>
                <w:numId w:val="431"/>
              </w:numPr>
              <w:spacing w:after="0" w:line="276" w:lineRule="auto"/>
              <w:ind w:left="425" w:hanging="245"/>
              <w:rPr>
                <w:rFonts w:ascii="Arial" w:hAnsi="Arial" w:cs="Arial"/>
                <w:sz w:val="24"/>
                <w:szCs w:val="24"/>
              </w:rPr>
            </w:pPr>
            <w:r w:rsidRPr="00FA3F9C">
              <w:rPr>
                <w:rFonts w:ascii="Arial" w:hAnsi="Arial" w:cs="Arial"/>
                <w:sz w:val="24"/>
                <w:szCs w:val="24"/>
              </w:rPr>
              <w:t>No evidence of metastatic disease (M0)</w:t>
            </w:r>
          </w:p>
        </w:tc>
      </w:tr>
      <w:tr w:rsidR="009B5AA5" w:rsidRPr="00FA3F9C" w14:paraId="7452463F" w14:textId="77777777" w:rsidTr="00816171">
        <w:trPr>
          <w:trHeight w:val="152"/>
        </w:trPr>
        <w:tc>
          <w:tcPr>
            <w:tcW w:w="10368" w:type="dxa"/>
          </w:tcPr>
          <w:p w14:paraId="4973A373" w14:textId="77777777" w:rsidR="009B5AA5" w:rsidRPr="00FA3F9C" w:rsidRDefault="009B5AA5" w:rsidP="008963BD">
            <w:pPr>
              <w:spacing w:after="0"/>
              <w:rPr>
                <w:rFonts w:ascii="Arial" w:hAnsi="Arial" w:cs="Arial"/>
                <w:sz w:val="24"/>
                <w:szCs w:val="24"/>
              </w:rPr>
            </w:pPr>
            <w:r w:rsidRPr="00FA3F9C">
              <w:rPr>
                <w:rFonts w:ascii="Arial" w:hAnsi="Arial" w:cs="Arial"/>
                <w:b/>
                <w:sz w:val="24"/>
                <w:szCs w:val="24"/>
              </w:rPr>
              <w:t xml:space="preserve">If all criteria fulfilled, approve for 12 months maximum or 17 doses total. PA may be renewed to allow 17 doses to be administered if there was a gap in therapy due to surgical complications or other adverse events. </w:t>
            </w:r>
          </w:p>
        </w:tc>
      </w:tr>
      <w:tr w:rsidR="009B5AA5" w:rsidRPr="00FA3F9C" w14:paraId="353F09EB" w14:textId="77777777" w:rsidTr="00816171">
        <w:tc>
          <w:tcPr>
            <w:tcW w:w="10368" w:type="dxa"/>
            <w:shd w:val="clear" w:color="auto" w:fill="BFBFBF" w:themeFill="background1" w:themeFillShade="BF"/>
          </w:tcPr>
          <w:p w14:paraId="135DC611" w14:textId="77777777" w:rsidR="009B5AA5" w:rsidRPr="00FA3F9C" w:rsidRDefault="009B5AA5" w:rsidP="00816171">
            <w:pPr>
              <w:spacing w:after="0" w:line="240" w:lineRule="auto"/>
              <w:rPr>
                <w:rFonts w:ascii="Arial" w:hAnsi="Arial" w:cs="Arial"/>
                <w:sz w:val="24"/>
                <w:szCs w:val="24"/>
              </w:rPr>
            </w:pPr>
            <w:r w:rsidRPr="00FA3F9C">
              <w:rPr>
                <w:rFonts w:ascii="Arial" w:hAnsi="Arial" w:cs="Arial"/>
                <w:sz w:val="24"/>
                <w:szCs w:val="24"/>
              </w:rPr>
              <w:lastRenderedPageBreak/>
              <w:t xml:space="preserve">Note:  </w:t>
            </w:r>
          </w:p>
          <w:p w14:paraId="0F84324D" w14:textId="77777777" w:rsidR="009B5AA5" w:rsidRPr="00FA3F9C" w:rsidRDefault="009B5AA5" w:rsidP="009B5AA5">
            <w:pPr>
              <w:pStyle w:val="ListParagraph"/>
              <w:numPr>
                <w:ilvl w:val="0"/>
                <w:numId w:val="39"/>
              </w:numPr>
              <w:spacing w:after="0" w:line="276" w:lineRule="auto"/>
              <w:ind w:left="425" w:hanging="180"/>
              <w:rPr>
                <w:rFonts w:ascii="Arial" w:hAnsi="Arial" w:cs="Arial"/>
                <w:sz w:val="24"/>
                <w:szCs w:val="24"/>
              </w:rPr>
            </w:pPr>
            <w:r w:rsidRPr="00FA3F9C">
              <w:rPr>
                <w:rFonts w:ascii="Arial" w:hAnsi="Arial" w:cs="Arial"/>
                <w:sz w:val="24"/>
                <w:szCs w:val="24"/>
              </w:rPr>
              <w:t>Dose: 200 mg every 3 weeks for 1 year total (17 doses).</w:t>
            </w:r>
          </w:p>
          <w:p w14:paraId="5D8A6952" w14:textId="77777777" w:rsidR="009B5AA5" w:rsidRPr="00FA3F9C" w:rsidRDefault="009B5AA5" w:rsidP="00816171">
            <w:pPr>
              <w:spacing w:after="0"/>
              <w:rPr>
                <w:rFonts w:ascii="Arial" w:hAnsi="Arial" w:cs="Arial"/>
                <w:sz w:val="24"/>
                <w:szCs w:val="24"/>
              </w:rPr>
            </w:pPr>
          </w:p>
          <w:p w14:paraId="21F75538" w14:textId="77777777" w:rsidR="009B5AA5" w:rsidRPr="00FA3F9C" w:rsidRDefault="009B5AA5" w:rsidP="008963BD">
            <w:pPr>
              <w:spacing w:after="0"/>
              <w:rPr>
                <w:rFonts w:ascii="Arial" w:hAnsi="Arial" w:cs="Arial"/>
                <w:sz w:val="24"/>
                <w:szCs w:val="24"/>
              </w:rPr>
            </w:pPr>
            <w:r w:rsidRPr="00FA3F9C">
              <w:rPr>
                <w:rFonts w:ascii="Arial" w:hAnsi="Arial" w:cs="Arial"/>
                <w:sz w:val="24"/>
                <w:szCs w:val="24"/>
              </w:rPr>
              <w:t xml:space="preserve">The KEYNOTE-522 trial randomized patients to pembrolizumab + chemo or chemotherapy only. Therapy was initiated pre-operatively and continued postoperatively. Pembrolizumab-based therapy induced a higher rate of pathological complete responses compared to standard therapy (63% vs. 56%). Event free survival was also significantly improved in the pembrolizumab arm. </w:t>
            </w:r>
          </w:p>
          <w:p w14:paraId="288D046F" w14:textId="77777777" w:rsidR="009B5AA5" w:rsidRPr="00FA3F9C" w:rsidRDefault="009B5AA5" w:rsidP="00816171">
            <w:pPr>
              <w:pStyle w:val="Heading1"/>
              <w:spacing w:before="0" w:beforeAutospacing="0" w:after="0" w:afterAutospacing="0"/>
              <w:rPr>
                <w:rFonts w:ascii="Arial" w:hAnsi="Arial" w:cs="Arial"/>
                <w:b w:val="0"/>
                <w:sz w:val="24"/>
                <w:szCs w:val="24"/>
              </w:rPr>
            </w:pPr>
          </w:p>
          <w:p w14:paraId="44EFEDEA" w14:textId="77777777" w:rsidR="009B5AA5" w:rsidRPr="00076432" w:rsidRDefault="009B5AA5" w:rsidP="00076432">
            <w:pPr>
              <w:rPr>
                <w:b/>
                <w:lang w:val="fr-FR"/>
              </w:rPr>
            </w:pPr>
            <w:proofErr w:type="gramStart"/>
            <w:r w:rsidRPr="00076432">
              <w:rPr>
                <w:lang w:val="fr-FR"/>
              </w:rPr>
              <w:t>REFERENCES:</w:t>
            </w:r>
            <w:proofErr w:type="gramEnd"/>
          </w:p>
          <w:p w14:paraId="438710CF" w14:textId="77777777" w:rsidR="009B5AA5" w:rsidRPr="00076432" w:rsidRDefault="009B5AA5" w:rsidP="00076432">
            <w:pPr>
              <w:rPr>
                <w:b/>
                <w:lang w:val="fr-FR"/>
              </w:rPr>
            </w:pPr>
            <w:r w:rsidRPr="00FA3F9C">
              <w:rPr>
                <w:lang w:val="fr-FR"/>
              </w:rPr>
              <w:t xml:space="preserve">Schmid P, Cortes J, </w:t>
            </w:r>
            <w:proofErr w:type="spellStart"/>
            <w:r w:rsidRPr="00FA3F9C">
              <w:rPr>
                <w:lang w:val="fr-FR"/>
              </w:rPr>
              <w:t>Pusztai</w:t>
            </w:r>
            <w:proofErr w:type="spellEnd"/>
            <w:r w:rsidRPr="00FA3F9C">
              <w:rPr>
                <w:lang w:val="fr-FR"/>
              </w:rPr>
              <w:t xml:space="preserve"> L, et al. </w:t>
            </w:r>
            <w:r w:rsidRPr="00FA3F9C">
              <w:t xml:space="preserve">Pembrolizumab for Early Triple-Negative Breast Cancer. </w:t>
            </w:r>
            <w:r w:rsidRPr="00076432">
              <w:rPr>
                <w:lang w:val="fr-FR"/>
              </w:rPr>
              <w:t xml:space="preserve">N </w:t>
            </w:r>
            <w:proofErr w:type="spellStart"/>
            <w:r w:rsidRPr="00076432">
              <w:rPr>
                <w:lang w:val="fr-FR"/>
              </w:rPr>
              <w:t>Engl</w:t>
            </w:r>
            <w:proofErr w:type="spellEnd"/>
            <w:r w:rsidRPr="00076432">
              <w:rPr>
                <w:lang w:val="fr-FR"/>
              </w:rPr>
              <w:t xml:space="preserve"> J Med. </w:t>
            </w:r>
            <w:proofErr w:type="gramStart"/>
            <w:r w:rsidRPr="00076432">
              <w:rPr>
                <w:lang w:val="fr-FR"/>
              </w:rPr>
              <w:t>2020;</w:t>
            </w:r>
            <w:proofErr w:type="gramEnd"/>
            <w:r w:rsidRPr="00076432">
              <w:rPr>
                <w:lang w:val="fr-FR"/>
              </w:rPr>
              <w:t xml:space="preserve">382(9):810-821. </w:t>
            </w:r>
            <w:proofErr w:type="gramStart"/>
            <w:r w:rsidRPr="00076432">
              <w:rPr>
                <w:lang w:val="fr-FR"/>
              </w:rPr>
              <w:t>doi:</w:t>
            </w:r>
            <w:proofErr w:type="gramEnd"/>
            <w:r w:rsidRPr="00076432">
              <w:rPr>
                <w:lang w:val="fr-FR"/>
              </w:rPr>
              <w:t>10.1056/NEJMoa1910549</w:t>
            </w:r>
          </w:p>
          <w:p w14:paraId="2F9CB722" w14:textId="77777777" w:rsidR="009B5AA5" w:rsidRPr="00FA3F9C" w:rsidRDefault="009B5AA5" w:rsidP="00076432">
            <w:pPr>
              <w:rPr>
                <w:b/>
              </w:rPr>
            </w:pPr>
            <w:r w:rsidRPr="00FA3F9C">
              <w:rPr>
                <w:lang w:val="fr-FR"/>
              </w:rPr>
              <w:t xml:space="preserve">Schmid P, Cortes J, Dent R, et al. </w:t>
            </w:r>
            <w:r w:rsidRPr="00FA3F9C">
              <w:t xml:space="preserve">Event-free Survival with Pembrolizumab in Early Triple-Negative Breast Cancer. N </w:t>
            </w:r>
            <w:proofErr w:type="spellStart"/>
            <w:r w:rsidRPr="00FA3F9C">
              <w:t>Engl</w:t>
            </w:r>
            <w:proofErr w:type="spellEnd"/>
            <w:r w:rsidRPr="00FA3F9C">
              <w:t xml:space="preserve"> J Med. 2022;386(6):556-567. doi:10.1056/NEJMoa2112651</w:t>
            </w:r>
          </w:p>
          <w:p w14:paraId="2A2A5657" w14:textId="77777777" w:rsidR="009B5AA5" w:rsidRPr="00FA3F9C" w:rsidRDefault="009B5AA5" w:rsidP="00816171">
            <w:pPr>
              <w:pStyle w:val="Heading1"/>
              <w:spacing w:before="0" w:beforeAutospacing="0" w:after="0" w:afterAutospacing="0"/>
              <w:rPr>
                <w:rFonts w:ascii="Arial" w:hAnsi="Arial" w:cs="Arial"/>
                <w:b w:val="0"/>
                <w:sz w:val="24"/>
                <w:szCs w:val="24"/>
              </w:rPr>
            </w:pPr>
          </w:p>
        </w:tc>
      </w:tr>
    </w:tbl>
    <w:p w14:paraId="4E6C4CB2" w14:textId="77777777" w:rsidR="009B5AA5" w:rsidRPr="00FA3F9C" w:rsidRDefault="009B5AA5" w:rsidP="006F623F">
      <w:pPr>
        <w:spacing w:after="0"/>
        <w:rPr>
          <w:rFonts w:ascii="Arial" w:hAnsi="Arial" w:cs="Arial"/>
          <w:sz w:val="24"/>
          <w:szCs w:val="24"/>
        </w:rPr>
      </w:pPr>
    </w:p>
    <w:p w14:paraId="2BC717B7" w14:textId="77777777" w:rsidR="009B5AA5" w:rsidRPr="00FA3F9C" w:rsidRDefault="009B5AA5" w:rsidP="006F623F">
      <w:pPr>
        <w:spacing w:after="0"/>
        <w:rPr>
          <w:rFonts w:ascii="Arial" w:hAnsi="Arial" w:cs="Arial"/>
          <w:sz w:val="24"/>
          <w:szCs w:val="24"/>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68"/>
      </w:tblGrid>
      <w:tr w:rsidR="009B5AA5" w:rsidRPr="00FA3F9C" w14:paraId="754B50E7" w14:textId="77777777" w:rsidTr="00FF1D44">
        <w:tc>
          <w:tcPr>
            <w:tcW w:w="10368" w:type="dxa"/>
            <w:tcBorders>
              <w:bottom w:val="single" w:sz="4" w:space="0" w:color="auto"/>
            </w:tcBorders>
            <w:shd w:val="clear" w:color="auto" w:fill="000000"/>
          </w:tcPr>
          <w:p w14:paraId="0FE59329" w14:textId="77777777" w:rsidR="009B5AA5" w:rsidRPr="00FA3F9C" w:rsidRDefault="009B5AA5" w:rsidP="009E1CF7">
            <w:pPr>
              <w:spacing w:after="0"/>
              <w:rPr>
                <w:rFonts w:ascii="Arial" w:hAnsi="Arial" w:cs="Arial"/>
                <w:b/>
                <w:sz w:val="24"/>
                <w:szCs w:val="24"/>
                <w:u w:val="single"/>
              </w:rPr>
            </w:pPr>
            <w:r w:rsidRPr="00FA3F9C">
              <w:rPr>
                <w:rFonts w:ascii="Arial" w:hAnsi="Arial" w:cs="Arial"/>
                <w:sz w:val="24"/>
                <w:szCs w:val="24"/>
              </w:rPr>
              <w:br w:type="page"/>
            </w:r>
            <w:bookmarkStart w:id="267" w:name="msi_crc"/>
            <w:bookmarkEnd w:id="267"/>
            <w:r w:rsidRPr="00FA3F9C">
              <w:rPr>
                <w:rFonts w:ascii="Arial" w:hAnsi="Arial" w:cs="Arial"/>
                <w:b/>
                <w:sz w:val="24"/>
                <w:szCs w:val="24"/>
                <w:u w:val="single"/>
              </w:rPr>
              <w:t>Microsatellite Instability High/deficient mismatch repair COLORECTAL CANCER</w:t>
            </w:r>
          </w:p>
        </w:tc>
      </w:tr>
      <w:tr w:rsidR="009B5AA5" w:rsidRPr="00FA3F9C" w14:paraId="6AF03BE0" w14:textId="77777777" w:rsidTr="00FF1D44">
        <w:tc>
          <w:tcPr>
            <w:tcW w:w="10368" w:type="dxa"/>
          </w:tcPr>
          <w:p w14:paraId="656B92EB" w14:textId="77777777" w:rsidR="009B5AA5" w:rsidRPr="00FA3F9C" w:rsidRDefault="009B5AA5" w:rsidP="00FC1E85">
            <w:pPr>
              <w:pStyle w:val="ListParagraph"/>
              <w:numPr>
                <w:ilvl w:val="0"/>
                <w:numId w:val="422"/>
              </w:numPr>
              <w:spacing w:after="0" w:line="276" w:lineRule="auto"/>
              <w:ind w:left="245" w:hanging="270"/>
              <w:rPr>
                <w:rFonts w:ascii="Arial" w:hAnsi="Arial" w:cs="Arial"/>
                <w:sz w:val="24"/>
                <w:szCs w:val="24"/>
              </w:rPr>
            </w:pPr>
            <w:r w:rsidRPr="00FA3F9C">
              <w:rPr>
                <w:rFonts w:ascii="Arial" w:hAnsi="Arial" w:cs="Arial"/>
                <w:sz w:val="24"/>
                <w:szCs w:val="24"/>
              </w:rPr>
              <w:t>Diagnosis of unresectable or metastatic colorectal cancer</w:t>
            </w:r>
          </w:p>
        </w:tc>
      </w:tr>
      <w:tr w:rsidR="009B5AA5" w:rsidRPr="00FA3F9C" w14:paraId="3BA720C0" w14:textId="77777777" w:rsidTr="00FF1D44">
        <w:tc>
          <w:tcPr>
            <w:tcW w:w="10368" w:type="dxa"/>
          </w:tcPr>
          <w:p w14:paraId="1D35FFE8" w14:textId="77777777" w:rsidR="009B5AA5" w:rsidRPr="00FA3F9C" w:rsidRDefault="009B5AA5" w:rsidP="00FC1E85">
            <w:pPr>
              <w:pStyle w:val="ListParagraph"/>
              <w:numPr>
                <w:ilvl w:val="0"/>
                <w:numId w:val="422"/>
              </w:numPr>
              <w:spacing w:after="0" w:line="276" w:lineRule="auto"/>
              <w:ind w:left="245" w:hanging="245"/>
              <w:rPr>
                <w:rFonts w:ascii="Arial" w:hAnsi="Arial" w:cs="Arial"/>
                <w:sz w:val="24"/>
                <w:szCs w:val="24"/>
              </w:rPr>
            </w:pPr>
            <w:r w:rsidRPr="00FA3F9C">
              <w:rPr>
                <w:rFonts w:ascii="Arial" w:hAnsi="Arial" w:cs="Arial"/>
                <w:sz w:val="24"/>
                <w:szCs w:val="24"/>
              </w:rPr>
              <w:t>Tumor is documented to be microsatellite instability-high (MSI-H) or mismatch repair deficient (</w:t>
            </w:r>
            <w:proofErr w:type="spellStart"/>
            <w:r w:rsidRPr="00FA3F9C">
              <w:rPr>
                <w:rFonts w:ascii="Arial" w:hAnsi="Arial" w:cs="Arial"/>
                <w:sz w:val="24"/>
                <w:szCs w:val="24"/>
              </w:rPr>
              <w:t>dMMR</w:t>
            </w:r>
            <w:proofErr w:type="spellEnd"/>
            <w:r w:rsidRPr="00FA3F9C">
              <w:rPr>
                <w:rFonts w:ascii="Arial" w:hAnsi="Arial" w:cs="Arial"/>
                <w:sz w:val="24"/>
                <w:szCs w:val="24"/>
              </w:rPr>
              <w:t>)</w:t>
            </w:r>
          </w:p>
        </w:tc>
      </w:tr>
      <w:tr w:rsidR="009B5AA5" w:rsidRPr="00FA3F9C" w14:paraId="4188E073" w14:textId="77777777" w:rsidTr="00FF1D44">
        <w:tc>
          <w:tcPr>
            <w:tcW w:w="10368" w:type="dxa"/>
          </w:tcPr>
          <w:p w14:paraId="15A04BCE" w14:textId="77777777" w:rsidR="009B5AA5" w:rsidRPr="00FA3F9C" w:rsidRDefault="009B5AA5" w:rsidP="00FC1E85">
            <w:pPr>
              <w:pStyle w:val="ListParagraph"/>
              <w:numPr>
                <w:ilvl w:val="0"/>
                <w:numId w:val="422"/>
              </w:numPr>
              <w:spacing w:after="0" w:line="276" w:lineRule="auto"/>
              <w:ind w:left="245" w:hanging="245"/>
              <w:rPr>
                <w:rFonts w:ascii="Arial" w:hAnsi="Arial" w:cs="Arial"/>
                <w:sz w:val="24"/>
                <w:szCs w:val="24"/>
              </w:rPr>
            </w:pPr>
            <w:r w:rsidRPr="00FA3F9C">
              <w:rPr>
                <w:rFonts w:ascii="Arial" w:hAnsi="Arial" w:cs="Arial"/>
                <w:sz w:val="24"/>
                <w:szCs w:val="24"/>
              </w:rPr>
              <w:t>The patient has not received prior treatment for unresectable/metastatic disease.</w:t>
            </w:r>
          </w:p>
        </w:tc>
      </w:tr>
      <w:tr w:rsidR="009B5AA5" w:rsidRPr="00FA3F9C" w14:paraId="0B08829B" w14:textId="77777777" w:rsidTr="00FF1D44">
        <w:tc>
          <w:tcPr>
            <w:tcW w:w="10368" w:type="dxa"/>
          </w:tcPr>
          <w:p w14:paraId="3B17619C" w14:textId="77777777" w:rsidR="009B5AA5" w:rsidRPr="00FA3F9C" w:rsidRDefault="009B5AA5" w:rsidP="00FC1E85">
            <w:pPr>
              <w:pStyle w:val="ListParagraph"/>
              <w:numPr>
                <w:ilvl w:val="0"/>
                <w:numId w:val="422"/>
              </w:numPr>
              <w:spacing w:after="0" w:line="276" w:lineRule="auto"/>
              <w:ind w:left="245" w:hanging="245"/>
              <w:rPr>
                <w:rFonts w:ascii="Arial" w:hAnsi="Arial" w:cs="Arial"/>
                <w:sz w:val="24"/>
                <w:szCs w:val="24"/>
              </w:rPr>
            </w:pPr>
            <w:r w:rsidRPr="00FA3F9C">
              <w:rPr>
                <w:rFonts w:ascii="Arial" w:hAnsi="Arial" w:cs="Arial"/>
                <w:sz w:val="24"/>
                <w:szCs w:val="24"/>
              </w:rPr>
              <w:t>Pembrolizumab will be used as single agent</w:t>
            </w:r>
          </w:p>
        </w:tc>
      </w:tr>
      <w:tr w:rsidR="009B5AA5" w:rsidRPr="00FA3F9C" w14:paraId="3A28518C" w14:textId="77777777" w:rsidTr="00FF1D44">
        <w:tc>
          <w:tcPr>
            <w:tcW w:w="10368" w:type="dxa"/>
          </w:tcPr>
          <w:p w14:paraId="60871B1F" w14:textId="77777777" w:rsidR="009B5AA5" w:rsidRPr="00FA3F9C" w:rsidRDefault="009B5AA5" w:rsidP="00FF1D44">
            <w:pPr>
              <w:spacing w:after="0"/>
              <w:rPr>
                <w:rFonts w:ascii="Arial" w:hAnsi="Arial" w:cs="Arial"/>
                <w:sz w:val="24"/>
                <w:szCs w:val="24"/>
              </w:rPr>
            </w:pPr>
            <w:r w:rsidRPr="00FA3F9C">
              <w:rPr>
                <w:rFonts w:ascii="Arial" w:hAnsi="Arial" w:cs="Arial"/>
                <w:b/>
                <w:sz w:val="24"/>
                <w:szCs w:val="24"/>
              </w:rPr>
              <w:t>If all criteria fulfilled, approve for 12 months</w:t>
            </w:r>
          </w:p>
        </w:tc>
      </w:tr>
      <w:tr w:rsidR="009B5AA5" w:rsidRPr="00FA3F9C" w14:paraId="59301842" w14:textId="77777777" w:rsidTr="00FF1D44">
        <w:tc>
          <w:tcPr>
            <w:tcW w:w="10368" w:type="dxa"/>
            <w:tcBorders>
              <w:bottom w:val="single" w:sz="4" w:space="0" w:color="auto"/>
            </w:tcBorders>
            <w:shd w:val="clear" w:color="auto" w:fill="000000" w:themeFill="text1"/>
          </w:tcPr>
          <w:p w14:paraId="37CD472B" w14:textId="77777777" w:rsidR="009B5AA5" w:rsidRPr="00FA3F9C" w:rsidRDefault="009B5AA5" w:rsidP="00FF1D44">
            <w:pPr>
              <w:spacing w:after="0"/>
              <w:rPr>
                <w:rFonts w:ascii="Arial" w:hAnsi="Arial" w:cs="Arial"/>
                <w:sz w:val="24"/>
                <w:szCs w:val="24"/>
              </w:rPr>
            </w:pPr>
            <w:r w:rsidRPr="00FA3F9C">
              <w:rPr>
                <w:rFonts w:ascii="Arial" w:hAnsi="Arial" w:cs="Arial"/>
                <w:b/>
                <w:sz w:val="24"/>
                <w:szCs w:val="24"/>
                <w:u w:val="single"/>
              </w:rPr>
              <w:t>Criteria for continuation</w:t>
            </w:r>
          </w:p>
        </w:tc>
      </w:tr>
      <w:tr w:rsidR="009B5AA5" w:rsidRPr="00FA3F9C" w14:paraId="43CF3AE6" w14:textId="77777777" w:rsidTr="00FF1D44">
        <w:tc>
          <w:tcPr>
            <w:tcW w:w="10368" w:type="dxa"/>
          </w:tcPr>
          <w:p w14:paraId="251F7B70" w14:textId="77777777" w:rsidR="009B5AA5" w:rsidRPr="00FA3F9C" w:rsidRDefault="009B5AA5" w:rsidP="00FF1D44">
            <w:pPr>
              <w:spacing w:after="0"/>
              <w:rPr>
                <w:rFonts w:ascii="Arial" w:hAnsi="Arial" w:cs="Arial"/>
                <w:sz w:val="24"/>
                <w:szCs w:val="24"/>
              </w:rPr>
            </w:pPr>
            <w:r w:rsidRPr="00FA3F9C">
              <w:rPr>
                <w:rFonts w:ascii="Arial" w:hAnsi="Arial" w:cs="Arial"/>
                <w:sz w:val="24"/>
                <w:szCs w:val="24"/>
              </w:rPr>
              <w:t>No disease progression</w:t>
            </w:r>
          </w:p>
        </w:tc>
      </w:tr>
      <w:tr w:rsidR="009B5AA5" w:rsidRPr="00FA3F9C" w14:paraId="02744FE5" w14:textId="77777777" w:rsidTr="00FF1D44">
        <w:tc>
          <w:tcPr>
            <w:tcW w:w="10368" w:type="dxa"/>
          </w:tcPr>
          <w:p w14:paraId="001360C7" w14:textId="77777777" w:rsidR="009B5AA5" w:rsidRPr="00FA3F9C" w:rsidRDefault="009B5AA5" w:rsidP="00FF1D44">
            <w:pPr>
              <w:spacing w:after="0"/>
              <w:rPr>
                <w:rFonts w:ascii="Arial" w:hAnsi="Arial" w:cs="Arial"/>
                <w:sz w:val="24"/>
                <w:szCs w:val="24"/>
              </w:rPr>
            </w:pPr>
            <w:r w:rsidRPr="00FA3F9C">
              <w:rPr>
                <w:rFonts w:ascii="Arial" w:hAnsi="Arial" w:cs="Arial"/>
                <w:sz w:val="24"/>
                <w:szCs w:val="24"/>
              </w:rPr>
              <w:t>No unacceptable toxicity</w:t>
            </w:r>
          </w:p>
        </w:tc>
      </w:tr>
      <w:tr w:rsidR="009B5AA5" w:rsidRPr="00FA3F9C" w14:paraId="31052B22" w14:textId="77777777" w:rsidTr="00FF1D44">
        <w:tc>
          <w:tcPr>
            <w:tcW w:w="10368" w:type="dxa"/>
          </w:tcPr>
          <w:p w14:paraId="4329AE01" w14:textId="77777777" w:rsidR="009B5AA5" w:rsidRPr="00FA3F9C" w:rsidRDefault="009B5AA5" w:rsidP="00FF1D44">
            <w:pPr>
              <w:spacing w:after="0"/>
              <w:rPr>
                <w:rFonts w:ascii="Arial" w:hAnsi="Arial" w:cs="Arial"/>
                <w:sz w:val="24"/>
                <w:szCs w:val="24"/>
              </w:rPr>
            </w:pPr>
            <w:r w:rsidRPr="00FA3F9C">
              <w:rPr>
                <w:rFonts w:ascii="Arial" w:hAnsi="Arial" w:cs="Arial"/>
                <w:b/>
                <w:sz w:val="24"/>
                <w:szCs w:val="24"/>
              </w:rPr>
              <w:t xml:space="preserve">If </w:t>
            </w:r>
            <w:proofErr w:type="gramStart"/>
            <w:r w:rsidRPr="00FA3F9C">
              <w:rPr>
                <w:rFonts w:ascii="Arial" w:hAnsi="Arial" w:cs="Arial"/>
                <w:b/>
                <w:sz w:val="24"/>
                <w:szCs w:val="24"/>
              </w:rPr>
              <w:t>both of the continuation</w:t>
            </w:r>
            <w:proofErr w:type="gramEnd"/>
            <w:r w:rsidRPr="00FA3F9C">
              <w:rPr>
                <w:rFonts w:ascii="Arial" w:hAnsi="Arial" w:cs="Arial"/>
                <w:b/>
                <w:sz w:val="24"/>
                <w:szCs w:val="24"/>
              </w:rPr>
              <w:t xml:space="preserve"> criteria are fulfilled, approve for 12 months. </w:t>
            </w:r>
          </w:p>
        </w:tc>
      </w:tr>
      <w:tr w:rsidR="009B5AA5" w:rsidRPr="00FA3F9C" w14:paraId="648FBD51" w14:textId="77777777" w:rsidTr="00FF1D44">
        <w:tc>
          <w:tcPr>
            <w:tcW w:w="10368" w:type="dxa"/>
            <w:tcBorders>
              <w:bottom w:val="single" w:sz="4" w:space="0" w:color="auto"/>
            </w:tcBorders>
            <w:shd w:val="clear" w:color="auto" w:fill="BFBFBF" w:themeFill="background1" w:themeFillShade="BF"/>
          </w:tcPr>
          <w:p w14:paraId="2E5485A7" w14:textId="77777777" w:rsidR="009B5AA5" w:rsidRPr="00FA3F9C" w:rsidRDefault="009B5AA5" w:rsidP="00FF1D44">
            <w:pPr>
              <w:spacing w:after="0" w:line="240" w:lineRule="auto"/>
              <w:rPr>
                <w:rFonts w:ascii="Arial" w:hAnsi="Arial" w:cs="Arial"/>
                <w:sz w:val="24"/>
                <w:szCs w:val="24"/>
              </w:rPr>
            </w:pPr>
            <w:r w:rsidRPr="00FA3F9C">
              <w:rPr>
                <w:rFonts w:ascii="Arial" w:hAnsi="Arial" w:cs="Arial"/>
                <w:sz w:val="24"/>
                <w:szCs w:val="24"/>
              </w:rPr>
              <w:t xml:space="preserve">Note:  </w:t>
            </w:r>
          </w:p>
          <w:p w14:paraId="7B982A63" w14:textId="77777777" w:rsidR="009B5AA5" w:rsidRPr="00FA3F9C" w:rsidRDefault="009B5AA5" w:rsidP="00FF1D44">
            <w:pPr>
              <w:spacing w:after="0" w:line="240" w:lineRule="auto"/>
              <w:rPr>
                <w:rFonts w:ascii="Arial" w:hAnsi="Arial" w:cs="Arial"/>
                <w:sz w:val="24"/>
                <w:szCs w:val="24"/>
              </w:rPr>
            </w:pPr>
          </w:p>
          <w:p w14:paraId="179F0630" w14:textId="77777777" w:rsidR="009B5AA5" w:rsidRPr="00FA3F9C" w:rsidRDefault="009B5AA5" w:rsidP="00FF1D44">
            <w:pPr>
              <w:spacing w:after="0" w:line="240" w:lineRule="auto"/>
              <w:rPr>
                <w:rFonts w:ascii="Arial" w:hAnsi="Arial" w:cs="Arial"/>
                <w:sz w:val="24"/>
                <w:szCs w:val="24"/>
              </w:rPr>
            </w:pPr>
            <w:r w:rsidRPr="00FA3F9C">
              <w:rPr>
                <w:rFonts w:ascii="Arial" w:hAnsi="Arial" w:cs="Arial"/>
                <w:sz w:val="24"/>
                <w:szCs w:val="24"/>
              </w:rPr>
              <w:t xml:space="preserve">Pembrolizumab was compared to standard chemotherapy in the above population. Progression free survival was improved in the pembrolizumab group (median 16.5 </w:t>
            </w:r>
            <w:proofErr w:type="spellStart"/>
            <w:r w:rsidRPr="00FA3F9C">
              <w:rPr>
                <w:rFonts w:ascii="Arial" w:hAnsi="Arial" w:cs="Arial"/>
                <w:sz w:val="24"/>
                <w:szCs w:val="24"/>
              </w:rPr>
              <w:t>mo</w:t>
            </w:r>
            <w:proofErr w:type="spellEnd"/>
            <w:r w:rsidRPr="00FA3F9C">
              <w:rPr>
                <w:rFonts w:ascii="Arial" w:hAnsi="Arial" w:cs="Arial"/>
                <w:sz w:val="24"/>
                <w:szCs w:val="24"/>
              </w:rPr>
              <w:t xml:space="preserve"> vs 8.2 </w:t>
            </w:r>
            <w:proofErr w:type="spellStart"/>
            <w:r w:rsidRPr="00FA3F9C">
              <w:rPr>
                <w:rFonts w:ascii="Arial" w:hAnsi="Arial" w:cs="Arial"/>
                <w:sz w:val="24"/>
                <w:szCs w:val="24"/>
              </w:rPr>
              <w:t>mo</w:t>
            </w:r>
            <w:proofErr w:type="spellEnd"/>
            <w:r w:rsidRPr="00FA3F9C">
              <w:rPr>
                <w:rFonts w:ascii="Arial" w:hAnsi="Arial" w:cs="Arial"/>
                <w:sz w:val="24"/>
                <w:szCs w:val="24"/>
              </w:rPr>
              <w:t>). Overall survival results have not been reported.</w:t>
            </w:r>
            <w:r w:rsidRPr="00FA3F9C">
              <w:rPr>
                <w:rFonts w:ascii="Arial" w:hAnsi="Arial" w:cs="Arial"/>
                <w:sz w:val="24"/>
                <w:szCs w:val="24"/>
                <w:vertAlign w:val="superscript"/>
              </w:rPr>
              <w:t>1</w:t>
            </w:r>
            <w:r w:rsidRPr="00FA3F9C">
              <w:rPr>
                <w:rFonts w:ascii="Arial" w:hAnsi="Arial" w:cs="Arial"/>
                <w:sz w:val="24"/>
                <w:szCs w:val="24"/>
              </w:rPr>
              <w:t xml:space="preserve"> Grade 3-5 adverse events were significantly decreased in the pembrolizumab group (22% vs 66%). Due to the reduction in adverse events, EBRx will cover this indication.</w:t>
            </w:r>
            <w:r w:rsidRPr="00FA3F9C">
              <w:rPr>
                <w:rFonts w:ascii="Arial" w:hAnsi="Arial" w:cs="Arial"/>
                <w:sz w:val="24"/>
                <w:szCs w:val="24"/>
                <w:vertAlign w:val="superscript"/>
              </w:rPr>
              <w:t>2,3</w:t>
            </w:r>
            <w:r w:rsidRPr="00FA3F9C">
              <w:rPr>
                <w:rFonts w:ascii="Arial" w:hAnsi="Arial" w:cs="Arial"/>
                <w:sz w:val="24"/>
                <w:szCs w:val="24"/>
              </w:rPr>
              <w:t xml:space="preserve"> Quality of life was also significantly improved.</w:t>
            </w:r>
            <w:r w:rsidRPr="00FA3F9C">
              <w:rPr>
                <w:rFonts w:ascii="Arial" w:hAnsi="Arial" w:cs="Arial"/>
                <w:sz w:val="24"/>
                <w:szCs w:val="24"/>
                <w:vertAlign w:val="superscript"/>
              </w:rPr>
              <w:t>4</w:t>
            </w:r>
          </w:p>
          <w:p w14:paraId="4ABD1A68" w14:textId="77777777" w:rsidR="009B5AA5" w:rsidRPr="00FA3F9C" w:rsidRDefault="009B5AA5" w:rsidP="00FF1D44">
            <w:pPr>
              <w:spacing w:after="0" w:line="240" w:lineRule="auto"/>
              <w:rPr>
                <w:rFonts w:ascii="Arial" w:hAnsi="Arial" w:cs="Arial"/>
                <w:sz w:val="24"/>
                <w:szCs w:val="24"/>
              </w:rPr>
            </w:pPr>
            <w:r w:rsidRPr="00FA3F9C">
              <w:rPr>
                <w:rFonts w:ascii="Arial" w:hAnsi="Arial" w:cs="Arial"/>
                <w:sz w:val="24"/>
                <w:szCs w:val="24"/>
              </w:rPr>
              <w:t xml:space="preserve">  </w:t>
            </w:r>
          </w:p>
          <w:p w14:paraId="53AADFBF" w14:textId="77777777" w:rsidR="009B5AA5" w:rsidRPr="00FA3F9C" w:rsidRDefault="009B5AA5" w:rsidP="00076432"/>
          <w:p w14:paraId="5D5685AA" w14:textId="77777777" w:rsidR="009B5AA5" w:rsidRPr="00FA3F9C" w:rsidRDefault="009B5AA5" w:rsidP="00076432">
            <w:pPr>
              <w:rPr>
                <w:b/>
              </w:rPr>
            </w:pPr>
            <w:r w:rsidRPr="00FA3F9C">
              <w:t>REFERENCE</w:t>
            </w:r>
          </w:p>
          <w:p w14:paraId="5B52BE72" w14:textId="77777777" w:rsidR="009B5AA5" w:rsidRPr="00FA3F9C" w:rsidRDefault="009B5AA5" w:rsidP="00076432">
            <w:r w:rsidRPr="00FA3F9C">
              <w:t xml:space="preserve">Keytruda PI. </w:t>
            </w:r>
            <w:hyperlink r:id="rId337" w:history="1">
              <w:r w:rsidRPr="00FA3F9C">
                <w:rPr>
                  <w:rStyle w:val="Hyperlink"/>
                  <w:rFonts w:ascii="Arial" w:hAnsi="Arial" w:cs="Arial"/>
                  <w:sz w:val="24"/>
                  <w:szCs w:val="24"/>
                </w:rPr>
                <w:t>https://www.merck.com/product/usa/pi_circulars/k/keytruda/keytruda_pi.pdf</w:t>
              </w:r>
            </w:hyperlink>
            <w:r w:rsidRPr="00FA3F9C">
              <w:t>. Accessed 7/7/2020.</w:t>
            </w:r>
          </w:p>
          <w:p w14:paraId="106106A4" w14:textId="77777777" w:rsidR="009B5AA5" w:rsidRPr="00FA3F9C" w:rsidRDefault="009B5AA5" w:rsidP="00076432">
            <w:r w:rsidRPr="00FA3F9C">
              <w:t xml:space="preserve">Andre T et al. Pembrolizumab versus chemotherapy for microsatellite instability-high/mismatch repair deficient metastatic colorectal cancer: The phase 3 KEYNOTE-177 Study. DOI: 10.1200/JCO.2020.38.18_suppl.LBA4 Journal of Clinical Oncology 38, no. 18_suppl. </w:t>
            </w:r>
          </w:p>
          <w:p w14:paraId="75487247" w14:textId="77777777" w:rsidR="009B5AA5" w:rsidRPr="005005CA" w:rsidRDefault="009B5AA5" w:rsidP="00076432">
            <w:pPr>
              <w:rPr>
                <w:lang w:val="fr-FR"/>
              </w:rPr>
            </w:pPr>
            <w:r w:rsidRPr="00FA3F9C">
              <w:t xml:space="preserve">André T et al. Pembrolizumab in Microsatellite-Instability-High Advanced Colorectal Cancer. N </w:t>
            </w:r>
            <w:proofErr w:type="spellStart"/>
            <w:r w:rsidRPr="00FA3F9C">
              <w:t>Engl</w:t>
            </w:r>
            <w:proofErr w:type="spellEnd"/>
            <w:r w:rsidRPr="00FA3F9C">
              <w:t xml:space="preserve"> J Med. 2020 Dec 3;383(23):2207-2218. </w:t>
            </w:r>
            <w:proofErr w:type="spellStart"/>
            <w:r w:rsidRPr="00FA3F9C">
              <w:t>doi</w:t>
            </w:r>
            <w:proofErr w:type="spellEnd"/>
            <w:r w:rsidRPr="00FA3F9C">
              <w:t>: 10.1056/NEJMoa2017699. PMID: 33264544.</w:t>
            </w:r>
            <w:hyperlink r:id="rId338" w:history="1">
              <w:r w:rsidRPr="005005CA">
                <w:rPr>
                  <w:rStyle w:val="Hyperlink"/>
                  <w:rFonts w:ascii="Arial" w:hAnsi="Arial" w:cs="Arial"/>
                  <w:sz w:val="24"/>
                  <w:szCs w:val="24"/>
                  <w:lang w:val="fr-FR"/>
                </w:rPr>
                <w:t>https://ascopubs.org/doi/abs/10.1200/JCO.2020.38.18_suppl.LBA4</w:t>
              </w:r>
            </w:hyperlink>
            <w:r w:rsidRPr="005005CA">
              <w:rPr>
                <w:lang w:val="fr-FR"/>
              </w:rPr>
              <w:t xml:space="preserve">. </w:t>
            </w:r>
            <w:proofErr w:type="spellStart"/>
            <w:r w:rsidRPr="005005CA">
              <w:rPr>
                <w:lang w:val="fr-FR"/>
              </w:rPr>
              <w:t>Accessed</w:t>
            </w:r>
            <w:proofErr w:type="spellEnd"/>
            <w:r w:rsidRPr="005005CA">
              <w:rPr>
                <w:lang w:val="fr-FR"/>
              </w:rPr>
              <w:t xml:space="preserve"> 7/7/2020.</w:t>
            </w:r>
          </w:p>
          <w:p w14:paraId="7755108A" w14:textId="77777777" w:rsidR="009B5AA5" w:rsidRPr="00FA3F9C" w:rsidRDefault="009B5AA5" w:rsidP="00076432">
            <w:proofErr w:type="spellStart"/>
            <w:r w:rsidRPr="00FA3F9C">
              <w:rPr>
                <w:lang w:val="fr-FR"/>
              </w:rPr>
              <w:t>Andre</w:t>
            </w:r>
            <w:proofErr w:type="spellEnd"/>
            <w:r w:rsidRPr="00FA3F9C">
              <w:rPr>
                <w:lang w:val="fr-FR"/>
              </w:rPr>
              <w:t xml:space="preserve"> T, </w:t>
            </w:r>
            <w:proofErr w:type="spellStart"/>
            <w:r w:rsidRPr="00FA3F9C">
              <w:rPr>
                <w:lang w:val="fr-FR"/>
              </w:rPr>
              <w:t>Amonkar</w:t>
            </w:r>
            <w:proofErr w:type="spellEnd"/>
            <w:r w:rsidRPr="00FA3F9C">
              <w:rPr>
                <w:lang w:val="fr-FR"/>
              </w:rPr>
              <w:t xml:space="preserve"> M, </w:t>
            </w:r>
            <w:proofErr w:type="spellStart"/>
            <w:r w:rsidRPr="00FA3F9C">
              <w:rPr>
                <w:lang w:val="fr-FR"/>
              </w:rPr>
              <w:t>Norquist</w:t>
            </w:r>
            <w:proofErr w:type="spellEnd"/>
            <w:r w:rsidRPr="00FA3F9C">
              <w:rPr>
                <w:lang w:val="fr-FR"/>
              </w:rPr>
              <w:t xml:space="preserve"> JM, et al. </w:t>
            </w:r>
            <w:r w:rsidRPr="00FA3F9C">
              <w:t xml:space="preserve">Health-related quality of life in patients with microsatellite instability-high or mismatch repair deficient metastatic colorectal cancer treated with </w:t>
            </w:r>
            <w:proofErr w:type="gramStart"/>
            <w:r w:rsidRPr="00FA3F9C">
              <w:t>first-line</w:t>
            </w:r>
            <w:proofErr w:type="gramEnd"/>
            <w:r w:rsidRPr="00FA3F9C">
              <w:t xml:space="preserve"> pembrolizumab versus chemotherapy (KEYNOTE-177): an open-label, </w:t>
            </w:r>
            <w:proofErr w:type="spellStart"/>
            <w:r w:rsidRPr="00FA3F9C">
              <w:t>randomised</w:t>
            </w:r>
            <w:proofErr w:type="spellEnd"/>
            <w:r w:rsidRPr="00FA3F9C">
              <w:t>, phase 3 trial. Lancet Oncol. 2021;22(5):665-677. doi:10.1016/S1470-2045(21)00064-4</w:t>
            </w:r>
          </w:p>
          <w:p w14:paraId="15687CFD" w14:textId="77777777" w:rsidR="009B5AA5" w:rsidRPr="00FA3F9C" w:rsidRDefault="009B5AA5" w:rsidP="00FF1D44">
            <w:pPr>
              <w:spacing w:after="0"/>
              <w:rPr>
                <w:rFonts w:ascii="Arial" w:hAnsi="Arial" w:cs="Arial"/>
                <w:sz w:val="24"/>
                <w:szCs w:val="24"/>
              </w:rPr>
            </w:pPr>
          </w:p>
        </w:tc>
      </w:tr>
    </w:tbl>
    <w:p w14:paraId="795EAA3C" w14:textId="77777777" w:rsidR="009B5AA5" w:rsidRPr="00FA3F9C" w:rsidRDefault="009B5AA5" w:rsidP="006F623F">
      <w:pPr>
        <w:spacing w:after="0"/>
        <w:rPr>
          <w:rFonts w:ascii="Arial" w:hAnsi="Arial" w:cs="Arial"/>
          <w:sz w:val="24"/>
          <w:szCs w:val="24"/>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68"/>
      </w:tblGrid>
      <w:tr w:rsidR="009B5AA5" w:rsidRPr="00FA3F9C" w14:paraId="3735388C" w14:textId="77777777" w:rsidTr="00FF1D44">
        <w:tc>
          <w:tcPr>
            <w:tcW w:w="10368" w:type="dxa"/>
            <w:tcBorders>
              <w:bottom w:val="single" w:sz="4" w:space="0" w:color="auto"/>
            </w:tcBorders>
            <w:shd w:val="clear" w:color="auto" w:fill="000000"/>
          </w:tcPr>
          <w:p w14:paraId="3FB5A985" w14:textId="77777777" w:rsidR="009B5AA5" w:rsidRPr="00FA3F9C" w:rsidRDefault="009B5AA5" w:rsidP="00FF1D44">
            <w:pPr>
              <w:spacing w:after="0"/>
              <w:rPr>
                <w:rFonts w:ascii="Arial" w:hAnsi="Arial" w:cs="Arial"/>
                <w:b/>
                <w:sz w:val="24"/>
                <w:szCs w:val="24"/>
                <w:u w:val="single"/>
              </w:rPr>
            </w:pPr>
            <w:r w:rsidRPr="00FA3F9C">
              <w:rPr>
                <w:rFonts w:ascii="Arial" w:hAnsi="Arial" w:cs="Arial"/>
                <w:sz w:val="24"/>
                <w:szCs w:val="24"/>
              </w:rPr>
              <w:br w:type="page"/>
            </w:r>
            <w:r w:rsidRPr="00FA3F9C">
              <w:rPr>
                <w:rFonts w:ascii="Arial" w:hAnsi="Arial" w:cs="Arial"/>
                <w:b/>
                <w:sz w:val="24"/>
                <w:szCs w:val="24"/>
                <w:u w:val="single"/>
              </w:rPr>
              <w:t>Esop</w:t>
            </w:r>
            <w:bookmarkStart w:id="268" w:name="esoph_first_line"/>
            <w:bookmarkEnd w:id="268"/>
            <w:r w:rsidRPr="00FA3F9C">
              <w:rPr>
                <w:rFonts w:ascii="Arial" w:hAnsi="Arial" w:cs="Arial"/>
                <w:b/>
                <w:sz w:val="24"/>
                <w:szCs w:val="24"/>
                <w:u w:val="single"/>
              </w:rPr>
              <w:t>hageal Carcinoma (first line combination therapy)</w:t>
            </w:r>
          </w:p>
        </w:tc>
      </w:tr>
      <w:tr w:rsidR="009B5AA5" w:rsidRPr="00FA3F9C" w14:paraId="639268A9" w14:textId="77777777" w:rsidTr="00FF1D44">
        <w:tc>
          <w:tcPr>
            <w:tcW w:w="10368" w:type="dxa"/>
          </w:tcPr>
          <w:p w14:paraId="0FC7158C" w14:textId="77777777" w:rsidR="009B5AA5" w:rsidRPr="00FA3F9C" w:rsidRDefault="009B5AA5" w:rsidP="00FF1D44">
            <w:pPr>
              <w:spacing w:after="0"/>
              <w:rPr>
                <w:rFonts w:ascii="Arial" w:hAnsi="Arial" w:cs="Arial"/>
                <w:sz w:val="24"/>
                <w:szCs w:val="24"/>
              </w:rPr>
            </w:pPr>
            <w:r w:rsidRPr="00FA3F9C">
              <w:rPr>
                <w:rFonts w:ascii="Arial" w:hAnsi="Arial" w:cs="Arial"/>
                <w:sz w:val="24"/>
                <w:szCs w:val="24"/>
              </w:rPr>
              <w:t>1. Diagnosis of metastatic or locally advanced esophageal or gastroesophageal junction (tumors with epicenter 1 to 5 centimeters above the GEJ)</w:t>
            </w:r>
          </w:p>
        </w:tc>
      </w:tr>
      <w:tr w:rsidR="009B5AA5" w:rsidRPr="00FA3F9C" w14:paraId="00692472" w14:textId="77777777" w:rsidTr="00FF1D44">
        <w:tc>
          <w:tcPr>
            <w:tcW w:w="10368" w:type="dxa"/>
          </w:tcPr>
          <w:p w14:paraId="02C5FC35" w14:textId="77777777" w:rsidR="009B5AA5" w:rsidRPr="00FA3F9C" w:rsidRDefault="009B5AA5" w:rsidP="006C2EF6">
            <w:pPr>
              <w:spacing w:after="0"/>
              <w:rPr>
                <w:rFonts w:ascii="Arial" w:hAnsi="Arial" w:cs="Arial"/>
                <w:sz w:val="24"/>
                <w:szCs w:val="24"/>
              </w:rPr>
            </w:pPr>
            <w:r w:rsidRPr="00FA3F9C">
              <w:rPr>
                <w:rFonts w:ascii="Arial" w:hAnsi="Arial" w:cs="Arial"/>
                <w:sz w:val="24"/>
                <w:szCs w:val="24"/>
              </w:rPr>
              <w:t>2. Patient unable to be treated with surgical resection or definitive chemoradiation</w:t>
            </w:r>
          </w:p>
        </w:tc>
      </w:tr>
      <w:tr w:rsidR="009B5AA5" w:rsidRPr="00FA3F9C" w14:paraId="2ECF1FA1" w14:textId="77777777" w:rsidTr="00FF1D44">
        <w:tc>
          <w:tcPr>
            <w:tcW w:w="10368" w:type="dxa"/>
          </w:tcPr>
          <w:p w14:paraId="5CA7DCD1" w14:textId="77777777" w:rsidR="009B5AA5" w:rsidRPr="00FA3F9C" w:rsidRDefault="009B5AA5" w:rsidP="00FF1D44">
            <w:pPr>
              <w:spacing w:after="0"/>
              <w:rPr>
                <w:rFonts w:ascii="Arial" w:hAnsi="Arial" w:cs="Arial"/>
                <w:sz w:val="24"/>
                <w:szCs w:val="24"/>
              </w:rPr>
            </w:pPr>
            <w:r w:rsidRPr="00FA3F9C">
              <w:rPr>
                <w:rFonts w:ascii="Arial" w:hAnsi="Arial" w:cs="Arial"/>
                <w:sz w:val="24"/>
                <w:szCs w:val="24"/>
              </w:rPr>
              <w:t xml:space="preserve">3. PD-L CPS </w:t>
            </w:r>
            <w:r w:rsidRPr="00FA3F9C">
              <w:rPr>
                <w:rFonts w:ascii="Arial" w:hAnsi="Arial" w:cs="Arial"/>
                <w:sz w:val="24"/>
                <w:szCs w:val="24"/>
                <w:u w:val="single"/>
              </w:rPr>
              <w:t>&gt;</w:t>
            </w:r>
            <w:r w:rsidRPr="00FA3F9C">
              <w:rPr>
                <w:rFonts w:ascii="Arial" w:hAnsi="Arial" w:cs="Arial"/>
                <w:sz w:val="24"/>
                <w:szCs w:val="24"/>
              </w:rPr>
              <w:t>10</w:t>
            </w:r>
          </w:p>
        </w:tc>
      </w:tr>
      <w:tr w:rsidR="009B5AA5" w:rsidRPr="00FA3F9C" w14:paraId="3CE7D690" w14:textId="77777777" w:rsidTr="00FF1D44">
        <w:tc>
          <w:tcPr>
            <w:tcW w:w="10368" w:type="dxa"/>
          </w:tcPr>
          <w:p w14:paraId="5AFD27AC" w14:textId="77777777" w:rsidR="009B5AA5" w:rsidRPr="00FA3F9C" w:rsidRDefault="009B5AA5" w:rsidP="00FF1D44">
            <w:pPr>
              <w:spacing w:after="0"/>
              <w:rPr>
                <w:rFonts w:ascii="Arial" w:hAnsi="Arial" w:cs="Arial"/>
                <w:sz w:val="24"/>
                <w:szCs w:val="24"/>
              </w:rPr>
            </w:pPr>
            <w:r w:rsidRPr="00FA3F9C">
              <w:rPr>
                <w:rFonts w:ascii="Arial" w:hAnsi="Arial" w:cs="Arial"/>
                <w:sz w:val="24"/>
                <w:szCs w:val="24"/>
              </w:rPr>
              <w:lastRenderedPageBreak/>
              <w:t>4. No prior treatment for locally advanced or metastatic disease</w:t>
            </w:r>
          </w:p>
        </w:tc>
      </w:tr>
      <w:tr w:rsidR="009B5AA5" w:rsidRPr="00FA3F9C" w14:paraId="381E83A4" w14:textId="77777777" w:rsidTr="00FF1D44">
        <w:tc>
          <w:tcPr>
            <w:tcW w:w="10368" w:type="dxa"/>
          </w:tcPr>
          <w:p w14:paraId="251F2D6D" w14:textId="77777777" w:rsidR="009B5AA5" w:rsidRPr="00FA3F9C" w:rsidRDefault="009B5AA5" w:rsidP="00FF1D44">
            <w:pPr>
              <w:spacing w:after="0"/>
              <w:rPr>
                <w:rFonts w:ascii="Arial" w:hAnsi="Arial" w:cs="Arial"/>
                <w:sz w:val="24"/>
                <w:szCs w:val="24"/>
              </w:rPr>
            </w:pPr>
            <w:r w:rsidRPr="00FA3F9C">
              <w:rPr>
                <w:rFonts w:ascii="Arial" w:hAnsi="Arial" w:cs="Arial"/>
                <w:sz w:val="24"/>
                <w:szCs w:val="24"/>
              </w:rPr>
              <w:t xml:space="preserve">5. Pembrolizumab will be in combination with </w:t>
            </w:r>
          </w:p>
        </w:tc>
      </w:tr>
      <w:tr w:rsidR="009B5AA5" w:rsidRPr="00FA3F9C" w14:paraId="5A7DE3CF" w14:textId="77777777" w:rsidTr="00FF1D44">
        <w:tc>
          <w:tcPr>
            <w:tcW w:w="10368" w:type="dxa"/>
          </w:tcPr>
          <w:p w14:paraId="05AD0AA4" w14:textId="77777777" w:rsidR="009B5AA5" w:rsidRPr="00FA3F9C" w:rsidRDefault="009B5AA5" w:rsidP="00FF1D44">
            <w:pPr>
              <w:spacing w:after="0"/>
              <w:rPr>
                <w:rFonts w:ascii="Arial" w:hAnsi="Arial" w:cs="Arial"/>
                <w:sz w:val="24"/>
                <w:szCs w:val="24"/>
              </w:rPr>
            </w:pPr>
            <w:r w:rsidRPr="00FA3F9C">
              <w:rPr>
                <w:rFonts w:ascii="Arial" w:hAnsi="Arial" w:cs="Arial"/>
                <w:b/>
                <w:sz w:val="24"/>
                <w:szCs w:val="24"/>
              </w:rPr>
              <w:t>If all criteria fulfilled, approve for 12 months</w:t>
            </w:r>
          </w:p>
        </w:tc>
      </w:tr>
      <w:tr w:rsidR="009B5AA5" w:rsidRPr="00FA3F9C" w14:paraId="07627E5D" w14:textId="77777777" w:rsidTr="00FF1D44">
        <w:tc>
          <w:tcPr>
            <w:tcW w:w="10368" w:type="dxa"/>
            <w:tcBorders>
              <w:bottom w:val="single" w:sz="4" w:space="0" w:color="auto"/>
            </w:tcBorders>
            <w:shd w:val="clear" w:color="auto" w:fill="BFBFBF" w:themeFill="background1" w:themeFillShade="BF"/>
          </w:tcPr>
          <w:p w14:paraId="2A9958D0" w14:textId="77777777" w:rsidR="009B5AA5" w:rsidRPr="00FA3F9C" w:rsidRDefault="009B5AA5" w:rsidP="00FF1D44">
            <w:pPr>
              <w:spacing w:after="0" w:line="240" w:lineRule="auto"/>
              <w:rPr>
                <w:rFonts w:ascii="Arial" w:hAnsi="Arial" w:cs="Arial"/>
                <w:sz w:val="24"/>
                <w:szCs w:val="24"/>
              </w:rPr>
            </w:pPr>
            <w:r w:rsidRPr="00FA3F9C">
              <w:rPr>
                <w:rFonts w:ascii="Arial" w:hAnsi="Arial" w:cs="Arial"/>
                <w:sz w:val="24"/>
                <w:szCs w:val="24"/>
              </w:rPr>
              <w:t xml:space="preserve">Note:  </w:t>
            </w:r>
          </w:p>
          <w:p w14:paraId="57F0EA85" w14:textId="77777777" w:rsidR="009B5AA5" w:rsidRPr="00FA3F9C" w:rsidRDefault="009B5AA5" w:rsidP="00FF1D44">
            <w:pPr>
              <w:spacing w:after="0" w:line="240" w:lineRule="auto"/>
              <w:rPr>
                <w:rFonts w:ascii="Arial" w:hAnsi="Arial" w:cs="Arial"/>
                <w:sz w:val="24"/>
                <w:szCs w:val="24"/>
              </w:rPr>
            </w:pPr>
          </w:p>
          <w:p w14:paraId="5061CAAE" w14:textId="77777777" w:rsidR="009B5AA5" w:rsidRPr="00FA3F9C" w:rsidRDefault="009B5AA5" w:rsidP="00FF1D44">
            <w:pPr>
              <w:spacing w:after="0" w:line="240" w:lineRule="auto"/>
              <w:rPr>
                <w:rFonts w:ascii="Arial" w:hAnsi="Arial" w:cs="Arial"/>
                <w:sz w:val="24"/>
                <w:szCs w:val="24"/>
              </w:rPr>
            </w:pPr>
            <w:r w:rsidRPr="00FA3F9C">
              <w:rPr>
                <w:rFonts w:ascii="Arial" w:hAnsi="Arial" w:cs="Arial"/>
                <w:sz w:val="24"/>
                <w:szCs w:val="24"/>
              </w:rPr>
              <w:t xml:space="preserve">KEYNOTE-590 (NCT03189719) randomized patients to pembrolizumab + platinum-based chemo or placebo + platinum-based chemo. </w:t>
            </w:r>
          </w:p>
          <w:p w14:paraId="52A9514C" w14:textId="77777777" w:rsidR="009B5AA5" w:rsidRPr="00FA3F9C" w:rsidRDefault="009B5AA5" w:rsidP="00FF1D44">
            <w:pPr>
              <w:spacing w:after="0" w:line="240" w:lineRule="auto"/>
              <w:rPr>
                <w:rFonts w:ascii="Arial" w:hAnsi="Arial" w:cs="Arial"/>
                <w:sz w:val="24"/>
                <w:szCs w:val="24"/>
              </w:rPr>
            </w:pPr>
          </w:p>
          <w:p w14:paraId="44A0B384" w14:textId="77777777" w:rsidR="009B5AA5" w:rsidRPr="00FA3F9C" w:rsidRDefault="009B5AA5" w:rsidP="00FF1D44">
            <w:pPr>
              <w:spacing w:after="0" w:line="240" w:lineRule="auto"/>
              <w:rPr>
                <w:rFonts w:ascii="Arial" w:hAnsi="Arial" w:cs="Arial"/>
                <w:sz w:val="24"/>
                <w:szCs w:val="24"/>
              </w:rPr>
            </w:pPr>
            <w:r w:rsidRPr="00FA3F9C">
              <w:rPr>
                <w:rFonts w:ascii="Arial" w:hAnsi="Arial" w:cs="Arial"/>
                <w:sz w:val="24"/>
                <w:szCs w:val="24"/>
              </w:rPr>
              <w:t xml:space="preserve">In the entire study population (n=749; PD-L1 positive or negative), the median overall survival was minimally but statistically prolonged in the pembrolizumab group (12.4 </w:t>
            </w:r>
            <w:proofErr w:type="spellStart"/>
            <w:r w:rsidRPr="00FA3F9C">
              <w:rPr>
                <w:rFonts w:ascii="Arial" w:hAnsi="Arial" w:cs="Arial"/>
                <w:sz w:val="24"/>
                <w:szCs w:val="24"/>
              </w:rPr>
              <w:t>mo</w:t>
            </w:r>
            <w:proofErr w:type="spellEnd"/>
            <w:r w:rsidRPr="00FA3F9C">
              <w:rPr>
                <w:rFonts w:ascii="Arial" w:hAnsi="Arial" w:cs="Arial"/>
                <w:sz w:val="24"/>
                <w:szCs w:val="24"/>
              </w:rPr>
              <w:t xml:space="preserve">) compared to the placebo group (9.8 </w:t>
            </w:r>
            <w:proofErr w:type="spellStart"/>
            <w:r w:rsidRPr="00FA3F9C">
              <w:rPr>
                <w:rFonts w:ascii="Arial" w:hAnsi="Arial" w:cs="Arial"/>
                <w:sz w:val="24"/>
                <w:szCs w:val="24"/>
              </w:rPr>
              <w:t>mo</w:t>
            </w:r>
            <w:proofErr w:type="spellEnd"/>
            <w:r w:rsidRPr="00FA3F9C">
              <w:rPr>
                <w:rFonts w:ascii="Arial" w:hAnsi="Arial" w:cs="Arial"/>
                <w:sz w:val="24"/>
                <w:szCs w:val="24"/>
              </w:rPr>
              <w:t>). In the PD-L1 positive subgroup, the overall survival benefit was more pronounced (</w:t>
            </w:r>
            <w:proofErr w:type="spellStart"/>
            <w:r w:rsidRPr="00FA3F9C">
              <w:rPr>
                <w:rFonts w:ascii="Arial" w:hAnsi="Arial" w:cs="Arial"/>
                <w:sz w:val="24"/>
                <w:szCs w:val="24"/>
              </w:rPr>
              <w:t>pembr</w:t>
            </w:r>
            <w:proofErr w:type="spellEnd"/>
            <w:r w:rsidRPr="00FA3F9C">
              <w:rPr>
                <w:rFonts w:ascii="Arial" w:hAnsi="Arial" w:cs="Arial"/>
                <w:sz w:val="24"/>
                <w:szCs w:val="24"/>
              </w:rPr>
              <w:t xml:space="preserve">: 13.5 </w:t>
            </w:r>
            <w:proofErr w:type="spellStart"/>
            <w:r w:rsidRPr="00FA3F9C">
              <w:rPr>
                <w:rFonts w:ascii="Arial" w:hAnsi="Arial" w:cs="Arial"/>
                <w:sz w:val="24"/>
                <w:szCs w:val="24"/>
              </w:rPr>
              <w:t>mo</w:t>
            </w:r>
            <w:proofErr w:type="spellEnd"/>
            <w:r w:rsidRPr="00FA3F9C">
              <w:rPr>
                <w:rFonts w:ascii="Arial" w:hAnsi="Arial" w:cs="Arial"/>
                <w:sz w:val="24"/>
                <w:szCs w:val="24"/>
              </w:rPr>
              <w:t xml:space="preserve"> versus placebo: 9.4 </w:t>
            </w:r>
            <w:proofErr w:type="spellStart"/>
            <w:r w:rsidRPr="00FA3F9C">
              <w:rPr>
                <w:rFonts w:ascii="Arial" w:hAnsi="Arial" w:cs="Arial"/>
                <w:sz w:val="24"/>
                <w:szCs w:val="24"/>
              </w:rPr>
              <w:t>mo</w:t>
            </w:r>
            <w:proofErr w:type="spellEnd"/>
            <w:r w:rsidRPr="00FA3F9C">
              <w:rPr>
                <w:rFonts w:ascii="Arial" w:hAnsi="Arial" w:cs="Arial"/>
                <w:sz w:val="24"/>
                <w:szCs w:val="24"/>
              </w:rPr>
              <w:t xml:space="preserve">). </w:t>
            </w:r>
          </w:p>
          <w:p w14:paraId="64139FCD" w14:textId="77777777" w:rsidR="009B5AA5" w:rsidRPr="00FA3F9C" w:rsidRDefault="009B5AA5" w:rsidP="00FF1D44">
            <w:pPr>
              <w:spacing w:after="0" w:line="240" w:lineRule="auto"/>
              <w:rPr>
                <w:rFonts w:ascii="Arial" w:hAnsi="Arial" w:cs="Arial"/>
                <w:sz w:val="24"/>
                <w:szCs w:val="24"/>
              </w:rPr>
            </w:pPr>
          </w:p>
          <w:p w14:paraId="5FE654EF" w14:textId="77777777" w:rsidR="009B5AA5" w:rsidRPr="00FA3F9C" w:rsidRDefault="009B5AA5" w:rsidP="00FF1D44">
            <w:pPr>
              <w:spacing w:after="0" w:line="240" w:lineRule="auto"/>
              <w:rPr>
                <w:rFonts w:ascii="Arial" w:hAnsi="Arial" w:cs="Arial"/>
                <w:sz w:val="24"/>
                <w:szCs w:val="24"/>
              </w:rPr>
            </w:pPr>
            <w:r w:rsidRPr="00FA3F9C">
              <w:rPr>
                <w:rFonts w:ascii="Arial" w:hAnsi="Arial" w:cs="Arial"/>
                <w:sz w:val="24"/>
                <w:szCs w:val="24"/>
              </w:rPr>
              <w:t xml:space="preserve">An exploratory analysis of patients with lower PD-L1 expression (CPS &lt;10) found median survival of 10.5 </w:t>
            </w:r>
            <w:proofErr w:type="spellStart"/>
            <w:r w:rsidRPr="00FA3F9C">
              <w:rPr>
                <w:rFonts w:ascii="Arial" w:hAnsi="Arial" w:cs="Arial"/>
                <w:sz w:val="24"/>
                <w:szCs w:val="24"/>
              </w:rPr>
              <w:t>mo</w:t>
            </w:r>
            <w:proofErr w:type="spellEnd"/>
            <w:r w:rsidRPr="00FA3F9C">
              <w:rPr>
                <w:rFonts w:ascii="Arial" w:hAnsi="Arial" w:cs="Arial"/>
                <w:sz w:val="24"/>
                <w:szCs w:val="24"/>
              </w:rPr>
              <w:t xml:space="preserve"> in the pembrolizumab group and 10.6 months in the placebo group.</w:t>
            </w:r>
          </w:p>
          <w:p w14:paraId="22555062" w14:textId="77777777" w:rsidR="009B5AA5" w:rsidRPr="00FA3F9C" w:rsidRDefault="009B5AA5" w:rsidP="00FF1D44">
            <w:pPr>
              <w:spacing w:after="0" w:line="240" w:lineRule="auto"/>
              <w:rPr>
                <w:rFonts w:ascii="Arial" w:hAnsi="Arial" w:cs="Arial"/>
                <w:sz w:val="24"/>
                <w:szCs w:val="24"/>
              </w:rPr>
            </w:pPr>
          </w:p>
          <w:p w14:paraId="3DF9873C" w14:textId="77777777" w:rsidR="009B5AA5" w:rsidRPr="00FA3F9C" w:rsidRDefault="009B5AA5" w:rsidP="00FF1D44">
            <w:pPr>
              <w:spacing w:after="0" w:line="240" w:lineRule="auto"/>
              <w:rPr>
                <w:rFonts w:ascii="Arial" w:hAnsi="Arial" w:cs="Arial"/>
                <w:sz w:val="24"/>
                <w:szCs w:val="24"/>
              </w:rPr>
            </w:pPr>
            <w:r w:rsidRPr="00FA3F9C">
              <w:rPr>
                <w:rFonts w:ascii="Arial" w:hAnsi="Arial" w:cs="Arial"/>
                <w:sz w:val="24"/>
                <w:szCs w:val="24"/>
              </w:rPr>
              <w:t xml:space="preserve">Although the FDA approval does not </w:t>
            </w:r>
            <w:proofErr w:type="gramStart"/>
            <w:r w:rsidRPr="00FA3F9C">
              <w:rPr>
                <w:rFonts w:ascii="Arial" w:hAnsi="Arial" w:cs="Arial"/>
                <w:sz w:val="24"/>
                <w:szCs w:val="24"/>
              </w:rPr>
              <w:t>required</w:t>
            </w:r>
            <w:proofErr w:type="gramEnd"/>
            <w:r w:rsidRPr="00FA3F9C">
              <w:rPr>
                <w:rFonts w:ascii="Arial" w:hAnsi="Arial" w:cs="Arial"/>
                <w:sz w:val="24"/>
                <w:szCs w:val="24"/>
              </w:rPr>
              <w:t xml:space="preserve"> PD-L1 positivity, the overall survival benefit is more pronounced in tumors with CPS </w:t>
            </w:r>
            <w:r w:rsidRPr="00FA3F9C">
              <w:rPr>
                <w:rFonts w:ascii="Arial" w:hAnsi="Arial" w:cs="Arial"/>
                <w:sz w:val="24"/>
                <w:szCs w:val="24"/>
                <w:u w:val="single"/>
              </w:rPr>
              <w:t>&gt;</w:t>
            </w:r>
            <w:r w:rsidRPr="00FA3F9C">
              <w:rPr>
                <w:rFonts w:ascii="Arial" w:hAnsi="Arial" w:cs="Arial"/>
                <w:sz w:val="24"/>
                <w:szCs w:val="24"/>
              </w:rPr>
              <w:t xml:space="preserve">10. Additionally, NCCN guidelines recommend using this therapy only for tumors with CPS </w:t>
            </w:r>
            <w:r w:rsidRPr="00FA3F9C">
              <w:rPr>
                <w:rFonts w:ascii="Arial" w:hAnsi="Arial" w:cs="Arial"/>
                <w:sz w:val="24"/>
                <w:szCs w:val="24"/>
                <w:u w:val="single"/>
              </w:rPr>
              <w:t>&gt;</w:t>
            </w:r>
            <w:r w:rsidRPr="00FA3F9C">
              <w:rPr>
                <w:rFonts w:ascii="Arial" w:hAnsi="Arial" w:cs="Arial"/>
                <w:sz w:val="24"/>
                <w:szCs w:val="24"/>
              </w:rPr>
              <w:t>10.</w:t>
            </w:r>
          </w:p>
          <w:p w14:paraId="28C5D527" w14:textId="77777777" w:rsidR="009B5AA5" w:rsidRPr="00FA3F9C" w:rsidRDefault="009B5AA5" w:rsidP="00FF1D44">
            <w:pPr>
              <w:spacing w:after="0" w:line="240" w:lineRule="auto"/>
              <w:rPr>
                <w:rFonts w:ascii="Arial" w:hAnsi="Arial" w:cs="Arial"/>
                <w:sz w:val="24"/>
                <w:szCs w:val="24"/>
              </w:rPr>
            </w:pPr>
            <w:r w:rsidRPr="00FA3F9C">
              <w:rPr>
                <w:rFonts w:ascii="Arial" w:hAnsi="Arial" w:cs="Arial"/>
                <w:sz w:val="24"/>
                <w:szCs w:val="24"/>
              </w:rPr>
              <w:t xml:space="preserve">  </w:t>
            </w:r>
          </w:p>
          <w:p w14:paraId="488EF02A" w14:textId="77777777" w:rsidR="009B5AA5" w:rsidRPr="00FA3F9C" w:rsidRDefault="009B5AA5" w:rsidP="00FF1D44">
            <w:pPr>
              <w:pStyle w:val="Heading1"/>
              <w:spacing w:before="0" w:beforeAutospacing="0" w:after="0" w:afterAutospacing="0"/>
              <w:rPr>
                <w:rFonts w:ascii="Arial" w:hAnsi="Arial" w:cs="Arial"/>
                <w:sz w:val="24"/>
                <w:szCs w:val="24"/>
              </w:rPr>
            </w:pPr>
          </w:p>
          <w:p w14:paraId="2EA06189" w14:textId="77777777" w:rsidR="009B5AA5" w:rsidRPr="00FA3F9C" w:rsidRDefault="009B5AA5" w:rsidP="00076432">
            <w:pPr>
              <w:rPr>
                <w:b/>
              </w:rPr>
            </w:pPr>
            <w:r w:rsidRPr="00FA3F9C">
              <w:t>REFERENCE</w:t>
            </w:r>
          </w:p>
          <w:p w14:paraId="59CA9C49" w14:textId="77777777" w:rsidR="009B5AA5" w:rsidRPr="00FA3F9C" w:rsidRDefault="009B5AA5" w:rsidP="00076432">
            <w:r w:rsidRPr="00FA3F9C">
              <w:t xml:space="preserve">1. Keytruda package insert. </w:t>
            </w:r>
            <w:hyperlink r:id="rId339" w:history="1">
              <w:r w:rsidRPr="00FA3F9C">
                <w:rPr>
                  <w:rStyle w:val="Hyperlink"/>
                  <w:rFonts w:ascii="Arial" w:hAnsi="Arial" w:cs="Arial"/>
                  <w:sz w:val="24"/>
                  <w:szCs w:val="24"/>
                </w:rPr>
                <w:t>https://www.merck.com/product/usa/pi_circulars/k/keytruda/keytruda_pi.pdf</w:t>
              </w:r>
            </w:hyperlink>
            <w:r w:rsidRPr="00FA3F9C">
              <w:t>. Accessed 4/29/2021.</w:t>
            </w:r>
          </w:p>
          <w:p w14:paraId="4CDA7C5A" w14:textId="77777777" w:rsidR="009B5AA5" w:rsidRPr="00FA3F9C" w:rsidRDefault="009B5AA5" w:rsidP="00076432">
            <w:r w:rsidRPr="00FA3F9C">
              <w:t xml:space="preserve">2. NCCN guidelines for esophageal cancer (Version 2.2021). </w:t>
            </w:r>
            <w:hyperlink r:id="rId340" w:history="1">
              <w:r w:rsidRPr="00FA3F9C">
                <w:rPr>
                  <w:rStyle w:val="Hyperlink"/>
                  <w:rFonts w:ascii="Arial" w:hAnsi="Arial" w:cs="Arial"/>
                  <w:sz w:val="24"/>
                  <w:szCs w:val="24"/>
                </w:rPr>
                <w:t>https://www.nccn.org/professionals/physician_gls/pdf/esophageal.pdf</w:t>
              </w:r>
            </w:hyperlink>
            <w:r w:rsidRPr="00FA3F9C">
              <w:t>. Accessed 4/29/2021.</w:t>
            </w:r>
          </w:p>
          <w:p w14:paraId="74E16EBF" w14:textId="77777777" w:rsidR="009B5AA5" w:rsidRPr="00FA3F9C" w:rsidRDefault="009B5AA5" w:rsidP="00FF1D44">
            <w:pPr>
              <w:spacing w:after="0"/>
              <w:rPr>
                <w:rFonts w:ascii="Arial" w:hAnsi="Arial" w:cs="Arial"/>
                <w:sz w:val="24"/>
                <w:szCs w:val="24"/>
              </w:rPr>
            </w:pPr>
          </w:p>
        </w:tc>
      </w:tr>
    </w:tbl>
    <w:p w14:paraId="68967BB1" w14:textId="77777777" w:rsidR="009B5AA5" w:rsidRPr="00FA3F9C" w:rsidRDefault="009B5AA5" w:rsidP="006F623F">
      <w:pPr>
        <w:spacing w:after="0"/>
        <w:rPr>
          <w:rFonts w:ascii="Arial" w:hAnsi="Arial" w:cs="Arial"/>
          <w:sz w:val="24"/>
          <w:szCs w:val="24"/>
        </w:rPr>
      </w:pPr>
    </w:p>
    <w:p w14:paraId="70142132" w14:textId="77777777" w:rsidR="009B5AA5" w:rsidRPr="00FA3F9C" w:rsidRDefault="009B5AA5" w:rsidP="006F623F">
      <w:pPr>
        <w:spacing w:after="0"/>
        <w:rPr>
          <w:rFonts w:ascii="Arial" w:hAnsi="Arial" w:cs="Arial"/>
          <w:sz w:val="24"/>
          <w:szCs w:val="24"/>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68"/>
      </w:tblGrid>
      <w:tr w:rsidR="009B5AA5" w:rsidRPr="00FA3F9C" w14:paraId="74E7B3DC" w14:textId="77777777" w:rsidTr="00920569">
        <w:tc>
          <w:tcPr>
            <w:tcW w:w="10368" w:type="dxa"/>
            <w:tcBorders>
              <w:bottom w:val="single" w:sz="4" w:space="0" w:color="auto"/>
            </w:tcBorders>
            <w:shd w:val="clear" w:color="auto" w:fill="000000"/>
          </w:tcPr>
          <w:p w14:paraId="4F4A6A95" w14:textId="77777777" w:rsidR="009B5AA5" w:rsidRPr="00FA3F9C" w:rsidRDefault="009B5AA5" w:rsidP="00920569">
            <w:pPr>
              <w:spacing w:after="0"/>
              <w:rPr>
                <w:rFonts w:ascii="Arial" w:hAnsi="Arial" w:cs="Arial"/>
                <w:b/>
                <w:sz w:val="24"/>
                <w:szCs w:val="24"/>
                <w:u w:val="single"/>
              </w:rPr>
            </w:pPr>
            <w:r w:rsidRPr="00FA3F9C">
              <w:rPr>
                <w:rFonts w:ascii="Arial" w:hAnsi="Arial" w:cs="Arial"/>
                <w:sz w:val="24"/>
                <w:szCs w:val="24"/>
              </w:rPr>
              <w:br w:type="page"/>
            </w:r>
            <w:r w:rsidRPr="00FA3F9C">
              <w:rPr>
                <w:rFonts w:ascii="Arial" w:hAnsi="Arial" w:cs="Arial"/>
                <w:b/>
                <w:sz w:val="24"/>
                <w:szCs w:val="24"/>
                <w:u w:val="single"/>
              </w:rPr>
              <w:t>Esophageal Squamous Cell Carcinoma (non-first line monotherapy)</w:t>
            </w:r>
          </w:p>
        </w:tc>
      </w:tr>
      <w:tr w:rsidR="009B5AA5" w:rsidRPr="00FA3F9C" w14:paraId="34FD510F" w14:textId="77777777" w:rsidTr="00920569">
        <w:tc>
          <w:tcPr>
            <w:tcW w:w="10368" w:type="dxa"/>
          </w:tcPr>
          <w:p w14:paraId="77EC080A" w14:textId="77777777" w:rsidR="009B5AA5" w:rsidRPr="00FA3F9C" w:rsidRDefault="009B5AA5" w:rsidP="00FC1E85">
            <w:pPr>
              <w:pStyle w:val="ListParagraph"/>
              <w:numPr>
                <w:ilvl w:val="0"/>
                <w:numId w:val="427"/>
              </w:numPr>
              <w:spacing w:after="0" w:line="276" w:lineRule="auto"/>
              <w:ind w:left="245" w:hanging="245"/>
              <w:rPr>
                <w:rFonts w:ascii="Arial" w:hAnsi="Arial" w:cs="Arial"/>
                <w:sz w:val="24"/>
                <w:szCs w:val="24"/>
              </w:rPr>
            </w:pPr>
            <w:r w:rsidRPr="00FA3F9C">
              <w:rPr>
                <w:rFonts w:ascii="Arial" w:hAnsi="Arial" w:cs="Arial"/>
                <w:sz w:val="24"/>
                <w:szCs w:val="24"/>
              </w:rPr>
              <w:lastRenderedPageBreak/>
              <w:t>Diagnosis of either recurrent or metastatic esophageal squamous cell carcinoma [not adenocarcinoma]</w:t>
            </w:r>
          </w:p>
        </w:tc>
      </w:tr>
      <w:tr w:rsidR="009B5AA5" w:rsidRPr="00FA3F9C" w14:paraId="39833302" w14:textId="77777777" w:rsidTr="00920569">
        <w:tc>
          <w:tcPr>
            <w:tcW w:w="10368" w:type="dxa"/>
          </w:tcPr>
          <w:p w14:paraId="751B75CD" w14:textId="77777777" w:rsidR="009B5AA5" w:rsidRPr="00FA3F9C" w:rsidRDefault="009B5AA5" w:rsidP="00FC1E85">
            <w:pPr>
              <w:pStyle w:val="ListParagraph"/>
              <w:numPr>
                <w:ilvl w:val="0"/>
                <w:numId w:val="427"/>
              </w:numPr>
              <w:spacing w:after="0" w:line="276" w:lineRule="auto"/>
              <w:ind w:left="245" w:hanging="245"/>
              <w:rPr>
                <w:rFonts w:ascii="Arial" w:hAnsi="Arial" w:cs="Arial"/>
                <w:sz w:val="24"/>
                <w:szCs w:val="24"/>
              </w:rPr>
            </w:pPr>
            <w:r w:rsidRPr="00FA3F9C">
              <w:rPr>
                <w:rFonts w:ascii="Arial" w:hAnsi="Arial" w:cs="Arial"/>
                <w:sz w:val="24"/>
                <w:szCs w:val="24"/>
              </w:rPr>
              <w:t xml:space="preserve">Tumor expresses PD-L1 with a combined positive score (CPS) </w:t>
            </w:r>
            <w:r w:rsidRPr="00FA3F9C">
              <w:rPr>
                <w:rFonts w:ascii="Arial" w:hAnsi="Arial" w:cs="Arial"/>
                <w:sz w:val="24"/>
                <w:szCs w:val="24"/>
                <w:u w:val="single"/>
              </w:rPr>
              <w:t>&gt;</w:t>
            </w:r>
            <w:r w:rsidRPr="00FA3F9C">
              <w:rPr>
                <w:rFonts w:ascii="Arial" w:hAnsi="Arial" w:cs="Arial"/>
                <w:sz w:val="24"/>
                <w:szCs w:val="24"/>
              </w:rPr>
              <w:t>10</w:t>
            </w:r>
          </w:p>
        </w:tc>
      </w:tr>
      <w:tr w:rsidR="009B5AA5" w:rsidRPr="00FA3F9C" w14:paraId="720F7E2D" w14:textId="77777777" w:rsidTr="00920569">
        <w:tc>
          <w:tcPr>
            <w:tcW w:w="10368" w:type="dxa"/>
          </w:tcPr>
          <w:p w14:paraId="79489F2D" w14:textId="77777777" w:rsidR="009B5AA5" w:rsidRPr="00FA3F9C" w:rsidRDefault="009B5AA5" w:rsidP="00FC1E85">
            <w:pPr>
              <w:pStyle w:val="ListParagraph"/>
              <w:numPr>
                <w:ilvl w:val="0"/>
                <w:numId w:val="427"/>
              </w:numPr>
              <w:spacing w:after="0" w:line="276" w:lineRule="auto"/>
              <w:ind w:left="245" w:hanging="245"/>
              <w:rPr>
                <w:rFonts w:ascii="Arial" w:hAnsi="Arial" w:cs="Arial"/>
                <w:sz w:val="24"/>
                <w:szCs w:val="24"/>
              </w:rPr>
            </w:pPr>
            <w:r w:rsidRPr="00FA3F9C">
              <w:rPr>
                <w:rFonts w:ascii="Arial" w:hAnsi="Arial" w:cs="Arial"/>
                <w:sz w:val="24"/>
                <w:szCs w:val="24"/>
              </w:rPr>
              <w:t>Disease has progressed after at least one prior line of therapy given for advanced/recurrent disease</w:t>
            </w:r>
          </w:p>
        </w:tc>
      </w:tr>
      <w:tr w:rsidR="009B5AA5" w:rsidRPr="00FA3F9C" w14:paraId="5D7E8051" w14:textId="77777777" w:rsidTr="00920569">
        <w:tc>
          <w:tcPr>
            <w:tcW w:w="10368" w:type="dxa"/>
          </w:tcPr>
          <w:p w14:paraId="576875DD" w14:textId="77777777" w:rsidR="009B5AA5" w:rsidRPr="00FA3F9C" w:rsidRDefault="009B5AA5" w:rsidP="00FC1E85">
            <w:pPr>
              <w:pStyle w:val="ListParagraph"/>
              <w:numPr>
                <w:ilvl w:val="0"/>
                <w:numId w:val="427"/>
              </w:numPr>
              <w:spacing w:after="0" w:line="276" w:lineRule="auto"/>
              <w:ind w:left="245" w:hanging="245"/>
              <w:rPr>
                <w:rFonts w:ascii="Arial" w:hAnsi="Arial" w:cs="Arial"/>
                <w:sz w:val="24"/>
                <w:szCs w:val="24"/>
              </w:rPr>
            </w:pPr>
            <w:r w:rsidRPr="00FA3F9C">
              <w:rPr>
                <w:rFonts w:ascii="Arial" w:hAnsi="Arial" w:cs="Arial"/>
                <w:sz w:val="24"/>
                <w:szCs w:val="24"/>
              </w:rPr>
              <w:t>No prior treatment with a PD-1 or PD-L1 inhibitor</w:t>
            </w:r>
          </w:p>
        </w:tc>
      </w:tr>
      <w:tr w:rsidR="009B5AA5" w:rsidRPr="00FA3F9C" w14:paraId="76D5FC80" w14:textId="77777777" w:rsidTr="00920569">
        <w:tc>
          <w:tcPr>
            <w:tcW w:w="10368" w:type="dxa"/>
          </w:tcPr>
          <w:p w14:paraId="590D85E1" w14:textId="77777777" w:rsidR="009B5AA5" w:rsidRPr="00FA3F9C" w:rsidRDefault="009B5AA5" w:rsidP="00FC1E85">
            <w:pPr>
              <w:pStyle w:val="ListParagraph"/>
              <w:numPr>
                <w:ilvl w:val="0"/>
                <w:numId w:val="427"/>
              </w:numPr>
              <w:spacing w:after="0" w:line="276" w:lineRule="auto"/>
              <w:ind w:left="245" w:hanging="245"/>
              <w:rPr>
                <w:rFonts w:ascii="Arial" w:hAnsi="Arial" w:cs="Arial"/>
                <w:sz w:val="24"/>
                <w:szCs w:val="24"/>
              </w:rPr>
            </w:pPr>
            <w:r w:rsidRPr="00FA3F9C">
              <w:rPr>
                <w:rFonts w:ascii="Arial" w:hAnsi="Arial" w:cs="Arial"/>
                <w:sz w:val="24"/>
                <w:szCs w:val="24"/>
              </w:rPr>
              <w:t>Pembrolizumab will be used as single agent</w:t>
            </w:r>
          </w:p>
        </w:tc>
      </w:tr>
      <w:tr w:rsidR="009B5AA5" w:rsidRPr="00FA3F9C" w14:paraId="07A1D540" w14:textId="77777777" w:rsidTr="00920569">
        <w:tc>
          <w:tcPr>
            <w:tcW w:w="10368" w:type="dxa"/>
          </w:tcPr>
          <w:p w14:paraId="0A44ACB2" w14:textId="77777777" w:rsidR="009B5AA5" w:rsidRPr="00FA3F9C" w:rsidRDefault="009B5AA5" w:rsidP="00920569">
            <w:pPr>
              <w:spacing w:after="0"/>
              <w:rPr>
                <w:rFonts w:ascii="Arial" w:hAnsi="Arial" w:cs="Arial"/>
                <w:sz w:val="24"/>
                <w:szCs w:val="24"/>
              </w:rPr>
            </w:pPr>
            <w:r w:rsidRPr="00FA3F9C">
              <w:rPr>
                <w:rFonts w:ascii="Arial" w:hAnsi="Arial" w:cs="Arial"/>
                <w:b/>
                <w:sz w:val="24"/>
                <w:szCs w:val="24"/>
              </w:rPr>
              <w:t>If all criteria fulfilled, approve for 12 months</w:t>
            </w:r>
          </w:p>
        </w:tc>
      </w:tr>
      <w:tr w:rsidR="009B5AA5" w:rsidRPr="00FA3F9C" w14:paraId="24FEEB33" w14:textId="77777777" w:rsidTr="00920569">
        <w:tc>
          <w:tcPr>
            <w:tcW w:w="10368" w:type="dxa"/>
            <w:tcBorders>
              <w:bottom w:val="single" w:sz="4" w:space="0" w:color="auto"/>
            </w:tcBorders>
            <w:shd w:val="clear" w:color="auto" w:fill="000000" w:themeFill="text1"/>
          </w:tcPr>
          <w:p w14:paraId="667EAEA5" w14:textId="77777777" w:rsidR="009B5AA5" w:rsidRPr="00FA3F9C" w:rsidRDefault="009B5AA5" w:rsidP="00920569">
            <w:pPr>
              <w:spacing w:after="0"/>
              <w:rPr>
                <w:rFonts w:ascii="Arial" w:hAnsi="Arial" w:cs="Arial"/>
                <w:sz w:val="24"/>
                <w:szCs w:val="24"/>
              </w:rPr>
            </w:pPr>
            <w:r w:rsidRPr="00FA3F9C">
              <w:rPr>
                <w:rFonts w:ascii="Arial" w:hAnsi="Arial" w:cs="Arial"/>
                <w:b/>
                <w:sz w:val="24"/>
                <w:szCs w:val="24"/>
                <w:u w:val="single"/>
              </w:rPr>
              <w:t>Criteria for continuation</w:t>
            </w:r>
          </w:p>
        </w:tc>
      </w:tr>
      <w:tr w:rsidR="009B5AA5" w:rsidRPr="00FA3F9C" w14:paraId="0FBE1E25" w14:textId="77777777" w:rsidTr="00920569">
        <w:tc>
          <w:tcPr>
            <w:tcW w:w="10368" w:type="dxa"/>
          </w:tcPr>
          <w:p w14:paraId="6291D5A6" w14:textId="77777777" w:rsidR="009B5AA5" w:rsidRPr="00FA3F9C" w:rsidRDefault="009B5AA5" w:rsidP="00920569">
            <w:pPr>
              <w:spacing w:after="0"/>
              <w:rPr>
                <w:rFonts w:ascii="Arial" w:hAnsi="Arial" w:cs="Arial"/>
                <w:sz w:val="24"/>
                <w:szCs w:val="24"/>
              </w:rPr>
            </w:pPr>
            <w:r w:rsidRPr="00FA3F9C">
              <w:rPr>
                <w:rFonts w:ascii="Arial" w:hAnsi="Arial" w:cs="Arial"/>
                <w:sz w:val="24"/>
                <w:szCs w:val="24"/>
              </w:rPr>
              <w:t>No disease progression</w:t>
            </w:r>
          </w:p>
        </w:tc>
      </w:tr>
      <w:tr w:rsidR="009B5AA5" w:rsidRPr="00FA3F9C" w14:paraId="40BDB98D" w14:textId="77777777" w:rsidTr="00920569">
        <w:tc>
          <w:tcPr>
            <w:tcW w:w="10368" w:type="dxa"/>
          </w:tcPr>
          <w:p w14:paraId="0B9726F2" w14:textId="77777777" w:rsidR="009B5AA5" w:rsidRPr="00FA3F9C" w:rsidRDefault="009B5AA5" w:rsidP="00920569">
            <w:pPr>
              <w:spacing w:after="0"/>
              <w:rPr>
                <w:rFonts w:ascii="Arial" w:hAnsi="Arial" w:cs="Arial"/>
                <w:sz w:val="24"/>
                <w:szCs w:val="24"/>
              </w:rPr>
            </w:pPr>
            <w:r w:rsidRPr="00FA3F9C">
              <w:rPr>
                <w:rFonts w:ascii="Arial" w:hAnsi="Arial" w:cs="Arial"/>
                <w:sz w:val="24"/>
                <w:szCs w:val="24"/>
              </w:rPr>
              <w:t>No unacceptable toxicity</w:t>
            </w:r>
          </w:p>
        </w:tc>
      </w:tr>
      <w:tr w:rsidR="009B5AA5" w:rsidRPr="00FA3F9C" w14:paraId="6FB601A9" w14:textId="77777777" w:rsidTr="00920569">
        <w:tc>
          <w:tcPr>
            <w:tcW w:w="10368" w:type="dxa"/>
          </w:tcPr>
          <w:p w14:paraId="4984336F" w14:textId="77777777" w:rsidR="009B5AA5" w:rsidRPr="00FA3F9C" w:rsidRDefault="009B5AA5" w:rsidP="00920569">
            <w:pPr>
              <w:spacing w:after="0"/>
              <w:rPr>
                <w:rFonts w:ascii="Arial" w:hAnsi="Arial" w:cs="Arial"/>
                <w:sz w:val="24"/>
                <w:szCs w:val="24"/>
              </w:rPr>
            </w:pPr>
            <w:r w:rsidRPr="00FA3F9C">
              <w:rPr>
                <w:rFonts w:ascii="Arial" w:hAnsi="Arial" w:cs="Arial"/>
                <w:b/>
                <w:sz w:val="24"/>
                <w:szCs w:val="24"/>
              </w:rPr>
              <w:t xml:space="preserve">If </w:t>
            </w:r>
            <w:proofErr w:type="gramStart"/>
            <w:r w:rsidRPr="00FA3F9C">
              <w:rPr>
                <w:rFonts w:ascii="Arial" w:hAnsi="Arial" w:cs="Arial"/>
                <w:b/>
                <w:sz w:val="24"/>
                <w:szCs w:val="24"/>
              </w:rPr>
              <w:t>both of the continuation</w:t>
            </w:r>
            <w:proofErr w:type="gramEnd"/>
            <w:r w:rsidRPr="00FA3F9C">
              <w:rPr>
                <w:rFonts w:ascii="Arial" w:hAnsi="Arial" w:cs="Arial"/>
                <w:b/>
                <w:sz w:val="24"/>
                <w:szCs w:val="24"/>
              </w:rPr>
              <w:t xml:space="preserve"> criteria are fulfilled, approve for 12 months. </w:t>
            </w:r>
          </w:p>
        </w:tc>
      </w:tr>
      <w:tr w:rsidR="009B5AA5" w:rsidRPr="00FA3F9C" w14:paraId="53AF2C0E" w14:textId="77777777" w:rsidTr="00920569">
        <w:tc>
          <w:tcPr>
            <w:tcW w:w="10368" w:type="dxa"/>
            <w:tcBorders>
              <w:bottom w:val="single" w:sz="4" w:space="0" w:color="auto"/>
            </w:tcBorders>
            <w:shd w:val="clear" w:color="auto" w:fill="BFBFBF" w:themeFill="background1" w:themeFillShade="BF"/>
          </w:tcPr>
          <w:p w14:paraId="346AB684" w14:textId="77777777" w:rsidR="009B5AA5" w:rsidRPr="00FA3F9C" w:rsidRDefault="009B5AA5" w:rsidP="00920569">
            <w:pPr>
              <w:spacing w:after="0" w:line="240" w:lineRule="auto"/>
              <w:rPr>
                <w:rFonts w:ascii="Arial" w:hAnsi="Arial" w:cs="Arial"/>
                <w:sz w:val="24"/>
                <w:szCs w:val="24"/>
              </w:rPr>
            </w:pPr>
            <w:r w:rsidRPr="00FA3F9C">
              <w:rPr>
                <w:rFonts w:ascii="Arial" w:hAnsi="Arial" w:cs="Arial"/>
                <w:sz w:val="24"/>
                <w:szCs w:val="24"/>
              </w:rPr>
              <w:t xml:space="preserve">Note:  </w:t>
            </w:r>
          </w:p>
          <w:p w14:paraId="7CE8C52F" w14:textId="77777777" w:rsidR="009B5AA5" w:rsidRPr="00FA3F9C" w:rsidRDefault="009B5AA5" w:rsidP="00920569">
            <w:pPr>
              <w:spacing w:after="0" w:line="240" w:lineRule="auto"/>
              <w:rPr>
                <w:rFonts w:ascii="Arial" w:hAnsi="Arial" w:cs="Arial"/>
                <w:sz w:val="24"/>
                <w:szCs w:val="24"/>
              </w:rPr>
            </w:pPr>
          </w:p>
          <w:p w14:paraId="08E1971C" w14:textId="77777777" w:rsidR="009B5AA5" w:rsidRPr="00FA3F9C" w:rsidRDefault="009B5AA5" w:rsidP="00920569">
            <w:pPr>
              <w:spacing w:after="0" w:line="240" w:lineRule="auto"/>
              <w:rPr>
                <w:rFonts w:ascii="Arial" w:hAnsi="Arial" w:cs="Arial"/>
                <w:sz w:val="24"/>
                <w:szCs w:val="24"/>
              </w:rPr>
            </w:pPr>
            <w:r w:rsidRPr="00FA3F9C">
              <w:rPr>
                <w:rFonts w:ascii="Arial" w:hAnsi="Arial" w:cs="Arial"/>
                <w:sz w:val="24"/>
                <w:szCs w:val="24"/>
              </w:rPr>
              <w:t>Pembrolizumab is continued until disease progression or unacceptable toxicity</w:t>
            </w:r>
          </w:p>
          <w:p w14:paraId="516ECA8A" w14:textId="77777777" w:rsidR="009B5AA5" w:rsidRPr="00FA3F9C" w:rsidRDefault="009B5AA5" w:rsidP="00920569">
            <w:pPr>
              <w:spacing w:after="0" w:line="240" w:lineRule="auto"/>
              <w:rPr>
                <w:rFonts w:ascii="Arial" w:hAnsi="Arial" w:cs="Arial"/>
                <w:sz w:val="24"/>
                <w:szCs w:val="24"/>
              </w:rPr>
            </w:pPr>
          </w:p>
          <w:p w14:paraId="225CE0E8" w14:textId="77777777" w:rsidR="009B5AA5" w:rsidRPr="00FA3F9C" w:rsidRDefault="009B5AA5" w:rsidP="00920569">
            <w:pPr>
              <w:spacing w:after="0" w:line="240" w:lineRule="auto"/>
              <w:rPr>
                <w:rFonts w:ascii="Arial" w:hAnsi="Arial" w:cs="Arial"/>
                <w:sz w:val="24"/>
                <w:szCs w:val="24"/>
              </w:rPr>
            </w:pPr>
            <w:r w:rsidRPr="00FA3F9C">
              <w:rPr>
                <w:rFonts w:ascii="Arial" w:hAnsi="Arial" w:cs="Arial"/>
                <w:sz w:val="24"/>
                <w:szCs w:val="24"/>
              </w:rPr>
              <w:t>Evidence:</w:t>
            </w:r>
          </w:p>
          <w:p w14:paraId="602CF6C7" w14:textId="77777777" w:rsidR="009B5AA5" w:rsidRPr="00FA3F9C" w:rsidRDefault="009B5AA5" w:rsidP="00920569">
            <w:pPr>
              <w:spacing w:after="0" w:line="240" w:lineRule="auto"/>
              <w:rPr>
                <w:rFonts w:ascii="Arial" w:hAnsi="Arial" w:cs="Arial"/>
                <w:sz w:val="24"/>
                <w:szCs w:val="24"/>
              </w:rPr>
            </w:pPr>
            <w:r w:rsidRPr="00FA3F9C">
              <w:rPr>
                <w:rFonts w:ascii="Arial" w:hAnsi="Arial" w:cs="Arial"/>
                <w:sz w:val="24"/>
                <w:szCs w:val="24"/>
              </w:rPr>
              <w:t xml:space="preserve">The KEYNOTE-181 study enrolled patients with advanced/metastatic regardless of histology (adenocarcinoma vs. squamous cell carcinoma) or PD-L1 expression. Pembrolizumab monotherapy was compared to investigator’s choice of chemotherapy.  In the PD-L1 CPS </w:t>
            </w:r>
            <w:r w:rsidRPr="00FA3F9C">
              <w:rPr>
                <w:rFonts w:ascii="Arial" w:hAnsi="Arial" w:cs="Arial"/>
                <w:sz w:val="24"/>
                <w:szCs w:val="24"/>
                <w:u w:val="single"/>
              </w:rPr>
              <w:t>&gt;</w:t>
            </w:r>
            <w:r w:rsidRPr="00FA3F9C">
              <w:rPr>
                <w:rFonts w:ascii="Arial" w:hAnsi="Arial" w:cs="Arial"/>
                <w:sz w:val="24"/>
                <w:szCs w:val="24"/>
              </w:rPr>
              <w:t xml:space="preserve">10 </w:t>
            </w:r>
            <w:r w:rsidRPr="00FA3F9C">
              <w:rPr>
                <w:rFonts w:ascii="Arial" w:hAnsi="Arial" w:cs="Arial"/>
                <w:sz w:val="24"/>
                <w:szCs w:val="24"/>
                <w:u w:val="single"/>
              </w:rPr>
              <w:t>squamous cell carcinoma</w:t>
            </w:r>
            <w:r w:rsidRPr="00FA3F9C">
              <w:rPr>
                <w:rFonts w:ascii="Arial" w:hAnsi="Arial" w:cs="Arial"/>
                <w:sz w:val="24"/>
                <w:szCs w:val="24"/>
              </w:rPr>
              <w:t xml:space="preserve"> subgroup (n=122), median overall survival was longer in the pembrolizumab arm (10.3 vs 6.7 </w:t>
            </w:r>
            <w:proofErr w:type="spellStart"/>
            <w:r w:rsidRPr="00FA3F9C">
              <w:rPr>
                <w:rFonts w:ascii="Arial" w:hAnsi="Arial" w:cs="Arial"/>
                <w:sz w:val="24"/>
                <w:szCs w:val="24"/>
              </w:rPr>
              <w:t>mo</w:t>
            </w:r>
            <w:proofErr w:type="spellEnd"/>
            <w:r w:rsidRPr="00FA3F9C">
              <w:rPr>
                <w:rFonts w:ascii="Arial" w:hAnsi="Arial" w:cs="Arial"/>
                <w:sz w:val="24"/>
                <w:szCs w:val="24"/>
              </w:rPr>
              <w:t>). Among all patients, incidence of adverse events was lower in the pembrolizumab group (all grade: 64% vs 86%; grade 3-5: 18% vs 41%).</w:t>
            </w:r>
          </w:p>
          <w:p w14:paraId="3804099C" w14:textId="77777777" w:rsidR="009B5AA5" w:rsidRPr="00FA3F9C" w:rsidRDefault="009B5AA5" w:rsidP="00920569">
            <w:pPr>
              <w:spacing w:after="0" w:line="240" w:lineRule="auto"/>
              <w:rPr>
                <w:rFonts w:ascii="Arial" w:hAnsi="Arial" w:cs="Arial"/>
                <w:sz w:val="24"/>
                <w:szCs w:val="24"/>
              </w:rPr>
            </w:pPr>
          </w:p>
          <w:p w14:paraId="0DF16CEF" w14:textId="77777777" w:rsidR="009B5AA5" w:rsidRPr="00FA3F9C" w:rsidRDefault="009B5AA5" w:rsidP="00920569">
            <w:pPr>
              <w:spacing w:after="0" w:line="240" w:lineRule="auto"/>
              <w:rPr>
                <w:rFonts w:ascii="Arial" w:hAnsi="Arial" w:cs="Arial"/>
                <w:sz w:val="24"/>
                <w:szCs w:val="24"/>
              </w:rPr>
            </w:pPr>
            <w:r w:rsidRPr="00FA3F9C">
              <w:rPr>
                <w:rFonts w:ascii="Arial" w:hAnsi="Arial" w:cs="Arial"/>
                <w:sz w:val="24"/>
                <w:szCs w:val="24"/>
              </w:rPr>
              <w:t xml:space="preserve">Note in the subgroup with adenocarcinoma and CPS </w:t>
            </w:r>
            <w:r w:rsidRPr="00FA3F9C">
              <w:rPr>
                <w:rFonts w:ascii="Arial" w:hAnsi="Arial" w:cs="Arial"/>
                <w:sz w:val="24"/>
                <w:szCs w:val="24"/>
                <w:u w:val="single"/>
              </w:rPr>
              <w:t>&gt;</w:t>
            </w:r>
            <w:r w:rsidRPr="00FA3F9C">
              <w:rPr>
                <w:rFonts w:ascii="Arial" w:hAnsi="Arial" w:cs="Arial"/>
                <w:sz w:val="24"/>
                <w:szCs w:val="24"/>
              </w:rPr>
              <w:t xml:space="preserve">10, the median overall survival for pembrolizumab was </w:t>
            </w:r>
            <w:proofErr w:type="gramStart"/>
            <w:r w:rsidRPr="00FA3F9C">
              <w:rPr>
                <w:rFonts w:ascii="Arial" w:hAnsi="Arial" w:cs="Arial"/>
                <w:sz w:val="24"/>
                <w:szCs w:val="24"/>
              </w:rPr>
              <w:t>similar to</w:t>
            </w:r>
            <w:proofErr w:type="gramEnd"/>
            <w:r w:rsidRPr="00FA3F9C">
              <w:rPr>
                <w:rFonts w:ascii="Arial" w:hAnsi="Arial" w:cs="Arial"/>
                <w:sz w:val="24"/>
                <w:szCs w:val="24"/>
              </w:rPr>
              <w:t xml:space="preserve"> chemo (6.3 vs 6.9). FDA approval was granted for squamous cell carcinoma only.</w:t>
            </w:r>
          </w:p>
          <w:p w14:paraId="01ECB657" w14:textId="77777777" w:rsidR="009B5AA5" w:rsidRPr="00FA3F9C" w:rsidRDefault="009B5AA5" w:rsidP="00920569">
            <w:pPr>
              <w:spacing w:after="0" w:line="240" w:lineRule="auto"/>
              <w:rPr>
                <w:rFonts w:ascii="Arial" w:hAnsi="Arial" w:cs="Arial"/>
                <w:sz w:val="24"/>
                <w:szCs w:val="24"/>
              </w:rPr>
            </w:pPr>
            <w:r w:rsidRPr="00FA3F9C">
              <w:rPr>
                <w:rFonts w:ascii="Arial" w:hAnsi="Arial" w:cs="Arial"/>
                <w:sz w:val="24"/>
                <w:szCs w:val="24"/>
              </w:rPr>
              <w:t xml:space="preserve">  </w:t>
            </w:r>
          </w:p>
          <w:p w14:paraId="711BCCD8" w14:textId="77777777" w:rsidR="009B5AA5" w:rsidRPr="00FA3F9C" w:rsidRDefault="009B5AA5" w:rsidP="00920569">
            <w:pPr>
              <w:pStyle w:val="Heading1"/>
              <w:spacing w:before="0" w:beforeAutospacing="0" w:after="0" w:afterAutospacing="0"/>
              <w:rPr>
                <w:rFonts w:ascii="Arial" w:hAnsi="Arial" w:cs="Arial"/>
                <w:sz w:val="24"/>
                <w:szCs w:val="24"/>
              </w:rPr>
            </w:pPr>
          </w:p>
          <w:p w14:paraId="528E5EE0" w14:textId="77777777" w:rsidR="009B5AA5" w:rsidRPr="00FA3F9C" w:rsidRDefault="009B5AA5" w:rsidP="00076432">
            <w:pPr>
              <w:rPr>
                <w:b/>
              </w:rPr>
            </w:pPr>
            <w:r w:rsidRPr="00FA3F9C">
              <w:t>REFERENCE</w:t>
            </w:r>
          </w:p>
          <w:p w14:paraId="3ADA9137" w14:textId="77777777" w:rsidR="009B5AA5" w:rsidRPr="00FA3F9C" w:rsidRDefault="009B5AA5" w:rsidP="00076432">
            <w:r w:rsidRPr="00FA3F9C">
              <w:lastRenderedPageBreak/>
              <w:t xml:space="preserve">1. Shah et al. Pembrolizumab versus chemotherapy as second-line therapy for advanced esophageal cancer: Phase 3 KEYNOTE-181 study. Journal of Clinical Oncology 37, no. 15_suppl (May 20, 2019) 4010-4010. </w:t>
            </w:r>
            <w:hyperlink r:id="rId341" w:history="1">
              <w:r w:rsidRPr="00FA3F9C">
                <w:rPr>
                  <w:rStyle w:val="Hyperlink"/>
                  <w:rFonts w:ascii="Arial" w:hAnsi="Arial" w:cs="Arial"/>
                  <w:sz w:val="24"/>
                  <w:szCs w:val="24"/>
                </w:rPr>
                <w:t>https://ascopubs.org/doi/abs/10.1200/JCO.2019.37.15_suppl.4010</w:t>
              </w:r>
            </w:hyperlink>
          </w:p>
          <w:p w14:paraId="6E01BCA6" w14:textId="77777777" w:rsidR="009B5AA5" w:rsidRPr="00FA3F9C" w:rsidRDefault="009B5AA5" w:rsidP="00076432">
            <w:r w:rsidRPr="00FA3F9C">
              <w:t>2. Keytruda Package Insert. https://www.merck.com/product/usa/pi_circulars/k/keytruda/keytruda_pi.pdf. Accessed 9/10/19.</w:t>
            </w:r>
          </w:p>
        </w:tc>
      </w:tr>
    </w:tbl>
    <w:p w14:paraId="023A09C1" w14:textId="77777777" w:rsidR="009B5AA5" w:rsidRPr="00FA3F9C" w:rsidRDefault="009B5AA5" w:rsidP="006F623F">
      <w:pPr>
        <w:spacing w:after="0"/>
        <w:rPr>
          <w:rFonts w:ascii="Arial" w:hAnsi="Arial" w:cs="Arial"/>
          <w:sz w:val="24"/>
          <w:szCs w:val="24"/>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68"/>
      </w:tblGrid>
      <w:tr w:rsidR="009B5AA5" w:rsidRPr="00FA3F9C" w14:paraId="750132D0" w14:textId="77777777" w:rsidTr="008C1FC3">
        <w:tc>
          <w:tcPr>
            <w:tcW w:w="10368" w:type="dxa"/>
            <w:tcBorders>
              <w:bottom w:val="single" w:sz="4" w:space="0" w:color="auto"/>
            </w:tcBorders>
            <w:shd w:val="clear" w:color="auto" w:fill="000000"/>
          </w:tcPr>
          <w:p w14:paraId="0794DD79" w14:textId="77777777" w:rsidR="009B5AA5" w:rsidRPr="00FA3F9C" w:rsidRDefault="009B5AA5" w:rsidP="00FE25B6">
            <w:pPr>
              <w:spacing w:after="0"/>
              <w:rPr>
                <w:rFonts w:ascii="Arial" w:hAnsi="Arial" w:cs="Arial"/>
                <w:b/>
                <w:sz w:val="24"/>
                <w:szCs w:val="24"/>
                <w:u w:val="single"/>
              </w:rPr>
            </w:pPr>
            <w:r w:rsidRPr="00FA3F9C">
              <w:rPr>
                <w:rFonts w:ascii="Arial" w:hAnsi="Arial" w:cs="Arial"/>
                <w:sz w:val="24"/>
                <w:szCs w:val="24"/>
              </w:rPr>
              <w:br w:type="page"/>
            </w:r>
            <w:r w:rsidRPr="00FA3F9C">
              <w:rPr>
                <w:rFonts w:ascii="Arial" w:hAnsi="Arial" w:cs="Arial"/>
                <w:b/>
                <w:sz w:val="24"/>
                <w:szCs w:val="24"/>
                <w:u w:val="single"/>
              </w:rPr>
              <w:t>Cervical Cance</w:t>
            </w:r>
            <w:bookmarkStart w:id="269" w:name="cervical"/>
            <w:bookmarkEnd w:id="269"/>
            <w:r w:rsidRPr="00FA3F9C">
              <w:rPr>
                <w:rFonts w:ascii="Arial" w:hAnsi="Arial" w:cs="Arial"/>
                <w:b/>
                <w:sz w:val="24"/>
                <w:szCs w:val="24"/>
                <w:u w:val="single"/>
              </w:rPr>
              <w:t>r</w:t>
            </w:r>
          </w:p>
        </w:tc>
      </w:tr>
      <w:tr w:rsidR="009B5AA5" w:rsidRPr="00FA3F9C" w14:paraId="154103A6" w14:textId="77777777" w:rsidTr="008C1FC3">
        <w:tc>
          <w:tcPr>
            <w:tcW w:w="10368" w:type="dxa"/>
          </w:tcPr>
          <w:p w14:paraId="4A074DD0" w14:textId="77777777" w:rsidR="009B5AA5" w:rsidRPr="00FA3F9C" w:rsidRDefault="009B5AA5" w:rsidP="00FC1E85">
            <w:pPr>
              <w:pStyle w:val="ListParagraph"/>
              <w:numPr>
                <w:ilvl w:val="0"/>
                <w:numId w:val="425"/>
              </w:numPr>
              <w:spacing w:after="0" w:line="276" w:lineRule="auto"/>
              <w:ind w:left="245" w:hanging="270"/>
              <w:rPr>
                <w:rFonts w:ascii="Arial" w:hAnsi="Arial" w:cs="Arial"/>
                <w:sz w:val="24"/>
                <w:szCs w:val="24"/>
              </w:rPr>
            </w:pPr>
            <w:r w:rsidRPr="00FA3F9C">
              <w:rPr>
                <w:rFonts w:ascii="Arial" w:hAnsi="Arial" w:cs="Arial"/>
                <w:sz w:val="24"/>
                <w:szCs w:val="24"/>
              </w:rPr>
              <w:t>Diagnosis of persistent, recurrent, or metastatic cervical cancer</w:t>
            </w:r>
          </w:p>
        </w:tc>
      </w:tr>
      <w:tr w:rsidR="009B5AA5" w:rsidRPr="00FA3F9C" w14:paraId="7AC84B17" w14:textId="77777777" w:rsidTr="008C1FC3">
        <w:tc>
          <w:tcPr>
            <w:tcW w:w="10368" w:type="dxa"/>
          </w:tcPr>
          <w:p w14:paraId="7A35BE09" w14:textId="77777777" w:rsidR="009B5AA5" w:rsidRPr="00FA3F9C" w:rsidRDefault="009B5AA5" w:rsidP="00FC1E85">
            <w:pPr>
              <w:pStyle w:val="ListParagraph"/>
              <w:numPr>
                <w:ilvl w:val="0"/>
                <w:numId w:val="425"/>
              </w:numPr>
              <w:spacing w:after="0" w:line="276" w:lineRule="auto"/>
              <w:ind w:left="245" w:hanging="245"/>
              <w:rPr>
                <w:rFonts w:ascii="Arial" w:hAnsi="Arial" w:cs="Arial"/>
                <w:sz w:val="24"/>
                <w:szCs w:val="24"/>
              </w:rPr>
            </w:pPr>
            <w:r w:rsidRPr="00FA3F9C">
              <w:rPr>
                <w:rFonts w:ascii="Arial" w:hAnsi="Arial" w:cs="Arial"/>
                <w:sz w:val="24"/>
                <w:szCs w:val="24"/>
              </w:rPr>
              <w:t xml:space="preserve">Tumor expresses PD-L1 (CPS </w:t>
            </w:r>
            <w:r w:rsidRPr="00FA3F9C">
              <w:rPr>
                <w:rFonts w:ascii="Arial" w:hAnsi="Arial" w:cs="Arial"/>
                <w:sz w:val="24"/>
                <w:szCs w:val="24"/>
                <w:u w:val="single"/>
              </w:rPr>
              <w:t>&gt;</w:t>
            </w:r>
            <w:r w:rsidRPr="00FA3F9C">
              <w:rPr>
                <w:rFonts w:ascii="Arial" w:hAnsi="Arial" w:cs="Arial"/>
                <w:sz w:val="24"/>
                <w:szCs w:val="24"/>
              </w:rPr>
              <w:t>1)</w:t>
            </w:r>
          </w:p>
        </w:tc>
      </w:tr>
      <w:tr w:rsidR="009B5AA5" w:rsidRPr="00FA3F9C" w14:paraId="191D3591" w14:textId="77777777" w:rsidTr="008C1FC3">
        <w:tc>
          <w:tcPr>
            <w:tcW w:w="10368" w:type="dxa"/>
          </w:tcPr>
          <w:p w14:paraId="70F599E1" w14:textId="77777777" w:rsidR="009B5AA5" w:rsidRPr="00FA3F9C" w:rsidRDefault="009B5AA5" w:rsidP="00FC1E85">
            <w:pPr>
              <w:pStyle w:val="ListParagraph"/>
              <w:numPr>
                <w:ilvl w:val="0"/>
                <w:numId w:val="425"/>
              </w:numPr>
              <w:spacing w:after="0" w:line="276" w:lineRule="auto"/>
              <w:ind w:left="245" w:hanging="245"/>
              <w:rPr>
                <w:rFonts w:ascii="Arial" w:hAnsi="Arial" w:cs="Arial"/>
                <w:sz w:val="24"/>
                <w:szCs w:val="24"/>
              </w:rPr>
            </w:pPr>
            <w:r w:rsidRPr="00FA3F9C">
              <w:rPr>
                <w:rFonts w:ascii="Arial" w:hAnsi="Arial" w:cs="Arial"/>
                <w:sz w:val="24"/>
                <w:szCs w:val="24"/>
              </w:rPr>
              <w:t>Pembrolizumab will be used in combination with platinum/</w:t>
            </w:r>
            <w:proofErr w:type="spellStart"/>
            <w:r w:rsidRPr="00FA3F9C">
              <w:rPr>
                <w:rFonts w:ascii="Arial" w:hAnsi="Arial" w:cs="Arial"/>
                <w:sz w:val="24"/>
                <w:szCs w:val="24"/>
              </w:rPr>
              <w:t>taxane</w:t>
            </w:r>
            <w:proofErr w:type="spellEnd"/>
            <w:r w:rsidRPr="00FA3F9C">
              <w:rPr>
                <w:rFonts w:ascii="Arial" w:hAnsi="Arial" w:cs="Arial"/>
                <w:sz w:val="24"/>
                <w:szCs w:val="24"/>
              </w:rPr>
              <w:t>-based chemotherapy (with or without bevacizumab)</w:t>
            </w:r>
          </w:p>
        </w:tc>
      </w:tr>
      <w:tr w:rsidR="009B5AA5" w:rsidRPr="00FA3F9C" w14:paraId="66A4B514" w14:textId="77777777" w:rsidTr="008C1FC3">
        <w:tc>
          <w:tcPr>
            <w:tcW w:w="10368" w:type="dxa"/>
          </w:tcPr>
          <w:p w14:paraId="109CB3A7" w14:textId="77777777" w:rsidR="009B5AA5" w:rsidRPr="00FA3F9C" w:rsidRDefault="009B5AA5" w:rsidP="00FC1E85">
            <w:pPr>
              <w:pStyle w:val="ListParagraph"/>
              <w:numPr>
                <w:ilvl w:val="0"/>
                <w:numId w:val="425"/>
              </w:numPr>
              <w:spacing w:after="0" w:line="276" w:lineRule="auto"/>
              <w:ind w:left="245" w:hanging="245"/>
              <w:rPr>
                <w:rFonts w:ascii="Arial" w:hAnsi="Arial" w:cs="Arial"/>
                <w:sz w:val="24"/>
                <w:szCs w:val="24"/>
              </w:rPr>
            </w:pPr>
            <w:r w:rsidRPr="00FA3F9C">
              <w:rPr>
                <w:rFonts w:ascii="Arial" w:hAnsi="Arial" w:cs="Arial"/>
                <w:sz w:val="24"/>
                <w:szCs w:val="24"/>
              </w:rPr>
              <w:t>No prior chemotherapy (except when used in combination with radiation as a radio-sensitizing agent).</w:t>
            </w:r>
          </w:p>
        </w:tc>
      </w:tr>
      <w:tr w:rsidR="009B5AA5" w:rsidRPr="00FA3F9C" w14:paraId="091AEB88" w14:textId="77777777" w:rsidTr="00FE25B6">
        <w:tc>
          <w:tcPr>
            <w:tcW w:w="10368" w:type="dxa"/>
            <w:shd w:val="clear" w:color="auto" w:fill="F2F2F2" w:themeFill="background1" w:themeFillShade="F2"/>
          </w:tcPr>
          <w:p w14:paraId="57C3AEEF" w14:textId="77777777" w:rsidR="009B5AA5" w:rsidRPr="00FA3F9C" w:rsidRDefault="009B5AA5" w:rsidP="008C1FC3">
            <w:pPr>
              <w:spacing w:after="0"/>
              <w:rPr>
                <w:rFonts w:ascii="Arial" w:hAnsi="Arial" w:cs="Arial"/>
                <w:sz w:val="24"/>
                <w:szCs w:val="24"/>
              </w:rPr>
            </w:pPr>
            <w:r w:rsidRPr="00FA3F9C">
              <w:rPr>
                <w:rFonts w:ascii="Arial" w:hAnsi="Arial" w:cs="Arial"/>
                <w:b/>
                <w:sz w:val="24"/>
                <w:szCs w:val="24"/>
              </w:rPr>
              <w:t>If all criteria fulfilled, approve for 12 months</w:t>
            </w:r>
          </w:p>
        </w:tc>
      </w:tr>
      <w:tr w:rsidR="009B5AA5" w:rsidRPr="00FA3F9C" w14:paraId="418011EA" w14:textId="77777777" w:rsidTr="008C1FC3">
        <w:tc>
          <w:tcPr>
            <w:tcW w:w="10368" w:type="dxa"/>
            <w:tcBorders>
              <w:bottom w:val="single" w:sz="4" w:space="0" w:color="auto"/>
            </w:tcBorders>
            <w:shd w:val="clear" w:color="auto" w:fill="BFBFBF" w:themeFill="background1" w:themeFillShade="BF"/>
          </w:tcPr>
          <w:p w14:paraId="68CA78AD" w14:textId="77777777" w:rsidR="009B5AA5" w:rsidRPr="00FA3F9C" w:rsidRDefault="009B5AA5" w:rsidP="008C1FC3">
            <w:pPr>
              <w:spacing w:after="0" w:line="240" w:lineRule="auto"/>
              <w:rPr>
                <w:rFonts w:ascii="Arial" w:hAnsi="Arial" w:cs="Arial"/>
                <w:sz w:val="24"/>
                <w:szCs w:val="24"/>
              </w:rPr>
            </w:pPr>
          </w:p>
          <w:p w14:paraId="3A846E7F" w14:textId="77777777" w:rsidR="009B5AA5" w:rsidRPr="00FA3F9C" w:rsidRDefault="009B5AA5" w:rsidP="008C1FC3">
            <w:pPr>
              <w:spacing w:after="0" w:line="240" w:lineRule="auto"/>
              <w:rPr>
                <w:rFonts w:ascii="Arial" w:hAnsi="Arial" w:cs="Arial"/>
                <w:sz w:val="24"/>
                <w:szCs w:val="24"/>
              </w:rPr>
            </w:pPr>
            <w:r w:rsidRPr="00FA3F9C">
              <w:rPr>
                <w:rFonts w:ascii="Arial" w:hAnsi="Arial" w:cs="Arial"/>
                <w:sz w:val="24"/>
                <w:szCs w:val="24"/>
              </w:rPr>
              <w:t xml:space="preserve">Pembrolizumab + chemotherapy (with or without bevacizumab) improved overall survival compared to chemotherapy (with or without bevacizumab) [HR 0.64; median OS not reached in pembrolizumab group versus 16.3 months). </w:t>
            </w:r>
          </w:p>
          <w:p w14:paraId="058FDC53" w14:textId="77777777" w:rsidR="009B5AA5" w:rsidRPr="00FA3F9C" w:rsidRDefault="009B5AA5" w:rsidP="008C1FC3">
            <w:pPr>
              <w:spacing w:after="0" w:line="240" w:lineRule="auto"/>
              <w:rPr>
                <w:rFonts w:ascii="Arial" w:hAnsi="Arial" w:cs="Arial"/>
                <w:sz w:val="24"/>
                <w:szCs w:val="24"/>
              </w:rPr>
            </w:pPr>
            <w:r w:rsidRPr="00FA3F9C">
              <w:rPr>
                <w:rFonts w:ascii="Arial" w:hAnsi="Arial" w:cs="Arial"/>
                <w:sz w:val="24"/>
                <w:szCs w:val="24"/>
              </w:rPr>
              <w:t xml:space="preserve">  </w:t>
            </w:r>
          </w:p>
          <w:p w14:paraId="7B041BFD" w14:textId="77777777" w:rsidR="009B5AA5" w:rsidRPr="00FA3F9C" w:rsidRDefault="009B5AA5" w:rsidP="008C1FC3">
            <w:pPr>
              <w:pStyle w:val="Heading1"/>
              <w:spacing w:before="0" w:beforeAutospacing="0" w:after="0" w:afterAutospacing="0"/>
              <w:rPr>
                <w:rFonts w:ascii="Arial" w:hAnsi="Arial" w:cs="Arial"/>
                <w:sz w:val="24"/>
                <w:szCs w:val="24"/>
              </w:rPr>
            </w:pPr>
          </w:p>
          <w:p w14:paraId="67B2AFD2" w14:textId="77777777" w:rsidR="009B5AA5" w:rsidRPr="00FA3F9C" w:rsidRDefault="009B5AA5" w:rsidP="00076432">
            <w:pPr>
              <w:rPr>
                <w:b/>
              </w:rPr>
            </w:pPr>
            <w:r w:rsidRPr="00FA3F9C">
              <w:t>REFERENCE</w:t>
            </w:r>
          </w:p>
          <w:p w14:paraId="4D0FEF51" w14:textId="77777777" w:rsidR="009B5AA5" w:rsidRPr="00FA3F9C" w:rsidRDefault="009B5AA5" w:rsidP="00076432">
            <w:pPr>
              <w:rPr>
                <w:b/>
              </w:rPr>
            </w:pPr>
            <w:r w:rsidRPr="00FA3F9C">
              <w:t xml:space="preserve">Colombo N, </w:t>
            </w:r>
            <w:proofErr w:type="spellStart"/>
            <w:r w:rsidRPr="00FA3F9C">
              <w:t>Dubot</w:t>
            </w:r>
            <w:proofErr w:type="spellEnd"/>
            <w:r w:rsidRPr="00FA3F9C">
              <w:t xml:space="preserve"> C, </w:t>
            </w:r>
            <w:proofErr w:type="spellStart"/>
            <w:r w:rsidRPr="00FA3F9C">
              <w:t>Lorusso</w:t>
            </w:r>
            <w:proofErr w:type="spellEnd"/>
            <w:r w:rsidRPr="00FA3F9C">
              <w:t xml:space="preserve"> D, et al. Pembrolizumab for Persistent, Recurrent, or Metastatic Cervical Cancer. N </w:t>
            </w:r>
            <w:proofErr w:type="spellStart"/>
            <w:r w:rsidRPr="00FA3F9C">
              <w:t>Engl</w:t>
            </w:r>
            <w:proofErr w:type="spellEnd"/>
            <w:r w:rsidRPr="00FA3F9C">
              <w:t xml:space="preserve"> J Med. 2021;385(20):1856-1867. doi:10.1056/NEJMoa2112435</w:t>
            </w:r>
          </w:p>
          <w:p w14:paraId="775CE312" w14:textId="77777777" w:rsidR="009B5AA5" w:rsidRPr="00FA3F9C" w:rsidRDefault="009B5AA5" w:rsidP="00FE25B6">
            <w:pPr>
              <w:spacing w:after="0"/>
              <w:rPr>
                <w:rFonts w:ascii="Arial" w:hAnsi="Arial" w:cs="Arial"/>
                <w:sz w:val="24"/>
                <w:szCs w:val="24"/>
              </w:rPr>
            </w:pPr>
          </w:p>
        </w:tc>
      </w:tr>
    </w:tbl>
    <w:p w14:paraId="693C18E5" w14:textId="77777777" w:rsidR="009B5AA5" w:rsidRPr="00FA3F9C" w:rsidRDefault="009B5AA5" w:rsidP="006F623F">
      <w:pPr>
        <w:spacing w:after="0"/>
        <w:rPr>
          <w:rFonts w:ascii="Arial" w:hAnsi="Arial" w:cs="Arial"/>
          <w:sz w:val="24"/>
          <w:szCs w:val="24"/>
        </w:rPr>
      </w:pPr>
    </w:p>
    <w:p w14:paraId="4193EFB2" w14:textId="77777777" w:rsidR="009B5AA5" w:rsidRPr="00FA3F9C" w:rsidRDefault="009B5AA5" w:rsidP="006F623F">
      <w:pPr>
        <w:spacing w:after="0"/>
        <w:rPr>
          <w:rFonts w:ascii="Arial" w:hAnsi="Arial" w:cs="Arial"/>
          <w:sz w:val="24"/>
          <w:szCs w:val="24"/>
        </w:rPr>
      </w:pPr>
    </w:p>
    <w:p w14:paraId="635F45B8" w14:textId="77777777" w:rsidR="009B5AA5" w:rsidRPr="00FA3F9C" w:rsidRDefault="009B5AA5" w:rsidP="006F623F">
      <w:pPr>
        <w:spacing w:after="0"/>
        <w:rPr>
          <w:rFonts w:ascii="Arial" w:hAnsi="Arial" w:cs="Arial"/>
          <w:sz w:val="24"/>
          <w:szCs w:val="24"/>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68"/>
      </w:tblGrid>
      <w:tr w:rsidR="009B5AA5" w:rsidRPr="00FA3F9C" w14:paraId="5467DD06" w14:textId="77777777" w:rsidTr="006B7399">
        <w:tc>
          <w:tcPr>
            <w:tcW w:w="10368" w:type="dxa"/>
            <w:tcBorders>
              <w:bottom w:val="single" w:sz="4" w:space="0" w:color="auto"/>
            </w:tcBorders>
            <w:shd w:val="clear" w:color="auto" w:fill="000000"/>
          </w:tcPr>
          <w:p w14:paraId="59029DAD" w14:textId="77777777" w:rsidR="009B5AA5" w:rsidRPr="00FA3F9C" w:rsidRDefault="009B5AA5" w:rsidP="006B7399">
            <w:pPr>
              <w:spacing w:after="0"/>
              <w:rPr>
                <w:rFonts w:ascii="Arial" w:hAnsi="Arial" w:cs="Arial"/>
                <w:b/>
                <w:sz w:val="24"/>
                <w:szCs w:val="24"/>
                <w:u w:val="single"/>
              </w:rPr>
            </w:pPr>
            <w:r w:rsidRPr="00FA3F9C">
              <w:rPr>
                <w:rFonts w:ascii="Arial" w:hAnsi="Arial" w:cs="Arial"/>
                <w:sz w:val="24"/>
                <w:szCs w:val="24"/>
              </w:rPr>
              <w:br w:type="page"/>
            </w:r>
            <w:r w:rsidRPr="00FA3F9C">
              <w:rPr>
                <w:rFonts w:ascii="Arial" w:hAnsi="Arial" w:cs="Arial"/>
                <w:b/>
                <w:sz w:val="24"/>
                <w:szCs w:val="24"/>
                <w:u w:val="single"/>
              </w:rPr>
              <w:t>Merkel Cell Carcinoma</w:t>
            </w:r>
            <w:bookmarkStart w:id="270" w:name="merkel"/>
            <w:bookmarkEnd w:id="270"/>
          </w:p>
        </w:tc>
      </w:tr>
      <w:tr w:rsidR="009B5AA5" w:rsidRPr="00FA3F9C" w14:paraId="50F12E99" w14:textId="77777777" w:rsidTr="006B7399">
        <w:tc>
          <w:tcPr>
            <w:tcW w:w="10368" w:type="dxa"/>
          </w:tcPr>
          <w:p w14:paraId="2F970D97" w14:textId="77777777" w:rsidR="009B5AA5" w:rsidRPr="00FA3F9C" w:rsidRDefault="009B5AA5" w:rsidP="00FC1E85">
            <w:pPr>
              <w:pStyle w:val="ListParagraph"/>
              <w:numPr>
                <w:ilvl w:val="0"/>
                <w:numId w:val="425"/>
              </w:numPr>
              <w:spacing w:after="0" w:line="276" w:lineRule="auto"/>
              <w:ind w:left="245" w:hanging="270"/>
              <w:rPr>
                <w:rFonts w:ascii="Arial" w:hAnsi="Arial" w:cs="Arial"/>
                <w:sz w:val="24"/>
                <w:szCs w:val="24"/>
              </w:rPr>
            </w:pPr>
            <w:r w:rsidRPr="00FA3F9C">
              <w:rPr>
                <w:rFonts w:ascii="Arial" w:hAnsi="Arial" w:cs="Arial"/>
                <w:sz w:val="24"/>
                <w:szCs w:val="24"/>
              </w:rPr>
              <w:t>Diagnosis of either recurrent OR metastatic Merkel cell carcinoma</w:t>
            </w:r>
          </w:p>
        </w:tc>
      </w:tr>
      <w:tr w:rsidR="009B5AA5" w:rsidRPr="00FA3F9C" w14:paraId="377A6D11" w14:textId="77777777" w:rsidTr="006B7399">
        <w:tc>
          <w:tcPr>
            <w:tcW w:w="10368" w:type="dxa"/>
          </w:tcPr>
          <w:p w14:paraId="4F958E21" w14:textId="77777777" w:rsidR="009B5AA5" w:rsidRPr="00FA3F9C" w:rsidRDefault="009B5AA5" w:rsidP="00FC1E85">
            <w:pPr>
              <w:pStyle w:val="ListParagraph"/>
              <w:numPr>
                <w:ilvl w:val="0"/>
                <w:numId w:val="425"/>
              </w:numPr>
              <w:spacing w:after="0" w:line="276" w:lineRule="auto"/>
              <w:ind w:left="245" w:hanging="245"/>
              <w:rPr>
                <w:rFonts w:ascii="Arial" w:hAnsi="Arial" w:cs="Arial"/>
                <w:sz w:val="24"/>
                <w:szCs w:val="24"/>
              </w:rPr>
            </w:pPr>
            <w:r w:rsidRPr="00FA3F9C">
              <w:rPr>
                <w:rFonts w:ascii="Arial" w:hAnsi="Arial" w:cs="Arial"/>
                <w:sz w:val="24"/>
                <w:szCs w:val="24"/>
              </w:rPr>
              <w:lastRenderedPageBreak/>
              <w:t>Disease is not amenable to definitive surgery or radiation therapy</w:t>
            </w:r>
          </w:p>
        </w:tc>
      </w:tr>
      <w:tr w:rsidR="009B5AA5" w:rsidRPr="00FA3F9C" w14:paraId="7D92EBEC" w14:textId="77777777" w:rsidTr="006B7399">
        <w:tc>
          <w:tcPr>
            <w:tcW w:w="10368" w:type="dxa"/>
          </w:tcPr>
          <w:p w14:paraId="6EB70049" w14:textId="77777777" w:rsidR="009B5AA5" w:rsidRPr="00FA3F9C" w:rsidRDefault="009B5AA5" w:rsidP="00FC1E85">
            <w:pPr>
              <w:pStyle w:val="ListParagraph"/>
              <w:numPr>
                <w:ilvl w:val="0"/>
                <w:numId w:val="425"/>
              </w:numPr>
              <w:spacing w:after="0" w:line="276" w:lineRule="auto"/>
              <w:ind w:left="245" w:hanging="245"/>
              <w:rPr>
                <w:rFonts w:ascii="Arial" w:hAnsi="Arial" w:cs="Arial"/>
                <w:sz w:val="24"/>
                <w:szCs w:val="24"/>
              </w:rPr>
            </w:pPr>
            <w:r w:rsidRPr="00FA3F9C">
              <w:rPr>
                <w:rFonts w:ascii="Arial" w:hAnsi="Arial" w:cs="Arial"/>
                <w:sz w:val="24"/>
                <w:szCs w:val="24"/>
              </w:rPr>
              <w:t>No prior therapy for advanced/recurrent disease</w:t>
            </w:r>
          </w:p>
        </w:tc>
      </w:tr>
      <w:tr w:rsidR="009B5AA5" w:rsidRPr="00FA3F9C" w14:paraId="0F5B8A13" w14:textId="77777777" w:rsidTr="006B7399">
        <w:tc>
          <w:tcPr>
            <w:tcW w:w="10368" w:type="dxa"/>
          </w:tcPr>
          <w:p w14:paraId="0871C33C" w14:textId="77777777" w:rsidR="009B5AA5" w:rsidRPr="00FA3F9C" w:rsidRDefault="009B5AA5" w:rsidP="00FC1E85">
            <w:pPr>
              <w:pStyle w:val="ListParagraph"/>
              <w:numPr>
                <w:ilvl w:val="0"/>
                <w:numId w:val="425"/>
              </w:numPr>
              <w:spacing w:after="0" w:line="276" w:lineRule="auto"/>
              <w:ind w:left="245" w:hanging="245"/>
              <w:rPr>
                <w:rFonts w:ascii="Arial" w:hAnsi="Arial" w:cs="Arial"/>
                <w:sz w:val="24"/>
                <w:szCs w:val="24"/>
              </w:rPr>
            </w:pPr>
            <w:r w:rsidRPr="00FA3F9C">
              <w:rPr>
                <w:rFonts w:ascii="Arial" w:hAnsi="Arial" w:cs="Arial"/>
                <w:sz w:val="24"/>
                <w:szCs w:val="24"/>
              </w:rPr>
              <w:t>Pembrolizumab will be used as single agent</w:t>
            </w:r>
          </w:p>
        </w:tc>
      </w:tr>
      <w:tr w:rsidR="009B5AA5" w:rsidRPr="00FA3F9C" w14:paraId="59222736" w14:textId="77777777" w:rsidTr="006B7399">
        <w:tc>
          <w:tcPr>
            <w:tcW w:w="10368" w:type="dxa"/>
          </w:tcPr>
          <w:p w14:paraId="45CCB3FF" w14:textId="77777777" w:rsidR="009B5AA5" w:rsidRPr="00FA3F9C" w:rsidRDefault="009B5AA5" w:rsidP="006B7399">
            <w:pPr>
              <w:spacing w:after="0"/>
              <w:rPr>
                <w:rFonts w:ascii="Arial" w:hAnsi="Arial" w:cs="Arial"/>
                <w:sz w:val="24"/>
                <w:szCs w:val="24"/>
              </w:rPr>
            </w:pPr>
            <w:r w:rsidRPr="00FA3F9C">
              <w:rPr>
                <w:rFonts w:ascii="Arial" w:hAnsi="Arial" w:cs="Arial"/>
                <w:b/>
                <w:sz w:val="24"/>
                <w:szCs w:val="24"/>
              </w:rPr>
              <w:t>If all criteria fulfilled, approve for 12 months</w:t>
            </w:r>
          </w:p>
        </w:tc>
      </w:tr>
      <w:tr w:rsidR="009B5AA5" w:rsidRPr="00FA3F9C" w14:paraId="58B6EAB3" w14:textId="77777777" w:rsidTr="006B7399">
        <w:tc>
          <w:tcPr>
            <w:tcW w:w="10368" w:type="dxa"/>
            <w:tcBorders>
              <w:bottom w:val="single" w:sz="4" w:space="0" w:color="auto"/>
            </w:tcBorders>
            <w:shd w:val="clear" w:color="auto" w:fill="000000" w:themeFill="text1"/>
          </w:tcPr>
          <w:p w14:paraId="0E4719D6" w14:textId="77777777" w:rsidR="009B5AA5" w:rsidRPr="00FA3F9C" w:rsidRDefault="009B5AA5" w:rsidP="006B7399">
            <w:pPr>
              <w:spacing w:after="0"/>
              <w:rPr>
                <w:rFonts w:ascii="Arial" w:hAnsi="Arial" w:cs="Arial"/>
                <w:sz w:val="24"/>
                <w:szCs w:val="24"/>
              </w:rPr>
            </w:pPr>
            <w:r w:rsidRPr="00FA3F9C">
              <w:rPr>
                <w:rFonts w:ascii="Arial" w:hAnsi="Arial" w:cs="Arial"/>
                <w:b/>
                <w:sz w:val="24"/>
                <w:szCs w:val="24"/>
                <w:u w:val="single"/>
              </w:rPr>
              <w:t>Criteria for continuation</w:t>
            </w:r>
          </w:p>
        </w:tc>
      </w:tr>
      <w:tr w:rsidR="009B5AA5" w:rsidRPr="00FA3F9C" w14:paraId="28CC3ACA" w14:textId="77777777" w:rsidTr="006B7399">
        <w:tc>
          <w:tcPr>
            <w:tcW w:w="10368" w:type="dxa"/>
          </w:tcPr>
          <w:p w14:paraId="7C56CB8F" w14:textId="77777777" w:rsidR="009B5AA5" w:rsidRPr="00FA3F9C" w:rsidRDefault="009B5AA5" w:rsidP="006B7399">
            <w:pPr>
              <w:spacing w:after="0"/>
              <w:rPr>
                <w:rFonts w:ascii="Arial" w:hAnsi="Arial" w:cs="Arial"/>
                <w:sz w:val="24"/>
                <w:szCs w:val="24"/>
              </w:rPr>
            </w:pPr>
            <w:r w:rsidRPr="00FA3F9C">
              <w:rPr>
                <w:rFonts w:ascii="Arial" w:hAnsi="Arial" w:cs="Arial"/>
                <w:sz w:val="24"/>
                <w:szCs w:val="24"/>
              </w:rPr>
              <w:t>No disease progression</w:t>
            </w:r>
          </w:p>
        </w:tc>
      </w:tr>
      <w:tr w:rsidR="009B5AA5" w:rsidRPr="00FA3F9C" w14:paraId="74A4F377" w14:textId="77777777" w:rsidTr="006B7399">
        <w:tc>
          <w:tcPr>
            <w:tcW w:w="10368" w:type="dxa"/>
          </w:tcPr>
          <w:p w14:paraId="3DF82B61" w14:textId="77777777" w:rsidR="009B5AA5" w:rsidRPr="00FA3F9C" w:rsidRDefault="009B5AA5" w:rsidP="006B7399">
            <w:pPr>
              <w:spacing w:after="0"/>
              <w:rPr>
                <w:rFonts w:ascii="Arial" w:hAnsi="Arial" w:cs="Arial"/>
                <w:sz w:val="24"/>
                <w:szCs w:val="24"/>
              </w:rPr>
            </w:pPr>
            <w:r w:rsidRPr="00FA3F9C">
              <w:rPr>
                <w:rFonts w:ascii="Arial" w:hAnsi="Arial" w:cs="Arial"/>
                <w:sz w:val="24"/>
                <w:szCs w:val="24"/>
              </w:rPr>
              <w:t>No unacceptable toxicity</w:t>
            </w:r>
          </w:p>
        </w:tc>
      </w:tr>
      <w:tr w:rsidR="009B5AA5" w:rsidRPr="00FA3F9C" w14:paraId="2F3549F9" w14:textId="77777777" w:rsidTr="006B7399">
        <w:tc>
          <w:tcPr>
            <w:tcW w:w="10368" w:type="dxa"/>
          </w:tcPr>
          <w:p w14:paraId="771D0427" w14:textId="77777777" w:rsidR="009B5AA5" w:rsidRPr="00FA3F9C" w:rsidRDefault="009B5AA5" w:rsidP="006B7399">
            <w:pPr>
              <w:spacing w:after="0"/>
              <w:rPr>
                <w:rFonts w:ascii="Arial" w:hAnsi="Arial" w:cs="Arial"/>
                <w:sz w:val="24"/>
                <w:szCs w:val="24"/>
              </w:rPr>
            </w:pPr>
            <w:r w:rsidRPr="00FA3F9C">
              <w:rPr>
                <w:rFonts w:ascii="Arial" w:hAnsi="Arial" w:cs="Arial"/>
                <w:b/>
                <w:sz w:val="24"/>
                <w:szCs w:val="24"/>
              </w:rPr>
              <w:t xml:space="preserve">If </w:t>
            </w:r>
            <w:proofErr w:type="gramStart"/>
            <w:r w:rsidRPr="00FA3F9C">
              <w:rPr>
                <w:rFonts w:ascii="Arial" w:hAnsi="Arial" w:cs="Arial"/>
                <w:b/>
                <w:sz w:val="24"/>
                <w:szCs w:val="24"/>
              </w:rPr>
              <w:t>both of the continuation</w:t>
            </w:r>
            <w:proofErr w:type="gramEnd"/>
            <w:r w:rsidRPr="00FA3F9C">
              <w:rPr>
                <w:rFonts w:ascii="Arial" w:hAnsi="Arial" w:cs="Arial"/>
                <w:b/>
                <w:sz w:val="24"/>
                <w:szCs w:val="24"/>
              </w:rPr>
              <w:t xml:space="preserve"> criteria are fulfilled, approve for 12 months. </w:t>
            </w:r>
          </w:p>
        </w:tc>
      </w:tr>
      <w:tr w:rsidR="009B5AA5" w:rsidRPr="00FA3F9C" w14:paraId="0762EF9B" w14:textId="77777777" w:rsidTr="006B7399">
        <w:tc>
          <w:tcPr>
            <w:tcW w:w="10368" w:type="dxa"/>
            <w:tcBorders>
              <w:bottom w:val="single" w:sz="4" w:space="0" w:color="auto"/>
            </w:tcBorders>
            <w:shd w:val="clear" w:color="auto" w:fill="BFBFBF" w:themeFill="background1" w:themeFillShade="BF"/>
          </w:tcPr>
          <w:p w14:paraId="2A63AE66" w14:textId="77777777" w:rsidR="009B5AA5" w:rsidRPr="00FA3F9C" w:rsidRDefault="009B5AA5" w:rsidP="006B7399">
            <w:pPr>
              <w:spacing w:after="0" w:line="240" w:lineRule="auto"/>
              <w:rPr>
                <w:rFonts w:ascii="Arial" w:hAnsi="Arial" w:cs="Arial"/>
                <w:sz w:val="24"/>
                <w:szCs w:val="24"/>
              </w:rPr>
            </w:pPr>
            <w:r w:rsidRPr="00FA3F9C">
              <w:rPr>
                <w:rFonts w:ascii="Arial" w:hAnsi="Arial" w:cs="Arial"/>
                <w:sz w:val="24"/>
                <w:szCs w:val="24"/>
              </w:rPr>
              <w:t xml:space="preserve">Note:  </w:t>
            </w:r>
          </w:p>
          <w:p w14:paraId="4D2649D5" w14:textId="77777777" w:rsidR="009B5AA5" w:rsidRPr="00FA3F9C" w:rsidRDefault="009B5AA5" w:rsidP="006B7399">
            <w:pPr>
              <w:spacing w:after="0" w:line="240" w:lineRule="auto"/>
              <w:rPr>
                <w:rFonts w:ascii="Arial" w:hAnsi="Arial" w:cs="Arial"/>
                <w:sz w:val="24"/>
                <w:szCs w:val="24"/>
              </w:rPr>
            </w:pPr>
          </w:p>
          <w:p w14:paraId="50EB54DB" w14:textId="77777777" w:rsidR="009B5AA5" w:rsidRPr="00FA3F9C" w:rsidRDefault="009B5AA5" w:rsidP="006B7399">
            <w:pPr>
              <w:spacing w:after="0" w:line="240" w:lineRule="auto"/>
              <w:rPr>
                <w:rFonts w:ascii="Arial" w:hAnsi="Arial" w:cs="Arial"/>
                <w:sz w:val="24"/>
                <w:szCs w:val="24"/>
              </w:rPr>
            </w:pPr>
            <w:r w:rsidRPr="00FA3F9C">
              <w:rPr>
                <w:rFonts w:ascii="Arial" w:hAnsi="Arial" w:cs="Arial"/>
                <w:sz w:val="24"/>
                <w:szCs w:val="24"/>
              </w:rPr>
              <w:t>Pembrolizumab is continued until disease progression or unacceptable toxicity</w:t>
            </w:r>
          </w:p>
          <w:p w14:paraId="6F2345A6" w14:textId="77777777" w:rsidR="009B5AA5" w:rsidRPr="00FA3F9C" w:rsidRDefault="009B5AA5" w:rsidP="006B7399">
            <w:pPr>
              <w:spacing w:after="0" w:line="240" w:lineRule="auto"/>
              <w:rPr>
                <w:rFonts w:ascii="Arial" w:hAnsi="Arial" w:cs="Arial"/>
                <w:sz w:val="24"/>
                <w:szCs w:val="24"/>
              </w:rPr>
            </w:pPr>
          </w:p>
          <w:p w14:paraId="3733E751" w14:textId="77777777" w:rsidR="009B5AA5" w:rsidRPr="00FA3F9C" w:rsidRDefault="009B5AA5" w:rsidP="006B7399">
            <w:pPr>
              <w:spacing w:after="0" w:line="240" w:lineRule="auto"/>
              <w:rPr>
                <w:rFonts w:ascii="Arial" w:hAnsi="Arial" w:cs="Arial"/>
                <w:sz w:val="24"/>
                <w:szCs w:val="24"/>
              </w:rPr>
            </w:pPr>
            <w:r w:rsidRPr="00FA3F9C">
              <w:rPr>
                <w:rFonts w:ascii="Arial" w:hAnsi="Arial" w:cs="Arial"/>
                <w:sz w:val="24"/>
                <w:szCs w:val="24"/>
              </w:rPr>
              <w:t>Evidence:</w:t>
            </w:r>
          </w:p>
          <w:p w14:paraId="5D3DEB8F" w14:textId="77777777" w:rsidR="009B5AA5" w:rsidRPr="00FA3F9C" w:rsidRDefault="009B5AA5" w:rsidP="006B7399">
            <w:pPr>
              <w:spacing w:after="0" w:line="240" w:lineRule="auto"/>
              <w:rPr>
                <w:rFonts w:ascii="Arial" w:hAnsi="Arial" w:cs="Arial"/>
                <w:sz w:val="24"/>
                <w:szCs w:val="24"/>
              </w:rPr>
            </w:pPr>
            <w:r w:rsidRPr="00FA3F9C">
              <w:rPr>
                <w:rFonts w:ascii="Arial" w:hAnsi="Arial" w:cs="Arial"/>
                <w:sz w:val="24"/>
                <w:szCs w:val="24"/>
              </w:rPr>
              <w:t xml:space="preserve">Pembrolizumab was studied in a Phase II single arm trial  (n=50) in patients with either distant metastatic disease or recurrent locoregional disease not amenable to definitive surgery or radiation therapy. No prior systemic treatment for unresectable/advanced disease was allowed. The overall response rate was 56% with a 24% complete response rate. Due to rarity of disease, an analysis was done to compare the phase II data with historical controls, which found an improved overall survival with pembrolizumab compared with chemotherapy. </w:t>
            </w:r>
          </w:p>
          <w:p w14:paraId="2B82C4B0" w14:textId="77777777" w:rsidR="009B5AA5" w:rsidRPr="00FA3F9C" w:rsidRDefault="009B5AA5" w:rsidP="006B7399">
            <w:pPr>
              <w:spacing w:after="0" w:line="240" w:lineRule="auto"/>
              <w:rPr>
                <w:rFonts w:ascii="Arial" w:hAnsi="Arial" w:cs="Arial"/>
                <w:sz w:val="24"/>
                <w:szCs w:val="24"/>
              </w:rPr>
            </w:pPr>
          </w:p>
          <w:p w14:paraId="52C05174" w14:textId="77777777" w:rsidR="009B5AA5" w:rsidRPr="00FA3F9C" w:rsidRDefault="009B5AA5" w:rsidP="006B7399">
            <w:pPr>
              <w:spacing w:after="0" w:line="240" w:lineRule="auto"/>
              <w:rPr>
                <w:rFonts w:ascii="Arial" w:hAnsi="Arial" w:cs="Arial"/>
                <w:sz w:val="24"/>
                <w:szCs w:val="24"/>
              </w:rPr>
            </w:pPr>
            <w:r w:rsidRPr="00FA3F9C">
              <w:rPr>
                <w:rFonts w:ascii="Arial" w:hAnsi="Arial" w:cs="Arial"/>
                <w:noProof/>
                <w:sz w:val="24"/>
                <w:szCs w:val="24"/>
              </w:rPr>
              <w:drawing>
                <wp:inline distT="0" distB="0" distL="0" distR="0" wp14:anchorId="4BF96484" wp14:editId="3991E861">
                  <wp:extent cx="4856405" cy="1940169"/>
                  <wp:effectExtent l="0" t="0" r="1905"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4932854" cy="1970711"/>
                          </a:xfrm>
                          <a:prstGeom prst="rect">
                            <a:avLst/>
                          </a:prstGeom>
                          <a:noFill/>
                          <a:ln>
                            <a:noFill/>
                          </a:ln>
                        </pic:spPr>
                      </pic:pic>
                    </a:graphicData>
                  </a:graphic>
                </wp:inline>
              </w:drawing>
            </w:r>
            <w:r w:rsidRPr="00FA3F9C">
              <w:rPr>
                <w:rFonts w:ascii="Arial" w:hAnsi="Arial" w:cs="Arial"/>
                <w:sz w:val="24"/>
                <w:szCs w:val="24"/>
              </w:rPr>
              <w:t xml:space="preserve">  </w:t>
            </w:r>
          </w:p>
          <w:p w14:paraId="3701ADDA" w14:textId="77777777" w:rsidR="009B5AA5" w:rsidRPr="00FA3F9C" w:rsidRDefault="009B5AA5" w:rsidP="006B7399">
            <w:pPr>
              <w:pStyle w:val="Heading1"/>
              <w:spacing w:before="0" w:beforeAutospacing="0" w:after="0" w:afterAutospacing="0"/>
              <w:rPr>
                <w:rFonts w:ascii="Arial" w:hAnsi="Arial" w:cs="Arial"/>
                <w:sz w:val="24"/>
                <w:szCs w:val="24"/>
              </w:rPr>
            </w:pPr>
          </w:p>
          <w:p w14:paraId="56774E73" w14:textId="77777777" w:rsidR="009B5AA5" w:rsidRPr="00FA3F9C" w:rsidRDefault="009B5AA5" w:rsidP="00076432">
            <w:pPr>
              <w:rPr>
                <w:b/>
              </w:rPr>
            </w:pPr>
            <w:r w:rsidRPr="00FA3F9C">
              <w:lastRenderedPageBreak/>
              <w:t>REFERENCE</w:t>
            </w:r>
          </w:p>
          <w:p w14:paraId="3A096BD8" w14:textId="77777777" w:rsidR="009B5AA5" w:rsidRPr="00FA3F9C" w:rsidRDefault="009B5AA5" w:rsidP="00076432">
            <w:r w:rsidRPr="00FA3F9C">
              <w:t xml:space="preserve">Nghiem P et al. Durable Tumor Regression and Overall Survival in Patients </w:t>
            </w:r>
            <w:proofErr w:type="gramStart"/>
            <w:r w:rsidRPr="00FA3F9C">
              <w:t>With</w:t>
            </w:r>
            <w:proofErr w:type="gramEnd"/>
            <w:r w:rsidRPr="00FA3F9C">
              <w:t xml:space="preserve"> Advanced Merkel Cell Carcinoma Receiving Pembrolizumab as First-Line Therapy. J Clin Oncol. 2019 Mar 20;37(9):693-702. PMID 30726175 </w:t>
            </w:r>
          </w:p>
          <w:p w14:paraId="167AFDAF" w14:textId="77777777" w:rsidR="009B5AA5" w:rsidRPr="00FA3F9C" w:rsidRDefault="009B5AA5" w:rsidP="006B7399">
            <w:pPr>
              <w:pStyle w:val="Heading1"/>
              <w:spacing w:before="0" w:beforeAutospacing="0" w:after="0" w:afterAutospacing="0"/>
              <w:rPr>
                <w:rFonts w:ascii="Arial" w:hAnsi="Arial" w:cs="Arial"/>
                <w:sz w:val="24"/>
                <w:szCs w:val="24"/>
              </w:rPr>
            </w:pPr>
          </w:p>
        </w:tc>
      </w:tr>
    </w:tbl>
    <w:p w14:paraId="798EB64B" w14:textId="77777777" w:rsidR="009B5AA5" w:rsidRPr="00FA3F9C" w:rsidRDefault="009B5AA5" w:rsidP="006F623F">
      <w:pPr>
        <w:spacing w:after="0"/>
        <w:rPr>
          <w:rFonts w:ascii="Arial" w:hAnsi="Arial" w:cs="Arial"/>
          <w:sz w:val="24"/>
          <w:szCs w:val="24"/>
        </w:rPr>
      </w:pPr>
    </w:p>
    <w:p w14:paraId="72F442CB" w14:textId="77777777" w:rsidR="009B5AA5" w:rsidRPr="00FA3F9C" w:rsidRDefault="009B5AA5" w:rsidP="006F623F">
      <w:pPr>
        <w:spacing w:after="0"/>
        <w:rPr>
          <w:rFonts w:ascii="Arial" w:hAnsi="Arial" w:cs="Arial"/>
          <w:b/>
          <w:sz w:val="24"/>
          <w:szCs w:val="24"/>
          <w:u w:val="single"/>
        </w:rPr>
      </w:pPr>
    </w:p>
    <w:p w14:paraId="1FB36726" w14:textId="77777777" w:rsidR="009B5AA5" w:rsidRPr="00FA3F9C" w:rsidRDefault="009B5AA5" w:rsidP="006F623F">
      <w:pPr>
        <w:spacing w:after="0"/>
        <w:rPr>
          <w:rFonts w:ascii="Arial" w:hAnsi="Arial" w:cs="Arial"/>
          <w:b/>
          <w:sz w:val="24"/>
          <w:szCs w:val="24"/>
          <w:u w:val="single"/>
        </w:rPr>
      </w:pPr>
    </w:p>
    <w:p w14:paraId="4088EAF5" w14:textId="77777777" w:rsidR="009B5AA5" w:rsidRPr="00FA3F9C" w:rsidRDefault="009B5AA5" w:rsidP="006F623F">
      <w:pPr>
        <w:spacing w:after="0"/>
        <w:rPr>
          <w:rFonts w:ascii="Arial" w:hAnsi="Arial" w:cs="Arial"/>
          <w:b/>
          <w:sz w:val="24"/>
          <w:szCs w:val="24"/>
          <w:u w:val="single"/>
        </w:rPr>
      </w:pPr>
    </w:p>
    <w:p w14:paraId="5FAA7DC9" w14:textId="77777777" w:rsidR="009B5AA5" w:rsidRPr="00FA3F9C" w:rsidRDefault="009B5AA5" w:rsidP="006F623F">
      <w:pPr>
        <w:spacing w:after="0"/>
        <w:rPr>
          <w:rFonts w:ascii="Arial" w:hAnsi="Arial" w:cs="Arial"/>
          <w:sz w:val="24"/>
          <w:szCs w:val="24"/>
        </w:rPr>
      </w:pPr>
      <w:r w:rsidRPr="00FA3F9C">
        <w:rPr>
          <w:rFonts w:ascii="Arial" w:hAnsi="Arial" w:cs="Arial"/>
          <w:sz w:val="24"/>
          <w:szCs w:val="24"/>
        </w:rPr>
        <w:t>Revision History:</w:t>
      </w: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7900"/>
        <w:gridCol w:w="1590"/>
      </w:tblGrid>
      <w:tr w:rsidR="009B5AA5" w:rsidRPr="00FA3F9C" w14:paraId="1C1EB25B" w14:textId="77777777" w:rsidTr="00614038">
        <w:trPr>
          <w:trHeight w:val="575"/>
        </w:trPr>
        <w:tc>
          <w:tcPr>
            <w:tcW w:w="1120" w:type="dxa"/>
            <w:tcBorders>
              <w:top w:val="single" w:sz="4" w:space="0" w:color="auto"/>
              <w:left w:val="single" w:sz="4" w:space="0" w:color="auto"/>
              <w:bottom w:val="single" w:sz="4" w:space="0" w:color="auto"/>
              <w:right w:val="single" w:sz="4" w:space="0" w:color="auto"/>
            </w:tcBorders>
            <w:hideMark/>
          </w:tcPr>
          <w:p w14:paraId="2AA87E7C" w14:textId="77777777" w:rsidR="009B5AA5" w:rsidRPr="00FA3F9C" w:rsidRDefault="009B5AA5" w:rsidP="00920569">
            <w:pPr>
              <w:rPr>
                <w:rFonts w:ascii="Arial" w:hAnsi="Arial" w:cs="Arial"/>
                <w:sz w:val="24"/>
                <w:szCs w:val="24"/>
              </w:rPr>
            </w:pPr>
            <w:r w:rsidRPr="00FA3F9C">
              <w:rPr>
                <w:rFonts w:ascii="Arial" w:hAnsi="Arial" w:cs="Arial"/>
                <w:sz w:val="24"/>
                <w:szCs w:val="24"/>
              </w:rPr>
              <w:t>Date</w:t>
            </w:r>
          </w:p>
        </w:tc>
        <w:tc>
          <w:tcPr>
            <w:tcW w:w="8465" w:type="dxa"/>
            <w:tcBorders>
              <w:top w:val="single" w:sz="4" w:space="0" w:color="auto"/>
              <w:left w:val="single" w:sz="4" w:space="0" w:color="auto"/>
              <w:bottom w:val="single" w:sz="4" w:space="0" w:color="auto"/>
              <w:right w:val="single" w:sz="4" w:space="0" w:color="auto"/>
            </w:tcBorders>
            <w:hideMark/>
          </w:tcPr>
          <w:p w14:paraId="1D091532" w14:textId="77777777" w:rsidR="009B5AA5" w:rsidRPr="00FA3F9C" w:rsidRDefault="009B5AA5" w:rsidP="00920569">
            <w:pPr>
              <w:rPr>
                <w:rFonts w:ascii="Arial" w:hAnsi="Arial" w:cs="Arial"/>
                <w:sz w:val="24"/>
                <w:szCs w:val="24"/>
              </w:rPr>
            </w:pPr>
            <w:r w:rsidRPr="00FA3F9C">
              <w:rPr>
                <w:rFonts w:ascii="Arial" w:hAnsi="Arial" w:cs="Arial"/>
                <w:sz w:val="24"/>
                <w:szCs w:val="24"/>
              </w:rPr>
              <w:t>What changed?</w:t>
            </w:r>
          </w:p>
        </w:tc>
        <w:tc>
          <w:tcPr>
            <w:tcW w:w="1323" w:type="dxa"/>
            <w:tcBorders>
              <w:top w:val="single" w:sz="4" w:space="0" w:color="auto"/>
              <w:left w:val="single" w:sz="4" w:space="0" w:color="auto"/>
              <w:bottom w:val="single" w:sz="4" w:space="0" w:color="auto"/>
              <w:right w:val="single" w:sz="4" w:space="0" w:color="auto"/>
            </w:tcBorders>
            <w:hideMark/>
          </w:tcPr>
          <w:p w14:paraId="007ED0D9" w14:textId="77777777" w:rsidR="009B5AA5" w:rsidRPr="00FA3F9C" w:rsidRDefault="009B5AA5" w:rsidP="00920569">
            <w:pPr>
              <w:rPr>
                <w:rFonts w:ascii="Arial" w:hAnsi="Arial" w:cs="Arial"/>
                <w:sz w:val="24"/>
                <w:szCs w:val="24"/>
              </w:rPr>
            </w:pPr>
            <w:r w:rsidRPr="00FA3F9C">
              <w:rPr>
                <w:rFonts w:ascii="Arial" w:hAnsi="Arial" w:cs="Arial"/>
                <w:sz w:val="24"/>
                <w:szCs w:val="24"/>
              </w:rPr>
              <w:t>Pharmacist’s initials</w:t>
            </w:r>
          </w:p>
        </w:tc>
      </w:tr>
      <w:tr w:rsidR="009B5AA5" w:rsidRPr="00FA3F9C" w14:paraId="1A8E2F83" w14:textId="77777777" w:rsidTr="00614038">
        <w:tc>
          <w:tcPr>
            <w:tcW w:w="1120" w:type="dxa"/>
            <w:tcBorders>
              <w:top w:val="single" w:sz="4" w:space="0" w:color="auto"/>
              <w:left w:val="single" w:sz="4" w:space="0" w:color="auto"/>
              <w:bottom w:val="single" w:sz="4" w:space="0" w:color="auto"/>
              <w:right w:val="single" w:sz="4" w:space="0" w:color="auto"/>
            </w:tcBorders>
          </w:tcPr>
          <w:p w14:paraId="60AD1643" w14:textId="77777777" w:rsidR="009B5AA5" w:rsidRPr="00FA3F9C" w:rsidRDefault="009B5AA5" w:rsidP="00920569">
            <w:pPr>
              <w:rPr>
                <w:rFonts w:ascii="Arial" w:hAnsi="Arial" w:cs="Arial"/>
                <w:sz w:val="24"/>
                <w:szCs w:val="24"/>
              </w:rPr>
            </w:pPr>
            <w:r w:rsidRPr="00FA3F9C">
              <w:rPr>
                <w:rFonts w:ascii="Arial" w:hAnsi="Arial" w:cs="Arial"/>
                <w:sz w:val="24"/>
                <w:szCs w:val="24"/>
              </w:rPr>
              <w:t>1/27/2016</w:t>
            </w:r>
          </w:p>
        </w:tc>
        <w:tc>
          <w:tcPr>
            <w:tcW w:w="8465" w:type="dxa"/>
            <w:tcBorders>
              <w:top w:val="single" w:sz="4" w:space="0" w:color="auto"/>
              <w:left w:val="single" w:sz="4" w:space="0" w:color="auto"/>
              <w:bottom w:val="single" w:sz="4" w:space="0" w:color="auto"/>
              <w:right w:val="single" w:sz="4" w:space="0" w:color="auto"/>
            </w:tcBorders>
          </w:tcPr>
          <w:p w14:paraId="6B3BFF70" w14:textId="77777777" w:rsidR="009B5AA5" w:rsidRPr="00FA3F9C" w:rsidRDefault="009B5AA5" w:rsidP="00920569">
            <w:pPr>
              <w:rPr>
                <w:rFonts w:ascii="Arial" w:hAnsi="Arial" w:cs="Arial"/>
                <w:sz w:val="24"/>
                <w:szCs w:val="24"/>
              </w:rPr>
            </w:pPr>
            <w:r w:rsidRPr="00FA3F9C">
              <w:rPr>
                <w:rFonts w:ascii="Arial" w:hAnsi="Arial" w:cs="Arial"/>
                <w:sz w:val="24"/>
                <w:szCs w:val="24"/>
              </w:rPr>
              <w:t>I wrote the criteria with AM’s help.</w:t>
            </w:r>
          </w:p>
        </w:tc>
        <w:tc>
          <w:tcPr>
            <w:tcW w:w="1323" w:type="dxa"/>
            <w:tcBorders>
              <w:top w:val="single" w:sz="4" w:space="0" w:color="auto"/>
              <w:left w:val="single" w:sz="4" w:space="0" w:color="auto"/>
              <w:bottom w:val="single" w:sz="4" w:space="0" w:color="auto"/>
              <w:right w:val="single" w:sz="4" w:space="0" w:color="auto"/>
            </w:tcBorders>
          </w:tcPr>
          <w:p w14:paraId="77C34DD7" w14:textId="77777777" w:rsidR="009B5AA5" w:rsidRPr="00FA3F9C" w:rsidRDefault="009B5AA5" w:rsidP="00920569">
            <w:pPr>
              <w:rPr>
                <w:rFonts w:ascii="Arial" w:hAnsi="Arial" w:cs="Arial"/>
                <w:sz w:val="24"/>
                <w:szCs w:val="24"/>
              </w:rPr>
            </w:pPr>
            <w:r w:rsidRPr="00FA3F9C">
              <w:rPr>
                <w:rFonts w:ascii="Arial" w:hAnsi="Arial" w:cs="Arial"/>
                <w:sz w:val="24"/>
                <w:szCs w:val="24"/>
              </w:rPr>
              <w:t>JJ, AM</w:t>
            </w:r>
          </w:p>
        </w:tc>
      </w:tr>
      <w:tr w:rsidR="009B5AA5" w:rsidRPr="00FA3F9C" w14:paraId="21D9788B" w14:textId="77777777" w:rsidTr="00614038">
        <w:tc>
          <w:tcPr>
            <w:tcW w:w="1120" w:type="dxa"/>
            <w:tcBorders>
              <w:top w:val="single" w:sz="4" w:space="0" w:color="auto"/>
              <w:left w:val="single" w:sz="4" w:space="0" w:color="auto"/>
              <w:bottom w:val="single" w:sz="4" w:space="0" w:color="auto"/>
              <w:right w:val="single" w:sz="4" w:space="0" w:color="auto"/>
            </w:tcBorders>
          </w:tcPr>
          <w:p w14:paraId="5BC1788C" w14:textId="77777777" w:rsidR="009B5AA5" w:rsidRPr="00FA3F9C" w:rsidRDefault="009B5AA5" w:rsidP="00920569">
            <w:pPr>
              <w:rPr>
                <w:rFonts w:ascii="Arial" w:hAnsi="Arial" w:cs="Arial"/>
                <w:sz w:val="24"/>
                <w:szCs w:val="24"/>
              </w:rPr>
            </w:pPr>
            <w:r w:rsidRPr="00FA3F9C">
              <w:rPr>
                <w:rFonts w:ascii="Arial" w:hAnsi="Arial" w:cs="Arial"/>
                <w:sz w:val="24"/>
                <w:szCs w:val="24"/>
              </w:rPr>
              <w:t>6/10/2016</w:t>
            </w:r>
          </w:p>
        </w:tc>
        <w:tc>
          <w:tcPr>
            <w:tcW w:w="8465" w:type="dxa"/>
            <w:tcBorders>
              <w:top w:val="single" w:sz="4" w:space="0" w:color="auto"/>
              <w:left w:val="single" w:sz="4" w:space="0" w:color="auto"/>
              <w:bottom w:val="single" w:sz="4" w:space="0" w:color="auto"/>
              <w:right w:val="single" w:sz="4" w:space="0" w:color="auto"/>
            </w:tcBorders>
          </w:tcPr>
          <w:p w14:paraId="283A8966" w14:textId="77777777" w:rsidR="009B5AA5" w:rsidRPr="00FA3F9C" w:rsidRDefault="009B5AA5" w:rsidP="00920569">
            <w:pPr>
              <w:rPr>
                <w:rFonts w:ascii="Arial" w:hAnsi="Arial" w:cs="Arial"/>
                <w:sz w:val="24"/>
                <w:szCs w:val="24"/>
              </w:rPr>
            </w:pPr>
            <w:r w:rsidRPr="00FA3F9C">
              <w:rPr>
                <w:rFonts w:ascii="Arial" w:hAnsi="Arial" w:cs="Arial"/>
                <w:sz w:val="24"/>
                <w:szCs w:val="24"/>
              </w:rPr>
              <w:t xml:space="preserve">Keynote-010 subgroup results confirm that </w:t>
            </w:r>
            <w:proofErr w:type="spellStart"/>
            <w:r w:rsidRPr="00FA3F9C">
              <w:rPr>
                <w:rFonts w:ascii="Arial" w:hAnsi="Arial" w:cs="Arial"/>
                <w:sz w:val="24"/>
                <w:szCs w:val="24"/>
              </w:rPr>
              <w:t>pembro</w:t>
            </w:r>
            <w:proofErr w:type="spellEnd"/>
            <w:r w:rsidRPr="00FA3F9C">
              <w:rPr>
                <w:rFonts w:ascii="Arial" w:hAnsi="Arial" w:cs="Arial"/>
                <w:sz w:val="24"/>
                <w:szCs w:val="24"/>
              </w:rPr>
              <w:t xml:space="preserve"> 2mg/kg dose in NSCLC (Non squamous (adenocarcinoma)) patients with 1-49% PD-L1 expression has not shown statistically significant OS benefit vs docetaxel.  10mg/kg did show an OS benefit of 2.2m but is not the marketed dose. (</w:t>
            </w:r>
            <w:proofErr w:type="gramStart"/>
            <w:r w:rsidRPr="00FA3F9C">
              <w:rPr>
                <w:rFonts w:ascii="Arial" w:hAnsi="Arial" w:cs="Arial"/>
                <w:sz w:val="24"/>
                <w:szCs w:val="24"/>
              </w:rPr>
              <w:t>per</w:t>
            </w:r>
            <w:proofErr w:type="gramEnd"/>
            <w:r w:rsidRPr="00FA3F9C">
              <w:rPr>
                <w:rFonts w:ascii="Arial" w:hAnsi="Arial" w:cs="Arial"/>
                <w:sz w:val="24"/>
                <w:szCs w:val="24"/>
              </w:rPr>
              <w:t xml:space="preserve"> ASCO 2016 Annual Meeting Abstract 9024; </w:t>
            </w:r>
            <w:hyperlink r:id="rId343" w:history="1">
              <w:r w:rsidRPr="00FA3F9C">
                <w:rPr>
                  <w:rStyle w:val="Hyperlink"/>
                  <w:rFonts w:ascii="Arial" w:hAnsi="Arial" w:cs="Arial"/>
                  <w:sz w:val="24"/>
                  <w:szCs w:val="24"/>
                </w:rPr>
                <w:t>http://abstracts.asco.org/176/AbstView_176_170351.html</w:t>
              </w:r>
            </w:hyperlink>
            <w:r w:rsidRPr="00FA3F9C">
              <w:rPr>
                <w:rFonts w:ascii="Arial" w:hAnsi="Arial" w:cs="Arial"/>
                <w:sz w:val="24"/>
                <w:szCs w:val="24"/>
              </w:rPr>
              <w:t>)</w:t>
            </w:r>
          </w:p>
        </w:tc>
        <w:tc>
          <w:tcPr>
            <w:tcW w:w="1323" w:type="dxa"/>
            <w:tcBorders>
              <w:top w:val="single" w:sz="4" w:space="0" w:color="auto"/>
              <w:left w:val="single" w:sz="4" w:space="0" w:color="auto"/>
              <w:bottom w:val="single" w:sz="4" w:space="0" w:color="auto"/>
              <w:right w:val="single" w:sz="4" w:space="0" w:color="auto"/>
            </w:tcBorders>
          </w:tcPr>
          <w:p w14:paraId="68B5CF2A" w14:textId="77777777" w:rsidR="009B5AA5" w:rsidRPr="00FA3F9C" w:rsidRDefault="009B5AA5" w:rsidP="00920569">
            <w:pPr>
              <w:rPr>
                <w:rFonts w:ascii="Arial" w:hAnsi="Arial" w:cs="Arial"/>
                <w:sz w:val="24"/>
                <w:szCs w:val="24"/>
              </w:rPr>
            </w:pPr>
            <w:r w:rsidRPr="00FA3F9C">
              <w:rPr>
                <w:rFonts w:ascii="Arial" w:hAnsi="Arial" w:cs="Arial"/>
                <w:sz w:val="24"/>
                <w:szCs w:val="24"/>
              </w:rPr>
              <w:t>JJ</w:t>
            </w:r>
          </w:p>
        </w:tc>
      </w:tr>
      <w:tr w:rsidR="009B5AA5" w:rsidRPr="00FA3F9C" w14:paraId="52E390E2" w14:textId="77777777" w:rsidTr="00614038">
        <w:tc>
          <w:tcPr>
            <w:tcW w:w="1120" w:type="dxa"/>
            <w:tcBorders>
              <w:top w:val="single" w:sz="4" w:space="0" w:color="auto"/>
              <w:left w:val="single" w:sz="4" w:space="0" w:color="auto"/>
              <w:bottom w:val="single" w:sz="4" w:space="0" w:color="auto"/>
              <w:right w:val="single" w:sz="4" w:space="0" w:color="auto"/>
            </w:tcBorders>
          </w:tcPr>
          <w:p w14:paraId="2EF230C2" w14:textId="77777777" w:rsidR="009B5AA5" w:rsidRPr="00FA3F9C" w:rsidRDefault="009B5AA5" w:rsidP="00920569">
            <w:pPr>
              <w:rPr>
                <w:rFonts w:ascii="Arial" w:hAnsi="Arial" w:cs="Arial"/>
                <w:sz w:val="24"/>
                <w:szCs w:val="24"/>
              </w:rPr>
            </w:pPr>
            <w:r w:rsidRPr="00FA3F9C">
              <w:rPr>
                <w:rFonts w:ascii="Arial" w:hAnsi="Arial" w:cs="Arial"/>
                <w:sz w:val="24"/>
                <w:szCs w:val="24"/>
              </w:rPr>
              <w:t>2/15/17</w:t>
            </w:r>
          </w:p>
        </w:tc>
        <w:tc>
          <w:tcPr>
            <w:tcW w:w="8465" w:type="dxa"/>
            <w:tcBorders>
              <w:top w:val="single" w:sz="4" w:space="0" w:color="auto"/>
              <w:left w:val="single" w:sz="4" w:space="0" w:color="auto"/>
              <w:bottom w:val="single" w:sz="4" w:space="0" w:color="auto"/>
              <w:right w:val="single" w:sz="4" w:space="0" w:color="auto"/>
            </w:tcBorders>
          </w:tcPr>
          <w:p w14:paraId="1C45482A" w14:textId="77777777" w:rsidR="009B5AA5" w:rsidRPr="00FA3F9C" w:rsidRDefault="009B5AA5" w:rsidP="00920569">
            <w:pPr>
              <w:rPr>
                <w:rFonts w:ascii="Arial" w:hAnsi="Arial" w:cs="Arial"/>
                <w:sz w:val="24"/>
                <w:szCs w:val="24"/>
              </w:rPr>
            </w:pPr>
            <w:r w:rsidRPr="00FA3F9C">
              <w:rPr>
                <w:rFonts w:ascii="Arial" w:hAnsi="Arial" w:cs="Arial"/>
                <w:sz w:val="24"/>
                <w:szCs w:val="24"/>
              </w:rPr>
              <w:t>Determined Keytruda is not covered by the plans for head and neck cancer</w:t>
            </w:r>
          </w:p>
        </w:tc>
        <w:tc>
          <w:tcPr>
            <w:tcW w:w="1323" w:type="dxa"/>
            <w:tcBorders>
              <w:top w:val="single" w:sz="4" w:space="0" w:color="auto"/>
              <w:left w:val="single" w:sz="4" w:space="0" w:color="auto"/>
              <w:bottom w:val="single" w:sz="4" w:space="0" w:color="auto"/>
              <w:right w:val="single" w:sz="4" w:space="0" w:color="auto"/>
            </w:tcBorders>
          </w:tcPr>
          <w:p w14:paraId="28EE23E3" w14:textId="77777777" w:rsidR="009B5AA5" w:rsidRPr="00FA3F9C" w:rsidRDefault="009B5AA5" w:rsidP="00920569">
            <w:pPr>
              <w:rPr>
                <w:rFonts w:ascii="Arial" w:hAnsi="Arial" w:cs="Arial"/>
                <w:sz w:val="24"/>
                <w:szCs w:val="24"/>
              </w:rPr>
            </w:pPr>
            <w:r w:rsidRPr="00FA3F9C">
              <w:rPr>
                <w:rFonts w:ascii="Arial" w:hAnsi="Arial" w:cs="Arial"/>
                <w:sz w:val="24"/>
                <w:szCs w:val="24"/>
              </w:rPr>
              <w:t>JJ</w:t>
            </w:r>
          </w:p>
        </w:tc>
      </w:tr>
      <w:tr w:rsidR="009B5AA5" w:rsidRPr="00FA3F9C" w14:paraId="76E7B26C" w14:textId="77777777" w:rsidTr="00614038">
        <w:tc>
          <w:tcPr>
            <w:tcW w:w="1120" w:type="dxa"/>
            <w:tcBorders>
              <w:top w:val="single" w:sz="4" w:space="0" w:color="auto"/>
              <w:left w:val="single" w:sz="4" w:space="0" w:color="auto"/>
              <w:bottom w:val="single" w:sz="4" w:space="0" w:color="auto"/>
              <w:right w:val="single" w:sz="4" w:space="0" w:color="auto"/>
            </w:tcBorders>
          </w:tcPr>
          <w:p w14:paraId="7F3A0AA2" w14:textId="77777777" w:rsidR="009B5AA5" w:rsidRPr="00FA3F9C" w:rsidRDefault="009B5AA5" w:rsidP="00920569">
            <w:pPr>
              <w:rPr>
                <w:rFonts w:ascii="Arial" w:hAnsi="Arial" w:cs="Arial"/>
                <w:sz w:val="24"/>
                <w:szCs w:val="24"/>
              </w:rPr>
            </w:pPr>
            <w:r w:rsidRPr="00FA3F9C">
              <w:rPr>
                <w:rFonts w:ascii="Arial" w:hAnsi="Arial" w:cs="Arial"/>
                <w:sz w:val="24"/>
                <w:szCs w:val="24"/>
              </w:rPr>
              <w:t>7/12/17</w:t>
            </w:r>
          </w:p>
        </w:tc>
        <w:tc>
          <w:tcPr>
            <w:tcW w:w="8465" w:type="dxa"/>
            <w:tcBorders>
              <w:top w:val="single" w:sz="4" w:space="0" w:color="auto"/>
              <w:left w:val="single" w:sz="4" w:space="0" w:color="auto"/>
              <w:bottom w:val="single" w:sz="4" w:space="0" w:color="auto"/>
              <w:right w:val="single" w:sz="4" w:space="0" w:color="auto"/>
            </w:tcBorders>
          </w:tcPr>
          <w:p w14:paraId="70B6F590" w14:textId="77777777" w:rsidR="009B5AA5" w:rsidRPr="00FA3F9C" w:rsidRDefault="009B5AA5" w:rsidP="00920569">
            <w:pPr>
              <w:rPr>
                <w:rFonts w:ascii="Arial" w:hAnsi="Arial" w:cs="Arial"/>
                <w:sz w:val="24"/>
                <w:szCs w:val="24"/>
              </w:rPr>
            </w:pPr>
            <w:r w:rsidRPr="00FA3F9C">
              <w:rPr>
                <w:rFonts w:ascii="Arial" w:hAnsi="Arial" w:cs="Arial"/>
                <w:sz w:val="24"/>
                <w:szCs w:val="24"/>
              </w:rPr>
              <w:t xml:space="preserve">DCWG reviewed.  We collectively determined that </w:t>
            </w:r>
            <w:proofErr w:type="spellStart"/>
            <w:r w:rsidRPr="00FA3F9C">
              <w:rPr>
                <w:rFonts w:ascii="Arial" w:hAnsi="Arial" w:cs="Arial"/>
                <w:sz w:val="24"/>
                <w:szCs w:val="24"/>
              </w:rPr>
              <w:t>Hodgkins</w:t>
            </w:r>
            <w:proofErr w:type="spellEnd"/>
            <w:r w:rsidRPr="00FA3F9C">
              <w:rPr>
                <w:rFonts w:ascii="Arial" w:hAnsi="Arial" w:cs="Arial"/>
                <w:sz w:val="24"/>
                <w:szCs w:val="24"/>
              </w:rPr>
              <w:t xml:space="preserve">, microsatellite </w:t>
            </w:r>
            <w:proofErr w:type="spellStart"/>
            <w:r w:rsidRPr="00FA3F9C">
              <w:rPr>
                <w:rFonts w:ascii="Arial" w:hAnsi="Arial" w:cs="Arial"/>
                <w:sz w:val="24"/>
                <w:szCs w:val="24"/>
              </w:rPr>
              <w:t>instablility</w:t>
            </w:r>
            <w:proofErr w:type="spellEnd"/>
            <w:r w:rsidRPr="00FA3F9C">
              <w:rPr>
                <w:rFonts w:ascii="Arial" w:hAnsi="Arial" w:cs="Arial"/>
                <w:sz w:val="24"/>
                <w:szCs w:val="24"/>
              </w:rPr>
              <w:t>-high cancer would not be covered due to lack of clinical outcome data.  Urothelial cancer would not be covered because the OS benefit was 2.8-2.9 months with pembrolizumab vs CTX (docetaxel or paclitaxel q3w)</w:t>
            </w:r>
          </w:p>
        </w:tc>
        <w:tc>
          <w:tcPr>
            <w:tcW w:w="1323" w:type="dxa"/>
            <w:tcBorders>
              <w:top w:val="single" w:sz="4" w:space="0" w:color="auto"/>
              <w:left w:val="single" w:sz="4" w:space="0" w:color="auto"/>
              <w:bottom w:val="single" w:sz="4" w:space="0" w:color="auto"/>
              <w:right w:val="single" w:sz="4" w:space="0" w:color="auto"/>
            </w:tcBorders>
          </w:tcPr>
          <w:p w14:paraId="35F79A50" w14:textId="77777777" w:rsidR="009B5AA5" w:rsidRPr="00FA3F9C" w:rsidRDefault="009B5AA5" w:rsidP="00920569">
            <w:pPr>
              <w:rPr>
                <w:rFonts w:ascii="Arial" w:hAnsi="Arial" w:cs="Arial"/>
                <w:sz w:val="24"/>
                <w:szCs w:val="24"/>
              </w:rPr>
            </w:pPr>
            <w:r w:rsidRPr="00FA3F9C">
              <w:rPr>
                <w:rFonts w:ascii="Arial" w:hAnsi="Arial" w:cs="Arial"/>
                <w:sz w:val="24"/>
                <w:szCs w:val="24"/>
              </w:rPr>
              <w:t>JJ</w:t>
            </w:r>
          </w:p>
        </w:tc>
      </w:tr>
      <w:tr w:rsidR="009B5AA5" w:rsidRPr="00FA3F9C" w14:paraId="45D4B585" w14:textId="77777777" w:rsidTr="00614038">
        <w:tc>
          <w:tcPr>
            <w:tcW w:w="1120" w:type="dxa"/>
            <w:tcBorders>
              <w:top w:val="single" w:sz="4" w:space="0" w:color="auto"/>
              <w:left w:val="single" w:sz="4" w:space="0" w:color="auto"/>
              <w:bottom w:val="single" w:sz="4" w:space="0" w:color="auto"/>
              <w:right w:val="single" w:sz="4" w:space="0" w:color="auto"/>
            </w:tcBorders>
          </w:tcPr>
          <w:p w14:paraId="31B4BE64" w14:textId="77777777" w:rsidR="009B5AA5" w:rsidRPr="00FA3F9C" w:rsidRDefault="009B5AA5" w:rsidP="00920569">
            <w:pPr>
              <w:rPr>
                <w:rFonts w:ascii="Arial" w:hAnsi="Arial" w:cs="Arial"/>
                <w:sz w:val="24"/>
                <w:szCs w:val="24"/>
              </w:rPr>
            </w:pPr>
            <w:r w:rsidRPr="00FA3F9C">
              <w:rPr>
                <w:rFonts w:ascii="Arial" w:hAnsi="Arial" w:cs="Arial"/>
                <w:sz w:val="24"/>
                <w:szCs w:val="24"/>
              </w:rPr>
              <w:lastRenderedPageBreak/>
              <w:t>1/9/18</w:t>
            </w:r>
          </w:p>
        </w:tc>
        <w:tc>
          <w:tcPr>
            <w:tcW w:w="8465" w:type="dxa"/>
            <w:tcBorders>
              <w:top w:val="single" w:sz="4" w:space="0" w:color="auto"/>
              <w:left w:val="single" w:sz="4" w:space="0" w:color="auto"/>
              <w:bottom w:val="single" w:sz="4" w:space="0" w:color="auto"/>
              <w:right w:val="single" w:sz="4" w:space="0" w:color="auto"/>
            </w:tcBorders>
          </w:tcPr>
          <w:p w14:paraId="7DF8BE31" w14:textId="77777777" w:rsidR="009B5AA5" w:rsidRPr="00FA3F9C" w:rsidRDefault="009B5AA5" w:rsidP="00920569">
            <w:pPr>
              <w:rPr>
                <w:rFonts w:ascii="Arial" w:hAnsi="Arial" w:cs="Arial"/>
                <w:sz w:val="24"/>
                <w:szCs w:val="24"/>
              </w:rPr>
            </w:pPr>
            <w:r w:rsidRPr="00FA3F9C">
              <w:rPr>
                <w:rFonts w:ascii="Arial" w:hAnsi="Arial" w:cs="Arial"/>
                <w:sz w:val="24"/>
                <w:szCs w:val="24"/>
              </w:rPr>
              <w:t>I added gastric cancer to list of non-covered cancer due to it being FDA approved only on tumor response and durability of response.  There are no OS or QOL data to date.</w:t>
            </w:r>
          </w:p>
        </w:tc>
        <w:tc>
          <w:tcPr>
            <w:tcW w:w="1323" w:type="dxa"/>
            <w:tcBorders>
              <w:top w:val="single" w:sz="4" w:space="0" w:color="auto"/>
              <w:left w:val="single" w:sz="4" w:space="0" w:color="auto"/>
              <w:bottom w:val="single" w:sz="4" w:space="0" w:color="auto"/>
              <w:right w:val="single" w:sz="4" w:space="0" w:color="auto"/>
            </w:tcBorders>
          </w:tcPr>
          <w:p w14:paraId="4AA56306" w14:textId="77777777" w:rsidR="009B5AA5" w:rsidRPr="00FA3F9C" w:rsidRDefault="009B5AA5" w:rsidP="00920569">
            <w:pPr>
              <w:rPr>
                <w:rFonts w:ascii="Arial" w:hAnsi="Arial" w:cs="Arial"/>
                <w:sz w:val="24"/>
                <w:szCs w:val="24"/>
              </w:rPr>
            </w:pPr>
            <w:r w:rsidRPr="00FA3F9C">
              <w:rPr>
                <w:rFonts w:ascii="Arial" w:hAnsi="Arial" w:cs="Arial"/>
                <w:sz w:val="24"/>
                <w:szCs w:val="24"/>
              </w:rPr>
              <w:t>JJ</w:t>
            </w:r>
          </w:p>
        </w:tc>
      </w:tr>
      <w:tr w:rsidR="009B5AA5" w:rsidRPr="00FA3F9C" w14:paraId="27B9229D" w14:textId="77777777" w:rsidTr="00614038">
        <w:trPr>
          <w:trHeight w:val="260"/>
        </w:trPr>
        <w:tc>
          <w:tcPr>
            <w:tcW w:w="1120" w:type="dxa"/>
            <w:tcBorders>
              <w:top w:val="single" w:sz="4" w:space="0" w:color="auto"/>
              <w:left w:val="single" w:sz="4" w:space="0" w:color="auto"/>
              <w:bottom w:val="single" w:sz="4" w:space="0" w:color="auto"/>
              <w:right w:val="single" w:sz="4" w:space="0" w:color="auto"/>
            </w:tcBorders>
          </w:tcPr>
          <w:p w14:paraId="0C448F14" w14:textId="77777777" w:rsidR="009B5AA5" w:rsidRPr="00FA3F9C" w:rsidRDefault="009B5AA5" w:rsidP="003636C3">
            <w:pPr>
              <w:rPr>
                <w:rFonts w:ascii="Arial" w:hAnsi="Arial" w:cs="Arial"/>
                <w:sz w:val="24"/>
                <w:szCs w:val="24"/>
              </w:rPr>
            </w:pPr>
            <w:r w:rsidRPr="00FA3F9C">
              <w:rPr>
                <w:rFonts w:ascii="Arial" w:hAnsi="Arial" w:cs="Arial"/>
                <w:sz w:val="24"/>
                <w:szCs w:val="24"/>
              </w:rPr>
              <w:t>2/26/19</w:t>
            </w:r>
          </w:p>
        </w:tc>
        <w:tc>
          <w:tcPr>
            <w:tcW w:w="8465" w:type="dxa"/>
            <w:tcBorders>
              <w:top w:val="single" w:sz="4" w:space="0" w:color="auto"/>
              <w:left w:val="single" w:sz="4" w:space="0" w:color="auto"/>
              <w:bottom w:val="single" w:sz="4" w:space="0" w:color="auto"/>
              <w:right w:val="single" w:sz="4" w:space="0" w:color="auto"/>
            </w:tcBorders>
          </w:tcPr>
          <w:p w14:paraId="3D31AAFD" w14:textId="77777777" w:rsidR="009B5AA5" w:rsidRPr="00FA3F9C" w:rsidRDefault="009B5AA5" w:rsidP="00FC1E85">
            <w:pPr>
              <w:pStyle w:val="ListParagraph"/>
              <w:numPr>
                <w:ilvl w:val="0"/>
                <w:numId w:val="416"/>
              </w:numPr>
              <w:spacing w:after="200" w:line="276" w:lineRule="auto"/>
              <w:rPr>
                <w:rFonts w:ascii="Arial" w:hAnsi="Arial" w:cs="Arial"/>
                <w:sz w:val="24"/>
                <w:szCs w:val="24"/>
              </w:rPr>
            </w:pPr>
            <w:r w:rsidRPr="00FA3F9C">
              <w:rPr>
                <w:rFonts w:ascii="Arial" w:hAnsi="Arial" w:cs="Arial"/>
                <w:sz w:val="24"/>
                <w:szCs w:val="24"/>
              </w:rPr>
              <w:t>Made general updates to formatting and references</w:t>
            </w:r>
          </w:p>
          <w:p w14:paraId="357972A5" w14:textId="77777777" w:rsidR="009B5AA5" w:rsidRPr="00FA3F9C" w:rsidRDefault="009B5AA5" w:rsidP="00FC1E85">
            <w:pPr>
              <w:pStyle w:val="ListParagraph"/>
              <w:numPr>
                <w:ilvl w:val="0"/>
                <w:numId w:val="416"/>
              </w:numPr>
              <w:spacing w:after="200" w:line="276" w:lineRule="auto"/>
              <w:rPr>
                <w:rFonts w:ascii="Arial" w:hAnsi="Arial" w:cs="Arial"/>
                <w:sz w:val="24"/>
                <w:szCs w:val="24"/>
              </w:rPr>
            </w:pPr>
            <w:r w:rsidRPr="00FA3F9C">
              <w:rPr>
                <w:rFonts w:ascii="Arial" w:hAnsi="Arial" w:cs="Arial"/>
                <w:sz w:val="24"/>
                <w:szCs w:val="24"/>
              </w:rPr>
              <w:t>Melanoma: expanded coverage to first line and adjuvant setting; added ocular/uveal melanoma exclusion, no previous PD-1 or PD-L1 inhibitor allowed.</w:t>
            </w:r>
          </w:p>
          <w:p w14:paraId="0F2FE967" w14:textId="77777777" w:rsidR="009B5AA5" w:rsidRPr="00FA3F9C" w:rsidRDefault="009B5AA5" w:rsidP="00FC1E85">
            <w:pPr>
              <w:pStyle w:val="ListParagraph"/>
              <w:numPr>
                <w:ilvl w:val="0"/>
                <w:numId w:val="416"/>
              </w:numPr>
              <w:spacing w:after="200" w:line="276" w:lineRule="auto"/>
              <w:rPr>
                <w:rFonts w:ascii="Arial" w:hAnsi="Arial" w:cs="Arial"/>
                <w:sz w:val="24"/>
                <w:szCs w:val="24"/>
              </w:rPr>
            </w:pPr>
            <w:r w:rsidRPr="00FA3F9C">
              <w:rPr>
                <w:rFonts w:ascii="Arial" w:hAnsi="Arial" w:cs="Arial"/>
                <w:sz w:val="24"/>
                <w:szCs w:val="24"/>
              </w:rPr>
              <w:t xml:space="preserve">Head and neck cancer: added criteria (improved overall survival vs chemo) </w:t>
            </w:r>
          </w:p>
          <w:p w14:paraId="3C19D681" w14:textId="77777777" w:rsidR="009B5AA5" w:rsidRPr="00FA3F9C" w:rsidRDefault="009B5AA5" w:rsidP="00FC1E85">
            <w:pPr>
              <w:pStyle w:val="ListParagraph"/>
              <w:numPr>
                <w:ilvl w:val="0"/>
                <w:numId w:val="416"/>
              </w:numPr>
              <w:spacing w:after="200" w:line="276" w:lineRule="auto"/>
              <w:rPr>
                <w:rFonts w:ascii="Arial" w:hAnsi="Arial" w:cs="Arial"/>
                <w:sz w:val="24"/>
                <w:szCs w:val="24"/>
              </w:rPr>
            </w:pPr>
            <w:r w:rsidRPr="00FA3F9C">
              <w:rPr>
                <w:rFonts w:ascii="Arial" w:hAnsi="Arial" w:cs="Arial"/>
                <w:sz w:val="24"/>
                <w:szCs w:val="24"/>
              </w:rPr>
              <w:t>Urothelial cancer: added criteria for non-first line use (improved overall survival vs chemo)</w:t>
            </w:r>
          </w:p>
          <w:p w14:paraId="4646F4A5" w14:textId="77777777" w:rsidR="009B5AA5" w:rsidRPr="00FA3F9C" w:rsidRDefault="009B5AA5" w:rsidP="00FC1E85">
            <w:pPr>
              <w:pStyle w:val="ListParagraph"/>
              <w:numPr>
                <w:ilvl w:val="0"/>
                <w:numId w:val="416"/>
              </w:numPr>
              <w:spacing w:after="200" w:line="276" w:lineRule="auto"/>
              <w:rPr>
                <w:rFonts w:ascii="Arial" w:hAnsi="Arial" w:cs="Arial"/>
                <w:sz w:val="24"/>
                <w:szCs w:val="24"/>
              </w:rPr>
            </w:pPr>
            <w:r w:rsidRPr="00FA3F9C">
              <w:rPr>
                <w:rFonts w:ascii="Arial" w:hAnsi="Arial" w:cs="Arial"/>
                <w:sz w:val="24"/>
                <w:szCs w:val="24"/>
              </w:rPr>
              <w:t>NSCLC: added coverage of new indications for first line monotherapy and combination therapy (improved OS vs standard therapy).</w:t>
            </w:r>
          </w:p>
        </w:tc>
        <w:tc>
          <w:tcPr>
            <w:tcW w:w="1323" w:type="dxa"/>
            <w:tcBorders>
              <w:top w:val="single" w:sz="4" w:space="0" w:color="auto"/>
              <w:left w:val="single" w:sz="4" w:space="0" w:color="auto"/>
              <w:bottom w:val="single" w:sz="4" w:space="0" w:color="auto"/>
              <w:right w:val="single" w:sz="4" w:space="0" w:color="auto"/>
            </w:tcBorders>
          </w:tcPr>
          <w:p w14:paraId="2B24395B" w14:textId="77777777" w:rsidR="009B5AA5" w:rsidRPr="00FA3F9C" w:rsidRDefault="009B5AA5" w:rsidP="00920569">
            <w:pPr>
              <w:rPr>
                <w:rFonts w:ascii="Arial" w:hAnsi="Arial" w:cs="Arial"/>
                <w:sz w:val="24"/>
                <w:szCs w:val="24"/>
              </w:rPr>
            </w:pPr>
            <w:proofErr w:type="spellStart"/>
            <w:r w:rsidRPr="00FA3F9C">
              <w:rPr>
                <w:rFonts w:ascii="Arial" w:hAnsi="Arial" w:cs="Arial"/>
                <w:sz w:val="24"/>
                <w:szCs w:val="24"/>
              </w:rPr>
              <w:t>Sk</w:t>
            </w:r>
            <w:proofErr w:type="spellEnd"/>
          </w:p>
        </w:tc>
      </w:tr>
      <w:tr w:rsidR="009B5AA5" w:rsidRPr="00FA3F9C" w14:paraId="092DF633" w14:textId="77777777" w:rsidTr="00614038">
        <w:trPr>
          <w:trHeight w:val="260"/>
        </w:trPr>
        <w:tc>
          <w:tcPr>
            <w:tcW w:w="1120" w:type="dxa"/>
            <w:tcBorders>
              <w:top w:val="single" w:sz="4" w:space="0" w:color="auto"/>
              <w:left w:val="single" w:sz="4" w:space="0" w:color="auto"/>
              <w:bottom w:val="single" w:sz="4" w:space="0" w:color="auto"/>
              <w:right w:val="single" w:sz="4" w:space="0" w:color="auto"/>
            </w:tcBorders>
          </w:tcPr>
          <w:p w14:paraId="0471B09D" w14:textId="77777777" w:rsidR="009B5AA5" w:rsidRPr="00FA3F9C" w:rsidRDefault="009B5AA5" w:rsidP="003636C3">
            <w:pPr>
              <w:rPr>
                <w:rFonts w:ascii="Arial" w:hAnsi="Arial" w:cs="Arial"/>
                <w:sz w:val="24"/>
                <w:szCs w:val="24"/>
              </w:rPr>
            </w:pPr>
            <w:r w:rsidRPr="00FA3F9C">
              <w:rPr>
                <w:rFonts w:ascii="Arial" w:hAnsi="Arial" w:cs="Arial"/>
                <w:sz w:val="24"/>
                <w:szCs w:val="24"/>
              </w:rPr>
              <w:t>5/20/19</w:t>
            </w:r>
          </w:p>
        </w:tc>
        <w:tc>
          <w:tcPr>
            <w:tcW w:w="8465" w:type="dxa"/>
            <w:tcBorders>
              <w:top w:val="single" w:sz="4" w:space="0" w:color="auto"/>
              <w:left w:val="single" w:sz="4" w:space="0" w:color="auto"/>
              <w:bottom w:val="single" w:sz="4" w:space="0" w:color="auto"/>
              <w:right w:val="single" w:sz="4" w:space="0" w:color="auto"/>
            </w:tcBorders>
          </w:tcPr>
          <w:p w14:paraId="189126C4" w14:textId="77777777" w:rsidR="009B5AA5" w:rsidRPr="00FA3F9C" w:rsidRDefault="009B5AA5" w:rsidP="004221BC">
            <w:pPr>
              <w:rPr>
                <w:rFonts w:ascii="Arial" w:hAnsi="Arial" w:cs="Arial"/>
                <w:sz w:val="24"/>
                <w:szCs w:val="24"/>
              </w:rPr>
            </w:pPr>
            <w:r w:rsidRPr="00FA3F9C">
              <w:rPr>
                <w:rFonts w:ascii="Arial" w:hAnsi="Arial" w:cs="Arial"/>
                <w:sz w:val="24"/>
                <w:szCs w:val="24"/>
              </w:rPr>
              <w:t xml:space="preserve">Focused review: renal cell carcinoma added as new covered indication, NSCLC criteria edited and simplified given recent expansion of FDA approval (monotherapy now approved for first line use if PDL1 </w:t>
            </w:r>
            <w:r w:rsidRPr="00FA3F9C">
              <w:rPr>
                <w:rFonts w:ascii="Arial" w:hAnsi="Arial" w:cs="Arial"/>
                <w:sz w:val="24"/>
                <w:szCs w:val="24"/>
                <w:u w:val="single"/>
              </w:rPr>
              <w:t>&gt;</w:t>
            </w:r>
            <w:r w:rsidRPr="00FA3F9C">
              <w:rPr>
                <w:rFonts w:ascii="Arial" w:hAnsi="Arial" w:cs="Arial"/>
                <w:sz w:val="24"/>
                <w:szCs w:val="24"/>
              </w:rPr>
              <w:t>1%), added Merkel Cell carcinoma as a covered indication due to new data.</w:t>
            </w:r>
          </w:p>
        </w:tc>
        <w:tc>
          <w:tcPr>
            <w:tcW w:w="1323" w:type="dxa"/>
            <w:tcBorders>
              <w:top w:val="single" w:sz="4" w:space="0" w:color="auto"/>
              <w:left w:val="single" w:sz="4" w:space="0" w:color="auto"/>
              <w:bottom w:val="single" w:sz="4" w:space="0" w:color="auto"/>
              <w:right w:val="single" w:sz="4" w:space="0" w:color="auto"/>
            </w:tcBorders>
          </w:tcPr>
          <w:p w14:paraId="1388FBBB" w14:textId="77777777" w:rsidR="009B5AA5" w:rsidRPr="00FA3F9C" w:rsidRDefault="009B5AA5" w:rsidP="00920569">
            <w:pPr>
              <w:rPr>
                <w:rFonts w:ascii="Arial" w:hAnsi="Arial" w:cs="Arial"/>
                <w:sz w:val="24"/>
                <w:szCs w:val="24"/>
              </w:rPr>
            </w:pPr>
            <w:proofErr w:type="spellStart"/>
            <w:r w:rsidRPr="00FA3F9C">
              <w:rPr>
                <w:rFonts w:ascii="Arial" w:hAnsi="Arial" w:cs="Arial"/>
                <w:sz w:val="24"/>
                <w:szCs w:val="24"/>
              </w:rPr>
              <w:t>Sk</w:t>
            </w:r>
            <w:proofErr w:type="spellEnd"/>
          </w:p>
        </w:tc>
      </w:tr>
      <w:tr w:rsidR="009B5AA5" w:rsidRPr="00FA3F9C" w14:paraId="7B94F0C5" w14:textId="77777777" w:rsidTr="00614038">
        <w:trPr>
          <w:trHeight w:val="260"/>
        </w:trPr>
        <w:tc>
          <w:tcPr>
            <w:tcW w:w="1120" w:type="dxa"/>
            <w:tcBorders>
              <w:top w:val="single" w:sz="4" w:space="0" w:color="auto"/>
              <w:left w:val="single" w:sz="4" w:space="0" w:color="auto"/>
              <w:bottom w:val="single" w:sz="4" w:space="0" w:color="auto"/>
              <w:right w:val="single" w:sz="4" w:space="0" w:color="auto"/>
            </w:tcBorders>
          </w:tcPr>
          <w:p w14:paraId="434ABE05" w14:textId="77777777" w:rsidR="009B5AA5" w:rsidRPr="00FA3F9C" w:rsidRDefault="009B5AA5" w:rsidP="003636C3">
            <w:pPr>
              <w:rPr>
                <w:rFonts w:ascii="Arial" w:hAnsi="Arial" w:cs="Arial"/>
                <w:sz w:val="24"/>
                <w:szCs w:val="24"/>
              </w:rPr>
            </w:pPr>
            <w:r w:rsidRPr="00FA3F9C">
              <w:rPr>
                <w:rFonts w:ascii="Arial" w:hAnsi="Arial" w:cs="Arial"/>
                <w:sz w:val="24"/>
                <w:szCs w:val="24"/>
              </w:rPr>
              <w:t>9/23/2019</w:t>
            </w:r>
          </w:p>
        </w:tc>
        <w:tc>
          <w:tcPr>
            <w:tcW w:w="8465" w:type="dxa"/>
            <w:tcBorders>
              <w:top w:val="single" w:sz="4" w:space="0" w:color="auto"/>
              <w:left w:val="single" w:sz="4" w:space="0" w:color="auto"/>
              <w:bottom w:val="single" w:sz="4" w:space="0" w:color="auto"/>
              <w:right w:val="single" w:sz="4" w:space="0" w:color="auto"/>
            </w:tcBorders>
          </w:tcPr>
          <w:p w14:paraId="2568A833" w14:textId="77777777" w:rsidR="009B5AA5" w:rsidRPr="00FA3F9C" w:rsidRDefault="009B5AA5" w:rsidP="00614038">
            <w:pPr>
              <w:spacing w:after="0" w:line="240" w:lineRule="auto"/>
              <w:rPr>
                <w:rFonts w:ascii="Arial" w:hAnsi="Arial" w:cs="Arial"/>
                <w:sz w:val="24"/>
                <w:szCs w:val="24"/>
              </w:rPr>
            </w:pPr>
            <w:r w:rsidRPr="00FA3F9C">
              <w:rPr>
                <w:rFonts w:ascii="Arial" w:hAnsi="Arial" w:cs="Arial"/>
                <w:sz w:val="24"/>
                <w:szCs w:val="24"/>
              </w:rPr>
              <w:t xml:space="preserve">All criteria reviewed. </w:t>
            </w:r>
          </w:p>
          <w:p w14:paraId="3B0972F6" w14:textId="77777777" w:rsidR="009B5AA5" w:rsidRPr="00FA3F9C" w:rsidRDefault="009B5AA5" w:rsidP="00614038">
            <w:pPr>
              <w:tabs>
                <w:tab w:val="left" w:pos="5201"/>
              </w:tabs>
              <w:spacing w:after="0" w:line="240" w:lineRule="auto"/>
              <w:rPr>
                <w:rFonts w:ascii="Arial" w:hAnsi="Arial" w:cs="Arial"/>
                <w:sz w:val="24"/>
                <w:szCs w:val="24"/>
              </w:rPr>
            </w:pPr>
            <w:r w:rsidRPr="00FA3F9C">
              <w:rPr>
                <w:rFonts w:ascii="Arial" w:hAnsi="Arial" w:cs="Arial"/>
                <w:sz w:val="24"/>
                <w:szCs w:val="24"/>
              </w:rPr>
              <w:t>-changed approval period to 12 months for all indications.</w:t>
            </w:r>
            <w:r w:rsidRPr="00FA3F9C">
              <w:rPr>
                <w:rFonts w:ascii="Arial" w:hAnsi="Arial" w:cs="Arial"/>
                <w:sz w:val="24"/>
                <w:szCs w:val="24"/>
              </w:rPr>
              <w:tab/>
            </w:r>
          </w:p>
          <w:p w14:paraId="748C1750" w14:textId="77777777" w:rsidR="009B5AA5" w:rsidRPr="00FA3F9C" w:rsidRDefault="009B5AA5" w:rsidP="00614038">
            <w:pPr>
              <w:tabs>
                <w:tab w:val="left" w:pos="5201"/>
              </w:tabs>
              <w:spacing w:after="0" w:line="240" w:lineRule="auto"/>
              <w:rPr>
                <w:rFonts w:ascii="Arial" w:hAnsi="Arial" w:cs="Arial"/>
                <w:sz w:val="24"/>
                <w:szCs w:val="24"/>
              </w:rPr>
            </w:pPr>
            <w:r w:rsidRPr="00FA3F9C">
              <w:rPr>
                <w:rFonts w:ascii="Arial" w:hAnsi="Arial" w:cs="Arial"/>
                <w:sz w:val="24"/>
                <w:szCs w:val="24"/>
              </w:rPr>
              <w:t>-modified criteria for previously treated head and neck to further specify what prior therapy is allowed</w:t>
            </w:r>
          </w:p>
          <w:p w14:paraId="3D6750FF" w14:textId="77777777" w:rsidR="009B5AA5" w:rsidRPr="00FA3F9C" w:rsidRDefault="009B5AA5" w:rsidP="00614038">
            <w:pPr>
              <w:tabs>
                <w:tab w:val="left" w:pos="5201"/>
              </w:tabs>
              <w:spacing w:after="0" w:line="240" w:lineRule="auto"/>
              <w:rPr>
                <w:rFonts w:ascii="Arial" w:hAnsi="Arial" w:cs="Arial"/>
                <w:sz w:val="24"/>
                <w:szCs w:val="24"/>
              </w:rPr>
            </w:pPr>
            <w:r w:rsidRPr="00FA3F9C">
              <w:rPr>
                <w:rFonts w:ascii="Arial" w:hAnsi="Arial" w:cs="Arial"/>
                <w:sz w:val="24"/>
                <w:szCs w:val="24"/>
              </w:rPr>
              <w:t xml:space="preserve">-added references for classical </w:t>
            </w:r>
            <w:proofErr w:type="spellStart"/>
            <w:r w:rsidRPr="00FA3F9C">
              <w:rPr>
                <w:rFonts w:ascii="Arial" w:hAnsi="Arial" w:cs="Arial"/>
                <w:sz w:val="24"/>
                <w:szCs w:val="24"/>
              </w:rPr>
              <w:t>hodgkins</w:t>
            </w:r>
            <w:proofErr w:type="spellEnd"/>
          </w:p>
          <w:p w14:paraId="3F9B2712" w14:textId="77777777" w:rsidR="009B5AA5" w:rsidRPr="00FA3F9C" w:rsidRDefault="009B5AA5" w:rsidP="00614038">
            <w:pPr>
              <w:tabs>
                <w:tab w:val="left" w:pos="5201"/>
              </w:tabs>
              <w:spacing w:after="0" w:line="240" w:lineRule="auto"/>
              <w:rPr>
                <w:rFonts w:ascii="Arial" w:hAnsi="Arial" w:cs="Arial"/>
                <w:sz w:val="24"/>
                <w:szCs w:val="24"/>
              </w:rPr>
            </w:pPr>
            <w:r w:rsidRPr="00FA3F9C">
              <w:rPr>
                <w:rFonts w:ascii="Arial" w:hAnsi="Arial" w:cs="Arial"/>
                <w:sz w:val="24"/>
                <w:szCs w:val="24"/>
              </w:rPr>
              <w:t>-added criteria for first line treatment of head and neck squamous cell carcinoma</w:t>
            </w:r>
          </w:p>
          <w:p w14:paraId="3E36AE9D" w14:textId="77777777" w:rsidR="009B5AA5" w:rsidRPr="00FA3F9C" w:rsidRDefault="009B5AA5" w:rsidP="00614038">
            <w:pPr>
              <w:tabs>
                <w:tab w:val="left" w:pos="5201"/>
              </w:tabs>
              <w:spacing w:after="0" w:line="240" w:lineRule="auto"/>
              <w:rPr>
                <w:rFonts w:ascii="Arial" w:hAnsi="Arial" w:cs="Arial"/>
                <w:sz w:val="24"/>
                <w:szCs w:val="24"/>
              </w:rPr>
            </w:pPr>
            <w:r w:rsidRPr="00FA3F9C">
              <w:rPr>
                <w:rFonts w:ascii="Arial" w:hAnsi="Arial" w:cs="Arial"/>
                <w:sz w:val="24"/>
                <w:szCs w:val="24"/>
              </w:rPr>
              <w:t>-added criteria for esophageal squamous cell carcinoma</w:t>
            </w:r>
          </w:p>
          <w:p w14:paraId="52D5850A" w14:textId="77777777" w:rsidR="009B5AA5" w:rsidRPr="00FA3F9C" w:rsidRDefault="009B5AA5" w:rsidP="00A87708">
            <w:pPr>
              <w:tabs>
                <w:tab w:val="left" w:pos="5201"/>
              </w:tabs>
              <w:spacing w:after="0" w:line="240" w:lineRule="auto"/>
              <w:rPr>
                <w:rFonts w:ascii="Arial" w:hAnsi="Arial" w:cs="Arial"/>
                <w:sz w:val="24"/>
                <w:szCs w:val="24"/>
              </w:rPr>
            </w:pPr>
            <w:r w:rsidRPr="00FA3F9C">
              <w:rPr>
                <w:rFonts w:ascii="Arial" w:hAnsi="Arial" w:cs="Arial"/>
                <w:sz w:val="24"/>
                <w:szCs w:val="24"/>
              </w:rPr>
              <w:t>-reviewed new indication for endometrial carcinoma (not covered)</w:t>
            </w:r>
          </w:p>
        </w:tc>
        <w:tc>
          <w:tcPr>
            <w:tcW w:w="1323" w:type="dxa"/>
            <w:tcBorders>
              <w:top w:val="single" w:sz="4" w:space="0" w:color="auto"/>
              <w:left w:val="single" w:sz="4" w:space="0" w:color="auto"/>
              <w:bottom w:val="single" w:sz="4" w:space="0" w:color="auto"/>
              <w:right w:val="single" w:sz="4" w:space="0" w:color="auto"/>
            </w:tcBorders>
          </w:tcPr>
          <w:p w14:paraId="645DBFD3" w14:textId="77777777" w:rsidR="009B5AA5" w:rsidRPr="00FA3F9C" w:rsidRDefault="009B5AA5" w:rsidP="00920569">
            <w:pPr>
              <w:rPr>
                <w:rFonts w:ascii="Arial" w:hAnsi="Arial" w:cs="Arial"/>
                <w:sz w:val="24"/>
                <w:szCs w:val="24"/>
              </w:rPr>
            </w:pPr>
            <w:r w:rsidRPr="00FA3F9C">
              <w:rPr>
                <w:rFonts w:ascii="Arial" w:hAnsi="Arial" w:cs="Arial"/>
                <w:sz w:val="24"/>
                <w:szCs w:val="24"/>
              </w:rPr>
              <w:t>SK</w:t>
            </w:r>
          </w:p>
        </w:tc>
      </w:tr>
      <w:tr w:rsidR="009B5AA5" w:rsidRPr="00FA3F9C" w14:paraId="1EE6F325" w14:textId="77777777" w:rsidTr="00614038">
        <w:trPr>
          <w:trHeight w:val="260"/>
        </w:trPr>
        <w:tc>
          <w:tcPr>
            <w:tcW w:w="1120" w:type="dxa"/>
            <w:tcBorders>
              <w:top w:val="single" w:sz="4" w:space="0" w:color="auto"/>
              <w:left w:val="single" w:sz="4" w:space="0" w:color="auto"/>
              <w:bottom w:val="single" w:sz="4" w:space="0" w:color="auto"/>
              <w:right w:val="single" w:sz="4" w:space="0" w:color="auto"/>
            </w:tcBorders>
          </w:tcPr>
          <w:p w14:paraId="1BE59DB8" w14:textId="77777777" w:rsidR="009B5AA5" w:rsidRPr="00FA3F9C" w:rsidRDefault="009B5AA5" w:rsidP="003636C3">
            <w:pPr>
              <w:rPr>
                <w:rFonts w:ascii="Arial" w:hAnsi="Arial" w:cs="Arial"/>
                <w:sz w:val="24"/>
                <w:szCs w:val="24"/>
              </w:rPr>
            </w:pPr>
            <w:r w:rsidRPr="00FA3F9C">
              <w:rPr>
                <w:rFonts w:ascii="Arial" w:hAnsi="Arial" w:cs="Arial"/>
                <w:sz w:val="24"/>
                <w:szCs w:val="24"/>
              </w:rPr>
              <w:t>12/5/19</w:t>
            </w:r>
          </w:p>
        </w:tc>
        <w:tc>
          <w:tcPr>
            <w:tcW w:w="8465" w:type="dxa"/>
            <w:tcBorders>
              <w:top w:val="single" w:sz="4" w:space="0" w:color="auto"/>
              <w:left w:val="single" w:sz="4" w:space="0" w:color="auto"/>
              <w:bottom w:val="single" w:sz="4" w:space="0" w:color="auto"/>
              <w:right w:val="single" w:sz="4" w:space="0" w:color="auto"/>
            </w:tcBorders>
          </w:tcPr>
          <w:p w14:paraId="52E061E7" w14:textId="77777777" w:rsidR="009B5AA5" w:rsidRPr="00FA3F9C" w:rsidRDefault="009B5AA5" w:rsidP="00614038">
            <w:pPr>
              <w:spacing w:after="0" w:line="240" w:lineRule="auto"/>
              <w:rPr>
                <w:rFonts w:ascii="Arial" w:hAnsi="Arial" w:cs="Arial"/>
                <w:sz w:val="24"/>
                <w:szCs w:val="24"/>
              </w:rPr>
            </w:pPr>
            <w:r w:rsidRPr="00FA3F9C">
              <w:rPr>
                <w:rFonts w:ascii="Arial" w:hAnsi="Arial" w:cs="Arial"/>
                <w:sz w:val="24"/>
                <w:szCs w:val="24"/>
              </w:rPr>
              <w:t>Corrected minor typo</w:t>
            </w:r>
          </w:p>
        </w:tc>
        <w:tc>
          <w:tcPr>
            <w:tcW w:w="1323" w:type="dxa"/>
            <w:tcBorders>
              <w:top w:val="single" w:sz="4" w:space="0" w:color="auto"/>
              <w:left w:val="single" w:sz="4" w:space="0" w:color="auto"/>
              <w:bottom w:val="single" w:sz="4" w:space="0" w:color="auto"/>
              <w:right w:val="single" w:sz="4" w:space="0" w:color="auto"/>
            </w:tcBorders>
          </w:tcPr>
          <w:p w14:paraId="0518AE64" w14:textId="77777777" w:rsidR="009B5AA5" w:rsidRPr="00FA3F9C" w:rsidRDefault="009B5AA5" w:rsidP="00920569">
            <w:pPr>
              <w:rPr>
                <w:rFonts w:ascii="Arial" w:hAnsi="Arial" w:cs="Arial"/>
                <w:sz w:val="24"/>
                <w:szCs w:val="24"/>
              </w:rPr>
            </w:pPr>
            <w:proofErr w:type="spellStart"/>
            <w:r w:rsidRPr="00FA3F9C">
              <w:rPr>
                <w:rFonts w:ascii="Arial" w:hAnsi="Arial" w:cs="Arial"/>
                <w:sz w:val="24"/>
                <w:szCs w:val="24"/>
              </w:rPr>
              <w:t>Sk</w:t>
            </w:r>
            <w:proofErr w:type="spellEnd"/>
          </w:p>
        </w:tc>
      </w:tr>
      <w:tr w:rsidR="009B5AA5" w:rsidRPr="00FA3F9C" w14:paraId="4DE18D8F" w14:textId="77777777" w:rsidTr="00614038">
        <w:trPr>
          <w:trHeight w:val="260"/>
        </w:trPr>
        <w:tc>
          <w:tcPr>
            <w:tcW w:w="1120" w:type="dxa"/>
            <w:tcBorders>
              <w:top w:val="single" w:sz="4" w:space="0" w:color="auto"/>
              <w:left w:val="single" w:sz="4" w:space="0" w:color="auto"/>
              <w:bottom w:val="single" w:sz="4" w:space="0" w:color="auto"/>
              <w:right w:val="single" w:sz="4" w:space="0" w:color="auto"/>
            </w:tcBorders>
          </w:tcPr>
          <w:p w14:paraId="1D0A8A7D" w14:textId="77777777" w:rsidR="009B5AA5" w:rsidRPr="00FA3F9C" w:rsidRDefault="009B5AA5" w:rsidP="003636C3">
            <w:pPr>
              <w:rPr>
                <w:rFonts w:ascii="Arial" w:hAnsi="Arial" w:cs="Arial"/>
                <w:sz w:val="24"/>
                <w:szCs w:val="24"/>
              </w:rPr>
            </w:pPr>
            <w:r w:rsidRPr="00FA3F9C">
              <w:rPr>
                <w:rFonts w:ascii="Arial" w:hAnsi="Arial" w:cs="Arial"/>
                <w:sz w:val="24"/>
                <w:szCs w:val="24"/>
              </w:rPr>
              <w:lastRenderedPageBreak/>
              <w:t>12/16/19</w:t>
            </w:r>
          </w:p>
        </w:tc>
        <w:tc>
          <w:tcPr>
            <w:tcW w:w="8465" w:type="dxa"/>
            <w:tcBorders>
              <w:top w:val="single" w:sz="4" w:space="0" w:color="auto"/>
              <w:left w:val="single" w:sz="4" w:space="0" w:color="auto"/>
              <w:bottom w:val="single" w:sz="4" w:space="0" w:color="auto"/>
              <w:right w:val="single" w:sz="4" w:space="0" w:color="auto"/>
            </w:tcBorders>
          </w:tcPr>
          <w:p w14:paraId="386FB228" w14:textId="77777777" w:rsidR="009B5AA5" w:rsidRPr="00FA3F9C" w:rsidRDefault="009B5AA5" w:rsidP="00614038">
            <w:pPr>
              <w:spacing w:after="0" w:line="240" w:lineRule="auto"/>
              <w:rPr>
                <w:rFonts w:ascii="Arial" w:hAnsi="Arial" w:cs="Arial"/>
                <w:sz w:val="24"/>
                <w:szCs w:val="24"/>
              </w:rPr>
            </w:pPr>
            <w:r w:rsidRPr="00FA3F9C">
              <w:rPr>
                <w:rFonts w:ascii="Arial" w:hAnsi="Arial" w:cs="Arial"/>
                <w:sz w:val="24"/>
                <w:szCs w:val="24"/>
              </w:rPr>
              <w:t>Criteria updated to reflect that for squamous NSCLC, EBRx covers pembrolizumab in combination with conventional paclitaxel and carboplatin and NOT in combination with Abraxane and carboplatin. [See Abraxane criteria].</w:t>
            </w:r>
          </w:p>
        </w:tc>
        <w:tc>
          <w:tcPr>
            <w:tcW w:w="1323" w:type="dxa"/>
            <w:tcBorders>
              <w:top w:val="single" w:sz="4" w:space="0" w:color="auto"/>
              <w:left w:val="single" w:sz="4" w:space="0" w:color="auto"/>
              <w:bottom w:val="single" w:sz="4" w:space="0" w:color="auto"/>
              <w:right w:val="single" w:sz="4" w:space="0" w:color="auto"/>
            </w:tcBorders>
          </w:tcPr>
          <w:p w14:paraId="30126CB8" w14:textId="77777777" w:rsidR="009B5AA5" w:rsidRPr="00FA3F9C" w:rsidRDefault="009B5AA5" w:rsidP="00920569">
            <w:pPr>
              <w:rPr>
                <w:rFonts w:ascii="Arial" w:hAnsi="Arial" w:cs="Arial"/>
                <w:sz w:val="24"/>
                <w:szCs w:val="24"/>
              </w:rPr>
            </w:pPr>
            <w:proofErr w:type="spellStart"/>
            <w:r w:rsidRPr="00FA3F9C">
              <w:rPr>
                <w:rFonts w:ascii="Arial" w:hAnsi="Arial" w:cs="Arial"/>
                <w:sz w:val="24"/>
                <w:szCs w:val="24"/>
              </w:rPr>
              <w:t>Sk</w:t>
            </w:r>
            <w:proofErr w:type="spellEnd"/>
          </w:p>
        </w:tc>
      </w:tr>
      <w:tr w:rsidR="009B5AA5" w:rsidRPr="00FA3F9C" w14:paraId="765CE324" w14:textId="77777777" w:rsidTr="00614038">
        <w:trPr>
          <w:trHeight w:val="260"/>
        </w:trPr>
        <w:tc>
          <w:tcPr>
            <w:tcW w:w="1120" w:type="dxa"/>
            <w:tcBorders>
              <w:top w:val="single" w:sz="4" w:space="0" w:color="auto"/>
              <w:left w:val="single" w:sz="4" w:space="0" w:color="auto"/>
              <w:bottom w:val="single" w:sz="4" w:space="0" w:color="auto"/>
              <w:right w:val="single" w:sz="4" w:space="0" w:color="auto"/>
            </w:tcBorders>
          </w:tcPr>
          <w:p w14:paraId="6100820F" w14:textId="77777777" w:rsidR="009B5AA5" w:rsidRPr="00FA3F9C" w:rsidRDefault="009B5AA5" w:rsidP="003636C3">
            <w:pPr>
              <w:rPr>
                <w:rFonts w:ascii="Arial" w:hAnsi="Arial" w:cs="Arial"/>
                <w:sz w:val="24"/>
                <w:szCs w:val="24"/>
              </w:rPr>
            </w:pPr>
            <w:r w:rsidRPr="00FA3F9C">
              <w:rPr>
                <w:rFonts w:ascii="Arial" w:hAnsi="Arial" w:cs="Arial"/>
                <w:sz w:val="24"/>
                <w:szCs w:val="24"/>
              </w:rPr>
              <w:t>6/9/2020</w:t>
            </w:r>
          </w:p>
        </w:tc>
        <w:tc>
          <w:tcPr>
            <w:tcW w:w="8465" w:type="dxa"/>
            <w:tcBorders>
              <w:top w:val="single" w:sz="4" w:space="0" w:color="auto"/>
              <w:left w:val="single" w:sz="4" w:space="0" w:color="auto"/>
              <w:bottom w:val="single" w:sz="4" w:space="0" w:color="auto"/>
              <w:right w:val="single" w:sz="4" w:space="0" w:color="auto"/>
            </w:tcBorders>
          </w:tcPr>
          <w:p w14:paraId="6B8A74DB" w14:textId="77777777" w:rsidR="009B5AA5" w:rsidRPr="00FA3F9C" w:rsidRDefault="009B5AA5" w:rsidP="00614038">
            <w:pPr>
              <w:spacing w:after="0" w:line="240" w:lineRule="auto"/>
              <w:rPr>
                <w:rFonts w:ascii="Arial" w:hAnsi="Arial" w:cs="Arial"/>
                <w:sz w:val="24"/>
                <w:szCs w:val="24"/>
              </w:rPr>
            </w:pPr>
            <w:r w:rsidRPr="00FA3F9C">
              <w:rPr>
                <w:rFonts w:ascii="Arial" w:hAnsi="Arial" w:cs="Arial"/>
                <w:sz w:val="24"/>
                <w:szCs w:val="24"/>
              </w:rPr>
              <w:t>Added new reference with updated trial results for KEYNOTE-189 (</w:t>
            </w:r>
            <w:proofErr w:type="spellStart"/>
            <w:r w:rsidRPr="00FA3F9C">
              <w:rPr>
                <w:rFonts w:ascii="Arial" w:hAnsi="Arial" w:cs="Arial"/>
                <w:sz w:val="24"/>
                <w:szCs w:val="24"/>
              </w:rPr>
              <w:t>nonsquamous</w:t>
            </w:r>
            <w:proofErr w:type="spellEnd"/>
            <w:r w:rsidRPr="00FA3F9C">
              <w:rPr>
                <w:rFonts w:ascii="Arial" w:hAnsi="Arial" w:cs="Arial"/>
                <w:sz w:val="24"/>
                <w:szCs w:val="24"/>
              </w:rPr>
              <w:t xml:space="preserve">, any PD-L1, </w:t>
            </w:r>
            <w:proofErr w:type="spellStart"/>
            <w:r w:rsidRPr="00FA3F9C">
              <w:rPr>
                <w:rFonts w:ascii="Arial" w:hAnsi="Arial" w:cs="Arial"/>
                <w:sz w:val="24"/>
                <w:szCs w:val="24"/>
              </w:rPr>
              <w:t>pembro+chemo</w:t>
            </w:r>
            <w:proofErr w:type="spellEnd"/>
            <w:r w:rsidRPr="00FA3F9C">
              <w:rPr>
                <w:rFonts w:ascii="Arial" w:hAnsi="Arial" w:cs="Arial"/>
                <w:sz w:val="24"/>
                <w:szCs w:val="24"/>
              </w:rPr>
              <w:t>). No change to criteria.</w:t>
            </w:r>
          </w:p>
        </w:tc>
        <w:tc>
          <w:tcPr>
            <w:tcW w:w="1323" w:type="dxa"/>
            <w:tcBorders>
              <w:top w:val="single" w:sz="4" w:space="0" w:color="auto"/>
              <w:left w:val="single" w:sz="4" w:space="0" w:color="auto"/>
              <w:bottom w:val="single" w:sz="4" w:space="0" w:color="auto"/>
              <w:right w:val="single" w:sz="4" w:space="0" w:color="auto"/>
            </w:tcBorders>
          </w:tcPr>
          <w:p w14:paraId="39B1D59E" w14:textId="77777777" w:rsidR="009B5AA5" w:rsidRPr="00FA3F9C" w:rsidRDefault="009B5AA5" w:rsidP="00920569">
            <w:pPr>
              <w:rPr>
                <w:rFonts w:ascii="Arial" w:hAnsi="Arial" w:cs="Arial"/>
                <w:sz w:val="24"/>
                <w:szCs w:val="24"/>
              </w:rPr>
            </w:pPr>
            <w:r w:rsidRPr="00FA3F9C">
              <w:rPr>
                <w:rFonts w:ascii="Arial" w:hAnsi="Arial" w:cs="Arial"/>
                <w:sz w:val="24"/>
                <w:szCs w:val="24"/>
              </w:rPr>
              <w:t>SK</w:t>
            </w:r>
          </w:p>
        </w:tc>
      </w:tr>
      <w:tr w:rsidR="009B5AA5" w:rsidRPr="00FA3F9C" w14:paraId="1B921231" w14:textId="77777777" w:rsidTr="00614038">
        <w:trPr>
          <w:trHeight w:val="260"/>
        </w:trPr>
        <w:tc>
          <w:tcPr>
            <w:tcW w:w="1120" w:type="dxa"/>
            <w:tcBorders>
              <w:top w:val="single" w:sz="4" w:space="0" w:color="auto"/>
              <w:left w:val="single" w:sz="4" w:space="0" w:color="auto"/>
              <w:bottom w:val="single" w:sz="4" w:space="0" w:color="auto"/>
              <w:right w:val="single" w:sz="4" w:space="0" w:color="auto"/>
            </w:tcBorders>
          </w:tcPr>
          <w:p w14:paraId="6482C6A0" w14:textId="77777777" w:rsidR="009B5AA5" w:rsidRPr="00FA3F9C" w:rsidRDefault="009B5AA5" w:rsidP="003636C3">
            <w:pPr>
              <w:rPr>
                <w:rFonts w:ascii="Arial" w:hAnsi="Arial" w:cs="Arial"/>
                <w:sz w:val="24"/>
                <w:szCs w:val="24"/>
              </w:rPr>
            </w:pPr>
            <w:r w:rsidRPr="00FA3F9C">
              <w:rPr>
                <w:rFonts w:ascii="Arial" w:hAnsi="Arial" w:cs="Arial"/>
                <w:sz w:val="24"/>
                <w:szCs w:val="24"/>
              </w:rPr>
              <w:t>6/24/2020</w:t>
            </w:r>
          </w:p>
        </w:tc>
        <w:tc>
          <w:tcPr>
            <w:tcW w:w="8465" w:type="dxa"/>
            <w:tcBorders>
              <w:top w:val="single" w:sz="4" w:space="0" w:color="auto"/>
              <w:left w:val="single" w:sz="4" w:space="0" w:color="auto"/>
              <w:bottom w:val="single" w:sz="4" w:space="0" w:color="auto"/>
              <w:right w:val="single" w:sz="4" w:space="0" w:color="auto"/>
            </w:tcBorders>
          </w:tcPr>
          <w:p w14:paraId="080ACD5B" w14:textId="77777777" w:rsidR="009B5AA5" w:rsidRPr="00FA3F9C" w:rsidRDefault="009B5AA5" w:rsidP="004558A4">
            <w:pPr>
              <w:spacing w:after="0" w:line="240" w:lineRule="auto"/>
              <w:rPr>
                <w:rFonts w:ascii="Arial" w:hAnsi="Arial" w:cs="Arial"/>
                <w:sz w:val="24"/>
                <w:szCs w:val="24"/>
              </w:rPr>
            </w:pPr>
            <w:r w:rsidRPr="00FA3F9C">
              <w:rPr>
                <w:rFonts w:ascii="Arial" w:hAnsi="Arial" w:cs="Arial"/>
                <w:sz w:val="24"/>
                <w:szCs w:val="24"/>
              </w:rPr>
              <w:t xml:space="preserve">All criteria and indications reviewed. Added new indications (small cell lung cancer, BCG refractory bladder cancer, TMB high tumors, cutaneous squamous cell carcinoma—none covered). </w:t>
            </w:r>
          </w:p>
        </w:tc>
        <w:tc>
          <w:tcPr>
            <w:tcW w:w="1323" w:type="dxa"/>
            <w:tcBorders>
              <w:top w:val="single" w:sz="4" w:space="0" w:color="auto"/>
              <w:left w:val="single" w:sz="4" w:space="0" w:color="auto"/>
              <w:bottom w:val="single" w:sz="4" w:space="0" w:color="auto"/>
              <w:right w:val="single" w:sz="4" w:space="0" w:color="auto"/>
            </w:tcBorders>
          </w:tcPr>
          <w:p w14:paraId="2174DEBF" w14:textId="77777777" w:rsidR="009B5AA5" w:rsidRPr="00FA3F9C" w:rsidRDefault="009B5AA5" w:rsidP="00920569">
            <w:pPr>
              <w:rPr>
                <w:rFonts w:ascii="Arial" w:hAnsi="Arial" w:cs="Arial"/>
                <w:sz w:val="24"/>
                <w:szCs w:val="24"/>
              </w:rPr>
            </w:pPr>
            <w:r w:rsidRPr="00FA3F9C">
              <w:rPr>
                <w:rFonts w:ascii="Arial" w:hAnsi="Arial" w:cs="Arial"/>
                <w:sz w:val="24"/>
                <w:szCs w:val="24"/>
              </w:rPr>
              <w:t>SK</w:t>
            </w:r>
          </w:p>
        </w:tc>
      </w:tr>
      <w:tr w:rsidR="009B5AA5" w:rsidRPr="00FA3F9C" w14:paraId="5F7E9A08" w14:textId="77777777" w:rsidTr="00BF1E6D">
        <w:trPr>
          <w:trHeight w:val="1061"/>
        </w:trPr>
        <w:tc>
          <w:tcPr>
            <w:tcW w:w="1120" w:type="dxa"/>
            <w:tcBorders>
              <w:top w:val="single" w:sz="4" w:space="0" w:color="auto"/>
              <w:left w:val="single" w:sz="4" w:space="0" w:color="auto"/>
              <w:bottom w:val="single" w:sz="4" w:space="0" w:color="auto"/>
              <w:right w:val="single" w:sz="4" w:space="0" w:color="auto"/>
            </w:tcBorders>
          </w:tcPr>
          <w:p w14:paraId="4DD09C3F" w14:textId="77777777" w:rsidR="009B5AA5" w:rsidRPr="00FA3F9C" w:rsidRDefault="009B5AA5" w:rsidP="003636C3">
            <w:pPr>
              <w:rPr>
                <w:rFonts w:ascii="Arial" w:hAnsi="Arial" w:cs="Arial"/>
                <w:sz w:val="24"/>
                <w:szCs w:val="24"/>
              </w:rPr>
            </w:pPr>
            <w:r w:rsidRPr="00FA3F9C">
              <w:rPr>
                <w:rFonts w:ascii="Arial" w:hAnsi="Arial" w:cs="Arial"/>
                <w:sz w:val="24"/>
                <w:szCs w:val="24"/>
              </w:rPr>
              <w:t>11/19/20</w:t>
            </w:r>
          </w:p>
        </w:tc>
        <w:tc>
          <w:tcPr>
            <w:tcW w:w="8465" w:type="dxa"/>
            <w:tcBorders>
              <w:top w:val="single" w:sz="4" w:space="0" w:color="auto"/>
              <w:left w:val="single" w:sz="4" w:space="0" w:color="auto"/>
              <w:bottom w:val="single" w:sz="4" w:space="0" w:color="auto"/>
              <w:right w:val="single" w:sz="4" w:space="0" w:color="auto"/>
            </w:tcBorders>
          </w:tcPr>
          <w:p w14:paraId="5706EA70" w14:textId="77777777" w:rsidR="009B5AA5" w:rsidRPr="00FA3F9C" w:rsidRDefault="009B5AA5" w:rsidP="00FC1E85">
            <w:pPr>
              <w:pStyle w:val="ListParagraph"/>
              <w:numPr>
                <w:ilvl w:val="0"/>
                <w:numId w:val="426"/>
              </w:numPr>
              <w:spacing w:before="100" w:beforeAutospacing="1" w:after="0" w:afterAutospacing="1" w:line="240" w:lineRule="auto"/>
              <w:ind w:left="162" w:hanging="180"/>
              <w:contextualSpacing w:val="0"/>
              <w:rPr>
                <w:rFonts w:ascii="Arial" w:hAnsi="Arial" w:cs="Arial"/>
                <w:sz w:val="24"/>
                <w:szCs w:val="24"/>
              </w:rPr>
            </w:pPr>
            <w:r w:rsidRPr="00FA3F9C">
              <w:rPr>
                <w:rFonts w:ascii="Arial" w:hAnsi="Arial" w:cs="Arial"/>
                <w:sz w:val="24"/>
                <w:szCs w:val="24"/>
              </w:rPr>
              <w:t xml:space="preserve">No changes to criteria </w:t>
            </w:r>
          </w:p>
          <w:p w14:paraId="3F5CA474" w14:textId="77777777" w:rsidR="009B5AA5" w:rsidRPr="00FA3F9C" w:rsidRDefault="009B5AA5" w:rsidP="00FC1E85">
            <w:pPr>
              <w:pStyle w:val="ListParagraph"/>
              <w:numPr>
                <w:ilvl w:val="0"/>
                <w:numId w:val="426"/>
              </w:numPr>
              <w:spacing w:before="100" w:beforeAutospacing="1" w:after="0" w:afterAutospacing="1" w:line="240" w:lineRule="auto"/>
              <w:ind w:left="162" w:hanging="180"/>
              <w:contextualSpacing w:val="0"/>
              <w:rPr>
                <w:rFonts w:ascii="Arial" w:hAnsi="Arial" w:cs="Arial"/>
                <w:sz w:val="24"/>
                <w:szCs w:val="24"/>
              </w:rPr>
            </w:pPr>
            <w:r w:rsidRPr="00FA3F9C">
              <w:rPr>
                <w:rFonts w:ascii="Arial" w:hAnsi="Arial" w:cs="Arial"/>
                <w:sz w:val="24"/>
                <w:szCs w:val="24"/>
              </w:rPr>
              <w:t xml:space="preserve">Added new triple negative breast cancer indication to criteria document. </w:t>
            </w:r>
            <w:proofErr w:type="spellStart"/>
            <w:r w:rsidRPr="00FA3F9C">
              <w:rPr>
                <w:rFonts w:ascii="Arial" w:hAnsi="Arial" w:cs="Arial"/>
                <w:sz w:val="24"/>
                <w:szCs w:val="24"/>
              </w:rPr>
              <w:t>Pembrolizumab+chemo</w:t>
            </w:r>
            <w:proofErr w:type="spellEnd"/>
            <w:r w:rsidRPr="00FA3F9C">
              <w:rPr>
                <w:rFonts w:ascii="Arial" w:hAnsi="Arial" w:cs="Arial"/>
                <w:sz w:val="24"/>
                <w:szCs w:val="24"/>
              </w:rPr>
              <w:t xml:space="preserve"> was compared to chemo alone. Only benefit demonstrated to date is progression free survival (do not cover).</w:t>
            </w:r>
          </w:p>
          <w:p w14:paraId="601DC0D8" w14:textId="77777777" w:rsidR="009B5AA5" w:rsidRPr="00FA3F9C" w:rsidRDefault="009B5AA5" w:rsidP="00FC1E85">
            <w:pPr>
              <w:pStyle w:val="ListParagraph"/>
              <w:numPr>
                <w:ilvl w:val="0"/>
                <w:numId w:val="426"/>
              </w:numPr>
              <w:spacing w:before="100" w:beforeAutospacing="1" w:after="0" w:afterAutospacing="1" w:line="240" w:lineRule="auto"/>
              <w:ind w:left="162" w:hanging="180"/>
              <w:contextualSpacing w:val="0"/>
              <w:rPr>
                <w:rFonts w:ascii="Arial" w:hAnsi="Arial" w:cs="Arial"/>
                <w:sz w:val="24"/>
                <w:szCs w:val="24"/>
              </w:rPr>
            </w:pPr>
            <w:r w:rsidRPr="00FA3F9C">
              <w:rPr>
                <w:rFonts w:ascii="Arial" w:hAnsi="Arial" w:cs="Arial"/>
                <w:sz w:val="24"/>
                <w:szCs w:val="24"/>
              </w:rPr>
              <w:t xml:space="preserve">Reviewed new data for </w:t>
            </w:r>
            <w:proofErr w:type="spellStart"/>
            <w:r w:rsidRPr="00FA3F9C">
              <w:rPr>
                <w:rFonts w:ascii="Arial" w:hAnsi="Arial" w:cs="Arial"/>
                <w:sz w:val="24"/>
                <w:szCs w:val="24"/>
              </w:rPr>
              <w:t>hodgkins</w:t>
            </w:r>
            <w:proofErr w:type="spellEnd"/>
            <w:r w:rsidRPr="00FA3F9C">
              <w:rPr>
                <w:rFonts w:ascii="Arial" w:hAnsi="Arial" w:cs="Arial"/>
                <w:sz w:val="24"/>
                <w:szCs w:val="24"/>
              </w:rPr>
              <w:t xml:space="preserve"> lymphoma indications. No change. Watch for full publication of QOL data (</w:t>
            </w:r>
            <w:proofErr w:type="spellStart"/>
            <w:r w:rsidRPr="00FA3F9C">
              <w:rPr>
                <w:rFonts w:ascii="Arial" w:hAnsi="Arial" w:cs="Arial"/>
                <w:sz w:val="24"/>
                <w:szCs w:val="24"/>
              </w:rPr>
              <w:t>pembro</w:t>
            </w:r>
            <w:proofErr w:type="spellEnd"/>
            <w:r w:rsidRPr="00FA3F9C">
              <w:rPr>
                <w:rFonts w:ascii="Arial" w:hAnsi="Arial" w:cs="Arial"/>
                <w:sz w:val="24"/>
                <w:szCs w:val="24"/>
              </w:rPr>
              <w:t xml:space="preserve"> vs brentuximab NCT02684292)</w:t>
            </w:r>
          </w:p>
        </w:tc>
        <w:tc>
          <w:tcPr>
            <w:tcW w:w="1323" w:type="dxa"/>
            <w:tcBorders>
              <w:top w:val="single" w:sz="4" w:space="0" w:color="auto"/>
              <w:left w:val="single" w:sz="4" w:space="0" w:color="auto"/>
              <w:bottom w:val="single" w:sz="4" w:space="0" w:color="auto"/>
              <w:right w:val="single" w:sz="4" w:space="0" w:color="auto"/>
            </w:tcBorders>
          </w:tcPr>
          <w:p w14:paraId="707BFBFA" w14:textId="77777777" w:rsidR="009B5AA5" w:rsidRPr="00FA3F9C" w:rsidRDefault="009B5AA5" w:rsidP="00920569">
            <w:pPr>
              <w:rPr>
                <w:rFonts w:ascii="Arial" w:hAnsi="Arial" w:cs="Arial"/>
                <w:sz w:val="24"/>
                <w:szCs w:val="24"/>
              </w:rPr>
            </w:pPr>
            <w:r w:rsidRPr="00FA3F9C">
              <w:rPr>
                <w:rFonts w:ascii="Arial" w:hAnsi="Arial" w:cs="Arial"/>
                <w:sz w:val="24"/>
                <w:szCs w:val="24"/>
              </w:rPr>
              <w:t>SK</w:t>
            </w:r>
          </w:p>
        </w:tc>
      </w:tr>
      <w:tr w:rsidR="009B5AA5" w:rsidRPr="00FA3F9C" w14:paraId="3E0BF8C3" w14:textId="77777777" w:rsidTr="00E36702">
        <w:trPr>
          <w:trHeight w:val="206"/>
        </w:trPr>
        <w:tc>
          <w:tcPr>
            <w:tcW w:w="1120" w:type="dxa"/>
            <w:tcBorders>
              <w:top w:val="single" w:sz="4" w:space="0" w:color="auto"/>
              <w:left w:val="single" w:sz="4" w:space="0" w:color="auto"/>
              <w:bottom w:val="single" w:sz="4" w:space="0" w:color="auto"/>
              <w:right w:val="single" w:sz="4" w:space="0" w:color="auto"/>
            </w:tcBorders>
          </w:tcPr>
          <w:p w14:paraId="16E81A9F" w14:textId="77777777" w:rsidR="009B5AA5" w:rsidRPr="00FA3F9C" w:rsidRDefault="009B5AA5" w:rsidP="003636C3">
            <w:pPr>
              <w:rPr>
                <w:rFonts w:ascii="Arial" w:hAnsi="Arial" w:cs="Arial"/>
                <w:sz w:val="24"/>
                <w:szCs w:val="24"/>
              </w:rPr>
            </w:pPr>
            <w:r w:rsidRPr="00FA3F9C">
              <w:rPr>
                <w:rFonts w:ascii="Arial" w:hAnsi="Arial" w:cs="Arial"/>
                <w:sz w:val="24"/>
                <w:szCs w:val="24"/>
              </w:rPr>
              <w:t>12/17/2020</w:t>
            </w:r>
          </w:p>
        </w:tc>
        <w:tc>
          <w:tcPr>
            <w:tcW w:w="8465" w:type="dxa"/>
            <w:tcBorders>
              <w:top w:val="single" w:sz="4" w:space="0" w:color="auto"/>
              <w:left w:val="single" w:sz="4" w:space="0" w:color="auto"/>
              <w:bottom w:val="single" w:sz="4" w:space="0" w:color="auto"/>
              <w:right w:val="single" w:sz="4" w:space="0" w:color="auto"/>
            </w:tcBorders>
          </w:tcPr>
          <w:p w14:paraId="615206F3" w14:textId="77777777" w:rsidR="009B5AA5" w:rsidRPr="00FA3F9C" w:rsidRDefault="009B5AA5" w:rsidP="000F0688">
            <w:pPr>
              <w:spacing w:before="100" w:beforeAutospacing="1" w:after="0" w:afterAutospacing="1" w:line="240" w:lineRule="auto"/>
              <w:rPr>
                <w:rFonts w:ascii="Arial" w:hAnsi="Arial" w:cs="Arial"/>
                <w:sz w:val="24"/>
                <w:szCs w:val="24"/>
              </w:rPr>
            </w:pPr>
            <w:r w:rsidRPr="00FA3F9C">
              <w:rPr>
                <w:rFonts w:ascii="Arial" w:hAnsi="Arial" w:cs="Arial"/>
                <w:sz w:val="24"/>
                <w:szCs w:val="24"/>
              </w:rPr>
              <w:t>Criteria added for MSI high colorectal cancer indication</w:t>
            </w:r>
          </w:p>
        </w:tc>
        <w:tc>
          <w:tcPr>
            <w:tcW w:w="1323" w:type="dxa"/>
            <w:tcBorders>
              <w:top w:val="single" w:sz="4" w:space="0" w:color="auto"/>
              <w:left w:val="single" w:sz="4" w:space="0" w:color="auto"/>
              <w:bottom w:val="single" w:sz="4" w:space="0" w:color="auto"/>
              <w:right w:val="single" w:sz="4" w:space="0" w:color="auto"/>
            </w:tcBorders>
          </w:tcPr>
          <w:p w14:paraId="22E1732B" w14:textId="77777777" w:rsidR="009B5AA5" w:rsidRPr="00FA3F9C" w:rsidRDefault="009B5AA5" w:rsidP="00920569">
            <w:pPr>
              <w:rPr>
                <w:rFonts w:ascii="Arial" w:hAnsi="Arial" w:cs="Arial"/>
                <w:sz w:val="24"/>
                <w:szCs w:val="24"/>
              </w:rPr>
            </w:pPr>
            <w:r w:rsidRPr="00FA3F9C">
              <w:rPr>
                <w:rFonts w:ascii="Arial" w:hAnsi="Arial" w:cs="Arial"/>
                <w:sz w:val="24"/>
                <w:szCs w:val="24"/>
              </w:rPr>
              <w:t>SK</w:t>
            </w:r>
          </w:p>
        </w:tc>
      </w:tr>
      <w:tr w:rsidR="009B5AA5" w:rsidRPr="00FA3F9C" w14:paraId="5BE20B35" w14:textId="77777777" w:rsidTr="00E36702">
        <w:trPr>
          <w:trHeight w:val="64"/>
        </w:trPr>
        <w:tc>
          <w:tcPr>
            <w:tcW w:w="1120" w:type="dxa"/>
            <w:tcBorders>
              <w:top w:val="single" w:sz="4" w:space="0" w:color="auto"/>
              <w:left w:val="single" w:sz="4" w:space="0" w:color="auto"/>
              <w:bottom w:val="single" w:sz="4" w:space="0" w:color="auto"/>
              <w:right w:val="single" w:sz="4" w:space="0" w:color="auto"/>
            </w:tcBorders>
          </w:tcPr>
          <w:p w14:paraId="6C5316E5" w14:textId="77777777" w:rsidR="009B5AA5" w:rsidRPr="00FA3F9C" w:rsidRDefault="009B5AA5" w:rsidP="003636C3">
            <w:pPr>
              <w:rPr>
                <w:rFonts w:ascii="Arial" w:hAnsi="Arial" w:cs="Arial"/>
                <w:sz w:val="24"/>
                <w:szCs w:val="24"/>
              </w:rPr>
            </w:pPr>
            <w:r w:rsidRPr="00FA3F9C">
              <w:rPr>
                <w:rFonts w:ascii="Arial" w:hAnsi="Arial" w:cs="Arial"/>
                <w:sz w:val="24"/>
                <w:szCs w:val="24"/>
              </w:rPr>
              <w:t>4/13/2021</w:t>
            </w:r>
          </w:p>
        </w:tc>
        <w:tc>
          <w:tcPr>
            <w:tcW w:w="8465" w:type="dxa"/>
            <w:tcBorders>
              <w:top w:val="single" w:sz="4" w:space="0" w:color="auto"/>
              <w:left w:val="single" w:sz="4" w:space="0" w:color="auto"/>
              <w:bottom w:val="single" w:sz="4" w:space="0" w:color="auto"/>
              <w:right w:val="single" w:sz="4" w:space="0" w:color="auto"/>
            </w:tcBorders>
          </w:tcPr>
          <w:p w14:paraId="4AA24906" w14:textId="77777777" w:rsidR="009B5AA5" w:rsidRPr="00FA3F9C" w:rsidRDefault="009B5AA5" w:rsidP="000F0688">
            <w:pPr>
              <w:spacing w:before="100" w:beforeAutospacing="1" w:after="0" w:afterAutospacing="1" w:line="240" w:lineRule="auto"/>
              <w:rPr>
                <w:rFonts w:ascii="Arial" w:hAnsi="Arial" w:cs="Arial"/>
                <w:sz w:val="24"/>
                <w:szCs w:val="24"/>
              </w:rPr>
            </w:pPr>
            <w:r w:rsidRPr="00FA3F9C">
              <w:rPr>
                <w:rFonts w:ascii="Arial" w:hAnsi="Arial" w:cs="Arial"/>
                <w:sz w:val="24"/>
                <w:szCs w:val="24"/>
              </w:rPr>
              <w:t>Added reference for full study for triple negative breast cancer indication</w:t>
            </w:r>
          </w:p>
        </w:tc>
        <w:tc>
          <w:tcPr>
            <w:tcW w:w="1323" w:type="dxa"/>
            <w:tcBorders>
              <w:top w:val="single" w:sz="4" w:space="0" w:color="auto"/>
              <w:left w:val="single" w:sz="4" w:space="0" w:color="auto"/>
              <w:bottom w:val="single" w:sz="4" w:space="0" w:color="auto"/>
              <w:right w:val="single" w:sz="4" w:space="0" w:color="auto"/>
            </w:tcBorders>
          </w:tcPr>
          <w:p w14:paraId="4ED85281" w14:textId="77777777" w:rsidR="009B5AA5" w:rsidRPr="00FA3F9C" w:rsidRDefault="009B5AA5" w:rsidP="00920569">
            <w:pPr>
              <w:rPr>
                <w:rFonts w:ascii="Arial" w:hAnsi="Arial" w:cs="Arial"/>
                <w:sz w:val="24"/>
                <w:szCs w:val="24"/>
              </w:rPr>
            </w:pPr>
            <w:r w:rsidRPr="00FA3F9C">
              <w:rPr>
                <w:rFonts w:ascii="Arial" w:hAnsi="Arial" w:cs="Arial"/>
                <w:sz w:val="24"/>
                <w:szCs w:val="24"/>
              </w:rPr>
              <w:t>SK</w:t>
            </w:r>
          </w:p>
        </w:tc>
      </w:tr>
      <w:tr w:rsidR="009B5AA5" w:rsidRPr="00FA3F9C" w14:paraId="449091CB" w14:textId="77777777" w:rsidTr="00E36702">
        <w:trPr>
          <w:trHeight w:val="64"/>
        </w:trPr>
        <w:tc>
          <w:tcPr>
            <w:tcW w:w="1120" w:type="dxa"/>
            <w:tcBorders>
              <w:top w:val="single" w:sz="4" w:space="0" w:color="auto"/>
              <w:left w:val="single" w:sz="4" w:space="0" w:color="auto"/>
              <w:bottom w:val="single" w:sz="4" w:space="0" w:color="auto"/>
              <w:right w:val="single" w:sz="4" w:space="0" w:color="auto"/>
            </w:tcBorders>
          </w:tcPr>
          <w:p w14:paraId="09D4E31F" w14:textId="77777777" w:rsidR="009B5AA5" w:rsidRPr="00FA3F9C" w:rsidRDefault="009B5AA5" w:rsidP="003636C3">
            <w:pPr>
              <w:rPr>
                <w:rFonts w:ascii="Arial" w:hAnsi="Arial" w:cs="Arial"/>
                <w:sz w:val="24"/>
                <w:szCs w:val="24"/>
              </w:rPr>
            </w:pPr>
            <w:r w:rsidRPr="00FA3F9C">
              <w:rPr>
                <w:rFonts w:ascii="Arial" w:hAnsi="Arial" w:cs="Arial"/>
                <w:sz w:val="24"/>
                <w:szCs w:val="24"/>
              </w:rPr>
              <w:t>6/17/2021</w:t>
            </w:r>
          </w:p>
        </w:tc>
        <w:tc>
          <w:tcPr>
            <w:tcW w:w="8465" w:type="dxa"/>
            <w:tcBorders>
              <w:top w:val="single" w:sz="4" w:space="0" w:color="auto"/>
              <w:left w:val="single" w:sz="4" w:space="0" w:color="auto"/>
              <w:bottom w:val="single" w:sz="4" w:space="0" w:color="auto"/>
              <w:right w:val="single" w:sz="4" w:space="0" w:color="auto"/>
            </w:tcBorders>
          </w:tcPr>
          <w:p w14:paraId="4719E132" w14:textId="77777777" w:rsidR="009B5AA5" w:rsidRPr="00FA3F9C" w:rsidRDefault="009B5AA5" w:rsidP="000F0688">
            <w:pPr>
              <w:spacing w:before="100" w:beforeAutospacing="1" w:after="0" w:afterAutospacing="1" w:line="240" w:lineRule="auto"/>
              <w:rPr>
                <w:rFonts w:ascii="Arial" w:hAnsi="Arial" w:cs="Arial"/>
                <w:sz w:val="24"/>
                <w:szCs w:val="24"/>
              </w:rPr>
            </w:pPr>
            <w:r w:rsidRPr="00FA3F9C">
              <w:rPr>
                <w:rFonts w:ascii="Arial" w:hAnsi="Arial" w:cs="Arial"/>
                <w:sz w:val="24"/>
                <w:szCs w:val="24"/>
              </w:rPr>
              <w:t>Listed new indication (HER+ gastric cancer—first line with trastuzumab/chemo). Not covered.</w:t>
            </w:r>
          </w:p>
        </w:tc>
        <w:tc>
          <w:tcPr>
            <w:tcW w:w="1323" w:type="dxa"/>
            <w:tcBorders>
              <w:top w:val="single" w:sz="4" w:space="0" w:color="auto"/>
              <w:left w:val="single" w:sz="4" w:space="0" w:color="auto"/>
              <w:bottom w:val="single" w:sz="4" w:space="0" w:color="auto"/>
              <w:right w:val="single" w:sz="4" w:space="0" w:color="auto"/>
            </w:tcBorders>
          </w:tcPr>
          <w:p w14:paraId="46E11933" w14:textId="77777777" w:rsidR="009B5AA5" w:rsidRPr="00FA3F9C" w:rsidRDefault="009B5AA5" w:rsidP="00920569">
            <w:pPr>
              <w:rPr>
                <w:rFonts w:ascii="Arial" w:hAnsi="Arial" w:cs="Arial"/>
                <w:sz w:val="24"/>
                <w:szCs w:val="24"/>
              </w:rPr>
            </w:pPr>
            <w:r w:rsidRPr="00FA3F9C">
              <w:rPr>
                <w:rFonts w:ascii="Arial" w:hAnsi="Arial" w:cs="Arial"/>
                <w:sz w:val="24"/>
                <w:szCs w:val="24"/>
              </w:rPr>
              <w:t>SK</w:t>
            </w:r>
          </w:p>
        </w:tc>
      </w:tr>
      <w:tr w:rsidR="009B5AA5" w:rsidRPr="00FA3F9C" w14:paraId="2535C5B1" w14:textId="77777777" w:rsidTr="00E36702">
        <w:trPr>
          <w:trHeight w:val="64"/>
        </w:trPr>
        <w:tc>
          <w:tcPr>
            <w:tcW w:w="1120" w:type="dxa"/>
            <w:tcBorders>
              <w:top w:val="single" w:sz="4" w:space="0" w:color="auto"/>
              <w:left w:val="single" w:sz="4" w:space="0" w:color="auto"/>
              <w:bottom w:val="single" w:sz="4" w:space="0" w:color="auto"/>
              <w:right w:val="single" w:sz="4" w:space="0" w:color="auto"/>
            </w:tcBorders>
          </w:tcPr>
          <w:p w14:paraId="7935F188" w14:textId="77777777" w:rsidR="009B5AA5" w:rsidRPr="00FA3F9C" w:rsidRDefault="009B5AA5" w:rsidP="003636C3">
            <w:pPr>
              <w:rPr>
                <w:rFonts w:ascii="Arial" w:hAnsi="Arial" w:cs="Arial"/>
                <w:sz w:val="24"/>
                <w:szCs w:val="24"/>
              </w:rPr>
            </w:pPr>
            <w:r w:rsidRPr="00FA3F9C">
              <w:rPr>
                <w:rFonts w:ascii="Arial" w:hAnsi="Arial" w:cs="Arial"/>
                <w:sz w:val="24"/>
                <w:szCs w:val="24"/>
              </w:rPr>
              <w:t>7/26/2021</w:t>
            </w:r>
          </w:p>
        </w:tc>
        <w:tc>
          <w:tcPr>
            <w:tcW w:w="8465" w:type="dxa"/>
            <w:tcBorders>
              <w:top w:val="single" w:sz="4" w:space="0" w:color="auto"/>
              <w:left w:val="single" w:sz="4" w:space="0" w:color="auto"/>
              <w:bottom w:val="single" w:sz="4" w:space="0" w:color="auto"/>
              <w:right w:val="single" w:sz="4" w:space="0" w:color="auto"/>
            </w:tcBorders>
          </w:tcPr>
          <w:p w14:paraId="257FF7FA" w14:textId="77777777" w:rsidR="009B5AA5" w:rsidRPr="00FA3F9C" w:rsidRDefault="009B5AA5" w:rsidP="000F0688">
            <w:pPr>
              <w:spacing w:before="100" w:beforeAutospacing="1" w:after="0" w:afterAutospacing="1" w:line="240" w:lineRule="auto"/>
              <w:rPr>
                <w:rFonts w:ascii="Arial" w:hAnsi="Arial" w:cs="Arial"/>
                <w:sz w:val="24"/>
                <w:szCs w:val="24"/>
              </w:rPr>
            </w:pPr>
            <w:r w:rsidRPr="00FA3F9C">
              <w:rPr>
                <w:rFonts w:ascii="Arial" w:hAnsi="Arial" w:cs="Arial"/>
                <w:sz w:val="24"/>
                <w:szCs w:val="24"/>
              </w:rPr>
              <w:t>Added new indication (locally advanced cutaneous squamous cell carcinoma. Not covered</w:t>
            </w:r>
          </w:p>
        </w:tc>
        <w:tc>
          <w:tcPr>
            <w:tcW w:w="1323" w:type="dxa"/>
            <w:tcBorders>
              <w:top w:val="single" w:sz="4" w:space="0" w:color="auto"/>
              <w:left w:val="single" w:sz="4" w:space="0" w:color="auto"/>
              <w:bottom w:val="single" w:sz="4" w:space="0" w:color="auto"/>
              <w:right w:val="single" w:sz="4" w:space="0" w:color="auto"/>
            </w:tcBorders>
          </w:tcPr>
          <w:p w14:paraId="3958F82E" w14:textId="77777777" w:rsidR="009B5AA5" w:rsidRPr="00FA3F9C" w:rsidRDefault="009B5AA5" w:rsidP="00920569">
            <w:pPr>
              <w:rPr>
                <w:rFonts w:ascii="Arial" w:hAnsi="Arial" w:cs="Arial"/>
                <w:sz w:val="24"/>
                <w:szCs w:val="24"/>
              </w:rPr>
            </w:pPr>
            <w:r w:rsidRPr="00FA3F9C">
              <w:rPr>
                <w:rFonts w:ascii="Arial" w:hAnsi="Arial" w:cs="Arial"/>
                <w:sz w:val="24"/>
                <w:szCs w:val="24"/>
              </w:rPr>
              <w:t>SK</w:t>
            </w:r>
          </w:p>
        </w:tc>
      </w:tr>
      <w:tr w:rsidR="009B5AA5" w:rsidRPr="00FA3F9C" w14:paraId="275DE8CA" w14:textId="77777777" w:rsidTr="00E36702">
        <w:trPr>
          <w:trHeight w:val="64"/>
        </w:trPr>
        <w:tc>
          <w:tcPr>
            <w:tcW w:w="1120" w:type="dxa"/>
            <w:tcBorders>
              <w:top w:val="single" w:sz="4" w:space="0" w:color="auto"/>
              <w:left w:val="single" w:sz="4" w:space="0" w:color="auto"/>
              <w:bottom w:val="single" w:sz="4" w:space="0" w:color="auto"/>
              <w:right w:val="single" w:sz="4" w:space="0" w:color="auto"/>
            </w:tcBorders>
          </w:tcPr>
          <w:p w14:paraId="1AEDEDFF" w14:textId="77777777" w:rsidR="009B5AA5" w:rsidRPr="00FA3F9C" w:rsidRDefault="009B5AA5" w:rsidP="003636C3">
            <w:pPr>
              <w:rPr>
                <w:rFonts w:ascii="Arial" w:hAnsi="Arial" w:cs="Arial"/>
                <w:sz w:val="24"/>
                <w:szCs w:val="24"/>
              </w:rPr>
            </w:pPr>
            <w:r w:rsidRPr="00FA3F9C">
              <w:rPr>
                <w:rFonts w:ascii="Arial" w:hAnsi="Arial" w:cs="Arial"/>
                <w:sz w:val="24"/>
                <w:szCs w:val="24"/>
              </w:rPr>
              <w:t>7/29/2021</w:t>
            </w:r>
          </w:p>
        </w:tc>
        <w:tc>
          <w:tcPr>
            <w:tcW w:w="8465" w:type="dxa"/>
            <w:tcBorders>
              <w:top w:val="single" w:sz="4" w:space="0" w:color="auto"/>
              <w:left w:val="single" w:sz="4" w:space="0" w:color="auto"/>
              <w:bottom w:val="single" w:sz="4" w:space="0" w:color="auto"/>
              <w:right w:val="single" w:sz="4" w:space="0" w:color="auto"/>
            </w:tcBorders>
          </w:tcPr>
          <w:p w14:paraId="34D0092F" w14:textId="77777777" w:rsidR="009B5AA5" w:rsidRPr="00FA3F9C" w:rsidRDefault="009B5AA5" w:rsidP="000F0688">
            <w:pPr>
              <w:spacing w:before="100" w:beforeAutospacing="1" w:after="0" w:afterAutospacing="1" w:line="240" w:lineRule="auto"/>
              <w:rPr>
                <w:rFonts w:ascii="Arial" w:hAnsi="Arial" w:cs="Arial"/>
                <w:sz w:val="24"/>
                <w:szCs w:val="24"/>
              </w:rPr>
            </w:pPr>
            <w:r w:rsidRPr="00FA3F9C">
              <w:rPr>
                <w:rFonts w:ascii="Arial" w:hAnsi="Arial" w:cs="Arial"/>
                <w:sz w:val="24"/>
                <w:szCs w:val="24"/>
              </w:rPr>
              <w:t>Added criteria for endometrial cancer indication</w:t>
            </w:r>
          </w:p>
        </w:tc>
        <w:tc>
          <w:tcPr>
            <w:tcW w:w="1323" w:type="dxa"/>
            <w:tcBorders>
              <w:top w:val="single" w:sz="4" w:space="0" w:color="auto"/>
              <w:left w:val="single" w:sz="4" w:space="0" w:color="auto"/>
              <w:bottom w:val="single" w:sz="4" w:space="0" w:color="auto"/>
              <w:right w:val="single" w:sz="4" w:space="0" w:color="auto"/>
            </w:tcBorders>
          </w:tcPr>
          <w:p w14:paraId="2BFD16BC" w14:textId="77777777" w:rsidR="009B5AA5" w:rsidRPr="00FA3F9C" w:rsidRDefault="009B5AA5" w:rsidP="00920569">
            <w:pPr>
              <w:rPr>
                <w:rFonts w:ascii="Arial" w:hAnsi="Arial" w:cs="Arial"/>
                <w:sz w:val="24"/>
                <w:szCs w:val="24"/>
              </w:rPr>
            </w:pPr>
            <w:r w:rsidRPr="00FA3F9C">
              <w:rPr>
                <w:rFonts w:ascii="Arial" w:hAnsi="Arial" w:cs="Arial"/>
                <w:sz w:val="24"/>
                <w:szCs w:val="24"/>
              </w:rPr>
              <w:t>SK</w:t>
            </w:r>
          </w:p>
        </w:tc>
      </w:tr>
      <w:tr w:rsidR="009B5AA5" w:rsidRPr="00FA3F9C" w14:paraId="024CB298" w14:textId="77777777" w:rsidTr="00E36702">
        <w:trPr>
          <w:trHeight w:val="64"/>
        </w:trPr>
        <w:tc>
          <w:tcPr>
            <w:tcW w:w="1120" w:type="dxa"/>
            <w:tcBorders>
              <w:top w:val="single" w:sz="4" w:space="0" w:color="auto"/>
              <w:left w:val="single" w:sz="4" w:space="0" w:color="auto"/>
              <w:bottom w:val="single" w:sz="4" w:space="0" w:color="auto"/>
              <w:right w:val="single" w:sz="4" w:space="0" w:color="auto"/>
            </w:tcBorders>
          </w:tcPr>
          <w:p w14:paraId="58B85397" w14:textId="77777777" w:rsidR="009B5AA5" w:rsidRPr="00FA3F9C" w:rsidRDefault="009B5AA5" w:rsidP="003636C3">
            <w:pPr>
              <w:rPr>
                <w:rFonts w:ascii="Arial" w:hAnsi="Arial" w:cs="Arial"/>
                <w:sz w:val="24"/>
                <w:szCs w:val="24"/>
              </w:rPr>
            </w:pPr>
            <w:r w:rsidRPr="00FA3F9C">
              <w:rPr>
                <w:rFonts w:ascii="Arial" w:hAnsi="Arial" w:cs="Arial"/>
                <w:sz w:val="24"/>
                <w:szCs w:val="24"/>
              </w:rPr>
              <w:t>9/21/2021</w:t>
            </w:r>
          </w:p>
        </w:tc>
        <w:tc>
          <w:tcPr>
            <w:tcW w:w="8465" w:type="dxa"/>
            <w:tcBorders>
              <w:top w:val="single" w:sz="4" w:space="0" w:color="auto"/>
              <w:left w:val="single" w:sz="4" w:space="0" w:color="auto"/>
              <w:bottom w:val="single" w:sz="4" w:space="0" w:color="auto"/>
              <w:right w:val="single" w:sz="4" w:space="0" w:color="auto"/>
            </w:tcBorders>
          </w:tcPr>
          <w:p w14:paraId="326BA943" w14:textId="77777777" w:rsidR="009B5AA5" w:rsidRPr="00FA3F9C" w:rsidRDefault="009B5AA5" w:rsidP="000F0688">
            <w:pPr>
              <w:spacing w:before="100" w:beforeAutospacing="1" w:after="0" w:afterAutospacing="1" w:line="240" w:lineRule="auto"/>
              <w:rPr>
                <w:rFonts w:ascii="Arial" w:hAnsi="Arial" w:cs="Arial"/>
                <w:sz w:val="24"/>
                <w:szCs w:val="24"/>
              </w:rPr>
            </w:pPr>
            <w:r w:rsidRPr="00FA3F9C">
              <w:rPr>
                <w:rFonts w:ascii="Arial" w:hAnsi="Arial" w:cs="Arial"/>
                <w:sz w:val="24"/>
                <w:szCs w:val="24"/>
              </w:rPr>
              <w:t xml:space="preserve">Added new indication for renal cell carcinoma in combination with </w:t>
            </w:r>
            <w:proofErr w:type="spellStart"/>
            <w:r w:rsidRPr="00FA3F9C">
              <w:rPr>
                <w:rFonts w:ascii="Arial" w:hAnsi="Arial" w:cs="Arial"/>
                <w:sz w:val="24"/>
                <w:szCs w:val="24"/>
              </w:rPr>
              <w:t>lenvatinib</w:t>
            </w:r>
            <w:proofErr w:type="spellEnd"/>
            <w:r w:rsidRPr="00FA3F9C">
              <w:rPr>
                <w:rFonts w:ascii="Arial" w:hAnsi="Arial" w:cs="Arial"/>
                <w:sz w:val="24"/>
                <w:szCs w:val="24"/>
              </w:rPr>
              <w:t xml:space="preserve">. </w:t>
            </w:r>
          </w:p>
        </w:tc>
        <w:tc>
          <w:tcPr>
            <w:tcW w:w="1323" w:type="dxa"/>
            <w:tcBorders>
              <w:top w:val="single" w:sz="4" w:space="0" w:color="auto"/>
              <w:left w:val="single" w:sz="4" w:space="0" w:color="auto"/>
              <w:bottom w:val="single" w:sz="4" w:space="0" w:color="auto"/>
              <w:right w:val="single" w:sz="4" w:space="0" w:color="auto"/>
            </w:tcBorders>
          </w:tcPr>
          <w:p w14:paraId="67494E46" w14:textId="77777777" w:rsidR="009B5AA5" w:rsidRPr="00FA3F9C" w:rsidRDefault="009B5AA5" w:rsidP="00920569">
            <w:pPr>
              <w:rPr>
                <w:rFonts w:ascii="Arial" w:hAnsi="Arial" w:cs="Arial"/>
                <w:sz w:val="24"/>
                <w:szCs w:val="24"/>
              </w:rPr>
            </w:pPr>
            <w:r w:rsidRPr="00FA3F9C">
              <w:rPr>
                <w:rFonts w:ascii="Arial" w:hAnsi="Arial" w:cs="Arial"/>
                <w:sz w:val="24"/>
                <w:szCs w:val="24"/>
              </w:rPr>
              <w:t>SK</w:t>
            </w:r>
          </w:p>
        </w:tc>
      </w:tr>
      <w:tr w:rsidR="009B5AA5" w:rsidRPr="00FA3F9C" w14:paraId="52586E71" w14:textId="77777777" w:rsidTr="00E36702">
        <w:trPr>
          <w:trHeight w:val="64"/>
        </w:trPr>
        <w:tc>
          <w:tcPr>
            <w:tcW w:w="1120" w:type="dxa"/>
            <w:tcBorders>
              <w:top w:val="single" w:sz="4" w:space="0" w:color="auto"/>
              <w:left w:val="single" w:sz="4" w:space="0" w:color="auto"/>
              <w:bottom w:val="single" w:sz="4" w:space="0" w:color="auto"/>
              <w:right w:val="single" w:sz="4" w:space="0" w:color="auto"/>
            </w:tcBorders>
          </w:tcPr>
          <w:p w14:paraId="536C188E" w14:textId="77777777" w:rsidR="009B5AA5" w:rsidRPr="00FA3F9C" w:rsidRDefault="009B5AA5" w:rsidP="003636C3">
            <w:pPr>
              <w:rPr>
                <w:rFonts w:ascii="Arial" w:hAnsi="Arial" w:cs="Arial"/>
                <w:sz w:val="24"/>
                <w:szCs w:val="24"/>
              </w:rPr>
            </w:pPr>
            <w:r w:rsidRPr="00FA3F9C">
              <w:rPr>
                <w:rFonts w:ascii="Arial" w:hAnsi="Arial" w:cs="Arial"/>
                <w:sz w:val="24"/>
                <w:szCs w:val="24"/>
              </w:rPr>
              <w:t>1/26/2022</w:t>
            </w:r>
          </w:p>
        </w:tc>
        <w:tc>
          <w:tcPr>
            <w:tcW w:w="8465" w:type="dxa"/>
            <w:tcBorders>
              <w:top w:val="single" w:sz="4" w:space="0" w:color="auto"/>
              <w:left w:val="single" w:sz="4" w:space="0" w:color="auto"/>
              <w:bottom w:val="single" w:sz="4" w:space="0" w:color="auto"/>
              <w:right w:val="single" w:sz="4" w:space="0" w:color="auto"/>
            </w:tcBorders>
          </w:tcPr>
          <w:p w14:paraId="74F6E749" w14:textId="77777777" w:rsidR="009B5AA5" w:rsidRPr="00FA3F9C" w:rsidRDefault="009B5AA5" w:rsidP="00BC5053">
            <w:pPr>
              <w:spacing w:before="100" w:beforeAutospacing="1" w:after="0" w:afterAutospacing="1" w:line="240" w:lineRule="auto"/>
              <w:rPr>
                <w:rFonts w:ascii="Arial" w:hAnsi="Arial" w:cs="Arial"/>
                <w:sz w:val="24"/>
                <w:szCs w:val="24"/>
              </w:rPr>
            </w:pPr>
            <w:r w:rsidRPr="00FA3F9C">
              <w:rPr>
                <w:rFonts w:ascii="Arial" w:hAnsi="Arial" w:cs="Arial"/>
                <w:sz w:val="24"/>
                <w:szCs w:val="24"/>
              </w:rPr>
              <w:t>All criteria reviewed. Made the following changes:</w:t>
            </w:r>
          </w:p>
          <w:p w14:paraId="3F13DB59" w14:textId="77777777" w:rsidR="009B5AA5" w:rsidRPr="00FA3F9C" w:rsidRDefault="009B5AA5" w:rsidP="00FC1E85">
            <w:pPr>
              <w:pStyle w:val="ListParagraph"/>
              <w:numPr>
                <w:ilvl w:val="0"/>
                <w:numId w:val="429"/>
              </w:numPr>
              <w:spacing w:before="100" w:beforeAutospacing="1" w:after="0" w:afterAutospacing="1" w:line="240" w:lineRule="auto"/>
              <w:rPr>
                <w:rFonts w:ascii="Arial" w:hAnsi="Arial" w:cs="Arial"/>
                <w:sz w:val="24"/>
                <w:szCs w:val="24"/>
              </w:rPr>
            </w:pPr>
            <w:r w:rsidRPr="00FA3F9C">
              <w:rPr>
                <w:rFonts w:ascii="Arial" w:hAnsi="Arial" w:cs="Arial"/>
                <w:sz w:val="24"/>
                <w:szCs w:val="24"/>
              </w:rPr>
              <w:t>Small cell lung cancer: Removed indication; no longer FDA approved and was not covered</w:t>
            </w:r>
          </w:p>
          <w:p w14:paraId="77D2BAAC" w14:textId="77777777" w:rsidR="009B5AA5" w:rsidRPr="00FA3F9C" w:rsidRDefault="009B5AA5" w:rsidP="00FC1E85">
            <w:pPr>
              <w:pStyle w:val="ListParagraph"/>
              <w:numPr>
                <w:ilvl w:val="0"/>
                <w:numId w:val="429"/>
              </w:numPr>
              <w:spacing w:before="100" w:beforeAutospacing="1" w:after="0" w:afterAutospacing="1" w:line="240" w:lineRule="auto"/>
              <w:rPr>
                <w:rFonts w:ascii="Arial" w:hAnsi="Arial" w:cs="Arial"/>
                <w:sz w:val="24"/>
                <w:szCs w:val="24"/>
              </w:rPr>
            </w:pPr>
            <w:r w:rsidRPr="00FA3F9C">
              <w:rPr>
                <w:rFonts w:ascii="Arial" w:hAnsi="Arial" w:cs="Arial"/>
                <w:sz w:val="24"/>
                <w:szCs w:val="24"/>
              </w:rPr>
              <w:lastRenderedPageBreak/>
              <w:t>MSI-high/</w:t>
            </w:r>
            <w:proofErr w:type="spellStart"/>
            <w:r w:rsidRPr="00FA3F9C">
              <w:rPr>
                <w:rFonts w:ascii="Arial" w:hAnsi="Arial" w:cs="Arial"/>
                <w:sz w:val="24"/>
                <w:szCs w:val="24"/>
              </w:rPr>
              <w:t>dMMR</w:t>
            </w:r>
            <w:proofErr w:type="spellEnd"/>
            <w:r w:rsidRPr="00FA3F9C">
              <w:rPr>
                <w:rFonts w:ascii="Arial" w:hAnsi="Arial" w:cs="Arial"/>
                <w:sz w:val="24"/>
                <w:szCs w:val="24"/>
              </w:rPr>
              <w:t xml:space="preserve"> indications: modified wording to mirror modified FDA approvals (no change in criteria)</w:t>
            </w:r>
          </w:p>
          <w:p w14:paraId="6A50546A" w14:textId="77777777" w:rsidR="009B5AA5" w:rsidRPr="00FA3F9C" w:rsidRDefault="009B5AA5" w:rsidP="00FC1E85">
            <w:pPr>
              <w:pStyle w:val="ListParagraph"/>
              <w:numPr>
                <w:ilvl w:val="0"/>
                <w:numId w:val="429"/>
              </w:numPr>
              <w:spacing w:before="100" w:beforeAutospacing="1" w:after="0" w:afterAutospacing="1" w:line="240" w:lineRule="auto"/>
              <w:rPr>
                <w:rFonts w:ascii="Arial" w:hAnsi="Arial" w:cs="Arial"/>
                <w:sz w:val="24"/>
                <w:szCs w:val="24"/>
              </w:rPr>
            </w:pPr>
            <w:r w:rsidRPr="00FA3F9C">
              <w:rPr>
                <w:rFonts w:ascii="Arial" w:hAnsi="Arial" w:cs="Arial"/>
                <w:sz w:val="24"/>
                <w:szCs w:val="24"/>
              </w:rPr>
              <w:t>Gastric cancer: Added new reference for HER2+ indication (no change in coverage)</w:t>
            </w:r>
          </w:p>
          <w:p w14:paraId="26C35122" w14:textId="77777777" w:rsidR="009B5AA5" w:rsidRPr="00FA3F9C" w:rsidRDefault="009B5AA5" w:rsidP="00FC1E85">
            <w:pPr>
              <w:pStyle w:val="ListParagraph"/>
              <w:numPr>
                <w:ilvl w:val="0"/>
                <w:numId w:val="429"/>
              </w:numPr>
              <w:spacing w:before="100" w:beforeAutospacing="1" w:after="0" w:afterAutospacing="1" w:line="240" w:lineRule="auto"/>
              <w:rPr>
                <w:rFonts w:ascii="Arial" w:hAnsi="Arial" w:cs="Arial"/>
                <w:sz w:val="24"/>
                <w:szCs w:val="24"/>
              </w:rPr>
            </w:pPr>
            <w:r w:rsidRPr="00FA3F9C">
              <w:rPr>
                <w:rFonts w:ascii="Arial" w:hAnsi="Arial" w:cs="Arial"/>
                <w:sz w:val="24"/>
                <w:szCs w:val="24"/>
              </w:rPr>
              <w:t>Cervical cancer: added criteria for new indication (pembrolizumab+ chemo for recurrent/metastatic disease) due to improved overall survival of this regimen compared to chemo alone</w:t>
            </w:r>
          </w:p>
          <w:p w14:paraId="2E0C4B09" w14:textId="77777777" w:rsidR="009B5AA5" w:rsidRPr="00FA3F9C" w:rsidRDefault="009B5AA5" w:rsidP="00FC1E85">
            <w:pPr>
              <w:pStyle w:val="ListParagraph"/>
              <w:numPr>
                <w:ilvl w:val="0"/>
                <w:numId w:val="429"/>
              </w:numPr>
              <w:spacing w:before="100" w:beforeAutospacing="1" w:after="0" w:afterAutospacing="1" w:line="240" w:lineRule="auto"/>
              <w:rPr>
                <w:rFonts w:ascii="Arial" w:hAnsi="Arial" w:cs="Arial"/>
                <w:sz w:val="24"/>
                <w:szCs w:val="24"/>
              </w:rPr>
            </w:pPr>
            <w:r w:rsidRPr="00FA3F9C">
              <w:rPr>
                <w:rFonts w:ascii="Arial" w:hAnsi="Arial" w:cs="Arial"/>
                <w:sz w:val="24"/>
                <w:szCs w:val="24"/>
              </w:rPr>
              <w:t xml:space="preserve">Renal cell carcinoma: Added criteria for new indication for adjuvant treatment of RCC; pembrolizumab improved </w:t>
            </w:r>
            <w:proofErr w:type="gramStart"/>
            <w:r w:rsidRPr="00FA3F9C">
              <w:rPr>
                <w:rFonts w:ascii="Arial" w:hAnsi="Arial" w:cs="Arial"/>
                <w:sz w:val="24"/>
                <w:szCs w:val="24"/>
              </w:rPr>
              <w:t>disease free</w:t>
            </w:r>
            <w:proofErr w:type="gramEnd"/>
            <w:r w:rsidRPr="00FA3F9C">
              <w:rPr>
                <w:rFonts w:ascii="Arial" w:hAnsi="Arial" w:cs="Arial"/>
                <w:sz w:val="24"/>
                <w:szCs w:val="24"/>
              </w:rPr>
              <w:t xml:space="preserve"> survival compared to placebo for higher risk patients which is clearly defined in criteria</w:t>
            </w:r>
          </w:p>
          <w:p w14:paraId="28A76F43" w14:textId="77777777" w:rsidR="009B5AA5" w:rsidRPr="00FA3F9C" w:rsidRDefault="009B5AA5" w:rsidP="00FC1E85">
            <w:pPr>
              <w:pStyle w:val="ListParagraph"/>
              <w:numPr>
                <w:ilvl w:val="0"/>
                <w:numId w:val="429"/>
              </w:numPr>
              <w:spacing w:before="100" w:beforeAutospacing="1" w:after="0" w:afterAutospacing="1" w:line="240" w:lineRule="auto"/>
              <w:rPr>
                <w:rFonts w:ascii="Arial" w:hAnsi="Arial" w:cs="Arial"/>
                <w:sz w:val="24"/>
                <w:szCs w:val="24"/>
              </w:rPr>
            </w:pPr>
            <w:r w:rsidRPr="00FA3F9C">
              <w:rPr>
                <w:rFonts w:ascii="Arial" w:hAnsi="Arial" w:cs="Arial"/>
                <w:sz w:val="24"/>
                <w:szCs w:val="24"/>
              </w:rPr>
              <w:t xml:space="preserve">Melanoma: added stages IIB, IIC to covered stages for adjuvant therapy due to significant </w:t>
            </w:r>
            <w:proofErr w:type="gramStart"/>
            <w:r w:rsidRPr="00FA3F9C">
              <w:rPr>
                <w:rFonts w:ascii="Arial" w:hAnsi="Arial" w:cs="Arial"/>
                <w:sz w:val="24"/>
                <w:szCs w:val="24"/>
              </w:rPr>
              <w:t>disease free</w:t>
            </w:r>
            <w:proofErr w:type="gramEnd"/>
            <w:r w:rsidRPr="00FA3F9C">
              <w:rPr>
                <w:rFonts w:ascii="Arial" w:hAnsi="Arial" w:cs="Arial"/>
                <w:sz w:val="24"/>
                <w:szCs w:val="24"/>
              </w:rPr>
              <w:t xml:space="preserve"> survival benefit</w:t>
            </w:r>
          </w:p>
          <w:p w14:paraId="3A6432C2" w14:textId="77777777" w:rsidR="009B5AA5" w:rsidRPr="00FA3F9C" w:rsidRDefault="009B5AA5" w:rsidP="00FC1E85">
            <w:pPr>
              <w:pStyle w:val="ListParagraph"/>
              <w:numPr>
                <w:ilvl w:val="0"/>
                <w:numId w:val="429"/>
              </w:numPr>
              <w:spacing w:before="100" w:beforeAutospacing="1" w:after="0" w:afterAutospacing="1" w:line="240" w:lineRule="auto"/>
              <w:rPr>
                <w:rFonts w:ascii="Arial" w:hAnsi="Arial" w:cs="Arial"/>
                <w:sz w:val="24"/>
                <w:szCs w:val="24"/>
              </w:rPr>
            </w:pPr>
            <w:r w:rsidRPr="00FA3F9C">
              <w:rPr>
                <w:rFonts w:ascii="Arial" w:hAnsi="Arial" w:cs="Arial"/>
                <w:sz w:val="24"/>
                <w:szCs w:val="24"/>
              </w:rPr>
              <w:t xml:space="preserve">Triple Negative Breast Cancer: Add new indication for </w:t>
            </w:r>
            <w:proofErr w:type="gramStart"/>
            <w:r w:rsidRPr="00FA3F9C">
              <w:rPr>
                <w:rFonts w:ascii="Arial" w:hAnsi="Arial" w:cs="Arial"/>
                <w:sz w:val="24"/>
                <w:szCs w:val="24"/>
              </w:rPr>
              <w:t>early stage</w:t>
            </w:r>
            <w:proofErr w:type="gramEnd"/>
            <w:r w:rsidRPr="00FA3F9C">
              <w:rPr>
                <w:rFonts w:ascii="Arial" w:hAnsi="Arial" w:cs="Arial"/>
                <w:sz w:val="24"/>
                <w:szCs w:val="24"/>
              </w:rPr>
              <w:t xml:space="preserve"> therapy; not covered as no OS/QOL benefit. </w:t>
            </w:r>
          </w:p>
        </w:tc>
        <w:tc>
          <w:tcPr>
            <w:tcW w:w="1323" w:type="dxa"/>
            <w:tcBorders>
              <w:top w:val="single" w:sz="4" w:space="0" w:color="auto"/>
              <w:left w:val="single" w:sz="4" w:space="0" w:color="auto"/>
              <w:bottom w:val="single" w:sz="4" w:space="0" w:color="auto"/>
              <w:right w:val="single" w:sz="4" w:space="0" w:color="auto"/>
            </w:tcBorders>
          </w:tcPr>
          <w:p w14:paraId="30FC1904" w14:textId="77777777" w:rsidR="009B5AA5" w:rsidRPr="00FA3F9C" w:rsidRDefault="009B5AA5" w:rsidP="00920569">
            <w:pPr>
              <w:rPr>
                <w:rFonts w:ascii="Arial" w:hAnsi="Arial" w:cs="Arial"/>
                <w:sz w:val="24"/>
                <w:szCs w:val="24"/>
              </w:rPr>
            </w:pPr>
            <w:r w:rsidRPr="00FA3F9C">
              <w:rPr>
                <w:rFonts w:ascii="Arial" w:hAnsi="Arial" w:cs="Arial"/>
                <w:sz w:val="24"/>
                <w:szCs w:val="24"/>
              </w:rPr>
              <w:lastRenderedPageBreak/>
              <w:t>SK</w:t>
            </w:r>
          </w:p>
        </w:tc>
      </w:tr>
      <w:tr w:rsidR="009B5AA5" w:rsidRPr="00FA3F9C" w14:paraId="418F82A0" w14:textId="77777777" w:rsidTr="00E36702">
        <w:trPr>
          <w:trHeight w:val="64"/>
        </w:trPr>
        <w:tc>
          <w:tcPr>
            <w:tcW w:w="1120" w:type="dxa"/>
            <w:tcBorders>
              <w:top w:val="single" w:sz="4" w:space="0" w:color="auto"/>
              <w:left w:val="single" w:sz="4" w:space="0" w:color="auto"/>
              <w:bottom w:val="single" w:sz="4" w:space="0" w:color="auto"/>
              <w:right w:val="single" w:sz="4" w:space="0" w:color="auto"/>
            </w:tcBorders>
          </w:tcPr>
          <w:p w14:paraId="2591C38A" w14:textId="77777777" w:rsidR="009B5AA5" w:rsidRPr="00FA3F9C" w:rsidRDefault="009B5AA5" w:rsidP="003636C3">
            <w:pPr>
              <w:rPr>
                <w:rFonts w:ascii="Arial" w:hAnsi="Arial" w:cs="Arial"/>
                <w:sz w:val="24"/>
                <w:szCs w:val="24"/>
              </w:rPr>
            </w:pPr>
            <w:r w:rsidRPr="00FA3F9C">
              <w:rPr>
                <w:rFonts w:ascii="Arial" w:hAnsi="Arial" w:cs="Arial"/>
                <w:sz w:val="24"/>
                <w:szCs w:val="24"/>
              </w:rPr>
              <w:t>3/31/2022</w:t>
            </w:r>
          </w:p>
        </w:tc>
        <w:tc>
          <w:tcPr>
            <w:tcW w:w="8465" w:type="dxa"/>
            <w:tcBorders>
              <w:top w:val="single" w:sz="4" w:space="0" w:color="auto"/>
              <w:left w:val="single" w:sz="4" w:space="0" w:color="auto"/>
              <w:bottom w:val="single" w:sz="4" w:space="0" w:color="auto"/>
              <w:right w:val="single" w:sz="4" w:space="0" w:color="auto"/>
            </w:tcBorders>
          </w:tcPr>
          <w:p w14:paraId="64073A7B" w14:textId="77777777" w:rsidR="009B5AA5" w:rsidRPr="00FA3F9C" w:rsidRDefault="009B5AA5" w:rsidP="00BC5053">
            <w:pPr>
              <w:spacing w:before="100" w:beforeAutospacing="1" w:after="0" w:afterAutospacing="1" w:line="240" w:lineRule="auto"/>
              <w:rPr>
                <w:rFonts w:ascii="Arial" w:hAnsi="Arial" w:cs="Arial"/>
                <w:sz w:val="24"/>
                <w:szCs w:val="24"/>
              </w:rPr>
            </w:pPr>
            <w:r w:rsidRPr="00FA3F9C">
              <w:rPr>
                <w:rFonts w:ascii="Arial" w:hAnsi="Arial" w:cs="Arial"/>
                <w:sz w:val="24"/>
                <w:szCs w:val="24"/>
              </w:rPr>
              <w:t xml:space="preserve">Added criteria for use in </w:t>
            </w:r>
            <w:proofErr w:type="gramStart"/>
            <w:r w:rsidRPr="00FA3F9C">
              <w:rPr>
                <w:rFonts w:ascii="Arial" w:hAnsi="Arial" w:cs="Arial"/>
                <w:sz w:val="24"/>
                <w:szCs w:val="24"/>
              </w:rPr>
              <w:t>early stage</w:t>
            </w:r>
            <w:proofErr w:type="gramEnd"/>
            <w:r w:rsidRPr="00FA3F9C">
              <w:rPr>
                <w:rFonts w:ascii="Arial" w:hAnsi="Arial" w:cs="Arial"/>
                <w:sz w:val="24"/>
                <w:szCs w:val="24"/>
              </w:rPr>
              <w:t xml:space="preserve"> triple negative breast cancer. New data published recently indicate significant improvement in event free survival.</w:t>
            </w:r>
          </w:p>
        </w:tc>
        <w:tc>
          <w:tcPr>
            <w:tcW w:w="1323" w:type="dxa"/>
            <w:tcBorders>
              <w:top w:val="single" w:sz="4" w:space="0" w:color="auto"/>
              <w:left w:val="single" w:sz="4" w:space="0" w:color="auto"/>
              <w:bottom w:val="single" w:sz="4" w:space="0" w:color="auto"/>
              <w:right w:val="single" w:sz="4" w:space="0" w:color="auto"/>
            </w:tcBorders>
          </w:tcPr>
          <w:p w14:paraId="045B671D" w14:textId="77777777" w:rsidR="009B5AA5" w:rsidRPr="00FA3F9C" w:rsidRDefault="009B5AA5" w:rsidP="00920569">
            <w:pPr>
              <w:rPr>
                <w:rFonts w:ascii="Arial" w:hAnsi="Arial" w:cs="Arial"/>
                <w:sz w:val="24"/>
                <w:szCs w:val="24"/>
              </w:rPr>
            </w:pPr>
            <w:r w:rsidRPr="00FA3F9C">
              <w:rPr>
                <w:rFonts w:ascii="Arial" w:hAnsi="Arial" w:cs="Arial"/>
                <w:sz w:val="24"/>
                <w:szCs w:val="24"/>
              </w:rPr>
              <w:t>SK</w:t>
            </w:r>
          </w:p>
        </w:tc>
      </w:tr>
      <w:tr w:rsidR="009B5AA5" w:rsidRPr="00FA3F9C" w14:paraId="0C991358" w14:textId="77777777" w:rsidTr="00E36702">
        <w:trPr>
          <w:trHeight w:val="64"/>
        </w:trPr>
        <w:tc>
          <w:tcPr>
            <w:tcW w:w="1120" w:type="dxa"/>
            <w:tcBorders>
              <w:top w:val="single" w:sz="4" w:space="0" w:color="auto"/>
              <w:left w:val="single" w:sz="4" w:space="0" w:color="auto"/>
              <w:bottom w:val="single" w:sz="4" w:space="0" w:color="auto"/>
              <w:right w:val="single" w:sz="4" w:space="0" w:color="auto"/>
            </w:tcBorders>
          </w:tcPr>
          <w:p w14:paraId="39930BB8" w14:textId="77777777" w:rsidR="009B5AA5" w:rsidRPr="00FA3F9C" w:rsidRDefault="009B5AA5" w:rsidP="003636C3">
            <w:pPr>
              <w:rPr>
                <w:rFonts w:ascii="Arial" w:hAnsi="Arial" w:cs="Arial"/>
                <w:sz w:val="24"/>
                <w:szCs w:val="24"/>
              </w:rPr>
            </w:pPr>
            <w:r w:rsidRPr="00FA3F9C">
              <w:rPr>
                <w:rFonts w:ascii="Arial" w:hAnsi="Arial" w:cs="Arial"/>
                <w:sz w:val="24"/>
                <w:szCs w:val="24"/>
              </w:rPr>
              <w:t>4/25/2022</w:t>
            </w:r>
          </w:p>
        </w:tc>
        <w:tc>
          <w:tcPr>
            <w:tcW w:w="8465" w:type="dxa"/>
            <w:tcBorders>
              <w:top w:val="single" w:sz="4" w:space="0" w:color="auto"/>
              <w:left w:val="single" w:sz="4" w:space="0" w:color="auto"/>
              <w:bottom w:val="single" w:sz="4" w:space="0" w:color="auto"/>
              <w:right w:val="single" w:sz="4" w:space="0" w:color="auto"/>
            </w:tcBorders>
          </w:tcPr>
          <w:p w14:paraId="59355248" w14:textId="77777777" w:rsidR="009B5AA5" w:rsidRPr="00FA3F9C" w:rsidRDefault="009B5AA5" w:rsidP="00BC5053">
            <w:pPr>
              <w:spacing w:before="100" w:beforeAutospacing="1" w:after="0" w:afterAutospacing="1" w:line="240" w:lineRule="auto"/>
              <w:rPr>
                <w:rFonts w:ascii="Arial" w:hAnsi="Arial" w:cs="Arial"/>
                <w:sz w:val="24"/>
                <w:szCs w:val="24"/>
              </w:rPr>
            </w:pPr>
            <w:r w:rsidRPr="00FA3F9C">
              <w:rPr>
                <w:rFonts w:ascii="Arial" w:hAnsi="Arial" w:cs="Arial"/>
                <w:sz w:val="24"/>
                <w:szCs w:val="24"/>
              </w:rPr>
              <w:t>Added new reference for MSI high colorectal indication. No change in criteria</w:t>
            </w:r>
          </w:p>
        </w:tc>
        <w:tc>
          <w:tcPr>
            <w:tcW w:w="1323" w:type="dxa"/>
            <w:tcBorders>
              <w:top w:val="single" w:sz="4" w:space="0" w:color="auto"/>
              <w:left w:val="single" w:sz="4" w:space="0" w:color="auto"/>
              <w:bottom w:val="single" w:sz="4" w:space="0" w:color="auto"/>
              <w:right w:val="single" w:sz="4" w:space="0" w:color="auto"/>
            </w:tcBorders>
          </w:tcPr>
          <w:p w14:paraId="6DA27616" w14:textId="77777777" w:rsidR="009B5AA5" w:rsidRPr="00FA3F9C" w:rsidRDefault="009B5AA5" w:rsidP="00920569">
            <w:pPr>
              <w:rPr>
                <w:rFonts w:ascii="Arial" w:hAnsi="Arial" w:cs="Arial"/>
                <w:sz w:val="24"/>
                <w:szCs w:val="24"/>
              </w:rPr>
            </w:pPr>
            <w:r w:rsidRPr="00FA3F9C">
              <w:rPr>
                <w:rFonts w:ascii="Arial" w:hAnsi="Arial" w:cs="Arial"/>
                <w:sz w:val="24"/>
                <w:szCs w:val="24"/>
              </w:rPr>
              <w:t>SK</w:t>
            </w:r>
          </w:p>
        </w:tc>
      </w:tr>
    </w:tbl>
    <w:p w14:paraId="6787D96E" w14:textId="77777777" w:rsidR="009B5AA5" w:rsidRPr="00FA3F9C" w:rsidRDefault="009B5AA5" w:rsidP="006F623F">
      <w:pPr>
        <w:spacing w:after="0"/>
        <w:rPr>
          <w:rFonts w:ascii="Arial" w:hAnsi="Arial" w:cs="Arial"/>
          <w:sz w:val="24"/>
          <w:szCs w:val="24"/>
        </w:rPr>
      </w:pPr>
    </w:p>
    <w:p w14:paraId="61AD2F38" w14:textId="77777777" w:rsidR="009B5AA5" w:rsidRPr="00FA3F9C" w:rsidRDefault="009B5AA5" w:rsidP="004925D3">
      <w:pPr>
        <w:spacing w:after="0"/>
        <w:rPr>
          <w:rFonts w:ascii="Arial" w:hAnsi="Arial" w:cs="Arial"/>
          <w:sz w:val="24"/>
          <w:szCs w:val="24"/>
        </w:rPr>
      </w:pPr>
    </w:p>
    <w:p w14:paraId="1587B958" w14:textId="77777777" w:rsidR="009B5AA5" w:rsidRPr="00FA3F9C" w:rsidRDefault="009B5AA5" w:rsidP="006F623F">
      <w:pPr>
        <w:spacing w:after="0"/>
        <w:jc w:val="center"/>
        <w:rPr>
          <w:rFonts w:ascii="Arial" w:hAnsi="Arial" w:cs="Arial"/>
          <w:sz w:val="24"/>
          <w:szCs w:val="24"/>
        </w:rPr>
      </w:pPr>
    </w:p>
    <w:p w14:paraId="712273A1" w14:textId="77777777" w:rsidR="009B5AA5" w:rsidRPr="00FA3F9C" w:rsidRDefault="009B5AA5" w:rsidP="002D375E">
      <w:pPr>
        <w:pStyle w:val="Heading2"/>
      </w:pPr>
      <w:bookmarkStart w:id="271" w:name="_Toc106369896"/>
      <w:r w:rsidRPr="00FA3F9C">
        <w:t>Penicillamine (</w:t>
      </w:r>
      <w:proofErr w:type="spellStart"/>
      <w:r w:rsidRPr="00FA3F9C">
        <w:t>Depen</w:t>
      </w:r>
      <w:proofErr w:type="spellEnd"/>
      <w:r w:rsidRPr="00FA3F9C">
        <w:t xml:space="preserve"> </w:t>
      </w:r>
      <w:proofErr w:type="spellStart"/>
      <w:r w:rsidRPr="00FA3F9C">
        <w:t>Titratabs</w:t>
      </w:r>
      <w:proofErr w:type="spellEnd"/>
      <w:r w:rsidRPr="00FA3F9C">
        <w:t>)</w:t>
      </w:r>
      <w:bookmarkEnd w:id="271"/>
    </w:p>
    <w:p w14:paraId="51BAE3A5" w14:textId="1A9F9717" w:rsidR="009B5AA5" w:rsidRDefault="009B5AA5" w:rsidP="006F623F">
      <w:pPr>
        <w:spacing w:after="0"/>
        <w:jc w:val="center"/>
        <w:rPr>
          <w:rFonts w:ascii="Arial" w:hAnsi="Arial" w:cs="Arial"/>
          <w:sz w:val="24"/>
          <w:szCs w:val="24"/>
        </w:rPr>
      </w:pPr>
      <w:r w:rsidRPr="00FA3F9C">
        <w:rPr>
          <w:rFonts w:ascii="Arial" w:hAnsi="Arial" w:cs="Arial"/>
          <w:sz w:val="24"/>
          <w:szCs w:val="24"/>
        </w:rPr>
        <w:t>250mg tablets</w:t>
      </w:r>
    </w:p>
    <w:p w14:paraId="38A6F92C" w14:textId="77777777" w:rsidR="002D375E" w:rsidRPr="00FA3F9C" w:rsidRDefault="002D375E" w:rsidP="002D375E">
      <w:pPr>
        <w:spacing w:after="0"/>
        <w:jc w:val="center"/>
        <w:rPr>
          <w:rFonts w:ascii="Arial" w:hAnsi="Arial" w:cs="Arial"/>
          <w:sz w:val="24"/>
          <w:szCs w:val="24"/>
        </w:rPr>
      </w:pPr>
      <w:r w:rsidRPr="00FA3F9C">
        <w:rPr>
          <w:rFonts w:ascii="Arial" w:hAnsi="Arial" w:cs="Arial"/>
          <w:sz w:val="24"/>
          <w:szCs w:val="24"/>
        </w:rPr>
        <w:t xml:space="preserve">EBRx PA Criteria </w:t>
      </w:r>
    </w:p>
    <w:p w14:paraId="77740313" w14:textId="77777777" w:rsidR="002D375E" w:rsidRPr="00FA3F9C" w:rsidRDefault="002D375E" w:rsidP="006F623F">
      <w:pPr>
        <w:spacing w:after="0"/>
        <w:jc w:val="center"/>
        <w:rPr>
          <w:rFonts w:ascii="Arial" w:hAnsi="Arial" w:cs="Arial"/>
          <w:sz w:val="24"/>
          <w:szCs w:val="24"/>
        </w:rPr>
      </w:pPr>
    </w:p>
    <w:p w14:paraId="09BC0A09" w14:textId="77777777" w:rsidR="009B5AA5" w:rsidRPr="00FA3F9C" w:rsidRDefault="009B5AA5" w:rsidP="006F623F">
      <w:pPr>
        <w:spacing w:after="0"/>
        <w:rPr>
          <w:rFonts w:ascii="Arial" w:hAnsi="Arial" w:cs="Arial"/>
          <w:b/>
          <w:sz w:val="24"/>
          <w:szCs w:val="24"/>
          <w:u w:val="single"/>
        </w:rPr>
      </w:pPr>
    </w:p>
    <w:p w14:paraId="0DD9ADA0" w14:textId="77777777" w:rsidR="009B5AA5" w:rsidRPr="00FA3F9C" w:rsidRDefault="009B5AA5"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Wilson’s disease, cystinuria, or as adjunctive treatment of severe, active rheumatoid arthritis.</w:t>
      </w:r>
    </w:p>
    <w:tbl>
      <w:tblPr>
        <w:tblStyle w:val="TableGrid"/>
        <w:tblW w:w="0" w:type="auto"/>
        <w:tblLook w:val="04A0" w:firstRow="1" w:lastRow="0" w:firstColumn="1" w:lastColumn="0" w:noHBand="0" w:noVBand="1"/>
      </w:tblPr>
      <w:tblGrid>
        <w:gridCol w:w="10998"/>
      </w:tblGrid>
      <w:tr w:rsidR="009B5AA5" w:rsidRPr="00FA3F9C" w14:paraId="11228F7B" w14:textId="77777777" w:rsidTr="00230802">
        <w:tc>
          <w:tcPr>
            <w:tcW w:w="10998" w:type="dxa"/>
            <w:shd w:val="clear" w:color="auto" w:fill="000000"/>
          </w:tcPr>
          <w:p w14:paraId="72E688FF" w14:textId="77777777" w:rsidR="009B5AA5" w:rsidRPr="00FA3F9C" w:rsidRDefault="009B5AA5" w:rsidP="00230802">
            <w:pPr>
              <w:rPr>
                <w:rFonts w:ascii="Arial" w:hAnsi="Arial" w:cs="Arial"/>
                <w:b/>
                <w:sz w:val="24"/>
                <w:szCs w:val="24"/>
                <w:u w:val="single"/>
              </w:rPr>
            </w:pPr>
            <w:r w:rsidRPr="00FA3F9C">
              <w:rPr>
                <w:rFonts w:ascii="Arial" w:hAnsi="Arial" w:cs="Arial"/>
                <w:b/>
                <w:sz w:val="24"/>
                <w:szCs w:val="24"/>
                <w:u w:val="single"/>
              </w:rPr>
              <w:t>Must have one of the diagnoses:</w:t>
            </w:r>
          </w:p>
        </w:tc>
      </w:tr>
      <w:tr w:rsidR="009B5AA5" w:rsidRPr="00FA3F9C" w14:paraId="4053F2D7" w14:textId="77777777" w:rsidTr="00230802">
        <w:tc>
          <w:tcPr>
            <w:tcW w:w="10998" w:type="dxa"/>
          </w:tcPr>
          <w:p w14:paraId="75E72A70" w14:textId="77777777" w:rsidR="009B5AA5" w:rsidRPr="00FA3F9C" w:rsidRDefault="009B5AA5" w:rsidP="000F6ED2">
            <w:pPr>
              <w:rPr>
                <w:rFonts w:ascii="Arial" w:hAnsi="Arial" w:cs="Arial"/>
                <w:sz w:val="24"/>
                <w:szCs w:val="24"/>
              </w:rPr>
            </w:pPr>
            <w:r w:rsidRPr="00FA3F9C">
              <w:rPr>
                <w:rFonts w:ascii="Arial" w:hAnsi="Arial" w:cs="Arial"/>
                <w:sz w:val="24"/>
                <w:szCs w:val="24"/>
              </w:rPr>
              <w:lastRenderedPageBreak/>
              <w:t>1. Wilson’s Disease or cystinuria.  If so, proceed to the relevant box below to see if the criteria are COMPLETELY fulfilled:</w:t>
            </w:r>
          </w:p>
        </w:tc>
      </w:tr>
    </w:tbl>
    <w:p w14:paraId="6F97E829" w14:textId="77777777" w:rsidR="009B5AA5" w:rsidRPr="00FA3F9C" w:rsidRDefault="009B5AA5" w:rsidP="006F623F">
      <w:pPr>
        <w:spacing w:after="0"/>
        <w:rPr>
          <w:rFonts w:ascii="Arial" w:hAnsi="Arial" w:cs="Arial"/>
          <w:sz w:val="24"/>
          <w:szCs w:val="24"/>
        </w:rPr>
      </w:pPr>
    </w:p>
    <w:tbl>
      <w:tblPr>
        <w:tblStyle w:val="TableGrid"/>
        <w:tblW w:w="0" w:type="auto"/>
        <w:tblLook w:val="04A0" w:firstRow="1" w:lastRow="0" w:firstColumn="1" w:lastColumn="0" w:noHBand="0" w:noVBand="1"/>
      </w:tblPr>
      <w:tblGrid>
        <w:gridCol w:w="10998"/>
      </w:tblGrid>
      <w:tr w:rsidR="009B5AA5" w:rsidRPr="00FA3F9C" w14:paraId="241BD4E6" w14:textId="77777777" w:rsidTr="00EB0004">
        <w:tc>
          <w:tcPr>
            <w:tcW w:w="10998" w:type="dxa"/>
            <w:shd w:val="clear" w:color="auto" w:fill="000000"/>
          </w:tcPr>
          <w:p w14:paraId="31B266BB" w14:textId="77777777" w:rsidR="009B5AA5" w:rsidRPr="00FA3F9C" w:rsidRDefault="009B5AA5" w:rsidP="0002783B">
            <w:pPr>
              <w:rPr>
                <w:rFonts w:ascii="Arial" w:hAnsi="Arial" w:cs="Arial"/>
                <w:b/>
                <w:sz w:val="24"/>
                <w:szCs w:val="24"/>
                <w:u w:val="single"/>
              </w:rPr>
            </w:pPr>
            <w:r w:rsidRPr="00FA3F9C">
              <w:rPr>
                <w:rFonts w:ascii="Arial" w:hAnsi="Arial" w:cs="Arial"/>
                <w:b/>
                <w:sz w:val="24"/>
                <w:szCs w:val="24"/>
                <w:u w:val="single"/>
              </w:rPr>
              <w:t>Wilson’s Disease Criteria:</w:t>
            </w:r>
          </w:p>
        </w:tc>
      </w:tr>
      <w:tr w:rsidR="009B5AA5" w:rsidRPr="00FA3F9C" w14:paraId="0FB617A3" w14:textId="77777777" w:rsidTr="00EB0004">
        <w:tc>
          <w:tcPr>
            <w:tcW w:w="10998" w:type="dxa"/>
          </w:tcPr>
          <w:p w14:paraId="5AC34189" w14:textId="77777777" w:rsidR="009B5AA5" w:rsidRPr="00FA3F9C" w:rsidRDefault="009B5AA5" w:rsidP="00230802">
            <w:pPr>
              <w:rPr>
                <w:rFonts w:ascii="Arial" w:hAnsi="Arial" w:cs="Arial"/>
                <w:sz w:val="24"/>
                <w:szCs w:val="24"/>
              </w:rPr>
            </w:pPr>
            <w:r w:rsidRPr="00FA3F9C">
              <w:rPr>
                <w:rFonts w:ascii="Arial" w:hAnsi="Arial" w:cs="Arial"/>
                <w:sz w:val="24"/>
                <w:szCs w:val="24"/>
              </w:rPr>
              <w:t>1.  Must have the diagnosis of Wilson’s Disease.</w:t>
            </w:r>
          </w:p>
        </w:tc>
      </w:tr>
      <w:tr w:rsidR="009B5AA5" w:rsidRPr="00FA3F9C" w14:paraId="4BC9B85F" w14:textId="77777777" w:rsidTr="00EB0004">
        <w:tc>
          <w:tcPr>
            <w:tcW w:w="10998" w:type="dxa"/>
          </w:tcPr>
          <w:p w14:paraId="57B58D26" w14:textId="77777777" w:rsidR="009B5AA5" w:rsidRPr="00FA3F9C" w:rsidRDefault="009B5AA5" w:rsidP="00EB0004">
            <w:pPr>
              <w:rPr>
                <w:rFonts w:ascii="Arial" w:hAnsi="Arial" w:cs="Arial"/>
                <w:sz w:val="24"/>
                <w:szCs w:val="24"/>
              </w:rPr>
            </w:pPr>
            <w:r w:rsidRPr="00FA3F9C">
              <w:rPr>
                <w:rFonts w:ascii="Arial" w:hAnsi="Arial" w:cs="Arial"/>
                <w:sz w:val="24"/>
                <w:szCs w:val="24"/>
              </w:rPr>
              <w:t xml:space="preserve">2.  Must be symptomatic with either clinical hepatic symptoms or neurologic </w:t>
            </w:r>
            <w:proofErr w:type="gramStart"/>
            <w:r w:rsidRPr="00FA3F9C">
              <w:rPr>
                <w:rFonts w:ascii="Arial" w:hAnsi="Arial" w:cs="Arial"/>
                <w:sz w:val="24"/>
                <w:szCs w:val="24"/>
              </w:rPr>
              <w:t>symptoms;</w:t>
            </w:r>
            <w:proofErr w:type="gramEnd"/>
          </w:p>
          <w:p w14:paraId="6AF4C8D6" w14:textId="77777777" w:rsidR="009B5AA5" w:rsidRPr="00FA3F9C" w:rsidRDefault="009B5AA5" w:rsidP="00EB0004">
            <w:pPr>
              <w:rPr>
                <w:rFonts w:ascii="Arial" w:hAnsi="Arial" w:cs="Arial"/>
                <w:sz w:val="24"/>
                <w:szCs w:val="24"/>
              </w:rPr>
            </w:pPr>
            <w:r w:rsidRPr="00FA3F9C">
              <w:rPr>
                <w:rFonts w:ascii="Arial" w:hAnsi="Arial" w:cs="Arial"/>
                <w:sz w:val="24"/>
                <w:szCs w:val="24"/>
              </w:rPr>
              <w:t>If not symptomatic, profile must include zinc 150mg/day administered in 2-3 divided doses.</w:t>
            </w:r>
          </w:p>
        </w:tc>
      </w:tr>
      <w:tr w:rsidR="009B5AA5" w:rsidRPr="00FA3F9C" w14:paraId="2F4C45EC" w14:textId="77777777" w:rsidTr="00EB0004">
        <w:tc>
          <w:tcPr>
            <w:tcW w:w="10998" w:type="dxa"/>
          </w:tcPr>
          <w:p w14:paraId="14B2ED74" w14:textId="77777777" w:rsidR="009B5AA5" w:rsidRPr="00FA3F9C" w:rsidRDefault="009B5AA5" w:rsidP="006F623F">
            <w:pPr>
              <w:rPr>
                <w:rFonts w:ascii="Arial" w:eastAsia="Times New Roman" w:hAnsi="Arial" w:cs="Arial"/>
                <w:sz w:val="24"/>
                <w:szCs w:val="24"/>
              </w:rPr>
            </w:pPr>
            <w:r w:rsidRPr="00FA3F9C">
              <w:rPr>
                <w:rFonts w:ascii="Arial" w:hAnsi="Arial" w:cs="Arial"/>
                <w:sz w:val="24"/>
                <w:szCs w:val="24"/>
              </w:rPr>
              <w:t xml:space="preserve">3.  Must ingest a low copper diet (AVOID: </w:t>
            </w:r>
            <w:r w:rsidRPr="00FA3F9C">
              <w:rPr>
                <w:rFonts w:ascii="Arial" w:eastAsia="Times New Roman" w:hAnsi="Arial" w:cs="Arial"/>
                <w:color w:val="444444"/>
                <w:sz w:val="24"/>
                <w:szCs w:val="24"/>
                <w:shd w:val="clear" w:color="auto" w:fill="FFFFFF"/>
              </w:rPr>
              <w:t>lamb; pork; pheasant quail; duck; goose; squid; salmon; organ meats including liver, heart, kidney, brain; shellfish including oysters, scallops, shrimp, lobster, clams, and crab; meat gelatin; soy protein meat substitutes; tofu; nuts and seeds, vegetable juice cocktail, mushrooms, nectarine, commercially dried fruits including raisins, dates, prunes; avocado, dried beans including soy beans, lima beans, baked beans, garbanzo beans, pinto beans; dried peas; lentils; millet; barley; wheat germ; bran breads and cereals; cereals with &gt;0.2 mg of copper per serving (check label); soy flour; soy grits; fresh sweet potatoes, chocolate milk, soy milk, cocoa, desserts that contain high amounts of ingredients rich in copper; candy with nuts, chocolate, or cocoa, instant breakfast beverages, mineral water, soy-based beverages, copper-fortified formulas, brewer’s yeast, multiple vitamins with copper or minerals)</w:t>
            </w:r>
          </w:p>
        </w:tc>
      </w:tr>
    </w:tbl>
    <w:p w14:paraId="1C232CDA" w14:textId="77777777" w:rsidR="009B5AA5" w:rsidRPr="00FA3F9C" w:rsidRDefault="009B5AA5" w:rsidP="0002783B">
      <w:pPr>
        <w:spacing w:after="0"/>
        <w:rPr>
          <w:rFonts w:ascii="Arial" w:hAnsi="Arial" w:cs="Arial"/>
          <w:sz w:val="24"/>
          <w:szCs w:val="24"/>
        </w:rPr>
      </w:pPr>
      <w:r w:rsidRPr="00FA3F9C">
        <w:rPr>
          <w:rFonts w:ascii="Arial" w:hAnsi="Arial" w:cs="Arial"/>
          <w:sz w:val="24"/>
          <w:szCs w:val="24"/>
        </w:rPr>
        <w:t>Quantity Limit: 8 tabs/day (2g max/day)</w:t>
      </w:r>
    </w:p>
    <w:tbl>
      <w:tblPr>
        <w:tblStyle w:val="TableGrid"/>
        <w:tblW w:w="0" w:type="auto"/>
        <w:shd w:val="clear" w:color="auto" w:fill="BFBFBF" w:themeFill="background1" w:themeFillShade="BF"/>
        <w:tblLook w:val="04A0" w:firstRow="1" w:lastRow="0" w:firstColumn="1" w:lastColumn="0" w:noHBand="0" w:noVBand="1"/>
      </w:tblPr>
      <w:tblGrid>
        <w:gridCol w:w="10998"/>
      </w:tblGrid>
      <w:tr w:rsidR="009B5AA5" w:rsidRPr="00FA3F9C" w14:paraId="646D9372" w14:textId="77777777" w:rsidTr="00D82B6E">
        <w:tc>
          <w:tcPr>
            <w:tcW w:w="10998" w:type="dxa"/>
            <w:shd w:val="clear" w:color="auto" w:fill="BFBFBF" w:themeFill="background1" w:themeFillShade="BF"/>
          </w:tcPr>
          <w:p w14:paraId="0C7C70EE" w14:textId="77777777" w:rsidR="009B5AA5" w:rsidRPr="00FA3F9C" w:rsidRDefault="009B5AA5" w:rsidP="00D82B6E">
            <w:pPr>
              <w:rPr>
                <w:rFonts w:ascii="Arial" w:hAnsi="Arial" w:cs="Arial"/>
                <w:sz w:val="24"/>
                <w:szCs w:val="24"/>
              </w:rPr>
            </w:pPr>
            <w:r w:rsidRPr="00FA3F9C">
              <w:rPr>
                <w:rFonts w:ascii="Arial" w:hAnsi="Arial" w:cs="Arial"/>
                <w:sz w:val="24"/>
                <w:szCs w:val="24"/>
              </w:rPr>
              <w:t xml:space="preserve">Notes: </w:t>
            </w:r>
          </w:p>
          <w:p w14:paraId="1D0503C0" w14:textId="77777777" w:rsidR="009B5AA5" w:rsidRPr="00FA3F9C" w:rsidRDefault="009B5AA5" w:rsidP="00D82B6E">
            <w:pPr>
              <w:rPr>
                <w:rFonts w:ascii="Arial" w:hAnsi="Arial" w:cs="Arial"/>
                <w:sz w:val="24"/>
                <w:szCs w:val="24"/>
              </w:rPr>
            </w:pPr>
            <w:r w:rsidRPr="00FA3F9C">
              <w:rPr>
                <w:rFonts w:ascii="Arial" w:hAnsi="Arial" w:cs="Arial"/>
                <w:sz w:val="24"/>
                <w:szCs w:val="24"/>
              </w:rPr>
              <w:t xml:space="preserve">1. </w:t>
            </w:r>
            <w:proofErr w:type="spellStart"/>
            <w:r w:rsidRPr="00FA3F9C">
              <w:rPr>
                <w:rFonts w:ascii="Arial" w:hAnsi="Arial" w:cs="Arial"/>
                <w:sz w:val="24"/>
                <w:szCs w:val="24"/>
              </w:rPr>
              <w:t>Trientine</w:t>
            </w:r>
            <w:proofErr w:type="spellEnd"/>
            <w:r w:rsidRPr="00FA3F9C">
              <w:rPr>
                <w:rFonts w:ascii="Arial" w:hAnsi="Arial" w:cs="Arial"/>
                <w:sz w:val="24"/>
                <w:szCs w:val="24"/>
              </w:rPr>
              <w:t xml:space="preserve"> is sometimes used initially, especially in those presenting with neurologic symptoms since there is less commonly a flare of neurologic symptoms with the initiation of the drug as compared to penicillamine.  </w:t>
            </w:r>
            <w:proofErr w:type="spellStart"/>
            <w:r w:rsidRPr="00FA3F9C">
              <w:rPr>
                <w:rFonts w:ascii="Arial" w:hAnsi="Arial" w:cs="Arial"/>
                <w:sz w:val="24"/>
                <w:szCs w:val="24"/>
              </w:rPr>
              <w:t>Trientine</w:t>
            </w:r>
            <w:proofErr w:type="spellEnd"/>
            <w:r w:rsidRPr="00FA3F9C">
              <w:rPr>
                <w:rFonts w:ascii="Arial" w:hAnsi="Arial" w:cs="Arial"/>
                <w:sz w:val="24"/>
                <w:szCs w:val="24"/>
              </w:rPr>
              <w:t xml:space="preserve"> is FDA-approved for Wilson’s who are intolerant of penicillamine.</w:t>
            </w:r>
          </w:p>
        </w:tc>
      </w:tr>
    </w:tbl>
    <w:p w14:paraId="5ABE6D2E" w14:textId="77777777" w:rsidR="009B5AA5" w:rsidRPr="00FA3F9C" w:rsidRDefault="009B5AA5" w:rsidP="006F623F">
      <w:pPr>
        <w:spacing w:after="0"/>
        <w:rPr>
          <w:rFonts w:ascii="Arial" w:hAnsi="Arial" w:cs="Arial"/>
          <w:sz w:val="24"/>
          <w:szCs w:val="24"/>
        </w:rPr>
      </w:pPr>
    </w:p>
    <w:tbl>
      <w:tblPr>
        <w:tblStyle w:val="TableGrid"/>
        <w:tblW w:w="0" w:type="auto"/>
        <w:tblLook w:val="04A0" w:firstRow="1" w:lastRow="0" w:firstColumn="1" w:lastColumn="0" w:noHBand="0" w:noVBand="1"/>
      </w:tblPr>
      <w:tblGrid>
        <w:gridCol w:w="10998"/>
      </w:tblGrid>
      <w:tr w:rsidR="009B5AA5" w:rsidRPr="00FA3F9C" w14:paraId="0A9DD575" w14:textId="77777777" w:rsidTr="00230802">
        <w:tc>
          <w:tcPr>
            <w:tcW w:w="10998" w:type="dxa"/>
            <w:shd w:val="clear" w:color="auto" w:fill="000000"/>
          </w:tcPr>
          <w:p w14:paraId="566F65B6" w14:textId="77777777" w:rsidR="009B5AA5" w:rsidRPr="00FA3F9C" w:rsidRDefault="009B5AA5" w:rsidP="00230802">
            <w:pPr>
              <w:rPr>
                <w:rFonts w:ascii="Arial" w:hAnsi="Arial" w:cs="Arial"/>
                <w:b/>
                <w:sz w:val="24"/>
                <w:szCs w:val="24"/>
                <w:u w:val="single"/>
              </w:rPr>
            </w:pPr>
            <w:r w:rsidRPr="00FA3F9C">
              <w:rPr>
                <w:rFonts w:ascii="Arial" w:hAnsi="Arial" w:cs="Arial"/>
                <w:b/>
                <w:sz w:val="24"/>
                <w:szCs w:val="24"/>
                <w:u w:val="single"/>
              </w:rPr>
              <w:t>Cystinuria Criteria:</w:t>
            </w:r>
          </w:p>
        </w:tc>
      </w:tr>
      <w:tr w:rsidR="009B5AA5" w:rsidRPr="00FA3F9C" w14:paraId="374E4FAE" w14:textId="77777777" w:rsidTr="00230802">
        <w:tc>
          <w:tcPr>
            <w:tcW w:w="10998" w:type="dxa"/>
          </w:tcPr>
          <w:p w14:paraId="641290EA" w14:textId="77777777" w:rsidR="009B5AA5" w:rsidRPr="00FA3F9C" w:rsidRDefault="009B5AA5" w:rsidP="00230802">
            <w:pPr>
              <w:rPr>
                <w:rFonts w:ascii="Arial" w:hAnsi="Arial" w:cs="Arial"/>
                <w:sz w:val="24"/>
                <w:szCs w:val="24"/>
              </w:rPr>
            </w:pPr>
            <w:r w:rsidRPr="00FA3F9C">
              <w:rPr>
                <w:rFonts w:ascii="Arial" w:hAnsi="Arial" w:cs="Arial"/>
                <w:sz w:val="24"/>
                <w:szCs w:val="24"/>
              </w:rPr>
              <w:t xml:space="preserve">1.  Must have the diagnosis of </w:t>
            </w:r>
            <w:proofErr w:type="spellStart"/>
            <w:r w:rsidRPr="00FA3F9C">
              <w:rPr>
                <w:rFonts w:ascii="Arial" w:hAnsi="Arial" w:cs="Arial"/>
                <w:sz w:val="24"/>
                <w:szCs w:val="24"/>
              </w:rPr>
              <w:t>cystinura</w:t>
            </w:r>
            <w:proofErr w:type="spellEnd"/>
            <w:r w:rsidRPr="00FA3F9C">
              <w:rPr>
                <w:rFonts w:ascii="Arial" w:hAnsi="Arial" w:cs="Arial"/>
                <w:sz w:val="24"/>
                <w:szCs w:val="24"/>
              </w:rPr>
              <w:t>.</w:t>
            </w:r>
          </w:p>
        </w:tc>
      </w:tr>
      <w:tr w:rsidR="009B5AA5" w:rsidRPr="00FA3F9C" w14:paraId="6910F3DB" w14:textId="77777777" w:rsidTr="00230802">
        <w:tc>
          <w:tcPr>
            <w:tcW w:w="10998" w:type="dxa"/>
          </w:tcPr>
          <w:p w14:paraId="5253848D" w14:textId="77777777" w:rsidR="009B5AA5" w:rsidRPr="00FA3F9C" w:rsidRDefault="009B5AA5" w:rsidP="0070007F">
            <w:pPr>
              <w:rPr>
                <w:rFonts w:ascii="Arial" w:hAnsi="Arial" w:cs="Arial"/>
                <w:sz w:val="24"/>
                <w:szCs w:val="24"/>
              </w:rPr>
            </w:pPr>
            <w:r w:rsidRPr="00FA3F9C">
              <w:rPr>
                <w:rFonts w:ascii="Arial" w:hAnsi="Arial" w:cs="Arial"/>
                <w:sz w:val="24"/>
                <w:szCs w:val="24"/>
              </w:rPr>
              <w:t>2.  The patient’s profile must show they have used 3-4meq/kg per day of potassium citrate or potassium bicarbonate in 3-4 divided doses/day or else have a contraindication to it.  Potassium citrate and K bicarbonate are used to alkalinize the urine and solubilize the cystine stones.  (Sodium citrate and sodium bicarbonate should be AVOIDED.)</w:t>
            </w:r>
          </w:p>
        </w:tc>
      </w:tr>
      <w:tr w:rsidR="009B5AA5" w:rsidRPr="00FA3F9C" w14:paraId="13298971" w14:textId="77777777" w:rsidTr="00230802">
        <w:tc>
          <w:tcPr>
            <w:tcW w:w="10998" w:type="dxa"/>
          </w:tcPr>
          <w:p w14:paraId="4A680235" w14:textId="77777777" w:rsidR="009B5AA5" w:rsidRPr="00FA3F9C" w:rsidRDefault="009B5AA5" w:rsidP="00230802">
            <w:pPr>
              <w:rPr>
                <w:rFonts w:ascii="Arial" w:eastAsia="Times New Roman" w:hAnsi="Arial" w:cs="Arial"/>
                <w:sz w:val="24"/>
                <w:szCs w:val="24"/>
              </w:rPr>
            </w:pPr>
            <w:r w:rsidRPr="00FA3F9C">
              <w:rPr>
                <w:rFonts w:ascii="Arial" w:hAnsi="Arial" w:cs="Arial"/>
                <w:sz w:val="24"/>
                <w:szCs w:val="24"/>
              </w:rPr>
              <w:t xml:space="preserve">3.  Must ingest a low copper diet (AVOID: </w:t>
            </w:r>
            <w:r w:rsidRPr="00FA3F9C">
              <w:rPr>
                <w:rFonts w:ascii="Arial" w:eastAsia="Times New Roman" w:hAnsi="Arial" w:cs="Arial"/>
                <w:color w:val="444444"/>
                <w:sz w:val="24"/>
                <w:szCs w:val="24"/>
                <w:shd w:val="clear" w:color="auto" w:fill="FFFFFF"/>
              </w:rPr>
              <w:t xml:space="preserve">lamb; pork; pheasant quail; duck; goose; squid; salmon; organ meats including liver, heart, kidney, brain; shellfish including oysters, scallops, shrimp, lobster, clams, and crab; meat gelatin; soy protein meat substitutes; tofu; nuts and seeds, vegetable juice cocktail, mushrooms, nectarine, commercially dried fruits including raisins, dates, prunes; avocado, </w:t>
            </w:r>
            <w:r w:rsidRPr="00FA3F9C">
              <w:rPr>
                <w:rFonts w:ascii="Arial" w:eastAsia="Times New Roman" w:hAnsi="Arial" w:cs="Arial"/>
                <w:color w:val="444444"/>
                <w:sz w:val="24"/>
                <w:szCs w:val="24"/>
                <w:shd w:val="clear" w:color="auto" w:fill="FFFFFF"/>
              </w:rPr>
              <w:lastRenderedPageBreak/>
              <w:t>dried beans including soy beans, lima beans, baked beans, garbanzo beans, pinto beans; dried peas; lentils; millet; barley; wheat germ; bran breads and cereals; cereals with &gt;0.2 mg of copper per serving (check label); soy flour; soy grits; fresh sweet potatoes, chocolate milk, soy milk, cocoa, desserts that contain high amounts of ingredients rich in copper; candy with nuts, chocolate, or cocoa, instant breakfast beverages, mineral water, soy-based beverages, copper-fortified formulas, brewer’s yeast, multiple vitamins with copper or minerals)</w:t>
            </w:r>
          </w:p>
        </w:tc>
      </w:tr>
    </w:tbl>
    <w:p w14:paraId="3B8A73E4" w14:textId="77777777" w:rsidR="009B5AA5" w:rsidRPr="00FA3F9C" w:rsidRDefault="009B5AA5" w:rsidP="006F623F">
      <w:pPr>
        <w:spacing w:after="0"/>
        <w:rPr>
          <w:rFonts w:ascii="Arial" w:hAnsi="Arial" w:cs="Arial"/>
          <w:sz w:val="24"/>
          <w:szCs w:val="24"/>
        </w:rPr>
      </w:pPr>
      <w:r w:rsidRPr="00FA3F9C">
        <w:rPr>
          <w:rFonts w:ascii="Arial" w:hAnsi="Arial" w:cs="Arial"/>
          <w:sz w:val="24"/>
          <w:szCs w:val="24"/>
        </w:rPr>
        <w:lastRenderedPageBreak/>
        <w:t>Quantity Limit: of 8tab/day (2g max/day)</w:t>
      </w:r>
    </w:p>
    <w:p w14:paraId="498CC260" w14:textId="77777777" w:rsidR="009B5AA5" w:rsidRPr="00FA3F9C" w:rsidRDefault="009B5AA5" w:rsidP="006F623F">
      <w:pPr>
        <w:spacing w:after="0"/>
        <w:rPr>
          <w:rFonts w:ascii="Arial" w:hAnsi="Arial" w:cs="Arial"/>
          <w:sz w:val="24"/>
          <w:szCs w:val="24"/>
        </w:rPr>
      </w:pPr>
    </w:p>
    <w:p w14:paraId="3809C0D5" w14:textId="77777777" w:rsidR="009B5AA5" w:rsidRPr="00FA3F9C" w:rsidRDefault="009B5AA5"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017"/>
        <w:gridCol w:w="7470"/>
        <w:gridCol w:w="2538"/>
      </w:tblGrid>
      <w:tr w:rsidR="009B5AA5" w:rsidRPr="00FA3F9C" w14:paraId="21F7ADEB" w14:textId="77777777" w:rsidTr="00FE491B">
        <w:tc>
          <w:tcPr>
            <w:tcW w:w="1008" w:type="dxa"/>
          </w:tcPr>
          <w:p w14:paraId="69376AB1" w14:textId="77777777" w:rsidR="009B5AA5" w:rsidRPr="00FA3F9C" w:rsidRDefault="009B5AA5" w:rsidP="006F623F">
            <w:pPr>
              <w:rPr>
                <w:rFonts w:ascii="Arial" w:hAnsi="Arial" w:cs="Arial"/>
                <w:sz w:val="24"/>
                <w:szCs w:val="24"/>
              </w:rPr>
            </w:pPr>
            <w:r w:rsidRPr="00FA3F9C">
              <w:rPr>
                <w:rFonts w:ascii="Arial" w:hAnsi="Arial" w:cs="Arial"/>
                <w:sz w:val="24"/>
                <w:szCs w:val="24"/>
              </w:rPr>
              <w:t>Date</w:t>
            </w:r>
          </w:p>
        </w:tc>
        <w:tc>
          <w:tcPr>
            <w:tcW w:w="7470" w:type="dxa"/>
          </w:tcPr>
          <w:p w14:paraId="0E04F4CD" w14:textId="77777777" w:rsidR="009B5AA5" w:rsidRPr="00FA3F9C" w:rsidRDefault="009B5AA5" w:rsidP="006F623F">
            <w:pPr>
              <w:rPr>
                <w:rFonts w:ascii="Arial" w:hAnsi="Arial" w:cs="Arial"/>
                <w:sz w:val="24"/>
                <w:szCs w:val="24"/>
              </w:rPr>
            </w:pPr>
            <w:r w:rsidRPr="00FA3F9C">
              <w:rPr>
                <w:rFonts w:ascii="Arial" w:hAnsi="Arial" w:cs="Arial"/>
                <w:sz w:val="24"/>
                <w:szCs w:val="24"/>
              </w:rPr>
              <w:t>What changed</w:t>
            </w:r>
          </w:p>
        </w:tc>
        <w:tc>
          <w:tcPr>
            <w:tcW w:w="2538" w:type="dxa"/>
          </w:tcPr>
          <w:p w14:paraId="6F30108C" w14:textId="77777777" w:rsidR="009B5AA5" w:rsidRPr="00FA3F9C" w:rsidRDefault="009B5AA5" w:rsidP="006F623F">
            <w:pPr>
              <w:rPr>
                <w:rFonts w:ascii="Arial" w:hAnsi="Arial" w:cs="Arial"/>
                <w:sz w:val="24"/>
                <w:szCs w:val="24"/>
              </w:rPr>
            </w:pPr>
            <w:r w:rsidRPr="00FA3F9C">
              <w:rPr>
                <w:rFonts w:ascii="Arial" w:hAnsi="Arial" w:cs="Arial"/>
                <w:sz w:val="24"/>
                <w:szCs w:val="24"/>
              </w:rPr>
              <w:t>Pharmacist’s initials</w:t>
            </w:r>
          </w:p>
        </w:tc>
      </w:tr>
      <w:tr w:rsidR="009B5AA5" w:rsidRPr="00FA3F9C" w14:paraId="6C85E4A0" w14:textId="77777777" w:rsidTr="00FE491B">
        <w:tc>
          <w:tcPr>
            <w:tcW w:w="1008" w:type="dxa"/>
          </w:tcPr>
          <w:p w14:paraId="35D7C8F1" w14:textId="77777777" w:rsidR="009B5AA5" w:rsidRPr="00FA3F9C" w:rsidRDefault="009B5AA5" w:rsidP="006F623F">
            <w:pPr>
              <w:rPr>
                <w:rFonts w:ascii="Arial" w:hAnsi="Arial" w:cs="Arial"/>
                <w:sz w:val="24"/>
                <w:szCs w:val="24"/>
              </w:rPr>
            </w:pPr>
            <w:r w:rsidRPr="00FA3F9C">
              <w:rPr>
                <w:rFonts w:ascii="Arial" w:hAnsi="Arial" w:cs="Arial"/>
                <w:sz w:val="24"/>
                <w:szCs w:val="24"/>
              </w:rPr>
              <w:t>10/2/15</w:t>
            </w:r>
          </w:p>
        </w:tc>
        <w:tc>
          <w:tcPr>
            <w:tcW w:w="7470" w:type="dxa"/>
          </w:tcPr>
          <w:p w14:paraId="3244A4B6" w14:textId="77777777" w:rsidR="009B5AA5" w:rsidRPr="00FA3F9C" w:rsidRDefault="009B5AA5" w:rsidP="006F623F">
            <w:pPr>
              <w:rPr>
                <w:rFonts w:ascii="Arial" w:hAnsi="Arial" w:cs="Arial"/>
                <w:sz w:val="24"/>
                <w:szCs w:val="24"/>
              </w:rPr>
            </w:pPr>
            <w:r w:rsidRPr="00FA3F9C">
              <w:rPr>
                <w:rFonts w:ascii="Arial" w:hAnsi="Arial" w:cs="Arial"/>
                <w:sz w:val="24"/>
                <w:szCs w:val="24"/>
              </w:rPr>
              <w:t>I wrote the criteria.  I did not include RA as a covered use since the RA guidelines state this is more toxic and there are more effective alternatives.</w:t>
            </w:r>
          </w:p>
        </w:tc>
        <w:tc>
          <w:tcPr>
            <w:tcW w:w="2538" w:type="dxa"/>
          </w:tcPr>
          <w:p w14:paraId="0E6FA7D2" w14:textId="77777777" w:rsidR="009B5AA5" w:rsidRPr="00FA3F9C" w:rsidRDefault="009B5AA5" w:rsidP="006F623F">
            <w:pPr>
              <w:rPr>
                <w:rFonts w:ascii="Arial" w:hAnsi="Arial" w:cs="Arial"/>
                <w:sz w:val="24"/>
                <w:szCs w:val="24"/>
              </w:rPr>
            </w:pPr>
            <w:r w:rsidRPr="00FA3F9C">
              <w:rPr>
                <w:rFonts w:ascii="Arial" w:hAnsi="Arial" w:cs="Arial"/>
                <w:sz w:val="24"/>
                <w:szCs w:val="24"/>
              </w:rPr>
              <w:t>JJ</w:t>
            </w:r>
          </w:p>
        </w:tc>
      </w:tr>
      <w:tr w:rsidR="009B5AA5" w:rsidRPr="00FA3F9C" w14:paraId="66038DDE" w14:textId="77777777" w:rsidTr="00FE491B">
        <w:tc>
          <w:tcPr>
            <w:tcW w:w="1008" w:type="dxa"/>
          </w:tcPr>
          <w:p w14:paraId="67A0B6F3" w14:textId="77777777" w:rsidR="009B5AA5" w:rsidRPr="00FA3F9C" w:rsidRDefault="009B5AA5" w:rsidP="006F623F">
            <w:pPr>
              <w:rPr>
                <w:rFonts w:ascii="Arial" w:hAnsi="Arial" w:cs="Arial"/>
                <w:sz w:val="24"/>
                <w:szCs w:val="24"/>
              </w:rPr>
            </w:pPr>
          </w:p>
        </w:tc>
        <w:tc>
          <w:tcPr>
            <w:tcW w:w="7470" w:type="dxa"/>
          </w:tcPr>
          <w:p w14:paraId="1B97669D" w14:textId="77777777" w:rsidR="009B5AA5" w:rsidRPr="00FA3F9C" w:rsidRDefault="009B5AA5" w:rsidP="006F623F">
            <w:pPr>
              <w:rPr>
                <w:rFonts w:ascii="Arial" w:hAnsi="Arial" w:cs="Arial"/>
                <w:sz w:val="24"/>
                <w:szCs w:val="24"/>
              </w:rPr>
            </w:pPr>
          </w:p>
        </w:tc>
        <w:tc>
          <w:tcPr>
            <w:tcW w:w="2538" w:type="dxa"/>
          </w:tcPr>
          <w:p w14:paraId="1A4862D0" w14:textId="77777777" w:rsidR="009B5AA5" w:rsidRPr="00FA3F9C" w:rsidRDefault="009B5AA5" w:rsidP="006F623F">
            <w:pPr>
              <w:rPr>
                <w:rFonts w:ascii="Arial" w:hAnsi="Arial" w:cs="Arial"/>
                <w:sz w:val="24"/>
                <w:szCs w:val="24"/>
              </w:rPr>
            </w:pPr>
          </w:p>
        </w:tc>
      </w:tr>
    </w:tbl>
    <w:p w14:paraId="3166625A" w14:textId="77777777" w:rsidR="009B5AA5" w:rsidRPr="00FA3F9C" w:rsidRDefault="009B5AA5" w:rsidP="0070007F">
      <w:pPr>
        <w:spacing w:after="0"/>
        <w:rPr>
          <w:rFonts w:ascii="Arial" w:hAnsi="Arial" w:cs="Arial"/>
          <w:sz w:val="24"/>
          <w:szCs w:val="24"/>
        </w:rPr>
      </w:pPr>
    </w:p>
    <w:p w14:paraId="3FD7F555" w14:textId="77777777" w:rsidR="009B5AA5" w:rsidRPr="00FA3F9C" w:rsidRDefault="009B5AA5" w:rsidP="00076432">
      <w:r w:rsidRPr="00FA3F9C">
        <w:t>References:</w:t>
      </w:r>
    </w:p>
    <w:p w14:paraId="5AEB812A" w14:textId="77777777" w:rsidR="009B5AA5" w:rsidRPr="00FA3F9C" w:rsidRDefault="009B5AA5" w:rsidP="00076432">
      <w:r w:rsidRPr="00FA3F9C">
        <w:t xml:space="preserve">1.  Roberts EA, </w:t>
      </w:r>
      <w:proofErr w:type="spellStart"/>
      <w:r w:rsidRPr="00FA3F9C">
        <w:t>Schilsky</w:t>
      </w:r>
      <w:proofErr w:type="spellEnd"/>
      <w:r w:rsidRPr="00FA3F9C">
        <w:t xml:space="preserve"> ML.  Diagnosis and treatment of Wilson disease: An update.  Hepatology. 2008;47(6): 2089-2111.</w:t>
      </w:r>
    </w:p>
    <w:p w14:paraId="17C70672" w14:textId="77777777" w:rsidR="009B5AA5" w:rsidRPr="00FA3F9C" w:rsidRDefault="009B5AA5" w:rsidP="00076432">
      <w:r w:rsidRPr="00FA3F9C">
        <w:t xml:space="preserve">2.  Dietary Special Considerations.  </w:t>
      </w:r>
      <w:hyperlink r:id="rId344" w:history="1">
        <w:r w:rsidRPr="00FA3F9C">
          <w:rPr>
            <w:rStyle w:val="Hyperlink"/>
            <w:rFonts w:ascii="Arial" w:hAnsi="Arial" w:cs="Arial"/>
            <w:sz w:val="24"/>
            <w:szCs w:val="24"/>
          </w:rPr>
          <w:t>http://gicare.com/diets/copper-restriction/</w:t>
        </w:r>
      </w:hyperlink>
    </w:p>
    <w:p w14:paraId="494F0341" w14:textId="77777777" w:rsidR="009B5AA5" w:rsidRPr="00FA3F9C" w:rsidRDefault="009B5AA5" w:rsidP="00076432">
      <w:r w:rsidRPr="00FA3F9C">
        <w:t xml:space="preserve"> (</w:t>
      </w:r>
      <w:proofErr w:type="gramStart"/>
      <w:r w:rsidRPr="00FA3F9C">
        <w:t>accessed</w:t>
      </w:r>
      <w:proofErr w:type="gramEnd"/>
      <w:r w:rsidRPr="00FA3F9C">
        <w:t xml:space="preserve"> 10/2/15).</w:t>
      </w:r>
    </w:p>
    <w:p w14:paraId="773CA528" w14:textId="77777777" w:rsidR="009B5AA5" w:rsidRPr="00FA3F9C" w:rsidRDefault="009B5AA5" w:rsidP="00076432">
      <w:r w:rsidRPr="00FA3F9C">
        <w:t xml:space="preserve">3.  Cystinuria treatment. </w:t>
      </w:r>
      <w:hyperlink r:id="rId345" w:history="1">
        <w:r w:rsidRPr="00FA3F9C">
          <w:rPr>
            <w:rStyle w:val="Hyperlink"/>
            <w:rFonts w:ascii="Arial" w:hAnsi="Arial" w:cs="Arial"/>
            <w:sz w:val="24"/>
            <w:szCs w:val="24"/>
          </w:rPr>
          <w:t>www.uptodate.com</w:t>
        </w:r>
      </w:hyperlink>
      <w:r w:rsidRPr="00FA3F9C">
        <w:t xml:space="preserve">  (Accessed 10/2/15).</w:t>
      </w:r>
    </w:p>
    <w:p w14:paraId="6C98F9D9" w14:textId="77777777" w:rsidR="009B5AA5" w:rsidRPr="00FA3F9C" w:rsidRDefault="009B5AA5" w:rsidP="00076432">
      <w:r w:rsidRPr="00FA3F9C">
        <w:t xml:space="preserve">4.  Weiss KH, </w:t>
      </w:r>
      <w:proofErr w:type="spellStart"/>
      <w:r w:rsidRPr="00FA3F9C">
        <w:t>Stremmel</w:t>
      </w:r>
      <w:proofErr w:type="spellEnd"/>
      <w:r w:rsidRPr="00FA3F9C">
        <w:t xml:space="preserve"> W.  Clinical considerations for an effective medical therapy in Wilson’s disease.  Annals of the New York Academy of Sciences. 2014;1315:81-85. (Review Article)</w:t>
      </w:r>
    </w:p>
    <w:p w14:paraId="43B5DFA9" w14:textId="77777777" w:rsidR="009B5AA5" w:rsidRPr="00FA3F9C" w:rsidRDefault="009B5AA5" w:rsidP="00076432">
      <w:pPr>
        <w:rPr>
          <w:b/>
          <w:color w:val="000000"/>
        </w:rPr>
      </w:pPr>
      <w:r w:rsidRPr="00FA3F9C">
        <w:rPr>
          <w:lang w:val="fr-FR"/>
        </w:rPr>
        <w:t xml:space="preserve">5.   Brewer GJ, Askari F, et al.  </w:t>
      </w:r>
      <w:r w:rsidRPr="00FA3F9C">
        <w:rPr>
          <w:color w:val="000000"/>
        </w:rPr>
        <w:t xml:space="preserve">Treatment of Wilson disease with ammonium </w:t>
      </w:r>
      <w:proofErr w:type="spellStart"/>
      <w:r w:rsidRPr="00FA3F9C">
        <w:rPr>
          <w:color w:val="000000"/>
        </w:rPr>
        <w:t>tetrathiomolybdate</w:t>
      </w:r>
      <w:proofErr w:type="spellEnd"/>
      <w:r w:rsidRPr="00FA3F9C">
        <w:rPr>
          <w:color w:val="000000"/>
        </w:rPr>
        <w:t xml:space="preserve">: IV. Comparison of </w:t>
      </w:r>
      <w:proofErr w:type="spellStart"/>
      <w:r w:rsidRPr="00FA3F9C">
        <w:rPr>
          <w:color w:val="000000"/>
        </w:rPr>
        <w:t>tetrathiomolybdate</w:t>
      </w:r>
      <w:proofErr w:type="spellEnd"/>
      <w:r w:rsidRPr="00FA3F9C">
        <w:rPr>
          <w:color w:val="000000"/>
        </w:rPr>
        <w:t xml:space="preserve"> and </w:t>
      </w:r>
      <w:proofErr w:type="spellStart"/>
      <w:r w:rsidRPr="00FA3F9C">
        <w:rPr>
          <w:color w:val="000000"/>
        </w:rPr>
        <w:t>trientine</w:t>
      </w:r>
      <w:proofErr w:type="spellEnd"/>
      <w:r w:rsidRPr="00FA3F9C">
        <w:rPr>
          <w:color w:val="000000"/>
        </w:rPr>
        <w:t xml:space="preserve"> in a double-blind study of treatment of the neurologic presentation of Wilson disease. Arch Neurol. 2006. 63(4):521-7.</w:t>
      </w:r>
    </w:p>
    <w:p w14:paraId="33522A8A" w14:textId="77777777" w:rsidR="009B5AA5" w:rsidRPr="00FA3F9C" w:rsidRDefault="009B5AA5" w:rsidP="00076432">
      <w:r w:rsidRPr="00FA3F9C">
        <w:t xml:space="preserve">6.  Penicillamine for Wilson’s disease.  </w:t>
      </w:r>
      <w:proofErr w:type="spellStart"/>
      <w:r w:rsidRPr="00FA3F9C">
        <w:t>Coch</w:t>
      </w:r>
      <w:proofErr w:type="spellEnd"/>
      <w:r w:rsidRPr="00FA3F9C">
        <w:t xml:space="preserve"> Sys Rev protocol only.  No results. 2012.</w:t>
      </w:r>
    </w:p>
    <w:p w14:paraId="7236C94B" w14:textId="77777777" w:rsidR="009B5AA5" w:rsidRPr="00FA3F9C" w:rsidRDefault="009B5AA5" w:rsidP="00076432">
      <w:pPr>
        <w:rPr>
          <w:rFonts w:eastAsia="Times New Roman"/>
        </w:rPr>
      </w:pPr>
      <w:r w:rsidRPr="00FA3F9C">
        <w:t xml:space="preserve">7.  </w:t>
      </w:r>
      <w:r w:rsidRPr="00FA3F9C">
        <w:rPr>
          <w:rFonts w:eastAsia="Times New Roman"/>
        </w:rPr>
        <w:t>Suarez-</w:t>
      </w:r>
      <w:proofErr w:type="spellStart"/>
      <w:r w:rsidRPr="00FA3F9C">
        <w:rPr>
          <w:rFonts w:eastAsia="Times New Roman"/>
        </w:rPr>
        <w:t>Almazor</w:t>
      </w:r>
      <w:proofErr w:type="spellEnd"/>
      <w:r w:rsidRPr="00FA3F9C">
        <w:rPr>
          <w:rFonts w:eastAsia="Times New Roman"/>
        </w:rPr>
        <w:t xml:space="preserve"> ME, </w:t>
      </w:r>
      <w:proofErr w:type="spellStart"/>
      <w:r w:rsidRPr="00FA3F9C">
        <w:rPr>
          <w:rFonts w:eastAsia="Times New Roman"/>
        </w:rPr>
        <w:t>Belseck</w:t>
      </w:r>
      <w:proofErr w:type="spellEnd"/>
      <w:r w:rsidRPr="00FA3F9C">
        <w:rPr>
          <w:rFonts w:eastAsia="Times New Roman"/>
        </w:rPr>
        <w:t xml:space="preserve"> E, Spooner C. Penicillamine for treating rheumatoid arthritis (RA). Cochrane Database of Systematic Reviews 2000, Issue 4. Art. No.: CD001460. DOI: 10.1002/14651858.CD001460.</w:t>
      </w:r>
    </w:p>
    <w:p w14:paraId="3AD5484B" w14:textId="77777777" w:rsidR="009B5AA5" w:rsidRPr="00FA3F9C" w:rsidRDefault="009B5AA5" w:rsidP="00076432">
      <w:pPr>
        <w:rPr>
          <w:u w:val="single"/>
        </w:rPr>
      </w:pPr>
      <w:r w:rsidRPr="00FA3F9C">
        <w:lastRenderedPageBreak/>
        <w:t xml:space="preserve">8.  Qureshi MJ, Kumar M. D-Penicillamine for preventing retinopathy of prematurity in preterm infants. Cochrane </w:t>
      </w:r>
    </w:p>
    <w:p w14:paraId="23433D70" w14:textId="77777777" w:rsidR="009B5AA5" w:rsidRPr="00FA3F9C" w:rsidRDefault="009B5AA5" w:rsidP="00076432">
      <w:r w:rsidRPr="00FA3F9C">
        <w:t xml:space="preserve">9.  Klingenberg SL, </w:t>
      </w:r>
      <w:proofErr w:type="spellStart"/>
      <w:r w:rsidRPr="00FA3F9C">
        <w:t>ChenW</w:t>
      </w:r>
      <w:proofErr w:type="spellEnd"/>
      <w:r w:rsidRPr="00FA3F9C">
        <w:t>. D-penicillamine for primary sclerosing cholangitis (PSC). Cochrane Database of Systematic Reviews 2006, Issue 1. Art. No.: CD004182. DOI:  10.1002/14651858. CD004182.pub3.</w:t>
      </w:r>
    </w:p>
    <w:p w14:paraId="6598C382" w14:textId="77777777" w:rsidR="009B5AA5" w:rsidRPr="00FA3F9C" w:rsidRDefault="009B5AA5" w:rsidP="00076432">
      <w:r w:rsidRPr="00FA3F9C">
        <w:t xml:space="preserve">10.  Gong Y, Klingenberg SL, </w:t>
      </w:r>
      <w:proofErr w:type="spellStart"/>
      <w:r w:rsidRPr="00FA3F9C">
        <w:t>Gluud</w:t>
      </w:r>
      <w:proofErr w:type="spellEnd"/>
      <w:r w:rsidRPr="00FA3F9C">
        <w:t xml:space="preserve"> C. D-penicillamine for primary biliary cirrhosis (PBC). Cochrane Database of Systematic Reviews 2004, Issue 4. Art. No.: CD004789. DOI:   10.1002/14651858. CD004789.pub2.</w:t>
      </w:r>
    </w:p>
    <w:p w14:paraId="3091398E" w14:textId="77777777" w:rsidR="009B5AA5" w:rsidRPr="00FA3F9C" w:rsidRDefault="009B5AA5" w:rsidP="00076432">
      <w:r w:rsidRPr="00FA3F9C">
        <w:t xml:space="preserve">11.  Thornton J, </w:t>
      </w:r>
      <w:proofErr w:type="spellStart"/>
      <w:r w:rsidRPr="00FA3F9C">
        <w:t>Rangaraj</w:t>
      </w:r>
      <w:proofErr w:type="spellEnd"/>
      <w:r w:rsidRPr="00FA3F9C">
        <w:t xml:space="preserve"> S. Disease modifying anti-rheumatic drugs in people with cystic fibrosis(CF)-related arthritis. Cochrane Database of Systematic Reviews 2012, Issue 9. Art. No.: CD007336. DOI: 10.1002/14651858.CD007336.pub3.</w:t>
      </w:r>
    </w:p>
    <w:p w14:paraId="4E59C292" w14:textId="77777777" w:rsidR="009B5AA5" w:rsidRPr="00FA3F9C" w:rsidRDefault="009B5AA5" w:rsidP="00076432"/>
    <w:p w14:paraId="648A278A" w14:textId="16104E29" w:rsidR="009B5AA5" w:rsidRPr="00FA3F9C" w:rsidRDefault="009B5AA5" w:rsidP="00076432">
      <w:r w:rsidRPr="00FA3F9C">
        <w:t xml:space="preserve">For summaries of these articles, see </w:t>
      </w:r>
      <w:r w:rsidR="005C142D" w:rsidRPr="00FA3F9C">
        <w:t>JJ</w:t>
      </w:r>
      <w:r w:rsidRPr="00FA3F9C">
        <w:t>’s summary on 1Jill/contracts/</w:t>
      </w:r>
      <w:proofErr w:type="spellStart"/>
      <w:r w:rsidRPr="00FA3F9C">
        <w:t>ebrx</w:t>
      </w:r>
      <w:proofErr w:type="spellEnd"/>
      <w:r w:rsidRPr="00FA3F9C">
        <w:t xml:space="preserve">/penicillamine </w:t>
      </w:r>
      <w:proofErr w:type="spellStart"/>
      <w:r w:rsidRPr="00FA3F9C">
        <w:t>trientine</w:t>
      </w:r>
      <w:proofErr w:type="spellEnd"/>
    </w:p>
    <w:p w14:paraId="231BC46F" w14:textId="77777777" w:rsidR="009B5AA5" w:rsidRPr="00FA3F9C" w:rsidRDefault="009B5AA5" w:rsidP="006F623F">
      <w:pPr>
        <w:spacing w:after="0"/>
        <w:rPr>
          <w:rFonts w:ascii="Arial" w:hAnsi="Arial" w:cs="Arial"/>
          <w:sz w:val="24"/>
          <w:szCs w:val="24"/>
        </w:rPr>
      </w:pPr>
    </w:p>
    <w:p w14:paraId="14DA18AB" w14:textId="77777777" w:rsidR="009B5AA5" w:rsidRPr="00FA3F9C" w:rsidRDefault="009B5AA5" w:rsidP="002B2097">
      <w:pPr>
        <w:pStyle w:val="Heading2"/>
        <w:rPr>
          <w:lang w:val="es-ES"/>
        </w:rPr>
      </w:pPr>
      <w:bookmarkStart w:id="272" w:name="_Toc106369897"/>
      <w:proofErr w:type="spellStart"/>
      <w:r w:rsidRPr="00FA3F9C">
        <w:rPr>
          <w:lang w:val="es-ES"/>
        </w:rPr>
        <w:t>Pertuzumab</w:t>
      </w:r>
      <w:proofErr w:type="spellEnd"/>
      <w:r w:rsidRPr="00FA3F9C">
        <w:rPr>
          <w:lang w:val="es-ES"/>
        </w:rPr>
        <w:t xml:space="preserve"> (</w:t>
      </w:r>
      <w:proofErr w:type="spellStart"/>
      <w:r w:rsidRPr="00FA3F9C">
        <w:rPr>
          <w:lang w:val="es-ES"/>
        </w:rPr>
        <w:t>Perjeta</w:t>
      </w:r>
      <w:proofErr w:type="spellEnd"/>
      <w:r w:rsidRPr="00FA3F9C">
        <w:rPr>
          <w:lang w:val="es-ES"/>
        </w:rPr>
        <w:t>)</w:t>
      </w:r>
      <w:bookmarkEnd w:id="272"/>
      <w:r w:rsidRPr="00FA3F9C">
        <w:rPr>
          <w:lang w:val="es-ES"/>
        </w:rPr>
        <w:t xml:space="preserve"> </w:t>
      </w:r>
    </w:p>
    <w:p w14:paraId="0DF124A0" w14:textId="77777777" w:rsidR="009B5AA5" w:rsidRPr="00FA3F9C" w:rsidRDefault="009B5AA5" w:rsidP="008B48E4">
      <w:pPr>
        <w:spacing w:after="0"/>
        <w:jc w:val="center"/>
        <w:rPr>
          <w:rFonts w:ascii="Arial" w:hAnsi="Arial" w:cs="Arial"/>
          <w:sz w:val="24"/>
          <w:szCs w:val="24"/>
          <w:lang w:val="es-ES"/>
        </w:rPr>
      </w:pPr>
      <w:r w:rsidRPr="00FA3F9C">
        <w:rPr>
          <w:rFonts w:ascii="Arial" w:hAnsi="Arial" w:cs="Arial"/>
          <w:sz w:val="24"/>
          <w:szCs w:val="24"/>
          <w:lang w:val="es-ES"/>
        </w:rPr>
        <w:t>420 mg/14 ml vial</w:t>
      </w:r>
    </w:p>
    <w:p w14:paraId="7716D30E" w14:textId="77777777" w:rsidR="009B5AA5" w:rsidRPr="00FA3F9C" w:rsidRDefault="009B5AA5" w:rsidP="002C6AE2">
      <w:pPr>
        <w:spacing w:after="0"/>
        <w:jc w:val="center"/>
        <w:rPr>
          <w:rFonts w:ascii="Arial" w:hAnsi="Arial" w:cs="Arial"/>
          <w:sz w:val="24"/>
          <w:szCs w:val="24"/>
          <w:lang w:val="es-ES"/>
        </w:rPr>
      </w:pPr>
      <w:r w:rsidRPr="00FA3F9C">
        <w:rPr>
          <w:rFonts w:ascii="Arial" w:hAnsi="Arial" w:cs="Arial"/>
          <w:sz w:val="24"/>
          <w:szCs w:val="24"/>
          <w:lang w:val="es-ES"/>
        </w:rPr>
        <w:t xml:space="preserve">EBRx PA </w:t>
      </w:r>
      <w:proofErr w:type="spellStart"/>
      <w:r w:rsidRPr="00FA3F9C">
        <w:rPr>
          <w:rFonts w:ascii="Arial" w:hAnsi="Arial" w:cs="Arial"/>
          <w:sz w:val="24"/>
          <w:szCs w:val="24"/>
          <w:lang w:val="es-ES"/>
        </w:rPr>
        <w:t>Criteria</w:t>
      </w:r>
      <w:proofErr w:type="spellEnd"/>
    </w:p>
    <w:p w14:paraId="41ABC47C" w14:textId="77777777" w:rsidR="009B5AA5" w:rsidRPr="00FA3F9C" w:rsidRDefault="009B5AA5" w:rsidP="005E1FAA">
      <w:pPr>
        <w:spacing w:after="0"/>
        <w:rPr>
          <w:rFonts w:ascii="Arial" w:hAnsi="Arial" w:cs="Arial"/>
          <w:sz w:val="24"/>
          <w:szCs w:val="24"/>
        </w:rPr>
      </w:pPr>
      <w:r w:rsidRPr="00FA3F9C">
        <w:rPr>
          <w:rFonts w:ascii="Arial" w:hAnsi="Arial" w:cs="Arial"/>
          <w:b/>
          <w:sz w:val="24"/>
          <w:szCs w:val="24"/>
          <w:u w:val="single"/>
        </w:rPr>
        <w:t>FDA-approvals:</w:t>
      </w:r>
      <w:r w:rsidRPr="00FA3F9C">
        <w:rPr>
          <w:rFonts w:ascii="Arial" w:hAnsi="Arial" w:cs="Arial"/>
          <w:sz w:val="24"/>
          <w:szCs w:val="24"/>
        </w:rPr>
        <w:t xml:space="preserve">  </w:t>
      </w:r>
    </w:p>
    <w:p w14:paraId="759DA162" w14:textId="77777777" w:rsidR="009B5AA5" w:rsidRPr="00FA3F9C" w:rsidRDefault="009B5AA5" w:rsidP="009B5AA5">
      <w:pPr>
        <w:pStyle w:val="Normal1"/>
        <w:numPr>
          <w:ilvl w:val="0"/>
          <w:numId w:val="175"/>
        </w:numPr>
        <w:ind w:left="360" w:hanging="270"/>
        <w:contextualSpacing/>
        <w:rPr>
          <w:rFonts w:ascii="Arial" w:hAnsi="Arial" w:cs="Arial"/>
        </w:rPr>
      </w:pPr>
      <w:r w:rsidRPr="00FA3F9C">
        <w:rPr>
          <w:rFonts w:ascii="Arial" w:hAnsi="Arial" w:cs="Arial"/>
        </w:rPr>
        <w:t xml:space="preserve">Use in combination with trastuzumab and docetaxel for treatment of patients with HER2-positive </w:t>
      </w:r>
      <w:r w:rsidRPr="00FA3F9C">
        <w:rPr>
          <w:rFonts w:ascii="Arial" w:hAnsi="Arial" w:cs="Arial"/>
          <w:u w:val="single"/>
        </w:rPr>
        <w:t>metastatic</w:t>
      </w:r>
      <w:r w:rsidRPr="00FA3F9C">
        <w:rPr>
          <w:rFonts w:ascii="Arial" w:hAnsi="Arial" w:cs="Arial"/>
        </w:rPr>
        <w:t xml:space="preserve"> breast cancer (MBC) who have not received prior anti-HER2 therapy or chemotherapy for metastatic disease. </w:t>
      </w:r>
    </w:p>
    <w:p w14:paraId="3B4532B9" w14:textId="77777777" w:rsidR="009B5AA5" w:rsidRPr="00FA3F9C" w:rsidRDefault="009B5AA5" w:rsidP="009B5AA5">
      <w:pPr>
        <w:pStyle w:val="Normal1"/>
        <w:numPr>
          <w:ilvl w:val="0"/>
          <w:numId w:val="175"/>
        </w:numPr>
        <w:ind w:left="360" w:hanging="270"/>
        <w:contextualSpacing/>
        <w:rPr>
          <w:rFonts w:ascii="Arial" w:hAnsi="Arial" w:cs="Arial"/>
        </w:rPr>
      </w:pPr>
      <w:r w:rsidRPr="00FA3F9C">
        <w:rPr>
          <w:rFonts w:ascii="Arial" w:hAnsi="Arial" w:cs="Arial"/>
        </w:rPr>
        <w:t xml:space="preserve">Use in combination with trastuzumab and chemotherapy as </w:t>
      </w:r>
      <w:r w:rsidRPr="00FA3F9C">
        <w:rPr>
          <w:rFonts w:ascii="Arial" w:hAnsi="Arial" w:cs="Arial"/>
          <w:u w:val="single"/>
        </w:rPr>
        <w:t>neoadjuvant</w:t>
      </w:r>
      <w:r w:rsidRPr="00FA3F9C">
        <w:rPr>
          <w:rFonts w:ascii="Arial" w:hAnsi="Arial" w:cs="Arial"/>
        </w:rPr>
        <w:t xml:space="preserve"> treatment of patients with HER2-positive, locally advanced, inflammatory, or </w:t>
      </w:r>
      <w:proofErr w:type="gramStart"/>
      <w:r w:rsidRPr="00FA3F9C">
        <w:rPr>
          <w:rFonts w:ascii="Arial" w:hAnsi="Arial" w:cs="Arial"/>
        </w:rPr>
        <w:t>early stage</w:t>
      </w:r>
      <w:proofErr w:type="gramEnd"/>
      <w:r w:rsidRPr="00FA3F9C">
        <w:rPr>
          <w:rFonts w:ascii="Arial" w:hAnsi="Arial" w:cs="Arial"/>
        </w:rPr>
        <w:t xml:space="preserve"> breast cancer (either greater than 2 cm in diameter or node positive) as part of a complete treatment regimen for early breast cancer. </w:t>
      </w:r>
    </w:p>
    <w:p w14:paraId="68B7C270" w14:textId="77777777" w:rsidR="009B5AA5" w:rsidRPr="00FA3F9C" w:rsidRDefault="009B5AA5" w:rsidP="009B5AA5">
      <w:pPr>
        <w:pStyle w:val="Normal1"/>
        <w:numPr>
          <w:ilvl w:val="0"/>
          <w:numId w:val="175"/>
        </w:numPr>
        <w:spacing w:line="276" w:lineRule="auto"/>
        <w:ind w:left="360" w:hanging="270"/>
        <w:contextualSpacing/>
        <w:rPr>
          <w:rFonts w:ascii="Arial" w:hAnsi="Arial" w:cs="Arial"/>
        </w:rPr>
      </w:pPr>
      <w:r w:rsidRPr="00FA3F9C">
        <w:rPr>
          <w:rFonts w:ascii="Arial" w:hAnsi="Arial" w:cs="Arial"/>
          <w:u w:val="single"/>
        </w:rPr>
        <w:t>Adjuvant</w:t>
      </w:r>
      <w:r w:rsidRPr="00FA3F9C">
        <w:rPr>
          <w:rFonts w:ascii="Arial" w:hAnsi="Arial" w:cs="Arial"/>
        </w:rPr>
        <w:t xml:space="preserve"> treatment of patients with HER2-positive early breast cancer at high risk of recurrence </w:t>
      </w:r>
      <w:r w:rsidRPr="00FA3F9C">
        <w:rPr>
          <w:rFonts w:ascii="Arial" w:hAnsi="Arial" w:cs="Arial"/>
          <w:color w:val="auto"/>
          <w:highlight w:val="cyan"/>
        </w:rPr>
        <w:t>Covered for node-positive disease only</w:t>
      </w:r>
    </w:p>
    <w:p w14:paraId="6CAB3DB8" w14:textId="77777777" w:rsidR="009B5AA5" w:rsidRPr="00FA3F9C" w:rsidRDefault="009B5AA5" w:rsidP="00B2307D">
      <w:pPr>
        <w:pStyle w:val="Normal1"/>
        <w:spacing w:line="276" w:lineRule="auto"/>
        <w:ind w:left="360"/>
        <w:contextualSpacing/>
        <w:rPr>
          <w:rFonts w:ascii="Arial" w:hAnsi="Arial" w:cs="Arial"/>
        </w:rPr>
      </w:pPr>
    </w:p>
    <w:tbl>
      <w:tblPr>
        <w:tblStyle w:val="TableGrid"/>
        <w:tblW w:w="0" w:type="auto"/>
        <w:tblLook w:val="04A0" w:firstRow="1" w:lastRow="0" w:firstColumn="1" w:lastColumn="0" w:noHBand="0" w:noVBand="1"/>
      </w:tblPr>
      <w:tblGrid>
        <w:gridCol w:w="8745"/>
        <w:gridCol w:w="2045"/>
      </w:tblGrid>
      <w:tr w:rsidR="009B5AA5" w:rsidRPr="00FA3F9C" w14:paraId="3024EBEF" w14:textId="77777777" w:rsidTr="00B2307D">
        <w:trPr>
          <w:trHeight w:hRule="exact" w:val="288"/>
        </w:trPr>
        <w:tc>
          <w:tcPr>
            <w:tcW w:w="8745" w:type="dxa"/>
            <w:shd w:val="clear" w:color="auto" w:fill="000000"/>
          </w:tcPr>
          <w:p w14:paraId="006B9F6D" w14:textId="77777777" w:rsidR="009B5AA5" w:rsidRPr="00FA3F9C" w:rsidRDefault="009B5AA5" w:rsidP="00B2307D">
            <w:pPr>
              <w:rPr>
                <w:rFonts w:ascii="Arial" w:hAnsi="Arial" w:cs="Arial"/>
                <w:b/>
                <w:sz w:val="24"/>
                <w:szCs w:val="24"/>
                <w:u w:val="single"/>
              </w:rPr>
            </w:pPr>
            <w:r w:rsidRPr="00FA3F9C">
              <w:rPr>
                <w:rFonts w:ascii="Arial" w:hAnsi="Arial" w:cs="Arial"/>
                <w:b/>
                <w:sz w:val="24"/>
                <w:szCs w:val="24"/>
                <w:u w:val="single"/>
              </w:rPr>
              <w:t>Metastatic Breast Cancer</w:t>
            </w:r>
          </w:p>
        </w:tc>
        <w:tc>
          <w:tcPr>
            <w:tcW w:w="2045" w:type="dxa"/>
            <w:shd w:val="clear" w:color="auto" w:fill="000000"/>
          </w:tcPr>
          <w:p w14:paraId="3BCFDB82" w14:textId="77777777" w:rsidR="009B5AA5" w:rsidRPr="00FA3F9C" w:rsidRDefault="009B5AA5" w:rsidP="000E79CF">
            <w:pPr>
              <w:jc w:val="center"/>
              <w:rPr>
                <w:rFonts w:ascii="Arial" w:hAnsi="Arial" w:cs="Arial"/>
                <w:b/>
                <w:sz w:val="24"/>
                <w:szCs w:val="24"/>
                <w:u w:val="single"/>
              </w:rPr>
            </w:pPr>
          </w:p>
        </w:tc>
      </w:tr>
      <w:tr w:rsidR="009B5AA5" w:rsidRPr="00FA3F9C" w14:paraId="197465F5" w14:textId="77777777" w:rsidTr="00B2307D">
        <w:tc>
          <w:tcPr>
            <w:tcW w:w="10790" w:type="dxa"/>
            <w:gridSpan w:val="2"/>
          </w:tcPr>
          <w:p w14:paraId="137C0FBC" w14:textId="77777777" w:rsidR="009B5AA5" w:rsidRPr="00FA3F9C" w:rsidRDefault="009B5AA5" w:rsidP="00B2307D">
            <w:pPr>
              <w:rPr>
                <w:rFonts w:ascii="Arial" w:hAnsi="Arial" w:cs="Arial"/>
                <w:sz w:val="24"/>
                <w:szCs w:val="24"/>
              </w:rPr>
            </w:pPr>
            <w:r w:rsidRPr="00FA3F9C">
              <w:rPr>
                <w:rFonts w:ascii="Arial" w:hAnsi="Arial" w:cs="Arial"/>
                <w:sz w:val="24"/>
                <w:szCs w:val="24"/>
              </w:rPr>
              <w:t>1. Diagnosis of unresectable or metastatic breast cancer</w:t>
            </w:r>
          </w:p>
        </w:tc>
      </w:tr>
      <w:tr w:rsidR="009B5AA5" w:rsidRPr="00FA3F9C" w14:paraId="19699C59" w14:textId="77777777" w:rsidTr="00B2307D">
        <w:tc>
          <w:tcPr>
            <w:tcW w:w="10790" w:type="dxa"/>
            <w:gridSpan w:val="2"/>
          </w:tcPr>
          <w:p w14:paraId="2178267F" w14:textId="77777777" w:rsidR="009B5AA5" w:rsidRPr="00FA3F9C" w:rsidRDefault="009B5AA5" w:rsidP="00205862">
            <w:pPr>
              <w:rPr>
                <w:rFonts w:ascii="Arial" w:hAnsi="Arial" w:cs="Arial"/>
                <w:sz w:val="24"/>
                <w:szCs w:val="24"/>
              </w:rPr>
            </w:pPr>
            <w:r w:rsidRPr="00FA3F9C">
              <w:rPr>
                <w:rFonts w:ascii="Arial" w:hAnsi="Arial" w:cs="Arial"/>
                <w:sz w:val="24"/>
                <w:szCs w:val="24"/>
              </w:rPr>
              <w:t xml:space="preserve">2. Breast cancer is HER2 positive </w:t>
            </w:r>
          </w:p>
        </w:tc>
      </w:tr>
      <w:tr w:rsidR="009B5AA5" w:rsidRPr="00FA3F9C" w14:paraId="2230EAD0" w14:textId="77777777" w:rsidTr="00B2307D">
        <w:tc>
          <w:tcPr>
            <w:tcW w:w="10790" w:type="dxa"/>
            <w:gridSpan w:val="2"/>
          </w:tcPr>
          <w:p w14:paraId="039FBD61" w14:textId="77777777" w:rsidR="009B5AA5" w:rsidRPr="00FA3F9C" w:rsidRDefault="009B5AA5" w:rsidP="00B2307D">
            <w:pPr>
              <w:rPr>
                <w:rFonts w:ascii="Arial" w:hAnsi="Arial" w:cs="Arial"/>
                <w:sz w:val="24"/>
                <w:szCs w:val="24"/>
              </w:rPr>
            </w:pPr>
            <w:r w:rsidRPr="00FA3F9C">
              <w:rPr>
                <w:rFonts w:ascii="Arial" w:hAnsi="Arial" w:cs="Arial"/>
                <w:sz w:val="24"/>
                <w:szCs w:val="24"/>
              </w:rPr>
              <w:t>3. No prior chemotherapy or anti-HER2 therapy for unresectable or metastatic breast cancer</w:t>
            </w:r>
          </w:p>
        </w:tc>
      </w:tr>
      <w:tr w:rsidR="009B5AA5" w:rsidRPr="00FA3F9C" w14:paraId="090E2520" w14:textId="77777777" w:rsidTr="00B2307D">
        <w:tc>
          <w:tcPr>
            <w:tcW w:w="10790" w:type="dxa"/>
            <w:gridSpan w:val="2"/>
          </w:tcPr>
          <w:p w14:paraId="49ACE65C" w14:textId="77777777" w:rsidR="009B5AA5" w:rsidRPr="00FA3F9C" w:rsidRDefault="009B5AA5" w:rsidP="00B2307D">
            <w:pPr>
              <w:rPr>
                <w:rFonts w:ascii="Arial" w:hAnsi="Arial" w:cs="Arial"/>
                <w:sz w:val="24"/>
                <w:szCs w:val="24"/>
              </w:rPr>
            </w:pPr>
            <w:r w:rsidRPr="00FA3F9C">
              <w:rPr>
                <w:rFonts w:ascii="Arial" w:hAnsi="Arial" w:cs="Arial"/>
                <w:sz w:val="24"/>
                <w:szCs w:val="24"/>
              </w:rPr>
              <w:t xml:space="preserve">4. </w:t>
            </w:r>
            <w:proofErr w:type="spellStart"/>
            <w:r w:rsidRPr="00FA3F9C">
              <w:rPr>
                <w:rFonts w:ascii="Arial" w:hAnsi="Arial" w:cs="Arial"/>
                <w:sz w:val="24"/>
                <w:szCs w:val="24"/>
              </w:rPr>
              <w:t>Pertuzumab</w:t>
            </w:r>
            <w:proofErr w:type="spellEnd"/>
            <w:r w:rsidRPr="00FA3F9C">
              <w:rPr>
                <w:rFonts w:ascii="Arial" w:hAnsi="Arial" w:cs="Arial"/>
                <w:sz w:val="24"/>
                <w:szCs w:val="24"/>
              </w:rPr>
              <w:t xml:space="preserve"> will be used in combination with trastuzumab and docetaxel </w:t>
            </w:r>
          </w:p>
        </w:tc>
      </w:tr>
      <w:tr w:rsidR="009B5AA5" w:rsidRPr="00FA3F9C" w14:paraId="33C5AF31" w14:textId="77777777" w:rsidTr="00B2307D">
        <w:tc>
          <w:tcPr>
            <w:tcW w:w="10790" w:type="dxa"/>
            <w:gridSpan w:val="2"/>
            <w:shd w:val="clear" w:color="auto" w:fill="F2F2F2" w:themeFill="background1" w:themeFillShade="F2"/>
          </w:tcPr>
          <w:p w14:paraId="7EB2FDF5" w14:textId="77777777" w:rsidR="009B5AA5" w:rsidRPr="00FA3F9C" w:rsidRDefault="009B5AA5" w:rsidP="001D4B63">
            <w:pPr>
              <w:rPr>
                <w:rFonts w:ascii="Arial" w:hAnsi="Arial" w:cs="Arial"/>
                <w:sz w:val="24"/>
                <w:szCs w:val="24"/>
              </w:rPr>
            </w:pPr>
            <w:r w:rsidRPr="00FA3F9C">
              <w:rPr>
                <w:rFonts w:ascii="Arial" w:hAnsi="Arial" w:cs="Arial"/>
                <w:sz w:val="24"/>
                <w:szCs w:val="24"/>
              </w:rPr>
              <w:lastRenderedPageBreak/>
              <w:t>If above criteria are fulfilled, approve x 1 year [therapy continues until disease progression or unacceptable toxicity]</w:t>
            </w:r>
          </w:p>
        </w:tc>
      </w:tr>
      <w:tr w:rsidR="009B5AA5" w:rsidRPr="00FA3F9C" w14:paraId="76F13A29" w14:textId="77777777" w:rsidTr="00AD3DC2">
        <w:trPr>
          <w:trHeight w:val="2762"/>
        </w:trPr>
        <w:tc>
          <w:tcPr>
            <w:tcW w:w="10790" w:type="dxa"/>
            <w:gridSpan w:val="2"/>
            <w:shd w:val="clear" w:color="auto" w:fill="D9D9D9" w:themeFill="background1" w:themeFillShade="D9"/>
          </w:tcPr>
          <w:p w14:paraId="41DEC923" w14:textId="77777777" w:rsidR="009B5AA5" w:rsidRPr="00FA3F9C" w:rsidRDefault="009B5AA5" w:rsidP="000C1F5E">
            <w:pPr>
              <w:rPr>
                <w:rFonts w:ascii="Arial" w:hAnsi="Arial" w:cs="Arial"/>
                <w:sz w:val="24"/>
                <w:szCs w:val="24"/>
              </w:rPr>
            </w:pPr>
            <w:r w:rsidRPr="00FA3F9C">
              <w:rPr>
                <w:rFonts w:ascii="Arial" w:hAnsi="Arial" w:cs="Arial"/>
                <w:sz w:val="24"/>
                <w:szCs w:val="24"/>
              </w:rPr>
              <w:t xml:space="preserve">Notes:   </w:t>
            </w:r>
          </w:p>
          <w:p w14:paraId="1AD7117E" w14:textId="77777777" w:rsidR="009B5AA5" w:rsidRPr="00FA3F9C" w:rsidRDefault="009B5AA5" w:rsidP="000C1F5E">
            <w:pPr>
              <w:rPr>
                <w:rFonts w:ascii="Arial" w:hAnsi="Arial" w:cs="Arial"/>
                <w:sz w:val="24"/>
                <w:szCs w:val="24"/>
              </w:rPr>
            </w:pPr>
            <w:proofErr w:type="spellStart"/>
            <w:r w:rsidRPr="00FA3F9C">
              <w:rPr>
                <w:rFonts w:ascii="Arial" w:hAnsi="Arial" w:cs="Arial"/>
                <w:sz w:val="24"/>
                <w:szCs w:val="24"/>
              </w:rPr>
              <w:t>Pertuzumab</w:t>
            </w:r>
            <w:proofErr w:type="spellEnd"/>
            <w:r w:rsidRPr="00FA3F9C">
              <w:rPr>
                <w:rFonts w:ascii="Arial" w:hAnsi="Arial" w:cs="Arial"/>
                <w:sz w:val="24"/>
                <w:szCs w:val="24"/>
              </w:rPr>
              <w:t xml:space="preserve"> should not be given to patients whose tumors have previously progressed on </w:t>
            </w:r>
            <w:proofErr w:type="spellStart"/>
            <w:r w:rsidRPr="00FA3F9C">
              <w:rPr>
                <w:rFonts w:ascii="Arial" w:hAnsi="Arial" w:cs="Arial"/>
                <w:sz w:val="24"/>
                <w:szCs w:val="24"/>
              </w:rPr>
              <w:t>pertuzumab</w:t>
            </w:r>
            <w:proofErr w:type="spellEnd"/>
            <w:r w:rsidRPr="00FA3F9C">
              <w:rPr>
                <w:rFonts w:ascii="Arial" w:hAnsi="Arial" w:cs="Arial"/>
                <w:sz w:val="24"/>
                <w:szCs w:val="24"/>
              </w:rPr>
              <w:t>.</w:t>
            </w:r>
          </w:p>
          <w:p w14:paraId="47C6D714" w14:textId="77777777" w:rsidR="009B5AA5" w:rsidRPr="00FA3F9C" w:rsidRDefault="009B5AA5" w:rsidP="000C1F5E">
            <w:pPr>
              <w:rPr>
                <w:rFonts w:ascii="Arial" w:hAnsi="Arial" w:cs="Arial"/>
                <w:sz w:val="24"/>
                <w:szCs w:val="24"/>
              </w:rPr>
            </w:pPr>
            <w:r w:rsidRPr="00FA3F9C">
              <w:rPr>
                <w:rFonts w:ascii="Arial" w:hAnsi="Arial" w:cs="Arial"/>
                <w:sz w:val="24"/>
                <w:szCs w:val="24"/>
              </w:rPr>
              <w:t xml:space="preserve">For metastatic breast cancer, </w:t>
            </w:r>
            <w:proofErr w:type="spellStart"/>
            <w:r w:rsidRPr="00FA3F9C">
              <w:rPr>
                <w:rFonts w:ascii="Arial" w:hAnsi="Arial" w:cs="Arial"/>
                <w:sz w:val="24"/>
                <w:szCs w:val="24"/>
              </w:rPr>
              <w:t>pertuzumab</w:t>
            </w:r>
            <w:proofErr w:type="spellEnd"/>
            <w:r w:rsidRPr="00FA3F9C">
              <w:rPr>
                <w:rFonts w:ascii="Arial" w:hAnsi="Arial" w:cs="Arial"/>
                <w:sz w:val="24"/>
                <w:szCs w:val="24"/>
              </w:rPr>
              <w:t xml:space="preserve"> is ALWAYS given in combination with trastuzumab and docetaxel.</w:t>
            </w:r>
          </w:p>
          <w:p w14:paraId="3235FEF8" w14:textId="77777777" w:rsidR="009B5AA5" w:rsidRPr="00FA3F9C" w:rsidRDefault="009B5AA5" w:rsidP="000C1F5E">
            <w:pPr>
              <w:rPr>
                <w:rFonts w:ascii="Arial" w:hAnsi="Arial" w:cs="Arial"/>
                <w:sz w:val="24"/>
                <w:szCs w:val="24"/>
              </w:rPr>
            </w:pPr>
            <w:r w:rsidRPr="00FA3F9C">
              <w:rPr>
                <w:rFonts w:ascii="Arial" w:hAnsi="Arial" w:cs="Arial"/>
                <w:sz w:val="24"/>
                <w:szCs w:val="24"/>
              </w:rPr>
              <w:t xml:space="preserve">In the Cleopatra study, the population described in the above criteria was given </w:t>
            </w:r>
            <w:proofErr w:type="spellStart"/>
            <w:r w:rsidRPr="00FA3F9C">
              <w:rPr>
                <w:rFonts w:ascii="Arial" w:hAnsi="Arial" w:cs="Arial"/>
                <w:sz w:val="24"/>
                <w:szCs w:val="24"/>
              </w:rPr>
              <w:t>pertuzumab</w:t>
            </w:r>
            <w:proofErr w:type="spellEnd"/>
            <w:r w:rsidRPr="00FA3F9C">
              <w:rPr>
                <w:rFonts w:ascii="Arial" w:hAnsi="Arial" w:cs="Arial"/>
                <w:sz w:val="24"/>
                <w:szCs w:val="24"/>
              </w:rPr>
              <w:t xml:space="preserve">, trastuzumab, and docetaxel OR placebo, trastuzumab, and docetaxel. The </w:t>
            </w:r>
            <w:proofErr w:type="spellStart"/>
            <w:r w:rsidRPr="00FA3F9C">
              <w:rPr>
                <w:rFonts w:ascii="Arial" w:hAnsi="Arial" w:cs="Arial"/>
                <w:sz w:val="24"/>
                <w:szCs w:val="24"/>
              </w:rPr>
              <w:t>pertuzumab</w:t>
            </w:r>
            <w:proofErr w:type="spellEnd"/>
            <w:r w:rsidRPr="00FA3F9C">
              <w:rPr>
                <w:rFonts w:ascii="Arial" w:hAnsi="Arial" w:cs="Arial"/>
                <w:sz w:val="24"/>
                <w:szCs w:val="24"/>
              </w:rPr>
              <w:t xml:space="preserve"> group had improved median overall survival (56.5 </w:t>
            </w:r>
            <w:proofErr w:type="spellStart"/>
            <w:r w:rsidRPr="00FA3F9C">
              <w:rPr>
                <w:rFonts w:ascii="Arial" w:hAnsi="Arial" w:cs="Arial"/>
                <w:sz w:val="24"/>
                <w:szCs w:val="24"/>
              </w:rPr>
              <w:t>mo</w:t>
            </w:r>
            <w:proofErr w:type="spellEnd"/>
            <w:r w:rsidRPr="00FA3F9C">
              <w:rPr>
                <w:rFonts w:ascii="Arial" w:hAnsi="Arial" w:cs="Arial"/>
                <w:sz w:val="24"/>
                <w:szCs w:val="24"/>
              </w:rPr>
              <w:t xml:space="preserve"> vs 40.8 </w:t>
            </w:r>
            <w:proofErr w:type="spellStart"/>
            <w:r w:rsidRPr="00FA3F9C">
              <w:rPr>
                <w:rFonts w:ascii="Arial" w:hAnsi="Arial" w:cs="Arial"/>
                <w:sz w:val="24"/>
                <w:szCs w:val="24"/>
              </w:rPr>
              <w:t>mo</w:t>
            </w:r>
            <w:proofErr w:type="spellEnd"/>
            <w:r w:rsidRPr="00FA3F9C">
              <w:rPr>
                <w:rFonts w:ascii="Arial" w:hAnsi="Arial" w:cs="Arial"/>
                <w:sz w:val="24"/>
                <w:szCs w:val="24"/>
              </w:rPr>
              <w:t xml:space="preserve">, HR 0.68, 95% CI 0.56-0.84). </w:t>
            </w:r>
          </w:p>
          <w:p w14:paraId="5C834EBA" w14:textId="77777777" w:rsidR="009B5AA5" w:rsidRPr="00FA3F9C" w:rsidRDefault="009B5AA5" w:rsidP="000C1F5E">
            <w:pPr>
              <w:rPr>
                <w:rFonts w:ascii="Arial" w:hAnsi="Arial" w:cs="Arial"/>
                <w:sz w:val="24"/>
                <w:szCs w:val="24"/>
              </w:rPr>
            </w:pPr>
          </w:p>
          <w:p w14:paraId="34701F38" w14:textId="77777777" w:rsidR="009B5AA5" w:rsidRPr="00FA3F9C" w:rsidRDefault="009B5AA5" w:rsidP="000C1F5E">
            <w:pPr>
              <w:rPr>
                <w:rFonts w:ascii="Arial" w:hAnsi="Arial" w:cs="Arial"/>
                <w:sz w:val="24"/>
                <w:szCs w:val="24"/>
              </w:rPr>
            </w:pPr>
            <w:r w:rsidRPr="00FA3F9C">
              <w:rPr>
                <w:rFonts w:ascii="Arial" w:hAnsi="Arial" w:cs="Arial"/>
                <w:sz w:val="24"/>
                <w:szCs w:val="24"/>
              </w:rPr>
              <w:t xml:space="preserve">Dose: </w:t>
            </w:r>
          </w:p>
          <w:p w14:paraId="4C6A8587" w14:textId="77777777" w:rsidR="009B5AA5" w:rsidRPr="00FA3F9C" w:rsidRDefault="009B5AA5" w:rsidP="000C1F5E">
            <w:pPr>
              <w:rPr>
                <w:rFonts w:ascii="Arial" w:hAnsi="Arial" w:cs="Arial"/>
                <w:sz w:val="24"/>
                <w:szCs w:val="24"/>
              </w:rPr>
            </w:pPr>
            <w:r w:rsidRPr="00FA3F9C">
              <w:rPr>
                <w:rFonts w:ascii="Arial" w:hAnsi="Arial" w:cs="Arial"/>
                <w:sz w:val="24"/>
                <w:szCs w:val="24"/>
              </w:rPr>
              <w:t>840 mg IV x 1 followed 3 weeks later by 420 mg IV every 3 weeks. Therapy continues until disease progression or unacceptable toxicity</w:t>
            </w:r>
          </w:p>
          <w:p w14:paraId="2D91723F" w14:textId="77777777" w:rsidR="009B5AA5" w:rsidRPr="00FA3F9C" w:rsidRDefault="009B5AA5" w:rsidP="000C1F5E">
            <w:pPr>
              <w:rPr>
                <w:rFonts w:ascii="Arial" w:hAnsi="Arial" w:cs="Arial"/>
                <w:sz w:val="24"/>
                <w:szCs w:val="24"/>
              </w:rPr>
            </w:pPr>
          </w:p>
          <w:p w14:paraId="3FD8AB6F" w14:textId="77777777" w:rsidR="009B5AA5" w:rsidRPr="00FA3F9C" w:rsidRDefault="009B5AA5" w:rsidP="000C1F5E">
            <w:pPr>
              <w:rPr>
                <w:rFonts w:ascii="Arial" w:hAnsi="Arial" w:cs="Arial"/>
                <w:sz w:val="24"/>
                <w:szCs w:val="24"/>
              </w:rPr>
            </w:pPr>
            <w:r w:rsidRPr="00FA3F9C">
              <w:rPr>
                <w:rFonts w:ascii="Arial" w:hAnsi="Arial" w:cs="Arial"/>
                <w:sz w:val="24"/>
                <w:szCs w:val="24"/>
              </w:rPr>
              <w:t>REFERENCES:</w:t>
            </w:r>
          </w:p>
          <w:p w14:paraId="7635A547" w14:textId="77777777" w:rsidR="009B5AA5" w:rsidRPr="00FA3F9C" w:rsidRDefault="009B5AA5" w:rsidP="00FC1E85">
            <w:pPr>
              <w:pStyle w:val="ListParagraph"/>
              <w:numPr>
                <w:ilvl w:val="0"/>
                <w:numId w:val="433"/>
              </w:numPr>
              <w:ind w:left="335" w:hanging="245"/>
              <w:rPr>
                <w:rFonts w:ascii="Arial" w:hAnsi="Arial" w:cs="Arial"/>
                <w:sz w:val="24"/>
                <w:szCs w:val="24"/>
              </w:rPr>
            </w:pPr>
            <w:r w:rsidRPr="00FA3F9C">
              <w:rPr>
                <w:rFonts w:ascii="Arial" w:hAnsi="Arial" w:cs="Arial"/>
                <w:sz w:val="24"/>
                <w:szCs w:val="24"/>
              </w:rPr>
              <w:t xml:space="preserve">Swain SM et al. </w:t>
            </w:r>
            <w:proofErr w:type="spellStart"/>
            <w:r w:rsidRPr="00FA3F9C">
              <w:rPr>
                <w:rFonts w:ascii="Arial" w:hAnsi="Arial" w:cs="Arial"/>
                <w:sz w:val="24"/>
                <w:szCs w:val="24"/>
              </w:rPr>
              <w:t>Pertuzumab</w:t>
            </w:r>
            <w:proofErr w:type="spellEnd"/>
            <w:r w:rsidRPr="00FA3F9C">
              <w:rPr>
                <w:rFonts w:ascii="Arial" w:hAnsi="Arial" w:cs="Arial"/>
                <w:sz w:val="24"/>
                <w:szCs w:val="24"/>
              </w:rPr>
              <w:t xml:space="preserve">, trastuzumab, and docetaxel for HER2-positive metastatic breast cancer (CLEOPATRA study): overall survival results from a </w:t>
            </w:r>
            <w:proofErr w:type="spellStart"/>
            <w:r w:rsidRPr="00FA3F9C">
              <w:rPr>
                <w:rFonts w:ascii="Arial" w:hAnsi="Arial" w:cs="Arial"/>
                <w:sz w:val="24"/>
                <w:szCs w:val="24"/>
              </w:rPr>
              <w:t>randomised</w:t>
            </w:r>
            <w:proofErr w:type="spellEnd"/>
            <w:r w:rsidRPr="00FA3F9C">
              <w:rPr>
                <w:rFonts w:ascii="Arial" w:hAnsi="Arial" w:cs="Arial"/>
                <w:sz w:val="24"/>
                <w:szCs w:val="24"/>
              </w:rPr>
              <w:t>, double-blind, placebo-controlled, phase 3 study. Lancet Oncol. 2013 May;14(6):461-71. PMID 23602601 NCT00567190</w:t>
            </w:r>
          </w:p>
          <w:p w14:paraId="03127A7A" w14:textId="77777777" w:rsidR="009B5AA5" w:rsidRPr="00FA3F9C" w:rsidRDefault="009B5AA5" w:rsidP="00FC1E85">
            <w:pPr>
              <w:pStyle w:val="ListParagraph"/>
              <w:numPr>
                <w:ilvl w:val="0"/>
                <w:numId w:val="433"/>
              </w:numPr>
              <w:ind w:left="335" w:hanging="245"/>
              <w:rPr>
                <w:rFonts w:ascii="Arial" w:hAnsi="Arial" w:cs="Arial"/>
                <w:sz w:val="24"/>
                <w:szCs w:val="24"/>
              </w:rPr>
            </w:pPr>
            <w:r w:rsidRPr="00FA3F9C">
              <w:rPr>
                <w:rFonts w:ascii="Arial" w:hAnsi="Arial" w:cs="Arial"/>
                <w:sz w:val="24"/>
                <w:szCs w:val="24"/>
              </w:rPr>
              <w:t xml:space="preserve">Swain SM et al. </w:t>
            </w:r>
            <w:proofErr w:type="spellStart"/>
            <w:r w:rsidRPr="00FA3F9C">
              <w:rPr>
                <w:rFonts w:ascii="Arial" w:hAnsi="Arial" w:cs="Arial"/>
                <w:sz w:val="24"/>
                <w:szCs w:val="24"/>
              </w:rPr>
              <w:t>Pertuzumab</w:t>
            </w:r>
            <w:proofErr w:type="spellEnd"/>
            <w:r w:rsidRPr="00FA3F9C">
              <w:rPr>
                <w:rFonts w:ascii="Arial" w:hAnsi="Arial" w:cs="Arial"/>
                <w:sz w:val="24"/>
                <w:szCs w:val="24"/>
              </w:rPr>
              <w:t xml:space="preserve">, trastuzumab, and docetaxel in HER2-positive metastatic breast cancer. N </w:t>
            </w:r>
            <w:proofErr w:type="spellStart"/>
            <w:r w:rsidRPr="00FA3F9C">
              <w:rPr>
                <w:rFonts w:ascii="Arial" w:hAnsi="Arial" w:cs="Arial"/>
                <w:sz w:val="24"/>
                <w:szCs w:val="24"/>
              </w:rPr>
              <w:t>Engl</w:t>
            </w:r>
            <w:proofErr w:type="spellEnd"/>
            <w:r w:rsidRPr="00FA3F9C">
              <w:rPr>
                <w:rFonts w:ascii="Arial" w:hAnsi="Arial" w:cs="Arial"/>
                <w:sz w:val="24"/>
                <w:szCs w:val="24"/>
              </w:rPr>
              <w:t xml:space="preserve"> J Med. 2015 Feb 19;372(8):724-34. PMID 25693012 NCT00567190</w:t>
            </w:r>
          </w:p>
        </w:tc>
      </w:tr>
    </w:tbl>
    <w:p w14:paraId="1F513EAB" w14:textId="77777777" w:rsidR="009B5AA5" w:rsidRPr="00FA3F9C" w:rsidRDefault="009B5AA5" w:rsidP="008B48E4">
      <w:pPr>
        <w:spacing w:after="0"/>
        <w:rPr>
          <w:rFonts w:ascii="Arial" w:hAnsi="Arial" w:cs="Arial"/>
          <w:b/>
          <w:sz w:val="24"/>
          <w:szCs w:val="24"/>
          <w:u w:val="single"/>
        </w:rPr>
      </w:pPr>
    </w:p>
    <w:tbl>
      <w:tblPr>
        <w:tblStyle w:val="TableGrid"/>
        <w:tblW w:w="0" w:type="auto"/>
        <w:tblLook w:val="04A0" w:firstRow="1" w:lastRow="0" w:firstColumn="1" w:lastColumn="0" w:noHBand="0" w:noVBand="1"/>
      </w:tblPr>
      <w:tblGrid>
        <w:gridCol w:w="8745"/>
        <w:gridCol w:w="2045"/>
      </w:tblGrid>
      <w:tr w:rsidR="009B5AA5" w:rsidRPr="00FA3F9C" w14:paraId="753CE1E4" w14:textId="77777777" w:rsidTr="00A846C1">
        <w:trPr>
          <w:trHeight w:hRule="exact" w:val="288"/>
        </w:trPr>
        <w:tc>
          <w:tcPr>
            <w:tcW w:w="8745" w:type="dxa"/>
            <w:shd w:val="clear" w:color="auto" w:fill="000000"/>
          </w:tcPr>
          <w:p w14:paraId="0ADDF5C6" w14:textId="77777777" w:rsidR="009B5AA5" w:rsidRPr="00FA3F9C" w:rsidRDefault="009B5AA5" w:rsidP="00170051">
            <w:pPr>
              <w:rPr>
                <w:rFonts w:ascii="Arial" w:hAnsi="Arial" w:cs="Arial"/>
                <w:b/>
                <w:sz w:val="24"/>
                <w:szCs w:val="24"/>
                <w:u w:val="single"/>
              </w:rPr>
            </w:pPr>
            <w:r w:rsidRPr="00FA3F9C">
              <w:rPr>
                <w:rFonts w:ascii="Arial" w:hAnsi="Arial" w:cs="Arial"/>
                <w:b/>
                <w:sz w:val="24"/>
                <w:szCs w:val="24"/>
                <w:u w:val="single"/>
              </w:rPr>
              <w:t>Neoadjuvant Treatment of Breast Cancer (therapy begins BEFORE surgery)</w:t>
            </w:r>
          </w:p>
        </w:tc>
        <w:tc>
          <w:tcPr>
            <w:tcW w:w="2045" w:type="dxa"/>
            <w:shd w:val="clear" w:color="auto" w:fill="000000"/>
          </w:tcPr>
          <w:p w14:paraId="002A63A2" w14:textId="77777777" w:rsidR="009B5AA5" w:rsidRPr="00FA3F9C" w:rsidRDefault="009B5AA5" w:rsidP="00A846C1">
            <w:pPr>
              <w:jc w:val="center"/>
              <w:rPr>
                <w:rFonts w:ascii="Arial" w:hAnsi="Arial" w:cs="Arial"/>
                <w:b/>
                <w:sz w:val="24"/>
                <w:szCs w:val="24"/>
                <w:u w:val="single"/>
              </w:rPr>
            </w:pPr>
          </w:p>
        </w:tc>
      </w:tr>
      <w:tr w:rsidR="009B5AA5" w:rsidRPr="00FA3F9C" w14:paraId="55DBE4BC" w14:textId="77777777" w:rsidTr="00A846C1">
        <w:tc>
          <w:tcPr>
            <w:tcW w:w="10790" w:type="dxa"/>
            <w:gridSpan w:val="2"/>
          </w:tcPr>
          <w:p w14:paraId="3BB2CFD5" w14:textId="77777777" w:rsidR="009B5AA5" w:rsidRPr="00FA3F9C" w:rsidRDefault="009B5AA5" w:rsidP="001E481E">
            <w:pPr>
              <w:rPr>
                <w:rFonts w:ascii="Arial" w:hAnsi="Arial" w:cs="Arial"/>
                <w:sz w:val="24"/>
                <w:szCs w:val="24"/>
              </w:rPr>
            </w:pPr>
            <w:r w:rsidRPr="00FA3F9C">
              <w:rPr>
                <w:rFonts w:ascii="Arial" w:hAnsi="Arial" w:cs="Arial"/>
                <w:sz w:val="24"/>
                <w:szCs w:val="24"/>
              </w:rPr>
              <w:t>1. Diagnosis of breast cancer</w:t>
            </w:r>
          </w:p>
        </w:tc>
      </w:tr>
      <w:tr w:rsidR="009B5AA5" w:rsidRPr="00FA3F9C" w14:paraId="70103D44" w14:textId="77777777" w:rsidTr="00A846C1">
        <w:tc>
          <w:tcPr>
            <w:tcW w:w="10790" w:type="dxa"/>
            <w:gridSpan w:val="2"/>
          </w:tcPr>
          <w:p w14:paraId="6FE2EFA3" w14:textId="77777777" w:rsidR="009B5AA5" w:rsidRPr="00FA3F9C" w:rsidRDefault="009B5AA5" w:rsidP="00A846C1">
            <w:pPr>
              <w:rPr>
                <w:rFonts w:ascii="Arial" w:hAnsi="Arial" w:cs="Arial"/>
                <w:sz w:val="24"/>
                <w:szCs w:val="24"/>
              </w:rPr>
            </w:pPr>
            <w:r w:rsidRPr="00FA3F9C">
              <w:rPr>
                <w:rFonts w:ascii="Arial" w:hAnsi="Arial" w:cs="Arial"/>
                <w:sz w:val="24"/>
                <w:szCs w:val="24"/>
              </w:rPr>
              <w:t xml:space="preserve">2. Breast cancer is HER2 positive </w:t>
            </w:r>
          </w:p>
        </w:tc>
      </w:tr>
      <w:tr w:rsidR="009B5AA5" w:rsidRPr="00FA3F9C" w14:paraId="28965991" w14:textId="77777777" w:rsidTr="00A846C1">
        <w:tc>
          <w:tcPr>
            <w:tcW w:w="10790" w:type="dxa"/>
            <w:gridSpan w:val="2"/>
          </w:tcPr>
          <w:p w14:paraId="3A0B600D" w14:textId="77777777" w:rsidR="009B5AA5" w:rsidRPr="00FA3F9C" w:rsidRDefault="009B5AA5" w:rsidP="001E481E">
            <w:pPr>
              <w:rPr>
                <w:rFonts w:ascii="Arial" w:hAnsi="Arial" w:cs="Arial"/>
                <w:sz w:val="24"/>
                <w:szCs w:val="24"/>
              </w:rPr>
            </w:pPr>
            <w:r w:rsidRPr="00FA3F9C">
              <w:rPr>
                <w:rFonts w:ascii="Arial" w:hAnsi="Arial" w:cs="Arial"/>
                <w:sz w:val="24"/>
                <w:szCs w:val="24"/>
              </w:rPr>
              <w:t xml:space="preserve">3. Breast cancer falls into one of the following categories: </w:t>
            </w:r>
          </w:p>
          <w:p w14:paraId="6170A06C" w14:textId="77777777" w:rsidR="009B5AA5" w:rsidRPr="00FA3F9C" w:rsidRDefault="009B5AA5" w:rsidP="001E481E">
            <w:pPr>
              <w:ind w:left="877"/>
              <w:rPr>
                <w:rFonts w:ascii="Arial" w:hAnsi="Arial" w:cs="Arial"/>
                <w:sz w:val="24"/>
                <w:szCs w:val="24"/>
              </w:rPr>
            </w:pPr>
            <w:r w:rsidRPr="00FA3F9C">
              <w:rPr>
                <w:rFonts w:ascii="Arial" w:hAnsi="Arial" w:cs="Arial"/>
                <w:sz w:val="24"/>
                <w:szCs w:val="24"/>
              </w:rPr>
              <w:t>a. Inflammatory breast cancer</w:t>
            </w:r>
          </w:p>
          <w:p w14:paraId="38C736F0" w14:textId="77777777" w:rsidR="009B5AA5" w:rsidRPr="00FA3F9C" w:rsidRDefault="009B5AA5" w:rsidP="001E481E">
            <w:pPr>
              <w:ind w:left="877"/>
              <w:rPr>
                <w:rFonts w:ascii="Arial" w:hAnsi="Arial" w:cs="Arial"/>
                <w:sz w:val="24"/>
                <w:szCs w:val="24"/>
              </w:rPr>
            </w:pPr>
            <w:r w:rsidRPr="00FA3F9C">
              <w:rPr>
                <w:rFonts w:ascii="Arial" w:hAnsi="Arial" w:cs="Arial"/>
                <w:sz w:val="24"/>
                <w:szCs w:val="24"/>
              </w:rPr>
              <w:t>b. Primary tumor is &gt;2 cm in diameter</w:t>
            </w:r>
          </w:p>
          <w:p w14:paraId="4D9357A6" w14:textId="77777777" w:rsidR="009B5AA5" w:rsidRPr="00FA3F9C" w:rsidRDefault="009B5AA5" w:rsidP="00694731">
            <w:pPr>
              <w:ind w:left="877"/>
              <w:rPr>
                <w:rFonts w:ascii="Arial" w:hAnsi="Arial" w:cs="Arial"/>
                <w:sz w:val="24"/>
                <w:szCs w:val="24"/>
              </w:rPr>
            </w:pPr>
            <w:r w:rsidRPr="00FA3F9C">
              <w:rPr>
                <w:rFonts w:ascii="Arial" w:hAnsi="Arial" w:cs="Arial"/>
                <w:sz w:val="24"/>
                <w:szCs w:val="24"/>
              </w:rPr>
              <w:t>c. Lymph node involvement is present</w:t>
            </w:r>
          </w:p>
        </w:tc>
      </w:tr>
      <w:tr w:rsidR="009B5AA5" w:rsidRPr="00FA3F9C" w14:paraId="5A8F1F79" w14:textId="77777777" w:rsidTr="00A846C1">
        <w:tc>
          <w:tcPr>
            <w:tcW w:w="10790" w:type="dxa"/>
            <w:gridSpan w:val="2"/>
          </w:tcPr>
          <w:p w14:paraId="2AF6D67C" w14:textId="77777777" w:rsidR="009B5AA5" w:rsidRPr="00FA3F9C" w:rsidRDefault="009B5AA5" w:rsidP="00D4228B">
            <w:pPr>
              <w:rPr>
                <w:rFonts w:ascii="Arial" w:hAnsi="Arial" w:cs="Arial"/>
                <w:sz w:val="24"/>
                <w:szCs w:val="24"/>
              </w:rPr>
            </w:pPr>
            <w:r w:rsidRPr="00FA3F9C">
              <w:rPr>
                <w:rFonts w:ascii="Arial" w:hAnsi="Arial" w:cs="Arial"/>
                <w:sz w:val="24"/>
                <w:szCs w:val="24"/>
              </w:rPr>
              <w:t xml:space="preserve">4. </w:t>
            </w:r>
            <w:proofErr w:type="spellStart"/>
            <w:r w:rsidRPr="00FA3F9C">
              <w:rPr>
                <w:rFonts w:ascii="Arial" w:hAnsi="Arial" w:cs="Arial"/>
                <w:sz w:val="24"/>
                <w:szCs w:val="24"/>
              </w:rPr>
              <w:t>Pertuzumab</w:t>
            </w:r>
            <w:proofErr w:type="spellEnd"/>
            <w:r w:rsidRPr="00FA3F9C">
              <w:rPr>
                <w:rFonts w:ascii="Arial" w:hAnsi="Arial" w:cs="Arial"/>
                <w:sz w:val="24"/>
                <w:szCs w:val="24"/>
              </w:rPr>
              <w:t xml:space="preserve"> will be used in combination with trastuzumab and </w:t>
            </w:r>
            <w:proofErr w:type="spellStart"/>
            <w:r w:rsidRPr="00FA3F9C">
              <w:rPr>
                <w:rFonts w:ascii="Arial" w:hAnsi="Arial" w:cs="Arial"/>
                <w:sz w:val="24"/>
                <w:szCs w:val="24"/>
              </w:rPr>
              <w:t>taxane</w:t>
            </w:r>
            <w:proofErr w:type="spellEnd"/>
            <w:r w:rsidRPr="00FA3F9C">
              <w:rPr>
                <w:rFonts w:ascii="Arial" w:hAnsi="Arial" w:cs="Arial"/>
                <w:sz w:val="24"/>
                <w:szCs w:val="24"/>
              </w:rPr>
              <w:t xml:space="preserve">-based chemotherapy </w:t>
            </w:r>
          </w:p>
        </w:tc>
      </w:tr>
      <w:tr w:rsidR="009B5AA5" w:rsidRPr="00FA3F9C" w14:paraId="758357AC" w14:textId="77777777" w:rsidTr="00A846C1">
        <w:tc>
          <w:tcPr>
            <w:tcW w:w="10790" w:type="dxa"/>
            <w:gridSpan w:val="2"/>
            <w:shd w:val="clear" w:color="auto" w:fill="F2F2F2" w:themeFill="background1" w:themeFillShade="F2"/>
          </w:tcPr>
          <w:p w14:paraId="3FB74949" w14:textId="77777777" w:rsidR="009B5AA5" w:rsidRPr="00FA3F9C" w:rsidRDefault="009B5AA5" w:rsidP="00924AE4">
            <w:pPr>
              <w:rPr>
                <w:rFonts w:ascii="Arial" w:hAnsi="Arial" w:cs="Arial"/>
                <w:sz w:val="24"/>
                <w:szCs w:val="24"/>
              </w:rPr>
            </w:pPr>
            <w:r w:rsidRPr="00FA3F9C">
              <w:rPr>
                <w:rFonts w:ascii="Arial" w:hAnsi="Arial" w:cs="Arial"/>
                <w:sz w:val="24"/>
                <w:szCs w:val="24"/>
              </w:rPr>
              <w:t xml:space="preserve">If above criteria are fulfilled, approve x 12 months </w:t>
            </w:r>
            <w:r w:rsidRPr="00FA3F9C">
              <w:rPr>
                <w:rFonts w:ascii="Arial" w:hAnsi="Arial" w:cs="Arial"/>
                <w:sz w:val="24"/>
                <w:szCs w:val="24"/>
                <w:highlight w:val="cyan"/>
              </w:rPr>
              <w:t xml:space="preserve">[maximum duration of therapy is 1 year or 18 doses of </w:t>
            </w:r>
            <w:proofErr w:type="spellStart"/>
            <w:r w:rsidRPr="00FA3F9C">
              <w:rPr>
                <w:rFonts w:ascii="Arial" w:hAnsi="Arial" w:cs="Arial"/>
                <w:sz w:val="24"/>
                <w:szCs w:val="24"/>
                <w:highlight w:val="cyan"/>
              </w:rPr>
              <w:t>pertuzumab</w:t>
            </w:r>
            <w:proofErr w:type="spellEnd"/>
            <w:r w:rsidRPr="00FA3F9C">
              <w:rPr>
                <w:rFonts w:ascii="Arial" w:hAnsi="Arial" w:cs="Arial"/>
                <w:sz w:val="24"/>
                <w:szCs w:val="24"/>
                <w:highlight w:val="cyan"/>
              </w:rPr>
              <w:t>]</w:t>
            </w:r>
          </w:p>
        </w:tc>
      </w:tr>
      <w:tr w:rsidR="009B5AA5" w:rsidRPr="00FA3F9C" w14:paraId="4D9E0C5A" w14:textId="77777777" w:rsidTr="00A846C1">
        <w:trPr>
          <w:trHeight w:val="2762"/>
        </w:trPr>
        <w:tc>
          <w:tcPr>
            <w:tcW w:w="10790" w:type="dxa"/>
            <w:gridSpan w:val="2"/>
            <w:shd w:val="clear" w:color="auto" w:fill="D9D9D9" w:themeFill="background1" w:themeFillShade="D9"/>
          </w:tcPr>
          <w:p w14:paraId="4AC75FBD" w14:textId="77777777" w:rsidR="009B5AA5" w:rsidRPr="00FA3F9C" w:rsidRDefault="009B5AA5" w:rsidP="00A846C1">
            <w:pPr>
              <w:rPr>
                <w:rFonts w:ascii="Arial" w:hAnsi="Arial" w:cs="Arial"/>
                <w:sz w:val="24"/>
                <w:szCs w:val="24"/>
              </w:rPr>
            </w:pPr>
            <w:r w:rsidRPr="00FA3F9C">
              <w:rPr>
                <w:rFonts w:ascii="Arial" w:hAnsi="Arial" w:cs="Arial"/>
                <w:sz w:val="24"/>
                <w:szCs w:val="24"/>
              </w:rPr>
              <w:lastRenderedPageBreak/>
              <w:t xml:space="preserve">Notes:   </w:t>
            </w:r>
          </w:p>
          <w:p w14:paraId="5DB0B20C" w14:textId="77777777" w:rsidR="009B5AA5" w:rsidRPr="00FA3F9C" w:rsidRDefault="009B5AA5" w:rsidP="00C9493C">
            <w:pPr>
              <w:rPr>
                <w:rFonts w:ascii="Arial" w:hAnsi="Arial" w:cs="Arial"/>
                <w:sz w:val="24"/>
                <w:szCs w:val="24"/>
              </w:rPr>
            </w:pPr>
            <w:r w:rsidRPr="00FA3F9C">
              <w:rPr>
                <w:rFonts w:ascii="Arial" w:hAnsi="Arial" w:cs="Arial"/>
                <w:sz w:val="24"/>
                <w:szCs w:val="24"/>
              </w:rPr>
              <w:t xml:space="preserve">Total duration of perioperative </w:t>
            </w:r>
            <w:proofErr w:type="spellStart"/>
            <w:r w:rsidRPr="00FA3F9C">
              <w:rPr>
                <w:rFonts w:ascii="Arial" w:hAnsi="Arial" w:cs="Arial"/>
                <w:sz w:val="24"/>
                <w:szCs w:val="24"/>
              </w:rPr>
              <w:t>pertuzumab</w:t>
            </w:r>
            <w:proofErr w:type="spellEnd"/>
            <w:r w:rsidRPr="00FA3F9C">
              <w:rPr>
                <w:rFonts w:ascii="Arial" w:hAnsi="Arial" w:cs="Arial"/>
                <w:sz w:val="24"/>
                <w:szCs w:val="24"/>
              </w:rPr>
              <w:t xml:space="preserve"> therapy is 1 year. </w:t>
            </w:r>
            <w:proofErr w:type="spellStart"/>
            <w:r w:rsidRPr="00FA3F9C">
              <w:rPr>
                <w:rFonts w:ascii="Arial" w:hAnsi="Arial" w:cs="Arial"/>
                <w:sz w:val="24"/>
                <w:szCs w:val="24"/>
              </w:rPr>
              <w:t>Pertuzumab</w:t>
            </w:r>
            <w:proofErr w:type="spellEnd"/>
            <w:r w:rsidRPr="00FA3F9C">
              <w:rPr>
                <w:rFonts w:ascii="Arial" w:hAnsi="Arial" w:cs="Arial"/>
                <w:sz w:val="24"/>
                <w:szCs w:val="24"/>
              </w:rPr>
              <w:t>/</w:t>
            </w:r>
            <w:proofErr w:type="spellStart"/>
            <w:r w:rsidRPr="00FA3F9C">
              <w:rPr>
                <w:rFonts w:ascii="Arial" w:hAnsi="Arial" w:cs="Arial"/>
                <w:sz w:val="24"/>
                <w:szCs w:val="24"/>
              </w:rPr>
              <w:t>trastuzumab+chemo</w:t>
            </w:r>
            <w:proofErr w:type="spellEnd"/>
            <w:r w:rsidRPr="00FA3F9C">
              <w:rPr>
                <w:rFonts w:ascii="Arial" w:hAnsi="Arial" w:cs="Arial"/>
                <w:sz w:val="24"/>
                <w:szCs w:val="24"/>
              </w:rPr>
              <w:t xml:space="preserve"> is given x 3-6 cycles before surgery. After surgery, </w:t>
            </w:r>
            <w:proofErr w:type="spellStart"/>
            <w:r w:rsidRPr="00FA3F9C">
              <w:rPr>
                <w:rFonts w:ascii="Arial" w:hAnsi="Arial" w:cs="Arial"/>
                <w:sz w:val="24"/>
                <w:szCs w:val="24"/>
              </w:rPr>
              <w:t>pertuzumab</w:t>
            </w:r>
            <w:proofErr w:type="spellEnd"/>
            <w:r w:rsidRPr="00FA3F9C">
              <w:rPr>
                <w:rFonts w:ascii="Arial" w:hAnsi="Arial" w:cs="Arial"/>
                <w:sz w:val="24"/>
                <w:szCs w:val="24"/>
              </w:rPr>
              <w:t xml:space="preserve"> and trastuzumab are resumed to </w:t>
            </w:r>
            <w:r w:rsidRPr="00FA3F9C">
              <w:rPr>
                <w:rFonts w:ascii="Arial" w:hAnsi="Arial" w:cs="Arial"/>
                <w:sz w:val="24"/>
                <w:szCs w:val="24"/>
                <w:u w:val="single"/>
              </w:rPr>
              <w:t>complete</w:t>
            </w:r>
            <w:r w:rsidRPr="00FA3F9C">
              <w:rPr>
                <w:rFonts w:ascii="Arial" w:hAnsi="Arial" w:cs="Arial"/>
                <w:sz w:val="24"/>
                <w:szCs w:val="24"/>
              </w:rPr>
              <w:t xml:space="preserve"> one year of therapy.</w:t>
            </w:r>
          </w:p>
          <w:p w14:paraId="5EAB4EC6" w14:textId="77777777" w:rsidR="009B5AA5" w:rsidRPr="00FA3F9C" w:rsidRDefault="009B5AA5" w:rsidP="00C9493C">
            <w:pPr>
              <w:rPr>
                <w:rFonts w:ascii="Arial" w:hAnsi="Arial" w:cs="Arial"/>
                <w:sz w:val="24"/>
                <w:szCs w:val="24"/>
              </w:rPr>
            </w:pPr>
          </w:p>
          <w:p w14:paraId="6CF9E8A7" w14:textId="77777777" w:rsidR="009B5AA5" w:rsidRPr="00FA3F9C" w:rsidRDefault="009B5AA5" w:rsidP="00C9493C">
            <w:pPr>
              <w:rPr>
                <w:rFonts w:ascii="Arial" w:hAnsi="Arial" w:cs="Arial"/>
                <w:sz w:val="24"/>
                <w:szCs w:val="24"/>
                <w:vertAlign w:val="subscript"/>
              </w:rPr>
            </w:pPr>
            <w:r w:rsidRPr="00FA3F9C">
              <w:rPr>
                <w:rFonts w:ascii="Arial" w:hAnsi="Arial" w:cs="Arial"/>
                <w:sz w:val="24"/>
                <w:szCs w:val="24"/>
              </w:rPr>
              <w:t xml:space="preserve">In studies, the population described in the above criteria was given </w:t>
            </w:r>
            <w:proofErr w:type="spellStart"/>
            <w:r w:rsidRPr="00FA3F9C">
              <w:rPr>
                <w:rFonts w:ascii="Arial" w:hAnsi="Arial" w:cs="Arial"/>
                <w:sz w:val="24"/>
                <w:szCs w:val="24"/>
              </w:rPr>
              <w:t>pertuzumab</w:t>
            </w:r>
            <w:proofErr w:type="spellEnd"/>
            <w:r w:rsidRPr="00FA3F9C">
              <w:rPr>
                <w:rFonts w:ascii="Arial" w:hAnsi="Arial" w:cs="Arial"/>
                <w:sz w:val="24"/>
                <w:szCs w:val="24"/>
              </w:rPr>
              <w:t xml:space="preserve">, trastuzumab, and mostly </w:t>
            </w:r>
            <w:proofErr w:type="spellStart"/>
            <w:r w:rsidRPr="00FA3F9C">
              <w:rPr>
                <w:rFonts w:ascii="Arial" w:hAnsi="Arial" w:cs="Arial"/>
                <w:sz w:val="24"/>
                <w:szCs w:val="24"/>
              </w:rPr>
              <w:t>taxane</w:t>
            </w:r>
            <w:proofErr w:type="spellEnd"/>
            <w:r w:rsidRPr="00FA3F9C">
              <w:rPr>
                <w:rFonts w:ascii="Arial" w:hAnsi="Arial" w:cs="Arial"/>
                <w:sz w:val="24"/>
                <w:szCs w:val="24"/>
              </w:rPr>
              <w:t>-based chemotherapy. Compared to conventional rates of pathological complete response (</w:t>
            </w:r>
            <w:proofErr w:type="spellStart"/>
            <w:r w:rsidRPr="00FA3F9C">
              <w:rPr>
                <w:rFonts w:ascii="Arial" w:hAnsi="Arial" w:cs="Arial"/>
                <w:sz w:val="24"/>
                <w:szCs w:val="24"/>
              </w:rPr>
              <w:t>pCR</w:t>
            </w:r>
            <w:proofErr w:type="spellEnd"/>
            <w:r w:rsidRPr="00FA3F9C">
              <w:rPr>
                <w:rFonts w:ascii="Arial" w:hAnsi="Arial" w:cs="Arial"/>
                <w:sz w:val="24"/>
                <w:szCs w:val="24"/>
              </w:rPr>
              <w:t>) of ~40%</w:t>
            </w:r>
            <w:r w:rsidRPr="00FA3F9C">
              <w:rPr>
                <w:rFonts w:ascii="Arial" w:hAnsi="Arial" w:cs="Arial"/>
                <w:sz w:val="24"/>
                <w:szCs w:val="24"/>
                <w:vertAlign w:val="superscript"/>
              </w:rPr>
              <w:t>1</w:t>
            </w:r>
            <w:r w:rsidRPr="00FA3F9C">
              <w:rPr>
                <w:rFonts w:ascii="Arial" w:hAnsi="Arial" w:cs="Arial"/>
                <w:sz w:val="24"/>
                <w:szCs w:val="24"/>
              </w:rPr>
              <w:t xml:space="preserve">, the </w:t>
            </w:r>
            <w:proofErr w:type="spellStart"/>
            <w:r w:rsidRPr="00FA3F9C">
              <w:rPr>
                <w:rFonts w:ascii="Arial" w:hAnsi="Arial" w:cs="Arial"/>
                <w:sz w:val="24"/>
                <w:szCs w:val="24"/>
              </w:rPr>
              <w:t>pCR</w:t>
            </w:r>
            <w:proofErr w:type="spellEnd"/>
            <w:r w:rsidRPr="00FA3F9C">
              <w:rPr>
                <w:rFonts w:ascii="Arial" w:hAnsi="Arial" w:cs="Arial"/>
                <w:sz w:val="24"/>
                <w:szCs w:val="24"/>
              </w:rPr>
              <w:t xml:space="preserve"> rates with these </w:t>
            </w:r>
            <w:proofErr w:type="spellStart"/>
            <w:r w:rsidRPr="00FA3F9C">
              <w:rPr>
                <w:rFonts w:ascii="Arial" w:hAnsi="Arial" w:cs="Arial"/>
                <w:sz w:val="24"/>
                <w:szCs w:val="24"/>
              </w:rPr>
              <w:t>pertuzumab</w:t>
            </w:r>
            <w:proofErr w:type="spellEnd"/>
            <w:r w:rsidRPr="00FA3F9C">
              <w:rPr>
                <w:rFonts w:ascii="Arial" w:hAnsi="Arial" w:cs="Arial"/>
                <w:sz w:val="24"/>
                <w:szCs w:val="24"/>
              </w:rPr>
              <w:t>-containing regimens were ~60%</w:t>
            </w:r>
            <w:r w:rsidRPr="00FA3F9C">
              <w:rPr>
                <w:rFonts w:ascii="Arial" w:hAnsi="Arial" w:cs="Arial"/>
                <w:sz w:val="24"/>
                <w:szCs w:val="24"/>
                <w:vertAlign w:val="superscript"/>
              </w:rPr>
              <w:t>2,3,4</w:t>
            </w:r>
            <w:r w:rsidRPr="00FA3F9C">
              <w:rPr>
                <w:rFonts w:ascii="Arial" w:hAnsi="Arial" w:cs="Arial"/>
                <w:sz w:val="24"/>
                <w:szCs w:val="24"/>
              </w:rPr>
              <w:t xml:space="preserve">. Attainment of </w:t>
            </w:r>
            <w:proofErr w:type="spellStart"/>
            <w:r w:rsidRPr="00FA3F9C">
              <w:rPr>
                <w:rFonts w:ascii="Arial" w:hAnsi="Arial" w:cs="Arial"/>
                <w:sz w:val="24"/>
                <w:szCs w:val="24"/>
              </w:rPr>
              <w:t>pCR</w:t>
            </w:r>
            <w:proofErr w:type="spellEnd"/>
            <w:r w:rsidRPr="00FA3F9C">
              <w:rPr>
                <w:rFonts w:ascii="Arial" w:hAnsi="Arial" w:cs="Arial"/>
                <w:sz w:val="24"/>
                <w:szCs w:val="24"/>
              </w:rPr>
              <w:t xml:space="preserve"> has been strongly associated with overall survival in multiple analyses.</w:t>
            </w:r>
            <w:r w:rsidRPr="00FA3F9C">
              <w:rPr>
                <w:rFonts w:ascii="Arial" w:hAnsi="Arial" w:cs="Arial"/>
                <w:sz w:val="24"/>
                <w:szCs w:val="24"/>
                <w:vertAlign w:val="superscript"/>
              </w:rPr>
              <w:t>1,5,6</w:t>
            </w:r>
          </w:p>
          <w:p w14:paraId="4A5F4FFE" w14:textId="77777777" w:rsidR="009B5AA5" w:rsidRPr="00FA3F9C" w:rsidRDefault="009B5AA5" w:rsidP="00A846C1">
            <w:pPr>
              <w:rPr>
                <w:rFonts w:ascii="Arial" w:hAnsi="Arial" w:cs="Arial"/>
                <w:sz w:val="24"/>
                <w:szCs w:val="24"/>
              </w:rPr>
            </w:pPr>
          </w:p>
          <w:p w14:paraId="458CB0E5" w14:textId="77777777" w:rsidR="009B5AA5" w:rsidRPr="00FA3F9C" w:rsidRDefault="009B5AA5" w:rsidP="00A846C1">
            <w:pPr>
              <w:rPr>
                <w:rFonts w:ascii="Arial" w:hAnsi="Arial" w:cs="Arial"/>
                <w:sz w:val="24"/>
                <w:szCs w:val="24"/>
              </w:rPr>
            </w:pPr>
            <w:r w:rsidRPr="00FA3F9C">
              <w:rPr>
                <w:rFonts w:ascii="Arial" w:hAnsi="Arial" w:cs="Arial"/>
                <w:sz w:val="24"/>
                <w:szCs w:val="24"/>
              </w:rPr>
              <w:t xml:space="preserve">Dose: </w:t>
            </w:r>
          </w:p>
          <w:p w14:paraId="416B1111" w14:textId="77777777" w:rsidR="009B5AA5" w:rsidRPr="00FA3F9C" w:rsidRDefault="009B5AA5" w:rsidP="00A846C1">
            <w:pPr>
              <w:rPr>
                <w:rFonts w:ascii="Arial" w:hAnsi="Arial" w:cs="Arial"/>
                <w:sz w:val="24"/>
                <w:szCs w:val="24"/>
              </w:rPr>
            </w:pPr>
            <w:r w:rsidRPr="00FA3F9C">
              <w:rPr>
                <w:rFonts w:ascii="Arial" w:hAnsi="Arial" w:cs="Arial"/>
                <w:sz w:val="24"/>
                <w:szCs w:val="24"/>
              </w:rPr>
              <w:t xml:space="preserve">840 mg IV x 1 followed 3 weeks later by 420 mg IV every 3 weeks x 3-6 cycles, then proceed to surgery. After surgery, resume </w:t>
            </w:r>
            <w:proofErr w:type="spellStart"/>
            <w:r w:rsidRPr="00FA3F9C">
              <w:rPr>
                <w:rFonts w:ascii="Arial" w:hAnsi="Arial" w:cs="Arial"/>
                <w:sz w:val="24"/>
                <w:szCs w:val="24"/>
              </w:rPr>
              <w:t>pertuzumab</w:t>
            </w:r>
            <w:proofErr w:type="spellEnd"/>
            <w:r w:rsidRPr="00FA3F9C">
              <w:rPr>
                <w:rFonts w:ascii="Arial" w:hAnsi="Arial" w:cs="Arial"/>
                <w:sz w:val="24"/>
                <w:szCs w:val="24"/>
              </w:rPr>
              <w:t xml:space="preserve"> with trastuzumab to </w:t>
            </w:r>
            <w:r w:rsidRPr="00FA3F9C">
              <w:rPr>
                <w:rFonts w:ascii="Arial" w:hAnsi="Arial" w:cs="Arial"/>
                <w:sz w:val="24"/>
                <w:szCs w:val="24"/>
                <w:u w:val="single"/>
              </w:rPr>
              <w:t>complete</w:t>
            </w:r>
            <w:r w:rsidRPr="00FA3F9C">
              <w:rPr>
                <w:rFonts w:ascii="Arial" w:hAnsi="Arial" w:cs="Arial"/>
                <w:sz w:val="24"/>
                <w:szCs w:val="24"/>
              </w:rPr>
              <w:t xml:space="preserve"> one year of therapy.</w:t>
            </w:r>
          </w:p>
          <w:p w14:paraId="437A84C7" w14:textId="77777777" w:rsidR="009B5AA5" w:rsidRPr="00FA3F9C" w:rsidRDefault="009B5AA5" w:rsidP="00A846C1">
            <w:pPr>
              <w:rPr>
                <w:rFonts w:ascii="Arial" w:hAnsi="Arial" w:cs="Arial"/>
                <w:sz w:val="24"/>
                <w:szCs w:val="24"/>
              </w:rPr>
            </w:pPr>
          </w:p>
          <w:p w14:paraId="4E44AAB2" w14:textId="77777777" w:rsidR="009B5AA5" w:rsidRPr="00FA3F9C" w:rsidRDefault="009B5AA5" w:rsidP="00A846C1">
            <w:pPr>
              <w:rPr>
                <w:rFonts w:ascii="Arial" w:hAnsi="Arial" w:cs="Arial"/>
                <w:sz w:val="24"/>
                <w:szCs w:val="24"/>
              </w:rPr>
            </w:pPr>
            <w:r w:rsidRPr="00FA3F9C">
              <w:rPr>
                <w:rFonts w:ascii="Arial" w:hAnsi="Arial" w:cs="Arial"/>
                <w:sz w:val="24"/>
                <w:szCs w:val="24"/>
              </w:rPr>
              <w:t>REFERENCES:</w:t>
            </w:r>
          </w:p>
          <w:p w14:paraId="3B5557CA" w14:textId="77777777" w:rsidR="009B5AA5" w:rsidRPr="00FA3F9C" w:rsidRDefault="009B5AA5" w:rsidP="00FC1E85">
            <w:pPr>
              <w:pStyle w:val="ListParagraph"/>
              <w:numPr>
                <w:ilvl w:val="0"/>
                <w:numId w:val="434"/>
              </w:numPr>
              <w:ind w:left="337" w:hanging="270"/>
              <w:rPr>
                <w:rFonts w:ascii="Arial" w:hAnsi="Arial" w:cs="Arial"/>
                <w:sz w:val="24"/>
                <w:szCs w:val="24"/>
              </w:rPr>
            </w:pPr>
            <w:r w:rsidRPr="00FA3F9C">
              <w:rPr>
                <w:rFonts w:ascii="Arial" w:hAnsi="Arial" w:cs="Arial"/>
                <w:sz w:val="24"/>
                <w:szCs w:val="24"/>
              </w:rPr>
              <w:t xml:space="preserve">Gianni L et al.  Efficacy and safety of neoadjuvant </w:t>
            </w:r>
            <w:proofErr w:type="spellStart"/>
            <w:r w:rsidRPr="00FA3F9C">
              <w:rPr>
                <w:rFonts w:ascii="Arial" w:hAnsi="Arial" w:cs="Arial"/>
                <w:sz w:val="24"/>
                <w:szCs w:val="24"/>
              </w:rPr>
              <w:t>pertuzumab</w:t>
            </w:r>
            <w:proofErr w:type="spellEnd"/>
            <w:r w:rsidRPr="00FA3F9C">
              <w:rPr>
                <w:rFonts w:ascii="Arial" w:hAnsi="Arial" w:cs="Arial"/>
                <w:sz w:val="24"/>
                <w:szCs w:val="24"/>
              </w:rPr>
              <w:t xml:space="preserve"> and trastuzumab in women with locally advanced, inflammatory, or early HER2-positive breast cancer (</w:t>
            </w:r>
            <w:proofErr w:type="spellStart"/>
            <w:r w:rsidRPr="00FA3F9C">
              <w:rPr>
                <w:rFonts w:ascii="Arial" w:hAnsi="Arial" w:cs="Arial"/>
                <w:sz w:val="24"/>
                <w:szCs w:val="24"/>
              </w:rPr>
              <w:t>NeoSphere</w:t>
            </w:r>
            <w:proofErr w:type="spellEnd"/>
            <w:r w:rsidRPr="00FA3F9C">
              <w:rPr>
                <w:rFonts w:ascii="Arial" w:hAnsi="Arial" w:cs="Arial"/>
                <w:sz w:val="24"/>
                <w:szCs w:val="24"/>
              </w:rPr>
              <w:t xml:space="preserve">): a </w:t>
            </w:r>
            <w:proofErr w:type="spellStart"/>
            <w:r w:rsidRPr="00FA3F9C">
              <w:rPr>
                <w:rFonts w:ascii="Arial" w:hAnsi="Arial" w:cs="Arial"/>
                <w:sz w:val="24"/>
                <w:szCs w:val="24"/>
              </w:rPr>
              <w:t>randomised</w:t>
            </w:r>
            <w:proofErr w:type="spellEnd"/>
            <w:r w:rsidRPr="00FA3F9C">
              <w:rPr>
                <w:rFonts w:ascii="Arial" w:hAnsi="Arial" w:cs="Arial"/>
                <w:sz w:val="24"/>
                <w:szCs w:val="24"/>
              </w:rPr>
              <w:t xml:space="preserve"> </w:t>
            </w:r>
            <w:proofErr w:type="spellStart"/>
            <w:r w:rsidRPr="00FA3F9C">
              <w:rPr>
                <w:rFonts w:ascii="Arial" w:hAnsi="Arial" w:cs="Arial"/>
                <w:sz w:val="24"/>
                <w:szCs w:val="24"/>
              </w:rPr>
              <w:t>multicentre</w:t>
            </w:r>
            <w:proofErr w:type="spellEnd"/>
            <w:r w:rsidRPr="00FA3F9C">
              <w:rPr>
                <w:rFonts w:ascii="Arial" w:hAnsi="Arial" w:cs="Arial"/>
                <w:sz w:val="24"/>
                <w:szCs w:val="24"/>
              </w:rPr>
              <w:t>, open-label, phase 2 trial. Lancet Oncol. 2012 Jan;13(1):25-32. NCT00545688 PMID 22153890</w:t>
            </w:r>
          </w:p>
          <w:p w14:paraId="5415B427" w14:textId="77777777" w:rsidR="009B5AA5" w:rsidRPr="00FA3F9C" w:rsidRDefault="009B5AA5" w:rsidP="00FC1E85">
            <w:pPr>
              <w:pStyle w:val="ListParagraph"/>
              <w:numPr>
                <w:ilvl w:val="0"/>
                <w:numId w:val="434"/>
              </w:numPr>
              <w:ind w:left="337" w:hanging="270"/>
              <w:rPr>
                <w:rFonts w:ascii="Arial" w:hAnsi="Arial" w:cs="Arial"/>
                <w:sz w:val="24"/>
                <w:szCs w:val="24"/>
              </w:rPr>
            </w:pPr>
            <w:proofErr w:type="spellStart"/>
            <w:r w:rsidRPr="00FA3F9C">
              <w:rPr>
                <w:rFonts w:ascii="Arial" w:hAnsi="Arial" w:cs="Arial"/>
                <w:sz w:val="24"/>
                <w:szCs w:val="24"/>
              </w:rPr>
              <w:t>Schneeweiss</w:t>
            </w:r>
            <w:proofErr w:type="spellEnd"/>
            <w:r w:rsidRPr="00FA3F9C">
              <w:rPr>
                <w:rFonts w:ascii="Arial" w:hAnsi="Arial" w:cs="Arial"/>
                <w:sz w:val="24"/>
                <w:szCs w:val="24"/>
              </w:rPr>
              <w:t xml:space="preserve"> A et al. </w:t>
            </w:r>
            <w:proofErr w:type="spellStart"/>
            <w:r w:rsidRPr="00FA3F9C">
              <w:rPr>
                <w:rFonts w:ascii="Arial" w:hAnsi="Arial" w:cs="Arial"/>
                <w:sz w:val="24"/>
                <w:szCs w:val="24"/>
              </w:rPr>
              <w:t>Pertuzumab</w:t>
            </w:r>
            <w:proofErr w:type="spellEnd"/>
            <w:r w:rsidRPr="00FA3F9C">
              <w:rPr>
                <w:rFonts w:ascii="Arial" w:hAnsi="Arial" w:cs="Arial"/>
                <w:sz w:val="24"/>
                <w:szCs w:val="24"/>
              </w:rPr>
              <w:t xml:space="preserve"> plus trastuzumab in combination with standard neoadjuvant anthracycline-containing and anthracycline-free chemotherapy regimens in patients with HER2-positive early breast cancer: a randomized phase II cardiac safety study (TRYPHAENA). Ann Oncol. 2013 Sep;24(9):2278-84. PMID 23704196</w:t>
            </w:r>
          </w:p>
          <w:p w14:paraId="5FAD18DA" w14:textId="77777777" w:rsidR="009B5AA5" w:rsidRPr="00FA3F9C" w:rsidRDefault="009B5AA5" w:rsidP="00FC1E85">
            <w:pPr>
              <w:pStyle w:val="ListParagraph"/>
              <w:numPr>
                <w:ilvl w:val="0"/>
                <w:numId w:val="434"/>
              </w:numPr>
              <w:ind w:left="337" w:hanging="270"/>
              <w:rPr>
                <w:rFonts w:ascii="Arial" w:hAnsi="Arial" w:cs="Arial"/>
                <w:sz w:val="24"/>
                <w:szCs w:val="24"/>
              </w:rPr>
            </w:pPr>
            <w:r w:rsidRPr="00FA3F9C">
              <w:rPr>
                <w:rFonts w:ascii="Arial" w:hAnsi="Arial" w:cs="Arial"/>
                <w:sz w:val="24"/>
                <w:szCs w:val="24"/>
              </w:rPr>
              <w:t xml:space="preserve">Swain SM et al. </w:t>
            </w:r>
            <w:proofErr w:type="spellStart"/>
            <w:r w:rsidRPr="00FA3F9C">
              <w:rPr>
                <w:rFonts w:ascii="Arial" w:hAnsi="Arial" w:cs="Arial"/>
                <w:sz w:val="24"/>
                <w:szCs w:val="24"/>
              </w:rPr>
              <w:t>Pertuzumab</w:t>
            </w:r>
            <w:proofErr w:type="spellEnd"/>
            <w:r w:rsidRPr="00FA3F9C">
              <w:rPr>
                <w:rFonts w:ascii="Arial" w:hAnsi="Arial" w:cs="Arial"/>
                <w:sz w:val="24"/>
                <w:szCs w:val="24"/>
              </w:rPr>
              <w:t xml:space="preserve">, trastuzumab, and standard anthracycline- and </w:t>
            </w:r>
            <w:proofErr w:type="spellStart"/>
            <w:r w:rsidRPr="00FA3F9C">
              <w:rPr>
                <w:rFonts w:ascii="Arial" w:hAnsi="Arial" w:cs="Arial"/>
                <w:sz w:val="24"/>
                <w:szCs w:val="24"/>
              </w:rPr>
              <w:t>taxane</w:t>
            </w:r>
            <w:proofErr w:type="spellEnd"/>
            <w:r w:rsidRPr="00FA3F9C">
              <w:rPr>
                <w:rFonts w:ascii="Arial" w:hAnsi="Arial" w:cs="Arial"/>
                <w:sz w:val="24"/>
                <w:szCs w:val="24"/>
              </w:rPr>
              <w:t>-based chemotherapy for the neoadjuvant treatment of patients with HER2-positive localized breast cancer (BERENICE): a phase II, open-label, multicenter, multinational cardiac safety study. Ann Oncol. 2018 Mar 1;29(3):646-653. PMID 29253081 NCT02132949</w:t>
            </w:r>
          </w:p>
          <w:p w14:paraId="0E9F577D" w14:textId="77777777" w:rsidR="009B5AA5" w:rsidRPr="00FA3F9C" w:rsidRDefault="009B5AA5" w:rsidP="00FC1E85">
            <w:pPr>
              <w:pStyle w:val="ListParagraph"/>
              <w:numPr>
                <w:ilvl w:val="0"/>
                <w:numId w:val="434"/>
              </w:numPr>
              <w:ind w:left="337" w:hanging="270"/>
              <w:rPr>
                <w:rFonts w:ascii="Arial" w:hAnsi="Arial" w:cs="Arial"/>
                <w:sz w:val="24"/>
                <w:szCs w:val="24"/>
              </w:rPr>
            </w:pPr>
            <w:r w:rsidRPr="00FA3F9C">
              <w:rPr>
                <w:rFonts w:ascii="Arial" w:hAnsi="Arial" w:cs="Arial"/>
                <w:sz w:val="24"/>
                <w:szCs w:val="24"/>
              </w:rPr>
              <w:t xml:space="preserve">Cortazar P et al. Pathological complete response and long-term clinical benefit in breast cancer: the </w:t>
            </w:r>
            <w:proofErr w:type="spellStart"/>
            <w:r w:rsidRPr="00FA3F9C">
              <w:rPr>
                <w:rFonts w:ascii="Arial" w:hAnsi="Arial" w:cs="Arial"/>
                <w:sz w:val="24"/>
                <w:szCs w:val="24"/>
              </w:rPr>
              <w:t>CTNeoBC</w:t>
            </w:r>
            <w:proofErr w:type="spellEnd"/>
            <w:r w:rsidRPr="00FA3F9C">
              <w:rPr>
                <w:rFonts w:ascii="Arial" w:hAnsi="Arial" w:cs="Arial"/>
                <w:sz w:val="24"/>
                <w:szCs w:val="24"/>
              </w:rPr>
              <w:t xml:space="preserve"> pooled analysis. Lancet. 2014 Jul 12;384(9938):164-72. PMID 24529560    </w:t>
            </w:r>
          </w:p>
          <w:p w14:paraId="11EC064B" w14:textId="77777777" w:rsidR="009B5AA5" w:rsidRPr="00FA3F9C" w:rsidRDefault="009B5AA5" w:rsidP="00FC1E85">
            <w:pPr>
              <w:pStyle w:val="ListParagraph"/>
              <w:numPr>
                <w:ilvl w:val="0"/>
                <w:numId w:val="434"/>
              </w:numPr>
              <w:ind w:left="337" w:hanging="270"/>
              <w:rPr>
                <w:rFonts w:ascii="Arial" w:hAnsi="Arial" w:cs="Arial"/>
                <w:sz w:val="24"/>
                <w:szCs w:val="24"/>
              </w:rPr>
            </w:pPr>
            <w:proofErr w:type="spellStart"/>
            <w:r w:rsidRPr="00FA3F9C">
              <w:rPr>
                <w:rFonts w:ascii="Arial" w:hAnsi="Arial" w:cs="Arial"/>
                <w:sz w:val="24"/>
                <w:szCs w:val="24"/>
                <w:lang w:val="es-ES"/>
              </w:rPr>
              <w:t>Mieog</w:t>
            </w:r>
            <w:proofErr w:type="spellEnd"/>
            <w:r w:rsidRPr="00FA3F9C">
              <w:rPr>
                <w:rFonts w:ascii="Arial" w:hAnsi="Arial" w:cs="Arial"/>
                <w:sz w:val="24"/>
                <w:szCs w:val="24"/>
                <w:lang w:val="es-ES"/>
              </w:rPr>
              <w:t xml:space="preserve"> JS, van </w:t>
            </w:r>
            <w:proofErr w:type="spellStart"/>
            <w:r w:rsidRPr="00FA3F9C">
              <w:rPr>
                <w:rFonts w:ascii="Arial" w:hAnsi="Arial" w:cs="Arial"/>
                <w:sz w:val="24"/>
                <w:szCs w:val="24"/>
                <w:lang w:val="es-ES"/>
              </w:rPr>
              <w:t>der</w:t>
            </w:r>
            <w:proofErr w:type="spellEnd"/>
            <w:r w:rsidRPr="00FA3F9C">
              <w:rPr>
                <w:rFonts w:ascii="Arial" w:hAnsi="Arial" w:cs="Arial"/>
                <w:sz w:val="24"/>
                <w:szCs w:val="24"/>
                <w:lang w:val="es-ES"/>
              </w:rPr>
              <w:t xml:space="preserve"> </w:t>
            </w:r>
            <w:proofErr w:type="spellStart"/>
            <w:r w:rsidRPr="00FA3F9C">
              <w:rPr>
                <w:rFonts w:ascii="Arial" w:hAnsi="Arial" w:cs="Arial"/>
                <w:sz w:val="24"/>
                <w:szCs w:val="24"/>
                <w:lang w:val="es-ES"/>
              </w:rPr>
              <w:t>Hage</w:t>
            </w:r>
            <w:proofErr w:type="spellEnd"/>
            <w:r w:rsidRPr="00FA3F9C">
              <w:rPr>
                <w:rFonts w:ascii="Arial" w:hAnsi="Arial" w:cs="Arial"/>
                <w:sz w:val="24"/>
                <w:szCs w:val="24"/>
                <w:lang w:val="es-ES"/>
              </w:rPr>
              <w:t xml:space="preserve"> JA, van de Velde CJ. </w:t>
            </w:r>
            <w:r w:rsidRPr="00FA3F9C">
              <w:rPr>
                <w:rFonts w:ascii="Arial" w:hAnsi="Arial" w:cs="Arial"/>
                <w:sz w:val="24"/>
                <w:szCs w:val="24"/>
              </w:rPr>
              <w:t xml:space="preserve">Preoperative chemotherapy for women with operable breast cancer. Cochrane Database Syst Rev 2007;2:CD005002-CD005002. PMID 17443564 </w:t>
            </w:r>
          </w:p>
          <w:p w14:paraId="26BA2159" w14:textId="77777777" w:rsidR="009B5AA5" w:rsidRPr="00FA3F9C" w:rsidRDefault="009B5AA5" w:rsidP="00FC1E85">
            <w:pPr>
              <w:pStyle w:val="ListParagraph"/>
              <w:numPr>
                <w:ilvl w:val="0"/>
                <w:numId w:val="434"/>
              </w:numPr>
              <w:ind w:left="337" w:hanging="270"/>
              <w:rPr>
                <w:rFonts w:ascii="Arial" w:hAnsi="Arial" w:cs="Arial"/>
                <w:sz w:val="24"/>
                <w:szCs w:val="24"/>
              </w:rPr>
            </w:pPr>
            <w:r w:rsidRPr="00FA3F9C">
              <w:rPr>
                <w:rFonts w:ascii="Arial" w:hAnsi="Arial" w:cs="Arial"/>
                <w:sz w:val="24"/>
                <w:szCs w:val="24"/>
              </w:rPr>
              <w:lastRenderedPageBreak/>
              <w:t xml:space="preserve">Kong X et al. Meta-analysis confirms achieving pathological complete response after neoadjuvant chemotherapy predicts </w:t>
            </w:r>
            <w:proofErr w:type="spellStart"/>
            <w:r w:rsidRPr="00FA3F9C">
              <w:rPr>
                <w:rFonts w:ascii="Arial" w:hAnsi="Arial" w:cs="Arial"/>
                <w:sz w:val="24"/>
                <w:szCs w:val="24"/>
              </w:rPr>
              <w:t>favourable</w:t>
            </w:r>
            <w:proofErr w:type="spellEnd"/>
            <w:r w:rsidRPr="00FA3F9C">
              <w:rPr>
                <w:rFonts w:ascii="Arial" w:hAnsi="Arial" w:cs="Arial"/>
                <w:sz w:val="24"/>
                <w:szCs w:val="24"/>
              </w:rPr>
              <w:t xml:space="preserve"> prognosis for breast cancer patients. </w:t>
            </w:r>
            <w:proofErr w:type="spellStart"/>
            <w:r w:rsidRPr="00FA3F9C">
              <w:rPr>
                <w:rFonts w:ascii="Arial" w:hAnsi="Arial" w:cs="Arial"/>
                <w:sz w:val="24"/>
                <w:szCs w:val="24"/>
              </w:rPr>
              <w:t>Eur</w:t>
            </w:r>
            <w:proofErr w:type="spellEnd"/>
            <w:r w:rsidRPr="00FA3F9C">
              <w:rPr>
                <w:rFonts w:ascii="Arial" w:hAnsi="Arial" w:cs="Arial"/>
                <w:sz w:val="24"/>
                <w:szCs w:val="24"/>
              </w:rPr>
              <w:t xml:space="preserve"> J Cancer. 2011 Sep;47(14):2084-90. PMID 21737257</w:t>
            </w:r>
          </w:p>
        </w:tc>
      </w:tr>
    </w:tbl>
    <w:p w14:paraId="434CBB4D" w14:textId="77777777" w:rsidR="009B5AA5" w:rsidRPr="00FA3F9C" w:rsidRDefault="009B5AA5" w:rsidP="008B48E4">
      <w:pPr>
        <w:spacing w:after="0"/>
        <w:rPr>
          <w:rFonts w:ascii="Arial" w:hAnsi="Arial" w:cs="Arial"/>
          <w:sz w:val="24"/>
          <w:szCs w:val="24"/>
        </w:rPr>
      </w:pPr>
    </w:p>
    <w:tbl>
      <w:tblPr>
        <w:tblStyle w:val="TableGrid"/>
        <w:tblW w:w="0" w:type="auto"/>
        <w:tblLook w:val="04A0" w:firstRow="1" w:lastRow="0" w:firstColumn="1" w:lastColumn="0" w:noHBand="0" w:noVBand="1"/>
      </w:tblPr>
      <w:tblGrid>
        <w:gridCol w:w="8745"/>
        <w:gridCol w:w="2045"/>
      </w:tblGrid>
      <w:tr w:rsidR="009B5AA5" w:rsidRPr="00FA3F9C" w14:paraId="26F36827" w14:textId="77777777" w:rsidTr="00A846C1">
        <w:trPr>
          <w:trHeight w:hRule="exact" w:val="288"/>
        </w:trPr>
        <w:tc>
          <w:tcPr>
            <w:tcW w:w="8745" w:type="dxa"/>
            <w:shd w:val="clear" w:color="auto" w:fill="000000"/>
          </w:tcPr>
          <w:p w14:paraId="71BA544F" w14:textId="77777777" w:rsidR="009B5AA5" w:rsidRPr="00FA3F9C" w:rsidRDefault="009B5AA5" w:rsidP="00170051">
            <w:pPr>
              <w:rPr>
                <w:rFonts w:ascii="Arial" w:hAnsi="Arial" w:cs="Arial"/>
                <w:b/>
                <w:sz w:val="24"/>
                <w:szCs w:val="24"/>
                <w:u w:val="single"/>
              </w:rPr>
            </w:pPr>
            <w:r w:rsidRPr="00FA3F9C">
              <w:rPr>
                <w:rFonts w:ascii="Arial" w:hAnsi="Arial" w:cs="Arial"/>
                <w:b/>
                <w:sz w:val="24"/>
                <w:szCs w:val="24"/>
                <w:u w:val="single"/>
              </w:rPr>
              <w:t>Adjuvant Treatment of Breast Cancer (therapy begins AFTER surgery)</w:t>
            </w:r>
          </w:p>
        </w:tc>
        <w:tc>
          <w:tcPr>
            <w:tcW w:w="2045" w:type="dxa"/>
            <w:shd w:val="clear" w:color="auto" w:fill="000000"/>
          </w:tcPr>
          <w:p w14:paraId="144144A7" w14:textId="77777777" w:rsidR="009B5AA5" w:rsidRPr="00FA3F9C" w:rsidRDefault="009B5AA5" w:rsidP="00A846C1">
            <w:pPr>
              <w:jc w:val="center"/>
              <w:rPr>
                <w:rFonts w:ascii="Arial" w:hAnsi="Arial" w:cs="Arial"/>
                <w:b/>
                <w:sz w:val="24"/>
                <w:szCs w:val="24"/>
                <w:u w:val="single"/>
              </w:rPr>
            </w:pPr>
          </w:p>
        </w:tc>
      </w:tr>
      <w:tr w:rsidR="009B5AA5" w:rsidRPr="00FA3F9C" w14:paraId="13E141AD" w14:textId="77777777" w:rsidTr="00A846C1">
        <w:tc>
          <w:tcPr>
            <w:tcW w:w="10790" w:type="dxa"/>
            <w:gridSpan w:val="2"/>
          </w:tcPr>
          <w:p w14:paraId="62EF5D75" w14:textId="77777777" w:rsidR="009B5AA5" w:rsidRPr="00FA3F9C" w:rsidRDefault="009B5AA5" w:rsidP="00A846C1">
            <w:pPr>
              <w:rPr>
                <w:rFonts w:ascii="Arial" w:hAnsi="Arial" w:cs="Arial"/>
                <w:sz w:val="24"/>
                <w:szCs w:val="24"/>
              </w:rPr>
            </w:pPr>
            <w:r w:rsidRPr="00FA3F9C">
              <w:rPr>
                <w:rFonts w:ascii="Arial" w:hAnsi="Arial" w:cs="Arial"/>
                <w:sz w:val="24"/>
                <w:szCs w:val="24"/>
              </w:rPr>
              <w:t>1. Diagnosis of breast cancer</w:t>
            </w:r>
          </w:p>
        </w:tc>
      </w:tr>
      <w:tr w:rsidR="009B5AA5" w:rsidRPr="00FA3F9C" w14:paraId="1B3ED063" w14:textId="77777777" w:rsidTr="00A846C1">
        <w:tc>
          <w:tcPr>
            <w:tcW w:w="10790" w:type="dxa"/>
            <w:gridSpan w:val="2"/>
          </w:tcPr>
          <w:p w14:paraId="43A13A1A" w14:textId="77777777" w:rsidR="009B5AA5" w:rsidRPr="00FA3F9C" w:rsidRDefault="009B5AA5" w:rsidP="00A846C1">
            <w:pPr>
              <w:rPr>
                <w:rFonts w:ascii="Arial" w:hAnsi="Arial" w:cs="Arial"/>
                <w:sz w:val="24"/>
                <w:szCs w:val="24"/>
              </w:rPr>
            </w:pPr>
            <w:r w:rsidRPr="00FA3F9C">
              <w:rPr>
                <w:rFonts w:ascii="Arial" w:hAnsi="Arial" w:cs="Arial"/>
                <w:sz w:val="24"/>
                <w:szCs w:val="24"/>
              </w:rPr>
              <w:t xml:space="preserve">2. Breast cancer is HER2 positive </w:t>
            </w:r>
          </w:p>
        </w:tc>
      </w:tr>
      <w:tr w:rsidR="009B5AA5" w:rsidRPr="00FA3F9C" w14:paraId="01D3CD82" w14:textId="77777777" w:rsidTr="00A846C1">
        <w:tc>
          <w:tcPr>
            <w:tcW w:w="10790" w:type="dxa"/>
            <w:gridSpan w:val="2"/>
          </w:tcPr>
          <w:p w14:paraId="53CD30BE" w14:textId="77777777" w:rsidR="009B5AA5" w:rsidRPr="00FA3F9C" w:rsidRDefault="009B5AA5" w:rsidP="00170051">
            <w:pPr>
              <w:rPr>
                <w:rFonts w:ascii="Arial" w:hAnsi="Arial" w:cs="Arial"/>
                <w:sz w:val="24"/>
                <w:szCs w:val="24"/>
              </w:rPr>
            </w:pPr>
            <w:r w:rsidRPr="00FA3F9C">
              <w:rPr>
                <w:rFonts w:ascii="Arial" w:hAnsi="Arial" w:cs="Arial"/>
                <w:sz w:val="24"/>
                <w:szCs w:val="24"/>
              </w:rPr>
              <w:t>3. Lymph node involvement is present</w:t>
            </w:r>
          </w:p>
        </w:tc>
      </w:tr>
      <w:tr w:rsidR="009B5AA5" w:rsidRPr="00FA3F9C" w14:paraId="7AE771DE" w14:textId="77777777" w:rsidTr="00A846C1">
        <w:tc>
          <w:tcPr>
            <w:tcW w:w="10790" w:type="dxa"/>
            <w:gridSpan w:val="2"/>
          </w:tcPr>
          <w:p w14:paraId="357F9798" w14:textId="77777777" w:rsidR="009B5AA5" w:rsidRPr="00FA3F9C" w:rsidRDefault="009B5AA5" w:rsidP="00170051">
            <w:pPr>
              <w:rPr>
                <w:rFonts w:ascii="Arial" w:hAnsi="Arial" w:cs="Arial"/>
                <w:sz w:val="24"/>
                <w:szCs w:val="24"/>
              </w:rPr>
            </w:pPr>
            <w:r w:rsidRPr="00FA3F9C">
              <w:rPr>
                <w:rFonts w:ascii="Arial" w:hAnsi="Arial" w:cs="Arial"/>
                <w:sz w:val="24"/>
                <w:szCs w:val="24"/>
              </w:rPr>
              <w:t xml:space="preserve">4. </w:t>
            </w:r>
            <w:proofErr w:type="spellStart"/>
            <w:r w:rsidRPr="00FA3F9C">
              <w:rPr>
                <w:rFonts w:ascii="Arial" w:hAnsi="Arial" w:cs="Arial"/>
                <w:sz w:val="24"/>
                <w:szCs w:val="24"/>
              </w:rPr>
              <w:t>Pertuzumab</w:t>
            </w:r>
            <w:proofErr w:type="spellEnd"/>
            <w:r w:rsidRPr="00FA3F9C">
              <w:rPr>
                <w:rFonts w:ascii="Arial" w:hAnsi="Arial" w:cs="Arial"/>
                <w:sz w:val="24"/>
                <w:szCs w:val="24"/>
              </w:rPr>
              <w:t xml:space="preserve"> will be used in combination with trastuzumab and chemotherapy </w:t>
            </w:r>
          </w:p>
        </w:tc>
      </w:tr>
      <w:tr w:rsidR="009B5AA5" w:rsidRPr="00FA3F9C" w14:paraId="04673EE6" w14:textId="77777777" w:rsidTr="00A846C1">
        <w:tc>
          <w:tcPr>
            <w:tcW w:w="10790" w:type="dxa"/>
            <w:gridSpan w:val="2"/>
            <w:shd w:val="clear" w:color="auto" w:fill="F2F2F2" w:themeFill="background1" w:themeFillShade="F2"/>
          </w:tcPr>
          <w:p w14:paraId="1C0845B7" w14:textId="77777777" w:rsidR="009B5AA5" w:rsidRPr="00FA3F9C" w:rsidRDefault="009B5AA5" w:rsidP="00924AE4">
            <w:pPr>
              <w:rPr>
                <w:rFonts w:ascii="Arial" w:hAnsi="Arial" w:cs="Arial"/>
                <w:sz w:val="24"/>
                <w:szCs w:val="24"/>
              </w:rPr>
            </w:pPr>
            <w:r w:rsidRPr="00FA3F9C">
              <w:rPr>
                <w:rFonts w:ascii="Arial" w:hAnsi="Arial" w:cs="Arial"/>
                <w:sz w:val="24"/>
                <w:szCs w:val="24"/>
              </w:rPr>
              <w:t xml:space="preserve">If above criteria are fulfilled, approve x 1 year </w:t>
            </w:r>
            <w:r w:rsidRPr="00FA3F9C">
              <w:rPr>
                <w:rFonts w:ascii="Arial" w:hAnsi="Arial" w:cs="Arial"/>
                <w:sz w:val="24"/>
                <w:szCs w:val="24"/>
                <w:highlight w:val="cyan"/>
              </w:rPr>
              <w:t>[maximum duration of therapy is 1 year or 18 doses]</w:t>
            </w:r>
          </w:p>
        </w:tc>
      </w:tr>
      <w:tr w:rsidR="009B5AA5" w:rsidRPr="00FA3F9C" w14:paraId="353A740B" w14:textId="77777777" w:rsidTr="009A6367">
        <w:trPr>
          <w:trHeight w:val="1511"/>
        </w:trPr>
        <w:tc>
          <w:tcPr>
            <w:tcW w:w="10790" w:type="dxa"/>
            <w:gridSpan w:val="2"/>
            <w:shd w:val="clear" w:color="auto" w:fill="D9D9D9" w:themeFill="background1" w:themeFillShade="D9"/>
          </w:tcPr>
          <w:p w14:paraId="07E4A0A0" w14:textId="77777777" w:rsidR="009B5AA5" w:rsidRPr="00FA3F9C" w:rsidRDefault="009B5AA5" w:rsidP="00A846C1">
            <w:pPr>
              <w:rPr>
                <w:rFonts w:ascii="Arial" w:hAnsi="Arial" w:cs="Arial"/>
                <w:sz w:val="24"/>
                <w:szCs w:val="24"/>
              </w:rPr>
            </w:pPr>
            <w:r w:rsidRPr="00FA3F9C">
              <w:rPr>
                <w:rFonts w:ascii="Arial" w:hAnsi="Arial" w:cs="Arial"/>
                <w:sz w:val="24"/>
                <w:szCs w:val="24"/>
              </w:rPr>
              <w:t xml:space="preserve">Notes:   </w:t>
            </w:r>
          </w:p>
          <w:p w14:paraId="68F2CDE6" w14:textId="77777777" w:rsidR="009B5AA5" w:rsidRPr="00FA3F9C" w:rsidRDefault="009B5AA5" w:rsidP="00A846C1">
            <w:pPr>
              <w:rPr>
                <w:rFonts w:ascii="Arial" w:hAnsi="Arial" w:cs="Arial"/>
                <w:sz w:val="24"/>
                <w:szCs w:val="24"/>
              </w:rPr>
            </w:pPr>
            <w:r w:rsidRPr="00FA3F9C">
              <w:rPr>
                <w:rFonts w:ascii="Arial" w:hAnsi="Arial" w:cs="Arial"/>
                <w:sz w:val="24"/>
                <w:szCs w:val="24"/>
              </w:rPr>
              <w:t xml:space="preserve">Total duration of </w:t>
            </w:r>
            <w:proofErr w:type="spellStart"/>
            <w:r w:rsidRPr="00FA3F9C">
              <w:rPr>
                <w:rFonts w:ascii="Arial" w:hAnsi="Arial" w:cs="Arial"/>
                <w:sz w:val="24"/>
                <w:szCs w:val="24"/>
              </w:rPr>
              <w:t>pertuzumab</w:t>
            </w:r>
            <w:proofErr w:type="spellEnd"/>
            <w:r w:rsidRPr="00FA3F9C">
              <w:rPr>
                <w:rFonts w:ascii="Arial" w:hAnsi="Arial" w:cs="Arial"/>
                <w:sz w:val="24"/>
                <w:szCs w:val="24"/>
              </w:rPr>
              <w:t xml:space="preserve"> therapy is 1 year. </w:t>
            </w:r>
            <w:proofErr w:type="spellStart"/>
            <w:r w:rsidRPr="00FA3F9C">
              <w:rPr>
                <w:rFonts w:ascii="Arial" w:hAnsi="Arial" w:cs="Arial"/>
                <w:sz w:val="24"/>
                <w:szCs w:val="24"/>
              </w:rPr>
              <w:t>Pertuzumab</w:t>
            </w:r>
            <w:proofErr w:type="spellEnd"/>
            <w:r w:rsidRPr="00FA3F9C">
              <w:rPr>
                <w:rFonts w:ascii="Arial" w:hAnsi="Arial" w:cs="Arial"/>
                <w:sz w:val="24"/>
                <w:szCs w:val="24"/>
              </w:rPr>
              <w:t>/</w:t>
            </w:r>
            <w:proofErr w:type="spellStart"/>
            <w:r w:rsidRPr="00FA3F9C">
              <w:rPr>
                <w:rFonts w:ascii="Arial" w:hAnsi="Arial" w:cs="Arial"/>
                <w:sz w:val="24"/>
                <w:szCs w:val="24"/>
              </w:rPr>
              <w:t>trastuzumab+chemo</w:t>
            </w:r>
            <w:proofErr w:type="spellEnd"/>
            <w:r w:rsidRPr="00FA3F9C">
              <w:rPr>
                <w:rFonts w:ascii="Arial" w:hAnsi="Arial" w:cs="Arial"/>
                <w:sz w:val="24"/>
                <w:szCs w:val="24"/>
              </w:rPr>
              <w:t xml:space="preserve"> is given x 4-6 cycles, then </w:t>
            </w:r>
            <w:proofErr w:type="spellStart"/>
            <w:r w:rsidRPr="00FA3F9C">
              <w:rPr>
                <w:rFonts w:ascii="Arial" w:hAnsi="Arial" w:cs="Arial"/>
                <w:sz w:val="24"/>
                <w:szCs w:val="24"/>
              </w:rPr>
              <w:t>pertuzumab</w:t>
            </w:r>
            <w:proofErr w:type="spellEnd"/>
            <w:r w:rsidRPr="00FA3F9C">
              <w:rPr>
                <w:rFonts w:ascii="Arial" w:hAnsi="Arial" w:cs="Arial"/>
                <w:sz w:val="24"/>
                <w:szCs w:val="24"/>
              </w:rPr>
              <w:t xml:space="preserve"> and trastuzumab are continued to </w:t>
            </w:r>
            <w:r w:rsidRPr="00FA3F9C">
              <w:rPr>
                <w:rFonts w:ascii="Arial" w:hAnsi="Arial" w:cs="Arial"/>
                <w:sz w:val="24"/>
                <w:szCs w:val="24"/>
                <w:u w:val="single"/>
              </w:rPr>
              <w:t>complete</w:t>
            </w:r>
            <w:r w:rsidRPr="00FA3F9C">
              <w:rPr>
                <w:rFonts w:ascii="Arial" w:hAnsi="Arial" w:cs="Arial"/>
                <w:sz w:val="24"/>
                <w:szCs w:val="24"/>
              </w:rPr>
              <w:t xml:space="preserve"> one year of therapy.</w:t>
            </w:r>
          </w:p>
          <w:p w14:paraId="45D1DE1A" w14:textId="77777777" w:rsidR="009B5AA5" w:rsidRPr="00FA3F9C" w:rsidRDefault="009B5AA5" w:rsidP="00A846C1">
            <w:pPr>
              <w:rPr>
                <w:rFonts w:ascii="Arial" w:hAnsi="Arial" w:cs="Arial"/>
                <w:sz w:val="24"/>
                <w:szCs w:val="24"/>
              </w:rPr>
            </w:pPr>
          </w:p>
          <w:p w14:paraId="1F42545A" w14:textId="77777777" w:rsidR="009B5AA5" w:rsidRPr="00FA3F9C" w:rsidRDefault="009B5AA5" w:rsidP="00A846C1">
            <w:pPr>
              <w:rPr>
                <w:rFonts w:ascii="Arial" w:hAnsi="Arial" w:cs="Arial"/>
                <w:sz w:val="24"/>
                <w:szCs w:val="24"/>
              </w:rPr>
            </w:pPr>
            <w:r w:rsidRPr="00FA3F9C">
              <w:rPr>
                <w:rFonts w:ascii="Arial" w:hAnsi="Arial" w:cs="Arial"/>
                <w:sz w:val="24"/>
                <w:szCs w:val="24"/>
              </w:rPr>
              <w:t>In the APHNITY study</w:t>
            </w:r>
            <w:r w:rsidRPr="00FA3F9C">
              <w:rPr>
                <w:rFonts w:ascii="Arial" w:hAnsi="Arial" w:cs="Arial"/>
                <w:sz w:val="24"/>
                <w:szCs w:val="24"/>
                <w:vertAlign w:val="superscript"/>
              </w:rPr>
              <w:t>1</w:t>
            </w:r>
            <w:r w:rsidRPr="00FA3F9C">
              <w:rPr>
                <w:rFonts w:ascii="Arial" w:hAnsi="Arial" w:cs="Arial"/>
                <w:sz w:val="24"/>
                <w:szCs w:val="24"/>
              </w:rPr>
              <w:t xml:space="preserve"> (n=4804), the population described in the above criteria was given </w:t>
            </w:r>
            <w:proofErr w:type="spellStart"/>
            <w:r w:rsidRPr="00FA3F9C">
              <w:rPr>
                <w:rFonts w:ascii="Arial" w:hAnsi="Arial" w:cs="Arial"/>
                <w:sz w:val="24"/>
                <w:szCs w:val="24"/>
              </w:rPr>
              <w:t>pertuzumab</w:t>
            </w:r>
            <w:proofErr w:type="spellEnd"/>
            <w:r w:rsidRPr="00FA3F9C">
              <w:rPr>
                <w:rFonts w:ascii="Arial" w:hAnsi="Arial" w:cs="Arial"/>
                <w:sz w:val="24"/>
                <w:szCs w:val="24"/>
              </w:rPr>
              <w:t xml:space="preserve">, trastuzumab, and chemotherapy OR placebo, trastuzumab, and chemotherapy. The primary endpoint was invasive </w:t>
            </w:r>
            <w:proofErr w:type="gramStart"/>
            <w:r w:rsidRPr="00FA3F9C">
              <w:rPr>
                <w:rFonts w:ascii="Arial" w:hAnsi="Arial" w:cs="Arial"/>
                <w:sz w:val="24"/>
                <w:szCs w:val="24"/>
              </w:rPr>
              <w:t>disease free</w:t>
            </w:r>
            <w:proofErr w:type="gramEnd"/>
            <w:r w:rsidRPr="00FA3F9C">
              <w:rPr>
                <w:rFonts w:ascii="Arial" w:hAnsi="Arial" w:cs="Arial"/>
                <w:sz w:val="24"/>
                <w:szCs w:val="24"/>
              </w:rPr>
              <w:t xml:space="preserve"> survival (IDFS). At 3 years, the rates of IDFS were as follows:</w:t>
            </w:r>
          </w:p>
          <w:p w14:paraId="4EAAD06B" w14:textId="77777777" w:rsidR="009B5AA5" w:rsidRPr="00FA3F9C" w:rsidRDefault="009B5AA5" w:rsidP="00924AE4">
            <w:pPr>
              <w:ind w:left="159"/>
              <w:rPr>
                <w:rFonts w:ascii="Arial" w:hAnsi="Arial" w:cs="Arial"/>
                <w:sz w:val="24"/>
                <w:szCs w:val="24"/>
              </w:rPr>
            </w:pPr>
            <w:r w:rsidRPr="00FA3F9C">
              <w:rPr>
                <w:rFonts w:ascii="Arial" w:hAnsi="Arial" w:cs="Arial"/>
                <w:sz w:val="24"/>
                <w:szCs w:val="24"/>
              </w:rPr>
              <w:t>-all patients (</w:t>
            </w:r>
            <w:proofErr w:type="spellStart"/>
            <w:r w:rsidRPr="00FA3F9C">
              <w:rPr>
                <w:rFonts w:ascii="Arial" w:hAnsi="Arial" w:cs="Arial"/>
                <w:sz w:val="24"/>
                <w:szCs w:val="24"/>
              </w:rPr>
              <w:t>pertuzumab</w:t>
            </w:r>
            <w:proofErr w:type="spellEnd"/>
            <w:r w:rsidRPr="00FA3F9C">
              <w:rPr>
                <w:rFonts w:ascii="Arial" w:hAnsi="Arial" w:cs="Arial"/>
                <w:sz w:val="24"/>
                <w:szCs w:val="24"/>
              </w:rPr>
              <w:t xml:space="preserve"> group vs placebo group): 94.1% vs 93.2% (HR 0.81, 95% CI 0.66-1.00; p=0.045)</w:t>
            </w:r>
          </w:p>
          <w:p w14:paraId="0A0A7CE7" w14:textId="77777777" w:rsidR="009B5AA5" w:rsidRPr="00FA3F9C" w:rsidRDefault="009B5AA5" w:rsidP="00924AE4">
            <w:pPr>
              <w:ind w:left="159"/>
              <w:rPr>
                <w:rFonts w:ascii="Arial" w:hAnsi="Arial" w:cs="Arial"/>
                <w:sz w:val="24"/>
                <w:szCs w:val="24"/>
              </w:rPr>
            </w:pPr>
            <w:r w:rsidRPr="00FA3F9C">
              <w:rPr>
                <w:rFonts w:ascii="Arial" w:hAnsi="Arial" w:cs="Arial"/>
                <w:sz w:val="24"/>
                <w:szCs w:val="24"/>
              </w:rPr>
              <w:t>-node-positive subgroup (</w:t>
            </w:r>
            <w:proofErr w:type="spellStart"/>
            <w:r w:rsidRPr="00FA3F9C">
              <w:rPr>
                <w:rFonts w:ascii="Arial" w:hAnsi="Arial" w:cs="Arial"/>
                <w:sz w:val="24"/>
                <w:szCs w:val="24"/>
              </w:rPr>
              <w:t>pertuzumab</w:t>
            </w:r>
            <w:proofErr w:type="spellEnd"/>
            <w:r w:rsidRPr="00FA3F9C">
              <w:rPr>
                <w:rFonts w:ascii="Arial" w:hAnsi="Arial" w:cs="Arial"/>
                <w:sz w:val="24"/>
                <w:szCs w:val="24"/>
              </w:rPr>
              <w:t xml:space="preserve"> group vs placebo group): 92% vs. 90.2%  (HR 0.77, 95% CI 0.62-0.96; p=0.02)</w:t>
            </w:r>
          </w:p>
          <w:p w14:paraId="4F667033" w14:textId="77777777" w:rsidR="009B5AA5" w:rsidRPr="00FA3F9C" w:rsidRDefault="009B5AA5" w:rsidP="00924AE4">
            <w:pPr>
              <w:ind w:left="159"/>
              <w:rPr>
                <w:rFonts w:ascii="Arial" w:hAnsi="Arial" w:cs="Arial"/>
                <w:sz w:val="24"/>
                <w:szCs w:val="24"/>
              </w:rPr>
            </w:pPr>
            <w:r w:rsidRPr="00FA3F9C">
              <w:rPr>
                <w:rFonts w:ascii="Arial" w:hAnsi="Arial" w:cs="Arial"/>
                <w:sz w:val="24"/>
                <w:szCs w:val="24"/>
              </w:rPr>
              <w:t>-node-negative subgroup (</w:t>
            </w:r>
            <w:proofErr w:type="spellStart"/>
            <w:r w:rsidRPr="00FA3F9C">
              <w:rPr>
                <w:rFonts w:ascii="Arial" w:hAnsi="Arial" w:cs="Arial"/>
                <w:sz w:val="24"/>
                <w:szCs w:val="24"/>
              </w:rPr>
              <w:t>pertuzumab</w:t>
            </w:r>
            <w:proofErr w:type="spellEnd"/>
            <w:r w:rsidRPr="00FA3F9C">
              <w:rPr>
                <w:rFonts w:ascii="Arial" w:hAnsi="Arial" w:cs="Arial"/>
                <w:sz w:val="24"/>
                <w:szCs w:val="24"/>
              </w:rPr>
              <w:t xml:space="preserve"> group vs placebo group): rates not given (HR 0.1.13, 95% CI 0.68-1.86; p=0.64)</w:t>
            </w:r>
          </w:p>
          <w:p w14:paraId="27EB3CE7" w14:textId="77777777" w:rsidR="009B5AA5" w:rsidRPr="00FA3F9C" w:rsidRDefault="009B5AA5" w:rsidP="00A846C1">
            <w:pPr>
              <w:rPr>
                <w:rFonts w:ascii="Arial" w:hAnsi="Arial" w:cs="Arial"/>
                <w:sz w:val="24"/>
                <w:szCs w:val="24"/>
              </w:rPr>
            </w:pPr>
          </w:p>
          <w:p w14:paraId="068C44BC" w14:textId="77777777" w:rsidR="009B5AA5" w:rsidRPr="00FA3F9C" w:rsidRDefault="009B5AA5" w:rsidP="00A846C1">
            <w:pPr>
              <w:rPr>
                <w:rFonts w:ascii="Arial" w:hAnsi="Arial" w:cs="Arial"/>
                <w:sz w:val="24"/>
                <w:szCs w:val="24"/>
                <w:vertAlign w:val="subscript"/>
              </w:rPr>
            </w:pPr>
            <w:r w:rsidRPr="00FA3F9C">
              <w:rPr>
                <w:rFonts w:ascii="Arial" w:hAnsi="Arial" w:cs="Arial"/>
                <w:sz w:val="24"/>
                <w:szCs w:val="24"/>
              </w:rPr>
              <w:lastRenderedPageBreak/>
              <w:t xml:space="preserve">The study concluded that there was “no treatment effect” in the node-negative subgroup. NCCN also recommends </w:t>
            </w:r>
            <w:proofErr w:type="spellStart"/>
            <w:r w:rsidRPr="00FA3F9C">
              <w:rPr>
                <w:rFonts w:ascii="Arial" w:hAnsi="Arial" w:cs="Arial"/>
                <w:sz w:val="24"/>
                <w:szCs w:val="24"/>
              </w:rPr>
              <w:t>pertuzumab</w:t>
            </w:r>
            <w:proofErr w:type="spellEnd"/>
            <w:r w:rsidRPr="00FA3F9C">
              <w:rPr>
                <w:rFonts w:ascii="Arial" w:hAnsi="Arial" w:cs="Arial"/>
                <w:sz w:val="24"/>
                <w:szCs w:val="24"/>
              </w:rPr>
              <w:t xml:space="preserve"> for node-positive disease only in this treatment setting. Additionally, a cost-effective analysis found the </w:t>
            </w:r>
            <w:proofErr w:type="spellStart"/>
            <w:r w:rsidRPr="00FA3F9C">
              <w:rPr>
                <w:rFonts w:ascii="Arial" w:hAnsi="Arial" w:cs="Arial"/>
                <w:sz w:val="24"/>
                <w:szCs w:val="24"/>
              </w:rPr>
              <w:t>pertuzumab</w:t>
            </w:r>
            <w:proofErr w:type="spellEnd"/>
            <w:r w:rsidRPr="00FA3F9C">
              <w:rPr>
                <w:rFonts w:ascii="Arial" w:hAnsi="Arial" w:cs="Arial"/>
                <w:sz w:val="24"/>
                <w:szCs w:val="24"/>
              </w:rPr>
              <w:t xml:space="preserve"> may be cost effective in node-positive disease (ICER $87,929/QALY gained).</w:t>
            </w:r>
            <w:r w:rsidRPr="00FA3F9C">
              <w:rPr>
                <w:rFonts w:ascii="Arial" w:hAnsi="Arial" w:cs="Arial"/>
                <w:sz w:val="24"/>
                <w:szCs w:val="24"/>
                <w:vertAlign w:val="superscript"/>
              </w:rPr>
              <w:t>2</w:t>
            </w:r>
          </w:p>
          <w:p w14:paraId="4E359977" w14:textId="77777777" w:rsidR="009B5AA5" w:rsidRPr="00FA3F9C" w:rsidRDefault="009B5AA5" w:rsidP="00A846C1">
            <w:pPr>
              <w:rPr>
                <w:rFonts w:ascii="Arial" w:hAnsi="Arial" w:cs="Arial"/>
                <w:sz w:val="24"/>
                <w:szCs w:val="24"/>
              </w:rPr>
            </w:pPr>
          </w:p>
          <w:p w14:paraId="794D5AC5" w14:textId="77777777" w:rsidR="009B5AA5" w:rsidRPr="00FA3F9C" w:rsidRDefault="009B5AA5" w:rsidP="00A846C1">
            <w:pPr>
              <w:rPr>
                <w:rFonts w:ascii="Arial" w:hAnsi="Arial" w:cs="Arial"/>
                <w:sz w:val="24"/>
                <w:szCs w:val="24"/>
              </w:rPr>
            </w:pPr>
            <w:r w:rsidRPr="00FA3F9C">
              <w:rPr>
                <w:rFonts w:ascii="Arial" w:hAnsi="Arial" w:cs="Arial"/>
                <w:sz w:val="24"/>
                <w:szCs w:val="24"/>
              </w:rPr>
              <w:t xml:space="preserve">Dose: </w:t>
            </w:r>
          </w:p>
          <w:p w14:paraId="27A03107" w14:textId="77777777" w:rsidR="009B5AA5" w:rsidRPr="00FA3F9C" w:rsidRDefault="009B5AA5" w:rsidP="00A846C1">
            <w:pPr>
              <w:rPr>
                <w:rFonts w:ascii="Arial" w:hAnsi="Arial" w:cs="Arial"/>
                <w:sz w:val="24"/>
                <w:szCs w:val="24"/>
              </w:rPr>
            </w:pPr>
            <w:r w:rsidRPr="00FA3F9C">
              <w:rPr>
                <w:rFonts w:ascii="Arial" w:hAnsi="Arial" w:cs="Arial"/>
                <w:sz w:val="24"/>
                <w:szCs w:val="24"/>
              </w:rPr>
              <w:t>840 mg IV x 1 followed 3 weeks later by 420 mg IV every 3 weeks x 1 year.</w:t>
            </w:r>
          </w:p>
          <w:p w14:paraId="47859DF4" w14:textId="77777777" w:rsidR="009B5AA5" w:rsidRPr="00FA3F9C" w:rsidRDefault="009B5AA5" w:rsidP="00A846C1">
            <w:pPr>
              <w:rPr>
                <w:rFonts w:ascii="Arial" w:hAnsi="Arial" w:cs="Arial"/>
                <w:sz w:val="24"/>
                <w:szCs w:val="24"/>
              </w:rPr>
            </w:pPr>
          </w:p>
          <w:p w14:paraId="6C096D42" w14:textId="77777777" w:rsidR="009B5AA5" w:rsidRPr="00FA3F9C" w:rsidRDefault="009B5AA5" w:rsidP="00A846C1">
            <w:pPr>
              <w:rPr>
                <w:rFonts w:ascii="Arial" w:hAnsi="Arial" w:cs="Arial"/>
                <w:sz w:val="24"/>
                <w:szCs w:val="24"/>
              </w:rPr>
            </w:pPr>
            <w:r w:rsidRPr="00FA3F9C">
              <w:rPr>
                <w:rFonts w:ascii="Arial" w:hAnsi="Arial" w:cs="Arial"/>
                <w:sz w:val="24"/>
                <w:szCs w:val="24"/>
              </w:rPr>
              <w:t>REFERENCES:</w:t>
            </w:r>
          </w:p>
          <w:p w14:paraId="40B17217" w14:textId="77777777" w:rsidR="009B5AA5" w:rsidRPr="00FA3F9C" w:rsidRDefault="009B5AA5" w:rsidP="00FC1E85">
            <w:pPr>
              <w:pStyle w:val="ListParagraph"/>
              <w:numPr>
                <w:ilvl w:val="0"/>
                <w:numId w:val="435"/>
              </w:numPr>
              <w:spacing w:after="160" w:line="259" w:lineRule="auto"/>
              <w:ind w:left="247" w:hanging="180"/>
              <w:rPr>
                <w:rFonts w:ascii="Arial" w:hAnsi="Arial" w:cs="Arial"/>
                <w:sz w:val="24"/>
                <w:szCs w:val="24"/>
              </w:rPr>
            </w:pPr>
            <w:proofErr w:type="gramStart"/>
            <w:r w:rsidRPr="00FA3F9C">
              <w:rPr>
                <w:rFonts w:ascii="Arial" w:hAnsi="Arial" w:cs="Arial"/>
                <w:sz w:val="24"/>
                <w:szCs w:val="24"/>
                <w:lang w:val="fr-FR"/>
              </w:rPr>
              <w:t>von</w:t>
            </w:r>
            <w:proofErr w:type="gramEnd"/>
            <w:r w:rsidRPr="00FA3F9C">
              <w:rPr>
                <w:rFonts w:ascii="Arial" w:hAnsi="Arial" w:cs="Arial"/>
                <w:sz w:val="24"/>
                <w:szCs w:val="24"/>
                <w:lang w:val="fr-FR"/>
              </w:rPr>
              <w:t xml:space="preserve"> </w:t>
            </w:r>
            <w:proofErr w:type="spellStart"/>
            <w:r w:rsidRPr="00FA3F9C">
              <w:rPr>
                <w:rFonts w:ascii="Arial" w:hAnsi="Arial" w:cs="Arial"/>
                <w:sz w:val="24"/>
                <w:szCs w:val="24"/>
                <w:lang w:val="fr-FR"/>
              </w:rPr>
              <w:t>Minckwitz</w:t>
            </w:r>
            <w:proofErr w:type="spellEnd"/>
            <w:r w:rsidRPr="00FA3F9C">
              <w:rPr>
                <w:rFonts w:ascii="Arial" w:hAnsi="Arial" w:cs="Arial"/>
                <w:sz w:val="24"/>
                <w:szCs w:val="24"/>
                <w:lang w:val="fr-FR"/>
              </w:rPr>
              <w:t xml:space="preserve"> G et al. </w:t>
            </w:r>
            <w:r w:rsidRPr="00FA3F9C">
              <w:rPr>
                <w:rFonts w:ascii="Arial" w:hAnsi="Arial" w:cs="Arial"/>
                <w:sz w:val="24"/>
                <w:szCs w:val="24"/>
              </w:rPr>
              <w:t xml:space="preserve">Adjuvant </w:t>
            </w:r>
            <w:proofErr w:type="spellStart"/>
            <w:r w:rsidRPr="00FA3F9C">
              <w:rPr>
                <w:rFonts w:ascii="Arial" w:hAnsi="Arial" w:cs="Arial"/>
                <w:sz w:val="24"/>
                <w:szCs w:val="24"/>
              </w:rPr>
              <w:t>Pertuzumab</w:t>
            </w:r>
            <w:proofErr w:type="spellEnd"/>
            <w:r w:rsidRPr="00FA3F9C">
              <w:rPr>
                <w:rFonts w:ascii="Arial" w:hAnsi="Arial" w:cs="Arial"/>
                <w:sz w:val="24"/>
                <w:szCs w:val="24"/>
              </w:rPr>
              <w:t xml:space="preserve"> and Trastuzumab in Early HER2-Positive Breast Cancer. N </w:t>
            </w:r>
            <w:proofErr w:type="spellStart"/>
            <w:r w:rsidRPr="00FA3F9C">
              <w:rPr>
                <w:rFonts w:ascii="Arial" w:hAnsi="Arial" w:cs="Arial"/>
                <w:sz w:val="24"/>
                <w:szCs w:val="24"/>
              </w:rPr>
              <w:t>Engl</w:t>
            </w:r>
            <w:proofErr w:type="spellEnd"/>
            <w:r w:rsidRPr="00FA3F9C">
              <w:rPr>
                <w:rFonts w:ascii="Arial" w:hAnsi="Arial" w:cs="Arial"/>
                <w:sz w:val="24"/>
                <w:szCs w:val="24"/>
              </w:rPr>
              <w:t xml:space="preserve"> J Med. 2017 Jul 13;377(2):122-131. PMID 28581356 NCT01358877 </w:t>
            </w:r>
          </w:p>
          <w:p w14:paraId="7272B298" w14:textId="77777777" w:rsidR="009B5AA5" w:rsidRPr="00FA3F9C" w:rsidRDefault="009B5AA5" w:rsidP="00FC1E85">
            <w:pPr>
              <w:pStyle w:val="ListParagraph"/>
              <w:numPr>
                <w:ilvl w:val="0"/>
                <w:numId w:val="435"/>
              </w:numPr>
              <w:spacing w:after="160" w:line="259" w:lineRule="auto"/>
              <w:ind w:left="247" w:hanging="180"/>
              <w:rPr>
                <w:rFonts w:ascii="Arial" w:hAnsi="Arial" w:cs="Arial"/>
                <w:sz w:val="24"/>
                <w:szCs w:val="24"/>
              </w:rPr>
            </w:pPr>
            <w:r w:rsidRPr="00FA3F9C">
              <w:rPr>
                <w:rFonts w:ascii="Arial" w:hAnsi="Arial" w:cs="Arial"/>
                <w:sz w:val="24"/>
                <w:szCs w:val="24"/>
                <w:lang w:val="fr-FR"/>
              </w:rPr>
              <w:t xml:space="preserve">Garrison LP Jr et al. </w:t>
            </w:r>
            <w:r w:rsidRPr="00FA3F9C">
              <w:rPr>
                <w:rFonts w:ascii="Arial" w:hAnsi="Arial" w:cs="Arial"/>
                <w:sz w:val="24"/>
                <w:szCs w:val="24"/>
              </w:rPr>
              <w:t xml:space="preserve">Cost-Effectiveness Analysis of </w:t>
            </w:r>
            <w:proofErr w:type="spellStart"/>
            <w:r w:rsidRPr="00FA3F9C">
              <w:rPr>
                <w:rFonts w:ascii="Arial" w:hAnsi="Arial" w:cs="Arial"/>
                <w:sz w:val="24"/>
                <w:szCs w:val="24"/>
              </w:rPr>
              <w:t>Pertuzumab</w:t>
            </w:r>
            <w:proofErr w:type="spellEnd"/>
            <w:r w:rsidRPr="00FA3F9C">
              <w:rPr>
                <w:rFonts w:ascii="Arial" w:hAnsi="Arial" w:cs="Arial"/>
                <w:sz w:val="24"/>
                <w:szCs w:val="24"/>
              </w:rPr>
              <w:t xml:space="preserve"> </w:t>
            </w:r>
            <w:proofErr w:type="gramStart"/>
            <w:r w:rsidRPr="00FA3F9C">
              <w:rPr>
                <w:rFonts w:ascii="Arial" w:hAnsi="Arial" w:cs="Arial"/>
                <w:sz w:val="24"/>
                <w:szCs w:val="24"/>
              </w:rPr>
              <w:t>With</w:t>
            </w:r>
            <w:proofErr w:type="gramEnd"/>
            <w:r w:rsidRPr="00FA3F9C">
              <w:rPr>
                <w:rFonts w:ascii="Arial" w:hAnsi="Arial" w:cs="Arial"/>
                <w:sz w:val="24"/>
                <w:szCs w:val="24"/>
              </w:rPr>
              <w:t xml:space="preserve"> Trastuzumab and Chemotherapy Compared to Trastuzumab and Chemotherapy in the Adjuvant Treatment of HER2-Positive Breast Cancer in the United States. Value Health. 2019 Apr;22(4):408-415. PMID 30975391</w:t>
            </w:r>
          </w:p>
        </w:tc>
      </w:tr>
    </w:tbl>
    <w:p w14:paraId="1E82A988" w14:textId="77777777" w:rsidR="009B5AA5" w:rsidRPr="00FA3F9C" w:rsidRDefault="009B5AA5" w:rsidP="008B48E4">
      <w:pPr>
        <w:spacing w:after="0"/>
        <w:rPr>
          <w:rFonts w:ascii="Arial" w:hAnsi="Arial" w:cs="Arial"/>
          <w:b/>
          <w:sz w:val="24"/>
          <w:szCs w:val="24"/>
          <w:u w:val="single"/>
        </w:rPr>
      </w:pPr>
    </w:p>
    <w:p w14:paraId="15AE9097" w14:textId="77777777" w:rsidR="009B5AA5" w:rsidRPr="00FA3F9C" w:rsidRDefault="009B5AA5" w:rsidP="008B48E4">
      <w:pPr>
        <w:spacing w:after="0"/>
        <w:rPr>
          <w:rFonts w:ascii="Arial" w:hAnsi="Arial" w:cs="Arial"/>
          <w:b/>
          <w:sz w:val="24"/>
          <w:szCs w:val="24"/>
          <w:u w:val="single"/>
        </w:rPr>
      </w:pPr>
    </w:p>
    <w:p w14:paraId="64ED9D96" w14:textId="77777777" w:rsidR="009B5AA5" w:rsidRPr="00FA3F9C" w:rsidRDefault="009B5AA5" w:rsidP="008B48E4">
      <w:pPr>
        <w:spacing w:after="0"/>
        <w:rPr>
          <w:rFonts w:ascii="Arial" w:hAnsi="Arial" w:cs="Arial"/>
          <w:sz w:val="24"/>
          <w:szCs w:val="24"/>
        </w:rPr>
      </w:pPr>
      <w:r w:rsidRPr="00FA3F9C">
        <w:rPr>
          <w:rFonts w:ascii="Arial" w:hAnsi="Arial" w:cs="Arial"/>
          <w:sz w:val="24"/>
          <w:szCs w:val="24"/>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7740"/>
        <w:gridCol w:w="1728"/>
      </w:tblGrid>
      <w:tr w:rsidR="009B5AA5" w:rsidRPr="00FA3F9C" w14:paraId="7C09F3E1" w14:textId="77777777" w:rsidTr="000E79CF">
        <w:trPr>
          <w:trHeight w:val="332"/>
        </w:trPr>
        <w:tc>
          <w:tcPr>
            <w:tcW w:w="865" w:type="dxa"/>
          </w:tcPr>
          <w:p w14:paraId="0AC36E32" w14:textId="77777777" w:rsidR="009B5AA5" w:rsidRPr="00FA3F9C" w:rsidRDefault="009B5AA5" w:rsidP="000E79CF">
            <w:pPr>
              <w:spacing w:after="0" w:line="240" w:lineRule="auto"/>
              <w:rPr>
                <w:rFonts w:ascii="Arial" w:hAnsi="Arial" w:cs="Arial"/>
                <w:sz w:val="24"/>
                <w:szCs w:val="24"/>
              </w:rPr>
            </w:pPr>
            <w:r w:rsidRPr="00FA3F9C">
              <w:rPr>
                <w:rFonts w:ascii="Arial" w:hAnsi="Arial" w:cs="Arial"/>
                <w:sz w:val="24"/>
                <w:szCs w:val="24"/>
              </w:rPr>
              <w:t>Date</w:t>
            </w:r>
          </w:p>
        </w:tc>
        <w:tc>
          <w:tcPr>
            <w:tcW w:w="7740" w:type="dxa"/>
          </w:tcPr>
          <w:p w14:paraId="06671A75" w14:textId="77777777" w:rsidR="009B5AA5" w:rsidRPr="00FA3F9C" w:rsidRDefault="009B5AA5" w:rsidP="000E79CF">
            <w:pPr>
              <w:spacing w:after="0" w:line="240" w:lineRule="auto"/>
              <w:rPr>
                <w:rFonts w:ascii="Arial" w:hAnsi="Arial" w:cs="Arial"/>
                <w:sz w:val="24"/>
                <w:szCs w:val="24"/>
              </w:rPr>
            </w:pPr>
            <w:r w:rsidRPr="00FA3F9C">
              <w:rPr>
                <w:rFonts w:ascii="Arial" w:hAnsi="Arial" w:cs="Arial"/>
                <w:sz w:val="24"/>
                <w:szCs w:val="24"/>
              </w:rPr>
              <w:t>What Changed?</w:t>
            </w:r>
          </w:p>
        </w:tc>
        <w:tc>
          <w:tcPr>
            <w:tcW w:w="1728" w:type="dxa"/>
          </w:tcPr>
          <w:p w14:paraId="3C6EA703" w14:textId="77777777" w:rsidR="009B5AA5" w:rsidRPr="00FA3F9C" w:rsidRDefault="009B5AA5" w:rsidP="000E79CF">
            <w:pPr>
              <w:spacing w:after="0" w:line="240" w:lineRule="auto"/>
              <w:rPr>
                <w:rFonts w:ascii="Arial" w:hAnsi="Arial" w:cs="Arial"/>
                <w:sz w:val="24"/>
                <w:szCs w:val="24"/>
              </w:rPr>
            </w:pPr>
            <w:r w:rsidRPr="00FA3F9C">
              <w:rPr>
                <w:rFonts w:ascii="Arial" w:hAnsi="Arial" w:cs="Arial"/>
                <w:sz w:val="24"/>
                <w:szCs w:val="24"/>
              </w:rPr>
              <w:t>Pharmacist’s initials</w:t>
            </w:r>
          </w:p>
        </w:tc>
      </w:tr>
      <w:tr w:rsidR="009B5AA5" w:rsidRPr="00FA3F9C" w14:paraId="460B0C3A" w14:textId="77777777" w:rsidTr="000E79CF">
        <w:trPr>
          <w:trHeight w:val="260"/>
        </w:trPr>
        <w:tc>
          <w:tcPr>
            <w:tcW w:w="865" w:type="dxa"/>
          </w:tcPr>
          <w:p w14:paraId="24DDFE1E" w14:textId="77777777" w:rsidR="009B5AA5" w:rsidRPr="00FA3F9C" w:rsidRDefault="009B5AA5" w:rsidP="000E79CF">
            <w:pPr>
              <w:spacing w:after="0" w:line="240" w:lineRule="auto"/>
              <w:rPr>
                <w:rFonts w:ascii="Arial" w:hAnsi="Arial" w:cs="Arial"/>
                <w:sz w:val="24"/>
                <w:szCs w:val="24"/>
              </w:rPr>
            </w:pPr>
            <w:r w:rsidRPr="00FA3F9C">
              <w:rPr>
                <w:rFonts w:ascii="Arial" w:hAnsi="Arial" w:cs="Arial"/>
                <w:sz w:val="24"/>
                <w:szCs w:val="24"/>
              </w:rPr>
              <w:t>12/4/19</w:t>
            </w:r>
          </w:p>
        </w:tc>
        <w:tc>
          <w:tcPr>
            <w:tcW w:w="7740" w:type="dxa"/>
          </w:tcPr>
          <w:p w14:paraId="736A96A4" w14:textId="77777777" w:rsidR="009B5AA5" w:rsidRPr="00FA3F9C" w:rsidRDefault="009B5AA5" w:rsidP="00205862">
            <w:pPr>
              <w:spacing w:after="0" w:line="240" w:lineRule="auto"/>
              <w:rPr>
                <w:rFonts w:ascii="Arial" w:hAnsi="Arial" w:cs="Arial"/>
                <w:sz w:val="24"/>
                <w:szCs w:val="24"/>
              </w:rPr>
            </w:pPr>
            <w:r w:rsidRPr="00FA3F9C">
              <w:rPr>
                <w:rFonts w:ascii="Arial" w:hAnsi="Arial" w:cs="Arial"/>
                <w:sz w:val="24"/>
                <w:szCs w:val="24"/>
              </w:rPr>
              <w:t>Drug reviewed at DCWG. Criteria written.</w:t>
            </w:r>
          </w:p>
        </w:tc>
        <w:tc>
          <w:tcPr>
            <w:tcW w:w="1728" w:type="dxa"/>
          </w:tcPr>
          <w:p w14:paraId="5B22184C" w14:textId="77777777" w:rsidR="009B5AA5" w:rsidRPr="00FA3F9C" w:rsidRDefault="009B5AA5" w:rsidP="000E79CF">
            <w:pPr>
              <w:spacing w:after="0" w:line="240" w:lineRule="auto"/>
              <w:rPr>
                <w:rFonts w:ascii="Arial" w:hAnsi="Arial" w:cs="Arial"/>
                <w:sz w:val="24"/>
                <w:szCs w:val="24"/>
              </w:rPr>
            </w:pPr>
            <w:proofErr w:type="spellStart"/>
            <w:r w:rsidRPr="00FA3F9C">
              <w:rPr>
                <w:rFonts w:ascii="Arial" w:hAnsi="Arial" w:cs="Arial"/>
                <w:sz w:val="24"/>
                <w:szCs w:val="24"/>
              </w:rPr>
              <w:t>sk</w:t>
            </w:r>
            <w:proofErr w:type="spellEnd"/>
          </w:p>
        </w:tc>
      </w:tr>
      <w:tr w:rsidR="009B5AA5" w:rsidRPr="00FA3F9C" w14:paraId="46E7B6C2" w14:textId="77777777" w:rsidTr="001D4B63">
        <w:trPr>
          <w:trHeight w:val="56"/>
        </w:trPr>
        <w:tc>
          <w:tcPr>
            <w:tcW w:w="865" w:type="dxa"/>
          </w:tcPr>
          <w:p w14:paraId="30E0E723" w14:textId="77777777" w:rsidR="009B5AA5" w:rsidRPr="00FA3F9C" w:rsidRDefault="009B5AA5" w:rsidP="000E79CF">
            <w:pPr>
              <w:spacing w:after="0" w:line="240" w:lineRule="auto"/>
              <w:rPr>
                <w:rFonts w:ascii="Arial" w:hAnsi="Arial" w:cs="Arial"/>
                <w:sz w:val="24"/>
                <w:szCs w:val="24"/>
              </w:rPr>
            </w:pPr>
            <w:r w:rsidRPr="00FA3F9C">
              <w:rPr>
                <w:rFonts w:ascii="Arial" w:hAnsi="Arial" w:cs="Arial"/>
                <w:sz w:val="24"/>
                <w:szCs w:val="24"/>
              </w:rPr>
              <w:t>5/25/2021</w:t>
            </w:r>
          </w:p>
        </w:tc>
        <w:tc>
          <w:tcPr>
            <w:tcW w:w="7740" w:type="dxa"/>
          </w:tcPr>
          <w:p w14:paraId="3F0FE9EE" w14:textId="77777777" w:rsidR="009B5AA5" w:rsidRPr="00FA3F9C" w:rsidRDefault="009B5AA5" w:rsidP="000E79CF">
            <w:pPr>
              <w:spacing w:after="0" w:line="240" w:lineRule="auto"/>
              <w:rPr>
                <w:rFonts w:ascii="Arial" w:hAnsi="Arial" w:cs="Arial"/>
                <w:sz w:val="24"/>
                <w:szCs w:val="24"/>
              </w:rPr>
            </w:pPr>
            <w:r w:rsidRPr="00FA3F9C">
              <w:rPr>
                <w:rFonts w:ascii="Arial" w:hAnsi="Arial" w:cs="Arial"/>
                <w:sz w:val="24"/>
                <w:szCs w:val="24"/>
              </w:rPr>
              <w:t>Criteria reviewed. No changes</w:t>
            </w:r>
          </w:p>
        </w:tc>
        <w:tc>
          <w:tcPr>
            <w:tcW w:w="1728" w:type="dxa"/>
          </w:tcPr>
          <w:p w14:paraId="608E1C7C" w14:textId="77777777" w:rsidR="009B5AA5" w:rsidRPr="00FA3F9C" w:rsidRDefault="009B5AA5" w:rsidP="000E79CF">
            <w:pPr>
              <w:spacing w:after="0" w:line="240" w:lineRule="auto"/>
              <w:rPr>
                <w:rFonts w:ascii="Arial" w:hAnsi="Arial" w:cs="Arial"/>
                <w:sz w:val="24"/>
                <w:szCs w:val="24"/>
              </w:rPr>
            </w:pPr>
            <w:r w:rsidRPr="00FA3F9C">
              <w:rPr>
                <w:rFonts w:ascii="Arial" w:hAnsi="Arial" w:cs="Arial"/>
                <w:sz w:val="24"/>
                <w:szCs w:val="24"/>
              </w:rPr>
              <w:t>SK</w:t>
            </w:r>
          </w:p>
        </w:tc>
      </w:tr>
      <w:tr w:rsidR="009B5AA5" w:rsidRPr="00FA3F9C" w14:paraId="6A540C49" w14:textId="77777777" w:rsidTr="001D4B63">
        <w:trPr>
          <w:trHeight w:val="56"/>
        </w:trPr>
        <w:tc>
          <w:tcPr>
            <w:tcW w:w="865" w:type="dxa"/>
          </w:tcPr>
          <w:p w14:paraId="425B1807" w14:textId="77777777" w:rsidR="009B5AA5" w:rsidRPr="00FA3F9C" w:rsidRDefault="009B5AA5" w:rsidP="000E79CF">
            <w:pPr>
              <w:spacing w:after="0" w:line="240" w:lineRule="auto"/>
              <w:rPr>
                <w:rFonts w:ascii="Arial" w:hAnsi="Arial" w:cs="Arial"/>
                <w:sz w:val="24"/>
                <w:szCs w:val="24"/>
              </w:rPr>
            </w:pPr>
          </w:p>
        </w:tc>
        <w:tc>
          <w:tcPr>
            <w:tcW w:w="7740" w:type="dxa"/>
          </w:tcPr>
          <w:p w14:paraId="3BB59F6E" w14:textId="77777777" w:rsidR="009B5AA5" w:rsidRPr="00FA3F9C" w:rsidRDefault="009B5AA5" w:rsidP="000E79CF">
            <w:pPr>
              <w:spacing w:after="0" w:line="240" w:lineRule="auto"/>
              <w:rPr>
                <w:rFonts w:ascii="Arial" w:hAnsi="Arial" w:cs="Arial"/>
                <w:sz w:val="24"/>
                <w:szCs w:val="24"/>
              </w:rPr>
            </w:pPr>
          </w:p>
        </w:tc>
        <w:tc>
          <w:tcPr>
            <w:tcW w:w="1728" w:type="dxa"/>
          </w:tcPr>
          <w:p w14:paraId="41B22577" w14:textId="77777777" w:rsidR="009B5AA5" w:rsidRPr="00FA3F9C" w:rsidRDefault="009B5AA5" w:rsidP="000E79CF">
            <w:pPr>
              <w:spacing w:after="0" w:line="240" w:lineRule="auto"/>
              <w:rPr>
                <w:rFonts w:ascii="Arial" w:hAnsi="Arial" w:cs="Arial"/>
                <w:sz w:val="24"/>
                <w:szCs w:val="24"/>
              </w:rPr>
            </w:pPr>
          </w:p>
        </w:tc>
      </w:tr>
      <w:tr w:rsidR="009B5AA5" w:rsidRPr="00FA3F9C" w14:paraId="2D4BA1FB" w14:textId="77777777" w:rsidTr="000E79CF">
        <w:tc>
          <w:tcPr>
            <w:tcW w:w="865" w:type="dxa"/>
          </w:tcPr>
          <w:p w14:paraId="3568465B" w14:textId="77777777" w:rsidR="009B5AA5" w:rsidRPr="00FA3F9C" w:rsidRDefault="009B5AA5" w:rsidP="000E79CF">
            <w:pPr>
              <w:spacing w:after="0" w:line="240" w:lineRule="auto"/>
              <w:rPr>
                <w:rFonts w:ascii="Arial" w:hAnsi="Arial" w:cs="Arial"/>
                <w:sz w:val="24"/>
                <w:szCs w:val="24"/>
              </w:rPr>
            </w:pPr>
          </w:p>
        </w:tc>
        <w:tc>
          <w:tcPr>
            <w:tcW w:w="7740" w:type="dxa"/>
          </w:tcPr>
          <w:p w14:paraId="7C5FD1DE" w14:textId="77777777" w:rsidR="009B5AA5" w:rsidRPr="00FA3F9C" w:rsidRDefault="009B5AA5" w:rsidP="000E79CF">
            <w:pPr>
              <w:spacing w:after="0" w:line="240" w:lineRule="auto"/>
              <w:rPr>
                <w:rFonts w:ascii="Arial" w:hAnsi="Arial" w:cs="Arial"/>
                <w:sz w:val="24"/>
                <w:szCs w:val="24"/>
              </w:rPr>
            </w:pPr>
          </w:p>
        </w:tc>
        <w:tc>
          <w:tcPr>
            <w:tcW w:w="1728" w:type="dxa"/>
          </w:tcPr>
          <w:p w14:paraId="0303366D" w14:textId="77777777" w:rsidR="009B5AA5" w:rsidRPr="00FA3F9C" w:rsidRDefault="009B5AA5" w:rsidP="000E79CF">
            <w:pPr>
              <w:spacing w:after="0" w:line="240" w:lineRule="auto"/>
              <w:rPr>
                <w:rFonts w:ascii="Arial" w:hAnsi="Arial" w:cs="Arial"/>
                <w:sz w:val="24"/>
                <w:szCs w:val="24"/>
              </w:rPr>
            </w:pPr>
          </w:p>
        </w:tc>
      </w:tr>
      <w:tr w:rsidR="009B5AA5" w:rsidRPr="00FA3F9C" w14:paraId="3AE821A1" w14:textId="77777777" w:rsidTr="000E79CF">
        <w:tc>
          <w:tcPr>
            <w:tcW w:w="865" w:type="dxa"/>
          </w:tcPr>
          <w:p w14:paraId="4991DE5F" w14:textId="77777777" w:rsidR="009B5AA5" w:rsidRPr="00FA3F9C" w:rsidRDefault="009B5AA5" w:rsidP="000E79CF">
            <w:pPr>
              <w:spacing w:after="0" w:line="240" w:lineRule="auto"/>
              <w:rPr>
                <w:rFonts w:ascii="Arial" w:hAnsi="Arial" w:cs="Arial"/>
                <w:sz w:val="24"/>
                <w:szCs w:val="24"/>
              </w:rPr>
            </w:pPr>
          </w:p>
        </w:tc>
        <w:tc>
          <w:tcPr>
            <w:tcW w:w="7740" w:type="dxa"/>
          </w:tcPr>
          <w:p w14:paraId="7C0CB83A" w14:textId="77777777" w:rsidR="009B5AA5" w:rsidRPr="00FA3F9C" w:rsidRDefault="009B5AA5" w:rsidP="000E79CF">
            <w:pPr>
              <w:spacing w:after="0" w:line="240" w:lineRule="auto"/>
              <w:rPr>
                <w:rFonts w:ascii="Arial" w:hAnsi="Arial" w:cs="Arial"/>
                <w:sz w:val="24"/>
                <w:szCs w:val="24"/>
              </w:rPr>
            </w:pPr>
          </w:p>
        </w:tc>
        <w:tc>
          <w:tcPr>
            <w:tcW w:w="1728" w:type="dxa"/>
          </w:tcPr>
          <w:p w14:paraId="0F04817C" w14:textId="77777777" w:rsidR="009B5AA5" w:rsidRPr="00FA3F9C" w:rsidRDefault="009B5AA5" w:rsidP="000E79CF">
            <w:pPr>
              <w:spacing w:after="0" w:line="240" w:lineRule="auto"/>
              <w:rPr>
                <w:rFonts w:ascii="Arial" w:hAnsi="Arial" w:cs="Arial"/>
                <w:sz w:val="24"/>
                <w:szCs w:val="24"/>
              </w:rPr>
            </w:pPr>
          </w:p>
        </w:tc>
      </w:tr>
      <w:tr w:rsidR="009B5AA5" w:rsidRPr="00FA3F9C" w14:paraId="4A0AFBC7" w14:textId="77777777" w:rsidTr="000E79CF">
        <w:tc>
          <w:tcPr>
            <w:tcW w:w="865" w:type="dxa"/>
          </w:tcPr>
          <w:p w14:paraId="765EDE13" w14:textId="77777777" w:rsidR="009B5AA5" w:rsidRPr="00FA3F9C" w:rsidRDefault="009B5AA5" w:rsidP="000E79CF">
            <w:pPr>
              <w:spacing w:after="0" w:line="240" w:lineRule="auto"/>
              <w:rPr>
                <w:rFonts w:ascii="Arial" w:hAnsi="Arial" w:cs="Arial"/>
                <w:sz w:val="24"/>
                <w:szCs w:val="24"/>
              </w:rPr>
            </w:pPr>
          </w:p>
        </w:tc>
        <w:tc>
          <w:tcPr>
            <w:tcW w:w="7740" w:type="dxa"/>
          </w:tcPr>
          <w:p w14:paraId="307A6EC6" w14:textId="77777777" w:rsidR="009B5AA5" w:rsidRPr="00FA3F9C" w:rsidRDefault="009B5AA5" w:rsidP="000E79CF">
            <w:pPr>
              <w:spacing w:after="0" w:line="240" w:lineRule="auto"/>
              <w:rPr>
                <w:rFonts w:ascii="Arial" w:hAnsi="Arial" w:cs="Arial"/>
                <w:sz w:val="24"/>
                <w:szCs w:val="24"/>
              </w:rPr>
            </w:pPr>
          </w:p>
        </w:tc>
        <w:tc>
          <w:tcPr>
            <w:tcW w:w="1728" w:type="dxa"/>
          </w:tcPr>
          <w:p w14:paraId="63F85CBF" w14:textId="77777777" w:rsidR="009B5AA5" w:rsidRPr="00FA3F9C" w:rsidRDefault="009B5AA5" w:rsidP="000E79CF">
            <w:pPr>
              <w:spacing w:after="0" w:line="240" w:lineRule="auto"/>
              <w:rPr>
                <w:rFonts w:ascii="Arial" w:hAnsi="Arial" w:cs="Arial"/>
                <w:sz w:val="24"/>
                <w:szCs w:val="24"/>
              </w:rPr>
            </w:pPr>
          </w:p>
        </w:tc>
      </w:tr>
      <w:tr w:rsidR="009B5AA5" w:rsidRPr="00FA3F9C" w14:paraId="74D1031D" w14:textId="77777777" w:rsidTr="000E79CF">
        <w:tc>
          <w:tcPr>
            <w:tcW w:w="865" w:type="dxa"/>
          </w:tcPr>
          <w:p w14:paraId="2269ECD1" w14:textId="77777777" w:rsidR="009B5AA5" w:rsidRPr="00FA3F9C" w:rsidRDefault="009B5AA5" w:rsidP="000E79CF">
            <w:pPr>
              <w:spacing w:after="0" w:line="240" w:lineRule="auto"/>
              <w:rPr>
                <w:rFonts w:ascii="Arial" w:hAnsi="Arial" w:cs="Arial"/>
                <w:sz w:val="24"/>
                <w:szCs w:val="24"/>
              </w:rPr>
            </w:pPr>
          </w:p>
        </w:tc>
        <w:tc>
          <w:tcPr>
            <w:tcW w:w="7740" w:type="dxa"/>
          </w:tcPr>
          <w:p w14:paraId="54AEDA80" w14:textId="77777777" w:rsidR="009B5AA5" w:rsidRPr="00FA3F9C" w:rsidRDefault="009B5AA5" w:rsidP="000E79CF">
            <w:pPr>
              <w:spacing w:after="0" w:line="240" w:lineRule="auto"/>
              <w:rPr>
                <w:rFonts w:ascii="Arial" w:hAnsi="Arial" w:cs="Arial"/>
                <w:sz w:val="24"/>
                <w:szCs w:val="24"/>
              </w:rPr>
            </w:pPr>
          </w:p>
        </w:tc>
        <w:tc>
          <w:tcPr>
            <w:tcW w:w="1728" w:type="dxa"/>
          </w:tcPr>
          <w:p w14:paraId="530152C4" w14:textId="77777777" w:rsidR="009B5AA5" w:rsidRPr="00FA3F9C" w:rsidRDefault="009B5AA5" w:rsidP="000E79CF">
            <w:pPr>
              <w:spacing w:after="0" w:line="240" w:lineRule="auto"/>
              <w:rPr>
                <w:rFonts w:ascii="Arial" w:hAnsi="Arial" w:cs="Arial"/>
                <w:sz w:val="24"/>
                <w:szCs w:val="24"/>
              </w:rPr>
            </w:pPr>
          </w:p>
        </w:tc>
      </w:tr>
      <w:tr w:rsidR="009B5AA5" w:rsidRPr="00FA3F9C" w14:paraId="7AF878EF" w14:textId="77777777" w:rsidTr="000E79CF">
        <w:tc>
          <w:tcPr>
            <w:tcW w:w="865" w:type="dxa"/>
          </w:tcPr>
          <w:p w14:paraId="11716E8B" w14:textId="77777777" w:rsidR="009B5AA5" w:rsidRPr="00FA3F9C" w:rsidRDefault="009B5AA5" w:rsidP="000E79CF">
            <w:pPr>
              <w:spacing w:after="0" w:line="240" w:lineRule="auto"/>
              <w:rPr>
                <w:rFonts w:ascii="Arial" w:hAnsi="Arial" w:cs="Arial"/>
                <w:sz w:val="24"/>
                <w:szCs w:val="24"/>
              </w:rPr>
            </w:pPr>
          </w:p>
        </w:tc>
        <w:tc>
          <w:tcPr>
            <w:tcW w:w="7740" w:type="dxa"/>
          </w:tcPr>
          <w:p w14:paraId="47AA797A" w14:textId="77777777" w:rsidR="009B5AA5" w:rsidRPr="00FA3F9C" w:rsidRDefault="009B5AA5" w:rsidP="000E79CF">
            <w:pPr>
              <w:spacing w:after="0" w:line="240" w:lineRule="auto"/>
              <w:rPr>
                <w:rFonts w:ascii="Arial" w:hAnsi="Arial" w:cs="Arial"/>
                <w:sz w:val="24"/>
                <w:szCs w:val="24"/>
              </w:rPr>
            </w:pPr>
          </w:p>
        </w:tc>
        <w:tc>
          <w:tcPr>
            <w:tcW w:w="1728" w:type="dxa"/>
          </w:tcPr>
          <w:p w14:paraId="720312E3" w14:textId="77777777" w:rsidR="009B5AA5" w:rsidRPr="00FA3F9C" w:rsidRDefault="009B5AA5" w:rsidP="000E79CF">
            <w:pPr>
              <w:spacing w:after="0" w:line="240" w:lineRule="auto"/>
              <w:rPr>
                <w:rFonts w:ascii="Arial" w:hAnsi="Arial" w:cs="Arial"/>
                <w:sz w:val="24"/>
                <w:szCs w:val="24"/>
              </w:rPr>
            </w:pPr>
          </w:p>
        </w:tc>
      </w:tr>
      <w:tr w:rsidR="009B5AA5" w:rsidRPr="00FA3F9C" w14:paraId="28E65664" w14:textId="77777777" w:rsidTr="000E79CF">
        <w:tc>
          <w:tcPr>
            <w:tcW w:w="865" w:type="dxa"/>
          </w:tcPr>
          <w:p w14:paraId="29446D60" w14:textId="77777777" w:rsidR="009B5AA5" w:rsidRPr="00FA3F9C" w:rsidRDefault="009B5AA5" w:rsidP="000E79CF">
            <w:pPr>
              <w:spacing w:after="0" w:line="240" w:lineRule="auto"/>
              <w:rPr>
                <w:rFonts w:ascii="Arial" w:hAnsi="Arial" w:cs="Arial"/>
                <w:sz w:val="24"/>
                <w:szCs w:val="24"/>
              </w:rPr>
            </w:pPr>
          </w:p>
        </w:tc>
        <w:tc>
          <w:tcPr>
            <w:tcW w:w="7740" w:type="dxa"/>
          </w:tcPr>
          <w:p w14:paraId="4124BBCA" w14:textId="77777777" w:rsidR="009B5AA5" w:rsidRPr="00FA3F9C" w:rsidRDefault="009B5AA5" w:rsidP="00941169">
            <w:pPr>
              <w:spacing w:after="0" w:line="240" w:lineRule="auto"/>
              <w:rPr>
                <w:rFonts w:ascii="Arial" w:hAnsi="Arial" w:cs="Arial"/>
                <w:sz w:val="24"/>
                <w:szCs w:val="24"/>
              </w:rPr>
            </w:pPr>
          </w:p>
        </w:tc>
        <w:tc>
          <w:tcPr>
            <w:tcW w:w="1728" w:type="dxa"/>
          </w:tcPr>
          <w:p w14:paraId="39450BE6" w14:textId="77777777" w:rsidR="009B5AA5" w:rsidRPr="00FA3F9C" w:rsidRDefault="009B5AA5" w:rsidP="000E79CF">
            <w:pPr>
              <w:spacing w:after="0" w:line="240" w:lineRule="auto"/>
              <w:rPr>
                <w:rFonts w:ascii="Arial" w:hAnsi="Arial" w:cs="Arial"/>
                <w:sz w:val="24"/>
                <w:szCs w:val="24"/>
              </w:rPr>
            </w:pPr>
          </w:p>
        </w:tc>
      </w:tr>
      <w:tr w:rsidR="009B5AA5" w:rsidRPr="00FA3F9C" w14:paraId="7817E1AC" w14:textId="77777777" w:rsidTr="000E79CF">
        <w:tc>
          <w:tcPr>
            <w:tcW w:w="865" w:type="dxa"/>
          </w:tcPr>
          <w:p w14:paraId="278CFA05" w14:textId="77777777" w:rsidR="009B5AA5" w:rsidRPr="00FA3F9C" w:rsidRDefault="009B5AA5" w:rsidP="000E79CF">
            <w:pPr>
              <w:spacing w:after="0" w:line="240" w:lineRule="auto"/>
              <w:rPr>
                <w:rFonts w:ascii="Arial" w:hAnsi="Arial" w:cs="Arial"/>
                <w:sz w:val="24"/>
                <w:szCs w:val="24"/>
              </w:rPr>
            </w:pPr>
          </w:p>
        </w:tc>
        <w:tc>
          <w:tcPr>
            <w:tcW w:w="7740" w:type="dxa"/>
          </w:tcPr>
          <w:p w14:paraId="6660546D" w14:textId="77777777" w:rsidR="009B5AA5" w:rsidRPr="00FA3F9C" w:rsidRDefault="009B5AA5" w:rsidP="00941169">
            <w:pPr>
              <w:spacing w:after="0" w:line="240" w:lineRule="auto"/>
              <w:rPr>
                <w:rFonts w:ascii="Arial" w:hAnsi="Arial" w:cs="Arial"/>
                <w:sz w:val="24"/>
                <w:szCs w:val="24"/>
              </w:rPr>
            </w:pPr>
          </w:p>
        </w:tc>
        <w:tc>
          <w:tcPr>
            <w:tcW w:w="1728" w:type="dxa"/>
          </w:tcPr>
          <w:p w14:paraId="1893C5CC" w14:textId="77777777" w:rsidR="009B5AA5" w:rsidRPr="00FA3F9C" w:rsidRDefault="009B5AA5" w:rsidP="000E79CF">
            <w:pPr>
              <w:spacing w:after="0" w:line="240" w:lineRule="auto"/>
              <w:rPr>
                <w:rFonts w:ascii="Arial" w:hAnsi="Arial" w:cs="Arial"/>
                <w:sz w:val="24"/>
                <w:szCs w:val="24"/>
              </w:rPr>
            </w:pPr>
          </w:p>
        </w:tc>
      </w:tr>
      <w:tr w:rsidR="009B5AA5" w:rsidRPr="00FA3F9C" w14:paraId="226A2F8E" w14:textId="77777777" w:rsidTr="000E79CF">
        <w:tc>
          <w:tcPr>
            <w:tcW w:w="865" w:type="dxa"/>
          </w:tcPr>
          <w:p w14:paraId="47397706" w14:textId="77777777" w:rsidR="009B5AA5" w:rsidRPr="00FA3F9C" w:rsidRDefault="009B5AA5" w:rsidP="000E79CF">
            <w:pPr>
              <w:spacing w:after="0" w:line="240" w:lineRule="auto"/>
              <w:rPr>
                <w:rFonts w:ascii="Arial" w:hAnsi="Arial" w:cs="Arial"/>
                <w:sz w:val="24"/>
                <w:szCs w:val="24"/>
              </w:rPr>
            </w:pPr>
          </w:p>
        </w:tc>
        <w:tc>
          <w:tcPr>
            <w:tcW w:w="7740" w:type="dxa"/>
          </w:tcPr>
          <w:p w14:paraId="0297FE9F" w14:textId="77777777" w:rsidR="009B5AA5" w:rsidRPr="00FA3F9C" w:rsidRDefault="009B5AA5" w:rsidP="002C6AE2">
            <w:pPr>
              <w:spacing w:after="0" w:line="240" w:lineRule="auto"/>
              <w:rPr>
                <w:rFonts w:ascii="Arial" w:hAnsi="Arial" w:cs="Arial"/>
                <w:sz w:val="24"/>
                <w:szCs w:val="24"/>
              </w:rPr>
            </w:pPr>
          </w:p>
        </w:tc>
        <w:tc>
          <w:tcPr>
            <w:tcW w:w="1728" w:type="dxa"/>
          </w:tcPr>
          <w:p w14:paraId="1C0FBA48" w14:textId="77777777" w:rsidR="009B5AA5" w:rsidRPr="00FA3F9C" w:rsidRDefault="009B5AA5" w:rsidP="000E79CF">
            <w:pPr>
              <w:spacing w:after="0" w:line="240" w:lineRule="auto"/>
              <w:rPr>
                <w:rFonts w:ascii="Arial" w:hAnsi="Arial" w:cs="Arial"/>
                <w:sz w:val="24"/>
                <w:szCs w:val="24"/>
              </w:rPr>
            </w:pPr>
          </w:p>
        </w:tc>
      </w:tr>
      <w:tr w:rsidR="009B5AA5" w:rsidRPr="00FA3F9C" w14:paraId="569FD166" w14:textId="77777777" w:rsidTr="000E79CF">
        <w:tc>
          <w:tcPr>
            <w:tcW w:w="865" w:type="dxa"/>
          </w:tcPr>
          <w:p w14:paraId="5EAF2B6F" w14:textId="77777777" w:rsidR="009B5AA5" w:rsidRPr="00FA3F9C" w:rsidRDefault="009B5AA5" w:rsidP="000E79CF">
            <w:pPr>
              <w:spacing w:after="0" w:line="240" w:lineRule="auto"/>
              <w:rPr>
                <w:rFonts w:ascii="Arial" w:hAnsi="Arial" w:cs="Arial"/>
                <w:sz w:val="24"/>
                <w:szCs w:val="24"/>
              </w:rPr>
            </w:pPr>
          </w:p>
        </w:tc>
        <w:tc>
          <w:tcPr>
            <w:tcW w:w="7740" w:type="dxa"/>
          </w:tcPr>
          <w:p w14:paraId="01221ACB" w14:textId="77777777" w:rsidR="009B5AA5" w:rsidRPr="00FA3F9C" w:rsidRDefault="009B5AA5" w:rsidP="002C6AE2">
            <w:pPr>
              <w:spacing w:after="0" w:line="240" w:lineRule="auto"/>
              <w:rPr>
                <w:rFonts w:ascii="Arial" w:hAnsi="Arial" w:cs="Arial"/>
                <w:sz w:val="24"/>
                <w:szCs w:val="24"/>
              </w:rPr>
            </w:pPr>
          </w:p>
        </w:tc>
        <w:tc>
          <w:tcPr>
            <w:tcW w:w="1728" w:type="dxa"/>
          </w:tcPr>
          <w:p w14:paraId="146A8C94" w14:textId="77777777" w:rsidR="009B5AA5" w:rsidRPr="00FA3F9C" w:rsidRDefault="009B5AA5" w:rsidP="000E79CF">
            <w:pPr>
              <w:spacing w:after="0" w:line="240" w:lineRule="auto"/>
              <w:rPr>
                <w:rFonts w:ascii="Arial" w:hAnsi="Arial" w:cs="Arial"/>
                <w:sz w:val="24"/>
                <w:szCs w:val="24"/>
              </w:rPr>
            </w:pPr>
          </w:p>
        </w:tc>
      </w:tr>
    </w:tbl>
    <w:p w14:paraId="4C310DE8" w14:textId="77777777" w:rsidR="009B5AA5" w:rsidRPr="00FA3F9C" w:rsidRDefault="009B5AA5" w:rsidP="008B48E4">
      <w:pPr>
        <w:spacing w:after="0"/>
        <w:rPr>
          <w:rFonts w:ascii="Arial" w:hAnsi="Arial" w:cs="Arial"/>
          <w:sz w:val="24"/>
          <w:szCs w:val="24"/>
        </w:rPr>
      </w:pPr>
    </w:p>
    <w:p w14:paraId="10EF6955" w14:textId="77777777" w:rsidR="009B5AA5" w:rsidRPr="00FA3F9C" w:rsidRDefault="009B5AA5">
      <w:pPr>
        <w:rPr>
          <w:rFonts w:ascii="Arial" w:hAnsi="Arial" w:cs="Arial"/>
          <w:sz w:val="24"/>
          <w:szCs w:val="24"/>
        </w:rPr>
      </w:pPr>
    </w:p>
    <w:p w14:paraId="4BA89282" w14:textId="77777777" w:rsidR="009B5AA5" w:rsidRPr="00FA3F9C" w:rsidRDefault="009B5AA5">
      <w:pPr>
        <w:rPr>
          <w:rFonts w:ascii="Arial" w:hAnsi="Arial" w:cs="Arial"/>
          <w:sz w:val="24"/>
          <w:szCs w:val="24"/>
        </w:rPr>
      </w:pPr>
    </w:p>
    <w:p w14:paraId="1D095AA6" w14:textId="77777777" w:rsidR="009B5AA5" w:rsidRPr="00FA3F9C" w:rsidRDefault="009B5AA5">
      <w:pPr>
        <w:rPr>
          <w:rFonts w:ascii="Arial" w:hAnsi="Arial" w:cs="Arial"/>
          <w:sz w:val="24"/>
          <w:szCs w:val="24"/>
        </w:rPr>
      </w:pPr>
    </w:p>
    <w:p w14:paraId="7AABCF1D" w14:textId="77777777" w:rsidR="002B2097" w:rsidRDefault="009B5AA5" w:rsidP="002B2097">
      <w:pPr>
        <w:pStyle w:val="Heading2"/>
      </w:pPr>
      <w:bookmarkStart w:id="273" w:name="_Toc106369898"/>
      <w:proofErr w:type="spellStart"/>
      <w:r w:rsidRPr="00FA3F9C">
        <w:t>Pimavanserin</w:t>
      </w:r>
      <w:proofErr w:type="spellEnd"/>
      <w:r w:rsidRPr="00FA3F9C">
        <w:t xml:space="preserve"> (</w:t>
      </w:r>
      <w:proofErr w:type="spellStart"/>
      <w:r w:rsidRPr="00FA3F9C">
        <w:t>Nuplazid</w:t>
      </w:r>
      <w:proofErr w:type="spellEnd"/>
      <w:r w:rsidRPr="00FA3F9C">
        <w:t>)</w:t>
      </w:r>
      <w:bookmarkEnd w:id="273"/>
      <w:r w:rsidRPr="00FA3F9C">
        <w:t xml:space="preserve"> </w:t>
      </w:r>
    </w:p>
    <w:p w14:paraId="4C412E2D" w14:textId="3092614F" w:rsidR="009B5AA5" w:rsidRDefault="009B5AA5" w:rsidP="006F623F">
      <w:pPr>
        <w:spacing w:after="0"/>
        <w:jc w:val="center"/>
        <w:rPr>
          <w:rFonts w:ascii="Arial" w:hAnsi="Arial" w:cs="Arial"/>
          <w:sz w:val="24"/>
          <w:szCs w:val="24"/>
        </w:rPr>
      </w:pPr>
      <w:r w:rsidRPr="00FA3F9C">
        <w:rPr>
          <w:rFonts w:ascii="Arial" w:hAnsi="Arial" w:cs="Arial"/>
          <w:sz w:val="24"/>
          <w:szCs w:val="24"/>
        </w:rPr>
        <w:t>17mg tablets</w:t>
      </w:r>
    </w:p>
    <w:p w14:paraId="0B8CB898" w14:textId="77777777" w:rsidR="002B2097" w:rsidRPr="00FA3F9C" w:rsidRDefault="002B2097" w:rsidP="002B2097">
      <w:pPr>
        <w:spacing w:after="0"/>
        <w:jc w:val="center"/>
        <w:rPr>
          <w:rFonts w:ascii="Arial" w:hAnsi="Arial" w:cs="Arial"/>
          <w:sz w:val="24"/>
          <w:szCs w:val="24"/>
        </w:rPr>
      </w:pPr>
      <w:r w:rsidRPr="00FA3F9C">
        <w:rPr>
          <w:rFonts w:ascii="Arial" w:hAnsi="Arial" w:cs="Arial"/>
          <w:sz w:val="24"/>
          <w:szCs w:val="24"/>
        </w:rPr>
        <w:t>EBRx PA Criteria</w:t>
      </w:r>
    </w:p>
    <w:p w14:paraId="563A0989" w14:textId="77777777" w:rsidR="002B2097" w:rsidRPr="00FA3F9C" w:rsidRDefault="002B2097" w:rsidP="006F623F">
      <w:pPr>
        <w:spacing w:after="0"/>
        <w:jc w:val="center"/>
        <w:rPr>
          <w:rFonts w:ascii="Arial" w:hAnsi="Arial" w:cs="Arial"/>
          <w:sz w:val="24"/>
          <w:szCs w:val="24"/>
        </w:rPr>
      </w:pPr>
    </w:p>
    <w:p w14:paraId="7B956509" w14:textId="77777777" w:rsidR="009B5AA5" w:rsidRPr="00FA3F9C" w:rsidRDefault="009B5AA5" w:rsidP="006F623F">
      <w:pPr>
        <w:spacing w:after="0"/>
        <w:rPr>
          <w:rFonts w:ascii="Arial" w:hAnsi="Arial" w:cs="Arial"/>
          <w:b/>
          <w:sz w:val="24"/>
          <w:szCs w:val="24"/>
          <w:u w:val="single"/>
        </w:rPr>
      </w:pPr>
    </w:p>
    <w:p w14:paraId="2D5211AB" w14:textId="77777777" w:rsidR="009B5AA5" w:rsidRPr="00FA3F9C" w:rsidRDefault="009B5AA5"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Treatment of hallucinations and delusions associated with Parkinson disease psychosis</w:t>
      </w:r>
    </w:p>
    <w:tbl>
      <w:tblPr>
        <w:tblStyle w:val="TableGrid"/>
        <w:tblW w:w="0" w:type="auto"/>
        <w:tblLook w:val="04A0" w:firstRow="1" w:lastRow="0" w:firstColumn="1" w:lastColumn="0" w:noHBand="0" w:noVBand="1"/>
      </w:tblPr>
      <w:tblGrid>
        <w:gridCol w:w="8928"/>
        <w:gridCol w:w="2088"/>
      </w:tblGrid>
      <w:tr w:rsidR="009B5AA5" w:rsidRPr="00FA3F9C" w14:paraId="49957552" w14:textId="77777777" w:rsidTr="00571CAB">
        <w:tc>
          <w:tcPr>
            <w:tcW w:w="8928" w:type="dxa"/>
            <w:shd w:val="clear" w:color="auto" w:fill="000000"/>
          </w:tcPr>
          <w:p w14:paraId="407C894A" w14:textId="77777777" w:rsidR="009B5AA5" w:rsidRPr="00FA3F9C" w:rsidRDefault="009B5AA5"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88" w:type="dxa"/>
            <w:shd w:val="clear" w:color="auto" w:fill="000000"/>
          </w:tcPr>
          <w:p w14:paraId="04ABB042" w14:textId="77777777" w:rsidR="009B5AA5" w:rsidRPr="00FA3F9C" w:rsidRDefault="009B5AA5" w:rsidP="006F623F">
            <w:pPr>
              <w:jc w:val="center"/>
              <w:rPr>
                <w:rFonts w:ascii="Arial" w:hAnsi="Arial" w:cs="Arial"/>
                <w:b/>
                <w:sz w:val="24"/>
                <w:szCs w:val="24"/>
                <w:u w:val="single"/>
              </w:rPr>
            </w:pPr>
          </w:p>
        </w:tc>
      </w:tr>
      <w:tr w:rsidR="009B5AA5" w:rsidRPr="00FA3F9C" w14:paraId="1638716A" w14:textId="77777777" w:rsidTr="00902461">
        <w:tc>
          <w:tcPr>
            <w:tcW w:w="11016" w:type="dxa"/>
            <w:gridSpan w:val="2"/>
          </w:tcPr>
          <w:p w14:paraId="05C29E1D" w14:textId="77777777" w:rsidR="009B5AA5" w:rsidRPr="00FA3F9C" w:rsidRDefault="009B5AA5" w:rsidP="006F623F">
            <w:pPr>
              <w:rPr>
                <w:rFonts w:ascii="Arial" w:hAnsi="Arial" w:cs="Arial"/>
                <w:sz w:val="24"/>
                <w:szCs w:val="24"/>
              </w:rPr>
            </w:pPr>
            <w:r w:rsidRPr="00FA3F9C">
              <w:rPr>
                <w:rFonts w:ascii="Arial" w:hAnsi="Arial" w:cs="Arial"/>
                <w:sz w:val="24"/>
                <w:szCs w:val="24"/>
              </w:rPr>
              <w:t>1.  Diagnosis of Parkinson’s Disease</w:t>
            </w:r>
          </w:p>
        </w:tc>
      </w:tr>
      <w:tr w:rsidR="009B5AA5" w:rsidRPr="00FA3F9C" w14:paraId="215BF91B" w14:textId="77777777" w:rsidTr="00902461">
        <w:tc>
          <w:tcPr>
            <w:tcW w:w="11016" w:type="dxa"/>
            <w:gridSpan w:val="2"/>
          </w:tcPr>
          <w:p w14:paraId="0E63AFCD" w14:textId="77777777" w:rsidR="009B5AA5" w:rsidRPr="00FA3F9C" w:rsidRDefault="009B5AA5" w:rsidP="00122E44">
            <w:pPr>
              <w:rPr>
                <w:rFonts w:ascii="Arial" w:hAnsi="Arial" w:cs="Arial"/>
                <w:sz w:val="24"/>
                <w:szCs w:val="24"/>
              </w:rPr>
            </w:pPr>
            <w:r w:rsidRPr="00FA3F9C">
              <w:rPr>
                <w:rFonts w:ascii="Arial" w:hAnsi="Arial" w:cs="Arial"/>
                <w:sz w:val="24"/>
                <w:szCs w:val="24"/>
              </w:rPr>
              <w:t>2.  Psychotic symptoms must be present that developed after the diagnosis of Parkinson’s Disease, and which have lasted at least 1 month and occurred at least weekly during this time.</w:t>
            </w:r>
          </w:p>
        </w:tc>
      </w:tr>
      <w:tr w:rsidR="009B5AA5" w:rsidRPr="00FA3F9C" w14:paraId="4F21DD32" w14:textId="77777777" w:rsidTr="00902461">
        <w:tc>
          <w:tcPr>
            <w:tcW w:w="11016" w:type="dxa"/>
            <w:gridSpan w:val="2"/>
          </w:tcPr>
          <w:p w14:paraId="60704C09" w14:textId="77777777" w:rsidR="009B5AA5" w:rsidRPr="00FA3F9C" w:rsidRDefault="009B5AA5" w:rsidP="006F623F">
            <w:pPr>
              <w:rPr>
                <w:rFonts w:ascii="Arial" w:hAnsi="Arial" w:cs="Arial"/>
                <w:sz w:val="24"/>
                <w:szCs w:val="24"/>
              </w:rPr>
            </w:pPr>
            <w:r w:rsidRPr="00FA3F9C">
              <w:rPr>
                <w:rFonts w:ascii="Arial" w:hAnsi="Arial" w:cs="Arial"/>
                <w:sz w:val="24"/>
                <w:szCs w:val="24"/>
              </w:rPr>
              <w:t>3.  Age 40 or older</w:t>
            </w:r>
          </w:p>
        </w:tc>
      </w:tr>
      <w:tr w:rsidR="009B5AA5" w:rsidRPr="00FA3F9C" w14:paraId="7AE1994D" w14:textId="77777777" w:rsidTr="00902461">
        <w:tc>
          <w:tcPr>
            <w:tcW w:w="11016" w:type="dxa"/>
            <w:gridSpan w:val="2"/>
          </w:tcPr>
          <w:p w14:paraId="612F9E87" w14:textId="77777777" w:rsidR="009B5AA5" w:rsidRPr="00FA3F9C" w:rsidRDefault="009B5AA5" w:rsidP="006F623F">
            <w:pPr>
              <w:rPr>
                <w:rFonts w:ascii="Arial" w:hAnsi="Arial" w:cs="Arial"/>
                <w:sz w:val="24"/>
                <w:szCs w:val="24"/>
              </w:rPr>
            </w:pPr>
            <w:r w:rsidRPr="00FA3F9C">
              <w:rPr>
                <w:rFonts w:ascii="Arial" w:hAnsi="Arial" w:cs="Arial"/>
                <w:sz w:val="24"/>
                <w:szCs w:val="24"/>
              </w:rPr>
              <w:t xml:space="preserve">4.  Must have a mini-mental status exam score of </w:t>
            </w:r>
            <w:r w:rsidRPr="00FA3F9C">
              <w:rPr>
                <w:rFonts w:ascii="Arial" w:hAnsi="Arial" w:cs="Arial"/>
                <w:sz w:val="24"/>
                <w:szCs w:val="24"/>
                <w:u w:val="single"/>
              </w:rPr>
              <w:t>&gt;</w:t>
            </w:r>
            <w:r w:rsidRPr="00FA3F9C">
              <w:rPr>
                <w:rFonts w:ascii="Arial" w:hAnsi="Arial" w:cs="Arial"/>
                <w:sz w:val="24"/>
                <w:szCs w:val="24"/>
              </w:rPr>
              <w:t>21 and with NO delirium.</w:t>
            </w:r>
          </w:p>
        </w:tc>
      </w:tr>
      <w:tr w:rsidR="009B5AA5" w:rsidRPr="00FA3F9C" w14:paraId="44E0D1EE" w14:textId="77777777" w:rsidTr="00902461">
        <w:tc>
          <w:tcPr>
            <w:tcW w:w="11016" w:type="dxa"/>
            <w:gridSpan w:val="2"/>
          </w:tcPr>
          <w:p w14:paraId="3BC30D45" w14:textId="77777777" w:rsidR="009B5AA5" w:rsidRPr="00FA3F9C" w:rsidRDefault="009B5AA5" w:rsidP="006F623F">
            <w:pPr>
              <w:rPr>
                <w:rFonts w:ascii="Arial" w:hAnsi="Arial" w:cs="Arial"/>
                <w:sz w:val="24"/>
                <w:szCs w:val="24"/>
              </w:rPr>
            </w:pPr>
            <w:r w:rsidRPr="00FA3F9C">
              <w:rPr>
                <w:rFonts w:ascii="Arial" w:hAnsi="Arial" w:cs="Arial"/>
                <w:sz w:val="24"/>
                <w:szCs w:val="24"/>
              </w:rPr>
              <w:t>5.  No concurrent anti-dopaminergic drugs on the profile</w:t>
            </w:r>
          </w:p>
        </w:tc>
      </w:tr>
      <w:tr w:rsidR="009B5AA5" w:rsidRPr="00FA3F9C" w14:paraId="2B301F05" w14:textId="77777777" w:rsidTr="00902461">
        <w:tc>
          <w:tcPr>
            <w:tcW w:w="11016" w:type="dxa"/>
            <w:gridSpan w:val="2"/>
          </w:tcPr>
          <w:p w14:paraId="7FE26455" w14:textId="77777777" w:rsidR="009B5AA5" w:rsidRPr="00FA3F9C" w:rsidRDefault="009B5AA5" w:rsidP="006F623F">
            <w:pPr>
              <w:rPr>
                <w:rFonts w:ascii="Arial" w:hAnsi="Arial" w:cs="Arial"/>
                <w:sz w:val="24"/>
                <w:szCs w:val="24"/>
              </w:rPr>
            </w:pPr>
            <w:r w:rsidRPr="00FA3F9C">
              <w:rPr>
                <w:rFonts w:ascii="Arial" w:hAnsi="Arial" w:cs="Arial"/>
                <w:sz w:val="24"/>
                <w:szCs w:val="24"/>
              </w:rPr>
              <w:t>6. The patient’s profile should have no concurrent QT-prolonging drugs (amiodarone, sotalol, ziprasidone, chlorpromazine, thioridazine, moxifloxacin) and the prescriber attests to understanding the risk of this drug prolonging the QT interval.</w:t>
            </w:r>
          </w:p>
        </w:tc>
      </w:tr>
    </w:tbl>
    <w:p w14:paraId="7022CC52" w14:textId="77777777" w:rsidR="009B5AA5" w:rsidRPr="00FA3F9C" w:rsidRDefault="009B5AA5" w:rsidP="006F623F">
      <w:pPr>
        <w:spacing w:after="0"/>
        <w:rPr>
          <w:rFonts w:ascii="Arial" w:hAnsi="Arial" w:cs="Arial"/>
          <w:b/>
          <w:sz w:val="24"/>
          <w:szCs w:val="24"/>
          <w:u w:val="single"/>
        </w:rPr>
      </w:pPr>
    </w:p>
    <w:tbl>
      <w:tblPr>
        <w:tblStyle w:val="TableGrid"/>
        <w:tblW w:w="0" w:type="auto"/>
        <w:shd w:val="clear" w:color="auto" w:fill="BFBFBF" w:themeFill="background1" w:themeFillShade="BF"/>
        <w:tblLook w:val="04A0" w:firstRow="1" w:lastRow="0" w:firstColumn="1" w:lastColumn="0" w:noHBand="0" w:noVBand="1"/>
      </w:tblPr>
      <w:tblGrid>
        <w:gridCol w:w="10998"/>
      </w:tblGrid>
      <w:tr w:rsidR="009B5AA5" w:rsidRPr="00FA3F9C" w14:paraId="1F7DA89E" w14:textId="77777777" w:rsidTr="00D82B6E">
        <w:tc>
          <w:tcPr>
            <w:tcW w:w="10998" w:type="dxa"/>
            <w:shd w:val="clear" w:color="auto" w:fill="BFBFBF" w:themeFill="background1" w:themeFillShade="BF"/>
          </w:tcPr>
          <w:p w14:paraId="020546E6" w14:textId="77777777" w:rsidR="009B5AA5" w:rsidRPr="00FA3F9C" w:rsidRDefault="009B5AA5" w:rsidP="00D82B6E">
            <w:pPr>
              <w:rPr>
                <w:rFonts w:ascii="Arial" w:hAnsi="Arial" w:cs="Arial"/>
                <w:sz w:val="24"/>
                <w:szCs w:val="24"/>
              </w:rPr>
            </w:pPr>
            <w:r w:rsidRPr="00FA3F9C">
              <w:rPr>
                <w:rFonts w:ascii="Arial" w:hAnsi="Arial" w:cs="Arial"/>
                <w:sz w:val="24"/>
                <w:szCs w:val="24"/>
              </w:rPr>
              <w:t>Note: Quantity Limits: 2 tablets/day; 60 tablets in 30 days</w:t>
            </w:r>
          </w:p>
        </w:tc>
      </w:tr>
    </w:tbl>
    <w:p w14:paraId="32BA7EAF" w14:textId="77777777" w:rsidR="009B5AA5" w:rsidRPr="00FA3F9C" w:rsidRDefault="009B5AA5" w:rsidP="006F623F">
      <w:pPr>
        <w:spacing w:after="0"/>
        <w:rPr>
          <w:rFonts w:ascii="Arial" w:hAnsi="Arial" w:cs="Arial"/>
          <w:sz w:val="24"/>
          <w:szCs w:val="24"/>
        </w:rPr>
      </w:pPr>
    </w:p>
    <w:p w14:paraId="379ABC6B" w14:textId="77777777" w:rsidR="009B5AA5" w:rsidRPr="00FA3F9C" w:rsidRDefault="009B5AA5" w:rsidP="006F623F">
      <w:pPr>
        <w:spacing w:after="0"/>
        <w:rPr>
          <w:rFonts w:ascii="Arial" w:hAnsi="Arial" w:cs="Arial"/>
          <w:sz w:val="24"/>
          <w:szCs w:val="24"/>
        </w:rPr>
      </w:pPr>
      <w:r w:rsidRPr="00FA3F9C">
        <w:rPr>
          <w:rFonts w:ascii="Arial" w:hAnsi="Arial" w:cs="Arial"/>
          <w:sz w:val="24"/>
          <w:szCs w:val="24"/>
        </w:rPr>
        <w:t>References:</w:t>
      </w:r>
    </w:p>
    <w:p w14:paraId="463B1B3B" w14:textId="77777777" w:rsidR="009B5AA5" w:rsidRPr="00FA3F9C" w:rsidRDefault="009B5AA5" w:rsidP="002A22E4">
      <w:pPr>
        <w:spacing w:after="0"/>
        <w:rPr>
          <w:rFonts w:ascii="Arial" w:hAnsi="Arial" w:cs="Arial"/>
          <w:sz w:val="24"/>
          <w:szCs w:val="24"/>
        </w:rPr>
      </w:pPr>
      <w:r w:rsidRPr="00FA3F9C">
        <w:rPr>
          <w:rFonts w:ascii="Arial" w:hAnsi="Arial" w:cs="Arial"/>
          <w:color w:val="222222"/>
          <w:sz w:val="24"/>
          <w:szCs w:val="24"/>
        </w:rPr>
        <w:t>1.  Cummings, Jeffrey, et al. "</w:t>
      </w:r>
      <w:proofErr w:type="spellStart"/>
      <w:r w:rsidRPr="00FA3F9C">
        <w:rPr>
          <w:rFonts w:ascii="Arial" w:hAnsi="Arial" w:cs="Arial"/>
          <w:color w:val="222222"/>
          <w:sz w:val="24"/>
          <w:szCs w:val="24"/>
        </w:rPr>
        <w:t>Pimavanserin</w:t>
      </w:r>
      <w:proofErr w:type="spellEnd"/>
      <w:r w:rsidRPr="00FA3F9C">
        <w:rPr>
          <w:rFonts w:ascii="Arial" w:hAnsi="Arial" w:cs="Arial"/>
          <w:color w:val="222222"/>
          <w:sz w:val="24"/>
          <w:szCs w:val="24"/>
        </w:rPr>
        <w:t xml:space="preserve"> for patients with Parkinson's disease psychosis: a randomized, placebo-controlled phase 3 trial." </w:t>
      </w:r>
      <w:r w:rsidRPr="00FA3F9C">
        <w:rPr>
          <w:rFonts w:ascii="Arial" w:hAnsi="Arial" w:cs="Arial"/>
          <w:i/>
          <w:iCs/>
          <w:color w:val="222222"/>
          <w:sz w:val="24"/>
          <w:szCs w:val="24"/>
        </w:rPr>
        <w:t>The Lancet</w:t>
      </w:r>
      <w:r w:rsidRPr="00FA3F9C">
        <w:rPr>
          <w:rFonts w:ascii="Arial" w:hAnsi="Arial" w:cs="Arial"/>
          <w:color w:val="222222"/>
          <w:sz w:val="24"/>
          <w:szCs w:val="24"/>
        </w:rPr>
        <w:t xml:space="preserve"> 383.9916 (2014): 533-540.</w:t>
      </w:r>
    </w:p>
    <w:p w14:paraId="64906F69" w14:textId="77777777" w:rsidR="009B5AA5" w:rsidRPr="00FA3F9C" w:rsidRDefault="00500371" w:rsidP="002A22E4">
      <w:pPr>
        <w:spacing w:after="0"/>
        <w:rPr>
          <w:rFonts w:ascii="Arial" w:hAnsi="Arial" w:cs="Arial"/>
          <w:sz w:val="24"/>
          <w:szCs w:val="24"/>
        </w:rPr>
      </w:pPr>
      <w:hyperlink r:id="rId346" w:history="1">
        <w:r w:rsidR="009B5AA5" w:rsidRPr="00FA3F9C">
          <w:rPr>
            <w:rFonts w:ascii="Arial" w:hAnsi="Arial" w:cs="Arial"/>
            <w:sz w:val="24"/>
            <w:szCs w:val="24"/>
          </w:rPr>
          <w:t xml:space="preserve">2.  </w:t>
        </w:r>
        <w:r w:rsidR="009B5AA5" w:rsidRPr="00FA3F9C">
          <w:rPr>
            <w:rStyle w:val="Hyperlink"/>
            <w:rFonts w:ascii="Arial" w:hAnsi="Arial" w:cs="Arial"/>
            <w:sz w:val="24"/>
            <w:szCs w:val="24"/>
          </w:rPr>
          <w:t>http://www.fda.gov/downloads/AdvisoryCommittees/CommitteesMeetingMaterials/Drugs/PsychopharmacologicDrugsAdvisoryCommittee/UCM492452.pdf</w:t>
        </w:r>
      </w:hyperlink>
    </w:p>
    <w:p w14:paraId="140F0C34" w14:textId="77777777" w:rsidR="009B5AA5" w:rsidRPr="00FA3F9C" w:rsidRDefault="009B5AA5" w:rsidP="006F623F">
      <w:pPr>
        <w:spacing w:after="0"/>
        <w:rPr>
          <w:rFonts w:ascii="Arial" w:hAnsi="Arial" w:cs="Arial"/>
          <w:sz w:val="24"/>
          <w:szCs w:val="24"/>
        </w:rPr>
      </w:pPr>
      <w:r w:rsidRPr="00FA3F9C">
        <w:rPr>
          <w:rFonts w:ascii="Arial" w:hAnsi="Arial" w:cs="Arial"/>
          <w:sz w:val="24"/>
          <w:szCs w:val="24"/>
        </w:rPr>
        <w:t xml:space="preserve">3.Nuplazid PI.  Accessed 4/13/21.  </w:t>
      </w:r>
    </w:p>
    <w:p w14:paraId="2053E070" w14:textId="77777777" w:rsidR="009B5AA5" w:rsidRPr="00FA3F9C" w:rsidRDefault="009B5AA5" w:rsidP="006F623F">
      <w:pPr>
        <w:spacing w:after="0"/>
        <w:rPr>
          <w:rFonts w:ascii="Arial" w:hAnsi="Arial" w:cs="Arial"/>
          <w:sz w:val="24"/>
          <w:szCs w:val="24"/>
        </w:rPr>
      </w:pPr>
    </w:p>
    <w:p w14:paraId="4CD5EF58" w14:textId="77777777" w:rsidR="009B5AA5" w:rsidRPr="00FA3F9C" w:rsidRDefault="009B5AA5"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017"/>
        <w:gridCol w:w="9180"/>
        <w:gridCol w:w="1590"/>
      </w:tblGrid>
      <w:tr w:rsidR="009B5AA5" w:rsidRPr="00FA3F9C" w14:paraId="11995174" w14:textId="77777777" w:rsidTr="002773B5">
        <w:tc>
          <w:tcPr>
            <w:tcW w:w="738" w:type="dxa"/>
          </w:tcPr>
          <w:p w14:paraId="464BE7D2" w14:textId="77777777" w:rsidR="009B5AA5" w:rsidRPr="00FA3F9C" w:rsidRDefault="009B5AA5" w:rsidP="006F623F">
            <w:pPr>
              <w:rPr>
                <w:rFonts w:ascii="Arial" w:hAnsi="Arial" w:cs="Arial"/>
                <w:sz w:val="24"/>
                <w:szCs w:val="24"/>
              </w:rPr>
            </w:pPr>
            <w:r w:rsidRPr="00FA3F9C">
              <w:rPr>
                <w:rFonts w:ascii="Arial" w:hAnsi="Arial" w:cs="Arial"/>
                <w:sz w:val="24"/>
                <w:szCs w:val="24"/>
              </w:rPr>
              <w:t>Date</w:t>
            </w:r>
          </w:p>
        </w:tc>
        <w:tc>
          <w:tcPr>
            <w:tcW w:w="9180" w:type="dxa"/>
          </w:tcPr>
          <w:p w14:paraId="69094FDC" w14:textId="77777777" w:rsidR="009B5AA5" w:rsidRPr="00FA3F9C" w:rsidRDefault="009B5AA5" w:rsidP="006F623F">
            <w:pPr>
              <w:rPr>
                <w:rFonts w:ascii="Arial" w:hAnsi="Arial" w:cs="Arial"/>
                <w:sz w:val="24"/>
                <w:szCs w:val="24"/>
              </w:rPr>
            </w:pPr>
            <w:r w:rsidRPr="00FA3F9C">
              <w:rPr>
                <w:rFonts w:ascii="Arial" w:hAnsi="Arial" w:cs="Arial"/>
                <w:sz w:val="24"/>
                <w:szCs w:val="24"/>
              </w:rPr>
              <w:t>What changed</w:t>
            </w:r>
          </w:p>
        </w:tc>
        <w:tc>
          <w:tcPr>
            <w:tcW w:w="1098" w:type="dxa"/>
          </w:tcPr>
          <w:p w14:paraId="25498C55" w14:textId="77777777" w:rsidR="009B5AA5" w:rsidRPr="00FA3F9C" w:rsidRDefault="009B5AA5" w:rsidP="006F623F">
            <w:pPr>
              <w:rPr>
                <w:rFonts w:ascii="Arial" w:hAnsi="Arial" w:cs="Arial"/>
                <w:sz w:val="24"/>
                <w:szCs w:val="24"/>
              </w:rPr>
            </w:pPr>
            <w:r w:rsidRPr="00FA3F9C">
              <w:rPr>
                <w:rFonts w:ascii="Arial" w:hAnsi="Arial" w:cs="Arial"/>
                <w:sz w:val="24"/>
                <w:szCs w:val="24"/>
              </w:rPr>
              <w:t>Pharmacist’s initials</w:t>
            </w:r>
          </w:p>
        </w:tc>
      </w:tr>
      <w:tr w:rsidR="009B5AA5" w:rsidRPr="00FA3F9C" w14:paraId="785E3EE3" w14:textId="77777777" w:rsidTr="002773B5">
        <w:tc>
          <w:tcPr>
            <w:tcW w:w="738" w:type="dxa"/>
          </w:tcPr>
          <w:p w14:paraId="41D687F0" w14:textId="77777777" w:rsidR="009B5AA5" w:rsidRPr="00FA3F9C" w:rsidRDefault="009B5AA5" w:rsidP="006F623F">
            <w:pPr>
              <w:rPr>
                <w:rFonts w:ascii="Arial" w:hAnsi="Arial" w:cs="Arial"/>
                <w:sz w:val="24"/>
                <w:szCs w:val="24"/>
              </w:rPr>
            </w:pPr>
            <w:r w:rsidRPr="00FA3F9C">
              <w:rPr>
                <w:rFonts w:ascii="Arial" w:hAnsi="Arial" w:cs="Arial"/>
                <w:sz w:val="24"/>
                <w:szCs w:val="24"/>
              </w:rPr>
              <w:t>9/6/16</w:t>
            </w:r>
          </w:p>
        </w:tc>
        <w:tc>
          <w:tcPr>
            <w:tcW w:w="9180" w:type="dxa"/>
          </w:tcPr>
          <w:p w14:paraId="5E29CFE3" w14:textId="77777777" w:rsidR="009B5AA5" w:rsidRPr="00FA3F9C" w:rsidRDefault="009B5AA5" w:rsidP="00122E44">
            <w:pPr>
              <w:widowControl w:val="0"/>
              <w:autoSpaceDE w:val="0"/>
              <w:autoSpaceDN w:val="0"/>
              <w:adjustRightInd w:val="0"/>
              <w:rPr>
                <w:rFonts w:ascii="Arial" w:hAnsi="Arial" w:cs="Arial"/>
                <w:sz w:val="24"/>
                <w:szCs w:val="24"/>
              </w:rPr>
            </w:pPr>
            <w:r w:rsidRPr="00FA3F9C">
              <w:rPr>
                <w:rFonts w:ascii="Arial" w:hAnsi="Arial" w:cs="Arial"/>
                <w:sz w:val="24"/>
                <w:szCs w:val="24"/>
              </w:rPr>
              <w:t xml:space="preserve">I wrote the criteria.  ((NOTE:  EBRx voted to cover it because although a 3pt difference does not meet the MCID according to the FDA document, when you use a loftier response of 7pts, the difference between groups is still a 20% absolute difference.)) By comparison with other antipsychotics, </w:t>
            </w:r>
            <w:proofErr w:type="spellStart"/>
            <w:r w:rsidRPr="00FA3F9C">
              <w:rPr>
                <w:rFonts w:ascii="Arial" w:hAnsi="Arial" w:cs="Arial"/>
                <w:sz w:val="24"/>
                <w:szCs w:val="24"/>
              </w:rPr>
              <w:t>pimavanserin’s</w:t>
            </w:r>
            <w:proofErr w:type="spellEnd"/>
            <w:r w:rsidRPr="00FA3F9C">
              <w:rPr>
                <w:rFonts w:ascii="Arial" w:hAnsi="Arial" w:cs="Arial"/>
                <w:sz w:val="24"/>
                <w:szCs w:val="24"/>
              </w:rPr>
              <w:t xml:space="preserve"> treatment effects were not associated with exacerbation of motor disability, sedation, or other safety challenges.</w:t>
            </w:r>
          </w:p>
          <w:p w14:paraId="05191F2B" w14:textId="77777777" w:rsidR="009B5AA5" w:rsidRPr="00FA3F9C" w:rsidRDefault="009B5AA5" w:rsidP="002773B5">
            <w:pPr>
              <w:widowControl w:val="0"/>
              <w:autoSpaceDE w:val="0"/>
              <w:autoSpaceDN w:val="0"/>
              <w:adjustRightInd w:val="0"/>
              <w:rPr>
                <w:rFonts w:ascii="Arial" w:hAnsi="Arial" w:cs="Arial"/>
                <w:sz w:val="24"/>
                <w:szCs w:val="24"/>
              </w:rPr>
            </w:pPr>
            <w:proofErr w:type="spellStart"/>
            <w:r w:rsidRPr="00FA3F9C">
              <w:rPr>
                <w:rFonts w:ascii="Arial" w:hAnsi="Arial" w:cs="Arial"/>
                <w:sz w:val="24"/>
                <w:szCs w:val="24"/>
              </w:rPr>
              <w:t>Pimavanserin</w:t>
            </w:r>
            <w:proofErr w:type="spellEnd"/>
            <w:r w:rsidRPr="00FA3F9C">
              <w:rPr>
                <w:rFonts w:ascii="Arial" w:hAnsi="Arial" w:cs="Arial"/>
                <w:sz w:val="24"/>
                <w:szCs w:val="24"/>
              </w:rPr>
              <w:t xml:space="preserve"> (ACADIA Pharmaceuticals, San Diego, CA, USA) is a selective serotonin 5-HT2A inverse agonist without dopaminergic, adrenergic, histaminergic, or muscarinic affinity, and is in development as a treatment for Parkinson’s disease psychosis.12 In Parkinson’s disease, the binding of 5-HT2A receptors is increased in the neocortex, and visual hallucinations are associated with increased numbers of 5-HT2A receptors in visual processing areas.13 Post-mortem and genetic studies also suggest that in Parkinson’s disease dementia, dementia with Lewy bodies, and Alzheimer’s disease, delusions and hallucinations are linked to alterations in the 5-HT system.14,15 Polymorphisms of 5-HT2A, 5-HT2C, and the 5-HT transporter are linked to psychosis, and possibly with treatment response to atypical antipsychotics in Alzheimer’s disease.16–18 Atypical antipsychotics target the 5-HT2A pathway but at varying levels and also affect other receptor families. With its receptor selectivity, </w:t>
            </w:r>
            <w:proofErr w:type="spellStart"/>
            <w:r w:rsidRPr="00FA3F9C">
              <w:rPr>
                <w:rFonts w:ascii="Arial" w:hAnsi="Arial" w:cs="Arial"/>
                <w:sz w:val="24"/>
                <w:szCs w:val="24"/>
              </w:rPr>
              <w:t>pimavanserin</w:t>
            </w:r>
            <w:proofErr w:type="spellEnd"/>
            <w:r w:rsidRPr="00FA3F9C">
              <w:rPr>
                <w:rFonts w:ascii="Arial" w:hAnsi="Arial" w:cs="Arial"/>
                <w:sz w:val="24"/>
                <w:szCs w:val="24"/>
              </w:rPr>
              <w:t xml:space="preserve"> has been developed to provide antipsychotic benefit without the adverse effects of current antipsychotics.</w:t>
            </w:r>
          </w:p>
        </w:tc>
        <w:tc>
          <w:tcPr>
            <w:tcW w:w="1098" w:type="dxa"/>
          </w:tcPr>
          <w:p w14:paraId="2FCD7715" w14:textId="77777777" w:rsidR="009B5AA5" w:rsidRPr="00FA3F9C" w:rsidRDefault="009B5AA5" w:rsidP="006F623F">
            <w:pPr>
              <w:rPr>
                <w:rFonts w:ascii="Arial" w:hAnsi="Arial" w:cs="Arial"/>
                <w:sz w:val="24"/>
                <w:szCs w:val="24"/>
              </w:rPr>
            </w:pPr>
            <w:r w:rsidRPr="00FA3F9C">
              <w:rPr>
                <w:rFonts w:ascii="Arial" w:hAnsi="Arial" w:cs="Arial"/>
                <w:sz w:val="24"/>
                <w:szCs w:val="24"/>
              </w:rPr>
              <w:t>JJ</w:t>
            </w:r>
          </w:p>
        </w:tc>
      </w:tr>
      <w:tr w:rsidR="009B5AA5" w:rsidRPr="00FA3F9C" w14:paraId="0AB7EE3F" w14:textId="77777777" w:rsidTr="002773B5">
        <w:tc>
          <w:tcPr>
            <w:tcW w:w="738" w:type="dxa"/>
          </w:tcPr>
          <w:p w14:paraId="529F77A2" w14:textId="77777777" w:rsidR="009B5AA5" w:rsidRPr="00FA3F9C" w:rsidRDefault="009B5AA5" w:rsidP="006F623F">
            <w:pPr>
              <w:rPr>
                <w:rFonts w:ascii="Arial" w:hAnsi="Arial" w:cs="Arial"/>
                <w:sz w:val="24"/>
                <w:szCs w:val="24"/>
              </w:rPr>
            </w:pPr>
            <w:r w:rsidRPr="00FA3F9C">
              <w:rPr>
                <w:rFonts w:ascii="Arial" w:hAnsi="Arial" w:cs="Arial"/>
                <w:sz w:val="24"/>
                <w:szCs w:val="24"/>
              </w:rPr>
              <w:t>4/13/21</w:t>
            </w:r>
          </w:p>
        </w:tc>
        <w:tc>
          <w:tcPr>
            <w:tcW w:w="9180" w:type="dxa"/>
          </w:tcPr>
          <w:p w14:paraId="4ABD74B7" w14:textId="77777777" w:rsidR="009B5AA5" w:rsidRPr="00FA3F9C" w:rsidRDefault="009B5AA5" w:rsidP="006F623F">
            <w:pPr>
              <w:rPr>
                <w:rFonts w:ascii="Arial" w:hAnsi="Arial" w:cs="Arial"/>
                <w:sz w:val="24"/>
                <w:szCs w:val="24"/>
              </w:rPr>
            </w:pPr>
            <w:r w:rsidRPr="00FA3F9C">
              <w:rPr>
                <w:rFonts w:ascii="Arial" w:hAnsi="Arial" w:cs="Arial"/>
                <w:sz w:val="24"/>
                <w:szCs w:val="24"/>
              </w:rPr>
              <w:t xml:space="preserve">PI states over 10 weeks, the rate of death in </w:t>
            </w:r>
            <w:proofErr w:type="spellStart"/>
            <w:r w:rsidRPr="00FA3F9C">
              <w:rPr>
                <w:rFonts w:ascii="Arial" w:hAnsi="Arial" w:cs="Arial"/>
                <w:sz w:val="24"/>
                <w:szCs w:val="24"/>
              </w:rPr>
              <w:t>pimavanserin</w:t>
            </w:r>
            <w:proofErr w:type="spellEnd"/>
            <w:r w:rsidRPr="00FA3F9C">
              <w:rPr>
                <w:rFonts w:ascii="Arial" w:hAnsi="Arial" w:cs="Arial"/>
                <w:sz w:val="24"/>
                <w:szCs w:val="24"/>
              </w:rPr>
              <w:t xml:space="preserve">-treated patients was 4.5%, compared to 2.6% in placebo-treated patients.  Risk of death is 1.6-1.7-times that in placebo treated </w:t>
            </w:r>
            <w:proofErr w:type="spellStart"/>
            <w:r w:rsidRPr="00FA3F9C">
              <w:rPr>
                <w:rFonts w:ascii="Arial" w:hAnsi="Arial" w:cs="Arial"/>
                <w:sz w:val="24"/>
                <w:szCs w:val="24"/>
              </w:rPr>
              <w:t>paitents</w:t>
            </w:r>
            <w:proofErr w:type="spellEnd"/>
            <w:r w:rsidRPr="00FA3F9C">
              <w:rPr>
                <w:rFonts w:ascii="Arial" w:hAnsi="Arial" w:cs="Arial"/>
                <w:sz w:val="24"/>
                <w:szCs w:val="24"/>
              </w:rPr>
              <w:t>. Deaths appeared to be either cardiovascular (e.g., heart failure, sudden death) or infectious (pneumonia) in nature.</w:t>
            </w:r>
          </w:p>
          <w:p w14:paraId="61337BC7" w14:textId="77777777" w:rsidR="009B5AA5" w:rsidRPr="00FA3F9C" w:rsidRDefault="009B5AA5" w:rsidP="006F623F">
            <w:pPr>
              <w:rPr>
                <w:rFonts w:ascii="Arial" w:hAnsi="Arial" w:cs="Arial"/>
                <w:sz w:val="24"/>
                <w:szCs w:val="24"/>
              </w:rPr>
            </w:pPr>
          </w:p>
          <w:p w14:paraId="0F205F55" w14:textId="77777777" w:rsidR="009B5AA5" w:rsidRPr="00FA3F9C" w:rsidRDefault="009B5AA5" w:rsidP="006F623F">
            <w:pPr>
              <w:rPr>
                <w:rFonts w:ascii="Arial" w:hAnsi="Arial" w:cs="Arial"/>
                <w:sz w:val="24"/>
                <w:szCs w:val="24"/>
              </w:rPr>
            </w:pPr>
            <w:r w:rsidRPr="00FA3F9C">
              <w:rPr>
                <w:rFonts w:ascii="Arial" w:hAnsi="Arial" w:cs="Arial"/>
                <w:sz w:val="24"/>
                <w:szCs w:val="24"/>
              </w:rPr>
              <w:t>I added criteria to avoid concurrent prolonged QT drugs.</w:t>
            </w:r>
          </w:p>
          <w:p w14:paraId="67F5F1C7" w14:textId="77777777" w:rsidR="009B5AA5" w:rsidRPr="00FA3F9C" w:rsidRDefault="009B5AA5" w:rsidP="006F623F">
            <w:pPr>
              <w:rPr>
                <w:rFonts w:ascii="Arial" w:hAnsi="Arial" w:cs="Arial"/>
                <w:sz w:val="24"/>
                <w:szCs w:val="24"/>
              </w:rPr>
            </w:pPr>
          </w:p>
          <w:p w14:paraId="61495E72" w14:textId="66E6AC34" w:rsidR="009B5AA5" w:rsidRPr="00FA3F9C" w:rsidRDefault="009B5AA5" w:rsidP="00FE5217">
            <w:pPr>
              <w:rPr>
                <w:rFonts w:ascii="Arial" w:hAnsi="Arial" w:cs="Arial"/>
                <w:sz w:val="24"/>
                <w:szCs w:val="24"/>
              </w:rPr>
            </w:pPr>
            <w:r w:rsidRPr="00FA3F9C">
              <w:rPr>
                <w:rFonts w:ascii="Arial" w:hAnsi="Arial" w:cs="Arial"/>
                <w:sz w:val="24"/>
                <w:szCs w:val="24"/>
              </w:rPr>
              <w:t xml:space="preserve">After further reading, EBRx excluded this drug in 2018 due to marginal and questionable benefit as well as safety concerns. Since that time, no further trials </w:t>
            </w:r>
            <w:r w:rsidRPr="00FA3F9C">
              <w:rPr>
                <w:rFonts w:ascii="Arial" w:hAnsi="Arial" w:cs="Arial"/>
                <w:sz w:val="24"/>
                <w:szCs w:val="24"/>
              </w:rPr>
              <w:lastRenderedPageBreak/>
              <w:t>supporting its use were published.  ISMP in 2017 identified 244 deaths reported as adverse event over 12 months.</w:t>
            </w:r>
            <w:r w:rsidRPr="00FA3F9C">
              <w:rPr>
                <w:rFonts w:ascii="Arial" w:hAnsi="Arial" w:cs="Arial"/>
                <w:color w:val="222222"/>
                <w:sz w:val="24"/>
                <w:szCs w:val="24"/>
                <w:shd w:val="clear" w:color="auto" w:fill="FFFFFF"/>
              </w:rPr>
              <w:t xml:space="preserve"> </w:t>
            </w:r>
            <w:proofErr w:type="spellStart"/>
            <w:r w:rsidRPr="00FA3F9C">
              <w:rPr>
                <w:rFonts w:ascii="Arial" w:hAnsi="Arial" w:cs="Arial"/>
                <w:color w:val="222222"/>
                <w:sz w:val="24"/>
                <w:szCs w:val="24"/>
                <w:shd w:val="clear" w:color="auto" w:fill="FFFFFF"/>
              </w:rPr>
              <w:t>Schubmehl</w:t>
            </w:r>
            <w:proofErr w:type="spellEnd"/>
            <w:r w:rsidRPr="00FA3F9C">
              <w:rPr>
                <w:rFonts w:ascii="Arial" w:hAnsi="Arial" w:cs="Arial"/>
                <w:color w:val="222222"/>
                <w:sz w:val="24"/>
                <w:szCs w:val="24"/>
                <w:shd w:val="clear" w:color="auto" w:fill="FFFFFF"/>
              </w:rPr>
              <w:t xml:space="preserve">, Sarah, and Joleen Sussman. "Perspective on </w:t>
            </w:r>
            <w:proofErr w:type="spellStart"/>
            <w:r w:rsidRPr="00FA3F9C">
              <w:rPr>
                <w:rFonts w:ascii="Arial" w:hAnsi="Arial" w:cs="Arial"/>
                <w:color w:val="222222"/>
                <w:sz w:val="24"/>
                <w:szCs w:val="24"/>
                <w:shd w:val="clear" w:color="auto" w:fill="FFFFFF"/>
              </w:rPr>
              <w:t>pimavanserin</w:t>
            </w:r>
            <w:proofErr w:type="spellEnd"/>
            <w:r w:rsidRPr="00FA3F9C">
              <w:rPr>
                <w:rFonts w:ascii="Arial" w:hAnsi="Arial" w:cs="Arial"/>
                <w:color w:val="222222"/>
                <w:sz w:val="24"/>
                <w:szCs w:val="24"/>
                <w:shd w:val="clear" w:color="auto" w:fill="FFFFFF"/>
              </w:rPr>
              <w:t xml:space="preserve"> and the SAPS-PD: novel scale development as a means to FDA approval." </w:t>
            </w:r>
            <w:r w:rsidRPr="00FA3F9C">
              <w:rPr>
                <w:rFonts w:ascii="Arial" w:hAnsi="Arial" w:cs="Arial"/>
                <w:i/>
                <w:iCs/>
                <w:color w:val="222222"/>
                <w:sz w:val="24"/>
                <w:szCs w:val="24"/>
                <w:shd w:val="clear" w:color="auto" w:fill="FFFFFF"/>
              </w:rPr>
              <w:t xml:space="preserve">The American Journal of </w:t>
            </w:r>
            <w:proofErr w:type="spellStart"/>
            <w:r w:rsidR="00B700AB" w:rsidRPr="00FA3F9C">
              <w:rPr>
                <w:rFonts w:ascii="Arial" w:hAnsi="Arial" w:cs="Arial"/>
                <w:i/>
                <w:iCs/>
                <w:color w:val="222222"/>
                <w:sz w:val="24"/>
                <w:szCs w:val="24"/>
                <w:shd w:val="clear" w:color="auto" w:fill="FFFFFF"/>
              </w:rPr>
              <w:t>GBB</w:t>
            </w:r>
            <w:r w:rsidRPr="00FA3F9C">
              <w:rPr>
                <w:rFonts w:ascii="Arial" w:hAnsi="Arial" w:cs="Arial"/>
                <w:i/>
                <w:iCs/>
                <w:color w:val="222222"/>
                <w:sz w:val="24"/>
                <w:szCs w:val="24"/>
                <w:shd w:val="clear" w:color="auto" w:fill="FFFFFF"/>
              </w:rPr>
              <w:t>atric</w:t>
            </w:r>
            <w:proofErr w:type="spellEnd"/>
            <w:r w:rsidRPr="00FA3F9C">
              <w:rPr>
                <w:rFonts w:ascii="Arial" w:hAnsi="Arial" w:cs="Arial"/>
                <w:i/>
                <w:iCs/>
                <w:color w:val="222222"/>
                <w:sz w:val="24"/>
                <w:szCs w:val="24"/>
                <w:shd w:val="clear" w:color="auto" w:fill="FFFFFF"/>
              </w:rPr>
              <w:t xml:space="preserve"> Psychiatry</w:t>
            </w:r>
            <w:r w:rsidRPr="00FA3F9C">
              <w:rPr>
                <w:rFonts w:ascii="Arial" w:hAnsi="Arial" w:cs="Arial"/>
                <w:color w:val="222222"/>
                <w:sz w:val="24"/>
                <w:szCs w:val="24"/>
                <w:shd w:val="clear" w:color="auto" w:fill="FFFFFF"/>
              </w:rPr>
              <w:t> 26.10 (2018): 1007-1011.</w:t>
            </w:r>
          </w:p>
          <w:p w14:paraId="56B91E9E" w14:textId="77777777" w:rsidR="009B5AA5" w:rsidRPr="00FA3F9C" w:rsidRDefault="009B5AA5" w:rsidP="006F623F">
            <w:pPr>
              <w:rPr>
                <w:rFonts w:ascii="Arial" w:hAnsi="Arial" w:cs="Arial"/>
                <w:sz w:val="24"/>
                <w:szCs w:val="24"/>
              </w:rPr>
            </w:pPr>
          </w:p>
        </w:tc>
        <w:tc>
          <w:tcPr>
            <w:tcW w:w="1098" w:type="dxa"/>
          </w:tcPr>
          <w:p w14:paraId="16D8801F" w14:textId="77777777" w:rsidR="009B5AA5" w:rsidRPr="00FA3F9C" w:rsidRDefault="009B5AA5" w:rsidP="006F623F">
            <w:pPr>
              <w:rPr>
                <w:rFonts w:ascii="Arial" w:hAnsi="Arial" w:cs="Arial"/>
                <w:sz w:val="24"/>
                <w:szCs w:val="24"/>
              </w:rPr>
            </w:pPr>
            <w:r w:rsidRPr="00FA3F9C">
              <w:rPr>
                <w:rFonts w:ascii="Arial" w:hAnsi="Arial" w:cs="Arial"/>
                <w:sz w:val="24"/>
                <w:szCs w:val="24"/>
              </w:rPr>
              <w:lastRenderedPageBreak/>
              <w:t>JJ</w:t>
            </w:r>
          </w:p>
        </w:tc>
      </w:tr>
    </w:tbl>
    <w:p w14:paraId="4D3B9737" w14:textId="77777777" w:rsidR="009B5AA5" w:rsidRPr="00FA3F9C" w:rsidRDefault="009B5AA5" w:rsidP="006F623F">
      <w:pPr>
        <w:spacing w:after="0"/>
        <w:rPr>
          <w:rFonts w:ascii="Arial" w:hAnsi="Arial" w:cs="Arial"/>
          <w:sz w:val="24"/>
          <w:szCs w:val="24"/>
        </w:rPr>
      </w:pPr>
    </w:p>
    <w:p w14:paraId="3003DE01" w14:textId="77777777" w:rsidR="009B5AA5" w:rsidRPr="00FA3F9C" w:rsidRDefault="009B5AA5" w:rsidP="002B2097">
      <w:pPr>
        <w:pStyle w:val="Heading2"/>
      </w:pPr>
      <w:bookmarkStart w:id="274" w:name="_Toc106369899"/>
      <w:r w:rsidRPr="00FA3F9C">
        <w:t>Pirfenidone (Esbriet)</w:t>
      </w:r>
      <w:bookmarkEnd w:id="274"/>
    </w:p>
    <w:p w14:paraId="1F68A801" w14:textId="77777777" w:rsidR="009B5AA5" w:rsidRPr="00FA3F9C" w:rsidRDefault="009B5AA5" w:rsidP="006F623F">
      <w:pPr>
        <w:spacing w:after="0"/>
        <w:jc w:val="center"/>
        <w:rPr>
          <w:rFonts w:ascii="Arial" w:hAnsi="Arial" w:cs="Arial"/>
          <w:sz w:val="24"/>
          <w:szCs w:val="24"/>
        </w:rPr>
      </w:pPr>
      <w:r w:rsidRPr="00FA3F9C">
        <w:rPr>
          <w:rFonts w:ascii="Arial" w:hAnsi="Arial" w:cs="Arial"/>
          <w:sz w:val="24"/>
          <w:szCs w:val="24"/>
        </w:rPr>
        <w:t>267mg oral capsules</w:t>
      </w:r>
    </w:p>
    <w:p w14:paraId="0D01E776" w14:textId="77777777" w:rsidR="009B5AA5" w:rsidRPr="00FA3F9C" w:rsidRDefault="009B5AA5" w:rsidP="006F623F">
      <w:pPr>
        <w:spacing w:after="0"/>
        <w:jc w:val="center"/>
        <w:rPr>
          <w:rFonts w:ascii="Arial" w:hAnsi="Arial" w:cs="Arial"/>
          <w:sz w:val="24"/>
          <w:szCs w:val="24"/>
        </w:rPr>
      </w:pPr>
    </w:p>
    <w:p w14:paraId="1D195D15" w14:textId="77777777" w:rsidR="009B5AA5" w:rsidRPr="00FA3F9C" w:rsidRDefault="009B5AA5" w:rsidP="006F623F">
      <w:pPr>
        <w:spacing w:after="0"/>
        <w:rPr>
          <w:rFonts w:ascii="Arial" w:hAnsi="Arial" w:cs="Arial"/>
          <w:b/>
          <w:sz w:val="24"/>
          <w:szCs w:val="24"/>
          <w:u w:val="single"/>
        </w:rPr>
      </w:pPr>
      <w:r w:rsidRPr="00FA3F9C">
        <w:rPr>
          <w:rFonts w:ascii="Arial" w:hAnsi="Arial" w:cs="Arial"/>
          <w:b/>
          <w:sz w:val="24"/>
          <w:szCs w:val="24"/>
          <w:u w:val="single"/>
        </w:rPr>
        <w:t>Pirfenidone (Esbriet) is FDA-approved for: the treatment of idiopathic pulmonary fibrosis.</w:t>
      </w:r>
    </w:p>
    <w:tbl>
      <w:tblPr>
        <w:tblStyle w:val="TableGrid"/>
        <w:tblW w:w="0" w:type="auto"/>
        <w:tblLook w:val="04A0" w:firstRow="1" w:lastRow="0" w:firstColumn="1" w:lastColumn="0" w:noHBand="0" w:noVBand="1"/>
      </w:tblPr>
      <w:tblGrid>
        <w:gridCol w:w="10790"/>
      </w:tblGrid>
      <w:tr w:rsidR="009B5AA5" w:rsidRPr="00FA3F9C" w14:paraId="3F371C02" w14:textId="77777777" w:rsidTr="004649BD">
        <w:tc>
          <w:tcPr>
            <w:tcW w:w="10790" w:type="dxa"/>
          </w:tcPr>
          <w:p w14:paraId="71149F7B" w14:textId="77777777" w:rsidR="009B5AA5" w:rsidRPr="00FA3F9C" w:rsidRDefault="009B5AA5" w:rsidP="00D85B25">
            <w:pPr>
              <w:jc w:val="center"/>
              <w:rPr>
                <w:rFonts w:ascii="Arial" w:hAnsi="Arial" w:cs="Arial"/>
                <w:b/>
                <w:sz w:val="24"/>
                <w:szCs w:val="24"/>
                <w:u w:val="single"/>
              </w:rPr>
            </w:pPr>
            <w:r w:rsidRPr="00FA3F9C">
              <w:rPr>
                <w:rFonts w:ascii="Arial" w:hAnsi="Arial" w:cs="Arial"/>
                <w:b/>
                <w:sz w:val="24"/>
                <w:szCs w:val="24"/>
                <w:u w:val="single"/>
              </w:rPr>
              <w:t xml:space="preserve">Criteria for </w:t>
            </w:r>
            <w:r w:rsidRPr="00FA3F9C">
              <w:rPr>
                <w:rFonts w:ascii="Arial" w:hAnsi="Arial" w:cs="Arial"/>
                <w:b/>
                <w:sz w:val="24"/>
                <w:szCs w:val="24"/>
                <w:highlight w:val="yellow"/>
                <w:u w:val="single"/>
              </w:rPr>
              <w:t>STARTING</w:t>
            </w:r>
            <w:r w:rsidRPr="00FA3F9C">
              <w:rPr>
                <w:rFonts w:ascii="Arial" w:hAnsi="Arial" w:cs="Arial"/>
                <w:b/>
                <w:sz w:val="24"/>
                <w:szCs w:val="24"/>
                <w:u w:val="single"/>
              </w:rPr>
              <w:t xml:space="preserve"> therapy</w:t>
            </w:r>
          </w:p>
        </w:tc>
      </w:tr>
      <w:tr w:rsidR="009B5AA5" w:rsidRPr="00FA3F9C" w14:paraId="170E66E7" w14:textId="77777777" w:rsidTr="004649BD">
        <w:tc>
          <w:tcPr>
            <w:tcW w:w="10790" w:type="dxa"/>
          </w:tcPr>
          <w:p w14:paraId="403A48FA" w14:textId="77777777" w:rsidR="009B5AA5" w:rsidRPr="00FA3F9C" w:rsidRDefault="009B5AA5" w:rsidP="008028BF">
            <w:pPr>
              <w:rPr>
                <w:rFonts w:ascii="Arial" w:hAnsi="Arial" w:cs="Arial"/>
                <w:sz w:val="24"/>
                <w:szCs w:val="24"/>
              </w:rPr>
            </w:pPr>
            <w:r w:rsidRPr="00FA3F9C">
              <w:rPr>
                <w:rFonts w:ascii="Arial" w:hAnsi="Arial" w:cs="Arial"/>
                <w:sz w:val="24"/>
                <w:szCs w:val="24"/>
              </w:rPr>
              <w:t xml:space="preserve">1.  The patient must have the diagnosis of idiopathic pulmonary fibrosis by high resolution CT (or lung biopsy indicating interstitial pneumonia) </w:t>
            </w:r>
          </w:p>
        </w:tc>
      </w:tr>
      <w:tr w:rsidR="009B5AA5" w:rsidRPr="00FA3F9C" w14:paraId="5B2D067A" w14:textId="77777777" w:rsidTr="004649BD">
        <w:tc>
          <w:tcPr>
            <w:tcW w:w="10790" w:type="dxa"/>
          </w:tcPr>
          <w:p w14:paraId="1E8E7BB8" w14:textId="77777777" w:rsidR="009B5AA5" w:rsidRPr="00FA3F9C" w:rsidRDefault="009B5AA5" w:rsidP="006F623F">
            <w:pPr>
              <w:rPr>
                <w:rFonts w:ascii="Arial" w:hAnsi="Arial" w:cs="Arial"/>
                <w:sz w:val="24"/>
                <w:szCs w:val="24"/>
              </w:rPr>
            </w:pPr>
            <w:r w:rsidRPr="00FA3F9C">
              <w:rPr>
                <w:rFonts w:ascii="Arial" w:hAnsi="Arial" w:cs="Arial"/>
                <w:sz w:val="24"/>
                <w:szCs w:val="24"/>
              </w:rPr>
              <w:t>2.  The patient must have a predicted forced vital capacity (FVC) of 50-90%.</w:t>
            </w:r>
          </w:p>
        </w:tc>
      </w:tr>
      <w:tr w:rsidR="009B5AA5" w:rsidRPr="00FA3F9C" w14:paraId="64696D37" w14:textId="77777777" w:rsidTr="004649BD">
        <w:tc>
          <w:tcPr>
            <w:tcW w:w="10790" w:type="dxa"/>
          </w:tcPr>
          <w:p w14:paraId="695E5ED8" w14:textId="77777777" w:rsidR="009B5AA5" w:rsidRPr="00FA3F9C" w:rsidRDefault="009B5AA5" w:rsidP="006F623F">
            <w:pPr>
              <w:rPr>
                <w:rFonts w:ascii="Arial" w:hAnsi="Arial" w:cs="Arial"/>
                <w:sz w:val="24"/>
                <w:szCs w:val="24"/>
              </w:rPr>
            </w:pPr>
            <w:r w:rsidRPr="00FA3F9C">
              <w:rPr>
                <w:rFonts w:ascii="Arial" w:hAnsi="Arial" w:cs="Arial"/>
                <w:sz w:val="24"/>
                <w:szCs w:val="24"/>
              </w:rPr>
              <w:t>3.  The patient must have a predicted carbon monoxide diffusing capacity (DLCO) of 30-90%</w:t>
            </w:r>
          </w:p>
        </w:tc>
      </w:tr>
      <w:tr w:rsidR="009B5AA5" w:rsidRPr="00FA3F9C" w14:paraId="17DD3C25" w14:textId="77777777" w:rsidTr="004649BD">
        <w:tc>
          <w:tcPr>
            <w:tcW w:w="10790" w:type="dxa"/>
          </w:tcPr>
          <w:p w14:paraId="3B8FD4A3" w14:textId="77777777" w:rsidR="009B5AA5" w:rsidRPr="00FA3F9C" w:rsidRDefault="009B5AA5" w:rsidP="00613DDC">
            <w:pPr>
              <w:rPr>
                <w:rFonts w:ascii="Arial" w:hAnsi="Arial" w:cs="Arial"/>
                <w:sz w:val="24"/>
                <w:szCs w:val="24"/>
              </w:rPr>
            </w:pPr>
            <w:r w:rsidRPr="00FA3F9C">
              <w:rPr>
                <w:rFonts w:ascii="Arial" w:hAnsi="Arial" w:cs="Arial"/>
                <w:sz w:val="24"/>
                <w:szCs w:val="24"/>
              </w:rPr>
              <w:t>4.  The patient must have a ratio of the forced expiratory volume in 1 second (FEV1) to the FVC of 0.80 or more</w:t>
            </w:r>
          </w:p>
        </w:tc>
      </w:tr>
      <w:tr w:rsidR="009B5AA5" w:rsidRPr="00FA3F9C" w14:paraId="7FB3809F" w14:textId="77777777" w:rsidTr="004649BD">
        <w:tc>
          <w:tcPr>
            <w:tcW w:w="10790" w:type="dxa"/>
          </w:tcPr>
          <w:p w14:paraId="1D59237F" w14:textId="77777777" w:rsidR="009B5AA5" w:rsidRPr="00FA3F9C" w:rsidRDefault="009B5AA5" w:rsidP="006F623F">
            <w:pPr>
              <w:rPr>
                <w:rFonts w:ascii="Arial" w:hAnsi="Arial" w:cs="Arial"/>
                <w:sz w:val="24"/>
                <w:szCs w:val="24"/>
              </w:rPr>
            </w:pPr>
            <w:r w:rsidRPr="00FA3F9C">
              <w:rPr>
                <w:rFonts w:ascii="Arial" w:hAnsi="Arial" w:cs="Arial"/>
                <w:sz w:val="24"/>
                <w:szCs w:val="24"/>
              </w:rPr>
              <w:t>5.  The patient must have a 6-minute walk distance of 150m (492 feet) or more at baseline.</w:t>
            </w:r>
          </w:p>
        </w:tc>
      </w:tr>
      <w:tr w:rsidR="009B5AA5" w:rsidRPr="00FA3F9C" w14:paraId="36E9CCC6" w14:textId="77777777" w:rsidTr="004649BD">
        <w:tc>
          <w:tcPr>
            <w:tcW w:w="10790" w:type="dxa"/>
          </w:tcPr>
          <w:p w14:paraId="245A4A86" w14:textId="77777777" w:rsidR="009B5AA5" w:rsidRPr="00FA3F9C" w:rsidRDefault="009B5AA5" w:rsidP="006F623F">
            <w:pPr>
              <w:rPr>
                <w:rFonts w:ascii="Arial" w:hAnsi="Arial" w:cs="Arial"/>
                <w:sz w:val="24"/>
                <w:szCs w:val="24"/>
              </w:rPr>
            </w:pPr>
            <w:r w:rsidRPr="00FA3F9C">
              <w:rPr>
                <w:rFonts w:ascii="Arial" w:hAnsi="Arial" w:cs="Arial"/>
                <w:sz w:val="24"/>
                <w:szCs w:val="24"/>
              </w:rPr>
              <w:t>6.  The patient is a non-smoker.</w:t>
            </w:r>
          </w:p>
        </w:tc>
      </w:tr>
      <w:tr w:rsidR="009B5AA5" w:rsidRPr="00FA3F9C" w14:paraId="34D5C7C4" w14:textId="77777777" w:rsidTr="004649BD">
        <w:tc>
          <w:tcPr>
            <w:tcW w:w="10790" w:type="dxa"/>
          </w:tcPr>
          <w:p w14:paraId="42619674" w14:textId="77777777" w:rsidR="009B5AA5" w:rsidRPr="00FA3F9C" w:rsidRDefault="009B5AA5" w:rsidP="006F623F">
            <w:pPr>
              <w:rPr>
                <w:rFonts w:ascii="Arial" w:hAnsi="Arial" w:cs="Arial"/>
                <w:sz w:val="24"/>
                <w:szCs w:val="24"/>
              </w:rPr>
            </w:pPr>
            <w:r w:rsidRPr="00FA3F9C">
              <w:rPr>
                <w:rFonts w:ascii="Arial" w:hAnsi="Arial" w:cs="Arial"/>
                <w:sz w:val="24"/>
                <w:szCs w:val="24"/>
              </w:rPr>
              <w:t>If all 5 of the above criteria are met, access may be given not to exceed the QL.  The PA is valid for 1 year.</w:t>
            </w:r>
          </w:p>
        </w:tc>
      </w:tr>
    </w:tbl>
    <w:p w14:paraId="085D8C10" w14:textId="77777777" w:rsidR="009B5AA5" w:rsidRPr="00FA3F9C" w:rsidRDefault="009B5AA5" w:rsidP="006F623F">
      <w:pPr>
        <w:spacing w:after="0"/>
        <w:rPr>
          <w:rFonts w:ascii="Arial" w:hAnsi="Arial" w:cs="Arial"/>
          <w:b/>
          <w:sz w:val="24"/>
          <w:szCs w:val="24"/>
          <w:u w:val="single"/>
        </w:rPr>
      </w:pPr>
    </w:p>
    <w:tbl>
      <w:tblPr>
        <w:tblStyle w:val="TableGrid"/>
        <w:tblW w:w="0" w:type="auto"/>
        <w:tblLook w:val="04A0" w:firstRow="1" w:lastRow="0" w:firstColumn="1" w:lastColumn="0" w:noHBand="0" w:noVBand="1"/>
      </w:tblPr>
      <w:tblGrid>
        <w:gridCol w:w="10790"/>
      </w:tblGrid>
      <w:tr w:rsidR="009B5AA5" w:rsidRPr="00FA3F9C" w14:paraId="44609AD0" w14:textId="77777777" w:rsidTr="004649BD">
        <w:tc>
          <w:tcPr>
            <w:tcW w:w="10790" w:type="dxa"/>
          </w:tcPr>
          <w:p w14:paraId="07D2FDD5" w14:textId="77777777" w:rsidR="009B5AA5" w:rsidRPr="00FA3F9C" w:rsidRDefault="009B5AA5" w:rsidP="00D85B25">
            <w:pPr>
              <w:jc w:val="center"/>
              <w:rPr>
                <w:rFonts w:ascii="Arial" w:hAnsi="Arial" w:cs="Arial"/>
                <w:b/>
                <w:sz w:val="24"/>
                <w:szCs w:val="24"/>
                <w:u w:val="single"/>
              </w:rPr>
            </w:pPr>
            <w:r w:rsidRPr="00FA3F9C">
              <w:rPr>
                <w:rFonts w:ascii="Arial" w:hAnsi="Arial" w:cs="Arial"/>
                <w:b/>
                <w:sz w:val="24"/>
                <w:szCs w:val="24"/>
                <w:u w:val="single"/>
              </w:rPr>
              <w:t xml:space="preserve">Criteria for </w:t>
            </w:r>
            <w:r w:rsidRPr="00FA3F9C">
              <w:rPr>
                <w:rFonts w:ascii="Arial" w:hAnsi="Arial" w:cs="Arial"/>
                <w:b/>
                <w:sz w:val="24"/>
                <w:szCs w:val="24"/>
                <w:highlight w:val="yellow"/>
                <w:u w:val="single"/>
              </w:rPr>
              <w:t>CONTINUING</w:t>
            </w:r>
            <w:r w:rsidRPr="00FA3F9C">
              <w:rPr>
                <w:rFonts w:ascii="Arial" w:hAnsi="Arial" w:cs="Arial"/>
                <w:b/>
                <w:sz w:val="24"/>
                <w:szCs w:val="24"/>
                <w:u w:val="single"/>
              </w:rPr>
              <w:t xml:space="preserve"> therapy—this should be assessed after each 12 months of taking the drug</w:t>
            </w:r>
          </w:p>
        </w:tc>
      </w:tr>
      <w:tr w:rsidR="009B5AA5" w:rsidRPr="00FA3F9C" w14:paraId="68E78D29" w14:textId="77777777" w:rsidTr="004649BD">
        <w:tc>
          <w:tcPr>
            <w:tcW w:w="10790" w:type="dxa"/>
          </w:tcPr>
          <w:p w14:paraId="491FED83" w14:textId="77777777" w:rsidR="009B5AA5" w:rsidRPr="00FA3F9C" w:rsidRDefault="009B5AA5" w:rsidP="00D85B25">
            <w:pPr>
              <w:rPr>
                <w:rFonts w:ascii="Arial" w:hAnsi="Arial" w:cs="Arial"/>
                <w:sz w:val="24"/>
                <w:szCs w:val="24"/>
              </w:rPr>
            </w:pPr>
            <w:r w:rsidRPr="00FA3F9C">
              <w:rPr>
                <w:rFonts w:ascii="Arial" w:hAnsi="Arial" w:cs="Arial"/>
                <w:sz w:val="24"/>
                <w:szCs w:val="24"/>
              </w:rPr>
              <w:t xml:space="preserve">1.  The patient must have pulmonary function tests repeated.  If the FVC decreased by </w:t>
            </w:r>
            <w:r w:rsidRPr="00FA3F9C">
              <w:rPr>
                <w:rFonts w:ascii="Arial" w:hAnsi="Arial" w:cs="Arial"/>
                <w:sz w:val="24"/>
                <w:szCs w:val="24"/>
                <w:u w:val="single"/>
              </w:rPr>
              <w:t>&gt;</w:t>
            </w:r>
            <w:r w:rsidRPr="00FA3F9C">
              <w:rPr>
                <w:rFonts w:ascii="Arial" w:hAnsi="Arial" w:cs="Arial"/>
                <w:sz w:val="24"/>
                <w:szCs w:val="24"/>
              </w:rPr>
              <w:t xml:space="preserve">10%, this likely represents progressive </w:t>
            </w:r>
            <w:proofErr w:type="gramStart"/>
            <w:r w:rsidRPr="00FA3F9C">
              <w:rPr>
                <w:rFonts w:ascii="Arial" w:hAnsi="Arial" w:cs="Arial"/>
                <w:sz w:val="24"/>
                <w:szCs w:val="24"/>
              </w:rPr>
              <w:t>disease</w:t>
            </w:r>
            <w:proofErr w:type="gramEnd"/>
            <w:r w:rsidRPr="00FA3F9C">
              <w:rPr>
                <w:rFonts w:ascii="Arial" w:hAnsi="Arial" w:cs="Arial"/>
                <w:sz w:val="24"/>
                <w:szCs w:val="24"/>
              </w:rPr>
              <w:t xml:space="preserve"> and the drug should be stopped. </w:t>
            </w:r>
          </w:p>
        </w:tc>
      </w:tr>
      <w:tr w:rsidR="009B5AA5" w:rsidRPr="00FA3F9C" w14:paraId="47A12DD9" w14:textId="77777777" w:rsidTr="004649BD">
        <w:tc>
          <w:tcPr>
            <w:tcW w:w="10790" w:type="dxa"/>
          </w:tcPr>
          <w:p w14:paraId="161F3E2E" w14:textId="77777777" w:rsidR="009B5AA5" w:rsidRPr="00FA3F9C" w:rsidRDefault="009B5AA5" w:rsidP="00D85B25">
            <w:pPr>
              <w:rPr>
                <w:rFonts w:ascii="Arial" w:hAnsi="Arial" w:cs="Arial"/>
                <w:sz w:val="24"/>
                <w:szCs w:val="24"/>
              </w:rPr>
            </w:pPr>
            <w:r w:rsidRPr="00FA3F9C">
              <w:rPr>
                <w:rFonts w:ascii="Arial" w:hAnsi="Arial" w:cs="Arial"/>
                <w:sz w:val="24"/>
                <w:szCs w:val="24"/>
              </w:rPr>
              <w:t>2.  The patient is a non-smoker.</w:t>
            </w:r>
          </w:p>
        </w:tc>
      </w:tr>
      <w:tr w:rsidR="009B5AA5" w:rsidRPr="00FA3F9C" w14:paraId="03EB23B7" w14:textId="77777777" w:rsidTr="004649BD">
        <w:tc>
          <w:tcPr>
            <w:tcW w:w="10790" w:type="dxa"/>
          </w:tcPr>
          <w:p w14:paraId="0D68AE15" w14:textId="77777777" w:rsidR="009B5AA5" w:rsidRPr="00FA3F9C" w:rsidRDefault="009B5AA5" w:rsidP="00D85B25">
            <w:pPr>
              <w:rPr>
                <w:rFonts w:ascii="Arial" w:hAnsi="Arial" w:cs="Arial"/>
                <w:sz w:val="24"/>
                <w:szCs w:val="24"/>
              </w:rPr>
            </w:pPr>
            <w:r w:rsidRPr="00FA3F9C">
              <w:rPr>
                <w:rFonts w:ascii="Arial" w:hAnsi="Arial" w:cs="Arial"/>
                <w:sz w:val="24"/>
                <w:szCs w:val="24"/>
              </w:rPr>
              <w:t>If the above criterium is met, access may be given not to exceed the QL.  The PA is valid for 1 year.</w:t>
            </w:r>
          </w:p>
        </w:tc>
      </w:tr>
    </w:tbl>
    <w:p w14:paraId="6EC5CCEA" w14:textId="77777777" w:rsidR="009B5AA5" w:rsidRPr="00FA3F9C" w:rsidRDefault="009B5AA5" w:rsidP="006F623F">
      <w:pPr>
        <w:spacing w:after="0"/>
        <w:rPr>
          <w:rFonts w:ascii="Arial" w:hAnsi="Arial" w:cs="Arial"/>
          <w:b/>
          <w:sz w:val="24"/>
          <w:szCs w:val="24"/>
          <w:u w:val="single"/>
        </w:rPr>
      </w:pPr>
    </w:p>
    <w:tbl>
      <w:tblPr>
        <w:tblStyle w:val="TableGrid"/>
        <w:tblW w:w="0" w:type="auto"/>
        <w:shd w:val="clear" w:color="auto" w:fill="BFBFBF" w:themeFill="background1" w:themeFillShade="BF"/>
        <w:tblLook w:val="04A0" w:firstRow="1" w:lastRow="0" w:firstColumn="1" w:lastColumn="0" w:noHBand="0" w:noVBand="1"/>
      </w:tblPr>
      <w:tblGrid>
        <w:gridCol w:w="10998"/>
      </w:tblGrid>
      <w:tr w:rsidR="009B5AA5" w:rsidRPr="00FA3F9C" w14:paraId="4FCCC6E3" w14:textId="77777777" w:rsidTr="008028BF">
        <w:tc>
          <w:tcPr>
            <w:tcW w:w="10998" w:type="dxa"/>
            <w:shd w:val="clear" w:color="auto" w:fill="BFBFBF" w:themeFill="background1" w:themeFillShade="BF"/>
          </w:tcPr>
          <w:p w14:paraId="35531802" w14:textId="77777777" w:rsidR="009B5AA5" w:rsidRPr="00FA3F9C" w:rsidRDefault="009B5AA5" w:rsidP="006F623F">
            <w:pPr>
              <w:rPr>
                <w:rFonts w:ascii="Arial" w:hAnsi="Arial" w:cs="Arial"/>
                <w:sz w:val="24"/>
                <w:szCs w:val="24"/>
              </w:rPr>
            </w:pPr>
            <w:r w:rsidRPr="00FA3F9C">
              <w:rPr>
                <w:rFonts w:ascii="Arial" w:hAnsi="Arial" w:cs="Arial"/>
                <w:sz w:val="24"/>
                <w:szCs w:val="24"/>
              </w:rPr>
              <w:t>Max dose is 2403 mg daily (3 capsules TID).</w:t>
            </w:r>
          </w:p>
        </w:tc>
      </w:tr>
      <w:tr w:rsidR="009B5AA5" w:rsidRPr="00FA3F9C" w14:paraId="0244A447" w14:textId="77777777" w:rsidTr="008028BF">
        <w:tc>
          <w:tcPr>
            <w:tcW w:w="10998" w:type="dxa"/>
            <w:shd w:val="clear" w:color="auto" w:fill="BFBFBF" w:themeFill="background1" w:themeFillShade="BF"/>
          </w:tcPr>
          <w:p w14:paraId="7DF6DB36" w14:textId="77777777" w:rsidR="009B5AA5" w:rsidRPr="00FA3F9C" w:rsidRDefault="009B5AA5" w:rsidP="006F623F">
            <w:pPr>
              <w:rPr>
                <w:rFonts w:ascii="Arial" w:hAnsi="Arial" w:cs="Arial"/>
                <w:sz w:val="24"/>
                <w:szCs w:val="24"/>
              </w:rPr>
            </w:pPr>
            <w:r w:rsidRPr="00FA3F9C">
              <w:rPr>
                <w:rFonts w:ascii="Arial" w:hAnsi="Arial" w:cs="Arial"/>
                <w:sz w:val="24"/>
                <w:szCs w:val="24"/>
                <w:vertAlign w:val="superscript"/>
              </w:rPr>
              <w:t>1</w:t>
            </w:r>
            <w:r w:rsidRPr="00FA3F9C">
              <w:rPr>
                <w:rFonts w:ascii="Arial" w:hAnsi="Arial" w:cs="Arial"/>
                <w:sz w:val="24"/>
                <w:szCs w:val="24"/>
              </w:rPr>
              <w:t>The minimal clinically important difference for the 6MWT is 24-45 meters in IPF.</w:t>
            </w:r>
          </w:p>
        </w:tc>
      </w:tr>
      <w:tr w:rsidR="009B5AA5" w:rsidRPr="00FA3F9C" w14:paraId="591267B3" w14:textId="77777777" w:rsidTr="008028BF">
        <w:tc>
          <w:tcPr>
            <w:tcW w:w="10998" w:type="dxa"/>
            <w:shd w:val="clear" w:color="auto" w:fill="BFBFBF" w:themeFill="background1" w:themeFillShade="BF"/>
          </w:tcPr>
          <w:p w14:paraId="1E5EDC6F" w14:textId="77777777" w:rsidR="009B5AA5" w:rsidRPr="00FA3F9C" w:rsidRDefault="009B5AA5" w:rsidP="006F623F">
            <w:pPr>
              <w:rPr>
                <w:rFonts w:ascii="Arial" w:hAnsi="Arial" w:cs="Arial"/>
                <w:sz w:val="24"/>
                <w:szCs w:val="24"/>
              </w:rPr>
            </w:pPr>
            <w:r w:rsidRPr="00FA3F9C">
              <w:rPr>
                <w:rFonts w:ascii="Arial" w:hAnsi="Arial" w:cs="Arial"/>
                <w:sz w:val="24"/>
                <w:szCs w:val="24"/>
                <w:vertAlign w:val="superscript"/>
              </w:rPr>
              <w:lastRenderedPageBreak/>
              <w:t>2</w:t>
            </w:r>
            <w:r w:rsidRPr="00FA3F9C">
              <w:rPr>
                <w:rFonts w:ascii="Arial" w:hAnsi="Arial" w:cs="Arial"/>
                <w:sz w:val="24"/>
                <w:szCs w:val="24"/>
              </w:rPr>
              <w:t xml:space="preserve">Pooled analysis of CAPACITY and ASCEND showed death from any cause was 3.5% vs 6.7% in the pirfenidone vs placebo, respectively.  </w:t>
            </w:r>
          </w:p>
          <w:p w14:paraId="383B6159" w14:textId="77777777" w:rsidR="009B5AA5" w:rsidRPr="00FA3F9C" w:rsidRDefault="009B5AA5" w:rsidP="00972743">
            <w:pPr>
              <w:rPr>
                <w:rFonts w:ascii="Arial" w:hAnsi="Arial" w:cs="Arial"/>
                <w:sz w:val="24"/>
                <w:szCs w:val="24"/>
                <w:vertAlign w:val="superscript"/>
              </w:rPr>
            </w:pPr>
            <w:r w:rsidRPr="00FA3F9C">
              <w:rPr>
                <w:rFonts w:ascii="Arial" w:hAnsi="Arial" w:cs="Arial"/>
                <w:sz w:val="24"/>
                <w:szCs w:val="24"/>
              </w:rPr>
              <w:t>Pooled analysis also showed death due to IPF was 1.1% vs 3.5%, respectively, over 1 year.  The difference in 6MWT at 52 weeks was 26.7m, achieving (barely) the MCID between pirfenidone and placebo. (Ref is supplemental materials @NEJM.)</w:t>
            </w:r>
          </w:p>
        </w:tc>
      </w:tr>
    </w:tbl>
    <w:p w14:paraId="32212C19" w14:textId="77777777" w:rsidR="009B5AA5" w:rsidRPr="00FA3F9C" w:rsidRDefault="009B5AA5" w:rsidP="006F623F">
      <w:pPr>
        <w:spacing w:after="0"/>
        <w:rPr>
          <w:rFonts w:ascii="Arial" w:hAnsi="Arial" w:cs="Arial"/>
          <w:sz w:val="24"/>
          <w:szCs w:val="24"/>
        </w:rPr>
      </w:pPr>
      <w:r w:rsidRPr="00FA3F9C">
        <w:rPr>
          <w:rFonts w:ascii="Arial" w:hAnsi="Arial" w:cs="Arial"/>
          <w:sz w:val="24"/>
          <w:szCs w:val="24"/>
        </w:rPr>
        <w:t>Quantity Limits: 270 capsules/30 days.</w:t>
      </w:r>
    </w:p>
    <w:p w14:paraId="3DA58E67" w14:textId="77777777" w:rsidR="009B5AA5" w:rsidRPr="00FA3F9C" w:rsidRDefault="009B5AA5" w:rsidP="00B64EB2">
      <w:pPr>
        <w:pStyle w:val="Default"/>
        <w:rPr>
          <w:rFonts w:ascii="Arial" w:hAnsi="Arial" w:cs="Arial"/>
        </w:rPr>
      </w:pPr>
      <w:r w:rsidRPr="00FA3F9C">
        <w:rPr>
          <w:rFonts w:ascii="Arial" w:hAnsi="Arial" w:cs="Arial"/>
        </w:rPr>
        <w:t>References:</w:t>
      </w:r>
    </w:p>
    <w:p w14:paraId="1354DEA9" w14:textId="77777777" w:rsidR="009B5AA5" w:rsidRPr="00FA3F9C" w:rsidRDefault="009B5AA5" w:rsidP="00EA4193">
      <w:pPr>
        <w:spacing w:after="0" w:line="240" w:lineRule="auto"/>
        <w:rPr>
          <w:rFonts w:ascii="Arial" w:eastAsia="Times New Roman" w:hAnsi="Arial" w:cs="Arial"/>
          <w:sz w:val="24"/>
          <w:szCs w:val="24"/>
        </w:rPr>
      </w:pPr>
      <w:r w:rsidRPr="00FA3F9C">
        <w:rPr>
          <w:rFonts w:ascii="Arial" w:hAnsi="Arial" w:cs="Arial"/>
          <w:sz w:val="24"/>
          <w:szCs w:val="24"/>
        </w:rPr>
        <w:t xml:space="preserve">1.  </w:t>
      </w:r>
      <w:r w:rsidRPr="00FA3F9C">
        <w:rPr>
          <w:rFonts w:ascii="Arial" w:eastAsia="Times New Roman" w:hAnsi="Arial" w:cs="Arial"/>
          <w:sz w:val="24"/>
          <w:szCs w:val="24"/>
        </w:rPr>
        <w:t>Roland M. du Bois1, Derek Weycker2, Carlo Albera3, Williamson Z. Bradford4, et al.  Six-Minute-Walk Test in Idiopathic Pulmonary Fibrosis Test Validation and Minimal Clinically Important Difference.  Am J Respir Crit Care Med Vol 183. pp 1231–1237, 2011.</w:t>
      </w:r>
    </w:p>
    <w:p w14:paraId="39EEB9AF" w14:textId="77777777" w:rsidR="009B5AA5" w:rsidRPr="00FA3F9C" w:rsidRDefault="009B5AA5" w:rsidP="00EA4193">
      <w:pPr>
        <w:spacing w:after="0" w:line="240" w:lineRule="auto"/>
        <w:rPr>
          <w:rFonts w:ascii="Arial" w:hAnsi="Arial" w:cs="Arial"/>
          <w:sz w:val="24"/>
          <w:szCs w:val="24"/>
        </w:rPr>
      </w:pPr>
      <w:r w:rsidRPr="00FA3F9C">
        <w:rPr>
          <w:rFonts w:ascii="Arial" w:eastAsia="Times New Roman" w:hAnsi="Arial" w:cs="Arial"/>
          <w:sz w:val="24"/>
          <w:szCs w:val="24"/>
        </w:rPr>
        <w:t xml:space="preserve">2.  </w:t>
      </w:r>
      <w:r w:rsidRPr="00FA3F9C">
        <w:rPr>
          <w:rFonts w:ascii="Arial" w:hAnsi="Arial" w:cs="Arial"/>
          <w:sz w:val="24"/>
          <w:szCs w:val="24"/>
        </w:rPr>
        <w:t xml:space="preserve">King T, Bradford W, et al. </w:t>
      </w:r>
      <w:r w:rsidRPr="00FA3F9C">
        <w:rPr>
          <w:rFonts w:ascii="Arial" w:hAnsi="Arial" w:cs="Arial"/>
          <w:sz w:val="24"/>
          <w:szCs w:val="24"/>
          <w:u w:val="single"/>
        </w:rPr>
        <w:t>A phase 3 trial of pirfenidone in patients with idiopathic pulmonary fibrosis</w:t>
      </w:r>
      <w:r w:rsidRPr="00FA3F9C">
        <w:rPr>
          <w:rFonts w:ascii="Arial" w:hAnsi="Arial" w:cs="Arial"/>
          <w:sz w:val="24"/>
          <w:szCs w:val="24"/>
        </w:rPr>
        <w:t xml:space="preserve">.  The New England Journal of Medicine, May 2014; 270: 2083-92. </w:t>
      </w:r>
    </w:p>
    <w:p w14:paraId="16564292" w14:textId="77777777" w:rsidR="009B5AA5" w:rsidRPr="00500371" w:rsidRDefault="009B5AA5" w:rsidP="00EA4193">
      <w:pPr>
        <w:spacing w:after="0" w:line="240" w:lineRule="auto"/>
        <w:rPr>
          <w:rFonts w:ascii="Arial" w:hAnsi="Arial" w:cs="Arial"/>
          <w:sz w:val="24"/>
          <w:szCs w:val="24"/>
        </w:rPr>
      </w:pPr>
      <w:r w:rsidRPr="00FA3F9C">
        <w:rPr>
          <w:rFonts w:ascii="Arial" w:hAnsi="Arial" w:cs="Arial"/>
          <w:sz w:val="24"/>
          <w:szCs w:val="24"/>
        </w:rPr>
        <w:t xml:space="preserve">3.  Noble, P </w:t>
      </w:r>
      <w:proofErr w:type="spellStart"/>
      <w:r w:rsidRPr="00FA3F9C">
        <w:rPr>
          <w:rFonts w:ascii="Arial" w:hAnsi="Arial" w:cs="Arial"/>
          <w:sz w:val="24"/>
          <w:szCs w:val="24"/>
        </w:rPr>
        <w:t>Albera</w:t>
      </w:r>
      <w:proofErr w:type="spellEnd"/>
      <w:r w:rsidRPr="00FA3F9C">
        <w:rPr>
          <w:rFonts w:ascii="Arial" w:hAnsi="Arial" w:cs="Arial"/>
          <w:sz w:val="24"/>
          <w:szCs w:val="24"/>
        </w:rPr>
        <w:t xml:space="preserve">, C. </w:t>
      </w:r>
      <w:r w:rsidRPr="00FA3F9C">
        <w:rPr>
          <w:rFonts w:ascii="Arial" w:hAnsi="Arial" w:cs="Arial"/>
          <w:sz w:val="24"/>
          <w:szCs w:val="24"/>
          <w:u w:val="single"/>
        </w:rPr>
        <w:t>Pirfenidone in patients with idiopathic pulmonary fibrosis (CAPACITY): two randomized trials</w:t>
      </w:r>
      <w:r w:rsidRPr="00FA3F9C">
        <w:rPr>
          <w:rFonts w:ascii="Arial" w:hAnsi="Arial" w:cs="Arial"/>
          <w:sz w:val="24"/>
          <w:szCs w:val="24"/>
        </w:rPr>
        <w:t xml:space="preserve">.  </w:t>
      </w:r>
      <w:r w:rsidRPr="00500371">
        <w:rPr>
          <w:rFonts w:ascii="Arial" w:hAnsi="Arial" w:cs="Arial"/>
          <w:sz w:val="24"/>
          <w:szCs w:val="24"/>
        </w:rPr>
        <w:t xml:space="preserve">Lancet 2011; 377: 1760-69.  </w:t>
      </w:r>
    </w:p>
    <w:p w14:paraId="0644A645" w14:textId="77777777" w:rsidR="009B5AA5" w:rsidRPr="00FA3F9C" w:rsidRDefault="009B5AA5" w:rsidP="00EA4193">
      <w:pPr>
        <w:autoSpaceDE w:val="0"/>
        <w:autoSpaceDN w:val="0"/>
        <w:adjustRightInd w:val="0"/>
        <w:spacing w:after="0" w:line="240" w:lineRule="auto"/>
        <w:rPr>
          <w:rFonts w:ascii="Arial" w:hAnsi="Arial" w:cs="Arial"/>
          <w:sz w:val="24"/>
          <w:szCs w:val="24"/>
        </w:rPr>
      </w:pPr>
      <w:r w:rsidRPr="00FA3F9C">
        <w:rPr>
          <w:rFonts w:ascii="Arial" w:hAnsi="Arial" w:cs="Arial"/>
          <w:sz w:val="24"/>
          <w:szCs w:val="24"/>
          <w:lang w:val="fr-FR"/>
        </w:rPr>
        <w:t xml:space="preserve">4.  Jiang C, Huang H, Liu J, Wang </w:t>
      </w:r>
      <w:proofErr w:type="spellStart"/>
      <w:r w:rsidRPr="00FA3F9C">
        <w:rPr>
          <w:rFonts w:ascii="Arial" w:hAnsi="Arial" w:cs="Arial"/>
          <w:sz w:val="24"/>
          <w:szCs w:val="24"/>
          <w:lang w:val="fr-FR"/>
        </w:rPr>
        <w:t>Y</w:t>
      </w:r>
      <w:proofErr w:type="spellEnd"/>
      <w:r w:rsidRPr="00FA3F9C">
        <w:rPr>
          <w:rFonts w:ascii="Arial" w:hAnsi="Arial" w:cs="Arial"/>
          <w:sz w:val="24"/>
          <w:szCs w:val="24"/>
          <w:lang w:val="fr-FR"/>
        </w:rPr>
        <w:t xml:space="preserve">, Lu Z, et al. </w:t>
      </w:r>
      <w:r w:rsidRPr="00FA3F9C">
        <w:rPr>
          <w:rFonts w:ascii="Arial" w:hAnsi="Arial" w:cs="Arial"/>
          <w:sz w:val="24"/>
          <w:szCs w:val="24"/>
        </w:rPr>
        <w:t xml:space="preserve">(2012) </w:t>
      </w:r>
      <w:r w:rsidRPr="00FA3F9C">
        <w:rPr>
          <w:rFonts w:ascii="Arial" w:hAnsi="Arial" w:cs="Arial"/>
          <w:sz w:val="24"/>
          <w:szCs w:val="24"/>
          <w:u w:val="single"/>
        </w:rPr>
        <w:t>Adverse Events of Pirfenidone for the Treatment of Pulmonary Fibrosis: A Meta-Analysis of Randomized Controlled Trials</w:t>
      </w:r>
      <w:r w:rsidRPr="00FA3F9C">
        <w:rPr>
          <w:rFonts w:ascii="Arial" w:hAnsi="Arial" w:cs="Arial"/>
          <w:sz w:val="24"/>
          <w:szCs w:val="24"/>
        </w:rPr>
        <w:t xml:space="preserve">. </w:t>
      </w:r>
      <w:proofErr w:type="spellStart"/>
      <w:r w:rsidRPr="00FA3F9C">
        <w:rPr>
          <w:rFonts w:ascii="Arial" w:hAnsi="Arial" w:cs="Arial"/>
          <w:sz w:val="24"/>
          <w:szCs w:val="24"/>
        </w:rPr>
        <w:t>PLoS</w:t>
      </w:r>
      <w:proofErr w:type="spellEnd"/>
      <w:r w:rsidRPr="00FA3F9C">
        <w:rPr>
          <w:rFonts w:ascii="Arial" w:hAnsi="Arial" w:cs="Arial"/>
          <w:sz w:val="24"/>
          <w:szCs w:val="24"/>
        </w:rPr>
        <w:t xml:space="preserve"> ONE 7(10): e47024. doi:10.1371/journal.pone.0047024</w:t>
      </w:r>
    </w:p>
    <w:p w14:paraId="12AB66A2" w14:textId="77777777" w:rsidR="009B5AA5" w:rsidRPr="00FA3F9C" w:rsidRDefault="009B5AA5" w:rsidP="00EA4193">
      <w:pPr>
        <w:autoSpaceDE w:val="0"/>
        <w:autoSpaceDN w:val="0"/>
        <w:adjustRightInd w:val="0"/>
        <w:spacing w:after="0" w:line="240" w:lineRule="auto"/>
        <w:rPr>
          <w:rFonts w:ascii="Arial" w:hAnsi="Arial" w:cs="Arial"/>
          <w:sz w:val="24"/>
          <w:szCs w:val="24"/>
        </w:rPr>
      </w:pPr>
      <w:r w:rsidRPr="00FA3F9C">
        <w:rPr>
          <w:rFonts w:ascii="Arial" w:hAnsi="Arial" w:cs="Arial"/>
          <w:sz w:val="24"/>
          <w:szCs w:val="24"/>
        </w:rPr>
        <w:t xml:space="preserve">5.  NICE guidance for pirfenidone in idiopathic pulmonary fibrosis.  </w:t>
      </w:r>
      <w:hyperlink r:id="rId347" w:history="1">
        <w:r w:rsidRPr="00FA3F9C">
          <w:rPr>
            <w:rStyle w:val="Hyperlink"/>
            <w:rFonts w:ascii="Arial" w:hAnsi="Arial" w:cs="Arial"/>
            <w:sz w:val="24"/>
            <w:szCs w:val="24"/>
          </w:rPr>
          <w:t>https://www.nice.org.uk/guidance/ta282/chapter/4-consideration-of-the-evidence</w:t>
        </w:r>
      </w:hyperlink>
      <w:r w:rsidRPr="00FA3F9C">
        <w:rPr>
          <w:rFonts w:ascii="Arial" w:hAnsi="Arial" w:cs="Arial"/>
          <w:sz w:val="24"/>
          <w:szCs w:val="24"/>
        </w:rPr>
        <w:t>. (Note:  this guidance was issued prior to the latest phase 3 trial (reference #2 above-ASCEND) which when pooled data with reference 3 above (CAPACITY) showed a modest improvement in death from any cause from 6.7%plac vs 3.5% with pirfenidone.)</w:t>
      </w:r>
    </w:p>
    <w:p w14:paraId="548D05DB" w14:textId="77777777" w:rsidR="009B5AA5" w:rsidRPr="00FA3F9C" w:rsidRDefault="009B5AA5" w:rsidP="00EA4193">
      <w:pPr>
        <w:autoSpaceDE w:val="0"/>
        <w:autoSpaceDN w:val="0"/>
        <w:adjustRightInd w:val="0"/>
        <w:spacing w:after="0" w:line="240" w:lineRule="auto"/>
        <w:rPr>
          <w:rFonts w:ascii="Arial" w:eastAsia="Times New Roman" w:hAnsi="Arial" w:cs="Arial"/>
          <w:b/>
          <w:color w:val="222222"/>
          <w:sz w:val="24"/>
          <w:szCs w:val="24"/>
          <w:shd w:val="clear" w:color="auto" w:fill="FFFFFF"/>
        </w:rPr>
      </w:pPr>
      <w:r w:rsidRPr="00FA3F9C">
        <w:rPr>
          <w:rFonts w:ascii="Arial" w:hAnsi="Arial" w:cs="Arial"/>
          <w:b/>
          <w:sz w:val="24"/>
          <w:szCs w:val="24"/>
        </w:rPr>
        <w:t xml:space="preserve">6. </w:t>
      </w:r>
      <w:r w:rsidRPr="00FA3F9C">
        <w:rPr>
          <w:rFonts w:ascii="Arial" w:eastAsia="Times New Roman" w:hAnsi="Arial" w:cs="Arial"/>
          <w:b/>
          <w:color w:val="222222"/>
          <w:sz w:val="24"/>
          <w:szCs w:val="24"/>
          <w:shd w:val="clear" w:color="auto" w:fill="FFFFFF"/>
        </w:rPr>
        <w:t>Fleetwood, Kelly, et al. "Systematic review and network meta-analysis of idiopathic pulmonary fibrosis treatments." </w:t>
      </w:r>
      <w:r w:rsidRPr="00FA3F9C">
        <w:rPr>
          <w:rFonts w:ascii="Arial" w:eastAsia="Times New Roman" w:hAnsi="Arial" w:cs="Arial"/>
          <w:b/>
          <w:i/>
          <w:iCs/>
          <w:color w:val="222222"/>
          <w:sz w:val="24"/>
          <w:szCs w:val="24"/>
          <w:shd w:val="clear" w:color="auto" w:fill="FFFFFF"/>
        </w:rPr>
        <w:t>Journal of Managed Care &amp; Specialty Pharmacy</w:t>
      </w:r>
      <w:r w:rsidRPr="00FA3F9C">
        <w:rPr>
          <w:rFonts w:ascii="Arial" w:eastAsia="Times New Roman" w:hAnsi="Arial" w:cs="Arial"/>
          <w:b/>
          <w:color w:val="222222"/>
          <w:sz w:val="24"/>
          <w:szCs w:val="24"/>
          <w:shd w:val="clear" w:color="auto" w:fill="FFFFFF"/>
        </w:rPr>
        <w:t> 23.3-b Suppl (</w:t>
      </w:r>
      <w:r w:rsidRPr="00FA3F9C">
        <w:rPr>
          <w:rFonts w:ascii="Arial" w:eastAsia="Times New Roman" w:hAnsi="Arial" w:cs="Arial"/>
          <w:b/>
          <w:color w:val="222222"/>
          <w:sz w:val="24"/>
          <w:szCs w:val="24"/>
          <w:highlight w:val="yellow"/>
          <w:shd w:val="clear" w:color="auto" w:fill="FFFFFF"/>
        </w:rPr>
        <w:t>2017</w:t>
      </w:r>
      <w:r w:rsidRPr="00FA3F9C">
        <w:rPr>
          <w:rFonts w:ascii="Arial" w:eastAsia="Times New Roman" w:hAnsi="Arial" w:cs="Arial"/>
          <w:b/>
          <w:color w:val="222222"/>
          <w:sz w:val="24"/>
          <w:szCs w:val="24"/>
          <w:shd w:val="clear" w:color="auto" w:fill="FFFFFF"/>
        </w:rPr>
        <w:t>): S5-S16.</w:t>
      </w:r>
    </w:p>
    <w:p w14:paraId="41267475" w14:textId="77777777" w:rsidR="009B5AA5" w:rsidRPr="00FA3F9C" w:rsidRDefault="009B5AA5" w:rsidP="00EA4193">
      <w:pPr>
        <w:spacing w:after="0" w:line="240" w:lineRule="auto"/>
        <w:rPr>
          <w:rFonts w:ascii="Arial" w:eastAsia="Times New Roman" w:hAnsi="Arial" w:cs="Arial"/>
          <w:b/>
          <w:color w:val="222222"/>
          <w:sz w:val="24"/>
          <w:szCs w:val="24"/>
          <w:shd w:val="clear" w:color="auto" w:fill="FFFFFF"/>
        </w:rPr>
      </w:pPr>
      <w:r w:rsidRPr="00FA3F9C">
        <w:rPr>
          <w:rFonts w:ascii="Arial" w:hAnsi="Arial" w:cs="Arial"/>
          <w:b/>
          <w:sz w:val="24"/>
          <w:szCs w:val="24"/>
        </w:rPr>
        <w:t xml:space="preserve">7. </w:t>
      </w:r>
      <w:proofErr w:type="spellStart"/>
      <w:r w:rsidRPr="00FA3F9C">
        <w:rPr>
          <w:rFonts w:ascii="Arial" w:eastAsia="Times New Roman" w:hAnsi="Arial" w:cs="Arial"/>
          <w:b/>
          <w:color w:val="222222"/>
          <w:sz w:val="24"/>
          <w:szCs w:val="24"/>
          <w:shd w:val="clear" w:color="auto" w:fill="FFFFFF"/>
        </w:rPr>
        <w:t>Rochwerg</w:t>
      </w:r>
      <w:proofErr w:type="spellEnd"/>
      <w:r w:rsidRPr="00FA3F9C">
        <w:rPr>
          <w:rFonts w:ascii="Arial" w:eastAsia="Times New Roman" w:hAnsi="Arial" w:cs="Arial"/>
          <w:b/>
          <w:color w:val="222222"/>
          <w:sz w:val="24"/>
          <w:szCs w:val="24"/>
          <w:shd w:val="clear" w:color="auto" w:fill="FFFFFF"/>
        </w:rPr>
        <w:t>, Bram, et al. "Treatment of idiopathic pulmonary fibrosis: a network meta-analysis." BMC medicine 14.1(</w:t>
      </w:r>
      <w:r w:rsidRPr="00FA3F9C">
        <w:rPr>
          <w:rFonts w:ascii="Arial" w:eastAsia="Times New Roman" w:hAnsi="Arial" w:cs="Arial"/>
          <w:b/>
          <w:color w:val="222222"/>
          <w:sz w:val="24"/>
          <w:szCs w:val="24"/>
          <w:highlight w:val="yellow"/>
          <w:shd w:val="clear" w:color="auto" w:fill="FFFFFF"/>
        </w:rPr>
        <w:t>2016</w:t>
      </w:r>
      <w:r w:rsidRPr="00FA3F9C">
        <w:rPr>
          <w:rFonts w:ascii="Arial" w:eastAsia="Times New Roman" w:hAnsi="Arial" w:cs="Arial"/>
          <w:b/>
          <w:color w:val="222222"/>
          <w:sz w:val="24"/>
          <w:szCs w:val="24"/>
          <w:shd w:val="clear" w:color="auto" w:fill="FFFFFF"/>
        </w:rPr>
        <w:t>): 18.</w:t>
      </w:r>
    </w:p>
    <w:p w14:paraId="7B4E746F" w14:textId="77777777" w:rsidR="009B5AA5" w:rsidRPr="00FA3F9C" w:rsidRDefault="009B5AA5" w:rsidP="00EA4193">
      <w:pPr>
        <w:spacing w:after="0" w:line="240" w:lineRule="auto"/>
        <w:rPr>
          <w:rFonts w:ascii="Arial" w:hAnsi="Arial" w:cs="Arial"/>
          <w:sz w:val="24"/>
          <w:szCs w:val="24"/>
        </w:rPr>
      </w:pPr>
      <w:r w:rsidRPr="00500371">
        <w:rPr>
          <w:rFonts w:ascii="Arial" w:eastAsia="Times New Roman" w:hAnsi="Arial" w:cs="Arial"/>
          <w:b/>
          <w:color w:val="222222"/>
          <w:sz w:val="24"/>
          <w:szCs w:val="24"/>
          <w:shd w:val="clear" w:color="auto" w:fill="FFFFFF"/>
          <w:lang w:val="fr-FR"/>
        </w:rPr>
        <w:t xml:space="preserve">8. </w:t>
      </w:r>
      <w:proofErr w:type="spellStart"/>
      <w:r w:rsidRPr="00500371">
        <w:rPr>
          <w:rFonts w:ascii="Arial" w:hAnsi="Arial" w:cs="Arial"/>
          <w:sz w:val="24"/>
          <w:szCs w:val="24"/>
          <w:lang w:val="fr-FR"/>
        </w:rPr>
        <w:t>Skandamis</w:t>
      </w:r>
      <w:proofErr w:type="spellEnd"/>
      <w:r w:rsidRPr="00500371">
        <w:rPr>
          <w:rFonts w:ascii="Arial" w:hAnsi="Arial" w:cs="Arial"/>
          <w:sz w:val="24"/>
          <w:szCs w:val="24"/>
          <w:lang w:val="fr-FR"/>
        </w:rPr>
        <w:t xml:space="preserve">, A., </w:t>
      </w:r>
      <w:proofErr w:type="spellStart"/>
      <w:r w:rsidRPr="00500371">
        <w:rPr>
          <w:rFonts w:ascii="Arial" w:hAnsi="Arial" w:cs="Arial"/>
          <w:sz w:val="24"/>
          <w:szCs w:val="24"/>
          <w:lang w:val="fr-FR"/>
        </w:rPr>
        <w:t>Kani</w:t>
      </w:r>
      <w:proofErr w:type="spellEnd"/>
      <w:r w:rsidRPr="00500371">
        <w:rPr>
          <w:rFonts w:ascii="Arial" w:hAnsi="Arial" w:cs="Arial"/>
          <w:sz w:val="24"/>
          <w:szCs w:val="24"/>
          <w:lang w:val="fr-FR"/>
        </w:rPr>
        <w:t xml:space="preserve">, C., </w:t>
      </w:r>
      <w:proofErr w:type="spellStart"/>
      <w:r w:rsidRPr="00500371">
        <w:rPr>
          <w:rFonts w:ascii="Arial" w:hAnsi="Arial" w:cs="Arial"/>
          <w:sz w:val="24"/>
          <w:szCs w:val="24"/>
          <w:lang w:val="fr-FR"/>
        </w:rPr>
        <w:t>Markantonis</w:t>
      </w:r>
      <w:proofErr w:type="spellEnd"/>
      <w:r w:rsidRPr="00500371">
        <w:rPr>
          <w:rFonts w:ascii="Arial" w:hAnsi="Arial" w:cs="Arial"/>
          <w:sz w:val="24"/>
          <w:szCs w:val="24"/>
          <w:lang w:val="fr-FR"/>
        </w:rPr>
        <w:t xml:space="preserve">, S. L., &amp; </w:t>
      </w:r>
      <w:proofErr w:type="spellStart"/>
      <w:r w:rsidRPr="00500371">
        <w:rPr>
          <w:rFonts w:ascii="Arial" w:hAnsi="Arial" w:cs="Arial"/>
          <w:sz w:val="24"/>
          <w:szCs w:val="24"/>
          <w:lang w:val="fr-FR"/>
        </w:rPr>
        <w:t>Souliotis</w:t>
      </w:r>
      <w:proofErr w:type="spellEnd"/>
      <w:r w:rsidRPr="00500371">
        <w:rPr>
          <w:rFonts w:ascii="Arial" w:hAnsi="Arial" w:cs="Arial"/>
          <w:sz w:val="24"/>
          <w:szCs w:val="24"/>
          <w:lang w:val="fr-FR"/>
        </w:rPr>
        <w:t xml:space="preserve">, K. (2019). </w:t>
      </w:r>
      <w:r w:rsidRPr="00FA3F9C">
        <w:rPr>
          <w:rFonts w:ascii="Arial" w:hAnsi="Arial" w:cs="Arial"/>
          <w:sz w:val="24"/>
          <w:szCs w:val="24"/>
        </w:rPr>
        <w:t xml:space="preserve">Systematic review and network meta-analysis of approved medicines for the treatment of idiopathic pulmonary fibrosis. </w:t>
      </w:r>
      <w:r w:rsidRPr="00FA3F9C">
        <w:rPr>
          <w:rFonts w:ascii="Arial" w:hAnsi="Arial" w:cs="Arial"/>
          <w:i/>
          <w:iCs/>
          <w:sz w:val="24"/>
          <w:szCs w:val="24"/>
        </w:rPr>
        <w:t>Journal of Drug Assessment</w:t>
      </w:r>
      <w:r w:rsidRPr="00FA3F9C">
        <w:rPr>
          <w:rFonts w:ascii="Arial" w:hAnsi="Arial" w:cs="Arial"/>
          <w:sz w:val="24"/>
          <w:szCs w:val="24"/>
        </w:rPr>
        <w:t>, (</w:t>
      </w:r>
      <w:proofErr w:type="gramStart"/>
      <w:r w:rsidRPr="00FA3F9C">
        <w:rPr>
          <w:rFonts w:ascii="Arial" w:hAnsi="Arial" w:cs="Arial"/>
          <w:sz w:val="24"/>
          <w:szCs w:val="24"/>
        </w:rPr>
        <w:t>just-accepted</w:t>
      </w:r>
      <w:proofErr w:type="gramEnd"/>
      <w:r w:rsidRPr="00FA3F9C">
        <w:rPr>
          <w:rFonts w:ascii="Arial" w:hAnsi="Arial" w:cs="Arial"/>
          <w:sz w:val="24"/>
          <w:szCs w:val="24"/>
        </w:rPr>
        <w:t>), 1-1.</w:t>
      </w:r>
    </w:p>
    <w:p w14:paraId="0BD5AE8E" w14:textId="77777777" w:rsidR="009B5AA5" w:rsidRPr="00FA3F9C" w:rsidRDefault="009B5AA5" w:rsidP="00EA4193">
      <w:pPr>
        <w:spacing w:after="0" w:line="240" w:lineRule="auto"/>
        <w:rPr>
          <w:rFonts w:ascii="Arial" w:hAnsi="Arial" w:cs="Arial"/>
          <w:sz w:val="24"/>
          <w:szCs w:val="24"/>
        </w:rPr>
      </w:pPr>
      <w:r w:rsidRPr="00FA3F9C">
        <w:rPr>
          <w:rFonts w:ascii="Arial" w:hAnsi="Arial" w:cs="Arial"/>
          <w:sz w:val="24"/>
          <w:szCs w:val="24"/>
        </w:rPr>
        <w:t xml:space="preserve">9. </w:t>
      </w:r>
      <w:proofErr w:type="spellStart"/>
      <w:r w:rsidRPr="00FA3F9C">
        <w:rPr>
          <w:rFonts w:ascii="Arial" w:hAnsi="Arial" w:cs="Arial"/>
          <w:sz w:val="24"/>
          <w:szCs w:val="24"/>
        </w:rPr>
        <w:t>Canestaro</w:t>
      </w:r>
      <w:proofErr w:type="spellEnd"/>
      <w:r w:rsidRPr="00FA3F9C">
        <w:rPr>
          <w:rFonts w:ascii="Arial" w:hAnsi="Arial" w:cs="Arial"/>
          <w:sz w:val="24"/>
          <w:szCs w:val="24"/>
        </w:rPr>
        <w:t xml:space="preserve">, W. J., Forrester, S. H., Raghu, G., Ho, L., &amp; Devine, B. E. (2016). Drug treatment of idiopathic pulmonary fibrosis: systematic review and network meta-analysis. </w:t>
      </w:r>
      <w:r w:rsidRPr="00FA3F9C">
        <w:rPr>
          <w:rFonts w:ascii="Arial" w:hAnsi="Arial" w:cs="Arial"/>
          <w:i/>
          <w:iCs/>
          <w:sz w:val="24"/>
          <w:szCs w:val="24"/>
        </w:rPr>
        <w:t>Chest</w:t>
      </w:r>
      <w:r w:rsidRPr="00FA3F9C">
        <w:rPr>
          <w:rFonts w:ascii="Arial" w:hAnsi="Arial" w:cs="Arial"/>
          <w:sz w:val="24"/>
          <w:szCs w:val="24"/>
        </w:rPr>
        <w:t xml:space="preserve">, </w:t>
      </w:r>
      <w:r w:rsidRPr="00FA3F9C">
        <w:rPr>
          <w:rFonts w:ascii="Arial" w:hAnsi="Arial" w:cs="Arial"/>
          <w:i/>
          <w:iCs/>
          <w:sz w:val="24"/>
          <w:szCs w:val="24"/>
        </w:rPr>
        <w:t>149</w:t>
      </w:r>
      <w:r w:rsidRPr="00FA3F9C">
        <w:rPr>
          <w:rFonts w:ascii="Arial" w:hAnsi="Arial" w:cs="Arial"/>
          <w:sz w:val="24"/>
          <w:szCs w:val="24"/>
        </w:rPr>
        <w:t>(3), 756-766.</w:t>
      </w:r>
    </w:p>
    <w:p w14:paraId="1F96242D" w14:textId="77777777" w:rsidR="009B5AA5" w:rsidRPr="00FA3F9C" w:rsidRDefault="009B5AA5"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284"/>
        <w:gridCol w:w="7601"/>
        <w:gridCol w:w="2065"/>
      </w:tblGrid>
      <w:tr w:rsidR="009B5AA5" w:rsidRPr="00FA3F9C" w14:paraId="0D9F194C" w14:textId="77777777" w:rsidTr="002604DB">
        <w:tc>
          <w:tcPr>
            <w:tcW w:w="1124" w:type="dxa"/>
          </w:tcPr>
          <w:p w14:paraId="5DF69ABA" w14:textId="77777777" w:rsidR="009B5AA5" w:rsidRPr="00FA3F9C" w:rsidRDefault="009B5AA5" w:rsidP="006F623F">
            <w:pPr>
              <w:rPr>
                <w:rFonts w:ascii="Arial" w:hAnsi="Arial" w:cs="Arial"/>
                <w:sz w:val="24"/>
                <w:szCs w:val="24"/>
              </w:rPr>
            </w:pPr>
            <w:r w:rsidRPr="00FA3F9C">
              <w:rPr>
                <w:rFonts w:ascii="Arial" w:hAnsi="Arial" w:cs="Arial"/>
                <w:sz w:val="24"/>
                <w:szCs w:val="24"/>
              </w:rPr>
              <w:t>Date</w:t>
            </w:r>
          </w:p>
        </w:tc>
        <w:tc>
          <w:tcPr>
            <w:tcW w:w="7601" w:type="dxa"/>
          </w:tcPr>
          <w:p w14:paraId="589ABD3E" w14:textId="77777777" w:rsidR="009B5AA5" w:rsidRPr="00FA3F9C" w:rsidRDefault="009B5AA5" w:rsidP="006F623F">
            <w:pPr>
              <w:rPr>
                <w:rFonts w:ascii="Arial" w:hAnsi="Arial" w:cs="Arial"/>
                <w:sz w:val="24"/>
                <w:szCs w:val="24"/>
              </w:rPr>
            </w:pPr>
            <w:r w:rsidRPr="00FA3F9C">
              <w:rPr>
                <w:rFonts w:ascii="Arial" w:hAnsi="Arial" w:cs="Arial"/>
                <w:sz w:val="24"/>
                <w:szCs w:val="24"/>
              </w:rPr>
              <w:t>What changed</w:t>
            </w:r>
          </w:p>
        </w:tc>
        <w:tc>
          <w:tcPr>
            <w:tcW w:w="2065" w:type="dxa"/>
          </w:tcPr>
          <w:p w14:paraId="435ACE09" w14:textId="77777777" w:rsidR="009B5AA5" w:rsidRPr="00FA3F9C" w:rsidRDefault="009B5AA5" w:rsidP="006F623F">
            <w:pPr>
              <w:rPr>
                <w:rFonts w:ascii="Arial" w:hAnsi="Arial" w:cs="Arial"/>
                <w:sz w:val="24"/>
                <w:szCs w:val="24"/>
              </w:rPr>
            </w:pPr>
            <w:r w:rsidRPr="00FA3F9C">
              <w:rPr>
                <w:rFonts w:ascii="Arial" w:hAnsi="Arial" w:cs="Arial"/>
                <w:sz w:val="24"/>
                <w:szCs w:val="24"/>
              </w:rPr>
              <w:t>Pharmacist’s initials</w:t>
            </w:r>
          </w:p>
        </w:tc>
      </w:tr>
      <w:tr w:rsidR="009B5AA5" w:rsidRPr="00FA3F9C" w14:paraId="250ABA43" w14:textId="77777777" w:rsidTr="002604DB">
        <w:tc>
          <w:tcPr>
            <w:tcW w:w="1124" w:type="dxa"/>
          </w:tcPr>
          <w:p w14:paraId="2B9A2CE9" w14:textId="77777777" w:rsidR="009B5AA5" w:rsidRPr="00FA3F9C" w:rsidRDefault="009B5AA5" w:rsidP="006F623F">
            <w:pPr>
              <w:rPr>
                <w:rFonts w:ascii="Arial" w:hAnsi="Arial" w:cs="Arial"/>
                <w:sz w:val="24"/>
                <w:szCs w:val="24"/>
              </w:rPr>
            </w:pPr>
            <w:r w:rsidRPr="00FA3F9C">
              <w:rPr>
                <w:rFonts w:ascii="Arial" w:hAnsi="Arial" w:cs="Arial"/>
                <w:sz w:val="24"/>
                <w:szCs w:val="24"/>
              </w:rPr>
              <w:t>2/6/15</w:t>
            </w:r>
          </w:p>
        </w:tc>
        <w:tc>
          <w:tcPr>
            <w:tcW w:w="7601" w:type="dxa"/>
          </w:tcPr>
          <w:p w14:paraId="54B9B83E" w14:textId="77777777" w:rsidR="009B5AA5" w:rsidRPr="00FA3F9C" w:rsidRDefault="009B5AA5" w:rsidP="006F623F">
            <w:pPr>
              <w:rPr>
                <w:rFonts w:ascii="Arial" w:hAnsi="Arial" w:cs="Arial"/>
                <w:sz w:val="24"/>
                <w:szCs w:val="24"/>
              </w:rPr>
            </w:pPr>
            <w:r w:rsidRPr="00FA3F9C">
              <w:rPr>
                <w:rFonts w:ascii="Arial" w:hAnsi="Arial" w:cs="Arial"/>
                <w:sz w:val="24"/>
                <w:szCs w:val="24"/>
              </w:rPr>
              <w:t>I wrote the criteria.</w:t>
            </w:r>
          </w:p>
        </w:tc>
        <w:tc>
          <w:tcPr>
            <w:tcW w:w="2065" w:type="dxa"/>
          </w:tcPr>
          <w:p w14:paraId="73DDF4F1" w14:textId="77777777" w:rsidR="009B5AA5" w:rsidRPr="00FA3F9C" w:rsidRDefault="009B5AA5" w:rsidP="006F623F">
            <w:pPr>
              <w:rPr>
                <w:rFonts w:ascii="Arial" w:hAnsi="Arial" w:cs="Arial"/>
                <w:sz w:val="24"/>
                <w:szCs w:val="24"/>
              </w:rPr>
            </w:pPr>
            <w:r w:rsidRPr="00FA3F9C">
              <w:rPr>
                <w:rFonts w:ascii="Arial" w:hAnsi="Arial" w:cs="Arial"/>
                <w:sz w:val="24"/>
                <w:szCs w:val="24"/>
              </w:rPr>
              <w:t>JJ</w:t>
            </w:r>
          </w:p>
        </w:tc>
      </w:tr>
      <w:tr w:rsidR="009B5AA5" w:rsidRPr="00FA3F9C" w14:paraId="4F295391" w14:textId="77777777" w:rsidTr="002604DB">
        <w:tc>
          <w:tcPr>
            <w:tcW w:w="1124" w:type="dxa"/>
          </w:tcPr>
          <w:p w14:paraId="279867CB" w14:textId="77777777" w:rsidR="009B5AA5" w:rsidRPr="00FA3F9C" w:rsidRDefault="009B5AA5" w:rsidP="006F623F">
            <w:pPr>
              <w:rPr>
                <w:rFonts w:ascii="Arial" w:hAnsi="Arial" w:cs="Arial"/>
                <w:sz w:val="24"/>
                <w:szCs w:val="24"/>
              </w:rPr>
            </w:pPr>
            <w:r w:rsidRPr="00FA3F9C">
              <w:rPr>
                <w:rFonts w:ascii="Arial" w:hAnsi="Arial" w:cs="Arial"/>
                <w:sz w:val="24"/>
                <w:szCs w:val="24"/>
              </w:rPr>
              <w:lastRenderedPageBreak/>
              <w:t>2/26/15</w:t>
            </w:r>
          </w:p>
        </w:tc>
        <w:tc>
          <w:tcPr>
            <w:tcW w:w="7601" w:type="dxa"/>
          </w:tcPr>
          <w:p w14:paraId="1CD2AD37" w14:textId="77777777" w:rsidR="009B5AA5" w:rsidRPr="00FA3F9C" w:rsidRDefault="009B5AA5" w:rsidP="006F623F">
            <w:pPr>
              <w:rPr>
                <w:rFonts w:ascii="Arial" w:hAnsi="Arial" w:cs="Arial"/>
                <w:sz w:val="24"/>
                <w:szCs w:val="24"/>
              </w:rPr>
            </w:pPr>
            <w:r w:rsidRPr="00FA3F9C">
              <w:rPr>
                <w:rFonts w:ascii="Arial" w:hAnsi="Arial" w:cs="Arial"/>
                <w:sz w:val="24"/>
                <w:szCs w:val="24"/>
              </w:rPr>
              <w:t>I added info regarding the 6MWT and MCID.  From supplementary materials, ref 2, NEJM website.  I also added the NICE website, ref #5, and the continuation criteria.</w:t>
            </w:r>
          </w:p>
        </w:tc>
        <w:tc>
          <w:tcPr>
            <w:tcW w:w="2065" w:type="dxa"/>
          </w:tcPr>
          <w:p w14:paraId="594BE1FC" w14:textId="77777777" w:rsidR="009B5AA5" w:rsidRPr="00FA3F9C" w:rsidRDefault="009B5AA5" w:rsidP="006F623F">
            <w:pPr>
              <w:rPr>
                <w:rFonts w:ascii="Arial" w:hAnsi="Arial" w:cs="Arial"/>
                <w:sz w:val="24"/>
                <w:szCs w:val="24"/>
              </w:rPr>
            </w:pPr>
            <w:r w:rsidRPr="00FA3F9C">
              <w:rPr>
                <w:rFonts w:ascii="Arial" w:hAnsi="Arial" w:cs="Arial"/>
                <w:sz w:val="24"/>
                <w:szCs w:val="24"/>
              </w:rPr>
              <w:t>JJ</w:t>
            </w:r>
          </w:p>
        </w:tc>
      </w:tr>
      <w:tr w:rsidR="009B5AA5" w:rsidRPr="00FA3F9C" w14:paraId="4F2E1FAF" w14:textId="77777777" w:rsidTr="002604DB">
        <w:tc>
          <w:tcPr>
            <w:tcW w:w="1124" w:type="dxa"/>
          </w:tcPr>
          <w:p w14:paraId="7F77C567" w14:textId="77777777" w:rsidR="009B5AA5" w:rsidRPr="00FA3F9C" w:rsidRDefault="009B5AA5" w:rsidP="006F623F">
            <w:pPr>
              <w:rPr>
                <w:rFonts w:ascii="Arial" w:hAnsi="Arial" w:cs="Arial"/>
                <w:sz w:val="24"/>
                <w:szCs w:val="24"/>
              </w:rPr>
            </w:pPr>
            <w:r w:rsidRPr="00FA3F9C">
              <w:rPr>
                <w:rFonts w:ascii="Arial" w:hAnsi="Arial" w:cs="Arial"/>
                <w:sz w:val="24"/>
                <w:szCs w:val="24"/>
              </w:rPr>
              <w:t>4/22/19</w:t>
            </w:r>
          </w:p>
        </w:tc>
        <w:tc>
          <w:tcPr>
            <w:tcW w:w="7601" w:type="dxa"/>
          </w:tcPr>
          <w:p w14:paraId="30DCF78E" w14:textId="77777777" w:rsidR="009B5AA5" w:rsidRPr="00FA3F9C" w:rsidRDefault="009B5AA5" w:rsidP="006F623F">
            <w:pPr>
              <w:rPr>
                <w:rFonts w:ascii="Arial" w:hAnsi="Arial" w:cs="Arial"/>
                <w:sz w:val="24"/>
                <w:szCs w:val="24"/>
              </w:rPr>
            </w:pPr>
            <w:r w:rsidRPr="00FA3F9C">
              <w:rPr>
                <w:rFonts w:ascii="Arial" w:hAnsi="Arial" w:cs="Arial"/>
                <w:sz w:val="24"/>
                <w:szCs w:val="24"/>
              </w:rPr>
              <w:t>I added references 6 and beyond.</w:t>
            </w:r>
          </w:p>
        </w:tc>
        <w:tc>
          <w:tcPr>
            <w:tcW w:w="2065" w:type="dxa"/>
          </w:tcPr>
          <w:p w14:paraId="2811D53C" w14:textId="77777777" w:rsidR="009B5AA5" w:rsidRPr="00FA3F9C" w:rsidRDefault="009B5AA5" w:rsidP="006F623F">
            <w:pPr>
              <w:rPr>
                <w:rFonts w:ascii="Arial" w:hAnsi="Arial" w:cs="Arial"/>
                <w:sz w:val="24"/>
                <w:szCs w:val="24"/>
              </w:rPr>
            </w:pPr>
            <w:r w:rsidRPr="00FA3F9C">
              <w:rPr>
                <w:rFonts w:ascii="Arial" w:hAnsi="Arial" w:cs="Arial"/>
                <w:sz w:val="24"/>
                <w:szCs w:val="24"/>
              </w:rPr>
              <w:t>JJ</w:t>
            </w:r>
          </w:p>
        </w:tc>
      </w:tr>
      <w:tr w:rsidR="009B5AA5" w:rsidRPr="00FA3F9C" w14:paraId="6C81FAE5" w14:textId="77777777" w:rsidTr="002604DB">
        <w:tc>
          <w:tcPr>
            <w:tcW w:w="1124" w:type="dxa"/>
          </w:tcPr>
          <w:p w14:paraId="378261F4" w14:textId="77777777" w:rsidR="009B5AA5" w:rsidRPr="00FA3F9C" w:rsidRDefault="009B5AA5" w:rsidP="006F623F">
            <w:pPr>
              <w:rPr>
                <w:rFonts w:ascii="Arial" w:hAnsi="Arial" w:cs="Arial"/>
                <w:sz w:val="24"/>
                <w:szCs w:val="24"/>
              </w:rPr>
            </w:pPr>
            <w:r w:rsidRPr="00FA3F9C">
              <w:rPr>
                <w:rFonts w:ascii="Arial" w:hAnsi="Arial" w:cs="Arial"/>
                <w:sz w:val="24"/>
                <w:szCs w:val="24"/>
              </w:rPr>
              <w:t>11/5/2020</w:t>
            </w:r>
          </w:p>
        </w:tc>
        <w:tc>
          <w:tcPr>
            <w:tcW w:w="7601" w:type="dxa"/>
          </w:tcPr>
          <w:p w14:paraId="1FF49E44" w14:textId="77777777" w:rsidR="009B5AA5" w:rsidRPr="00FA3F9C" w:rsidRDefault="009B5AA5" w:rsidP="006F623F">
            <w:pPr>
              <w:rPr>
                <w:rFonts w:ascii="Arial" w:hAnsi="Arial" w:cs="Arial"/>
                <w:sz w:val="24"/>
                <w:szCs w:val="24"/>
              </w:rPr>
            </w:pPr>
            <w:r w:rsidRPr="00FA3F9C">
              <w:rPr>
                <w:rFonts w:ascii="Arial" w:hAnsi="Arial" w:cs="Arial"/>
                <w:sz w:val="24"/>
                <w:szCs w:val="24"/>
              </w:rPr>
              <w:t>I deleted “U of A” as a title because EBRx uses these criteria too.</w:t>
            </w:r>
          </w:p>
        </w:tc>
        <w:tc>
          <w:tcPr>
            <w:tcW w:w="2065" w:type="dxa"/>
          </w:tcPr>
          <w:p w14:paraId="06685B44" w14:textId="77777777" w:rsidR="009B5AA5" w:rsidRPr="00FA3F9C" w:rsidRDefault="009B5AA5" w:rsidP="006F623F">
            <w:pPr>
              <w:rPr>
                <w:rFonts w:ascii="Arial" w:hAnsi="Arial" w:cs="Arial"/>
                <w:sz w:val="24"/>
                <w:szCs w:val="24"/>
              </w:rPr>
            </w:pPr>
            <w:r w:rsidRPr="00FA3F9C">
              <w:rPr>
                <w:rFonts w:ascii="Arial" w:hAnsi="Arial" w:cs="Arial"/>
                <w:sz w:val="24"/>
                <w:szCs w:val="24"/>
              </w:rPr>
              <w:t>JJ</w:t>
            </w:r>
          </w:p>
        </w:tc>
      </w:tr>
      <w:tr w:rsidR="009B5AA5" w:rsidRPr="00FA3F9C" w14:paraId="65006A26" w14:textId="77777777" w:rsidTr="002604DB">
        <w:tc>
          <w:tcPr>
            <w:tcW w:w="1124" w:type="dxa"/>
          </w:tcPr>
          <w:p w14:paraId="51831010" w14:textId="77777777" w:rsidR="009B5AA5" w:rsidRPr="00FA3F9C" w:rsidRDefault="009B5AA5" w:rsidP="006F623F">
            <w:pPr>
              <w:rPr>
                <w:rFonts w:ascii="Arial" w:hAnsi="Arial" w:cs="Arial"/>
                <w:sz w:val="24"/>
                <w:szCs w:val="24"/>
              </w:rPr>
            </w:pPr>
            <w:r w:rsidRPr="00FA3F9C">
              <w:rPr>
                <w:rFonts w:ascii="Arial" w:hAnsi="Arial" w:cs="Arial"/>
                <w:sz w:val="24"/>
                <w:szCs w:val="24"/>
              </w:rPr>
              <w:t>4/1/21</w:t>
            </w:r>
          </w:p>
        </w:tc>
        <w:tc>
          <w:tcPr>
            <w:tcW w:w="7601" w:type="dxa"/>
          </w:tcPr>
          <w:p w14:paraId="2C0C0CCE" w14:textId="77777777" w:rsidR="009B5AA5" w:rsidRPr="00FA3F9C" w:rsidRDefault="009B5AA5" w:rsidP="006F623F">
            <w:pPr>
              <w:rPr>
                <w:rFonts w:ascii="Arial" w:hAnsi="Arial" w:cs="Arial"/>
                <w:sz w:val="24"/>
                <w:szCs w:val="24"/>
              </w:rPr>
            </w:pPr>
            <w:r w:rsidRPr="00FA3F9C">
              <w:rPr>
                <w:rFonts w:ascii="Arial" w:hAnsi="Arial" w:cs="Arial"/>
                <w:sz w:val="24"/>
                <w:szCs w:val="24"/>
              </w:rPr>
              <w:t>Applied EBRx criteria to UAS plan.</w:t>
            </w:r>
          </w:p>
        </w:tc>
        <w:tc>
          <w:tcPr>
            <w:tcW w:w="2065" w:type="dxa"/>
          </w:tcPr>
          <w:p w14:paraId="65541041" w14:textId="77777777" w:rsidR="009B5AA5" w:rsidRPr="00FA3F9C" w:rsidRDefault="009B5AA5" w:rsidP="006F623F">
            <w:pPr>
              <w:rPr>
                <w:rFonts w:ascii="Arial" w:hAnsi="Arial" w:cs="Arial"/>
                <w:sz w:val="24"/>
                <w:szCs w:val="24"/>
              </w:rPr>
            </w:pPr>
            <w:r w:rsidRPr="00FA3F9C">
              <w:rPr>
                <w:rFonts w:ascii="Arial" w:hAnsi="Arial" w:cs="Arial"/>
                <w:sz w:val="24"/>
                <w:szCs w:val="24"/>
              </w:rPr>
              <w:t>JJ</w:t>
            </w:r>
          </w:p>
        </w:tc>
      </w:tr>
    </w:tbl>
    <w:p w14:paraId="5BF51A28" w14:textId="77777777" w:rsidR="009B5AA5" w:rsidRPr="00FA3F9C" w:rsidRDefault="009B5AA5" w:rsidP="006F623F">
      <w:pPr>
        <w:spacing w:after="0"/>
        <w:rPr>
          <w:rFonts w:ascii="Arial" w:hAnsi="Arial" w:cs="Arial"/>
          <w:sz w:val="24"/>
          <w:szCs w:val="24"/>
        </w:rPr>
      </w:pPr>
    </w:p>
    <w:p w14:paraId="1CC3850A" w14:textId="77777777" w:rsidR="002B2097" w:rsidRDefault="009B5AA5" w:rsidP="002B2097">
      <w:pPr>
        <w:pStyle w:val="Heading2"/>
      </w:pPr>
      <w:bookmarkStart w:id="275" w:name="_Toc106369900"/>
      <w:proofErr w:type="spellStart"/>
      <w:r w:rsidRPr="00FA3F9C">
        <w:t>Pitolisant</w:t>
      </w:r>
      <w:proofErr w:type="spellEnd"/>
      <w:r w:rsidRPr="00FA3F9C">
        <w:t xml:space="preserve"> (</w:t>
      </w:r>
      <w:proofErr w:type="spellStart"/>
      <w:r w:rsidRPr="00FA3F9C">
        <w:t>Wakix</w:t>
      </w:r>
      <w:proofErr w:type="spellEnd"/>
      <w:r w:rsidRPr="00FA3F9C">
        <w:t>)</w:t>
      </w:r>
      <w:bookmarkEnd w:id="275"/>
      <w:r w:rsidRPr="00FA3F9C">
        <w:t xml:space="preserve"> </w:t>
      </w:r>
    </w:p>
    <w:p w14:paraId="5B794BF9" w14:textId="74167641" w:rsidR="009B5AA5" w:rsidRPr="00FA3F9C" w:rsidRDefault="009B5AA5" w:rsidP="006F623F">
      <w:pPr>
        <w:spacing w:after="0"/>
        <w:jc w:val="center"/>
        <w:rPr>
          <w:rFonts w:ascii="Arial" w:hAnsi="Arial" w:cs="Arial"/>
          <w:sz w:val="24"/>
          <w:szCs w:val="24"/>
        </w:rPr>
      </w:pPr>
      <w:r w:rsidRPr="00FA3F9C">
        <w:rPr>
          <w:rFonts w:ascii="Arial" w:hAnsi="Arial" w:cs="Arial"/>
          <w:sz w:val="24"/>
          <w:szCs w:val="24"/>
        </w:rPr>
        <w:t>4.45 and 17.8mg tablets</w:t>
      </w:r>
    </w:p>
    <w:p w14:paraId="576481B9" w14:textId="77777777" w:rsidR="009B5AA5" w:rsidRPr="00FA3F9C" w:rsidRDefault="009B5AA5" w:rsidP="006F623F">
      <w:pPr>
        <w:spacing w:after="0"/>
        <w:jc w:val="center"/>
        <w:rPr>
          <w:rFonts w:ascii="Arial" w:hAnsi="Arial" w:cs="Arial"/>
          <w:sz w:val="24"/>
          <w:szCs w:val="24"/>
        </w:rPr>
      </w:pPr>
      <w:r w:rsidRPr="00FA3F9C">
        <w:rPr>
          <w:rFonts w:ascii="Arial" w:hAnsi="Arial" w:cs="Arial"/>
          <w:sz w:val="24"/>
          <w:szCs w:val="24"/>
        </w:rPr>
        <w:t>EBRx PA Criteria</w:t>
      </w:r>
    </w:p>
    <w:p w14:paraId="45D1701F" w14:textId="77777777" w:rsidR="009B5AA5" w:rsidRPr="00FA3F9C" w:rsidRDefault="009B5AA5" w:rsidP="006F623F">
      <w:pPr>
        <w:spacing w:after="0"/>
        <w:rPr>
          <w:rFonts w:ascii="Arial" w:hAnsi="Arial" w:cs="Arial"/>
          <w:b/>
          <w:sz w:val="24"/>
          <w:szCs w:val="24"/>
          <w:u w:val="single"/>
        </w:rPr>
      </w:pPr>
    </w:p>
    <w:p w14:paraId="0EC72DE8" w14:textId="77777777" w:rsidR="009B5AA5" w:rsidRPr="00FA3F9C" w:rsidRDefault="009B5AA5"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w:t>
      </w:r>
      <w:r w:rsidRPr="00FA3F9C">
        <w:rPr>
          <w:rFonts w:ascii="Arial" w:eastAsia="Times New Roman" w:hAnsi="Arial" w:cs="Arial"/>
          <w:color w:val="212121"/>
          <w:sz w:val="24"/>
          <w:szCs w:val="24"/>
        </w:rPr>
        <w:t>treatment of excess daytime sleepiness or cataplexy in adult patients with narcolepsy</w:t>
      </w:r>
    </w:p>
    <w:p w14:paraId="0A38CC31" w14:textId="77777777" w:rsidR="009B5AA5" w:rsidRPr="00FA3F9C" w:rsidRDefault="009B5AA5" w:rsidP="006F623F">
      <w:pPr>
        <w:spacing w:after="0"/>
        <w:rPr>
          <w:rFonts w:ascii="Arial" w:hAnsi="Arial" w:cs="Arial"/>
          <w:sz w:val="24"/>
          <w:szCs w:val="24"/>
        </w:rPr>
      </w:pPr>
    </w:p>
    <w:tbl>
      <w:tblPr>
        <w:tblStyle w:val="TableGrid"/>
        <w:tblW w:w="0" w:type="auto"/>
        <w:shd w:val="clear" w:color="auto" w:fill="BFBFBF" w:themeFill="background1" w:themeFillShade="BF"/>
        <w:tblLook w:val="04A0" w:firstRow="1" w:lastRow="0" w:firstColumn="1" w:lastColumn="0" w:noHBand="0" w:noVBand="1"/>
      </w:tblPr>
      <w:tblGrid>
        <w:gridCol w:w="13602"/>
      </w:tblGrid>
      <w:tr w:rsidR="009B5AA5" w:rsidRPr="00FA3F9C" w14:paraId="128673DE" w14:textId="77777777" w:rsidTr="00082EE4">
        <w:tc>
          <w:tcPr>
            <w:tcW w:w="10790" w:type="dxa"/>
            <w:tcBorders>
              <w:bottom w:val="single" w:sz="4" w:space="0" w:color="auto"/>
            </w:tcBorders>
            <w:shd w:val="clear" w:color="auto" w:fill="000000" w:themeFill="text1"/>
          </w:tcPr>
          <w:p w14:paraId="3FFE1C0A" w14:textId="77777777" w:rsidR="009B5AA5" w:rsidRPr="00FA3F9C" w:rsidRDefault="009B5AA5" w:rsidP="00571CAB">
            <w:pPr>
              <w:rPr>
                <w:rFonts w:ascii="Arial" w:hAnsi="Arial" w:cs="Arial"/>
                <w:sz w:val="24"/>
                <w:szCs w:val="24"/>
              </w:rPr>
            </w:pPr>
            <w:r w:rsidRPr="00FA3F9C">
              <w:rPr>
                <w:rFonts w:ascii="Arial" w:hAnsi="Arial" w:cs="Arial"/>
                <w:sz w:val="24"/>
                <w:szCs w:val="24"/>
              </w:rPr>
              <w:t>Narcolepsy w/ Cataplexy</w:t>
            </w:r>
          </w:p>
        </w:tc>
      </w:tr>
      <w:tr w:rsidR="009B5AA5" w:rsidRPr="00FA3F9C" w14:paraId="69A17992" w14:textId="77777777" w:rsidTr="00082EE4">
        <w:tc>
          <w:tcPr>
            <w:tcW w:w="10790" w:type="dxa"/>
            <w:shd w:val="clear" w:color="auto" w:fill="auto"/>
          </w:tcPr>
          <w:p w14:paraId="4B17C305" w14:textId="77777777" w:rsidR="009B5AA5" w:rsidRPr="00FA3F9C" w:rsidRDefault="009B5AA5" w:rsidP="00062BD4">
            <w:pPr>
              <w:rPr>
                <w:rFonts w:ascii="Arial" w:hAnsi="Arial" w:cs="Arial"/>
                <w:sz w:val="24"/>
                <w:szCs w:val="24"/>
              </w:rPr>
            </w:pPr>
            <w:r w:rsidRPr="00FA3F9C">
              <w:rPr>
                <w:rFonts w:ascii="Arial" w:hAnsi="Arial" w:cs="Arial"/>
                <w:sz w:val="24"/>
                <w:szCs w:val="24"/>
              </w:rPr>
              <w:t>1. The patient must have the diagnosis of narcolepsy with cataplexy.</w:t>
            </w:r>
          </w:p>
        </w:tc>
      </w:tr>
      <w:tr w:rsidR="009B5AA5" w:rsidRPr="00FA3F9C" w14:paraId="0DD541C6" w14:textId="77777777" w:rsidTr="00082EE4">
        <w:tc>
          <w:tcPr>
            <w:tcW w:w="10790" w:type="dxa"/>
            <w:shd w:val="clear" w:color="auto" w:fill="auto"/>
          </w:tcPr>
          <w:p w14:paraId="72C1BF4F" w14:textId="77777777" w:rsidR="009B5AA5" w:rsidRPr="00FA3F9C" w:rsidRDefault="009B5AA5" w:rsidP="00062BD4">
            <w:pPr>
              <w:rPr>
                <w:rFonts w:ascii="Arial" w:hAnsi="Arial" w:cs="Arial"/>
                <w:sz w:val="24"/>
                <w:szCs w:val="24"/>
              </w:rPr>
            </w:pPr>
            <w:r w:rsidRPr="00FA3F9C">
              <w:rPr>
                <w:rFonts w:ascii="Arial" w:hAnsi="Arial" w:cs="Arial"/>
                <w:sz w:val="24"/>
                <w:szCs w:val="24"/>
              </w:rPr>
              <w:t>2. The patient must have at least 3 cataplexy episodes per week, prior to appropriate treatment and as documented in the medical record.</w:t>
            </w:r>
          </w:p>
        </w:tc>
      </w:tr>
      <w:tr w:rsidR="009B5AA5" w:rsidRPr="00FA3F9C" w14:paraId="0F38FCC5" w14:textId="77777777" w:rsidTr="00082EE4">
        <w:tc>
          <w:tcPr>
            <w:tcW w:w="10790" w:type="dxa"/>
            <w:tcBorders>
              <w:bottom w:val="single" w:sz="4" w:space="0" w:color="auto"/>
            </w:tcBorders>
            <w:shd w:val="clear" w:color="auto" w:fill="BFBFBF" w:themeFill="background1" w:themeFillShade="BF"/>
          </w:tcPr>
          <w:p w14:paraId="4948F703" w14:textId="77777777" w:rsidR="009B5AA5" w:rsidRPr="00FA3F9C" w:rsidRDefault="009B5AA5" w:rsidP="006F623F">
            <w:pPr>
              <w:rPr>
                <w:rFonts w:ascii="Arial" w:hAnsi="Arial" w:cs="Arial"/>
                <w:b/>
                <w:sz w:val="24"/>
                <w:szCs w:val="24"/>
              </w:rPr>
            </w:pPr>
            <w:r w:rsidRPr="00FA3F9C">
              <w:rPr>
                <w:rFonts w:ascii="Arial" w:hAnsi="Arial" w:cs="Arial"/>
                <w:b/>
                <w:sz w:val="24"/>
                <w:szCs w:val="24"/>
              </w:rPr>
              <w:t xml:space="preserve">If </w:t>
            </w:r>
            <w:proofErr w:type="gramStart"/>
            <w:r w:rsidRPr="00FA3F9C">
              <w:rPr>
                <w:rFonts w:ascii="Arial" w:hAnsi="Arial" w:cs="Arial"/>
                <w:b/>
                <w:sz w:val="24"/>
                <w:szCs w:val="24"/>
              </w:rPr>
              <w:t>all of</w:t>
            </w:r>
            <w:proofErr w:type="gramEnd"/>
            <w:r w:rsidRPr="00FA3F9C">
              <w:rPr>
                <w:rFonts w:ascii="Arial" w:hAnsi="Arial" w:cs="Arial"/>
                <w:b/>
                <w:sz w:val="24"/>
                <w:szCs w:val="24"/>
              </w:rPr>
              <w:t xml:space="preserve"> the above criteria are met, approve for 1 year</w:t>
            </w:r>
          </w:p>
        </w:tc>
      </w:tr>
      <w:tr w:rsidR="009B5AA5" w:rsidRPr="00FA3F9C" w14:paraId="49C3ED7A" w14:textId="77777777" w:rsidTr="00082EE4">
        <w:trPr>
          <w:trHeight w:val="2069"/>
        </w:trPr>
        <w:tc>
          <w:tcPr>
            <w:tcW w:w="10790" w:type="dxa"/>
            <w:shd w:val="clear" w:color="auto" w:fill="BFBFBF" w:themeFill="background1" w:themeFillShade="BF"/>
          </w:tcPr>
          <w:p w14:paraId="1845BA68" w14:textId="77777777" w:rsidR="009B5AA5" w:rsidRPr="00FA3F9C" w:rsidRDefault="009B5AA5" w:rsidP="00082EE4">
            <w:pPr>
              <w:shd w:val="clear" w:color="auto" w:fill="FFFFFF"/>
              <w:rPr>
                <w:rFonts w:ascii="Arial" w:eastAsia="Times New Roman" w:hAnsi="Arial" w:cs="Arial"/>
                <w:color w:val="212121"/>
                <w:sz w:val="24"/>
                <w:szCs w:val="24"/>
                <w:highlight w:val="lightGray"/>
              </w:rPr>
            </w:pPr>
            <w:r w:rsidRPr="00FA3F9C">
              <w:rPr>
                <w:rFonts w:ascii="Arial" w:hAnsi="Arial" w:cs="Arial"/>
                <w:sz w:val="24"/>
                <w:szCs w:val="24"/>
                <w:highlight w:val="lightGray"/>
              </w:rPr>
              <w:t xml:space="preserve">Dose: </w:t>
            </w:r>
            <w:r w:rsidRPr="00FA3F9C">
              <w:rPr>
                <w:rFonts w:ascii="Arial" w:eastAsia="Times New Roman" w:hAnsi="Arial" w:cs="Arial"/>
                <w:color w:val="212121"/>
                <w:sz w:val="24"/>
                <w:szCs w:val="24"/>
                <w:highlight w:val="lightGray"/>
              </w:rPr>
              <w:t>8.9 po QD initially, titrate up to 17.8 mg QD after one week (max dose: 35.6 mg po QD)</w:t>
            </w:r>
          </w:p>
          <w:p w14:paraId="460CDB08" w14:textId="77777777" w:rsidR="009B5AA5" w:rsidRPr="00FA3F9C" w:rsidRDefault="009B5AA5" w:rsidP="000C3539">
            <w:pPr>
              <w:rPr>
                <w:rFonts w:ascii="Arial" w:hAnsi="Arial" w:cs="Arial"/>
                <w:sz w:val="24"/>
                <w:szCs w:val="24"/>
                <w:highlight w:val="lightGray"/>
              </w:rPr>
            </w:pPr>
          </w:p>
          <w:p w14:paraId="763BA509" w14:textId="77777777" w:rsidR="009B5AA5" w:rsidRPr="00FA3F9C" w:rsidRDefault="009B5AA5" w:rsidP="00082EE4">
            <w:pPr>
              <w:shd w:val="clear" w:color="auto" w:fill="FFFFFF"/>
              <w:rPr>
                <w:rFonts w:ascii="Arial" w:eastAsia="Times New Roman" w:hAnsi="Arial" w:cs="Arial"/>
                <w:b/>
                <w:bCs/>
                <w:color w:val="212121"/>
                <w:sz w:val="24"/>
                <w:szCs w:val="24"/>
                <w:highlight w:val="lightGray"/>
              </w:rPr>
            </w:pPr>
            <w:r w:rsidRPr="00FA3F9C">
              <w:rPr>
                <w:rFonts w:ascii="Arial" w:eastAsia="Times New Roman" w:hAnsi="Arial" w:cs="Arial"/>
                <w:b/>
                <w:bCs/>
                <w:color w:val="212121"/>
                <w:sz w:val="24"/>
                <w:szCs w:val="24"/>
                <w:highlight w:val="lightGray"/>
              </w:rPr>
              <w:t>References:</w:t>
            </w:r>
          </w:p>
          <w:p w14:paraId="69373005" w14:textId="77777777" w:rsidR="009B5AA5" w:rsidRPr="00FA3F9C" w:rsidRDefault="009B5AA5" w:rsidP="00FC1E85">
            <w:pPr>
              <w:pStyle w:val="ListParagraph"/>
              <w:numPr>
                <w:ilvl w:val="0"/>
                <w:numId w:val="436"/>
              </w:numPr>
              <w:shd w:val="clear" w:color="auto" w:fill="FFFFFF"/>
              <w:ind w:left="270"/>
              <w:rPr>
                <w:rFonts w:ascii="Arial" w:hAnsi="Arial" w:cs="Arial"/>
                <w:sz w:val="24"/>
                <w:szCs w:val="24"/>
                <w:highlight w:val="lightGray"/>
              </w:rPr>
            </w:pPr>
            <w:r w:rsidRPr="00FA3F9C">
              <w:rPr>
                <w:rFonts w:ascii="Arial" w:hAnsi="Arial" w:cs="Arial"/>
                <w:sz w:val="24"/>
                <w:szCs w:val="24"/>
                <w:highlight w:val="lightGray"/>
                <w:lang w:val="fr-FR"/>
              </w:rPr>
              <w:t xml:space="preserve">Carter, Lawrence P et al. </w:t>
            </w:r>
            <w:r w:rsidRPr="00FA3F9C">
              <w:rPr>
                <w:rFonts w:ascii="Arial" w:hAnsi="Arial" w:cs="Arial"/>
                <w:sz w:val="24"/>
                <w:szCs w:val="24"/>
                <w:highlight w:val="lightGray"/>
              </w:rPr>
              <w:t xml:space="preserve">“A randomized, double-blind, placebo-controlled, crossover study to evaluate the human abuse liability of </w:t>
            </w:r>
            <w:proofErr w:type="spellStart"/>
            <w:r w:rsidRPr="00FA3F9C">
              <w:rPr>
                <w:rFonts w:ascii="Arial" w:hAnsi="Arial" w:cs="Arial"/>
                <w:sz w:val="24"/>
                <w:szCs w:val="24"/>
                <w:highlight w:val="lightGray"/>
              </w:rPr>
              <w:t>solriamfetol</w:t>
            </w:r>
            <w:proofErr w:type="spellEnd"/>
            <w:r w:rsidRPr="00FA3F9C">
              <w:rPr>
                <w:rFonts w:ascii="Arial" w:hAnsi="Arial" w:cs="Arial"/>
                <w:sz w:val="24"/>
                <w:szCs w:val="24"/>
                <w:highlight w:val="lightGray"/>
              </w:rPr>
              <w:t>, a selective dopamine and norepinephrine reuptake inhibitor.” Journal of psychopharmacology (Oxford, England) vol. 32,12 (2018): 1351-1361. doi:10.1177/0269881118796814</w:t>
            </w:r>
          </w:p>
          <w:p w14:paraId="053A236F" w14:textId="77777777" w:rsidR="009B5AA5" w:rsidRPr="00FA3F9C" w:rsidRDefault="009B5AA5" w:rsidP="00FC1E85">
            <w:pPr>
              <w:pStyle w:val="ListParagraph"/>
              <w:numPr>
                <w:ilvl w:val="0"/>
                <w:numId w:val="436"/>
              </w:numPr>
              <w:shd w:val="clear" w:color="auto" w:fill="FFFFFF"/>
              <w:ind w:left="270"/>
              <w:rPr>
                <w:rFonts w:ascii="Arial" w:hAnsi="Arial" w:cs="Arial"/>
                <w:sz w:val="24"/>
                <w:szCs w:val="24"/>
                <w:highlight w:val="lightGray"/>
              </w:rPr>
            </w:pPr>
            <w:proofErr w:type="spellStart"/>
            <w:r w:rsidRPr="00FA3F9C">
              <w:rPr>
                <w:rFonts w:ascii="Arial" w:hAnsi="Arial" w:cs="Arial"/>
                <w:sz w:val="24"/>
                <w:szCs w:val="24"/>
                <w:highlight w:val="lightGray"/>
              </w:rPr>
              <w:t>Dauvilliers</w:t>
            </w:r>
            <w:proofErr w:type="spellEnd"/>
            <w:r w:rsidRPr="00FA3F9C">
              <w:rPr>
                <w:rFonts w:ascii="Arial" w:hAnsi="Arial" w:cs="Arial"/>
                <w:sz w:val="24"/>
                <w:szCs w:val="24"/>
                <w:highlight w:val="lightGray"/>
              </w:rPr>
              <w:t xml:space="preserve">, Y., </w:t>
            </w:r>
            <w:proofErr w:type="spellStart"/>
            <w:r w:rsidRPr="00FA3F9C">
              <w:rPr>
                <w:rFonts w:ascii="Arial" w:hAnsi="Arial" w:cs="Arial"/>
                <w:sz w:val="24"/>
                <w:szCs w:val="24"/>
                <w:highlight w:val="lightGray"/>
              </w:rPr>
              <w:t>Bassetti</w:t>
            </w:r>
            <w:proofErr w:type="spellEnd"/>
            <w:r w:rsidRPr="00FA3F9C">
              <w:rPr>
                <w:rFonts w:ascii="Arial" w:hAnsi="Arial" w:cs="Arial"/>
                <w:sz w:val="24"/>
                <w:szCs w:val="24"/>
                <w:highlight w:val="lightGray"/>
              </w:rPr>
              <w:t xml:space="preserve">, C., Lammers, G. J., Arnulf, I., Mayer, G., </w:t>
            </w:r>
            <w:proofErr w:type="spellStart"/>
            <w:r w:rsidRPr="00FA3F9C">
              <w:rPr>
                <w:rFonts w:ascii="Arial" w:hAnsi="Arial" w:cs="Arial"/>
                <w:sz w:val="24"/>
                <w:szCs w:val="24"/>
                <w:highlight w:val="lightGray"/>
              </w:rPr>
              <w:t>Rodenbeck</w:t>
            </w:r>
            <w:proofErr w:type="spellEnd"/>
            <w:r w:rsidRPr="00FA3F9C">
              <w:rPr>
                <w:rFonts w:ascii="Arial" w:hAnsi="Arial" w:cs="Arial"/>
                <w:sz w:val="24"/>
                <w:szCs w:val="24"/>
                <w:highlight w:val="lightGray"/>
              </w:rPr>
              <w:t xml:space="preserve">, A., ... &amp; HARMONY I study group. (2013). </w:t>
            </w:r>
            <w:proofErr w:type="spellStart"/>
            <w:r w:rsidRPr="00FA3F9C">
              <w:rPr>
                <w:rFonts w:ascii="Arial" w:hAnsi="Arial" w:cs="Arial"/>
                <w:sz w:val="24"/>
                <w:szCs w:val="24"/>
                <w:highlight w:val="lightGray"/>
              </w:rPr>
              <w:t>Pitolisant</w:t>
            </w:r>
            <w:proofErr w:type="spellEnd"/>
            <w:r w:rsidRPr="00FA3F9C">
              <w:rPr>
                <w:rFonts w:ascii="Arial" w:hAnsi="Arial" w:cs="Arial"/>
                <w:sz w:val="24"/>
                <w:szCs w:val="24"/>
                <w:highlight w:val="lightGray"/>
              </w:rPr>
              <w:t xml:space="preserve"> versus placebo or modafinil in patients with narcolepsy: a double-blind, </w:t>
            </w:r>
            <w:proofErr w:type="spellStart"/>
            <w:r w:rsidRPr="00FA3F9C">
              <w:rPr>
                <w:rFonts w:ascii="Arial" w:hAnsi="Arial" w:cs="Arial"/>
                <w:sz w:val="24"/>
                <w:szCs w:val="24"/>
                <w:highlight w:val="lightGray"/>
              </w:rPr>
              <w:t>randomised</w:t>
            </w:r>
            <w:proofErr w:type="spellEnd"/>
            <w:r w:rsidRPr="00FA3F9C">
              <w:rPr>
                <w:rFonts w:ascii="Arial" w:hAnsi="Arial" w:cs="Arial"/>
                <w:sz w:val="24"/>
                <w:szCs w:val="24"/>
                <w:highlight w:val="lightGray"/>
              </w:rPr>
              <w:t xml:space="preserve"> trial. The Lancet Neurology, 12(11), 1068-1075.</w:t>
            </w:r>
          </w:p>
          <w:p w14:paraId="226E1738" w14:textId="77777777" w:rsidR="009B5AA5" w:rsidRPr="00FA3F9C" w:rsidRDefault="009B5AA5" w:rsidP="00FC1E85">
            <w:pPr>
              <w:pStyle w:val="ListParagraph"/>
              <w:numPr>
                <w:ilvl w:val="0"/>
                <w:numId w:val="436"/>
              </w:numPr>
              <w:shd w:val="clear" w:color="auto" w:fill="FFFFFF"/>
              <w:ind w:left="270"/>
              <w:rPr>
                <w:rFonts w:ascii="Arial" w:eastAsia="Times New Roman" w:hAnsi="Arial" w:cs="Arial"/>
                <w:color w:val="212121"/>
                <w:sz w:val="24"/>
                <w:szCs w:val="24"/>
                <w:highlight w:val="lightGray"/>
              </w:rPr>
            </w:pPr>
            <w:r w:rsidRPr="00FA3F9C">
              <w:rPr>
                <w:rFonts w:ascii="Arial" w:hAnsi="Arial" w:cs="Arial"/>
                <w:sz w:val="24"/>
                <w:szCs w:val="24"/>
                <w:highlight w:val="lightGray"/>
              </w:rPr>
              <w:t xml:space="preserve">Highlighting of Prescribing Information (2019). </w:t>
            </w:r>
            <w:r w:rsidRPr="00FA3F9C">
              <w:rPr>
                <w:rFonts w:ascii="Arial" w:hAnsi="Arial" w:cs="Arial"/>
                <w:i/>
                <w:iCs/>
                <w:sz w:val="24"/>
                <w:szCs w:val="24"/>
                <w:highlight w:val="lightGray"/>
              </w:rPr>
              <w:t>FDA</w:t>
            </w:r>
            <w:r w:rsidRPr="00FA3F9C">
              <w:rPr>
                <w:rFonts w:ascii="Arial" w:hAnsi="Arial" w:cs="Arial"/>
                <w:sz w:val="24"/>
                <w:szCs w:val="24"/>
                <w:highlight w:val="lightGray"/>
              </w:rPr>
              <w:t>.https://www.accessdata.fda.gov/drugsatfda_docs/label/2019/211150s000lbl.pdf</w:t>
            </w:r>
          </w:p>
          <w:p w14:paraId="747D742A" w14:textId="77777777" w:rsidR="009B5AA5" w:rsidRPr="00FA3F9C" w:rsidRDefault="009B5AA5" w:rsidP="00FC1E85">
            <w:pPr>
              <w:pStyle w:val="ListParagraph"/>
              <w:numPr>
                <w:ilvl w:val="0"/>
                <w:numId w:val="436"/>
              </w:numPr>
              <w:spacing w:after="160" w:line="259" w:lineRule="auto"/>
              <w:ind w:left="270"/>
              <w:rPr>
                <w:rFonts w:ascii="Arial" w:hAnsi="Arial" w:cs="Arial"/>
                <w:color w:val="303030"/>
                <w:sz w:val="24"/>
                <w:szCs w:val="24"/>
                <w:highlight w:val="lightGray"/>
                <w:shd w:val="clear" w:color="auto" w:fill="FFFFFF"/>
              </w:rPr>
            </w:pPr>
            <w:bookmarkStart w:id="276" w:name="_Hlk22632564"/>
            <w:proofErr w:type="spellStart"/>
            <w:r w:rsidRPr="00FA3F9C">
              <w:rPr>
                <w:rFonts w:ascii="Arial" w:hAnsi="Arial" w:cs="Arial"/>
                <w:color w:val="303030"/>
                <w:sz w:val="24"/>
                <w:szCs w:val="24"/>
                <w:highlight w:val="lightGray"/>
                <w:shd w:val="clear" w:color="auto" w:fill="FFFFFF"/>
              </w:rPr>
              <w:t>LexiComp</w:t>
            </w:r>
            <w:proofErr w:type="spellEnd"/>
            <w:r w:rsidRPr="00FA3F9C">
              <w:rPr>
                <w:rFonts w:ascii="Arial" w:hAnsi="Arial" w:cs="Arial"/>
                <w:color w:val="303030"/>
                <w:sz w:val="24"/>
                <w:szCs w:val="24"/>
                <w:highlight w:val="lightGray"/>
                <w:shd w:val="clear" w:color="auto" w:fill="FFFFFF"/>
              </w:rPr>
              <w:t>: sumatriptan. Accessed 10/18/19.</w:t>
            </w:r>
          </w:p>
          <w:bookmarkEnd w:id="276"/>
          <w:p w14:paraId="0BDE71A3" w14:textId="77777777" w:rsidR="009B5AA5" w:rsidRPr="00FA3F9C" w:rsidRDefault="009B5AA5" w:rsidP="00FC1E85">
            <w:pPr>
              <w:pStyle w:val="ListParagraph"/>
              <w:numPr>
                <w:ilvl w:val="0"/>
                <w:numId w:val="436"/>
              </w:numPr>
              <w:shd w:val="clear" w:color="auto" w:fill="FFFFFF"/>
              <w:ind w:left="270"/>
              <w:rPr>
                <w:rFonts w:ascii="Arial" w:hAnsi="Arial" w:cs="Arial"/>
                <w:sz w:val="24"/>
                <w:szCs w:val="24"/>
                <w:highlight w:val="lightGray"/>
              </w:rPr>
            </w:pPr>
            <w:r w:rsidRPr="00FA3F9C">
              <w:rPr>
                <w:rFonts w:ascii="Arial" w:hAnsi="Arial" w:cs="Arial"/>
                <w:sz w:val="24"/>
                <w:szCs w:val="24"/>
                <w:highlight w:val="lightGray"/>
              </w:rPr>
              <w:lastRenderedPageBreak/>
              <w:t xml:space="preserve">Scammell T., </w:t>
            </w:r>
            <w:proofErr w:type="spellStart"/>
            <w:r w:rsidRPr="00FA3F9C">
              <w:rPr>
                <w:rFonts w:ascii="Arial" w:hAnsi="Arial" w:cs="Arial"/>
                <w:sz w:val="24"/>
                <w:szCs w:val="24"/>
                <w:highlight w:val="lightGray"/>
              </w:rPr>
              <w:t>Benca</w:t>
            </w:r>
            <w:proofErr w:type="spellEnd"/>
            <w:r w:rsidRPr="00FA3F9C">
              <w:rPr>
                <w:rFonts w:ascii="Arial" w:hAnsi="Arial" w:cs="Arial"/>
                <w:sz w:val="24"/>
                <w:szCs w:val="24"/>
                <w:highlight w:val="lightGray"/>
              </w:rPr>
              <w:t xml:space="preserve"> R., Eichler </w:t>
            </w:r>
            <w:proofErr w:type="gramStart"/>
            <w:r w:rsidRPr="00FA3F9C">
              <w:rPr>
                <w:rFonts w:ascii="Arial" w:hAnsi="Arial" w:cs="Arial"/>
                <w:sz w:val="24"/>
                <w:szCs w:val="24"/>
                <w:highlight w:val="lightGray"/>
              </w:rPr>
              <w:t>A..</w:t>
            </w:r>
            <w:proofErr w:type="gramEnd"/>
            <w:r w:rsidRPr="00FA3F9C">
              <w:rPr>
                <w:rFonts w:ascii="Arial" w:hAnsi="Arial" w:cs="Arial"/>
                <w:sz w:val="24"/>
                <w:szCs w:val="24"/>
                <w:highlight w:val="lightGray"/>
              </w:rPr>
              <w:t xml:space="preserve"> Treatment of narcolepsy in adults (Sept 2019). </w:t>
            </w:r>
            <w:proofErr w:type="spellStart"/>
            <w:r w:rsidRPr="00FA3F9C">
              <w:rPr>
                <w:rFonts w:ascii="Arial" w:hAnsi="Arial" w:cs="Arial"/>
                <w:sz w:val="24"/>
                <w:szCs w:val="24"/>
                <w:highlight w:val="lightGray"/>
              </w:rPr>
              <w:t>UptoDate</w:t>
            </w:r>
            <w:proofErr w:type="spellEnd"/>
            <w:r w:rsidRPr="00FA3F9C">
              <w:rPr>
                <w:rFonts w:ascii="Arial" w:hAnsi="Arial" w:cs="Arial"/>
                <w:sz w:val="24"/>
                <w:szCs w:val="24"/>
                <w:highlight w:val="lightGray"/>
              </w:rPr>
              <w:t>. Web. https://www.uptodate.com/contents/treatment-of-narcolepsy-in-adults?search=narcolepsy%20treatment&amp;source=search_result&amp;selectedTitle=1~125&amp;usage_type=default&amp;display_rank=1</w:t>
            </w:r>
          </w:p>
          <w:p w14:paraId="6FBA2FC9" w14:textId="77777777" w:rsidR="009B5AA5" w:rsidRPr="00FA3F9C" w:rsidRDefault="009B5AA5" w:rsidP="00FC1E85">
            <w:pPr>
              <w:pStyle w:val="ListParagraph"/>
              <w:numPr>
                <w:ilvl w:val="0"/>
                <w:numId w:val="436"/>
              </w:numPr>
              <w:shd w:val="clear" w:color="auto" w:fill="FFFFFF"/>
              <w:ind w:left="270"/>
              <w:rPr>
                <w:rFonts w:ascii="Arial" w:hAnsi="Arial" w:cs="Arial"/>
                <w:sz w:val="24"/>
                <w:szCs w:val="24"/>
                <w:highlight w:val="lightGray"/>
              </w:rPr>
            </w:pPr>
            <w:proofErr w:type="spellStart"/>
            <w:r w:rsidRPr="00FA3F9C">
              <w:rPr>
                <w:rFonts w:ascii="Arial" w:hAnsi="Arial" w:cs="Arial"/>
                <w:sz w:val="24"/>
                <w:szCs w:val="24"/>
                <w:highlight w:val="lightGray"/>
              </w:rPr>
              <w:t>Setnik</w:t>
            </w:r>
            <w:proofErr w:type="spellEnd"/>
            <w:r w:rsidRPr="00FA3F9C">
              <w:rPr>
                <w:rFonts w:ascii="Arial" w:hAnsi="Arial" w:cs="Arial"/>
                <w:sz w:val="24"/>
                <w:szCs w:val="24"/>
                <w:highlight w:val="lightGray"/>
              </w:rPr>
              <w:t xml:space="preserve">, Beatrice, et al. "Evaluation of the abuse potential of </w:t>
            </w:r>
            <w:proofErr w:type="spellStart"/>
            <w:r w:rsidRPr="00FA3F9C">
              <w:rPr>
                <w:rFonts w:ascii="Arial" w:hAnsi="Arial" w:cs="Arial"/>
                <w:sz w:val="24"/>
                <w:szCs w:val="24"/>
                <w:highlight w:val="lightGray"/>
              </w:rPr>
              <w:t>pitolisant</w:t>
            </w:r>
            <w:proofErr w:type="spellEnd"/>
            <w:r w:rsidRPr="00FA3F9C">
              <w:rPr>
                <w:rFonts w:ascii="Arial" w:hAnsi="Arial" w:cs="Arial"/>
                <w:sz w:val="24"/>
                <w:szCs w:val="24"/>
                <w:highlight w:val="lightGray"/>
              </w:rPr>
              <w:t>, a selective H3-receptor antagonist/inverse agonist, for the treatment of adult patients with narcolepsy with or without cataplexy." Sleep (2019).</w:t>
            </w:r>
          </w:p>
          <w:p w14:paraId="54C82D5A" w14:textId="77777777" w:rsidR="009B5AA5" w:rsidRPr="00FA3F9C" w:rsidRDefault="009B5AA5" w:rsidP="00FC1E85">
            <w:pPr>
              <w:pStyle w:val="ListParagraph"/>
              <w:numPr>
                <w:ilvl w:val="0"/>
                <w:numId w:val="436"/>
              </w:numPr>
              <w:shd w:val="clear" w:color="auto" w:fill="FFFFFF"/>
              <w:ind w:left="270"/>
              <w:rPr>
                <w:rFonts w:ascii="Arial" w:hAnsi="Arial" w:cs="Arial"/>
                <w:sz w:val="24"/>
                <w:szCs w:val="24"/>
                <w:highlight w:val="lightGray"/>
                <w:lang w:val="fr-FR"/>
              </w:rPr>
            </w:pPr>
            <w:proofErr w:type="spellStart"/>
            <w:r w:rsidRPr="00FA3F9C">
              <w:rPr>
                <w:rFonts w:ascii="Arial" w:hAnsi="Arial" w:cs="Arial"/>
                <w:sz w:val="24"/>
                <w:szCs w:val="24"/>
                <w:highlight w:val="lightGray"/>
                <w:lang w:val="fr-FR"/>
              </w:rPr>
              <w:t>Wakix</w:t>
            </w:r>
            <w:proofErr w:type="spellEnd"/>
            <w:r w:rsidRPr="00FA3F9C">
              <w:rPr>
                <w:rFonts w:ascii="Arial" w:hAnsi="Arial" w:cs="Arial"/>
                <w:sz w:val="24"/>
                <w:szCs w:val="24"/>
                <w:highlight w:val="lightGray"/>
                <w:lang w:val="fr-FR"/>
              </w:rPr>
              <w:t xml:space="preserve"> (</w:t>
            </w:r>
            <w:proofErr w:type="spellStart"/>
            <w:r w:rsidRPr="00FA3F9C">
              <w:rPr>
                <w:rFonts w:ascii="Arial" w:hAnsi="Arial" w:cs="Arial"/>
                <w:sz w:val="24"/>
                <w:szCs w:val="24"/>
                <w:highlight w:val="lightGray"/>
                <w:lang w:val="fr-FR"/>
              </w:rPr>
              <w:t>pitolisant</w:t>
            </w:r>
            <w:proofErr w:type="spellEnd"/>
            <w:r w:rsidRPr="00FA3F9C">
              <w:rPr>
                <w:rFonts w:ascii="Arial" w:hAnsi="Arial" w:cs="Arial"/>
                <w:sz w:val="24"/>
                <w:szCs w:val="24"/>
                <w:highlight w:val="lightGray"/>
                <w:lang w:val="fr-FR"/>
              </w:rPr>
              <w:t>) (2019).</w:t>
            </w:r>
            <w:r w:rsidRPr="00FA3F9C">
              <w:rPr>
                <w:rFonts w:ascii="Arial" w:hAnsi="Arial" w:cs="Arial"/>
                <w:i/>
                <w:iCs/>
                <w:sz w:val="24"/>
                <w:szCs w:val="24"/>
                <w:highlight w:val="lightGray"/>
                <w:lang w:val="fr-FR"/>
              </w:rPr>
              <w:t xml:space="preserve"> CenterWatch</w:t>
            </w:r>
            <w:r w:rsidRPr="00FA3F9C">
              <w:rPr>
                <w:rFonts w:ascii="Arial" w:hAnsi="Arial" w:cs="Arial"/>
                <w:sz w:val="24"/>
                <w:szCs w:val="24"/>
                <w:highlight w:val="lightGray"/>
                <w:lang w:val="fr-FR"/>
              </w:rPr>
              <w:t>.https://www.centerwatch.com/drug-information/fda-approved-drugs/drug/100415/-wakix-pitolisant</w:t>
            </w:r>
            <w:r w:rsidRPr="00FA3F9C">
              <w:rPr>
                <w:rFonts w:ascii="Arial" w:hAnsi="Arial" w:cs="Arial"/>
                <w:color w:val="222222"/>
                <w:sz w:val="24"/>
                <w:szCs w:val="24"/>
                <w:highlight w:val="lightGray"/>
                <w:shd w:val="clear" w:color="auto" w:fill="F8F8F8"/>
                <w:lang w:val="fr-FR"/>
              </w:rPr>
              <w:t>.</w:t>
            </w:r>
          </w:p>
          <w:p w14:paraId="1E80AEF0" w14:textId="77777777" w:rsidR="009B5AA5" w:rsidRPr="00FA3F9C" w:rsidRDefault="009B5AA5" w:rsidP="00FC1E85">
            <w:pPr>
              <w:pStyle w:val="ListParagraph"/>
              <w:numPr>
                <w:ilvl w:val="0"/>
                <w:numId w:val="436"/>
              </w:numPr>
              <w:ind w:left="270"/>
              <w:rPr>
                <w:rFonts w:ascii="Arial" w:eastAsia="Times New Roman" w:hAnsi="Arial" w:cs="Arial"/>
                <w:sz w:val="24"/>
                <w:szCs w:val="24"/>
                <w:highlight w:val="lightGray"/>
              </w:rPr>
            </w:pPr>
            <w:proofErr w:type="spellStart"/>
            <w:r w:rsidRPr="00FA3F9C">
              <w:rPr>
                <w:rFonts w:ascii="Arial" w:eastAsia="Times New Roman" w:hAnsi="Arial" w:cs="Arial"/>
                <w:color w:val="222222"/>
                <w:sz w:val="24"/>
                <w:szCs w:val="24"/>
                <w:highlight w:val="lightGray"/>
                <w:shd w:val="clear" w:color="auto" w:fill="F8F8F8"/>
              </w:rPr>
              <w:t>Szakacs</w:t>
            </w:r>
            <w:proofErr w:type="spellEnd"/>
            <w:r w:rsidRPr="00FA3F9C">
              <w:rPr>
                <w:rFonts w:ascii="Arial" w:eastAsia="Times New Roman" w:hAnsi="Arial" w:cs="Arial"/>
                <w:color w:val="222222"/>
                <w:sz w:val="24"/>
                <w:szCs w:val="24"/>
                <w:highlight w:val="lightGray"/>
                <w:shd w:val="clear" w:color="auto" w:fill="F8F8F8"/>
              </w:rPr>
              <w:t xml:space="preserve">, Zoltan, et al. "Safety and efficacy of </w:t>
            </w:r>
            <w:proofErr w:type="spellStart"/>
            <w:r w:rsidRPr="00FA3F9C">
              <w:rPr>
                <w:rFonts w:ascii="Arial" w:eastAsia="Times New Roman" w:hAnsi="Arial" w:cs="Arial"/>
                <w:color w:val="222222"/>
                <w:sz w:val="24"/>
                <w:szCs w:val="24"/>
                <w:highlight w:val="lightGray"/>
                <w:shd w:val="clear" w:color="auto" w:fill="F8F8F8"/>
              </w:rPr>
              <w:t>pitolisant</w:t>
            </w:r>
            <w:proofErr w:type="spellEnd"/>
            <w:r w:rsidRPr="00FA3F9C">
              <w:rPr>
                <w:rFonts w:ascii="Arial" w:eastAsia="Times New Roman" w:hAnsi="Arial" w:cs="Arial"/>
                <w:color w:val="222222"/>
                <w:sz w:val="24"/>
                <w:szCs w:val="24"/>
                <w:highlight w:val="lightGray"/>
                <w:shd w:val="clear" w:color="auto" w:fill="F8F8F8"/>
              </w:rPr>
              <w:t xml:space="preserve"> on cataplexy in patients with narcolepsy: a </w:t>
            </w:r>
            <w:proofErr w:type="spellStart"/>
            <w:r w:rsidRPr="00FA3F9C">
              <w:rPr>
                <w:rFonts w:ascii="Arial" w:eastAsia="Times New Roman" w:hAnsi="Arial" w:cs="Arial"/>
                <w:color w:val="222222"/>
                <w:sz w:val="24"/>
                <w:szCs w:val="24"/>
                <w:highlight w:val="lightGray"/>
                <w:shd w:val="clear" w:color="auto" w:fill="F8F8F8"/>
              </w:rPr>
              <w:t>randomised</w:t>
            </w:r>
            <w:proofErr w:type="spellEnd"/>
            <w:r w:rsidRPr="00FA3F9C">
              <w:rPr>
                <w:rFonts w:ascii="Arial" w:eastAsia="Times New Roman" w:hAnsi="Arial" w:cs="Arial"/>
                <w:color w:val="222222"/>
                <w:sz w:val="24"/>
                <w:szCs w:val="24"/>
                <w:highlight w:val="lightGray"/>
                <w:shd w:val="clear" w:color="auto" w:fill="F8F8F8"/>
              </w:rPr>
              <w:t>, double-blind, placebo-controlled trial." </w:t>
            </w:r>
            <w:r w:rsidRPr="00FA3F9C">
              <w:rPr>
                <w:rFonts w:ascii="Arial" w:eastAsia="Times New Roman" w:hAnsi="Arial" w:cs="Arial"/>
                <w:i/>
                <w:iCs/>
                <w:color w:val="222222"/>
                <w:sz w:val="24"/>
                <w:szCs w:val="24"/>
                <w:highlight w:val="lightGray"/>
                <w:shd w:val="clear" w:color="auto" w:fill="F8F8F8"/>
              </w:rPr>
              <w:t>The Lancet Neurology</w:t>
            </w:r>
            <w:r w:rsidRPr="00FA3F9C">
              <w:rPr>
                <w:rFonts w:ascii="Arial" w:eastAsia="Times New Roman" w:hAnsi="Arial" w:cs="Arial"/>
                <w:color w:val="222222"/>
                <w:sz w:val="24"/>
                <w:szCs w:val="24"/>
                <w:highlight w:val="lightGray"/>
                <w:shd w:val="clear" w:color="auto" w:fill="F8F8F8"/>
              </w:rPr>
              <w:t> 16.3 (2017): 200-207.</w:t>
            </w:r>
          </w:p>
        </w:tc>
      </w:tr>
    </w:tbl>
    <w:p w14:paraId="7C7A3550" w14:textId="77777777" w:rsidR="009B5AA5" w:rsidRPr="00FA3F9C" w:rsidRDefault="009B5AA5" w:rsidP="006F623F">
      <w:pPr>
        <w:spacing w:after="0"/>
        <w:rPr>
          <w:rFonts w:ascii="Arial" w:hAnsi="Arial" w:cs="Arial"/>
          <w:b/>
          <w:sz w:val="24"/>
          <w:szCs w:val="24"/>
          <w:u w:val="single"/>
        </w:rPr>
      </w:pPr>
    </w:p>
    <w:p w14:paraId="775C2FA7" w14:textId="77777777" w:rsidR="009B5AA5" w:rsidRPr="00FA3F9C" w:rsidRDefault="009B5AA5" w:rsidP="006F623F">
      <w:pPr>
        <w:spacing w:after="0"/>
        <w:rPr>
          <w:rFonts w:ascii="Arial" w:hAnsi="Arial" w:cs="Arial"/>
          <w:sz w:val="24"/>
          <w:szCs w:val="24"/>
        </w:rPr>
      </w:pPr>
    </w:p>
    <w:p w14:paraId="269D0198" w14:textId="77777777" w:rsidR="009B5AA5" w:rsidRPr="00FA3F9C" w:rsidRDefault="009B5AA5" w:rsidP="006F623F">
      <w:pPr>
        <w:spacing w:after="0"/>
        <w:rPr>
          <w:rFonts w:ascii="Arial" w:hAnsi="Arial" w:cs="Arial"/>
          <w:sz w:val="24"/>
          <w:szCs w:val="24"/>
        </w:rPr>
      </w:pPr>
    </w:p>
    <w:p w14:paraId="7052FBA8" w14:textId="77777777" w:rsidR="009B5AA5" w:rsidRPr="00FA3F9C" w:rsidRDefault="009B5AA5"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151"/>
        <w:gridCol w:w="7798"/>
        <w:gridCol w:w="1975"/>
      </w:tblGrid>
      <w:tr w:rsidR="009B5AA5" w:rsidRPr="00FA3F9C" w14:paraId="721FA9EA" w14:textId="77777777" w:rsidTr="000D5D97">
        <w:tc>
          <w:tcPr>
            <w:tcW w:w="1017" w:type="dxa"/>
          </w:tcPr>
          <w:p w14:paraId="3A8D5B43" w14:textId="77777777" w:rsidR="009B5AA5" w:rsidRPr="00FA3F9C" w:rsidRDefault="009B5AA5" w:rsidP="00225CAE">
            <w:pPr>
              <w:rPr>
                <w:rFonts w:ascii="Arial" w:hAnsi="Arial" w:cs="Arial"/>
                <w:sz w:val="24"/>
                <w:szCs w:val="24"/>
              </w:rPr>
            </w:pPr>
            <w:r w:rsidRPr="00FA3F9C">
              <w:rPr>
                <w:rFonts w:ascii="Arial" w:hAnsi="Arial" w:cs="Arial"/>
                <w:sz w:val="24"/>
                <w:szCs w:val="24"/>
              </w:rPr>
              <w:t>Date</w:t>
            </w:r>
          </w:p>
        </w:tc>
        <w:tc>
          <w:tcPr>
            <w:tcW w:w="7798" w:type="dxa"/>
          </w:tcPr>
          <w:p w14:paraId="5BF2DD4C" w14:textId="77777777" w:rsidR="009B5AA5" w:rsidRPr="00FA3F9C" w:rsidRDefault="009B5AA5" w:rsidP="00225CAE">
            <w:pPr>
              <w:rPr>
                <w:rFonts w:ascii="Arial" w:hAnsi="Arial" w:cs="Arial"/>
                <w:sz w:val="24"/>
                <w:szCs w:val="24"/>
              </w:rPr>
            </w:pPr>
          </w:p>
        </w:tc>
        <w:tc>
          <w:tcPr>
            <w:tcW w:w="1975" w:type="dxa"/>
          </w:tcPr>
          <w:p w14:paraId="0F20A326" w14:textId="77777777" w:rsidR="009B5AA5" w:rsidRPr="00FA3F9C" w:rsidRDefault="009B5AA5" w:rsidP="00225CAE">
            <w:pPr>
              <w:rPr>
                <w:rFonts w:ascii="Arial" w:hAnsi="Arial" w:cs="Arial"/>
                <w:sz w:val="24"/>
                <w:szCs w:val="24"/>
              </w:rPr>
            </w:pPr>
            <w:r w:rsidRPr="00FA3F9C">
              <w:rPr>
                <w:rFonts w:ascii="Arial" w:hAnsi="Arial" w:cs="Arial"/>
                <w:sz w:val="24"/>
                <w:szCs w:val="24"/>
              </w:rPr>
              <w:t>Pharmacist’s initials</w:t>
            </w:r>
          </w:p>
        </w:tc>
      </w:tr>
      <w:tr w:rsidR="009B5AA5" w:rsidRPr="00FA3F9C" w14:paraId="275CFAA3" w14:textId="77777777" w:rsidTr="000D5D97">
        <w:tc>
          <w:tcPr>
            <w:tcW w:w="1017" w:type="dxa"/>
          </w:tcPr>
          <w:p w14:paraId="43C6704A" w14:textId="77777777" w:rsidR="009B5AA5" w:rsidRPr="00FA3F9C" w:rsidRDefault="009B5AA5" w:rsidP="00225CAE">
            <w:pPr>
              <w:rPr>
                <w:rFonts w:ascii="Arial" w:hAnsi="Arial" w:cs="Arial"/>
                <w:sz w:val="24"/>
                <w:szCs w:val="24"/>
              </w:rPr>
            </w:pPr>
            <w:r w:rsidRPr="00FA3F9C">
              <w:rPr>
                <w:rFonts w:ascii="Arial" w:hAnsi="Arial" w:cs="Arial"/>
                <w:sz w:val="24"/>
                <w:szCs w:val="24"/>
              </w:rPr>
              <w:t>3/2020</w:t>
            </w:r>
          </w:p>
        </w:tc>
        <w:tc>
          <w:tcPr>
            <w:tcW w:w="7798" w:type="dxa"/>
          </w:tcPr>
          <w:p w14:paraId="2ECEB182" w14:textId="77777777" w:rsidR="009B5AA5" w:rsidRPr="00FA3F9C" w:rsidRDefault="009B5AA5" w:rsidP="00225CAE">
            <w:pPr>
              <w:rPr>
                <w:rFonts w:ascii="Arial" w:hAnsi="Arial" w:cs="Arial"/>
                <w:sz w:val="24"/>
                <w:szCs w:val="24"/>
              </w:rPr>
            </w:pPr>
            <w:r w:rsidRPr="00FA3F9C">
              <w:rPr>
                <w:rFonts w:ascii="Arial" w:hAnsi="Arial" w:cs="Arial"/>
                <w:sz w:val="24"/>
                <w:szCs w:val="24"/>
              </w:rPr>
              <w:t>JJ wrote the PA criteria</w:t>
            </w:r>
          </w:p>
        </w:tc>
        <w:tc>
          <w:tcPr>
            <w:tcW w:w="1975" w:type="dxa"/>
          </w:tcPr>
          <w:p w14:paraId="4A7C8DE9" w14:textId="77777777" w:rsidR="009B5AA5" w:rsidRPr="00FA3F9C" w:rsidRDefault="009B5AA5" w:rsidP="00225CAE">
            <w:pPr>
              <w:rPr>
                <w:rFonts w:ascii="Arial" w:hAnsi="Arial" w:cs="Arial"/>
                <w:sz w:val="24"/>
                <w:szCs w:val="24"/>
              </w:rPr>
            </w:pPr>
            <w:r w:rsidRPr="00FA3F9C">
              <w:rPr>
                <w:rFonts w:ascii="Arial" w:hAnsi="Arial" w:cs="Arial"/>
                <w:sz w:val="24"/>
                <w:szCs w:val="24"/>
              </w:rPr>
              <w:t>JJ</w:t>
            </w:r>
          </w:p>
        </w:tc>
      </w:tr>
      <w:tr w:rsidR="009B5AA5" w:rsidRPr="00FA3F9C" w14:paraId="3EDC2CE9" w14:textId="77777777" w:rsidTr="000D5D97">
        <w:tc>
          <w:tcPr>
            <w:tcW w:w="1017" w:type="dxa"/>
          </w:tcPr>
          <w:p w14:paraId="350814A2" w14:textId="77777777" w:rsidR="009B5AA5" w:rsidRPr="00FA3F9C" w:rsidRDefault="009B5AA5" w:rsidP="00225CAE">
            <w:pPr>
              <w:rPr>
                <w:rFonts w:ascii="Arial" w:hAnsi="Arial" w:cs="Arial"/>
                <w:sz w:val="24"/>
                <w:szCs w:val="24"/>
              </w:rPr>
            </w:pPr>
            <w:r w:rsidRPr="00FA3F9C">
              <w:rPr>
                <w:rFonts w:ascii="Arial" w:hAnsi="Arial" w:cs="Arial"/>
                <w:sz w:val="24"/>
                <w:szCs w:val="24"/>
              </w:rPr>
              <w:t>3/18/20</w:t>
            </w:r>
          </w:p>
        </w:tc>
        <w:tc>
          <w:tcPr>
            <w:tcW w:w="7798" w:type="dxa"/>
          </w:tcPr>
          <w:p w14:paraId="120C6764" w14:textId="77777777" w:rsidR="009B5AA5" w:rsidRPr="00FA3F9C" w:rsidRDefault="009B5AA5" w:rsidP="00225CAE">
            <w:pPr>
              <w:rPr>
                <w:rFonts w:ascii="Arial" w:hAnsi="Arial" w:cs="Arial"/>
                <w:sz w:val="24"/>
                <w:szCs w:val="24"/>
              </w:rPr>
            </w:pPr>
            <w:r w:rsidRPr="00FA3F9C">
              <w:rPr>
                <w:rFonts w:ascii="Arial" w:hAnsi="Arial" w:cs="Arial"/>
                <w:sz w:val="24"/>
                <w:szCs w:val="24"/>
              </w:rPr>
              <w:t>I added the threshold of minimum number of cataplexy episodes the patient must have experienced prior to effective cataplexy therapy, as per the clinical trial (ref 8).</w:t>
            </w:r>
          </w:p>
        </w:tc>
        <w:tc>
          <w:tcPr>
            <w:tcW w:w="1975" w:type="dxa"/>
          </w:tcPr>
          <w:p w14:paraId="00E72752" w14:textId="77777777" w:rsidR="009B5AA5" w:rsidRPr="00FA3F9C" w:rsidRDefault="009B5AA5" w:rsidP="00225CAE">
            <w:pPr>
              <w:rPr>
                <w:rFonts w:ascii="Arial" w:hAnsi="Arial" w:cs="Arial"/>
                <w:sz w:val="24"/>
                <w:szCs w:val="24"/>
              </w:rPr>
            </w:pPr>
            <w:r w:rsidRPr="00FA3F9C">
              <w:rPr>
                <w:rFonts w:ascii="Arial" w:hAnsi="Arial" w:cs="Arial"/>
                <w:sz w:val="24"/>
                <w:szCs w:val="24"/>
              </w:rPr>
              <w:t>JJ</w:t>
            </w:r>
          </w:p>
        </w:tc>
      </w:tr>
      <w:tr w:rsidR="009B5AA5" w:rsidRPr="00FA3F9C" w14:paraId="13CDFC5E" w14:textId="77777777" w:rsidTr="000D5D97">
        <w:tc>
          <w:tcPr>
            <w:tcW w:w="1017" w:type="dxa"/>
          </w:tcPr>
          <w:p w14:paraId="1FB3C25C" w14:textId="77777777" w:rsidR="009B5AA5" w:rsidRPr="00FA3F9C" w:rsidRDefault="009B5AA5" w:rsidP="00225CAE">
            <w:pPr>
              <w:rPr>
                <w:rFonts w:ascii="Arial" w:hAnsi="Arial" w:cs="Arial"/>
                <w:sz w:val="24"/>
                <w:szCs w:val="24"/>
              </w:rPr>
            </w:pPr>
            <w:r w:rsidRPr="00FA3F9C">
              <w:rPr>
                <w:rFonts w:ascii="Arial" w:hAnsi="Arial" w:cs="Arial"/>
                <w:sz w:val="24"/>
                <w:szCs w:val="24"/>
              </w:rPr>
              <w:t>3/8/2021</w:t>
            </w:r>
          </w:p>
        </w:tc>
        <w:tc>
          <w:tcPr>
            <w:tcW w:w="7798" w:type="dxa"/>
          </w:tcPr>
          <w:p w14:paraId="4E340EF3" w14:textId="77777777" w:rsidR="009B5AA5" w:rsidRPr="00FA3F9C" w:rsidRDefault="009B5AA5" w:rsidP="00225CAE">
            <w:pPr>
              <w:rPr>
                <w:rFonts w:ascii="Arial" w:hAnsi="Arial" w:cs="Arial"/>
                <w:sz w:val="24"/>
                <w:szCs w:val="24"/>
              </w:rPr>
            </w:pPr>
            <w:r w:rsidRPr="00FA3F9C">
              <w:rPr>
                <w:rFonts w:ascii="Arial" w:hAnsi="Arial" w:cs="Arial"/>
                <w:sz w:val="24"/>
                <w:szCs w:val="24"/>
              </w:rPr>
              <w:t>I corrected the indication to include cataplexy.</w:t>
            </w:r>
          </w:p>
        </w:tc>
        <w:tc>
          <w:tcPr>
            <w:tcW w:w="1975" w:type="dxa"/>
          </w:tcPr>
          <w:p w14:paraId="3E2E5DB7" w14:textId="77777777" w:rsidR="009B5AA5" w:rsidRPr="00FA3F9C" w:rsidRDefault="009B5AA5" w:rsidP="00225CAE">
            <w:pPr>
              <w:rPr>
                <w:rFonts w:ascii="Arial" w:hAnsi="Arial" w:cs="Arial"/>
                <w:sz w:val="24"/>
                <w:szCs w:val="24"/>
              </w:rPr>
            </w:pPr>
            <w:r w:rsidRPr="00FA3F9C">
              <w:rPr>
                <w:rFonts w:ascii="Arial" w:hAnsi="Arial" w:cs="Arial"/>
                <w:sz w:val="24"/>
                <w:szCs w:val="24"/>
              </w:rPr>
              <w:t>JJ</w:t>
            </w:r>
          </w:p>
        </w:tc>
      </w:tr>
    </w:tbl>
    <w:p w14:paraId="60574F2E" w14:textId="77777777" w:rsidR="009B5AA5" w:rsidRPr="00FA3F9C" w:rsidRDefault="009B5AA5" w:rsidP="006F623F">
      <w:pPr>
        <w:spacing w:after="0"/>
        <w:rPr>
          <w:rFonts w:ascii="Arial" w:hAnsi="Arial" w:cs="Arial"/>
          <w:sz w:val="24"/>
          <w:szCs w:val="24"/>
        </w:rPr>
      </w:pPr>
    </w:p>
    <w:p w14:paraId="2005A185" w14:textId="77777777" w:rsidR="002B2097" w:rsidRDefault="009B5AA5" w:rsidP="002B2097">
      <w:pPr>
        <w:pStyle w:val="Heading2"/>
      </w:pPr>
      <w:bookmarkStart w:id="277" w:name="_Toc106369901"/>
      <w:proofErr w:type="spellStart"/>
      <w:r w:rsidRPr="00FA3F9C">
        <w:t>Plecanatide</w:t>
      </w:r>
      <w:proofErr w:type="spellEnd"/>
      <w:r w:rsidRPr="00FA3F9C">
        <w:t xml:space="preserve"> (</w:t>
      </w:r>
      <w:proofErr w:type="spellStart"/>
      <w:r w:rsidRPr="00FA3F9C">
        <w:t>Trulance</w:t>
      </w:r>
      <w:proofErr w:type="spellEnd"/>
      <w:r w:rsidRPr="00FA3F9C">
        <w:t>)</w:t>
      </w:r>
      <w:bookmarkEnd w:id="277"/>
    </w:p>
    <w:p w14:paraId="27B4AB03" w14:textId="16A3ABE1" w:rsidR="009B5AA5" w:rsidRDefault="009B5AA5" w:rsidP="006F623F">
      <w:pPr>
        <w:spacing w:after="0"/>
        <w:jc w:val="center"/>
        <w:rPr>
          <w:rFonts w:ascii="Arial" w:hAnsi="Arial" w:cs="Arial"/>
          <w:sz w:val="24"/>
          <w:szCs w:val="24"/>
        </w:rPr>
      </w:pPr>
      <w:r w:rsidRPr="00FA3F9C">
        <w:rPr>
          <w:rFonts w:ascii="Arial" w:hAnsi="Arial" w:cs="Arial"/>
          <w:sz w:val="24"/>
          <w:szCs w:val="24"/>
        </w:rPr>
        <w:t xml:space="preserve"> 3mg tablets</w:t>
      </w:r>
    </w:p>
    <w:p w14:paraId="30610FB0" w14:textId="77777777" w:rsidR="002B2097" w:rsidRPr="00FA3F9C" w:rsidRDefault="002B2097" w:rsidP="002B2097">
      <w:pPr>
        <w:spacing w:after="0"/>
        <w:jc w:val="center"/>
        <w:rPr>
          <w:rFonts w:ascii="Arial" w:hAnsi="Arial" w:cs="Arial"/>
          <w:sz w:val="24"/>
          <w:szCs w:val="24"/>
        </w:rPr>
      </w:pPr>
      <w:r w:rsidRPr="00FA3F9C">
        <w:rPr>
          <w:rFonts w:ascii="Arial" w:hAnsi="Arial" w:cs="Arial"/>
          <w:sz w:val="24"/>
          <w:szCs w:val="24"/>
        </w:rPr>
        <w:t>EBRx PA Criteria</w:t>
      </w:r>
    </w:p>
    <w:p w14:paraId="7A87374A" w14:textId="77777777" w:rsidR="002B2097" w:rsidRPr="00FA3F9C" w:rsidRDefault="002B2097" w:rsidP="006F623F">
      <w:pPr>
        <w:spacing w:after="0"/>
        <w:jc w:val="center"/>
        <w:rPr>
          <w:rFonts w:ascii="Arial" w:hAnsi="Arial" w:cs="Arial"/>
          <w:sz w:val="24"/>
          <w:szCs w:val="24"/>
        </w:rPr>
      </w:pPr>
    </w:p>
    <w:p w14:paraId="59115380" w14:textId="77777777" w:rsidR="009B5AA5" w:rsidRPr="00FA3F9C" w:rsidRDefault="009B5AA5" w:rsidP="006F623F">
      <w:pPr>
        <w:spacing w:after="0"/>
        <w:rPr>
          <w:rFonts w:ascii="Arial" w:hAnsi="Arial" w:cs="Arial"/>
          <w:b/>
          <w:sz w:val="24"/>
          <w:szCs w:val="24"/>
          <w:u w:val="single"/>
        </w:rPr>
      </w:pPr>
    </w:p>
    <w:p w14:paraId="08BD454C" w14:textId="77777777" w:rsidR="009B5AA5" w:rsidRPr="00FA3F9C" w:rsidRDefault="009B5AA5"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chronic idiopathic constipation in adults </w:t>
      </w:r>
    </w:p>
    <w:tbl>
      <w:tblPr>
        <w:tblStyle w:val="TableGrid"/>
        <w:tblW w:w="0" w:type="auto"/>
        <w:tblLook w:val="04A0" w:firstRow="1" w:lastRow="0" w:firstColumn="1" w:lastColumn="0" w:noHBand="0" w:noVBand="1"/>
      </w:tblPr>
      <w:tblGrid>
        <w:gridCol w:w="8928"/>
        <w:gridCol w:w="2088"/>
      </w:tblGrid>
      <w:tr w:rsidR="009B5AA5" w:rsidRPr="00FA3F9C" w14:paraId="2DE7EBB6" w14:textId="77777777" w:rsidTr="00571CAB">
        <w:tc>
          <w:tcPr>
            <w:tcW w:w="8928" w:type="dxa"/>
            <w:shd w:val="clear" w:color="auto" w:fill="000000"/>
          </w:tcPr>
          <w:p w14:paraId="60182862" w14:textId="77777777" w:rsidR="009B5AA5" w:rsidRPr="00FA3F9C" w:rsidRDefault="009B5AA5"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88" w:type="dxa"/>
            <w:shd w:val="clear" w:color="auto" w:fill="000000"/>
          </w:tcPr>
          <w:p w14:paraId="19D22526" w14:textId="77777777" w:rsidR="009B5AA5" w:rsidRPr="00FA3F9C" w:rsidRDefault="009B5AA5" w:rsidP="006F623F">
            <w:pPr>
              <w:jc w:val="center"/>
              <w:rPr>
                <w:rFonts w:ascii="Arial" w:hAnsi="Arial" w:cs="Arial"/>
                <w:b/>
                <w:sz w:val="24"/>
                <w:szCs w:val="24"/>
                <w:u w:val="single"/>
              </w:rPr>
            </w:pPr>
          </w:p>
        </w:tc>
      </w:tr>
      <w:tr w:rsidR="009B5AA5" w:rsidRPr="00FA3F9C" w14:paraId="368768A2" w14:textId="77777777" w:rsidTr="00EA313E">
        <w:tc>
          <w:tcPr>
            <w:tcW w:w="11016" w:type="dxa"/>
            <w:gridSpan w:val="2"/>
          </w:tcPr>
          <w:p w14:paraId="354A74D8" w14:textId="77777777" w:rsidR="009B5AA5" w:rsidRPr="00FA3F9C" w:rsidRDefault="009B5AA5" w:rsidP="00C96FD0">
            <w:pPr>
              <w:rPr>
                <w:rFonts w:ascii="Arial" w:hAnsi="Arial" w:cs="Arial"/>
                <w:sz w:val="24"/>
                <w:szCs w:val="24"/>
              </w:rPr>
            </w:pPr>
            <w:r w:rsidRPr="00FA3F9C">
              <w:rPr>
                <w:rFonts w:ascii="Arial" w:hAnsi="Arial" w:cs="Arial"/>
                <w:sz w:val="24"/>
                <w:szCs w:val="24"/>
              </w:rPr>
              <w:t>1.  The patient must fulfill the Rome III functional criteria for constipation below:</w:t>
            </w:r>
          </w:p>
          <w:p w14:paraId="04714024" w14:textId="77777777" w:rsidR="009B5AA5" w:rsidRPr="00FA3F9C" w:rsidRDefault="009B5AA5" w:rsidP="00C96FD0">
            <w:pPr>
              <w:ind w:left="720"/>
              <w:rPr>
                <w:rFonts w:ascii="Arial" w:eastAsia="Times New Roman" w:hAnsi="Arial" w:cs="Arial"/>
                <w:sz w:val="24"/>
                <w:szCs w:val="24"/>
              </w:rPr>
            </w:pPr>
            <w:r w:rsidRPr="00FA3F9C">
              <w:rPr>
                <w:rFonts w:ascii="Arial" w:eastAsia="Times New Roman" w:hAnsi="Arial" w:cs="Arial"/>
                <w:sz w:val="24"/>
                <w:szCs w:val="24"/>
              </w:rPr>
              <w:t xml:space="preserve">Diagnostic criteria* </w:t>
            </w:r>
          </w:p>
          <w:p w14:paraId="07B64500" w14:textId="77777777" w:rsidR="009B5AA5" w:rsidRPr="00FA3F9C" w:rsidRDefault="009B5AA5" w:rsidP="00FC1E85">
            <w:pPr>
              <w:pStyle w:val="ListParagraph"/>
              <w:numPr>
                <w:ilvl w:val="0"/>
                <w:numId w:val="437"/>
              </w:numPr>
              <w:ind w:left="1260"/>
              <w:rPr>
                <w:rFonts w:ascii="Arial" w:eastAsia="Times New Roman" w:hAnsi="Arial" w:cs="Arial"/>
                <w:sz w:val="24"/>
                <w:szCs w:val="24"/>
              </w:rPr>
            </w:pPr>
            <w:r w:rsidRPr="00FA3F9C">
              <w:rPr>
                <w:rFonts w:ascii="Arial" w:eastAsia="Times New Roman" w:hAnsi="Arial" w:cs="Arial"/>
                <w:sz w:val="24"/>
                <w:szCs w:val="24"/>
              </w:rPr>
              <w:t xml:space="preserve">Must include two or more of the following: </w:t>
            </w:r>
          </w:p>
          <w:p w14:paraId="7681D302" w14:textId="77777777" w:rsidR="009B5AA5" w:rsidRPr="00FA3F9C" w:rsidRDefault="009B5AA5" w:rsidP="00C96FD0">
            <w:pPr>
              <w:ind w:left="1080"/>
              <w:rPr>
                <w:rFonts w:ascii="Arial" w:eastAsia="Times New Roman" w:hAnsi="Arial" w:cs="Arial"/>
                <w:sz w:val="24"/>
                <w:szCs w:val="24"/>
              </w:rPr>
            </w:pPr>
            <w:r w:rsidRPr="00FA3F9C">
              <w:rPr>
                <w:rFonts w:ascii="Arial" w:eastAsia="Times New Roman" w:hAnsi="Arial" w:cs="Arial"/>
                <w:sz w:val="24"/>
                <w:szCs w:val="24"/>
              </w:rPr>
              <w:t xml:space="preserve">a. Straining during at least 25% of defecations </w:t>
            </w:r>
          </w:p>
          <w:p w14:paraId="6D88F4E7" w14:textId="77777777" w:rsidR="009B5AA5" w:rsidRPr="00FA3F9C" w:rsidRDefault="009B5AA5" w:rsidP="00C96FD0">
            <w:pPr>
              <w:ind w:left="1080"/>
              <w:rPr>
                <w:rFonts w:ascii="Arial" w:eastAsia="Times New Roman" w:hAnsi="Arial" w:cs="Arial"/>
                <w:sz w:val="24"/>
                <w:szCs w:val="24"/>
              </w:rPr>
            </w:pPr>
            <w:r w:rsidRPr="00FA3F9C">
              <w:rPr>
                <w:rFonts w:ascii="Arial" w:eastAsia="Times New Roman" w:hAnsi="Arial" w:cs="Arial"/>
                <w:sz w:val="24"/>
                <w:szCs w:val="24"/>
              </w:rPr>
              <w:lastRenderedPageBreak/>
              <w:t xml:space="preserve">b. Lumpy or hard stools in at least 25% of defecations </w:t>
            </w:r>
          </w:p>
          <w:p w14:paraId="3A282174" w14:textId="77777777" w:rsidR="009B5AA5" w:rsidRPr="00FA3F9C" w:rsidRDefault="009B5AA5" w:rsidP="00C96FD0">
            <w:pPr>
              <w:ind w:left="1080"/>
              <w:rPr>
                <w:rFonts w:ascii="Arial" w:eastAsia="Times New Roman" w:hAnsi="Arial" w:cs="Arial"/>
                <w:sz w:val="24"/>
                <w:szCs w:val="24"/>
              </w:rPr>
            </w:pPr>
            <w:r w:rsidRPr="00FA3F9C">
              <w:rPr>
                <w:rFonts w:ascii="Arial" w:eastAsia="Times New Roman" w:hAnsi="Arial" w:cs="Arial"/>
                <w:sz w:val="24"/>
                <w:szCs w:val="24"/>
              </w:rPr>
              <w:t xml:space="preserve">c. Sensation of incomplete evacuation for at least 25% of defecations </w:t>
            </w:r>
          </w:p>
          <w:p w14:paraId="30982965" w14:textId="77777777" w:rsidR="009B5AA5" w:rsidRPr="00FA3F9C" w:rsidRDefault="009B5AA5" w:rsidP="00C96FD0">
            <w:pPr>
              <w:ind w:left="1080"/>
              <w:rPr>
                <w:rFonts w:ascii="Arial" w:eastAsia="Times New Roman" w:hAnsi="Arial" w:cs="Arial"/>
                <w:sz w:val="24"/>
                <w:szCs w:val="24"/>
              </w:rPr>
            </w:pPr>
            <w:r w:rsidRPr="00FA3F9C">
              <w:rPr>
                <w:rFonts w:ascii="Arial" w:eastAsia="Times New Roman" w:hAnsi="Arial" w:cs="Arial"/>
                <w:sz w:val="24"/>
                <w:szCs w:val="24"/>
              </w:rPr>
              <w:t xml:space="preserve">d. Sensation of anorectal obstruction/blockage for at least 25% of defecations </w:t>
            </w:r>
          </w:p>
          <w:p w14:paraId="5878E1C1" w14:textId="77777777" w:rsidR="009B5AA5" w:rsidRPr="00FA3F9C" w:rsidRDefault="009B5AA5" w:rsidP="00C96FD0">
            <w:pPr>
              <w:ind w:left="1080"/>
              <w:rPr>
                <w:rFonts w:ascii="Arial" w:eastAsia="Times New Roman" w:hAnsi="Arial" w:cs="Arial"/>
                <w:sz w:val="24"/>
                <w:szCs w:val="24"/>
              </w:rPr>
            </w:pPr>
            <w:r w:rsidRPr="00FA3F9C">
              <w:rPr>
                <w:rFonts w:ascii="Arial" w:eastAsia="Times New Roman" w:hAnsi="Arial" w:cs="Arial"/>
                <w:sz w:val="24"/>
                <w:szCs w:val="24"/>
              </w:rPr>
              <w:t xml:space="preserve">e. Manual maneuvers to facilitate at least 25% of defecations (e.g., digital evacuation, support of the pelvic floor) </w:t>
            </w:r>
          </w:p>
          <w:p w14:paraId="30798FB1" w14:textId="77777777" w:rsidR="009B5AA5" w:rsidRPr="00FA3F9C" w:rsidRDefault="009B5AA5" w:rsidP="00C96FD0">
            <w:pPr>
              <w:ind w:left="1080"/>
              <w:rPr>
                <w:rFonts w:ascii="Arial" w:eastAsia="Times New Roman" w:hAnsi="Arial" w:cs="Arial"/>
                <w:sz w:val="24"/>
                <w:szCs w:val="24"/>
              </w:rPr>
            </w:pPr>
            <w:r w:rsidRPr="00FA3F9C">
              <w:rPr>
                <w:rFonts w:ascii="Arial" w:eastAsia="Times New Roman" w:hAnsi="Arial" w:cs="Arial"/>
                <w:sz w:val="24"/>
                <w:szCs w:val="24"/>
              </w:rPr>
              <w:t>f. Fewer than three defecations per week</w:t>
            </w:r>
          </w:p>
          <w:p w14:paraId="428A4654" w14:textId="77777777" w:rsidR="009B5AA5" w:rsidRPr="00FA3F9C" w:rsidRDefault="009B5AA5" w:rsidP="00FC1E85">
            <w:pPr>
              <w:pStyle w:val="ListParagraph"/>
              <w:numPr>
                <w:ilvl w:val="0"/>
                <w:numId w:val="437"/>
              </w:numPr>
              <w:ind w:left="1260"/>
              <w:rPr>
                <w:rFonts w:ascii="Arial" w:eastAsia="Times New Roman" w:hAnsi="Arial" w:cs="Arial"/>
                <w:sz w:val="24"/>
                <w:szCs w:val="24"/>
              </w:rPr>
            </w:pPr>
            <w:r w:rsidRPr="00FA3F9C">
              <w:rPr>
                <w:rFonts w:ascii="Arial" w:eastAsia="Times New Roman" w:hAnsi="Arial" w:cs="Arial"/>
                <w:sz w:val="24"/>
                <w:szCs w:val="24"/>
              </w:rPr>
              <w:t xml:space="preserve">Loose stools are rarely present without the use of laxatives </w:t>
            </w:r>
          </w:p>
          <w:p w14:paraId="4DB8D3DD" w14:textId="77777777" w:rsidR="009B5AA5" w:rsidRPr="00FA3F9C" w:rsidRDefault="009B5AA5" w:rsidP="00FC1E85">
            <w:pPr>
              <w:pStyle w:val="ListParagraph"/>
              <w:numPr>
                <w:ilvl w:val="0"/>
                <w:numId w:val="437"/>
              </w:numPr>
              <w:ind w:left="1260"/>
              <w:rPr>
                <w:rFonts w:ascii="Arial" w:eastAsia="Times New Roman" w:hAnsi="Arial" w:cs="Arial"/>
                <w:sz w:val="24"/>
                <w:szCs w:val="24"/>
              </w:rPr>
            </w:pPr>
            <w:r w:rsidRPr="00FA3F9C">
              <w:rPr>
                <w:rFonts w:ascii="Arial" w:eastAsia="Times New Roman" w:hAnsi="Arial" w:cs="Arial"/>
                <w:sz w:val="24"/>
                <w:szCs w:val="24"/>
              </w:rPr>
              <w:t xml:space="preserve">Insufficient criteria for irritable bowel syndrome </w:t>
            </w:r>
          </w:p>
          <w:p w14:paraId="46A4ACD6" w14:textId="77777777" w:rsidR="009B5AA5" w:rsidRPr="00FA3F9C" w:rsidRDefault="009B5AA5" w:rsidP="00C96FD0">
            <w:pPr>
              <w:ind w:left="540"/>
              <w:rPr>
                <w:rFonts w:ascii="Arial" w:eastAsia="Times New Roman" w:hAnsi="Arial" w:cs="Arial"/>
                <w:sz w:val="24"/>
                <w:szCs w:val="24"/>
              </w:rPr>
            </w:pPr>
            <w:r w:rsidRPr="00FA3F9C">
              <w:rPr>
                <w:rFonts w:ascii="Arial" w:eastAsia="Times New Roman" w:hAnsi="Arial" w:cs="Arial"/>
                <w:sz w:val="24"/>
                <w:szCs w:val="24"/>
              </w:rPr>
              <w:t>* Criteria fulfilled for the last  months with symptom onset at least 6 months prior to diagnosis</w:t>
            </w:r>
          </w:p>
        </w:tc>
      </w:tr>
      <w:tr w:rsidR="009B5AA5" w:rsidRPr="00FA3F9C" w14:paraId="56A2AC55" w14:textId="77777777" w:rsidTr="00EA313E">
        <w:tc>
          <w:tcPr>
            <w:tcW w:w="11016" w:type="dxa"/>
            <w:gridSpan w:val="2"/>
          </w:tcPr>
          <w:p w14:paraId="03C5CEFF" w14:textId="77777777" w:rsidR="009B5AA5" w:rsidRPr="00FA3F9C" w:rsidRDefault="009B5AA5" w:rsidP="00C96FD0">
            <w:pPr>
              <w:rPr>
                <w:rFonts w:ascii="Arial" w:hAnsi="Arial" w:cs="Arial"/>
                <w:sz w:val="24"/>
                <w:szCs w:val="24"/>
              </w:rPr>
            </w:pPr>
            <w:r w:rsidRPr="00FA3F9C">
              <w:rPr>
                <w:rFonts w:ascii="Arial" w:hAnsi="Arial" w:cs="Arial"/>
                <w:sz w:val="24"/>
                <w:szCs w:val="24"/>
              </w:rPr>
              <w:lastRenderedPageBreak/>
              <w:t>2.  The patient must be 18 or older.</w:t>
            </w:r>
          </w:p>
        </w:tc>
      </w:tr>
      <w:tr w:rsidR="009B5AA5" w:rsidRPr="00FA3F9C" w14:paraId="31789982" w14:textId="77777777" w:rsidTr="00EA313E">
        <w:tc>
          <w:tcPr>
            <w:tcW w:w="11016" w:type="dxa"/>
            <w:gridSpan w:val="2"/>
          </w:tcPr>
          <w:p w14:paraId="39BA0C5A" w14:textId="77777777" w:rsidR="009B5AA5" w:rsidRPr="00FA3F9C" w:rsidRDefault="009B5AA5" w:rsidP="00C96FD0">
            <w:pPr>
              <w:rPr>
                <w:rFonts w:ascii="Arial" w:hAnsi="Arial" w:cs="Arial"/>
                <w:sz w:val="24"/>
                <w:szCs w:val="24"/>
              </w:rPr>
            </w:pPr>
            <w:r w:rsidRPr="00FA3F9C">
              <w:rPr>
                <w:rFonts w:ascii="Arial" w:hAnsi="Arial" w:cs="Arial"/>
                <w:sz w:val="24"/>
                <w:szCs w:val="24"/>
              </w:rPr>
              <w:t>3.  Per the prescriber, the patient must currently be receiving fiber laxatives.</w:t>
            </w:r>
          </w:p>
        </w:tc>
      </w:tr>
      <w:tr w:rsidR="009B5AA5" w:rsidRPr="00FA3F9C" w14:paraId="4AC0B7F5" w14:textId="77777777" w:rsidTr="00EA313E">
        <w:tc>
          <w:tcPr>
            <w:tcW w:w="11016" w:type="dxa"/>
            <w:gridSpan w:val="2"/>
          </w:tcPr>
          <w:p w14:paraId="7AA5EEA2" w14:textId="77777777" w:rsidR="009B5AA5" w:rsidRPr="00FA3F9C" w:rsidRDefault="009B5AA5" w:rsidP="00C96FD0">
            <w:pPr>
              <w:rPr>
                <w:rFonts w:ascii="Arial" w:hAnsi="Arial" w:cs="Arial"/>
                <w:sz w:val="24"/>
                <w:szCs w:val="24"/>
              </w:rPr>
            </w:pPr>
            <w:r w:rsidRPr="00FA3F9C">
              <w:rPr>
                <w:rFonts w:ascii="Arial" w:hAnsi="Arial" w:cs="Arial"/>
                <w:sz w:val="24"/>
                <w:szCs w:val="24"/>
              </w:rPr>
              <w:t xml:space="preserve">4.  The prescriber of </w:t>
            </w:r>
            <w:proofErr w:type="spellStart"/>
            <w:r w:rsidRPr="00FA3F9C">
              <w:rPr>
                <w:rFonts w:ascii="Arial" w:hAnsi="Arial" w:cs="Arial"/>
                <w:sz w:val="24"/>
                <w:szCs w:val="24"/>
              </w:rPr>
              <w:t>plecanatide</w:t>
            </w:r>
            <w:proofErr w:type="spellEnd"/>
            <w:r w:rsidRPr="00FA3F9C">
              <w:rPr>
                <w:rFonts w:ascii="Arial" w:hAnsi="Arial" w:cs="Arial"/>
                <w:sz w:val="24"/>
                <w:szCs w:val="24"/>
              </w:rPr>
              <w:t xml:space="preserve"> must state they have queried the AR PMP to assess the patient’s current opioid use.[to ascertain the constipation </w:t>
            </w:r>
            <w:proofErr w:type="gramStart"/>
            <w:r w:rsidRPr="00FA3F9C">
              <w:rPr>
                <w:rFonts w:ascii="Arial" w:hAnsi="Arial" w:cs="Arial"/>
                <w:sz w:val="24"/>
                <w:szCs w:val="24"/>
              </w:rPr>
              <w:t>actually is</w:t>
            </w:r>
            <w:proofErr w:type="gramEnd"/>
            <w:r w:rsidRPr="00FA3F9C">
              <w:rPr>
                <w:rFonts w:ascii="Arial" w:hAnsi="Arial" w:cs="Arial"/>
                <w:sz w:val="24"/>
                <w:szCs w:val="24"/>
              </w:rPr>
              <w:t xml:space="preserve"> idiopathic]</w:t>
            </w:r>
          </w:p>
        </w:tc>
      </w:tr>
      <w:tr w:rsidR="009B5AA5" w:rsidRPr="00FA3F9C" w14:paraId="5B7D122C" w14:textId="77777777" w:rsidTr="00EA313E">
        <w:tc>
          <w:tcPr>
            <w:tcW w:w="11016" w:type="dxa"/>
            <w:gridSpan w:val="2"/>
          </w:tcPr>
          <w:p w14:paraId="5E5E1CA0" w14:textId="77777777" w:rsidR="009B5AA5" w:rsidRPr="00FA3F9C" w:rsidRDefault="009B5AA5" w:rsidP="00C96FD0">
            <w:pPr>
              <w:rPr>
                <w:rFonts w:ascii="Arial" w:hAnsi="Arial" w:cs="Arial"/>
                <w:sz w:val="24"/>
                <w:szCs w:val="24"/>
              </w:rPr>
            </w:pPr>
            <w:r w:rsidRPr="00FA3F9C">
              <w:rPr>
                <w:rFonts w:ascii="Arial" w:hAnsi="Arial" w:cs="Arial"/>
                <w:sz w:val="24"/>
                <w:szCs w:val="24"/>
              </w:rPr>
              <w:t xml:space="preserve">5.  There must be no overlapping </w:t>
            </w:r>
            <w:proofErr w:type="spellStart"/>
            <w:r w:rsidRPr="00FA3F9C">
              <w:rPr>
                <w:rFonts w:ascii="Arial" w:hAnsi="Arial" w:cs="Arial"/>
                <w:sz w:val="24"/>
                <w:szCs w:val="24"/>
              </w:rPr>
              <w:t>days</w:t>
            </w:r>
            <w:proofErr w:type="spellEnd"/>
            <w:r w:rsidRPr="00FA3F9C">
              <w:rPr>
                <w:rFonts w:ascii="Arial" w:hAnsi="Arial" w:cs="Arial"/>
                <w:sz w:val="24"/>
                <w:szCs w:val="24"/>
              </w:rPr>
              <w:t xml:space="preserve"> supply of </w:t>
            </w:r>
            <w:proofErr w:type="spellStart"/>
            <w:r w:rsidRPr="00FA3F9C">
              <w:rPr>
                <w:rFonts w:ascii="Arial" w:hAnsi="Arial" w:cs="Arial"/>
                <w:sz w:val="24"/>
                <w:szCs w:val="24"/>
              </w:rPr>
              <w:t>plecanatide</w:t>
            </w:r>
            <w:proofErr w:type="spellEnd"/>
            <w:r w:rsidRPr="00FA3F9C">
              <w:rPr>
                <w:rFonts w:ascii="Arial" w:hAnsi="Arial" w:cs="Arial"/>
                <w:sz w:val="24"/>
                <w:szCs w:val="24"/>
              </w:rPr>
              <w:t xml:space="preserve"> with any of the following:  </w:t>
            </w:r>
            <w:proofErr w:type="spellStart"/>
            <w:r w:rsidRPr="00FA3F9C">
              <w:rPr>
                <w:rFonts w:ascii="Arial" w:hAnsi="Arial" w:cs="Arial"/>
                <w:sz w:val="24"/>
                <w:szCs w:val="24"/>
              </w:rPr>
              <w:t>lubiprostone</w:t>
            </w:r>
            <w:proofErr w:type="spellEnd"/>
            <w:r w:rsidRPr="00FA3F9C">
              <w:rPr>
                <w:rFonts w:ascii="Arial" w:hAnsi="Arial" w:cs="Arial"/>
                <w:sz w:val="24"/>
                <w:szCs w:val="24"/>
              </w:rPr>
              <w:t xml:space="preserve">, linaclotide, </w:t>
            </w:r>
            <w:proofErr w:type="spellStart"/>
            <w:r w:rsidRPr="00FA3F9C">
              <w:rPr>
                <w:rFonts w:ascii="Arial" w:hAnsi="Arial" w:cs="Arial"/>
                <w:sz w:val="24"/>
                <w:szCs w:val="24"/>
              </w:rPr>
              <w:t>naloxegol</w:t>
            </w:r>
            <w:proofErr w:type="spellEnd"/>
            <w:r w:rsidRPr="00FA3F9C">
              <w:rPr>
                <w:rFonts w:ascii="Arial" w:hAnsi="Arial" w:cs="Arial"/>
                <w:sz w:val="24"/>
                <w:szCs w:val="24"/>
              </w:rPr>
              <w:t>, or methylnaltrexone.</w:t>
            </w:r>
          </w:p>
        </w:tc>
      </w:tr>
      <w:tr w:rsidR="009B5AA5" w:rsidRPr="00FA3F9C" w14:paraId="6D12643C" w14:textId="77777777" w:rsidTr="00EA313E">
        <w:tc>
          <w:tcPr>
            <w:tcW w:w="11016" w:type="dxa"/>
            <w:gridSpan w:val="2"/>
          </w:tcPr>
          <w:p w14:paraId="682EF8F9" w14:textId="77777777" w:rsidR="009B5AA5" w:rsidRPr="00FA3F9C" w:rsidRDefault="009B5AA5" w:rsidP="00C96FD0">
            <w:pPr>
              <w:rPr>
                <w:rFonts w:ascii="Arial" w:hAnsi="Arial" w:cs="Arial"/>
                <w:sz w:val="24"/>
                <w:szCs w:val="24"/>
              </w:rPr>
            </w:pPr>
            <w:r w:rsidRPr="00FA3F9C">
              <w:rPr>
                <w:rFonts w:ascii="Arial" w:hAnsi="Arial" w:cs="Arial"/>
                <w:sz w:val="24"/>
                <w:szCs w:val="24"/>
              </w:rPr>
              <w:t xml:space="preserve">If yes to </w:t>
            </w:r>
            <w:proofErr w:type="gramStart"/>
            <w:r w:rsidRPr="00FA3F9C">
              <w:rPr>
                <w:rFonts w:ascii="Arial" w:hAnsi="Arial" w:cs="Arial"/>
                <w:sz w:val="24"/>
                <w:szCs w:val="24"/>
              </w:rPr>
              <w:t>all of</w:t>
            </w:r>
            <w:proofErr w:type="gramEnd"/>
            <w:r w:rsidRPr="00FA3F9C">
              <w:rPr>
                <w:rFonts w:ascii="Arial" w:hAnsi="Arial" w:cs="Arial"/>
                <w:sz w:val="24"/>
                <w:szCs w:val="24"/>
              </w:rPr>
              <w:t xml:space="preserve"> the above, the PA may be approved for 1 year.  QL is 1/1 for a 30 </w:t>
            </w:r>
            <w:proofErr w:type="spellStart"/>
            <w:proofErr w:type="gramStart"/>
            <w:r w:rsidRPr="00FA3F9C">
              <w:rPr>
                <w:rFonts w:ascii="Arial" w:hAnsi="Arial" w:cs="Arial"/>
                <w:sz w:val="24"/>
                <w:szCs w:val="24"/>
              </w:rPr>
              <w:t>days</w:t>
            </w:r>
            <w:proofErr w:type="spellEnd"/>
            <w:proofErr w:type="gramEnd"/>
            <w:r w:rsidRPr="00FA3F9C">
              <w:rPr>
                <w:rFonts w:ascii="Arial" w:hAnsi="Arial" w:cs="Arial"/>
                <w:sz w:val="24"/>
                <w:szCs w:val="24"/>
              </w:rPr>
              <w:t xml:space="preserve"> supply.</w:t>
            </w:r>
          </w:p>
        </w:tc>
      </w:tr>
      <w:tr w:rsidR="009B5AA5" w:rsidRPr="00FA3F9C" w14:paraId="096A1718" w14:textId="77777777" w:rsidTr="00EA313E">
        <w:tc>
          <w:tcPr>
            <w:tcW w:w="11016" w:type="dxa"/>
            <w:gridSpan w:val="2"/>
          </w:tcPr>
          <w:p w14:paraId="759C54B2" w14:textId="77777777" w:rsidR="009B5AA5" w:rsidRPr="00FA3F9C" w:rsidRDefault="009B5AA5" w:rsidP="00C96FD0">
            <w:pPr>
              <w:rPr>
                <w:rFonts w:ascii="Arial" w:hAnsi="Arial" w:cs="Arial"/>
                <w:sz w:val="24"/>
                <w:szCs w:val="24"/>
              </w:rPr>
            </w:pPr>
            <w:r w:rsidRPr="00FA3F9C">
              <w:rPr>
                <w:rFonts w:ascii="Arial" w:hAnsi="Arial" w:cs="Arial"/>
                <w:sz w:val="24"/>
                <w:szCs w:val="24"/>
              </w:rPr>
              <w:t xml:space="preserve">NOTE:  The dose is 3mg once daily.  </w:t>
            </w:r>
          </w:p>
        </w:tc>
      </w:tr>
    </w:tbl>
    <w:p w14:paraId="4604B2E2" w14:textId="77777777" w:rsidR="009B5AA5" w:rsidRPr="00FA3F9C" w:rsidRDefault="009B5AA5" w:rsidP="006F623F">
      <w:pPr>
        <w:spacing w:after="0"/>
        <w:rPr>
          <w:rFonts w:ascii="Arial" w:hAnsi="Arial" w:cs="Arial"/>
          <w:b/>
          <w:sz w:val="24"/>
          <w:szCs w:val="24"/>
          <w:u w:val="single"/>
        </w:rPr>
      </w:pPr>
    </w:p>
    <w:p w14:paraId="3D4F66A9" w14:textId="77777777" w:rsidR="009B5AA5" w:rsidRPr="00FA3F9C" w:rsidRDefault="009B5AA5" w:rsidP="006F623F">
      <w:pPr>
        <w:spacing w:after="0"/>
        <w:rPr>
          <w:rFonts w:ascii="Arial" w:hAnsi="Arial" w:cs="Arial"/>
          <w:b/>
          <w:sz w:val="24"/>
          <w:szCs w:val="24"/>
          <w:u w:val="single"/>
        </w:rPr>
      </w:pPr>
    </w:p>
    <w:p w14:paraId="2A224414" w14:textId="77777777" w:rsidR="009B5AA5" w:rsidRPr="00FA3F9C" w:rsidRDefault="009B5AA5" w:rsidP="006F623F">
      <w:pPr>
        <w:spacing w:after="0"/>
        <w:rPr>
          <w:rFonts w:ascii="Arial" w:hAnsi="Arial" w:cs="Arial"/>
          <w:b/>
          <w:sz w:val="24"/>
          <w:szCs w:val="24"/>
          <w:u w:val="single"/>
        </w:rPr>
      </w:pPr>
    </w:p>
    <w:p w14:paraId="7F9A6F34" w14:textId="77777777" w:rsidR="009B5AA5" w:rsidRPr="00FA3F9C" w:rsidRDefault="009B5AA5" w:rsidP="006F623F">
      <w:pPr>
        <w:spacing w:after="0"/>
        <w:rPr>
          <w:rFonts w:ascii="Arial" w:hAnsi="Arial" w:cs="Arial"/>
          <w:sz w:val="24"/>
          <w:szCs w:val="24"/>
        </w:rPr>
      </w:pPr>
    </w:p>
    <w:p w14:paraId="62A92A14" w14:textId="77777777" w:rsidR="009B5AA5" w:rsidRPr="00FA3F9C" w:rsidRDefault="009B5AA5" w:rsidP="006F623F">
      <w:pPr>
        <w:spacing w:after="0"/>
        <w:rPr>
          <w:rFonts w:ascii="Arial" w:hAnsi="Arial" w:cs="Arial"/>
          <w:sz w:val="24"/>
          <w:szCs w:val="24"/>
        </w:rPr>
      </w:pPr>
      <w:r w:rsidRPr="00FA3F9C">
        <w:rPr>
          <w:rFonts w:ascii="Arial" w:hAnsi="Arial" w:cs="Arial"/>
          <w:sz w:val="24"/>
          <w:szCs w:val="24"/>
        </w:rPr>
        <w:t>Quantity Limits: 1/1</w:t>
      </w:r>
    </w:p>
    <w:p w14:paraId="0EC03BC7" w14:textId="77777777" w:rsidR="009B5AA5" w:rsidRPr="00FA3F9C" w:rsidRDefault="009B5AA5" w:rsidP="006F623F">
      <w:pPr>
        <w:spacing w:after="0"/>
        <w:rPr>
          <w:rFonts w:ascii="Arial" w:hAnsi="Arial" w:cs="Arial"/>
          <w:sz w:val="24"/>
          <w:szCs w:val="24"/>
        </w:rPr>
      </w:pPr>
    </w:p>
    <w:p w14:paraId="7FC1F417" w14:textId="77777777" w:rsidR="009B5AA5" w:rsidRPr="00FA3F9C" w:rsidRDefault="009B5AA5"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017"/>
        <w:gridCol w:w="7470"/>
        <w:gridCol w:w="2538"/>
      </w:tblGrid>
      <w:tr w:rsidR="009B5AA5" w:rsidRPr="00FA3F9C" w14:paraId="1CE73E1A" w14:textId="77777777" w:rsidTr="00FE491B">
        <w:tc>
          <w:tcPr>
            <w:tcW w:w="1008" w:type="dxa"/>
          </w:tcPr>
          <w:p w14:paraId="4EBE1C67" w14:textId="77777777" w:rsidR="009B5AA5" w:rsidRPr="00FA3F9C" w:rsidRDefault="009B5AA5" w:rsidP="006F623F">
            <w:pPr>
              <w:rPr>
                <w:rFonts w:ascii="Arial" w:hAnsi="Arial" w:cs="Arial"/>
                <w:sz w:val="24"/>
                <w:szCs w:val="24"/>
              </w:rPr>
            </w:pPr>
            <w:r w:rsidRPr="00FA3F9C">
              <w:rPr>
                <w:rFonts w:ascii="Arial" w:hAnsi="Arial" w:cs="Arial"/>
                <w:sz w:val="24"/>
                <w:szCs w:val="24"/>
              </w:rPr>
              <w:t>Date</w:t>
            </w:r>
          </w:p>
        </w:tc>
        <w:tc>
          <w:tcPr>
            <w:tcW w:w="7470" w:type="dxa"/>
          </w:tcPr>
          <w:p w14:paraId="6E54739B" w14:textId="77777777" w:rsidR="009B5AA5" w:rsidRPr="00FA3F9C" w:rsidRDefault="009B5AA5" w:rsidP="006F623F">
            <w:pPr>
              <w:rPr>
                <w:rFonts w:ascii="Arial" w:hAnsi="Arial" w:cs="Arial"/>
                <w:sz w:val="24"/>
                <w:szCs w:val="24"/>
              </w:rPr>
            </w:pPr>
            <w:r w:rsidRPr="00FA3F9C">
              <w:rPr>
                <w:rFonts w:ascii="Arial" w:hAnsi="Arial" w:cs="Arial"/>
                <w:sz w:val="24"/>
                <w:szCs w:val="24"/>
              </w:rPr>
              <w:t>What changed</w:t>
            </w:r>
          </w:p>
        </w:tc>
        <w:tc>
          <w:tcPr>
            <w:tcW w:w="2538" w:type="dxa"/>
          </w:tcPr>
          <w:p w14:paraId="38E3F97F" w14:textId="77777777" w:rsidR="009B5AA5" w:rsidRPr="00FA3F9C" w:rsidRDefault="009B5AA5" w:rsidP="006F623F">
            <w:pPr>
              <w:rPr>
                <w:rFonts w:ascii="Arial" w:hAnsi="Arial" w:cs="Arial"/>
                <w:sz w:val="24"/>
                <w:szCs w:val="24"/>
              </w:rPr>
            </w:pPr>
            <w:r w:rsidRPr="00FA3F9C">
              <w:rPr>
                <w:rFonts w:ascii="Arial" w:hAnsi="Arial" w:cs="Arial"/>
                <w:sz w:val="24"/>
                <w:szCs w:val="24"/>
              </w:rPr>
              <w:t>Pharmacist’s initials</w:t>
            </w:r>
          </w:p>
        </w:tc>
      </w:tr>
      <w:tr w:rsidR="009B5AA5" w:rsidRPr="00FA3F9C" w14:paraId="00DC782B" w14:textId="77777777" w:rsidTr="00FE491B">
        <w:tc>
          <w:tcPr>
            <w:tcW w:w="1008" w:type="dxa"/>
          </w:tcPr>
          <w:p w14:paraId="6E46316D" w14:textId="77777777" w:rsidR="009B5AA5" w:rsidRPr="00FA3F9C" w:rsidRDefault="009B5AA5" w:rsidP="006F623F">
            <w:pPr>
              <w:rPr>
                <w:rFonts w:ascii="Arial" w:hAnsi="Arial" w:cs="Arial"/>
                <w:sz w:val="24"/>
                <w:szCs w:val="24"/>
              </w:rPr>
            </w:pPr>
            <w:r w:rsidRPr="00FA3F9C">
              <w:rPr>
                <w:rFonts w:ascii="Arial" w:hAnsi="Arial" w:cs="Arial"/>
                <w:sz w:val="24"/>
                <w:szCs w:val="24"/>
              </w:rPr>
              <w:t>5/23/17</w:t>
            </w:r>
          </w:p>
        </w:tc>
        <w:tc>
          <w:tcPr>
            <w:tcW w:w="7470" w:type="dxa"/>
          </w:tcPr>
          <w:p w14:paraId="15E31577" w14:textId="77777777" w:rsidR="009B5AA5" w:rsidRPr="00FA3F9C" w:rsidRDefault="009B5AA5" w:rsidP="006F623F">
            <w:pPr>
              <w:rPr>
                <w:rFonts w:ascii="Arial" w:hAnsi="Arial" w:cs="Arial"/>
                <w:sz w:val="24"/>
                <w:szCs w:val="24"/>
              </w:rPr>
            </w:pPr>
            <w:r w:rsidRPr="00FA3F9C">
              <w:rPr>
                <w:rFonts w:ascii="Arial" w:hAnsi="Arial" w:cs="Arial"/>
                <w:sz w:val="24"/>
                <w:szCs w:val="24"/>
              </w:rPr>
              <w:t>I wrote the criteria.</w:t>
            </w:r>
          </w:p>
        </w:tc>
        <w:tc>
          <w:tcPr>
            <w:tcW w:w="2538" w:type="dxa"/>
          </w:tcPr>
          <w:p w14:paraId="43BB3B3D" w14:textId="00F0067A" w:rsidR="009B5AA5" w:rsidRPr="00FA3F9C" w:rsidRDefault="009B5AA5" w:rsidP="006F623F">
            <w:pPr>
              <w:rPr>
                <w:rFonts w:ascii="Arial" w:hAnsi="Arial" w:cs="Arial"/>
                <w:sz w:val="24"/>
                <w:szCs w:val="24"/>
              </w:rPr>
            </w:pPr>
            <w:r w:rsidRPr="00FA3F9C">
              <w:rPr>
                <w:rFonts w:ascii="Arial" w:hAnsi="Arial" w:cs="Arial"/>
                <w:sz w:val="24"/>
                <w:szCs w:val="24"/>
              </w:rPr>
              <w:t xml:space="preserve">J </w:t>
            </w:r>
            <w:r w:rsidR="002F3083">
              <w:rPr>
                <w:rFonts w:ascii="Arial" w:hAnsi="Arial" w:cs="Arial"/>
                <w:sz w:val="24"/>
                <w:szCs w:val="24"/>
              </w:rPr>
              <w:t>JJ</w:t>
            </w:r>
            <w:r w:rsidRPr="00FA3F9C">
              <w:rPr>
                <w:rFonts w:ascii="Arial" w:hAnsi="Arial" w:cs="Arial"/>
                <w:sz w:val="24"/>
                <w:szCs w:val="24"/>
              </w:rPr>
              <w:t xml:space="preserve"> </w:t>
            </w:r>
          </w:p>
        </w:tc>
      </w:tr>
      <w:tr w:rsidR="009B5AA5" w:rsidRPr="00FA3F9C" w14:paraId="017AE1DE" w14:textId="77777777" w:rsidTr="00FE491B">
        <w:tc>
          <w:tcPr>
            <w:tcW w:w="1008" w:type="dxa"/>
          </w:tcPr>
          <w:p w14:paraId="24FAB767" w14:textId="77777777" w:rsidR="009B5AA5" w:rsidRPr="00FA3F9C" w:rsidRDefault="009B5AA5" w:rsidP="006F623F">
            <w:pPr>
              <w:rPr>
                <w:rFonts w:ascii="Arial" w:hAnsi="Arial" w:cs="Arial"/>
                <w:sz w:val="24"/>
                <w:szCs w:val="24"/>
              </w:rPr>
            </w:pPr>
          </w:p>
        </w:tc>
        <w:tc>
          <w:tcPr>
            <w:tcW w:w="7470" w:type="dxa"/>
          </w:tcPr>
          <w:p w14:paraId="415AC396" w14:textId="77777777" w:rsidR="009B5AA5" w:rsidRPr="00FA3F9C" w:rsidRDefault="009B5AA5" w:rsidP="006F623F">
            <w:pPr>
              <w:rPr>
                <w:rFonts w:ascii="Arial" w:hAnsi="Arial" w:cs="Arial"/>
                <w:sz w:val="24"/>
                <w:szCs w:val="24"/>
              </w:rPr>
            </w:pPr>
          </w:p>
        </w:tc>
        <w:tc>
          <w:tcPr>
            <w:tcW w:w="2538" w:type="dxa"/>
          </w:tcPr>
          <w:p w14:paraId="520E1650" w14:textId="77777777" w:rsidR="009B5AA5" w:rsidRPr="00FA3F9C" w:rsidRDefault="009B5AA5" w:rsidP="006F623F">
            <w:pPr>
              <w:rPr>
                <w:rFonts w:ascii="Arial" w:hAnsi="Arial" w:cs="Arial"/>
                <w:sz w:val="24"/>
                <w:szCs w:val="24"/>
              </w:rPr>
            </w:pPr>
          </w:p>
        </w:tc>
      </w:tr>
    </w:tbl>
    <w:p w14:paraId="6237BD37" w14:textId="77777777" w:rsidR="009B5AA5" w:rsidRPr="00FA3F9C" w:rsidRDefault="009B5AA5" w:rsidP="006F623F">
      <w:pPr>
        <w:spacing w:after="0"/>
        <w:rPr>
          <w:rFonts w:ascii="Arial" w:hAnsi="Arial" w:cs="Arial"/>
          <w:sz w:val="24"/>
          <w:szCs w:val="24"/>
        </w:rPr>
      </w:pPr>
    </w:p>
    <w:p w14:paraId="0F62D056" w14:textId="77777777" w:rsidR="009B5AA5" w:rsidRPr="00FA3F9C" w:rsidRDefault="009B5AA5" w:rsidP="006F623F">
      <w:pPr>
        <w:spacing w:after="0"/>
        <w:rPr>
          <w:rFonts w:ascii="Arial" w:hAnsi="Arial" w:cs="Arial"/>
          <w:sz w:val="24"/>
          <w:szCs w:val="24"/>
        </w:rPr>
      </w:pPr>
      <w:r w:rsidRPr="00FA3F9C">
        <w:rPr>
          <w:rFonts w:ascii="Arial" w:hAnsi="Arial" w:cs="Arial"/>
          <w:sz w:val="24"/>
          <w:szCs w:val="24"/>
        </w:rPr>
        <w:t>References:</w:t>
      </w:r>
    </w:p>
    <w:p w14:paraId="5CDF1AA7" w14:textId="77777777" w:rsidR="009B5AA5" w:rsidRPr="00FA3F9C" w:rsidRDefault="009B5AA5" w:rsidP="00C96FD0">
      <w:pPr>
        <w:rPr>
          <w:rFonts w:ascii="Arial" w:eastAsia="Times New Roman" w:hAnsi="Arial" w:cs="Arial"/>
          <w:sz w:val="24"/>
          <w:szCs w:val="24"/>
        </w:rPr>
      </w:pPr>
      <w:r w:rsidRPr="00FA3F9C">
        <w:rPr>
          <w:rFonts w:ascii="Arial" w:hAnsi="Arial" w:cs="Arial"/>
          <w:sz w:val="24"/>
          <w:szCs w:val="24"/>
          <w:lang w:val="fr-FR"/>
        </w:rPr>
        <w:t xml:space="preserve">1.  </w:t>
      </w:r>
      <w:r w:rsidRPr="00FA3F9C">
        <w:rPr>
          <w:rFonts w:ascii="Arial" w:eastAsia="Times New Roman" w:hAnsi="Arial" w:cs="Arial"/>
          <w:color w:val="222222"/>
          <w:sz w:val="24"/>
          <w:szCs w:val="24"/>
          <w:shd w:val="clear" w:color="auto" w:fill="FFFFFF"/>
          <w:lang w:val="fr-FR"/>
        </w:rPr>
        <w:t xml:space="preserve">Miner Jr, Philip B., et al. </w:t>
      </w:r>
      <w:r w:rsidRPr="00FA3F9C">
        <w:rPr>
          <w:rFonts w:ascii="Arial" w:eastAsia="Times New Roman" w:hAnsi="Arial" w:cs="Arial"/>
          <w:color w:val="222222"/>
          <w:sz w:val="24"/>
          <w:szCs w:val="24"/>
          <w:shd w:val="clear" w:color="auto" w:fill="FFFFFF"/>
        </w:rPr>
        <w:t xml:space="preserve">"A randomized phase III clinical trial of </w:t>
      </w:r>
      <w:proofErr w:type="spellStart"/>
      <w:r w:rsidRPr="00FA3F9C">
        <w:rPr>
          <w:rFonts w:ascii="Arial" w:eastAsia="Times New Roman" w:hAnsi="Arial" w:cs="Arial"/>
          <w:color w:val="222222"/>
          <w:sz w:val="24"/>
          <w:szCs w:val="24"/>
          <w:shd w:val="clear" w:color="auto" w:fill="FFFFFF"/>
        </w:rPr>
        <w:t>plecanatide</w:t>
      </w:r>
      <w:proofErr w:type="spellEnd"/>
      <w:r w:rsidRPr="00FA3F9C">
        <w:rPr>
          <w:rFonts w:ascii="Arial" w:eastAsia="Times New Roman" w:hAnsi="Arial" w:cs="Arial"/>
          <w:color w:val="222222"/>
          <w:sz w:val="24"/>
          <w:szCs w:val="24"/>
          <w:shd w:val="clear" w:color="auto" w:fill="FFFFFF"/>
        </w:rPr>
        <w:t xml:space="preserve">, a </w:t>
      </w:r>
      <w:proofErr w:type="spellStart"/>
      <w:r w:rsidRPr="00FA3F9C">
        <w:rPr>
          <w:rFonts w:ascii="Arial" w:eastAsia="Times New Roman" w:hAnsi="Arial" w:cs="Arial"/>
          <w:color w:val="222222"/>
          <w:sz w:val="24"/>
          <w:szCs w:val="24"/>
          <w:shd w:val="clear" w:color="auto" w:fill="FFFFFF"/>
        </w:rPr>
        <w:t>uroguanylin</w:t>
      </w:r>
      <w:proofErr w:type="spellEnd"/>
      <w:r w:rsidRPr="00FA3F9C">
        <w:rPr>
          <w:rFonts w:ascii="Arial" w:eastAsia="Times New Roman" w:hAnsi="Arial" w:cs="Arial"/>
          <w:color w:val="222222"/>
          <w:sz w:val="24"/>
          <w:szCs w:val="24"/>
          <w:shd w:val="clear" w:color="auto" w:fill="FFFFFF"/>
        </w:rPr>
        <w:t xml:space="preserve"> analog, in patients with chronic idiopathic constipation." </w:t>
      </w:r>
      <w:r w:rsidRPr="00FA3F9C">
        <w:rPr>
          <w:rFonts w:ascii="Arial" w:eastAsia="Times New Roman" w:hAnsi="Arial" w:cs="Arial"/>
          <w:i/>
          <w:iCs/>
          <w:color w:val="222222"/>
          <w:sz w:val="24"/>
          <w:szCs w:val="24"/>
          <w:shd w:val="clear" w:color="auto" w:fill="FFFFFF"/>
        </w:rPr>
        <w:t>The American Journal of Gastroenterology</w:t>
      </w:r>
      <w:r w:rsidRPr="00FA3F9C">
        <w:rPr>
          <w:rFonts w:ascii="Arial" w:eastAsia="Times New Roman" w:hAnsi="Arial" w:cs="Arial"/>
          <w:color w:val="222222"/>
          <w:sz w:val="24"/>
          <w:szCs w:val="24"/>
          <w:shd w:val="clear" w:color="auto" w:fill="FFFFFF"/>
        </w:rPr>
        <w:t> (2017).</w:t>
      </w:r>
    </w:p>
    <w:p w14:paraId="760E6756" w14:textId="77777777" w:rsidR="009B5AA5" w:rsidRPr="00FA3F9C" w:rsidRDefault="009B5AA5" w:rsidP="00EA313E">
      <w:pPr>
        <w:rPr>
          <w:rFonts w:ascii="Arial" w:eastAsia="Times New Roman" w:hAnsi="Arial" w:cs="Arial"/>
          <w:sz w:val="24"/>
          <w:szCs w:val="24"/>
        </w:rPr>
      </w:pPr>
    </w:p>
    <w:p w14:paraId="219F32F3" w14:textId="77777777" w:rsidR="009B5AA5" w:rsidRPr="00FA3F9C" w:rsidRDefault="009B5AA5" w:rsidP="006F623F">
      <w:pPr>
        <w:spacing w:after="0"/>
        <w:rPr>
          <w:rFonts w:ascii="Arial" w:hAnsi="Arial" w:cs="Arial"/>
          <w:sz w:val="24"/>
          <w:szCs w:val="24"/>
        </w:rPr>
      </w:pPr>
    </w:p>
    <w:p w14:paraId="39FB2B57" w14:textId="77777777" w:rsidR="002B2097" w:rsidRDefault="009B5AA5" w:rsidP="002B2097">
      <w:pPr>
        <w:pStyle w:val="Heading2"/>
      </w:pPr>
      <w:bookmarkStart w:id="278" w:name="_Toc106369902"/>
      <w:r w:rsidRPr="00FA3F9C">
        <w:t>Plerixafor (</w:t>
      </w:r>
      <w:proofErr w:type="spellStart"/>
      <w:r w:rsidRPr="00FA3F9C">
        <w:t>Mozobil</w:t>
      </w:r>
      <w:proofErr w:type="spellEnd"/>
      <w:r w:rsidRPr="00FA3F9C">
        <w:t>)</w:t>
      </w:r>
      <w:bookmarkEnd w:id="278"/>
    </w:p>
    <w:p w14:paraId="61C6162E" w14:textId="198FBABA" w:rsidR="009B5AA5" w:rsidRPr="00FA3F9C" w:rsidRDefault="009B5AA5" w:rsidP="00232FA0">
      <w:pPr>
        <w:spacing w:after="0"/>
        <w:jc w:val="center"/>
        <w:rPr>
          <w:rFonts w:ascii="Arial" w:hAnsi="Arial" w:cs="Arial"/>
          <w:sz w:val="24"/>
          <w:szCs w:val="24"/>
        </w:rPr>
      </w:pPr>
      <w:r w:rsidRPr="00FA3F9C">
        <w:rPr>
          <w:rFonts w:ascii="Arial" w:hAnsi="Arial" w:cs="Arial"/>
          <w:sz w:val="24"/>
          <w:szCs w:val="24"/>
        </w:rPr>
        <w:t xml:space="preserve"> 24 mg/1.2 ml vial</w:t>
      </w:r>
    </w:p>
    <w:p w14:paraId="074DCEC3" w14:textId="77777777" w:rsidR="009B5AA5" w:rsidRPr="00FA3F9C" w:rsidRDefault="009B5AA5" w:rsidP="006F623F">
      <w:pPr>
        <w:spacing w:after="0"/>
        <w:jc w:val="center"/>
        <w:rPr>
          <w:rFonts w:ascii="Arial" w:hAnsi="Arial" w:cs="Arial"/>
          <w:sz w:val="24"/>
          <w:szCs w:val="24"/>
        </w:rPr>
      </w:pPr>
      <w:r w:rsidRPr="00FA3F9C">
        <w:rPr>
          <w:rFonts w:ascii="Arial" w:hAnsi="Arial" w:cs="Arial"/>
          <w:sz w:val="24"/>
          <w:szCs w:val="24"/>
        </w:rPr>
        <w:t>EBRx PA Criteria</w:t>
      </w:r>
    </w:p>
    <w:p w14:paraId="4F01BF78" w14:textId="77777777" w:rsidR="009B5AA5" w:rsidRPr="00FA3F9C" w:rsidRDefault="009B5AA5" w:rsidP="006F623F">
      <w:pPr>
        <w:spacing w:after="0"/>
        <w:rPr>
          <w:rFonts w:ascii="Arial" w:hAnsi="Arial" w:cs="Arial"/>
          <w:b/>
          <w:sz w:val="24"/>
          <w:szCs w:val="24"/>
          <w:u w:val="single"/>
        </w:rPr>
      </w:pPr>
    </w:p>
    <w:p w14:paraId="111B3404" w14:textId="77777777" w:rsidR="009B5AA5" w:rsidRPr="00FA3F9C" w:rsidRDefault="009B5AA5" w:rsidP="006F623F">
      <w:pPr>
        <w:spacing w:after="0"/>
        <w:rPr>
          <w:rFonts w:ascii="Arial" w:hAnsi="Arial" w:cs="Arial"/>
          <w:b/>
          <w:sz w:val="24"/>
          <w:szCs w:val="24"/>
          <w:u w:val="single"/>
        </w:rPr>
      </w:pPr>
      <w:r w:rsidRPr="00FA3F9C">
        <w:rPr>
          <w:rFonts w:ascii="Arial" w:hAnsi="Arial" w:cs="Arial"/>
          <w:b/>
          <w:sz w:val="24"/>
          <w:szCs w:val="24"/>
          <w:u w:val="single"/>
        </w:rPr>
        <w:t xml:space="preserve">is FDA-approved for:  </w:t>
      </w:r>
    </w:p>
    <w:p w14:paraId="5BA733A0" w14:textId="77777777" w:rsidR="009B5AA5" w:rsidRPr="00FA3F9C" w:rsidRDefault="009B5AA5" w:rsidP="00FC1E85">
      <w:pPr>
        <w:pStyle w:val="ListParagraph"/>
        <w:numPr>
          <w:ilvl w:val="0"/>
          <w:numId w:val="438"/>
        </w:numPr>
        <w:spacing w:after="0" w:line="276" w:lineRule="auto"/>
        <w:ind w:left="360" w:hanging="270"/>
        <w:rPr>
          <w:rFonts w:ascii="Arial" w:hAnsi="Arial" w:cs="Arial"/>
          <w:sz w:val="24"/>
          <w:szCs w:val="24"/>
        </w:rPr>
      </w:pPr>
      <w:r w:rsidRPr="00FA3F9C">
        <w:rPr>
          <w:rFonts w:ascii="Arial" w:hAnsi="Arial" w:cs="Arial"/>
          <w:sz w:val="24"/>
          <w:szCs w:val="24"/>
        </w:rPr>
        <w:t>In combination with filgrastim, mobilization of hematopoietic stem cells to the peripheral blood for collection and subsequent autologous transplantation in patients with non-Hodgkin’s lymphoma or multiple myeloma.</w:t>
      </w:r>
      <w:r w:rsidRPr="00FA3F9C">
        <w:rPr>
          <w:rFonts w:ascii="Arial" w:hAnsi="Arial" w:cs="Arial"/>
          <w:sz w:val="24"/>
          <w:szCs w:val="24"/>
        </w:rPr>
        <w:tab/>
      </w:r>
      <w:r w:rsidRPr="00FA3F9C">
        <w:rPr>
          <w:rFonts w:ascii="Arial" w:hAnsi="Arial" w:cs="Arial"/>
          <w:sz w:val="24"/>
          <w:szCs w:val="24"/>
        </w:rPr>
        <w:tab/>
      </w:r>
    </w:p>
    <w:tbl>
      <w:tblPr>
        <w:tblStyle w:val="TableGrid"/>
        <w:tblW w:w="0" w:type="auto"/>
        <w:tblLook w:val="04A0" w:firstRow="1" w:lastRow="0" w:firstColumn="1" w:lastColumn="0" w:noHBand="0" w:noVBand="1"/>
      </w:tblPr>
      <w:tblGrid>
        <w:gridCol w:w="8928"/>
        <w:gridCol w:w="2088"/>
      </w:tblGrid>
      <w:tr w:rsidR="009B5AA5" w:rsidRPr="00FA3F9C" w14:paraId="3190678D" w14:textId="77777777" w:rsidTr="00FE491B">
        <w:tc>
          <w:tcPr>
            <w:tcW w:w="8928" w:type="dxa"/>
          </w:tcPr>
          <w:p w14:paraId="3874677A" w14:textId="77777777" w:rsidR="009B5AA5" w:rsidRPr="00FA3F9C" w:rsidRDefault="009B5AA5" w:rsidP="006F623F">
            <w:pPr>
              <w:jc w:val="center"/>
              <w:rPr>
                <w:rFonts w:ascii="Arial" w:hAnsi="Arial" w:cs="Arial"/>
                <w:b/>
                <w:sz w:val="24"/>
                <w:szCs w:val="24"/>
                <w:u w:val="single"/>
              </w:rPr>
            </w:pPr>
            <w:r w:rsidRPr="00FA3F9C">
              <w:rPr>
                <w:rFonts w:ascii="Arial" w:hAnsi="Arial" w:cs="Arial"/>
                <w:b/>
                <w:sz w:val="24"/>
                <w:szCs w:val="24"/>
                <w:u w:val="single"/>
              </w:rPr>
              <w:t>Criteria</w:t>
            </w:r>
          </w:p>
        </w:tc>
        <w:tc>
          <w:tcPr>
            <w:tcW w:w="2088" w:type="dxa"/>
          </w:tcPr>
          <w:p w14:paraId="64B291CE" w14:textId="77777777" w:rsidR="009B5AA5" w:rsidRPr="00FA3F9C" w:rsidRDefault="009B5AA5" w:rsidP="006F623F">
            <w:pPr>
              <w:jc w:val="center"/>
              <w:rPr>
                <w:rFonts w:ascii="Arial" w:hAnsi="Arial" w:cs="Arial"/>
                <w:b/>
                <w:sz w:val="24"/>
                <w:szCs w:val="24"/>
                <w:u w:val="single"/>
              </w:rPr>
            </w:pPr>
          </w:p>
        </w:tc>
      </w:tr>
      <w:tr w:rsidR="009B5AA5" w:rsidRPr="00FA3F9C" w14:paraId="19F4F42A" w14:textId="77777777" w:rsidTr="00FE491B">
        <w:tc>
          <w:tcPr>
            <w:tcW w:w="8928" w:type="dxa"/>
          </w:tcPr>
          <w:p w14:paraId="0BE14C4A" w14:textId="77777777" w:rsidR="009B5AA5" w:rsidRPr="00FA3F9C" w:rsidRDefault="009B5AA5" w:rsidP="006F623F">
            <w:pPr>
              <w:rPr>
                <w:rFonts w:ascii="Arial" w:hAnsi="Arial" w:cs="Arial"/>
                <w:sz w:val="24"/>
                <w:szCs w:val="24"/>
              </w:rPr>
            </w:pPr>
            <w:r w:rsidRPr="00FA3F9C">
              <w:rPr>
                <w:rFonts w:ascii="Arial" w:hAnsi="Arial" w:cs="Arial"/>
                <w:sz w:val="24"/>
                <w:szCs w:val="24"/>
              </w:rPr>
              <w:t>1.  Diagnosis of non-Hodgkin’s lymphoma, Hodgkin’s lymphoma, or multiple myeloma</w:t>
            </w:r>
          </w:p>
        </w:tc>
        <w:tc>
          <w:tcPr>
            <w:tcW w:w="2088" w:type="dxa"/>
          </w:tcPr>
          <w:p w14:paraId="5D3871F9" w14:textId="77777777" w:rsidR="009B5AA5" w:rsidRPr="00FA3F9C" w:rsidRDefault="009B5AA5" w:rsidP="006F623F">
            <w:pPr>
              <w:rPr>
                <w:rFonts w:ascii="Arial" w:hAnsi="Arial" w:cs="Arial"/>
                <w:sz w:val="24"/>
                <w:szCs w:val="24"/>
              </w:rPr>
            </w:pPr>
            <w:r w:rsidRPr="00FA3F9C">
              <w:rPr>
                <w:rFonts w:ascii="Arial" w:hAnsi="Arial" w:cs="Arial"/>
                <w:sz w:val="24"/>
                <w:szCs w:val="24"/>
              </w:rPr>
              <w:sym w:font="Wingdings" w:char="F0A8"/>
            </w:r>
            <w:r w:rsidRPr="00FA3F9C">
              <w:rPr>
                <w:rFonts w:ascii="Arial" w:hAnsi="Arial" w:cs="Arial"/>
                <w:sz w:val="24"/>
                <w:szCs w:val="24"/>
              </w:rPr>
              <w:t xml:space="preserve">Yes             </w:t>
            </w:r>
            <w:r w:rsidRPr="00FA3F9C">
              <w:rPr>
                <w:rFonts w:ascii="Arial" w:hAnsi="Arial" w:cs="Arial"/>
                <w:sz w:val="24"/>
                <w:szCs w:val="24"/>
              </w:rPr>
              <w:sym w:font="Wingdings" w:char="F0A8"/>
            </w:r>
            <w:r w:rsidRPr="00FA3F9C">
              <w:rPr>
                <w:rFonts w:ascii="Arial" w:hAnsi="Arial" w:cs="Arial"/>
                <w:sz w:val="24"/>
                <w:szCs w:val="24"/>
              </w:rPr>
              <w:t>No</w:t>
            </w:r>
          </w:p>
          <w:p w14:paraId="5979350C" w14:textId="77777777" w:rsidR="009B5AA5" w:rsidRPr="00FA3F9C" w:rsidRDefault="009B5AA5" w:rsidP="006F623F">
            <w:pPr>
              <w:rPr>
                <w:rFonts w:ascii="Arial" w:hAnsi="Arial" w:cs="Arial"/>
                <w:sz w:val="24"/>
                <w:szCs w:val="24"/>
              </w:rPr>
            </w:pPr>
          </w:p>
        </w:tc>
      </w:tr>
      <w:tr w:rsidR="009B5AA5" w:rsidRPr="00FA3F9C" w14:paraId="5A30CAAC" w14:textId="77777777" w:rsidTr="00FE491B">
        <w:tc>
          <w:tcPr>
            <w:tcW w:w="8928" w:type="dxa"/>
          </w:tcPr>
          <w:p w14:paraId="6547AAD3" w14:textId="77777777" w:rsidR="009B5AA5" w:rsidRPr="00FA3F9C" w:rsidRDefault="009B5AA5" w:rsidP="006F623F">
            <w:pPr>
              <w:rPr>
                <w:rFonts w:ascii="Arial" w:hAnsi="Arial" w:cs="Arial"/>
                <w:sz w:val="24"/>
                <w:szCs w:val="24"/>
              </w:rPr>
            </w:pPr>
            <w:r w:rsidRPr="00FA3F9C">
              <w:rPr>
                <w:rFonts w:ascii="Arial" w:hAnsi="Arial" w:cs="Arial"/>
                <w:sz w:val="24"/>
                <w:szCs w:val="24"/>
              </w:rPr>
              <w:t>2.  Must have received or be planning to receive at least 4 consecutive days of filgrastim leading up to plerixafor and without delay between filgrastim and plerixafor days</w:t>
            </w:r>
          </w:p>
        </w:tc>
        <w:tc>
          <w:tcPr>
            <w:tcW w:w="2088" w:type="dxa"/>
          </w:tcPr>
          <w:p w14:paraId="09714A01" w14:textId="77777777" w:rsidR="009B5AA5" w:rsidRPr="00FA3F9C" w:rsidRDefault="009B5AA5" w:rsidP="006F623F">
            <w:pPr>
              <w:rPr>
                <w:rFonts w:ascii="Arial" w:hAnsi="Arial" w:cs="Arial"/>
                <w:sz w:val="24"/>
                <w:szCs w:val="24"/>
              </w:rPr>
            </w:pPr>
            <w:r w:rsidRPr="00FA3F9C">
              <w:rPr>
                <w:rFonts w:ascii="Arial" w:hAnsi="Arial" w:cs="Arial"/>
                <w:sz w:val="24"/>
                <w:szCs w:val="24"/>
              </w:rPr>
              <w:sym w:font="Wingdings" w:char="F0A8"/>
            </w:r>
            <w:r w:rsidRPr="00FA3F9C">
              <w:rPr>
                <w:rFonts w:ascii="Arial" w:hAnsi="Arial" w:cs="Arial"/>
                <w:sz w:val="24"/>
                <w:szCs w:val="24"/>
              </w:rPr>
              <w:t xml:space="preserve">Yes             </w:t>
            </w:r>
            <w:r w:rsidRPr="00FA3F9C">
              <w:rPr>
                <w:rFonts w:ascii="Arial" w:hAnsi="Arial" w:cs="Arial"/>
                <w:sz w:val="24"/>
                <w:szCs w:val="24"/>
              </w:rPr>
              <w:sym w:font="Wingdings" w:char="F0A8"/>
            </w:r>
            <w:r w:rsidRPr="00FA3F9C">
              <w:rPr>
                <w:rFonts w:ascii="Arial" w:hAnsi="Arial" w:cs="Arial"/>
                <w:sz w:val="24"/>
                <w:szCs w:val="24"/>
              </w:rPr>
              <w:t>No</w:t>
            </w:r>
          </w:p>
        </w:tc>
      </w:tr>
      <w:tr w:rsidR="009B5AA5" w:rsidRPr="00FA3F9C" w14:paraId="1F1BE6F3" w14:textId="77777777" w:rsidTr="00FE491B">
        <w:tc>
          <w:tcPr>
            <w:tcW w:w="8928" w:type="dxa"/>
          </w:tcPr>
          <w:p w14:paraId="1CDC1F2C" w14:textId="77777777" w:rsidR="009B5AA5" w:rsidRPr="00FA3F9C" w:rsidRDefault="009B5AA5" w:rsidP="004131E3">
            <w:pPr>
              <w:rPr>
                <w:rFonts w:ascii="Arial" w:hAnsi="Arial" w:cs="Arial"/>
                <w:sz w:val="24"/>
                <w:szCs w:val="24"/>
              </w:rPr>
            </w:pPr>
            <w:r w:rsidRPr="00FA3F9C">
              <w:rPr>
                <w:rFonts w:ascii="Arial" w:hAnsi="Arial" w:cs="Arial"/>
                <w:sz w:val="24"/>
                <w:szCs w:val="24"/>
              </w:rPr>
              <w:t>3.  Hematopoietic stem cell transplantation is planned.</w:t>
            </w:r>
          </w:p>
        </w:tc>
        <w:tc>
          <w:tcPr>
            <w:tcW w:w="2088" w:type="dxa"/>
          </w:tcPr>
          <w:p w14:paraId="43A4AA09" w14:textId="77777777" w:rsidR="009B5AA5" w:rsidRPr="00FA3F9C" w:rsidRDefault="009B5AA5" w:rsidP="006F623F">
            <w:pPr>
              <w:rPr>
                <w:rFonts w:ascii="Arial" w:hAnsi="Arial" w:cs="Arial"/>
                <w:sz w:val="24"/>
                <w:szCs w:val="24"/>
              </w:rPr>
            </w:pPr>
            <w:r w:rsidRPr="00FA3F9C">
              <w:rPr>
                <w:rFonts w:ascii="Arial" w:hAnsi="Arial" w:cs="Arial"/>
                <w:sz w:val="24"/>
                <w:szCs w:val="24"/>
              </w:rPr>
              <w:sym w:font="Wingdings" w:char="F0A8"/>
            </w:r>
            <w:r w:rsidRPr="00FA3F9C">
              <w:rPr>
                <w:rFonts w:ascii="Arial" w:hAnsi="Arial" w:cs="Arial"/>
                <w:sz w:val="24"/>
                <w:szCs w:val="24"/>
              </w:rPr>
              <w:t xml:space="preserve">Yes             </w:t>
            </w:r>
            <w:r w:rsidRPr="00FA3F9C">
              <w:rPr>
                <w:rFonts w:ascii="Arial" w:hAnsi="Arial" w:cs="Arial"/>
                <w:sz w:val="24"/>
                <w:szCs w:val="24"/>
              </w:rPr>
              <w:sym w:font="Wingdings" w:char="F0A8"/>
            </w:r>
            <w:r w:rsidRPr="00FA3F9C">
              <w:rPr>
                <w:rFonts w:ascii="Arial" w:hAnsi="Arial" w:cs="Arial"/>
                <w:sz w:val="24"/>
                <w:szCs w:val="24"/>
              </w:rPr>
              <w:t>No</w:t>
            </w:r>
          </w:p>
        </w:tc>
      </w:tr>
    </w:tbl>
    <w:p w14:paraId="0C77BD4A" w14:textId="77777777" w:rsidR="009B5AA5" w:rsidRPr="00FA3F9C" w:rsidRDefault="009B5AA5" w:rsidP="004131E3">
      <w:pPr>
        <w:spacing w:after="0"/>
        <w:rPr>
          <w:rFonts w:ascii="Arial" w:hAnsi="Arial" w:cs="Arial"/>
          <w:b/>
          <w:sz w:val="24"/>
          <w:szCs w:val="24"/>
          <w:u w:val="single"/>
        </w:rPr>
      </w:pPr>
      <w:r w:rsidRPr="00FA3F9C">
        <w:rPr>
          <w:rFonts w:ascii="Arial" w:hAnsi="Arial" w:cs="Arial"/>
          <w:sz w:val="24"/>
          <w:szCs w:val="24"/>
        </w:rPr>
        <w:t>If criteria are met, approve for 4 days or sufficient time to allow completion of course.</w:t>
      </w:r>
    </w:p>
    <w:p w14:paraId="68A57E85" w14:textId="77777777" w:rsidR="009B5AA5" w:rsidRPr="00FA3F9C" w:rsidRDefault="009B5AA5" w:rsidP="006F623F">
      <w:pPr>
        <w:spacing w:after="0"/>
        <w:rPr>
          <w:rFonts w:ascii="Arial" w:hAnsi="Arial" w:cs="Arial"/>
          <w:sz w:val="24"/>
          <w:szCs w:val="24"/>
        </w:rPr>
      </w:pPr>
    </w:p>
    <w:p w14:paraId="2FF3AED3" w14:textId="77777777" w:rsidR="009B5AA5" w:rsidRPr="00FA3F9C" w:rsidRDefault="009B5AA5" w:rsidP="006F623F">
      <w:pPr>
        <w:spacing w:after="0"/>
        <w:rPr>
          <w:rFonts w:ascii="Arial" w:hAnsi="Arial" w:cs="Arial"/>
          <w:sz w:val="24"/>
          <w:szCs w:val="24"/>
        </w:rPr>
      </w:pPr>
      <w:r w:rsidRPr="00FA3F9C">
        <w:rPr>
          <w:rFonts w:ascii="Arial" w:hAnsi="Arial" w:cs="Arial"/>
          <w:sz w:val="24"/>
          <w:szCs w:val="24"/>
        </w:rPr>
        <w:t xml:space="preserve">Quantity Limits:  One course of plerixafor is comprised of up to 4 daily doses of plerixafor. </w:t>
      </w:r>
    </w:p>
    <w:p w14:paraId="3286ADD1" w14:textId="77777777" w:rsidR="009B5AA5" w:rsidRPr="00FA3F9C" w:rsidRDefault="009B5AA5" w:rsidP="006F623F">
      <w:pPr>
        <w:pStyle w:val="Default"/>
        <w:rPr>
          <w:rFonts w:ascii="Arial" w:hAnsi="Arial" w:cs="Arial"/>
        </w:rPr>
      </w:pPr>
    </w:p>
    <w:p w14:paraId="73C70A9B" w14:textId="77777777" w:rsidR="009B5AA5" w:rsidRPr="00FA3F9C" w:rsidRDefault="009B5AA5" w:rsidP="006F623F">
      <w:pPr>
        <w:spacing w:after="0"/>
        <w:rPr>
          <w:rFonts w:ascii="Arial" w:hAnsi="Arial" w:cs="Arial"/>
          <w:sz w:val="24"/>
          <w:szCs w:val="24"/>
        </w:rPr>
      </w:pPr>
    </w:p>
    <w:p w14:paraId="35EEDACA" w14:textId="77777777" w:rsidR="009B5AA5" w:rsidRPr="00FA3F9C" w:rsidRDefault="009B5AA5"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284"/>
        <w:gridCol w:w="7470"/>
        <w:gridCol w:w="2538"/>
      </w:tblGrid>
      <w:tr w:rsidR="009B5AA5" w:rsidRPr="00FA3F9C" w14:paraId="447BB129" w14:textId="77777777" w:rsidTr="00FE491B">
        <w:tc>
          <w:tcPr>
            <w:tcW w:w="1008" w:type="dxa"/>
          </w:tcPr>
          <w:p w14:paraId="274C423D" w14:textId="77777777" w:rsidR="009B5AA5" w:rsidRPr="00FA3F9C" w:rsidRDefault="009B5AA5" w:rsidP="006F623F">
            <w:pPr>
              <w:rPr>
                <w:rFonts w:ascii="Arial" w:hAnsi="Arial" w:cs="Arial"/>
                <w:sz w:val="24"/>
                <w:szCs w:val="24"/>
              </w:rPr>
            </w:pPr>
            <w:r w:rsidRPr="00FA3F9C">
              <w:rPr>
                <w:rFonts w:ascii="Arial" w:hAnsi="Arial" w:cs="Arial"/>
                <w:sz w:val="24"/>
                <w:szCs w:val="24"/>
              </w:rPr>
              <w:t>Date</w:t>
            </w:r>
          </w:p>
        </w:tc>
        <w:tc>
          <w:tcPr>
            <w:tcW w:w="7470" w:type="dxa"/>
          </w:tcPr>
          <w:p w14:paraId="3395E33F" w14:textId="77777777" w:rsidR="009B5AA5" w:rsidRPr="00FA3F9C" w:rsidRDefault="009B5AA5" w:rsidP="006F623F">
            <w:pPr>
              <w:rPr>
                <w:rFonts w:ascii="Arial" w:hAnsi="Arial" w:cs="Arial"/>
                <w:sz w:val="24"/>
                <w:szCs w:val="24"/>
              </w:rPr>
            </w:pPr>
            <w:r w:rsidRPr="00FA3F9C">
              <w:rPr>
                <w:rFonts w:ascii="Arial" w:hAnsi="Arial" w:cs="Arial"/>
                <w:sz w:val="24"/>
                <w:szCs w:val="24"/>
              </w:rPr>
              <w:t>What changed</w:t>
            </w:r>
          </w:p>
        </w:tc>
        <w:tc>
          <w:tcPr>
            <w:tcW w:w="2538" w:type="dxa"/>
          </w:tcPr>
          <w:p w14:paraId="183BAD7F" w14:textId="77777777" w:rsidR="009B5AA5" w:rsidRPr="00FA3F9C" w:rsidRDefault="009B5AA5" w:rsidP="006F623F">
            <w:pPr>
              <w:rPr>
                <w:rFonts w:ascii="Arial" w:hAnsi="Arial" w:cs="Arial"/>
                <w:sz w:val="24"/>
                <w:szCs w:val="24"/>
              </w:rPr>
            </w:pPr>
            <w:r w:rsidRPr="00FA3F9C">
              <w:rPr>
                <w:rFonts w:ascii="Arial" w:hAnsi="Arial" w:cs="Arial"/>
                <w:sz w:val="24"/>
                <w:szCs w:val="24"/>
              </w:rPr>
              <w:t>Pharmacist’s initials</w:t>
            </w:r>
          </w:p>
        </w:tc>
      </w:tr>
      <w:tr w:rsidR="009B5AA5" w:rsidRPr="00FA3F9C" w14:paraId="39845576" w14:textId="77777777" w:rsidTr="00FE491B">
        <w:tc>
          <w:tcPr>
            <w:tcW w:w="1008" w:type="dxa"/>
          </w:tcPr>
          <w:p w14:paraId="58484B6F" w14:textId="77777777" w:rsidR="009B5AA5" w:rsidRPr="00FA3F9C" w:rsidRDefault="009B5AA5" w:rsidP="006F623F">
            <w:pPr>
              <w:rPr>
                <w:rFonts w:ascii="Arial" w:hAnsi="Arial" w:cs="Arial"/>
                <w:sz w:val="24"/>
                <w:szCs w:val="24"/>
              </w:rPr>
            </w:pPr>
            <w:r w:rsidRPr="00FA3F9C">
              <w:rPr>
                <w:rFonts w:ascii="Arial" w:hAnsi="Arial" w:cs="Arial"/>
                <w:sz w:val="24"/>
                <w:szCs w:val="24"/>
              </w:rPr>
              <w:t>5/12/15</w:t>
            </w:r>
          </w:p>
        </w:tc>
        <w:tc>
          <w:tcPr>
            <w:tcW w:w="7470" w:type="dxa"/>
          </w:tcPr>
          <w:p w14:paraId="6882BD7C" w14:textId="77777777" w:rsidR="009B5AA5" w:rsidRPr="00FA3F9C" w:rsidRDefault="009B5AA5" w:rsidP="006F623F">
            <w:pPr>
              <w:rPr>
                <w:rFonts w:ascii="Arial" w:hAnsi="Arial" w:cs="Arial"/>
                <w:sz w:val="24"/>
                <w:szCs w:val="24"/>
              </w:rPr>
            </w:pPr>
            <w:r w:rsidRPr="00FA3F9C">
              <w:rPr>
                <w:rFonts w:ascii="Arial" w:hAnsi="Arial" w:cs="Arial"/>
                <w:sz w:val="24"/>
                <w:szCs w:val="24"/>
              </w:rPr>
              <w:t>I wrote the criteria after the DCWG meeting 5/12/15.</w:t>
            </w:r>
          </w:p>
        </w:tc>
        <w:tc>
          <w:tcPr>
            <w:tcW w:w="2538" w:type="dxa"/>
          </w:tcPr>
          <w:p w14:paraId="7AAC27EB" w14:textId="77777777" w:rsidR="009B5AA5" w:rsidRPr="00FA3F9C" w:rsidRDefault="009B5AA5" w:rsidP="006F623F">
            <w:pPr>
              <w:rPr>
                <w:rFonts w:ascii="Arial" w:hAnsi="Arial" w:cs="Arial"/>
                <w:sz w:val="24"/>
                <w:szCs w:val="24"/>
              </w:rPr>
            </w:pPr>
            <w:r w:rsidRPr="00FA3F9C">
              <w:rPr>
                <w:rFonts w:ascii="Arial" w:hAnsi="Arial" w:cs="Arial"/>
                <w:sz w:val="24"/>
                <w:szCs w:val="24"/>
              </w:rPr>
              <w:t>JJ</w:t>
            </w:r>
          </w:p>
        </w:tc>
      </w:tr>
      <w:tr w:rsidR="009B5AA5" w:rsidRPr="00FA3F9C" w14:paraId="34FEB423" w14:textId="77777777" w:rsidTr="00FE491B">
        <w:tc>
          <w:tcPr>
            <w:tcW w:w="1008" w:type="dxa"/>
          </w:tcPr>
          <w:p w14:paraId="24CF69B5" w14:textId="77777777" w:rsidR="009B5AA5" w:rsidRPr="00FA3F9C" w:rsidRDefault="009B5AA5" w:rsidP="006F623F">
            <w:pPr>
              <w:rPr>
                <w:rFonts w:ascii="Arial" w:hAnsi="Arial" w:cs="Arial"/>
                <w:sz w:val="24"/>
                <w:szCs w:val="24"/>
              </w:rPr>
            </w:pPr>
            <w:r w:rsidRPr="00FA3F9C">
              <w:rPr>
                <w:rFonts w:ascii="Arial" w:hAnsi="Arial" w:cs="Arial"/>
                <w:sz w:val="24"/>
                <w:szCs w:val="24"/>
              </w:rPr>
              <w:t>8/18/15</w:t>
            </w:r>
          </w:p>
        </w:tc>
        <w:tc>
          <w:tcPr>
            <w:tcW w:w="7470" w:type="dxa"/>
          </w:tcPr>
          <w:p w14:paraId="4417166D" w14:textId="77777777" w:rsidR="009B5AA5" w:rsidRPr="00FA3F9C" w:rsidRDefault="009B5AA5" w:rsidP="006F623F">
            <w:pPr>
              <w:rPr>
                <w:rFonts w:ascii="Arial" w:hAnsi="Arial" w:cs="Arial"/>
                <w:sz w:val="24"/>
                <w:szCs w:val="24"/>
              </w:rPr>
            </w:pPr>
            <w:r w:rsidRPr="00FA3F9C">
              <w:rPr>
                <w:rFonts w:ascii="Arial" w:hAnsi="Arial" w:cs="Arial"/>
                <w:sz w:val="24"/>
                <w:szCs w:val="24"/>
              </w:rPr>
              <w:t>IB approved.</w:t>
            </w:r>
          </w:p>
        </w:tc>
        <w:tc>
          <w:tcPr>
            <w:tcW w:w="2538" w:type="dxa"/>
          </w:tcPr>
          <w:p w14:paraId="44C42CFD" w14:textId="77777777" w:rsidR="009B5AA5" w:rsidRPr="00FA3F9C" w:rsidRDefault="009B5AA5" w:rsidP="006F623F">
            <w:pPr>
              <w:rPr>
                <w:rFonts w:ascii="Arial" w:hAnsi="Arial" w:cs="Arial"/>
                <w:sz w:val="24"/>
                <w:szCs w:val="24"/>
              </w:rPr>
            </w:pPr>
            <w:r w:rsidRPr="00FA3F9C">
              <w:rPr>
                <w:rFonts w:ascii="Arial" w:hAnsi="Arial" w:cs="Arial"/>
                <w:sz w:val="24"/>
                <w:szCs w:val="24"/>
              </w:rPr>
              <w:t>JJ</w:t>
            </w:r>
          </w:p>
        </w:tc>
      </w:tr>
      <w:tr w:rsidR="009B5AA5" w:rsidRPr="00FA3F9C" w14:paraId="3812B441" w14:textId="77777777" w:rsidTr="00FE491B">
        <w:tc>
          <w:tcPr>
            <w:tcW w:w="1008" w:type="dxa"/>
          </w:tcPr>
          <w:p w14:paraId="2A516E78" w14:textId="77777777" w:rsidR="009B5AA5" w:rsidRPr="00FA3F9C" w:rsidRDefault="009B5AA5" w:rsidP="006F623F">
            <w:pPr>
              <w:rPr>
                <w:rFonts w:ascii="Arial" w:hAnsi="Arial" w:cs="Arial"/>
                <w:sz w:val="24"/>
                <w:szCs w:val="24"/>
              </w:rPr>
            </w:pPr>
            <w:r w:rsidRPr="00FA3F9C">
              <w:rPr>
                <w:rFonts w:ascii="Arial" w:hAnsi="Arial" w:cs="Arial"/>
                <w:sz w:val="24"/>
                <w:szCs w:val="24"/>
              </w:rPr>
              <w:t>8/26/19</w:t>
            </w:r>
          </w:p>
        </w:tc>
        <w:tc>
          <w:tcPr>
            <w:tcW w:w="7470" w:type="dxa"/>
          </w:tcPr>
          <w:p w14:paraId="1107BD93" w14:textId="77777777" w:rsidR="009B5AA5" w:rsidRPr="00FA3F9C" w:rsidRDefault="009B5AA5" w:rsidP="00306824">
            <w:pPr>
              <w:rPr>
                <w:rFonts w:ascii="Arial" w:hAnsi="Arial" w:cs="Arial"/>
                <w:sz w:val="24"/>
                <w:szCs w:val="24"/>
              </w:rPr>
            </w:pPr>
            <w:r w:rsidRPr="00FA3F9C">
              <w:rPr>
                <w:rFonts w:ascii="Arial" w:hAnsi="Arial" w:cs="Arial"/>
                <w:sz w:val="24"/>
                <w:szCs w:val="24"/>
              </w:rPr>
              <w:t xml:space="preserve">Criteria reviewed. Added duration of approval to 4 days. </w:t>
            </w:r>
          </w:p>
        </w:tc>
        <w:tc>
          <w:tcPr>
            <w:tcW w:w="2538" w:type="dxa"/>
          </w:tcPr>
          <w:p w14:paraId="71006AEB" w14:textId="77777777" w:rsidR="009B5AA5" w:rsidRPr="00FA3F9C" w:rsidRDefault="009B5AA5" w:rsidP="006F623F">
            <w:pPr>
              <w:rPr>
                <w:rFonts w:ascii="Arial" w:hAnsi="Arial" w:cs="Arial"/>
                <w:sz w:val="24"/>
                <w:szCs w:val="24"/>
              </w:rPr>
            </w:pPr>
            <w:r w:rsidRPr="00FA3F9C">
              <w:rPr>
                <w:rFonts w:ascii="Arial" w:hAnsi="Arial" w:cs="Arial"/>
                <w:sz w:val="24"/>
                <w:szCs w:val="24"/>
              </w:rPr>
              <w:t>SK</w:t>
            </w:r>
          </w:p>
        </w:tc>
      </w:tr>
      <w:tr w:rsidR="009B5AA5" w:rsidRPr="00FA3F9C" w14:paraId="5D8C3996" w14:textId="77777777" w:rsidTr="00FE491B">
        <w:tc>
          <w:tcPr>
            <w:tcW w:w="1008" w:type="dxa"/>
          </w:tcPr>
          <w:p w14:paraId="4099F742" w14:textId="77777777" w:rsidR="009B5AA5" w:rsidRPr="00FA3F9C" w:rsidRDefault="009B5AA5" w:rsidP="006F623F">
            <w:pPr>
              <w:rPr>
                <w:rFonts w:ascii="Arial" w:hAnsi="Arial" w:cs="Arial"/>
                <w:sz w:val="24"/>
                <w:szCs w:val="24"/>
              </w:rPr>
            </w:pPr>
            <w:r w:rsidRPr="00FA3F9C">
              <w:rPr>
                <w:rFonts w:ascii="Arial" w:hAnsi="Arial" w:cs="Arial"/>
                <w:sz w:val="24"/>
                <w:szCs w:val="24"/>
              </w:rPr>
              <w:t>2/10/2020</w:t>
            </w:r>
          </w:p>
        </w:tc>
        <w:tc>
          <w:tcPr>
            <w:tcW w:w="7470" w:type="dxa"/>
          </w:tcPr>
          <w:p w14:paraId="6DAF6A0D" w14:textId="77777777" w:rsidR="009B5AA5" w:rsidRPr="00FA3F9C" w:rsidRDefault="009B5AA5" w:rsidP="00306824">
            <w:pPr>
              <w:rPr>
                <w:rFonts w:ascii="Arial" w:hAnsi="Arial" w:cs="Arial"/>
                <w:sz w:val="24"/>
                <w:szCs w:val="24"/>
              </w:rPr>
            </w:pPr>
            <w:r w:rsidRPr="00FA3F9C">
              <w:rPr>
                <w:rFonts w:ascii="Arial" w:hAnsi="Arial" w:cs="Arial"/>
                <w:sz w:val="24"/>
                <w:szCs w:val="24"/>
              </w:rPr>
              <w:t>Criteria reviewed. No change.</w:t>
            </w:r>
          </w:p>
        </w:tc>
        <w:tc>
          <w:tcPr>
            <w:tcW w:w="2538" w:type="dxa"/>
          </w:tcPr>
          <w:p w14:paraId="7D847512" w14:textId="77777777" w:rsidR="009B5AA5" w:rsidRPr="00FA3F9C" w:rsidRDefault="009B5AA5" w:rsidP="006F623F">
            <w:pPr>
              <w:rPr>
                <w:rFonts w:ascii="Arial" w:hAnsi="Arial" w:cs="Arial"/>
                <w:sz w:val="24"/>
                <w:szCs w:val="24"/>
              </w:rPr>
            </w:pPr>
            <w:r w:rsidRPr="00FA3F9C">
              <w:rPr>
                <w:rFonts w:ascii="Arial" w:hAnsi="Arial" w:cs="Arial"/>
                <w:sz w:val="24"/>
                <w:szCs w:val="24"/>
              </w:rPr>
              <w:t>SK</w:t>
            </w:r>
          </w:p>
        </w:tc>
      </w:tr>
      <w:tr w:rsidR="009B5AA5" w:rsidRPr="00FA3F9C" w14:paraId="17A9EDCD" w14:textId="77777777" w:rsidTr="00FE491B">
        <w:tc>
          <w:tcPr>
            <w:tcW w:w="1008" w:type="dxa"/>
          </w:tcPr>
          <w:p w14:paraId="678A07AE" w14:textId="77777777" w:rsidR="009B5AA5" w:rsidRPr="00FA3F9C" w:rsidRDefault="009B5AA5" w:rsidP="006F623F">
            <w:pPr>
              <w:rPr>
                <w:rFonts w:ascii="Arial" w:hAnsi="Arial" w:cs="Arial"/>
                <w:sz w:val="24"/>
                <w:szCs w:val="24"/>
              </w:rPr>
            </w:pPr>
            <w:r w:rsidRPr="00FA3F9C">
              <w:rPr>
                <w:rFonts w:ascii="Arial" w:hAnsi="Arial" w:cs="Arial"/>
                <w:sz w:val="24"/>
                <w:szCs w:val="24"/>
              </w:rPr>
              <w:t>5/25/2021</w:t>
            </w:r>
          </w:p>
        </w:tc>
        <w:tc>
          <w:tcPr>
            <w:tcW w:w="7470" w:type="dxa"/>
          </w:tcPr>
          <w:p w14:paraId="35559666" w14:textId="77777777" w:rsidR="009B5AA5" w:rsidRPr="00FA3F9C" w:rsidRDefault="009B5AA5" w:rsidP="00306824">
            <w:pPr>
              <w:rPr>
                <w:rFonts w:ascii="Arial" w:hAnsi="Arial" w:cs="Arial"/>
                <w:sz w:val="24"/>
                <w:szCs w:val="24"/>
              </w:rPr>
            </w:pPr>
            <w:r w:rsidRPr="00FA3F9C">
              <w:rPr>
                <w:rFonts w:ascii="Arial" w:hAnsi="Arial" w:cs="Arial"/>
                <w:sz w:val="24"/>
                <w:szCs w:val="24"/>
              </w:rPr>
              <w:t>Criteria reviewed. No change.</w:t>
            </w:r>
          </w:p>
        </w:tc>
        <w:tc>
          <w:tcPr>
            <w:tcW w:w="2538" w:type="dxa"/>
          </w:tcPr>
          <w:p w14:paraId="2F778805" w14:textId="77777777" w:rsidR="009B5AA5" w:rsidRPr="00FA3F9C" w:rsidRDefault="009B5AA5" w:rsidP="006F623F">
            <w:pPr>
              <w:rPr>
                <w:rFonts w:ascii="Arial" w:hAnsi="Arial" w:cs="Arial"/>
                <w:sz w:val="24"/>
                <w:szCs w:val="24"/>
              </w:rPr>
            </w:pPr>
            <w:r w:rsidRPr="00FA3F9C">
              <w:rPr>
                <w:rFonts w:ascii="Arial" w:hAnsi="Arial" w:cs="Arial"/>
                <w:sz w:val="24"/>
                <w:szCs w:val="24"/>
              </w:rPr>
              <w:t>SK</w:t>
            </w:r>
          </w:p>
        </w:tc>
      </w:tr>
      <w:tr w:rsidR="009B5AA5" w:rsidRPr="00FA3F9C" w14:paraId="454B5012" w14:textId="77777777" w:rsidTr="00FE491B">
        <w:tc>
          <w:tcPr>
            <w:tcW w:w="1008" w:type="dxa"/>
          </w:tcPr>
          <w:p w14:paraId="6D149DF9" w14:textId="77777777" w:rsidR="009B5AA5" w:rsidRPr="00FA3F9C" w:rsidRDefault="009B5AA5" w:rsidP="006F623F">
            <w:pPr>
              <w:rPr>
                <w:rFonts w:ascii="Arial" w:hAnsi="Arial" w:cs="Arial"/>
                <w:sz w:val="24"/>
                <w:szCs w:val="24"/>
              </w:rPr>
            </w:pPr>
            <w:r w:rsidRPr="00FA3F9C">
              <w:rPr>
                <w:rFonts w:ascii="Arial" w:hAnsi="Arial" w:cs="Arial"/>
                <w:sz w:val="24"/>
                <w:szCs w:val="24"/>
              </w:rPr>
              <w:t>4/25/2022</w:t>
            </w:r>
          </w:p>
        </w:tc>
        <w:tc>
          <w:tcPr>
            <w:tcW w:w="7470" w:type="dxa"/>
          </w:tcPr>
          <w:p w14:paraId="4AFD44C1" w14:textId="77777777" w:rsidR="009B5AA5" w:rsidRPr="00FA3F9C" w:rsidRDefault="009B5AA5" w:rsidP="00306824">
            <w:pPr>
              <w:rPr>
                <w:rFonts w:ascii="Arial" w:hAnsi="Arial" w:cs="Arial"/>
                <w:sz w:val="24"/>
                <w:szCs w:val="24"/>
              </w:rPr>
            </w:pPr>
            <w:r w:rsidRPr="00FA3F9C">
              <w:rPr>
                <w:rFonts w:ascii="Arial" w:hAnsi="Arial" w:cs="Arial"/>
                <w:sz w:val="24"/>
                <w:szCs w:val="24"/>
              </w:rPr>
              <w:t>Criteria reviewed. No change.</w:t>
            </w:r>
          </w:p>
        </w:tc>
        <w:tc>
          <w:tcPr>
            <w:tcW w:w="2538" w:type="dxa"/>
          </w:tcPr>
          <w:p w14:paraId="71437E25" w14:textId="77777777" w:rsidR="009B5AA5" w:rsidRPr="00FA3F9C" w:rsidRDefault="009B5AA5" w:rsidP="006F623F">
            <w:pPr>
              <w:rPr>
                <w:rFonts w:ascii="Arial" w:hAnsi="Arial" w:cs="Arial"/>
                <w:sz w:val="24"/>
                <w:szCs w:val="24"/>
              </w:rPr>
            </w:pPr>
            <w:r w:rsidRPr="00FA3F9C">
              <w:rPr>
                <w:rFonts w:ascii="Arial" w:hAnsi="Arial" w:cs="Arial"/>
                <w:sz w:val="24"/>
                <w:szCs w:val="24"/>
              </w:rPr>
              <w:t>SK</w:t>
            </w:r>
          </w:p>
        </w:tc>
      </w:tr>
    </w:tbl>
    <w:p w14:paraId="754B9B7A" w14:textId="77777777" w:rsidR="009B5AA5" w:rsidRPr="00FA3F9C" w:rsidRDefault="009B5AA5" w:rsidP="006F623F">
      <w:pPr>
        <w:spacing w:after="0"/>
        <w:rPr>
          <w:rFonts w:ascii="Arial" w:hAnsi="Arial" w:cs="Arial"/>
          <w:sz w:val="24"/>
          <w:szCs w:val="24"/>
        </w:rPr>
      </w:pPr>
    </w:p>
    <w:p w14:paraId="6138CD39" w14:textId="77777777" w:rsidR="00C3036D" w:rsidRPr="00FA3F9C" w:rsidRDefault="00C3036D" w:rsidP="002B2097">
      <w:pPr>
        <w:pStyle w:val="Heading2"/>
      </w:pPr>
      <w:bookmarkStart w:id="279" w:name="_Toc106369903"/>
      <w:proofErr w:type="spellStart"/>
      <w:r w:rsidRPr="00FA3F9C">
        <w:lastRenderedPageBreak/>
        <w:t>Polatuzumab</w:t>
      </w:r>
      <w:proofErr w:type="spellEnd"/>
      <w:r w:rsidRPr="00FA3F9C">
        <w:t xml:space="preserve"> </w:t>
      </w:r>
      <w:proofErr w:type="spellStart"/>
      <w:r w:rsidRPr="00FA3F9C">
        <w:t>vedotin-piiq</w:t>
      </w:r>
      <w:proofErr w:type="spellEnd"/>
      <w:r w:rsidRPr="00FA3F9C">
        <w:t xml:space="preserve"> (</w:t>
      </w:r>
      <w:proofErr w:type="spellStart"/>
      <w:r w:rsidRPr="00FA3F9C">
        <w:t>Polivy</w:t>
      </w:r>
      <w:proofErr w:type="spellEnd"/>
      <w:r w:rsidRPr="00FA3F9C">
        <w:t>)</w:t>
      </w:r>
      <w:bookmarkEnd w:id="279"/>
      <w:r w:rsidRPr="00FA3F9C">
        <w:t xml:space="preserve"> </w:t>
      </w:r>
    </w:p>
    <w:p w14:paraId="5B25F0A7" w14:textId="77777777" w:rsidR="00C3036D" w:rsidRPr="00FA3F9C" w:rsidRDefault="00C3036D" w:rsidP="006F623F">
      <w:pPr>
        <w:spacing w:after="0"/>
        <w:jc w:val="center"/>
        <w:rPr>
          <w:rFonts w:ascii="Arial" w:hAnsi="Arial" w:cs="Arial"/>
          <w:sz w:val="24"/>
          <w:szCs w:val="24"/>
        </w:rPr>
      </w:pPr>
      <w:r w:rsidRPr="00FA3F9C">
        <w:rPr>
          <w:rFonts w:ascii="Arial" w:hAnsi="Arial" w:cs="Arial"/>
          <w:sz w:val="24"/>
          <w:szCs w:val="24"/>
        </w:rPr>
        <w:t>140 mg vial</w:t>
      </w:r>
    </w:p>
    <w:p w14:paraId="598E148D" w14:textId="77777777" w:rsidR="00C3036D" w:rsidRPr="00FA3F9C" w:rsidRDefault="00C3036D" w:rsidP="006F623F">
      <w:pPr>
        <w:spacing w:after="0"/>
        <w:jc w:val="center"/>
        <w:rPr>
          <w:rFonts w:ascii="Arial" w:hAnsi="Arial" w:cs="Arial"/>
          <w:sz w:val="24"/>
          <w:szCs w:val="24"/>
        </w:rPr>
      </w:pPr>
      <w:r w:rsidRPr="00FA3F9C">
        <w:rPr>
          <w:rFonts w:ascii="Arial" w:hAnsi="Arial" w:cs="Arial"/>
          <w:sz w:val="24"/>
          <w:szCs w:val="24"/>
        </w:rPr>
        <w:t>EBRx PA Criteria (Medical)</w:t>
      </w:r>
    </w:p>
    <w:p w14:paraId="3AB755EA" w14:textId="77777777" w:rsidR="00C3036D" w:rsidRPr="00FA3F9C" w:rsidRDefault="00C3036D" w:rsidP="006F623F">
      <w:pPr>
        <w:spacing w:after="0"/>
        <w:rPr>
          <w:rFonts w:ascii="Arial" w:hAnsi="Arial" w:cs="Arial"/>
          <w:b/>
          <w:sz w:val="24"/>
          <w:szCs w:val="24"/>
          <w:u w:val="single"/>
        </w:rPr>
      </w:pPr>
    </w:p>
    <w:p w14:paraId="2667D30B" w14:textId="77777777" w:rsidR="00C3036D" w:rsidRPr="00FA3F9C" w:rsidRDefault="00C3036D"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w:t>
      </w:r>
    </w:p>
    <w:p w14:paraId="78180916" w14:textId="77777777" w:rsidR="00C3036D" w:rsidRPr="00FA3F9C" w:rsidRDefault="00C3036D" w:rsidP="00FC1E85">
      <w:pPr>
        <w:pStyle w:val="ListParagraph"/>
        <w:numPr>
          <w:ilvl w:val="0"/>
          <w:numId w:val="439"/>
        </w:numPr>
        <w:spacing w:after="0" w:line="240" w:lineRule="auto"/>
        <w:ind w:left="270" w:right="-270" w:hanging="180"/>
        <w:rPr>
          <w:rFonts w:ascii="Arial" w:hAnsi="Arial" w:cs="Arial"/>
          <w:sz w:val="24"/>
          <w:szCs w:val="24"/>
        </w:rPr>
      </w:pPr>
      <w:r w:rsidRPr="00FA3F9C">
        <w:rPr>
          <w:rFonts w:ascii="Arial" w:hAnsi="Arial" w:cs="Arial"/>
          <w:sz w:val="24"/>
          <w:szCs w:val="24"/>
        </w:rPr>
        <w:t xml:space="preserve">In combination with </w:t>
      </w:r>
      <w:proofErr w:type="spellStart"/>
      <w:r w:rsidRPr="00FA3F9C">
        <w:rPr>
          <w:rFonts w:ascii="Arial" w:hAnsi="Arial" w:cs="Arial"/>
          <w:sz w:val="24"/>
          <w:szCs w:val="24"/>
        </w:rPr>
        <w:t>bendamustine</w:t>
      </w:r>
      <w:proofErr w:type="spellEnd"/>
      <w:r w:rsidRPr="00FA3F9C">
        <w:rPr>
          <w:rFonts w:ascii="Arial" w:hAnsi="Arial" w:cs="Arial"/>
          <w:sz w:val="24"/>
          <w:szCs w:val="24"/>
        </w:rPr>
        <w:t xml:space="preserve"> and a rituximab product for the treatment of adult patients with relapsed or refractory diffuse large B-cell lymphoma, not otherwise specified, after at least two prior therapies. </w:t>
      </w:r>
    </w:p>
    <w:p w14:paraId="4D2184C2" w14:textId="77777777" w:rsidR="00C3036D" w:rsidRPr="00FA3F9C" w:rsidRDefault="00C3036D" w:rsidP="000E20D3">
      <w:pPr>
        <w:pStyle w:val="ListParagraph"/>
        <w:spacing w:after="0"/>
        <w:rPr>
          <w:rFonts w:ascii="Arial" w:hAnsi="Arial" w:cs="Arial"/>
          <w:sz w:val="24"/>
          <w:szCs w:val="24"/>
        </w:rPr>
      </w:pPr>
    </w:p>
    <w:tbl>
      <w:tblPr>
        <w:tblStyle w:val="TableGrid"/>
        <w:tblW w:w="0" w:type="auto"/>
        <w:tblLook w:val="04A0" w:firstRow="1" w:lastRow="0" w:firstColumn="1" w:lastColumn="0" w:noHBand="0" w:noVBand="1"/>
      </w:tblPr>
      <w:tblGrid>
        <w:gridCol w:w="8928"/>
        <w:gridCol w:w="2088"/>
      </w:tblGrid>
      <w:tr w:rsidR="00C3036D" w:rsidRPr="00FA3F9C" w14:paraId="604489CE" w14:textId="77777777" w:rsidTr="00571CAB">
        <w:tc>
          <w:tcPr>
            <w:tcW w:w="8928" w:type="dxa"/>
            <w:shd w:val="clear" w:color="auto" w:fill="000000"/>
          </w:tcPr>
          <w:p w14:paraId="19EED262" w14:textId="77777777" w:rsidR="00C3036D" w:rsidRPr="00FA3F9C" w:rsidRDefault="00C3036D"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88" w:type="dxa"/>
            <w:shd w:val="clear" w:color="auto" w:fill="000000"/>
          </w:tcPr>
          <w:p w14:paraId="7A09AD26" w14:textId="77777777" w:rsidR="00C3036D" w:rsidRPr="00FA3F9C" w:rsidRDefault="00C3036D" w:rsidP="006F623F">
            <w:pPr>
              <w:jc w:val="center"/>
              <w:rPr>
                <w:rFonts w:ascii="Arial" w:hAnsi="Arial" w:cs="Arial"/>
                <w:b/>
                <w:sz w:val="24"/>
                <w:szCs w:val="24"/>
                <w:u w:val="single"/>
              </w:rPr>
            </w:pPr>
          </w:p>
        </w:tc>
      </w:tr>
      <w:tr w:rsidR="00C3036D" w:rsidRPr="00FA3F9C" w14:paraId="62606D10" w14:textId="77777777" w:rsidTr="00F337AE">
        <w:tc>
          <w:tcPr>
            <w:tcW w:w="11016" w:type="dxa"/>
            <w:gridSpan w:val="2"/>
          </w:tcPr>
          <w:p w14:paraId="40679F8B" w14:textId="77777777" w:rsidR="00C3036D" w:rsidRPr="00FA3F9C" w:rsidRDefault="00C3036D" w:rsidP="00F03B53">
            <w:pPr>
              <w:rPr>
                <w:rFonts w:ascii="Arial" w:hAnsi="Arial" w:cs="Arial"/>
                <w:sz w:val="24"/>
                <w:szCs w:val="24"/>
              </w:rPr>
            </w:pPr>
            <w:r w:rsidRPr="00FA3F9C">
              <w:rPr>
                <w:rFonts w:ascii="Arial" w:hAnsi="Arial" w:cs="Arial"/>
                <w:sz w:val="24"/>
                <w:szCs w:val="24"/>
              </w:rPr>
              <w:t xml:space="preserve">1. Diagnosis of diffuse large B-cell lymphoma (DLBCL) </w:t>
            </w:r>
            <w:r w:rsidRPr="00FA3F9C">
              <w:rPr>
                <w:rFonts w:ascii="Arial" w:hAnsi="Arial" w:cs="Arial"/>
                <w:sz w:val="24"/>
                <w:szCs w:val="24"/>
                <w:u w:val="single"/>
              </w:rPr>
              <w:t>that is progressing</w:t>
            </w:r>
          </w:p>
        </w:tc>
      </w:tr>
      <w:tr w:rsidR="00C3036D" w:rsidRPr="00FA3F9C" w14:paraId="76B673A0" w14:textId="77777777" w:rsidTr="00B1617E">
        <w:tc>
          <w:tcPr>
            <w:tcW w:w="11016" w:type="dxa"/>
            <w:gridSpan w:val="2"/>
          </w:tcPr>
          <w:p w14:paraId="2844E94A" w14:textId="77777777" w:rsidR="00C3036D" w:rsidRPr="00FA3F9C" w:rsidRDefault="00C3036D" w:rsidP="00DA2B99">
            <w:pPr>
              <w:rPr>
                <w:rFonts w:ascii="Arial" w:hAnsi="Arial" w:cs="Arial"/>
                <w:sz w:val="24"/>
                <w:szCs w:val="24"/>
              </w:rPr>
            </w:pPr>
            <w:r w:rsidRPr="00FA3F9C">
              <w:rPr>
                <w:rFonts w:ascii="Arial" w:hAnsi="Arial" w:cs="Arial"/>
                <w:sz w:val="24"/>
                <w:szCs w:val="24"/>
              </w:rPr>
              <w:t>2. Lymphoma is refractory to or progressed on or after at least two prior regimens</w:t>
            </w:r>
          </w:p>
        </w:tc>
      </w:tr>
      <w:tr w:rsidR="00C3036D" w:rsidRPr="00FA3F9C" w14:paraId="2A9A7BF4" w14:textId="77777777" w:rsidTr="0010789D">
        <w:tc>
          <w:tcPr>
            <w:tcW w:w="11016" w:type="dxa"/>
            <w:gridSpan w:val="2"/>
          </w:tcPr>
          <w:p w14:paraId="507EC6B9" w14:textId="77777777" w:rsidR="00C3036D" w:rsidRPr="00FA3F9C" w:rsidRDefault="00C3036D" w:rsidP="00F03B53">
            <w:pPr>
              <w:rPr>
                <w:rFonts w:ascii="Arial" w:hAnsi="Arial" w:cs="Arial"/>
                <w:sz w:val="24"/>
                <w:szCs w:val="24"/>
              </w:rPr>
            </w:pPr>
            <w:r w:rsidRPr="00FA3F9C">
              <w:rPr>
                <w:rFonts w:ascii="Arial" w:hAnsi="Arial" w:cs="Arial"/>
                <w:sz w:val="24"/>
                <w:szCs w:val="24"/>
              </w:rPr>
              <w:t>3. Patient is not eligible for stem cell transplant</w:t>
            </w:r>
          </w:p>
        </w:tc>
      </w:tr>
      <w:tr w:rsidR="00C3036D" w:rsidRPr="00FA3F9C" w14:paraId="13A99ABC" w14:textId="77777777" w:rsidTr="0010789D">
        <w:tc>
          <w:tcPr>
            <w:tcW w:w="11016" w:type="dxa"/>
            <w:gridSpan w:val="2"/>
          </w:tcPr>
          <w:p w14:paraId="039203D4" w14:textId="77777777" w:rsidR="00C3036D" w:rsidRPr="00FA3F9C" w:rsidRDefault="00C3036D" w:rsidP="00F03B53">
            <w:pPr>
              <w:rPr>
                <w:rFonts w:ascii="Arial" w:hAnsi="Arial" w:cs="Arial"/>
                <w:sz w:val="24"/>
                <w:szCs w:val="24"/>
              </w:rPr>
            </w:pPr>
            <w:r w:rsidRPr="00FA3F9C">
              <w:rPr>
                <w:rFonts w:ascii="Arial" w:hAnsi="Arial" w:cs="Arial"/>
                <w:sz w:val="24"/>
                <w:szCs w:val="24"/>
              </w:rPr>
              <w:t xml:space="preserve">4. </w:t>
            </w:r>
            <w:proofErr w:type="spellStart"/>
            <w:r w:rsidRPr="00FA3F9C">
              <w:rPr>
                <w:rFonts w:ascii="Arial" w:hAnsi="Arial" w:cs="Arial"/>
                <w:sz w:val="24"/>
                <w:szCs w:val="24"/>
              </w:rPr>
              <w:t>Polatuzumab</w:t>
            </w:r>
            <w:proofErr w:type="spellEnd"/>
            <w:r w:rsidRPr="00FA3F9C">
              <w:rPr>
                <w:rFonts w:ascii="Arial" w:hAnsi="Arial" w:cs="Arial"/>
                <w:sz w:val="24"/>
                <w:szCs w:val="24"/>
              </w:rPr>
              <w:t xml:space="preserve"> will be used in combination with </w:t>
            </w:r>
            <w:proofErr w:type="spellStart"/>
            <w:r w:rsidRPr="00FA3F9C">
              <w:rPr>
                <w:rFonts w:ascii="Arial" w:hAnsi="Arial" w:cs="Arial"/>
                <w:sz w:val="24"/>
                <w:szCs w:val="24"/>
              </w:rPr>
              <w:t>bendamustine</w:t>
            </w:r>
            <w:proofErr w:type="spellEnd"/>
            <w:r w:rsidRPr="00FA3F9C">
              <w:rPr>
                <w:rFonts w:ascii="Arial" w:hAnsi="Arial" w:cs="Arial"/>
                <w:sz w:val="24"/>
                <w:szCs w:val="24"/>
              </w:rPr>
              <w:t xml:space="preserve"> and rituximab</w:t>
            </w:r>
          </w:p>
        </w:tc>
      </w:tr>
      <w:tr w:rsidR="00C3036D" w:rsidRPr="00FA3F9C" w14:paraId="768BF282" w14:textId="77777777" w:rsidTr="00DA57E0">
        <w:tc>
          <w:tcPr>
            <w:tcW w:w="11016" w:type="dxa"/>
            <w:gridSpan w:val="2"/>
          </w:tcPr>
          <w:p w14:paraId="6CA1D30B" w14:textId="77777777" w:rsidR="00C3036D" w:rsidRPr="00FA3F9C" w:rsidRDefault="00C3036D" w:rsidP="00F03B53">
            <w:pPr>
              <w:rPr>
                <w:rFonts w:ascii="Arial" w:hAnsi="Arial" w:cs="Arial"/>
                <w:b/>
                <w:sz w:val="24"/>
                <w:szCs w:val="24"/>
              </w:rPr>
            </w:pPr>
            <w:r w:rsidRPr="00FA3F9C">
              <w:rPr>
                <w:rFonts w:ascii="Arial" w:hAnsi="Arial" w:cs="Arial"/>
                <w:b/>
                <w:sz w:val="24"/>
                <w:szCs w:val="24"/>
              </w:rPr>
              <w:t xml:space="preserve">If </w:t>
            </w:r>
            <w:proofErr w:type="gramStart"/>
            <w:r w:rsidRPr="00FA3F9C">
              <w:rPr>
                <w:rFonts w:ascii="Arial" w:hAnsi="Arial" w:cs="Arial"/>
                <w:b/>
                <w:sz w:val="24"/>
                <w:szCs w:val="24"/>
              </w:rPr>
              <w:t>all of</w:t>
            </w:r>
            <w:proofErr w:type="gramEnd"/>
            <w:r w:rsidRPr="00FA3F9C">
              <w:rPr>
                <w:rFonts w:ascii="Arial" w:hAnsi="Arial" w:cs="Arial"/>
                <w:b/>
                <w:sz w:val="24"/>
                <w:szCs w:val="24"/>
              </w:rPr>
              <w:t xml:space="preserve"> the above criteria are met, approve for </w:t>
            </w:r>
            <w:r w:rsidRPr="00FA3F9C">
              <w:rPr>
                <w:rFonts w:ascii="Arial" w:hAnsi="Arial" w:cs="Arial"/>
                <w:b/>
                <w:sz w:val="24"/>
                <w:szCs w:val="24"/>
                <w:u w:val="single"/>
              </w:rPr>
              <w:t>5 months</w:t>
            </w:r>
            <w:r w:rsidRPr="00FA3F9C">
              <w:rPr>
                <w:rFonts w:ascii="Arial" w:hAnsi="Arial" w:cs="Arial"/>
                <w:b/>
                <w:sz w:val="24"/>
                <w:szCs w:val="24"/>
              </w:rPr>
              <w:t xml:space="preserve">. </w:t>
            </w:r>
          </w:p>
          <w:p w14:paraId="172A4868" w14:textId="77777777" w:rsidR="00C3036D" w:rsidRPr="00FA3F9C" w:rsidRDefault="00C3036D" w:rsidP="00C817E7">
            <w:pPr>
              <w:rPr>
                <w:rFonts w:ascii="Arial" w:hAnsi="Arial" w:cs="Arial"/>
                <w:sz w:val="24"/>
                <w:szCs w:val="24"/>
              </w:rPr>
            </w:pPr>
            <w:r w:rsidRPr="00FA3F9C">
              <w:rPr>
                <w:rFonts w:ascii="Arial" w:hAnsi="Arial" w:cs="Arial"/>
                <w:sz w:val="24"/>
                <w:szCs w:val="24"/>
              </w:rPr>
              <w:t xml:space="preserve">-The maximum duration of therapy is 6 doses.   </w:t>
            </w:r>
          </w:p>
          <w:p w14:paraId="4C28778D" w14:textId="77777777" w:rsidR="00C3036D" w:rsidRPr="00FA3F9C" w:rsidRDefault="00C3036D" w:rsidP="00C817E7">
            <w:pPr>
              <w:rPr>
                <w:rFonts w:ascii="Arial" w:hAnsi="Arial" w:cs="Arial"/>
                <w:sz w:val="24"/>
                <w:szCs w:val="24"/>
              </w:rPr>
            </w:pPr>
            <w:r w:rsidRPr="00FA3F9C">
              <w:rPr>
                <w:rFonts w:ascii="Arial" w:hAnsi="Arial" w:cs="Arial"/>
                <w:sz w:val="24"/>
                <w:szCs w:val="24"/>
              </w:rPr>
              <w:t xml:space="preserve">-If renewal of PA is requested, approve ONLY if 6 doses have not been completed. </w:t>
            </w:r>
          </w:p>
          <w:p w14:paraId="477F37C9" w14:textId="77777777" w:rsidR="00C3036D" w:rsidRPr="00FA3F9C" w:rsidRDefault="00C3036D" w:rsidP="00B16CA4">
            <w:pPr>
              <w:rPr>
                <w:rFonts w:ascii="Arial" w:hAnsi="Arial" w:cs="Arial"/>
                <w:b/>
                <w:sz w:val="24"/>
                <w:szCs w:val="24"/>
              </w:rPr>
            </w:pPr>
            <w:r w:rsidRPr="00FA3F9C">
              <w:rPr>
                <w:rFonts w:ascii="Arial" w:hAnsi="Arial" w:cs="Arial"/>
                <w:sz w:val="24"/>
                <w:szCs w:val="24"/>
              </w:rPr>
              <w:t xml:space="preserve">-Reapproval time frame should be determined according to how many doses remain.  </w:t>
            </w:r>
          </w:p>
        </w:tc>
      </w:tr>
    </w:tbl>
    <w:p w14:paraId="71E352EB" w14:textId="77777777" w:rsidR="00C3036D" w:rsidRPr="00FA3F9C" w:rsidRDefault="00C3036D" w:rsidP="006F623F">
      <w:pPr>
        <w:spacing w:after="0"/>
        <w:rPr>
          <w:rFonts w:ascii="Arial" w:hAnsi="Arial" w:cs="Arial"/>
          <w:b/>
          <w:sz w:val="24"/>
          <w:szCs w:val="24"/>
          <w:u w:val="single"/>
        </w:rPr>
      </w:pPr>
    </w:p>
    <w:tbl>
      <w:tblPr>
        <w:tblStyle w:val="TableGrid"/>
        <w:tblW w:w="0" w:type="auto"/>
        <w:shd w:val="clear" w:color="auto" w:fill="BFBFBF" w:themeFill="background1" w:themeFillShade="BF"/>
        <w:tblLook w:val="04A0" w:firstRow="1" w:lastRow="0" w:firstColumn="1" w:lastColumn="0" w:noHBand="0" w:noVBand="1"/>
      </w:tblPr>
      <w:tblGrid>
        <w:gridCol w:w="10998"/>
      </w:tblGrid>
      <w:tr w:rsidR="00C3036D" w:rsidRPr="00FA3F9C" w14:paraId="2A9BC43B" w14:textId="77777777" w:rsidTr="00D55936">
        <w:trPr>
          <w:trHeight w:val="4373"/>
        </w:trPr>
        <w:tc>
          <w:tcPr>
            <w:tcW w:w="10998" w:type="dxa"/>
            <w:shd w:val="clear" w:color="auto" w:fill="BFBFBF" w:themeFill="background1" w:themeFillShade="BF"/>
          </w:tcPr>
          <w:p w14:paraId="38F0FE94" w14:textId="77777777" w:rsidR="00C3036D" w:rsidRPr="00FA3F9C" w:rsidRDefault="00C3036D" w:rsidP="00D82B6E">
            <w:pPr>
              <w:rPr>
                <w:rFonts w:ascii="Arial" w:hAnsi="Arial" w:cs="Arial"/>
                <w:sz w:val="24"/>
                <w:szCs w:val="24"/>
              </w:rPr>
            </w:pPr>
            <w:r w:rsidRPr="00FA3F9C">
              <w:rPr>
                <w:rFonts w:ascii="Arial" w:hAnsi="Arial" w:cs="Arial"/>
                <w:sz w:val="24"/>
                <w:szCs w:val="24"/>
              </w:rPr>
              <w:lastRenderedPageBreak/>
              <w:t xml:space="preserve">Note: </w:t>
            </w:r>
          </w:p>
          <w:p w14:paraId="10633B53" w14:textId="77777777" w:rsidR="00C3036D" w:rsidRPr="00FA3F9C" w:rsidRDefault="00C3036D" w:rsidP="00C41197">
            <w:pPr>
              <w:rPr>
                <w:rFonts w:ascii="Arial" w:hAnsi="Arial" w:cs="Arial"/>
                <w:sz w:val="24"/>
                <w:szCs w:val="24"/>
              </w:rPr>
            </w:pPr>
            <w:r w:rsidRPr="00FA3F9C">
              <w:rPr>
                <w:rFonts w:ascii="Arial" w:hAnsi="Arial" w:cs="Arial"/>
                <w:sz w:val="24"/>
                <w:szCs w:val="24"/>
              </w:rPr>
              <w:t xml:space="preserve">-Efficacy and safety of </w:t>
            </w:r>
            <w:proofErr w:type="spellStart"/>
            <w:r w:rsidRPr="00FA3F9C">
              <w:rPr>
                <w:rFonts w:ascii="Arial" w:hAnsi="Arial" w:cs="Arial"/>
                <w:sz w:val="24"/>
                <w:szCs w:val="24"/>
              </w:rPr>
              <w:t>polatuzumab</w:t>
            </w:r>
            <w:proofErr w:type="spellEnd"/>
            <w:r w:rsidRPr="00FA3F9C">
              <w:rPr>
                <w:rFonts w:ascii="Arial" w:hAnsi="Arial" w:cs="Arial"/>
                <w:sz w:val="24"/>
                <w:szCs w:val="24"/>
              </w:rPr>
              <w:t xml:space="preserve"> have not been established in patients who are eligible for stem cell transplant. Stem cell transplant would still be preferred at this time.</w:t>
            </w:r>
          </w:p>
          <w:p w14:paraId="49E7A489" w14:textId="77777777" w:rsidR="00C3036D" w:rsidRPr="00FA3F9C" w:rsidRDefault="00C3036D" w:rsidP="00D82B6E">
            <w:pPr>
              <w:rPr>
                <w:rFonts w:ascii="Arial" w:hAnsi="Arial" w:cs="Arial"/>
                <w:sz w:val="24"/>
                <w:szCs w:val="24"/>
              </w:rPr>
            </w:pPr>
            <w:r w:rsidRPr="00FA3F9C">
              <w:rPr>
                <w:rFonts w:ascii="Arial" w:hAnsi="Arial" w:cs="Arial"/>
                <w:sz w:val="24"/>
                <w:szCs w:val="24"/>
              </w:rPr>
              <w:t>-Survival benefit seen regardless of cell of origin and double expressor status.</w:t>
            </w:r>
          </w:p>
          <w:p w14:paraId="569FFD40" w14:textId="77777777" w:rsidR="00C3036D" w:rsidRPr="00FA3F9C" w:rsidRDefault="00C3036D" w:rsidP="00D82B6E">
            <w:pPr>
              <w:rPr>
                <w:rFonts w:ascii="Arial" w:hAnsi="Arial" w:cs="Arial"/>
                <w:sz w:val="24"/>
                <w:szCs w:val="24"/>
              </w:rPr>
            </w:pPr>
          </w:p>
          <w:p w14:paraId="52C36627" w14:textId="77777777" w:rsidR="00C3036D" w:rsidRPr="00FA3F9C" w:rsidRDefault="00C3036D" w:rsidP="00D82B6E">
            <w:pPr>
              <w:rPr>
                <w:rFonts w:ascii="Arial" w:hAnsi="Arial" w:cs="Arial"/>
                <w:sz w:val="24"/>
                <w:szCs w:val="24"/>
              </w:rPr>
            </w:pPr>
            <w:proofErr w:type="spellStart"/>
            <w:r w:rsidRPr="00FA3F9C">
              <w:rPr>
                <w:rFonts w:ascii="Arial" w:hAnsi="Arial" w:cs="Arial"/>
                <w:sz w:val="24"/>
                <w:szCs w:val="24"/>
              </w:rPr>
              <w:t>Polatuzumab</w:t>
            </w:r>
            <w:proofErr w:type="spellEnd"/>
            <w:r w:rsidRPr="00FA3F9C">
              <w:rPr>
                <w:rFonts w:ascii="Arial" w:hAnsi="Arial" w:cs="Arial"/>
                <w:sz w:val="24"/>
                <w:szCs w:val="24"/>
              </w:rPr>
              <w:t>/</w:t>
            </w:r>
            <w:proofErr w:type="spellStart"/>
            <w:r w:rsidRPr="00FA3F9C">
              <w:rPr>
                <w:rFonts w:ascii="Arial" w:hAnsi="Arial" w:cs="Arial"/>
                <w:sz w:val="24"/>
                <w:szCs w:val="24"/>
              </w:rPr>
              <w:t>bendamustine</w:t>
            </w:r>
            <w:proofErr w:type="spellEnd"/>
            <w:r w:rsidRPr="00FA3F9C">
              <w:rPr>
                <w:rFonts w:ascii="Arial" w:hAnsi="Arial" w:cs="Arial"/>
                <w:sz w:val="24"/>
                <w:szCs w:val="24"/>
              </w:rPr>
              <w:t xml:space="preserve">/rituximab was compared to </w:t>
            </w:r>
            <w:proofErr w:type="spellStart"/>
            <w:r w:rsidRPr="00FA3F9C">
              <w:rPr>
                <w:rFonts w:ascii="Arial" w:hAnsi="Arial" w:cs="Arial"/>
                <w:sz w:val="24"/>
                <w:szCs w:val="24"/>
              </w:rPr>
              <w:t>bendamustine</w:t>
            </w:r>
            <w:proofErr w:type="spellEnd"/>
            <w:r w:rsidRPr="00FA3F9C">
              <w:rPr>
                <w:rFonts w:ascii="Arial" w:hAnsi="Arial" w:cs="Arial"/>
                <w:sz w:val="24"/>
                <w:szCs w:val="24"/>
              </w:rPr>
              <w:t xml:space="preserve">/rituximab in the above patient population (n=80). Overall survival was improved in the </w:t>
            </w:r>
            <w:proofErr w:type="spellStart"/>
            <w:r w:rsidRPr="00FA3F9C">
              <w:rPr>
                <w:rFonts w:ascii="Arial" w:hAnsi="Arial" w:cs="Arial"/>
                <w:sz w:val="24"/>
                <w:szCs w:val="24"/>
              </w:rPr>
              <w:t>polatuzumab</w:t>
            </w:r>
            <w:proofErr w:type="spellEnd"/>
            <w:r w:rsidRPr="00FA3F9C">
              <w:rPr>
                <w:rFonts w:ascii="Arial" w:hAnsi="Arial" w:cs="Arial"/>
                <w:sz w:val="24"/>
                <w:szCs w:val="24"/>
              </w:rPr>
              <w:t xml:space="preserve"> group (median 11.8 </w:t>
            </w:r>
            <w:proofErr w:type="spellStart"/>
            <w:r w:rsidRPr="00FA3F9C">
              <w:rPr>
                <w:rFonts w:ascii="Arial" w:hAnsi="Arial" w:cs="Arial"/>
                <w:sz w:val="24"/>
                <w:szCs w:val="24"/>
              </w:rPr>
              <w:t>mo</w:t>
            </w:r>
            <w:proofErr w:type="spellEnd"/>
            <w:r w:rsidRPr="00FA3F9C">
              <w:rPr>
                <w:rFonts w:ascii="Arial" w:hAnsi="Arial" w:cs="Arial"/>
                <w:sz w:val="24"/>
                <w:szCs w:val="24"/>
              </w:rPr>
              <w:t xml:space="preserve"> vs 4.7 </w:t>
            </w:r>
            <w:proofErr w:type="spellStart"/>
            <w:r w:rsidRPr="00FA3F9C">
              <w:rPr>
                <w:rFonts w:ascii="Arial" w:hAnsi="Arial" w:cs="Arial"/>
                <w:sz w:val="24"/>
                <w:szCs w:val="24"/>
              </w:rPr>
              <w:t>mo</w:t>
            </w:r>
            <w:proofErr w:type="spellEnd"/>
            <w:r w:rsidRPr="00FA3F9C">
              <w:rPr>
                <w:rFonts w:ascii="Arial" w:hAnsi="Arial" w:cs="Arial"/>
                <w:sz w:val="24"/>
                <w:szCs w:val="24"/>
              </w:rPr>
              <w:t xml:space="preserve">).  The rate of 1-year overall survival was 48% vs 24%. The FDA only gave accelerated approval based on improved response rates (45% vs 18%) since the population was small. </w:t>
            </w:r>
          </w:p>
          <w:p w14:paraId="2D32C135" w14:textId="77777777" w:rsidR="00C3036D" w:rsidRPr="00FA3F9C" w:rsidRDefault="00C3036D" w:rsidP="00D55936">
            <w:pPr>
              <w:rPr>
                <w:rFonts w:ascii="Arial" w:hAnsi="Arial" w:cs="Arial"/>
                <w:sz w:val="24"/>
                <w:szCs w:val="24"/>
              </w:rPr>
            </w:pPr>
          </w:p>
          <w:p w14:paraId="0F2ADC55" w14:textId="77777777" w:rsidR="00C3036D" w:rsidRPr="00FA3F9C" w:rsidRDefault="00C3036D" w:rsidP="00D55936">
            <w:pPr>
              <w:rPr>
                <w:rFonts w:ascii="Arial" w:hAnsi="Arial" w:cs="Arial"/>
                <w:sz w:val="24"/>
                <w:szCs w:val="24"/>
              </w:rPr>
            </w:pPr>
            <w:r w:rsidRPr="00FA3F9C">
              <w:rPr>
                <w:rFonts w:ascii="Arial" w:hAnsi="Arial" w:cs="Arial"/>
                <w:sz w:val="24"/>
                <w:szCs w:val="24"/>
              </w:rPr>
              <w:t xml:space="preserve">Dose: </w:t>
            </w:r>
          </w:p>
          <w:p w14:paraId="7A5366B1" w14:textId="77777777" w:rsidR="00C3036D" w:rsidRPr="00FA3F9C" w:rsidRDefault="00C3036D" w:rsidP="00D55936">
            <w:pPr>
              <w:rPr>
                <w:rFonts w:ascii="Arial" w:hAnsi="Arial" w:cs="Arial"/>
                <w:sz w:val="24"/>
                <w:szCs w:val="24"/>
              </w:rPr>
            </w:pPr>
            <w:r w:rsidRPr="00FA3F9C">
              <w:rPr>
                <w:rFonts w:ascii="Arial" w:hAnsi="Arial" w:cs="Arial"/>
                <w:sz w:val="24"/>
                <w:szCs w:val="24"/>
              </w:rPr>
              <w:t xml:space="preserve">1.8 mg/kg IV over 30-90 minutes every 3 weeks x 6 doses (in combination with </w:t>
            </w:r>
            <w:proofErr w:type="spellStart"/>
            <w:r w:rsidRPr="00FA3F9C">
              <w:rPr>
                <w:rFonts w:ascii="Arial" w:hAnsi="Arial" w:cs="Arial"/>
                <w:sz w:val="24"/>
                <w:szCs w:val="24"/>
              </w:rPr>
              <w:t>bendamustine</w:t>
            </w:r>
            <w:proofErr w:type="spellEnd"/>
            <w:r w:rsidRPr="00FA3F9C">
              <w:rPr>
                <w:rFonts w:ascii="Arial" w:hAnsi="Arial" w:cs="Arial"/>
                <w:sz w:val="24"/>
                <w:szCs w:val="24"/>
              </w:rPr>
              <w:t>/rituximab).</w:t>
            </w:r>
          </w:p>
          <w:p w14:paraId="6C978EE2" w14:textId="77777777" w:rsidR="00C3036D" w:rsidRPr="00FA3F9C" w:rsidRDefault="00C3036D" w:rsidP="00D55936">
            <w:pPr>
              <w:rPr>
                <w:rFonts w:ascii="Arial" w:hAnsi="Arial" w:cs="Arial"/>
                <w:sz w:val="24"/>
                <w:szCs w:val="24"/>
              </w:rPr>
            </w:pPr>
          </w:p>
          <w:p w14:paraId="0D51543D" w14:textId="77777777" w:rsidR="00C3036D" w:rsidRPr="00FA3F9C" w:rsidRDefault="00C3036D" w:rsidP="00D55936">
            <w:pPr>
              <w:rPr>
                <w:rFonts w:ascii="Arial" w:hAnsi="Arial" w:cs="Arial"/>
                <w:sz w:val="24"/>
                <w:szCs w:val="24"/>
              </w:rPr>
            </w:pPr>
            <w:r w:rsidRPr="00FA3F9C">
              <w:rPr>
                <w:rFonts w:ascii="Arial" w:hAnsi="Arial" w:cs="Arial"/>
                <w:sz w:val="24"/>
                <w:szCs w:val="24"/>
              </w:rPr>
              <w:t>References:</w:t>
            </w:r>
          </w:p>
          <w:p w14:paraId="04195D70" w14:textId="77777777" w:rsidR="00C3036D" w:rsidRPr="00FA3F9C" w:rsidRDefault="00C3036D" w:rsidP="00C3036D">
            <w:pPr>
              <w:pStyle w:val="ListParagraph"/>
              <w:numPr>
                <w:ilvl w:val="0"/>
                <w:numId w:val="282"/>
              </w:numPr>
              <w:spacing w:after="160" w:line="259" w:lineRule="auto"/>
              <w:ind w:left="270" w:hanging="180"/>
              <w:rPr>
                <w:rFonts w:ascii="Arial" w:hAnsi="Arial" w:cs="Arial"/>
                <w:sz w:val="24"/>
                <w:szCs w:val="24"/>
              </w:rPr>
            </w:pPr>
            <w:r w:rsidRPr="00FA3F9C">
              <w:rPr>
                <w:rFonts w:ascii="Arial" w:hAnsi="Arial" w:cs="Arial"/>
                <w:sz w:val="24"/>
                <w:szCs w:val="24"/>
              </w:rPr>
              <w:t xml:space="preserve">San Miguel JF et al. Impact of prior treatment and depth of response on survival in </w:t>
            </w:r>
            <w:r w:rsidRPr="00FA3F9C">
              <w:rPr>
                <w:rFonts w:ascii="Arial" w:hAnsi="Arial" w:cs="Arial"/>
                <w:sz w:val="24"/>
                <w:szCs w:val="24"/>
                <w:u w:val="single"/>
              </w:rPr>
              <w:t>MM-003</w:t>
            </w:r>
            <w:r w:rsidRPr="00FA3F9C">
              <w:rPr>
                <w:rFonts w:ascii="Arial" w:hAnsi="Arial" w:cs="Arial"/>
                <w:sz w:val="24"/>
                <w:szCs w:val="24"/>
              </w:rPr>
              <w:t xml:space="preserve">, a randomized phase 3 study comparing pomalidomide plus low-dose dexamethasone versus high-dose dexamethasone in relapsed/refractory multiple myeloma. </w:t>
            </w:r>
            <w:proofErr w:type="spellStart"/>
            <w:r w:rsidRPr="00FA3F9C">
              <w:rPr>
                <w:rFonts w:ascii="Arial" w:hAnsi="Arial" w:cs="Arial"/>
                <w:sz w:val="24"/>
                <w:szCs w:val="24"/>
              </w:rPr>
              <w:t>Haematologica</w:t>
            </w:r>
            <w:proofErr w:type="spellEnd"/>
            <w:r w:rsidRPr="00FA3F9C">
              <w:rPr>
                <w:rFonts w:ascii="Arial" w:hAnsi="Arial" w:cs="Arial"/>
                <w:sz w:val="24"/>
                <w:szCs w:val="24"/>
              </w:rPr>
              <w:t>. 2015 Oct;100(10):1334-9. PMID 26160879 NCT01311687</w:t>
            </w:r>
          </w:p>
          <w:p w14:paraId="5C224AC8" w14:textId="77777777" w:rsidR="00C3036D" w:rsidRPr="00FA3F9C" w:rsidRDefault="00C3036D" w:rsidP="00C3036D">
            <w:pPr>
              <w:pStyle w:val="ListParagraph"/>
              <w:numPr>
                <w:ilvl w:val="0"/>
                <w:numId w:val="282"/>
              </w:numPr>
              <w:spacing w:after="160" w:line="259" w:lineRule="auto"/>
              <w:ind w:left="270" w:hanging="180"/>
              <w:rPr>
                <w:rFonts w:ascii="Arial" w:hAnsi="Arial" w:cs="Arial"/>
                <w:sz w:val="24"/>
                <w:szCs w:val="24"/>
              </w:rPr>
            </w:pPr>
            <w:r w:rsidRPr="00FA3F9C">
              <w:rPr>
                <w:rFonts w:ascii="Arial" w:hAnsi="Arial" w:cs="Arial"/>
                <w:sz w:val="24"/>
                <w:szCs w:val="24"/>
              </w:rPr>
              <w:t xml:space="preserve">Miguel JS et al. Pomalidomide plus low-dose dexamethasone versus high-dose dexamethasone alone for patients with relapsed and refractory multiple myeloma (MM-003): a </w:t>
            </w:r>
            <w:proofErr w:type="spellStart"/>
            <w:r w:rsidRPr="00FA3F9C">
              <w:rPr>
                <w:rFonts w:ascii="Arial" w:hAnsi="Arial" w:cs="Arial"/>
                <w:sz w:val="24"/>
                <w:szCs w:val="24"/>
              </w:rPr>
              <w:t>randomised</w:t>
            </w:r>
            <w:proofErr w:type="spellEnd"/>
            <w:r w:rsidRPr="00FA3F9C">
              <w:rPr>
                <w:rFonts w:ascii="Arial" w:hAnsi="Arial" w:cs="Arial"/>
                <w:sz w:val="24"/>
                <w:szCs w:val="24"/>
              </w:rPr>
              <w:t>, open-label, phase 3 trial. Lancet Oncol. 2013 Oct;14(11):1055-1066. PMID 24007748 NCT01311687</w:t>
            </w:r>
          </w:p>
        </w:tc>
      </w:tr>
    </w:tbl>
    <w:p w14:paraId="34C3E2A7" w14:textId="77777777" w:rsidR="00C3036D" w:rsidRPr="00FA3F9C" w:rsidRDefault="00C3036D" w:rsidP="006F623F">
      <w:pPr>
        <w:spacing w:after="0"/>
        <w:rPr>
          <w:rFonts w:ascii="Arial" w:hAnsi="Arial" w:cs="Arial"/>
          <w:sz w:val="24"/>
          <w:szCs w:val="24"/>
        </w:rPr>
      </w:pPr>
    </w:p>
    <w:p w14:paraId="59DAE4A0" w14:textId="77777777" w:rsidR="00C3036D" w:rsidRPr="00FA3F9C" w:rsidRDefault="00C3036D" w:rsidP="006F623F">
      <w:pPr>
        <w:spacing w:after="0"/>
        <w:rPr>
          <w:rFonts w:ascii="Arial" w:hAnsi="Arial" w:cs="Arial"/>
          <w:sz w:val="24"/>
          <w:szCs w:val="24"/>
        </w:rPr>
      </w:pPr>
      <w:r w:rsidRPr="00FA3F9C">
        <w:rPr>
          <w:rFonts w:ascii="Arial" w:hAnsi="Arial" w:cs="Arial"/>
          <w:sz w:val="24"/>
          <w:szCs w:val="24"/>
        </w:rPr>
        <w:t>Quantity Limits: n/a</w:t>
      </w:r>
    </w:p>
    <w:p w14:paraId="3D81C4A9" w14:textId="77777777" w:rsidR="00C3036D" w:rsidRPr="00FA3F9C" w:rsidRDefault="00C3036D" w:rsidP="006F623F">
      <w:pPr>
        <w:spacing w:after="0"/>
        <w:rPr>
          <w:rFonts w:ascii="Arial" w:hAnsi="Arial" w:cs="Arial"/>
          <w:sz w:val="24"/>
          <w:szCs w:val="24"/>
        </w:rPr>
      </w:pPr>
    </w:p>
    <w:p w14:paraId="36626EDF" w14:textId="77777777" w:rsidR="00C3036D" w:rsidRPr="00FA3F9C" w:rsidRDefault="00C3036D"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418"/>
        <w:gridCol w:w="7470"/>
        <w:gridCol w:w="2538"/>
      </w:tblGrid>
      <w:tr w:rsidR="00C3036D" w:rsidRPr="00FA3F9C" w14:paraId="37A0D1B6" w14:textId="77777777" w:rsidTr="00FE491B">
        <w:tc>
          <w:tcPr>
            <w:tcW w:w="1008" w:type="dxa"/>
          </w:tcPr>
          <w:p w14:paraId="794434EE" w14:textId="77777777" w:rsidR="00C3036D" w:rsidRPr="00FA3F9C" w:rsidRDefault="00C3036D" w:rsidP="006F623F">
            <w:pPr>
              <w:rPr>
                <w:rFonts w:ascii="Arial" w:hAnsi="Arial" w:cs="Arial"/>
                <w:sz w:val="24"/>
                <w:szCs w:val="24"/>
              </w:rPr>
            </w:pPr>
            <w:r w:rsidRPr="00FA3F9C">
              <w:rPr>
                <w:rFonts w:ascii="Arial" w:hAnsi="Arial" w:cs="Arial"/>
                <w:sz w:val="24"/>
                <w:szCs w:val="24"/>
              </w:rPr>
              <w:t>Date</w:t>
            </w:r>
          </w:p>
        </w:tc>
        <w:tc>
          <w:tcPr>
            <w:tcW w:w="7470" w:type="dxa"/>
          </w:tcPr>
          <w:p w14:paraId="48AF7915" w14:textId="77777777" w:rsidR="00C3036D" w:rsidRPr="00FA3F9C" w:rsidRDefault="00C3036D" w:rsidP="006F623F">
            <w:pPr>
              <w:rPr>
                <w:rFonts w:ascii="Arial" w:hAnsi="Arial" w:cs="Arial"/>
                <w:sz w:val="24"/>
                <w:szCs w:val="24"/>
              </w:rPr>
            </w:pPr>
            <w:r w:rsidRPr="00FA3F9C">
              <w:rPr>
                <w:rFonts w:ascii="Arial" w:hAnsi="Arial" w:cs="Arial"/>
                <w:sz w:val="24"/>
                <w:szCs w:val="24"/>
              </w:rPr>
              <w:t>What changed</w:t>
            </w:r>
          </w:p>
        </w:tc>
        <w:tc>
          <w:tcPr>
            <w:tcW w:w="2538" w:type="dxa"/>
          </w:tcPr>
          <w:p w14:paraId="0EC506C1" w14:textId="77777777" w:rsidR="00C3036D" w:rsidRPr="00FA3F9C" w:rsidRDefault="00C3036D" w:rsidP="006F623F">
            <w:pPr>
              <w:rPr>
                <w:rFonts w:ascii="Arial" w:hAnsi="Arial" w:cs="Arial"/>
                <w:sz w:val="24"/>
                <w:szCs w:val="24"/>
              </w:rPr>
            </w:pPr>
            <w:r w:rsidRPr="00FA3F9C">
              <w:rPr>
                <w:rFonts w:ascii="Arial" w:hAnsi="Arial" w:cs="Arial"/>
                <w:sz w:val="24"/>
                <w:szCs w:val="24"/>
              </w:rPr>
              <w:t>Pharmacist’s initials</w:t>
            </w:r>
          </w:p>
        </w:tc>
      </w:tr>
      <w:tr w:rsidR="00C3036D" w:rsidRPr="00FA3F9C" w14:paraId="50422D45" w14:textId="77777777" w:rsidTr="00FE491B">
        <w:tc>
          <w:tcPr>
            <w:tcW w:w="1008" w:type="dxa"/>
          </w:tcPr>
          <w:p w14:paraId="2F9A046A" w14:textId="77777777" w:rsidR="00C3036D" w:rsidRPr="00FA3F9C" w:rsidRDefault="00C3036D" w:rsidP="006F623F">
            <w:pPr>
              <w:rPr>
                <w:rFonts w:ascii="Arial" w:hAnsi="Arial" w:cs="Arial"/>
                <w:sz w:val="24"/>
                <w:szCs w:val="24"/>
              </w:rPr>
            </w:pPr>
            <w:r w:rsidRPr="00FA3F9C">
              <w:rPr>
                <w:rFonts w:ascii="Arial" w:hAnsi="Arial" w:cs="Arial"/>
                <w:sz w:val="24"/>
                <w:szCs w:val="24"/>
              </w:rPr>
              <w:t>8/26/19</w:t>
            </w:r>
          </w:p>
        </w:tc>
        <w:tc>
          <w:tcPr>
            <w:tcW w:w="7470" w:type="dxa"/>
          </w:tcPr>
          <w:p w14:paraId="42A8336B" w14:textId="77777777" w:rsidR="00C3036D" w:rsidRPr="00FA3F9C" w:rsidRDefault="00C3036D" w:rsidP="006F623F">
            <w:pPr>
              <w:rPr>
                <w:rFonts w:ascii="Arial" w:hAnsi="Arial" w:cs="Arial"/>
                <w:sz w:val="24"/>
                <w:szCs w:val="24"/>
              </w:rPr>
            </w:pPr>
            <w:r w:rsidRPr="00FA3F9C">
              <w:rPr>
                <w:rFonts w:ascii="Arial" w:hAnsi="Arial" w:cs="Arial"/>
                <w:sz w:val="24"/>
                <w:szCs w:val="24"/>
              </w:rPr>
              <w:t>Criteria written.</w:t>
            </w:r>
          </w:p>
        </w:tc>
        <w:tc>
          <w:tcPr>
            <w:tcW w:w="2538" w:type="dxa"/>
          </w:tcPr>
          <w:p w14:paraId="49C972B4" w14:textId="77777777" w:rsidR="00C3036D" w:rsidRPr="00FA3F9C" w:rsidRDefault="00C3036D" w:rsidP="006F623F">
            <w:pPr>
              <w:rPr>
                <w:rFonts w:ascii="Arial" w:hAnsi="Arial" w:cs="Arial"/>
                <w:sz w:val="24"/>
                <w:szCs w:val="24"/>
              </w:rPr>
            </w:pPr>
            <w:r w:rsidRPr="00FA3F9C">
              <w:rPr>
                <w:rFonts w:ascii="Arial" w:hAnsi="Arial" w:cs="Arial"/>
                <w:sz w:val="24"/>
                <w:szCs w:val="24"/>
              </w:rPr>
              <w:t>SK</w:t>
            </w:r>
          </w:p>
        </w:tc>
      </w:tr>
      <w:tr w:rsidR="00C3036D" w:rsidRPr="00FA3F9C" w14:paraId="1617D746" w14:textId="77777777" w:rsidTr="00FE491B">
        <w:tc>
          <w:tcPr>
            <w:tcW w:w="1008" w:type="dxa"/>
          </w:tcPr>
          <w:p w14:paraId="15CF8DA8" w14:textId="77777777" w:rsidR="00C3036D" w:rsidRPr="00FA3F9C" w:rsidRDefault="00C3036D" w:rsidP="006F623F">
            <w:pPr>
              <w:rPr>
                <w:rFonts w:ascii="Arial" w:hAnsi="Arial" w:cs="Arial"/>
                <w:sz w:val="24"/>
                <w:szCs w:val="24"/>
              </w:rPr>
            </w:pPr>
            <w:r w:rsidRPr="00FA3F9C">
              <w:rPr>
                <w:rFonts w:ascii="Arial" w:hAnsi="Arial" w:cs="Arial"/>
                <w:sz w:val="24"/>
                <w:szCs w:val="24"/>
              </w:rPr>
              <w:t>10/13/2020</w:t>
            </w:r>
          </w:p>
        </w:tc>
        <w:tc>
          <w:tcPr>
            <w:tcW w:w="7470" w:type="dxa"/>
          </w:tcPr>
          <w:p w14:paraId="567A147C" w14:textId="77777777" w:rsidR="00C3036D" w:rsidRPr="00FA3F9C" w:rsidRDefault="00C3036D" w:rsidP="006F623F">
            <w:pPr>
              <w:rPr>
                <w:rFonts w:ascii="Arial" w:hAnsi="Arial" w:cs="Arial"/>
                <w:sz w:val="24"/>
                <w:szCs w:val="24"/>
              </w:rPr>
            </w:pPr>
            <w:r w:rsidRPr="00FA3F9C">
              <w:rPr>
                <w:rFonts w:ascii="Arial" w:hAnsi="Arial" w:cs="Arial"/>
                <w:sz w:val="24"/>
                <w:szCs w:val="24"/>
              </w:rPr>
              <w:t>Criteria reviewed. No changes</w:t>
            </w:r>
          </w:p>
        </w:tc>
        <w:tc>
          <w:tcPr>
            <w:tcW w:w="2538" w:type="dxa"/>
          </w:tcPr>
          <w:p w14:paraId="2470CA91" w14:textId="77777777" w:rsidR="00C3036D" w:rsidRPr="00FA3F9C" w:rsidRDefault="00C3036D" w:rsidP="006F623F">
            <w:pPr>
              <w:rPr>
                <w:rFonts w:ascii="Arial" w:hAnsi="Arial" w:cs="Arial"/>
                <w:sz w:val="24"/>
                <w:szCs w:val="24"/>
              </w:rPr>
            </w:pPr>
            <w:r w:rsidRPr="00FA3F9C">
              <w:rPr>
                <w:rFonts w:ascii="Arial" w:hAnsi="Arial" w:cs="Arial"/>
                <w:sz w:val="24"/>
                <w:szCs w:val="24"/>
              </w:rPr>
              <w:t>SK</w:t>
            </w:r>
          </w:p>
        </w:tc>
      </w:tr>
      <w:tr w:rsidR="00C3036D" w:rsidRPr="00FA3F9C" w14:paraId="7494DB97" w14:textId="77777777" w:rsidTr="00FE491B">
        <w:tc>
          <w:tcPr>
            <w:tcW w:w="1008" w:type="dxa"/>
          </w:tcPr>
          <w:p w14:paraId="2BAA4D8E" w14:textId="77777777" w:rsidR="00C3036D" w:rsidRPr="00FA3F9C" w:rsidRDefault="00C3036D" w:rsidP="006F623F">
            <w:pPr>
              <w:rPr>
                <w:rFonts w:ascii="Arial" w:hAnsi="Arial" w:cs="Arial"/>
                <w:sz w:val="24"/>
                <w:szCs w:val="24"/>
              </w:rPr>
            </w:pPr>
            <w:r w:rsidRPr="00FA3F9C">
              <w:rPr>
                <w:rFonts w:ascii="Arial" w:hAnsi="Arial" w:cs="Arial"/>
                <w:sz w:val="24"/>
                <w:szCs w:val="24"/>
              </w:rPr>
              <w:t>1/20/2022</w:t>
            </w:r>
          </w:p>
        </w:tc>
        <w:tc>
          <w:tcPr>
            <w:tcW w:w="7470" w:type="dxa"/>
          </w:tcPr>
          <w:p w14:paraId="3F6E121C" w14:textId="77777777" w:rsidR="00C3036D" w:rsidRPr="00FA3F9C" w:rsidRDefault="00C3036D" w:rsidP="00DA2B99">
            <w:pPr>
              <w:rPr>
                <w:rFonts w:ascii="Arial" w:hAnsi="Arial" w:cs="Arial"/>
                <w:sz w:val="24"/>
                <w:szCs w:val="24"/>
              </w:rPr>
            </w:pPr>
            <w:r w:rsidRPr="00FA3F9C">
              <w:rPr>
                <w:rFonts w:ascii="Arial" w:hAnsi="Arial" w:cs="Arial"/>
                <w:sz w:val="24"/>
                <w:szCs w:val="24"/>
              </w:rPr>
              <w:t>Clarified criteria #2. Lymphoma must have progressed on or after at least 2 prior regimens</w:t>
            </w:r>
          </w:p>
        </w:tc>
        <w:tc>
          <w:tcPr>
            <w:tcW w:w="2538" w:type="dxa"/>
          </w:tcPr>
          <w:p w14:paraId="7CB9879F" w14:textId="77777777" w:rsidR="00C3036D" w:rsidRPr="00FA3F9C" w:rsidRDefault="00C3036D" w:rsidP="006F623F">
            <w:pPr>
              <w:rPr>
                <w:rFonts w:ascii="Arial" w:hAnsi="Arial" w:cs="Arial"/>
                <w:sz w:val="24"/>
                <w:szCs w:val="24"/>
              </w:rPr>
            </w:pPr>
            <w:r w:rsidRPr="00FA3F9C">
              <w:rPr>
                <w:rFonts w:ascii="Arial" w:hAnsi="Arial" w:cs="Arial"/>
                <w:sz w:val="24"/>
                <w:szCs w:val="24"/>
              </w:rPr>
              <w:t>SK</w:t>
            </w:r>
          </w:p>
        </w:tc>
      </w:tr>
      <w:tr w:rsidR="00C3036D" w:rsidRPr="00FA3F9C" w14:paraId="008CE60C" w14:textId="77777777" w:rsidTr="00FE491B">
        <w:tc>
          <w:tcPr>
            <w:tcW w:w="1008" w:type="dxa"/>
          </w:tcPr>
          <w:p w14:paraId="0DB92160" w14:textId="77777777" w:rsidR="00C3036D" w:rsidRPr="00FA3F9C" w:rsidRDefault="00C3036D" w:rsidP="006F623F">
            <w:pPr>
              <w:rPr>
                <w:rFonts w:ascii="Arial" w:hAnsi="Arial" w:cs="Arial"/>
                <w:sz w:val="24"/>
                <w:szCs w:val="24"/>
              </w:rPr>
            </w:pPr>
            <w:r w:rsidRPr="00FA3F9C">
              <w:rPr>
                <w:rFonts w:ascii="Arial" w:hAnsi="Arial" w:cs="Arial"/>
                <w:sz w:val="24"/>
                <w:szCs w:val="24"/>
              </w:rPr>
              <w:t>1/26/2022</w:t>
            </w:r>
          </w:p>
        </w:tc>
        <w:tc>
          <w:tcPr>
            <w:tcW w:w="7470" w:type="dxa"/>
          </w:tcPr>
          <w:p w14:paraId="12421A8C" w14:textId="77777777" w:rsidR="00C3036D" w:rsidRPr="00FA3F9C" w:rsidRDefault="00C3036D" w:rsidP="00DA2B99">
            <w:pPr>
              <w:rPr>
                <w:rFonts w:ascii="Arial" w:hAnsi="Arial" w:cs="Arial"/>
                <w:sz w:val="24"/>
                <w:szCs w:val="24"/>
              </w:rPr>
            </w:pPr>
            <w:r w:rsidRPr="00FA3F9C">
              <w:rPr>
                <w:rFonts w:ascii="Arial" w:hAnsi="Arial" w:cs="Arial"/>
                <w:sz w:val="24"/>
                <w:szCs w:val="24"/>
              </w:rPr>
              <w:t>Criteria reviewed. No changes</w:t>
            </w:r>
          </w:p>
        </w:tc>
        <w:tc>
          <w:tcPr>
            <w:tcW w:w="2538" w:type="dxa"/>
          </w:tcPr>
          <w:p w14:paraId="0D0128F5" w14:textId="77777777" w:rsidR="00C3036D" w:rsidRPr="00FA3F9C" w:rsidRDefault="00C3036D" w:rsidP="006F623F">
            <w:pPr>
              <w:rPr>
                <w:rFonts w:ascii="Arial" w:hAnsi="Arial" w:cs="Arial"/>
                <w:sz w:val="24"/>
                <w:szCs w:val="24"/>
              </w:rPr>
            </w:pPr>
            <w:r w:rsidRPr="00FA3F9C">
              <w:rPr>
                <w:rFonts w:ascii="Arial" w:hAnsi="Arial" w:cs="Arial"/>
                <w:sz w:val="24"/>
                <w:szCs w:val="24"/>
              </w:rPr>
              <w:t>SK</w:t>
            </w:r>
          </w:p>
        </w:tc>
      </w:tr>
    </w:tbl>
    <w:p w14:paraId="3861FFD3" w14:textId="77777777" w:rsidR="00C3036D" w:rsidRPr="00FA3F9C" w:rsidRDefault="00C3036D" w:rsidP="006F623F">
      <w:pPr>
        <w:spacing w:after="0"/>
        <w:rPr>
          <w:rFonts w:ascii="Arial" w:hAnsi="Arial" w:cs="Arial"/>
          <w:sz w:val="24"/>
          <w:szCs w:val="24"/>
        </w:rPr>
      </w:pPr>
    </w:p>
    <w:p w14:paraId="18ECCC1A" w14:textId="77777777" w:rsidR="00C3036D" w:rsidRPr="00FA3F9C" w:rsidRDefault="00C3036D" w:rsidP="002B2097">
      <w:pPr>
        <w:pStyle w:val="Heading2"/>
      </w:pPr>
      <w:bookmarkStart w:id="280" w:name="_Toc106369904"/>
      <w:r w:rsidRPr="00FA3F9C">
        <w:t>Pomalidomide (</w:t>
      </w:r>
      <w:proofErr w:type="spellStart"/>
      <w:r w:rsidRPr="00FA3F9C">
        <w:t>Pomalyst</w:t>
      </w:r>
      <w:proofErr w:type="spellEnd"/>
      <w:r w:rsidRPr="00FA3F9C">
        <w:t>)</w:t>
      </w:r>
      <w:bookmarkEnd w:id="280"/>
    </w:p>
    <w:p w14:paraId="4F5ECDB9" w14:textId="77777777" w:rsidR="00C3036D" w:rsidRPr="00FA3F9C" w:rsidRDefault="00C3036D" w:rsidP="006F623F">
      <w:pPr>
        <w:spacing w:after="0"/>
        <w:jc w:val="center"/>
        <w:rPr>
          <w:rFonts w:ascii="Arial" w:hAnsi="Arial" w:cs="Arial"/>
          <w:sz w:val="24"/>
          <w:szCs w:val="24"/>
        </w:rPr>
      </w:pPr>
      <w:r w:rsidRPr="00FA3F9C">
        <w:rPr>
          <w:rFonts w:ascii="Arial" w:hAnsi="Arial" w:cs="Arial"/>
          <w:sz w:val="24"/>
          <w:szCs w:val="24"/>
        </w:rPr>
        <w:t>1, 2, 3, 4 mg capsules</w:t>
      </w:r>
    </w:p>
    <w:p w14:paraId="0307089A" w14:textId="77777777" w:rsidR="00C3036D" w:rsidRPr="00FA3F9C" w:rsidRDefault="00C3036D" w:rsidP="006F623F">
      <w:pPr>
        <w:spacing w:after="0"/>
        <w:jc w:val="center"/>
        <w:rPr>
          <w:rFonts w:ascii="Arial" w:hAnsi="Arial" w:cs="Arial"/>
          <w:sz w:val="24"/>
          <w:szCs w:val="24"/>
        </w:rPr>
      </w:pPr>
      <w:r w:rsidRPr="00FA3F9C">
        <w:rPr>
          <w:rFonts w:ascii="Arial" w:hAnsi="Arial" w:cs="Arial"/>
          <w:sz w:val="24"/>
          <w:szCs w:val="24"/>
        </w:rPr>
        <w:t>EBRx PA Criteria</w:t>
      </w:r>
    </w:p>
    <w:p w14:paraId="3FE1BFFB" w14:textId="77777777" w:rsidR="00C3036D" w:rsidRPr="00FA3F9C" w:rsidRDefault="00C3036D" w:rsidP="006F623F">
      <w:pPr>
        <w:spacing w:after="0"/>
        <w:rPr>
          <w:rFonts w:ascii="Arial" w:hAnsi="Arial" w:cs="Arial"/>
          <w:b/>
          <w:sz w:val="24"/>
          <w:szCs w:val="24"/>
          <w:u w:val="single"/>
        </w:rPr>
      </w:pPr>
    </w:p>
    <w:p w14:paraId="528ED754" w14:textId="77777777" w:rsidR="00C3036D" w:rsidRPr="00FA3F9C" w:rsidRDefault="00C3036D"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w:t>
      </w:r>
    </w:p>
    <w:p w14:paraId="4CE78583" w14:textId="77777777" w:rsidR="00C3036D" w:rsidRPr="00FA3F9C" w:rsidRDefault="00C3036D" w:rsidP="00FC1E85">
      <w:pPr>
        <w:pStyle w:val="ListParagraph"/>
        <w:numPr>
          <w:ilvl w:val="0"/>
          <w:numId w:val="440"/>
        </w:numPr>
        <w:rPr>
          <w:rFonts w:ascii="Arial" w:hAnsi="Arial" w:cs="Arial"/>
          <w:sz w:val="24"/>
          <w:szCs w:val="24"/>
        </w:rPr>
      </w:pPr>
      <w:r w:rsidRPr="00FA3F9C">
        <w:rPr>
          <w:rFonts w:ascii="Arial" w:hAnsi="Arial" w:cs="Arial"/>
          <w:sz w:val="24"/>
          <w:szCs w:val="24"/>
        </w:rPr>
        <w:t xml:space="preserve">Treatment of adults in combination with dexamethasone, after at least two prior therapies including lenalidomide and a proteasome inhibitor and have demonstrated disease progression on or within 60 days of completion of the last therapy </w:t>
      </w:r>
      <w:r w:rsidRPr="00FA3F9C">
        <w:rPr>
          <w:rStyle w:val="Hyperlink"/>
          <w:rFonts w:ascii="Arial" w:hAnsi="Arial" w:cs="Arial"/>
          <w:sz w:val="24"/>
          <w:szCs w:val="24"/>
          <w:highlight w:val="cyan"/>
        </w:rPr>
        <w:t>SEE CRITERIA</w:t>
      </w:r>
    </w:p>
    <w:p w14:paraId="68F9BDD1" w14:textId="77777777" w:rsidR="00C3036D" w:rsidRPr="00FA3F9C" w:rsidRDefault="00C3036D" w:rsidP="00FC1E85">
      <w:pPr>
        <w:pStyle w:val="ListParagraph"/>
        <w:numPr>
          <w:ilvl w:val="0"/>
          <w:numId w:val="440"/>
        </w:numPr>
        <w:spacing w:after="200" w:line="276" w:lineRule="auto"/>
        <w:rPr>
          <w:rFonts w:ascii="Arial" w:hAnsi="Arial" w:cs="Arial"/>
          <w:sz w:val="24"/>
          <w:szCs w:val="24"/>
        </w:rPr>
      </w:pPr>
      <w:r w:rsidRPr="00FA3F9C">
        <w:rPr>
          <w:rFonts w:ascii="Arial" w:hAnsi="Arial" w:cs="Arial"/>
          <w:sz w:val="24"/>
          <w:szCs w:val="24"/>
        </w:rPr>
        <w:t>Treatment of adults with AIDS-related Kaposi sarcoma (KS) after failure of highly active antiretroviral therapy (HAART) or in patients with KS who are HIV negative. This indication is approved under accelerated approval based on overall response rate. Continued approval for this indication may be contingent upon verification and description of clinical benefit in a confirmatory trial.</w:t>
      </w:r>
    </w:p>
    <w:p w14:paraId="4FF3E2DA" w14:textId="77777777" w:rsidR="00C3036D" w:rsidRPr="00FA3F9C" w:rsidRDefault="00C3036D" w:rsidP="00FC1E85">
      <w:pPr>
        <w:pStyle w:val="ListParagraph"/>
        <w:numPr>
          <w:ilvl w:val="1"/>
          <w:numId w:val="440"/>
        </w:numPr>
        <w:spacing w:after="200" w:line="276" w:lineRule="auto"/>
        <w:rPr>
          <w:rFonts w:ascii="Arial" w:hAnsi="Arial" w:cs="Arial"/>
          <w:sz w:val="24"/>
          <w:szCs w:val="24"/>
        </w:rPr>
      </w:pPr>
      <w:r w:rsidRPr="00FA3F9C">
        <w:rPr>
          <w:rFonts w:ascii="Arial" w:hAnsi="Arial" w:cs="Arial"/>
          <w:sz w:val="24"/>
          <w:szCs w:val="24"/>
          <w:highlight w:val="yellow"/>
        </w:rPr>
        <w:t>NOT COVERED</w:t>
      </w:r>
      <w:r w:rsidRPr="00FA3F9C">
        <w:rPr>
          <w:rFonts w:ascii="Arial" w:hAnsi="Arial" w:cs="Arial"/>
          <w:sz w:val="24"/>
          <w:szCs w:val="24"/>
        </w:rPr>
        <w:t xml:space="preserve"> data limited to single arm trial with response rate data only (alternative: </w:t>
      </w:r>
      <w:proofErr w:type="spellStart"/>
      <w:r w:rsidRPr="00FA3F9C">
        <w:rPr>
          <w:rFonts w:ascii="Arial" w:hAnsi="Arial" w:cs="Arial"/>
          <w:sz w:val="24"/>
          <w:szCs w:val="24"/>
        </w:rPr>
        <w:t>Doxil</w:t>
      </w:r>
      <w:proofErr w:type="spellEnd"/>
      <w:r w:rsidRPr="00FA3F9C">
        <w:rPr>
          <w:rFonts w:ascii="Arial" w:hAnsi="Arial" w:cs="Arial"/>
          <w:sz w:val="24"/>
          <w:szCs w:val="24"/>
        </w:rPr>
        <w:t>)</w:t>
      </w:r>
    </w:p>
    <w:p w14:paraId="5A529C8F" w14:textId="77777777" w:rsidR="00C3036D" w:rsidRPr="00FA3F9C" w:rsidRDefault="00C3036D" w:rsidP="000C23AF">
      <w:pPr>
        <w:pStyle w:val="ListParagraph"/>
        <w:spacing w:after="0" w:line="240" w:lineRule="auto"/>
        <w:rPr>
          <w:rFonts w:ascii="Arial" w:hAnsi="Arial" w:cs="Arial"/>
          <w:color w:val="0563C1" w:themeColor="hyperlink"/>
          <w:sz w:val="24"/>
          <w:szCs w:val="24"/>
          <w:u w:val="single"/>
        </w:rPr>
      </w:pPr>
    </w:p>
    <w:p w14:paraId="2E4D1236" w14:textId="77777777" w:rsidR="00C3036D" w:rsidRPr="00FA3F9C" w:rsidRDefault="00C3036D" w:rsidP="000C23AF">
      <w:pPr>
        <w:spacing w:after="0" w:line="240" w:lineRule="auto"/>
        <w:rPr>
          <w:rFonts w:ascii="Arial" w:hAnsi="Arial" w:cs="Arial"/>
          <w:sz w:val="24"/>
          <w:szCs w:val="24"/>
          <w:u w:val="single"/>
        </w:rPr>
      </w:pPr>
      <w:r w:rsidRPr="00FA3F9C">
        <w:rPr>
          <w:rFonts w:ascii="Arial" w:hAnsi="Arial" w:cs="Arial"/>
          <w:sz w:val="24"/>
          <w:szCs w:val="24"/>
          <w:u w:val="single"/>
        </w:rPr>
        <w:t xml:space="preserve">The following indications are not included in the pomalidomide package insert but are FDA approved per the </w:t>
      </w:r>
      <w:proofErr w:type="spellStart"/>
      <w:r w:rsidRPr="00FA3F9C">
        <w:rPr>
          <w:rFonts w:ascii="Arial" w:hAnsi="Arial" w:cs="Arial"/>
          <w:sz w:val="24"/>
          <w:szCs w:val="24"/>
          <w:u w:val="single"/>
        </w:rPr>
        <w:t>elotuzumab</w:t>
      </w:r>
      <w:proofErr w:type="spellEnd"/>
      <w:r w:rsidRPr="00FA3F9C">
        <w:rPr>
          <w:rFonts w:ascii="Arial" w:hAnsi="Arial" w:cs="Arial"/>
          <w:sz w:val="24"/>
          <w:szCs w:val="24"/>
          <w:u w:val="single"/>
        </w:rPr>
        <w:t xml:space="preserve"> (</w:t>
      </w:r>
      <w:proofErr w:type="spellStart"/>
      <w:r w:rsidRPr="00FA3F9C">
        <w:rPr>
          <w:rFonts w:ascii="Arial" w:hAnsi="Arial" w:cs="Arial"/>
          <w:sz w:val="24"/>
          <w:szCs w:val="24"/>
          <w:u w:val="single"/>
        </w:rPr>
        <w:t>Empliciti</w:t>
      </w:r>
      <w:proofErr w:type="spellEnd"/>
      <w:r w:rsidRPr="00FA3F9C">
        <w:rPr>
          <w:rFonts w:ascii="Arial" w:hAnsi="Arial" w:cs="Arial"/>
          <w:sz w:val="24"/>
          <w:szCs w:val="24"/>
          <w:u w:val="single"/>
        </w:rPr>
        <w:t>), daratumumab (</w:t>
      </w:r>
      <w:proofErr w:type="spellStart"/>
      <w:r w:rsidRPr="00FA3F9C">
        <w:rPr>
          <w:rFonts w:ascii="Arial" w:hAnsi="Arial" w:cs="Arial"/>
          <w:sz w:val="24"/>
          <w:szCs w:val="24"/>
          <w:u w:val="single"/>
        </w:rPr>
        <w:t>Darzalex</w:t>
      </w:r>
      <w:proofErr w:type="spellEnd"/>
      <w:r w:rsidRPr="00FA3F9C">
        <w:rPr>
          <w:rFonts w:ascii="Arial" w:hAnsi="Arial" w:cs="Arial"/>
          <w:sz w:val="24"/>
          <w:szCs w:val="24"/>
          <w:u w:val="single"/>
        </w:rPr>
        <w:t xml:space="preserve">), and </w:t>
      </w:r>
      <w:proofErr w:type="spellStart"/>
      <w:r w:rsidRPr="00FA3F9C">
        <w:rPr>
          <w:rFonts w:ascii="Arial" w:hAnsi="Arial" w:cs="Arial"/>
          <w:sz w:val="24"/>
          <w:szCs w:val="24"/>
          <w:u w:val="single"/>
        </w:rPr>
        <w:t>isatuximab</w:t>
      </w:r>
      <w:proofErr w:type="spellEnd"/>
      <w:r w:rsidRPr="00FA3F9C">
        <w:rPr>
          <w:rFonts w:ascii="Arial" w:hAnsi="Arial" w:cs="Arial"/>
          <w:sz w:val="24"/>
          <w:szCs w:val="24"/>
          <w:u w:val="single"/>
        </w:rPr>
        <w:t xml:space="preserve"> (</w:t>
      </w:r>
      <w:proofErr w:type="spellStart"/>
      <w:r w:rsidRPr="00FA3F9C">
        <w:rPr>
          <w:rFonts w:ascii="Arial" w:hAnsi="Arial" w:cs="Arial"/>
          <w:sz w:val="24"/>
          <w:szCs w:val="24"/>
          <w:u w:val="single"/>
        </w:rPr>
        <w:t>Sarclisa</w:t>
      </w:r>
      <w:proofErr w:type="spellEnd"/>
      <w:r w:rsidRPr="00FA3F9C">
        <w:rPr>
          <w:rFonts w:ascii="Arial" w:hAnsi="Arial" w:cs="Arial"/>
          <w:sz w:val="24"/>
          <w:szCs w:val="24"/>
          <w:u w:val="single"/>
        </w:rPr>
        <w:t>) package inserts:</w:t>
      </w:r>
    </w:p>
    <w:p w14:paraId="5DC0698C" w14:textId="77777777" w:rsidR="00C3036D" w:rsidRPr="00FA3F9C" w:rsidRDefault="00C3036D" w:rsidP="00FC1E85">
      <w:pPr>
        <w:pStyle w:val="ListParagraph"/>
        <w:numPr>
          <w:ilvl w:val="0"/>
          <w:numId w:val="440"/>
        </w:numPr>
        <w:spacing w:after="0" w:line="240" w:lineRule="auto"/>
        <w:rPr>
          <w:rFonts w:ascii="Arial" w:hAnsi="Arial" w:cs="Arial"/>
          <w:color w:val="0563C1" w:themeColor="hyperlink"/>
          <w:sz w:val="24"/>
          <w:szCs w:val="24"/>
          <w:u w:val="single"/>
        </w:rPr>
      </w:pPr>
      <w:r w:rsidRPr="00FA3F9C">
        <w:rPr>
          <w:rFonts w:ascii="Arial" w:hAnsi="Arial" w:cs="Arial"/>
          <w:sz w:val="24"/>
          <w:szCs w:val="24"/>
        </w:rPr>
        <w:t xml:space="preserve">Pomalidomide with dexamethasone and EITHER </w:t>
      </w:r>
      <w:proofErr w:type="spellStart"/>
      <w:r w:rsidRPr="00FA3F9C">
        <w:rPr>
          <w:rFonts w:ascii="Arial" w:hAnsi="Arial" w:cs="Arial"/>
          <w:sz w:val="24"/>
          <w:szCs w:val="24"/>
        </w:rPr>
        <w:t>elotuzumab</w:t>
      </w:r>
      <w:proofErr w:type="spellEnd"/>
      <w:r w:rsidRPr="00FA3F9C">
        <w:rPr>
          <w:rFonts w:ascii="Arial" w:hAnsi="Arial" w:cs="Arial"/>
          <w:sz w:val="24"/>
          <w:szCs w:val="24"/>
        </w:rPr>
        <w:t xml:space="preserve"> OR daratumumab OR </w:t>
      </w:r>
      <w:proofErr w:type="spellStart"/>
      <w:r w:rsidRPr="00FA3F9C">
        <w:rPr>
          <w:rFonts w:ascii="Arial" w:hAnsi="Arial" w:cs="Arial"/>
          <w:sz w:val="24"/>
          <w:szCs w:val="24"/>
        </w:rPr>
        <w:t>isatuximab</w:t>
      </w:r>
      <w:proofErr w:type="spellEnd"/>
      <w:r w:rsidRPr="00FA3F9C">
        <w:rPr>
          <w:rFonts w:ascii="Arial" w:hAnsi="Arial" w:cs="Arial"/>
          <w:sz w:val="24"/>
          <w:szCs w:val="24"/>
        </w:rPr>
        <w:t xml:space="preserve"> after at least 2 prior therapies, including lenalidomide and a proteasome inhibitor </w:t>
      </w:r>
    </w:p>
    <w:p w14:paraId="399E0816" w14:textId="77777777" w:rsidR="00C3036D" w:rsidRPr="00FA3F9C" w:rsidRDefault="00C3036D" w:rsidP="00FC1E85">
      <w:pPr>
        <w:pStyle w:val="ListParagraph"/>
        <w:numPr>
          <w:ilvl w:val="1"/>
          <w:numId w:val="440"/>
        </w:numPr>
        <w:spacing w:after="0" w:line="240" w:lineRule="auto"/>
        <w:rPr>
          <w:rFonts w:ascii="Arial" w:hAnsi="Arial" w:cs="Arial"/>
          <w:sz w:val="24"/>
          <w:szCs w:val="24"/>
        </w:rPr>
      </w:pPr>
      <w:r w:rsidRPr="00FA3F9C">
        <w:rPr>
          <w:rFonts w:ascii="Arial" w:hAnsi="Arial" w:cs="Arial"/>
          <w:sz w:val="24"/>
          <w:szCs w:val="24"/>
          <w:highlight w:val="yellow"/>
        </w:rPr>
        <w:t>NOT COVERED</w:t>
      </w:r>
      <w:r w:rsidRPr="00FA3F9C">
        <w:rPr>
          <w:rFonts w:ascii="Arial" w:hAnsi="Arial" w:cs="Arial"/>
          <w:sz w:val="24"/>
          <w:szCs w:val="24"/>
        </w:rPr>
        <w:t xml:space="preserve"> </w:t>
      </w:r>
      <w:proofErr w:type="spellStart"/>
      <w:r w:rsidRPr="00FA3F9C">
        <w:rPr>
          <w:rFonts w:ascii="Arial" w:hAnsi="Arial" w:cs="Arial"/>
          <w:sz w:val="24"/>
          <w:szCs w:val="24"/>
        </w:rPr>
        <w:t>Elotuzumab</w:t>
      </w:r>
      <w:proofErr w:type="spellEnd"/>
      <w:r w:rsidRPr="00FA3F9C">
        <w:rPr>
          <w:rFonts w:ascii="Arial" w:hAnsi="Arial" w:cs="Arial"/>
          <w:sz w:val="24"/>
          <w:szCs w:val="24"/>
        </w:rPr>
        <w:t xml:space="preserve">/Pomalidomide/Dexamethasone was compared to pomalidomide/dexamethasone. The triplet therapy improved progression free survival (median 10.3 </w:t>
      </w:r>
      <w:proofErr w:type="spellStart"/>
      <w:r w:rsidRPr="00FA3F9C">
        <w:rPr>
          <w:rFonts w:ascii="Arial" w:hAnsi="Arial" w:cs="Arial"/>
          <w:sz w:val="24"/>
          <w:szCs w:val="24"/>
        </w:rPr>
        <w:t>mo</w:t>
      </w:r>
      <w:proofErr w:type="spellEnd"/>
      <w:r w:rsidRPr="00FA3F9C">
        <w:rPr>
          <w:rFonts w:ascii="Arial" w:hAnsi="Arial" w:cs="Arial"/>
          <w:sz w:val="24"/>
          <w:szCs w:val="24"/>
        </w:rPr>
        <w:t xml:space="preserve"> vs 4.7 </w:t>
      </w:r>
      <w:proofErr w:type="spellStart"/>
      <w:r w:rsidRPr="00FA3F9C">
        <w:rPr>
          <w:rFonts w:ascii="Arial" w:hAnsi="Arial" w:cs="Arial"/>
          <w:sz w:val="24"/>
          <w:szCs w:val="24"/>
        </w:rPr>
        <w:t>mo</w:t>
      </w:r>
      <w:proofErr w:type="spellEnd"/>
      <w:r w:rsidRPr="00FA3F9C">
        <w:rPr>
          <w:rFonts w:ascii="Arial" w:hAnsi="Arial" w:cs="Arial"/>
          <w:sz w:val="24"/>
          <w:szCs w:val="24"/>
        </w:rPr>
        <w:t>), but an overall survival benefit has not been demonstrated at this time. This regimen also did not result in improved QOL.</w:t>
      </w:r>
    </w:p>
    <w:p w14:paraId="7EA900DD" w14:textId="77777777" w:rsidR="00C3036D" w:rsidRPr="00FA3F9C" w:rsidRDefault="00C3036D" w:rsidP="00FC1E85">
      <w:pPr>
        <w:pStyle w:val="ListParagraph"/>
        <w:numPr>
          <w:ilvl w:val="2"/>
          <w:numId w:val="440"/>
        </w:numPr>
        <w:spacing w:after="0" w:line="240" w:lineRule="auto"/>
        <w:rPr>
          <w:rFonts w:ascii="Arial" w:hAnsi="Arial" w:cs="Arial"/>
          <w:sz w:val="24"/>
          <w:szCs w:val="24"/>
        </w:rPr>
      </w:pPr>
      <w:proofErr w:type="spellStart"/>
      <w:r w:rsidRPr="00FA3F9C">
        <w:rPr>
          <w:rFonts w:ascii="Arial" w:hAnsi="Arial" w:cs="Arial"/>
          <w:sz w:val="24"/>
          <w:szCs w:val="24"/>
        </w:rPr>
        <w:t>Dimopoulos</w:t>
      </w:r>
      <w:proofErr w:type="spellEnd"/>
      <w:r w:rsidRPr="00FA3F9C">
        <w:rPr>
          <w:rFonts w:ascii="Arial" w:hAnsi="Arial" w:cs="Arial"/>
          <w:sz w:val="24"/>
          <w:szCs w:val="24"/>
        </w:rPr>
        <w:t xml:space="preserve"> MA et al. </w:t>
      </w:r>
      <w:proofErr w:type="spellStart"/>
      <w:r w:rsidRPr="00FA3F9C">
        <w:rPr>
          <w:rFonts w:ascii="Arial" w:hAnsi="Arial" w:cs="Arial"/>
          <w:sz w:val="24"/>
          <w:szCs w:val="24"/>
        </w:rPr>
        <w:t>Elotuzumab</w:t>
      </w:r>
      <w:proofErr w:type="spellEnd"/>
      <w:r w:rsidRPr="00FA3F9C">
        <w:rPr>
          <w:rFonts w:ascii="Arial" w:hAnsi="Arial" w:cs="Arial"/>
          <w:sz w:val="24"/>
          <w:szCs w:val="24"/>
        </w:rPr>
        <w:t xml:space="preserve"> plus Pomalidomide and Dexamethasone for Multiple Myeloma. N </w:t>
      </w:r>
      <w:proofErr w:type="spellStart"/>
      <w:r w:rsidRPr="00FA3F9C">
        <w:rPr>
          <w:rFonts w:ascii="Arial" w:hAnsi="Arial" w:cs="Arial"/>
          <w:sz w:val="24"/>
          <w:szCs w:val="24"/>
        </w:rPr>
        <w:t>Engl</w:t>
      </w:r>
      <w:proofErr w:type="spellEnd"/>
      <w:r w:rsidRPr="00FA3F9C">
        <w:rPr>
          <w:rFonts w:ascii="Arial" w:hAnsi="Arial" w:cs="Arial"/>
          <w:sz w:val="24"/>
          <w:szCs w:val="24"/>
        </w:rPr>
        <w:t xml:space="preserve"> J Med. 2018 Nov 8;379(19):1811-1822. PMID 30403938 NCT02654132</w:t>
      </w:r>
    </w:p>
    <w:p w14:paraId="34932C6D" w14:textId="77777777" w:rsidR="00C3036D" w:rsidRPr="00FA3F9C" w:rsidRDefault="00C3036D" w:rsidP="00FC1E85">
      <w:pPr>
        <w:pStyle w:val="ListParagraph"/>
        <w:numPr>
          <w:ilvl w:val="2"/>
          <w:numId w:val="440"/>
        </w:numPr>
        <w:spacing w:after="0" w:line="240" w:lineRule="auto"/>
        <w:rPr>
          <w:rFonts w:ascii="Arial" w:hAnsi="Arial" w:cs="Arial"/>
          <w:sz w:val="24"/>
          <w:szCs w:val="24"/>
        </w:rPr>
      </w:pPr>
      <w:proofErr w:type="spellStart"/>
      <w:r w:rsidRPr="00FA3F9C">
        <w:rPr>
          <w:rFonts w:ascii="Arial" w:hAnsi="Arial" w:cs="Arial"/>
          <w:sz w:val="24"/>
          <w:szCs w:val="24"/>
        </w:rPr>
        <w:t>Weisel</w:t>
      </w:r>
      <w:proofErr w:type="spellEnd"/>
      <w:r w:rsidRPr="00FA3F9C">
        <w:rPr>
          <w:rFonts w:ascii="Arial" w:hAnsi="Arial" w:cs="Arial"/>
          <w:sz w:val="24"/>
          <w:szCs w:val="24"/>
        </w:rPr>
        <w:t xml:space="preserve"> K et al. Impact of </w:t>
      </w:r>
      <w:proofErr w:type="spellStart"/>
      <w:r w:rsidRPr="00FA3F9C">
        <w:rPr>
          <w:rFonts w:ascii="Arial" w:hAnsi="Arial" w:cs="Arial"/>
          <w:sz w:val="24"/>
          <w:szCs w:val="24"/>
        </w:rPr>
        <w:t>Elotuzumab</w:t>
      </w:r>
      <w:proofErr w:type="spellEnd"/>
      <w:r w:rsidRPr="00FA3F9C">
        <w:rPr>
          <w:rFonts w:ascii="Arial" w:hAnsi="Arial" w:cs="Arial"/>
          <w:sz w:val="24"/>
          <w:szCs w:val="24"/>
        </w:rPr>
        <w:t xml:space="preserve"> Plus Pomalidomide and Dexamethasone on Health-Related Quality of Life in Patients with Relapsed/Refractory Multiple Myeloma Enrolled in the ELOQUENT-3 Study. Blood (2019) 134 (Supplement_1): 3480. </w:t>
      </w:r>
      <w:hyperlink r:id="rId348" w:history="1">
        <w:r w:rsidRPr="00FA3F9C">
          <w:rPr>
            <w:rStyle w:val="Hyperlink"/>
            <w:rFonts w:ascii="Arial" w:hAnsi="Arial" w:cs="Arial"/>
            <w:sz w:val="24"/>
            <w:szCs w:val="24"/>
          </w:rPr>
          <w:t>https://ashpublications.org/blood/article/134/Supplement_1/3480/428330/Impact-of-Elotuzumab-Plus-Pomalidomide-and?searchresult=1</w:t>
        </w:r>
      </w:hyperlink>
      <w:r w:rsidRPr="00FA3F9C">
        <w:rPr>
          <w:rFonts w:ascii="Arial" w:hAnsi="Arial" w:cs="Arial"/>
          <w:sz w:val="24"/>
          <w:szCs w:val="24"/>
        </w:rPr>
        <w:t xml:space="preserve"> </w:t>
      </w:r>
    </w:p>
    <w:p w14:paraId="0D1C1B1B" w14:textId="77777777" w:rsidR="00C3036D" w:rsidRPr="00FA3F9C" w:rsidRDefault="00C3036D" w:rsidP="00FC1E85">
      <w:pPr>
        <w:pStyle w:val="ListParagraph"/>
        <w:numPr>
          <w:ilvl w:val="1"/>
          <w:numId w:val="440"/>
        </w:numPr>
        <w:spacing w:after="0" w:line="240" w:lineRule="auto"/>
        <w:rPr>
          <w:rFonts w:ascii="Arial" w:hAnsi="Arial" w:cs="Arial"/>
          <w:sz w:val="24"/>
          <w:szCs w:val="24"/>
        </w:rPr>
      </w:pPr>
      <w:r w:rsidRPr="00FA3F9C">
        <w:rPr>
          <w:rFonts w:ascii="Arial" w:hAnsi="Arial" w:cs="Arial"/>
          <w:sz w:val="24"/>
          <w:szCs w:val="24"/>
          <w:highlight w:val="yellow"/>
        </w:rPr>
        <w:t>NOT COVERED</w:t>
      </w:r>
      <w:r w:rsidRPr="00FA3F9C">
        <w:rPr>
          <w:rFonts w:ascii="Arial" w:hAnsi="Arial" w:cs="Arial"/>
          <w:sz w:val="24"/>
          <w:szCs w:val="24"/>
        </w:rPr>
        <w:t xml:space="preserve"> </w:t>
      </w:r>
      <w:r w:rsidRPr="00FA3F9C">
        <w:rPr>
          <w:rStyle w:val="Hyperlink"/>
          <w:rFonts w:ascii="Arial" w:hAnsi="Arial" w:cs="Arial"/>
          <w:sz w:val="24"/>
          <w:szCs w:val="24"/>
        </w:rPr>
        <w:t>Daratumumab</w:t>
      </w:r>
      <w:r w:rsidRPr="00FA3F9C">
        <w:rPr>
          <w:rFonts w:ascii="Arial" w:hAnsi="Arial" w:cs="Arial"/>
          <w:sz w:val="24"/>
          <w:szCs w:val="24"/>
        </w:rPr>
        <w:t>/Pomalidomide/Dexamethasone: benefit is limited to progression free survival.</w:t>
      </w:r>
    </w:p>
    <w:p w14:paraId="0A48958E" w14:textId="77777777" w:rsidR="00C3036D" w:rsidRPr="00FA3F9C" w:rsidRDefault="00C3036D" w:rsidP="00FC1E85">
      <w:pPr>
        <w:pStyle w:val="ListParagraph"/>
        <w:numPr>
          <w:ilvl w:val="2"/>
          <w:numId w:val="440"/>
        </w:numPr>
        <w:spacing w:after="0" w:line="240" w:lineRule="auto"/>
        <w:rPr>
          <w:rFonts w:ascii="Arial" w:hAnsi="Arial" w:cs="Arial"/>
          <w:sz w:val="24"/>
          <w:szCs w:val="24"/>
        </w:rPr>
      </w:pPr>
      <w:r w:rsidRPr="00FA3F9C">
        <w:rPr>
          <w:rFonts w:ascii="Arial" w:hAnsi="Arial" w:cs="Arial"/>
          <w:sz w:val="24"/>
          <w:szCs w:val="24"/>
        </w:rPr>
        <w:t xml:space="preserve">References: </w:t>
      </w:r>
    </w:p>
    <w:p w14:paraId="1D9E2BA6" w14:textId="77777777" w:rsidR="00C3036D" w:rsidRPr="00FA3F9C" w:rsidRDefault="00C3036D" w:rsidP="00FC1E85">
      <w:pPr>
        <w:pStyle w:val="ListParagraph"/>
        <w:numPr>
          <w:ilvl w:val="3"/>
          <w:numId w:val="440"/>
        </w:numPr>
        <w:spacing w:after="0" w:line="240" w:lineRule="auto"/>
        <w:rPr>
          <w:rFonts w:ascii="Arial" w:hAnsi="Arial" w:cs="Arial"/>
          <w:sz w:val="24"/>
          <w:szCs w:val="24"/>
        </w:rPr>
      </w:pPr>
      <w:r w:rsidRPr="00FA3F9C">
        <w:rPr>
          <w:rFonts w:ascii="Arial" w:hAnsi="Arial" w:cs="Arial"/>
          <w:sz w:val="24"/>
          <w:szCs w:val="24"/>
        </w:rPr>
        <w:lastRenderedPageBreak/>
        <w:t>Chari A et al. Daratumumab plus pomalidomide and dexamethasone in relapsed and/or refractory multiple myeloma. Blood. 2017 Aug 24;130(8):974-981. PMID 28637662 NCT01998971 (</w:t>
      </w:r>
      <w:r w:rsidRPr="00FA3F9C">
        <w:rPr>
          <w:rFonts w:ascii="Arial" w:hAnsi="Arial" w:cs="Arial"/>
          <w:sz w:val="24"/>
          <w:szCs w:val="24"/>
          <w:u w:val="single"/>
        </w:rPr>
        <w:t>EQUULEUS; MMY1001</w:t>
      </w:r>
      <w:r w:rsidRPr="00FA3F9C">
        <w:rPr>
          <w:rFonts w:ascii="Arial" w:hAnsi="Arial" w:cs="Arial"/>
          <w:sz w:val="24"/>
          <w:szCs w:val="24"/>
        </w:rPr>
        <w:t>)</w:t>
      </w:r>
    </w:p>
    <w:p w14:paraId="57FD4895" w14:textId="77777777" w:rsidR="00C3036D" w:rsidRPr="00FA3F9C" w:rsidRDefault="00C3036D" w:rsidP="00FC1E85">
      <w:pPr>
        <w:pStyle w:val="ListParagraph"/>
        <w:numPr>
          <w:ilvl w:val="3"/>
          <w:numId w:val="440"/>
        </w:numPr>
        <w:spacing w:after="0" w:line="240" w:lineRule="auto"/>
        <w:rPr>
          <w:rFonts w:ascii="Arial" w:hAnsi="Arial" w:cs="Arial"/>
          <w:sz w:val="24"/>
          <w:szCs w:val="24"/>
        </w:rPr>
      </w:pPr>
      <w:proofErr w:type="spellStart"/>
      <w:r w:rsidRPr="00FA3F9C">
        <w:rPr>
          <w:rFonts w:ascii="Arial" w:hAnsi="Arial" w:cs="Arial"/>
          <w:sz w:val="24"/>
          <w:szCs w:val="24"/>
        </w:rPr>
        <w:t>Dimopoulos</w:t>
      </w:r>
      <w:proofErr w:type="spellEnd"/>
      <w:r w:rsidRPr="00FA3F9C">
        <w:rPr>
          <w:rFonts w:ascii="Arial" w:hAnsi="Arial" w:cs="Arial"/>
          <w:sz w:val="24"/>
          <w:szCs w:val="24"/>
        </w:rPr>
        <w:t xml:space="preserve"> MA et al. Daratumumab plus pomalidomide and dexamethasone versus pomalidomide and dexamethasone alone in previously treated multiple myeloma (APOLLO): an </w:t>
      </w:r>
      <w:proofErr w:type="gramStart"/>
      <w:r w:rsidRPr="00FA3F9C">
        <w:rPr>
          <w:rFonts w:ascii="Arial" w:hAnsi="Arial" w:cs="Arial"/>
          <w:sz w:val="24"/>
          <w:szCs w:val="24"/>
        </w:rPr>
        <w:t>open-label</w:t>
      </w:r>
      <w:proofErr w:type="gramEnd"/>
      <w:r w:rsidRPr="00FA3F9C">
        <w:rPr>
          <w:rFonts w:ascii="Arial" w:hAnsi="Arial" w:cs="Arial"/>
          <w:sz w:val="24"/>
          <w:szCs w:val="24"/>
        </w:rPr>
        <w:t xml:space="preserve">, </w:t>
      </w:r>
      <w:proofErr w:type="spellStart"/>
      <w:r w:rsidRPr="00FA3F9C">
        <w:rPr>
          <w:rFonts w:ascii="Arial" w:hAnsi="Arial" w:cs="Arial"/>
          <w:sz w:val="24"/>
          <w:szCs w:val="24"/>
        </w:rPr>
        <w:t>randomised</w:t>
      </w:r>
      <w:proofErr w:type="spellEnd"/>
      <w:r w:rsidRPr="00FA3F9C">
        <w:rPr>
          <w:rFonts w:ascii="Arial" w:hAnsi="Arial" w:cs="Arial"/>
          <w:sz w:val="24"/>
          <w:szCs w:val="24"/>
        </w:rPr>
        <w:t xml:space="preserve">, phase 3 trial. Lancet Oncol. 2021 Jun;22(6):801-812. </w:t>
      </w:r>
      <w:proofErr w:type="spellStart"/>
      <w:r w:rsidRPr="00FA3F9C">
        <w:rPr>
          <w:rFonts w:ascii="Arial" w:hAnsi="Arial" w:cs="Arial"/>
          <w:sz w:val="24"/>
          <w:szCs w:val="24"/>
        </w:rPr>
        <w:t>doi</w:t>
      </w:r>
      <w:proofErr w:type="spellEnd"/>
      <w:r w:rsidRPr="00FA3F9C">
        <w:rPr>
          <w:rFonts w:ascii="Arial" w:hAnsi="Arial" w:cs="Arial"/>
          <w:sz w:val="24"/>
          <w:szCs w:val="24"/>
        </w:rPr>
        <w:t>: 10.1016/S1470-2045(21)00128-5. PMID: 34087126. NCT03180736 (</w:t>
      </w:r>
      <w:r w:rsidRPr="00FA3F9C">
        <w:rPr>
          <w:rFonts w:ascii="Arial" w:hAnsi="Arial" w:cs="Arial"/>
          <w:sz w:val="24"/>
          <w:szCs w:val="24"/>
          <w:u w:val="single"/>
        </w:rPr>
        <w:t>APOLLO</w:t>
      </w:r>
      <w:r w:rsidRPr="00FA3F9C">
        <w:rPr>
          <w:rFonts w:ascii="Arial" w:hAnsi="Arial" w:cs="Arial"/>
          <w:sz w:val="24"/>
          <w:szCs w:val="24"/>
        </w:rPr>
        <w:t>)</w:t>
      </w:r>
    </w:p>
    <w:p w14:paraId="2AD66EB2" w14:textId="77777777" w:rsidR="00C3036D" w:rsidRPr="00FA3F9C" w:rsidRDefault="00C3036D" w:rsidP="00FC1E85">
      <w:pPr>
        <w:pStyle w:val="ListParagraph"/>
        <w:numPr>
          <w:ilvl w:val="1"/>
          <w:numId w:val="440"/>
        </w:numPr>
        <w:spacing w:after="0" w:line="240" w:lineRule="auto"/>
        <w:rPr>
          <w:rStyle w:val="Hyperlink"/>
          <w:rFonts w:ascii="Arial" w:hAnsi="Arial" w:cs="Arial"/>
          <w:sz w:val="24"/>
          <w:szCs w:val="24"/>
        </w:rPr>
      </w:pPr>
      <w:r w:rsidRPr="00FA3F9C">
        <w:rPr>
          <w:rStyle w:val="Hyperlink"/>
          <w:rFonts w:ascii="Arial" w:hAnsi="Arial" w:cs="Arial"/>
          <w:sz w:val="24"/>
          <w:szCs w:val="24"/>
          <w:highlight w:val="cyan"/>
        </w:rPr>
        <w:t>SEE CRITERIA</w:t>
      </w:r>
      <w:r w:rsidRPr="00FA3F9C">
        <w:rPr>
          <w:rStyle w:val="Hyperlink"/>
          <w:rFonts w:ascii="Arial" w:hAnsi="Arial" w:cs="Arial"/>
          <w:sz w:val="24"/>
          <w:szCs w:val="24"/>
        </w:rPr>
        <w:t xml:space="preserve"> </w:t>
      </w:r>
      <w:proofErr w:type="spellStart"/>
      <w:r w:rsidRPr="00FA3F9C">
        <w:rPr>
          <w:rStyle w:val="Hyperlink"/>
          <w:rFonts w:ascii="Arial" w:hAnsi="Arial" w:cs="Arial"/>
          <w:sz w:val="24"/>
          <w:szCs w:val="24"/>
        </w:rPr>
        <w:t>Isatuximab</w:t>
      </w:r>
      <w:proofErr w:type="spellEnd"/>
      <w:r w:rsidRPr="00FA3F9C">
        <w:rPr>
          <w:rStyle w:val="Hyperlink"/>
          <w:rFonts w:ascii="Arial" w:hAnsi="Arial" w:cs="Arial"/>
          <w:sz w:val="24"/>
          <w:szCs w:val="24"/>
        </w:rPr>
        <w:t xml:space="preserve">/Pomalidomide/Dexamethasone </w:t>
      </w:r>
    </w:p>
    <w:p w14:paraId="7F617216" w14:textId="77777777" w:rsidR="00C3036D" w:rsidRPr="00FA3F9C" w:rsidRDefault="00C3036D" w:rsidP="00E6182C">
      <w:pPr>
        <w:pStyle w:val="ListParagraph"/>
        <w:spacing w:after="0" w:line="240" w:lineRule="auto"/>
        <w:ind w:left="1440"/>
        <w:rPr>
          <w:rFonts w:ascii="Arial" w:hAnsi="Arial" w:cs="Arial"/>
          <w:sz w:val="24"/>
          <w:szCs w:val="24"/>
        </w:rPr>
      </w:pPr>
    </w:p>
    <w:tbl>
      <w:tblPr>
        <w:tblStyle w:val="TableGrid"/>
        <w:tblW w:w="0" w:type="auto"/>
        <w:tblLook w:val="04A0" w:firstRow="1" w:lastRow="0" w:firstColumn="1" w:lastColumn="0" w:noHBand="0" w:noVBand="1"/>
      </w:tblPr>
      <w:tblGrid>
        <w:gridCol w:w="8746"/>
        <w:gridCol w:w="2270"/>
      </w:tblGrid>
      <w:tr w:rsidR="00C3036D" w:rsidRPr="00FA3F9C" w14:paraId="5C3FC5CE" w14:textId="77777777" w:rsidTr="00E6182C">
        <w:tc>
          <w:tcPr>
            <w:tcW w:w="8746" w:type="dxa"/>
            <w:shd w:val="clear" w:color="auto" w:fill="000000"/>
          </w:tcPr>
          <w:p w14:paraId="5862A483" w14:textId="77777777" w:rsidR="00C3036D" w:rsidRPr="00FA3F9C" w:rsidRDefault="00C3036D"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44" w:type="dxa"/>
            <w:shd w:val="clear" w:color="auto" w:fill="000000"/>
          </w:tcPr>
          <w:p w14:paraId="5B4E0C6E" w14:textId="77777777" w:rsidR="00C3036D" w:rsidRPr="00FA3F9C" w:rsidRDefault="00C3036D" w:rsidP="006F623F">
            <w:pPr>
              <w:jc w:val="center"/>
              <w:rPr>
                <w:rFonts w:ascii="Arial" w:hAnsi="Arial" w:cs="Arial"/>
                <w:b/>
                <w:sz w:val="24"/>
                <w:szCs w:val="24"/>
                <w:u w:val="single"/>
              </w:rPr>
            </w:pPr>
          </w:p>
        </w:tc>
      </w:tr>
      <w:tr w:rsidR="00C3036D" w:rsidRPr="00FA3F9C" w14:paraId="767EF0A3" w14:textId="77777777" w:rsidTr="00F337AE">
        <w:tc>
          <w:tcPr>
            <w:tcW w:w="11016" w:type="dxa"/>
            <w:gridSpan w:val="2"/>
          </w:tcPr>
          <w:p w14:paraId="1594549E" w14:textId="77777777" w:rsidR="00C3036D" w:rsidRPr="00FA3F9C" w:rsidRDefault="00C3036D" w:rsidP="00A61AED">
            <w:pPr>
              <w:rPr>
                <w:rFonts w:ascii="Arial" w:hAnsi="Arial" w:cs="Arial"/>
                <w:sz w:val="24"/>
                <w:szCs w:val="24"/>
              </w:rPr>
            </w:pPr>
            <w:r w:rsidRPr="00FA3F9C">
              <w:rPr>
                <w:rFonts w:ascii="Arial" w:hAnsi="Arial" w:cs="Arial"/>
                <w:sz w:val="24"/>
                <w:szCs w:val="24"/>
              </w:rPr>
              <w:t xml:space="preserve">1. Diagnosis of multiple myeloma </w:t>
            </w:r>
          </w:p>
        </w:tc>
      </w:tr>
      <w:tr w:rsidR="00C3036D" w:rsidRPr="00FA3F9C" w14:paraId="52BE91A8" w14:textId="77777777" w:rsidTr="00B1617E">
        <w:tc>
          <w:tcPr>
            <w:tcW w:w="11016" w:type="dxa"/>
            <w:gridSpan w:val="2"/>
          </w:tcPr>
          <w:p w14:paraId="7EE282BD" w14:textId="77777777" w:rsidR="00C3036D" w:rsidRPr="00FA3F9C" w:rsidRDefault="00C3036D" w:rsidP="00DD169C">
            <w:pPr>
              <w:rPr>
                <w:rFonts w:ascii="Arial" w:hAnsi="Arial" w:cs="Arial"/>
                <w:sz w:val="24"/>
                <w:szCs w:val="24"/>
              </w:rPr>
            </w:pPr>
            <w:r w:rsidRPr="00FA3F9C">
              <w:rPr>
                <w:rFonts w:ascii="Arial" w:hAnsi="Arial" w:cs="Arial"/>
                <w:sz w:val="24"/>
                <w:szCs w:val="24"/>
              </w:rPr>
              <w:t>2. Patient has progressed on or after at least two prior therapies, which included lenalidomide and a proteasome inhibitor (</w:t>
            </w:r>
            <w:proofErr w:type="gramStart"/>
            <w:r w:rsidRPr="00FA3F9C">
              <w:rPr>
                <w:rFonts w:ascii="Arial" w:hAnsi="Arial" w:cs="Arial"/>
                <w:sz w:val="24"/>
                <w:szCs w:val="24"/>
              </w:rPr>
              <w:t>e.g.</w:t>
            </w:r>
            <w:proofErr w:type="gramEnd"/>
            <w:r w:rsidRPr="00FA3F9C">
              <w:rPr>
                <w:rFonts w:ascii="Arial" w:hAnsi="Arial" w:cs="Arial"/>
                <w:sz w:val="24"/>
                <w:szCs w:val="24"/>
              </w:rPr>
              <w:t xml:space="preserve"> bortezomib, carfilzomib, </w:t>
            </w:r>
            <w:proofErr w:type="spellStart"/>
            <w:r w:rsidRPr="00FA3F9C">
              <w:rPr>
                <w:rFonts w:ascii="Arial" w:hAnsi="Arial" w:cs="Arial"/>
                <w:sz w:val="24"/>
                <w:szCs w:val="24"/>
              </w:rPr>
              <w:t>ixazomib</w:t>
            </w:r>
            <w:proofErr w:type="spellEnd"/>
            <w:r w:rsidRPr="00FA3F9C">
              <w:rPr>
                <w:rFonts w:ascii="Arial" w:hAnsi="Arial" w:cs="Arial"/>
                <w:sz w:val="24"/>
                <w:szCs w:val="24"/>
              </w:rPr>
              <w:t>).</w:t>
            </w:r>
          </w:p>
        </w:tc>
      </w:tr>
      <w:tr w:rsidR="00C3036D" w:rsidRPr="00FA3F9C" w14:paraId="76F0A843" w14:textId="77777777" w:rsidTr="00DA57E0">
        <w:tc>
          <w:tcPr>
            <w:tcW w:w="11016" w:type="dxa"/>
            <w:gridSpan w:val="2"/>
          </w:tcPr>
          <w:p w14:paraId="73E6C3C1" w14:textId="77777777" w:rsidR="00C3036D" w:rsidRPr="00FA3F9C" w:rsidRDefault="00C3036D" w:rsidP="00F56F13">
            <w:pPr>
              <w:rPr>
                <w:rFonts w:ascii="Arial" w:hAnsi="Arial" w:cs="Arial"/>
                <w:sz w:val="24"/>
                <w:szCs w:val="24"/>
              </w:rPr>
            </w:pPr>
            <w:r w:rsidRPr="00FA3F9C">
              <w:rPr>
                <w:rFonts w:ascii="Arial" w:hAnsi="Arial" w:cs="Arial"/>
                <w:sz w:val="24"/>
                <w:szCs w:val="24"/>
              </w:rPr>
              <w:t xml:space="preserve">3  Patient has not experienced disease progression on pomalidomide. </w:t>
            </w:r>
          </w:p>
        </w:tc>
      </w:tr>
      <w:tr w:rsidR="00C3036D" w:rsidRPr="00FA3F9C" w14:paraId="463A21C2" w14:textId="77777777" w:rsidTr="00E6182C">
        <w:tc>
          <w:tcPr>
            <w:tcW w:w="10790" w:type="dxa"/>
            <w:gridSpan w:val="2"/>
          </w:tcPr>
          <w:p w14:paraId="09741AF0" w14:textId="77777777" w:rsidR="00C3036D" w:rsidRPr="00FA3F9C" w:rsidRDefault="00C3036D" w:rsidP="00E6182C">
            <w:pPr>
              <w:rPr>
                <w:rFonts w:ascii="Arial" w:hAnsi="Arial" w:cs="Arial"/>
                <w:sz w:val="24"/>
                <w:szCs w:val="24"/>
              </w:rPr>
            </w:pPr>
            <w:r w:rsidRPr="00FA3F9C">
              <w:rPr>
                <w:rFonts w:ascii="Arial" w:hAnsi="Arial" w:cs="Arial"/>
                <w:sz w:val="24"/>
                <w:szCs w:val="24"/>
              </w:rPr>
              <w:t xml:space="preserve">4. Pomalidomide will be used in combination with dexamethasone with or without </w:t>
            </w:r>
            <w:proofErr w:type="spellStart"/>
            <w:r w:rsidRPr="00FA3F9C">
              <w:rPr>
                <w:rFonts w:ascii="Arial" w:hAnsi="Arial" w:cs="Arial"/>
                <w:sz w:val="24"/>
                <w:szCs w:val="24"/>
              </w:rPr>
              <w:t>isatuximab</w:t>
            </w:r>
            <w:proofErr w:type="spellEnd"/>
            <w:r w:rsidRPr="00FA3F9C">
              <w:rPr>
                <w:rFonts w:ascii="Arial" w:hAnsi="Arial" w:cs="Arial"/>
                <w:sz w:val="24"/>
                <w:szCs w:val="24"/>
              </w:rPr>
              <w:t xml:space="preserve"> (</w:t>
            </w:r>
            <w:proofErr w:type="spellStart"/>
            <w:r w:rsidRPr="00FA3F9C">
              <w:rPr>
                <w:rFonts w:ascii="Arial" w:hAnsi="Arial" w:cs="Arial"/>
                <w:sz w:val="24"/>
                <w:szCs w:val="24"/>
              </w:rPr>
              <w:t>Sarclisa</w:t>
            </w:r>
            <w:proofErr w:type="spellEnd"/>
            <w:r w:rsidRPr="00FA3F9C">
              <w:rPr>
                <w:rFonts w:ascii="Arial" w:hAnsi="Arial" w:cs="Arial"/>
                <w:sz w:val="24"/>
                <w:szCs w:val="24"/>
              </w:rPr>
              <w:t xml:space="preserve">) [See </w:t>
            </w:r>
            <w:proofErr w:type="spellStart"/>
            <w:r w:rsidRPr="00FA3F9C">
              <w:rPr>
                <w:rFonts w:ascii="Arial" w:hAnsi="Arial" w:cs="Arial"/>
                <w:sz w:val="24"/>
                <w:szCs w:val="24"/>
              </w:rPr>
              <w:t>isatuximab</w:t>
            </w:r>
            <w:proofErr w:type="spellEnd"/>
            <w:r w:rsidRPr="00FA3F9C">
              <w:rPr>
                <w:rFonts w:ascii="Arial" w:hAnsi="Arial" w:cs="Arial"/>
                <w:sz w:val="24"/>
                <w:szCs w:val="24"/>
              </w:rPr>
              <w:t xml:space="preserve"> criteria]</w:t>
            </w:r>
          </w:p>
        </w:tc>
      </w:tr>
      <w:tr w:rsidR="00C3036D" w:rsidRPr="00FA3F9C" w14:paraId="6028B0EA" w14:textId="77777777" w:rsidTr="00E6182C">
        <w:tc>
          <w:tcPr>
            <w:tcW w:w="10790" w:type="dxa"/>
            <w:gridSpan w:val="2"/>
          </w:tcPr>
          <w:p w14:paraId="3F2DEEA3" w14:textId="77777777" w:rsidR="00C3036D" w:rsidRPr="00FA3F9C" w:rsidRDefault="00C3036D" w:rsidP="00BE3DC6">
            <w:pPr>
              <w:rPr>
                <w:rFonts w:ascii="Arial" w:hAnsi="Arial" w:cs="Arial"/>
                <w:b/>
                <w:sz w:val="24"/>
                <w:szCs w:val="24"/>
              </w:rPr>
            </w:pPr>
            <w:r w:rsidRPr="00FA3F9C">
              <w:rPr>
                <w:rFonts w:ascii="Arial" w:hAnsi="Arial" w:cs="Arial"/>
                <w:b/>
                <w:sz w:val="24"/>
                <w:szCs w:val="24"/>
              </w:rPr>
              <w:t xml:space="preserve">If </w:t>
            </w:r>
            <w:proofErr w:type="gramStart"/>
            <w:r w:rsidRPr="00FA3F9C">
              <w:rPr>
                <w:rFonts w:ascii="Arial" w:hAnsi="Arial" w:cs="Arial"/>
                <w:b/>
                <w:sz w:val="24"/>
                <w:szCs w:val="24"/>
              </w:rPr>
              <w:t>all of</w:t>
            </w:r>
            <w:proofErr w:type="gramEnd"/>
            <w:r w:rsidRPr="00FA3F9C">
              <w:rPr>
                <w:rFonts w:ascii="Arial" w:hAnsi="Arial" w:cs="Arial"/>
                <w:b/>
                <w:sz w:val="24"/>
                <w:szCs w:val="24"/>
              </w:rPr>
              <w:t xml:space="preserve"> the above criteria are met, approve for 12 months</w:t>
            </w:r>
          </w:p>
        </w:tc>
      </w:tr>
    </w:tbl>
    <w:p w14:paraId="1417E8B6" w14:textId="77777777" w:rsidR="00C3036D" w:rsidRPr="00FA3F9C" w:rsidRDefault="00C3036D" w:rsidP="006F623F">
      <w:pPr>
        <w:spacing w:after="0"/>
        <w:rPr>
          <w:rFonts w:ascii="Arial" w:hAnsi="Arial" w:cs="Arial"/>
          <w:b/>
          <w:sz w:val="24"/>
          <w:szCs w:val="24"/>
          <w:u w:val="single"/>
        </w:rPr>
      </w:pPr>
    </w:p>
    <w:tbl>
      <w:tblPr>
        <w:tblStyle w:val="TableGrid"/>
        <w:tblW w:w="0" w:type="auto"/>
        <w:shd w:val="clear" w:color="auto" w:fill="BFBFBF" w:themeFill="background1" w:themeFillShade="BF"/>
        <w:tblLook w:val="04A0" w:firstRow="1" w:lastRow="0" w:firstColumn="1" w:lastColumn="0" w:noHBand="0" w:noVBand="1"/>
      </w:tblPr>
      <w:tblGrid>
        <w:gridCol w:w="10998"/>
      </w:tblGrid>
      <w:tr w:rsidR="00C3036D" w:rsidRPr="00FA3F9C" w14:paraId="5E3871F3" w14:textId="77777777" w:rsidTr="00CF73C5">
        <w:trPr>
          <w:trHeight w:val="3140"/>
        </w:trPr>
        <w:tc>
          <w:tcPr>
            <w:tcW w:w="10998" w:type="dxa"/>
            <w:shd w:val="clear" w:color="auto" w:fill="BFBFBF" w:themeFill="background1" w:themeFillShade="BF"/>
          </w:tcPr>
          <w:p w14:paraId="74475093" w14:textId="77777777" w:rsidR="00C3036D" w:rsidRPr="00FA3F9C" w:rsidRDefault="00C3036D" w:rsidP="00D82B6E">
            <w:pPr>
              <w:rPr>
                <w:rFonts w:ascii="Arial" w:hAnsi="Arial" w:cs="Arial"/>
                <w:sz w:val="24"/>
                <w:szCs w:val="24"/>
              </w:rPr>
            </w:pPr>
            <w:r w:rsidRPr="00FA3F9C">
              <w:rPr>
                <w:rFonts w:ascii="Arial" w:hAnsi="Arial" w:cs="Arial"/>
                <w:sz w:val="24"/>
                <w:szCs w:val="24"/>
              </w:rPr>
              <w:t xml:space="preserve">Note: </w:t>
            </w:r>
          </w:p>
          <w:p w14:paraId="6EEB1C06" w14:textId="77777777" w:rsidR="00C3036D" w:rsidRPr="00FA3F9C" w:rsidRDefault="00C3036D" w:rsidP="00D82B6E">
            <w:pPr>
              <w:rPr>
                <w:rFonts w:ascii="Arial" w:hAnsi="Arial" w:cs="Arial"/>
                <w:sz w:val="24"/>
                <w:szCs w:val="24"/>
                <w:u w:val="single"/>
              </w:rPr>
            </w:pPr>
            <w:r w:rsidRPr="00FA3F9C">
              <w:rPr>
                <w:rFonts w:ascii="Arial" w:hAnsi="Arial" w:cs="Arial"/>
                <w:sz w:val="24"/>
                <w:szCs w:val="24"/>
                <w:u w:val="single"/>
              </w:rPr>
              <w:t>Pomalidomide + dexamethasone</w:t>
            </w:r>
          </w:p>
          <w:p w14:paraId="4C9EFF80" w14:textId="77777777" w:rsidR="00C3036D" w:rsidRPr="00FA3F9C" w:rsidRDefault="00C3036D" w:rsidP="00D82B6E">
            <w:pPr>
              <w:rPr>
                <w:rFonts w:ascii="Arial" w:hAnsi="Arial" w:cs="Arial"/>
                <w:sz w:val="24"/>
                <w:szCs w:val="24"/>
              </w:rPr>
            </w:pPr>
            <w:proofErr w:type="spellStart"/>
            <w:r w:rsidRPr="00FA3F9C">
              <w:rPr>
                <w:rFonts w:ascii="Arial" w:hAnsi="Arial" w:cs="Arial"/>
                <w:sz w:val="24"/>
                <w:szCs w:val="24"/>
              </w:rPr>
              <w:t>Pomalidomide+low</w:t>
            </w:r>
            <w:proofErr w:type="spellEnd"/>
            <w:r w:rsidRPr="00FA3F9C">
              <w:rPr>
                <w:rFonts w:ascii="Arial" w:hAnsi="Arial" w:cs="Arial"/>
                <w:sz w:val="24"/>
                <w:szCs w:val="24"/>
              </w:rPr>
              <w:t xml:space="preserve"> dose dexamethasone (40 mg weekly) was compared to high-dose dexamethasone (40 mg daily, 4 days on, 4 days off) in patients with relapsed/refractory multiple myeloma. Most patients had received at least 3 prior lines of therapy. Pom/</w:t>
            </w:r>
            <w:proofErr w:type="spellStart"/>
            <w:r w:rsidRPr="00FA3F9C">
              <w:rPr>
                <w:rFonts w:ascii="Arial" w:hAnsi="Arial" w:cs="Arial"/>
                <w:sz w:val="24"/>
                <w:szCs w:val="24"/>
              </w:rPr>
              <w:t>dex</w:t>
            </w:r>
            <w:proofErr w:type="spellEnd"/>
            <w:r w:rsidRPr="00FA3F9C">
              <w:rPr>
                <w:rFonts w:ascii="Arial" w:hAnsi="Arial" w:cs="Arial"/>
                <w:sz w:val="24"/>
                <w:szCs w:val="24"/>
              </w:rPr>
              <w:t xml:space="preserve"> improved overall survival compared to </w:t>
            </w:r>
            <w:proofErr w:type="spellStart"/>
            <w:r w:rsidRPr="00FA3F9C">
              <w:rPr>
                <w:rFonts w:ascii="Arial" w:hAnsi="Arial" w:cs="Arial"/>
                <w:sz w:val="24"/>
                <w:szCs w:val="24"/>
              </w:rPr>
              <w:t>dex</w:t>
            </w:r>
            <w:proofErr w:type="spellEnd"/>
            <w:r w:rsidRPr="00FA3F9C">
              <w:rPr>
                <w:rFonts w:ascii="Arial" w:hAnsi="Arial" w:cs="Arial"/>
                <w:sz w:val="24"/>
                <w:szCs w:val="24"/>
              </w:rPr>
              <w:t xml:space="preserve"> alone (median 13.1 </w:t>
            </w:r>
            <w:proofErr w:type="spellStart"/>
            <w:r w:rsidRPr="00FA3F9C">
              <w:rPr>
                <w:rFonts w:ascii="Arial" w:hAnsi="Arial" w:cs="Arial"/>
                <w:sz w:val="24"/>
                <w:szCs w:val="24"/>
              </w:rPr>
              <w:t>mo</w:t>
            </w:r>
            <w:proofErr w:type="spellEnd"/>
            <w:r w:rsidRPr="00FA3F9C">
              <w:rPr>
                <w:rFonts w:ascii="Arial" w:hAnsi="Arial" w:cs="Arial"/>
                <w:sz w:val="24"/>
                <w:szCs w:val="24"/>
              </w:rPr>
              <w:t xml:space="preserve"> vs 8.1 </w:t>
            </w:r>
            <w:proofErr w:type="spellStart"/>
            <w:r w:rsidRPr="00FA3F9C">
              <w:rPr>
                <w:rFonts w:ascii="Arial" w:hAnsi="Arial" w:cs="Arial"/>
                <w:sz w:val="24"/>
                <w:szCs w:val="24"/>
              </w:rPr>
              <w:t>mo</w:t>
            </w:r>
            <w:proofErr w:type="spellEnd"/>
            <w:r w:rsidRPr="00FA3F9C">
              <w:rPr>
                <w:rFonts w:ascii="Arial" w:hAnsi="Arial" w:cs="Arial"/>
                <w:sz w:val="24"/>
                <w:szCs w:val="24"/>
              </w:rPr>
              <w:t xml:space="preserve">). </w:t>
            </w:r>
            <w:r w:rsidRPr="00FA3F9C">
              <w:rPr>
                <w:rFonts w:ascii="Arial" w:hAnsi="Arial" w:cs="Arial"/>
                <w:sz w:val="24"/>
                <w:szCs w:val="24"/>
                <w:vertAlign w:val="superscript"/>
              </w:rPr>
              <w:t>1,2</w:t>
            </w:r>
          </w:p>
          <w:p w14:paraId="0ABCABF1" w14:textId="77777777" w:rsidR="00C3036D" w:rsidRPr="00FA3F9C" w:rsidRDefault="00C3036D" w:rsidP="00D82B6E">
            <w:pPr>
              <w:rPr>
                <w:rFonts w:ascii="Arial" w:hAnsi="Arial" w:cs="Arial"/>
                <w:sz w:val="24"/>
                <w:szCs w:val="24"/>
              </w:rPr>
            </w:pPr>
          </w:p>
          <w:p w14:paraId="031CF93F" w14:textId="77777777" w:rsidR="00C3036D" w:rsidRPr="00FA3F9C" w:rsidRDefault="00C3036D" w:rsidP="00D82B6E">
            <w:pPr>
              <w:rPr>
                <w:rFonts w:ascii="Arial" w:hAnsi="Arial" w:cs="Arial"/>
                <w:sz w:val="24"/>
                <w:szCs w:val="24"/>
                <w:u w:val="single"/>
              </w:rPr>
            </w:pPr>
            <w:proofErr w:type="spellStart"/>
            <w:r w:rsidRPr="00FA3F9C">
              <w:rPr>
                <w:rFonts w:ascii="Arial" w:hAnsi="Arial" w:cs="Arial"/>
                <w:sz w:val="24"/>
                <w:szCs w:val="24"/>
                <w:u w:val="single"/>
              </w:rPr>
              <w:t>Isatuximab</w:t>
            </w:r>
            <w:proofErr w:type="spellEnd"/>
            <w:r w:rsidRPr="00FA3F9C">
              <w:rPr>
                <w:rFonts w:ascii="Arial" w:hAnsi="Arial" w:cs="Arial"/>
                <w:sz w:val="24"/>
                <w:szCs w:val="24"/>
                <w:u w:val="single"/>
              </w:rPr>
              <w:t xml:space="preserve"> + pomalidomide + dexamethasone </w:t>
            </w:r>
          </w:p>
          <w:p w14:paraId="09929E50" w14:textId="77777777" w:rsidR="00C3036D" w:rsidRPr="00FA3F9C" w:rsidRDefault="00C3036D" w:rsidP="00E6182C">
            <w:pPr>
              <w:rPr>
                <w:rFonts w:ascii="Arial" w:hAnsi="Arial" w:cs="Arial"/>
                <w:sz w:val="24"/>
                <w:szCs w:val="24"/>
              </w:rPr>
            </w:pPr>
            <w:r w:rsidRPr="00FA3F9C">
              <w:rPr>
                <w:rFonts w:ascii="Arial" w:hAnsi="Arial" w:cs="Arial"/>
                <w:sz w:val="24"/>
                <w:szCs w:val="24"/>
              </w:rPr>
              <w:t xml:space="preserve">This combination was compared to pomalidomide/dexamethasone in patients who were previously treated with at least two prior therapies including lenalidomide and a proteasome inhibitor. The triplet therapy improved progression free survival (median 11.53 </w:t>
            </w:r>
            <w:proofErr w:type="spellStart"/>
            <w:r w:rsidRPr="00FA3F9C">
              <w:rPr>
                <w:rFonts w:ascii="Arial" w:hAnsi="Arial" w:cs="Arial"/>
                <w:sz w:val="24"/>
                <w:szCs w:val="24"/>
              </w:rPr>
              <w:t>mo</w:t>
            </w:r>
            <w:proofErr w:type="spellEnd"/>
            <w:r w:rsidRPr="00FA3F9C">
              <w:rPr>
                <w:rFonts w:ascii="Arial" w:hAnsi="Arial" w:cs="Arial"/>
                <w:sz w:val="24"/>
                <w:szCs w:val="24"/>
              </w:rPr>
              <w:t xml:space="preserve"> vs 6.47 </w:t>
            </w:r>
            <w:proofErr w:type="spellStart"/>
            <w:r w:rsidRPr="00FA3F9C">
              <w:rPr>
                <w:rFonts w:ascii="Arial" w:hAnsi="Arial" w:cs="Arial"/>
                <w:sz w:val="24"/>
                <w:szCs w:val="24"/>
              </w:rPr>
              <w:t>mo</w:t>
            </w:r>
            <w:proofErr w:type="spellEnd"/>
            <w:r w:rsidRPr="00FA3F9C">
              <w:rPr>
                <w:rFonts w:ascii="Arial" w:hAnsi="Arial" w:cs="Arial"/>
                <w:sz w:val="24"/>
                <w:szCs w:val="24"/>
              </w:rPr>
              <w:t xml:space="preserve">). In the overall population, a statistically significant overall survival benefit has not been demonstrated at this time. However, in the subset of patients who were age </w:t>
            </w:r>
            <w:r w:rsidRPr="00FA3F9C">
              <w:rPr>
                <w:rFonts w:ascii="Arial" w:hAnsi="Arial" w:cs="Arial"/>
                <w:sz w:val="24"/>
                <w:szCs w:val="24"/>
                <w:u w:val="single"/>
              </w:rPr>
              <w:t>&gt;</w:t>
            </w:r>
            <w:r w:rsidRPr="00FA3F9C">
              <w:rPr>
                <w:rFonts w:ascii="Arial" w:hAnsi="Arial" w:cs="Arial"/>
                <w:sz w:val="24"/>
                <w:szCs w:val="24"/>
              </w:rPr>
              <w:t xml:space="preserve">75 y, a statistically significant improvement in overall survival was demonstrated (median not reached in triplet group versus 10.25 </w:t>
            </w:r>
            <w:proofErr w:type="spellStart"/>
            <w:r w:rsidRPr="00FA3F9C">
              <w:rPr>
                <w:rFonts w:ascii="Arial" w:hAnsi="Arial" w:cs="Arial"/>
                <w:sz w:val="24"/>
                <w:szCs w:val="24"/>
              </w:rPr>
              <w:t>mo</w:t>
            </w:r>
            <w:proofErr w:type="spellEnd"/>
            <w:r w:rsidRPr="00FA3F9C">
              <w:rPr>
                <w:rFonts w:ascii="Arial" w:hAnsi="Arial" w:cs="Arial"/>
                <w:sz w:val="24"/>
                <w:szCs w:val="24"/>
              </w:rPr>
              <w:t xml:space="preserve"> in the control group (HR 0.404 95% CI 0.171- 0.956).</w:t>
            </w:r>
            <w:r w:rsidRPr="00FA3F9C">
              <w:rPr>
                <w:rFonts w:ascii="Arial" w:hAnsi="Arial" w:cs="Arial"/>
                <w:sz w:val="24"/>
                <w:szCs w:val="24"/>
                <w:vertAlign w:val="superscript"/>
              </w:rPr>
              <w:t>3,4</w:t>
            </w:r>
          </w:p>
          <w:p w14:paraId="58D00DEC" w14:textId="77777777" w:rsidR="00C3036D" w:rsidRPr="00FA3F9C" w:rsidRDefault="00C3036D" w:rsidP="00D82B6E">
            <w:pPr>
              <w:rPr>
                <w:rFonts w:ascii="Arial" w:hAnsi="Arial" w:cs="Arial"/>
                <w:sz w:val="24"/>
                <w:szCs w:val="24"/>
              </w:rPr>
            </w:pPr>
          </w:p>
          <w:p w14:paraId="40B303AC" w14:textId="77777777" w:rsidR="00C3036D" w:rsidRPr="00FA3F9C" w:rsidRDefault="00C3036D" w:rsidP="00D55936">
            <w:pPr>
              <w:rPr>
                <w:rFonts w:ascii="Arial" w:hAnsi="Arial" w:cs="Arial"/>
                <w:sz w:val="24"/>
                <w:szCs w:val="24"/>
              </w:rPr>
            </w:pPr>
          </w:p>
          <w:p w14:paraId="2EA0AC16" w14:textId="77777777" w:rsidR="00C3036D" w:rsidRPr="00FA3F9C" w:rsidRDefault="00C3036D" w:rsidP="00D55936">
            <w:pPr>
              <w:rPr>
                <w:rFonts w:ascii="Arial" w:hAnsi="Arial" w:cs="Arial"/>
                <w:sz w:val="24"/>
                <w:szCs w:val="24"/>
              </w:rPr>
            </w:pPr>
            <w:r w:rsidRPr="00FA3F9C">
              <w:rPr>
                <w:rFonts w:ascii="Arial" w:hAnsi="Arial" w:cs="Arial"/>
                <w:sz w:val="24"/>
                <w:szCs w:val="24"/>
              </w:rPr>
              <w:t xml:space="preserve">Dose: </w:t>
            </w:r>
          </w:p>
          <w:p w14:paraId="64F69039" w14:textId="77777777" w:rsidR="00C3036D" w:rsidRPr="00FA3F9C" w:rsidRDefault="00C3036D" w:rsidP="00D55936">
            <w:pPr>
              <w:rPr>
                <w:rFonts w:ascii="Arial" w:hAnsi="Arial" w:cs="Arial"/>
                <w:sz w:val="24"/>
                <w:szCs w:val="24"/>
              </w:rPr>
            </w:pPr>
            <w:r w:rsidRPr="00FA3F9C">
              <w:rPr>
                <w:rFonts w:ascii="Arial" w:hAnsi="Arial" w:cs="Arial"/>
                <w:sz w:val="24"/>
                <w:szCs w:val="24"/>
              </w:rPr>
              <w:t>4 mg PO daily x 21 days, then take 7 days off. Treatment is continued until progression of disease or unacceptable toxicity.</w:t>
            </w:r>
          </w:p>
          <w:p w14:paraId="6207B871" w14:textId="77777777" w:rsidR="00C3036D" w:rsidRPr="00FA3F9C" w:rsidRDefault="00C3036D" w:rsidP="00D55936">
            <w:pPr>
              <w:rPr>
                <w:rFonts w:ascii="Arial" w:hAnsi="Arial" w:cs="Arial"/>
                <w:sz w:val="24"/>
                <w:szCs w:val="24"/>
              </w:rPr>
            </w:pPr>
          </w:p>
          <w:p w14:paraId="5D3BA9CE" w14:textId="77777777" w:rsidR="00C3036D" w:rsidRPr="00FA3F9C" w:rsidRDefault="00C3036D" w:rsidP="00D55936">
            <w:pPr>
              <w:rPr>
                <w:rFonts w:ascii="Arial" w:hAnsi="Arial" w:cs="Arial"/>
                <w:sz w:val="24"/>
                <w:szCs w:val="24"/>
              </w:rPr>
            </w:pPr>
            <w:r w:rsidRPr="00FA3F9C">
              <w:rPr>
                <w:rFonts w:ascii="Arial" w:hAnsi="Arial" w:cs="Arial"/>
                <w:sz w:val="24"/>
                <w:szCs w:val="24"/>
              </w:rPr>
              <w:t>References:</w:t>
            </w:r>
          </w:p>
          <w:p w14:paraId="54EE2D1C" w14:textId="77777777" w:rsidR="00C3036D" w:rsidRPr="00FA3F9C" w:rsidRDefault="00C3036D" w:rsidP="00C3036D">
            <w:pPr>
              <w:pStyle w:val="ListParagraph"/>
              <w:numPr>
                <w:ilvl w:val="0"/>
                <w:numId w:val="282"/>
              </w:numPr>
              <w:spacing w:after="160" w:line="259" w:lineRule="auto"/>
              <w:rPr>
                <w:rFonts w:ascii="Arial" w:hAnsi="Arial" w:cs="Arial"/>
                <w:sz w:val="24"/>
                <w:szCs w:val="24"/>
              </w:rPr>
            </w:pPr>
            <w:r w:rsidRPr="00FA3F9C">
              <w:rPr>
                <w:rFonts w:ascii="Arial" w:hAnsi="Arial" w:cs="Arial"/>
                <w:sz w:val="24"/>
                <w:szCs w:val="24"/>
              </w:rPr>
              <w:t xml:space="preserve">San Miguel JF et al. Impact of prior treatment and depth of response on survival in </w:t>
            </w:r>
            <w:r w:rsidRPr="00FA3F9C">
              <w:rPr>
                <w:rFonts w:ascii="Arial" w:hAnsi="Arial" w:cs="Arial"/>
                <w:sz w:val="24"/>
                <w:szCs w:val="24"/>
                <w:u w:val="single"/>
              </w:rPr>
              <w:t>MM-003</w:t>
            </w:r>
            <w:r w:rsidRPr="00FA3F9C">
              <w:rPr>
                <w:rFonts w:ascii="Arial" w:hAnsi="Arial" w:cs="Arial"/>
                <w:sz w:val="24"/>
                <w:szCs w:val="24"/>
              </w:rPr>
              <w:t xml:space="preserve">, a randomized phase 3 study comparing pomalidomide plus low-dose dexamethasone versus high-dose dexamethasone in relapsed/refractory multiple myeloma. </w:t>
            </w:r>
            <w:proofErr w:type="spellStart"/>
            <w:r w:rsidRPr="00FA3F9C">
              <w:rPr>
                <w:rFonts w:ascii="Arial" w:hAnsi="Arial" w:cs="Arial"/>
                <w:sz w:val="24"/>
                <w:szCs w:val="24"/>
              </w:rPr>
              <w:t>Haematologica</w:t>
            </w:r>
            <w:proofErr w:type="spellEnd"/>
            <w:r w:rsidRPr="00FA3F9C">
              <w:rPr>
                <w:rFonts w:ascii="Arial" w:hAnsi="Arial" w:cs="Arial"/>
                <w:sz w:val="24"/>
                <w:szCs w:val="24"/>
              </w:rPr>
              <w:t>. 2015 Oct;100(10):1334-9. PMID 26160879 NCT01311687</w:t>
            </w:r>
          </w:p>
          <w:p w14:paraId="50456CE1" w14:textId="77777777" w:rsidR="00C3036D" w:rsidRPr="00FA3F9C" w:rsidRDefault="00C3036D" w:rsidP="00C3036D">
            <w:pPr>
              <w:pStyle w:val="ListParagraph"/>
              <w:numPr>
                <w:ilvl w:val="0"/>
                <w:numId w:val="282"/>
              </w:numPr>
              <w:spacing w:after="160" w:line="259" w:lineRule="auto"/>
              <w:rPr>
                <w:rFonts w:ascii="Arial" w:hAnsi="Arial" w:cs="Arial"/>
                <w:sz w:val="24"/>
                <w:szCs w:val="24"/>
              </w:rPr>
            </w:pPr>
            <w:r w:rsidRPr="00FA3F9C">
              <w:rPr>
                <w:rFonts w:ascii="Arial" w:hAnsi="Arial" w:cs="Arial"/>
                <w:sz w:val="24"/>
                <w:szCs w:val="24"/>
              </w:rPr>
              <w:t xml:space="preserve">Miguel JS et al. Pomalidomide plus low-dose dexamethasone versus high-dose dexamethasone alone for patients with relapsed and refractory multiple myeloma (MM-003): a </w:t>
            </w:r>
            <w:proofErr w:type="spellStart"/>
            <w:r w:rsidRPr="00FA3F9C">
              <w:rPr>
                <w:rFonts w:ascii="Arial" w:hAnsi="Arial" w:cs="Arial"/>
                <w:sz w:val="24"/>
                <w:szCs w:val="24"/>
              </w:rPr>
              <w:t>randomised</w:t>
            </w:r>
            <w:proofErr w:type="spellEnd"/>
            <w:r w:rsidRPr="00FA3F9C">
              <w:rPr>
                <w:rFonts w:ascii="Arial" w:hAnsi="Arial" w:cs="Arial"/>
                <w:sz w:val="24"/>
                <w:szCs w:val="24"/>
              </w:rPr>
              <w:t>, open-label, phase 3 trial. Lancet Oncol. 2013 Oct;14(11):1055-1066. PMID 24007748 NCT01311687</w:t>
            </w:r>
          </w:p>
          <w:p w14:paraId="126EC830" w14:textId="77777777" w:rsidR="00C3036D" w:rsidRPr="00FA3F9C" w:rsidRDefault="00C3036D" w:rsidP="00C3036D">
            <w:pPr>
              <w:pStyle w:val="ListParagraph"/>
              <w:numPr>
                <w:ilvl w:val="0"/>
                <w:numId w:val="282"/>
              </w:numPr>
              <w:spacing w:after="160" w:line="259" w:lineRule="auto"/>
              <w:rPr>
                <w:rFonts w:ascii="Arial" w:hAnsi="Arial" w:cs="Arial"/>
                <w:sz w:val="24"/>
                <w:szCs w:val="24"/>
              </w:rPr>
            </w:pPr>
            <w:r w:rsidRPr="00FA3F9C">
              <w:rPr>
                <w:rFonts w:ascii="Arial" w:hAnsi="Arial" w:cs="Arial"/>
                <w:sz w:val="24"/>
                <w:szCs w:val="24"/>
              </w:rPr>
              <w:t xml:space="preserve">Attal M et al. </w:t>
            </w:r>
            <w:proofErr w:type="spellStart"/>
            <w:r w:rsidRPr="00FA3F9C">
              <w:rPr>
                <w:rFonts w:ascii="Arial" w:hAnsi="Arial" w:cs="Arial"/>
                <w:sz w:val="24"/>
                <w:szCs w:val="24"/>
              </w:rPr>
              <w:t>Isatuximab</w:t>
            </w:r>
            <w:proofErr w:type="spellEnd"/>
            <w:r w:rsidRPr="00FA3F9C">
              <w:rPr>
                <w:rFonts w:ascii="Arial" w:hAnsi="Arial" w:cs="Arial"/>
                <w:sz w:val="24"/>
                <w:szCs w:val="24"/>
              </w:rPr>
              <w:t xml:space="preserve"> plus pomalidomide and low-dose dexamethasone versus pomalidomide and low-dose dexamethasone in patients with relapsed and refractory multiple myeloma (ICARIA-MM): a </w:t>
            </w:r>
            <w:proofErr w:type="spellStart"/>
            <w:r w:rsidRPr="00FA3F9C">
              <w:rPr>
                <w:rFonts w:ascii="Arial" w:hAnsi="Arial" w:cs="Arial"/>
                <w:sz w:val="24"/>
                <w:szCs w:val="24"/>
              </w:rPr>
              <w:t>randomised</w:t>
            </w:r>
            <w:proofErr w:type="spellEnd"/>
            <w:r w:rsidRPr="00FA3F9C">
              <w:rPr>
                <w:rFonts w:ascii="Arial" w:hAnsi="Arial" w:cs="Arial"/>
                <w:sz w:val="24"/>
                <w:szCs w:val="24"/>
              </w:rPr>
              <w:t xml:space="preserve">, </w:t>
            </w:r>
            <w:proofErr w:type="spellStart"/>
            <w:r w:rsidRPr="00FA3F9C">
              <w:rPr>
                <w:rFonts w:ascii="Arial" w:hAnsi="Arial" w:cs="Arial"/>
                <w:sz w:val="24"/>
                <w:szCs w:val="24"/>
              </w:rPr>
              <w:t>multicentre</w:t>
            </w:r>
            <w:proofErr w:type="spellEnd"/>
            <w:r w:rsidRPr="00FA3F9C">
              <w:rPr>
                <w:rFonts w:ascii="Arial" w:hAnsi="Arial" w:cs="Arial"/>
                <w:sz w:val="24"/>
                <w:szCs w:val="24"/>
              </w:rPr>
              <w:t xml:space="preserve">, open-label, phase 3 study. Lancet. 2019 Dec 7;394(10214):2096-2107. </w:t>
            </w:r>
            <w:proofErr w:type="spellStart"/>
            <w:r w:rsidRPr="00FA3F9C">
              <w:rPr>
                <w:rFonts w:ascii="Arial" w:hAnsi="Arial" w:cs="Arial"/>
                <w:sz w:val="24"/>
                <w:szCs w:val="24"/>
              </w:rPr>
              <w:t>doi</w:t>
            </w:r>
            <w:proofErr w:type="spellEnd"/>
            <w:r w:rsidRPr="00FA3F9C">
              <w:rPr>
                <w:rFonts w:ascii="Arial" w:hAnsi="Arial" w:cs="Arial"/>
                <w:sz w:val="24"/>
                <w:szCs w:val="24"/>
              </w:rPr>
              <w:t xml:space="preserve">: 10.1016/S0140-6736(19)32556-5. </w:t>
            </w:r>
            <w:proofErr w:type="spellStart"/>
            <w:r w:rsidRPr="00FA3F9C">
              <w:rPr>
                <w:rFonts w:ascii="Arial" w:hAnsi="Arial" w:cs="Arial"/>
                <w:sz w:val="24"/>
                <w:szCs w:val="24"/>
              </w:rPr>
              <w:t>Epub</w:t>
            </w:r>
            <w:proofErr w:type="spellEnd"/>
            <w:r w:rsidRPr="00FA3F9C">
              <w:rPr>
                <w:rFonts w:ascii="Arial" w:hAnsi="Arial" w:cs="Arial"/>
                <w:sz w:val="24"/>
                <w:szCs w:val="24"/>
              </w:rPr>
              <w:t xml:space="preserve"> 2019 Nov 14. PMID 31735560 NCT02990338</w:t>
            </w:r>
          </w:p>
          <w:p w14:paraId="3F0281C0" w14:textId="77777777" w:rsidR="00C3036D" w:rsidRPr="00FA3F9C" w:rsidRDefault="00C3036D" w:rsidP="00C3036D">
            <w:pPr>
              <w:pStyle w:val="ListParagraph"/>
              <w:numPr>
                <w:ilvl w:val="0"/>
                <w:numId w:val="282"/>
              </w:numPr>
              <w:rPr>
                <w:rFonts w:ascii="Arial" w:hAnsi="Arial" w:cs="Arial"/>
                <w:sz w:val="24"/>
                <w:szCs w:val="24"/>
              </w:rPr>
            </w:pPr>
            <w:proofErr w:type="spellStart"/>
            <w:r w:rsidRPr="00FA3F9C">
              <w:rPr>
                <w:rFonts w:ascii="Arial" w:hAnsi="Arial" w:cs="Arial"/>
                <w:sz w:val="24"/>
                <w:szCs w:val="24"/>
              </w:rPr>
              <w:t>Schjesvold</w:t>
            </w:r>
            <w:proofErr w:type="spellEnd"/>
            <w:r w:rsidRPr="00FA3F9C">
              <w:rPr>
                <w:rFonts w:ascii="Arial" w:hAnsi="Arial" w:cs="Arial"/>
                <w:sz w:val="24"/>
                <w:szCs w:val="24"/>
              </w:rPr>
              <w:t xml:space="preserve"> FH et al. Efficacy of </w:t>
            </w:r>
            <w:proofErr w:type="spellStart"/>
            <w:r w:rsidRPr="00FA3F9C">
              <w:rPr>
                <w:rFonts w:ascii="Arial" w:hAnsi="Arial" w:cs="Arial"/>
                <w:sz w:val="24"/>
                <w:szCs w:val="24"/>
              </w:rPr>
              <w:t>Isatuximab</w:t>
            </w:r>
            <w:proofErr w:type="spellEnd"/>
            <w:r w:rsidRPr="00FA3F9C">
              <w:rPr>
                <w:rFonts w:ascii="Arial" w:hAnsi="Arial" w:cs="Arial"/>
                <w:sz w:val="24"/>
                <w:szCs w:val="24"/>
              </w:rPr>
              <w:t xml:space="preserve"> with Pomalidomide and Dexamethasone in Elderly Patients with Relapsed/Refractory Multiple Myeloma: Icaria-MM Subgroup Analysis. Blood (2019) 134 (Supplement_1): 1893. https://ashpublications.org/blood/article/134/Supplement_1/1893/427649/Efficacy-of-Isatuximab-with-Pomalidomide-and</w:t>
            </w:r>
          </w:p>
        </w:tc>
      </w:tr>
    </w:tbl>
    <w:p w14:paraId="367850E4" w14:textId="77777777" w:rsidR="00C3036D" w:rsidRPr="00FA3F9C" w:rsidRDefault="00C3036D" w:rsidP="006F623F">
      <w:pPr>
        <w:spacing w:after="0"/>
        <w:rPr>
          <w:rFonts w:ascii="Arial" w:hAnsi="Arial" w:cs="Arial"/>
          <w:sz w:val="24"/>
          <w:szCs w:val="24"/>
        </w:rPr>
      </w:pPr>
      <w:r w:rsidRPr="00FA3F9C">
        <w:rPr>
          <w:rFonts w:ascii="Arial" w:hAnsi="Arial" w:cs="Arial"/>
          <w:sz w:val="24"/>
          <w:szCs w:val="24"/>
        </w:rPr>
        <w:lastRenderedPageBreak/>
        <w:t>Quantity Limit: 21/28</w:t>
      </w:r>
    </w:p>
    <w:p w14:paraId="40C41DF5" w14:textId="77777777" w:rsidR="00C3036D" w:rsidRPr="00FA3F9C" w:rsidRDefault="00C3036D"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418"/>
        <w:gridCol w:w="7470"/>
        <w:gridCol w:w="2538"/>
      </w:tblGrid>
      <w:tr w:rsidR="00C3036D" w:rsidRPr="00FA3F9C" w14:paraId="0D824D10" w14:textId="77777777" w:rsidTr="00353666">
        <w:tc>
          <w:tcPr>
            <w:tcW w:w="1167" w:type="dxa"/>
          </w:tcPr>
          <w:p w14:paraId="3EBE25C2" w14:textId="77777777" w:rsidR="00C3036D" w:rsidRPr="00FA3F9C" w:rsidRDefault="00C3036D" w:rsidP="006F623F">
            <w:pPr>
              <w:rPr>
                <w:rFonts w:ascii="Arial" w:hAnsi="Arial" w:cs="Arial"/>
                <w:sz w:val="24"/>
                <w:szCs w:val="24"/>
              </w:rPr>
            </w:pPr>
            <w:r w:rsidRPr="00FA3F9C">
              <w:rPr>
                <w:rFonts w:ascii="Arial" w:hAnsi="Arial" w:cs="Arial"/>
                <w:sz w:val="24"/>
                <w:szCs w:val="24"/>
              </w:rPr>
              <w:t>Date</w:t>
            </w:r>
          </w:p>
        </w:tc>
        <w:tc>
          <w:tcPr>
            <w:tcW w:w="7340" w:type="dxa"/>
          </w:tcPr>
          <w:p w14:paraId="1FBB5094" w14:textId="77777777" w:rsidR="00C3036D" w:rsidRPr="00FA3F9C" w:rsidRDefault="00C3036D" w:rsidP="006F623F">
            <w:pPr>
              <w:rPr>
                <w:rFonts w:ascii="Arial" w:hAnsi="Arial" w:cs="Arial"/>
                <w:sz w:val="24"/>
                <w:szCs w:val="24"/>
              </w:rPr>
            </w:pPr>
            <w:r w:rsidRPr="00FA3F9C">
              <w:rPr>
                <w:rFonts w:ascii="Arial" w:hAnsi="Arial" w:cs="Arial"/>
                <w:sz w:val="24"/>
                <w:szCs w:val="24"/>
              </w:rPr>
              <w:t>What changed</w:t>
            </w:r>
          </w:p>
        </w:tc>
        <w:tc>
          <w:tcPr>
            <w:tcW w:w="2509" w:type="dxa"/>
          </w:tcPr>
          <w:p w14:paraId="700F1415" w14:textId="77777777" w:rsidR="00C3036D" w:rsidRPr="00FA3F9C" w:rsidRDefault="00C3036D" w:rsidP="006F623F">
            <w:pPr>
              <w:rPr>
                <w:rFonts w:ascii="Arial" w:hAnsi="Arial" w:cs="Arial"/>
                <w:sz w:val="24"/>
                <w:szCs w:val="24"/>
              </w:rPr>
            </w:pPr>
            <w:r w:rsidRPr="00FA3F9C">
              <w:rPr>
                <w:rFonts w:ascii="Arial" w:hAnsi="Arial" w:cs="Arial"/>
                <w:sz w:val="24"/>
                <w:szCs w:val="24"/>
              </w:rPr>
              <w:t>Pharmacist’s initials</w:t>
            </w:r>
          </w:p>
        </w:tc>
      </w:tr>
      <w:tr w:rsidR="00C3036D" w:rsidRPr="00FA3F9C" w14:paraId="4F8AAB2D" w14:textId="77777777" w:rsidTr="00FE491B">
        <w:tc>
          <w:tcPr>
            <w:tcW w:w="1008" w:type="dxa"/>
          </w:tcPr>
          <w:p w14:paraId="5AD313C9" w14:textId="77777777" w:rsidR="00C3036D" w:rsidRPr="00FA3F9C" w:rsidRDefault="00C3036D" w:rsidP="006F623F">
            <w:pPr>
              <w:rPr>
                <w:rFonts w:ascii="Arial" w:hAnsi="Arial" w:cs="Arial"/>
                <w:sz w:val="24"/>
                <w:szCs w:val="24"/>
              </w:rPr>
            </w:pPr>
            <w:r w:rsidRPr="00FA3F9C">
              <w:rPr>
                <w:rFonts w:ascii="Arial" w:hAnsi="Arial" w:cs="Arial"/>
                <w:sz w:val="24"/>
                <w:szCs w:val="24"/>
              </w:rPr>
              <w:t>8/26/19</w:t>
            </w:r>
          </w:p>
        </w:tc>
        <w:tc>
          <w:tcPr>
            <w:tcW w:w="7470" w:type="dxa"/>
          </w:tcPr>
          <w:p w14:paraId="6EAAEFF7" w14:textId="77777777" w:rsidR="00C3036D" w:rsidRPr="00FA3F9C" w:rsidRDefault="00C3036D" w:rsidP="006F623F">
            <w:pPr>
              <w:rPr>
                <w:rFonts w:ascii="Arial" w:hAnsi="Arial" w:cs="Arial"/>
                <w:sz w:val="24"/>
                <w:szCs w:val="24"/>
              </w:rPr>
            </w:pPr>
            <w:r w:rsidRPr="00FA3F9C">
              <w:rPr>
                <w:rFonts w:ascii="Arial" w:hAnsi="Arial" w:cs="Arial"/>
                <w:sz w:val="24"/>
                <w:szCs w:val="24"/>
              </w:rPr>
              <w:t>Criteria written.</w:t>
            </w:r>
          </w:p>
        </w:tc>
        <w:tc>
          <w:tcPr>
            <w:tcW w:w="2538" w:type="dxa"/>
          </w:tcPr>
          <w:p w14:paraId="2EC4D0CA" w14:textId="77777777" w:rsidR="00C3036D" w:rsidRPr="00FA3F9C" w:rsidRDefault="00C3036D" w:rsidP="006F623F">
            <w:pPr>
              <w:rPr>
                <w:rFonts w:ascii="Arial" w:hAnsi="Arial" w:cs="Arial"/>
                <w:sz w:val="24"/>
                <w:szCs w:val="24"/>
              </w:rPr>
            </w:pPr>
            <w:r w:rsidRPr="00FA3F9C">
              <w:rPr>
                <w:rFonts w:ascii="Arial" w:hAnsi="Arial" w:cs="Arial"/>
                <w:sz w:val="24"/>
                <w:szCs w:val="24"/>
              </w:rPr>
              <w:t>SK</w:t>
            </w:r>
          </w:p>
        </w:tc>
      </w:tr>
      <w:tr w:rsidR="00C3036D" w:rsidRPr="00FA3F9C" w14:paraId="52BFDD4E" w14:textId="77777777" w:rsidTr="00FE491B">
        <w:tc>
          <w:tcPr>
            <w:tcW w:w="1008" w:type="dxa"/>
          </w:tcPr>
          <w:p w14:paraId="15D5B65E" w14:textId="77777777" w:rsidR="00C3036D" w:rsidRPr="00FA3F9C" w:rsidRDefault="00C3036D" w:rsidP="006F623F">
            <w:pPr>
              <w:rPr>
                <w:rFonts w:ascii="Arial" w:hAnsi="Arial" w:cs="Arial"/>
                <w:sz w:val="24"/>
                <w:szCs w:val="24"/>
              </w:rPr>
            </w:pPr>
            <w:r w:rsidRPr="00FA3F9C">
              <w:rPr>
                <w:rFonts w:ascii="Arial" w:hAnsi="Arial" w:cs="Arial"/>
                <w:sz w:val="24"/>
                <w:szCs w:val="24"/>
              </w:rPr>
              <w:t>4/27/2020</w:t>
            </w:r>
          </w:p>
        </w:tc>
        <w:tc>
          <w:tcPr>
            <w:tcW w:w="7470" w:type="dxa"/>
          </w:tcPr>
          <w:p w14:paraId="42C1DF88" w14:textId="77777777" w:rsidR="00C3036D" w:rsidRPr="00FA3F9C" w:rsidRDefault="00C3036D" w:rsidP="006F623F">
            <w:pPr>
              <w:rPr>
                <w:rFonts w:ascii="Arial" w:hAnsi="Arial" w:cs="Arial"/>
                <w:sz w:val="24"/>
                <w:szCs w:val="24"/>
              </w:rPr>
            </w:pPr>
            <w:r w:rsidRPr="00FA3F9C">
              <w:rPr>
                <w:rFonts w:ascii="Arial" w:hAnsi="Arial" w:cs="Arial"/>
                <w:sz w:val="24"/>
                <w:szCs w:val="24"/>
              </w:rPr>
              <w:t xml:space="preserve">Updated approved indications to include the </w:t>
            </w:r>
            <w:proofErr w:type="spellStart"/>
            <w:r w:rsidRPr="00FA3F9C">
              <w:rPr>
                <w:rFonts w:ascii="Arial" w:hAnsi="Arial" w:cs="Arial"/>
                <w:sz w:val="24"/>
                <w:szCs w:val="24"/>
              </w:rPr>
              <w:t>isatuximab</w:t>
            </w:r>
            <w:proofErr w:type="spellEnd"/>
            <w:r w:rsidRPr="00FA3F9C">
              <w:rPr>
                <w:rFonts w:ascii="Arial" w:hAnsi="Arial" w:cs="Arial"/>
                <w:sz w:val="24"/>
                <w:szCs w:val="24"/>
              </w:rPr>
              <w:t>/pom/</w:t>
            </w:r>
            <w:proofErr w:type="spellStart"/>
            <w:r w:rsidRPr="00FA3F9C">
              <w:rPr>
                <w:rFonts w:ascii="Arial" w:hAnsi="Arial" w:cs="Arial"/>
                <w:sz w:val="24"/>
                <w:szCs w:val="24"/>
              </w:rPr>
              <w:t>dex</w:t>
            </w:r>
            <w:proofErr w:type="spellEnd"/>
            <w:r w:rsidRPr="00FA3F9C">
              <w:rPr>
                <w:rFonts w:ascii="Arial" w:hAnsi="Arial" w:cs="Arial"/>
                <w:sz w:val="24"/>
                <w:szCs w:val="24"/>
              </w:rPr>
              <w:t xml:space="preserve"> indication (not covered)—see above for rationale.</w:t>
            </w:r>
          </w:p>
        </w:tc>
        <w:tc>
          <w:tcPr>
            <w:tcW w:w="2538" w:type="dxa"/>
          </w:tcPr>
          <w:p w14:paraId="22A944C4" w14:textId="77777777" w:rsidR="00C3036D" w:rsidRPr="00FA3F9C" w:rsidRDefault="00C3036D" w:rsidP="006F623F">
            <w:pPr>
              <w:rPr>
                <w:rFonts w:ascii="Arial" w:hAnsi="Arial" w:cs="Arial"/>
                <w:sz w:val="24"/>
                <w:szCs w:val="24"/>
              </w:rPr>
            </w:pPr>
            <w:r w:rsidRPr="00FA3F9C">
              <w:rPr>
                <w:rFonts w:ascii="Arial" w:hAnsi="Arial" w:cs="Arial"/>
                <w:sz w:val="24"/>
                <w:szCs w:val="24"/>
              </w:rPr>
              <w:t>SK</w:t>
            </w:r>
          </w:p>
        </w:tc>
      </w:tr>
      <w:tr w:rsidR="00C3036D" w:rsidRPr="00FA3F9C" w14:paraId="26539631" w14:textId="77777777" w:rsidTr="00FE491B">
        <w:tc>
          <w:tcPr>
            <w:tcW w:w="1008" w:type="dxa"/>
          </w:tcPr>
          <w:p w14:paraId="2599EBD4" w14:textId="77777777" w:rsidR="00C3036D" w:rsidRPr="00FA3F9C" w:rsidRDefault="00C3036D" w:rsidP="00353666">
            <w:pPr>
              <w:rPr>
                <w:rFonts w:ascii="Arial" w:hAnsi="Arial" w:cs="Arial"/>
                <w:sz w:val="24"/>
                <w:szCs w:val="24"/>
              </w:rPr>
            </w:pPr>
            <w:r w:rsidRPr="00FA3F9C">
              <w:rPr>
                <w:rFonts w:ascii="Arial" w:hAnsi="Arial" w:cs="Arial"/>
                <w:sz w:val="24"/>
                <w:szCs w:val="24"/>
              </w:rPr>
              <w:t>6/5/2020</w:t>
            </w:r>
          </w:p>
        </w:tc>
        <w:tc>
          <w:tcPr>
            <w:tcW w:w="7470" w:type="dxa"/>
          </w:tcPr>
          <w:p w14:paraId="1CF8EC79" w14:textId="77777777" w:rsidR="00C3036D" w:rsidRPr="00FA3F9C" w:rsidRDefault="00C3036D" w:rsidP="00353666">
            <w:pPr>
              <w:rPr>
                <w:rFonts w:ascii="Arial" w:hAnsi="Arial" w:cs="Arial"/>
                <w:sz w:val="24"/>
                <w:szCs w:val="24"/>
              </w:rPr>
            </w:pPr>
            <w:r w:rsidRPr="00FA3F9C">
              <w:rPr>
                <w:rFonts w:ascii="Arial" w:hAnsi="Arial" w:cs="Arial"/>
                <w:sz w:val="24"/>
                <w:szCs w:val="24"/>
              </w:rPr>
              <w:t>Added new FDA indication (Kaposi’s sarcoma). Not covered.</w:t>
            </w:r>
          </w:p>
        </w:tc>
        <w:tc>
          <w:tcPr>
            <w:tcW w:w="2538" w:type="dxa"/>
          </w:tcPr>
          <w:p w14:paraId="1494AA3D" w14:textId="77777777" w:rsidR="00C3036D" w:rsidRPr="00FA3F9C" w:rsidRDefault="00C3036D" w:rsidP="00353666">
            <w:pPr>
              <w:rPr>
                <w:rFonts w:ascii="Arial" w:hAnsi="Arial" w:cs="Arial"/>
                <w:sz w:val="24"/>
                <w:szCs w:val="24"/>
              </w:rPr>
            </w:pPr>
            <w:r w:rsidRPr="00FA3F9C">
              <w:rPr>
                <w:rFonts w:ascii="Arial" w:hAnsi="Arial" w:cs="Arial"/>
                <w:sz w:val="24"/>
                <w:szCs w:val="24"/>
              </w:rPr>
              <w:t>SK</w:t>
            </w:r>
          </w:p>
        </w:tc>
      </w:tr>
      <w:tr w:rsidR="00C3036D" w:rsidRPr="00FA3F9C" w14:paraId="2A617EAC" w14:textId="77777777" w:rsidTr="00FE491B">
        <w:tc>
          <w:tcPr>
            <w:tcW w:w="1008" w:type="dxa"/>
          </w:tcPr>
          <w:p w14:paraId="6FB599D5" w14:textId="77777777" w:rsidR="00C3036D" w:rsidRPr="00FA3F9C" w:rsidRDefault="00C3036D" w:rsidP="00353666">
            <w:pPr>
              <w:rPr>
                <w:rFonts w:ascii="Arial" w:hAnsi="Arial" w:cs="Arial"/>
                <w:sz w:val="24"/>
                <w:szCs w:val="24"/>
              </w:rPr>
            </w:pPr>
            <w:r w:rsidRPr="00FA3F9C">
              <w:rPr>
                <w:rFonts w:ascii="Arial" w:hAnsi="Arial" w:cs="Arial"/>
                <w:sz w:val="24"/>
                <w:szCs w:val="24"/>
              </w:rPr>
              <w:lastRenderedPageBreak/>
              <w:t>10/8/2020</w:t>
            </w:r>
          </w:p>
        </w:tc>
        <w:tc>
          <w:tcPr>
            <w:tcW w:w="7470" w:type="dxa"/>
          </w:tcPr>
          <w:p w14:paraId="24DB7DE3" w14:textId="77777777" w:rsidR="00C3036D" w:rsidRPr="00FA3F9C" w:rsidRDefault="00C3036D" w:rsidP="00353666">
            <w:pPr>
              <w:rPr>
                <w:rFonts w:ascii="Arial" w:hAnsi="Arial" w:cs="Arial"/>
                <w:sz w:val="24"/>
                <w:szCs w:val="24"/>
              </w:rPr>
            </w:pPr>
            <w:r w:rsidRPr="00FA3F9C">
              <w:rPr>
                <w:rFonts w:ascii="Arial" w:hAnsi="Arial" w:cs="Arial"/>
                <w:sz w:val="24"/>
                <w:szCs w:val="24"/>
              </w:rPr>
              <w:t xml:space="preserve">Added new QOL reference for </w:t>
            </w:r>
            <w:proofErr w:type="spellStart"/>
            <w:r w:rsidRPr="00FA3F9C">
              <w:rPr>
                <w:rFonts w:ascii="Arial" w:hAnsi="Arial" w:cs="Arial"/>
                <w:sz w:val="24"/>
                <w:szCs w:val="24"/>
              </w:rPr>
              <w:t>elotuzmab</w:t>
            </w:r>
            <w:proofErr w:type="spellEnd"/>
            <w:r w:rsidRPr="00FA3F9C">
              <w:rPr>
                <w:rFonts w:ascii="Arial" w:hAnsi="Arial" w:cs="Arial"/>
                <w:sz w:val="24"/>
                <w:szCs w:val="24"/>
              </w:rPr>
              <w:t>/pom/</w:t>
            </w:r>
            <w:proofErr w:type="spellStart"/>
            <w:r w:rsidRPr="00FA3F9C">
              <w:rPr>
                <w:rFonts w:ascii="Arial" w:hAnsi="Arial" w:cs="Arial"/>
                <w:sz w:val="24"/>
                <w:szCs w:val="24"/>
              </w:rPr>
              <w:t>dex</w:t>
            </w:r>
            <w:proofErr w:type="spellEnd"/>
            <w:r w:rsidRPr="00FA3F9C">
              <w:rPr>
                <w:rFonts w:ascii="Arial" w:hAnsi="Arial" w:cs="Arial"/>
                <w:sz w:val="24"/>
                <w:szCs w:val="24"/>
              </w:rPr>
              <w:t xml:space="preserve"> indication (no change in coverage). </w:t>
            </w:r>
          </w:p>
        </w:tc>
        <w:tc>
          <w:tcPr>
            <w:tcW w:w="2538" w:type="dxa"/>
          </w:tcPr>
          <w:p w14:paraId="13792A89" w14:textId="77777777" w:rsidR="00C3036D" w:rsidRPr="00FA3F9C" w:rsidRDefault="00C3036D" w:rsidP="00353666">
            <w:pPr>
              <w:rPr>
                <w:rFonts w:ascii="Arial" w:hAnsi="Arial" w:cs="Arial"/>
                <w:sz w:val="24"/>
                <w:szCs w:val="24"/>
              </w:rPr>
            </w:pPr>
            <w:r w:rsidRPr="00FA3F9C">
              <w:rPr>
                <w:rFonts w:ascii="Arial" w:hAnsi="Arial" w:cs="Arial"/>
                <w:sz w:val="24"/>
                <w:szCs w:val="24"/>
              </w:rPr>
              <w:t>SK</w:t>
            </w:r>
          </w:p>
        </w:tc>
      </w:tr>
      <w:tr w:rsidR="00C3036D" w:rsidRPr="00FA3F9C" w14:paraId="209FE438" w14:textId="77777777" w:rsidTr="00FE491B">
        <w:tc>
          <w:tcPr>
            <w:tcW w:w="1008" w:type="dxa"/>
          </w:tcPr>
          <w:p w14:paraId="79454919" w14:textId="77777777" w:rsidR="00C3036D" w:rsidRPr="00FA3F9C" w:rsidRDefault="00C3036D" w:rsidP="00353666">
            <w:pPr>
              <w:rPr>
                <w:rFonts w:ascii="Arial" w:hAnsi="Arial" w:cs="Arial"/>
                <w:sz w:val="24"/>
                <w:szCs w:val="24"/>
              </w:rPr>
            </w:pPr>
            <w:r w:rsidRPr="00FA3F9C">
              <w:rPr>
                <w:rFonts w:ascii="Arial" w:hAnsi="Arial" w:cs="Arial"/>
                <w:sz w:val="24"/>
                <w:szCs w:val="24"/>
              </w:rPr>
              <w:t>10/22/2020</w:t>
            </w:r>
          </w:p>
        </w:tc>
        <w:tc>
          <w:tcPr>
            <w:tcW w:w="7470" w:type="dxa"/>
          </w:tcPr>
          <w:p w14:paraId="72124242" w14:textId="77777777" w:rsidR="00C3036D" w:rsidRPr="00FA3F9C" w:rsidRDefault="00C3036D" w:rsidP="00353666">
            <w:pPr>
              <w:rPr>
                <w:rFonts w:ascii="Arial" w:hAnsi="Arial" w:cs="Arial"/>
                <w:sz w:val="24"/>
                <w:szCs w:val="24"/>
              </w:rPr>
            </w:pPr>
            <w:r w:rsidRPr="00FA3F9C">
              <w:rPr>
                <w:rFonts w:ascii="Arial" w:hAnsi="Arial" w:cs="Arial"/>
                <w:sz w:val="24"/>
                <w:szCs w:val="24"/>
              </w:rPr>
              <w:t xml:space="preserve">Added coverage for pomalidomide in combination with </w:t>
            </w:r>
            <w:proofErr w:type="spellStart"/>
            <w:r w:rsidRPr="00FA3F9C">
              <w:rPr>
                <w:rFonts w:ascii="Arial" w:hAnsi="Arial" w:cs="Arial"/>
                <w:sz w:val="24"/>
                <w:szCs w:val="24"/>
              </w:rPr>
              <w:t>dex</w:t>
            </w:r>
            <w:proofErr w:type="spellEnd"/>
            <w:r w:rsidRPr="00FA3F9C">
              <w:rPr>
                <w:rFonts w:ascii="Arial" w:hAnsi="Arial" w:cs="Arial"/>
                <w:sz w:val="24"/>
                <w:szCs w:val="24"/>
              </w:rPr>
              <w:t>/</w:t>
            </w:r>
            <w:proofErr w:type="spellStart"/>
            <w:r w:rsidRPr="00FA3F9C">
              <w:rPr>
                <w:rFonts w:ascii="Arial" w:hAnsi="Arial" w:cs="Arial"/>
                <w:sz w:val="24"/>
                <w:szCs w:val="24"/>
              </w:rPr>
              <w:t>isatuximab</w:t>
            </w:r>
            <w:proofErr w:type="spellEnd"/>
            <w:r w:rsidRPr="00FA3F9C">
              <w:rPr>
                <w:rFonts w:ascii="Arial" w:hAnsi="Arial" w:cs="Arial"/>
                <w:sz w:val="24"/>
                <w:szCs w:val="24"/>
              </w:rPr>
              <w:t xml:space="preserve"> </w:t>
            </w:r>
          </w:p>
        </w:tc>
        <w:tc>
          <w:tcPr>
            <w:tcW w:w="2538" w:type="dxa"/>
          </w:tcPr>
          <w:p w14:paraId="4184D9AF" w14:textId="77777777" w:rsidR="00C3036D" w:rsidRPr="00FA3F9C" w:rsidRDefault="00C3036D" w:rsidP="00353666">
            <w:pPr>
              <w:rPr>
                <w:rFonts w:ascii="Arial" w:hAnsi="Arial" w:cs="Arial"/>
                <w:sz w:val="24"/>
                <w:szCs w:val="24"/>
              </w:rPr>
            </w:pPr>
            <w:r w:rsidRPr="00FA3F9C">
              <w:rPr>
                <w:rFonts w:ascii="Arial" w:hAnsi="Arial" w:cs="Arial"/>
                <w:sz w:val="24"/>
                <w:szCs w:val="24"/>
              </w:rPr>
              <w:t>SK</w:t>
            </w:r>
          </w:p>
        </w:tc>
      </w:tr>
      <w:tr w:rsidR="00C3036D" w:rsidRPr="00FA3F9C" w14:paraId="58749692" w14:textId="77777777" w:rsidTr="00FE491B">
        <w:tc>
          <w:tcPr>
            <w:tcW w:w="1008" w:type="dxa"/>
          </w:tcPr>
          <w:p w14:paraId="3103036C" w14:textId="77777777" w:rsidR="00C3036D" w:rsidRPr="00FA3F9C" w:rsidRDefault="00C3036D" w:rsidP="00353666">
            <w:pPr>
              <w:rPr>
                <w:rFonts w:ascii="Arial" w:hAnsi="Arial" w:cs="Arial"/>
                <w:sz w:val="24"/>
                <w:szCs w:val="24"/>
              </w:rPr>
            </w:pPr>
            <w:r w:rsidRPr="00FA3F9C">
              <w:rPr>
                <w:rFonts w:ascii="Arial" w:hAnsi="Arial" w:cs="Arial"/>
                <w:sz w:val="24"/>
                <w:szCs w:val="24"/>
              </w:rPr>
              <w:t>10/12/2021</w:t>
            </w:r>
          </w:p>
        </w:tc>
        <w:tc>
          <w:tcPr>
            <w:tcW w:w="7470" w:type="dxa"/>
          </w:tcPr>
          <w:p w14:paraId="5BA72039" w14:textId="77777777" w:rsidR="00C3036D" w:rsidRPr="00FA3F9C" w:rsidRDefault="00C3036D" w:rsidP="00A5381D">
            <w:pPr>
              <w:rPr>
                <w:rFonts w:ascii="Arial" w:hAnsi="Arial" w:cs="Arial"/>
                <w:sz w:val="24"/>
                <w:szCs w:val="24"/>
              </w:rPr>
            </w:pPr>
            <w:r w:rsidRPr="00FA3F9C">
              <w:rPr>
                <w:rFonts w:ascii="Arial" w:hAnsi="Arial" w:cs="Arial"/>
                <w:sz w:val="24"/>
                <w:szCs w:val="24"/>
              </w:rPr>
              <w:t>Added APOLLO study info (</w:t>
            </w:r>
            <w:proofErr w:type="spellStart"/>
            <w:r w:rsidRPr="00FA3F9C">
              <w:rPr>
                <w:rFonts w:ascii="Arial" w:hAnsi="Arial" w:cs="Arial"/>
                <w:sz w:val="24"/>
                <w:szCs w:val="24"/>
              </w:rPr>
              <w:t>dara</w:t>
            </w:r>
            <w:proofErr w:type="spellEnd"/>
            <w:r w:rsidRPr="00FA3F9C">
              <w:rPr>
                <w:rFonts w:ascii="Arial" w:hAnsi="Arial" w:cs="Arial"/>
                <w:sz w:val="24"/>
                <w:szCs w:val="24"/>
              </w:rPr>
              <w:t>/pom/</w:t>
            </w:r>
            <w:proofErr w:type="spellStart"/>
            <w:r w:rsidRPr="00FA3F9C">
              <w:rPr>
                <w:rFonts w:ascii="Arial" w:hAnsi="Arial" w:cs="Arial"/>
                <w:sz w:val="24"/>
                <w:szCs w:val="24"/>
              </w:rPr>
              <w:t>dex</w:t>
            </w:r>
            <w:proofErr w:type="spellEnd"/>
            <w:r w:rsidRPr="00FA3F9C">
              <w:rPr>
                <w:rFonts w:ascii="Arial" w:hAnsi="Arial" w:cs="Arial"/>
                <w:sz w:val="24"/>
                <w:szCs w:val="24"/>
              </w:rPr>
              <w:t xml:space="preserve"> vs pom/</w:t>
            </w:r>
            <w:proofErr w:type="spellStart"/>
            <w:r w:rsidRPr="00FA3F9C">
              <w:rPr>
                <w:rFonts w:ascii="Arial" w:hAnsi="Arial" w:cs="Arial"/>
                <w:sz w:val="24"/>
                <w:szCs w:val="24"/>
              </w:rPr>
              <w:t>dex</w:t>
            </w:r>
            <w:proofErr w:type="spellEnd"/>
            <w:r w:rsidRPr="00FA3F9C">
              <w:rPr>
                <w:rFonts w:ascii="Arial" w:hAnsi="Arial" w:cs="Arial"/>
                <w:sz w:val="24"/>
                <w:szCs w:val="24"/>
              </w:rPr>
              <w:t xml:space="preserve">). PFS benefit only </w:t>
            </w:r>
            <w:proofErr w:type="gramStart"/>
            <w:r w:rsidRPr="00FA3F9C">
              <w:rPr>
                <w:rFonts w:ascii="Arial" w:hAnsi="Arial" w:cs="Arial"/>
                <w:sz w:val="24"/>
                <w:szCs w:val="24"/>
              </w:rPr>
              <w:t>at this time</w:t>
            </w:r>
            <w:proofErr w:type="gramEnd"/>
            <w:r w:rsidRPr="00FA3F9C">
              <w:rPr>
                <w:rFonts w:ascii="Arial" w:hAnsi="Arial" w:cs="Arial"/>
                <w:sz w:val="24"/>
                <w:szCs w:val="24"/>
              </w:rPr>
              <w:t xml:space="preserve">. </w:t>
            </w:r>
          </w:p>
        </w:tc>
        <w:tc>
          <w:tcPr>
            <w:tcW w:w="2538" w:type="dxa"/>
          </w:tcPr>
          <w:p w14:paraId="358C0A51" w14:textId="77777777" w:rsidR="00C3036D" w:rsidRPr="00FA3F9C" w:rsidRDefault="00C3036D" w:rsidP="00353666">
            <w:pPr>
              <w:rPr>
                <w:rFonts w:ascii="Arial" w:hAnsi="Arial" w:cs="Arial"/>
                <w:sz w:val="24"/>
                <w:szCs w:val="24"/>
              </w:rPr>
            </w:pPr>
            <w:r w:rsidRPr="00FA3F9C">
              <w:rPr>
                <w:rFonts w:ascii="Arial" w:hAnsi="Arial" w:cs="Arial"/>
                <w:sz w:val="24"/>
                <w:szCs w:val="24"/>
              </w:rPr>
              <w:t>SK</w:t>
            </w:r>
          </w:p>
        </w:tc>
      </w:tr>
      <w:tr w:rsidR="00C3036D" w:rsidRPr="00FA3F9C" w14:paraId="2D3D1A69" w14:textId="77777777" w:rsidTr="00FE491B">
        <w:tc>
          <w:tcPr>
            <w:tcW w:w="1008" w:type="dxa"/>
          </w:tcPr>
          <w:p w14:paraId="0BC15461" w14:textId="77777777" w:rsidR="00C3036D" w:rsidRPr="00FA3F9C" w:rsidRDefault="00C3036D" w:rsidP="00353666">
            <w:pPr>
              <w:rPr>
                <w:rFonts w:ascii="Arial" w:hAnsi="Arial" w:cs="Arial"/>
                <w:sz w:val="24"/>
                <w:szCs w:val="24"/>
              </w:rPr>
            </w:pPr>
            <w:r w:rsidRPr="00FA3F9C">
              <w:rPr>
                <w:rFonts w:ascii="Arial" w:hAnsi="Arial" w:cs="Arial"/>
                <w:sz w:val="24"/>
                <w:szCs w:val="24"/>
              </w:rPr>
              <w:t>1/26/2022</w:t>
            </w:r>
          </w:p>
        </w:tc>
        <w:tc>
          <w:tcPr>
            <w:tcW w:w="7470" w:type="dxa"/>
          </w:tcPr>
          <w:p w14:paraId="12CED1F3" w14:textId="77777777" w:rsidR="00C3036D" w:rsidRPr="00FA3F9C" w:rsidRDefault="00C3036D" w:rsidP="00DD169C">
            <w:pPr>
              <w:rPr>
                <w:rFonts w:ascii="Arial" w:hAnsi="Arial" w:cs="Arial"/>
                <w:sz w:val="24"/>
                <w:szCs w:val="24"/>
              </w:rPr>
            </w:pPr>
            <w:r w:rsidRPr="00FA3F9C">
              <w:rPr>
                <w:rFonts w:ascii="Arial" w:hAnsi="Arial" w:cs="Arial"/>
                <w:sz w:val="24"/>
                <w:szCs w:val="24"/>
              </w:rPr>
              <w:t xml:space="preserve">Criteria reviewed. Clarified that patient should have progressed on or after 2 prior therapies. </w:t>
            </w:r>
          </w:p>
        </w:tc>
        <w:tc>
          <w:tcPr>
            <w:tcW w:w="2538" w:type="dxa"/>
          </w:tcPr>
          <w:p w14:paraId="23592069" w14:textId="77777777" w:rsidR="00C3036D" w:rsidRPr="00FA3F9C" w:rsidRDefault="00C3036D" w:rsidP="00353666">
            <w:pPr>
              <w:rPr>
                <w:rFonts w:ascii="Arial" w:hAnsi="Arial" w:cs="Arial"/>
                <w:sz w:val="24"/>
                <w:szCs w:val="24"/>
              </w:rPr>
            </w:pPr>
            <w:r w:rsidRPr="00FA3F9C">
              <w:rPr>
                <w:rFonts w:ascii="Arial" w:hAnsi="Arial" w:cs="Arial"/>
                <w:sz w:val="24"/>
                <w:szCs w:val="24"/>
              </w:rPr>
              <w:t>SK</w:t>
            </w:r>
          </w:p>
        </w:tc>
      </w:tr>
    </w:tbl>
    <w:p w14:paraId="1C2B05D0" w14:textId="77777777" w:rsidR="00C3036D" w:rsidRPr="00FA3F9C" w:rsidRDefault="00C3036D" w:rsidP="00891E3C">
      <w:pPr>
        <w:spacing w:after="0"/>
        <w:rPr>
          <w:rFonts w:ascii="Arial" w:hAnsi="Arial" w:cs="Arial"/>
          <w:sz w:val="24"/>
          <w:szCs w:val="24"/>
        </w:rPr>
      </w:pPr>
    </w:p>
    <w:p w14:paraId="398AC3F8" w14:textId="77777777" w:rsidR="00C3036D" w:rsidRPr="00FA3F9C" w:rsidRDefault="00C3036D" w:rsidP="00891E3C">
      <w:pPr>
        <w:spacing w:after="0"/>
        <w:rPr>
          <w:rFonts w:ascii="Arial" w:hAnsi="Arial" w:cs="Arial"/>
          <w:sz w:val="24"/>
          <w:szCs w:val="24"/>
        </w:rPr>
      </w:pPr>
    </w:p>
    <w:p w14:paraId="589460A7" w14:textId="77777777" w:rsidR="00C3036D" w:rsidRPr="00FA3F9C" w:rsidRDefault="00C3036D" w:rsidP="002B2097">
      <w:pPr>
        <w:pStyle w:val="Heading2"/>
      </w:pPr>
      <w:bookmarkStart w:id="281" w:name="_Toc106369905"/>
      <w:r w:rsidRPr="00FA3F9C">
        <w:t>ponatinib (</w:t>
      </w:r>
      <w:proofErr w:type="spellStart"/>
      <w:r w:rsidRPr="00FA3F9C">
        <w:t>Iclusig</w:t>
      </w:r>
      <w:proofErr w:type="spellEnd"/>
      <w:r w:rsidRPr="00FA3F9C">
        <w:t>)</w:t>
      </w:r>
      <w:bookmarkEnd w:id="281"/>
    </w:p>
    <w:p w14:paraId="4F4CC5DD" w14:textId="77777777" w:rsidR="00C3036D" w:rsidRPr="00FA3F9C" w:rsidRDefault="00C3036D" w:rsidP="00A6573F">
      <w:pPr>
        <w:spacing w:after="0" w:line="240" w:lineRule="auto"/>
        <w:jc w:val="center"/>
        <w:rPr>
          <w:rFonts w:ascii="Arial" w:hAnsi="Arial" w:cs="Arial"/>
          <w:sz w:val="24"/>
          <w:szCs w:val="24"/>
        </w:rPr>
      </w:pPr>
      <w:r w:rsidRPr="00FA3F9C">
        <w:rPr>
          <w:rFonts w:ascii="Arial" w:hAnsi="Arial" w:cs="Arial"/>
          <w:sz w:val="24"/>
          <w:szCs w:val="24"/>
        </w:rPr>
        <w:t>10, 15, 30, 45 mg tablets</w:t>
      </w:r>
    </w:p>
    <w:p w14:paraId="4F4F93B0" w14:textId="77777777" w:rsidR="00C3036D" w:rsidRPr="00FA3F9C" w:rsidRDefault="00C3036D" w:rsidP="006F623F">
      <w:pPr>
        <w:spacing w:after="0"/>
        <w:jc w:val="center"/>
        <w:rPr>
          <w:rFonts w:ascii="Arial" w:hAnsi="Arial" w:cs="Arial"/>
          <w:sz w:val="24"/>
          <w:szCs w:val="24"/>
        </w:rPr>
      </w:pPr>
      <w:r w:rsidRPr="00FA3F9C">
        <w:rPr>
          <w:rFonts w:ascii="Arial" w:hAnsi="Arial" w:cs="Arial"/>
          <w:sz w:val="24"/>
          <w:szCs w:val="24"/>
        </w:rPr>
        <w:t>EBRx PA Criteria</w:t>
      </w:r>
    </w:p>
    <w:p w14:paraId="3AE1B010" w14:textId="77777777" w:rsidR="00C3036D" w:rsidRPr="00FA3F9C" w:rsidRDefault="00C3036D" w:rsidP="006F623F">
      <w:pPr>
        <w:spacing w:after="0"/>
        <w:rPr>
          <w:rFonts w:ascii="Arial" w:hAnsi="Arial" w:cs="Arial"/>
          <w:b/>
          <w:sz w:val="24"/>
          <w:szCs w:val="24"/>
          <w:u w:val="single"/>
        </w:rPr>
      </w:pPr>
    </w:p>
    <w:p w14:paraId="7F2C2994" w14:textId="77777777" w:rsidR="00C3036D" w:rsidRPr="00FA3F9C" w:rsidRDefault="00C3036D"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w:t>
      </w:r>
    </w:p>
    <w:p w14:paraId="5C4415D0" w14:textId="77777777" w:rsidR="00C3036D" w:rsidRPr="00FA3F9C" w:rsidRDefault="00C3036D" w:rsidP="00C3036D">
      <w:pPr>
        <w:pStyle w:val="ListParagraph"/>
        <w:numPr>
          <w:ilvl w:val="0"/>
          <w:numId w:val="293"/>
        </w:numPr>
        <w:spacing w:after="0"/>
        <w:rPr>
          <w:rFonts w:ascii="Arial" w:hAnsi="Arial" w:cs="Arial"/>
          <w:sz w:val="24"/>
          <w:szCs w:val="24"/>
        </w:rPr>
      </w:pPr>
      <w:r w:rsidRPr="00FA3F9C">
        <w:rPr>
          <w:rFonts w:ascii="Arial" w:hAnsi="Arial" w:cs="Arial"/>
          <w:sz w:val="24"/>
          <w:szCs w:val="24"/>
        </w:rPr>
        <w:t xml:space="preserve">Chronic phase (CP) chronic myeloid leukemia (CML) with resistance or intolerance to at least two prior kinase inhibitors. </w:t>
      </w:r>
      <w:r w:rsidRPr="00FA3F9C">
        <w:rPr>
          <w:rFonts w:ascii="Arial" w:hAnsi="Arial" w:cs="Arial"/>
          <w:sz w:val="24"/>
          <w:szCs w:val="24"/>
          <w:highlight w:val="cyan"/>
        </w:rPr>
        <w:t>See criteria</w:t>
      </w:r>
    </w:p>
    <w:p w14:paraId="3B05C0ED" w14:textId="77777777" w:rsidR="00C3036D" w:rsidRPr="00FA3F9C" w:rsidRDefault="00C3036D" w:rsidP="00C3036D">
      <w:pPr>
        <w:pStyle w:val="ListParagraph"/>
        <w:numPr>
          <w:ilvl w:val="0"/>
          <w:numId w:val="293"/>
        </w:numPr>
        <w:spacing w:after="0"/>
        <w:rPr>
          <w:rFonts w:ascii="Arial" w:hAnsi="Arial" w:cs="Arial"/>
          <w:sz w:val="24"/>
          <w:szCs w:val="24"/>
        </w:rPr>
      </w:pPr>
      <w:r w:rsidRPr="00FA3F9C">
        <w:rPr>
          <w:rFonts w:ascii="Arial" w:hAnsi="Arial" w:cs="Arial"/>
          <w:sz w:val="24"/>
          <w:szCs w:val="24"/>
        </w:rPr>
        <w:t xml:space="preserve">Accelerated phase (AP) or blast phase (BP) CML or Philadelphia chromosome positive acute lymphoblastic leukemia (Ph+ ALL) for whom no other kinase inhibitors are indicated </w:t>
      </w:r>
      <w:r w:rsidRPr="00FA3F9C">
        <w:rPr>
          <w:rFonts w:ascii="Arial" w:hAnsi="Arial" w:cs="Arial"/>
          <w:sz w:val="24"/>
          <w:szCs w:val="24"/>
          <w:highlight w:val="yellow"/>
        </w:rPr>
        <w:t>Not covered</w:t>
      </w:r>
    </w:p>
    <w:p w14:paraId="66C7214E" w14:textId="77777777" w:rsidR="00C3036D" w:rsidRPr="00FA3F9C" w:rsidRDefault="00C3036D" w:rsidP="00C3036D">
      <w:pPr>
        <w:pStyle w:val="ListParagraph"/>
        <w:numPr>
          <w:ilvl w:val="0"/>
          <w:numId w:val="293"/>
        </w:numPr>
        <w:spacing w:after="0"/>
        <w:rPr>
          <w:rFonts w:ascii="Arial" w:hAnsi="Arial" w:cs="Arial"/>
          <w:sz w:val="24"/>
          <w:szCs w:val="24"/>
        </w:rPr>
      </w:pPr>
      <w:r w:rsidRPr="00FA3F9C">
        <w:rPr>
          <w:rFonts w:ascii="Arial" w:hAnsi="Arial" w:cs="Arial"/>
          <w:sz w:val="24"/>
          <w:szCs w:val="24"/>
        </w:rPr>
        <w:t xml:space="preserve">T315I-positive CML (chronic phase, accelerated phase, or blast phase) or T315I-positive Ph+ ALL </w:t>
      </w:r>
      <w:r w:rsidRPr="00FA3F9C">
        <w:rPr>
          <w:rFonts w:ascii="Arial" w:hAnsi="Arial" w:cs="Arial"/>
          <w:sz w:val="24"/>
          <w:szCs w:val="24"/>
          <w:highlight w:val="cyan"/>
        </w:rPr>
        <w:t>See criteria</w:t>
      </w:r>
    </w:p>
    <w:tbl>
      <w:tblPr>
        <w:tblStyle w:val="TableGrid"/>
        <w:tblW w:w="0" w:type="auto"/>
        <w:tblLook w:val="04A0" w:firstRow="1" w:lastRow="0" w:firstColumn="1" w:lastColumn="0" w:noHBand="0" w:noVBand="1"/>
      </w:tblPr>
      <w:tblGrid>
        <w:gridCol w:w="8745"/>
        <w:gridCol w:w="2271"/>
      </w:tblGrid>
      <w:tr w:rsidR="00C3036D" w:rsidRPr="00FA3F9C" w14:paraId="68AE6A69" w14:textId="77777777" w:rsidTr="00796C6E">
        <w:tc>
          <w:tcPr>
            <w:tcW w:w="8745" w:type="dxa"/>
            <w:shd w:val="clear" w:color="auto" w:fill="000000"/>
          </w:tcPr>
          <w:p w14:paraId="0055AC0B" w14:textId="77777777" w:rsidR="00C3036D" w:rsidRPr="00FA3F9C" w:rsidRDefault="00C3036D"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45" w:type="dxa"/>
            <w:shd w:val="clear" w:color="auto" w:fill="000000"/>
          </w:tcPr>
          <w:p w14:paraId="71B5DB63" w14:textId="77777777" w:rsidR="00C3036D" w:rsidRPr="00FA3F9C" w:rsidRDefault="00C3036D" w:rsidP="006F623F">
            <w:pPr>
              <w:jc w:val="center"/>
              <w:rPr>
                <w:rFonts w:ascii="Arial" w:hAnsi="Arial" w:cs="Arial"/>
                <w:b/>
                <w:sz w:val="24"/>
                <w:szCs w:val="24"/>
                <w:u w:val="single"/>
              </w:rPr>
            </w:pPr>
          </w:p>
        </w:tc>
      </w:tr>
      <w:tr w:rsidR="00C3036D" w:rsidRPr="00FA3F9C" w14:paraId="42F37606" w14:textId="77777777" w:rsidTr="00F337AE">
        <w:tc>
          <w:tcPr>
            <w:tcW w:w="11016" w:type="dxa"/>
            <w:gridSpan w:val="2"/>
          </w:tcPr>
          <w:p w14:paraId="063539B5" w14:textId="77777777" w:rsidR="00C3036D" w:rsidRPr="00FA3F9C" w:rsidRDefault="00C3036D" w:rsidP="001B4D75">
            <w:pPr>
              <w:rPr>
                <w:rFonts w:ascii="Arial" w:hAnsi="Arial" w:cs="Arial"/>
                <w:sz w:val="24"/>
                <w:szCs w:val="24"/>
              </w:rPr>
            </w:pPr>
            <w:r w:rsidRPr="00FA3F9C">
              <w:rPr>
                <w:rFonts w:ascii="Arial" w:hAnsi="Arial" w:cs="Arial"/>
                <w:sz w:val="24"/>
                <w:szCs w:val="24"/>
              </w:rPr>
              <w:t>1. Diagnosis of chronic phase chronic myelogenous leukemia (CML)</w:t>
            </w:r>
          </w:p>
        </w:tc>
      </w:tr>
      <w:tr w:rsidR="00C3036D" w:rsidRPr="00FA3F9C" w14:paraId="50CC8EC4" w14:textId="77777777" w:rsidTr="00B1617E">
        <w:tc>
          <w:tcPr>
            <w:tcW w:w="11016" w:type="dxa"/>
            <w:gridSpan w:val="2"/>
          </w:tcPr>
          <w:p w14:paraId="11039089" w14:textId="77777777" w:rsidR="00C3036D" w:rsidRPr="00FA3F9C" w:rsidRDefault="00C3036D" w:rsidP="00A6573F">
            <w:pPr>
              <w:rPr>
                <w:rFonts w:ascii="Arial" w:hAnsi="Arial" w:cs="Arial"/>
                <w:sz w:val="24"/>
                <w:szCs w:val="24"/>
              </w:rPr>
            </w:pPr>
            <w:r w:rsidRPr="00FA3F9C">
              <w:rPr>
                <w:rFonts w:ascii="Arial" w:hAnsi="Arial" w:cs="Arial"/>
                <w:sz w:val="24"/>
                <w:szCs w:val="24"/>
              </w:rPr>
              <w:t>2. Failure of at least 2 BCR/ABL tyrosine kinase inhibitors OR T315I mutation positive</w:t>
            </w:r>
          </w:p>
        </w:tc>
      </w:tr>
      <w:tr w:rsidR="00C3036D" w:rsidRPr="00FA3F9C" w14:paraId="2729D534" w14:textId="77777777" w:rsidTr="00A52F36">
        <w:tc>
          <w:tcPr>
            <w:tcW w:w="11016" w:type="dxa"/>
            <w:gridSpan w:val="2"/>
            <w:shd w:val="clear" w:color="auto" w:fill="F2F2F2" w:themeFill="background1" w:themeFillShade="F2"/>
          </w:tcPr>
          <w:p w14:paraId="528DDB7B" w14:textId="77777777" w:rsidR="00C3036D" w:rsidRPr="00FA3F9C" w:rsidRDefault="00C3036D" w:rsidP="00342FDF">
            <w:pPr>
              <w:rPr>
                <w:rFonts w:ascii="Arial" w:hAnsi="Arial" w:cs="Arial"/>
                <w:sz w:val="24"/>
                <w:szCs w:val="24"/>
              </w:rPr>
            </w:pPr>
            <w:r w:rsidRPr="00FA3F9C">
              <w:rPr>
                <w:rFonts w:ascii="Arial" w:hAnsi="Arial" w:cs="Arial"/>
                <w:sz w:val="24"/>
                <w:szCs w:val="24"/>
              </w:rPr>
              <w:t>If criteria met, approve for 12 months</w:t>
            </w:r>
          </w:p>
        </w:tc>
      </w:tr>
    </w:tbl>
    <w:p w14:paraId="0AE4E55D" w14:textId="77777777" w:rsidR="00C3036D" w:rsidRPr="00FA3F9C" w:rsidRDefault="00C3036D" w:rsidP="006F623F">
      <w:pPr>
        <w:spacing w:after="0"/>
        <w:rPr>
          <w:rFonts w:ascii="Arial" w:hAnsi="Arial" w:cs="Arial"/>
          <w:b/>
          <w:sz w:val="24"/>
          <w:szCs w:val="24"/>
          <w:u w:val="single"/>
        </w:rPr>
      </w:pPr>
    </w:p>
    <w:tbl>
      <w:tblPr>
        <w:tblStyle w:val="TableGrid"/>
        <w:tblW w:w="0" w:type="auto"/>
        <w:shd w:val="clear" w:color="auto" w:fill="BFBFBF" w:themeFill="background1" w:themeFillShade="BF"/>
        <w:tblLook w:val="04A0" w:firstRow="1" w:lastRow="0" w:firstColumn="1" w:lastColumn="0" w:noHBand="0" w:noVBand="1"/>
      </w:tblPr>
      <w:tblGrid>
        <w:gridCol w:w="11301"/>
      </w:tblGrid>
      <w:tr w:rsidR="00C3036D" w:rsidRPr="00FA3F9C" w14:paraId="700AA540" w14:textId="77777777" w:rsidTr="002C41D7">
        <w:tc>
          <w:tcPr>
            <w:tcW w:w="10790" w:type="dxa"/>
            <w:shd w:val="clear" w:color="auto" w:fill="BFBFBF" w:themeFill="background1" w:themeFillShade="BF"/>
          </w:tcPr>
          <w:p w14:paraId="0A3FE07A" w14:textId="77777777" w:rsidR="00C3036D" w:rsidRPr="00FA3F9C" w:rsidRDefault="00C3036D" w:rsidP="00D82B6E">
            <w:pPr>
              <w:rPr>
                <w:rFonts w:ascii="Arial" w:hAnsi="Arial" w:cs="Arial"/>
                <w:sz w:val="24"/>
                <w:szCs w:val="24"/>
              </w:rPr>
            </w:pPr>
            <w:r w:rsidRPr="00FA3F9C">
              <w:rPr>
                <w:rFonts w:ascii="Arial" w:hAnsi="Arial" w:cs="Arial"/>
                <w:sz w:val="24"/>
                <w:szCs w:val="24"/>
              </w:rPr>
              <w:t xml:space="preserve">Notes: </w:t>
            </w:r>
          </w:p>
          <w:p w14:paraId="4F936AEE" w14:textId="77777777" w:rsidR="00C3036D" w:rsidRPr="00FA3F9C" w:rsidRDefault="00C3036D" w:rsidP="00D82B6E">
            <w:pPr>
              <w:rPr>
                <w:rFonts w:ascii="Arial" w:hAnsi="Arial" w:cs="Arial"/>
                <w:sz w:val="24"/>
                <w:szCs w:val="24"/>
              </w:rPr>
            </w:pPr>
          </w:p>
          <w:p w14:paraId="657A18A8" w14:textId="77777777" w:rsidR="00C3036D" w:rsidRPr="00FA3F9C" w:rsidRDefault="00C3036D" w:rsidP="00A6573F">
            <w:pPr>
              <w:rPr>
                <w:rFonts w:ascii="Arial" w:hAnsi="Arial" w:cs="Arial"/>
                <w:sz w:val="24"/>
                <w:szCs w:val="24"/>
              </w:rPr>
            </w:pPr>
            <w:r w:rsidRPr="00FA3F9C">
              <w:rPr>
                <w:rFonts w:ascii="Arial" w:hAnsi="Arial" w:cs="Arial"/>
                <w:sz w:val="24"/>
                <w:szCs w:val="24"/>
              </w:rPr>
              <w:t xml:space="preserve">Dose=45 mg once daily. Dose may be lowered to 15 mg once daily after disease control is obtained and </w:t>
            </w:r>
            <w:proofErr w:type="spellStart"/>
            <w:r w:rsidRPr="00FA3F9C">
              <w:rPr>
                <w:rFonts w:ascii="Arial" w:hAnsi="Arial" w:cs="Arial"/>
                <w:sz w:val="24"/>
                <w:szCs w:val="24"/>
              </w:rPr>
              <w:t>reescallated</w:t>
            </w:r>
            <w:proofErr w:type="spellEnd"/>
            <w:r w:rsidRPr="00FA3F9C">
              <w:rPr>
                <w:rFonts w:ascii="Arial" w:hAnsi="Arial" w:cs="Arial"/>
                <w:sz w:val="24"/>
                <w:szCs w:val="24"/>
              </w:rPr>
              <w:t xml:space="preserve"> if disease control is lost.</w:t>
            </w:r>
          </w:p>
          <w:p w14:paraId="1810C9F6" w14:textId="77777777" w:rsidR="00C3036D" w:rsidRPr="00FA3F9C" w:rsidRDefault="00C3036D" w:rsidP="00A6573F">
            <w:pPr>
              <w:rPr>
                <w:rFonts w:ascii="Arial" w:hAnsi="Arial" w:cs="Arial"/>
                <w:sz w:val="24"/>
                <w:szCs w:val="24"/>
              </w:rPr>
            </w:pPr>
          </w:p>
          <w:p w14:paraId="5720AF8B" w14:textId="77777777" w:rsidR="00C3036D" w:rsidRPr="00FA3F9C" w:rsidRDefault="00C3036D" w:rsidP="00A6573F">
            <w:pPr>
              <w:rPr>
                <w:rFonts w:ascii="Arial" w:hAnsi="Arial" w:cs="Arial"/>
                <w:sz w:val="24"/>
                <w:szCs w:val="24"/>
              </w:rPr>
            </w:pPr>
            <w:r w:rsidRPr="00FA3F9C">
              <w:rPr>
                <w:rFonts w:ascii="Arial" w:hAnsi="Arial" w:cs="Arial"/>
                <w:sz w:val="24"/>
                <w:szCs w:val="24"/>
              </w:rPr>
              <w:t xml:space="preserve">Ponatinib induces deep and durable responses in above patient population, and there may be an overall survival benefit compared to allogeneic transplant. The overall survival benefit has not been </w:t>
            </w:r>
            <w:r w:rsidRPr="00FA3F9C">
              <w:rPr>
                <w:rFonts w:ascii="Arial" w:hAnsi="Arial" w:cs="Arial"/>
                <w:sz w:val="24"/>
                <w:szCs w:val="24"/>
              </w:rPr>
              <w:lastRenderedPageBreak/>
              <w:t>demonstrated in patients with accelerated phase or blast phase CML or Philadelphia chromosome positive acute lymphocytic leukemia.</w:t>
            </w:r>
          </w:p>
          <w:p w14:paraId="1BFB44C9" w14:textId="77777777" w:rsidR="00C3036D" w:rsidRPr="00FA3F9C" w:rsidRDefault="00C3036D" w:rsidP="00A6573F">
            <w:pPr>
              <w:rPr>
                <w:rFonts w:ascii="Arial" w:hAnsi="Arial" w:cs="Arial"/>
                <w:sz w:val="24"/>
                <w:szCs w:val="24"/>
              </w:rPr>
            </w:pPr>
          </w:p>
          <w:p w14:paraId="118A8BF8" w14:textId="77777777" w:rsidR="00C3036D" w:rsidRPr="00FA3F9C" w:rsidRDefault="00C3036D" w:rsidP="00A6573F">
            <w:pPr>
              <w:rPr>
                <w:rFonts w:ascii="Arial" w:hAnsi="Arial" w:cs="Arial"/>
                <w:sz w:val="24"/>
                <w:szCs w:val="24"/>
              </w:rPr>
            </w:pPr>
          </w:p>
          <w:tbl>
            <w:tblPr>
              <w:tblStyle w:val="TableGrid"/>
              <w:tblpPr w:leftFromText="180" w:rightFromText="180" w:vertAnchor="text" w:horzAnchor="margin" w:tblpXSpec="center" w:tblpY="97"/>
              <w:tblW w:w="11075" w:type="dxa"/>
              <w:tblLook w:val="04A0" w:firstRow="1" w:lastRow="0" w:firstColumn="1" w:lastColumn="0" w:noHBand="0" w:noVBand="1"/>
            </w:tblPr>
            <w:tblGrid>
              <w:gridCol w:w="1954"/>
              <w:gridCol w:w="3918"/>
              <w:gridCol w:w="3456"/>
              <w:gridCol w:w="1747"/>
            </w:tblGrid>
            <w:tr w:rsidR="00C3036D" w:rsidRPr="00FA3F9C" w14:paraId="09C69F52" w14:textId="77777777" w:rsidTr="001137EC">
              <w:trPr>
                <w:cantSplit/>
                <w:trHeight w:val="64"/>
                <w:tblHeader/>
              </w:trPr>
              <w:tc>
                <w:tcPr>
                  <w:tcW w:w="1969" w:type="dxa"/>
                  <w:shd w:val="clear" w:color="auto" w:fill="D9D9D9" w:themeFill="background1" w:themeFillShade="D9"/>
                </w:tcPr>
                <w:p w14:paraId="0B285E5F" w14:textId="77777777" w:rsidR="00C3036D" w:rsidRPr="00FA3F9C" w:rsidRDefault="00C3036D" w:rsidP="00796C6E">
                  <w:pPr>
                    <w:rPr>
                      <w:rFonts w:ascii="Arial" w:hAnsi="Arial" w:cs="Arial"/>
                      <w:sz w:val="24"/>
                      <w:szCs w:val="24"/>
                    </w:rPr>
                  </w:pPr>
                  <w:r w:rsidRPr="00FA3F9C">
                    <w:rPr>
                      <w:rFonts w:ascii="Arial" w:hAnsi="Arial" w:cs="Arial"/>
                      <w:sz w:val="24"/>
                      <w:szCs w:val="24"/>
                    </w:rPr>
                    <w:t>Trial</w:t>
                  </w:r>
                </w:p>
              </w:tc>
              <w:tc>
                <w:tcPr>
                  <w:tcW w:w="4056" w:type="dxa"/>
                  <w:shd w:val="clear" w:color="auto" w:fill="D9D9D9" w:themeFill="background1" w:themeFillShade="D9"/>
                </w:tcPr>
                <w:p w14:paraId="26B91B9C" w14:textId="77777777" w:rsidR="00C3036D" w:rsidRPr="00FA3F9C" w:rsidRDefault="00C3036D" w:rsidP="00796C6E">
                  <w:pPr>
                    <w:rPr>
                      <w:rFonts w:ascii="Arial" w:hAnsi="Arial" w:cs="Arial"/>
                      <w:sz w:val="24"/>
                      <w:szCs w:val="24"/>
                    </w:rPr>
                  </w:pPr>
                  <w:r w:rsidRPr="00FA3F9C">
                    <w:rPr>
                      <w:rFonts w:ascii="Arial" w:hAnsi="Arial" w:cs="Arial"/>
                      <w:sz w:val="24"/>
                      <w:szCs w:val="24"/>
                    </w:rPr>
                    <w:t xml:space="preserve">Population </w:t>
                  </w:r>
                </w:p>
              </w:tc>
              <w:tc>
                <w:tcPr>
                  <w:tcW w:w="5050" w:type="dxa"/>
                  <w:gridSpan w:val="2"/>
                  <w:shd w:val="clear" w:color="auto" w:fill="D9D9D9" w:themeFill="background1" w:themeFillShade="D9"/>
                </w:tcPr>
                <w:p w14:paraId="2664F2E2" w14:textId="77777777" w:rsidR="00C3036D" w:rsidRPr="00FA3F9C" w:rsidRDefault="00C3036D" w:rsidP="00796C6E">
                  <w:pPr>
                    <w:rPr>
                      <w:rFonts w:ascii="Arial" w:hAnsi="Arial" w:cs="Arial"/>
                      <w:sz w:val="24"/>
                      <w:szCs w:val="24"/>
                    </w:rPr>
                  </w:pPr>
                  <w:r w:rsidRPr="00FA3F9C">
                    <w:rPr>
                      <w:rFonts w:ascii="Arial" w:hAnsi="Arial" w:cs="Arial"/>
                      <w:sz w:val="24"/>
                      <w:szCs w:val="24"/>
                    </w:rPr>
                    <w:t xml:space="preserve">Key Results </w:t>
                  </w:r>
                </w:p>
              </w:tc>
            </w:tr>
            <w:tr w:rsidR="00C3036D" w:rsidRPr="00FA3F9C" w14:paraId="72C372FB" w14:textId="77777777" w:rsidTr="001137EC">
              <w:trPr>
                <w:trHeight w:val="510"/>
              </w:trPr>
              <w:tc>
                <w:tcPr>
                  <w:tcW w:w="1969" w:type="dxa"/>
                  <w:vMerge w:val="restart"/>
                </w:tcPr>
                <w:p w14:paraId="23DAD0C0" w14:textId="77777777" w:rsidR="00C3036D" w:rsidRPr="00FA3F9C" w:rsidRDefault="00C3036D" w:rsidP="00796C6E">
                  <w:pPr>
                    <w:rPr>
                      <w:rFonts w:ascii="Arial" w:hAnsi="Arial" w:cs="Arial"/>
                      <w:sz w:val="24"/>
                      <w:szCs w:val="24"/>
                    </w:rPr>
                  </w:pPr>
                  <w:r w:rsidRPr="00FA3F9C">
                    <w:rPr>
                      <w:rFonts w:ascii="Arial" w:hAnsi="Arial" w:cs="Arial"/>
                      <w:sz w:val="24"/>
                      <w:szCs w:val="24"/>
                    </w:rPr>
                    <w:t>OPTIC</w:t>
                  </w:r>
                  <w:r w:rsidRPr="00FA3F9C">
                    <w:rPr>
                      <w:rFonts w:ascii="Arial" w:hAnsi="Arial" w:cs="Arial"/>
                      <w:sz w:val="24"/>
                      <w:szCs w:val="24"/>
                      <w:vertAlign w:val="superscript"/>
                    </w:rPr>
                    <w:t>1</w:t>
                  </w:r>
                </w:p>
                <w:p w14:paraId="1C8725ED" w14:textId="77777777" w:rsidR="00C3036D" w:rsidRPr="00FA3F9C" w:rsidRDefault="00C3036D" w:rsidP="00796C6E">
                  <w:pPr>
                    <w:rPr>
                      <w:rFonts w:ascii="Arial" w:hAnsi="Arial" w:cs="Arial"/>
                      <w:sz w:val="24"/>
                      <w:szCs w:val="24"/>
                    </w:rPr>
                  </w:pPr>
                  <w:r w:rsidRPr="00FA3F9C">
                    <w:rPr>
                      <w:rFonts w:ascii="Arial" w:hAnsi="Arial" w:cs="Arial"/>
                      <w:sz w:val="24"/>
                      <w:szCs w:val="24"/>
                    </w:rPr>
                    <w:t>NCT02467270</w:t>
                  </w:r>
                </w:p>
                <w:p w14:paraId="07C6B637" w14:textId="77777777" w:rsidR="00C3036D" w:rsidRPr="00FA3F9C" w:rsidRDefault="00C3036D" w:rsidP="00796C6E">
                  <w:pPr>
                    <w:rPr>
                      <w:rFonts w:ascii="Arial" w:hAnsi="Arial" w:cs="Arial"/>
                      <w:sz w:val="24"/>
                      <w:szCs w:val="24"/>
                    </w:rPr>
                  </w:pPr>
                </w:p>
                <w:p w14:paraId="6D490989" w14:textId="77777777" w:rsidR="00C3036D" w:rsidRPr="00FA3F9C" w:rsidRDefault="00C3036D" w:rsidP="00796C6E">
                  <w:pPr>
                    <w:rPr>
                      <w:rFonts w:ascii="Arial" w:hAnsi="Arial" w:cs="Arial"/>
                      <w:sz w:val="24"/>
                      <w:szCs w:val="24"/>
                    </w:rPr>
                  </w:pPr>
                  <w:r w:rsidRPr="00FA3F9C">
                    <w:rPr>
                      <w:rFonts w:ascii="Arial" w:hAnsi="Arial" w:cs="Arial"/>
                      <w:sz w:val="24"/>
                      <w:szCs w:val="24"/>
                    </w:rPr>
                    <w:t>single-arm, dose optimization trial</w:t>
                  </w:r>
                </w:p>
              </w:tc>
              <w:tc>
                <w:tcPr>
                  <w:tcW w:w="4056" w:type="dxa"/>
                  <w:vMerge w:val="restart"/>
                </w:tcPr>
                <w:p w14:paraId="25FFB765" w14:textId="77777777" w:rsidR="00C3036D" w:rsidRPr="00FA3F9C" w:rsidRDefault="00C3036D" w:rsidP="00796C6E">
                  <w:pPr>
                    <w:rPr>
                      <w:rFonts w:ascii="Arial" w:hAnsi="Arial" w:cs="Arial"/>
                      <w:sz w:val="24"/>
                      <w:szCs w:val="24"/>
                    </w:rPr>
                  </w:pPr>
                  <w:r w:rsidRPr="00FA3F9C">
                    <w:rPr>
                      <w:rFonts w:ascii="Arial" w:hAnsi="Arial" w:cs="Arial"/>
                      <w:sz w:val="24"/>
                      <w:szCs w:val="24"/>
                    </w:rPr>
                    <w:t>Chronic phase CML resistant or resistant/intolerant to at least 2 prior kinase inhibitors or who have the T315I mutation</w:t>
                  </w:r>
                </w:p>
                <w:p w14:paraId="5E2B6373" w14:textId="77777777" w:rsidR="00C3036D" w:rsidRPr="00FA3F9C" w:rsidRDefault="00C3036D" w:rsidP="00796C6E">
                  <w:pPr>
                    <w:rPr>
                      <w:rFonts w:ascii="Arial" w:hAnsi="Arial" w:cs="Arial"/>
                      <w:sz w:val="24"/>
                      <w:szCs w:val="24"/>
                    </w:rPr>
                  </w:pPr>
                </w:p>
                <w:p w14:paraId="419310BD" w14:textId="77777777" w:rsidR="00C3036D" w:rsidRPr="00FA3F9C" w:rsidRDefault="00C3036D" w:rsidP="00796C6E">
                  <w:pPr>
                    <w:rPr>
                      <w:rFonts w:ascii="Arial" w:hAnsi="Arial" w:cs="Arial"/>
                      <w:sz w:val="24"/>
                      <w:szCs w:val="24"/>
                    </w:rPr>
                  </w:pPr>
                  <w:r w:rsidRPr="00FA3F9C">
                    <w:rPr>
                      <w:rFonts w:ascii="Arial" w:hAnsi="Arial" w:cs="Arial"/>
                      <w:sz w:val="24"/>
                      <w:szCs w:val="24"/>
                    </w:rPr>
                    <w:t>N=93</w:t>
                  </w:r>
                </w:p>
                <w:p w14:paraId="41F5F3F5" w14:textId="77777777" w:rsidR="00C3036D" w:rsidRPr="00FA3F9C" w:rsidRDefault="00C3036D" w:rsidP="00796C6E">
                  <w:pPr>
                    <w:rPr>
                      <w:rFonts w:ascii="Arial" w:hAnsi="Arial" w:cs="Arial"/>
                      <w:sz w:val="24"/>
                      <w:szCs w:val="24"/>
                    </w:rPr>
                  </w:pPr>
                  <w:r w:rsidRPr="00FA3F9C">
                    <w:rPr>
                      <w:rFonts w:ascii="Arial" w:hAnsi="Arial" w:cs="Arial"/>
                      <w:sz w:val="24"/>
                      <w:szCs w:val="24"/>
                    </w:rPr>
                    <w:t>27% with T315I mutation</w:t>
                  </w:r>
                </w:p>
              </w:tc>
              <w:tc>
                <w:tcPr>
                  <w:tcW w:w="3600" w:type="dxa"/>
                  <w:vAlign w:val="center"/>
                </w:tcPr>
                <w:p w14:paraId="139CDAEB" w14:textId="77777777" w:rsidR="00C3036D" w:rsidRPr="00FA3F9C" w:rsidRDefault="00C3036D" w:rsidP="00796C6E">
                  <w:pPr>
                    <w:rPr>
                      <w:rFonts w:ascii="Arial" w:hAnsi="Arial" w:cs="Arial"/>
                      <w:sz w:val="24"/>
                      <w:szCs w:val="24"/>
                    </w:rPr>
                  </w:pPr>
                  <w:r w:rsidRPr="00FA3F9C">
                    <w:rPr>
                      <w:rFonts w:ascii="Arial" w:hAnsi="Arial" w:cs="Arial"/>
                      <w:sz w:val="24"/>
                      <w:szCs w:val="24"/>
                    </w:rPr>
                    <w:t>Overall ≤1% BCR-ABL1</w:t>
                  </w:r>
                  <w:r w:rsidRPr="00FA3F9C">
                    <w:rPr>
                      <w:rFonts w:ascii="Arial" w:hAnsi="Arial" w:cs="Arial"/>
                      <w:sz w:val="24"/>
                      <w:szCs w:val="24"/>
                      <w:vertAlign w:val="superscript"/>
                    </w:rPr>
                    <w:t>IS</w:t>
                  </w:r>
                  <w:r w:rsidRPr="00FA3F9C">
                    <w:rPr>
                      <w:rFonts w:ascii="Arial" w:hAnsi="Arial" w:cs="Arial"/>
                      <w:sz w:val="24"/>
                      <w:szCs w:val="24"/>
                    </w:rPr>
                    <w:t xml:space="preserve"> Rate at 12 months</w:t>
                  </w:r>
                </w:p>
              </w:tc>
              <w:tc>
                <w:tcPr>
                  <w:tcW w:w="1450" w:type="dxa"/>
                  <w:vAlign w:val="center"/>
                </w:tcPr>
                <w:p w14:paraId="038725D8" w14:textId="77777777" w:rsidR="00C3036D" w:rsidRPr="00FA3F9C" w:rsidRDefault="00C3036D" w:rsidP="00796C6E">
                  <w:pPr>
                    <w:rPr>
                      <w:rFonts w:ascii="Arial" w:hAnsi="Arial" w:cs="Arial"/>
                      <w:sz w:val="24"/>
                      <w:szCs w:val="24"/>
                    </w:rPr>
                  </w:pPr>
                  <w:r w:rsidRPr="00FA3F9C">
                    <w:rPr>
                      <w:rFonts w:ascii="Arial" w:hAnsi="Arial" w:cs="Arial"/>
                      <w:sz w:val="24"/>
                      <w:szCs w:val="24"/>
                    </w:rPr>
                    <w:t>42%</w:t>
                  </w:r>
                </w:p>
              </w:tc>
            </w:tr>
            <w:tr w:rsidR="00C3036D" w:rsidRPr="00FA3F9C" w14:paraId="69388C2C" w14:textId="77777777" w:rsidTr="001137EC">
              <w:trPr>
                <w:trHeight w:val="528"/>
              </w:trPr>
              <w:tc>
                <w:tcPr>
                  <w:tcW w:w="1969" w:type="dxa"/>
                  <w:vMerge/>
                </w:tcPr>
                <w:p w14:paraId="4F1F0B22" w14:textId="77777777" w:rsidR="00C3036D" w:rsidRPr="00FA3F9C" w:rsidRDefault="00C3036D" w:rsidP="00796C6E">
                  <w:pPr>
                    <w:rPr>
                      <w:rFonts w:ascii="Arial" w:hAnsi="Arial" w:cs="Arial"/>
                      <w:sz w:val="24"/>
                      <w:szCs w:val="24"/>
                    </w:rPr>
                  </w:pPr>
                </w:p>
              </w:tc>
              <w:tc>
                <w:tcPr>
                  <w:tcW w:w="4056" w:type="dxa"/>
                  <w:vMerge/>
                </w:tcPr>
                <w:p w14:paraId="74FAEC3E" w14:textId="77777777" w:rsidR="00C3036D" w:rsidRPr="00FA3F9C" w:rsidRDefault="00C3036D" w:rsidP="00796C6E">
                  <w:pPr>
                    <w:rPr>
                      <w:rFonts w:ascii="Arial" w:hAnsi="Arial" w:cs="Arial"/>
                      <w:sz w:val="24"/>
                      <w:szCs w:val="24"/>
                      <w:u w:val="single"/>
                    </w:rPr>
                  </w:pPr>
                </w:p>
              </w:tc>
              <w:tc>
                <w:tcPr>
                  <w:tcW w:w="3600" w:type="dxa"/>
                  <w:tcBorders>
                    <w:bottom w:val="single" w:sz="4" w:space="0" w:color="auto"/>
                  </w:tcBorders>
                  <w:vAlign w:val="center"/>
                </w:tcPr>
                <w:p w14:paraId="5945FF02" w14:textId="77777777" w:rsidR="00C3036D" w:rsidRPr="00FA3F9C" w:rsidRDefault="00C3036D" w:rsidP="00796C6E">
                  <w:pPr>
                    <w:rPr>
                      <w:rFonts w:ascii="Arial" w:hAnsi="Arial" w:cs="Arial"/>
                      <w:sz w:val="24"/>
                      <w:szCs w:val="24"/>
                    </w:rPr>
                  </w:pPr>
                  <w:r w:rsidRPr="00FA3F9C">
                    <w:rPr>
                      <w:rFonts w:ascii="Arial" w:hAnsi="Arial" w:cs="Arial"/>
                      <w:sz w:val="24"/>
                      <w:szCs w:val="24"/>
                    </w:rPr>
                    <w:t>Major cytogenetic response rate</w:t>
                  </w:r>
                </w:p>
              </w:tc>
              <w:tc>
                <w:tcPr>
                  <w:tcW w:w="1450" w:type="dxa"/>
                  <w:tcBorders>
                    <w:bottom w:val="single" w:sz="4" w:space="0" w:color="auto"/>
                  </w:tcBorders>
                  <w:vAlign w:val="center"/>
                </w:tcPr>
                <w:p w14:paraId="6D54CC8F" w14:textId="77777777" w:rsidR="00C3036D" w:rsidRPr="00FA3F9C" w:rsidRDefault="00C3036D" w:rsidP="00796C6E">
                  <w:pPr>
                    <w:rPr>
                      <w:rFonts w:ascii="Arial" w:hAnsi="Arial" w:cs="Arial"/>
                      <w:sz w:val="24"/>
                      <w:szCs w:val="24"/>
                    </w:rPr>
                  </w:pPr>
                  <w:r w:rsidRPr="00FA3F9C">
                    <w:rPr>
                      <w:rFonts w:ascii="Arial" w:hAnsi="Arial" w:cs="Arial"/>
                      <w:sz w:val="24"/>
                      <w:szCs w:val="24"/>
                    </w:rPr>
                    <w:t>49%</w:t>
                  </w:r>
                </w:p>
              </w:tc>
            </w:tr>
            <w:tr w:rsidR="00C3036D" w:rsidRPr="00FA3F9C" w14:paraId="45858242" w14:textId="77777777" w:rsidTr="001137EC">
              <w:trPr>
                <w:trHeight w:val="60"/>
              </w:trPr>
              <w:tc>
                <w:tcPr>
                  <w:tcW w:w="1969" w:type="dxa"/>
                  <w:vMerge w:val="restart"/>
                </w:tcPr>
                <w:p w14:paraId="39666880" w14:textId="77777777" w:rsidR="00C3036D" w:rsidRPr="00FA3F9C" w:rsidRDefault="00C3036D" w:rsidP="00796C6E">
                  <w:pPr>
                    <w:rPr>
                      <w:rFonts w:ascii="Arial" w:hAnsi="Arial" w:cs="Arial"/>
                      <w:sz w:val="24"/>
                      <w:szCs w:val="24"/>
                    </w:rPr>
                  </w:pPr>
                  <w:r w:rsidRPr="00FA3F9C">
                    <w:rPr>
                      <w:rFonts w:ascii="Arial" w:hAnsi="Arial" w:cs="Arial"/>
                      <w:sz w:val="24"/>
                      <w:szCs w:val="24"/>
                    </w:rPr>
                    <w:t>PACE</w:t>
                  </w:r>
                  <w:r w:rsidRPr="00FA3F9C">
                    <w:rPr>
                      <w:rFonts w:ascii="Arial" w:hAnsi="Arial" w:cs="Arial"/>
                      <w:sz w:val="24"/>
                      <w:szCs w:val="24"/>
                      <w:vertAlign w:val="superscript"/>
                    </w:rPr>
                    <w:t>1,2</w:t>
                  </w:r>
                  <w:r w:rsidRPr="00FA3F9C">
                    <w:rPr>
                      <w:rFonts w:ascii="Arial" w:hAnsi="Arial" w:cs="Arial"/>
                      <w:sz w:val="24"/>
                      <w:szCs w:val="24"/>
                    </w:rPr>
                    <w:t xml:space="preserve"> </w:t>
                  </w:r>
                </w:p>
                <w:p w14:paraId="28C3BB49" w14:textId="77777777" w:rsidR="00C3036D" w:rsidRPr="00FA3F9C" w:rsidRDefault="00C3036D" w:rsidP="00796C6E">
                  <w:pPr>
                    <w:rPr>
                      <w:rFonts w:ascii="Arial" w:hAnsi="Arial" w:cs="Arial"/>
                      <w:sz w:val="24"/>
                      <w:szCs w:val="24"/>
                    </w:rPr>
                  </w:pPr>
                  <w:r w:rsidRPr="00FA3F9C">
                    <w:rPr>
                      <w:rFonts w:ascii="Arial" w:hAnsi="Arial" w:cs="Arial"/>
                      <w:sz w:val="24"/>
                      <w:szCs w:val="24"/>
                    </w:rPr>
                    <w:t>NCT01207440</w:t>
                  </w:r>
                </w:p>
                <w:p w14:paraId="77F4AF9D" w14:textId="77777777" w:rsidR="00C3036D" w:rsidRPr="00FA3F9C" w:rsidRDefault="00C3036D" w:rsidP="00796C6E">
                  <w:pPr>
                    <w:rPr>
                      <w:rFonts w:ascii="Arial" w:hAnsi="Arial" w:cs="Arial"/>
                      <w:sz w:val="24"/>
                      <w:szCs w:val="24"/>
                    </w:rPr>
                  </w:pPr>
                </w:p>
                <w:p w14:paraId="010220E9" w14:textId="77777777" w:rsidR="00C3036D" w:rsidRPr="00FA3F9C" w:rsidRDefault="00C3036D" w:rsidP="00796C6E">
                  <w:pPr>
                    <w:rPr>
                      <w:rFonts w:ascii="Arial" w:hAnsi="Arial" w:cs="Arial"/>
                      <w:sz w:val="24"/>
                      <w:szCs w:val="24"/>
                    </w:rPr>
                  </w:pPr>
                  <w:r w:rsidRPr="00FA3F9C">
                    <w:rPr>
                      <w:rFonts w:ascii="Arial" w:hAnsi="Arial" w:cs="Arial"/>
                      <w:sz w:val="24"/>
                      <w:szCs w:val="24"/>
                    </w:rPr>
                    <w:t>single-arm, open-label, international, multicenter trial</w:t>
                  </w:r>
                </w:p>
              </w:tc>
              <w:tc>
                <w:tcPr>
                  <w:tcW w:w="4056" w:type="dxa"/>
                  <w:vMerge w:val="restart"/>
                </w:tcPr>
                <w:p w14:paraId="49B53C52" w14:textId="77777777" w:rsidR="00C3036D" w:rsidRPr="00FA3F9C" w:rsidRDefault="00C3036D" w:rsidP="00796C6E">
                  <w:pPr>
                    <w:rPr>
                      <w:rFonts w:ascii="Arial" w:hAnsi="Arial" w:cs="Arial"/>
                      <w:sz w:val="24"/>
                      <w:szCs w:val="24"/>
                    </w:rPr>
                  </w:pPr>
                  <w:r w:rsidRPr="00FA3F9C">
                    <w:rPr>
                      <w:rFonts w:ascii="Arial" w:hAnsi="Arial" w:cs="Arial"/>
                      <w:sz w:val="24"/>
                      <w:szCs w:val="24"/>
                    </w:rPr>
                    <w:t xml:space="preserve">CML or Ph+ ALL whose disease </w:t>
                  </w:r>
                  <w:proofErr w:type="gramStart"/>
                  <w:r w:rsidRPr="00FA3F9C">
                    <w:rPr>
                      <w:rFonts w:ascii="Arial" w:hAnsi="Arial" w:cs="Arial"/>
                      <w:sz w:val="24"/>
                      <w:szCs w:val="24"/>
                    </w:rPr>
                    <w:t>was considered to be</w:t>
                  </w:r>
                  <w:proofErr w:type="gramEnd"/>
                  <w:r w:rsidRPr="00FA3F9C">
                    <w:rPr>
                      <w:rFonts w:ascii="Arial" w:hAnsi="Arial" w:cs="Arial"/>
                      <w:sz w:val="24"/>
                      <w:szCs w:val="24"/>
                    </w:rPr>
                    <w:t xml:space="preserve"> resistant or intolerant to a prior kinase inhibitor</w:t>
                  </w:r>
                </w:p>
                <w:p w14:paraId="48D8000A" w14:textId="77777777" w:rsidR="00C3036D" w:rsidRPr="00FA3F9C" w:rsidRDefault="00C3036D" w:rsidP="00796C6E">
                  <w:pPr>
                    <w:rPr>
                      <w:rFonts w:ascii="Arial" w:hAnsi="Arial" w:cs="Arial"/>
                      <w:sz w:val="24"/>
                      <w:szCs w:val="24"/>
                    </w:rPr>
                  </w:pPr>
                </w:p>
                <w:p w14:paraId="2186544E" w14:textId="77777777" w:rsidR="00C3036D" w:rsidRPr="00FA3F9C" w:rsidRDefault="00C3036D" w:rsidP="00796C6E">
                  <w:pPr>
                    <w:rPr>
                      <w:rFonts w:ascii="Arial" w:hAnsi="Arial" w:cs="Arial"/>
                      <w:sz w:val="24"/>
                      <w:szCs w:val="24"/>
                    </w:rPr>
                  </w:pPr>
                  <w:r w:rsidRPr="00FA3F9C">
                    <w:rPr>
                      <w:rFonts w:ascii="Arial" w:hAnsi="Arial" w:cs="Arial"/>
                      <w:sz w:val="24"/>
                      <w:szCs w:val="24"/>
                    </w:rPr>
                    <w:t>All patients n=444 (29% with T315I mutation)</w:t>
                  </w:r>
                </w:p>
                <w:p w14:paraId="395CF18E" w14:textId="77777777" w:rsidR="00C3036D" w:rsidRPr="00FA3F9C" w:rsidRDefault="00C3036D" w:rsidP="00796C6E">
                  <w:pPr>
                    <w:rPr>
                      <w:rFonts w:ascii="Arial" w:hAnsi="Arial" w:cs="Arial"/>
                      <w:sz w:val="24"/>
                      <w:szCs w:val="24"/>
                    </w:rPr>
                  </w:pPr>
                  <w:r w:rsidRPr="00FA3F9C">
                    <w:rPr>
                      <w:rFonts w:ascii="Arial" w:hAnsi="Arial" w:cs="Arial"/>
                      <w:sz w:val="24"/>
                      <w:szCs w:val="24"/>
                    </w:rPr>
                    <w:t>CP-CML: n=267</w:t>
                  </w:r>
                </w:p>
                <w:p w14:paraId="3DAB976C" w14:textId="77777777" w:rsidR="00C3036D" w:rsidRPr="00FA3F9C" w:rsidRDefault="00C3036D" w:rsidP="00796C6E">
                  <w:pPr>
                    <w:rPr>
                      <w:rFonts w:ascii="Arial" w:hAnsi="Arial" w:cs="Arial"/>
                      <w:sz w:val="24"/>
                      <w:szCs w:val="24"/>
                    </w:rPr>
                  </w:pPr>
                  <w:r w:rsidRPr="00FA3F9C">
                    <w:rPr>
                      <w:rFonts w:ascii="Arial" w:hAnsi="Arial" w:cs="Arial"/>
                      <w:sz w:val="24"/>
                      <w:szCs w:val="24"/>
                    </w:rPr>
                    <w:t>AP-CML: n=83</w:t>
                  </w:r>
                </w:p>
                <w:p w14:paraId="7ADCE4F8" w14:textId="77777777" w:rsidR="00C3036D" w:rsidRPr="00FA3F9C" w:rsidRDefault="00C3036D" w:rsidP="00796C6E">
                  <w:pPr>
                    <w:rPr>
                      <w:rFonts w:ascii="Arial" w:hAnsi="Arial" w:cs="Arial"/>
                      <w:sz w:val="24"/>
                      <w:szCs w:val="24"/>
                    </w:rPr>
                  </w:pPr>
                  <w:r w:rsidRPr="00FA3F9C">
                    <w:rPr>
                      <w:rFonts w:ascii="Arial" w:hAnsi="Arial" w:cs="Arial"/>
                      <w:sz w:val="24"/>
                      <w:szCs w:val="24"/>
                    </w:rPr>
                    <w:t>BP-CML: n=62</w:t>
                  </w:r>
                </w:p>
                <w:p w14:paraId="0748FD07" w14:textId="77777777" w:rsidR="00C3036D" w:rsidRPr="00FA3F9C" w:rsidRDefault="00C3036D" w:rsidP="00796C6E">
                  <w:pPr>
                    <w:rPr>
                      <w:rFonts w:ascii="Arial" w:hAnsi="Arial" w:cs="Arial"/>
                      <w:sz w:val="24"/>
                      <w:szCs w:val="24"/>
                    </w:rPr>
                  </w:pPr>
                  <w:r w:rsidRPr="00FA3F9C">
                    <w:rPr>
                      <w:rFonts w:ascii="Arial" w:hAnsi="Arial" w:cs="Arial"/>
                      <w:sz w:val="24"/>
                      <w:szCs w:val="24"/>
                    </w:rPr>
                    <w:t>PH+ ALL: n=32</w:t>
                  </w:r>
                </w:p>
                <w:p w14:paraId="161F9DA2" w14:textId="77777777" w:rsidR="00C3036D" w:rsidRPr="00FA3F9C" w:rsidRDefault="00C3036D" w:rsidP="00796C6E">
                  <w:pPr>
                    <w:rPr>
                      <w:rFonts w:ascii="Arial" w:hAnsi="Arial" w:cs="Arial"/>
                      <w:sz w:val="24"/>
                      <w:szCs w:val="24"/>
                    </w:rPr>
                  </w:pPr>
                </w:p>
                <w:p w14:paraId="55EF0A25" w14:textId="77777777" w:rsidR="00C3036D" w:rsidRPr="00FA3F9C" w:rsidRDefault="00C3036D" w:rsidP="00796C6E">
                  <w:pPr>
                    <w:rPr>
                      <w:rFonts w:ascii="Arial" w:hAnsi="Arial" w:cs="Arial"/>
                      <w:sz w:val="24"/>
                      <w:szCs w:val="24"/>
                      <w:u w:val="single"/>
                    </w:rPr>
                  </w:pPr>
                  <w:r w:rsidRPr="00FA3F9C">
                    <w:rPr>
                      <w:rFonts w:ascii="Arial" w:hAnsi="Arial" w:cs="Arial"/>
                      <w:sz w:val="24"/>
                      <w:szCs w:val="24"/>
                      <w:u w:val="single"/>
                    </w:rPr>
                    <w:t xml:space="preserve">Median f/u </w:t>
                  </w:r>
                </w:p>
                <w:p w14:paraId="4E65136B" w14:textId="77777777" w:rsidR="00C3036D" w:rsidRPr="00FA3F9C" w:rsidRDefault="00C3036D" w:rsidP="00796C6E">
                  <w:pPr>
                    <w:rPr>
                      <w:rFonts w:ascii="Arial" w:hAnsi="Arial" w:cs="Arial"/>
                      <w:sz w:val="24"/>
                      <w:szCs w:val="24"/>
                    </w:rPr>
                  </w:pPr>
                  <w:r w:rsidRPr="00FA3F9C">
                    <w:rPr>
                      <w:rFonts w:ascii="Arial" w:hAnsi="Arial" w:cs="Arial"/>
                      <w:sz w:val="24"/>
                      <w:szCs w:val="24"/>
                    </w:rPr>
                    <w:t xml:space="preserve">all patients: 37.3 </w:t>
                  </w:r>
                  <w:proofErr w:type="spellStart"/>
                  <w:r w:rsidRPr="00FA3F9C">
                    <w:rPr>
                      <w:rFonts w:ascii="Arial" w:hAnsi="Arial" w:cs="Arial"/>
                      <w:sz w:val="24"/>
                      <w:szCs w:val="24"/>
                    </w:rPr>
                    <w:t>mo</w:t>
                  </w:r>
                  <w:proofErr w:type="spellEnd"/>
                  <w:r w:rsidRPr="00FA3F9C">
                    <w:rPr>
                      <w:rFonts w:ascii="Arial" w:hAnsi="Arial" w:cs="Arial"/>
                      <w:sz w:val="24"/>
                      <w:szCs w:val="24"/>
                    </w:rPr>
                    <w:t xml:space="preserve"> (median duration of treatment: 16.7 </w:t>
                  </w:r>
                  <w:proofErr w:type="spellStart"/>
                  <w:r w:rsidRPr="00FA3F9C">
                    <w:rPr>
                      <w:rFonts w:ascii="Arial" w:hAnsi="Arial" w:cs="Arial"/>
                      <w:sz w:val="24"/>
                      <w:szCs w:val="24"/>
                    </w:rPr>
                    <w:t>mo</w:t>
                  </w:r>
                  <w:proofErr w:type="spellEnd"/>
                  <w:r w:rsidRPr="00FA3F9C">
                    <w:rPr>
                      <w:rFonts w:ascii="Arial" w:hAnsi="Arial" w:cs="Arial"/>
                      <w:sz w:val="24"/>
                      <w:szCs w:val="24"/>
                    </w:rPr>
                    <w:t>)</w:t>
                  </w:r>
                </w:p>
                <w:p w14:paraId="16A6D1E1" w14:textId="77777777" w:rsidR="00C3036D" w:rsidRPr="00FA3F9C" w:rsidRDefault="00C3036D" w:rsidP="00796C6E">
                  <w:pPr>
                    <w:rPr>
                      <w:rFonts w:ascii="Arial" w:hAnsi="Arial" w:cs="Arial"/>
                      <w:sz w:val="24"/>
                      <w:szCs w:val="24"/>
                    </w:rPr>
                  </w:pPr>
                  <w:r w:rsidRPr="00FA3F9C">
                    <w:rPr>
                      <w:rFonts w:ascii="Arial" w:hAnsi="Arial" w:cs="Arial"/>
                      <w:sz w:val="24"/>
                      <w:szCs w:val="24"/>
                    </w:rPr>
                    <w:t xml:space="preserve">CP-CML patients: 56.8 </w:t>
                  </w:r>
                  <w:proofErr w:type="spellStart"/>
                  <w:r w:rsidRPr="00FA3F9C">
                    <w:rPr>
                      <w:rFonts w:ascii="Arial" w:hAnsi="Arial" w:cs="Arial"/>
                      <w:sz w:val="24"/>
                      <w:szCs w:val="24"/>
                    </w:rPr>
                    <w:t>mo</w:t>
                  </w:r>
                  <w:proofErr w:type="spellEnd"/>
                  <w:r w:rsidRPr="00FA3F9C">
                    <w:rPr>
                      <w:rFonts w:ascii="Arial" w:hAnsi="Arial" w:cs="Arial"/>
                      <w:sz w:val="24"/>
                      <w:szCs w:val="24"/>
                    </w:rPr>
                    <w:t xml:space="preserve"> (median duration of treatment: 32.1 </w:t>
                  </w:r>
                  <w:proofErr w:type="spellStart"/>
                  <w:r w:rsidRPr="00FA3F9C">
                    <w:rPr>
                      <w:rFonts w:ascii="Arial" w:hAnsi="Arial" w:cs="Arial"/>
                      <w:sz w:val="24"/>
                      <w:szCs w:val="24"/>
                    </w:rPr>
                    <w:t>mo</w:t>
                  </w:r>
                  <w:proofErr w:type="spellEnd"/>
                  <w:r w:rsidRPr="00FA3F9C">
                    <w:rPr>
                      <w:rFonts w:ascii="Arial" w:hAnsi="Arial" w:cs="Arial"/>
                      <w:sz w:val="24"/>
                      <w:szCs w:val="24"/>
                    </w:rPr>
                    <w:t>)</w:t>
                  </w:r>
                </w:p>
              </w:tc>
              <w:tc>
                <w:tcPr>
                  <w:tcW w:w="3600" w:type="dxa"/>
                  <w:tcBorders>
                    <w:bottom w:val="nil"/>
                    <w:right w:val="nil"/>
                  </w:tcBorders>
                  <w:vAlign w:val="center"/>
                </w:tcPr>
                <w:p w14:paraId="18CE6EB2" w14:textId="77777777" w:rsidR="00C3036D" w:rsidRPr="00FA3F9C" w:rsidRDefault="00C3036D" w:rsidP="00796C6E">
                  <w:pPr>
                    <w:ind w:left="50"/>
                    <w:rPr>
                      <w:rFonts w:ascii="Arial" w:hAnsi="Arial" w:cs="Arial"/>
                      <w:sz w:val="24"/>
                      <w:szCs w:val="24"/>
                    </w:rPr>
                  </w:pPr>
                  <w:r w:rsidRPr="00FA3F9C">
                    <w:rPr>
                      <w:rFonts w:ascii="Arial" w:hAnsi="Arial" w:cs="Arial"/>
                      <w:sz w:val="24"/>
                      <w:szCs w:val="24"/>
                    </w:rPr>
                    <w:t xml:space="preserve">CP-CML:  MMR </w:t>
                  </w:r>
                </w:p>
              </w:tc>
              <w:tc>
                <w:tcPr>
                  <w:tcW w:w="1450" w:type="dxa"/>
                  <w:tcBorders>
                    <w:left w:val="nil"/>
                    <w:bottom w:val="nil"/>
                  </w:tcBorders>
                  <w:vAlign w:val="center"/>
                </w:tcPr>
                <w:p w14:paraId="427960DB" w14:textId="77777777" w:rsidR="00C3036D" w:rsidRPr="00FA3F9C" w:rsidRDefault="00C3036D" w:rsidP="00796C6E">
                  <w:pPr>
                    <w:rPr>
                      <w:rFonts w:ascii="Arial" w:hAnsi="Arial" w:cs="Arial"/>
                      <w:sz w:val="24"/>
                      <w:szCs w:val="24"/>
                    </w:rPr>
                  </w:pPr>
                  <w:r w:rsidRPr="00FA3F9C">
                    <w:rPr>
                      <w:rFonts w:ascii="Arial" w:hAnsi="Arial" w:cs="Arial"/>
                      <w:sz w:val="24"/>
                      <w:szCs w:val="24"/>
                    </w:rPr>
                    <w:t>40%</w:t>
                  </w:r>
                </w:p>
              </w:tc>
            </w:tr>
            <w:tr w:rsidR="00C3036D" w:rsidRPr="00FA3F9C" w14:paraId="70FAC796" w14:textId="77777777" w:rsidTr="001137EC">
              <w:trPr>
                <w:trHeight w:val="60"/>
              </w:trPr>
              <w:tc>
                <w:tcPr>
                  <w:tcW w:w="1969" w:type="dxa"/>
                  <w:vMerge/>
                </w:tcPr>
                <w:p w14:paraId="2DE2E981" w14:textId="77777777" w:rsidR="00C3036D" w:rsidRPr="00FA3F9C" w:rsidRDefault="00C3036D" w:rsidP="00796C6E">
                  <w:pPr>
                    <w:rPr>
                      <w:rFonts w:ascii="Arial" w:hAnsi="Arial" w:cs="Arial"/>
                      <w:sz w:val="24"/>
                      <w:szCs w:val="24"/>
                    </w:rPr>
                  </w:pPr>
                </w:p>
              </w:tc>
              <w:tc>
                <w:tcPr>
                  <w:tcW w:w="4056" w:type="dxa"/>
                  <w:vMerge/>
                </w:tcPr>
                <w:p w14:paraId="7524D74C" w14:textId="77777777" w:rsidR="00C3036D" w:rsidRPr="00FA3F9C" w:rsidRDefault="00C3036D" w:rsidP="00796C6E">
                  <w:pPr>
                    <w:rPr>
                      <w:rFonts w:ascii="Arial" w:hAnsi="Arial" w:cs="Arial"/>
                      <w:sz w:val="24"/>
                      <w:szCs w:val="24"/>
                      <w:u w:val="single"/>
                    </w:rPr>
                  </w:pPr>
                </w:p>
              </w:tc>
              <w:tc>
                <w:tcPr>
                  <w:tcW w:w="3600" w:type="dxa"/>
                  <w:tcBorders>
                    <w:top w:val="nil"/>
                    <w:bottom w:val="nil"/>
                    <w:right w:val="nil"/>
                  </w:tcBorders>
                  <w:vAlign w:val="center"/>
                </w:tcPr>
                <w:p w14:paraId="21646BDB" w14:textId="77777777" w:rsidR="00C3036D" w:rsidRPr="00FA3F9C" w:rsidRDefault="00C3036D" w:rsidP="00796C6E">
                  <w:pPr>
                    <w:ind w:left="50"/>
                    <w:rPr>
                      <w:rFonts w:ascii="Arial" w:hAnsi="Arial" w:cs="Arial"/>
                      <w:sz w:val="24"/>
                      <w:szCs w:val="24"/>
                    </w:rPr>
                  </w:pPr>
                  <w:r w:rsidRPr="00FA3F9C">
                    <w:rPr>
                      <w:rFonts w:ascii="Arial" w:hAnsi="Arial" w:cs="Arial"/>
                      <w:sz w:val="24"/>
                      <w:szCs w:val="24"/>
                    </w:rPr>
                    <w:t>CP-CML:  Major cytogenetic response rate</w:t>
                  </w:r>
                </w:p>
              </w:tc>
              <w:tc>
                <w:tcPr>
                  <w:tcW w:w="1450" w:type="dxa"/>
                  <w:tcBorders>
                    <w:top w:val="nil"/>
                    <w:left w:val="nil"/>
                    <w:bottom w:val="nil"/>
                  </w:tcBorders>
                  <w:vAlign w:val="center"/>
                </w:tcPr>
                <w:p w14:paraId="248A841B" w14:textId="77777777" w:rsidR="00C3036D" w:rsidRPr="00FA3F9C" w:rsidRDefault="00C3036D" w:rsidP="00796C6E">
                  <w:pPr>
                    <w:rPr>
                      <w:rFonts w:ascii="Arial" w:hAnsi="Arial" w:cs="Arial"/>
                      <w:sz w:val="24"/>
                      <w:szCs w:val="24"/>
                    </w:rPr>
                  </w:pPr>
                  <w:r w:rsidRPr="00FA3F9C">
                    <w:rPr>
                      <w:rFonts w:ascii="Arial" w:hAnsi="Arial" w:cs="Arial"/>
                      <w:sz w:val="24"/>
                      <w:szCs w:val="24"/>
                    </w:rPr>
                    <w:t>60%</w:t>
                  </w:r>
                </w:p>
              </w:tc>
            </w:tr>
            <w:tr w:rsidR="00C3036D" w:rsidRPr="00FA3F9C" w14:paraId="1D48AF70" w14:textId="77777777" w:rsidTr="001137EC">
              <w:trPr>
                <w:trHeight w:val="60"/>
              </w:trPr>
              <w:tc>
                <w:tcPr>
                  <w:tcW w:w="1969" w:type="dxa"/>
                  <w:vMerge/>
                </w:tcPr>
                <w:p w14:paraId="5FC7C624" w14:textId="77777777" w:rsidR="00C3036D" w:rsidRPr="00FA3F9C" w:rsidRDefault="00C3036D" w:rsidP="00796C6E">
                  <w:pPr>
                    <w:rPr>
                      <w:rFonts w:ascii="Arial" w:hAnsi="Arial" w:cs="Arial"/>
                      <w:sz w:val="24"/>
                      <w:szCs w:val="24"/>
                    </w:rPr>
                  </w:pPr>
                </w:p>
              </w:tc>
              <w:tc>
                <w:tcPr>
                  <w:tcW w:w="4056" w:type="dxa"/>
                  <w:vMerge/>
                </w:tcPr>
                <w:p w14:paraId="0E094EA3" w14:textId="77777777" w:rsidR="00C3036D" w:rsidRPr="00FA3F9C" w:rsidRDefault="00C3036D" w:rsidP="00796C6E">
                  <w:pPr>
                    <w:rPr>
                      <w:rFonts w:ascii="Arial" w:hAnsi="Arial" w:cs="Arial"/>
                      <w:sz w:val="24"/>
                      <w:szCs w:val="24"/>
                      <w:u w:val="single"/>
                    </w:rPr>
                  </w:pPr>
                </w:p>
              </w:tc>
              <w:tc>
                <w:tcPr>
                  <w:tcW w:w="3600" w:type="dxa"/>
                  <w:tcBorders>
                    <w:top w:val="nil"/>
                    <w:bottom w:val="nil"/>
                    <w:right w:val="nil"/>
                  </w:tcBorders>
                  <w:vAlign w:val="center"/>
                </w:tcPr>
                <w:p w14:paraId="161A8AD9" w14:textId="77777777" w:rsidR="00C3036D" w:rsidRPr="00FA3F9C" w:rsidRDefault="00C3036D" w:rsidP="00796C6E">
                  <w:pPr>
                    <w:ind w:left="50"/>
                    <w:rPr>
                      <w:rFonts w:ascii="Arial" w:hAnsi="Arial" w:cs="Arial"/>
                      <w:sz w:val="24"/>
                      <w:szCs w:val="24"/>
                      <w:highlight w:val="yellow"/>
                    </w:rPr>
                  </w:pPr>
                  <w:r w:rsidRPr="00FA3F9C">
                    <w:rPr>
                      <w:rFonts w:ascii="Arial" w:hAnsi="Arial" w:cs="Arial"/>
                      <w:sz w:val="24"/>
                      <w:szCs w:val="24"/>
                    </w:rPr>
                    <w:t xml:space="preserve">CP-CML: % of responders remaining in </w:t>
                  </w:r>
                  <w:proofErr w:type="spellStart"/>
                  <w:r w:rsidRPr="00FA3F9C">
                    <w:rPr>
                      <w:rFonts w:ascii="Arial" w:hAnsi="Arial" w:cs="Arial"/>
                      <w:sz w:val="24"/>
                      <w:szCs w:val="24"/>
                    </w:rPr>
                    <w:t>MCyR</w:t>
                  </w:r>
                  <w:proofErr w:type="spellEnd"/>
                  <w:r w:rsidRPr="00FA3F9C">
                    <w:rPr>
                      <w:rFonts w:ascii="Arial" w:hAnsi="Arial" w:cs="Arial"/>
                      <w:sz w:val="24"/>
                      <w:szCs w:val="24"/>
                    </w:rPr>
                    <w:t xml:space="preserve"> at 5y</w:t>
                  </w:r>
                </w:p>
              </w:tc>
              <w:tc>
                <w:tcPr>
                  <w:tcW w:w="1450" w:type="dxa"/>
                  <w:tcBorders>
                    <w:top w:val="nil"/>
                    <w:left w:val="nil"/>
                    <w:bottom w:val="nil"/>
                  </w:tcBorders>
                  <w:vAlign w:val="center"/>
                </w:tcPr>
                <w:p w14:paraId="134D7330" w14:textId="77777777" w:rsidR="00C3036D" w:rsidRPr="00FA3F9C" w:rsidRDefault="00C3036D" w:rsidP="00796C6E">
                  <w:pPr>
                    <w:rPr>
                      <w:rFonts w:ascii="Arial" w:hAnsi="Arial" w:cs="Arial"/>
                      <w:sz w:val="24"/>
                      <w:szCs w:val="24"/>
                      <w:highlight w:val="yellow"/>
                    </w:rPr>
                  </w:pPr>
                  <w:r w:rsidRPr="00FA3F9C">
                    <w:rPr>
                      <w:rFonts w:ascii="Arial" w:hAnsi="Arial" w:cs="Arial"/>
                      <w:sz w:val="24"/>
                      <w:szCs w:val="24"/>
                      <w:highlight w:val="yellow"/>
                    </w:rPr>
                    <w:t>82%</w:t>
                  </w:r>
                </w:p>
              </w:tc>
            </w:tr>
            <w:tr w:rsidR="00C3036D" w:rsidRPr="00FA3F9C" w14:paraId="65B53D63" w14:textId="77777777" w:rsidTr="001137EC">
              <w:trPr>
                <w:trHeight w:val="60"/>
              </w:trPr>
              <w:tc>
                <w:tcPr>
                  <w:tcW w:w="1969" w:type="dxa"/>
                  <w:vMerge/>
                </w:tcPr>
                <w:p w14:paraId="087F1B9B" w14:textId="77777777" w:rsidR="00C3036D" w:rsidRPr="00FA3F9C" w:rsidRDefault="00C3036D" w:rsidP="00796C6E">
                  <w:pPr>
                    <w:rPr>
                      <w:rFonts w:ascii="Arial" w:hAnsi="Arial" w:cs="Arial"/>
                      <w:sz w:val="24"/>
                      <w:szCs w:val="24"/>
                    </w:rPr>
                  </w:pPr>
                </w:p>
              </w:tc>
              <w:tc>
                <w:tcPr>
                  <w:tcW w:w="4056" w:type="dxa"/>
                  <w:vMerge/>
                </w:tcPr>
                <w:p w14:paraId="0F52BA77" w14:textId="77777777" w:rsidR="00C3036D" w:rsidRPr="00FA3F9C" w:rsidRDefault="00C3036D" w:rsidP="00796C6E">
                  <w:pPr>
                    <w:rPr>
                      <w:rFonts w:ascii="Arial" w:hAnsi="Arial" w:cs="Arial"/>
                      <w:sz w:val="24"/>
                      <w:szCs w:val="24"/>
                      <w:u w:val="single"/>
                    </w:rPr>
                  </w:pPr>
                </w:p>
              </w:tc>
              <w:tc>
                <w:tcPr>
                  <w:tcW w:w="3600" w:type="dxa"/>
                  <w:tcBorders>
                    <w:top w:val="nil"/>
                    <w:bottom w:val="nil"/>
                    <w:right w:val="nil"/>
                  </w:tcBorders>
                  <w:vAlign w:val="center"/>
                </w:tcPr>
                <w:p w14:paraId="73C820B3" w14:textId="77777777" w:rsidR="00C3036D" w:rsidRPr="00FA3F9C" w:rsidRDefault="00C3036D" w:rsidP="00796C6E">
                  <w:pPr>
                    <w:ind w:left="50"/>
                    <w:rPr>
                      <w:rFonts w:ascii="Arial" w:hAnsi="Arial" w:cs="Arial"/>
                      <w:sz w:val="24"/>
                      <w:szCs w:val="24"/>
                    </w:rPr>
                  </w:pPr>
                  <w:r w:rsidRPr="00FA3F9C">
                    <w:rPr>
                      <w:rFonts w:ascii="Arial" w:hAnsi="Arial" w:cs="Arial"/>
                      <w:sz w:val="24"/>
                      <w:szCs w:val="24"/>
                    </w:rPr>
                    <w:t>CP-CML: % of responders remaining in MMR at 5y</w:t>
                  </w:r>
                </w:p>
              </w:tc>
              <w:tc>
                <w:tcPr>
                  <w:tcW w:w="1450" w:type="dxa"/>
                  <w:tcBorders>
                    <w:top w:val="nil"/>
                    <w:left w:val="nil"/>
                    <w:bottom w:val="nil"/>
                  </w:tcBorders>
                  <w:shd w:val="clear" w:color="auto" w:fill="auto"/>
                  <w:vAlign w:val="center"/>
                </w:tcPr>
                <w:p w14:paraId="5F9B5914" w14:textId="77777777" w:rsidR="00C3036D" w:rsidRPr="00FA3F9C" w:rsidRDefault="00C3036D" w:rsidP="00796C6E">
                  <w:pPr>
                    <w:rPr>
                      <w:rFonts w:ascii="Arial" w:hAnsi="Arial" w:cs="Arial"/>
                      <w:sz w:val="24"/>
                      <w:szCs w:val="24"/>
                    </w:rPr>
                  </w:pPr>
                  <w:r w:rsidRPr="00FA3F9C">
                    <w:rPr>
                      <w:rFonts w:ascii="Arial" w:hAnsi="Arial" w:cs="Arial"/>
                      <w:sz w:val="24"/>
                      <w:szCs w:val="24"/>
                      <w:highlight w:val="yellow"/>
                    </w:rPr>
                    <w:t>59%</w:t>
                  </w:r>
                </w:p>
              </w:tc>
            </w:tr>
            <w:tr w:rsidR="00C3036D" w:rsidRPr="00FA3F9C" w14:paraId="651132CE" w14:textId="77777777" w:rsidTr="001137EC">
              <w:trPr>
                <w:trHeight w:val="60"/>
              </w:trPr>
              <w:tc>
                <w:tcPr>
                  <w:tcW w:w="1969" w:type="dxa"/>
                  <w:vMerge/>
                </w:tcPr>
                <w:p w14:paraId="7500F918" w14:textId="77777777" w:rsidR="00C3036D" w:rsidRPr="00FA3F9C" w:rsidRDefault="00C3036D" w:rsidP="00796C6E">
                  <w:pPr>
                    <w:rPr>
                      <w:rFonts w:ascii="Arial" w:hAnsi="Arial" w:cs="Arial"/>
                      <w:sz w:val="24"/>
                      <w:szCs w:val="24"/>
                    </w:rPr>
                  </w:pPr>
                </w:p>
              </w:tc>
              <w:tc>
                <w:tcPr>
                  <w:tcW w:w="4056" w:type="dxa"/>
                  <w:vMerge/>
                </w:tcPr>
                <w:p w14:paraId="416110C5" w14:textId="77777777" w:rsidR="00C3036D" w:rsidRPr="00FA3F9C" w:rsidRDefault="00C3036D" w:rsidP="00796C6E">
                  <w:pPr>
                    <w:rPr>
                      <w:rFonts w:ascii="Arial" w:hAnsi="Arial" w:cs="Arial"/>
                      <w:sz w:val="24"/>
                      <w:szCs w:val="24"/>
                      <w:u w:val="single"/>
                    </w:rPr>
                  </w:pPr>
                </w:p>
              </w:tc>
              <w:tc>
                <w:tcPr>
                  <w:tcW w:w="3600" w:type="dxa"/>
                  <w:tcBorders>
                    <w:top w:val="nil"/>
                    <w:bottom w:val="nil"/>
                    <w:right w:val="nil"/>
                  </w:tcBorders>
                  <w:vAlign w:val="center"/>
                </w:tcPr>
                <w:p w14:paraId="43CD2391" w14:textId="77777777" w:rsidR="00C3036D" w:rsidRPr="00FA3F9C" w:rsidRDefault="00C3036D" w:rsidP="00796C6E">
                  <w:pPr>
                    <w:ind w:left="50"/>
                    <w:rPr>
                      <w:rFonts w:ascii="Arial" w:hAnsi="Arial" w:cs="Arial"/>
                      <w:sz w:val="24"/>
                      <w:szCs w:val="24"/>
                      <w:highlight w:val="yellow"/>
                    </w:rPr>
                  </w:pPr>
                  <w:r w:rsidRPr="00FA3F9C">
                    <w:rPr>
                      <w:rFonts w:ascii="Arial" w:hAnsi="Arial" w:cs="Arial"/>
                      <w:sz w:val="24"/>
                      <w:szCs w:val="24"/>
                    </w:rPr>
                    <w:t>CP-CML: PFS at 5 y</w:t>
                  </w:r>
                </w:p>
              </w:tc>
              <w:tc>
                <w:tcPr>
                  <w:tcW w:w="1450" w:type="dxa"/>
                  <w:tcBorders>
                    <w:top w:val="nil"/>
                    <w:left w:val="nil"/>
                    <w:bottom w:val="nil"/>
                  </w:tcBorders>
                  <w:shd w:val="clear" w:color="auto" w:fill="auto"/>
                  <w:vAlign w:val="center"/>
                </w:tcPr>
                <w:p w14:paraId="2FDA4EE3" w14:textId="77777777" w:rsidR="00C3036D" w:rsidRPr="00FA3F9C" w:rsidRDefault="00C3036D" w:rsidP="00796C6E">
                  <w:pPr>
                    <w:rPr>
                      <w:rFonts w:ascii="Arial" w:hAnsi="Arial" w:cs="Arial"/>
                      <w:sz w:val="24"/>
                      <w:szCs w:val="24"/>
                      <w:highlight w:val="yellow"/>
                    </w:rPr>
                  </w:pPr>
                  <w:r w:rsidRPr="00FA3F9C">
                    <w:rPr>
                      <w:rFonts w:ascii="Arial" w:hAnsi="Arial" w:cs="Arial"/>
                      <w:sz w:val="24"/>
                      <w:szCs w:val="24"/>
                    </w:rPr>
                    <w:t>53%</w:t>
                  </w:r>
                </w:p>
              </w:tc>
            </w:tr>
            <w:tr w:rsidR="00C3036D" w:rsidRPr="00FA3F9C" w14:paraId="43B96F16" w14:textId="77777777" w:rsidTr="001137EC">
              <w:trPr>
                <w:trHeight w:val="60"/>
              </w:trPr>
              <w:tc>
                <w:tcPr>
                  <w:tcW w:w="1969" w:type="dxa"/>
                  <w:vMerge/>
                </w:tcPr>
                <w:p w14:paraId="5FD6E898" w14:textId="77777777" w:rsidR="00C3036D" w:rsidRPr="00FA3F9C" w:rsidRDefault="00C3036D" w:rsidP="00796C6E">
                  <w:pPr>
                    <w:rPr>
                      <w:rFonts w:ascii="Arial" w:hAnsi="Arial" w:cs="Arial"/>
                      <w:sz w:val="24"/>
                      <w:szCs w:val="24"/>
                    </w:rPr>
                  </w:pPr>
                </w:p>
              </w:tc>
              <w:tc>
                <w:tcPr>
                  <w:tcW w:w="4056" w:type="dxa"/>
                  <w:vMerge/>
                </w:tcPr>
                <w:p w14:paraId="52A5EE4D" w14:textId="77777777" w:rsidR="00C3036D" w:rsidRPr="00FA3F9C" w:rsidRDefault="00C3036D" w:rsidP="00796C6E">
                  <w:pPr>
                    <w:rPr>
                      <w:rFonts w:ascii="Arial" w:hAnsi="Arial" w:cs="Arial"/>
                      <w:sz w:val="24"/>
                      <w:szCs w:val="24"/>
                      <w:u w:val="single"/>
                    </w:rPr>
                  </w:pPr>
                </w:p>
              </w:tc>
              <w:tc>
                <w:tcPr>
                  <w:tcW w:w="3600" w:type="dxa"/>
                  <w:tcBorders>
                    <w:top w:val="nil"/>
                    <w:bottom w:val="single" w:sz="4" w:space="0" w:color="auto"/>
                    <w:right w:val="nil"/>
                  </w:tcBorders>
                  <w:vAlign w:val="center"/>
                </w:tcPr>
                <w:p w14:paraId="42B3ED12" w14:textId="77777777" w:rsidR="00C3036D" w:rsidRPr="00FA3F9C" w:rsidRDefault="00C3036D" w:rsidP="00796C6E">
                  <w:pPr>
                    <w:ind w:left="50"/>
                    <w:rPr>
                      <w:rFonts w:ascii="Arial" w:hAnsi="Arial" w:cs="Arial"/>
                      <w:sz w:val="24"/>
                      <w:szCs w:val="24"/>
                      <w:lang w:val="es-ES"/>
                    </w:rPr>
                  </w:pPr>
                  <w:r w:rsidRPr="00FA3F9C">
                    <w:rPr>
                      <w:rFonts w:ascii="Arial" w:hAnsi="Arial" w:cs="Arial"/>
                      <w:sz w:val="24"/>
                      <w:szCs w:val="24"/>
                      <w:lang w:val="es-ES"/>
                    </w:rPr>
                    <w:t>CP-CML: OS at 5y</w:t>
                  </w:r>
                </w:p>
              </w:tc>
              <w:tc>
                <w:tcPr>
                  <w:tcW w:w="1450" w:type="dxa"/>
                  <w:tcBorders>
                    <w:top w:val="nil"/>
                    <w:left w:val="nil"/>
                    <w:bottom w:val="single" w:sz="4" w:space="0" w:color="auto"/>
                  </w:tcBorders>
                  <w:shd w:val="clear" w:color="auto" w:fill="auto"/>
                  <w:vAlign w:val="center"/>
                </w:tcPr>
                <w:p w14:paraId="0B9A9100" w14:textId="77777777" w:rsidR="00C3036D" w:rsidRPr="00FA3F9C" w:rsidRDefault="00C3036D" w:rsidP="00796C6E">
                  <w:pPr>
                    <w:rPr>
                      <w:rFonts w:ascii="Arial" w:hAnsi="Arial" w:cs="Arial"/>
                      <w:sz w:val="24"/>
                      <w:szCs w:val="24"/>
                    </w:rPr>
                  </w:pPr>
                  <w:r w:rsidRPr="00FA3F9C">
                    <w:rPr>
                      <w:rFonts w:ascii="Arial" w:hAnsi="Arial" w:cs="Arial"/>
                      <w:sz w:val="24"/>
                      <w:szCs w:val="24"/>
                      <w:highlight w:val="yellow"/>
                    </w:rPr>
                    <w:t>73%</w:t>
                  </w:r>
                </w:p>
              </w:tc>
            </w:tr>
            <w:tr w:rsidR="00C3036D" w:rsidRPr="00FA3F9C" w14:paraId="65A4D4B4" w14:textId="77777777" w:rsidTr="001137EC">
              <w:trPr>
                <w:trHeight w:val="60"/>
              </w:trPr>
              <w:tc>
                <w:tcPr>
                  <w:tcW w:w="1969" w:type="dxa"/>
                  <w:vMerge/>
                </w:tcPr>
                <w:p w14:paraId="3BE780C6" w14:textId="77777777" w:rsidR="00C3036D" w:rsidRPr="00FA3F9C" w:rsidRDefault="00C3036D" w:rsidP="00796C6E">
                  <w:pPr>
                    <w:rPr>
                      <w:rFonts w:ascii="Arial" w:hAnsi="Arial" w:cs="Arial"/>
                      <w:sz w:val="24"/>
                      <w:szCs w:val="24"/>
                    </w:rPr>
                  </w:pPr>
                </w:p>
              </w:tc>
              <w:tc>
                <w:tcPr>
                  <w:tcW w:w="4056" w:type="dxa"/>
                  <w:vMerge/>
                </w:tcPr>
                <w:p w14:paraId="3B440758" w14:textId="77777777" w:rsidR="00C3036D" w:rsidRPr="00FA3F9C" w:rsidRDefault="00C3036D" w:rsidP="00796C6E">
                  <w:pPr>
                    <w:rPr>
                      <w:rFonts w:ascii="Arial" w:hAnsi="Arial" w:cs="Arial"/>
                      <w:sz w:val="24"/>
                      <w:szCs w:val="24"/>
                      <w:u w:val="single"/>
                    </w:rPr>
                  </w:pPr>
                </w:p>
              </w:tc>
              <w:tc>
                <w:tcPr>
                  <w:tcW w:w="3600" w:type="dxa"/>
                  <w:tcBorders>
                    <w:bottom w:val="nil"/>
                    <w:right w:val="nil"/>
                  </w:tcBorders>
                  <w:vAlign w:val="center"/>
                </w:tcPr>
                <w:p w14:paraId="3BDA8586" w14:textId="77777777" w:rsidR="00C3036D" w:rsidRPr="00FA3F9C" w:rsidRDefault="00C3036D" w:rsidP="00796C6E">
                  <w:pPr>
                    <w:ind w:left="50"/>
                    <w:rPr>
                      <w:rFonts w:ascii="Arial" w:hAnsi="Arial" w:cs="Arial"/>
                      <w:sz w:val="24"/>
                      <w:szCs w:val="24"/>
                    </w:rPr>
                  </w:pPr>
                  <w:r w:rsidRPr="00FA3F9C">
                    <w:rPr>
                      <w:rFonts w:ascii="Arial" w:hAnsi="Arial" w:cs="Arial"/>
                      <w:sz w:val="24"/>
                      <w:szCs w:val="24"/>
                    </w:rPr>
                    <w:t>AP-CML:  complete hematologic response rate</w:t>
                  </w:r>
                </w:p>
              </w:tc>
              <w:tc>
                <w:tcPr>
                  <w:tcW w:w="1450" w:type="dxa"/>
                  <w:tcBorders>
                    <w:left w:val="nil"/>
                    <w:bottom w:val="nil"/>
                  </w:tcBorders>
                  <w:vAlign w:val="center"/>
                </w:tcPr>
                <w:p w14:paraId="49413541" w14:textId="77777777" w:rsidR="00C3036D" w:rsidRPr="00FA3F9C" w:rsidRDefault="00C3036D" w:rsidP="00796C6E">
                  <w:pPr>
                    <w:rPr>
                      <w:rFonts w:ascii="Arial" w:hAnsi="Arial" w:cs="Arial"/>
                      <w:sz w:val="24"/>
                      <w:szCs w:val="24"/>
                    </w:rPr>
                  </w:pPr>
                  <w:r w:rsidRPr="00FA3F9C">
                    <w:rPr>
                      <w:rFonts w:ascii="Arial" w:hAnsi="Arial" w:cs="Arial"/>
                      <w:sz w:val="24"/>
                      <w:szCs w:val="24"/>
                    </w:rPr>
                    <w:t>55%</w:t>
                  </w:r>
                </w:p>
              </w:tc>
            </w:tr>
            <w:tr w:rsidR="00C3036D" w:rsidRPr="00FA3F9C" w14:paraId="6312E0F6" w14:textId="77777777" w:rsidTr="001137EC">
              <w:trPr>
                <w:trHeight w:val="60"/>
              </w:trPr>
              <w:tc>
                <w:tcPr>
                  <w:tcW w:w="1969" w:type="dxa"/>
                  <w:vMerge/>
                </w:tcPr>
                <w:p w14:paraId="7F80F246" w14:textId="77777777" w:rsidR="00C3036D" w:rsidRPr="00FA3F9C" w:rsidRDefault="00C3036D" w:rsidP="00796C6E">
                  <w:pPr>
                    <w:rPr>
                      <w:rFonts w:ascii="Arial" w:hAnsi="Arial" w:cs="Arial"/>
                      <w:sz w:val="24"/>
                      <w:szCs w:val="24"/>
                    </w:rPr>
                  </w:pPr>
                </w:p>
              </w:tc>
              <w:tc>
                <w:tcPr>
                  <w:tcW w:w="4056" w:type="dxa"/>
                  <w:vMerge/>
                </w:tcPr>
                <w:p w14:paraId="10DB756C" w14:textId="77777777" w:rsidR="00C3036D" w:rsidRPr="00FA3F9C" w:rsidRDefault="00C3036D" w:rsidP="00796C6E">
                  <w:pPr>
                    <w:rPr>
                      <w:rFonts w:ascii="Arial" w:hAnsi="Arial" w:cs="Arial"/>
                      <w:sz w:val="24"/>
                      <w:szCs w:val="24"/>
                      <w:u w:val="single"/>
                    </w:rPr>
                  </w:pPr>
                </w:p>
              </w:tc>
              <w:tc>
                <w:tcPr>
                  <w:tcW w:w="3600" w:type="dxa"/>
                  <w:tcBorders>
                    <w:top w:val="nil"/>
                    <w:bottom w:val="nil"/>
                    <w:right w:val="nil"/>
                  </w:tcBorders>
                  <w:vAlign w:val="center"/>
                </w:tcPr>
                <w:p w14:paraId="4E346BCD" w14:textId="77777777" w:rsidR="00C3036D" w:rsidRPr="00FA3F9C" w:rsidRDefault="00C3036D" w:rsidP="00796C6E">
                  <w:pPr>
                    <w:ind w:left="50"/>
                    <w:rPr>
                      <w:rFonts w:ascii="Arial" w:hAnsi="Arial" w:cs="Arial"/>
                      <w:sz w:val="24"/>
                      <w:szCs w:val="24"/>
                    </w:rPr>
                  </w:pPr>
                  <w:r w:rsidRPr="00FA3F9C">
                    <w:rPr>
                      <w:rFonts w:ascii="Arial" w:hAnsi="Arial" w:cs="Arial"/>
                      <w:sz w:val="24"/>
                      <w:szCs w:val="24"/>
                    </w:rPr>
                    <w:t xml:space="preserve">AP-CML: PFS at 5 </w:t>
                  </w:r>
                  <w:proofErr w:type="spellStart"/>
                  <w:r w:rsidRPr="00FA3F9C">
                    <w:rPr>
                      <w:rFonts w:ascii="Arial" w:hAnsi="Arial" w:cs="Arial"/>
                      <w:sz w:val="24"/>
                      <w:szCs w:val="24"/>
                    </w:rPr>
                    <w:t>yrs</w:t>
                  </w:r>
                  <w:proofErr w:type="spellEnd"/>
                </w:p>
              </w:tc>
              <w:tc>
                <w:tcPr>
                  <w:tcW w:w="1450" w:type="dxa"/>
                  <w:tcBorders>
                    <w:top w:val="nil"/>
                    <w:left w:val="nil"/>
                    <w:bottom w:val="nil"/>
                  </w:tcBorders>
                  <w:vAlign w:val="center"/>
                </w:tcPr>
                <w:p w14:paraId="4C1880D2" w14:textId="77777777" w:rsidR="00C3036D" w:rsidRPr="00FA3F9C" w:rsidRDefault="00C3036D" w:rsidP="00796C6E">
                  <w:pPr>
                    <w:rPr>
                      <w:rFonts w:ascii="Arial" w:hAnsi="Arial" w:cs="Arial"/>
                      <w:sz w:val="24"/>
                      <w:szCs w:val="24"/>
                    </w:rPr>
                  </w:pPr>
                  <w:r w:rsidRPr="00FA3F9C">
                    <w:rPr>
                      <w:rFonts w:ascii="Arial" w:hAnsi="Arial" w:cs="Arial"/>
                      <w:sz w:val="24"/>
                      <w:szCs w:val="24"/>
                    </w:rPr>
                    <w:t>22%</w:t>
                  </w:r>
                </w:p>
              </w:tc>
            </w:tr>
            <w:tr w:rsidR="00C3036D" w:rsidRPr="00FA3F9C" w14:paraId="1A9E7909" w14:textId="77777777" w:rsidTr="001137EC">
              <w:trPr>
                <w:trHeight w:val="60"/>
              </w:trPr>
              <w:tc>
                <w:tcPr>
                  <w:tcW w:w="1969" w:type="dxa"/>
                  <w:vMerge/>
                </w:tcPr>
                <w:p w14:paraId="664D340D" w14:textId="77777777" w:rsidR="00C3036D" w:rsidRPr="00FA3F9C" w:rsidRDefault="00C3036D" w:rsidP="00796C6E">
                  <w:pPr>
                    <w:rPr>
                      <w:rFonts w:ascii="Arial" w:hAnsi="Arial" w:cs="Arial"/>
                      <w:sz w:val="24"/>
                      <w:szCs w:val="24"/>
                    </w:rPr>
                  </w:pPr>
                </w:p>
              </w:tc>
              <w:tc>
                <w:tcPr>
                  <w:tcW w:w="4056" w:type="dxa"/>
                  <w:vMerge/>
                </w:tcPr>
                <w:p w14:paraId="3AD2CC23" w14:textId="77777777" w:rsidR="00C3036D" w:rsidRPr="00FA3F9C" w:rsidRDefault="00C3036D" w:rsidP="00796C6E">
                  <w:pPr>
                    <w:rPr>
                      <w:rFonts w:ascii="Arial" w:hAnsi="Arial" w:cs="Arial"/>
                      <w:sz w:val="24"/>
                      <w:szCs w:val="24"/>
                      <w:u w:val="single"/>
                    </w:rPr>
                  </w:pPr>
                </w:p>
              </w:tc>
              <w:tc>
                <w:tcPr>
                  <w:tcW w:w="3600" w:type="dxa"/>
                  <w:tcBorders>
                    <w:top w:val="nil"/>
                    <w:bottom w:val="single" w:sz="4" w:space="0" w:color="auto"/>
                    <w:right w:val="nil"/>
                  </w:tcBorders>
                  <w:vAlign w:val="center"/>
                </w:tcPr>
                <w:p w14:paraId="43EE2664" w14:textId="77777777" w:rsidR="00C3036D" w:rsidRPr="00FA3F9C" w:rsidRDefault="00C3036D" w:rsidP="00796C6E">
                  <w:pPr>
                    <w:ind w:left="50"/>
                    <w:rPr>
                      <w:rFonts w:ascii="Arial" w:hAnsi="Arial" w:cs="Arial"/>
                      <w:sz w:val="24"/>
                      <w:szCs w:val="24"/>
                    </w:rPr>
                  </w:pPr>
                  <w:r w:rsidRPr="00FA3F9C">
                    <w:rPr>
                      <w:rFonts w:ascii="Arial" w:hAnsi="Arial" w:cs="Arial"/>
                      <w:sz w:val="24"/>
                      <w:szCs w:val="24"/>
                    </w:rPr>
                    <w:t xml:space="preserve">AP-CML: OS at 5 </w:t>
                  </w:r>
                  <w:proofErr w:type="spellStart"/>
                  <w:r w:rsidRPr="00FA3F9C">
                    <w:rPr>
                      <w:rFonts w:ascii="Arial" w:hAnsi="Arial" w:cs="Arial"/>
                      <w:sz w:val="24"/>
                      <w:szCs w:val="24"/>
                    </w:rPr>
                    <w:t>yrs</w:t>
                  </w:r>
                  <w:proofErr w:type="spellEnd"/>
                </w:p>
              </w:tc>
              <w:tc>
                <w:tcPr>
                  <w:tcW w:w="1450" w:type="dxa"/>
                  <w:tcBorders>
                    <w:top w:val="nil"/>
                    <w:left w:val="nil"/>
                    <w:bottom w:val="single" w:sz="4" w:space="0" w:color="auto"/>
                  </w:tcBorders>
                  <w:vAlign w:val="center"/>
                </w:tcPr>
                <w:p w14:paraId="2243B5B4" w14:textId="77777777" w:rsidR="00C3036D" w:rsidRPr="00FA3F9C" w:rsidRDefault="00C3036D" w:rsidP="00796C6E">
                  <w:pPr>
                    <w:rPr>
                      <w:rFonts w:ascii="Arial" w:hAnsi="Arial" w:cs="Arial"/>
                      <w:sz w:val="24"/>
                      <w:szCs w:val="24"/>
                    </w:rPr>
                  </w:pPr>
                  <w:r w:rsidRPr="00FA3F9C">
                    <w:rPr>
                      <w:rFonts w:ascii="Arial" w:hAnsi="Arial" w:cs="Arial"/>
                      <w:sz w:val="24"/>
                      <w:szCs w:val="24"/>
                    </w:rPr>
                    <w:t>49%</w:t>
                  </w:r>
                </w:p>
              </w:tc>
            </w:tr>
            <w:tr w:rsidR="00C3036D" w:rsidRPr="00FA3F9C" w14:paraId="091FA498" w14:textId="77777777" w:rsidTr="001137EC">
              <w:trPr>
                <w:trHeight w:val="60"/>
              </w:trPr>
              <w:tc>
                <w:tcPr>
                  <w:tcW w:w="1969" w:type="dxa"/>
                  <w:vMerge/>
                </w:tcPr>
                <w:p w14:paraId="4C95FC0D" w14:textId="77777777" w:rsidR="00C3036D" w:rsidRPr="00FA3F9C" w:rsidRDefault="00C3036D" w:rsidP="00796C6E">
                  <w:pPr>
                    <w:rPr>
                      <w:rFonts w:ascii="Arial" w:hAnsi="Arial" w:cs="Arial"/>
                      <w:sz w:val="24"/>
                      <w:szCs w:val="24"/>
                    </w:rPr>
                  </w:pPr>
                </w:p>
              </w:tc>
              <w:tc>
                <w:tcPr>
                  <w:tcW w:w="4056" w:type="dxa"/>
                  <w:vMerge/>
                </w:tcPr>
                <w:p w14:paraId="30F357E3" w14:textId="77777777" w:rsidR="00C3036D" w:rsidRPr="00FA3F9C" w:rsidRDefault="00C3036D" w:rsidP="00796C6E">
                  <w:pPr>
                    <w:rPr>
                      <w:rFonts w:ascii="Arial" w:hAnsi="Arial" w:cs="Arial"/>
                      <w:sz w:val="24"/>
                      <w:szCs w:val="24"/>
                      <w:u w:val="single"/>
                    </w:rPr>
                  </w:pPr>
                </w:p>
              </w:tc>
              <w:tc>
                <w:tcPr>
                  <w:tcW w:w="3600" w:type="dxa"/>
                  <w:tcBorders>
                    <w:bottom w:val="nil"/>
                    <w:right w:val="nil"/>
                  </w:tcBorders>
                  <w:vAlign w:val="center"/>
                </w:tcPr>
                <w:p w14:paraId="027F7F27" w14:textId="77777777" w:rsidR="00C3036D" w:rsidRPr="00FA3F9C" w:rsidRDefault="00C3036D" w:rsidP="00796C6E">
                  <w:pPr>
                    <w:ind w:left="50"/>
                    <w:rPr>
                      <w:rFonts w:ascii="Arial" w:hAnsi="Arial" w:cs="Arial"/>
                      <w:sz w:val="24"/>
                      <w:szCs w:val="24"/>
                    </w:rPr>
                  </w:pPr>
                  <w:r w:rsidRPr="00FA3F9C">
                    <w:rPr>
                      <w:rFonts w:ascii="Arial" w:hAnsi="Arial" w:cs="Arial"/>
                      <w:sz w:val="24"/>
                      <w:szCs w:val="24"/>
                    </w:rPr>
                    <w:t>BP-CML: complete hematologic response rate</w:t>
                  </w:r>
                </w:p>
              </w:tc>
              <w:tc>
                <w:tcPr>
                  <w:tcW w:w="1450" w:type="dxa"/>
                  <w:tcBorders>
                    <w:left w:val="nil"/>
                    <w:bottom w:val="nil"/>
                  </w:tcBorders>
                  <w:vAlign w:val="center"/>
                </w:tcPr>
                <w:p w14:paraId="703DACEB" w14:textId="77777777" w:rsidR="00C3036D" w:rsidRPr="00FA3F9C" w:rsidRDefault="00C3036D" w:rsidP="00796C6E">
                  <w:pPr>
                    <w:rPr>
                      <w:rFonts w:ascii="Arial" w:hAnsi="Arial" w:cs="Arial"/>
                      <w:sz w:val="24"/>
                      <w:szCs w:val="24"/>
                    </w:rPr>
                  </w:pPr>
                  <w:r w:rsidRPr="00FA3F9C">
                    <w:rPr>
                      <w:rFonts w:ascii="Arial" w:hAnsi="Arial" w:cs="Arial"/>
                      <w:sz w:val="24"/>
                      <w:szCs w:val="24"/>
                    </w:rPr>
                    <w:t>21%</w:t>
                  </w:r>
                </w:p>
              </w:tc>
            </w:tr>
            <w:tr w:rsidR="00C3036D" w:rsidRPr="00FA3F9C" w14:paraId="5B7D2916" w14:textId="77777777" w:rsidTr="001137EC">
              <w:trPr>
                <w:trHeight w:val="60"/>
              </w:trPr>
              <w:tc>
                <w:tcPr>
                  <w:tcW w:w="1969" w:type="dxa"/>
                  <w:vMerge/>
                </w:tcPr>
                <w:p w14:paraId="1DFA10F2" w14:textId="77777777" w:rsidR="00C3036D" w:rsidRPr="00FA3F9C" w:rsidRDefault="00C3036D" w:rsidP="00796C6E">
                  <w:pPr>
                    <w:rPr>
                      <w:rFonts w:ascii="Arial" w:hAnsi="Arial" w:cs="Arial"/>
                      <w:sz w:val="24"/>
                      <w:szCs w:val="24"/>
                    </w:rPr>
                  </w:pPr>
                </w:p>
              </w:tc>
              <w:tc>
                <w:tcPr>
                  <w:tcW w:w="4056" w:type="dxa"/>
                  <w:vMerge/>
                </w:tcPr>
                <w:p w14:paraId="1D68D075" w14:textId="77777777" w:rsidR="00C3036D" w:rsidRPr="00FA3F9C" w:rsidRDefault="00C3036D" w:rsidP="00796C6E">
                  <w:pPr>
                    <w:rPr>
                      <w:rFonts w:ascii="Arial" w:hAnsi="Arial" w:cs="Arial"/>
                      <w:sz w:val="24"/>
                      <w:szCs w:val="24"/>
                      <w:u w:val="single"/>
                    </w:rPr>
                  </w:pPr>
                </w:p>
              </w:tc>
              <w:tc>
                <w:tcPr>
                  <w:tcW w:w="3600" w:type="dxa"/>
                  <w:tcBorders>
                    <w:top w:val="nil"/>
                    <w:bottom w:val="nil"/>
                    <w:right w:val="nil"/>
                  </w:tcBorders>
                  <w:vAlign w:val="center"/>
                </w:tcPr>
                <w:p w14:paraId="5911E95A" w14:textId="77777777" w:rsidR="00C3036D" w:rsidRPr="00FA3F9C" w:rsidRDefault="00C3036D" w:rsidP="00796C6E">
                  <w:pPr>
                    <w:ind w:left="50"/>
                    <w:rPr>
                      <w:rFonts w:ascii="Arial" w:hAnsi="Arial" w:cs="Arial"/>
                      <w:sz w:val="24"/>
                      <w:szCs w:val="24"/>
                    </w:rPr>
                  </w:pPr>
                  <w:r w:rsidRPr="00FA3F9C">
                    <w:rPr>
                      <w:rFonts w:ascii="Arial" w:hAnsi="Arial" w:cs="Arial"/>
                      <w:sz w:val="24"/>
                      <w:szCs w:val="24"/>
                    </w:rPr>
                    <w:t xml:space="preserve">BP-CML:  median PFS </w:t>
                  </w:r>
                </w:p>
              </w:tc>
              <w:tc>
                <w:tcPr>
                  <w:tcW w:w="1450" w:type="dxa"/>
                  <w:tcBorders>
                    <w:top w:val="nil"/>
                    <w:left w:val="nil"/>
                    <w:bottom w:val="nil"/>
                  </w:tcBorders>
                  <w:vAlign w:val="center"/>
                </w:tcPr>
                <w:p w14:paraId="1F31FB29" w14:textId="77777777" w:rsidR="00C3036D" w:rsidRPr="00FA3F9C" w:rsidRDefault="00C3036D" w:rsidP="00796C6E">
                  <w:pPr>
                    <w:rPr>
                      <w:rFonts w:ascii="Arial" w:hAnsi="Arial" w:cs="Arial"/>
                      <w:sz w:val="24"/>
                      <w:szCs w:val="24"/>
                    </w:rPr>
                  </w:pPr>
                  <w:r w:rsidRPr="00FA3F9C">
                    <w:rPr>
                      <w:rFonts w:ascii="Arial" w:hAnsi="Arial" w:cs="Arial"/>
                      <w:sz w:val="24"/>
                      <w:szCs w:val="24"/>
                    </w:rPr>
                    <w:t xml:space="preserve">3.7 </w:t>
                  </w:r>
                  <w:proofErr w:type="spellStart"/>
                  <w:r w:rsidRPr="00FA3F9C">
                    <w:rPr>
                      <w:rFonts w:ascii="Arial" w:hAnsi="Arial" w:cs="Arial"/>
                      <w:sz w:val="24"/>
                      <w:szCs w:val="24"/>
                    </w:rPr>
                    <w:t>mo</w:t>
                  </w:r>
                  <w:proofErr w:type="spellEnd"/>
                </w:p>
              </w:tc>
            </w:tr>
            <w:tr w:rsidR="00C3036D" w:rsidRPr="00FA3F9C" w14:paraId="351F91BE" w14:textId="77777777" w:rsidTr="001137EC">
              <w:trPr>
                <w:trHeight w:val="60"/>
              </w:trPr>
              <w:tc>
                <w:tcPr>
                  <w:tcW w:w="1969" w:type="dxa"/>
                  <w:vMerge/>
                </w:tcPr>
                <w:p w14:paraId="6B9E1EFC" w14:textId="77777777" w:rsidR="00C3036D" w:rsidRPr="00FA3F9C" w:rsidRDefault="00C3036D" w:rsidP="00796C6E">
                  <w:pPr>
                    <w:rPr>
                      <w:rFonts w:ascii="Arial" w:hAnsi="Arial" w:cs="Arial"/>
                      <w:sz w:val="24"/>
                      <w:szCs w:val="24"/>
                    </w:rPr>
                  </w:pPr>
                </w:p>
              </w:tc>
              <w:tc>
                <w:tcPr>
                  <w:tcW w:w="4056" w:type="dxa"/>
                  <w:vMerge/>
                </w:tcPr>
                <w:p w14:paraId="2C179C43" w14:textId="77777777" w:rsidR="00C3036D" w:rsidRPr="00FA3F9C" w:rsidRDefault="00C3036D" w:rsidP="00796C6E">
                  <w:pPr>
                    <w:rPr>
                      <w:rFonts w:ascii="Arial" w:hAnsi="Arial" w:cs="Arial"/>
                      <w:sz w:val="24"/>
                      <w:szCs w:val="24"/>
                      <w:u w:val="single"/>
                    </w:rPr>
                  </w:pPr>
                </w:p>
              </w:tc>
              <w:tc>
                <w:tcPr>
                  <w:tcW w:w="3600" w:type="dxa"/>
                  <w:tcBorders>
                    <w:top w:val="nil"/>
                    <w:bottom w:val="single" w:sz="4" w:space="0" w:color="auto"/>
                    <w:right w:val="nil"/>
                  </w:tcBorders>
                  <w:vAlign w:val="center"/>
                </w:tcPr>
                <w:p w14:paraId="20D293C7" w14:textId="77777777" w:rsidR="00C3036D" w:rsidRPr="00FA3F9C" w:rsidRDefault="00C3036D" w:rsidP="00796C6E">
                  <w:pPr>
                    <w:ind w:left="50"/>
                    <w:rPr>
                      <w:rFonts w:ascii="Arial" w:hAnsi="Arial" w:cs="Arial"/>
                      <w:sz w:val="24"/>
                      <w:szCs w:val="24"/>
                    </w:rPr>
                  </w:pPr>
                  <w:r w:rsidRPr="00FA3F9C">
                    <w:rPr>
                      <w:rFonts w:ascii="Arial" w:hAnsi="Arial" w:cs="Arial"/>
                      <w:sz w:val="24"/>
                      <w:szCs w:val="24"/>
                    </w:rPr>
                    <w:t xml:space="preserve">BP-CML:   OS at 3 </w:t>
                  </w:r>
                  <w:proofErr w:type="spellStart"/>
                  <w:r w:rsidRPr="00FA3F9C">
                    <w:rPr>
                      <w:rFonts w:ascii="Arial" w:hAnsi="Arial" w:cs="Arial"/>
                      <w:sz w:val="24"/>
                      <w:szCs w:val="24"/>
                    </w:rPr>
                    <w:t>yrs</w:t>
                  </w:r>
                  <w:proofErr w:type="spellEnd"/>
                </w:p>
              </w:tc>
              <w:tc>
                <w:tcPr>
                  <w:tcW w:w="1450" w:type="dxa"/>
                  <w:tcBorders>
                    <w:top w:val="nil"/>
                    <w:left w:val="nil"/>
                    <w:bottom w:val="single" w:sz="4" w:space="0" w:color="auto"/>
                  </w:tcBorders>
                  <w:vAlign w:val="center"/>
                </w:tcPr>
                <w:p w14:paraId="497C002D" w14:textId="77777777" w:rsidR="00C3036D" w:rsidRPr="00FA3F9C" w:rsidRDefault="00C3036D" w:rsidP="00796C6E">
                  <w:pPr>
                    <w:rPr>
                      <w:rFonts w:ascii="Arial" w:hAnsi="Arial" w:cs="Arial"/>
                      <w:sz w:val="24"/>
                      <w:szCs w:val="24"/>
                    </w:rPr>
                  </w:pPr>
                  <w:r w:rsidRPr="00FA3F9C">
                    <w:rPr>
                      <w:rFonts w:ascii="Arial" w:hAnsi="Arial" w:cs="Arial"/>
                      <w:sz w:val="24"/>
                      <w:szCs w:val="24"/>
                    </w:rPr>
                    <w:t xml:space="preserve">9% </w:t>
                  </w:r>
                </w:p>
              </w:tc>
            </w:tr>
            <w:tr w:rsidR="00C3036D" w:rsidRPr="00FA3F9C" w14:paraId="0DA49F7E" w14:textId="77777777" w:rsidTr="001137EC">
              <w:trPr>
                <w:trHeight w:val="60"/>
              </w:trPr>
              <w:tc>
                <w:tcPr>
                  <w:tcW w:w="1969" w:type="dxa"/>
                  <w:vMerge/>
                </w:tcPr>
                <w:p w14:paraId="1727063C" w14:textId="77777777" w:rsidR="00C3036D" w:rsidRPr="00FA3F9C" w:rsidRDefault="00C3036D" w:rsidP="00796C6E">
                  <w:pPr>
                    <w:rPr>
                      <w:rFonts w:ascii="Arial" w:hAnsi="Arial" w:cs="Arial"/>
                      <w:sz w:val="24"/>
                      <w:szCs w:val="24"/>
                    </w:rPr>
                  </w:pPr>
                </w:p>
              </w:tc>
              <w:tc>
                <w:tcPr>
                  <w:tcW w:w="4056" w:type="dxa"/>
                  <w:vMerge/>
                </w:tcPr>
                <w:p w14:paraId="4F26E7F7" w14:textId="77777777" w:rsidR="00C3036D" w:rsidRPr="00FA3F9C" w:rsidRDefault="00C3036D" w:rsidP="00796C6E">
                  <w:pPr>
                    <w:rPr>
                      <w:rFonts w:ascii="Arial" w:hAnsi="Arial" w:cs="Arial"/>
                      <w:sz w:val="24"/>
                      <w:szCs w:val="24"/>
                      <w:u w:val="single"/>
                    </w:rPr>
                  </w:pPr>
                </w:p>
              </w:tc>
              <w:tc>
                <w:tcPr>
                  <w:tcW w:w="3600" w:type="dxa"/>
                  <w:tcBorders>
                    <w:bottom w:val="nil"/>
                    <w:right w:val="nil"/>
                  </w:tcBorders>
                  <w:vAlign w:val="center"/>
                </w:tcPr>
                <w:p w14:paraId="229DC31A" w14:textId="77777777" w:rsidR="00C3036D" w:rsidRPr="00FA3F9C" w:rsidRDefault="00C3036D" w:rsidP="00796C6E">
                  <w:pPr>
                    <w:ind w:left="50"/>
                    <w:rPr>
                      <w:rFonts w:ascii="Arial" w:hAnsi="Arial" w:cs="Arial"/>
                      <w:sz w:val="24"/>
                      <w:szCs w:val="24"/>
                    </w:rPr>
                  </w:pPr>
                  <w:r w:rsidRPr="00FA3F9C">
                    <w:rPr>
                      <w:rFonts w:ascii="Arial" w:hAnsi="Arial" w:cs="Arial"/>
                      <w:sz w:val="24"/>
                      <w:szCs w:val="24"/>
                    </w:rPr>
                    <w:t>Ph+ ALL:  complete hematologic response rate</w:t>
                  </w:r>
                </w:p>
              </w:tc>
              <w:tc>
                <w:tcPr>
                  <w:tcW w:w="1450" w:type="dxa"/>
                  <w:tcBorders>
                    <w:left w:val="nil"/>
                    <w:bottom w:val="nil"/>
                  </w:tcBorders>
                  <w:vAlign w:val="center"/>
                </w:tcPr>
                <w:p w14:paraId="19528428" w14:textId="77777777" w:rsidR="00C3036D" w:rsidRPr="00FA3F9C" w:rsidRDefault="00C3036D" w:rsidP="00796C6E">
                  <w:pPr>
                    <w:rPr>
                      <w:rFonts w:ascii="Arial" w:hAnsi="Arial" w:cs="Arial"/>
                      <w:sz w:val="24"/>
                      <w:szCs w:val="24"/>
                    </w:rPr>
                  </w:pPr>
                  <w:r w:rsidRPr="00FA3F9C">
                    <w:rPr>
                      <w:rFonts w:ascii="Arial" w:hAnsi="Arial" w:cs="Arial"/>
                      <w:sz w:val="24"/>
                      <w:szCs w:val="24"/>
                    </w:rPr>
                    <w:t>34%</w:t>
                  </w:r>
                </w:p>
              </w:tc>
            </w:tr>
            <w:tr w:rsidR="00C3036D" w:rsidRPr="00FA3F9C" w14:paraId="01DB33C8" w14:textId="77777777" w:rsidTr="001137EC">
              <w:trPr>
                <w:trHeight w:val="60"/>
              </w:trPr>
              <w:tc>
                <w:tcPr>
                  <w:tcW w:w="1969" w:type="dxa"/>
                  <w:vMerge/>
                </w:tcPr>
                <w:p w14:paraId="7F8757A5" w14:textId="77777777" w:rsidR="00C3036D" w:rsidRPr="00FA3F9C" w:rsidRDefault="00C3036D" w:rsidP="00796C6E">
                  <w:pPr>
                    <w:rPr>
                      <w:rFonts w:ascii="Arial" w:hAnsi="Arial" w:cs="Arial"/>
                      <w:sz w:val="24"/>
                      <w:szCs w:val="24"/>
                    </w:rPr>
                  </w:pPr>
                </w:p>
              </w:tc>
              <w:tc>
                <w:tcPr>
                  <w:tcW w:w="4056" w:type="dxa"/>
                  <w:vMerge/>
                </w:tcPr>
                <w:p w14:paraId="063A61F6" w14:textId="77777777" w:rsidR="00C3036D" w:rsidRPr="00FA3F9C" w:rsidRDefault="00C3036D" w:rsidP="00796C6E">
                  <w:pPr>
                    <w:rPr>
                      <w:rFonts w:ascii="Arial" w:hAnsi="Arial" w:cs="Arial"/>
                      <w:sz w:val="24"/>
                      <w:szCs w:val="24"/>
                      <w:u w:val="single"/>
                    </w:rPr>
                  </w:pPr>
                </w:p>
              </w:tc>
              <w:tc>
                <w:tcPr>
                  <w:tcW w:w="3600" w:type="dxa"/>
                  <w:tcBorders>
                    <w:top w:val="nil"/>
                    <w:bottom w:val="nil"/>
                    <w:right w:val="nil"/>
                  </w:tcBorders>
                  <w:vAlign w:val="center"/>
                </w:tcPr>
                <w:p w14:paraId="08CCC827" w14:textId="77777777" w:rsidR="00C3036D" w:rsidRPr="00FA3F9C" w:rsidRDefault="00C3036D" w:rsidP="00796C6E">
                  <w:pPr>
                    <w:ind w:left="50"/>
                    <w:rPr>
                      <w:rFonts w:ascii="Arial" w:hAnsi="Arial" w:cs="Arial"/>
                      <w:sz w:val="24"/>
                      <w:szCs w:val="24"/>
                    </w:rPr>
                  </w:pPr>
                  <w:r w:rsidRPr="00FA3F9C">
                    <w:rPr>
                      <w:rFonts w:ascii="Arial" w:hAnsi="Arial" w:cs="Arial"/>
                      <w:sz w:val="24"/>
                      <w:szCs w:val="24"/>
                    </w:rPr>
                    <w:t xml:space="preserve">Ph+ ALL:  median PFS </w:t>
                  </w:r>
                </w:p>
              </w:tc>
              <w:tc>
                <w:tcPr>
                  <w:tcW w:w="1450" w:type="dxa"/>
                  <w:tcBorders>
                    <w:top w:val="nil"/>
                    <w:left w:val="nil"/>
                    <w:bottom w:val="nil"/>
                  </w:tcBorders>
                  <w:vAlign w:val="center"/>
                </w:tcPr>
                <w:p w14:paraId="332732F8" w14:textId="77777777" w:rsidR="00C3036D" w:rsidRPr="00FA3F9C" w:rsidRDefault="00C3036D" w:rsidP="00796C6E">
                  <w:pPr>
                    <w:rPr>
                      <w:rFonts w:ascii="Arial" w:hAnsi="Arial" w:cs="Arial"/>
                      <w:sz w:val="24"/>
                      <w:szCs w:val="24"/>
                    </w:rPr>
                  </w:pPr>
                  <w:r w:rsidRPr="00FA3F9C">
                    <w:rPr>
                      <w:rFonts w:ascii="Arial" w:hAnsi="Arial" w:cs="Arial"/>
                      <w:sz w:val="24"/>
                      <w:szCs w:val="24"/>
                    </w:rPr>
                    <w:t xml:space="preserve">3 </w:t>
                  </w:r>
                  <w:proofErr w:type="spellStart"/>
                  <w:r w:rsidRPr="00FA3F9C">
                    <w:rPr>
                      <w:rFonts w:ascii="Arial" w:hAnsi="Arial" w:cs="Arial"/>
                      <w:sz w:val="24"/>
                      <w:szCs w:val="24"/>
                    </w:rPr>
                    <w:t>mo</w:t>
                  </w:r>
                  <w:proofErr w:type="spellEnd"/>
                </w:p>
              </w:tc>
            </w:tr>
            <w:tr w:rsidR="00C3036D" w:rsidRPr="00FA3F9C" w14:paraId="400C5E67" w14:textId="77777777" w:rsidTr="001137EC">
              <w:trPr>
                <w:trHeight w:val="50"/>
              </w:trPr>
              <w:tc>
                <w:tcPr>
                  <w:tcW w:w="1969" w:type="dxa"/>
                  <w:vMerge/>
                </w:tcPr>
                <w:p w14:paraId="515E3168" w14:textId="77777777" w:rsidR="00C3036D" w:rsidRPr="00FA3F9C" w:rsidRDefault="00C3036D" w:rsidP="00796C6E">
                  <w:pPr>
                    <w:rPr>
                      <w:rFonts w:ascii="Arial" w:hAnsi="Arial" w:cs="Arial"/>
                      <w:sz w:val="24"/>
                      <w:szCs w:val="24"/>
                    </w:rPr>
                  </w:pPr>
                </w:p>
              </w:tc>
              <w:tc>
                <w:tcPr>
                  <w:tcW w:w="4056" w:type="dxa"/>
                  <w:vMerge/>
                </w:tcPr>
                <w:p w14:paraId="259A5401" w14:textId="77777777" w:rsidR="00C3036D" w:rsidRPr="00FA3F9C" w:rsidRDefault="00C3036D" w:rsidP="00796C6E">
                  <w:pPr>
                    <w:rPr>
                      <w:rFonts w:ascii="Arial" w:hAnsi="Arial" w:cs="Arial"/>
                      <w:sz w:val="24"/>
                      <w:szCs w:val="24"/>
                      <w:u w:val="single"/>
                    </w:rPr>
                  </w:pPr>
                </w:p>
              </w:tc>
              <w:tc>
                <w:tcPr>
                  <w:tcW w:w="3600" w:type="dxa"/>
                  <w:tcBorders>
                    <w:top w:val="nil"/>
                    <w:right w:val="nil"/>
                  </w:tcBorders>
                  <w:vAlign w:val="center"/>
                </w:tcPr>
                <w:p w14:paraId="2C956017" w14:textId="77777777" w:rsidR="00C3036D" w:rsidRPr="00FA3F9C" w:rsidRDefault="00C3036D" w:rsidP="00796C6E">
                  <w:pPr>
                    <w:ind w:left="50"/>
                    <w:rPr>
                      <w:rFonts w:ascii="Arial" w:hAnsi="Arial" w:cs="Arial"/>
                      <w:sz w:val="24"/>
                      <w:szCs w:val="24"/>
                    </w:rPr>
                  </w:pPr>
                  <w:r w:rsidRPr="00FA3F9C">
                    <w:rPr>
                      <w:rFonts w:ascii="Arial" w:hAnsi="Arial" w:cs="Arial"/>
                      <w:sz w:val="24"/>
                      <w:szCs w:val="24"/>
                    </w:rPr>
                    <w:t xml:space="preserve">Ph+ ALL:   OS at 3 </w:t>
                  </w:r>
                  <w:proofErr w:type="spellStart"/>
                  <w:r w:rsidRPr="00FA3F9C">
                    <w:rPr>
                      <w:rFonts w:ascii="Arial" w:hAnsi="Arial" w:cs="Arial"/>
                      <w:sz w:val="24"/>
                      <w:szCs w:val="24"/>
                    </w:rPr>
                    <w:t>yrs</w:t>
                  </w:r>
                  <w:proofErr w:type="spellEnd"/>
                </w:p>
              </w:tc>
              <w:tc>
                <w:tcPr>
                  <w:tcW w:w="1450" w:type="dxa"/>
                  <w:tcBorders>
                    <w:top w:val="nil"/>
                    <w:left w:val="nil"/>
                  </w:tcBorders>
                  <w:vAlign w:val="center"/>
                </w:tcPr>
                <w:p w14:paraId="79940EE5" w14:textId="77777777" w:rsidR="00C3036D" w:rsidRPr="00FA3F9C" w:rsidRDefault="00C3036D" w:rsidP="00796C6E">
                  <w:pPr>
                    <w:rPr>
                      <w:rFonts w:ascii="Arial" w:hAnsi="Arial" w:cs="Arial"/>
                      <w:sz w:val="24"/>
                      <w:szCs w:val="24"/>
                    </w:rPr>
                  </w:pPr>
                  <w:r w:rsidRPr="00FA3F9C">
                    <w:rPr>
                      <w:rFonts w:ascii="Arial" w:hAnsi="Arial" w:cs="Arial"/>
                      <w:sz w:val="24"/>
                      <w:szCs w:val="24"/>
                    </w:rPr>
                    <w:t xml:space="preserve">12% </w:t>
                  </w:r>
                </w:p>
              </w:tc>
            </w:tr>
            <w:tr w:rsidR="00C3036D" w:rsidRPr="00FA3F9C" w14:paraId="68D67167" w14:textId="77777777" w:rsidTr="001137EC">
              <w:trPr>
                <w:trHeight w:val="229"/>
              </w:trPr>
              <w:tc>
                <w:tcPr>
                  <w:tcW w:w="1969" w:type="dxa"/>
                  <w:vMerge w:val="restart"/>
                </w:tcPr>
                <w:p w14:paraId="358E6EF5" w14:textId="77777777" w:rsidR="00C3036D" w:rsidRPr="00FA3F9C" w:rsidRDefault="00C3036D" w:rsidP="00796C6E">
                  <w:pPr>
                    <w:rPr>
                      <w:rFonts w:ascii="Arial" w:hAnsi="Arial" w:cs="Arial"/>
                      <w:sz w:val="24"/>
                      <w:szCs w:val="24"/>
                    </w:rPr>
                  </w:pPr>
                  <w:r w:rsidRPr="00FA3F9C">
                    <w:rPr>
                      <w:rFonts w:ascii="Arial" w:hAnsi="Arial" w:cs="Arial"/>
                      <w:sz w:val="24"/>
                      <w:szCs w:val="24"/>
                    </w:rPr>
                    <w:t>Post hoc, retrospective, indirect comparison</w:t>
                  </w:r>
                  <w:r w:rsidRPr="00FA3F9C">
                    <w:rPr>
                      <w:rFonts w:ascii="Arial" w:hAnsi="Arial" w:cs="Arial"/>
                      <w:sz w:val="24"/>
                      <w:szCs w:val="24"/>
                      <w:vertAlign w:val="superscript"/>
                    </w:rPr>
                    <w:t>3</w:t>
                  </w:r>
                  <w:r w:rsidRPr="00FA3F9C">
                    <w:rPr>
                      <w:rFonts w:ascii="Arial" w:hAnsi="Arial" w:cs="Arial"/>
                      <w:sz w:val="24"/>
                      <w:szCs w:val="24"/>
                    </w:rPr>
                    <w:t xml:space="preserve"> </w:t>
                  </w:r>
                </w:p>
                <w:p w14:paraId="3443892B" w14:textId="77777777" w:rsidR="00C3036D" w:rsidRPr="00FA3F9C" w:rsidRDefault="00C3036D" w:rsidP="00796C6E">
                  <w:pPr>
                    <w:rPr>
                      <w:rFonts w:ascii="Arial" w:hAnsi="Arial" w:cs="Arial"/>
                      <w:sz w:val="24"/>
                      <w:szCs w:val="24"/>
                    </w:rPr>
                  </w:pPr>
                </w:p>
                <w:p w14:paraId="1DF1FA22" w14:textId="77777777" w:rsidR="00C3036D" w:rsidRPr="00FA3F9C" w:rsidRDefault="00C3036D" w:rsidP="00796C6E">
                  <w:pPr>
                    <w:rPr>
                      <w:rFonts w:ascii="Arial" w:hAnsi="Arial" w:cs="Arial"/>
                      <w:sz w:val="24"/>
                      <w:szCs w:val="24"/>
                    </w:rPr>
                  </w:pPr>
                  <w:r w:rsidRPr="00FA3F9C">
                    <w:rPr>
                      <w:rFonts w:ascii="Arial" w:hAnsi="Arial" w:cs="Arial"/>
                      <w:sz w:val="24"/>
                      <w:szCs w:val="24"/>
                    </w:rPr>
                    <w:t>Ponatinib versus allogeneic transplant</w:t>
                  </w:r>
                </w:p>
              </w:tc>
              <w:tc>
                <w:tcPr>
                  <w:tcW w:w="4056" w:type="dxa"/>
                  <w:vMerge w:val="restart"/>
                </w:tcPr>
                <w:p w14:paraId="6715B713" w14:textId="77777777" w:rsidR="00C3036D" w:rsidRPr="00FA3F9C" w:rsidRDefault="00C3036D" w:rsidP="00796C6E">
                  <w:pPr>
                    <w:rPr>
                      <w:rFonts w:ascii="Arial" w:hAnsi="Arial" w:cs="Arial"/>
                      <w:sz w:val="24"/>
                      <w:szCs w:val="24"/>
                    </w:rPr>
                  </w:pPr>
                  <w:r w:rsidRPr="00FA3F9C">
                    <w:rPr>
                      <w:rFonts w:ascii="Arial" w:hAnsi="Arial" w:cs="Arial"/>
                      <w:sz w:val="24"/>
                      <w:szCs w:val="24"/>
                    </w:rPr>
                    <w:t>Included patients how received ponatinib in PACE trial and compared to patients who underwent allogeneic hematopoietic stem cell transplant as reported to the European Bone Marrow Transplant registry</w:t>
                  </w:r>
                </w:p>
                <w:p w14:paraId="471D541B" w14:textId="77777777" w:rsidR="00C3036D" w:rsidRPr="00FA3F9C" w:rsidRDefault="00C3036D" w:rsidP="00796C6E">
                  <w:pPr>
                    <w:rPr>
                      <w:rFonts w:ascii="Arial" w:hAnsi="Arial" w:cs="Arial"/>
                      <w:sz w:val="24"/>
                      <w:szCs w:val="24"/>
                    </w:rPr>
                  </w:pPr>
                </w:p>
                <w:p w14:paraId="4B30617B" w14:textId="77777777" w:rsidR="00C3036D" w:rsidRPr="00FA3F9C" w:rsidRDefault="00C3036D" w:rsidP="00796C6E">
                  <w:pPr>
                    <w:rPr>
                      <w:rFonts w:ascii="Arial" w:hAnsi="Arial" w:cs="Arial"/>
                      <w:sz w:val="24"/>
                      <w:szCs w:val="24"/>
                    </w:rPr>
                  </w:pPr>
                  <w:r w:rsidRPr="00FA3F9C">
                    <w:rPr>
                      <w:rFonts w:ascii="Arial" w:hAnsi="Arial" w:cs="Arial"/>
                      <w:sz w:val="24"/>
                      <w:szCs w:val="24"/>
                    </w:rPr>
                    <w:t>Stratified by CML disease phase and Ph+ ALL</w:t>
                  </w:r>
                </w:p>
                <w:p w14:paraId="1A188513" w14:textId="77777777" w:rsidR="00C3036D" w:rsidRPr="00FA3F9C" w:rsidRDefault="00C3036D" w:rsidP="00796C6E">
                  <w:pPr>
                    <w:rPr>
                      <w:rFonts w:ascii="Arial" w:hAnsi="Arial" w:cs="Arial"/>
                      <w:sz w:val="24"/>
                      <w:szCs w:val="24"/>
                    </w:rPr>
                  </w:pPr>
                  <w:r w:rsidRPr="00FA3F9C">
                    <w:rPr>
                      <w:rFonts w:ascii="Arial" w:hAnsi="Arial" w:cs="Arial"/>
                      <w:sz w:val="24"/>
                      <w:szCs w:val="24"/>
                    </w:rPr>
                    <w:t>Adjusted for confounders</w:t>
                  </w:r>
                </w:p>
                <w:p w14:paraId="39B5F821" w14:textId="77777777" w:rsidR="00C3036D" w:rsidRPr="00FA3F9C" w:rsidRDefault="00C3036D" w:rsidP="00796C6E">
                  <w:pPr>
                    <w:rPr>
                      <w:rFonts w:ascii="Arial" w:hAnsi="Arial" w:cs="Arial"/>
                      <w:sz w:val="24"/>
                      <w:szCs w:val="24"/>
                    </w:rPr>
                  </w:pPr>
                </w:p>
                <w:p w14:paraId="14FCD5BE" w14:textId="77777777" w:rsidR="00C3036D" w:rsidRPr="00FA3F9C" w:rsidRDefault="00C3036D" w:rsidP="00796C6E">
                  <w:pPr>
                    <w:rPr>
                      <w:rFonts w:ascii="Arial" w:hAnsi="Arial" w:cs="Arial"/>
                      <w:sz w:val="24"/>
                      <w:szCs w:val="24"/>
                    </w:rPr>
                  </w:pPr>
                  <w:r w:rsidRPr="00FA3F9C">
                    <w:rPr>
                      <w:rFonts w:ascii="Arial" w:hAnsi="Arial" w:cs="Arial"/>
                      <w:sz w:val="24"/>
                      <w:szCs w:val="24"/>
                    </w:rPr>
                    <w:t>Ponatinib group: n=128</w:t>
                  </w:r>
                </w:p>
                <w:p w14:paraId="42A0A600" w14:textId="77777777" w:rsidR="00C3036D" w:rsidRPr="00FA3F9C" w:rsidRDefault="00C3036D" w:rsidP="00796C6E">
                  <w:pPr>
                    <w:rPr>
                      <w:rFonts w:ascii="Arial" w:hAnsi="Arial" w:cs="Arial"/>
                      <w:sz w:val="24"/>
                      <w:szCs w:val="24"/>
                    </w:rPr>
                  </w:pPr>
                  <w:proofErr w:type="spellStart"/>
                  <w:r w:rsidRPr="00FA3F9C">
                    <w:rPr>
                      <w:rFonts w:ascii="Arial" w:hAnsi="Arial" w:cs="Arial"/>
                      <w:sz w:val="24"/>
                      <w:szCs w:val="24"/>
                    </w:rPr>
                    <w:t>Allo</w:t>
                  </w:r>
                  <w:proofErr w:type="spellEnd"/>
                  <w:r w:rsidRPr="00FA3F9C">
                    <w:rPr>
                      <w:rFonts w:ascii="Arial" w:hAnsi="Arial" w:cs="Arial"/>
                      <w:sz w:val="24"/>
                      <w:szCs w:val="24"/>
                    </w:rPr>
                    <w:t xml:space="preserve"> group: n=56</w:t>
                  </w:r>
                </w:p>
              </w:tc>
              <w:tc>
                <w:tcPr>
                  <w:tcW w:w="3600" w:type="dxa"/>
                  <w:vAlign w:val="center"/>
                </w:tcPr>
                <w:p w14:paraId="280D2EE2" w14:textId="77777777" w:rsidR="00C3036D" w:rsidRPr="00FA3F9C" w:rsidRDefault="00C3036D" w:rsidP="00796C6E">
                  <w:pPr>
                    <w:ind w:left="50"/>
                    <w:rPr>
                      <w:rFonts w:ascii="Arial" w:hAnsi="Arial" w:cs="Arial"/>
                      <w:sz w:val="24"/>
                      <w:szCs w:val="24"/>
                    </w:rPr>
                  </w:pPr>
                  <w:r w:rsidRPr="00FA3F9C">
                    <w:rPr>
                      <w:rFonts w:ascii="Arial" w:hAnsi="Arial" w:cs="Arial"/>
                      <w:sz w:val="24"/>
                      <w:szCs w:val="24"/>
                    </w:rPr>
                    <w:t>CP-CML: OS at 24 months (</w:t>
                  </w:r>
                  <w:proofErr w:type="spellStart"/>
                  <w:r w:rsidRPr="00FA3F9C">
                    <w:rPr>
                      <w:rFonts w:ascii="Arial" w:hAnsi="Arial" w:cs="Arial"/>
                      <w:sz w:val="24"/>
                      <w:szCs w:val="24"/>
                    </w:rPr>
                    <w:t>ponat</w:t>
                  </w:r>
                  <w:proofErr w:type="spellEnd"/>
                  <w:r w:rsidRPr="00FA3F9C">
                    <w:rPr>
                      <w:rFonts w:ascii="Arial" w:hAnsi="Arial" w:cs="Arial"/>
                      <w:sz w:val="24"/>
                      <w:szCs w:val="24"/>
                    </w:rPr>
                    <w:t xml:space="preserve"> vs. </w:t>
                  </w:r>
                  <w:proofErr w:type="spellStart"/>
                  <w:r w:rsidRPr="00FA3F9C">
                    <w:rPr>
                      <w:rFonts w:ascii="Arial" w:hAnsi="Arial" w:cs="Arial"/>
                      <w:sz w:val="24"/>
                      <w:szCs w:val="24"/>
                    </w:rPr>
                    <w:t>allo</w:t>
                  </w:r>
                  <w:proofErr w:type="spellEnd"/>
                  <w:r w:rsidRPr="00FA3F9C">
                    <w:rPr>
                      <w:rFonts w:ascii="Arial" w:hAnsi="Arial" w:cs="Arial"/>
                      <w:sz w:val="24"/>
                      <w:szCs w:val="24"/>
                    </w:rPr>
                    <w:t>)</w:t>
                  </w:r>
                </w:p>
              </w:tc>
              <w:tc>
                <w:tcPr>
                  <w:tcW w:w="1450" w:type="dxa"/>
                  <w:vAlign w:val="center"/>
                </w:tcPr>
                <w:p w14:paraId="1CCC68A0" w14:textId="77777777" w:rsidR="00C3036D" w:rsidRPr="00FA3F9C" w:rsidRDefault="00C3036D" w:rsidP="00796C6E">
                  <w:pPr>
                    <w:rPr>
                      <w:rFonts w:ascii="Arial" w:hAnsi="Arial" w:cs="Arial"/>
                      <w:sz w:val="24"/>
                      <w:szCs w:val="24"/>
                      <w:highlight w:val="yellow"/>
                    </w:rPr>
                  </w:pPr>
                  <w:r w:rsidRPr="00FA3F9C">
                    <w:rPr>
                      <w:rFonts w:ascii="Arial" w:hAnsi="Arial" w:cs="Arial"/>
                      <w:sz w:val="24"/>
                      <w:szCs w:val="24"/>
                      <w:highlight w:val="yellow"/>
                    </w:rPr>
                    <w:t xml:space="preserve">85% vs 61% </w:t>
                  </w:r>
                  <w:r w:rsidRPr="00FA3F9C">
                    <w:rPr>
                      <w:rFonts w:ascii="Arial" w:hAnsi="Arial" w:cs="Arial"/>
                      <w:i/>
                      <w:iCs/>
                      <w:color w:val="000000"/>
                      <w:sz w:val="24"/>
                      <w:szCs w:val="24"/>
                      <w:highlight w:val="yellow"/>
                      <w:shd w:val="clear" w:color="auto" w:fill="FFFFFF"/>
                    </w:rPr>
                    <w:t xml:space="preserve"> </w:t>
                  </w:r>
                  <w:r w:rsidRPr="00FA3F9C">
                    <w:rPr>
                      <w:rFonts w:ascii="Arial" w:hAnsi="Arial" w:cs="Arial"/>
                      <w:i/>
                      <w:iCs/>
                      <w:sz w:val="24"/>
                      <w:szCs w:val="24"/>
                      <w:highlight w:val="yellow"/>
                    </w:rPr>
                    <w:t>P</w:t>
                  </w:r>
                  <w:r w:rsidRPr="00FA3F9C">
                    <w:rPr>
                      <w:rFonts w:ascii="Arial" w:hAnsi="Arial" w:cs="Arial"/>
                      <w:sz w:val="24"/>
                      <w:szCs w:val="24"/>
                      <w:highlight w:val="yellow"/>
                    </w:rPr>
                    <w:t> = 0.004</w:t>
                  </w:r>
                </w:p>
              </w:tc>
            </w:tr>
            <w:tr w:rsidR="00C3036D" w:rsidRPr="00FA3F9C" w14:paraId="1C9149D1" w14:textId="77777777" w:rsidTr="001137EC">
              <w:trPr>
                <w:trHeight w:val="227"/>
              </w:trPr>
              <w:tc>
                <w:tcPr>
                  <w:tcW w:w="1969" w:type="dxa"/>
                  <w:vMerge/>
                </w:tcPr>
                <w:p w14:paraId="05C96DDD" w14:textId="77777777" w:rsidR="00C3036D" w:rsidRPr="00FA3F9C" w:rsidRDefault="00C3036D" w:rsidP="00796C6E">
                  <w:pPr>
                    <w:rPr>
                      <w:rFonts w:ascii="Arial" w:hAnsi="Arial" w:cs="Arial"/>
                      <w:sz w:val="24"/>
                      <w:szCs w:val="24"/>
                    </w:rPr>
                  </w:pPr>
                </w:p>
              </w:tc>
              <w:tc>
                <w:tcPr>
                  <w:tcW w:w="4056" w:type="dxa"/>
                  <w:vMerge/>
                </w:tcPr>
                <w:p w14:paraId="1B886AEA" w14:textId="77777777" w:rsidR="00C3036D" w:rsidRPr="00FA3F9C" w:rsidRDefault="00C3036D" w:rsidP="00796C6E">
                  <w:pPr>
                    <w:rPr>
                      <w:rFonts w:ascii="Arial" w:hAnsi="Arial" w:cs="Arial"/>
                      <w:sz w:val="24"/>
                      <w:szCs w:val="24"/>
                    </w:rPr>
                  </w:pPr>
                </w:p>
              </w:tc>
              <w:tc>
                <w:tcPr>
                  <w:tcW w:w="3600" w:type="dxa"/>
                  <w:vAlign w:val="center"/>
                </w:tcPr>
                <w:p w14:paraId="5B7A4C40" w14:textId="77777777" w:rsidR="00C3036D" w:rsidRPr="00FA3F9C" w:rsidRDefault="00C3036D" w:rsidP="00796C6E">
                  <w:pPr>
                    <w:ind w:left="50"/>
                    <w:rPr>
                      <w:rFonts w:ascii="Arial" w:hAnsi="Arial" w:cs="Arial"/>
                      <w:sz w:val="24"/>
                      <w:szCs w:val="24"/>
                    </w:rPr>
                  </w:pPr>
                  <w:r w:rsidRPr="00FA3F9C">
                    <w:rPr>
                      <w:rFonts w:ascii="Arial" w:hAnsi="Arial" w:cs="Arial"/>
                      <w:sz w:val="24"/>
                      <w:szCs w:val="24"/>
                    </w:rPr>
                    <w:t>CP-CML: OS at 48 months (</w:t>
                  </w:r>
                  <w:proofErr w:type="spellStart"/>
                  <w:r w:rsidRPr="00FA3F9C">
                    <w:rPr>
                      <w:rFonts w:ascii="Arial" w:hAnsi="Arial" w:cs="Arial"/>
                      <w:sz w:val="24"/>
                      <w:szCs w:val="24"/>
                    </w:rPr>
                    <w:t>ponat</w:t>
                  </w:r>
                  <w:proofErr w:type="spellEnd"/>
                  <w:r w:rsidRPr="00FA3F9C">
                    <w:rPr>
                      <w:rFonts w:ascii="Arial" w:hAnsi="Arial" w:cs="Arial"/>
                      <w:sz w:val="24"/>
                      <w:szCs w:val="24"/>
                    </w:rPr>
                    <w:t xml:space="preserve"> vs. </w:t>
                  </w:r>
                  <w:proofErr w:type="spellStart"/>
                  <w:r w:rsidRPr="00FA3F9C">
                    <w:rPr>
                      <w:rFonts w:ascii="Arial" w:hAnsi="Arial" w:cs="Arial"/>
                      <w:sz w:val="24"/>
                      <w:szCs w:val="24"/>
                    </w:rPr>
                    <w:t>allo</w:t>
                  </w:r>
                  <w:proofErr w:type="spellEnd"/>
                  <w:r w:rsidRPr="00FA3F9C">
                    <w:rPr>
                      <w:rFonts w:ascii="Arial" w:hAnsi="Arial" w:cs="Arial"/>
                      <w:sz w:val="24"/>
                      <w:szCs w:val="24"/>
                    </w:rPr>
                    <w:t>)</w:t>
                  </w:r>
                </w:p>
              </w:tc>
              <w:tc>
                <w:tcPr>
                  <w:tcW w:w="1450" w:type="dxa"/>
                  <w:vAlign w:val="center"/>
                </w:tcPr>
                <w:p w14:paraId="7DCC2AC2" w14:textId="77777777" w:rsidR="00C3036D" w:rsidRPr="00FA3F9C" w:rsidRDefault="00C3036D" w:rsidP="00796C6E">
                  <w:pPr>
                    <w:rPr>
                      <w:rFonts w:ascii="Arial" w:hAnsi="Arial" w:cs="Arial"/>
                      <w:sz w:val="24"/>
                      <w:szCs w:val="24"/>
                      <w:highlight w:val="yellow"/>
                    </w:rPr>
                  </w:pPr>
                  <w:r w:rsidRPr="00FA3F9C">
                    <w:rPr>
                      <w:rFonts w:ascii="Arial" w:hAnsi="Arial" w:cs="Arial"/>
                      <w:sz w:val="24"/>
                      <w:szCs w:val="24"/>
                      <w:highlight w:val="yellow"/>
                    </w:rPr>
                    <w:t xml:space="preserve">73% vs 56% </w:t>
                  </w:r>
                  <w:r w:rsidRPr="00FA3F9C">
                    <w:rPr>
                      <w:rFonts w:ascii="Arial" w:hAnsi="Arial" w:cs="Arial"/>
                      <w:i/>
                      <w:iCs/>
                      <w:color w:val="000000"/>
                      <w:sz w:val="24"/>
                      <w:szCs w:val="24"/>
                      <w:highlight w:val="yellow"/>
                      <w:shd w:val="clear" w:color="auto" w:fill="FFFFFF"/>
                    </w:rPr>
                    <w:t xml:space="preserve"> </w:t>
                  </w:r>
                  <w:r w:rsidRPr="00FA3F9C">
                    <w:rPr>
                      <w:rFonts w:ascii="Arial" w:hAnsi="Arial" w:cs="Arial"/>
                      <w:i/>
                      <w:iCs/>
                      <w:sz w:val="24"/>
                      <w:szCs w:val="24"/>
                      <w:highlight w:val="yellow"/>
                    </w:rPr>
                    <w:t>P</w:t>
                  </w:r>
                  <w:r w:rsidRPr="00FA3F9C">
                    <w:rPr>
                      <w:rFonts w:ascii="Arial" w:hAnsi="Arial" w:cs="Arial"/>
                      <w:sz w:val="24"/>
                      <w:szCs w:val="24"/>
                      <w:highlight w:val="yellow"/>
                    </w:rPr>
                    <w:t> = 0.013</w:t>
                  </w:r>
                </w:p>
              </w:tc>
            </w:tr>
            <w:tr w:rsidR="00C3036D" w:rsidRPr="00FA3F9C" w14:paraId="51B0EB65" w14:textId="77777777" w:rsidTr="001137EC">
              <w:trPr>
                <w:trHeight w:val="227"/>
              </w:trPr>
              <w:tc>
                <w:tcPr>
                  <w:tcW w:w="1969" w:type="dxa"/>
                  <w:vMerge/>
                </w:tcPr>
                <w:p w14:paraId="0CC99BCA" w14:textId="77777777" w:rsidR="00C3036D" w:rsidRPr="00FA3F9C" w:rsidRDefault="00C3036D" w:rsidP="00796C6E">
                  <w:pPr>
                    <w:rPr>
                      <w:rFonts w:ascii="Arial" w:hAnsi="Arial" w:cs="Arial"/>
                      <w:sz w:val="24"/>
                      <w:szCs w:val="24"/>
                    </w:rPr>
                  </w:pPr>
                </w:p>
              </w:tc>
              <w:tc>
                <w:tcPr>
                  <w:tcW w:w="4056" w:type="dxa"/>
                  <w:vMerge/>
                </w:tcPr>
                <w:p w14:paraId="2D6A4516" w14:textId="77777777" w:rsidR="00C3036D" w:rsidRPr="00FA3F9C" w:rsidRDefault="00C3036D" w:rsidP="00796C6E">
                  <w:pPr>
                    <w:rPr>
                      <w:rFonts w:ascii="Arial" w:hAnsi="Arial" w:cs="Arial"/>
                      <w:sz w:val="24"/>
                      <w:szCs w:val="24"/>
                    </w:rPr>
                  </w:pPr>
                </w:p>
              </w:tc>
              <w:tc>
                <w:tcPr>
                  <w:tcW w:w="3600" w:type="dxa"/>
                  <w:vAlign w:val="center"/>
                </w:tcPr>
                <w:p w14:paraId="60E93961" w14:textId="77777777" w:rsidR="00C3036D" w:rsidRPr="00FA3F9C" w:rsidRDefault="00C3036D" w:rsidP="00796C6E">
                  <w:pPr>
                    <w:ind w:left="50"/>
                    <w:rPr>
                      <w:rFonts w:ascii="Arial" w:hAnsi="Arial" w:cs="Arial"/>
                      <w:sz w:val="24"/>
                      <w:szCs w:val="24"/>
                    </w:rPr>
                  </w:pPr>
                  <w:r w:rsidRPr="00FA3F9C">
                    <w:rPr>
                      <w:rFonts w:ascii="Arial" w:hAnsi="Arial" w:cs="Arial"/>
                      <w:sz w:val="24"/>
                      <w:szCs w:val="24"/>
                    </w:rPr>
                    <w:t>BP-CML: (</w:t>
                  </w:r>
                  <w:proofErr w:type="spellStart"/>
                  <w:r w:rsidRPr="00FA3F9C">
                    <w:rPr>
                      <w:rFonts w:ascii="Arial" w:hAnsi="Arial" w:cs="Arial"/>
                      <w:sz w:val="24"/>
                      <w:szCs w:val="24"/>
                    </w:rPr>
                    <w:t>ponat</w:t>
                  </w:r>
                  <w:proofErr w:type="spellEnd"/>
                  <w:r w:rsidRPr="00FA3F9C">
                    <w:rPr>
                      <w:rFonts w:ascii="Arial" w:hAnsi="Arial" w:cs="Arial"/>
                      <w:sz w:val="24"/>
                      <w:szCs w:val="24"/>
                    </w:rPr>
                    <w:t xml:space="preserve"> vs. </w:t>
                  </w:r>
                  <w:proofErr w:type="spellStart"/>
                  <w:r w:rsidRPr="00FA3F9C">
                    <w:rPr>
                      <w:rFonts w:ascii="Arial" w:hAnsi="Arial" w:cs="Arial"/>
                      <w:sz w:val="24"/>
                      <w:szCs w:val="24"/>
                    </w:rPr>
                    <w:t>allo</w:t>
                  </w:r>
                  <w:proofErr w:type="spellEnd"/>
                  <w:r w:rsidRPr="00FA3F9C">
                    <w:rPr>
                      <w:rFonts w:ascii="Arial" w:hAnsi="Arial" w:cs="Arial"/>
                      <w:sz w:val="24"/>
                      <w:szCs w:val="24"/>
                    </w:rPr>
                    <w:t>)</w:t>
                  </w:r>
                </w:p>
              </w:tc>
              <w:tc>
                <w:tcPr>
                  <w:tcW w:w="1450" w:type="dxa"/>
                  <w:vAlign w:val="center"/>
                </w:tcPr>
                <w:p w14:paraId="6E4B16A7" w14:textId="77777777" w:rsidR="00C3036D" w:rsidRPr="00FA3F9C" w:rsidRDefault="00C3036D" w:rsidP="00796C6E">
                  <w:pPr>
                    <w:rPr>
                      <w:rFonts w:ascii="Arial" w:hAnsi="Arial" w:cs="Arial"/>
                      <w:sz w:val="24"/>
                      <w:szCs w:val="24"/>
                    </w:rPr>
                  </w:pPr>
                  <w:r w:rsidRPr="00FA3F9C">
                    <w:rPr>
                      <w:rFonts w:ascii="Arial" w:hAnsi="Arial" w:cs="Arial"/>
                      <w:sz w:val="24"/>
                      <w:szCs w:val="24"/>
                      <w:highlight w:val="yellow"/>
                    </w:rPr>
                    <w:t>HR, 2.29 [95% CI, 1.08</w:t>
                  </w:r>
                  <w:r w:rsidRPr="00FA3F9C">
                    <w:rPr>
                      <w:rFonts w:ascii="Cambria Math" w:hAnsi="Cambria Math" w:cs="Cambria Math"/>
                      <w:sz w:val="24"/>
                      <w:szCs w:val="24"/>
                      <w:highlight w:val="yellow"/>
                    </w:rPr>
                    <w:t>‐</w:t>
                  </w:r>
                  <w:r w:rsidRPr="00FA3F9C">
                    <w:rPr>
                      <w:rFonts w:ascii="Arial" w:hAnsi="Arial" w:cs="Arial"/>
                      <w:sz w:val="24"/>
                      <w:szCs w:val="24"/>
                      <w:highlight w:val="yellow"/>
                    </w:rPr>
                    <w:t>4.82; </w:t>
                  </w:r>
                  <w:r w:rsidRPr="00FA3F9C">
                    <w:rPr>
                      <w:rFonts w:ascii="Arial" w:hAnsi="Arial" w:cs="Arial"/>
                      <w:i/>
                      <w:iCs/>
                      <w:sz w:val="24"/>
                      <w:szCs w:val="24"/>
                      <w:highlight w:val="yellow"/>
                    </w:rPr>
                    <w:t>P</w:t>
                  </w:r>
                  <w:r w:rsidRPr="00FA3F9C">
                    <w:rPr>
                      <w:rFonts w:ascii="Arial" w:hAnsi="Arial" w:cs="Arial"/>
                      <w:sz w:val="24"/>
                      <w:szCs w:val="24"/>
                      <w:highlight w:val="yellow"/>
                    </w:rPr>
                    <w:t> = .030]</w:t>
                  </w:r>
                </w:p>
              </w:tc>
            </w:tr>
            <w:tr w:rsidR="00C3036D" w:rsidRPr="00FA3F9C" w14:paraId="4CB07655" w14:textId="77777777" w:rsidTr="001137EC">
              <w:trPr>
                <w:trHeight w:val="227"/>
              </w:trPr>
              <w:tc>
                <w:tcPr>
                  <w:tcW w:w="1969" w:type="dxa"/>
                  <w:vMerge/>
                </w:tcPr>
                <w:p w14:paraId="0B435CBC" w14:textId="77777777" w:rsidR="00C3036D" w:rsidRPr="00FA3F9C" w:rsidRDefault="00C3036D" w:rsidP="00796C6E">
                  <w:pPr>
                    <w:rPr>
                      <w:rFonts w:ascii="Arial" w:hAnsi="Arial" w:cs="Arial"/>
                      <w:sz w:val="24"/>
                      <w:szCs w:val="24"/>
                    </w:rPr>
                  </w:pPr>
                </w:p>
              </w:tc>
              <w:tc>
                <w:tcPr>
                  <w:tcW w:w="4056" w:type="dxa"/>
                  <w:vMerge/>
                </w:tcPr>
                <w:p w14:paraId="32494003" w14:textId="77777777" w:rsidR="00C3036D" w:rsidRPr="00FA3F9C" w:rsidRDefault="00C3036D" w:rsidP="00796C6E">
                  <w:pPr>
                    <w:rPr>
                      <w:rFonts w:ascii="Arial" w:hAnsi="Arial" w:cs="Arial"/>
                      <w:sz w:val="24"/>
                      <w:szCs w:val="24"/>
                    </w:rPr>
                  </w:pPr>
                </w:p>
              </w:tc>
              <w:tc>
                <w:tcPr>
                  <w:tcW w:w="3600" w:type="dxa"/>
                  <w:vAlign w:val="center"/>
                </w:tcPr>
                <w:p w14:paraId="3F2970E8" w14:textId="77777777" w:rsidR="00C3036D" w:rsidRPr="00FA3F9C" w:rsidRDefault="00C3036D" w:rsidP="00796C6E">
                  <w:pPr>
                    <w:ind w:left="50"/>
                    <w:rPr>
                      <w:rFonts w:ascii="Arial" w:hAnsi="Arial" w:cs="Arial"/>
                      <w:sz w:val="24"/>
                      <w:szCs w:val="24"/>
                    </w:rPr>
                  </w:pPr>
                  <w:r w:rsidRPr="00FA3F9C">
                    <w:rPr>
                      <w:rFonts w:ascii="Arial" w:hAnsi="Arial" w:cs="Arial"/>
                      <w:sz w:val="24"/>
                      <w:szCs w:val="24"/>
                    </w:rPr>
                    <w:t xml:space="preserve">AP-CML and Ph+ ALL OS: </w:t>
                  </w:r>
                </w:p>
                <w:p w14:paraId="33DD4880" w14:textId="77777777" w:rsidR="00C3036D" w:rsidRPr="00FA3F9C" w:rsidRDefault="00C3036D" w:rsidP="00796C6E">
                  <w:pPr>
                    <w:ind w:left="50"/>
                    <w:rPr>
                      <w:rFonts w:ascii="Arial" w:hAnsi="Arial" w:cs="Arial"/>
                      <w:sz w:val="24"/>
                      <w:szCs w:val="24"/>
                    </w:rPr>
                  </w:pPr>
                </w:p>
                <w:p w14:paraId="4B3336A2" w14:textId="77777777" w:rsidR="00C3036D" w:rsidRPr="00FA3F9C" w:rsidRDefault="00C3036D" w:rsidP="00796C6E">
                  <w:pPr>
                    <w:ind w:left="50"/>
                    <w:rPr>
                      <w:rFonts w:ascii="Arial" w:hAnsi="Arial" w:cs="Arial"/>
                      <w:sz w:val="24"/>
                      <w:szCs w:val="24"/>
                    </w:rPr>
                  </w:pPr>
                </w:p>
                <w:p w14:paraId="06C3C06B" w14:textId="77777777" w:rsidR="00C3036D" w:rsidRPr="00FA3F9C" w:rsidRDefault="00C3036D" w:rsidP="00796C6E">
                  <w:pPr>
                    <w:ind w:left="50"/>
                    <w:rPr>
                      <w:rFonts w:ascii="Arial" w:hAnsi="Arial" w:cs="Arial"/>
                      <w:sz w:val="24"/>
                      <w:szCs w:val="24"/>
                    </w:rPr>
                  </w:pPr>
                </w:p>
              </w:tc>
              <w:tc>
                <w:tcPr>
                  <w:tcW w:w="1450" w:type="dxa"/>
                  <w:vAlign w:val="center"/>
                </w:tcPr>
                <w:p w14:paraId="1EB97B00" w14:textId="77777777" w:rsidR="00C3036D" w:rsidRPr="00FA3F9C" w:rsidRDefault="00C3036D" w:rsidP="00796C6E">
                  <w:pPr>
                    <w:rPr>
                      <w:rFonts w:ascii="Arial" w:hAnsi="Arial" w:cs="Arial"/>
                      <w:sz w:val="24"/>
                      <w:szCs w:val="24"/>
                    </w:rPr>
                  </w:pPr>
                  <w:r w:rsidRPr="00FA3F9C">
                    <w:rPr>
                      <w:rFonts w:ascii="Arial" w:hAnsi="Arial" w:cs="Arial"/>
                      <w:sz w:val="24"/>
                      <w:szCs w:val="24"/>
                      <w:highlight w:val="yellow"/>
                    </w:rPr>
                    <w:t>no difference</w:t>
                  </w:r>
                </w:p>
              </w:tc>
            </w:tr>
            <w:tr w:rsidR="00C3036D" w:rsidRPr="00FA3F9C" w14:paraId="00D32542" w14:textId="77777777" w:rsidTr="001137EC">
              <w:trPr>
                <w:trHeight w:val="60"/>
              </w:trPr>
              <w:tc>
                <w:tcPr>
                  <w:tcW w:w="1969" w:type="dxa"/>
                  <w:vMerge w:val="restart"/>
                </w:tcPr>
                <w:p w14:paraId="28B871B9" w14:textId="77777777" w:rsidR="00C3036D" w:rsidRPr="00FA3F9C" w:rsidRDefault="00C3036D" w:rsidP="00796C6E">
                  <w:pPr>
                    <w:rPr>
                      <w:rFonts w:ascii="Arial" w:hAnsi="Arial" w:cs="Arial"/>
                      <w:sz w:val="24"/>
                      <w:szCs w:val="24"/>
                    </w:rPr>
                  </w:pPr>
                  <w:r w:rsidRPr="00FA3F9C">
                    <w:rPr>
                      <w:rFonts w:ascii="Arial" w:hAnsi="Arial" w:cs="Arial"/>
                      <w:sz w:val="24"/>
                      <w:szCs w:val="24"/>
                    </w:rPr>
                    <w:t>National observational study (French study)</w:t>
                  </w:r>
                  <w:r w:rsidRPr="00FA3F9C">
                    <w:rPr>
                      <w:rFonts w:ascii="Arial" w:hAnsi="Arial" w:cs="Arial"/>
                      <w:sz w:val="24"/>
                      <w:szCs w:val="24"/>
                      <w:vertAlign w:val="superscript"/>
                    </w:rPr>
                    <w:t>4</w:t>
                  </w:r>
                </w:p>
              </w:tc>
              <w:tc>
                <w:tcPr>
                  <w:tcW w:w="4056" w:type="dxa"/>
                  <w:vMerge w:val="restart"/>
                </w:tcPr>
                <w:p w14:paraId="46EF8DB0" w14:textId="77777777" w:rsidR="00C3036D" w:rsidRPr="00FA3F9C" w:rsidRDefault="00C3036D" w:rsidP="00796C6E">
                  <w:pPr>
                    <w:rPr>
                      <w:rFonts w:ascii="Arial" w:hAnsi="Arial" w:cs="Arial"/>
                      <w:sz w:val="24"/>
                      <w:szCs w:val="24"/>
                    </w:rPr>
                  </w:pPr>
                  <w:r w:rsidRPr="00FA3F9C">
                    <w:rPr>
                      <w:rFonts w:ascii="Arial" w:hAnsi="Arial" w:cs="Arial"/>
                      <w:sz w:val="24"/>
                      <w:szCs w:val="24"/>
                    </w:rPr>
                    <w:t>CML patients who had failed at least 2 lines of tyrosine kinase inhibitor therapy or one line if T315I mutation</w:t>
                  </w:r>
                </w:p>
                <w:p w14:paraId="6F1B7DB7" w14:textId="77777777" w:rsidR="00C3036D" w:rsidRPr="00FA3F9C" w:rsidRDefault="00C3036D" w:rsidP="00796C6E">
                  <w:pPr>
                    <w:rPr>
                      <w:rFonts w:ascii="Arial" w:hAnsi="Arial" w:cs="Arial"/>
                      <w:sz w:val="24"/>
                      <w:szCs w:val="24"/>
                    </w:rPr>
                  </w:pPr>
                  <w:r w:rsidRPr="00FA3F9C">
                    <w:rPr>
                      <w:rFonts w:ascii="Arial" w:hAnsi="Arial" w:cs="Arial"/>
                      <w:sz w:val="24"/>
                      <w:szCs w:val="24"/>
                    </w:rPr>
                    <w:t>2013-2014 compassionate program</w:t>
                  </w:r>
                </w:p>
                <w:p w14:paraId="0CB2BB16" w14:textId="77777777" w:rsidR="00C3036D" w:rsidRPr="00FA3F9C" w:rsidRDefault="00C3036D" w:rsidP="00796C6E">
                  <w:pPr>
                    <w:rPr>
                      <w:rFonts w:ascii="Arial" w:hAnsi="Arial" w:cs="Arial"/>
                      <w:sz w:val="24"/>
                      <w:szCs w:val="24"/>
                    </w:rPr>
                  </w:pPr>
                </w:p>
                <w:p w14:paraId="3FBFFA28" w14:textId="77777777" w:rsidR="00C3036D" w:rsidRPr="00FA3F9C" w:rsidRDefault="00C3036D" w:rsidP="00796C6E">
                  <w:pPr>
                    <w:rPr>
                      <w:rFonts w:ascii="Arial" w:hAnsi="Arial" w:cs="Arial"/>
                      <w:sz w:val="24"/>
                      <w:szCs w:val="24"/>
                    </w:rPr>
                  </w:pPr>
                  <w:r w:rsidRPr="00FA3F9C">
                    <w:rPr>
                      <w:rFonts w:ascii="Arial" w:hAnsi="Arial" w:cs="Arial"/>
                      <w:sz w:val="24"/>
                      <w:szCs w:val="24"/>
                    </w:rPr>
                    <w:t>N=48 (all with CP CML)</w:t>
                  </w:r>
                </w:p>
                <w:p w14:paraId="42ECAF17" w14:textId="77777777" w:rsidR="00C3036D" w:rsidRPr="00FA3F9C" w:rsidRDefault="00C3036D" w:rsidP="00796C6E">
                  <w:pPr>
                    <w:rPr>
                      <w:rFonts w:ascii="Arial" w:hAnsi="Arial" w:cs="Arial"/>
                      <w:sz w:val="24"/>
                      <w:szCs w:val="24"/>
                    </w:rPr>
                  </w:pPr>
                </w:p>
                <w:p w14:paraId="0D05E80A" w14:textId="77777777" w:rsidR="00C3036D" w:rsidRPr="00FA3F9C" w:rsidRDefault="00C3036D" w:rsidP="00796C6E">
                  <w:pPr>
                    <w:rPr>
                      <w:rFonts w:ascii="Arial" w:hAnsi="Arial" w:cs="Arial"/>
                      <w:sz w:val="24"/>
                      <w:szCs w:val="24"/>
                    </w:rPr>
                  </w:pPr>
                  <w:r w:rsidRPr="00FA3F9C">
                    <w:rPr>
                      <w:rFonts w:ascii="Arial" w:hAnsi="Arial" w:cs="Arial"/>
                      <w:sz w:val="24"/>
                      <w:szCs w:val="24"/>
                    </w:rPr>
                    <w:t xml:space="preserve">Median f/u: 26.5 </w:t>
                  </w:r>
                  <w:proofErr w:type="spellStart"/>
                  <w:r w:rsidRPr="00FA3F9C">
                    <w:rPr>
                      <w:rFonts w:ascii="Arial" w:hAnsi="Arial" w:cs="Arial"/>
                      <w:sz w:val="24"/>
                      <w:szCs w:val="24"/>
                    </w:rPr>
                    <w:t>mo</w:t>
                  </w:r>
                  <w:proofErr w:type="spellEnd"/>
                </w:p>
              </w:tc>
              <w:tc>
                <w:tcPr>
                  <w:tcW w:w="3600" w:type="dxa"/>
                  <w:vAlign w:val="center"/>
                </w:tcPr>
                <w:p w14:paraId="36A38394" w14:textId="77777777" w:rsidR="00C3036D" w:rsidRPr="00FA3F9C" w:rsidRDefault="00C3036D" w:rsidP="00796C6E">
                  <w:pPr>
                    <w:ind w:left="50"/>
                    <w:rPr>
                      <w:rFonts w:ascii="Arial" w:hAnsi="Arial" w:cs="Arial"/>
                      <w:sz w:val="24"/>
                      <w:szCs w:val="24"/>
                    </w:rPr>
                  </w:pPr>
                </w:p>
                <w:p w14:paraId="39FB843B" w14:textId="77777777" w:rsidR="00C3036D" w:rsidRPr="00FA3F9C" w:rsidRDefault="00C3036D" w:rsidP="00796C6E">
                  <w:pPr>
                    <w:ind w:left="50"/>
                    <w:rPr>
                      <w:rFonts w:ascii="Arial" w:hAnsi="Arial" w:cs="Arial"/>
                      <w:sz w:val="24"/>
                      <w:szCs w:val="24"/>
                    </w:rPr>
                  </w:pPr>
                </w:p>
                <w:p w14:paraId="010C9F82" w14:textId="77777777" w:rsidR="00C3036D" w:rsidRPr="00FA3F9C" w:rsidRDefault="00C3036D" w:rsidP="00796C6E">
                  <w:pPr>
                    <w:ind w:left="50"/>
                    <w:rPr>
                      <w:rFonts w:ascii="Arial" w:hAnsi="Arial" w:cs="Arial"/>
                      <w:sz w:val="24"/>
                      <w:szCs w:val="24"/>
                    </w:rPr>
                  </w:pPr>
                  <w:r w:rsidRPr="00FA3F9C">
                    <w:rPr>
                      <w:rFonts w:ascii="Arial" w:hAnsi="Arial" w:cs="Arial"/>
                      <w:sz w:val="24"/>
                      <w:szCs w:val="24"/>
                    </w:rPr>
                    <w:t xml:space="preserve">OS at 3 years: </w:t>
                  </w:r>
                </w:p>
              </w:tc>
              <w:tc>
                <w:tcPr>
                  <w:tcW w:w="1450" w:type="dxa"/>
                  <w:vAlign w:val="center"/>
                </w:tcPr>
                <w:p w14:paraId="5C4FEA0F" w14:textId="77777777" w:rsidR="00C3036D" w:rsidRPr="00FA3F9C" w:rsidRDefault="00C3036D" w:rsidP="00796C6E">
                  <w:pPr>
                    <w:rPr>
                      <w:rFonts w:ascii="Arial" w:hAnsi="Arial" w:cs="Arial"/>
                      <w:sz w:val="24"/>
                      <w:szCs w:val="24"/>
                    </w:rPr>
                  </w:pPr>
                  <w:r w:rsidRPr="00FA3F9C">
                    <w:rPr>
                      <w:rFonts w:ascii="Arial" w:hAnsi="Arial" w:cs="Arial"/>
                      <w:sz w:val="24"/>
                      <w:szCs w:val="24"/>
                    </w:rPr>
                    <w:t>80.5%</w:t>
                  </w:r>
                </w:p>
              </w:tc>
            </w:tr>
            <w:tr w:rsidR="00C3036D" w:rsidRPr="00FA3F9C" w14:paraId="7A7C33AA" w14:textId="77777777" w:rsidTr="001137EC">
              <w:trPr>
                <w:trHeight w:val="60"/>
              </w:trPr>
              <w:tc>
                <w:tcPr>
                  <w:tcW w:w="1969" w:type="dxa"/>
                  <w:vMerge/>
                </w:tcPr>
                <w:p w14:paraId="3F4911D2" w14:textId="77777777" w:rsidR="00C3036D" w:rsidRPr="00FA3F9C" w:rsidRDefault="00C3036D" w:rsidP="00796C6E">
                  <w:pPr>
                    <w:rPr>
                      <w:rFonts w:ascii="Arial" w:hAnsi="Arial" w:cs="Arial"/>
                      <w:sz w:val="24"/>
                      <w:szCs w:val="24"/>
                    </w:rPr>
                  </w:pPr>
                </w:p>
              </w:tc>
              <w:tc>
                <w:tcPr>
                  <w:tcW w:w="4056" w:type="dxa"/>
                  <w:vMerge/>
                </w:tcPr>
                <w:p w14:paraId="713D6BA5" w14:textId="77777777" w:rsidR="00C3036D" w:rsidRPr="00FA3F9C" w:rsidRDefault="00C3036D" w:rsidP="00796C6E">
                  <w:pPr>
                    <w:rPr>
                      <w:rFonts w:ascii="Arial" w:hAnsi="Arial" w:cs="Arial"/>
                      <w:sz w:val="24"/>
                      <w:szCs w:val="24"/>
                    </w:rPr>
                  </w:pPr>
                </w:p>
              </w:tc>
              <w:tc>
                <w:tcPr>
                  <w:tcW w:w="3600" w:type="dxa"/>
                  <w:vAlign w:val="center"/>
                </w:tcPr>
                <w:p w14:paraId="5C5793BF" w14:textId="77777777" w:rsidR="00C3036D" w:rsidRPr="00FA3F9C" w:rsidRDefault="00C3036D" w:rsidP="00796C6E">
                  <w:pPr>
                    <w:ind w:left="50"/>
                    <w:rPr>
                      <w:rFonts w:ascii="Arial" w:hAnsi="Arial" w:cs="Arial"/>
                      <w:sz w:val="24"/>
                      <w:szCs w:val="24"/>
                    </w:rPr>
                  </w:pPr>
                  <w:r w:rsidRPr="00FA3F9C">
                    <w:rPr>
                      <w:rFonts w:ascii="Arial" w:hAnsi="Arial" w:cs="Arial"/>
                      <w:sz w:val="24"/>
                      <w:szCs w:val="24"/>
                    </w:rPr>
                    <w:t>Major molecular response rate (cumulative):</w:t>
                  </w:r>
                </w:p>
              </w:tc>
              <w:tc>
                <w:tcPr>
                  <w:tcW w:w="1450" w:type="dxa"/>
                  <w:vAlign w:val="center"/>
                </w:tcPr>
                <w:p w14:paraId="26CBFB80" w14:textId="77777777" w:rsidR="00C3036D" w:rsidRPr="00FA3F9C" w:rsidRDefault="00C3036D" w:rsidP="00796C6E">
                  <w:pPr>
                    <w:rPr>
                      <w:rFonts w:ascii="Arial" w:hAnsi="Arial" w:cs="Arial"/>
                      <w:sz w:val="24"/>
                      <w:szCs w:val="24"/>
                    </w:rPr>
                  </w:pPr>
                  <w:r w:rsidRPr="00FA3F9C">
                    <w:rPr>
                      <w:rFonts w:ascii="Arial" w:hAnsi="Arial" w:cs="Arial"/>
                      <w:sz w:val="24"/>
                      <w:szCs w:val="24"/>
                    </w:rPr>
                    <w:t>81.8%</w:t>
                  </w:r>
                </w:p>
              </w:tc>
            </w:tr>
          </w:tbl>
          <w:p w14:paraId="09D6FC9E" w14:textId="77777777" w:rsidR="00C3036D" w:rsidRPr="00FA3F9C" w:rsidRDefault="00C3036D" w:rsidP="002365E6">
            <w:pPr>
              <w:rPr>
                <w:rFonts w:ascii="Arial" w:hAnsi="Arial" w:cs="Arial"/>
                <w:sz w:val="24"/>
                <w:szCs w:val="24"/>
              </w:rPr>
            </w:pPr>
            <w:r w:rsidRPr="00FA3F9C">
              <w:rPr>
                <w:rFonts w:ascii="Arial" w:hAnsi="Arial" w:cs="Arial"/>
                <w:sz w:val="24"/>
                <w:szCs w:val="24"/>
              </w:rPr>
              <w:t>CP-CML: chronic phase chronic myeloid leukemia</w:t>
            </w:r>
          </w:p>
          <w:p w14:paraId="17A5F69E" w14:textId="77777777" w:rsidR="00C3036D" w:rsidRPr="00FA3F9C" w:rsidRDefault="00C3036D" w:rsidP="002365E6">
            <w:pPr>
              <w:rPr>
                <w:rFonts w:ascii="Arial" w:hAnsi="Arial" w:cs="Arial"/>
                <w:sz w:val="24"/>
                <w:szCs w:val="24"/>
              </w:rPr>
            </w:pPr>
            <w:r w:rsidRPr="00FA3F9C">
              <w:rPr>
                <w:rFonts w:ascii="Arial" w:hAnsi="Arial" w:cs="Arial"/>
                <w:sz w:val="24"/>
                <w:szCs w:val="24"/>
              </w:rPr>
              <w:t>BP-CML: blast phase chronic myeloid leukemia</w:t>
            </w:r>
          </w:p>
          <w:p w14:paraId="54F2CE3C" w14:textId="77777777" w:rsidR="00C3036D" w:rsidRPr="00FA3F9C" w:rsidRDefault="00C3036D" w:rsidP="002365E6">
            <w:pPr>
              <w:rPr>
                <w:rFonts w:ascii="Arial" w:hAnsi="Arial" w:cs="Arial"/>
                <w:sz w:val="24"/>
                <w:szCs w:val="24"/>
              </w:rPr>
            </w:pPr>
            <w:r w:rsidRPr="00FA3F9C">
              <w:rPr>
                <w:rFonts w:ascii="Arial" w:hAnsi="Arial" w:cs="Arial"/>
                <w:sz w:val="24"/>
                <w:szCs w:val="24"/>
              </w:rPr>
              <w:t>AP-CML: accelerated phase chronic myeloid leukemia</w:t>
            </w:r>
          </w:p>
          <w:p w14:paraId="01DEAE8A" w14:textId="77777777" w:rsidR="00C3036D" w:rsidRPr="00FA3F9C" w:rsidRDefault="00C3036D" w:rsidP="002365E6">
            <w:pPr>
              <w:rPr>
                <w:rFonts w:ascii="Arial" w:hAnsi="Arial" w:cs="Arial"/>
                <w:sz w:val="24"/>
                <w:szCs w:val="24"/>
              </w:rPr>
            </w:pPr>
            <w:r w:rsidRPr="00FA3F9C">
              <w:rPr>
                <w:rFonts w:ascii="Arial" w:hAnsi="Arial" w:cs="Arial"/>
                <w:sz w:val="24"/>
                <w:szCs w:val="24"/>
              </w:rPr>
              <w:t>MMR: major molecular response</w:t>
            </w:r>
          </w:p>
          <w:p w14:paraId="56DA9655" w14:textId="77777777" w:rsidR="00C3036D" w:rsidRPr="00FA3F9C" w:rsidRDefault="00C3036D" w:rsidP="002365E6">
            <w:pPr>
              <w:rPr>
                <w:rFonts w:ascii="Arial" w:hAnsi="Arial" w:cs="Arial"/>
                <w:sz w:val="24"/>
                <w:szCs w:val="24"/>
              </w:rPr>
            </w:pPr>
            <w:proofErr w:type="spellStart"/>
            <w:r w:rsidRPr="00FA3F9C">
              <w:rPr>
                <w:rFonts w:ascii="Arial" w:hAnsi="Arial" w:cs="Arial"/>
                <w:sz w:val="24"/>
                <w:szCs w:val="24"/>
              </w:rPr>
              <w:t>MCyR</w:t>
            </w:r>
            <w:proofErr w:type="spellEnd"/>
            <w:r w:rsidRPr="00FA3F9C">
              <w:rPr>
                <w:rFonts w:ascii="Arial" w:hAnsi="Arial" w:cs="Arial"/>
                <w:sz w:val="24"/>
                <w:szCs w:val="24"/>
              </w:rPr>
              <w:t>: major cytogenetic response</w:t>
            </w:r>
          </w:p>
          <w:p w14:paraId="1AC62F8C" w14:textId="77777777" w:rsidR="00C3036D" w:rsidRPr="00FA3F9C" w:rsidRDefault="00C3036D" w:rsidP="002365E6">
            <w:pPr>
              <w:rPr>
                <w:rFonts w:ascii="Arial" w:hAnsi="Arial" w:cs="Arial"/>
                <w:sz w:val="24"/>
                <w:szCs w:val="24"/>
              </w:rPr>
            </w:pPr>
            <w:r w:rsidRPr="00FA3F9C">
              <w:rPr>
                <w:rFonts w:ascii="Arial" w:hAnsi="Arial" w:cs="Arial"/>
                <w:sz w:val="24"/>
                <w:szCs w:val="24"/>
              </w:rPr>
              <w:t>PFS: progression free survival</w:t>
            </w:r>
          </w:p>
          <w:p w14:paraId="401AD138" w14:textId="77777777" w:rsidR="00C3036D" w:rsidRPr="00FA3F9C" w:rsidRDefault="00C3036D" w:rsidP="002365E6">
            <w:pPr>
              <w:rPr>
                <w:rFonts w:ascii="Arial" w:hAnsi="Arial" w:cs="Arial"/>
                <w:sz w:val="24"/>
                <w:szCs w:val="24"/>
              </w:rPr>
            </w:pPr>
            <w:r w:rsidRPr="00FA3F9C">
              <w:rPr>
                <w:rFonts w:ascii="Arial" w:hAnsi="Arial" w:cs="Arial"/>
                <w:sz w:val="24"/>
                <w:szCs w:val="24"/>
              </w:rPr>
              <w:t>OS: overall survival</w:t>
            </w:r>
          </w:p>
          <w:p w14:paraId="5FD9367F" w14:textId="77777777" w:rsidR="00C3036D" w:rsidRPr="00FA3F9C" w:rsidRDefault="00C3036D" w:rsidP="00A6573F">
            <w:pPr>
              <w:rPr>
                <w:rFonts w:ascii="Arial" w:hAnsi="Arial" w:cs="Arial"/>
                <w:sz w:val="24"/>
                <w:szCs w:val="24"/>
              </w:rPr>
            </w:pPr>
          </w:p>
          <w:p w14:paraId="2B0C8838" w14:textId="77777777" w:rsidR="00C3036D" w:rsidRPr="00FA3F9C" w:rsidRDefault="00C3036D" w:rsidP="00A6573F">
            <w:pPr>
              <w:rPr>
                <w:rFonts w:ascii="Arial" w:hAnsi="Arial" w:cs="Arial"/>
                <w:sz w:val="24"/>
                <w:szCs w:val="24"/>
              </w:rPr>
            </w:pPr>
            <w:r w:rsidRPr="00FA3F9C">
              <w:rPr>
                <w:rFonts w:ascii="Arial" w:hAnsi="Arial" w:cs="Arial"/>
                <w:sz w:val="24"/>
                <w:szCs w:val="24"/>
              </w:rPr>
              <w:lastRenderedPageBreak/>
              <w:t>Response definitions:</w:t>
            </w:r>
          </w:p>
          <w:p w14:paraId="1AD29D45" w14:textId="77777777" w:rsidR="00C3036D" w:rsidRPr="00FA3F9C" w:rsidRDefault="00C3036D" w:rsidP="00A6573F">
            <w:pPr>
              <w:rPr>
                <w:rFonts w:ascii="Arial" w:hAnsi="Arial" w:cs="Arial"/>
                <w:sz w:val="24"/>
                <w:szCs w:val="24"/>
              </w:rPr>
            </w:pPr>
            <w:r w:rsidRPr="00FA3F9C">
              <w:rPr>
                <w:rFonts w:ascii="Arial" w:hAnsi="Arial" w:cs="Arial"/>
                <w:noProof/>
                <w:sz w:val="24"/>
                <w:szCs w:val="24"/>
              </w:rPr>
              <w:drawing>
                <wp:inline distT="0" distB="0" distL="0" distR="0" wp14:anchorId="3BFF1FC6" wp14:editId="4572BB82">
                  <wp:extent cx="5943600" cy="28981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9"/>
                          <a:stretch>
                            <a:fillRect/>
                          </a:stretch>
                        </pic:blipFill>
                        <pic:spPr>
                          <a:xfrm>
                            <a:off x="0" y="0"/>
                            <a:ext cx="5943600" cy="2898140"/>
                          </a:xfrm>
                          <a:prstGeom prst="rect">
                            <a:avLst/>
                          </a:prstGeom>
                        </pic:spPr>
                      </pic:pic>
                    </a:graphicData>
                  </a:graphic>
                </wp:inline>
              </w:drawing>
            </w:r>
          </w:p>
          <w:p w14:paraId="1CE81A23" w14:textId="77777777" w:rsidR="00C3036D" w:rsidRPr="00FA3F9C" w:rsidRDefault="00C3036D" w:rsidP="00A6573F">
            <w:pPr>
              <w:rPr>
                <w:rFonts w:ascii="Arial" w:hAnsi="Arial" w:cs="Arial"/>
                <w:sz w:val="24"/>
                <w:szCs w:val="24"/>
              </w:rPr>
            </w:pPr>
          </w:p>
          <w:p w14:paraId="0F3F81CA" w14:textId="77777777" w:rsidR="00C3036D" w:rsidRPr="00FA3F9C" w:rsidRDefault="00C3036D" w:rsidP="00A6573F">
            <w:pPr>
              <w:rPr>
                <w:rFonts w:ascii="Arial" w:hAnsi="Arial" w:cs="Arial"/>
                <w:sz w:val="24"/>
                <w:szCs w:val="24"/>
              </w:rPr>
            </w:pPr>
          </w:p>
          <w:p w14:paraId="1262EA64" w14:textId="77777777" w:rsidR="00C3036D" w:rsidRPr="00FA3F9C" w:rsidRDefault="00C3036D" w:rsidP="00A6573F">
            <w:pPr>
              <w:rPr>
                <w:rFonts w:ascii="Arial" w:hAnsi="Arial" w:cs="Arial"/>
                <w:sz w:val="24"/>
                <w:szCs w:val="24"/>
              </w:rPr>
            </w:pPr>
          </w:p>
          <w:p w14:paraId="77C6C728" w14:textId="77777777" w:rsidR="00C3036D" w:rsidRPr="00FA3F9C" w:rsidRDefault="00C3036D" w:rsidP="00796C6E">
            <w:pPr>
              <w:rPr>
                <w:rFonts w:ascii="Arial" w:hAnsi="Arial" w:cs="Arial"/>
                <w:sz w:val="24"/>
                <w:szCs w:val="24"/>
                <w:u w:val="single"/>
              </w:rPr>
            </w:pPr>
            <w:r w:rsidRPr="00FA3F9C">
              <w:rPr>
                <w:rFonts w:ascii="Arial" w:hAnsi="Arial" w:cs="Arial"/>
                <w:sz w:val="24"/>
                <w:szCs w:val="24"/>
                <w:u w:val="single"/>
              </w:rPr>
              <w:t>References:</w:t>
            </w:r>
          </w:p>
          <w:p w14:paraId="1FD338A7" w14:textId="77777777" w:rsidR="00C3036D" w:rsidRPr="00FA3F9C" w:rsidRDefault="00C3036D" w:rsidP="00FC1E85">
            <w:pPr>
              <w:pStyle w:val="ListParagraph"/>
              <w:numPr>
                <w:ilvl w:val="0"/>
                <w:numId w:val="441"/>
              </w:numPr>
              <w:rPr>
                <w:rFonts w:ascii="Arial" w:hAnsi="Arial" w:cs="Arial"/>
                <w:sz w:val="24"/>
                <w:szCs w:val="24"/>
              </w:rPr>
            </w:pPr>
            <w:proofErr w:type="spellStart"/>
            <w:r w:rsidRPr="00FA3F9C">
              <w:rPr>
                <w:rFonts w:ascii="Arial" w:hAnsi="Arial" w:cs="Arial"/>
                <w:sz w:val="24"/>
                <w:szCs w:val="24"/>
                <w:lang w:val="fr-FR"/>
              </w:rPr>
              <w:t>Ponatinib</w:t>
            </w:r>
            <w:proofErr w:type="spellEnd"/>
            <w:r w:rsidRPr="00FA3F9C">
              <w:rPr>
                <w:rFonts w:ascii="Arial" w:hAnsi="Arial" w:cs="Arial"/>
                <w:sz w:val="24"/>
                <w:szCs w:val="24"/>
                <w:lang w:val="fr-FR"/>
              </w:rPr>
              <w:t xml:space="preserve"> PI. </w:t>
            </w:r>
            <w:hyperlink r:id="rId350" w:history="1">
              <w:r w:rsidRPr="00FA3F9C">
                <w:rPr>
                  <w:rStyle w:val="Hyperlink"/>
                  <w:rFonts w:ascii="Arial" w:hAnsi="Arial" w:cs="Arial"/>
                  <w:sz w:val="24"/>
                  <w:szCs w:val="24"/>
                  <w:lang w:val="fr-FR"/>
                </w:rPr>
                <w:t>https://www.iclusig.com/pdf/ICLUSIG-Prescribing-Information.pdf</w:t>
              </w:r>
            </w:hyperlink>
            <w:r w:rsidRPr="00FA3F9C">
              <w:rPr>
                <w:rFonts w:ascii="Arial" w:hAnsi="Arial" w:cs="Arial"/>
                <w:sz w:val="24"/>
                <w:szCs w:val="24"/>
                <w:lang w:val="fr-FR"/>
              </w:rPr>
              <w:t xml:space="preserve">. </w:t>
            </w:r>
            <w:r w:rsidRPr="00FA3F9C">
              <w:rPr>
                <w:rFonts w:ascii="Arial" w:hAnsi="Arial" w:cs="Arial"/>
                <w:sz w:val="24"/>
                <w:szCs w:val="24"/>
              </w:rPr>
              <w:t>Accessed 3/17/2021.</w:t>
            </w:r>
          </w:p>
          <w:p w14:paraId="05312089" w14:textId="77777777" w:rsidR="00C3036D" w:rsidRPr="00FA3F9C" w:rsidRDefault="00C3036D" w:rsidP="00FC1E85">
            <w:pPr>
              <w:pStyle w:val="ListParagraph"/>
              <w:numPr>
                <w:ilvl w:val="0"/>
                <w:numId w:val="441"/>
              </w:numPr>
              <w:rPr>
                <w:rFonts w:ascii="Arial" w:hAnsi="Arial" w:cs="Arial"/>
                <w:sz w:val="24"/>
                <w:szCs w:val="24"/>
              </w:rPr>
            </w:pPr>
            <w:r w:rsidRPr="00FA3F9C">
              <w:rPr>
                <w:rFonts w:ascii="Arial" w:hAnsi="Arial" w:cs="Arial"/>
                <w:sz w:val="24"/>
                <w:szCs w:val="24"/>
              </w:rPr>
              <w:t xml:space="preserve">Cortes JE et al. Ponatinib efficacy and safety in Philadelphia chromosome-positive leukemia: final 5-year results of the phase 2 PACE trial. Blood. 2018 Jul 26;132(4):393-404. </w:t>
            </w:r>
            <w:proofErr w:type="spellStart"/>
            <w:r w:rsidRPr="00FA3F9C">
              <w:rPr>
                <w:rFonts w:ascii="Arial" w:hAnsi="Arial" w:cs="Arial"/>
                <w:sz w:val="24"/>
                <w:szCs w:val="24"/>
              </w:rPr>
              <w:t>doi</w:t>
            </w:r>
            <w:proofErr w:type="spellEnd"/>
            <w:r w:rsidRPr="00FA3F9C">
              <w:rPr>
                <w:rFonts w:ascii="Arial" w:hAnsi="Arial" w:cs="Arial"/>
                <w:sz w:val="24"/>
                <w:szCs w:val="24"/>
              </w:rPr>
              <w:t xml:space="preserve">: 10.1182/blood-2016-09-739086. </w:t>
            </w:r>
            <w:proofErr w:type="spellStart"/>
            <w:r w:rsidRPr="00FA3F9C">
              <w:rPr>
                <w:rFonts w:ascii="Arial" w:hAnsi="Arial" w:cs="Arial"/>
                <w:sz w:val="24"/>
                <w:szCs w:val="24"/>
              </w:rPr>
              <w:t>Epub</w:t>
            </w:r>
            <w:proofErr w:type="spellEnd"/>
            <w:r w:rsidRPr="00FA3F9C">
              <w:rPr>
                <w:rFonts w:ascii="Arial" w:hAnsi="Arial" w:cs="Arial"/>
                <w:sz w:val="24"/>
                <w:szCs w:val="24"/>
              </w:rPr>
              <w:t xml:space="preserve"> 2018 Mar 22. PMID: 29567798; PMCID: PMC6071555.</w:t>
            </w:r>
          </w:p>
          <w:p w14:paraId="48B9CE48" w14:textId="77777777" w:rsidR="00C3036D" w:rsidRPr="00FA3F9C" w:rsidRDefault="00C3036D" w:rsidP="00FC1E85">
            <w:pPr>
              <w:pStyle w:val="ListParagraph"/>
              <w:numPr>
                <w:ilvl w:val="0"/>
                <w:numId w:val="441"/>
              </w:numPr>
              <w:rPr>
                <w:rFonts w:ascii="Arial" w:hAnsi="Arial" w:cs="Arial"/>
                <w:sz w:val="24"/>
                <w:szCs w:val="24"/>
              </w:rPr>
            </w:pPr>
            <w:proofErr w:type="spellStart"/>
            <w:r w:rsidRPr="00FA3F9C">
              <w:rPr>
                <w:rFonts w:ascii="Arial" w:hAnsi="Arial" w:cs="Arial"/>
                <w:sz w:val="24"/>
                <w:szCs w:val="24"/>
              </w:rPr>
              <w:t>Nicolini</w:t>
            </w:r>
            <w:proofErr w:type="spellEnd"/>
            <w:r w:rsidRPr="00FA3F9C">
              <w:rPr>
                <w:rFonts w:ascii="Arial" w:hAnsi="Arial" w:cs="Arial"/>
                <w:sz w:val="24"/>
                <w:szCs w:val="24"/>
              </w:rPr>
              <w:t xml:space="preserve"> FE et al. Overall survival with ponatinib versus allogeneic stem cell transplantation in Philadelphia chromosome-positive leukemias with the T315I mutation. Cancer. 2017 Aug 1;123(15):2875-2880. </w:t>
            </w:r>
            <w:proofErr w:type="spellStart"/>
            <w:r w:rsidRPr="00FA3F9C">
              <w:rPr>
                <w:rFonts w:ascii="Arial" w:hAnsi="Arial" w:cs="Arial"/>
                <w:sz w:val="24"/>
                <w:szCs w:val="24"/>
              </w:rPr>
              <w:t>doi</w:t>
            </w:r>
            <w:proofErr w:type="spellEnd"/>
            <w:r w:rsidRPr="00FA3F9C">
              <w:rPr>
                <w:rFonts w:ascii="Arial" w:hAnsi="Arial" w:cs="Arial"/>
                <w:sz w:val="24"/>
                <w:szCs w:val="24"/>
              </w:rPr>
              <w:t xml:space="preserve">: 10.1002/cncr.30558. </w:t>
            </w:r>
            <w:proofErr w:type="spellStart"/>
            <w:r w:rsidRPr="00FA3F9C">
              <w:rPr>
                <w:rFonts w:ascii="Arial" w:hAnsi="Arial" w:cs="Arial"/>
                <w:sz w:val="24"/>
                <w:szCs w:val="24"/>
              </w:rPr>
              <w:t>Epub</w:t>
            </w:r>
            <w:proofErr w:type="spellEnd"/>
            <w:r w:rsidRPr="00FA3F9C">
              <w:rPr>
                <w:rFonts w:ascii="Arial" w:hAnsi="Arial" w:cs="Arial"/>
                <w:sz w:val="24"/>
                <w:szCs w:val="24"/>
              </w:rPr>
              <w:t xml:space="preserve"> 2017 Apr 7. PMID: 28387926; PMCID: PMC5573914. </w:t>
            </w:r>
          </w:p>
          <w:p w14:paraId="1B2B87EF" w14:textId="77777777" w:rsidR="00C3036D" w:rsidRPr="00FA3F9C" w:rsidRDefault="00C3036D" w:rsidP="00FC1E85">
            <w:pPr>
              <w:pStyle w:val="ListParagraph"/>
              <w:numPr>
                <w:ilvl w:val="0"/>
                <w:numId w:val="441"/>
              </w:numPr>
              <w:rPr>
                <w:rFonts w:ascii="Arial" w:hAnsi="Arial" w:cs="Arial"/>
                <w:sz w:val="24"/>
                <w:szCs w:val="24"/>
              </w:rPr>
            </w:pPr>
            <w:proofErr w:type="spellStart"/>
            <w:r w:rsidRPr="00FA3F9C">
              <w:rPr>
                <w:rFonts w:ascii="Arial" w:hAnsi="Arial" w:cs="Arial"/>
                <w:sz w:val="24"/>
                <w:szCs w:val="24"/>
              </w:rPr>
              <w:t>Heiblig</w:t>
            </w:r>
            <w:proofErr w:type="spellEnd"/>
            <w:r w:rsidRPr="00FA3F9C">
              <w:rPr>
                <w:rFonts w:ascii="Arial" w:hAnsi="Arial" w:cs="Arial"/>
                <w:sz w:val="24"/>
                <w:szCs w:val="24"/>
              </w:rPr>
              <w:t xml:space="preserve"> M et al. Ponatinib evaluation and safety in real-life chronic myelogenous leukemia patients failing more than two tyrosine kinase inhibitors: the PEARL observational study. Exp </w:t>
            </w:r>
            <w:proofErr w:type="spellStart"/>
            <w:r w:rsidRPr="00FA3F9C">
              <w:rPr>
                <w:rFonts w:ascii="Arial" w:hAnsi="Arial" w:cs="Arial"/>
                <w:sz w:val="24"/>
                <w:szCs w:val="24"/>
              </w:rPr>
              <w:lastRenderedPageBreak/>
              <w:t>Hematol</w:t>
            </w:r>
            <w:proofErr w:type="spellEnd"/>
            <w:r w:rsidRPr="00FA3F9C">
              <w:rPr>
                <w:rFonts w:ascii="Arial" w:hAnsi="Arial" w:cs="Arial"/>
                <w:sz w:val="24"/>
                <w:szCs w:val="24"/>
              </w:rPr>
              <w:t xml:space="preserve">. 2018 Nov;67:41-48. </w:t>
            </w:r>
            <w:proofErr w:type="spellStart"/>
            <w:r w:rsidRPr="00FA3F9C">
              <w:rPr>
                <w:rFonts w:ascii="Arial" w:hAnsi="Arial" w:cs="Arial"/>
                <w:sz w:val="24"/>
                <w:szCs w:val="24"/>
              </w:rPr>
              <w:t>doi</w:t>
            </w:r>
            <w:proofErr w:type="spellEnd"/>
            <w:r w:rsidRPr="00FA3F9C">
              <w:rPr>
                <w:rFonts w:ascii="Arial" w:hAnsi="Arial" w:cs="Arial"/>
                <w:sz w:val="24"/>
                <w:szCs w:val="24"/>
              </w:rPr>
              <w:t xml:space="preserve">: 10.1016/j.exphem.2018.08.006. </w:t>
            </w:r>
            <w:proofErr w:type="spellStart"/>
            <w:r w:rsidRPr="00FA3F9C">
              <w:rPr>
                <w:rFonts w:ascii="Arial" w:hAnsi="Arial" w:cs="Arial"/>
                <w:sz w:val="24"/>
                <w:szCs w:val="24"/>
              </w:rPr>
              <w:t>Epub</w:t>
            </w:r>
            <w:proofErr w:type="spellEnd"/>
            <w:r w:rsidRPr="00FA3F9C">
              <w:rPr>
                <w:rFonts w:ascii="Arial" w:hAnsi="Arial" w:cs="Arial"/>
                <w:sz w:val="24"/>
                <w:szCs w:val="24"/>
              </w:rPr>
              <w:t xml:space="preserve"> 2018 Sep 5. PMID: 30195076.</w:t>
            </w:r>
          </w:p>
        </w:tc>
      </w:tr>
    </w:tbl>
    <w:p w14:paraId="637288C0" w14:textId="77777777" w:rsidR="00C3036D" w:rsidRPr="00FA3F9C" w:rsidRDefault="00C3036D" w:rsidP="006F623F">
      <w:pPr>
        <w:spacing w:after="0"/>
        <w:rPr>
          <w:rFonts w:ascii="Arial" w:hAnsi="Arial" w:cs="Arial"/>
          <w:sz w:val="24"/>
          <w:szCs w:val="24"/>
        </w:rPr>
      </w:pPr>
    </w:p>
    <w:p w14:paraId="3BF51B5F" w14:textId="77777777" w:rsidR="00C3036D" w:rsidRPr="00FA3F9C" w:rsidRDefault="00C3036D" w:rsidP="006F623F">
      <w:pPr>
        <w:spacing w:after="0"/>
        <w:rPr>
          <w:rFonts w:ascii="Arial" w:hAnsi="Arial" w:cs="Arial"/>
          <w:sz w:val="24"/>
          <w:szCs w:val="24"/>
        </w:rPr>
      </w:pPr>
      <w:r w:rsidRPr="00FA3F9C">
        <w:rPr>
          <w:rFonts w:ascii="Arial" w:hAnsi="Arial" w:cs="Arial"/>
          <w:sz w:val="24"/>
          <w:szCs w:val="24"/>
        </w:rPr>
        <w:t>Quantity Limits: 1/1</w:t>
      </w:r>
    </w:p>
    <w:p w14:paraId="4527DB63" w14:textId="77777777" w:rsidR="00C3036D" w:rsidRPr="00FA3F9C" w:rsidRDefault="00C3036D" w:rsidP="006F623F">
      <w:pPr>
        <w:spacing w:after="0"/>
        <w:rPr>
          <w:rFonts w:ascii="Arial" w:hAnsi="Arial" w:cs="Arial"/>
          <w:sz w:val="24"/>
          <w:szCs w:val="24"/>
        </w:rPr>
      </w:pPr>
    </w:p>
    <w:p w14:paraId="25183092" w14:textId="77777777" w:rsidR="00C3036D" w:rsidRPr="00FA3F9C" w:rsidRDefault="00C3036D"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418"/>
        <w:gridCol w:w="7470"/>
        <w:gridCol w:w="2538"/>
      </w:tblGrid>
      <w:tr w:rsidR="00C3036D" w:rsidRPr="00FA3F9C" w14:paraId="4FC49EC5" w14:textId="77777777" w:rsidTr="00FE491B">
        <w:tc>
          <w:tcPr>
            <w:tcW w:w="1008" w:type="dxa"/>
          </w:tcPr>
          <w:p w14:paraId="2C0C0F15" w14:textId="77777777" w:rsidR="00C3036D" w:rsidRPr="00FA3F9C" w:rsidRDefault="00C3036D" w:rsidP="006F623F">
            <w:pPr>
              <w:rPr>
                <w:rFonts w:ascii="Arial" w:hAnsi="Arial" w:cs="Arial"/>
                <w:sz w:val="24"/>
                <w:szCs w:val="24"/>
              </w:rPr>
            </w:pPr>
            <w:r w:rsidRPr="00FA3F9C">
              <w:rPr>
                <w:rFonts w:ascii="Arial" w:hAnsi="Arial" w:cs="Arial"/>
                <w:sz w:val="24"/>
                <w:szCs w:val="24"/>
              </w:rPr>
              <w:t>Date</w:t>
            </w:r>
          </w:p>
        </w:tc>
        <w:tc>
          <w:tcPr>
            <w:tcW w:w="7470" w:type="dxa"/>
          </w:tcPr>
          <w:p w14:paraId="65AB5B63" w14:textId="77777777" w:rsidR="00C3036D" w:rsidRPr="00FA3F9C" w:rsidRDefault="00C3036D" w:rsidP="006F623F">
            <w:pPr>
              <w:rPr>
                <w:rFonts w:ascii="Arial" w:hAnsi="Arial" w:cs="Arial"/>
                <w:sz w:val="24"/>
                <w:szCs w:val="24"/>
              </w:rPr>
            </w:pPr>
            <w:r w:rsidRPr="00FA3F9C">
              <w:rPr>
                <w:rFonts w:ascii="Arial" w:hAnsi="Arial" w:cs="Arial"/>
                <w:sz w:val="24"/>
                <w:szCs w:val="24"/>
              </w:rPr>
              <w:t>What changed</w:t>
            </w:r>
          </w:p>
        </w:tc>
        <w:tc>
          <w:tcPr>
            <w:tcW w:w="2538" w:type="dxa"/>
          </w:tcPr>
          <w:p w14:paraId="79DDDF18" w14:textId="77777777" w:rsidR="00C3036D" w:rsidRPr="00FA3F9C" w:rsidRDefault="00C3036D" w:rsidP="006F623F">
            <w:pPr>
              <w:rPr>
                <w:rFonts w:ascii="Arial" w:hAnsi="Arial" w:cs="Arial"/>
                <w:sz w:val="24"/>
                <w:szCs w:val="24"/>
              </w:rPr>
            </w:pPr>
            <w:r w:rsidRPr="00FA3F9C">
              <w:rPr>
                <w:rFonts w:ascii="Arial" w:hAnsi="Arial" w:cs="Arial"/>
                <w:sz w:val="24"/>
                <w:szCs w:val="24"/>
              </w:rPr>
              <w:t>Pharmacist’s initials</w:t>
            </w:r>
          </w:p>
        </w:tc>
      </w:tr>
      <w:tr w:rsidR="00C3036D" w:rsidRPr="00FA3F9C" w14:paraId="6D3FD6AB" w14:textId="77777777" w:rsidTr="00FE491B">
        <w:tc>
          <w:tcPr>
            <w:tcW w:w="1008" w:type="dxa"/>
          </w:tcPr>
          <w:p w14:paraId="450BB991" w14:textId="77777777" w:rsidR="00C3036D" w:rsidRPr="00FA3F9C" w:rsidRDefault="00C3036D" w:rsidP="006F623F">
            <w:pPr>
              <w:rPr>
                <w:rFonts w:ascii="Arial" w:hAnsi="Arial" w:cs="Arial"/>
                <w:sz w:val="24"/>
                <w:szCs w:val="24"/>
              </w:rPr>
            </w:pPr>
            <w:r w:rsidRPr="00FA3F9C">
              <w:rPr>
                <w:rFonts w:ascii="Arial" w:hAnsi="Arial" w:cs="Arial"/>
                <w:sz w:val="24"/>
                <w:szCs w:val="24"/>
              </w:rPr>
              <w:t>03/18/2021</w:t>
            </w:r>
          </w:p>
        </w:tc>
        <w:tc>
          <w:tcPr>
            <w:tcW w:w="7470" w:type="dxa"/>
          </w:tcPr>
          <w:p w14:paraId="6DDACCE2" w14:textId="77777777" w:rsidR="00C3036D" w:rsidRPr="00FA3F9C" w:rsidRDefault="00C3036D" w:rsidP="006F623F">
            <w:pPr>
              <w:rPr>
                <w:rFonts w:ascii="Arial" w:hAnsi="Arial" w:cs="Arial"/>
                <w:sz w:val="24"/>
                <w:szCs w:val="24"/>
              </w:rPr>
            </w:pPr>
            <w:r w:rsidRPr="00FA3F9C">
              <w:rPr>
                <w:rFonts w:ascii="Arial" w:hAnsi="Arial" w:cs="Arial"/>
                <w:sz w:val="24"/>
                <w:szCs w:val="24"/>
              </w:rPr>
              <w:t>Criteria written</w:t>
            </w:r>
          </w:p>
        </w:tc>
        <w:tc>
          <w:tcPr>
            <w:tcW w:w="2538" w:type="dxa"/>
          </w:tcPr>
          <w:p w14:paraId="7DF2F8CD" w14:textId="77777777" w:rsidR="00C3036D" w:rsidRPr="00FA3F9C" w:rsidRDefault="00C3036D" w:rsidP="00A6573F">
            <w:pPr>
              <w:rPr>
                <w:rFonts w:ascii="Arial" w:hAnsi="Arial" w:cs="Arial"/>
                <w:sz w:val="24"/>
                <w:szCs w:val="24"/>
              </w:rPr>
            </w:pPr>
            <w:r w:rsidRPr="00FA3F9C">
              <w:rPr>
                <w:rFonts w:ascii="Arial" w:hAnsi="Arial" w:cs="Arial"/>
                <w:sz w:val="24"/>
                <w:szCs w:val="24"/>
              </w:rPr>
              <w:t>SK</w:t>
            </w:r>
          </w:p>
        </w:tc>
      </w:tr>
      <w:tr w:rsidR="00C3036D" w:rsidRPr="00FA3F9C" w14:paraId="26594E8D" w14:textId="77777777" w:rsidTr="00FE491B">
        <w:tc>
          <w:tcPr>
            <w:tcW w:w="1008" w:type="dxa"/>
          </w:tcPr>
          <w:p w14:paraId="451B4440" w14:textId="77777777" w:rsidR="00C3036D" w:rsidRPr="00FA3F9C" w:rsidRDefault="00C3036D" w:rsidP="006F623F">
            <w:pPr>
              <w:rPr>
                <w:rFonts w:ascii="Arial" w:hAnsi="Arial" w:cs="Arial"/>
                <w:sz w:val="24"/>
                <w:szCs w:val="24"/>
              </w:rPr>
            </w:pPr>
          </w:p>
        </w:tc>
        <w:tc>
          <w:tcPr>
            <w:tcW w:w="7470" w:type="dxa"/>
          </w:tcPr>
          <w:p w14:paraId="421614E8" w14:textId="77777777" w:rsidR="00C3036D" w:rsidRPr="00FA3F9C" w:rsidRDefault="00C3036D" w:rsidP="006F623F">
            <w:pPr>
              <w:rPr>
                <w:rFonts w:ascii="Arial" w:hAnsi="Arial" w:cs="Arial"/>
                <w:sz w:val="24"/>
                <w:szCs w:val="24"/>
              </w:rPr>
            </w:pPr>
          </w:p>
        </w:tc>
        <w:tc>
          <w:tcPr>
            <w:tcW w:w="2538" w:type="dxa"/>
          </w:tcPr>
          <w:p w14:paraId="642CD0F6" w14:textId="77777777" w:rsidR="00C3036D" w:rsidRPr="00FA3F9C" w:rsidRDefault="00C3036D" w:rsidP="006F623F">
            <w:pPr>
              <w:rPr>
                <w:rFonts w:ascii="Arial" w:hAnsi="Arial" w:cs="Arial"/>
                <w:sz w:val="24"/>
                <w:szCs w:val="24"/>
              </w:rPr>
            </w:pPr>
          </w:p>
        </w:tc>
      </w:tr>
    </w:tbl>
    <w:p w14:paraId="4B274140" w14:textId="77777777" w:rsidR="00C3036D" w:rsidRPr="00FA3F9C" w:rsidRDefault="00C3036D" w:rsidP="006F623F">
      <w:pPr>
        <w:spacing w:after="0"/>
        <w:rPr>
          <w:rFonts w:ascii="Arial" w:hAnsi="Arial" w:cs="Arial"/>
          <w:sz w:val="24"/>
          <w:szCs w:val="24"/>
        </w:rPr>
      </w:pPr>
    </w:p>
    <w:p w14:paraId="3A18C028" w14:textId="77777777" w:rsidR="00C3036D" w:rsidRPr="00FA3F9C" w:rsidRDefault="00C3036D" w:rsidP="002B2097">
      <w:pPr>
        <w:pStyle w:val="Heading2"/>
        <w:rPr>
          <w:color w:val="000000"/>
        </w:rPr>
      </w:pPr>
      <w:bookmarkStart w:id="282" w:name="_Toc106369906"/>
      <w:r w:rsidRPr="00FA3F9C">
        <w:t>Pralatrexate (</w:t>
      </w:r>
      <w:proofErr w:type="spellStart"/>
      <w:r w:rsidRPr="00FA3F9C">
        <w:t>Folotyn</w:t>
      </w:r>
      <w:proofErr w:type="spellEnd"/>
      <w:r w:rsidRPr="00FA3F9C">
        <w:rPr>
          <w:color w:val="000000"/>
        </w:rPr>
        <w:t>®)</w:t>
      </w:r>
      <w:bookmarkEnd w:id="282"/>
    </w:p>
    <w:p w14:paraId="62909260" w14:textId="77777777" w:rsidR="00C3036D" w:rsidRPr="00FA3F9C" w:rsidRDefault="00C3036D" w:rsidP="00682AA5">
      <w:pPr>
        <w:spacing w:after="0"/>
        <w:jc w:val="center"/>
        <w:rPr>
          <w:rFonts w:ascii="Arial" w:hAnsi="Arial" w:cs="Arial"/>
          <w:b/>
          <w:sz w:val="24"/>
          <w:szCs w:val="24"/>
          <w:u w:val="single"/>
        </w:rPr>
      </w:pPr>
      <w:r w:rsidRPr="00FA3F9C">
        <w:rPr>
          <w:rFonts w:ascii="Arial" w:hAnsi="Arial" w:cs="Arial"/>
          <w:color w:val="000000"/>
          <w:sz w:val="24"/>
          <w:szCs w:val="24"/>
        </w:rPr>
        <w:t>20mg/mL (1mL); 40mg/2mL (2mL), for IV push</w:t>
      </w:r>
    </w:p>
    <w:p w14:paraId="5F4C5087" w14:textId="77777777" w:rsidR="00C3036D" w:rsidRPr="00FA3F9C" w:rsidRDefault="00C3036D" w:rsidP="00702E89">
      <w:pPr>
        <w:spacing w:after="0"/>
        <w:jc w:val="center"/>
        <w:rPr>
          <w:rFonts w:ascii="Arial" w:hAnsi="Arial" w:cs="Arial"/>
          <w:sz w:val="24"/>
          <w:szCs w:val="24"/>
        </w:rPr>
      </w:pPr>
      <w:r w:rsidRPr="00FA3F9C">
        <w:rPr>
          <w:rFonts w:ascii="Arial" w:hAnsi="Arial" w:cs="Arial"/>
          <w:sz w:val="24"/>
          <w:szCs w:val="24"/>
        </w:rPr>
        <w:t xml:space="preserve">EBRx PA Criteria—for </w:t>
      </w:r>
      <w:proofErr w:type="gramStart"/>
      <w:r w:rsidRPr="00FA3F9C">
        <w:rPr>
          <w:rFonts w:ascii="Arial" w:hAnsi="Arial" w:cs="Arial"/>
          <w:sz w:val="24"/>
          <w:szCs w:val="24"/>
        </w:rPr>
        <w:t>Medical</w:t>
      </w:r>
      <w:proofErr w:type="gramEnd"/>
      <w:r w:rsidRPr="00FA3F9C">
        <w:rPr>
          <w:rFonts w:ascii="Arial" w:hAnsi="Arial" w:cs="Arial"/>
          <w:sz w:val="24"/>
          <w:szCs w:val="24"/>
        </w:rPr>
        <w:t xml:space="preserve"> use only</w:t>
      </w:r>
    </w:p>
    <w:p w14:paraId="0DBA3B37" w14:textId="77777777" w:rsidR="00C3036D" w:rsidRPr="00FA3F9C" w:rsidRDefault="00C3036D" w:rsidP="00702E89">
      <w:pPr>
        <w:spacing w:after="0"/>
        <w:rPr>
          <w:rFonts w:ascii="Arial" w:hAnsi="Arial" w:cs="Arial"/>
          <w:b/>
          <w:sz w:val="24"/>
          <w:szCs w:val="24"/>
          <w:u w:val="single"/>
        </w:rPr>
      </w:pPr>
    </w:p>
    <w:p w14:paraId="3C7E5D3C" w14:textId="77777777" w:rsidR="00C3036D" w:rsidRPr="00FA3F9C" w:rsidRDefault="00C3036D" w:rsidP="00702E89">
      <w:pPr>
        <w:spacing w:after="0"/>
        <w:rPr>
          <w:rFonts w:ascii="Arial" w:hAnsi="Arial" w:cs="Arial"/>
          <w:b/>
          <w:sz w:val="24"/>
          <w:szCs w:val="24"/>
          <w:u w:val="single"/>
        </w:rPr>
      </w:pPr>
      <w:r w:rsidRPr="00FA3F9C">
        <w:rPr>
          <w:rFonts w:ascii="Arial" w:hAnsi="Arial" w:cs="Arial"/>
          <w:b/>
          <w:sz w:val="24"/>
          <w:szCs w:val="24"/>
          <w:u w:val="single"/>
        </w:rPr>
        <w:t xml:space="preserve">is FDA-approved for: </w:t>
      </w:r>
    </w:p>
    <w:p w14:paraId="56CB9FBC" w14:textId="77777777" w:rsidR="00C3036D" w:rsidRPr="00FA3F9C" w:rsidRDefault="00C3036D" w:rsidP="00702E89">
      <w:pPr>
        <w:spacing w:after="0"/>
        <w:rPr>
          <w:rFonts w:ascii="Arial" w:hAnsi="Arial" w:cs="Arial"/>
          <w:sz w:val="24"/>
          <w:szCs w:val="24"/>
        </w:rPr>
      </w:pPr>
      <w:r w:rsidRPr="00FA3F9C">
        <w:rPr>
          <w:rFonts w:ascii="Arial" w:hAnsi="Arial" w:cs="Arial"/>
          <w:sz w:val="24"/>
          <w:szCs w:val="24"/>
        </w:rPr>
        <w:t xml:space="preserve">Relapsed or refractory peripheral T-cell lymphomas </w:t>
      </w:r>
    </w:p>
    <w:p w14:paraId="5CBBE070" w14:textId="77777777" w:rsidR="00C3036D" w:rsidRPr="00FA3F9C" w:rsidRDefault="00C3036D" w:rsidP="00702E89">
      <w:pPr>
        <w:spacing w:after="0"/>
        <w:rPr>
          <w:rFonts w:ascii="Arial" w:hAnsi="Arial" w:cs="Arial"/>
          <w:b/>
          <w:sz w:val="24"/>
          <w:szCs w:val="24"/>
          <w:u w:val="single"/>
        </w:rPr>
      </w:pPr>
    </w:p>
    <w:tbl>
      <w:tblPr>
        <w:tblStyle w:val="TableGrid"/>
        <w:tblW w:w="10795" w:type="dxa"/>
        <w:tblLook w:val="04A0" w:firstRow="1" w:lastRow="0" w:firstColumn="1" w:lastColumn="0" w:noHBand="0" w:noVBand="1"/>
      </w:tblPr>
      <w:tblGrid>
        <w:gridCol w:w="10795"/>
      </w:tblGrid>
      <w:tr w:rsidR="00C3036D" w:rsidRPr="00FA3F9C" w14:paraId="006BF45B" w14:textId="77777777" w:rsidTr="00330AA5">
        <w:tc>
          <w:tcPr>
            <w:tcW w:w="10795" w:type="dxa"/>
            <w:shd w:val="clear" w:color="auto" w:fill="000000" w:themeFill="text1"/>
          </w:tcPr>
          <w:p w14:paraId="2E9E0D2B" w14:textId="77777777" w:rsidR="00C3036D" w:rsidRPr="00FA3F9C" w:rsidRDefault="00C3036D" w:rsidP="00330AA5">
            <w:pPr>
              <w:rPr>
                <w:rFonts w:ascii="Arial" w:hAnsi="Arial" w:cs="Arial"/>
                <w:b/>
                <w:sz w:val="24"/>
                <w:szCs w:val="24"/>
                <w:u w:val="single"/>
              </w:rPr>
            </w:pPr>
            <w:r w:rsidRPr="00FA3F9C">
              <w:rPr>
                <w:rFonts w:ascii="Arial" w:hAnsi="Arial" w:cs="Arial"/>
                <w:b/>
                <w:sz w:val="24"/>
                <w:szCs w:val="24"/>
                <w:u w:val="single"/>
              </w:rPr>
              <w:t>Criteria for new users</w:t>
            </w:r>
          </w:p>
        </w:tc>
      </w:tr>
      <w:tr w:rsidR="00C3036D" w:rsidRPr="00FA3F9C" w14:paraId="6ED63D07" w14:textId="77777777" w:rsidTr="00330AA5">
        <w:tc>
          <w:tcPr>
            <w:tcW w:w="10795" w:type="dxa"/>
          </w:tcPr>
          <w:p w14:paraId="4889F058" w14:textId="77777777" w:rsidR="00C3036D" w:rsidRPr="00FA3F9C" w:rsidRDefault="00C3036D" w:rsidP="00236ED6">
            <w:pPr>
              <w:rPr>
                <w:rFonts w:ascii="Arial" w:hAnsi="Arial" w:cs="Arial"/>
                <w:sz w:val="24"/>
                <w:szCs w:val="24"/>
              </w:rPr>
            </w:pPr>
            <w:r w:rsidRPr="00FA3F9C">
              <w:rPr>
                <w:rFonts w:ascii="Arial" w:hAnsi="Arial" w:cs="Arial"/>
                <w:sz w:val="24"/>
                <w:szCs w:val="24"/>
              </w:rPr>
              <w:t>1.  The patient must be &gt;18 years of age and be diagnosed with peripheral T-cell lymphoma that has progressed after at least 1 prior treatment.</w:t>
            </w:r>
          </w:p>
        </w:tc>
      </w:tr>
      <w:tr w:rsidR="00C3036D" w:rsidRPr="00FA3F9C" w14:paraId="38B25910" w14:textId="77777777" w:rsidTr="00330AA5">
        <w:tc>
          <w:tcPr>
            <w:tcW w:w="10795" w:type="dxa"/>
          </w:tcPr>
          <w:p w14:paraId="2BF031C7" w14:textId="77777777" w:rsidR="00C3036D" w:rsidRPr="00FA3F9C" w:rsidRDefault="00C3036D" w:rsidP="00702E89">
            <w:pPr>
              <w:rPr>
                <w:rFonts w:ascii="Arial" w:hAnsi="Arial" w:cs="Arial"/>
                <w:sz w:val="24"/>
                <w:szCs w:val="24"/>
              </w:rPr>
            </w:pPr>
            <w:r w:rsidRPr="00FA3F9C">
              <w:rPr>
                <w:rFonts w:ascii="Arial" w:hAnsi="Arial" w:cs="Arial"/>
                <w:sz w:val="24"/>
                <w:szCs w:val="24"/>
              </w:rPr>
              <w:t xml:space="preserve">2.  The patient must be ECOG 0-2.  </w:t>
            </w:r>
          </w:p>
        </w:tc>
      </w:tr>
      <w:tr w:rsidR="00C3036D" w:rsidRPr="00FA3F9C" w14:paraId="4A08B95D" w14:textId="77777777" w:rsidTr="00330AA5">
        <w:tc>
          <w:tcPr>
            <w:tcW w:w="10795" w:type="dxa"/>
            <w:shd w:val="clear" w:color="auto" w:fill="F2F2F2" w:themeFill="background1" w:themeFillShade="F2"/>
          </w:tcPr>
          <w:p w14:paraId="2D0F9660" w14:textId="77777777" w:rsidR="00C3036D" w:rsidRPr="00FA3F9C" w:rsidRDefault="00C3036D" w:rsidP="00702E89">
            <w:pPr>
              <w:rPr>
                <w:rFonts w:ascii="Arial" w:hAnsi="Arial" w:cs="Arial"/>
                <w:sz w:val="24"/>
                <w:szCs w:val="24"/>
              </w:rPr>
            </w:pPr>
            <w:r w:rsidRPr="00FA3F9C">
              <w:rPr>
                <w:rFonts w:ascii="Arial" w:hAnsi="Arial" w:cs="Arial"/>
                <w:sz w:val="24"/>
                <w:szCs w:val="24"/>
              </w:rPr>
              <w:t>If above criteria are met, approve x 1 year</w:t>
            </w:r>
          </w:p>
        </w:tc>
      </w:tr>
    </w:tbl>
    <w:p w14:paraId="4BBC127B" w14:textId="77777777" w:rsidR="00C3036D" w:rsidRPr="00FA3F9C" w:rsidRDefault="00C3036D" w:rsidP="00702E89">
      <w:pPr>
        <w:spacing w:after="0"/>
        <w:rPr>
          <w:rFonts w:ascii="Arial" w:hAnsi="Arial" w:cs="Arial"/>
          <w:b/>
          <w:sz w:val="24"/>
          <w:szCs w:val="24"/>
          <w:u w:val="single"/>
        </w:rPr>
      </w:pPr>
    </w:p>
    <w:tbl>
      <w:tblPr>
        <w:tblStyle w:val="TableGrid"/>
        <w:tblW w:w="0" w:type="auto"/>
        <w:shd w:val="clear" w:color="auto" w:fill="BFBFBF" w:themeFill="background1" w:themeFillShade="BF"/>
        <w:tblLook w:val="04A0" w:firstRow="1" w:lastRow="0" w:firstColumn="1" w:lastColumn="0" w:noHBand="0" w:noVBand="1"/>
      </w:tblPr>
      <w:tblGrid>
        <w:gridCol w:w="10998"/>
      </w:tblGrid>
      <w:tr w:rsidR="00C3036D" w:rsidRPr="00FA3F9C" w14:paraId="2BFF7157" w14:textId="77777777" w:rsidTr="00214C4F">
        <w:tc>
          <w:tcPr>
            <w:tcW w:w="10998" w:type="dxa"/>
            <w:shd w:val="clear" w:color="auto" w:fill="BFBFBF" w:themeFill="background1" w:themeFillShade="BF"/>
          </w:tcPr>
          <w:p w14:paraId="091DCF87" w14:textId="77777777" w:rsidR="00C3036D" w:rsidRPr="00FA3F9C" w:rsidRDefault="00C3036D" w:rsidP="00702E89">
            <w:pPr>
              <w:rPr>
                <w:rFonts w:ascii="Arial" w:hAnsi="Arial" w:cs="Arial"/>
                <w:sz w:val="24"/>
                <w:szCs w:val="24"/>
              </w:rPr>
            </w:pPr>
            <w:r w:rsidRPr="00FA3F9C">
              <w:rPr>
                <w:rFonts w:ascii="Arial" w:hAnsi="Arial" w:cs="Arial"/>
                <w:sz w:val="24"/>
                <w:szCs w:val="24"/>
              </w:rPr>
              <w:t>Notes:</w:t>
            </w:r>
          </w:p>
          <w:p w14:paraId="57AF3586" w14:textId="77777777" w:rsidR="00C3036D" w:rsidRPr="00FA3F9C" w:rsidRDefault="00C3036D" w:rsidP="00702E89">
            <w:pPr>
              <w:rPr>
                <w:rFonts w:ascii="Arial" w:hAnsi="Arial" w:cs="Arial"/>
                <w:sz w:val="24"/>
                <w:szCs w:val="24"/>
              </w:rPr>
            </w:pPr>
            <w:r w:rsidRPr="00FA3F9C">
              <w:rPr>
                <w:rFonts w:ascii="Arial" w:hAnsi="Arial" w:cs="Arial"/>
                <w:sz w:val="24"/>
                <w:szCs w:val="24"/>
              </w:rPr>
              <w:t>The dose is 30mg/m</w:t>
            </w:r>
            <w:r w:rsidRPr="00FA3F9C">
              <w:rPr>
                <w:rFonts w:ascii="Arial" w:hAnsi="Arial" w:cs="Arial"/>
                <w:sz w:val="24"/>
                <w:szCs w:val="24"/>
                <w:vertAlign w:val="superscript"/>
              </w:rPr>
              <w:t>2</w:t>
            </w:r>
            <w:r w:rsidRPr="00FA3F9C">
              <w:rPr>
                <w:rFonts w:ascii="Arial" w:hAnsi="Arial" w:cs="Arial"/>
                <w:sz w:val="24"/>
                <w:szCs w:val="24"/>
              </w:rPr>
              <w:t>/week for 6 weeks followed by 1 week of rest.  Then the cycle is repeated until progressive disease or unacceptable toxicity.  B</w:t>
            </w:r>
            <w:r w:rsidRPr="00FA3F9C">
              <w:rPr>
                <w:rFonts w:ascii="Arial" w:hAnsi="Arial" w:cs="Arial"/>
                <w:sz w:val="24"/>
                <w:szCs w:val="24"/>
                <w:vertAlign w:val="subscript"/>
              </w:rPr>
              <w:t>12</w:t>
            </w:r>
            <w:r w:rsidRPr="00FA3F9C">
              <w:rPr>
                <w:rFonts w:ascii="Arial" w:hAnsi="Arial" w:cs="Arial"/>
                <w:sz w:val="24"/>
                <w:szCs w:val="24"/>
              </w:rPr>
              <w:t xml:space="preserve"> 1mg IM injection every 8-10w + daily folic acid 1-1.25mg was also administered.</w:t>
            </w:r>
          </w:p>
          <w:p w14:paraId="77A53A75" w14:textId="77777777" w:rsidR="00C3036D" w:rsidRPr="00FA3F9C" w:rsidRDefault="00C3036D" w:rsidP="00702E89">
            <w:pPr>
              <w:rPr>
                <w:rFonts w:ascii="Arial" w:hAnsi="Arial" w:cs="Arial"/>
                <w:sz w:val="24"/>
                <w:szCs w:val="24"/>
              </w:rPr>
            </w:pPr>
          </w:p>
          <w:p w14:paraId="18C0801C" w14:textId="77777777" w:rsidR="00C3036D" w:rsidRPr="00FA3F9C" w:rsidRDefault="00C3036D" w:rsidP="00AA0A8F">
            <w:pPr>
              <w:rPr>
                <w:rFonts w:ascii="Arial" w:hAnsi="Arial" w:cs="Arial"/>
                <w:sz w:val="24"/>
                <w:szCs w:val="24"/>
              </w:rPr>
            </w:pPr>
            <w:r w:rsidRPr="00FA3F9C">
              <w:rPr>
                <w:rFonts w:ascii="Arial" w:hAnsi="Arial" w:cs="Arial"/>
                <w:sz w:val="24"/>
                <w:szCs w:val="24"/>
              </w:rPr>
              <w:t xml:space="preserve">An indirect comparison of patients who received pralatrexate and historical controls who did not receive pralatrexate found an improvement in overall survival in the pralatrexate arm (15.2 </w:t>
            </w:r>
            <w:proofErr w:type="spellStart"/>
            <w:r w:rsidRPr="00FA3F9C">
              <w:rPr>
                <w:rFonts w:ascii="Arial" w:hAnsi="Arial" w:cs="Arial"/>
                <w:sz w:val="24"/>
                <w:szCs w:val="24"/>
              </w:rPr>
              <w:t>mo</w:t>
            </w:r>
            <w:proofErr w:type="spellEnd"/>
            <w:r w:rsidRPr="00FA3F9C">
              <w:rPr>
                <w:rFonts w:ascii="Arial" w:hAnsi="Arial" w:cs="Arial"/>
                <w:sz w:val="24"/>
                <w:szCs w:val="24"/>
              </w:rPr>
              <w:t xml:space="preserve"> vs 4.07 </w:t>
            </w:r>
            <w:proofErr w:type="spellStart"/>
            <w:r w:rsidRPr="00FA3F9C">
              <w:rPr>
                <w:rFonts w:ascii="Arial" w:hAnsi="Arial" w:cs="Arial"/>
                <w:sz w:val="24"/>
                <w:szCs w:val="24"/>
              </w:rPr>
              <w:t>mo</w:t>
            </w:r>
            <w:proofErr w:type="spellEnd"/>
            <w:r w:rsidRPr="00FA3F9C">
              <w:rPr>
                <w:rFonts w:ascii="Arial" w:hAnsi="Arial" w:cs="Arial"/>
                <w:sz w:val="24"/>
                <w:szCs w:val="24"/>
              </w:rPr>
              <w:t>). Although this is not a randomized controlled trial, EBRx will cover pralatrexate based on this data.</w:t>
            </w:r>
          </w:p>
        </w:tc>
      </w:tr>
    </w:tbl>
    <w:p w14:paraId="01ABCECE" w14:textId="77777777" w:rsidR="00C3036D" w:rsidRPr="00FA3F9C" w:rsidRDefault="00C3036D" w:rsidP="00702E89">
      <w:pPr>
        <w:spacing w:after="0"/>
        <w:rPr>
          <w:rFonts w:ascii="Arial" w:hAnsi="Arial" w:cs="Arial"/>
          <w:sz w:val="24"/>
          <w:szCs w:val="24"/>
        </w:rPr>
      </w:pPr>
    </w:p>
    <w:p w14:paraId="37297127" w14:textId="77777777" w:rsidR="00C3036D" w:rsidRPr="00FA3F9C" w:rsidRDefault="00C3036D" w:rsidP="00702E89">
      <w:pPr>
        <w:pStyle w:val="Default"/>
        <w:rPr>
          <w:rFonts w:ascii="Arial" w:hAnsi="Arial" w:cs="Arial"/>
        </w:rPr>
      </w:pPr>
      <w:r w:rsidRPr="00FA3F9C">
        <w:rPr>
          <w:rFonts w:ascii="Arial" w:hAnsi="Arial" w:cs="Arial"/>
        </w:rPr>
        <w:t>Quantity limits: n/a (medically administered drug)</w:t>
      </w:r>
    </w:p>
    <w:p w14:paraId="4BE6C77A" w14:textId="77777777" w:rsidR="00C3036D" w:rsidRPr="00FA3F9C" w:rsidRDefault="00C3036D" w:rsidP="00702E89">
      <w:pPr>
        <w:pStyle w:val="Default"/>
        <w:rPr>
          <w:rFonts w:ascii="Arial" w:hAnsi="Arial" w:cs="Arial"/>
        </w:rPr>
      </w:pPr>
    </w:p>
    <w:p w14:paraId="6F7F69C9" w14:textId="77777777" w:rsidR="00C3036D" w:rsidRPr="00FA3F9C" w:rsidRDefault="00C3036D" w:rsidP="00702E89">
      <w:pPr>
        <w:pStyle w:val="Default"/>
        <w:rPr>
          <w:rFonts w:ascii="Arial" w:hAnsi="Arial" w:cs="Arial"/>
        </w:rPr>
      </w:pPr>
      <w:r w:rsidRPr="00FA3F9C">
        <w:rPr>
          <w:rFonts w:ascii="Arial" w:hAnsi="Arial" w:cs="Arial"/>
        </w:rPr>
        <w:t>References:</w:t>
      </w:r>
    </w:p>
    <w:p w14:paraId="060A3564" w14:textId="77777777" w:rsidR="00C3036D" w:rsidRPr="00FA3F9C" w:rsidRDefault="00C3036D" w:rsidP="00702E89">
      <w:pPr>
        <w:pStyle w:val="Default"/>
        <w:rPr>
          <w:rFonts w:ascii="Arial" w:hAnsi="Arial" w:cs="Arial"/>
        </w:rPr>
      </w:pPr>
      <w:r w:rsidRPr="00FA3F9C">
        <w:rPr>
          <w:rFonts w:ascii="Arial" w:hAnsi="Arial" w:cs="Arial"/>
        </w:rPr>
        <w:t xml:space="preserve">1.  O’Connor OA, Pro B, Pinter-Brown L, et al.  Pralatrexate in patients with relapsed or refractory peripheral t-cell lymphoma:  results from the pivotal PROPEL study.  J Clin </w:t>
      </w:r>
      <w:proofErr w:type="spellStart"/>
      <w:r w:rsidRPr="00FA3F9C">
        <w:rPr>
          <w:rFonts w:ascii="Arial" w:hAnsi="Arial" w:cs="Arial"/>
        </w:rPr>
        <w:t>Onc</w:t>
      </w:r>
      <w:proofErr w:type="spellEnd"/>
      <w:r w:rsidRPr="00FA3F9C">
        <w:rPr>
          <w:rFonts w:ascii="Arial" w:hAnsi="Arial" w:cs="Arial"/>
        </w:rPr>
        <w:t>. 2011;29(9):1182-1189.</w:t>
      </w:r>
    </w:p>
    <w:p w14:paraId="50AEEA0F" w14:textId="77777777" w:rsidR="00C3036D" w:rsidRPr="00FA3F9C" w:rsidRDefault="00C3036D" w:rsidP="00702E89">
      <w:pPr>
        <w:pStyle w:val="Default"/>
        <w:rPr>
          <w:rFonts w:ascii="Arial" w:hAnsi="Arial" w:cs="Arial"/>
        </w:rPr>
      </w:pPr>
    </w:p>
    <w:p w14:paraId="61562C25" w14:textId="77777777" w:rsidR="00C3036D" w:rsidRPr="00FA3F9C" w:rsidRDefault="00C3036D" w:rsidP="00702E89">
      <w:pPr>
        <w:pStyle w:val="Default"/>
        <w:rPr>
          <w:rFonts w:ascii="Arial" w:hAnsi="Arial" w:cs="Arial"/>
        </w:rPr>
      </w:pPr>
      <w:r w:rsidRPr="00FA3F9C">
        <w:rPr>
          <w:rFonts w:ascii="Arial" w:hAnsi="Arial" w:cs="Arial"/>
        </w:rPr>
        <w:t xml:space="preserve">2. O'Connor OA et al. Strategy for Assessing New Drug Value in Orphan Diseases: An International Case Match Control Analysis of the PROPEL Study. JNCI Cancer </w:t>
      </w:r>
      <w:proofErr w:type="spellStart"/>
      <w:r w:rsidRPr="00FA3F9C">
        <w:rPr>
          <w:rFonts w:ascii="Arial" w:hAnsi="Arial" w:cs="Arial"/>
        </w:rPr>
        <w:t>Spectr</w:t>
      </w:r>
      <w:proofErr w:type="spellEnd"/>
      <w:r w:rsidRPr="00FA3F9C">
        <w:rPr>
          <w:rFonts w:ascii="Arial" w:hAnsi="Arial" w:cs="Arial"/>
        </w:rPr>
        <w:t xml:space="preserve">. 2018 Dec 1;2(4):pky038. </w:t>
      </w:r>
      <w:proofErr w:type="spellStart"/>
      <w:r w:rsidRPr="00FA3F9C">
        <w:rPr>
          <w:rFonts w:ascii="Arial" w:hAnsi="Arial" w:cs="Arial"/>
        </w:rPr>
        <w:t>doi</w:t>
      </w:r>
      <w:proofErr w:type="spellEnd"/>
      <w:r w:rsidRPr="00FA3F9C">
        <w:rPr>
          <w:rFonts w:ascii="Arial" w:hAnsi="Arial" w:cs="Arial"/>
        </w:rPr>
        <w:t>: 10.1093/</w:t>
      </w:r>
      <w:proofErr w:type="spellStart"/>
      <w:r w:rsidRPr="00FA3F9C">
        <w:rPr>
          <w:rFonts w:ascii="Arial" w:hAnsi="Arial" w:cs="Arial"/>
        </w:rPr>
        <w:t>jncics</w:t>
      </w:r>
      <w:proofErr w:type="spellEnd"/>
      <w:r w:rsidRPr="00FA3F9C">
        <w:rPr>
          <w:rFonts w:ascii="Arial" w:hAnsi="Arial" w:cs="Arial"/>
        </w:rPr>
        <w:t xml:space="preserve">/pky038. </w:t>
      </w:r>
      <w:proofErr w:type="spellStart"/>
      <w:r w:rsidRPr="00FA3F9C">
        <w:rPr>
          <w:rFonts w:ascii="Arial" w:hAnsi="Arial" w:cs="Arial"/>
        </w:rPr>
        <w:t>eCollection</w:t>
      </w:r>
      <w:proofErr w:type="spellEnd"/>
      <w:r w:rsidRPr="00FA3F9C">
        <w:rPr>
          <w:rFonts w:ascii="Arial" w:hAnsi="Arial" w:cs="Arial"/>
        </w:rPr>
        <w:t xml:space="preserve"> 2018 Oct. PMID 31360868</w:t>
      </w:r>
    </w:p>
    <w:p w14:paraId="41E87A75" w14:textId="77777777" w:rsidR="00C3036D" w:rsidRPr="00FA3F9C" w:rsidRDefault="00C3036D" w:rsidP="00702E89">
      <w:pPr>
        <w:pStyle w:val="Default"/>
        <w:rPr>
          <w:rFonts w:ascii="Arial" w:hAnsi="Arial" w:cs="Arial"/>
        </w:rPr>
      </w:pPr>
    </w:p>
    <w:p w14:paraId="0EAEAD61" w14:textId="77777777" w:rsidR="00C3036D" w:rsidRPr="00FA3F9C" w:rsidRDefault="00C3036D" w:rsidP="00702E89">
      <w:pPr>
        <w:spacing w:after="0"/>
        <w:rPr>
          <w:rFonts w:ascii="Arial" w:hAnsi="Arial" w:cs="Arial"/>
          <w:sz w:val="24"/>
          <w:szCs w:val="24"/>
        </w:rPr>
      </w:pPr>
    </w:p>
    <w:p w14:paraId="5E3E11AB" w14:textId="77777777" w:rsidR="00C3036D" w:rsidRPr="00FA3F9C" w:rsidRDefault="00C3036D" w:rsidP="00702E89">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284"/>
        <w:gridCol w:w="7470"/>
        <w:gridCol w:w="2538"/>
      </w:tblGrid>
      <w:tr w:rsidR="00C3036D" w:rsidRPr="00FA3F9C" w14:paraId="60333C2C" w14:textId="77777777" w:rsidTr="00FE491B">
        <w:tc>
          <w:tcPr>
            <w:tcW w:w="1008" w:type="dxa"/>
          </w:tcPr>
          <w:p w14:paraId="0E38A624" w14:textId="77777777" w:rsidR="00C3036D" w:rsidRPr="00FA3F9C" w:rsidRDefault="00C3036D" w:rsidP="00702E89">
            <w:pPr>
              <w:rPr>
                <w:rFonts w:ascii="Arial" w:hAnsi="Arial" w:cs="Arial"/>
                <w:sz w:val="24"/>
                <w:szCs w:val="24"/>
              </w:rPr>
            </w:pPr>
            <w:r w:rsidRPr="00FA3F9C">
              <w:rPr>
                <w:rFonts w:ascii="Arial" w:hAnsi="Arial" w:cs="Arial"/>
                <w:sz w:val="24"/>
                <w:szCs w:val="24"/>
              </w:rPr>
              <w:t>Date</w:t>
            </w:r>
          </w:p>
        </w:tc>
        <w:tc>
          <w:tcPr>
            <w:tcW w:w="7470" w:type="dxa"/>
          </w:tcPr>
          <w:p w14:paraId="2E4A5E77" w14:textId="77777777" w:rsidR="00C3036D" w:rsidRPr="00FA3F9C" w:rsidRDefault="00C3036D" w:rsidP="00702E89">
            <w:pPr>
              <w:rPr>
                <w:rFonts w:ascii="Arial" w:hAnsi="Arial" w:cs="Arial"/>
                <w:sz w:val="24"/>
                <w:szCs w:val="24"/>
              </w:rPr>
            </w:pPr>
            <w:r w:rsidRPr="00FA3F9C">
              <w:rPr>
                <w:rFonts w:ascii="Arial" w:hAnsi="Arial" w:cs="Arial"/>
                <w:sz w:val="24"/>
                <w:szCs w:val="24"/>
              </w:rPr>
              <w:t>What changed</w:t>
            </w:r>
          </w:p>
        </w:tc>
        <w:tc>
          <w:tcPr>
            <w:tcW w:w="2538" w:type="dxa"/>
          </w:tcPr>
          <w:p w14:paraId="7616B539" w14:textId="77777777" w:rsidR="00C3036D" w:rsidRPr="00FA3F9C" w:rsidRDefault="00C3036D" w:rsidP="00702E89">
            <w:pPr>
              <w:rPr>
                <w:rFonts w:ascii="Arial" w:hAnsi="Arial" w:cs="Arial"/>
                <w:sz w:val="24"/>
                <w:szCs w:val="24"/>
              </w:rPr>
            </w:pPr>
            <w:r w:rsidRPr="00FA3F9C">
              <w:rPr>
                <w:rFonts w:ascii="Arial" w:hAnsi="Arial" w:cs="Arial"/>
                <w:sz w:val="24"/>
                <w:szCs w:val="24"/>
              </w:rPr>
              <w:t>Pharmacist’s initials</w:t>
            </w:r>
          </w:p>
        </w:tc>
      </w:tr>
      <w:tr w:rsidR="00C3036D" w:rsidRPr="00FA3F9C" w14:paraId="2ABBABB6" w14:textId="77777777" w:rsidTr="00FE491B">
        <w:tc>
          <w:tcPr>
            <w:tcW w:w="1008" w:type="dxa"/>
          </w:tcPr>
          <w:p w14:paraId="2898568D" w14:textId="77777777" w:rsidR="00C3036D" w:rsidRPr="00FA3F9C" w:rsidRDefault="00C3036D" w:rsidP="00702E89">
            <w:pPr>
              <w:rPr>
                <w:rFonts w:ascii="Arial" w:hAnsi="Arial" w:cs="Arial"/>
                <w:sz w:val="24"/>
                <w:szCs w:val="24"/>
              </w:rPr>
            </w:pPr>
            <w:r w:rsidRPr="00FA3F9C">
              <w:rPr>
                <w:rFonts w:ascii="Arial" w:hAnsi="Arial" w:cs="Arial"/>
                <w:sz w:val="24"/>
                <w:szCs w:val="24"/>
              </w:rPr>
              <w:t>2/3/15</w:t>
            </w:r>
          </w:p>
        </w:tc>
        <w:tc>
          <w:tcPr>
            <w:tcW w:w="7470" w:type="dxa"/>
          </w:tcPr>
          <w:p w14:paraId="773D2EA5" w14:textId="77777777" w:rsidR="00C3036D" w:rsidRPr="00FA3F9C" w:rsidRDefault="00C3036D" w:rsidP="006F1181">
            <w:pPr>
              <w:rPr>
                <w:rFonts w:ascii="Arial" w:hAnsi="Arial" w:cs="Arial"/>
                <w:sz w:val="24"/>
                <w:szCs w:val="24"/>
              </w:rPr>
            </w:pPr>
            <w:r w:rsidRPr="00FA3F9C">
              <w:rPr>
                <w:rFonts w:ascii="Arial" w:hAnsi="Arial" w:cs="Arial"/>
                <w:sz w:val="24"/>
                <w:szCs w:val="24"/>
              </w:rPr>
              <w:t>I wrote the criteria as was decided by DCWG.  The drug was previously covered only on the medical side and without known PA criteria.  It was decided EBRx would PA along the FDA-approved guidelines with parameters set also by the clinical trial that supported its use (PROPEL).  The trial was single arm showing the median PFS was 3.5m and the OS was 14.5m.  43% of patients were censored for OS because they were still alive at the data cutoff date.  For those patients, the OS was 18m.  23% withdrew from the trial due to AEs.</w:t>
            </w:r>
          </w:p>
        </w:tc>
        <w:tc>
          <w:tcPr>
            <w:tcW w:w="2538" w:type="dxa"/>
          </w:tcPr>
          <w:p w14:paraId="01335E77" w14:textId="77777777" w:rsidR="00C3036D" w:rsidRPr="00FA3F9C" w:rsidRDefault="00C3036D" w:rsidP="00702E89">
            <w:pPr>
              <w:rPr>
                <w:rFonts w:ascii="Arial" w:hAnsi="Arial" w:cs="Arial"/>
                <w:sz w:val="24"/>
                <w:szCs w:val="24"/>
              </w:rPr>
            </w:pPr>
            <w:r w:rsidRPr="00FA3F9C">
              <w:rPr>
                <w:rFonts w:ascii="Arial" w:hAnsi="Arial" w:cs="Arial"/>
                <w:sz w:val="24"/>
                <w:szCs w:val="24"/>
              </w:rPr>
              <w:t>JJ</w:t>
            </w:r>
          </w:p>
        </w:tc>
      </w:tr>
      <w:tr w:rsidR="00C3036D" w:rsidRPr="00FA3F9C" w14:paraId="4613EABB" w14:textId="77777777" w:rsidTr="00FE491B">
        <w:tc>
          <w:tcPr>
            <w:tcW w:w="1008" w:type="dxa"/>
          </w:tcPr>
          <w:p w14:paraId="7CB72C99" w14:textId="77777777" w:rsidR="00C3036D" w:rsidRPr="00FA3F9C" w:rsidRDefault="00C3036D" w:rsidP="00702E89">
            <w:pPr>
              <w:rPr>
                <w:rFonts w:ascii="Arial" w:hAnsi="Arial" w:cs="Arial"/>
                <w:sz w:val="24"/>
                <w:szCs w:val="24"/>
              </w:rPr>
            </w:pPr>
            <w:r w:rsidRPr="00FA3F9C">
              <w:rPr>
                <w:rFonts w:ascii="Arial" w:hAnsi="Arial" w:cs="Arial"/>
                <w:sz w:val="24"/>
                <w:szCs w:val="24"/>
              </w:rPr>
              <w:t>3/28/18</w:t>
            </w:r>
          </w:p>
        </w:tc>
        <w:tc>
          <w:tcPr>
            <w:tcW w:w="7470" w:type="dxa"/>
          </w:tcPr>
          <w:p w14:paraId="1A36D9DD" w14:textId="77777777" w:rsidR="00C3036D" w:rsidRPr="00FA3F9C" w:rsidRDefault="00C3036D" w:rsidP="00EC17C3">
            <w:pPr>
              <w:rPr>
                <w:rFonts w:ascii="Arial" w:hAnsi="Arial" w:cs="Arial"/>
                <w:sz w:val="24"/>
                <w:szCs w:val="24"/>
              </w:rPr>
            </w:pPr>
            <w:r w:rsidRPr="00FA3F9C">
              <w:rPr>
                <w:rFonts w:ascii="Arial" w:hAnsi="Arial" w:cs="Arial"/>
                <w:sz w:val="24"/>
                <w:szCs w:val="24"/>
              </w:rPr>
              <w:t>I wrote the PA criteria wrong—for cutaneous (off-label) instead of the FDA-approved (peripheral) T-cell lymphoma.  Rachael is correcting it.</w:t>
            </w:r>
          </w:p>
        </w:tc>
        <w:tc>
          <w:tcPr>
            <w:tcW w:w="2538" w:type="dxa"/>
          </w:tcPr>
          <w:p w14:paraId="4550C149" w14:textId="77777777" w:rsidR="00C3036D" w:rsidRPr="00FA3F9C" w:rsidRDefault="00C3036D" w:rsidP="00702E89">
            <w:pPr>
              <w:rPr>
                <w:rFonts w:ascii="Arial" w:hAnsi="Arial" w:cs="Arial"/>
                <w:sz w:val="24"/>
                <w:szCs w:val="24"/>
              </w:rPr>
            </w:pPr>
            <w:r w:rsidRPr="00FA3F9C">
              <w:rPr>
                <w:rFonts w:ascii="Arial" w:hAnsi="Arial" w:cs="Arial"/>
                <w:sz w:val="24"/>
                <w:szCs w:val="24"/>
              </w:rPr>
              <w:t>JJ</w:t>
            </w:r>
          </w:p>
        </w:tc>
      </w:tr>
      <w:tr w:rsidR="00C3036D" w:rsidRPr="00FA3F9C" w14:paraId="3C70106A" w14:textId="77777777" w:rsidTr="00FE491B">
        <w:tc>
          <w:tcPr>
            <w:tcW w:w="1008" w:type="dxa"/>
          </w:tcPr>
          <w:p w14:paraId="0520E047" w14:textId="77777777" w:rsidR="00C3036D" w:rsidRPr="00FA3F9C" w:rsidRDefault="00C3036D" w:rsidP="00702E89">
            <w:pPr>
              <w:rPr>
                <w:rFonts w:ascii="Arial" w:hAnsi="Arial" w:cs="Arial"/>
                <w:sz w:val="24"/>
                <w:szCs w:val="24"/>
              </w:rPr>
            </w:pPr>
            <w:r w:rsidRPr="00FA3F9C">
              <w:rPr>
                <w:rFonts w:ascii="Arial" w:hAnsi="Arial" w:cs="Arial"/>
                <w:sz w:val="24"/>
                <w:szCs w:val="24"/>
              </w:rPr>
              <w:t>3/28/18</w:t>
            </w:r>
          </w:p>
        </w:tc>
        <w:tc>
          <w:tcPr>
            <w:tcW w:w="7470" w:type="dxa"/>
          </w:tcPr>
          <w:p w14:paraId="5948BD30" w14:textId="77777777" w:rsidR="00C3036D" w:rsidRPr="00FA3F9C" w:rsidRDefault="00C3036D" w:rsidP="00702E89">
            <w:pPr>
              <w:rPr>
                <w:rFonts w:ascii="Arial" w:hAnsi="Arial" w:cs="Arial"/>
                <w:sz w:val="24"/>
                <w:szCs w:val="24"/>
              </w:rPr>
            </w:pPr>
            <w:r w:rsidRPr="00FA3F9C">
              <w:rPr>
                <w:rFonts w:ascii="Arial" w:hAnsi="Arial" w:cs="Arial"/>
                <w:sz w:val="24"/>
                <w:szCs w:val="24"/>
              </w:rPr>
              <w:t xml:space="preserve">Unable to locate any pertinent data other than PROPEL, current dosing regimen and pre-medication recommendations are appropriate for the peripheral indication  </w:t>
            </w:r>
          </w:p>
        </w:tc>
        <w:tc>
          <w:tcPr>
            <w:tcW w:w="2538" w:type="dxa"/>
          </w:tcPr>
          <w:p w14:paraId="568EB985" w14:textId="77777777" w:rsidR="00C3036D" w:rsidRPr="00FA3F9C" w:rsidRDefault="00C3036D" w:rsidP="00702E89">
            <w:pPr>
              <w:rPr>
                <w:rFonts w:ascii="Arial" w:hAnsi="Arial" w:cs="Arial"/>
                <w:sz w:val="24"/>
                <w:szCs w:val="24"/>
              </w:rPr>
            </w:pPr>
            <w:r w:rsidRPr="00FA3F9C">
              <w:rPr>
                <w:rFonts w:ascii="Arial" w:hAnsi="Arial" w:cs="Arial"/>
                <w:sz w:val="24"/>
                <w:szCs w:val="24"/>
              </w:rPr>
              <w:t>RM</w:t>
            </w:r>
          </w:p>
        </w:tc>
      </w:tr>
      <w:tr w:rsidR="00C3036D" w:rsidRPr="00FA3F9C" w14:paraId="27154A30" w14:textId="77777777" w:rsidTr="00FE491B">
        <w:tc>
          <w:tcPr>
            <w:tcW w:w="1008" w:type="dxa"/>
          </w:tcPr>
          <w:p w14:paraId="323277F8" w14:textId="77777777" w:rsidR="00C3036D" w:rsidRPr="00FA3F9C" w:rsidRDefault="00C3036D" w:rsidP="00702E89">
            <w:pPr>
              <w:rPr>
                <w:rFonts w:ascii="Arial" w:hAnsi="Arial" w:cs="Arial"/>
                <w:sz w:val="24"/>
                <w:szCs w:val="24"/>
              </w:rPr>
            </w:pPr>
            <w:r w:rsidRPr="00FA3F9C">
              <w:rPr>
                <w:rFonts w:ascii="Arial" w:hAnsi="Arial" w:cs="Arial"/>
                <w:sz w:val="24"/>
                <w:szCs w:val="24"/>
              </w:rPr>
              <w:t>6/17/19</w:t>
            </w:r>
          </w:p>
        </w:tc>
        <w:tc>
          <w:tcPr>
            <w:tcW w:w="7470" w:type="dxa"/>
          </w:tcPr>
          <w:p w14:paraId="5531272E" w14:textId="77777777" w:rsidR="00C3036D" w:rsidRPr="00FA3F9C" w:rsidRDefault="00C3036D" w:rsidP="00702E89">
            <w:pPr>
              <w:rPr>
                <w:rFonts w:ascii="Arial" w:hAnsi="Arial" w:cs="Arial"/>
                <w:sz w:val="24"/>
                <w:szCs w:val="24"/>
              </w:rPr>
            </w:pPr>
            <w:r w:rsidRPr="00FA3F9C">
              <w:rPr>
                <w:rFonts w:ascii="Arial" w:hAnsi="Arial" w:cs="Arial"/>
                <w:sz w:val="24"/>
                <w:szCs w:val="24"/>
              </w:rPr>
              <w:t>Criteria reviewed. No changes</w:t>
            </w:r>
          </w:p>
        </w:tc>
        <w:tc>
          <w:tcPr>
            <w:tcW w:w="2538" w:type="dxa"/>
          </w:tcPr>
          <w:p w14:paraId="59B8F17E" w14:textId="77777777" w:rsidR="00C3036D" w:rsidRPr="00FA3F9C" w:rsidRDefault="00C3036D" w:rsidP="00702E89">
            <w:pPr>
              <w:rPr>
                <w:rFonts w:ascii="Arial" w:hAnsi="Arial" w:cs="Arial"/>
                <w:sz w:val="24"/>
                <w:szCs w:val="24"/>
              </w:rPr>
            </w:pPr>
            <w:r w:rsidRPr="00FA3F9C">
              <w:rPr>
                <w:rFonts w:ascii="Arial" w:hAnsi="Arial" w:cs="Arial"/>
                <w:sz w:val="24"/>
                <w:szCs w:val="24"/>
              </w:rPr>
              <w:t>SK</w:t>
            </w:r>
          </w:p>
        </w:tc>
      </w:tr>
      <w:tr w:rsidR="00C3036D" w:rsidRPr="00FA3F9C" w14:paraId="3E432C5D" w14:textId="77777777" w:rsidTr="00FE491B">
        <w:tc>
          <w:tcPr>
            <w:tcW w:w="1008" w:type="dxa"/>
          </w:tcPr>
          <w:p w14:paraId="76CBDDFD" w14:textId="77777777" w:rsidR="00C3036D" w:rsidRPr="00FA3F9C" w:rsidRDefault="00C3036D" w:rsidP="00702E89">
            <w:pPr>
              <w:rPr>
                <w:rFonts w:ascii="Arial" w:hAnsi="Arial" w:cs="Arial"/>
                <w:sz w:val="24"/>
                <w:szCs w:val="24"/>
              </w:rPr>
            </w:pPr>
            <w:r w:rsidRPr="00FA3F9C">
              <w:rPr>
                <w:rFonts w:ascii="Arial" w:hAnsi="Arial" w:cs="Arial"/>
                <w:sz w:val="24"/>
                <w:szCs w:val="24"/>
              </w:rPr>
              <w:t>6/16/2020</w:t>
            </w:r>
          </w:p>
        </w:tc>
        <w:tc>
          <w:tcPr>
            <w:tcW w:w="7470" w:type="dxa"/>
          </w:tcPr>
          <w:p w14:paraId="061028DA" w14:textId="77777777" w:rsidR="00C3036D" w:rsidRPr="00FA3F9C" w:rsidRDefault="00C3036D" w:rsidP="00702E89">
            <w:pPr>
              <w:rPr>
                <w:rFonts w:ascii="Arial" w:hAnsi="Arial" w:cs="Arial"/>
                <w:sz w:val="24"/>
                <w:szCs w:val="24"/>
              </w:rPr>
            </w:pPr>
            <w:r w:rsidRPr="00FA3F9C">
              <w:rPr>
                <w:rFonts w:ascii="Arial" w:hAnsi="Arial" w:cs="Arial"/>
                <w:sz w:val="24"/>
                <w:szCs w:val="24"/>
              </w:rPr>
              <w:t>Added reference for indirect comparison. Continue coverage per 6/2020 DCWG</w:t>
            </w:r>
          </w:p>
        </w:tc>
        <w:tc>
          <w:tcPr>
            <w:tcW w:w="2538" w:type="dxa"/>
          </w:tcPr>
          <w:p w14:paraId="34FBE313" w14:textId="77777777" w:rsidR="00C3036D" w:rsidRPr="00FA3F9C" w:rsidRDefault="00C3036D" w:rsidP="00702E89">
            <w:pPr>
              <w:rPr>
                <w:rFonts w:ascii="Arial" w:hAnsi="Arial" w:cs="Arial"/>
                <w:sz w:val="24"/>
                <w:szCs w:val="24"/>
              </w:rPr>
            </w:pPr>
            <w:r w:rsidRPr="00FA3F9C">
              <w:rPr>
                <w:rFonts w:ascii="Arial" w:hAnsi="Arial" w:cs="Arial"/>
                <w:sz w:val="24"/>
                <w:szCs w:val="24"/>
              </w:rPr>
              <w:t>SK</w:t>
            </w:r>
          </w:p>
        </w:tc>
      </w:tr>
      <w:tr w:rsidR="00C3036D" w:rsidRPr="00FA3F9C" w14:paraId="49B246BB" w14:textId="77777777" w:rsidTr="00FE491B">
        <w:tc>
          <w:tcPr>
            <w:tcW w:w="1008" w:type="dxa"/>
          </w:tcPr>
          <w:p w14:paraId="3209CB2C" w14:textId="77777777" w:rsidR="00C3036D" w:rsidRPr="00FA3F9C" w:rsidRDefault="00C3036D" w:rsidP="00702E89">
            <w:pPr>
              <w:rPr>
                <w:rFonts w:ascii="Arial" w:hAnsi="Arial" w:cs="Arial"/>
                <w:sz w:val="24"/>
                <w:szCs w:val="24"/>
              </w:rPr>
            </w:pPr>
            <w:r w:rsidRPr="00FA3F9C">
              <w:rPr>
                <w:rFonts w:ascii="Arial" w:hAnsi="Arial" w:cs="Arial"/>
                <w:sz w:val="24"/>
                <w:szCs w:val="24"/>
              </w:rPr>
              <w:t>8/31/2021</w:t>
            </w:r>
          </w:p>
        </w:tc>
        <w:tc>
          <w:tcPr>
            <w:tcW w:w="7470" w:type="dxa"/>
          </w:tcPr>
          <w:p w14:paraId="3CC4133A" w14:textId="77777777" w:rsidR="00C3036D" w:rsidRPr="00FA3F9C" w:rsidRDefault="00C3036D" w:rsidP="00702E89">
            <w:pPr>
              <w:rPr>
                <w:rFonts w:ascii="Arial" w:hAnsi="Arial" w:cs="Arial"/>
                <w:sz w:val="24"/>
                <w:szCs w:val="24"/>
              </w:rPr>
            </w:pPr>
            <w:r w:rsidRPr="00FA3F9C">
              <w:rPr>
                <w:rFonts w:ascii="Arial" w:hAnsi="Arial" w:cs="Arial"/>
                <w:sz w:val="24"/>
                <w:szCs w:val="24"/>
              </w:rPr>
              <w:t xml:space="preserve">Criteria reviewed. No changes. </w:t>
            </w:r>
          </w:p>
        </w:tc>
        <w:tc>
          <w:tcPr>
            <w:tcW w:w="2538" w:type="dxa"/>
          </w:tcPr>
          <w:p w14:paraId="49227368" w14:textId="77777777" w:rsidR="00C3036D" w:rsidRPr="00FA3F9C" w:rsidRDefault="00C3036D" w:rsidP="00702E89">
            <w:pPr>
              <w:rPr>
                <w:rFonts w:ascii="Arial" w:hAnsi="Arial" w:cs="Arial"/>
                <w:sz w:val="24"/>
                <w:szCs w:val="24"/>
              </w:rPr>
            </w:pPr>
            <w:r w:rsidRPr="00FA3F9C">
              <w:rPr>
                <w:rFonts w:ascii="Arial" w:hAnsi="Arial" w:cs="Arial"/>
                <w:sz w:val="24"/>
                <w:szCs w:val="24"/>
              </w:rPr>
              <w:t>SK</w:t>
            </w:r>
          </w:p>
        </w:tc>
      </w:tr>
    </w:tbl>
    <w:p w14:paraId="575047A1" w14:textId="77777777" w:rsidR="00C3036D" w:rsidRPr="00FA3F9C" w:rsidRDefault="00C3036D" w:rsidP="00702E89">
      <w:pPr>
        <w:spacing w:after="0"/>
        <w:rPr>
          <w:rFonts w:ascii="Arial" w:hAnsi="Arial" w:cs="Arial"/>
          <w:sz w:val="24"/>
          <w:szCs w:val="24"/>
        </w:rPr>
      </w:pPr>
    </w:p>
    <w:p w14:paraId="087080BD" w14:textId="77777777" w:rsidR="002B2097" w:rsidRDefault="00C3036D" w:rsidP="002B2097">
      <w:pPr>
        <w:pStyle w:val="Heading2"/>
      </w:pPr>
      <w:bookmarkStart w:id="283" w:name="_Toc106369907"/>
      <w:proofErr w:type="spellStart"/>
      <w:r w:rsidRPr="00FA3F9C">
        <w:t>Pretomanid</w:t>
      </w:r>
      <w:bookmarkEnd w:id="283"/>
      <w:proofErr w:type="spellEnd"/>
      <w:r w:rsidRPr="00FA3F9C">
        <w:t xml:space="preserve"> </w:t>
      </w:r>
    </w:p>
    <w:p w14:paraId="3CB1F351" w14:textId="2C95C342" w:rsidR="00C3036D" w:rsidRPr="00FA3F9C" w:rsidRDefault="00C3036D" w:rsidP="006F623F">
      <w:pPr>
        <w:spacing w:after="0"/>
        <w:jc w:val="center"/>
        <w:rPr>
          <w:rFonts w:ascii="Arial" w:hAnsi="Arial" w:cs="Arial"/>
          <w:sz w:val="24"/>
          <w:szCs w:val="24"/>
        </w:rPr>
      </w:pPr>
      <w:r w:rsidRPr="00FA3F9C">
        <w:rPr>
          <w:rFonts w:ascii="Arial" w:hAnsi="Arial" w:cs="Arial"/>
          <w:sz w:val="24"/>
          <w:szCs w:val="24"/>
        </w:rPr>
        <w:t>200mg tablets</w:t>
      </w:r>
    </w:p>
    <w:p w14:paraId="11D0392E" w14:textId="77777777" w:rsidR="00C3036D" w:rsidRPr="00FA3F9C" w:rsidRDefault="00C3036D" w:rsidP="006F623F">
      <w:pPr>
        <w:spacing w:after="0"/>
        <w:jc w:val="center"/>
        <w:rPr>
          <w:rFonts w:ascii="Arial" w:hAnsi="Arial" w:cs="Arial"/>
          <w:sz w:val="24"/>
          <w:szCs w:val="24"/>
        </w:rPr>
      </w:pPr>
      <w:r w:rsidRPr="00FA3F9C">
        <w:rPr>
          <w:rFonts w:ascii="Arial" w:hAnsi="Arial" w:cs="Arial"/>
          <w:sz w:val="24"/>
          <w:szCs w:val="24"/>
        </w:rPr>
        <w:t>EBRx PA Criteria</w:t>
      </w:r>
    </w:p>
    <w:p w14:paraId="7C2E4983" w14:textId="77777777" w:rsidR="00C3036D" w:rsidRPr="00FA3F9C" w:rsidRDefault="00C3036D" w:rsidP="006F623F">
      <w:pPr>
        <w:spacing w:after="0"/>
        <w:rPr>
          <w:rFonts w:ascii="Arial" w:hAnsi="Arial" w:cs="Arial"/>
          <w:b/>
          <w:sz w:val="24"/>
          <w:szCs w:val="24"/>
          <w:u w:val="single"/>
        </w:rPr>
      </w:pPr>
    </w:p>
    <w:p w14:paraId="16C72273" w14:textId="77777777" w:rsidR="00C3036D" w:rsidRPr="00FA3F9C" w:rsidRDefault="00C3036D" w:rsidP="00CA622D">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Treatment of treatment-intolerant or nonresponsive MDR or extensively drug resistant pulmonary tuberculosis</w:t>
      </w:r>
    </w:p>
    <w:tbl>
      <w:tblPr>
        <w:tblStyle w:val="TableGrid"/>
        <w:tblW w:w="0" w:type="auto"/>
        <w:tblLook w:val="04A0" w:firstRow="1" w:lastRow="0" w:firstColumn="1" w:lastColumn="0" w:noHBand="0" w:noVBand="1"/>
      </w:tblPr>
      <w:tblGrid>
        <w:gridCol w:w="8928"/>
        <w:gridCol w:w="2088"/>
      </w:tblGrid>
      <w:tr w:rsidR="00C3036D" w:rsidRPr="00FA3F9C" w14:paraId="0AACD3B3" w14:textId="77777777" w:rsidTr="00571CAB">
        <w:tc>
          <w:tcPr>
            <w:tcW w:w="8928" w:type="dxa"/>
            <w:shd w:val="clear" w:color="auto" w:fill="000000"/>
          </w:tcPr>
          <w:p w14:paraId="708152FE" w14:textId="77777777" w:rsidR="00C3036D" w:rsidRPr="00FA3F9C" w:rsidRDefault="00C3036D"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88" w:type="dxa"/>
            <w:shd w:val="clear" w:color="auto" w:fill="000000"/>
          </w:tcPr>
          <w:p w14:paraId="2C59C379" w14:textId="77777777" w:rsidR="00C3036D" w:rsidRPr="00FA3F9C" w:rsidRDefault="00C3036D" w:rsidP="006F623F">
            <w:pPr>
              <w:jc w:val="center"/>
              <w:rPr>
                <w:rFonts w:ascii="Arial" w:hAnsi="Arial" w:cs="Arial"/>
                <w:b/>
                <w:sz w:val="24"/>
                <w:szCs w:val="24"/>
                <w:u w:val="single"/>
              </w:rPr>
            </w:pPr>
          </w:p>
        </w:tc>
      </w:tr>
      <w:tr w:rsidR="00C3036D" w:rsidRPr="00FA3F9C" w14:paraId="3CA7A1BC" w14:textId="77777777" w:rsidTr="00F337AE">
        <w:tc>
          <w:tcPr>
            <w:tcW w:w="11016" w:type="dxa"/>
            <w:gridSpan w:val="2"/>
          </w:tcPr>
          <w:p w14:paraId="23422C3B" w14:textId="77777777" w:rsidR="00C3036D" w:rsidRPr="00FA3F9C" w:rsidRDefault="00C3036D" w:rsidP="006F623F">
            <w:pPr>
              <w:rPr>
                <w:rFonts w:ascii="Arial" w:hAnsi="Arial" w:cs="Arial"/>
                <w:sz w:val="24"/>
                <w:szCs w:val="24"/>
              </w:rPr>
            </w:pPr>
            <w:r w:rsidRPr="00FA3F9C">
              <w:rPr>
                <w:rFonts w:ascii="Arial" w:hAnsi="Arial" w:cs="Arial"/>
                <w:sz w:val="24"/>
                <w:szCs w:val="24"/>
              </w:rPr>
              <w:t>1. Patient must have the diagnosis of pulmonary tuberculosis that is either non-responsive, multi-drug resistant or extensively drug resistant.</w:t>
            </w:r>
          </w:p>
        </w:tc>
      </w:tr>
      <w:tr w:rsidR="00C3036D" w:rsidRPr="00FA3F9C" w14:paraId="0F4693AD" w14:textId="77777777" w:rsidTr="00B1617E">
        <w:tc>
          <w:tcPr>
            <w:tcW w:w="11016" w:type="dxa"/>
            <w:gridSpan w:val="2"/>
          </w:tcPr>
          <w:p w14:paraId="05F47C06" w14:textId="77777777" w:rsidR="00C3036D" w:rsidRPr="00FA3F9C" w:rsidRDefault="00C3036D" w:rsidP="006F623F">
            <w:pPr>
              <w:rPr>
                <w:rFonts w:ascii="Arial" w:hAnsi="Arial" w:cs="Arial"/>
                <w:sz w:val="24"/>
                <w:szCs w:val="24"/>
              </w:rPr>
            </w:pPr>
            <w:r w:rsidRPr="00FA3F9C">
              <w:rPr>
                <w:rFonts w:ascii="Arial" w:hAnsi="Arial" w:cs="Arial"/>
                <w:sz w:val="24"/>
                <w:szCs w:val="24"/>
              </w:rPr>
              <w:t xml:space="preserve">2. Patient must be receiving concurrent linezolid and </w:t>
            </w:r>
            <w:proofErr w:type="spellStart"/>
            <w:r w:rsidRPr="00FA3F9C">
              <w:rPr>
                <w:rFonts w:ascii="Arial" w:hAnsi="Arial" w:cs="Arial"/>
                <w:sz w:val="24"/>
                <w:szCs w:val="24"/>
              </w:rPr>
              <w:t>bedaquiline</w:t>
            </w:r>
            <w:proofErr w:type="spellEnd"/>
            <w:r w:rsidRPr="00FA3F9C">
              <w:rPr>
                <w:rFonts w:ascii="Arial" w:hAnsi="Arial" w:cs="Arial"/>
                <w:sz w:val="24"/>
                <w:szCs w:val="24"/>
              </w:rPr>
              <w:t xml:space="preserve">. </w:t>
            </w:r>
          </w:p>
        </w:tc>
      </w:tr>
      <w:tr w:rsidR="00C3036D" w:rsidRPr="00FA3F9C" w14:paraId="7AEE6005" w14:textId="77777777" w:rsidTr="00B1617E">
        <w:tc>
          <w:tcPr>
            <w:tcW w:w="11016" w:type="dxa"/>
            <w:gridSpan w:val="2"/>
          </w:tcPr>
          <w:p w14:paraId="219C0EBE" w14:textId="77777777" w:rsidR="00C3036D" w:rsidRPr="00FA3F9C" w:rsidRDefault="00C3036D" w:rsidP="006F623F">
            <w:pPr>
              <w:rPr>
                <w:rFonts w:ascii="Arial" w:hAnsi="Arial" w:cs="Arial"/>
                <w:sz w:val="24"/>
                <w:szCs w:val="24"/>
              </w:rPr>
            </w:pPr>
            <w:r w:rsidRPr="00FA3F9C">
              <w:rPr>
                <w:rFonts w:ascii="Arial" w:hAnsi="Arial" w:cs="Arial"/>
                <w:sz w:val="24"/>
                <w:szCs w:val="24"/>
              </w:rPr>
              <w:t xml:space="preserve">3. The prescriber must attest to prescribing </w:t>
            </w:r>
            <w:proofErr w:type="spellStart"/>
            <w:r w:rsidRPr="00FA3F9C">
              <w:rPr>
                <w:rFonts w:ascii="Arial" w:hAnsi="Arial" w:cs="Arial"/>
                <w:sz w:val="24"/>
                <w:szCs w:val="24"/>
              </w:rPr>
              <w:t>pretomanid</w:t>
            </w:r>
            <w:proofErr w:type="spellEnd"/>
            <w:r w:rsidRPr="00FA3F9C">
              <w:rPr>
                <w:rFonts w:ascii="Arial" w:hAnsi="Arial" w:cs="Arial"/>
                <w:sz w:val="24"/>
                <w:szCs w:val="24"/>
              </w:rPr>
              <w:t xml:space="preserve"> in coordination with the state Department of Health.</w:t>
            </w:r>
          </w:p>
        </w:tc>
      </w:tr>
    </w:tbl>
    <w:p w14:paraId="25E68738" w14:textId="77777777" w:rsidR="00C3036D" w:rsidRPr="00FA3F9C" w:rsidRDefault="00C3036D" w:rsidP="006F623F">
      <w:pPr>
        <w:spacing w:after="0"/>
        <w:rPr>
          <w:rFonts w:ascii="Arial" w:hAnsi="Arial" w:cs="Arial"/>
          <w:b/>
          <w:sz w:val="24"/>
          <w:szCs w:val="24"/>
          <w:u w:val="single"/>
        </w:rPr>
      </w:pPr>
    </w:p>
    <w:tbl>
      <w:tblPr>
        <w:tblStyle w:val="TableGrid"/>
        <w:tblW w:w="0" w:type="auto"/>
        <w:shd w:val="clear" w:color="auto" w:fill="BFBFBF" w:themeFill="background1" w:themeFillShade="BF"/>
        <w:tblLook w:val="04A0" w:firstRow="1" w:lastRow="0" w:firstColumn="1" w:lastColumn="0" w:noHBand="0" w:noVBand="1"/>
      </w:tblPr>
      <w:tblGrid>
        <w:gridCol w:w="10998"/>
      </w:tblGrid>
      <w:tr w:rsidR="00C3036D" w:rsidRPr="00FA3F9C" w14:paraId="43BBF7FD" w14:textId="77777777" w:rsidTr="00D82B6E">
        <w:tc>
          <w:tcPr>
            <w:tcW w:w="10998" w:type="dxa"/>
            <w:shd w:val="clear" w:color="auto" w:fill="BFBFBF" w:themeFill="background1" w:themeFillShade="BF"/>
          </w:tcPr>
          <w:p w14:paraId="17DE3C4C" w14:textId="77777777" w:rsidR="00C3036D" w:rsidRPr="00FA3F9C" w:rsidRDefault="00C3036D" w:rsidP="00D82B6E">
            <w:pPr>
              <w:rPr>
                <w:rFonts w:ascii="Arial" w:hAnsi="Arial" w:cs="Arial"/>
                <w:sz w:val="24"/>
                <w:szCs w:val="24"/>
              </w:rPr>
            </w:pPr>
            <w:r w:rsidRPr="00FA3F9C">
              <w:rPr>
                <w:rFonts w:ascii="Arial" w:hAnsi="Arial" w:cs="Arial"/>
                <w:sz w:val="24"/>
                <w:szCs w:val="24"/>
              </w:rPr>
              <w:t xml:space="preserve">Note: If approved, allow a 4 </w:t>
            </w:r>
            <w:proofErr w:type="gramStart"/>
            <w:r w:rsidRPr="00FA3F9C">
              <w:rPr>
                <w:rFonts w:ascii="Arial" w:hAnsi="Arial" w:cs="Arial"/>
                <w:sz w:val="24"/>
                <w:szCs w:val="24"/>
              </w:rPr>
              <w:t>weeks</w:t>
            </w:r>
            <w:proofErr w:type="gramEnd"/>
            <w:r w:rsidRPr="00FA3F9C">
              <w:rPr>
                <w:rFonts w:ascii="Arial" w:hAnsi="Arial" w:cs="Arial"/>
                <w:sz w:val="24"/>
                <w:szCs w:val="24"/>
              </w:rPr>
              <w:t xml:space="preserve"> supply at each dispensing.  If all three drugs are not tolerated, one (possibly </w:t>
            </w:r>
            <w:proofErr w:type="spellStart"/>
            <w:r w:rsidRPr="00FA3F9C">
              <w:rPr>
                <w:rFonts w:ascii="Arial" w:hAnsi="Arial" w:cs="Arial"/>
                <w:sz w:val="24"/>
                <w:szCs w:val="24"/>
              </w:rPr>
              <w:t>pretomanid</w:t>
            </w:r>
            <w:proofErr w:type="spellEnd"/>
            <w:r w:rsidRPr="00FA3F9C">
              <w:rPr>
                <w:rFonts w:ascii="Arial" w:hAnsi="Arial" w:cs="Arial"/>
                <w:sz w:val="24"/>
                <w:szCs w:val="24"/>
              </w:rPr>
              <w:t>) may be discontinued if later than the initial 4 weeks of treatment</w:t>
            </w:r>
          </w:p>
        </w:tc>
      </w:tr>
    </w:tbl>
    <w:p w14:paraId="1D259096" w14:textId="77777777" w:rsidR="00C3036D" w:rsidRPr="00FA3F9C" w:rsidRDefault="00C3036D" w:rsidP="006F623F">
      <w:pPr>
        <w:spacing w:after="0"/>
        <w:rPr>
          <w:rFonts w:ascii="Arial" w:hAnsi="Arial" w:cs="Arial"/>
          <w:sz w:val="24"/>
          <w:szCs w:val="24"/>
        </w:rPr>
      </w:pPr>
    </w:p>
    <w:p w14:paraId="45287EA4" w14:textId="77777777" w:rsidR="00C3036D" w:rsidRPr="00FA3F9C" w:rsidRDefault="00C3036D" w:rsidP="006F623F">
      <w:pPr>
        <w:spacing w:after="0"/>
        <w:rPr>
          <w:rFonts w:ascii="Arial" w:hAnsi="Arial" w:cs="Arial"/>
          <w:sz w:val="24"/>
          <w:szCs w:val="24"/>
        </w:rPr>
      </w:pPr>
      <w:r w:rsidRPr="00FA3F9C">
        <w:rPr>
          <w:rFonts w:ascii="Arial" w:hAnsi="Arial" w:cs="Arial"/>
          <w:sz w:val="24"/>
          <w:szCs w:val="24"/>
        </w:rPr>
        <w:t>Quantity Limits: 1/1</w:t>
      </w:r>
    </w:p>
    <w:p w14:paraId="3D8F439A" w14:textId="77777777" w:rsidR="00C3036D" w:rsidRPr="00FA3F9C" w:rsidRDefault="00C3036D" w:rsidP="006F623F">
      <w:pPr>
        <w:spacing w:after="0"/>
        <w:rPr>
          <w:rFonts w:ascii="Arial" w:hAnsi="Arial" w:cs="Arial"/>
          <w:sz w:val="24"/>
          <w:szCs w:val="24"/>
        </w:rPr>
      </w:pPr>
    </w:p>
    <w:p w14:paraId="3C21459C" w14:textId="77777777" w:rsidR="00C3036D" w:rsidRPr="00FA3F9C" w:rsidRDefault="00C3036D" w:rsidP="006276CB">
      <w:pPr>
        <w:rPr>
          <w:rFonts w:ascii="Arial" w:hAnsi="Arial" w:cs="Arial"/>
          <w:sz w:val="24"/>
          <w:szCs w:val="24"/>
        </w:rPr>
      </w:pPr>
      <w:r w:rsidRPr="00FA3F9C">
        <w:rPr>
          <w:rFonts w:ascii="Arial" w:hAnsi="Arial" w:cs="Arial"/>
          <w:sz w:val="24"/>
          <w:szCs w:val="24"/>
        </w:rPr>
        <w:t>References:</w:t>
      </w:r>
    </w:p>
    <w:p w14:paraId="63784344" w14:textId="77777777" w:rsidR="00C3036D" w:rsidRPr="00FA3F9C" w:rsidRDefault="00C3036D" w:rsidP="006276CB">
      <w:pPr>
        <w:rPr>
          <w:rFonts w:ascii="Arial" w:eastAsia="Times New Roman" w:hAnsi="Arial" w:cs="Arial"/>
          <w:sz w:val="24"/>
          <w:szCs w:val="24"/>
        </w:rPr>
      </w:pPr>
      <w:r w:rsidRPr="00FA3F9C">
        <w:rPr>
          <w:rFonts w:ascii="Arial" w:hAnsi="Arial" w:cs="Arial"/>
          <w:sz w:val="24"/>
          <w:szCs w:val="24"/>
        </w:rPr>
        <w:t xml:space="preserve">1. FDA website:  </w:t>
      </w:r>
      <w:hyperlink r:id="rId351" w:history="1">
        <w:r w:rsidRPr="00FA3F9C">
          <w:rPr>
            <w:rFonts w:ascii="Arial" w:eastAsia="Times New Roman" w:hAnsi="Arial" w:cs="Arial"/>
            <w:color w:val="0000FF"/>
            <w:sz w:val="24"/>
            <w:szCs w:val="24"/>
            <w:u w:val="single"/>
          </w:rPr>
          <w:t>https://www.accessdata.fda.gov/drugsatfda_docs/nda/2019/212862Orig1s000MultidisciplineR.pdf</w:t>
        </w:r>
      </w:hyperlink>
    </w:p>
    <w:p w14:paraId="17B9807E" w14:textId="77777777" w:rsidR="00C3036D" w:rsidRPr="00FA3F9C" w:rsidRDefault="00C3036D"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418"/>
        <w:gridCol w:w="7470"/>
        <w:gridCol w:w="2538"/>
      </w:tblGrid>
      <w:tr w:rsidR="00C3036D" w:rsidRPr="00FA3F9C" w14:paraId="45475193" w14:textId="77777777" w:rsidTr="00FE491B">
        <w:tc>
          <w:tcPr>
            <w:tcW w:w="1008" w:type="dxa"/>
          </w:tcPr>
          <w:p w14:paraId="42830DC2" w14:textId="77777777" w:rsidR="00C3036D" w:rsidRPr="00FA3F9C" w:rsidRDefault="00C3036D" w:rsidP="006F623F">
            <w:pPr>
              <w:rPr>
                <w:rFonts w:ascii="Arial" w:hAnsi="Arial" w:cs="Arial"/>
                <w:sz w:val="24"/>
                <w:szCs w:val="24"/>
              </w:rPr>
            </w:pPr>
            <w:r w:rsidRPr="00FA3F9C">
              <w:rPr>
                <w:rFonts w:ascii="Arial" w:hAnsi="Arial" w:cs="Arial"/>
                <w:sz w:val="24"/>
                <w:szCs w:val="24"/>
              </w:rPr>
              <w:t>Date</w:t>
            </w:r>
          </w:p>
        </w:tc>
        <w:tc>
          <w:tcPr>
            <w:tcW w:w="7470" w:type="dxa"/>
          </w:tcPr>
          <w:p w14:paraId="38B396DB" w14:textId="77777777" w:rsidR="00C3036D" w:rsidRPr="00FA3F9C" w:rsidRDefault="00C3036D" w:rsidP="006F623F">
            <w:pPr>
              <w:rPr>
                <w:rFonts w:ascii="Arial" w:hAnsi="Arial" w:cs="Arial"/>
                <w:sz w:val="24"/>
                <w:szCs w:val="24"/>
              </w:rPr>
            </w:pPr>
            <w:r w:rsidRPr="00FA3F9C">
              <w:rPr>
                <w:rFonts w:ascii="Arial" w:hAnsi="Arial" w:cs="Arial"/>
                <w:sz w:val="24"/>
                <w:szCs w:val="24"/>
              </w:rPr>
              <w:t>What changed</w:t>
            </w:r>
          </w:p>
        </w:tc>
        <w:tc>
          <w:tcPr>
            <w:tcW w:w="2538" w:type="dxa"/>
          </w:tcPr>
          <w:p w14:paraId="5CAF1F0E" w14:textId="77777777" w:rsidR="00C3036D" w:rsidRPr="00FA3F9C" w:rsidRDefault="00C3036D" w:rsidP="006F623F">
            <w:pPr>
              <w:rPr>
                <w:rFonts w:ascii="Arial" w:hAnsi="Arial" w:cs="Arial"/>
                <w:sz w:val="24"/>
                <w:szCs w:val="24"/>
              </w:rPr>
            </w:pPr>
            <w:r w:rsidRPr="00FA3F9C">
              <w:rPr>
                <w:rFonts w:ascii="Arial" w:hAnsi="Arial" w:cs="Arial"/>
                <w:sz w:val="24"/>
                <w:szCs w:val="24"/>
              </w:rPr>
              <w:t>Pharmacist’s initials</w:t>
            </w:r>
          </w:p>
        </w:tc>
      </w:tr>
      <w:tr w:rsidR="00C3036D" w:rsidRPr="00FA3F9C" w14:paraId="50201F58" w14:textId="77777777" w:rsidTr="00FE491B">
        <w:tc>
          <w:tcPr>
            <w:tcW w:w="1008" w:type="dxa"/>
          </w:tcPr>
          <w:p w14:paraId="5C11470C" w14:textId="77777777" w:rsidR="00C3036D" w:rsidRPr="00FA3F9C" w:rsidRDefault="00C3036D" w:rsidP="006F623F">
            <w:pPr>
              <w:rPr>
                <w:rFonts w:ascii="Arial" w:hAnsi="Arial" w:cs="Arial"/>
                <w:sz w:val="24"/>
                <w:szCs w:val="24"/>
              </w:rPr>
            </w:pPr>
            <w:r w:rsidRPr="00FA3F9C">
              <w:rPr>
                <w:rFonts w:ascii="Arial" w:hAnsi="Arial" w:cs="Arial"/>
                <w:sz w:val="24"/>
                <w:szCs w:val="24"/>
              </w:rPr>
              <w:t>12/3/19</w:t>
            </w:r>
          </w:p>
        </w:tc>
        <w:tc>
          <w:tcPr>
            <w:tcW w:w="7470" w:type="dxa"/>
          </w:tcPr>
          <w:p w14:paraId="1DDF7E9D" w14:textId="77777777" w:rsidR="00C3036D" w:rsidRPr="00FA3F9C" w:rsidRDefault="00C3036D" w:rsidP="006F623F">
            <w:pPr>
              <w:rPr>
                <w:rFonts w:ascii="Arial" w:hAnsi="Arial" w:cs="Arial"/>
                <w:sz w:val="24"/>
                <w:szCs w:val="24"/>
              </w:rPr>
            </w:pPr>
            <w:r w:rsidRPr="00FA3F9C">
              <w:rPr>
                <w:rFonts w:ascii="Arial" w:hAnsi="Arial" w:cs="Arial"/>
                <w:sz w:val="24"/>
                <w:szCs w:val="24"/>
              </w:rPr>
              <w:t>I wrote the criteria.</w:t>
            </w:r>
          </w:p>
        </w:tc>
        <w:tc>
          <w:tcPr>
            <w:tcW w:w="2538" w:type="dxa"/>
          </w:tcPr>
          <w:p w14:paraId="22090C0D" w14:textId="4BEDDE1B" w:rsidR="00C3036D" w:rsidRPr="00FA3F9C" w:rsidRDefault="005C142D" w:rsidP="006F623F">
            <w:pPr>
              <w:rPr>
                <w:rFonts w:ascii="Arial" w:hAnsi="Arial" w:cs="Arial"/>
                <w:sz w:val="24"/>
                <w:szCs w:val="24"/>
              </w:rPr>
            </w:pPr>
            <w:r w:rsidRPr="00FA3F9C">
              <w:rPr>
                <w:rFonts w:ascii="Arial" w:hAnsi="Arial" w:cs="Arial"/>
                <w:sz w:val="24"/>
                <w:szCs w:val="24"/>
              </w:rPr>
              <w:t>JJ</w:t>
            </w:r>
          </w:p>
        </w:tc>
      </w:tr>
      <w:tr w:rsidR="00C3036D" w:rsidRPr="00FA3F9C" w14:paraId="25A5A19E" w14:textId="77777777" w:rsidTr="00FE491B">
        <w:tc>
          <w:tcPr>
            <w:tcW w:w="1008" w:type="dxa"/>
          </w:tcPr>
          <w:p w14:paraId="7B5F5DE3" w14:textId="77777777" w:rsidR="00C3036D" w:rsidRPr="00FA3F9C" w:rsidRDefault="00C3036D" w:rsidP="006F623F">
            <w:pPr>
              <w:rPr>
                <w:rFonts w:ascii="Arial" w:hAnsi="Arial" w:cs="Arial"/>
                <w:sz w:val="24"/>
                <w:szCs w:val="24"/>
              </w:rPr>
            </w:pPr>
            <w:r w:rsidRPr="00FA3F9C">
              <w:rPr>
                <w:rFonts w:ascii="Arial" w:hAnsi="Arial" w:cs="Arial"/>
                <w:sz w:val="24"/>
                <w:szCs w:val="24"/>
              </w:rPr>
              <w:t>10/28/2020</w:t>
            </w:r>
          </w:p>
        </w:tc>
        <w:tc>
          <w:tcPr>
            <w:tcW w:w="7470" w:type="dxa"/>
          </w:tcPr>
          <w:p w14:paraId="14A1D563" w14:textId="77777777" w:rsidR="00C3036D" w:rsidRPr="00FA3F9C" w:rsidRDefault="00C3036D" w:rsidP="006F623F">
            <w:pPr>
              <w:rPr>
                <w:rFonts w:ascii="Arial" w:hAnsi="Arial" w:cs="Arial"/>
                <w:sz w:val="24"/>
                <w:szCs w:val="24"/>
              </w:rPr>
            </w:pPr>
            <w:r w:rsidRPr="00FA3F9C">
              <w:rPr>
                <w:rFonts w:ascii="Arial" w:hAnsi="Arial" w:cs="Arial"/>
                <w:sz w:val="24"/>
                <w:szCs w:val="24"/>
              </w:rPr>
              <w:t>I reviewed the criteria.</w:t>
            </w:r>
          </w:p>
        </w:tc>
        <w:tc>
          <w:tcPr>
            <w:tcW w:w="2538" w:type="dxa"/>
          </w:tcPr>
          <w:p w14:paraId="1F83FDA0" w14:textId="77777777" w:rsidR="00C3036D" w:rsidRPr="00FA3F9C" w:rsidRDefault="00C3036D" w:rsidP="006F623F">
            <w:pPr>
              <w:rPr>
                <w:rFonts w:ascii="Arial" w:hAnsi="Arial" w:cs="Arial"/>
                <w:sz w:val="24"/>
                <w:szCs w:val="24"/>
              </w:rPr>
            </w:pPr>
            <w:r w:rsidRPr="00FA3F9C">
              <w:rPr>
                <w:rFonts w:ascii="Arial" w:hAnsi="Arial" w:cs="Arial"/>
                <w:sz w:val="24"/>
                <w:szCs w:val="24"/>
              </w:rPr>
              <w:t>JJ</w:t>
            </w:r>
          </w:p>
        </w:tc>
      </w:tr>
      <w:tr w:rsidR="00C3036D" w:rsidRPr="00FA3F9C" w14:paraId="5AB7E3AA" w14:textId="77777777" w:rsidTr="00FE491B">
        <w:tc>
          <w:tcPr>
            <w:tcW w:w="1008" w:type="dxa"/>
          </w:tcPr>
          <w:p w14:paraId="5E35F09B" w14:textId="77777777" w:rsidR="00C3036D" w:rsidRPr="00FA3F9C" w:rsidRDefault="00C3036D" w:rsidP="006F623F">
            <w:pPr>
              <w:rPr>
                <w:rFonts w:ascii="Arial" w:hAnsi="Arial" w:cs="Arial"/>
                <w:sz w:val="24"/>
                <w:szCs w:val="24"/>
              </w:rPr>
            </w:pPr>
            <w:r w:rsidRPr="00FA3F9C">
              <w:rPr>
                <w:rFonts w:ascii="Arial" w:hAnsi="Arial" w:cs="Arial"/>
                <w:sz w:val="24"/>
                <w:szCs w:val="24"/>
              </w:rPr>
              <w:t>3/10/21</w:t>
            </w:r>
          </w:p>
        </w:tc>
        <w:tc>
          <w:tcPr>
            <w:tcW w:w="7470" w:type="dxa"/>
          </w:tcPr>
          <w:p w14:paraId="565C4BB7" w14:textId="77777777" w:rsidR="00C3036D" w:rsidRPr="00FA3F9C" w:rsidRDefault="00C3036D" w:rsidP="006F623F">
            <w:pPr>
              <w:rPr>
                <w:rFonts w:ascii="Arial" w:hAnsi="Arial" w:cs="Arial"/>
                <w:sz w:val="24"/>
                <w:szCs w:val="24"/>
              </w:rPr>
            </w:pPr>
            <w:r w:rsidRPr="00FA3F9C">
              <w:rPr>
                <w:rFonts w:ascii="Arial" w:hAnsi="Arial" w:cs="Arial"/>
                <w:sz w:val="24"/>
                <w:szCs w:val="24"/>
              </w:rPr>
              <w:t>Criteria reviewed; no changes.</w:t>
            </w:r>
          </w:p>
        </w:tc>
        <w:tc>
          <w:tcPr>
            <w:tcW w:w="2538" w:type="dxa"/>
          </w:tcPr>
          <w:p w14:paraId="2DD18A6B" w14:textId="77777777" w:rsidR="00C3036D" w:rsidRPr="00FA3F9C" w:rsidRDefault="00C3036D" w:rsidP="006F623F">
            <w:pPr>
              <w:rPr>
                <w:rFonts w:ascii="Arial" w:hAnsi="Arial" w:cs="Arial"/>
                <w:sz w:val="24"/>
                <w:szCs w:val="24"/>
              </w:rPr>
            </w:pPr>
            <w:r w:rsidRPr="00FA3F9C">
              <w:rPr>
                <w:rFonts w:ascii="Arial" w:hAnsi="Arial" w:cs="Arial"/>
                <w:sz w:val="24"/>
                <w:szCs w:val="24"/>
              </w:rPr>
              <w:t>JJ</w:t>
            </w:r>
          </w:p>
        </w:tc>
      </w:tr>
    </w:tbl>
    <w:p w14:paraId="0C9556BE" w14:textId="77777777" w:rsidR="00C3036D" w:rsidRPr="00FA3F9C" w:rsidRDefault="00C3036D" w:rsidP="006F623F">
      <w:pPr>
        <w:spacing w:after="0"/>
        <w:rPr>
          <w:rFonts w:ascii="Arial" w:hAnsi="Arial" w:cs="Arial"/>
          <w:sz w:val="24"/>
          <w:szCs w:val="24"/>
        </w:rPr>
      </w:pPr>
    </w:p>
    <w:p w14:paraId="55BCBC20" w14:textId="77777777" w:rsidR="002B2097" w:rsidRDefault="00C3036D" w:rsidP="002B2097">
      <w:pPr>
        <w:pStyle w:val="Heading2"/>
      </w:pPr>
      <w:bookmarkStart w:id="284" w:name="_Toc106369908"/>
      <w:r w:rsidRPr="00FA3F9C">
        <w:t>Regorafenib (</w:t>
      </w:r>
      <w:proofErr w:type="spellStart"/>
      <w:r w:rsidRPr="00FA3F9C">
        <w:t>Stivaraga</w:t>
      </w:r>
      <w:proofErr w:type="spellEnd"/>
      <w:r w:rsidRPr="00FA3F9C">
        <w:t>)</w:t>
      </w:r>
      <w:bookmarkEnd w:id="284"/>
      <w:r w:rsidRPr="00FA3F9C">
        <w:t xml:space="preserve"> </w:t>
      </w:r>
    </w:p>
    <w:p w14:paraId="54738B78" w14:textId="0D60CD9D" w:rsidR="00C3036D" w:rsidRPr="00FA3F9C" w:rsidRDefault="00C3036D" w:rsidP="006F623F">
      <w:pPr>
        <w:spacing w:after="0"/>
        <w:jc w:val="center"/>
        <w:rPr>
          <w:rFonts w:ascii="Arial" w:hAnsi="Arial" w:cs="Arial"/>
          <w:sz w:val="24"/>
          <w:szCs w:val="24"/>
        </w:rPr>
      </w:pPr>
      <w:r w:rsidRPr="00FA3F9C">
        <w:rPr>
          <w:rFonts w:ascii="Arial" w:hAnsi="Arial" w:cs="Arial"/>
          <w:sz w:val="24"/>
          <w:szCs w:val="24"/>
        </w:rPr>
        <w:t xml:space="preserve"> 40 mg tablets</w:t>
      </w:r>
    </w:p>
    <w:p w14:paraId="6FBA51A8" w14:textId="77777777" w:rsidR="00C3036D" w:rsidRPr="00FA3F9C" w:rsidRDefault="00C3036D" w:rsidP="006F623F">
      <w:pPr>
        <w:spacing w:after="0"/>
        <w:jc w:val="center"/>
        <w:rPr>
          <w:rFonts w:ascii="Arial" w:hAnsi="Arial" w:cs="Arial"/>
          <w:sz w:val="24"/>
          <w:szCs w:val="24"/>
        </w:rPr>
      </w:pPr>
      <w:r w:rsidRPr="00FA3F9C">
        <w:rPr>
          <w:rFonts w:ascii="Arial" w:hAnsi="Arial" w:cs="Arial"/>
          <w:sz w:val="24"/>
          <w:szCs w:val="24"/>
        </w:rPr>
        <w:t>EBRx PA Criteria</w:t>
      </w:r>
    </w:p>
    <w:p w14:paraId="59DB9CC8" w14:textId="77777777" w:rsidR="00C3036D" w:rsidRPr="00FA3F9C" w:rsidRDefault="00C3036D" w:rsidP="006F623F">
      <w:pPr>
        <w:spacing w:after="0"/>
        <w:rPr>
          <w:rFonts w:ascii="Arial" w:hAnsi="Arial" w:cs="Arial"/>
          <w:b/>
          <w:sz w:val="24"/>
          <w:szCs w:val="24"/>
          <w:u w:val="single"/>
        </w:rPr>
      </w:pPr>
    </w:p>
    <w:p w14:paraId="591A7D25" w14:textId="77777777" w:rsidR="00C3036D" w:rsidRPr="00FA3F9C" w:rsidRDefault="00C3036D"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w:t>
      </w:r>
    </w:p>
    <w:p w14:paraId="683FE222" w14:textId="77777777" w:rsidR="00C3036D" w:rsidRPr="00FA3F9C" w:rsidRDefault="00C3036D" w:rsidP="00FC1E85">
      <w:pPr>
        <w:pStyle w:val="ListParagraph"/>
        <w:numPr>
          <w:ilvl w:val="0"/>
          <w:numId w:val="442"/>
        </w:numPr>
        <w:spacing w:after="0" w:line="276" w:lineRule="auto"/>
        <w:ind w:left="270" w:hanging="270"/>
        <w:rPr>
          <w:rFonts w:ascii="Arial" w:hAnsi="Arial" w:cs="Arial"/>
          <w:sz w:val="24"/>
          <w:szCs w:val="24"/>
        </w:rPr>
      </w:pPr>
      <w:r w:rsidRPr="00FA3F9C">
        <w:rPr>
          <w:rFonts w:ascii="Arial" w:hAnsi="Arial" w:cs="Arial"/>
          <w:sz w:val="24"/>
          <w:szCs w:val="24"/>
        </w:rPr>
        <w:t xml:space="preserve">Metastatic colorectal cancer (CRC) who have been previously treated with fluoropyrimidine-, oxaliplatin- and irinotecan-based chemotherapy, an </w:t>
      </w:r>
      <w:proofErr w:type="spellStart"/>
      <w:r w:rsidRPr="00FA3F9C">
        <w:rPr>
          <w:rFonts w:ascii="Arial" w:hAnsi="Arial" w:cs="Arial"/>
          <w:sz w:val="24"/>
          <w:szCs w:val="24"/>
        </w:rPr>
        <w:t>antiVEGF</w:t>
      </w:r>
      <w:proofErr w:type="spellEnd"/>
      <w:r w:rsidRPr="00FA3F9C">
        <w:rPr>
          <w:rFonts w:ascii="Arial" w:hAnsi="Arial" w:cs="Arial"/>
          <w:sz w:val="24"/>
          <w:szCs w:val="24"/>
        </w:rPr>
        <w:t xml:space="preserve"> therapy, and, if RAS wild-type, an anti-EGFR therapy. </w:t>
      </w:r>
      <w:r w:rsidRPr="00FA3F9C">
        <w:rPr>
          <w:rFonts w:ascii="Arial" w:hAnsi="Arial" w:cs="Arial"/>
          <w:sz w:val="24"/>
          <w:szCs w:val="24"/>
          <w:highlight w:val="yellow"/>
        </w:rPr>
        <w:t>NOT COVERED</w:t>
      </w:r>
    </w:p>
    <w:p w14:paraId="75D32F8E" w14:textId="77777777" w:rsidR="00C3036D" w:rsidRPr="00FA3F9C" w:rsidRDefault="00C3036D" w:rsidP="00FC1E85">
      <w:pPr>
        <w:pStyle w:val="ListParagraph"/>
        <w:numPr>
          <w:ilvl w:val="1"/>
          <w:numId w:val="442"/>
        </w:numPr>
        <w:spacing w:after="0" w:line="276" w:lineRule="auto"/>
        <w:ind w:left="720" w:hanging="270"/>
        <w:rPr>
          <w:rFonts w:ascii="Arial" w:hAnsi="Arial" w:cs="Arial"/>
          <w:sz w:val="24"/>
          <w:szCs w:val="24"/>
        </w:rPr>
      </w:pPr>
      <w:r w:rsidRPr="00FA3F9C">
        <w:rPr>
          <w:rFonts w:ascii="Arial" w:hAnsi="Arial" w:cs="Arial"/>
          <w:sz w:val="24"/>
          <w:szCs w:val="24"/>
        </w:rPr>
        <w:t xml:space="preserve">Regorafenib statistically improved overall survival compared to placebo (6.4 </w:t>
      </w:r>
      <w:proofErr w:type="spellStart"/>
      <w:r w:rsidRPr="00FA3F9C">
        <w:rPr>
          <w:rFonts w:ascii="Arial" w:hAnsi="Arial" w:cs="Arial"/>
          <w:sz w:val="24"/>
          <w:szCs w:val="24"/>
        </w:rPr>
        <w:t>mo</w:t>
      </w:r>
      <w:proofErr w:type="spellEnd"/>
      <w:r w:rsidRPr="00FA3F9C">
        <w:rPr>
          <w:rFonts w:ascii="Arial" w:hAnsi="Arial" w:cs="Arial"/>
          <w:sz w:val="24"/>
          <w:szCs w:val="24"/>
        </w:rPr>
        <w:t xml:space="preserve"> vs 5 </w:t>
      </w:r>
      <w:proofErr w:type="spellStart"/>
      <w:proofErr w:type="gramStart"/>
      <w:r w:rsidRPr="00FA3F9C">
        <w:rPr>
          <w:rFonts w:ascii="Arial" w:hAnsi="Arial" w:cs="Arial"/>
          <w:sz w:val="24"/>
          <w:szCs w:val="24"/>
        </w:rPr>
        <w:t>mo</w:t>
      </w:r>
      <w:proofErr w:type="spellEnd"/>
      <w:r w:rsidRPr="00FA3F9C">
        <w:rPr>
          <w:rFonts w:ascii="Arial" w:hAnsi="Arial" w:cs="Arial"/>
          <w:sz w:val="24"/>
          <w:szCs w:val="24"/>
        </w:rPr>
        <w:t>;</w:t>
      </w:r>
      <w:proofErr w:type="gramEnd"/>
      <w:r w:rsidRPr="00FA3F9C">
        <w:rPr>
          <w:rFonts w:ascii="Arial" w:hAnsi="Arial" w:cs="Arial"/>
          <w:sz w:val="24"/>
          <w:szCs w:val="24"/>
        </w:rPr>
        <w:t xml:space="preserve"> HR 0.77 (95% CI 0.64-0.94). This different is not felt to be clinically significant and, therefore, CRC will not be a covered indication for regorafenib.</w:t>
      </w:r>
    </w:p>
    <w:p w14:paraId="41D4486E" w14:textId="77777777" w:rsidR="00C3036D" w:rsidRPr="00FA3F9C" w:rsidRDefault="00C3036D" w:rsidP="00F07271">
      <w:pPr>
        <w:pStyle w:val="ListParagraph"/>
        <w:spacing w:after="0"/>
        <w:rPr>
          <w:rFonts w:ascii="Arial" w:hAnsi="Arial" w:cs="Arial"/>
          <w:sz w:val="24"/>
          <w:szCs w:val="24"/>
        </w:rPr>
      </w:pPr>
      <w:r w:rsidRPr="00FA3F9C">
        <w:rPr>
          <w:rFonts w:ascii="Arial" w:hAnsi="Arial" w:cs="Arial"/>
          <w:sz w:val="24"/>
          <w:szCs w:val="24"/>
        </w:rPr>
        <w:t xml:space="preserve">Reference: </w:t>
      </w:r>
      <w:proofErr w:type="spellStart"/>
      <w:r w:rsidRPr="00FA3F9C">
        <w:rPr>
          <w:rFonts w:ascii="Arial" w:hAnsi="Arial" w:cs="Arial"/>
          <w:sz w:val="24"/>
          <w:szCs w:val="24"/>
        </w:rPr>
        <w:t>Grothey</w:t>
      </w:r>
      <w:proofErr w:type="spellEnd"/>
      <w:r w:rsidRPr="00FA3F9C">
        <w:rPr>
          <w:rFonts w:ascii="Arial" w:hAnsi="Arial" w:cs="Arial"/>
          <w:sz w:val="24"/>
          <w:szCs w:val="24"/>
        </w:rPr>
        <w:t xml:space="preserve"> A et al. Regorafenib monotherapy for previously treated metastatic colorectal cancer (CORRECT): an international, </w:t>
      </w:r>
      <w:proofErr w:type="spellStart"/>
      <w:r w:rsidRPr="00FA3F9C">
        <w:rPr>
          <w:rFonts w:ascii="Arial" w:hAnsi="Arial" w:cs="Arial"/>
          <w:sz w:val="24"/>
          <w:szCs w:val="24"/>
        </w:rPr>
        <w:t>multicentre</w:t>
      </w:r>
      <w:proofErr w:type="spellEnd"/>
      <w:r w:rsidRPr="00FA3F9C">
        <w:rPr>
          <w:rFonts w:ascii="Arial" w:hAnsi="Arial" w:cs="Arial"/>
          <w:sz w:val="24"/>
          <w:szCs w:val="24"/>
        </w:rPr>
        <w:t xml:space="preserve">, </w:t>
      </w:r>
      <w:proofErr w:type="spellStart"/>
      <w:r w:rsidRPr="00FA3F9C">
        <w:rPr>
          <w:rFonts w:ascii="Arial" w:hAnsi="Arial" w:cs="Arial"/>
          <w:sz w:val="24"/>
          <w:szCs w:val="24"/>
        </w:rPr>
        <w:t>randomised</w:t>
      </w:r>
      <w:proofErr w:type="spellEnd"/>
      <w:r w:rsidRPr="00FA3F9C">
        <w:rPr>
          <w:rFonts w:ascii="Arial" w:hAnsi="Arial" w:cs="Arial"/>
          <w:sz w:val="24"/>
          <w:szCs w:val="24"/>
        </w:rPr>
        <w:t>, placebo-controlled, phase 3 trial. Lancet. 2013 Jan 26;381(9863):303-12. PMID 23177514 NCT01103323</w:t>
      </w:r>
    </w:p>
    <w:p w14:paraId="07EB88E5" w14:textId="77777777" w:rsidR="00C3036D" w:rsidRPr="00FA3F9C" w:rsidRDefault="00C3036D" w:rsidP="00FC1E85">
      <w:pPr>
        <w:pStyle w:val="ListParagraph"/>
        <w:numPr>
          <w:ilvl w:val="0"/>
          <w:numId w:val="442"/>
        </w:numPr>
        <w:spacing w:after="0" w:line="276" w:lineRule="auto"/>
        <w:ind w:left="270" w:hanging="270"/>
        <w:rPr>
          <w:rFonts w:ascii="Arial" w:hAnsi="Arial" w:cs="Arial"/>
          <w:sz w:val="24"/>
          <w:szCs w:val="24"/>
        </w:rPr>
      </w:pPr>
      <w:r w:rsidRPr="00FA3F9C">
        <w:rPr>
          <w:rFonts w:ascii="Arial" w:hAnsi="Arial" w:cs="Arial"/>
          <w:sz w:val="24"/>
          <w:szCs w:val="24"/>
        </w:rPr>
        <w:t xml:space="preserve">Locally advanced, unresectable or metastatic gastrointestinal stromal tumor (GIST) who have been previously treated with imatinib mesylate and sunitinib malate.  </w:t>
      </w:r>
      <w:r w:rsidRPr="00FA3F9C">
        <w:rPr>
          <w:rFonts w:ascii="Arial" w:hAnsi="Arial" w:cs="Arial"/>
          <w:sz w:val="24"/>
          <w:szCs w:val="24"/>
          <w:highlight w:val="cyan"/>
        </w:rPr>
        <w:t>SEE CRITERIA</w:t>
      </w:r>
    </w:p>
    <w:p w14:paraId="71EF6000" w14:textId="77777777" w:rsidR="00C3036D" w:rsidRPr="00FA3F9C" w:rsidRDefault="00C3036D" w:rsidP="00FC1E85">
      <w:pPr>
        <w:pStyle w:val="ListParagraph"/>
        <w:numPr>
          <w:ilvl w:val="1"/>
          <w:numId w:val="442"/>
        </w:numPr>
        <w:spacing w:after="0" w:line="276" w:lineRule="auto"/>
        <w:ind w:left="720" w:hanging="270"/>
        <w:rPr>
          <w:rFonts w:ascii="Arial" w:hAnsi="Arial" w:cs="Arial"/>
          <w:sz w:val="24"/>
          <w:szCs w:val="24"/>
        </w:rPr>
      </w:pPr>
      <w:r w:rsidRPr="00FA3F9C">
        <w:rPr>
          <w:rFonts w:ascii="Arial" w:hAnsi="Arial" w:cs="Arial"/>
          <w:sz w:val="24"/>
          <w:szCs w:val="24"/>
        </w:rPr>
        <w:t xml:space="preserve">Regorafenib improved progression free survival compared to placebo (4.8 </w:t>
      </w:r>
      <w:proofErr w:type="spellStart"/>
      <w:r w:rsidRPr="00FA3F9C">
        <w:rPr>
          <w:rFonts w:ascii="Arial" w:hAnsi="Arial" w:cs="Arial"/>
          <w:sz w:val="24"/>
          <w:szCs w:val="24"/>
        </w:rPr>
        <w:t>mo</w:t>
      </w:r>
      <w:proofErr w:type="spellEnd"/>
      <w:r w:rsidRPr="00FA3F9C">
        <w:rPr>
          <w:rFonts w:ascii="Arial" w:hAnsi="Arial" w:cs="Arial"/>
          <w:sz w:val="24"/>
          <w:szCs w:val="24"/>
        </w:rPr>
        <w:t xml:space="preserve"> vs 0.9 </w:t>
      </w:r>
      <w:proofErr w:type="spellStart"/>
      <w:r w:rsidRPr="00FA3F9C">
        <w:rPr>
          <w:rFonts w:ascii="Arial" w:hAnsi="Arial" w:cs="Arial"/>
          <w:sz w:val="24"/>
          <w:szCs w:val="24"/>
        </w:rPr>
        <w:t>mo</w:t>
      </w:r>
      <w:proofErr w:type="spellEnd"/>
      <w:r w:rsidRPr="00FA3F9C">
        <w:rPr>
          <w:rFonts w:ascii="Arial" w:hAnsi="Arial" w:cs="Arial"/>
          <w:sz w:val="24"/>
          <w:szCs w:val="24"/>
        </w:rPr>
        <w:t xml:space="preserve">). Overall survival was not </w:t>
      </w:r>
      <w:proofErr w:type="spellStart"/>
      <w:r w:rsidRPr="00FA3F9C">
        <w:rPr>
          <w:rFonts w:ascii="Arial" w:hAnsi="Arial" w:cs="Arial"/>
          <w:sz w:val="24"/>
          <w:szCs w:val="24"/>
        </w:rPr>
        <w:t>not</w:t>
      </w:r>
      <w:proofErr w:type="spellEnd"/>
      <w:r w:rsidRPr="00FA3F9C">
        <w:rPr>
          <w:rFonts w:ascii="Arial" w:hAnsi="Arial" w:cs="Arial"/>
          <w:sz w:val="24"/>
          <w:szCs w:val="24"/>
        </w:rPr>
        <w:t xml:space="preserve"> different between groups. 85% of patients who received placebo crossed over to regorafenib. Per 10/29/19 P&amp;T discussion, this will not be a covered indication for regorafenib.</w:t>
      </w:r>
    </w:p>
    <w:p w14:paraId="0742E3A7" w14:textId="77777777" w:rsidR="00C3036D" w:rsidRPr="00FA3F9C" w:rsidRDefault="00C3036D" w:rsidP="007B1720">
      <w:pPr>
        <w:pStyle w:val="ListParagraph"/>
        <w:spacing w:after="0"/>
        <w:rPr>
          <w:rFonts w:ascii="Arial" w:hAnsi="Arial" w:cs="Arial"/>
          <w:sz w:val="24"/>
          <w:szCs w:val="24"/>
        </w:rPr>
      </w:pPr>
      <w:proofErr w:type="gramStart"/>
      <w:r w:rsidRPr="00FA3F9C">
        <w:rPr>
          <w:rFonts w:ascii="Arial" w:hAnsi="Arial" w:cs="Arial"/>
          <w:sz w:val="24"/>
          <w:szCs w:val="24"/>
          <w:lang w:val="fr-FR"/>
        </w:rPr>
        <w:t>Reference:</w:t>
      </w:r>
      <w:proofErr w:type="gramEnd"/>
      <w:r w:rsidRPr="00FA3F9C">
        <w:rPr>
          <w:rFonts w:ascii="Arial" w:hAnsi="Arial" w:cs="Arial"/>
          <w:sz w:val="24"/>
          <w:szCs w:val="24"/>
          <w:lang w:val="fr-FR"/>
        </w:rPr>
        <w:t xml:space="preserve"> </w:t>
      </w:r>
      <w:hyperlink r:id="rId352" w:history="1">
        <w:proofErr w:type="spellStart"/>
        <w:r w:rsidRPr="00FA3F9C">
          <w:rPr>
            <w:rFonts w:ascii="Arial" w:eastAsia="Times New Roman" w:hAnsi="Arial" w:cs="Arial"/>
            <w:sz w:val="24"/>
            <w:szCs w:val="24"/>
            <w:lang w:val="fr-FR"/>
          </w:rPr>
          <w:t>Demetri</w:t>
        </w:r>
        <w:proofErr w:type="spellEnd"/>
        <w:r w:rsidRPr="00FA3F9C">
          <w:rPr>
            <w:rFonts w:ascii="Arial" w:eastAsia="Times New Roman" w:hAnsi="Arial" w:cs="Arial"/>
            <w:sz w:val="24"/>
            <w:szCs w:val="24"/>
            <w:lang w:val="fr-FR"/>
          </w:rPr>
          <w:t xml:space="preserve"> GD</w:t>
        </w:r>
      </w:hyperlink>
      <w:r w:rsidRPr="00FA3F9C">
        <w:rPr>
          <w:rFonts w:ascii="Arial" w:eastAsia="Times New Roman" w:hAnsi="Arial" w:cs="Arial"/>
          <w:sz w:val="24"/>
          <w:szCs w:val="24"/>
          <w:lang w:val="fr-FR"/>
        </w:rPr>
        <w:t xml:space="preserve"> et al. </w:t>
      </w:r>
      <w:r w:rsidRPr="00FA3F9C">
        <w:rPr>
          <w:rFonts w:ascii="Arial" w:eastAsia="Times New Roman" w:hAnsi="Arial" w:cs="Arial"/>
          <w:bCs/>
          <w:kern w:val="36"/>
          <w:sz w:val="24"/>
          <w:szCs w:val="24"/>
        </w:rPr>
        <w:t xml:space="preserve">Efficacy and safety of regorafenib for advanced gastrointestinal stromal </w:t>
      </w:r>
      <w:proofErr w:type="spellStart"/>
      <w:r w:rsidRPr="00FA3F9C">
        <w:rPr>
          <w:rFonts w:ascii="Arial" w:eastAsia="Times New Roman" w:hAnsi="Arial" w:cs="Arial"/>
          <w:bCs/>
          <w:kern w:val="36"/>
          <w:sz w:val="24"/>
          <w:szCs w:val="24"/>
        </w:rPr>
        <w:t>tumours</w:t>
      </w:r>
      <w:proofErr w:type="spellEnd"/>
      <w:r w:rsidRPr="00FA3F9C">
        <w:rPr>
          <w:rFonts w:ascii="Arial" w:eastAsia="Times New Roman" w:hAnsi="Arial" w:cs="Arial"/>
          <w:bCs/>
          <w:kern w:val="36"/>
          <w:sz w:val="24"/>
          <w:szCs w:val="24"/>
        </w:rPr>
        <w:t xml:space="preserve"> after failure of imatinib and sunitinib (GRID): an international, </w:t>
      </w:r>
      <w:proofErr w:type="spellStart"/>
      <w:r w:rsidRPr="00FA3F9C">
        <w:rPr>
          <w:rFonts w:ascii="Arial" w:eastAsia="Times New Roman" w:hAnsi="Arial" w:cs="Arial"/>
          <w:bCs/>
          <w:kern w:val="36"/>
          <w:sz w:val="24"/>
          <w:szCs w:val="24"/>
        </w:rPr>
        <w:t>multicentre</w:t>
      </w:r>
      <w:proofErr w:type="spellEnd"/>
      <w:r w:rsidRPr="00FA3F9C">
        <w:rPr>
          <w:rFonts w:ascii="Arial" w:eastAsia="Times New Roman" w:hAnsi="Arial" w:cs="Arial"/>
          <w:bCs/>
          <w:kern w:val="36"/>
          <w:sz w:val="24"/>
          <w:szCs w:val="24"/>
        </w:rPr>
        <w:t xml:space="preserve">, </w:t>
      </w:r>
      <w:proofErr w:type="spellStart"/>
      <w:r w:rsidRPr="00FA3F9C">
        <w:rPr>
          <w:rFonts w:ascii="Arial" w:eastAsia="Times New Roman" w:hAnsi="Arial" w:cs="Arial"/>
          <w:bCs/>
          <w:kern w:val="36"/>
          <w:sz w:val="24"/>
          <w:szCs w:val="24"/>
        </w:rPr>
        <w:t>randomised</w:t>
      </w:r>
      <w:proofErr w:type="spellEnd"/>
      <w:r w:rsidRPr="00FA3F9C">
        <w:rPr>
          <w:rFonts w:ascii="Arial" w:eastAsia="Times New Roman" w:hAnsi="Arial" w:cs="Arial"/>
          <w:bCs/>
          <w:kern w:val="36"/>
          <w:sz w:val="24"/>
          <w:szCs w:val="24"/>
        </w:rPr>
        <w:t xml:space="preserve">, placebo-controlled, phase 3 trial. </w:t>
      </w:r>
      <w:hyperlink r:id="rId353" w:tooltip="Lancet (London, England)." w:history="1">
        <w:r w:rsidRPr="00FA3F9C">
          <w:rPr>
            <w:rFonts w:ascii="Arial" w:eastAsia="Times New Roman" w:hAnsi="Arial" w:cs="Arial"/>
            <w:sz w:val="24"/>
            <w:szCs w:val="24"/>
          </w:rPr>
          <w:t>Lancet.</w:t>
        </w:r>
      </w:hyperlink>
      <w:r w:rsidRPr="00FA3F9C">
        <w:rPr>
          <w:rFonts w:ascii="Arial" w:eastAsia="Times New Roman" w:hAnsi="Arial" w:cs="Arial"/>
          <w:sz w:val="24"/>
          <w:szCs w:val="24"/>
        </w:rPr>
        <w:t xml:space="preserve"> 2013 Jan 26;381(9863):295-302. </w:t>
      </w:r>
      <w:r w:rsidRPr="00FA3F9C">
        <w:rPr>
          <w:rFonts w:ascii="Arial" w:hAnsi="Arial" w:cs="Arial"/>
          <w:sz w:val="24"/>
          <w:szCs w:val="24"/>
        </w:rPr>
        <w:t>NCT01271712 PMID 23177515</w:t>
      </w:r>
    </w:p>
    <w:p w14:paraId="2C2436B1" w14:textId="77777777" w:rsidR="00C3036D" w:rsidRPr="00FA3F9C" w:rsidRDefault="00C3036D" w:rsidP="00FC1E85">
      <w:pPr>
        <w:pStyle w:val="ListParagraph"/>
        <w:numPr>
          <w:ilvl w:val="0"/>
          <w:numId w:val="442"/>
        </w:numPr>
        <w:spacing w:after="0" w:line="276" w:lineRule="auto"/>
        <w:ind w:left="270" w:hanging="270"/>
        <w:rPr>
          <w:rFonts w:ascii="Arial" w:hAnsi="Arial" w:cs="Arial"/>
          <w:sz w:val="24"/>
          <w:szCs w:val="24"/>
        </w:rPr>
      </w:pPr>
      <w:r w:rsidRPr="00FA3F9C">
        <w:rPr>
          <w:rFonts w:ascii="Arial" w:hAnsi="Arial" w:cs="Arial"/>
          <w:sz w:val="24"/>
          <w:szCs w:val="24"/>
        </w:rPr>
        <w:t xml:space="preserve">Hepatocellular carcinoma (HCC) who have been previously treated with sorafenib </w:t>
      </w:r>
      <w:r w:rsidRPr="00FA3F9C">
        <w:rPr>
          <w:rFonts w:ascii="Arial" w:hAnsi="Arial" w:cs="Arial"/>
          <w:sz w:val="24"/>
          <w:szCs w:val="24"/>
          <w:highlight w:val="cyan"/>
        </w:rPr>
        <w:t>SEE CRITERIA</w:t>
      </w:r>
    </w:p>
    <w:p w14:paraId="0452E08C" w14:textId="77777777" w:rsidR="00C3036D" w:rsidRPr="00FA3F9C" w:rsidRDefault="00C3036D" w:rsidP="007804C4">
      <w:pPr>
        <w:spacing w:after="0"/>
        <w:rPr>
          <w:rFonts w:ascii="Arial" w:hAnsi="Arial" w:cs="Arial"/>
          <w:sz w:val="24"/>
          <w:szCs w:val="24"/>
        </w:rPr>
      </w:pPr>
    </w:p>
    <w:tbl>
      <w:tblPr>
        <w:tblStyle w:val="TableGrid"/>
        <w:tblW w:w="0" w:type="auto"/>
        <w:tblLook w:val="04A0" w:firstRow="1" w:lastRow="0" w:firstColumn="1" w:lastColumn="0" w:noHBand="0" w:noVBand="1"/>
      </w:tblPr>
      <w:tblGrid>
        <w:gridCol w:w="8928"/>
        <w:gridCol w:w="2088"/>
      </w:tblGrid>
      <w:tr w:rsidR="00C3036D" w:rsidRPr="00FA3F9C" w14:paraId="5344925C" w14:textId="77777777" w:rsidTr="00000444">
        <w:tc>
          <w:tcPr>
            <w:tcW w:w="8928" w:type="dxa"/>
            <w:shd w:val="clear" w:color="auto" w:fill="000000"/>
          </w:tcPr>
          <w:p w14:paraId="7A7D0FD5" w14:textId="77777777" w:rsidR="00C3036D" w:rsidRPr="00FA3F9C" w:rsidRDefault="00C3036D" w:rsidP="00000444">
            <w:pPr>
              <w:rPr>
                <w:rFonts w:ascii="Arial" w:hAnsi="Arial" w:cs="Arial"/>
                <w:b/>
                <w:sz w:val="24"/>
                <w:szCs w:val="24"/>
                <w:u w:val="single"/>
              </w:rPr>
            </w:pPr>
            <w:r w:rsidRPr="00FA3F9C">
              <w:rPr>
                <w:rFonts w:ascii="Arial" w:hAnsi="Arial" w:cs="Arial"/>
                <w:b/>
                <w:sz w:val="24"/>
                <w:szCs w:val="24"/>
                <w:u w:val="single"/>
              </w:rPr>
              <w:t>Gastrointestinal Stromal Tumor (GIST) Criteria for new users</w:t>
            </w:r>
          </w:p>
        </w:tc>
        <w:tc>
          <w:tcPr>
            <w:tcW w:w="2088" w:type="dxa"/>
            <w:shd w:val="clear" w:color="auto" w:fill="000000"/>
          </w:tcPr>
          <w:p w14:paraId="2AD54854" w14:textId="77777777" w:rsidR="00C3036D" w:rsidRPr="00FA3F9C" w:rsidRDefault="00C3036D" w:rsidP="00000444">
            <w:pPr>
              <w:jc w:val="center"/>
              <w:rPr>
                <w:rFonts w:ascii="Arial" w:hAnsi="Arial" w:cs="Arial"/>
                <w:b/>
                <w:sz w:val="24"/>
                <w:szCs w:val="24"/>
                <w:u w:val="single"/>
              </w:rPr>
            </w:pPr>
          </w:p>
        </w:tc>
      </w:tr>
      <w:tr w:rsidR="00C3036D" w:rsidRPr="00FA3F9C" w14:paraId="580F4412" w14:textId="77777777" w:rsidTr="00000444">
        <w:tc>
          <w:tcPr>
            <w:tcW w:w="11016" w:type="dxa"/>
            <w:gridSpan w:val="2"/>
          </w:tcPr>
          <w:p w14:paraId="08AFB715" w14:textId="77777777" w:rsidR="00C3036D" w:rsidRPr="00FA3F9C" w:rsidRDefault="00C3036D" w:rsidP="007804C4">
            <w:pPr>
              <w:rPr>
                <w:rFonts w:ascii="Arial" w:hAnsi="Arial" w:cs="Arial"/>
                <w:sz w:val="24"/>
                <w:szCs w:val="24"/>
              </w:rPr>
            </w:pPr>
            <w:r w:rsidRPr="00FA3F9C">
              <w:rPr>
                <w:rFonts w:ascii="Arial" w:hAnsi="Arial" w:cs="Arial"/>
                <w:sz w:val="24"/>
                <w:szCs w:val="24"/>
              </w:rPr>
              <w:t>1. Diagnosis of advanced/unresectable/metastatic GIST</w:t>
            </w:r>
          </w:p>
        </w:tc>
      </w:tr>
      <w:tr w:rsidR="00C3036D" w:rsidRPr="00FA3F9C" w14:paraId="633E0078" w14:textId="77777777" w:rsidTr="00000444">
        <w:tc>
          <w:tcPr>
            <w:tcW w:w="11016" w:type="dxa"/>
            <w:gridSpan w:val="2"/>
          </w:tcPr>
          <w:p w14:paraId="5CB33D28" w14:textId="77777777" w:rsidR="00C3036D" w:rsidRPr="00FA3F9C" w:rsidRDefault="00C3036D" w:rsidP="007804C4">
            <w:pPr>
              <w:rPr>
                <w:rFonts w:ascii="Arial" w:hAnsi="Arial" w:cs="Arial"/>
                <w:sz w:val="24"/>
                <w:szCs w:val="24"/>
              </w:rPr>
            </w:pPr>
            <w:r w:rsidRPr="00FA3F9C">
              <w:rPr>
                <w:rFonts w:ascii="Arial" w:hAnsi="Arial" w:cs="Arial"/>
                <w:sz w:val="24"/>
                <w:szCs w:val="24"/>
              </w:rPr>
              <w:t>2. Disease has progressed on sunitinib and imatinib</w:t>
            </w:r>
          </w:p>
        </w:tc>
      </w:tr>
      <w:tr w:rsidR="00C3036D" w:rsidRPr="00FA3F9C" w14:paraId="3E1ACCC7" w14:textId="77777777" w:rsidTr="00000444">
        <w:tc>
          <w:tcPr>
            <w:tcW w:w="11016" w:type="dxa"/>
            <w:gridSpan w:val="2"/>
            <w:shd w:val="clear" w:color="auto" w:fill="F2F2F2" w:themeFill="background1" w:themeFillShade="F2"/>
          </w:tcPr>
          <w:p w14:paraId="5CA4ECBC" w14:textId="77777777" w:rsidR="00C3036D" w:rsidRPr="00FA3F9C" w:rsidRDefault="00C3036D" w:rsidP="00000444">
            <w:pPr>
              <w:rPr>
                <w:rFonts w:ascii="Arial" w:hAnsi="Arial" w:cs="Arial"/>
                <w:sz w:val="24"/>
                <w:szCs w:val="24"/>
              </w:rPr>
            </w:pPr>
            <w:r w:rsidRPr="00FA3F9C">
              <w:rPr>
                <w:rFonts w:ascii="Arial" w:hAnsi="Arial" w:cs="Arial"/>
                <w:sz w:val="24"/>
                <w:szCs w:val="24"/>
              </w:rPr>
              <w:t>If all criteria met, approve x 1 year</w:t>
            </w:r>
          </w:p>
        </w:tc>
      </w:tr>
      <w:tr w:rsidR="00C3036D" w:rsidRPr="00FA3F9C" w14:paraId="4B01A246" w14:textId="77777777" w:rsidTr="007804C4">
        <w:tc>
          <w:tcPr>
            <w:tcW w:w="11016" w:type="dxa"/>
            <w:gridSpan w:val="2"/>
            <w:shd w:val="clear" w:color="auto" w:fill="D9D9D9" w:themeFill="background1" w:themeFillShade="D9"/>
          </w:tcPr>
          <w:p w14:paraId="252EB806" w14:textId="77777777" w:rsidR="00C3036D" w:rsidRPr="00FA3F9C" w:rsidRDefault="00C3036D" w:rsidP="00000444">
            <w:pPr>
              <w:rPr>
                <w:rFonts w:ascii="Arial" w:hAnsi="Arial" w:cs="Arial"/>
                <w:sz w:val="24"/>
                <w:szCs w:val="24"/>
              </w:rPr>
            </w:pPr>
            <w:r w:rsidRPr="00FA3F9C">
              <w:rPr>
                <w:rFonts w:ascii="Arial" w:hAnsi="Arial" w:cs="Arial"/>
                <w:sz w:val="24"/>
                <w:szCs w:val="24"/>
              </w:rPr>
              <w:t>Note:</w:t>
            </w:r>
          </w:p>
          <w:p w14:paraId="0C568DD5" w14:textId="77777777" w:rsidR="00C3036D" w:rsidRPr="00FA3F9C" w:rsidRDefault="00C3036D" w:rsidP="007804C4">
            <w:pPr>
              <w:rPr>
                <w:rFonts w:ascii="Arial" w:hAnsi="Arial" w:cs="Arial"/>
                <w:sz w:val="24"/>
                <w:szCs w:val="24"/>
              </w:rPr>
            </w:pPr>
            <w:r w:rsidRPr="00FA3F9C">
              <w:rPr>
                <w:rFonts w:ascii="Arial" w:hAnsi="Arial" w:cs="Arial"/>
                <w:sz w:val="24"/>
                <w:szCs w:val="24"/>
              </w:rPr>
              <w:t>Dose is 160 mg daily x 21 days then take 7 days off.</w:t>
            </w:r>
          </w:p>
          <w:p w14:paraId="6F8BDB13" w14:textId="77777777" w:rsidR="00C3036D" w:rsidRPr="00FA3F9C" w:rsidRDefault="00C3036D" w:rsidP="00000444">
            <w:pPr>
              <w:rPr>
                <w:rFonts w:ascii="Arial" w:hAnsi="Arial" w:cs="Arial"/>
                <w:sz w:val="24"/>
                <w:szCs w:val="24"/>
              </w:rPr>
            </w:pPr>
          </w:p>
          <w:p w14:paraId="636058AB" w14:textId="77777777" w:rsidR="00C3036D" w:rsidRPr="00FA3F9C" w:rsidRDefault="00C3036D" w:rsidP="007804C4">
            <w:pPr>
              <w:rPr>
                <w:rFonts w:ascii="Arial" w:hAnsi="Arial" w:cs="Arial"/>
                <w:sz w:val="24"/>
                <w:szCs w:val="24"/>
              </w:rPr>
            </w:pPr>
            <w:r w:rsidRPr="00FA3F9C">
              <w:rPr>
                <w:rFonts w:ascii="Arial" w:hAnsi="Arial" w:cs="Arial"/>
                <w:sz w:val="24"/>
                <w:szCs w:val="24"/>
              </w:rPr>
              <w:t xml:space="preserve">In this patient population, progression free survival was improved in the regorafenib group compared with placebo (median 4.8 </w:t>
            </w:r>
            <w:proofErr w:type="spellStart"/>
            <w:r w:rsidRPr="00FA3F9C">
              <w:rPr>
                <w:rFonts w:ascii="Arial" w:hAnsi="Arial" w:cs="Arial"/>
                <w:sz w:val="24"/>
                <w:szCs w:val="24"/>
              </w:rPr>
              <w:t>mo</w:t>
            </w:r>
            <w:proofErr w:type="spellEnd"/>
            <w:r w:rsidRPr="00FA3F9C">
              <w:rPr>
                <w:rFonts w:ascii="Arial" w:hAnsi="Arial" w:cs="Arial"/>
                <w:sz w:val="24"/>
                <w:szCs w:val="24"/>
              </w:rPr>
              <w:t xml:space="preserve"> vs 0.9 </w:t>
            </w:r>
            <w:proofErr w:type="spellStart"/>
            <w:r w:rsidRPr="00FA3F9C">
              <w:rPr>
                <w:rFonts w:ascii="Arial" w:hAnsi="Arial" w:cs="Arial"/>
                <w:sz w:val="24"/>
                <w:szCs w:val="24"/>
              </w:rPr>
              <w:t>mo</w:t>
            </w:r>
            <w:proofErr w:type="spellEnd"/>
            <w:r w:rsidRPr="00FA3F9C">
              <w:rPr>
                <w:rFonts w:ascii="Arial" w:hAnsi="Arial" w:cs="Arial"/>
                <w:sz w:val="24"/>
                <w:szCs w:val="24"/>
              </w:rPr>
              <w:t>). Overall survival (OS) in the intention to treat population was not different between groups. However, OS is likely confounded by a high rate of crossover from placebo to regorafenib (85%).</w:t>
            </w:r>
            <w:r w:rsidRPr="00FA3F9C">
              <w:rPr>
                <w:rFonts w:ascii="Arial" w:hAnsi="Arial" w:cs="Arial"/>
                <w:sz w:val="24"/>
                <w:szCs w:val="24"/>
                <w:vertAlign w:val="superscript"/>
              </w:rPr>
              <w:t>1</w:t>
            </w:r>
            <w:r w:rsidRPr="00FA3F9C">
              <w:rPr>
                <w:rFonts w:ascii="Arial" w:hAnsi="Arial" w:cs="Arial"/>
                <w:sz w:val="24"/>
                <w:szCs w:val="24"/>
              </w:rPr>
              <w:t xml:space="preserve"> Two analyses conducted to adjust for crossover effect. Each analysis found an improvement in overall survival (median 17.4 </w:t>
            </w:r>
            <w:proofErr w:type="spellStart"/>
            <w:r w:rsidRPr="00FA3F9C">
              <w:rPr>
                <w:rFonts w:ascii="Arial" w:hAnsi="Arial" w:cs="Arial"/>
                <w:sz w:val="24"/>
                <w:szCs w:val="24"/>
              </w:rPr>
              <w:t>mo</w:t>
            </w:r>
            <w:proofErr w:type="spellEnd"/>
            <w:r w:rsidRPr="00FA3F9C">
              <w:rPr>
                <w:rFonts w:ascii="Arial" w:hAnsi="Arial" w:cs="Arial"/>
                <w:sz w:val="24"/>
                <w:szCs w:val="24"/>
              </w:rPr>
              <w:t xml:space="preserve"> vs ~11 </w:t>
            </w:r>
            <w:proofErr w:type="spellStart"/>
            <w:r w:rsidRPr="00FA3F9C">
              <w:rPr>
                <w:rFonts w:ascii="Arial" w:hAnsi="Arial" w:cs="Arial"/>
                <w:sz w:val="24"/>
                <w:szCs w:val="24"/>
              </w:rPr>
              <w:t>mo</w:t>
            </w:r>
            <w:proofErr w:type="spellEnd"/>
            <w:r w:rsidRPr="00FA3F9C">
              <w:rPr>
                <w:rFonts w:ascii="Arial" w:hAnsi="Arial" w:cs="Arial"/>
                <w:sz w:val="24"/>
                <w:szCs w:val="24"/>
              </w:rPr>
              <w:t>).</w:t>
            </w:r>
            <w:r w:rsidRPr="00FA3F9C">
              <w:rPr>
                <w:rFonts w:ascii="Arial" w:hAnsi="Arial" w:cs="Arial"/>
                <w:sz w:val="24"/>
                <w:szCs w:val="24"/>
                <w:vertAlign w:val="superscript"/>
              </w:rPr>
              <w:t>2</w:t>
            </w:r>
          </w:p>
          <w:p w14:paraId="02368033" w14:textId="77777777" w:rsidR="00C3036D" w:rsidRPr="00FA3F9C" w:rsidRDefault="00C3036D" w:rsidP="007804C4">
            <w:pPr>
              <w:rPr>
                <w:rFonts w:ascii="Arial" w:hAnsi="Arial" w:cs="Arial"/>
                <w:sz w:val="24"/>
                <w:szCs w:val="24"/>
              </w:rPr>
            </w:pPr>
          </w:p>
          <w:p w14:paraId="7FE0E377" w14:textId="77777777" w:rsidR="00C3036D" w:rsidRPr="00FA3F9C" w:rsidRDefault="00C3036D" w:rsidP="007804C4">
            <w:pPr>
              <w:rPr>
                <w:rFonts w:ascii="Arial" w:hAnsi="Arial" w:cs="Arial"/>
                <w:sz w:val="24"/>
                <w:szCs w:val="24"/>
              </w:rPr>
            </w:pPr>
            <w:r w:rsidRPr="00FA3F9C">
              <w:rPr>
                <w:rFonts w:ascii="Arial" w:hAnsi="Arial" w:cs="Arial"/>
                <w:sz w:val="24"/>
                <w:szCs w:val="24"/>
              </w:rPr>
              <w:t xml:space="preserve">References: </w:t>
            </w:r>
          </w:p>
          <w:p w14:paraId="71833C3F" w14:textId="77777777" w:rsidR="00C3036D" w:rsidRPr="00FA3F9C" w:rsidRDefault="00500371" w:rsidP="00FC1E85">
            <w:pPr>
              <w:pStyle w:val="ListParagraph"/>
              <w:numPr>
                <w:ilvl w:val="0"/>
                <w:numId w:val="443"/>
              </w:numPr>
              <w:ind w:left="180" w:hanging="180"/>
              <w:rPr>
                <w:rFonts w:ascii="Arial" w:hAnsi="Arial" w:cs="Arial"/>
                <w:sz w:val="24"/>
                <w:szCs w:val="24"/>
              </w:rPr>
            </w:pPr>
            <w:hyperlink r:id="rId354" w:history="1">
              <w:r w:rsidR="00C3036D" w:rsidRPr="00FA3F9C">
                <w:rPr>
                  <w:rFonts w:ascii="Arial" w:eastAsia="Times New Roman" w:hAnsi="Arial" w:cs="Arial"/>
                  <w:sz w:val="24"/>
                  <w:szCs w:val="24"/>
                </w:rPr>
                <w:t>Demetri GD</w:t>
              </w:r>
            </w:hyperlink>
            <w:r w:rsidR="00C3036D" w:rsidRPr="00FA3F9C">
              <w:rPr>
                <w:rFonts w:ascii="Arial" w:eastAsia="Times New Roman" w:hAnsi="Arial" w:cs="Arial"/>
                <w:sz w:val="24"/>
                <w:szCs w:val="24"/>
              </w:rPr>
              <w:t xml:space="preserve"> et al. </w:t>
            </w:r>
            <w:r w:rsidR="00C3036D" w:rsidRPr="00FA3F9C">
              <w:rPr>
                <w:rFonts w:ascii="Arial" w:eastAsia="Times New Roman" w:hAnsi="Arial" w:cs="Arial"/>
                <w:bCs/>
                <w:kern w:val="36"/>
                <w:sz w:val="24"/>
                <w:szCs w:val="24"/>
              </w:rPr>
              <w:t xml:space="preserve">Efficacy and safety of regorafenib for advanced gastrointestinal stromal </w:t>
            </w:r>
            <w:proofErr w:type="spellStart"/>
            <w:r w:rsidR="00C3036D" w:rsidRPr="00FA3F9C">
              <w:rPr>
                <w:rFonts w:ascii="Arial" w:eastAsia="Times New Roman" w:hAnsi="Arial" w:cs="Arial"/>
                <w:bCs/>
                <w:kern w:val="36"/>
                <w:sz w:val="24"/>
                <w:szCs w:val="24"/>
              </w:rPr>
              <w:t>tumours</w:t>
            </w:r>
            <w:proofErr w:type="spellEnd"/>
            <w:r w:rsidR="00C3036D" w:rsidRPr="00FA3F9C">
              <w:rPr>
                <w:rFonts w:ascii="Arial" w:eastAsia="Times New Roman" w:hAnsi="Arial" w:cs="Arial"/>
                <w:bCs/>
                <w:kern w:val="36"/>
                <w:sz w:val="24"/>
                <w:szCs w:val="24"/>
              </w:rPr>
              <w:t xml:space="preserve"> after failure of imatinib and sunitinib (GRID): an international, </w:t>
            </w:r>
            <w:proofErr w:type="spellStart"/>
            <w:r w:rsidR="00C3036D" w:rsidRPr="00FA3F9C">
              <w:rPr>
                <w:rFonts w:ascii="Arial" w:eastAsia="Times New Roman" w:hAnsi="Arial" w:cs="Arial"/>
                <w:bCs/>
                <w:kern w:val="36"/>
                <w:sz w:val="24"/>
                <w:szCs w:val="24"/>
              </w:rPr>
              <w:t>multicentre</w:t>
            </w:r>
            <w:proofErr w:type="spellEnd"/>
            <w:r w:rsidR="00C3036D" w:rsidRPr="00FA3F9C">
              <w:rPr>
                <w:rFonts w:ascii="Arial" w:eastAsia="Times New Roman" w:hAnsi="Arial" w:cs="Arial"/>
                <w:bCs/>
                <w:kern w:val="36"/>
                <w:sz w:val="24"/>
                <w:szCs w:val="24"/>
              </w:rPr>
              <w:t xml:space="preserve">, </w:t>
            </w:r>
            <w:proofErr w:type="spellStart"/>
            <w:r w:rsidR="00C3036D" w:rsidRPr="00FA3F9C">
              <w:rPr>
                <w:rFonts w:ascii="Arial" w:eastAsia="Times New Roman" w:hAnsi="Arial" w:cs="Arial"/>
                <w:bCs/>
                <w:kern w:val="36"/>
                <w:sz w:val="24"/>
                <w:szCs w:val="24"/>
              </w:rPr>
              <w:t>randomised</w:t>
            </w:r>
            <w:proofErr w:type="spellEnd"/>
            <w:r w:rsidR="00C3036D" w:rsidRPr="00FA3F9C">
              <w:rPr>
                <w:rFonts w:ascii="Arial" w:eastAsia="Times New Roman" w:hAnsi="Arial" w:cs="Arial"/>
                <w:bCs/>
                <w:kern w:val="36"/>
                <w:sz w:val="24"/>
                <w:szCs w:val="24"/>
              </w:rPr>
              <w:t xml:space="preserve">, placebo-controlled, phase 3 trial. </w:t>
            </w:r>
            <w:hyperlink r:id="rId355" w:tooltip="Lancet (London, England)." w:history="1">
              <w:r w:rsidR="00C3036D" w:rsidRPr="00FA3F9C">
                <w:rPr>
                  <w:rFonts w:ascii="Arial" w:eastAsia="Times New Roman" w:hAnsi="Arial" w:cs="Arial"/>
                  <w:sz w:val="24"/>
                  <w:szCs w:val="24"/>
                </w:rPr>
                <w:t>Lancet.</w:t>
              </w:r>
            </w:hyperlink>
            <w:r w:rsidR="00C3036D" w:rsidRPr="00FA3F9C">
              <w:rPr>
                <w:rFonts w:ascii="Arial" w:eastAsia="Times New Roman" w:hAnsi="Arial" w:cs="Arial"/>
                <w:sz w:val="24"/>
                <w:szCs w:val="24"/>
              </w:rPr>
              <w:t xml:space="preserve"> 2013 Jan 26;381(9863):295-302. </w:t>
            </w:r>
            <w:r w:rsidR="00C3036D" w:rsidRPr="00FA3F9C">
              <w:rPr>
                <w:rFonts w:ascii="Arial" w:hAnsi="Arial" w:cs="Arial"/>
                <w:sz w:val="24"/>
                <w:szCs w:val="24"/>
              </w:rPr>
              <w:t>NCT01271712 PMID 23177515</w:t>
            </w:r>
          </w:p>
          <w:p w14:paraId="52AB42EF" w14:textId="77777777" w:rsidR="00C3036D" w:rsidRPr="00FA3F9C" w:rsidRDefault="00C3036D" w:rsidP="00FC1E85">
            <w:pPr>
              <w:pStyle w:val="ListParagraph"/>
              <w:numPr>
                <w:ilvl w:val="0"/>
                <w:numId w:val="443"/>
              </w:numPr>
              <w:ind w:left="180" w:hanging="180"/>
              <w:rPr>
                <w:rFonts w:ascii="Arial" w:hAnsi="Arial" w:cs="Arial"/>
                <w:sz w:val="24"/>
                <w:szCs w:val="24"/>
              </w:rPr>
            </w:pPr>
            <w:r w:rsidRPr="00FA3F9C">
              <w:rPr>
                <w:rFonts w:ascii="Arial" w:hAnsi="Arial" w:cs="Arial"/>
                <w:sz w:val="24"/>
                <w:szCs w:val="24"/>
              </w:rPr>
              <w:t xml:space="preserve">Demetri GD et la. Final overall survival (OS) analysis with modeling of crossover impact in the phase III GRID trial of regorafenib vs placebo in advanced gastrointestinal stromal tumors (GIST). J Clin Oncol 34, 2016 (suppl 4S; </w:t>
            </w:r>
            <w:proofErr w:type="spellStart"/>
            <w:r w:rsidRPr="00FA3F9C">
              <w:rPr>
                <w:rFonts w:ascii="Arial" w:hAnsi="Arial" w:cs="Arial"/>
                <w:sz w:val="24"/>
                <w:szCs w:val="24"/>
              </w:rPr>
              <w:t>abstr</w:t>
            </w:r>
            <w:proofErr w:type="spellEnd"/>
            <w:r w:rsidRPr="00FA3F9C">
              <w:rPr>
                <w:rFonts w:ascii="Arial" w:hAnsi="Arial" w:cs="Arial"/>
                <w:sz w:val="24"/>
                <w:szCs w:val="24"/>
              </w:rPr>
              <w:t xml:space="preserve"> 156) </w:t>
            </w:r>
            <w:hyperlink r:id="rId356" w:history="1">
              <w:r w:rsidRPr="00FA3F9C">
                <w:rPr>
                  <w:rStyle w:val="Hyperlink"/>
                  <w:rFonts w:ascii="Arial" w:hAnsi="Arial" w:cs="Arial"/>
                  <w:sz w:val="24"/>
                  <w:szCs w:val="24"/>
                </w:rPr>
                <w:t>https://meetinglibrary.asco.org/record/120256/abstract</w:t>
              </w:r>
            </w:hyperlink>
          </w:p>
          <w:p w14:paraId="0F33A305" w14:textId="77777777" w:rsidR="00C3036D" w:rsidRPr="00FA3F9C" w:rsidRDefault="00C3036D" w:rsidP="007804C4">
            <w:pPr>
              <w:ind w:left="90"/>
              <w:rPr>
                <w:rFonts w:ascii="Arial" w:hAnsi="Arial" w:cs="Arial"/>
                <w:sz w:val="24"/>
                <w:szCs w:val="24"/>
              </w:rPr>
            </w:pPr>
          </w:p>
        </w:tc>
      </w:tr>
    </w:tbl>
    <w:p w14:paraId="18BB3EC2" w14:textId="77777777" w:rsidR="00C3036D" w:rsidRPr="00FA3F9C" w:rsidRDefault="00C3036D" w:rsidP="00F07271">
      <w:pPr>
        <w:pStyle w:val="ListParagraph"/>
        <w:spacing w:after="0"/>
        <w:ind w:left="270"/>
        <w:rPr>
          <w:rFonts w:ascii="Arial" w:hAnsi="Arial" w:cs="Arial"/>
          <w:sz w:val="24"/>
          <w:szCs w:val="24"/>
        </w:rPr>
      </w:pPr>
    </w:p>
    <w:p w14:paraId="62635E75" w14:textId="77777777" w:rsidR="00C3036D" w:rsidRPr="00FA3F9C" w:rsidRDefault="00C3036D" w:rsidP="00F07271">
      <w:pPr>
        <w:pStyle w:val="ListParagraph"/>
        <w:spacing w:after="0"/>
        <w:ind w:left="270"/>
        <w:rPr>
          <w:rFonts w:ascii="Arial" w:hAnsi="Arial" w:cs="Arial"/>
          <w:sz w:val="24"/>
          <w:szCs w:val="24"/>
        </w:rPr>
      </w:pPr>
    </w:p>
    <w:tbl>
      <w:tblPr>
        <w:tblStyle w:val="TableGrid"/>
        <w:tblW w:w="0" w:type="auto"/>
        <w:tblLook w:val="04A0" w:firstRow="1" w:lastRow="0" w:firstColumn="1" w:lastColumn="0" w:noHBand="0" w:noVBand="1"/>
      </w:tblPr>
      <w:tblGrid>
        <w:gridCol w:w="8928"/>
        <w:gridCol w:w="2088"/>
      </w:tblGrid>
      <w:tr w:rsidR="00C3036D" w:rsidRPr="00FA3F9C" w14:paraId="0E31B974" w14:textId="77777777" w:rsidTr="00571CAB">
        <w:tc>
          <w:tcPr>
            <w:tcW w:w="8928" w:type="dxa"/>
            <w:shd w:val="clear" w:color="auto" w:fill="000000"/>
          </w:tcPr>
          <w:p w14:paraId="192BA15F" w14:textId="77777777" w:rsidR="00C3036D" w:rsidRPr="00FA3F9C" w:rsidRDefault="00C3036D" w:rsidP="007804C4">
            <w:pPr>
              <w:rPr>
                <w:rFonts w:ascii="Arial" w:hAnsi="Arial" w:cs="Arial"/>
                <w:b/>
                <w:sz w:val="24"/>
                <w:szCs w:val="24"/>
                <w:u w:val="single"/>
              </w:rPr>
            </w:pPr>
            <w:r w:rsidRPr="00FA3F9C">
              <w:rPr>
                <w:rFonts w:ascii="Arial" w:hAnsi="Arial" w:cs="Arial"/>
                <w:b/>
                <w:sz w:val="24"/>
                <w:szCs w:val="24"/>
                <w:u w:val="single"/>
              </w:rPr>
              <w:t>Hepatocellular Carcinoma Criteria for new users</w:t>
            </w:r>
          </w:p>
        </w:tc>
        <w:tc>
          <w:tcPr>
            <w:tcW w:w="2088" w:type="dxa"/>
            <w:shd w:val="clear" w:color="auto" w:fill="000000"/>
          </w:tcPr>
          <w:p w14:paraId="39DA7E72" w14:textId="77777777" w:rsidR="00C3036D" w:rsidRPr="00FA3F9C" w:rsidRDefault="00C3036D" w:rsidP="006F623F">
            <w:pPr>
              <w:jc w:val="center"/>
              <w:rPr>
                <w:rFonts w:ascii="Arial" w:hAnsi="Arial" w:cs="Arial"/>
                <w:b/>
                <w:sz w:val="24"/>
                <w:szCs w:val="24"/>
                <w:u w:val="single"/>
              </w:rPr>
            </w:pPr>
          </w:p>
        </w:tc>
      </w:tr>
      <w:tr w:rsidR="00C3036D" w:rsidRPr="00FA3F9C" w14:paraId="4D9303C9" w14:textId="77777777" w:rsidTr="00F337AE">
        <w:tc>
          <w:tcPr>
            <w:tcW w:w="11016" w:type="dxa"/>
            <w:gridSpan w:val="2"/>
          </w:tcPr>
          <w:p w14:paraId="24A4490B" w14:textId="77777777" w:rsidR="00C3036D" w:rsidRPr="00FA3F9C" w:rsidRDefault="00C3036D" w:rsidP="007B1720">
            <w:pPr>
              <w:rPr>
                <w:rFonts w:ascii="Arial" w:hAnsi="Arial" w:cs="Arial"/>
                <w:sz w:val="24"/>
                <w:szCs w:val="24"/>
              </w:rPr>
            </w:pPr>
            <w:r w:rsidRPr="00FA3F9C">
              <w:rPr>
                <w:rFonts w:ascii="Arial" w:hAnsi="Arial" w:cs="Arial"/>
                <w:sz w:val="24"/>
                <w:szCs w:val="24"/>
              </w:rPr>
              <w:t>1. Diagnosis of advanced/unresectable/metastatic hepatocellular carcinoma</w:t>
            </w:r>
          </w:p>
        </w:tc>
      </w:tr>
      <w:tr w:rsidR="00C3036D" w:rsidRPr="00FA3F9C" w14:paraId="0AA58C6E" w14:textId="77777777" w:rsidTr="00B1617E">
        <w:tc>
          <w:tcPr>
            <w:tcW w:w="11016" w:type="dxa"/>
            <w:gridSpan w:val="2"/>
          </w:tcPr>
          <w:p w14:paraId="1C05193A" w14:textId="77777777" w:rsidR="00C3036D" w:rsidRPr="00FA3F9C" w:rsidRDefault="00C3036D" w:rsidP="007B1720">
            <w:pPr>
              <w:rPr>
                <w:rFonts w:ascii="Arial" w:hAnsi="Arial" w:cs="Arial"/>
                <w:sz w:val="24"/>
                <w:szCs w:val="24"/>
              </w:rPr>
            </w:pPr>
            <w:r w:rsidRPr="00FA3F9C">
              <w:rPr>
                <w:rFonts w:ascii="Arial" w:hAnsi="Arial" w:cs="Arial"/>
                <w:sz w:val="24"/>
                <w:szCs w:val="24"/>
              </w:rPr>
              <w:t>2. Child-Pugh A liver function</w:t>
            </w:r>
          </w:p>
        </w:tc>
      </w:tr>
      <w:tr w:rsidR="00C3036D" w:rsidRPr="00FA3F9C" w14:paraId="5541943E" w14:textId="77777777" w:rsidTr="00B1617E">
        <w:tc>
          <w:tcPr>
            <w:tcW w:w="11016" w:type="dxa"/>
            <w:gridSpan w:val="2"/>
          </w:tcPr>
          <w:p w14:paraId="0C0920F2" w14:textId="77777777" w:rsidR="00C3036D" w:rsidRPr="00FA3F9C" w:rsidRDefault="00C3036D" w:rsidP="007B1720">
            <w:pPr>
              <w:rPr>
                <w:rFonts w:ascii="Arial" w:hAnsi="Arial" w:cs="Arial"/>
                <w:sz w:val="24"/>
                <w:szCs w:val="24"/>
              </w:rPr>
            </w:pPr>
            <w:r w:rsidRPr="00FA3F9C">
              <w:rPr>
                <w:rFonts w:ascii="Arial" w:hAnsi="Arial" w:cs="Arial"/>
                <w:sz w:val="24"/>
                <w:szCs w:val="24"/>
              </w:rPr>
              <w:t>3. Previous disease progression of disease on sorafenib</w:t>
            </w:r>
          </w:p>
        </w:tc>
      </w:tr>
      <w:tr w:rsidR="00C3036D" w:rsidRPr="00FA3F9C" w14:paraId="0327DEFC" w14:textId="77777777" w:rsidTr="008B6B58">
        <w:tc>
          <w:tcPr>
            <w:tcW w:w="11016" w:type="dxa"/>
            <w:gridSpan w:val="2"/>
            <w:shd w:val="clear" w:color="auto" w:fill="F2F2F2" w:themeFill="background1" w:themeFillShade="F2"/>
          </w:tcPr>
          <w:p w14:paraId="4FE0EE6E" w14:textId="77777777" w:rsidR="00C3036D" w:rsidRPr="00FA3F9C" w:rsidRDefault="00C3036D" w:rsidP="006343DB">
            <w:pPr>
              <w:rPr>
                <w:rFonts w:ascii="Arial" w:hAnsi="Arial" w:cs="Arial"/>
                <w:sz w:val="24"/>
                <w:szCs w:val="24"/>
              </w:rPr>
            </w:pPr>
            <w:r w:rsidRPr="00FA3F9C">
              <w:rPr>
                <w:rFonts w:ascii="Arial" w:hAnsi="Arial" w:cs="Arial"/>
                <w:sz w:val="24"/>
                <w:szCs w:val="24"/>
              </w:rPr>
              <w:t>If all criteria met, approve x 1 year</w:t>
            </w:r>
          </w:p>
        </w:tc>
      </w:tr>
      <w:tr w:rsidR="00C3036D" w:rsidRPr="00FA3F9C" w14:paraId="491A5AC3" w14:textId="77777777" w:rsidTr="007804C4">
        <w:tc>
          <w:tcPr>
            <w:tcW w:w="11016" w:type="dxa"/>
            <w:gridSpan w:val="2"/>
            <w:shd w:val="clear" w:color="auto" w:fill="D9D9D9" w:themeFill="background1" w:themeFillShade="D9"/>
          </w:tcPr>
          <w:p w14:paraId="2BA2280A" w14:textId="77777777" w:rsidR="00C3036D" w:rsidRPr="00FA3F9C" w:rsidRDefault="00C3036D" w:rsidP="007804C4">
            <w:pPr>
              <w:rPr>
                <w:rFonts w:ascii="Arial" w:hAnsi="Arial" w:cs="Arial"/>
                <w:sz w:val="24"/>
                <w:szCs w:val="24"/>
              </w:rPr>
            </w:pPr>
            <w:r w:rsidRPr="00FA3F9C">
              <w:rPr>
                <w:rFonts w:ascii="Arial" w:hAnsi="Arial" w:cs="Arial"/>
                <w:sz w:val="24"/>
                <w:szCs w:val="24"/>
              </w:rPr>
              <w:t xml:space="preserve">Note: </w:t>
            </w:r>
          </w:p>
          <w:p w14:paraId="06E6CDD9" w14:textId="77777777" w:rsidR="00C3036D" w:rsidRPr="00FA3F9C" w:rsidRDefault="00C3036D" w:rsidP="007804C4">
            <w:pPr>
              <w:rPr>
                <w:rFonts w:ascii="Arial" w:hAnsi="Arial" w:cs="Arial"/>
                <w:sz w:val="24"/>
                <w:szCs w:val="24"/>
              </w:rPr>
            </w:pPr>
            <w:r w:rsidRPr="00FA3F9C">
              <w:rPr>
                <w:rFonts w:ascii="Arial" w:hAnsi="Arial" w:cs="Arial"/>
                <w:sz w:val="24"/>
                <w:szCs w:val="24"/>
              </w:rPr>
              <w:t>Dose is 160 mg daily x 21 days then take 7 days off.</w:t>
            </w:r>
          </w:p>
          <w:p w14:paraId="5F73A983" w14:textId="77777777" w:rsidR="00C3036D" w:rsidRPr="00FA3F9C" w:rsidRDefault="00C3036D" w:rsidP="007804C4">
            <w:pPr>
              <w:rPr>
                <w:rFonts w:ascii="Arial" w:hAnsi="Arial" w:cs="Arial"/>
                <w:sz w:val="24"/>
                <w:szCs w:val="24"/>
              </w:rPr>
            </w:pPr>
          </w:p>
          <w:p w14:paraId="733B02D1" w14:textId="77777777" w:rsidR="00C3036D" w:rsidRPr="00FA3F9C" w:rsidRDefault="00C3036D" w:rsidP="007804C4">
            <w:pPr>
              <w:rPr>
                <w:rFonts w:ascii="Arial" w:hAnsi="Arial" w:cs="Arial"/>
                <w:sz w:val="24"/>
                <w:szCs w:val="24"/>
              </w:rPr>
            </w:pPr>
            <w:r w:rsidRPr="00FA3F9C">
              <w:rPr>
                <w:rFonts w:ascii="Arial" w:hAnsi="Arial" w:cs="Arial"/>
                <w:sz w:val="24"/>
                <w:szCs w:val="24"/>
              </w:rPr>
              <w:t xml:space="preserve">In this patient population, regorafenib improved overall survival compared to placebo (10.6 </w:t>
            </w:r>
            <w:proofErr w:type="spellStart"/>
            <w:r w:rsidRPr="00FA3F9C">
              <w:rPr>
                <w:rFonts w:ascii="Arial" w:hAnsi="Arial" w:cs="Arial"/>
                <w:sz w:val="24"/>
                <w:szCs w:val="24"/>
              </w:rPr>
              <w:t>mo</w:t>
            </w:r>
            <w:proofErr w:type="spellEnd"/>
            <w:r w:rsidRPr="00FA3F9C">
              <w:rPr>
                <w:rFonts w:ascii="Arial" w:hAnsi="Arial" w:cs="Arial"/>
                <w:sz w:val="24"/>
                <w:szCs w:val="24"/>
              </w:rPr>
              <w:t xml:space="preserve"> vs 7.8 </w:t>
            </w:r>
            <w:proofErr w:type="spellStart"/>
            <w:proofErr w:type="gramStart"/>
            <w:r w:rsidRPr="00FA3F9C">
              <w:rPr>
                <w:rFonts w:ascii="Arial" w:hAnsi="Arial" w:cs="Arial"/>
                <w:sz w:val="24"/>
                <w:szCs w:val="24"/>
              </w:rPr>
              <w:t>mo</w:t>
            </w:r>
            <w:proofErr w:type="spellEnd"/>
            <w:r w:rsidRPr="00FA3F9C">
              <w:rPr>
                <w:rFonts w:ascii="Arial" w:hAnsi="Arial" w:cs="Arial"/>
                <w:sz w:val="24"/>
                <w:szCs w:val="24"/>
              </w:rPr>
              <w:t>;</w:t>
            </w:r>
            <w:proofErr w:type="gramEnd"/>
            <w:r w:rsidRPr="00FA3F9C">
              <w:rPr>
                <w:rFonts w:ascii="Arial" w:hAnsi="Arial" w:cs="Arial"/>
                <w:sz w:val="24"/>
                <w:szCs w:val="24"/>
              </w:rPr>
              <w:t xml:space="preserve"> HR 0.63 [95% CI 0.5-0.79]). </w:t>
            </w:r>
          </w:p>
          <w:p w14:paraId="39E81246" w14:textId="77777777" w:rsidR="00C3036D" w:rsidRPr="00FA3F9C" w:rsidRDefault="00C3036D" w:rsidP="007804C4">
            <w:pPr>
              <w:ind w:left="180" w:hanging="180"/>
              <w:rPr>
                <w:rFonts w:ascii="Arial" w:hAnsi="Arial" w:cs="Arial"/>
                <w:sz w:val="24"/>
                <w:szCs w:val="24"/>
              </w:rPr>
            </w:pPr>
          </w:p>
          <w:p w14:paraId="1711D522" w14:textId="77777777" w:rsidR="00C3036D" w:rsidRPr="00FA3F9C" w:rsidRDefault="00C3036D" w:rsidP="007804C4">
            <w:pPr>
              <w:ind w:left="180" w:hanging="180"/>
              <w:rPr>
                <w:rFonts w:ascii="Arial" w:hAnsi="Arial" w:cs="Arial"/>
                <w:sz w:val="24"/>
                <w:szCs w:val="24"/>
              </w:rPr>
            </w:pPr>
            <w:r w:rsidRPr="00FA3F9C">
              <w:rPr>
                <w:rFonts w:ascii="Arial" w:hAnsi="Arial" w:cs="Arial"/>
                <w:sz w:val="24"/>
                <w:szCs w:val="24"/>
              </w:rPr>
              <w:t>References:</w:t>
            </w:r>
          </w:p>
          <w:p w14:paraId="222A3AB1" w14:textId="77777777" w:rsidR="00C3036D" w:rsidRPr="00FA3F9C" w:rsidRDefault="00C3036D" w:rsidP="007804C4">
            <w:pPr>
              <w:rPr>
                <w:rFonts w:ascii="Arial" w:hAnsi="Arial" w:cs="Arial"/>
                <w:sz w:val="24"/>
                <w:szCs w:val="24"/>
              </w:rPr>
            </w:pPr>
            <w:proofErr w:type="spellStart"/>
            <w:r w:rsidRPr="00FA3F9C">
              <w:rPr>
                <w:rFonts w:ascii="Arial" w:hAnsi="Arial" w:cs="Arial"/>
                <w:sz w:val="24"/>
                <w:szCs w:val="24"/>
              </w:rPr>
              <w:t>Bruix</w:t>
            </w:r>
            <w:proofErr w:type="spellEnd"/>
            <w:r w:rsidRPr="00FA3F9C">
              <w:rPr>
                <w:rFonts w:ascii="Arial" w:hAnsi="Arial" w:cs="Arial"/>
                <w:sz w:val="24"/>
                <w:szCs w:val="24"/>
              </w:rPr>
              <w:t xml:space="preserve"> J et al.  Regorafenib for patients with hepatocellular carcinoma who progressed on sorafenib treatment (RESORCE): a </w:t>
            </w:r>
            <w:proofErr w:type="spellStart"/>
            <w:r w:rsidRPr="00FA3F9C">
              <w:rPr>
                <w:rFonts w:ascii="Arial" w:hAnsi="Arial" w:cs="Arial"/>
                <w:sz w:val="24"/>
                <w:szCs w:val="24"/>
              </w:rPr>
              <w:t>randomised</w:t>
            </w:r>
            <w:proofErr w:type="spellEnd"/>
            <w:r w:rsidRPr="00FA3F9C">
              <w:rPr>
                <w:rFonts w:ascii="Arial" w:hAnsi="Arial" w:cs="Arial"/>
                <w:sz w:val="24"/>
                <w:szCs w:val="24"/>
              </w:rPr>
              <w:t>, double-blind, placebo-controlled, phase 3 trial. Lancet. 2017 Jan 7;389(10064):56-66. PMID 27932229 NCT01774344</w:t>
            </w:r>
          </w:p>
        </w:tc>
      </w:tr>
    </w:tbl>
    <w:p w14:paraId="1318C91A" w14:textId="77777777" w:rsidR="00C3036D" w:rsidRPr="00FA3F9C" w:rsidRDefault="00C3036D" w:rsidP="00FA3C5D">
      <w:pPr>
        <w:spacing w:after="0"/>
        <w:rPr>
          <w:rFonts w:ascii="Arial" w:hAnsi="Arial" w:cs="Arial"/>
          <w:sz w:val="24"/>
          <w:szCs w:val="24"/>
        </w:rPr>
      </w:pPr>
    </w:p>
    <w:p w14:paraId="38E7B141" w14:textId="77777777" w:rsidR="00C3036D" w:rsidRPr="00FA3F9C" w:rsidRDefault="00C3036D" w:rsidP="00FA3C5D">
      <w:pPr>
        <w:spacing w:after="0"/>
        <w:rPr>
          <w:rFonts w:ascii="Arial" w:hAnsi="Arial" w:cs="Arial"/>
          <w:sz w:val="24"/>
          <w:szCs w:val="24"/>
        </w:rPr>
      </w:pPr>
      <w:r w:rsidRPr="00FA3F9C">
        <w:rPr>
          <w:rFonts w:ascii="Arial" w:hAnsi="Arial" w:cs="Arial"/>
          <w:sz w:val="24"/>
          <w:szCs w:val="24"/>
        </w:rPr>
        <w:t>Quantity Limits:  #84 tablets/28 days</w:t>
      </w:r>
    </w:p>
    <w:p w14:paraId="2B87D70B" w14:textId="77777777" w:rsidR="00C3036D" w:rsidRPr="00FA3F9C" w:rsidRDefault="00C3036D" w:rsidP="006F623F">
      <w:pPr>
        <w:spacing w:after="0"/>
        <w:rPr>
          <w:rFonts w:ascii="Arial" w:hAnsi="Arial" w:cs="Arial"/>
          <w:b/>
          <w:sz w:val="24"/>
          <w:szCs w:val="24"/>
          <w:u w:val="single"/>
        </w:rPr>
      </w:pPr>
    </w:p>
    <w:p w14:paraId="15517EF7" w14:textId="77777777" w:rsidR="00C3036D" w:rsidRPr="00FA3F9C" w:rsidRDefault="00C3036D" w:rsidP="006F623F">
      <w:pPr>
        <w:spacing w:after="0"/>
        <w:rPr>
          <w:rFonts w:ascii="Arial" w:hAnsi="Arial" w:cs="Arial"/>
          <w:sz w:val="24"/>
          <w:szCs w:val="24"/>
        </w:rPr>
      </w:pPr>
    </w:p>
    <w:p w14:paraId="72808585" w14:textId="77777777" w:rsidR="00C3036D" w:rsidRPr="00FA3F9C" w:rsidRDefault="00C3036D" w:rsidP="006F623F">
      <w:pPr>
        <w:spacing w:after="0"/>
        <w:rPr>
          <w:rFonts w:ascii="Arial" w:hAnsi="Arial" w:cs="Arial"/>
          <w:sz w:val="24"/>
          <w:szCs w:val="24"/>
        </w:rPr>
      </w:pPr>
    </w:p>
    <w:p w14:paraId="478F3D92" w14:textId="77777777" w:rsidR="00C3036D" w:rsidRPr="00FA3F9C" w:rsidRDefault="00C3036D"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284"/>
        <w:gridCol w:w="7470"/>
        <w:gridCol w:w="2538"/>
      </w:tblGrid>
      <w:tr w:rsidR="00C3036D" w:rsidRPr="00FA3F9C" w14:paraId="30EC1DE4" w14:textId="77777777" w:rsidTr="00FE491B">
        <w:tc>
          <w:tcPr>
            <w:tcW w:w="1008" w:type="dxa"/>
          </w:tcPr>
          <w:p w14:paraId="5D39E66D" w14:textId="77777777" w:rsidR="00C3036D" w:rsidRPr="00FA3F9C" w:rsidRDefault="00C3036D" w:rsidP="006F623F">
            <w:pPr>
              <w:rPr>
                <w:rFonts w:ascii="Arial" w:hAnsi="Arial" w:cs="Arial"/>
                <w:sz w:val="24"/>
                <w:szCs w:val="24"/>
              </w:rPr>
            </w:pPr>
            <w:r w:rsidRPr="00FA3F9C">
              <w:rPr>
                <w:rFonts w:ascii="Arial" w:hAnsi="Arial" w:cs="Arial"/>
                <w:sz w:val="24"/>
                <w:szCs w:val="24"/>
              </w:rPr>
              <w:lastRenderedPageBreak/>
              <w:t>Date</w:t>
            </w:r>
          </w:p>
        </w:tc>
        <w:tc>
          <w:tcPr>
            <w:tcW w:w="7470" w:type="dxa"/>
          </w:tcPr>
          <w:p w14:paraId="1149BC04" w14:textId="77777777" w:rsidR="00C3036D" w:rsidRPr="00FA3F9C" w:rsidRDefault="00C3036D" w:rsidP="006F623F">
            <w:pPr>
              <w:rPr>
                <w:rFonts w:ascii="Arial" w:hAnsi="Arial" w:cs="Arial"/>
                <w:sz w:val="24"/>
                <w:szCs w:val="24"/>
              </w:rPr>
            </w:pPr>
            <w:r w:rsidRPr="00FA3F9C">
              <w:rPr>
                <w:rFonts w:ascii="Arial" w:hAnsi="Arial" w:cs="Arial"/>
                <w:sz w:val="24"/>
                <w:szCs w:val="24"/>
              </w:rPr>
              <w:t>What changed</w:t>
            </w:r>
          </w:p>
        </w:tc>
        <w:tc>
          <w:tcPr>
            <w:tcW w:w="2538" w:type="dxa"/>
          </w:tcPr>
          <w:p w14:paraId="54BEA5D1" w14:textId="77777777" w:rsidR="00C3036D" w:rsidRPr="00FA3F9C" w:rsidRDefault="00C3036D" w:rsidP="006F623F">
            <w:pPr>
              <w:rPr>
                <w:rFonts w:ascii="Arial" w:hAnsi="Arial" w:cs="Arial"/>
                <w:sz w:val="24"/>
                <w:szCs w:val="24"/>
              </w:rPr>
            </w:pPr>
            <w:r w:rsidRPr="00FA3F9C">
              <w:rPr>
                <w:rFonts w:ascii="Arial" w:hAnsi="Arial" w:cs="Arial"/>
                <w:sz w:val="24"/>
                <w:szCs w:val="24"/>
              </w:rPr>
              <w:t>Pharmacist’s initials</w:t>
            </w:r>
          </w:p>
        </w:tc>
      </w:tr>
      <w:tr w:rsidR="00C3036D" w:rsidRPr="00FA3F9C" w14:paraId="4E97453F" w14:textId="77777777" w:rsidTr="00FE491B">
        <w:tc>
          <w:tcPr>
            <w:tcW w:w="1008" w:type="dxa"/>
          </w:tcPr>
          <w:p w14:paraId="6D437AEF" w14:textId="77777777" w:rsidR="00C3036D" w:rsidRPr="00FA3F9C" w:rsidRDefault="00C3036D" w:rsidP="006F623F">
            <w:pPr>
              <w:rPr>
                <w:rFonts w:ascii="Arial" w:hAnsi="Arial" w:cs="Arial"/>
                <w:sz w:val="24"/>
                <w:szCs w:val="24"/>
              </w:rPr>
            </w:pPr>
            <w:r w:rsidRPr="00FA3F9C">
              <w:rPr>
                <w:rFonts w:ascii="Arial" w:hAnsi="Arial" w:cs="Arial"/>
                <w:sz w:val="24"/>
                <w:szCs w:val="24"/>
              </w:rPr>
              <w:t>10/28/19</w:t>
            </w:r>
          </w:p>
        </w:tc>
        <w:tc>
          <w:tcPr>
            <w:tcW w:w="7470" w:type="dxa"/>
          </w:tcPr>
          <w:p w14:paraId="50D00B20" w14:textId="77777777" w:rsidR="00C3036D" w:rsidRPr="00FA3F9C" w:rsidRDefault="00C3036D" w:rsidP="006F623F">
            <w:pPr>
              <w:rPr>
                <w:rFonts w:ascii="Arial" w:hAnsi="Arial" w:cs="Arial"/>
                <w:sz w:val="24"/>
                <w:szCs w:val="24"/>
              </w:rPr>
            </w:pPr>
            <w:r w:rsidRPr="00FA3F9C">
              <w:rPr>
                <w:rFonts w:ascii="Arial" w:hAnsi="Arial" w:cs="Arial"/>
                <w:sz w:val="24"/>
                <w:szCs w:val="24"/>
              </w:rPr>
              <w:t>Criteria written</w:t>
            </w:r>
          </w:p>
        </w:tc>
        <w:tc>
          <w:tcPr>
            <w:tcW w:w="2538" w:type="dxa"/>
          </w:tcPr>
          <w:p w14:paraId="58479E78" w14:textId="77777777" w:rsidR="00C3036D" w:rsidRPr="00FA3F9C" w:rsidRDefault="00C3036D" w:rsidP="006F623F">
            <w:pPr>
              <w:rPr>
                <w:rFonts w:ascii="Arial" w:hAnsi="Arial" w:cs="Arial"/>
                <w:sz w:val="24"/>
                <w:szCs w:val="24"/>
              </w:rPr>
            </w:pPr>
            <w:r w:rsidRPr="00FA3F9C">
              <w:rPr>
                <w:rFonts w:ascii="Arial" w:hAnsi="Arial" w:cs="Arial"/>
                <w:sz w:val="24"/>
                <w:szCs w:val="24"/>
              </w:rPr>
              <w:t>SK</w:t>
            </w:r>
          </w:p>
        </w:tc>
      </w:tr>
      <w:tr w:rsidR="00C3036D" w:rsidRPr="00FA3F9C" w14:paraId="1463B2A9" w14:textId="77777777" w:rsidTr="00FE491B">
        <w:tc>
          <w:tcPr>
            <w:tcW w:w="1008" w:type="dxa"/>
          </w:tcPr>
          <w:p w14:paraId="1C48720F" w14:textId="77777777" w:rsidR="00C3036D" w:rsidRPr="00FA3F9C" w:rsidRDefault="00C3036D" w:rsidP="006F623F">
            <w:pPr>
              <w:rPr>
                <w:rFonts w:ascii="Arial" w:hAnsi="Arial" w:cs="Arial"/>
                <w:sz w:val="24"/>
                <w:szCs w:val="24"/>
              </w:rPr>
            </w:pPr>
            <w:r w:rsidRPr="00FA3F9C">
              <w:rPr>
                <w:rFonts w:ascii="Arial" w:hAnsi="Arial" w:cs="Arial"/>
                <w:sz w:val="24"/>
                <w:szCs w:val="24"/>
              </w:rPr>
              <w:t>6/24/2020</w:t>
            </w:r>
          </w:p>
        </w:tc>
        <w:tc>
          <w:tcPr>
            <w:tcW w:w="7470" w:type="dxa"/>
          </w:tcPr>
          <w:p w14:paraId="224C59B5" w14:textId="77777777" w:rsidR="00C3036D" w:rsidRPr="00FA3F9C" w:rsidRDefault="00C3036D" w:rsidP="006F623F">
            <w:pPr>
              <w:rPr>
                <w:rFonts w:ascii="Arial" w:hAnsi="Arial" w:cs="Arial"/>
                <w:sz w:val="24"/>
                <w:szCs w:val="24"/>
              </w:rPr>
            </w:pPr>
            <w:r w:rsidRPr="00FA3F9C">
              <w:rPr>
                <w:rFonts w:ascii="Arial" w:hAnsi="Arial" w:cs="Arial"/>
                <w:sz w:val="24"/>
                <w:szCs w:val="24"/>
              </w:rPr>
              <w:t>Criteria reviewed. Added criteria for GIST</w:t>
            </w:r>
          </w:p>
        </w:tc>
        <w:tc>
          <w:tcPr>
            <w:tcW w:w="2538" w:type="dxa"/>
          </w:tcPr>
          <w:p w14:paraId="661A2754" w14:textId="77777777" w:rsidR="00C3036D" w:rsidRPr="00FA3F9C" w:rsidRDefault="00C3036D" w:rsidP="006F623F">
            <w:pPr>
              <w:rPr>
                <w:rFonts w:ascii="Arial" w:hAnsi="Arial" w:cs="Arial"/>
                <w:sz w:val="24"/>
                <w:szCs w:val="24"/>
              </w:rPr>
            </w:pPr>
            <w:r w:rsidRPr="00FA3F9C">
              <w:rPr>
                <w:rFonts w:ascii="Arial" w:hAnsi="Arial" w:cs="Arial"/>
                <w:sz w:val="24"/>
                <w:szCs w:val="24"/>
              </w:rPr>
              <w:t>SK</w:t>
            </w:r>
          </w:p>
        </w:tc>
      </w:tr>
      <w:tr w:rsidR="00C3036D" w:rsidRPr="00FA3F9C" w14:paraId="076D64C1" w14:textId="77777777" w:rsidTr="00FE491B">
        <w:tc>
          <w:tcPr>
            <w:tcW w:w="1008" w:type="dxa"/>
          </w:tcPr>
          <w:p w14:paraId="4FC9BB82" w14:textId="77777777" w:rsidR="00C3036D" w:rsidRPr="00FA3F9C" w:rsidRDefault="00C3036D" w:rsidP="006F623F">
            <w:pPr>
              <w:rPr>
                <w:rFonts w:ascii="Arial" w:hAnsi="Arial" w:cs="Arial"/>
                <w:sz w:val="24"/>
                <w:szCs w:val="24"/>
              </w:rPr>
            </w:pPr>
            <w:r w:rsidRPr="00FA3F9C">
              <w:rPr>
                <w:rFonts w:ascii="Arial" w:hAnsi="Arial" w:cs="Arial"/>
                <w:sz w:val="24"/>
                <w:szCs w:val="24"/>
              </w:rPr>
              <w:t>4/7/21</w:t>
            </w:r>
          </w:p>
        </w:tc>
        <w:tc>
          <w:tcPr>
            <w:tcW w:w="7470" w:type="dxa"/>
          </w:tcPr>
          <w:p w14:paraId="092B5A53" w14:textId="77777777" w:rsidR="00C3036D" w:rsidRPr="00FA3F9C" w:rsidRDefault="00C3036D" w:rsidP="006F623F">
            <w:pPr>
              <w:rPr>
                <w:rFonts w:ascii="Arial" w:hAnsi="Arial" w:cs="Arial"/>
                <w:sz w:val="24"/>
                <w:szCs w:val="24"/>
              </w:rPr>
            </w:pPr>
            <w:r w:rsidRPr="00FA3F9C">
              <w:rPr>
                <w:rFonts w:ascii="Arial" w:hAnsi="Arial" w:cs="Arial"/>
                <w:sz w:val="24"/>
                <w:szCs w:val="24"/>
              </w:rPr>
              <w:t>Applied EBRx criteria to UAS.  No current users</w:t>
            </w:r>
          </w:p>
        </w:tc>
        <w:tc>
          <w:tcPr>
            <w:tcW w:w="2538" w:type="dxa"/>
          </w:tcPr>
          <w:p w14:paraId="5F34CB70" w14:textId="77777777" w:rsidR="00C3036D" w:rsidRPr="00FA3F9C" w:rsidRDefault="00C3036D" w:rsidP="006F623F">
            <w:pPr>
              <w:rPr>
                <w:rFonts w:ascii="Arial" w:hAnsi="Arial" w:cs="Arial"/>
                <w:sz w:val="24"/>
                <w:szCs w:val="24"/>
              </w:rPr>
            </w:pPr>
            <w:r w:rsidRPr="00FA3F9C">
              <w:rPr>
                <w:rFonts w:ascii="Arial" w:hAnsi="Arial" w:cs="Arial"/>
                <w:sz w:val="24"/>
                <w:szCs w:val="24"/>
              </w:rPr>
              <w:t>JJ</w:t>
            </w:r>
          </w:p>
        </w:tc>
      </w:tr>
      <w:tr w:rsidR="00C3036D" w:rsidRPr="00FA3F9C" w14:paraId="6C426BC7" w14:textId="77777777" w:rsidTr="00FE491B">
        <w:tc>
          <w:tcPr>
            <w:tcW w:w="1008" w:type="dxa"/>
          </w:tcPr>
          <w:p w14:paraId="0ABEE428" w14:textId="77777777" w:rsidR="00C3036D" w:rsidRPr="00FA3F9C" w:rsidRDefault="00C3036D" w:rsidP="006F623F">
            <w:pPr>
              <w:rPr>
                <w:rFonts w:ascii="Arial" w:hAnsi="Arial" w:cs="Arial"/>
                <w:sz w:val="24"/>
                <w:szCs w:val="24"/>
              </w:rPr>
            </w:pPr>
            <w:r w:rsidRPr="00FA3F9C">
              <w:rPr>
                <w:rFonts w:ascii="Arial" w:hAnsi="Arial" w:cs="Arial"/>
                <w:sz w:val="24"/>
                <w:szCs w:val="24"/>
              </w:rPr>
              <w:t>9/28/2021</w:t>
            </w:r>
          </w:p>
        </w:tc>
        <w:tc>
          <w:tcPr>
            <w:tcW w:w="7470" w:type="dxa"/>
          </w:tcPr>
          <w:p w14:paraId="5843942B" w14:textId="77777777" w:rsidR="00C3036D" w:rsidRPr="00FA3F9C" w:rsidRDefault="00C3036D" w:rsidP="006F623F">
            <w:pPr>
              <w:rPr>
                <w:rFonts w:ascii="Arial" w:hAnsi="Arial" w:cs="Arial"/>
                <w:sz w:val="24"/>
                <w:szCs w:val="24"/>
              </w:rPr>
            </w:pPr>
            <w:r w:rsidRPr="00FA3F9C">
              <w:rPr>
                <w:rFonts w:ascii="Arial" w:hAnsi="Arial" w:cs="Arial"/>
                <w:sz w:val="24"/>
                <w:szCs w:val="24"/>
              </w:rPr>
              <w:t>Criteria reviewed. No change.</w:t>
            </w:r>
          </w:p>
        </w:tc>
        <w:tc>
          <w:tcPr>
            <w:tcW w:w="2538" w:type="dxa"/>
          </w:tcPr>
          <w:p w14:paraId="339813F5" w14:textId="77777777" w:rsidR="00C3036D" w:rsidRPr="00FA3F9C" w:rsidRDefault="00C3036D" w:rsidP="006F623F">
            <w:pPr>
              <w:rPr>
                <w:rFonts w:ascii="Arial" w:hAnsi="Arial" w:cs="Arial"/>
                <w:sz w:val="24"/>
                <w:szCs w:val="24"/>
              </w:rPr>
            </w:pPr>
            <w:r w:rsidRPr="00FA3F9C">
              <w:rPr>
                <w:rFonts w:ascii="Arial" w:hAnsi="Arial" w:cs="Arial"/>
                <w:sz w:val="24"/>
                <w:szCs w:val="24"/>
              </w:rPr>
              <w:t>SK</w:t>
            </w:r>
          </w:p>
        </w:tc>
      </w:tr>
    </w:tbl>
    <w:p w14:paraId="4B2D9FF6" w14:textId="77777777" w:rsidR="00C3036D" w:rsidRPr="00FA3F9C" w:rsidRDefault="00C3036D" w:rsidP="006F623F">
      <w:pPr>
        <w:spacing w:after="0"/>
        <w:rPr>
          <w:rFonts w:ascii="Arial" w:hAnsi="Arial" w:cs="Arial"/>
          <w:sz w:val="24"/>
          <w:szCs w:val="24"/>
        </w:rPr>
      </w:pPr>
    </w:p>
    <w:p w14:paraId="06C1DA8F" w14:textId="77777777" w:rsidR="002B2097" w:rsidRDefault="00C3036D" w:rsidP="002B2097">
      <w:pPr>
        <w:pStyle w:val="Heading2"/>
      </w:pPr>
      <w:bookmarkStart w:id="285" w:name="_Toc106369909"/>
      <w:proofErr w:type="spellStart"/>
      <w:r w:rsidRPr="00FA3F9C">
        <w:t>Ribociclib</w:t>
      </w:r>
      <w:proofErr w:type="spellEnd"/>
      <w:r w:rsidRPr="00FA3F9C">
        <w:t xml:space="preserve"> (</w:t>
      </w:r>
      <w:proofErr w:type="spellStart"/>
      <w:r w:rsidRPr="00FA3F9C">
        <w:t>Kisqali</w:t>
      </w:r>
      <w:proofErr w:type="spellEnd"/>
      <w:r w:rsidRPr="00FA3F9C">
        <w:t>)</w:t>
      </w:r>
      <w:bookmarkEnd w:id="285"/>
      <w:r w:rsidRPr="00FA3F9C">
        <w:t xml:space="preserve"> </w:t>
      </w:r>
    </w:p>
    <w:p w14:paraId="251B10BF" w14:textId="742D3E74" w:rsidR="00C3036D" w:rsidRPr="00FA3F9C" w:rsidRDefault="00C3036D" w:rsidP="006F623F">
      <w:pPr>
        <w:spacing w:after="0"/>
        <w:jc w:val="center"/>
        <w:rPr>
          <w:rFonts w:ascii="Arial" w:hAnsi="Arial" w:cs="Arial"/>
          <w:sz w:val="24"/>
          <w:szCs w:val="24"/>
        </w:rPr>
      </w:pPr>
      <w:r w:rsidRPr="00FA3F9C">
        <w:rPr>
          <w:rFonts w:ascii="Arial" w:hAnsi="Arial" w:cs="Arial"/>
          <w:sz w:val="24"/>
          <w:szCs w:val="24"/>
        </w:rPr>
        <w:t>200 mg tablets</w:t>
      </w:r>
    </w:p>
    <w:p w14:paraId="1A5E2F4E" w14:textId="77777777" w:rsidR="00C3036D" w:rsidRPr="00FA3F9C" w:rsidRDefault="00C3036D" w:rsidP="006F623F">
      <w:pPr>
        <w:spacing w:after="0"/>
        <w:jc w:val="center"/>
        <w:rPr>
          <w:rFonts w:ascii="Arial" w:hAnsi="Arial" w:cs="Arial"/>
          <w:sz w:val="24"/>
          <w:szCs w:val="24"/>
        </w:rPr>
      </w:pPr>
      <w:r w:rsidRPr="00FA3F9C">
        <w:rPr>
          <w:rFonts w:ascii="Arial" w:hAnsi="Arial" w:cs="Arial"/>
          <w:sz w:val="24"/>
          <w:szCs w:val="24"/>
        </w:rPr>
        <w:t>EBRx PA Criteria</w:t>
      </w:r>
    </w:p>
    <w:p w14:paraId="2A49747E" w14:textId="77777777" w:rsidR="00C3036D" w:rsidRPr="00FA3F9C" w:rsidRDefault="00C3036D" w:rsidP="006F623F">
      <w:pPr>
        <w:spacing w:after="0"/>
        <w:rPr>
          <w:rFonts w:ascii="Arial" w:hAnsi="Arial" w:cs="Arial"/>
          <w:b/>
          <w:sz w:val="24"/>
          <w:szCs w:val="24"/>
          <w:u w:val="single"/>
        </w:rPr>
      </w:pPr>
    </w:p>
    <w:p w14:paraId="5F06BF3E" w14:textId="77777777" w:rsidR="00C3036D" w:rsidRPr="00FA3F9C" w:rsidRDefault="00C3036D"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w:t>
      </w:r>
    </w:p>
    <w:p w14:paraId="20E39394" w14:textId="77777777" w:rsidR="00C3036D" w:rsidRPr="00FA3F9C" w:rsidRDefault="00C3036D" w:rsidP="00EB1C06">
      <w:pPr>
        <w:spacing w:after="0"/>
        <w:ind w:left="90" w:hanging="90"/>
        <w:rPr>
          <w:rFonts w:ascii="Arial" w:hAnsi="Arial" w:cs="Arial"/>
          <w:sz w:val="24"/>
          <w:szCs w:val="24"/>
        </w:rPr>
      </w:pPr>
      <w:r w:rsidRPr="00FA3F9C">
        <w:rPr>
          <w:rFonts w:ascii="Arial" w:hAnsi="Arial" w:cs="Arial"/>
          <w:sz w:val="24"/>
          <w:szCs w:val="24"/>
        </w:rPr>
        <w:sym w:font="Symbol" w:char="F0B7"/>
      </w:r>
      <w:r w:rsidRPr="00FA3F9C">
        <w:rPr>
          <w:rFonts w:ascii="Arial" w:hAnsi="Arial" w:cs="Arial"/>
          <w:sz w:val="24"/>
          <w:szCs w:val="24"/>
        </w:rPr>
        <w:t xml:space="preserve"> in combination with an </w:t>
      </w:r>
      <w:r w:rsidRPr="00FA3F9C">
        <w:rPr>
          <w:rFonts w:ascii="Arial" w:hAnsi="Arial" w:cs="Arial"/>
          <w:sz w:val="24"/>
          <w:szCs w:val="24"/>
          <w:u w:val="single"/>
        </w:rPr>
        <w:t>aromatase inhibitor</w:t>
      </w:r>
      <w:r w:rsidRPr="00FA3F9C">
        <w:rPr>
          <w:rFonts w:ascii="Arial" w:hAnsi="Arial" w:cs="Arial"/>
          <w:sz w:val="24"/>
          <w:szCs w:val="24"/>
        </w:rPr>
        <w:t xml:space="preserve"> for the treatment of </w:t>
      </w:r>
      <w:r w:rsidRPr="00FA3F9C">
        <w:rPr>
          <w:rFonts w:ascii="Arial" w:hAnsi="Arial" w:cs="Arial"/>
          <w:sz w:val="24"/>
          <w:szCs w:val="24"/>
          <w:u w:val="single"/>
        </w:rPr>
        <w:t>pre/perimenopausal or postmenopausal</w:t>
      </w:r>
      <w:r w:rsidRPr="00FA3F9C">
        <w:rPr>
          <w:rFonts w:ascii="Arial" w:hAnsi="Arial" w:cs="Arial"/>
          <w:sz w:val="24"/>
          <w:szCs w:val="24"/>
        </w:rPr>
        <w:t xml:space="preserve"> women with hormone receptor (HR)-positive, human epidermal growth factor receptor 2 (HER2)-negative advanced or metastatic breast cancer, as </w:t>
      </w:r>
      <w:r w:rsidRPr="00FA3F9C">
        <w:rPr>
          <w:rFonts w:ascii="Arial" w:hAnsi="Arial" w:cs="Arial"/>
          <w:sz w:val="24"/>
          <w:szCs w:val="24"/>
          <w:u w:val="single"/>
        </w:rPr>
        <w:t>initial</w:t>
      </w:r>
      <w:r w:rsidRPr="00FA3F9C">
        <w:rPr>
          <w:rFonts w:ascii="Arial" w:hAnsi="Arial" w:cs="Arial"/>
          <w:sz w:val="24"/>
          <w:szCs w:val="24"/>
        </w:rPr>
        <w:t xml:space="preserve"> endocrine-based therapy  </w:t>
      </w:r>
    </w:p>
    <w:p w14:paraId="55A15760" w14:textId="77777777" w:rsidR="00C3036D" w:rsidRPr="00FA3F9C" w:rsidRDefault="00C3036D" w:rsidP="00EB1C06">
      <w:pPr>
        <w:spacing w:after="0"/>
        <w:ind w:left="90" w:hanging="90"/>
        <w:rPr>
          <w:rFonts w:ascii="Arial" w:hAnsi="Arial" w:cs="Arial"/>
          <w:sz w:val="24"/>
          <w:szCs w:val="24"/>
        </w:rPr>
      </w:pPr>
      <w:r w:rsidRPr="00FA3F9C">
        <w:rPr>
          <w:rFonts w:ascii="Arial" w:hAnsi="Arial" w:cs="Arial"/>
          <w:sz w:val="24"/>
          <w:szCs w:val="24"/>
        </w:rPr>
        <w:sym w:font="Symbol" w:char="F0B7"/>
      </w:r>
      <w:r w:rsidRPr="00FA3F9C">
        <w:rPr>
          <w:rFonts w:ascii="Arial" w:hAnsi="Arial" w:cs="Arial"/>
          <w:sz w:val="24"/>
          <w:szCs w:val="24"/>
        </w:rPr>
        <w:t xml:space="preserve"> in combination with </w:t>
      </w:r>
      <w:proofErr w:type="spellStart"/>
      <w:r w:rsidRPr="00FA3F9C">
        <w:rPr>
          <w:rFonts w:ascii="Arial" w:hAnsi="Arial" w:cs="Arial"/>
          <w:sz w:val="24"/>
          <w:szCs w:val="24"/>
          <w:u w:val="single"/>
        </w:rPr>
        <w:t>fulvestrant</w:t>
      </w:r>
      <w:proofErr w:type="spellEnd"/>
      <w:r w:rsidRPr="00FA3F9C">
        <w:rPr>
          <w:rFonts w:ascii="Arial" w:hAnsi="Arial" w:cs="Arial"/>
          <w:sz w:val="24"/>
          <w:szCs w:val="24"/>
        </w:rPr>
        <w:t xml:space="preserve"> for the treatment of </w:t>
      </w:r>
      <w:r w:rsidRPr="00FA3F9C">
        <w:rPr>
          <w:rFonts w:ascii="Arial" w:hAnsi="Arial" w:cs="Arial"/>
          <w:sz w:val="24"/>
          <w:szCs w:val="24"/>
          <w:u w:val="single"/>
        </w:rPr>
        <w:t>postmenopausal</w:t>
      </w:r>
      <w:r w:rsidRPr="00FA3F9C">
        <w:rPr>
          <w:rFonts w:ascii="Arial" w:hAnsi="Arial" w:cs="Arial"/>
          <w:sz w:val="24"/>
          <w:szCs w:val="24"/>
        </w:rPr>
        <w:t xml:space="preserve"> women with HR-positive, HER2-negative advanced or metastatic breast cancer, as </w:t>
      </w:r>
      <w:r w:rsidRPr="00FA3F9C">
        <w:rPr>
          <w:rFonts w:ascii="Arial" w:hAnsi="Arial" w:cs="Arial"/>
          <w:sz w:val="24"/>
          <w:szCs w:val="24"/>
          <w:u w:val="single"/>
        </w:rPr>
        <w:t>initial endocrine based therapy or following disease progression</w:t>
      </w:r>
      <w:r w:rsidRPr="00FA3F9C">
        <w:rPr>
          <w:rFonts w:ascii="Arial" w:hAnsi="Arial" w:cs="Arial"/>
          <w:sz w:val="24"/>
          <w:szCs w:val="24"/>
        </w:rPr>
        <w:t xml:space="preserve"> on endocrine therapy. </w:t>
      </w:r>
    </w:p>
    <w:p w14:paraId="29A1EA13" w14:textId="77777777" w:rsidR="00C3036D" w:rsidRPr="00FA3F9C" w:rsidRDefault="00C3036D" w:rsidP="006343DB">
      <w:pPr>
        <w:spacing w:after="0"/>
        <w:rPr>
          <w:rFonts w:ascii="Arial" w:hAnsi="Arial" w:cs="Arial"/>
          <w:sz w:val="24"/>
          <w:szCs w:val="24"/>
        </w:rPr>
      </w:pPr>
    </w:p>
    <w:tbl>
      <w:tblPr>
        <w:tblStyle w:val="TableGrid"/>
        <w:tblW w:w="0" w:type="auto"/>
        <w:tblLook w:val="04A0" w:firstRow="1" w:lastRow="0" w:firstColumn="1" w:lastColumn="0" w:noHBand="0" w:noVBand="1"/>
      </w:tblPr>
      <w:tblGrid>
        <w:gridCol w:w="8928"/>
        <w:gridCol w:w="2088"/>
      </w:tblGrid>
      <w:tr w:rsidR="00C3036D" w:rsidRPr="00FA3F9C" w14:paraId="1EBB2BDB" w14:textId="77777777" w:rsidTr="00571CAB">
        <w:tc>
          <w:tcPr>
            <w:tcW w:w="8928" w:type="dxa"/>
            <w:shd w:val="clear" w:color="auto" w:fill="000000"/>
          </w:tcPr>
          <w:p w14:paraId="439D9978" w14:textId="77777777" w:rsidR="00C3036D" w:rsidRPr="00FA3F9C" w:rsidRDefault="00C3036D" w:rsidP="00621F9A">
            <w:pPr>
              <w:rPr>
                <w:rFonts w:ascii="Arial" w:hAnsi="Arial" w:cs="Arial"/>
                <w:b/>
                <w:sz w:val="24"/>
                <w:szCs w:val="24"/>
                <w:u w:val="single"/>
              </w:rPr>
            </w:pPr>
            <w:proofErr w:type="spellStart"/>
            <w:r w:rsidRPr="00FA3F9C">
              <w:rPr>
                <w:rFonts w:ascii="Arial" w:hAnsi="Arial" w:cs="Arial"/>
                <w:b/>
                <w:sz w:val="24"/>
                <w:szCs w:val="24"/>
                <w:u w:val="single"/>
              </w:rPr>
              <w:t>Ribociclib</w:t>
            </w:r>
            <w:proofErr w:type="spellEnd"/>
            <w:r w:rsidRPr="00FA3F9C">
              <w:rPr>
                <w:rFonts w:ascii="Arial" w:hAnsi="Arial" w:cs="Arial"/>
                <w:b/>
                <w:sz w:val="24"/>
                <w:szCs w:val="24"/>
                <w:u w:val="single"/>
              </w:rPr>
              <w:t xml:space="preserve"> + aromatase inhibitor: first line, any menopausal status </w:t>
            </w:r>
          </w:p>
        </w:tc>
        <w:tc>
          <w:tcPr>
            <w:tcW w:w="2088" w:type="dxa"/>
            <w:shd w:val="clear" w:color="auto" w:fill="000000"/>
          </w:tcPr>
          <w:p w14:paraId="10155DC6" w14:textId="77777777" w:rsidR="00C3036D" w:rsidRPr="00FA3F9C" w:rsidRDefault="00C3036D" w:rsidP="006F623F">
            <w:pPr>
              <w:jc w:val="center"/>
              <w:rPr>
                <w:rFonts w:ascii="Arial" w:hAnsi="Arial" w:cs="Arial"/>
                <w:b/>
                <w:sz w:val="24"/>
                <w:szCs w:val="24"/>
                <w:u w:val="single"/>
              </w:rPr>
            </w:pPr>
          </w:p>
        </w:tc>
      </w:tr>
      <w:tr w:rsidR="00C3036D" w:rsidRPr="00FA3F9C" w14:paraId="21DB1581" w14:textId="77777777" w:rsidTr="00F337AE">
        <w:tc>
          <w:tcPr>
            <w:tcW w:w="11016" w:type="dxa"/>
            <w:gridSpan w:val="2"/>
          </w:tcPr>
          <w:p w14:paraId="0D8E2982" w14:textId="77777777" w:rsidR="00C3036D" w:rsidRPr="00FA3F9C" w:rsidRDefault="00C3036D" w:rsidP="006343DB">
            <w:pPr>
              <w:rPr>
                <w:rFonts w:ascii="Arial" w:hAnsi="Arial" w:cs="Arial"/>
                <w:sz w:val="24"/>
                <w:szCs w:val="24"/>
              </w:rPr>
            </w:pPr>
            <w:r w:rsidRPr="00FA3F9C">
              <w:rPr>
                <w:rFonts w:ascii="Arial" w:hAnsi="Arial" w:cs="Arial"/>
                <w:sz w:val="24"/>
                <w:szCs w:val="24"/>
              </w:rPr>
              <w:t>1. The patient is female</w:t>
            </w:r>
          </w:p>
        </w:tc>
      </w:tr>
      <w:tr w:rsidR="00C3036D" w:rsidRPr="00FA3F9C" w14:paraId="3648D694" w14:textId="77777777" w:rsidTr="00F337AE">
        <w:tc>
          <w:tcPr>
            <w:tcW w:w="11016" w:type="dxa"/>
            <w:gridSpan w:val="2"/>
          </w:tcPr>
          <w:p w14:paraId="6CD4AEF5" w14:textId="77777777" w:rsidR="00C3036D" w:rsidRPr="00FA3F9C" w:rsidRDefault="00C3036D" w:rsidP="006343DB">
            <w:pPr>
              <w:rPr>
                <w:rFonts w:ascii="Arial" w:hAnsi="Arial" w:cs="Arial"/>
                <w:sz w:val="24"/>
                <w:szCs w:val="24"/>
              </w:rPr>
            </w:pPr>
            <w:r w:rsidRPr="00FA3F9C">
              <w:rPr>
                <w:rFonts w:ascii="Arial" w:hAnsi="Arial" w:cs="Arial"/>
                <w:sz w:val="24"/>
                <w:szCs w:val="24"/>
              </w:rPr>
              <w:t>2. Diagnosis of advanced or metastatic breast cancer</w:t>
            </w:r>
          </w:p>
        </w:tc>
      </w:tr>
      <w:tr w:rsidR="00C3036D" w:rsidRPr="00FA3F9C" w14:paraId="38B3E161" w14:textId="77777777" w:rsidTr="00B1617E">
        <w:tc>
          <w:tcPr>
            <w:tcW w:w="11016" w:type="dxa"/>
            <w:gridSpan w:val="2"/>
          </w:tcPr>
          <w:p w14:paraId="235CC30F" w14:textId="77777777" w:rsidR="00C3036D" w:rsidRPr="00FA3F9C" w:rsidRDefault="00C3036D" w:rsidP="00C54BCA">
            <w:pPr>
              <w:rPr>
                <w:rFonts w:ascii="Arial" w:hAnsi="Arial" w:cs="Arial"/>
                <w:sz w:val="24"/>
                <w:szCs w:val="24"/>
              </w:rPr>
            </w:pPr>
            <w:r w:rsidRPr="00FA3F9C">
              <w:rPr>
                <w:rFonts w:ascii="Arial" w:hAnsi="Arial" w:cs="Arial"/>
                <w:sz w:val="24"/>
                <w:szCs w:val="24"/>
              </w:rPr>
              <w:t>3. No prior therapy for advanced/metastatic disease</w:t>
            </w:r>
          </w:p>
        </w:tc>
      </w:tr>
      <w:tr w:rsidR="00C3036D" w:rsidRPr="00FA3F9C" w14:paraId="33FC88BC" w14:textId="77777777" w:rsidTr="00B1617E">
        <w:tc>
          <w:tcPr>
            <w:tcW w:w="11016" w:type="dxa"/>
            <w:gridSpan w:val="2"/>
          </w:tcPr>
          <w:p w14:paraId="67DA124A" w14:textId="77777777" w:rsidR="00C3036D" w:rsidRPr="00FA3F9C" w:rsidRDefault="00C3036D" w:rsidP="006343DB">
            <w:pPr>
              <w:rPr>
                <w:rFonts w:ascii="Arial" w:hAnsi="Arial" w:cs="Arial"/>
                <w:sz w:val="24"/>
                <w:szCs w:val="24"/>
              </w:rPr>
            </w:pPr>
            <w:r w:rsidRPr="00FA3F9C">
              <w:rPr>
                <w:rFonts w:ascii="Arial" w:hAnsi="Arial" w:cs="Arial"/>
                <w:sz w:val="24"/>
                <w:szCs w:val="24"/>
              </w:rPr>
              <w:t>4. Tumor is hormone receptor positive (</w:t>
            </w:r>
            <w:proofErr w:type="gramStart"/>
            <w:r w:rsidRPr="00FA3F9C">
              <w:rPr>
                <w:rFonts w:ascii="Arial" w:hAnsi="Arial" w:cs="Arial"/>
                <w:sz w:val="24"/>
                <w:szCs w:val="24"/>
              </w:rPr>
              <w:t>e.g.</w:t>
            </w:r>
            <w:proofErr w:type="gramEnd"/>
            <w:r w:rsidRPr="00FA3F9C">
              <w:rPr>
                <w:rFonts w:ascii="Arial" w:hAnsi="Arial" w:cs="Arial"/>
                <w:sz w:val="24"/>
                <w:szCs w:val="24"/>
              </w:rPr>
              <w:t xml:space="preserve"> HR+, ER+ and/or PR+)</w:t>
            </w:r>
          </w:p>
        </w:tc>
      </w:tr>
      <w:tr w:rsidR="00C3036D" w:rsidRPr="00FA3F9C" w14:paraId="4821D6AE" w14:textId="77777777" w:rsidTr="00B1617E">
        <w:tc>
          <w:tcPr>
            <w:tcW w:w="11016" w:type="dxa"/>
            <w:gridSpan w:val="2"/>
          </w:tcPr>
          <w:p w14:paraId="7A1664B1" w14:textId="77777777" w:rsidR="00C3036D" w:rsidRPr="00FA3F9C" w:rsidRDefault="00C3036D" w:rsidP="006343DB">
            <w:pPr>
              <w:rPr>
                <w:rFonts w:ascii="Arial" w:hAnsi="Arial" w:cs="Arial"/>
                <w:sz w:val="24"/>
                <w:szCs w:val="24"/>
              </w:rPr>
            </w:pPr>
            <w:r w:rsidRPr="00FA3F9C">
              <w:rPr>
                <w:rFonts w:ascii="Arial" w:hAnsi="Arial" w:cs="Arial"/>
                <w:sz w:val="24"/>
                <w:szCs w:val="24"/>
              </w:rPr>
              <w:t>5. Tumor is HER2 negative</w:t>
            </w:r>
          </w:p>
        </w:tc>
      </w:tr>
      <w:tr w:rsidR="00C3036D" w:rsidRPr="00FA3F9C" w14:paraId="09F240BD" w14:textId="77777777" w:rsidTr="00DA57E0">
        <w:tc>
          <w:tcPr>
            <w:tcW w:w="11016" w:type="dxa"/>
            <w:gridSpan w:val="2"/>
          </w:tcPr>
          <w:p w14:paraId="5535BF21" w14:textId="77777777" w:rsidR="00C3036D" w:rsidRPr="00FA3F9C" w:rsidRDefault="00C3036D" w:rsidP="00CF01A6">
            <w:pPr>
              <w:rPr>
                <w:rFonts w:ascii="Arial" w:hAnsi="Arial" w:cs="Arial"/>
                <w:sz w:val="24"/>
                <w:szCs w:val="24"/>
              </w:rPr>
            </w:pPr>
            <w:r w:rsidRPr="00FA3F9C">
              <w:rPr>
                <w:rFonts w:ascii="Arial" w:hAnsi="Arial" w:cs="Arial"/>
                <w:sz w:val="24"/>
                <w:szCs w:val="24"/>
              </w:rPr>
              <w:t xml:space="preserve">6. </w:t>
            </w:r>
            <w:proofErr w:type="spellStart"/>
            <w:r w:rsidRPr="00FA3F9C">
              <w:rPr>
                <w:rFonts w:ascii="Arial" w:hAnsi="Arial" w:cs="Arial"/>
                <w:sz w:val="24"/>
                <w:szCs w:val="24"/>
              </w:rPr>
              <w:t>Ribociclib</w:t>
            </w:r>
            <w:proofErr w:type="spellEnd"/>
            <w:r w:rsidRPr="00FA3F9C">
              <w:rPr>
                <w:rFonts w:ascii="Arial" w:hAnsi="Arial" w:cs="Arial"/>
                <w:sz w:val="24"/>
                <w:szCs w:val="24"/>
              </w:rPr>
              <w:t xml:space="preserve"> will be used in combination with an </w:t>
            </w:r>
            <w:r w:rsidRPr="00FA3F9C">
              <w:rPr>
                <w:rFonts w:ascii="Arial" w:hAnsi="Arial" w:cs="Arial"/>
                <w:b/>
                <w:sz w:val="24"/>
                <w:szCs w:val="24"/>
              </w:rPr>
              <w:t>aromatase inhibitor</w:t>
            </w:r>
            <w:r w:rsidRPr="00FA3F9C">
              <w:rPr>
                <w:rFonts w:ascii="Arial" w:hAnsi="Arial" w:cs="Arial"/>
                <w:sz w:val="24"/>
                <w:szCs w:val="24"/>
              </w:rPr>
              <w:t>.</w:t>
            </w:r>
          </w:p>
        </w:tc>
      </w:tr>
      <w:tr w:rsidR="00C3036D" w:rsidRPr="00FA3F9C" w14:paraId="7976B131" w14:textId="77777777" w:rsidTr="008B6B58">
        <w:tc>
          <w:tcPr>
            <w:tcW w:w="11016" w:type="dxa"/>
            <w:gridSpan w:val="2"/>
            <w:shd w:val="clear" w:color="auto" w:fill="F2F2F2" w:themeFill="background1" w:themeFillShade="F2"/>
          </w:tcPr>
          <w:p w14:paraId="2DAA4DC8" w14:textId="77777777" w:rsidR="00C3036D" w:rsidRPr="00FA3F9C" w:rsidRDefault="00C3036D" w:rsidP="006343DB">
            <w:pPr>
              <w:rPr>
                <w:rFonts w:ascii="Arial" w:hAnsi="Arial" w:cs="Arial"/>
                <w:sz w:val="24"/>
                <w:szCs w:val="24"/>
              </w:rPr>
            </w:pPr>
            <w:r w:rsidRPr="00FA3F9C">
              <w:rPr>
                <w:rFonts w:ascii="Arial" w:hAnsi="Arial" w:cs="Arial"/>
                <w:sz w:val="24"/>
                <w:szCs w:val="24"/>
              </w:rPr>
              <w:t>If all criteria met, approve x 1 year</w:t>
            </w:r>
          </w:p>
        </w:tc>
      </w:tr>
    </w:tbl>
    <w:p w14:paraId="5978A633" w14:textId="77777777" w:rsidR="00C3036D" w:rsidRPr="00FA3F9C" w:rsidRDefault="00C3036D" w:rsidP="006F623F">
      <w:pPr>
        <w:spacing w:after="0"/>
        <w:rPr>
          <w:rFonts w:ascii="Arial" w:hAnsi="Arial" w:cs="Arial"/>
          <w:sz w:val="24"/>
          <w:szCs w:val="24"/>
        </w:rPr>
      </w:pPr>
    </w:p>
    <w:tbl>
      <w:tblPr>
        <w:tblStyle w:val="TableGrid"/>
        <w:tblW w:w="0" w:type="auto"/>
        <w:tblLook w:val="04A0" w:firstRow="1" w:lastRow="0" w:firstColumn="1" w:lastColumn="0" w:noHBand="0" w:noVBand="1"/>
      </w:tblPr>
      <w:tblGrid>
        <w:gridCol w:w="11016"/>
      </w:tblGrid>
      <w:tr w:rsidR="00C3036D" w:rsidRPr="00FA3F9C" w14:paraId="2C8855C8" w14:textId="77777777" w:rsidTr="00CF01A6">
        <w:tc>
          <w:tcPr>
            <w:tcW w:w="11016" w:type="dxa"/>
            <w:shd w:val="clear" w:color="auto" w:fill="000000"/>
            <w:vAlign w:val="center"/>
          </w:tcPr>
          <w:p w14:paraId="048CE70B" w14:textId="77777777" w:rsidR="00C3036D" w:rsidRPr="00FA3F9C" w:rsidRDefault="00C3036D" w:rsidP="004A0145">
            <w:pPr>
              <w:rPr>
                <w:rFonts w:ascii="Arial" w:hAnsi="Arial" w:cs="Arial"/>
                <w:b/>
                <w:sz w:val="24"/>
                <w:szCs w:val="24"/>
                <w:u w:val="single"/>
              </w:rPr>
            </w:pPr>
            <w:proofErr w:type="spellStart"/>
            <w:r w:rsidRPr="00FA3F9C">
              <w:rPr>
                <w:rFonts w:ascii="Arial" w:hAnsi="Arial" w:cs="Arial"/>
                <w:b/>
                <w:sz w:val="24"/>
                <w:szCs w:val="24"/>
                <w:u w:val="single"/>
              </w:rPr>
              <w:t>Ribociclib</w:t>
            </w:r>
            <w:proofErr w:type="spellEnd"/>
            <w:r w:rsidRPr="00FA3F9C">
              <w:rPr>
                <w:rFonts w:ascii="Arial" w:hAnsi="Arial" w:cs="Arial"/>
                <w:b/>
                <w:sz w:val="24"/>
                <w:szCs w:val="24"/>
                <w:u w:val="single"/>
              </w:rPr>
              <w:t xml:space="preserve"> + </w:t>
            </w:r>
            <w:proofErr w:type="spellStart"/>
            <w:r w:rsidRPr="00FA3F9C">
              <w:rPr>
                <w:rFonts w:ascii="Arial" w:hAnsi="Arial" w:cs="Arial"/>
                <w:b/>
                <w:sz w:val="24"/>
                <w:szCs w:val="24"/>
                <w:u w:val="single"/>
              </w:rPr>
              <w:t>fulvestrant</w:t>
            </w:r>
            <w:proofErr w:type="spellEnd"/>
            <w:r w:rsidRPr="00FA3F9C">
              <w:rPr>
                <w:rFonts w:ascii="Arial" w:hAnsi="Arial" w:cs="Arial"/>
                <w:b/>
                <w:sz w:val="24"/>
                <w:szCs w:val="24"/>
                <w:u w:val="single"/>
              </w:rPr>
              <w:t xml:space="preserve">: first line or subsequent therapy, postmenopausal only: </w:t>
            </w:r>
          </w:p>
        </w:tc>
      </w:tr>
      <w:tr w:rsidR="00C3036D" w:rsidRPr="00FA3F9C" w14:paraId="5C30319F" w14:textId="77777777" w:rsidTr="00F169DB">
        <w:tc>
          <w:tcPr>
            <w:tcW w:w="11016" w:type="dxa"/>
          </w:tcPr>
          <w:p w14:paraId="054FA9C2" w14:textId="77777777" w:rsidR="00C3036D" w:rsidRPr="00FA3F9C" w:rsidRDefault="00C3036D" w:rsidP="00C54BCA">
            <w:pPr>
              <w:rPr>
                <w:rFonts w:ascii="Arial" w:hAnsi="Arial" w:cs="Arial"/>
                <w:sz w:val="24"/>
                <w:szCs w:val="24"/>
              </w:rPr>
            </w:pPr>
            <w:r w:rsidRPr="00FA3F9C">
              <w:rPr>
                <w:rFonts w:ascii="Arial" w:hAnsi="Arial" w:cs="Arial"/>
                <w:sz w:val="24"/>
                <w:szCs w:val="24"/>
              </w:rPr>
              <w:t>1. The patient is female</w:t>
            </w:r>
          </w:p>
        </w:tc>
      </w:tr>
      <w:tr w:rsidR="00C3036D" w:rsidRPr="00FA3F9C" w14:paraId="6DE33AB8" w14:textId="77777777" w:rsidTr="00F169DB">
        <w:tc>
          <w:tcPr>
            <w:tcW w:w="11016" w:type="dxa"/>
          </w:tcPr>
          <w:p w14:paraId="3FEC78CE" w14:textId="77777777" w:rsidR="00C3036D" w:rsidRPr="00FA3F9C" w:rsidRDefault="00C3036D" w:rsidP="00C54BCA">
            <w:pPr>
              <w:rPr>
                <w:rFonts w:ascii="Arial" w:hAnsi="Arial" w:cs="Arial"/>
                <w:sz w:val="24"/>
                <w:szCs w:val="24"/>
              </w:rPr>
            </w:pPr>
            <w:r w:rsidRPr="00FA3F9C">
              <w:rPr>
                <w:rFonts w:ascii="Arial" w:hAnsi="Arial" w:cs="Arial"/>
                <w:sz w:val="24"/>
                <w:szCs w:val="24"/>
              </w:rPr>
              <w:t xml:space="preserve">2. No prior treatment with </w:t>
            </w:r>
            <w:proofErr w:type="spellStart"/>
            <w:r w:rsidRPr="00FA3F9C">
              <w:rPr>
                <w:rFonts w:ascii="Arial" w:hAnsi="Arial" w:cs="Arial"/>
                <w:sz w:val="24"/>
                <w:szCs w:val="24"/>
              </w:rPr>
              <w:t>fulvestrant</w:t>
            </w:r>
            <w:proofErr w:type="spellEnd"/>
            <w:r w:rsidRPr="00FA3F9C">
              <w:rPr>
                <w:rFonts w:ascii="Arial" w:hAnsi="Arial" w:cs="Arial"/>
                <w:sz w:val="24"/>
                <w:szCs w:val="24"/>
              </w:rPr>
              <w:t xml:space="preserve"> or a CDK 4/6 inhibitor (</w:t>
            </w:r>
            <w:proofErr w:type="spellStart"/>
            <w:r w:rsidRPr="00FA3F9C">
              <w:rPr>
                <w:rFonts w:ascii="Arial" w:hAnsi="Arial" w:cs="Arial"/>
                <w:sz w:val="24"/>
                <w:szCs w:val="24"/>
              </w:rPr>
              <w:t>abemaciclib</w:t>
            </w:r>
            <w:proofErr w:type="spellEnd"/>
            <w:r w:rsidRPr="00FA3F9C">
              <w:rPr>
                <w:rFonts w:ascii="Arial" w:hAnsi="Arial" w:cs="Arial"/>
                <w:sz w:val="24"/>
                <w:szCs w:val="24"/>
              </w:rPr>
              <w:t xml:space="preserve">, </w:t>
            </w:r>
            <w:proofErr w:type="spellStart"/>
            <w:r w:rsidRPr="00FA3F9C">
              <w:rPr>
                <w:rFonts w:ascii="Arial" w:hAnsi="Arial" w:cs="Arial"/>
                <w:sz w:val="24"/>
                <w:szCs w:val="24"/>
              </w:rPr>
              <w:t>ribociclib</w:t>
            </w:r>
            <w:proofErr w:type="spellEnd"/>
            <w:r w:rsidRPr="00FA3F9C">
              <w:rPr>
                <w:rFonts w:ascii="Arial" w:hAnsi="Arial" w:cs="Arial"/>
                <w:sz w:val="24"/>
                <w:szCs w:val="24"/>
              </w:rPr>
              <w:t xml:space="preserve">, </w:t>
            </w:r>
            <w:proofErr w:type="spellStart"/>
            <w:r w:rsidRPr="00FA3F9C">
              <w:rPr>
                <w:rFonts w:ascii="Arial" w:hAnsi="Arial" w:cs="Arial"/>
                <w:sz w:val="24"/>
                <w:szCs w:val="24"/>
              </w:rPr>
              <w:t>palbociclib</w:t>
            </w:r>
            <w:proofErr w:type="spellEnd"/>
            <w:r w:rsidRPr="00FA3F9C">
              <w:rPr>
                <w:rFonts w:ascii="Arial" w:hAnsi="Arial" w:cs="Arial"/>
                <w:sz w:val="24"/>
                <w:szCs w:val="24"/>
              </w:rPr>
              <w:t>)</w:t>
            </w:r>
          </w:p>
        </w:tc>
      </w:tr>
      <w:tr w:rsidR="00C3036D" w:rsidRPr="00FA3F9C" w14:paraId="4B5A6BD1" w14:textId="77777777" w:rsidTr="00F169DB">
        <w:tc>
          <w:tcPr>
            <w:tcW w:w="11016" w:type="dxa"/>
          </w:tcPr>
          <w:p w14:paraId="4150946A" w14:textId="77777777" w:rsidR="00C3036D" w:rsidRPr="00FA3F9C" w:rsidRDefault="00C3036D" w:rsidP="00F169DB">
            <w:pPr>
              <w:rPr>
                <w:rFonts w:ascii="Arial" w:hAnsi="Arial" w:cs="Arial"/>
                <w:sz w:val="24"/>
                <w:szCs w:val="24"/>
              </w:rPr>
            </w:pPr>
            <w:r w:rsidRPr="00FA3F9C">
              <w:rPr>
                <w:rFonts w:ascii="Arial" w:hAnsi="Arial" w:cs="Arial"/>
                <w:sz w:val="24"/>
                <w:szCs w:val="24"/>
              </w:rPr>
              <w:t>3. Diagnosis of advanced or metastatic breast cancer</w:t>
            </w:r>
          </w:p>
        </w:tc>
      </w:tr>
      <w:tr w:rsidR="00C3036D" w:rsidRPr="00FA3F9C" w14:paraId="48AEB1B6" w14:textId="77777777" w:rsidTr="00F169DB">
        <w:tc>
          <w:tcPr>
            <w:tcW w:w="11016" w:type="dxa"/>
          </w:tcPr>
          <w:p w14:paraId="66E70B70" w14:textId="77777777" w:rsidR="00C3036D" w:rsidRPr="00FA3F9C" w:rsidRDefault="00C3036D" w:rsidP="00F169DB">
            <w:pPr>
              <w:rPr>
                <w:rFonts w:ascii="Arial" w:hAnsi="Arial" w:cs="Arial"/>
                <w:sz w:val="24"/>
                <w:szCs w:val="24"/>
              </w:rPr>
            </w:pPr>
            <w:r w:rsidRPr="00FA3F9C">
              <w:rPr>
                <w:rFonts w:ascii="Arial" w:hAnsi="Arial" w:cs="Arial"/>
                <w:sz w:val="24"/>
                <w:szCs w:val="24"/>
              </w:rPr>
              <w:t>4. Tumor is hormone receptor positive (</w:t>
            </w:r>
            <w:proofErr w:type="gramStart"/>
            <w:r w:rsidRPr="00FA3F9C">
              <w:rPr>
                <w:rFonts w:ascii="Arial" w:hAnsi="Arial" w:cs="Arial"/>
                <w:sz w:val="24"/>
                <w:szCs w:val="24"/>
              </w:rPr>
              <w:t>e.g.</w:t>
            </w:r>
            <w:proofErr w:type="gramEnd"/>
            <w:r w:rsidRPr="00FA3F9C">
              <w:rPr>
                <w:rFonts w:ascii="Arial" w:hAnsi="Arial" w:cs="Arial"/>
                <w:sz w:val="24"/>
                <w:szCs w:val="24"/>
              </w:rPr>
              <w:t xml:space="preserve"> HR+, ER+ and/or PR+)</w:t>
            </w:r>
          </w:p>
        </w:tc>
      </w:tr>
      <w:tr w:rsidR="00C3036D" w:rsidRPr="00FA3F9C" w14:paraId="06546342" w14:textId="77777777" w:rsidTr="00F169DB">
        <w:tc>
          <w:tcPr>
            <w:tcW w:w="11016" w:type="dxa"/>
          </w:tcPr>
          <w:p w14:paraId="70E46DC7" w14:textId="77777777" w:rsidR="00C3036D" w:rsidRPr="00FA3F9C" w:rsidRDefault="00C3036D" w:rsidP="00F169DB">
            <w:pPr>
              <w:rPr>
                <w:rFonts w:ascii="Arial" w:hAnsi="Arial" w:cs="Arial"/>
                <w:sz w:val="24"/>
                <w:szCs w:val="24"/>
              </w:rPr>
            </w:pPr>
            <w:r w:rsidRPr="00FA3F9C">
              <w:rPr>
                <w:rFonts w:ascii="Arial" w:hAnsi="Arial" w:cs="Arial"/>
                <w:sz w:val="24"/>
                <w:szCs w:val="24"/>
              </w:rPr>
              <w:lastRenderedPageBreak/>
              <w:t>5. Tumor is HER2 negative</w:t>
            </w:r>
          </w:p>
        </w:tc>
      </w:tr>
      <w:tr w:rsidR="00C3036D" w:rsidRPr="00FA3F9C" w14:paraId="6DFC167C" w14:textId="77777777" w:rsidTr="00F169DB">
        <w:tc>
          <w:tcPr>
            <w:tcW w:w="11016" w:type="dxa"/>
          </w:tcPr>
          <w:p w14:paraId="6E70871B" w14:textId="77777777" w:rsidR="00C3036D" w:rsidRPr="00FA3F9C" w:rsidRDefault="00C3036D" w:rsidP="00C54BCA">
            <w:pPr>
              <w:rPr>
                <w:rFonts w:ascii="Arial" w:hAnsi="Arial" w:cs="Arial"/>
                <w:sz w:val="24"/>
                <w:szCs w:val="24"/>
              </w:rPr>
            </w:pPr>
            <w:r w:rsidRPr="00FA3F9C">
              <w:rPr>
                <w:rFonts w:ascii="Arial" w:hAnsi="Arial" w:cs="Arial"/>
                <w:sz w:val="24"/>
                <w:szCs w:val="24"/>
              </w:rPr>
              <w:t>6. Patient is postmenopausal</w:t>
            </w:r>
          </w:p>
        </w:tc>
      </w:tr>
      <w:tr w:rsidR="00C3036D" w:rsidRPr="00FA3F9C" w14:paraId="040FF013" w14:textId="77777777" w:rsidTr="00F169DB">
        <w:tc>
          <w:tcPr>
            <w:tcW w:w="11016" w:type="dxa"/>
          </w:tcPr>
          <w:p w14:paraId="7AF780AA" w14:textId="77777777" w:rsidR="00C3036D" w:rsidRPr="00FA3F9C" w:rsidRDefault="00C3036D" w:rsidP="00C54BCA">
            <w:pPr>
              <w:rPr>
                <w:rFonts w:ascii="Arial" w:hAnsi="Arial" w:cs="Arial"/>
                <w:sz w:val="24"/>
                <w:szCs w:val="24"/>
              </w:rPr>
            </w:pPr>
            <w:r w:rsidRPr="00FA3F9C">
              <w:rPr>
                <w:rFonts w:ascii="Arial" w:hAnsi="Arial" w:cs="Arial"/>
                <w:sz w:val="24"/>
                <w:szCs w:val="24"/>
              </w:rPr>
              <w:t xml:space="preserve">7. </w:t>
            </w:r>
            <w:proofErr w:type="spellStart"/>
            <w:r w:rsidRPr="00FA3F9C">
              <w:rPr>
                <w:rFonts w:ascii="Arial" w:hAnsi="Arial" w:cs="Arial"/>
                <w:sz w:val="24"/>
                <w:szCs w:val="24"/>
              </w:rPr>
              <w:t>Ribociclib</w:t>
            </w:r>
            <w:proofErr w:type="spellEnd"/>
            <w:r w:rsidRPr="00FA3F9C">
              <w:rPr>
                <w:rFonts w:ascii="Arial" w:hAnsi="Arial" w:cs="Arial"/>
                <w:sz w:val="24"/>
                <w:szCs w:val="24"/>
              </w:rPr>
              <w:t xml:space="preserve"> will be used in combination with </w:t>
            </w:r>
            <w:proofErr w:type="spellStart"/>
            <w:r w:rsidRPr="00FA3F9C">
              <w:rPr>
                <w:rFonts w:ascii="Arial" w:hAnsi="Arial" w:cs="Arial"/>
                <w:b/>
                <w:sz w:val="24"/>
                <w:szCs w:val="24"/>
              </w:rPr>
              <w:t>fulvestrant</w:t>
            </w:r>
            <w:proofErr w:type="spellEnd"/>
            <w:r w:rsidRPr="00FA3F9C">
              <w:rPr>
                <w:rFonts w:ascii="Arial" w:hAnsi="Arial" w:cs="Arial"/>
                <w:sz w:val="24"/>
                <w:szCs w:val="24"/>
              </w:rPr>
              <w:t xml:space="preserve"> </w:t>
            </w:r>
          </w:p>
        </w:tc>
      </w:tr>
      <w:tr w:rsidR="00C3036D" w:rsidRPr="00FA3F9C" w14:paraId="4228B353" w14:textId="77777777" w:rsidTr="00F169DB">
        <w:tc>
          <w:tcPr>
            <w:tcW w:w="11016" w:type="dxa"/>
            <w:shd w:val="clear" w:color="auto" w:fill="F2F2F2" w:themeFill="background1" w:themeFillShade="F2"/>
          </w:tcPr>
          <w:p w14:paraId="7279B52F" w14:textId="77777777" w:rsidR="00C3036D" w:rsidRPr="00FA3F9C" w:rsidRDefault="00C3036D" w:rsidP="00F169DB">
            <w:pPr>
              <w:rPr>
                <w:rFonts w:ascii="Arial" w:hAnsi="Arial" w:cs="Arial"/>
                <w:sz w:val="24"/>
                <w:szCs w:val="24"/>
              </w:rPr>
            </w:pPr>
            <w:r w:rsidRPr="00FA3F9C">
              <w:rPr>
                <w:rFonts w:ascii="Arial" w:hAnsi="Arial" w:cs="Arial"/>
                <w:sz w:val="24"/>
                <w:szCs w:val="24"/>
              </w:rPr>
              <w:t>If all criteria met, approve x 1 year</w:t>
            </w:r>
          </w:p>
        </w:tc>
      </w:tr>
    </w:tbl>
    <w:p w14:paraId="2E745CAE" w14:textId="77777777" w:rsidR="00C3036D" w:rsidRPr="00FA3F9C" w:rsidRDefault="00C3036D" w:rsidP="001B563B">
      <w:pPr>
        <w:spacing w:after="0"/>
        <w:rPr>
          <w:rFonts w:ascii="Arial" w:hAnsi="Arial" w:cs="Arial"/>
          <w:sz w:val="24"/>
          <w:szCs w:val="24"/>
        </w:rPr>
      </w:pPr>
    </w:p>
    <w:p w14:paraId="41145DC5" w14:textId="77777777" w:rsidR="00C3036D" w:rsidRPr="00FA3F9C" w:rsidRDefault="00C3036D" w:rsidP="001B563B">
      <w:pPr>
        <w:spacing w:after="0"/>
        <w:rPr>
          <w:rFonts w:ascii="Arial" w:hAnsi="Arial" w:cs="Arial"/>
          <w:sz w:val="24"/>
          <w:szCs w:val="24"/>
        </w:rPr>
      </w:pPr>
      <w:r w:rsidRPr="00FA3F9C">
        <w:rPr>
          <w:rFonts w:ascii="Arial" w:hAnsi="Arial" w:cs="Arial"/>
          <w:sz w:val="24"/>
          <w:szCs w:val="24"/>
        </w:rPr>
        <w:t>Quantity Limits:  #63 tablets/30 days</w:t>
      </w:r>
    </w:p>
    <w:p w14:paraId="455E313F" w14:textId="77777777" w:rsidR="00C3036D" w:rsidRPr="00FA3F9C" w:rsidRDefault="00C3036D" w:rsidP="006F623F">
      <w:pPr>
        <w:spacing w:after="0"/>
        <w:rPr>
          <w:rFonts w:ascii="Arial" w:hAnsi="Arial" w:cs="Arial"/>
          <w:sz w:val="24"/>
          <w:szCs w:val="24"/>
        </w:rPr>
      </w:pPr>
    </w:p>
    <w:tbl>
      <w:tblPr>
        <w:tblStyle w:val="TableGrid"/>
        <w:tblW w:w="0" w:type="auto"/>
        <w:shd w:val="clear" w:color="auto" w:fill="BFBFBF" w:themeFill="background1" w:themeFillShade="BF"/>
        <w:tblLook w:val="04A0" w:firstRow="1" w:lastRow="0" w:firstColumn="1" w:lastColumn="0" w:noHBand="0" w:noVBand="1"/>
      </w:tblPr>
      <w:tblGrid>
        <w:gridCol w:w="10998"/>
      </w:tblGrid>
      <w:tr w:rsidR="00C3036D" w:rsidRPr="00FA3F9C" w14:paraId="5B291175" w14:textId="77777777" w:rsidTr="005F79B5">
        <w:trPr>
          <w:trHeight w:val="170"/>
        </w:trPr>
        <w:tc>
          <w:tcPr>
            <w:tcW w:w="10998" w:type="dxa"/>
            <w:shd w:val="clear" w:color="auto" w:fill="BFBFBF" w:themeFill="background1" w:themeFillShade="BF"/>
          </w:tcPr>
          <w:p w14:paraId="49942031" w14:textId="77777777" w:rsidR="00C3036D" w:rsidRPr="00FA3F9C" w:rsidRDefault="00C3036D" w:rsidP="00D82B6E">
            <w:pPr>
              <w:rPr>
                <w:rFonts w:ascii="Arial" w:hAnsi="Arial" w:cs="Arial"/>
                <w:sz w:val="24"/>
                <w:szCs w:val="24"/>
              </w:rPr>
            </w:pPr>
            <w:r w:rsidRPr="00FA3F9C">
              <w:rPr>
                <w:rFonts w:ascii="Arial" w:hAnsi="Arial" w:cs="Arial"/>
                <w:sz w:val="24"/>
                <w:szCs w:val="24"/>
              </w:rPr>
              <w:t xml:space="preserve">Note: </w:t>
            </w:r>
          </w:p>
          <w:p w14:paraId="52A3DDA1" w14:textId="77777777" w:rsidR="00C3036D" w:rsidRPr="00FA3F9C" w:rsidRDefault="00C3036D" w:rsidP="00D82B6E">
            <w:pPr>
              <w:rPr>
                <w:rFonts w:ascii="Arial" w:hAnsi="Arial" w:cs="Arial"/>
                <w:sz w:val="24"/>
                <w:szCs w:val="24"/>
              </w:rPr>
            </w:pPr>
            <w:r w:rsidRPr="00FA3F9C">
              <w:rPr>
                <w:rFonts w:ascii="Arial" w:hAnsi="Arial" w:cs="Arial"/>
                <w:sz w:val="24"/>
                <w:szCs w:val="24"/>
              </w:rPr>
              <w:t>Dose is 600 mg daily x 21 days then take 7 days off.</w:t>
            </w:r>
          </w:p>
          <w:p w14:paraId="737A3D8E" w14:textId="77777777" w:rsidR="00C3036D" w:rsidRPr="00FA3F9C" w:rsidRDefault="00C3036D" w:rsidP="00D82B6E">
            <w:pPr>
              <w:rPr>
                <w:rFonts w:ascii="Arial" w:hAnsi="Arial" w:cs="Arial"/>
                <w:sz w:val="24"/>
                <w:szCs w:val="24"/>
              </w:rPr>
            </w:pPr>
          </w:p>
          <w:p w14:paraId="33986926" w14:textId="77777777" w:rsidR="00C3036D" w:rsidRPr="00FA3F9C" w:rsidRDefault="00C3036D" w:rsidP="00CF01A6">
            <w:pPr>
              <w:rPr>
                <w:rFonts w:ascii="Arial" w:hAnsi="Arial" w:cs="Arial"/>
                <w:b/>
                <w:sz w:val="24"/>
                <w:szCs w:val="24"/>
                <w:u w:val="single"/>
              </w:rPr>
            </w:pPr>
            <w:r w:rsidRPr="00FA3F9C">
              <w:rPr>
                <w:rFonts w:ascii="Arial" w:hAnsi="Arial" w:cs="Arial"/>
                <w:b/>
                <w:sz w:val="24"/>
                <w:szCs w:val="24"/>
                <w:u w:val="single"/>
              </w:rPr>
              <w:t>POSTMENOPAUSAL PATIENTS, FIRST LINE (</w:t>
            </w:r>
            <w:proofErr w:type="spellStart"/>
            <w:r w:rsidRPr="00FA3F9C">
              <w:rPr>
                <w:rFonts w:ascii="Arial" w:hAnsi="Arial" w:cs="Arial"/>
                <w:b/>
                <w:sz w:val="24"/>
                <w:szCs w:val="24"/>
                <w:u w:val="single"/>
              </w:rPr>
              <w:t>ribociclib</w:t>
            </w:r>
            <w:proofErr w:type="spellEnd"/>
            <w:r w:rsidRPr="00FA3F9C">
              <w:rPr>
                <w:rFonts w:ascii="Arial" w:hAnsi="Arial" w:cs="Arial"/>
                <w:b/>
                <w:sz w:val="24"/>
                <w:szCs w:val="24"/>
                <w:u w:val="single"/>
              </w:rPr>
              <w:t xml:space="preserve"> + aromatase inhibitor):</w:t>
            </w:r>
          </w:p>
          <w:p w14:paraId="79069451" w14:textId="77777777" w:rsidR="00C3036D" w:rsidRPr="00FA3F9C" w:rsidRDefault="00C3036D" w:rsidP="00D82B6E">
            <w:pPr>
              <w:rPr>
                <w:rFonts w:ascii="Arial" w:hAnsi="Arial" w:cs="Arial"/>
                <w:sz w:val="24"/>
                <w:szCs w:val="24"/>
              </w:rPr>
            </w:pPr>
            <w:r w:rsidRPr="00FA3F9C">
              <w:rPr>
                <w:rFonts w:ascii="Arial" w:hAnsi="Arial" w:cs="Arial"/>
                <w:sz w:val="24"/>
                <w:szCs w:val="24"/>
              </w:rPr>
              <w:t xml:space="preserve">An overall survival benefit was reported with </w:t>
            </w:r>
            <w:proofErr w:type="spellStart"/>
            <w:r w:rsidRPr="00FA3F9C">
              <w:rPr>
                <w:rFonts w:ascii="Arial" w:hAnsi="Arial" w:cs="Arial"/>
                <w:sz w:val="24"/>
                <w:szCs w:val="24"/>
              </w:rPr>
              <w:t>ribociclib+aromatase</w:t>
            </w:r>
            <w:proofErr w:type="spellEnd"/>
            <w:r w:rsidRPr="00FA3F9C">
              <w:rPr>
                <w:rFonts w:ascii="Arial" w:hAnsi="Arial" w:cs="Arial"/>
                <w:sz w:val="24"/>
                <w:szCs w:val="24"/>
              </w:rPr>
              <w:t xml:space="preserve"> inhibitor compared to an aromatase inhibitor alone in the MONALEESA-2 trial (NCT01958021) (median, 63.9 vs 51.4 </w:t>
            </w:r>
            <w:proofErr w:type="spellStart"/>
            <w:r w:rsidRPr="00FA3F9C">
              <w:rPr>
                <w:rFonts w:ascii="Arial" w:hAnsi="Arial" w:cs="Arial"/>
                <w:sz w:val="24"/>
                <w:szCs w:val="24"/>
              </w:rPr>
              <w:t>mo</w:t>
            </w:r>
            <w:proofErr w:type="spellEnd"/>
            <w:r w:rsidRPr="00FA3F9C">
              <w:rPr>
                <w:rFonts w:ascii="Arial" w:hAnsi="Arial" w:cs="Arial"/>
                <w:sz w:val="24"/>
                <w:szCs w:val="24"/>
              </w:rPr>
              <w:t xml:space="preserve">; HR, 0.76; 95% CI, 0.63-0.93; P=.004). </w:t>
            </w:r>
          </w:p>
          <w:p w14:paraId="0C74EC80" w14:textId="77777777" w:rsidR="00C3036D" w:rsidRPr="00FA3F9C" w:rsidRDefault="00C3036D" w:rsidP="00D82B6E">
            <w:pPr>
              <w:rPr>
                <w:rFonts w:ascii="Arial" w:hAnsi="Arial" w:cs="Arial"/>
                <w:sz w:val="24"/>
                <w:szCs w:val="24"/>
              </w:rPr>
            </w:pPr>
          </w:p>
          <w:p w14:paraId="7CA1B4C0" w14:textId="77777777" w:rsidR="00C3036D" w:rsidRPr="00FA3F9C" w:rsidRDefault="00C3036D" w:rsidP="00D82B6E">
            <w:pPr>
              <w:rPr>
                <w:rFonts w:ascii="Arial" w:hAnsi="Arial" w:cs="Arial"/>
                <w:sz w:val="24"/>
                <w:szCs w:val="24"/>
              </w:rPr>
            </w:pPr>
            <w:r w:rsidRPr="00FA3F9C">
              <w:rPr>
                <w:rFonts w:ascii="Arial" w:hAnsi="Arial" w:cs="Arial"/>
                <w:b/>
                <w:sz w:val="24"/>
                <w:szCs w:val="24"/>
              </w:rPr>
              <w:t>Reference</w:t>
            </w:r>
            <w:r w:rsidRPr="00FA3F9C">
              <w:rPr>
                <w:rFonts w:ascii="Arial" w:hAnsi="Arial" w:cs="Arial"/>
                <w:sz w:val="24"/>
                <w:szCs w:val="24"/>
              </w:rPr>
              <w:t xml:space="preserve">: </w:t>
            </w:r>
            <w:proofErr w:type="spellStart"/>
            <w:r w:rsidRPr="00FA3F9C">
              <w:rPr>
                <w:rFonts w:ascii="Arial" w:hAnsi="Arial" w:cs="Arial"/>
                <w:sz w:val="24"/>
                <w:szCs w:val="24"/>
              </w:rPr>
              <w:t>Hortobagyi</w:t>
            </w:r>
            <w:proofErr w:type="spellEnd"/>
            <w:r w:rsidRPr="00FA3F9C">
              <w:rPr>
                <w:rFonts w:ascii="Arial" w:hAnsi="Arial" w:cs="Arial"/>
                <w:sz w:val="24"/>
                <w:szCs w:val="24"/>
              </w:rPr>
              <w:t xml:space="preserve"> GN et al. Annals of Oncology (2021) 32 (suppl_5): S1283-S1346. </w:t>
            </w:r>
            <w:r w:rsidRPr="00FA3F9C">
              <w:rPr>
                <w:rFonts w:ascii="Arial" w:hAnsi="Arial" w:cs="Arial"/>
                <w:sz w:val="24"/>
                <w:szCs w:val="24"/>
                <w:lang w:val="fr-FR"/>
              </w:rPr>
              <w:t>10.1016/</w:t>
            </w:r>
            <w:proofErr w:type="spellStart"/>
            <w:r w:rsidRPr="00FA3F9C">
              <w:rPr>
                <w:rFonts w:ascii="Arial" w:hAnsi="Arial" w:cs="Arial"/>
                <w:sz w:val="24"/>
                <w:szCs w:val="24"/>
                <w:lang w:val="fr-FR"/>
              </w:rPr>
              <w:t>annonc</w:t>
            </w:r>
            <w:proofErr w:type="spellEnd"/>
            <w:r w:rsidRPr="00FA3F9C">
              <w:rPr>
                <w:rFonts w:ascii="Arial" w:hAnsi="Arial" w:cs="Arial"/>
                <w:sz w:val="24"/>
                <w:szCs w:val="24"/>
                <w:lang w:val="fr-FR"/>
              </w:rPr>
              <w:t xml:space="preserve">/annonc741.  </w:t>
            </w:r>
            <w:hyperlink r:id="rId357" w:history="1">
              <w:r w:rsidRPr="00FA3F9C">
                <w:rPr>
                  <w:rStyle w:val="Hyperlink"/>
                  <w:rFonts w:ascii="Arial" w:hAnsi="Arial" w:cs="Arial"/>
                  <w:sz w:val="24"/>
                  <w:szCs w:val="24"/>
                  <w:lang w:val="fr-FR"/>
                </w:rPr>
                <w:t>https://oncologypro.esmo.org/meeting-resources/esmo-congress-2021/overall-survival-os-results-from-the-phase-iii-monaleesa-2-ml-2-trial-of-postmenopausal-patients-pts-with-hormone-receptor-positive-human-epi</w:t>
              </w:r>
            </w:hyperlink>
            <w:r w:rsidRPr="00FA3F9C">
              <w:rPr>
                <w:rFonts w:ascii="Arial" w:hAnsi="Arial" w:cs="Arial"/>
                <w:sz w:val="24"/>
                <w:szCs w:val="24"/>
                <w:lang w:val="fr-FR"/>
              </w:rPr>
              <w:t xml:space="preserve"> . </w:t>
            </w:r>
            <w:r w:rsidRPr="00FA3F9C">
              <w:rPr>
                <w:rFonts w:ascii="Arial" w:hAnsi="Arial" w:cs="Arial"/>
                <w:sz w:val="24"/>
                <w:szCs w:val="24"/>
              </w:rPr>
              <w:t>Accessed 9/27/2021</w:t>
            </w:r>
          </w:p>
          <w:p w14:paraId="62A02A2D" w14:textId="77777777" w:rsidR="00C3036D" w:rsidRPr="00FA3F9C" w:rsidRDefault="00C3036D" w:rsidP="00D82B6E">
            <w:pPr>
              <w:rPr>
                <w:rFonts w:ascii="Arial" w:hAnsi="Arial" w:cs="Arial"/>
                <w:sz w:val="24"/>
                <w:szCs w:val="24"/>
              </w:rPr>
            </w:pPr>
          </w:p>
          <w:p w14:paraId="357EE713" w14:textId="77777777" w:rsidR="00C3036D" w:rsidRPr="00FA3F9C" w:rsidRDefault="00C3036D" w:rsidP="00D82B6E">
            <w:pPr>
              <w:rPr>
                <w:rFonts w:ascii="Arial" w:hAnsi="Arial" w:cs="Arial"/>
                <w:b/>
                <w:sz w:val="24"/>
                <w:szCs w:val="24"/>
                <w:u w:val="single"/>
              </w:rPr>
            </w:pPr>
            <w:r w:rsidRPr="00FA3F9C">
              <w:rPr>
                <w:rFonts w:ascii="Arial" w:hAnsi="Arial" w:cs="Arial"/>
                <w:b/>
                <w:sz w:val="24"/>
                <w:szCs w:val="24"/>
                <w:u w:val="single"/>
              </w:rPr>
              <w:t>PRE/PERIMENOPAUSAL PATIENTS, FIRST LINE (</w:t>
            </w:r>
            <w:proofErr w:type="spellStart"/>
            <w:r w:rsidRPr="00FA3F9C">
              <w:rPr>
                <w:rFonts w:ascii="Arial" w:hAnsi="Arial" w:cs="Arial"/>
                <w:b/>
                <w:sz w:val="24"/>
                <w:szCs w:val="24"/>
                <w:u w:val="single"/>
              </w:rPr>
              <w:t>ribociclib</w:t>
            </w:r>
            <w:proofErr w:type="spellEnd"/>
            <w:r w:rsidRPr="00FA3F9C">
              <w:rPr>
                <w:rFonts w:ascii="Arial" w:hAnsi="Arial" w:cs="Arial"/>
                <w:b/>
                <w:sz w:val="24"/>
                <w:szCs w:val="24"/>
                <w:u w:val="single"/>
              </w:rPr>
              <w:t xml:space="preserve"> + aromatase inhibitor):</w:t>
            </w:r>
          </w:p>
          <w:p w14:paraId="60739EDD" w14:textId="77777777" w:rsidR="00C3036D" w:rsidRPr="00FA3F9C" w:rsidRDefault="00C3036D" w:rsidP="008B6B58">
            <w:pPr>
              <w:rPr>
                <w:rFonts w:ascii="Arial" w:hAnsi="Arial" w:cs="Arial"/>
                <w:sz w:val="24"/>
                <w:szCs w:val="24"/>
              </w:rPr>
            </w:pPr>
            <w:r w:rsidRPr="00FA3F9C">
              <w:rPr>
                <w:rFonts w:ascii="Arial" w:hAnsi="Arial" w:cs="Arial"/>
                <w:sz w:val="24"/>
                <w:szCs w:val="24"/>
              </w:rPr>
              <w:t xml:space="preserve">EBRx covers for this patient population described in criteria due to overall survival benefit demonstrated in the MONALEESA-7 trial. This trial enrolled pre- and perimenopausal women with advanced/metastatic HR+ and HER2- breast cancer. Patient were given either </w:t>
            </w:r>
            <w:proofErr w:type="spellStart"/>
            <w:r w:rsidRPr="00FA3F9C">
              <w:rPr>
                <w:rFonts w:ascii="Arial" w:hAnsi="Arial" w:cs="Arial"/>
                <w:sz w:val="24"/>
                <w:szCs w:val="24"/>
              </w:rPr>
              <w:t>ribociclib+tamoxifen</w:t>
            </w:r>
            <w:proofErr w:type="spellEnd"/>
            <w:r w:rsidRPr="00FA3F9C">
              <w:rPr>
                <w:rFonts w:ascii="Arial" w:hAnsi="Arial" w:cs="Arial"/>
                <w:sz w:val="24"/>
                <w:szCs w:val="24"/>
              </w:rPr>
              <w:t xml:space="preserve">, </w:t>
            </w:r>
            <w:proofErr w:type="spellStart"/>
            <w:r w:rsidRPr="00FA3F9C">
              <w:rPr>
                <w:rFonts w:ascii="Arial" w:hAnsi="Arial" w:cs="Arial"/>
                <w:sz w:val="24"/>
                <w:szCs w:val="24"/>
              </w:rPr>
              <w:t>ribociclib+aromatase</w:t>
            </w:r>
            <w:proofErr w:type="spellEnd"/>
            <w:r w:rsidRPr="00FA3F9C">
              <w:rPr>
                <w:rFonts w:ascii="Arial" w:hAnsi="Arial" w:cs="Arial"/>
                <w:sz w:val="24"/>
                <w:szCs w:val="24"/>
              </w:rPr>
              <w:t xml:space="preserve"> inhibitor, </w:t>
            </w:r>
            <w:proofErr w:type="spellStart"/>
            <w:r w:rsidRPr="00FA3F9C">
              <w:rPr>
                <w:rFonts w:ascii="Arial" w:hAnsi="Arial" w:cs="Arial"/>
                <w:sz w:val="24"/>
                <w:szCs w:val="24"/>
              </w:rPr>
              <w:t>placebo+tamoxifen</w:t>
            </w:r>
            <w:proofErr w:type="spellEnd"/>
            <w:r w:rsidRPr="00FA3F9C">
              <w:rPr>
                <w:rFonts w:ascii="Arial" w:hAnsi="Arial" w:cs="Arial"/>
                <w:sz w:val="24"/>
                <w:szCs w:val="24"/>
              </w:rPr>
              <w:t xml:space="preserve">, or </w:t>
            </w:r>
            <w:proofErr w:type="spellStart"/>
            <w:r w:rsidRPr="00FA3F9C">
              <w:rPr>
                <w:rFonts w:ascii="Arial" w:hAnsi="Arial" w:cs="Arial"/>
                <w:sz w:val="24"/>
                <w:szCs w:val="24"/>
              </w:rPr>
              <w:t>placebo+aromatase</w:t>
            </w:r>
            <w:proofErr w:type="spellEnd"/>
            <w:r w:rsidRPr="00FA3F9C">
              <w:rPr>
                <w:rFonts w:ascii="Arial" w:hAnsi="Arial" w:cs="Arial"/>
                <w:sz w:val="24"/>
                <w:szCs w:val="24"/>
              </w:rPr>
              <w:t xml:space="preserve"> inhibitor. The overall survival benefit of </w:t>
            </w:r>
            <w:proofErr w:type="spellStart"/>
            <w:r w:rsidRPr="00FA3F9C">
              <w:rPr>
                <w:rFonts w:ascii="Arial" w:hAnsi="Arial" w:cs="Arial"/>
                <w:sz w:val="24"/>
                <w:szCs w:val="24"/>
              </w:rPr>
              <w:t>ribociclib</w:t>
            </w:r>
            <w:proofErr w:type="spellEnd"/>
            <w:r w:rsidRPr="00FA3F9C">
              <w:rPr>
                <w:rFonts w:ascii="Arial" w:hAnsi="Arial" w:cs="Arial"/>
                <w:sz w:val="24"/>
                <w:szCs w:val="24"/>
              </w:rPr>
              <w:t xml:space="preserve"> was demonstrated in the overall population (median OS not reached in </w:t>
            </w:r>
            <w:proofErr w:type="spellStart"/>
            <w:r w:rsidRPr="00FA3F9C">
              <w:rPr>
                <w:rFonts w:ascii="Arial" w:hAnsi="Arial" w:cs="Arial"/>
                <w:sz w:val="24"/>
                <w:szCs w:val="24"/>
              </w:rPr>
              <w:t>ribociclib</w:t>
            </w:r>
            <w:proofErr w:type="spellEnd"/>
            <w:r w:rsidRPr="00FA3F9C">
              <w:rPr>
                <w:rFonts w:ascii="Arial" w:hAnsi="Arial" w:cs="Arial"/>
                <w:sz w:val="24"/>
                <w:szCs w:val="24"/>
              </w:rPr>
              <w:t xml:space="preserve"> group; 42-month rate of OS: 70% vs 46%). However, the benefit was driven by the aromatase inhibitor subgroup.</w:t>
            </w:r>
          </w:p>
          <w:p w14:paraId="4EA271C1" w14:textId="77777777" w:rsidR="00C3036D" w:rsidRPr="00FA3F9C" w:rsidRDefault="00C3036D" w:rsidP="008B6B58">
            <w:pPr>
              <w:rPr>
                <w:rFonts w:ascii="Arial" w:hAnsi="Arial" w:cs="Arial"/>
                <w:sz w:val="24"/>
                <w:szCs w:val="24"/>
              </w:rPr>
            </w:pPr>
          </w:p>
          <w:p w14:paraId="48F2E16A" w14:textId="77777777" w:rsidR="00C3036D" w:rsidRPr="00FA3F9C" w:rsidRDefault="00C3036D" w:rsidP="008B6B58">
            <w:pPr>
              <w:rPr>
                <w:rFonts w:ascii="Arial" w:hAnsi="Arial" w:cs="Arial"/>
                <w:sz w:val="24"/>
                <w:szCs w:val="24"/>
              </w:rPr>
            </w:pPr>
            <w:r w:rsidRPr="00FA3F9C">
              <w:rPr>
                <w:rFonts w:ascii="Arial" w:hAnsi="Arial" w:cs="Arial"/>
                <w:noProof/>
                <w:sz w:val="24"/>
                <w:szCs w:val="24"/>
              </w:rPr>
              <w:lastRenderedPageBreak/>
              <w:drawing>
                <wp:inline distT="0" distB="0" distL="0" distR="0" wp14:anchorId="5D265009" wp14:editId="21D94BBA">
                  <wp:extent cx="4738773" cy="6056415"/>
                  <wp:effectExtent l="0" t="0" r="5080" b="1905"/>
                  <wp:docPr id="24" name="Picture 24" descr="https://www.nejm.org/na101/home/literatum/publisher/mms/journals/content/nejm/0/nejm.ahead-of-print/nejmoa1903765/20190531/images/img_xlarge/nejmoa1903765_f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ejm.org/na101/home/literatum/publisher/mms/journals/content/nejm/0/nejm.ahead-of-print/nejmoa1903765/20190531/images/img_xlarge/nejmoa1903765_f1.jpeg"/>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4738773" cy="6056415"/>
                          </a:xfrm>
                          <a:prstGeom prst="rect">
                            <a:avLst/>
                          </a:prstGeom>
                          <a:noFill/>
                          <a:ln>
                            <a:noFill/>
                          </a:ln>
                        </pic:spPr>
                      </pic:pic>
                    </a:graphicData>
                  </a:graphic>
                </wp:inline>
              </w:drawing>
            </w:r>
          </w:p>
          <w:p w14:paraId="28BE735B" w14:textId="77777777" w:rsidR="00C3036D" w:rsidRPr="00FA3F9C" w:rsidRDefault="00C3036D" w:rsidP="00C33029">
            <w:pPr>
              <w:ind w:left="270"/>
              <w:rPr>
                <w:rFonts w:ascii="Arial" w:hAnsi="Arial" w:cs="Arial"/>
                <w:sz w:val="24"/>
                <w:szCs w:val="24"/>
                <w:lang w:val="es-ES"/>
              </w:rPr>
            </w:pPr>
            <w:r w:rsidRPr="00FA3F9C">
              <w:rPr>
                <w:rFonts w:ascii="Arial" w:hAnsi="Arial" w:cs="Arial"/>
                <w:sz w:val="24"/>
                <w:szCs w:val="24"/>
                <w:lang w:val="es-ES"/>
              </w:rPr>
              <w:lastRenderedPageBreak/>
              <w:t xml:space="preserve">NSAI: </w:t>
            </w:r>
            <w:proofErr w:type="spellStart"/>
            <w:r w:rsidRPr="00FA3F9C">
              <w:rPr>
                <w:rFonts w:ascii="Arial" w:hAnsi="Arial" w:cs="Arial"/>
                <w:sz w:val="24"/>
                <w:szCs w:val="24"/>
                <w:lang w:val="es-ES"/>
              </w:rPr>
              <w:t>nonsteroidal</w:t>
            </w:r>
            <w:proofErr w:type="spellEnd"/>
            <w:r w:rsidRPr="00FA3F9C">
              <w:rPr>
                <w:rFonts w:ascii="Arial" w:hAnsi="Arial" w:cs="Arial"/>
                <w:sz w:val="24"/>
                <w:szCs w:val="24"/>
                <w:lang w:val="es-ES"/>
              </w:rPr>
              <w:t xml:space="preserve"> </w:t>
            </w:r>
            <w:proofErr w:type="spellStart"/>
            <w:r w:rsidRPr="00FA3F9C">
              <w:rPr>
                <w:rFonts w:ascii="Arial" w:hAnsi="Arial" w:cs="Arial"/>
                <w:sz w:val="24"/>
                <w:szCs w:val="24"/>
                <w:lang w:val="es-ES"/>
              </w:rPr>
              <w:t>aromatase</w:t>
            </w:r>
            <w:proofErr w:type="spellEnd"/>
            <w:r w:rsidRPr="00FA3F9C">
              <w:rPr>
                <w:rFonts w:ascii="Arial" w:hAnsi="Arial" w:cs="Arial"/>
                <w:sz w:val="24"/>
                <w:szCs w:val="24"/>
                <w:lang w:val="es-ES"/>
              </w:rPr>
              <w:t xml:space="preserve"> </w:t>
            </w:r>
            <w:proofErr w:type="spellStart"/>
            <w:r w:rsidRPr="00FA3F9C">
              <w:rPr>
                <w:rFonts w:ascii="Arial" w:hAnsi="Arial" w:cs="Arial"/>
                <w:sz w:val="24"/>
                <w:szCs w:val="24"/>
                <w:lang w:val="es-ES"/>
              </w:rPr>
              <w:t>inhibitor</w:t>
            </w:r>
            <w:proofErr w:type="spellEnd"/>
            <w:r w:rsidRPr="00FA3F9C">
              <w:rPr>
                <w:rFonts w:ascii="Arial" w:hAnsi="Arial" w:cs="Arial"/>
                <w:sz w:val="24"/>
                <w:szCs w:val="24"/>
                <w:lang w:val="es-ES"/>
              </w:rPr>
              <w:t xml:space="preserve"> (</w:t>
            </w:r>
            <w:proofErr w:type="spellStart"/>
            <w:r w:rsidRPr="00FA3F9C">
              <w:rPr>
                <w:rFonts w:ascii="Arial" w:hAnsi="Arial" w:cs="Arial"/>
                <w:sz w:val="24"/>
                <w:szCs w:val="24"/>
                <w:lang w:val="es-ES"/>
              </w:rPr>
              <w:t>e.g</w:t>
            </w:r>
            <w:proofErr w:type="spellEnd"/>
            <w:r w:rsidRPr="00FA3F9C">
              <w:rPr>
                <w:rFonts w:ascii="Arial" w:hAnsi="Arial" w:cs="Arial"/>
                <w:sz w:val="24"/>
                <w:szCs w:val="24"/>
                <w:lang w:val="es-ES"/>
              </w:rPr>
              <w:t xml:space="preserve">. </w:t>
            </w:r>
            <w:proofErr w:type="spellStart"/>
            <w:r w:rsidRPr="00FA3F9C">
              <w:rPr>
                <w:rFonts w:ascii="Arial" w:hAnsi="Arial" w:cs="Arial"/>
                <w:sz w:val="24"/>
                <w:szCs w:val="24"/>
                <w:lang w:val="es-ES"/>
              </w:rPr>
              <w:t>anastrozole</w:t>
            </w:r>
            <w:proofErr w:type="spellEnd"/>
            <w:r w:rsidRPr="00FA3F9C">
              <w:rPr>
                <w:rFonts w:ascii="Arial" w:hAnsi="Arial" w:cs="Arial"/>
                <w:sz w:val="24"/>
                <w:szCs w:val="24"/>
                <w:lang w:val="es-ES"/>
              </w:rPr>
              <w:t xml:space="preserve">, </w:t>
            </w:r>
            <w:proofErr w:type="spellStart"/>
            <w:r w:rsidRPr="00FA3F9C">
              <w:rPr>
                <w:rFonts w:ascii="Arial" w:hAnsi="Arial" w:cs="Arial"/>
                <w:sz w:val="24"/>
                <w:szCs w:val="24"/>
                <w:lang w:val="es-ES"/>
              </w:rPr>
              <w:t>letrozole</w:t>
            </w:r>
            <w:proofErr w:type="spellEnd"/>
            <w:r w:rsidRPr="00FA3F9C">
              <w:rPr>
                <w:rFonts w:ascii="Arial" w:hAnsi="Arial" w:cs="Arial"/>
                <w:sz w:val="24"/>
                <w:szCs w:val="24"/>
                <w:lang w:val="es-ES"/>
              </w:rPr>
              <w:t>)</w:t>
            </w:r>
          </w:p>
          <w:p w14:paraId="2D5C275A" w14:textId="77777777" w:rsidR="00C3036D" w:rsidRPr="00FA3F9C" w:rsidRDefault="00C3036D" w:rsidP="00C33029">
            <w:pPr>
              <w:ind w:left="180" w:hanging="180"/>
              <w:rPr>
                <w:rFonts w:ascii="Arial" w:hAnsi="Arial" w:cs="Arial"/>
                <w:sz w:val="24"/>
                <w:szCs w:val="24"/>
                <w:lang w:val="es-ES"/>
              </w:rPr>
            </w:pPr>
          </w:p>
          <w:p w14:paraId="435E7180" w14:textId="77777777" w:rsidR="00C3036D" w:rsidRPr="00FA3F9C" w:rsidRDefault="00C3036D" w:rsidP="00C33029">
            <w:pPr>
              <w:ind w:left="180" w:hanging="180"/>
              <w:rPr>
                <w:rFonts w:ascii="Arial" w:hAnsi="Arial" w:cs="Arial"/>
                <w:sz w:val="24"/>
                <w:szCs w:val="24"/>
              </w:rPr>
            </w:pPr>
            <w:r w:rsidRPr="00FA3F9C">
              <w:rPr>
                <w:rFonts w:ascii="Arial" w:hAnsi="Arial" w:cs="Arial"/>
                <w:sz w:val="24"/>
                <w:szCs w:val="24"/>
              </w:rPr>
              <w:t>References:</w:t>
            </w:r>
          </w:p>
          <w:p w14:paraId="1935121F" w14:textId="77777777" w:rsidR="00C3036D" w:rsidRPr="00FA3F9C" w:rsidRDefault="00C3036D" w:rsidP="00C33029">
            <w:pPr>
              <w:ind w:left="180" w:hanging="180"/>
              <w:rPr>
                <w:rFonts w:ascii="Arial" w:hAnsi="Arial" w:cs="Arial"/>
                <w:sz w:val="24"/>
                <w:szCs w:val="24"/>
              </w:rPr>
            </w:pPr>
            <w:r w:rsidRPr="00FA3F9C">
              <w:rPr>
                <w:rFonts w:ascii="Arial" w:hAnsi="Arial" w:cs="Arial"/>
                <w:sz w:val="24"/>
                <w:szCs w:val="24"/>
              </w:rPr>
              <w:t>1.</w:t>
            </w:r>
            <w:r w:rsidRPr="00FA3F9C">
              <w:rPr>
                <w:rFonts w:ascii="Arial" w:hAnsi="Arial" w:cs="Arial"/>
                <w:sz w:val="24"/>
                <w:szCs w:val="24"/>
              </w:rPr>
              <w:tab/>
              <w:t xml:space="preserve">Tripathy D et al. </w:t>
            </w:r>
            <w:proofErr w:type="spellStart"/>
            <w:r w:rsidRPr="00FA3F9C">
              <w:rPr>
                <w:rFonts w:ascii="Arial" w:hAnsi="Arial" w:cs="Arial"/>
                <w:sz w:val="24"/>
                <w:szCs w:val="24"/>
              </w:rPr>
              <w:t>Ribociclib</w:t>
            </w:r>
            <w:proofErr w:type="spellEnd"/>
            <w:r w:rsidRPr="00FA3F9C">
              <w:rPr>
                <w:rFonts w:ascii="Arial" w:hAnsi="Arial" w:cs="Arial"/>
                <w:sz w:val="24"/>
                <w:szCs w:val="24"/>
              </w:rPr>
              <w:t xml:space="preserve"> plus endocrine therapy for premenopausal women with hormone-receptor-positive, advanced breast cancer (MONALEESA-7): a </w:t>
            </w:r>
            <w:proofErr w:type="spellStart"/>
            <w:r w:rsidRPr="00FA3F9C">
              <w:rPr>
                <w:rFonts w:ascii="Arial" w:hAnsi="Arial" w:cs="Arial"/>
                <w:sz w:val="24"/>
                <w:szCs w:val="24"/>
              </w:rPr>
              <w:t>randomised</w:t>
            </w:r>
            <w:proofErr w:type="spellEnd"/>
            <w:r w:rsidRPr="00FA3F9C">
              <w:rPr>
                <w:rFonts w:ascii="Arial" w:hAnsi="Arial" w:cs="Arial"/>
                <w:sz w:val="24"/>
                <w:szCs w:val="24"/>
              </w:rPr>
              <w:t xml:space="preserve"> phase 3 trial. Lancet Oncol. 2018 Jul;19(7):904-915. PMID 29804902 NCT02278120</w:t>
            </w:r>
          </w:p>
          <w:p w14:paraId="2404E1D7" w14:textId="77777777" w:rsidR="00C3036D" w:rsidRPr="00FA3F9C" w:rsidRDefault="00C3036D" w:rsidP="00C33029">
            <w:pPr>
              <w:ind w:left="180" w:hanging="180"/>
              <w:rPr>
                <w:rFonts w:ascii="Arial" w:hAnsi="Arial" w:cs="Arial"/>
                <w:sz w:val="24"/>
                <w:szCs w:val="24"/>
              </w:rPr>
            </w:pPr>
            <w:r w:rsidRPr="00FA3F9C">
              <w:rPr>
                <w:rFonts w:ascii="Arial" w:hAnsi="Arial" w:cs="Arial"/>
                <w:sz w:val="24"/>
                <w:szCs w:val="24"/>
              </w:rPr>
              <w:t>2.</w:t>
            </w:r>
            <w:r w:rsidRPr="00FA3F9C">
              <w:rPr>
                <w:rFonts w:ascii="Arial" w:hAnsi="Arial" w:cs="Arial"/>
                <w:sz w:val="24"/>
                <w:szCs w:val="24"/>
              </w:rPr>
              <w:tab/>
            </w:r>
            <w:proofErr w:type="spellStart"/>
            <w:r w:rsidRPr="00FA3F9C">
              <w:rPr>
                <w:rFonts w:ascii="Arial" w:hAnsi="Arial" w:cs="Arial"/>
                <w:sz w:val="24"/>
                <w:szCs w:val="24"/>
              </w:rPr>
              <w:t>Seock</w:t>
            </w:r>
            <w:proofErr w:type="spellEnd"/>
            <w:r w:rsidRPr="00FA3F9C">
              <w:rPr>
                <w:rFonts w:ascii="Arial" w:hAnsi="Arial" w:cs="Arial"/>
                <w:sz w:val="24"/>
                <w:szCs w:val="24"/>
              </w:rPr>
              <w:t xml:space="preserve">-Ah I et al. Overall survival with </w:t>
            </w:r>
            <w:proofErr w:type="spellStart"/>
            <w:r w:rsidRPr="00FA3F9C">
              <w:rPr>
                <w:rFonts w:ascii="Arial" w:hAnsi="Arial" w:cs="Arial"/>
                <w:sz w:val="24"/>
                <w:szCs w:val="24"/>
              </w:rPr>
              <w:t>ribociclib</w:t>
            </w:r>
            <w:proofErr w:type="spellEnd"/>
            <w:r w:rsidRPr="00FA3F9C">
              <w:rPr>
                <w:rFonts w:ascii="Arial" w:hAnsi="Arial" w:cs="Arial"/>
                <w:sz w:val="24"/>
                <w:szCs w:val="24"/>
              </w:rPr>
              <w:t xml:space="preserve"> plus endocrine therapy in breast cancer. NEJM 2019; published online June 4 DOI: 10.1056/NEJMoa1903765. 31166679 NCT02278120</w:t>
            </w:r>
          </w:p>
          <w:p w14:paraId="6A58BFE2" w14:textId="77777777" w:rsidR="00C3036D" w:rsidRPr="00FA3F9C" w:rsidRDefault="00C3036D" w:rsidP="00C33029">
            <w:pPr>
              <w:ind w:left="180" w:hanging="180"/>
              <w:rPr>
                <w:rFonts w:ascii="Arial" w:hAnsi="Arial" w:cs="Arial"/>
                <w:sz w:val="24"/>
                <w:szCs w:val="24"/>
              </w:rPr>
            </w:pPr>
          </w:p>
          <w:p w14:paraId="69C62594" w14:textId="77777777" w:rsidR="00C3036D" w:rsidRPr="00FA3F9C" w:rsidRDefault="00C3036D" w:rsidP="001B563B">
            <w:pPr>
              <w:rPr>
                <w:rFonts w:ascii="Arial" w:hAnsi="Arial" w:cs="Arial"/>
                <w:sz w:val="24"/>
                <w:szCs w:val="24"/>
              </w:rPr>
            </w:pPr>
          </w:p>
          <w:p w14:paraId="719C8EDB" w14:textId="77777777" w:rsidR="00C3036D" w:rsidRPr="00FA3F9C" w:rsidRDefault="00C3036D" w:rsidP="001B563B">
            <w:pPr>
              <w:rPr>
                <w:rFonts w:ascii="Arial" w:hAnsi="Arial" w:cs="Arial"/>
                <w:b/>
                <w:sz w:val="24"/>
                <w:szCs w:val="24"/>
                <w:u w:val="single"/>
              </w:rPr>
            </w:pPr>
            <w:r w:rsidRPr="00FA3F9C">
              <w:rPr>
                <w:rFonts w:ascii="Arial" w:hAnsi="Arial" w:cs="Arial"/>
                <w:b/>
                <w:sz w:val="24"/>
                <w:szCs w:val="24"/>
                <w:u w:val="single"/>
              </w:rPr>
              <w:t>POSTMENOPAUSAL PATIENTS, FIRST OR SECOND LINE (</w:t>
            </w:r>
            <w:proofErr w:type="spellStart"/>
            <w:r w:rsidRPr="00FA3F9C">
              <w:rPr>
                <w:rFonts w:ascii="Arial" w:hAnsi="Arial" w:cs="Arial"/>
                <w:b/>
                <w:sz w:val="24"/>
                <w:szCs w:val="24"/>
                <w:u w:val="single"/>
              </w:rPr>
              <w:t>ribociclib+fulvestrant</w:t>
            </w:r>
            <w:proofErr w:type="spellEnd"/>
            <w:r w:rsidRPr="00FA3F9C">
              <w:rPr>
                <w:rFonts w:ascii="Arial" w:hAnsi="Arial" w:cs="Arial"/>
                <w:b/>
                <w:sz w:val="24"/>
                <w:szCs w:val="24"/>
                <w:u w:val="single"/>
              </w:rPr>
              <w:t>):</w:t>
            </w:r>
          </w:p>
          <w:p w14:paraId="1E215D93" w14:textId="77777777" w:rsidR="00C3036D" w:rsidRPr="00FA3F9C" w:rsidRDefault="00C3036D" w:rsidP="001B563B">
            <w:pPr>
              <w:rPr>
                <w:rFonts w:ascii="Arial" w:hAnsi="Arial" w:cs="Arial"/>
                <w:sz w:val="24"/>
                <w:szCs w:val="24"/>
              </w:rPr>
            </w:pPr>
            <w:r w:rsidRPr="00FA3F9C">
              <w:rPr>
                <w:rFonts w:ascii="Arial" w:hAnsi="Arial" w:cs="Arial"/>
                <w:sz w:val="24"/>
                <w:szCs w:val="24"/>
              </w:rPr>
              <w:t xml:space="preserve">EBRx covers for this patient population described in criteria due to overall survival benefit demonstrated in the MONALEESA-3 trial. This trial enrolled postmenopausal women with advanced/metastatic HR+ and HER2- breast cancer. Patient were given either </w:t>
            </w:r>
            <w:proofErr w:type="spellStart"/>
            <w:r w:rsidRPr="00FA3F9C">
              <w:rPr>
                <w:rFonts w:ascii="Arial" w:hAnsi="Arial" w:cs="Arial"/>
                <w:sz w:val="24"/>
                <w:szCs w:val="24"/>
              </w:rPr>
              <w:t>ribociclib+fulvestrant</w:t>
            </w:r>
            <w:proofErr w:type="spellEnd"/>
            <w:r w:rsidRPr="00FA3F9C">
              <w:rPr>
                <w:rFonts w:ascii="Arial" w:hAnsi="Arial" w:cs="Arial"/>
                <w:sz w:val="24"/>
                <w:szCs w:val="24"/>
              </w:rPr>
              <w:t xml:space="preserve"> or </w:t>
            </w:r>
            <w:proofErr w:type="spellStart"/>
            <w:r w:rsidRPr="00FA3F9C">
              <w:rPr>
                <w:rFonts w:ascii="Arial" w:hAnsi="Arial" w:cs="Arial"/>
                <w:sz w:val="24"/>
                <w:szCs w:val="24"/>
              </w:rPr>
              <w:t>placebo+fulvestrant</w:t>
            </w:r>
            <w:proofErr w:type="spellEnd"/>
            <w:r w:rsidRPr="00FA3F9C">
              <w:rPr>
                <w:rFonts w:ascii="Arial" w:hAnsi="Arial" w:cs="Arial"/>
                <w:sz w:val="24"/>
                <w:szCs w:val="24"/>
              </w:rPr>
              <w:t xml:space="preserve">. The overall survival benefit of </w:t>
            </w:r>
            <w:proofErr w:type="spellStart"/>
            <w:r w:rsidRPr="00FA3F9C">
              <w:rPr>
                <w:rFonts w:ascii="Arial" w:hAnsi="Arial" w:cs="Arial"/>
                <w:sz w:val="24"/>
                <w:szCs w:val="24"/>
              </w:rPr>
              <w:t>ribociclib</w:t>
            </w:r>
            <w:proofErr w:type="spellEnd"/>
            <w:r w:rsidRPr="00FA3F9C">
              <w:rPr>
                <w:rFonts w:ascii="Arial" w:hAnsi="Arial" w:cs="Arial"/>
                <w:sz w:val="24"/>
                <w:szCs w:val="24"/>
              </w:rPr>
              <w:t xml:space="preserve"> was demonstrated in the overall population (median OS not reached in </w:t>
            </w:r>
            <w:proofErr w:type="spellStart"/>
            <w:r w:rsidRPr="00FA3F9C">
              <w:rPr>
                <w:rFonts w:ascii="Arial" w:hAnsi="Arial" w:cs="Arial"/>
                <w:sz w:val="24"/>
                <w:szCs w:val="24"/>
              </w:rPr>
              <w:t>ribociclib</w:t>
            </w:r>
            <w:proofErr w:type="spellEnd"/>
            <w:r w:rsidRPr="00FA3F9C">
              <w:rPr>
                <w:rFonts w:ascii="Arial" w:hAnsi="Arial" w:cs="Arial"/>
                <w:sz w:val="24"/>
                <w:szCs w:val="24"/>
              </w:rPr>
              <w:t xml:space="preserve"> group vs 40 </w:t>
            </w:r>
            <w:proofErr w:type="spellStart"/>
            <w:r w:rsidRPr="00FA3F9C">
              <w:rPr>
                <w:rFonts w:ascii="Arial" w:hAnsi="Arial" w:cs="Arial"/>
                <w:sz w:val="24"/>
                <w:szCs w:val="24"/>
              </w:rPr>
              <w:t>mo</w:t>
            </w:r>
            <w:proofErr w:type="spellEnd"/>
            <w:r w:rsidRPr="00FA3F9C">
              <w:rPr>
                <w:rFonts w:ascii="Arial" w:hAnsi="Arial" w:cs="Arial"/>
                <w:sz w:val="24"/>
                <w:szCs w:val="24"/>
              </w:rPr>
              <w:t xml:space="preserve"> in placebo group.</w:t>
            </w:r>
          </w:p>
          <w:p w14:paraId="010F872E" w14:textId="77777777" w:rsidR="00C3036D" w:rsidRPr="00FA3F9C" w:rsidRDefault="00C3036D" w:rsidP="001B563B">
            <w:pPr>
              <w:rPr>
                <w:rFonts w:ascii="Arial" w:hAnsi="Arial" w:cs="Arial"/>
                <w:sz w:val="24"/>
                <w:szCs w:val="24"/>
              </w:rPr>
            </w:pPr>
          </w:p>
          <w:p w14:paraId="4BC19AB8" w14:textId="77777777" w:rsidR="00C3036D" w:rsidRPr="00FA3F9C" w:rsidRDefault="00C3036D" w:rsidP="001B563B">
            <w:pPr>
              <w:rPr>
                <w:rFonts w:ascii="Arial" w:hAnsi="Arial" w:cs="Arial"/>
                <w:sz w:val="24"/>
                <w:szCs w:val="24"/>
              </w:rPr>
            </w:pPr>
            <w:r w:rsidRPr="00FA3F9C">
              <w:rPr>
                <w:rFonts w:ascii="Arial" w:hAnsi="Arial" w:cs="Arial"/>
                <w:sz w:val="24"/>
                <w:szCs w:val="24"/>
              </w:rPr>
              <w:t>References:</w:t>
            </w:r>
          </w:p>
          <w:p w14:paraId="5D5968B9" w14:textId="77777777" w:rsidR="00C3036D" w:rsidRPr="00FA3F9C" w:rsidRDefault="00C3036D" w:rsidP="001E26AE">
            <w:pPr>
              <w:ind w:left="180" w:hanging="180"/>
              <w:rPr>
                <w:rFonts w:ascii="Arial" w:hAnsi="Arial" w:cs="Arial"/>
                <w:sz w:val="24"/>
                <w:szCs w:val="24"/>
              </w:rPr>
            </w:pPr>
            <w:r w:rsidRPr="00FA3F9C">
              <w:rPr>
                <w:rFonts w:ascii="Arial" w:hAnsi="Arial" w:cs="Arial"/>
                <w:sz w:val="24"/>
                <w:szCs w:val="24"/>
              </w:rPr>
              <w:t xml:space="preserve">1. </w:t>
            </w:r>
            <w:proofErr w:type="spellStart"/>
            <w:r w:rsidRPr="00FA3F9C">
              <w:rPr>
                <w:rFonts w:ascii="Arial" w:hAnsi="Arial" w:cs="Arial"/>
                <w:sz w:val="24"/>
                <w:szCs w:val="24"/>
              </w:rPr>
              <w:t>Slamon</w:t>
            </w:r>
            <w:proofErr w:type="spellEnd"/>
            <w:r w:rsidRPr="00FA3F9C">
              <w:rPr>
                <w:rFonts w:ascii="Arial" w:hAnsi="Arial" w:cs="Arial"/>
                <w:sz w:val="24"/>
                <w:szCs w:val="24"/>
              </w:rPr>
              <w:t xml:space="preserve"> DJ et al. Phase III Randomized Study of </w:t>
            </w:r>
            <w:proofErr w:type="spellStart"/>
            <w:r w:rsidRPr="00FA3F9C">
              <w:rPr>
                <w:rFonts w:ascii="Arial" w:hAnsi="Arial" w:cs="Arial"/>
                <w:sz w:val="24"/>
                <w:szCs w:val="24"/>
              </w:rPr>
              <w:t>Ribociclib</w:t>
            </w:r>
            <w:proofErr w:type="spellEnd"/>
            <w:r w:rsidRPr="00FA3F9C">
              <w:rPr>
                <w:rFonts w:ascii="Arial" w:hAnsi="Arial" w:cs="Arial"/>
                <w:sz w:val="24"/>
                <w:szCs w:val="24"/>
              </w:rPr>
              <w:t xml:space="preserve"> and </w:t>
            </w:r>
            <w:proofErr w:type="spellStart"/>
            <w:r w:rsidRPr="00FA3F9C">
              <w:rPr>
                <w:rFonts w:ascii="Arial" w:hAnsi="Arial" w:cs="Arial"/>
                <w:sz w:val="24"/>
                <w:szCs w:val="24"/>
              </w:rPr>
              <w:t>Fulvestrant</w:t>
            </w:r>
            <w:proofErr w:type="spellEnd"/>
            <w:r w:rsidRPr="00FA3F9C">
              <w:rPr>
                <w:rFonts w:ascii="Arial" w:hAnsi="Arial" w:cs="Arial"/>
                <w:sz w:val="24"/>
                <w:szCs w:val="24"/>
              </w:rPr>
              <w:t xml:space="preserve"> in Hormone Receptor-Positive, Human Epidermal Growth Factor Receptor 2-Negative Advanced Breast Cancer: MONALEESA-3. J Clin Oncol. 2018 Aug 20;36(24):2465-2472. PMID 29860922 NCT02422615</w:t>
            </w:r>
          </w:p>
          <w:p w14:paraId="4A136B61" w14:textId="77777777" w:rsidR="00C3036D" w:rsidRPr="00FA3F9C" w:rsidRDefault="00C3036D" w:rsidP="00FB091D">
            <w:pPr>
              <w:ind w:left="180" w:hanging="180"/>
              <w:rPr>
                <w:rFonts w:ascii="Arial" w:hAnsi="Arial" w:cs="Arial"/>
                <w:sz w:val="24"/>
                <w:szCs w:val="24"/>
              </w:rPr>
            </w:pPr>
            <w:r w:rsidRPr="00FA3F9C">
              <w:rPr>
                <w:rFonts w:ascii="Arial" w:hAnsi="Arial" w:cs="Arial"/>
                <w:sz w:val="24"/>
                <w:szCs w:val="24"/>
              </w:rPr>
              <w:t xml:space="preserve">2. </w:t>
            </w:r>
            <w:proofErr w:type="spellStart"/>
            <w:r w:rsidRPr="00FA3F9C">
              <w:rPr>
                <w:rFonts w:ascii="Arial" w:hAnsi="Arial" w:cs="Arial"/>
                <w:sz w:val="24"/>
                <w:szCs w:val="24"/>
              </w:rPr>
              <w:t>Slamon</w:t>
            </w:r>
            <w:proofErr w:type="spellEnd"/>
            <w:r w:rsidRPr="00FA3F9C">
              <w:rPr>
                <w:rFonts w:ascii="Arial" w:hAnsi="Arial" w:cs="Arial"/>
                <w:sz w:val="24"/>
                <w:szCs w:val="24"/>
              </w:rPr>
              <w:t xml:space="preserve"> DJ et al. Overall survival (OS) results of the Phase III MONALEESA-3 trial of postmenopausal patients (pts) with hormone receptor-positive (HR+), human epidermal growth factor 2-negative (HER2−) advanced breast cancer (ABC) treated with </w:t>
            </w:r>
            <w:proofErr w:type="spellStart"/>
            <w:r w:rsidRPr="00FA3F9C">
              <w:rPr>
                <w:rFonts w:ascii="Arial" w:hAnsi="Arial" w:cs="Arial"/>
                <w:sz w:val="24"/>
                <w:szCs w:val="24"/>
              </w:rPr>
              <w:t>fulvestrant</w:t>
            </w:r>
            <w:proofErr w:type="spellEnd"/>
            <w:r w:rsidRPr="00FA3F9C">
              <w:rPr>
                <w:rFonts w:ascii="Arial" w:hAnsi="Arial" w:cs="Arial"/>
                <w:sz w:val="24"/>
                <w:szCs w:val="24"/>
              </w:rPr>
              <w:t xml:space="preserve"> (FUL) ± </w:t>
            </w:r>
            <w:proofErr w:type="spellStart"/>
            <w:r w:rsidRPr="00FA3F9C">
              <w:rPr>
                <w:rFonts w:ascii="Arial" w:hAnsi="Arial" w:cs="Arial"/>
                <w:sz w:val="24"/>
                <w:szCs w:val="24"/>
              </w:rPr>
              <w:t>ribociclib</w:t>
            </w:r>
            <w:proofErr w:type="spellEnd"/>
            <w:r w:rsidRPr="00FA3F9C">
              <w:rPr>
                <w:rFonts w:ascii="Arial" w:hAnsi="Arial" w:cs="Arial"/>
                <w:sz w:val="24"/>
                <w:szCs w:val="24"/>
              </w:rPr>
              <w:t xml:space="preserve"> (RIB). </w:t>
            </w:r>
            <w:hyperlink r:id="rId359" w:history="1">
              <w:r w:rsidRPr="00FA3F9C">
                <w:rPr>
                  <w:rStyle w:val="Hyperlink"/>
                  <w:rFonts w:ascii="Arial" w:hAnsi="Arial" w:cs="Arial"/>
                  <w:sz w:val="24"/>
                  <w:szCs w:val="24"/>
                </w:rPr>
                <w:t>https://oncologypro.esmo.org/Meeting-Resources/ESMO-2019-Congress/Overall-survival-OS-results-of-the-Phase-III-MONALEESA-3-trial-of-postmenopausal-patients-pts-with-hormone-receptor-positive-HR-human-epidermal-growth-factor-2-negative-HER2-advanced-breast-cancer-ABC-treated-with-fulvestrant-FUL-ribocicl. Accessed 11/12/19</w:t>
              </w:r>
            </w:hyperlink>
            <w:r w:rsidRPr="00FA3F9C">
              <w:rPr>
                <w:rFonts w:ascii="Arial" w:hAnsi="Arial" w:cs="Arial"/>
                <w:sz w:val="24"/>
                <w:szCs w:val="24"/>
              </w:rPr>
              <w:t>.</w:t>
            </w:r>
          </w:p>
          <w:p w14:paraId="660B50D6" w14:textId="77777777" w:rsidR="00C3036D" w:rsidRPr="00FA3F9C" w:rsidRDefault="00C3036D" w:rsidP="00FB091D">
            <w:pPr>
              <w:ind w:left="180" w:hanging="180"/>
              <w:rPr>
                <w:rFonts w:ascii="Arial" w:hAnsi="Arial" w:cs="Arial"/>
                <w:sz w:val="24"/>
                <w:szCs w:val="24"/>
              </w:rPr>
            </w:pPr>
            <w:r w:rsidRPr="00FA3F9C">
              <w:rPr>
                <w:rFonts w:ascii="Arial" w:hAnsi="Arial" w:cs="Arial"/>
                <w:sz w:val="24"/>
                <w:szCs w:val="24"/>
              </w:rPr>
              <w:t xml:space="preserve">3. </w:t>
            </w:r>
            <w:proofErr w:type="spellStart"/>
            <w:r w:rsidRPr="00FA3F9C">
              <w:rPr>
                <w:rFonts w:ascii="Arial" w:hAnsi="Arial" w:cs="Arial"/>
                <w:sz w:val="24"/>
                <w:szCs w:val="24"/>
              </w:rPr>
              <w:t>Slamon</w:t>
            </w:r>
            <w:proofErr w:type="spellEnd"/>
            <w:r w:rsidRPr="00FA3F9C">
              <w:rPr>
                <w:rFonts w:ascii="Arial" w:hAnsi="Arial" w:cs="Arial"/>
                <w:sz w:val="24"/>
                <w:szCs w:val="24"/>
              </w:rPr>
              <w:t xml:space="preserve"> DJ, Neven P, Chia S, et al. Overall Survival with </w:t>
            </w:r>
            <w:proofErr w:type="spellStart"/>
            <w:r w:rsidRPr="00FA3F9C">
              <w:rPr>
                <w:rFonts w:ascii="Arial" w:hAnsi="Arial" w:cs="Arial"/>
                <w:sz w:val="24"/>
                <w:szCs w:val="24"/>
              </w:rPr>
              <w:t>Ribociclib</w:t>
            </w:r>
            <w:proofErr w:type="spellEnd"/>
            <w:r w:rsidRPr="00FA3F9C">
              <w:rPr>
                <w:rFonts w:ascii="Arial" w:hAnsi="Arial" w:cs="Arial"/>
                <w:sz w:val="24"/>
                <w:szCs w:val="24"/>
              </w:rPr>
              <w:t xml:space="preserve"> plus </w:t>
            </w:r>
            <w:proofErr w:type="spellStart"/>
            <w:r w:rsidRPr="00FA3F9C">
              <w:rPr>
                <w:rFonts w:ascii="Arial" w:hAnsi="Arial" w:cs="Arial"/>
                <w:sz w:val="24"/>
                <w:szCs w:val="24"/>
              </w:rPr>
              <w:t>Fulvestrant</w:t>
            </w:r>
            <w:proofErr w:type="spellEnd"/>
            <w:r w:rsidRPr="00FA3F9C">
              <w:rPr>
                <w:rFonts w:ascii="Arial" w:hAnsi="Arial" w:cs="Arial"/>
                <w:sz w:val="24"/>
                <w:szCs w:val="24"/>
              </w:rPr>
              <w:t xml:space="preserve"> in Advanced Breast Cancer. N </w:t>
            </w:r>
            <w:proofErr w:type="spellStart"/>
            <w:r w:rsidRPr="00FA3F9C">
              <w:rPr>
                <w:rFonts w:ascii="Arial" w:hAnsi="Arial" w:cs="Arial"/>
                <w:sz w:val="24"/>
                <w:szCs w:val="24"/>
              </w:rPr>
              <w:t>Engl</w:t>
            </w:r>
            <w:proofErr w:type="spellEnd"/>
            <w:r w:rsidRPr="00FA3F9C">
              <w:rPr>
                <w:rFonts w:ascii="Arial" w:hAnsi="Arial" w:cs="Arial"/>
                <w:sz w:val="24"/>
                <w:szCs w:val="24"/>
              </w:rPr>
              <w:t xml:space="preserve"> J Med. 2020;382(6):514</w:t>
            </w:r>
            <w:r w:rsidRPr="00FA3F9C">
              <w:rPr>
                <w:rFonts w:ascii="Cambria Math" w:hAnsi="Cambria Math" w:cs="Cambria Math"/>
                <w:sz w:val="24"/>
                <w:szCs w:val="24"/>
              </w:rPr>
              <w:t>‐</w:t>
            </w:r>
            <w:r w:rsidRPr="00FA3F9C">
              <w:rPr>
                <w:rFonts w:ascii="Arial" w:hAnsi="Arial" w:cs="Arial"/>
                <w:sz w:val="24"/>
                <w:szCs w:val="24"/>
              </w:rPr>
              <w:t>524. doi:10.1056/NEJMoa1911149 [PMID 31826360, NCT02422615]</w:t>
            </w:r>
          </w:p>
        </w:tc>
      </w:tr>
    </w:tbl>
    <w:p w14:paraId="518FAF09" w14:textId="77777777" w:rsidR="00C3036D" w:rsidRPr="00FA3F9C" w:rsidRDefault="00C3036D" w:rsidP="006F623F">
      <w:pPr>
        <w:spacing w:after="0"/>
        <w:rPr>
          <w:rFonts w:ascii="Arial" w:hAnsi="Arial" w:cs="Arial"/>
          <w:sz w:val="24"/>
          <w:szCs w:val="24"/>
        </w:rPr>
      </w:pPr>
    </w:p>
    <w:p w14:paraId="103ADDF0" w14:textId="77777777" w:rsidR="00C3036D" w:rsidRPr="00FA3F9C" w:rsidRDefault="00C3036D" w:rsidP="006F623F">
      <w:pPr>
        <w:spacing w:after="0"/>
        <w:rPr>
          <w:rFonts w:ascii="Arial" w:hAnsi="Arial" w:cs="Arial"/>
          <w:sz w:val="24"/>
          <w:szCs w:val="24"/>
        </w:rPr>
      </w:pPr>
    </w:p>
    <w:p w14:paraId="3D6108B8" w14:textId="77777777" w:rsidR="00C3036D" w:rsidRPr="00FA3F9C" w:rsidRDefault="00C3036D" w:rsidP="006F623F">
      <w:pPr>
        <w:spacing w:after="0"/>
        <w:rPr>
          <w:rFonts w:ascii="Arial" w:hAnsi="Arial" w:cs="Arial"/>
          <w:sz w:val="24"/>
          <w:szCs w:val="24"/>
        </w:rPr>
      </w:pPr>
      <w:r w:rsidRPr="00FA3F9C">
        <w:rPr>
          <w:rFonts w:ascii="Arial" w:hAnsi="Arial" w:cs="Arial"/>
          <w:sz w:val="24"/>
          <w:szCs w:val="24"/>
        </w:rPr>
        <w:lastRenderedPageBreak/>
        <w:t>Revision History:</w:t>
      </w:r>
    </w:p>
    <w:tbl>
      <w:tblPr>
        <w:tblStyle w:val="TableGrid"/>
        <w:tblW w:w="0" w:type="auto"/>
        <w:tblLook w:val="04A0" w:firstRow="1" w:lastRow="0" w:firstColumn="1" w:lastColumn="0" w:noHBand="0" w:noVBand="1"/>
      </w:tblPr>
      <w:tblGrid>
        <w:gridCol w:w="1284"/>
        <w:gridCol w:w="7338"/>
        <w:gridCol w:w="2511"/>
      </w:tblGrid>
      <w:tr w:rsidR="00C3036D" w:rsidRPr="00FA3F9C" w14:paraId="3F51092D" w14:textId="77777777" w:rsidTr="008F1CD7">
        <w:tc>
          <w:tcPr>
            <w:tcW w:w="1167" w:type="dxa"/>
          </w:tcPr>
          <w:p w14:paraId="4E984E17" w14:textId="77777777" w:rsidR="00C3036D" w:rsidRPr="00FA3F9C" w:rsidRDefault="00C3036D" w:rsidP="006F623F">
            <w:pPr>
              <w:rPr>
                <w:rFonts w:ascii="Arial" w:hAnsi="Arial" w:cs="Arial"/>
                <w:sz w:val="24"/>
                <w:szCs w:val="24"/>
              </w:rPr>
            </w:pPr>
            <w:r w:rsidRPr="00FA3F9C">
              <w:rPr>
                <w:rFonts w:ascii="Arial" w:hAnsi="Arial" w:cs="Arial"/>
                <w:sz w:val="24"/>
                <w:szCs w:val="24"/>
              </w:rPr>
              <w:t>Date</w:t>
            </w:r>
          </w:p>
        </w:tc>
        <w:tc>
          <w:tcPr>
            <w:tcW w:w="7338" w:type="dxa"/>
          </w:tcPr>
          <w:p w14:paraId="43F89AA0" w14:textId="77777777" w:rsidR="00C3036D" w:rsidRPr="00FA3F9C" w:rsidRDefault="00C3036D" w:rsidP="006F623F">
            <w:pPr>
              <w:rPr>
                <w:rFonts w:ascii="Arial" w:hAnsi="Arial" w:cs="Arial"/>
                <w:sz w:val="24"/>
                <w:szCs w:val="24"/>
              </w:rPr>
            </w:pPr>
            <w:r w:rsidRPr="00FA3F9C">
              <w:rPr>
                <w:rFonts w:ascii="Arial" w:hAnsi="Arial" w:cs="Arial"/>
                <w:sz w:val="24"/>
                <w:szCs w:val="24"/>
              </w:rPr>
              <w:t>What changed</w:t>
            </w:r>
          </w:p>
        </w:tc>
        <w:tc>
          <w:tcPr>
            <w:tcW w:w="2511" w:type="dxa"/>
          </w:tcPr>
          <w:p w14:paraId="3350D6E6" w14:textId="77777777" w:rsidR="00C3036D" w:rsidRPr="00FA3F9C" w:rsidRDefault="00C3036D" w:rsidP="006F623F">
            <w:pPr>
              <w:rPr>
                <w:rFonts w:ascii="Arial" w:hAnsi="Arial" w:cs="Arial"/>
                <w:sz w:val="24"/>
                <w:szCs w:val="24"/>
              </w:rPr>
            </w:pPr>
            <w:r w:rsidRPr="00FA3F9C">
              <w:rPr>
                <w:rFonts w:ascii="Arial" w:hAnsi="Arial" w:cs="Arial"/>
                <w:sz w:val="24"/>
                <w:szCs w:val="24"/>
              </w:rPr>
              <w:t>Pharmacist’s initials</w:t>
            </w:r>
          </w:p>
        </w:tc>
      </w:tr>
      <w:tr w:rsidR="00C3036D" w:rsidRPr="00FA3F9C" w14:paraId="5FADAF87" w14:textId="77777777" w:rsidTr="008F1CD7">
        <w:tc>
          <w:tcPr>
            <w:tcW w:w="1167" w:type="dxa"/>
          </w:tcPr>
          <w:p w14:paraId="22D9D219" w14:textId="77777777" w:rsidR="00C3036D" w:rsidRPr="00FA3F9C" w:rsidRDefault="00C3036D" w:rsidP="006F623F">
            <w:pPr>
              <w:rPr>
                <w:rFonts w:ascii="Arial" w:hAnsi="Arial" w:cs="Arial"/>
                <w:sz w:val="24"/>
                <w:szCs w:val="24"/>
              </w:rPr>
            </w:pPr>
            <w:r w:rsidRPr="00FA3F9C">
              <w:rPr>
                <w:rFonts w:ascii="Arial" w:hAnsi="Arial" w:cs="Arial"/>
                <w:sz w:val="24"/>
                <w:szCs w:val="24"/>
              </w:rPr>
              <w:t>6/17/19</w:t>
            </w:r>
          </w:p>
        </w:tc>
        <w:tc>
          <w:tcPr>
            <w:tcW w:w="7338" w:type="dxa"/>
          </w:tcPr>
          <w:p w14:paraId="195DDF41" w14:textId="77777777" w:rsidR="00C3036D" w:rsidRPr="00FA3F9C" w:rsidRDefault="00C3036D" w:rsidP="006F623F">
            <w:pPr>
              <w:rPr>
                <w:rFonts w:ascii="Arial" w:hAnsi="Arial" w:cs="Arial"/>
                <w:sz w:val="24"/>
                <w:szCs w:val="24"/>
              </w:rPr>
            </w:pPr>
            <w:r w:rsidRPr="00FA3F9C">
              <w:rPr>
                <w:rFonts w:ascii="Arial" w:hAnsi="Arial" w:cs="Arial"/>
                <w:sz w:val="24"/>
                <w:szCs w:val="24"/>
              </w:rPr>
              <w:t>Criteria written</w:t>
            </w:r>
          </w:p>
        </w:tc>
        <w:tc>
          <w:tcPr>
            <w:tcW w:w="2511" w:type="dxa"/>
          </w:tcPr>
          <w:p w14:paraId="414A6FBE" w14:textId="77777777" w:rsidR="00C3036D" w:rsidRPr="00FA3F9C" w:rsidRDefault="00C3036D" w:rsidP="006F623F">
            <w:pPr>
              <w:rPr>
                <w:rFonts w:ascii="Arial" w:hAnsi="Arial" w:cs="Arial"/>
                <w:sz w:val="24"/>
                <w:szCs w:val="24"/>
              </w:rPr>
            </w:pPr>
            <w:r w:rsidRPr="00FA3F9C">
              <w:rPr>
                <w:rFonts w:ascii="Arial" w:hAnsi="Arial" w:cs="Arial"/>
                <w:sz w:val="24"/>
                <w:szCs w:val="24"/>
              </w:rPr>
              <w:t>SK</w:t>
            </w:r>
          </w:p>
        </w:tc>
      </w:tr>
      <w:tr w:rsidR="00C3036D" w:rsidRPr="00FA3F9C" w14:paraId="540129B9" w14:textId="77777777" w:rsidTr="008F1CD7">
        <w:tc>
          <w:tcPr>
            <w:tcW w:w="1167" w:type="dxa"/>
          </w:tcPr>
          <w:p w14:paraId="2533B047" w14:textId="77777777" w:rsidR="00C3036D" w:rsidRPr="00FA3F9C" w:rsidRDefault="00C3036D" w:rsidP="001B563B">
            <w:pPr>
              <w:tabs>
                <w:tab w:val="left" w:pos="639"/>
              </w:tabs>
              <w:rPr>
                <w:rFonts w:ascii="Arial" w:hAnsi="Arial" w:cs="Arial"/>
                <w:sz w:val="24"/>
                <w:szCs w:val="24"/>
              </w:rPr>
            </w:pPr>
            <w:r w:rsidRPr="00FA3F9C">
              <w:rPr>
                <w:rFonts w:ascii="Arial" w:hAnsi="Arial" w:cs="Arial"/>
                <w:sz w:val="24"/>
                <w:szCs w:val="24"/>
              </w:rPr>
              <w:t>11/25/19</w:t>
            </w:r>
          </w:p>
        </w:tc>
        <w:tc>
          <w:tcPr>
            <w:tcW w:w="7338" w:type="dxa"/>
          </w:tcPr>
          <w:p w14:paraId="4AFE4C4A" w14:textId="77777777" w:rsidR="00C3036D" w:rsidRPr="00FA3F9C" w:rsidRDefault="00C3036D" w:rsidP="006F623F">
            <w:pPr>
              <w:rPr>
                <w:rFonts w:ascii="Arial" w:hAnsi="Arial" w:cs="Arial"/>
                <w:sz w:val="24"/>
                <w:szCs w:val="24"/>
              </w:rPr>
            </w:pPr>
            <w:r w:rsidRPr="00FA3F9C">
              <w:rPr>
                <w:rFonts w:ascii="Arial" w:hAnsi="Arial" w:cs="Arial"/>
                <w:sz w:val="24"/>
                <w:szCs w:val="24"/>
              </w:rPr>
              <w:t xml:space="preserve">Added criteria for </w:t>
            </w:r>
            <w:proofErr w:type="gramStart"/>
            <w:r w:rsidRPr="00FA3F9C">
              <w:rPr>
                <w:rFonts w:ascii="Arial" w:hAnsi="Arial" w:cs="Arial"/>
                <w:sz w:val="24"/>
                <w:szCs w:val="24"/>
              </w:rPr>
              <w:t>first or second line</w:t>
            </w:r>
            <w:proofErr w:type="gramEnd"/>
            <w:r w:rsidRPr="00FA3F9C">
              <w:rPr>
                <w:rFonts w:ascii="Arial" w:hAnsi="Arial" w:cs="Arial"/>
                <w:sz w:val="24"/>
                <w:szCs w:val="24"/>
              </w:rPr>
              <w:t xml:space="preserve"> use with </w:t>
            </w:r>
            <w:proofErr w:type="spellStart"/>
            <w:r w:rsidRPr="00FA3F9C">
              <w:rPr>
                <w:rFonts w:ascii="Arial" w:hAnsi="Arial" w:cs="Arial"/>
                <w:sz w:val="24"/>
                <w:szCs w:val="24"/>
              </w:rPr>
              <w:t>fulvestrant</w:t>
            </w:r>
            <w:proofErr w:type="spellEnd"/>
            <w:r w:rsidRPr="00FA3F9C">
              <w:rPr>
                <w:rFonts w:ascii="Arial" w:hAnsi="Arial" w:cs="Arial"/>
                <w:sz w:val="24"/>
                <w:szCs w:val="24"/>
              </w:rPr>
              <w:t xml:space="preserve"> in postmenopausal, HER2 neg, HR pos patients.</w:t>
            </w:r>
          </w:p>
        </w:tc>
        <w:tc>
          <w:tcPr>
            <w:tcW w:w="2511" w:type="dxa"/>
          </w:tcPr>
          <w:p w14:paraId="18C18B13" w14:textId="77777777" w:rsidR="00C3036D" w:rsidRPr="00FA3F9C" w:rsidRDefault="00C3036D" w:rsidP="006F623F">
            <w:pPr>
              <w:rPr>
                <w:rFonts w:ascii="Arial" w:hAnsi="Arial" w:cs="Arial"/>
                <w:sz w:val="24"/>
                <w:szCs w:val="24"/>
              </w:rPr>
            </w:pPr>
            <w:r w:rsidRPr="00FA3F9C">
              <w:rPr>
                <w:rFonts w:ascii="Arial" w:hAnsi="Arial" w:cs="Arial"/>
                <w:sz w:val="24"/>
                <w:szCs w:val="24"/>
              </w:rPr>
              <w:t>SK</w:t>
            </w:r>
          </w:p>
        </w:tc>
      </w:tr>
      <w:tr w:rsidR="00C3036D" w:rsidRPr="00FA3F9C" w14:paraId="51D75855" w14:textId="77777777" w:rsidTr="008F1CD7">
        <w:tc>
          <w:tcPr>
            <w:tcW w:w="1167" w:type="dxa"/>
          </w:tcPr>
          <w:p w14:paraId="4BAA8588" w14:textId="77777777" w:rsidR="00C3036D" w:rsidRPr="00FA3F9C" w:rsidRDefault="00C3036D" w:rsidP="001B563B">
            <w:pPr>
              <w:tabs>
                <w:tab w:val="left" w:pos="639"/>
              </w:tabs>
              <w:rPr>
                <w:rFonts w:ascii="Arial" w:hAnsi="Arial" w:cs="Arial"/>
                <w:sz w:val="24"/>
                <w:szCs w:val="24"/>
              </w:rPr>
            </w:pPr>
            <w:r w:rsidRPr="00FA3F9C">
              <w:rPr>
                <w:rFonts w:ascii="Arial" w:hAnsi="Arial" w:cs="Arial"/>
                <w:sz w:val="24"/>
                <w:szCs w:val="24"/>
              </w:rPr>
              <w:t>6/12/2020</w:t>
            </w:r>
          </w:p>
        </w:tc>
        <w:tc>
          <w:tcPr>
            <w:tcW w:w="7338" w:type="dxa"/>
          </w:tcPr>
          <w:p w14:paraId="67D19EC0" w14:textId="77777777" w:rsidR="00C3036D" w:rsidRPr="00FA3F9C" w:rsidRDefault="00C3036D" w:rsidP="00FB091D">
            <w:pPr>
              <w:rPr>
                <w:rFonts w:ascii="Arial" w:hAnsi="Arial" w:cs="Arial"/>
                <w:sz w:val="24"/>
                <w:szCs w:val="24"/>
              </w:rPr>
            </w:pPr>
            <w:r w:rsidRPr="00FA3F9C">
              <w:rPr>
                <w:rFonts w:ascii="Arial" w:hAnsi="Arial" w:cs="Arial"/>
                <w:sz w:val="24"/>
                <w:szCs w:val="24"/>
              </w:rPr>
              <w:t>Added reference for postmenopausal indication</w:t>
            </w:r>
          </w:p>
        </w:tc>
        <w:tc>
          <w:tcPr>
            <w:tcW w:w="2511" w:type="dxa"/>
          </w:tcPr>
          <w:p w14:paraId="6FC41E9D" w14:textId="77777777" w:rsidR="00C3036D" w:rsidRPr="00FA3F9C" w:rsidRDefault="00C3036D" w:rsidP="006F623F">
            <w:pPr>
              <w:rPr>
                <w:rFonts w:ascii="Arial" w:hAnsi="Arial" w:cs="Arial"/>
                <w:sz w:val="24"/>
                <w:szCs w:val="24"/>
              </w:rPr>
            </w:pPr>
            <w:r w:rsidRPr="00FA3F9C">
              <w:rPr>
                <w:rFonts w:ascii="Arial" w:hAnsi="Arial" w:cs="Arial"/>
                <w:sz w:val="24"/>
                <w:szCs w:val="24"/>
              </w:rPr>
              <w:t>SK</w:t>
            </w:r>
          </w:p>
        </w:tc>
      </w:tr>
      <w:tr w:rsidR="00C3036D" w:rsidRPr="00FA3F9C" w14:paraId="62FD508C" w14:textId="77777777" w:rsidTr="008F1CD7">
        <w:tc>
          <w:tcPr>
            <w:tcW w:w="1167" w:type="dxa"/>
          </w:tcPr>
          <w:p w14:paraId="4D6492EA" w14:textId="77777777" w:rsidR="00C3036D" w:rsidRPr="00FA3F9C" w:rsidRDefault="00C3036D" w:rsidP="001B563B">
            <w:pPr>
              <w:tabs>
                <w:tab w:val="left" w:pos="639"/>
              </w:tabs>
              <w:rPr>
                <w:rFonts w:ascii="Arial" w:hAnsi="Arial" w:cs="Arial"/>
                <w:sz w:val="24"/>
                <w:szCs w:val="24"/>
              </w:rPr>
            </w:pPr>
            <w:r w:rsidRPr="00FA3F9C">
              <w:rPr>
                <w:rFonts w:ascii="Arial" w:hAnsi="Arial" w:cs="Arial"/>
                <w:sz w:val="24"/>
                <w:szCs w:val="24"/>
              </w:rPr>
              <w:t>8/21/2020</w:t>
            </w:r>
          </w:p>
        </w:tc>
        <w:tc>
          <w:tcPr>
            <w:tcW w:w="7338" w:type="dxa"/>
          </w:tcPr>
          <w:p w14:paraId="2664F346" w14:textId="77777777" w:rsidR="00C3036D" w:rsidRPr="00FA3F9C" w:rsidRDefault="00C3036D" w:rsidP="00FB091D">
            <w:pPr>
              <w:rPr>
                <w:rFonts w:ascii="Arial" w:hAnsi="Arial" w:cs="Arial"/>
                <w:sz w:val="24"/>
                <w:szCs w:val="24"/>
              </w:rPr>
            </w:pPr>
            <w:r w:rsidRPr="00FA3F9C">
              <w:rPr>
                <w:rFonts w:ascii="Arial" w:hAnsi="Arial" w:cs="Arial"/>
                <w:sz w:val="24"/>
                <w:szCs w:val="24"/>
              </w:rPr>
              <w:t>Criteria reviewed. No change.</w:t>
            </w:r>
          </w:p>
        </w:tc>
        <w:tc>
          <w:tcPr>
            <w:tcW w:w="2511" w:type="dxa"/>
          </w:tcPr>
          <w:p w14:paraId="09D59D39" w14:textId="77777777" w:rsidR="00C3036D" w:rsidRPr="00FA3F9C" w:rsidRDefault="00C3036D" w:rsidP="006F623F">
            <w:pPr>
              <w:rPr>
                <w:rFonts w:ascii="Arial" w:hAnsi="Arial" w:cs="Arial"/>
                <w:sz w:val="24"/>
                <w:szCs w:val="24"/>
              </w:rPr>
            </w:pPr>
            <w:r w:rsidRPr="00FA3F9C">
              <w:rPr>
                <w:rFonts w:ascii="Arial" w:hAnsi="Arial" w:cs="Arial"/>
                <w:sz w:val="24"/>
                <w:szCs w:val="24"/>
              </w:rPr>
              <w:t>SK</w:t>
            </w:r>
          </w:p>
        </w:tc>
      </w:tr>
      <w:tr w:rsidR="00C3036D" w:rsidRPr="00FA3F9C" w14:paraId="7AA87E44" w14:textId="77777777" w:rsidTr="008F1CD7">
        <w:tc>
          <w:tcPr>
            <w:tcW w:w="1167" w:type="dxa"/>
          </w:tcPr>
          <w:p w14:paraId="2B07F795" w14:textId="77777777" w:rsidR="00C3036D" w:rsidRPr="00FA3F9C" w:rsidRDefault="00C3036D" w:rsidP="001B563B">
            <w:pPr>
              <w:tabs>
                <w:tab w:val="left" w:pos="639"/>
              </w:tabs>
              <w:rPr>
                <w:rFonts w:ascii="Arial" w:hAnsi="Arial" w:cs="Arial"/>
                <w:sz w:val="24"/>
                <w:szCs w:val="24"/>
              </w:rPr>
            </w:pPr>
            <w:r w:rsidRPr="00FA3F9C">
              <w:rPr>
                <w:rFonts w:ascii="Arial" w:hAnsi="Arial" w:cs="Arial"/>
                <w:sz w:val="24"/>
                <w:szCs w:val="24"/>
              </w:rPr>
              <w:t>10/8/2020</w:t>
            </w:r>
          </w:p>
        </w:tc>
        <w:tc>
          <w:tcPr>
            <w:tcW w:w="7338" w:type="dxa"/>
          </w:tcPr>
          <w:p w14:paraId="6BB1D81B" w14:textId="77777777" w:rsidR="00C3036D" w:rsidRPr="00FA3F9C" w:rsidRDefault="00C3036D" w:rsidP="00FB091D">
            <w:pPr>
              <w:rPr>
                <w:rFonts w:ascii="Arial" w:hAnsi="Arial" w:cs="Arial"/>
                <w:sz w:val="24"/>
                <w:szCs w:val="24"/>
              </w:rPr>
            </w:pPr>
            <w:r w:rsidRPr="00FA3F9C">
              <w:rPr>
                <w:rFonts w:ascii="Arial" w:hAnsi="Arial" w:cs="Arial"/>
                <w:sz w:val="24"/>
                <w:szCs w:val="24"/>
              </w:rPr>
              <w:t>Added that the patient should be female per FDA approval</w:t>
            </w:r>
          </w:p>
        </w:tc>
        <w:tc>
          <w:tcPr>
            <w:tcW w:w="2511" w:type="dxa"/>
          </w:tcPr>
          <w:p w14:paraId="20BC80DE" w14:textId="77777777" w:rsidR="00C3036D" w:rsidRPr="00FA3F9C" w:rsidRDefault="00C3036D" w:rsidP="006F623F">
            <w:pPr>
              <w:rPr>
                <w:rFonts w:ascii="Arial" w:hAnsi="Arial" w:cs="Arial"/>
                <w:sz w:val="24"/>
                <w:szCs w:val="24"/>
              </w:rPr>
            </w:pPr>
            <w:r w:rsidRPr="00FA3F9C">
              <w:rPr>
                <w:rFonts w:ascii="Arial" w:hAnsi="Arial" w:cs="Arial"/>
                <w:sz w:val="24"/>
                <w:szCs w:val="24"/>
              </w:rPr>
              <w:t>SK</w:t>
            </w:r>
          </w:p>
        </w:tc>
      </w:tr>
      <w:tr w:rsidR="00C3036D" w:rsidRPr="00FA3F9C" w14:paraId="3FB83D15" w14:textId="77777777" w:rsidTr="008F1CD7">
        <w:tc>
          <w:tcPr>
            <w:tcW w:w="1167" w:type="dxa"/>
          </w:tcPr>
          <w:p w14:paraId="2D00EAB2" w14:textId="77777777" w:rsidR="00C3036D" w:rsidRPr="00FA3F9C" w:rsidRDefault="00C3036D" w:rsidP="001B563B">
            <w:pPr>
              <w:tabs>
                <w:tab w:val="left" w:pos="639"/>
              </w:tabs>
              <w:rPr>
                <w:rFonts w:ascii="Arial" w:hAnsi="Arial" w:cs="Arial"/>
                <w:sz w:val="24"/>
                <w:szCs w:val="24"/>
              </w:rPr>
            </w:pPr>
            <w:r w:rsidRPr="00FA3F9C">
              <w:rPr>
                <w:rFonts w:ascii="Arial" w:hAnsi="Arial" w:cs="Arial"/>
                <w:sz w:val="24"/>
                <w:szCs w:val="24"/>
              </w:rPr>
              <w:t>9/28/2021</w:t>
            </w:r>
          </w:p>
        </w:tc>
        <w:tc>
          <w:tcPr>
            <w:tcW w:w="7338" w:type="dxa"/>
          </w:tcPr>
          <w:p w14:paraId="17386909" w14:textId="77777777" w:rsidR="00C3036D" w:rsidRPr="00FA3F9C" w:rsidRDefault="00C3036D" w:rsidP="003C2E68">
            <w:pPr>
              <w:rPr>
                <w:rFonts w:ascii="Arial" w:hAnsi="Arial" w:cs="Arial"/>
                <w:sz w:val="24"/>
                <w:szCs w:val="24"/>
              </w:rPr>
            </w:pPr>
            <w:r w:rsidRPr="00FA3F9C">
              <w:rPr>
                <w:rFonts w:ascii="Arial" w:hAnsi="Arial" w:cs="Arial"/>
                <w:sz w:val="24"/>
                <w:szCs w:val="24"/>
              </w:rPr>
              <w:t xml:space="preserve">Added criteria for first line </w:t>
            </w:r>
            <w:proofErr w:type="spellStart"/>
            <w:r w:rsidRPr="00FA3F9C">
              <w:rPr>
                <w:rFonts w:ascii="Arial" w:hAnsi="Arial" w:cs="Arial"/>
                <w:sz w:val="24"/>
                <w:szCs w:val="24"/>
              </w:rPr>
              <w:t>ribociclib+AI</w:t>
            </w:r>
            <w:proofErr w:type="spellEnd"/>
            <w:r w:rsidRPr="00FA3F9C">
              <w:rPr>
                <w:rFonts w:ascii="Arial" w:hAnsi="Arial" w:cs="Arial"/>
                <w:sz w:val="24"/>
                <w:szCs w:val="24"/>
              </w:rPr>
              <w:t xml:space="preserve"> due to new data showing OS improvement.</w:t>
            </w:r>
          </w:p>
        </w:tc>
        <w:tc>
          <w:tcPr>
            <w:tcW w:w="2511" w:type="dxa"/>
          </w:tcPr>
          <w:p w14:paraId="6A2244DA" w14:textId="77777777" w:rsidR="00C3036D" w:rsidRPr="00FA3F9C" w:rsidRDefault="00C3036D" w:rsidP="006F623F">
            <w:pPr>
              <w:rPr>
                <w:rFonts w:ascii="Arial" w:hAnsi="Arial" w:cs="Arial"/>
                <w:sz w:val="24"/>
                <w:szCs w:val="24"/>
              </w:rPr>
            </w:pPr>
            <w:r w:rsidRPr="00FA3F9C">
              <w:rPr>
                <w:rFonts w:ascii="Arial" w:hAnsi="Arial" w:cs="Arial"/>
                <w:sz w:val="24"/>
                <w:szCs w:val="24"/>
              </w:rPr>
              <w:t>SK</w:t>
            </w:r>
          </w:p>
        </w:tc>
      </w:tr>
    </w:tbl>
    <w:p w14:paraId="1A0C18F6" w14:textId="77777777" w:rsidR="00C3036D" w:rsidRPr="00FA3F9C" w:rsidRDefault="00C3036D" w:rsidP="006F623F">
      <w:pPr>
        <w:spacing w:after="0"/>
        <w:rPr>
          <w:rFonts w:ascii="Arial" w:hAnsi="Arial" w:cs="Arial"/>
          <w:sz w:val="24"/>
          <w:szCs w:val="24"/>
        </w:rPr>
      </w:pPr>
    </w:p>
    <w:p w14:paraId="58836D4C" w14:textId="77777777" w:rsidR="00C3036D" w:rsidRPr="00FA3F9C" w:rsidRDefault="00C3036D" w:rsidP="002B2097">
      <w:pPr>
        <w:pStyle w:val="Heading2"/>
      </w:pPr>
      <w:bookmarkStart w:id="286" w:name="_Toc106369910"/>
      <w:proofErr w:type="spellStart"/>
      <w:r w:rsidRPr="00FA3F9C">
        <w:t>Xifaxan</w:t>
      </w:r>
      <w:proofErr w:type="spellEnd"/>
      <w:r w:rsidRPr="00FA3F9C">
        <w:t xml:space="preserve"> (Rifaximin)</w:t>
      </w:r>
      <w:bookmarkEnd w:id="286"/>
      <w:r w:rsidRPr="00FA3F9C">
        <w:t xml:space="preserve"> </w:t>
      </w:r>
    </w:p>
    <w:p w14:paraId="4504D0C1" w14:textId="77777777" w:rsidR="00C3036D" w:rsidRPr="00FA3F9C" w:rsidRDefault="00C3036D" w:rsidP="0052674A">
      <w:pPr>
        <w:jc w:val="center"/>
        <w:rPr>
          <w:rFonts w:ascii="Arial" w:hAnsi="Arial" w:cs="Arial"/>
          <w:b/>
          <w:sz w:val="24"/>
          <w:szCs w:val="24"/>
        </w:rPr>
      </w:pPr>
      <w:r w:rsidRPr="00FA3F9C">
        <w:rPr>
          <w:rFonts w:ascii="Arial" w:hAnsi="Arial" w:cs="Arial"/>
          <w:b/>
          <w:sz w:val="24"/>
          <w:szCs w:val="24"/>
        </w:rPr>
        <w:t>EBRx PA Criteria</w:t>
      </w:r>
    </w:p>
    <w:p w14:paraId="64C95547" w14:textId="77777777" w:rsidR="00C3036D" w:rsidRPr="00FA3F9C" w:rsidRDefault="00C3036D" w:rsidP="0052674A">
      <w:pPr>
        <w:jc w:val="center"/>
        <w:rPr>
          <w:rFonts w:ascii="Arial" w:hAnsi="Arial" w:cs="Arial"/>
          <w:b/>
          <w:sz w:val="24"/>
          <w:szCs w:val="24"/>
        </w:rPr>
      </w:pPr>
    </w:p>
    <w:p w14:paraId="1AD9647B" w14:textId="77777777" w:rsidR="00C3036D" w:rsidRPr="00FA3F9C" w:rsidRDefault="00C3036D" w:rsidP="0052674A">
      <w:pPr>
        <w:rPr>
          <w:rFonts w:ascii="Arial" w:hAnsi="Arial" w:cs="Arial"/>
          <w:b/>
          <w:sz w:val="24"/>
          <w:szCs w:val="24"/>
        </w:rPr>
      </w:pPr>
      <w:r w:rsidRPr="00FA3F9C">
        <w:rPr>
          <w:rFonts w:ascii="Arial" w:hAnsi="Arial" w:cs="Arial"/>
          <w:b/>
          <w:sz w:val="24"/>
          <w:szCs w:val="24"/>
        </w:rPr>
        <w:t xml:space="preserve">FDA Approved Indications: </w:t>
      </w:r>
    </w:p>
    <w:p w14:paraId="20F07470" w14:textId="77777777" w:rsidR="00C3036D" w:rsidRPr="00FA3F9C" w:rsidRDefault="00C3036D" w:rsidP="00FC1E85">
      <w:pPr>
        <w:pStyle w:val="ListParagraph"/>
        <w:numPr>
          <w:ilvl w:val="0"/>
          <w:numId w:val="444"/>
        </w:numPr>
        <w:spacing w:after="0" w:line="240" w:lineRule="auto"/>
        <w:rPr>
          <w:rFonts w:ascii="Arial" w:hAnsi="Arial" w:cs="Arial"/>
          <w:sz w:val="24"/>
          <w:szCs w:val="24"/>
        </w:rPr>
      </w:pPr>
      <w:r w:rsidRPr="00FA3F9C">
        <w:rPr>
          <w:rFonts w:ascii="Arial" w:hAnsi="Arial" w:cs="Arial"/>
          <w:sz w:val="24"/>
          <w:szCs w:val="24"/>
        </w:rPr>
        <w:t xml:space="preserve">Traveler’s diarrhea in people </w:t>
      </w:r>
      <w:r w:rsidRPr="00FA3F9C">
        <w:rPr>
          <w:rFonts w:ascii="Arial" w:hAnsi="Arial" w:cs="Arial"/>
          <w:sz w:val="24"/>
          <w:szCs w:val="24"/>
          <w:u w:val="single"/>
        </w:rPr>
        <w:t>&gt;</w:t>
      </w:r>
      <w:r w:rsidRPr="00FA3F9C">
        <w:rPr>
          <w:rFonts w:ascii="Arial" w:hAnsi="Arial" w:cs="Arial"/>
          <w:sz w:val="24"/>
          <w:szCs w:val="24"/>
        </w:rPr>
        <w:t xml:space="preserve">12y old. </w:t>
      </w:r>
    </w:p>
    <w:p w14:paraId="43AFB78A" w14:textId="77777777" w:rsidR="00C3036D" w:rsidRPr="00FA3F9C" w:rsidRDefault="00C3036D" w:rsidP="00FC1E85">
      <w:pPr>
        <w:pStyle w:val="ListParagraph"/>
        <w:numPr>
          <w:ilvl w:val="0"/>
          <w:numId w:val="444"/>
        </w:numPr>
        <w:spacing w:after="0" w:line="240" w:lineRule="auto"/>
        <w:rPr>
          <w:rFonts w:ascii="Arial" w:hAnsi="Arial" w:cs="Arial"/>
          <w:sz w:val="24"/>
          <w:szCs w:val="24"/>
        </w:rPr>
      </w:pPr>
      <w:r w:rsidRPr="00FA3F9C">
        <w:rPr>
          <w:rFonts w:ascii="Arial" w:hAnsi="Arial" w:cs="Arial"/>
          <w:sz w:val="24"/>
          <w:szCs w:val="24"/>
        </w:rPr>
        <w:t>Hepatic encephalopathy in adults</w:t>
      </w:r>
    </w:p>
    <w:p w14:paraId="47211494" w14:textId="77777777" w:rsidR="00C3036D" w:rsidRPr="00FA3F9C" w:rsidRDefault="00C3036D" w:rsidP="00FC1E85">
      <w:pPr>
        <w:pStyle w:val="ListParagraph"/>
        <w:numPr>
          <w:ilvl w:val="0"/>
          <w:numId w:val="444"/>
        </w:numPr>
        <w:spacing w:after="0" w:line="240" w:lineRule="auto"/>
        <w:rPr>
          <w:rFonts w:ascii="Arial" w:hAnsi="Arial" w:cs="Arial"/>
          <w:sz w:val="24"/>
          <w:szCs w:val="24"/>
        </w:rPr>
      </w:pPr>
      <w:r w:rsidRPr="00FA3F9C">
        <w:rPr>
          <w:rFonts w:ascii="Arial" w:hAnsi="Arial" w:cs="Arial"/>
          <w:sz w:val="24"/>
          <w:szCs w:val="24"/>
        </w:rPr>
        <w:t>Irritable Bowel Syndrome-Diarrhea in adults-</w:t>
      </w:r>
      <w:r w:rsidRPr="00FA3F9C">
        <w:rPr>
          <w:rFonts w:ascii="Arial" w:hAnsi="Arial" w:cs="Arial"/>
          <w:sz w:val="24"/>
          <w:szCs w:val="24"/>
          <w:highlight w:val="yellow"/>
        </w:rPr>
        <w:t>NOT A COVERED USE</w:t>
      </w:r>
    </w:p>
    <w:p w14:paraId="5B1F5DBC" w14:textId="77777777" w:rsidR="00C3036D" w:rsidRPr="00FA3F9C" w:rsidRDefault="00C3036D" w:rsidP="00FC1E85">
      <w:pPr>
        <w:pStyle w:val="ListParagraph"/>
        <w:numPr>
          <w:ilvl w:val="0"/>
          <w:numId w:val="444"/>
        </w:numPr>
        <w:spacing w:after="0" w:line="240" w:lineRule="auto"/>
        <w:rPr>
          <w:rFonts w:ascii="Arial" w:hAnsi="Arial" w:cs="Arial"/>
          <w:sz w:val="24"/>
          <w:szCs w:val="24"/>
        </w:rPr>
      </w:pPr>
      <w:proofErr w:type="spellStart"/>
      <w:r w:rsidRPr="00FA3F9C">
        <w:rPr>
          <w:rFonts w:ascii="Arial" w:hAnsi="Arial" w:cs="Arial"/>
          <w:sz w:val="24"/>
          <w:szCs w:val="24"/>
        </w:rPr>
        <w:t>Cdif</w:t>
      </w:r>
      <w:proofErr w:type="spellEnd"/>
      <w:r w:rsidRPr="00FA3F9C">
        <w:rPr>
          <w:rFonts w:ascii="Arial" w:hAnsi="Arial" w:cs="Arial"/>
          <w:sz w:val="24"/>
          <w:szCs w:val="24"/>
        </w:rPr>
        <w:t xml:space="preserve"> (off-label; but supported in 2018 </w:t>
      </w:r>
      <w:proofErr w:type="spellStart"/>
      <w:r w:rsidRPr="00FA3F9C">
        <w:rPr>
          <w:rFonts w:ascii="Arial" w:hAnsi="Arial" w:cs="Arial"/>
          <w:sz w:val="24"/>
          <w:szCs w:val="24"/>
        </w:rPr>
        <w:t>Cdif</w:t>
      </w:r>
      <w:proofErr w:type="spellEnd"/>
      <w:r w:rsidRPr="00FA3F9C">
        <w:rPr>
          <w:rFonts w:ascii="Arial" w:hAnsi="Arial" w:cs="Arial"/>
          <w:sz w:val="24"/>
          <w:szCs w:val="24"/>
        </w:rPr>
        <w:t xml:space="preserve"> guidelines for second or subsequent recurrence)</w:t>
      </w:r>
    </w:p>
    <w:p w14:paraId="5D5BEBAF" w14:textId="77777777" w:rsidR="00C3036D" w:rsidRPr="00FA3F9C" w:rsidRDefault="00C3036D" w:rsidP="0052674A">
      <w:pPr>
        <w:rPr>
          <w:rFonts w:ascii="Arial" w:hAnsi="Arial" w:cs="Arial"/>
          <w:sz w:val="24"/>
          <w:szCs w:val="24"/>
        </w:rPr>
      </w:pPr>
    </w:p>
    <w:tbl>
      <w:tblPr>
        <w:tblStyle w:val="TableGrid"/>
        <w:tblW w:w="0" w:type="auto"/>
        <w:tblLook w:val="04A0" w:firstRow="1" w:lastRow="0" w:firstColumn="1" w:lastColumn="0" w:noHBand="0" w:noVBand="1"/>
      </w:tblPr>
      <w:tblGrid>
        <w:gridCol w:w="10790"/>
      </w:tblGrid>
      <w:tr w:rsidR="00C3036D" w:rsidRPr="00FA3F9C" w14:paraId="43BF9EB2" w14:textId="77777777" w:rsidTr="00CC69F1">
        <w:tc>
          <w:tcPr>
            <w:tcW w:w="10790" w:type="dxa"/>
          </w:tcPr>
          <w:p w14:paraId="2A6D721D" w14:textId="77777777" w:rsidR="00C3036D" w:rsidRPr="00FA3F9C" w:rsidRDefault="00C3036D" w:rsidP="00DA66EF">
            <w:pPr>
              <w:rPr>
                <w:rFonts w:ascii="Arial" w:hAnsi="Arial" w:cs="Arial"/>
                <w:sz w:val="24"/>
                <w:szCs w:val="24"/>
                <w:vertAlign w:val="superscript"/>
              </w:rPr>
            </w:pPr>
            <w:r w:rsidRPr="00FA3F9C">
              <w:rPr>
                <w:rFonts w:ascii="Arial" w:hAnsi="Arial" w:cs="Arial"/>
                <w:b/>
                <w:sz w:val="24"/>
                <w:szCs w:val="24"/>
              </w:rPr>
              <w:t>Traveler’s Diarrhea</w:t>
            </w:r>
            <w:r w:rsidRPr="00FA3F9C">
              <w:rPr>
                <w:rFonts w:ascii="Arial" w:hAnsi="Arial" w:cs="Arial"/>
                <w:b/>
                <w:sz w:val="24"/>
                <w:szCs w:val="24"/>
                <w:vertAlign w:val="superscript"/>
              </w:rPr>
              <w:t>1,2</w:t>
            </w:r>
          </w:p>
        </w:tc>
      </w:tr>
      <w:tr w:rsidR="00C3036D" w:rsidRPr="00FA3F9C" w14:paraId="63E006DC" w14:textId="77777777" w:rsidTr="00CC69F1">
        <w:tc>
          <w:tcPr>
            <w:tcW w:w="10790" w:type="dxa"/>
          </w:tcPr>
          <w:p w14:paraId="2937FC8A" w14:textId="77777777" w:rsidR="00C3036D" w:rsidRPr="00FA3F9C" w:rsidRDefault="00C3036D" w:rsidP="00F83C9F">
            <w:pPr>
              <w:rPr>
                <w:rFonts w:ascii="Arial" w:hAnsi="Arial" w:cs="Arial"/>
                <w:sz w:val="24"/>
                <w:szCs w:val="24"/>
              </w:rPr>
            </w:pPr>
            <w:r w:rsidRPr="00FA3F9C">
              <w:rPr>
                <w:rFonts w:ascii="Arial" w:hAnsi="Arial" w:cs="Arial"/>
                <w:sz w:val="24"/>
                <w:szCs w:val="24"/>
              </w:rPr>
              <w:t xml:space="preserve">1. Must have diagnosis of traveler’s diarrhea caused by noninvasive strains of </w:t>
            </w:r>
            <w:r w:rsidRPr="00FA3F9C">
              <w:rPr>
                <w:rFonts w:ascii="Arial" w:hAnsi="Arial" w:cs="Arial"/>
                <w:i/>
                <w:sz w:val="24"/>
                <w:szCs w:val="24"/>
              </w:rPr>
              <w:t>E.coli</w:t>
            </w:r>
          </w:p>
        </w:tc>
      </w:tr>
      <w:tr w:rsidR="00C3036D" w:rsidRPr="00FA3F9C" w14:paraId="1127AD84" w14:textId="77777777" w:rsidTr="00CC69F1">
        <w:tc>
          <w:tcPr>
            <w:tcW w:w="10790" w:type="dxa"/>
          </w:tcPr>
          <w:p w14:paraId="2473FFC3" w14:textId="77777777" w:rsidR="00C3036D" w:rsidRPr="00FA3F9C" w:rsidRDefault="00C3036D" w:rsidP="00F83C9F">
            <w:pPr>
              <w:rPr>
                <w:rFonts w:ascii="Arial" w:hAnsi="Arial" w:cs="Arial"/>
                <w:sz w:val="24"/>
                <w:szCs w:val="24"/>
              </w:rPr>
            </w:pPr>
            <w:r w:rsidRPr="00FA3F9C">
              <w:rPr>
                <w:rFonts w:ascii="Arial" w:hAnsi="Arial" w:cs="Arial"/>
                <w:sz w:val="24"/>
                <w:szCs w:val="24"/>
              </w:rPr>
              <w:t>2. The patient must be at least 12 years of age.</w:t>
            </w:r>
          </w:p>
        </w:tc>
      </w:tr>
      <w:tr w:rsidR="00C3036D" w:rsidRPr="00FA3F9C" w14:paraId="1DFA9269" w14:textId="77777777" w:rsidTr="00CC69F1">
        <w:tc>
          <w:tcPr>
            <w:tcW w:w="10790" w:type="dxa"/>
          </w:tcPr>
          <w:p w14:paraId="3A3853FB" w14:textId="77777777" w:rsidR="00C3036D" w:rsidRPr="00FA3F9C" w:rsidRDefault="00C3036D" w:rsidP="00F83C9F">
            <w:pPr>
              <w:rPr>
                <w:rFonts w:ascii="Arial" w:hAnsi="Arial" w:cs="Arial"/>
                <w:sz w:val="24"/>
                <w:szCs w:val="24"/>
              </w:rPr>
            </w:pPr>
            <w:r w:rsidRPr="00FA3F9C">
              <w:rPr>
                <w:rFonts w:ascii="Arial" w:hAnsi="Arial" w:cs="Arial"/>
                <w:sz w:val="24"/>
                <w:szCs w:val="24"/>
              </w:rPr>
              <w:t>3. Must NOT have diarrhea complicated by fever or blood in the stool.</w:t>
            </w:r>
          </w:p>
        </w:tc>
      </w:tr>
      <w:tr w:rsidR="00C3036D" w:rsidRPr="00FA3F9C" w14:paraId="261CF089" w14:textId="77777777" w:rsidTr="00CC69F1">
        <w:tc>
          <w:tcPr>
            <w:tcW w:w="10790" w:type="dxa"/>
            <w:shd w:val="clear" w:color="auto" w:fill="E7E6E6" w:themeFill="background2"/>
          </w:tcPr>
          <w:p w14:paraId="30CF91E6" w14:textId="77777777" w:rsidR="00C3036D" w:rsidRPr="00FA3F9C" w:rsidRDefault="00C3036D" w:rsidP="00B80EE8">
            <w:pPr>
              <w:rPr>
                <w:rFonts w:ascii="Arial" w:hAnsi="Arial" w:cs="Arial"/>
                <w:sz w:val="24"/>
                <w:szCs w:val="24"/>
              </w:rPr>
            </w:pPr>
            <w:r w:rsidRPr="00FA3F9C">
              <w:rPr>
                <w:rFonts w:ascii="Arial" w:hAnsi="Arial" w:cs="Arial"/>
                <w:sz w:val="24"/>
                <w:szCs w:val="24"/>
              </w:rPr>
              <w:t>QL is 200mg #9.</w:t>
            </w:r>
          </w:p>
        </w:tc>
      </w:tr>
      <w:tr w:rsidR="00C3036D" w:rsidRPr="00FA3F9C" w14:paraId="42962610" w14:textId="77777777" w:rsidTr="00CC69F1">
        <w:trPr>
          <w:trHeight w:val="620"/>
        </w:trPr>
        <w:tc>
          <w:tcPr>
            <w:tcW w:w="10790" w:type="dxa"/>
            <w:shd w:val="clear" w:color="auto" w:fill="FFFFFF" w:themeFill="background1"/>
          </w:tcPr>
          <w:p w14:paraId="3F44724A" w14:textId="77777777" w:rsidR="00C3036D" w:rsidRPr="00FA3F9C" w:rsidRDefault="00C3036D" w:rsidP="00BD0559">
            <w:pPr>
              <w:rPr>
                <w:rFonts w:ascii="Arial" w:hAnsi="Arial" w:cs="Arial"/>
                <w:sz w:val="24"/>
                <w:szCs w:val="24"/>
              </w:rPr>
            </w:pPr>
            <w:r w:rsidRPr="00FA3F9C">
              <w:rPr>
                <w:rFonts w:ascii="Arial" w:hAnsi="Arial" w:cs="Arial"/>
                <w:b/>
                <w:sz w:val="24"/>
                <w:szCs w:val="24"/>
              </w:rPr>
              <w:t xml:space="preserve">Dosing: </w:t>
            </w:r>
            <w:r w:rsidRPr="00FA3F9C">
              <w:rPr>
                <w:rFonts w:ascii="Arial" w:hAnsi="Arial" w:cs="Arial"/>
                <w:sz w:val="24"/>
                <w:szCs w:val="24"/>
              </w:rPr>
              <w:t>200mg TID for 3 days.</w:t>
            </w:r>
          </w:p>
          <w:p w14:paraId="3FE15567" w14:textId="77777777" w:rsidR="00C3036D" w:rsidRPr="00FA3F9C" w:rsidRDefault="00C3036D" w:rsidP="00BD0559">
            <w:pPr>
              <w:rPr>
                <w:rFonts w:ascii="Arial" w:hAnsi="Arial" w:cs="Arial"/>
                <w:b/>
                <w:sz w:val="24"/>
                <w:szCs w:val="24"/>
              </w:rPr>
            </w:pPr>
            <w:r w:rsidRPr="00FA3F9C">
              <w:rPr>
                <w:rFonts w:ascii="Arial" w:hAnsi="Arial" w:cs="Arial"/>
                <w:b/>
                <w:sz w:val="24"/>
                <w:szCs w:val="24"/>
              </w:rPr>
              <w:t>Please note that only the 200mg tablets are indicated for Traveler’s Diarrhea.</w:t>
            </w:r>
          </w:p>
        </w:tc>
      </w:tr>
    </w:tbl>
    <w:p w14:paraId="153EFEE5" w14:textId="77777777" w:rsidR="00C3036D" w:rsidRPr="00FA3F9C" w:rsidRDefault="00C3036D" w:rsidP="00EC764A">
      <w:pPr>
        <w:rPr>
          <w:rFonts w:ascii="Arial" w:hAnsi="Arial" w:cs="Arial"/>
          <w:sz w:val="24"/>
          <w:szCs w:val="24"/>
        </w:rPr>
      </w:pPr>
    </w:p>
    <w:tbl>
      <w:tblPr>
        <w:tblStyle w:val="TableGrid"/>
        <w:tblW w:w="0" w:type="auto"/>
        <w:tblLook w:val="04A0" w:firstRow="1" w:lastRow="0" w:firstColumn="1" w:lastColumn="0" w:noHBand="0" w:noVBand="1"/>
      </w:tblPr>
      <w:tblGrid>
        <w:gridCol w:w="10790"/>
      </w:tblGrid>
      <w:tr w:rsidR="00C3036D" w:rsidRPr="00FA3F9C" w14:paraId="27D41389" w14:textId="77777777" w:rsidTr="00CC69F1">
        <w:tc>
          <w:tcPr>
            <w:tcW w:w="10790" w:type="dxa"/>
          </w:tcPr>
          <w:p w14:paraId="2CC54AD2" w14:textId="77777777" w:rsidR="00C3036D" w:rsidRPr="00FA3F9C" w:rsidRDefault="00C3036D" w:rsidP="0010290E">
            <w:pPr>
              <w:rPr>
                <w:rFonts w:ascii="Arial" w:hAnsi="Arial" w:cs="Arial"/>
                <w:sz w:val="24"/>
                <w:szCs w:val="24"/>
                <w:vertAlign w:val="superscript"/>
              </w:rPr>
            </w:pPr>
            <w:r w:rsidRPr="00FA3F9C">
              <w:rPr>
                <w:rFonts w:ascii="Arial" w:hAnsi="Arial" w:cs="Arial"/>
                <w:b/>
                <w:sz w:val="24"/>
                <w:szCs w:val="24"/>
              </w:rPr>
              <w:t>Hepatic encephalopathy</w:t>
            </w:r>
            <w:r w:rsidRPr="00FA3F9C">
              <w:rPr>
                <w:rFonts w:ascii="Arial" w:hAnsi="Arial" w:cs="Arial"/>
                <w:b/>
                <w:sz w:val="24"/>
                <w:szCs w:val="24"/>
                <w:vertAlign w:val="superscript"/>
              </w:rPr>
              <w:t>1</w:t>
            </w:r>
          </w:p>
        </w:tc>
      </w:tr>
      <w:tr w:rsidR="00C3036D" w:rsidRPr="00FA3F9C" w14:paraId="6DE6E958" w14:textId="77777777" w:rsidTr="00CC69F1">
        <w:tc>
          <w:tcPr>
            <w:tcW w:w="10790" w:type="dxa"/>
          </w:tcPr>
          <w:p w14:paraId="0DFE3FEC" w14:textId="77777777" w:rsidR="00C3036D" w:rsidRPr="00FA3F9C" w:rsidRDefault="00C3036D" w:rsidP="0067484B">
            <w:pPr>
              <w:rPr>
                <w:rFonts w:ascii="Arial" w:hAnsi="Arial" w:cs="Arial"/>
                <w:sz w:val="24"/>
                <w:szCs w:val="24"/>
              </w:rPr>
            </w:pPr>
            <w:r w:rsidRPr="00FA3F9C">
              <w:rPr>
                <w:rFonts w:ascii="Arial" w:hAnsi="Arial" w:cs="Arial"/>
                <w:sz w:val="24"/>
                <w:szCs w:val="24"/>
              </w:rPr>
              <w:lastRenderedPageBreak/>
              <w:t>1. Must have the diagnosis of overt hepatic encephalopathy recurrence in adults</w:t>
            </w:r>
          </w:p>
        </w:tc>
      </w:tr>
      <w:tr w:rsidR="00C3036D" w:rsidRPr="00FA3F9C" w14:paraId="6EDE2F33" w14:textId="77777777" w:rsidTr="00CC69F1">
        <w:tc>
          <w:tcPr>
            <w:tcW w:w="10790" w:type="dxa"/>
            <w:shd w:val="clear" w:color="auto" w:fill="E7E6E6" w:themeFill="background2"/>
          </w:tcPr>
          <w:p w14:paraId="4E92C00A" w14:textId="77777777" w:rsidR="00C3036D" w:rsidRPr="00FA3F9C" w:rsidRDefault="00C3036D" w:rsidP="0010290E">
            <w:pPr>
              <w:rPr>
                <w:rFonts w:ascii="Arial" w:hAnsi="Arial" w:cs="Arial"/>
                <w:sz w:val="24"/>
                <w:szCs w:val="24"/>
              </w:rPr>
            </w:pPr>
            <w:r w:rsidRPr="00FA3F9C">
              <w:rPr>
                <w:rFonts w:ascii="Arial" w:hAnsi="Arial" w:cs="Arial"/>
                <w:b/>
                <w:sz w:val="24"/>
                <w:szCs w:val="24"/>
              </w:rPr>
              <w:t xml:space="preserve">If yes, approve coverage for </w:t>
            </w:r>
            <w:r w:rsidRPr="00FA3F9C">
              <w:rPr>
                <w:rFonts w:ascii="Arial" w:hAnsi="Arial" w:cs="Arial"/>
                <w:b/>
                <w:sz w:val="24"/>
                <w:szCs w:val="24"/>
                <w:u w:val="single"/>
              </w:rPr>
              <w:t>1 year</w:t>
            </w:r>
            <w:r w:rsidRPr="00FA3F9C">
              <w:rPr>
                <w:rFonts w:ascii="Arial" w:hAnsi="Arial" w:cs="Arial"/>
                <w:b/>
                <w:sz w:val="24"/>
                <w:szCs w:val="24"/>
              </w:rPr>
              <w:t>.</w:t>
            </w:r>
            <w:r w:rsidRPr="00FA3F9C">
              <w:rPr>
                <w:rFonts w:ascii="Arial" w:hAnsi="Arial" w:cs="Arial"/>
                <w:sz w:val="24"/>
                <w:szCs w:val="24"/>
              </w:rPr>
              <w:t xml:space="preserve"> QL is 550mg #60/30</w:t>
            </w:r>
          </w:p>
        </w:tc>
      </w:tr>
      <w:tr w:rsidR="00C3036D" w:rsidRPr="00FA3F9C" w14:paraId="6B981DC3" w14:textId="77777777" w:rsidTr="00CC69F1">
        <w:trPr>
          <w:trHeight w:val="620"/>
        </w:trPr>
        <w:tc>
          <w:tcPr>
            <w:tcW w:w="10790" w:type="dxa"/>
            <w:shd w:val="clear" w:color="auto" w:fill="FFFFFF" w:themeFill="background1"/>
          </w:tcPr>
          <w:p w14:paraId="5CC5A31F" w14:textId="77777777" w:rsidR="00C3036D" w:rsidRPr="00FA3F9C" w:rsidRDefault="00C3036D" w:rsidP="0010290E">
            <w:pPr>
              <w:rPr>
                <w:rFonts w:ascii="Arial" w:hAnsi="Arial" w:cs="Arial"/>
                <w:sz w:val="24"/>
                <w:szCs w:val="24"/>
              </w:rPr>
            </w:pPr>
            <w:r w:rsidRPr="00FA3F9C">
              <w:rPr>
                <w:rFonts w:ascii="Arial" w:hAnsi="Arial" w:cs="Arial"/>
                <w:b/>
                <w:sz w:val="24"/>
                <w:szCs w:val="24"/>
              </w:rPr>
              <w:t xml:space="preserve">Dosing: </w:t>
            </w:r>
            <w:r w:rsidRPr="00FA3F9C">
              <w:rPr>
                <w:rFonts w:ascii="Arial" w:hAnsi="Arial" w:cs="Arial"/>
                <w:sz w:val="24"/>
                <w:szCs w:val="24"/>
              </w:rPr>
              <w:t xml:space="preserve"> 550mg BID daily, </w:t>
            </w:r>
          </w:p>
          <w:p w14:paraId="250FD62C" w14:textId="77777777" w:rsidR="00C3036D" w:rsidRPr="00FA3F9C" w:rsidRDefault="00C3036D" w:rsidP="0010290E">
            <w:pPr>
              <w:rPr>
                <w:rFonts w:ascii="Arial" w:hAnsi="Arial" w:cs="Arial"/>
                <w:b/>
                <w:sz w:val="24"/>
                <w:szCs w:val="24"/>
              </w:rPr>
            </w:pPr>
            <w:r w:rsidRPr="00FA3F9C">
              <w:rPr>
                <w:rFonts w:ascii="Arial" w:hAnsi="Arial" w:cs="Arial"/>
                <w:b/>
                <w:sz w:val="24"/>
                <w:szCs w:val="24"/>
              </w:rPr>
              <w:t>Please note that the 550mg tablets are indicated for Hepatic Encephalopathy.</w:t>
            </w:r>
          </w:p>
        </w:tc>
      </w:tr>
    </w:tbl>
    <w:p w14:paraId="45BAC27E" w14:textId="77777777" w:rsidR="00C3036D" w:rsidRPr="00FA3F9C" w:rsidRDefault="00C3036D" w:rsidP="00EC764A">
      <w:pPr>
        <w:rPr>
          <w:rFonts w:ascii="Arial" w:hAnsi="Arial" w:cs="Arial"/>
          <w:sz w:val="24"/>
          <w:szCs w:val="24"/>
        </w:rPr>
      </w:pPr>
    </w:p>
    <w:tbl>
      <w:tblPr>
        <w:tblStyle w:val="TableGrid"/>
        <w:tblW w:w="0" w:type="auto"/>
        <w:tblLook w:val="04A0" w:firstRow="1" w:lastRow="0" w:firstColumn="1" w:lastColumn="0" w:noHBand="0" w:noVBand="1"/>
      </w:tblPr>
      <w:tblGrid>
        <w:gridCol w:w="10790"/>
      </w:tblGrid>
      <w:tr w:rsidR="00C3036D" w:rsidRPr="00FA3F9C" w14:paraId="099761BB" w14:textId="77777777" w:rsidTr="00CC69F1">
        <w:tc>
          <w:tcPr>
            <w:tcW w:w="10790" w:type="dxa"/>
          </w:tcPr>
          <w:p w14:paraId="28C430F8" w14:textId="77777777" w:rsidR="00C3036D" w:rsidRPr="00FA3F9C" w:rsidRDefault="00C3036D" w:rsidP="00781808">
            <w:pPr>
              <w:rPr>
                <w:rFonts w:ascii="Arial" w:hAnsi="Arial" w:cs="Arial"/>
                <w:sz w:val="24"/>
                <w:szCs w:val="24"/>
              </w:rPr>
            </w:pPr>
            <w:proofErr w:type="spellStart"/>
            <w:r w:rsidRPr="00FA3F9C">
              <w:rPr>
                <w:rFonts w:ascii="Arial" w:hAnsi="Arial" w:cs="Arial"/>
                <w:b/>
                <w:sz w:val="24"/>
                <w:szCs w:val="24"/>
              </w:rPr>
              <w:t>Cdif</w:t>
            </w:r>
            <w:proofErr w:type="spellEnd"/>
            <w:r w:rsidRPr="00FA3F9C">
              <w:rPr>
                <w:rFonts w:ascii="Arial" w:hAnsi="Arial" w:cs="Arial"/>
                <w:b/>
                <w:sz w:val="24"/>
                <w:szCs w:val="24"/>
              </w:rPr>
              <w:t xml:space="preserve"> toxin +  Diarrhea</w:t>
            </w:r>
            <w:r w:rsidRPr="00FA3F9C">
              <w:rPr>
                <w:rFonts w:ascii="Arial" w:hAnsi="Arial" w:cs="Arial"/>
                <w:b/>
                <w:sz w:val="24"/>
                <w:szCs w:val="24"/>
                <w:vertAlign w:val="superscript"/>
              </w:rPr>
              <w:t xml:space="preserve">5. </w:t>
            </w:r>
            <w:r w:rsidRPr="00FA3F9C">
              <w:rPr>
                <w:rFonts w:ascii="Arial" w:hAnsi="Arial" w:cs="Arial"/>
                <w:b/>
                <w:sz w:val="24"/>
                <w:szCs w:val="24"/>
              </w:rPr>
              <w:t>(</w:t>
            </w:r>
            <w:proofErr w:type="gramStart"/>
            <w:r w:rsidRPr="00FA3F9C">
              <w:rPr>
                <w:rFonts w:ascii="Arial" w:hAnsi="Arial" w:cs="Arial"/>
                <w:b/>
                <w:sz w:val="24"/>
                <w:szCs w:val="24"/>
              </w:rPr>
              <w:t>off</w:t>
            </w:r>
            <w:proofErr w:type="gramEnd"/>
            <w:r w:rsidRPr="00FA3F9C">
              <w:rPr>
                <w:rFonts w:ascii="Arial" w:hAnsi="Arial" w:cs="Arial"/>
                <w:b/>
                <w:sz w:val="24"/>
                <w:szCs w:val="24"/>
              </w:rPr>
              <w:t xml:space="preserve"> label use but supported by the IDSA </w:t>
            </w:r>
            <w:proofErr w:type="spellStart"/>
            <w:r w:rsidRPr="00FA3F9C">
              <w:rPr>
                <w:rFonts w:ascii="Arial" w:hAnsi="Arial" w:cs="Arial"/>
                <w:b/>
                <w:sz w:val="24"/>
                <w:szCs w:val="24"/>
              </w:rPr>
              <w:t>CDif</w:t>
            </w:r>
            <w:proofErr w:type="spellEnd"/>
            <w:r w:rsidRPr="00FA3F9C">
              <w:rPr>
                <w:rFonts w:ascii="Arial" w:hAnsi="Arial" w:cs="Arial"/>
                <w:b/>
                <w:sz w:val="24"/>
                <w:szCs w:val="24"/>
              </w:rPr>
              <w:t xml:space="preserve"> guidelines 2018)</w:t>
            </w:r>
          </w:p>
        </w:tc>
      </w:tr>
      <w:tr w:rsidR="00C3036D" w:rsidRPr="00FA3F9C" w14:paraId="2BD08319" w14:textId="77777777" w:rsidTr="00CC69F1">
        <w:tc>
          <w:tcPr>
            <w:tcW w:w="10790" w:type="dxa"/>
          </w:tcPr>
          <w:p w14:paraId="0F8CE8ED" w14:textId="77777777" w:rsidR="00C3036D" w:rsidRPr="00FA3F9C" w:rsidRDefault="00C3036D" w:rsidP="00781808">
            <w:pPr>
              <w:rPr>
                <w:rFonts w:ascii="Arial" w:hAnsi="Arial" w:cs="Arial"/>
                <w:sz w:val="24"/>
                <w:szCs w:val="24"/>
              </w:rPr>
            </w:pPr>
            <w:r w:rsidRPr="00FA3F9C">
              <w:rPr>
                <w:rFonts w:ascii="Arial" w:hAnsi="Arial" w:cs="Arial"/>
                <w:sz w:val="24"/>
                <w:szCs w:val="24"/>
              </w:rPr>
              <w:t xml:space="preserve">1. May be used for treatment of second or subsequent C </w:t>
            </w:r>
            <w:proofErr w:type="spellStart"/>
            <w:r w:rsidRPr="00FA3F9C">
              <w:rPr>
                <w:rFonts w:ascii="Arial" w:hAnsi="Arial" w:cs="Arial"/>
                <w:sz w:val="24"/>
                <w:szCs w:val="24"/>
              </w:rPr>
              <w:t>dif</w:t>
            </w:r>
            <w:proofErr w:type="spellEnd"/>
            <w:r w:rsidRPr="00FA3F9C">
              <w:rPr>
                <w:rFonts w:ascii="Arial" w:hAnsi="Arial" w:cs="Arial"/>
                <w:sz w:val="24"/>
                <w:szCs w:val="24"/>
              </w:rPr>
              <w:t xml:space="preserve"> infection with </w:t>
            </w:r>
            <w:proofErr w:type="spellStart"/>
            <w:r w:rsidRPr="00FA3F9C">
              <w:rPr>
                <w:rFonts w:ascii="Arial" w:hAnsi="Arial" w:cs="Arial"/>
                <w:sz w:val="24"/>
                <w:szCs w:val="24"/>
              </w:rPr>
              <w:t>Cdif</w:t>
            </w:r>
            <w:proofErr w:type="spellEnd"/>
            <w:r w:rsidRPr="00FA3F9C">
              <w:rPr>
                <w:rFonts w:ascii="Arial" w:hAnsi="Arial" w:cs="Arial"/>
                <w:sz w:val="24"/>
                <w:szCs w:val="24"/>
              </w:rPr>
              <w:t xml:space="preserve"> toxin + diarrhea.</w:t>
            </w:r>
          </w:p>
        </w:tc>
      </w:tr>
      <w:tr w:rsidR="00C3036D" w:rsidRPr="00FA3F9C" w14:paraId="7752AF26" w14:textId="77777777" w:rsidTr="00CC69F1">
        <w:tc>
          <w:tcPr>
            <w:tcW w:w="10790" w:type="dxa"/>
          </w:tcPr>
          <w:p w14:paraId="794215FE" w14:textId="77777777" w:rsidR="00C3036D" w:rsidRPr="00FA3F9C" w:rsidRDefault="00C3036D" w:rsidP="00781808">
            <w:pPr>
              <w:rPr>
                <w:rFonts w:ascii="Arial" w:hAnsi="Arial" w:cs="Arial"/>
                <w:sz w:val="24"/>
                <w:szCs w:val="24"/>
              </w:rPr>
            </w:pPr>
            <w:r w:rsidRPr="00FA3F9C">
              <w:rPr>
                <w:rFonts w:ascii="Arial" w:hAnsi="Arial" w:cs="Arial"/>
                <w:sz w:val="24"/>
                <w:szCs w:val="24"/>
              </w:rPr>
              <w:t>2.  The patient must have been taking vancomycin 125mg QID by mouth for the previous 10 days.</w:t>
            </w:r>
          </w:p>
        </w:tc>
      </w:tr>
      <w:tr w:rsidR="00C3036D" w:rsidRPr="00FA3F9C" w14:paraId="04482522" w14:textId="77777777" w:rsidTr="00CC69F1">
        <w:tc>
          <w:tcPr>
            <w:tcW w:w="10790" w:type="dxa"/>
            <w:shd w:val="clear" w:color="auto" w:fill="E7E6E6" w:themeFill="background2"/>
          </w:tcPr>
          <w:p w14:paraId="3A164B00" w14:textId="77777777" w:rsidR="00C3036D" w:rsidRPr="00FA3F9C" w:rsidRDefault="00C3036D" w:rsidP="00781808">
            <w:pPr>
              <w:rPr>
                <w:rFonts w:ascii="Arial" w:hAnsi="Arial" w:cs="Arial"/>
                <w:sz w:val="24"/>
                <w:szCs w:val="24"/>
              </w:rPr>
            </w:pPr>
            <w:r w:rsidRPr="00FA3F9C">
              <w:rPr>
                <w:rFonts w:ascii="Arial" w:hAnsi="Arial" w:cs="Arial"/>
                <w:b/>
                <w:sz w:val="24"/>
                <w:szCs w:val="24"/>
              </w:rPr>
              <w:t xml:space="preserve">QL of #120 of the 200mg dosage form with a </w:t>
            </w:r>
            <w:proofErr w:type="spellStart"/>
            <w:proofErr w:type="gramStart"/>
            <w:r w:rsidRPr="00FA3F9C">
              <w:rPr>
                <w:rFonts w:ascii="Arial" w:hAnsi="Arial" w:cs="Arial"/>
                <w:b/>
                <w:sz w:val="24"/>
                <w:szCs w:val="24"/>
              </w:rPr>
              <w:t>days</w:t>
            </w:r>
            <w:proofErr w:type="spellEnd"/>
            <w:proofErr w:type="gramEnd"/>
            <w:r w:rsidRPr="00FA3F9C">
              <w:rPr>
                <w:rFonts w:ascii="Arial" w:hAnsi="Arial" w:cs="Arial"/>
                <w:b/>
                <w:sz w:val="24"/>
                <w:szCs w:val="24"/>
              </w:rPr>
              <w:t xml:space="preserve"> supply of 20.</w:t>
            </w:r>
          </w:p>
        </w:tc>
      </w:tr>
      <w:tr w:rsidR="00C3036D" w:rsidRPr="00FA3F9C" w14:paraId="4D4B9EC0" w14:textId="77777777" w:rsidTr="00CC69F1">
        <w:trPr>
          <w:trHeight w:val="377"/>
        </w:trPr>
        <w:tc>
          <w:tcPr>
            <w:tcW w:w="10790" w:type="dxa"/>
            <w:shd w:val="clear" w:color="auto" w:fill="FFFFFF" w:themeFill="background1"/>
          </w:tcPr>
          <w:p w14:paraId="5EC52C91" w14:textId="77777777" w:rsidR="00C3036D" w:rsidRPr="00FA3F9C" w:rsidRDefault="00C3036D" w:rsidP="00781808">
            <w:pPr>
              <w:rPr>
                <w:rFonts w:ascii="Arial" w:hAnsi="Arial" w:cs="Arial"/>
                <w:sz w:val="24"/>
                <w:szCs w:val="24"/>
              </w:rPr>
            </w:pPr>
            <w:r w:rsidRPr="00FA3F9C">
              <w:rPr>
                <w:rFonts w:ascii="Arial" w:hAnsi="Arial" w:cs="Arial"/>
                <w:b/>
                <w:sz w:val="24"/>
                <w:szCs w:val="24"/>
              </w:rPr>
              <w:t xml:space="preserve">Dosing:  </w:t>
            </w:r>
            <w:r w:rsidRPr="00FA3F9C">
              <w:rPr>
                <w:rFonts w:ascii="Arial" w:hAnsi="Arial" w:cs="Arial"/>
                <w:sz w:val="24"/>
                <w:szCs w:val="24"/>
              </w:rPr>
              <w:t>400mg TID for 20 days.</w:t>
            </w:r>
          </w:p>
        </w:tc>
      </w:tr>
    </w:tbl>
    <w:p w14:paraId="6916110D" w14:textId="77777777" w:rsidR="00C3036D" w:rsidRPr="00FA3F9C" w:rsidRDefault="00C3036D" w:rsidP="00EC764A">
      <w:pPr>
        <w:rPr>
          <w:rFonts w:ascii="Arial" w:hAnsi="Arial" w:cs="Arial"/>
          <w:sz w:val="24"/>
          <w:szCs w:val="24"/>
        </w:rPr>
      </w:pPr>
    </w:p>
    <w:p w14:paraId="0E990FBE" w14:textId="77777777" w:rsidR="00C3036D" w:rsidRPr="00FA3F9C" w:rsidRDefault="00C3036D" w:rsidP="00CC69F1">
      <w:pPr>
        <w:rPr>
          <w:rFonts w:ascii="Arial" w:hAnsi="Arial" w:cs="Arial"/>
          <w:sz w:val="24"/>
          <w:szCs w:val="24"/>
        </w:rPr>
      </w:pPr>
      <w:r w:rsidRPr="00FA3F9C">
        <w:rPr>
          <w:rFonts w:ascii="Arial" w:hAnsi="Arial" w:cs="Arial"/>
          <w:sz w:val="24"/>
          <w:szCs w:val="24"/>
        </w:rPr>
        <w:t>References:</w:t>
      </w:r>
    </w:p>
    <w:p w14:paraId="20FDB4B5" w14:textId="77777777" w:rsidR="00C3036D" w:rsidRPr="00FA3F9C" w:rsidRDefault="00C3036D" w:rsidP="00CC69F1">
      <w:pPr>
        <w:rPr>
          <w:rFonts w:ascii="Arial" w:hAnsi="Arial" w:cs="Arial"/>
          <w:sz w:val="24"/>
          <w:szCs w:val="24"/>
        </w:rPr>
      </w:pPr>
      <w:r w:rsidRPr="00FA3F9C">
        <w:rPr>
          <w:rFonts w:ascii="Arial" w:hAnsi="Arial" w:cs="Arial"/>
          <w:sz w:val="24"/>
          <w:szCs w:val="24"/>
        </w:rPr>
        <w:t xml:space="preserve">1. </w:t>
      </w:r>
      <w:proofErr w:type="spellStart"/>
      <w:r w:rsidRPr="00FA3F9C">
        <w:rPr>
          <w:rFonts w:ascii="Arial" w:hAnsi="Arial" w:cs="Arial"/>
          <w:sz w:val="24"/>
          <w:szCs w:val="24"/>
        </w:rPr>
        <w:t>Xifaxan</w:t>
      </w:r>
      <w:proofErr w:type="spellEnd"/>
      <w:r w:rsidRPr="00FA3F9C">
        <w:rPr>
          <w:rFonts w:ascii="Arial" w:hAnsi="Arial" w:cs="Arial"/>
          <w:sz w:val="24"/>
          <w:szCs w:val="24"/>
        </w:rPr>
        <w:t xml:space="preserve"> Package Insert. </w:t>
      </w:r>
      <w:hyperlink r:id="rId360" w:history="1">
        <w:r w:rsidRPr="00FA3F9C">
          <w:rPr>
            <w:rStyle w:val="Hyperlink"/>
            <w:rFonts w:ascii="Arial" w:hAnsi="Arial" w:cs="Arial"/>
            <w:sz w:val="24"/>
            <w:szCs w:val="24"/>
          </w:rPr>
          <w:t>https://www.xifaxan.com/</w:t>
        </w:r>
      </w:hyperlink>
    </w:p>
    <w:p w14:paraId="400A3E93" w14:textId="77777777" w:rsidR="00C3036D" w:rsidRPr="00222A23" w:rsidRDefault="00C3036D" w:rsidP="00CC69F1">
      <w:pPr>
        <w:rPr>
          <w:rFonts w:ascii="Arial" w:hAnsi="Arial" w:cs="Arial"/>
          <w:sz w:val="24"/>
          <w:szCs w:val="24"/>
          <w:lang w:val="fr-FR"/>
        </w:rPr>
      </w:pPr>
      <w:r w:rsidRPr="00222A23">
        <w:rPr>
          <w:rFonts w:ascii="Arial" w:hAnsi="Arial" w:cs="Arial"/>
          <w:sz w:val="24"/>
          <w:szCs w:val="24"/>
          <w:lang w:val="fr-FR"/>
        </w:rPr>
        <w:t xml:space="preserve">2. Conner BA. Traveler’s </w:t>
      </w:r>
      <w:proofErr w:type="spellStart"/>
      <w:r w:rsidRPr="00222A23">
        <w:rPr>
          <w:rFonts w:ascii="Arial" w:hAnsi="Arial" w:cs="Arial"/>
          <w:sz w:val="24"/>
          <w:szCs w:val="24"/>
          <w:lang w:val="fr-FR"/>
        </w:rPr>
        <w:t>Diarrhea</w:t>
      </w:r>
      <w:proofErr w:type="spellEnd"/>
      <w:r w:rsidRPr="00222A23">
        <w:rPr>
          <w:rFonts w:ascii="Arial" w:hAnsi="Arial" w:cs="Arial"/>
          <w:sz w:val="24"/>
          <w:szCs w:val="24"/>
          <w:lang w:val="fr-FR"/>
        </w:rPr>
        <w:t>. http://wwwnc.cdc.gov/travel/yellowbook/2016/the-pre-travel-consultation/travelers-diarrhea</w:t>
      </w:r>
    </w:p>
    <w:p w14:paraId="640F576E" w14:textId="77777777" w:rsidR="00C3036D" w:rsidRPr="00FA3F9C" w:rsidRDefault="00C3036D" w:rsidP="00CC69F1">
      <w:pPr>
        <w:rPr>
          <w:rFonts w:ascii="Arial" w:hAnsi="Arial" w:cs="Arial"/>
          <w:sz w:val="24"/>
          <w:szCs w:val="24"/>
        </w:rPr>
      </w:pPr>
      <w:r w:rsidRPr="00FA3F9C">
        <w:rPr>
          <w:rFonts w:ascii="Arial" w:hAnsi="Arial" w:cs="Arial"/>
          <w:sz w:val="24"/>
          <w:szCs w:val="24"/>
          <w:lang w:val="fr-FR"/>
        </w:rPr>
        <w:t xml:space="preserve">3. </w:t>
      </w:r>
      <w:proofErr w:type="spellStart"/>
      <w:r w:rsidRPr="00FA3F9C">
        <w:rPr>
          <w:rFonts w:ascii="Arial" w:hAnsi="Arial" w:cs="Arial"/>
          <w:sz w:val="24"/>
          <w:szCs w:val="24"/>
          <w:lang w:val="fr-FR"/>
        </w:rPr>
        <w:t>Pimentel</w:t>
      </w:r>
      <w:proofErr w:type="spellEnd"/>
      <w:r w:rsidRPr="00FA3F9C">
        <w:rPr>
          <w:rFonts w:ascii="Arial" w:hAnsi="Arial" w:cs="Arial"/>
          <w:sz w:val="24"/>
          <w:szCs w:val="24"/>
          <w:lang w:val="fr-FR"/>
        </w:rPr>
        <w:t xml:space="preserve"> M, </w:t>
      </w:r>
      <w:proofErr w:type="spellStart"/>
      <w:r w:rsidRPr="00FA3F9C">
        <w:rPr>
          <w:rFonts w:ascii="Arial" w:hAnsi="Arial" w:cs="Arial"/>
          <w:sz w:val="24"/>
          <w:szCs w:val="24"/>
          <w:lang w:val="fr-FR"/>
        </w:rPr>
        <w:t>Lembo</w:t>
      </w:r>
      <w:proofErr w:type="spellEnd"/>
      <w:r w:rsidRPr="00FA3F9C">
        <w:rPr>
          <w:rFonts w:ascii="Arial" w:hAnsi="Arial" w:cs="Arial"/>
          <w:sz w:val="24"/>
          <w:szCs w:val="24"/>
          <w:lang w:val="fr-FR"/>
        </w:rPr>
        <w:t xml:space="preserve"> A, </w:t>
      </w:r>
      <w:proofErr w:type="spellStart"/>
      <w:r w:rsidRPr="00FA3F9C">
        <w:rPr>
          <w:rFonts w:ascii="Arial" w:hAnsi="Arial" w:cs="Arial"/>
          <w:sz w:val="24"/>
          <w:szCs w:val="24"/>
          <w:lang w:val="fr-FR"/>
        </w:rPr>
        <w:t>Chey</w:t>
      </w:r>
      <w:proofErr w:type="spellEnd"/>
      <w:r w:rsidRPr="00FA3F9C">
        <w:rPr>
          <w:rFonts w:ascii="Arial" w:hAnsi="Arial" w:cs="Arial"/>
          <w:sz w:val="24"/>
          <w:szCs w:val="24"/>
          <w:lang w:val="fr-FR"/>
        </w:rPr>
        <w:t xml:space="preserve"> WD, et al. </w:t>
      </w:r>
      <w:r w:rsidRPr="00FA3F9C">
        <w:rPr>
          <w:rFonts w:ascii="Arial" w:hAnsi="Arial" w:cs="Arial"/>
          <w:sz w:val="24"/>
          <w:szCs w:val="24"/>
        </w:rPr>
        <w:t xml:space="preserve">Rifaximin Therapy for Patients with Irritable Bowel Syndrome without Constipation. N </w:t>
      </w:r>
      <w:proofErr w:type="spellStart"/>
      <w:r w:rsidRPr="00FA3F9C">
        <w:rPr>
          <w:rFonts w:ascii="Arial" w:hAnsi="Arial" w:cs="Arial"/>
          <w:sz w:val="24"/>
          <w:szCs w:val="24"/>
        </w:rPr>
        <w:t>Engl</w:t>
      </w:r>
      <w:proofErr w:type="spellEnd"/>
      <w:r w:rsidRPr="00FA3F9C">
        <w:rPr>
          <w:rFonts w:ascii="Arial" w:hAnsi="Arial" w:cs="Arial"/>
          <w:sz w:val="24"/>
          <w:szCs w:val="24"/>
        </w:rPr>
        <w:t xml:space="preserve"> J Med 2011;364:22-32.</w:t>
      </w:r>
    </w:p>
    <w:p w14:paraId="3B9A027C" w14:textId="77777777" w:rsidR="00C3036D" w:rsidRPr="00FA3F9C" w:rsidRDefault="00C3036D" w:rsidP="00CC69F1">
      <w:pPr>
        <w:rPr>
          <w:rFonts w:ascii="Arial" w:hAnsi="Arial" w:cs="Arial"/>
          <w:sz w:val="24"/>
          <w:szCs w:val="24"/>
        </w:rPr>
      </w:pPr>
      <w:r w:rsidRPr="00FA3F9C">
        <w:rPr>
          <w:rFonts w:ascii="Arial" w:hAnsi="Arial" w:cs="Arial"/>
          <w:sz w:val="24"/>
          <w:szCs w:val="24"/>
        </w:rPr>
        <w:t>4. Wald A, et al. Treatment of Irritable Bowel Syndrome in adults. Up to Date. Jan 28, 2016.</w:t>
      </w:r>
    </w:p>
    <w:p w14:paraId="1E5E1BA0" w14:textId="77777777" w:rsidR="00C3036D" w:rsidRPr="00FA3F9C" w:rsidRDefault="00C3036D" w:rsidP="00CC69F1">
      <w:pPr>
        <w:rPr>
          <w:rFonts w:ascii="Arial" w:hAnsi="Arial" w:cs="Arial"/>
          <w:sz w:val="24"/>
          <w:szCs w:val="24"/>
        </w:rPr>
      </w:pPr>
      <w:r w:rsidRPr="00FA3F9C">
        <w:rPr>
          <w:rFonts w:ascii="Arial" w:hAnsi="Arial" w:cs="Arial"/>
          <w:sz w:val="24"/>
          <w:szCs w:val="24"/>
        </w:rPr>
        <w:t xml:space="preserve">5. </w:t>
      </w:r>
      <w:r w:rsidRPr="00FA3F9C">
        <w:rPr>
          <w:rFonts w:ascii="Arial" w:hAnsi="Arial" w:cs="Arial"/>
          <w:color w:val="222222"/>
          <w:sz w:val="24"/>
          <w:szCs w:val="24"/>
          <w:shd w:val="clear" w:color="auto" w:fill="FFFFFF"/>
        </w:rPr>
        <w:t>McDonald, L. Clifford, et al. "Clinical practice guidelines for Clostridium difficile Infection in Adults and Children: 2017 update by the Infectious Diseases Society of America (IDSA) and Society for Healthcare Epidemiology of America (SHEA)." </w:t>
      </w:r>
      <w:r w:rsidRPr="00FA3F9C">
        <w:rPr>
          <w:rFonts w:ascii="Arial" w:hAnsi="Arial" w:cs="Arial"/>
          <w:i/>
          <w:iCs/>
          <w:color w:val="222222"/>
          <w:sz w:val="24"/>
          <w:szCs w:val="24"/>
          <w:shd w:val="clear" w:color="auto" w:fill="FFFFFF"/>
        </w:rPr>
        <w:t>Clinical Infectious Diseases</w:t>
      </w:r>
      <w:r w:rsidRPr="00FA3F9C">
        <w:rPr>
          <w:rFonts w:ascii="Arial" w:hAnsi="Arial" w:cs="Arial"/>
          <w:color w:val="222222"/>
          <w:sz w:val="24"/>
          <w:szCs w:val="24"/>
          <w:shd w:val="clear" w:color="auto" w:fill="FFFFFF"/>
        </w:rPr>
        <w:t> 66.7 (2018): e1-e48.</w:t>
      </w:r>
    </w:p>
    <w:p w14:paraId="1B569508" w14:textId="77777777" w:rsidR="00C3036D" w:rsidRPr="00FA3F9C" w:rsidRDefault="00C3036D" w:rsidP="00CC69F1">
      <w:pPr>
        <w:rPr>
          <w:rFonts w:ascii="Arial" w:hAnsi="Arial" w:cs="Arial"/>
          <w:color w:val="222222"/>
          <w:sz w:val="24"/>
          <w:szCs w:val="24"/>
          <w:shd w:val="clear" w:color="auto" w:fill="F8F8F8"/>
        </w:rPr>
      </w:pPr>
      <w:r w:rsidRPr="00FA3F9C">
        <w:rPr>
          <w:rFonts w:ascii="Arial" w:hAnsi="Arial" w:cs="Arial"/>
          <w:sz w:val="24"/>
          <w:szCs w:val="24"/>
        </w:rPr>
        <w:t xml:space="preserve">6. </w:t>
      </w:r>
      <w:r w:rsidRPr="00FA3F9C">
        <w:rPr>
          <w:rFonts w:ascii="Arial" w:hAnsi="Arial" w:cs="Arial"/>
          <w:color w:val="222222"/>
          <w:sz w:val="24"/>
          <w:szCs w:val="24"/>
          <w:shd w:val="clear" w:color="auto" w:fill="F8F8F8"/>
        </w:rPr>
        <w:t xml:space="preserve">Rivkin, Anastasia, and Sergey </w:t>
      </w:r>
      <w:proofErr w:type="spellStart"/>
      <w:r w:rsidRPr="00FA3F9C">
        <w:rPr>
          <w:rFonts w:ascii="Arial" w:hAnsi="Arial" w:cs="Arial"/>
          <w:color w:val="222222"/>
          <w:sz w:val="24"/>
          <w:szCs w:val="24"/>
          <w:shd w:val="clear" w:color="auto" w:fill="F8F8F8"/>
        </w:rPr>
        <w:t>Rybalov</w:t>
      </w:r>
      <w:proofErr w:type="spellEnd"/>
      <w:r w:rsidRPr="00FA3F9C">
        <w:rPr>
          <w:rFonts w:ascii="Arial" w:hAnsi="Arial" w:cs="Arial"/>
          <w:color w:val="222222"/>
          <w:sz w:val="24"/>
          <w:szCs w:val="24"/>
          <w:shd w:val="clear" w:color="auto" w:fill="F8F8F8"/>
        </w:rPr>
        <w:t>. "Update on the management of diarrhea</w:t>
      </w:r>
      <w:r w:rsidRPr="00FA3F9C">
        <w:rPr>
          <w:rFonts w:ascii="Cambria Math" w:hAnsi="Cambria Math" w:cs="Cambria Math"/>
          <w:color w:val="222222"/>
          <w:sz w:val="24"/>
          <w:szCs w:val="24"/>
          <w:shd w:val="clear" w:color="auto" w:fill="F8F8F8"/>
        </w:rPr>
        <w:t>‐</w:t>
      </w:r>
      <w:r w:rsidRPr="00FA3F9C">
        <w:rPr>
          <w:rFonts w:ascii="Arial" w:hAnsi="Arial" w:cs="Arial"/>
          <w:color w:val="222222"/>
          <w:sz w:val="24"/>
          <w:szCs w:val="24"/>
          <w:shd w:val="clear" w:color="auto" w:fill="F8F8F8"/>
        </w:rPr>
        <w:t xml:space="preserve">predominant irritable bowel syndrome: focus on rifaximin and </w:t>
      </w:r>
      <w:proofErr w:type="spellStart"/>
      <w:r w:rsidRPr="00FA3F9C">
        <w:rPr>
          <w:rFonts w:ascii="Arial" w:hAnsi="Arial" w:cs="Arial"/>
          <w:color w:val="222222"/>
          <w:sz w:val="24"/>
          <w:szCs w:val="24"/>
          <w:shd w:val="clear" w:color="auto" w:fill="F8F8F8"/>
        </w:rPr>
        <w:t>eluxadoline</w:t>
      </w:r>
      <w:proofErr w:type="spellEnd"/>
      <w:r w:rsidRPr="00FA3F9C">
        <w:rPr>
          <w:rFonts w:ascii="Arial" w:hAnsi="Arial" w:cs="Arial"/>
          <w:color w:val="222222"/>
          <w:sz w:val="24"/>
          <w:szCs w:val="24"/>
          <w:shd w:val="clear" w:color="auto" w:fill="F8F8F8"/>
        </w:rPr>
        <w:t>." </w:t>
      </w:r>
      <w:r w:rsidRPr="00FA3F9C">
        <w:rPr>
          <w:rFonts w:ascii="Arial" w:hAnsi="Arial" w:cs="Arial"/>
          <w:i/>
          <w:iCs/>
          <w:color w:val="222222"/>
          <w:sz w:val="24"/>
          <w:szCs w:val="24"/>
          <w:shd w:val="clear" w:color="auto" w:fill="F8F8F8"/>
        </w:rPr>
        <w:t>Pharmacotherapy: The Journal of Human Pharmacology and Drug Therapy</w:t>
      </w:r>
      <w:r w:rsidRPr="00FA3F9C">
        <w:rPr>
          <w:rFonts w:ascii="Arial" w:hAnsi="Arial" w:cs="Arial"/>
          <w:color w:val="222222"/>
          <w:sz w:val="24"/>
          <w:szCs w:val="24"/>
          <w:shd w:val="clear" w:color="auto" w:fill="F8F8F8"/>
        </w:rPr>
        <w:t> 36.3 (2016): 300-316.</w:t>
      </w:r>
    </w:p>
    <w:p w14:paraId="63A00774" w14:textId="77777777" w:rsidR="00C3036D" w:rsidRPr="00FA3F9C" w:rsidRDefault="00C3036D" w:rsidP="0052674A">
      <w:pPr>
        <w:rPr>
          <w:rFonts w:ascii="Arial" w:hAnsi="Arial" w:cs="Arial"/>
          <w:sz w:val="24"/>
          <w:szCs w:val="24"/>
        </w:rPr>
      </w:pPr>
    </w:p>
    <w:tbl>
      <w:tblPr>
        <w:tblStyle w:val="TableGrid"/>
        <w:tblW w:w="0" w:type="auto"/>
        <w:tblLook w:val="04A0" w:firstRow="1" w:lastRow="0" w:firstColumn="1" w:lastColumn="0" w:noHBand="0" w:noVBand="1"/>
      </w:tblPr>
      <w:tblGrid>
        <w:gridCol w:w="1284"/>
        <w:gridCol w:w="8257"/>
        <w:gridCol w:w="1255"/>
      </w:tblGrid>
      <w:tr w:rsidR="00C3036D" w:rsidRPr="00FA3F9C" w14:paraId="2CD39B13" w14:textId="77777777" w:rsidTr="00CC69F1">
        <w:tc>
          <w:tcPr>
            <w:tcW w:w="1278" w:type="dxa"/>
          </w:tcPr>
          <w:p w14:paraId="0D4AEC26" w14:textId="77777777" w:rsidR="00C3036D" w:rsidRPr="00FA3F9C" w:rsidRDefault="00C3036D" w:rsidP="00DA66EF">
            <w:pPr>
              <w:jc w:val="center"/>
              <w:rPr>
                <w:rFonts w:ascii="Arial" w:hAnsi="Arial" w:cs="Arial"/>
                <w:b/>
                <w:sz w:val="24"/>
                <w:szCs w:val="24"/>
              </w:rPr>
            </w:pPr>
            <w:r w:rsidRPr="00FA3F9C">
              <w:rPr>
                <w:rFonts w:ascii="Arial" w:hAnsi="Arial" w:cs="Arial"/>
                <w:b/>
                <w:sz w:val="24"/>
                <w:szCs w:val="24"/>
              </w:rPr>
              <w:t>Date</w:t>
            </w:r>
          </w:p>
        </w:tc>
        <w:tc>
          <w:tcPr>
            <w:tcW w:w="8257" w:type="dxa"/>
          </w:tcPr>
          <w:p w14:paraId="0E521CB7" w14:textId="77777777" w:rsidR="00C3036D" w:rsidRPr="00FA3F9C" w:rsidRDefault="00C3036D" w:rsidP="00DA66EF">
            <w:pPr>
              <w:jc w:val="center"/>
              <w:rPr>
                <w:rFonts w:ascii="Arial" w:hAnsi="Arial" w:cs="Arial"/>
                <w:b/>
                <w:sz w:val="24"/>
                <w:szCs w:val="24"/>
              </w:rPr>
            </w:pPr>
            <w:r w:rsidRPr="00FA3F9C">
              <w:rPr>
                <w:rFonts w:ascii="Arial" w:hAnsi="Arial" w:cs="Arial"/>
                <w:b/>
                <w:sz w:val="24"/>
                <w:szCs w:val="24"/>
              </w:rPr>
              <w:t>What changed</w:t>
            </w:r>
          </w:p>
        </w:tc>
        <w:tc>
          <w:tcPr>
            <w:tcW w:w="1255" w:type="dxa"/>
          </w:tcPr>
          <w:p w14:paraId="7F2440B7" w14:textId="77777777" w:rsidR="00C3036D" w:rsidRPr="00FA3F9C" w:rsidRDefault="00C3036D" w:rsidP="00DA66EF">
            <w:pPr>
              <w:jc w:val="center"/>
              <w:rPr>
                <w:rFonts w:ascii="Arial" w:hAnsi="Arial" w:cs="Arial"/>
                <w:b/>
                <w:sz w:val="24"/>
                <w:szCs w:val="24"/>
              </w:rPr>
            </w:pPr>
            <w:r w:rsidRPr="00FA3F9C">
              <w:rPr>
                <w:rFonts w:ascii="Arial" w:hAnsi="Arial" w:cs="Arial"/>
                <w:b/>
                <w:sz w:val="24"/>
                <w:szCs w:val="24"/>
              </w:rPr>
              <w:t>PharmD Initials</w:t>
            </w:r>
          </w:p>
        </w:tc>
      </w:tr>
      <w:tr w:rsidR="00C3036D" w:rsidRPr="00FA3F9C" w14:paraId="2358FEDB" w14:textId="77777777" w:rsidTr="00CC69F1">
        <w:tc>
          <w:tcPr>
            <w:tcW w:w="1278" w:type="dxa"/>
          </w:tcPr>
          <w:p w14:paraId="4CF105A3" w14:textId="77777777" w:rsidR="00C3036D" w:rsidRPr="00FA3F9C" w:rsidRDefault="00C3036D" w:rsidP="00DA66EF">
            <w:pPr>
              <w:rPr>
                <w:rFonts w:ascii="Arial" w:hAnsi="Arial" w:cs="Arial"/>
                <w:sz w:val="24"/>
                <w:szCs w:val="24"/>
              </w:rPr>
            </w:pPr>
            <w:r w:rsidRPr="00FA3F9C">
              <w:rPr>
                <w:rFonts w:ascii="Arial" w:hAnsi="Arial" w:cs="Arial"/>
                <w:sz w:val="24"/>
                <w:szCs w:val="24"/>
              </w:rPr>
              <w:lastRenderedPageBreak/>
              <w:t>4.26.2016</w:t>
            </w:r>
          </w:p>
        </w:tc>
        <w:tc>
          <w:tcPr>
            <w:tcW w:w="8257" w:type="dxa"/>
          </w:tcPr>
          <w:p w14:paraId="557220F8" w14:textId="77777777" w:rsidR="00C3036D" w:rsidRPr="00FA3F9C" w:rsidRDefault="00C3036D" w:rsidP="00DA66EF">
            <w:pPr>
              <w:rPr>
                <w:rFonts w:ascii="Arial" w:hAnsi="Arial" w:cs="Arial"/>
                <w:sz w:val="24"/>
                <w:szCs w:val="24"/>
              </w:rPr>
            </w:pPr>
            <w:r w:rsidRPr="00FA3F9C">
              <w:rPr>
                <w:rFonts w:ascii="Arial" w:hAnsi="Arial" w:cs="Arial"/>
                <w:sz w:val="24"/>
                <w:szCs w:val="24"/>
              </w:rPr>
              <w:t>PA criteria written</w:t>
            </w:r>
          </w:p>
        </w:tc>
        <w:tc>
          <w:tcPr>
            <w:tcW w:w="1255" w:type="dxa"/>
          </w:tcPr>
          <w:p w14:paraId="1667B35F" w14:textId="77777777" w:rsidR="00C3036D" w:rsidRPr="00FA3F9C" w:rsidRDefault="00C3036D" w:rsidP="00DA66EF">
            <w:pPr>
              <w:rPr>
                <w:rFonts w:ascii="Arial" w:hAnsi="Arial" w:cs="Arial"/>
                <w:sz w:val="24"/>
                <w:szCs w:val="24"/>
              </w:rPr>
            </w:pPr>
            <w:r w:rsidRPr="00FA3F9C">
              <w:rPr>
                <w:rFonts w:ascii="Arial" w:hAnsi="Arial" w:cs="Arial"/>
                <w:sz w:val="24"/>
                <w:szCs w:val="24"/>
              </w:rPr>
              <w:t>GBB</w:t>
            </w:r>
          </w:p>
        </w:tc>
      </w:tr>
      <w:tr w:rsidR="00C3036D" w:rsidRPr="00FA3F9C" w14:paraId="156E13FF" w14:textId="77777777" w:rsidTr="00CC69F1">
        <w:tc>
          <w:tcPr>
            <w:tcW w:w="1278" w:type="dxa"/>
          </w:tcPr>
          <w:p w14:paraId="2835EC01" w14:textId="77777777" w:rsidR="00C3036D" w:rsidRPr="00FA3F9C" w:rsidRDefault="00C3036D" w:rsidP="00DA66EF">
            <w:pPr>
              <w:rPr>
                <w:rFonts w:ascii="Arial" w:hAnsi="Arial" w:cs="Arial"/>
                <w:sz w:val="24"/>
                <w:szCs w:val="24"/>
              </w:rPr>
            </w:pPr>
            <w:r w:rsidRPr="00FA3F9C">
              <w:rPr>
                <w:rFonts w:ascii="Arial" w:hAnsi="Arial" w:cs="Arial"/>
                <w:sz w:val="24"/>
                <w:szCs w:val="24"/>
              </w:rPr>
              <w:t>4/25/18</w:t>
            </w:r>
          </w:p>
        </w:tc>
        <w:tc>
          <w:tcPr>
            <w:tcW w:w="8257" w:type="dxa"/>
          </w:tcPr>
          <w:p w14:paraId="37ABB10A" w14:textId="77777777" w:rsidR="00C3036D" w:rsidRPr="00FA3F9C" w:rsidRDefault="00C3036D" w:rsidP="00DA66EF">
            <w:pPr>
              <w:rPr>
                <w:rFonts w:ascii="Arial" w:hAnsi="Arial" w:cs="Arial"/>
                <w:sz w:val="24"/>
                <w:szCs w:val="24"/>
              </w:rPr>
            </w:pPr>
            <w:r w:rsidRPr="00FA3F9C">
              <w:rPr>
                <w:rFonts w:ascii="Arial" w:hAnsi="Arial" w:cs="Arial"/>
                <w:sz w:val="24"/>
                <w:szCs w:val="24"/>
              </w:rPr>
              <w:t xml:space="preserve">I added </w:t>
            </w:r>
            <w:proofErr w:type="spellStart"/>
            <w:r w:rsidRPr="00FA3F9C">
              <w:rPr>
                <w:rFonts w:ascii="Arial" w:hAnsi="Arial" w:cs="Arial"/>
                <w:sz w:val="24"/>
                <w:szCs w:val="24"/>
              </w:rPr>
              <w:t>Cdif</w:t>
            </w:r>
            <w:proofErr w:type="spellEnd"/>
            <w:r w:rsidRPr="00FA3F9C">
              <w:rPr>
                <w:rFonts w:ascii="Arial" w:hAnsi="Arial" w:cs="Arial"/>
                <w:sz w:val="24"/>
                <w:szCs w:val="24"/>
              </w:rPr>
              <w:t xml:space="preserve"> to the criteria as well as reference 5.</w:t>
            </w:r>
          </w:p>
        </w:tc>
        <w:tc>
          <w:tcPr>
            <w:tcW w:w="1255" w:type="dxa"/>
          </w:tcPr>
          <w:p w14:paraId="50B39BD5" w14:textId="77777777" w:rsidR="00C3036D" w:rsidRPr="00FA3F9C" w:rsidRDefault="00C3036D" w:rsidP="00DA66EF">
            <w:pPr>
              <w:rPr>
                <w:rFonts w:ascii="Arial" w:hAnsi="Arial" w:cs="Arial"/>
                <w:sz w:val="24"/>
                <w:szCs w:val="24"/>
              </w:rPr>
            </w:pPr>
            <w:r w:rsidRPr="00FA3F9C">
              <w:rPr>
                <w:rFonts w:ascii="Arial" w:hAnsi="Arial" w:cs="Arial"/>
                <w:sz w:val="24"/>
                <w:szCs w:val="24"/>
              </w:rPr>
              <w:t>JTJ</w:t>
            </w:r>
          </w:p>
        </w:tc>
      </w:tr>
      <w:tr w:rsidR="00C3036D" w:rsidRPr="00FA3F9C" w14:paraId="27FB0422" w14:textId="77777777" w:rsidTr="00CC69F1">
        <w:tc>
          <w:tcPr>
            <w:tcW w:w="1278" w:type="dxa"/>
          </w:tcPr>
          <w:p w14:paraId="3B01DA67" w14:textId="77777777" w:rsidR="00C3036D" w:rsidRPr="00FA3F9C" w:rsidRDefault="00C3036D" w:rsidP="00DA66EF">
            <w:pPr>
              <w:rPr>
                <w:rFonts w:ascii="Arial" w:hAnsi="Arial" w:cs="Arial"/>
                <w:sz w:val="24"/>
                <w:szCs w:val="24"/>
              </w:rPr>
            </w:pPr>
            <w:r w:rsidRPr="00FA3F9C">
              <w:rPr>
                <w:rFonts w:ascii="Arial" w:hAnsi="Arial" w:cs="Arial"/>
                <w:sz w:val="24"/>
                <w:szCs w:val="24"/>
              </w:rPr>
              <w:t>6/7/19</w:t>
            </w:r>
          </w:p>
        </w:tc>
        <w:tc>
          <w:tcPr>
            <w:tcW w:w="8257" w:type="dxa"/>
          </w:tcPr>
          <w:p w14:paraId="5124872B" w14:textId="77777777" w:rsidR="00C3036D" w:rsidRPr="00FA3F9C" w:rsidRDefault="00C3036D" w:rsidP="00DA66EF">
            <w:pPr>
              <w:rPr>
                <w:rFonts w:ascii="Arial" w:hAnsi="Arial" w:cs="Arial"/>
                <w:sz w:val="24"/>
                <w:szCs w:val="24"/>
              </w:rPr>
            </w:pPr>
            <w:r w:rsidRPr="00FA3F9C">
              <w:rPr>
                <w:rFonts w:ascii="Arial" w:hAnsi="Arial" w:cs="Arial"/>
                <w:sz w:val="24"/>
                <w:szCs w:val="24"/>
              </w:rPr>
              <w:t xml:space="preserve">I edited the criteria to no longer cover IBS-D per the EBRx P&amp;T meeting on 5/20/2019.  For IBS-D, UpToDate says, “Although rifaximin is FDA-approved for IBS-D, relapse is </w:t>
            </w:r>
            <w:proofErr w:type="gramStart"/>
            <w:r w:rsidRPr="00FA3F9C">
              <w:rPr>
                <w:rFonts w:ascii="Arial" w:hAnsi="Arial" w:cs="Arial"/>
                <w:sz w:val="24"/>
                <w:szCs w:val="24"/>
              </w:rPr>
              <w:t>usual</w:t>
            </w:r>
            <w:proofErr w:type="gramEnd"/>
            <w:r w:rsidRPr="00FA3F9C">
              <w:rPr>
                <w:rFonts w:ascii="Arial" w:hAnsi="Arial" w:cs="Arial"/>
                <w:sz w:val="24"/>
                <w:szCs w:val="24"/>
              </w:rPr>
              <w:t xml:space="preserve"> and this may indicate the microbiome is not altered.  TCAs were shown effective vs placebo in a meta-analysis of 11 RCTs and may have to do with their anticholinergic properties and slow intestinal transit.  Authors recommend starting with dietary modifications, instituting a low-FODMAP diet, increasing exercise and stress reduction (since the </w:t>
            </w:r>
            <w:proofErr w:type="spellStart"/>
            <w:r w:rsidRPr="00FA3F9C">
              <w:rPr>
                <w:rFonts w:ascii="Arial" w:hAnsi="Arial" w:cs="Arial"/>
                <w:sz w:val="24"/>
                <w:szCs w:val="24"/>
              </w:rPr>
              <w:t>pathophys</w:t>
            </w:r>
            <w:proofErr w:type="spellEnd"/>
            <w:r w:rsidRPr="00FA3F9C">
              <w:rPr>
                <w:rFonts w:ascii="Arial" w:hAnsi="Arial" w:cs="Arial"/>
                <w:sz w:val="24"/>
                <w:szCs w:val="24"/>
              </w:rPr>
              <w:t xml:space="preserve"> is related to the Brain-Gut pathway, adding a probiotic and/or an antispasmodic agent or a TCA.  A 1-month trial of therapy is reasonable before it is stopped.  Then </w:t>
            </w:r>
            <w:proofErr w:type="spellStart"/>
            <w:r w:rsidRPr="00FA3F9C">
              <w:rPr>
                <w:rFonts w:ascii="Arial" w:hAnsi="Arial" w:cs="Arial"/>
                <w:sz w:val="24"/>
                <w:szCs w:val="24"/>
              </w:rPr>
              <w:t>alosetron</w:t>
            </w:r>
            <w:proofErr w:type="spellEnd"/>
            <w:r w:rsidRPr="00FA3F9C">
              <w:rPr>
                <w:rFonts w:ascii="Arial" w:hAnsi="Arial" w:cs="Arial"/>
                <w:sz w:val="24"/>
                <w:szCs w:val="24"/>
              </w:rPr>
              <w:t xml:space="preserve">, </w:t>
            </w:r>
            <w:proofErr w:type="spellStart"/>
            <w:r w:rsidRPr="00FA3F9C">
              <w:rPr>
                <w:rFonts w:ascii="Arial" w:hAnsi="Arial" w:cs="Arial"/>
                <w:sz w:val="24"/>
                <w:szCs w:val="24"/>
              </w:rPr>
              <w:t>eluxadoline</w:t>
            </w:r>
            <w:proofErr w:type="spellEnd"/>
            <w:r w:rsidRPr="00FA3F9C">
              <w:rPr>
                <w:rFonts w:ascii="Arial" w:hAnsi="Arial" w:cs="Arial"/>
                <w:sz w:val="24"/>
                <w:szCs w:val="24"/>
              </w:rPr>
              <w:t>, or rifaximin may help those with IBS-D.  Cure of refractory IBS is generally not possible; avoid opiates.”</w:t>
            </w:r>
          </w:p>
          <w:p w14:paraId="01627017" w14:textId="77777777" w:rsidR="00C3036D" w:rsidRPr="00FA3F9C" w:rsidRDefault="00C3036D" w:rsidP="00DA66EF">
            <w:pPr>
              <w:rPr>
                <w:rFonts w:ascii="Arial" w:hAnsi="Arial" w:cs="Arial"/>
                <w:sz w:val="24"/>
                <w:szCs w:val="24"/>
              </w:rPr>
            </w:pPr>
            <w:r w:rsidRPr="00FA3F9C">
              <w:rPr>
                <w:rFonts w:ascii="Arial" w:hAnsi="Arial" w:cs="Arial"/>
                <w:sz w:val="24"/>
                <w:szCs w:val="24"/>
              </w:rPr>
              <w:t>I also added reference 6.</w:t>
            </w:r>
          </w:p>
        </w:tc>
        <w:tc>
          <w:tcPr>
            <w:tcW w:w="1255" w:type="dxa"/>
          </w:tcPr>
          <w:p w14:paraId="3872D24F" w14:textId="77777777" w:rsidR="00C3036D" w:rsidRPr="00FA3F9C" w:rsidRDefault="00C3036D" w:rsidP="00DA66EF">
            <w:pPr>
              <w:rPr>
                <w:rFonts w:ascii="Arial" w:hAnsi="Arial" w:cs="Arial"/>
                <w:sz w:val="24"/>
                <w:szCs w:val="24"/>
              </w:rPr>
            </w:pPr>
            <w:r w:rsidRPr="00FA3F9C">
              <w:rPr>
                <w:rFonts w:ascii="Arial" w:hAnsi="Arial" w:cs="Arial"/>
                <w:sz w:val="24"/>
                <w:szCs w:val="24"/>
              </w:rPr>
              <w:t>JJ</w:t>
            </w:r>
          </w:p>
        </w:tc>
      </w:tr>
      <w:tr w:rsidR="00C3036D" w:rsidRPr="00FA3F9C" w14:paraId="0E4FFD9F" w14:textId="77777777" w:rsidTr="00CC69F1">
        <w:tc>
          <w:tcPr>
            <w:tcW w:w="1278" w:type="dxa"/>
          </w:tcPr>
          <w:p w14:paraId="63DA4CB7" w14:textId="77777777" w:rsidR="00C3036D" w:rsidRPr="00FA3F9C" w:rsidRDefault="00C3036D" w:rsidP="00DA66EF">
            <w:pPr>
              <w:rPr>
                <w:rFonts w:ascii="Arial" w:hAnsi="Arial" w:cs="Arial"/>
                <w:sz w:val="24"/>
                <w:szCs w:val="24"/>
              </w:rPr>
            </w:pPr>
            <w:r w:rsidRPr="00FA3F9C">
              <w:rPr>
                <w:rFonts w:ascii="Arial" w:hAnsi="Arial" w:cs="Arial"/>
                <w:sz w:val="24"/>
                <w:szCs w:val="24"/>
              </w:rPr>
              <w:t>3/10/21</w:t>
            </w:r>
          </w:p>
        </w:tc>
        <w:tc>
          <w:tcPr>
            <w:tcW w:w="8257" w:type="dxa"/>
          </w:tcPr>
          <w:p w14:paraId="48BDE371" w14:textId="77777777" w:rsidR="00C3036D" w:rsidRPr="00FA3F9C" w:rsidRDefault="00C3036D" w:rsidP="00DA66EF">
            <w:pPr>
              <w:rPr>
                <w:rFonts w:ascii="Arial" w:hAnsi="Arial" w:cs="Arial"/>
                <w:sz w:val="24"/>
                <w:szCs w:val="24"/>
              </w:rPr>
            </w:pPr>
            <w:r w:rsidRPr="00FA3F9C">
              <w:rPr>
                <w:rFonts w:ascii="Arial" w:hAnsi="Arial" w:cs="Arial"/>
                <w:sz w:val="24"/>
                <w:szCs w:val="24"/>
              </w:rPr>
              <w:t>I reviewed the criteria.  Reformatted.  I did not change UAS criteria (they will use their old criteria until JJ asks about not covering IBS-D.</w:t>
            </w:r>
          </w:p>
        </w:tc>
        <w:tc>
          <w:tcPr>
            <w:tcW w:w="1255" w:type="dxa"/>
          </w:tcPr>
          <w:p w14:paraId="37CB5386" w14:textId="77777777" w:rsidR="00C3036D" w:rsidRPr="00FA3F9C" w:rsidRDefault="00C3036D" w:rsidP="00DA66EF">
            <w:pPr>
              <w:rPr>
                <w:rFonts w:ascii="Arial" w:hAnsi="Arial" w:cs="Arial"/>
                <w:sz w:val="24"/>
                <w:szCs w:val="24"/>
              </w:rPr>
            </w:pPr>
            <w:r w:rsidRPr="00FA3F9C">
              <w:rPr>
                <w:rFonts w:ascii="Arial" w:hAnsi="Arial" w:cs="Arial"/>
                <w:sz w:val="24"/>
                <w:szCs w:val="24"/>
              </w:rPr>
              <w:t>JJ</w:t>
            </w:r>
          </w:p>
        </w:tc>
      </w:tr>
    </w:tbl>
    <w:p w14:paraId="2DC16A3F" w14:textId="77777777" w:rsidR="00C3036D" w:rsidRPr="00FA3F9C" w:rsidRDefault="00C3036D" w:rsidP="00C21FFA">
      <w:pPr>
        <w:rPr>
          <w:rFonts w:ascii="Arial" w:hAnsi="Arial" w:cs="Arial"/>
          <w:b/>
          <w:sz w:val="24"/>
          <w:szCs w:val="24"/>
        </w:rPr>
      </w:pPr>
    </w:p>
    <w:p w14:paraId="205B6F08" w14:textId="77777777" w:rsidR="00C3036D" w:rsidRPr="00FA3F9C" w:rsidRDefault="00C3036D" w:rsidP="002B2097">
      <w:pPr>
        <w:pStyle w:val="Heading2"/>
      </w:pPr>
      <w:bookmarkStart w:id="287" w:name="_Toc106369911"/>
      <w:r w:rsidRPr="00FA3F9C">
        <w:t>Rimegepant (</w:t>
      </w:r>
      <w:proofErr w:type="spellStart"/>
      <w:r w:rsidRPr="00FA3F9C">
        <w:t>Nurtec</w:t>
      </w:r>
      <w:proofErr w:type="spellEnd"/>
      <w:r w:rsidRPr="00FA3F9C">
        <w:t xml:space="preserve"> ODT)</w:t>
      </w:r>
      <w:bookmarkEnd w:id="287"/>
    </w:p>
    <w:p w14:paraId="6EBF54A7" w14:textId="77777777" w:rsidR="00C3036D" w:rsidRPr="00FA3F9C" w:rsidRDefault="00C3036D" w:rsidP="006F623F">
      <w:pPr>
        <w:spacing w:after="0"/>
        <w:jc w:val="center"/>
        <w:rPr>
          <w:rFonts w:ascii="Arial" w:hAnsi="Arial" w:cs="Arial"/>
          <w:b/>
          <w:sz w:val="24"/>
          <w:szCs w:val="24"/>
        </w:rPr>
      </w:pPr>
      <w:r w:rsidRPr="00FA3F9C">
        <w:rPr>
          <w:rFonts w:ascii="Arial" w:hAnsi="Arial" w:cs="Arial"/>
          <w:b/>
          <w:sz w:val="24"/>
          <w:szCs w:val="24"/>
        </w:rPr>
        <w:t>EBRx PA Criteria</w:t>
      </w:r>
    </w:p>
    <w:p w14:paraId="3D1F8733" w14:textId="77777777" w:rsidR="00C3036D" w:rsidRPr="00FA3F9C" w:rsidRDefault="00C3036D" w:rsidP="006F623F">
      <w:pPr>
        <w:spacing w:after="0"/>
        <w:rPr>
          <w:rFonts w:ascii="Arial" w:hAnsi="Arial" w:cs="Arial"/>
          <w:b/>
          <w:sz w:val="24"/>
          <w:szCs w:val="24"/>
          <w:u w:val="single"/>
        </w:rPr>
      </w:pPr>
    </w:p>
    <w:p w14:paraId="7D92852B" w14:textId="77777777" w:rsidR="00C3036D" w:rsidRPr="00FA3F9C" w:rsidRDefault="00C3036D"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w:t>
      </w:r>
    </w:p>
    <w:p w14:paraId="790BB40F" w14:textId="77777777" w:rsidR="00C3036D" w:rsidRPr="00FA3F9C" w:rsidRDefault="00C3036D" w:rsidP="00FC1E85">
      <w:pPr>
        <w:pStyle w:val="ListParagraph"/>
        <w:numPr>
          <w:ilvl w:val="0"/>
          <w:numId w:val="448"/>
        </w:numPr>
        <w:spacing w:after="0" w:line="276" w:lineRule="auto"/>
        <w:rPr>
          <w:rFonts w:ascii="Arial" w:hAnsi="Arial" w:cs="Arial"/>
          <w:sz w:val="24"/>
          <w:szCs w:val="24"/>
        </w:rPr>
      </w:pPr>
      <w:r w:rsidRPr="00FA3F9C">
        <w:rPr>
          <w:rFonts w:ascii="Arial" w:hAnsi="Arial" w:cs="Arial"/>
          <w:sz w:val="24"/>
          <w:szCs w:val="24"/>
        </w:rPr>
        <w:t>Acute treatment of migraine with or without aura in adults.</w:t>
      </w:r>
    </w:p>
    <w:p w14:paraId="5107A3F3" w14:textId="77777777" w:rsidR="00C3036D" w:rsidRPr="00FA3F9C" w:rsidRDefault="00C3036D" w:rsidP="00FC1E85">
      <w:pPr>
        <w:pStyle w:val="ListParagraph"/>
        <w:numPr>
          <w:ilvl w:val="0"/>
          <w:numId w:val="448"/>
        </w:numPr>
        <w:spacing w:after="0" w:line="276" w:lineRule="auto"/>
        <w:rPr>
          <w:rFonts w:ascii="Arial" w:hAnsi="Arial" w:cs="Arial"/>
          <w:sz w:val="24"/>
          <w:szCs w:val="24"/>
          <w:highlight w:val="yellow"/>
        </w:rPr>
      </w:pPr>
      <w:r w:rsidRPr="00FA3F9C">
        <w:rPr>
          <w:rFonts w:ascii="Arial" w:hAnsi="Arial" w:cs="Arial"/>
          <w:sz w:val="24"/>
          <w:szCs w:val="24"/>
        </w:rPr>
        <w:t>Prevention of episodic migraines in adults.—</w:t>
      </w:r>
      <w:r w:rsidRPr="00FA3F9C">
        <w:rPr>
          <w:rFonts w:ascii="Arial" w:hAnsi="Arial" w:cs="Arial"/>
          <w:sz w:val="24"/>
          <w:szCs w:val="24"/>
          <w:highlight w:val="yellow"/>
        </w:rPr>
        <w:t>NOT A COVERED USE</w:t>
      </w:r>
    </w:p>
    <w:tbl>
      <w:tblPr>
        <w:tblStyle w:val="TableGrid"/>
        <w:tblW w:w="0" w:type="auto"/>
        <w:tblLook w:val="04A0" w:firstRow="1" w:lastRow="0" w:firstColumn="1" w:lastColumn="0" w:noHBand="0" w:noVBand="1"/>
      </w:tblPr>
      <w:tblGrid>
        <w:gridCol w:w="8747"/>
        <w:gridCol w:w="2043"/>
      </w:tblGrid>
      <w:tr w:rsidR="00C3036D" w:rsidRPr="00FA3F9C" w14:paraId="154A9091" w14:textId="77777777" w:rsidTr="001A0839">
        <w:tc>
          <w:tcPr>
            <w:tcW w:w="8747" w:type="dxa"/>
            <w:shd w:val="clear" w:color="auto" w:fill="000000"/>
          </w:tcPr>
          <w:p w14:paraId="2D298EE6" w14:textId="77777777" w:rsidR="00C3036D" w:rsidRPr="00FA3F9C" w:rsidRDefault="00C3036D"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43" w:type="dxa"/>
            <w:shd w:val="clear" w:color="auto" w:fill="000000"/>
          </w:tcPr>
          <w:p w14:paraId="2E5BDD6E" w14:textId="77777777" w:rsidR="00C3036D" w:rsidRPr="00FA3F9C" w:rsidRDefault="00C3036D" w:rsidP="006F623F">
            <w:pPr>
              <w:jc w:val="center"/>
              <w:rPr>
                <w:rFonts w:ascii="Arial" w:hAnsi="Arial" w:cs="Arial"/>
                <w:b/>
                <w:sz w:val="24"/>
                <w:szCs w:val="24"/>
                <w:u w:val="single"/>
              </w:rPr>
            </w:pPr>
          </w:p>
        </w:tc>
      </w:tr>
      <w:tr w:rsidR="00C3036D" w:rsidRPr="00FA3F9C" w14:paraId="4858FD9B" w14:textId="77777777" w:rsidTr="001A0839">
        <w:tc>
          <w:tcPr>
            <w:tcW w:w="10790" w:type="dxa"/>
            <w:gridSpan w:val="2"/>
          </w:tcPr>
          <w:p w14:paraId="6898C8B7" w14:textId="77777777" w:rsidR="00C3036D" w:rsidRPr="00FA3F9C" w:rsidRDefault="00C3036D" w:rsidP="00FC1E85">
            <w:pPr>
              <w:pStyle w:val="ListParagraph"/>
              <w:numPr>
                <w:ilvl w:val="0"/>
                <w:numId w:val="445"/>
              </w:numPr>
              <w:rPr>
                <w:rFonts w:ascii="Arial" w:hAnsi="Arial" w:cs="Arial"/>
                <w:sz w:val="24"/>
                <w:szCs w:val="24"/>
              </w:rPr>
            </w:pPr>
            <w:r w:rsidRPr="00FA3F9C">
              <w:rPr>
                <w:rFonts w:ascii="Arial" w:hAnsi="Arial" w:cs="Arial"/>
                <w:sz w:val="24"/>
                <w:szCs w:val="24"/>
              </w:rPr>
              <w:t xml:space="preserve">The patient must have the diagnosis of acute migraine before the age of </w:t>
            </w:r>
            <w:proofErr w:type="gramStart"/>
            <w:r w:rsidRPr="00FA3F9C">
              <w:rPr>
                <w:rFonts w:ascii="Arial" w:hAnsi="Arial" w:cs="Arial"/>
                <w:sz w:val="24"/>
                <w:szCs w:val="24"/>
              </w:rPr>
              <w:t>50y, and</w:t>
            </w:r>
            <w:proofErr w:type="gramEnd"/>
            <w:r w:rsidRPr="00FA3F9C">
              <w:rPr>
                <w:rFonts w:ascii="Arial" w:hAnsi="Arial" w:cs="Arial"/>
                <w:sz w:val="24"/>
                <w:szCs w:val="24"/>
              </w:rPr>
              <w:t xml:space="preserve"> have the diagnosis for at least 1 year.</w:t>
            </w:r>
          </w:p>
        </w:tc>
      </w:tr>
      <w:tr w:rsidR="00C3036D" w:rsidRPr="00FA3F9C" w14:paraId="14E496F4" w14:textId="77777777" w:rsidTr="001A0839">
        <w:tc>
          <w:tcPr>
            <w:tcW w:w="10790" w:type="dxa"/>
            <w:gridSpan w:val="2"/>
          </w:tcPr>
          <w:p w14:paraId="1905F715" w14:textId="77777777" w:rsidR="00C3036D" w:rsidRPr="00FA3F9C" w:rsidRDefault="00C3036D" w:rsidP="00FC1E85">
            <w:pPr>
              <w:pStyle w:val="ListParagraph"/>
              <w:numPr>
                <w:ilvl w:val="0"/>
                <w:numId w:val="445"/>
              </w:numPr>
              <w:rPr>
                <w:rFonts w:ascii="Arial" w:hAnsi="Arial" w:cs="Arial"/>
                <w:sz w:val="24"/>
                <w:szCs w:val="24"/>
              </w:rPr>
            </w:pPr>
            <w:r w:rsidRPr="00FA3F9C">
              <w:rPr>
                <w:rFonts w:ascii="Arial" w:hAnsi="Arial" w:cs="Arial"/>
                <w:sz w:val="24"/>
                <w:szCs w:val="24"/>
              </w:rPr>
              <w:t xml:space="preserve">The patient must NOT be taking </w:t>
            </w:r>
            <w:proofErr w:type="spellStart"/>
            <w:r w:rsidRPr="00FA3F9C">
              <w:rPr>
                <w:rFonts w:ascii="Arial" w:hAnsi="Arial" w:cs="Arial"/>
                <w:sz w:val="24"/>
                <w:szCs w:val="24"/>
              </w:rPr>
              <w:t>erenumab</w:t>
            </w:r>
            <w:proofErr w:type="spellEnd"/>
            <w:r w:rsidRPr="00FA3F9C">
              <w:rPr>
                <w:rFonts w:ascii="Arial" w:hAnsi="Arial" w:cs="Arial"/>
                <w:sz w:val="24"/>
                <w:szCs w:val="24"/>
              </w:rPr>
              <w:t xml:space="preserve">, </w:t>
            </w:r>
            <w:proofErr w:type="spellStart"/>
            <w:r w:rsidRPr="00FA3F9C">
              <w:rPr>
                <w:rFonts w:ascii="Arial" w:hAnsi="Arial" w:cs="Arial"/>
                <w:sz w:val="24"/>
                <w:szCs w:val="24"/>
              </w:rPr>
              <w:t>fremanezumab</w:t>
            </w:r>
            <w:proofErr w:type="spellEnd"/>
            <w:r w:rsidRPr="00FA3F9C">
              <w:rPr>
                <w:rFonts w:ascii="Arial" w:hAnsi="Arial" w:cs="Arial"/>
                <w:sz w:val="24"/>
                <w:szCs w:val="24"/>
              </w:rPr>
              <w:t xml:space="preserve">, </w:t>
            </w:r>
            <w:proofErr w:type="spellStart"/>
            <w:r w:rsidRPr="00FA3F9C">
              <w:rPr>
                <w:rFonts w:ascii="Arial" w:hAnsi="Arial" w:cs="Arial"/>
                <w:sz w:val="24"/>
                <w:szCs w:val="24"/>
              </w:rPr>
              <w:t>galcanezumab</w:t>
            </w:r>
            <w:proofErr w:type="spellEnd"/>
            <w:r w:rsidRPr="00FA3F9C">
              <w:rPr>
                <w:rFonts w:ascii="Arial" w:hAnsi="Arial" w:cs="Arial"/>
                <w:sz w:val="24"/>
                <w:szCs w:val="24"/>
              </w:rPr>
              <w:t xml:space="preserve">, or </w:t>
            </w:r>
            <w:proofErr w:type="spellStart"/>
            <w:r w:rsidRPr="00FA3F9C">
              <w:rPr>
                <w:rFonts w:ascii="Arial" w:hAnsi="Arial" w:cs="Arial"/>
                <w:sz w:val="24"/>
                <w:szCs w:val="24"/>
              </w:rPr>
              <w:t>eptinezumab</w:t>
            </w:r>
            <w:proofErr w:type="spellEnd"/>
            <w:r w:rsidRPr="00FA3F9C">
              <w:rPr>
                <w:rFonts w:ascii="Arial" w:hAnsi="Arial" w:cs="Arial"/>
                <w:sz w:val="24"/>
                <w:szCs w:val="24"/>
              </w:rPr>
              <w:t xml:space="preserve"> or have overlapping </w:t>
            </w:r>
            <w:proofErr w:type="spellStart"/>
            <w:r w:rsidRPr="00FA3F9C">
              <w:rPr>
                <w:rFonts w:ascii="Arial" w:hAnsi="Arial" w:cs="Arial"/>
                <w:sz w:val="24"/>
                <w:szCs w:val="24"/>
              </w:rPr>
              <w:t>days</w:t>
            </w:r>
            <w:proofErr w:type="spellEnd"/>
            <w:r w:rsidRPr="00FA3F9C">
              <w:rPr>
                <w:rFonts w:ascii="Arial" w:hAnsi="Arial" w:cs="Arial"/>
                <w:sz w:val="24"/>
                <w:szCs w:val="24"/>
              </w:rPr>
              <w:t xml:space="preserve"> supply with </w:t>
            </w:r>
            <w:proofErr w:type="spellStart"/>
            <w:r w:rsidRPr="00FA3F9C">
              <w:rPr>
                <w:rFonts w:ascii="Arial" w:hAnsi="Arial" w:cs="Arial"/>
                <w:sz w:val="24"/>
                <w:szCs w:val="24"/>
              </w:rPr>
              <w:t>ubrogepant</w:t>
            </w:r>
            <w:proofErr w:type="spellEnd"/>
            <w:r w:rsidRPr="00FA3F9C">
              <w:rPr>
                <w:rFonts w:ascii="Arial" w:hAnsi="Arial" w:cs="Arial"/>
                <w:sz w:val="24"/>
                <w:szCs w:val="24"/>
              </w:rPr>
              <w:t>. (Patients taking injectable monoclonal antibodies to CGPR receptors were not studied; excluded from trials)</w:t>
            </w:r>
          </w:p>
        </w:tc>
      </w:tr>
      <w:tr w:rsidR="00C3036D" w:rsidRPr="00FA3F9C" w14:paraId="643D7CEB" w14:textId="77777777" w:rsidTr="001A0839">
        <w:tc>
          <w:tcPr>
            <w:tcW w:w="10790" w:type="dxa"/>
            <w:gridSpan w:val="2"/>
          </w:tcPr>
          <w:p w14:paraId="207FDC91" w14:textId="77777777" w:rsidR="00C3036D" w:rsidRPr="00FA3F9C" w:rsidRDefault="00C3036D" w:rsidP="00FC1E85">
            <w:pPr>
              <w:pStyle w:val="ListParagraph"/>
              <w:numPr>
                <w:ilvl w:val="0"/>
                <w:numId w:val="445"/>
              </w:numPr>
              <w:rPr>
                <w:rFonts w:ascii="Arial" w:hAnsi="Arial" w:cs="Arial"/>
                <w:sz w:val="24"/>
                <w:szCs w:val="24"/>
              </w:rPr>
            </w:pPr>
            <w:r w:rsidRPr="00FA3F9C">
              <w:rPr>
                <w:rFonts w:ascii="Arial" w:hAnsi="Arial" w:cs="Arial"/>
                <w:sz w:val="24"/>
                <w:szCs w:val="24"/>
              </w:rPr>
              <w:t xml:space="preserve">The patient must have failed 2 triptans including sumatriptan and </w:t>
            </w:r>
            <w:proofErr w:type="spellStart"/>
            <w:r w:rsidRPr="00FA3F9C">
              <w:rPr>
                <w:rFonts w:ascii="Arial" w:hAnsi="Arial" w:cs="Arial"/>
                <w:sz w:val="24"/>
                <w:szCs w:val="24"/>
              </w:rPr>
              <w:t>eletriptan</w:t>
            </w:r>
            <w:proofErr w:type="spellEnd"/>
            <w:r w:rsidRPr="00FA3F9C">
              <w:rPr>
                <w:rFonts w:ascii="Arial" w:hAnsi="Arial" w:cs="Arial"/>
                <w:sz w:val="24"/>
                <w:szCs w:val="24"/>
              </w:rPr>
              <w:t xml:space="preserve"> OR have contraindications to triptans (must provide medical chart).   Failure is defined as sumatriptan </w:t>
            </w:r>
            <w:r w:rsidRPr="00FA3F9C">
              <w:rPr>
                <w:rFonts w:ascii="Arial" w:hAnsi="Arial" w:cs="Arial"/>
                <w:sz w:val="24"/>
                <w:szCs w:val="24"/>
              </w:rPr>
              <w:lastRenderedPageBreak/>
              <w:t xml:space="preserve">100mg for at least a month (with corresponding quantity limit) AND a different month with </w:t>
            </w:r>
            <w:proofErr w:type="spellStart"/>
            <w:r w:rsidRPr="00FA3F9C">
              <w:rPr>
                <w:rFonts w:ascii="Arial" w:hAnsi="Arial" w:cs="Arial"/>
                <w:sz w:val="24"/>
                <w:szCs w:val="24"/>
              </w:rPr>
              <w:t>eletriptan</w:t>
            </w:r>
            <w:proofErr w:type="spellEnd"/>
            <w:r w:rsidRPr="00FA3F9C">
              <w:rPr>
                <w:rFonts w:ascii="Arial" w:hAnsi="Arial" w:cs="Arial"/>
                <w:sz w:val="24"/>
                <w:szCs w:val="24"/>
              </w:rPr>
              <w:t>. [</w:t>
            </w:r>
            <w:proofErr w:type="spellStart"/>
            <w:r w:rsidRPr="00FA3F9C">
              <w:rPr>
                <w:rFonts w:ascii="Arial" w:hAnsi="Arial" w:cs="Arial"/>
                <w:sz w:val="24"/>
                <w:szCs w:val="24"/>
              </w:rPr>
              <w:t>Eletriptan</w:t>
            </w:r>
            <w:proofErr w:type="spellEnd"/>
            <w:r w:rsidRPr="00FA3F9C">
              <w:rPr>
                <w:rFonts w:ascii="Arial" w:hAnsi="Arial" w:cs="Arial"/>
                <w:sz w:val="24"/>
                <w:szCs w:val="24"/>
              </w:rPr>
              <w:t xml:space="preserve"> was chosen because it is the most efficacious triptan, per the ICER review 2020.]</w:t>
            </w:r>
          </w:p>
        </w:tc>
      </w:tr>
      <w:tr w:rsidR="00C3036D" w:rsidRPr="00FA3F9C" w14:paraId="3B480DC3" w14:textId="77777777" w:rsidTr="001A0839">
        <w:tc>
          <w:tcPr>
            <w:tcW w:w="10790" w:type="dxa"/>
            <w:gridSpan w:val="2"/>
          </w:tcPr>
          <w:p w14:paraId="25EE1FD6" w14:textId="77777777" w:rsidR="00C3036D" w:rsidRPr="00FA3F9C" w:rsidRDefault="00C3036D" w:rsidP="00DC2533">
            <w:pPr>
              <w:pStyle w:val="ListParagraph"/>
              <w:ind w:left="360"/>
              <w:rPr>
                <w:rFonts w:ascii="Arial" w:hAnsi="Arial" w:cs="Arial"/>
                <w:sz w:val="24"/>
                <w:szCs w:val="24"/>
              </w:rPr>
            </w:pPr>
            <w:r w:rsidRPr="00FA3F9C">
              <w:rPr>
                <w:rFonts w:ascii="Arial" w:hAnsi="Arial" w:cs="Arial"/>
                <w:sz w:val="24"/>
                <w:szCs w:val="24"/>
              </w:rPr>
              <w:lastRenderedPageBreak/>
              <w:t>IF approved, the PA is good for 6 months.</w:t>
            </w:r>
          </w:p>
        </w:tc>
      </w:tr>
    </w:tbl>
    <w:p w14:paraId="5644D472" w14:textId="77777777" w:rsidR="00C3036D" w:rsidRPr="00FA3F9C" w:rsidRDefault="00C3036D" w:rsidP="006F623F">
      <w:pPr>
        <w:spacing w:after="0"/>
        <w:rPr>
          <w:rFonts w:ascii="Arial" w:hAnsi="Arial" w:cs="Arial"/>
          <w:b/>
          <w:sz w:val="24"/>
          <w:szCs w:val="24"/>
          <w:u w:val="single"/>
        </w:rPr>
      </w:pPr>
    </w:p>
    <w:tbl>
      <w:tblPr>
        <w:tblStyle w:val="TableGrid"/>
        <w:tblW w:w="0" w:type="auto"/>
        <w:tblLook w:val="04A0" w:firstRow="1" w:lastRow="0" w:firstColumn="1" w:lastColumn="0" w:noHBand="0" w:noVBand="1"/>
      </w:tblPr>
      <w:tblGrid>
        <w:gridCol w:w="8928"/>
        <w:gridCol w:w="2088"/>
      </w:tblGrid>
      <w:tr w:rsidR="00C3036D" w:rsidRPr="00FA3F9C" w14:paraId="4EEFCDB9" w14:textId="77777777" w:rsidTr="00571CAB">
        <w:tc>
          <w:tcPr>
            <w:tcW w:w="8928" w:type="dxa"/>
            <w:shd w:val="clear" w:color="auto" w:fill="000000"/>
          </w:tcPr>
          <w:p w14:paraId="2996F4C1" w14:textId="77777777" w:rsidR="00C3036D" w:rsidRPr="00FA3F9C" w:rsidRDefault="00C3036D" w:rsidP="00571CAB">
            <w:pPr>
              <w:rPr>
                <w:rFonts w:ascii="Arial" w:hAnsi="Arial" w:cs="Arial"/>
                <w:b/>
                <w:sz w:val="24"/>
                <w:szCs w:val="24"/>
                <w:u w:val="single"/>
              </w:rPr>
            </w:pPr>
            <w:r w:rsidRPr="00FA3F9C">
              <w:rPr>
                <w:rFonts w:ascii="Arial" w:hAnsi="Arial" w:cs="Arial"/>
                <w:b/>
                <w:sz w:val="24"/>
                <w:szCs w:val="24"/>
                <w:u w:val="single"/>
              </w:rPr>
              <w:t>Criteria for continuation</w:t>
            </w:r>
          </w:p>
        </w:tc>
        <w:tc>
          <w:tcPr>
            <w:tcW w:w="2088" w:type="dxa"/>
            <w:shd w:val="clear" w:color="auto" w:fill="000000"/>
          </w:tcPr>
          <w:p w14:paraId="1F3853B3" w14:textId="77777777" w:rsidR="00C3036D" w:rsidRPr="00FA3F9C" w:rsidRDefault="00C3036D" w:rsidP="00571CAB">
            <w:pPr>
              <w:jc w:val="center"/>
              <w:rPr>
                <w:rFonts w:ascii="Arial" w:hAnsi="Arial" w:cs="Arial"/>
                <w:b/>
                <w:sz w:val="24"/>
                <w:szCs w:val="24"/>
                <w:u w:val="single"/>
              </w:rPr>
            </w:pPr>
          </w:p>
        </w:tc>
      </w:tr>
      <w:tr w:rsidR="00C3036D" w:rsidRPr="00FA3F9C" w14:paraId="75A0E124" w14:textId="77777777" w:rsidTr="00FE7E94">
        <w:tc>
          <w:tcPr>
            <w:tcW w:w="11016" w:type="dxa"/>
            <w:gridSpan w:val="2"/>
          </w:tcPr>
          <w:p w14:paraId="60B407EC" w14:textId="77777777" w:rsidR="00C3036D" w:rsidRPr="00FA3F9C" w:rsidRDefault="00C3036D" w:rsidP="00FC1E85">
            <w:pPr>
              <w:pStyle w:val="ListParagraph"/>
              <w:numPr>
                <w:ilvl w:val="0"/>
                <w:numId w:val="446"/>
              </w:numPr>
              <w:rPr>
                <w:rFonts w:ascii="Arial" w:hAnsi="Arial" w:cs="Arial"/>
                <w:sz w:val="24"/>
                <w:szCs w:val="24"/>
              </w:rPr>
            </w:pPr>
            <w:r w:rsidRPr="00FA3F9C">
              <w:rPr>
                <w:rFonts w:ascii="Arial" w:hAnsi="Arial" w:cs="Arial"/>
                <w:sz w:val="24"/>
                <w:szCs w:val="24"/>
              </w:rPr>
              <w:t>The patient’s profile should be reviewed and there should be no triptans on the profile in the previous 6 months.  This would indicate they are able to tolerate triptans.</w:t>
            </w:r>
          </w:p>
        </w:tc>
      </w:tr>
      <w:tr w:rsidR="00C3036D" w:rsidRPr="00FA3F9C" w14:paraId="2B999CD5" w14:textId="77777777" w:rsidTr="00FE7E94">
        <w:tc>
          <w:tcPr>
            <w:tcW w:w="11016" w:type="dxa"/>
            <w:gridSpan w:val="2"/>
          </w:tcPr>
          <w:p w14:paraId="37EA1E4F" w14:textId="77777777" w:rsidR="00C3036D" w:rsidRPr="00FA3F9C" w:rsidRDefault="00C3036D" w:rsidP="00511247">
            <w:pPr>
              <w:pStyle w:val="ListParagraph"/>
              <w:ind w:left="360"/>
              <w:rPr>
                <w:rFonts w:ascii="Arial" w:hAnsi="Arial" w:cs="Arial"/>
                <w:sz w:val="24"/>
                <w:szCs w:val="24"/>
              </w:rPr>
            </w:pPr>
            <w:r w:rsidRPr="00FA3F9C">
              <w:rPr>
                <w:rFonts w:ascii="Arial" w:hAnsi="Arial" w:cs="Arial"/>
                <w:sz w:val="24"/>
                <w:szCs w:val="24"/>
              </w:rPr>
              <w:t>If approved, the PA is good for 12 months.</w:t>
            </w:r>
          </w:p>
        </w:tc>
      </w:tr>
    </w:tbl>
    <w:p w14:paraId="3F2272F1" w14:textId="77777777" w:rsidR="00C3036D" w:rsidRPr="00FA3F9C" w:rsidRDefault="00C3036D" w:rsidP="006F623F">
      <w:pPr>
        <w:spacing w:after="0"/>
        <w:rPr>
          <w:rFonts w:ascii="Arial" w:hAnsi="Arial" w:cs="Arial"/>
          <w:b/>
          <w:sz w:val="24"/>
          <w:szCs w:val="24"/>
          <w:u w:val="single"/>
        </w:rPr>
      </w:pPr>
    </w:p>
    <w:p w14:paraId="27A0600B" w14:textId="77777777" w:rsidR="00C3036D" w:rsidRPr="00FA3F9C" w:rsidRDefault="00C3036D" w:rsidP="006F623F">
      <w:pPr>
        <w:spacing w:after="0"/>
        <w:rPr>
          <w:rFonts w:ascii="Arial" w:hAnsi="Arial" w:cs="Arial"/>
          <w:sz w:val="24"/>
          <w:szCs w:val="24"/>
        </w:rPr>
      </w:pPr>
      <w:r w:rsidRPr="00FA3F9C">
        <w:rPr>
          <w:rFonts w:ascii="Arial" w:hAnsi="Arial" w:cs="Arial"/>
          <w:b/>
          <w:sz w:val="24"/>
          <w:szCs w:val="24"/>
        </w:rPr>
        <w:t>Quantity Limits:</w:t>
      </w:r>
      <w:r w:rsidRPr="00FA3F9C">
        <w:rPr>
          <w:rFonts w:ascii="Arial" w:hAnsi="Arial" w:cs="Arial"/>
          <w:sz w:val="24"/>
          <w:szCs w:val="24"/>
        </w:rPr>
        <w:t xml:space="preserve"> 8 tablets per 30 days (so 1 headache can be treated with the second dose).  Giving 2 of the 50’s to make a 100mg dose should be avoided. Instead, the dose should be increased to the larger strength.</w:t>
      </w:r>
    </w:p>
    <w:p w14:paraId="4E914D54" w14:textId="77777777" w:rsidR="00C3036D" w:rsidRPr="00FA3F9C" w:rsidRDefault="00C3036D" w:rsidP="006F623F">
      <w:pPr>
        <w:spacing w:after="0"/>
        <w:rPr>
          <w:rFonts w:ascii="Arial" w:hAnsi="Arial" w:cs="Arial"/>
          <w:sz w:val="24"/>
          <w:szCs w:val="24"/>
        </w:rPr>
      </w:pPr>
    </w:p>
    <w:p w14:paraId="3750665C" w14:textId="77777777" w:rsidR="00C3036D" w:rsidRPr="00FA3F9C" w:rsidRDefault="00C3036D" w:rsidP="006F623F">
      <w:pPr>
        <w:spacing w:after="0"/>
        <w:rPr>
          <w:rFonts w:ascii="Arial" w:hAnsi="Arial" w:cs="Arial"/>
          <w:b/>
          <w:sz w:val="24"/>
          <w:szCs w:val="24"/>
        </w:rPr>
      </w:pPr>
      <w:r w:rsidRPr="00FA3F9C">
        <w:rPr>
          <w:rFonts w:ascii="Arial" w:hAnsi="Arial" w:cs="Arial"/>
          <w:b/>
          <w:sz w:val="24"/>
          <w:szCs w:val="24"/>
        </w:rPr>
        <w:t>References:</w:t>
      </w:r>
    </w:p>
    <w:p w14:paraId="22739EE8" w14:textId="77777777" w:rsidR="00C3036D" w:rsidRPr="00FA3F9C" w:rsidRDefault="00C3036D" w:rsidP="00FC1E85">
      <w:pPr>
        <w:pStyle w:val="ListParagraph"/>
        <w:numPr>
          <w:ilvl w:val="0"/>
          <w:numId w:val="447"/>
        </w:numPr>
        <w:spacing w:after="0" w:line="276" w:lineRule="auto"/>
        <w:rPr>
          <w:rFonts w:ascii="Arial" w:hAnsi="Arial" w:cs="Arial"/>
          <w:b/>
          <w:sz w:val="24"/>
          <w:szCs w:val="24"/>
        </w:rPr>
      </w:pPr>
      <w:r w:rsidRPr="00FA3F9C">
        <w:rPr>
          <w:rFonts w:ascii="Arial" w:hAnsi="Arial" w:cs="Arial"/>
          <w:b/>
          <w:sz w:val="24"/>
          <w:szCs w:val="24"/>
        </w:rPr>
        <w:t>Lexicomp. Ubrogepant. Accessed 2/27/2020.</w:t>
      </w:r>
    </w:p>
    <w:p w14:paraId="48A3E8B2" w14:textId="77777777" w:rsidR="00C3036D" w:rsidRPr="00FA3F9C" w:rsidRDefault="00C3036D" w:rsidP="00FC1E85">
      <w:pPr>
        <w:pStyle w:val="ListParagraph"/>
        <w:numPr>
          <w:ilvl w:val="0"/>
          <w:numId w:val="447"/>
        </w:numPr>
        <w:spacing w:after="0" w:line="276" w:lineRule="auto"/>
        <w:rPr>
          <w:rFonts w:ascii="Arial" w:hAnsi="Arial" w:cs="Arial"/>
          <w:b/>
          <w:sz w:val="24"/>
          <w:szCs w:val="24"/>
        </w:rPr>
      </w:pPr>
      <w:r w:rsidRPr="00FA3F9C">
        <w:rPr>
          <w:rFonts w:ascii="Arial" w:hAnsi="Arial" w:cs="Arial"/>
          <w:b/>
          <w:sz w:val="24"/>
          <w:szCs w:val="24"/>
        </w:rPr>
        <w:t>Ubrelvy.com. PI. Accessed 2/27/2020.</w:t>
      </w:r>
    </w:p>
    <w:p w14:paraId="5322DA44" w14:textId="77777777" w:rsidR="00C3036D" w:rsidRPr="00FA3F9C" w:rsidRDefault="00C3036D" w:rsidP="00FC1E85">
      <w:pPr>
        <w:pStyle w:val="ListParagraph"/>
        <w:numPr>
          <w:ilvl w:val="0"/>
          <w:numId w:val="447"/>
        </w:numPr>
        <w:spacing w:after="200" w:line="276" w:lineRule="auto"/>
        <w:rPr>
          <w:rFonts w:ascii="Arial" w:eastAsia="Times New Roman" w:hAnsi="Arial" w:cs="Arial"/>
          <w:b/>
          <w:sz w:val="24"/>
          <w:szCs w:val="24"/>
        </w:rPr>
      </w:pPr>
      <w:r w:rsidRPr="00FA3F9C">
        <w:rPr>
          <w:rFonts w:ascii="Arial" w:hAnsi="Arial" w:cs="Arial"/>
          <w:b/>
          <w:sz w:val="24"/>
          <w:szCs w:val="24"/>
        </w:rPr>
        <w:t xml:space="preserve">ICER. Acute Treatments for Migraine. </w:t>
      </w:r>
      <w:hyperlink r:id="rId361" w:history="1">
        <w:r w:rsidRPr="00FA3F9C">
          <w:rPr>
            <w:rFonts w:ascii="Arial" w:eastAsia="Times New Roman" w:hAnsi="Arial" w:cs="Arial"/>
            <w:b/>
            <w:color w:val="0000FF"/>
            <w:sz w:val="24"/>
            <w:szCs w:val="24"/>
            <w:u w:val="single"/>
          </w:rPr>
          <w:t>https://icer-review.org/wp-content/uploads/2019/06/ICER_Acute-Migraine_Final-Evidence-Report_022520.pdf</w:t>
        </w:r>
      </w:hyperlink>
    </w:p>
    <w:p w14:paraId="7B1C483A" w14:textId="77777777" w:rsidR="00C3036D" w:rsidRPr="00FA3F9C" w:rsidRDefault="00C3036D"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284"/>
        <w:gridCol w:w="7558"/>
        <w:gridCol w:w="2065"/>
      </w:tblGrid>
      <w:tr w:rsidR="00C3036D" w:rsidRPr="00FA3F9C" w14:paraId="442DBAAC" w14:textId="77777777" w:rsidTr="0042076B">
        <w:tc>
          <w:tcPr>
            <w:tcW w:w="1167" w:type="dxa"/>
          </w:tcPr>
          <w:p w14:paraId="070BDDFF" w14:textId="77777777" w:rsidR="00C3036D" w:rsidRPr="00FA3F9C" w:rsidRDefault="00C3036D" w:rsidP="006F623F">
            <w:pPr>
              <w:rPr>
                <w:rFonts w:ascii="Arial" w:hAnsi="Arial" w:cs="Arial"/>
                <w:sz w:val="24"/>
                <w:szCs w:val="24"/>
              </w:rPr>
            </w:pPr>
            <w:r w:rsidRPr="00FA3F9C">
              <w:rPr>
                <w:rFonts w:ascii="Arial" w:hAnsi="Arial" w:cs="Arial"/>
                <w:sz w:val="24"/>
                <w:szCs w:val="24"/>
              </w:rPr>
              <w:t>Date</w:t>
            </w:r>
          </w:p>
        </w:tc>
        <w:tc>
          <w:tcPr>
            <w:tcW w:w="7558" w:type="dxa"/>
          </w:tcPr>
          <w:p w14:paraId="6D503C1A" w14:textId="77777777" w:rsidR="00C3036D" w:rsidRPr="00FA3F9C" w:rsidRDefault="00C3036D" w:rsidP="006F623F">
            <w:pPr>
              <w:rPr>
                <w:rFonts w:ascii="Arial" w:hAnsi="Arial" w:cs="Arial"/>
                <w:sz w:val="24"/>
                <w:szCs w:val="24"/>
              </w:rPr>
            </w:pPr>
            <w:r w:rsidRPr="00FA3F9C">
              <w:rPr>
                <w:rFonts w:ascii="Arial" w:hAnsi="Arial" w:cs="Arial"/>
                <w:sz w:val="24"/>
                <w:szCs w:val="24"/>
              </w:rPr>
              <w:t>What changed</w:t>
            </w:r>
          </w:p>
        </w:tc>
        <w:tc>
          <w:tcPr>
            <w:tcW w:w="2065" w:type="dxa"/>
          </w:tcPr>
          <w:p w14:paraId="3A1EA1B0" w14:textId="77777777" w:rsidR="00C3036D" w:rsidRPr="00FA3F9C" w:rsidRDefault="00C3036D" w:rsidP="006F623F">
            <w:pPr>
              <w:rPr>
                <w:rFonts w:ascii="Arial" w:hAnsi="Arial" w:cs="Arial"/>
                <w:sz w:val="24"/>
                <w:szCs w:val="24"/>
              </w:rPr>
            </w:pPr>
            <w:r w:rsidRPr="00FA3F9C">
              <w:rPr>
                <w:rFonts w:ascii="Arial" w:hAnsi="Arial" w:cs="Arial"/>
                <w:sz w:val="24"/>
                <w:szCs w:val="24"/>
              </w:rPr>
              <w:t>Pharmacist’s initials</w:t>
            </w:r>
          </w:p>
        </w:tc>
      </w:tr>
      <w:tr w:rsidR="00C3036D" w:rsidRPr="00FA3F9C" w14:paraId="6B3C5759" w14:textId="77777777" w:rsidTr="0042076B">
        <w:tc>
          <w:tcPr>
            <w:tcW w:w="1167" w:type="dxa"/>
          </w:tcPr>
          <w:p w14:paraId="295F3B3E" w14:textId="77777777" w:rsidR="00C3036D" w:rsidRPr="00FA3F9C" w:rsidRDefault="00C3036D" w:rsidP="006F623F">
            <w:pPr>
              <w:rPr>
                <w:rFonts w:ascii="Arial" w:hAnsi="Arial" w:cs="Arial"/>
                <w:sz w:val="24"/>
                <w:szCs w:val="24"/>
              </w:rPr>
            </w:pPr>
            <w:r w:rsidRPr="00FA3F9C">
              <w:rPr>
                <w:rFonts w:ascii="Arial" w:hAnsi="Arial" w:cs="Arial"/>
                <w:sz w:val="24"/>
                <w:szCs w:val="24"/>
              </w:rPr>
              <w:t>2/27/2020</w:t>
            </w:r>
          </w:p>
        </w:tc>
        <w:tc>
          <w:tcPr>
            <w:tcW w:w="7558" w:type="dxa"/>
          </w:tcPr>
          <w:p w14:paraId="45707C6F" w14:textId="77777777" w:rsidR="00C3036D" w:rsidRPr="00FA3F9C" w:rsidRDefault="00C3036D" w:rsidP="006F623F">
            <w:pPr>
              <w:rPr>
                <w:rFonts w:ascii="Arial" w:hAnsi="Arial" w:cs="Arial"/>
                <w:sz w:val="24"/>
                <w:szCs w:val="24"/>
              </w:rPr>
            </w:pPr>
            <w:r w:rsidRPr="00FA3F9C">
              <w:rPr>
                <w:rFonts w:ascii="Arial" w:hAnsi="Arial" w:cs="Arial"/>
                <w:sz w:val="24"/>
                <w:szCs w:val="24"/>
              </w:rPr>
              <w:t>I wrote the criteria.</w:t>
            </w:r>
          </w:p>
        </w:tc>
        <w:tc>
          <w:tcPr>
            <w:tcW w:w="2065" w:type="dxa"/>
          </w:tcPr>
          <w:p w14:paraId="07629009" w14:textId="77777777" w:rsidR="00C3036D" w:rsidRPr="00FA3F9C" w:rsidRDefault="00C3036D" w:rsidP="006F623F">
            <w:pPr>
              <w:rPr>
                <w:rFonts w:ascii="Arial" w:hAnsi="Arial" w:cs="Arial"/>
                <w:sz w:val="24"/>
                <w:szCs w:val="24"/>
              </w:rPr>
            </w:pPr>
            <w:r w:rsidRPr="00FA3F9C">
              <w:rPr>
                <w:rFonts w:ascii="Arial" w:hAnsi="Arial" w:cs="Arial"/>
                <w:sz w:val="24"/>
                <w:szCs w:val="24"/>
              </w:rPr>
              <w:t>JJ</w:t>
            </w:r>
          </w:p>
        </w:tc>
      </w:tr>
      <w:tr w:rsidR="00C3036D" w:rsidRPr="00FA3F9C" w14:paraId="549D20D9" w14:textId="77777777" w:rsidTr="0042076B">
        <w:tc>
          <w:tcPr>
            <w:tcW w:w="1167" w:type="dxa"/>
          </w:tcPr>
          <w:p w14:paraId="04EFE660" w14:textId="77777777" w:rsidR="00C3036D" w:rsidRPr="00FA3F9C" w:rsidRDefault="00C3036D" w:rsidP="006F623F">
            <w:pPr>
              <w:rPr>
                <w:rFonts w:ascii="Arial" w:hAnsi="Arial" w:cs="Arial"/>
                <w:sz w:val="24"/>
                <w:szCs w:val="24"/>
              </w:rPr>
            </w:pPr>
            <w:r w:rsidRPr="00FA3F9C">
              <w:rPr>
                <w:rFonts w:ascii="Arial" w:hAnsi="Arial" w:cs="Arial"/>
                <w:sz w:val="24"/>
                <w:szCs w:val="24"/>
              </w:rPr>
              <w:t>3/4/2020</w:t>
            </w:r>
          </w:p>
        </w:tc>
        <w:tc>
          <w:tcPr>
            <w:tcW w:w="7558" w:type="dxa"/>
          </w:tcPr>
          <w:p w14:paraId="026599DD" w14:textId="77777777" w:rsidR="00C3036D" w:rsidRPr="00FA3F9C" w:rsidRDefault="00C3036D" w:rsidP="006F623F">
            <w:pPr>
              <w:rPr>
                <w:rFonts w:ascii="Arial" w:hAnsi="Arial" w:cs="Arial"/>
                <w:sz w:val="24"/>
                <w:szCs w:val="24"/>
              </w:rPr>
            </w:pPr>
            <w:r w:rsidRPr="00FA3F9C">
              <w:rPr>
                <w:rFonts w:ascii="Arial" w:hAnsi="Arial" w:cs="Arial"/>
                <w:sz w:val="24"/>
                <w:szCs w:val="24"/>
              </w:rPr>
              <w:t>I removed the word “NOT” from criteria 6.</w:t>
            </w:r>
          </w:p>
        </w:tc>
        <w:tc>
          <w:tcPr>
            <w:tcW w:w="2065" w:type="dxa"/>
          </w:tcPr>
          <w:p w14:paraId="0ECC747A" w14:textId="77777777" w:rsidR="00C3036D" w:rsidRPr="00FA3F9C" w:rsidRDefault="00C3036D" w:rsidP="006F623F">
            <w:pPr>
              <w:rPr>
                <w:rFonts w:ascii="Arial" w:hAnsi="Arial" w:cs="Arial"/>
                <w:sz w:val="24"/>
                <w:szCs w:val="24"/>
              </w:rPr>
            </w:pPr>
            <w:r w:rsidRPr="00FA3F9C">
              <w:rPr>
                <w:rFonts w:ascii="Arial" w:hAnsi="Arial" w:cs="Arial"/>
                <w:sz w:val="24"/>
                <w:szCs w:val="24"/>
              </w:rPr>
              <w:t>JJ</w:t>
            </w:r>
          </w:p>
        </w:tc>
      </w:tr>
      <w:tr w:rsidR="00C3036D" w:rsidRPr="00FA3F9C" w14:paraId="3D364DA9" w14:textId="77777777" w:rsidTr="0042076B">
        <w:tc>
          <w:tcPr>
            <w:tcW w:w="1167" w:type="dxa"/>
          </w:tcPr>
          <w:p w14:paraId="2B01FBFA" w14:textId="77777777" w:rsidR="00C3036D" w:rsidRPr="00FA3F9C" w:rsidRDefault="00C3036D" w:rsidP="006F623F">
            <w:pPr>
              <w:rPr>
                <w:rFonts w:ascii="Arial" w:hAnsi="Arial" w:cs="Arial"/>
                <w:sz w:val="24"/>
                <w:szCs w:val="24"/>
              </w:rPr>
            </w:pPr>
            <w:r w:rsidRPr="00FA3F9C">
              <w:rPr>
                <w:rFonts w:ascii="Arial" w:hAnsi="Arial" w:cs="Arial"/>
                <w:sz w:val="24"/>
                <w:szCs w:val="24"/>
              </w:rPr>
              <w:t>6/30/20</w:t>
            </w:r>
          </w:p>
        </w:tc>
        <w:tc>
          <w:tcPr>
            <w:tcW w:w="7558" w:type="dxa"/>
          </w:tcPr>
          <w:p w14:paraId="062C62D1" w14:textId="77777777" w:rsidR="00C3036D" w:rsidRPr="00FA3F9C" w:rsidRDefault="00C3036D" w:rsidP="006F623F">
            <w:pPr>
              <w:rPr>
                <w:rFonts w:ascii="Arial" w:hAnsi="Arial" w:cs="Arial"/>
                <w:sz w:val="24"/>
                <w:szCs w:val="24"/>
              </w:rPr>
            </w:pPr>
            <w:r w:rsidRPr="00FA3F9C">
              <w:rPr>
                <w:rFonts w:ascii="Arial" w:hAnsi="Arial" w:cs="Arial"/>
                <w:sz w:val="24"/>
                <w:szCs w:val="24"/>
              </w:rPr>
              <w:t xml:space="preserve">Changed medication name on form to </w:t>
            </w:r>
            <w:proofErr w:type="spellStart"/>
            <w:r w:rsidRPr="00FA3F9C">
              <w:rPr>
                <w:rFonts w:ascii="Arial" w:hAnsi="Arial" w:cs="Arial"/>
                <w:sz w:val="24"/>
                <w:szCs w:val="24"/>
              </w:rPr>
              <w:t>rimegepant</w:t>
            </w:r>
            <w:proofErr w:type="spellEnd"/>
            <w:r w:rsidRPr="00FA3F9C">
              <w:rPr>
                <w:rFonts w:ascii="Arial" w:hAnsi="Arial" w:cs="Arial"/>
                <w:sz w:val="24"/>
                <w:szCs w:val="24"/>
              </w:rPr>
              <w:t xml:space="preserve"> because it is the preferred med under the EBD plan.</w:t>
            </w:r>
          </w:p>
        </w:tc>
        <w:tc>
          <w:tcPr>
            <w:tcW w:w="2065" w:type="dxa"/>
          </w:tcPr>
          <w:p w14:paraId="6FD799DB" w14:textId="77777777" w:rsidR="00C3036D" w:rsidRPr="00FA3F9C" w:rsidRDefault="00C3036D" w:rsidP="006F623F">
            <w:pPr>
              <w:rPr>
                <w:rFonts w:ascii="Arial" w:hAnsi="Arial" w:cs="Arial"/>
                <w:sz w:val="24"/>
                <w:szCs w:val="24"/>
              </w:rPr>
            </w:pPr>
            <w:proofErr w:type="spellStart"/>
            <w:r w:rsidRPr="00FA3F9C">
              <w:rPr>
                <w:rFonts w:ascii="Arial" w:hAnsi="Arial" w:cs="Arial"/>
                <w:sz w:val="24"/>
                <w:szCs w:val="24"/>
              </w:rPr>
              <w:t>CPatrick</w:t>
            </w:r>
            <w:proofErr w:type="spellEnd"/>
          </w:p>
        </w:tc>
      </w:tr>
      <w:tr w:rsidR="00C3036D" w:rsidRPr="00FA3F9C" w14:paraId="527CD448" w14:textId="77777777" w:rsidTr="0042076B">
        <w:tc>
          <w:tcPr>
            <w:tcW w:w="1167" w:type="dxa"/>
          </w:tcPr>
          <w:p w14:paraId="674E23D5" w14:textId="77777777" w:rsidR="00C3036D" w:rsidRPr="00FA3F9C" w:rsidRDefault="00C3036D" w:rsidP="006F623F">
            <w:pPr>
              <w:rPr>
                <w:rFonts w:ascii="Arial" w:hAnsi="Arial" w:cs="Arial"/>
                <w:sz w:val="24"/>
                <w:szCs w:val="24"/>
              </w:rPr>
            </w:pPr>
            <w:r w:rsidRPr="00FA3F9C">
              <w:rPr>
                <w:rFonts w:ascii="Arial" w:hAnsi="Arial" w:cs="Arial"/>
                <w:sz w:val="24"/>
                <w:szCs w:val="24"/>
              </w:rPr>
              <w:t>4/9/21</w:t>
            </w:r>
          </w:p>
        </w:tc>
        <w:tc>
          <w:tcPr>
            <w:tcW w:w="7558" w:type="dxa"/>
          </w:tcPr>
          <w:p w14:paraId="3BC1A19C" w14:textId="77777777" w:rsidR="00C3036D" w:rsidRPr="00FA3F9C" w:rsidRDefault="00C3036D" w:rsidP="006F623F">
            <w:pPr>
              <w:rPr>
                <w:rFonts w:ascii="Arial" w:hAnsi="Arial" w:cs="Arial"/>
                <w:sz w:val="24"/>
                <w:szCs w:val="24"/>
              </w:rPr>
            </w:pPr>
            <w:r w:rsidRPr="00FA3F9C">
              <w:rPr>
                <w:rFonts w:ascii="Arial" w:hAnsi="Arial" w:cs="Arial"/>
                <w:sz w:val="24"/>
                <w:szCs w:val="24"/>
              </w:rPr>
              <w:t>I added the 4</w:t>
            </w:r>
            <w:r w:rsidRPr="00FA3F9C">
              <w:rPr>
                <w:rFonts w:ascii="Arial" w:hAnsi="Arial" w:cs="Arial"/>
                <w:sz w:val="24"/>
                <w:szCs w:val="24"/>
                <w:vertAlign w:val="superscript"/>
              </w:rPr>
              <w:t>th</w:t>
            </w:r>
            <w:r w:rsidRPr="00FA3F9C">
              <w:rPr>
                <w:rFonts w:ascii="Arial" w:hAnsi="Arial" w:cs="Arial"/>
                <w:sz w:val="24"/>
                <w:szCs w:val="24"/>
              </w:rPr>
              <w:t xml:space="preserve"> </w:t>
            </w:r>
            <w:proofErr w:type="spellStart"/>
            <w:r w:rsidRPr="00FA3F9C">
              <w:rPr>
                <w:rFonts w:ascii="Arial" w:hAnsi="Arial" w:cs="Arial"/>
                <w:sz w:val="24"/>
                <w:szCs w:val="24"/>
              </w:rPr>
              <w:t>mab</w:t>
            </w:r>
            <w:proofErr w:type="spellEnd"/>
            <w:r w:rsidRPr="00FA3F9C">
              <w:rPr>
                <w:rFonts w:ascii="Arial" w:hAnsi="Arial" w:cs="Arial"/>
                <w:sz w:val="24"/>
                <w:szCs w:val="24"/>
              </w:rPr>
              <w:t xml:space="preserve"> to criteria #5 to prevent concurrent use.</w:t>
            </w:r>
          </w:p>
        </w:tc>
        <w:tc>
          <w:tcPr>
            <w:tcW w:w="2065" w:type="dxa"/>
          </w:tcPr>
          <w:p w14:paraId="0E61A17C" w14:textId="77777777" w:rsidR="00C3036D" w:rsidRPr="00FA3F9C" w:rsidRDefault="00C3036D" w:rsidP="006F623F">
            <w:pPr>
              <w:rPr>
                <w:rFonts w:ascii="Arial" w:hAnsi="Arial" w:cs="Arial"/>
                <w:sz w:val="24"/>
                <w:szCs w:val="24"/>
              </w:rPr>
            </w:pPr>
            <w:r w:rsidRPr="00FA3F9C">
              <w:rPr>
                <w:rFonts w:ascii="Arial" w:hAnsi="Arial" w:cs="Arial"/>
                <w:sz w:val="24"/>
                <w:szCs w:val="24"/>
              </w:rPr>
              <w:t>JJ</w:t>
            </w:r>
          </w:p>
        </w:tc>
      </w:tr>
      <w:tr w:rsidR="00C3036D" w:rsidRPr="00FA3F9C" w14:paraId="493036CA" w14:textId="77777777" w:rsidTr="0042076B">
        <w:tc>
          <w:tcPr>
            <w:tcW w:w="1167" w:type="dxa"/>
          </w:tcPr>
          <w:p w14:paraId="19E8BDE1" w14:textId="77777777" w:rsidR="00C3036D" w:rsidRPr="00FA3F9C" w:rsidRDefault="00C3036D" w:rsidP="006F623F">
            <w:pPr>
              <w:rPr>
                <w:rFonts w:ascii="Arial" w:hAnsi="Arial" w:cs="Arial"/>
                <w:sz w:val="24"/>
                <w:szCs w:val="24"/>
              </w:rPr>
            </w:pPr>
            <w:r w:rsidRPr="00FA3F9C">
              <w:rPr>
                <w:rFonts w:ascii="Arial" w:hAnsi="Arial" w:cs="Arial"/>
                <w:sz w:val="24"/>
                <w:szCs w:val="24"/>
              </w:rPr>
              <w:t>10/12/21</w:t>
            </w:r>
          </w:p>
        </w:tc>
        <w:tc>
          <w:tcPr>
            <w:tcW w:w="7558" w:type="dxa"/>
          </w:tcPr>
          <w:p w14:paraId="10C90D8C" w14:textId="77777777" w:rsidR="00C3036D" w:rsidRPr="00FA3F9C" w:rsidRDefault="00C3036D" w:rsidP="006F623F">
            <w:pPr>
              <w:rPr>
                <w:rFonts w:ascii="Arial" w:hAnsi="Arial" w:cs="Arial"/>
                <w:sz w:val="24"/>
                <w:szCs w:val="24"/>
              </w:rPr>
            </w:pPr>
            <w:r w:rsidRPr="00FA3F9C">
              <w:rPr>
                <w:rFonts w:ascii="Arial" w:hAnsi="Arial" w:cs="Arial"/>
                <w:sz w:val="24"/>
                <w:szCs w:val="24"/>
              </w:rPr>
              <w:t>I added the prevention indication.</w:t>
            </w:r>
          </w:p>
        </w:tc>
        <w:tc>
          <w:tcPr>
            <w:tcW w:w="2065" w:type="dxa"/>
          </w:tcPr>
          <w:p w14:paraId="0C197F2A" w14:textId="77777777" w:rsidR="00C3036D" w:rsidRPr="00FA3F9C" w:rsidRDefault="00C3036D" w:rsidP="006F623F">
            <w:pPr>
              <w:rPr>
                <w:rFonts w:ascii="Arial" w:hAnsi="Arial" w:cs="Arial"/>
                <w:sz w:val="24"/>
                <w:szCs w:val="24"/>
              </w:rPr>
            </w:pPr>
            <w:r w:rsidRPr="00FA3F9C">
              <w:rPr>
                <w:rFonts w:ascii="Arial" w:hAnsi="Arial" w:cs="Arial"/>
                <w:sz w:val="24"/>
                <w:szCs w:val="24"/>
              </w:rPr>
              <w:t>JJ</w:t>
            </w:r>
          </w:p>
        </w:tc>
      </w:tr>
      <w:tr w:rsidR="00C3036D" w:rsidRPr="00FA3F9C" w14:paraId="3A3EE3DF" w14:textId="77777777" w:rsidTr="0042076B">
        <w:tc>
          <w:tcPr>
            <w:tcW w:w="1167" w:type="dxa"/>
          </w:tcPr>
          <w:p w14:paraId="59B2B6A0" w14:textId="77777777" w:rsidR="00C3036D" w:rsidRPr="00FA3F9C" w:rsidRDefault="00C3036D" w:rsidP="006F623F">
            <w:pPr>
              <w:rPr>
                <w:rFonts w:ascii="Arial" w:hAnsi="Arial" w:cs="Arial"/>
                <w:sz w:val="24"/>
                <w:szCs w:val="24"/>
              </w:rPr>
            </w:pPr>
            <w:r w:rsidRPr="00FA3F9C">
              <w:rPr>
                <w:rFonts w:ascii="Arial" w:hAnsi="Arial" w:cs="Arial"/>
                <w:sz w:val="24"/>
                <w:szCs w:val="24"/>
              </w:rPr>
              <w:t>11/17/21</w:t>
            </w:r>
          </w:p>
        </w:tc>
        <w:tc>
          <w:tcPr>
            <w:tcW w:w="7558" w:type="dxa"/>
          </w:tcPr>
          <w:p w14:paraId="381510C3" w14:textId="77777777" w:rsidR="00C3036D" w:rsidRPr="00FA3F9C" w:rsidRDefault="00C3036D" w:rsidP="006F623F">
            <w:pPr>
              <w:rPr>
                <w:rFonts w:ascii="Arial" w:hAnsi="Arial" w:cs="Arial"/>
                <w:sz w:val="24"/>
                <w:szCs w:val="24"/>
              </w:rPr>
            </w:pPr>
            <w:r w:rsidRPr="00FA3F9C">
              <w:rPr>
                <w:rFonts w:ascii="Arial" w:hAnsi="Arial" w:cs="Arial"/>
                <w:sz w:val="24"/>
                <w:szCs w:val="24"/>
              </w:rPr>
              <w:t>I added that the prevention indication is not covered by the plan. I removed requirement for any minimal threshold of number of migraines. I updated the QL to 8/30 days.  I have not updated the UAS PA for Rimegepant.</w:t>
            </w:r>
          </w:p>
        </w:tc>
        <w:tc>
          <w:tcPr>
            <w:tcW w:w="2065" w:type="dxa"/>
          </w:tcPr>
          <w:p w14:paraId="1B30CD40" w14:textId="77777777" w:rsidR="00C3036D" w:rsidRPr="00FA3F9C" w:rsidRDefault="00C3036D" w:rsidP="006F623F">
            <w:pPr>
              <w:rPr>
                <w:rFonts w:ascii="Arial" w:hAnsi="Arial" w:cs="Arial"/>
                <w:sz w:val="24"/>
                <w:szCs w:val="24"/>
              </w:rPr>
            </w:pPr>
            <w:r w:rsidRPr="00FA3F9C">
              <w:rPr>
                <w:rFonts w:ascii="Arial" w:hAnsi="Arial" w:cs="Arial"/>
                <w:sz w:val="24"/>
                <w:szCs w:val="24"/>
              </w:rPr>
              <w:t>JJ</w:t>
            </w:r>
          </w:p>
        </w:tc>
      </w:tr>
    </w:tbl>
    <w:p w14:paraId="19B8B0C4" w14:textId="77777777" w:rsidR="00C3036D" w:rsidRPr="00FA3F9C" w:rsidRDefault="00C3036D" w:rsidP="006F623F">
      <w:pPr>
        <w:spacing w:after="0"/>
        <w:rPr>
          <w:rFonts w:ascii="Arial" w:hAnsi="Arial" w:cs="Arial"/>
          <w:sz w:val="24"/>
          <w:szCs w:val="24"/>
        </w:rPr>
      </w:pPr>
    </w:p>
    <w:p w14:paraId="27C62413" w14:textId="77777777" w:rsidR="00C3036D" w:rsidRPr="00FA3F9C" w:rsidRDefault="00C3036D" w:rsidP="002B2097">
      <w:pPr>
        <w:pStyle w:val="Heading2"/>
      </w:pPr>
      <w:bookmarkStart w:id="288" w:name="_Toc106369912"/>
      <w:proofErr w:type="spellStart"/>
      <w:r w:rsidRPr="00FA3F9C">
        <w:t>Riociguat</w:t>
      </w:r>
      <w:proofErr w:type="spellEnd"/>
      <w:r w:rsidRPr="00FA3F9C">
        <w:t xml:space="preserve"> (Adempas)</w:t>
      </w:r>
      <w:bookmarkEnd w:id="288"/>
    </w:p>
    <w:p w14:paraId="7762BA86" w14:textId="77777777" w:rsidR="00C3036D" w:rsidRPr="00FA3F9C" w:rsidRDefault="00C3036D" w:rsidP="0035094E">
      <w:pPr>
        <w:spacing w:after="0"/>
        <w:jc w:val="center"/>
        <w:rPr>
          <w:rFonts w:ascii="Arial" w:hAnsi="Arial" w:cs="Arial"/>
          <w:sz w:val="24"/>
          <w:szCs w:val="24"/>
        </w:rPr>
      </w:pPr>
      <w:r w:rsidRPr="00FA3F9C">
        <w:rPr>
          <w:rFonts w:ascii="Arial" w:hAnsi="Arial" w:cs="Arial"/>
          <w:sz w:val="24"/>
          <w:szCs w:val="24"/>
        </w:rPr>
        <w:t>oral tablets 0.5mg, 1mg, 1.5mg, 2mg, 2.5mg</w:t>
      </w:r>
    </w:p>
    <w:p w14:paraId="219AADC7" w14:textId="77777777" w:rsidR="00C3036D" w:rsidRPr="00FA3F9C" w:rsidRDefault="00C3036D" w:rsidP="00174C9A">
      <w:pPr>
        <w:spacing w:after="0"/>
        <w:jc w:val="center"/>
        <w:rPr>
          <w:rFonts w:ascii="Arial" w:hAnsi="Arial" w:cs="Arial"/>
          <w:sz w:val="24"/>
          <w:szCs w:val="24"/>
        </w:rPr>
      </w:pPr>
      <w:r w:rsidRPr="00FA3F9C">
        <w:rPr>
          <w:rFonts w:ascii="Arial" w:hAnsi="Arial" w:cs="Arial"/>
          <w:sz w:val="24"/>
          <w:szCs w:val="24"/>
        </w:rPr>
        <w:t>EBRx PA Criteria</w:t>
      </w:r>
    </w:p>
    <w:p w14:paraId="460971F3" w14:textId="77777777" w:rsidR="00C3036D" w:rsidRPr="00FA3F9C" w:rsidRDefault="00C3036D" w:rsidP="0035094E">
      <w:pPr>
        <w:spacing w:after="0"/>
        <w:jc w:val="center"/>
        <w:rPr>
          <w:rFonts w:ascii="Arial" w:hAnsi="Arial" w:cs="Arial"/>
          <w:sz w:val="24"/>
          <w:szCs w:val="24"/>
        </w:rPr>
      </w:pPr>
    </w:p>
    <w:p w14:paraId="73655C21" w14:textId="77777777" w:rsidR="00C3036D" w:rsidRPr="00FA3F9C" w:rsidRDefault="00C3036D" w:rsidP="006F623F">
      <w:pPr>
        <w:spacing w:after="0"/>
        <w:rPr>
          <w:rFonts w:ascii="Arial" w:hAnsi="Arial" w:cs="Arial"/>
          <w:b/>
          <w:sz w:val="24"/>
          <w:szCs w:val="24"/>
          <w:u w:val="single"/>
        </w:rPr>
      </w:pPr>
      <w:proofErr w:type="spellStart"/>
      <w:r w:rsidRPr="00FA3F9C">
        <w:rPr>
          <w:rFonts w:ascii="Arial" w:hAnsi="Arial" w:cs="Arial"/>
          <w:b/>
          <w:sz w:val="24"/>
          <w:szCs w:val="24"/>
          <w:u w:val="single"/>
        </w:rPr>
        <w:t>Ventavis</w:t>
      </w:r>
      <w:proofErr w:type="spellEnd"/>
      <w:r w:rsidRPr="00FA3F9C">
        <w:rPr>
          <w:rFonts w:ascii="Arial" w:hAnsi="Arial" w:cs="Arial"/>
          <w:b/>
          <w:sz w:val="24"/>
          <w:szCs w:val="24"/>
          <w:u w:val="single"/>
        </w:rPr>
        <w:t xml:space="preserve"> is FDA-approved for: </w:t>
      </w:r>
    </w:p>
    <w:p w14:paraId="128C4A90" w14:textId="77777777" w:rsidR="00C3036D" w:rsidRPr="00FA3F9C" w:rsidRDefault="00C3036D" w:rsidP="00FC1E85">
      <w:pPr>
        <w:pStyle w:val="ListParagraph"/>
        <w:numPr>
          <w:ilvl w:val="0"/>
          <w:numId w:val="449"/>
        </w:numPr>
        <w:spacing w:after="0" w:line="276" w:lineRule="auto"/>
        <w:rPr>
          <w:rFonts w:ascii="Arial" w:hAnsi="Arial" w:cs="Arial"/>
          <w:b/>
          <w:sz w:val="24"/>
          <w:szCs w:val="24"/>
          <w:u w:val="single"/>
        </w:rPr>
      </w:pPr>
      <w:r w:rsidRPr="00FA3F9C">
        <w:rPr>
          <w:rFonts w:ascii="Arial" w:hAnsi="Arial" w:cs="Arial"/>
          <w:b/>
          <w:sz w:val="24"/>
          <w:szCs w:val="24"/>
          <w:u w:val="single"/>
        </w:rPr>
        <w:t>Adults with pulmonary artery hypertension (PAH) (WHO group 1) to improve exercise capacity, to improve WHO functional class and to delay clinical worsening.</w:t>
      </w:r>
    </w:p>
    <w:p w14:paraId="2B15316F" w14:textId="77777777" w:rsidR="00C3036D" w:rsidRPr="00FA3F9C" w:rsidRDefault="00C3036D" w:rsidP="00FC1E85">
      <w:pPr>
        <w:pStyle w:val="ListParagraph"/>
        <w:numPr>
          <w:ilvl w:val="0"/>
          <w:numId w:val="449"/>
        </w:numPr>
        <w:spacing w:after="0" w:line="276" w:lineRule="auto"/>
        <w:rPr>
          <w:rFonts w:ascii="Arial" w:hAnsi="Arial" w:cs="Arial"/>
          <w:b/>
          <w:sz w:val="24"/>
          <w:szCs w:val="24"/>
          <w:u w:val="single"/>
        </w:rPr>
      </w:pPr>
      <w:r w:rsidRPr="00FA3F9C">
        <w:rPr>
          <w:rFonts w:ascii="Arial" w:hAnsi="Arial" w:cs="Arial"/>
          <w:b/>
          <w:sz w:val="24"/>
          <w:szCs w:val="24"/>
          <w:u w:val="single"/>
        </w:rPr>
        <w:t>chronic thromboembolic pulmonary hypertension (WHO group 4) in adults after surgical treatment or inoperable CTEPH to improve exercise capacity and WHO functional class</w:t>
      </w:r>
    </w:p>
    <w:p w14:paraId="67162EDD" w14:textId="77777777" w:rsidR="00C3036D" w:rsidRPr="00FA3F9C" w:rsidRDefault="00C3036D" w:rsidP="006F623F">
      <w:pPr>
        <w:spacing w:after="0"/>
        <w:rPr>
          <w:rFonts w:ascii="Arial" w:hAnsi="Arial" w:cs="Arial"/>
          <w:b/>
          <w:sz w:val="24"/>
          <w:szCs w:val="24"/>
          <w:u w:val="single"/>
        </w:rPr>
      </w:pPr>
    </w:p>
    <w:tbl>
      <w:tblPr>
        <w:tblStyle w:val="TableGrid"/>
        <w:tblW w:w="0" w:type="auto"/>
        <w:tblLook w:val="04A0" w:firstRow="1" w:lastRow="0" w:firstColumn="1" w:lastColumn="0" w:noHBand="0" w:noVBand="1"/>
      </w:tblPr>
      <w:tblGrid>
        <w:gridCol w:w="10998"/>
      </w:tblGrid>
      <w:tr w:rsidR="00C3036D" w:rsidRPr="00FA3F9C" w14:paraId="7022D13A" w14:textId="77777777" w:rsidTr="00174C9A">
        <w:tc>
          <w:tcPr>
            <w:tcW w:w="10998" w:type="dxa"/>
            <w:shd w:val="clear" w:color="auto" w:fill="000000" w:themeFill="text1"/>
          </w:tcPr>
          <w:p w14:paraId="5910AF52" w14:textId="77777777" w:rsidR="00C3036D" w:rsidRPr="00FA3F9C" w:rsidRDefault="00C3036D" w:rsidP="00174C9A">
            <w:pPr>
              <w:rPr>
                <w:rFonts w:ascii="Arial" w:hAnsi="Arial" w:cs="Arial"/>
                <w:b/>
                <w:sz w:val="24"/>
                <w:szCs w:val="24"/>
                <w:u w:val="single"/>
              </w:rPr>
            </w:pPr>
            <w:r w:rsidRPr="00FA3F9C">
              <w:rPr>
                <w:rFonts w:ascii="Arial" w:hAnsi="Arial" w:cs="Arial"/>
                <w:b/>
                <w:sz w:val="24"/>
                <w:szCs w:val="24"/>
                <w:u w:val="single"/>
              </w:rPr>
              <w:t>Criteria for Pulmonary Artery Hypertension (Group 1)</w:t>
            </w:r>
          </w:p>
        </w:tc>
      </w:tr>
      <w:tr w:rsidR="00C3036D" w:rsidRPr="00FA3F9C" w14:paraId="54AEA58B" w14:textId="77777777" w:rsidTr="00174C9A">
        <w:tc>
          <w:tcPr>
            <w:tcW w:w="10998" w:type="dxa"/>
          </w:tcPr>
          <w:p w14:paraId="02C18241" w14:textId="77777777" w:rsidR="00C3036D" w:rsidRPr="00FA3F9C" w:rsidRDefault="00C3036D" w:rsidP="00432148">
            <w:pPr>
              <w:rPr>
                <w:rFonts w:ascii="Arial" w:hAnsi="Arial" w:cs="Arial"/>
                <w:sz w:val="24"/>
                <w:szCs w:val="24"/>
              </w:rPr>
            </w:pPr>
            <w:r w:rsidRPr="00FA3F9C">
              <w:rPr>
                <w:rFonts w:ascii="Arial" w:hAnsi="Arial" w:cs="Arial"/>
                <w:sz w:val="24"/>
                <w:szCs w:val="24"/>
              </w:rPr>
              <w:t xml:space="preserve">1.  The patient must have the diagnosis of PAH (Group 1), have tried CCB or is currently taking/cannot tolerate CCB/ or have a negative vasoreactivity test </w:t>
            </w:r>
          </w:p>
        </w:tc>
      </w:tr>
      <w:tr w:rsidR="00C3036D" w:rsidRPr="00FA3F9C" w14:paraId="00175808" w14:textId="77777777" w:rsidTr="00174C9A">
        <w:tc>
          <w:tcPr>
            <w:tcW w:w="10998" w:type="dxa"/>
          </w:tcPr>
          <w:p w14:paraId="4B11AC99" w14:textId="77777777" w:rsidR="00C3036D" w:rsidRPr="00FA3F9C" w:rsidRDefault="00C3036D" w:rsidP="00123B3F">
            <w:pPr>
              <w:rPr>
                <w:rFonts w:ascii="Arial" w:hAnsi="Arial" w:cs="Arial"/>
                <w:sz w:val="24"/>
                <w:szCs w:val="24"/>
              </w:rPr>
            </w:pPr>
            <w:r w:rsidRPr="00FA3F9C">
              <w:rPr>
                <w:rFonts w:ascii="Arial" w:hAnsi="Arial" w:cs="Arial"/>
                <w:sz w:val="24"/>
                <w:szCs w:val="24"/>
              </w:rPr>
              <w:t xml:space="preserve">2.  The patient must NOT be taking a PDE5 </w:t>
            </w:r>
            <w:proofErr w:type="spellStart"/>
            <w:r w:rsidRPr="00FA3F9C">
              <w:rPr>
                <w:rFonts w:ascii="Arial" w:hAnsi="Arial" w:cs="Arial"/>
                <w:sz w:val="24"/>
                <w:szCs w:val="24"/>
              </w:rPr>
              <w:t>inh</w:t>
            </w:r>
            <w:proofErr w:type="spellEnd"/>
            <w:r w:rsidRPr="00FA3F9C">
              <w:rPr>
                <w:rFonts w:ascii="Arial" w:hAnsi="Arial" w:cs="Arial"/>
                <w:sz w:val="24"/>
                <w:szCs w:val="24"/>
              </w:rPr>
              <w:t>. (</w:t>
            </w:r>
            <w:proofErr w:type="gramStart"/>
            <w:r w:rsidRPr="00FA3F9C">
              <w:rPr>
                <w:rFonts w:ascii="Arial" w:hAnsi="Arial" w:cs="Arial"/>
                <w:sz w:val="24"/>
                <w:szCs w:val="24"/>
              </w:rPr>
              <w:t>sildenafil</w:t>
            </w:r>
            <w:proofErr w:type="gramEnd"/>
            <w:r w:rsidRPr="00FA3F9C">
              <w:rPr>
                <w:rFonts w:ascii="Arial" w:hAnsi="Arial" w:cs="Arial"/>
                <w:sz w:val="24"/>
                <w:szCs w:val="24"/>
              </w:rPr>
              <w:t xml:space="preserve"> or other; they are contraindicated)</w:t>
            </w:r>
          </w:p>
        </w:tc>
      </w:tr>
      <w:tr w:rsidR="00C3036D" w:rsidRPr="00FA3F9C" w14:paraId="7416F89A" w14:textId="77777777" w:rsidTr="00174C9A">
        <w:tc>
          <w:tcPr>
            <w:tcW w:w="10998" w:type="dxa"/>
          </w:tcPr>
          <w:p w14:paraId="1A98D458" w14:textId="77777777" w:rsidR="00C3036D" w:rsidRPr="00FA3F9C" w:rsidRDefault="00C3036D" w:rsidP="00123B3F">
            <w:pPr>
              <w:rPr>
                <w:rFonts w:ascii="Arial" w:hAnsi="Arial" w:cs="Arial"/>
                <w:sz w:val="24"/>
                <w:szCs w:val="24"/>
              </w:rPr>
            </w:pPr>
            <w:r w:rsidRPr="00FA3F9C">
              <w:rPr>
                <w:rFonts w:ascii="Arial" w:hAnsi="Arial" w:cs="Arial"/>
                <w:sz w:val="24"/>
                <w:szCs w:val="24"/>
              </w:rPr>
              <w:t>3.  The patient must have functional class (FC) II or III symptoms.</w:t>
            </w:r>
            <w:r w:rsidRPr="00FA3F9C">
              <w:rPr>
                <w:rFonts w:ascii="Arial" w:hAnsi="Arial" w:cs="Arial"/>
                <w:sz w:val="24"/>
                <w:szCs w:val="24"/>
                <w:vertAlign w:val="superscript"/>
              </w:rPr>
              <w:t>8</w:t>
            </w:r>
          </w:p>
        </w:tc>
      </w:tr>
      <w:tr w:rsidR="00C3036D" w:rsidRPr="00FA3F9C" w14:paraId="73C608E7" w14:textId="77777777" w:rsidTr="00174C9A">
        <w:tc>
          <w:tcPr>
            <w:tcW w:w="10998" w:type="dxa"/>
          </w:tcPr>
          <w:p w14:paraId="304C2221" w14:textId="77777777" w:rsidR="00C3036D" w:rsidRPr="00FA3F9C" w:rsidRDefault="00C3036D" w:rsidP="00123B3F">
            <w:pPr>
              <w:rPr>
                <w:rFonts w:ascii="Arial" w:hAnsi="Arial" w:cs="Arial"/>
                <w:sz w:val="24"/>
                <w:szCs w:val="24"/>
              </w:rPr>
            </w:pPr>
            <w:r w:rsidRPr="00FA3F9C">
              <w:rPr>
                <w:rFonts w:ascii="Arial" w:hAnsi="Arial" w:cs="Arial"/>
                <w:sz w:val="24"/>
                <w:szCs w:val="24"/>
              </w:rPr>
              <w:t>4.  The patient must have a documented baseline 6MWT of 150-450 meters at baseline.</w:t>
            </w:r>
          </w:p>
        </w:tc>
      </w:tr>
      <w:tr w:rsidR="00C3036D" w:rsidRPr="00FA3F9C" w14:paraId="1D561A89" w14:textId="77777777" w:rsidTr="00174C9A">
        <w:tc>
          <w:tcPr>
            <w:tcW w:w="10998" w:type="dxa"/>
          </w:tcPr>
          <w:p w14:paraId="0F50799C" w14:textId="77777777" w:rsidR="00C3036D" w:rsidRPr="00FA3F9C" w:rsidRDefault="00C3036D" w:rsidP="00F528BB">
            <w:pPr>
              <w:rPr>
                <w:rFonts w:ascii="Arial" w:hAnsi="Arial" w:cs="Arial"/>
                <w:sz w:val="24"/>
                <w:szCs w:val="24"/>
              </w:rPr>
            </w:pPr>
            <w:r w:rsidRPr="00FA3F9C">
              <w:rPr>
                <w:rFonts w:ascii="Arial" w:hAnsi="Arial" w:cs="Arial"/>
                <w:sz w:val="24"/>
                <w:szCs w:val="24"/>
              </w:rPr>
              <w:t>If all 4 of the criteria listed above are “yes”, allow access for 1 year.</w:t>
            </w:r>
          </w:p>
        </w:tc>
      </w:tr>
      <w:tr w:rsidR="00C3036D" w:rsidRPr="00FA3F9C" w14:paraId="644CC057" w14:textId="77777777" w:rsidTr="00174C9A">
        <w:tblPrEx>
          <w:shd w:val="clear" w:color="auto" w:fill="BFBFBF" w:themeFill="background1" w:themeFillShade="BF"/>
        </w:tblPrEx>
        <w:tc>
          <w:tcPr>
            <w:tcW w:w="10998" w:type="dxa"/>
            <w:shd w:val="clear" w:color="auto" w:fill="BFBFBF" w:themeFill="background1" w:themeFillShade="BF"/>
          </w:tcPr>
          <w:p w14:paraId="0B44AA7A" w14:textId="77777777" w:rsidR="00C3036D" w:rsidRPr="00FA3F9C" w:rsidRDefault="00C3036D" w:rsidP="0035094E">
            <w:pPr>
              <w:tabs>
                <w:tab w:val="left" w:pos="5907"/>
              </w:tabs>
              <w:rPr>
                <w:rFonts w:ascii="Arial" w:hAnsi="Arial" w:cs="Arial"/>
                <w:sz w:val="24"/>
                <w:szCs w:val="24"/>
              </w:rPr>
            </w:pPr>
            <w:r w:rsidRPr="00FA3F9C">
              <w:rPr>
                <w:rFonts w:ascii="Arial" w:hAnsi="Arial" w:cs="Arial"/>
                <w:sz w:val="24"/>
                <w:szCs w:val="24"/>
              </w:rPr>
              <w:t xml:space="preserve">Dosing is 1mg TID initially.  Max dose is 2.5mg TID. </w:t>
            </w:r>
          </w:p>
        </w:tc>
      </w:tr>
    </w:tbl>
    <w:p w14:paraId="6F7BC862" w14:textId="77777777" w:rsidR="00C3036D" w:rsidRPr="00FA3F9C" w:rsidRDefault="00C3036D" w:rsidP="006F623F">
      <w:pPr>
        <w:spacing w:after="0"/>
        <w:rPr>
          <w:rFonts w:ascii="Arial" w:hAnsi="Arial" w:cs="Arial"/>
          <w:sz w:val="24"/>
          <w:szCs w:val="24"/>
        </w:rPr>
      </w:pPr>
    </w:p>
    <w:p w14:paraId="7AC33E53" w14:textId="77777777" w:rsidR="00C3036D" w:rsidRPr="00FA3F9C" w:rsidRDefault="00C3036D" w:rsidP="006F623F">
      <w:pPr>
        <w:spacing w:after="0"/>
        <w:rPr>
          <w:rFonts w:ascii="Arial" w:hAnsi="Arial" w:cs="Arial"/>
          <w:sz w:val="24"/>
          <w:szCs w:val="24"/>
        </w:rPr>
      </w:pPr>
      <w:r w:rsidRPr="00FA3F9C">
        <w:rPr>
          <w:rFonts w:ascii="Arial" w:hAnsi="Arial" w:cs="Arial"/>
          <w:sz w:val="24"/>
          <w:szCs w:val="24"/>
        </w:rPr>
        <w:t>OR</w:t>
      </w:r>
    </w:p>
    <w:p w14:paraId="2F3AF78E" w14:textId="77777777" w:rsidR="00C3036D" w:rsidRPr="00FA3F9C" w:rsidRDefault="00C3036D" w:rsidP="006F623F">
      <w:pPr>
        <w:spacing w:after="0"/>
        <w:rPr>
          <w:rFonts w:ascii="Arial" w:hAnsi="Arial" w:cs="Arial"/>
          <w:sz w:val="24"/>
          <w:szCs w:val="24"/>
        </w:rPr>
      </w:pPr>
    </w:p>
    <w:tbl>
      <w:tblPr>
        <w:tblStyle w:val="TableGrid"/>
        <w:tblW w:w="0" w:type="auto"/>
        <w:tblLook w:val="04A0" w:firstRow="1" w:lastRow="0" w:firstColumn="1" w:lastColumn="0" w:noHBand="0" w:noVBand="1"/>
      </w:tblPr>
      <w:tblGrid>
        <w:gridCol w:w="11016"/>
      </w:tblGrid>
      <w:tr w:rsidR="00C3036D" w:rsidRPr="00FA3F9C" w14:paraId="6C4FA771" w14:textId="77777777" w:rsidTr="009005EB">
        <w:tc>
          <w:tcPr>
            <w:tcW w:w="11016" w:type="dxa"/>
            <w:shd w:val="clear" w:color="auto" w:fill="000000" w:themeFill="text1"/>
          </w:tcPr>
          <w:p w14:paraId="0437D0BD" w14:textId="77777777" w:rsidR="00C3036D" w:rsidRPr="00FA3F9C" w:rsidRDefault="00C3036D" w:rsidP="00174C9A">
            <w:pPr>
              <w:rPr>
                <w:rFonts w:ascii="Arial" w:hAnsi="Arial" w:cs="Arial"/>
                <w:b/>
                <w:sz w:val="24"/>
                <w:szCs w:val="24"/>
                <w:u w:val="single"/>
              </w:rPr>
            </w:pPr>
            <w:r w:rsidRPr="00FA3F9C">
              <w:rPr>
                <w:rFonts w:ascii="Arial" w:hAnsi="Arial" w:cs="Arial"/>
                <w:b/>
                <w:sz w:val="24"/>
                <w:szCs w:val="24"/>
                <w:u w:val="single"/>
              </w:rPr>
              <w:t xml:space="preserve">Criteria for Chronic </w:t>
            </w:r>
            <w:proofErr w:type="spellStart"/>
            <w:r w:rsidRPr="00FA3F9C">
              <w:rPr>
                <w:rFonts w:ascii="Arial" w:hAnsi="Arial" w:cs="Arial"/>
                <w:b/>
                <w:sz w:val="24"/>
                <w:szCs w:val="24"/>
                <w:u w:val="single"/>
              </w:rPr>
              <w:t>ThromboEmbolic</w:t>
            </w:r>
            <w:proofErr w:type="spellEnd"/>
            <w:r w:rsidRPr="00FA3F9C">
              <w:rPr>
                <w:rFonts w:ascii="Arial" w:hAnsi="Arial" w:cs="Arial"/>
                <w:b/>
                <w:sz w:val="24"/>
                <w:szCs w:val="24"/>
                <w:u w:val="single"/>
              </w:rPr>
              <w:t xml:space="preserve"> Pulmonary Hypertension (Group 4)</w:t>
            </w:r>
          </w:p>
        </w:tc>
      </w:tr>
      <w:tr w:rsidR="00C3036D" w:rsidRPr="00FA3F9C" w14:paraId="56CFD22C" w14:textId="77777777" w:rsidTr="009005EB">
        <w:tc>
          <w:tcPr>
            <w:tcW w:w="11016" w:type="dxa"/>
          </w:tcPr>
          <w:p w14:paraId="46D79083" w14:textId="77777777" w:rsidR="00C3036D" w:rsidRPr="00FA3F9C" w:rsidRDefault="00C3036D" w:rsidP="00123B3F">
            <w:pPr>
              <w:rPr>
                <w:rFonts w:ascii="Arial" w:hAnsi="Arial" w:cs="Arial"/>
                <w:sz w:val="24"/>
                <w:szCs w:val="24"/>
              </w:rPr>
            </w:pPr>
            <w:r w:rsidRPr="00FA3F9C">
              <w:rPr>
                <w:rFonts w:ascii="Arial" w:hAnsi="Arial" w:cs="Arial"/>
                <w:sz w:val="24"/>
                <w:szCs w:val="24"/>
              </w:rPr>
              <w:t xml:space="preserve">1.  The patient must have the diagnosis of CTEPH (Group 4) documented by either a ventilation-perfusion scan, pulmonary angiography, spiral CT, or MR angiography </w:t>
            </w:r>
          </w:p>
        </w:tc>
      </w:tr>
      <w:tr w:rsidR="00C3036D" w:rsidRPr="00FA3F9C" w14:paraId="19FEB667" w14:textId="77777777" w:rsidTr="009005EB">
        <w:tc>
          <w:tcPr>
            <w:tcW w:w="11016" w:type="dxa"/>
          </w:tcPr>
          <w:p w14:paraId="7DBEC0FD" w14:textId="77777777" w:rsidR="00C3036D" w:rsidRPr="00FA3F9C" w:rsidRDefault="00C3036D" w:rsidP="00123B3F">
            <w:pPr>
              <w:rPr>
                <w:rFonts w:ascii="Arial" w:hAnsi="Arial" w:cs="Arial"/>
                <w:sz w:val="24"/>
                <w:szCs w:val="24"/>
              </w:rPr>
            </w:pPr>
            <w:r w:rsidRPr="00FA3F9C">
              <w:rPr>
                <w:rFonts w:ascii="Arial" w:hAnsi="Arial" w:cs="Arial"/>
                <w:sz w:val="24"/>
                <w:szCs w:val="24"/>
              </w:rPr>
              <w:t>2.  The patient must have undergone pulmonary endarterectomy or be inoperable</w:t>
            </w:r>
          </w:p>
        </w:tc>
      </w:tr>
      <w:tr w:rsidR="00C3036D" w:rsidRPr="00FA3F9C" w14:paraId="64213C95" w14:textId="77777777" w:rsidTr="009005EB">
        <w:tc>
          <w:tcPr>
            <w:tcW w:w="11016" w:type="dxa"/>
          </w:tcPr>
          <w:p w14:paraId="5BA85712" w14:textId="77777777" w:rsidR="00C3036D" w:rsidRPr="00FA3F9C" w:rsidRDefault="00C3036D" w:rsidP="00123B3F">
            <w:pPr>
              <w:rPr>
                <w:rFonts w:ascii="Arial" w:hAnsi="Arial" w:cs="Arial"/>
                <w:sz w:val="24"/>
                <w:szCs w:val="24"/>
              </w:rPr>
            </w:pPr>
            <w:r w:rsidRPr="00FA3F9C">
              <w:rPr>
                <w:rFonts w:ascii="Arial" w:hAnsi="Arial" w:cs="Arial"/>
                <w:sz w:val="24"/>
                <w:szCs w:val="24"/>
              </w:rPr>
              <w:t xml:space="preserve">3.  The patient must have a pulmonary vascular resistance greater than 300 </w:t>
            </w:r>
            <w:proofErr w:type="spellStart"/>
            <w:r w:rsidRPr="00FA3F9C">
              <w:rPr>
                <w:rFonts w:ascii="Arial" w:hAnsi="Arial" w:cs="Arial"/>
                <w:sz w:val="24"/>
                <w:szCs w:val="24"/>
              </w:rPr>
              <w:t>dyn</w:t>
            </w:r>
            <w:proofErr w:type="spellEnd"/>
            <w:r w:rsidRPr="00FA3F9C">
              <w:rPr>
                <w:rFonts w:ascii="Arial" w:hAnsi="Arial" w:cs="Arial"/>
                <w:sz w:val="24"/>
                <w:szCs w:val="24"/>
              </w:rPr>
              <w:t xml:space="preserve"> sec/cm, and a mean pulmonary artery pressure of at least 25mmHg.</w:t>
            </w:r>
          </w:p>
        </w:tc>
      </w:tr>
      <w:tr w:rsidR="00C3036D" w:rsidRPr="00FA3F9C" w14:paraId="1C252418" w14:textId="77777777" w:rsidTr="009005EB">
        <w:tc>
          <w:tcPr>
            <w:tcW w:w="11016" w:type="dxa"/>
          </w:tcPr>
          <w:p w14:paraId="6A1E014F" w14:textId="77777777" w:rsidR="00C3036D" w:rsidRPr="00FA3F9C" w:rsidRDefault="00C3036D" w:rsidP="00123B3F">
            <w:pPr>
              <w:rPr>
                <w:rFonts w:ascii="Arial" w:hAnsi="Arial" w:cs="Arial"/>
                <w:sz w:val="24"/>
                <w:szCs w:val="24"/>
              </w:rPr>
            </w:pPr>
            <w:r w:rsidRPr="00FA3F9C">
              <w:rPr>
                <w:rFonts w:ascii="Arial" w:hAnsi="Arial" w:cs="Arial"/>
                <w:sz w:val="24"/>
                <w:szCs w:val="24"/>
              </w:rPr>
              <w:t>4.  The patient must have a documented baseline 6MWT of 150-450 meters at baseline.</w:t>
            </w:r>
          </w:p>
        </w:tc>
      </w:tr>
      <w:tr w:rsidR="00C3036D" w:rsidRPr="00FA3F9C" w14:paraId="3EAB9151" w14:textId="77777777" w:rsidTr="00123B3F">
        <w:tc>
          <w:tcPr>
            <w:tcW w:w="11016" w:type="dxa"/>
            <w:tcBorders>
              <w:bottom w:val="single" w:sz="4" w:space="0" w:color="auto"/>
            </w:tcBorders>
          </w:tcPr>
          <w:p w14:paraId="57E671E0" w14:textId="77777777" w:rsidR="00C3036D" w:rsidRPr="00FA3F9C" w:rsidRDefault="00C3036D" w:rsidP="009005EB">
            <w:pPr>
              <w:rPr>
                <w:rFonts w:ascii="Arial" w:hAnsi="Arial" w:cs="Arial"/>
                <w:sz w:val="24"/>
                <w:szCs w:val="24"/>
              </w:rPr>
            </w:pPr>
            <w:r w:rsidRPr="00FA3F9C">
              <w:rPr>
                <w:rFonts w:ascii="Arial" w:hAnsi="Arial" w:cs="Arial"/>
                <w:sz w:val="24"/>
                <w:szCs w:val="24"/>
              </w:rPr>
              <w:t>If all 4 of the criteria listed above are “yes”, allow access for 1 year.</w:t>
            </w:r>
          </w:p>
        </w:tc>
      </w:tr>
      <w:tr w:rsidR="00C3036D" w:rsidRPr="00FA3F9C" w14:paraId="34641C6E" w14:textId="77777777" w:rsidTr="00123B3F">
        <w:tc>
          <w:tcPr>
            <w:tcW w:w="11016" w:type="dxa"/>
            <w:shd w:val="clear" w:color="auto" w:fill="D9D9D9"/>
          </w:tcPr>
          <w:p w14:paraId="56F29C54" w14:textId="77777777" w:rsidR="00C3036D" w:rsidRPr="00FA3F9C" w:rsidRDefault="00C3036D" w:rsidP="00123B3F">
            <w:pPr>
              <w:tabs>
                <w:tab w:val="left" w:pos="5907"/>
              </w:tabs>
              <w:rPr>
                <w:rFonts w:ascii="Arial" w:hAnsi="Arial" w:cs="Arial"/>
                <w:sz w:val="24"/>
                <w:szCs w:val="24"/>
              </w:rPr>
            </w:pPr>
            <w:r w:rsidRPr="00FA3F9C">
              <w:rPr>
                <w:rFonts w:ascii="Arial" w:hAnsi="Arial" w:cs="Arial"/>
                <w:sz w:val="24"/>
                <w:szCs w:val="24"/>
              </w:rPr>
              <w:t xml:space="preserve">Dosing is 1mg TID initially.  Max dose is 2.5mg TID. </w:t>
            </w:r>
          </w:p>
        </w:tc>
      </w:tr>
    </w:tbl>
    <w:p w14:paraId="7FA38099" w14:textId="77777777" w:rsidR="00C3036D" w:rsidRPr="00FA3F9C" w:rsidRDefault="00C3036D" w:rsidP="006F623F">
      <w:pPr>
        <w:pStyle w:val="Default"/>
        <w:rPr>
          <w:rFonts w:ascii="Arial" w:hAnsi="Arial" w:cs="Arial"/>
        </w:rPr>
      </w:pPr>
    </w:p>
    <w:p w14:paraId="3E896937" w14:textId="77777777" w:rsidR="00C3036D" w:rsidRPr="00FA3F9C" w:rsidRDefault="00C3036D" w:rsidP="00E15581">
      <w:pPr>
        <w:spacing w:after="0"/>
        <w:rPr>
          <w:rFonts w:ascii="Arial" w:hAnsi="Arial" w:cs="Arial"/>
          <w:sz w:val="24"/>
          <w:szCs w:val="24"/>
        </w:rPr>
      </w:pPr>
      <w:r w:rsidRPr="00FA3F9C">
        <w:rPr>
          <w:rFonts w:ascii="Arial" w:hAnsi="Arial" w:cs="Arial"/>
          <w:sz w:val="24"/>
          <w:szCs w:val="24"/>
        </w:rPr>
        <w:t>1.  Shah SJ.  Pulmonary Hypertension.  JAMA. 2012;308(13):1366-1374.</w:t>
      </w:r>
    </w:p>
    <w:p w14:paraId="389631BB" w14:textId="77777777" w:rsidR="00C3036D" w:rsidRPr="00FA3F9C" w:rsidRDefault="00C3036D" w:rsidP="00E15581">
      <w:pPr>
        <w:spacing w:after="0"/>
        <w:rPr>
          <w:rFonts w:ascii="Arial" w:hAnsi="Arial" w:cs="Arial"/>
          <w:sz w:val="24"/>
          <w:szCs w:val="24"/>
        </w:rPr>
      </w:pPr>
      <w:r w:rsidRPr="00FA3F9C">
        <w:rPr>
          <w:rFonts w:ascii="Arial" w:hAnsi="Arial" w:cs="Arial"/>
          <w:sz w:val="24"/>
          <w:szCs w:val="24"/>
        </w:rPr>
        <w:t xml:space="preserve">2.  Hopkins W, Rubin LJ.  Treatment of pulmonary hypertension in adults.  UpToDate.  </w:t>
      </w:r>
      <w:hyperlink r:id="rId362" w:history="1">
        <w:r w:rsidRPr="00FA3F9C">
          <w:rPr>
            <w:rStyle w:val="Hyperlink"/>
            <w:rFonts w:ascii="Arial" w:hAnsi="Arial" w:cs="Arial"/>
            <w:sz w:val="24"/>
            <w:szCs w:val="24"/>
          </w:rPr>
          <w:t>http://www.uptodate.com/contents/treatment-of-pulmonary-hypertension-in-adults?source=search_result&amp;search=pulmonary++hypertension&amp;selectedTitle=2~150</w:t>
        </w:r>
      </w:hyperlink>
      <w:r w:rsidRPr="00FA3F9C">
        <w:rPr>
          <w:rFonts w:ascii="Arial" w:hAnsi="Arial" w:cs="Arial"/>
          <w:sz w:val="24"/>
          <w:szCs w:val="24"/>
        </w:rPr>
        <w:t>.  Accessed 2/11/14.</w:t>
      </w:r>
    </w:p>
    <w:p w14:paraId="74FEA919" w14:textId="77777777" w:rsidR="00C3036D" w:rsidRPr="00FA3F9C" w:rsidRDefault="00C3036D" w:rsidP="00E15581">
      <w:pPr>
        <w:widowControl w:val="0"/>
        <w:autoSpaceDE w:val="0"/>
        <w:autoSpaceDN w:val="0"/>
        <w:adjustRightInd w:val="0"/>
        <w:spacing w:after="0"/>
        <w:rPr>
          <w:rFonts w:ascii="Arial" w:hAnsi="Arial" w:cs="Arial"/>
          <w:sz w:val="24"/>
          <w:szCs w:val="24"/>
        </w:rPr>
      </w:pPr>
      <w:r w:rsidRPr="00FA3F9C">
        <w:rPr>
          <w:rFonts w:ascii="Arial" w:hAnsi="Arial" w:cs="Arial"/>
          <w:sz w:val="24"/>
          <w:szCs w:val="24"/>
        </w:rPr>
        <w:t>3.  Liu C, Chen J, Gao Y, Deng B, Liu K. Endothelin receptor antagonists for pulmonary arterial hypertension. Cochrane Database of Systematic Reviews 2013, Issue 2. Art. No.: CD004434. DOI: 10.1002/14651858.CD004434.pub5.</w:t>
      </w:r>
    </w:p>
    <w:p w14:paraId="68AA1FF0" w14:textId="77777777" w:rsidR="00C3036D" w:rsidRPr="00FA3F9C" w:rsidRDefault="00C3036D" w:rsidP="00E15581">
      <w:pPr>
        <w:widowControl w:val="0"/>
        <w:autoSpaceDE w:val="0"/>
        <w:autoSpaceDN w:val="0"/>
        <w:adjustRightInd w:val="0"/>
        <w:spacing w:after="0"/>
        <w:rPr>
          <w:rFonts w:ascii="Arial" w:hAnsi="Arial" w:cs="Arial"/>
          <w:sz w:val="24"/>
          <w:szCs w:val="24"/>
        </w:rPr>
      </w:pPr>
      <w:r w:rsidRPr="00FA3F9C">
        <w:rPr>
          <w:rFonts w:ascii="Arial" w:hAnsi="Arial" w:cs="Arial"/>
          <w:sz w:val="24"/>
          <w:szCs w:val="24"/>
        </w:rPr>
        <w:t xml:space="preserve">4.  Pulido T, </w:t>
      </w:r>
      <w:proofErr w:type="spellStart"/>
      <w:r w:rsidRPr="00FA3F9C">
        <w:rPr>
          <w:rFonts w:ascii="Arial" w:hAnsi="Arial" w:cs="Arial"/>
          <w:sz w:val="24"/>
          <w:szCs w:val="24"/>
        </w:rPr>
        <w:t>Adzerikho</w:t>
      </w:r>
      <w:proofErr w:type="spellEnd"/>
      <w:r w:rsidRPr="00FA3F9C">
        <w:rPr>
          <w:rFonts w:ascii="Arial" w:hAnsi="Arial" w:cs="Arial"/>
          <w:sz w:val="24"/>
          <w:szCs w:val="24"/>
        </w:rPr>
        <w:t xml:space="preserve"> I, </w:t>
      </w:r>
      <w:proofErr w:type="spellStart"/>
      <w:r w:rsidRPr="00FA3F9C">
        <w:rPr>
          <w:rFonts w:ascii="Arial" w:hAnsi="Arial" w:cs="Arial"/>
          <w:sz w:val="24"/>
          <w:szCs w:val="24"/>
        </w:rPr>
        <w:t>Channick</w:t>
      </w:r>
      <w:proofErr w:type="spellEnd"/>
      <w:r w:rsidRPr="00FA3F9C">
        <w:rPr>
          <w:rFonts w:ascii="Arial" w:hAnsi="Arial" w:cs="Arial"/>
          <w:sz w:val="24"/>
          <w:szCs w:val="24"/>
        </w:rPr>
        <w:t xml:space="preserve"> RN, et al.  </w:t>
      </w:r>
      <w:proofErr w:type="spellStart"/>
      <w:r w:rsidRPr="00FA3F9C">
        <w:rPr>
          <w:rFonts w:ascii="Arial" w:hAnsi="Arial" w:cs="Arial"/>
          <w:sz w:val="24"/>
          <w:szCs w:val="24"/>
        </w:rPr>
        <w:t>Macitentan</w:t>
      </w:r>
      <w:proofErr w:type="spellEnd"/>
      <w:r w:rsidRPr="00FA3F9C">
        <w:rPr>
          <w:rFonts w:ascii="Arial" w:hAnsi="Arial" w:cs="Arial"/>
          <w:sz w:val="24"/>
          <w:szCs w:val="24"/>
        </w:rPr>
        <w:t xml:space="preserve"> and morbidity and mortality in pulmonary arterial hypertension.  N </w:t>
      </w:r>
      <w:proofErr w:type="spellStart"/>
      <w:r w:rsidRPr="00FA3F9C">
        <w:rPr>
          <w:rFonts w:ascii="Arial" w:hAnsi="Arial" w:cs="Arial"/>
          <w:sz w:val="24"/>
          <w:szCs w:val="24"/>
        </w:rPr>
        <w:t>Engl</w:t>
      </w:r>
      <w:proofErr w:type="spellEnd"/>
      <w:r w:rsidRPr="00FA3F9C">
        <w:rPr>
          <w:rFonts w:ascii="Arial" w:hAnsi="Arial" w:cs="Arial"/>
          <w:sz w:val="24"/>
          <w:szCs w:val="24"/>
        </w:rPr>
        <w:t xml:space="preserve"> J Med. 2013;369:809-18.</w:t>
      </w:r>
    </w:p>
    <w:p w14:paraId="61981DC4" w14:textId="77777777" w:rsidR="00C3036D" w:rsidRPr="00FA3F9C" w:rsidRDefault="00C3036D" w:rsidP="00E15581">
      <w:pPr>
        <w:widowControl w:val="0"/>
        <w:autoSpaceDE w:val="0"/>
        <w:autoSpaceDN w:val="0"/>
        <w:adjustRightInd w:val="0"/>
        <w:spacing w:after="0"/>
        <w:rPr>
          <w:rFonts w:ascii="Arial" w:hAnsi="Arial" w:cs="Arial"/>
          <w:sz w:val="24"/>
          <w:szCs w:val="24"/>
          <w:lang w:val="fr-FR"/>
        </w:rPr>
      </w:pPr>
      <w:r w:rsidRPr="00FA3F9C">
        <w:rPr>
          <w:rFonts w:ascii="Arial" w:hAnsi="Arial" w:cs="Arial"/>
          <w:sz w:val="24"/>
          <w:szCs w:val="24"/>
        </w:rPr>
        <w:t xml:space="preserve">5.  </w:t>
      </w:r>
      <w:proofErr w:type="spellStart"/>
      <w:r w:rsidRPr="00FA3F9C">
        <w:rPr>
          <w:rFonts w:ascii="Arial" w:hAnsi="Arial" w:cs="Arial"/>
          <w:sz w:val="24"/>
          <w:szCs w:val="24"/>
        </w:rPr>
        <w:t>Ghofrani</w:t>
      </w:r>
      <w:proofErr w:type="spellEnd"/>
      <w:r w:rsidRPr="00FA3F9C">
        <w:rPr>
          <w:rFonts w:ascii="Arial" w:hAnsi="Arial" w:cs="Arial"/>
          <w:sz w:val="24"/>
          <w:szCs w:val="24"/>
        </w:rPr>
        <w:t xml:space="preserve"> H, </w:t>
      </w:r>
      <w:proofErr w:type="spellStart"/>
      <w:r w:rsidRPr="00FA3F9C">
        <w:rPr>
          <w:rFonts w:ascii="Arial" w:hAnsi="Arial" w:cs="Arial"/>
          <w:sz w:val="24"/>
          <w:szCs w:val="24"/>
        </w:rPr>
        <w:t>D’Armini</w:t>
      </w:r>
      <w:proofErr w:type="spellEnd"/>
      <w:r w:rsidRPr="00FA3F9C">
        <w:rPr>
          <w:rFonts w:ascii="Arial" w:hAnsi="Arial" w:cs="Arial"/>
          <w:sz w:val="24"/>
          <w:szCs w:val="24"/>
        </w:rPr>
        <w:t xml:space="preserve"> AM, Grimminger F, et al.  </w:t>
      </w:r>
      <w:proofErr w:type="spellStart"/>
      <w:r w:rsidRPr="00FA3F9C">
        <w:rPr>
          <w:rFonts w:ascii="Arial" w:hAnsi="Arial" w:cs="Arial"/>
          <w:sz w:val="24"/>
          <w:szCs w:val="24"/>
        </w:rPr>
        <w:t>Riociguat</w:t>
      </w:r>
      <w:proofErr w:type="spellEnd"/>
      <w:r w:rsidRPr="00FA3F9C">
        <w:rPr>
          <w:rFonts w:ascii="Arial" w:hAnsi="Arial" w:cs="Arial"/>
          <w:sz w:val="24"/>
          <w:szCs w:val="24"/>
        </w:rPr>
        <w:t xml:space="preserve"> for the treatment of chronic thromboembolic pulmonary hypertension.  </w:t>
      </w:r>
      <w:r w:rsidRPr="00FA3F9C">
        <w:rPr>
          <w:rFonts w:ascii="Arial" w:hAnsi="Arial" w:cs="Arial"/>
          <w:sz w:val="24"/>
          <w:szCs w:val="24"/>
          <w:lang w:val="fr-FR"/>
        </w:rPr>
        <w:t xml:space="preserve">N </w:t>
      </w:r>
      <w:proofErr w:type="spellStart"/>
      <w:r w:rsidRPr="00FA3F9C">
        <w:rPr>
          <w:rFonts w:ascii="Arial" w:hAnsi="Arial" w:cs="Arial"/>
          <w:sz w:val="24"/>
          <w:szCs w:val="24"/>
          <w:lang w:val="fr-FR"/>
        </w:rPr>
        <w:t>Engl</w:t>
      </w:r>
      <w:proofErr w:type="spellEnd"/>
      <w:r w:rsidRPr="00FA3F9C">
        <w:rPr>
          <w:rFonts w:ascii="Arial" w:hAnsi="Arial" w:cs="Arial"/>
          <w:sz w:val="24"/>
          <w:szCs w:val="24"/>
          <w:lang w:val="fr-FR"/>
        </w:rPr>
        <w:t xml:space="preserve"> J Med. </w:t>
      </w:r>
      <w:proofErr w:type="gramStart"/>
      <w:r w:rsidRPr="00FA3F9C">
        <w:rPr>
          <w:rFonts w:ascii="Arial" w:hAnsi="Arial" w:cs="Arial"/>
          <w:sz w:val="24"/>
          <w:szCs w:val="24"/>
          <w:lang w:val="fr-FR"/>
        </w:rPr>
        <w:t>2013;</w:t>
      </w:r>
      <w:proofErr w:type="gramEnd"/>
      <w:r w:rsidRPr="00FA3F9C">
        <w:rPr>
          <w:rFonts w:ascii="Arial" w:hAnsi="Arial" w:cs="Arial"/>
          <w:sz w:val="24"/>
          <w:szCs w:val="24"/>
          <w:lang w:val="fr-FR"/>
        </w:rPr>
        <w:t>369:319-29.</w:t>
      </w:r>
    </w:p>
    <w:p w14:paraId="23BAD168" w14:textId="77777777" w:rsidR="00C3036D" w:rsidRPr="00FA3F9C" w:rsidRDefault="00C3036D" w:rsidP="00E15581">
      <w:pPr>
        <w:widowControl w:val="0"/>
        <w:autoSpaceDE w:val="0"/>
        <w:autoSpaceDN w:val="0"/>
        <w:adjustRightInd w:val="0"/>
        <w:spacing w:after="0"/>
        <w:rPr>
          <w:rFonts w:ascii="Arial" w:hAnsi="Arial" w:cs="Arial"/>
          <w:sz w:val="24"/>
          <w:szCs w:val="24"/>
        </w:rPr>
      </w:pPr>
      <w:r w:rsidRPr="00FA3F9C">
        <w:rPr>
          <w:rFonts w:ascii="Arial" w:hAnsi="Arial" w:cs="Arial"/>
          <w:sz w:val="24"/>
          <w:szCs w:val="24"/>
          <w:lang w:val="fr-FR"/>
        </w:rPr>
        <w:t xml:space="preserve">6.  </w:t>
      </w:r>
      <w:proofErr w:type="spellStart"/>
      <w:r w:rsidRPr="00FA3F9C">
        <w:rPr>
          <w:rFonts w:ascii="Arial" w:hAnsi="Arial" w:cs="Arial"/>
          <w:sz w:val="24"/>
          <w:szCs w:val="24"/>
          <w:lang w:val="fr-FR"/>
        </w:rPr>
        <w:t>Ghofrani</w:t>
      </w:r>
      <w:proofErr w:type="spellEnd"/>
      <w:r w:rsidRPr="00FA3F9C">
        <w:rPr>
          <w:rFonts w:ascii="Arial" w:hAnsi="Arial" w:cs="Arial"/>
          <w:sz w:val="24"/>
          <w:szCs w:val="24"/>
          <w:lang w:val="fr-FR"/>
        </w:rPr>
        <w:t xml:space="preserve"> H, </w:t>
      </w:r>
      <w:proofErr w:type="spellStart"/>
      <w:r w:rsidRPr="00FA3F9C">
        <w:rPr>
          <w:rFonts w:ascii="Arial" w:hAnsi="Arial" w:cs="Arial"/>
          <w:sz w:val="24"/>
          <w:szCs w:val="24"/>
          <w:lang w:val="fr-FR"/>
        </w:rPr>
        <w:t>Galie</w:t>
      </w:r>
      <w:proofErr w:type="spellEnd"/>
      <w:r w:rsidRPr="00FA3F9C">
        <w:rPr>
          <w:rFonts w:ascii="Arial" w:hAnsi="Arial" w:cs="Arial"/>
          <w:sz w:val="24"/>
          <w:szCs w:val="24"/>
          <w:lang w:val="fr-FR"/>
        </w:rPr>
        <w:t xml:space="preserve"> N, </w:t>
      </w:r>
      <w:proofErr w:type="spellStart"/>
      <w:r w:rsidRPr="00FA3F9C">
        <w:rPr>
          <w:rFonts w:ascii="Arial" w:hAnsi="Arial" w:cs="Arial"/>
          <w:sz w:val="24"/>
          <w:szCs w:val="24"/>
          <w:lang w:val="fr-FR"/>
        </w:rPr>
        <w:t>Grimminger</w:t>
      </w:r>
      <w:proofErr w:type="spellEnd"/>
      <w:r w:rsidRPr="00FA3F9C">
        <w:rPr>
          <w:rFonts w:ascii="Arial" w:hAnsi="Arial" w:cs="Arial"/>
          <w:sz w:val="24"/>
          <w:szCs w:val="24"/>
          <w:lang w:val="fr-FR"/>
        </w:rPr>
        <w:t xml:space="preserve"> F, </w:t>
      </w:r>
      <w:proofErr w:type="spellStart"/>
      <w:r w:rsidRPr="00FA3F9C">
        <w:rPr>
          <w:rFonts w:ascii="Arial" w:hAnsi="Arial" w:cs="Arial"/>
          <w:sz w:val="24"/>
          <w:szCs w:val="24"/>
          <w:lang w:val="fr-FR"/>
        </w:rPr>
        <w:t>Grunig</w:t>
      </w:r>
      <w:proofErr w:type="spellEnd"/>
      <w:r w:rsidRPr="00FA3F9C">
        <w:rPr>
          <w:rFonts w:ascii="Arial" w:hAnsi="Arial" w:cs="Arial"/>
          <w:sz w:val="24"/>
          <w:szCs w:val="24"/>
          <w:lang w:val="fr-FR"/>
        </w:rPr>
        <w:t xml:space="preserve"> E, et al.  </w:t>
      </w:r>
      <w:proofErr w:type="spellStart"/>
      <w:r w:rsidRPr="00FA3F9C">
        <w:rPr>
          <w:rFonts w:ascii="Arial" w:hAnsi="Arial" w:cs="Arial"/>
          <w:sz w:val="24"/>
          <w:szCs w:val="24"/>
        </w:rPr>
        <w:t>Riociguat</w:t>
      </w:r>
      <w:proofErr w:type="spellEnd"/>
      <w:r w:rsidRPr="00FA3F9C">
        <w:rPr>
          <w:rFonts w:ascii="Arial" w:hAnsi="Arial" w:cs="Arial"/>
          <w:sz w:val="24"/>
          <w:szCs w:val="24"/>
        </w:rPr>
        <w:t xml:space="preserve"> for the treatment of pulmonary arterial hypertension.  (PATENT-1). N </w:t>
      </w:r>
      <w:proofErr w:type="spellStart"/>
      <w:r w:rsidRPr="00FA3F9C">
        <w:rPr>
          <w:rFonts w:ascii="Arial" w:hAnsi="Arial" w:cs="Arial"/>
          <w:sz w:val="24"/>
          <w:szCs w:val="24"/>
        </w:rPr>
        <w:t>Engl</w:t>
      </w:r>
      <w:proofErr w:type="spellEnd"/>
      <w:r w:rsidRPr="00FA3F9C">
        <w:rPr>
          <w:rFonts w:ascii="Arial" w:hAnsi="Arial" w:cs="Arial"/>
          <w:sz w:val="24"/>
          <w:szCs w:val="24"/>
        </w:rPr>
        <w:t xml:space="preserve"> J Med. 2013;369:330-40.</w:t>
      </w:r>
    </w:p>
    <w:p w14:paraId="51003728" w14:textId="77777777" w:rsidR="00C3036D" w:rsidRPr="00FA3F9C" w:rsidRDefault="00C3036D" w:rsidP="00E15581">
      <w:pPr>
        <w:widowControl w:val="0"/>
        <w:autoSpaceDE w:val="0"/>
        <w:autoSpaceDN w:val="0"/>
        <w:adjustRightInd w:val="0"/>
        <w:spacing w:after="0"/>
        <w:rPr>
          <w:rFonts w:ascii="Arial" w:hAnsi="Arial" w:cs="Arial"/>
          <w:sz w:val="24"/>
          <w:szCs w:val="24"/>
        </w:rPr>
      </w:pPr>
      <w:r w:rsidRPr="00FA3F9C">
        <w:rPr>
          <w:rFonts w:ascii="Arial" w:hAnsi="Arial" w:cs="Arial"/>
          <w:sz w:val="24"/>
          <w:szCs w:val="24"/>
        </w:rPr>
        <w:t xml:space="preserve">7.  Archer SL.  </w:t>
      </w:r>
      <w:proofErr w:type="spellStart"/>
      <w:r w:rsidRPr="00FA3F9C">
        <w:rPr>
          <w:rFonts w:ascii="Arial" w:hAnsi="Arial" w:cs="Arial"/>
          <w:sz w:val="24"/>
          <w:szCs w:val="24"/>
        </w:rPr>
        <w:t>Riociguat</w:t>
      </w:r>
      <w:proofErr w:type="spellEnd"/>
      <w:r w:rsidRPr="00FA3F9C">
        <w:rPr>
          <w:rFonts w:ascii="Arial" w:hAnsi="Arial" w:cs="Arial"/>
          <w:sz w:val="24"/>
          <w:szCs w:val="24"/>
        </w:rPr>
        <w:t xml:space="preserve"> for pulmonary hypertension—a glass half full.  N </w:t>
      </w:r>
      <w:proofErr w:type="spellStart"/>
      <w:r w:rsidRPr="00FA3F9C">
        <w:rPr>
          <w:rFonts w:ascii="Arial" w:hAnsi="Arial" w:cs="Arial"/>
          <w:sz w:val="24"/>
          <w:szCs w:val="24"/>
        </w:rPr>
        <w:t>Engl</w:t>
      </w:r>
      <w:proofErr w:type="spellEnd"/>
      <w:r w:rsidRPr="00FA3F9C">
        <w:rPr>
          <w:rFonts w:ascii="Arial" w:hAnsi="Arial" w:cs="Arial"/>
          <w:sz w:val="24"/>
          <w:szCs w:val="24"/>
        </w:rPr>
        <w:t xml:space="preserve"> J Med. 2013;369(4):386-88.</w:t>
      </w:r>
    </w:p>
    <w:p w14:paraId="1050D21A" w14:textId="77777777" w:rsidR="00C3036D" w:rsidRPr="00FA3F9C" w:rsidRDefault="00C3036D" w:rsidP="00CB2D9D">
      <w:pPr>
        <w:rPr>
          <w:rFonts w:ascii="Arial" w:eastAsia="Times New Roman" w:hAnsi="Arial" w:cs="Arial"/>
          <w:sz w:val="24"/>
          <w:szCs w:val="24"/>
        </w:rPr>
      </w:pPr>
      <w:r w:rsidRPr="00FA3F9C">
        <w:rPr>
          <w:rFonts w:ascii="Arial" w:hAnsi="Arial" w:cs="Arial"/>
          <w:sz w:val="24"/>
          <w:szCs w:val="24"/>
        </w:rPr>
        <w:t xml:space="preserve">8. </w:t>
      </w:r>
      <w:r w:rsidRPr="00FA3F9C">
        <w:rPr>
          <w:rFonts w:ascii="Arial" w:eastAsia="Times New Roman" w:hAnsi="Arial" w:cs="Arial"/>
          <w:color w:val="222222"/>
          <w:sz w:val="24"/>
          <w:szCs w:val="24"/>
          <w:shd w:val="clear" w:color="auto" w:fill="FFFFFF"/>
        </w:rPr>
        <w:t>Klinger, James R., et al. "Therapy for pulmonary arterial hypertension in adults: update of the CHEST guideline and expert panel report." </w:t>
      </w:r>
      <w:r w:rsidRPr="00FA3F9C">
        <w:rPr>
          <w:rFonts w:ascii="Arial" w:eastAsia="Times New Roman" w:hAnsi="Arial" w:cs="Arial"/>
          <w:i/>
          <w:iCs/>
          <w:color w:val="222222"/>
          <w:sz w:val="24"/>
          <w:szCs w:val="24"/>
          <w:shd w:val="clear" w:color="auto" w:fill="FFFFFF"/>
        </w:rPr>
        <w:t>Chest</w:t>
      </w:r>
      <w:r w:rsidRPr="00FA3F9C">
        <w:rPr>
          <w:rFonts w:ascii="Arial" w:eastAsia="Times New Roman" w:hAnsi="Arial" w:cs="Arial"/>
          <w:color w:val="222222"/>
          <w:sz w:val="24"/>
          <w:szCs w:val="24"/>
          <w:shd w:val="clear" w:color="auto" w:fill="FFFFFF"/>
        </w:rPr>
        <w:t> 155.3 (2019): 565-586.</w:t>
      </w:r>
    </w:p>
    <w:p w14:paraId="0798D763" w14:textId="77777777" w:rsidR="00C3036D" w:rsidRPr="00FA3F9C" w:rsidRDefault="00C3036D" w:rsidP="00E15581">
      <w:pPr>
        <w:spacing w:after="0"/>
        <w:rPr>
          <w:rFonts w:ascii="Arial" w:hAnsi="Arial" w:cs="Arial"/>
          <w:sz w:val="24"/>
          <w:szCs w:val="24"/>
        </w:rPr>
      </w:pPr>
    </w:p>
    <w:p w14:paraId="0D8B9D53" w14:textId="77777777" w:rsidR="00C3036D" w:rsidRPr="00FA3F9C" w:rsidRDefault="00C3036D"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008"/>
        <w:gridCol w:w="7470"/>
        <w:gridCol w:w="2538"/>
      </w:tblGrid>
      <w:tr w:rsidR="00C3036D" w:rsidRPr="00FA3F9C" w14:paraId="476F19E6" w14:textId="77777777" w:rsidTr="00FE491B">
        <w:tc>
          <w:tcPr>
            <w:tcW w:w="1008" w:type="dxa"/>
          </w:tcPr>
          <w:p w14:paraId="401F4102" w14:textId="77777777" w:rsidR="00C3036D" w:rsidRPr="00FA3F9C" w:rsidRDefault="00C3036D" w:rsidP="006F623F">
            <w:pPr>
              <w:rPr>
                <w:rFonts w:ascii="Arial" w:hAnsi="Arial" w:cs="Arial"/>
                <w:sz w:val="24"/>
                <w:szCs w:val="24"/>
              </w:rPr>
            </w:pPr>
            <w:r w:rsidRPr="00FA3F9C">
              <w:rPr>
                <w:rFonts w:ascii="Arial" w:hAnsi="Arial" w:cs="Arial"/>
                <w:sz w:val="24"/>
                <w:szCs w:val="24"/>
              </w:rPr>
              <w:t>Date</w:t>
            </w:r>
          </w:p>
        </w:tc>
        <w:tc>
          <w:tcPr>
            <w:tcW w:w="7470" w:type="dxa"/>
          </w:tcPr>
          <w:p w14:paraId="0A0DCAFD" w14:textId="77777777" w:rsidR="00C3036D" w:rsidRPr="00FA3F9C" w:rsidRDefault="00C3036D" w:rsidP="006F623F">
            <w:pPr>
              <w:rPr>
                <w:rFonts w:ascii="Arial" w:hAnsi="Arial" w:cs="Arial"/>
                <w:sz w:val="24"/>
                <w:szCs w:val="24"/>
              </w:rPr>
            </w:pPr>
            <w:r w:rsidRPr="00FA3F9C">
              <w:rPr>
                <w:rFonts w:ascii="Arial" w:hAnsi="Arial" w:cs="Arial"/>
                <w:sz w:val="24"/>
                <w:szCs w:val="24"/>
              </w:rPr>
              <w:t>What changed</w:t>
            </w:r>
          </w:p>
        </w:tc>
        <w:tc>
          <w:tcPr>
            <w:tcW w:w="2538" w:type="dxa"/>
          </w:tcPr>
          <w:p w14:paraId="4E30F68B" w14:textId="77777777" w:rsidR="00C3036D" w:rsidRPr="00FA3F9C" w:rsidRDefault="00C3036D" w:rsidP="006F623F">
            <w:pPr>
              <w:rPr>
                <w:rFonts w:ascii="Arial" w:hAnsi="Arial" w:cs="Arial"/>
                <w:sz w:val="24"/>
                <w:szCs w:val="24"/>
              </w:rPr>
            </w:pPr>
            <w:r w:rsidRPr="00FA3F9C">
              <w:rPr>
                <w:rFonts w:ascii="Arial" w:hAnsi="Arial" w:cs="Arial"/>
                <w:sz w:val="24"/>
                <w:szCs w:val="24"/>
              </w:rPr>
              <w:t>Pharmacist’s initials</w:t>
            </w:r>
          </w:p>
        </w:tc>
      </w:tr>
      <w:tr w:rsidR="00C3036D" w:rsidRPr="00FA3F9C" w14:paraId="156C40B3" w14:textId="77777777" w:rsidTr="00FE491B">
        <w:tc>
          <w:tcPr>
            <w:tcW w:w="1008" w:type="dxa"/>
          </w:tcPr>
          <w:p w14:paraId="0C415982" w14:textId="77777777" w:rsidR="00C3036D" w:rsidRPr="00FA3F9C" w:rsidRDefault="00C3036D" w:rsidP="006F623F">
            <w:pPr>
              <w:rPr>
                <w:rFonts w:ascii="Arial" w:hAnsi="Arial" w:cs="Arial"/>
                <w:sz w:val="24"/>
                <w:szCs w:val="24"/>
              </w:rPr>
            </w:pPr>
            <w:r w:rsidRPr="00FA3F9C">
              <w:rPr>
                <w:rFonts w:ascii="Arial" w:hAnsi="Arial" w:cs="Arial"/>
                <w:sz w:val="24"/>
                <w:szCs w:val="24"/>
              </w:rPr>
              <w:t>2/6/15</w:t>
            </w:r>
          </w:p>
        </w:tc>
        <w:tc>
          <w:tcPr>
            <w:tcW w:w="7470" w:type="dxa"/>
          </w:tcPr>
          <w:p w14:paraId="4213989C" w14:textId="77777777" w:rsidR="00C3036D" w:rsidRPr="00FA3F9C" w:rsidRDefault="00C3036D" w:rsidP="006F623F">
            <w:pPr>
              <w:rPr>
                <w:rFonts w:ascii="Arial" w:hAnsi="Arial" w:cs="Arial"/>
                <w:sz w:val="24"/>
                <w:szCs w:val="24"/>
              </w:rPr>
            </w:pPr>
            <w:r w:rsidRPr="00FA3F9C">
              <w:rPr>
                <w:rFonts w:ascii="Arial" w:hAnsi="Arial" w:cs="Arial"/>
                <w:sz w:val="24"/>
                <w:szCs w:val="24"/>
              </w:rPr>
              <w:t>I wrote the criteria.</w:t>
            </w:r>
          </w:p>
        </w:tc>
        <w:tc>
          <w:tcPr>
            <w:tcW w:w="2538" w:type="dxa"/>
          </w:tcPr>
          <w:p w14:paraId="04D25DFC" w14:textId="77777777" w:rsidR="00C3036D" w:rsidRPr="00FA3F9C" w:rsidRDefault="00C3036D" w:rsidP="006F623F">
            <w:pPr>
              <w:rPr>
                <w:rFonts w:ascii="Arial" w:hAnsi="Arial" w:cs="Arial"/>
                <w:sz w:val="24"/>
                <w:szCs w:val="24"/>
              </w:rPr>
            </w:pPr>
            <w:r w:rsidRPr="00FA3F9C">
              <w:rPr>
                <w:rFonts w:ascii="Arial" w:hAnsi="Arial" w:cs="Arial"/>
                <w:sz w:val="24"/>
                <w:szCs w:val="24"/>
              </w:rPr>
              <w:t>JJ</w:t>
            </w:r>
          </w:p>
        </w:tc>
      </w:tr>
      <w:tr w:rsidR="00C3036D" w:rsidRPr="00FA3F9C" w14:paraId="7AE44FA8" w14:textId="77777777" w:rsidTr="00FE491B">
        <w:tc>
          <w:tcPr>
            <w:tcW w:w="1008" w:type="dxa"/>
          </w:tcPr>
          <w:p w14:paraId="74FAD6AF" w14:textId="77777777" w:rsidR="00C3036D" w:rsidRPr="00FA3F9C" w:rsidRDefault="00C3036D" w:rsidP="006F623F">
            <w:pPr>
              <w:rPr>
                <w:rFonts w:ascii="Arial" w:hAnsi="Arial" w:cs="Arial"/>
                <w:sz w:val="24"/>
                <w:szCs w:val="24"/>
              </w:rPr>
            </w:pPr>
            <w:r w:rsidRPr="00FA3F9C">
              <w:rPr>
                <w:rFonts w:ascii="Arial" w:hAnsi="Arial" w:cs="Arial"/>
                <w:sz w:val="24"/>
                <w:szCs w:val="24"/>
              </w:rPr>
              <w:t>3/9/21</w:t>
            </w:r>
          </w:p>
        </w:tc>
        <w:tc>
          <w:tcPr>
            <w:tcW w:w="7470" w:type="dxa"/>
          </w:tcPr>
          <w:p w14:paraId="560AF89A" w14:textId="77777777" w:rsidR="00C3036D" w:rsidRPr="00FA3F9C" w:rsidRDefault="00C3036D" w:rsidP="006F623F">
            <w:pPr>
              <w:rPr>
                <w:rFonts w:ascii="Arial" w:hAnsi="Arial" w:cs="Arial"/>
                <w:sz w:val="24"/>
                <w:szCs w:val="24"/>
              </w:rPr>
            </w:pPr>
            <w:r w:rsidRPr="00FA3F9C">
              <w:rPr>
                <w:rFonts w:ascii="Arial" w:hAnsi="Arial" w:cs="Arial"/>
                <w:sz w:val="24"/>
                <w:szCs w:val="24"/>
              </w:rPr>
              <w:t xml:space="preserve">I omitted the requirement to have a </w:t>
            </w:r>
            <w:proofErr w:type="spellStart"/>
            <w:r w:rsidRPr="00FA3F9C">
              <w:rPr>
                <w:rFonts w:ascii="Arial" w:hAnsi="Arial" w:cs="Arial"/>
                <w:sz w:val="24"/>
                <w:szCs w:val="24"/>
              </w:rPr>
              <w:t>pulm</w:t>
            </w:r>
            <w:proofErr w:type="spellEnd"/>
            <w:r w:rsidRPr="00FA3F9C">
              <w:rPr>
                <w:rFonts w:ascii="Arial" w:hAnsi="Arial" w:cs="Arial"/>
                <w:sz w:val="24"/>
                <w:szCs w:val="24"/>
              </w:rPr>
              <w:t xml:space="preserve"> </w:t>
            </w:r>
            <w:proofErr w:type="spellStart"/>
            <w:r w:rsidRPr="00FA3F9C">
              <w:rPr>
                <w:rFonts w:ascii="Arial" w:hAnsi="Arial" w:cs="Arial"/>
                <w:sz w:val="24"/>
                <w:szCs w:val="24"/>
              </w:rPr>
              <w:t>vasc</w:t>
            </w:r>
            <w:proofErr w:type="spellEnd"/>
            <w:r w:rsidRPr="00FA3F9C">
              <w:rPr>
                <w:rFonts w:ascii="Arial" w:hAnsi="Arial" w:cs="Arial"/>
                <w:sz w:val="24"/>
                <w:szCs w:val="24"/>
              </w:rPr>
              <w:t xml:space="preserve"> resistance greater than 300 </w:t>
            </w:r>
            <w:proofErr w:type="spellStart"/>
            <w:r w:rsidRPr="00FA3F9C">
              <w:rPr>
                <w:rFonts w:ascii="Arial" w:hAnsi="Arial" w:cs="Arial"/>
                <w:sz w:val="24"/>
                <w:szCs w:val="24"/>
              </w:rPr>
              <w:t>dyn</w:t>
            </w:r>
            <w:proofErr w:type="spellEnd"/>
            <w:r w:rsidRPr="00FA3F9C">
              <w:rPr>
                <w:rFonts w:ascii="Arial" w:hAnsi="Arial" w:cs="Arial"/>
                <w:sz w:val="24"/>
                <w:szCs w:val="24"/>
              </w:rPr>
              <w:t xml:space="preserve"> sec/</w:t>
            </w:r>
            <w:proofErr w:type="gramStart"/>
            <w:r w:rsidRPr="00FA3F9C">
              <w:rPr>
                <w:rFonts w:ascii="Arial" w:hAnsi="Arial" w:cs="Arial"/>
                <w:sz w:val="24"/>
                <w:szCs w:val="24"/>
              </w:rPr>
              <w:t>cm, and</w:t>
            </w:r>
            <w:proofErr w:type="gramEnd"/>
            <w:r w:rsidRPr="00FA3F9C">
              <w:rPr>
                <w:rFonts w:ascii="Arial" w:hAnsi="Arial" w:cs="Arial"/>
                <w:sz w:val="24"/>
                <w:szCs w:val="24"/>
              </w:rPr>
              <w:t xml:space="preserve"> mean pulmonary artery pressure of at least 25mmHg; the updated (CHEST 2019) guidelines do not specify.  I added the reference 8 (updated CHEST 2019 PAH guidelines.</w:t>
            </w:r>
          </w:p>
        </w:tc>
        <w:tc>
          <w:tcPr>
            <w:tcW w:w="2538" w:type="dxa"/>
          </w:tcPr>
          <w:p w14:paraId="7DEFFDB0" w14:textId="77777777" w:rsidR="00C3036D" w:rsidRPr="00FA3F9C" w:rsidRDefault="00C3036D" w:rsidP="006F623F">
            <w:pPr>
              <w:rPr>
                <w:rFonts w:ascii="Arial" w:hAnsi="Arial" w:cs="Arial"/>
                <w:sz w:val="24"/>
                <w:szCs w:val="24"/>
              </w:rPr>
            </w:pPr>
            <w:r w:rsidRPr="00FA3F9C">
              <w:rPr>
                <w:rFonts w:ascii="Arial" w:hAnsi="Arial" w:cs="Arial"/>
                <w:sz w:val="24"/>
                <w:szCs w:val="24"/>
              </w:rPr>
              <w:t>JJ</w:t>
            </w:r>
          </w:p>
        </w:tc>
      </w:tr>
    </w:tbl>
    <w:p w14:paraId="23D0D0A7" w14:textId="77777777" w:rsidR="00C3036D" w:rsidRPr="00FA3F9C" w:rsidRDefault="00C3036D" w:rsidP="006F623F">
      <w:pPr>
        <w:spacing w:after="0"/>
        <w:rPr>
          <w:rFonts w:ascii="Arial" w:hAnsi="Arial" w:cs="Arial"/>
          <w:sz w:val="24"/>
          <w:szCs w:val="24"/>
        </w:rPr>
      </w:pPr>
    </w:p>
    <w:p w14:paraId="1CE14A72" w14:textId="77777777" w:rsidR="00C3036D" w:rsidRPr="00FA3F9C" w:rsidRDefault="00C3036D" w:rsidP="006F623F">
      <w:pPr>
        <w:spacing w:after="0"/>
        <w:rPr>
          <w:rFonts w:ascii="Arial" w:hAnsi="Arial" w:cs="Arial"/>
          <w:sz w:val="24"/>
          <w:szCs w:val="24"/>
        </w:rPr>
      </w:pPr>
    </w:p>
    <w:p w14:paraId="09F1BE99" w14:textId="77777777" w:rsidR="00C3036D" w:rsidRPr="00FA3F9C" w:rsidRDefault="00C3036D" w:rsidP="006F623F">
      <w:pPr>
        <w:spacing w:after="0"/>
        <w:rPr>
          <w:rFonts w:ascii="Arial" w:hAnsi="Arial" w:cs="Arial"/>
          <w:sz w:val="24"/>
          <w:szCs w:val="24"/>
        </w:rPr>
      </w:pPr>
      <w:r w:rsidRPr="00FA3F9C">
        <w:rPr>
          <w:rFonts w:ascii="Arial" w:hAnsi="Arial" w:cs="Arial"/>
          <w:sz w:val="24"/>
          <w:szCs w:val="24"/>
        </w:rPr>
        <w:t>Addendum:</w:t>
      </w:r>
    </w:p>
    <w:tbl>
      <w:tblPr>
        <w:tblStyle w:val="TableGrid"/>
        <w:tblW w:w="0" w:type="auto"/>
        <w:tblLook w:val="04A0" w:firstRow="1" w:lastRow="0" w:firstColumn="1" w:lastColumn="0" w:noHBand="0" w:noVBand="1"/>
      </w:tblPr>
      <w:tblGrid>
        <w:gridCol w:w="1832"/>
        <w:gridCol w:w="1788"/>
        <w:gridCol w:w="2055"/>
        <w:gridCol w:w="1918"/>
        <w:gridCol w:w="1999"/>
        <w:gridCol w:w="2097"/>
        <w:gridCol w:w="1981"/>
      </w:tblGrid>
      <w:tr w:rsidR="00C3036D" w:rsidRPr="00FA3F9C" w14:paraId="4E30D722" w14:textId="77777777" w:rsidTr="003926F2">
        <w:tc>
          <w:tcPr>
            <w:tcW w:w="14616" w:type="dxa"/>
            <w:gridSpan w:val="7"/>
          </w:tcPr>
          <w:p w14:paraId="1A29BC7D" w14:textId="77777777" w:rsidR="00C3036D" w:rsidRPr="00FA3F9C" w:rsidRDefault="00C3036D"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Diagnostic Criteria and WHO categorization of PH</w:t>
            </w:r>
          </w:p>
        </w:tc>
      </w:tr>
      <w:tr w:rsidR="00C3036D" w:rsidRPr="00FA3F9C" w14:paraId="1906668B" w14:textId="77777777" w:rsidTr="003926F2">
        <w:tc>
          <w:tcPr>
            <w:tcW w:w="2088" w:type="dxa"/>
          </w:tcPr>
          <w:p w14:paraId="42BA1762" w14:textId="77777777" w:rsidR="00C3036D" w:rsidRPr="00FA3F9C" w:rsidRDefault="00C3036D" w:rsidP="003926F2">
            <w:pPr>
              <w:widowControl w:val="0"/>
              <w:autoSpaceDE w:val="0"/>
              <w:autoSpaceDN w:val="0"/>
              <w:adjustRightInd w:val="0"/>
              <w:rPr>
                <w:rFonts w:ascii="Arial" w:hAnsi="Arial" w:cs="Arial"/>
                <w:b/>
                <w:color w:val="231F20"/>
                <w:sz w:val="24"/>
                <w:szCs w:val="24"/>
              </w:rPr>
            </w:pPr>
          </w:p>
        </w:tc>
        <w:tc>
          <w:tcPr>
            <w:tcW w:w="2088" w:type="dxa"/>
          </w:tcPr>
          <w:p w14:paraId="781FD0E2" w14:textId="77777777" w:rsidR="00C3036D" w:rsidRPr="00FA3F9C" w:rsidRDefault="00C3036D"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All Groups</w:t>
            </w:r>
          </w:p>
        </w:tc>
        <w:tc>
          <w:tcPr>
            <w:tcW w:w="2088" w:type="dxa"/>
          </w:tcPr>
          <w:p w14:paraId="779D5679" w14:textId="77777777" w:rsidR="00C3036D" w:rsidRPr="00FA3F9C" w:rsidRDefault="00C3036D"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Group 1</w:t>
            </w:r>
          </w:p>
        </w:tc>
        <w:tc>
          <w:tcPr>
            <w:tcW w:w="2088" w:type="dxa"/>
          </w:tcPr>
          <w:p w14:paraId="6A0B6135" w14:textId="77777777" w:rsidR="00C3036D" w:rsidRPr="00FA3F9C" w:rsidRDefault="00C3036D"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Group 2</w:t>
            </w:r>
          </w:p>
        </w:tc>
        <w:tc>
          <w:tcPr>
            <w:tcW w:w="2088" w:type="dxa"/>
          </w:tcPr>
          <w:p w14:paraId="519D14D4" w14:textId="77777777" w:rsidR="00C3036D" w:rsidRPr="00FA3F9C" w:rsidRDefault="00C3036D"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Group 3</w:t>
            </w:r>
          </w:p>
        </w:tc>
        <w:tc>
          <w:tcPr>
            <w:tcW w:w="2088" w:type="dxa"/>
          </w:tcPr>
          <w:p w14:paraId="1234FC69" w14:textId="77777777" w:rsidR="00C3036D" w:rsidRPr="00FA3F9C" w:rsidRDefault="00C3036D"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Group 4</w:t>
            </w:r>
          </w:p>
        </w:tc>
        <w:tc>
          <w:tcPr>
            <w:tcW w:w="2088" w:type="dxa"/>
          </w:tcPr>
          <w:p w14:paraId="15C3F122" w14:textId="77777777" w:rsidR="00C3036D" w:rsidRPr="00FA3F9C" w:rsidRDefault="00C3036D"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Group 5</w:t>
            </w:r>
          </w:p>
        </w:tc>
      </w:tr>
      <w:tr w:rsidR="00C3036D" w:rsidRPr="00FA3F9C" w14:paraId="7E17C6C0" w14:textId="77777777" w:rsidTr="003926F2">
        <w:tc>
          <w:tcPr>
            <w:tcW w:w="2088" w:type="dxa"/>
          </w:tcPr>
          <w:p w14:paraId="25989706" w14:textId="77777777" w:rsidR="00C3036D" w:rsidRPr="00FA3F9C" w:rsidRDefault="00C3036D"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Description</w:t>
            </w:r>
          </w:p>
        </w:tc>
        <w:tc>
          <w:tcPr>
            <w:tcW w:w="2088" w:type="dxa"/>
          </w:tcPr>
          <w:p w14:paraId="69E68151" w14:textId="77777777" w:rsidR="00C3036D" w:rsidRPr="00FA3F9C" w:rsidRDefault="00C3036D"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Elevated PAP</w:t>
            </w:r>
          </w:p>
        </w:tc>
        <w:tc>
          <w:tcPr>
            <w:tcW w:w="2088" w:type="dxa"/>
          </w:tcPr>
          <w:p w14:paraId="4AFBECD9" w14:textId="77777777" w:rsidR="00C3036D" w:rsidRPr="00FA3F9C" w:rsidRDefault="00C3036D"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 xml:space="preserve">Pulmonary </w:t>
            </w:r>
            <w:r w:rsidRPr="00FA3F9C">
              <w:rPr>
                <w:rFonts w:ascii="Arial" w:hAnsi="Arial" w:cs="Arial"/>
                <w:b/>
                <w:color w:val="231F20"/>
                <w:sz w:val="24"/>
                <w:szCs w:val="24"/>
              </w:rPr>
              <w:lastRenderedPageBreak/>
              <w:t>arterial hypertension</w:t>
            </w:r>
          </w:p>
        </w:tc>
        <w:tc>
          <w:tcPr>
            <w:tcW w:w="2088" w:type="dxa"/>
          </w:tcPr>
          <w:p w14:paraId="3DBA144D" w14:textId="77777777" w:rsidR="00C3036D" w:rsidRPr="00FA3F9C" w:rsidRDefault="00C3036D"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lastRenderedPageBreak/>
              <w:t xml:space="preserve">Pulmonary </w:t>
            </w:r>
            <w:r w:rsidRPr="00FA3F9C">
              <w:rPr>
                <w:rFonts w:ascii="Arial" w:hAnsi="Arial" w:cs="Arial"/>
                <w:b/>
                <w:color w:val="231F20"/>
                <w:sz w:val="24"/>
                <w:szCs w:val="24"/>
              </w:rPr>
              <w:lastRenderedPageBreak/>
              <w:t>venous hypertension</w:t>
            </w:r>
          </w:p>
        </w:tc>
        <w:tc>
          <w:tcPr>
            <w:tcW w:w="2088" w:type="dxa"/>
          </w:tcPr>
          <w:p w14:paraId="26A9B527" w14:textId="77777777" w:rsidR="00C3036D" w:rsidRPr="00FA3F9C" w:rsidRDefault="00C3036D"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lastRenderedPageBreak/>
              <w:t xml:space="preserve">PH due to </w:t>
            </w:r>
            <w:r w:rsidRPr="00FA3F9C">
              <w:rPr>
                <w:rFonts w:ascii="Arial" w:hAnsi="Arial" w:cs="Arial"/>
                <w:b/>
                <w:color w:val="231F20"/>
                <w:sz w:val="24"/>
                <w:szCs w:val="24"/>
              </w:rPr>
              <w:lastRenderedPageBreak/>
              <w:t>hypoxemia</w:t>
            </w:r>
          </w:p>
        </w:tc>
        <w:tc>
          <w:tcPr>
            <w:tcW w:w="2088" w:type="dxa"/>
          </w:tcPr>
          <w:p w14:paraId="57975137" w14:textId="77777777" w:rsidR="00C3036D" w:rsidRPr="00FA3F9C" w:rsidRDefault="00C3036D"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lastRenderedPageBreak/>
              <w:t xml:space="preserve">Chronic </w:t>
            </w:r>
            <w:r w:rsidRPr="00FA3F9C">
              <w:rPr>
                <w:rFonts w:ascii="Arial" w:hAnsi="Arial" w:cs="Arial"/>
                <w:b/>
                <w:color w:val="231F20"/>
                <w:sz w:val="24"/>
                <w:szCs w:val="24"/>
              </w:rPr>
              <w:lastRenderedPageBreak/>
              <w:t>thromboembolic PH</w:t>
            </w:r>
          </w:p>
        </w:tc>
        <w:tc>
          <w:tcPr>
            <w:tcW w:w="2088" w:type="dxa"/>
          </w:tcPr>
          <w:p w14:paraId="63137FB9" w14:textId="77777777" w:rsidR="00C3036D" w:rsidRPr="00FA3F9C" w:rsidRDefault="00C3036D"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lastRenderedPageBreak/>
              <w:t xml:space="preserve">Miscellaneous </w:t>
            </w:r>
            <w:r w:rsidRPr="00FA3F9C">
              <w:rPr>
                <w:rFonts w:ascii="Arial" w:hAnsi="Arial" w:cs="Arial"/>
                <w:b/>
                <w:color w:val="231F20"/>
                <w:sz w:val="24"/>
                <w:szCs w:val="24"/>
              </w:rPr>
              <w:lastRenderedPageBreak/>
              <w:t>or multifactorial PH</w:t>
            </w:r>
          </w:p>
        </w:tc>
      </w:tr>
      <w:tr w:rsidR="00C3036D" w:rsidRPr="00FA3F9C" w14:paraId="7DC26950" w14:textId="77777777" w:rsidTr="003926F2">
        <w:tc>
          <w:tcPr>
            <w:tcW w:w="2088" w:type="dxa"/>
          </w:tcPr>
          <w:p w14:paraId="7130BF30" w14:textId="77777777" w:rsidR="00C3036D" w:rsidRPr="00FA3F9C" w:rsidRDefault="00C3036D"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lastRenderedPageBreak/>
              <w:t>Estimated prevalence</w:t>
            </w:r>
          </w:p>
        </w:tc>
        <w:tc>
          <w:tcPr>
            <w:tcW w:w="2088" w:type="dxa"/>
          </w:tcPr>
          <w:p w14:paraId="762395FC" w14:textId="77777777" w:rsidR="00C3036D" w:rsidRPr="00FA3F9C" w:rsidRDefault="00C3036D"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Up to 10-20% of the general population</w:t>
            </w:r>
          </w:p>
        </w:tc>
        <w:tc>
          <w:tcPr>
            <w:tcW w:w="2088" w:type="dxa"/>
          </w:tcPr>
          <w:p w14:paraId="4E3DE6FF" w14:textId="77777777" w:rsidR="00C3036D" w:rsidRPr="00FA3F9C" w:rsidRDefault="00C3036D"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15 cases/1,000,000 overall; 6 cases per 1mil for idiopathic PAH</w:t>
            </w:r>
          </w:p>
        </w:tc>
        <w:tc>
          <w:tcPr>
            <w:tcW w:w="2088" w:type="dxa"/>
          </w:tcPr>
          <w:p w14:paraId="37D3A79E" w14:textId="77777777" w:rsidR="00C3036D" w:rsidRPr="00FA3F9C" w:rsidRDefault="00C3036D"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&gt;3-4 mil in US</w:t>
            </w:r>
          </w:p>
        </w:tc>
        <w:tc>
          <w:tcPr>
            <w:tcW w:w="2088" w:type="dxa"/>
          </w:tcPr>
          <w:p w14:paraId="4DD23037" w14:textId="77777777" w:rsidR="00C3036D" w:rsidRPr="00FA3F9C" w:rsidRDefault="00C3036D"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20% in COPD pts w/ a prior hospitalization for COPD</w:t>
            </w:r>
          </w:p>
        </w:tc>
        <w:tc>
          <w:tcPr>
            <w:tcW w:w="2088" w:type="dxa"/>
          </w:tcPr>
          <w:p w14:paraId="13908354" w14:textId="77777777" w:rsidR="00C3036D" w:rsidRPr="00FA3F9C" w:rsidRDefault="00C3036D"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0.5-2% (up to 3.8%) in survivors of acute PE</w:t>
            </w:r>
          </w:p>
        </w:tc>
        <w:tc>
          <w:tcPr>
            <w:tcW w:w="2088" w:type="dxa"/>
          </w:tcPr>
          <w:p w14:paraId="2A0ADCB9" w14:textId="77777777" w:rsidR="00C3036D" w:rsidRPr="00FA3F9C" w:rsidRDefault="00C3036D"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Unclear</w:t>
            </w:r>
          </w:p>
        </w:tc>
      </w:tr>
      <w:tr w:rsidR="00C3036D" w:rsidRPr="00FA3F9C" w14:paraId="48AC3C08" w14:textId="77777777" w:rsidTr="003926F2">
        <w:tc>
          <w:tcPr>
            <w:tcW w:w="2088" w:type="dxa"/>
          </w:tcPr>
          <w:p w14:paraId="264F268A" w14:textId="77777777" w:rsidR="00C3036D" w:rsidRPr="00FA3F9C" w:rsidRDefault="00C3036D"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Diagnostic criteria</w:t>
            </w:r>
          </w:p>
        </w:tc>
        <w:tc>
          <w:tcPr>
            <w:tcW w:w="12528" w:type="dxa"/>
            <w:gridSpan w:val="6"/>
          </w:tcPr>
          <w:p w14:paraId="45863501" w14:textId="77777777" w:rsidR="00C3036D" w:rsidRPr="00FA3F9C" w:rsidRDefault="00C3036D" w:rsidP="003926F2">
            <w:pPr>
              <w:widowControl w:val="0"/>
              <w:autoSpaceDE w:val="0"/>
              <w:autoSpaceDN w:val="0"/>
              <w:adjustRightInd w:val="0"/>
              <w:rPr>
                <w:rFonts w:ascii="Arial" w:hAnsi="Arial" w:cs="Arial"/>
                <w:b/>
                <w:color w:val="231F20"/>
                <w:sz w:val="24"/>
                <w:szCs w:val="24"/>
              </w:rPr>
            </w:pPr>
          </w:p>
        </w:tc>
      </w:tr>
      <w:tr w:rsidR="00C3036D" w:rsidRPr="00FA3F9C" w14:paraId="53F1E453" w14:textId="77777777" w:rsidTr="003926F2">
        <w:tc>
          <w:tcPr>
            <w:tcW w:w="2088" w:type="dxa"/>
          </w:tcPr>
          <w:p w14:paraId="1287E27D" w14:textId="77777777" w:rsidR="00C3036D" w:rsidRPr="00FA3F9C" w:rsidRDefault="00C3036D"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Mean PA pressure, mmHg</w:t>
            </w:r>
          </w:p>
        </w:tc>
        <w:tc>
          <w:tcPr>
            <w:tcW w:w="2088" w:type="dxa"/>
          </w:tcPr>
          <w:p w14:paraId="02089840" w14:textId="77777777" w:rsidR="00C3036D" w:rsidRPr="00FA3F9C" w:rsidRDefault="00C3036D"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u w:val="single"/>
              </w:rPr>
              <w:t>&gt;</w:t>
            </w:r>
            <w:r w:rsidRPr="00FA3F9C">
              <w:rPr>
                <w:rFonts w:ascii="Arial" w:hAnsi="Arial" w:cs="Arial"/>
                <w:b/>
                <w:color w:val="231F20"/>
                <w:sz w:val="24"/>
                <w:szCs w:val="24"/>
              </w:rPr>
              <w:t>25</w:t>
            </w:r>
          </w:p>
        </w:tc>
        <w:tc>
          <w:tcPr>
            <w:tcW w:w="2088" w:type="dxa"/>
          </w:tcPr>
          <w:p w14:paraId="1EC583A1" w14:textId="77777777" w:rsidR="00C3036D" w:rsidRPr="00FA3F9C" w:rsidRDefault="00C3036D"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u w:val="single"/>
              </w:rPr>
              <w:t>&gt;</w:t>
            </w:r>
            <w:r w:rsidRPr="00FA3F9C">
              <w:rPr>
                <w:rFonts w:ascii="Arial" w:hAnsi="Arial" w:cs="Arial"/>
                <w:b/>
                <w:color w:val="231F20"/>
                <w:sz w:val="24"/>
                <w:szCs w:val="24"/>
              </w:rPr>
              <w:t>25</w:t>
            </w:r>
          </w:p>
        </w:tc>
        <w:tc>
          <w:tcPr>
            <w:tcW w:w="2088" w:type="dxa"/>
          </w:tcPr>
          <w:p w14:paraId="1A5769B2" w14:textId="77777777" w:rsidR="00C3036D" w:rsidRPr="00FA3F9C" w:rsidRDefault="00C3036D" w:rsidP="003926F2">
            <w:pPr>
              <w:rPr>
                <w:rFonts w:ascii="Arial" w:hAnsi="Arial" w:cs="Arial"/>
                <w:sz w:val="24"/>
                <w:szCs w:val="24"/>
              </w:rPr>
            </w:pPr>
            <w:r w:rsidRPr="00FA3F9C">
              <w:rPr>
                <w:rFonts w:ascii="Arial" w:hAnsi="Arial" w:cs="Arial"/>
                <w:b/>
                <w:color w:val="231F20"/>
                <w:sz w:val="24"/>
                <w:szCs w:val="24"/>
                <w:u w:val="single"/>
              </w:rPr>
              <w:t>&gt;</w:t>
            </w:r>
            <w:r w:rsidRPr="00FA3F9C">
              <w:rPr>
                <w:rFonts w:ascii="Arial" w:hAnsi="Arial" w:cs="Arial"/>
                <w:b/>
                <w:color w:val="231F20"/>
                <w:sz w:val="24"/>
                <w:szCs w:val="24"/>
              </w:rPr>
              <w:t>25</w:t>
            </w:r>
          </w:p>
        </w:tc>
        <w:tc>
          <w:tcPr>
            <w:tcW w:w="2088" w:type="dxa"/>
          </w:tcPr>
          <w:p w14:paraId="267E909B" w14:textId="77777777" w:rsidR="00C3036D" w:rsidRPr="00FA3F9C" w:rsidRDefault="00C3036D" w:rsidP="003926F2">
            <w:pPr>
              <w:rPr>
                <w:rFonts w:ascii="Arial" w:hAnsi="Arial" w:cs="Arial"/>
                <w:sz w:val="24"/>
                <w:szCs w:val="24"/>
              </w:rPr>
            </w:pPr>
            <w:r w:rsidRPr="00FA3F9C">
              <w:rPr>
                <w:rFonts w:ascii="Arial" w:hAnsi="Arial" w:cs="Arial"/>
                <w:b/>
                <w:color w:val="231F20"/>
                <w:sz w:val="24"/>
                <w:szCs w:val="24"/>
                <w:u w:val="single"/>
              </w:rPr>
              <w:t>&gt;</w:t>
            </w:r>
            <w:r w:rsidRPr="00FA3F9C">
              <w:rPr>
                <w:rFonts w:ascii="Arial" w:hAnsi="Arial" w:cs="Arial"/>
                <w:b/>
                <w:color w:val="231F20"/>
                <w:sz w:val="24"/>
                <w:szCs w:val="24"/>
              </w:rPr>
              <w:t>25</w:t>
            </w:r>
          </w:p>
        </w:tc>
        <w:tc>
          <w:tcPr>
            <w:tcW w:w="2088" w:type="dxa"/>
          </w:tcPr>
          <w:p w14:paraId="607E53F6" w14:textId="77777777" w:rsidR="00C3036D" w:rsidRPr="00FA3F9C" w:rsidRDefault="00C3036D" w:rsidP="003926F2">
            <w:pPr>
              <w:rPr>
                <w:rFonts w:ascii="Arial" w:hAnsi="Arial" w:cs="Arial"/>
                <w:sz w:val="24"/>
                <w:szCs w:val="24"/>
              </w:rPr>
            </w:pPr>
            <w:r w:rsidRPr="00FA3F9C">
              <w:rPr>
                <w:rFonts w:ascii="Arial" w:hAnsi="Arial" w:cs="Arial"/>
                <w:b/>
                <w:color w:val="231F20"/>
                <w:sz w:val="24"/>
                <w:szCs w:val="24"/>
                <w:u w:val="single"/>
              </w:rPr>
              <w:t>&gt;</w:t>
            </w:r>
            <w:r w:rsidRPr="00FA3F9C">
              <w:rPr>
                <w:rFonts w:ascii="Arial" w:hAnsi="Arial" w:cs="Arial"/>
                <w:b/>
                <w:color w:val="231F20"/>
                <w:sz w:val="24"/>
                <w:szCs w:val="24"/>
              </w:rPr>
              <w:t>25</w:t>
            </w:r>
          </w:p>
        </w:tc>
        <w:tc>
          <w:tcPr>
            <w:tcW w:w="2088" w:type="dxa"/>
          </w:tcPr>
          <w:p w14:paraId="6967F369" w14:textId="77777777" w:rsidR="00C3036D" w:rsidRPr="00FA3F9C" w:rsidRDefault="00C3036D" w:rsidP="003926F2">
            <w:pPr>
              <w:rPr>
                <w:rFonts w:ascii="Arial" w:hAnsi="Arial" w:cs="Arial"/>
                <w:sz w:val="24"/>
                <w:szCs w:val="24"/>
              </w:rPr>
            </w:pPr>
            <w:r w:rsidRPr="00FA3F9C">
              <w:rPr>
                <w:rFonts w:ascii="Arial" w:hAnsi="Arial" w:cs="Arial"/>
                <w:b/>
                <w:color w:val="231F20"/>
                <w:sz w:val="24"/>
                <w:szCs w:val="24"/>
                <w:u w:val="single"/>
              </w:rPr>
              <w:t>&gt;</w:t>
            </w:r>
            <w:r w:rsidRPr="00FA3F9C">
              <w:rPr>
                <w:rFonts w:ascii="Arial" w:hAnsi="Arial" w:cs="Arial"/>
                <w:b/>
                <w:color w:val="231F20"/>
                <w:sz w:val="24"/>
                <w:szCs w:val="24"/>
              </w:rPr>
              <w:t>25</w:t>
            </w:r>
          </w:p>
        </w:tc>
      </w:tr>
      <w:tr w:rsidR="00C3036D" w:rsidRPr="00FA3F9C" w14:paraId="69A99D60" w14:textId="77777777" w:rsidTr="003926F2">
        <w:tc>
          <w:tcPr>
            <w:tcW w:w="2088" w:type="dxa"/>
          </w:tcPr>
          <w:p w14:paraId="01D1348D" w14:textId="77777777" w:rsidR="00C3036D" w:rsidRPr="00FA3F9C" w:rsidRDefault="00C3036D"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PCWP or LVEDP, mmHg</w:t>
            </w:r>
          </w:p>
        </w:tc>
        <w:tc>
          <w:tcPr>
            <w:tcW w:w="2088" w:type="dxa"/>
          </w:tcPr>
          <w:p w14:paraId="51D9A404" w14:textId="77777777" w:rsidR="00C3036D" w:rsidRPr="00FA3F9C" w:rsidRDefault="00C3036D" w:rsidP="003926F2">
            <w:pPr>
              <w:widowControl w:val="0"/>
              <w:autoSpaceDE w:val="0"/>
              <w:autoSpaceDN w:val="0"/>
              <w:adjustRightInd w:val="0"/>
              <w:rPr>
                <w:rFonts w:ascii="Arial" w:hAnsi="Arial" w:cs="Arial"/>
                <w:b/>
                <w:color w:val="231F20"/>
                <w:sz w:val="24"/>
                <w:szCs w:val="24"/>
              </w:rPr>
            </w:pPr>
          </w:p>
        </w:tc>
        <w:tc>
          <w:tcPr>
            <w:tcW w:w="2088" w:type="dxa"/>
          </w:tcPr>
          <w:p w14:paraId="25762066" w14:textId="77777777" w:rsidR="00C3036D" w:rsidRPr="00FA3F9C" w:rsidRDefault="00C3036D"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u w:val="single"/>
              </w:rPr>
              <w:t>&lt;</w:t>
            </w:r>
            <w:r w:rsidRPr="00FA3F9C">
              <w:rPr>
                <w:rFonts w:ascii="Arial" w:hAnsi="Arial" w:cs="Arial"/>
                <w:b/>
                <w:color w:val="231F20"/>
                <w:sz w:val="24"/>
                <w:szCs w:val="24"/>
              </w:rPr>
              <w:t>15</w:t>
            </w:r>
          </w:p>
        </w:tc>
        <w:tc>
          <w:tcPr>
            <w:tcW w:w="2088" w:type="dxa"/>
          </w:tcPr>
          <w:p w14:paraId="3FC5A599" w14:textId="77777777" w:rsidR="00C3036D" w:rsidRPr="00FA3F9C" w:rsidRDefault="00C3036D"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highlight w:val="yellow"/>
              </w:rPr>
              <w:t>&gt;15</w:t>
            </w:r>
          </w:p>
        </w:tc>
        <w:tc>
          <w:tcPr>
            <w:tcW w:w="2088" w:type="dxa"/>
          </w:tcPr>
          <w:p w14:paraId="1C6EAF6F" w14:textId="77777777" w:rsidR="00C3036D" w:rsidRPr="00FA3F9C" w:rsidRDefault="00C3036D" w:rsidP="003926F2">
            <w:pPr>
              <w:rPr>
                <w:rFonts w:ascii="Arial" w:hAnsi="Arial" w:cs="Arial"/>
                <w:sz w:val="24"/>
                <w:szCs w:val="24"/>
              </w:rPr>
            </w:pPr>
            <w:r w:rsidRPr="00FA3F9C">
              <w:rPr>
                <w:rFonts w:ascii="Arial" w:hAnsi="Arial" w:cs="Arial"/>
                <w:b/>
                <w:color w:val="231F20"/>
                <w:sz w:val="24"/>
                <w:szCs w:val="24"/>
                <w:u w:val="single"/>
              </w:rPr>
              <w:t>&lt;</w:t>
            </w:r>
            <w:r w:rsidRPr="00FA3F9C">
              <w:rPr>
                <w:rFonts w:ascii="Arial" w:hAnsi="Arial" w:cs="Arial"/>
                <w:b/>
                <w:color w:val="231F20"/>
                <w:sz w:val="24"/>
                <w:szCs w:val="24"/>
              </w:rPr>
              <w:t>15</w:t>
            </w:r>
          </w:p>
        </w:tc>
        <w:tc>
          <w:tcPr>
            <w:tcW w:w="2088" w:type="dxa"/>
          </w:tcPr>
          <w:p w14:paraId="5D4CE86D" w14:textId="77777777" w:rsidR="00C3036D" w:rsidRPr="00FA3F9C" w:rsidRDefault="00C3036D" w:rsidP="003926F2">
            <w:pPr>
              <w:rPr>
                <w:rFonts w:ascii="Arial" w:hAnsi="Arial" w:cs="Arial"/>
                <w:sz w:val="24"/>
                <w:szCs w:val="24"/>
              </w:rPr>
            </w:pPr>
            <w:r w:rsidRPr="00FA3F9C">
              <w:rPr>
                <w:rFonts w:ascii="Arial" w:hAnsi="Arial" w:cs="Arial"/>
                <w:b/>
                <w:color w:val="231F20"/>
                <w:sz w:val="24"/>
                <w:szCs w:val="24"/>
                <w:u w:val="single"/>
              </w:rPr>
              <w:t>&lt;</w:t>
            </w:r>
            <w:r w:rsidRPr="00FA3F9C">
              <w:rPr>
                <w:rFonts w:ascii="Arial" w:hAnsi="Arial" w:cs="Arial"/>
                <w:b/>
                <w:color w:val="231F20"/>
                <w:sz w:val="24"/>
                <w:szCs w:val="24"/>
              </w:rPr>
              <w:t>15</w:t>
            </w:r>
          </w:p>
        </w:tc>
        <w:tc>
          <w:tcPr>
            <w:tcW w:w="2088" w:type="dxa"/>
          </w:tcPr>
          <w:p w14:paraId="6A7D72CA" w14:textId="77777777" w:rsidR="00C3036D" w:rsidRPr="00FA3F9C" w:rsidRDefault="00C3036D" w:rsidP="003926F2">
            <w:pPr>
              <w:rPr>
                <w:rFonts w:ascii="Arial" w:hAnsi="Arial" w:cs="Arial"/>
                <w:sz w:val="24"/>
                <w:szCs w:val="24"/>
              </w:rPr>
            </w:pPr>
            <w:r w:rsidRPr="00FA3F9C">
              <w:rPr>
                <w:rFonts w:ascii="Arial" w:hAnsi="Arial" w:cs="Arial"/>
                <w:b/>
                <w:color w:val="231F20"/>
                <w:sz w:val="24"/>
                <w:szCs w:val="24"/>
                <w:u w:val="single"/>
              </w:rPr>
              <w:t>&lt;</w:t>
            </w:r>
            <w:r w:rsidRPr="00FA3F9C">
              <w:rPr>
                <w:rFonts w:ascii="Arial" w:hAnsi="Arial" w:cs="Arial"/>
                <w:b/>
                <w:color w:val="231F20"/>
                <w:sz w:val="24"/>
                <w:szCs w:val="24"/>
              </w:rPr>
              <w:t>15</w:t>
            </w:r>
          </w:p>
        </w:tc>
      </w:tr>
      <w:tr w:rsidR="00C3036D" w:rsidRPr="00FA3F9C" w14:paraId="22E0AC5B" w14:textId="77777777" w:rsidTr="003926F2">
        <w:tc>
          <w:tcPr>
            <w:tcW w:w="2088" w:type="dxa"/>
          </w:tcPr>
          <w:p w14:paraId="2B075E98" w14:textId="77777777" w:rsidR="00C3036D" w:rsidRPr="00FA3F9C" w:rsidRDefault="00C3036D"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PVR, dynes/s/cm</w:t>
            </w:r>
          </w:p>
        </w:tc>
        <w:tc>
          <w:tcPr>
            <w:tcW w:w="2088" w:type="dxa"/>
          </w:tcPr>
          <w:p w14:paraId="54C4A437" w14:textId="77777777" w:rsidR="00C3036D" w:rsidRPr="00FA3F9C" w:rsidRDefault="00C3036D" w:rsidP="003926F2">
            <w:pPr>
              <w:widowControl w:val="0"/>
              <w:autoSpaceDE w:val="0"/>
              <w:autoSpaceDN w:val="0"/>
              <w:adjustRightInd w:val="0"/>
              <w:rPr>
                <w:rFonts w:ascii="Arial" w:hAnsi="Arial" w:cs="Arial"/>
                <w:b/>
                <w:color w:val="231F20"/>
                <w:sz w:val="24"/>
                <w:szCs w:val="24"/>
              </w:rPr>
            </w:pPr>
          </w:p>
        </w:tc>
        <w:tc>
          <w:tcPr>
            <w:tcW w:w="2088" w:type="dxa"/>
          </w:tcPr>
          <w:p w14:paraId="16DCB843" w14:textId="77777777" w:rsidR="00C3036D" w:rsidRPr="00FA3F9C" w:rsidRDefault="00C3036D" w:rsidP="003926F2">
            <w:pPr>
              <w:widowControl w:val="0"/>
              <w:autoSpaceDE w:val="0"/>
              <w:autoSpaceDN w:val="0"/>
              <w:adjustRightInd w:val="0"/>
              <w:rPr>
                <w:rFonts w:ascii="Arial" w:hAnsi="Arial" w:cs="Arial"/>
                <w:color w:val="231F20"/>
                <w:sz w:val="24"/>
                <w:szCs w:val="24"/>
              </w:rPr>
            </w:pPr>
            <w:r w:rsidRPr="00FA3F9C">
              <w:rPr>
                <w:rFonts w:ascii="Arial" w:hAnsi="Arial" w:cs="Arial"/>
                <w:color w:val="231F20"/>
                <w:sz w:val="24"/>
                <w:szCs w:val="24"/>
              </w:rPr>
              <w:t>&gt;240</w:t>
            </w:r>
          </w:p>
        </w:tc>
        <w:tc>
          <w:tcPr>
            <w:tcW w:w="2088" w:type="dxa"/>
          </w:tcPr>
          <w:p w14:paraId="2C95937F" w14:textId="77777777" w:rsidR="00C3036D" w:rsidRPr="00FA3F9C" w:rsidRDefault="00C3036D" w:rsidP="003926F2">
            <w:pPr>
              <w:widowControl w:val="0"/>
              <w:autoSpaceDE w:val="0"/>
              <w:autoSpaceDN w:val="0"/>
              <w:adjustRightInd w:val="0"/>
              <w:rPr>
                <w:rFonts w:ascii="Arial" w:hAnsi="Arial" w:cs="Arial"/>
                <w:b/>
                <w:color w:val="231F20"/>
                <w:sz w:val="24"/>
                <w:szCs w:val="24"/>
                <w:highlight w:val="yellow"/>
              </w:rPr>
            </w:pPr>
          </w:p>
        </w:tc>
        <w:tc>
          <w:tcPr>
            <w:tcW w:w="2088" w:type="dxa"/>
          </w:tcPr>
          <w:p w14:paraId="0148289C" w14:textId="77777777" w:rsidR="00C3036D" w:rsidRPr="00FA3F9C" w:rsidRDefault="00C3036D" w:rsidP="003926F2">
            <w:pPr>
              <w:rPr>
                <w:rFonts w:ascii="Arial" w:hAnsi="Arial" w:cs="Arial"/>
                <w:sz w:val="24"/>
                <w:szCs w:val="24"/>
              </w:rPr>
            </w:pPr>
            <w:r w:rsidRPr="00FA3F9C">
              <w:rPr>
                <w:rFonts w:ascii="Arial" w:hAnsi="Arial" w:cs="Arial"/>
                <w:color w:val="231F20"/>
                <w:sz w:val="24"/>
                <w:szCs w:val="24"/>
              </w:rPr>
              <w:t>&gt;240</w:t>
            </w:r>
          </w:p>
        </w:tc>
        <w:tc>
          <w:tcPr>
            <w:tcW w:w="2088" w:type="dxa"/>
          </w:tcPr>
          <w:p w14:paraId="484AA85C" w14:textId="77777777" w:rsidR="00C3036D" w:rsidRPr="00FA3F9C" w:rsidRDefault="00C3036D" w:rsidP="003926F2">
            <w:pPr>
              <w:rPr>
                <w:rFonts w:ascii="Arial" w:hAnsi="Arial" w:cs="Arial"/>
                <w:sz w:val="24"/>
                <w:szCs w:val="24"/>
              </w:rPr>
            </w:pPr>
            <w:r w:rsidRPr="00FA3F9C">
              <w:rPr>
                <w:rFonts w:ascii="Arial" w:hAnsi="Arial" w:cs="Arial"/>
                <w:color w:val="231F20"/>
                <w:sz w:val="24"/>
                <w:szCs w:val="24"/>
              </w:rPr>
              <w:t>&gt;240</w:t>
            </w:r>
          </w:p>
        </w:tc>
        <w:tc>
          <w:tcPr>
            <w:tcW w:w="2088" w:type="dxa"/>
          </w:tcPr>
          <w:p w14:paraId="7329BA65" w14:textId="77777777" w:rsidR="00C3036D" w:rsidRPr="00FA3F9C" w:rsidRDefault="00C3036D" w:rsidP="003926F2">
            <w:pPr>
              <w:rPr>
                <w:rFonts w:ascii="Arial" w:hAnsi="Arial" w:cs="Arial"/>
                <w:sz w:val="24"/>
                <w:szCs w:val="24"/>
              </w:rPr>
            </w:pPr>
            <w:r w:rsidRPr="00FA3F9C">
              <w:rPr>
                <w:rFonts w:ascii="Arial" w:hAnsi="Arial" w:cs="Arial"/>
                <w:color w:val="231F20"/>
                <w:sz w:val="24"/>
                <w:szCs w:val="24"/>
              </w:rPr>
              <w:t>&gt;240</w:t>
            </w:r>
          </w:p>
        </w:tc>
      </w:tr>
    </w:tbl>
    <w:p w14:paraId="2040D5AF" w14:textId="77777777" w:rsidR="00C3036D" w:rsidRPr="00FA3F9C" w:rsidRDefault="00C3036D" w:rsidP="006F623F">
      <w:pPr>
        <w:spacing w:after="0"/>
        <w:rPr>
          <w:rFonts w:ascii="Arial" w:hAnsi="Arial" w:cs="Arial"/>
          <w:sz w:val="24"/>
          <w:szCs w:val="24"/>
        </w:rPr>
      </w:pPr>
    </w:p>
    <w:p w14:paraId="321AA811" w14:textId="77777777" w:rsidR="00C3036D" w:rsidRPr="00FA3F9C" w:rsidRDefault="00C3036D" w:rsidP="002B2097">
      <w:pPr>
        <w:pStyle w:val="Heading2"/>
      </w:pPr>
      <w:bookmarkStart w:id="289" w:name="_Toc106369913"/>
      <w:proofErr w:type="spellStart"/>
      <w:r w:rsidRPr="00FA3F9C">
        <w:t>Ripretinib</w:t>
      </w:r>
      <w:proofErr w:type="spellEnd"/>
      <w:r w:rsidRPr="00FA3F9C">
        <w:t xml:space="preserve"> (</w:t>
      </w:r>
      <w:proofErr w:type="spellStart"/>
      <w:r w:rsidRPr="00FA3F9C">
        <w:t>Qinlock</w:t>
      </w:r>
      <w:proofErr w:type="spellEnd"/>
      <w:r w:rsidRPr="00FA3F9C">
        <w:t>)</w:t>
      </w:r>
      <w:bookmarkEnd w:id="289"/>
    </w:p>
    <w:p w14:paraId="43AE53DD" w14:textId="77777777" w:rsidR="00C3036D" w:rsidRPr="00FA3F9C" w:rsidRDefault="00C3036D" w:rsidP="006F623F">
      <w:pPr>
        <w:spacing w:after="0"/>
        <w:jc w:val="center"/>
        <w:rPr>
          <w:rFonts w:ascii="Arial" w:hAnsi="Arial" w:cs="Arial"/>
          <w:sz w:val="24"/>
          <w:szCs w:val="24"/>
        </w:rPr>
      </w:pPr>
      <w:r w:rsidRPr="00FA3F9C">
        <w:rPr>
          <w:rFonts w:ascii="Arial" w:hAnsi="Arial" w:cs="Arial"/>
          <w:sz w:val="24"/>
          <w:szCs w:val="24"/>
        </w:rPr>
        <w:t>50 mg tablets</w:t>
      </w:r>
    </w:p>
    <w:p w14:paraId="11D42E43" w14:textId="77777777" w:rsidR="00C3036D" w:rsidRPr="00FA3F9C" w:rsidRDefault="00C3036D" w:rsidP="006F623F">
      <w:pPr>
        <w:spacing w:after="0"/>
        <w:jc w:val="center"/>
        <w:rPr>
          <w:rFonts w:ascii="Arial" w:hAnsi="Arial" w:cs="Arial"/>
          <w:sz w:val="24"/>
          <w:szCs w:val="24"/>
        </w:rPr>
      </w:pPr>
      <w:r w:rsidRPr="00FA3F9C">
        <w:rPr>
          <w:rFonts w:ascii="Arial" w:hAnsi="Arial" w:cs="Arial"/>
          <w:sz w:val="24"/>
          <w:szCs w:val="24"/>
        </w:rPr>
        <w:t>EBRx PA Criteria</w:t>
      </w:r>
    </w:p>
    <w:p w14:paraId="13FF862D" w14:textId="77777777" w:rsidR="00C3036D" w:rsidRPr="00FA3F9C" w:rsidRDefault="00C3036D" w:rsidP="006F623F">
      <w:pPr>
        <w:spacing w:after="0"/>
        <w:rPr>
          <w:rFonts w:ascii="Arial" w:hAnsi="Arial" w:cs="Arial"/>
          <w:b/>
          <w:sz w:val="24"/>
          <w:szCs w:val="24"/>
          <w:u w:val="single"/>
        </w:rPr>
      </w:pPr>
    </w:p>
    <w:p w14:paraId="4CCB2AEA" w14:textId="77777777" w:rsidR="00C3036D" w:rsidRPr="00FA3F9C" w:rsidRDefault="00C3036D"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w:t>
      </w:r>
    </w:p>
    <w:p w14:paraId="293A2030" w14:textId="77777777" w:rsidR="00C3036D" w:rsidRPr="00FA3F9C" w:rsidRDefault="00C3036D" w:rsidP="00FC4676">
      <w:pPr>
        <w:spacing w:after="0"/>
        <w:rPr>
          <w:rFonts w:ascii="Arial" w:hAnsi="Arial" w:cs="Arial"/>
          <w:sz w:val="24"/>
          <w:szCs w:val="24"/>
        </w:rPr>
      </w:pPr>
      <w:r w:rsidRPr="00FA3F9C">
        <w:rPr>
          <w:rFonts w:ascii="Arial" w:hAnsi="Arial" w:cs="Arial"/>
          <w:sz w:val="24"/>
          <w:szCs w:val="24"/>
        </w:rPr>
        <w:t>Treatment of adult patients with advanced gastrointestinal stromal tumor (GIST) who received prior treatment with 3 or more kinase inhibitors, including imatinib.</w:t>
      </w:r>
    </w:p>
    <w:p w14:paraId="35F1885C" w14:textId="77777777" w:rsidR="00C3036D" w:rsidRPr="00FA3F9C" w:rsidRDefault="00C3036D" w:rsidP="00FC4676">
      <w:pPr>
        <w:spacing w:after="0"/>
        <w:rPr>
          <w:rFonts w:ascii="Arial" w:hAnsi="Arial" w:cs="Arial"/>
          <w:sz w:val="24"/>
          <w:szCs w:val="24"/>
        </w:rPr>
      </w:pPr>
    </w:p>
    <w:tbl>
      <w:tblPr>
        <w:tblStyle w:val="TableGrid"/>
        <w:tblW w:w="0" w:type="auto"/>
        <w:tblLook w:val="04A0" w:firstRow="1" w:lastRow="0" w:firstColumn="1" w:lastColumn="0" w:noHBand="0" w:noVBand="1"/>
      </w:tblPr>
      <w:tblGrid>
        <w:gridCol w:w="8745"/>
        <w:gridCol w:w="2045"/>
      </w:tblGrid>
      <w:tr w:rsidR="00C3036D" w:rsidRPr="00FA3F9C" w14:paraId="30500D80" w14:textId="77777777" w:rsidTr="0089737B">
        <w:tc>
          <w:tcPr>
            <w:tcW w:w="8745" w:type="dxa"/>
            <w:shd w:val="clear" w:color="auto" w:fill="000000"/>
          </w:tcPr>
          <w:p w14:paraId="0E0910BC" w14:textId="77777777" w:rsidR="00C3036D" w:rsidRPr="00FA3F9C" w:rsidRDefault="00C3036D"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45" w:type="dxa"/>
            <w:shd w:val="clear" w:color="auto" w:fill="000000"/>
          </w:tcPr>
          <w:p w14:paraId="0CD3B193" w14:textId="77777777" w:rsidR="00C3036D" w:rsidRPr="00FA3F9C" w:rsidRDefault="00C3036D" w:rsidP="006F623F">
            <w:pPr>
              <w:jc w:val="center"/>
              <w:rPr>
                <w:rFonts w:ascii="Arial" w:hAnsi="Arial" w:cs="Arial"/>
                <w:b/>
                <w:sz w:val="24"/>
                <w:szCs w:val="24"/>
                <w:u w:val="single"/>
              </w:rPr>
            </w:pPr>
          </w:p>
        </w:tc>
      </w:tr>
      <w:tr w:rsidR="00C3036D" w:rsidRPr="00FA3F9C" w14:paraId="6EFBDF55" w14:textId="77777777" w:rsidTr="0089737B">
        <w:tc>
          <w:tcPr>
            <w:tcW w:w="10790" w:type="dxa"/>
            <w:gridSpan w:val="2"/>
          </w:tcPr>
          <w:p w14:paraId="0A22AAB7" w14:textId="77777777" w:rsidR="00C3036D" w:rsidRPr="00FA3F9C" w:rsidRDefault="00C3036D" w:rsidP="00FC1E85">
            <w:pPr>
              <w:pStyle w:val="ListParagraph"/>
              <w:numPr>
                <w:ilvl w:val="0"/>
                <w:numId w:val="450"/>
              </w:numPr>
              <w:ind w:left="340" w:hanging="270"/>
              <w:rPr>
                <w:rFonts w:ascii="Arial" w:hAnsi="Arial" w:cs="Arial"/>
                <w:sz w:val="24"/>
                <w:szCs w:val="24"/>
              </w:rPr>
            </w:pPr>
            <w:r w:rsidRPr="00FA3F9C">
              <w:rPr>
                <w:rFonts w:ascii="Arial" w:hAnsi="Arial" w:cs="Arial"/>
                <w:sz w:val="24"/>
                <w:szCs w:val="24"/>
              </w:rPr>
              <w:t>Diagnosis of advanced gastrointestinal stromal tumor (GIST)</w:t>
            </w:r>
          </w:p>
        </w:tc>
      </w:tr>
      <w:tr w:rsidR="00C3036D" w:rsidRPr="00FA3F9C" w14:paraId="3A955D24" w14:textId="77777777" w:rsidTr="0089737B">
        <w:tc>
          <w:tcPr>
            <w:tcW w:w="10790" w:type="dxa"/>
            <w:gridSpan w:val="2"/>
          </w:tcPr>
          <w:p w14:paraId="4FB3AA34" w14:textId="77777777" w:rsidR="00C3036D" w:rsidRPr="00FA3F9C" w:rsidRDefault="00C3036D" w:rsidP="00FC1E85">
            <w:pPr>
              <w:pStyle w:val="ListParagraph"/>
              <w:numPr>
                <w:ilvl w:val="0"/>
                <w:numId w:val="450"/>
              </w:numPr>
              <w:ind w:left="340" w:hanging="270"/>
              <w:rPr>
                <w:rFonts w:ascii="Arial" w:hAnsi="Arial" w:cs="Arial"/>
                <w:sz w:val="24"/>
                <w:szCs w:val="24"/>
              </w:rPr>
            </w:pPr>
            <w:r w:rsidRPr="00FA3F9C">
              <w:rPr>
                <w:rFonts w:ascii="Arial" w:hAnsi="Arial" w:cs="Arial"/>
                <w:sz w:val="24"/>
                <w:szCs w:val="24"/>
              </w:rPr>
              <w:t>Disease progression on or intolerance of imatinib (Gleevec), sunitinib (</w:t>
            </w:r>
            <w:proofErr w:type="spellStart"/>
            <w:r w:rsidRPr="00FA3F9C">
              <w:rPr>
                <w:rFonts w:ascii="Arial" w:hAnsi="Arial" w:cs="Arial"/>
                <w:sz w:val="24"/>
                <w:szCs w:val="24"/>
              </w:rPr>
              <w:t>Sutent</w:t>
            </w:r>
            <w:proofErr w:type="spellEnd"/>
            <w:r w:rsidRPr="00FA3F9C">
              <w:rPr>
                <w:rFonts w:ascii="Arial" w:hAnsi="Arial" w:cs="Arial"/>
                <w:sz w:val="24"/>
                <w:szCs w:val="24"/>
              </w:rPr>
              <w:t>), AND regorafenib (</w:t>
            </w:r>
            <w:proofErr w:type="spellStart"/>
            <w:r w:rsidRPr="00FA3F9C">
              <w:rPr>
                <w:rFonts w:ascii="Arial" w:hAnsi="Arial" w:cs="Arial"/>
                <w:sz w:val="24"/>
                <w:szCs w:val="24"/>
              </w:rPr>
              <w:t>Stivarga</w:t>
            </w:r>
            <w:proofErr w:type="spellEnd"/>
            <w:r w:rsidRPr="00FA3F9C">
              <w:rPr>
                <w:rFonts w:ascii="Arial" w:hAnsi="Arial" w:cs="Arial"/>
                <w:sz w:val="24"/>
                <w:szCs w:val="24"/>
              </w:rPr>
              <w:t>).</w:t>
            </w:r>
          </w:p>
        </w:tc>
      </w:tr>
      <w:tr w:rsidR="00C3036D" w:rsidRPr="00FA3F9C" w14:paraId="4B4A52B1" w14:textId="77777777" w:rsidTr="00FC5747">
        <w:tc>
          <w:tcPr>
            <w:tcW w:w="10790" w:type="dxa"/>
            <w:gridSpan w:val="2"/>
            <w:shd w:val="clear" w:color="auto" w:fill="F2F2F2" w:themeFill="background1" w:themeFillShade="F2"/>
          </w:tcPr>
          <w:p w14:paraId="0F22F62A" w14:textId="77777777" w:rsidR="00C3036D" w:rsidRPr="00FA3F9C" w:rsidRDefault="00C3036D" w:rsidP="00994A0E">
            <w:pPr>
              <w:pStyle w:val="ListParagraph"/>
              <w:ind w:left="340" w:hanging="270"/>
              <w:rPr>
                <w:rFonts w:ascii="Arial" w:hAnsi="Arial" w:cs="Arial"/>
                <w:sz w:val="24"/>
                <w:szCs w:val="24"/>
              </w:rPr>
            </w:pPr>
            <w:r w:rsidRPr="00FA3F9C">
              <w:rPr>
                <w:rFonts w:ascii="Arial" w:hAnsi="Arial" w:cs="Arial"/>
                <w:sz w:val="24"/>
                <w:szCs w:val="24"/>
              </w:rPr>
              <w:t xml:space="preserve">If all criteria met, approve x 6 months. </w:t>
            </w:r>
            <w:proofErr w:type="spellStart"/>
            <w:r w:rsidRPr="00FA3F9C">
              <w:rPr>
                <w:rFonts w:ascii="Arial" w:hAnsi="Arial" w:cs="Arial"/>
                <w:sz w:val="24"/>
                <w:szCs w:val="24"/>
              </w:rPr>
              <w:t>Ripretinib</w:t>
            </w:r>
            <w:proofErr w:type="spellEnd"/>
            <w:r w:rsidRPr="00FA3F9C">
              <w:rPr>
                <w:rFonts w:ascii="Arial" w:hAnsi="Arial" w:cs="Arial"/>
                <w:sz w:val="24"/>
                <w:szCs w:val="24"/>
              </w:rPr>
              <w:t xml:space="preserve"> continues until disease progression or intolerance.</w:t>
            </w:r>
          </w:p>
        </w:tc>
      </w:tr>
    </w:tbl>
    <w:p w14:paraId="7D533B4C" w14:textId="77777777" w:rsidR="00C3036D" w:rsidRPr="00FA3F9C" w:rsidRDefault="00C3036D" w:rsidP="006F623F">
      <w:pPr>
        <w:spacing w:after="0"/>
        <w:rPr>
          <w:rFonts w:ascii="Arial" w:hAnsi="Arial" w:cs="Arial"/>
          <w:b/>
          <w:sz w:val="24"/>
          <w:szCs w:val="24"/>
          <w:u w:val="single"/>
        </w:rPr>
      </w:pPr>
    </w:p>
    <w:tbl>
      <w:tblPr>
        <w:tblStyle w:val="TableGrid"/>
        <w:tblW w:w="0" w:type="auto"/>
        <w:shd w:val="clear" w:color="auto" w:fill="BFBFBF" w:themeFill="background1" w:themeFillShade="BF"/>
        <w:tblLook w:val="04A0" w:firstRow="1" w:lastRow="0" w:firstColumn="1" w:lastColumn="0" w:noHBand="0" w:noVBand="1"/>
      </w:tblPr>
      <w:tblGrid>
        <w:gridCol w:w="10790"/>
      </w:tblGrid>
      <w:tr w:rsidR="00C3036D" w:rsidRPr="00FA3F9C" w14:paraId="20ABCCAF" w14:textId="77777777" w:rsidTr="00B655B8">
        <w:tc>
          <w:tcPr>
            <w:tcW w:w="10790" w:type="dxa"/>
            <w:shd w:val="clear" w:color="auto" w:fill="BFBFBF" w:themeFill="background1" w:themeFillShade="BF"/>
          </w:tcPr>
          <w:p w14:paraId="7D16BB22" w14:textId="77777777" w:rsidR="00C3036D" w:rsidRPr="00FA3F9C" w:rsidRDefault="00C3036D" w:rsidP="00D82B6E">
            <w:pPr>
              <w:rPr>
                <w:rFonts w:ascii="Arial" w:hAnsi="Arial" w:cs="Arial"/>
                <w:sz w:val="24"/>
                <w:szCs w:val="24"/>
              </w:rPr>
            </w:pPr>
            <w:r w:rsidRPr="00FA3F9C">
              <w:rPr>
                <w:rFonts w:ascii="Arial" w:hAnsi="Arial" w:cs="Arial"/>
                <w:sz w:val="24"/>
                <w:szCs w:val="24"/>
              </w:rPr>
              <w:t xml:space="preserve">Note: </w:t>
            </w:r>
          </w:p>
          <w:p w14:paraId="6C15F02D" w14:textId="77777777" w:rsidR="00C3036D" w:rsidRPr="00FA3F9C" w:rsidRDefault="00C3036D" w:rsidP="00F01904">
            <w:pPr>
              <w:rPr>
                <w:rFonts w:ascii="Arial" w:hAnsi="Arial" w:cs="Arial"/>
                <w:sz w:val="24"/>
                <w:szCs w:val="24"/>
              </w:rPr>
            </w:pPr>
            <w:proofErr w:type="spellStart"/>
            <w:r w:rsidRPr="00FA3F9C">
              <w:rPr>
                <w:rFonts w:ascii="Arial" w:hAnsi="Arial" w:cs="Arial"/>
                <w:sz w:val="24"/>
                <w:szCs w:val="24"/>
              </w:rPr>
              <w:t>Ripretinib</w:t>
            </w:r>
            <w:proofErr w:type="spellEnd"/>
            <w:r w:rsidRPr="00FA3F9C">
              <w:rPr>
                <w:rFonts w:ascii="Arial" w:hAnsi="Arial" w:cs="Arial"/>
                <w:sz w:val="24"/>
                <w:szCs w:val="24"/>
              </w:rPr>
              <w:t xml:space="preserve"> was compared to placebo in the above patient population. Despite ~65% of placebo patients crossing over to active drug, an improvement in overall survival was shown for the group originally assigned to </w:t>
            </w:r>
            <w:proofErr w:type="spellStart"/>
            <w:r w:rsidRPr="00FA3F9C">
              <w:rPr>
                <w:rFonts w:ascii="Arial" w:hAnsi="Arial" w:cs="Arial"/>
                <w:sz w:val="24"/>
                <w:szCs w:val="24"/>
              </w:rPr>
              <w:t>ripretinib</w:t>
            </w:r>
            <w:proofErr w:type="spellEnd"/>
            <w:r w:rsidRPr="00FA3F9C">
              <w:rPr>
                <w:rFonts w:ascii="Arial" w:hAnsi="Arial" w:cs="Arial"/>
                <w:sz w:val="24"/>
                <w:szCs w:val="24"/>
              </w:rPr>
              <w:t xml:space="preserve"> (median 15.1 </w:t>
            </w:r>
            <w:proofErr w:type="spellStart"/>
            <w:r w:rsidRPr="00FA3F9C">
              <w:rPr>
                <w:rFonts w:ascii="Arial" w:hAnsi="Arial" w:cs="Arial"/>
                <w:sz w:val="24"/>
                <w:szCs w:val="24"/>
              </w:rPr>
              <w:t>mo</w:t>
            </w:r>
            <w:proofErr w:type="spellEnd"/>
            <w:r w:rsidRPr="00FA3F9C">
              <w:rPr>
                <w:rFonts w:ascii="Arial" w:hAnsi="Arial" w:cs="Arial"/>
                <w:sz w:val="24"/>
                <w:szCs w:val="24"/>
              </w:rPr>
              <w:t xml:space="preserve"> vs 6.6 </w:t>
            </w:r>
            <w:proofErr w:type="spellStart"/>
            <w:proofErr w:type="gramStart"/>
            <w:r w:rsidRPr="00FA3F9C">
              <w:rPr>
                <w:rFonts w:ascii="Arial" w:hAnsi="Arial" w:cs="Arial"/>
                <w:sz w:val="24"/>
                <w:szCs w:val="24"/>
              </w:rPr>
              <w:t>mo</w:t>
            </w:r>
            <w:proofErr w:type="spellEnd"/>
            <w:r w:rsidRPr="00FA3F9C">
              <w:rPr>
                <w:rFonts w:ascii="Arial" w:hAnsi="Arial" w:cs="Arial"/>
                <w:sz w:val="24"/>
                <w:szCs w:val="24"/>
              </w:rPr>
              <w:t>;</w:t>
            </w:r>
            <w:proofErr w:type="gramEnd"/>
            <w:r w:rsidRPr="00FA3F9C">
              <w:rPr>
                <w:rFonts w:ascii="Arial" w:hAnsi="Arial" w:cs="Arial"/>
                <w:sz w:val="24"/>
                <w:szCs w:val="24"/>
              </w:rPr>
              <w:t xml:space="preserve"> HR 0.36). Progression free survival was also improved in the </w:t>
            </w:r>
            <w:proofErr w:type="spellStart"/>
            <w:r w:rsidRPr="00FA3F9C">
              <w:rPr>
                <w:rFonts w:ascii="Arial" w:hAnsi="Arial" w:cs="Arial"/>
                <w:sz w:val="24"/>
                <w:szCs w:val="24"/>
              </w:rPr>
              <w:t>ripretinib</w:t>
            </w:r>
            <w:proofErr w:type="spellEnd"/>
            <w:r w:rsidRPr="00FA3F9C">
              <w:rPr>
                <w:rFonts w:ascii="Arial" w:hAnsi="Arial" w:cs="Arial"/>
                <w:sz w:val="24"/>
                <w:szCs w:val="24"/>
              </w:rPr>
              <w:t xml:space="preserve"> group (6.3 </w:t>
            </w:r>
            <w:proofErr w:type="spellStart"/>
            <w:r w:rsidRPr="00FA3F9C">
              <w:rPr>
                <w:rFonts w:ascii="Arial" w:hAnsi="Arial" w:cs="Arial"/>
                <w:sz w:val="24"/>
                <w:szCs w:val="24"/>
              </w:rPr>
              <w:t>mo</w:t>
            </w:r>
            <w:proofErr w:type="spellEnd"/>
            <w:r w:rsidRPr="00FA3F9C">
              <w:rPr>
                <w:rFonts w:ascii="Arial" w:hAnsi="Arial" w:cs="Arial"/>
                <w:sz w:val="24"/>
                <w:szCs w:val="24"/>
              </w:rPr>
              <w:t xml:space="preserve"> vs 1 </w:t>
            </w:r>
            <w:proofErr w:type="spellStart"/>
            <w:r w:rsidRPr="00FA3F9C">
              <w:rPr>
                <w:rFonts w:ascii="Arial" w:hAnsi="Arial" w:cs="Arial"/>
                <w:sz w:val="24"/>
                <w:szCs w:val="24"/>
              </w:rPr>
              <w:t>mo</w:t>
            </w:r>
            <w:proofErr w:type="spellEnd"/>
            <w:r w:rsidRPr="00FA3F9C">
              <w:rPr>
                <w:rFonts w:ascii="Arial" w:hAnsi="Arial" w:cs="Arial"/>
                <w:sz w:val="24"/>
                <w:szCs w:val="24"/>
              </w:rPr>
              <w:t>).</w:t>
            </w:r>
          </w:p>
        </w:tc>
      </w:tr>
    </w:tbl>
    <w:p w14:paraId="79D8236C" w14:textId="77777777" w:rsidR="00C3036D" w:rsidRPr="00FA3F9C" w:rsidRDefault="00C3036D" w:rsidP="006F623F">
      <w:pPr>
        <w:spacing w:after="0"/>
        <w:rPr>
          <w:rFonts w:ascii="Arial" w:hAnsi="Arial" w:cs="Arial"/>
          <w:sz w:val="24"/>
          <w:szCs w:val="24"/>
        </w:rPr>
      </w:pPr>
      <w:r w:rsidRPr="00FA3F9C">
        <w:rPr>
          <w:rFonts w:ascii="Arial" w:hAnsi="Arial" w:cs="Arial"/>
          <w:sz w:val="24"/>
          <w:szCs w:val="24"/>
        </w:rPr>
        <w:t>Quantity Limits: #90/30 days</w:t>
      </w:r>
    </w:p>
    <w:p w14:paraId="73D3DBDE" w14:textId="77777777" w:rsidR="00C3036D" w:rsidRPr="00FA3F9C" w:rsidRDefault="00C3036D" w:rsidP="006F623F">
      <w:pPr>
        <w:spacing w:after="0"/>
        <w:rPr>
          <w:rFonts w:ascii="Arial" w:hAnsi="Arial" w:cs="Arial"/>
          <w:sz w:val="24"/>
          <w:szCs w:val="24"/>
        </w:rPr>
      </w:pPr>
    </w:p>
    <w:p w14:paraId="21A6DABF" w14:textId="77777777" w:rsidR="00C3036D" w:rsidRPr="00FA3F9C" w:rsidRDefault="00C3036D" w:rsidP="00F01904">
      <w:pPr>
        <w:spacing w:after="0"/>
        <w:rPr>
          <w:rFonts w:ascii="Arial" w:hAnsi="Arial" w:cs="Arial"/>
          <w:color w:val="FF0000"/>
          <w:sz w:val="24"/>
          <w:szCs w:val="24"/>
        </w:rPr>
      </w:pPr>
      <w:r w:rsidRPr="00FA3F9C">
        <w:rPr>
          <w:rFonts w:ascii="Arial" w:hAnsi="Arial" w:cs="Arial"/>
          <w:sz w:val="24"/>
          <w:szCs w:val="24"/>
        </w:rPr>
        <w:t>References:</w:t>
      </w:r>
      <w:r w:rsidRPr="00FA3F9C">
        <w:rPr>
          <w:rFonts w:ascii="Arial" w:hAnsi="Arial" w:cs="Arial"/>
          <w:color w:val="FF0000"/>
          <w:sz w:val="24"/>
          <w:szCs w:val="24"/>
        </w:rPr>
        <w:t xml:space="preserve"> </w:t>
      </w:r>
    </w:p>
    <w:p w14:paraId="1922980C" w14:textId="77777777" w:rsidR="00C3036D" w:rsidRPr="00FA3F9C" w:rsidRDefault="00C3036D" w:rsidP="00F01904">
      <w:pPr>
        <w:spacing w:after="0"/>
        <w:rPr>
          <w:rFonts w:ascii="Arial" w:eastAsia="Times New Roman" w:hAnsi="Arial" w:cs="Arial"/>
          <w:color w:val="212121"/>
          <w:sz w:val="24"/>
          <w:szCs w:val="24"/>
        </w:rPr>
      </w:pPr>
      <w:r w:rsidRPr="00FA3F9C">
        <w:rPr>
          <w:rFonts w:ascii="Arial" w:hAnsi="Arial" w:cs="Arial"/>
          <w:color w:val="212121"/>
          <w:sz w:val="24"/>
          <w:szCs w:val="24"/>
          <w:shd w:val="clear" w:color="auto" w:fill="FFFFFF"/>
        </w:rPr>
        <w:t xml:space="preserve">Blay JY, Serrano C, Heinrich MC, et al. </w:t>
      </w:r>
      <w:proofErr w:type="spellStart"/>
      <w:r w:rsidRPr="00FA3F9C">
        <w:rPr>
          <w:rFonts w:ascii="Arial" w:hAnsi="Arial" w:cs="Arial"/>
          <w:color w:val="212121"/>
          <w:sz w:val="24"/>
          <w:szCs w:val="24"/>
          <w:shd w:val="clear" w:color="auto" w:fill="FFFFFF"/>
        </w:rPr>
        <w:t>Ripretinib</w:t>
      </w:r>
      <w:proofErr w:type="spellEnd"/>
      <w:r w:rsidRPr="00FA3F9C">
        <w:rPr>
          <w:rFonts w:ascii="Arial" w:hAnsi="Arial" w:cs="Arial"/>
          <w:color w:val="212121"/>
          <w:sz w:val="24"/>
          <w:szCs w:val="24"/>
          <w:shd w:val="clear" w:color="auto" w:fill="FFFFFF"/>
        </w:rPr>
        <w:t xml:space="preserve"> in patients with advanced gastrointestinal stromal </w:t>
      </w:r>
      <w:proofErr w:type="spellStart"/>
      <w:r w:rsidRPr="00FA3F9C">
        <w:rPr>
          <w:rFonts w:ascii="Arial" w:hAnsi="Arial" w:cs="Arial"/>
          <w:color w:val="212121"/>
          <w:sz w:val="24"/>
          <w:szCs w:val="24"/>
          <w:shd w:val="clear" w:color="auto" w:fill="FFFFFF"/>
        </w:rPr>
        <w:t>tumours</w:t>
      </w:r>
      <w:proofErr w:type="spellEnd"/>
      <w:r w:rsidRPr="00FA3F9C">
        <w:rPr>
          <w:rFonts w:ascii="Arial" w:hAnsi="Arial" w:cs="Arial"/>
          <w:color w:val="212121"/>
          <w:sz w:val="24"/>
          <w:szCs w:val="24"/>
          <w:shd w:val="clear" w:color="auto" w:fill="FFFFFF"/>
        </w:rPr>
        <w:t xml:space="preserve"> (INVICTUS): a double-blind, </w:t>
      </w:r>
      <w:proofErr w:type="spellStart"/>
      <w:r w:rsidRPr="00FA3F9C">
        <w:rPr>
          <w:rFonts w:ascii="Arial" w:hAnsi="Arial" w:cs="Arial"/>
          <w:color w:val="212121"/>
          <w:sz w:val="24"/>
          <w:szCs w:val="24"/>
          <w:shd w:val="clear" w:color="auto" w:fill="FFFFFF"/>
        </w:rPr>
        <w:t>randomised</w:t>
      </w:r>
      <w:proofErr w:type="spellEnd"/>
      <w:r w:rsidRPr="00FA3F9C">
        <w:rPr>
          <w:rFonts w:ascii="Arial" w:hAnsi="Arial" w:cs="Arial"/>
          <w:color w:val="212121"/>
          <w:sz w:val="24"/>
          <w:szCs w:val="24"/>
          <w:shd w:val="clear" w:color="auto" w:fill="FFFFFF"/>
        </w:rPr>
        <w:t>, placebo-controlled, phase 3 trial [published correction appears in Lancet Oncol. 2020 Jul;21(7):e341]. </w:t>
      </w:r>
      <w:r w:rsidRPr="00FA3F9C">
        <w:rPr>
          <w:rFonts w:ascii="Arial" w:hAnsi="Arial" w:cs="Arial"/>
          <w:i/>
          <w:iCs/>
          <w:color w:val="212121"/>
          <w:sz w:val="24"/>
          <w:szCs w:val="24"/>
          <w:shd w:val="clear" w:color="auto" w:fill="FFFFFF"/>
        </w:rPr>
        <w:t>Lancet Oncol</w:t>
      </w:r>
      <w:r w:rsidRPr="00FA3F9C">
        <w:rPr>
          <w:rFonts w:ascii="Arial" w:hAnsi="Arial" w:cs="Arial"/>
          <w:color w:val="212121"/>
          <w:sz w:val="24"/>
          <w:szCs w:val="24"/>
          <w:shd w:val="clear" w:color="auto" w:fill="FFFFFF"/>
        </w:rPr>
        <w:t xml:space="preserve">. 2020;21(7):923-934. doi:10.1016/S1470-2045(20)30168-6. PMID </w:t>
      </w:r>
      <w:r w:rsidRPr="00FA3F9C">
        <w:rPr>
          <w:rFonts w:ascii="Arial" w:eastAsia="Times New Roman" w:hAnsi="Arial" w:cs="Arial"/>
          <w:color w:val="212121"/>
          <w:sz w:val="24"/>
          <w:szCs w:val="24"/>
        </w:rPr>
        <w:t>32511981 NCT03353753</w:t>
      </w:r>
    </w:p>
    <w:p w14:paraId="5F2FC2D9" w14:textId="77777777" w:rsidR="00C3036D" w:rsidRPr="00FA3F9C" w:rsidRDefault="00C3036D" w:rsidP="00F01904">
      <w:pPr>
        <w:spacing w:after="0"/>
        <w:rPr>
          <w:rFonts w:ascii="Arial" w:eastAsia="Times New Roman" w:hAnsi="Arial" w:cs="Arial"/>
          <w:color w:val="212121"/>
          <w:sz w:val="24"/>
          <w:szCs w:val="24"/>
        </w:rPr>
      </w:pPr>
    </w:p>
    <w:p w14:paraId="4652EB67" w14:textId="77777777" w:rsidR="00C3036D" w:rsidRPr="00FA3F9C" w:rsidRDefault="00C3036D" w:rsidP="00F01904">
      <w:pPr>
        <w:spacing w:after="0"/>
        <w:rPr>
          <w:rFonts w:ascii="Arial" w:hAnsi="Arial" w:cs="Arial"/>
          <w:sz w:val="24"/>
          <w:szCs w:val="24"/>
        </w:rPr>
      </w:pPr>
      <w:r w:rsidRPr="00FA3F9C">
        <w:rPr>
          <w:rFonts w:ascii="Arial" w:eastAsia="Times New Roman" w:hAnsi="Arial" w:cs="Arial"/>
          <w:color w:val="212121"/>
          <w:sz w:val="24"/>
          <w:szCs w:val="24"/>
        </w:rPr>
        <w:t xml:space="preserve">NCCN Guidelines for Soft Tissue Sarcoma. </w:t>
      </w:r>
      <w:hyperlink r:id="rId363" w:history="1">
        <w:r w:rsidRPr="00FA3F9C">
          <w:rPr>
            <w:rStyle w:val="Hyperlink"/>
            <w:rFonts w:ascii="Arial" w:hAnsi="Arial" w:cs="Arial"/>
            <w:sz w:val="24"/>
            <w:szCs w:val="24"/>
          </w:rPr>
          <w:t>https://www.nccn.org/professionals/physician_gls/pdf/sarcoma.pdf</w:t>
        </w:r>
      </w:hyperlink>
      <w:r w:rsidRPr="00FA3F9C">
        <w:rPr>
          <w:rFonts w:ascii="Arial" w:hAnsi="Arial" w:cs="Arial"/>
          <w:sz w:val="24"/>
          <w:szCs w:val="24"/>
        </w:rPr>
        <w:t xml:space="preserve">. </w:t>
      </w:r>
    </w:p>
    <w:p w14:paraId="761DAFD2" w14:textId="77777777" w:rsidR="00C3036D" w:rsidRPr="00FA3F9C" w:rsidRDefault="00C3036D" w:rsidP="00F01904">
      <w:pPr>
        <w:spacing w:after="0"/>
        <w:rPr>
          <w:rFonts w:ascii="Arial" w:hAnsi="Arial" w:cs="Arial"/>
          <w:sz w:val="24"/>
          <w:szCs w:val="24"/>
        </w:rPr>
      </w:pPr>
    </w:p>
    <w:p w14:paraId="6BEF1096" w14:textId="77777777" w:rsidR="00C3036D" w:rsidRPr="00FA3F9C" w:rsidRDefault="00C3036D" w:rsidP="00F01904">
      <w:pPr>
        <w:spacing w:after="0"/>
        <w:rPr>
          <w:rFonts w:ascii="Arial" w:hAnsi="Arial" w:cs="Arial"/>
          <w:color w:val="FF0000"/>
          <w:sz w:val="24"/>
          <w:szCs w:val="24"/>
        </w:rPr>
      </w:pPr>
      <w:proofErr w:type="spellStart"/>
      <w:r w:rsidRPr="00FA3F9C">
        <w:rPr>
          <w:rFonts w:ascii="Arial" w:hAnsi="Arial" w:cs="Arial"/>
          <w:sz w:val="24"/>
          <w:szCs w:val="24"/>
        </w:rPr>
        <w:t>Qinlock</w:t>
      </w:r>
      <w:proofErr w:type="spellEnd"/>
      <w:r w:rsidRPr="00FA3F9C">
        <w:rPr>
          <w:rFonts w:ascii="Arial" w:hAnsi="Arial" w:cs="Arial"/>
          <w:sz w:val="24"/>
          <w:szCs w:val="24"/>
        </w:rPr>
        <w:t xml:space="preserve"> PI. </w:t>
      </w:r>
      <w:hyperlink r:id="rId364" w:history="1">
        <w:r w:rsidRPr="00FA3F9C">
          <w:rPr>
            <w:rStyle w:val="Hyperlink"/>
            <w:rFonts w:ascii="Arial" w:hAnsi="Arial" w:cs="Arial"/>
            <w:sz w:val="24"/>
            <w:szCs w:val="24"/>
          </w:rPr>
          <w:t>https://www.qinlockhcp.com/content/files/qinlock-prescribing-information.pdf</w:t>
        </w:r>
      </w:hyperlink>
      <w:r w:rsidRPr="00FA3F9C">
        <w:rPr>
          <w:rFonts w:ascii="Arial" w:hAnsi="Arial" w:cs="Arial"/>
          <w:sz w:val="24"/>
          <w:szCs w:val="24"/>
        </w:rPr>
        <w:t>.</w:t>
      </w:r>
    </w:p>
    <w:p w14:paraId="4D5C29BA" w14:textId="77777777" w:rsidR="00C3036D" w:rsidRPr="00FA3F9C" w:rsidRDefault="00C3036D" w:rsidP="006F623F">
      <w:pPr>
        <w:spacing w:after="0"/>
        <w:rPr>
          <w:rFonts w:ascii="Arial" w:hAnsi="Arial" w:cs="Arial"/>
          <w:color w:val="FF0000"/>
          <w:sz w:val="24"/>
          <w:szCs w:val="24"/>
        </w:rPr>
      </w:pPr>
    </w:p>
    <w:p w14:paraId="63B99950" w14:textId="77777777" w:rsidR="00C3036D" w:rsidRPr="00FA3F9C" w:rsidRDefault="00C3036D" w:rsidP="006F623F">
      <w:pPr>
        <w:spacing w:after="0"/>
        <w:rPr>
          <w:rFonts w:ascii="Arial" w:hAnsi="Arial" w:cs="Arial"/>
          <w:sz w:val="24"/>
          <w:szCs w:val="24"/>
        </w:rPr>
      </w:pPr>
    </w:p>
    <w:p w14:paraId="623B7C9C" w14:textId="77777777" w:rsidR="00C3036D" w:rsidRPr="00FA3F9C" w:rsidRDefault="00C3036D"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284"/>
        <w:gridCol w:w="7470"/>
        <w:gridCol w:w="2538"/>
      </w:tblGrid>
      <w:tr w:rsidR="00C3036D" w:rsidRPr="00FA3F9C" w14:paraId="19BCF294" w14:textId="77777777" w:rsidTr="00FE491B">
        <w:tc>
          <w:tcPr>
            <w:tcW w:w="1008" w:type="dxa"/>
          </w:tcPr>
          <w:p w14:paraId="1F2851C1" w14:textId="77777777" w:rsidR="00C3036D" w:rsidRPr="00FA3F9C" w:rsidRDefault="00C3036D" w:rsidP="006F623F">
            <w:pPr>
              <w:rPr>
                <w:rFonts w:ascii="Arial" w:hAnsi="Arial" w:cs="Arial"/>
                <w:sz w:val="24"/>
                <w:szCs w:val="24"/>
              </w:rPr>
            </w:pPr>
            <w:r w:rsidRPr="00FA3F9C">
              <w:rPr>
                <w:rFonts w:ascii="Arial" w:hAnsi="Arial" w:cs="Arial"/>
                <w:sz w:val="24"/>
                <w:szCs w:val="24"/>
              </w:rPr>
              <w:t>Date</w:t>
            </w:r>
          </w:p>
        </w:tc>
        <w:tc>
          <w:tcPr>
            <w:tcW w:w="7470" w:type="dxa"/>
          </w:tcPr>
          <w:p w14:paraId="68D50DDC" w14:textId="77777777" w:rsidR="00C3036D" w:rsidRPr="00FA3F9C" w:rsidRDefault="00C3036D" w:rsidP="006F623F">
            <w:pPr>
              <w:rPr>
                <w:rFonts w:ascii="Arial" w:hAnsi="Arial" w:cs="Arial"/>
                <w:sz w:val="24"/>
                <w:szCs w:val="24"/>
              </w:rPr>
            </w:pPr>
            <w:r w:rsidRPr="00FA3F9C">
              <w:rPr>
                <w:rFonts w:ascii="Arial" w:hAnsi="Arial" w:cs="Arial"/>
                <w:sz w:val="24"/>
                <w:szCs w:val="24"/>
              </w:rPr>
              <w:t>What changed</w:t>
            </w:r>
          </w:p>
        </w:tc>
        <w:tc>
          <w:tcPr>
            <w:tcW w:w="2538" w:type="dxa"/>
          </w:tcPr>
          <w:p w14:paraId="5081AC54" w14:textId="77777777" w:rsidR="00C3036D" w:rsidRPr="00FA3F9C" w:rsidRDefault="00C3036D" w:rsidP="006F623F">
            <w:pPr>
              <w:rPr>
                <w:rFonts w:ascii="Arial" w:hAnsi="Arial" w:cs="Arial"/>
                <w:sz w:val="24"/>
                <w:szCs w:val="24"/>
              </w:rPr>
            </w:pPr>
            <w:r w:rsidRPr="00FA3F9C">
              <w:rPr>
                <w:rFonts w:ascii="Arial" w:hAnsi="Arial" w:cs="Arial"/>
                <w:sz w:val="24"/>
                <w:szCs w:val="24"/>
              </w:rPr>
              <w:t>Pharmacist’s initials</w:t>
            </w:r>
          </w:p>
        </w:tc>
      </w:tr>
      <w:tr w:rsidR="00C3036D" w:rsidRPr="00FA3F9C" w14:paraId="0DAFC116" w14:textId="77777777" w:rsidTr="00FE491B">
        <w:tc>
          <w:tcPr>
            <w:tcW w:w="1008" w:type="dxa"/>
          </w:tcPr>
          <w:p w14:paraId="00B2C600" w14:textId="77777777" w:rsidR="00C3036D" w:rsidRPr="00FA3F9C" w:rsidRDefault="00C3036D" w:rsidP="006F623F">
            <w:pPr>
              <w:rPr>
                <w:rFonts w:ascii="Arial" w:hAnsi="Arial" w:cs="Arial"/>
                <w:sz w:val="24"/>
                <w:szCs w:val="24"/>
              </w:rPr>
            </w:pPr>
            <w:r w:rsidRPr="00FA3F9C">
              <w:rPr>
                <w:rFonts w:ascii="Arial" w:hAnsi="Arial" w:cs="Arial"/>
                <w:sz w:val="24"/>
                <w:szCs w:val="24"/>
              </w:rPr>
              <w:t>6/24/2020</w:t>
            </w:r>
          </w:p>
        </w:tc>
        <w:tc>
          <w:tcPr>
            <w:tcW w:w="7470" w:type="dxa"/>
          </w:tcPr>
          <w:p w14:paraId="6562A43F" w14:textId="77777777" w:rsidR="00C3036D" w:rsidRPr="00FA3F9C" w:rsidRDefault="00C3036D" w:rsidP="006F623F">
            <w:pPr>
              <w:rPr>
                <w:rFonts w:ascii="Arial" w:hAnsi="Arial" w:cs="Arial"/>
                <w:sz w:val="24"/>
                <w:szCs w:val="24"/>
              </w:rPr>
            </w:pPr>
            <w:r w:rsidRPr="00FA3F9C">
              <w:rPr>
                <w:rFonts w:ascii="Arial" w:hAnsi="Arial" w:cs="Arial"/>
                <w:sz w:val="24"/>
                <w:szCs w:val="24"/>
              </w:rPr>
              <w:t>Criteria Written</w:t>
            </w:r>
          </w:p>
        </w:tc>
        <w:tc>
          <w:tcPr>
            <w:tcW w:w="2538" w:type="dxa"/>
          </w:tcPr>
          <w:p w14:paraId="1443F236" w14:textId="77777777" w:rsidR="00C3036D" w:rsidRPr="00FA3F9C" w:rsidRDefault="00C3036D" w:rsidP="006F623F">
            <w:pPr>
              <w:rPr>
                <w:rFonts w:ascii="Arial" w:hAnsi="Arial" w:cs="Arial"/>
                <w:sz w:val="24"/>
                <w:szCs w:val="24"/>
              </w:rPr>
            </w:pPr>
            <w:r w:rsidRPr="00FA3F9C">
              <w:rPr>
                <w:rFonts w:ascii="Arial" w:hAnsi="Arial" w:cs="Arial"/>
                <w:sz w:val="24"/>
                <w:szCs w:val="24"/>
              </w:rPr>
              <w:t>SK/EF</w:t>
            </w:r>
          </w:p>
        </w:tc>
      </w:tr>
      <w:tr w:rsidR="00C3036D" w:rsidRPr="00FA3F9C" w14:paraId="122A6A56" w14:textId="77777777" w:rsidTr="00FE491B">
        <w:tc>
          <w:tcPr>
            <w:tcW w:w="1008" w:type="dxa"/>
          </w:tcPr>
          <w:p w14:paraId="2A8F16B3" w14:textId="77777777" w:rsidR="00C3036D" w:rsidRPr="00FA3F9C" w:rsidRDefault="00C3036D" w:rsidP="006F623F">
            <w:pPr>
              <w:rPr>
                <w:rFonts w:ascii="Arial" w:hAnsi="Arial" w:cs="Arial"/>
                <w:sz w:val="24"/>
                <w:szCs w:val="24"/>
              </w:rPr>
            </w:pPr>
          </w:p>
        </w:tc>
        <w:tc>
          <w:tcPr>
            <w:tcW w:w="7470" w:type="dxa"/>
          </w:tcPr>
          <w:p w14:paraId="4E66A339" w14:textId="77777777" w:rsidR="00C3036D" w:rsidRPr="00FA3F9C" w:rsidRDefault="00C3036D" w:rsidP="006F623F">
            <w:pPr>
              <w:rPr>
                <w:rFonts w:ascii="Arial" w:hAnsi="Arial" w:cs="Arial"/>
                <w:sz w:val="24"/>
                <w:szCs w:val="24"/>
              </w:rPr>
            </w:pPr>
          </w:p>
        </w:tc>
        <w:tc>
          <w:tcPr>
            <w:tcW w:w="2538" w:type="dxa"/>
          </w:tcPr>
          <w:p w14:paraId="5290A583" w14:textId="77777777" w:rsidR="00C3036D" w:rsidRPr="00FA3F9C" w:rsidRDefault="00C3036D" w:rsidP="006F623F">
            <w:pPr>
              <w:rPr>
                <w:rFonts w:ascii="Arial" w:hAnsi="Arial" w:cs="Arial"/>
                <w:sz w:val="24"/>
                <w:szCs w:val="24"/>
              </w:rPr>
            </w:pPr>
          </w:p>
        </w:tc>
      </w:tr>
    </w:tbl>
    <w:p w14:paraId="003E0D42" w14:textId="77777777" w:rsidR="00C3036D" w:rsidRPr="00FA3F9C" w:rsidRDefault="00C3036D" w:rsidP="006F623F">
      <w:pPr>
        <w:spacing w:after="0"/>
        <w:rPr>
          <w:rFonts w:ascii="Arial" w:hAnsi="Arial" w:cs="Arial"/>
          <w:sz w:val="24"/>
          <w:szCs w:val="24"/>
        </w:rPr>
      </w:pPr>
    </w:p>
    <w:p w14:paraId="0DA0C0E7" w14:textId="77777777" w:rsidR="00C3036D" w:rsidRPr="00FA3F9C" w:rsidRDefault="00C3036D" w:rsidP="002B2097">
      <w:pPr>
        <w:pStyle w:val="Heading2"/>
      </w:pPr>
      <w:bookmarkStart w:id="290" w:name="_Toc106369914"/>
      <w:r w:rsidRPr="00FA3F9C">
        <w:t xml:space="preserve">Risperidone ER </w:t>
      </w:r>
      <w:proofErr w:type="gramStart"/>
      <w:r w:rsidRPr="00FA3F9C">
        <w:t>2 week</w:t>
      </w:r>
      <w:proofErr w:type="gramEnd"/>
      <w:r w:rsidRPr="00FA3F9C">
        <w:t xml:space="preserve"> injection (Risperdal </w:t>
      </w:r>
      <w:proofErr w:type="spellStart"/>
      <w:r w:rsidRPr="00FA3F9C">
        <w:t>Consta</w:t>
      </w:r>
      <w:proofErr w:type="spellEnd"/>
      <w:r w:rsidRPr="00FA3F9C">
        <w:t>)</w:t>
      </w:r>
      <w:bookmarkEnd w:id="290"/>
    </w:p>
    <w:p w14:paraId="6B150A46" w14:textId="77777777" w:rsidR="00C3036D" w:rsidRPr="00FA3F9C" w:rsidRDefault="00C3036D" w:rsidP="00412F5C">
      <w:pPr>
        <w:jc w:val="center"/>
        <w:rPr>
          <w:rFonts w:ascii="Arial" w:hAnsi="Arial" w:cs="Arial"/>
          <w:sz w:val="24"/>
          <w:szCs w:val="24"/>
        </w:rPr>
      </w:pPr>
      <w:r w:rsidRPr="00FA3F9C">
        <w:rPr>
          <w:rFonts w:ascii="Arial" w:hAnsi="Arial" w:cs="Arial"/>
          <w:sz w:val="24"/>
          <w:szCs w:val="24"/>
        </w:rPr>
        <w:t>12.5mg, 25mg, 37.5mg, 50mg vials</w:t>
      </w:r>
    </w:p>
    <w:p w14:paraId="21380DA7" w14:textId="77777777" w:rsidR="00C3036D" w:rsidRPr="00FA3F9C" w:rsidRDefault="00C3036D" w:rsidP="00892500">
      <w:pPr>
        <w:jc w:val="center"/>
        <w:rPr>
          <w:rFonts w:ascii="Arial" w:hAnsi="Arial" w:cs="Arial"/>
          <w:sz w:val="24"/>
          <w:szCs w:val="24"/>
        </w:rPr>
      </w:pPr>
      <w:r w:rsidRPr="00FA3F9C">
        <w:rPr>
          <w:rFonts w:ascii="Arial" w:hAnsi="Arial" w:cs="Arial"/>
          <w:sz w:val="24"/>
          <w:szCs w:val="24"/>
        </w:rPr>
        <w:t>EBRx PA Criteria</w:t>
      </w:r>
    </w:p>
    <w:p w14:paraId="7E707AA2" w14:textId="77777777" w:rsidR="00C3036D" w:rsidRPr="00FA3F9C" w:rsidRDefault="00C3036D" w:rsidP="00412F5C">
      <w:pPr>
        <w:jc w:val="center"/>
        <w:rPr>
          <w:rFonts w:ascii="Arial" w:hAnsi="Arial" w:cs="Arial"/>
          <w:sz w:val="24"/>
          <w:szCs w:val="24"/>
        </w:rPr>
      </w:pPr>
    </w:p>
    <w:p w14:paraId="3C1D972E" w14:textId="77777777" w:rsidR="00C3036D" w:rsidRPr="00FA3F9C" w:rsidRDefault="00C3036D" w:rsidP="00892500">
      <w:pPr>
        <w:rPr>
          <w:rFonts w:ascii="Arial" w:hAnsi="Arial" w:cs="Arial"/>
          <w:sz w:val="24"/>
          <w:szCs w:val="24"/>
        </w:rPr>
      </w:pPr>
      <w:r w:rsidRPr="00FA3F9C">
        <w:rPr>
          <w:rFonts w:ascii="Arial" w:hAnsi="Arial" w:cs="Arial"/>
          <w:sz w:val="24"/>
          <w:szCs w:val="24"/>
        </w:rPr>
        <w:t xml:space="preserve">Is FDA-approved for: </w:t>
      </w:r>
    </w:p>
    <w:p w14:paraId="563DA324" w14:textId="77777777" w:rsidR="00C3036D" w:rsidRPr="00FA3F9C" w:rsidRDefault="00C3036D" w:rsidP="00FC1E85">
      <w:pPr>
        <w:pStyle w:val="ListParagraph"/>
        <w:numPr>
          <w:ilvl w:val="0"/>
          <w:numId w:val="451"/>
        </w:numPr>
        <w:spacing w:after="0" w:line="240" w:lineRule="auto"/>
        <w:rPr>
          <w:rFonts w:ascii="Arial" w:hAnsi="Arial" w:cs="Arial"/>
          <w:sz w:val="24"/>
          <w:szCs w:val="24"/>
        </w:rPr>
      </w:pPr>
      <w:r w:rsidRPr="00FA3F9C">
        <w:rPr>
          <w:rFonts w:ascii="Arial" w:hAnsi="Arial" w:cs="Arial"/>
          <w:sz w:val="24"/>
          <w:szCs w:val="24"/>
        </w:rPr>
        <w:t>Bipolar disorder, as monotherapy or as adjunctive therapy to lithium or valproate for maintenance for bipolar I disorder</w:t>
      </w:r>
    </w:p>
    <w:p w14:paraId="15A87758" w14:textId="77777777" w:rsidR="00C3036D" w:rsidRPr="00FA3F9C" w:rsidRDefault="00C3036D" w:rsidP="00FC1E85">
      <w:pPr>
        <w:pStyle w:val="ListParagraph"/>
        <w:numPr>
          <w:ilvl w:val="0"/>
          <w:numId w:val="451"/>
        </w:numPr>
        <w:spacing w:after="0" w:line="240" w:lineRule="auto"/>
        <w:rPr>
          <w:rFonts w:ascii="Arial" w:hAnsi="Arial" w:cs="Arial"/>
          <w:sz w:val="24"/>
          <w:szCs w:val="24"/>
        </w:rPr>
      </w:pPr>
      <w:r w:rsidRPr="00FA3F9C">
        <w:rPr>
          <w:rFonts w:ascii="Arial" w:hAnsi="Arial" w:cs="Arial"/>
          <w:sz w:val="24"/>
          <w:szCs w:val="24"/>
        </w:rPr>
        <w:lastRenderedPageBreak/>
        <w:t>Schizophrenia treatment</w:t>
      </w:r>
    </w:p>
    <w:tbl>
      <w:tblPr>
        <w:tblStyle w:val="TableGrid"/>
        <w:tblW w:w="0" w:type="auto"/>
        <w:tblLook w:val="04A0" w:firstRow="1" w:lastRow="0" w:firstColumn="1" w:lastColumn="0" w:noHBand="0" w:noVBand="1"/>
      </w:tblPr>
      <w:tblGrid>
        <w:gridCol w:w="10638"/>
      </w:tblGrid>
      <w:tr w:rsidR="00C3036D" w:rsidRPr="00FA3F9C" w14:paraId="76B67D4E" w14:textId="77777777" w:rsidTr="008F3121">
        <w:tc>
          <w:tcPr>
            <w:tcW w:w="10638" w:type="dxa"/>
            <w:shd w:val="clear" w:color="auto" w:fill="000000"/>
          </w:tcPr>
          <w:p w14:paraId="7AF72795" w14:textId="77777777" w:rsidR="00C3036D" w:rsidRPr="00FA3F9C" w:rsidRDefault="00C3036D" w:rsidP="00412F5C">
            <w:pPr>
              <w:rPr>
                <w:rFonts w:ascii="Arial" w:hAnsi="Arial" w:cs="Arial"/>
                <w:sz w:val="24"/>
                <w:szCs w:val="24"/>
              </w:rPr>
            </w:pPr>
            <w:r w:rsidRPr="00FA3F9C">
              <w:rPr>
                <w:rFonts w:ascii="Arial" w:hAnsi="Arial" w:cs="Arial"/>
                <w:sz w:val="24"/>
                <w:szCs w:val="24"/>
              </w:rPr>
              <w:t>Initial Access</w:t>
            </w:r>
          </w:p>
        </w:tc>
      </w:tr>
      <w:tr w:rsidR="00C3036D" w:rsidRPr="00FA3F9C" w14:paraId="4F1E1CA3" w14:textId="77777777" w:rsidTr="00412F5C">
        <w:tc>
          <w:tcPr>
            <w:tcW w:w="10638" w:type="dxa"/>
          </w:tcPr>
          <w:p w14:paraId="51F2150B" w14:textId="77777777" w:rsidR="00C3036D" w:rsidRPr="00FA3F9C" w:rsidRDefault="00C3036D" w:rsidP="008D5F3F">
            <w:pPr>
              <w:rPr>
                <w:rFonts w:ascii="Arial" w:hAnsi="Arial" w:cs="Arial"/>
                <w:sz w:val="24"/>
                <w:szCs w:val="24"/>
              </w:rPr>
            </w:pPr>
            <w:r w:rsidRPr="00FA3F9C">
              <w:rPr>
                <w:rFonts w:ascii="Arial" w:hAnsi="Arial" w:cs="Arial"/>
                <w:sz w:val="24"/>
                <w:szCs w:val="24"/>
              </w:rPr>
              <w:t>1.  Requires the patient to have a diagnosis of schizophrenia or bipolar disorder.</w:t>
            </w:r>
          </w:p>
        </w:tc>
      </w:tr>
      <w:tr w:rsidR="00C3036D" w:rsidRPr="00FA3F9C" w14:paraId="40FD2905" w14:textId="77777777" w:rsidTr="00412F5C">
        <w:tc>
          <w:tcPr>
            <w:tcW w:w="10638" w:type="dxa"/>
          </w:tcPr>
          <w:p w14:paraId="513D8AA8" w14:textId="77777777" w:rsidR="00C3036D" w:rsidRPr="00FA3F9C" w:rsidRDefault="00C3036D" w:rsidP="003904FA">
            <w:pPr>
              <w:rPr>
                <w:rFonts w:ascii="Arial" w:hAnsi="Arial" w:cs="Arial"/>
                <w:sz w:val="24"/>
                <w:szCs w:val="24"/>
              </w:rPr>
            </w:pPr>
            <w:r w:rsidRPr="00FA3F9C">
              <w:rPr>
                <w:rFonts w:ascii="Arial" w:hAnsi="Arial" w:cs="Arial"/>
                <w:sz w:val="24"/>
                <w:szCs w:val="24"/>
              </w:rPr>
              <w:t xml:space="preserve">2.  Must have a </w:t>
            </w:r>
            <w:proofErr w:type="gramStart"/>
            <w:r w:rsidRPr="00FA3F9C">
              <w:rPr>
                <w:rFonts w:ascii="Arial" w:hAnsi="Arial" w:cs="Arial"/>
                <w:sz w:val="24"/>
                <w:szCs w:val="24"/>
              </w:rPr>
              <w:t>history intolerable extrapyramidal symptoms</w:t>
            </w:r>
            <w:proofErr w:type="gramEnd"/>
            <w:r w:rsidRPr="00FA3F9C">
              <w:rPr>
                <w:rFonts w:ascii="Arial" w:hAnsi="Arial" w:cs="Arial"/>
                <w:sz w:val="24"/>
                <w:szCs w:val="24"/>
              </w:rPr>
              <w:t xml:space="preserve"> from taking haloperidol decanoate or fluphenazine decanoate long-acting injections not responsive to benztropine, trihexyphenidyl, or propranolol in the medical records; look back 5 years or as long as our profile’s history and as long a history available in the medical records.</w:t>
            </w:r>
          </w:p>
        </w:tc>
      </w:tr>
      <w:tr w:rsidR="00C3036D" w:rsidRPr="00FA3F9C" w14:paraId="79B41ABE" w14:textId="77777777" w:rsidTr="00412F5C">
        <w:tc>
          <w:tcPr>
            <w:tcW w:w="10638" w:type="dxa"/>
          </w:tcPr>
          <w:p w14:paraId="4B1B846D" w14:textId="77777777" w:rsidR="00C3036D" w:rsidRPr="00FA3F9C" w:rsidRDefault="00C3036D" w:rsidP="003904FA">
            <w:pPr>
              <w:rPr>
                <w:rFonts w:ascii="Arial" w:hAnsi="Arial" w:cs="Arial"/>
                <w:sz w:val="24"/>
                <w:szCs w:val="24"/>
              </w:rPr>
            </w:pPr>
            <w:r w:rsidRPr="00FA3F9C">
              <w:rPr>
                <w:rFonts w:ascii="Arial" w:hAnsi="Arial" w:cs="Arial"/>
                <w:sz w:val="24"/>
                <w:szCs w:val="24"/>
              </w:rPr>
              <w:t xml:space="preserve">If </w:t>
            </w:r>
            <w:proofErr w:type="gramStart"/>
            <w:r w:rsidRPr="00FA3F9C">
              <w:rPr>
                <w:rFonts w:ascii="Arial" w:hAnsi="Arial" w:cs="Arial"/>
                <w:sz w:val="24"/>
                <w:szCs w:val="24"/>
              </w:rPr>
              <w:t>all of</w:t>
            </w:r>
            <w:proofErr w:type="gramEnd"/>
            <w:r w:rsidRPr="00FA3F9C">
              <w:rPr>
                <w:rFonts w:ascii="Arial" w:hAnsi="Arial" w:cs="Arial"/>
                <w:sz w:val="24"/>
                <w:szCs w:val="24"/>
              </w:rPr>
              <w:t xml:space="preserve"> these criteria are fulfilled, approve for 12 months.</w:t>
            </w:r>
          </w:p>
        </w:tc>
      </w:tr>
    </w:tbl>
    <w:p w14:paraId="0D72E05D" w14:textId="77777777" w:rsidR="00C3036D" w:rsidRPr="00FA3F9C" w:rsidRDefault="00C3036D" w:rsidP="00C3036D">
      <w:pPr>
        <w:pStyle w:val="ListParagraph"/>
        <w:numPr>
          <w:ilvl w:val="0"/>
          <w:numId w:val="21"/>
        </w:numPr>
        <w:spacing w:after="0" w:line="240" w:lineRule="auto"/>
        <w:rPr>
          <w:rFonts w:ascii="Arial" w:hAnsi="Arial" w:cs="Arial"/>
          <w:sz w:val="24"/>
          <w:szCs w:val="24"/>
        </w:rPr>
      </w:pPr>
      <w:r w:rsidRPr="00FA3F9C">
        <w:rPr>
          <w:rFonts w:ascii="Arial" w:hAnsi="Arial" w:cs="Arial"/>
          <w:sz w:val="24"/>
          <w:szCs w:val="24"/>
        </w:rPr>
        <w:t xml:space="preserve">Concurrent use of other forms of olanzapine, quetiapine, ziprasidone, chlorpromazine, haloperidol, trifluoperazine, prochlorperazine, thioridazine, thiothixene, aripiprazole, or risperidone should be given concurrently for </w:t>
      </w:r>
      <w:r w:rsidRPr="00FA3F9C">
        <w:rPr>
          <w:rFonts w:ascii="Arial" w:hAnsi="Arial" w:cs="Arial"/>
          <w:b/>
          <w:sz w:val="24"/>
          <w:szCs w:val="24"/>
          <w:u w:val="single"/>
        </w:rPr>
        <w:t>ONLY the first 3 weeks</w:t>
      </w:r>
      <w:r w:rsidRPr="00FA3F9C">
        <w:rPr>
          <w:rFonts w:ascii="Arial" w:hAnsi="Arial" w:cs="Arial"/>
          <w:sz w:val="24"/>
          <w:szCs w:val="24"/>
        </w:rPr>
        <w:t>.</w:t>
      </w:r>
    </w:p>
    <w:p w14:paraId="0B1614A6" w14:textId="77777777" w:rsidR="00C3036D" w:rsidRPr="00FA3F9C" w:rsidRDefault="00C3036D" w:rsidP="00C3036D">
      <w:pPr>
        <w:pStyle w:val="ListParagraph"/>
        <w:numPr>
          <w:ilvl w:val="0"/>
          <w:numId w:val="21"/>
        </w:numPr>
        <w:spacing w:after="0" w:line="240" w:lineRule="auto"/>
        <w:rPr>
          <w:rFonts w:ascii="Arial" w:hAnsi="Arial" w:cs="Arial"/>
          <w:sz w:val="24"/>
          <w:szCs w:val="24"/>
        </w:rPr>
      </w:pPr>
      <w:r w:rsidRPr="00FA3F9C">
        <w:rPr>
          <w:rFonts w:ascii="Arial" w:hAnsi="Arial" w:cs="Arial"/>
          <w:sz w:val="24"/>
          <w:szCs w:val="24"/>
        </w:rPr>
        <w:t>Max dose is 50mg injected q2w.</w:t>
      </w:r>
    </w:p>
    <w:p w14:paraId="6922D502" w14:textId="77777777" w:rsidR="00C3036D" w:rsidRPr="00FA3F9C" w:rsidRDefault="00C3036D" w:rsidP="00857F03">
      <w:pPr>
        <w:rPr>
          <w:rFonts w:ascii="Arial" w:hAnsi="Arial" w:cs="Arial"/>
          <w:sz w:val="24"/>
          <w:szCs w:val="24"/>
        </w:rPr>
      </w:pPr>
    </w:p>
    <w:p w14:paraId="78528A1C" w14:textId="77777777" w:rsidR="00C3036D" w:rsidRPr="00FA3F9C" w:rsidRDefault="00C3036D" w:rsidP="00857F03">
      <w:pPr>
        <w:rPr>
          <w:rFonts w:ascii="Arial" w:hAnsi="Arial" w:cs="Arial"/>
          <w:sz w:val="24"/>
          <w:szCs w:val="24"/>
        </w:rPr>
      </w:pPr>
    </w:p>
    <w:tbl>
      <w:tblPr>
        <w:tblStyle w:val="TableGrid"/>
        <w:tblW w:w="0" w:type="auto"/>
        <w:tblLook w:val="04A0" w:firstRow="1" w:lastRow="0" w:firstColumn="1" w:lastColumn="0" w:noHBand="0" w:noVBand="1"/>
      </w:tblPr>
      <w:tblGrid>
        <w:gridCol w:w="10638"/>
      </w:tblGrid>
      <w:tr w:rsidR="00C3036D" w:rsidRPr="00FA3F9C" w14:paraId="5C401B01" w14:textId="77777777" w:rsidTr="008F3121">
        <w:tc>
          <w:tcPr>
            <w:tcW w:w="10638" w:type="dxa"/>
            <w:shd w:val="clear" w:color="auto" w:fill="000000"/>
          </w:tcPr>
          <w:p w14:paraId="118952F4" w14:textId="77777777" w:rsidR="00C3036D" w:rsidRPr="00FA3F9C" w:rsidRDefault="00C3036D" w:rsidP="008F3121">
            <w:pPr>
              <w:rPr>
                <w:rFonts w:ascii="Arial" w:hAnsi="Arial" w:cs="Arial"/>
                <w:sz w:val="24"/>
                <w:szCs w:val="24"/>
              </w:rPr>
            </w:pPr>
            <w:r w:rsidRPr="00FA3F9C">
              <w:rPr>
                <w:rFonts w:ascii="Arial" w:hAnsi="Arial" w:cs="Arial"/>
                <w:sz w:val="24"/>
                <w:szCs w:val="24"/>
              </w:rPr>
              <w:t>Continuation Criteria</w:t>
            </w:r>
          </w:p>
        </w:tc>
      </w:tr>
      <w:tr w:rsidR="00C3036D" w:rsidRPr="00FA3F9C" w14:paraId="443CED9F" w14:textId="77777777" w:rsidTr="008F3121">
        <w:tc>
          <w:tcPr>
            <w:tcW w:w="10638" w:type="dxa"/>
          </w:tcPr>
          <w:p w14:paraId="2258D054" w14:textId="77777777" w:rsidR="00C3036D" w:rsidRPr="00FA3F9C" w:rsidRDefault="00C3036D" w:rsidP="008D5F3F">
            <w:pPr>
              <w:rPr>
                <w:rFonts w:ascii="Arial" w:hAnsi="Arial" w:cs="Arial"/>
                <w:sz w:val="24"/>
                <w:szCs w:val="24"/>
              </w:rPr>
            </w:pPr>
            <w:r w:rsidRPr="00FA3F9C">
              <w:rPr>
                <w:rFonts w:ascii="Arial" w:hAnsi="Arial" w:cs="Arial"/>
                <w:sz w:val="24"/>
                <w:szCs w:val="24"/>
              </w:rPr>
              <w:t>1.  Requires the patient to have a diagnosis of schizophrenia or bipolar disorder.</w:t>
            </w:r>
          </w:p>
        </w:tc>
      </w:tr>
      <w:tr w:rsidR="00C3036D" w:rsidRPr="00FA3F9C" w14:paraId="4D1E9AA8" w14:textId="77777777" w:rsidTr="008F3121">
        <w:tc>
          <w:tcPr>
            <w:tcW w:w="10638" w:type="dxa"/>
          </w:tcPr>
          <w:p w14:paraId="7074D50F" w14:textId="77777777" w:rsidR="00C3036D" w:rsidRPr="00FA3F9C" w:rsidRDefault="00C3036D" w:rsidP="008D5F3F">
            <w:pPr>
              <w:rPr>
                <w:rFonts w:ascii="Arial" w:hAnsi="Arial" w:cs="Arial"/>
                <w:sz w:val="24"/>
                <w:szCs w:val="24"/>
              </w:rPr>
            </w:pPr>
            <w:r w:rsidRPr="00FA3F9C">
              <w:rPr>
                <w:rFonts w:ascii="Arial" w:hAnsi="Arial" w:cs="Arial"/>
                <w:sz w:val="24"/>
                <w:szCs w:val="24"/>
              </w:rPr>
              <w:t xml:space="preserve">2.  Requires the patient have no overlapping </w:t>
            </w:r>
            <w:proofErr w:type="spellStart"/>
            <w:r w:rsidRPr="00FA3F9C">
              <w:rPr>
                <w:rFonts w:ascii="Arial" w:hAnsi="Arial" w:cs="Arial"/>
                <w:sz w:val="24"/>
                <w:szCs w:val="24"/>
              </w:rPr>
              <w:t>days</w:t>
            </w:r>
            <w:proofErr w:type="spellEnd"/>
            <w:r w:rsidRPr="00FA3F9C">
              <w:rPr>
                <w:rFonts w:ascii="Arial" w:hAnsi="Arial" w:cs="Arial"/>
                <w:sz w:val="24"/>
                <w:szCs w:val="24"/>
              </w:rPr>
              <w:t xml:space="preserve"> supply of any other antipsychotic drug beyond the first 3 weeks of taking Risperdal </w:t>
            </w:r>
            <w:proofErr w:type="spellStart"/>
            <w:r w:rsidRPr="00FA3F9C">
              <w:rPr>
                <w:rFonts w:ascii="Arial" w:hAnsi="Arial" w:cs="Arial"/>
                <w:sz w:val="24"/>
                <w:szCs w:val="24"/>
              </w:rPr>
              <w:t>Consta</w:t>
            </w:r>
            <w:proofErr w:type="spellEnd"/>
            <w:r w:rsidRPr="00FA3F9C">
              <w:rPr>
                <w:rFonts w:ascii="Arial" w:hAnsi="Arial" w:cs="Arial"/>
                <w:sz w:val="24"/>
                <w:szCs w:val="24"/>
              </w:rPr>
              <w:t>.</w:t>
            </w:r>
          </w:p>
        </w:tc>
      </w:tr>
    </w:tbl>
    <w:p w14:paraId="2A2002C3" w14:textId="77777777" w:rsidR="00C3036D" w:rsidRPr="00FA3F9C" w:rsidRDefault="00C3036D" w:rsidP="00857F03">
      <w:pPr>
        <w:rPr>
          <w:rFonts w:ascii="Arial" w:hAnsi="Arial" w:cs="Arial"/>
          <w:sz w:val="24"/>
          <w:szCs w:val="24"/>
        </w:rPr>
      </w:pPr>
    </w:p>
    <w:p w14:paraId="2916C39D" w14:textId="77777777" w:rsidR="00C3036D" w:rsidRPr="00FA3F9C" w:rsidRDefault="00C3036D" w:rsidP="00857F03">
      <w:pPr>
        <w:rPr>
          <w:rFonts w:ascii="Arial" w:hAnsi="Arial" w:cs="Arial"/>
          <w:sz w:val="24"/>
          <w:szCs w:val="24"/>
        </w:rPr>
      </w:pPr>
    </w:p>
    <w:p w14:paraId="695B3087" w14:textId="77777777" w:rsidR="00C3036D" w:rsidRPr="00FA3F9C" w:rsidRDefault="00C3036D" w:rsidP="00857F03">
      <w:pPr>
        <w:rPr>
          <w:rFonts w:ascii="Arial" w:hAnsi="Arial" w:cs="Arial"/>
          <w:sz w:val="24"/>
          <w:szCs w:val="24"/>
        </w:rPr>
      </w:pPr>
      <w:r w:rsidRPr="00FA3F9C">
        <w:rPr>
          <w:rFonts w:ascii="Arial" w:hAnsi="Arial" w:cs="Arial"/>
          <w:sz w:val="24"/>
          <w:szCs w:val="24"/>
        </w:rPr>
        <w:t>Ref:</w:t>
      </w:r>
    </w:p>
    <w:p w14:paraId="6A61AAB8" w14:textId="77777777" w:rsidR="00C3036D" w:rsidRPr="00FA3F9C" w:rsidRDefault="00C3036D" w:rsidP="00857F03">
      <w:pPr>
        <w:rPr>
          <w:rFonts w:ascii="Arial" w:hAnsi="Arial" w:cs="Arial"/>
          <w:sz w:val="24"/>
          <w:szCs w:val="24"/>
        </w:rPr>
      </w:pPr>
      <w:r w:rsidRPr="00FA3F9C">
        <w:rPr>
          <w:rFonts w:ascii="Arial" w:hAnsi="Arial" w:cs="Arial"/>
          <w:sz w:val="24"/>
          <w:szCs w:val="24"/>
        </w:rPr>
        <w:t xml:space="preserve">1.  PI Risperdal </w:t>
      </w:r>
      <w:proofErr w:type="spellStart"/>
      <w:r w:rsidRPr="00FA3F9C">
        <w:rPr>
          <w:rFonts w:ascii="Arial" w:hAnsi="Arial" w:cs="Arial"/>
          <w:sz w:val="24"/>
          <w:szCs w:val="24"/>
        </w:rPr>
        <w:t>Consta</w:t>
      </w:r>
      <w:proofErr w:type="spellEnd"/>
      <w:r w:rsidRPr="00FA3F9C">
        <w:rPr>
          <w:rFonts w:ascii="Arial" w:hAnsi="Arial" w:cs="Arial"/>
          <w:sz w:val="24"/>
          <w:szCs w:val="24"/>
        </w:rPr>
        <w:t>. Accessed 10/30/15.</w:t>
      </w:r>
    </w:p>
    <w:p w14:paraId="3FDF4277" w14:textId="77777777" w:rsidR="00C3036D" w:rsidRPr="00FA3F9C" w:rsidRDefault="00C3036D" w:rsidP="00857F03">
      <w:pPr>
        <w:rPr>
          <w:rFonts w:ascii="Arial" w:hAnsi="Arial" w:cs="Arial"/>
          <w:sz w:val="24"/>
          <w:szCs w:val="24"/>
        </w:rPr>
      </w:pPr>
    </w:p>
    <w:p w14:paraId="73059F1A" w14:textId="77777777" w:rsidR="00C3036D" w:rsidRPr="00FA3F9C" w:rsidRDefault="00C3036D" w:rsidP="00857F03">
      <w:pPr>
        <w:rPr>
          <w:rFonts w:ascii="Arial" w:hAnsi="Arial" w:cs="Arial"/>
          <w:sz w:val="24"/>
          <w:szCs w:val="24"/>
        </w:rPr>
      </w:pPr>
    </w:p>
    <w:p w14:paraId="39B59A69" w14:textId="77777777" w:rsidR="00C3036D" w:rsidRPr="00FA3F9C" w:rsidRDefault="00C3036D" w:rsidP="00857F03">
      <w:pPr>
        <w:rPr>
          <w:rFonts w:ascii="Arial" w:hAnsi="Arial" w:cs="Arial"/>
          <w:sz w:val="24"/>
          <w:szCs w:val="24"/>
        </w:rPr>
      </w:pPr>
    </w:p>
    <w:p w14:paraId="06F192A1" w14:textId="77777777" w:rsidR="00C3036D" w:rsidRPr="00FA3F9C" w:rsidRDefault="00C3036D" w:rsidP="00857F03">
      <w:pPr>
        <w:rPr>
          <w:rFonts w:ascii="Arial" w:hAnsi="Arial" w:cs="Arial"/>
          <w:sz w:val="24"/>
          <w:szCs w:val="24"/>
        </w:rPr>
      </w:pPr>
    </w:p>
    <w:tbl>
      <w:tblPr>
        <w:tblStyle w:val="TableGrid"/>
        <w:tblW w:w="0" w:type="auto"/>
        <w:tblLook w:val="04A0" w:firstRow="1" w:lastRow="0" w:firstColumn="1" w:lastColumn="0" w:noHBand="0" w:noVBand="1"/>
      </w:tblPr>
      <w:tblGrid>
        <w:gridCol w:w="1278"/>
        <w:gridCol w:w="7290"/>
        <w:gridCol w:w="2448"/>
      </w:tblGrid>
      <w:tr w:rsidR="00C3036D" w:rsidRPr="00FA3F9C" w14:paraId="43F50DB3" w14:textId="77777777" w:rsidTr="009F1EDE">
        <w:tc>
          <w:tcPr>
            <w:tcW w:w="1278" w:type="dxa"/>
          </w:tcPr>
          <w:p w14:paraId="7C92CDDA" w14:textId="77777777" w:rsidR="00C3036D" w:rsidRPr="00FA3F9C" w:rsidRDefault="00C3036D" w:rsidP="00857F03">
            <w:pPr>
              <w:rPr>
                <w:rFonts w:ascii="Arial" w:hAnsi="Arial" w:cs="Arial"/>
                <w:sz w:val="24"/>
                <w:szCs w:val="24"/>
              </w:rPr>
            </w:pPr>
            <w:r w:rsidRPr="00FA3F9C">
              <w:rPr>
                <w:rFonts w:ascii="Arial" w:hAnsi="Arial" w:cs="Arial"/>
                <w:sz w:val="24"/>
                <w:szCs w:val="24"/>
              </w:rPr>
              <w:lastRenderedPageBreak/>
              <w:t>Date</w:t>
            </w:r>
          </w:p>
        </w:tc>
        <w:tc>
          <w:tcPr>
            <w:tcW w:w="7290" w:type="dxa"/>
          </w:tcPr>
          <w:p w14:paraId="26F01A36" w14:textId="77777777" w:rsidR="00C3036D" w:rsidRPr="00FA3F9C" w:rsidRDefault="00C3036D" w:rsidP="00857F03">
            <w:pPr>
              <w:rPr>
                <w:rFonts w:ascii="Arial" w:hAnsi="Arial" w:cs="Arial"/>
                <w:sz w:val="24"/>
                <w:szCs w:val="24"/>
              </w:rPr>
            </w:pPr>
            <w:r w:rsidRPr="00FA3F9C">
              <w:rPr>
                <w:rFonts w:ascii="Arial" w:hAnsi="Arial" w:cs="Arial"/>
                <w:sz w:val="24"/>
                <w:szCs w:val="24"/>
              </w:rPr>
              <w:t>What was changed?</w:t>
            </w:r>
          </w:p>
        </w:tc>
        <w:tc>
          <w:tcPr>
            <w:tcW w:w="2448" w:type="dxa"/>
          </w:tcPr>
          <w:p w14:paraId="642A4063" w14:textId="77777777" w:rsidR="00C3036D" w:rsidRPr="00FA3F9C" w:rsidRDefault="00C3036D" w:rsidP="00857F03">
            <w:pPr>
              <w:rPr>
                <w:rFonts w:ascii="Arial" w:hAnsi="Arial" w:cs="Arial"/>
                <w:sz w:val="24"/>
                <w:szCs w:val="24"/>
              </w:rPr>
            </w:pPr>
            <w:r w:rsidRPr="00FA3F9C">
              <w:rPr>
                <w:rFonts w:ascii="Arial" w:hAnsi="Arial" w:cs="Arial"/>
                <w:sz w:val="24"/>
                <w:szCs w:val="24"/>
              </w:rPr>
              <w:t>Pharmacist’s initials</w:t>
            </w:r>
          </w:p>
        </w:tc>
      </w:tr>
      <w:tr w:rsidR="00C3036D" w:rsidRPr="00FA3F9C" w14:paraId="2D37A41C" w14:textId="77777777" w:rsidTr="009F1EDE">
        <w:tc>
          <w:tcPr>
            <w:tcW w:w="1278" w:type="dxa"/>
          </w:tcPr>
          <w:p w14:paraId="2B1B6FE9" w14:textId="77777777" w:rsidR="00C3036D" w:rsidRPr="00FA3F9C" w:rsidRDefault="00C3036D" w:rsidP="00BC10D6">
            <w:pPr>
              <w:rPr>
                <w:rFonts w:ascii="Arial" w:hAnsi="Arial" w:cs="Arial"/>
                <w:sz w:val="24"/>
                <w:szCs w:val="24"/>
              </w:rPr>
            </w:pPr>
            <w:r w:rsidRPr="00FA3F9C">
              <w:rPr>
                <w:rFonts w:ascii="Arial" w:hAnsi="Arial" w:cs="Arial"/>
                <w:sz w:val="24"/>
                <w:szCs w:val="24"/>
              </w:rPr>
              <w:t>10/30/15</w:t>
            </w:r>
          </w:p>
        </w:tc>
        <w:tc>
          <w:tcPr>
            <w:tcW w:w="7290" w:type="dxa"/>
          </w:tcPr>
          <w:p w14:paraId="56A0F5FD" w14:textId="77777777" w:rsidR="00C3036D" w:rsidRPr="00FA3F9C" w:rsidRDefault="00C3036D" w:rsidP="00857F03">
            <w:pPr>
              <w:rPr>
                <w:rFonts w:ascii="Arial" w:hAnsi="Arial" w:cs="Arial"/>
                <w:sz w:val="24"/>
                <w:szCs w:val="24"/>
              </w:rPr>
            </w:pPr>
            <w:r w:rsidRPr="00FA3F9C">
              <w:rPr>
                <w:rFonts w:ascii="Arial" w:hAnsi="Arial" w:cs="Arial"/>
                <w:sz w:val="24"/>
                <w:szCs w:val="24"/>
              </w:rPr>
              <w:t>I wrote the criteria.</w:t>
            </w:r>
          </w:p>
        </w:tc>
        <w:tc>
          <w:tcPr>
            <w:tcW w:w="2448" w:type="dxa"/>
          </w:tcPr>
          <w:p w14:paraId="7809DB86" w14:textId="4C77FA1F" w:rsidR="00C3036D" w:rsidRPr="00FA3F9C" w:rsidRDefault="005C142D" w:rsidP="00857F03">
            <w:pPr>
              <w:rPr>
                <w:rFonts w:ascii="Arial" w:hAnsi="Arial" w:cs="Arial"/>
                <w:sz w:val="24"/>
                <w:szCs w:val="24"/>
              </w:rPr>
            </w:pPr>
            <w:r w:rsidRPr="00FA3F9C">
              <w:rPr>
                <w:rFonts w:ascii="Arial" w:hAnsi="Arial" w:cs="Arial"/>
                <w:sz w:val="24"/>
                <w:szCs w:val="24"/>
              </w:rPr>
              <w:t>JJ</w:t>
            </w:r>
          </w:p>
        </w:tc>
      </w:tr>
      <w:tr w:rsidR="00C3036D" w:rsidRPr="00FA3F9C" w14:paraId="256C2EB8" w14:textId="77777777" w:rsidTr="009F1EDE">
        <w:tc>
          <w:tcPr>
            <w:tcW w:w="1278" w:type="dxa"/>
          </w:tcPr>
          <w:p w14:paraId="4A9F8689" w14:textId="77777777" w:rsidR="00C3036D" w:rsidRPr="00FA3F9C" w:rsidRDefault="00C3036D" w:rsidP="00857F03">
            <w:pPr>
              <w:rPr>
                <w:rFonts w:ascii="Arial" w:hAnsi="Arial" w:cs="Arial"/>
                <w:sz w:val="24"/>
                <w:szCs w:val="24"/>
              </w:rPr>
            </w:pPr>
          </w:p>
        </w:tc>
        <w:tc>
          <w:tcPr>
            <w:tcW w:w="7290" w:type="dxa"/>
          </w:tcPr>
          <w:p w14:paraId="64F910BB" w14:textId="77777777" w:rsidR="00C3036D" w:rsidRPr="00FA3F9C" w:rsidRDefault="00C3036D" w:rsidP="00857F03">
            <w:pPr>
              <w:rPr>
                <w:rFonts w:ascii="Arial" w:hAnsi="Arial" w:cs="Arial"/>
                <w:sz w:val="24"/>
                <w:szCs w:val="24"/>
              </w:rPr>
            </w:pPr>
          </w:p>
        </w:tc>
        <w:tc>
          <w:tcPr>
            <w:tcW w:w="2448" w:type="dxa"/>
          </w:tcPr>
          <w:p w14:paraId="4203C367" w14:textId="77777777" w:rsidR="00C3036D" w:rsidRPr="00FA3F9C" w:rsidRDefault="00C3036D" w:rsidP="00857F03">
            <w:pPr>
              <w:rPr>
                <w:rFonts w:ascii="Arial" w:hAnsi="Arial" w:cs="Arial"/>
                <w:sz w:val="24"/>
                <w:szCs w:val="24"/>
              </w:rPr>
            </w:pPr>
          </w:p>
        </w:tc>
      </w:tr>
    </w:tbl>
    <w:p w14:paraId="42491CB0" w14:textId="77777777" w:rsidR="00C3036D" w:rsidRPr="00FA3F9C" w:rsidRDefault="00C3036D" w:rsidP="00857F03">
      <w:pPr>
        <w:rPr>
          <w:rFonts w:ascii="Arial" w:hAnsi="Arial" w:cs="Arial"/>
          <w:sz w:val="24"/>
          <w:szCs w:val="24"/>
        </w:rPr>
      </w:pPr>
    </w:p>
    <w:p w14:paraId="09DE6F99" w14:textId="77777777" w:rsidR="00C3036D" w:rsidRPr="00FA3F9C" w:rsidRDefault="00C3036D" w:rsidP="00857F03">
      <w:pPr>
        <w:rPr>
          <w:rFonts w:ascii="Arial" w:hAnsi="Arial" w:cs="Arial"/>
          <w:sz w:val="24"/>
          <w:szCs w:val="24"/>
        </w:rPr>
      </w:pPr>
      <w:r w:rsidRPr="00FA3F9C">
        <w:rPr>
          <w:rFonts w:ascii="Arial" w:hAnsi="Arial" w:cs="Arial"/>
          <w:sz w:val="24"/>
          <w:szCs w:val="24"/>
        </w:rPr>
        <w:t>References</w:t>
      </w:r>
    </w:p>
    <w:p w14:paraId="356BE406" w14:textId="77777777" w:rsidR="00C3036D" w:rsidRPr="00FA3F9C" w:rsidRDefault="00C3036D" w:rsidP="00857F03">
      <w:pPr>
        <w:rPr>
          <w:rFonts w:ascii="Arial" w:hAnsi="Arial" w:cs="Arial"/>
          <w:sz w:val="24"/>
          <w:szCs w:val="24"/>
        </w:rPr>
      </w:pPr>
      <w:r w:rsidRPr="00FA3F9C">
        <w:rPr>
          <w:rFonts w:ascii="Arial" w:hAnsi="Arial" w:cs="Arial"/>
          <w:sz w:val="24"/>
          <w:szCs w:val="24"/>
        </w:rPr>
        <w:t xml:space="preserve">1.  PI, Risperdal </w:t>
      </w:r>
      <w:proofErr w:type="spellStart"/>
      <w:r w:rsidRPr="00FA3F9C">
        <w:rPr>
          <w:rFonts w:ascii="Arial" w:hAnsi="Arial" w:cs="Arial"/>
          <w:sz w:val="24"/>
          <w:szCs w:val="24"/>
        </w:rPr>
        <w:t>Consta</w:t>
      </w:r>
      <w:proofErr w:type="spellEnd"/>
      <w:r w:rsidRPr="00FA3F9C">
        <w:rPr>
          <w:rFonts w:ascii="Arial" w:hAnsi="Arial" w:cs="Arial"/>
          <w:sz w:val="24"/>
          <w:szCs w:val="24"/>
        </w:rPr>
        <w:t>. Accessed 10/29/15.</w:t>
      </w:r>
    </w:p>
    <w:p w14:paraId="071790CD" w14:textId="77777777" w:rsidR="00C3036D" w:rsidRPr="00FA3F9C" w:rsidRDefault="00C3036D">
      <w:pPr>
        <w:rPr>
          <w:rFonts w:ascii="Arial" w:hAnsi="Arial" w:cs="Arial"/>
          <w:sz w:val="24"/>
          <w:szCs w:val="24"/>
        </w:rPr>
      </w:pPr>
    </w:p>
    <w:p w14:paraId="6EE6C92E" w14:textId="77777777" w:rsidR="00C3036D" w:rsidRPr="00FA3F9C" w:rsidRDefault="00C3036D" w:rsidP="002B2097">
      <w:pPr>
        <w:pStyle w:val="Heading2"/>
      </w:pPr>
      <w:bookmarkStart w:id="291" w:name="_Toc106369915"/>
      <w:proofErr w:type="spellStart"/>
      <w:r w:rsidRPr="00FA3F9C">
        <w:t>Rotigotine</w:t>
      </w:r>
      <w:proofErr w:type="spellEnd"/>
      <w:r w:rsidRPr="00FA3F9C">
        <w:t xml:space="preserve"> (</w:t>
      </w:r>
      <w:proofErr w:type="spellStart"/>
      <w:r w:rsidRPr="00FA3F9C">
        <w:t>Neupro</w:t>
      </w:r>
      <w:proofErr w:type="spellEnd"/>
      <w:r w:rsidRPr="00FA3F9C">
        <w:t>)</w:t>
      </w:r>
      <w:bookmarkEnd w:id="291"/>
    </w:p>
    <w:p w14:paraId="26C0E56C" w14:textId="77777777" w:rsidR="00C3036D" w:rsidRPr="00FA3F9C" w:rsidRDefault="00C3036D" w:rsidP="006F623F">
      <w:pPr>
        <w:spacing w:after="0"/>
        <w:jc w:val="center"/>
        <w:rPr>
          <w:rFonts w:ascii="Arial" w:hAnsi="Arial" w:cs="Arial"/>
          <w:sz w:val="24"/>
          <w:szCs w:val="24"/>
        </w:rPr>
      </w:pPr>
      <w:r w:rsidRPr="00FA3F9C">
        <w:rPr>
          <w:rFonts w:ascii="Arial" w:hAnsi="Arial" w:cs="Arial"/>
          <w:sz w:val="24"/>
          <w:szCs w:val="24"/>
        </w:rPr>
        <w:t>EBRx PA Criteria</w:t>
      </w:r>
    </w:p>
    <w:p w14:paraId="512E2671" w14:textId="77777777" w:rsidR="00C3036D" w:rsidRPr="00FA3F9C" w:rsidRDefault="00C3036D" w:rsidP="006F623F">
      <w:pPr>
        <w:spacing w:after="0"/>
        <w:rPr>
          <w:rFonts w:ascii="Arial" w:hAnsi="Arial" w:cs="Arial"/>
          <w:b/>
          <w:sz w:val="24"/>
          <w:szCs w:val="24"/>
          <w:u w:val="single"/>
        </w:rPr>
      </w:pPr>
    </w:p>
    <w:p w14:paraId="72859E74" w14:textId="77777777" w:rsidR="00C3036D" w:rsidRPr="00FA3F9C" w:rsidRDefault="00C3036D" w:rsidP="00552C13">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w:t>
      </w:r>
    </w:p>
    <w:p w14:paraId="0B1CCD71" w14:textId="77777777" w:rsidR="00C3036D" w:rsidRPr="00FA3F9C" w:rsidRDefault="00C3036D" w:rsidP="00FC1E85">
      <w:pPr>
        <w:pStyle w:val="ListParagraph"/>
        <w:numPr>
          <w:ilvl w:val="0"/>
          <w:numId w:val="452"/>
        </w:numPr>
        <w:spacing w:after="0" w:line="276" w:lineRule="auto"/>
        <w:rPr>
          <w:rFonts w:ascii="Arial" w:hAnsi="Arial" w:cs="Arial"/>
          <w:sz w:val="24"/>
          <w:szCs w:val="24"/>
        </w:rPr>
      </w:pPr>
      <w:r w:rsidRPr="00FA3F9C">
        <w:rPr>
          <w:rFonts w:ascii="Arial" w:hAnsi="Arial" w:cs="Arial"/>
          <w:sz w:val="24"/>
          <w:szCs w:val="24"/>
        </w:rPr>
        <w:t>the treatment of Parkinson disease.</w:t>
      </w:r>
    </w:p>
    <w:p w14:paraId="6B0220EB" w14:textId="77777777" w:rsidR="00C3036D" w:rsidRPr="00FA3F9C" w:rsidRDefault="00C3036D" w:rsidP="00FC1E85">
      <w:pPr>
        <w:pStyle w:val="ListParagraph"/>
        <w:numPr>
          <w:ilvl w:val="0"/>
          <w:numId w:val="452"/>
        </w:numPr>
        <w:spacing w:after="0" w:line="276" w:lineRule="auto"/>
        <w:rPr>
          <w:rFonts w:ascii="Arial" w:hAnsi="Arial" w:cs="Arial"/>
          <w:sz w:val="24"/>
          <w:szCs w:val="24"/>
        </w:rPr>
      </w:pPr>
      <w:r w:rsidRPr="00FA3F9C">
        <w:rPr>
          <w:rFonts w:ascii="Arial" w:hAnsi="Arial" w:cs="Arial"/>
          <w:sz w:val="24"/>
          <w:szCs w:val="24"/>
        </w:rPr>
        <w:t>The treatment of moderate to severe primary restless legs syndrome</w:t>
      </w:r>
    </w:p>
    <w:tbl>
      <w:tblPr>
        <w:tblStyle w:val="TableGrid"/>
        <w:tblW w:w="0" w:type="auto"/>
        <w:tblLook w:val="04A0" w:firstRow="1" w:lastRow="0" w:firstColumn="1" w:lastColumn="0" w:noHBand="0" w:noVBand="1"/>
      </w:tblPr>
      <w:tblGrid>
        <w:gridCol w:w="8928"/>
        <w:gridCol w:w="2088"/>
      </w:tblGrid>
      <w:tr w:rsidR="00C3036D" w:rsidRPr="00FA3F9C" w14:paraId="047A8B95" w14:textId="77777777" w:rsidTr="00571CAB">
        <w:tc>
          <w:tcPr>
            <w:tcW w:w="8928" w:type="dxa"/>
            <w:shd w:val="clear" w:color="auto" w:fill="000000"/>
          </w:tcPr>
          <w:p w14:paraId="4BB5D267" w14:textId="77777777" w:rsidR="00C3036D" w:rsidRPr="00FA3F9C" w:rsidRDefault="00C3036D"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88" w:type="dxa"/>
            <w:shd w:val="clear" w:color="auto" w:fill="000000"/>
          </w:tcPr>
          <w:p w14:paraId="19559D26" w14:textId="77777777" w:rsidR="00C3036D" w:rsidRPr="00FA3F9C" w:rsidRDefault="00C3036D" w:rsidP="006F623F">
            <w:pPr>
              <w:jc w:val="center"/>
              <w:rPr>
                <w:rFonts w:ascii="Arial" w:hAnsi="Arial" w:cs="Arial"/>
                <w:b/>
                <w:sz w:val="24"/>
                <w:szCs w:val="24"/>
                <w:u w:val="single"/>
              </w:rPr>
            </w:pPr>
          </w:p>
        </w:tc>
      </w:tr>
      <w:tr w:rsidR="00C3036D" w:rsidRPr="00FA3F9C" w14:paraId="5AA406A7" w14:textId="77777777" w:rsidTr="00F337AE">
        <w:tc>
          <w:tcPr>
            <w:tcW w:w="11016" w:type="dxa"/>
            <w:gridSpan w:val="2"/>
          </w:tcPr>
          <w:p w14:paraId="6C497F42" w14:textId="77777777" w:rsidR="00C3036D" w:rsidRPr="00FA3F9C" w:rsidRDefault="00C3036D" w:rsidP="006F623F">
            <w:pPr>
              <w:rPr>
                <w:rFonts w:ascii="Arial" w:hAnsi="Arial" w:cs="Arial"/>
                <w:sz w:val="24"/>
                <w:szCs w:val="24"/>
              </w:rPr>
            </w:pPr>
            <w:r w:rsidRPr="00FA3F9C">
              <w:rPr>
                <w:rFonts w:ascii="Arial" w:hAnsi="Arial" w:cs="Arial"/>
                <w:sz w:val="24"/>
                <w:szCs w:val="24"/>
              </w:rPr>
              <w:t>1. The patient must have the diagnosis of Parkinson disease.</w:t>
            </w:r>
          </w:p>
        </w:tc>
      </w:tr>
      <w:tr w:rsidR="00C3036D" w:rsidRPr="00FA3F9C" w14:paraId="575040C1" w14:textId="77777777" w:rsidTr="00B1617E">
        <w:tc>
          <w:tcPr>
            <w:tcW w:w="11016" w:type="dxa"/>
            <w:gridSpan w:val="2"/>
          </w:tcPr>
          <w:p w14:paraId="61A02249" w14:textId="77777777" w:rsidR="00C3036D" w:rsidRPr="00FA3F9C" w:rsidRDefault="00C3036D" w:rsidP="006F623F">
            <w:pPr>
              <w:rPr>
                <w:rFonts w:ascii="Arial" w:hAnsi="Arial" w:cs="Arial"/>
                <w:sz w:val="24"/>
                <w:szCs w:val="24"/>
              </w:rPr>
            </w:pPr>
            <w:r w:rsidRPr="00FA3F9C">
              <w:rPr>
                <w:rFonts w:ascii="Arial" w:hAnsi="Arial" w:cs="Arial"/>
                <w:sz w:val="24"/>
                <w:szCs w:val="24"/>
              </w:rPr>
              <w:t xml:space="preserve">2. The patient must have </w:t>
            </w:r>
            <w:proofErr w:type="gramStart"/>
            <w:r w:rsidRPr="00FA3F9C">
              <w:rPr>
                <w:rFonts w:ascii="Arial" w:hAnsi="Arial" w:cs="Arial"/>
                <w:sz w:val="24"/>
                <w:szCs w:val="24"/>
              </w:rPr>
              <w:t>be</w:t>
            </w:r>
            <w:proofErr w:type="gramEnd"/>
            <w:r w:rsidRPr="00FA3F9C">
              <w:rPr>
                <w:rFonts w:ascii="Arial" w:hAnsi="Arial" w:cs="Arial"/>
                <w:sz w:val="24"/>
                <w:szCs w:val="24"/>
              </w:rPr>
              <w:t xml:space="preserve"> unable to take pramipexole or have failed to get desired effect.</w:t>
            </w:r>
          </w:p>
        </w:tc>
      </w:tr>
      <w:tr w:rsidR="00C3036D" w:rsidRPr="00FA3F9C" w14:paraId="3D7BC9AC" w14:textId="77777777" w:rsidTr="0010789D">
        <w:tc>
          <w:tcPr>
            <w:tcW w:w="11016" w:type="dxa"/>
            <w:gridSpan w:val="2"/>
          </w:tcPr>
          <w:p w14:paraId="3CD11E14" w14:textId="77777777" w:rsidR="00C3036D" w:rsidRPr="00FA3F9C" w:rsidRDefault="00C3036D" w:rsidP="006F623F">
            <w:pPr>
              <w:rPr>
                <w:rFonts w:ascii="Arial" w:hAnsi="Arial" w:cs="Arial"/>
                <w:sz w:val="24"/>
                <w:szCs w:val="24"/>
              </w:rPr>
            </w:pPr>
            <w:r w:rsidRPr="00FA3F9C">
              <w:rPr>
                <w:rFonts w:ascii="Arial" w:hAnsi="Arial" w:cs="Arial"/>
                <w:sz w:val="24"/>
                <w:szCs w:val="24"/>
              </w:rPr>
              <w:t>3. The patient must be taking or be unable to take oral levodopa.</w:t>
            </w:r>
          </w:p>
        </w:tc>
      </w:tr>
      <w:tr w:rsidR="00C3036D" w:rsidRPr="00FA3F9C" w14:paraId="5101DAA8" w14:textId="77777777" w:rsidTr="00DA57E0">
        <w:tc>
          <w:tcPr>
            <w:tcW w:w="11016" w:type="dxa"/>
            <w:gridSpan w:val="2"/>
          </w:tcPr>
          <w:p w14:paraId="50F48E3F" w14:textId="77777777" w:rsidR="00C3036D" w:rsidRPr="00FA3F9C" w:rsidRDefault="00C3036D" w:rsidP="006F623F">
            <w:pPr>
              <w:rPr>
                <w:rFonts w:ascii="Arial" w:hAnsi="Arial" w:cs="Arial"/>
                <w:sz w:val="24"/>
                <w:szCs w:val="24"/>
              </w:rPr>
            </w:pPr>
          </w:p>
        </w:tc>
      </w:tr>
    </w:tbl>
    <w:p w14:paraId="4F2E3BB8" w14:textId="77777777" w:rsidR="00C3036D" w:rsidRPr="00FA3F9C" w:rsidRDefault="00C3036D" w:rsidP="006F623F">
      <w:pPr>
        <w:spacing w:after="0"/>
        <w:rPr>
          <w:rFonts w:ascii="Arial" w:hAnsi="Arial" w:cs="Arial"/>
          <w:b/>
          <w:sz w:val="24"/>
          <w:szCs w:val="24"/>
          <w:u w:val="single"/>
        </w:rPr>
      </w:pPr>
    </w:p>
    <w:p w14:paraId="3BB5CFC5" w14:textId="77777777" w:rsidR="00C3036D" w:rsidRPr="00FA3F9C" w:rsidRDefault="00C3036D" w:rsidP="006F623F">
      <w:pPr>
        <w:spacing w:after="0"/>
        <w:rPr>
          <w:rFonts w:ascii="Arial" w:hAnsi="Arial" w:cs="Arial"/>
          <w:b/>
          <w:sz w:val="24"/>
          <w:szCs w:val="24"/>
          <w:u w:val="single"/>
        </w:rPr>
      </w:pPr>
      <w:r w:rsidRPr="00FA3F9C">
        <w:rPr>
          <w:rFonts w:ascii="Arial" w:hAnsi="Arial" w:cs="Arial"/>
          <w:b/>
          <w:sz w:val="24"/>
          <w:szCs w:val="24"/>
          <w:u w:val="single"/>
        </w:rPr>
        <w:t>QL: 1 patch per day; 30/30</w:t>
      </w:r>
    </w:p>
    <w:tbl>
      <w:tblPr>
        <w:tblStyle w:val="TableGrid"/>
        <w:tblW w:w="0" w:type="auto"/>
        <w:shd w:val="clear" w:color="auto" w:fill="BFBFBF" w:themeFill="background1" w:themeFillShade="BF"/>
        <w:tblLook w:val="04A0" w:firstRow="1" w:lastRow="0" w:firstColumn="1" w:lastColumn="0" w:noHBand="0" w:noVBand="1"/>
      </w:tblPr>
      <w:tblGrid>
        <w:gridCol w:w="10998"/>
      </w:tblGrid>
      <w:tr w:rsidR="00C3036D" w:rsidRPr="00FA3F9C" w14:paraId="4FA377A9" w14:textId="77777777" w:rsidTr="00D82B6E">
        <w:tc>
          <w:tcPr>
            <w:tcW w:w="10998" w:type="dxa"/>
            <w:shd w:val="clear" w:color="auto" w:fill="BFBFBF" w:themeFill="background1" w:themeFillShade="BF"/>
          </w:tcPr>
          <w:p w14:paraId="48F08ECF" w14:textId="77777777" w:rsidR="00C3036D" w:rsidRPr="00FA3F9C" w:rsidRDefault="00C3036D" w:rsidP="00D82B6E">
            <w:pPr>
              <w:rPr>
                <w:rFonts w:ascii="Arial" w:hAnsi="Arial" w:cs="Arial"/>
                <w:sz w:val="24"/>
                <w:szCs w:val="24"/>
              </w:rPr>
            </w:pPr>
            <w:r w:rsidRPr="00FA3F9C">
              <w:rPr>
                <w:rFonts w:ascii="Arial" w:hAnsi="Arial" w:cs="Arial"/>
                <w:sz w:val="24"/>
                <w:szCs w:val="24"/>
              </w:rPr>
              <w:t xml:space="preserve">Note: </w:t>
            </w:r>
          </w:p>
        </w:tc>
      </w:tr>
    </w:tbl>
    <w:p w14:paraId="4D326DC7" w14:textId="77777777" w:rsidR="00C3036D" w:rsidRPr="00FA3F9C" w:rsidRDefault="00C3036D" w:rsidP="006F623F">
      <w:pPr>
        <w:spacing w:after="0"/>
        <w:rPr>
          <w:rFonts w:ascii="Arial" w:hAnsi="Arial" w:cs="Arial"/>
          <w:sz w:val="24"/>
          <w:szCs w:val="24"/>
        </w:rPr>
      </w:pPr>
    </w:p>
    <w:p w14:paraId="22AA4DE7" w14:textId="77777777" w:rsidR="00C3036D" w:rsidRPr="00FA3F9C" w:rsidRDefault="00C3036D" w:rsidP="006F623F">
      <w:pPr>
        <w:spacing w:after="0"/>
        <w:rPr>
          <w:rFonts w:ascii="Arial" w:hAnsi="Arial" w:cs="Arial"/>
          <w:sz w:val="24"/>
          <w:szCs w:val="24"/>
        </w:rPr>
      </w:pPr>
    </w:p>
    <w:p w14:paraId="7A7B4BE4" w14:textId="77777777" w:rsidR="00C3036D" w:rsidRPr="00FA3F9C" w:rsidRDefault="00C3036D" w:rsidP="006C3025">
      <w:pPr>
        <w:spacing w:after="0"/>
        <w:rPr>
          <w:rFonts w:ascii="Arial" w:hAnsi="Arial" w:cs="Arial"/>
          <w:sz w:val="24"/>
          <w:szCs w:val="24"/>
        </w:rPr>
      </w:pPr>
      <w:r w:rsidRPr="00FA3F9C">
        <w:rPr>
          <w:rFonts w:ascii="Arial" w:hAnsi="Arial" w:cs="Arial"/>
          <w:sz w:val="24"/>
          <w:szCs w:val="24"/>
        </w:rPr>
        <w:t>References:</w:t>
      </w:r>
    </w:p>
    <w:p w14:paraId="671B53C6" w14:textId="77777777" w:rsidR="00C3036D" w:rsidRPr="00FA3F9C" w:rsidRDefault="00C3036D" w:rsidP="006C3025">
      <w:pPr>
        <w:spacing w:after="0"/>
        <w:rPr>
          <w:rFonts w:ascii="Arial" w:eastAsia="Times New Roman" w:hAnsi="Arial" w:cs="Arial"/>
          <w:color w:val="222222"/>
          <w:sz w:val="24"/>
          <w:szCs w:val="24"/>
          <w:shd w:val="clear" w:color="auto" w:fill="F8F8F8"/>
        </w:rPr>
      </w:pPr>
      <w:r w:rsidRPr="00FA3F9C">
        <w:rPr>
          <w:rFonts w:ascii="Arial" w:hAnsi="Arial" w:cs="Arial"/>
          <w:sz w:val="24"/>
          <w:szCs w:val="24"/>
          <w:lang w:val="fr-FR"/>
        </w:rPr>
        <w:t xml:space="preserve">1. </w:t>
      </w:r>
      <w:r w:rsidRPr="00FA3F9C">
        <w:rPr>
          <w:rFonts w:ascii="Arial" w:eastAsia="Times New Roman" w:hAnsi="Arial" w:cs="Arial"/>
          <w:color w:val="222222"/>
          <w:sz w:val="24"/>
          <w:szCs w:val="24"/>
          <w:shd w:val="clear" w:color="auto" w:fill="F8F8F8"/>
          <w:lang w:val="fr-FR"/>
        </w:rPr>
        <w:t xml:space="preserve">Kim, Jong-Min, et al. </w:t>
      </w:r>
      <w:r w:rsidRPr="00FA3F9C">
        <w:rPr>
          <w:rFonts w:ascii="Arial" w:eastAsia="Times New Roman" w:hAnsi="Arial" w:cs="Arial"/>
          <w:color w:val="222222"/>
          <w:sz w:val="24"/>
          <w:szCs w:val="24"/>
          <w:shd w:val="clear" w:color="auto" w:fill="F8F8F8"/>
        </w:rPr>
        <w:t>"</w:t>
      </w:r>
      <w:proofErr w:type="spellStart"/>
      <w:r w:rsidRPr="00FA3F9C">
        <w:rPr>
          <w:rFonts w:ascii="Arial" w:eastAsia="Times New Roman" w:hAnsi="Arial" w:cs="Arial"/>
          <w:color w:val="222222"/>
          <w:sz w:val="24"/>
          <w:szCs w:val="24"/>
          <w:shd w:val="clear" w:color="auto" w:fill="F8F8F8"/>
        </w:rPr>
        <w:t>Rotigotine</w:t>
      </w:r>
      <w:proofErr w:type="spellEnd"/>
      <w:r w:rsidRPr="00FA3F9C">
        <w:rPr>
          <w:rFonts w:ascii="Arial" w:eastAsia="Times New Roman" w:hAnsi="Arial" w:cs="Arial"/>
          <w:color w:val="222222"/>
          <w:sz w:val="24"/>
          <w:szCs w:val="24"/>
          <w:shd w:val="clear" w:color="auto" w:fill="F8F8F8"/>
        </w:rPr>
        <w:t xml:space="preserve"> transdermal system as add-on to oral dopamine agonist in advanced Parkinson’s disease: an open-label study." </w:t>
      </w:r>
      <w:r w:rsidRPr="00FA3F9C">
        <w:rPr>
          <w:rFonts w:ascii="Arial" w:eastAsia="Times New Roman" w:hAnsi="Arial" w:cs="Arial"/>
          <w:i/>
          <w:iCs/>
          <w:color w:val="222222"/>
          <w:sz w:val="24"/>
          <w:szCs w:val="24"/>
          <w:shd w:val="clear" w:color="auto" w:fill="F8F8F8"/>
        </w:rPr>
        <w:t>BMC neurology</w:t>
      </w:r>
      <w:r w:rsidRPr="00FA3F9C">
        <w:rPr>
          <w:rFonts w:ascii="Arial" w:eastAsia="Times New Roman" w:hAnsi="Arial" w:cs="Arial"/>
          <w:color w:val="222222"/>
          <w:sz w:val="24"/>
          <w:szCs w:val="24"/>
          <w:shd w:val="clear" w:color="auto" w:fill="F8F8F8"/>
        </w:rPr>
        <w:t> 15.1 (2015): 17.</w:t>
      </w:r>
    </w:p>
    <w:p w14:paraId="1E69CD24" w14:textId="77777777" w:rsidR="00C3036D" w:rsidRPr="00FA3F9C" w:rsidRDefault="00C3036D" w:rsidP="006C3025">
      <w:pPr>
        <w:spacing w:after="0"/>
        <w:rPr>
          <w:rFonts w:ascii="Arial" w:eastAsia="Times New Roman" w:hAnsi="Arial" w:cs="Arial"/>
          <w:sz w:val="24"/>
          <w:szCs w:val="24"/>
        </w:rPr>
      </w:pPr>
      <w:r w:rsidRPr="00FA3F9C">
        <w:rPr>
          <w:rFonts w:ascii="Arial" w:eastAsia="Times New Roman" w:hAnsi="Arial" w:cs="Arial"/>
          <w:sz w:val="24"/>
          <w:szCs w:val="24"/>
        </w:rPr>
        <w:t xml:space="preserve">2. </w:t>
      </w:r>
      <w:proofErr w:type="spellStart"/>
      <w:r w:rsidRPr="00FA3F9C">
        <w:rPr>
          <w:rFonts w:ascii="Arial" w:eastAsia="Times New Roman" w:hAnsi="Arial" w:cs="Arial"/>
          <w:color w:val="222222"/>
          <w:sz w:val="24"/>
          <w:szCs w:val="24"/>
          <w:shd w:val="clear" w:color="auto" w:fill="F8F8F8"/>
        </w:rPr>
        <w:t>Poewe</w:t>
      </w:r>
      <w:proofErr w:type="spellEnd"/>
      <w:r w:rsidRPr="00FA3F9C">
        <w:rPr>
          <w:rFonts w:ascii="Arial" w:eastAsia="Times New Roman" w:hAnsi="Arial" w:cs="Arial"/>
          <w:color w:val="222222"/>
          <w:sz w:val="24"/>
          <w:szCs w:val="24"/>
          <w:shd w:val="clear" w:color="auto" w:fill="F8F8F8"/>
        </w:rPr>
        <w:t xml:space="preserve">, Werner H., et al. "Efficacy of pramipexole and transdermal </w:t>
      </w:r>
      <w:proofErr w:type="spellStart"/>
      <w:r w:rsidRPr="00FA3F9C">
        <w:rPr>
          <w:rFonts w:ascii="Arial" w:eastAsia="Times New Roman" w:hAnsi="Arial" w:cs="Arial"/>
          <w:color w:val="222222"/>
          <w:sz w:val="24"/>
          <w:szCs w:val="24"/>
          <w:shd w:val="clear" w:color="auto" w:fill="F8F8F8"/>
        </w:rPr>
        <w:t>rotigotine</w:t>
      </w:r>
      <w:proofErr w:type="spellEnd"/>
      <w:r w:rsidRPr="00FA3F9C">
        <w:rPr>
          <w:rFonts w:ascii="Arial" w:eastAsia="Times New Roman" w:hAnsi="Arial" w:cs="Arial"/>
          <w:color w:val="222222"/>
          <w:sz w:val="24"/>
          <w:szCs w:val="24"/>
          <w:shd w:val="clear" w:color="auto" w:fill="F8F8F8"/>
        </w:rPr>
        <w:t xml:space="preserve"> in advanced Parkinson's disease: a double-blind, double-dummy, </w:t>
      </w:r>
      <w:proofErr w:type="spellStart"/>
      <w:r w:rsidRPr="00FA3F9C">
        <w:rPr>
          <w:rFonts w:ascii="Arial" w:eastAsia="Times New Roman" w:hAnsi="Arial" w:cs="Arial"/>
          <w:color w:val="222222"/>
          <w:sz w:val="24"/>
          <w:szCs w:val="24"/>
          <w:shd w:val="clear" w:color="auto" w:fill="F8F8F8"/>
        </w:rPr>
        <w:t>randomised</w:t>
      </w:r>
      <w:proofErr w:type="spellEnd"/>
      <w:r w:rsidRPr="00FA3F9C">
        <w:rPr>
          <w:rFonts w:ascii="Arial" w:eastAsia="Times New Roman" w:hAnsi="Arial" w:cs="Arial"/>
          <w:color w:val="222222"/>
          <w:sz w:val="24"/>
          <w:szCs w:val="24"/>
          <w:shd w:val="clear" w:color="auto" w:fill="F8F8F8"/>
        </w:rPr>
        <w:t xml:space="preserve"> controlled trial." </w:t>
      </w:r>
      <w:r w:rsidRPr="00FA3F9C">
        <w:rPr>
          <w:rFonts w:ascii="Arial" w:eastAsia="Times New Roman" w:hAnsi="Arial" w:cs="Arial"/>
          <w:i/>
          <w:iCs/>
          <w:color w:val="222222"/>
          <w:sz w:val="24"/>
          <w:szCs w:val="24"/>
          <w:shd w:val="clear" w:color="auto" w:fill="F8F8F8"/>
        </w:rPr>
        <w:t>The Lancet Neurology</w:t>
      </w:r>
      <w:r w:rsidRPr="00FA3F9C">
        <w:rPr>
          <w:rFonts w:ascii="Arial" w:eastAsia="Times New Roman" w:hAnsi="Arial" w:cs="Arial"/>
          <w:color w:val="222222"/>
          <w:sz w:val="24"/>
          <w:szCs w:val="24"/>
          <w:shd w:val="clear" w:color="auto" w:fill="F8F8F8"/>
        </w:rPr>
        <w:t> 6.6 (2007): 513-520.</w:t>
      </w:r>
    </w:p>
    <w:p w14:paraId="5BEF9B5E" w14:textId="77777777" w:rsidR="00C3036D" w:rsidRPr="00FA3F9C" w:rsidRDefault="00C3036D" w:rsidP="006C3025">
      <w:pPr>
        <w:spacing w:after="0"/>
        <w:rPr>
          <w:rFonts w:ascii="Arial" w:eastAsia="Times New Roman" w:hAnsi="Arial" w:cs="Arial"/>
          <w:sz w:val="24"/>
          <w:szCs w:val="24"/>
        </w:rPr>
      </w:pPr>
    </w:p>
    <w:p w14:paraId="12285552" w14:textId="77777777" w:rsidR="00C3036D" w:rsidRPr="00FA3F9C" w:rsidRDefault="00C3036D" w:rsidP="006F623F">
      <w:pPr>
        <w:spacing w:after="0"/>
        <w:rPr>
          <w:rFonts w:ascii="Arial" w:hAnsi="Arial" w:cs="Arial"/>
          <w:sz w:val="24"/>
          <w:szCs w:val="24"/>
        </w:rPr>
      </w:pPr>
    </w:p>
    <w:p w14:paraId="305DDB0B" w14:textId="77777777" w:rsidR="00C3036D" w:rsidRPr="00FA3F9C" w:rsidRDefault="00C3036D" w:rsidP="006F623F">
      <w:pPr>
        <w:spacing w:after="0"/>
        <w:rPr>
          <w:rFonts w:ascii="Arial" w:hAnsi="Arial" w:cs="Arial"/>
          <w:sz w:val="24"/>
          <w:szCs w:val="24"/>
        </w:rPr>
      </w:pPr>
    </w:p>
    <w:p w14:paraId="1BA90DF0" w14:textId="77777777" w:rsidR="00C3036D" w:rsidRPr="00FA3F9C" w:rsidRDefault="00C3036D"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017"/>
        <w:gridCol w:w="7470"/>
        <w:gridCol w:w="2538"/>
      </w:tblGrid>
      <w:tr w:rsidR="00C3036D" w:rsidRPr="00FA3F9C" w14:paraId="40876CFB" w14:textId="77777777" w:rsidTr="00FE491B">
        <w:tc>
          <w:tcPr>
            <w:tcW w:w="1008" w:type="dxa"/>
          </w:tcPr>
          <w:p w14:paraId="3F887AF7" w14:textId="77777777" w:rsidR="00C3036D" w:rsidRPr="00FA3F9C" w:rsidRDefault="00C3036D" w:rsidP="006F623F">
            <w:pPr>
              <w:rPr>
                <w:rFonts w:ascii="Arial" w:hAnsi="Arial" w:cs="Arial"/>
                <w:sz w:val="24"/>
                <w:szCs w:val="24"/>
              </w:rPr>
            </w:pPr>
            <w:r w:rsidRPr="00FA3F9C">
              <w:rPr>
                <w:rFonts w:ascii="Arial" w:hAnsi="Arial" w:cs="Arial"/>
                <w:sz w:val="24"/>
                <w:szCs w:val="24"/>
              </w:rPr>
              <w:t>Date</w:t>
            </w:r>
          </w:p>
        </w:tc>
        <w:tc>
          <w:tcPr>
            <w:tcW w:w="7470" w:type="dxa"/>
          </w:tcPr>
          <w:p w14:paraId="71E23A35" w14:textId="77777777" w:rsidR="00C3036D" w:rsidRPr="00FA3F9C" w:rsidRDefault="00C3036D" w:rsidP="006F623F">
            <w:pPr>
              <w:rPr>
                <w:rFonts w:ascii="Arial" w:hAnsi="Arial" w:cs="Arial"/>
                <w:sz w:val="24"/>
                <w:szCs w:val="24"/>
              </w:rPr>
            </w:pPr>
            <w:r w:rsidRPr="00FA3F9C">
              <w:rPr>
                <w:rFonts w:ascii="Arial" w:hAnsi="Arial" w:cs="Arial"/>
                <w:sz w:val="24"/>
                <w:szCs w:val="24"/>
              </w:rPr>
              <w:t>What changed</w:t>
            </w:r>
          </w:p>
        </w:tc>
        <w:tc>
          <w:tcPr>
            <w:tcW w:w="2538" w:type="dxa"/>
          </w:tcPr>
          <w:p w14:paraId="0EDFF35A" w14:textId="77777777" w:rsidR="00C3036D" w:rsidRPr="00FA3F9C" w:rsidRDefault="00C3036D" w:rsidP="006F623F">
            <w:pPr>
              <w:rPr>
                <w:rFonts w:ascii="Arial" w:hAnsi="Arial" w:cs="Arial"/>
                <w:sz w:val="24"/>
                <w:szCs w:val="24"/>
              </w:rPr>
            </w:pPr>
            <w:r w:rsidRPr="00FA3F9C">
              <w:rPr>
                <w:rFonts w:ascii="Arial" w:hAnsi="Arial" w:cs="Arial"/>
                <w:sz w:val="24"/>
                <w:szCs w:val="24"/>
              </w:rPr>
              <w:t>Pharmacist’s initials</w:t>
            </w:r>
          </w:p>
        </w:tc>
      </w:tr>
      <w:tr w:rsidR="00C3036D" w:rsidRPr="00FA3F9C" w14:paraId="65ECE36F" w14:textId="77777777" w:rsidTr="00FE491B">
        <w:tc>
          <w:tcPr>
            <w:tcW w:w="1008" w:type="dxa"/>
          </w:tcPr>
          <w:p w14:paraId="266CB63F" w14:textId="77777777" w:rsidR="00C3036D" w:rsidRPr="00FA3F9C" w:rsidRDefault="00C3036D" w:rsidP="006F623F">
            <w:pPr>
              <w:rPr>
                <w:rFonts w:ascii="Arial" w:hAnsi="Arial" w:cs="Arial"/>
                <w:sz w:val="24"/>
                <w:szCs w:val="24"/>
              </w:rPr>
            </w:pPr>
            <w:r w:rsidRPr="00FA3F9C">
              <w:rPr>
                <w:rFonts w:ascii="Arial" w:hAnsi="Arial" w:cs="Arial"/>
                <w:sz w:val="24"/>
                <w:szCs w:val="24"/>
              </w:rPr>
              <w:t>4/25/19</w:t>
            </w:r>
          </w:p>
        </w:tc>
        <w:tc>
          <w:tcPr>
            <w:tcW w:w="7470" w:type="dxa"/>
          </w:tcPr>
          <w:p w14:paraId="3398594B" w14:textId="77777777" w:rsidR="00C3036D" w:rsidRPr="00FA3F9C" w:rsidRDefault="00C3036D" w:rsidP="006F623F">
            <w:pPr>
              <w:rPr>
                <w:rFonts w:ascii="Arial" w:hAnsi="Arial" w:cs="Arial"/>
                <w:sz w:val="24"/>
                <w:szCs w:val="24"/>
              </w:rPr>
            </w:pPr>
            <w:r w:rsidRPr="00FA3F9C">
              <w:rPr>
                <w:rFonts w:ascii="Arial" w:hAnsi="Arial" w:cs="Arial"/>
                <w:sz w:val="24"/>
                <w:szCs w:val="24"/>
              </w:rPr>
              <w:t>I wrote the criteria.</w:t>
            </w:r>
          </w:p>
        </w:tc>
        <w:tc>
          <w:tcPr>
            <w:tcW w:w="2538" w:type="dxa"/>
          </w:tcPr>
          <w:p w14:paraId="76A653E1" w14:textId="77777777" w:rsidR="00C3036D" w:rsidRPr="00FA3F9C" w:rsidRDefault="00C3036D" w:rsidP="006F623F">
            <w:pPr>
              <w:rPr>
                <w:rFonts w:ascii="Arial" w:hAnsi="Arial" w:cs="Arial"/>
                <w:sz w:val="24"/>
                <w:szCs w:val="24"/>
              </w:rPr>
            </w:pPr>
            <w:r w:rsidRPr="00FA3F9C">
              <w:rPr>
                <w:rFonts w:ascii="Arial" w:hAnsi="Arial" w:cs="Arial"/>
                <w:sz w:val="24"/>
                <w:szCs w:val="24"/>
              </w:rPr>
              <w:t>JJ</w:t>
            </w:r>
          </w:p>
        </w:tc>
      </w:tr>
      <w:tr w:rsidR="00C3036D" w:rsidRPr="00FA3F9C" w14:paraId="240812CC" w14:textId="77777777" w:rsidTr="00FE491B">
        <w:tc>
          <w:tcPr>
            <w:tcW w:w="1008" w:type="dxa"/>
          </w:tcPr>
          <w:p w14:paraId="4BDE0D8A" w14:textId="77777777" w:rsidR="00C3036D" w:rsidRPr="00FA3F9C" w:rsidRDefault="00C3036D" w:rsidP="006F623F">
            <w:pPr>
              <w:rPr>
                <w:rFonts w:ascii="Arial" w:hAnsi="Arial" w:cs="Arial"/>
                <w:sz w:val="24"/>
                <w:szCs w:val="24"/>
              </w:rPr>
            </w:pPr>
          </w:p>
        </w:tc>
        <w:tc>
          <w:tcPr>
            <w:tcW w:w="7470" w:type="dxa"/>
          </w:tcPr>
          <w:p w14:paraId="20BA3669" w14:textId="77777777" w:rsidR="00C3036D" w:rsidRPr="00FA3F9C" w:rsidRDefault="00C3036D" w:rsidP="006F623F">
            <w:pPr>
              <w:rPr>
                <w:rFonts w:ascii="Arial" w:hAnsi="Arial" w:cs="Arial"/>
                <w:sz w:val="24"/>
                <w:szCs w:val="24"/>
              </w:rPr>
            </w:pPr>
          </w:p>
        </w:tc>
        <w:tc>
          <w:tcPr>
            <w:tcW w:w="2538" w:type="dxa"/>
          </w:tcPr>
          <w:p w14:paraId="22C6145E" w14:textId="77777777" w:rsidR="00C3036D" w:rsidRPr="00FA3F9C" w:rsidRDefault="00C3036D" w:rsidP="006F623F">
            <w:pPr>
              <w:rPr>
                <w:rFonts w:ascii="Arial" w:hAnsi="Arial" w:cs="Arial"/>
                <w:sz w:val="24"/>
                <w:szCs w:val="24"/>
              </w:rPr>
            </w:pPr>
          </w:p>
        </w:tc>
      </w:tr>
    </w:tbl>
    <w:p w14:paraId="64C5DBDF" w14:textId="77777777" w:rsidR="00C3036D" w:rsidRPr="00FA3F9C" w:rsidRDefault="00C3036D" w:rsidP="006F623F">
      <w:pPr>
        <w:spacing w:after="0"/>
        <w:rPr>
          <w:rFonts w:ascii="Arial" w:hAnsi="Arial" w:cs="Arial"/>
          <w:sz w:val="24"/>
          <w:szCs w:val="24"/>
        </w:rPr>
      </w:pPr>
    </w:p>
    <w:p w14:paraId="1BD464D6" w14:textId="77777777" w:rsidR="00C3036D" w:rsidRPr="00FA3F9C" w:rsidRDefault="00C3036D" w:rsidP="002B2097">
      <w:pPr>
        <w:pStyle w:val="Heading2"/>
      </w:pPr>
      <w:bookmarkStart w:id="292" w:name="_Toc106369916"/>
      <w:r w:rsidRPr="00FA3F9C">
        <w:t>Rufinamide (</w:t>
      </w:r>
      <w:proofErr w:type="spellStart"/>
      <w:r w:rsidRPr="00FA3F9C">
        <w:t>Banzel</w:t>
      </w:r>
      <w:proofErr w:type="spellEnd"/>
      <w:r w:rsidRPr="00FA3F9C">
        <w:t>)</w:t>
      </w:r>
      <w:bookmarkEnd w:id="292"/>
    </w:p>
    <w:p w14:paraId="3E2D30B5" w14:textId="77777777" w:rsidR="00C3036D" w:rsidRPr="00FA3F9C" w:rsidRDefault="00C3036D" w:rsidP="006F623F">
      <w:pPr>
        <w:spacing w:after="0"/>
        <w:jc w:val="center"/>
        <w:rPr>
          <w:rFonts w:ascii="Arial" w:hAnsi="Arial" w:cs="Arial"/>
          <w:sz w:val="24"/>
          <w:szCs w:val="24"/>
        </w:rPr>
      </w:pPr>
      <w:r w:rsidRPr="00FA3F9C">
        <w:rPr>
          <w:rFonts w:ascii="Arial" w:hAnsi="Arial" w:cs="Arial"/>
          <w:sz w:val="24"/>
          <w:szCs w:val="24"/>
        </w:rPr>
        <w:t>EBRx PA Criteria</w:t>
      </w:r>
    </w:p>
    <w:p w14:paraId="66B27278" w14:textId="77777777" w:rsidR="00C3036D" w:rsidRPr="00FA3F9C" w:rsidRDefault="00C3036D" w:rsidP="006F623F">
      <w:pPr>
        <w:spacing w:after="0"/>
        <w:rPr>
          <w:rFonts w:ascii="Arial" w:hAnsi="Arial" w:cs="Arial"/>
          <w:b/>
          <w:sz w:val="24"/>
          <w:szCs w:val="24"/>
          <w:u w:val="single"/>
        </w:rPr>
      </w:pPr>
    </w:p>
    <w:p w14:paraId="66DE5E87" w14:textId="77777777" w:rsidR="00C3036D" w:rsidRPr="00FA3F9C" w:rsidRDefault="00C3036D"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Lennox-</w:t>
      </w:r>
      <w:proofErr w:type="spellStart"/>
      <w:r w:rsidRPr="00FA3F9C">
        <w:rPr>
          <w:rFonts w:ascii="Arial" w:hAnsi="Arial" w:cs="Arial"/>
          <w:sz w:val="24"/>
          <w:szCs w:val="24"/>
        </w:rPr>
        <w:t>Gastaut</w:t>
      </w:r>
      <w:proofErr w:type="spellEnd"/>
      <w:r w:rsidRPr="00FA3F9C">
        <w:rPr>
          <w:rFonts w:ascii="Arial" w:hAnsi="Arial" w:cs="Arial"/>
          <w:sz w:val="24"/>
          <w:szCs w:val="24"/>
        </w:rPr>
        <w:t xml:space="preserve"> syndrome: adjunctive treatment of seizures associated with Lennox-</w:t>
      </w:r>
      <w:proofErr w:type="spellStart"/>
      <w:r w:rsidRPr="00FA3F9C">
        <w:rPr>
          <w:rFonts w:ascii="Arial" w:hAnsi="Arial" w:cs="Arial"/>
          <w:sz w:val="24"/>
          <w:szCs w:val="24"/>
        </w:rPr>
        <w:t>Gastaut</w:t>
      </w:r>
      <w:proofErr w:type="spellEnd"/>
      <w:r w:rsidRPr="00FA3F9C">
        <w:rPr>
          <w:rFonts w:ascii="Arial" w:hAnsi="Arial" w:cs="Arial"/>
          <w:sz w:val="24"/>
          <w:szCs w:val="24"/>
        </w:rPr>
        <w:t xml:space="preserve"> syndrome in adults and children 1y and older.</w:t>
      </w:r>
    </w:p>
    <w:tbl>
      <w:tblPr>
        <w:tblStyle w:val="TableGrid"/>
        <w:tblW w:w="0" w:type="auto"/>
        <w:tblLook w:val="04A0" w:firstRow="1" w:lastRow="0" w:firstColumn="1" w:lastColumn="0" w:noHBand="0" w:noVBand="1"/>
      </w:tblPr>
      <w:tblGrid>
        <w:gridCol w:w="8928"/>
        <w:gridCol w:w="2088"/>
      </w:tblGrid>
      <w:tr w:rsidR="00C3036D" w:rsidRPr="00FA3F9C" w14:paraId="4F4634EA" w14:textId="77777777" w:rsidTr="00571CAB">
        <w:tc>
          <w:tcPr>
            <w:tcW w:w="8928" w:type="dxa"/>
            <w:shd w:val="clear" w:color="auto" w:fill="000000"/>
          </w:tcPr>
          <w:p w14:paraId="7BDD4153" w14:textId="77777777" w:rsidR="00C3036D" w:rsidRPr="00FA3F9C" w:rsidRDefault="00C3036D"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88" w:type="dxa"/>
            <w:shd w:val="clear" w:color="auto" w:fill="000000"/>
          </w:tcPr>
          <w:p w14:paraId="721FF6A6" w14:textId="77777777" w:rsidR="00C3036D" w:rsidRPr="00FA3F9C" w:rsidRDefault="00C3036D" w:rsidP="006F623F">
            <w:pPr>
              <w:jc w:val="center"/>
              <w:rPr>
                <w:rFonts w:ascii="Arial" w:hAnsi="Arial" w:cs="Arial"/>
                <w:b/>
                <w:sz w:val="24"/>
                <w:szCs w:val="24"/>
                <w:u w:val="single"/>
              </w:rPr>
            </w:pPr>
          </w:p>
        </w:tc>
      </w:tr>
      <w:tr w:rsidR="00C3036D" w:rsidRPr="00FA3F9C" w14:paraId="79ED88CF" w14:textId="77777777" w:rsidTr="00F7232A">
        <w:tc>
          <w:tcPr>
            <w:tcW w:w="11016" w:type="dxa"/>
            <w:gridSpan w:val="2"/>
            <w:vAlign w:val="center"/>
          </w:tcPr>
          <w:p w14:paraId="5368E387" w14:textId="77777777" w:rsidR="00C3036D" w:rsidRPr="00FA3F9C" w:rsidRDefault="00C3036D" w:rsidP="0071732E">
            <w:pPr>
              <w:rPr>
                <w:rFonts w:ascii="Arial" w:hAnsi="Arial" w:cs="Arial"/>
                <w:sz w:val="24"/>
                <w:szCs w:val="24"/>
              </w:rPr>
            </w:pPr>
            <w:r w:rsidRPr="00FA3F9C">
              <w:rPr>
                <w:rFonts w:ascii="Arial" w:hAnsi="Arial" w:cs="Arial"/>
                <w:sz w:val="24"/>
                <w:szCs w:val="24"/>
              </w:rPr>
              <w:t>1.  The patient must have a diagnosis of Lennox-</w:t>
            </w:r>
            <w:proofErr w:type="spellStart"/>
            <w:r w:rsidRPr="00FA3F9C">
              <w:rPr>
                <w:rFonts w:ascii="Arial" w:hAnsi="Arial" w:cs="Arial"/>
                <w:sz w:val="24"/>
                <w:szCs w:val="24"/>
              </w:rPr>
              <w:t>Gastaut</w:t>
            </w:r>
            <w:proofErr w:type="spellEnd"/>
            <w:r w:rsidRPr="00FA3F9C">
              <w:rPr>
                <w:rFonts w:ascii="Arial" w:hAnsi="Arial" w:cs="Arial"/>
                <w:sz w:val="24"/>
                <w:szCs w:val="24"/>
              </w:rPr>
              <w:t xml:space="preserve"> syndrome.</w:t>
            </w:r>
          </w:p>
        </w:tc>
      </w:tr>
      <w:tr w:rsidR="00C3036D" w:rsidRPr="00FA3F9C" w14:paraId="0FF445E1" w14:textId="77777777" w:rsidTr="00B1617E">
        <w:tc>
          <w:tcPr>
            <w:tcW w:w="11016" w:type="dxa"/>
            <w:gridSpan w:val="2"/>
          </w:tcPr>
          <w:p w14:paraId="28A65414" w14:textId="77777777" w:rsidR="00C3036D" w:rsidRPr="00FA3F9C" w:rsidRDefault="00C3036D" w:rsidP="0071732E">
            <w:pPr>
              <w:rPr>
                <w:rFonts w:ascii="Arial" w:hAnsi="Arial" w:cs="Arial"/>
                <w:sz w:val="24"/>
                <w:szCs w:val="24"/>
              </w:rPr>
            </w:pPr>
            <w:r w:rsidRPr="00FA3F9C">
              <w:rPr>
                <w:rFonts w:ascii="Arial" w:hAnsi="Arial" w:cs="Arial"/>
                <w:sz w:val="24"/>
                <w:szCs w:val="24"/>
              </w:rPr>
              <w:t>2. Rufinamide must be used as an add-on therapy to other anti-seizure drugs.</w:t>
            </w:r>
          </w:p>
        </w:tc>
      </w:tr>
    </w:tbl>
    <w:p w14:paraId="29298E93" w14:textId="77777777" w:rsidR="00C3036D" w:rsidRPr="00FA3F9C" w:rsidRDefault="00C3036D" w:rsidP="006F623F">
      <w:pPr>
        <w:spacing w:after="0"/>
        <w:rPr>
          <w:rFonts w:ascii="Arial" w:hAnsi="Arial" w:cs="Arial"/>
          <w:b/>
          <w:sz w:val="24"/>
          <w:szCs w:val="24"/>
          <w:u w:val="single"/>
        </w:rPr>
      </w:pPr>
    </w:p>
    <w:tbl>
      <w:tblPr>
        <w:tblStyle w:val="TableGrid"/>
        <w:tblW w:w="0" w:type="auto"/>
        <w:shd w:val="clear" w:color="auto" w:fill="BFBFBF" w:themeFill="background1" w:themeFillShade="BF"/>
        <w:tblLook w:val="04A0" w:firstRow="1" w:lastRow="0" w:firstColumn="1" w:lastColumn="0" w:noHBand="0" w:noVBand="1"/>
      </w:tblPr>
      <w:tblGrid>
        <w:gridCol w:w="10998"/>
      </w:tblGrid>
      <w:tr w:rsidR="00C3036D" w:rsidRPr="00FA3F9C" w14:paraId="11880646" w14:textId="77777777" w:rsidTr="00D82B6E">
        <w:tc>
          <w:tcPr>
            <w:tcW w:w="10998" w:type="dxa"/>
            <w:shd w:val="clear" w:color="auto" w:fill="BFBFBF" w:themeFill="background1" w:themeFillShade="BF"/>
          </w:tcPr>
          <w:p w14:paraId="3A4F5BF8" w14:textId="77777777" w:rsidR="00C3036D" w:rsidRPr="00FA3F9C" w:rsidRDefault="00C3036D" w:rsidP="00D82B6E">
            <w:pPr>
              <w:rPr>
                <w:rFonts w:ascii="Arial" w:hAnsi="Arial" w:cs="Arial"/>
                <w:sz w:val="24"/>
                <w:szCs w:val="24"/>
              </w:rPr>
            </w:pPr>
            <w:r w:rsidRPr="00FA3F9C">
              <w:rPr>
                <w:rFonts w:ascii="Arial" w:hAnsi="Arial" w:cs="Arial"/>
                <w:sz w:val="24"/>
                <w:szCs w:val="24"/>
              </w:rPr>
              <w:t>Note: The dose is 400-800mg daily in 2 equally divided doses; may increase to a max of 3200mg daily in 2 equally divided doses.</w:t>
            </w:r>
          </w:p>
        </w:tc>
      </w:tr>
    </w:tbl>
    <w:p w14:paraId="2A65625B" w14:textId="77777777" w:rsidR="00C3036D" w:rsidRPr="00FA3F9C" w:rsidRDefault="00C3036D" w:rsidP="006F623F">
      <w:pPr>
        <w:spacing w:after="0"/>
        <w:rPr>
          <w:rFonts w:ascii="Arial" w:hAnsi="Arial" w:cs="Arial"/>
          <w:sz w:val="24"/>
          <w:szCs w:val="24"/>
        </w:rPr>
      </w:pPr>
    </w:p>
    <w:p w14:paraId="0E7AF602" w14:textId="77777777" w:rsidR="00C3036D" w:rsidRPr="00FA3F9C" w:rsidRDefault="00C3036D" w:rsidP="006F623F">
      <w:pPr>
        <w:spacing w:after="0"/>
        <w:rPr>
          <w:rFonts w:ascii="Arial" w:hAnsi="Arial" w:cs="Arial"/>
          <w:sz w:val="24"/>
          <w:szCs w:val="24"/>
        </w:rPr>
      </w:pPr>
      <w:r w:rsidRPr="00FA3F9C">
        <w:rPr>
          <w:rFonts w:ascii="Arial" w:hAnsi="Arial" w:cs="Arial"/>
          <w:sz w:val="24"/>
          <w:szCs w:val="24"/>
        </w:rPr>
        <w:t xml:space="preserve">Quantity Limits: </w:t>
      </w:r>
    </w:p>
    <w:p w14:paraId="1E3C6001" w14:textId="77777777" w:rsidR="00C3036D" w:rsidRPr="00FA3F9C" w:rsidRDefault="00C3036D" w:rsidP="006F623F">
      <w:pPr>
        <w:spacing w:after="0"/>
        <w:rPr>
          <w:rFonts w:ascii="Arial" w:hAnsi="Arial" w:cs="Arial"/>
          <w:sz w:val="24"/>
          <w:szCs w:val="24"/>
        </w:rPr>
      </w:pPr>
    </w:p>
    <w:p w14:paraId="0D3BBF76" w14:textId="77777777" w:rsidR="00C3036D" w:rsidRPr="00FA3F9C" w:rsidRDefault="00C3036D"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284"/>
        <w:gridCol w:w="7558"/>
        <w:gridCol w:w="2065"/>
      </w:tblGrid>
      <w:tr w:rsidR="00C3036D" w:rsidRPr="00FA3F9C" w14:paraId="355BA0FA" w14:textId="77777777" w:rsidTr="00C81A94">
        <w:tc>
          <w:tcPr>
            <w:tcW w:w="1167" w:type="dxa"/>
          </w:tcPr>
          <w:p w14:paraId="482CD514" w14:textId="77777777" w:rsidR="00C3036D" w:rsidRPr="00FA3F9C" w:rsidRDefault="00C3036D" w:rsidP="006F623F">
            <w:pPr>
              <w:rPr>
                <w:rFonts w:ascii="Arial" w:hAnsi="Arial" w:cs="Arial"/>
                <w:sz w:val="24"/>
                <w:szCs w:val="24"/>
              </w:rPr>
            </w:pPr>
            <w:r w:rsidRPr="00FA3F9C">
              <w:rPr>
                <w:rFonts w:ascii="Arial" w:hAnsi="Arial" w:cs="Arial"/>
                <w:sz w:val="24"/>
                <w:szCs w:val="24"/>
              </w:rPr>
              <w:t>Date</w:t>
            </w:r>
          </w:p>
        </w:tc>
        <w:tc>
          <w:tcPr>
            <w:tcW w:w="7558" w:type="dxa"/>
          </w:tcPr>
          <w:p w14:paraId="7AF7377B" w14:textId="77777777" w:rsidR="00C3036D" w:rsidRPr="00FA3F9C" w:rsidRDefault="00C3036D" w:rsidP="006F623F">
            <w:pPr>
              <w:rPr>
                <w:rFonts w:ascii="Arial" w:hAnsi="Arial" w:cs="Arial"/>
                <w:sz w:val="24"/>
                <w:szCs w:val="24"/>
              </w:rPr>
            </w:pPr>
            <w:r w:rsidRPr="00FA3F9C">
              <w:rPr>
                <w:rFonts w:ascii="Arial" w:hAnsi="Arial" w:cs="Arial"/>
                <w:sz w:val="24"/>
                <w:szCs w:val="24"/>
              </w:rPr>
              <w:t>What changed</w:t>
            </w:r>
          </w:p>
        </w:tc>
        <w:tc>
          <w:tcPr>
            <w:tcW w:w="2065" w:type="dxa"/>
          </w:tcPr>
          <w:p w14:paraId="79185401" w14:textId="77777777" w:rsidR="00C3036D" w:rsidRPr="00FA3F9C" w:rsidRDefault="00C3036D" w:rsidP="006F623F">
            <w:pPr>
              <w:rPr>
                <w:rFonts w:ascii="Arial" w:hAnsi="Arial" w:cs="Arial"/>
                <w:sz w:val="24"/>
                <w:szCs w:val="24"/>
              </w:rPr>
            </w:pPr>
            <w:r w:rsidRPr="00FA3F9C">
              <w:rPr>
                <w:rFonts w:ascii="Arial" w:hAnsi="Arial" w:cs="Arial"/>
                <w:sz w:val="24"/>
                <w:szCs w:val="24"/>
              </w:rPr>
              <w:t>Pharmacist’s initials</w:t>
            </w:r>
          </w:p>
        </w:tc>
      </w:tr>
      <w:tr w:rsidR="00C3036D" w:rsidRPr="00FA3F9C" w14:paraId="774B870C" w14:textId="77777777" w:rsidTr="00C81A94">
        <w:tc>
          <w:tcPr>
            <w:tcW w:w="1167" w:type="dxa"/>
          </w:tcPr>
          <w:p w14:paraId="173B5EFB" w14:textId="77777777" w:rsidR="00C3036D" w:rsidRPr="00FA3F9C" w:rsidRDefault="00C3036D" w:rsidP="0071732E">
            <w:pPr>
              <w:rPr>
                <w:rFonts w:ascii="Arial" w:hAnsi="Arial" w:cs="Arial"/>
                <w:sz w:val="24"/>
                <w:szCs w:val="24"/>
              </w:rPr>
            </w:pPr>
            <w:r w:rsidRPr="00FA3F9C">
              <w:rPr>
                <w:rFonts w:ascii="Arial" w:hAnsi="Arial" w:cs="Arial"/>
                <w:sz w:val="24"/>
                <w:szCs w:val="24"/>
              </w:rPr>
              <w:t>4/24/09</w:t>
            </w:r>
          </w:p>
        </w:tc>
        <w:tc>
          <w:tcPr>
            <w:tcW w:w="7558" w:type="dxa"/>
          </w:tcPr>
          <w:p w14:paraId="5BB77396" w14:textId="77777777" w:rsidR="00C3036D" w:rsidRPr="00FA3F9C" w:rsidRDefault="00C3036D" w:rsidP="0071732E">
            <w:pPr>
              <w:rPr>
                <w:rFonts w:ascii="Arial" w:hAnsi="Arial" w:cs="Arial"/>
                <w:sz w:val="24"/>
                <w:szCs w:val="24"/>
              </w:rPr>
            </w:pPr>
            <w:r w:rsidRPr="00FA3F9C">
              <w:rPr>
                <w:rFonts w:ascii="Arial" w:hAnsi="Arial" w:cs="Arial"/>
                <w:sz w:val="24"/>
                <w:szCs w:val="24"/>
              </w:rPr>
              <w:t>Insurance Board voted to accept DUEC rec to T3PA drug</w:t>
            </w:r>
          </w:p>
        </w:tc>
        <w:tc>
          <w:tcPr>
            <w:tcW w:w="2065" w:type="dxa"/>
          </w:tcPr>
          <w:p w14:paraId="27DA285F" w14:textId="77777777" w:rsidR="00C3036D" w:rsidRPr="00FA3F9C" w:rsidRDefault="00C3036D" w:rsidP="0071732E">
            <w:pPr>
              <w:rPr>
                <w:rFonts w:ascii="Arial" w:hAnsi="Arial" w:cs="Arial"/>
                <w:sz w:val="24"/>
                <w:szCs w:val="24"/>
              </w:rPr>
            </w:pPr>
            <w:r w:rsidRPr="00FA3F9C">
              <w:rPr>
                <w:rFonts w:ascii="Arial" w:hAnsi="Arial" w:cs="Arial"/>
                <w:sz w:val="24"/>
                <w:szCs w:val="24"/>
              </w:rPr>
              <w:t>JJ</w:t>
            </w:r>
          </w:p>
        </w:tc>
      </w:tr>
      <w:tr w:rsidR="00C3036D" w:rsidRPr="00FA3F9C" w14:paraId="3AE7924F" w14:textId="77777777" w:rsidTr="00C81A94">
        <w:tc>
          <w:tcPr>
            <w:tcW w:w="1167" w:type="dxa"/>
          </w:tcPr>
          <w:p w14:paraId="2788BC97" w14:textId="77777777" w:rsidR="00C3036D" w:rsidRPr="00FA3F9C" w:rsidRDefault="00C3036D" w:rsidP="0071732E">
            <w:pPr>
              <w:rPr>
                <w:rFonts w:ascii="Arial" w:hAnsi="Arial" w:cs="Arial"/>
                <w:sz w:val="24"/>
                <w:szCs w:val="24"/>
              </w:rPr>
            </w:pPr>
            <w:r w:rsidRPr="00FA3F9C">
              <w:rPr>
                <w:rFonts w:ascii="Arial" w:hAnsi="Arial" w:cs="Arial"/>
                <w:sz w:val="24"/>
                <w:szCs w:val="24"/>
              </w:rPr>
              <w:t>5/16/12</w:t>
            </w:r>
          </w:p>
        </w:tc>
        <w:tc>
          <w:tcPr>
            <w:tcW w:w="7558" w:type="dxa"/>
          </w:tcPr>
          <w:p w14:paraId="43B7AF9E" w14:textId="77777777" w:rsidR="00C3036D" w:rsidRPr="00FA3F9C" w:rsidRDefault="00C3036D" w:rsidP="0071732E">
            <w:pPr>
              <w:rPr>
                <w:rFonts w:ascii="Arial" w:hAnsi="Arial" w:cs="Arial"/>
                <w:sz w:val="24"/>
                <w:szCs w:val="24"/>
              </w:rPr>
            </w:pPr>
            <w:r w:rsidRPr="00FA3F9C">
              <w:rPr>
                <w:rFonts w:ascii="Arial" w:hAnsi="Arial" w:cs="Arial"/>
                <w:sz w:val="24"/>
                <w:szCs w:val="24"/>
              </w:rPr>
              <w:t xml:space="preserve">Revision </w:t>
            </w:r>
            <w:proofErr w:type="spellStart"/>
            <w:r w:rsidRPr="00FA3F9C">
              <w:rPr>
                <w:rFonts w:ascii="Arial" w:hAnsi="Arial" w:cs="Arial"/>
                <w:sz w:val="24"/>
                <w:szCs w:val="24"/>
              </w:rPr>
              <w:t>hx</w:t>
            </w:r>
            <w:proofErr w:type="spellEnd"/>
            <w:r w:rsidRPr="00FA3F9C">
              <w:rPr>
                <w:rFonts w:ascii="Arial" w:hAnsi="Arial" w:cs="Arial"/>
                <w:sz w:val="24"/>
                <w:szCs w:val="24"/>
              </w:rPr>
              <w:t xml:space="preserve"> added</w:t>
            </w:r>
          </w:p>
        </w:tc>
        <w:tc>
          <w:tcPr>
            <w:tcW w:w="2065" w:type="dxa"/>
          </w:tcPr>
          <w:p w14:paraId="78D9142A" w14:textId="77777777" w:rsidR="00C3036D" w:rsidRPr="00FA3F9C" w:rsidRDefault="00C3036D" w:rsidP="0071732E">
            <w:pPr>
              <w:rPr>
                <w:rFonts w:ascii="Arial" w:hAnsi="Arial" w:cs="Arial"/>
                <w:sz w:val="24"/>
                <w:szCs w:val="24"/>
              </w:rPr>
            </w:pPr>
            <w:r w:rsidRPr="00FA3F9C">
              <w:rPr>
                <w:rFonts w:ascii="Arial" w:hAnsi="Arial" w:cs="Arial"/>
                <w:sz w:val="24"/>
                <w:szCs w:val="24"/>
              </w:rPr>
              <w:t>JJ</w:t>
            </w:r>
          </w:p>
        </w:tc>
      </w:tr>
      <w:tr w:rsidR="00C3036D" w:rsidRPr="00FA3F9C" w14:paraId="1B053043" w14:textId="77777777" w:rsidTr="00C81A94">
        <w:tc>
          <w:tcPr>
            <w:tcW w:w="1167" w:type="dxa"/>
          </w:tcPr>
          <w:p w14:paraId="60E4AEB3" w14:textId="77777777" w:rsidR="00C3036D" w:rsidRPr="00FA3F9C" w:rsidRDefault="00C3036D" w:rsidP="0071732E">
            <w:pPr>
              <w:rPr>
                <w:rFonts w:ascii="Arial" w:hAnsi="Arial" w:cs="Arial"/>
                <w:sz w:val="24"/>
                <w:szCs w:val="24"/>
              </w:rPr>
            </w:pPr>
            <w:r w:rsidRPr="00FA3F9C">
              <w:rPr>
                <w:rFonts w:ascii="Arial" w:hAnsi="Arial" w:cs="Arial"/>
                <w:sz w:val="24"/>
                <w:szCs w:val="24"/>
              </w:rPr>
              <w:t>11/5/2020</w:t>
            </w:r>
          </w:p>
        </w:tc>
        <w:tc>
          <w:tcPr>
            <w:tcW w:w="7558" w:type="dxa"/>
          </w:tcPr>
          <w:p w14:paraId="400EE63D" w14:textId="77777777" w:rsidR="00C3036D" w:rsidRPr="00FA3F9C" w:rsidRDefault="00C3036D" w:rsidP="0071732E">
            <w:pPr>
              <w:rPr>
                <w:rFonts w:ascii="Arial" w:hAnsi="Arial" w:cs="Arial"/>
                <w:sz w:val="24"/>
                <w:szCs w:val="24"/>
              </w:rPr>
            </w:pPr>
            <w:r w:rsidRPr="00FA3F9C">
              <w:rPr>
                <w:rFonts w:ascii="Arial" w:hAnsi="Arial" w:cs="Arial"/>
                <w:sz w:val="24"/>
                <w:szCs w:val="24"/>
              </w:rPr>
              <w:t>I added the criteria that rufinamide must be used as add-on therapy.</w:t>
            </w:r>
          </w:p>
        </w:tc>
        <w:tc>
          <w:tcPr>
            <w:tcW w:w="2065" w:type="dxa"/>
          </w:tcPr>
          <w:p w14:paraId="16A38A81" w14:textId="77777777" w:rsidR="00C3036D" w:rsidRPr="00FA3F9C" w:rsidRDefault="00C3036D" w:rsidP="0071732E">
            <w:pPr>
              <w:rPr>
                <w:rFonts w:ascii="Arial" w:hAnsi="Arial" w:cs="Arial"/>
                <w:sz w:val="24"/>
                <w:szCs w:val="24"/>
              </w:rPr>
            </w:pPr>
            <w:r w:rsidRPr="00FA3F9C">
              <w:rPr>
                <w:rFonts w:ascii="Arial" w:hAnsi="Arial" w:cs="Arial"/>
                <w:sz w:val="24"/>
                <w:szCs w:val="24"/>
              </w:rPr>
              <w:t>JJ</w:t>
            </w:r>
          </w:p>
        </w:tc>
      </w:tr>
      <w:tr w:rsidR="00C3036D" w:rsidRPr="00FA3F9C" w14:paraId="6D9756E0" w14:textId="77777777" w:rsidTr="00C81A94">
        <w:tc>
          <w:tcPr>
            <w:tcW w:w="1167" w:type="dxa"/>
          </w:tcPr>
          <w:p w14:paraId="31193310" w14:textId="77777777" w:rsidR="00C3036D" w:rsidRPr="00FA3F9C" w:rsidRDefault="00C3036D" w:rsidP="0071732E">
            <w:pPr>
              <w:rPr>
                <w:rFonts w:ascii="Arial" w:hAnsi="Arial" w:cs="Arial"/>
                <w:sz w:val="24"/>
                <w:szCs w:val="24"/>
              </w:rPr>
            </w:pPr>
            <w:r w:rsidRPr="00FA3F9C">
              <w:rPr>
                <w:rFonts w:ascii="Arial" w:hAnsi="Arial" w:cs="Arial"/>
                <w:sz w:val="24"/>
                <w:szCs w:val="24"/>
              </w:rPr>
              <w:t>3/31/2021</w:t>
            </w:r>
          </w:p>
        </w:tc>
        <w:tc>
          <w:tcPr>
            <w:tcW w:w="7558" w:type="dxa"/>
          </w:tcPr>
          <w:p w14:paraId="2EC8B38C" w14:textId="77777777" w:rsidR="00C3036D" w:rsidRPr="00FA3F9C" w:rsidRDefault="00C3036D" w:rsidP="0071732E">
            <w:pPr>
              <w:rPr>
                <w:rFonts w:ascii="Arial" w:hAnsi="Arial" w:cs="Arial"/>
                <w:sz w:val="24"/>
                <w:szCs w:val="24"/>
              </w:rPr>
            </w:pPr>
            <w:r w:rsidRPr="00FA3F9C">
              <w:rPr>
                <w:rFonts w:ascii="Arial" w:hAnsi="Arial" w:cs="Arial"/>
                <w:sz w:val="24"/>
                <w:szCs w:val="24"/>
              </w:rPr>
              <w:t>Applied EBRx criteria to UAS Plan.  UAS was denying for PA but had no criteria.</w:t>
            </w:r>
          </w:p>
        </w:tc>
        <w:tc>
          <w:tcPr>
            <w:tcW w:w="2065" w:type="dxa"/>
          </w:tcPr>
          <w:p w14:paraId="649CC751" w14:textId="77777777" w:rsidR="00C3036D" w:rsidRPr="00FA3F9C" w:rsidRDefault="00C3036D" w:rsidP="0071732E">
            <w:pPr>
              <w:rPr>
                <w:rFonts w:ascii="Arial" w:hAnsi="Arial" w:cs="Arial"/>
                <w:sz w:val="24"/>
                <w:szCs w:val="24"/>
              </w:rPr>
            </w:pPr>
            <w:r w:rsidRPr="00FA3F9C">
              <w:rPr>
                <w:rFonts w:ascii="Arial" w:hAnsi="Arial" w:cs="Arial"/>
                <w:sz w:val="24"/>
                <w:szCs w:val="24"/>
              </w:rPr>
              <w:t>JJ</w:t>
            </w:r>
          </w:p>
        </w:tc>
      </w:tr>
    </w:tbl>
    <w:p w14:paraId="61ECB128" w14:textId="77777777" w:rsidR="00C3036D" w:rsidRPr="00FA3F9C" w:rsidRDefault="00C3036D" w:rsidP="006F623F">
      <w:pPr>
        <w:spacing w:after="0"/>
        <w:rPr>
          <w:rFonts w:ascii="Arial" w:hAnsi="Arial" w:cs="Arial"/>
          <w:sz w:val="24"/>
          <w:szCs w:val="24"/>
        </w:rPr>
      </w:pPr>
    </w:p>
    <w:p w14:paraId="6959A1C3" w14:textId="77777777" w:rsidR="00C3036D" w:rsidRPr="00FA3F9C" w:rsidRDefault="00C3036D" w:rsidP="002B2097">
      <w:pPr>
        <w:pStyle w:val="Heading2"/>
      </w:pPr>
      <w:bookmarkStart w:id="293" w:name="_Toc106369917"/>
      <w:proofErr w:type="spellStart"/>
      <w:r w:rsidRPr="00FA3F9C">
        <w:rPr>
          <w:rStyle w:val="normaltextrun"/>
          <w:color w:val="000000"/>
          <w:sz w:val="24"/>
          <w:szCs w:val="24"/>
        </w:rPr>
        <w:lastRenderedPageBreak/>
        <w:t>Ruxolitinib</w:t>
      </w:r>
      <w:proofErr w:type="spellEnd"/>
      <w:r w:rsidRPr="00FA3F9C">
        <w:rPr>
          <w:rStyle w:val="normaltextrun"/>
          <w:color w:val="000000"/>
          <w:sz w:val="24"/>
          <w:szCs w:val="24"/>
          <w:shd w:val="clear" w:color="auto" w:fill="FFFFFF"/>
        </w:rPr>
        <w:t xml:space="preserve"> </w:t>
      </w:r>
      <w:r w:rsidRPr="00FA3F9C">
        <w:t>(</w:t>
      </w:r>
      <w:proofErr w:type="spellStart"/>
      <w:r w:rsidRPr="00FA3F9C">
        <w:rPr>
          <w:rStyle w:val="normaltextrun"/>
          <w:color w:val="000000"/>
          <w:sz w:val="24"/>
          <w:szCs w:val="24"/>
          <w:bdr w:val="none" w:sz="0" w:space="0" w:color="auto" w:frame="1"/>
        </w:rPr>
        <w:t>Opselura</w:t>
      </w:r>
      <w:proofErr w:type="spellEnd"/>
      <w:r w:rsidRPr="00FA3F9C">
        <w:t>)</w:t>
      </w:r>
      <w:bookmarkEnd w:id="293"/>
    </w:p>
    <w:p w14:paraId="2E9FA88E" w14:textId="77777777" w:rsidR="00C3036D" w:rsidRPr="00FA3F9C" w:rsidRDefault="00C3036D" w:rsidP="006F623F">
      <w:pPr>
        <w:spacing w:after="0"/>
        <w:jc w:val="center"/>
        <w:rPr>
          <w:rFonts w:ascii="Arial" w:hAnsi="Arial" w:cs="Arial"/>
          <w:sz w:val="24"/>
          <w:szCs w:val="24"/>
        </w:rPr>
      </w:pPr>
      <w:r w:rsidRPr="00FA3F9C">
        <w:rPr>
          <w:rFonts w:ascii="Arial" w:hAnsi="Arial" w:cs="Arial"/>
          <w:sz w:val="24"/>
          <w:szCs w:val="24"/>
        </w:rPr>
        <w:t>EBRx PA Criteria</w:t>
      </w:r>
    </w:p>
    <w:p w14:paraId="3E122CF2" w14:textId="77777777" w:rsidR="00C3036D" w:rsidRPr="00FA3F9C" w:rsidRDefault="00C3036D" w:rsidP="006F623F">
      <w:pPr>
        <w:spacing w:after="0"/>
        <w:rPr>
          <w:rFonts w:ascii="Arial" w:hAnsi="Arial" w:cs="Arial"/>
          <w:b/>
          <w:sz w:val="24"/>
          <w:szCs w:val="24"/>
          <w:u w:val="single"/>
        </w:rPr>
      </w:pPr>
    </w:p>
    <w:p w14:paraId="5A532631" w14:textId="77777777" w:rsidR="00C3036D" w:rsidRPr="00FA3F9C" w:rsidRDefault="00C3036D"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w:t>
      </w:r>
      <w:r w:rsidRPr="00FA3F9C">
        <w:rPr>
          <w:rStyle w:val="normaltextrun"/>
          <w:rFonts w:ascii="Arial" w:hAnsi="Arial" w:cs="Arial"/>
          <w:color w:val="000000"/>
          <w:sz w:val="24"/>
          <w:szCs w:val="24"/>
          <w:shd w:val="clear" w:color="auto" w:fill="FFFFFF"/>
        </w:rPr>
        <w:t>mild to moderate atopic dermatitis (AD) for short term, non-continuous chronic treatment in patients age 12y+, not adequately controlled with topical Rx therapies or when not advisable.</w:t>
      </w:r>
    </w:p>
    <w:tbl>
      <w:tblPr>
        <w:tblStyle w:val="TableGrid"/>
        <w:tblW w:w="0" w:type="auto"/>
        <w:tblLook w:val="04A0" w:firstRow="1" w:lastRow="0" w:firstColumn="1" w:lastColumn="0" w:noHBand="0" w:noVBand="1"/>
      </w:tblPr>
      <w:tblGrid>
        <w:gridCol w:w="8754"/>
        <w:gridCol w:w="2036"/>
      </w:tblGrid>
      <w:tr w:rsidR="00C3036D" w:rsidRPr="00FA3F9C" w14:paraId="6F7A8607" w14:textId="77777777" w:rsidTr="00112F85">
        <w:tc>
          <w:tcPr>
            <w:tcW w:w="8754" w:type="dxa"/>
            <w:shd w:val="clear" w:color="auto" w:fill="000000"/>
          </w:tcPr>
          <w:p w14:paraId="42ECFD51" w14:textId="77777777" w:rsidR="00C3036D" w:rsidRPr="00FA3F9C" w:rsidRDefault="00C3036D"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36" w:type="dxa"/>
            <w:shd w:val="clear" w:color="auto" w:fill="000000"/>
          </w:tcPr>
          <w:p w14:paraId="18BEEC43" w14:textId="77777777" w:rsidR="00C3036D" w:rsidRPr="00FA3F9C" w:rsidRDefault="00C3036D" w:rsidP="006F623F">
            <w:pPr>
              <w:jc w:val="center"/>
              <w:rPr>
                <w:rFonts w:ascii="Arial" w:hAnsi="Arial" w:cs="Arial"/>
                <w:b/>
                <w:sz w:val="24"/>
                <w:szCs w:val="24"/>
                <w:u w:val="single"/>
              </w:rPr>
            </w:pPr>
          </w:p>
        </w:tc>
      </w:tr>
      <w:tr w:rsidR="00C3036D" w:rsidRPr="00FA3F9C" w14:paraId="77B1EB39" w14:textId="77777777" w:rsidTr="00112F85">
        <w:tc>
          <w:tcPr>
            <w:tcW w:w="10790" w:type="dxa"/>
            <w:gridSpan w:val="2"/>
          </w:tcPr>
          <w:p w14:paraId="4A74A384" w14:textId="77777777" w:rsidR="00C3036D" w:rsidRPr="00FA3F9C" w:rsidRDefault="00C3036D" w:rsidP="00FC1E85">
            <w:pPr>
              <w:pStyle w:val="ListParagraph"/>
              <w:numPr>
                <w:ilvl w:val="0"/>
                <w:numId w:val="453"/>
              </w:numPr>
              <w:rPr>
                <w:rFonts w:ascii="Arial" w:hAnsi="Arial" w:cs="Arial"/>
                <w:sz w:val="24"/>
                <w:szCs w:val="24"/>
              </w:rPr>
            </w:pPr>
            <w:r w:rsidRPr="00FA3F9C">
              <w:rPr>
                <w:rFonts w:ascii="Arial" w:hAnsi="Arial" w:cs="Arial"/>
                <w:sz w:val="24"/>
                <w:szCs w:val="24"/>
              </w:rPr>
              <w:t>Diagnosis of mild to moderate atopic dermatitis</w:t>
            </w:r>
          </w:p>
        </w:tc>
      </w:tr>
      <w:tr w:rsidR="00C3036D" w:rsidRPr="00FA3F9C" w14:paraId="4BA4645D" w14:textId="77777777" w:rsidTr="00112F85">
        <w:tc>
          <w:tcPr>
            <w:tcW w:w="10790" w:type="dxa"/>
            <w:gridSpan w:val="2"/>
          </w:tcPr>
          <w:p w14:paraId="7F99D59A" w14:textId="77777777" w:rsidR="00C3036D" w:rsidRPr="00FA3F9C" w:rsidRDefault="00C3036D" w:rsidP="00FC1E85">
            <w:pPr>
              <w:pStyle w:val="ListParagraph"/>
              <w:numPr>
                <w:ilvl w:val="0"/>
                <w:numId w:val="453"/>
              </w:numPr>
              <w:rPr>
                <w:rFonts w:ascii="Arial" w:hAnsi="Arial" w:cs="Arial"/>
                <w:sz w:val="24"/>
                <w:szCs w:val="24"/>
              </w:rPr>
            </w:pPr>
            <w:r w:rsidRPr="00FA3F9C">
              <w:rPr>
                <w:rFonts w:ascii="Arial" w:hAnsi="Arial" w:cs="Arial"/>
                <w:sz w:val="24"/>
                <w:szCs w:val="24"/>
              </w:rPr>
              <w:t xml:space="preserve">At least a one-month trial of medium to high- potency steroids, i.e. </w:t>
            </w:r>
            <w:r w:rsidRPr="00FA3F9C">
              <w:rPr>
                <w:rFonts w:ascii="Arial" w:hAnsi="Arial" w:cs="Arial"/>
                <w:color w:val="232323"/>
                <w:sz w:val="24"/>
                <w:szCs w:val="24"/>
                <w:shd w:val="clear" w:color="auto" w:fill="FFFFFF"/>
              </w:rPr>
              <w:t> </w:t>
            </w:r>
            <w:r w:rsidRPr="00FA3F9C">
              <w:rPr>
                <w:rFonts w:ascii="Arial" w:hAnsi="Arial" w:cs="Arial"/>
                <w:sz w:val="24"/>
                <w:szCs w:val="24"/>
                <w:shd w:val="clear" w:color="auto" w:fill="FFFFFF"/>
              </w:rPr>
              <w:t>fluocinolone 0.025%, triamcinolone 0.1%, betamethasone dipropionate 0.05%.</w:t>
            </w:r>
          </w:p>
        </w:tc>
      </w:tr>
      <w:tr w:rsidR="00C3036D" w:rsidRPr="00FA3F9C" w14:paraId="4C31CE12" w14:textId="77777777" w:rsidTr="00112F85">
        <w:tc>
          <w:tcPr>
            <w:tcW w:w="10790" w:type="dxa"/>
            <w:gridSpan w:val="2"/>
          </w:tcPr>
          <w:p w14:paraId="7CAB2184" w14:textId="77777777" w:rsidR="00C3036D" w:rsidRPr="00FA3F9C" w:rsidRDefault="00C3036D" w:rsidP="00FC1E85">
            <w:pPr>
              <w:pStyle w:val="ListParagraph"/>
              <w:numPr>
                <w:ilvl w:val="0"/>
                <w:numId w:val="453"/>
              </w:numPr>
              <w:rPr>
                <w:rFonts w:ascii="Arial" w:hAnsi="Arial" w:cs="Arial"/>
                <w:sz w:val="24"/>
                <w:szCs w:val="24"/>
              </w:rPr>
            </w:pPr>
            <w:r w:rsidRPr="00FA3F9C">
              <w:rPr>
                <w:rFonts w:ascii="Arial" w:hAnsi="Arial" w:cs="Arial"/>
                <w:sz w:val="24"/>
                <w:szCs w:val="24"/>
              </w:rPr>
              <w:t xml:space="preserve">At least </w:t>
            </w:r>
            <w:proofErr w:type="gramStart"/>
            <w:r w:rsidRPr="00FA3F9C">
              <w:rPr>
                <w:rFonts w:ascii="Arial" w:hAnsi="Arial" w:cs="Arial"/>
                <w:sz w:val="24"/>
                <w:szCs w:val="24"/>
              </w:rPr>
              <w:t>6 week</w:t>
            </w:r>
            <w:proofErr w:type="gramEnd"/>
            <w:r w:rsidRPr="00FA3F9C">
              <w:rPr>
                <w:rFonts w:ascii="Arial" w:hAnsi="Arial" w:cs="Arial"/>
                <w:sz w:val="24"/>
                <w:szCs w:val="24"/>
              </w:rPr>
              <w:t xml:space="preserve"> trial of topical tacrolimus or </w:t>
            </w:r>
            <w:proofErr w:type="spellStart"/>
            <w:r w:rsidRPr="00FA3F9C">
              <w:rPr>
                <w:rFonts w:ascii="Arial" w:hAnsi="Arial" w:cs="Arial"/>
                <w:sz w:val="24"/>
                <w:szCs w:val="24"/>
              </w:rPr>
              <w:t>pimecrolimus</w:t>
            </w:r>
            <w:proofErr w:type="spellEnd"/>
            <w:r w:rsidRPr="00FA3F9C">
              <w:rPr>
                <w:rFonts w:ascii="Arial" w:hAnsi="Arial" w:cs="Arial"/>
                <w:sz w:val="24"/>
                <w:szCs w:val="24"/>
              </w:rPr>
              <w:t xml:space="preserve"> </w:t>
            </w:r>
          </w:p>
        </w:tc>
      </w:tr>
      <w:tr w:rsidR="00C3036D" w:rsidRPr="00FA3F9C" w14:paraId="0B0FDA04" w14:textId="77777777" w:rsidTr="00112F85">
        <w:tc>
          <w:tcPr>
            <w:tcW w:w="10790" w:type="dxa"/>
            <w:gridSpan w:val="2"/>
          </w:tcPr>
          <w:p w14:paraId="2DBB71F7" w14:textId="77777777" w:rsidR="00C3036D" w:rsidRPr="00FA3F9C" w:rsidRDefault="00C3036D" w:rsidP="00FC1E85">
            <w:pPr>
              <w:pStyle w:val="ListParagraph"/>
              <w:numPr>
                <w:ilvl w:val="0"/>
                <w:numId w:val="453"/>
              </w:numPr>
              <w:rPr>
                <w:rFonts w:ascii="Arial" w:hAnsi="Arial" w:cs="Arial"/>
                <w:sz w:val="24"/>
                <w:szCs w:val="24"/>
              </w:rPr>
            </w:pPr>
            <w:r w:rsidRPr="00FA3F9C">
              <w:rPr>
                <w:rFonts w:ascii="Arial" w:hAnsi="Arial" w:cs="Arial"/>
                <w:sz w:val="24"/>
                <w:szCs w:val="24"/>
              </w:rPr>
              <w:t>The patient must not be on concurrent azathioprine, cyclosporine, or other JAK inhibitors, or other strong immunosuppressants.</w:t>
            </w:r>
          </w:p>
        </w:tc>
      </w:tr>
      <w:tr w:rsidR="00C3036D" w:rsidRPr="00FA3F9C" w14:paraId="6FA619AB" w14:textId="77777777" w:rsidTr="00112F85">
        <w:tc>
          <w:tcPr>
            <w:tcW w:w="10790" w:type="dxa"/>
            <w:gridSpan w:val="2"/>
          </w:tcPr>
          <w:p w14:paraId="7A2B714A" w14:textId="77777777" w:rsidR="00C3036D" w:rsidRPr="00FA3F9C" w:rsidRDefault="00C3036D" w:rsidP="00FC1E85">
            <w:pPr>
              <w:pStyle w:val="ListParagraph"/>
              <w:numPr>
                <w:ilvl w:val="0"/>
                <w:numId w:val="453"/>
              </w:numPr>
              <w:rPr>
                <w:rFonts w:ascii="Arial" w:hAnsi="Arial" w:cs="Arial"/>
                <w:sz w:val="24"/>
                <w:szCs w:val="24"/>
              </w:rPr>
            </w:pPr>
            <w:r w:rsidRPr="00FA3F9C">
              <w:rPr>
                <w:rFonts w:ascii="Arial" w:hAnsi="Arial" w:cs="Arial"/>
                <w:sz w:val="24"/>
                <w:szCs w:val="24"/>
              </w:rPr>
              <w:t>The patient must be age 12y+.</w:t>
            </w:r>
          </w:p>
        </w:tc>
      </w:tr>
      <w:tr w:rsidR="00C3036D" w:rsidRPr="00FA3F9C" w14:paraId="2219A16C" w14:textId="77777777" w:rsidTr="00112F85">
        <w:tc>
          <w:tcPr>
            <w:tcW w:w="10790" w:type="dxa"/>
            <w:gridSpan w:val="2"/>
          </w:tcPr>
          <w:p w14:paraId="5233A3A4" w14:textId="77777777" w:rsidR="00C3036D" w:rsidRPr="00FA3F9C" w:rsidRDefault="00C3036D" w:rsidP="00710B90">
            <w:pPr>
              <w:rPr>
                <w:rFonts w:ascii="Arial" w:hAnsi="Arial" w:cs="Arial"/>
                <w:sz w:val="24"/>
                <w:szCs w:val="24"/>
              </w:rPr>
            </w:pPr>
            <w:r w:rsidRPr="00FA3F9C">
              <w:rPr>
                <w:rFonts w:ascii="Arial" w:hAnsi="Arial" w:cs="Arial"/>
                <w:sz w:val="24"/>
                <w:szCs w:val="24"/>
              </w:rPr>
              <w:t>NOTE:  PA is good, initially, for 8 weeks.</w:t>
            </w:r>
          </w:p>
        </w:tc>
      </w:tr>
    </w:tbl>
    <w:p w14:paraId="4C5273B7" w14:textId="77777777" w:rsidR="00C3036D" w:rsidRPr="00FA3F9C" w:rsidRDefault="00C3036D" w:rsidP="006F623F">
      <w:pPr>
        <w:spacing w:after="0"/>
        <w:rPr>
          <w:rFonts w:ascii="Arial" w:hAnsi="Arial" w:cs="Arial"/>
          <w:sz w:val="24"/>
          <w:szCs w:val="24"/>
        </w:rPr>
      </w:pPr>
      <w:r w:rsidRPr="00FA3F9C">
        <w:rPr>
          <w:rFonts w:ascii="Arial" w:hAnsi="Arial" w:cs="Arial"/>
          <w:sz w:val="24"/>
          <w:szCs w:val="24"/>
        </w:rPr>
        <w:t>Note: overlap of the topical steroid with the calcineurin inhibitor should be avoided.</w:t>
      </w:r>
    </w:p>
    <w:p w14:paraId="122E1843" w14:textId="77777777" w:rsidR="00C3036D" w:rsidRPr="00FA3F9C" w:rsidRDefault="00C3036D" w:rsidP="006F623F">
      <w:pPr>
        <w:spacing w:after="0"/>
        <w:rPr>
          <w:rFonts w:ascii="Arial" w:hAnsi="Arial" w:cs="Arial"/>
          <w:sz w:val="24"/>
          <w:szCs w:val="24"/>
        </w:rPr>
      </w:pPr>
    </w:p>
    <w:tbl>
      <w:tblPr>
        <w:tblStyle w:val="TableGrid"/>
        <w:tblW w:w="0" w:type="auto"/>
        <w:tblLook w:val="04A0" w:firstRow="1" w:lastRow="0" w:firstColumn="1" w:lastColumn="0" w:noHBand="0" w:noVBand="1"/>
      </w:tblPr>
      <w:tblGrid>
        <w:gridCol w:w="8754"/>
        <w:gridCol w:w="2036"/>
      </w:tblGrid>
      <w:tr w:rsidR="00C3036D" w:rsidRPr="00FA3F9C" w14:paraId="5F974BCE" w14:textId="77777777" w:rsidTr="00A27320">
        <w:tc>
          <w:tcPr>
            <w:tcW w:w="8754" w:type="dxa"/>
            <w:shd w:val="clear" w:color="auto" w:fill="000000"/>
          </w:tcPr>
          <w:p w14:paraId="0D658195" w14:textId="77777777" w:rsidR="00C3036D" w:rsidRPr="00FA3F9C" w:rsidRDefault="00C3036D" w:rsidP="00A27320">
            <w:pPr>
              <w:rPr>
                <w:rFonts w:ascii="Arial" w:hAnsi="Arial" w:cs="Arial"/>
                <w:b/>
                <w:sz w:val="24"/>
                <w:szCs w:val="24"/>
                <w:u w:val="single"/>
              </w:rPr>
            </w:pPr>
            <w:r w:rsidRPr="00FA3F9C">
              <w:rPr>
                <w:rFonts w:ascii="Arial" w:hAnsi="Arial" w:cs="Arial"/>
                <w:b/>
                <w:sz w:val="24"/>
                <w:szCs w:val="24"/>
                <w:u w:val="single"/>
              </w:rPr>
              <w:t>Criteria for Continuing:</w:t>
            </w:r>
          </w:p>
        </w:tc>
        <w:tc>
          <w:tcPr>
            <w:tcW w:w="2036" w:type="dxa"/>
            <w:shd w:val="clear" w:color="auto" w:fill="000000"/>
          </w:tcPr>
          <w:p w14:paraId="0A28F04C" w14:textId="77777777" w:rsidR="00C3036D" w:rsidRPr="00FA3F9C" w:rsidRDefault="00C3036D" w:rsidP="00A27320">
            <w:pPr>
              <w:jc w:val="center"/>
              <w:rPr>
                <w:rFonts w:ascii="Arial" w:hAnsi="Arial" w:cs="Arial"/>
                <w:b/>
                <w:sz w:val="24"/>
                <w:szCs w:val="24"/>
                <w:u w:val="single"/>
              </w:rPr>
            </w:pPr>
          </w:p>
        </w:tc>
      </w:tr>
      <w:tr w:rsidR="00C3036D" w:rsidRPr="00FA3F9C" w14:paraId="2DD4AA43" w14:textId="77777777" w:rsidTr="00A27320">
        <w:tc>
          <w:tcPr>
            <w:tcW w:w="10790" w:type="dxa"/>
            <w:gridSpan w:val="2"/>
          </w:tcPr>
          <w:p w14:paraId="4A440084" w14:textId="77777777" w:rsidR="00C3036D" w:rsidRPr="00FA3F9C" w:rsidRDefault="00C3036D" w:rsidP="00FC1E85">
            <w:pPr>
              <w:pStyle w:val="ListParagraph"/>
              <w:numPr>
                <w:ilvl w:val="0"/>
                <w:numId w:val="454"/>
              </w:numPr>
              <w:rPr>
                <w:rFonts w:ascii="Arial" w:hAnsi="Arial" w:cs="Arial"/>
                <w:sz w:val="24"/>
                <w:szCs w:val="24"/>
              </w:rPr>
            </w:pPr>
            <w:r w:rsidRPr="00FA3F9C">
              <w:rPr>
                <w:rFonts w:ascii="Arial" w:hAnsi="Arial" w:cs="Arial"/>
                <w:sz w:val="24"/>
                <w:szCs w:val="24"/>
              </w:rPr>
              <w:t xml:space="preserve">The patient has been using </w:t>
            </w:r>
            <w:proofErr w:type="spellStart"/>
            <w:r w:rsidRPr="00FA3F9C">
              <w:rPr>
                <w:rFonts w:ascii="Arial" w:hAnsi="Arial" w:cs="Arial"/>
                <w:sz w:val="24"/>
                <w:szCs w:val="24"/>
              </w:rPr>
              <w:t>ruxolitinib</w:t>
            </w:r>
            <w:proofErr w:type="spellEnd"/>
            <w:r w:rsidRPr="00FA3F9C">
              <w:rPr>
                <w:rFonts w:ascii="Arial" w:hAnsi="Arial" w:cs="Arial"/>
                <w:sz w:val="24"/>
                <w:szCs w:val="24"/>
              </w:rPr>
              <w:t xml:space="preserve"> topical for 8 weeks.</w:t>
            </w:r>
          </w:p>
        </w:tc>
      </w:tr>
      <w:tr w:rsidR="00C3036D" w:rsidRPr="00FA3F9C" w14:paraId="27C431E8" w14:textId="77777777" w:rsidTr="00A27320">
        <w:tc>
          <w:tcPr>
            <w:tcW w:w="10790" w:type="dxa"/>
            <w:gridSpan w:val="2"/>
          </w:tcPr>
          <w:p w14:paraId="52948BCE" w14:textId="77777777" w:rsidR="00C3036D" w:rsidRPr="00FA3F9C" w:rsidRDefault="00C3036D" w:rsidP="00FC1E85">
            <w:pPr>
              <w:pStyle w:val="ListParagraph"/>
              <w:numPr>
                <w:ilvl w:val="0"/>
                <w:numId w:val="454"/>
              </w:numPr>
              <w:rPr>
                <w:rFonts w:ascii="Arial" w:hAnsi="Arial" w:cs="Arial"/>
                <w:sz w:val="24"/>
                <w:szCs w:val="24"/>
              </w:rPr>
            </w:pPr>
            <w:r w:rsidRPr="00FA3F9C">
              <w:rPr>
                <w:rFonts w:ascii="Arial" w:hAnsi="Arial" w:cs="Arial"/>
                <w:sz w:val="24"/>
                <w:szCs w:val="24"/>
              </w:rPr>
              <w:t>The patient has had improvement in their atopic dermatitis symptoms.</w:t>
            </w:r>
          </w:p>
        </w:tc>
      </w:tr>
      <w:tr w:rsidR="00C3036D" w:rsidRPr="00FA3F9C" w14:paraId="2BE42320" w14:textId="77777777" w:rsidTr="00A27320">
        <w:tc>
          <w:tcPr>
            <w:tcW w:w="10790" w:type="dxa"/>
            <w:gridSpan w:val="2"/>
          </w:tcPr>
          <w:p w14:paraId="2CBB637B" w14:textId="77777777" w:rsidR="00C3036D" w:rsidRPr="00FA3F9C" w:rsidRDefault="00C3036D" w:rsidP="00FC1E85">
            <w:pPr>
              <w:pStyle w:val="ListParagraph"/>
              <w:numPr>
                <w:ilvl w:val="0"/>
                <w:numId w:val="454"/>
              </w:numPr>
              <w:rPr>
                <w:rFonts w:ascii="Arial" w:hAnsi="Arial" w:cs="Arial"/>
                <w:sz w:val="24"/>
                <w:szCs w:val="24"/>
              </w:rPr>
            </w:pPr>
            <w:r w:rsidRPr="00FA3F9C">
              <w:rPr>
                <w:rFonts w:ascii="Arial" w:hAnsi="Arial" w:cs="Arial"/>
                <w:sz w:val="24"/>
                <w:szCs w:val="24"/>
              </w:rPr>
              <w:t xml:space="preserve">At least </w:t>
            </w:r>
            <w:proofErr w:type="gramStart"/>
            <w:r w:rsidRPr="00FA3F9C">
              <w:rPr>
                <w:rFonts w:ascii="Arial" w:hAnsi="Arial" w:cs="Arial"/>
                <w:sz w:val="24"/>
                <w:szCs w:val="24"/>
              </w:rPr>
              <w:t>6 week</w:t>
            </w:r>
            <w:proofErr w:type="gramEnd"/>
            <w:r w:rsidRPr="00FA3F9C">
              <w:rPr>
                <w:rFonts w:ascii="Arial" w:hAnsi="Arial" w:cs="Arial"/>
                <w:sz w:val="24"/>
                <w:szCs w:val="24"/>
              </w:rPr>
              <w:t xml:space="preserve"> trial of topical tacrolimus or </w:t>
            </w:r>
            <w:proofErr w:type="spellStart"/>
            <w:r w:rsidRPr="00FA3F9C">
              <w:rPr>
                <w:rFonts w:ascii="Arial" w:hAnsi="Arial" w:cs="Arial"/>
                <w:sz w:val="24"/>
                <w:szCs w:val="24"/>
              </w:rPr>
              <w:t>pimecrolimus</w:t>
            </w:r>
            <w:proofErr w:type="spellEnd"/>
            <w:r w:rsidRPr="00FA3F9C">
              <w:rPr>
                <w:rFonts w:ascii="Arial" w:hAnsi="Arial" w:cs="Arial"/>
                <w:sz w:val="24"/>
                <w:szCs w:val="24"/>
              </w:rPr>
              <w:t xml:space="preserve"> </w:t>
            </w:r>
          </w:p>
        </w:tc>
      </w:tr>
      <w:tr w:rsidR="00C3036D" w:rsidRPr="00FA3F9C" w14:paraId="0FAB9687" w14:textId="77777777" w:rsidTr="00A27320">
        <w:tc>
          <w:tcPr>
            <w:tcW w:w="10790" w:type="dxa"/>
            <w:gridSpan w:val="2"/>
          </w:tcPr>
          <w:p w14:paraId="6A245A5D" w14:textId="77777777" w:rsidR="00C3036D" w:rsidRPr="00FA3F9C" w:rsidRDefault="00C3036D" w:rsidP="00FC1E85">
            <w:pPr>
              <w:pStyle w:val="ListParagraph"/>
              <w:numPr>
                <w:ilvl w:val="0"/>
                <w:numId w:val="454"/>
              </w:numPr>
              <w:rPr>
                <w:rFonts w:ascii="Arial" w:hAnsi="Arial" w:cs="Arial"/>
                <w:sz w:val="24"/>
                <w:szCs w:val="24"/>
              </w:rPr>
            </w:pPr>
            <w:r w:rsidRPr="00FA3F9C">
              <w:rPr>
                <w:rFonts w:ascii="Arial" w:hAnsi="Arial" w:cs="Arial"/>
                <w:sz w:val="24"/>
                <w:szCs w:val="24"/>
              </w:rPr>
              <w:t>The patient must not be on concurrent azathioprine, cyclosporine, or other JAK inhibitors, or other strong immunosuppressants.</w:t>
            </w:r>
          </w:p>
        </w:tc>
      </w:tr>
      <w:tr w:rsidR="00C3036D" w:rsidRPr="00FA3F9C" w14:paraId="3EDC3C3F" w14:textId="77777777" w:rsidTr="00A27320">
        <w:tc>
          <w:tcPr>
            <w:tcW w:w="10790" w:type="dxa"/>
            <w:gridSpan w:val="2"/>
          </w:tcPr>
          <w:p w14:paraId="44BA6C5E" w14:textId="77777777" w:rsidR="00C3036D" w:rsidRPr="00FA3F9C" w:rsidRDefault="00C3036D" w:rsidP="00FC1E85">
            <w:pPr>
              <w:pStyle w:val="ListParagraph"/>
              <w:numPr>
                <w:ilvl w:val="0"/>
                <w:numId w:val="454"/>
              </w:numPr>
              <w:rPr>
                <w:rFonts w:ascii="Arial" w:hAnsi="Arial" w:cs="Arial"/>
                <w:sz w:val="24"/>
                <w:szCs w:val="24"/>
              </w:rPr>
            </w:pPr>
            <w:r w:rsidRPr="00FA3F9C">
              <w:rPr>
                <w:rFonts w:ascii="Arial" w:hAnsi="Arial" w:cs="Arial"/>
                <w:sz w:val="24"/>
                <w:szCs w:val="24"/>
              </w:rPr>
              <w:t>The patient must be age 12y+.</w:t>
            </w:r>
          </w:p>
        </w:tc>
      </w:tr>
    </w:tbl>
    <w:p w14:paraId="22001E85" w14:textId="77777777" w:rsidR="00C3036D" w:rsidRPr="00FA3F9C" w:rsidRDefault="00C3036D" w:rsidP="006F623F">
      <w:pPr>
        <w:spacing w:after="0"/>
        <w:rPr>
          <w:rFonts w:ascii="Arial" w:hAnsi="Arial" w:cs="Arial"/>
          <w:sz w:val="24"/>
          <w:szCs w:val="24"/>
        </w:rPr>
      </w:pPr>
    </w:p>
    <w:p w14:paraId="799FA1CA" w14:textId="77777777" w:rsidR="00C3036D" w:rsidRPr="00FA3F9C" w:rsidRDefault="00C3036D" w:rsidP="006F623F">
      <w:pPr>
        <w:spacing w:after="0"/>
        <w:rPr>
          <w:rFonts w:ascii="Arial" w:hAnsi="Arial" w:cs="Arial"/>
          <w:sz w:val="24"/>
          <w:szCs w:val="24"/>
        </w:rPr>
      </w:pPr>
    </w:p>
    <w:p w14:paraId="7C0EBB8A" w14:textId="77777777" w:rsidR="00C3036D" w:rsidRPr="00FA3F9C" w:rsidRDefault="00C3036D" w:rsidP="006F623F">
      <w:pPr>
        <w:spacing w:after="0"/>
        <w:rPr>
          <w:rFonts w:ascii="Arial" w:hAnsi="Arial" w:cs="Arial"/>
          <w:sz w:val="24"/>
          <w:szCs w:val="24"/>
        </w:rPr>
      </w:pPr>
    </w:p>
    <w:p w14:paraId="5C3D9265" w14:textId="77777777" w:rsidR="00C3036D" w:rsidRPr="00FA3F9C" w:rsidRDefault="00C3036D" w:rsidP="006F623F">
      <w:pPr>
        <w:spacing w:after="0"/>
        <w:rPr>
          <w:rFonts w:ascii="Arial" w:hAnsi="Arial" w:cs="Arial"/>
          <w:sz w:val="24"/>
          <w:szCs w:val="24"/>
        </w:rPr>
      </w:pPr>
    </w:p>
    <w:p w14:paraId="412610DF" w14:textId="77777777" w:rsidR="00C3036D" w:rsidRPr="00FA3F9C" w:rsidRDefault="00C3036D"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017"/>
        <w:gridCol w:w="7719"/>
        <w:gridCol w:w="2065"/>
      </w:tblGrid>
      <w:tr w:rsidR="00C3036D" w:rsidRPr="00FA3F9C" w14:paraId="04B75486" w14:textId="77777777" w:rsidTr="00710B90">
        <w:tc>
          <w:tcPr>
            <w:tcW w:w="1006" w:type="dxa"/>
          </w:tcPr>
          <w:p w14:paraId="6C620F3B" w14:textId="77777777" w:rsidR="00C3036D" w:rsidRPr="00FA3F9C" w:rsidRDefault="00C3036D" w:rsidP="006F623F">
            <w:pPr>
              <w:rPr>
                <w:rFonts w:ascii="Arial" w:hAnsi="Arial" w:cs="Arial"/>
                <w:sz w:val="24"/>
                <w:szCs w:val="24"/>
              </w:rPr>
            </w:pPr>
            <w:r w:rsidRPr="00FA3F9C">
              <w:rPr>
                <w:rFonts w:ascii="Arial" w:hAnsi="Arial" w:cs="Arial"/>
                <w:sz w:val="24"/>
                <w:szCs w:val="24"/>
              </w:rPr>
              <w:t>Date</w:t>
            </w:r>
          </w:p>
        </w:tc>
        <w:tc>
          <w:tcPr>
            <w:tcW w:w="7719" w:type="dxa"/>
          </w:tcPr>
          <w:p w14:paraId="08EF2A92" w14:textId="77777777" w:rsidR="00C3036D" w:rsidRPr="00FA3F9C" w:rsidRDefault="00C3036D" w:rsidP="006F623F">
            <w:pPr>
              <w:rPr>
                <w:rFonts w:ascii="Arial" w:hAnsi="Arial" w:cs="Arial"/>
                <w:sz w:val="24"/>
                <w:szCs w:val="24"/>
              </w:rPr>
            </w:pPr>
            <w:r w:rsidRPr="00FA3F9C">
              <w:rPr>
                <w:rFonts w:ascii="Arial" w:hAnsi="Arial" w:cs="Arial"/>
                <w:sz w:val="24"/>
                <w:szCs w:val="24"/>
              </w:rPr>
              <w:t>What changed</w:t>
            </w:r>
          </w:p>
        </w:tc>
        <w:tc>
          <w:tcPr>
            <w:tcW w:w="2065" w:type="dxa"/>
          </w:tcPr>
          <w:p w14:paraId="5A40D850" w14:textId="77777777" w:rsidR="00C3036D" w:rsidRPr="00FA3F9C" w:rsidRDefault="00C3036D" w:rsidP="006F623F">
            <w:pPr>
              <w:rPr>
                <w:rFonts w:ascii="Arial" w:hAnsi="Arial" w:cs="Arial"/>
                <w:sz w:val="24"/>
                <w:szCs w:val="24"/>
              </w:rPr>
            </w:pPr>
            <w:r w:rsidRPr="00FA3F9C">
              <w:rPr>
                <w:rFonts w:ascii="Arial" w:hAnsi="Arial" w:cs="Arial"/>
                <w:sz w:val="24"/>
                <w:szCs w:val="24"/>
              </w:rPr>
              <w:t>Pharmacist’s initials</w:t>
            </w:r>
          </w:p>
        </w:tc>
      </w:tr>
      <w:tr w:rsidR="00C3036D" w:rsidRPr="00FA3F9C" w14:paraId="2439C2F7" w14:textId="77777777" w:rsidTr="00710B90">
        <w:tc>
          <w:tcPr>
            <w:tcW w:w="1006" w:type="dxa"/>
          </w:tcPr>
          <w:p w14:paraId="08325BE5" w14:textId="77777777" w:rsidR="00C3036D" w:rsidRPr="00FA3F9C" w:rsidRDefault="00C3036D" w:rsidP="006F623F">
            <w:pPr>
              <w:rPr>
                <w:rFonts w:ascii="Arial" w:hAnsi="Arial" w:cs="Arial"/>
                <w:sz w:val="24"/>
                <w:szCs w:val="24"/>
              </w:rPr>
            </w:pPr>
            <w:r w:rsidRPr="00FA3F9C">
              <w:rPr>
                <w:rFonts w:ascii="Arial" w:hAnsi="Arial" w:cs="Arial"/>
                <w:sz w:val="24"/>
                <w:szCs w:val="24"/>
              </w:rPr>
              <w:t>2/14/22</w:t>
            </w:r>
          </w:p>
        </w:tc>
        <w:tc>
          <w:tcPr>
            <w:tcW w:w="7719" w:type="dxa"/>
          </w:tcPr>
          <w:p w14:paraId="0EFC110C" w14:textId="77777777" w:rsidR="00C3036D" w:rsidRPr="00FA3F9C" w:rsidRDefault="00C3036D" w:rsidP="006F623F">
            <w:pPr>
              <w:rPr>
                <w:rFonts w:ascii="Arial" w:hAnsi="Arial" w:cs="Arial"/>
                <w:sz w:val="24"/>
                <w:szCs w:val="24"/>
              </w:rPr>
            </w:pPr>
            <w:r w:rsidRPr="00FA3F9C">
              <w:rPr>
                <w:rFonts w:ascii="Arial" w:hAnsi="Arial" w:cs="Arial"/>
                <w:sz w:val="24"/>
                <w:szCs w:val="24"/>
              </w:rPr>
              <w:t>Criteria written.</w:t>
            </w:r>
          </w:p>
        </w:tc>
        <w:tc>
          <w:tcPr>
            <w:tcW w:w="2065" w:type="dxa"/>
          </w:tcPr>
          <w:p w14:paraId="7726BD51" w14:textId="77777777" w:rsidR="00C3036D" w:rsidRPr="00FA3F9C" w:rsidRDefault="00C3036D" w:rsidP="006F623F">
            <w:pPr>
              <w:rPr>
                <w:rFonts w:ascii="Arial" w:hAnsi="Arial" w:cs="Arial"/>
                <w:sz w:val="24"/>
                <w:szCs w:val="24"/>
              </w:rPr>
            </w:pPr>
            <w:r w:rsidRPr="00FA3F9C">
              <w:rPr>
                <w:rFonts w:ascii="Arial" w:hAnsi="Arial" w:cs="Arial"/>
                <w:sz w:val="24"/>
                <w:szCs w:val="24"/>
              </w:rPr>
              <w:t>JJ</w:t>
            </w:r>
          </w:p>
        </w:tc>
      </w:tr>
      <w:tr w:rsidR="00C3036D" w:rsidRPr="00FA3F9C" w14:paraId="21053EF2" w14:textId="77777777" w:rsidTr="00710B90">
        <w:tc>
          <w:tcPr>
            <w:tcW w:w="1006" w:type="dxa"/>
          </w:tcPr>
          <w:p w14:paraId="56F93EFE" w14:textId="77777777" w:rsidR="00C3036D" w:rsidRPr="00FA3F9C" w:rsidRDefault="00C3036D" w:rsidP="006F623F">
            <w:pPr>
              <w:rPr>
                <w:rFonts w:ascii="Arial" w:hAnsi="Arial" w:cs="Arial"/>
                <w:sz w:val="24"/>
                <w:szCs w:val="24"/>
              </w:rPr>
            </w:pPr>
            <w:r w:rsidRPr="00FA3F9C">
              <w:rPr>
                <w:rFonts w:ascii="Arial" w:hAnsi="Arial" w:cs="Arial"/>
                <w:sz w:val="24"/>
                <w:szCs w:val="24"/>
              </w:rPr>
              <w:lastRenderedPageBreak/>
              <w:t>2/15/22</w:t>
            </w:r>
          </w:p>
        </w:tc>
        <w:tc>
          <w:tcPr>
            <w:tcW w:w="7719" w:type="dxa"/>
          </w:tcPr>
          <w:p w14:paraId="32F27822" w14:textId="77777777" w:rsidR="00C3036D" w:rsidRPr="00FA3F9C" w:rsidRDefault="00C3036D" w:rsidP="006F623F">
            <w:pPr>
              <w:rPr>
                <w:rFonts w:ascii="Arial" w:hAnsi="Arial" w:cs="Arial"/>
                <w:sz w:val="24"/>
                <w:szCs w:val="24"/>
              </w:rPr>
            </w:pPr>
            <w:r w:rsidRPr="00FA3F9C">
              <w:rPr>
                <w:rFonts w:ascii="Arial" w:hAnsi="Arial" w:cs="Arial"/>
                <w:sz w:val="24"/>
                <w:szCs w:val="24"/>
              </w:rPr>
              <w:t>I updated the criteria and included continuation criteria and an 8w max initial fill.</w:t>
            </w:r>
          </w:p>
        </w:tc>
        <w:tc>
          <w:tcPr>
            <w:tcW w:w="2065" w:type="dxa"/>
          </w:tcPr>
          <w:p w14:paraId="1AF76C5F" w14:textId="77777777" w:rsidR="00C3036D" w:rsidRPr="00FA3F9C" w:rsidRDefault="00C3036D" w:rsidP="006F623F">
            <w:pPr>
              <w:rPr>
                <w:rFonts w:ascii="Arial" w:hAnsi="Arial" w:cs="Arial"/>
                <w:sz w:val="24"/>
                <w:szCs w:val="24"/>
              </w:rPr>
            </w:pPr>
            <w:r w:rsidRPr="00FA3F9C">
              <w:rPr>
                <w:rFonts w:ascii="Arial" w:hAnsi="Arial" w:cs="Arial"/>
                <w:sz w:val="24"/>
                <w:szCs w:val="24"/>
              </w:rPr>
              <w:t>JJ</w:t>
            </w:r>
          </w:p>
        </w:tc>
      </w:tr>
    </w:tbl>
    <w:p w14:paraId="614C99DC" w14:textId="77777777" w:rsidR="00C3036D" w:rsidRPr="00FA3F9C" w:rsidRDefault="00C3036D" w:rsidP="006F623F">
      <w:pPr>
        <w:spacing w:after="0"/>
        <w:rPr>
          <w:rFonts w:ascii="Arial" w:hAnsi="Arial" w:cs="Arial"/>
          <w:sz w:val="24"/>
          <w:szCs w:val="24"/>
        </w:rPr>
      </w:pPr>
    </w:p>
    <w:p w14:paraId="52B785DB" w14:textId="77777777" w:rsidR="00C3036D" w:rsidRPr="00FA3F9C" w:rsidRDefault="00C3036D" w:rsidP="006F623F">
      <w:pPr>
        <w:spacing w:after="0"/>
        <w:rPr>
          <w:rFonts w:ascii="Arial" w:hAnsi="Arial" w:cs="Arial"/>
          <w:sz w:val="24"/>
          <w:szCs w:val="24"/>
        </w:rPr>
      </w:pPr>
    </w:p>
    <w:p w14:paraId="659702D7" w14:textId="77777777" w:rsidR="00C3036D" w:rsidRPr="00FA3F9C" w:rsidRDefault="00C3036D" w:rsidP="006F623F">
      <w:pPr>
        <w:spacing w:after="0"/>
        <w:rPr>
          <w:rFonts w:ascii="Arial" w:hAnsi="Arial" w:cs="Arial"/>
          <w:sz w:val="24"/>
          <w:szCs w:val="24"/>
        </w:rPr>
      </w:pPr>
      <w:r w:rsidRPr="00FA3F9C">
        <w:rPr>
          <w:rFonts w:ascii="Arial" w:hAnsi="Arial" w:cs="Arial"/>
          <w:sz w:val="24"/>
          <w:szCs w:val="24"/>
        </w:rPr>
        <w:t>References:</w:t>
      </w:r>
    </w:p>
    <w:p w14:paraId="6D54DB9A" w14:textId="77777777" w:rsidR="00C3036D" w:rsidRPr="00FA3F9C" w:rsidRDefault="00C3036D" w:rsidP="006F623F">
      <w:pPr>
        <w:spacing w:after="0"/>
        <w:rPr>
          <w:rFonts w:ascii="Arial" w:hAnsi="Arial" w:cs="Arial"/>
          <w:sz w:val="24"/>
          <w:szCs w:val="24"/>
        </w:rPr>
      </w:pPr>
      <w:r w:rsidRPr="00FA3F9C">
        <w:rPr>
          <w:rFonts w:ascii="Arial" w:hAnsi="Arial" w:cs="Arial"/>
          <w:sz w:val="24"/>
          <w:szCs w:val="24"/>
        </w:rPr>
        <w:t xml:space="preserve">1. William, H. (2021). Treatment of atopic dermatitis (eczema). UpToDate. Retrieved 02/14/2022 from </w:t>
      </w:r>
      <w:r w:rsidRPr="00FA3F9C">
        <w:rPr>
          <w:rFonts w:ascii="Arial" w:hAnsi="Arial" w:cs="Arial"/>
          <w:sz w:val="24"/>
          <w:szCs w:val="24"/>
        </w:rPr>
        <w:fldChar w:fldCharType="begin"/>
      </w:r>
      <w:r w:rsidRPr="00FA3F9C">
        <w:rPr>
          <w:rFonts w:ascii="Arial" w:hAnsi="Arial" w:cs="Arial"/>
          <w:sz w:val="24"/>
          <w:szCs w:val="24"/>
        </w:rPr>
        <w:instrText xml:space="preserve"> HYPERLINK "https://www.uptodate.com/contents/treatment-of-atopic-dermatitis </w:instrText>
      </w:r>
    </w:p>
    <w:p w14:paraId="6B79998E" w14:textId="77777777" w:rsidR="00C3036D" w:rsidRPr="00FA3F9C" w:rsidRDefault="00C3036D" w:rsidP="006F623F">
      <w:pPr>
        <w:spacing w:after="0"/>
        <w:rPr>
          <w:rStyle w:val="Hyperlink"/>
          <w:rFonts w:ascii="Arial" w:hAnsi="Arial" w:cs="Arial"/>
          <w:sz w:val="24"/>
          <w:szCs w:val="24"/>
        </w:rPr>
      </w:pPr>
      <w:r w:rsidRPr="00FA3F9C">
        <w:rPr>
          <w:rFonts w:ascii="Arial" w:hAnsi="Arial" w:cs="Arial"/>
          <w:sz w:val="24"/>
          <w:szCs w:val="24"/>
        </w:rPr>
        <w:instrText xml:space="preserve">2" </w:instrText>
      </w:r>
      <w:r w:rsidRPr="00FA3F9C">
        <w:rPr>
          <w:rFonts w:ascii="Arial" w:hAnsi="Arial" w:cs="Arial"/>
          <w:sz w:val="24"/>
          <w:szCs w:val="24"/>
        </w:rPr>
        <w:fldChar w:fldCharType="separate"/>
      </w:r>
      <w:r w:rsidRPr="00FA3F9C">
        <w:rPr>
          <w:rStyle w:val="Hyperlink"/>
          <w:rFonts w:ascii="Arial" w:hAnsi="Arial" w:cs="Arial"/>
          <w:sz w:val="24"/>
          <w:szCs w:val="24"/>
        </w:rPr>
        <w:t xml:space="preserve">https://www.uptodate.com/contents/treatment-of-atopic-dermatitis </w:t>
      </w:r>
    </w:p>
    <w:p w14:paraId="3304CB1B" w14:textId="77777777" w:rsidR="00C3036D" w:rsidRPr="00FA3F9C" w:rsidRDefault="00C3036D" w:rsidP="006F623F">
      <w:pPr>
        <w:spacing w:after="0"/>
        <w:rPr>
          <w:rFonts w:ascii="Arial" w:hAnsi="Arial" w:cs="Arial"/>
          <w:sz w:val="24"/>
          <w:szCs w:val="24"/>
        </w:rPr>
      </w:pPr>
      <w:r w:rsidRPr="00FA3F9C">
        <w:rPr>
          <w:rStyle w:val="Hyperlink"/>
          <w:rFonts w:ascii="Arial" w:hAnsi="Arial" w:cs="Arial"/>
          <w:sz w:val="24"/>
          <w:szCs w:val="24"/>
        </w:rPr>
        <w:t>2</w:t>
      </w:r>
      <w:r w:rsidRPr="00FA3F9C">
        <w:rPr>
          <w:rFonts w:ascii="Arial" w:hAnsi="Arial" w:cs="Arial"/>
          <w:sz w:val="24"/>
          <w:szCs w:val="24"/>
        </w:rPr>
        <w:fldChar w:fldCharType="end"/>
      </w:r>
      <w:r w:rsidRPr="00FA3F9C">
        <w:rPr>
          <w:rFonts w:ascii="Arial" w:hAnsi="Arial" w:cs="Arial"/>
          <w:sz w:val="24"/>
          <w:szCs w:val="24"/>
        </w:rPr>
        <w:t>. PI. Opzelura.com.  Accessed 2/15/22.</w:t>
      </w:r>
    </w:p>
    <w:p w14:paraId="048DA1DC" w14:textId="77777777" w:rsidR="00C3036D" w:rsidRPr="00FA3F9C" w:rsidRDefault="00C3036D" w:rsidP="00FB234F">
      <w:pPr>
        <w:jc w:val="center"/>
        <w:rPr>
          <w:rFonts w:ascii="Arial" w:hAnsi="Arial" w:cs="Arial"/>
          <w:b/>
          <w:sz w:val="24"/>
          <w:szCs w:val="24"/>
        </w:rPr>
      </w:pPr>
    </w:p>
    <w:p w14:paraId="2DE0C12D" w14:textId="77777777" w:rsidR="002B2097" w:rsidRDefault="00C3036D" w:rsidP="002B2097">
      <w:pPr>
        <w:pStyle w:val="Heading2"/>
      </w:pPr>
      <w:bookmarkStart w:id="294" w:name="_Toc106369918"/>
      <w:proofErr w:type="spellStart"/>
      <w:r w:rsidRPr="00FA3F9C">
        <w:t>Ruxolitinib</w:t>
      </w:r>
      <w:proofErr w:type="spellEnd"/>
      <w:r w:rsidRPr="00FA3F9C">
        <w:t xml:space="preserve"> (Jakafi)</w:t>
      </w:r>
      <w:bookmarkEnd w:id="294"/>
      <w:r w:rsidRPr="00FA3F9C">
        <w:t xml:space="preserve"> </w:t>
      </w:r>
    </w:p>
    <w:p w14:paraId="488721A7" w14:textId="44633B25" w:rsidR="00C3036D" w:rsidRPr="00FA3F9C" w:rsidRDefault="00C3036D" w:rsidP="00FB234F">
      <w:pPr>
        <w:jc w:val="center"/>
        <w:rPr>
          <w:rFonts w:ascii="Arial" w:hAnsi="Arial" w:cs="Arial"/>
          <w:sz w:val="24"/>
          <w:szCs w:val="24"/>
        </w:rPr>
      </w:pPr>
      <w:r w:rsidRPr="00FA3F9C">
        <w:rPr>
          <w:rFonts w:ascii="Arial" w:hAnsi="Arial" w:cs="Arial"/>
          <w:sz w:val="24"/>
          <w:szCs w:val="24"/>
        </w:rPr>
        <w:t>tablets 5, 10, 15, 20, 25mg</w:t>
      </w:r>
    </w:p>
    <w:p w14:paraId="0322EE5F" w14:textId="77777777" w:rsidR="00C3036D" w:rsidRPr="00FA3F9C" w:rsidRDefault="00C3036D" w:rsidP="00B5138D">
      <w:pPr>
        <w:jc w:val="center"/>
        <w:rPr>
          <w:rFonts w:ascii="Arial" w:hAnsi="Arial" w:cs="Arial"/>
          <w:sz w:val="24"/>
          <w:szCs w:val="24"/>
        </w:rPr>
      </w:pPr>
      <w:r w:rsidRPr="00FA3F9C">
        <w:rPr>
          <w:rFonts w:ascii="Arial" w:hAnsi="Arial" w:cs="Arial"/>
          <w:sz w:val="24"/>
          <w:szCs w:val="24"/>
        </w:rPr>
        <w:t>EBRx PA Criteria</w:t>
      </w:r>
    </w:p>
    <w:p w14:paraId="6E1F58CC" w14:textId="77777777" w:rsidR="00C3036D" w:rsidRPr="00FA3F9C" w:rsidRDefault="00C3036D" w:rsidP="000A3E2F">
      <w:pPr>
        <w:rPr>
          <w:rFonts w:ascii="Arial" w:hAnsi="Arial" w:cs="Arial"/>
          <w:b/>
          <w:sz w:val="24"/>
          <w:szCs w:val="24"/>
          <w:u w:val="single"/>
        </w:rPr>
      </w:pPr>
      <w:r w:rsidRPr="00FA3F9C">
        <w:rPr>
          <w:rFonts w:ascii="Arial" w:hAnsi="Arial" w:cs="Arial"/>
          <w:b/>
          <w:sz w:val="24"/>
          <w:szCs w:val="24"/>
          <w:u w:val="single"/>
        </w:rPr>
        <w:t>FDA approved for:</w:t>
      </w:r>
    </w:p>
    <w:p w14:paraId="439E8359" w14:textId="77777777" w:rsidR="00C3036D" w:rsidRPr="00FA3F9C" w:rsidRDefault="00C3036D" w:rsidP="00FC1E85">
      <w:pPr>
        <w:pStyle w:val="ListParagraph"/>
        <w:numPr>
          <w:ilvl w:val="0"/>
          <w:numId w:val="457"/>
        </w:numPr>
        <w:rPr>
          <w:rFonts w:ascii="Arial" w:hAnsi="Arial" w:cs="Arial"/>
          <w:sz w:val="24"/>
          <w:szCs w:val="24"/>
        </w:rPr>
      </w:pPr>
      <w:r w:rsidRPr="00FA3F9C">
        <w:rPr>
          <w:rFonts w:ascii="Arial" w:hAnsi="Arial" w:cs="Arial"/>
          <w:sz w:val="24"/>
          <w:szCs w:val="24"/>
        </w:rPr>
        <w:t>Intermediate or high-risk myelofibrosis, including primary myelofibrosis, post-polycythemia vera myelofibrosis and post-essential thrombocythemia myelofibrosis in adults</w:t>
      </w:r>
    </w:p>
    <w:p w14:paraId="3321B3D7" w14:textId="77777777" w:rsidR="00C3036D" w:rsidRPr="00FA3F9C" w:rsidRDefault="00C3036D" w:rsidP="00FC1E85">
      <w:pPr>
        <w:pStyle w:val="ListParagraph"/>
        <w:numPr>
          <w:ilvl w:val="0"/>
          <w:numId w:val="457"/>
        </w:numPr>
        <w:rPr>
          <w:rFonts w:ascii="Arial" w:hAnsi="Arial" w:cs="Arial"/>
          <w:sz w:val="24"/>
          <w:szCs w:val="24"/>
        </w:rPr>
      </w:pPr>
      <w:r w:rsidRPr="00FA3F9C">
        <w:rPr>
          <w:rFonts w:ascii="Arial" w:hAnsi="Arial" w:cs="Arial"/>
          <w:sz w:val="24"/>
          <w:szCs w:val="24"/>
        </w:rPr>
        <w:t xml:space="preserve">Polycythemia vera in adults who have had an inadequate response to or are intolerant of hydroxyurea. </w:t>
      </w:r>
    </w:p>
    <w:p w14:paraId="2EFD1606" w14:textId="77777777" w:rsidR="00C3036D" w:rsidRPr="00FA3F9C" w:rsidRDefault="00C3036D" w:rsidP="00FC1E85">
      <w:pPr>
        <w:pStyle w:val="ListParagraph"/>
        <w:numPr>
          <w:ilvl w:val="0"/>
          <w:numId w:val="457"/>
        </w:numPr>
        <w:rPr>
          <w:rFonts w:ascii="Arial" w:hAnsi="Arial" w:cs="Arial"/>
          <w:sz w:val="24"/>
          <w:szCs w:val="24"/>
        </w:rPr>
      </w:pPr>
      <w:r w:rsidRPr="00FA3F9C">
        <w:rPr>
          <w:rFonts w:ascii="Arial" w:hAnsi="Arial" w:cs="Arial"/>
          <w:sz w:val="24"/>
          <w:szCs w:val="24"/>
        </w:rPr>
        <w:t xml:space="preserve">Steroid-refractory </w:t>
      </w:r>
      <w:r w:rsidRPr="00FA3F9C">
        <w:rPr>
          <w:rFonts w:ascii="Arial" w:hAnsi="Arial" w:cs="Arial"/>
          <w:sz w:val="24"/>
          <w:szCs w:val="24"/>
          <w:u w:val="single"/>
        </w:rPr>
        <w:t>acute</w:t>
      </w:r>
      <w:r w:rsidRPr="00FA3F9C">
        <w:rPr>
          <w:rFonts w:ascii="Arial" w:hAnsi="Arial" w:cs="Arial"/>
          <w:sz w:val="24"/>
          <w:szCs w:val="24"/>
        </w:rPr>
        <w:t xml:space="preserve"> graft-versus-host disease in adult and pediatric patients 12 years and older </w:t>
      </w:r>
    </w:p>
    <w:p w14:paraId="3E42B2A1" w14:textId="77777777" w:rsidR="00C3036D" w:rsidRPr="00FA3F9C" w:rsidRDefault="00C3036D" w:rsidP="00FC1E85">
      <w:pPr>
        <w:pStyle w:val="ListParagraph"/>
        <w:numPr>
          <w:ilvl w:val="0"/>
          <w:numId w:val="457"/>
        </w:numPr>
        <w:rPr>
          <w:rFonts w:ascii="Arial" w:hAnsi="Arial" w:cs="Arial"/>
          <w:sz w:val="24"/>
          <w:szCs w:val="24"/>
        </w:rPr>
      </w:pPr>
      <w:r w:rsidRPr="00FA3F9C">
        <w:rPr>
          <w:rFonts w:ascii="Arial" w:hAnsi="Arial" w:cs="Arial"/>
          <w:sz w:val="24"/>
          <w:szCs w:val="24"/>
        </w:rPr>
        <w:t>chronic graft-versus-host disease after failure of one or two lines of systemic therapy in adult and pediatric patients 12 years and older</w:t>
      </w:r>
    </w:p>
    <w:p w14:paraId="1FCBAB26" w14:textId="77777777" w:rsidR="00C3036D" w:rsidRPr="00FA3F9C" w:rsidRDefault="00C3036D" w:rsidP="00B5138D">
      <w:pPr>
        <w:rPr>
          <w:rFonts w:ascii="Arial" w:hAnsi="Arial" w:cs="Arial"/>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15"/>
      </w:tblGrid>
      <w:tr w:rsidR="00C3036D" w:rsidRPr="00FA3F9C" w14:paraId="16BE3AE1" w14:textId="77777777" w:rsidTr="000B5983">
        <w:trPr>
          <w:jc w:val="center"/>
        </w:trPr>
        <w:tc>
          <w:tcPr>
            <w:tcW w:w="10615" w:type="dxa"/>
            <w:tcBorders>
              <w:bottom w:val="single" w:sz="4" w:space="0" w:color="auto"/>
            </w:tcBorders>
            <w:shd w:val="clear" w:color="auto" w:fill="000000" w:themeFill="text1"/>
          </w:tcPr>
          <w:p w14:paraId="6371906B" w14:textId="77777777" w:rsidR="00C3036D" w:rsidRPr="00FA3F9C" w:rsidRDefault="00C3036D" w:rsidP="00C7217F">
            <w:pPr>
              <w:pStyle w:val="Default"/>
              <w:rPr>
                <w:rFonts w:ascii="Arial" w:hAnsi="Arial" w:cs="Arial"/>
              </w:rPr>
            </w:pPr>
            <w:r w:rsidRPr="00FA3F9C">
              <w:rPr>
                <w:rFonts w:ascii="Arial" w:hAnsi="Arial" w:cs="Arial"/>
                <w:color w:val="FFFFFF" w:themeColor="background1"/>
              </w:rPr>
              <w:t>CRITERIA FOR MYELOFIBROSIS AND POLYCYTHEMIA VERA</w:t>
            </w:r>
          </w:p>
        </w:tc>
      </w:tr>
      <w:tr w:rsidR="00C3036D" w:rsidRPr="00FA3F9C" w14:paraId="63297128" w14:textId="77777777" w:rsidTr="00396BB2">
        <w:trPr>
          <w:jc w:val="center"/>
        </w:trPr>
        <w:tc>
          <w:tcPr>
            <w:tcW w:w="10615" w:type="dxa"/>
            <w:tcBorders>
              <w:bottom w:val="single" w:sz="4" w:space="0" w:color="auto"/>
            </w:tcBorders>
          </w:tcPr>
          <w:p w14:paraId="1AE593B2" w14:textId="77777777" w:rsidR="00C3036D" w:rsidRPr="00FA3F9C" w:rsidRDefault="00C3036D" w:rsidP="00C7217F">
            <w:pPr>
              <w:pStyle w:val="Default"/>
              <w:rPr>
                <w:rFonts w:ascii="Arial" w:hAnsi="Arial" w:cs="Arial"/>
              </w:rPr>
            </w:pPr>
            <w:r w:rsidRPr="00FA3F9C">
              <w:rPr>
                <w:rFonts w:ascii="Arial" w:hAnsi="Arial" w:cs="Arial"/>
              </w:rPr>
              <w:t xml:space="preserve">1.    For myelofibrosis indication, the patient must meet </w:t>
            </w:r>
            <w:proofErr w:type="gramStart"/>
            <w:r w:rsidRPr="00FA3F9C">
              <w:rPr>
                <w:rFonts w:ascii="Arial" w:hAnsi="Arial" w:cs="Arial"/>
              </w:rPr>
              <w:t>all of</w:t>
            </w:r>
            <w:proofErr w:type="gramEnd"/>
            <w:r w:rsidRPr="00FA3F9C">
              <w:rPr>
                <w:rFonts w:ascii="Arial" w:hAnsi="Arial" w:cs="Arial"/>
              </w:rPr>
              <w:t xml:space="preserve"> the following criteria:</w:t>
            </w:r>
          </w:p>
          <w:p w14:paraId="745FD1DA" w14:textId="77777777" w:rsidR="00C3036D" w:rsidRPr="00FA3F9C" w:rsidRDefault="00C3036D" w:rsidP="00FC1E85">
            <w:pPr>
              <w:pStyle w:val="Default"/>
              <w:numPr>
                <w:ilvl w:val="0"/>
                <w:numId w:val="456"/>
              </w:numPr>
              <w:rPr>
                <w:rFonts w:ascii="Arial" w:hAnsi="Arial" w:cs="Arial"/>
              </w:rPr>
            </w:pPr>
            <w:r w:rsidRPr="00FA3F9C">
              <w:rPr>
                <w:rFonts w:ascii="Arial" w:hAnsi="Arial" w:cs="Arial"/>
              </w:rPr>
              <w:t>SYMPTOMATIC intermediate-2 or high-risk myelofibrosis (including primary myelofibrosis, post-polycythemia vera myelofibrosis, and post-essential thrombocythemia myelofibrosis), [See risk calculation tool below]</w:t>
            </w:r>
          </w:p>
          <w:p w14:paraId="1B028F42" w14:textId="77777777" w:rsidR="00C3036D" w:rsidRPr="00FA3F9C" w:rsidRDefault="00C3036D" w:rsidP="00FC1E85">
            <w:pPr>
              <w:pStyle w:val="Default"/>
              <w:numPr>
                <w:ilvl w:val="0"/>
                <w:numId w:val="456"/>
              </w:numPr>
              <w:rPr>
                <w:rFonts w:ascii="Arial" w:hAnsi="Arial" w:cs="Arial"/>
              </w:rPr>
            </w:pPr>
            <w:r w:rsidRPr="00FA3F9C">
              <w:rPr>
                <w:rFonts w:ascii="Arial" w:hAnsi="Arial" w:cs="Arial"/>
              </w:rPr>
              <w:t>Platelet count &gt;50,000 cells/mm</w:t>
            </w:r>
            <w:r w:rsidRPr="00FA3F9C">
              <w:rPr>
                <w:rFonts w:ascii="Arial" w:hAnsi="Arial" w:cs="Arial"/>
                <w:vertAlign w:val="superscript"/>
              </w:rPr>
              <w:t xml:space="preserve">3 </w:t>
            </w:r>
          </w:p>
          <w:p w14:paraId="4C3EA294" w14:textId="77777777" w:rsidR="00C3036D" w:rsidRPr="00FA3F9C" w:rsidRDefault="00C3036D" w:rsidP="00B74331">
            <w:pPr>
              <w:pStyle w:val="Default"/>
              <w:ind w:left="413"/>
              <w:rPr>
                <w:rFonts w:ascii="Arial" w:hAnsi="Arial" w:cs="Arial"/>
              </w:rPr>
            </w:pPr>
          </w:p>
          <w:p w14:paraId="19EFEC2C" w14:textId="77777777" w:rsidR="00C3036D" w:rsidRPr="00FA3F9C" w:rsidRDefault="00C3036D" w:rsidP="00FC18DC">
            <w:pPr>
              <w:pStyle w:val="Default"/>
              <w:rPr>
                <w:rFonts w:ascii="Arial" w:hAnsi="Arial" w:cs="Arial"/>
              </w:rPr>
            </w:pPr>
            <w:r w:rsidRPr="00FA3F9C">
              <w:rPr>
                <w:rFonts w:ascii="Arial" w:hAnsi="Arial" w:cs="Arial"/>
              </w:rPr>
              <w:t>2. For polycythemia vera indication, the patient must meet the following criterion:</w:t>
            </w:r>
          </w:p>
          <w:p w14:paraId="244416BF" w14:textId="77777777" w:rsidR="00C3036D" w:rsidRPr="00FA3F9C" w:rsidRDefault="00C3036D" w:rsidP="00FC1E85">
            <w:pPr>
              <w:pStyle w:val="Default"/>
              <w:numPr>
                <w:ilvl w:val="0"/>
                <w:numId w:val="458"/>
              </w:numPr>
              <w:rPr>
                <w:rFonts w:ascii="Arial" w:hAnsi="Arial" w:cs="Arial"/>
              </w:rPr>
            </w:pPr>
            <w:r w:rsidRPr="00FA3F9C">
              <w:rPr>
                <w:rFonts w:ascii="Arial" w:hAnsi="Arial" w:cs="Arial"/>
              </w:rPr>
              <w:lastRenderedPageBreak/>
              <w:t>refractory to or intolerant of hydroxyurea therapy.</w:t>
            </w:r>
          </w:p>
        </w:tc>
      </w:tr>
      <w:tr w:rsidR="00C3036D" w:rsidRPr="00FA3F9C" w14:paraId="00677A46" w14:textId="77777777" w:rsidTr="00396BB2">
        <w:trPr>
          <w:jc w:val="center"/>
        </w:trPr>
        <w:tc>
          <w:tcPr>
            <w:tcW w:w="10615" w:type="dxa"/>
            <w:tcBorders>
              <w:bottom w:val="single" w:sz="4" w:space="0" w:color="auto"/>
            </w:tcBorders>
            <w:shd w:val="clear" w:color="auto" w:fill="D9D9D9"/>
          </w:tcPr>
          <w:p w14:paraId="47E6E838" w14:textId="77777777" w:rsidR="00C3036D" w:rsidRPr="00FA3F9C" w:rsidRDefault="00C3036D" w:rsidP="00FC18DC">
            <w:pPr>
              <w:rPr>
                <w:rFonts w:ascii="Arial" w:hAnsi="Arial" w:cs="Arial"/>
                <w:sz w:val="24"/>
                <w:szCs w:val="24"/>
              </w:rPr>
            </w:pPr>
            <w:r w:rsidRPr="00FA3F9C">
              <w:rPr>
                <w:rFonts w:ascii="Arial" w:hAnsi="Arial" w:cs="Arial"/>
                <w:sz w:val="24"/>
                <w:szCs w:val="24"/>
              </w:rPr>
              <w:lastRenderedPageBreak/>
              <w:t xml:space="preserve">If criteria for either indication are met, approve for 12 months </w:t>
            </w:r>
          </w:p>
        </w:tc>
      </w:tr>
      <w:tr w:rsidR="00C3036D" w:rsidRPr="00FA3F9C" w14:paraId="1F82D62A" w14:textId="77777777" w:rsidTr="00396BB2">
        <w:trPr>
          <w:jc w:val="center"/>
        </w:trPr>
        <w:tc>
          <w:tcPr>
            <w:tcW w:w="10615" w:type="dxa"/>
            <w:tcBorders>
              <w:bottom w:val="single" w:sz="4" w:space="0" w:color="auto"/>
            </w:tcBorders>
            <w:shd w:val="clear" w:color="auto" w:fill="000000"/>
          </w:tcPr>
          <w:p w14:paraId="1CCA7F50" w14:textId="77777777" w:rsidR="00C3036D" w:rsidRPr="00FA3F9C" w:rsidRDefault="00C3036D" w:rsidP="002A4193">
            <w:pPr>
              <w:rPr>
                <w:rFonts w:ascii="Arial" w:hAnsi="Arial" w:cs="Arial"/>
                <w:sz w:val="24"/>
                <w:szCs w:val="24"/>
              </w:rPr>
            </w:pPr>
            <w:r w:rsidRPr="00FA3F9C">
              <w:rPr>
                <w:rFonts w:ascii="Arial" w:hAnsi="Arial" w:cs="Arial"/>
                <w:sz w:val="24"/>
                <w:szCs w:val="24"/>
              </w:rPr>
              <w:t>Continuation criteria</w:t>
            </w:r>
          </w:p>
        </w:tc>
      </w:tr>
      <w:tr w:rsidR="00C3036D" w:rsidRPr="00FA3F9C" w14:paraId="4577E791" w14:textId="77777777" w:rsidTr="00396BB2">
        <w:trPr>
          <w:jc w:val="center"/>
        </w:trPr>
        <w:tc>
          <w:tcPr>
            <w:tcW w:w="10615" w:type="dxa"/>
            <w:tcBorders>
              <w:bottom w:val="single" w:sz="4" w:space="0" w:color="auto"/>
            </w:tcBorders>
          </w:tcPr>
          <w:p w14:paraId="795ED0A9" w14:textId="77777777" w:rsidR="00C3036D" w:rsidRPr="00FA3F9C" w:rsidRDefault="00C3036D" w:rsidP="003E43EA">
            <w:pPr>
              <w:rPr>
                <w:rFonts w:ascii="Arial" w:hAnsi="Arial" w:cs="Arial"/>
                <w:sz w:val="24"/>
                <w:szCs w:val="24"/>
              </w:rPr>
            </w:pPr>
            <w:r w:rsidRPr="00FA3F9C">
              <w:rPr>
                <w:rFonts w:ascii="Arial" w:hAnsi="Arial" w:cs="Arial"/>
                <w:sz w:val="24"/>
                <w:szCs w:val="24"/>
              </w:rPr>
              <w:t>For myelofibrosis: Patient has reduction in spleen size or symptom improvement and no unacceptable toxicity</w:t>
            </w:r>
          </w:p>
        </w:tc>
      </w:tr>
      <w:tr w:rsidR="00C3036D" w:rsidRPr="00FA3F9C" w14:paraId="04B92136" w14:textId="77777777" w:rsidTr="00396BB2">
        <w:trPr>
          <w:jc w:val="center"/>
        </w:trPr>
        <w:tc>
          <w:tcPr>
            <w:tcW w:w="10615" w:type="dxa"/>
            <w:tcBorders>
              <w:bottom w:val="single" w:sz="4" w:space="0" w:color="auto"/>
            </w:tcBorders>
          </w:tcPr>
          <w:p w14:paraId="23FB8F67" w14:textId="77777777" w:rsidR="00C3036D" w:rsidRPr="00FA3F9C" w:rsidRDefault="00C3036D" w:rsidP="007666C4">
            <w:pPr>
              <w:rPr>
                <w:rFonts w:ascii="Arial" w:hAnsi="Arial" w:cs="Arial"/>
                <w:sz w:val="24"/>
                <w:szCs w:val="24"/>
              </w:rPr>
            </w:pPr>
            <w:r w:rsidRPr="00FA3F9C">
              <w:rPr>
                <w:rFonts w:ascii="Arial" w:hAnsi="Arial" w:cs="Arial"/>
                <w:sz w:val="24"/>
                <w:szCs w:val="24"/>
              </w:rPr>
              <w:t>For polycythemia vera: Improvement in hemoglobin control or symptoms and no unacceptable toxicity</w:t>
            </w:r>
          </w:p>
        </w:tc>
      </w:tr>
      <w:tr w:rsidR="00C3036D" w:rsidRPr="00FA3F9C" w14:paraId="0AB4442B" w14:textId="77777777" w:rsidTr="00396BB2">
        <w:trPr>
          <w:jc w:val="center"/>
        </w:trPr>
        <w:tc>
          <w:tcPr>
            <w:tcW w:w="10615" w:type="dxa"/>
            <w:tcBorders>
              <w:bottom w:val="single" w:sz="4" w:space="0" w:color="auto"/>
            </w:tcBorders>
            <w:shd w:val="clear" w:color="auto" w:fill="D9D9D9"/>
          </w:tcPr>
          <w:p w14:paraId="4D3BD056" w14:textId="77777777" w:rsidR="00C3036D" w:rsidRPr="00FA3F9C" w:rsidRDefault="00C3036D" w:rsidP="00797011">
            <w:pPr>
              <w:rPr>
                <w:rFonts w:ascii="Arial" w:hAnsi="Arial" w:cs="Arial"/>
                <w:sz w:val="24"/>
                <w:szCs w:val="24"/>
              </w:rPr>
            </w:pPr>
            <w:r w:rsidRPr="00FA3F9C">
              <w:rPr>
                <w:rFonts w:ascii="Arial" w:hAnsi="Arial" w:cs="Arial"/>
                <w:sz w:val="24"/>
                <w:szCs w:val="24"/>
              </w:rPr>
              <w:t xml:space="preserve">QL: all strengths: 60 units/30 days </w:t>
            </w:r>
          </w:p>
        </w:tc>
      </w:tr>
      <w:tr w:rsidR="00C3036D" w:rsidRPr="00FA3F9C" w14:paraId="51C10003" w14:textId="77777777" w:rsidTr="00396BB2">
        <w:trPr>
          <w:jc w:val="center"/>
        </w:trPr>
        <w:tc>
          <w:tcPr>
            <w:tcW w:w="10615" w:type="dxa"/>
          </w:tcPr>
          <w:p w14:paraId="40A7DFB1" w14:textId="77777777" w:rsidR="00C3036D" w:rsidRPr="00FA3F9C" w:rsidRDefault="00C3036D" w:rsidP="00381F20">
            <w:pPr>
              <w:autoSpaceDE w:val="0"/>
              <w:autoSpaceDN w:val="0"/>
              <w:adjustRightInd w:val="0"/>
              <w:rPr>
                <w:rFonts w:ascii="Arial" w:hAnsi="Arial" w:cs="Arial"/>
                <w:sz w:val="24"/>
                <w:szCs w:val="24"/>
              </w:rPr>
            </w:pPr>
            <w:r w:rsidRPr="00FA3F9C">
              <w:rPr>
                <w:rFonts w:ascii="Arial" w:hAnsi="Arial" w:cs="Arial"/>
                <w:sz w:val="24"/>
                <w:szCs w:val="24"/>
              </w:rPr>
              <w:t xml:space="preserve">     Notes:  </w:t>
            </w:r>
          </w:p>
          <w:p w14:paraId="033D5A61" w14:textId="77777777" w:rsidR="00C3036D" w:rsidRPr="00FA3F9C" w:rsidRDefault="00C3036D" w:rsidP="00C3036D">
            <w:pPr>
              <w:numPr>
                <w:ilvl w:val="0"/>
                <w:numId w:val="93"/>
              </w:numPr>
              <w:autoSpaceDE w:val="0"/>
              <w:autoSpaceDN w:val="0"/>
              <w:adjustRightInd w:val="0"/>
              <w:spacing w:after="0" w:line="240" w:lineRule="auto"/>
              <w:ind w:left="324" w:hanging="270"/>
              <w:rPr>
                <w:rFonts w:ascii="Arial" w:hAnsi="Arial" w:cs="Arial"/>
                <w:sz w:val="24"/>
                <w:szCs w:val="24"/>
              </w:rPr>
            </w:pPr>
            <w:r w:rsidRPr="00FA3F9C">
              <w:rPr>
                <w:rFonts w:ascii="Arial" w:hAnsi="Arial" w:cs="Arial"/>
                <w:sz w:val="24"/>
                <w:szCs w:val="24"/>
              </w:rPr>
              <w:t>Myelofibrosis:</w:t>
            </w:r>
          </w:p>
          <w:p w14:paraId="63C0DCE1" w14:textId="77777777" w:rsidR="00C3036D" w:rsidRPr="00FA3F9C" w:rsidRDefault="00C3036D" w:rsidP="00D3439E">
            <w:pPr>
              <w:autoSpaceDE w:val="0"/>
              <w:autoSpaceDN w:val="0"/>
              <w:adjustRightInd w:val="0"/>
              <w:ind w:left="324"/>
              <w:rPr>
                <w:rFonts w:ascii="Arial" w:hAnsi="Arial" w:cs="Arial"/>
                <w:sz w:val="24"/>
                <w:szCs w:val="24"/>
              </w:rPr>
            </w:pPr>
            <w:r w:rsidRPr="00FA3F9C">
              <w:rPr>
                <w:rFonts w:ascii="Arial" w:hAnsi="Arial" w:cs="Arial"/>
                <w:sz w:val="24"/>
                <w:szCs w:val="24"/>
              </w:rPr>
              <w:t>-Main benefit in myelofibrosis is reduction of spleen size and symptoms. Symptoms of myelofibrosis include fatigue, bone pain, fever, pruritus, symptomatic splenomegaly (early satiety, pain), hepatomegaly.</w:t>
            </w:r>
            <w:r w:rsidRPr="00FA3F9C">
              <w:rPr>
                <w:rFonts w:ascii="Arial" w:hAnsi="Arial" w:cs="Arial"/>
                <w:sz w:val="24"/>
                <w:szCs w:val="24"/>
                <w:vertAlign w:val="superscript"/>
              </w:rPr>
              <w:t>1</w:t>
            </w:r>
          </w:p>
          <w:p w14:paraId="78E692EE" w14:textId="77777777" w:rsidR="00C3036D" w:rsidRPr="00FA3F9C" w:rsidRDefault="00C3036D" w:rsidP="00D3439E">
            <w:pPr>
              <w:autoSpaceDE w:val="0"/>
              <w:autoSpaceDN w:val="0"/>
              <w:adjustRightInd w:val="0"/>
              <w:ind w:left="324"/>
              <w:rPr>
                <w:rFonts w:ascii="Arial" w:hAnsi="Arial" w:cs="Arial"/>
                <w:sz w:val="24"/>
                <w:szCs w:val="24"/>
              </w:rPr>
            </w:pPr>
            <w:r w:rsidRPr="00FA3F9C">
              <w:rPr>
                <w:rFonts w:ascii="Arial" w:hAnsi="Arial" w:cs="Arial"/>
                <w:sz w:val="24"/>
                <w:szCs w:val="24"/>
              </w:rPr>
              <w:t>-COMFORT trials showed possible improvement in overall survival versus best available treatment which could have included systemic medication, observation, or placebo.</w:t>
            </w:r>
            <w:r w:rsidRPr="00FA3F9C">
              <w:rPr>
                <w:rFonts w:ascii="Arial" w:hAnsi="Arial" w:cs="Arial"/>
                <w:sz w:val="24"/>
                <w:szCs w:val="24"/>
                <w:vertAlign w:val="superscript"/>
              </w:rPr>
              <w:t xml:space="preserve"> </w:t>
            </w:r>
            <w:r w:rsidRPr="00FA3F9C">
              <w:rPr>
                <w:rFonts w:ascii="Arial" w:hAnsi="Arial" w:cs="Arial"/>
                <w:sz w:val="24"/>
                <w:szCs w:val="24"/>
              </w:rPr>
              <w:t xml:space="preserve"> </w:t>
            </w:r>
            <w:proofErr w:type="gramStart"/>
            <w:r w:rsidRPr="00FA3F9C">
              <w:rPr>
                <w:rFonts w:ascii="Arial" w:hAnsi="Arial" w:cs="Arial"/>
                <w:sz w:val="24"/>
                <w:szCs w:val="24"/>
              </w:rPr>
              <w:t>The majority of</w:t>
            </w:r>
            <w:proofErr w:type="gramEnd"/>
            <w:r w:rsidRPr="00FA3F9C">
              <w:rPr>
                <w:rFonts w:ascii="Arial" w:hAnsi="Arial" w:cs="Arial"/>
                <w:sz w:val="24"/>
                <w:szCs w:val="24"/>
              </w:rPr>
              <w:t xml:space="preserve"> patients received prior hydroxyurea.</w:t>
            </w:r>
            <w:r w:rsidRPr="00FA3F9C">
              <w:rPr>
                <w:rFonts w:ascii="Arial" w:hAnsi="Arial" w:cs="Arial"/>
                <w:sz w:val="24"/>
                <w:szCs w:val="24"/>
                <w:vertAlign w:val="superscript"/>
              </w:rPr>
              <w:t>1</w:t>
            </w:r>
          </w:p>
          <w:p w14:paraId="409FBA95" w14:textId="77777777" w:rsidR="00C3036D" w:rsidRPr="00FA3F9C" w:rsidRDefault="00C3036D" w:rsidP="00D3439E">
            <w:pPr>
              <w:autoSpaceDE w:val="0"/>
              <w:autoSpaceDN w:val="0"/>
              <w:adjustRightInd w:val="0"/>
              <w:ind w:left="324"/>
              <w:rPr>
                <w:rFonts w:ascii="Arial" w:hAnsi="Arial" w:cs="Arial"/>
                <w:sz w:val="24"/>
                <w:szCs w:val="24"/>
              </w:rPr>
            </w:pPr>
            <w:r w:rsidRPr="00FA3F9C">
              <w:rPr>
                <w:rFonts w:ascii="Arial" w:hAnsi="Arial" w:cs="Arial"/>
                <w:sz w:val="24"/>
                <w:szCs w:val="24"/>
              </w:rPr>
              <w:t>-</w:t>
            </w:r>
            <w:proofErr w:type="spellStart"/>
            <w:r w:rsidRPr="00FA3F9C">
              <w:rPr>
                <w:rFonts w:ascii="Arial" w:hAnsi="Arial" w:cs="Arial"/>
                <w:sz w:val="24"/>
                <w:szCs w:val="24"/>
              </w:rPr>
              <w:t>Ruxolitinib</w:t>
            </w:r>
            <w:proofErr w:type="spellEnd"/>
            <w:r w:rsidRPr="00FA3F9C">
              <w:rPr>
                <w:rFonts w:ascii="Arial" w:hAnsi="Arial" w:cs="Arial"/>
                <w:sz w:val="24"/>
                <w:szCs w:val="24"/>
              </w:rPr>
              <w:t xml:space="preserve"> may cause thrombocytopenia. Baseline platelets count should be at least &gt;50,000 cells/mm3</w:t>
            </w:r>
          </w:p>
          <w:p w14:paraId="4AC5C55D" w14:textId="77777777" w:rsidR="00C3036D" w:rsidRPr="00FA3F9C" w:rsidRDefault="00C3036D" w:rsidP="00D3439E">
            <w:pPr>
              <w:autoSpaceDE w:val="0"/>
              <w:autoSpaceDN w:val="0"/>
              <w:adjustRightInd w:val="0"/>
              <w:ind w:left="324"/>
              <w:rPr>
                <w:rFonts w:ascii="Arial" w:hAnsi="Arial" w:cs="Arial"/>
                <w:sz w:val="24"/>
                <w:szCs w:val="24"/>
              </w:rPr>
            </w:pPr>
            <w:r w:rsidRPr="00FA3F9C">
              <w:rPr>
                <w:rFonts w:ascii="Arial" w:hAnsi="Arial" w:cs="Arial"/>
                <w:sz w:val="24"/>
                <w:szCs w:val="24"/>
              </w:rPr>
              <w:t>-</w:t>
            </w:r>
            <w:r w:rsidRPr="00FA3F9C">
              <w:rPr>
                <w:rFonts w:ascii="Arial" w:eastAsia="TimesNewRoman" w:hAnsi="Arial" w:cs="Arial"/>
                <w:sz w:val="24"/>
                <w:szCs w:val="24"/>
              </w:rPr>
              <w:t>In a sponsor-independent analysis from Mayo Clinic, there was a 92% discontinuation rate primarily for loss of treatment benefit after 9.2 months, but also because of drug AEs</w:t>
            </w:r>
            <w:r w:rsidRPr="00FA3F9C">
              <w:rPr>
                <w:rFonts w:ascii="Arial" w:eastAsia="TimesNewRoman" w:hAnsi="Arial" w:cs="Arial"/>
                <w:sz w:val="24"/>
                <w:szCs w:val="24"/>
                <w:vertAlign w:val="superscript"/>
              </w:rPr>
              <w:t>2</w:t>
            </w:r>
            <w:r w:rsidRPr="00FA3F9C">
              <w:rPr>
                <w:rFonts w:ascii="Arial" w:eastAsia="TimesNewRoman" w:hAnsi="Arial" w:cs="Arial"/>
                <w:sz w:val="24"/>
                <w:szCs w:val="24"/>
              </w:rPr>
              <w:t>.  The “</w:t>
            </w:r>
            <w:proofErr w:type="spellStart"/>
            <w:r w:rsidRPr="00FA3F9C">
              <w:rPr>
                <w:rFonts w:ascii="Arial" w:eastAsia="TimesNewRoman" w:hAnsi="Arial" w:cs="Arial"/>
                <w:sz w:val="24"/>
                <w:szCs w:val="24"/>
              </w:rPr>
              <w:t>ruxolitinib</w:t>
            </w:r>
            <w:proofErr w:type="spellEnd"/>
            <w:r w:rsidRPr="00FA3F9C">
              <w:rPr>
                <w:rFonts w:ascii="Arial" w:eastAsia="TimesNewRoman" w:hAnsi="Arial" w:cs="Arial"/>
                <w:sz w:val="24"/>
                <w:szCs w:val="24"/>
              </w:rPr>
              <w:t xml:space="preserve"> withdrawal syndrome” is manifested by acute relapse of disease symptoms, accelerated splenomegaly, worsening of </w:t>
            </w:r>
            <w:proofErr w:type="spellStart"/>
            <w:r w:rsidRPr="00FA3F9C">
              <w:rPr>
                <w:rFonts w:ascii="Arial" w:eastAsia="TimesNewRoman" w:hAnsi="Arial" w:cs="Arial"/>
                <w:sz w:val="24"/>
                <w:szCs w:val="24"/>
              </w:rPr>
              <w:t>cytopenias</w:t>
            </w:r>
            <w:proofErr w:type="spellEnd"/>
            <w:r w:rsidRPr="00FA3F9C">
              <w:rPr>
                <w:rFonts w:ascii="Arial" w:eastAsia="TimesNewRoman" w:hAnsi="Arial" w:cs="Arial"/>
                <w:sz w:val="24"/>
                <w:szCs w:val="24"/>
              </w:rPr>
              <w:t>, and occasional hemodynamic decompensation including septic shock-like syndrome. Reduce dose by ~5 mg bid per week.</w:t>
            </w:r>
          </w:p>
          <w:p w14:paraId="20315575" w14:textId="77777777" w:rsidR="00C3036D" w:rsidRPr="00FA3F9C" w:rsidRDefault="00C3036D" w:rsidP="00D3439E">
            <w:pPr>
              <w:autoSpaceDE w:val="0"/>
              <w:autoSpaceDN w:val="0"/>
              <w:adjustRightInd w:val="0"/>
              <w:ind w:left="324"/>
              <w:rPr>
                <w:rFonts w:ascii="Arial" w:hAnsi="Arial" w:cs="Arial"/>
                <w:sz w:val="24"/>
                <w:szCs w:val="24"/>
              </w:rPr>
            </w:pPr>
            <w:r w:rsidRPr="00FA3F9C">
              <w:rPr>
                <w:rFonts w:ascii="Arial" w:hAnsi="Arial" w:cs="Arial"/>
                <w:sz w:val="24"/>
                <w:szCs w:val="24"/>
              </w:rPr>
              <w:t>-</w:t>
            </w:r>
            <w:r w:rsidRPr="00FA3F9C">
              <w:rPr>
                <w:rFonts w:ascii="Arial" w:eastAsia="TimesNewRoman" w:hAnsi="Arial" w:cs="Arial"/>
                <w:sz w:val="24"/>
                <w:szCs w:val="24"/>
              </w:rPr>
              <w:t>Side effects such as thrombocytopenia, worsening anemia, and the withdrawal syndrome should be communicated with the patients before beginning therapy.</w:t>
            </w:r>
          </w:p>
          <w:p w14:paraId="1FA826B9" w14:textId="77777777" w:rsidR="00C3036D" w:rsidRPr="00FA3F9C" w:rsidRDefault="00C3036D" w:rsidP="00D3439E">
            <w:pPr>
              <w:autoSpaceDE w:val="0"/>
              <w:autoSpaceDN w:val="0"/>
              <w:adjustRightInd w:val="0"/>
              <w:ind w:left="324"/>
              <w:rPr>
                <w:rFonts w:ascii="Arial" w:hAnsi="Arial" w:cs="Arial"/>
                <w:sz w:val="24"/>
                <w:szCs w:val="24"/>
              </w:rPr>
            </w:pPr>
            <w:r w:rsidRPr="00FA3F9C">
              <w:rPr>
                <w:rFonts w:ascii="Arial" w:hAnsi="Arial" w:cs="Arial"/>
                <w:sz w:val="24"/>
                <w:szCs w:val="24"/>
              </w:rPr>
              <w:lastRenderedPageBreak/>
              <w:t>-</w:t>
            </w:r>
            <w:r w:rsidRPr="00FA3F9C">
              <w:rPr>
                <w:rFonts w:ascii="Arial" w:eastAsia="TimesNewRoman" w:hAnsi="Arial" w:cs="Arial"/>
                <w:sz w:val="24"/>
                <w:szCs w:val="24"/>
              </w:rPr>
              <w:t>The package insert directs the physician to d</w:t>
            </w:r>
            <w:r w:rsidRPr="00FA3F9C">
              <w:rPr>
                <w:rFonts w:ascii="Arial" w:hAnsi="Arial" w:cs="Arial"/>
                <w:sz w:val="24"/>
                <w:szCs w:val="24"/>
              </w:rPr>
              <w:t>iscontinue after 6 months if no spleen reduction or symptom improvement.</w:t>
            </w:r>
            <w:r w:rsidRPr="00FA3F9C">
              <w:rPr>
                <w:rFonts w:ascii="Arial" w:hAnsi="Arial" w:cs="Arial"/>
                <w:sz w:val="24"/>
                <w:szCs w:val="24"/>
                <w:vertAlign w:val="superscript"/>
              </w:rPr>
              <w:t>3</w:t>
            </w:r>
          </w:p>
          <w:p w14:paraId="10E24A0C" w14:textId="77777777" w:rsidR="00C3036D" w:rsidRPr="00FA3F9C" w:rsidRDefault="00C3036D" w:rsidP="00D3439E">
            <w:pPr>
              <w:autoSpaceDE w:val="0"/>
              <w:autoSpaceDN w:val="0"/>
              <w:adjustRightInd w:val="0"/>
              <w:rPr>
                <w:rFonts w:ascii="Arial" w:hAnsi="Arial" w:cs="Arial"/>
                <w:sz w:val="24"/>
                <w:szCs w:val="24"/>
              </w:rPr>
            </w:pPr>
            <w:r w:rsidRPr="00FA3F9C">
              <w:rPr>
                <w:rFonts w:ascii="Arial" w:hAnsi="Arial" w:cs="Arial"/>
                <w:sz w:val="24"/>
                <w:szCs w:val="24"/>
              </w:rPr>
              <w:t>2. Polycythemia vera (PV)</w:t>
            </w:r>
          </w:p>
          <w:p w14:paraId="543F62BC" w14:textId="77777777" w:rsidR="00C3036D" w:rsidRPr="00FA3F9C" w:rsidRDefault="00C3036D" w:rsidP="00A1666A">
            <w:pPr>
              <w:autoSpaceDE w:val="0"/>
              <w:autoSpaceDN w:val="0"/>
              <w:adjustRightInd w:val="0"/>
              <w:ind w:left="337"/>
              <w:rPr>
                <w:rFonts w:ascii="Arial" w:hAnsi="Arial" w:cs="Arial"/>
                <w:sz w:val="24"/>
                <w:szCs w:val="24"/>
              </w:rPr>
            </w:pPr>
            <w:r w:rsidRPr="00FA3F9C">
              <w:rPr>
                <w:rFonts w:ascii="Arial" w:hAnsi="Arial" w:cs="Arial"/>
                <w:sz w:val="24"/>
                <w:szCs w:val="24"/>
              </w:rPr>
              <w:t>-Main benefit for PV is hemoglobin control and reduction in spleen volume compared with other therapies</w:t>
            </w:r>
            <w:r w:rsidRPr="00FA3F9C">
              <w:rPr>
                <w:rFonts w:ascii="Arial" w:hAnsi="Arial" w:cs="Arial"/>
                <w:sz w:val="24"/>
                <w:szCs w:val="24"/>
                <w:vertAlign w:val="superscript"/>
              </w:rPr>
              <w:t>4</w:t>
            </w:r>
            <w:r w:rsidRPr="00FA3F9C">
              <w:rPr>
                <w:rFonts w:ascii="Arial" w:hAnsi="Arial" w:cs="Arial"/>
                <w:sz w:val="24"/>
                <w:szCs w:val="24"/>
              </w:rPr>
              <w:t xml:space="preserve">. No mortality data available. </w:t>
            </w:r>
          </w:p>
          <w:p w14:paraId="1EBB9EDD" w14:textId="77777777" w:rsidR="00C3036D" w:rsidRPr="00FA3F9C" w:rsidRDefault="00C3036D" w:rsidP="00A1666A">
            <w:pPr>
              <w:autoSpaceDE w:val="0"/>
              <w:autoSpaceDN w:val="0"/>
              <w:adjustRightInd w:val="0"/>
              <w:ind w:left="337"/>
              <w:rPr>
                <w:rFonts w:ascii="Arial" w:hAnsi="Arial" w:cs="Arial"/>
                <w:sz w:val="24"/>
                <w:szCs w:val="24"/>
              </w:rPr>
            </w:pPr>
          </w:p>
          <w:p w14:paraId="1ECA5296" w14:textId="77777777" w:rsidR="00C3036D" w:rsidRPr="00FA3F9C" w:rsidRDefault="00C3036D" w:rsidP="003C7611">
            <w:pPr>
              <w:rPr>
                <w:rFonts w:ascii="Arial" w:hAnsi="Arial" w:cs="Arial"/>
                <w:b/>
                <w:sz w:val="24"/>
                <w:szCs w:val="24"/>
              </w:rPr>
            </w:pPr>
          </w:p>
          <w:p w14:paraId="52CF1736" w14:textId="77777777" w:rsidR="00C3036D" w:rsidRPr="00FA3F9C" w:rsidRDefault="00C3036D" w:rsidP="003C7611">
            <w:pPr>
              <w:rPr>
                <w:rFonts w:ascii="Arial" w:hAnsi="Arial" w:cs="Arial"/>
                <w:b/>
                <w:sz w:val="24"/>
                <w:szCs w:val="24"/>
              </w:rPr>
            </w:pPr>
          </w:p>
          <w:p w14:paraId="6DBA60D6" w14:textId="77777777" w:rsidR="00C3036D" w:rsidRPr="00FA3F9C" w:rsidRDefault="00C3036D" w:rsidP="003C7611">
            <w:pPr>
              <w:rPr>
                <w:rFonts w:ascii="Arial" w:hAnsi="Arial" w:cs="Arial"/>
                <w:b/>
                <w:sz w:val="24"/>
                <w:szCs w:val="24"/>
              </w:rPr>
            </w:pPr>
          </w:p>
          <w:p w14:paraId="2221D300" w14:textId="77777777" w:rsidR="00C3036D" w:rsidRPr="00FA3F9C" w:rsidRDefault="00C3036D" w:rsidP="003C7611">
            <w:pPr>
              <w:rPr>
                <w:rFonts w:ascii="Arial" w:hAnsi="Arial" w:cs="Arial"/>
                <w:b/>
                <w:sz w:val="24"/>
                <w:szCs w:val="24"/>
              </w:rPr>
            </w:pPr>
          </w:p>
          <w:p w14:paraId="06A87827" w14:textId="77777777" w:rsidR="00C3036D" w:rsidRPr="00FA3F9C" w:rsidRDefault="00C3036D" w:rsidP="003C7611">
            <w:pPr>
              <w:rPr>
                <w:rFonts w:ascii="Arial" w:hAnsi="Arial" w:cs="Arial"/>
                <w:b/>
                <w:sz w:val="24"/>
                <w:szCs w:val="24"/>
              </w:rPr>
            </w:pPr>
          </w:p>
          <w:p w14:paraId="081618C8" w14:textId="77777777" w:rsidR="00C3036D" w:rsidRPr="00FA3F9C" w:rsidRDefault="00C3036D" w:rsidP="003C7611">
            <w:pPr>
              <w:rPr>
                <w:rFonts w:ascii="Arial" w:hAnsi="Arial" w:cs="Arial"/>
                <w:b/>
                <w:sz w:val="24"/>
                <w:szCs w:val="24"/>
              </w:rPr>
            </w:pPr>
          </w:p>
          <w:p w14:paraId="52C1755D" w14:textId="77777777" w:rsidR="00C3036D" w:rsidRPr="00FA3F9C" w:rsidRDefault="00C3036D" w:rsidP="003C7611">
            <w:pPr>
              <w:rPr>
                <w:rFonts w:ascii="Arial" w:hAnsi="Arial" w:cs="Arial"/>
                <w:b/>
                <w:sz w:val="24"/>
                <w:szCs w:val="24"/>
              </w:rPr>
            </w:pPr>
            <w:r w:rsidRPr="00FA3F9C">
              <w:rPr>
                <w:rFonts w:ascii="Arial" w:hAnsi="Arial" w:cs="Arial"/>
                <w:b/>
                <w:sz w:val="24"/>
                <w:szCs w:val="24"/>
              </w:rPr>
              <w:t>**see next page**</w:t>
            </w:r>
          </w:p>
          <w:p w14:paraId="62C06047" w14:textId="77777777" w:rsidR="00C3036D" w:rsidRPr="00FA3F9C" w:rsidRDefault="00C3036D" w:rsidP="003C7611">
            <w:pPr>
              <w:rPr>
                <w:rFonts w:ascii="Arial" w:hAnsi="Arial" w:cs="Arial"/>
                <w:b/>
                <w:sz w:val="24"/>
                <w:szCs w:val="24"/>
              </w:rPr>
            </w:pPr>
          </w:p>
          <w:p w14:paraId="093A686D" w14:textId="77777777" w:rsidR="00C3036D" w:rsidRPr="00FA3F9C" w:rsidRDefault="00C3036D" w:rsidP="003C7611">
            <w:pPr>
              <w:rPr>
                <w:rFonts w:ascii="Arial" w:hAnsi="Arial" w:cs="Arial"/>
                <w:b/>
                <w:sz w:val="24"/>
                <w:szCs w:val="24"/>
              </w:rPr>
            </w:pPr>
          </w:p>
          <w:p w14:paraId="20C4CEE7" w14:textId="77777777" w:rsidR="00C3036D" w:rsidRPr="00FA3F9C" w:rsidRDefault="00C3036D" w:rsidP="003C7611">
            <w:pPr>
              <w:rPr>
                <w:rFonts w:ascii="Arial" w:hAnsi="Arial" w:cs="Arial"/>
                <w:b/>
                <w:sz w:val="24"/>
                <w:szCs w:val="24"/>
              </w:rPr>
            </w:pPr>
          </w:p>
          <w:p w14:paraId="39423B53" w14:textId="77777777" w:rsidR="00C3036D" w:rsidRPr="00FA3F9C" w:rsidRDefault="00C3036D" w:rsidP="003C7611">
            <w:pPr>
              <w:rPr>
                <w:rFonts w:ascii="Arial" w:hAnsi="Arial" w:cs="Arial"/>
                <w:b/>
                <w:sz w:val="24"/>
                <w:szCs w:val="24"/>
              </w:rPr>
            </w:pPr>
          </w:p>
          <w:p w14:paraId="3CEABCF7" w14:textId="77777777" w:rsidR="00C3036D" w:rsidRPr="00FA3F9C" w:rsidRDefault="00C3036D" w:rsidP="003C7611">
            <w:pPr>
              <w:rPr>
                <w:rFonts w:ascii="Arial" w:hAnsi="Arial" w:cs="Arial"/>
                <w:b/>
                <w:sz w:val="24"/>
                <w:szCs w:val="24"/>
              </w:rPr>
            </w:pPr>
          </w:p>
          <w:p w14:paraId="14601318" w14:textId="77777777" w:rsidR="00C3036D" w:rsidRPr="00FA3F9C" w:rsidRDefault="00C3036D" w:rsidP="003C7611">
            <w:pPr>
              <w:rPr>
                <w:rFonts w:ascii="Arial" w:hAnsi="Arial" w:cs="Arial"/>
                <w:b/>
                <w:sz w:val="24"/>
                <w:szCs w:val="24"/>
              </w:rPr>
            </w:pPr>
          </w:p>
          <w:p w14:paraId="44C93E82" w14:textId="77777777" w:rsidR="00C3036D" w:rsidRPr="00FA3F9C" w:rsidRDefault="00C3036D" w:rsidP="003C7611">
            <w:pPr>
              <w:rPr>
                <w:rFonts w:ascii="Arial" w:hAnsi="Arial" w:cs="Arial"/>
                <w:b/>
                <w:sz w:val="24"/>
                <w:szCs w:val="24"/>
              </w:rPr>
            </w:pPr>
          </w:p>
          <w:p w14:paraId="776FE34E" w14:textId="77777777" w:rsidR="00C3036D" w:rsidRPr="00FA3F9C" w:rsidRDefault="00C3036D" w:rsidP="003C7611">
            <w:pPr>
              <w:rPr>
                <w:rFonts w:ascii="Arial" w:hAnsi="Arial" w:cs="Arial"/>
                <w:b/>
                <w:sz w:val="24"/>
                <w:szCs w:val="24"/>
              </w:rPr>
            </w:pPr>
            <w:r w:rsidRPr="00FA3F9C">
              <w:rPr>
                <w:rFonts w:ascii="Arial" w:hAnsi="Arial" w:cs="Arial"/>
                <w:b/>
                <w:sz w:val="24"/>
                <w:szCs w:val="24"/>
              </w:rPr>
              <w:t>IPSS RISK STRATIFICATION for primary myelofibrosis</w:t>
            </w:r>
            <w:r w:rsidRPr="00FA3F9C">
              <w:rPr>
                <w:rFonts w:ascii="Arial" w:hAnsi="Arial" w:cs="Arial"/>
                <w:b/>
                <w:sz w:val="24"/>
                <w:szCs w:val="24"/>
                <w:vertAlign w:val="superscript"/>
              </w:rPr>
              <w:t>1</w:t>
            </w:r>
          </w:p>
          <w:p w14:paraId="1A701EA0" w14:textId="77777777" w:rsidR="00C3036D" w:rsidRPr="00FA3F9C" w:rsidRDefault="00C3036D" w:rsidP="003C7611">
            <w:pPr>
              <w:autoSpaceDE w:val="0"/>
              <w:autoSpaceDN w:val="0"/>
              <w:adjustRightInd w:val="0"/>
              <w:rPr>
                <w:rFonts w:ascii="Arial" w:hAnsi="Arial" w:cs="Arial"/>
                <w:sz w:val="24"/>
                <w:szCs w:val="24"/>
              </w:rPr>
            </w:pPr>
          </w:p>
          <w:p w14:paraId="5A539A31" w14:textId="77777777" w:rsidR="00C3036D" w:rsidRPr="00FA3F9C" w:rsidRDefault="00C3036D" w:rsidP="00A1666A">
            <w:pPr>
              <w:autoSpaceDE w:val="0"/>
              <w:autoSpaceDN w:val="0"/>
              <w:adjustRightInd w:val="0"/>
              <w:ind w:left="337"/>
              <w:rPr>
                <w:rFonts w:ascii="Arial" w:hAnsi="Arial" w:cs="Arial"/>
                <w:sz w:val="24"/>
                <w:szCs w:val="24"/>
              </w:rPr>
            </w:pPr>
            <w:r w:rsidRPr="00FA3F9C">
              <w:rPr>
                <w:rFonts w:ascii="Arial" w:hAnsi="Arial" w:cs="Arial"/>
                <w:b/>
                <w:noProof/>
                <w:sz w:val="24"/>
                <w:szCs w:val="24"/>
              </w:rPr>
              <w:drawing>
                <wp:inline distT="0" distB="0" distL="0" distR="0" wp14:anchorId="0D91EAD4" wp14:editId="31EA8967">
                  <wp:extent cx="2623185" cy="2122170"/>
                  <wp:effectExtent l="0" t="0" r="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2623185" cy="2122170"/>
                          </a:xfrm>
                          <a:prstGeom prst="rect">
                            <a:avLst/>
                          </a:prstGeom>
                          <a:noFill/>
                          <a:ln>
                            <a:noFill/>
                          </a:ln>
                        </pic:spPr>
                      </pic:pic>
                    </a:graphicData>
                  </a:graphic>
                </wp:inline>
              </w:drawing>
            </w:r>
          </w:p>
          <w:p w14:paraId="544F413C" w14:textId="77777777" w:rsidR="00C3036D" w:rsidRPr="00FA3F9C" w:rsidRDefault="00C3036D" w:rsidP="00A1666A">
            <w:pPr>
              <w:autoSpaceDE w:val="0"/>
              <w:autoSpaceDN w:val="0"/>
              <w:adjustRightInd w:val="0"/>
              <w:ind w:left="337"/>
              <w:rPr>
                <w:rFonts w:ascii="Arial" w:hAnsi="Arial" w:cs="Arial"/>
                <w:sz w:val="24"/>
                <w:szCs w:val="24"/>
              </w:rPr>
            </w:pPr>
          </w:p>
          <w:p w14:paraId="7F86892A" w14:textId="77777777" w:rsidR="00C3036D" w:rsidRPr="00FA3F9C" w:rsidRDefault="00C3036D" w:rsidP="00F57F62">
            <w:pPr>
              <w:rPr>
                <w:rFonts w:ascii="Arial" w:hAnsi="Arial" w:cs="Arial"/>
                <w:b/>
                <w:sz w:val="24"/>
                <w:szCs w:val="24"/>
              </w:rPr>
            </w:pPr>
            <w:r w:rsidRPr="00FA3F9C">
              <w:rPr>
                <w:rFonts w:ascii="Arial" w:hAnsi="Arial" w:cs="Arial"/>
                <w:b/>
                <w:sz w:val="24"/>
                <w:szCs w:val="24"/>
              </w:rPr>
              <w:t>References</w:t>
            </w:r>
          </w:p>
          <w:p w14:paraId="6748FF73" w14:textId="77777777" w:rsidR="00C3036D" w:rsidRPr="00FA3F9C" w:rsidRDefault="00C3036D" w:rsidP="00FC1E85">
            <w:pPr>
              <w:numPr>
                <w:ilvl w:val="0"/>
                <w:numId w:val="455"/>
              </w:numPr>
              <w:autoSpaceDE w:val="0"/>
              <w:autoSpaceDN w:val="0"/>
              <w:adjustRightInd w:val="0"/>
              <w:spacing w:after="0" w:line="240" w:lineRule="auto"/>
              <w:rPr>
                <w:rFonts w:ascii="Arial" w:hAnsi="Arial" w:cs="Arial"/>
                <w:sz w:val="24"/>
                <w:szCs w:val="24"/>
              </w:rPr>
            </w:pPr>
            <w:proofErr w:type="spellStart"/>
            <w:r w:rsidRPr="00FA3F9C">
              <w:rPr>
                <w:rFonts w:ascii="Arial" w:hAnsi="Arial" w:cs="Arial"/>
                <w:sz w:val="24"/>
                <w:szCs w:val="24"/>
              </w:rPr>
              <w:t>Verstovsek</w:t>
            </w:r>
            <w:proofErr w:type="spellEnd"/>
            <w:r w:rsidRPr="00FA3F9C">
              <w:rPr>
                <w:rFonts w:ascii="Arial" w:hAnsi="Arial" w:cs="Arial"/>
                <w:sz w:val="24"/>
                <w:szCs w:val="24"/>
              </w:rPr>
              <w:t xml:space="preserve"> S et al. </w:t>
            </w:r>
            <w:r w:rsidRPr="00FA3F9C">
              <w:rPr>
                <w:rFonts w:ascii="Arial" w:hAnsi="Arial" w:cs="Arial"/>
                <w:bCs/>
                <w:sz w:val="24"/>
                <w:szCs w:val="24"/>
              </w:rPr>
              <w:t xml:space="preserve">Long-term survival in patients treated with </w:t>
            </w:r>
            <w:proofErr w:type="spellStart"/>
            <w:r w:rsidRPr="00FA3F9C">
              <w:rPr>
                <w:rStyle w:val="highlight"/>
                <w:rFonts w:ascii="Arial" w:hAnsi="Arial" w:cs="Arial"/>
                <w:bCs/>
                <w:sz w:val="24"/>
                <w:szCs w:val="24"/>
              </w:rPr>
              <w:t>ruxolitinib</w:t>
            </w:r>
            <w:proofErr w:type="spellEnd"/>
            <w:r w:rsidRPr="00FA3F9C">
              <w:rPr>
                <w:rFonts w:ascii="Arial" w:hAnsi="Arial" w:cs="Arial"/>
                <w:bCs/>
                <w:sz w:val="24"/>
                <w:szCs w:val="24"/>
              </w:rPr>
              <w:t xml:space="preserve"> for myelofibrosis: </w:t>
            </w:r>
            <w:r w:rsidRPr="00FA3F9C">
              <w:rPr>
                <w:rStyle w:val="highlight"/>
                <w:rFonts w:ascii="Arial" w:hAnsi="Arial" w:cs="Arial"/>
                <w:bCs/>
                <w:sz w:val="24"/>
                <w:szCs w:val="24"/>
              </w:rPr>
              <w:t>COMFORT</w:t>
            </w:r>
            <w:r w:rsidRPr="00FA3F9C">
              <w:rPr>
                <w:rFonts w:ascii="Arial" w:hAnsi="Arial" w:cs="Arial"/>
                <w:bCs/>
                <w:sz w:val="24"/>
                <w:szCs w:val="24"/>
              </w:rPr>
              <w:t xml:space="preserve">-I and -II pooled analyses. </w:t>
            </w:r>
            <w:hyperlink r:id="rId366" w:tooltip="Journal of hematology &amp; oncology." w:history="1">
              <w:r w:rsidRPr="00FA3F9C">
                <w:rPr>
                  <w:rStyle w:val="Hyperlink"/>
                  <w:rFonts w:ascii="Arial" w:hAnsi="Arial" w:cs="Arial"/>
                  <w:sz w:val="24"/>
                  <w:szCs w:val="24"/>
                </w:rPr>
                <w:t xml:space="preserve">J </w:t>
              </w:r>
              <w:proofErr w:type="spellStart"/>
              <w:r w:rsidRPr="00FA3F9C">
                <w:rPr>
                  <w:rStyle w:val="Hyperlink"/>
                  <w:rFonts w:ascii="Arial" w:hAnsi="Arial" w:cs="Arial"/>
                  <w:sz w:val="24"/>
                  <w:szCs w:val="24"/>
                </w:rPr>
                <w:t>Hematol</w:t>
              </w:r>
              <w:proofErr w:type="spellEnd"/>
              <w:r w:rsidRPr="00FA3F9C">
                <w:rPr>
                  <w:rStyle w:val="Hyperlink"/>
                  <w:rFonts w:ascii="Arial" w:hAnsi="Arial" w:cs="Arial"/>
                  <w:sz w:val="24"/>
                  <w:szCs w:val="24"/>
                </w:rPr>
                <w:t xml:space="preserve"> Oncol.</w:t>
              </w:r>
            </w:hyperlink>
            <w:r w:rsidRPr="00FA3F9C">
              <w:rPr>
                <w:rFonts w:ascii="Arial" w:hAnsi="Arial" w:cs="Arial"/>
                <w:sz w:val="24"/>
                <w:szCs w:val="24"/>
              </w:rPr>
              <w:t xml:space="preserve"> 2017 Sep 29;10(1):156.</w:t>
            </w:r>
          </w:p>
          <w:p w14:paraId="767CCDE5" w14:textId="77777777" w:rsidR="00C3036D" w:rsidRPr="00FA3F9C" w:rsidRDefault="00C3036D" w:rsidP="00FC1E85">
            <w:pPr>
              <w:numPr>
                <w:ilvl w:val="0"/>
                <w:numId w:val="455"/>
              </w:numPr>
              <w:autoSpaceDE w:val="0"/>
              <w:autoSpaceDN w:val="0"/>
              <w:adjustRightInd w:val="0"/>
              <w:spacing w:after="0" w:line="240" w:lineRule="auto"/>
              <w:rPr>
                <w:rFonts w:ascii="Arial" w:hAnsi="Arial" w:cs="Arial"/>
                <w:sz w:val="24"/>
                <w:szCs w:val="24"/>
              </w:rPr>
            </w:pPr>
            <w:proofErr w:type="spellStart"/>
            <w:r w:rsidRPr="00FA3F9C">
              <w:rPr>
                <w:rFonts w:ascii="Arial" w:hAnsi="Arial" w:cs="Arial"/>
                <w:sz w:val="24"/>
                <w:szCs w:val="24"/>
              </w:rPr>
              <w:t>Tefferi</w:t>
            </w:r>
            <w:proofErr w:type="spellEnd"/>
            <w:r w:rsidRPr="00FA3F9C">
              <w:rPr>
                <w:rFonts w:ascii="Arial" w:hAnsi="Arial" w:cs="Arial"/>
                <w:sz w:val="24"/>
                <w:szCs w:val="24"/>
              </w:rPr>
              <w:t xml:space="preserve"> A, </w:t>
            </w:r>
            <w:proofErr w:type="spellStart"/>
            <w:r w:rsidRPr="00FA3F9C">
              <w:rPr>
                <w:rFonts w:ascii="Arial" w:hAnsi="Arial" w:cs="Arial"/>
                <w:sz w:val="24"/>
                <w:szCs w:val="24"/>
              </w:rPr>
              <w:t>Pardanani</w:t>
            </w:r>
            <w:proofErr w:type="spellEnd"/>
            <w:r w:rsidRPr="00FA3F9C">
              <w:rPr>
                <w:rFonts w:ascii="Arial" w:hAnsi="Arial" w:cs="Arial"/>
                <w:sz w:val="24"/>
                <w:szCs w:val="24"/>
              </w:rPr>
              <w:t xml:space="preserve"> A.  Serious adverse events during </w:t>
            </w:r>
            <w:proofErr w:type="spellStart"/>
            <w:r w:rsidRPr="00FA3F9C">
              <w:rPr>
                <w:rFonts w:ascii="Arial" w:hAnsi="Arial" w:cs="Arial"/>
                <w:sz w:val="24"/>
                <w:szCs w:val="24"/>
              </w:rPr>
              <w:t>ruxolitinib</w:t>
            </w:r>
            <w:proofErr w:type="spellEnd"/>
            <w:r w:rsidRPr="00FA3F9C">
              <w:rPr>
                <w:rFonts w:ascii="Arial" w:hAnsi="Arial" w:cs="Arial"/>
                <w:sz w:val="24"/>
                <w:szCs w:val="24"/>
              </w:rPr>
              <w:t xml:space="preserve"> treatment discontinuation in patients with myelofibrosis.  Mayo Clin Proc. 2011;86(12):1188-1191.</w:t>
            </w:r>
          </w:p>
          <w:p w14:paraId="2CF3B258" w14:textId="77777777" w:rsidR="00C3036D" w:rsidRPr="00FA3F9C" w:rsidRDefault="00C3036D" w:rsidP="00FC1E85">
            <w:pPr>
              <w:numPr>
                <w:ilvl w:val="0"/>
                <w:numId w:val="455"/>
              </w:numPr>
              <w:autoSpaceDE w:val="0"/>
              <w:autoSpaceDN w:val="0"/>
              <w:adjustRightInd w:val="0"/>
              <w:spacing w:after="0" w:line="240" w:lineRule="auto"/>
              <w:rPr>
                <w:rFonts w:ascii="Arial" w:hAnsi="Arial" w:cs="Arial"/>
                <w:sz w:val="24"/>
                <w:szCs w:val="24"/>
              </w:rPr>
            </w:pPr>
            <w:r w:rsidRPr="00FA3F9C">
              <w:rPr>
                <w:rFonts w:ascii="Arial" w:hAnsi="Arial" w:cs="Arial"/>
                <w:sz w:val="24"/>
                <w:szCs w:val="24"/>
              </w:rPr>
              <w:t xml:space="preserve">Jakafi PI.  </w:t>
            </w:r>
            <w:hyperlink r:id="rId367" w:history="1">
              <w:r w:rsidRPr="00FA3F9C">
                <w:rPr>
                  <w:rStyle w:val="Hyperlink"/>
                  <w:rFonts w:ascii="Arial" w:hAnsi="Arial" w:cs="Arial"/>
                  <w:sz w:val="24"/>
                  <w:szCs w:val="24"/>
                </w:rPr>
                <w:t>http://www.incyte.com/products/uspi_jakafi.pdf</w:t>
              </w:r>
            </w:hyperlink>
            <w:r w:rsidRPr="00FA3F9C">
              <w:rPr>
                <w:rFonts w:ascii="Arial" w:hAnsi="Arial" w:cs="Arial"/>
                <w:sz w:val="24"/>
                <w:szCs w:val="24"/>
              </w:rPr>
              <w:t xml:space="preserve">  Accessed 2/2/12. And 1/13/15.</w:t>
            </w:r>
          </w:p>
          <w:p w14:paraId="1C0DA007" w14:textId="77777777" w:rsidR="00C3036D" w:rsidRPr="00FA3F9C" w:rsidRDefault="00C3036D" w:rsidP="00FC1E85">
            <w:pPr>
              <w:pStyle w:val="ListParagraph"/>
              <w:numPr>
                <w:ilvl w:val="0"/>
                <w:numId w:val="455"/>
              </w:numPr>
              <w:rPr>
                <w:rFonts w:ascii="Arial" w:hAnsi="Arial" w:cs="Arial"/>
                <w:sz w:val="24"/>
                <w:szCs w:val="24"/>
              </w:rPr>
            </w:pPr>
            <w:proofErr w:type="spellStart"/>
            <w:r w:rsidRPr="00FA3F9C">
              <w:rPr>
                <w:rFonts w:ascii="Arial" w:hAnsi="Arial" w:cs="Arial"/>
                <w:color w:val="222222"/>
                <w:sz w:val="24"/>
                <w:szCs w:val="24"/>
                <w:shd w:val="clear" w:color="auto" w:fill="FFFFFF"/>
                <w:lang w:val="fr-FR"/>
              </w:rPr>
              <w:t>Vannucchi</w:t>
            </w:r>
            <w:proofErr w:type="spellEnd"/>
            <w:r w:rsidRPr="00FA3F9C">
              <w:rPr>
                <w:rFonts w:ascii="Arial" w:hAnsi="Arial" w:cs="Arial"/>
                <w:color w:val="222222"/>
                <w:sz w:val="24"/>
                <w:szCs w:val="24"/>
                <w:shd w:val="clear" w:color="auto" w:fill="FFFFFF"/>
                <w:lang w:val="fr-FR"/>
              </w:rPr>
              <w:t xml:space="preserve">, Alessandro M., et al. </w:t>
            </w:r>
            <w:r w:rsidRPr="00FA3F9C">
              <w:rPr>
                <w:rFonts w:ascii="Arial" w:hAnsi="Arial" w:cs="Arial"/>
                <w:color w:val="222222"/>
                <w:sz w:val="24"/>
                <w:szCs w:val="24"/>
                <w:shd w:val="clear" w:color="auto" w:fill="FFFFFF"/>
              </w:rPr>
              <w:t>"</w:t>
            </w:r>
            <w:proofErr w:type="spellStart"/>
            <w:r w:rsidRPr="00FA3F9C">
              <w:rPr>
                <w:rFonts w:ascii="Arial" w:hAnsi="Arial" w:cs="Arial"/>
                <w:color w:val="222222"/>
                <w:sz w:val="24"/>
                <w:szCs w:val="24"/>
                <w:shd w:val="clear" w:color="auto" w:fill="FFFFFF"/>
              </w:rPr>
              <w:t>Ruxolitinib</w:t>
            </w:r>
            <w:proofErr w:type="spellEnd"/>
            <w:r w:rsidRPr="00FA3F9C">
              <w:rPr>
                <w:rFonts w:ascii="Arial" w:hAnsi="Arial" w:cs="Arial"/>
                <w:color w:val="222222"/>
                <w:sz w:val="24"/>
                <w:szCs w:val="24"/>
                <w:shd w:val="clear" w:color="auto" w:fill="FFFFFF"/>
              </w:rPr>
              <w:t xml:space="preserve"> versus standard therapy for the treatment of polycythemia vera." </w:t>
            </w:r>
            <w:r w:rsidRPr="00FA3F9C">
              <w:rPr>
                <w:rFonts w:ascii="Arial" w:hAnsi="Arial" w:cs="Arial"/>
                <w:i/>
                <w:iCs/>
                <w:color w:val="222222"/>
                <w:sz w:val="24"/>
                <w:szCs w:val="24"/>
                <w:shd w:val="clear" w:color="auto" w:fill="FFFFFF"/>
              </w:rPr>
              <w:t>New England Journal of Medicine</w:t>
            </w:r>
            <w:r w:rsidRPr="00FA3F9C">
              <w:rPr>
                <w:rFonts w:ascii="Arial" w:hAnsi="Arial" w:cs="Arial"/>
                <w:color w:val="222222"/>
                <w:sz w:val="24"/>
                <w:szCs w:val="24"/>
                <w:shd w:val="clear" w:color="auto" w:fill="FFFFFF"/>
              </w:rPr>
              <w:t> 372.5 (2015): 426-435.</w:t>
            </w:r>
          </w:p>
        </w:tc>
      </w:tr>
    </w:tbl>
    <w:p w14:paraId="742A5A43" w14:textId="77777777" w:rsidR="00C3036D" w:rsidRPr="00FA3F9C" w:rsidRDefault="00C3036D" w:rsidP="00B5138D">
      <w:pPr>
        <w:rPr>
          <w:rFonts w:ascii="Arial" w:hAnsi="Arial" w:cs="Arial"/>
          <w:sz w:val="24"/>
          <w:szCs w:val="24"/>
        </w:rPr>
      </w:pPr>
    </w:p>
    <w:p w14:paraId="17D5C11E" w14:textId="77777777" w:rsidR="00C3036D" w:rsidRPr="00FA3F9C" w:rsidRDefault="00C3036D" w:rsidP="00B5138D">
      <w:pPr>
        <w:rPr>
          <w:rFonts w:ascii="Arial" w:hAnsi="Arial" w:cs="Arial"/>
          <w:b/>
          <w:sz w:val="24"/>
          <w:szCs w:val="24"/>
        </w:rPr>
      </w:pPr>
    </w:p>
    <w:p w14:paraId="7E5E4A47" w14:textId="77777777" w:rsidR="00C3036D" w:rsidRPr="00FA3F9C" w:rsidRDefault="00C3036D" w:rsidP="00B5138D">
      <w:pPr>
        <w:rPr>
          <w:rFonts w:ascii="Arial" w:hAnsi="Arial" w:cs="Arial"/>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15"/>
      </w:tblGrid>
      <w:tr w:rsidR="00C3036D" w:rsidRPr="00FA3F9C" w14:paraId="7C669ED5" w14:textId="77777777" w:rsidTr="00040561">
        <w:trPr>
          <w:jc w:val="center"/>
        </w:trPr>
        <w:tc>
          <w:tcPr>
            <w:tcW w:w="10615" w:type="dxa"/>
            <w:tcBorders>
              <w:bottom w:val="single" w:sz="4" w:space="0" w:color="auto"/>
            </w:tcBorders>
            <w:shd w:val="clear" w:color="auto" w:fill="000000" w:themeFill="text1"/>
          </w:tcPr>
          <w:p w14:paraId="02547058" w14:textId="77777777" w:rsidR="00C3036D" w:rsidRPr="00FA3F9C" w:rsidRDefault="00C3036D" w:rsidP="003C7611">
            <w:pPr>
              <w:pStyle w:val="Default"/>
              <w:rPr>
                <w:rFonts w:ascii="Arial" w:hAnsi="Arial" w:cs="Arial"/>
              </w:rPr>
            </w:pPr>
            <w:r w:rsidRPr="00FA3F9C">
              <w:rPr>
                <w:rFonts w:ascii="Arial" w:hAnsi="Arial" w:cs="Arial"/>
                <w:color w:val="FFFFFF" w:themeColor="background1"/>
              </w:rPr>
              <w:t xml:space="preserve">CRITERIA FOR </w:t>
            </w:r>
            <w:r w:rsidRPr="00FA3F9C">
              <w:rPr>
                <w:rFonts w:ascii="Arial" w:hAnsi="Arial" w:cs="Arial"/>
                <w:b/>
                <w:color w:val="FFFFFF" w:themeColor="background1"/>
              </w:rPr>
              <w:t>ACUTE</w:t>
            </w:r>
            <w:r w:rsidRPr="00FA3F9C">
              <w:rPr>
                <w:rFonts w:ascii="Arial" w:hAnsi="Arial" w:cs="Arial"/>
                <w:color w:val="FFFFFF" w:themeColor="background1"/>
              </w:rPr>
              <w:t xml:space="preserve"> GRAFT VERSUS HOST DISEASE (GVHD)</w:t>
            </w:r>
          </w:p>
        </w:tc>
      </w:tr>
      <w:tr w:rsidR="00C3036D" w:rsidRPr="00FA3F9C" w14:paraId="731671D6" w14:textId="77777777" w:rsidTr="00040561">
        <w:trPr>
          <w:jc w:val="center"/>
        </w:trPr>
        <w:tc>
          <w:tcPr>
            <w:tcW w:w="10615" w:type="dxa"/>
            <w:tcBorders>
              <w:bottom w:val="single" w:sz="4" w:space="0" w:color="auto"/>
            </w:tcBorders>
          </w:tcPr>
          <w:p w14:paraId="07E83A6F" w14:textId="77777777" w:rsidR="00C3036D" w:rsidRPr="00FA3F9C" w:rsidRDefault="00C3036D" w:rsidP="003C7611">
            <w:pPr>
              <w:pStyle w:val="Default"/>
              <w:rPr>
                <w:rFonts w:ascii="Arial" w:hAnsi="Arial" w:cs="Arial"/>
              </w:rPr>
            </w:pPr>
            <w:r w:rsidRPr="00FA3F9C">
              <w:rPr>
                <w:rFonts w:ascii="Arial" w:hAnsi="Arial" w:cs="Arial"/>
              </w:rPr>
              <w:t>1. Age at least 12 years</w:t>
            </w:r>
          </w:p>
        </w:tc>
      </w:tr>
      <w:tr w:rsidR="00C3036D" w:rsidRPr="00FA3F9C" w14:paraId="68DCD32D" w14:textId="77777777" w:rsidTr="00040561">
        <w:trPr>
          <w:jc w:val="center"/>
        </w:trPr>
        <w:tc>
          <w:tcPr>
            <w:tcW w:w="10615" w:type="dxa"/>
            <w:tcBorders>
              <w:bottom w:val="single" w:sz="4" w:space="0" w:color="auto"/>
            </w:tcBorders>
          </w:tcPr>
          <w:p w14:paraId="3F1A23D1" w14:textId="77777777" w:rsidR="00C3036D" w:rsidRPr="00FA3F9C" w:rsidRDefault="00C3036D" w:rsidP="003C7611">
            <w:pPr>
              <w:pStyle w:val="Default"/>
              <w:rPr>
                <w:rFonts w:ascii="Arial" w:hAnsi="Arial" w:cs="Arial"/>
              </w:rPr>
            </w:pPr>
            <w:r w:rsidRPr="00FA3F9C">
              <w:rPr>
                <w:rFonts w:ascii="Arial" w:hAnsi="Arial" w:cs="Arial"/>
              </w:rPr>
              <w:t>2. Previous allogeneic hematopoietic stem cell transplant</w:t>
            </w:r>
          </w:p>
        </w:tc>
      </w:tr>
      <w:tr w:rsidR="00C3036D" w:rsidRPr="00FA3F9C" w14:paraId="29B34382" w14:textId="77777777" w:rsidTr="00040561">
        <w:trPr>
          <w:jc w:val="center"/>
        </w:trPr>
        <w:tc>
          <w:tcPr>
            <w:tcW w:w="10615" w:type="dxa"/>
            <w:tcBorders>
              <w:bottom w:val="single" w:sz="4" w:space="0" w:color="auto"/>
            </w:tcBorders>
          </w:tcPr>
          <w:p w14:paraId="7A9E65C6" w14:textId="77777777" w:rsidR="00C3036D" w:rsidRPr="00FA3F9C" w:rsidRDefault="00C3036D" w:rsidP="003C7611">
            <w:pPr>
              <w:pStyle w:val="Default"/>
              <w:rPr>
                <w:rFonts w:ascii="Arial" w:hAnsi="Arial" w:cs="Arial"/>
              </w:rPr>
            </w:pPr>
            <w:r w:rsidRPr="00FA3F9C">
              <w:rPr>
                <w:rFonts w:ascii="Arial" w:hAnsi="Arial" w:cs="Arial"/>
              </w:rPr>
              <w:lastRenderedPageBreak/>
              <w:t>3. Grade II, III, or IV acute GVHD</w:t>
            </w:r>
          </w:p>
        </w:tc>
      </w:tr>
      <w:tr w:rsidR="00C3036D" w:rsidRPr="00FA3F9C" w14:paraId="53BA2FD5" w14:textId="77777777" w:rsidTr="00040561">
        <w:trPr>
          <w:jc w:val="center"/>
        </w:trPr>
        <w:tc>
          <w:tcPr>
            <w:tcW w:w="10615" w:type="dxa"/>
            <w:tcBorders>
              <w:bottom w:val="single" w:sz="4" w:space="0" w:color="auto"/>
            </w:tcBorders>
          </w:tcPr>
          <w:p w14:paraId="5D319F54" w14:textId="77777777" w:rsidR="00C3036D" w:rsidRPr="00FA3F9C" w:rsidRDefault="00C3036D" w:rsidP="00B36C49">
            <w:pPr>
              <w:pStyle w:val="Default"/>
              <w:rPr>
                <w:rFonts w:ascii="Arial" w:hAnsi="Arial" w:cs="Arial"/>
              </w:rPr>
            </w:pPr>
            <w:r w:rsidRPr="00FA3F9C">
              <w:rPr>
                <w:rFonts w:ascii="Arial" w:hAnsi="Arial" w:cs="Arial"/>
              </w:rPr>
              <w:t>4. Inadequate treatment response to corticosteroid therapy or intolerance to corticosteroid therapy</w:t>
            </w:r>
          </w:p>
        </w:tc>
      </w:tr>
      <w:tr w:rsidR="00C3036D" w:rsidRPr="00FA3F9C" w14:paraId="63E89D76" w14:textId="77777777" w:rsidTr="00040561">
        <w:trPr>
          <w:jc w:val="center"/>
        </w:trPr>
        <w:tc>
          <w:tcPr>
            <w:tcW w:w="10615" w:type="dxa"/>
            <w:tcBorders>
              <w:bottom w:val="single" w:sz="4" w:space="0" w:color="auto"/>
            </w:tcBorders>
          </w:tcPr>
          <w:p w14:paraId="28C9E1CF" w14:textId="77777777" w:rsidR="00C3036D" w:rsidRPr="00FA3F9C" w:rsidRDefault="00C3036D" w:rsidP="00B36C49">
            <w:pPr>
              <w:pStyle w:val="Default"/>
              <w:rPr>
                <w:rFonts w:ascii="Arial" w:hAnsi="Arial" w:cs="Arial"/>
              </w:rPr>
            </w:pPr>
            <w:r w:rsidRPr="00FA3F9C">
              <w:rPr>
                <w:rFonts w:ascii="Arial" w:hAnsi="Arial" w:cs="Arial"/>
              </w:rPr>
              <w:t>5. Absence of serious active infection</w:t>
            </w:r>
          </w:p>
        </w:tc>
      </w:tr>
      <w:tr w:rsidR="00C3036D" w:rsidRPr="00FA3F9C" w14:paraId="4F5A4EA6" w14:textId="77777777" w:rsidTr="00040561">
        <w:trPr>
          <w:jc w:val="center"/>
        </w:trPr>
        <w:tc>
          <w:tcPr>
            <w:tcW w:w="10615" w:type="dxa"/>
            <w:tcBorders>
              <w:bottom w:val="single" w:sz="4" w:space="0" w:color="auto"/>
            </w:tcBorders>
            <w:shd w:val="clear" w:color="auto" w:fill="D9D9D9"/>
          </w:tcPr>
          <w:p w14:paraId="6DED9AD8" w14:textId="77777777" w:rsidR="00C3036D" w:rsidRPr="00FA3F9C" w:rsidRDefault="00C3036D" w:rsidP="003C7611">
            <w:pPr>
              <w:rPr>
                <w:rFonts w:ascii="Arial" w:hAnsi="Arial" w:cs="Arial"/>
                <w:sz w:val="24"/>
                <w:szCs w:val="24"/>
              </w:rPr>
            </w:pPr>
            <w:r w:rsidRPr="00FA3F9C">
              <w:rPr>
                <w:rFonts w:ascii="Arial" w:hAnsi="Arial" w:cs="Arial"/>
                <w:sz w:val="24"/>
                <w:szCs w:val="24"/>
              </w:rPr>
              <w:t xml:space="preserve">If all criteria met, approve for 12 months </w:t>
            </w:r>
          </w:p>
        </w:tc>
      </w:tr>
      <w:tr w:rsidR="00C3036D" w:rsidRPr="00FA3F9C" w14:paraId="3C33B4E0" w14:textId="77777777" w:rsidTr="00040561">
        <w:trPr>
          <w:jc w:val="center"/>
        </w:trPr>
        <w:tc>
          <w:tcPr>
            <w:tcW w:w="10615" w:type="dxa"/>
            <w:tcBorders>
              <w:bottom w:val="single" w:sz="4" w:space="0" w:color="auto"/>
            </w:tcBorders>
            <w:shd w:val="clear" w:color="auto" w:fill="D9D9D9"/>
          </w:tcPr>
          <w:p w14:paraId="56880BA6" w14:textId="77777777" w:rsidR="00C3036D" w:rsidRPr="00FA3F9C" w:rsidRDefault="00C3036D" w:rsidP="00040561">
            <w:pPr>
              <w:rPr>
                <w:rFonts w:ascii="Arial" w:hAnsi="Arial" w:cs="Arial"/>
                <w:sz w:val="24"/>
                <w:szCs w:val="24"/>
              </w:rPr>
            </w:pPr>
            <w:r w:rsidRPr="00FA3F9C">
              <w:rPr>
                <w:rFonts w:ascii="Arial" w:hAnsi="Arial" w:cs="Arial"/>
                <w:sz w:val="24"/>
                <w:szCs w:val="24"/>
              </w:rPr>
              <w:t xml:space="preserve">QL: all strengths: 60 units/30 days </w:t>
            </w:r>
          </w:p>
        </w:tc>
      </w:tr>
      <w:tr w:rsidR="00C3036D" w:rsidRPr="00FA3F9C" w14:paraId="0555E5C5" w14:textId="77777777" w:rsidTr="00040561">
        <w:trPr>
          <w:jc w:val="center"/>
        </w:trPr>
        <w:tc>
          <w:tcPr>
            <w:tcW w:w="10615" w:type="dxa"/>
          </w:tcPr>
          <w:p w14:paraId="26AEB97D" w14:textId="77777777" w:rsidR="00C3036D" w:rsidRPr="00FA3F9C" w:rsidRDefault="00C3036D" w:rsidP="00040561">
            <w:pPr>
              <w:autoSpaceDE w:val="0"/>
              <w:autoSpaceDN w:val="0"/>
              <w:adjustRightInd w:val="0"/>
              <w:rPr>
                <w:rFonts w:ascii="Arial" w:hAnsi="Arial" w:cs="Arial"/>
                <w:sz w:val="24"/>
                <w:szCs w:val="24"/>
              </w:rPr>
            </w:pPr>
            <w:r w:rsidRPr="00FA3F9C">
              <w:rPr>
                <w:rFonts w:ascii="Arial" w:hAnsi="Arial" w:cs="Arial"/>
                <w:sz w:val="24"/>
                <w:szCs w:val="24"/>
              </w:rPr>
              <w:t xml:space="preserve">Notes:  </w:t>
            </w:r>
          </w:p>
          <w:p w14:paraId="180EA829" w14:textId="77777777" w:rsidR="00C3036D" w:rsidRPr="00FA3F9C" w:rsidRDefault="00C3036D" w:rsidP="00F57F62">
            <w:pPr>
              <w:autoSpaceDE w:val="0"/>
              <w:autoSpaceDN w:val="0"/>
              <w:adjustRightInd w:val="0"/>
              <w:ind w:left="337"/>
              <w:rPr>
                <w:rFonts w:ascii="Arial" w:hAnsi="Arial" w:cs="Arial"/>
                <w:sz w:val="24"/>
                <w:szCs w:val="24"/>
              </w:rPr>
            </w:pPr>
            <w:proofErr w:type="spellStart"/>
            <w:r w:rsidRPr="00FA3F9C">
              <w:rPr>
                <w:rFonts w:ascii="Arial" w:hAnsi="Arial" w:cs="Arial"/>
                <w:sz w:val="24"/>
                <w:szCs w:val="24"/>
              </w:rPr>
              <w:t>Ruxolitinib</w:t>
            </w:r>
            <w:proofErr w:type="spellEnd"/>
            <w:r w:rsidRPr="00FA3F9C">
              <w:rPr>
                <w:rFonts w:ascii="Arial" w:hAnsi="Arial" w:cs="Arial"/>
                <w:sz w:val="24"/>
                <w:szCs w:val="24"/>
              </w:rPr>
              <w:t xml:space="preserve"> was compared to best available therapy (BAT). The </w:t>
            </w:r>
            <w:proofErr w:type="spellStart"/>
            <w:r w:rsidRPr="00FA3F9C">
              <w:rPr>
                <w:rFonts w:ascii="Arial" w:hAnsi="Arial" w:cs="Arial"/>
                <w:sz w:val="24"/>
                <w:szCs w:val="24"/>
              </w:rPr>
              <w:t>ruxolitinib</w:t>
            </w:r>
            <w:proofErr w:type="spellEnd"/>
            <w:r w:rsidRPr="00FA3F9C">
              <w:rPr>
                <w:rFonts w:ascii="Arial" w:hAnsi="Arial" w:cs="Arial"/>
                <w:sz w:val="24"/>
                <w:szCs w:val="24"/>
              </w:rPr>
              <w:t xml:space="preserve"> group showed a higher response rate than BAT (62% vs 39%). Response rate is based on improvement of any combination of symptoms caused by GVHD (rash, liver dysfunction, diarrhea, nausea/vomiting). </w:t>
            </w:r>
          </w:p>
        </w:tc>
      </w:tr>
    </w:tbl>
    <w:p w14:paraId="4B5C64DF" w14:textId="77777777" w:rsidR="00C3036D" w:rsidRPr="00FA3F9C" w:rsidRDefault="00C3036D" w:rsidP="00B5138D">
      <w:pPr>
        <w:rPr>
          <w:rFonts w:ascii="Arial" w:hAnsi="Arial" w:cs="Arial"/>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15"/>
      </w:tblGrid>
      <w:tr w:rsidR="00C3036D" w:rsidRPr="00FA3F9C" w14:paraId="57E8640E" w14:textId="77777777" w:rsidTr="00383E3D">
        <w:trPr>
          <w:jc w:val="center"/>
        </w:trPr>
        <w:tc>
          <w:tcPr>
            <w:tcW w:w="10615" w:type="dxa"/>
            <w:tcBorders>
              <w:bottom w:val="single" w:sz="4" w:space="0" w:color="auto"/>
            </w:tcBorders>
            <w:shd w:val="clear" w:color="auto" w:fill="000000" w:themeFill="text1"/>
          </w:tcPr>
          <w:p w14:paraId="3296A298" w14:textId="77777777" w:rsidR="00C3036D" w:rsidRPr="00FA3F9C" w:rsidRDefault="00C3036D" w:rsidP="00282902">
            <w:pPr>
              <w:pStyle w:val="Default"/>
              <w:rPr>
                <w:rFonts w:ascii="Arial" w:hAnsi="Arial" w:cs="Arial"/>
              </w:rPr>
            </w:pPr>
            <w:r w:rsidRPr="00FA3F9C">
              <w:rPr>
                <w:rFonts w:ascii="Arial" w:hAnsi="Arial" w:cs="Arial"/>
                <w:color w:val="FFFFFF" w:themeColor="background1"/>
              </w:rPr>
              <w:t xml:space="preserve">CRITERIA FOR </w:t>
            </w:r>
            <w:r w:rsidRPr="00FA3F9C">
              <w:rPr>
                <w:rFonts w:ascii="Arial" w:hAnsi="Arial" w:cs="Arial"/>
                <w:b/>
                <w:color w:val="FFFFFF" w:themeColor="background1"/>
              </w:rPr>
              <w:t>CHRONIC</w:t>
            </w:r>
            <w:r w:rsidRPr="00FA3F9C">
              <w:rPr>
                <w:rFonts w:ascii="Arial" w:hAnsi="Arial" w:cs="Arial"/>
                <w:color w:val="FFFFFF" w:themeColor="background1"/>
              </w:rPr>
              <w:t xml:space="preserve"> GRAFT VERSUS HOST DISEASE (GVHD)</w:t>
            </w:r>
          </w:p>
        </w:tc>
      </w:tr>
      <w:tr w:rsidR="00C3036D" w:rsidRPr="00FA3F9C" w14:paraId="5AF74237" w14:textId="77777777" w:rsidTr="00383E3D">
        <w:trPr>
          <w:jc w:val="center"/>
        </w:trPr>
        <w:tc>
          <w:tcPr>
            <w:tcW w:w="10615" w:type="dxa"/>
            <w:tcBorders>
              <w:bottom w:val="single" w:sz="4" w:space="0" w:color="auto"/>
            </w:tcBorders>
          </w:tcPr>
          <w:p w14:paraId="095347D4" w14:textId="77777777" w:rsidR="00C3036D" w:rsidRPr="00FA3F9C" w:rsidRDefault="00C3036D" w:rsidP="00383E3D">
            <w:pPr>
              <w:pStyle w:val="Default"/>
              <w:rPr>
                <w:rFonts w:ascii="Arial" w:hAnsi="Arial" w:cs="Arial"/>
              </w:rPr>
            </w:pPr>
            <w:r w:rsidRPr="00FA3F9C">
              <w:rPr>
                <w:rFonts w:ascii="Arial" w:hAnsi="Arial" w:cs="Arial"/>
              </w:rPr>
              <w:t>1. Age at least 12 years</w:t>
            </w:r>
          </w:p>
        </w:tc>
      </w:tr>
      <w:tr w:rsidR="00C3036D" w:rsidRPr="00FA3F9C" w14:paraId="4D2188A9" w14:textId="77777777" w:rsidTr="00383E3D">
        <w:trPr>
          <w:jc w:val="center"/>
        </w:trPr>
        <w:tc>
          <w:tcPr>
            <w:tcW w:w="10615" w:type="dxa"/>
            <w:tcBorders>
              <w:bottom w:val="single" w:sz="4" w:space="0" w:color="auto"/>
            </w:tcBorders>
          </w:tcPr>
          <w:p w14:paraId="5AB42CA4" w14:textId="77777777" w:rsidR="00C3036D" w:rsidRPr="00FA3F9C" w:rsidRDefault="00C3036D" w:rsidP="00383E3D">
            <w:pPr>
              <w:pStyle w:val="Default"/>
              <w:rPr>
                <w:rFonts w:ascii="Arial" w:hAnsi="Arial" w:cs="Arial"/>
              </w:rPr>
            </w:pPr>
            <w:r w:rsidRPr="00FA3F9C">
              <w:rPr>
                <w:rFonts w:ascii="Arial" w:hAnsi="Arial" w:cs="Arial"/>
              </w:rPr>
              <w:t>2. Previous allogeneic hematopoietic stem cell transplant</w:t>
            </w:r>
          </w:p>
        </w:tc>
      </w:tr>
      <w:tr w:rsidR="00C3036D" w:rsidRPr="00FA3F9C" w14:paraId="6E6BCD4A" w14:textId="77777777" w:rsidTr="00383E3D">
        <w:trPr>
          <w:jc w:val="center"/>
        </w:trPr>
        <w:tc>
          <w:tcPr>
            <w:tcW w:w="10615" w:type="dxa"/>
            <w:tcBorders>
              <w:bottom w:val="single" w:sz="4" w:space="0" w:color="auto"/>
            </w:tcBorders>
          </w:tcPr>
          <w:p w14:paraId="1A84A99E" w14:textId="77777777" w:rsidR="00C3036D" w:rsidRPr="00FA3F9C" w:rsidRDefault="00C3036D" w:rsidP="00282902">
            <w:pPr>
              <w:pStyle w:val="Default"/>
              <w:rPr>
                <w:rFonts w:ascii="Arial" w:hAnsi="Arial" w:cs="Arial"/>
              </w:rPr>
            </w:pPr>
            <w:r w:rsidRPr="00FA3F9C">
              <w:rPr>
                <w:rFonts w:ascii="Arial" w:hAnsi="Arial" w:cs="Arial"/>
              </w:rPr>
              <w:t>3. Diagnosis of moderate or severe chronic GVHD</w:t>
            </w:r>
          </w:p>
        </w:tc>
      </w:tr>
      <w:tr w:rsidR="00C3036D" w:rsidRPr="00FA3F9C" w14:paraId="40E43D00" w14:textId="77777777" w:rsidTr="00383E3D">
        <w:trPr>
          <w:jc w:val="center"/>
        </w:trPr>
        <w:tc>
          <w:tcPr>
            <w:tcW w:w="10615" w:type="dxa"/>
            <w:tcBorders>
              <w:bottom w:val="single" w:sz="4" w:space="0" w:color="auto"/>
            </w:tcBorders>
          </w:tcPr>
          <w:p w14:paraId="38AF873F" w14:textId="77777777" w:rsidR="00C3036D" w:rsidRPr="00FA3F9C" w:rsidRDefault="00C3036D" w:rsidP="00282902">
            <w:pPr>
              <w:pStyle w:val="Default"/>
              <w:rPr>
                <w:rFonts w:ascii="Arial" w:hAnsi="Arial" w:cs="Arial"/>
              </w:rPr>
            </w:pPr>
            <w:r w:rsidRPr="00FA3F9C">
              <w:rPr>
                <w:rFonts w:ascii="Arial" w:hAnsi="Arial" w:cs="Arial"/>
              </w:rPr>
              <w:t>4. Disease is glucocorticoid refractory or glucocorticoid dependent</w:t>
            </w:r>
          </w:p>
        </w:tc>
      </w:tr>
      <w:tr w:rsidR="00C3036D" w:rsidRPr="00FA3F9C" w14:paraId="4D67ADFE" w14:textId="77777777" w:rsidTr="00383E3D">
        <w:trPr>
          <w:jc w:val="center"/>
        </w:trPr>
        <w:tc>
          <w:tcPr>
            <w:tcW w:w="10615" w:type="dxa"/>
            <w:tcBorders>
              <w:bottom w:val="single" w:sz="4" w:space="0" w:color="auto"/>
            </w:tcBorders>
          </w:tcPr>
          <w:p w14:paraId="0F04FCEC" w14:textId="77777777" w:rsidR="00C3036D" w:rsidRPr="00FA3F9C" w:rsidRDefault="00C3036D" w:rsidP="00282902">
            <w:pPr>
              <w:pStyle w:val="Default"/>
              <w:rPr>
                <w:rFonts w:ascii="Arial" w:hAnsi="Arial" w:cs="Arial"/>
              </w:rPr>
            </w:pPr>
            <w:r w:rsidRPr="00FA3F9C">
              <w:rPr>
                <w:rFonts w:ascii="Arial" w:hAnsi="Arial" w:cs="Arial"/>
              </w:rPr>
              <w:t>5. Previously treated with at least one systemic treatment other than a corticosteroid or calcineurin inhibitor (</w:t>
            </w:r>
            <w:proofErr w:type="gramStart"/>
            <w:r w:rsidRPr="00FA3F9C">
              <w:rPr>
                <w:rFonts w:ascii="Arial" w:hAnsi="Arial" w:cs="Arial"/>
              </w:rPr>
              <w:t>e.g.</w:t>
            </w:r>
            <w:proofErr w:type="gramEnd"/>
            <w:r w:rsidRPr="00FA3F9C">
              <w:rPr>
                <w:rFonts w:ascii="Arial" w:hAnsi="Arial" w:cs="Arial"/>
              </w:rPr>
              <w:t xml:space="preserve"> ibrutinib, extracorporeal photopheresis, methotrexate, imatinib, mycophenolate mofetil, etc.)</w:t>
            </w:r>
          </w:p>
        </w:tc>
      </w:tr>
      <w:tr w:rsidR="00C3036D" w:rsidRPr="00FA3F9C" w14:paraId="722681C7" w14:textId="77777777" w:rsidTr="00383E3D">
        <w:trPr>
          <w:jc w:val="center"/>
        </w:trPr>
        <w:tc>
          <w:tcPr>
            <w:tcW w:w="10615" w:type="dxa"/>
            <w:tcBorders>
              <w:bottom w:val="single" w:sz="4" w:space="0" w:color="auto"/>
            </w:tcBorders>
          </w:tcPr>
          <w:p w14:paraId="1D8AD553" w14:textId="77777777" w:rsidR="00C3036D" w:rsidRPr="00FA3F9C" w:rsidRDefault="00C3036D" w:rsidP="00282902">
            <w:pPr>
              <w:pStyle w:val="Default"/>
              <w:rPr>
                <w:rFonts w:ascii="Arial" w:hAnsi="Arial" w:cs="Arial"/>
              </w:rPr>
            </w:pPr>
            <w:r w:rsidRPr="00FA3F9C">
              <w:rPr>
                <w:rFonts w:ascii="Arial" w:hAnsi="Arial" w:cs="Arial"/>
              </w:rPr>
              <w:t>6. Absence of serious active infection</w:t>
            </w:r>
          </w:p>
        </w:tc>
      </w:tr>
      <w:tr w:rsidR="00C3036D" w:rsidRPr="00FA3F9C" w14:paraId="20A8D471" w14:textId="77777777" w:rsidTr="00383E3D">
        <w:trPr>
          <w:jc w:val="center"/>
        </w:trPr>
        <w:tc>
          <w:tcPr>
            <w:tcW w:w="10615" w:type="dxa"/>
            <w:tcBorders>
              <w:bottom w:val="single" w:sz="4" w:space="0" w:color="auto"/>
            </w:tcBorders>
            <w:shd w:val="clear" w:color="auto" w:fill="D9D9D9"/>
          </w:tcPr>
          <w:p w14:paraId="4A4DAB13" w14:textId="77777777" w:rsidR="00C3036D" w:rsidRPr="00FA3F9C" w:rsidRDefault="00C3036D" w:rsidP="00383E3D">
            <w:pPr>
              <w:rPr>
                <w:rFonts w:ascii="Arial" w:hAnsi="Arial" w:cs="Arial"/>
                <w:sz w:val="24"/>
                <w:szCs w:val="24"/>
              </w:rPr>
            </w:pPr>
            <w:r w:rsidRPr="00FA3F9C">
              <w:rPr>
                <w:rFonts w:ascii="Arial" w:hAnsi="Arial" w:cs="Arial"/>
                <w:sz w:val="24"/>
                <w:szCs w:val="24"/>
              </w:rPr>
              <w:t xml:space="preserve">If all criteria met, approve for 12 months </w:t>
            </w:r>
          </w:p>
        </w:tc>
      </w:tr>
      <w:tr w:rsidR="00C3036D" w:rsidRPr="00FA3F9C" w14:paraId="51E3651E" w14:textId="77777777" w:rsidTr="00383E3D">
        <w:trPr>
          <w:jc w:val="center"/>
        </w:trPr>
        <w:tc>
          <w:tcPr>
            <w:tcW w:w="10615" w:type="dxa"/>
            <w:tcBorders>
              <w:bottom w:val="single" w:sz="4" w:space="0" w:color="auto"/>
            </w:tcBorders>
            <w:shd w:val="clear" w:color="auto" w:fill="D9D9D9"/>
          </w:tcPr>
          <w:p w14:paraId="07EAB30B" w14:textId="77777777" w:rsidR="00C3036D" w:rsidRPr="00FA3F9C" w:rsidRDefault="00C3036D" w:rsidP="00383E3D">
            <w:pPr>
              <w:rPr>
                <w:rFonts w:ascii="Arial" w:hAnsi="Arial" w:cs="Arial"/>
                <w:sz w:val="24"/>
                <w:szCs w:val="24"/>
              </w:rPr>
            </w:pPr>
            <w:r w:rsidRPr="00FA3F9C">
              <w:rPr>
                <w:rFonts w:ascii="Arial" w:hAnsi="Arial" w:cs="Arial"/>
                <w:sz w:val="24"/>
                <w:szCs w:val="24"/>
              </w:rPr>
              <w:t xml:space="preserve">QL: all strengths: 60 units/30 days </w:t>
            </w:r>
          </w:p>
        </w:tc>
      </w:tr>
      <w:tr w:rsidR="00C3036D" w:rsidRPr="00FA3F9C" w14:paraId="07A84FA5" w14:textId="77777777" w:rsidTr="00383E3D">
        <w:trPr>
          <w:jc w:val="center"/>
        </w:trPr>
        <w:tc>
          <w:tcPr>
            <w:tcW w:w="10615" w:type="dxa"/>
          </w:tcPr>
          <w:p w14:paraId="1BAB0B9D" w14:textId="77777777" w:rsidR="00C3036D" w:rsidRPr="00FA3F9C" w:rsidRDefault="00C3036D" w:rsidP="00383E3D">
            <w:pPr>
              <w:autoSpaceDE w:val="0"/>
              <w:autoSpaceDN w:val="0"/>
              <w:adjustRightInd w:val="0"/>
              <w:rPr>
                <w:rFonts w:ascii="Arial" w:hAnsi="Arial" w:cs="Arial"/>
                <w:sz w:val="24"/>
                <w:szCs w:val="24"/>
              </w:rPr>
            </w:pPr>
            <w:r w:rsidRPr="00FA3F9C">
              <w:rPr>
                <w:rFonts w:ascii="Arial" w:hAnsi="Arial" w:cs="Arial"/>
                <w:sz w:val="24"/>
                <w:szCs w:val="24"/>
              </w:rPr>
              <w:t xml:space="preserve">Notes:  </w:t>
            </w:r>
          </w:p>
          <w:p w14:paraId="0BE9461A" w14:textId="77777777" w:rsidR="00C3036D" w:rsidRPr="00FA3F9C" w:rsidRDefault="00C3036D" w:rsidP="00383E3D">
            <w:pPr>
              <w:autoSpaceDE w:val="0"/>
              <w:autoSpaceDN w:val="0"/>
              <w:adjustRightInd w:val="0"/>
              <w:ind w:left="337"/>
              <w:rPr>
                <w:rFonts w:ascii="Arial" w:hAnsi="Arial" w:cs="Arial"/>
                <w:sz w:val="24"/>
                <w:szCs w:val="24"/>
              </w:rPr>
            </w:pPr>
            <w:proofErr w:type="spellStart"/>
            <w:r w:rsidRPr="00FA3F9C">
              <w:rPr>
                <w:rFonts w:ascii="Arial" w:hAnsi="Arial" w:cs="Arial"/>
                <w:sz w:val="24"/>
                <w:szCs w:val="24"/>
              </w:rPr>
              <w:t>Ruxolitinib</w:t>
            </w:r>
            <w:proofErr w:type="spellEnd"/>
            <w:r w:rsidRPr="00FA3F9C">
              <w:rPr>
                <w:rFonts w:ascii="Arial" w:hAnsi="Arial" w:cs="Arial"/>
                <w:sz w:val="24"/>
                <w:szCs w:val="24"/>
              </w:rPr>
              <w:t xml:space="preserve"> was compared to best available therapy (BAT). The </w:t>
            </w:r>
            <w:proofErr w:type="spellStart"/>
            <w:r w:rsidRPr="00FA3F9C">
              <w:rPr>
                <w:rFonts w:ascii="Arial" w:hAnsi="Arial" w:cs="Arial"/>
                <w:sz w:val="24"/>
                <w:szCs w:val="24"/>
              </w:rPr>
              <w:t>ruxolitinib</w:t>
            </w:r>
            <w:proofErr w:type="spellEnd"/>
            <w:r w:rsidRPr="00FA3F9C">
              <w:rPr>
                <w:rFonts w:ascii="Arial" w:hAnsi="Arial" w:cs="Arial"/>
                <w:sz w:val="24"/>
                <w:szCs w:val="24"/>
              </w:rPr>
              <w:t xml:space="preserve"> group showed a higher response rate than BAT (49.7% vs 25.6%). Response rate is based on improvement of any combination of symptoms caused by GVHD (rash, lung function/symptoms, diarrhea, </w:t>
            </w:r>
            <w:r w:rsidRPr="00FA3F9C">
              <w:rPr>
                <w:rFonts w:ascii="Arial" w:hAnsi="Arial" w:cs="Arial"/>
                <w:sz w:val="24"/>
                <w:szCs w:val="24"/>
              </w:rPr>
              <w:lastRenderedPageBreak/>
              <w:t xml:space="preserve">nausea/vomiting, </w:t>
            </w:r>
            <w:proofErr w:type="spellStart"/>
            <w:r w:rsidRPr="00FA3F9C">
              <w:rPr>
                <w:rFonts w:ascii="Arial" w:hAnsi="Arial" w:cs="Arial"/>
                <w:sz w:val="24"/>
                <w:szCs w:val="24"/>
              </w:rPr>
              <w:t>etc</w:t>
            </w:r>
            <w:proofErr w:type="spellEnd"/>
            <w:r w:rsidRPr="00FA3F9C">
              <w:rPr>
                <w:rFonts w:ascii="Arial" w:hAnsi="Arial" w:cs="Arial"/>
                <w:sz w:val="24"/>
                <w:szCs w:val="24"/>
              </w:rPr>
              <w:t xml:space="preserve">). Patient-reported symptom scores were also improved in the </w:t>
            </w:r>
            <w:proofErr w:type="spellStart"/>
            <w:r w:rsidRPr="00FA3F9C">
              <w:rPr>
                <w:rFonts w:ascii="Arial" w:hAnsi="Arial" w:cs="Arial"/>
                <w:sz w:val="24"/>
                <w:szCs w:val="24"/>
              </w:rPr>
              <w:t>ruxolitinib</w:t>
            </w:r>
            <w:proofErr w:type="spellEnd"/>
            <w:r w:rsidRPr="00FA3F9C">
              <w:rPr>
                <w:rFonts w:ascii="Arial" w:hAnsi="Arial" w:cs="Arial"/>
                <w:sz w:val="24"/>
                <w:szCs w:val="24"/>
              </w:rPr>
              <w:t xml:space="preserve"> group.</w:t>
            </w:r>
          </w:p>
          <w:p w14:paraId="0F33128A" w14:textId="77777777" w:rsidR="00C3036D" w:rsidRPr="00FA3F9C" w:rsidRDefault="00C3036D" w:rsidP="00383E3D">
            <w:pPr>
              <w:autoSpaceDE w:val="0"/>
              <w:autoSpaceDN w:val="0"/>
              <w:adjustRightInd w:val="0"/>
              <w:ind w:left="337"/>
              <w:rPr>
                <w:rFonts w:ascii="Arial" w:hAnsi="Arial" w:cs="Arial"/>
                <w:sz w:val="24"/>
                <w:szCs w:val="24"/>
              </w:rPr>
            </w:pPr>
          </w:p>
          <w:p w14:paraId="355AE95D" w14:textId="77777777" w:rsidR="00C3036D" w:rsidRPr="00FA3F9C" w:rsidRDefault="00C3036D" w:rsidP="00383E3D">
            <w:pPr>
              <w:autoSpaceDE w:val="0"/>
              <w:autoSpaceDN w:val="0"/>
              <w:adjustRightInd w:val="0"/>
              <w:ind w:left="337"/>
              <w:rPr>
                <w:rFonts w:ascii="Arial" w:hAnsi="Arial" w:cs="Arial"/>
                <w:sz w:val="24"/>
                <w:szCs w:val="24"/>
              </w:rPr>
            </w:pPr>
            <w:r w:rsidRPr="00FA3F9C">
              <w:rPr>
                <w:rFonts w:ascii="Arial" w:hAnsi="Arial" w:cs="Arial"/>
                <w:sz w:val="24"/>
                <w:szCs w:val="24"/>
              </w:rPr>
              <w:t>References:</w:t>
            </w:r>
          </w:p>
          <w:p w14:paraId="7BB75538" w14:textId="77777777" w:rsidR="00C3036D" w:rsidRPr="00FA3F9C" w:rsidRDefault="00C3036D" w:rsidP="00670BAC">
            <w:pPr>
              <w:autoSpaceDE w:val="0"/>
              <w:autoSpaceDN w:val="0"/>
              <w:adjustRightInd w:val="0"/>
              <w:ind w:left="337"/>
              <w:rPr>
                <w:rFonts w:ascii="Arial" w:hAnsi="Arial" w:cs="Arial"/>
                <w:sz w:val="24"/>
                <w:szCs w:val="24"/>
              </w:rPr>
            </w:pPr>
            <w:proofErr w:type="spellStart"/>
            <w:r w:rsidRPr="00FA3F9C">
              <w:rPr>
                <w:rFonts w:ascii="Arial" w:hAnsi="Arial" w:cs="Arial"/>
                <w:sz w:val="24"/>
                <w:szCs w:val="24"/>
              </w:rPr>
              <w:t>Zeiser</w:t>
            </w:r>
            <w:proofErr w:type="spellEnd"/>
            <w:r w:rsidRPr="00FA3F9C">
              <w:rPr>
                <w:rFonts w:ascii="Arial" w:hAnsi="Arial" w:cs="Arial"/>
                <w:sz w:val="24"/>
                <w:szCs w:val="24"/>
              </w:rPr>
              <w:t xml:space="preserve"> R, </w:t>
            </w:r>
            <w:proofErr w:type="spellStart"/>
            <w:r w:rsidRPr="00FA3F9C">
              <w:rPr>
                <w:rFonts w:ascii="Arial" w:hAnsi="Arial" w:cs="Arial"/>
                <w:sz w:val="24"/>
                <w:szCs w:val="24"/>
              </w:rPr>
              <w:t>Polverelli</w:t>
            </w:r>
            <w:proofErr w:type="spellEnd"/>
            <w:r w:rsidRPr="00FA3F9C">
              <w:rPr>
                <w:rFonts w:ascii="Arial" w:hAnsi="Arial" w:cs="Arial"/>
                <w:sz w:val="24"/>
                <w:szCs w:val="24"/>
              </w:rPr>
              <w:t xml:space="preserve"> N, Ram R, Hashmi SK, </w:t>
            </w:r>
            <w:proofErr w:type="spellStart"/>
            <w:r w:rsidRPr="00FA3F9C">
              <w:rPr>
                <w:rFonts w:ascii="Arial" w:hAnsi="Arial" w:cs="Arial"/>
                <w:sz w:val="24"/>
                <w:szCs w:val="24"/>
              </w:rPr>
              <w:t>Chakraverty</w:t>
            </w:r>
            <w:proofErr w:type="spellEnd"/>
            <w:r w:rsidRPr="00FA3F9C">
              <w:rPr>
                <w:rFonts w:ascii="Arial" w:hAnsi="Arial" w:cs="Arial"/>
                <w:sz w:val="24"/>
                <w:szCs w:val="24"/>
              </w:rPr>
              <w:t xml:space="preserve"> R, </w:t>
            </w:r>
            <w:proofErr w:type="spellStart"/>
            <w:r w:rsidRPr="00FA3F9C">
              <w:rPr>
                <w:rFonts w:ascii="Arial" w:hAnsi="Arial" w:cs="Arial"/>
                <w:sz w:val="24"/>
                <w:szCs w:val="24"/>
              </w:rPr>
              <w:t>Middeke</w:t>
            </w:r>
            <w:proofErr w:type="spellEnd"/>
            <w:r w:rsidRPr="00FA3F9C">
              <w:rPr>
                <w:rFonts w:ascii="Arial" w:hAnsi="Arial" w:cs="Arial"/>
                <w:sz w:val="24"/>
                <w:szCs w:val="24"/>
              </w:rPr>
              <w:t xml:space="preserve"> JM, </w:t>
            </w:r>
            <w:proofErr w:type="spellStart"/>
            <w:r w:rsidRPr="00FA3F9C">
              <w:rPr>
                <w:rFonts w:ascii="Arial" w:hAnsi="Arial" w:cs="Arial"/>
                <w:sz w:val="24"/>
                <w:szCs w:val="24"/>
              </w:rPr>
              <w:t>Musso</w:t>
            </w:r>
            <w:proofErr w:type="spellEnd"/>
            <w:r w:rsidRPr="00FA3F9C">
              <w:rPr>
                <w:rFonts w:ascii="Arial" w:hAnsi="Arial" w:cs="Arial"/>
                <w:sz w:val="24"/>
                <w:szCs w:val="24"/>
              </w:rPr>
              <w:t xml:space="preserve"> M, </w:t>
            </w:r>
            <w:proofErr w:type="spellStart"/>
            <w:r w:rsidRPr="00FA3F9C">
              <w:rPr>
                <w:rFonts w:ascii="Arial" w:hAnsi="Arial" w:cs="Arial"/>
                <w:sz w:val="24"/>
                <w:szCs w:val="24"/>
              </w:rPr>
              <w:t>Giebel</w:t>
            </w:r>
            <w:proofErr w:type="spellEnd"/>
            <w:r w:rsidRPr="00FA3F9C">
              <w:rPr>
                <w:rFonts w:ascii="Arial" w:hAnsi="Arial" w:cs="Arial"/>
                <w:sz w:val="24"/>
                <w:szCs w:val="24"/>
              </w:rPr>
              <w:t xml:space="preserve"> S, </w:t>
            </w:r>
            <w:proofErr w:type="spellStart"/>
            <w:r w:rsidRPr="00FA3F9C">
              <w:rPr>
                <w:rFonts w:ascii="Arial" w:hAnsi="Arial" w:cs="Arial"/>
                <w:sz w:val="24"/>
                <w:szCs w:val="24"/>
              </w:rPr>
              <w:t>Uzay</w:t>
            </w:r>
            <w:proofErr w:type="spellEnd"/>
            <w:r w:rsidRPr="00FA3F9C">
              <w:rPr>
                <w:rFonts w:ascii="Arial" w:hAnsi="Arial" w:cs="Arial"/>
                <w:sz w:val="24"/>
                <w:szCs w:val="24"/>
              </w:rPr>
              <w:t xml:space="preserve"> A, Langmuir P, </w:t>
            </w:r>
            <w:proofErr w:type="spellStart"/>
            <w:r w:rsidRPr="00FA3F9C">
              <w:rPr>
                <w:rFonts w:ascii="Arial" w:hAnsi="Arial" w:cs="Arial"/>
                <w:sz w:val="24"/>
                <w:szCs w:val="24"/>
              </w:rPr>
              <w:t>Hollaender</w:t>
            </w:r>
            <w:proofErr w:type="spellEnd"/>
            <w:r w:rsidRPr="00FA3F9C">
              <w:rPr>
                <w:rFonts w:ascii="Arial" w:hAnsi="Arial" w:cs="Arial"/>
                <w:sz w:val="24"/>
                <w:szCs w:val="24"/>
              </w:rPr>
              <w:t xml:space="preserve"> N, Gowda M, </w:t>
            </w:r>
            <w:proofErr w:type="spellStart"/>
            <w:r w:rsidRPr="00FA3F9C">
              <w:rPr>
                <w:rFonts w:ascii="Arial" w:hAnsi="Arial" w:cs="Arial"/>
                <w:sz w:val="24"/>
                <w:szCs w:val="24"/>
              </w:rPr>
              <w:t>Stefanelli</w:t>
            </w:r>
            <w:proofErr w:type="spellEnd"/>
            <w:r w:rsidRPr="00FA3F9C">
              <w:rPr>
                <w:rFonts w:ascii="Arial" w:hAnsi="Arial" w:cs="Arial"/>
                <w:sz w:val="24"/>
                <w:szCs w:val="24"/>
              </w:rPr>
              <w:t xml:space="preserve"> T, Lee SJ, </w:t>
            </w:r>
            <w:proofErr w:type="spellStart"/>
            <w:r w:rsidRPr="00FA3F9C">
              <w:rPr>
                <w:rFonts w:ascii="Arial" w:hAnsi="Arial" w:cs="Arial"/>
                <w:sz w:val="24"/>
                <w:szCs w:val="24"/>
              </w:rPr>
              <w:t>Teshima</w:t>
            </w:r>
            <w:proofErr w:type="spellEnd"/>
            <w:r w:rsidRPr="00FA3F9C">
              <w:rPr>
                <w:rFonts w:ascii="Arial" w:hAnsi="Arial" w:cs="Arial"/>
                <w:sz w:val="24"/>
                <w:szCs w:val="24"/>
              </w:rPr>
              <w:t xml:space="preserve"> T, Locatelli F; REACH3 Investigators. </w:t>
            </w:r>
            <w:proofErr w:type="spellStart"/>
            <w:r w:rsidRPr="00FA3F9C">
              <w:rPr>
                <w:rFonts w:ascii="Arial" w:hAnsi="Arial" w:cs="Arial"/>
                <w:sz w:val="24"/>
                <w:szCs w:val="24"/>
              </w:rPr>
              <w:t>Ruxolitinib</w:t>
            </w:r>
            <w:proofErr w:type="spellEnd"/>
            <w:r w:rsidRPr="00FA3F9C">
              <w:rPr>
                <w:rFonts w:ascii="Arial" w:hAnsi="Arial" w:cs="Arial"/>
                <w:sz w:val="24"/>
                <w:szCs w:val="24"/>
              </w:rPr>
              <w:t xml:space="preserve"> for Glucocorticoid-Refractory Chronic Graft-versus-Host Disease. N </w:t>
            </w:r>
            <w:proofErr w:type="spellStart"/>
            <w:r w:rsidRPr="00FA3F9C">
              <w:rPr>
                <w:rFonts w:ascii="Arial" w:hAnsi="Arial" w:cs="Arial"/>
                <w:sz w:val="24"/>
                <w:szCs w:val="24"/>
              </w:rPr>
              <w:t>Engl</w:t>
            </w:r>
            <w:proofErr w:type="spellEnd"/>
            <w:r w:rsidRPr="00FA3F9C">
              <w:rPr>
                <w:rFonts w:ascii="Arial" w:hAnsi="Arial" w:cs="Arial"/>
                <w:sz w:val="24"/>
                <w:szCs w:val="24"/>
              </w:rPr>
              <w:t xml:space="preserve"> J Med. 2021 Jul 15;385(3):228-238. </w:t>
            </w:r>
            <w:proofErr w:type="spellStart"/>
            <w:r w:rsidRPr="00FA3F9C">
              <w:rPr>
                <w:rFonts w:ascii="Arial" w:hAnsi="Arial" w:cs="Arial"/>
                <w:sz w:val="24"/>
                <w:szCs w:val="24"/>
              </w:rPr>
              <w:t>doi</w:t>
            </w:r>
            <w:proofErr w:type="spellEnd"/>
            <w:r w:rsidRPr="00FA3F9C">
              <w:rPr>
                <w:rFonts w:ascii="Arial" w:hAnsi="Arial" w:cs="Arial"/>
                <w:sz w:val="24"/>
                <w:szCs w:val="24"/>
              </w:rPr>
              <w:t>: 10.1056/NEJMoa2033122. PMID: 34260836.</w:t>
            </w:r>
          </w:p>
          <w:p w14:paraId="434D4DA3" w14:textId="77777777" w:rsidR="00C3036D" w:rsidRPr="00FA3F9C" w:rsidRDefault="00C3036D" w:rsidP="00670BAC">
            <w:pPr>
              <w:autoSpaceDE w:val="0"/>
              <w:autoSpaceDN w:val="0"/>
              <w:adjustRightInd w:val="0"/>
              <w:ind w:left="337"/>
              <w:rPr>
                <w:rFonts w:ascii="Arial" w:hAnsi="Arial" w:cs="Arial"/>
                <w:sz w:val="24"/>
                <w:szCs w:val="24"/>
              </w:rPr>
            </w:pPr>
            <w:r w:rsidRPr="00FA3F9C">
              <w:rPr>
                <w:rFonts w:ascii="Arial" w:hAnsi="Arial" w:cs="Arial"/>
                <w:sz w:val="24"/>
                <w:szCs w:val="24"/>
              </w:rPr>
              <w:t xml:space="preserve">NIH response criteria for </w:t>
            </w:r>
            <w:proofErr w:type="spellStart"/>
            <w:r w:rsidRPr="00FA3F9C">
              <w:rPr>
                <w:rFonts w:ascii="Arial" w:hAnsi="Arial" w:cs="Arial"/>
                <w:sz w:val="24"/>
                <w:szCs w:val="24"/>
              </w:rPr>
              <w:t>cGVHD</w:t>
            </w:r>
            <w:proofErr w:type="spellEnd"/>
            <w:r w:rsidRPr="00FA3F9C">
              <w:rPr>
                <w:rFonts w:ascii="Arial" w:hAnsi="Arial" w:cs="Arial"/>
                <w:sz w:val="24"/>
                <w:szCs w:val="24"/>
              </w:rPr>
              <w:t>: https://www.sciencedirect.com/science/article/pii/S108387911500155X</w:t>
            </w:r>
          </w:p>
        </w:tc>
      </w:tr>
    </w:tbl>
    <w:p w14:paraId="5F040FDB" w14:textId="77777777" w:rsidR="00C3036D" w:rsidRPr="00FA3F9C" w:rsidRDefault="00C3036D" w:rsidP="00B5138D">
      <w:pPr>
        <w:rPr>
          <w:rFonts w:ascii="Arial" w:hAnsi="Arial" w:cs="Arial"/>
          <w:b/>
          <w:sz w:val="24"/>
          <w:szCs w:val="24"/>
        </w:rPr>
      </w:pPr>
    </w:p>
    <w:p w14:paraId="39E13720" w14:textId="77777777" w:rsidR="00C3036D" w:rsidRPr="00FA3F9C" w:rsidRDefault="00C3036D" w:rsidP="009F6979">
      <w:pPr>
        <w:autoSpaceDE w:val="0"/>
        <w:autoSpaceDN w:val="0"/>
        <w:adjustRightInd w:val="0"/>
        <w:rPr>
          <w:rFonts w:ascii="Arial" w:hAnsi="Arial" w:cs="Arial"/>
          <w:sz w:val="24"/>
          <w:szCs w:val="24"/>
        </w:rPr>
      </w:pPr>
    </w:p>
    <w:p w14:paraId="100C960D" w14:textId="77777777" w:rsidR="00C3036D" w:rsidRPr="00FA3F9C" w:rsidRDefault="00C3036D" w:rsidP="009F6979">
      <w:pPr>
        <w:autoSpaceDE w:val="0"/>
        <w:autoSpaceDN w:val="0"/>
        <w:adjustRightInd w:val="0"/>
        <w:rPr>
          <w:rFonts w:ascii="Arial" w:hAnsi="Arial" w:cs="Arial"/>
          <w:sz w:val="24"/>
          <w:szCs w:val="24"/>
        </w:rPr>
      </w:pPr>
      <w:r w:rsidRPr="00FA3F9C">
        <w:rPr>
          <w:rFonts w:ascii="Arial" w:hAnsi="Arial" w:cs="Arial"/>
          <w:sz w:val="24"/>
          <w:szCs w:val="24"/>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8024"/>
        <w:gridCol w:w="1710"/>
      </w:tblGrid>
      <w:tr w:rsidR="00C3036D" w:rsidRPr="00FA3F9C" w14:paraId="283E40A3" w14:textId="77777777" w:rsidTr="00396BB2">
        <w:tc>
          <w:tcPr>
            <w:tcW w:w="994" w:type="dxa"/>
          </w:tcPr>
          <w:p w14:paraId="4DE538E1" w14:textId="77777777" w:rsidR="00C3036D" w:rsidRPr="00FA3F9C" w:rsidRDefault="00C3036D" w:rsidP="00E6174F">
            <w:pPr>
              <w:autoSpaceDE w:val="0"/>
              <w:autoSpaceDN w:val="0"/>
              <w:adjustRightInd w:val="0"/>
              <w:rPr>
                <w:rFonts w:ascii="Arial" w:hAnsi="Arial" w:cs="Arial"/>
                <w:sz w:val="24"/>
                <w:szCs w:val="24"/>
              </w:rPr>
            </w:pPr>
            <w:r w:rsidRPr="00FA3F9C">
              <w:rPr>
                <w:rFonts w:ascii="Arial" w:hAnsi="Arial" w:cs="Arial"/>
                <w:sz w:val="24"/>
                <w:szCs w:val="24"/>
              </w:rPr>
              <w:t>Date</w:t>
            </w:r>
          </w:p>
        </w:tc>
        <w:tc>
          <w:tcPr>
            <w:tcW w:w="8024" w:type="dxa"/>
          </w:tcPr>
          <w:p w14:paraId="6DC3E681" w14:textId="77777777" w:rsidR="00C3036D" w:rsidRPr="00FA3F9C" w:rsidRDefault="00C3036D" w:rsidP="00E6174F">
            <w:pPr>
              <w:autoSpaceDE w:val="0"/>
              <w:autoSpaceDN w:val="0"/>
              <w:adjustRightInd w:val="0"/>
              <w:rPr>
                <w:rFonts w:ascii="Arial" w:hAnsi="Arial" w:cs="Arial"/>
                <w:sz w:val="24"/>
                <w:szCs w:val="24"/>
              </w:rPr>
            </w:pPr>
            <w:r w:rsidRPr="00FA3F9C">
              <w:rPr>
                <w:rFonts w:ascii="Arial" w:hAnsi="Arial" w:cs="Arial"/>
                <w:sz w:val="24"/>
                <w:szCs w:val="24"/>
              </w:rPr>
              <w:t>What changed?</w:t>
            </w:r>
          </w:p>
        </w:tc>
        <w:tc>
          <w:tcPr>
            <w:tcW w:w="1710" w:type="dxa"/>
          </w:tcPr>
          <w:p w14:paraId="0F6EC9BE" w14:textId="77777777" w:rsidR="00C3036D" w:rsidRPr="00FA3F9C" w:rsidRDefault="00C3036D" w:rsidP="00E6174F">
            <w:pPr>
              <w:autoSpaceDE w:val="0"/>
              <w:autoSpaceDN w:val="0"/>
              <w:adjustRightInd w:val="0"/>
              <w:rPr>
                <w:rFonts w:ascii="Arial" w:hAnsi="Arial" w:cs="Arial"/>
                <w:sz w:val="24"/>
                <w:szCs w:val="24"/>
              </w:rPr>
            </w:pPr>
            <w:r w:rsidRPr="00FA3F9C">
              <w:rPr>
                <w:rFonts w:ascii="Arial" w:hAnsi="Arial" w:cs="Arial"/>
                <w:sz w:val="24"/>
                <w:szCs w:val="24"/>
              </w:rPr>
              <w:t>Pharmacist’s initials</w:t>
            </w:r>
          </w:p>
        </w:tc>
      </w:tr>
      <w:tr w:rsidR="00C3036D" w:rsidRPr="00FA3F9C" w14:paraId="2BF2089B" w14:textId="77777777" w:rsidTr="00396BB2">
        <w:tc>
          <w:tcPr>
            <w:tcW w:w="994" w:type="dxa"/>
          </w:tcPr>
          <w:p w14:paraId="7742730C" w14:textId="77777777" w:rsidR="00C3036D" w:rsidRPr="00FA3F9C" w:rsidRDefault="00C3036D" w:rsidP="00E6174F">
            <w:pPr>
              <w:autoSpaceDE w:val="0"/>
              <w:autoSpaceDN w:val="0"/>
              <w:adjustRightInd w:val="0"/>
              <w:rPr>
                <w:rFonts w:ascii="Arial" w:hAnsi="Arial" w:cs="Arial"/>
                <w:sz w:val="24"/>
                <w:szCs w:val="24"/>
              </w:rPr>
            </w:pPr>
            <w:r w:rsidRPr="00FA3F9C">
              <w:rPr>
                <w:rFonts w:ascii="Arial" w:hAnsi="Arial" w:cs="Arial"/>
                <w:sz w:val="24"/>
                <w:szCs w:val="24"/>
              </w:rPr>
              <w:t>4/2/12</w:t>
            </w:r>
          </w:p>
        </w:tc>
        <w:tc>
          <w:tcPr>
            <w:tcW w:w="8024" w:type="dxa"/>
          </w:tcPr>
          <w:p w14:paraId="4B44784A" w14:textId="77777777" w:rsidR="00C3036D" w:rsidRPr="00FA3F9C" w:rsidRDefault="00C3036D" w:rsidP="00E6174F">
            <w:pPr>
              <w:autoSpaceDE w:val="0"/>
              <w:autoSpaceDN w:val="0"/>
              <w:adjustRightInd w:val="0"/>
              <w:rPr>
                <w:rFonts w:ascii="Arial" w:hAnsi="Arial" w:cs="Arial"/>
                <w:sz w:val="24"/>
                <w:szCs w:val="24"/>
              </w:rPr>
            </w:pPr>
            <w:r w:rsidRPr="00FA3F9C">
              <w:rPr>
                <w:rFonts w:ascii="Arial" w:hAnsi="Arial" w:cs="Arial"/>
                <w:sz w:val="24"/>
                <w:szCs w:val="24"/>
              </w:rPr>
              <w:t>Criteria written</w:t>
            </w:r>
          </w:p>
        </w:tc>
        <w:tc>
          <w:tcPr>
            <w:tcW w:w="1710" w:type="dxa"/>
          </w:tcPr>
          <w:p w14:paraId="1CC77C23" w14:textId="77777777" w:rsidR="00C3036D" w:rsidRPr="00FA3F9C" w:rsidRDefault="00C3036D" w:rsidP="00E6174F">
            <w:pPr>
              <w:autoSpaceDE w:val="0"/>
              <w:autoSpaceDN w:val="0"/>
              <w:adjustRightInd w:val="0"/>
              <w:rPr>
                <w:rFonts w:ascii="Arial" w:hAnsi="Arial" w:cs="Arial"/>
                <w:sz w:val="24"/>
                <w:szCs w:val="24"/>
              </w:rPr>
            </w:pPr>
            <w:r w:rsidRPr="00FA3F9C">
              <w:rPr>
                <w:rFonts w:ascii="Arial" w:hAnsi="Arial" w:cs="Arial"/>
                <w:sz w:val="24"/>
                <w:szCs w:val="24"/>
              </w:rPr>
              <w:t>JJ</w:t>
            </w:r>
          </w:p>
        </w:tc>
      </w:tr>
      <w:tr w:rsidR="00C3036D" w:rsidRPr="00FA3F9C" w14:paraId="6E1F7C11" w14:textId="77777777" w:rsidTr="00396BB2">
        <w:tc>
          <w:tcPr>
            <w:tcW w:w="994" w:type="dxa"/>
          </w:tcPr>
          <w:p w14:paraId="7F40FD7E" w14:textId="77777777" w:rsidR="00C3036D" w:rsidRPr="00FA3F9C" w:rsidRDefault="00C3036D" w:rsidP="00E6174F">
            <w:pPr>
              <w:autoSpaceDE w:val="0"/>
              <w:autoSpaceDN w:val="0"/>
              <w:adjustRightInd w:val="0"/>
              <w:rPr>
                <w:rFonts w:ascii="Arial" w:hAnsi="Arial" w:cs="Arial"/>
                <w:sz w:val="24"/>
                <w:szCs w:val="24"/>
              </w:rPr>
            </w:pPr>
            <w:r w:rsidRPr="00FA3F9C">
              <w:rPr>
                <w:rFonts w:ascii="Arial" w:hAnsi="Arial" w:cs="Arial"/>
                <w:sz w:val="24"/>
                <w:szCs w:val="24"/>
              </w:rPr>
              <w:t>4/9/12</w:t>
            </w:r>
          </w:p>
        </w:tc>
        <w:tc>
          <w:tcPr>
            <w:tcW w:w="8024" w:type="dxa"/>
          </w:tcPr>
          <w:p w14:paraId="7B49CD25" w14:textId="77777777" w:rsidR="00C3036D" w:rsidRPr="00FA3F9C" w:rsidRDefault="00C3036D" w:rsidP="00E6174F">
            <w:pPr>
              <w:autoSpaceDE w:val="0"/>
              <w:autoSpaceDN w:val="0"/>
              <w:adjustRightInd w:val="0"/>
              <w:rPr>
                <w:rFonts w:ascii="Arial" w:hAnsi="Arial" w:cs="Arial"/>
                <w:sz w:val="24"/>
                <w:szCs w:val="24"/>
              </w:rPr>
            </w:pPr>
            <w:r w:rsidRPr="00FA3F9C">
              <w:rPr>
                <w:rFonts w:ascii="Arial" w:hAnsi="Arial" w:cs="Arial"/>
                <w:sz w:val="24"/>
                <w:szCs w:val="24"/>
              </w:rPr>
              <w:t>DUEC voted T3PA</w:t>
            </w:r>
          </w:p>
        </w:tc>
        <w:tc>
          <w:tcPr>
            <w:tcW w:w="1710" w:type="dxa"/>
          </w:tcPr>
          <w:p w14:paraId="595006BE" w14:textId="77777777" w:rsidR="00C3036D" w:rsidRPr="00FA3F9C" w:rsidRDefault="00C3036D" w:rsidP="00E6174F">
            <w:pPr>
              <w:autoSpaceDE w:val="0"/>
              <w:autoSpaceDN w:val="0"/>
              <w:adjustRightInd w:val="0"/>
              <w:rPr>
                <w:rFonts w:ascii="Arial" w:hAnsi="Arial" w:cs="Arial"/>
                <w:sz w:val="24"/>
                <w:szCs w:val="24"/>
              </w:rPr>
            </w:pPr>
            <w:r w:rsidRPr="00FA3F9C">
              <w:rPr>
                <w:rFonts w:ascii="Arial" w:hAnsi="Arial" w:cs="Arial"/>
                <w:sz w:val="24"/>
                <w:szCs w:val="24"/>
              </w:rPr>
              <w:t>JJ</w:t>
            </w:r>
          </w:p>
        </w:tc>
      </w:tr>
      <w:tr w:rsidR="00C3036D" w:rsidRPr="00FA3F9C" w14:paraId="2B5C6A71" w14:textId="77777777" w:rsidTr="00396BB2">
        <w:tc>
          <w:tcPr>
            <w:tcW w:w="994" w:type="dxa"/>
          </w:tcPr>
          <w:p w14:paraId="48E7783C" w14:textId="77777777" w:rsidR="00C3036D" w:rsidRPr="00FA3F9C" w:rsidRDefault="00C3036D" w:rsidP="00E6174F">
            <w:pPr>
              <w:autoSpaceDE w:val="0"/>
              <w:autoSpaceDN w:val="0"/>
              <w:adjustRightInd w:val="0"/>
              <w:rPr>
                <w:rFonts w:ascii="Arial" w:hAnsi="Arial" w:cs="Arial"/>
                <w:sz w:val="24"/>
                <w:szCs w:val="24"/>
              </w:rPr>
            </w:pPr>
            <w:r w:rsidRPr="00FA3F9C">
              <w:rPr>
                <w:rFonts w:ascii="Arial" w:hAnsi="Arial" w:cs="Arial"/>
                <w:sz w:val="24"/>
                <w:szCs w:val="24"/>
              </w:rPr>
              <w:t>5/15/12</w:t>
            </w:r>
          </w:p>
        </w:tc>
        <w:tc>
          <w:tcPr>
            <w:tcW w:w="8024" w:type="dxa"/>
          </w:tcPr>
          <w:p w14:paraId="72FC6A8A" w14:textId="77777777" w:rsidR="00C3036D" w:rsidRPr="00FA3F9C" w:rsidRDefault="00C3036D" w:rsidP="00E6174F">
            <w:pPr>
              <w:autoSpaceDE w:val="0"/>
              <w:autoSpaceDN w:val="0"/>
              <w:adjustRightInd w:val="0"/>
              <w:rPr>
                <w:rFonts w:ascii="Arial" w:hAnsi="Arial" w:cs="Arial"/>
                <w:sz w:val="24"/>
                <w:szCs w:val="24"/>
              </w:rPr>
            </w:pPr>
            <w:r w:rsidRPr="00FA3F9C">
              <w:rPr>
                <w:rFonts w:ascii="Arial" w:hAnsi="Arial" w:cs="Arial"/>
                <w:sz w:val="24"/>
                <w:szCs w:val="24"/>
              </w:rPr>
              <w:t>IB accepted DUEC’s rec</w:t>
            </w:r>
          </w:p>
        </w:tc>
        <w:tc>
          <w:tcPr>
            <w:tcW w:w="1710" w:type="dxa"/>
          </w:tcPr>
          <w:p w14:paraId="58901AAE" w14:textId="77777777" w:rsidR="00C3036D" w:rsidRPr="00FA3F9C" w:rsidRDefault="00C3036D" w:rsidP="00E6174F">
            <w:pPr>
              <w:autoSpaceDE w:val="0"/>
              <w:autoSpaceDN w:val="0"/>
              <w:adjustRightInd w:val="0"/>
              <w:rPr>
                <w:rFonts w:ascii="Arial" w:hAnsi="Arial" w:cs="Arial"/>
                <w:sz w:val="24"/>
                <w:szCs w:val="24"/>
              </w:rPr>
            </w:pPr>
            <w:r w:rsidRPr="00FA3F9C">
              <w:rPr>
                <w:rFonts w:ascii="Arial" w:hAnsi="Arial" w:cs="Arial"/>
                <w:sz w:val="24"/>
                <w:szCs w:val="24"/>
              </w:rPr>
              <w:t>JJ</w:t>
            </w:r>
          </w:p>
        </w:tc>
      </w:tr>
      <w:tr w:rsidR="00C3036D" w:rsidRPr="00FA3F9C" w14:paraId="409C0366" w14:textId="77777777" w:rsidTr="00396BB2">
        <w:tc>
          <w:tcPr>
            <w:tcW w:w="994" w:type="dxa"/>
          </w:tcPr>
          <w:p w14:paraId="136C33BD" w14:textId="77777777" w:rsidR="00C3036D" w:rsidRPr="00FA3F9C" w:rsidRDefault="00C3036D" w:rsidP="00E6174F">
            <w:pPr>
              <w:autoSpaceDE w:val="0"/>
              <w:autoSpaceDN w:val="0"/>
              <w:adjustRightInd w:val="0"/>
              <w:rPr>
                <w:rFonts w:ascii="Arial" w:hAnsi="Arial" w:cs="Arial"/>
                <w:sz w:val="24"/>
                <w:szCs w:val="24"/>
              </w:rPr>
            </w:pPr>
            <w:r w:rsidRPr="00FA3F9C">
              <w:rPr>
                <w:rFonts w:ascii="Arial" w:hAnsi="Arial" w:cs="Arial"/>
                <w:sz w:val="24"/>
                <w:szCs w:val="24"/>
              </w:rPr>
              <w:t>5/16/12</w:t>
            </w:r>
          </w:p>
        </w:tc>
        <w:tc>
          <w:tcPr>
            <w:tcW w:w="8024" w:type="dxa"/>
          </w:tcPr>
          <w:p w14:paraId="3909A676" w14:textId="77777777" w:rsidR="00C3036D" w:rsidRPr="00FA3F9C" w:rsidRDefault="00C3036D" w:rsidP="00E6174F">
            <w:pPr>
              <w:autoSpaceDE w:val="0"/>
              <w:autoSpaceDN w:val="0"/>
              <w:adjustRightInd w:val="0"/>
              <w:rPr>
                <w:rFonts w:ascii="Arial" w:hAnsi="Arial" w:cs="Arial"/>
                <w:sz w:val="24"/>
                <w:szCs w:val="24"/>
              </w:rPr>
            </w:pPr>
            <w:r w:rsidRPr="00FA3F9C">
              <w:rPr>
                <w:rFonts w:ascii="Arial" w:hAnsi="Arial" w:cs="Arial"/>
                <w:sz w:val="24"/>
                <w:szCs w:val="24"/>
              </w:rPr>
              <w:t xml:space="preserve">Revision </w:t>
            </w:r>
            <w:proofErr w:type="spellStart"/>
            <w:r w:rsidRPr="00FA3F9C">
              <w:rPr>
                <w:rFonts w:ascii="Arial" w:hAnsi="Arial" w:cs="Arial"/>
                <w:sz w:val="24"/>
                <w:szCs w:val="24"/>
              </w:rPr>
              <w:t>Hx</w:t>
            </w:r>
            <w:proofErr w:type="spellEnd"/>
            <w:r w:rsidRPr="00FA3F9C">
              <w:rPr>
                <w:rFonts w:ascii="Arial" w:hAnsi="Arial" w:cs="Arial"/>
                <w:sz w:val="24"/>
                <w:szCs w:val="24"/>
              </w:rPr>
              <w:t xml:space="preserve"> table added</w:t>
            </w:r>
          </w:p>
        </w:tc>
        <w:tc>
          <w:tcPr>
            <w:tcW w:w="1710" w:type="dxa"/>
          </w:tcPr>
          <w:p w14:paraId="4243DDAD" w14:textId="77777777" w:rsidR="00C3036D" w:rsidRPr="00FA3F9C" w:rsidRDefault="00C3036D" w:rsidP="00E6174F">
            <w:pPr>
              <w:autoSpaceDE w:val="0"/>
              <w:autoSpaceDN w:val="0"/>
              <w:adjustRightInd w:val="0"/>
              <w:rPr>
                <w:rFonts w:ascii="Arial" w:hAnsi="Arial" w:cs="Arial"/>
                <w:sz w:val="24"/>
                <w:szCs w:val="24"/>
              </w:rPr>
            </w:pPr>
            <w:r w:rsidRPr="00FA3F9C">
              <w:rPr>
                <w:rFonts w:ascii="Arial" w:hAnsi="Arial" w:cs="Arial"/>
                <w:sz w:val="24"/>
                <w:szCs w:val="24"/>
              </w:rPr>
              <w:t>JJ</w:t>
            </w:r>
          </w:p>
        </w:tc>
      </w:tr>
      <w:tr w:rsidR="00C3036D" w:rsidRPr="00FA3F9C" w14:paraId="3902F4DF" w14:textId="77777777" w:rsidTr="00396BB2">
        <w:tc>
          <w:tcPr>
            <w:tcW w:w="994" w:type="dxa"/>
          </w:tcPr>
          <w:p w14:paraId="3C3B39D2" w14:textId="77777777" w:rsidR="00C3036D" w:rsidRPr="00FA3F9C" w:rsidRDefault="00C3036D" w:rsidP="00E6174F">
            <w:pPr>
              <w:autoSpaceDE w:val="0"/>
              <w:autoSpaceDN w:val="0"/>
              <w:adjustRightInd w:val="0"/>
              <w:rPr>
                <w:rFonts w:ascii="Arial" w:hAnsi="Arial" w:cs="Arial"/>
                <w:sz w:val="24"/>
                <w:szCs w:val="24"/>
              </w:rPr>
            </w:pPr>
            <w:r w:rsidRPr="00FA3F9C">
              <w:rPr>
                <w:rFonts w:ascii="Arial" w:hAnsi="Arial" w:cs="Arial"/>
                <w:sz w:val="24"/>
                <w:szCs w:val="24"/>
              </w:rPr>
              <w:t>1/13/15</w:t>
            </w:r>
          </w:p>
        </w:tc>
        <w:tc>
          <w:tcPr>
            <w:tcW w:w="8024" w:type="dxa"/>
          </w:tcPr>
          <w:p w14:paraId="4725F7FE" w14:textId="77777777" w:rsidR="00C3036D" w:rsidRPr="00FA3F9C" w:rsidRDefault="00C3036D" w:rsidP="00E6174F">
            <w:pPr>
              <w:autoSpaceDE w:val="0"/>
              <w:autoSpaceDN w:val="0"/>
              <w:adjustRightInd w:val="0"/>
              <w:rPr>
                <w:rFonts w:ascii="Arial" w:hAnsi="Arial" w:cs="Arial"/>
                <w:sz w:val="24"/>
                <w:szCs w:val="24"/>
              </w:rPr>
            </w:pPr>
            <w:r w:rsidRPr="00FA3F9C">
              <w:rPr>
                <w:rFonts w:ascii="Arial" w:hAnsi="Arial" w:cs="Arial"/>
                <w:sz w:val="24"/>
                <w:szCs w:val="24"/>
              </w:rPr>
              <w:t>I added the indication of PV based on reference 5.  I added reference 5.</w:t>
            </w:r>
          </w:p>
        </w:tc>
        <w:tc>
          <w:tcPr>
            <w:tcW w:w="1710" w:type="dxa"/>
          </w:tcPr>
          <w:p w14:paraId="16A7A8C9" w14:textId="77777777" w:rsidR="00C3036D" w:rsidRPr="00FA3F9C" w:rsidRDefault="00C3036D" w:rsidP="00E6174F">
            <w:pPr>
              <w:autoSpaceDE w:val="0"/>
              <w:autoSpaceDN w:val="0"/>
              <w:adjustRightInd w:val="0"/>
              <w:rPr>
                <w:rFonts w:ascii="Arial" w:hAnsi="Arial" w:cs="Arial"/>
                <w:sz w:val="24"/>
                <w:szCs w:val="24"/>
              </w:rPr>
            </w:pPr>
            <w:r w:rsidRPr="00FA3F9C">
              <w:rPr>
                <w:rFonts w:ascii="Arial" w:hAnsi="Arial" w:cs="Arial"/>
                <w:sz w:val="24"/>
                <w:szCs w:val="24"/>
              </w:rPr>
              <w:t>JJ</w:t>
            </w:r>
          </w:p>
        </w:tc>
      </w:tr>
      <w:tr w:rsidR="00C3036D" w:rsidRPr="00FA3F9C" w14:paraId="6619EB44" w14:textId="77777777" w:rsidTr="00396BB2">
        <w:tc>
          <w:tcPr>
            <w:tcW w:w="994" w:type="dxa"/>
          </w:tcPr>
          <w:p w14:paraId="4178DE49" w14:textId="77777777" w:rsidR="00C3036D" w:rsidRPr="00FA3F9C" w:rsidRDefault="00C3036D" w:rsidP="00E6174F">
            <w:pPr>
              <w:autoSpaceDE w:val="0"/>
              <w:autoSpaceDN w:val="0"/>
              <w:adjustRightInd w:val="0"/>
              <w:rPr>
                <w:rFonts w:ascii="Arial" w:hAnsi="Arial" w:cs="Arial"/>
                <w:sz w:val="24"/>
                <w:szCs w:val="24"/>
              </w:rPr>
            </w:pPr>
            <w:r w:rsidRPr="00FA3F9C">
              <w:rPr>
                <w:rFonts w:ascii="Arial" w:hAnsi="Arial" w:cs="Arial"/>
                <w:sz w:val="24"/>
                <w:szCs w:val="24"/>
              </w:rPr>
              <w:t>2/29/2016</w:t>
            </w:r>
          </w:p>
        </w:tc>
        <w:tc>
          <w:tcPr>
            <w:tcW w:w="8024" w:type="dxa"/>
          </w:tcPr>
          <w:p w14:paraId="54F4771A" w14:textId="77777777" w:rsidR="00C3036D" w:rsidRPr="00FA3F9C" w:rsidRDefault="00C3036D" w:rsidP="00E6174F">
            <w:pPr>
              <w:autoSpaceDE w:val="0"/>
              <w:autoSpaceDN w:val="0"/>
              <w:adjustRightInd w:val="0"/>
              <w:rPr>
                <w:rFonts w:ascii="Arial" w:hAnsi="Arial" w:cs="Arial"/>
                <w:sz w:val="24"/>
                <w:szCs w:val="24"/>
              </w:rPr>
            </w:pPr>
            <w:r w:rsidRPr="00FA3F9C">
              <w:rPr>
                <w:rFonts w:ascii="Arial" w:hAnsi="Arial" w:cs="Arial"/>
                <w:sz w:val="24"/>
                <w:szCs w:val="24"/>
              </w:rPr>
              <w:t>I changed to allow for diagnosis 1 OR 2.</w:t>
            </w:r>
          </w:p>
        </w:tc>
        <w:tc>
          <w:tcPr>
            <w:tcW w:w="1710" w:type="dxa"/>
          </w:tcPr>
          <w:p w14:paraId="4189FF74" w14:textId="77777777" w:rsidR="00C3036D" w:rsidRPr="00FA3F9C" w:rsidRDefault="00C3036D" w:rsidP="00E6174F">
            <w:pPr>
              <w:autoSpaceDE w:val="0"/>
              <w:autoSpaceDN w:val="0"/>
              <w:adjustRightInd w:val="0"/>
              <w:rPr>
                <w:rFonts w:ascii="Arial" w:hAnsi="Arial" w:cs="Arial"/>
                <w:sz w:val="24"/>
                <w:szCs w:val="24"/>
              </w:rPr>
            </w:pPr>
            <w:r w:rsidRPr="00FA3F9C">
              <w:rPr>
                <w:rFonts w:ascii="Arial" w:hAnsi="Arial" w:cs="Arial"/>
                <w:sz w:val="24"/>
                <w:szCs w:val="24"/>
              </w:rPr>
              <w:t>JJ</w:t>
            </w:r>
          </w:p>
        </w:tc>
      </w:tr>
      <w:tr w:rsidR="00C3036D" w:rsidRPr="00FA3F9C" w14:paraId="08144F23" w14:textId="77777777" w:rsidTr="00396BB2">
        <w:tc>
          <w:tcPr>
            <w:tcW w:w="994" w:type="dxa"/>
          </w:tcPr>
          <w:p w14:paraId="0B637FA6" w14:textId="77777777" w:rsidR="00C3036D" w:rsidRPr="00FA3F9C" w:rsidRDefault="00C3036D" w:rsidP="00911F29">
            <w:pPr>
              <w:autoSpaceDE w:val="0"/>
              <w:autoSpaceDN w:val="0"/>
              <w:adjustRightInd w:val="0"/>
              <w:rPr>
                <w:rFonts w:ascii="Arial" w:hAnsi="Arial" w:cs="Arial"/>
                <w:sz w:val="24"/>
                <w:szCs w:val="24"/>
              </w:rPr>
            </w:pPr>
            <w:r w:rsidRPr="00FA3F9C">
              <w:rPr>
                <w:rFonts w:ascii="Arial" w:hAnsi="Arial" w:cs="Arial"/>
                <w:sz w:val="24"/>
                <w:szCs w:val="24"/>
              </w:rPr>
              <w:lastRenderedPageBreak/>
              <w:t>5/7/2016</w:t>
            </w:r>
          </w:p>
        </w:tc>
        <w:tc>
          <w:tcPr>
            <w:tcW w:w="8024" w:type="dxa"/>
          </w:tcPr>
          <w:p w14:paraId="0324C505" w14:textId="77777777" w:rsidR="00C3036D" w:rsidRPr="00FA3F9C" w:rsidRDefault="00C3036D" w:rsidP="00E6174F">
            <w:pPr>
              <w:autoSpaceDE w:val="0"/>
              <w:autoSpaceDN w:val="0"/>
              <w:adjustRightInd w:val="0"/>
              <w:rPr>
                <w:rFonts w:ascii="Arial" w:hAnsi="Arial" w:cs="Arial"/>
                <w:sz w:val="24"/>
                <w:szCs w:val="24"/>
              </w:rPr>
            </w:pPr>
            <w:r w:rsidRPr="00FA3F9C">
              <w:rPr>
                <w:rFonts w:ascii="Arial" w:hAnsi="Arial" w:cs="Arial"/>
                <w:sz w:val="24"/>
                <w:szCs w:val="24"/>
              </w:rPr>
              <w:t xml:space="preserve">PA Length Consolidated and now good for 6 months </w:t>
            </w:r>
          </w:p>
        </w:tc>
        <w:tc>
          <w:tcPr>
            <w:tcW w:w="1710" w:type="dxa"/>
          </w:tcPr>
          <w:p w14:paraId="34A70FC2" w14:textId="77777777" w:rsidR="00C3036D" w:rsidRPr="00FA3F9C" w:rsidRDefault="00C3036D" w:rsidP="00E6174F">
            <w:pPr>
              <w:autoSpaceDE w:val="0"/>
              <w:autoSpaceDN w:val="0"/>
              <w:adjustRightInd w:val="0"/>
              <w:rPr>
                <w:rFonts w:ascii="Arial" w:hAnsi="Arial" w:cs="Arial"/>
                <w:sz w:val="24"/>
                <w:szCs w:val="24"/>
              </w:rPr>
            </w:pPr>
            <w:r w:rsidRPr="00FA3F9C">
              <w:rPr>
                <w:rFonts w:ascii="Arial" w:hAnsi="Arial" w:cs="Arial"/>
                <w:sz w:val="24"/>
                <w:szCs w:val="24"/>
              </w:rPr>
              <w:t>AM</w:t>
            </w:r>
          </w:p>
        </w:tc>
      </w:tr>
      <w:tr w:rsidR="00C3036D" w:rsidRPr="00FA3F9C" w14:paraId="72BE2D5F" w14:textId="77777777" w:rsidTr="00396BB2">
        <w:tc>
          <w:tcPr>
            <w:tcW w:w="994" w:type="dxa"/>
          </w:tcPr>
          <w:p w14:paraId="0E2CAB0A" w14:textId="77777777" w:rsidR="00C3036D" w:rsidRPr="00FA3F9C" w:rsidRDefault="00C3036D" w:rsidP="00E6174F">
            <w:pPr>
              <w:autoSpaceDE w:val="0"/>
              <w:autoSpaceDN w:val="0"/>
              <w:adjustRightInd w:val="0"/>
              <w:rPr>
                <w:rFonts w:ascii="Arial" w:hAnsi="Arial" w:cs="Arial"/>
                <w:sz w:val="24"/>
                <w:szCs w:val="24"/>
              </w:rPr>
            </w:pPr>
            <w:r w:rsidRPr="00FA3F9C">
              <w:rPr>
                <w:rFonts w:ascii="Arial" w:hAnsi="Arial" w:cs="Arial"/>
                <w:sz w:val="24"/>
                <w:szCs w:val="24"/>
              </w:rPr>
              <w:t>2/4/19</w:t>
            </w:r>
          </w:p>
        </w:tc>
        <w:tc>
          <w:tcPr>
            <w:tcW w:w="8024" w:type="dxa"/>
          </w:tcPr>
          <w:p w14:paraId="62AA5062" w14:textId="77777777" w:rsidR="00C3036D" w:rsidRPr="00FA3F9C" w:rsidRDefault="00C3036D" w:rsidP="00911F29">
            <w:pPr>
              <w:autoSpaceDE w:val="0"/>
              <w:autoSpaceDN w:val="0"/>
              <w:adjustRightInd w:val="0"/>
              <w:rPr>
                <w:rFonts w:ascii="Arial" w:hAnsi="Arial" w:cs="Arial"/>
                <w:sz w:val="24"/>
                <w:szCs w:val="24"/>
              </w:rPr>
            </w:pPr>
            <w:r w:rsidRPr="00FA3F9C">
              <w:rPr>
                <w:rFonts w:ascii="Arial" w:hAnsi="Arial" w:cs="Arial"/>
                <w:sz w:val="24"/>
                <w:szCs w:val="24"/>
              </w:rPr>
              <w:t xml:space="preserve">Added that myelofibrosis </w:t>
            </w:r>
            <w:proofErr w:type="spellStart"/>
            <w:r w:rsidRPr="00FA3F9C">
              <w:rPr>
                <w:rFonts w:ascii="Arial" w:hAnsi="Arial" w:cs="Arial"/>
                <w:sz w:val="24"/>
                <w:szCs w:val="24"/>
              </w:rPr>
              <w:t>pt</w:t>
            </w:r>
            <w:proofErr w:type="spellEnd"/>
            <w:r w:rsidRPr="00FA3F9C">
              <w:rPr>
                <w:rFonts w:ascii="Arial" w:hAnsi="Arial" w:cs="Arial"/>
                <w:sz w:val="24"/>
                <w:szCs w:val="24"/>
              </w:rPr>
              <w:t xml:space="preserve"> need to be symptomatic since the main benefit of the drug was symptom improvement; added that risk level should be intermediate-2 instead of just intermediate; added note listing symptoms of MF. Added suggested tapering schedule. General update of formatting and notes/references. Added continuation criteria and MF risk calculator.</w:t>
            </w:r>
          </w:p>
        </w:tc>
        <w:tc>
          <w:tcPr>
            <w:tcW w:w="1710" w:type="dxa"/>
          </w:tcPr>
          <w:p w14:paraId="3ADAB0D2" w14:textId="77777777" w:rsidR="00C3036D" w:rsidRPr="00FA3F9C" w:rsidRDefault="00C3036D" w:rsidP="00E6174F">
            <w:pPr>
              <w:autoSpaceDE w:val="0"/>
              <w:autoSpaceDN w:val="0"/>
              <w:adjustRightInd w:val="0"/>
              <w:rPr>
                <w:rFonts w:ascii="Arial" w:hAnsi="Arial" w:cs="Arial"/>
                <w:sz w:val="24"/>
                <w:szCs w:val="24"/>
              </w:rPr>
            </w:pPr>
            <w:proofErr w:type="spellStart"/>
            <w:r w:rsidRPr="00FA3F9C">
              <w:rPr>
                <w:rFonts w:ascii="Arial" w:hAnsi="Arial" w:cs="Arial"/>
                <w:sz w:val="24"/>
                <w:szCs w:val="24"/>
              </w:rPr>
              <w:t>sk</w:t>
            </w:r>
            <w:proofErr w:type="spellEnd"/>
          </w:p>
        </w:tc>
      </w:tr>
      <w:tr w:rsidR="00C3036D" w:rsidRPr="00FA3F9C" w14:paraId="502354AC" w14:textId="77777777" w:rsidTr="00396BB2">
        <w:tc>
          <w:tcPr>
            <w:tcW w:w="994" w:type="dxa"/>
          </w:tcPr>
          <w:p w14:paraId="04DF817D" w14:textId="77777777" w:rsidR="00C3036D" w:rsidRPr="00FA3F9C" w:rsidRDefault="00C3036D" w:rsidP="00E6174F">
            <w:pPr>
              <w:autoSpaceDE w:val="0"/>
              <w:autoSpaceDN w:val="0"/>
              <w:adjustRightInd w:val="0"/>
              <w:rPr>
                <w:rFonts w:ascii="Arial" w:hAnsi="Arial" w:cs="Arial"/>
                <w:sz w:val="24"/>
                <w:szCs w:val="24"/>
              </w:rPr>
            </w:pPr>
            <w:r w:rsidRPr="00FA3F9C">
              <w:rPr>
                <w:rFonts w:ascii="Arial" w:hAnsi="Arial" w:cs="Arial"/>
                <w:sz w:val="24"/>
                <w:szCs w:val="24"/>
              </w:rPr>
              <w:t>6/26/19</w:t>
            </w:r>
          </w:p>
        </w:tc>
        <w:tc>
          <w:tcPr>
            <w:tcW w:w="8024" w:type="dxa"/>
          </w:tcPr>
          <w:p w14:paraId="0D774226" w14:textId="2D785F34" w:rsidR="00C3036D" w:rsidRPr="00FA3F9C" w:rsidRDefault="00C3036D" w:rsidP="00911F29">
            <w:pPr>
              <w:autoSpaceDE w:val="0"/>
              <w:autoSpaceDN w:val="0"/>
              <w:adjustRightInd w:val="0"/>
              <w:rPr>
                <w:rFonts w:ascii="Arial" w:hAnsi="Arial" w:cs="Arial"/>
                <w:sz w:val="24"/>
                <w:szCs w:val="24"/>
              </w:rPr>
            </w:pPr>
            <w:r w:rsidRPr="00FA3F9C">
              <w:rPr>
                <w:rFonts w:ascii="Arial" w:hAnsi="Arial" w:cs="Arial"/>
                <w:sz w:val="24"/>
                <w:szCs w:val="24"/>
              </w:rPr>
              <w:t xml:space="preserve">J Barr asked me to review the PA criteria for GVHD (a new indication in 5/2019).  I reviewed </w:t>
            </w:r>
            <w:r w:rsidR="005C142D" w:rsidRPr="00FA3F9C">
              <w:rPr>
                <w:rFonts w:ascii="Arial" w:hAnsi="Arial" w:cs="Arial"/>
                <w:sz w:val="24"/>
                <w:szCs w:val="24"/>
              </w:rPr>
              <w:t>SK</w:t>
            </w:r>
            <w:r w:rsidRPr="00FA3F9C">
              <w:rPr>
                <w:rFonts w:ascii="Arial" w:hAnsi="Arial" w:cs="Arial"/>
                <w:sz w:val="24"/>
                <w:szCs w:val="24"/>
              </w:rPr>
              <w:t xml:space="preserve">’s notes and </w:t>
            </w:r>
            <w:proofErr w:type="gramStart"/>
            <w:r w:rsidRPr="00FA3F9C">
              <w:rPr>
                <w:rFonts w:ascii="Arial" w:hAnsi="Arial" w:cs="Arial"/>
                <w:sz w:val="24"/>
                <w:szCs w:val="24"/>
              </w:rPr>
              <w:t>agree</w:t>
            </w:r>
            <w:proofErr w:type="gramEnd"/>
            <w:r w:rsidRPr="00FA3F9C">
              <w:rPr>
                <w:rFonts w:ascii="Arial" w:hAnsi="Arial" w:cs="Arial"/>
                <w:sz w:val="24"/>
                <w:szCs w:val="24"/>
              </w:rPr>
              <w:t xml:space="preserve"> that since there are several less toxic alternatives, only 1 single-arm trial assessing response rates, and no RCT, and UpToDate stating the risk is high for withdrawal syndrome upon discontinuation. UTD also notes that one of two patients who received a higher dose (10mg/d) of </w:t>
            </w:r>
            <w:proofErr w:type="spellStart"/>
            <w:r w:rsidRPr="00FA3F9C">
              <w:rPr>
                <w:rFonts w:ascii="Arial" w:hAnsi="Arial" w:cs="Arial"/>
                <w:sz w:val="24"/>
                <w:szCs w:val="24"/>
              </w:rPr>
              <w:t>ruxolitinib</w:t>
            </w:r>
            <w:proofErr w:type="spellEnd"/>
            <w:r w:rsidRPr="00FA3F9C">
              <w:rPr>
                <w:rFonts w:ascii="Arial" w:hAnsi="Arial" w:cs="Arial"/>
                <w:sz w:val="24"/>
                <w:szCs w:val="24"/>
              </w:rPr>
              <w:t xml:space="preserve"> died with recurrence of GVHD shortly after discontinuation of the medication.  There are limited data to guide the choice of therapy.  I searched the FDA.gov website for data they based their approval on and was not able to locate it. </w:t>
            </w:r>
          </w:p>
          <w:p w14:paraId="333165F3" w14:textId="77777777" w:rsidR="00C3036D" w:rsidRPr="00FA3F9C" w:rsidRDefault="00C3036D" w:rsidP="00911F29">
            <w:pPr>
              <w:autoSpaceDE w:val="0"/>
              <w:autoSpaceDN w:val="0"/>
              <w:adjustRightInd w:val="0"/>
              <w:rPr>
                <w:rFonts w:ascii="Arial" w:hAnsi="Arial" w:cs="Arial"/>
                <w:sz w:val="24"/>
                <w:szCs w:val="24"/>
              </w:rPr>
            </w:pPr>
            <w:r w:rsidRPr="00FA3F9C">
              <w:rPr>
                <w:rFonts w:ascii="Arial" w:hAnsi="Arial" w:cs="Arial"/>
                <w:sz w:val="24"/>
                <w:szCs w:val="24"/>
              </w:rPr>
              <w:t xml:space="preserve">EBRx considers this indication, GVHD, not covered.  Will reconsider once comparative data in a GVHD population is available.  </w:t>
            </w:r>
          </w:p>
        </w:tc>
        <w:tc>
          <w:tcPr>
            <w:tcW w:w="1710" w:type="dxa"/>
          </w:tcPr>
          <w:p w14:paraId="0920F352" w14:textId="2C06CF6E" w:rsidR="00C3036D" w:rsidRPr="00FA3F9C" w:rsidRDefault="005C142D" w:rsidP="00E6174F">
            <w:pPr>
              <w:autoSpaceDE w:val="0"/>
              <w:autoSpaceDN w:val="0"/>
              <w:adjustRightInd w:val="0"/>
              <w:rPr>
                <w:rFonts w:ascii="Arial" w:hAnsi="Arial" w:cs="Arial"/>
                <w:sz w:val="24"/>
                <w:szCs w:val="24"/>
              </w:rPr>
            </w:pPr>
            <w:r w:rsidRPr="00FA3F9C">
              <w:rPr>
                <w:rFonts w:ascii="Arial" w:hAnsi="Arial" w:cs="Arial"/>
                <w:sz w:val="24"/>
                <w:szCs w:val="24"/>
              </w:rPr>
              <w:t>JJ</w:t>
            </w:r>
          </w:p>
        </w:tc>
      </w:tr>
      <w:tr w:rsidR="00C3036D" w:rsidRPr="00FA3F9C" w14:paraId="73AEA405" w14:textId="77777777" w:rsidTr="00396BB2">
        <w:tc>
          <w:tcPr>
            <w:tcW w:w="994" w:type="dxa"/>
          </w:tcPr>
          <w:p w14:paraId="76743A0D" w14:textId="77777777" w:rsidR="00C3036D" w:rsidRPr="00FA3F9C" w:rsidRDefault="00C3036D" w:rsidP="00E6174F">
            <w:pPr>
              <w:autoSpaceDE w:val="0"/>
              <w:autoSpaceDN w:val="0"/>
              <w:adjustRightInd w:val="0"/>
              <w:rPr>
                <w:rFonts w:ascii="Arial" w:hAnsi="Arial" w:cs="Arial"/>
                <w:sz w:val="24"/>
                <w:szCs w:val="24"/>
              </w:rPr>
            </w:pPr>
            <w:r w:rsidRPr="00FA3F9C">
              <w:rPr>
                <w:rFonts w:ascii="Arial" w:hAnsi="Arial" w:cs="Arial"/>
                <w:sz w:val="24"/>
                <w:szCs w:val="24"/>
              </w:rPr>
              <w:t>8/7/19</w:t>
            </w:r>
          </w:p>
        </w:tc>
        <w:tc>
          <w:tcPr>
            <w:tcW w:w="8024" w:type="dxa"/>
          </w:tcPr>
          <w:p w14:paraId="63E3F051" w14:textId="77777777" w:rsidR="00C3036D" w:rsidRPr="00FA3F9C" w:rsidRDefault="00C3036D" w:rsidP="000A3E2F">
            <w:pPr>
              <w:autoSpaceDE w:val="0"/>
              <w:autoSpaceDN w:val="0"/>
              <w:adjustRightInd w:val="0"/>
              <w:rPr>
                <w:rFonts w:ascii="Arial" w:hAnsi="Arial" w:cs="Arial"/>
                <w:sz w:val="24"/>
                <w:szCs w:val="24"/>
              </w:rPr>
            </w:pPr>
            <w:r w:rsidRPr="00FA3F9C">
              <w:rPr>
                <w:rFonts w:ascii="Arial" w:hAnsi="Arial" w:cs="Arial"/>
                <w:sz w:val="24"/>
                <w:szCs w:val="24"/>
              </w:rPr>
              <w:t>Criteria reviewed. Added FDA approved indications to top of page and that GVHD is not covered as above.</w:t>
            </w:r>
          </w:p>
        </w:tc>
        <w:tc>
          <w:tcPr>
            <w:tcW w:w="1710" w:type="dxa"/>
          </w:tcPr>
          <w:p w14:paraId="3A874D56" w14:textId="77777777" w:rsidR="00C3036D" w:rsidRPr="00FA3F9C" w:rsidRDefault="00C3036D" w:rsidP="00E6174F">
            <w:pPr>
              <w:autoSpaceDE w:val="0"/>
              <w:autoSpaceDN w:val="0"/>
              <w:adjustRightInd w:val="0"/>
              <w:rPr>
                <w:rFonts w:ascii="Arial" w:hAnsi="Arial" w:cs="Arial"/>
                <w:sz w:val="24"/>
                <w:szCs w:val="24"/>
              </w:rPr>
            </w:pPr>
            <w:r w:rsidRPr="00FA3F9C">
              <w:rPr>
                <w:rFonts w:ascii="Arial" w:hAnsi="Arial" w:cs="Arial"/>
                <w:sz w:val="24"/>
                <w:szCs w:val="24"/>
              </w:rPr>
              <w:t>SK</w:t>
            </w:r>
          </w:p>
        </w:tc>
      </w:tr>
      <w:tr w:rsidR="00C3036D" w:rsidRPr="00FA3F9C" w14:paraId="533512CE" w14:textId="77777777" w:rsidTr="00396BB2">
        <w:tc>
          <w:tcPr>
            <w:tcW w:w="994" w:type="dxa"/>
          </w:tcPr>
          <w:p w14:paraId="0DD75479" w14:textId="77777777" w:rsidR="00C3036D" w:rsidRPr="00FA3F9C" w:rsidRDefault="00C3036D" w:rsidP="00E6174F">
            <w:pPr>
              <w:autoSpaceDE w:val="0"/>
              <w:autoSpaceDN w:val="0"/>
              <w:adjustRightInd w:val="0"/>
              <w:rPr>
                <w:rFonts w:ascii="Arial" w:hAnsi="Arial" w:cs="Arial"/>
                <w:sz w:val="24"/>
                <w:szCs w:val="24"/>
              </w:rPr>
            </w:pPr>
            <w:r w:rsidRPr="00FA3F9C">
              <w:rPr>
                <w:rFonts w:ascii="Arial" w:hAnsi="Arial" w:cs="Arial"/>
                <w:sz w:val="24"/>
                <w:szCs w:val="24"/>
              </w:rPr>
              <w:t>9/23/19</w:t>
            </w:r>
          </w:p>
        </w:tc>
        <w:tc>
          <w:tcPr>
            <w:tcW w:w="8024" w:type="dxa"/>
          </w:tcPr>
          <w:p w14:paraId="18D054CA" w14:textId="77777777" w:rsidR="00C3036D" w:rsidRPr="00FA3F9C" w:rsidRDefault="00C3036D" w:rsidP="00903B24">
            <w:pPr>
              <w:autoSpaceDE w:val="0"/>
              <w:autoSpaceDN w:val="0"/>
              <w:adjustRightInd w:val="0"/>
              <w:rPr>
                <w:rFonts w:ascii="Arial" w:hAnsi="Arial" w:cs="Arial"/>
                <w:sz w:val="24"/>
                <w:szCs w:val="24"/>
              </w:rPr>
            </w:pPr>
            <w:r w:rsidRPr="00FA3F9C">
              <w:rPr>
                <w:rFonts w:ascii="Arial" w:hAnsi="Arial" w:cs="Arial"/>
                <w:sz w:val="24"/>
                <w:szCs w:val="24"/>
              </w:rPr>
              <w:t>Criteria reviewed. For MF indication, require platelets to be at least 50k per PI and require prior use of hydroxyurea. In study, most patients had received prior hydroxyurea.</w:t>
            </w:r>
          </w:p>
        </w:tc>
        <w:tc>
          <w:tcPr>
            <w:tcW w:w="1710" w:type="dxa"/>
          </w:tcPr>
          <w:p w14:paraId="0B519105" w14:textId="77777777" w:rsidR="00C3036D" w:rsidRPr="00FA3F9C" w:rsidRDefault="00C3036D" w:rsidP="00E6174F">
            <w:pPr>
              <w:autoSpaceDE w:val="0"/>
              <w:autoSpaceDN w:val="0"/>
              <w:adjustRightInd w:val="0"/>
              <w:rPr>
                <w:rFonts w:ascii="Arial" w:hAnsi="Arial" w:cs="Arial"/>
                <w:sz w:val="24"/>
                <w:szCs w:val="24"/>
              </w:rPr>
            </w:pPr>
            <w:r w:rsidRPr="00FA3F9C">
              <w:rPr>
                <w:rFonts w:ascii="Arial" w:hAnsi="Arial" w:cs="Arial"/>
                <w:sz w:val="24"/>
                <w:szCs w:val="24"/>
              </w:rPr>
              <w:t>SK</w:t>
            </w:r>
          </w:p>
        </w:tc>
      </w:tr>
      <w:tr w:rsidR="00C3036D" w:rsidRPr="00FA3F9C" w14:paraId="7C7A6A81" w14:textId="77777777" w:rsidTr="00396BB2">
        <w:tc>
          <w:tcPr>
            <w:tcW w:w="994" w:type="dxa"/>
          </w:tcPr>
          <w:p w14:paraId="361F4633" w14:textId="77777777" w:rsidR="00C3036D" w:rsidRPr="00FA3F9C" w:rsidRDefault="00C3036D" w:rsidP="00E6174F">
            <w:pPr>
              <w:autoSpaceDE w:val="0"/>
              <w:autoSpaceDN w:val="0"/>
              <w:adjustRightInd w:val="0"/>
              <w:rPr>
                <w:rFonts w:ascii="Arial" w:hAnsi="Arial" w:cs="Arial"/>
                <w:sz w:val="24"/>
                <w:szCs w:val="24"/>
              </w:rPr>
            </w:pPr>
            <w:r w:rsidRPr="00FA3F9C">
              <w:rPr>
                <w:rFonts w:ascii="Arial" w:hAnsi="Arial" w:cs="Arial"/>
                <w:sz w:val="24"/>
                <w:szCs w:val="24"/>
              </w:rPr>
              <w:t>5/27/20</w:t>
            </w:r>
          </w:p>
        </w:tc>
        <w:tc>
          <w:tcPr>
            <w:tcW w:w="8024" w:type="dxa"/>
          </w:tcPr>
          <w:p w14:paraId="68D4D270" w14:textId="77777777" w:rsidR="00C3036D" w:rsidRPr="00FA3F9C" w:rsidRDefault="00C3036D" w:rsidP="00903B24">
            <w:pPr>
              <w:autoSpaceDE w:val="0"/>
              <w:autoSpaceDN w:val="0"/>
              <w:adjustRightInd w:val="0"/>
              <w:rPr>
                <w:rFonts w:ascii="Arial" w:hAnsi="Arial" w:cs="Arial"/>
                <w:sz w:val="24"/>
                <w:szCs w:val="24"/>
              </w:rPr>
            </w:pPr>
            <w:r w:rsidRPr="00FA3F9C">
              <w:rPr>
                <w:rFonts w:ascii="Arial" w:hAnsi="Arial" w:cs="Arial"/>
                <w:sz w:val="24"/>
                <w:szCs w:val="24"/>
              </w:rPr>
              <w:t>Added criteria for steroid refractory acute GVHD per 5/27/2020 P&amp;T meeting discussion</w:t>
            </w:r>
          </w:p>
        </w:tc>
        <w:tc>
          <w:tcPr>
            <w:tcW w:w="1710" w:type="dxa"/>
          </w:tcPr>
          <w:p w14:paraId="479A1091" w14:textId="77777777" w:rsidR="00C3036D" w:rsidRPr="00FA3F9C" w:rsidRDefault="00C3036D" w:rsidP="00E6174F">
            <w:pPr>
              <w:autoSpaceDE w:val="0"/>
              <w:autoSpaceDN w:val="0"/>
              <w:adjustRightInd w:val="0"/>
              <w:rPr>
                <w:rFonts w:ascii="Arial" w:hAnsi="Arial" w:cs="Arial"/>
                <w:sz w:val="24"/>
                <w:szCs w:val="24"/>
              </w:rPr>
            </w:pPr>
            <w:r w:rsidRPr="00FA3F9C">
              <w:rPr>
                <w:rFonts w:ascii="Arial" w:hAnsi="Arial" w:cs="Arial"/>
                <w:sz w:val="24"/>
                <w:szCs w:val="24"/>
              </w:rPr>
              <w:t>SK</w:t>
            </w:r>
          </w:p>
        </w:tc>
      </w:tr>
      <w:tr w:rsidR="00C3036D" w:rsidRPr="00FA3F9C" w14:paraId="20047BB6" w14:textId="77777777" w:rsidTr="00396BB2">
        <w:tc>
          <w:tcPr>
            <w:tcW w:w="994" w:type="dxa"/>
          </w:tcPr>
          <w:p w14:paraId="7F54E346" w14:textId="77777777" w:rsidR="00C3036D" w:rsidRPr="00FA3F9C" w:rsidRDefault="00C3036D" w:rsidP="00E6174F">
            <w:pPr>
              <w:autoSpaceDE w:val="0"/>
              <w:autoSpaceDN w:val="0"/>
              <w:adjustRightInd w:val="0"/>
              <w:rPr>
                <w:rFonts w:ascii="Arial" w:hAnsi="Arial" w:cs="Arial"/>
                <w:sz w:val="24"/>
                <w:szCs w:val="24"/>
              </w:rPr>
            </w:pPr>
            <w:r w:rsidRPr="00FA3F9C">
              <w:rPr>
                <w:rFonts w:ascii="Arial" w:hAnsi="Arial" w:cs="Arial"/>
                <w:sz w:val="24"/>
                <w:szCs w:val="24"/>
              </w:rPr>
              <w:t>11/19/2020</w:t>
            </w:r>
          </w:p>
        </w:tc>
        <w:tc>
          <w:tcPr>
            <w:tcW w:w="8024" w:type="dxa"/>
          </w:tcPr>
          <w:p w14:paraId="76A003EA" w14:textId="77777777" w:rsidR="00C3036D" w:rsidRPr="00FA3F9C" w:rsidRDefault="00C3036D" w:rsidP="00D444BB">
            <w:pPr>
              <w:autoSpaceDE w:val="0"/>
              <w:autoSpaceDN w:val="0"/>
              <w:adjustRightInd w:val="0"/>
              <w:rPr>
                <w:rFonts w:ascii="Arial" w:hAnsi="Arial" w:cs="Arial"/>
                <w:sz w:val="24"/>
                <w:szCs w:val="24"/>
              </w:rPr>
            </w:pPr>
            <w:r w:rsidRPr="00FA3F9C">
              <w:rPr>
                <w:rFonts w:ascii="Arial" w:hAnsi="Arial" w:cs="Arial"/>
                <w:sz w:val="24"/>
                <w:szCs w:val="24"/>
              </w:rPr>
              <w:t xml:space="preserve">For myelofibrosis indication, remove requirement for prior hydroxyurea (HU). HU improves symptoms but does not have overall survival </w:t>
            </w:r>
            <w:r w:rsidRPr="00FA3F9C">
              <w:rPr>
                <w:rFonts w:ascii="Arial" w:hAnsi="Arial" w:cs="Arial"/>
                <w:sz w:val="24"/>
                <w:szCs w:val="24"/>
              </w:rPr>
              <w:lastRenderedPageBreak/>
              <w:t xml:space="preserve">advantage demonstrated and is no longer recommended by NCCN guidelines for higher risk patients. </w:t>
            </w:r>
            <w:proofErr w:type="spellStart"/>
            <w:r w:rsidRPr="00FA3F9C">
              <w:rPr>
                <w:rFonts w:ascii="Arial" w:hAnsi="Arial" w:cs="Arial"/>
                <w:sz w:val="24"/>
                <w:szCs w:val="24"/>
              </w:rPr>
              <w:t>Ruxolitinib</w:t>
            </w:r>
            <w:proofErr w:type="spellEnd"/>
            <w:r w:rsidRPr="00FA3F9C">
              <w:rPr>
                <w:rFonts w:ascii="Arial" w:hAnsi="Arial" w:cs="Arial"/>
                <w:sz w:val="24"/>
                <w:szCs w:val="24"/>
              </w:rPr>
              <w:t xml:space="preserve"> improves symptoms AND overall survival.</w:t>
            </w:r>
          </w:p>
        </w:tc>
        <w:tc>
          <w:tcPr>
            <w:tcW w:w="1710" w:type="dxa"/>
          </w:tcPr>
          <w:p w14:paraId="73C32237" w14:textId="77777777" w:rsidR="00C3036D" w:rsidRPr="00FA3F9C" w:rsidRDefault="00C3036D" w:rsidP="00E6174F">
            <w:pPr>
              <w:autoSpaceDE w:val="0"/>
              <w:autoSpaceDN w:val="0"/>
              <w:adjustRightInd w:val="0"/>
              <w:rPr>
                <w:rFonts w:ascii="Arial" w:hAnsi="Arial" w:cs="Arial"/>
                <w:sz w:val="24"/>
                <w:szCs w:val="24"/>
              </w:rPr>
            </w:pPr>
            <w:r w:rsidRPr="00FA3F9C">
              <w:rPr>
                <w:rFonts w:ascii="Arial" w:hAnsi="Arial" w:cs="Arial"/>
                <w:sz w:val="24"/>
                <w:szCs w:val="24"/>
              </w:rPr>
              <w:lastRenderedPageBreak/>
              <w:t>SK</w:t>
            </w:r>
          </w:p>
        </w:tc>
      </w:tr>
      <w:tr w:rsidR="00C3036D" w:rsidRPr="00FA3F9C" w14:paraId="4F3C160D" w14:textId="77777777" w:rsidTr="00396BB2">
        <w:tc>
          <w:tcPr>
            <w:tcW w:w="994" w:type="dxa"/>
          </w:tcPr>
          <w:p w14:paraId="670AC5F6" w14:textId="77777777" w:rsidR="00C3036D" w:rsidRPr="00FA3F9C" w:rsidRDefault="00C3036D" w:rsidP="00E6174F">
            <w:pPr>
              <w:autoSpaceDE w:val="0"/>
              <w:autoSpaceDN w:val="0"/>
              <w:adjustRightInd w:val="0"/>
              <w:rPr>
                <w:rFonts w:ascii="Arial" w:hAnsi="Arial" w:cs="Arial"/>
                <w:sz w:val="24"/>
                <w:szCs w:val="24"/>
              </w:rPr>
            </w:pPr>
            <w:r w:rsidRPr="00FA3F9C">
              <w:rPr>
                <w:rFonts w:ascii="Arial" w:hAnsi="Arial" w:cs="Arial"/>
                <w:sz w:val="24"/>
                <w:szCs w:val="24"/>
              </w:rPr>
              <w:t>8/19/2021</w:t>
            </w:r>
          </w:p>
        </w:tc>
        <w:tc>
          <w:tcPr>
            <w:tcW w:w="8024" w:type="dxa"/>
          </w:tcPr>
          <w:p w14:paraId="23596E32" w14:textId="77777777" w:rsidR="00C3036D" w:rsidRPr="00FA3F9C" w:rsidRDefault="00C3036D" w:rsidP="00D444BB">
            <w:pPr>
              <w:autoSpaceDE w:val="0"/>
              <w:autoSpaceDN w:val="0"/>
              <w:adjustRightInd w:val="0"/>
              <w:rPr>
                <w:rFonts w:ascii="Arial" w:hAnsi="Arial" w:cs="Arial"/>
                <w:sz w:val="24"/>
                <w:szCs w:val="24"/>
              </w:rPr>
            </w:pPr>
            <w:r w:rsidRPr="00FA3F9C">
              <w:rPr>
                <w:rFonts w:ascii="Arial" w:hAnsi="Arial" w:cs="Arial"/>
                <w:sz w:val="24"/>
                <w:szCs w:val="24"/>
              </w:rPr>
              <w:t>Added criteria for chronic GVHD</w:t>
            </w:r>
          </w:p>
        </w:tc>
        <w:tc>
          <w:tcPr>
            <w:tcW w:w="1710" w:type="dxa"/>
          </w:tcPr>
          <w:p w14:paraId="38E5495C" w14:textId="77777777" w:rsidR="00C3036D" w:rsidRPr="00FA3F9C" w:rsidRDefault="00C3036D" w:rsidP="00E6174F">
            <w:pPr>
              <w:autoSpaceDE w:val="0"/>
              <w:autoSpaceDN w:val="0"/>
              <w:adjustRightInd w:val="0"/>
              <w:rPr>
                <w:rFonts w:ascii="Arial" w:hAnsi="Arial" w:cs="Arial"/>
                <w:sz w:val="24"/>
                <w:szCs w:val="24"/>
              </w:rPr>
            </w:pPr>
            <w:r w:rsidRPr="00FA3F9C">
              <w:rPr>
                <w:rFonts w:ascii="Arial" w:hAnsi="Arial" w:cs="Arial"/>
                <w:sz w:val="24"/>
                <w:szCs w:val="24"/>
              </w:rPr>
              <w:t>SK</w:t>
            </w:r>
          </w:p>
        </w:tc>
      </w:tr>
      <w:tr w:rsidR="00C3036D" w:rsidRPr="00FA3F9C" w14:paraId="2BD7B3BC" w14:textId="77777777" w:rsidTr="00396BB2">
        <w:tc>
          <w:tcPr>
            <w:tcW w:w="994" w:type="dxa"/>
          </w:tcPr>
          <w:p w14:paraId="4F26E370" w14:textId="77777777" w:rsidR="00C3036D" w:rsidRPr="00FA3F9C" w:rsidRDefault="00C3036D" w:rsidP="00E6174F">
            <w:pPr>
              <w:autoSpaceDE w:val="0"/>
              <w:autoSpaceDN w:val="0"/>
              <w:adjustRightInd w:val="0"/>
              <w:rPr>
                <w:rFonts w:ascii="Arial" w:hAnsi="Arial" w:cs="Arial"/>
                <w:sz w:val="24"/>
                <w:szCs w:val="24"/>
              </w:rPr>
            </w:pPr>
            <w:r w:rsidRPr="00FA3F9C">
              <w:rPr>
                <w:rFonts w:ascii="Arial" w:hAnsi="Arial" w:cs="Arial"/>
                <w:sz w:val="24"/>
                <w:szCs w:val="24"/>
              </w:rPr>
              <w:t>10/22/2021</w:t>
            </w:r>
          </w:p>
        </w:tc>
        <w:tc>
          <w:tcPr>
            <w:tcW w:w="8024" w:type="dxa"/>
          </w:tcPr>
          <w:p w14:paraId="21F01D0D" w14:textId="77777777" w:rsidR="00C3036D" w:rsidRPr="00FA3F9C" w:rsidRDefault="00C3036D" w:rsidP="00D444BB">
            <w:pPr>
              <w:autoSpaceDE w:val="0"/>
              <w:autoSpaceDN w:val="0"/>
              <w:adjustRightInd w:val="0"/>
              <w:rPr>
                <w:rFonts w:ascii="Arial" w:hAnsi="Arial" w:cs="Arial"/>
                <w:sz w:val="24"/>
                <w:szCs w:val="24"/>
              </w:rPr>
            </w:pPr>
            <w:r w:rsidRPr="00FA3F9C">
              <w:rPr>
                <w:rFonts w:ascii="Arial" w:hAnsi="Arial" w:cs="Arial"/>
                <w:sz w:val="24"/>
                <w:szCs w:val="24"/>
              </w:rPr>
              <w:t xml:space="preserve">Updated </w:t>
            </w:r>
            <w:proofErr w:type="spellStart"/>
            <w:r w:rsidRPr="00FA3F9C">
              <w:rPr>
                <w:rFonts w:ascii="Arial" w:hAnsi="Arial" w:cs="Arial"/>
                <w:sz w:val="24"/>
                <w:szCs w:val="24"/>
              </w:rPr>
              <w:t>fda</w:t>
            </w:r>
            <w:proofErr w:type="spellEnd"/>
            <w:r w:rsidRPr="00FA3F9C">
              <w:rPr>
                <w:rFonts w:ascii="Arial" w:hAnsi="Arial" w:cs="Arial"/>
                <w:sz w:val="24"/>
                <w:szCs w:val="24"/>
              </w:rPr>
              <w:t xml:space="preserve"> approved indications to include chronic GVHD (already covered)</w:t>
            </w:r>
          </w:p>
        </w:tc>
        <w:tc>
          <w:tcPr>
            <w:tcW w:w="1710" w:type="dxa"/>
          </w:tcPr>
          <w:p w14:paraId="13973BA4" w14:textId="77777777" w:rsidR="00C3036D" w:rsidRPr="00FA3F9C" w:rsidRDefault="00C3036D" w:rsidP="00E6174F">
            <w:pPr>
              <w:autoSpaceDE w:val="0"/>
              <w:autoSpaceDN w:val="0"/>
              <w:adjustRightInd w:val="0"/>
              <w:rPr>
                <w:rFonts w:ascii="Arial" w:hAnsi="Arial" w:cs="Arial"/>
                <w:sz w:val="24"/>
                <w:szCs w:val="24"/>
              </w:rPr>
            </w:pPr>
            <w:r w:rsidRPr="00FA3F9C">
              <w:rPr>
                <w:rFonts w:ascii="Arial" w:hAnsi="Arial" w:cs="Arial"/>
                <w:sz w:val="24"/>
                <w:szCs w:val="24"/>
              </w:rPr>
              <w:t>SK</w:t>
            </w:r>
          </w:p>
        </w:tc>
      </w:tr>
      <w:tr w:rsidR="00C3036D" w:rsidRPr="00FA3F9C" w14:paraId="00F57DB1" w14:textId="77777777" w:rsidTr="00396BB2">
        <w:tc>
          <w:tcPr>
            <w:tcW w:w="994" w:type="dxa"/>
          </w:tcPr>
          <w:p w14:paraId="0D16ECC5" w14:textId="77777777" w:rsidR="00C3036D" w:rsidRPr="00FA3F9C" w:rsidRDefault="00C3036D" w:rsidP="00E6174F">
            <w:pPr>
              <w:autoSpaceDE w:val="0"/>
              <w:autoSpaceDN w:val="0"/>
              <w:adjustRightInd w:val="0"/>
              <w:rPr>
                <w:rFonts w:ascii="Arial" w:hAnsi="Arial" w:cs="Arial"/>
                <w:sz w:val="24"/>
                <w:szCs w:val="24"/>
              </w:rPr>
            </w:pPr>
            <w:r w:rsidRPr="00FA3F9C">
              <w:rPr>
                <w:rFonts w:ascii="Arial" w:hAnsi="Arial" w:cs="Arial"/>
                <w:sz w:val="24"/>
                <w:szCs w:val="24"/>
              </w:rPr>
              <w:t>1/27/2022</w:t>
            </w:r>
          </w:p>
        </w:tc>
        <w:tc>
          <w:tcPr>
            <w:tcW w:w="8024" w:type="dxa"/>
          </w:tcPr>
          <w:p w14:paraId="43860141" w14:textId="77777777" w:rsidR="00C3036D" w:rsidRPr="00FA3F9C" w:rsidRDefault="00C3036D" w:rsidP="001E441C">
            <w:pPr>
              <w:autoSpaceDE w:val="0"/>
              <w:autoSpaceDN w:val="0"/>
              <w:adjustRightInd w:val="0"/>
              <w:rPr>
                <w:rFonts w:ascii="Arial" w:hAnsi="Arial" w:cs="Arial"/>
                <w:sz w:val="24"/>
                <w:szCs w:val="24"/>
              </w:rPr>
            </w:pPr>
            <w:r w:rsidRPr="00FA3F9C">
              <w:rPr>
                <w:rFonts w:ascii="Arial" w:hAnsi="Arial" w:cs="Arial"/>
                <w:sz w:val="24"/>
                <w:szCs w:val="24"/>
              </w:rPr>
              <w:t xml:space="preserve">Criteria reviewed. No change to criteria. Changed approval period to 12 months. </w:t>
            </w:r>
          </w:p>
        </w:tc>
        <w:tc>
          <w:tcPr>
            <w:tcW w:w="1710" w:type="dxa"/>
          </w:tcPr>
          <w:p w14:paraId="06EB0397" w14:textId="77777777" w:rsidR="00C3036D" w:rsidRPr="00FA3F9C" w:rsidRDefault="00C3036D" w:rsidP="00E6174F">
            <w:pPr>
              <w:autoSpaceDE w:val="0"/>
              <w:autoSpaceDN w:val="0"/>
              <w:adjustRightInd w:val="0"/>
              <w:rPr>
                <w:rFonts w:ascii="Arial" w:hAnsi="Arial" w:cs="Arial"/>
                <w:sz w:val="24"/>
                <w:szCs w:val="24"/>
              </w:rPr>
            </w:pPr>
          </w:p>
        </w:tc>
      </w:tr>
    </w:tbl>
    <w:p w14:paraId="64E3ADDD" w14:textId="77777777" w:rsidR="00C3036D" w:rsidRPr="00FA3F9C" w:rsidRDefault="00C3036D" w:rsidP="009F6979">
      <w:pPr>
        <w:autoSpaceDE w:val="0"/>
        <w:autoSpaceDN w:val="0"/>
        <w:adjustRightInd w:val="0"/>
        <w:rPr>
          <w:rFonts w:ascii="Arial" w:hAnsi="Arial" w:cs="Arial"/>
          <w:sz w:val="24"/>
          <w:szCs w:val="24"/>
        </w:rPr>
      </w:pPr>
    </w:p>
    <w:p w14:paraId="21B8E059" w14:textId="77777777" w:rsidR="00C3036D" w:rsidRPr="00FA3F9C" w:rsidRDefault="00C3036D" w:rsidP="002B2097">
      <w:pPr>
        <w:pStyle w:val="Heading2"/>
        <w:rPr>
          <w:lang w:val="es-ES"/>
        </w:rPr>
      </w:pPr>
      <w:bookmarkStart w:id="295" w:name="_Toc106369919"/>
      <w:proofErr w:type="spellStart"/>
      <w:r w:rsidRPr="00FA3F9C">
        <w:rPr>
          <w:lang w:val="es-ES"/>
        </w:rPr>
        <w:t>Sacituzumab</w:t>
      </w:r>
      <w:proofErr w:type="spellEnd"/>
      <w:r w:rsidRPr="00FA3F9C">
        <w:rPr>
          <w:lang w:val="es-ES"/>
        </w:rPr>
        <w:t xml:space="preserve"> </w:t>
      </w:r>
      <w:proofErr w:type="spellStart"/>
      <w:r w:rsidRPr="00FA3F9C">
        <w:rPr>
          <w:lang w:val="es-ES"/>
        </w:rPr>
        <w:t>govitecan</w:t>
      </w:r>
      <w:proofErr w:type="spellEnd"/>
      <w:r w:rsidRPr="00FA3F9C">
        <w:rPr>
          <w:lang w:val="es-ES"/>
        </w:rPr>
        <w:t xml:space="preserve"> (</w:t>
      </w:r>
      <w:proofErr w:type="spellStart"/>
      <w:r w:rsidRPr="00FA3F9C">
        <w:rPr>
          <w:lang w:val="es-ES"/>
        </w:rPr>
        <w:t>Trodelvy</w:t>
      </w:r>
      <w:proofErr w:type="spellEnd"/>
      <w:r w:rsidRPr="00FA3F9C">
        <w:rPr>
          <w:lang w:val="es-ES"/>
        </w:rPr>
        <w:t>)</w:t>
      </w:r>
      <w:bookmarkEnd w:id="295"/>
    </w:p>
    <w:p w14:paraId="4C837EF0" w14:textId="77777777" w:rsidR="00C3036D" w:rsidRPr="00FA3F9C" w:rsidRDefault="00C3036D" w:rsidP="006F623F">
      <w:pPr>
        <w:spacing w:after="0"/>
        <w:jc w:val="center"/>
        <w:rPr>
          <w:rFonts w:ascii="Arial" w:hAnsi="Arial" w:cs="Arial"/>
          <w:sz w:val="24"/>
          <w:szCs w:val="24"/>
          <w:lang w:val="es-ES"/>
        </w:rPr>
      </w:pPr>
      <w:r w:rsidRPr="00FA3F9C">
        <w:rPr>
          <w:rFonts w:ascii="Arial" w:hAnsi="Arial" w:cs="Arial"/>
          <w:sz w:val="24"/>
          <w:szCs w:val="24"/>
          <w:lang w:val="es-ES"/>
        </w:rPr>
        <w:t>180 mg vial</w:t>
      </w:r>
    </w:p>
    <w:p w14:paraId="6BA99766" w14:textId="77777777" w:rsidR="00C3036D" w:rsidRPr="00FA3F9C" w:rsidRDefault="00C3036D" w:rsidP="006F623F">
      <w:pPr>
        <w:spacing w:after="0"/>
        <w:jc w:val="center"/>
        <w:rPr>
          <w:rFonts w:ascii="Arial" w:hAnsi="Arial" w:cs="Arial"/>
          <w:sz w:val="24"/>
          <w:szCs w:val="24"/>
          <w:lang w:val="es-ES"/>
        </w:rPr>
      </w:pPr>
      <w:r w:rsidRPr="00FA3F9C">
        <w:rPr>
          <w:rFonts w:ascii="Arial" w:hAnsi="Arial" w:cs="Arial"/>
          <w:sz w:val="24"/>
          <w:szCs w:val="24"/>
          <w:lang w:val="es-ES"/>
        </w:rPr>
        <w:t xml:space="preserve">EBRx PA </w:t>
      </w:r>
      <w:proofErr w:type="spellStart"/>
      <w:r w:rsidRPr="00FA3F9C">
        <w:rPr>
          <w:rFonts w:ascii="Arial" w:hAnsi="Arial" w:cs="Arial"/>
          <w:sz w:val="24"/>
          <w:szCs w:val="24"/>
          <w:lang w:val="es-ES"/>
        </w:rPr>
        <w:t>Criteria</w:t>
      </w:r>
      <w:proofErr w:type="spellEnd"/>
    </w:p>
    <w:p w14:paraId="64221891" w14:textId="77777777" w:rsidR="00C3036D" w:rsidRPr="00FA3F9C" w:rsidRDefault="00C3036D" w:rsidP="006F623F">
      <w:pPr>
        <w:spacing w:after="0"/>
        <w:rPr>
          <w:rFonts w:ascii="Arial" w:hAnsi="Arial" w:cs="Arial"/>
          <w:b/>
          <w:sz w:val="24"/>
          <w:szCs w:val="24"/>
          <w:u w:val="single"/>
          <w:lang w:val="es-ES"/>
        </w:rPr>
      </w:pPr>
    </w:p>
    <w:p w14:paraId="0B155DE7" w14:textId="77777777" w:rsidR="00C3036D" w:rsidRPr="00FA3F9C" w:rsidRDefault="00C3036D"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w:t>
      </w:r>
    </w:p>
    <w:p w14:paraId="4DC0179F" w14:textId="77777777" w:rsidR="00C3036D" w:rsidRPr="00FA3F9C" w:rsidRDefault="00C3036D" w:rsidP="00FC1E85">
      <w:pPr>
        <w:pStyle w:val="ListParagraph"/>
        <w:numPr>
          <w:ilvl w:val="0"/>
          <w:numId w:val="459"/>
        </w:numPr>
        <w:spacing w:after="0" w:line="276" w:lineRule="auto"/>
        <w:rPr>
          <w:rFonts w:ascii="Arial" w:hAnsi="Arial" w:cs="Arial"/>
          <w:sz w:val="24"/>
          <w:szCs w:val="24"/>
        </w:rPr>
      </w:pPr>
      <w:r w:rsidRPr="00FA3F9C">
        <w:rPr>
          <w:rFonts w:ascii="Arial" w:hAnsi="Arial" w:cs="Arial"/>
          <w:sz w:val="24"/>
          <w:szCs w:val="24"/>
        </w:rPr>
        <w:t>Unresectable locally advanced or metastatic triple-negative breast cancer (</w:t>
      </w:r>
      <w:proofErr w:type="spellStart"/>
      <w:r w:rsidRPr="00FA3F9C">
        <w:rPr>
          <w:rFonts w:ascii="Arial" w:hAnsi="Arial" w:cs="Arial"/>
          <w:sz w:val="24"/>
          <w:szCs w:val="24"/>
        </w:rPr>
        <w:t>mTNBC</w:t>
      </w:r>
      <w:proofErr w:type="spellEnd"/>
      <w:r w:rsidRPr="00FA3F9C">
        <w:rPr>
          <w:rFonts w:ascii="Arial" w:hAnsi="Arial" w:cs="Arial"/>
          <w:sz w:val="24"/>
          <w:szCs w:val="24"/>
        </w:rPr>
        <w:t xml:space="preserve">) who have received two or more prior systemic therapies, at least one of them for metastatic disease </w:t>
      </w:r>
      <w:r w:rsidRPr="00FA3F9C">
        <w:rPr>
          <w:rFonts w:ascii="Arial" w:hAnsi="Arial" w:cs="Arial"/>
          <w:sz w:val="24"/>
          <w:szCs w:val="24"/>
          <w:highlight w:val="cyan"/>
        </w:rPr>
        <w:t>SEE CRITERIA</w:t>
      </w:r>
    </w:p>
    <w:p w14:paraId="5D570B26" w14:textId="77777777" w:rsidR="00C3036D" w:rsidRPr="00FA3F9C" w:rsidRDefault="00C3036D" w:rsidP="006F623F">
      <w:pPr>
        <w:spacing w:after="0"/>
        <w:rPr>
          <w:rFonts w:ascii="Arial" w:hAnsi="Arial" w:cs="Arial"/>
          <w:sz w:val="24"/>
          <w:szCs w:val="24"/>
        </w:rPr>
      </w:pPr>
    </w:p>
    <w:p w14:paraId="6F538938" w14:textId="77777777" w:rsidR="00C3036D" w:rsidRPr="00FA3F9C" w:rsidRDefault="00C3036D" w:rsidP="00FC1E85">
      <w:pPr>
        <w:pStyle w:val="ListParagraph"/>
        <w:numPr>
          <w:ilvl w:val="0"/>
          <w:numId w:val="459"/>
        </w:numPr>
        <w:spacing w:after="0" w:line="276" w:lineRule="auto"/>
        <w:rPr>
          <w:rFonts w:ascii="Arial" w:hAnsi="Arial" w:cs="Arial"/>
          <w:sz w:val="24"/>
          <w:szCs w:val="24"/>
        </w:rPr>
      </w:pPr>
      <w:r w:rsidRPr="00FA3F9C">
        <w:rPr>
          <w:rFonts w:ascii="Arial" w:hAnsi="Arial" w:cs="Arial"/>
          <w:sz w:val="24"/>
          <w:szCs w:val="24"/>
        </w:rPr>
        <w:t>Locally advanced or metastatic urothelial cancer (</w:t>
      </w:r>
      <w:proofErr w:type="spellStart"/>
      <w:r w:rsidRPr="00FA3F9C">
        <w:rPr>
          <w:rFonts w:ascii="Arial" w:hAnsi="Arial" w:cs="Arial"/>
          <w:sz w:val="24"/>
          <w:szCs w:val="24"/>
        </w:rPr>
        <w:t>mUC</w:t>
      </w:r>
      <w:proofErr w:type="spellEnd"/>
      <w:r w:rsidRPr="00FA3F9C">
        <w:rPr>
          <w:rFonts w:ascii="Arial" w:hAnsi="Arial" w:cs="Arial"/>
          <w:sz w:val="24"/>
          <w:szCs w:val="24"/>
        </w:rPr>
        <w:t xml:space="preserve">) who have previously received a platinum-containing chemotherapy and either programmed death receptor-1 (PD-1) or programmed death-ligand 1 (PDL1) inhibitor. (Accelerated approval) </w:t>
      </w:r>
      <w:r w:rsidRPr="00FA3F9C">
        <w:rPr>
          <w:rFonts w:ascii="Arial" w:hAnsi="Arial" w:cs="Arial"/>
          <w:sz w:val="24"/>
          <w:szCs w:val="24"/>
          <w:highlight w:val="yellow"/>
        </w:rPr>
        <w:t>NOT COVERED</w:t>
      </w:r>
    </w:p>
    <w:p w14:paraId="72C41011" w14:textId="77777777" w:rsidR="00C3036D" w:rsidRPr="00FA3F9C" w:rsidRDefault="00C3036D" w:rsidP="00FC1E85">
      <w:pPr>
        <w:pStyle w:val="ListParagraph"/>
        <w:numPr>
          <w:ilvl w:val="1"/>
          <w:numId w:val="459"/>
        </w:numPr>
        <w:spacing w:after="0" w:line="240" w:lineRule="auto"/>
        <w:rPr>
          <w:rFonts w:ascii="Arial" w:hAnsi="Arial" w:cs="Arial"/>
          <w:sz w:val="24"/>
          <w:szCs w:val="24"/>
        </w:rPr>
      </w:pPr>
      <w:r w:rsidRPr="00FA3F9C">
        <w:rPr>
          <w:rFonts w:ascii="Arial" w:hAnsi="Arial" w:cs="Arial"/>
          <w:sz w:val="24"/>
          <w:szCs w:val="24"/>
        </w:rPr>
        <w:t>Data limited to single arm trial with response rates reported only</w:t>
      </w:r>
    </w:p>
    <w:p w14:paraId="66A95D93" w14:textId="77777777" w:rsidR="00C3036D" w:rsidRPr="00FA3F9C" w:rsidRDefault="00C3036D" w:rsidP="00FC1E85">
      <w:pPr>
        <w:pStyle w:val="ListParagraph"/>
        <w:numPr>
          <w:ilvl w:val="2"/>
          <w:numId w:val="459"/>
        </w:numPr>
        <w:spacing w:after="0" w:line="240" w:lineRule="auto"/>
        <w:rPr>
          <w:rFonts w:ascii="Arial" w:hAnsi="Arial" w:cs="Arial"/>
          <w:sz w:val="24"/>
          <w:szCs w:val="24"/>
        </w:rPr>
      </w:pPr>
      <w:r w:rsidRPr="00FA3F9C">
        <w:rPr>
          <w:rFonts w:ascii="Arial" w:hAnsi="Arial" w:cs="Arial"/>
          <w:sz w:val="24"/>
          <w:szCs w:val="24"/>
        </w:rPr>
        <w:t xml:space="preserve">Reference: Tagawa ST et al. TROPHY-U-01: A Phase II Open-Label Study of Sacituzumab </w:t>
      </w:r>
      <w:proofErr w:type="spellStart"/>
      <w:r w:rsidRPr="00FA3F9C">
        <w:rPr>
          <w:rFonts w:ascii="Arial" w:hAnsi="Arial" w:cs="Arial"/>
          <w:sz w:val="24"/>
          <w:szCs w:val="24"/>
        </w:rPr>
        <w:t>Govitecan</w:t>
      </w:r>
      <w:proofErr w:type="spellEnd"/>
      <w:r w:rsidRPr="00FA3F9C">
        <w:rPr>
          <w:rFonts w:ascii="Arial" w:hAnsi="Arial" w:cs="Arial"/>
          <w:sz w:val="24"/>
          <w:szCs w:val="24"/>
        </w:rPr>
        <w:t xml:space="preserve"> in Patients </w:t>
      </w:r>
      <w:proofErr w:type="gramStart"/>
      <w:r w:rsidRPr="00FA3F9C">
        <w:rPr>
          <w:rFonts w:ascii="Arial" w:hAnsi="Arial" w:cs="Arial"/>
          <w:sz w:val="24"/>
          <w:szCs w:val="24"/>
        </w:rPr>
        <w:t>With</w:t>
      </w:r>
      <w:proofErr w:type="gramEnd"/>
      <w:r w:rsidRPr="00FA3F9C">
        <w:rPr>
          <w:rFonts w:ascii="Arial" w:hAnsi="Arial" w:cs="Arial"/>
          <w:sz w:val="24"/>
          <w:szCs w:val="24"/>
        </w:rPr>
        <w:t xml:space="preserve"> Metastatic Urothelial Carcinoma Progressing After Platinum-Based Chemotherapy and Checkpoint Inhibitors. J Clin Oncol. 2021 Apr 30:JCO2003489. </w:t>
      </w:r>
      <w:proofErr w:type="spellStart"/>
      <w:r w:rsidRPr="00FA3F9C">
        <w:rPr>
          <w:rFonts w:ascii="Arial" w:hAnsi="Arial" w:cs="Arial"/>
          <w:sz w:val="24"/>
          <w:szCs w:val="24"/>
        </w:rPr>
        <w:t>doi</w:t>
      </w:r>
      <w:proofErr w:type="spellEnd"/>
      <w:r w:rsidRPr="00FA3F9C">
        <w:rPr>
          <w:rFonts w:ascii="Arial" w:hAnsi="Arial" w:cs="Arial"/>
          <w:sz w:val="24"/>
          <w:szCs w:val="24"/>
        </w:rPr>
        <w:t xml:space="preserve">: 10.1200/JCO.20.03489. </w:t>
      </w:r>
      <w:proofErr w:type="spellStart"/>
      <w:r w:rsidRPr="00FA3F9C">
        <w:rPr>
          <w:rFonts w:ascii="Arial" w:hAnsi="Arial" w:cs="Arial"/>
          <w:sz w:val="24"/>
          <w:szCs w:val="24"/>
        </w:rPr>
        <w:t>Epub</w:t>
      </w:r>
      <w:proofErr w:type="spellEnd"/>
      <w:r w:rsidRPr="00FA3F9C">
        <w:rPr>
          <w:rFonts w:ascii="Arial" w:hAnsi="Arial" w:cs="Arial"/>
          <w:sz w:val="24"/>
          <w:szCs w:val="24"/>
        </w:rPr>
        <w:t xml:space="preserve"> ahead of print. PMID: 33929895.</w:t>
      </w:r>
    </w:p>
    <w:tbl>
      <w:tblPr>
        <w:tblStyle w:val="TableGrid"/>
        <w:tblW w:w="0" w:type="auto"/>
        <w:tblLook w:val="04A0" w:firstRow="1" w:lastRow="0" w:firstColumn="1" w:lastColumn="0" w:noHBand="0" w:noVBand="1"/>
      </w:tblPr>
      <w:tblGrid>
        <w:gridCol w:w="8928"/>
        <w:gridCol w:w="2088"/>
      </w:tblGrid>
      <w:tr w:rsidR="00C3036D" w:rsidRPr="00FA3F9C" w14:paraId="7AA63EA0" w14:textId="77777777" w:rsidTr="00571CAB">
        <w:tc>
          <w:tcPr>
            <w:tcW w:w="8928" w:type="dxa"/>
            <w:shd w:val="clear" w:color="auto" w:fill="000000"/>
          </w:tcPr>
          <w:p w14:paraId="0A77C4EB" w14:textId="77777777" w:rsidR="00C3036D" w:rsidRPr="00FA3F9C" w:rsidRDefault="00C3036D"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88" w:type="dxa"/>
            <w:shd w:val="clear" w:color="auto" w:fill="000000"/>
          </w:tcPr>
          <w:p w14:paraId="2FCA3028" w14:textId="77777777" w:rsidR="00C3036D" w:rsidRPr="00FA3F9C" w:rsidRDefault="00C3036D" w:rsidP="006F623F">
            <w:pPr>
              <w:jc w:val="center"/>
              <w:rPr>
                <w:rFonts w:ascii="Arial" w:hAnsi="Arial" w:cs="Arial"/>
                <w:b/>
                <w:sz w:val="24"/>
                <w:szCs w:val="24"/>
                <w:u w:val="single"/>
              </w:rPr>
            </w:pPr>
          </w:p>
        </w:tc>
      </w:tr>
      <w:tr w:rsidR="00C3036D" w:rsidRPr="00FA3F9C" w14:paraId="3FF0BCAE" w14:textId="77777777" w:rsidTr="00F337AE">
        <w:tc>
          <w:tcPr>
            <w:tcW w:w="11016" w:type="dxa"/>
            <w:gridSpan w:val="2"/>
          </w:tcPr>
          <w:p w14:paraId="56BD86FF" w14:textId="77777777" w:rsidR="00C3036D" w:rsidRPr="00FA3F9C" w:rsidRDefault="00C3036D" w:rsidP="002720C3">
            <w:pPr>
              <w:rPr>
                <w:rFonts w:ascii="Arial" w:hAnsi="Arial" w:cs="Arial"/>
                <w:sz w:val="24"/>
                <w:szCs w:val="24"/>
              </w:rPr>
            </w:pPr>
            <w:r w:rsidRPr="00FA3F9C">
              <w:rPr>
                <w:rFonts w:ascii="Arial" w:hAnsi="Arial" w:cs="Arial"/>
                <w:sz w:val="24"/>
                <w:szCs w:val="24"/>
              </w:rPr>
              <w:t>1. Diagnosis of metastatic triple negative breast cancer [</w:t>
            </w:r>
            <w:proofErr w:type="gramStart"/>
            <w:r w:rsidRPr="00FA3F9C">
              <w:rPr>
                <w:rFonts w:ascii="Arial" w:hAnsi="Arial" w:cs="Arial"/>
                <w:sz w:val="24"/>
                <w:szCs w:val="24"/>
              </w:rPr>
              <w:t>i.e.</w:t>
            </w:r>
            <w:proofErr w:type="gramEnd"/>
            <w:r w:rsidRPr="00FA3F9C">
              <w:rPr>
                <w:rFonts w:ascii="Arial" w:hAnsi="Arial" w:cs="Arial"/>
                <w:sz w:val="24"/>
                <w:szCs w:val="24"/>
              </w:rPr>
              <w:t xml:space="preserve"> &lt;1% estrogen and progesterone receptor expression and HER2 negative]</w:t>
            </w:r>
          </w:p>
        </w:tc>
      </w:tr>
      <w:tr w:rsidR="00C3036D" w:rsidRPr="00FA3F9C" w14:paraId="6EE63F49" w14:textId="77777777" w:rsidTr="00B1617E">
        <w:tc>
          <w:tcPr>
            <w:tcW w:w="11016" w:type="dxa"/>
            <w:gridSpan w:val="2"/>
          </w:tcPr>
          <w:p w14:paraId="11832319" w14:textId="77777777" w:rsidR="00C3036D" w:rsidRPr="00FA3F9C" w:rsidRDefault="00C3036D" w:rsidP="004B54E4">
            <w:pPr>
              <w:rPr>
                <w:rFonts w:ascii="Arial" w:hAnsi="Arial" w:cs="Arial"/>
                <w:sz w:val="24"/>
                <w:szCs w:val="24"/>
              </w:rPr>
            </w:pPr>
            <w:r w:rsidRPr="00FA3F9C">
              <w:rPr>
                <w:rFonts w:ascii="Arial" w:hAnsi="Arial" w:cs="Arial"/>
                <w:sz w:val="24"/>
                <w:szCs w:val="24"/>
              </w:rPr>
              <w:lastRenderedPageBreak/>
              <w:t>2. Refractory to or relapsed on/after two or more prior systemic therapies, at least one of them for metastatic disease</w:t>
            </w:r>
          </w:p>
        </w:tc>
      </w:tr>
      <w:tr w:rsidR="00C3036D" w:rsidRPr="00FA3F9C" w14:paraId="0DAEB572" w14:textId="77777777" w:rsidTr="0010789D">
        <w:tc>
          <w:tcPr>
            <w:tcW w:w="11016" w:type="dxa"/>
            <w:gridSpan w:val="2"/>
          </w:tcPr>
          <w:p w14:paraId="1216BF1F" w14:textId="77777777" w:rsidR="00C3036D" w:rsidRPr="00FA3F9C" w:rsidRDefault="00C3036D" w:rsidP="006F623F">
            <w:pPr>
              <w:rPr>
                <w:rFonts w:ascii="Arial" w:hAnsi="Arial" w:cs="Arial"/>
                <w:sz w:val="24"/>
                <w:szCs w:val="24"/>
              </w:rPr>
            </w:pPr>
            <w:r w:rsidRPr="00FA3F9C">
              <w:rPr>
                <w:rFonts w:ascii="Arial" w:hAnsi="Arial" w:cs="Arial"/>
                <w:sz w:val="24"/>
                <w:szCs w:val="24"/>
              </w:rPr>
              <w:t>3. Sacituzumab will be used as single agent</w:t>
            </w:r>
          </w:p>
        </w:tc>
      </w:tr>
      <w:tr w:rsidR="00C3036D" w:rsidRPr="00FA3F9C" w14:paraId="2888BE74" w14:textId="77777777" w:rsidTr="002720C3">
        <w:tc>
          <w:tcPr>
            <w:tcW w:w="11016" w:type="dxa"/>
            <w:gridSpan w:val="2"/>
            <w:shd w:val="clear" w:color="auto" w:fill="F2F2F2" w:themeFill="background1" w:themeFillShade="F2"/>
          </w:tcPr>
          <w:p w14:paraId="02739E33" w14:textId="77777777" w:rsidR="00C3036D" w:rsidRPr="00FA3F9C" w:rsidRDefault="00C3036D" w:rsidP="006F623F">
            <w:pPr>
              <w:rPr>
                <w:rFonts w:ascii="Arial" w:hAnsi="Arial" w:cs="Arial"/>
                <w:sz w:val="24"/>
                <w:szCs w:val="24"/>
              </w:rPr>
            </w:pPr>
            <w:r w:rsidRPr="00FA3F9C">
              <w:rPr>
                <w:rFonts w:ascii="Arial" w:hAnsi="Arial" w:cs="Arial"/>
                <w:sz w:val="24"/>
                <w:szCs w:val="24"/>
              </w:rPr>
              <w:t>If criteria met, approve for 12 months</w:t>
            </w:r>
          </w:p>
        </w:tc>
      </w:tr>
    </w:tbl>
    <w:p w14:paraId="20FF3D44" w14:textId="77777777" w:rsidR="00C3036D" w:rsidRPr="00FA3F9C" w:rsidRDefault="00C3036D" w:rsidP="006F623F">
      <w:pPr>
        <w:spacing w:after="0"/>
        <w:rPr>
          <w:rFonts w:ascii="Arial" w:hAnsi="Arial" w:cs="Arial"/>
          <w:b/>
          <w:sz w:val="24"/>
          <w:szCs w:val="24"/>
          <w:u w:val="single"/>
        </w:rPr>
      </w:pPr>
    </w:p>
    <w:p w14:paraId="7ADE0B01" w14:textId="77777777" w:rsidR="00C3036D" w:rsidRPr="00FA3F9C" w:rsidRDefault="00C3036D" w:rsidP="006F623F">
      <w:pPr>
        <w:spacing w:after="0"/>
        <w:rPr>
          <w:rFonts w:ascii="Arial" w:hAnsi="Arial" w:cs="Arial"/>
          <w:b/>
          <w:sz w:val="24"/>
          <w:szCs w:val="24"/>
          <w:u w:val="single"/>
        </w:rPr>
      </w:pPr>
    </w:p>
    <w:tbl>
      <w:tblPr>
        <w:tblStyle w:val="TableGrid"/>
        <w:tblW w:w="0" w:type="auto"/>
        <w:shd w:val="clear" w:color="auto" w:fill="BFBFBF" w:themeFill="background1" w:themeFillShade="BF"/>
        <w:tblLook w:val="04A0" w:firstRow="1" w:lastRow="0" w:firstColumn="1" w:lastColumn="0" w:noHBand="0" w:noVBand="1"/>
      </w:tblPr>
      <w:tblGrid>
        <w:gridCol w:w="11301"/>
      </w:tblGrid>
      <w:tr w:rsidR="00C3036D" w:rsidRPr="00FA3F9C" w14:paraId="61F7A254" w14:textId="77777777" w:rsidTr="00D82B6E">
        <w:tc>
          <w:tcPr>
            <w:tcW w:w="10998" w:type="dxa"/>
            <w:shd w:val="clear" w:color="auto" w:fill="BFBFBF" w:themeFill="background1" w:themeFillShade="BF"/>
          </w:tcPr>
          <w:p w14:paraId="33591322" w14:textId="77777777" w:rsidR="00C3036D" w:rsidRPr="00FA3F9C" w:rsidRDefault="00C3036D" w:rsidP="00D82B6E">
            <w:pPr>
              <w:rPr>
                <w:rFonts w:ascii="Arial" w:hAnsi="Arial" w:cs="Arial"/>
                <w:sz w:val="24"/>
                <w:szCs w:val="24"/>
              </w:rPr>
            </w:pPr>
            <w:r w:rsidRPr="00FA3F9C">
              <w:rPr>
                <w:rFonts w:ascii="Arial" w:hAnsi="Arial" w:cs="Arial"/>
                <w:sz w:val="24"/>
                <w:szCs w:val="24"/>
              </w:rPr>
              <w:t xml:space="preserve">Note: </w:t>
            </w:r>
          </w:p>
          <w:tbl>
            <w:tblPr>
              <w:tblStyle w:val="TableGrid"/>
              <w:tblpPr w:leftFromText="180" w:rightFromText="180" w:vertAnchor="text" w:horzAnchor="margin" w:tblpXSpec="center" w:tblpY="97"/>
              <w:tblW w:w="11075" w:type="dxa"/>
              <w:tblLook w:val="04A0" w:firstRow="1" w:lastRow="0" w:firstColumn="1" w:lastColumn="0" w:noHBand="0" w:noVBand="1"/>
            </w:tblPr>
            <w:tblGrid>
              <w:gridCol w:w="1975"/>
              <w:gridCol w:w="4320"/>
              <w:gridCol w:w="2340"/>
              <w:gridCol w:w="995"/>
              <w:gridCol w:w="1445"/>
            </w:tblGrid>
            <w:tr w:rsidR="00C3036D" w:rsidRPr="00FA3F9C" w14:paraId="654EEBB2" w14:textId="77777777" w:rsidTr="002720C3">
              <w:trPr>
                <w:trHeight w:val="269"/>
              </w:trPr>
              <w:tc>
                <w:tcPr>
                  <w:tcW w:w="1975" w:type="dxa"/>
                  <w:vMerge w:val="restart"/>
                  <w:tcBorders>
                    <w:top w:val="single" w:sz="4" w:space="0" w:color="auto"/>
                  </w:tcBorders>
                </w:tcPr>
                <w:p w14:paraId="7B3FDD3C" w14:textId="77777777" w:rsidR="00C3036D" w:rsidRPr="00FA3F9C" w:rsidRDefault="00C3036D" w:rsidP="002720C3">
                  <w:pPr>
                    <w:rPr>
                      <w:rFonts w:ascii="Arial" w:hAnsi="Arial" w:cs="Arial"/>
                      <w:sz w:val="24"/>
                      <w:szCs w:val="24"/>
                      <w:vertAlign w:val="superscript"/>
                    </w:rPr>
                  </w:pPr>
                  <w:r w:rsidRPr="00FA3F9C">
                    <w:rPr>
                      <w:rFonts w:ascii="Arial" w:hAnsi="Arial" w:cs="Arial"/>
                      <w:sz w:val="24"/>
                      <w:szCs w:val="24"/>
                    </w:rPr>
                    <w:t>ASCENT</w:t>
                  </w:r>
                </w:p>
                <w:p w14:paraId="5C17377D" w14:textId="77777777" w:rsidR="00C3036D" w:rsidRPr="00FA3F9C" w:rsidRDefault="00C3036D" w:rsidP="002720C3">
                  <w:pPr>
                    <w:rPr>
                      <w:rFonts w:ascii="Arial" w:hAnsi="Arial" w:cs="Arial"/>
                      <w:sz w:val="24"/>
                      <w:szCs w:val="24"/>
                    </w:rPr>
                  </w:pPr>
                  <w:r w:rsidRPr="00FA3F9C">
                    <w:rPr>
                      <w:rFonts w:ascii="Arial" w:hAnsi="Arial" w:cs="Arial"/>
                      <w:sz w:val="24"/>
                      <w:szCs w:val="24"/>
                    </w:rPr>
                    <w:t>NCT02574455</w:t>
                  </w:r>
                </w:p>
                <w:p w14:paraId="01B89772" w14:textId="77777777" w:rsidR="00C3036D" w:rsidRPr="00FA3F9C" w:rsidRDefault="00C3036D" w:rsidP="002720C3">
                  <w:pPr>
                    <w:rPr>
                      <w:rFonts w:ascii="Arial" w:hAnsi="Arial" w:cs="Arial"/>
                      <w:sz w:val="24"/>
                      <w:szCs w:val="24"/>
                    </w:rPr>
                  </w:pPr>
                  <w:r w:rsidRPr="00FA3F9C">
                    <w:rPr>
                      <w:rFonts w:ascii="Arial" w:hAnsi="Arial" w:cs="Arial"/>
                      <w:sz w:val="24"/>
                      <w:szCs w:val="24"/>
                    </w:rPr>
                    <w:t>Phase III, RCT</w:t>
                  </w:r>
                </w:p>
                <w:p w14:paraId="2196AC82" w14:textId="77777777" w:rsidR="00C3036D" w:rsidRPr="00FA3F9C" w:rsidRDefault="00C3036D" w:rsidP="002720C3">
                  <w:pPr>
                    <w:rPr>
                      <w:rFonts w:ascii="Arial" w:hAnsi="Arial" w:cs="Arial"/>
                      <w:sz w:val="24"/>
                      <w:szCs w:val="24"/>
                    </w:rPr>
                  </w:pPr>
                </w:p>
                <w:p w14:paraId="2C64C4A2" w14:textId="77777777" w:rsidR="00C3036D" w:rsidRPr="00FA3F9C" w:rsidRDefault="00C3036D" w:rsidP="002720C3">
                  <w:pPr>
                    <w:rPr>
                      <w:rFonts w:ascii="Arial" w:hAnsi="Arial" w:cs="Arial"/>
                      <w:sz w:val="24"/>
                      <w:szCs w:val="24"/>
                    </w:rPr>
                  </w:pPr>
                  <w:r w:rsidRPr="00FA3F9C">
                    <w:rPr>
                      <w:rFonts w:ascii="Arial" w:hAnsi="Arial" w:cs="Arial"/>
                      <w:sz w:val="24"/>
                      <w:szCs w:val="24"/>
                    </w:rPr>
                    <w:t>1:1 randomization</w:t>
                  </w:r>
                </w:p>
                <w:p w14:paraId="30D83752" w14:textId="77777777" w:rsidR="00C3036D" w:rsidRPr="00FA3F9C" w:rsidRDefault="00C3036D" w:rsidP="002720C3">
                  <w:pPr>
                    <w:rPr>
                      <w:rFonts w:ascii="Arial" w:hAnsi="Arial" w:cs="Arial"/>
                      <w:sz w:val="24"/>
                      <w:szCs w:val="24"/>
                    </w:rPr>
                  </w:pPr>
                  <w:r w:rsidRPr="00FA3F9C">
                    <w:rPr>
                      <w:rFonts w:ascii="Arial" w:hAnsi="Arial" w:cs="Arial"/>
                      <w:sz w:val="24"/>
                      <w:szCs w:val="24"/>
                    </w:rPr>
                    <w:t xml:space="preserve">SG vs </w:t>
                  </w:r>
                  <w:proofErr w:type="gramStart"/>
                  <w:r w:rsidRPr="00FA3F9C">
                    <w:rPr>
                      <w:rFonts w:ascii="Arial" w:hAnsi="Arial" w:cs="Arial"/>
                      <w:sz w:val="24"/>
                      <w:szCs w:val="24"/>
                    </w:rPr>
                    <w:t>physicians</w:t>
                  </w:r>
                  <w:proofErr w:type="gramEnd"/>
                  <w:r w:rsidRPr="00FA3F9C">
                    <w:rPr>
                      <w:rFonts w:ascii="Arial" w:hAnsi="Arial" w:cs="Arial"/>
                      <w:sz w:val="24"/>
                      <w:szCs w:val="24"/>
                    </w:rPr>
                    <w:t xml:space="preserve"> choice single-agent chemo*</w:t>
                  </w:r>
                </w:p>
                <w:p w14:paraId="71CF0EAA" w14:textId="77777777" w:rsidR="00C3036D" w:rsidRPr="00FA3F9C" w:rsidRDefault="00C3036D" w:rsidP="002720C3">
                  <w:pPr>
                    <w:rPr>
                      <w:rFonts w:ascii="Arial" w:hAnsi="Arial" w:cs="Arial"/>
                      <w:sz w:val="24"/>
                      <w:szCs w:val="24"/>
                    </w:rPr>
                  </w:pPr>
                </w:p>
                <w:p w14:paraId="2F7293B5" w14:textId="77777777" w:rsidR="00C3036D" w:rsidRPr="00FA3F9C" w:rsidRDefault="00C3036D" w:rsidP="002720C3">
                  <w:pPr>
                    <w:rPr>
                      <w:rFonts w:ascii="Arial" w:hAnsi="Arial" w:cs="Arial"/>
                      <w:sz w:val="24"/>
                      <w:szCs w:val="24"/>
                    </w:rPr>
                  </w:pPr>
                  <w:r w:rsidRPr="00FA3F9C">
                    <w:rPr>
                      <w:rFonts w:ascii="Arial" w:hAnsi="Arial" w:cs="Arial"/>
                      <w:sz w:val="24"/>
                      <w:szCs w:val="24"/>
                    </w:rPr>
                    <w:t>*</w:t>
                  </w:r>
                  <w:proofErr w:type="gramStart"/>
                  <w:r w:rsidRPr="00FA3F9C">
                    <w:rPr>
                      <w:rFonts w:ascii="Arial" w:hAnsi="Arial" w:cs="Arial"/>
                      <w:sz w:val="24"/>
                      <w:szCs w:val="24"/>
                    </w:rPr>
                    <w:t>capecitabine</w:t>
                  </w:r>
                  <w:proofErr w:type="gramEnd"/>
                  <w:r w:rsidRPr="00FA3F9C">
                    <w:rPr>
                      <w:rFonts w:ascii="Arial" w:hAnsi="Arial" w:cs="Arial"/>
                      <w:sz w:val="24"/>
                      <w:szCs w:val="24"/>
                    </w:rPr>
                    <w:t xml:space="preserve">, </w:t>
                  </w:r>
                  <w:proofErr w:type="spellStart"/>
                  <w:r w:rsidRPr="00FA3F9C">
                    <w:rPr>
                      <w:rFonts w:ascii="Arial" w:hAnsi="Arial" w:cs="Arial"/>
                      <w:sz w:val="24"/>
                      <w:szCs w:val="24"/>
                    </w:rPr>
                    <w:t>eribulin</w:t>
                  </w:r>
                  <w:proofErr w:type="spellEnd"/>
                  <w:r w:rsidRPr="00FA3F9C">
                    <w:rPr>
                      <w:rFonts w:ascii="Arial" w:hAnsi="Arial" w:cs="Arial"/>
                      <w:sz w:val="24"/>
                      <w:szCs w:val="24"/>
                    </w:rPr>
                    <w:t>, vinorelbine, OR gemcitabine</w:t>
                  </w:r>
                </w:p>
              </w:tc>
              <w:tc>
                <w:tcPr>
                  <w:tcW w:w="4320" w:type="dxa"/>
                  <w:vMerge w:val="restart"/>
                  <w:tcBorders>
                    <w:top w:val="single" w:sz="4" w:space="0" w:color="auto"/>
                  </w:tcBorders>
                </w:tcPr>
                <w:p w14:paraId="59995BA5" w14:textId="77777777" w:rsidR="00C3036D" w:rsidRPr="00FA3F9C" w:rsidRDefault="00C3036D" w:rsidP="002720C3">
                  <w:pPr>
                    <w:rPr>
                      <w:rFonts w:ascii="Arial" w:hAnsi="Arial" w:cs="Arial"/>
                      <w:sz w:val="24"/>
                      <w:szCs w:val="24"/>
                      <w:u w:val="single"/>
                    </w:rPr>
                  </w:pPr>
                  <w:r w:rsidRPr="00FA3F9C">
                    <w:rPr>
                      <w:rFonts w:ascii="Arial" w:hAnsi="Arial" w:cs="Arial"/>
                      <w:sz w:val="24"/>
                      <w:szCs w:val="24"/>
                      <w:u w:val="single"/>
                    </w:rPr>
                    <w:t>Key inclusion/exclusion criteria:</w:t>
                  </w:r>
                </w:p>
                <w:p w14:paraId="6B5DC16C" w14:textId="77777777" w:rsidR="00C3036D" w:rsidRPr="00FA3F9C" w:rsidRDefault="00C3036D" w:rsidP="002720C3">
                  <w:pPr>
                    <w:rPr>
                      <w:rFonts w:ascii="Arial" w:hAnsi="Arial" w:cs="Arial"/>
                      <w:sz w:val="24"/>
                      <w:szCs w:val="24"/>
                    </w:rPr>
                  </w:pPr>
                  <w:r w:rsidRPr="00FA3F9C">
                    <w:rPr>
                      <w:rFonts w:ascii="Arial" w:hAnsi="Arial" w:cs="Arial"/>
                      <w:sz w:val="24"/>
                      <w:szCs w:val="24"/>
                    </w:rPr>
                    <w:t>Metastatic triple-negative breast cancer</w:t>
                  </w:r>
                </w:p>
                <w:p w14:paraId="06D24F70" w14:textId="77777777" w:rsidR="00C3036D" w:rsidRPr="00FA3F9C" w:rsidRDefault="00C3036D" w:rsidP="002720C3">
                  <w:pPr>
                    <w:rPr>
                      <w:rFonts w:ascii="Arial" w:hAnsi="Arial" w:cs="Arial"/>
                      <w:sz w:val="24"/>
                      <w:szCs w:val="24"/>
                    </w:rPr>
                  </w:pPr>
                  <w:r w:rsidRPr="00FA3F9C">
                    <w:rPr>
                      <w:rFonts w:ascii="Arial" w:hAnsi="Arial" w:cs="Arial"/>
                      <w:sz w:val="24"/>
                      <w:szCs w:val="24"/>
                    </w:rPr>
                    <w:t xml:space="preserve">-at least 2 prior </w:t>
                  </w:r>
                  <w:proofErr w:type="gramStart"/>
                  <w:r w:rsidRPr="00FA3F9C">
                    <w:rPr>
                      <w:rFonts w:ascii="Arial" w:hAnsi="Arial" w:cs="Arial"/>
                      <w:sz w:val="24"/>
                      <w:szCs w:val="24"/>
                    </w:rPr>
                    <w:t>treatment</w:t>
                  </w:r>
                  <w:proofErr w:type="gramEnd"/>
                  <w:r w:rsidRPr="00FA3F9C">
                    <w:rPr>
                      <w:rFonts w:ascii="Arial" w:hAnsi="Arial" w:cs="Arial"/>
                      <w:sz w:val="24"/>
                      <w:szCs w:val="24"/>
                    </w:rPr>
                    <w:t xml:space="preserve"> for metastatic disease</w:t>
                  </w:r>
                </w:p>
                <w:p w14:paraId="4D3E3143" w14:textId="77777777" w:rsidR="00C3036D" w:rsidRPr="00FA3F9C" w:rsidRDefault="00C3036D" w:rsidP="002720C3">
                  <w:pPr>
                    <w:rPr>
                      <w:rFonts w:ascii="Arial" w:hAnsi="Arial" w:cs="Arial"/>
                      <w:sz w:val="24"/>
                      <w:szCs w:val="24"/>
                    </w:rPr>
                  </w:pPr>
                  <w:r w:rsidRPr="00FA3F9C">
                    <w:rPr>
                      <w:rFonts w:ascii="Arial" w:hAnsi="Arial" w:cs="Arial"/>
                      <w:sz w:val="24"/>
                      <w:szCs w:val="24"/>
                    </w:rPr>
                    <w:t xml:space="preserve">-prior </w:t>
                  </w:r>
                  <w:proofErr w:type="spellStart"/>
                  <w:r w:rsidRPr="00FA3F9C">
                    <w:rPr>
                      <w:rFonts w:ascii="Arial" w:hAnsi="Arial" w:cs="Arial"/>
                      <w:sz w:val="24"/>
                      <w:szCs w:val="24"/>
                    </w:rPr>
                    <w:t>taxane</w:t>
                  </w:r>
                  <w:proofErr w:type="spellEnd"/>
                  <w:r w:rsidRPr="00FA3F9C">
                    <w:rPr>
                      <w:rFonts w:ascii="Arial" w:hAnsi="Arial" w:cs="Arial"/>
                      <w:sz w:val="24"/>
                      <w:szCs w:val="24"/>
                    </w:rPr>
                    <w:t xml:space="preserve"> required</w:t>
                  </w:r>
                </w:p>
                <w:p w14:paraId="65F4AC4E" w14:textId="77777777" w:rsidR="00C3036D" w:rsidRPr="00FA3F9C" w:rsidRDefault="00C3036D" w:rsidP="002720C3">
                  <w:pPr>
                    <w:rPr>
                      <w:rFonts w:ascii="Arial" w:hAnsi="Arial" w:cs="Arial"/>
                      <w:sz w:val="24"/>
                      <w:szCs w:val="24"/>
                    </w:rPr>
                  </w:pPr>
                </w:p>
                <w:p w14:paraId="76832BC9" w14:textId="77777777" w:rsidR="00C3036D" w:rsidRPr="00FA3F9C" w:rsidRDefault="00C3036D" w:rsidP="002720C3">
                  <w:pPr>
                    <w:rPr>
                      <w:rFonts w:ascii="Arial" w:hAnsi="Arial" w:cs="Arial"/>
                      <w:sz w:val="24"/>
                      <w:szCs w:val="24"/>
                      <w:u w:val="single"/>
                    </w:rPr>
                  </w:pPr>
                  <w:r w:rsidRPr="00FA3F9C">
                    <w:rPr>
                      <w:rFonts w:ascii="Arial" w:hAnsi="Arial" w:cs="Arial"/>
                      <w:sz w:val="24"/>
                      <w:szCs w:val="24"/>
                      <w:u w:val="single"/>
                    </w:rPr>
                    <w:t>Population enrolled:</w:t>
                  </w:r>
                </w:p>
                <w:p w14:paraId="2133BD1A" w14:textId="77777777" w:rsidR="00C3036D" w:rsidRPr="00FA3F9C" w:rsidRDefault="00C3036D" w:rsidP="002720C3">
                  <w:pPr>
                    <w:rPr>
                      <w:rFonts w:ascii="Arial" w:hAnsi="Arial" w:cs="Arial"/>
                      <w:sz w:val="24"/>
                      <w:szCs w:val="24"/>
                    </w:rPr>
                  </w:pPr>
                  <w:r w:rsidRPr="00FA3F9C">
                    <w:rPr>
                      <w:rFonts w:ascii="Arial" w:hAnsi="Arial" w:cs="Arial"/>
                      <w:sz w:val="24"/>
                      <w:szCs w:val="24"/>
                    </w:rPr>
                    <w:t>N=529</w:t>
                  </w:r>
                </w:p>
                <w:p w14:paraId="58EA4451" w14:textId="77777777" w:rsidR="00C3036D" w:rsidRPr="00FA3F9C" w:rsidRDefault="00C3036D" w:rsidP="002720C3">
                  <w:pPr>
                    <w:rPr>
                      <w:rFonts w:ascii="Arial" w:hAnsi="Arial" w:cs="Arial"/>
                      <w:sz w:val="24"/>
                      <w:szCs w:val="24"/>
                    </w:rPr>
                  </w:pPr>
                  <w:r w:rsidRPr="00FA3F9C">
                    <w:rPr>
                      <w:rFonts w:ascii="Arial" w:hAnsi="Arial" w:cs="Arial"/>
                      <w:sz w:val="24"/>
                      <w:szCs w:val="24"/>
                    </w:rPr>
                    <w:t>Median age: 54 y/o</w:t>
                  </w:r>
                </w:p>
                <w:p w14:paraId="2E4BC845" w14:textId="77777777" w:rsidR="00C3036D" w:rsidRPr="00FA3F9C" w:rsidRDefault="00C3036D" w:rsidP="002720C3">
                  <w:pPr>
                    <w:rPr>
                      <w:rFonts w:ascii="Arial" w:hAnsi="Arial" w:cs="Arial"/>
                      <w:sz w:val="24"/>
                      <w:szCs w:val="24"/>
                    </w:rPr>
                  </w:pPr>
                  <w:r w:rsidRPr="00FA3F9C">
                    <w:rPr>
                      <w:rFonts w:ascii="Arial" w:hAnsi="Arial" w:cs="Arial"/>
                      <w:sz w:val="24"/>
                      <w:szCs w:val="24"/>
                    </w:rPr>
                    <w:t xml:space="preserve">Median # of prior regimens: 4 </w:t>
                  </w:r>
                </w:p>
              </w:tc>
              <w:tc>
                <w:tcPr>
                  <w:tcW w:w="4780" w:type="dxa"/>
                  <w:gridSpan w:val="3"/>
                </w:tcPr>
                <w:p w14:paraId="2C4EC7AC" w14:textId="77777777" w:rsidR="00C3036D" w:rsidRPr="00FA3F9C" w:rsidRDefault="00C3036D" w:rsidP="002720C3">
                  <w:pPr>
                    <w:ind w:left="-14"/>
                    <w:rPr>
                      <w:rFonts w:ascii="Arial" w:hAnsi="Arial" w:cs="Arial"/>
                      <w:b/>
                      <w:sz w:val="24"/>
                      <w:szCs w:val="24"/>
                    </w:rPr>
                  </w:pPr>
                  <w:r w:rsidRPr="00FA3F9C">
                    <w:rPr>
                      <w:rFonts w:ascii="Arial" w:hAnsi="Arial" w:cs="Arial"/>
                      <w:b/>
                      <w:sz w:val="24"/>
                      <w:szCs w:val="24"/>
                    </w:rPr>
                    <w:t xml:space="preserve">Results for patients with no brain </w:t>
                  </w:r>
                  <w:proofErr w:type="spellStart"/>
                  <w:r w:rsidRPr="00FA3F9C">
                    <w:rPr>
                      <w:rFonts w:ascii="Arial" w:hAnsi="Arial" w:cs="Arial"/>
                      <w:b/>
                      <w:sz w:val="24"/>
                      <w:szCs w:val="24"/>
                    </w:rPr>
                    <w:t>mets</w:t>
                  </w:r>
                  <w:proofErr w:type="spellEnd"/>
                  <w:r w:rsidRPr="00FA3F9C">
                    <w:rPr>
                      <w:rFonts w:ascii="Arial" w:hAnsi="Arial" w:cs="Arial"/>
                      <w:b/>
                      <w:sz w:val="24"/>
                      <w:szCs w:val="24"/>
                    </w:rPr>
                    <w:t xml:space="preserve"> at baseline (n=468) </w:t>
                  </w:r>
                </w:p>
              </w:tc>
            </w:tr>
            <w:tr w:rsidR="00C3036D" w:rsidRPr="00FA3F9C" w14:paraId="6B889E03" w14:textId="77777777" w:rsidTr="00072B36">
              <w:trPr>
                <w:trHeight w:val="40"/>
              </w:trPr>
              <w:tc>
                <w:tcPr>
                  <w:tcW w:w="1975" w:type="dxa"/>
                  <w:vMerge/>
                </w:tcPr>
                <w:p w14:paraId="1FB5002E" w14:textId="77777777" w:rsidR="00C3036D" w:rsidRPr="00FA3F9C" w:rsidRDefault="00C3036D" w:rsidP="002720C3">
                  <w:pPr>
                    <w:rPr>
                      <w:rFonts w:ascii="Arial" w:hAnsi="Arial" w:cs="Arial"/>
                      <w:sz w:val="24"/>
                      <w:szCs w:val="24"/>
                    </w:rPr>
                  </w:pPr>
                </w:p>
              </w:tc>
              <w:tc>
                <w:tcPr>
                  <w:tcW w:w="4320" w:type="dxa"/>
                  <w:vMerge/>
                </w:tcPr>
                <w:p w14:paraId="7DD4A97E" w14:textId="77777777" w:rsidR="00C3036D" w:rsidRPr="00FA3F9C" w:rsidRDefault="00C3036D" w:rsidP="002720C3">
                  <w:pPr>
                    <w:rPr>
                      <w:rFonts w:ascii="Arial" w:hAnsi="Arial" w:cs="Arial"/>
                      <w:sz w:val="24"/>
                      <w:szCs w:val="24"/>
                      <w:u w:val="single"/>
                    </w:rPr>
                  </w:pPr>
                </w:p>
              </w:tc>
              <w:tc>
                <w:tcPr>
                  <w:tcW w:w="2340" w:type="dxa"/>
                  <w:shd w:val="clear" w:color="auto" w:fill="E7E6E6" w:themeFill="background2"/>
                </w:tcPr>
                <w:p w14:paraId="62773D3C" w14:textId="77777777" w:rsidR="00C3036D" w:rsidRPr="00FA3F9C" w:rsidRDefault="00C3036D" w:rsidP="002720C3">
                  <w:pPr>
                    <w:ind w:left="-14"/>
                    <w:rPr>
                      <w:rFonts w:ascii="Arial" w:hAnsi="Arial" w:cs="Arial"/>
                      <w:sz w:val="24"/>
                      <w:szCs w:val="24"/>
                    </w:rPr>
                  </w:pPr>
                  <w:r w:rsidRPr="00FA3F9C">
                    <w:rPr>
                      <w:rFonts w:ascii="Arial" w:hAnsi="Arial" w:cs="Arial"/>
                      <w:sz w:val="24"/>
                      <w:szCs w:val="24"/>
                    </w:rPr>
                    <w:t>Outcome</w:t>
                  </w:r>
                </w:p>
              </w:tc>
              <w:tc>
                <w:tcPr>
                  <w:tcW w:w="995" w:type="dxa"/>
                  <w:shd w:val="clear" w:color="auto" w:fill="E7E6E6" w:themeFill="background2"/>
                </w:tcPr>
                <w:p w14:paraId="13750762" w14:textId="77777777" w:rsidR="00C3036D" w:rsidRPr="00FA3F9C" w:rsidRDefault="00C3036D" w:rsidP="002720C3">
                  <w:pPr>
                    <w:ind w:left="-14"/>
                    <w:rPr>
                      <w:rFonts w:ascii="Arial" w:hAnsi="Arial" w:cs="Arial"/>
                      <w:sz w:val="24"/>
                      <w:szCs w:val="24"/>
                    </w:rPr>
                  </w:pPr>
                  <w:r w:rsidRPr="00FA3F9C">
                    <w:rPr>
                      <w:rFonts w:ascii="Arial" w:hAnsi="Arial" w:cs="Arial"/>
                      <w:sz w:val="24"/>
                      <w:szCs w:val="24"/>
                    </w:rPr>
                    <w:t>SG</w:t>
                  </w:r>
                </w:p>
              </w:tc>
              <w:tc>
                <w:tcPr>
                  <w:tcW w:w="1445" w:type="dxa"/>
                  <w:shd w:val="clear" w:color="auto" w:fill="E7E6E6" w:themeFill="background2"/>
                </w:tcPr>
                <w:p w14:paraId="0BA8F340" w14:textId="77777777" w:rsidR="00C3036D" w:rsidRPr="00FA3F9C" w:rsidRDefault="00C3036D" w:rsidP="002720C3">
                  <w:pPr>
                    <w:ind w:left="-14"/>
                    <w:rPr>
                      <w:rFonts w:ascii="Arial" w:hAnsi="Arial" w:cs="Arial"/>
                      <w:sz w:val="24"/>
                      <w:szCs w:val="24"/>
                    </w:rPr>
                  </w:pPr>
                  <w:r w:rsidRPr="00FA3F9C">
                    <w:rPr>
                      <w:rFonts w:ascii="Arial" w:hAnsi="Arial" w:cs="Arial"/>
                      <w:sz w:val="24"/>
                      <w:szCs w:val="24"/>
                    </w:rPr>
                    <w:t>Chemo</w:t>
                  </w:r>
                </w:p>
              </w:tc>
            </w:tr>
            <w:tr w:rsidR="00C3036D" w:rsidRPr="00FA3F9C" w14:paraId="7A0B7BC1" w14:textId="77777777" w:rsidTr="004F78B5">
              <w:trPr>
                <w:trHeight w:val="267"/>
              </w:trPr>
              <w:tc>
                <w:tcPr>
                  <w:tcW w:w="1975" w:type="dxa"/>
                  <w:vMerge/>
                </w:tcPr>
                <w:p w14:paraId="7322C908" w14:textId="77777777" w:rsidR="00C3036D" w:rsidRPr="00FA3F9C" w:rsidRDefault="00C3036D" w:rsidP="002720C3">
                  <w:pPr>
                    <w:rPr>
                      <w:rFonts w:ascii="Arial" w:hAnsi="Arial" w:cs="Arial"/>
                      <w:sz w:val="24"/>
                      <w:szCs w:val="24"/>
                    </w:rPr>
                  </w:pPr>
                </w:p>
              </w:tc>
              <w:tc>
                <w:tcPr>
                  <w:tcW w:w="4320" w:type="dxa"/>
                  <w:vMerge/>
                </w:tcPr>
                <w:p w14:paraId="18872022" w14:textId="77777777" w:rsidR="00C3036D" w:rsidRPr="00FA3F9C" w:rsidRDefault="00C3036D" w:rsidP="002720C3">
                  <w:pPr>
                    <w:rPr>
                      <w:rFonts w:ascii="Arial" w:hAnsi="Arial" w:cs="Arial"/>
                      <w:sz w:val="24"/>
                      <w:szCs w:val="24"/>
                      <w:u w:val="single"/>
                    </w:rPr>
                  </w:pPr>
                </w:p>
              </w:tc>
              <w:tc>
                <w:tcPr>
                  <w:tcW w:w="2340" w:type="dxa"/>
                </w:tcPr>
                <w:p w14:paraId="12E8854E" w14:textId="77777777" w:rsidR="00C3036D" w:rsidRPr="00FA3F9C" w:rsidRDefault="00C3036D" w:rsidP="002720C3">
                  <w:pPr>
                    <w:ind w:left="-14"/>
                    <w:rPr>
                      <w:rFonts w:ascii="Arial" w:hAnsi="Arial" w:cs="Arial"/>
                      <w:sz w:val="24"/>
                      <w:szCs w:val="24"/>
                    </w:rPr>
                  </w:pPr>
                  <w:r w:rsidRPr="00FA3F9C">
                    <w:rPr>
                      <w:rFonts w:ascii="Arial" w:hAnsi="Arial" w:cs="Arial"/>
                      <w:sz w:val="24"/>
                      <w:szCs w:val="24"/>
                    </w:rPr>
                    <w:t>Median progression free survival</w:t>
                  </w:r>
                </w:p>
              </w:tc>
              <w:tc>
                <w:tcPr>
                  <w:tcW w:w="995" w:type="dxa"/>
                </w:tcPr>
                <w:p w14:paraId="7D4EC9B7" w14:textId="77777777" w:rsidR="00C3036D" w:rsidRPr="00FA3F9C" w:rsidRDefault="00C3036D" w:rsidP="002720C3">
                  <w:pPr>
                    <w:ind w:left="-14"/>
                    <w:rPr>
                      <w:rFonts w:ascii="Arial" w:hAnsi="Arial" w:cs="Arial"/>
                      <w:sz w:val="24"/>
                      <w:szCs w:val="24"/>
                    </w:rPr>
                  </w:pPr>
                  <w:r w:rsidRPr="00FA3F9C">
                    <w:rPr>
                      <w:rFonts w:ascii="Arial" w:hAnsi="Arial" w:cs="Arial"/>
                      <w:sz w:val="24"/>
                      <w:szCs w:val="24"/>
                    </w:rPr>
                    <w:t xml:space="preserve">5.6 </w:t>
                  </w:r>
                  <w:proofErr w:type="spellStart"/>
                  <w:r w:rsidRPr="00FA3F9C">
                    <w:rPr>
                      <w:rFonts w:ascii="Arial" w:hAnsi="Arial" w:cs="Arial"/>
                      <w:sz w:val="24"/>
                      <w:szCs w:val="24"/>
                    </w:rPr>
                    <w:t>mo</w:t>
                  </w:r>
                  <w:proofErr w:type="spellEnd"/>
                </w:p>
              </w:tc>
              <w:tc>
                <w:tcPr>
                  <w:tcW w:w="1445" w:type="dxa"/>
                </w:tcPr>
                <w:p w14:paraId="529D5D27" w14:textId="77777777" w:rsidR="00C3036D" w:rsidRPr="00FA3F9C" w:rsidRDefault="00C3036D" w:rsidP="002720C3">
                  <w:pPr>
                    <w:ind w:left="-14"/>
                    <w:rPr>
                      <w:rFonts w:ascii="Arial" w:hAnsi="Arial" w:cs="Arial"/>
                      <w:sz w:val="24"/>
                      <w:szCs w:val="24"/>
                    </w:rPr>
                  </w:pPr>
                  <w:r w:rsidRPr="00FA3F9C">
                    <w:rPr>
                      <w:rFonts w:ascii="Arial" w:hAnsi="Arial" w:cs="Arial"/>
                      <w:sz w:val="24"/>
                      <w:szCs w:val="24"/>
                    </w:rPr>
                    <w:t xml:space="preserve">1.7 </w:t>
                  </w:r>
                  <w:proofErr w:type="spellStart"/>
                  <w:r w:rsidRPr="00FA3F9C">
                    <w:rPr>
                      <w:rFonts w:ascii="Arial" w:hAnsi="Arial" w:cs="Arial"/>
                      <w:sz w:val="24"/>
                      <w:szCs w:val="24"/>
                    </w:rPr>
                    <w:t>mo</w:t>
                  </w:r>
                  <w:proofErr w:type="spellEnd"/>
                  <w:r w:rsidRPr="00FA3F9C">
                    <w:rPr>
                      <w:rFonts w:ascii="Arial" w:hAnsi="Arial" w:cs="Arial"/>
                      <w:sz w:val="24"/>
                      <w:szCs w:val="24"/>
                    </w:rPr>
                    <w:t xml:space="preserve"> HR 0.41*</w:t>
                  </w:r>
                </w:p>
              </w:tc>
            </w:tr>
            <w:tr w:rsidR="00C3036D" w:rsidRPr="00FA3F9C" w14:paraId="39BD2CFC" w14:textId="77777777" w:rsidTr="004F78B5">
              <w:trPr>
                <w:trHeight w:val="267"/>
              </w:trPr>
              <w:tc>
                <w:tcPr>
                  <w:tcW w:w="1975" w:type="dxa"/>
                  <w:vMerge/>
                </w:tcPr>
                <w:p w14:paraId="25978C1B" w14:textId="77777777" w:rsidR="00C3036D" w:rsidRPr="00FA3F9C" w:rsidRDefault="00C3036D" w:rsidP="002720C3">
                  <w:pPr>
                    <w:rPr>
                      <w:rFonts w:ascii="Arial" w:hAnsi="Arial" w:cs="Arial"/>
                      <w:sz w:val="24"/>
                      <w:szCs w:val="24"/>
                    </w:rPr>
                  </w:pPr>
                </w:p>
              </w:tc>
              <w:tc>
                <w:tcPr>
                  <w:tcW w:w="4320" w:type="dxa"/>
                  <w:vMerge/>
                </w:tcPr>
                <w:p w14:paraId="41E6BE5A" w14:textId="77777777" w:rsidR="00C3036D" w:rsidRPr="00FA3F9C" w:rsidRDefault="00C3036D" w:rsidP="002720C3">
                  <w:pPr>
                    <w:rPr>
                      <w:rFonts w:ascii="Arial" w:hAnsi="Arial" w:cs="Arial"/>
                      <w:sz w:val="24"/>
                      <w:szCs w:val="24"/>
                      <w:u w:val="single"/>
                    </w:rPr>
                  </w:pPr>
                </w:p>
              </w:tc>
              <w:tc>
                <w:tcPr>
                  <w:tcW w:w="2340" w:type="dxa"/>
                </w:tcPr>
                <w:p w14:paraId="4C2154AB" w14:textId="77777777" w:rsidR="00C3036D" w:rsidRPr="00FA3F9C" w:rsidRDefault="00C3036D" w:rsidP="002720C3">
                  <w:pPr>
                    <w:ind w:left="-14"/>
                    <w:rPr>
                      <w:rFonts w:ascii="Arial" w:hAnsi="Arial" w:cs="Arial"/>
                      <w:sz w:val="24"/>
                      <w:szCs w:val="24"/>
                      <w:highlight w:val="yellow"/>
                    </w:rPr>
                  </w:pPr>
                  <w:r w:rsidRPr="00FA3F9C">
                    <w:rPr>
                      <w:rFonts w:ascii="Arial" w:hAnsi="Arial" w:cs="Arial"/>
                      <w:sz w:val="24"/>
                      <w:szCs w:val="24"/>
                      <w:highlight w:val="yellow"/>
                    </w:rPr>
                    <w:t xml:space="preserve">Median overall survival </w:t>
                  </w:r>
                </w:p>
              </w:tc>
              <w:tc>
                <w:tcPr>
                  <w:tcW w:w="995" w:type="dxa"/>
                </w:tcPr>
                <w:p w14:paraId="35B9F306" w14:textId="77777777" w:rsidR="00C3036D" w:rsidRPr="00FA3F9C" w:rsidRDefault="00C3036D" w:rsidP="002720C3">
                  <w:pPr>
                    <w:ind w:left="-14"/>
                    <w:rPr>
                      <w:rFonts w:ascii="Arial" w:hAnsi="Arial" w:cs="Arial"/>
                      <w:sz w:val="24"/>
                      <w:szCs w:val="24"/>
                      <w:highlight w:val="yellow"/>
                    </w:rPr>
                  </w:pPr>
                  <w:r w:rsidRPr="00FA3F9C">
                    <w:rPr>
                      <w:rFonts w:ascii="Arial" w:hAnsi="Arial" w:cs="Arial"/>
                      <w:sz w:val="24"/>
                      <w:szCs w:val="24"/>
                      <w:highlight w:val="yellow"/>
                    </w:rPr>
                    <w:t xml:space="preserve">12.1 </w:t>
                  </w:r>
                  <w:proofErr w:type="spellStart"/>
                  <w:r w:rsidRPr="00FA3F9C">
                    <w:rPr>
                      <w:rFonts w:ascii="Arial" w:hAnsi="Arial" w:cs="Arial"/>
                      <w:sz w:val="24"/>
                      <w:szCs w:val="24"/>
                      <w:highlight w:val="yellow"/>
                    </w:rPr>
                    <w:t>mo</w:t>
                  </w:r>
                  <w:proofErr w:type="spellEnd"/>
                </w:p>
              </w:tc>
              <w:tc>
                <w:tcPr>
                  <w:tcW w:w="1445" w:type="dxa"/>
                </w:tcPr>
                <w:p w14:paraId="39ACEAEC" w14:textId="77777777" w:rsidR="00C3036D" w:rsidRPr="00FA3F9C" w:rsidRDefault="00C3036D" w:rsidP="002720C3">
                  <w:pPr>
                    <w:ind w:left="-14"/>
                    <w:rPr>
                      <w:rFonts w:ascii="Arial" w:hAnsi="Arial" w:cs="Arial"/>
                      <w:sz w:val="24"/>
                      <w:szCs w:val="24"/>
                      <w:highlight w:val="yellow"/>
                    </w:rPr>
                  </w:pPr>
                  <w:r w:rsidRPr="00FA3F9C">
                    <w:rPr>
                      <w:rFonts w:ascii="Arial" w:hAnsi="Arial" w:cs="Arial"/>
                      <w:sz w:val="24"/>
                      <w:szCs w:val="24"/>
                      <w:highlight w:val="yellow"/>
                    </w:rPr>
                    <w:t xml:space="preserve">6.7 </w:t>
                  </w:r>
                  <w:proofErr w:type="spellStart"/>
                  <w:r w:rsidRPr="00FA3F9C">
                    <w:rPr>
                      <w:rFonts w:ascii="Arial" w:hAnsi="Arial" w:cs="Arial"/>
                      <w:sz w:val="24"/>
                      <w:szCs w:val="24"/>
                      <w:highlight w:val="yellow"/>
                    </w:rPr>
                    <w:t>mo</w:t>
                  </w:r>
                  <w:proofErr w:type="spellEnd"/>
                  <w:r w:rsidRPr="00FA3F9C">
                    <w:rPr>
                      <w:rFonts w:ascii="Arial" w:hAnsi="Arial" w:cs="Arial"/>
                      <w:sz w:val="24"/>
                      <w:szCs w:val="24"/>
                      <w:highlight w:val="yellow"/>
                    </w:rPr>
                    <w:t xml:space="preserve"> HR 0.48*</w:t>
                  </w:r>
                </w:p>
              </w:tc>
            </w:tr>
            <w:tr w:rsidR="00C3036D" w:rsidRPr="00FA3F9C" w14:paraId="55D8DD86" w14:textId="77777777" w:rsidTr="004F78B5">
              <w:trPr>
                <w:trHeight w:val="87"/>
              </w:trPr>
              <w:tc>
                <w:tcPr>
                  <w:tcW w:w="1975" w:type="dxa"/>
                  <w:vMerge/>
                </w:tcPr>
                <w:p w14:paraId="2973A3CD" w14:textId="77777777" w:rsidR="00C3036D" w:rsidRPr="00FA3F9C" w:rsidRDefault="00C3036D" w:rsidP="002720C3">
                  <w:pPr>
                    <w:rPr>
                      <w:rFonts w:ascii="Arial" w:hAnsi="Arial" w:cs="Arial"/>
                      <w:sz w:val="24"/>
                      <w:szCs w:val="24"/>
                    </w:rPr>
                  </w:pPr>
                </w:p>
              </w:tc>
              <w:tc>
                <w:tcPr>
                  <w:tcW w:w="4320" w:type="dxa"/>
                  <w:vMerge/>
                </w:tcPr>
                <w:p w14:paraId="545FCAA9" w14:textId="77777777" w:rsidR="00C3036D" w:rsidRPr="00FA3F9C" w:rsidRDefault="00C3036D" w:rsidP="002720C3">
                  <w:pPr>
                    <w:rPr>
                      <w:rFonts w:ascii="Arial" w:hAnsi="Arial" w:cs="Arial"/>
                      <w:sz w:val="24"/>
                      <w:szCs w:val="24"/>
                      <w:u w:val="single"/>
                    </w:rPr>
                  </w:pPr>
                </w:p>
              </w:tc>
              <w:tc>
                <w:tcPr>
                  <w:tcW w:w="2340" w:type="dxa"/>
                </w:tcPr>
                <w:p w14:paraId="79EE9167" w14:textId="77777777" w:rsidR="00C3036D" w:rsidRPr="00FA3F9C" w:rsidRDefault="00C3036D" w:rsidP="002720C3">
                  <w:pPr>
                    <w:ind w:left="-14"/>
                    <w:rPr>
                      <w:rFonts w:ascii="Arial" w:hAnsi="Arial" w:cs="Arial"/>
                      <w:sz w:val="24"/>
                      <w:szCs w:val="24"/>
                    </w:rPr>
                  </w:pPr>
                  <w:r w:rsidRPr="00FA3F9C">
                    <w:rPr>
                      <w:rFonts w:ascii="Arial" w:hAnsi="Arial" w:cs="Arial"/>
                      <w:sz w:val="24"/>
                      <w:szCs w:val="24"/>
                    </w:rPr>
                    <w:t>Overall response rate</w:t>
                  </w:r>
                </w:p>
              </w:tc>
              <w:tc>
                <w:tcPr>
                  <w:tcW w:w="995" w:type="dxa"/>
                </w:tcPr>
                <w:p w14:paraId="504D1EB8" w14:textId="77777777" w:rsidR="00C3036D" w:rsidRPr="00FA3F9C" w:rsidRDefault="00C3036D" w:rsidP="002720C3">
                  <w:pPr>
                    <w:ind w:left="-14"/>
                    <w:rPr>
                      <w:rFonts w:ascii="Arial" w:hAnsi="Arial" w:cs="Arial"/>
                      <w:sz w:val="24"/>
                      <w:szCs w:val="24"/>
                    </w:rPr>
                  </w:pPr>
                  <w:r w:rsidRPr="00FA3F9C">
                    <w:rPr>
                      <w:rFonts w:ascii="Arial" w:hAnsi="Arial" w:cs="Arial"/>
                      <w:sz w:val="24"/>
                      <w:szCs w:val="24"/>
                    </w:rPr>
                    <w:t>35%</w:t>
                  </w:r>
                </w:p>
              </w:tc>
              <w:tc>
                <w:tcPr>
                  <w:tcW w:w="1445" w:type="dxa"/>
                </w:tcPr>
                <w:p w14:paraId="39A04DE3" w14:textId="77777777" w:rsidR="00C3036D" w:rsidRPr="00FA3F9C" w:rsidRDefault="00C3036D" w:rsidP="002720C3">
                  <w:pPr>
                    <w:ind w:left="-14"/>
                    <w:rPr>
                      <w:rFonts w:ascii="Arial" w:hAnsi="Arial" w:cs="Arial"/>
                      <w:sz w:val="24"/>
                      <w:szCs w:val="24"/>
                    </w:rPr>
                  </w:pPr>
                  <w:r w:rsidRPr="00FA3F9C">
                    <w:rPr>
                      <w:rFonts w:ascii="Arial" w:hAnsi="Arial" w:cs="Arial"/>
                      <w:sz w:val="24"/>
                      <w:szCs w:val="24"/>
                    </w:rPr>
                    <w:t>5%</w:t>
                  </w:r>
                </w:p>
              </w:tc>
            </w:tr>
            <w:tr w:rsidR="00C3036D" w:rsidRPr="00FA3F9C" w14:paraId="282FBBC2" w14:textId="77777777" w:rsidTr="004F78B5">
              <w:trPr>
                <w:trHeight w:val="87"/>
              </w:trPr>
              <w:tc>
                <w:tcPr>
                  <w:tcW w:w="1975" w:type="dxa"/>
                  <w:vMerge/>
                </w:tcPr>
                <w:p w14:paraId="7BB73245" w14:textId="77777777" w:rsidR="00C3036D" w:rsidRPr="00FA3F9C" w:rsidRDefault="00C3036D" w:rsidP="002720C3">
                  <w:pPr>
                    <w:rPr>
                      <w:rFonts w:ascii="Arial" w:hAnsi="Arial" w:cs="Arial"/>
                      <w:sz w:val="24"/>
                      <w:szCs w:val="24"/>
                    </w:rPr>
                  </w:pPr>
                </w:p>
              </w:tc>
              <w:tc>
                <w:tcPr>
                  <w:tcW w:w="4320" w:type="dxa"/>
                  <w:vMerge/>
                </w:tcPr>
                <w:p w14:paraId="3E10840B" w14:textId="77777777" w:rsidR="00C3036D" w:rsidRPr="00FA3F9C" w:rsidRDefault="00C3036D" w:rsidP="002720C3">
                  <w:pPr>
                    <w:rPr>
                      <w:rFonts w:ascii="Arial" w:hAnsi="Arial" w:cs="Arial"/>
                      <w:sz w:val="24"/>
                      <w:szCs w:val="24"/>
                      <w:u w:val="single"/>
                    </w:rPr>
                  </w:pPr>
                </w:p>
              </w:tc>
              <w:tc>
                <w:tcPr>
                  <w:tcW w:w="2340" w:type="dxa"/>
                </w:tcPr>
                <w:p w14:paraId="1AA660F5" w14:textId="77777777" w:rsidR="00C3036D" w:rsidRPr="00FA3F9C" w:rsidRDefault="00C3036D" w:rsidP="002720C3">
                  <w:pPr>
                    <w:ind w:left="-14"/>
                    <w:rPr>
                      <w:rFonts w:ascii="Arial" w:hAnsi="Arial" w:cs="Arial"/>
                      <w:sz w:val="24"/>
                      <w:szCs w:val="24"/>
                    </w:rPr>
                  </w:pPr>
                  <w:r w:rsidRPr="00FA3F9C">
                    <w:rPr>
                      <w:rFonts w:ascii="Arial" w:hAnsi="Arial" w:cs="Arial"/>
                      <w:sz w:val="24"/>
                      <w:szCs w:val="24"/>
                    </w:rPr>
                    <w:t xml:space="preserve">Grade </w:t>
                  </w:r>
                  <w:r w:rsidRPr="00FA3F9C">
                    <w:rPr>
                      <w:rFonts w:ascii="Arial" w:hAnsi="Arial" w:cs="Arial"/>
                      <w:sz w:val="24"/>
                      <w:szCs w:val="24"/>
                      <w:u w:val="single"/>
                    </w:rPr>
                    <w:t>&gt;</w:t>
                  </w:r>
                  <w:r w:rsidRPr="00FA3F9C">
                    <w:rPr>
                      <w:rFonts w:ascii="Arial" w:hAnsi="Arial" w:cs="Arial"/>
                      <w:sz w:val="24"/>
                      <w:szCs w:val="24"/>
                    </w:rPr>
                    <w:t>3 adverse events</w:t>
                  </w:r>
                </w:p>
              </w:tc>
              <w:tc>
                <w:tcPr>
                  <w:tcW w:w="995" w:type="dxa"/>
                </w:tcPr>
                <w:p w14:paraId="7BE24B00" w14:textId="77777777" w:rsidR="00C3036D" w:rsidRPr="00FA3F9C" w:rsidRDefault="00C3036D" w:rsidP="002720C3">
                  <w:pPr>
                    <w:ind w:left="-14"/>
                    <w:rPr>
                      <w:rFonts w:ascii="Arial" w:hAnsi="Arial" w:cs="Arial"/>
                      <w:sz w:val="24"/>
                      <w:szCs w:val="24"/>
                    </w:rPr>
                  </w:pPr>
                </w:p>
              </w:tc>
              <w:tc>
                <w:tcPr>
                  <w:tcW w:w="1445" w:type="dxa"/>
                </w:tcPr>
                <w:p w14:paraId="33644174" w14:textId="77777777" w:rsidR="00C3036D" w:rsidRPr="00FA3F9C" w:rsidRDefault="00C3036D" w:rsidP="002720C3">
                  <w:pPr>
                    <w:ind w:left="-14"/>
                    <w:rPr>
                      <w:rFonts w:ascii="Arial" w:hAnsi="Arial" w:cs="Arial"/>
                      <w:sz w:val="24"/>
                      <w:szCs w:val="24"/>
                    </w:rPr>
                  </w:pPr>
                </w:p>
              </w:tc>
            </w:tr>
            <w:tr w:rsidR="00C3036D" w:rsidRPr="00FA3F9C" w14:paraId="374EA8A2" w14:textId="77777777" w:rsidTr="004F78B5">
              <w:trPr>
                <w:trHeight w:val="87"/>
              </w:trPr>
              <w:tc>
                <w:tcPr>
                  <w:tcW w:w="1975" w:type="dxa"/>
                  <w:vMerge/>
                </w:tcPr>
                <w:p w14:paraId="4A42D94B" w14:textId="77777777" w:rsidR="00C3036D" w:rsidRPr="00FA3F9C" w:rsidRDefault="00C3036D" w:rsidP="002720C3">
                  <w:pPr>
                    <w:rPr>
                      <w:rFonts w:ascii="Arial" w:hAnsi="Arial" w:cs="Arial"/>
                      <w:sz w:val="24"/>
                      <w:szCs w:val="24"/>
                    </w:rPr>
                  </w:pPr>
                </w:p>
              </w:tc>
              <w:tc>
                <w:tcPr>
                  <w:tcW w:w="4320" w:type="dxa"/>
                  <w:vMerge/>
                </w:tcPr>
                <w:p w14:paraId="0196E798" w14:textId="77777777" w:rsidR="00C3036D" w:rsidRPr="00FA3F9C" w:rsidRDefault="00C3036D" w:rsidP="002720C3">
                  <w:pPr>
                    <w:rPr>
                      <w:rFonts w:ascii="Arial" w:hAnsi="Arial" w:cs="Arial"/>
                      <w:sz w:val="24"/>
                      <w:szCs w:val="24"/>
                      <w:u w:val="single"/>
                    </w:rPr>
                  </w:pPr>
                </w:p>
              </w:tc>
              <w:tc>
                <w:tcPr>
                  <w:tcW w:w="2340" w:type="dxa"/>
                </w:tcPr>
                <w:p w14:paraId="153F616D" w14:textId="77777777" w:rsidR="00C3036D" w:rsidRPr="00FA3F9C" w:rsidRDefault="00C3036D" w:rsidP="002720C3">
                  <w:pPr>
                    <w:ind w:left="256"/>
                    <w:rPr>
                      <w:rFonts w:ascii="Arial" w:hAnsi="Arial" w:cs="Arial"/>
                      <w:sz w:val="24"/>
                      <w:szCs w:val="24"/>
                    </w:rPr>
                  </w:pPr>
                  <w:r w:rsidRPr="00FA3F9C">
                    <w:rPr>
                      <w:rFonts w:ascii="Arial" w:hAnsi="Arial" w:cs="Arial"/>
                      <w:sz w:val="24"/>
                      <w:szCs w:val="24"/>
                    </w:rPr>
                    <w:t>Neutropenia</w:t>
                  </w:r>
                </w:p>
              </w:tc>
              <w:tc>
                <w:tcPr>
                  <w:tcW w:w="995" w:type="dxa"/>
                </w:tcPr>
                <w:p w14:paraId="3B8956B6" w14:textId="77777777" w:rsidR="00C3036D" w:rsidRPr="00FA3F9C" w:rsidRDefault="00C3036D" w:rsidP="002720C3">
                  <w:pPr>
                    <w:ind w:left="-14"/>
                    <w:rPr>
                      <w:rFonts w:ascii="Arial" w:hAnsi="Arial" w:cs="Arial"/>
                      <w:sz w:val="24"/>
                      <w:szCs w:val="24"/>
                    </w:rPr>
                  </w:pPr>
                  <w:r w:rsidRPr="00FA3F9C">
                    <w:rPr>
                      <w:rFonts w:ascii="Arial" w:hAnsi="Arial" w:cs="Arial"/>
                      <w:sz w:val="24"/>
                      <w:szCs w:val="24"/>
                    </w:rPr>
                    <w:t>51%</w:t>
                  </w:r>
                </w:p>
              </w:tc>
              <w:tc>
                <w:tcPr>
                  <w:tcW w:w="1445" w:type="dxa"/>
                </w:tcPr>
                <w:p w14:paraId="1ED0475E" w14:textId="77777777" w:rsidR="00C3036D" w:rsidRPr="00FA3F9C" w:rsidRDefault="00C3036D" w:rsidP="002720C3">
                  <w:pPr>
                    <w:ind w:left="-14"/>
                    <w:rPr>
                      <w:rFonts w:ascii="Arial" w:hAnsi="Arial" w:cs="Arial"/>
                      <w:sz w:val="24"/>
                      <w:szCs w:val="24"/>
                    </w:rPr>
                  </w:pPr>
                  <w:r w:rsidRPr="00FA3F9C">
                    <w:rPr>
                      <w:rFonts w:ascii="Arial" w:hAnsi="Arial" w:cs="Arial"/>
                      <w:sz w:val="24"/>
                      <w:szCs w:val="24"/>
                    </w:rPr>
                    <w:t>33%</w:t>
                  </w:r>
                </w:p>
              </w:tc>
            </w:tr>
            <w:tr w:rsidR="00C3036D" w:rsidRPr="00FA3F9C" w14:paraId="0105F51D" w14:textId="77777777" w:rsidTr="004F78B5">
              <w:trPr>
                <w:trHeight w:val="87"/>
              </w:trPr>
              <w:tc>
                <w:tcPr>
                  <w:tcW w:w="1975" w:type="dxa"/>
                  <w:vMerge/>
                </w:tcPr>
                <w:p w14:paraId="5FA80D44" w14:textId="77777777" w:rsidR="00C3036D" w:rsidRPr="00FA3F9C" w:rsidRDefault="00C3036D" w:rsidP="002720C3">
                  <w:pPr>
                    <w:rPr>
                      <w:rFonts w:ascii="Arial" w:hAnsi="Arial" w:cs="Arial"/>
                      <w:sz w:val="24"/>
                      <w:szCs w:val="24"/>
                    </w:rPr>
                  </w:pPr>
                </w:p>
              </w:tc>
              <w:tc>
                <w:tcPr>
                  <w:tcW w:w="4320" w:type="dxa"/>
                  <w:vMerge/>
                </w:tcPr>
                <w:p w14:paraId="4D11CF4E" w14:textId="77777777" w:rsidR="00C3036D" w:rsidRPr="00FA3F9C" w:rsidRDefault="00C3036D" w:rsidP="002720C3">
                  <w:pPr>
                    <w:rPr>
                      <w:rFonts w:ascii="Arial" w:hAnsi="Arial" w:cs="Arial"/>
                      <w:sz w:val="24"/>
                      <w:szCs w:val="24"/>
                      <w:u w:val="single"/>
                    </w:rPr>
                  </w:pPr>
                </w:p>
              </w:tc>
              <w:tc>
                <w:tcPr>
                  <w:tcW w:w="2340" w:type="dxa"/>
                </w:tcPr>
                <w:p w14:paraId="3F4AC8DD" w14:textId="77777777" w:rsidR="00C3036D" w:rsidRPr="00FA3F9C" w:rsidRDefault="00C3036D" w:rsidP="002720C3">
                  <w:pPr>
                    <w:ind w:left="256"/>
                    <w:rPr>
                      <w:rFonts w:ascii="Arial" w:hAnsi="Arial" w:cs="Arial"/>
                      <w:sz w:val="24"/>
                      <w:szCs w:val="24"/>
                    </w:rPr>
                  </w:pPr>
                  <w:r w:rsidRPr="00FA3F9C">
                    <w:rPr>
                      <w:rFonts w:ascii="Arial" w:hAnsi="Arial" w:cs="Arial"/>
                      <w:sz w:val="24"/>
                      <w:szCs w:val="24"/>
                    </w:rPr>
                    <w:t>Febrile neutropenia</w:t>
                  </w:r>
                </w:p>
              </w:tc>
              <w:tc>
                <w:tcPr>
                  <w:tcW w:w="995" w:type="dxa"/>
                </w:tcPr>
                <w:p w14:paraId="3308A4D9" w14:textId="77777777" w:rsidR="00C3036D" w:rsidRPr="00FA3F9C" w:rsidRDefault="00C3036D" w:rsidP="002720C3">
                  <w:pPr>
                    <w:ind w:left="-14"/>
                    <w:rPr>
                      <w:rFonts w:ascii="Arial" w:hAnsi="Arial" w:cs="Arial"/>
                      <w:sz w:val="24"/>
                      <w:szCs w:val="24"/>
                    </w:rPr>
                  </w:pPr>
                  <w:r w:rsidRPr="00FA3F9C">
                    <w:rPr>
                      <w:rFonts w:ascii="Arial" w:hAnsi="Arial" w:cs="Arial"/>
                      <w:sz w:val="24"/>
                      <w:szCs w:val="24"/>
                    </w:rPr>
                    <w:t>6%</w:t>
                  </w:r>
                </w:p>
              </w:tc>
              <w:tc>
                <w:tcPr>
                  <w:tcW w:w="1445" w:type="dxa"/>
                </w:tcPr>
                <w:p w14:paraId="6DA8D526" w14:textId="77777777" w:rsidR="00C3036D" w:rsidRPr="00FA3F9C" w:rsidRDefault="00C3036D" w:rsidP="002720C3">
                  <w:pPr>
                    <w:ind w:left="-14"/>
                    <w:rPr>
                      <w:rFonts w:ascii="Arial" w:hAnsi="Arial" w:cs="Arial"/>
                      <w:sz w:val="24"/>
                      <w:szCs w:val="24"/>
                    </w:rPr>
                  </w:pPr>
                  <w:r w:rsidRPr="00FA3F9C">
                    <w:rPr>
                      <w:rFonts w:ascii="Arial" w:hAnsi="Arial" w:cs="Arial"/>
                      <w:sz w:val="24"/>
                      <w:szCs w:val="24"/>
                    </w:rPr>
                    <w:t>2%</w:t>
                  </w:r>
                </w:p>
              </w:tc>
            </w:tr>
            <w:tr w:rsidR="00C3036D" w:rsidRPr="00FA3F9C" w14:paraId="2CB7C89E" w14:textId="77777777" w:rsidTr="004F78B5">
              <w:trPr>
                <w:trHeight w:val="87"/>
              </w:trPr>
              <w:tc>
                <w:tcPr>
                  <w:tcW w:w="1975" w:type="dxa"/>
                  <w:vMerge/>
                </w:tcPr>
                <w:p w14:paraId="5C9918FF" w14:textId="77777777" w:rsidR="00C3036D" w:rsidRPr="00FA3F9C" w:rsidRDefault="00C3036D" w:rsidP="002720C3">
                  <w:pPr>
                    <w:rPr>
                      <w:rFonts w:ascii="Arial" w:hAnsi="Arial" w:cs="Arial"/>
                      <w:sz w:val="24"/>
                      <w:szCs w:val="24"/>
                    </w:rPr>
                  </w:pPr>
                </w:p>
              </w:tc>
              <w:tc>
                <w:tcPr>
                  <w:tcW w:w="4320" w:type="dxa"/>
                  <w:vMerge/>
                </w:tcPr>
                <w:p w14:paraId="7860E911" w14:textId="77777777" w:rsidR="00C3036D" w:rsidRPr="00FA3F9C" w:rsidRDefault="00C3036D" w:rsidP="002720C3">
                  <w:pPr>
                    <w:rPr>
                      <w:rFonts w:ascii="Arial" w:hAnsi="Arial" w:cs="Arial"/>
                      <w:sz w:val="24"/>
                      <w:szCs w:val="24"/>
                      <w:u w:val="single"/>
                    </w:rPr>
                  </w:pPr>
                </w:p>
              </w:tc>
              <w:tc>
                <w:tcPr>
                  <w:tcW w:w="2340" w:type="dxa"/>
                </w:tcPr>
                <w:p w14:paraId="38DA3533" w14:textId="77777777" w:rsidR="00C3036D" w:rsidRPr="00FA3F9C" w:rsidRDefault="00C3036D" w:rsidP="002720C3">
                  <w:pPr>
                    <w:ind w:left="256"/>
                    <w:rPr>
                      <w:rFonts w:ascii="Arial" w:hAnsi="Arial" w:cs="Arial"/>
                      <w:sz w:val="24"/>
                      <w:szCs w:val="24"/>
                    </w:rPr>
                  </w:pPr>
                  <w:r w:rsidRPr="00FA3F9C">
                    <w:rPr>
                      <w:rFonts w:ascii="Arial" w:hAnsi="Arial" w:cs="Arial"/>
                      <w:sz w:val="24"/>
                      <w:szCs w:val="24"/>
                    </w:rPr>
                    <w:t>Diarrhea</w:t>
                  </w:r>
                </w:p>
              </w:tc>
              <w:tc>
                <w:tcPr>
                  <w:tcW w:w="995" w:type="dxa"/>
                </w:tcPr>
                <w:p w14:paraId="2637C177" w14:textId="77777777" w:rsidR="00C3036D" w:rsidRPr="00FA3F9C" w:rsidRDefault="00C3036D" w:rsidP="002720C3">
                  <w:pPr>
                    <w:ind w:left="-14"/>
                    <w:rPr>
                      <w:rFonts w:ascii="Arial" w:hAnsi="Arial" w:cs="Arial"/>
                      <w:sz w:val="24"/>
                      <w:szCs w:val="24"/>
                    </w:rPr>
                  </w:pPr>
                  <w:r w:rsidRPr="00FA3F9C">
                    <w:rPr>
                      <w:rFonts w:ascii="Arial" w:hAnsi="Arial" w:cs="Arial"/>
                      <w:sz w:val="24"/>
                      <w:szCs w:val="24"/>
                    </w:rPr>
                    <w:t>10.5%</w:t>
                  </w:r>
                </w:p>
              </w:tc>
              <w:tc>
                <w:tcPr>
                  <w:tcW w:w="1445" w:type="dxa"/>
                </w:tcPr>
                <w:p w14:paraId="4405C733" w14:textId="77777777" w:rsidR="00C3036D" w:rsidRPr="00FA3F9C" w:rsidRDefault="00C3036D" w:rsidP="002720C3">
                  <w:pPr>
                    <w:ind w:left="-14"/>
                    <w:rPr>
                      <w:rFonts w:ascii="Arial" w:hAnsi="Arial" w:cs="Arial"/>
                      <w:sz w:val="24"/>
                      <w:szCs w:val="24"/>
                    </w:rPr>
                  </w:pPr>
                  <w:r w:rsidRPr="00FA3F9C">
                    <w:rPr>
                      <w:rFonts w:ascii="Arial" w:hAnsi="Arial" w:cs="Arial"/>
                      <w:sz w:val="24"/>
                      <w:szCs w:val="24"/>
                    </w:rPr>
                    <w:t>&lt;1%</w:t>
                  </w:r>
                </w:p>
              </w:tc>
            </w:tr>
            <w:tr w:rsidR="00C3036D" w:rsidRPr="00FA3F9C" w14:paraId="2347CBF7" w14:textId="77777777" w:rsidTr="004F78B5">
              <w:trPr>
                <w:trHeight w:val="87"/>
              </w:trPr>
              <w:tc>
                <w:tcPr>
                  <w:tcW w:w="1975" w:type="dxa"/>
                  <w:vMerge/>
                </w:tcPr>
                <w:p w14:paraId="21982E1E" w14:textId="77777777" w:rsidR="00C3036D" w:rsidRPr="00FA3F9C" w:rsidRDefault="00C3036D" w:rsidP="002720C3">
                  <w:pPr>
                    <w:rPr>
                      <w:rFonts w:ascii="Arial" w:hAnsi="Arial" w:cs="Arial"/>
                      <w:sz w:val="24"/>
                      <w:szCs w:val="24"/>
                    </w:rPr>
                  </w:pPr>
                </w:p>
              </w:tc>
              <w:tc>
                <w:tcPr>
                  <w:tcW w:w="4320" w:type="dxa"/>
                  <w:vMerge/>
                </w:tcPr>
                <w:p w14:paraId="662DEAC5" w14:textId="77777777" w:rsidR="00C3036D" w:rsidRPr="00FA3F9C" w:rsidRDefault="00C3036D" w:rsidP="002720C3">
                  <w:pPr>
                    <w:rPr>
                      <w:rFonts w:ascii="Arial" w:hAnsi="Arial" w:cs="Arial"/>
                      <w:sz w:val="24"/>
                      <w:szCs w:val="24"/>
                      <w:u w:val="single"/>
                    </w:rPr>
                  </w:pPr>
                </w:p>
              </w:tc>
              <w:tc>
                <w:tcPr>
                  <w:tcW w:w="4780" w:type="dxa"/>
                  <w:gridSpan w:val="3"/>
                </w:tcPr>
                <w:p w14:paraId="0A947869" w14:textId="77777777" w:rsidR="00C3036D" w:rsidRPr="00FA3F9C" w:rsidRDefault="00C3036D" w:rsidP="002720C3">
                  <w:pPr>
                    <w:ind w:left="-14"/>
                    <w:rPr>
                      <w:rFonts w:ascii="Arial" w:hAnsi="Arial" w:cs="Arial"/>
                      <w:sz w:val="24"/>
                      <w:szCs w:val="24"/>
                    </w:rPr>
                  </w:pPr>
                  <w:r w:rsidRPr="00FA3F9C">
                    <w:rPr>
                      <w:rFonts w:ascii="Arial" w:hAnsi="Arial" w:cs="Arial"/>
                      <w:sz w:val="24"/>
                      <w:szCs w:val="24"/>
                    </w:rPr>
                    <w:t>*p&lt;0.0001 (SG vs chemo)</w:t>
                  </w:r>
                </w:p>
                <w:p w14:paraId="7CDC1CBF" w14:textId="77777777" w:rsidR="00C3036D" w:rsidRPr="00FA3F9C" w:rsidRDefault="00C3036D" w:rsidP="002720C3">
                  <w:pPr>
                    <w:ind w:left="-14"/>
                    <w:rPr>
                      <w:rFonts w:ascii="Arial" w:hAnsi="Arial" w:cs="Arial"/>
                      <w:sz w:val="24"/>
                      <w:szCs w:val="24"/>
                    </w:rPr>
                  </w:pPr>
                  <w:r w:rsidRPr="00FA3F9C">
                    <w:rPr>
                      <w:rFonts w:ascii="Arial" w:hAnsi="Arial" w:cs="Arial"/>
                      <w:sz w:val="24"/>
                      <w:szCs w:val="24"/>
                    </w:rPr>
                    <w:t xml:space="preserve">ESMO MCB grade: 4 (HR &lt;0.65 and OS gain &gt;3 </w:t>
                  </w:r>
                  <w:proofErr w:type="spellStart"/>
                  <w:r w:rsidRPr="00FA3F9C">
                    <w:rPr>
                      <w:rFonts w:ascii="Arial" w:hAnsi="Arial" w:cs="Arial"/>
                      <w:sz w:val="24"/>
                      <w:szCs w:val="24"/>
                    </w:rPr>
                    <w:t>mo</w:t>
                  </w:r>
                  <w:proofErr w:type="spellEnd"/>
                  <w:r w:rsidRPr="00FA3F9C">
                    <w:rPr>
                      <w:rFonts w:ascii="Arial" w:hAnsi="Arial" w:cs="Arial"/>
                      <w:sz w:val="24"/>
                      <w:szCs w:val="24"/>
                    </w:rPr>
                    <w:t xml:space="preserve">) </w:t>
                  </w:r>
                </w:p>
              </w:tc>
            </w:tr>
            <w:tr w:rsidR="00C3036D" w:rsidRPr="00FA3F9C" w14:paraId="0F94BE91" w14:textId="77777777" w:rsidTr="00DB7B19">
              <w:trPr>
                <w:trHeight w:val="87"/>
              </w:trPr>
              <w:tc>
                <w:tcPr>
                  <w:tcW w:w="11075" w:type="dxa"/>
                  <w:gridSpan w:val="5"/>
                </w:tcPr>
                <w:p w14:paraId="146890E2" w14:textId="77777777" w:rsidR="00C3036D" w:rsidRPr="00FA3F9C" w:rsidRDefault="00C3036D" w:rsidP="002720C3">
                  <w:pPr>
                    <w:ind w:left="-14"/>
                    <w:rPr>
                      <w:rFonts w:ascii="Arial" w:hAnsi="Arial" w:cs="Arial"/>
                      <w:sz w:val="24"/>
                      <w:szCs w:val="24"/>
                    </w:rPr>
                  </w:pPr>
                  <w:r w:rsidRPr="00FA3F9C">
                    <w:rPr>
                      <w:rFonts w:ascii="Arial" w:hAnsi="Arial" w:cs="Arial"/>
                      <w:sz w:val="24"/>
                      <w:szCs w:val="24"/>
                    </w:rPr>
                    <w:t xml:space="preserve">Reference: </w:t>
                  </w:r>
                </w:p>
                <w:p w14:paraId="0A8AF2E4" w14:textId="77777777" w:rsidR="00C3036D" w:rsidRPr="00FA3F9C" w:rsidRDefault="00C3036D" w:rsidP="002720C3">
                  <w:pPr>
                    <w:ind w:left="-14"/>
                    <w:rPr>
                      <w:rFonts w:ascii="Arial" w:hAnsi="Arial" w:cs="Arial"/>
                      <w:sz w:val="24"/>
                      <w:szCs w:val="24"/>
                    </w:rPr>
                  </w:pPr>
                  <w:proofErr w:type="spellStart"/>
                  <w:r w:rsidRPr="00FA3F9C">
                    <w:rPr>
                      <w:rFonts w:ascii="Arial" w:hAnsi="Arial" w:cs="Arial"/>
                      <w:sz w:val="24"/>
                      <w:szCs w:val="24"/>
                    </w:rPr>
                    <w:t>Bardia</w:t>
                  </w:r>
                  <w:proofErr w:type="spellEnd"/>
                  <w:r w:rsidRPr="00FA3F9C">
                    <w:rPr>
                      <w:rFonts w:ascii="Arial" w:hAnsi="Arial" w:cs="Arial"/>
                      <w:sz w:val="24"/>
                      <w:szCs w:val="24"/>
                    </w:rPr>
                    <w:t xml:space="preserve"> A, </w:t>
                  </w:r>
                  <w:proofErr w:type="spellStart"/>
                  <w:r w:rsidRPr="00FA3F9C">
                    <w:rPr>
                      <w:rFonts w:ascii="Arial" w:hAnsi="Arial" w:cs="Arial"/>
                      <w:sz w:val="24"/>
                      <w:szCs w:val="24"/>
                    </w:rPr>
                    <w:t>Tolaney</w:t>
                  </w:r>
                  <w:proofErr w:type="spellEnd"/>
                  <w:r w:rsidRPr="00FA3F9C">
                    <w:rPr>
                      <w:rFonts w:ascii="Arial" w:hAnsi="Arial" w:cs="Arial"/>
                      <w:sz w:val="24"/>
                      <w:szCs w:val="24"/>
                    </w:rPr>
                    <w:t xml:space="preserve"> SM, </w:t>
                  </w:r>
                  <w:proofErr w:type="spellStart"/>
                  <w:r w:rsidRPr="00FA3F9C">
                    <w:rPr>
                      <w:rFonts w:ascii="Arial" w:hAnsi="Arial" w:cs="Arial"/>
                      <w:sz w:val="24"/>
                      <w:szCs w:val="24"/>
                    </w:rPr>
                    <w:t>Loirat</w:t>
                  </w:r>
                  <w:proofErr w:type="spellEnd"/>
                  <w:r w:rsidRPr="00FA3F9C">
                    <w:rPr>
                      <w:rFonts w:ascii="Arial" w:hAnsi="Arial" w:cs="Arial"/>
                      <w:sz w:val="24"/>
                      <w:szCs w:val="24"/>
                    </w:rPr>
                    <w:t xml:space="preserve"> D, et al: ASCENT: A randomized phase III study of </w:t>
                  </w:r>
                  <w:proofErr w:type="spellStart"/>
                  <w:r w:rsidRPr="00FA3F9C">
                    <w:rPr>
                      <w:rFonts w:ascii="Arial" w:hAnsi="Arial" w:cs="Arial"/>
                      <w:sz w:val="24"/>
                      <w:szCs w:val="24"/>
                    </w:rPr>
                    <w:t>sacituzumab</w:t>
                  </w:r>
                  <w:proofErr w:type="spellEnd"/>
                  <w:r w:rsidRPr="00FA3F9C">
                    <w:rPr>
                      <w:rFonts w:ascii="Arial" w:hAnsi="Arial" w:cs="Arial"/>
                      <w:sz w:val="24"/>
                      <w:szCs w:val="24"/>
                    </w:rPr>
                    <w:t xml:space="preserve"> </w:t>
                  </w:r>
                  <w:proofErr w:type="spellStart"/>
                  <w:r w:rsidRPr="00FA3F9C">
                    <w:rPr>
                      <w:rFonts w:ascii="Arial" w:hAnsi="Arial" w:cs="Arial"/>
                      <w:sz w:val="24"/>
                      <w:szCs w:val="24"/>
                    </w:rPr>
                    <w:t>govitecan</w:t>
                  </w:r>
                  <w:proofErr w:type="spellEnd"/>
                  <w:r w:rsidRPr="00FA3F9C">
                    <w:rPr>
                      <w:rFonts w:ascii="Arial" w:hAnsi="Arial" w:cs="Arial"/>
                      <w:sz w:val="24"/>
                      <w:szCs w:val="24"/>
                    </w:rPr>
                    <w:t xml:space="preserve"> vs treatment of physician’s choice in patients with previously treated metastatic triple-negative breast cancer. ESMO Virtual Congress 2020. Abstract LBA17. Presented September 19, 2020. https://oncologypro.esmo.org/meeting-resources/esmo-virtual-congress-2020/ascent-a-randomized-phase-iii-study-of-sacituzumab-govitecan-sg-vs-treatment-of-physician-s-choice-tpc-in-patients-pts-with-previously-treat</w:t>
                  </w:r>
                </w:p>
              </w:tc>
            </w:tr>
          </w:tbl>
          <w:p w14:paraId="585F7AD2" w14:textId="77777777" w:rsidR="00C3036D" w:rsidRPr="00FA3F9C" w:rsidRDefault="00C3036D" w:rsidP="00D82B6E">
            <w:pPr>
              <w:rPr>
                <w:rFonts w:ascii="Arial" w:hAnsi="Arial" w:cs="Arial"/>
                <w:sz w:val="24"/>
                <w:szCs w:val="24"/>
              </w:rPr>
            </w:pPr>
          </w:p>
        </w:tc>
      </w:tr>
    </w:tbl>
    <w:p w14:paraId="741B5AC3" w14:textId="77777777" w:rsidR="00C3036D" w:rsidRPr="00FA3F9C" w:rsidRDefault="00C3036D" w:rsidP="006F623F">
      <w:pPr>
        <w:spacing w:after="0"/>
        <w:rPr>
          <w:rFonts w:ascii="Arial" w:hAnsi="Arial" w:cs="Arial"/>
          <w:sz w:val="24"/>
          <w:szCs w:val="24"/>
        </w:rPr>
      </w:pPr>
    </w:p>
    <w:p w14:paraId="5875DA68" w14:textId="77777777" w:rsidR="00C3036D" w:rsidRPr="00FA3F9C" w:rsidRDefault="00C3036D" w:rsidP="006F623F">
      <w:pPr>
        <w:spacing w:after="0"/>
        <w:rPr>
          <w:rFonts w:ascii="Arial" w:hAnsi="Arial" w:cs="Arial"/>
          <w:sz w:val="24"/>
          <w:szCs w:val="24"/>
        </w:rPr>
      </w:pPr>
      <w:r w:rsidRPr="00FA3F9C">
        <w:rPr>
          <w:rFonts w:ascii="Arial" w:hAnsi="Arial" w:cs="Arial"/>
          <w:sz w:val="24"/>
          <w:szCs w:val="24"/>
        </w:rPr>
        <w:t>Quantity Limits: n/a (medical drug)</w:t>
      </w:r>
    </w:p>
    <w:p w14:paraId="3C48B374" w14:textId="77777777" w:rsidR="00C3036D" w:rsidRPr="00FA3F9C" w:rsidRDefault="00C3036D" w:rsidP="006F623F">
      <w:pPr>
        <w:spacing w:after="0"/>
        <w:rPr>
          <w:rFonts w:ascii="Arial" w:hAnsi="Arial" w:cs="Arial"/>
          <w:sz w:val="24"/>
          <w:szCs w:val="24"/>
        </w:rPr>
      </w:pPr>
    </w:p>
    <w:p w14:paraId="4C1943A7" w14:textId="77777777" w:rsidR="00C3036D" w:rsidRPr="00FA3F9C" w:rsidRDefault="00C3036D"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418"/>
        <w:gridCol w:w="7470"/>
        <w:gridCol w:w="2538"/>
      </w:tblGrid>
      <w:tr w:rsidR="00C3036D" w:rsidRPr="00FA3F9C" w14:paraId="0B6E9B67" w14:textId="77777777" w:rsidTr="00FE491B">
        <w:tc>
          <w:tcPr>
            <w:tcW w:w="1008" w:type="dxa"/>
          </w:tcPr>
          <w:p w14:paraId="004547B2" w14:textId="77777777" w:rsidR="00C3036D" w:rsidRPr="00FA3F9C" w:rsidRDefault="00C3036D" w:rsidP="006F623F">
            <w:pPr>
              <w:rPr>
                <w:rFonts w:ascii="Arial" w:hAnsi="Arial" w:cs="Arial"/>
                <w:sz w:val="24"/>
                <w:szCs w:val="24"/>
              </w:rPr>
            </w:pPr>
            <w:r w:rsidRPr="00FA3F9C">
              <w:rPr>
                <w:rFonts w:ascii="Arial" w:hAnsi="Arial" w:cs="Arial"/>
                <w:sz w:val="24"/>
                <w:szCs w:val="24"/>
              </w:rPr>
              <w:t>Date</w:t>
            </w:r>
          </w:p>
        </w:tc>
        <w:tc>
          <w:tcPr>
            <w:tcW w:w="7470" w:type="dxa"/>
          </w:tcPr>
          <w:p w14:paraId="7CDC2BF6" w14:textId="77777777" w:rsidR="00C3036D" w:rsidRPr="00FA3F9C" w:rsidRDefault="00C3036D" w:rsidP="006F623F">
            <w:pPr>
              <w:rPr>
                <w:rFonts w:ascii="Arial" w:hAnsi="Arial" w:cs="Arial"/>
                <w:sz w:val="24"/>
                <w:szCs w:val="24"/>
              </w:rPr>
            </w:pPr>
            <w:r w:rsidRPr="00FA3F9C">
              <w:rPr>
                <w:rFonts w:ascii="Arial" w:hAnsi="Arial" w:cs="Arial"/>
                <w:sz w:val="24"/>
                <w:szCs w:val="24"/>
              </w:rPr>
              <w:t>What changed</w:t>
            </w:r>
          </w:p>
        </w:tc>
        <w:tc>
          <w:tcPr>
            <w:tcW w:w="2538" w:type="dxa"/>
          </w:tcPr>
          <w:p w14:paraId="258F7455" w14:textId="77777777" w:rsidR="00C3036D" w:rsidRPr="00FA3F9C" w:rsidRDefault="00C3036D" w:rsidP="006F623F">
            <w:pPr>
              <w:rPr>
                <w:rFonts w:ascii="Arial" w:hAnsi="Arial" w:cs="Arial"/>
                <w:sz w:val="24"/>
                <w:szCs w:val="24"/>
              </w:rPr>
            </w:pPr>
            <w:r w:rsidRPr="00FA3F9C">
              <w:rPr>
                <w:rFonts w:ascii="Arial" w:hAnsi="Arial" w:cs="Arial"/>
                <w:sz w:val="24"/>
                <w:szCs w:val="24"/>
              </w:rPr>
              <w:t>Pharmacist’s initials</w:t>
            </w:r>
          </w:p>
        </w:tc>
      </w:tr>
      <w:tr w:rsidR="00C3036D" w:rsidRPr="00FA3F9C" w14:paraId="233B1EAE" w14:textId="77777777" w:rsidTr="00FE491B">
        <w:tc>
          <w:tcPr>
            <w:tcW w:w="1008" w:type="dxa"/>
          </w:tcPr>
          <w:p w14:paraId="2D4C6C93" w14:textId="77777777" w:rsidR="00C3036D" w:rsidRPr="00FA3F9C" w:rsidRDefault="00C3036D" w:rsidP="006F623F">
            <w:pPr>
              <w:rPr>
                <w:rFonts w:ascii="Arial" w:hAnsi="Arial" w:cs="Arial"/>
                <w:sz w:val="24"/>
                <w:szCs w:val="24"/>
              </w:rPr>
            </w:pPr>
            <w:r w:rsidRPr="00FA3F9C">
              <w:rPr>
                <w:rFonts w:ascii="Arial" w:hAnsi="Arial" w:cs="Arial"/>
                <w:sz w:val="24"/>
                <w:szCs w:val="24"/>
              </w:rPr>
              <w:t>11/19/2020</w:t>
            </w:r>
          </w:p>
        </w:tc>
        <w:tc>
          <w:tcPr>
            <w:tcW w:w="7470" w:type="dxa"/>
          </w:tcPr>
          <w:p w14:paraId="67EE190B" w14:textId="77777777" w:rsidR="00C3036D" w:rsidRPr="00FA3F9C" w:rsidRDefault="00C3036D" w:rsidP="006F623F">
            <w:pPr>
              <w:rPr>
                <w:rFonts w:ascii="Arial" w:hAnsi="Arial" w:cs="Arial"/>
                <w:sz w:val="24"/>
                <w:szCs w:val="24"/>
              </w:rPr>
            </w:pPr>
            <w:r w:rsidRPr="00FA3F9C">
              <w:rPr>
                <w:rFonts w:ascii="Arial" w:hAnsi="Arial" w:cs="Arial"/>
                <w:sz w:val="24"/>
                <w:szCs w:val="24"/>
              </w:rPr>
              <w:t>Criteria written</w:t>
            </w:r>
          </w:p>
        </w:tc>
        <w:tc>
          <w:tcPr>
            <w:tcW w:w="2538" w:type="dxa"/>
          </w:tcPr>
          <w:p w14:paraId="3443AC70" w14:textId="77777777" w:rsidR="00C3036D" w:rsidRPr="00FA3F9C" w:rsidRDefault="00C3036D" w:rsidP="006F623F">
            <w:pPr>
              <w:rPr>
                <w:rFonts w:ascii="Arial" w:hAnsi="Arial" w:cs="Arial"/>
                <w:sz w:val="24"/>
                <w:szCs w:val="24"/>
              </w:rPr>
            </w:pPr>
            <w:r w:rsidRPr="00FA3F9C">
              <w:rPr>
                <w:rFonts w:ascii="Arial" w:hAnsi="Arial" w:cs="Arial"/>
                <w:sz w:val="24"/>
                <w:szCs w:val="24"/>
              </w:rPr>
              <w:t>SK</w:t>
            </w:r>
          </w:p>
        </w:tc>
      </w:tr>
      <w:tr w:rsidR="00C3036D" w:rsidRPr="00FA3F9C" w14:paraId="76823ACC" w14:textId="77777777" w:rsidTr="00FE491B">
        <w:tc>
          <w:tcPr>
            <w:tcW w:w="1008" w:type="dxa"/>
          </w:tcPr>
          <w:p w14:paraId="2E14B275" w14:textId="77777777" w:rsidR="00C3036D" w:rsidRPr="00FA3F9C" w:rsidRDefault="00C3036D" w:rsidP="006F623F">
            <w:pPr>
              <w:rPr>
                <w:rFonts w:ascii="Arial" w:hAnsi="Arial" w:cs="Arial"/>
                <w:sz w:val="24"/>
                <w:szCs w:val="24"/>
              </w:rPr>
            </w:pPr>
            <w:r w:rsidRPr="00FA3F9C">
              <w:rPr>
                <w:rFonts w:ascii="Arial" w:hAnsi="Arial" w:cs="Arial"/>
                <w:sz w:val="24"/>
                <w:szCs w:val="24"/>
              </w:rPr>
              <w:t>6/17/2021</w:t>
            </w:r>
          </w:p>
        </w:tc>
        <w:tc>
          <w:tcPr>
            <w:tcW w:w="7470" w:type="dxa"/>
          </w:tcPr>
          <w:p w14:paraId="6B0F03A6" w14:textId="77777777" w:rsidR="00C3036D" w:rsidRPr="00FA3F9C" w:rsidRDefault="00C3036D" w:rsidP="006F623F">
            <w:pPr>
              <w:rPr>
                <w:rFonts w:ascii="Arial" w:hAnsi="Arial" w:cs="Arial"/>
                <w:sz w:val="24"/>
                <w:szCs w:val="24"/>
              </w:rPr>
            </w:pPr>
            <w:r w:rsidRPr="00FA3F9C">
              <w:rPr>
                <w:rFonts w:ascii="Arial" w:hAnsi="Arial" w:cs="Arial"/>
                <w:sz w:val="24"/>
                <w:szCs w:val="24"/>
              </w:rPr>
              <w:t xml:space="preserve">Listed new urothelial cancer indication. Not covered. </w:t>
            </w:r>
          </w:p>
        </w:tc>
        <w:tc>
          <w:tcPr>
            <w:tcW w:w="2538" w:type="dxa"/>
          </w:tcPr>
          <w:p w14:paraId="3A0BECA5" w14:textId="77777777" w:rsidR="00C3036D" w:rsidRPr="00FA3F9C" w:rsidRDefault="00C3036D" w:rsidP="006F623F">
            <w:pPr>
              <w:rPr>
                <w:rFonts w:ascii="Arial" w:hAnsi="Arial" w:cs="Arial"/>
                <w:sz w:val="24"/>
                <w:szCs w:val="24"/>
              </w:rPr>
            </w:pPr>
            <w:r w:rsidRPr="00FA3F9C">
              <w:rPr>
                <w:rFonts w:ascii="Arial" w:hAnsi="Arial" w:cs="Arial"/>
                <w:sz w:val="24"/>
                <w:szCs w:val="24"/>
              </w:rPr>
              <w:t>SK</w:t>
            </w:r>
          </w:p>
        </w:tc>
      </w:tr>
      <w:tr w:rsidR="00C3036D" w:rsidRPr="00FA3F9C" w14:paraId="08750D51" w14:textId="77777777" w:rsidTr="00FE491B">
        <w:tc>
          <w:tcPr>
            <w:tcW w:w="1008" w:type="dxa"/>
          </w:tcPr>
          <w:p w14:paraId="7D16A189" w14:textId="77777777" w:rsidR="00C3036D" w:rsidRPr="00FA3F9C" w:rsidRDefault="00C3036D" w:rsidP="006F623F">
            <w:pPr>
              <w:rPr>
                <w:rFonts w:ascii="Arial" w:hAnsi="Arial" w:cs="Arial"/>
                <w:sz w:val="24"/>
                <w:szCs w:val="24"/>
              </w:rPr>
            </w:pPr>
            <w:r w:rsidRPr="00FA3F9C">
              <w:rPr>
                <w:rFonts w:ascii="Arial" w:hAnsi="Arial" w:cs="Arial"/>
                <w:sz w:val="24"/>
                <w:szCs w:val="24"/>
              </w:rPr>
              <w:t>1/27/2022</w:t>
            </w:r>
          </w:p>
        </w:tc>
        <w:tc>
          <w:tcPr>
            <w:tcW w:w="7470" w:type="dxa"/>
          </w:tcPr>
          <w:p w14:paraId="684007AB" w14:textId="77777777" w:rsidR="00C3036D" w:rsidRPr="00FA3F9C" w:rsidRDefault="00C3036D" w:rsidP="004B54E4">
            <w:pPr>
              <w:rPr>
                <w:rFonts w:ascii="Arial" w:hAnsi="Arial" w:cs="Arial"/>
                <w:sz w:val="24"/>
                <w:szCs w:val="24"/>
              </w:rPr>
            </w:pPr>
            <w:r w:rsidRPr="00FA3F9C">
              <w:rPr>
                <w:rFonts w:ascii="Arial" w:hAnsi="Arial" w:cs="Arial"/>
                <w:sz w:val="24"/>
                <w:szCs w:val="24"/>
              </w:rPr>
              <w:t>Criteria review. Updated FDA indication and criteria for breast cancer to mirror wording of current FDA approval (no major change in criteria)</w:t>
            </w:r>
          </w:p>
        </w:tc>
        <w:tc>
          <w:tcPr>
            <w:tcW w:w="2538" w:type="dxa"/>
          </w:tcPr>
          <w:p w14:paraId="7B73118B" w14:textId="77777777" w:rsidR="00C3036D" w:rsidRPr="00FA3F9C" w:rsidRDefault="00C3036D" w:rsidP="006F623F">
            <w:pPr>
              <w:rPr>
                <w:rFonts w:ascii="Arial" w:hAnsi="Arial" w:cs="Arial"/>
                <w:sz w:val="24"/>
                <w:szCs w:val="24"/>
              </w:rPr>
            </w:pPr>
            <w:r w:rsidRPr="00FA3F9C">
              <w:rPr>
                <w:rFonts w:ascii="Arial" w:hAnsi="Arial" w:cs="Arial"/>
                <w:sz w:val="24"/>
                <w:szCs w:val="24"/>
              </w:rPr>
              <w:t>SK</w:t>
            </w:r>
          </w:p>
        </w:tc>
      </w:tr>
    </w:tbl>
    <w:p w14:paraId="0D8C8DCF" w14:textId="77777777" w:rsidR="00C3036D" w:rsidRPr="00FA3F9C" w:rsidRDefault="00C3036D" w:rsidP="006F623F">
      <w:pPr>
        <w:spacing w:after="0"/>
        <w:rPr>
          <w:rFonts w:ascii="Arial" w:hAnsi="Arial" w:cs="Arial"/>
          <w:sz w:val="24"/>
          <w:szCs w:val="24"/>
        </w:rPr>
      </w:pPr>
    </w:p>
    <w:p w14:paraId="3F5CD3D9" w14:textId="0C0ED8CA" w:rsidR="00C3036D" w:rsidRDefault="00C3036D" w:rsidP="002B2097">
      <w:pPr>
        <w:pStyle w:val="Heading2"/>
        <w:rPr>
          <w:lang w:val="es-ES"/>
        </w:rPr>
      </w:pPr>
      <w:bookmarkStart w:id="296" w:name="_Toc106369920"/>
      <w:proofErr w:type="spellStart"/>
      <w:r w:rsidRPr="00FA3F9C">
        <w:rPr>
          <w:lang w:val="es-ES"/>
        </w:rPr>
        <w:t>Sacubitril-Valsartan</w:t>
      </w:r>
      <w:proofErr w:type="spellEnd"/>
      <w:r w:rsidRPr="00FA3F9C">
        <w:rPr>
          <w:lang w:val="es-ES"/>
        </w:rPr>
        <w:t xml:space="preserve"> (</w:t>
      </w:r>
      <w:proofErr w:type="spellStart"/>
      <w:r w:rsidRPr="00FA3F9C">
        <w:rPr>
          <w:lang w:val="es-ES"/>
        </w:rPr>
        <w:t>Entresto</w:t>
      </w:r>
      <w:proofErr w:type="spellEnd"/>
      <w:r w:rsidRPr="00FA3F9C">
        <w:rPr>
          <w:lang w:val="es-ES"/>
        </w:rPr>
        <w:t>)</w:t>
      </w:r>
      <w:bookmarkEnd w:id="296"/>
    </w:p>
    <w:p w14:paraId="309F6B17" w14:textId="6EDC238D" w:rsidR="002B2097" w:rsidRDefault="002B2097" w:rsidP="006F623F">
      <w:pPr>
        <w:spacing w:after="0"/>
        <w:jc w:val="center"/>
        <w:rPr>
          <w:rFonts w:ascii="Arial" w:hAnsi="Arial" w:cs="Arial"/>
          <w:sz w:val="24"/>
          <w:szCs w:val="24"/>
          <w:lang w:val="es-ES"/>
        </w:rPr>
      </w:pPr>
      <w:r w:rsidRPr="00FA3F9C">
        <w:rPr>
          <w:rFonts w:ascii="Arial" w:hAnsi="Arial" w:cs="Arial"/>
          <w:sz w:val="24"/>
          <w:szCs w:val="24"/>
          <w:lang w:val="es-ES"/>
        </w:rPr>
        <w:t>24/26mg, 49/51mg, 97/103mg</w:t>
      </w:r>
    </w:p>
    <w:p w14:paraId="49321CCD" w14:textId="77777777" w:rsidR="002B2097" w:rsidRPr="00FA3F9C" w:rsidRDefault="002B2097" w:rsidP="002B2097">
      <w:pPr>
        <w:spacing w:after="0"/>
        <w:jc w:val="center"/>
        <w:rPr>
          <w:rFonts w:ascii="Arial" w:hAnsi="Arial" w:cs="Arial"/>
          <w:sz w:val="24"/>
          <w:szCs w:val="24"/>
        </w:rPr>
      </w:pPr>
      <w:r w:rsidRPr="00FA3F9C">
        <w:rPr>
          <w:rFonts w:ascii="Arial" w:hAnsi="Arial" w:cs="Arial"/>
          <w:sz w:val="24"/>
          <w:szCs w:val="24"/>
        </w:rPr>
        <w:t>EBRx PA Criteria</w:t>
      </w:r>
    </w:p>
    <w:p w14:paraId="7BB42666" w14:textId="77777777" w:rsidR="002B2097" w:rsidRPr="00FA3F9C" w:rsidRDefault="002B2097" w:rsidP="006F623F">
      <w:pPr>
        <w:spacing w:after="0"/>
        <w:jc w:val="center"/>
        <w:rPr>
          <w:rFonts w:ascii="Arial" w:hAnsi="Arial" w:cs="Arial"/>
          <w:sz w:val="24"/>
          <w:szCs w:val="24"/>
          <w:lang w:val="es-ES"/>
        </w:rPr>
      </w:pPr>
    </w:p>
    <w:p w14:paraId="67380F7C" w14:textId="77777777" w:rsidR="00C3036D" w:rsidRPr="00FA3F9C" w:rsidRDefault="00C3036D" w:rsidP="006F623F">
      <w:pPr>
        <w:spacing w:after="0"/>
        <w:rPr>
          <w:rFonts w:ascii="Arial" w:hAnsi="Arial" w:cs="Arial"/>
          <w:b/>
          <w:sz w:val="24"/>
          <w:szCs w:val="24"/>
          <w:u w:val="single"/>
          <w:lang w:val="es-ES"/>
        </w:rPr>
      </w:pPr>
    </w:p>
    <w:p w14:paraId="6CB6F836" w14:textId="77777777" w:rsidR="00C3036D" w:rsidRPr="00FA3F9C" w:rsidRDefault="00C3036D" w:rsidP="006F623F">
      <w:pPr>
        <w:spacing w:after="0"/>
        <w:rPr>
          <w:rFonts w:ascii="Arial" w:hAnsi="Arial" w:cs="Arial"/>
          <w:sz w:val="24"/>
          <w:szCs w:val="24"/>
        </w:rPr>
      </w:pPr>
      <w:r w:rsidRPr="00FA3F9C">
        <w:rPr>
          <w:rFonts w:ascii="Arial" w:hAnsi="Arial" w:cs="Arial"/>
          <w:b/>
          <w:sz w:val="24"/>
          <w:szCs w:val="24"/>
          <w:u w:val="single"/>
        </w:rPr>
        <w:t>is FDA-approved:</w:t>
      </w:r>
      <w:r w:rsidRPr="00FA3F9C">
        <w:rPr>
          <w:rFonts w:ascii="Arial" w:hAnsi="Arial" w:cs="Arial"/>
          <w:sz w:val="24"/>
          <w:szCs w:val="24"/>
        </w:rPr>
        <w:t xml:space="preserve">  </w:t>
      </w:r>
    </w:p>
    <w:p w14:paraId="425D2C99" w14:textId="77777777" w:rsidR="00C3036D" w:rsidRPr="00FA3F9C" w:rsidRDefault="00C3036D" w:rsidP="00FC1E85">
      <w:pPr>
        <w:pStyle w:val="ListParagraph"/>
        <w:numPr>
          <w:ilvl w:val="0"/>
          <w:numId w:val="461"/>
        </w:numPr>
        <w:spacing w:after="0" w:line="276" w:lineRule="auto"/>
        <w:rPr>
          <w:rFonts w:ascii="Arial" w:hAnsi="Arial" w:cs="Arial"/>
          <w:sz w:val="24"/>
          <w:szCs w:val="24"/>
        </w:rPr>
      </w:pPr>
      <w:r w:rsidRPr="00FA3F9C">
        <w:rPr>
          <w:rFonts w:ascii="Arial" w:hAnsi="Arial" w:cs="Arial"/>
          <w:sz w:val="24"/>
          <w:szCs w:val="24"/>
        </w:rPr>
        <w:t>In adults to reduce the risk of CV death and hospitalization for heart failure in patients with chronic heart failure. Benefits are most clear in patients with LVEF below normal.</w:t>
      </w:r>
    </w:p>
    <w:p w14:paraId="0B84C287" w14:textId="77777777" w:rsidR="00C3036D" w:rsidRPr="00FA3F9C" w:rsidRDefault="00C3036D" w:rsidP="00FC1E85">
      <w:pPr>
        <w:pStyle w:val="ListParagraph"/>
        <w:numPr>
          <w:ilvl w:val="0"/>
          <w:numId w:val="461"/>
        </w:numPr>
        <w:spacing w:after="0" w:line="276" w:lineRule="auto"/>
        <w:rPr>
          <w:rFonts w:ascii="Arial" w:hAnsi="Arial" w:cs="Arial"/>
          <w:sz w:val="24"/>
          <w:szCs w:val="24"/>
        </w:rPr>
      </w:pPr>
      <w:r w:rsidRPr="00FA3F9C">
        <w:rPr>
          <w:rFonts w:ascii="Arial" w:hAnsi="Arial" w:cs="Arial"/>
          <w:sz w:val="24"/>
          <w:szCs w:val="24"/>
        </w:rPr>
        <w:t xml:space="preserve">In pediatric patients for treatment of symptomatic HF with systemic LV systolic dysfunction in pediatric patients </w:t>
      </w:r>
      <w:r w:rsidRPr="00FA3F9C">
        <w:rPr>
          <w:rFonts w:ascii="Arial" w:hAnsi="Arial" w:cs="Arial"/>
          <w:sz w:val="24"/>
          <w:szCs w:val="24"/>
          <w:u w:val="single"/>
        </w:rPr>
        <w:t>&gt;</w:t>
      </w:r>
      <w:r w:rsidRPr="00FA3F9C">
        <w:rPr>
          <w:rFonts w:ascii="Arial" w:hAnsi="Arial" w:cs="Arial"/>
          <w:sz w:val="24"/>
          <w:szCs w:val="24"/>
        </w:rPr>
        <w:t>1y.</w:t>
      </w:r>
    </w:p>
    <w:tbl>
      <w:tblPr>
        <w:tblStyle w:val="TableGrid"/>
        <w:tblW w:w="0" w:type="auto"/>
        <w:tblLook w:val="04A0" w:firstRow="1" w:lastRow="0" w:firstColumn="1" w:lastColumn="0" w:noHBand="0" w:noVBand="1"/>
      </w:tblPr>
      <w:tblGrid>
        <w:gridCol w:w="10998"/>
      </w:tblGrid>
      <w:tr w:rsidR="00C3036D" w:rsidRPr="00FA3F9C" w14:paraId="239FC1FC" w14:textId="77777777" w:rsidTr="005E49CC">
        <w:tc>
          <w:tcPr>
            <w:tcW w:w="10998" w:type="dxa"/>
            <w:shd w:val="clear" w:color="auto" w:fill="000000"/>
          </w:tcPr>
          <w:p w14:paraId="7F275974" w14:textId="77777777" w:rsidR="00C3036D" w:rsidRPr="00FA3F9C" w:rsidRDefault="00C3036D" w:rsidP="00571CAB">
            <w:pPr>
              <w:rPr>
                <w:rFonts w:ascii="Arial" w:hAnsi="Arial" w:cs="Arial"/>
                <w:b/>
                <w:sz w:val="24"/>
                <w:szCs w:val="24"/>
                <w:u w:val="single"/>
              </w:rPr>
            </w:pPr>
            <w:r w:rsidRPr="00FA3F9C">
              <w:rPr>
                <w:rFonts w:ascii="Arial" w:hAnsi="Arial" w:cs="Arial"/>
                <w:b/>
                <w:sz w:val="24"/>
                <w:szCs w:val="24"/>
                <w:u w:val="single"/>
              </w:rPr>
              <w:t>Criteria for new users</w:t>
            </w:r>
          </w:p>
        </w:tc>
      </w:tr>
      <w:tr w:rsidR="00C3036D" w:rsidRPr="00FA3F9C" w14:paraId="6651154F" w14:textId="77777777" w:rsidTr="005E49CC">
        <w:tc>
          <w:tcPr>
            <w:tcW w:w="10998" w:type="dxa"/>
          </w:tcPr>
          <w:p w14:paraId="42E1AA5A" w14:textId="77777777" w:rsidR="00C3036D" w:rsidRPr="00FA3F9C" w:rsidRDefault="00C3036D" w:rsidP="006F623F">
            <w:pPr>
              <w:rPr>
                <w:rFonts w:ascii="Arial" w:hAnsi="Arial" w:cs="Arial"/>
                <w:sz w:val="24"/>
                <w:szCs w:val="24"/>
              </w:rPr>
            </w:pPr>
            <w:r w:rsidRPr="00FA3F9C">
              <w:rPr>
                <w:rFonts w:ascii="Arial" w:hAnsi="Arial" w:cs="Arial"/>
                <w:sz w:val="24"/>
                <w:szCs w:val="24"/>
              </w:rPr>
              <w:t xml:space="preserve">1.  Must have the diagnosis of chronic heart failure, NYHA Class II-IV with a reduced ejection fraction of </w:t>
            </w:r>
            <w:r w:rsidRPr="00FA3F9C">
              <w:rPr>
                <w:rFonts w:ascii="Arial" w:hAnsi="Arial" w:cs="Arial"/>
                <w:sz w:val="24"/>
                <w:szCs w:val="24"/>
                <w:u w:val="single"/>
              </w:rPr>
              <w:t>&lt;</w:t>
            </w:r>
            <w:r w:rsidRPr="00FA3F9C">
              <w:rPr>
                <w:rFonts w:ascii="Arial" w:hAnsi="Arial" w:cs="Arial"/>
                <w:sz w:val="24"/>
                <w:szCs w:val="24"/>
              </w:rPr>
              <w:t>40%</w:t>
            </w:r>
          </w:p>
        </w:tc>
      </w:tr>
      <w:tr w:rsidR="00C3036D" w:rsidRPr="00FA3F9C" w14:paraId="00012C25" w14:textId="77777777" w:rsidTr="005E49CC">
        <w:tc>
          <w:tcPr>
            <w:tcW w:w="10998" w:type="dxa"/>
          </w:tcPr>
          <w:p w14:paraId="4FAB7700" w14:textId="77777777" w:rsidR="00C3036D" w:rsidRPr="00FA3F9C" w:rsidRDefault="00C3036D" w:rsidP="006F623F">
            <w:pPr>
              <w:rPr>
                <w:rFonts w:ascii="Arial" w:hAnsi="Arial" w:cs="Arial"/>
                <w:sz w:val="24"/>
                <w:szCs w:val="24"/>
              </w:rPr>
            </w:pPr>
            <w:r w:rsidRPr="00FA3F9C">
              <w:rPr>
                <w:rFonts w:ascii="Arial" w:hAnsi="Arial" w:cs="Arial"/>
                <w:sz w:val="24"/>
                <w:szCs w:val="24"/>
              </w:rPr>
              <w:t>2.  Must be age 18 or older</w:t>
            </w:r>
          </w:p>
        </w:tc>
      </w:tr>
      <w:tr w:rsidR="00C3036D" w:rsidRPr="00FA3F9C" w14:paraId="5A0448AE" w14:textId="77777777" w:rsidTr="005E49CC">
        <w:tc>
          <w:tcPr>
            <w:tcW w:w="10998" w:type="dxa"/>
          </w:tcPr>
          <w:p w14:paraId="4807458F" w14:textId="77777777" w:rsidR="00C3036D" w:rsidRPr="00FA3F9C" w:rsidRDefault="00C3036D" w:rsidP="006F623F">
            <w:pPr>
              <w:rPr>
                <w:rFonts w:ascii="Arial" w:hAnsi="Arial" w:cs="Arial"/>
                <w:sz w:val="24"/>
                <w:szCs w:val="24"/>
              </w:rPr>
            </w:pPr>
            <w:r w:rsidRPr="00FA3F9C">
              <w:rPr>
                <w:rFonts w:ascii="Arial" w:hAnsi="Arial" w:cs="Arial"/>
                <w:sz w:val="24"/>
                <w:szCs w:val="24"/>
              </w:rPr>
              <w:t>3.  Must be currently on a stable dose of a HF-specific beta blocker or be unable to tolerate these (carvedilol, metoprolol succinate, bisoprolol) (GDMT=guideline-directed medical therapy per ACC)</w:t>
            </w:r>
          </w:p>
        </w:tc>
      </w:tr>
      <w:tr w:rsidR="00C3036D" w:rsidRPr="00FA3F9C" w14:paraId="4E723F0F" w14:textId="77777777" w:rsidTr="005E49CC">
        <w:tc>
          <w:tcPr>
            <w:tcW w:w="10998" w:type="dxa"/>
          </w:tcPr>
          <w:p w14:paraId="716518B8" w14:textId="77777777" w:rsidR="00C3036D" w:rsidRPr="00FA3F9C" w:rsidRDefault="00C3036D" w:rsidP="006F623F">
            <w:pPr>
              <w:rPr>
                <w:rFonts w:ascii="Arial" w:hAnsi="Arial" w:cs="Arial"/>
                <w:sz w:val="24"/>
                <w:szCs w:val="24"/>
              </w:rPr>
            </w:pPr>
            <w:r w:rsidRPr="00FA3F9C">
              <w:rPr>
                <w:rFonts w:ascii="Arial" w:hAnsi="Arial" w:cs="Arial"/>
                <w:sz w:val="24"/>
                <w:szCs w:val="24"/>
              </w:rPr>
              <w:t>4.  Must NOT have any history of angioedema.</w:t>
            </w:r>
          </w:p>
        </w:tc>
      </w:tr>
      <w:tr w:rsidR="00C3036D" w:rsidRPr="00FA3F9C" w14:paraId="1CEE06AA" w14:textId="77777777" w:rsidTr="005E49CC">
        <w:tc>
          <w:tcPr>
            <w:tcW w:w="10998" w:type="dxa"/>
          </w:tcPr>
          <w:p w14:paraId="0FE9F1CD" w14:textId="77777777" w:rsidR="00C3036D" w:rsidRPr="00FA3F9C" w:rsidRDefault="00C3036D" w:rsidP="00C0539C">
            <w:pPr>
              <w:rPr>
                <w:rFonts w:ascii="Arial" w:hAnsi="Arial" w:cs="Arial"/>
                <w:sz w:val="24"/>
                <w:szCs w:val="24"/>
              </w:rPr>
            </w:pPr>
            <w:r w:rsidRPr="00FA3F9C">
              <w:rPr>
                <w:rFonts w:ascii="Arial" w:hAnsi="Arial" w:cs="Arial"/>
                <w:sz w:val="24"/>
                <w:szCs w:val="24"/>
              </w:rPr>
              <w:t>5.  Must NOT be currently taking an ACE inhibitor OR plans to discontinue and begin Entresto 36 hours after discontinuation of ACE inhibitor. (GDMT)</w:t>
            </w:r>
          </w:p>
        </w:tc>
      </w:tr>
      <w:tr w:rsidR="00C3036D" w:rsidRPr="00FA3F9C" w14:paraId="1AA0469D" w14:textId="77777777" w:rsidTr="005E49CC">
        <w:tc>
          <w:tcPr>
            <w:tcW w:w="10998" w:type="dxa"/>
          </w:tcPr>
          <w:p w14:paraId="72825C48" w14:textId="77777777" w:rsidR="00C3036D" w:rsidRPr="00FA3F9C" w:rsidRDefault="00C3036D" w:rsidP="003F0FB2">
            <w:pPr>
              <w:rPr>
                <w:rFonts w:ascii="Arial" w:hAnsi="Arial" w:cs="Arial"/>
                <w:sz w:val="24"/>
                <w:szCs w:val="24"/>
              </w:rPr>
            </w:pPr>
            <w:r w:rsidRPr="00FA3F9C">
              <w:rPr>
                <w:rFonts w:ascii="Arial" w:hAnsi="Arial" w:cs="Arial"/>
                <w:sz w:val="24"/>
                <w:szCs w:val="24"/>
              </w:rPr>
              <w:t xml:space="preserve">6.  Patients are </w:t>
            </w:r>
            <w:r w:rsidRPr="00FA3F9C">
              <w:rPr>
                <w:rFonts w:ascii="Arial" w:hAnsi="Arial" w:cs="Arial"/>
                <w:b/>
                <w:sz w:val="24"/>
                <w:szCs w:val="24"/>
              </w:rPr>
              <w:t>encouraged to be on spironolactone</w:t>
            </w:r>
            <w:r w:rsidRPr="00FA3F9C">
              <w:rPr>
                <w:rFonts w:ascii="Arial" w:hAnsi="Arial" w:cs="Arial"/>
                <w:sz w:val="24"/>
                <w:szCs w:val="24"/>
              </w:rPr>
              <w:t xml:space="preserve">. Please ask if patient is on spironolactone. Providers should </w:t>
            </w:r>
            <w:r w:rsidRPr="00FA3F9C">
              <w:rPr>
                <w:rFonts w:ascii="Arial" w:hAnsi="Arial" w:cs="Arial"/>
                <w:b/>
                <w:sz w:val="24"/>
                <w:szCs w:val="24"/>
              </w:rPr>
              <w:t>provide justification</w:t>
            </w:r>
            <w:r w:rsidRPr="00FA3F9C">
              <w:rPr>
                <w:rFonts w:ascii="Arial" w:hAnsi="Arial" w:cs="Arial"/>
                <w:sz w:val="24"/>
                <w:szCs w:val="24"/>
              </w:rPr>
              <w:t xml:space="preserve"> for avoiding use of spironolactone as it is a </w:t>
            </w:r>
            <w:r w:rsidRPr="00FA3F9C">
              <w:rPr>
                <w:rFonts w:ascii="Arial" w:hAnsi="Arial" w:cs="Arial"/>
                <w:b/>
                <w:sz w:val="24"/>
                <w:szCs w:val="24"/>
              </w:rPr>
              <w:t xml:space="preserve">category 1, level </w:t>
            </w:r>
            <w:r w:rsidRPr="00FA3F9C">
              <w:rPr>
                <w:rFonts w:ascii="Arial" w:hAnsi="Arial" w:cs="Arial"/>
                <w:b/>
                <w:sz w:val="24"/>
                <w:szCs w:val="24"/>
              </w:rPr>
              <w:lastRenderedPageBreak/>
              <w:t xml:space="preserve">of evidence A recommendation </w:t>
            </w:r>
            <w:r w:rsidRPr="00FA3F9C">
              <w:rPr>
                <w:rFonts w:ascii="Arial" w:hAnsi="Arial" w:cs="Arial"/>
                <w:sz w:val="24"/>
                <w:szCs w:val="24"/>
              </w:rPr>
              <w:t xml:space="preserve">for the following patients with </w:t>
            </w:r>
            <w:r w:rsidRPr="00FA3F9C">
              <w:rPr>
                <w:rFonts w:ascii="Arial" w:hAnsi="Arial" w:cs="Arial"/>
                <w:b/>
                <w:sz w:val="24"/>
                <w:szCs w:val="24"/>
              </w:rPr>
              <w:t xml:space="preserve">Heart Failure with reduced ejection fraction (LVEF </w:t>
            </w:r>
            <w:r w:rsidRPr="00FA3F9C">
              <w:rPr>
                <w:rFonts w:ascii="Arial" w:hAnsi="Arial" w:cs="Arial"/>
                <w:b/>
                <w:sz w:val="24"/>
                <w:szCs w:val="24"/>
                <w:u w:val="single"/>
              </w:rPr>
              <w:t>&lt;</w:t>
            </w:r>
            <w:r w:rsidRPr="00FA3F9C">
              <w:rPr>
                <w:rFonts w:ascii="Arial" w:hAnsi="Arial" w:cs="Arial"/>
                <w:b/>
                <w:sz w:val="24"/>
                <w:szCs w:val="24"/>
              </w:rPr>
              <w:t xml:space="preserve"> 35%)</w:t>
            </w:r>
            <w:r w:rsidRPr="00FA3F9C">
              <w:rPr>
                <w:rFonts w:ascii="Arial" w:hAnsi="Arial" w:cs="Arial"/>
                <w:sz w:val="24"/>
                <w:szCs w:val="24"/>
              </w:rPr>
              <w:t>:</w:t>
            </w:r>
          </w:p>
          <w:p w14:paraId="0E1B1CA9" w14:textId="77777777" w:rsidR="00C3036D" w:rsidRPr="00FA3F9C" w:rsidRDefault="00C3036D" w:rsidP="00FC1E85">
            <w:pPr>
              <w:pStyle w:val="ListParagraph"/>
              <w:numPr>
                <w:ilvl w:val="0"/>
                <w:numId w:val="460"/>
              </w:numPr>
              <w:rPr>
                <w:rFonts w:ascii="Arial" w:hAnsi="Arial" w:cs="Arial"/>
                <w:sz w:val="24"/>
                <w:szCs w:val="24"/>
              </w:rPr>
            </w:pPr>
            <w:r w:rsidRPr="00FA3F9C">
              <w:rPr>
                <w:rFonts w:ascii="Arial" w:hAnsi="Arial" w:cs="Arial"/>
                <w:sz w:val="24"/>
                <w:szCs w:val="24"/>
              </w:rPr>
              <w:t xml:space="preserve">NYHA class II-IV with estimated </w:t>
            </w:r>
            <w:proofErr w:type="spellStart"/>
            <w:r w:rsidRPr="00FA3F9C">
              <w:rPr>
                <w:rFonts w:ascii="Arial" w:hAnsi="Arial" w:cs="Arial"/>
                <w:sz w:val="24"/>
                <w:szCs w:val="24"/>
              </w:rPr>
              <w:t>CrCl</w:t>
            </w:r>
            <w:proofErr w:type="spellEnd"/>
            <w:r w:rsidRPr="00FA3F9C">
              <w:rPr>
                <w:rFonts w:ascii="Arial" w:hAnsi="Arial" w:cs="Arial"/>
                <w:sz w:val="24"/>
                <w:szCs w:val="24"/>
              </w:rPr>
              <w:t xml:space="preserve"> &gt; 30 mL/min and serum potassium &lt; 5.0 </w:t>
            </w:r>
            <w:proofErr w:type="spellStart"/>
            <w:r w:rsidRPr="00FA3F9C">
              <w:rPr>
                <w:rFonts w:ascii="Arial" w:hAnsi="Arial" w:cs="Arial"/>
                <w:sz w:val="24"/>
                <w:szCs w:val="24"/>
              </w:rPr>
              <w:t>mEq</w:t>
            </w:r>
            <w:proofErr w:type="spellEnd"/>
            <w:r w:rsidRPr="00FA3F9C">
              <w:rPr>
                <w:rFonts w:ascii="Arial" w:hAnsi="Arial" w:cs="Arial"/>
                <w:sz w:val="24"/>
                <w:szCs w:val="24"/>
              </w:rPr>
              <w:t>/L.</w:t>
            </w:r>
          </w:p>
          <w:p w14:paraId="41274574" w14:textId="77777777" w:rsidR="00C3036D" w:rsidRPr="00FA3F9C" w:rsidRDefault="00C3036D" w:rsidP="00FC1E85">
            <w:pPr>
              <w:pStyle w:val="ListParagraph"/>
              <w:numPr>
                <w:ilvl w:val="0"/>
                <w:numId w:val="460"/>
              </w:numPr>
              <w:rPr>
                <w:rFonts w:ascii="Arial" w:hAnsi="Arial" w:cs="Arial"/>
                <w:sz w:val="24"/>
                <w:szCs w:val="24"/>
              </w:rPr>
            </w:pPr>
            <w:r w:rsidRPr="00FA3F9C">
              <w:rPr>
                <w:rFonts w:ascii="Arial" w:hAnsi="Arial" w:cs="Arial"/>
                <w:sz w:val="24"/>
                <w:szCs w:val="24"/>
              </w:rPr>
              <w:t>(</w:t>
            </w:r>
            <w:proofErr w:type="gramStart"/>
            <w:r w:rsidRPr="00FA3F9C">
              <w:rPr>
                <w:rFonts w:ascii="Arial" w:hAnsi="Arial" w:cs="Arial"/>
                <w:sz w:val="24"/>
                <w:szCs w:val="24"/>
              </w:rPr>
              <w:t>Also</w:t>
            </w:r>
            <w:proofErr w:type="gramEnd"/>
            <w:r w:rsidRPr="00FA3F9C">
              <w:rPr>
                <w:rFonts w:ascii="Arial" w:hAnsi="Arial" w:cs="Arial"/>
                <w:sz w:val="24"/>
                <w:szCs w:val="24"/>
              </w:rPr>
              <w:t xml:space="preserve"> GDMT)</w:t>
            </w:r>
          </w:p>
        </w:tc>
      </w:tr>
      <w:tr w:rsidR="00C3036D" w:rsidRPr="00FA3F9C" w14:paraId="4F6A243E" w14:textId="77777777" w:rsidTr="005E49CC">
        <w:tc>
          <w:tcPr>
            <w:tcW w:w="10998" w:type="dxa"/>
          </w:tcPr>
          <w:p w14:paraId="11C1B5DA" w14:textId="77777777" w:rsidR="00C3036D" w:rsidRPr="00FA3F9C" w:rsidRDefault="00C3036D" w:rsidP="004B3807">
            <w:pPr>
              <w:rPr>
                <w:rFonts w:ascii="Arial" w:hAnsi="Arial" w:cs="Arial"/>
                <w:b/>
                <w:sz w:val="24"/>
                <w:szCs w:val="24"/>
              </w:rPr>
            </w:pPr>
            <w:r w:rsidRPr="00FA3F9C">
              <w:rPr>
                <w:rFonts w:ascii="Arial" w:hAnsi="Arial" w:cs="Arial"/>
                <w:b/>
                <w:sz w:val="24"/>
                <w:szCs w:val="24"/>
              </w:rPr>
              <w:lastRenderedPageBreak/>
              <w:t>Approval of Entresto is based on fulfilment of criteria 1 through 5. Category 6 is encouraged for patients who meet spironolactone utilization criteria, but not a requirement.</w:t>
            </w:r>
          </w:p>
        </w:tc>
      </w:tr>
    </w:tbl>
    <w:p w14:paraId="35FD3345" w14:textId="77777777" w:rsidR="00C3036D" w:rsidRPr="00FA3F9C" w:rsidRDefault="00C3036D" w:rsidP="006F623F">
      <w:pPr>
        <w:spacing w:after="0"/>
        <w:rPr>
          <w:rFonts w:ascii="Arial" w:hAnsi="Arial" w:cs="Arial"/>
          <w:b/>
          <w:sz w:val="24"/>
          <w:szCs w:val="24"/>
          <w:u w:val="single"/>
        </w:rPr>
      </w:pPr>
    </w:p>
    <w:p w14:paraId="4DA4A240" w14:textId="77777777" w:rsidR="00C3036D" w:rsidRPr="00FA3F9C" w:rsidRDefault="00C3036D" w:rsidP="006F623F">
      <w:pPr>
        <w:spacing w:after="0"/>
        <w:rPr>
          <w:rFonts w:ascii="Arial" w:hAnsi="Arial" w:cs="Arial"/>
          <w:sz w:val="24"/>
          <w:szCs w:val="24"/>
        </w:rPr>
      </w:pPr>
      <w:r w:rsidRPr="00FA3F9C">
        <w:rPr>
          <w:rFonts w:ascii="Arial" w:hAnsi="Arial" w:cs="Arial"/>
          <w:sz w:val="24"/>
          <w:szCs w:val="24"/>
        </w:rPr>
        <w:t>Quantity Limits: 2tabs/1day</w:t>
      </w:r>
    </w:p>
    <w:p w14:paraId="3FF15654" w14:textId="77777777" w:rsidR="00C3036D" w:rsidRPr="00FA3F9C" w:rsidRDefault="00C3036D"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151"/>
        <w:gridCol w:w="8555"/>
        <w:gridCol w:w="1590"/>
      </w:tblGrid>
      <w:tr w:rsidR="00C3036D" w:rsidRPr="00FA3F9C" w14:paraId="62270ED3" w14:textId="77777777" w:rsidTr="0011272F">
        <w:tc>
          <w:tcPr>
            <w:tcW w:w="985" w:type="dxa"/>
          </w:tcPr>
          <w:p w14:paraId="2889AFA1" w14:textId="77777777" w:rsidR="00C3036D" w:rsidRPr="00FA3F9C" w:rsidRDefault="00C3036D" w:rsidP="006F623F">
            <w:pPr>
              <w:rPr>
                <w:rFonts w:ascii="Arial" w:hAnsi="Arial" w:cs="Arial"/>
                <w:sz w:val="24"/>
                <w:szCs w:val="24"/>
              </w:rPr>
            </w:pPr>
            <w:r w:rsidRPr="00FA3F9C">
              <w:rPr>
                <w:rFonts w:ascii="Arial" w:hAnsi="Arial" w:cs="Arial"/>
                <w:sz w:val="24"/>
                <w:szCs w:val="24"/>
              </w:rPr>
              <w:t>Date</w:t>
            </w:r>
          </w:p>
        </w:tc>
        <w:tc>
          <w:tcPr>
            <w:tcW w:w="8555" w:type="dxa"/>
          </w:tcPr>
          <w:p w14:paraId="45238888" w14:textId="77777777" w:rsidR="00C3036D" w:rsidRPr="00FA3F9C" w:rsidRDefault="00C3036D" w:rsidP="006F623F">
            <w:pPr>
              <w:rPr>
                <w:rFonts w:ascii="Arial" w:hAnsi="Arial" w:cs="Arial"/>
                <w:sz w:val="24"/>
                <w:szCs w:val="24"/>
              </w:rPr>
            </w:pPr>
            <w:r w:rsidRPr="00FA3F9C">
              <w:rPr>
                <w:rFonts w:ascii="Arial" w:hAnsi="Arial" w:cs="Arial"/>
                <w:sz w:val="24"/>
                <w:szCs w:val="24"/>
              </w:rPr>
              <w:t>What changed</w:t>
            </w:r>
          </w:p>
        </w:tc>
        <w:tc>
          <w:tcPr>
            <w:tcW w:w="1250" w:type="dxa"/>
          </w:tcPr>
          <w:p w14:paraId="7F39A976" w14:textId="77777777" w:rsidR="00C3036D" w:rsidRPr="00FA3F9C" w:rsidRDefault="00C3036D" w:rsidP="006F623F">
            <w:pPr>
              <w:rPr>
                <w:rFonts w:ascii="Arial" w:hAnsi="Arial" w:cs="Arial"/>
                <w:sz w:val="24"/>
                <w:szCs w:val="24"/>
              </w:rPr>
            </w:pPr>
            <w:r w:rsidRPr="00FA3F9C">
              <w:rPr>
                <w:rFonts w:ascii="Arial" w:hAnsi="Arial" w:cs="Arial"/>
                <w:sz w:val="24"/>
                <w:szCs w:val="24"/>
              </w:rPr>
              <w:t>Pharmacist’s initials</w:t>
            </w:r>
          </w:p>
        </w:tc>
      </w:tr>
      <w:tr w:rsidR="00C3036D" w:rsidRPr="00FA3F9C" w14:paraId="69E05BD7" w14:textId="77777777" w:rsidTr="0011272F">
        <w:tc>
          <w:tcPr>
            <w:tcW w:w="985" w:type="dxa"/>
          </w:tcPr>
          <w:p w14:paraId="0F709158" w14:textId="77777777" w:rsidR="00C3036D" w:rsidRPr="00FA3F9C" w:rsidRDefault="00C3036D" w:rsidP="006F623F">
            <w:pPr>
              <w:rPr>
                <w:rFonts w:ascii="Arial" w:hAnsi="Arial" w:cs="Arial"/>
                <w:sz w:val="24"/>
                <w:szCs w:val="24"/>
              </w:rPr>
            </w:pPr>
            <w:r w:rsidRPr="00FA3F9C">
              <w:rPr>
                <w:rFonts w:ascii="Arial" w:hAnsi="Arial" w:cs="Arial"/>
                <w:sz w:val="24"/>
                <w:szCs w:val="24"/>
              </w:rPr>
              <w:t>8/27/15</w:t>
            </w:r>
          </w:p>
        </w:tc>
        <w:tc>
          <w:tcPr>
            <w:tcW w:w="8555" w:type="dxa"/>
          </w:tcPr>
          <w:p w14:paraId="6C848487" w14:textId="77777777" w:rsidR="00C3036D" w:rsidRPr="00FA3F9C" w:rsidRDefault="00C3036D" w:rsidP="006F623F">
            <w:pPr>
              <w:rPr>
                <w:rFonts w:ascii="Arial" w:hAnsi="Arial" w:cs="Arial"/>
                <w:sz w:val="24"/>
                <w:szCs w:val="24"/>
              </w:rPr>
            </w:pPr>
            <w:r w:rsidRPr="00FA3F9C">
              <w:rPr>
                <w:rFonts w:ascii="Arial" w:hAnsi="Arial" w:cs="Arial"/>
                <w:sz w:val="24"/>
                <w:szCs w:val="24"/>
              </w:rPr>
              <w:t>I wrote the criteria</w:t>
            </w:r>
          </w:p>
        </w:tc>
        <w:tc>
          <w:tcPr>
            <w:tcW w:w="1250" w:type="dxa"/>
          </w:tcPr>
          <w:p w14:paraId="32DD2BA6" w14:textId="77777777" w:rsidR="00C3036D" w:rsidRPr="00FA3F9C" w:rsidRDefault="00C3036D" w:rsidP="006F623F">
            <w:pPr>
              <w:rPr>
                <w:rFonts w:ascii="Arial" w:hAnsi="Arial" w:cs="Arial"/>
                <w:sz w:val="24"/>
                <w:szCs w:val="24"/>
              </w:rPr>
            </w:pPr>
            <w:r w:rsidRPr="00FA3F9C">
              <w:rPr>
                <w:rFonts w:ascii="Arial" w:hAnsi="Arial" w:cs="Arial"/>
                <w:sz w:val="24"/>
                <w:szCs w:val="24"/>
              </w:rPr>
              <w:t>JJ</w:t>
            </w:r>
          </w:p>
        </w:tc>
      </w:tr>
      <w:tr w:rsidR="00C3036D" w:rsidRPr="00FA3F9C" w14:paraId="72194230" w14:textId="77777777" w:rsidTr="0011272F">
        <w:tc>
          <w:tcPr>
            <w:tcW w:w="985" w:type="dxa"/>
          </w:tcPr>
          <w:p w14:paraId="5F302D75" w14:textId="77777777" w:rsidR="00C3036D" w:rsidRPr="00FA3F9C" w:rsidRDefault="00C3036D" w:rsidP="006F623F">
            <w:pPr>
              <w:rPr>
                <w:rFonts w:ascii="Arial" w:hAnsi="Arial" w:cs="Arial"/>
                <w:sz w:val="24"/>
                <w:szCs w:val="24"/>
              </w:rPr>
            </w:pPr>
            <w:r w:rsidRPr="00FA3F9C">
              <w:rPr>
                <w:rFonts w:ascii="Arial" w:hAnsi="Arial" w:cs="Arial"/>
                <w:sz w:val="24"/>
                <w:szCs w:val="24"/>
              </w:rPr>
              <w:t>10/14/15</w:t>
            </w:r>
          </w:p>
        </w:tc>
        <w:tc>
          <w:tcPr>
            <w:tcW w:w="8555" w:type="dxa"/>
          </w:tcPr>
          <w:p w14:paraId="564CBFFD" w14:textId="77777777" w:rsidR="00C3036D" w:rsidRPr="00FA3F9C" w:rsidRDefault="00C3036D" w:rsidP="006F623F">
            <w:pPr>
              <w:rPr>
                <w:rFonts w:ascii="Arial" w:hAnsi="Arial" w:cs="Arial"/>
                <w:sz w:val="24"/>
                <w:szCs w:val="24"/>
              </w:rPr>
            </w:pPr>
            <w:r w:rsidRPr="00FA3F9C">
              <w:rPr>
                <w:rFonts w:ascii="Arial" w:hAnsi="Arial" w:cs="Arial"/>
                <w:sz w:val="24"/>
                <w:szCs w:val="24"/>
              </w:rPr>
              <w:t xml:space="preserve">I deleted a criterium “must NOT have symptomatic hypotension”; assume provider would not seek this drug if </w:t>
            </w:r>
            <w:proofErr w:type="spellStart"/>
            <w:r w:rsidRPr="00FA3F9C">
              <w:rPr>
                <w:rFonts w:ascii="Arial" w:hAnsi="Arial" w:cs="Arial"/>
                <w:sz w:val="24"/>
                <w:szCs w:val="24"/>
              </w:rPr>
              <w:t>pt</w:t>
            </w:r>
            <w:proofErr w:type="spellEnd"/>
            <w:r w:rsidRPr="00FA3F9C">
              <w:rPr>
                <w:rFonts w:ascii="Arial" w:hAnsi="Arial" w:cs="Arial"/>
                <w:sz w:val="24"/>
                <w:szCs w:val="24"/>
              </w:rPr>
              <w:t xml:space="preserve"> is symptomatically hypotensive.</w:t>
            </w:r>
          </w:p>
        </w:tc>
        <w:tc>
          <w:tcPr>
            <w:tcW w:w="1250" w:type="dxa"/>
          </w:tcPr>
          <w:p w14:paraId="596E289F" w14:textId="77777777" w:rsidR="00C3036D" w:rsidRPr="00FA3F9C" w:rsidRDefault="00C3036D" w:rsidP="006F623F">
            <w:pPr>
              <w:rPr>
                <w:rFonts w:ascii="Arial" w:hAnsi="Arial" w:cs="Arial"/>
                <w:sz w:val="24"/>
                <w:szCs w:val="24"/>
              </w:rPr>
            </w:pPr>
            <w:r w:rsidRPr="00FA3F9C">
              <w:rPr>
                <w:rFonts w:ascii="Arial" w:hAnsi="Arial" w:cs="Arial"/>
                <w:sz w:val="24"/>
                <w:szCs w:val="24"/>
              </w:rPr>
              <w:t>JJ</w:t>
            </w:r>
          </w:p>
        </w:tc>
      </w:tr>
      <w:tr w:rsidR="00C3036D" w:rsidRPr="00FA3F9C" w14:paraId="11D43133" w14:textId="77777777" w:rsidTr="0011272F">
        <w:tc>
          <w:tcPr>
            <w:tcW w:w="985" w:type="dxa"/>
          </w:tcPr>
          <w:p w14:paraId="4E0D10E4" w14:textId="77777777" w:rsidR="00C3036D" w:rsidRPr="00FA3F9C" w:rsidRDefault="00C3036D" w:rsidP="006F623F">
            <w:pPr>
              <w:rPr>
                <w:rFonts w:ascii="Arial" w:hAnsi="Arial" w:cs="Arial"/>
                <w:sz w:val="24"/>
                <w:szCs w:val="24"/>
              </w:rPr>
            </w:pPr>
            <w:r w:rsidRPr="00FA3F9C">
              <w:rPr>
                <w:rFonts w:ascii="Arial" w:hAnsi="Arial" w:cs="Arial"/>
                <w:sz w:val="24"/>
                <w:szCs w:val="24"/>
              </w:rPr>
              <w:t>5/23/16</w:t>
            </w:r>
          </w:p>
        </w:tc>
        <w:tc>
          <w:tcPr>
            <w:tcW w:w="8555" w:type="dxa"/>
          </w:tcPr>
          <w:p w14:paraId="664DD291" w14:textId="77777777" w:rsidR="00C3036D" w:rsidRPr="00FA3F9C" w:rsidRDefault="00C3036D" w:rsidP="006F623F">
            <w:pPr>
              <w:rPr>
                <w:rFonts w:ascii="Arial" w:hAnsi="Arial" w:cs="Arial"/>
                <w:sz w:val="24"/>
                <w:szCs w:val="24"/>
              </w:rPr>
            </w:pPr>
            <w:r w:rsidRPr="00FA3F9C">
              <w:rPr>
                <w:rFonts w:ascii="Arial" w:hAnsi="Arial" w:cs="Arial"/>
                <w:sz w:val="24"/>
                <w:szCs w:val="24"/>
              </w:rPr>
              <w:t>I added criterium 6 with the requirement of an aldosterone antagonist as the 2016 ACC/AHA/HFSA Focused Update on HF recommends.</w:t>
            </w:r>
          </w:p>
        </w:tc>
        <w:tc>
          <w:tcPr>
            <w:tcW w:w="1250" w:type="dxa"/>
          </w:tcPr>
          <w:p w14:paraId="5293F96A" w14:textId="77777777" w:rsidR="00C3036D" w:rsidRPr="00FA3F9C" w:rsidRDefault="00C3036D" w:rsidP="006F623F">
            <w:pPr>
              <w:rPr>
                <w:rFonts w:ascii="Arial" w:hAnsi="Arial" w:cs="Arial"/>
                <w:sz w:val="24"/>
                <w:szCs w:val="24"/>
              </w:rPr>
            </w:pPr>
            <w:r w:rsidRPr="00FA3F9C">
              <w:rPr>
                <w:rFonts w:ascii="Arial" w:hAnsi="Arial" w:cs="Arial"/>
                <w:sz w:val="24"/>
                <w:szCs w:val="24"/>
              </w:rPr>
              <w:t>JJ</w:t>
            </w:r>
          </w:p>
        </w:tc>
      </w:tr>
      <w:tr w:rsidR="00C3036D" w:rsidRPr="00FA3F9C" w14:paraId="45BC7A96" w14:textId="77777777" w:rsidTr="0011272F">
        <w:tc>
          <w:tcPr>
            <w:tcW w:w="985" w:type="dxa"/>
          </w:tcPr>
          <w:p w14:paraId="14703544" w14:textId="77777777" w:rsidR="00C3036D" w:rsidRPr="00FA3F9C" w:rsidRDefault="00C3036D" w:rsidP="006F623F">
            <w:pPr>
              <w:rPr>
                <w:rFonts w:ascii="Arial" w:hAnsi="Arial" w:cs="Arial"/>
                <w:sz w:val="24"/>
                <w:szCs w:val="24"/>
              </w:rPr>
            </w:pPr>
            <w:r w:rsidRPr="00FA3F9C">
              <w:rPr>
                <w:rFonts w:ascii="Arial" w:hAnsi="Arial" w:cs="Arial"/>
                <w:sz w:val="24"/>
                <w:szCs w:val="24"/>
              </w:rPr>
              <w:t>12/19/17</w:t>
            </w:r>
          </w:p>
        </w:tc>
        <w:tc>
          <w:tcPr>
            <w:tcW w:w="8555" w:type="dxa"/>
          </w:tcPr>
          <w:p w14:paraId="2FB82CF9" w14:textId="77777777" w:rsidR="00C3036D" w:rsidRPr="00FA3F9C" w:rsidRDefault="00C3036D" w:rsidP="00FA58D3">
            <w:pPr>
              <w:rPr>
                <w:rFonts w:ascii="Arial" w:hAnsi="Arial" w:cs="Arial"/>
                <w:sz w:val="24"/>
                <w:szCs w:val="24"/>
              </w:rPr>
            </w:pPr>
            <w:r w:rsidRPr="00FA3F9C">
              <w:rPr>
                <w:rFonts w:ascii="Arial" w:hAnsi="Arial" w:cs="Arial"/>
                <w:sz w:val="24"/>
                <w:szCs w:val="24"/>
              </w:rPr>
              <w:t>Updated PA criteria to initiate Entresto upon discontinuation of ACE inhibitor 36 hours prior.</w:t>
            </w:r>
          </w:p>
          <w:p w14:paraId="47A219EF" w14:textId="77777777" w:rsidR="00C3036D" w:rsidRPr="00FA3F9C" w:rsidRDefault="00C3036D" w:rsidP="00DB798F">
            <w:pPr>
              <w:rPr>
                <w:rFonts w:ascii="Arial" w:hAnsi="Arial" w:cs="Arial"/>
                <w:sz w:val="24"/>
                <w:szCs w:val="24"/>
              </w:rPr>
            </w:pPr>
            <w:r w:rsidRPr="00FA3F9C">
              <w:rPr>
                <w:rFonts w:ascii="Arial" w:hAnsi="Arial" w:cs="Arial"/>
                <w:sz w:val="24"/>
                <w:szCs w:val="24"/>
              </w:rPr>
              <w:t xml:space="preserve">Utilization of spironolactone is no longer a REQUIREMENT for Entresto approval. It is now a highly encouraged recommendation. Call center pharmacists, please ask providers if their patient is on spironolactone. If their patient is not on spironolactone, please make them justify why their patient with </w:t>
            </w:r>
            <w:proofErr w:type="spellStart"/>
            <w:r w:rsidRPr="00FA3F9C">
              <w:rPr>
                <w:rFonts w:ascii="Arial" w:hAnsi="Arial" w:cs="Arial"/>
                <w:sz w:val="24"/>
                <w:szCs w:val="24"/>
              </w:rPr>
              <w:t>HFrEF</w:t>
            </w:r>
            <w:proofErr w:type="spellEnd"/>
            <w:r w:rsidRPr="00FA3F9C">
              <w:rPr>
                <w:rFonts w:ascii="Arial" w:hAnsi="Arial" w:cs="Arial"/>
                <w:sz w:val="24"/>
                <w:szCs w:val="24"/>
              </w:rPr>
              <w:t xml:space="preserve"> (LVEF </w:t>
            </w:r>
            <w:r w:rsidRPr="00FA3F9C">
              <w:rPr>
                <w:rFonts w:ascii="Arial" w:hAnsi="Arial" w:cs="Arial"/>
                <w:sz w:val="24"/>
                <w:szCs w:val="24"/>
                <w:u w:val="single"/>
              </w:rPr>
              <w:t xml:space="preserve">&lt; </w:t>
            </w:r>
            <w:r w:rsidRPr="00FA3F9C">
              <w:rPr>
                <w:rFonts w:ascii="Arial" w:hAnsi="Arial" w:cs="Arial"/>
                <w:sz w:val="24"/>
                <w:szCs w:val="24"/>
              </w:rPr>
              <w:t>35%) is not on spironolactone if they meet the criteria above.</w:t>
            </w:r>
          </w:p>
        </w:tc>
        <w:tc>
          <w:tcPr>
            <w:tcW w:w="1250" w:type="dxa"/>
          </w:tcPr>
          <w:p w14:paraId="30C9B89F" w14:textId="741C08CF" w:rsidR="00C3036D" w:rsidRPr="00FA3F9C" w:rsidRDefault="005C142D" w:rsidP="006F623F">
            <w:pPr>
              <w:rPr>
                <w:rFonts w:ascii="Arial" w:hAnsi="Arial" w:cs="Arial"/>
                <w:sz w:val="24"/>
                <w:szCs w:val="24"/>
              </w:rPr>
            </w:pPr>
            <w:r w:rsidRPr="00FA3F9C">
              <w:rPr>
                <w:rFonts w:ascii="Arial" w:hAnsi="Arial" w:cs="Arial"/>
                <w:sz w:val="24"/>
                <w:szCs w:val="24"/>
              </w:rPr>
              <w:t>JK</w:t>
            </w:r>
          </w:p>
        </w:tc>
      </w:tr>
      <w:tr w:rsidR="00C3036D" w:rsidRPr="00FA3F9C" w14:paraId="0AE2AC30" w14:textId="77777777" w:rsidTr="0011272F">
        <w:tc>
          <w:tcPr>
            <w:tcW w:w="985" w:type="dxa"/>
          </w:tcPr>
          <w:p w14:paraId="6AB7A9A0" w14:textId="77777777" w:rsidR="00C3036D" w:rsidRPr="00FA3F9C" w:rsidRDefault="00C3036D" w:rsidP="006F623F">
            <w:pPr>
              <w:rPr>
                <w:rFonts w:ascii="Arial" w:hAnsi="Arial" w:cs="Arial"/>
                <w:sz w:val="24"/>
                <w:szCs w:val="24"/>
              </w:rPr>
            </w:pPr>
            <w:r w:rsidRPr="00FA3F9C">
              <w:rPr>
                <w:rFonts w:ascii="Arial" w:hAnsi="Arial" w:cs="Arial"/>
                <w:sz w:val="24"/>
                <w:szCs w:val="24"/>
              </w:rPr>
              <w:t>10/27/20</w:t>
            </w:r>
          </w:p>
        </w:tc>
        <w:tc>
          <w:tcPr>
            <w:tcW w:w="8555" w:type="dxa"/>
          </w:tcPr>
          <w:p w14:paraId="22F356DD" w14:textId="77777777" w:rsidR="00C3036D" w:rsidRPr="00FA3F9C" w:rsidRDefault="00C3036D" w:rsidP="00FA58D3">
            <w:pPr>
              <w:rPr>
                <w:rFonts w:ascii="Arial" w:hAnsi="Arial" w:cs="Arial"/>
                <w:sz w:val="24"/>
                <w:szCs w:val="24"/>
              </w:rPr>
            </w:pPr>
            <w:r w:rsidRPr="00FA3F9C">
              <w:rPr>
                <w:rFonts w:ascii="Arial" w:hAnsi="Arial" w:cs="Arial"/>
                <w:sz w:val="24"/>
                <w:szCs w:val="24"/>
              </w:rPr>
              <w:t>I added the pediatric indication.  I also reviewed the criteria.  No changes.</w:t>
            </w:r>
          </w:p>
        </w:tc>
        <w:tc>
          <w:tcPr>
            <w:tcW w:w="1250" w:type="dxa"/>
          </w:tcPr>
          <w:p w14:paraId="6C5819CD" w14:textId="77777777" w:rsidR="00C3036D" w:rsidRPr="00FA3F9C" w:rsidRDefault="00C3036D" w:rsidP="006F623F">
            <w:pPr>
              <w:rPr>
                <w:rFonts w:ascii="Arial" w:hAnsi="Arial" w:cs="Arial"/>
                <w:sz w:val="24"/>
                <w:szCs w:val="24"/>
              </w:rPr>
            </w:pPr>
            <w:r w:rsidRPr="00FA3F9C">
              <w:rPr>
                <w:rFonts w:ascii="Arial" w:hAnsi="Arial" w:cs="Arial"/>
                <w:sz w:val="24"/>
                <w:szCs w:val="24"/>
              </w:rPr>
              <w:t>JJ</w:t>
            </w:r>
          </w:p>
        </w:tc>
      </w:tr>
      <w:tr w:rsidR="00C3036D" w:rsidRPr="00FA3F9C" w14:paraId="7586C5FE" w14:textId="77777777" w:rsidTr="0011272F">
        <w:tc>
          <w:tcPr>
            <w:tcW w:w="985" w:type="dxa"/>
          </w:tcPr>
          <w:p w14:paraId="34F45154" w14:textId="77777777" w:rsidR="00C3036D" w:rsidRPr="00FA3F9C" w:rsidRDefault="00C3036D" w:rsidP="006F623F">
            <w:pPr>
              <w:rPr>
                <w:rFonts w:ascii="Arial" w:hAnsi="Arial" w:cs="Arial"/>
                <w:sz w:val="24"/>
                <w:szCs w:val="24"/>
              </w:rPr>
            </w:pPr>
            <w:r w:rsidRPr="00FA3F9C">
              <w:rPr>
                <w:rFonts w:ascii="Arial" w:hAnsi="Arial" w:cs="Arial"/>
                <w:sz w:val="24"/>
                <w:szCs w:val="24"/>
              </w:rPr>
              <w:t>3/9/21</w:t>
            </w:r>
          </w:p>
        </w:tc>
        <w:tc>
          <w:tcPr>
            <w:tcW w:w="8555" w:type="dxa"/>
          </w:tcPr>
          <w:p w14:paraId="1BE0DD95" w14:textId="77777777" w:rsidR="00C3036D" w:rsidRPr="00FA3F9C" w:rsidRDefault="00C3036D" w:rsidP="00FA58D3">
            <w:pPr>
              <w:rPr>
                <w:rFonts w:ascii="Arial" w:hAnsi="Arial" w:cs="Arial"/>
                <w:sz w:val="24"/>
                <w:szCs w:val="24"/>
              </w:rPr>
            </w:pPr>
            <w:r w:rsidRPr="00FA3F9C">
              <w:rPr>
                <w:rFonts w:ascii="Arial" w:hAnsi="Arial" w:cs="Arial"/>
                <w:sz w:val="24"/>
                <w:szCs w:val="24"/>
              </w:rPr>
              <w:t>Reference 3 added.</w:t>
            </w:r>
          </w:p>
        </w:tc>
        <w:tc>
          <w:tcPr>
            <w:tcW w:w="1250" w:type="dxa"/>
          </w:tcPr>
          <w:p w14:paraId="1CA15D58" w14:textId="77777777" w:rsidR="00C3036D" w:rsidRPr="00FA3F9C" w:rsidRDefault="00C3036D" w:rsidP="006F623F">
            <w:pPr>
              <w:rPr>
                <w:rFonts w:ascii="Arial" w:hAnsi="Arial" w:cs="Arial"/>
                <w:sz w:val="24"/>
                <w:szCs w:val="24"/>
              </w:rPr>
            </w:pPr>
            <w:r w:rsidRPr="00FA3F9C">
              <w:rPr>
                <w:rFonts w:ascii="Arial" w:hAnsi="Arial" w:cs="Arial"/>
                <w:sz w:val="24"/>
                <w:szCs w:val="24"/>
              </w:rPr>
              <w:t>JJ</w:t>
            </w:r>
          </w:p>
        </w:tc>
      </w:tr>
      <w:tr w:rsidR="00C3036D" w:rsidRPr="00FA3F9C" w14:paraId="7C6E407C" w14:textId="77777777" w:rsidTr="0011272F">
        <w:tc>
          <w:tcPr>
            <w:tcW w:w="985" w:type="dxa"/>
          </w:tcPr>
          <w:p w14:paraId="4E6696FC" w14:textId="77777777" w:rsidR="00C3036D" w:rsidRPr="00FA3F9C" w:rsidRDefault="00C3036D" w:rsidP="006F623F">
            <w:pPr>
              <w:rPr>
                <w:rFonts w:ascii="Arial" w:hAnsi="Arial" w:cs="Arial"/>
                <w:sz w:val="24"/>
                <w:szCs w:val="24"/>
              </w:rPr>
            </w:pPr>
            <w:r w:rsidRPr="00FA3F9C">
              <w:rPr>
                <w:rFonts w:ascii="Arial" w:hAnsi="Arial" w:cs="Arial"/>
                <w:sz w:val="24"/>
                <w:szCs w:val="24"/>
              </w:rPr>
              <w:t>10/8/21</w:t>
            </w:r>
          </w:p>
        </w:tc>
        <w:tc>
          <w:tcPr>
            <w:tcW w:w="8555" w:type="dxa"/>
          </w:tcPr>
          <w:p w14:paraId="50BB292C" w14:textId="77777777" w:rsidR="00C3036D" w:rsidRPr="00FA3F9C" w:rsidRDefault="00C3036D" w:rsidP="00FA58D3">
            <w:pPr>
              <w:rPr>
                <w:rFonts w:ascii="Arial" w:hAnsi="Arial" w:cs="Arial"/>
                <w:sz w:val="24"/>
                <w:szCs w:val="24"/>
              </w:rPr>
            </w:pPr>
            <w:r w:rsidRPr="00FA3F9C">
              <w:rPr>
                <w:rFonts w:ascii="Arial" w:hAnsi="Arial" w:cs="Arial"/>
                <w:sz w:val="24"/>
                <w:szCs w:val="24"/>
              </w:rPr>
              <w:t>I changed the EF requirement from &lt;35% to &lt;40% per the ACC 2021 guidelines.</w:t>
            </w:r>
          </w:p>
        </w:tc>
        <w:tc>
          <w:tcPr>
            <w:tcW w:w="1250" w:type="dxa"/>
          </w:tcPr>
          <w:p w14:paraId="37275ED7" w14:textId="77777777" w:rsidR="00C3036D" w:rsidRPr="00FA3F9C" w:rsidRDefault="00C3036D" w:rsidP="006F623F">
            <w:pPr>
              <w:rPr>
                <w:rFonts w:ascii="Arial" w:hAnsi="Arial" w:cs="Arial"/>
                <w:sz w:val="24"/>
                <w:szCs w:val="24"/>
              </w:rPr>
            </w:pPr>
            <w:r w:rsidRPr="00FA3F9C">
              <w:rPr>
                <w:rFonts w:ascii="Arial" w:hAnsi="Arial" w:cs="Arial"/>
                <w:sz w:val="24"/>
                <w:szCs w:val="24"/>
              </w:rPr>
              <w:t>JJ</w:t>
            </w:r>
          </w:p>
        </w:tc>
      </w:tr>
      <w:tr w:rsidR="00C3036D" w:rsidRPr="00FA3F9C" w14:paraId="29B2417C" w14:textId="77777777" w:rsidTr="0011272F">
        <w:tc>
          <w:tcPr>
            <w:tcW w:w="985" w:type="dxa"/>
          </w:tcPr>
          <w:p w14:paraId="2CACC1D8" w14:textId="77777777" w:rsidR="00C3036D" w:rsidRPr="00FA3F9C" w:rsidRDefault="00C3036D" w:rsidP="006F623F">
            <w:pPr>
              <w:rPr>
                <w:rFonts w:ascii="Arial" w:hAnsi="Arial" w:cs="Arial"/>
                <w:sz w:val="24"/>
                <w:szCs w:val="24"/>
              </w:rPr>
            </w:pPr>
            <w:r w:rsidRPr="00FA3F9C">
              <w:rPr>
                <w:rFonts w:ascii="Arial" w:hAnsi="Arial" w:cs="Arial"/>
                <w:sz w:val="24"/>
                <w:szCs w:val="24"/>
              </w:rPr>
              <w:t>4/14/22</w:t>
            </w:r>
          </w:p>
        </w:tc>
        <w:tc>
          <w:tcPr>
            <w:tcW w:w="8555" w:type="dxa"/>
          </w:tcPr>
          <w:p w14:paraId="7A954B6A" w14:textId="77777777" w:rsidR="00C3036D" w:rsidRPr="00FA3F9C" w:rsidRDefault="00C3036D" w:rsidP="00FA58D3">
            <w:pPr>
              <w:rPr>
                <w:rFonts w:ascii="Arial" w:hAnsi="Arial" w:cs="Arial"/>
                <w:sz w:val="24"/>
                <w:szCs w:val="24"/>
              </w:rPr>
            </w:pPr>
            <w:r w:rsidRPr="00FA3F9C">
              <w:rPr>
                <w:rFonts w:ascii="Arial" w:hAnsi="Arial" w:cs="Arial"/>
                <w:sz w:val="24"/>
                <w:szCs w:val="24"/>
              </w:rPr>
              <w:t xml:space="preserve">I replaced the word “reduced” to “below normal” for the first bullet in the indication.  PARAGON-HF failed to find a statistical difference between groups.  Hierarchical analysis would have been done if a difference </w:t>
            </w:r>
            <w:proofErr w:type="gramStart"/>
            <w:r w:rsidRPr="00FA3F9C">
              <w:rPr>
                <w:rFonts w:ascii="Arial" w:hAnsi="Arial" w:cs="Arial"/>
                <w:sz w:val="24"/>
                <w:szCs w:val="24"/>
              </w:rPr>
              <w:t>was</w:t>
            </w:r>
            <w:proofErr w:type="gramEnd"/>
            <w:r w:rsidRPr="00FA3F9C">
              <w:rPr>
                <w:rFonts w:ascii="Arial" w:hAnsi="Arial" w:cs="Arial"/>
                <w:sz w:val="24"/>
                <w:szCs w:val="24"/>
              </w:rPr>
              <w:t xml:space="preserve"> found in the primary endpoint.  Investigator-reported primary endpoint was </w:t>
            </w:r>
            <w:proofErr w:type="gramStart"/>
            <w:r w:rsidRPr="00FA3F9C">
              <w:rPr>
                <w:rFonts w:ascii="Arial" w:hAnsi="Arial" w:cs="Arial"/>
                <w:sz w:val="24"/>
                <w:szCs w:val="24"/>
              </w:rPr>
              <w:lastRenderedPageBreak/>
              <w:t>significant,</w:t>
            </w:r>
            <w:proofErr w:type="gramEnd"/>
            <w:r w:rsidRPr="00FA3F9C">
              <w:rPr>
                <w:rFonts w:ascii="Arial" w:hAnsi="Arial" w:cs="Arial"/>
                <w:sz w:val="24"/>
                <w:szCs w:val="24"/>
              </w:rPr>
              <w:t xml:space="preserve"> however, the trial was single-blinded.  Added the PARAGON-HF reference.</w:t>
            </w:r>
          </w:p>
        </w:tc>
        <w:tc>
          <w:tcPr>
            <w:tcW w:w="1250" w:type="dxa"/>
          </w:tcPr>
          <w:p w14:paraId="4C7B1A71" w14:textId="77777777" w:rsidR="00C3036D" w:rsidRPr="00FA3F9C" w:rsidRDefault="00C3036D" w:rsidP="006F623F">
            <w:pPr>
              <w:rPr>
                <w:rFonts w:ascii="Arial" w:hAnsi="Arial" w:cs="Arial"/>
                <w:sz w:val="24"/>
                <w:szCs w:val="24"/>
              </w:rPr>
            </w:pPr>
            <w:r w:rsidRPr="00FA3F9C">
              <w:rPr>
                <w:rFonts w:ascii="Arial" w:hAnsi="Arial" w:cs="Arial"/>
                <w:sz w:val="24"/>
                <w:szCs w:val="24"/>
              </w:rPr>
              <w:lastRenderedPageBreak/>
              <w:t>JJ</w:t>
            </w:r>
          </w:p>
        </w:tc>
      </w:tr>
    </w:tbl>
    <w:p w14:paraId="3687031F" w14:textId="77777777" w:rsidR="00C3036D" w:rsidRPr="00FA3F9C" w:rsidRDefault="00C3036D" w:rsidP="007F4188">
      <w:pPr>
        <w:spacing w:after="0" w:line="240" w:lineRule="auto"/>
        <w:rPr>
          <w:rFonts w:ascii="Arial" w:hAnsi="Arial" w:cs="Arial"/>
          <w:sz w:val="24"/>
          <w:szCs w:val="24"/>
        </w:rPr>
      </w:pPr>
      <w:r w:rsidRPr="00FA3F9C">
        <w:rPr>
          <w:rFonts w:ascii="Arial" w:hAnsi="Arial" w:cs="Arial"/>
          <w:sz w:val="24"/>
          <w:szCs w:val="24"/>
        </w:rPr>
        <w:t>References:</w:t>
      </w:r>
    </w:p>
    <w:p w14:paraId="748F8444" w14:textId="77777777" w:rsidR="00C3036D" w:rsidRPr="00FA3F9C" w:rsidRDefault="00C3036D" w:rsidP="007F4188">
      <w:pPr>
        <w:spacing w:after="0" w:line="240" w:lineRule="auto"/>
        <w:rPr>
          <w:rFonts w:ascii="Arial" w:hAnsi="Arial" w:cs="Arial"/>
          <w:sz w:val="24"/>
          <w:szCs w:val="24"/>
        </w:rPr>
      </w:pPr>
      <w:r w:rsidRPr="00FA3F9C">
        <w:rPr>
          <w:rFonts w:ascii="Arial" w:hAnsi="Arial" w:cs="Arial"/>
          <w:sz w:val="24"/>
          <w:szCs w:val="24"/>
        </w:rPr>
        <w:t>1.  McMurray JJV, et al. Angiotensin-</w:t>
      </w:r>
      <w:proofErr w:type="spellStart"/>
      <w:r w:rsidRPr="00FA3F9C">
        <w:rPr>
          <w:rFonts w:ascii="Arial" w:hAnsi="Arial" w:cs="Arial"/>
          <w:sz w:val="24"/>
          <w:szCs w:val="24"/>
        </w:rPr>
        <w:t>neprilysin</w:t>
      </w:r>
      <w:proofErr w:type="spellEnd"/>
      <w:r w:rsidRPr="00FA3F9C">
        <w:rPr>
          <w:rFonts w:ascii="Arial" w:hAnsi="Arial" w:cs="Arial"/>
          <w:sz w:val="24"/>
          <w:szCs w:val="24"/>
        </w:rPr>
        <w:t xml:space="preserve"> inhibition versus enalapril in heart failure. </w:t>
      </w:r>
      <w:r w:rsidRPr="00FA3F9C">
        <w:rPr>
          <w:rFonts w:ascii="Arial" w:hAnsi="Arial" w:cs="Arial"/>
          <w:i/>
          <w:sz w:val="24"/>
          <w:szCs w:val="24"/>
        </w:rPr>
        <w:t xml:space="preserve">N </w:t>
      </w:r>
      <w:proofErr w:type="spellStart"/>
      <w:r w:rsidRPr="00FA3F9C">
        <w:rPr>
          <w:rFonts w:ascii="Arial" w:hAnsi="Arial" w:cs="Arial"/>
          <w:i/>
          <w:sz w:val="24"/>
          <w:szCs w:val="24"/>
        </w:rPr>
        <w:t>Engl</w:t>
      </w:r>
      <w:proofErr w:type="spellEnd"/>
      <w:r w:rsidRPr="00FA3F9C">
        <w:rPr>
          <w:rFonts w:ascii="Arial" w:hAnsi="Arial" w:cs="Arial"/>
          <w:i/>
          <w:sz w:val="24"/>
          <w:szCs w:val="24"/>
        </w:rPr>
        <w:t xml:space="preserve"> J Med</w:t>
      </w:r>
      <w:r w:rsidRPr="00FA3F9C">
        <w:rPr>
          <w:rFonts w:ascii="Arial" w:hAnsi="Arial" w:cs="Arial"/>
          <w:sz w:val="24"/>
          <w:szCs w:val="24"/>
        </w:rPr>
        <w:t>. 2014; 371(11): 993-1004.</w:t>
      </w:r>
    </w:p>
    <w:p w14:paraId="40D213E6" w14:textId="77777777" w:rsidR="00C3036D" w:rsidRPr="00FA3F9C" w:rsidRDefault="00C3036D" w:rsidP="007F4188">
      <w:pPr>
        <w:spacing w:after="0" w:line="240" w:lineRule="auto"/>
        <w:rPr>
          <w:rFonts w:ascii="Arial" w:hAnsi="Arial" w:cs="Arial"/>
          <w:sz w:val="24"/>
          <w:szCs w:val="24"/>
        </w:rPr>
      </w:pPr>
      <w:r w:rsidRPr="00FA3F9C">
        <w:rPr>
          <w:rFonts w:ascii="Arial" w:hAnsi="Arial" w:cs="Arial"/>
          <w:sz w:val="24"/>
          <w:szCs w:val="24"/>
        </w:rPr>
        <w:t xml:space="preserve">2.  ACC/AHA/HFSA Focused Update.  </w:t>
      </w:r>
      <w:hyperlink r:id="rId368" w:history="1">
        <w:r w:rsidRPr="00FA3F9C">
          <w:rPr>
            <w:rStyle w:val="Hyperlink"/>
            <w:rFonts w:ascii="Arial" w:hAnsi="Arial" w:cs="Arial"/>
            <w:sz w:val="24"/>
            <w:szCs w:val="24"/>
          </w:rPr>
          <w:t>http://www.acc.org/latest-in-cardiology/ten-points-to-remember/2016/05/18/16/26/2016-acc-aha-hfsa-focused-update-on-new-pharmacological-therapy-for-hf</w:t>
        </w:r>
      </w:hyperlink>
      <w:r w:rsidRPr="00FA3F9C">
        <w:rPr>
          <w:rFonts w:ascii="Arial" w:hAnsi="Arial" w:cs="Arial"/>
          <w:sz w:val="24"/>
          <w:szCs w:val="24"/>
        </w:rPr>
        <w:t xml:space="preserve">  Accessed 5/23/16.</w:t>
      </w:r>
    </w:p>
    <w:p w14:paraId="5652274F" w14:textId="77777777" w:rsidR="00C3036D" w:rsidRPr="00FA3F9C" w:rsidRDefault="00C3036D" w:rsidP="007F4188">
      <w:pPr>
        <w:spacing w:after="0" w:line="240" w:lineRule="auto"/>
        <w:rPr>
          <w:rFonts w:ascii="Arial" w:eastAsia="Times New Roman" w:hAnsi="Arial" w:cs="Arial"/>
          <w:color w:val="222222"/>
          <w:sz w:val="24"/>
          <w:szCs w:val="24"/>
          <w:shd w:val="clear" w:color="auto" w:fill="FFFFFF"/>
        </w:rPr>
      </w:pPr>
      <w:r w:rsidRPr="00FA3F9C">
        <w:rPr>
          <w:rFonts w:ascii="Arial" w:hAnsi="Arial" w:cs="Arial"/>
          <w:sz w:val="24"/>
          <w:szCs w:val="24"/>
          <w:lang w:val="fr-FR"/>
        </w:rPr>
        <w:t xml:space="preserve">3. </w:t>
      </w:r>
      <w:r w:rsidRPr="00FA3F9C">
        <w:rPr>
          <w:rFonts w:ascii="Arial" w:eastAsia="Times New Roman" w:hAnsi="Arial" w:cs="Arial"/>
          <w:color w:val="222222"/>
          <w:sz w:val="24"/>
          <w:szCs w:val="24"/>
          <w:shd w:val="clear" w:color="auto" w:fill="FFFFFF"/>
          <w:lang w:val="fr-FR"/>
        </w:rPr>
        <w:t xml:space="preserve">Maddox, Thomas M., et al. </w:t>
      </w:r>
      <w:r w:rsidRPr="00FA3F9C">
        <w:rPr>
          <w:rFonts w:ascii="Arial" w:eastAsia="Times New Roman" w:hAnsi="Arial" w:cs="Arial"/>
          <w:color w:val="222222"/>
          <w:sz w:val="24"/>
          <w:szCs w:val="24"/>
          <w:shd w:val="clear" w:color="auto" w:fill="FFFFFF"/>
        </w:rPr>
        <w:t xml:space="preserve">"2021 Update to the 2017 ACC Expert Consensus Decision Pathway for Optimization of Heart Failure Treatment: Answers to 10 Pivotal Issues About Heart Failure </w:t>
      </w:r>
      <w:proofErr w:type="gramStart"/>
      <w:r w:rsidRPr="00FA3F9C">
        <w:rPr>
          <w:rFonts w:ascii="Arial" w:eastAsia="Times New Roman" w:hAnsi="Arial" w:cs="Arial"/>
          <w:color w:val="222222"/>
          <w:sz w:val="24"/>
          <w:szCs w:val="24"/>
          <w:shd w:val="clear" w:color="auto" w:fill="FFFFFF"/>
        </w:rPr>
        <w:t>With</w:t>
      </w:r>
      <w:proofErr w:type="gramEnd"/>
      <w:r w:rsidRPr="00FA3F9C">
        <w:rPr>
          <w:rFonts w:ascii="Arial" w:eastAsia="Times New Roman" w:hAnsi="Arial" w:cs="Arial"/>
          <w:color w:val="222222"/>
          <w:sz w:val="24"/>
          <w:szCs w:val="24"/>
          <w:shd w:val="clear" w:color="auto" w:fill="FFFFFF"/>
        </w:rPr>
        <w:t xml:space="preserve"> Reduced Ejection Fraction: A Report of the American College of Cardiology Solution Set Oversight Committee." </w:t>
      </w:r>
      <w:r w:rsidRPr="00FA3F9C">
        <w:rPr>
          <w:rFonts w:ascii="Arial" w:eastAsia="Times New Roman" w:hAnsi="Arial" w:cs="Arial"/>
          <w:i/>
          <w:iCs/>
          <w:color w:val="222222"/>
          <w:sz w:val="24"/>
          <w:szCs w:val="24"/>
          <w:shd w:val="clear" w:color="auto" w:fill="FFFFFF"/>
        </w:rPr>
        <w:t>Journal of the American College of Cardiology</w:t>
      </w:r>
      <w:r w:rsidRPr="00FA3F9C">
        <w:rPr>
          <w:rFonts w:ascii="Arial" w:eastAsia="Times New Roman" w:hAnsi="Arial" w:cs="Arial"/>
          <w:color w:val="222222"/>
          <w:sz w:val="24"/>
          <w:szCs w:val="24"/>
          <w:shd w:val="clear" w:color="auto" w:fill="FFFFFF"/>
        </w:rPr>
        <w:t> 77.6 (2021): 772-810.</w:t>
      </w:r>
    </w:p>
    <w:p w14:paraId="28BAE9DA" w14:textId="77777777" w:rsidR="00C3036D" w:rsidRPr="00FA3F9C" w:rsidRDefault="00C3036D" w:rsidP="007F4188">
      <w:pPr>
        <w:spacing w:after="0" w:line="240" w:lineRule="auto"/>
        <w:rPr>
          <w:rFonts w:ascii="Arial" w:eastAsia="Times New Roman" w:hAnsi="Arial" w:cs="Arial"/>
          <w:color w:val="222222"/>
          <w:sz w:val="24"/>
          <w:szCs w:val="24"/>
          <w:shd w:val="clear" w:color="auto" w:fill="FFFFFF"/>
        </w:rPr>
      </w:pPr>
      <w:r w:rsidRPr="00FA3F9C">
        <w:rPr>
          <w:rFonts w:ascii="Arial" w:eastAsia="Times New Roman" w:hAnsi="Arial" w:cs="Arial"/>
          <w:color w:val="222222"/>
          <w:sz w:val="24"/>
          <w:szCs w:val="24"/>
          <w:shd w:val="clear" w:color="auto" w:fill="FFFFFF"/>
        </w:rPr>
        <w:t>4. Entresto PI.  Accessed 4/14/22.</w:t>
      </w:r>
    </w:p>
    <w:p w14:paraId="25AA161B" w14:textId="77777777" w:rsidR="00C3036D" w:rsidRPr="00FA3F9C" w:rsidRDefault="00C3036D" w:rsidP="007F4188">
      <w:pPr>
        <w:spacing w:after="0" w:line="240" w:lineRule="auto"/>
        <w:rPr>
          <w:rFonts w:ascii="Arial" w:eastAsia="Times New Roman" w:hAnsi="Arial" w:cs="Arial"/>
          <w:sz w:val="24"/>
          <w:szCs w:val="24"/>
        </w:rPr>
      </w:pPr>
      <w:r w:rsidRPr="00FA3F9C">
        <w:rPr>
          <w:rFonts w:ascii="Arial" w:eastAsia="Times New Roman" w:hAnsi="Arial" w:cs="Arial"/>
          <w:color w:val="222222"/>
          <w:sz w:val="24"/>
          <w:szCs w:val="24"/>
          <w:shd w:val="clear" w:color="auto" w:fill="FFFFFF"/>
          <w:lang w:val="fr-FR"/>
        </w:rPr>
        <w:t xml:space="preserve">5. Solomon, Scott D., et al. </w:t>
      </w:r>
      <w:r w:rsidRPr="00FA3F9C">
        <w:rPr>
          <w:rFonts w:ascii="Arial" w:eastAsia="Times New Roman" w:hAnsi="Arial" w:cs="Arial"/>
          <w:color w:val="222222"/>
          <w:sz w:val="24"/>
          <w:szCs w:val="24"/>
          <w:shd w:val="clear" w:color="auto" w:fill="FFFFFF"/>
        </w:rPr>
        <w:t>"Angiotensin–</w:t>
      </w:r>
      <w:proofErr w:type="spellStart"/>
      <w:r w:rsidRPr="00FA3F9C">
        <w:rPr>
          <w:rFonts w:ascii="Arial" w:eastAsia="Times New Roman" w:hAnsi="Arial" w:cs="Arial"/>
          <w:color w:val="222222"/>
          <w:sz w:val="24"/>
          <w:szCs w:val="24"/>
          <w:shd w:val="clear" w:color="auto" w:fill="FFFFFF"/>
        </w:rPr>
        <w:t>neprilysin</w:t>
      </w:r>
      <w:proofErr w:type="spellEnd"/>
      <w:r w:rsidRPr="00FA3F9C">
        <w:rPr>
          <w:rFonts w:ascii="Arial" w:eastAsia="Times New Roman" w:hAnsi="Arial" w:cs="Arial"/>
          <w:color w:val="222222"/>
          <w:sz w:val="24"/>
          <w:szCs w:val="24"/>
          <w:shd w:val="clear" w:color="auto" w:fill="FFFFFF"/>
        </w:rPr>
        <w:t xml:space="preserve"> inhibition in heart failure with preserved ejection fraction." </w:t>
      </w:r>
      <w:r w:rsidRPr="00FA3F9C">
        <w:rPr>
          <w:rFonts w:ascii="Arial" w:eastAsia="Times New Roman" w:hAnsi="Arial" w:cs="Arial"/>
          <w:i/>
          <w:iCs/>
          <w:color w:val="222222"/>
          <w:sz w:val="24"/>
          <w:szCs w:val="24"/>
          <w:shd w:val="clear" w:color="auto" w:fill="FFFFFF"/>
        </w:rPr>
        <w:t>New England Journal of Medicine</w:t>
      </w:r>
      <w:r w:rsidRPr="00FA3F9C">
        <w:rPr>
          <w:rFonts w:ascii="Arial" w:eastAsia="Times New Roman" w:hAnsi="Arial" w:cs="Arial"/>
          <w:color w:val="222222"/>
          <w:sz w:val="24"/>
          <w:szCs w:val="24"/>
          <w:shd w:val="clear" w:color="auto" w:fill="FFFFFF"/>
        </w:rPr>
        <w:t> 381.17 (2019): 1609-1620.</w:t>
      </w:r>
    </w:p>
    <w:p w14:paraId="091ECF59" w14:textId="77777777" w:rsidR="00C3036D" w:rsidRPr="00FA3F9C" w:rsidRDefault="00C3036D" w:rsidP="007F4188">
      <w:pPr>
        <w:spacing w:after="0" w:line="240" w:lineRule="auto"/>
        <w:rPr>
          <w:rFonts w:ascii="Arial" w:eastAsia="Times New Roman" w:hAnsi="Arial" w:cs="Arial"/>
          <w:sz w:val="24"/>
          <w:szCs w:val="24"/>
        </w:rPr>
      </w:pPr>
    </w:p>
    <w:p w14:paraId="7CFBA1E8" w14:textId="77777777" w:rsidR="0078218F" w:rsidRPr="0078218F" w:rsidRDefault="00C3036D" w:rsidP="0078218F">
      <w:pPr>
        <w:pStyle w:val="Heading2"/>
      </w:pPr>
      <w:bookmarkStart w:id="297" w:name="_Toc106369921"/>
      <w:proofErr w:type="spellStart"/>
      <w:r w:rsidRPr="0078218F">
        <w:rPr>
          <w:rStyle w:val="Heading2Char"/>
          <w:b/>
        </w:rPr>
        <w:t>Sapropterin</w:t>
      </w:r>
      <w:proofErr w:type="spellEnd"/>
      <w:r w:rsidRPr="0078218F">
        <w:rPr>
          <w:rStyle w:val="Heading2Char"/>
          <w:b/>
        </w:rPr>
        <w:t xml:space="preserve"> (Kuvan</w:t>
      </w:r>
      <w:r w:rsidRPr="0078218F">
        <w:t>)</w:t>
      </w:r>
      <w:bookmarkEnd w:id="297"/>
      <w:r w:rsidRPr="0078218F">
        <w:t xml:space="preserve"> </w:t>
      </w:r>
    </w:p>
    <w:p w14:paraId="33AA977B" w14:textId="3E37C7E0" w:rsidR="00C3036D" w:rsidRPr="00FA3F9C" w:rsidRDefault="00C3036D" w:rsidP="006F623F">
      <w:pPr>
        <w:spacing w:after="0"/>
        <w:jc w:val="center"/>
        <w:rPr>
          <w:rFonts w:ascii="Arial" w:hAnsi="Arial" w:cs="Arial"/>
          <w:sz w:val="24"/>
          <w:szCs w:val="24"/>
        </w:rPr>
      </w:pPr>
      <w:r w:rsidRPr="00FA3F9C">
        <w:rPr>
          <w:rFonts w:ascii="Arial" w:hAnsi="Arial" w:cs="Arial"/>
          <w:sz w:val="24"/>
          <w:szCs w:val="24"/>
        </w:rPr>
        <w:t>100mg tablet &amp; 100mg Powder Packet</w:t>
      </w:r>
    </w:p>
    <w:p w14:paraId="32820BD9" w14:textId="556942A6" w:rsidR="00C3036D" w:rsidRDefault="00C3036D" w:rsidP="006F623F">
      <w:pPr>
        <w:spacing w:after="0"/>
        <w:jc w:val="center"/>
        <w:rPr>
          <w:rFonts w:ascii="Arial" w:hAnsi="Arial" w:cs="Arial"/>
          <w:sz w:val="24"/>
          <w:szCs w:val="24"/>
        </w:rPr>
      </w:pPr>
      <w:r w:rsidRPr="00FA3F9C">
        <w:rPr>
          <w:rFonts w:ascii="Arial" w:hAnsi="Arial" w:cs="Arial"/>
          <w:sz w:val="24"/>
          <w:szCs w:val="24"/>
        </w:rPr>
        <w:t>(NOTE:  500mg powder packet is excluded from coverage)</w:t>
      </w:r>
    </w:p>
    <w:p w14:paraId="17F21C63" w14:textId="77777777" w:rsidR="0078218F" w:rsidRPr="00FA3F9C" w:rsidRDefault="0078218F" w:rsidP="0078218F">
      <w:pPr>
        <w:spacing w:after="0"/>
        <w:jc w:val="center"/>
        <w:rPr>
          <w:rFonts w:ascii="Arial" w:hAnsi="Arial" w:cs="Arial"/>
          <w:sz w:val="24"/>
          <w:szCs w:val="24"/>
        </w:rPr>
      </w:pPr>
      <w:r w:rsidRPr="00FA3F9C">
        <w:rPr>
          <w:rFonts w:ascii="Arial" w:hAnsi="Arial" w:cs="Arial"/>
          <w:sz w:val="24"/>
          <w:szCs w:val="24"/>
        </w:rPr>
        <w:t>EBRx PA Criteria</w:t>
      </w:r>
    </w:p>
    <w:p w14:paraId="422EC96C" w14:textId="77777777" w:rsidR="0078218F" w:rsidRPr="00FA3F9C" w:rsidRDefault="0078218F" w:rsidP="006F623F">
      <w:pPr>
        <w:spacing w:after="0"/>
        <w:jc w:val="center"/>
        <w:rPr>
          <w:rFonts w:ascii="Arial" w:hAnsi="Arial" w:cs="Arial"/>
          <w:sz w:val="24"/>
          <w:szCs w:val="24"/>
        </w:rPr>
      </w:pPr>
    </w:p>
    <w:p w14:paraId="420D4638" w14:textId="77777777" w:rsidR="00C3036D" w:rsidRPr="00FA3F9C" w:rsidRDefault="00C3036D" w:rsidP="006F623F">
      <w:pPr>
        <w:spacing w:after="0"/>
        <w:rPr>
          <w:rFonts w:ascii="Arial" w:hAnsi="Arial" w:cs="Arial"/>
          <w:b/>
          <w:sz w:val="24"/>
          <w:szCs w:val="24"/>
          <w:u w:val="single"/>
        </w:rPr>
      </w:pPr>
    </w:p>
    <w:p w14:paraId="124BA9A3" w14:textId="77777777" w:rsidR="00C3036D" w:rsidRPr="00FA3F9C" w:rsidRDefault="00C3036D" w:rsidP="00C86BCB">
      <w:pPr>
        <w:pStyle w:val="NoSpacing"/>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reduction of phenylalanine (</w:t>
      </w:r>
      <w:proofErr w:type="spellStart"/>
      <w:r w:rsidRPr="00FA3F9C">
        <w:rPr>
          <w:rFonts w:ascii="Arial" w:hAnsi="Arial" w:cs="Arial"/>
          <w:sz w:val="24"/>
          <w:szCs w:val="24"/>
        </w:rPr>
        <w:t>Phe</w:t>
      </w:r>
      <w:proofErr w:type="spellEnd"/>
      <w:r w:rsidRPr="00FA3F9C">
        <w:rPr>
          <w:rFonts w:ascii="Arial" w:hAnsi="Arial" w:cs="Arial"/>
          <w:sz w:val="24"/>
          <w:szCs w:val="24"/>
        </w:rPr>
        <w:t xml:space="preserve">) levels in patients with hyperphenylalaninemia (HPA) secondary to BH4-responsive Phenylketonuria (PKU). Kuvan is used in conjunction with a </w:t>
      </w:r>
      <w:proofErr w:type="spellStart"/>
      <w:r w:rsidRPr="00FA3F9C">
        <w:rPr>
          <w:rFonts w:ascii="Arial" w:hAnsi="Arial" w:cs="Arial"/>
          <w:sz w:val="24"/>
          <w:szCs w:val="24"/>
        </w:rPr>
        <w:t>Phe</w:t>
      </w:r>
      <w:proofErr w:type="spellEnd"/>
      <w:r w:rsidRPr="00FA3F9C">
        <w:rPr>
          <w:rFonts w:ascii="Arial" w:hAnsi="Arial" w:cs="Arial"/>
          <w:sz w:val="24"/>
          <w:szCs w:val="24"/>
        </w:rPr>
        <w:t xml:space="preserve">-restricted diet. </w:t>
      </w:r>
    </w:p>
    <w:p w14:paraId="7BB79D24" w14:textId="77777777" w:rsidR="00C3036D" w:rsidRPr="00FA3F9C" w:rsidRDefault="00C3036D" w:rsidP="006F623F">
      <w:pPr>
        <w:spacing w:after="0"/>
        <w:rPr>
          <w:rFonts w:ascii="Arial" w:hAnsi="Arial" w:cs="Arial"/>
          <w:sz w:val="24"/>
          <w:szCs w:val="24"/>
        </w:rPr>
      </w:pPr>
    </w:p>
    <w:tbl>
      <w:tblPr>
        <w:tblStyle w:val="TableGrid"/>
        <w:tblW w:w="0" w:type="auto"/>
        <w:tblLook w:val="04A0" w:firstRow="1" w:lastRow="0" w:firstColumn="1" w:lastColumn="0" w:noHBand="0" w:noVBand="1"/>
      </w:tblPr>
      <w:tblGrid>
        <w:gridCol w:w="8928"/>
        <w:gridCol w:w="2088"/>
      </w:tblGrid>
      <w:tr w:rsidR="00C3036D" w:rsidRPr="00FA3F9C" w14:paraId="26690F65" w14:textId="77777777" w:rsidTr="00571CAB">
        <w:tc>
          <w:tcPr>
            <w:tcW w:w="8928" w:type="dxa"/>
            <w:shd w:val="clear" w:color="auto" w:fill="000000"/>
          </w:tcPr>
          <w:p w14:paraId="4E14607E" w14:textId="77777777" w:rsidR="00C3036D" w:rsidRPr="00FA3F9C" w:rsidRDefault="00C3036D"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88" w:type="dxa"/>
            <w:shd w:val="clear" w:color="auto" w:fill="000000"/>
          </w:tcPr>
          <w:p w14:paraId="7EC6A9B2" w14:textId="77777777" w:rsidR="00C3036D" w:rsidRPr="00FA3F9C" w:rsidRDefault="00C3036D" w:rsidP="006F623F">
            <w:pPr>
              <w:jc w:val="center"/>
              <w:rPr>
                <w:rFonts w:ascii="Arial" w:hAnsi="Arial" w:cs="Arial"/>
                <w:b/>
                <w:sz w:val="24"/>
                <w:szCs w:val="24"/>
                <w:u w:val="single"/>
              </w:rPr>
            </w:pPr>
          </w:p>
        </w:tc>
      </w:tr>
      <w:tr w:rsidR="00C3036D" w:rsidRPr="00FA3F9C" w14:paraId="04189388" w14:textId="77777777" w:rsidTr="00C86BCB">
        <w:tc>
          <w:tcPr>
            <w:tcW w:w="11016" w:type="dxa"/>
            <w:gridSpan w:val="2"/>
          </w:tcPr>
          <w:p w14:paraId="278067BD" w14:textId="77777777" w:rsidR="00C3036D" w:rsidRPr="00FA3F9C" w:rsidRDefault="00C3036D" w:rsidP="006F623F">
            <w:pPr>
              <w:rPr>
                <w:rFonts w:ascii="Arial" w:hAnsi="Arial" w:cs="Arial"/>
                <w:sz w:val="24"/>
                <w:szCs w:val="24"/>
              </w:rPr>
            </w:pPr>
            <w:r w:rsidRPr="00FA3F9C">
              <w:rPr>
                <w:rFonts w:ascii="Arial" w:hAnsi="Arial" w:cs="Arial"/>
                <w:sz w:val="24"/>
                <w:szCs w:val="24"/>
              </w:rPr>
              <w:t>1.  Patient must have the diagnosis of phenylketonuria.</w:t>
            </w:r>
          </w:p>
        </w:tc>
      </w:tr>
      <w:tr w:rsidR="00C3036D" w:rsidRPr="00FA3F9C" w14:paraId="68E9142B" w14:textId="77777777" w:rsidTr="00C86BCB">
        <w:tc>
          <w:tcPr>
            <w:tcW w:w="11016" w:type="dxa"/>
            <w:gridSpan w:val="2"/>
          </w:tcPr>
          <w:p w14:paraId="3DE08207" w14:textId="77777777" w:rsidR="00C3036D" w:rsidRPr="00FA3F9C" w:rsidRDefault="00C3036D" w:rsidP="00C86BCB">
            <w:pPr>
              <w:rPr>
                <w:rFonts w:ascii="Arial" w:hAnsi="Arial" w:cs="Arial"/>
                <w:sz w:val="24"/>
                <w:szCs w:val="24"/>
              </w:rPr>
            </w:pPr>
            <w:r w:rsidRPr="00FA3F9C">
              <w:rPr>
                <w:rFonts w:ascii="Arial" w:hAnsi="Arial" w:cs="Arial"/>
                <w:sz w:val="24"/>
                <w:szCs w:val="24"/>
              </w:rPr>
              <w:t xml:space="preserve">2.  Must have a blood phenylalanine level above 360 </w:t>
            </w:r>
            <w:proofErr w:type="spellStart"/>
            <w:r w:rsidRPr="00FA3F9C">
              <w:rPr>
                <w:rFonts w:ascii="Arial" w:hAnsi="Arial" w:cs="Arial"/>
                <w:sz w:val="24"/>
                <w:szCs w:val="24"/>
              </w:rPr>
              <w:t>umol</w:t>
            </w:r>
            <w:proofErr w:type="spellEnd"/>
            <w:r w:rsidRPr="00FA3F9C">
              <w:rPr>
                <w:rFonts w:ascii="Arial" w:hAnsi="Arial" w:cs="Arial"/>
                <w:sz w:val="24"/>
                <w:szCs w:val="24"/>
              </w:rPr>
              <w:t>/L (6mg/dL), despite dietary protein/phenylalanine restriction</w:t>
            </w:r>
          </w:p>
        </w:tc>
      </w:tr>
      <w:tr w:rsidR="00C3036D" w:rsidRPr="00FA3F9C" w14:paraId="2E0FE7A4" w14:textId="77777777" w:rsidTr="005A5217">
        <w:tc>
          <w:tcPr>
            <w:tcW w:w="11016" w:type="dxa"/>
            <w:gridSpan w:val="2"/>
            <w:tcBorders>
              <w:bottom w:val="single" w:sz="4" w:space="0" w:color="auto"/>
            </w:tcBorders>
          </w:tcPr>
          <w:p w14:paraId="50B7965A" w14:textId="77777777" w:rsidR="00C3036D" w:rsidRPr="00FA3F9C" w:rsidRDefault="00C3036D" w:rsidP="006F623F">
            <w:pPr>
              <w:rPr>
                <w:rFonts w:ascii="Arial" w:hAnsi="Arial" w:cs="Arial"/>
                <w:sz w:val="24"/>
                <w:szCs w:val="24"/>
              </w:rPr>
            </w:pPr>
            <w:r w:rsidRPr="00FA3F9C">
              <w:rPr>
                <w:rFonts w:ascii="Arial" w:hAnsi="Arial" w:cs="Arial"/>
                <w:sz w:val="24"/>
                <w:szCs w:val="24"/>
              </w:rPr>
              <w:t>3.  Must have failure of PKU dietary restriction (no protein intake)</w:t>
            </w:r>
          </w:p>
        </w:tc>
      </w:tr>
      <w:tr w:rsidR="00C3036D" w:rsidRPr="00FA3F9C" w14:paraId="47860B8F" w14:textId="77777777" w:rsidTr="005A5217">
        <w:tc>
          <w:tcPr>
            <w:tcW w:w="11016" w:type="dxa"/>
            <w:gridSpan w:val="2"/>
            <w:tcBorders>
              <w:bottom w:val="single" w:sz="4" w:space="0" w:color="auto"/>
            </w:tcBorders>
          </w:tcPr>
          <w:p w14:paraId="33365C77" w14:textId="77777777" w:rsidR="00C3036D" w:rsidRPr="00FA3F9C" w:rsidRDefault="00C3036D" w:rsidP="006F623F">
            <w:pPr>
              <w:rPr>
                <w:rFonts w:ascii="Arial" w:hAnsi="Arial" w:cs="Arial"/>
                <w:sz w:val="24"/>
                <w:szCs w:val="24"/>
              </w:rPr>
            </w:pPr>
            <w:r w:rsidRPr="00FA3F9C">
              <w:rPr>
                <w:rFonts w:ascii="Arial" w:hAnsi="Arial" w:cs="Arial"/>
                <w:sz w:val="24"/>
                <w:szCs w:val="24"/>
              </w:rPr>
              <w:t xml:space="preserve">4. Prescriber must report the phenylalanine level at the time of request (in mg/dL and in </w:t>
            </w:r>
            <w:proofErr w:type="spellStart"/>
            <w:r w:rsidRPr="00FA3F9C">
              <w:rPr>
                <w:rFonts w:ascii="Arial" w:hAnsi="Arial" w:cs="Arial"/>
                <w:sz w:val="24"/>
                <w:szCs w:val="24"/>
              </w:rPr>
              <w:t>micromol</w:t>
            </w:r>
            <w:proofErr w:type="spellEnd"/>
            <w:r w:rsidRPr="00FA3F9C">
              <w:rPr>
                <w:rFonts w:ascii="Arial" w:hAnsi="Arial" w:cs="Arial"/>
                <w:sz w:val="24"/>
                <w:szCs w:val="24"/>
              </w:rPr>
              <w:t xml:space="preserve">/L).  We need the baseline in order to establish </w:t>
            </w:r>
            <w:proofErr w:type="gramStart"/>
            <w:r w:rsidRPr="00FA3F9C">
              <w:rPr>
                <w:rFonts w:ascii="Arial" w:hAnsi="Arial" w:cs="Arial"/>
                <w:sz w:val="24"/>
                <w:szCs w:val="24"/>
              </w:rPr>
              <w:t>whether or not</w:t>
            </w:r>
            <w:proofErr w:type="gramEnd"/>
            <w:r w:rsidRPr="00FA3F9C">
              <w:rPr>
                <w:rFonts w:ascii="Arial" w:hAnsi="Arial" w:cs="Arial"/>
                <w:sz w:val="24"/>
                <w:szCs w:val="24"/>
              </w:rPr>
              <w:t xml:space="preserve"> the patient is a “responder” (30% reduction in </w:t>
            </w:r>
            <w:proofErr w:type="spellStart"/>
            <w:r w:rsidRPr="00FA3F9C">
              <w:rPr>
                <w:rFonts w:ascii="Arial" w:hAnsi="Arial" w:cs="Arial"/>
                <w:sz w:val="24"/>
                <w:szCs w:val="24"/>
              </w:rPr>
              <w:t>phyenylalanine</w:t>
            </w:r>
            <w:proofErr w:type="spellEnd"/>
            <w:r w:rsidRPr="00FA3F9C">
              <w:rPr>
                <w:rFonts w:ascii="Arial" w:hAnsi="Arial" w:cs="Arial"/>
                <w:sz w:val="24"/>
                <w:szCs w:val="24"/>
              </w:rPr>
              <w:t xml:space="preserve"> level) during evaluation for continuation (below).</w:t>
            </w:r>
          </w:p>
        </w:tc>
      </w:tr>
      <w:tr w:rsidR="00C3036D" w:rsidRPr="00FA3F9C" w14:paraId="619A78A3" w14:textId="77777777" w:rsidTr="005A5217">
        <w:tc>
          <w:tcPr>
            <w:tcW w:w="11016" w:type="dxa"/>
            <w:gridSpan w:val="2"/>
            <w:shd w:val="clear" w:color="auto" w:fill="000000"/>
          </w:tcPr>
          <w:p w14:paraId="7C764DFA" w14:textId="77777777" w:rsidR="00C3036D" w:rsidRPr="00FA3F9C" w:rsidRDefault="00C3036D" w:rsidP="004D5C20">
            <w:pPr>
              <w:rPr>
                <w:rFonts w:ascii="Arial" w:hAnsi="Arial" w:cs="Arial"/>
                <w:sz w:val="24"/>
                <w:szCs w:val="24"/>
              </w:rPr>
            </w:pPr>
            <w:r w:rsidRPr="00FA3F9C">
              <w:rPr>
                <w:rFonts w:ascii="Arial" w:hAnsi="Arial" w:cs="Arial"/>
                <w:sz w:val="24"/>
                <w:szCs w:val="24"/>
              </w:rPr>
              <w:t>The initial PA is good for 3 months.</w:t>
            </w:r>
          </w:p>
        </w:tc>
      </w:tr>
    </w:tbl>
    <w:p w14:paraId="7E12F920" w14:textId="77777777" w:rsidR="00C3036D" w:rsidRPr="00FA3F9C" w:rsidRDefault="00C3036D" w:rsidP="006F623F">
      <w:pPr>
        <w:spacing w:after="0"/>
        <w:rPr>
          <w:rFonts w:ascii="Arial" w:hAnsi="Arial" w:cs="Arial"/>
          <w:b/>
          <w:sz w:val="24"/>
          <w:szCs w:val="24"/>
          <w:u w:val="single"/>
        </w:rPr>
      </w:pPr>
    </w:p>
    <w:p w14:paraId="38EC40C1" w14:textId="77777777" w:rsidR="00C3036D" w:rsidRPr="00FA3F9C" w:rsidRDefault="00C3036D" w:rsidP="006F623F">
      <w:pPr>
        <w:spacing w:after="0"/>
        <w:rPr>
          <w:rFonts w:ascii="Arial" w:hAnsi="Arial" w:cs="Arial"/>
          <w:b/>
          <w:sz w:val="24"/>
          <w:szCs w:val="24"/>
          <w:u w:val="single"/>
        </w:rPr>
      </w:pPr>
    </w:p>
    <w:tbl>
      <w:tblPr>
        <w:tblStyle w:val="TableGrid"/>
        <w:tblW w:w="0" w:type="auto"/>
        <w:tblLook w:val="04A0" w:firstRow="1" w:lastRow="0" w:firstColumn="1" w:lastColumn="0" w:noHBand="0" w:noVBand="1"/>
      </w:tblPr>
      <w:tblGrid>
        <w:gridCol w:w="8928"/>
        <w:gridCol w:w="2088"/>
      </w:tblGrid>
      <w:tr w:rsidR="00C3036D" w:rsidRPr="00FA3F9C" w14:paraId="3D6CA352" w14:textId="77777777" w:rsidTr="00571CAB">
        <w:tc>
          <w:tcPr>
            <w:tcW w:w="8928" w:type="dxa"/>
            <w:shd w:val="clear" w:color="auto" w:fill="000000"/>
          </w:tcPr>
          <w:p w14:paraId="5A7CF6F7" w14:textId="77777777" w:rsidR="00C3036D" w:rsidRPr="00FA3F9C" w:rsidRDefault="00C3036D" w:rsidP="00571CAB">
            <w:pPr>
              <w:rPr>
                <w:rFonts w:ascii="Arial" w:hAnsi="Arial" w:cs="Arial"/>
                <w:b/>
                <w:sz w:val="24"/>
                <w:szCs w:val="24"/>
                <w:u w:val="single"/>
              </w:rPr>
            </w:pPr>
            <w:r w:rsidRPr="00FA3F9C">
              <w:rPr>
                <w:rFonts w:ascii="Arial" w:hAnsi="Arial" w:cs="Arial"/>
                <w:b/>
                <w:sz w:val="24"/>
                <w:szCs w:val="24"/>
                <w:u w:val="single"/>
              </w:rPr>
              <w:t>Criteria for continuation</w:t>
            </w:r>
          </w:p>
        </w:tc>
        <w:tc>
          <w:tcPr>
            <w:tcW w:w="2088" w:type="dxa"/>
            <w:shd w:val="clear" w:color="auto" w:fill="000000"/>
          </w:tcPr>
          <w:p w14:paraId="071B4D2E" w14:textId="77777777" w:rsidR="00C3036D" w:rsidRPr="00FA3F9C" w:rsidRDefault="00C3036D" w:rsidP="00571CAB">
            <w:pPr>
              <w:jc w:val="center"/>
              <w:rPr>
                <w:rFonts w:ascii="Arial" w:hAnsi="Arial" w:cs="Arial"/>
                <w:b/>
                <w:sz w:val="24"/>
                <w:szCs w:val="24"/>
                <w:u w:val="single"/>
              </w:rPr>
            </w:pPr>
          </w:p>
        </w:tc>
      </w:tr>
      <w:tr w:rsidR="00C3036D" w:rsidRPr="00FA3F9C" w14:paraId="38A3151A" w14:textId="77777777" w:rsidTr="005A5217">
        <w:tc>
          <w:tcPr>
            <w:tcW w:w="11016" w:type="dxa"/>
            <w:gridSpan w:val="2"/>
          </w:tcPr>
          <w:p w14:paraId="0BC250D1" w14:textId="77777777" w:rsidR="00C3036D" w:rsidRPr="00FA3F9C" w:rsidRDefault="00C3036D" w:rsidP="004D5C20">
            <w:pPr>
              <w:rPr>
                <w:rFonts w:ascii="Arial" w:hAnsi="Arial" w:cs="Arial"/>
                <w:sz w:val="24"/>
                <w:szCs w:val="24"/>
              </w:rPr>
            </w:pPr>
            <w:r w:rsidRPr="00FA3F9C">
              <w:rPr>
                <w:rFonts w:ascii="Arial" w:hAnsi="Arial" w:cs="Arial"/>
                <w:sz w:val="24"/>
                <w:szCs w:val="24"/>
              </w:rPr>
              <w:t xml:space="preserve">1.  The phenylalanine concentration after at least 3 months of therapy should be &lt;360umol/L (occurred by week 10 in one trial </w:t>
            </w:r>
            <w:proofErr w:type="spellStart"/>
            <w:r w:rsidRPr="00FA3F9C">
              <w:rPr>
                <w:rFonts w:ascii="Arial" w:hAnsi="Arial" w:cs="Arial"/>
                <w:sz w:val="24"/>
                <w:szCs w:val="24"/>
              </w:rPr>
              <w:t>Trefz</w:t>
            </w:r>
            <w:proofErr w:type="spellEnd"/>
            <w:r w:rsidRPr="00FA3F9C">
              <w:rPr>
                <w:rFonts w:ascii="Arial" w:hAnsi="Arial" w:cs="Arial"/>
                <w:sz w:val="24"/>
                <w:szCs w:val="24"/>
              </w:rPr>
              <w:t>, Friedrich, et al.)</w:t>
            </w:r>
          </w:p>
        </w:tc>
      </w:tr>
      <w:tr w:rsidR="00C3036D" w:rsidRPr="00FA3F9C" w14:paraId="766CBE2E" w14:textId="77777777" w:rsidTr="004D5C20">
        <w:tc>
          <w:tcPr>
            <w:tcW w:w="11016" w:type="dxa"/>
            <w:gridSpan w:val="2"/>
            <w:tcBorders>
              <w:bottom w:val="single" w:sz="4" w:space="0" w:color="auto"/>
            </w:tcBorders>
          </w:tcPr>
          <w:p w14:paraId="636D629B" w14:textId="77777777" w:rsidR="00C3036D" w:rsidRPr="00FA3F9C" w:rsidRDefault="00C3036D" w:rsidP="00571CAB">
            <w:pPr>
              <w:rPr>
                <w:rFonts w:ascii="Arial" w:hAnsi="Arial" w:cs="Arial"/>
                <w:sz w:val="24"/>
                <w:szCs w:val="24"/>
              </w:rPr>
            </w:pPr>
            <w:r w:rsidRPr="00FA3F9C">
              <w:rPr>
                <w:rFonts w:ascii="Arial" w:hAnsi="Arial" w:cs="Arial"/>
                <w:sz w:val="24"/>
                <w:szCs w:val="24"/>
              </w:rPr>
              <w:t>2.  All of the above criteria for new users must still be true.</w:t>
            </w:r>
          </w:p>
        </w:tc>
      </w:tr>
      <w:tr w:rsidR="00C3036D" w:rsidRPr="00FA3F9C" w14:paraId="68F1DB4F" w14:textId="77777777" w:rsidTr="004D5C20">
        <w:tc>
          <w:tcPr>
            <w:tcW w:w="11016" w:type="dxa"/>
            <w:gridSpan w:val="2"/>
            <w:shd w:val="clear" w:color="auto" w:fill="000000"/>
          </w:tcPr>
          <w:p w14:paraId="44C8DDCD" w14:textId="77777777" w:rsidR="00C3036D" w:rsidRPr="00FA3F9C" w:rsidRDefault="00C3036D" w:rsidP="004D5C20">
            <w:pPr>
              <w:rPr>
                <w:rFonts w:ascii="Arial" w:hAnsi="Arial" w:cs="Arial"/>
                <w:sz w:val="24"/>
                <w:szCs w:val="24"/>
              </w:rPr>
            </w:pPr>
            <w:r w:rsidRPr="00FA3F9C">
              <w:rPr>
                <w:rFonts w:ascii="Arial" w:hAnsi="Arial" w:cs="Arial"/>
                <w:sz w:val="24"/>
                <w:szCs w:val="24"/>
              </w:rPr>
              <w:t>The subsequent PA is good until age 12 years and 364 days; or until the pregnancy is over in the case of pregnant females.</w:t>
            </w:r>
          </w:p>
        </w:tc>
      </w:tr>
    </w:tbl>
    <w:p w14:paraId="21775DBD" w14:textId="77777777" w:rsidR="00C3036D" w:rsidRPr="00FA3F9C" w:rsidRDefault="00C3036D" w:rsidP="006F623F">
      <w:pPr>
        <w:spacing w:after="0"/>
        <w:rPr>
          <w:rFonts w:ascii="Arial" w:hAnsi="Arial" w:cs="Arial"/>
          <w:b/>
          <w:sz w:val="24"/>
          <w:szCs w:val="24"/>
          <w:u w:val="single"/>
        </w:rPr>
      </w:pPr>
    </w:p>
    <w:p w14:paraId="7B53CEAF" w14:textId="77777777" w:rsidR="00C3036D" w:rsidRPr="00FA3F9C" w:rsidRDefault="00C3036D" w:rsidP="006F623F">
      <w:pPr>
        <w:spacing w:after="0"/>
        <w:rPr>
          <w:rFonts w:ascii="Arial" w:hAnsi="Arial" w:cs="Arial"/>
          <w:b/>
          <w:sz w:val="24"/>
          <w:szCs w:val="24"/>
          <w:u w:val="single"/>
        </w:rPr>
      </w:pPr>
    </w:p>
    <w:tbl>
      <w:tblPr>
        <w:tblStyle w:val="TableGrid"/>
        <w:tblW w:w="0" w:type="auto"/>
        <w:shd w:val="clear" w:color="auto" w:fill="BFBFBF" w:themeFill="background1" w:themeFillShade="BF"/>
        <w:tblLook w:val="04A0" w:firstRow="1" w:lastRow="0" w:firstColumn="1" w:lastColumn="0" w:noHBand="0" w:noVBand="1"/>
      </w:tblPr>
      <w:tblGrid>
        <w:gridCol w:w="10998"/>
      </w:tblGrid>
      <w:tr w:rsidR="00C3036D" w:rsidRPr="00FA3F9C" w14:paraId="2F058B03" w14:textId="77777777" w:rsidTr="00D82B6E">
        <w:tc>
          <w:tcPr>
            <w:tcW w:w="10998" w:type="dxa"/>
            <w:shd w:val="clear" w:color="auto" w:fill="BFBFBF" w:themeFill="background1" w:themeFillShade="BF"/>
          </w:tcPr>
          <w:p w14:paraId="592D0429" w14:textId="77777777" w:rsidR="00C3036D" w:rsidRPr="00FA3F9C" w:rsidRDefault="00C3036D" w:rsidP="00D82B6E">
            <w:pPr>
              <w:rPr>
                <w:rFonts w:ascii="Arial" w:hAnsi="Arial" w:cs="Arial"/>
                <w:sz w:val="24"/>
                <w:szCs w:val="24"/>
              </w:rPr>
            </w:pPr>
            <w:r w:rsidRPr="00FA3F9C">
              <w:rPr>
                <w:rFonts w:ascii="Arial" w:hAnsi="Arial" w:cs="Arial"/>
                <w:sz w:val="24"/>
                <w:szCs w:val="24"/>
              </w:rPr>
              <w:t>Note: The EBRx P&amp;T Committee determined the ability to comply with a PKU-restricted diet, the mainstay of therapy, would be possible after age 12.</w:t>
            </w:r>
          </w:p>
        </w:tc>
      </w:tr>
    </w:tbl>
    <w:p w14:paraId="02B2BE12" w14:textId="77777777" w:rsidR="00C3036D" w:rsidRPr="00FA3F9C" w:rsidRDefault="00C3036D" w:rsidP="006F623F">
      <w:pPr>
        <w:spacing w:after="0"/>
        <w:rPr>
          <w:rFonts w:ascii="Arial" w:hAnsi="Arial" w:cs="Arial"/>
          <w:sz w:val="24"/>
          <w:szCs w:val="24"/>
        </w:rPr>
      </w:pPr>
    </w:p>
    <w:p w14:paraId="1E32730F" w14:textId="77777777" w:rsidR="00C3036D" w:rsidRPr="00FA3F9C" w:rsidRDefault="00C3036D" w:rsidP="006F623F">
      <w:pPr>
        <w:spacing w:after="0"/>
        <w:rPr>
          <w:rFonts w:ascii="Arial" w:hAnsi="Arial" w:cs="Arial"/>
          <w:sz w:val="24"/>
          <w:szCs w:val="24"/>
          <w:lang w:val="fr-FR"/>
        </w:rPr>
      </w:pPr>
      <w:proofErr w:type="spellStart"/>
      <w:r w:rsidRPr="00FA3F9C">
        <w:rPr>
          <w:rFonts w:ascii="Arial" w:hAnsi="Arial" w:cs="Arial"/>
          <w:sz w:val="24"/>
          <w:szCs w:val="24"/>
          <w:lang w:val="fr-FR"/>
        </w:rPr>
        <w:t>Quantity</w:t>
      </w:r>
      <w:proofErr w:type="spellEnd"/>
      <w:r w:rsidRPr="00FA3F9C">
        <w:rPr>
          <w:rFonts w:ascii="Arial" w:hAnsi="Arial" w:cs="Arial"/>
          <w:sz w:val="24"/>
          <w:szCs w:val="24"/>
          <w:lang w:val="fr-FR"/>
        </w:rPr>
        <w:t xml:space="preserve"> </w:t>
      </w:r>
      <w:proofErr w:type="gramStart"/>
      <w:r w:rsidRPr="00FA3F9C">
        <w:rPr>
          <w:rFonts w:ascii="Arial" w:hAnsi="Arial" w:cs="Arial"/>
          <w:sz w:val="24"/>
          <w:szCs w:val="24"/>
          <w:lang w:val="fr-FR"/>
        </w:rPr>
        <w:t>Limits:</w:t>
      </w:r>
      <w:proofErr w:type="gramEnd"/>
      <w:r w:rsidRPr="00FA3F9C">
        <w:rPr>
          <w:rFonts w:ascii="Arial" w:hAnsi="Arial" w:cs="Arial"/>
          <w:sz w:val="24"/>
          <w:szCs w:val="24"/>
          <w:lang w:val="fr-FR"/>
        </w:rPr>
        <w:t xml:space="preserve"> none</w:t>
      </w:r>
    </w:p>
    <w:p w14:paraId="1074DAF9" w14:textId="77777777" w:rsidR="00C3036D" w:rsidRPr="00FA3F9C" w:rsidRDefault="00C3036D" w:rsidP="006F623F">
      <w:pPr>
        <w:spacing w:after="0"/>
        <w:rPr>
          <w:rFonts w:ascii="Arial" w:hAnsi="Arial" w:cs="Arial"/>
          <w:sz w:val="24"/>
          <w:szCs w:val="24"/>
          <w:lang w:val="fr-FR"/>
        </w:rPr>
      </w:pPr>
    </w:p>
    <w:p w14:paraId="6E0148BD" w14:textId="77777777" w:rsidR="00C3036D" w:rsidRPr="00FA3F9C" w:rsidRDefault="00C3036D" w:rsidP="00CA4979">
      <w:pPr>
        <w:pStyle w:val="NoSpacing"/>
        <w:rPr>
          <w:rFonts w:ascii="Arial" w:hAnsi="Arial" w:cs="Arial"/>
          <w:sz w:val="24"/>
          <w:szCs w:val="24"/>
          <w:lang w:val="fr-FR"/>
        </w:rPr>
      </w:pPr>
      <w:proofErr w:type="spellStart"/>
      <w:proofErr w:type="gramStart"/>
      <w:r w:rsidRPr="00FA3F9C">
        <w:rPr>
          <w:rFonts w:ascii="Arial" w:hAnsi="Arial" w:cs="Arial"/>
          <w:sz w:val="24"/>
          <w:szCs w:val="24"/>
          <w:lang w:val="fr-FR"/>
        </w:rPr>
        <w:t>References</w:t>
      </w:r>
      <w:proofErr w:type="spellEnd"/>
      <w:r w:rsidRPr="00FA3F9C">
        <w:rPr>
          <w:rFonts w:ascii="Arial" w:hAnsi="Arial" w:cs="Arial"/>
          <w:sz w:val="24"/>
          <w:szCs w:val="24"/>
          <w:lang w:val="fr-FR"/>
        </w:rPr>
        <w:t>:</w:t>
      </w:r>
      <w:proofErr w:type="gramEnd"/>
    </w:p>
    <w:p w14:paraId="42506309" w14:textId="77777777" w:rsidR="00C3036D" w:rsidRPr="00FA3F9C" w:rsidRDefault="00C3036D" w:rsidP="00CA4979">
      <w:pPr>
        <w:pStyle w:val="NoSpacing"/>
        <w:rPr>
          <w:rStyle w:val="selectable"/>
          <w:rFonts w:ascii="Arial" w:hAnsi="Arial" w:cs="Arial"/>
          <w:sz w:val="24"/>
          <w:szCs w:val="24"/>
        </w:rPr>
      </w:pPr>
      <w:r w:rsidRPr="00FA3F9C">
        <w:rPr>
          <w:rStyle w:val="selectable"/>
          <w:rFonts w:ascii="Arial" w:hAnsi="Arial" w:cs="Arial"/>
          <w:sz w:val="24"/>
          <w:szCs w:val="24"/>
          <w:lang w:val="fr-FR"/>
        </w:rPr>
        <w:t xml:space="preserve">1.  Levy, </w:t>
      </w:r>
      <w:proofErr w:type="gramStart"/>
      <w:r w:rsidRPr="00FA3F9C">
        <w:rPr>
          <w:rStyle w:val="selectable"/>
          <w:rFonts w:ascii="Arial" w:hAnsi="Arial" w:cs="Arial"/>
          <w:sz w:val="24"/>
          <w:szCs w:val="24"/>
          <w:lang w:val="fr-FR"/>
        </w:rPr>
        <w:t>H.L.;</w:t>
      </w:r>
      <w:proofErr w:type="gramEnd"/>
      <w:r w:rsidRPr="00FA3F9C">
        <w:rPr>
          <w:rStyle w:val="selectable"/>
          <w:rFonts w:ascii="Arial" w:hAnsi="Arial" w:cs="Arial"/>
          <w:sz w:val="24"/>
          <w:szCs w:val="24"/>
          <w:lang w:val="fr-FR"/>
        </w:rPr>
        <w:t xml:space="preserve"> et al. </w:t>
      </w:r>
      <w:r w:rsidRPr="00FA3F9C">
        <w:rPr>
          <w:rStyle w:val="selectable"/>
          <w:rFonts w:ascii="Arial" w:hAnsi="Arial" w:cs="Arial"/>
          <w:sz w:val="24"/>
          <w:szCs w:val="24"/>
        </w:rPr>
        <w:t xml:space="preserve">“Efficacy Of </w:t>
      </w:r>
      <w:proofErr w:type="spellStart"/>
      <w:r w:rsidRPr="00FA3F9C">
        <w:rPr>
          <w:rStyle w:val="selectable"/>
          <w:rFonts w:ascii="Arial" w:hAnsi="Arial" w:cs="Arial"/>
          <w:sz w:val="24"/>
          <w:szCs w:val="24"/>
        </w:rPr>
        <w:t>Sapropterin</w:t>
      </w:r>
      <w:proofErr w:type="spellEnd"/>
      <w:r w:rsidRPr="00FA3F9C">
        <w:rPr>
          <w:rStyle w:val="selectable"/>
          <w:rFonts w:ascii="Arial" w:hAnsi="Arial" w:cs="Arial"/>
          <w:sz w:val="24"/>
          <w:szCs w:val="24"/>
        </w:rPr>
        <w:t xml:space="preserve"> Dihydrochloride (Tetrahydrobiopterin, 6R-BH4) For Reduction </w:t>
      </w:r>
      <w:proofErr w:type="gramStart"/>
      <w:r w:rsidRPr="00FA3F9C">
        <w:rPr>
          <w:rStyle w:val="selectable"/>
          <w:rFonts w:ascii="Arial" w:hAnsi="Arial" w:cs="Arial"/>
          <w:sz w:val="24"/>
          <w:szCs w:val="24"/>
        </w:rPr>
        <w:t>Of</w:t>
      </w:r>
      <w:proofErr w:type="gramEnd"/>
      <w:r w:rsidRPr="00FA3F9C">
        <w:rPr>
          <w:rStyle w:val="selectable"/>
          <w:rFonts w:ascii="Arial" w:hAnsi="Arial" w:cs="Arial"/>
          <w:sz w:val="24"/>
          <w:szCs w:val="24"/>
        </w:rPr>
        <w:t xml:space="preserve"> Phenylalanine Concentration In Patients With Phenylketonuria: A Phase III Randomized Placebo-Controlled Study.” Lancet 2007, 370(9586), 504-510.</w:t>
      </w:r>
    </w:p>
    <w:p w14:paraId="20F42B29" w14:textId="77777777" w:rsidR="00C3036D" w:rsidRPr="00FA3F9C" w:rsidRDefault="00C3036D" w:rsidP="00CA4979">
      <w:pPr>
        <w:pStyle w:val="NoSpacing"/>
        <w:rPr>
          <w:rStyle w:val="selectable"/>
          <w:rFonts w:ascii="Arial" w:hAnsi="Arial" w:cs="Arial"/>
          <w:sz w:val="24"/>
          <w:szCs w:val="24"/>
        </w:rPr>
      </w:pPr>
      <w:r w:rsidRPr="00FA3F9C">
        <w:rPr>
          <w:rStyle w:val="selectable"/>
          <w:rFonts w:ascii="Arial" w:hAnsi="Arial" w:cs="Arial"/>
          <w:sz w:val="24"/>
          <w:szCs w:val="24"/>
        </w:rPr>
        <w:t xml:space="preserve">2.  </w:t>
      </w:r>
      <w:proofErr w:type="spellStart"/>
      <w:r w:rsidRPr="00FA3F9C">
        <w:rPr>
          <w:rStyle w:val="selectable"/>
          <w:rFonts w:ascii="Arial" w:hAnsi="Arial" w:cs="Arial"/>
          <w:sz w:val="24"/>
          <w:szCs w:val="24"/>
        </w:rPr>
        <w:t>Trefz</w:t>
      </w:r>
      <w:proofErr w:type="spellEnd"/>
      <w:r w:rsidRPr="00FA3F9C">
        <w:rPr>
          <w:rStyle w:val="selectable"/>
          <w:rFonts w:ascii="Arial" w:hAnsi="Arial" w:cs="Arial"/>
          <w:sz w:val="24"/>
          <w:szCs w:val="24"/>
        </w:rPr>
        <w:t xml:space="preserve">, Friedrich K. et al. "Efficacy </w:t>
      </w:r>
      <w:proofErr w:type="gramStart"/>
      <w:r w:rsidRPr="00FA3F9C">
        <w:rPr>
          <w:rStyle w:val="selectable"/>
          <w:rFonts w:ascii="Arial" w:hAnsi="Arial" w:cs="Arial"/>
          <w:sz w:val="24"/>
          <w:szCs w:val="24"/>
        </w:rPr>
        <w:t>Of</w:t>
      </w:r>
      <w:proofErr w:type="gramEnd"/>
      <w:r w:rsidRPr="00FA3F9C">
        <w:rPr>
          <w:rStyle w:val="selectable"/>
          <w:rFonts w:ascii="Arial" w:hAnsi="Arial" w:cs="Arial"/>
          <w:sz w:val="24"/>
          <w:szCs w:val="24"/>
        </w:rPr>
        <w:t xml:space="preserve"> </w:t>
      </w:r>
      <w:proofErr w:type="spellStart"/>
      <w:r w:rsidRPr="00FA3F9C">
        <w:rPr>
          <w:rStyle w:val="selectable"/>
          <w:rFonts w:ascii="Arial" w:hAnsi="Arial" w:cs="Arial"/>
          <w:sz w:val="24"/>
          <w:szCs w:val="24"/>
        </w:rPr>
        <w:t>Sapropterin</w:t>
      </w:r>
      <w:proofErr w:type="spellEnd"/>
      <w:r w:rsidRPr="00FA3F9C">
        <w:rPr>
          <w:rStyle w:val="selectable"/>
          <w:rFonts w:ascii="Arial" w:hAnsi="Arial" w:cs="Arial"/>
          <w:sz w:val="24"/>
          <w:szCs w:val="24"/>
        </w:rPr>
        <w:t xml:space="preserve"> Dihydrochloride In Increasing Phenylalanine Tolerance In Children With Phenylketonuria: A Phase III, Randomized, Double-Blind, Placebo-Controlled Study". </w:t>
      </w:r>
      <w:r w:rsidRPr="00FA3F9C">
        <w:rPr>
          <w:rStyle w:val="selectable"/>
          <w:rFonts w:ascii="Arial" w:hAnsi="Arial" w:cs="Arial"/>
          <w:iCs/>
          <w:sz w:val="24"/>
          <w:szCs w:val="24"/>
        </w:rPr>
        <w:t>The Journal of Pediatrics</w:t>
      </w:r>
      <w:r w:rsidRPr="00FA3F9C">
        <w:rPr>
          <w:rStyle w:val="selectable"/>
          <w:rFonts w:ascii="Arial" w:hAnsi="Arial" w:cs="Arial"/>
          <w:sz w:val="24"/>
          <w:szCs w:val="24"/>
        </w:rPr>
        <w:t xml:space="preserve"> 154.5 (2009): 700-707.e1. Web. 25 July 2016.</w:t>
      </w:r>
    </w:p>
    <w:p w14:paraId="52288408" w14:textId="77777777" w:rsidR="00C3036D" w:rsidRPr="00FA3F9C" w:rsidRDefault="00C3036D" w:rsidP="00CA4979">
      <w:pPr>
        <w:pStyle w:val="NoSpacing"/>
        <w:rPr>
          <w:rFonts w:ascii="Arial" w:eastAsia="Times New Roman" w:hAnsi="Arial" w:cs="Arial"/>
          <w:color w:val="222222"/>
          <w:sz w:val="24"/>
          <w:szCs w:val="24"/>
          <w:shd w:val="clear" w:color="auto" w:fill="FFFFFF"/>
        </w:rPr>
      </w:pPr>
      <w:r w:rsidRPr="00FA3F9C">
        <w:rPr>
          <w:rStyle w:val="selectable"/>
          <w:rFonts w:ascii="Arial" w:hAnsi="Arial" w:cs="Arial"/>
          <w:sz w:val="24"/>
          <w:szCs w:val="24"/>
        </w:rPr>
        <w:t>3.  G</w:t>
      </w:r>
      <w:r w:rsidRPr="00FA3F9C">
        <w:rPr>
          <w:rFonts w:ascii="Arial" w:eastAsia="Times New Roman" w:hAnsi="Arial" w:cs="Arial"/>
          <w:color w:val="222222"/>
          <w:sz w:val="24"/>
          <w:szCs w:val="24"/>
          <w:shd w:val="clear" w:color="auto" w:fill="FFFFFF"/>
        </w:rPr>
        <w:t>onzález, María J., et al. "Neurological complications and behavioral problems in patients with PKU in a follow-up unit." </w:t>
      </w:r>
      <w:r w:rsidRPr="00FA3F9C">
        <w:rPr>
          <w:rFonts w:ascii="Arial" w:eastAsia="Times New Roman" w:hAnsi="Arial" w:cs="Arial"/>
          <w:iCs/>
          <w:color w:val="222222"/>
          <w:sz w:val="24"/>
          <w:szCs w:val="24"/>
          <w:shd w:val="clear" w:color="auto" w:fill="FFFFFF"/>
        </w:rPr>
        <w:t>Molecular genetics and metabolism</w:t>
      </w:r>
      <w:r w:rsidRPr="00FA3F9C">
        <w:rPr>
          <w:rFonts w:ascii="Arial" w:eastAsia="Times New Roman" w:hAnsi="Arial" w:cs="Arial"/>
          <w:color w:val="222222"/>
          <w:sz w:val="24"/>
          <w:szCs w:val="24"/>
          <w:shd w:val="clear" w:color="auto" w:fill="FFFFFF"/>
        </w:rPr>
        <w:t> 104 (2011): S73-S79.</w:t>
      </w:r>
    </w:p>
    <w:p w14:paraId="775E1353" w14:textId="77777777" w:rsidR="00C3036D" w:rsidRPr="00FA3F9C" w:rsidRDefault="00C3036D" w:rsidP="00CA4979">
      <w:pPr>
        <w:pStyle w:val="NoSpacing"/>
        <w:rPr>
          <w:rFonts w:ascii="Arial" w:hAnsi="Arial" w:cs="Arial"/>
          <w:sz w:val="24"/>
          <w:szCs w:val="24"/>
        </w:rPr>
      </w:pPr>
      <w:r w:rsidRPr="00FA3F9C">
        <w:rPr>
          <w:rFonts w:ascii="Arial" w:eastAsia="Times New Roman" w:hAnsi="Arial" w:cs="Arial"/>
          <w:color w:val="222222"/>
          <w:sz w:val="24"/>
          <w:szCs w:val="24"/>
          <w:shd w:val="clear" w:color="auto" w:fill="FFFFFF"/>
        </w:rPr>
        <w:t>4.  AR Dept of Health.  Newborn health screenings.</w:t>
      </w:r>
      <w:r w:rsidRPr="00FA3F9C">
        <w:rPr>
          <w:rFonts w:ascii="Arial" w:hAnsi="Arial" w:cs="Arial"/>
          <w:sz w:val="24"/>
          <w:szCs w:val="24"/>
        </w:rPr>
        <w:t xml:space="preserve"> </w:t>
      </w:r>
      <w:hyperlink r:id="rId369" w:history="1">
        <w:r w:rsidRPr="00FA3F9C">
          <w:rPr>
            <w:rStyle w:val="Hyperlink"/>
            <w:rFonts w:ascii="Arial" w:hAnsi="Arial" w:cs="Arial"/>
            <w:sz w:val="24"/>
            <w:szCs w:val="24"/>
          </w:rPr>
          <w:t>http://www.healthy.arkansas.gov/programsServices/familyHealth/ChildAndAdolescentHealth/newBornScreening/HealthProfessionals/Documents/list_conditions_screened_arkansas.pdf</w:t>
        </w:r>
      </w:hyperlink>
    </w:p>
    <w:p w14:paraId="6F1850FC" w14:textId="77777777" w:rsidR="00C3036D" w:rsidRPr="00FA3F9C" w:rsidRDefault="00C3036D" w:rsidP="00CA4979">
      <w:pPr>
        <w:pStyle w:val="NoSpacing"/>
        <w:rPr>
          <w:rFonts w:ascii="Arial" w:hAnsi="Arial" w:cs="Arial"/>
          <w:sz w:val="24"/>
          <w:szCs w:val="24"/>
        </w:rPr>
      </w:pPr>
      <w:r w:rsidRPr="00FA3F9C">
        <w:rPr>
          <w:rFonts w:ascii="Arial" w:hAnsi="Arial" w:cs="Arial"/>
          <w:sz w:val="24"/>
          <w:szCs w:val="24"/>
        </w:rPr>
        <w:t xml:space="preserve">5. </w:t>
      </w:r>
      <w:proofErr w:type="spellStart"/>
      <w:r w:rsidRPr="00FA3F9C">
        <w:rPr>
          <w:rFonts w:ascii="Arial" w:hAnsi="Arial" w:cs="Arial"/>
          <w:sz w:val="24"/>
          <w:szCs w:val="24"/>
        </w:rPr>
        <w:t>Bodamer</w:t>
      </w:r>
      <w:proofErr w:type="spellEnd"/>
      <w:r w:rsidRPr="00FA3F9C">
        <w:rPr>
          <w:rFonts w:ascii="Arial" w:hAnsi="Arial" w:cs="Arial"/>
          <w:sz w:val="24"/>
          <w:szCs w:val="24"/>
        </w:rPr>
        <w:t xml:space="preserve"> OA. Overview of </w:t>
      </w:r>
      <w:proofErr w:type="spellStart"/>
      <w:r w:rsidRPr="00FA3F9C">
        <w:rPr>
          <w:rFonts w:ascii="Arial" w:hAnsi="Arial" w:cs="Arial"/>
          <w:sz w:val="24"/>
          <w:szCs w:val="24"/>
        </w:rPr>
        <w:t>phyenylketonuria</w:t>
      </w:r>
      <w:proofErr w:type="spellEnd"/>
      <w:r w:rsidRPr="00FA3F9C">
        <w:rPr>
          <w:rFonts w:ascii="Arial" w:hAnsi="Arial" w:cs="Arial"/>
          <w:sz w:val="24"/>
          <w:szCs w:val="24"/>
        </w:rPr>
        <w:t>. UpToDate.  Accessed 7/24/2020.</w:t>
      </w:r>
    </w:p>
    <w:p w14:paraId="12E7BAE0" w14:textId="77777777" w:rsidR="00C3036D" w:rsidRPr="00FA3F9C" w:rsidRDefault="00C3036D" w:rsidP="003F7CB8">
      <w:pPr>
        <w:pStyle w:val="NoSpacing"/>
        <w:rPr>
          <w:rFonts w:ascii="Arial" w:eastAsia="Times New Roman" w:hAnsi="Arial" w:cs="Arial"/>
          <w:sz w:val="24"/>
          <w:szCs w:val="24"/>
        </w:rPr>
      </w:pPr>
      <w:r w:rsidRPr="00FA3F9C">
        <w:rPr>
          <w:rFonts w:ascii="Arial" w:hAnsi="Arial" w:cs="Arial"/>
          <w:sz w:val="24"/>
          <w:szCs w:val="24"/>
        </w:rPr>
        <w:t xml:space="preserve">6. </w:t>
      </w:r>
      <w:proofErr w:type="spellStart"/>
      <w:r w:rsidRPr="00FA3F9C">
        <w:rPr>
          <w:rFonts w:ascii="Arial" w:hAnsi="Arial" w:cs="Arial"/>
          <w:sz w:val="24"/>
          <w:szCs w:val="24"/>
        </w:rPr>
        <w:t>V</w:t>
      </w:r>
      <w:r w:rsidRPr="00FA3F9C">
        <w:rPr>
          <w:rFonts w:ascii="Arial" w:eastAsia="Times New Roman" w:hAnsi="Arial" w:cs="Arial"/>
          <w:color w:val="222222"/>
          <w:sz w:val="24"/>
          <w:szCs w:val="24"/>
          <w:shd w:val="clear" w:color="auto" w:fill="F8F8F8"/>
        </w:rPr>
        <w:t>ockley</w:t>
      </w:r>
      <w:proofErr w:type="spellEnd"/>
      <w:r w:rsidRPr="00FA3F9C">
        <w:rPr>
          <w:rFonts w:ascii="Arial" w:eastAsia="Times New Roman" w:hAnsi="Arial" w:cs="Arial"/>
          <w:color w:val="222222"/>
          <w:sz w:val="24"/>
          <w:szCs w:val="24"/>
          <w:shd w:val="clear" w:color="auto" w:fill="F8F8F8"/>
        </w:rPr>
        <w:t>, Jerry, et al. "Phenylalanine hydroxylase deficiency: diagnosis and management guideline." </w:t>
      </w:r>
      <w:r w:rsidRPr="00FA3F9C">
        <w:rPr>
          <w:rFonts w:ascii="Arial" w:eastAsia="Times New Roman" w:hAnsi="Arial" w:cs="Arial"/>
          <w:i/>
          <w:iCs/>
          <w:color w:val="222222"/>
          <w:sz w:val="24"/>
          <w:szCs w:val="24"/>
          <w:shd w:val="clear" w:color="auto" w:fill="F8F8F8"/>
        </w:rPr>
        <w:t>Genetics in Medicine</w:t>
      </w:r>
      <w:r w:rsidRPr="00FA3F9C">
        <w:rPr>
          <w:rFonts w:ascii="Arial" w:eastAsia="Times New Roman" w:hAnsi="Arial" w:cs="Arial"/>
          <w:color w:val="222222"/>
          <w:sz w:val="24"/>
          <w:szCs w:val="24"/>
          <w:shd w:val="clear" w:color="auto" w:fill="F8F8F8"/>
        </w:rPr>
        <w:t> 16.2 (2014): 188.</w:t>
      </w:r>
    </w:p>
    <w:p w14:paraId="5EF8E96E" w14:textId="77777777" w:rsidR="00C3036D" w:rsidRPr="00FA3F9C" w:rsidRDefault="00C3036D" w:rsidP="006F623F">
      <w:pPr>
        <w:spacing w:after="0"/>
        <w:rPr>
          <w:rFonts w:ascii="Arial" w:hAnsi="Arial" w:cs="Arial"/>
          <w:sz w:val="24"/>
          <w:szCs w:val="24"/>
        </w:rPr>
      </w:pPr>
    </w:p>
    <w:tbl>
      <w:tblPr>
        <w:tblStyle w:val="TableGrid"/>
        <w:tblW w:w="0" w:type="auto"/>
        <w:tblLook w:val="04A0" w:firstRow="1" w:lastRow="0" w:firstColumn="1" w:lastColumn="0" w:noHBand="0" w:noVBand="1"/>
      </w:tblPr>
      <w:tblGrid>
        <w:gridCol w:w="11016"/>
      </w:tblGrid>
      <w:tr w:rsidR="00C3036D" w:rsidRPr="00FA3F9C" w14:paraId="5F966C3A" w14:textId="77777777" w:rsidTr="00995F4F">
        <w:tc>
          <w:tcPr>
            <w:tcW w:w="11016" w:type="dxa"/>
          </w:tcPr>
          <w:p w14:paraId="0E201ACC" w14:textId="77777777" w:rsidR="00C3036D" w:rsidRPr="00FA3F9C" w:rsidRDefault="00C3036D" w:rsidP="006F623F">
            <w:pPr>
              <w:rPr>
                <w:rFonts w:ascii="Arial" w:hAnsi="Arial" w:cs="Arial"/>
                <w:sz w:val="24"/>
                <w:szCs w:val="24"/>
              </w:rPr>
            </w:pPr>
            <w:r w:rsidRPr="00FA3F9C">
              <w:rPr>
                <w:rFonts w:ascii="Arial" w:hAnsi="Arial" w:cs="Arial"/>
                <w:sz w:val="24"/>
                <w:szCs w:val="24"/>
              </w:rPr>
              <w:t>UpToDate 7/24/2020:</w:t>
            </w:r>
          </w:p>
          <w:p w14:paraId="00B0C4ED" w14:textId="77777777" w:rsidR="00C3036D" w:rsidRPr="00FA3F9C" w:rsidRDefault="00C3036D" w:rsidP="00FC1E85">
            <w:pPr>
              <w:pStyle w:val="ListParagraph"/>
              <w:numPr>
                <w:ilvl w:val="0"/>
                <w:numId w:val="462"/>
              </w:numPr>
              <w:rPr>
                <w:rFonts w:ascii="Arial" w:hAnsi="Arial" w:cs="Arial"/>
                <w:sz w:val="24"/>
                <w:szCs w:val="24"/>
              </w:rPr>
            </w:pPr>
            <w:r w:rsidRPr="00FA3F9C">
              <w:rPr>
                <w:rFonts w:ascii="Arial" w:hAnsi="Arial" w:cs="Arial"/>
                <w:sz w:val="24"/>
                <w:szCs w:val="24"/>
              </w:rPr>
              <w:lastRenderedPageBreak/>
              <w:t>The NIH Consensus Development Conference on PKU recommended maintaining a blood concentration of:</w:t>
            </w:r>
          </w:p>
          <w:p w14:paraId="187F7026" w14:textId="77777777" w:rsidR="00C3036D" w:rsidRPr="00FA3F9C" w:rsidRDefault="00C3036D" w:rsidP="00FC1E85">
            <w:pPr>
              <w:pStyle w:val="ListParagraph"/>
              <w:numPr>
                <w:ilvl w:val="1"/>
                <w:numId w:val="462"/>
              </w:numPr>
              <w:rPr>
                <w:rFonts w:ascii="Arial" w:hAnsi="Arial" w:cs="Arial"/>
                <w:sz w:val="24"/>
                <w:szCs w:val="24"/>
              </w:rPr>
            </w:pPr>
            <w:r w:rsidRPr="00FA3F9C">
              <w:rPr>
                <w:rFonts w:ascii="Arial" w:hAnsi="Arial" w:cs="Arial"/>
                <w:sz w:val="24"/>
                <w:szCs w:val="24"/>
              </w:rPr>
              <w:t xml:space="preserve">2-6mg/dL (120-360 </w:t>
            </w:r>
            <w:proofErr w:type="spellStart"/>
            <w:r w:rsidRPr="00FA3F9C">
              <w:rPr>
                <w:rFonts w:ascii="Arial" w:hAnsi="Arial" w:cs="Arial"/>
                <w:sz w:val="24"/>
                <w:szCs w:val="24"/>
              </w:rPr>
              <w:t>umol</w:t>
            </w:r>
            <w:proofErr w:type="spellEnd"/>
            <w:r w:rsidRPr="00FA3F9C">
              <w:rPr>
                <w:rFonts w:ascii="Arial" w:hAnsi="Arial" w:cs="Arial"/>
                <w:sz w:val="24"/>
                <w:szCs w:val="24"/>
              </w:rPr>
              <w:t xml:space="preserve">/L) for affected children through 12 y of </w:t>
            </w:r>
            <w:proofErr w:type="gramStart"/>
            <w:r w:rsidRPr="00FA3F9C">
              <w:rPr>
                <w:rFonts w:ascii="Arial" w:hAnsi="Arial" w:cs="Arial"/>
                <w:sz w:val="24"/>
                <w:szCs w:val="24"/>
              </w:rPr>
              <w:t>age;</w:t>
            </w:r>
            <w:proofErr w:type="gramEnd"/>
            <w:r w:rsidRPr="00FA3F9C">
              <w:rPr>
                <w:rFonts w:ascii="Arial" w:hAnsi="Arial" w:cs="Arial"/>
                <w:sz w:val="24"/>
                <w:szCs w:val="24"/>
              </w:rPr>
              <w:t xml:space="preserve"> </w:t>
            </w:r>
          </w:p>
          <w:p w14:paraId="6BFE102F" w14:textId="77777777" w:rsidR="00C3036D" w:rsidRPr="00FA3F9C" w:rsidRDefault="00C3036D" w:rsidP="00FC1E85">
            <w:pPr>
              <w:pStyle w:val="ListParagraph"/>
              <w:numPr>
                <w:ilvl w:val="1"/>
                <w:numId w:val="462"/>
              </w:numPr>
              <w:rPr>
                <w:rFonts w:ascii="Arial" w:hAnsi="Arial" w:cs="Arial"/>
                <w:sz w:val="24"/>
                <w:szCs w:val="24"/>
              </w:rPr>
            </w:pPr>
            <w:r w:rsidRPr="00FA3F9C">
              <w:rPr>
                <w:rFonts w:ascii="Arial" w:hAnsi="Arial" w:cs="Arial"/>
                <w:sz w:val="24"/>
                <w:szCs w:val="24"/>
              </w:rPr>
              <w:t xml:space="preserve">2-15 mg/dL (120-900 </w:t>
            </w:r>
            <w:proofErr w:type="spellStart"/>
            <w:r w:rsidRPr="00FA3F9C">
              <w:rPr>
                <w:rFonts w:ascii="Arial" w:hAnsi="Arial" w:cs="Arial"/>
                <w:sz w:val="24"/>
                <w:szCs w:val="24"/>
              </w:rPr>
              <w:t>umol</w:t>
            </w:r>
            <w:proofErr w:type="spellEnd"/>
            <w:r w:rsidRPr="00FA3F9C">
              <w:rPr>
                <w:rFonts w:ascii="Arial" w:hAnsi="Arial" w:cs="Arial"/>
                <w:sz w:val="24"/>
                <w:szCs w:val="24"/>
              </w:rPr>
              <w:t>/L) after age 12.</w:t>
            </w:r>
          </w:p>
          <w:p w14:paraId="0CBFD121" w14:textId="77777777" w:rsidR="00C3036D" w:rsidRPr="00FA3F9C" w:rsidRDefault="00C3036D" w:rsidP="00FC1E85">
            <w:pPr>
              <w:pStyle w:val="ListParagraph"/>
              <w:numPr>
                <w:ilvl w:val="1"/>
                <w:numId w:val="462"/>
              </w:numPr>
              <w:rPr>
                <w:rFonts w:ascii="Arial" w:hAnsi="Arial" w:cs="Arial"/>
                <w:sz w:val="24"/>
                <w:szCs w:val="24"/>
              </w:rPr>
            </w:pPr>
            <w:r w:rsidRPr="00FA3F9C">
              <w:rPr>
                <w:rFonts w:ascii="Arial" w:hAnsi="Arial" w:cs="Arial"/>
                <w:sz w:val="24"/>
                <w:szCs w:val="24"/>
              </w:rPr>
              <w:t>No consensus exists in the US, to date.</w:t>
            </w:r>
          </w:p>
          <w:p w14:paraId="35C68607" w14:textId="77777777" w:rsidR="00C3036D" w:rsidRPr="00FA3F9C" w:rsidRDefault="00C3036D" w:rsidP="00FC1E85">
            <w:pPr>
              <w:pStyle w:val="ListParagraph"/>
              <w:numPr>
                <w:ilvl w:val="0"/>
                <w:numId w:val="462"/>
              </w:numPr>
              <w:rPr>
                <w:rFonts w:ascii="Arial" w:hAnsi="Arial" w:cs="Arial"/>
                <w:sz w:val="24"/>
                <w:szCs w:val="24"/>
              </w:rPr>
            </w:pPr>
            <w:r w:rsidRPr="00FA3F9C">
              <w:rPr>
                <w:rFonts w:ascii="Arial" w:hAnsi="Arial" w:cs="Arial"/>
                <w:sz w:val="24"/>
                <w:szCs w:val="24"/>
              </w:rPr>
              <w:t>Data are limited, but higher blood phenylalanine conc. Appears to adversely affect brain function, even in adults.</w:t>
            </w:r>
          </w:p>
          <w:p w14:paraId="1C10865F" w14:textId="77777777" w:rsidR="00C3036D" w:rsidRPr="00FA3F9C" w:rsidRDefault="00C3036D" w:rsidP="00FC1E85">
            <w:pPr>
              <w:pStyle w:val="ListParagraph"/>
              <w:numPr>
                <w:ilvl w:val="1"/>
                <w:numId w:val="462"/>
              </w:numPr>
              <w:rPr>
                <w:rFonts w:ascii="Arial" w:hAnsi="Arial" w:cs="Arial"/>
                <w:sz w:val="24"/>
                <w:szCs w:val="24"/>
              </w:rPr>
            </w:pPr>
            <w:r w:rsidRPr="00FA3F9C">
              <w:rPr>
                <w:rFonts w:ascii="Arial" w:hAnsi="Arial" w:cs="Arial"/>
                <w:sz w:val="24"/>
                <w:szCs w:val="24"/>
              </w:rPr>
              <w:t xml:space="preserve">Maintenance of lower levels (2-10mg/dL, 120-600 </w:t>
            </w:r>
            <w:proofErr w:type="spellStart"/>
            <w:r w:rsidRPr="00FA3F9C">
              <w:rPr>
                <w:rFonts w:ascii="Arial" w:hAnsi="Arial" w:cs="Arial"/>
                <w:sz w:val="24"/>
                <w:szCs w:val="24"/>
              </w:rPr>
              <w:t>umol</w:t>
            </w:r>
            <w:proofErr w:type="spellEnd"/>
            <w:r w:rsidRPr="00FA3F9C">
              <w:rPr>
                <w:rFonts w:ascii="Arial" w:hAnsi="Arial" w:cs="Arial"/>
                <w:sz w:val="24"/>
                <w:szCs w:val="24"/>
              </w:rPr>
              <w:t>/L) is strongly encouraged during adolescence or even beyond.</w:t>
            </w:r>
          </w:p>
          <w:p w14:paraId="40FFBD75" w14:textId="77777777" w:rsidR="00C3036D" w:rsidRPr="00FA3F9C" w:rsidRDefault="00C3036D" w:rsidP="00FC1E85">
            <w:pPr>
              <w:pStyle w:val="ListParagraph"/>
              <w:numPr>
                <w:ilvl w:val="0"/>
                <w:numId w:val="462"/>
              </w:numPr>
              <w:rPr>
                <w:rFonts w:ascii="Arial" w:hAnsi="Arial" w:cs="Arial"/>
                <w:sz w:val="24"/>
                <w:szCs w:val="24"/>
              </w:rPr>
            </w:pPr>
            <w:r w:rsidRPr="00FA3F9C">
              <w:rPr>
                <w:rFonts w:ascii="Arial" w:hAnsi="Arial" w:cs="Arial"/>
                <w:sz w:val="24"/>
                <w:szCs w:val="24"/>
              </w:rPr>
              <w:t xml:space="preserve">Long-term data on </w:t>
            </w:r>
            <w:proofErr w:type="spellStart"/>
            <w:r w:rsidRPr="00FA3F9C">
              <w:rPr>
                <w:rFonts w:ascii="Arial" w:hAnsi="Arial" w:cs="Arial"/>
                <w:sz w:val="24"/>
                <w:szCs w:val="24"/>
              </w:rPr>
              <w:t>sapropterin</w:t>
            </w:r>
            <w:proofErr w:type="spellEnd"/>
            <w:r w:rsidRPr="00FA3F9C">
              <w:rPr>
                <w:rFonts w:ascii="Arial" w:hAnsi="Arial" w:cs="Arial"/>
                <w:sz w:val="24"/>
                <w:szCs w:val="24"/>
              </w:rPr>
              <w:t xml:space="preserve"> therapy are limited.</w:t>
            </w:r>
          </w:p>
          <w:p w14:paraId="2E140E44" w14:textId="77777777" w:rsidR="00C3036D" w:rsidRPr="00FA3F9C" w:rsidRDefault="00C3036D" w:rsidP="00FC1E85">
            <w:pPr>
              <w:pStyle w:val="ListParagraph"/>
              <w:numPr>
                <w:ilvl w:val="0"/>
                <w:numId w:val="462"/>
              </w:numPr>
              <w:rPr>
                <w:rFonts w:ascii="Arial" w:hAnsi="Arial" w:cs="Arial"/>
                <w:sz w:val="24"/>
                <w:szCs w:val="24"/>
              </w:rPr>
            </w:pPr>
            <w:r w:rsidRPr="00FA3F9C">
              <w:rPr>
                <w:rFonts w:ascii="Arial" w:hAnsi="Arial" w:cs="Arial"/>
                <w:sz w:val="24"/>
                <w:szCs w:val="24"/>
              </w:rPr>
              <w:t>High phenylalanine levels are associated with low IQ (&lt;85), regardless of whether IQ was measured during childhood or beyond.</w:t>
            </w:r>
          </w:p>
          <w:p w14:paraId="52741B99" w14:textId="77777777" w:rsidR="00C3036D" w:rsidRPr="00FA3F9C" w:rsidRDefault="00C3036D" w:rsidP="00FC1E85">
            <w:pPr>
              <w:pStyle w:val="ListParagraph"/>
              <w:numPr>
                <w:ilvl w:val="0"/>
                <w:numId w:val="462"/>
              </w:numPr>
              <w:rPr>
                <w:rFonts w:ascii="Arial" w:hAnsi="Arial" w:cs="Arial"/>
                <w:sz w:val="24"/>
                <w:szCs w:val="24"/>
              </w:rPr>
            </w:pPr>
            <w:proofErr w:type="spellStart"/>
            <w:r w:rsidRPr="00FA3F9C">
              <w:rPr>
                <w:rFonts w:ascii="Arial" w:hAnsi="Arial" w:cs="Arial"/>
                <w:sz w:val="24"/>
                <w:szCs w:val="24"/>
              </w:rPr>
              <w:t>Longterm</w:t>
            </w:r>
            <w:proofErr w:type="spellEnd"/>
            <w:r w:rsidRPr="00FA3F9C">
              <w:rPr>
                <w:rFonts w:ascii="Arial" w:hAnsi="Arial" w:cs="Arial"/>
                <w:sz w:val="24"/>
                <w:szCs w:val="24"/>
              </w:rPr>
              <w:t xml:space="preserve"> neurologic function in patients with PKU treated with </w:t>
            </w:r>
            <w:proofErr w:type="spellStart"/>
            <w:r w:rsidRPr="00FA3F9C">
              <w:rPr>
                <w:rFonts w:ascii="Arial" w:hAnsi="Arial" w:cs="Arial"/>
                <w:sz w:val="24"/>
                <w:szCs w:val="24"/>
              </w:rPr>
              <w:t>sapropterin</w:t>
            </w:r>
            <w:proofErr w:type="spellEnd"/>
            <w:r w:rsidRPr="00FA3F9C">
              <w:rPr>
                <w:rFonts w:ascii="Arial" w:hAnsi="Arial" w:cs="Arial"/>
                <w:sz w:val="24"/>
                <w:szCs w:val="24"/>
              </w:rPr>
              <w:t xml:space="preserve"> has not been assessed.</w:t>
            </w:r>
          </w:p>
          <w:p w14:paraId="4B538EB4" w14:textId="77777777" w:rsidR="00C3036D" w:rsidRPr="00FA3F9C" w:rsidRDefault="00C3036D" w:rsidP="00FC1E85">
            <w:pPr>
              <w:pStyle w:val="ListParagraph"/>
              <w:numPr>
                <w:ilvl w:val="0"/>
                <w:numId w:val="462"/>
              </w:numPr>
              <w:rPr>
                <w:rFonts w:ascii="Arial" w:hAnsi="Arial" w:cs="Arial"/>
                <w:sz w:val="24"/>
                <w:szCs w:val="24"/>
              </w:rPr>
            </w:pPr>
            <w:r w:rsidRPr="00FA3F9C">
              <w:rPr>
                <w:rFonts w:ascii="Arial" w:hAnsi="Arial" w:cs="Arial"/>
                <w:sz w:val="24"/>
                <w:szCs w:val="24"/>
                <w:vertAlign w:val="superscript"/>
              </w:rPr>
              <w:t>6</w:t>
            </w:r>
            <w:r w:rsidRPr="00FA3F9C">
              <w:rPr>
                <w:rFonts w:ascii="Arial" w:hAnsi="Arial" w:cs="Arial"/>
                <w:sz w:val="24"/>
                <w:szCs w:val="24"/>
              </w:rPr>
              <w:t xml:space="preserve">ACMG Practice Guidelines suggests the goal of maintaining blood phenylalanine in the range of 120-360 (2-6 mg/dL) </w:t>
            </w:r>
            <w:proofErr w:type="spellStart"/>
            <w:r w:rsidRPr="00FA3F9C">
              <w:rPr>
                <w:rFonts w:ascii="Arial" w:hAnsi="Arial" w:cs="Arial"/>
                <w:sz w:val="24"/>
                <w:szCs w:val="24"/>
              </w:rPr>
              <w:t>umol</w:t>
            </w:r>
            <w:proofErr w:type="spellEnd"/>
            <w:r w:rsidRPr="00FA3F9C">
              <w:rPr>
                <w:rFonts w:ascii="Arial" w:hAnsi="Arial" w:cs="Arial"/>
                <w:sz w:val="24"/>
                <w:szCs w:val="24"/>
              </w:rPr>
              <w:t>/L.</w:t>
            </w:r>
          </w:p>
        </w:tc>
      </w:tr>
    </w:tbl>
    <w:p w14:paraId="28C2C8EF" w14:textId="77777777" w:rsidR="00C3036D" w:rsidRPr="00FA3F9C" w:rsidRDefault="00C3036D" w:rsidP="006F623F">
      <w:pPr>
        <w:spacing w:after="0"/>
        <w:rPr>
          <w:rFonts w:ascii="Arial" w:hAnsi="Arial" w:cs="Arial"/>
          <w:sz w:val="24"/>
          <w:szCs w:val="24"/>
        </w:rPr>
      </w:pPr>
    </w:p>
    <w:p w14:paraId="53A346D3" w14:textId="77777777" w:rsidR="00C3036D" w:rsidRPr="00FA3F9C" w:rsidRDefault="00C3036D" w:rsidP="006F623F">
      <w:pPr>
        <w:spacing w:after="0"/>
        <w:rPr>
          <w:rFonts w:ascii="Arial" w:hAnsi="Arial" w:cs="Arial"/>
          <w:sz w:val="24"/>
          <w:szCs w:val="24"/>
        </w:rPr>
      </w:pPr>
    </w:p>
    <w:p w14:paraId="39E0E9DD" w14:textId="77777777" w:rsidR="00C3036D" w:rsidRPr="00FA3F9C" w:rsidRDefault="00C3036D"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284"/>
        <w:gridCol w:w="7470"/>
        <w:gridCol w:w="2538"/>
      </w:tblGrid>
      <w:tr w:rsidR="00C3036D" w:rsidRPr="00FA3F9C" w14:paraId="66B3092B" w14:textId="77777777" w:rsidTr="00FE491B">
        <w:tc>
          <w:tcPr>
            <w:tcW w:w="1008" w:type="dxa"/>
          </w:tcPr>
          <w:p w14:paraId="04789BA1" w14:textId="77777777" w:rsidR="00C3036D" w:rsidRPr="00FA3F9C" w:rsidRDefault="00C3036D" w:rsidP="006F623F">
            <w:pPr>
              <w:rPr>
                <w:rFonts w:ascii="Arial" w:hAnsi="Arial" w:cs="Arial"/>
                <w:sz w:val="24"/>
                <w:szCs w:val="24"/>
              </w:rPr>
            </w:pPr>
            <w:r w:rsidRPr="00FA3F9C">
              <w:rPr>
                <w:rFonts w:ascii="Arial" w:hAnsi="Arial" w:cs="Arial"/>
                <w:sz w:val="24"/>
                <w:szCs w:val="24"/>
              </w:rPr>
              <w:t>Date</w:t>
            </w:r>
          </w:p>
        </w:tc>
        <w:tc>
          <w:tcPr>
            <w:tcW w:w="7470" w:type="dxa"/>
          </w:tcPr>
          <w:p w14:paraId="21F728E3" w14:textId="77777777" w:rsidR="00C3036D" w:rsidRPr="00FA3F9C" w:rsidRDefault="00C3036D" w:rsidP="006F623F">
            <w:pPr>
              <w:rPr>
                <w:rFonts w:ascii="Arial" w:hAnsi="Arial" w:cs="Arial"/>
                <w:sz w:val="24"/>
                <w:szCs w:val="24"/>
              </w:rPr>
            </w:pPr>
            <w:r w:rsidRPr="00FA3F9C">
              <w:rPr>
                <w:rFonts w:ascii="Arial" w:hAnsi="Arial" w:cs="Arial"/>
                <w:sz w:val="24"/>
                <w:szCs w:val="24"/>
              </w:rPr>
              <w:t>What changed</w:t>
            </w:r>
          </w:p>
        </w:tc>
        <w:tc>
          <w:tcPr>
            <w:tcW w:w="2538" w:type="dxa"/>
          </w:tcPr>
          <w:p w14:paraId="21E84530" w14:textId="77777777" w:rsidR="00C3036D" w:rsidRPr="00FA3F9C" w:rsidRDefault="00C3036D" w:rsidP="006F623F">
            <w:pPr>
              <w:rPr>
                <w:rFonts w:ascii="Arial" w:hAnsi="Arial" w:cs="Arial"/>
                <w:sz w:val="24"/>
                <w:szCs w:val="24"/>
              </w:rPr>
            </w:pPr>
            <w:r w:rsidRPr="00FA3F9C">
              <w:rPr>
                <w:rFonts w:ascii="Arial" w:hAnsi="Arial" w:cs="Arial"/>
                <w:sz w:val="24"/>
                <w:szCs w:val="24"/>
              </w:rPr>
              <w:t>Pharmacist’s initials</w:t>
            </w:r>
          </w:p>
        </w:tc>
      </w:tr>
      <w:tr w:rsidR="00C3036D" w:rsidRPr="00FA3F9C" w14:paraId="431E2E4F" w14:textId="77777777" w:rsidTr="00FE491B">
        <w:tc>
          <w:tcPr>
            <w:tcW w:w="1008" w:type="dxa"/>
          </w:tcPr>
          <w:p w14:paraId="7D73A271" w14:textId="77777777" w:rsidR="00C3036D" w:rsidRPr="00FA3F9C" w:rsidRDefault="00C3036D" w:rsidP="006F623F">
            <w:pPr>
              <w:rPr>
                <w:rFonts w:ascii="Arial" w:hAnsi="Arial" w:cs="Arial"/>
                <w:sz w:val="24"/>
                <w:szCs w:val="24"/>
              </w:rPr>
            </w:pPr>
            <w:r w:rsidRPr="00FA3F9C">
              <w:rPr>
                <w:rFonts w:ascii="Arial" w:hAnsi="Arial" w:cs="Arial"/>
                <w:sz w:val="24"/>
                <w:szCs w:val="24"/>
              </w:rPr>
              <w:t>2016</w:t>
            </w:r>
          </w:p>
        </w:tc>
        <w:tc>
          <w:tcPr>
            <w:tcW w:w="7470" w:type="dxa"/>
          </w:tcPr>
          <w:p w14:paraId="582BB180" w14:textId="77777777" w:rsidR="00C3036D" w:rsidRPr="00FA3F9C" w:rsidRDefault="00C3036D" w:rsidP="006F623F">
            <w:pPr>
              <w:rPr>
                <w:rFonts w:ascii="Arial" w:hAnsi="Arial" w:cs="Arial"/>
                <w:sz w:val="24"/>
                <w:szCs w:val="24"/>
              </w:rPr>
            </w:pPr>
            <w:r w:rsidRPr="00FA3F9C">
              <w:rPr>
                <w:rFonts w:ascii="Arial" w:hAnsi="Arial" w:cs="Arial"/>
                <w:sz w:val="24"/>
                <w:szCs w:val="24"/>
              </w:rPr>
              <w:t>I wrote the criteria.</w:t>
            </w:r>
          </w:p>
        </w:tc>
        <w:tc>
          <w:tcPr>
            <w:tcW w:w="2538" w:type="dxa"/>
          </w:tcPr>
          <w:p w14:paraId="1F455D6F" w14:textId="54FF5BC9" w:rsidR="00C3036D" w:rsidRPr="00FA3F9C" w:rsidRDefault="005C142D" w:rsidP="006F623F">
            <w:pPr>
              <w:rPr>
                <w:rFonts w:ascii="Arial" w:hAnsi="Arial" w:cs="Arial"/>
                <w:sz w:val="24"/>
                <w:szCs w:val="24"/>
              </w:rPr>
            </w:pPr>
            <w:r w:rsidRPr="00FA3F9C">
              <w:rPr>
                <w:rFonts w:ascii="Arial" w:hAnsi="Arial" w:cs="Arial"/>
                <w:sz w:val="24"/>
                <w:szCs w:val="24"/>
              </w:rPr>
              <w:t>JJ</w:t>
            </w:r>
          </w:p>
        </w:tc>
      </w:tr>
      <w:tr w:rsidR="00C3036D" w:rsidRPr="00FA3F9C" w14:paraId="5E7E1484" w14:textId="77777777" w:rsidTr="00FE491B">
        <w:tc>
          <w:tcPr>
            <w:tcW w:w="1008" w:type="dxa"/>
          </w:tcPr>
          <w:p w14:paraId="77E3755F" w14:textId="77777777" w:rsidR="00C3036D" w:rsidRPr="00FA3F9C" w:rsidRDefault="00C3036D" w:rsidP="006F623F">
            <w:pPr>
              <w:rPr>
                <w:rFonts w:ascii="Arial" w:hAnsi="Arial" w:cs="Arial"/>
                <w:sz w:val="24"/>
                <w:szCs w:val="24"/>
              </w:rPr>
            </w:pPr>
            <w:r w:rsidRPr="00FA3F9C">
              <w:rPr>
                <w:rFonts w:ascii="Arial" w:hAnsi="Arial" w:cs="Arial"/>
                <w:sz w:val="24"/>
                <w:szCs w:val="24"/>
              </w:rPr>
              <w:t>7/24/2020</w:t>
            </w:r>
          </w:p>
        </w:tc>
        <w:tc>
          <w:tcPr>
            <w:tcW w:w="7470" w:type="dxa"/>
          </w:tcPr>
          <w:p w14:paraId="6C1AB432" w14:textId="77777777" w:rsidR="00C3036D" w:rsidRPr="00FA3F9C" w:rsidRDefault="00C3036D" w:rsidP="006F623F">
            <w:pPr>
              <w:rPr>
                <w:rFonts w:ascii="Arial" w:hAnsi="Arial" w:cs="Arial"/>
                <w:sz w:val="24"/>
                <w:szCs w:val="24"/>
              </w:rPr>
            </w:pPr>
            <w:r w:rsidRPr="00FA3F9C">
              <w:rPr>
                <w:rFonts w:ascii="Arial" w:hAnsi="Arial" w:cs="Arial"/>
                <w:sz w:val="24"/>
                <w:szCs w:val="24"/>
                <w:vertAlign w:val="superscript"/>
              </w:rPr>
              <w:t>5,6</w:t>
            </w:r>
            <w:r w:rsidRPr="00FA3F9C">
              <w:rPr>
                <w:rFonts w:ascii="Arial" w:hAnsi="Arial" w:cs="Arial"/>
                <w:sz w:val="24"/>
                <w:szCs w:val="24"/>
              </w:rPr>
              <w:t xml:space="preserve">I reduced the phenylalanine level at which someone qualifies for treatment from 600 </w:t>
            </w:r>
            <w:proofErr w:type="spellStart"/>
            <w:r w:rsidRPr="00FA3F9C">
              <w:rPr>
                <w:rFonts w:ascii="Arial" w:hAnsi="Arial" w:cs="Arial"/>
                <w:sz w:val="24"/>
                <w:szCs w:val="24"/>
              </w:rPr>
              <w:t>umol</w:t>
            </w:r>
            <w:proofErr w:type="spellEnd"/>
            <w:r w:rsidRPr="00FA3F9C">
              <w:rPr>
                <w:rFonts w:ascii="Arial" w:hAnsi="Arial" w:cs="Arial"/>
                <w:sz w:val="24"/>
                <w:szCs w:val="24"/>
              </w:rPr>
              <w:t xml:space="preserve">/L to </w:t>
            </w:r>
            <w:r w:rsidRPr="00FA3F9C">
              <w:rPr>
                <w:rFonts w:ascii="Arial" w:hAnsi="Arial" w:cs="Arial"/>
                <w:sz w:val="24"/>
                <w:szCs w:val="24"/>
                <w:highlight w:val="yellow"/>
              </w:rPr>
              <w:t>360umol/L</w:t>
            </w:r>
            <w:r w:rsidRPr="00FA3F9C">
              <w:rPr>
                <w:rFonts w:ascii="Arial" w:hAnsi="Arial" w:cs="Arial"/>
                <w:sz w:val="24"/>
                <w:szCs w:val="24"/>
              </w:rPr>
              <w:t xml:space="preserve"> per UpToDate (accessed 7/20/2020) that defines “mild hyperphenylalaninemia” as 360-600 </w:t>
            </w:r>
            <w:proofErr w:type="spellStart"/>
            <w:r w:rsidRPr="00FA3F9C">
              <w:rPr>
                <w:rFonts w:ascii="Arial" w:hAnsi="Arial" w:cs="Arial"/>
                <w:sz w:val="24"/>
                <w:szCs w:val="24"/>
              </w:rPr>
              <w:t>umol</w:t>
            </w:r>
            <w:proofErr w:type="spellEnd"/>
            <w:r w:rsidRPr="00FA3F9C">
              <w:rPr>
                <w:rFonts w:ascii="Arial" w:hAnsi="Arial" w:cs="Arial"/>
                <w:sz w:val="24"/>
                <w:szCs w:val="24"/>
              </w:rPr>
              <w:t xml:space="preserve">/L.   Call center pharmacists will need to record the initial phenylalanine level to be able to determine </w:t>
            </w:r>
            <w:proofErr w:type="gramStart"/>
            <w:r w:rsidRPr="00FA3F9C">
              <w:rPr>
                <w:rFonts w:ascii="Arial" w:hAnsi="Arial" w:cs="Arial"/>
                <w:sz w:val="24"/>
                <w:szCs w:val="24"/>
              </w:rPr>
              <w:t>whether or not</w:t>
            </w:r>
            <w:proofErr w:type="gramEnd"/>
            <w:r w:rsidRPr="00FA3F9C">
              <w:rPr>
                <w:rFonts w:ascii="Arial" w:hAnsi="Arial" w:cs="Arial"/>
                <w:sz w:val="24"/>
                <w:szCs w:val="24"/>
              </w:rPr>
              <w:t xml:space="preserve"> there was a 30% drop when they seek continuation of </w:t>
            </w:r>
            <w:proofErr w:type="spellStart"/>
            <w:r w:rsidRPr="00FA3F9C">
              <w:rPr>
                <w:rFonts w:ascii="Arial" w:hAnsi="Arial" w:cs="Arial"/>
                <w:sz w:val="24"/>
                <w:szCs w:val="24"/>
              </w:rPr>
              <w:t>sapropterin</w:t>
            </w:r>
            <w:proofErr w:type="spellEnd"/>
            <w:r w:rsidRPr="00FA3F9C">
              <w:rPr>
                <w:rFonts w:ascii="Arial" w:hAnsi="Arial" w:cs="Arial"/>
                <w:sz w:val="24"/>
                <w:szCs w:val="24"/>
              </w:rPr>
              <w:t xml:space="preserve">.  I also removed the upper age limit of 12y due to ongoing need for </w:t>
            </w:r>
            <w:proofErr w:type="spellStart"/>
            <w:r w:rsidRPr="00FA3F9C">
              <w:rPr>
                <w:rFonts w:ascii="Arial" w:hAnsi="Arial" w:cs="Arial"/>
                <w:sz w:val="24"/>
                <w:szCs w:val="24"/>
              </w:rPr>
              <w:t>sapropterin</w:t>
            </w:r>
            <w:proofErr w:type="spellEnd"/>
            <w:r w:rsidRPr="00FA3F9C">
              <w:rPr>
                <w:rFonts w:ascii="Arial" w:hAnsi="Arial" w:cs="Arial"/>
                <w:sz w:val="24"/>
                <w:szCs w:val="24"/>
              </w:rPr>
              <w:t xml:space="preserve"> after that age.</w:t>
            </w:r>
          </w:p>
        </w:tc>
        <w:tc>
          <w:tcPr>
            <w:tcW w:w="2538" w:type="dxa"/>
          </w:tcPr>
          <w:p w14:paraId="577FD793" w14:textId="059A2E51" w:rsidR="00C3036D" w:rsidRPr="00FA3F9C" w:rsidRDefault="005C142D" w:rsidP="006F623F">
            <w:pPr>
              <w:rPr>
                <w:rFonts w:ascii="Arial" w:hAnsi="Arial" w:cs="Arial"/>
                <w:sz w:val="24"/>
                <w:szCs w:val="24"/>
              </w:rPr>
            </w:pPr>
            <w:r w:rsidRPr="00FA3F9C">
              <w:rPr>
                <w:rFonts w:ascii="Arial" w:hAnsi="Arial" w:cs="Arial"/>
                <w:sz w:val="24"/>
                <w:szCs w:val="24"/>
              </w:rPr>
              <w:t>JJ</w:t>
            </w:r>
          </w:p>
        </w:tc>
      </w:tr>
    </w:tbl>
    <w:p w14:paraId="25E5FE4C" w14:textId="77777777" w:rsidR="00C3036D" w:rsidRPr="00FA3F9C" w:rsidRDefault="00C3036D" w:rsidP="006F623F">
      <w:pPr>
        <w:spacing w:after="0"/>
        <w:rPr>
          <w:rFonts w:ascii="Arial" w:hAnsi="Arial" w:cs="Arial"/>
          <w:sz w:val="24"/>
          <w:szCs w:val="24"/>
        </w:rPr>
      </w:pPr>
    </w:p>
    <w:p w14:paraId="2D3E5DFB" w14:textId="77777777" w:rsidR="00C3036D" w:rsidRPr="00FA3F9C" w:rsidRDefault="00C3036D" w:rsidP="0078218F">
      <w:pPr>
        <w:pStyle w:val="Heading2"/>
      </w:pPr>
      <w:bookmarkStart w:id="298" w:name="_Toc106369922"/>
      <w:proofErr w:type="spellStart"/>
      <w:r w:rsidRPr="00FA3F9C">
        <w:t>Sargramostim</w:t>
      </w:r>
      <w:proofErr w:type="spellEnd"/>
      <w:r w:rsidRPr="00FA3F9C">
        <w:t xml:space="preserve"> (</w:t>
      </w:r>
      <w:proofErr w:type="spellStart"/>
      <w:r w:rsidRPr="00FA3F9C">
        <w:t>Leukine</w:t>
      </w:r>
      <w:proofErr w:type="spellEnd"/>
      <w:r w:rsidRPr="00FA3F9C">
        <w:rPr>
          <w:vertAlign w:val="superscript"/>
        </w:rPr>
        <w:t>®</w:t>
      </w:r>
      <w:r w:rsidRPr="00FA3F9C">
        <w:t>)</w:t>
      </w:r>
      <w:bookmarkEnd w:id="298"/>
      <w:r w:rsidRPr="00FA3F9C">
        <w:t xml:space="preserve"> </w:t>
      </w:r>
    </w:p>
    <w:p w14:paraId="4CA82BB7" w14:textId="77777777" w:rsidR="00C3036D" w:rsidRPr="00FA3F9C" w:rsidRDefault="00C3036D" w:rsidP="00C10C60">
      <w:pPr>
        <w:pStyle w:val="NoSpacing"/>
        <w:jc w:val="center"/>
        <w:rPr>
          <w:rFonts w:ascii="Arial" w:hAnsi="Arial" w:cs="Arial"/>
          <w:sz w:val="24"/>
          <w:szCs w:val="24"/>
        </w:rPr>
      </w:pPr>
      <w:r w:rsidRPr="00FA3F9C">
        <w:rPr>
          <w:rFonts w:ascii="Arial" w:hAnsi="Arial" w:cs="Arial"/>
          <w:sz w:val="24"/>
          <w:szCs w:val="24"/>
        </w:rPr>
        <w:t>250mcg powder for reconstitution,</w:t>
      </w:r>
    </w:p>
    <w:p w14:paraId="6AA1FAE6" w14:textId="77777777" w:rsidR="00C3036D" w:rsidRPr="00FA3F9C" w:rsidRDefault="00C3036D" w:rsidP="00C10C60">
      <w:pPr>
        <w:pStyle w:val="NoSpacing"/>
        <w:jc w:val="center"/>
        <w:rPr>
          <w:rFonts w:ascii="Arial" w:hAnsi="Arial" w:cs="Arial"/>
          <w:sz w:val="24"/>
          <w:szCs w:val="24"/>
        </w:rPr>
      </w:pPr>
      <w:r w:rsidRPr="00FA3F9C">
        <w:rPr>
          <w:rFonts w:ascii="Arial" w:hAnsi="Arial" w:cs="Arial"/>
          <w:sz w:val="24"/>
          <w:szCs w:val="24"/>
        </w:rPr>
        <w:lastRenderedPageBreak/>
        <w:t xml:space="preserve">500mcg/mL (1mL) solution for </w:t>
      </w:r>
      <w:proofErr w:type="spellStart"/>
      <w:r w:rsidRPr="00FA3F9C">
        <w:rPr>
          <w:rFonts w:ascii="Arial" w:hAnsi="Arial" w:cs="Arial"/>
          <w:sz w:val="24"/>
          <w:szCs w:val="24"/>
        </w:rPr>
        <w:t>inj</w:t>
      </w:r>
      <w:proofErr w:type="spellEnd"/>
    </w:p>
    <w:p w14:paraId="63232737" w14:textId="77777777" w:rsidR="00C3036D" w:rsidRPr="00FA3F9C" w:rsidRDefault="00C3036D" w:rsidP="00C10C60">
      <w:pPr>
        <w:pStyle w:val="NoSpacing"/>
        <w:jc w:val="center"/>
        <w:rPr>
          <w:rFonts w:ascii="Arial" w:hAnsi="Arial" w:cs="Arial"/>
          <w:sz w:val="24"/>
          <w:szCs w:val="24"/>
        </w:rPr>
      </w:pPr>
      <w:r w:rsidRPr="00FA3F9C">
        <w:rPr>
          <w:rFonts w:ascii="Arial" w:hAnsi="Arial" w:cs="Arial"/>
          <w:sz w:val="24"/>
          <w:szCs w:val="24"/>
        </w:rPr>
        <w:t>IV or SC</w:t>
      </w:r>
    </w:p>
    <w:p w14:paraId="56A444C4" w14:textId="77777777" w:rsidR="00C3036D" w:rsidRPr="00FA3F9C" w:rsidRDefault="00C3036D" w:rsidP="00C10C60">
      <w:pPr>
        <w:pStyle w:val="NoSpacing"/>
        <w:jc w:val="center"/>
        <w:rPr>
          <w:rFonts w:ascii="Arial" w:hAnsi="Arial" w:cs="Arial"/>
          <w:sz w:val="24"/>
          <w:szCs w:val="24"/>
        </w:rPr>
      </w:pPr>
      <w:r w:rsidRPr="00FA3F9C">
        <w:rPr>
          <w:rFonts w:ascii="Arial" w:hAnsi="Arial" w:cs="Arial"/>
          <w:sz w:val="24"/>
          <w:szCs w:val="24"/>
        </w:rPr>
        <w:t>EBRx PA Criteria</w:t>
      </w:r>
    </w:p>
    <w:p w14:paraId="76EF0098" w14:textId="77777777" w:rsidR="00C3036D" w:rsidRPr="00FA3F9C" w:rsidRDefault="00C3036D" w:rsidP="00C10C60">
      <w:pPr>
        <w:pStyle w:val="NoSpacing"/>
        <w:jc w:val="center"/>
        <w:rPr>
          <w:rFonts w:ascii="Arial" w:hAnsi="Arial" w:cs="Arial"/>
          <w:sz w:val="24"/>
          <w:szCs w:val="24"/>
        </w:rPr>
      </w:pPr>
    </w:p>
    <w:p w14:paraId="49F6CEEA" w14:textId="77777777" w:rsidR="00C3036D" w:rsidRPr="00FA3F9C" w:rsidRDefault="00C3036D" w:rsidP="00C10C60">
      <w:pPr>
        <w:pStyle w:val="NoSpacing"/>
        <w:rPr>
          <w:rFonts w:ascii="Arial" w:hAnsi="Arial" w:cs="Arial"/>
          <w:b/>
          <w:sz w:val="24"/>
          <w:szCs w:val="24"/>
        </w:rPr>
      </w:pPr>
      <w:r w:rsidRPr="00FA3F9C">
        <w:rPr>
          <w:rFonts w:ascii="Arial" w:hAnsi="Arial" w:cs="Arial"/>
          <w:b/>
          <w:sz w:val="24"/>
          <w:szCs w:val="24"/>
        </w:rPr>
        <w:t>FDA-approved indications:</w:t>
      </w:r>
    </w:p>
    <w:p w14:paraId="1C6CBF0D" w14:textId="77777777" w:rsidR="00C3036D" w:rsidRPr="00FA3F9C" w:rsidRDefault="00500371" w:rsidP="00FC1E85">
      <w:pPr>
        <w:pStyle w:val="NoSpacing"/>
        <w:numPr>
          <w:ilvl w:val="0"/>
          <w:numId w:val="463"/>
        </w:numPr>
        <w:rPr>
          <w:rFonts w:ascii="Arial" w:hAnsi="Arial" w:cs="Arial"/>
          <w:sz w:val="24"/>
          <w:szCs w:val="24"/>
        </w:rPr>
      </w:pPr>
      <w:hyperlink w:anchor="Table5" w:history="1">
        <w:r w:rsidR="00C3036D" w:rsidRPr="00FA3F9C">
          <w:rPr>
            <w:rStyle w:val="Hyperlink"/>
            <w:rFonts w:ascii="Arial" w:hAnsi="Arial" w:cs="Arial"/>
            <w:sz w:val="24"/>
            <w:szCs w:val="24"/>
          </w:rPr>
          <w:t>Autologous or allogeneic bone marrow transplant failure or engraftment delay</w:t>
        </w:r>
      </w:hyperlink>
      <w:r w:rsidR="00C3036D" w:rsidRPr="00FA3F9C">
        <w:rPr>
          <w:rFonts w:ascii="Arial" w:hAnsi="Arial" w:cs="Arial"/>
          <w:sz w:val="24"/>
          <w:szCs w:val="24"/>
        </w:rPr>
        <w:t xml:space="preserve"> (</w:t>
      </w:r>
      <w:r w:rsidR="00C3036D" w:rsidRPr="00FA3F9C">
        <w:rPr>
          <w:rFonts w:ascii="Arial" w:hAnsi="Arial" w:cs="Arial"/>
          <w:sz w:val="24"/>
          <w:szCs w:val="24"/>
          <w:highlight w:val="yellow"/>
        </w:rPr>
        <w:t>select link to see criteria</w:t>
      </w:r>
      <w:r w:rsidR="00C3036D" w:rsidRPr="00FA3F9C">
        <w:rPr>
          <w:rFonts w:ascii="Arial" w:hAnsi="Arial" w:cs="Arial"/>
          <w:sz w:val="24"/>
          <w:szCs w:val="24"/>
        </w:rPr>
        <w:t>)</w:t>
      </w:r>
    </w:p>
    <w:p w14:paraId="12EA199C" w14:textId="77777777" w:rsidR="00C3036D" w:rsidRPr="00FA3F9C" w:rsidRDefault="00C3036D" w:rsidP="00FC1E85">
      <w:pPr>
        <w:pStyle w:val="NoSpacing"/>
        <w:numPr>
          <w:ilvl w:val="1"/>
          <w:numId w:val="463"/>
        </w:numPr>
        <w:rPr>
          <w:rFonts w:ascii="Arial" w:hAnsi="Arial" w:cs="Arial"/>
          <w:sz w:val="24"/>
          <w:szCs w:val="24"/>
        </w:rPr>
      </w:pPr>
      <w:r w:rsidRPr="00FA3F9C">
        <w:rPr>
          <w:rFonts w:ascii="Arial" w:hAnsi="Arial" w:cs="Arial"/>
          <w:sz w:val="24"/>
          <w:szCs w:val="24"/>
        </w:rPr>
        <w:t>For treatment of delayed neutrophil recovery or graft failure after autologous or allogeneic bone marrow transplantation in adult and pediatric patients 2 years of age and older</w:t>
      </w:r>
    </w:p>
    <w:p w14:paraId="39E53EE1" w14:textId="77777777" w:rsidR="00C3036D" w:rsidRPr="00FA3F9C" w:rsidRDefault="00C3036D" w:rsidP="00FC1E85">
      <w:pPr>
        <w:pStyle w:val="NoSpacing"/>
        <w:numPr>
          <w:ilvl w:val="0"/>
          <w:numId w:val="463"/>
        </w:numPr>
        <w:rPr>
          <w:rFonts w:ascii="Arial" w:hAnsi="Arial" w:cs="Arial"/>
          <w:sz w:val="24"/>
          <w:szCs w:val="24"/>
        </w:rPr>
      </w:pPr>
      <w:r w:rsidRPr="00FA3F9C">
        <w:rPr>
          <w:rFonts w:ascii="Arial" w:hAnsi="Arial" w:cs="Arial"/>
          <w:sz w:val="24"/>
          <w:szCs w:val="24"/>
        </w:rPr>
        <w:t>Mobilization of Peripheral Blood Progenitor Cells (PBPC) for autologous transplantation</w:t>
      </w:r>
    </w:p>
    <w:p w14:paraId="2AAA02F9" w14:textId="77777777" w:rsidR="00C3036D" w:rsidRPr="00FA3F9C" w:rsidRDefault="00C3036D" w:rsidP="00FC1E85">
      <w:pPr>
        <w:pStyle w:val="NoSpacing"/>
        <w:numPr>
          <w:ilvl w:val="1"/>
          <w:numId w:val="463"/>
        </w:numPr>
        <w:rPr>
          <w:rFonts w:ascii="Arial" w:hAnsi="Arial" w:cs="Arial"/>
          <w:sz w:val="24"/>
          <w:szCs w:val="24"/>
        </w:rPr>
      </w:pPr>
      <w:r w:rsidRPr="00FA3F9C">
        <w:rPr>
          <w:rFonts w:ascii="Arial" w:hAnsi="Arial" w:cs="Arial"/>
          <w:sz w:val="24"/>
          <w:szCs w:val="24"/>
        </w:rPr>
        <w:t>For the mobilization of hematopoietic progenitor cells into peripheral blood for collection by leukapheresis and autologous transplantation in adult patients</w:t>
      </w:r>
    </w:p>
    <w:p w14:paraId="5740DE00" w14:textId="77777777" w:rsidR="00C3036D" w:rsidRPr="00FA3F9C" w:rsidRDefault="00C3036D" w:rsidP="00FC1E85">
      <w:pPr>
        <w:pStyle w:val="NoSpacing"/>
        <w:numPr>
          <w:ilvl w:val="1"/>
          <w:numId w:val="463"/>
        </w:numPr>
        <w:rPr>
          <w:rFonts w:ascii="Arial" w:hAnsi="Arial" w:cs="Arial"/>
          <w:sz w:val="24"/>
          <w:szCs w:val="24"/>
        </w:rPr>
      </w:pPr>
      <w:r w:rsidRPr="00FA3F9C">
        <w:rPr>
          <w:rFonts w:ascii="Arial" w:hAnsi="Arial" w:cs="Arial"/>
          <w:sz w:val="24"/>
          <w:szCs w:val="24"/>
          <w:highlight w:val="cyan"/>
        </w:rPr>
        <w:t>Not a covered use.</w:t>
      </w:r>
      <w:r w:rsidRPr="00FA3F9C">
        <w:rPr>
          <w:rFonts w:ascii="Arial" w:hAnsi="Arial" w:cs="Arial"/>
          <w:sz w:val="24"/>
          <w:szCs w:val="24"/>
        </w:rPr>
        <w:t xml:space="preserve"> Filgrastim is preferred by American Society of Blood and Marrow Transplantation guidelines and EBRx. Reference: Duong HK et al. Biol Blood Marrow Transplant. 2014 Sep;20(9):1262-73. PMID 24816581</w:t>
      </w:r>
    </w:p>
    <w:p w14:paraId="6E919424" w14:textId="77777777" w:rsidR="00C3036D" w:rsidRPr="00FA3F9C" w:rsidRDefault="00C3036D" w:rsidP="00FC1E85">
      <w:pPr>
        <w:pStyle w:val="NoSpacing"/>
        <w:numPr>
          <w:ilvl w:val="0"/>
          <w:numId w:val="463"/>
        </w:numPr>
        <w:rPr>
          <w:rFonts w:ascii="Arial" w:hAnsi="Arial" w:cs="Arial"/>
          <w:sz w:val="24"/>
          <w:szCs w:val="24"/>
        </w:rPr>
      </w:pPr>
      <w:r w:rsidRPr="00FA3F9C">
        <w:rPr>
          <w:rFonts w:ascii="Arial" w:hAnsi="Arial" w:cs="Arial"/>
          <w:sz w:val="24"/>
          <w:szCs w:val="24"/>
        </w:rPr>
        <w:t>Acute myeloid leukemia (AML)</w:t>
      </w:r>
    </w:p>
    <w:p w14:paraId="61ED29BA" w14:textId="77777777" w:rsidR="00C3036D" w:rsidRPr="00FA3F9C" w:rsidRDefault="00C3036D" w:rsidP="00FC1E85">
      <w:pPr>
        <w:pStyle w:val="NoSpacing"/>
        <w:numPr>
          <w:ilvl w:val="1"/>
          <w:numId w:val="463"/>
        </w:numPr>
        <w:rPr>
          <w:rFonts w:ascii="Arial" w:hAnsi="Arial" w:cs="Arial"/>
          <w:sz w:val="24"/>
          <w:szCs w:val="24"/>
        </w:rPr>
      </w:pPr>
      <w:r w:rsidRPr="00FA3F9C">
        <w:rPr>
          <w:rFonts w:ascii="Arial" w:hAnsi="Arial" w:cs="Arial"/>
          <w:sz w:val="24"/>
          <w:szCs w:val="24"/>
        </w:rPr>
        <w:t xml:space="preserve">To shorten time to neutrophil recovery and to reduce the incidence of severe and life-threatening infections and infections resulting in death following induction chemotherapy in adult patients 55 years and older with acute myeloid leukemia (AML). </w:t>
      </w:r>
    </w:p>
    <w:p w14:paraId="6266C020" w14:textId="77777777" w:rsidR="00C3036D" w:rsidRPr="00FA3F9C" w:rsidRDefault="00C3036D" w:rsidP="00FC1E85">
      <w:pPr>
        <w:pStyle w:val="NoSpacing"/>
        <w:numPr>
          <w:ilvl w:val="1"/>
          <w:numId w:val="463"/>
        </w:numPr>
        <w:rPr>
          <w:rFonts w:ascii="Arial" w:hAnsi="Arial" w:cs="Arial"/>
          <w:sz w:val="24"/>
          <w:szCs w:val="24"/>
        </w:rPr>
      </w:pPr>
      <w:r w:rsidRPr="00FA3F9C">
        <w:rPr>
          <w:rFonts w:ascii="Arial" w:hAnsi="Arial" w:cs="Arial"/>
          <w:sz w:val="24"/>
          <w:szCs w:val="24"/>
          <w:highlight w:val="cyan"/>
        </w:rPr>
        <w:t xml:space="preserve">Not a covered use </w:t>
      </w:r>
      <w:r w:rsidRPr="00FA3F9C">
        <w:rPr>
          <w:rFonts w:ascii="Arial" w:hAnsi="Arial" w:cs="Arial"/>
          <w:sz w:val="24"/>
          <w:szCs w:val="24"/>
        </w:rPr>
        <w:t>. Filgrastim is preferred due to similar or lower cost and more convenient dosage forms.</w:t>
      </w:r>
    </w:p>
    <w:p w14:paraId="1AE5799F" w14:textId="77777777" w:rsidR="00C3036D" w:rsidRPr="00FA3F9C" w:rsidRDefault="00C3036D" w:rsidP="00FC1E85">
      <w:pPr>
        <w:pStyle w:val="NoSpacing"/>
        <w:numPr>
          <w:ilvl w:val="0"/>
          <w:numId w:val="463"/>
        </w:numPr>
        <w:rPr>
          <w:rFonts w:ascii="Arial" w:hAnsi="Arial" w:cs="Arial"/>
          <w:sz w:val="24"/>
          <w:szCs w:val="24"/>
        </w:rPr>
      </w:pPr>
      <w:r w:rsidRPr="00FA3F9C">
        <w:rPr>
          <w:rFonts w:ascii="Arial" w:hAnsi="Arial" w:cs="Arial"/>
          <w:sz w:val="24"/>
          <w:szCs w:val="24"/>
        </w:rPr>
        <w:t xml:space="preserve">Autologous bone marrow or peripheral blood progenitor cell (PBPC) Transplantation </w:t>
      </w:r>
    </w:p>
    <w:p w14:paraId="7077951C" w14:textId="77777777" w:rsidR="00C3036D" w:rsidRPr="00FA3F9C" w:rsidRDefault="00C3036D" w:rsidP="00FC1E85">
      <w:pPr>
        <w:pStyle w:val="NoSpacing"/>
        <w:numPr>
          <w:ilvl w:val="1"/>
          <w:numId w:val="463"/>
        </w:numPr>
        <w:rPr>
          <w:rFonts w:ascii="Arial" w:hAnsi="Arial" w:cs="Arial"/>
          <w:sz w:val="24"/>
          <w:szCs w:val="24"/>
        </w:rPr>
      </w:pPr>
      <w:r w:rsidRPr="00FA3F9C">
        <w:rPr>
          <w:rFonts w:ascii="Arial" w:hAnsi="Arial" w:cs="Arial"/>
          <w:sz w:val="24"/>
          <w:szCs w:val="24"/>
        </w:rPr>
        <w:t xml:space="preserve">For the acceleration of myeloid reconstitution following autologous bone marrow or peripheral blood progenitor cell transplantation in adult and pediatric patients 2 years of age and older </w:t>
      </w:r>
    </w:p>
    <w:p w14:paraId="36A056E6" w14:textId="77777777" w:rsidR="00C3036D" w:rsidRPr="00FA3F9C" w:rsidRDefault="00C3036D" w:rsidP="00FC1E85">
      <w:pPr>
        <w:pStyle w:val="NoSpacing"/>
        <w:numPr>
          <w:ilvl w:val="1"/>
          <w:numId w:val="463"/>
        </w:numPr>
        <w:rPr>
          <w:rFonts w:ascii="Arial" w:hAnsi="Arial" w:cs="Arial"/>
          <w:sz w:val="24"/>
          <w:szCs w:val="24"/>
        </w:rPr>
      </w:pPr>
      <w:r w:rsidRPr="00FA3F9C">
        <w:rPr>
          <w:rFonts w:ascii="Arial" w:hAnsi="Arial" w:cs="Arial"/>
          <w:sz w:val="24"/>
          <w:szCs w:val="24"/>
          <w:highlight w:val="cyan"/>
        </w:rPr>
        <w:t xml:space="preserve">Not a covered use. </w:t>
      </w:r>
      <w:r w:rsidRPr="00FA3F9C">
        <w:rPr>
          <w:rFonts w:ascii="Arial" w:hAnsi="Arial" w:cs="Arial"/>
          <w:sz w:val="24"/>
          <w:szCs w:val="24"/>
        </w:rPr>
        <w:t>Filgrastim is preferred due to similar or lower cost and more convenient dosage forms.</w:t>
      </w:r>
    </w:p>
    <w:p w14:paraId="4032759E" w14:textId="77777777" w:rsidR="00C3036D" w:rsidRPr="00FA3F9C" w:rsidRDefault="00C3036D" w:rsidP="00FC1E85">
      <w:pPr>
        <w:pStyle w:val="NoSpacing"/>
        <w:numPr>
          <w:ilvl w:val="0"/>
          <w:numId w:val="463"/>
        </w:numPr>
        <w:rPr>
          <w:rFonts w:ascii="Arial" w:hAnsi="Arial" w:cs="Arial"/>
          <w:sz w:val="24"/>
          <w:szCs w:val="24"/>
        </w:rPr>
      </w:pPr>
      <w:r w:rsidRPr="00FA3F9C">
        <w:rPr>
          <w:rFonts w:ascii="Arial" w:hAnsi="Arial" w:cs="Arial"/>
          <w:sz w:val="24"/>
          <w:szCs w:val="24"/>
        </w:rPr>
        <w:t>Allogeneic bone marrow transplantation</w:t>
      </w:r>
    </w:p>
    <w:p w14:paraId="6AD713D9" w14:textId="77777777" w:rsidR="00C3036D" w:rsidRPr="00FA3F9C" w:rsidRDefault="00C3036D" w:rsidP="00FC1E85">
      <w:pPr>
        <w:pStyle w:val="NoSpacing"/>
        <w:numPr>
          <w:ilvl w:val="1"/>
          <w:numId w:val="463"/>
        </w:numPr>
        <w:rPr>
          <w:rFonts w:ascii="Arial" w:hAnsi="Arial" w:cs="Arial"/>
          <w:sz w:val="24"/>
          <w:szCs w:val="24"/>
        </w:rPr>
      </w:pPr>
      <w:r w:rsidRPr="00FA3F9C">
        <w:rPr>
          <w:rFonts w:ascii="Arial" w:hAnsi="Arial" w:cs="Arial"/>
          <w:sz w:val="24"/>
          <w:szCs w:val="24"/>
        </w:rPr>
        <w:t>For the acceleration of myeloid reconstitution following allogeneic bone marrow transplantation in adult and pediatric patients 2 years of age and older</w:t>
      </w:r>
    </w:p>
    <w:p w14:paraId="582169C9" w14:textId="77777777" w:rsidR="00C3036D" w:rsidRPr="00FA3F9C" w:rsidRDefault="00C3036D" w:rsidP="00FC1E85">
      <w:pPr>
        <w:pStyle w:val="NoSpacing"/>
        <w:numPr>
          <w:ilvl w:val="1"/>
          <w:numId w:val="463"/>
        </w:numPr>
        <w:rPr>
          <w:rFonts w:ascii="Arial" w:hAnsi="Arial" w:cs="Arial"/>
          <w:sz w:val="24"/>
          <w:szCs w:val="24"/>
        </w:rPr>
      </w:pPr>
      <w:r w:rsidRPr="00FA3F9C">
        <w:rPr>
          <w:rFonts w:ascii="Arial" w:hAnsi="Arial" w:cs="Arial"/>
          <w:sz w:val="24"/>
          <w:szCs w:val="24"/>
          <w:highlight w:val="cyan"/>
        </w:rPr>
        <w:t xml:space="preserve">Not a covered use. </w:t>
      </w:r>
      <w:r w:rsidRPr="00FA3F9C">
        <w:rPr>
          <w:rFonts w:ascii="Arial" w:hAnsi="Arial" w:cs="Arial"/>
          <w:sz w:val="24"/>
          <w:szCs w:val="24"/>
        </w:rPr>
        <w:t>Filgrastim is preferred due to similar or lower cost and more convenient dosage forms.</w:t>
      </w:r>
    </w:p>
    <w:p w14:paraId="14E42AE6" w14:textId="77777777" w:rsidR="00C3036D" w:rsidRPr="00FA3F9C" w:rsidRDefault="00C3036D" w:rsidP="00FC1E85">
      <w:pPr>
        <w:pStyle w:val="NoSpacing"/>
        <w:numPr>
          <w:ilvl w:val="0"/>
          <w:numId w:val="463"/>
        </w:numPr>
        <w:rPr>
          <w:rFonts w:ascii="Arial" w:hAnsi="Arial" w:cs="Arial"/>
          <w:sz w:val="24"/>
          <w:szCs w:val="24"/>
        </w:rPr>
      </w:pPr>
      <w:r w:rsidRPr="00FA3F9C">
        <w:rPr>
          <w:rFonts w:ascii="Arial" w:hAnsi="Arial" w:cs="Arial"/>
          <w:sz w:val="24"/>
          <w:szCs w:val="24"/>
        </w:rPr>
        <w:t xml:space="preserve">Hematopoietic Syndrome of Acute Radiation Syndrome </w:t>
      </w:r>
    </w:p>
    <w:p w14:paraId="104E7C18" w14:textId="77777777" w:rsidR="00C3036D" w:rsidRPr="00FA3F9C" w:rsidRDefault="00C3036D" w:rsidP="00FC1E85">
      <w:pPr>
        <w:pStyle w:val="NoSpacing"/>
        <w:numPr>
          <w:ilvl w:val="1"/>
          <w:numId w:val="463"/>
        </w:numPr>
        <w:rPr>
          <w:rFonts w:ascii="Arial" w:hAnsi="Arial" w:cs="Arial"/>
          <w:sz w:val="24"/>
          <w:szCs w:val="24"/>
        </w:rPr>
      </w:pPr>
      <w:r w:rsidRPr="00FA3F9C">
        <w:rPr>
          <w:rFonts w:ascii="Arial" w:hAnsi="Arial" w:cs="Arial"/>
          <w:sz w:val="24"/>
          <w:szCs w:val="24"/>
        </w:rPr>
        <w:t>To increase survival in adult and pediatric patients from birth to 17 years of age acutely exposed to myelosuppressive doses of radiation</w:t>
      </w:r>
    </w:p>
    <w:p w14:paraId="2DFB6396" w14:textId="77777777" w:rsidR="00C3036D" w:rsidRPr="00FA3F9C" w:rsidRDefault="00C3036D" w:rsidP="00FC1E85">
      <w:pPr>
        <w:pStyle w:val="NoSpacing"/>
        <w:numPr>
          <w:ilvl w:val="1"/>
          <w:numId w:val="463"/>
        </w:numPr>
        <w:rPr>
          <w:rFonts w:ascii="Arial" w:hAnsi="Arial" w:cs="Arial"/>
          <w:sz w:val="24"/>
          <w:szCs w:val="24"/>
        </w:rPr>
      </w:pPr>
      <w:r w:rsidRPr="00FA3F9C">
        <w:rPr>
          <w:rFonts w:ascii="Arial" w:hAnsi="Arial" w:cs="Arial"/>
          <w:sz w:val="24"/>
          <w:szCs w:val="24"/>
          <w:highlight w:val="cyan"/>
        </w:rPr>
        <w:t xml:space="preserve">Not a covered use. </w:t>
      </w:r>
      <w:r w:rsidRPr="00FA3F9C">
        <w:rPr>
          <w:rFonts w:ascii="Arial" w:hAnsi="Arial" w:cs="Arial"/>
          <w:sz w:val="24"/>
          <w:szCs w:val="24"/>
        </w:rPr>
        <w:t>Filgrastim is preferred due to similar or lower cost and more convenient dosage forms.</w:t>
      </w:r>
    </w:p>
    <w:p w14:paraId="2028342E" w14:textId="77777777" w:rsidR="00C3036D" w:rsidRPr="00FA3F9C" w:rsidRDefault="00C3036D" w:rsidP="006B31FE">
      <w:pPr>
        <w:pStyle w:val="NoSpacing"/>
        <w:rPr>
          <w:rFonts w:ascii="Arial" w:hAnsi="Arial" w:cs="Arial"/>
          <w:sz w:val="24"/>
          <w:szCs w:val="24"/>
        </w:rPr>
      </w:pPr>
    </w:p>
    <w:p w14:paraId="41669583" w14:textId="77777777" w:rsidR="00C3036D" w:rsidRPr="00FA3F9C" w:rsidRDefault="00C3036D" w:rsidP="006B31FE">
      <w:pPr>
        <w:pStyle w:val="NoSpacing"/>
        <w:rPr>
          <w:rFonts w:ascii="Arial" w:hAnsi="Arial" w:cs="Arial"/>
          <w:b/>
          <w:sz w:val="24"/>
          <w:szCs w:val="24"/>
        </w:rPr>
      </w:pPr>
    </w:p>
    <w:p w14:paraId="1782A366" w14:textId="77777777" w:rsidR="00C3036D" w:rsidRPr="00FA3F9C" w:rsidRDefault="00C3036D" w:rsidP="006B31FE">
      <w:pPr>
        <w:pStyle w:val="NoSpacing"/>
        <w:rPr>
          <w:rFonts w:ascii="Arial" w:hAnsi="Arial" w:cs="Arial"/>
          <w:b/>
          <w:sz w:val="24"/>
          <w:szCs w:val="24"/>
        </w:rPr>
      </w:pPr>
      <w:r w:rsidRPr="00FA3F9C">
        <w:rPr>
          <w:rFonts w:ascii="Arial" w:hAnsi="Arial" w:cs="Arial"/>
          <w:b/>
          <w:sz w:val="24"/>
          <w:szCs w:val="24"/>
        </w:rPr>
        <w:t>Off-label indications (</w:t>
      </w:r>
      <w:r w:rsidRPr="00FA3F9C">
        <w:rPr>
          <w:rFonts w:ascii="Arial" w:hAnsi="Arial" w:cs="Arial"/>
          <w:b/>
          <w:sz w:val="24"/>
          <w:szCs w:val="24"/>
          <w:highlight w:val="cyan"/>
        </w:rPr>
        <w:t>none are covered uses</w:t>
      </w:r>
      <w:r w:rsidRPr="00FA3F9C">
        <w:rPr>
          <w:rFonts w:ascii="Arial" w:hAnsi="Arial" w:cs="Arial"/>
          <w:b/>
          <w:sz w:val="24"/>
          <w:szCs w:val="24"/>
        </w:rPr>
        <w:t>):</w:t>
      </w:r>
    </w:p>
    <w:p w14:paraId="09C34D9C" w14:textId="77777777" w:rsidR="00C3036D" w:rsidRPr="00FA3F9C" w:rsidRDefault="00C3036D" w:rsidP="00FC1E85">
      <w:pPr>
        <w:pStyle w:val="NoSpacing"/>
        <w:numPr>
          <w:ilvl w:val="0"/>
          <w:numId w:val="466"/>
        </w:numPr>
        <w:rPr>
          <w:rFonts w:ascii="Arial" w:hAnsi="Arial" w:cs="Arial"/>
          <w:sz w:val="24"/>
          <w:szCs w:val="24"/>
        </w:rPr>
      </w:pPr>
      <w:r w:rsidRPr="00FA3F9C">
        <w:rPr>
          <w:rFonts w:ascii="Arial" w:hAnsi="Arial" w:cs="Arial"/>
          <w:sz w:val="24"/>
          <w:szCs w:val="24"/>
        </w:rPr>
        <w:lastRenderedPageBreak/>
        <w:t>Crohn’s Disease</w:t>
      </w:r>
    </w:p>
    <w:p w14:paraId="24850D13" w14:textId="77777777" w:rsidR="00C3036D" w:rsidRPr="00FA3F9C" w:rsidRDefault="00C3036D" w:rsidP="00FC1E85">
      <w:pPr>
        <w:pStyle w:val="NoSpacing"/>
        <w:numPr>
          <w:ilvl w:val="1"/>
          <w:numId w:val="466"/>
        </w:numPr>
        <w:rPr>
          <w:rFonts w:ascii="Arial" w:hAnsi="Arial" w:cs="Arial"/>
          <w:sz w:val="24"/>
          <w:szCs w:val="24"/>
        </w:rPr>
      </w:pPr>
      <w:r w:rsidRPr="00FA3F9C">
        <w:rPr>
          <w:rFonts w:ascii="Arial" w:hAnsi="Arial" w:cs="Arial"/>
          <w:sz w:val="24"/>
          <w:szCs w:val="24"/>
        </w:rPr>
        <w:t xml:space="preserve">Cochrane analysis shows that </w:t>
      </w:r>
      <w:proofErr w:type="spellStart"/>
      <w:r w:rsidRPr="00FA3F9C">
        <w:rPr>
          <w:rFonts w:ascii="Arial" w:hAnsi="Arial" w:cs="Arial"/>
          <w:sz w:val="24"/>
          <w:szCs w:val="24"/>
        </w:rPr>
        <w:t>sargramostim</w:t>
      </w:r>
      <w:proofErr w:type="spellEnd"/>
      <w:r w:rsidRPr="00FA3F9C">
        <w:rPr>
          <w:rFonts w:ascii="Arial" w:hAnsi="Arial" w:cs="Arial"/>
          <w:sz w:val="24"/>
          <w:szCs w:val="24"/>
        </w:rPr>
        <w:t xml:space="preserve"> is no better than placebo for induction of remission </w:t>
      </w:r>
    </w:p>
    <w:p w14:paraId="1F535C9C" w14:textId="77777777" w:rsidR="00C3036D" w:rsidRPr="00FA3F9C" w:rsidRDefault="00C3036D" w:rsidP="00FC1E85">
      <w:pPr>
        <w:pStyle w:val="NoSpacing"/>
        <w:numPr>
          <w:ilvl w:val="1"/>
          <w:numId w:val="466"/>
        </w:numPr>
        <w:rPr>
          <w:rFonts w:ascii="Arial" w:hAnsi="Arial" w:cs="Arial"/>
          <w:sz w:val="24"/>
          <w:szCs w:val="24"/>
        </w:rPr>
      </w:pPr>
      <w:proofErr w:type="spellStart"/>
      <w:r w:rsidRPr="00FA3F9C">
        <w:rPr>
          <w:rFonts w:ascii="Arial" w:hAnsi="Arial" w:cs="Arial"/>
          <w:sz w:val="24"/>
          <w:szCs w:val="24"/>
        </w:rPr>
        <w:t>Sargramostim</w:t>
      </w:r>
      <w:proofErr w:type="spellEnd"/>
      <w:r w:rsidRPr="00FA3F9C">
        <w:rPr>
          <w:rFonts w:ascii="Arial" w:hAnsi="Arial" w:cs="Arial"/>
          <w:sz w:val="24"/>
          <w:szCs w:val="24"/>
        </w:rPr>
        <w:t xml:space="preserve"> is not recommended by the American College of Gastroenterology guidelines</w:t>
      </w:r>
    </w:p>
    <w:p w14:paraId="5C1483D1" w14:textId="77777777" w:rsidR="00C3036D" w:rsidRPr="00FA3F9C" w:rsidRDefault="00C3036D" w:rsidP="00FC1E85">
      <w:pPr>
        <w:pStyle w:val="NoSpacing"/>
        <w:numPr>
          <w:ilvl w:val="1"/>
          <w:numId w:val="466"/>
        </w:numPr>
        <w:rPr>
          <w:rFonts w:ascii="Arial" w:hAnsi="Arial" w:cs="Arial"/>
          <w:sz w:val="24"/>
          <w:szCs w:val="24"/>
        </w:rPr>
      </w:pPr>
      <w:r w:rsidRPr="00FA3F9C">
        <w:rPr>
          <w:rFonts w:ascii="Arial" w:hAnsi="Arial" w:cs="Arial"/>
          <w:sz w:val="24"/>
          <w:szCs w:val="24"/>
        </w:rPr>
        <w:t xml:space="preserve">Per UpToDate: </w:t>
      </w:r>
      <w:proofErr w:type="spellStart"/>
      <w:r w:rsidRPr="00FA3F9C">
        <w:rPr>
          <w:rFonts w:ascii="Arial" w:hAnsi="Arial" w:cs="Arial"/>
          <w:sz w:val="24"/>
          <w:szCs w:val="24"/>
        </w:rPr>
        <w:t>sargramostim</w:t>
      </w:r>
      <w:proofErr w:type="spellEnd"/>
      <w:r w:rsidRPr="00FA3F9C">
        <w:rPr>
          <w:rFonts w:ascii="Arial" w:hAnsi="Arial" w:cs="Arial"/>
          <w:sz w:val="24"/>
          <w:szCs w:val="24"/>
        </w:rPr>
        <w:t xml:space="preserve"> is discussed in “</w:t>
      </w:r>
      <w:r w:rsidRPr="00FA3F9C">
        <w:rPr>
          <w:rFonts w:ascii="Arial" w:hAnsi="Arial" w:cs="Arial"/>
          <w:b/>
          <w:i/>
          <w:sz w:val="24"/>
          <w:szCs w:val="24"/>
          <w:u w:val="single"/>
        </w:rPr>
        <w:t>Investigational</w:t>
      </w:r>
      <w:r w:rsidRPr="00FA3F9C">
        <w:rPr>
          <w:rFonts w:ascii="Arial" w:hAnsi="Arial" w:cs="Arial"/>
          <w:sz w:val="24"/>
          <w:szCs w:val="24"/>
        </w:rPr>
        <w:t xml:space="preserve"> Therapies in the Medical Management of Crohn’s Disease.</w:t>
      </w:r>
    </w:p>
    <w:p w14:paraId="1A11DD24" w14:textId="77777777" w:rsidR="00C3036D" w:rsidRPr="00FA3F9C" w:rsidRDefault="00C3036D" w:rsidP="00FC1E85">
      <w:pPr>
        <w:pStyle w:val="NoSpacing"/>
        <w:numPr>
          <w:ilvl w:val="1"/>
          <w:numId w:val="466"/>
        </w:numPr>
        <w:rPr>
          <w:rFonts w:ascii="Arial" w:hAnsi="Arial" w:cs="Arial"/>
          <w:sz w:val="24"/>
          <w:szCs w:val="24"/>
        </w:rPr>
      </w:pPr>
      <w:r w:rsidRPr="00FA3F9C">
        <w:rPr>
          <w:rFonts w:ascii="Arial" w:hAnsi="Arial" w:cs="Arial"/>
          <w:sz w:val="24"/>
          <w:szCs w:val="24"/>
        </w:rPr>
        <w:t xml:space="preserve">See critique of </w:t>
      </w:r>
      <w:proofErr w:type="spellStart"/>
      <w:r w:rsidRPr="00FA3F9C">
        <w:rPr>
          <w:rFonts w:ascii="Arial" w:hAnsi="Arial" w:cs="Arial"/>
          <w:sz w:val="24"/>
          <w:szCs w:val="24"/>
        </w:rPr>
        <w:t>Korzenik</w:t>
      </w:r>
      <w:proofErr w:type="spellEnd"/>
      <w:r w:rsidRPr="00FA3F9C">
        <w:rPr>
          <w:rFonts w:ascii="Arial" w:hAnsi="Arial" w:cs="Arial"/>
          <w:sz w:val="24"/>
          <w:szCs w:val="24"/>
        </w:rPr>
        <w:t xml:space="preserve"> NEJM study below (by JJ)</w:t>
      </w:r>
    </w:p>
    <w:p w14:paraId="3A5D7D5A" w14:textId="77777777" w:rsidR="00C3036D" w:rsidRPr="00FA3F9C" w:rsidRDefault="00C3036D" w:rsidP="00FC1E85">
      <w:pPr>
        <w:pStyle w:val="NoSpacing"/>
        <w:numPr>
          <w:ilvl w:val="1"/>
          <w:numId w:val="466"/>
        </w:numPr>
        <w:rPr>
          <w:rFonts w:ascii="Arial" w:hAnsi="Arial" w:cs="Arial"/>
          <w:sz w:val="24"/>
          <w:szCs w:val="24"/>
        </w:rPr>
      </w:pPr>
      <w:r w:rsidRPr="00FA3F9C">
        <w:rPr>
          <w:rFonts w:ascii="Arial" w:hAnsi="Arial" w:cs="Arial"/>
          <w:sz w:val="24"/>
          <w:szCs w:val="24"/>
        </w:rPr>
        <w:t>References:</w:t>
      </w:r>
    </w:p>
    <w:p w14:paraId="2F9EC647" w14:textId="77777777" w:rsidR="00C3036D" w:rsidRPr="00FA3F9C" w:rsidRDefault="00C3036D" w:rsidP="00FC1E85">
      <w:pPr>
        <w:pStyle w:val="NoSpacing"/>
        <w:numPr>
          <w:ilvl w:val="2"/>
          <w:numId w:val="466"/>
        </w:numPr>
        <w:rPr>
          <w:rFonts w:ascii="Arial" w:hAnsi="Arial" w:cs="Arial"/>
          <w:sz w:val="24"/>
          <w:szCs w:val="24"/>
        </w:rPr>
      </w:pPr>
      <w:proofErr w:type="spellStart"/>
      <w:r w:rsidRPr="00FA3F9C">
        <w:rPr>
          <w:rFonts w:ascii="Arial" w:hAnsi="Arial" w:cs="Arial"/>
          <w:sz w:val="24"/>
          <w:szCs w:val="24"/>
        </w:rPr>
        <w:t>Korzenik</w:t>
      </w:r>
      <w:proofErr w:type="spellEnd"/>
      <w:r w:rsidRPr="00FA3F9C">
        <w:rPr>
          <w:rFonts w:ascii="Arial" w:hAnsi="Arial" w:cs="Arial"/>
          <w:sz w:val="24"/>
          <w:szCs w:val="24"/>
        </w:rPr>
        <w:t xml:space="preserve">, JR, et al.  </w:t>
      </w:r>
      <w:proofErr w:type="spellStart"/>
      <w:r w:rsidRPr="00FA3F9C">
        <w:rPr>
          <w:rFonts w:ascii="Arial" w:hAnsi="Arial" w:cs="Arial"/>
          <w:sz w:val="24"/>
          <w:szCs w:val="24"/>
        </w:rPr>
        <w:t>Sargramostim</w:t>
      </w:r>
      <w:proofErr w:type="spellEnd"/>
      <w:r w:rsidRPr="00FA3F9C">
        <w:rPr>
          <w:rFonts w:ascii="Arial" w:hAnsi="Arial" w:cs="Arial"/>
          <w:sz w:val="24"/>
          <w:szCs w:val="24"/>
        </w:rPr>
        <w:t xml:space="preserve"> for Active Crohn’s Disease.  NEJM 2005;352(21):2193-2201</w:t>
      </w:r>
    </w:p>
    <w:p w14:paraId="792970CD" w14:textId="77777777" w:rsidR="00C3036D" w:rsidRPr="00FA3F9C" w:rsidRDefault="00C3036D" w:rsidP="00FC1E85">
      <w:pPr>
        <w:pStyle w:val="NoSpacing"/>
        <w:numPr>
          <w:ilvl w:val="2"/>
          <w:numId w:val="466"/>
        </w:numPr>
        <w:rPr>
          <w:rFonts w:ascii="Arial" w:hAnsi="Arial" w:cs="Arial"/>
          <w:sz w:val="24"/>
          <w:szCs w:val="24"/>
        </w:rPr>
      </w:pPr>
      <w:r w:rsidRPr="00FA3F9C">
        <w:rPr>
          <w:rFonts w:ascii="Arial" w:hAnsi="Arial" w:cs="Arial"/>
          <w:sz w:val="24"/>
          <w:szCs w:val="24"/>
        </w:rPr>
        <w:t xml:space="preserve">Roth L et al. </w:t>
      </w:r>
      <w:proofErr w:type="spellStart"/>
      <w:r w:rsidRPr="00FA3F9C">
        <w:rPr>
          <w:rFonts w:ascii="Arial" w:hAnsi="Arial" w:cs="Arial"/>
          <w:sz w:val="24"/>
          <w:szCs w:val="24"/>
        </w:rPr>
        <w:t>Sargramostim</w:t>
      </w:r>
      <w:proofErr w:type="spellEnd"/>
      <w:r w:rsidRPr="00FA3F9C">
        <w:rPr>
          <w:rFonts w:ascii="Arial" w:hAnsi="Arial" w:cs="Arial"/>
          <w:sz w:val="24"/>
          <w:szCs w:val="24"/>
        </w:rPr>
        <w:t xml:space="preserve"> (GM-CSF) for induction of remission in Crohn's disease: a </w:t>
      </w:r>
      <w:proofErr w:type="spellStart"/>
      <w:r w:rsidRPr="00FA3F9C">
        <w:rPr>
          <w:rFonts w:ascii="Arial" w:hAnsi="Arial" w:cs="Arial"/>
          <w:sz w:val="24"/>
          <w:szCs w:val="24"/>
        </w:rPr>
        <w:t>cochrane</w:t>
      </w:r>
      <w:proofErr w:type="spellEnd"/>
      <w:r w:rsidRPr="00FA3F9C">
        <w:rPr>
          <w:rFonts w:ascii="Arial" w:hAnsi="Arial" w:cs="Arial"/>
          <w:sz w:val="24"/>
          <w:szCs w:val="24"/>
        </w:rPr>
        <w:t xml:space="preserve"> inflammatory bowel disease and functional bowel disorders systematic review of randomized trials. </w:t>
      </w:r>
      <w:proofErr w:type="spellStart"/>
      <w:r w:rsidRPr="00FA3F9C">
        <w:rPr>
          <w:rFonts w:ascii="Arial" w:hAnsi="Arial" w:cs="Arial"/>
          <w:sz w:val="24"/>
          <w:szCs w:val="24"/>
        </w:rPr>
        <w:t>Inflamm</w:t>
      </w:r>
      <w:proofErr w:type="spellEnd"/>
      <w:r w:rsidRPr="00FA3F9C">
        <w:rPr>
          <w:rFonts w:ascii="Arial" w:hAnsi="Arial" w:cs="Arial"/>
          <w:sz w:val="24"/>
          <w:szCs w:val="24"/>
        </w:rPr>
        <w:t xml:space="preserve"> Bowel Dis. 2012 Jul;18(7):1333-9. PMID 22552871</w:t>
      </w:r>
    </w:p>
    <w:p w14:paraId="45D94E9A" w14:textId="77777777" w:rsidR="00C3036D" w:rsidRPr="00FA3F9C" w:rsidRDefault="00C3036D" w:rsidP="00FC1E85">
      <w:pPr>
        <w:pStyle w:val="NoSpacing"/>
        <w:numPr>
          <w:ilvl w:val="2"/>
          <w:numId w:val="466"/>
        </w:numPr>
        <w:rPr>
          <w:rFonts w:ascii="Arial" w:hAnsi="Arial" w:cs="Arial"/>
          <w:sz w:val="24"/>
          <w:szCs w:val="24"/>
        </w:rPr>
      </w:pPr>
      <w:r w:rsidRPr="00FA3F9C">
        <w:rPr>
          <w:rFonts w:ascii="Arial" w:hAnsi="Arial" w:cs="Arial"/>
          <w:sz w:val="24"/>
          <w:szCs w:val="24"/>
        </w:rPr>
        <w:t>Lichtenstein GR et al.  ACG Clinical Guideline: Management of Crohn's Disease in Adults. Am J Gastroenterol. 2018 Apr;113(4):481-517. PMID 29610508</w:t>
      </w:r>
    </w:p>
    <w:p w14:paraId="3CA9339A" w14:textId="77777777" w:rsidR="00C3036D" w:rsidRPr="00FA3F9C" w:rsidRDefault="00C3036D" w:rsidP="00FC1E85">
      <w:pPr>
        <w:pStyle w:val="NoSpacing"/>
        <w:numPr>
          <w:ilvl w:val="2"/>
          <w:numId w:val="466"/>
        </w:numPr>
        <w:rPr>
          <w:rFonts w:ascii="Arial" w:hAnsi="Arial" w:cs="Arial"/>
          <w:sz w:val="24"/>
          <w:szCs w:val="24"/>
        </w:rPr>
      </w:pPr>
      <w:r w:rsidRPr="00FA3F9C">
        <w:rPr>
          <w:rFonts w:ascii="Arial" w:hAnsi="Arial" w:cs="Arial"/>
          <w:sz w:val="24"/>
          <w:szCs w:val="24"/>
        </w:rPr>
        <w:t xml:space="preserve">UpToDate “Investigational Therapies in the Medical Management of Crohn’s Disease.” </w:t>
      </w:r>
      <w:hyperlink r:id="rId370" w:history="1">
        <w:r w:rsidRPr="00FA3F9C">
          <w:rPr>
            <w:rStyle w:val="Hyperlink"/>
            <w:rFonts w:ascii="Arial" w:hAnsi="Arial" w:cs="Arial"/>
            <w:sz w:val="24"/>
            <w:szCs w:val="24"/>
          </w:rPr>
          <w:t>https://www.uptodate.com/contents/investigational-therapies-in-the-medical-management-of-crohn-disease?search=crohns%20disease%20sargramostim&amp;source=search_result&amp;selectedTitle=1~150&amp;usage_type=default&amp;display_rank=1</w:t>
        </w:r>
      </w:hyperlink>
      <w:r w:rsidRPr="00FA3F9C">
        <w:rPr>
          <w:rStyle w:val="Hyperlink"/>
          <w:rFonts w:ascii="Arial" w:hAnsi="Arial" w:cs="Arial"/>
          <w:sz w:val="24"/>
          <w:szCs w:val="24"/>
        </w:rPr>
        <w:t>. Accessed 7/30/19.</w:t>
      </w:r>
    </w:p>
    <w:p w14:paraId="422D63A0" w14:textId="77777777" w:rsidR="00C3036D" w:rsidRPr="00FA3F9C" w:rsidRDefault="00C3036D" w:rsidP="00FC1E85">
      <w:pPr>
        <w:pStyle w:val="NoSpacing"/>
        <w:numPr>
          <w:ilvl w:val="0"/>
          <w:numId w:val="466"/>
        </w:numPr>
        <w:rPr>
          <w:rFonts w:ascii="Arial" w:hAnsi="Arial" w:cs="Arial"/>
          <w:sz w:val="24"/>
          <w:szCs w:val="24"/>
        </w:rPr>
      </w:pPr>
      <w:r w:rsidRPr="00FA3F9C">
        <w:rPr>
          <w:rFonts w:ascii="Arial" w:hAnsi="Arial" w:cs="Arial"/>
          <w:sz w:val="24"/>
          <w:szCs w:val="24"/>
        </w:rPr>
        <w:t>Non-chemotherapy drug-induced neutropenia</w:t>
      </w:r>
    </w:p>
    <w:p w14:paraId="6253D24E" w14:textId="77777777" w:rsidR="00C3036D" w:rsidRPr="00FA3F9C" w:rsidRDefault="00C3036D" w:rsidP="00FC1E85">
      <w:pPr>
        <w:pStyle w:val="NoSpacing"/>
        <w:numPr>
          <w:ilvl w:val="1"/>
          <w:numId w:val="466"/>
        </w:numPr>
        <w:rPr>
          <w:rFonts w:ascii="Arial" w:hAnsi="Arial" w:cs="Arial"/>
          <w:sz w:val="24"/>
          <w:szCs w:val="24"/>
        </w:rPr>
      </w:pPr>
      <w:r w:rsidRPr="00FA3F9C">
        <w:rPr>
          <w:rFonts w:ascii="Arial" w:hAnsi="Arial" w:cs="Arial"/>
          <w:bCs/>
          <w:sz w:val="24"/>
          <w:szCs w:val="24"/>
        </w:rPr>
        <w:t>Filgrastim is preferred due to more and better data. It also has similar or lower cost and more convenient dosage forms</w:t>
      </w:r>
      <w:r w:rsidRPr="00FA3F9C">
        <w:rPr>
          <w:rFonts w:ascii="Arial" w:hAnsi="Arial" w:cs="Arial"/>
          <w:sz w:val="24"/>
          <w:szCs w:val="24"/>
        </w:rPr>
        <w:t xml:space="preserve"> </w:t>
      </w:r>
    </w:p>
    <w:p w14:paraId="44B7EABA" w14:textId="77777777" w:rsidR="00C3036D" w:rsidRPr="00FA3F9C" w:rsidRDefault="00C3036D" w:rsidP="00FC1E85">
      <w:pPr>
        <w:pStyle w:val="NoSpacing"/>
        <w:numPr>
          <w:ilvl w:val="2"/>
          <w:numId w:val="466"/>
        </w:numPr>
        <w:rPr>
          <w:rFonts w:ascii="Arial" w:hAnsi="Arial" w:cs="Arial"/>
          <w:sz w:val="24"/>
          <w:szCs w:val="24"/>
        </w:rPr>
      </w:pPr>
      <w:r w:rsidRPr="00FA3F9C">
        <w:rPr>
          <w:rFonts w:ascii="Arial" w:hAnsi="Arial" w:cs="Arial"/>
          <w:sz w:val="24"/>
          <w:szCs w:val="24"/>
        </w:rPr>
        <w:t xml:space="preserve">Anderson, F, </w:t>
      </w:r>
      <w:proofErr w:type="spellStart"/>
      <w:r w:rsidRPr="00FA3F9C">
        <w:rPr>
          <w:rFonts w:ascii="Arial" w:hAnsi="Arial" w:cs="Arial"/>
          <w:sz w:val="24"/>
          <w:szCs w:val="24"/>
        </w:rPr>
        <w:t>Konzen</w:t>
      </w:r>
      <w:proofErr w:type="spellEnd"/>
      <w:r w:rsidRPr="00FA3F9C">
        <w:rPr>
          <w:rFonts w:ascii="Arial" w:hAnsi="Arial" w:cs="Arial"/>
          <w:sz w:val="24"/>
          <w:szCs w:val="24"/>
        </w:rPr>
        <w:t xml:space="preserve"> C, and </w:t>
      </w:r>
      <w:proofErr w:type="spellStart"/>
      <w:r w:rsidRPr="00FA3F9C">
        <w:rPr>
          <w:rFonts w:ascii="Arial" w:hAnsi="Arial" w:cs="Arial"/>
          <w:sz w:val="24"/>
          <w:szCs w:val="24"/>
        </w:rPr>
        <w:t>Edeltraut</w:t>
      </w:r>
      <w:proofErr w:type="spellEnd"/>
      <w:r w:rsidRPr="00FA3F9C">
        <w:rPr>
          <w:rFonts w:ascii="Arial" w:hAnsi="Arial" w:cs="Arial"/>
          <w:sz w:val="24"/>
          <w:szCs w:val="24"/>
        </w:rPr>
        <w:t xml:space="preserve">, G.  Systematic Review: Agranulocytosis Induced by Nonchemotherapy Drugs.  </w:t>
      </w:r>
      <w:r w:rsidRPr="00FA3F9C">
        <w:rPr>
          <w:rFonts w:ascii="Arial" w:hAnsi="Arial" w:cs="Arial"/>
          <w:i/>
          <w:sz w:val="24"/>
          <w:szCs w:val="24"/>
        </w:rPr>
        <w:t>Annals of Internal Medicine</w:t>
      </w:r>
      <w:r w:rsidRPr="00FA3F9C">
        <w:rPr>
          <w:rFonts w:ascii="Arial" w:hAnsi="Arial" w:cs="Arial"/>
          <w:sz w:val="24"/>
          <w:szCs w:val="24"/>
        </w:rPr>
        <w:t>.  2007;146(9):657-666</w:t>
      </w:r>
    </w:p>
    <w:p w14:paraId="5EB4CD17" w14:textId="77777777" w:rsidR="00C3036D" w:rsidRPr="00FA3F9C" w:rsidRDefault="00C3036D" w:rsidP="00FC1E85">
      <w:pPr>
        <w:pStyle w:val="NoSpacing"/>
        <w:numPr>
          <w:ilvl w:val="2"/>
          <w:numId w:val="466"/>
        </w:numPr>
        <w:rPr>
          <w:rFonts w:ascii="Arial" w:hAnsi="Arial" w:cs="Arial"/>
          <w:sz w:val="24"/>
          <w:szCs w:val="24"/>
        </w:rPr>
      </w:pPr>
      <w:r w:rsidRPr="00FA3F9C">
        <w:rPr>
          <w:rFonts w:ascii="Arial" w:hAnsi="Arial" w:cs="Arial"/>
          <w:sz w:val="24"/>
          <w:szCs w:val="24"/>
          <w:lang w:val="fr-FR"/>
        </w:rPr>
        <w:t xml:space="preserve">Andrés, E and F </w:t>
      </w:r>
      <w:proofErr w:type="spellStart"/>
      <w:r w:rsidRPr="00FA3F9C">
        <w:rPr>
          <w:rFonts w:ascii="Arial" w:hAnsi="Arial" w:cs="Arial"/>
          <w:sz w:val="24"/>
          <w:szCs w:val="24"/>
          <w:lang w:val="fr-FR"/>
        </w:rPr>
        <w:t>Maloisel</w:t>
      </w:r>
      <w:proofErr w:type="spellEnd"/>
      <w:r w:rsidRPr="00FA3F9C">
        <w:rPr>
          <w:rFonts w:ascii="Arial" w:hAnsi="Arial" w:cs="Arial"/>
          <w:sz w:val="24"/>
          <w:szCs w:val="24"/>
          <w:lang w:val="fr-FR"/>
        </w:rPr>
        <w:t xml:space="preserve">.  </w:t>
      </w:r>
      <w:r w:rsidRPr="00FA3F9C">
        <w:rPr>
          <w:rFonts w:ascii="Arial" w:hAnsi="Arial" w:cs="Arial"/>
          <w:sz w:val="24"/>
          <w:szCs w:val="24"/>
        </w:rPr>
        <w:t xml:space="preserve">Idiosyncratic drug-induced Agranulocytosis or acute neutropenia.  </w:t>
      </w:r>
      <w:r w:rsidRPr="00FA3F9C">
        <w:rPr>
          <w:rFonts w:ascii="Arial" w:hAnsi="Arial" w:cs="Arial"/>
          <w:i/>
          <w:sz w:val="24"/>
          <w:szCs w:val="24"/>
        </w:rPr>
        <w:t>Current Opinion in Hematology.</w:t>
      </w:r>
      <w:r w:rsidRPr="00FA3F9C">
        <w:rPr>
          <w:rFonts w:ascii="Arial" w:hAnsi="Arial" w:cs="Arial"/>
          <w:sz w:val="24"/>
          <w:szCs w:val="24"/>
        </w:rPr>
        <w:t xml:space="preserve">  2008;15:15-21</w:t>
      </w:r>
    </w:p>
    <w:p w14:paraId="592CDE4B" w14:textId="77777777" w:rsidR="00C3036D" w:rsidRPr="00FA3F9C" w:rsidRDefault="00C3036D" w:rsidP="00FC1E85">
      <w:pPr>
        <w:pStyle w:val="NoSpacing"/>
        <w:numPr>
          <w:ilvl w:val="2"/>
          <w:numId w:val="466"/>
        </w:numPr>
        <w:rPr>
          <w:rFonts w:ascii="Arial" w:hAnsi="Arial" w:cs="Arial"/>
          <w:sz w:val="24"/>
          <w:szCs w:val="24"/>
        </w:rPr>
      </w:pPr>
      <w:r w:rsidRPr="00FA3F9C">
        <w:rPr>
          <w:rFonts w:ascii="Arial" w:hAnsi="Arial" w:cs="Arial"/>
          <w:sz w:val="24"/>
          <w:szCs w:val="24"/>
          <w:lang w:val="fr-FR"/>
        </w:rPr>
        <w:t xml:space="preserve">Andrés, </w:t>
      </w:r>
      <w:proofErr w:type="gramStart"/>
      <w:r w:rsidRPr="00FA3F9C">
        <w:rPr>
          <w:rFonts w:ascii="Arial" w:hAnsi="Arial" w:cs="Arial"/>
          <w:sz w:val="24"/>
          <w:szCs w:val="24"/>
          <w:lang w:val="fr-FR"/>
        </w:rPr>
        <w:t>E;</w:t>
      </w:r>
      <w:proofErr w:type="gramEnd"/>
      <w:r w:rsidRPr="00FA3F9C">
        <w:rPr>
          <w:rFonts w:ascii="Arial" w:hAnsi="Arial" w:cs="Arial"/>
          <w:sz w:val="24"/>
          <w:szCs w:val="24"/>
          <w:lang w:val="fr-FR"/>
        </w:rPr>
        <w:t xml:space="preserve"> </w:t>
      </w:r>
      <w:proofErr w:type="spellStart"/>
      <w:r w:rsidRPr="00FA3F9C">
        <w:rPr>
          <w:rFonts w:ascii="Arial" w:hAnsi="Arial" w:cs="Arial"/>
          <w:sz w:val="24"/>
          <w:szCs w:val="24"/>
          <w:lang w:val="fr-FR"/>
        </w:rPr>
        <w:t>Maloisel</w:t>
      </w:r>
      <w:proofErr w:type="spellEnd"/>
      <w:r w:rsidRPr="00FA3F9C">
        <w:rPr>
          <w:rFonts w:ascii="Arial" w:hAnsi="Arial" w:cs="Arial"/>
          <w:sz w:val="24"/>
          <w:szCs w:val="24"/>
          <w:lang w:val="fr-FR"/>
        </w:rPr>
        <w:t xml:space="preserve">, F; and Zimmer, J.  </w:t>
      </w:r>
      <w:r w:rsidRPr="00FA3F9C">
        <w:rPr>
          <w:rFonts w:ascii="Arial" w:hAnsi="Arial" w:cs="Arial"/>
          <w:sz w:val="24"/>
          <w:szCs w:val="24"/>
        </w:rPr>
        <w:t xml:space="preserve">The role of </w:t>
      </w:r>
      <w:proofErr w:type="spellStart"/>
      <w:r w:rsidRPr="00FA3F9C">
        <w:rPr>
          <w:rFonts w:ascii="Arial" w:hAnsi="Arial" w:cs="Arial"/>
          <w:sz w:val="24"/>
          <w:szCs w:val="24"/>
        </w:rPr>
        <w:t>haematopoietic</w:t>
      </w:r>
      <w:proofErr w:type="spellEnd"/>
      <w:r w:rsidRPr="00FA3F9C">
        <w:rPr>
          <w:rFonts w:ascii="Arial" w:hAnsi="Arial" w:cs="Arial"/>
          <w:sz w:val="24"/>
          <w:szCs w:val="24"/>
        </w:rPr>
        <w:t xml:space="preserve"> growth factors granulocyte colony-stimulating factor and granulocyte-macrophage colony-stimulating factor in the management of drug-induced agranulocytosis.  </w:t>
      </w:r>
      <w:r w:rsidRPr="00FA3F9C">
        <w:rPr>
          <w:rFonts w:ascii="Arial" w:hAnsi="Arial" w:cs="Arial"/>
          <w:i/>
          <w:sz w:val="24"/>
          <w:szCs w:val="24"/>
        </w:rPr>
        <w:t xml:space="preserve">British Journal of </w:t>
      </w:r>
      <w:proofErr w:type="spellStart"/>
      <w:r w:rsidRPr="00FA3F9C">
        <w:rPr>
          <w:rFonts w:ascii="Arial" w:hAnsi="Arial" w:cs="Arial"/>
          <w:i/>
          <w:sz w:val="24"/>
          <w:szCs w:val="24"/>
        </w:rPr>
        <w:t>Haematology</w:t>
      </w:r>
      <w:proofErr w:type="spellEnd"/>
      <w:r w:rsidRPr="00FA3F9C">
        <w:rPr>
          <w:rFonts w:ascii="Arial" w:hAnsi="Arial" w:cs="Arial"/>
          <w:i/>
          <w:sz w:val="24"/>
          <w:szCs w:val="24"/>
        </w:rPr>
        <w:t>.</w:t>
      </w:r>
      <w:r w:rsidRPr="00FA3F9C">
        <w:rPr>
          <w:rFonts w:ascii="Arial" w:hAnsi="Arial" w:cs="Arial"/>
          <w:sz w:val="24"/>
          <w:szCs w:val="24"/>
        </w:rPr>
        <w:t xml:space="preserve">  2010;150:3-8</w:t>
      </w:r>
    </w:p>
    <w:p w14:paraId="2958D583" w14:textId="77777777" w:rsidR="00C3036D" w:rsidRPr="00FA3F9C" w:rsidRDefault="00C3036D" w:rsidP="00FC1E85">
      <w:pPr>
        <w:pStyle w:val="NoSpacing"/>
        <w:numPr>
          <w:ilvl w:val="0"/>
          <w:numId w:val="466"/>
        </w:numPr>
        <w:rPr>
          <w:rFonts w:ascii="Arial" w:hAnsi="Arial" w:cs="Arial"/>
          <w:sz w:val="24"/>
          <w:szCs w:val="24"/>
        </w:rPr>
      </w:pPr>
      <w:r w:rsidRPr="00FA3F9C">
        <w:rPr>
          <w:rFonts w:ascii="Arial" w:hAnsi="Arial" w:cs="Arial"/>
          <w:sz w:val="24"/>
          <w:szCs w:val="24"/>
        </w:rPr>
        <w:t>Oral mucositis—this is not a covered use</w:t>
      </w:r>
    </w:p>
    <w:p w14:paraId="5003DC81" w14:textId="77777777" w:rsidR="00C3036D" w:rsidRPr="00FA3F9C" w:rsidRDefault="00C3036D" w:rsidP="00FC1E85">
      <w:pPr>
        <w:pStyle w:val="NoSpacing"/>
        <w:numPr>
          <w:ilvl w:val="1"/>
          <w:numId w:val="466"/>
        </w:numPr>
        <w:rPr>
          <w:rFonts w:ascii="Arial" w:hAnsi="Arial" w:cs="Arial"/>
          <w:sz w:val="24"/>
          <w:szCs w:val="24"/>
        </w:rPr>
      </w:pPr>
      <w:r w:rsidRPr="00FA3F9C">
        <w:rPr>
          <w:rFonts w:ascii="Arial" w:hAnsi="Arial" w:cs="Arial"/>
          <w:bCs/>
          <w:sz w:val="24"/>
          <w:szCs w:val="24"/>
        </w:rPr>
        <w:t>There are no hematopoietic agents covered by EBRx for this indication.</w:t>
      </w:r>
    </w:p>
    <w:p w14:paraId="3F2F1981" w14:textId="77777777" w:rsidR="00C3036D" w:rsidRPr="00FA3F9C" w:rsidRDefault="00C3036D" w:rsidP="00FC1E85">
      <w:pPr>
        <w:pStyle w:val="NoSpacing"/>
        <w:numPr>
          <w:ilvl w:val="1"/>
          <w:numId w:val="466"/>
        </w:numPr>
        <w:rPr>
          <w:rFonts w:ascii="Arial" w:hAnsi="Arial" w:cs="Arial"/>
          <w:sz w:val="24"/>
          <w:szCs w:val="24"/>
        </w:rPr>
      </w:pPr>
      <w:r w:rsidRPr="00FA3F9C">
        <w:rPr>
          <w:rFonts w:ascii="Arial" w:hAnsi="Arial" w:cs="Arial"/>
          <w:bCs/>
          <w:sz w:val="24"/>
          <w:szCs w:val="24"/>
        </w:rPr>
        <w:t>Data are conflicting for this indication. Most trials showed no benefit over placebo, and even those that demonstrated modest benefit were weak in quality.  CSFs should not be used in this population, based on the best current evidence.</w:t>
      </w:r>
    </w:p>
    <w:p w14:paraId="0CF23F23" w14:textId="77777777" w:rsidR="00C3036D" w:rsidRPr="00FA3F9C" w:rsidRDefault="00C3036D" w:rsidP="00FC1E85">
      <w:pPr>
        <w:pStyle w:val="NoSpacing"/>
        <w:numPr>
          <w:ilvl w:val="1"/>
          <w:numId w:val="466"/>
        </w:numPr>
        <w:rPr>
          <w:rFonts w:ascii="Arial" w:hAnsi="Arial" w:cs="Arial"/>
          <w:sz w:val="24"/>
          <w:szCs w:val="24"/>
        </w:rPr>
      </w:pPr>
      <w:r w:rsidRPr="00FA3F9C">
        <w:rPr>
          <w:rFonts w:ascii="Arial" w:hAnsi="Arial" w:cs="Arial"/>
          <w:bCs/>
          <w:sz w:val="24"/>
          <w:szCs w:val="24"/>
        </w:rPr>
        <w:t>References:</w:t>
      </w:r>
    </w:p>
    <w:p w14:paraId="446CC9F4" w14:textId="77777777" w:rsidR="00C3036D" w:rsidRPr="00FA3F9C" w:rsidRDefault="00C3036D" w:rsidP="00FC1E85">
      <w:pPr>
        <w:pStyle w:val="NoSpacing"/>
        <w:numPr>
          <w:ilvl w:val="2"/>
          <w:numId w:val="466"/>
        </w:numPr>
        <w:rPr>
          <w:rFonts w:ascii="Arial" w:hAnsi="Arial" w:cs="Arial"/>
          <w:sz w:val="24"/>
          <w:szCs w:val="24"/>
        </w:rPr>
      </w:pPr>
      <w:proofErr w:type="spellStart"/>
      <w:r w:rsidRPr="00FA3F9C">
        <w:rPr>
          <w:rFonts w:ascii="Arial" w:hAnsi="Arial" w:cs="Arial"/>
          <w:sz w:val="24"/>
          <w:szCs w:val="24"/>
        </w:rPr>
        <w:t>Sargramostim</w:t>
      </w:r>
      <w:proofErr w:type="spellEnd"/>
      <w:r w:rsidRPr="00FA3F9C">
        <w:rPr>
          <w:rFonts w:ascii="Arial" w:hAnsi="Arial" w:cs="Arial"/>
          <w:sz w:val="24"/>
          <w:szCs w:val="24"/>
        </w:rPr>
        <w:t>. Clin-</w:t>
      </w:r>
      <w:proofErr w:type="spellStart"/>
      <w:r w:rsidRPr="00FA3F9C">
        <w:rPr>
          <w:rFonts w:ascii="Arial" w:hAnsi="Arial" w:cs="Arial"/>
          <w:i/>
          <w:sz w:val="24"/>
          <w:szCs w:val="24"/>
        </w:rPr>
        <w:t>e</w:t>
      </w:r>
      <w:r w:rsidRPr="00FA3F9C">
        <w:rPr>
          <w:rFonts w:ascii="Arial" w:hAnsi="Arial" w:cs="Arial"/>
          <w:sz w:val="24"/>
          <w:szCs w:val="24"/>
        </w:rPr>
        <w:t>guide</w:t>
      </w:r>
      <w:proofErr w:type="spellEnd"/>
      <w:r w:rsidRPr="00FA3F9C">
        <w:rPr>
          <w:rFonts w:ascii="Arial" w:hAnsi="Arial" w:cs="Arial"/>
          <w:sz w:val="24"/>
          <w:szCs w:val="24"/>
        </w:rPr>
        <w:t>: Facts &amp; Comparisons</w:t>
      </w:r>
      <w:r w:rsidRPr="00FA3F9C">
        <w:rPr>
          <w:rFonts w:ascii="Arial" w:hAnsi="Arial" w:cs="Arial"/>
          <w:sz w:val="24"/>
          <w:szCs w:val="24"/>
          <w:vertAlign w:val="superscript"/>
        </w:rPr>
        <w:t>®</w:t>
      </w:r>
      <w:r w:rsidRPr="00FA3F9C">
        <w:rPr>
          <w:rFonts w:ascii="Arial" w:hAnsi="Arial" w:cs="Arial"/>
          <w:sz w:val="24"/>
          <w:szCs w:val="24"/>
        </w:rPr>
        <w:t xml:space="preserve"> </w:t>
      </w:r>
      <w:proofErr w:type="spellStart"/>
      <w:r w:rsidRPr="00FA3F9C">
        <w:rPr>
          <w:rFonts w:ascii="Arial" w:hAnsi="Arial" w:cs="Arial"/>
          <w:sz w:val="24"/>
          <w:szCs w:val="24"/>
        </w:rPr>
        <w:t>eAnswers</w:t>
      </w:r>
      <w:proofErr w:type="spellEnd"/>
      <w:r w:rsidRPr="00FA3F9C">
        <w:rPr>
          <w:rFonts w:ascii="Arial" w:hAnsi="Arial" w:cs="Arial"/>
          <w:sz w:val="24"/>
          <w:szCs w:val="24"/>
        </w:rPr>
        <w:t xml:space="preserve"> (Accessed 7/11/12)</w:t>
      </w:r>
    </w:p>
    <w:p w14:paraId="1C8C5DE0" w14:textId="77777777" w:rsidR="00C3036D" w:rsidRPr="00FA3F9C" w:rsidRDefault="00C3036D" w:rsidP="00FC1E85">
      <w:pPr>
        <w:pStyle w:val="NoSpacing"/>
        <w:numPr>
          <w:ilvl w:val="2"/>
          <w:numId w:val="466"/>
        </w:numPr>
        <w:rPr>
          <w:rFonts w:ascii="Arial" w:hAnsi="Arial" w:cs="Arial"/>
          <w:sz w:val="24"/>
          <w:szCs w:val="24"/>
        </w:rPr>
      </w:pPr>
      <w:r w:rsidRPr="00FA3F9C">
        <w:rPr>
          <w:rFonts w:ascii="Arial" w:hAnsi="Arial" w:cs="Arial"/>
          <w:sz w:val="24"/>
          <w:szCs w:val="24"/>
        </w:rPr>
        <w:lastRenderedPageBreak/>
        <w:t xml:space="preserve">Rubenstein EB, et al.  Clinical Practice Guidelines for the Prevention and Treatment of Cancer Therapy-Induced Oral and Gastrointestinal Mucositis.  CANCER supplement May 1, 2004;100(9):2026-2046.  </w:t>
      </w:r>
      <w:proofErr w:type="spellStart"/>
      <w:r w:rsidRPr="00FA3F9C">
        <w:rPr>
          <w:rFonts w:ascii="Arial" w:hAnsi="Arial" w:cs="Arial"/>
          <w:sz w:val="24"/>
          <w:szCs w:val="24"/>
        </w:rPr>
        <w:t>doi</w:t>
      </w:r>
      <w:proofErr w:type="spellEnd"/>
      <w:r w:rsidRPr="00FA3F9C">
        <w:rPr>
          <w:rFonts w:ascii="Arial" w:hAnsi="Arial" w:cs="Arial"/>
          <w:sz w:val="24"/>
          <w:szCs w:val="24"/>
        </w:rPr>
        <w:t xml:space="preserve"> 10.1002/cncr.20163</w:t>
      </w:r>
    </w:p>
    <w:p w14:paraId="4FFA11BF" w14:textId="77777777" w:rsidR="00C3036D" w:rsidRPr="00FA3F9C" w:rsidRDefault="00C3036D" w:rsidP="00FC1E85">
      <w:pPr>
        <w:pStyle w:val="NoSpacing"/>
        <w:numPr>
          <w:ilvl w:val="2"/>
          <w:numId w:val="466"/>
        </w:numPr>
        <w:rPr>
          <w:rFonts w:ascii="Arial" w:hAnsi="Arial" w:cs="Arial"/>
          <w:sz w:val="24"/>
          <w:szCs w:val="24"/>
        </w:rPr>
      </w:pPr>
      <w:r w:rsidRPr="00FA3F9C">
        <w:rPr>
          <w:rFonts w:ascii="Arial" w:hAnsi="Arial" w:cs="Arial"/>
          <w:sz w:val="24"/>
          <w:szCs w:val="24"/>
        </w:rPr>
        <w:t xml:space="preserve">Worthington HV, et al.  Interventions for preventing oral mucositis for patients with cancer receiving treatment (review).  </w:t>
      </w:r>
      <w:r w:rsidRPr="00FA3F9C">
        <w:rPr>
          <w:rFonts w:ascii="Arial" w:hAnsi="Arial" w:cs="Arial"/>
          <w:i/>
          <w:sz w:val="24"/>
          <w:szCs w:val="24"/>
        </w:rPr>
        <w:t>The Cochrane Library</w:t>
      </w:r>
      <w:r w:rsidRPr="00FA3F9C">
        <w:rPr>
          <w:rFonts w:ascii="Arial" w:hAnsi="Arial" w:cs="Arial"/>
          <w:sz w:val="24"/>
          <w:szCs w:val="24"/>
        </w:rPr>
        <w:t xml:space="preserve"> 2011;4:1-275</w:t>
      </w:r>
    </w:p>
    <w:p w14:paraId="4787AF24" w14:textId="77777777" w:rsidR="00C3036D" w:rsidRPr="00FA3F9C" w:rsidRDefault="00C3036D" w:rsidP="00FC1E85">
      <w:pPr>
        <w:pStyle w:val="NoSpacing"/>
        <w:numPr>
          <w:ilvl w:val="0"/>
          <w:numId w:val="466"/>
        </w:numPr>
        <w:rPr>
          <w:rFonts w:ascii="Arial" w:hAnsi="Arial" w:cs="Arial"/>
          <w:sz w:val="24"/>
          <w:szCs w:val="24"/>
        </w:rPr>
      </w:pPr>
      <w:r w:rsidRPr="00FA3F9C">
        <w:rPr>
          <w:rFonts w:ascii="Arial" w:hAnsi="Arial" w:cs="Arial"/>
          <w:sz w:val="24"/>
          <w:szCs w:val="24"/>
        </w:rPr>
        <w:t>Primary prophylaxis of neutropenia in patients receiving chemotherapy (outside transplant and AML)—not covered, prefer filgrastim due to similar or lower cost and more convenient dosage forms.</w:t>
      </w:r>
    </w:p>
    <w:p w14:paraId="3B56E15A" w14:textId="77777777" w:rsidR="00C3036D" w:rsidRPr="00FA3F9C" w:rsidRDefault="00C3036D" w:rsidP="00FC1E85">
      <w:pPr>
        <w:pStyle w:val="NoSpacing"/>
        <w:numPr>
          <w:ilvl w:val="0"/>
          <w:numId w:val="466"/>
        </w:numPr>
        <w:rPr>
          <w:rFonts w:ascii="Arial" w:hAnsi="Arial" w:cs="Arial"/>
          <w:sz w:val="24"/>
          <w:szCs w:val="24"/>
        </w:rPr>
      </w:pPr>
      <w:r w:rsidRPr="00FA3F9C">
        <w:rPr>
          <w:rFonts w:ascii="Arial" w:hAnsi="Arial" w:cs="Arial"/>
          <w:sz w:val="24"/>
          <w:szCs w:val="24"/>
        </w:rPr>
        <w:t>Neutropenia associated with myelodysplastic syndromes</w:t>
      </w:r>
    </w:p>
    <w:p w14:paraId="0F101B68" w14:textId="77777777" w:rsidR="00C3036D" w:rsidRPr="00FA3F9C" w:rsidRDefault="00C3036D" w:rsidP="00FC1E85">
      <w:pPr>
        <w:pStyle w:val="NoSpacing"/>
        <w:numPr>
          <w:ilvl w:val="1"/>
          <w:numId w:val="466"/>
        </w:numPr>
        <w:rPr>
          <w:rFonts w:ascii="Arial" w:hAnsi="Arial" w:cs="Arial"/>
          <w:sz w:val="24"/>
          <w:szCs w:val="24"/>
        </w:rPr>
      </w:pPr>
      <w:r w:rsidRPr="00FA3F9C">
        <w:rPr>
          <w:rFonts w:ascii="Arial" w:hAnsi="Arial" w:cs="Arial"/>
          <w:sz w:val="24"/>
          <w:szCs w:val="24"/>
        </w:rPr>
        <w:t>Filgrastim is preferred due to similar or lower cost and more convenient dosage forms.</w:t>
      </w:r>
    </w:p>
    <w:p w14:paraId="77F812DC" w14:textId="77777777" w:rsidR="00C3036D" w:rsidRPr="00FA3F9C" w:rsidRDefault="00C3036D" w:rsidP="006B31FE">
      <w:pPr>
        <w:pStyle w:val="NoSpacing"/>
        <w:rPr>
          <w:rFonts w:ascii="Arial" w:hAnsi="Arial" w:cs="Arial"/>
          <w:sz w:val="24"/>
          <w:szCs w:val="24"/>
        </w:rPr>
      </w:pPr>
    </w:p>
    <w:p w14:paraId="02F876F7" w14:textId="77777777" w:rsidR="00C3036D" w:rsidRPr="00FA3F9C" w:rsidRDefault="00C3036D" w:rsidP="00B80518">
      <w:pPr>
        <w:pStyle w:val="NoSpacing"/>
        <w:rPr>
          <w:rFonts w:ascii="Arial" w:hAnsi="Arial" w:cs="Arial"/>
          <w:i/>
          <w:sz w:val="24"/>
          <w:szCs w:val="24"/>
        </w:rPr>
      </w:pPr>
    </w:p>
    <w:p w14:paraId="10F88AB8" w14:textId="77777777" w:rsidR="00C3036D" w:rsidRPr="00FA3F9C" w:rsidRDefault="00C3036D" w:rsidP="00B80518">
      <w:pPr>
        <w:pStyle w:val="NoSpacing"/>
        <w:rPr>
          <w:rFonts w:ascii="Arial" w:hAnsi="Arial" w:cs="Arial"/>
          <w:i/>
          <w:sz w:val="24"/>
          <w:szCs w:val="24"/>
        </w:rPr>
      </w:pPr>
    </w:p>
    <w:tbl>
      <w:tblPr>
        <w:tblW w:w="10998" w:type="dxa"/>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9108"/>
        <w:gridCol w:w="1890"/>
      </w:tblGrid>
      <w:tr w:rsidR="00C3036D" w:rsidRPr="00FA3F9C" w14:paraId="3C3302CC" w14:textId="77777777" w:rsidTr="00E618E3">
        <w:tc>
          <w:tcPr>
            <w:tcW w:w="10998" w:type="dxa"/>
            <w:gridSpan w:val="2"/>
            <w:tcBorders>
              <w:top w:val="single" w:sz="8" w:space="0" w:color="7BA0CD"/>
              <w:left w:val="single" w:sz="8" w:space="0" w:color="7BA0CD"/>
              <w:bottom w:val="single" w:sz="8" w:space="0" w:color="7BA0CD"/>
              <w:right w:val="single" w:sz="8" w:space="0" w:color="7BA0CD"/>
            </w:tcBorders>
            <w:shd w:val="clear" w:color="auto" w:fill="4F81BD"/>
          </w:tcPr>
          <w:p w14:paraId="29EE7609" w14:textId="77777777" w:rsidR="00C3036D" w:rsidRPr="00FA3F9C" w:rsidRDefault="00C3036D" w:rsidP="00D7207F">
            <w:pPr>
              <w:pStyle w:val="NoSpacing"/>
              <w:jc w:val="center"/>
              <w:rPr>
                <w:rFonts w:ascii="Arial" w:hAnsi="Arial" w:cs="Arial"/>
                <w:b/>
                <w:bCs/>
                <w:color w:val="FFFFFF"/>
                <w:sz w:val="24"/>
                <w:szCs w:val="24"/>
              </w:rPr>
            </w:pPr>
            <w:bookmarkStart w:id="299" w:name="Table5"/>
            <w:r w:rsidRPr="00FA3F9C">
              <w:rPr>
                <w:rFonts w:ascii="Arial" w:hAnsi="Arial" w:cs="Arial"/>
                <w:b/>
                <w:bCs/>
                <w:color w:val="FFFFFF"/>
                <w:sz w:val="24"/>
                <w:szCs w:val="24"/>
              </w:rPr>
              <w:t>Criteria for autologous or allogeneic BMT failure or engraftment Delay</w:t>
            </w:r>
          </w:p>
        </w:tc>
      </w:tr>
      <w:bookmarkEnd w:id="299"/>
      <w:tr w:rsidR="00C3036D" w:rsidRPr="00FA3F9C" w14:paraId="57542784" w14:textId="77777777" w:rsidTr="00E618E3">
        <w:tc>
          <w:tcPr>
            <w:tcW w:w="9108" w:type="dxa"/>
            <w:tcBorders>
              <w:right w:val="single" w:sz="4" w:space="0" w:color="auto"/>
            </w:tcBorders>
            <w:shd w:val="clear" w:color="auto" w:fill="D3DFEE"/>
          </w:tcPr>
          <w:p w14:paraId="0BFF298C" w14:textId="77777777" w:rsidR="00C3036D" w:rsidRPr="00FA3F9C" w:rsidRDefault="00C3036D" w:rsidP="00FC1E85">
            <w:pPr>
              <w:pStyle w:val="NoSpacing"/>
              <w:numPr>
                <w:ilvl w:val="0"/>
                <w:numId w:val="464"/>
              </w:numPr>
              <w:rPr>
                <w:rFonts w:ascii="Arial" w:hAnsi="Arial" w:cs="Arial"/>
                <w:b/>
                <w:bCs/>
                <w:sz w:val="24"/>
                <w:szCs w:val="24"/>
              </w:rPr>
            </w:pPr>
            <w:r w:rsidRPr="00FA3F9C">
              <w:rPr>
                <w:rFonts w:ascii="Arial" w:hAnsi="Arial" w:cs="Arial"/>
                <w:bCs/>
                <w:i/>
                <w:sz w:val="24"/>
                <w:szCs w:val="24"/>
              </w:rPr>
              <w:t xml:space="preserve"> </w:t>
            </w:r>
            <w:r w:rsidRPr="00FA3F9C">
              <w:rPr>
                <w:rFonts w:ascii="Arial" w:hAnsi="Arial" w:cs="Arial"/>
                <w:bCs/>
                <w:sz w:val="24"/>
                <w:szCs w:val="24"/>
              </w:rPr>
              <w:t>The patient meets one of the following conditions:</w:t>
            </w:r>
          </w:p>
          <w:p w14:paraId="56E9A6BE" w14:textId="77777777" w:rsidR="00C3036D" w:rsidRPr="00FA3F9C" w:rsidRDefault="00C3036D" w:rsidP="00FC1E85">
            <w:pPr>
              <w:pStyle w:val="NoSpacing"/>
              <w:numPr>
                <w:ilvl w:val="1"/>
                <w:numId w:val="464"/>
              </w:numPr>
              <w:rPr>
                <w:rFonts w:ascii="Arial" w:hAnsi="Arial" w:cs="Arial"/>
                <w:b/>
                <w:bCs/>
                <w:sz w:val="24"/>
                <w:szCs w:val="24"/>
              </w:rPr>
            </w:pPr>
            <w:r w:rsidRPr="00FA3F9C">
              <w:rPr>
                <w:rFonts w:ascii="Arial" w:hAnsi="Arial" w:cs="Arial"/>
                <w:bCs/>
                <w:sz w:val="24"/>
                <w:szCs w:val="24"/>
              </w:rPr>
              <w:t xml:space="preserve">It is at least day 28 post-transplantation </w:t>
            </w:r>
          </w:p>
          <w:p w14:paraId="5CAE9A6B" w14:textId="77777777" w:rsidR="00C3036D" w:rsidRPr="00FA3F9C" w:rsidRDefault="00C3036D" w:rsidP="00E618E3">
            <w:pPr>
              <w:pStyle w:val="NoSpacing"/>
              <w:ind w:left="1440"/>
              <w:rPr>
                <w:rFonts w:ascii="Arial" w:hAnsi="Arial" w:cs="Arial"/>
                <w:b/>
                <w:bCs/>
                <w:sz w:val="24"/>
                <w:szCs w:val="24"/>
              </w:rPr>
            </w:pPr>
            <w:r w:rsidRPr="00FA3F9C">
              <w:rPr>
                <w:rFonts w:ascii="Arial" w:hAnsi="Arial" w:cs="Arial"/>
                <w:bCs/>
                <w:sz w:val="24"/>
                <w:szCs w:val="24"/>
              </w:rPr>
              <w:t xml:space="preserve">AND </w:t>
            </w:r>
          </w:p>
          <w:p w14:paraId="3166DB15" w14:textId="77777777" w:rsidR="00C3036D" w:rsidRPr="00FA3F9C" w:rsidRDefault="00C3036D" w:rsidP="00E618E3">
            <w:pPr>
              <w:pStyle w:val="NoSpacing"/>
              <w:ind w:left="1080"/>
              <w:rPr>
                <w:rFonts w:ascii="Arial" w:hAnsi="Arial" w:cs="Arial"/>
                <w:b/>
                <w:bCs/>
                <w:sz w:val="24"/>
                <w:szCs w:val="24"/>
              </w:rPr>
            </w:pPr>
            <w:r w:rsidRPr="00FA3F9C">
              <w:rPr>
                <w:rFonts w:ascii="Arial" w:hAnsi="Arial" w:cs="Arial"/>
                <w:bCs/>
                <w:sz w:val="24"/>
                <w:szCs w:val="24"/>
              </w:rPr>
              <w:t>The patient’s ANC ≤100 cells/mm</w:t>
            </w:r>
            <w:r w:rsidRPr="00FA3F9C">
              <w:rPr>
                <w:rFonts w:ascii="Arial" w:hAnsi="Arial" w:cs="Arial"/>
                <w:bCs/>
                <w:sz w:val="24"/>
                <w:szCs w:val="24"/>
                <w:vertAlign w:val="superscript"/>
              </w:rPr>
              <w:t>3</w:t>
            </w:r>
            <w:r w:rsidRPr="00FA3F9C">
              <w:rPr>
                <w:rFonts w:ascii="Arial" w:hAnsi="Arial" w:cs="Arial"/>
                <w:bCs/>
                <w:sz w:val="24"/>
                <w:szCs w:val="24"/>
              </w:rPr>
              <w:t>.</w:t>
            </w:r>
          </w:p>
          <w:p w14:paraId="51EF70CC" w14:textId="77777777" w:rsidR="00C3036D" w:rsidRPr="00FA3F9C" w:rsidRDefault="00C3036D" w:rsidP="00FC1E85">
            <w:pPr>
              <w:pStyle w:val="NoSpacing"/>
              <w:numPr>
                <w:ilvl w:val="1"/>
                <w:numId w:val="464"/>
              </w:numPr>
              <w:rPr>
                <w:rFonts w:ascii="Arial" w:hAnsi="Arial" w:cs="Arial"/>
                <w:b/>
                <w:bCs/>
                <w:sz w:val="24"/>
                <w:szCs w:val="24"/>
              </w:rPr>
            </w:pPr>
            <w:r w:rsidRPr="00FA3F9C">
              <w:rPr>
                <w:rFonts w:ascii="Arial" w:hAnsi="Arial" w:cs="Arial"/>
                <w:bCs/>
                <w:sz w:val="24"/>
                <w:szCs w:val="24"/>
              </w:rPr>
              <w:t xml:space="preserve">It is at least day 21 post-transplantation </w:t>
            </w:r>
          </w:p>
          <w:p w14:paraId="69C7167A" w14:textId="77777777" w:rsidR="00C3036D" w:rsidRPr="00FA3F9C" w:rsidRDefault="00C3036D" w:rsidP="00E618E3">
            <w:pPr>
              <w:pStyle w:val="NoSpacing"/>
              <w:ind w:left="1440"/>
              <w:rPr>
                <w:rFonts w:ascii="Arial" w:hAnsi="Arial" w:cs="Arial"/>
                <w:b/>
                <w:bCs/>
                <w:sz w:val="24"/>
                <w:szCs w:val="24"/>
              </w:rPr>
            </w:pPr>
            <w:r w:rsidRPr="00FA3F9C">
              <w:rPr>
                <w:rFonts w:ascii="Arial" w:hAnsi="Arial" w:cs="Arial"/>
                <w:bCs/>
                <w:sz w:val="24"/>
                <w:szCs w:val="24"/>
              </w:rPr>
              <w:t xml:space="preserve">AND </w:t>
            </w:r>
          </w:p>
          <w:p w14:paraId="15B63465" w14:textId="77777777" w:rsidR="00C3036D" w:rsidRPr="00FA3F9C" w:rsidRDefault="00C3036D" w:rsidP="00E618E3">
            <w:pPr>
              <w:pStyle w:val="NoSpacing"/>
              <w:ind w:left="1080"/>
              <w:rPr>
                <w:rFonts w:ascii="Arial" w:hAnsi="Arial" w:cs="Arial"/>
                <w:b/>
                <w:bCs/>
                <w:sz w:val="24"/>
                <w:szCs w:val="24"/>
              </w:rPr>
            </w:pPr>
            <w:r w:rsidRPr="00FA3F9C">
              <w:rPr>
                <w:rFonts w:ascii="Arial" w:hAnsi="Arial" w:cs="Arial"/>
                <w:bCs/>
                <w:sz w:val="24"/>
                <w:szCs w:val="24"/>
              </w:rPr>
              <w:t>The patient’s ANC ≤100 cells/mm</w:t>
            </w:r>
            <w:r w:rsidRPr="00FA3F9C">
              <w:rPr>
                <w:rFonts w:ascii="Arial" w:hAnsi="Arial" w:cs="Arial"/>
                <w:bCs/>
                <w:sz w:val="24"/>
                <w:szCs w:val="24"/>
                <w:vertAlign w:val="superscript"/>
              </w:rPr>
              <w:t>3</w:t>
            </w:r>
            <w:r w:rsidRPr="00FA3F9C">
              <w:rPr>
                <w:rFonts w:ascii="Arial" w:hAnsi="Arial" w:cs="Arial"/>
                <w:bCs/>
                <w:sz w:val="24"/>
                <w:szCs w:val="24"/>
              </w:rPr>
              <w:t xml:space="preserve"> </w:t>
            </w:r>
          </w:p>
          <w:p w14:paraId="0A04B3A7" w14:textId="77777777" w:rsidR="00C3036D" w:rsidRPr="00FA3F9C" w:rsidRDefault="00C3036D" w:rsidP="00E618E3">
            <w:pPr>
              <w:pStyle w:val="NoSpacing"/>
              <w:ind w:left="1440"/>
              <w:rPr>
                <w:rFonts w:ascii="Arial" w:hAnsi="Arial" w:cs="Arial"/>
                <w:b/>
                <w:bCs/>
                <w:sz w:val="24"/>
                <w:szCs w:val="24"/>
              </w:rPr>
            </w:pPr>
            <w:r w:rsidRPr="00FA3F9C">
              <w:rPr>
                <w:rFonts w:ascii="Arial" w:hAnsi="Arial" w:cs="Arial"/>
                <w:bCs/>
                <w:sz w:val="24"/>
                <w:szCs w:val="24"/>
              </w:rPr>
              <w:t xml:space="preserve">AND </w:t>
            </w:r>
          </w:p>
          <w:p w14:paraId="716CC08B" w14:textId="77777777" w:rsidR="00C3036D" w:rsidRPr="00FA3F9C" w:rsidRDefault="00C3036D" w:rsidP="00E618E3">
            <w:pPr>
              <w:pStyle w:val="NoSpacing"/>
              <w:ind w:left="1080"/>
              <w:rPr>
                <w:rFonts w:ascii="Arial" w:hAnsi="Arial" w:cs="Arial"/>
                <w:b/>
                <w:bCs/>
                <w:sz w:val="24"/>
                <w:szCs w:val="24"/>
              </w:rPr>
            </w:pPr>
            <w:r w:rsidRPr="00FA3F9C">
              <w:rPr>
                <w:rFonts w:ascii="Arial" w:hAnsi="Arial" w:cs="Arial"/>
                <w:bCs/>
                <w:sz w:val="24"/>
                <w:szCs w:val="24"/>
              </w:rPr>
              <w:t>The patient has evidence of an active infection.</w:t>
            </w:r>
          </w:p>
          <w:p w14:paraId="74237B25" w14:textId="77777777" w:rsidR="00C3036D" w:rsidRPr="00FA3F9C" w:rsidRDefault="00C3036D" w:rsidP="00FC1E85">
            <w:pPr>
              <w:pStyle w:val="NoSpacing"/>
              <w:numPr>
                <w:ilvl w:val="1"/>
                <w:numId w:val="464"/>
              </w:numPr>
              <w:rPr>
                <w:rFonts w:ascii="Arial" w:hAnsi="Arial" w:cs="Arial"/>
                <w:b/>
                <w:bCs/>
                <w:sz w:val="24"/>
                <w:szCs w:val="24"/>
              </w:rPr>
            </w:pPr>
            <w:r w:rsidRPr="00FA3F9C">
              <w:rPr>
                <w:rFonts w:ascii="Arial" w:hAnsi="Arial" w:cs="Arial"/>
                <w:bCs/>
                <w:sz w:val="24"/>
                <w:szCs w:val="24"/>
              </w:rPr>
              <w:t>The patient lost his/her marrow graft after transient neutrophil recovery.</w:t>
            </w:r>
            <w:r w:rsidRPr="00FA3F9C">
              <w:rPr>
                <w:rFonts w:ascii="Arial" w:hAnsi="Arial" w:cs="Arial"/>
                <w:bCs/>
                <w:sz w:val="24"/>
                <w:szCs w:val="24"/>
                <w:vertAlign w:val="superscript"/>
              </w:rPr>
              <w:t>†</w:t>
            </w:r>
          </w:p>
        </w:tc>
        <w:tc>
          <w:tcPr>
            <w:tcW w:w="1890" w:type="dxa"/>
            <w:tcBorders>
              <w:left w:val="single" w:sz="4" w:space="0" w:color="auto"/>
            </w:tcBorders>
            <w:shd w:val="clear" w:color="auto" w:fill="D3DFEE"/>
          </w:tcPr>
          <w:p w14:paraId="103834F4" w14:textId="77777777" w:rsidR="00C3036D" w:rsidRPr="00FA3F9C" w:rsidRDefault="00C3036D" w:rsidP="00963156">
            <w:pPr>
              <w:pStyle w:val="NoSpacing"/>
              <w:rPr>
                <w:rFonts w:ascii="Arial" w:hAnsi="Arial" w:cs="Arial"/>
                <w:sz w:val="24"/>
                <w:szCs w:val="24"/>
              </w:rPr>
            </w:pPr>
            <w:r w:rsidRPr="00FA3F9C">
              <w:rPr>
                <w:rFonts w:ascii="Arial" w:hAnsi="Arial" w:cs="Arial"/>
                <w:sz w:val="24"/>
                <w:szCs w:val="24"/>
              </w:rPr>
              <w:t xml:space="preserve">  □ Yes        □ No</w:t>
            </w:r>
          </w:p>
        </w:tc>
      </w:tr>
      <w:tr w:rsidR="00C3036D" w:rsidRPr="00FA3F9C" w14:paraId="75E6663C" w14:textId="77777777" w:rsidTr="007624C1">
        <w:trPr>
          <w:trHeight w:val="1231"/>
        </w:trPr>
        <w:tc>
          <w:tcPr>
            <w:tcW w:w="10998" w:type="dxa"/>
            <w:gridSpan w:val="2"/>
          </w:tcPr>
          <w:p w14:paraId="527CD99B" w14:textId="77777777" w:rsidR="00C3036D" w:rsidRPr="00FA3F9C" w:rsidRDefault="00C3036D" w:rsidP="00963156">
            <w:pPr>
              <w:pStyle w:val="NoSpacing"/>
              <w:rPr>
                <w:rFonts w:ascii="Arial" w:hAnsi="Arial" w:cs="Arial"/>
                <w:b/>
                <w:bCs/>
                <w:sz w:val="24"/>
                <w:szCs w:val="24"/>
              </w:rPr>
            </w:pPr>
            <w:r w:rsidRPr="00FA3F9C">
              <w:rPr>
                <w:rFonts w:ascii="Arial" w:hAnsi="Arial" w:cs="Arial"/>
                <w:b/>
                <w:bCs/>
                <w:sz w:val="24"/>
                <w:szCs w:val="24"/>
              </w:rPr>
              <w:t>If the answer is NO, stop and deny coverage.</w:t>
            </w:r>
          </w:p>
          <w:p w14:paraId="1AB4E34E" w14:textId="77777777" w:rsidR="00C3036D" w:rsidRPr="00FA3F9C" w:rsidRDefault="00C3036D" w:rsidP="00963156">
            <w:pPr>
              <w:pStyle w:val="NoSpacing"/>
              <w:rPr>
                <w:rFonts w:ascii="Arial" w:hAnsi="Arial" w:cs="Arial"/>
                <w:b/>
                <w:bCs/>
                <w:sz w:val="24"/>
                <w:szCs w:val="24"/>
              </w:rPr>
            </w:pPr>
          </w:p>
          <w:p w14:paraId="2880F291" w14:textId="77777777" w:rsidR="00C3036D" w:rsidRPr="00FA3F9C" w:rsidRDefault="00C3036D" w:rsidP="007624C1">
            <w:pPr>
              <w:pStyle w:val="NoSpacing"/>
              <w:rPr>
                <w:rFonts w:ascii="Arial" w:hAnsi="Arial" w:cs="Arial"/>
                <w:b/>
                <w:bCs/>
                <w:sz w:val="24"/>
                <w:szCs w:val="24"/>
              </w:rPr>
            </w:pPr>
            <w:r w:rsidRPr="00FA3F9C">
              <w:rPr>
                <w:rFonts w:ascii="Arial" w:hAnsi="Arial" w:cs="Arial"/>
                <w:b/>
                <w:bCs/>
                <w:sz w:val="24"/>
                <w:szCs w:val="24"/>
              </w:rPr>
              <w:t xml:space="preserve">If the answer is YES, approve </w:t>
            </w:r>
            <w:proofErr w:type="spellStart"/>
            <w:r w:rsidRPr="00FA3F9C">
              <w:rPr>
                <w:rFonts w:ascii="Arial" w:hAnsi="Arial" w:cs="Arial"/>
                <w:b/>
                <w:bCs/>
                <w:sz w:val="24"/>
                <w:szCs w:val="24"/>
              </w:rPr>
              <w:t>sargramostim</w:t>
            </w:r>
            <w:proofErr w:type="spellEnd"/>
            <w:r w:rsidRPr="00FA3F9C">
              <w:rPr>
                <w:rFonts w:ascii="Arial" w:hAnsi="Arial" w:cs="Arial"/>
                <w:b/>
                <w:bCs/>
                <w:sz w:val="24"/>
                <w:szCs w:val="24"/>
              </w:rPr>
              <w:t xml:space="preserve"> (</w:t>
            </w:r>
            <w:proofErr w:type="spellStart"/>
            <w:r w:rsidRPr="00FA3F9C">
              <w:rPr>
                <w:rFonts w:ascii="Arial" w:hAnsi="Arial" w:cs="Arial"/>
                <w:b/>
                <w:bCs/>
                <w:sz w:val="24"/>
                <w:szCs w:val="24"/>
              </w:rPr>
              <w:t>Leukine</w:t>
            </w:r>
            <w:proofErr w:type="spellEnd"/>
            <w:r w:rsidRPr="00FA3F9C">
              <w:rPr>
                <w:rFonts w:ascii="Arial" w:hAnsi="Arial" w:cs="Arial"/>
                <w:b/>
                <w:bCs/>
                <w:sz w:val="24"/>
                <w:szCs w:val="24"/>
                <w:vertAlign w:val="superscript"/>
              </w:rPr>
              <w:t>®</w:t>
            </w:r>
            <w:r w:rsidRPr="00FA3F9C">
              <w:rPr>
                <w:rFonts w:ascii="Arial" w:hAnsi="Arial" w:cs="Arial"/>
                <w:b/>
                <w:bCs/>
                <w:sz w:val="24"/>
                <w:szCs w:val="24"/>
              </w:rPr>
              <w:t>) for coverage.  The PA is good for 6 months.</w:t>
            </w:r>
            <w:r w:rsidRPr="00FA3F9C">
              <w:rPr>
                <w:rFonts w:ascii="Arial" w:hAnsi="Arial" w:cs="Arial"/>
                <w:bCs/>
                <w:sz w:val="24"/>
                <w:szCs w:val="24"/>
              </w:rPr>
              <w:t xml:space="preserve">  </w:t>
            </w:r>
            <w:r w:rsidRPr="00FA3F9C">
              <w:rPr>
                <w:rFonts w:ascii="Arial" w:hAnsi="Arial" w:cs="Arial"/>
                <w:b/>
                <w:bCs/>
                <w:color w:val="7F7F7F"/>
                <w:sz w:val="24"/>
                <w:szCs w:val="24"/>
              </w:rPr>
              <w:t xml:space="preserve">The PA is to allow access to </w:t>
            </w:r>
            <w:proofErr w:type="spellStart"/>
            <w:r w:rsidRPr="00FA3F9C">
              <w:rPr>
                <w:rFonts w:ascii="Arial" w:hAnsi="Arial" w:cs="Arial"/>
                <w:b/>
                <w:bCs/>
                <w:color w:val="7F7F7F"/>
                <w:sz w:val="24"/>
                <w:szCs w:val="24"/>
              </w:rPr>
              <w:t>sargramostim</w:t>
            </w:r>
            <w:proofErr w:type="spellEnd"/>
            <w:r w:rsidRPr="00FA3F9C">
              <w:rPr>
                <w:rFonts w:ascii="Arial" w:hAnsi="Arial" w:cs="Arial"/>
                <w:b/>
                <w:bCs/>
                <w:color w:val="7F7F7F"/>
                <w:sz w:val="24"/>
                <w:szCs w:val="24"/>
              </w:rPr>
              <w:t xml:space="preserve"> for the purpose of improving survival in the setting of delayed engraftment or graft failure.</w:t>
            </w:r>
          </w:p>
        </w:tc>
      </w:tr>
    </w:tbl>
    <w:p w14:paraId="22ED0987" w14:textId="77777777" w:rsidR="00C3036D" w:rsidRPr="00FA3F9C" w:rsidRDefault="00C3036D" w:rsidP="00B80518">
      <w:pPr>
        <w:pStyle w:val="NoSpacing"/>
        <w:rPr>
          <w:rFonts w:ascii="Arial" w:hAnsi="Arial" w:cs="Arial"/>
          <w:sz w:val="24"/>
          <w:szCs w:val="24"/>
        </w:rPr>
      </w:pPr>
      <w:r w:rsidRPr="00FA3F9C">
        <w:rPr>
          <w:rFonts w:ascii="Arial" w:hAnsi="Arial" w:cs="Arial"/>
          <w:sz w:val="24"/>
          <w:szCs w:val="24"/>
          <w:vertAlign w:val="superscript"/>
        </w:rPr>
        <w:t>†</w:t>
      </w:r>
      <w:r w:rsidRPr="00FA3F9C">
        <w:rPr>
          <w:rFonts w:ascii="Arial" w:hAnsi="Arial" w:cs="Arial"/>
          <w:sz w:val="24"/>
          <w:szCs w:val="24"/>
        </w:rPr>
        <w:t>This was manifested in the trial by ANC &gt; 500 cells/mm</w:t>
      </w:r>
      <w:r w:rsidRPr="00FA3F9C">
        <w:rPr>
          <w:rFonts w:ascii="Arial" w:hAnsi="Arial" w:cs="Arial"/>
          <w:sz w:val="24"/>
          <w:szCs w:val="24"/>
          <w:vertAlign w:val="superscript"/>
        </w:rPr>
        <w:t>3</w:t>
      </w:r>
      <w:r w:rsidRPr="00FA3F9C">
        <w:rPr>
          <w:rFonts w:ascii="Arial" w:hAnsi="Arial" w:cs="Arial"/>
          <w:sz w:val="24"/>
          <w:szCs w:val="24"/>
        </w:rPr>
        <w:t xml:space="preserve"> for at least 1 week followed by loss of engraftment with ANC &lt; 500 cells/mm</w:t>
      </w:r>
      <w:r w:rsidRPr="00FA3F9C">
        <w:rPr>
          <w:rFonts w:ascii="Arial" w:hAnsi="Arial" w:cs="Arial"/>
          <w:sz w:val="24"/>
          <w:szCs w:val="24"/>
          <w:vertAlign w:val="superscript"/>
        </w:rPr>
        <w:t>3</w:t>
      </w:r>
      <w:r w:rsidRPr="00FA3F9C">
        <w:rPr>
          <w:rFonts w:ascii="Arial" w:hAnsi="Arial" w:cs="Arial"/>
          <w:sz w:val="24"/>
          <w:szCs w:val="24"/>
        </w:rPr>
        <w:t xml:space="preserve"> for at least 1 week beyond day 21 post-transplantation.</w:t>
      </w:r>
    </w:p>
    <w:p w14:paraId="7A935216" w14:textId="77777777" w:rsidR="00C3036D" w:rsidRPr="00FA3F9C" w:rsidRDefault="00C3036D" w:rsidP="00C10C60">
      <w:pPr>
        <w:pStyle w:val="NoSpacing"/>
        <w:rPr>
          <w:rFonts w:ascii="Arial" w:hAnsi="Arial" w:cs="Arial"/>
          <w:sz w:val="24"/>
          <w:szCs w:val="24"/>
        </w:rPr>
      </w:pPr>
    </w:p>
    <w:p w14:paraId="00C1123A" w14:textId="77777777" w:rsidR="00C3036D" w:rsidRPr="00FA3F9C" w:rsidRDefault="00C3036D" w:rsidP="000859B1">
      <w:pPr>
        <w:pStyle w:val="NoSpacing"/>
        <w:rPr>
          <w:rFonts w:ascii="Arial" w:hAnsi="Arial" w:cs="Arial"/>
          <w:sz w:val="24"/>
          <w:szCs w:val="24"/>
        </w:rPr>
      </w:pPr>
      <w:r w:rsidRPr="00FA3F9C">
        <w:rPr>
          <w:rFonts w:ascii="Arial" w:hAnsi="Arial" w:cs="Arial"/>
          <w:sz w:val="24"/>
          <w:szCs w:val="24"/>
        </w:rPr>
        <w:t>References:</w:t>
      </w:r>
    </w:p>
    <w:p w14:paraId="09E4F4D8" w14:textId="77777777" w:rsidR="00C3036D" w:rsidRPr="00FA3F9C" w:rsidRDefault="00C3036D" w:rsidP="00FC1E85">
      <w:pPr>
        <w:pStyle w:val="NoSpacing"/>
        <w:numPr>
          <w:ilvl w:val="0"/>
          <w:numId w:val="465"/>
        </w:numPr>
        <w:rPr>
          <w:rFonts w:ascii="Arial" w:hAnsi="Arial" w:cs="Arial"/>
          <w:sz w:val="24"/>
          <w:szCs w:val="24"/>
        </w:rPr>
      </w:pPr>
      <w:r w:rsidRPr="00FA3F9C">
        <w:rPr>
          <w:rFonts w:ascii="Arial" w:hAnsi="Arial" w:cs="Arial"/>
          <w:sz w:val="24"/>
          <w:szCs w:val="24"/>
        </w:rPr>
        <w:t xml:space="preserve">Genzyme, Inc. (2009). </w:t>
      </w:r>
      <w:proofErr w:type="spellStart"/>
      <w:r w:rsidRPr="00FA3F9C">
        <w:rPr>
          <w:rFonts w:ascii="Arial" w:hAnsi="Arial" w:cs="Arial"/>
          <w:sz w:val="24"/>
          <w:szCs w:val="24"/>
        </w:rPr>
        <w:t>Sargramostim</w:t>
      </w:r>
      <w:proofErr w:type="spellEnd"/>
      <w:r w:rsidRPr="00FA3F9C">
        <w:rPr>
          <w:rFonts w:ascii="Arial" w:hAnsi="Arial" w:cs="Arial"/>
          <w:sz w:val="24"/>
          <w:szCs w:val="24"/>
        </w:rPr>
        <w:t xml:space="preserve"> (</w:t>
      </w:r>
      <w:proofErr w:type="spellStart"/>
      <w:r w:rsidRPr="00FA3F9C">
        <w:rPr>
          <w:rFonts w:ascii="Arial" w:hAnsi="Arial" w:cs="Arial"/>
          <w:sz w:val="24"/>
          <w:szCs w:val="24"/>
        </w:rPr>
        <w:t>Leukine</w:t>
      </w:r>
      <w:proofErr w:type="spellEnd"/>
      <w:r w:rsidRPr="00FA3F9C">
        <w:rPr>
          <w:rFonts w:ascii="Arial" w:hAnsi="Arial" w:cs="Arial"/>
          <w:sz w:val="24"/>
          <w:szCs w:val="24"/>
          <w:vertAlign w:val="superscript"/>
        </w:rPr>
        <w:t>®</w:t>
      </w:r>
      <w:r w:rsidRPr="00FA3F9C">
        <w:rPr>
          <w:rFonts w:ascii="Arial" w:hAnsi="Arial" w:cs="Arial"/>
          <w:sz w:val="24"/>
          <w:szCs w:val="24"/>
        </w:rPr>
        <w:t xml:space="preserve">).  Cambridge, MA: Author. </w:t>
      </w:r>
      <w:hyperlink r:id="rId371" w:history="1">
        <w:r w:rsidRPr="00FA3F9C">
          <w:rPr>
            <w:rStyle w:val="Hyperlink"/>
            <w:rFonts w:ascii="Arial" w:hAnsi="Arial" w:cs="Arial"/>
            <w:sz w:val="24"/>
            <w:szCs w:val="24"/>
          </w:rPr>
          <w:t>http://www.leukine.com/pi</w:t>
        </w:r>
      </w:hyperlink>
      <w:r w:rsidRPr="00FA3F9C">
        <w:rPr>
          <w:rFonts w:ascii="Arial" w:hAnsi="Arial" w:cs="Arial"/>
          <w:sz w:val="24"/>
          <w:szCs w:val="24"/>
        </w:rPr>
        <w:t xml:space="preserve"> . Accessed 7/31/19.</w:t>
      </w:r>
    </w:p>
    <w:p w14:paraId="2F91B7AC" w14:textId="77777777" w:rsidR="00C3036D" w:rsidRPr="00FA3F9C" w:rsidRDefault="00C3036D" w:rsidP="000859B1">
      <w:pPr>
        <w:pStyle w:val="NoSpacing"/>
        <w:rPr>
          <w:rFonts w:ascii="Arial" w:hAnsi="Arial" w:cs="Arial"/>
          <w:sz w:val="24"/>
          <w:szCs w:val="24"/>
        </w:rPr>
      </w:pPr>
    </w:p>
    <w:p w14:paraId="043FFF1E" w14:textId="77777777" w:rsidR="00C3036D" w:rsidRPr="00FA3F9C" w:rsidRDefault="00C3036D" w:rsidP="000859B1">
      <w:pPr>
        <w:pStyle w:val="NoSpacing"/>
        <w:rPr>
          <w:rFonts w:ascii="Arial" w:hAnsi="Arial" w:cs="Arial"/>
          <w:i/>
          <w:sz w:val="24"/>
          <w:szCs w:val="24"/>
        </w:rPr>
      </w:pPr>
      <w:r w:rsidRPr="00FA3F9C">
        <w:rPr>
          <w:rFonts w:ascii="Arial" w:hAnsi="Arial" w:cs="Arial"/>
          <w:i/>
          <w:sz w:val="24"/>
          <w:szCs w:val="24"/>
        </w:rPr>
        <w:t>Rationale for coverage:</w:t>
      </w:r>
    </w:p>
    <w:p w14:paraId="262AD184" w14:textId="77777777" w:rsidR="00C3036D" w:rsidRPr="00FA3F9C" w:rsidRDefault="00C3036D" w:rsidP="00C10C60">
      <w:pPr>
        <w:pStyle w:val="NoSpacing"/>
        <w:rPr>
          <w:rFonts w:ascii="Arial" w:hAnsi="Arial" w:cs="Arial"/>
          <w:i/>
          <w:sz w:val="24"/>
          <w:szCs w:val="24"/>
        </w:rPr>
      </w:pPr>
      <w:r w:rsidRPr="00FA3F9C">
        <w:rPr>
          <w:rFonts w:ascii="Arial" w:hAnsi="Arial" w:cs="Arial"/>
          <w:i/>
          <w:sz w:val="24"/>
          <w:szCs w:val="24"/>
        </w:rPr>
        <w:t xml:space="preserve">The patients had to meet one of the criteria above to be considered eligible for the trial.  It is unknown whether patients outside these criteria will derive benefit from </w:t>
      </w:r>
      <w:proofErr w:type="spellStart"/>
      <w:r w:rsidRPr="00FA3F9C">
        <w:rPr>
          <w:rFonts w:ascii="Arial" w:hAnsi="Arial" w:cs="Arial"/>
          <w:i/>
          <w:sz w:val="24"/>
          <w:szCs w:val="24"/>
        </w:rPr>
        <w:t>sargramostim</w:t>
      </w:r>
      <w:proofErr w:type="spellEnd"/>
      <w:r w:rsidRPr="00FA3F9C">
        <w:rPr>
          <w:rFonts w:ascii="Arial" w:hAnsi="Arial" w:cs="Arial"/>
          <w:i/>
          <w:sz w:val="24"/>
          <w:szCs w:val="24"/>
        </w:rPr>
        <w:t xml:space="preserve"> therapy following BMT failure.</w:t>
      </w:r>
    </w:p>
    <w:p w14:paraId="53B48C35" w14:textId="77777777" w:rsidR="00C3036D" w:rsidRPr="00FA3F9C" w:rsidRDefault="00C3036D" w:rsidP="00C10C60">
      <w:pPr>
        <w:pStyle w:val="NoSpacing"/>
        <w:rPr>
          <w:rFonts w:ascii="Arial" w:hAnsi="Arial" w:cs="Arial"/>
          <w:i/>
          <w:sz w:val="24"/>
          <w:szCs w:val="24"/>
        </w:rPr>
      </w:pPr>
    </w:p>
    <w:p w14:paraId="5073A7E1" w14:textId="77777777" w:rsidR="00C3036D" w:rsidRPr="00FA3F9C" w:rsidRDefault="00C3036D" w:rsidP="00C10C60">
      <w:pPr>
        <w:pStyle w:val="NoSpacing"/>
        <w:rPr>
          <w:rFonts w:ascii="Arial" w:hAnsi="Arial" w:cs="Arial"/>
          <w:i/>
          <w:sz w:val="24"/>
          <w:szCs w:val="24"/>
        </w:rPr>
      </w:pPr>
    </w:p>
    <w:p w14:paraId="7FFC43FE" w14:textId="77777777" w:rsidR="00C3036D" w:rsidRPr="00FA3F9C" w:rsidRDefault="00C3036D" w:rsidP="00D7207F">
      <w:pPr>
        <w:pStyle w:val="NoSpacing"/>
        <w:rPr>
          <w:rFonts w:ascii="Arial" w:hAnsi="Arial" w:cs="Arial"/>
          <w:b/>
          <w:sz w:val="24"/>
          <w:szCs w:val="24"/>
          <w:u w:val="single"/>
        </w:rPr>
      </w:pPr>
    </w:p>
    <w:p w14:paraId="0BC95EA3" w14:textId="77777777" w:rsidR="00C3036D" w:rsidRPr="00FA3F9C" w:rsidRDefault="00C3036D" w:rsidP="00D7207F">
      <w:pPr>
        <w:pStyle w:val="NoSpacing"/>
        <w:rPr>
          <w:rFonts w:ascii="Arial" w:hAnsi="Arial" w:cs="Arial"/>
          <w:b/>
          <w:sz w:val="24"/>
          <w:szCs w:val="24"/>
          <w:u w:val="single"/>
        </w:rPr>
      </w:pPr>
    </w:p>
    <w:p w14:paraId="47405454" w14:textId="77777777" w:rsidR="00C3036D" w:rsidRPr="00FA3F9C" w:rsidRDefault="00C3036D" w:rsidP="00D7207F">
      <w:pPr>
        <w:pStyle w:val="NoSpacing"/>
        <w:rPr>
          <w:rFonts w:ascii="Arial" w:hAnsi="Arial" w:cs="Arial"/>
          <w:b/>
          <w:sz w:val="24"/>
          <w:szCs w:val="24"/>
          <w:u w:val="single"/>
        </w:rPr>
      </w:pPr>
    </w:p>
    <w:p w14:paraId="09EFEE70" w14:textId="77777777" w:rsidR="00C3036D" w:rsidRPr="00FA3F9C" w:rsidRDefault="00C3036D" w:rsidP="00D7207F">
      <w:pPr>
        <w:pStyle w:val="NoSpacing"/>
        <w:rPr>
          <w:rFonts w:ascii="Arial" w:hAnsi="Arial" w:cs="Arial"/>
          <w:b/>
          <w:sz w:val="24"/>
          <w:szCs w:val="24"/>
          <w:u w:val="single"/>
        </w:rPr>
      </w:pPr>
    </w:p>
    <w:p w14:paraId="549B02F2" w14:textId="77777777" w:rsidR="00C3036D" w:rsidRPr="00FA3F9C" w:rsidRDefault="00C3036D" w:rsidP="00D7207F">
      <w:pPr>
        <w:pStyle w:val="NoSpacing"/>
        <w:rPr>
          <w:rFonts w:ascii="Arial" w:hAnsi="Arial" w:cs="Arial"/>
          <w:b/>
          <w:sz w:val="24"/>
          <w:szCs w:val="24"/>
          <w:u w:val="single"/>
        </w:rPr>
      </w:pPr>
      <w:r w:rsidRPr="00FA3F9C">
        <w:rPr>
          <w:rFonts w:ascii="Arial" w:hAnsi="Arial" w:cs="Arial"/>
          <w:b/>
          <w:sz w:val="24"/>
          <w:szCs w:val="24"/>
          <w:u w:val="single"/>
        </w:rPr>
        <w:t xml:space="preserve">Critique of </w:t>
      </w:r>
      <w:proofErr w:type="spellStart"/>
      <w:r w:rsidRPr="00FA3F9C">
        <w:rPr>
          <w:rFonts w:ascii="Arial" w:hAnsi="Arial" w:cs="Arial"/>
          <w:b/>
          <w:sz w:val="24"/>
          <w:szCs w:val="24"/>
          <w:u w:val="single"/>
        </w:rPr>
        <w:t>Korzenik</w:t>
      </w:r>
      <w:proofErr w:type="spellEnd"/>
      <w:r w:rsidRPr="00FA3F9C">
        <w:rPr>
          <w:rFonts w:ascii="Arial" w:hAnsi="Arial" w:cs="Arial"/>
          <w:b/>
          <w:sz w:val="24"/>
          <w:szCs w:val="24"/>
          <w:u w:val="single"/>
        </w:rPr>
        <w:t xml:space="preserve"> et al study regarding use of </w:t>
      </w:r>
      <w:proofErr w:type="spellStart"/>
      <w:r w:rsidRPr="00FA3F9C">
        <w:rPr>
          <w:rFonts w:ascii="Arial" w:hAnsi="Arial" w:cs="Arial"/>
          <w:b/>
          <w:sz w:val="24"/>
          <w:szCs w:val="24"/>
          <w:u w:val="single"/>
        </w:rPr>
        <w:t>sargramostim</w:t>
      </w:r>
      <w:proofErr w:type="spellEnd"/>
      <w:r w:rsidRPr="00FA3F9C">
        <w:rPr>
          <w:rFonts w:ascii="Arial" w:hAnsi="Arial" w:cs="Arial"/>
          <w:b/>
          <w:sz w:val="24"/>
          <w:szCs w:val="24"/>
          <w:u w:val="single"/>
        </w:rPr>
        <w:t xml:space="preserve"> for Crohn’s Disease (written by JJ):</w:t>
      </w:r>
    </w:p>
    <w:p w14:paraId="59CCE9F6" w14:textId="77777777" w:rsidR="00C3036D" w:rsidRPr="00FA3F9C" w:rsidRDefault="00C3036D" w:rsidP="002652E7">
      <w:pPr>
        <w:pStyle w:val="NoSpacing"/>
        <w:rPr>
          <w:rFonts w:ascii="Arial" w:hAnsi="Arial" w:cs="Arial"/>
          <w:i/>
          <w:sz w:val="24"/>
          <w:szCs w:val="24"/>
        </w:rPr>
      </w:pPr>
      <w:r w:rsidRPr="00FA3F9C">
        <w:rPr>
          <w:rFonts w:ascii="Arial" w:hAnsi="Arial" w:cs="Arial"/>
          <w:i/>
          <w:sz w:val="24"/>
          <w:szCs w:val="24"/>
        </w:rPr>
        <w:t xml:space="preserve">The results of the large, randomized, controlled trial by </w:t>
      </w:r>
      <w:proofErr w:type="spellStart"/>
      <w:r w:rsidRPr="00FA3F9C">
        <w:rPr>
          <w:rFonts w:ascii="Arial" w:hAnsi="Arial" w:cs="Arial"/>
          <w:i/>
          <w:sz w:val="24"/>
          <w:szCs w:val="24"/>
        </w:rPr>
        <w:t>Korzenik</w:t>
      </w:r>
      <w:proofErr w:type="spellEnd"/>
      <w:r w:rsidRPr="00FA3F9C">
        <w:rPr>
          <w:rFonts w:ascii="Arial" w:hAnsi="Arial" w:cs="Arial"/>
          <w:i/>
          <w:sz w:val="24"/>
          <w:szCs w:val="24"/>
        </w:rPr>
        <w:t xml:space="preserve"> et al. (Ref 2 above) is the basis of the PA criteria set forth here.  The PA criteria (#1-#3 and #5-#8) reflect the inclusion/exclusion criteria of the trial.  Criterion #4 results from a subgroup analysis that determined current users of tobacco will experience no significant benefit from </w:t>
      </w:r>
      <w:proofErr w:type="spellStart"/>
      <w:r w:rsidRPr="00FA3F9C">
        <w:rPr>
          <w:rFonts w:ascii="Arial" w:hAnsi="Arial" w:cs="Arial"/>
          <w:i/>
          <w:sz w:val="24"/>
          <w:szCs w:val="24"/>
        </w:rPr>
        <w:t>sargramostim</w:t>
      </w:r>
      <w:proofErr w:type="spellEnd"/>
      <w:r w:rsidRPr="00FA3F9C">
        <w:rPr>
          <w:rFonts w:ascii="Arial" w:hAnsi="Arial" w:cs="Arial"/>
          <w:i/>
          <w:sz w:val="24"/>
          <w:szCs w:val="24"/>
        </w:rPr>
        <w:t xml:space="preserve"> use when compared to placebo.  Criterion #9 is an extrapolation from the ACG guidelines (Ref 4 above) in which </w:t>
      </w:r>
      <w:proofErr w:type="spellStart"/>
      <w:r w:rsidRPr="00FA3F9C">
        <w:rPr>
          <w:rFonts w:ascii="Arial" w:hAnsi="Arial" w:cs="Arial"/>
          <w:i/>
          <w:sz w:val="24"/>
          <w:szCs w:val="24"/>
        </w:rPr>
        <w:t>sargramostim</w:t>
      </w:r>
      <w:proofErr w:type="spellEnd"/>
      <w:r w:rsidRPr="00FA3F9C">
        <w:rPr>
          <w:rFonts w:ascii="Arial" w:hAnsi="Arial" w:cs="Arial"/>
          <w:i/>
          <w:sz w:val="24"/>
          <w:szCs w:val="24"/>
        </w:rPr>
        <w:t xml:space="preserve"> therapy is not mentioned anywhere.  Thus, expert-recommended second-line therapy (</w:t>
      </w:r>
      <w:proofErr w:type="gramStart"/>
      <w:r w:rsidRPr="00FA3F9C">
        <w:rPr>
          <w:rFonts w:ascii="Arial" w:hAnsi="Arial" w:cs="Arial"/>
          <w:i/>
          <w:sz w:val="24"/>
          <w:szCs w:val="24"/>
        </w:rPr>
        <w:t>i.e.</w:t>
      </w:r>
      <w:proofErr w:type="gramEnd"/>
      <w:r w:rsidRPr="00FA3F9C">
        <w:rPr>
          <w:rFonts w:ascii="Arial" w:hAnsi="Arial" w:cs="Arial"/>
          <w:i/>
          <w:sz w:val="24"/>
          <w:szCs w:val="24"/>
        </w:rPr>
        <w:t xml:space="preserve"> anti-TNF agents) should be tried and failed before experimental therapy is appropriate.</w:t>
      </w:r>
    </w:p>
    <w:p w14:paraId="2538595C" w14:textId="77777777" w:rsidR="00C3036D" w:rsidRPr="00FA3F9C" w:rsidRDefault="00C3036D" w:rsidP="002652E7">
      <w:pPr>
        <w:pStyle w:val="NoSpacing"/>
        <w:rPr>
          <w:rFonts w:ascii="Arial" w:hAnsi="Arial" w:cs="Arial"/>
          <w:i/>
          <w:sz w:val="24"/>
          <w:szCs w:val="24"/>
        </w:rPr>
      </w:pPr>
    </w:p>
    <w:p w14:paraId="7DC8F3D6" w14:textId="77777777" w:rsidR="00C3036D" w:rsidRPr="00FA3F9C" w:rsidRDefault="00C3036D" w:rsidP="002652E7">
      <w:pPr>
        <w:pStyle w:val="NoSpacing"/>
        <w:rPr>
          <w:rFonts w:ascii="Arial" w:hAnsi="Arial" w:cs="Arial"/>
          <w:i/>
          <w:sz w:val="24"/>
          <w:szCs w:val="24"/>
        </w:rPr>
      </w:pPr>
      <w:r w:rsidRPr="00FA3F9C">
        <w:rPr>
          <w:rFonts w:ascii="Arial" w:hAnsi="Arial" w:cs="Arial"/>
          <w:i/>
          <w:sz w:val="24"/>
          <w:szCs w:val="24"/>
        </w:rPr>
        <w:t xml:space="preserve">The weaknesses of the trial by </w:t>
      </w:r>
      <w:proofErr w:type="spellStart"/>
      <w:r w:rsidRPr="00FA3F9C">
        <w:rPr>
          <w:rFonts w:ascii="Arial" w:hAnsi="Arial" w:cs="Arial"/>
          <w:i/>
          <w:sz w:val="24"/>
          <w:szCs w:val="24"/>
        </w:rPr>
        <w:t>Korzenik</w:t>
      </w:r>
      <w:proofErr w:type="spellEnd"/>
      <w:r w:rsidRPr="00FA3F9C">
        <w:rPr>
          <w:rFonts w:ascii="Arial" w:hAnsi="Arial" w:cs="Arial"/>
          <w:i/>
          <w:sz w:val="24"/>
          <w:szCs w:val="24"/>
        </w:rPr>
        <w:t>, et al, are discussed below.  First and foremost, patient baseline characteristics were not equivocal between treatment and control groups.  Differences are as noted (C=control arm, T=treatment arm): 1. Sex (#males): C=51%, T=43%; 2. Median Age (</w:t>
      </w:r>
      <w:proofErr w:type="spellStart"/>
      <w:r w:rsidRPr="00FA3F9C">
        <w:rPr>
          <w:rFonts w:ascii="Arial" w:hAnsi="Arial" w:cs="Arial"/>
          <w:i/>
          <w:sz w:val="24"/>
          <w:szCs w:val="24"/>
        </w:rPr>
        <w:t>yr</w:t>
      </w:r>
      <w:proofErr w:type="spellEnd"/>
      <w:r w:rsidRPr="00FA3F9C">
        <w:rPr>
          <w:rFonts w:ascii="Arial" w:hAnsi="Arial" w:cs="Arial"/>
          <w:i/>
          <w:sz w:val="24"/>
          <w:szCs w:val="24"/>
        </w:rPr>
        <w:t>): C=41.0, T=36.0; 3. Duration of disease (</w:t>
      </w:r>
      <w:proofErr w:type="spellStart"/>
      <w:r w:rsidRPr="00FA3F9C">
        <w:rPr>
          <w:rFonts w:ascii="Arial" w:hAnsi="Arial" w:cs="Arial"/>
          <w:i/>
          <w:sz w:val="24"/>
          <w:szCs w:val="24"/>
        </w:rPr>
        <w:t>yr</w:t>
      </w:r>
      <w:proofErr w:type="spellEnd"/>
      <w:r w:rsidRPr="00FA3F9C">
        <w:rPr>
          <w:rFonts w:ascii="Arial" w:hAnsi="Arial" w:cs="Arial"/>
          <w:i/>
          <w:sz w:val="24"/>
          <w:szCs w:val="24"/>
        </w:rPr>
        <w:t>): C=9.9, T=7.7; 4. Tobacco use (any): C=67%, T=48%; 5. Tobacco use (current): C=33%, T=17%; 6. Prior medications (infliximab): C=60%, T=47%.  Several of these differences (and in combination) may have skewed the results of the trial.  The treatment arm effectively had younger patients, patients with shorter duration of disease, less tobacco use, and less treatment-resistant disease.  Furthermore, after a subgroup analysis was performed, the authors state that “</w:t>
      </w:r>
      <w:proofErr w:type="spellStart"/>
      <w:r w:rsidRPr="00FA3F9C">
        <w:rPr>
          <w:rFonts w:ascii="Arial" w:hAnsi="Arial" w:cs="Arial"/>
          <w:i/>
          <w:sz w:val="24"/>
          <w:szCs w:val="24"/>
        </w:rPr>
        <w:t>sargramostim</w:t>
      </w:r>
      <w:proofErr w:type="spellEnd"/>
      <w:r w:rsidRPr="00FA3F9C">
        <w:rPr>
          <w:rFonts w:ascii="Arial" w:hAnsi="Arial" w:cs="Arial"/>
          <w:i/>
          <w:sz w:val="24"/>
          <w:szCs w:val="24"/>
        </w:rPr>
        <w:t xml:space="preserve">-treated patients who had ongoing tobacco use… had response and remission rates that were similar to those of the overall group.”  The authors themselves therefore concede that current tobacco use negates use of </w:t>
      </w:r>
      <w:proofErr w:type="spellStart"/>
      <w:r w:rsidRPr="00FA3F9C">
        <w:rPr>
          <w:rFonts w:ascii="Arial" w:hAnsi="Arial" w:cs="Arial"/>
          <w:i/>
          <w:sz w:val="24"/>
          <w:szCs w:val="24"/>
        </w:rPr>
        <w:t>sargramostim</w:t>
      </w:r>
      <w:proofErr w:type="spellEnd"/>
      <w:r w:rsidRPr="00FA3F9C">
        <w:rPr>
          <w:rFonts w:ascii="Arial" w:hAnsi="Arial" w:cs="Arial"/>
          <w:i/>
          <w:sz w:val="24"/>
          <w:szCs w:val="24"/>
        </w:rPr>
        <w:t xml:space="preserve">.  Why, then, was there a discrepancy in </w:t>
      </w:r>
      <w:r w:rsidRPr="00FA3F9C">
        <w:rPr>
          <w:rFonts w:ascii="Arial" w:hAnsi="Arial" w:cs="Arial"/>
          <w:i/>
          <w:sz w:val="24"/>
          <w:szCs w:val="24"/>
          <w:u w:val="single"/>
        </w:rPr>
        <w:t>current</w:t>
      </w:r>
      <w:r w:rsidRPr="00FA3F9C">
        <w:rPr>
          <w:rFonts w:ascii="Arial" w:hAnsi="Arial" w:cs="Arial"/>
          <w:i/>
          <w:sz w:val="24"/>
          <w:szCs w:val="24"/>
        </w:rPr>
        <w:t xml:space="preserve"> tobacco use of nearly two-fold between the control and treatment groups?  It would also be beneficial to know whether smoking at any time in the past affects the efficacy of </w:t>
      </w:r>
      <w:proofErr w:type="spellStart"/>
      <w:r w:rsidRPr="00FA3F9C">
        <w:rPr>
          <w:rFonts w:ascii="Arial" w:hAnsi="Arial" w:cs="Arial"/>
          <w:i/>
          <w:sz w:val="24"/>
          <w:szCs w:val="24"/>
        </w:rPr>
        <w:t>sargramostim</w:t>
      </w:r>
      <w:proofErr w:type="spellEnd"/>
      <w:r w:rsidRPr="00FA3F9C">
        <w:rPr>
          <w:rFonts w:ascii="Arial" w:hAnsi="Arial" w:cs="Arial"/>
          <w:i/>
          <w:sz w:val="24"/>
          <w:szCs w:val="24"/>
        </w:rPr>
        <w:t>, as there was a 19% difference in any prior tobacco use between arms.</w:t>
      </w:r>
    </w:p>
    <w:p w14:paraId="213F5BA5" w14:textId="77777777" w:rsidR="00C3036D" w:rsidRPr="00FA3F9C" w:rsidRDefault="00C3036D" w:rsidP="002652E7">
      <w:pPr>
        <w:pStyle w:val="NoSpacing"/>
        <w:rPr>
          <w:rFonts w:ascii="Arial" w:hAnsi="Arial" w:cs="Arial"/>
          <w:i/>
          <w:sz w:val="24"/>
          <w:szCs w:val="24"/>
        </w:rPr>
      </w:pPr>
    </w:p>
    <w:p w14:paraId="16AB8902" w14:textId="77777777" w:rsidR="00C3036D" w:rsidRPr="00FA3F9C" w:rsidRDefault="00C3036D" w:rsidP="002652E7">
      <w:pPr>
        <w:pStyle w:val="NoSpacing"/>
        <w:rPr>
          <w:rFonts w:ascii="Arial" w:hAnsi="Arial" w:cs="Arial"/>
          <w:i/>
          <w:sz w:val="24"/>
          <w:szCs w:val="24"/>
        </w:rPr>
      </w:pPr>
      <w:r w:rsidRPr="00FA3F9C">
        <w:rPr>
          <w:rFonts w:ascii="Arial" w:hAnsi="Arial" w:cs="Arial"/>
          <w:i/>
          <w:sz w:val="24"/>
          <w:szCs w:val="24"/>
        </w:rPr>
        <w:t xml:space="preserve">That  patients in the treatment arm were, on average, 5 years younger than those in the control arm, does not in and of itself necessarily cause skewed results.  After all, it is not logical to assume that every patient in the control arm, for all 5 of those years, had CD.  However, couple this discrepancy with the discrepancy in duration of disease between trial arms (2.2 years), and </w:t>
      </w:r>
      <w:r w:rsidRPr="00FA3F9C">
        <w:rPr>
          <w:rFonts w:ascii="Arial" w:hAnsi="Arial" w:cs="Arial"/>
          <w:i/>
          <w:sz w:val="24"/>
          <w:szCs w:val="24"/>
        </w:rPr>
        <w:lastRenderedPageBreak/>
        <w:t>that argument suddenly becomes more robust.  It causes one to question whether the patients in the treatment arm were in better health at baseline than those in the control arm.  And it causes one to question the validity of the results.</w:t>
      </w:r>
    </w:p>
    <w:p w14:paraId="4DB3D0D1" w14:textId="77777777" w:rsidR="00C3036D" w:rsidRPr="00FA3F9C" w:rsidRDefault="00C3036D" w:rsidP="002652E7">
      <w:pPr>
        <w:pStyle w:val="NoSpacing"/>
        <w:rPr>
          <w:rFonts w:ascii="Arial" w:hAnsi="Arial" w:cs="Arial"/>
          <w:i/>
          <w:sz w:val="24"/>
          <w:szCs w:val="24"/>
        </w:rPr>
      </w:pPr>
    </w:p>
    <w:p w14:paraId="065EB985" w14:textId="77777777" w:rsidR="00C3036D" w:rsidRPr="00FA3F9C" w:rsidRDefault="00C3036D" w:rsidP="002652E7">
      <w:pPr>
        <w:pStyle w:val="NoSpacing"/>
        <w:rPr>
          <w:rFonts w:ascii="Arial" w:hAnsi="Arial" w:cs="Arial"/>
          <w:i/>
          <w:sz w:val="24"/>
          <w:szCs w:val="24"/>
        </w:rPr>
      </w:pPr>
      <w:r w:rsidRPr="00FA3F9C">
        <w:rPr>
          <w:rFonts w:ascii="Arial" w:hAnsi="Arial" w:cs="Arial"/>
          <w:i/>
          <w:sz w:val="24"/>
          <w:szCs w:val="24"/>
        </w:rPr>
        <w:t>Fewer patients in the treatment arm had been tried on infliximab therapy (</w:t>
      </w:r>
      <w:proofErr w:type="gramStart"/>
      <w:r w:rsidRPr="00FA3F9C">
        <w:rPr>
          <w:rFonts w:ascii="Arial" w:hAnsi="Arial" w:cs="Arial"/>
          <w:i/>
          <w:sz w:val="24"/>
          <w:szCs w:val="24"/>
        </w:rPr>
        <w:t>i.e.</w:t>
      </w:r>
      <w:proofErr w:type="gramEnd"/>
      <w:r w:rsidRPr="00FA3F9C">
        <w:rPr>
          <w:rFonts w:ascii="Arial" w:hAnsi="Arial" w:cs="Arial"/>
          <w:i/>
          <w:sz w:val="24"/>
          <w:szCs w:val="24"/>
        </w:rPr>
        <w:t xml:space="preserve"> second-line therapy) than had the control arm.  Again, here is a quote by the authors following yet another subgroup analysis: “…response and remission rates were higher among those who had not received prior second-line therapy than among those who had.”  In other words, patients who had been on infliximab previously did </w:t>
      </w:r>
      <w:r w:rsidRPr="00FA3F9C">
        <w:rPr>
          <w:rFonts w:ascii="Arial" w:hAnsi="Arial" w:cs="Arial"/>
          <w:i/>
          <w:sz w:val="24"/>
          <w:szCs w:val="24"/>
          <w:u w:val="single"/>
        </w:rPr>
        <w:t>worse</w:t>
      </w:r>
      <w:r w:rsidRPr="00FA3F9C">
        <w:rPr>
          <w:rFonts w:ascii="Arial" w:hAnsi="Arial" w:cs="Arial"/>
          <w:i/>
          <w:sz w:val="24"/>
          <w:szCs w:val="24"/>
        </w:rPr>
        <w:t xml:space="preserve"> than those who were naïve to infliximab therapy.  This begs the question: Why, then, was there a discrepancy in prior infliximab use of 13% between the control and treatment arms, favoring the treatment arm?  If patients did worse if they had tried infliximab, doesn’t it follow logically that less patients in the control arm would respond to </w:t>
      </w:r>
      <w:proofErr w:type="spellStart"/>
      <w:r w:rsidRPr="00FA3F9C">
        <w:rPr>
          <w:rFonts w:ascii="Arial" w:hAnsi="Arial" w:cs="Arial"/>
          <w:i/>
          <w:sz w:val="24"/>
          <w:szCs w:val="24"/>
        </w:rPr>
        <w:t>sargramostim</w:t>
      </w:r>
      <w:proofErr w:type="spellEnd"/>
      <w:r w:rsidRPr="00FA3F9C">
        <w:rPr>
          <w:rFonts w:ascii="Arial" w:hAnsi="Arial" w:cs="Arial"/>
          <w:i/>
          <w:sz w:val="24"/>
          <w:szCs w:val="24"/>
        </w:rPr>
        <w:t>, since 60% of them had tried second-line therapy?</w:t>
      </w:r>
    </w:p>
    <w:p w14:paraId="7AFFE3C0" w14:textId="77777777" w:rsidR="00C3036D" w:rsidRPr="00FA3F9C" w:rsidRDefault="00C3036D" w:rsidP="002652E7">
      <w:pPr>
        <w:pStyle w:val="NoSpacing"/>
        <w:rPr>
          <w:rFonts w:ascii="Arial" w:hAnsi="Arial" w:cs="Arial"/>
          <w:i/>
          <w:sz w:val="24"/>
          <w:szCs w:val="24"/>
        </w:rPr>
      </w:pPr>
    </w:p>
    <w:p w14:paraId="45D1450B" w14:textId="77777777" w:rsidR="00C3036D" w:rsidRPr="00FA3F9C" w:rsidRDefault="00C3036D" w:rsidP="002652E7">
      <w:pPr>
        <w:pStyle w:val="NoSpacing"/>
        <w:rPr>
          <w:rFonts w:ascii="Arial" w:hAnsi="Arial" w:cs="Arial"/>
          <w:i/>
          <w:sz w:val="24"/>
          <w:szCs w:val="24"/>
        </w:rPr>
      </w:pPr>
      <w:r w:rsidRPr="00FA3F9C">
        <w:rPr>
          <w:rFonts w:ascii="Arial" w:hAnsi="Arial" w:cs="Arial"/>
          <w:i/>
          <w:sz w:val="24"/>
          <w:szCs w:val="24"/>
        </w:rPr>
        <w:t xml:space="preserve">Finally, the authors confound trial with another observation: “The mean time to the loss of a clinical response [in the </w:t>
      </w:r>
      <w:proofErr w:type="spellStart"/>
      <w:r w:rsidRPr="00FA3F9C">
        <w:rPr>
          <w:rFonts w:ascii="Arial" w:hAnsi="Arial" w:cs="Arial"/>
          <w:i/>
          <w:sz w:val="24"/>
          <w:szCs w:val="24"/>
        </w:rPr>
        <w:t>sargramostim</w:t>
      </w:r>
      <w:proofErr w:type="spellEnd"/>
      <w:r w:rsidRPr="00FA3F9C">
        <w:rPr>
          <w:rFonts w:ascii="Arial" w:hAnsi="Arial" w:cs="Arial"/>
          <w:i/>
          <w:sz w:val="24"/>
          <w:szCs w:val="24"/>
        </w:rPr>
        <w:t xml:space="preserve"> group] was 9.7 weeks, and to the loss of remission 7.5 weeks.”  Time to loss of clinical response and remission was not an endpoint specified </w:t>
      </w:r>
      <w:r w:rsidRPr="00FA3F9C">
        <w:rPr>
          <w:rFonts w:ascii="Arial" w:hAnsi="Arial" w:cs="Arial"/>
          <w:sz w:val="24"/>
          <w:szCs w:val="24"/>
        </w:rPr>
        <w:t>a priori</w:t>
      </w:r>
      <w:r w:rsidRPr="00FA3F9C">
        <w:rPr>
          <w:rFonts w:ascii="Arial" w:hAnsi="Arial" w:cs="Arial"/>
          <w:i/>
          <w:sz w:val="24"/>
          <w:szCs w:val="24"/>
        </w:rPr>
        <w:t xml:space="preserve"> in the trial, but it is still a valid clinical endpoint (arguably more valid than improved CDAI scores).  The error </w:t>
      </w:r>
      <w:proofErr w:type="gramStart"/>
      <w:r w:rsidRPr="00FA3F9C">
        <w:rPr>
          <w:rFonts w:ascii="Arial" w:hAnsi="Arial" w:cs="Arial"/>
          <w:i/>
          <w:sz w:val="24"/>
          <w:szCs w:val="24"/>
        </w:rPr>
        <w:t>doesn’t</w:t>
      </w:r>
      <w:proofErr w:type="gramEnd"/>
      <w:r w:rsidRPr="00FA3F9C">
        <w:rPr>
          <w:rFonts w:ascii="Arial" w:hAnsi="Arial" w:cs="Arial"/>
          <w:i/>
          <w:sz w:val="24"/>
          <w:szCs w:val="24"/>
        </w:rPr>
        <w:t xml:space="preserve"> lie with the authors reporting this result; it lies with the fact that time to loss of clinical response and remission was </w:t>
      </w:r>
      <w:r w:rsidRPr="00FA3F9C">
        <w:rPr>
          <w:rFonts w:ascii="Arial" w:hAnsi="Arial" w:cs="Arial"/>
          <w:i/>
          <w:sz w:val="24"/>
          <w:szCs w:val="24"/>
          <w:u w:val="single"/>
        </w:rPr>
        <w:t>not</w:t>
      </w:r>
      <w:r w:rsidRPr="00FA3F9C">
        <w:rPr>
          <w:rFonts w:ascii="Arial" w:hAnsi="Arial" w:cs="Arial"/>
          <w:i/>
          <w:sz w:val="24"/>
          <w:szCs w:val="24"/>
        </w:rPr>
        <w:t xml:space="preserve"> reported for patients in the placebo arm.  </w:t>
      </w:r>
      <w:proofErr w:type="gramStart"/>
      <w:r w:rsidRPr="00FA3F9C">
        <w:rPr>
          <w:rFonts w:ascii="Arial" w:hAnsi="Arial" w:cs="Arial"/>
          <w:i/>
          <w:sz w:val="24"/>
          <w:szCs w:val="24"/>
        </w:rPr>
        <w:t>Thus</w:t>
      </w:r>
      <w:proofErr w:type="gramEnd"/>
      <w:r w:rsidRPr="00FA3F9C">
        <w:rPr>
          <w:rFonts w:ascii="Arial" w:hAnsi="Arial" w:cs="Arial"/>
          <w:i/>
          <w:sz w:val="24"/>
          <w:szCs w:val="24"/>
        </w:rPr>
        <w:t xml:space="preserve"> the true ability of </w:t>
      </w:r>
      <w:proofErr w:type="spellStart"/>
      <w:r w:rsidRPr="00FA3F9C">
        <w:rPr>
          <w:rFonts w:ascii="Arial" w:hAnsi="Arial" w:cs="Arial"/>
          <w:i/>
          <w:sz w:val="24"/>
          <w:szCs w:val="24"/>
        </w:rPr>
        <w:t>sargramostim</w:t>
      </w:r>
      <w:proofErr w:type="spellEnd"/>
      <w:r w:rsidRPr="00FA3F9C">
        <w:rPr>
          <w:rFonts w:ascii="Arial" w:hAnsi="Arial" w:cs="Arial"/>
          <w:i/>
          <w:sz w:val="24"/>
          <w:szCs w:val="24"/>
        </w:rPr>
        <w:t xml:space="preserve"> to bring about a meaningful clinical endpoint remains unascertained.  True, the authors might not have been able to measure statistical difference, but to know if </w:t>
      </w:r>
      <w:proofErr w:type="spellStart"/>
      <w:r w:rsidRPr="00FA3F9C">
        <w:rPr>
          <w:rFonts w:ascii="Arial" w:hAnsi="Arial" w:cs="Arial"/>
          <w:i/>
          <w:sz w:val="24"/>
          <w:szCs w:val="24"/>
        </w:rPr>
        <w:t>sargramostim</w:t>
      </w:r>
      <w:proofErr w:type="spellEnd"/>
      <w:r w:rsidRPr="00FA3F9C">
        <w:rPr>
          <w:rFonts w:ascii="Arial" w:hAnsi="Arial" w:cs="Arial"/>
          <w:i/>
          <w:sz w:val="24"/>
          <w:szCs w:val="24"/>
        </w:rPr>
        <w:t xml:space="preserve"> therapy trended toward sustained clinical response would be helpful.</w:t>
      </w:r>
    </w:p>
    <w:p w14:paraId="0852A06D" w14:textId="77777777" w:rsidR="00C3036D" w:rsidRPr="00FA3F9C" w:rsidRDefault="00C3036D" w:rsidP="00C10C60">
      <w:pPr>
        <w:pStyle w:val="NoSpacing"/>
        <w:rPr>
          <w:rFonts w:ascii="Arial" w:hAnsi="Arial" w:cs="Arial"/>
          <w:sz w:val="24"/>
          <w:szCs w:val="24"/>
        </w:rPr>
      </w:pPr>
    </w:p>
    <w:p w14:paraId="64E11883" w14:textId="77777777" w:rsidR="00C3036D" w:rsidRPr="00FA3F9C" w:rsidRDefault="00C3036D" w:rsidP="00C10C60">
      <w:pPr>
        <w:pStyle w:val="NoSpacing"/>
        <w:rPr>
          <w:rFonts w:ascii="Arial" w:hAnsi="Arial" w:cs="Arial"/>
          <w:sz w:val="24"/>
          <w:szCs w:val="24"/>
        </w:rPr>
      </w:pPr>
    </w:p>
    <w:p w14:paraId="2A764C28" w14:textId="77777777" w:rsidR="00C3036D" w:rsidRPr="00FA3F9C" w:rsidRDefault="00C3036D" w:rsidP="00B866A4">
      <w:pPr>
        <w:pStyle w:val="NoSpacing"/>
        <w:rPr>
          <w:rFonts w:ascii="Arial" w:hAnsi="Arial" w:cs="Arial"/>
          <w:sz w:val="24"/>
          <w:szCs w:val="24"/>
        </w:rPr>
      </w:pPr>
    </w:p>
    <w:p w14:paraId="175469F5" w14:textId="77777777" w:rsidR="00C3036D" w:rsidRPr="00FA3F9C" w:rsidRDefault="00C3036D" w:rsidP="00B866A4">
      <w:pPr>
        <w:pStyle w:val="NoSpacing"/>
        <w:rPr>
          <w:rFonts w:ascii="Arial" w:hAnsi="Arial" w:cs="Arial"/>
          <w:sz w:val="24"/>
          <w:szCs w:val="24"/>
        </w:rPr>
      </w:pPr>
      <w:r w:rsidRPr="00FA3F9C">
        <w:rPr>
          <w:rFonts w:ascii="Arial" w:hAnsi="Arial" w:cs="Arial"/>
          <w:sz w:val="24"/>
          <w:szCs w:val="24"/>
        </w:rPr>
        <w:t>Revision History:</w:t>
      </w:r>
    </w:p>
    <w:tbl>
      <w:tblPr>
        <w:tblW w:w="1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8250"/>
        <w:gridCol w:w="1510"/>
      </w:tblGrid>
      <w:tr w:rsidR="00C3036D" w:rsidRPr="00FA3F9C" w14:paraId="312498F8" w14:textId="77777777" w:rsidTr="004D2754">
        <w:tc>
          <w:tcPr>
            <w:tcW w:w="1188" w:type="dxa"/>
          </w:tcPr>
          <w:p w14:paraId="1C71A42A" w14:textId="77777777" w:rsidR="00C3036D" w:rsidRPr="00FA3F9C" w:rsidRDefault="00C3036D" w:rsidP="00E618E3">
            <w:pPr>
              <w:pStyle w:val="NoSpacing"/>
              <w:jc w:val="center"/>
              <w:rPr>
                <w:rFonts w:ascii="Arial" w:hAnsi="Arial" w:cs="Arial"/>
                <w:b/>
                <w:sz w:val="24"/>
                <w:szCs w:val="24"/>
              </w:rPr>
            </w:pPr>
            <w:r w:rsidRPr="00FA3F9C">
              <w:rPr>
                <w:rFonts w:ascii="Arial" w:hAnsi="Arial" w:cs="Arial"/>
                <w:b/>
                <w:sz w:val="24"/>
                <w:szCs w:val="24"/>
              </w:rPr>
              <w:t>Date</w:t>
            </w:r>
          </w:p>
        </w:tc>
        <w:tc>
          <w:tcPr>
            <w:tcW w:w="8621" w:type="dxa"/>
          </w:tcPr>
          <w:p w14:paraId="4EB38FA9" w14:textId="77777777" w:rsidR="00C3036D" w:rsidRPr="00FA3F9C" w:rsidRDefault="00C3036D" w:rsidP="00E618E3">
            <w:pPr>
              <w:pStyle w:val="NoSpacing"/>
              <w:jc w:val="center"/>
              <w:rPr>
                <w:rFonts w:ascii="Arial" w:hAnsi="Arial" w:cs="Arial"/>
                <w:b/>
                <w:sz w:val="24"/>
                <w:szCs w:val="24"/>
              </w:rPr>
            </w:pPr>
            <w:r w:rsidRPr="00FA3F9C">
              <w:rPr>
                <w:rFonts w:ascii="Arial" w:hAnsi="Arial" w:cs="Arial"/>
                <w:b/>
                <w:sz w:val="24"/>
                <w:szCs w:val="24"/>
              </w:rPr>
              <w:t>Changes</w:t>
            </w:r>
          </w:p>
        </w:tc>
        <w:tc>
          <w:tcPr>
            <w:tcW w:w="1369" w:type="dxa"/>
          </w:tcPr>
          <w:p w14:paraId="599B2D45" w14:textId="77777777" w:rsidR="00C3036D" w:rsidRPr="00FA3F9C" w:rsidRDefault="00C3036D" w:rsidP="00E618E3">
            <w:pPr>
              <w:pStyle w:val="NoSpacing"/>
              <w:jc w:val="center"/>
              <w:rPr>
                <w:rFonts w:ascii="Arial" w:hAnsi="Arial" w:cs="Arial"/>
                <w:b/>
                <w:sz w:val="24"/>
                <w:szCs w:val="24"/>
              </w:rPr>
            </w:pPr>
            <w:r w:rsidRPr="00FA3F9C">
              <w:rPr>
                <w:rFonts w:ascii="Arial" w:hAnsi="Arial" w:cs="Arial"/>
                <w:b/>
                <w:sz w:val="24"/>
                <w:szCs w:val="24"/>
              </w:rPr>
              <w:t>Pharmacist</w:t>
            </w:r>
          </w:p>
        </w:tc>
      </w:tr>
      <w:tr w:rsidR="00C3036D" w:rsidRPr="00FA3F9C" w14:paraId="17EE5646" w14:textId="77777777" w:rsidTr="004D2754">
        <w:tc>
          <w:tcPr>
            <w:tcW w:w="1188" w:type="dxa"/>
          </w:tcPr>
          <w:p w14:paraId="640D20F5" w14:textId="77777777" w:rsidR="00C3036D" w:rsidRPr="00FA3F9C" w:rsidRDefault="00C3036D" w:rsidP="00963156">
            <w:pPr>
              <w:pStyle w:val="NoSpacing"/>
              <w:rPr>
                <w:rFonts w:ascii="Arial" w:hAnsi="Arial" w:cs="Arial"/>
                <w:sz w:val="24"/>
                <w:szCs w:val="24"/>
              </w:rPr>
            </w:pPr>
            <w:r w:rsidRPr="00FA3F9C">
              <w:rPr>
                <w:rFonts w:ascii="Arial" w:hAnsi="Arial" w:cs="Arial"/>
                <w:sz w:val="24"/>
                <w:szCs w:val="24"/>
              </w:rPr>
              <w:t>7/19/12</w:t>
            </w:r>
          </w:p>
        </w:tc>
        <w:tc>
          <w:tcPr>
            <w:tcW w:w="8621" w:type="dxa"/>
          </w:tcPr>
          <w:p w14:paraId="66B6400D" w14:textId="77777777" w:rsidR="00C3036D" w:rsidRPr="00FA3F9C" w:rsidRDefault="00C3036D" w:rsidP="00963156">
            <w:pPr>
              <w:pStyle w:val="NoSpacing"/>
              <w:rPr>
                <w:rFonts w:ascii="Arial" w:hAnsi="Arial" w:cs="Arial"/>
                <w:sz w:val="24"/>
                <w:szCs w:val="24"/>
              </w:rPr>
            </w:pPr>
            <w:r w:rsidRPr="00FA3F9C">
              <w:rPr>
                <w:rFonts w:ascii="Arial" w:hAnsi="Arial" w:cs="Arial"/>
                <w:sz w:val="24"/>
                <w:szCs w:val="24"/>
              </w:rPr>
              <w:t>Document created</w:t>
            </w:r>
          </w:p>
        </w:tc>
        <w:tc>
          <w:tcPr>
            <w:tcW w:w="1369" w:type="dxa"/>
          </w:tcPr>
          <w:p w14:paraId="78C425E2" w14:textId="77777777" w:rsidR="00C3036D" w:rsidRPr="00FA3F9C" w:rsidRDefault="00C3036D" w:rsidP="00963156">
            <w:pPr>
              <w:pStyle w:val="NoSpacing"/>
              <w:rPr>
                <w:rFonts w:ascii="Arial" w:hAnsi="Arial" w:cs="Arial"/>
                <w:sz w:val="24"/>
                <w:szCs w:val="24"/>
              </w:rPr>
            </w:pPr>
            <w:r w:rsidRPr="00FA3F9C">
              <w:rPr>
                <w:rFonts w:ascii="Arial" w:hAnsi="Arial" w:cs="Arial"/>
                <w:sz w:val="24"/>
                <w:szCs w:val="24"/>
              </w:rPr>
              <w:t>JLB</w:t>
            </w:r>
          </w:p>
        </w:tc>
      </w:tr>
      <w:tr w:rsidR="00C3036D" w:rsidRPr="00FA3F9C" w14:paraId="54F9ACB1" w14:textId="77777777" w:rsidTr="004D2754">
        <w:tc>
          <w:tcPr>
            <w:tcW w:w="1188" w:type="dxa"/>
          </w:tcPr>
          <w:p w14:paraId="2D7088FB" w14:textId="77777777" w:rsidR="00C3036D" w:rsidRPr="00FA3F9C" w:rsidRDefault="00C3036D" w:rsidP="00963156">
            <w:pPr>
              <w:pStyle w:val="NoSpacing"/>
              <w:rPr>
                <w:rFonts w:ascii="Arial" w:hAnsi="Arial" w:cs="Arial"/>
                <w:sz w:val="24"/>
                <w:szCs w:val="24"/>
              </w:rPr>
            </w:pPr>
            <w:r w:rsidRPr="00FA3F9C">
              <w:rPr>
                <w:rFonts w:ascii="Arial" w:hAnsi="Arial" w:cs="Arial"/>
                <w:sz w:val="24"/>
                <w:szCs w:val="24"/>
              </w:rPr>
              <w:t>7/31/12</w:t>
            </w:r>
          </w:p>
        </w:tc>
        <w:tc>
          <w:tcPr>
            <w:tcW w:w="8621" w:type="dxa"/>
          </w:tcPr>
          <w:p w14:paraId="5143DEF2" w14:textId="77777777" w:rsidR="00C3036D" w:rsidRPr="00FA3F9C" w:rsidRDefault="00C3036D" w:rsidP="00963156">
            <w:pPr>
              <w:pStyle w:val="NoSpacing"/>
              <w:rPr>
                <w:rFonts w:ascii="Arial" w:hAnsi="Arial" w:cs="Arial"/>
                <w:sz w:val="24"/>
                <w:szCs w:val="24"/>
              </w:rPr>
            </w:pPr>
            <w:r w:rsidRPr="00FA3F9C">
              <w:rPr>
                <w:rFonts w:ascii="Arial" w:hAnsi="Arial" w:cs="Arial"/>
                <w:sz w:val="24"/>
                <w:szCs w:val="24"/>
              </w:rPr>
              <w:t>Inserted the comments regarding evidence substantiating whether the use would be covered after committee discussion.</w:t>
            </w:r>
          </w:p>
        </w:tc>
        <w:tc>
          <w:tcPr>
            <w:tcW w:w="1369" w:type="dxa"/>
          </w:tcPr>
          <w:p w14:paraId="33CCDAFB" w14:textId="77777777" w:rsidR="00C3036D" w:rsidRPr="00FA3F9C" w:rsidRDefault="00C3036D" w:rsidP="00963156">
            <w:pPr>
              <w:pStyle w:val="NoSpacing"/>
              <w:rPr>
                <w:rFonts w:ascii="Arial" w:hAnsi="Arial" w:cs="Arial"/>
                <w:sz w:val="24"/>
                <w:szCs w:val="24"/>
              </w:rPr>
            </w:pPr>
            <w:r w:rsidRPr="00FA3F9C">
              <w:rPr>
                <w:rFonts w:ascii="Arial" w:hAnsi="Arial" w:cs="Arial"/>
                <w:sz w:val="24"/>
                <w:szCs w:val="24"/>
              </w:rPr>
              <w:t>JJ</w:t>
            </w:r>
          </w:p>
        </w:tc>
      </w:tr>
      <w:tr w:rsidR="00C3036D" w:rsidRPr="00FA3F9C" w14:paraId="6BB1EFAD" w14:textId="77777777" w:rsidTr="004D2754">
        <w:tc>
          <w:tcPr>
            <w:tcW w:w="1188" w:type="dxa"/>
          </w:tcPr>
          <w:p w14:paraId="0962F685" w14:textId="77777777" w:rsidR="00C3036D" w:rsidRPr="00FA3F9C" w:rsidRDefault="00C3036D" w:rsidP="00E960EE">
            <w:pPr>
              <w:pStyle w:val="NoSpacing"/>
              <w:rPr>
                <w:rFonts w:ascii="Arial" w:hAnsi="Arial" w:cs="Arial"/>
                <w:sz w:val="24"/>
                <w:szCs w:val="24"/>
              </w:rPr>
            </w:pPr>
            <w:r w:rsidRPr="00FA3F9C">
              <w:rPr>
                <w:rFonts w:ascii="Arial" w:hAnsi="Arial" w:cs="Arial"/>
                <w:sz w:val="24"/>
                <w:szCs w:val="24"/>
              </w:rPr>
              <w:t>8/26/19</w:t>
            </w:r>
          </w:p>
        </w:tc>
        <w:tc>
          <w:tcPr>
            <w:tcW w:w="8621" w:type="dxa"/>
          </w:tcPr>
          <w:p w14:paraId="3497F53A" w14:textId="77777777" w:rsidR="00C3036D" w:rsidRPr="00FA3F9C" w:rsidRDefault="00C3036D" w:rsidP="00963156">
            <w:pPr>
              <w:pStyle w:val="NoSpacing"/>
              <w:rPr>
                <w:rFonts w:ascii="Arial" w:hAnsi="Arial" w:cs="Arial"/>
                <w:sz w:val="24"/>
                <w:szCs w:val="24"/>
              </w:rPr>
            </w:pPr>
            <w:r w:rsidRPr="00FA3F9C">
              <w:rPr>
                <w:rFonts w:ascii="Arial" w:hAnsi="Arial" w:cs="Arial"/>
                <w:sz w:val="24"/>
                <w:szCs w:val="24"/>
              </w:rPr>
              <w:t>Reduced criteria to include only treatment of delayed engraftment/graft failure after transplant. For the rest of indications, either do not cover or prefer filgrastim as noted above.</w:t>
            </w:r>
          </w:p>
        </w:tc>
        <w:tc>
          <w:tcPr>
            <w:tcW w:w="1369" w:type="dxa"/>
          </w:tcPr>
          <w:p w14:paraId="44A792A7" w14:textId="77777777" w:rsidR="00C3036D" w:rsidRPr="00FA3F9C" w:rsidRDefault="00C3036D" w:rsidP="00963156">
            <w:pPr>
              <w:pStyle w:val="NoSpacing"/>
              <w:rPr>
                <w:rFonts w:ascii="Arial" w:hAnsi="Arial" w:cs="Arial"/>
                <w:sz w:val="24"/>
                <w:szCs w:val="24"/>
              </w:rPr>
            </w:pPr>
            <w:r w:rsidRPr="00FA3F9C">
              <w:rPr>
                <w:rFonts w:ascii="Arial" w:hAnsi="Arial" w:cs="Arial"/>
                <w:sz w:val="24"/>
                <w:szCs w:val="24"/>
              </w:rPr>
              <w:t>SK</w:t>
            </w:r>
          </w:p>
        </w:tc>
      </w:tr>
      <w:tr w:rsidR="00C3036D" w:rsidRPr="00FA3F9C" w14:paraId="1ACF8756" w14:textId="77777777" w:rsidTr="004D2754">
        <w:tc>
          <w:tcPr>
            <w:tcW w:w="1188" w:type="dxa"/>
          </w:tcPr>
          <w:p w14:paraId="2444A5FA" w14:textId="77777777" w:rsidR="00C3036D" w:rsidRPr="00FA3F9C" w:rsidRDefault="00C3036D" w:rsidP="00E960EE">
            <w:pPr>
              <w:pStyle w:val="NoSpacing"/>
              <w:rPr>
                <w:rFonts w:ascii="Arial" w:hAnsi="Arial" w:cs="Arial"/>
                <w:sz w:val="24"/>
                <w:szCs w:val="24"/>
              </w:rPr>
            </w:pPr>
            <w:r w:rsidRPr="00FA3F9C">
              <w:rPr>
                <w:rFonts w:ascii="Arial" w:hAnsi="Arial" w:cs="Arial"/>
                <w:sz w:val="24"/>
                <w:szCs w:val="24"/>
              </w:rPr>
              <w:t>10/13/2020</w:t>
            </w:r>
          </w:p>
        </w:tc>
        <w:tc>
          <w:tcPr>
            <w:tcW w:w="8621" w:type="dxa"/>
          </w:tcPr>
          <w:p w14:paraId="78A03179" w14:textId="77777777" w:rsidR="00C3036D" w:rsidRPr="00FA3F9C" w:rsidRDefault="00C3036D" w:rsidP="00963156">
            <w:pPr>
              <w:pStyle w:val="NoSpacing"/>
              <w:rPr>
                <w:rFonts w:ascii="Arial" w:hAnsi="Arial" w:cs="Arial"/>
                <w:sz w:val="24"/>
                <w:szCs w:val="24"/>
              </w:rPr>
            </w:pPr>
            <w:r w:rsidRPr="00FA3F9C">
              <w:rPr>
                <w:rFonts w:ascii="Arial" w:hAnsi="Arial" w:cs="Arial"/>
                <w:sz w:val="24"/>
                <w:szCs w:val="24"/>
              </w:rPr>
              <w:t>Criteria review. No change.</w:t>
            </w:r>
          </w:p>
        </w:tc>
        <w:tc>
          <w:tcPr>
            <w:tcW w:w="1369" w:type="dxa"/>
          </w:tcPr>
          <w:p w14:paraId="3496DE00" w14:textId="77777777" w:rsidR="00C3036D" w:rsidRPr="00FA3F9C" w:rsidRDefault="00C3036D" w:rsidP="00963156">
            <w:pPr>
              <w:pStyle w:val="NoSpacing"/>
              <w:rPr>
                <w:rFonts w:ascii="Arial" w:hAnsi="Arial" w:cs="Arial"/>
                <w:sz w:val="24"/>
                <w:szCs w:val="24"/>
              </w:rPr>
            </w:pPr>
            <w:r w:rsidRPr="00FA3F9C">
              <w:rPr>
                <w:rFonts w:ascii="Arial" w:hAnsi="Arial" w:cs="Arial"/>
                <w:sz w:val="24"/>
                <w:szCs w:val="24"/>
              </w:rPr>
              <w:t>SK</w:t>
            </w:r>
          </w:p>
        </w:tc>
      </w:tr>
      <w:tr w:rsidR="00C3036D" w:rsidRPr="00FA3F9C" w14:paraId="255F4F20" w14:textId="77777777" w:rsidTr="004D2754">
        <w:tc>
          <w:tcPr>
            <w:tcW w:w="1188" w:type="dxa"/>
          </w:tcPr>
          <w:p w14:paraId="26879FD9" w14:textId="77777777" w:rsidR="00C3036D" w:rsidRPr="00FA3F9C" w:rsidRDefault="00C3036D" w:rsidP="00E960EE">
            <w:pPr>
              <w:pStyle w:val="NoSpacing"/>
              <w:rPr>
                <w:rFonts w:ascii="Arial" w:hAnsi="Arial" w:cs="Arial"/>
                <w:sz w:val="24"/>
                <w:szCs w:val="24"/>
              </w:rPr>
            </w:pPr>
            <w:r w:rsidRPr="00FA3F9C">
              <w:rPr>
                <w:rFonts w:ascii="Arial" w:hAnsi="Arial" w:cs="Arial"/>
                <w:sz w:val="24"/>
                <w:szCs w:val="24"/>
              </w:rPr>
              <w:t>3/29/2021</w:t>
            </w:r>
          </w:p>
        </w:tc>
        <w:tc>
          <w:tcPr>
            <w:tcW w:w="8621" w:type="dxa"/>
          </w:tcPr>
          <w:p w14:paraId="3C0C04C0" w14:textId="77777777" w:rsidR="00C3036D" w:rsidRPr="00FA3F9C" w:rsidRDefault="00C3036D" w:rsidP="00963156">
            <w:pPr>
              <w:pStyle w:val="NoSpacing"/>
              <w:rPr>
                <w:rFonts w:ascii="Arial" w:hAnsi="Arial" w:cs="Arial"/>
                <w:sz w:val="24"/>
                <w:szCs w:val="24"/>
              </w:rPr>
            </w:pPr>
            <w:r w:rsidRPr="00FA3F9C">
              <w:rPr>
                <w:rFonts w:ascii="Arial" w:hAnsi="Arial" w:cs="Arial"/>
                <w:sz w:val="24"/>
                <w:szCs w:val="24"/>
              </w:rPr>
              <w:t>Applied these criteria to UAS Plan.</w:t>
            </w:r>
          </w:p>
        </w:tc>
        <w:tc>
          <w:tcPr>
            <w:tcW w:w="1369" w:type="dxa"/>
          </w:tcPr>
          <w:p w14:paraId="341F0714" w14:textId="77777777" w:rsidR="00C3036D" w:rsidRPr="00FA3F9C" w:rsidRDefault="00C3036D" w:rsidP="00963156">
            <w:pPr>
              <w:pStyle w:val="NoSpacing"/>
              <w:rPr>
                <w:rFonts w:ascii="Arial" w:hAnsi="Arial" w:cs="Arial"/>
                <w:sz w:val="24"/>
                <w:szCs w:val="24"/>
              </w:rPr>
            </w:pPr>
            <w:r w:rsidRPr="00FA3F9C">
              <w:rPr>
                <w:rFonts w:ascii="Arial" w:hAnsi="Arial" w:cs="Arial"/>
                <w:sz w:val="24"/>
                <w:szCs w:val="24"/>
              </w:rPr>
              <w:t>JJ</w:t>
            </w:r>
          </w:p>
        </w:tc>
      </w:tr>
      <w:tr w:rsidR="00C3036D" w:rsidRPr="00FA3F9C" w14:paraId="5D70566C" w14:textId="77777777" w:rsidTr="004D2754">
        <w:tc>
          <w:tcPr>
            <w:tcW w:w="1188" w:type="dxa"/>
          </w:tcPr>
          <w:p w14:paraId="546B55B1" w14:textId="77777777" w:rsidR="00C3036D" w:rsidRPr="00FA3F9C" w:rsidRDefault="00C3036D" w:rsidP="00E960EE">
            <w:pPr>
              <w:pStyle w:val="NoSpacing"/>
              <w:rPr>
                <w:rFonts w:ascii="Arial" w:hAnsi="Arial" w:cs="Arial"/>
                <w:sz w:val="24"/>
                <w:szCs w:val="24"/>
              </w:rPr>
            </w:pPr>
            <w:r w:rsidRPr="00FA3F9C">
              <w:rPr>
                <w:rFonts w:ascii="Arial" w:hAnsi="Arial" w:cs="Arial"/>
                <w:sz w:val="24"/>
                <w:szCs w:val="24"/>
              </w:rPr>
              <w:t>1/26/2022</w:t>
            </w:r>
          </w:p>
        </w:tc>
        <w:tc>
          <w:tcPr>
            <w:tcW w:w="8621" w:type="dxa"/>
          </w:tcPr>
          <w:p w14:paraId="34C343B0" w14:textId="77777777" w:rsidR="00C3036D" w:rsidRPr="00FA3F9C" w:rsidRDefault="00C3036D" w:rsidP="00963156">
            <w:pPr>
              <w:pStyle w:val="NoSpacing"/>
              <w:rPr>
                <w:rFonts w:ascii="Arial" w:hAnsi="Arial" w:cs="Arial"/>
                <w:sz w:val="24"/>
                <w:szCs w:val="24"/>
              </w:rPr>
            </w:pPr>
            <w:r w:rsidRPr="00FA3F9C">
              <w:rPr>
                <w:rFonts w:ascii="Arial" w:hAnsi="Arial" w:cs="Arial"/>
                <w:sz w:val="24"/>
                <w:szCs w:val="24"/>
              </w:rPr>
              <w:t>Criteria reviewed. No change</w:t>
            </w:r>
          </w:p>
        </w:tc>
        <w:tc>
          <w:tcPr>
            <w:tcW w:w="1369" w:type="dxa"/>
          </w:tcPr>
          <w:p w14:paraId="42088F5A" w14:textId="77777777" w:rsidR="00C3036D" w:rsidRPr="00FA3F9C" w:rsidRDefault="00C3036D" w:rsidP="00963156">
            <w:pPr>
              <w:pStyle w:val="NoSpacing"/>
              <w:rPr>
                <w:rFonts w:ascii="Arial" w:hAnsi="Arial" w:cs="Arial"/>
                <w:sz w:val="24"/>
                <w:szCs w:val="24"/>
              </w:rPr>
            </w:pPr>
            <w:r w:rsidRPr="00FA3F9C">
              <w:rPr>
                <w:rFonts w:ascii="Arial" w:hAnsi="Arial" w:cs="Arial"/>
                <w:sz w:val="24"/>
                <w:szCs w:val="24"/>
              </w:rPr>
              <w:t>SK</w:t>
            </w:r>
          </w:p>
        </w:tc>
      </w:tr>
    </w:tbl>
    <w:p w14:paraId="39B04833" w14:textId="77777777" w:rsidR="00C3036D" w:rsidRPr="00FA3F9C" w:rsidRDefault="00C3036D" w:rsidP="00C10C60">
      <w:pPr>
        <w:pStyle w:val="NoSpacing"/>
        <w:rPr>
          <w:rFonts w:ascii="Arial" w:hAnsi="Arial" w:cs="Arial"/>
          <w:sz w:val="24"/>
          <w:szCs w:val="24"/>
        </w:rPr>
      </w:pPr>
    </w:p>
    <w:p w14:paraId="3ACE93A3" w14:textId="77777777" w:rsidR="00C3036D" w:rsidRPr="00FA3F9C" w:rsidRDefault="00C3036D" w:rsidP="00C10C60">
      <w:pPr>
        <w:pStyle w:val="NoSpacing"/>
        <w:rPr>
          <w:rFonts w:ascii="Arial" w:hAnsi="Arial" w:cs="Arial"/>
          <w:sz w:val="24"/>
          <w:szCs w:val="24"/>
        </w:rPr>
      </w:pPr>
    </w:p>
    <w:p w14:paraId="22029627" w14:textId="77777777" w:rsidR="00C3036D" w:rsidRPr="00FA3F9C" w:rsidRDefault="00C3036D" w:rsidP="00C10C60">
      <w:pPr>
        <w:pStyle w:val="NoSpacing"/>
        <w:rPr>
          <w:rFonts w:ascii="Arial" w:hAnsi="Arial" w:cs="Arial"/>
          <w:sz w:val="24"/>
          <w:szCs w:val="24"/>
        </w:rPr>
      </w:pPr>
    </w:p>
    <w:p w14:paraId="7037B3F8" w14:textId="77777777" w:rsidR="00C3036D" w:rsidRPr="00FA3F9C" w:rsidRDefault="00C3036D" w:rsidP="0078218F">
      <w:pPr>
        <w:pStyle w:val="Heading2"/>
      </w:pPr>
      <w:bookmarkStart w:id="300" w:name="_Toc106369923"/>
      <w:proofErr w:type="spellStart"/>
      <w:r w:rsidRPr="00FA3F9C">
        <w:t>Satralizumab</w:t>
      </w:r>
      <w:proofErr w:type="spellEnd"/>
      <w:r w:rsidRPr="00FA3F9C">
        <w:t xml:space="preserve"> (</w:t>
      </w:r>
      <w:proofErr w:type="spellStart"/>
      <w:r w:rsidRPr="00FA3F9C">
        <w:t>Enspryng</w:t>
      </w:r>
      <w:proofErr w:type="spellEnd"/>
      <w:r w:rsidRPr="00FA3F9C">
        <w:t>)</w:t>
      </w:r>
      <w:bookmarkEnd w:id="300"/>
    </w:p>
    <w:p w14:paraId="24002216" w14:textId="77777777" w:rsidR="00C3036D" w:rsidRPr="00FA3F9C" w:rsidRDefault="00C3036D" w:rsidP="006F623F">
      <w:pPr>
        <w:spacing w:after="0"/>
        <w:jc w:val="center"/>
        <w:rPr>
          <w:rFonts w:ascii="Arial" w:hAnsi="Arial" w:cs="Arial"/>
          <w:sz w:val="24"/>
          <w:szCs w:val="24"/>
        </w:rPr>
      </w:pPr>
      <w:r w:rsidRPr="00FA3F9C">
        <w:rPr>
          <w:rFonts w:ascii="Arial" w:hAnsi="Arial" w:cs="Arial"/>
          <w:sz w:val="24"/>
          <w:szCs w:val="24"/>
        </w:rPr>
        <w:t>EBRx PA Criteria</w:t>
      </w:r>
    </w:p>
    <w:p w14:paraId="34287C89" w14:textId="77777777" w:rsidR="00C3036D" w:rsidRPr="00FA3F9C" w:rsidRDefault="00C3036D" w:rsidP="006F623F">
      <w:pPr>
        <w:spacing w:after="0"/>
        <w:rPr>
          <w:rFonts w:ascii="Arial" w:hAnsi="Arial" w:cs="Arial"/>
          <w:b/>
          <w:sz w:val="24"/>
          <w:szCs w:val="24"/>
          <w:u w:val="single"/>
        </w:rPr>
      </w:pPr>
    </w:p>
    <w:p w14:paraId="103E65BF" w14:textId="77777777" w:rsidR="00C3036D" w:rsidRPr="00FA3F9C" w:rsidRDefault="00C3036D" w:rsidP="0082043F">
      <w:pPr>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treatment of neuromyelitis </w:t>
      </w:r>
      <w:proofErr w:type="spellStart"/>
      <w:r w:rsidRPr="00FA3F9C">
        <w:rPr>
          <w:rFonts w:ascii="Arial" w:hAnsi="Arial" w:cs="Arial"/>
          <w:sz w:val="24"/>
          <w:szCs w:val="24"/>
        </w:rPr>
        <w:t>optica</w:t>
      </w:r>
      <w:proofErr w:type="spellEnd"/>
      <w:r w:rsidRPr="00FA3F9C">
        <w:rPr>
          <w:rFonts w:ascii="Arial" w:hAnsi="Arial" w:cs="Arial"/>
          <w:sz w:val="24"/>
          <w:szCs w:val="24"/>
        </w:rPr>
        <w:t xml:space="preserve"> spectrum disorder (NMOSD) in adults who are anti-aquaporin-4 (AQP4) antibody positive.</w:t>
      </w:r>
    </w:p>
    <w:tbl>
      <w:tblPr>
        <w:tblStyle w:val="TableGrid"/>
        <w:tblW w:w="0" w:type="auto"/>
        <w:tblLook w:val="04A0" w:firstRow="1" w:lastRow="0" w:firstColumn="1" w:lastColumn="0" w:noHBand="0" w:noVBand="1"/>
      </w:tblPr>
      <w:tblGrid>
        <w:gridCol w:w="8928"/>
        <w:gridCol w:w="2088"/>
      </w:tblGrid>
      <w:tr w:rsidR="00C3036D" w:rsidRPr="00FA3F9C" w14:paraId="3A4E5A5B" w14:textId="77777777" w:rsidTr="00571CAB">
        <w:tc>
          <w:tcPr>
            <w:tcW w:w="8928" w:type="dxa"/>
            <w:shd w:val="clear" w:color="auto" w:fill="000000"/>
          </w:tcPr>
          <w:p w14:paraId="44D1F8EC" w14:textId="77777777" w:rsidR="00C3036D" w:rsidRPr="00FA3F9C" w:rsidRDefault="00C3036D"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88" w:type="dxa"/>
            <w:shd w:val="clear" w:color="auto" w:fill="000000"/>
          </w:tcPr>
          <w:p w14:paraId="464759D7" w14:textId="77777777" w:rsidR="00C3036D" w:rsidRPr="00FA3F9C" w:rsidRDefault="00C3036D" w:rsidP="006F623F">
            <w:pPr>
              <w:jc w:val="center"/>
              <w:rPr>
                <w:rFonts w:ascii="Arial" w:hAnsi="Arial" w:cs="Arial"/>
                <w:b/>
                <w:sz w:val="24"/>
                <w:szCs w:val="24"/>
                <w:u w:val="single"/>
              </w:rPr>
            </w:pPr>
          </w:p>
        </w:tc>
      </w:tr>
      <w:tr w:rsidR="00C3036D" w:rsidRPr="00FA3F9C" w14:paraId="29BC8D40" w14:textId="77777777" w:rsidTr="00F337AE">
        <w:tc>
          <w:tcPr>
            <w:tcW w:w="11016" w:type="dxa"/>
            <w:gridSpan w:val="2"/>
          </w:tcPr>
          <w:p w14:paraId="6AED394F" w14:textId="77777777" w:rsidR="00C3036D" w:rsidRPr="00FA3F9C" w:rsidRDefault="00C3036D" w:rsidP="006F623F">
            <w:pPr>
              <w:rPr>
                <w:rFonts w:ascii="Arial" w:hAnsi="Arial" w:cs="Arial"/>
                <w:sz w:val="24"/>
                <w:szCs w:val="24"/>
              </w:rPr>
            </w:pPr>
            <w:r w:rsidRPr="00FA3F9C">
              <w:rPr>
                <w:rFonts w:ascii="Arial" w:hAnsi="Arial" w:cs="Arial"/>
                <w:sz w:val="24"/>
                <w:szCs w:val="24"/>
              </w:rPr>
              <w:t xml:space="preserve">1. The patient must have the diagnosis of neuromyelitis </w:t>
            </w:r>
            <w:proofErr w:type="spellStart"/>
            <w:r w:rsidRPr="00FA3F9C">
              <w:rPr>
                <w:rFonts w:ascii="Arial" w:hAnsi="Arial" w:cs="Arial"/>
                <w:sz w:val="24"/>
                <w:szCs w:val="24"/>
              </w:rPr>
              <w:t>optica</w:t>
            </w:r>
            <w:proofErr w:type="spellEnd"/>
            <w:r w:rsidRPr="00FA3F9C">
              <w:rPr>
                <w:rFonts w:ascii="Arial" w:hAnsi="Arial" w:cs="Arial"/>
                <w:sz w:val="24"/>
                <w:szCs w:val="24"/>
              </w:rPr>
              <w:t xml:space="preserve"> spectrum disorder and be anti-aquaporin-4 antibody positive with at least 1 relapse in the previous 2 years before starting </w:t>
            </w:r>
            <w:proofErr w:type="spellStart"/>
            <w:r w:rsidRPr="00FA3F9C">
              <w:rPr>
                <w:rFonts w:ascii="Arial" w:hAnsi="Arial" w:cs="Arial"/>
                <w:sz w:val="24"/>
                <w:szCs w:val="24"/>
              </w:rPr>
              <w:t>satralizumab</w:t>
            </w:r>
            <w:proofErr w:type="spellEnd"/>
            <w:r w:rsidRPr="00FA3F9C">
              <w:rPr>
                <w:rFonts w:ascii="Arial" w:hAnsi="Arial" w:cs="Arial"/>
                <w:sz w:val="24"/>
                <w:szCs w:val="24"/>
              </w:rPr>
              <w:t>.</w:t>
            </w:r>
          </w:p>
        </w:tc>
      </w:tr>
      <w:tr w:rsidR="00C3036D" w:rsidRPr="00500371" w14:paraId="73774225" w14:textId="77777777" w:rsidTr="00B1617E">
        <w:tc>
          <w:tcPr>
            <w:tcW w:w="11016" w:type="dxa"/>
            <w:gridSpan w:val="2"/>
          </w:tcPr>
          <w:p w14:paraId="4183AC56" w14:textId="77777777" w:rsidR="00C3036D" w:rsidRPr="00FA3F9C" w:rsidRDefault="00C3036D" w:rsidP="006F623F">
            <w:pPr>
              <w:rPr>
                <w:rFonts w:ascii="Arial" w:hAnsi="Arial" w:cs="Arial"/>
                <w:sz w:val="24"/>
                <w:szCs w:val="24"/>
                <w:lang w:val="es-ES"/>
              </w:rPr>
            </w:pPr>
            <w:r w:rsidRPr="00FA3F9C">
              <w:rPr>
                <w:rFonts w:ascii="Arial" w:hAnsi="Arial" w:cs="Arial"/>
                <w:sz w:val="24"/>
                <w:szCs w:val="24"/>
                <w:lang w:val="es-ES"/>
              </w:rPr>
              <w:t xml:space="preserve">2. No </w:t>
            </w:r>
            <w:proofErr w:type="spellStart"/>
            <w:r w:rsidRPr="00FA3F9C">
              <w:rPr>
                <w:rFonts w:ascii="Arial" w:hAnsi="Arial" w:cs="Arial"/>
                <w:sz w:val="24"/>
                <w:szCs w:val="24"/>
                <w:lang w:val="es-ES"/>
              </w:rPr>
              <w:t>concurrent</w:t>
            </w:r>
            <w:proofErr w:type="spellEnd"/>
            <w:r w:rsidRPr="00FA3F9C">
              <w:rPr>
                <w:rFonts w:ascii="Arial" w:hAnsi="Arial" w:cs="Arial"/>
                <w:sz w:val="24"/>
                <w:szCs w:val="24"/>
                <w:lang w:val="es-ES"/>
              </w:rPr>
              <w:t xml:space="preserve"> </w:t>
            </w:r>
            <w:proofErr w:type="spellStart"/>
            <w:r w:rsidRPr="00FA3F9C">
              <w:rPr>
                <w:rFonts w:ascii="Arial" w:hAnsi="Arial" w:cs="Arial"/>
                <w:sz w:val="24"/>
                <w:szCs w:val="24"/>
                <w:lang w:val="es-ES"/>
              </w:rPr>
              <w:t>eculizumab</w:t>
            </w:r>
            <w:proofErr w:type="spellEnd"/>
            <w:r w:rsidRPr="00FA3F9C">
              <w:rPr>
                <w:rFonts w:ascii="Arial" w:hAnsi="Arial" w:cs="Arial"/>
                <w:sz w:val="24"/>
                <w:szCs w:val="24"/>
                <w:lang w:val="es-ES"/>
              </w:rPr>
              <w:t xml:space="preserve"> (medical), </w:t>
            </w:r>
            <w:proofErr w:type="spellStart"/>
            <w:r w:rsidRPr="00FA3F9C">
              <w:rPr>
                <w:rFonts w:ascii="Arial" w:hAnsi="Arial" w:cs="Arial"/>
                <w:sz w:val="24"/>
                <w:szCs w:val="24"/>
                <w:lang w:val="es-ES"/>
              </w:rPr>
              <w:t>inebilizumab</w:t>
            </w:r>
            <w:proofErr w:type="spellEnd"/>
            <w:r w:rsidRPr="00FA3F9C">
              <w:rPr>
                <w:rFonts w:ascii="Arial" w:hAnsi="Arial" w:cs="Arial"/>
                <w:sz w:val="24"/>
                <w:szCs w:val="24"/>
                <w:lang w:val="es-ES"/>
              </w:rPr>
              <w:t xml:space="preserve"> (medical), </w:t>
            </w:r>
            <w:proofErr w:type="spellStart"/>
            <w:r w:rsidRPr="00FA3F9C">
              <w:rPr>
                <w:rFonts w:ascii="Arial" w:hAnsi="Arial" w:cs="Arial"/>
                <w:sz w:val="24"/>
                <w:szCs w:val="24"/>
                <w:lang w:val="es-ES"/>
              </w:rPr>
              <w:t>or</w:t>
            </w:r>
            <w:proofErr w:type="spellEnd"/>
            <w:r w:rsidRPr="00FA3F9C">
              <w:rPr>
                <w:rFonts w:ascii="Arial" w:hAnsi="Arial" w:cs="Arial"/>
                <w:sz w:val="24"/>
                <w:szCs w:val="24"/>
                <w:lang w:val="es-ES"/>
              </w:rPr>
              <w:t xml:space="preserve"> </w:t>
            </w:r>
            <w:proofErr w:type="spellStart"/>
            <w:r w:rsidRPr="00FA3F9C">
              <w:rPr>
                <w:rFonts w:ascii="Arial" w:hAnsi="Arial" w:cs="Arial"/>
                <w:sz w:val="24"/>
                <w:szCs w:val="24"/>
                <w:lang w:val="es-ES"/>
              </w:rPr>
              <w:t>rituximab</w:t>
            </w:r>
            <w:proofErr w:type="spellEnd"/>
            <w:r w:rsidRPr="00FA3F9C">
              <w:rPr>
                <w:rFonts w:ascii="Arial" w:hAnsi="Arial" w:cs="Arial"/>
                <w:sz w:val="24"/>
                <w:szCs w:val="24"/>
                <w:lang w:val="es-ES"/>
              </w:rPr>
              <w:t xml:space="preserve"> (medical).</w:t>
            </w:r>
          </w:p>
        </w:tc>
      </w:tr>
    </w:tbl>
    <w:p w14:paraId="41317CA7" w14:textId="77777777" w:rsidR="00C3036D" w:rsidRPr="00FA3F9C" w:rsidRDefault="00C3036D" w:rsidP="006F623F">
      <w:pPr>
        <w:spacing w:after="0"/>
        <w:rPr>
          <w:rFonts w:ascii="Arial" w:hAnsi="Arial" w:cs="Arial"/>
          <w:b/>
          <w:sz w:val="24"/>
          <w:szCs w:val="24"/>
          <w:u w:val="single"/>
          <w:lang w:val="es-ES"/>
        </w:rPr>
      </w:pPr>
    </w:p>
    <w:tbl>
      <w:tblPr>
        <w:tblStyle w:val="TableGrid"/>
        <w:tblW w:w="0" w:type="auto"/>
        <w:shd w:val="clear" w:color="auto" w:fill="BFBFBF" w:themeFill="background1" w:themeFillShade="BF"/>
        <w:tblLook w:val="04A0" w:firstRow="1" w:lastRow="0" w:firstColumn="1" w:lastColumn="0" w:noHBand="0" w:noVBand="1"/>
      </w:tblPr>
      <w:tblGrid>
        <w:gridCol w:w="10998"/>
      </w:tblGrid>
      <w:tr w:rsidR="00C3036D" w:rsidRPr="00FA3F9C" w14:paraId="537D896A" w14:textId="77777777" w:rsidTr="00D82B6E">
        <w:tc>
          <w:tcPr>
            <w:tcW w:w="10998" w:type="dxa"/>
            <w:shd w:val="clear" w:color="auto" w:fill="BFBFBF" w:themeFill="background1" w:themeFillShade="BF"/>
          </w:tcPr>
          <w:p w14:paraId="2287EC36" w14:textId="77777777" w:rsidR="00C3036D" w:rsidRPr="00FA3F9C" w:rsidRDefault="00C3036D" w:rsidP="00D82B6E">
            <w:pPr>
              <w:rPr>
                <w:rFonts w:ascii="Arial" w:hAnsi="Arial" w:cs="Arial"/>
                <w:sz w:val="24"/>
                <w:szCs w:val="24"/>
              </w:rPr>
            </w:pPr>
            <w:r w:rsidRPr="00FA3F9C">
              <w:rPr>
                <w:rFonts w:ascii="Arial" w:hAnsi="Arial" w:cs="Arial"/>
                <w:sz w:val="24"/>
                <w:szCs w:val="24"/>
              </w:rPr>
              <w:t>Note: The dose is SC 120mg day 1, then 120mg 2w later, then 120mg 2w later, then 120mg q4w.</w:t>
            </w:r>
          </w:p>
        </w:tc>
      </w:tr>
    </w:tbl>
    <w:p w14:paraId="120D9162" w14:textId="77777777" w:rsidR="00C3036D" w:rsidRPr="00FA3F9C" w:rsidRDefault="00C3036D" w:rsidP="006F623F">
      <w:pPr>
        <w:spacing w:after="0"/>
        <w:rPr>
          <w:rFonts w:ascii="Arial" w:hAnsi="Arial" w:cs="Arial"/>
          <w:sz w:val="24"/>
          <w:szCs w:val="24"/>
        </w:rPr>
      </w:pPr>
    </w:p>
    <w:p w14:paraId="2D8F2954" w14:textId="77777777" w:rsidR="00C3036D" w:rsidRPr="00FA3F9C" w:rsidRDefault="00C3036D" w:rsidP="006F623F">
      <w:pPr>
        <w:spacing w:after="0"/>
        <w:rPr>
          <w:rFonts w:ascii="Arial" w:hAnsi="Arial" w:cs="Arial"/>
          <w:sz w:val="24"/>
          <w:szCs w:val="24"/>
        </w:rPr>
      </w:pPr>
      <w:r w:rsidRPr="00FA3F9C">
        <w:rPr>
          <w:rFonts w:ascii="Arial" w:hAnsi="Arial" w:cs="Arial"/>
          <w:sz w:val="24"/>
          <w:szCs w:val="24"/>
        </w:rPr>
        <w:t>References:</w:t>
      </w:r>
    </w:p>
    <w:p w14:paraId="6831555A" w14:textId="77777777" w:rsidR="00C3036D" w:rsidRPr="00FA3F9C" w:rsidRDefault="00C3036D" w:rsidP="00C3036D">
      <w:pPr>
        <w:pStyle w:val="ListParagraph"/>
        <w:numPr>
          <w:ilvl w:val="0"/>
          <w:numId w:val="272"/>
        </w:numPr>
        <w:spacing w:after="0" w:line="240" w:lineRule="auto"/>
        <w:rPr>
          <w:rFonts w:ascii="Arial" w:hAnsi="Arial" w:cs="Arial"/>
          <w:sz w:val="24"/>
          <w:szCs w:val="24"/>
        </w:rPr>
      </w:pPr>
      <w:r w:rsidRPr="00FA3F9C">
        <w:rPr>
          <w:rFonts w:ascii="Arial" w:hAnsi="Arial" w:cs="Arial"/>
          <w:sz w:val="24"/>
          <w:szCs w:val="24"/>
        </w:rPr>
        <w:t>UpToDate. NMOSD.  Accessed 9/9/2020.</w:t>
      </w:r>
    </w:p>
    <w:p w14:paraId="47A455BB" w14:textId="77777777" w:rsidR="00C3036D" w:rsidRPr="00FA3F9C" w:rsidRDefault="00C3036D" w:rsidP="00C3036D">
      <w:pPr>
        <w:pStyle w:val="ListParagraph"/>
        <w:numPr>
          <w:ilvl w:val="0"/>
          <w:numId w:val="272"/>
        </w:numPr>
        <w:spacing w:after="0" w:line="240" w:lineRule="auto"/>
        <w:rPr>
          <w:rFonts w:ascii="Arial" w:eastAsia="Times New Roman" w:hAnsi="Arial" w:cs="Arial"/>
          <w:sz w:val="24"/>
          <w:szCs w:val="24"/>
        </w:rPr>
      </w:pPr>
      <w:r w:rsidRPr="00FA3F9C">
        <w:rPr>
          <w:rFonts w:ascii="Arial" w:eastAsia="Times New Roman" w:hAnsi="Arial" w:cs="Arial"/>
          <w:color w:val="222222"/>
          <w:sz w:val="24"/>
          <w:szCs w:val="24"/>
          <w:shd w:val="clear" w:color="auto" w:fill="F8F8F8"/>
        </w:rPr>
        <w:t>Cree, Bruce AC, et al. "</w:t>
      </w:r>
      <w:proofErr w:type="spellStart"/>
      <w:r w:rsidRPr="00FA3F9C">
        <w:rPr>
          <w:rFonts w:ascii="Arial" w:eastAsia="Times New Roman" w:hAnsi="Arial" w:cs="Arial"/>
          <w:color w:val="222222"/>
          <w:sz w:val="24"/>
          <w:szCs w:val="24"/>
          <w:highlight w:val="yellow"/>
          <w:shd w:val="clear" w:color="auto" w:fill="F8F8F8"/>
        </w:rPr>
        <w:t>Inebilizumab</w:t>
      </w:r>
      <w:proofErr w:type="spellEnd"/>
      <w:r w:rsidRPr="00FA3F9C">
        <w:rPr>
          <w:rFonts w:ascii="Arial" w:eastAsia="Times New Roman" w:hAnsi="Arial" w:cs="Arial"/>
          <w:color w:val="222222"/>
          <w:sz w:val="24"/>
          <w:szCs w:val="24"/>
          <w:shd w:val="clear" w:color="auto" w:fill="F8F8F8"/>
        </w:rPr>
        <w:t xml:space="preserve"> for the treatment of neuromyelitis </w:t>
      </w:r>
      <w:proofErr w:type="spellStart"/>
      <w:r w:rsidRPr="00FA3F9C">
        <w:rPr>
          <w:rFonts w:ascii="Arial" w:eastAsia="Times New Roman" w:hAnsi="Arial" w:cs="Arial"/>
          <w:color w:val="222222"/>
          <w:sz w:val="24"/>
          <w:szCs w:val="24"/>
          <w:shd w:val="clear" w:color="auto" w:fill="F8F8F8"/>
        </w:rPr>
        <w:t>optica</w:t>
      </w:r>
      <w:proofErr w:type="spellEnd"/>
      <w:r w:rsidRPr="00FA3F9C">
        <w:rPr>
          <w:rFonts w:ascii="Arial" w:eastAsia="Times New Roman" w:hAnsi="Arial" w:cs="Arial"/>
          <w:color w:val="222222"/>
          <w:sz w:val="24"/>
          <w:szCs w:val="24"/>
          <w:shd w:val="clear" w:color="auto" w:fill="F8F8F8"/>
        </w:rPr>
        <w:t xml:space="preserve"> spectrum disorder (N-</w:t>
      </w:r>
      <w:proofErr w:type="spellStart"/>
      <w:r w:rsidRPr="00FA3F9C">
        <w:rPr>
          <w:rFonts w:ascii="Arial" w:eastAsia="Times New Roman" w:hAnsi="Arial" w:cs="Arial"/>
          <w:color w:val="222222"/>
          <w:sz w:val="24"/>
          <w:szCs w:val="24"/>
          <w:shd w:val="clear" w:color="auto" w:fill="F8F8F8"/>
        </w:rPr>
        <w:t>MOmentum</w:t>
      </w:r>
      <w:proofErr w:type="spellEnd"/>
      <w:r w:rsidRPr="00FA3F9C">
        <w:rPr>
          <w:rFonts w:ascii="Arial" w:eastAsia="Times New Roman" w:hAnsi="Arial" w:cs="Arial"/>
          <w:color w:val="222222"/>
          <w:sz w:val="24"/>
          <w:szCs w:val="24"/>
          <w:shd w:val="clear" w:color="auto" w:fill="F8F8F8"/>
        </w:rPr>
        <w:t xml:space="preserve">): a double-blind, </w:t>
      </w:r>
      <w:proofErr w:type="spellStart"/>
      <w:r w:rsidRPr="00FA3F9C">
        <w:rPr>
          <w:rFonts w:ascii="Arial" w:eastAsia="Times New Roman" w:hAnsi="Arial" w:cs="Arial"/>
          <w:color w:val="222222"/>
          <w:sz w:val="24"/>
          <w:szCs w:val="24"/>
          <w:shd w:val="clear" w:color="auto" w:fill="F8F8F8"/>
        </w:rPr>
        <w:t>randomised</w:t>
      </w:r>
      <w:proofErr w:type="spellEnd"/>
      <w:r w:rsidRPr="00FA3F9C">
        <w:rPr>
          <w:rFonts w:ascii="Arial" w:eastAsia="Times New Roman" w:hAnsi="Arial" w:cs="Arial"/>
          <w:color w:val="222222"/>
          <w:sz w:val="24"/>
          <w:szCs w:val="24"/>
          <w:shd w:val="clear" w:color="auto" w:fill="F8F8F8"/>
        </w:rPr>
        <w:t xml:space="preserve"> placebo-controlled phase 2/3 trial." </w:t>
      </w:r>
      <w:r w:rsidRPr="00FA3F9C">
        <w:rPr>
          <w:rFonts w:ascii="Arial" w:eastAsia="Times New Roman" w:hAnsi="Arial" w:cs="Arial"/>
          <w:i/>
          <w:iCs/>
          <w:color w:val="222222"/>
          <w:sz w:val="24"/>
          <w:szCs w:val="24"/>
          <w:shd w:val="clear" w:color="auto" w:fill="F8F8F8"/>
        </w:rPr>
        <w:t>The Lancet</w:t>
      </w:r>
      <w:r w:rsidRPr="00FA3F9C">
        <w:rPr>
          <w:rFonts w:ascii="Arial" w:eastAsia="Times New Roman" w:hAnsi="Arial" w:cs="Arial"/>
          <w:color w:val="222222"/>
          <w:sz w:val="24"/>
          <w:szCs w:val="24"/>
          <w:shd w:val="clear" w:color="auto" w:fill="F8F8F8"/>
        </w:rPr>
        <w:t> 394.10206 (2019): 1352-1363.</w:t>
      </w:r>
    </w:p>
    <w:p w14:paraId="0679C054" w14:textId="77777777" w:rsidR="00C3036D" w:rsidRPr="00FA3F9C" w:rsidRDefault="00C3036D" w:rsidP="00C3036D">
      <w:pPr>
        <w:pStyle w:val="ListParagraph"/>
        <w:numPr>
          <w:ilvl w:val="0"/>
          <w:numId w:val="272"/>
        </w:numPr>
        <w:spacing w:after="0" w:line="240" w:lineRule="auto"/>
        <w:rPr>
          <w:rFonts w:ascii="Arial" w:eastAsia="Times New Roman" w:hAnsi="Arial" w:cs="Arial"/>
          <w:sz w:val="24"/>
          <w:szCs w:val="24"/>
        </w:rPr>
      </w:pPr>
      <w:proofErr w:type="spellStart"/>
      <w:r w:rsidRPr="00FA3F9C">
        <w:rPr>
          <w:rFonts w:ascii="Arial" w:eastAsia="Times New Roman" w:hAnsi="Arial" w:cs="Arial"/>
          <w:sz w:val="24"/>
          <w:szCs w:val="24"/>
        </w:rPr>
        <w:t>Traboulsee</w:t>
      </w:r>
      <w:proofErr w:type="spellEnd"/>
      <w:r w:rsidRPr="00FA3F9C">
        <w:rPr>
          <w:rFonts w:ascii="Arial" w:eastAsia="Times New Roman" w:hAnsi="Arial" w:cs="Arial"/>
          <w:sz w:val="24"/>
          <w:szCs w:val="24"/>
        </w:rPr>
        <w:t xml:space="preserve">, Anthony, et al. "Safety and efficacy of </w:t>
      </w:r>
      <w:proofErr w:type="spellStart"/>
      <w:r w:rsidRPr="00FA3F9C">
        <w:rPr>
          <w:rFonts w:ascii="Arial" w:eastAsia="Times New Roman" w:hAnsi="Arial" w:cs="Arial"/>
          <w:sz w:val="24"/>
          <w:szCs w:val="24"/>
        </w:rPr>
        <w:t>satralizumab</w:t>
      </w:r>
      <w:proofErr w:type="spellEnd"/>
      <w:r w:rsidRPr="00FA3F9C">
        <w:rPr>
          <w:rFonts w:ascii="Arial" w:eastAsia="Times New Roman" w:hAnsi="Arial" w:cs="Arial"/>
          <w:sz w:val="24"/>
          <w:szCs w:val="24"/>
        </w:rPr>
        <w:t xml:space="preserve"> monotherapy in neuromyelitis </w:t>
      </w:r>
      <w:proofErr w:type="spellStart"/>
      <w:r w:rsidRPr="00FA3F9C">
        <w:rPr>
          <w:rFonts w:ascii="Arial" w:eastAsia="Times New Roman" w:hAnsi="Arial" w:cs="Arial"/>
          <w:sz w:val="24"/>
          <w:szCs w:val="24"/>
        </w:rPr>
        <w:t>optica</w:t>
      </w:r>
      <w:proofErr w:type="spellEnd"/>
      <w:r w:rsidRPr="00FA3F9C">
        <w:rPr>
          <w:rFonts w:ascii="Arial" w:eastAsia="Times New Roman" w:hAnsi="Arial" w:cs="Arial"/>
          <w:sz w:val="24"/>
          <w:szCs w:val="24"/>
        </w:rPr>
        <w:t xml:space="preserve"> spectrum disorder: a </w:t>
      </w:r>
      <w:proofErr w:type="spellStart"/>
      <w:r w:rsidRPr="00FA3F9C">
        <w:rPr>
          <w:rFonts w:ascii="Arial" w:eastAsia="Times New Roman" w:hAnsi="Arial" w:cs="Arial"/>
          <w:sz w:val="24"/>
          <w:szCs w:val="24"/>
        </w:rPr>
        <w:t>randomised</w:t>
      </w:r>
      <w:proofErr w:type="spellEnd"/>
      <w:r w:rsidRPr="00FA3F9C">
        <w:rPr>
          <w:rFonts w:ascii="Arial" w:eastAsia="Times New Roman" w:hAnsi="Arial" w:cs="Arial"/>
          <w:sz w:val="24"/>
          <w:szCs w:val="24"/>
        </w:rPr>
        <w:t xml:space="preserve">, double-blind, </w:t>
      </w:r>
      <w:proofErr w:type="spellStart"/>
      <w:r w:rsidRPr="00FA3F9C">
        <w:rPr>
          <w:rFonts w:ascii="Arial" w:eastAsia="Times New Roman" w:hAnsi="Arial" w:cs="Arial"/>
          <w:sz w:val="24"/>
          <w:szCs w:val="24"/>
        </w:rPr>
        <w:t>multicentre</w:t>
      </w:r>
      <w:proofErr w:type="spellEnd"/>
      <w:r w:rsidRPr="00FA3F9C">
        <w:rPr>
          <w:rFonts w:ascii="Arial" w:eastAsia="Times New Roman" w:hAnsi="Arial" w:cs="Arial"/>
          <w:sz w:val="24"/>
          <w:szCs w:val="24"/>
        </w:rPr>
        <w:t>, placebo-controlled phase 3 trial." </w:t>
      </w:r>
      <w:r w:rsidRPr="00FA3F9C">
        <w:rPr>
          <w:rFonts w:ascii="Arial" w:eastAsia="Times New Roman" w:hAnsi="Arial" w:cs="Arial"/>
          <w:i/>
          <w:iCs/>
          <w:sz w:val="24"/>
          <w:szCs w:val="24"/>
        </w:rPr>
        <w:t>The Lancet Neurology</w:t>
      </w:r>
      <w:r w:rsidRPr="00FA3F9C">
        <w:rPr>
          <w:rFonts w:ascii="Arial" w:eastAsia="Times New Roman" w:hAnsi="Arial" w:cs="Arial"/>
          <w:sz w:val="24"/>
          <w:szCs w:val="24"/>
        </w:rPr>
        <w:t> 19.5 (2020): 402-412.</w:t>
      </w:r>
    </w:p>
    <w:p w14:paraId="07D3FE62" w14:textId="77777777" w:rsidR="00C3036D" w:rsidRPr="00FA3F9C" w:rsidRDefault="00C3036D" w:rsidP="00C3036D">
      <w:pPr>
        <w:pStyle w:val="ListParagraph"/>
        <w:numPr>
          <w:ilvl w:val="0"/>
          <w:numId w:val="272"/>
        </w:numPr>
        <w:spacing w:after="0" w:line="240" w:lineRule="auto"/>
        <w:rPr>
          <w:rFonts w:ascii="Arial" w:eastAsia="Times New Roman" w:hAnsi="Arial" w:cs="Arial"/>
          <w:sz w:val="24"/>
          <w:szCs w:val="24"/>
        </w:rPr>
      </w:pPr>
      <w:r w:rsidRPr="00FA3F9C">
        <w:rPr>
          <w:rFonts w:ascii="Arial" w:eastAsia="Times New Roman" w:hAnsi="Arial" w:cs="Arial"/>
          <w:sz w:val="24"/>
          <w:szCs w:val="24"/>
        </w:rPr>
        <w:t xml:space="preserve">Yamamura, Takashi, et al. "Trial of </w:t>
      </w:r>
      <w:proofErr w:type="spellStart"/>
      <w:r w:rsidRPr="00FA3F9C">
        <w:rPr>
          <w:rFonts w:ascii="Arial" w:eastAsia="Times New Roman" w:hAnsi="Arial" w:cs="Arial"/>
          <w:sz w:val="24"/>
          <w:szCs w:val="24"/>
        </w:rPr>
        <w:t>satralizumab</w:t>
      </w:r>
      <w:proofErr w:type="spellEnd"/>
      <w:r w:rsidRPr="00FA3F9C">
        <w:rPr>
          <w:rFonts w:ascii="Arial" w:eastAsia="Times New Roman" w:hAnsi="Arial" w:cs="Arial"/>
          <w:sz w:val="24"/>
          <w:szCs w:val="24"/>
        </w:rPr>
        <w:t xml:space="preserve"> in neuromyelitis </w:t>
      </w:r>
      <w:proofErr w:type="spellStart"/>
      <w:r w:rsidRPr="00FA3F9C">
        <w:rPr>
          <w:rFonts w:ascii="Arial" w:eastAsia="Times New Roman" w:hAnsi="Arial" w:cs="Arial"/>
          <w:sz w:val="24"/>
          <w:szCs w:val="24"/>
        </w:rPr>
        <w:t>optica</w:t>
      </w:r>
      <w:proofErr w:type="spellEnd"/>
      <w:r w:rsidRPr="00FA3F9C">
        <w:rPr>
          <w:rFonts w:ascii="Arial" w:eastAsia="Times New Roman" w:hAnsi="Arial" w:cs="Arial"/>
          <w:sz w:val="24"/>
          <w:szCs w:val="24"/>
        </w:rPr>
        <w:t xml:space="preserve"> spectrum disorder." </w:t>
      </w:r>
      <w:r w:rsidRPr="00FA3F9C">
        <w:rPr>
          <w:rFonts w:ascii="Arial" w:eastAsia="Times New Roman" w:hAnsi="Arial" w:cs="Arial"/>
          <w:i/>
          <w:iCs/>
          <w:sz w:val="24"/>
          <w:szCs w:val="24"/>
        </w:rPr>
        <w:t>New England Journal of Medicine</w:t>
      </w:r>
      <w:r w:rsidRPr="00FA3F9C">
        <w:rPr>
          <w:rFonts w:ascii="Arial" w:eastAsia="Times New Roman" w:hAnsi="Arial" w:cs="Arial"/>
          <w:sz w:val="24"/>
          <w:szCs w:val="24"/>
        </w:rPr>
        <w:t> 381.22 (2019): 2114-2124.</w:t>
      </w:r>
    </w:p>
    <w:p w14:paraId="6AD29AFD" w14:textId="77777777" w:rsidR="00C3036D" w:rsidRPr="00FA3F9C" w:rsidRDefault="00C3036D" w:rsidP="00C3036D">
      <w:pPr>
        <w:pStyle w:val="ListParagraph"/>
        <w:numPr>
          <w:ilvl w:val="0"/>
          <w:numId w:val="272"/>
        </w:numPr>
        <w:spacing w:after="0" w:line="240" w:lineRule="auto"/>
        <w:rPr>
          <w:rFonts w:ascii="Arial" w:eastAsia="Times New Roman" w:hAnsi="Arial" w:cs="Arial"/>
          <w:sz w:val="24"/>
          <w:szCs w:val="24"/>
        </w:rPr>
      </w:pPr>
      <w:proofErr w:type="spellStart"/>
      <w:r w:rsidRPr="00FA3F9C">
        <w:rPr>
          <w:rFonts w:ascii="Arial" w:eastAsia="Times New Roman" w:hAnsi="Arial" w:cs="Arial"/>
          <w:color w:val="222222"/>
          <w:sz w:val="24"/>
          <w:szCs w:val="24"/>
          <w:shd w:val="clear" w:color="auto" w:fill="F8F8F8"/>
        </w:rPr>
        <w:t>Xue</w:t>
      </w:r>
      <w:proofErr w:type="spellEnd"/>
      <w:r w:rsidRPr="00FA3F9C">
        <w:rPr>
          <w:rFonts w:ascii="Arial" w:eastAsia="Times New Roman" w:hAnsi="Arial" w:cs="Arial"/>
          <w:color w:val="222222"/>
          <w:sz w:val="24"/>
          <w:szCs w:val="24"/>
          <w:shd w:val="clear" w:color="auto" w:fill="F8F8F8"/>
        </w:rPr>
        <w:t>, Tao, et al. "Efficacy and Safety of Monoclonal Antibody Therapy in Neuromyelitis Optica Spectrum Disorders: Evidence from Randomized Controlled Trials." </w:t>
      </w:r>
      <w:r w:rsidRPr="00FA3F9C">
        <w:rPr>
          <w:rFonts w:ascii="Arial" w:eastAsia="Times New Roman" w:hAnsi="Arial" w:cs="Arial"/>
          <w:i/>
          <w:iCs/>
          <w:color w:val="222222"/>
          <w:sz w:val="24"/>
          <w:szCs w:val="24"/>
          <w:shd w:val="clear" w:color="auto" w:fill="F8F8F8"/>
        </w:rPr>
        <w:t>Multiple Sclerosis and Related Disorders</w:t>
      </w:r>
      <w:r w:rsidRPr="00FA3F9C">
        <w:rPr>
          <w:rFonts w:ascii="Arial" w:eastAsia="Times New Roman" w:hAnsi="Arial" w:cs="Arial"/>
          <w:color w:val="222222"/>
          <w:sz w:val="24"/>
          <w:szCs w:val="24"/>
          <w:shd w:val="clear" w:color="auto" w:fill="F8F8F8"/>
        </w:rPr>
        <w:t> (August 2020): 102166.</w:t>
      </w:r>
    </w:p>
    <w:p w14:paraId="2C90CE41" w14:textId="77777777" w:rsidR="00C3036D" w:rsidRPr="00FA3F9C" w:rsidRDefault="00C3036D" w:rsidP="00C3036D">
      <w:pPr>
        <w:pStyle w:val="ListParagraph"/>
        <w:numPr>
          <w:ilvl w:val="0"/>
          <w:numId w:val="272"/>
        </w:numPr>
        <w:spacing w:after="0" w:line="240" w:lineRule="auto"/>
        <w:rPr>
          <w:rFonts w:ascii="Arial" w:eastAsia="Times New Roman" w:hAnsi="Arial" w:cs="Arial"/>
          <w:sz w:val="24"/>
          <w:szCs w:val="24"/>
        </w:rPr>
      </w:pPr>
      <w:proofErr w:type="spellStart"/>
      <w:r w:rsidRPr="00FA3F9C">
        <w:rPr>
          <w:rFonts w:ascii="Arial" w:eastAsia="Times New Roman" w:hAnsi="Arial" w:cs="Arial"/>
          <w:sz w:val="24"/>
          <w:szCs w:val="24"/>
        </w:rPr>
        <w:t>Pittock</w:t>
      </w:r>
      <w:proofErr w:type="spellEnd"/>
      <w:r w:rsidRPr="00FA3F9C">
        <w:rPr>
          <w:rFonts w:ascii="Arial" w:eastAsia="Times New Roman" w:hAnsi="Arial" w:cs="Arial"/>
          <w:sz w:val="24"/>
          <w:szCs w:val="24"/>
        </w:rPr>
        <w:t xml:space="preserve">, Sean J., et al. "Eculizumab in aquaporin-4–positive neuromyelitis </w:t>
      </w:r>
      <w:proofErr w:type="spellStart"/>
      <w:r w:rsidRPr="00FA3F9C">
        <w:rPr>
          <w:rFonts w:ascii="Arial" w:eastAsia="Times New Roman" w:hAnsi="Arial" w:cs="Arial"/>
          <w:sz w:val="24"/>
          <w:szCs w:val="24"/>
        </w:rPr>
        <w:t>optica</w:t>
      </w:r>
      <w:proofErr w:type="spellEnd"/>
      <w:r w:rsidRPr="00FA3F9C">
        <w:rPr>
          <w:rFonts w:ascii="Arial" w:eastAsia="Times New Roman" w:hAnsi="Arial" w:cs="Arial"/>
          <w:sz w:val="24"/>
          <w:szCs w:val="24"/>
        </w:rPr>
        <w:t xml:space="preserve"> spectrum disorder." </w:t>
      </w:r>
      <w:r w:rsidRPr="00FA3F9C">
        <w:rPr>
          <w:rFonts w:ascii="Arial" w:eastAsia="Times New Roman" w:hAnsi="Arial" w:cs="Arial"/>
          <w:i/>
          <w:iCs/>
          <w:sz w:val="24"/>
          <w:szCs w:val="24"/>
        </w:rPr>
        <w:t>New England Journal of Medicine</w:t>
      </w:r>
      <w:r w:rsidRPr="00FA3F9C">
        <w:rPr>
          <w:rFonts w:ascii="Arial" w:eastAsia="Times New Roman" w:hAnsi="Arial" w:cs="Arial"/>
          <w:sz w:val="24"/>
          <w:szCs w:val="24"/>
        </w:rPr>
        <w:t> 381.7 (2019): 614-625.</w:t>
      </w:r>
    </w:p>
    <w:p w14:paraId="4A454E48" w14:textId="77777777" w:rsidR="00C3036D" w:rsidRPr="00FA3F9C" w:rsidRDefault="00C3036D" w:rsidP="006F623F">
      <w:pPr>
        <w:spacing w:after="0"/>
        <w:rPr>
          <w:rFonts w:ascii="Arial" w:hAnsi="Arial" w:cs="Arial"/>
          <w:sz w:val="24"/>
          <w:szCs w:val="24"/>
        </w:rPr>
      </w:pPr>
    </w:p>
    <w:p w14:paraId="5FD9029C" w14:textId="77777777" w:rsidR="00C3036D" w:rsidRPr="00FA3F9C" w:rsidRDefault="00C3036D" w:rsidP="006F623F">
      <w:pPr>
        <w:spacing w:after="0"/>
        <w:rPr>
          <w:rFonts w:ascii="Arial" w:hAnsi="Arial" w:cs="Arial"/>
          <w:sz w:val="24"/>
          <w:szCs w:val="24"/>
        </w:rPr>
      </w:pPr>
    </w:p>
    <w:p w14:paraId="23460E70" w14:textId="77777777" w:rsidR="00C3036D" w:rsidRPr="00FA3F9C" w:rsidRDefault="00C3036D"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017"/>
        <w:gridCol w:w="7470"/>
        <w:gridCol w:w="2538"/>
      </w:tblGrid>
      <w:tr w:rsidR="00C3036D" w:rsidRPr="00FA3F9C" w14:paraId="2114B852" w14:textId="77777777" w:rsidTr="00FE491B">
        <w:tc>
          <w:tcPr>
            <w:tcW w:w="1008" w:type="dxa"/>
          </w:tcPr>
          <w:p w14:paraId="51A4AA84" w14:textId="77777777" w:rsidR="00C3036D" w:rsidRPr="00FA3F9C" w:rsidRDefault="00C3036D" w:rsidP="006F623F">
            <w:pPr>
              <w:rPr>
                <w:rFonts w:ascii="Arial" w:hAnsi="Arial" w:cs="Arial"/>
                <w:sz w:val="24"/>
                <w:szCs w:val="24"/>
              </w:rPr>
            </w:pPr>
            <w:r w:rsidRPr="00FA3F9C">
              <w:rPr>
                <w:rFonts w:ascii="Arial" w:hAnsi="Arial" w:cs="Arial"/>
                <w:sz w:val="24"/>
                <w:szCs w:val="24"/>
              </w:rPr>
              <w:t>Date</w:t>
            </w:r>
          </w:p>
        </w:tc>
        <w:tc>
          <w:tcPr>
            <w:tcW w:w="7470" w:type="dxa"/>
          </w:tcPr>
          <w:p w14:paraId="352E5CE6" w14:textId="77777777" w:rsidR="00C3036D" w:rsidRPr="00FA3F9C" w:rsidRDefault="00C3036D" w:rsidP="006F623F">
            <w:pPr>
              <w:rPr>
                <w:rFonts w:ascii="Arial" w:hAnsi="Arial" w:cs="Arial"/>
                <w:sz w:val="24"/>
                <w:szCs w:val="24"/>
              </w:rPr>
            </w:pPr>
            <w:r w:rsidRPr="00FA3F9C">
              <w:rPr>
                <w:rFonts w:ascii="Arial" w:hAnsi="Arial" w:cs="Arial"/>
                <w:sz w:val="24"/>
                <w:szCs w:val="24"/>
              </w:rPr>
              <w:t>What changed</w:t>
            </w:r>
          </w:p>
        </w:tc>
        <w:tc>
          <w:tcPr>
            <w:tcW w:w="2538" w:type="dxa"/>
          </w:tcPr>
          <w:p w14:paraId="4EAEC051" w14:textId="77777777" w:rsidR="00C3036D" w:rsidRPr="00FA3F9C" w:rsidRDefault="00C3036D" w:rsidP="006F623F">
            <w:pPr>
              <w:rPr>
                <w:rFonts w:ascii="Arial" w:hAnsi="Arial" w:cs="Arial"/>
                <w:sz w:val="24"/>
                <w:szCs w:val="24"/>
              </w:rPr>
            </w:pPr>
            <w:r w:rsidRPr="00FA3F9C">
              <w:rPr>
                <w:rFonts w:ascii="Arial" w:hAnsi="Arial" w:cs="Arial"/>
                <w:sz w:val="24"/>
                <w:szCs w:val="24"/>
              </w:rPr>
              <w:t>Pharmacist’s initials</w:t>
            </w:r>
          </w:p>
        </w:tc>
      </w:tr>
      <w:tr w:rsidR="00C3036D" w:rsidRPr="00FA3F9C" w14:paraId="6F71A8DB" w14:textId="77777777" w:rsidTr="00FE491B">
        <w:tc>
          <w:tcPr>
            <w:tcW w:w="1008" w:type="dxa"/>
          </w:tcPr>
          <w:p w14:paraId="32EFF3E9" w14:textId="77777777" w:rsidR="00C3036D" w:rsidRPr="00FA3F9C" w:rsidRDefault="00C3036D" w:rsidP="006F623F">
            <w:pPr>
              <w:rPr>
                <w:rFonts w:ascii="Arial" w:hAnsi="Arial" w:cs="Arial"/>
                <w:sz w:val="24"/>
                <w:szCs w:val="24"/>
              </w:rPr>
            </w:pPr>
            <w:r w:rsidRPr="00FA3F9C">
              <w:rPr>
                <w:rFonts w:ascii="Arial" w:hAnsi="Arial" w:cs="Arial"/>
                <w:sz w:val="24"/>
                <w:szCs w:val="24"/>
              </w:rPr>
              <w:t>6/23/21</w:t>
            </w:r>
          </w:p>
        </w:tc>
        <w:tc>
          <w:tcPr>
            <w:tcW w:w="7470" w:type="dxa"/>
          </w:tcPr>
          <w:p w14:paraId="3A6D0E7B" w14:textId="77777777" w:rsidR="00C3036D" w:rsidRPr="00FA3F9C" w:rsidRDefault="00C3036D" w:rsidP="006F623F">
            <w:pPr>
              <w:rPr>
                <w:rFonts w:ascii="Arial" w:hAnsi="Arial" w:cs="Arial"/>
                <w:sz w:val="24"/>
                <w:szCs w:val="24"/>
              </w:rPr>
            </w:pPr>
            <w:r w:rsidRPr="00FA3F9C">
              <w:rPr>
                <w:rFonts w:ascii="Arial" w:hAnsi="Arial" w:cs="Arial"/>
                <w:sz w:val="24"/>
                <w:szCs w:val="24"/>
              </w:rPr>
              <w:t xml:space="preserve">I wrote the criteria.  This was approved by EBRx 10/2020.  </w:t>
            </w:r>
          </w:p>
        </w:tc>
        <w:tc>
          <w:tcPr>
            <w:tcW w:w="2538" w:type="dxa"/>
          </w:tcPr>
          <w:p w14:paraId="04D1608D" w14:textId="77777777" w:rsidR="00C3036D" w:rsidRPr="00FA3F9C" w:rsidRDefault="00C3036D" w:rsidP="006F623F">
            <w:pPr>
              <w:rPr>
                <w:rFonts w:ascii="Arial" w:hAnsi="Arial" w:cs="Arial"/>
                <w:sz w:val="24"/>
                <w:szCs w:val="24"/>
              </w:rPr>
            </w:pPr>
            <w:r w:rsidRPr="00FA3F9C">
              <w:rPr>
                <w:rFonts w:ascii="Arial" w:hAnsi="Arial" w:cs="Arial"/>
                <w:sz w:val="24"/>
                <w:szCs w:val="24"/>
              </w:rPr>
              <w:t>JJ</w:t>
            </w:r>
          </w:p>
        </w:tc>
      </w:tr>
      <w:tr w:rsidR="00C3036D" w:rsidRPr="00FA3F9C" w14:paraId="7C7ACD67" w14:textId="77777777" w:rsidTr="00FE491B">
        <w:tc>
          <w:tcPr>
            <w:tcW w:w="1008" w:type="dxa"/>
          </w:tcPr>
          <w:p w14:paraId="7667DD21" w14:textId="77777777" w:rsidR="00C3036D" w:rsidRPr="00FA3F9C" w:rsidRDefault="00C3036D" w:rsidP="006F623F">
            <w:pPr>
              <w:rPr>
                <w:rFonts w:ascii="Arial" w:hAnsi="Arial" w:cs="Arial"/>
                <w:sz w:val="24"/>
                <w:szCs w:val="24"/>
              </w:rPr>
            </w:pPr>
          </w:p>
        </w:tc>
        <w:tc>
          <w:tcPr>
            <w:tcW w:w="7470" w:type="dxa"/>
          </w:tcPr>
          <w:p w14:paraId="099B39B2" w14:textId="77777777" w:rsidR="00C3036D" w:rsidRPr="00FA3F9C" w:rsidRDefault="00C3036D" w:rsidP="006F623F">
            <w:pPr>
              <w:rPr>
                <w:rFonts w:ascii="Arial" w:hAnsi="Arial" w:cs="Arial"/>
                <w:sz w:val="24"/>
                <w:szCs w:val="24"/>
              </w:rPr>
            </w:pPr>
          </w:p>
        </w:tc>
        <w:tc>
          <w:tcPr>
            <w:tcW w:w="2538" w:type="dxa"/>
          </w:tcPr>
          <w:p w14:paraId="23011B23" w14:textId="77777777" w:rsidR="00C3036D" w:rsidRPr="00FA3F9C" w:rsidRDefault="00C3036D" w:rsidP="006F623F">
            <w:pPr>
              <w:rPr>
                <w:rFonts w:ascii="Arial" w:hAnsi="Arial" w:cs="Arial"/>
                <w:sz w:val="24"/>
                <w:szCs w:val="24"/>
              </w:rPr>
            </w:pPr>
          </w:p>
        </w:tc>
      </w:tr>
    </w:tbl>
    <w:p w14:paraId="0E26D165" w14:textId="77777777" w:rsidR="00C3036D" w:rsidRPr="00FA3F9C" w:rsidRDefault="00C3036D" w:rsidP="006F623F">
      <w:pPr>
        <w:spacing w:after="0"/>
        <w:rPr>
          <w:rFonts w:ascii="Arial" w:hAnsi="Arial" w:cs="Arial"/>
          <w:sz w:val="24"/>
          <w:szCs w:val="24"/>
        </w:rPr>
      </w:pPr>
    </w:p>
    <w:p w14:paraId="2620D114" w14:textId="731EA2F3" w:rsidR="00C3036D" w:rsidRDefault="00C3036D" w:rsidP="0078218F">
      <w:pPr>
        <w:pStyle w:val="Heading2"/>
      </w:pPr>
      <w:bookmarkStart w:id="301" w:name="_Toc106369924"/>
      <w:proofErr w:type="spellStart"/>
      <w:r w:rsidRPr="00FA3F9C">
        <w:t>Secukinumab</w:t>
      </w:r>
      <w:proofErr w:type="spellEnd"/>
      <w:r w:rsidRPr="00FA3F9C">
        <w:t xml:space="preserve"> (Cosentyx)</w:t>
      </w:r>
      <w:bookmarkEnd w:id="301"/>
    </w:p>
    <w:p w14:paraId="301718C6" w14:textId="77777777" w:rsidR="0078218F" w:rsidRPr="00FA3F9C" w:rsidRDefault="0078218F" w:rsidP="0078218F">
      <w:pPr>
        <w:spacing w:after="0"/>
        <w:jc w:val="center"/>
        <w:rPr>
          <w:rFonts w:ascii="Arial" w:hAnsi="Arial" w:cs="Arial"/>
          <w:sz w:val="24"/>
          <w:szCs w:val="24"/>
        </w:rPr>
      </w:pPr>
      <w:r w:rsidRPr="00FA3F9C">
        <w:rPr>
          <w:rFonts w:ascii="Arial" w:hAnsi="Arial" w:cs="Arial"/>
          <w:sz w:val="24"/>
          <w:szCs w:val="24"/>
        </w:rPr>
        <w:t>EBRx PA Criteria</w:t>
      </w:r>
    </w:p>
    <w:p w14:paraId="795E4201" w14:textId="77777777" w:rsidR="0078218F" w:rsidRPr="00FA3F9C" w:rsidRDefault="0078218F" w:rsidP="00B925DF">
      <w:pPr>
        <w:spacing w:after="0"/>
        <w:jc w:val="center"/>
        <w:rPr>
          <w:rFonts w:ascii="Arial" w:hAnsi="Arial" w:cs="Arial"/>
          <w:sz w:val="24"/>
          <w:szCs w:val="24"/>
        </w:rPr>
      </w:pPr>
    </w:p>
    <w:p w14:paraId="5401A9EE" w14:textId="77777777" w:rsidR="00C3036D" w:rsidRPr="00FA3F9C" w:rsidRDefault="00C3036D" w:rsidP="006F623F">
      <w:pPr>
        <w:spacing w:after="0"/>
        <w:rPr>
          <w:rFonts w:ascii="Arial" w:hAnsi="Arial" w:cs="Arial"/>
          <w:b/>
          <w:sz w:val="24"/>
          <w:szCs w:val="24"/>
          <w:u w:val="single"/>
        </w:rPr>
      </w:pPr>
    </w:p>
    <w:p w14:paraId="5EE0FC1B" w14:textId="77777777" w:rsidR="00C3036D" w:rsidRPr="00FA3F9C" w:rsidRDefault="00C3036D" w:rsidP="006F623F">
      <w:pPr>
        <w:spacing w:after="0"/>
        <w:rPr>
          <w:rFonts w:ascii="Arial" w:hAnsi="Arial" w:cs="Arial"/>
          <w:sz w:val="24"/>
          <w:szCs w:val="24"/>
        </w:rPr>
      </w:pPr>
      <w:proofErr w:type="spellStart"/>
      <w:r w:rsidRPr="00FA3F9C">
        <w:rPr>
          <w:rFonts w:ascii="Arial" w:hAnsi="Arial" w:cs="Arial"/>
          <w:b/>
          <w:sz w:val="24"/>
          <w:szCs w:val="24"/>
          <w:u w:val="single"/>
        </w:rPr>
        <w:t>Secukinumab</w:t>
      </w:r>
      <w:proofErr w:type="spellEnd"/>
      <w:r w:rsidRPr="00FA3F9C">
        <w:rPr>
          <w:rFonts w:ascii="Arial" w:hAnsi="Arial" w:cs="Arial"/>
          <w:b/>
          <w:sz w:val="24"/>
          <w:szCs w:val="24"/>
          <w:u w:val="single"/>
        </w:rPr>
        <w:t xml:space="preserve"> is FDA-approved for:</w:t>
      </w:r>
      <w:r w:rsidRPr="00FA3F9C">
        <w:rPr>
          <w:rFonts w:ascii="Arial" w:hAnsi="Arial" w:cs="Arial"/>
          <w:sz w:val="24"/>
          <w:szCs w:val="24"/>
        </w:rPr>
        <w:t xml:space="preserve"> </w:t>
      </w:r>
    </w:p>
    <w:p w14:paraId="7834802E" w14:textId="77777777" w:rsidR="00C3036D" w:rsidRPr="00FA3F9C" w:rsidRDefault="00C3036D" w:rsidP="00FC1E85">
      <w:pPr>
        <w:pStyle w:val="ListParagraph"/>
        <w:numPr>
          <w:ilvl w:val="0"/>
          <w:numId w:val="468"/>
        </w:numPr>
        <w:spacing w:after="0" w:line="276" w:lineRule="auto"/>
        <w:rPr>
          <w:rFonts w:ascii="Arial" w:hAnsi="Arial" w:cs="Arial"/>
          <w:sz w:val="24"/>
          <w:szCs w:val="24"/>
        </w:rPr>
      </w:pPr>
      <w:r w:rsidRPr="00FA3F9C">
        <w:rPr>
          <w:rFonts w:ascii="Arial" w:hAnsi="Arial" w:cs="Arial"/>
          <w:sz w:val="24"/>
          <w:szCs w:val="24"/>
        </w:rPr>
        <w:t>moderate to severe chronic plaque psoriasis in adult patients</w:t>
      </w:r>
    </w:p>
    <w:p w14:paraId="112665E4" w14:textId="77777777" w:rsidR="00C3036D" w:rsidRPr="00FA3F9C" w:rsidRDefault="00C3036D" w:rsidP="00FC1E85">
      <w:pPr>
        <w:pStyle w:val="ListParagraph"/>
        <w:numPr>
          <w:ilvl w:val="0"/>
          <w:numId w:val="468"/>
        </w:numPr>
        <w:spacing w:after="0" w:line="276" w:lineRule="auto"/>
        <w:rPr>
          <w:rFonts w:ascii="Arial" w:hAnsi="Arial" w:cs="Arial"/>
          <w:sz w:val="24"/>
          <w:szCs w:val="24"/>
        </w:rPr>
      </w:pPr>
      <w:r w:rsidRPr="00FA3F9C">
        <w:rPr>
          <w:rFonts w:ascii="Arial" w:hAnsi="Arial" w:cs="Arial"/>
          <w:sz w:val="24"/>
          <w:szCs w:val="24"/>
        </w:rPr>
        <w:t>adults with active psoriatic arthritis</w:t>
      </w:r>
    </w:p>
    <w:p w14:paraId="091F9501" w14:textId="77777777" w:rsidR="00C3036D" w:rsidRPr="00FA3F9C" w:rsidRDefault="00C3036D" w:rsidP="00FC1E85">
      <w:pPr>
        <w:pStyle w:val="ListParagraph"/>
        <w:numPr>
          <w:ilvl w:val="0"/>
          <w:numId w:val="468"/>
        </w:numPr>
        <w:spacing w:after="0" w:line="276" w:lineRule="auto"/>
        <w:rPr>
          <w:rFonts w:ascii="Arial" w:hAnsi="Arial" w:cs="Arial"/>
          <w:sz w:val="24"/>
          <w:szCs w:val="24"/>
        </w:rPr>
      </w:pPr>
      <w:r w:rsidRPr="00FA3F9C">
        <w:rPr>
          <w:rFonts w:ascii="Arial" w:hAnsi="Arial" w:cs="Arial"/>
          <w:sz w:val="24"/>
          <w:szCs w:val="24"/>
        </w:rPr>
        <w:t>adults with active ankylosing spondylitis</w:t>
      </w:r>
    </w:p>
    <w:tbl>
      <w:tblPr>
        <w:tblStyle w:val="TableGrid"/>
        <w:tblW w:w="0" w:type="auto"/>
        <w:tblLook w:val="04A0" w:firstRow="1" w:lastRow="0" w:firstColumn="1" w:lastColumn="0" w:noHBand="0" w:noVBand="1"/>
      </w:tblPr>
      <w:tblGrid>
        <w:gridCol w:w="9108"/>
        <w:gridCol w:w="1682"/>
      </w:tblGrid>
      <w:tr w:rsidR="00C3036D" w:rsidRPr="00FA3F9C" w14:paraId="6BB1C788" w14:textId="77777777" w:rsidTr="005510D0">
        <w:tc>
          <w:tcPr>
            <w:tcW w:w="9108" w:type="dxa"/>
            <w:shd w:val="clear" w:color="auto" w:fill="000000"/>
          </w:tcPr>
          <w:p w14:paraId="1BA3EB2E" w14:textId="77777777" w:rsidR="00C3036D" w:rsidRPr="00FA3F9C" w:rsidRDefault="00C3036D" w:rsidP="005510D0">
            <w:pPr>
              <w:rPr>
                <w:rFonts w:ascii="Arial" w:hAnsi="Arial" w:cs="Arial"/>
                <w:b/>
                <w:sz w:val="24"/>
                <w:szCs w:val="24"/>
                <w:u w:val="single"/>
              </w:rPr>
            </w:pPr>
            <w:r w:rsidRPr="00FA3F9C">
              <w:rPr>
                <w:rFonts w:ascii="Arial" w:hAnsi="Arial" w:cs="Arial"/>
                <w:b/>
                <w:sz w:val="24"/>
                <w:szCs w:val="24"/>
                <w:u w:val="single"/>
              </w:rPr>
              <w:t>Criteria for Plaque Psoriasis</w:t>
            </w:r>
          </w:p>
        </w:tc>
        <w:tc>
          <w:tcPr>
            <w:tcW w:w="1682" w:type="dxa"/>
          </w:tcPr>
          <w:p w14:paraId="7A8216CE" w14:textId="77777777" w:rsidR="00C3036D" w:rsidRPr="00FA3F9C" w:rsidRDefault="00C3036D" w:rsidP="006F623F">
            <w:pPr>
              <w:jc w:val="center"/>
              <w:rPr>
                <w:rFonts w:ascii="Arial" w:hAnsi="Arial" w:cs="Arial"/>
                <w:b/>
                <w:sz w:val="24"/>
                <w:szCs w:val="24"/>
                <w:u w:val="single"/>
              </w:rPr>
            </w:pPr>
          </w:p>
        </w:tc>
      </w:tr>
      <w:tr w:rsidR="00C3036D" w:rsidRPr="00FA3F9C" w14:paraId="5A095279" w14:textId="77777777" w:rsidTr="00AD0E8A">
        <w:trPr>
          <w:trHeight w:val="377"/>
        </w:trPr>
        <w:tc>
          <w:tcPr>
            <w:tcW w:w="9108" w:type="dxa"/>
          </w:tcPr>
          <w:p w14:paraId="1E409F6C" w14:textId="77777777" w:rsidR="00C3036D" w:rsidRPr="00FA3F9C" w:rsidRDefault="00C3036D" w:rsidP="005510D0">
            <w:pPr>
              <w:rPr>
                <w:rFonts w:ascii="Arial" w:hAnsi="Arial" w:cs="Arial"/>
                <w:sz w:val="24"/>
                <w:szCs w:val="24"/>
              </w:rPr>
            </w:pPr>
            <w:r w:rsidRPr="00FA3F9C">
              <w:rPr>
                <w:rFonts w:ascii="Arial" w:hAnsi="Arial" w:cs="Arial"/>
                <w:sz w:val="24"/>
                <w:szCs w:val="24"/>
              </w:rPr>
              <w:t>1.  The patient must have tried and failed Humira and Enbrel.</w:t>
            </w:r>
          </w:p>
        </w:tc>
        <w:tc>
          <w:tcPr>
            <w:tcW w:w="1682" w:type="dxa"/>
          </w:tcPr>
          <w:p w14:paraId="3030C52E" w14:textId="77777777" w:rsidR="00C3036D" w:rsidRPr="00FA3F9C" w:rsidRDefault="00C3036D" w:rsidP="006F623F">
            <w:pPr>
              <w:rPr>
                <w:rFonts w:ascii="Arial" w:hAnsi="Arial" w:cs="Arial"/>
                <w:sz w:val="24"/>
                <w:szCs w:val="24"/>
              </w:rPr>
            </w:pPr>
          </w:p>
        </w:tc>
      </w:tr>
      <w:tr w:rsidR="00C3036D" w:rsidRPr="00FA3F9C" w14:paraId="5390CB33" w14:textId="77777777" w:rsidTr="00AD0E8A">
        <w:trPr>
          <w:trHeight w:val="377"/>
        </w:trPr>
        <w:tc>
          <w:tcPr>
            <w:tcW w:w="9108" w:type="dxa"/>
          </w:tcPr>
          <w:p w14:paraId="32ADC0DA" w14:textId="77777777" w:rsidR="00C3036D" w:rsidRPr="00FA3F9C" w:rsidRDefault="00C3036D" w:rsidP="006F623F">
            <w:pPr>
              <w:rPr>
                <w:rFonts w:ascii="Arial" w:hAnsi="Arial" w:cs="Arial"/>
                <w:sz w:val="24"/>
                <w:szCs w:val="24"/>
              </w:rPr>
            </w:pPr>
            <w:r w:rsidRPr="00FA3F9C">
              <w:rPr>
                <w:rFonts w:ascii="Arial" w:hAnsi="Arial" w:cs="Arial"/>
                <w:sz w:val="24"/>
                <w:szCs w:val="24"/>
              </w:rPr>
              <w:t>1.  Is the patient 18 years of age or older?</w:t>
            </w:r>
          </w:p>
        </w:tc>
        <w:tc>
          <w:tcPr>
            <w:tcW w:w="1682" w:type="dxa"/>
          </w:tcPr>
          <w:p w14:paraId="4ECC3D51" w14:textId="77777777" w:rsidR="00C3036D" w:rsidRPr="00FA3F9C" w:rsidRDefault="00C3036D" w:rsidP="006F623F">
            <w:pPr>
              <w:rPr>
                <w:rFonts w:ascii="Arial" w:hAnsi="Arial" w:cs="Arial"/>
                <w:sz w:val="24"/>
                <w:szCs w:val="24"/>
              </w:rPr>
            </w:pPr>
            <w:r w:rsidRPr="00FA3F9C">
              <w:rPr>
                <w:rFonts w:ascii="Arial" w:hAnsi="Arial" w:cs="Arial"/>
                <w:sz w:val="24"/>
                <w:szCs w:val="24"/>
              </w:rPr>
              <w:sym w:font="Wingdings" w:char="F0A8"/>
            </w:r>
            <w:r w:rsidRPr="00FA3F9C">
              <w:rPr>
                <w:rFonts w:ascii="Arial" w:hAnsi="Arial" w:cs="Arial"/>
                <w:sz w:val="24"/>
                <w:szCs w:val="24"/>
              </w:rPr>
              <w:t xml:space="preserve">Yes             </w:t>
            </w:r>
            <w:r w:rsidRPr="00FA3F9C">
              <w:rPr>
                <w:rFonts w:ascii="Arial" w:hAnsi="Arial" w:cs="Arial"/>
                <w:sz w:val="24"/>
                <w:szCs w:val="24"/>
              </w:rPr>
              <w:sym w:font="Wingdings" w:char="F0A8"/>
            </w:r>
            <w:r w:rsidRPr="00FA3F9C">
              <w:rPr>
                <w:rFonts w:ascii="Arial" w:hAnsi="Arial" w:cs="Arial"/>
                <w:sz w:val="24"/>
                <w:szCs w:val="24"/>
              </w:rPr>
              <w:t>No</w:t>
            </w:r>
          </w:p>
          <w:p w14:paraId="0C592944" w14:textId="77777777" w:rsidR="00C3036D" w:rsidRPr="00FA3F9C" w:rsidRDefault="00C3036D" w:rsidP="006F623F">
            <w:pPr>
              <w:rPr>
                <w:rFonts w:ascii="Arial" w:hAnsi="Arial" w:cs="Arial"/>
                <w:sz w:val="24"/>
                <w:szCs w:val="24"/>
              </w:rPr>
            </w:pPr>
          </w:p>
        </w:tc>
      </w:tr>
      <w:tr w:rsidR="00C3036D" w:rsidRPr="00FA3F9C" w14:paraId="0EC8BBCD" w14:textId="77777777" w:rsidTr="00AD0E8A">
        <w:tc>
          <w:tcPr>
            <w:tcW w:w="9108" w:type="dxa"/>
          </w:tcPr>
          <w:p w14:paraId="74D057E3" w14:textId="77777777" w:rsidR="00C3036D" w:rsidRPr="00FA3F9C" w:rsidRDefault="00C3036D" w:rsidP="006F623F">
            <w:pPr>
              <w:rPr>
                <w:rFonts w:ascii="Arial" w:hAnsi="Arial" w:cs="Arial"/>
                <w:sz w:val="24"/>
                <w:szCs w:val="24"/>
              </w:rPr>
            </w:pPr>
            <w:r w:rsidRPr="00FA3F9C">
              <w:rPr>
                <w:rFonts w:ascii="Arial" w:hAnsi="Arial" w:cs="Arial"/>
                <w:sz w:val="24"/>
                <w:szCs w:val="24"/>
              </w:rPr>
              <w:t>2.  Does the patient have a diagnosis of moderate to severe plaque psoriasis, defined as:</w:t>
            </w:r>
          </w:p>
          <w:p w14:paraId="77C8A309" w14:textId="77777777" w:rsidR="00C3036D" w:rsidRPr="00FA3F9C" w:rsidRDefault="00C3036D" w:rsidP="00FC1E85">
            <w:pPr>
              <w:pStyle w:val="ListParagraph"/>
              <w:numPr>
                <w:ilvl w:val="0"/>
                <w:numId w:val="467"/>
              </w:numPr>
              <w:rPr>
                <w:rFonts w:ascii="Arial" w:hAnsi="Arial" w:cs="Arial"/>
                <w:sz w:val="24"/>
                <w:szCs w:val="24"/>
              </w:rPr>
            </w:pPr>
            <w:r w:rsidRPr="00FA3F9C">
              <w:rPr>
                <w:rFonts w:ascii="Arial" w:hAnsi="Arial" w:cs="Arial"/>
                <w:sz w:val="24"/>
                <w:szCs w:val="24"/>
              </w:rPr>
              <w:t xml:space="preserve">A score of 12 or higher on the psoriasis area-and-severity index (PASI)     </w:t>
            </w:r>
            <w:r w:rsidRPr="00FA3F9C">
              <w:rPr>
                <w:rFonts w:ascii="Arial" w:hAnsi="Arial" w:cs="Arial"/>
                <w:b/>
                <w:sz w:val="24"/>
                <w:szCs w:val="24"/>
                <w:u w:val="single"/>
              </w:rPr>
              <w:t>AND</w:t>
            </w:r>
          </w:p>
          <w:p w14:paraId="67238EF9" w14:textId="77777777" w:rsidR="00C3036D" w:rsidRPr="00FA3F9C" w:rsidRDefault="00C3036D" w:rsidP="00FC1E85">
            <w:pPr>
              <w:pStyle w:val="ListParagraph"/>
              <w:numPr>
                <w:ilvl w:val="0"/>
                <w:numId w:val="467"/>
              </w:numPr>
              <w:rPr>
                <w:rFonts w:ascii="Arial" w:hAnsi="Arial" w:cs="Arial"/>
                <w:sz w:val="24"/>
                <w:szCs w:val="24"/>
              </w:rPr>
            </w:pPr>
            <w:r w:rsidRPr="00FA3F9C">
              <w:rPr>
                <w:rFonts w:ascii="Arial" w:hAnsi="Arial" w:cs="Arial"/>
                <w:sz w:val="24"/>
                <w:szCs w:val="24"/>
              </w:rPr>
              <w:t xml:space="preserve">A score of 3 or 4 on the modified investigator’s global assessment     </w:t>
            </w:r>
            <w:r w:rsidRPr="00FA3F9C">
              <w:rPr>
                <w:rFonts w:ascii="Arial" w:hAnsi="Arial" w:cs="Arial"/>
                <w:b/>
                <w:sz w:val="24"/>
                <w:szCs w:val="24"/>
                <w:u w:val="single"/>
              </w:rPr>
              <w:t>AND</w:t>
            </w:r>
          </w:p>
          <w:p w14:paraId="5A30C64A" w14:textId="77777777" w:rsidR="00C3036D" w:rsidRPr="00FA3F9C" w:rsidRDefault="00C3036D" w:rsidP="00FC1E85">
            <w:pPr>
              <w:pStyle w:val="ListParagraph"/>
              <w:numPr>
                <w:ilvl w:val="0"/>
                <w:numId w:val="467"/>
              </w:numPr>
              <w:rPr>
                <w:rFonts w:ascii="Arial" w:hAnsi="Arial" w:cs="Arial"/>
                <w:sz w:val="24"/>
                <w:szCs w:val="24"/>
              </w:rPr>
            </w:pPr>
            <w:r w:rsidRPr="00FA3F9C">
              <w:rPr>
                <w:rFonts w:ascii="Arial" w:hAnsi="Arial" w:cs="Arial"/>
                <w:sz w:val="24"/>
                <w:szCs w:val="24"/>
              </w:rPr>
              <w:t>Involvement of 10% or more of the body-surface area</w:t>
            </w:r>
          </w:p>
        </w:tc>
        <w:tc>
          <w:tcPr>
            <w:tcW w:w="1682" w:type="dxa"/>
          </w:tcPr>
          <w:p w14:paraId="1C33EAF0" w14:textId="77777777" w:rsidR="00C3036D" w:rsidRPr="00FA3F9C" w:rsidRDefault="00C3036D" w:rsidP="006F623F">
            <w:pPr>
              <w:rPr>
                <w:rFonts w:ascii="Arial" w:hAnsi="Arial" w:cs="Arial"/>
                <w:sz w:val="24"/>
                <w:szCs w:val="24"/>
              </w:rPr>
            </w:pPr>
            <w:r w:rsidRPr="00FA3F9C">
              <w:rPr>
                <w:rFonts w:ascii="Arial" w:hAnsi="Arial" w:cs="Arial"/>
                <w:sz w:val="24"/>
                <w:szCs w:val="24"/>
              </w:rPr>
              <w:sym w:font="Wingdings" w:char="F0A8"/>
            </w:r>
            <w:r w:rsidRPr="00FA3F9C">
              <w:rPr>
                <w:rFonts w:ascii="Arial" w:hAnsi="Arial" w:cs="Arial"/>
                <w:sz w:val="24"/>
                <w:szCs w:val="24"/>
              </w:rPr>
              <w:t xml:space="preserve">Yes             </w:t>
            </w:r>
            <w:r w:rsidRPr="00FA3F9C">
              <w:rPr>
                <w:rFonts w:ascii="Arial" w:hAnsi="Arial" w:cs="Arial"/>
                <w:sz w:val="24"/>
                <w:szCs w:val="24"/>
              </w:rPr>
              <w:sym w:font="Wingdings" w:char="F0A8"/>
            </w:r>
            <w:r w:rsidRPr="00FA3F9C">
              <w:rPr>
                <w:rFonts w:ascii="Arial" w:hAnsi="Arial" w:cs="Arial"/>
                <w:sz w:val="24"/>
                <w:szCs w:val="24"/>
              </w:rPr>
              <w:t>No</w:t>
            </w:r>
          </w:p>
        </w:tc>
      </w:tr>
      <w:tr w:rsidR="00C3036D" w:rsidRPr="00FA3F9C" w14:paraId="4952B3E1" w14:textId="77777777" w:rsidTr="00AD0E8A">
        <w:tc>
          <w:tcPr>
            <w:tcW w:w="9108" w:type="dxa"/>
          </w:tcPr>
          <w:p w14:paraId="45D96D4E" w14:textId="77777777" w:rsidR="00C3036D" w:rsidRPr="00FA3F9C" w:rsidRDefault="00C3036D" w:rsidP="00A1021B">
            <w:pPr>
              <w:rPr>
                <w:rFonts w:ascii="Arial" w:hAnsi="Arial" w:cs="Arial"/>
                <w:sz w:val="24"/>
                <w:szCs w:val="24"/>
              </w:rPr>
            </w:pPr>
            <w:r w:rsidRPr="00FA3F9C">
              <w:rPr>
                <w:rFonts w:ascii="Arial" w:hAnsi="Arial" w:cs="Arial"/>
                <w:sz w:val="24"/>
                <w:szCs w:val="24"/>
              </w:rPr>
              <w:t>3.  **Has the patient experienced failure to achieve all items in #2 above AFTER receiving broadband UV light therapy (must have received 25 treatments at a frequency of 5x/w) or narrow band UV light therapy (must have received at least 20 treatments at a frequency of 5x/w)?</w:t>
            </w:r>
          </w:p>
        </w:tc>
        <w:tc>
          <w:tcPr>
            <w:tcW w:w="1682" w:type="dxa"/>
          </w:tcPr>
          <w:p w14:paraId="41432E44" w14:textId="77777777" w:rsidR="00C3036D" w:rsidRPr="00FA3F9C" w:rsidRDefault="00C3036D" w:rsidP="006F623F">
            <w:pPr>
              <w:rPr>
                <w:rFonts w:ascii="Arial" w:hAnsi="Arial" w:cs="Arial"/>
                <w:sz w:val="24"/>
                <w:szCs w:val="24"/>
              </w:rPr>
            </w:pPr>
            <w:r w:rsidRPr="00FA3F9C">
              <w:rPr>
                <w:rFonts w:ascii="Arial" w:hAnsi="Arial" w:cs="Arial"/>
                <w:sz w:val="24"/>
                <w:szCs w:val="24"/>
              </w:rPr>
              <w:sym w:font="Wingdings" w:char="F0A8"/>
            </w:r>
            <w:r w:rsidRPr="00FA3F9C">
              <w:rPr>
                <w:rFonts w:ascii="Arial" w:hAnsi="Arial" w:cs="Arial"/>
                <w:sz w:val="24"/>
                <w:szCs w:val="24"/>
              </w:rPr>
              <w:t xml:space="preserve">Yes             </w:t>
            </w:r>
            <w:r w:rsidRPr="00FA3F9C">
              <w:rPr>
                <w:rFonts w:ascii="Arial" w:hAnsi="Arial" w:cs="Arial"/>
                <w:sz w:val="24"/>
                <w:szCs w:val="24"/>
              </w:rPr>
              <w:sym w:font="Wingdings" w:char="F0A8"/>
            </w:r>
            <w:r w:rsidRPr="00FA3F9C">
              <w:rPr>
                <w:rFonts w:ascii="Arial" w:hAnsi="Arial" w:cs="Arial"/>
                <w:sz w:val="24"/>
                <w:szCs w:val="24"/>
              </w:rPr>
              <w:t>No</w:t>
            </w:r>
          </w:p>
        </w:tc>
      </w:tr>
      <w:tr w:rsidR="00C3036D" w:rsidRPr="00FA3F9C" w14:paraId="7467A40B" w14:textId="77777777" w:rsidTr="00AD0E8A">
        <w:tc>
          <w:tcPr>
            <w:tcW w:w="9108" w:type="dxa"/>
          </w:tcPr>
          <w:p w14:paraId="04CB9C07" w14:textId="77777777" w:rsidR="00C3036D" w:rsidRPr="00FA3F9C" w:rsidRDefault="00C3036D" w:rsidP="00A1021B">
            <w:pPr>
              <w:rPr>
                <w:rFonts w:ascii="Arial" w:hAnsi="Arial" w:cs="Arial"/>
                <w:sz w:val="24"/>
                <w:szCs w:val="24"/>
              </w:rPr>
            </w:pPr>
            <w:r w:rsidRPr="00FA3F9C">
              <w:rPr>
                <w:rFonts w:ascii="Arial" w:hAnsi="Arial" w:cs="Arial"/>
                <w:sz w:val="24"/>
                <w:szCs w:val="24"/>
              </w:rPr>
              <w:t>4.  Has the patient experienced failure to achieve all items in #2 above AFTER receiving 4 weeks of topical corticosteroid therapy?</w:t>
            </w:r>
          </w:p>
        </w:tc>
        <w:tc>
          <w:tcPr>
            <w:tcW w:w="1682" w:type="dxa"/>
          </w:tcPr>
          <w:p w14:paraId="122D717E" w14:textId="77777777" w:rsidR="00C3036D" w:rsidRPr="00FA3F9C" w:rsidRDefault="00C3036D" w:rsidP="006F623F">
            <w:pPr>
              <w:rPr>
                <w:rFonts w:ascii="Arial" w:hAnsi="Arial" w:cs="Arial"/>
                <w:sz w:val="24"/>
                <w:szCs w:val="24"/>
              </w:rPr>
            </w:pPr>
            <w:r w:rsidRPr="00FA3F9C">
              <w:rPr>
                <w:rFonts w:ascii="Arial" w:hAnsi="Arial" w:cs="Arial"/>
                <w:sz w:val="24"/>
                <w:szCs w:val="24"/>
              </w:rPr>
              <w:sym w:font="Wingdings" w:char="F0A8"/>
            </w:r>
            <w:r w:rsidRPr="00FA3F9C">
              <w:rPr>
                <w:rFonts w:ascii="Arial" w:hAnsi="Arial" w:cs="Arial"/>
                <w:sz w:val="24"/>
                <w:szCs w:val="24"/>
              </w:rPr>
              <w:t xml:space="preserve">Yes             </w:t>
            </w:r>
            <w:r w:rsidRPr="00FA3F9C">
              <w:rPr>
                <w:rFonts w:ascii="Arial" w:hAnsi="Arial" w:cs="Arial"/>
                <w:sz w:val="24"/>
                <w:szCs w:val="24"/>
              </w:rPr>
              <w:sym w:font="Wingdings" w:char="F0A8"/>
            </w:r>
            <w:r w:rsidRPr="00FA3F9C">
              <w:rPr>
                <w:rFonts w:ascii="Arial" w:hAnsi="Arial" w:cs="Arial"/>
                <w:sz w:val="24"/>
                <w:szCs w:val="24"/>
              </w:rPr>
              <w:t>No</w:t>
            </w:r>
          </w:p>
        </w:tc>
      </w:tr>
      <w:tr w:rsidR="00C3036D" w:rsidRPr="00FA3F9C" w14:paraId="1CE2AB76" w14:textId="77777777" w:rsidTr="00AD0E8A">
        <w:tc>
          <w:tcPr>
            <w:tcW w:w="9108" w:type="dxa"/>
          </w:tcPr>
          <w:p w14:paraId="470D3FD1" w14:textId="77777777" w:rsidR="00C3036D" w:rsidRPr="00FA3F9C" w:rsidRDefault="00C3036D" w:rsidP="007802BD">
            <w:pPr>
              <w:rPr>
                <w:rFonts w:ascii="Arial" w:hAnsi="Arial" w:cs="Arial"/>
                <w:sz w:val="24"/>
                <w:szCs w:val="24"/>
              </w:rPr>
            </w:pPr>
            <w:r w:rsidRPr="00FA3F9C">
              <w:rPr>
                <w:rFonts w:ascii="Arial" w:hAnsi="Arial" w:cs="Arial"/>
                <w:sz w:val="24"/>
                <w:szCs w:val="24"/>
              </w:rPr>
              <w:t>5.  Has the patient experienced failure to achieve all items in #2 above AFTER receiving 4 weeks of topical calcipotriene therapy (may be overlapped with topical corticosteroid)?</w:t>
            </w:r>
          </w:p>
        </w:tc>
        <w:tc>
          <w:tcPr>
            <w:tcW w:w="1682" w:type="dxa"/>
          </w:tcPr>
          <w:p w14:paraId="62561EA6" w14:textId="77777777" w:rsidR="00C3036D" w:rsidRPr="00FA3F9C" w:rsidRDefault="00C3036D" w:rsidP="006F623F">
            <w:pPr>
              <w:rPr>
                <w:rFonts w:ascii="Arial" w:hAnsi="Arial" w:cs="Arial"/>
                <w:sz w:val="24"/>
                <w:szCs w:val="24"/>
              </w:rPr>
            </w:pPr>
            <w:r w:rsidRPr="00FA3F9C">
              <w:rPr>
                <w:rFonts w:ascii="Arial" w:hAnsi="Arial" w:cs="Arial"/>
                <w:sz w:val="24"/>
                <w:szCs w:val="24"/>
              </w:rPr>
              <w:sym w:font="Wingdings" w:char="F0A8"/>
            </w:r>
            <w:r w:rsidRPr="00FA3F9C">
              <w:rPr>
                <w:rFonts w:ascii="Arial" w:hAnsi="Arial" w:cs="Arial"/>
                <w:sz w:val="24"/>
                <w:szCs w:val="24"/>
              </w:rPr>
              <w:t xml:space="preserve">Yes             </w:t>
            </w:r>
            <w:r w:rsidRPr="00FA3F9C">
              <w:rPr>
                <w:rFonts w:ascii="Arial" w:hAnsi="Arial" w:cs="Arial"/>
                <w:sz w:val="24"/>
                <w:szCs w:val="24"/>
              </w:rPr>
              <w:sym w:font="Wingdings" w:char="F0A8"/>
            </w:r>
            <w:r w:rsidRPr="00FA3F9C">
              <w:rPr>
                <w:rFonts w:ascii="Arial" w:hAnsi="Arial" w:cs="Arial"/>
                <w:sz w:val="24"/>
                <w:szCs w:val="24"/>
              </w:rPr>
              <w:t>No</w:t>
            </w:r>
          </w:p>
        </w:tc>
      </w:tr>
      <w:tr w:rsidR="00C3036D" w:rsidRPr="00FA3F9C" w14:paraId="203992F1" w14:textId="77777777" w:rsidTr="00AD0E8A">
        <w:tc>
          <w:tcPr>
            <w:tcW w:w="9108" w:type="dxa"/>
          </w:tcPr>
          <w:p w14:paraId="3ED88996" w14:textId="77777777" w:rsidR="00C3036D" w:rsidRPr="00FA3F9C" w:rsidRDefault="00C3036D" w:rsidP="007802BD">
            <w:pPr>
              <w:rPr>
                <w:rFonts w:ascii="Arial" w:hAnsi="Arial" w:cs="Arial"/>
                <w:sz w:val="24"/>
                <w:szCs w:val="24"/>
              </w:rPr>
            </w:pPr>
            <w:r w:rsidRPr="00FA3F9C">
              <w:rPr>
                <w:rFonts w:ascii="Arial" w:hAnsi="Arial" w:cs="Arial"/>
                <w:sz w:val="24"/>
                <w:szCs w:val="24"/>
              </w:rPr>
              <w:lastRenderedPageBreak/>
              <w:t xml:space="preserve">6.  Has the patient experienced failure to achieve all items in #2 above AFTER receiving 8 weeks of topical tacrolimus 0.1% w/ </w:t>
            </w:r>
            <w:proofErr w:type="spellStart"/>
            <w:r w:rsidRPr="00FA3F9C">
              <w:rPr>
                <w:rFonts w:ascii="Arial" w:hAnsi="Arial" w:cs="Arial"/>
                <w:sz w:val="24"/>
                <w:szCs w:val="24"/>
              </w:rPr>
              <w:t>pimecrolimus</w:t>
            </w:r>
            <w:proofErr w:type="spellEnd"/>
            <w:r w:rsidRPr="00FA3F9C">
              <w:rPr>
                <w:rFonts w:ascii="Arial" w:hAnsi="Arial" w:cs="Arial"/>
                <w:sz w:val="24"/>
                <w:szCs w:val="24"/>
              </w:rPr>
              <w:t xml:space="preserve"> 1% therapy?</w:t>
            </w:r>
          </w:p>
        </w:tc>
        <w:tc>
          <w:tcPr>
            <w:tcW w:w="1682" w:type="dxa"/>
          </w:tcPr>
          <w:p w14:paraId="1423106B" w14:textId="77777777" w:rsidR="00C3036D" w:rsidRPr="00FA3F9C" w:rsidRDefault="00C3036D" w:rsidP="006F623F">
            <w:pPr>
              <w:rPr>
                <w:rFonts w:ascii="Arial" w:hAnsi="Arial" w:cs="Arial"/>
                <w:sz w:val="24"/>
                <w:szCs w:val="24"/>
              </w:rPr>
            </w:pPr>
            <w:r w:rsidRPr="00FA3F9C">
              <w:rPr>
                <w:rFonts w:ascii="Arial" w:hAnsi="Arial" w:cs="Arial"/>
                <w:sz w:val="24"/>
                <w:szCs w:val="24"/>
              </w:rPr>
              <w:sym w:font="Wingdings" w:char="F0A8"/>
            </w:r>
            <w:r w:rsidRPr="00FA3F9C">
              <w:rPr>
                <w:rFonts w:ascii="Arial" w:hAnsi="Arial" w:cs="Arial"/>
                <w:sz w:val="24"/>
                <w:szCs w:val="24"/>
              </w:rPr>
              <w:t xml:space="preserve">Yes             </w:t>
            </w:r>
            <w:r w:rsidRPr="00FA3F9C">
              <w:rPr>
                <w:rFonts w:ascii="Arial" w:hAnsi="Arial" w:cs="Arial"/>
                <w:sz w:val="24"/>
                <w:szCs w:val="24"/>
              </w:rPr>
              <w:sym w:font="Wingdings" w:char="F0A8"/>
            </w:r>
            <w:r w:rsidRPr="00FA3F9C">
              <w:rPr>
                <w:rFonts w:ascii="Arial" w:hAnsi="Arial" w:cs="Arial"/>
                <w:sz w:val="24"/>
                <w:szCs w:val="24"/>
              </w:rPr>
              <w:t>No</w:t>
            </w:r>
          </w:p>
        </w:tc>
      </w:tr>
      <w:tr w:rsidR="00C3036D" w:rsidRPr="00FA3F9C" w14:paraId="6889132E" w14:textId="77777777" w:rsidTr="00AD0E8A">
        <w:tc>
          <w:tcPr>
            <w:tcW w:w="9108" w:type="dxa"/>
          </w:tcPr>
          <w:p w14:paraId="5BC6F89F" w14:textId="77777777" w:rsidR="00C3036D" w:rsidRPr="00FA3F9C" w:rsidRDefault="00C3036D" w:rsidP="005D624D">
            <w:pPr>
              <w:rPr>
                <w:rFonts w:ascii="Arial" w:hAnsi="Arial" w:cs="Arial"/>
                <w:sz w:val="24"/>
                <w:szCs w:val="24"/>
              </w:rPr>
            </w:pPr>
            <w:r w:rsidRPr="00FA3F9C">
              <w:rPr>
                <w:rFonts w:ascii="Arial" w:hAnsi="Arial" w:cs="Arial"/>
                <w:sz w:val="24"/>
                <w:szCs w:val="24"/>
              </w:rPr>
              <w:t xml:space="preserve">7.  Has the patient experienced failure to achieve all items in #2 above AFTER receiving 16 weeks of high-dose methotrexate (0.5mg/kg/w)? </w:t>
            </w:r>
          </w:p>
        </w:tc>
        <w:tc>
          <w:tcPr>
            <w:tcW w:w="1682" w:type="dxa"/>
          </w:tcPr>
          <w:p w14:paraId="7B3CDA21" w14:textId="77777777" w:rsidR="00C3036D" w:rsidRPr="00FA3F9C" w:rsidRDefault="00C3036D" w:rsidP="006F623F">
            <w:pPr>
              <w:rPr>
                <w:rFonts w:ascii="Arial" w:hAnsi="Arial" w:cs="Arial"/>
                <w:sz w:val="24"/>
                <w:szCs w:val="24"/>
              </w:rPr>
            </w:pPr>
            <w:r w:rsidRPr="00FA3F9C">
              <w:rPr>
                <w:rFonts w:ascii="Arial" w:hAnsi="Arial" w:cs="Arial"/>
                <w:sz w:val="24"/>
                <w:szCs w:val="24"/>
              </w:rPr>
              <w:sym w:font="Wingdings" w:char="F0A8"/>
            </w:r>
            <w:r w:rsidRPr="00FA3F9C">
              <w:rPr>
                <w:rFonts w:ascii="Arial" w:hAnsi="Arial" w:cs="Arial"/>
                <w:sz w:val="24"/>
                <w:szCs w:val="24"/>
              </w:rPr>
              <w:t xml:space="preserve">Yes             </w:t>
            </w:r>
            <w:r w:rsidRPr="00FA3F9C">
              <w:rPr>
                <w:rFonts w:ascii="Arial" w:hAnsi="Arial" w:cs="Arial"/>
                <w:sz w:val="24"/>
                <w:szCs w:val="24"/>
              </w:rPr>
              <w:sym w:font="Wingdings" w:char="F0A8"/>
            </w:r>
            <w:r w:rsidRPr="00FA3F9C">
              <w:rPr>
                <w:rFonts w:ascii="Arial" w:hAnsi="Arial" w:cs="Arial"/>
                <w:sz w:val="24"/>
                <w:szCs w:val="24"/>
              </w:rPr>
              <w:t>No</w:t>
            </w:r>
          </w:p>
        </w:tc>
      </w:tr>
      <w:tr w:rsidR="00C3036D" w:rsidRPr="00FA3F9C" w14:paraId="38D91AAE" w14:textId="77777777" w:rsidTr="00AD0E8A">
        <w:tc>
          <w:tcPr>
            <w:tcW w:w="9108" w:type="dxa"/>
          </w:tcPr>
          <w:p w14:paraId="6DB1BAD4" w14:textId="77777777" w:rsidR="00C3036D" w:rsidRPr="00FA3F9C" w:rsidRDefault="00C3036D" w:rsidP="005D624D">
            <w:pPr>
              <w:rPr>
                <w:rFonts w:ascii="Arial" w:hAnsi="Arial" w:cs="Arial"/>
                <w:sz w:val="24"/>
                <w:szCs w:val="24"/>
              </w:rPr>
            </w:pPr>
            <w:r w:rsidRPr="00FA3F9C">
              <w:rPr>
                <w:rFonts w:ascii="Arial" w:hAnsi="Arial" w:cs="Arial"/>
                <w:sz w:val="24"/>
                <w:szCs w:val="24"/>
              </w:rPr>
              <w:t>8.  Has the patient experienced failure to achieve all items in #2 above AFTER receiving 8 weeks of systemic cyclosporine (7.5mg/kg) therapy?</w:t>
            </w:r>
          </w:p>
        </w:tc>
        <w:tc>
          <w:tcPr>
            <w:tcW w:w="1682" w:type="dxa"/>
          </w:tcPr>
          <w:p w14:paraId="56593F2A" w14:textId="77777777" w:rsidR="00C3036D" w:rsidRPr="00FA3F9C" w:rsidRDefault="00C3036D" w:rsidP="006F623F">
            <w:pPr>
              <w:rPr>
                <w:rFonts w:ascii="Arial" w:hAnsi="Arial" w:cs="Arial"/>
                <w:sz w:val="24"/>
                <w:szCs w:val="24"/>
              </w:rPr>
            </w:pPr>
            <w:r w:rsidRPr="00FA3F9C">
              <w:rPr>
                <w:rFonts w:ascii="Arial" w:hAnsi="Arial" w:cs="Arial"/>
                <w:sz w:val="24"/>
                <w:szCs w:val="24"/>
              </w:rPr>
              <w:sym w:font="Wingdings" w:char="F0A8"/>
            </w:r>
            <w:r w:rsidRPr="00FA3F9C">
              <w:rPr>
                <w:rFonts w:ascii="Arial" w:hAnsi="Arial" w:cs="Arial"/>
                <w:sz w:val="24"/>
                <w:szCs w:val="24"/>
              </w:rPr>
              <w:t xml:space="preserve">Yes             </w:t>
            </w:r>
            <w:r w:rsidRPr="00FA3F9C">
              <w:rPr>
                <w:rFonts w:ascii="Arial" w:hAnsi="Arial" w:cs="Arial"/>
                <w:sz w:val="24"/>
                <w:szCs w:val="24"/>
              </w:rPr>
              <w:sym w:font="Wingdings" w:char="F0A8"/>
            </w:r>
            <w:r w:rsidRPr="00FA3F9C">
              <w:rPr>
                <w:rFonts w:ascii="Arial" w:hAnsi="Arial" w:cs="Arial"/>
                <w:sz w:val="24"/>
                <w:szCs w:val="24"/>
              </w:rPr>
              <w:t>No</w:t>
            </w:r>
          </w:p>
        </w:tc>
      </w:tr>
    </w:tbl>
    <w:p w14:paraId="7BE158AD" w14:textId="77777777" w:rsidR="00C3036D" w:rsidRPr="00FA3F9C" w:rsidRDefault="00C3036D" w:rsidP="006F623F">
      <w:pPr>
        <w:spacing w:after="0"/>
        <w:rPr>
          <w:rFonts w:ascii="Arial" w:hAnsi="Arial" w:cs="Arial"/>
          <w:sz w:val="24"/>
          <w:szCs w:val="24"/>
        </w:rPr>
      </w:pPr>
      <w:r w:rsidRPr="00FA3F9C">
        <w:rPr>
          <w:rFonts w:ascii="Arial" w:hAnsi="Arial" w:cs="Arial"/>
          <w:sz w:val="24"/>
          <w:szCs w:val="24"/>
        </w:rPr>
        <w:t>**If the patient has a concurrent diagnosis of lupus erythematosus or xeroderma pigmentosum, the requirement of UV light therapy is waived.</w:t>
      </w:r>
    </w:p>
    <w:p w14:paraId="0F13F264" w14:textId="77777777" w:rsidR="00C3036D" w:rsidRPr="00FA3F9C" w:rsidRDefault="00C3036D" w:rsidP="006F623F">
      <w:pPr>
        <w:spacing w:after="0"/>
        <w:rPr>
          <w:rFonts w:ascii="Arial" w:hAnsi="Arial" w:cs="Arial"/>
          <w:sz w:val="24"/>
          <w:szCs w:val="24"/>
        </w:rPr>
      </w:pPr>
      <w:r w:rsidRPr="00FA3F9C">
        <w:rPr>
          <w:rFonts w:ascii="Arial" w:hAnsi="Arial" w:cs="Arial"/>
          <w:sz w:val="24"/>
          <w:szCs w:val="24"/>
        </w:rPr>
        <w:t xml:space="preserve">If the answer to questions 1-8 is </w:t>
      </w:r>
      <w:r w:rsidRPr="00FA3F9C">
        <w:rPr>
          <w:rFonts w:ascii="Arial" w:hAnsi="Arial" w:cs="Arial"/>
          <w:b/>
          <w:sz w:val="24"/>
          <w:szCs w:val="24"/>
          <w:u w:val="single"/>
        </w:rPr>
        <w:t>yes</w:t>
      </w:r>
      <w:r w:rsidRPr="00FA3F9C">
        <w:rPr>
          <w:rFonts w:ascii="Arial" w:hAnsi="Arial" w:cs="Arial"/>
          <w:sz w:val="24"/>
          <w:szCs w:val="24"/>
        </w:rPr>
        <w:t>, then approve for 3 months.</w:t>
      </w:r>
    </w:p>
    <w:tbl>
      <w:tblPr>
        <w:tblStyle w:val="TableGrid"/>
        <w:tblW w:w="0" w:type="auto"/>
        <w:tblLook w:val="04A0" w:firstRow="1" w:lastRow="0" w:firstColumn="1" w:lastColumn="0" w:noHBand="0" w:noVBand="1"/>
      </w:tblPr>
      <w:tblGrid>
        <w:gridCol w:w="9108"/>
        <w:gridCol w:w="1682"/>
      </w:tblGrid>
      <w:tr w:rsidR="00C3036D" w:rsidRPr="00FA3F9C" w14:paraId="4B900AD6" w14:textId="77777777" w:rsidTr="005510D0">
        <w:tc>
          <w:tcPr>
            <w:tcW w:w="9108" w:type="dxa"/>
          </w:tcPr>
          <w:p w14:paraId="0B469E74" w14:textId="77777777" w:rsidR="00C3036D" w:rsidRPr="00FA3F9C" w:rsidRDefault="00C3036D" w:rsidP="005510D0">
            <w:pPr>
              <w:rPr>
                <w:rFonts w:ascii="Arial" w:hAnsi="Arial" w:cs="Arial"/>
                <w:b/>
                <w:sz w:val="24"/>
                <w:szCs w:val="24"/>
                <w:u w:val="single"/>
              </w:rPr>
            </w:pPr>
            <w:r w:rsidRPr="00FA3F9C">
              <w:rPr>
                <w:rFonts w:ascii="Arial" w:hAnsi="Arial" w:cs="Arial"/>
                <w:b/>
                <w:sz w:val="24"/>
                <w:szCs w:val="24"/>
                <w:u w:val="single"/>
              </w:rPr>
              <w:t>Continuation Criteria</w:t>
            </w:r>
          </w:p>
        </w:tc>
        <w:tc>
          <w:tcPr>
            <w:tcW w:w="1682" w:type="dxa"/>
          </w:tcPr>
          <w:p w14:paraId="2F397D7E" w14:textId="77777777" w:rsidR="00C3036D" w:rsidRPr="00FA3F9C" w:rsidRDefault="00C3036D" w:rsidP="00794A4B">
            <w:pPr>
              <w:jc w:val="center"/>
              <w:rPr>
                <w:rFonts w:ascii="Arial" w:hAnsi="Arial" w:cs="Arial"/>
                <w:b/>
                <w:sz w:val="24"/>
                <w:szCs w:val="24"/>
                <w:u w:val="single"/>
              </w:rPr>
            </w:pPr>
          </w:p>
        </w:tc>
      </w:tr>
      <w:tr w:rsidR="00C3036D" w:rsidRPr="00FA3F9C" w14:paraId="01BED6D0" w14:textId="77777777" w:rsidTr="005510D0">
        <w:trPr>
          <w:trHeight w:val="377"/>
        </w:trPr>
        <w:tc>
          <w:tcPr>
            <w:tcW w:w="9108" w:type="dxa"/>
          </w:tcPr>
          <w:p w14:paraId="6FFC9931" w14:textId="77777777" w:rsidR="00C3036D" w:rsidRPr="00FA3F9C" w:rsidRDefault="00C3036D" w:rsidP="00FA2D3F">
            <w:pPr>
              <w:rPr>
                <w:rFonts w:ascii="Arial" w:hAnsi="Arial" w:cs="Arial"/>
                <w:sz w:val="24"/>
                <w:szCs w:val="24"/>
              </w:rPr>
            </w:pPr>
            <w:r w:rsidRPr="00FA3F9C">
              <w:rPr>
                <w:rFonts w:ascii="Arial" w:hAnsi="Arial" w:cs="Arial"/>
                <w:sz w:val="24"/>
                <w:szCs w:val="24"/>
              </w:rPr>
              <w:t xml:space="preserve">1.  Has the patient achieved a 75% reduction in their psoriasis area-and-severity index (PASI) score since beginning </w:t>
            </w:r>
            <w:proofErr w:type="spellStart"/>
            <w:r w:rsidRPr="00FA3F9C">
              <w:rPr>
                <w:rFonts w:ascii="Arial" w:hAnsi="Arial" w:cs="Arial"/>
                <w:sz w:val="24"/>
                <w:szCs w:val="24"/>
              </w:rPr>
              <w:t>secukinumab</w:t>
            </w:r>
            <w:proofErr w:type="spellEnd"/>
            <w:r w:rsidRPr="00FA3F9C">
              <w:rPr>
                <w:rFonts w:ascii="Arial" w:hAnsi="Arial" w:cs="Arial"/>
                <w:sz w:val="24"/>
                <w:szCs w:val="24"/>
              </w:rPr>
              <w:t xml:space="preserve"> treatment?</w:t>
            </w:r>
          </w:p>
        </w:tc>
        <w:tc>
          <w:tcPr>
            <w:tcW w:w="1682" w:type="dxa"/>
          </w:tcPr>
          <w:p w14:paraId="488DEAC1" w14:textId="77777777" w:rsidR="00C3036D" w:rsidRPr="00FA3F9C" w:rsidRDefault="00C3036D" w:rsidP="00794A4B">
            <w:pPr>
              <w:rPr>
                <w:rFonts w:ascii="Arial" w:hAnsi="Arial" w:cs="Arial"/>
                <w:sz w:val="24"/>
                <w:szCs w:val="24"/>
              </w:rPr>
            </w:pPr>
            <w:r w:rsidRPr="00FA3F9C">
              <w:rPr>
                <w:rFonts w:ascii="Arial" w:hAnsi="Arial" w:cs="Arial"/>
                <w:sz w:val="24"/>
                <w:szCs w:val="24"/>
              </w:rPr>
              <w:sym w:font="Wingdings" w:char="F0A8"/>
            </w:r>
            <w:r w:rsidRPr="00FA3F9C">
              <w:rPr>
                <w:rFonts w:ascii="Arial" w:hAnsi="Arial" w:cs="Arial"/>
                <w:sz w:val="24"/>
                <w:szCs w:val="24"/>
              </w:rPr>
              <w:t xml:space="preserve">Yes             </w:t>
            </w:r>
            <w:r w:rsidRPr="00FA3F9C">
              <w:rPr>
                <w:rFonts w:ascii="Arial" w:hAnsi="Arial" w:cs="Arial"/>
                <w:sz w:val="24"/>
                <w:szCs w:val="24"/>
              </w:rPr>
              <w:sym w:font="Wingdings" w:char="F0A8"/>
            </w:r>
            <w:r w:rsidRPr="00FA3F9C">
              <w:rPr>
                <w:rFonts w:ascii="Arial" w:hAnsi="Arial" w:cs="Arial"/>
                <w:sz w:val="24"/>
                <w:szCs w:val="24"/>
              </w:rPr>
              <w:t>No</w:t>
            </w:r>
          </w:p>
          <w:p w14:paraId="0773D4FE" w14:textId="77777777" w:rsidR="00C3036D" w:rsidRPr="00FA3F9C" w:rsidRDefault="00C3036D" w:rsidP="00794A4B">
            <w:pPr>
              <w:rPr>
                <w:rFonts w:ascii="Arial" w:hAnsi="Arial" w:cs="Arial"/>
                <w:sz w:val="24"/>
                <w:szCs w:val="24"/>
              </w:rPr>
            </w:pPr>
          </w:p>
        </w:tc>
      </w:tr>
    </w:tbl>
    <w:p w14:paraId="1143A86E" w14:textId="77777777" w:rsidR="00C3036D" w:rsidRPr="00FA3F9C" w:rsidRDefault="00C3036D" w:rsidP="006F623F">
      <w:pPr>
        <w:spacing w:after="0"/>
        <w:rPr>
          <w:rFonts w:ascii="Arial" w:hAnsi="Arial" w:cs="Arial"/>
          <w:sz w:val="24"/>
          <w:szCs w:val="24"/>
        </w:rPr>
      </w:pPr>
      <w:r w:rsidRPr="00FA3F9C">
        <w:rPr>
          <w:rFonts w:ascii="Arial" w:hAnsi="Arial" w:cs="Arial"/>
          <w:sz w:val="24"/>
          <w:szCs w:val="24"/>
        </w:rPr>
        <w:t xml:space="preserve">If </w:t>
      </w:r>
      <w:r w:rsidRPr="00FA3F9C">
        <w:rPr>
          <w:rFonts w:ascii="Arial" w:hAnsi="Arial" w:cs="Arial"/>
          <w:b/>
          <w:sz w:val="24"/>
          <w:szCs w:val="24"/>
          <w:u w:val="single"/>
        </w:rPr>
        <w:t>yes</w:t>
      </w:r>
      <w:r w:rsidRPr="00FA3F9C">
        <w:rPr>
          <w:rFonts w:ascii="Arial" w:hAnsi="Arial" w:cs="Arial"/>
          <w:sz w:val="24"/>
          <w:szCs w:val="24"/>
        </w:rPr>
        <w:t>, approve for 12 months.</w:t>
      </w:r>
    </w:p>
    <w:tbl>
      <w:tblPr>
        <w:tblStyle w:val="TableGrid"/>
        <w:tblW w:w="0" w:type="auto"/>
        <w:shd w:val="clear" w:color="auto" w:fill="BFBFBF" w:themeFill="background1" w:themeFillShade="BF"/>
        <w:tblLook w:val="04A0" w:firstRow="1" w:lastRow="0" w:firstColumn="1" w:lastColumn="0" w:noHBand="0" w:noVBand="1"/>
      </w:tblPr>
      <w:tblGrid>
        <w:gridCol w:w="2538"/>
        <w:gridCol w:w="8280"/>
      </w:tblGrid>
      <w:tr w:rsidR="00C3036D" w:rsidRPr="00FA3F9C" w14:paraId="384F974B" w14:textId="77777777" w:rsidTr="005D624D">
        <w:tc>
          <w:tcPr>
            <w:tcW w:w="10818" w:type="dxa"/>
            <w:gridSpan w:val="2"/>
            <w:shd w:val="clear" w:color="auto" w:fill="BFBFBF" w:themeFill="background1" w:themeFillShade="BF"/>
          </w:tcPr>
          <w:p w14:paraId="6BA146A6" w14:textId="77777777" w:rsidR="00C3036D" w:rsidRPr="00FA3F9C" w:rsidRDefault="00C3036D" w:rsidP="005510D0">
            <w:pPr>
              <w:rPr>
                <w:rFonts w:ascii="Arial" w:hAnsi="Arial" w:cs="Arial"/>
                <w:sz w:val="24"/>
                <w:szCs w:val="24"/>
              </w:rPr>
            </w:pPr>
            <w:r w:rsidRPr="00FA3F9C">
              <w:rPr>
                <w:rFonts w:ascii="Arial" w:hAnsi="Arial" w:cs="Arial"/>
                <w:sz w:val="24"/>
                <w:szCs w:val="24"/>
              </w:rPr>
              <w:t xml:space="preserve">For Plaque Psoriasis, </w:t>
            </w:r>
            <w:proofErr w:type="spellStart"/>
            <w:r w:rsidRPr="00FA3F9C">
              <w:rPr>
                <w:rFonts w:ascii="Arial" w:hAnsi="Arial" w:cs="Arial"/>
                <w:sz w:val="24"/>
                <w:szCs w:val="24"/>
              </w:rPr>
              <w:t>secukinumab</w:t>
            </w:r>
            <w:proofErr w:type="spellEnd"/>
            <w:r w:rsidRPr="00FA3F9C">
              <w:rPr>
                <w:rFonts w:ascii="Arial" w:hAnsi="Arial" w:cs="Arial"/>
                <w:sz w:val="24"/>
                <w:szCs w:val="24"/>
              </w:rPr>
              <w:t xml:space="preserve"> is dosed 300mg </w:t>
            </w:r>
            <w:proofErr w:type="spellStart"/>
            <w:r w:rsidRPr="00FA3F9C">
              <w:rPr>
                <w:rFonts w:ascii="Arial" w:hAnsi="Arial" w:cs="Arial"/>
                <w:sz w:val="24"/>
                <w:szCs w:val="24"/>
              </w:rPr>
              <w:t>subq</w:t>
            </w:r>
            <w:proofErr w:type="spellEnd"/>
            <w:r w:rsidRPr="00FA3F9C">
              <w:rPr>
                <w:rFonts w:ascii="Arial" w:hAnsi="Arial" w:cs="Arial"/>
                <w:sz w:val="24"/>
                <w:szCs w:val="24"/>
              </w:rPr>
              <w:t xml:space="preserve"> once weekly at weeks 0, 1, 2, 3, and 4 followed by 300mg every 4 weeks. Some patients may only require 150mg/dose.</w:t>
            </w:r>
          </w:p>
          <w:p w14:paraId="2520321C" w14:textId="77777777" w:rsidR="00C3036D" w:rsidRPr="00FA3F9C" w:rsidRDefault="00C3036D" w:rsidP="005510D0">
            <w:pPr>
              <w:rPr>
                <w:rFonts w:ascii="Arial" w:hAnsi="Arial" w:cs="Arial"/>
                <w:sz w:val="24"/>
                <w:szCs w:val="24"/>
              </w:rPr>
            </w:pPr>
            <w:r w:rsidRPr="00FA3F9C">
              <w:rPr>
                <w:rFonts w:ascii="Arial" w:hAnsi="Arial" w:cs="Arial"/>
                <w:b/>
                <w:sz w:val="24"/>
                <w:szCs w:val="24"/>
                <w:u w:val="single"/>
              </w:rPr>
              <w:t>Initial approval</w:t>
            </w:r>
            <w:r w:rsidRPr="00FA3F9C">
              <w:rPr>
                <w:rFonts w:ascii="Arial" w:hAnsi="Arial" w:cs="Arial"/>
                <w:sz w:val="24"/>
                <w:szCs w:val="24"/>
              </w:rPr>
              <w:t>: 7 doses/12 weeks</w:t>
            </w:r>
          </w:p>
          <w:p w14:paraId="5F2F33E9" w14:textId="77777777" w:rsidR="00C3036D" w:rsidRPr="00FA3F9C" w:rsidRDefault="00C3036D" w:rsidP="005510D0">
            <w:pPr>
              <w:rPr>
                <w:rFonts w:ascii="Arial" w:hAnsi="Arial" w:cs="Arial"/>
                <w:sz w:val="24"/>
                <w:szCs w:val="24"/>
              </w:rPr>
            </w:pPr>
            <w:r w:rsidRPr="00FA3F9C">
              <w:rPr>
                <w:rFonts w:ascii="Arial" w:hAnsi="Arial" w:cs="Arial"/>
                <w:b/>
                <w:sz w:val="24"/>
                <w:szCs w:val="24"/>
                <w:u w:val="single"/>
              </w:rPr>
              <w:t>Continuation approval:</w:t>
            </w:r>
            <w:r w:rsidRPr="00FA3F9C">
              <w:rPr>
                <w:rFonts w:ascii="Arial" w:hAnsi="Arial" w:cs="Arial"/>
                <w:sz w:val="24"/>
                <w:szCs w:val="24"/>
              </w:rPr>
              <w:t xml:space="preserve"> 13 doses/52 weeks</w:t>
            </w:r>
          </w:p>
          <w:p w14:paraId="30E76662" w14:textId="77777777" w:rsidR="00C3036D" w:rsidRPr="00FA3F9C" w:rsidRDefault="00C3036D" w:rsidP="005510D0">
            <w:pPr>
              <w:rPr>
                <w:rFonts w:ascii="Arial" w:hAnsi="Arial" w:cs="Arial"/>
                <w:sz w:val="24"/>
                <w:szCs w:val="24"/>
              </w:rPr>
            </w:pPr>
            <w:r w:rsidRPr="00FA3F9C">
              <w:rPr>
                <w:rFonts w:ascii="Arial" w:hAnsi="Arial" w:cs="Arial"/>
                <w:sz w:val="24"/>
                <w:szCs w:val="24"/>
              </w:rPr>
              <w:t>Special dosing considerations:  Some patients may only require 150mg/dose.</w:t>
            </w:r>
          </w:p>
        </w:tc>
      </w:tr>
      <w:tr w:rsidR="00C3036D" w:rsidRPr="00FA3F9C" w14:paraId="3595D867" w14:textId="77777777" w:rsidTr="005D624D">
        <w:tblPrEx>
          <w:shd w:val="clear" w:color="auto" w:fill="auto"/>
        </w:tblPrEx>
        <w:tc>
          <w:tcPr>
            <w:tcW w:w="2538" w:type="dxa"/>
          </w:tcPr>
          <w:p w14:paraId="606BDBFB" w14:textId="77777777" w:rsidR="00C3036D" w:rsidRPr="00FA3F9C" w:rsidRDefault="00C3036D" w:rsidP="00794A4B">
            <w:pPr>
              <w:rPr>
                <w:rFonts w:ascii="Arial" w:hAnsi="Arial" w:cs="Arial"/>
                <w:b/>
                <w:sz w:val="24"/>
                <w:szCs w:val="24"/>
              </w:rPr>
            </w:pPr>
            <w:r w:rsidRPr="00FA3F9C">
              <w:rPr>
                <w:rFonts w:ascii="Arial" w:hAnsi="Arial" w:cs="Arial"/>
                <w:b/>
                <w:sz w:val="24"/>
                <w:szCs w:val="24"/>
              </w:rPr>
              <w:t>PASI</w:t>
            </w:r>
          </w:p>
        </w:tc>
        <w:tc>
          <w:tcPr>
            <w:tcW w:w="8280" w:type="dxa"/>
          </w:tcPr>
          <w:p w14:paraId="24E30DD1" w14:textId="77777777" w:rsidR="00C3036D" w:rsidRPr="00FA3F9C" w:rsidRDefault="00C3036D" w:rsidP="00794A4B">
            <w:pPr>
              <w:rPr>
                <w:rFonts w:ascii="Arial" w:hAnsi="Arial" w:cs="Arial"/>
                <w:sz w:val="24"/>
                <w:szCs w:val="24"/>
              </w:rPr>
            </w:pPr>
            <w:r w:rsidRPr="00FA3F9C">
              <w:rPr>
                <w:rFonts w:ascii="Arial" w:hAnsi="Arial" w:cs="Arial"/>
                <w:sz w:val="24"/>
                <w:szCs w:val="24"/>
              </w:rPr>
              <w:t>Psoriasis Area Severity Index. Used to express the severity of psoriasis based on a combination of erythema, induration, and desquamation over the percentage of affected body area. Scale ranges from 0 (no disease) to 72 (maximal disease).</w:t>
            </w:r>
          </w:p>
        </w:tc>
      </w:tr>
      <w:tr w:rsidR="00C3036D" w:rsidRPr="00FA3F9C" w14:paraId="1A3021F9" w14:textId="77777777" w:rsidTr="005D624D">
        <w:tblPrEx>
          <w:shd w:val="clear" w:color="auto" w:fill="auto"/>
        </w:tblPrEx>
        <w:tc>
          <w:tcPr>
            <w:tcW w:w="2538" w:type="dxa"/>
          </w:tcPr>
          <w:p w14:paraId="509BBA37" w14:textId="77777777" w:rsidR="00C3036D" w:rsidRPr="00FA3F9C" w:rsidRDefault="00C3036D" w:rsidP="00794A4B">
            <w:pPr>
              <w:rPr>
                <w:rFonts w:ascii="Arial" w:hAnsi="Arial" w:cs="Arial"/>
                <w:b/>
                <w:sz w:val="24"/>
                <w:szCs w:val="24"/>
              </w:rPr>
            </w:pPr>
            <w:r w:rsidRPr="00FA3F9C">
              <w:rPr>
                <w:rFonts w:ascii="Arial" w:hAnsi="Arial" w:cs="Arial"/>
                <w:b/>
                <w:sz w:val="24"/>
                <w:szCs w:val="24"/>
              </w:rPr>
              <w:t>Modified Investigator’s Global Assessment</w:t>
            </w:r>
          </w:p>
        </w:tc>
        <w:tc>
          <w:tcPr>
            <w:tcW w:w="8280" w:type="dxa"/>
          </w:tcPr>
          <w:p w14:paraId="01439ECF" w14:textId="77777777" w:rsidR="00C3036D" w:rsidRPr="00FA3F9C" w:rsidRDefault="00C3036D" w:rsidP="00794A4B">
            <w:pPr>
              <w:rPr>
                <w:rFonts w:ascii="Arial" w:hAnsi="Arial" w:cs="Arial"/>
                <w:sz w:val="24"/>
                <w:szCs w:val="24"/>
              </w:rPr>
            </w:pPr>
            <w:r w:rsidRPr="00FA3F9C">
              <w:rPr>
                <w:rFonts w:ascii="Arial" w:hAnsi="Arial" w:cs="Arial"/>
                <w:sz w:val="24"/>
                <w:szCs w:val="24"/>
              </w:rPr>
              <w:t>Scale of 0 to 4 with higher scores indicating more severe disease.</w:t>
            </w:r>
          </w:p>
        </w:tc>
      </w:tr>
    </w:tbl>
    <w:p w14:paraId="43941ED5" w14:textId="77777777" w:rsidR="00C3036D" w:rsidRPr="00FA3F9C" w:rsidRDefault="00C3036D" w:rsidP="006F623F">
      <w:pPr>
        <w:spacing w:after="0"/>
        <w:rPr>
          <w:rFonts w:ascii="Arial" w:hAnsi="Arial" w:cs="Arial"/>
          <w:sz w:val="24"/>
          <w:szCs w:val="24"/>
        </w:rPr>
      </w:pPr>
    </w:p>
    <w:p w14:paraId="246F9A66" w14:textId="77777777" w:rsidR="00C3036D" w:rsidRPr="00FA3F9C" w:rsidRDefault="00C3036D" w:rsidP="006F623F">
      <w:pPr>
        <w:spacing w:after="0"/>
        <w:rPr>
          <w:rFonts w:ascii="Arial" w:hAnsi="Arial" w:cs="Arial"/>
          <w:sz w:val="24"/>
          <w:szCs w:val="24"/>
        </w:rPr>
      </w:pPr>
    </w:p>
    <w:p w14:paraId="68830216" w14:textId="77777777" w:rsidR="00C3036D" w:rsidRPr="00FA3F9C" w:rsidRDefault="00C3036D" w:rsidP="006F623F">
      <w:pPr>
        <w:spacing w:after="0"/>
        <w:rPr>
          <w:rFonts w:ascii="Arial" w:hAnsi="Arial" w:cs="Arial"/>
          <w:sz w:val="24"/>
          <w:szCs w:val="24"/>
        </w:rPr>
      </w:pPr>
    </w:p>
    <w:p w14:paraId="04F3E754" w14:textId="77777777" w:rsidR="00C3036D" w:rsidRPr="00FA3F9C" w:rsidRDefault="00C3036D" w:rsidP="006F623F">
      <w:pPr>
        <w:spacing w:after="0"/>
        <w:rPr>
          <w:rFonts w:ascii="Arial" w:hAnsi="Arial" w:cs="Arial"/>
          <w:sz w:val="24"/>
          <w:szCs w:val="24"/>
        </w:rPr>
      </w:pPr>
    </w:p>
    <w:tbl>
      <w:tblPr>
        <w:tblStyle w:val="TableGrid"/>
        <w:tblW w:w="0" w:type="auto"/>
        <w:tblLook w:val="04A0" w:firstRow="1" w:lastRow="0" w:firstColumn="1" w:lastColumn="0" w:noHBand="0" w:noVBand="1"/>
      </w:tblPr>
      <w:tblGrid>
        <w:gridCol w:w="10818"/>
      </w:tblGrid>
      <w:tr w:rsidR="00C3036D" w:rsidRPr="00FA3F9C" w14:paraId="01FBE92F" w14:textId="77777777" w:rsidTr="006756E9">
        <w:tc>
          <w:tcPr>
            <w:tcW w:w="10818" w:type="dxa"/>
            <w:shd w:val="clear" w:color="auto" w:fill="000000"/>
          </w:tcPr>
          <w:p w14:paraId="1BFE331F" w14:textId="77777777" w:rsidR="00C3036D" w:rsidRPr="00FA3F9C" w:rsidRDefault="00C3036D" w:rsidP="006F623F">
            <w:pPr>
              <w:rPr>
                <w:rFonts w:ascii="Arial" w:hAnsi="Arial" w:cs="Arial"/>
                <w:sz w:val="24"/>
                <w:szCs w:val="24"/>
              </w:rPr>
            </w:pPr>
            <w:r w:rsidRPr="00FA3F9C">
              <w:rPr>
                <w:rFonts w:ascii="Arial" w:hAnsi="Arial" w:cs="Arial"/>
                <w:sz w:val="24"/>
                <w:szCs w:val="24"/>
              </w:rPr>
              <w:t>Criteria for Psoriatic Arthritis</w:t>
            </w:r>
          </w:p>
        </w:tc>
      </w:tr>
      <w:tr w:rsidR="00C3036D" w:rsidRPr="00FA3F9C" w14:paraId="3E70DF7F" w14:textId="77777777" w:rsidTr="006756E9">
        <w:tc>
          <w:tcPr>
            <w:tcW w:w="10818" w:type="dxa"/>
          </w:tcPr>
          <w:p w14:paraId="382D570A" w14:textId="77777777" w:rsidR="00C3036D" w:rsidRPr="00FA3F9C" w:rsidRDefault="00C3036D" w:rsidP="006F623F">
            <w:pPr>
              <w:rPr>
                <w:rFonts w:ascii="Arial" w:hAnsi="Arial" w:cs="Arial"/>
                <w:sz w:val="24"/>
                <w:szCs w:val="24"/>
              </w:rPr>
            </w:pPr>
            <w:r w:rsidRPr="00FA3F9C">
              <w:rPr>
                <w:rFonts w:ascii="Arial" w:hAnsi="Arial" w:cs="Arial"/>
                <w:sz w:val="24"/>
                <w:szCs w:val="24"/>
              </w:rPr>
              <w:t>1.  The patient must have tried and failed Humira and Enbrel.</w:t>
            </w:r>
          </w:p>
        </w:tc>
      </w:tr>
      <w:tr w:rsidR="00C3036D" w:rsidRPr="00FA3F9C" w14:paraId="6AB77BC9" w14:textId="77777777" w:rsidTr="006756E9">
        <w:tc>
          <w:tcPr>
            <w:tcW w:w="10818" w:type="dxa"/>
          </w:tcPr>
          <w:p w14:paraId="0B3AD2D9" w14:textId="77777777" w:rsidR="00C3036D" w:rsidRPr="00FA3F9C" w:rsidRDefault="00C3036D" w:rsidP="005510D0">
            <w:pPr>
              <w:rPr>
                <w:rFonts w:ascii="Arial" w:hAnsi="Arial" w:cs="Arial"/>
                <w:sz w:val="24"/>
                <w:szCs w:val="24"/>
              </w:rPr>
            </w:pPr>
            <w:r w:rsidRPr="00FA3F9C">
              <w:rPr>
                <w:rFonts w:ascii="Arial" w:hAnsi="Arial" w:cs="Arial"/>
                <w:sz w:val="24"/>
                <w:szCs w:val="24"/>
              </w:rPr>
              <w:lastRenderedPageBreak/>
              <w:t xml:space="preserve">2.  Patient must have active disease, defined as </w:t>
            </w:r>
            <w:r w:rsidRPr="00FA3F9C">
              <w:rPr>
                <w:rFonts w:ascii="Arial" w:hAnsi="Arial" w:cs="Arial"/>
                <w:sz w:val="24"/>
                <w:szCs w:val="24"/>
                <w:u w:val="single"/>
              </w:rPr>
              <w:t>&gt;</w:t>
            </w:r>
            <w:r w:rsidRPr="00FA3F9C">
              <w:rPr>
                <w:rFonts w:ascii="Arial" w:hAnsi="Arial" w:cs="Arial"/>
                <w:sz w:val="24"/>
                <w:szCs w:val="24"/>
              </w:rPr>
              <w:t xml:space="preserve">3 tender joints AND </w:t>
            </w:r>
            <w:r w:rsidRPr="00FA3F9C">
              <w:rPr>
                <w:rFonts w:ascii="Arial" w:hAnsi="Arial" w:cs="Arial"/>
                <w:sz w:val="24"/>
                <w:szCs w:val="24"/>
                <w:u w:val="single"/>
              </w:rPr>
              <w:t>&gt;</w:t>
            </w:r>
            <w:r w:rsidRPr="00FA3F9C">
              <w:rPr>
                <w:rFonts w:ascii="Arial" w:hAnsi="Arial" w:cs="Arial"/>
                <w:sz w:val="24"/>
                <w:szCs w:val="24"/>
              </w:rPr>
              <w:t>3 swollen joints, despite previous NSAIDs, DMARDs, or TNF inhibitors.</w:t>
            </w:r>
          </w:p>
        </w:tc>
      </w:tr>
      <w:tr w:rsidR="00C3036D" w:rsidRPr="00FA3F9C" w14:paraId="65213369" w14:textId="77777777" w:rsidTr="006756E9">
        <w:tc>
          <w:tcPr>
            <w:tcW w:w="10818" w:type="dxa"/>
          </w:tcPr>
          <w:p w14:paraId="1C14CDA0" w14:textId="77777777" w:rsidR="00C3036D" w:rsidRPr="00FA3F9C" w:rsidRDefault="00C3036D" w:rsidP="006F623F">
            <w:pPr>
              <w:rPr>
                <w:rFonts w:ascii="Arial" w:hAnsi="Arial" w:cs="Arial"/>
                <w:sz w:val="24"/>
                <w:szCs w:val="24"/>
              </w:rPr>
            </w:pPr>
            <w:r w:rsidRPr="00FA3F9C">
              <w:rPr>
                <w:rFonts w:ascii="Arial" w:hAnsi="Arial" w:cs="Arial"/>
                <w:sz w:val="24"/>
                <w:szCs w:val="24"/>
              </w:rPr>
              <w:t>3.  Patient must be age 18 or older.</w:t>
            </w:r>
          </w:p>
        </w:tc>
      </w:tr>
      <w:tr w:rsidR="00C3036D" w:rsidRPr="00FA3F9C" w14:paraId="2E4A4918" w14:textId="77777777" w:rsidTr="006756E9">
        <w:tc>
          <w:tcPr>
            <w:tcW w:w="10818" w:type="dxa"/>
            <w:tcBorders>
              <w:bottom w:val="single" w:sz="4" w:space="0" w:color="auto"/>
            </w:tcBorders>
          </w:tcPr>
          <w:p w14:paraId="45BE3D81" w14:textId="77777777" w:rsidR="00C3036D" w:rsidRPr="00FA3F9C" w:rsidRDefault="00C3036D" w:rsidP="006F623F">
            <w:pPr>
              <w:rPr>
                <w:rFonts w:ascii="Arial" w:hAnsi="Arial" w:cs="Arial"/>
                <w:sz w:val="24"/>
                <w:szCs w:val="24"/>
              </w:rPr>
            </w:pPr>
            <w:r w:rsidRPr="00FA3F9C">
              <w:rPr>
                <w:rFonts w:ascii="Arial" w:hAnsi="Arial" w:cs="Arial"/>
                <w:sz w:val="24"/>
                <w:szCs w:val="24"/>
              </w:rPr>
              <w:t>If the above are true, PA may be approved for 4 months.</w:t>
            </w:r>
          </w:p>
        </w:tc>
      </w:tr>
      <w:tr w:rsidR="00C3036D" w:rsidRPr="00FA3F9C" w14:paraId="579733AB" w14:textId="77777777" w:rsidTr="006756E9">
        <w:tc>
          <w:tcPr>
            <w:tcW w:w="10818" w:type="dxa"/>
            <w:tcBorders>
              <w:bottom w:val="single" w:sz="4" w:space="0" w:color="auto"/>
            </w:tcBorders>
            <w:shd w:val="clear" w:color="auto" w:fill="D9D9D9"/>
          </w:tcPr>
          <w:p w14:paraId="72E2DF47" w14:textId="77777777" w:rsidR="00C3036D" w:rsidRPr="00FA3F9C" w:rsidRDefault="00C3036D" w:rsidP="006756E9">
            <w:pPr>
              <w:rPr>
                <w:rFonts w:ascii="Arial" w:hAnsi="Arial" w:cs="Arial"/>
                <w:sz w:val="24"/>
                <w:szCs w:val="24"/>
              </w:rPr>
            </w:pPr>
            <w:r w:rsidRPr="00FA3F9C">
              <w:rPr>
                <w:rFonts w:ascii="Arial" w:hAnsi="Arial" w:cs="Arial"/>
                <w:sz w:val="24"/>
                <w:szCs w:val="24"/>
              </w:rPr>
              <w:t xml:space="preserve">Dose for Psoriatic Arthritis is </w:t>
            </w:r>
          </w:p>
          <w:p w14:paraId="049CA487" w14:textId="77777777" w:rsidR="00C3036D" w:rsidRPr="00FA3F9C" w:rsidRDefault="00C3036D" w:rsidP="00FC1E85">
            <w:pPr>
              <w:pStyle w:val="ListParagraph"/>
              <w:numPr>
                <w:ilvl w:val="0"/>
                <w:numId w:val="469"/>
              </w:numPr>
              <w:rPr>
                <w:rFonts w:ascii="Arial" w:hAnsi="Arial" w:cs="Arial"/>
                <w:sz w:val="24"/>
                <w:szCs w:val="24"/>
              </w:rPr>
            </w:pPr>
            <w:r w:rsidRPr="00FA3F9C">
              <w:rPr>
                <w:rFonts w:ascii="Arial" w:hAnsi="Arial" w:cs="Arial"/>
                <w:sz w:val="24"/>
                <w:szCs w:val="24"/>
              </w:rPr>
              <w:t>With a loading dose, 150mg at weeks 0, 1, 2, 3, and 4 and every 4 weeks thereafter.</w:t>
            </w:r>
          </w:p>
          <w:p w14:paraId="08607ABB" w14:textId="77777777" w:rsidR="00C3036D" w:rsidRPr="00FA3F9C" w:rsidRDefault="00C3036D" w:rsidP="00FC1E85">
            <w:pPr>
              <w:pStyle w:val="ListParagraph"/>
              <w:numPr>
                <w:ilvl w:val="0"/>
                <w:numId w:val="469"/>
              </w:numPr>
              <w:rPr>
                <w:rFonts w:ascii="Arial" w:hAnsi="Arial" w:cs="Arial"/>
                <w:sz w:val="24"/>
                <w:szCs w:val="24"/>
              </w:rPr>
            </w:pPr>
            <w:r w:rsidRPr="00FA3F9C">
              <w:rPr>
                <w:rFonts w:ascii="Arial" w:hAnsi="Arial" w:cs="Arial"/>
                <w:sz w:val="24"/>
                <w:szCs w:val="24"/>
              </w:rPr>
              <w:t>Without a loading dose, 150mg q4w.</w:t>
            </w:r>
          </w:p>
          <w:p w14:paraId="7851076F" w14:textId="77777777" w:rsidR="00C3036D" w:rsidRPr="00FA3F9C" w:rsidRDefault="00C3036D" w:rsidP="00FC1E85">
            <w:pPr>
              <w:pStyle w:val="ListParagraph"/>
              <w:numPr>
                <w:ilvl w:val="0"/>
                <w:numId w:val="469"/>
              </w:numPr>
              <w:rPr>
                <w:rFonts w:ascii="Arial" w:hAnsi="Arial" w:cs="Arial"/>
                <w:sz w:val="24"/>
                <w:szCs w:val="24"/>
              </w:rPr>
            </w:pPr>
            <w:r w:rsidRPr="00FA3F9C">
              <w:rPr>
                <w:rFonts w:ascii="Arial" w:hAnsi="Arial" w:cs="Arial"/>
                <w:sz w:val="24"/>
                <w:szCs w:val="24"/>
              </w:rPr>
              <w:t>May increase to 300mg</w:t>
            </w:r>
          </w:p>
        </w:tc>
      </w:tr>
      <w:tr w:rsidR="00C3036D" w:rsidRPr="00FA3F9C" w14:paraId="256DC1C7" w14:textId="77777777" w:rsidTr="006756E9">
        <w:tc>
          <w:tcPr>
            <w:tcW w:w="10818" w:type="dxa"/>
            <w:shd w:val="clear" w:color="auto" w:fill="auto"/>
          </w:tcPr>
          <w:p w14:paraId="5EA61B2F" w14:textId="77777777" w:rsidR="00C3036D" w:rsidRPr="00FA3F9C" w:rsidRDefault="00C3036D" w:rsidP="006756E9">
            <w:pPr>
              <w:rPr>
                <w:rFonts w:ascii="Arial" w:hAnsi="Arial" w:cs="Arial"/>
                <w:b/>
                <w:sz w:val="24"/>
                <w:szCs w:val="24"/>
                <w:u w:val="single"/>
              </w:rPr>
            </w:pPr>
            <w:r w:rsidRPr="00FA3F9C">
              <w:rPr>
                <w:rFonts w:ascii="Arial" w:hAnsi="Arial" w:cs="Arial"/>
                <w:b/>
                <w:sz w:val="24"/>
                <w:szCs w:val="24"/>
                <w:u w:val="single"/>
              </w:rPr>
              <w:t>Continuation Criteria</w:t>
            </w:r>
          </w:p>
        </w:tc>
      </w:tr>
      <w:tr w:rsidR="00C3036D" w:rsidRPr="00FA3F9C" w14:paraId="35431760" w14:textId="77777777" w:rsidTr="006756E9">
        <w:tc>
          <w:tcPr>
            <w:tcW w:w="10818" w:type="dxa"/>
            <w:shd w:val="clear" w:color="auto" w:fill="auto"/>
          </w:tcPr>
          <w:p w14:paraId="7EAFB1C0" w14:textId="77777777" w:rsidR="00C3036D" w:rsidRPr="00FA3F9C" w:rsidRDefault="00C3036D" w:rsidP="006756E9">
            <w:pPr>
              <w:rPr>
                <w:rFonts w:ascii="Arial" w:hAnsi="Arial" w:cs="Arial"/>
                <w:sz w:val="24"/>
                <w:szCs w:val="24"/>
              </w:rPr>
            </w:pPr>
            <w:r w:rsidRPr="00FA3F9C">
              <w:rPr>
                <w:rFonts w:ascii="Arial" w:hAnsi="Arial" w:cs="Arial"/>
                <w:sz w:val="24"/>
                <w:szCs w:val="24"/>
              </w:rPr>
              <w:t>1.  In the previous 4 months, the patient must have achieved at least a 20% improvement in the number of tender joints, in the number of swollen joints.  If so, approve PA for 12 months.</w:t>
            </w:r>
          </w:p>
        </w:tc>
      </w:tr>
      <w:tr w:rsidR="00C3036D" w:rsidRPr="00FA3F9C" w14:paraId="7EC8B9BD" w14:textId="77777777" w:rsidTr="006756E9">
        <w:tc>
          <w:tcPr>
            <w:tcW w:w="10818" w:type="dxa"/>
            <w:shd w:val="clear" w:color="auto" w:fill="auto"/>
          </w:tcPr>
          <w:p w14:paraId="69E484D4" w14:textId="77777777" w:rsidR="00C3036D" w:rsidRPr="00FA3F9C" w:rsidRDefault="00C3036D" w:rsidP="006756E9">
            <w:pPr>
              <w:rPr>
                <w:rFonts w:ascii="Arial" w:hAnsi="Arial" w:cs="Arial"/>
                <w:sz w:val="24"/>
                <w:szCs w:val="24"/>
              </w:rPr>
            </w:pPr>
            <w:r w:rsidRPr="00FA3F9C">
              <w:rPr>
                <w:rFonts w:ascii="Arial" w:hAnsi="Arial" w:cs="Arial"/>
                <w:sz w:val="24"/>
                <w:szCs w:val="24"/>
              </w:rPr>
              <w:t xml:space="preserve">2.  After the first </w:t>
            </w:r>
            <w:proofErr w:type="gramStart"/>
            <w:r w:rsidRPr="00FA3F9C">
              <w:rPr>
                <w:rFonts w:ascii="Arial" w:hAnsi="Arial" w:cs="Arial"/>
                <w:sz w:val="24"/>
                <w:szCs w:val="24"/>
              </w:rPr>
              <w:t>12 month</w:t>
            </w:r>
            <w:proofErr w:type="gramEnd"/>
            <w:r w:rsidRPr="00FA3F9C">
              <w:rPr>
                <w:rFonts w:ascii="Arial" w:hAnsi="Arial" w:cs="Arial"/>
                <w:sz w:val="24"/>
                <w:szCs w:val="24"/>
              </w:rPr>
              <w:t xml:space="preserve"> approval, the patient must maintain the improvement of 20% from baseline to keep access to recurring 12 month approvals.</w:t>
            </w:r>
          </w:p>
        </w:tc>
      </w:tr>
    </w:tbl>
    <w:p w14:paraId="758A8A1B" w14:textId="77777777" w:rsidR="00C3036D" w:rsidRPr="00FA3F9C" w:rsidRDefault="00C3036D" w:rsidP="006F623F">
      <w:pPr>
        <w:spacing w:after="0"/>
        <w:rPr>
          <w:rFonts w:ascii="Arial" w:hAnsi="Arial" w:cs="Arial"/>
          <w:sz w:val="24"/>
          <w:szCs w:val="24"/>
        </w:rPr>
      </w:pPr>
    </w:p>
    <w:p w14:paraId="5EE13727" w14:textId="77777777" w:rsidR="00C3036D" w:rsidRPr="00FA3F9C" w:rsidRDefault="00C3036D" w:rsidP="006F623F">
      <w:pPr>
        <w:spacing w:after="0"/>
        <w:rPr>
          <w:rFonts w:ascii="Arial" w:hAnsi="Arial" w:cs="Arial"/>
          <w:sz w:val="24"/>
          <w:szCs w:val="24"/>
        </w:rPr>
      </w:pPr>
    </w:p>
    <w:tbl>
      <w:tblPr>
        <w:tblStyle w:val="TableGrid"/>
        <w:tblW w:w="0" w:type="auto"/>
        <w:tblLook w:val="04A0" w:firstRow="1" w:lastRow="0" w:firstColumn="1" w:lastColumn="0" w:noHBand="0" w:noVBand="1"/>
      </w:tblPr>
      <w:tblGrid>
        <w:gridCol w:w="11016"/>
      </w:tblGrid>
      <w:tr w:rsidR="00C3036D" w:rsidRPr="00FA3F9C" w14:paraId="04683AC4" w14:textId="77777777" w:rsidTr="006756E9">
        <w:tc>
          <w:tcPr>
            <w:tcW w:w="11016" w:type="dxa"/>
            <w:shd w:val="clear" w:color="auto" w:fill="000000"/>
          </w:tcPr>
          <w:p w14:paraId="010DAB10" w14:textId="77777777" w:rsidR="00C3036D" w:rsidRPr="00FA3F9C" w:rsidRDefault="00C3036D" w:rsidP="006F623F">
            <w:pPr>
              <w:rPr>
                <w:rFonts w:ascii="Arial" w:hAnsi="Arial" w:cs="Arial"/>
                <w:sz w:val="24"/>
                <w:szCs w:val="24"/>
              </w:rPr>
            </w:pPr>
            <w:r w:rsidRPr="00FA3F9C">
              <w:rPr>
                <w:rFonts w:ascii="Arial" w:hAnsi="Arial" w:cs="Arial"/>
                <w:sz w:val="24"/>
                <w:szCs w:val="24"/>
              </w:rPr>
              <w:t>Criteria for Ankylosing Spondylitis</w:t>
            </w:r>
          </w:p>
        </w:tc>
      </w:tr>
      <w:tr w:rsidR="00C3036D" w:rsidRPr="00FA3F9C" w14:paraId="658112DD" w14:textId="77777777" w:rsidTr="006756E9">
        <w:tc>
          <w:tcPr>
            <w:tcW w:w="11016" w:type="dxa"/>
          </w:tcPr>
          <w:p w14:paraId="2DA31C4A" w14:textId="77777777" w:rsidR="00C3036D" w:rsidRPr="00FA3F9C" w:rsidRDefault="00C3036D" w:rsidP="006F623F">
            <w:pPr>
              <w:rPr>
                <w:rFonts w:ascii="Arial" w:hAnsi="Arial" w:cs="Arial"/>
                <w:sz w:val="24"/>
                <w:szCs w:val="24"/>
              </w:rPr>
            </w:pPr>
            <w:r w:rsidRPr="00FA3F9C">
              <w:rPr>
                <w:rFonts w:ascii="Arial" w:hAnsi="Arial" w:cs="Arial"/>
                <w:sz w:val="24"/>
                <w:szCs w:val="24"/>
              </w:rPr>
              <w:t>1.  The patient must have tried and failed Humira and Enbrel.</w:t>
            </w:r>
          </w:p>
        </w:tc>
      </w:tr>
      <w:tr w:rsidR="00C3036D" w:rsidRPr="00FA3F9C" w14:paraId="395F59F3" w14:textId="77777777" w:rsidTr="006756E9">
        <w:tc>
          <w:tcPr>
            <w:tcW w:w="11016" w:type="dxa"/>
          </w:tcPr>
          <w:p w14:paraId="23BD89E2" w14:textId="77777777" w:rsidR="00C3036D" w:rsidRPr="00FA3F9C" w:rsidRDefault="00C3036D" w:rsidP="006F623F">
            <w:pPr>
              <w:rPr>
                <w:rFonts w:ascii="Arial" w:hAnsi="Arial" w:cs="Arial"/>
                <w:sz w:val="24"/>
                <w:szCs w:val="24"/>
              </w:rPr>
            </w:pPr>
            <w:r w:rsidRPr="00FA3F9C">
              <w:rPr>
                <w:rFonts w:ascii="Arial" w:hAnsi="Arial" w:cs="Arial"/>
                <w:sz w:val="24"/>
                <w:szCs w:val="24"/>
              </w:rPr>
              <w:t>2.  Patient must be age 18 or older.</w:t>
            </w:r>
          </w:p>
        </w:tc>
      </w:tr>
      <w:tr w:rsidR="00C3036D" w:rsidRPr="00FA3F9C" w14:paraId="5113A59D" w14:textId="77777777" w:rsidTr="009C3096">
        <w:tc>
          <w:tcPr>
            <w:tcW w:w="11016" w:type="dxa"/>
            <w:tcBorders>
              <w:bottom w:val="single" w:sz="4" w:space="0" w:color="auto"/>
            </w:tcBorders>
          </w:tcPr>
          <w:p w14:paraId="1A0A979F" w14:textId="77777777" w:rsidR="00C3036D" w:rsidRPr="00FA3F9C" w:rsidRDefault="00C3036D" w:rsidP="006F623F">
            <w:pPr>
              <w:rPr>
                <w:rFonts w:ascii="Arial" w:hAnsi="Arial" w:cs="Arial"/>
                <w:sz w:val="24"/>
                <w:szCs w:val="24"/>
              </w:rPr>
            </w:pPr>
            <w:r w:rsidRPr="00FA3F9C">
              <w:rPr>
                <w:rFonts w:ascii="Arial" w:hAnsi="Arial" w:cs="Arial"/>
                <w:sz w:val="24"/>
                <w:szCs w:val="24"/>
              </w:rPr>
              <w:t>3.  Patient must have dx of ankylosing spondylitis fulfilling the modified New York criteria:</w:t>
            </w:r>
          </w:p>
          <w:p w14:paraId="23676829" w14:textId="77777777" w:rsidR="00C3036D" w:rsidRPr="00FA3F9C" w:rsidRDefault="00C3036D" w:rsidP="006F623F">
            <w:pPr>
              <w:rPr>
                <w:rFonts w:ascii="Arial" w:hAnsi="Arial" w:cs="Arial"/>
                <w:sz w:val="24"/>
                <w:szCs w:val="24"/>
              </w:rPr>
            </w:pPr>
            <w:r w:rsidRPr="00FA3F9C">
              <w:rPr>
                <w:rFonts w:ascii="Arial" w:hAnsi="Arial" w:cs="Arial"/>
                <w:noProof/>
                <w:sz w:val="24"/>
                <w:szCs w:val="24"/>
              </w:rPr>
              <w:drawing>
                <wp:inline distT="0" distB="0" distL="0" distR="0" wp14:anchorId="12D353E6" wp14:editId="50465D45">
                  <wp:extent cx="3911600" cy="225615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3911916" cy="2256337"/>
                          </a:xfrm>
                          <a:prstGeom prst="rect">
                            <a:avLst/>
                          </a:prstGeom>
                          <a:noFill/>
                          <a:ln>
                            <a:noFill/>
                          </a:ln>
                        </pic:spPr>
                      </pic:pic>
                    </a:graphicData>
                  </a:graphic>
                </wp:inline>
              </w:drawing>
            </w:r>
          </w:p>
        </w:tc>
      </w:tr>
      <w:tr w:rsidR="00C3036D" w:rsidRPr="00FA3F9C" w14:paraId="24C58ED0" w14:textId="77777777" w:rsidTr="009C3096">
        <w:tc>
          <w:tcPr>
            <w:tcW w:w="11016" w:type="dxa"/>
            <w:tcBorders>
              <w:bottom w:val="single" w:sz="4" w:space="0" w:color="auto"/>
            </w:tcBorders>
          </w:tcPr>
          <w:p w14:paraId="79C56521" w14:textId="77777777" w:rsidR="00C3036D" w:rsidRPr="00FA3F9C" w:rsidRDefault="00C3036D" w:rsidP="006F623F">
            <w:pPr>
              <w:rPr>
                <w:rFonts w:ascii="Arial" w:hAnsi="Arial" w:cs="Arial"/>
                <w:sz w:val="24"/>
                <w:szCs w:val="24"/>
              </w:rPr>
            </w:pPr>
            <w:r w:rsidRPr="00FA3F9C">
              <w:rPr>
                <w:rFonts w:ascii="Arial" w:hAnsi="Arial" w:cs="Arial"/>
                <w:b/>
                <w:sz w:val="24"/>
                <w:szCs w:val="24"/>
                <w:u w:val="single"/>
              </w:rPr>
              <w:t>Continuation Criteria</w:t>
            </w:r>
          </w:p>
        </w:tc>
      </w:tr>
      <w:tr w:rsidR="00C3036D" w:rsidRPr="00FA3F9C" w14:paraId="2A3E38F5" w14:textId="77777777" w:rsidTr="009C3096">
        <w:tc>
          <w:tcPr>
            <w:tcW w:w="11016" w:type="dxa"/>
            <w:tcBorders>
              <w:bottom w:val="single" w:sz="4" w:space="0" w:color="auto"/>
            </w:tcBorders>
          </w:tcPr>
          <w:p w14:paraId="4A0483B9" w14:textId="77777777" w:rsidR="00C3036D" w:rsidRPr="00FA3F9C" w:rsidRDefault="00C3036D" w:rsidP="00A30A8F">
            <w:pPr>
              <w:rPr>
                <w:rFonts w:ascii="Arial" w:hAnsi="Arial" w:cs="Arial"/>
                <w:sz w:val="24"/>
                <w:szCs w:val="24"/>
              </w:rPr>
            </w:pPr>
            <w:r w:rsidRPr="00FA3F9C">
              <w:rPr>
                <w:rFonts w:ascii="Arial" w:hAnsi="Arial" w:cs="Arial"/>
                <w:sz w:val="24"/>
                <w:szCs w:val="24"/>
              </w:rPr>
              <w:lastRenderedPageBreak/>
              <w:t xml:space="preserve">1.  In the previous 4 months, the patient must have achieved at least a 20% improvement in the Assessment of </w:t>
            </w:r>
            <w:proofErr w:type="spellStart"/>
            <w:r w:rsidRPr="00FA3F9C">
              <w:rPr>
                <w:rFonts w:ascii="Arial" w:hAnsi="Arial" w:cs="Arial"/>
                <w:sz w:val="24"/>
                <w:szCs w:val="24"/>
              </w:rPr>
              <w:t>Spondyloarthritis</w:t>
            </w:r>
            <w:proofErr w:type="spellEnd"/>
            <w:r w:rsidRPr="00FA3F9C">
              <w:rPr>
                <w:rFonts w:ascii="Arial" w:hAnsi="Arial" w:cs="Arial"/>
                <w:sz w:val="24"/>
                <w:szCs w:val="24"/>
              </w:rPr>
              <w:t xml:space="preserve"> International society 20(ASAS) response criteria [</w:t>
            </w:r>
            <w:proofErr w:type="gramStart"/>
            <w:r w:rsidRPr="00FA3F9C">
              <w:rPr>
                <w:rFonts w:ascii="Arial" w:hAnsi="Arial" w:cs="Arial"/>
                <w:sz w:val="24"/>
                <w:szCs w:val="24"/>
              </w:rPr>
              <w:t>i.e.</w:t>
            </w:r>
            <w:proofErr w:type="gramEnd"/>
            <w:r w:rsidRPr="00FA3F9C">
              <w:rPr>
                <w:rFonts w:ascii="Arial" w:hAnsi="Arial" w:cs="Arial"/>
                <w:sz w:val="24"/>
                <w:szCs w:val="24"/>
              </w:rPr>
              <w:t xml:space="preserve"> improvement of </w:t>
            </w:r>
            <w:r w:rsidRPr="00FA3F9C">
              <w:rPr>
                <w:rFonts w:ascii="Arial" w:hAnsi="Arial" w:cs="Arial"/>
                <w:sz w:val="24"/>
                <w:szCs w:val="24"/>
                <w:u w:val="single"/>
              </w:rPr>
              <w:t>&gt;</w:t>
            </w:r>
            <w:r w:rsidRPr="00FA3F9C">
              <w:rPr>
                <w:rFonts w:ascii="Arial" w:hAnsi="Arial" w:cs="Arial"/>
                <w:sz w:val="24"/>
                <w:szCs w:val="24"/>
              </w:rPr>
              <w:t>20% and absolute improvement of &gt;1 unit on a 10-unit scale in at least 3 of the 4 main ASA domains, without worsening by &gt;20% in the remaining domain.  If so, approve PA for 12 months.</w:t>
            </w:r>
          </w:p>
        </w:tc>
      </w:tr>
      <w:tr w:rsidR="00C3036D" w:rsidRPr="00FA3F9C" w14:paraId="395EBC8A" w14:textId="77777777" w:rsidTr="009C3096">
        <w:tc>
          <w:tcPr>
            <w:tcW w:w="11016" w:type="dxa"/>
            <w:tcBorders>
              <w:bottom w:val="single" w:sz="4" w:space="0" w:color="auto"/>
            </w:tcBorders>
          </w:tcPr>
          <w:p w14:paraId="301BE64C" w14:textId="77777777" w:rsidR="00C3036D" w:rsidRPr="00FA3F9C" w:rsidRDefault="00C3036D" w:rsidP="006F623F">
            <w:pPr>
              <w:rPr>
                <w:rFonts w:ascii="Arial" w:hAnsi="Arial" w:cs="Arial"/>
                <w:sz w:val="24"/>
                <w:szCs w:val="24"/>
              </w:rPr>
            </w:pPr>
            <w:r w:rsidRPr="00FA3F9C">
              <w:rPr>
                <w:rFonts w:ascii="Arial" w:hAnsi="Arial" w:cs="Arial"/>
                <w:sz w:val="24"/>
                <w:szCs w:val="24"/>
              </w:rPr>
              <w:t xml:space="preserve">2.  After the first </w:t>
            </w:r>
            <w:proofErr w:type="gramStart"/>
            <w:r w:rsidRPr="00FA3F9C">
              <w:rPr>
                <w:rFonts w:ascii="Arial" w:hAnsi="Arial" w:cs="Arial"/>
                <w:sz w:val="24"/>
                <w:szCs w:val="24"/>
              </w:rPr>
              <w:t>12 month</w:t>
            </w:r>
            <w:proofErr w:type="gramEnd"/>
            <w:r w:rsidRPr="00FA3F9C">
              <w:rPr>
                <w:rFonts w:ascii="Arial" w:hAnsi="Arial" w:cs="Arial"/>
                <w:sz w:val="24"/>
                <w:szCs w:val="24"/>
              </w:rPr>
              <w:t xml:space="preserve"> approval, the patient must maintain the improvement of 20% from baseline to keep access to recurring 12 month approvals.</w:t>
            </w:r>
          </w:p>
        </w:tc>
      </w:tr>
      <w:tr w:rsidR="00C3036D" w:rsidRPr="00FA3F9C" w14:paraId="636C5928" w14:textId="77777777" w:rsidTr="009C3096">
        <w:tc>
          <w:tcPr>
            <w:tcW w:w="11016" w:type="dxa"/>
            <w:shd w:val="clear" w:color="auto" w:fill="D9D9D9"/>
          </w:tcPr>
          <w:p w14:paraId="0273C630" w14:textId="77777777" w:rsidR="00C3036D" w:rsidRPr="00FA3F9C" w:rsidRDefault="00C3036D" w:rsidP="006F623F">
            <w:pPr>
              <w:rPr>
                <w:rFonts w:ascii="Arial" w:hAnsi="Arial" w:cs="Arial"/>
                <w:sz w:val="24"/>
                <w:szCs w:val="24"/>
              </w:rPr>
            </w:pPr>
            <w:r w:rsidRPr="00FA3F9C">
              <w:rPr>
                <w:rFonts w:ascii="Arial" w:hAnsi="Arial" w:cs="Arial"/>
                <w:sz w:val="24"/>
                <w:szCs w:val="24"/>
              </w:rPr>
              <w:t>Dose for Ankylosing Spondylitis is</w:t>
            </w:r>
          </w:p>
          <w:p w14:paraId="2E86E0ED" w14:textId="77777777" w:rsidR="00C3036D" w:rsidRPr="00FA3F9C" w:rsidRDefault="00C3036D" w:rsidP="00FC1E85">
            <w:pPr>
              <w:pStyle w:val="ListParagraph"/>
              <w:numPr>
                <w:ilvl w:val="0"/>
                <w:numId w:val="470"/>
              </w:numPr>
              <w:rPr>
                <w:rFonts w:ascii="Arial" w:hAnsi="Arial" w:cs="Arial"/>
                <w:sz w:val="24"/>
                <w:szCs w:val="24"/>
              </w:rPr>
            </w:pPr>
            <w:r w:rsidRPr="00FA3F9C">
              <w:rPr>
                <w:rFonts w:ascii="Arial" w:hAnsi="Arial" w:cs="Arial"/>
                <w:sz w:val="24"/>
                <w:szCs w:val="24"/>
              </w:rPr>
              <w:t>With a loading dose, 150mg at weeks 0, 1, 2, 3, and 4 and q4w thereafter</w:t>
            </w:r>
          </w:p>
          <w:p w14:paraId="076FB480" w14:textId="77777777" w:rsidR="00C3036D" w:rsidRPr="00FA3F9C" w:rsidRDefault="00C3036D" w:rsidP="00FC1E85">
            <w:pPr>
              <w:pStyle w:val="ListParagraph"/>
              <w:numPr>
                <w:ilvl w:val="0"/>
                <w:numId w:val="470"/>
              </w:numPr>
              <w:rPr>
                <w:rFonts w:ascii="Arial" w:hAnsi="Arial" w:cs="Arial"/>
                <w:sz w:val="24"/>
                <w:szCs w:val="24"/>
              </w:rPr>
            </w:pPr>
            <w:r w:rsidRPr="00FA3F9C">
              <w:rPr>
                <w:rFonts w:ascii="Arial" w:hAnsi="Arial" w:cs="Arial"/>
                <w:sz w:val="24"/>
                <w:szCs w:val="24"/>
              </w:rPr>
              <w:t>Without a loading dose, 150mg q4w.</w:t>
            </w:r>
          </w:p>
        </w:tc>
      </w:tr>
    </w:tbl>
    <w:p w14:paraId="4EA53862" w14:textId="77777777" w:rsidR="00C3036D" w:rsidRPr="00FA3F9C" w:rsidRDefault="00C3036D" w:rsidP="006F623F">
      <w:pPr>
        <w:spacing w:after="0"/>
        <w:rPr>
          <w:rFonts w:ascii="Arial" w:hAnsi="Arial" w:cs="Arial"/>
          <w:sz w:val="24"/>
          <w:szCs w:val="24"/>
        </w:rPr>
      </w:pPr>
    </w:p>
    <w:p w14:paraId="3370F42C" w14:textId="77777777" w:rsidR="00C3036D" w:rsidRPr="00FA3F9C" w:rsidRDefault="00C3036D" w:rsidP="006F623F">
      <w:pPr>
        <w:spacing w:after="0"/>
        <w:rPr>
          <w:rFonts w:ascii="Arial" w:hAnsi="Arial" w:cs="Arial"/>
          <w:sz w:val="24"/>
          <w:szCs w:val="24"/>
        </w:rPr>
      </w:pPr>
    </w:p>
    <w:p w14:paraId="0F541D65" w14:textId="77777777" w:rsidR="00C3036D" w:rsidRPr="00FA3F9C" w:rsidRDefault="00C3036D" w:rsidP="006F623F">
      <w:pPr>
        <w:spacing w:after="0"/>
        <w:rPr>
          <w:rFonts w:ascii="Arial" w:hAnsi="Arial" w:cs="Arial"/>
          <w:sz w:val="24"/>
          <w:szCs w:val="24"/>
        </w:rPr>
      </w:pPr>
    </w:p>
    <w:p w14:paraId="28F86444" w14:textId="77777777" w:rsidR="00C3036D" w:rsidRPr="00FA3F9C" w:rsidRDefault="00C3036D" w:rsidP="006F623F">
      <w:pPr>
        <w:spacing w:after="0"/>
        <w:rPr>
          <w:rFonts w:ascii="Arial" w:hAnsi="Arial" w:cs="Arial"/>
          <w:sz w:val="24"/>
          <w:szCs w:val="24"/>
        </w:rPr>
      </w:pPr>
    </w:p>
    <w:p w14:paraId="5C2B3D7F" w14:textId="77777777" w:rsidR="00C3036D" w:rsidRPr="00FA3F9C" w:rsidRDefault="00C3036D" w:rsidP="006F623F">
      <w:pPr>
        <w:spacing w:after="0"/>
        <w:rPr>
          <w:rFonts w:ascii="Arial" w:hAnsi="Arial" w:cs="Arial"/>
          <w:sz w:val="24"/>
          <w:szCs w:val="24"/>
        </w:rPr>
      </w:pPr>
    </w:p>
    <w:p w14:paraId="01E32534" w14:textId="77777777" w:rsidR="00C3036D" w:rsidRPr="00FA3F9C" w:rsidRDefault="00C3036D" w:rsidP="006F623F">
      <w:pPr>
        <w:spacing w:after="0"/>
        <w:rPr>
          <w:rFonts w:ascii="Arial" w:hAnsi="Arial" w:cs="Arial"/>
          <w:sz w:val="24"/>
          <w:szCs w:val="24"/>
        </w:rPr>
      </w:pPr>
    </w:p>
    <w:p w14:paraId="0216FD3B" w14:textId="77777777" w:rsidR="00C3036D" w:rsidRPr="00FA3F9C" w:rsidRDefault="00C3036D" w:rsidP="006F623F">
      <w:pPr>
        <w:spacing w:after="0"/>
        <w:rPr>
          <w:rFonts w:ascii="Arial" w:hAnsi="Arial" w:cs="Arial"/>
          <w:sz w:val="24"/>
          <w:szCs w:val="24"/>
        </w:rPr>
      </w:pPr>
    </w:p>
    <w:p w14:paraId="46FD82E6" w14:textId="77777777" w:rsidR="00C3036D" w:rsidRPr="00FA3F9C" w:rsidRDefault="00C3036D"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151"/>
        <w:gridCol w:w="7470"/>
        <w:gridCol w:w="2538"/>
      </w:tblGrid>
      <w:tr w:rsidR="00C3036D" w:rsidRPr="00FA3F9C" w14:paraId="7DCD2619" w14:textId="77777777" w:rsidTr="00FE491B">
        <w:tc>
          <w:tcPr>
            <w:tcW w:w="1008" w:type="dxa"/>
          </w:tcPr>
          <w:p w14:paraId="06938074" w14:textId="77777777" w:rsidR="00C3036D" w:rsidRPr="00FA3F9C" w:rsidRDefault="00C3036D" w:rsidP="006F623F">
            <w:pPr>
              <w:rPr>
                <w:rFonts w:ascii="Arial" w:hAnsi="Arial" w:cs="Arial"/>
                <w:sz w:val="24"/>
                <w:szCs w:val="24"/>
              </w:rPr>
            </w:pPr>
            <w:r w:rsidRPr="00FA3F9C">
              <w:rPr>
                <w:rFonts w:ascii="Arial" w:hAnsi="Arial" w:cs="Arial"/>
                <w:sz w:val="24"/>
                <w:szCs w:val="24"/>
              </w:rPr>
              <w:t>Date</w:t>
            </w:r>
          </w:p>
        </w:tc>
        <w:tc>
          <w:tcPr>
            <w:tcW w:w="7470" w:type="dxa"/>
          </w:tcPr>
          <w:p w14:paraId="63B3983D" w14:textId="77777777" w:rsidR="00C3036D" w:rsidRPr="00FA3F9C" w:rsidRDefault="00C3036D" w:rsidP="006F623F">
            <w:pPr>
              <w:rPr>
                <w:rFonts w:ascii="Arial" w:hAnsi="Arial" w:cs="Arial"/>
                <w:sz w:val="24"/>
                <w:szCs w:val="24"/>
              </w:rPr>
            </w:pPr>
            <w:r w:rsidRPr="00FA3F9C">
              <w:rPr>
                <w:rFonts w:ascii="Arial" w:hAnsi="Arial" w:cs="Arial"/>
                <w:sz w:val="24"/>
                <w:szCs w:val="24"/>
              </w:rPr>
              <w:t>What changed</w:t>
            </w:r>
          </w:p>
        </w:tc>
        <w:tc>
          <w:tcPr>
            <w:tcW w:w="2538" w:type="dxa"/>
          </w:tcPr>
          <w:p w14:paraId="7BE43B8A" w14:textId="77777777" w:rsidR="00C3036D" w:rsidRPr="00FA3F9C" w:rsidRDefault="00C3036D" w:rsidP="006F623F">
            <w:pPr>
              <w:rPr>
                <w:rFonts w:ascii="Arial" w:hAnsi="Arial" w:cs="Arial"/>
                <w:sz w:val="24"/>
                <w:szCs w:val="24"/>
              </w:rPr>
            </w:pPr>
            <w:r w:rsidRPr="00FA3F9C">
              <w:rPr>
                <w:rFonts w:ascii="Arial" w:hAnsi="Arial" w:cs="Arial"/>
                <w:sz w:val="24"/>
                <w:szCs w:val="24"/>
              </w:rPr>
              <w:t>Pharmacist’s initials</w:t>
            </w:r>
          </w:p>
        </w:tc>
      </w:tr>
      <w:tr w:rsidR="00C3036D" w:rsidRPr="00FA3F9C" w14:paraId="371FB3FA" w14:textId="77777777" w:rsidTr="00FE491B">
        <w:tc>
          <w:tcPr>
            <w:tcW w:w="1008" w:type="dxa"/>
          </w:tcPr>
          <w:p w14:paraId="423B8EC8" w14:textId="77777777" w:rsidR="00C3036D" w:rsidRPr="00FA3F9C" w:rsidRDefault="00C3036D" w:rsidP="006F623F">
            <w:pPr>
              <w:rPr>
                <w:rFonts w:ascii="Arial" w:hAnsi="Arial" w:cs="Arial"/>
                <w:sz w:val="24"/>
                <w:szCs w:val="24"/>
              </w:rPr>
            </w:pPr>
            <w:r w:rsidRPr="00FA3F9C">
              <w:rPr>
                <w:rFonts w:ascii="Arial" w:hAnsi="Arial" w:cs="Arial"/>
                <w:sz w:val="24"/>
                <w:szCs w:val="24"/>
              </w:rPr>
              <w:t>5/7/15</w:t>
            </w:r>
          </w:p>
        </w:tc>
        <w:tc>
          <w:tcPr>
            <w:tcW w:w="7470" w:type="dxa"/>
          </w:tcPr>
          <w:p w14:paraId="01E178AF" w14:textId="77777777" w:rsidR="00C3036D" w:rsidRPr="00FA3F9C" w:rsidRDefault="00C3036D" w:rsidP="006F623F">
            <w:pPr>
              <w:rPr>
                <w:rFonts w:ascii="Arial" w:hAnsi="Arial" w:cs="Arial"/>
                <w:sz w:val="24"/>
                <w:szCs w:val="24"/>
              </w:rPr>
            </w:pPr>
            <w:r w:rsidRPr="00FA3F9C">
              <w:rPr>
                <w:rFonts w:ascii="Arial" w:hAnsi="Arial" w:cs="Arial"/>
                <w:sz w:val="24"/>
                <w:szCs w:val="24"/>
              </w:rPr>
              <w:t>Wrote the PA</w:t>
            </w:r>
          </w:p>
        </w:tc>
        <w:tc>
          <w:tcPr>
            <w:tcW w:w="2538" w:type="dxa"/>
          </w:tcPr>
          <w:p w14:paraId="41DF85E0" w14:textId="77777777" w:rsidR="00C3036D" w:rsidRPr="00FA3F9C" w:rsidRDefault="00C3036D" w:rsidP="006F623F">
            <w:pPr>
              <w:rPr>
                <w:rFonts w:ascii="Arial" w:hAnsi="Arial" w:cs="Arial"/>
                <w:sz w:val="24"/>
                <w:szCs w:val="24"/>
              </w:rPr>
            </w:pPr>
            <w:r w:rsidRPr="00FA3F9C">
              <w:rPr>
                <w:rFonts w:ascii="Arial" w:hAnsi="Arial" w:cs="Arial"/>
                <w:sz w:val="24"/>
                <w:szCs w:val="24"/>
              </w:rPr>
              <w:t>GBB</w:t>
            </w:r>
          </w:p>
        </w:tc>
      </w:tr>
      <w:tr w:rsidR="00C3036D" w:rsidRPr="00FA3F9C" w14:paraId="4BBEBC42" w14:textId="77777777" w:rsidTr="00FE491B">
        <w:tc>
          <w:tcPr>
            <w:tcW w:w="1008" w:type="dxa"/>
          </w:tcPr>
          <w:p w14:paraId="564840E1" w14:textId="77777777" w:rsidR="00C3036D" w:rsidRPr="00FA3F9C" w:rsidRDefault="00C3036D" w:rsidP="006F623F">
            <w:pPr>
              <w:rPr>
                <w:rFonts w:ascii="Arial" w:hAnsi="Arial" w:cs="Arial"/>
                <w:sz w:val="24"/>
                <w:szCs w:val="24"/>
              </w:rPr>
            </w:pPr>
            <w:r w:rsidRPr="00FA3F9C">
              <w:rPr>
                <w:rFonts w:ascii="Arial" w:hAnsi="Arial" w:cs="Arial"/>
                <w:sz w:val="24"/>
                <w:szCs w:val="24"/>
              </w:rPr>
              <w:t>5/29/15</w:t>
            </w:r>
          </w:p>
        </w:tc>
        <w:tc>
          <w:tcPr>
            <w:tcW w:w="7470" w:type="dxa"/>
          </w:tcPr>
          <w:p w14:paraId="2CEDE762" w14:textId="77777777" w:rsidR="00C3036D" w:rsidRPr="00FA3F9C" w:rsidRDefault="00C3036D" w:rsidP="005D624D">
            <w:pPr>
              <w:rPr>
                <w:rFonts w:ascii="Arial" w:hAnsi="Arial" w:cs="Arial"/>
                <w:sz w:val="24"/>
                <w:szCs w:val="24"/>
              </w:rPr>
            </w:pPr>
            <w:r w:rsidRPr="00FA3F9C">
              <w:rPr>
                <w:rFonts w:ascii="Arial" w:hAnsi="Arial" w:cs="Arial"/>
                <w:sz w:val="24"/>
                <w:szCs w:val="24"/>
              </w:rPr>
              <w:t xml:space="preserve">I added specifically what therapies a patient must have received prior to gaining access to </w:t>
            </w:r>
            <w:proofErr w:type="spellStart"/>
            <w:r w:rsidRPr="00FA3F9C">
              <w:rPr>
                <w:rFonts w:ascii="Arial" w:hAnsi="Arial" w:cs="Arial"/>
                <w:sz w:val="24"/>
                <w:szCs w:val="24"/>
              </w:rPr>
              <w:t>secukinumab</w:t>
            </w:r>
            <w:proofErr w:type="spellEnd"/>
            <w:r w:rsidRPr="00FA3F9C">
              <w:rPr>
                <w:rFonts w:ascii="Arial" w:hAnsi="Arial" w:cs="Arial"/>
                <w:sz w:val="24"/>
                <w:szCs w:val="24"/>
              </w:rPr>
              <w:t>.  I also added references 2-5.</w:t>
            </w:r>
          </w:p>
        </w:tc>
        <w:tc>
          <w:tcPr>
            <w:tcW w:w="2538" w:type="dxa"/>
          </w:tcPr>
          <w:p w14:paraId="3DD266CE" w14:textId="77777777" w:rsidR="00C3036D" w:rsidRPr="00FA3F9C" w:rsidRDefault="00C3036D" w:rsidP="006F623F">
            <w:pPr>
              <w:rPr>
                <w:rFonts w:ascii="Arial" w:hAnsi="Arial" w:cs="Arial"/>
                <w:sz w:val="24"/>
                <w:szCs w:val="24"/>
              </w:rPr>
            </w:pPr>
            <w:r w:rsidRPr="00FA3F9C">
              <w:rPr>
                <w:rFonts w:ascii="Arial" w:hAnsi="Arial" w:cs="Arial"/>
                <w:sz w:val="24"/>
                <w:szCs w:val="24"/>
              </w:rPr>
              <w:t>Jill J.</w:t>
            </w:r>
          </w:p>
        </w:tc>
      </w:tr>
      <w:tr w:rsidR="00C3036D" w:rsidRPr="00FA3F9C" w14:paraId="03D4EC64" w14:textId="77777777" w:rsidTr="00FE491B">
        <w:tc>
          <w:tcPr>
            <w:tcW w:w="1008" w:type="dxa"/>
          </w:tcPr>
          <w:p w14:paraId="6F491E7E" w14:textId="77777777" w:rsidR="00C3036D" w:rsidRPr="00FA3F9C" w:rsidRDefault="00C3036D" w:rsidP="006F623F">
            <w:pPr>
              <w:rPr>
                <w:rFonts w:ascii="Arial" w:hAnsi="Arial" w:cs="Arial"/>
                <w:sz w:val="24"/>
                <w:szCs w:val="24"/>
              </w:rPr>
            </w:pPr>
            <w:r w:rsidRPr="00FA3F9C">
              <w:rPr>
                <w:rFonts w:ascii="Arial" w:hAnsi="Arial" w:cs="Arial"/>
                <w:sz w:val="24"/>
                <w:szCs w:val="24"/>
              </w:rPr>
              <w:t>10/13/15</w:t>
            </w:r>
          </w:p>
        </w:tc>
        <w:tc>
          <w:tcPr>
            <w:tcW w:w="7470" w:type="dxa"/>
          </w:tcPr>
          <w:p w14:paraId="6323C4E7" w14:textId="77777777" w:rsidR="00C3036D" w:rsidRPr="00FA3F9C" w:rsidRDefault="00C3036D" w:rsidP="005D624D">
            <w:pPr>
              <w:rPr>
                <w:rFonts w:ascii="Arial" w:hAnsi="Arial" w:cs="Arial"/>
                <w:sz w:val="24"/>
                <w:szCs w:val="24"/>
              </w:rPr>
            </w:pPr>
            <w:r w:rsidRPr="00FA3F9C">
              <w:rPr>
                <w:rFonts w:ascii="Arial" w:hAnsi="Arial" w:cs="Arial"/>
                <w:sz w:val="24"/>
                <w:szCs w:val="24"/>
              </w:rPr>
              <w:t xml:space="preserve">I corrected the mistake on what to do with items 4-8.  All the answers must be “yes” to gain access to </w:t>
            </w:r>
            <w:proofErr w:type="spellStart"/>
            <w:r w:rsidRPr="00FA3F9C">
              <w:rPr>
                <w:rFonts w:ascii="Arial" w:hAnsi="Arial" w:cs="Arial"/>
                <w:sz w:val="24"/>
                <w:szCs w:val="24"/>
              </w:rPr>
              <w:t>secukinumab</w:t>
            </w:r>
            <w:proofErr w:type="spellEnd"/>
            <w:r w:rsidRPr="00FA3F9C">
              <w:rPr>
                <w:rFonts w:ascii="Arial" w:hAnsi="Arial" w:cs="Arial"/>
                <w:sz w:val="24"/>
                <w:szCs w:val="24"/>
              </w:rPr>
              <w:t>.  I did not change the continuation criteria.</w:t>
            </w:r>
          </w:p>
        </w:tc>
        <w:tc>
          <w:tcPr>
            <w:tcW w:w="2538" w:type="dxa"/>
          </w:tcPr>
          <w:p w14:paraId="6E45B8F1" w14:textId="77777777" w:rsidR="00C3036D" w:rsidRPr="00FA3F9C" w:rsidRDefault="00C3036D" w:rsidP="006F623F">
            <w:pPr>
              <w:rPr>
                <w:rFonts w:ascii="Arial" w:hAnsi="Arial" w:cs="Arial"/>
                <w:sz w:val="24"/>
                <w:szCs w:val="24"/>
              </w:rPr>
            </w:pPr>
            <w:r w:rsidRPr="00FA3F9C">
              <w:rPr>
                <w:rFonts w:ascii="Arial" w:hAnsi="Arial" w:cs="Arial"/>
                <w:sz w:val="24"/>
                <w:szCs w:val="24"/>
              </w:rPr>
              <w:t>JJ</w:t>
            </w:r>
          </w:p>
        </w:tc>
      </w:tr>
      <w:tr w:rsidR="00C3036D" w:rsidRPr="00FA3F9C" w14:paraId="6AC10F8B" w14:textId="77777777" w:rsidTr="00FE491B">
        <w:tc>
          <w:tcPr>
            <w:tcW w:w="1008" w:type="dxa"/>
          </w:tcPr>
          <w:p w14:paraId="1A7D6F1A" w14:textId="77777777" w:rsidR="00C3036D" w:rsidRPr="00FA3F9C" w:rsidRDefault="00C3036D" w:rsidP="006F623F">
            <w:pPr>
              <w:rPr>
                <w:rFonts w:ascii="Arial" w:hAnsi="Arial" w:cs="Arial"/>
                <w:sz w:val="24"/>
                <w:szCs w:val="24"/>
              </w:rPr>
            </w:pPr>
            <w:r w:rsidRPr="00FA3F9C">
              <w:rPr>
                <w:rFonts w:ascii="Arial" w:hAnsi="Arial" w:cs="Arial"/>
                <w:sz w:val="24"/>
                <w:szCs w:val="24"/>
              </w:rPr>
              <w:t>2/22/17</w:t>
            </w:r>
          </w:p>
        </w:tc>
        <w:tc>
          <w:tcPr>
            <w:tcW w:w="7470" w:type="dxa"/>
          </w:tcPr>
          <w:p w14:paraId="591C09D1" w14:textId="77777777" w:rsidR="00C3036D" w:rsidRPr="00FA3F9C" w:rsidRDefault="00C3036D" w:rsidP="005D0A1E">
            <w:pPr>
              <w:rPr>
                <w:rFonts w:ascii="Arial" w:hAnsi="Arial" w:cs="Arial"/>
                <w:sz w:val="24"/>
                <w:szCs w:val="24"/>
              </w:rPr>
            </w:pPr>
            <w:r w:rsidRPr="00FA3F9C">
              <w:rPr>
                <w:rFonts w:ascii="Arial" w:hAnsi="Arial" w:cs="Arial"/>
                <w:sz w:val="24"/>
                <w:szCs w:val="24"/>
              </w:rPr>
              <w:t>I added to the PA two new indications and wrote the criteria including psoriatic arthritis and ankylosing spondylitis.  Added references 6 &amp; 7.</w:t>
            </w:r>
          </w:p>
        </w:tc>
        <w:tc>
          <w:tcPr>
            <w:tcW w:w="2538" w:type="dxa"/>
          </w:tcPr>
          <w:p w14:paraId="23B17ACF" w14:textId="77777777" w:rsidR="00C3036D" w:rsidRPr="00FA3F9C" w:rsidRDefault="00C3036D" w:rsidP="006F623F">
            <w:pPr>
              <w:rPr>
                <w:rFonts w:ascii="Arial" w:hAnsi="Arial" w:cs="Arial"/>
                <w:sz w:val="24"/>
                <w:szCs w:val="24"/>
              </w:rPr>
            </w:pPr>
            <w:r w:rsidRPr="00FA3F9C">
              <w:rPr>
                <w:rFonts w:ascii="Arial" w:hAnsi="Arial" w:cs="Arial"/>
                <w:sz w:val="24"/>
                <w:szCs w:val="24"/>
              </w:rPr>
              <w:t>JJ</w:t>
            </w:r>
          </w:p>
        </w:tc>
      </w:tr>
    </w:tbl>
    <w:p w14:paraId="0B7E381E" w14:textId="77777777" w:rsidR="00C3036D" w:rsidRPr="00FA3F9C" w:rsidRDefault="00C3036D" w:rsidP="006F623F">
      <w:pPr>
        <w:spacing w:after="0"/>
        <w:rPr>
          <w:rFonts w:ascii="Arial" w:hAnsi="Arial" w:cs="Arial"/>
          <w:sz w:val="24"/>
          <w:szCs w:val="24"/>
        </w:rPr>
      </w:pPr>
    </w:p>
    <w:p w14:paraId="043B8A9A" w14:textId="77777777" w:rsidR="00C3036D" w:rsidRPr="00FA3F9C" w:rsidRDefault="00C3036D" w:rsidP="006F623F">
      <w:pPr>
        <w:spacing w:after="0"/>
        <w:rPr>
          <w:rFonts w:ascii="Arial" w:hAnsi="Arial" w:cs="Arial"/>
          <w:sz w:val="24"/>
          <w:szCs w:val="24"/>
        </w:rPr>
      </w:pPr>
      <w:r w:rsidRPr="00FA3F9C">
        <w:rPr>
          <w:rFonts w:ascii="Arial" w:hAnsi="Arial" w:cs="Arial"/>
          <w:b/>
          <w:sz w:val="24"/>
          <w:szCs w:val="24"/>
        </w:rPr>
        <w:t>References</w:t>
      </w:r>
      <w:r w:rsidRPr="00FA3F9C">
        <w:rPr>
          <w:rFonts w:ascii="Arial" w:hAnsi="Arial" w:cs="Arial"/>
          <w:sz w:val="24"/>
          <w:szCs w:val="24"/>
        </w:rPr>
        <w:t>:</w:t>
      </w:r>
    </w:p>
    <w:p w14:paraId="7B40F628" w14:textId="77777777" w:rsidR="00C3036D" w:rsidRPr="00FA3F9C" w:rsidRDefault="00C3036D" w:rsidP="006F623F">
      <w:pPr>
        <w:spacing w:after="0"/>
        <w:rPr>
          <w:rFonts w:ascii="Arial" w:hAnsi="Arial" w:cs="Arial"/>
          <w:sz w:val="24"/>
          <w:szCs w:val="24"/>
        </w:rPr>
      </w:pPr>
      <w:r w:rsidRPr="00FA3F9C">
        <w:rPr>
          <w:rFonts w:ascii="Arial" w:hAnsi="Arial" w:cs="Arial"/>
          <w:sz w:val="24"/>
          <w:szCs w:val="24"/>
        </w:rPr>
        <w:t xml:space="preserve">1.  Langley RG, </w:t>
      </w:r>
      <w:proofErr w:type="spellStart"/>
      <w:r w:rsidRPr="00FA3F9C">
        <w:rPr>
          <w:rFonts w:ascii="Arial" w:hAnsi="Arial" w:cs="Arial"/>
          <w:sz w:val="24"/>
          <w:szCs w:val="24"/>
        </w:rPr>
        <w:t>Elewski</w:t>
      </w:r>
      <w:proofErr w:type="spellEnd"/>
      <w:r w:rsidRPr="00FA3F9C">
        <w:rPr>
          <w:rFonts w:ascii="Arial" w:hAnsi="Arial" w:cs="Arial"/>
          <w:sz w:val="24"/>
          <w:szCs w:val="24"/>
        </w:rPr>
        <w:t xml:space="preserve"> BE, </w:t>
      </w:r>
      <w:proofErr w:type="spellStart"/>
      <w:r w:rsidRPr="00FA3F9C">
        <w:rPr>
          <w:rFonts w:ascii="Arial" w:hAnsi="Arial" w:cs="Arial"/>
          <w:sz w:val="24"/>
          <w:szCs w:val="24"/>
        </w:rPr>
        <w:t>Lebwohl</w:t>
      </w:r>
      <w:proofErr w:type="spellEnd"/>
      <w:r w:rsidRPr="00FA3F9C">
        <w:rPr>
          <w:rFonts w:ascii="Arial" w:hAnsi="Arial" w:cs="Arial"/>
          <w:sz w:val="24"/>
          <w:szCs w:val="24"/>
        </w:rPr>
        <w:t xml:space="preserve"> M, et al. </w:t>
      </w:r>
      <w:proofErr w:type="spellStart"/>
      <w:r w:rsidRPr="00FA3F9C">
        <w:rPr>
          <w:rFonts w:ascii="Arial" w:hAnsi="Arial" w:cs="Arial"/>
          <w:sz w:val="24"/>
          <w:szCs w:val="24"/>
        </w:rPr>
        <w:t>Secukinumab</w:t>
      </w:r>
      <w:proofErr w:type="spellEnd"/>
      <w:r w:rsidRPr="00FA3F9C">
        <w:rPr>
          <w:rFonts w:ascii="Arial" w:hAnsi="Arial" w:cs="Arial"/>
          <w:sz w:val="24"/>
          <w:szCs w:val="24"/>
        </w:rPr>
        <w:t xml:space="preserve"> in Plaque Psoriasis – Results of Two Phase 3 Trials. N </w:t>
      </w:r>
      <w:proofErr w:type="spellStart"/>
      <w:r w:rsidRPr="00FA3F9C">
        <w:rPr>
          <w:rFonts w:ascii="Arial" w:hAnsi="Arial" w:cs="Arial"/>
          <w:sz w:val="24"/>
          <w:szCs w:val="24"/>
        </w:rPr>
        <w:t>Engl</w:t>
      </w:r>
      <w:proofErr w:type="spellEnd"/>
      <w:r w:rsidRPr="00FA3F9C">
        <w:rPr>
          <w:rFonts w:ascii="Arial" w:hAnsi="Arial" w:cs="Arial"/>
          <w:sz w:val="24"/>
          <w:szCs w:val="24"/>
        </w:rPr>
        <w:t xml:space="preserve"> J Med 2014;371:326-38.</w:t>
      </w:r>
    </w:p>
    <w:p w14:paraId="06304FED" w14:textId="77777777" w:rsidR="00C3036D" w:rsidRPr="00FA3F9C" w:rsidRDefault="00C3036D" w:rsidP="006F623F">
      <w:pPr>
        <w:spacing w:after="0"/>
        <w:rPr>
          <w:rFonts w:ascii="Arial" w:hAnsi="Arial" w:cs="Arial"/>
          <w:sz w:val="24"/>
          <w:szCs w:val="24"/>
        </w:rPr>
      </w:pPr>
      <w:r w:rsidRPr="00500AD5">
        <w:rPr>
          <w:rFonts w:ascii="Arial" w:hAnsi="Arial" w:cs="Arial"/>
          <w:sz w:val="24"/>
          <w:szCs w:val="24"/>
        </w:rPr>
        <w:lastRenderedPageBreak/>
        <w:t xml:space="preserve">2.  </w:t>
      </w:r>
      <w:proofErr w:type="spellStart"/>
      <w:r w:rsidRPr="00500AD5">
        <w:rPr>
          <w:rFonts w:ascii="Arial" w:hAnsi="Arial" w:cs="Arial"/>
          <w:sz w:val="24"/>
          <w:szCs w:val="24"/>
        </w:rPr>
        <w:t>Menter</w:t>
      </w:r>
      <w:proofErr w:type="spellEnd"/>
      <w:r w:rsidRPr="00500AD5">
        <w:rPr>
          <w:rFonts w:ascii="Arial" w:hAnsi="Arial" w:cs="Arial"/>
          <w:sz w:val="24"/>
          <w:szCs w:val="24"/>
        </w:rPr>
        <w:t xml:space="preserve"> A, </w:t>
      </w:r>
      <w:proofErr w:type="spellStart"/>
      <w:r w:rsidRPr="00500AD5">
        <w:rPr>
          <w:rFonts w:ascii="Arial" w:hAnsi="Arial" w:cs="Arial"/>
          <w:sz w:val="24"/>
          <w:szCs w:val="24"/>
        </w:rPr>
        <w:t>Korman</w:t>
      </w:r>
      <w:proofErr w:type="spellEnd"/>
      <w:r w:rsidRPr="00500AD5">
        <w:rPr>
          <w:rFonts w:ascii="Arial" w:hAnsi="Arial" w:cs="Arial"/>
          <w:sz w:val="24"/>
          <w:szCs w:val="24"/>
        </w:rPr>
        <w:t xml:space="preserve"> NJ, </w:t>
      </w:r>
      <w:proofErr w:type="spellStart"/>
      <w:r w:rsidRPr="00500AD5">
        <w:rPr>
          <w:rFonts w:ascii="Arial" w:hAnsi="Arial" w:cs="Arial"/>
          <w:sz w:val="24"/>
          <w:szCs w:val="24"/>
        </w:rPr>
        <w:t>Elmets</w:t>
      </w:r>
      <w:proofErr w:type="spellEnd"/>
      <w:r w:rsidRPr="00500AD5">
        <w:rPr>
          <w:rFonts w:ascii="Arial" w:hAnsi="Arial" w:cs="Arial"/>
          <w:sz w:val="24"/>
          <w:szCs w:val="24"/>
        </w:rPr>
        <w:t xml:space="preserve"> CA, et al.  </w:t>
      </w:r>
      <w:r w:rsidRPr="00FA3F9C">
        <w:rPr>
          <w:rFonts w:ascii="Arial" w:hAnsi="Arial" w:cs="Arial"/>
          <w:sz w:val="24"/>
          <w:szCs w:val="24"/>
        </w:rPr>
        <w:t xml:space="preserve">Guidelines of care for the management of psoriasis and psoriatic arthritis.  J Am </w:t>
      </w:r>
      <w:proofErr w:type="spellStart"/>
      <w:r w:rsidRPr="00FA3F9C">
        <w:rPr>
          <w:rFonts w:ascii="Arial" w:hAnsi="Arial" w:cs="Arial"/>
          <w:sz w:val="24"/>
          <w:szCs w:val="24"/>
        </w:rPr>
        <w:t>Acad</w:t>
      </w:r>
      <w:proofErr w:type="spellEnd"/>
      <w:r w:rsidRPr="00FA3F9C">
        <w:rPr>
          <w:rFonts w:ascii="Arial" w:hAnsi="Arial" w:cs="Arial"/>
          <w:sz w:val="24"/>
          <w:szCs w:val="24"/>
        </w:rPr>
        <w:t xml:space="preserve"> Dermatol. 2010;62:114-35.</w:t>
      </w:r>
    </w:p>
    <w:p w14:paraId="0676E016" w14:textId="77777777" w:rsidR="00C3036D" w:rsidRPr="00FA3F9C" w:rsidRDefault="00C3036D" w:rsidP="006F623F">
      <w:pPr>
        <w:spacing w:after="0"/>
        <w:rPr>
          <w:rFonts w:ascii="Arial" w:hAnsi="Arial" w:cs="Arial"/>
          <w:sz w:val="24"/>
          <w:szCs w:val="24"/>
        </w:rPr>
      </w:pPr>
      <w:r w:rsidRPr="00FA3F9C">
        <w:rPr>
          <w:rFonts w:ascii="Arial" w:hAnsi="Arial" w:cs="Arial"/>
          <w:sz w:val="24"/>
          <w:szCs w:val="24"/>
        </w:rPr>
        <w:t xml:space="preserve">3.  </w:t>
      </w:r>
      <w:proofErr w:type="spellStart"/>
      <w:r w:rsidRPr="00FA3F9C">
        <w:rPr>
          <w:rFonts w:ascii="Arial" w:hAnsi="Arial" w:cs="Arial"/>
          <w:sz w:val="24"/>
          <w:szCs w:val="24"/>
        </w:rPr>
        <w:t>Menter</w:t>
      </w:r>
      <w:proofErr w:type="spellEnd"/>
      <w:r w:rsidRPr="00FA3F9C">
        <w:rPr>
          <w:rFonts w:ascii="Arial" w:hAnsi="Arial" w:cs="Arial"/>
          <w:sz w:val="24"/>
          <w:szCs w:val="24"/>
        </w:rPr>
        <w:t xml:space="preserve"> A, </w:t>
      </w:r>
      <w:proofErr w:type="spellStart"/>
      <w:r w:rsidRPr="00FA3F9C">
        <w:rPr>
          <w:rFonts w:ascii="Arial" w:hAnsi="Arial" w:cs="Arial"/>
          <w:sz w:val="24"/>
          <w:szCs w:val="24"/>
        </w:rPr>
        <w:t>Korman</w:t>
      </w:r>
      <w:proofErr w:type="spellEnd"/>
      <w:r w:rsidRPr="00FA3F9C">
        <w:rPr>
          <w:rFonts w:ascii="Arial" w:hAnsi="Arial" w:cs="Arial"/>
          <w:sz w:val="24"/>
          <w:szCs w:val="24"/>
        </w:rPr>
        <w:t xml:space="preserve"> NJ, </w:t>
      </w:r>
      <w:proofErr w:type="spellStart"/>
      <w:r w:rsidRPr="00FA3F9C">
        <w:rPr>
          <w:rFonts w:ascii="Arial" w:hAnsi="Arial" w:cs="Arial"/>
          <w:sz w:val="24"/>
          <w:szCs w:val="24"/>
        </w:rPr>
        <w:t>Elmets</w:t>
      </w:r>
      <w:proofErr w:type="spellEnd"/>
      <w:r w:rsidRPr="00FA3F9C">
        <w:rPr>
          <w:rFonts w:ascii="Arial" w:hAnsi="Arial" w:cs="Arial"/>
          <w:sz w:val="24"/>
          <w:szCs w:val="24"/>
        </w:rPr>
        <w:t xml:space="preserve"> CA, et al.  Guidelines of care for the management of psoriasis and psoriatic arthritis: Section 3.  Guidelines w/ topical therapies.  J Am </w:t>
      </w:r>
      <w:proofErr w:type="spellStart"/>
      <w:r w:rsidRPr="00FA3F9C">
        <w:rPr>
          <w:rFonts w:ascii="Arial" w:hAnsi="Arial" w:cs="Arial"/>
          <w:sz w:val="24"/>
          <w:szCs w:val="24"/>
        </w:rPr>
        <w:t>Acad</w:t>
      </w:r>
      <w:proofErr w:type="spellEnd"/>
      <w:r w:rsidRPr="00FA3F9C">
        <w:rPr>
          <w:rFonts w:ascii="Arial" w:hAnsi="Arial" w:cs="Arial"/>
          <w:sz w:val="24"/>
          <w:szCs w:val="24"/>
        </w:rPr>
        <w:t xml:space="preserve"> Dermatol. 2009;60:643-59.</w:t>
      </w:r>
    </w:p>
    <w:p w14:paraId="197F6D2F" w14:textId="77777777" w:rsidR="00C3036D" w:rsidRPr="00FA3F9C" w:rsidRDefault="00C3036D" w:rsidP="006F623F">
      <w:pPr>
        <w:spacing w:after="0"/>
        <w:rPr>
          <w:rFonts w:ascii="Arial" w:hAnsi="Arial" w:cs="Arial"/>
          <w:sz w:val="24"/>
          <w:szCs w:val="24"/>
        </w:rPr>
      </w:pPr>
      <w:r w:rsidRPr="00FA3F9C">
        <w:rPr>
          <w:rFonts w:ascii="Arial" w:hAnsi="Arial" w:cs="Arial"/>
          <w:sz w:val="24"/>
          <w:szCs w:val="24"/>
        </w:rPr>
        <w:t>4.  Gelfand JM, Wan J, Duffin KC, et al.  Comparative effectiveness of commonly used systemic treatments or phototherapy for moderate to severe plaque psoriasis in the clinical practice setting.  Arch Dermatol. 2012;148(4)487-494.</w:t>
      </w:r>
    </w:p>
    <w:p w14:paraId="488C5899" w14:textId="77777777" w:rsidR="00C3036D" w:rsidRPr="00FA3F9C" w:rsidRDefault="00C3036D" w:rsidP="006F623F">
      <w:pPr>
        <w:spacing w:after="0"/>
        <w:rPr>
          <w:rFonts w:ascii="Arial" w:hAnsi="Arial" w:cs="Arial"/>
          <w:sz w:val="24"/>
          <w:szCs w:val="24"/>
        </w:rPr>
      </w:pPr>
      <w:r w:rsidRPr="00FA3F9C">
        <w:rPr>
          <w:rFonts w:ascii="Arial" w:hAnsi="Arial" w:cs="Arial"/>
          <w:sz w:val="24"/>
          <w:szCs w:val="24"/>
        </w:rPr>
        <w:t xml:space="preserve">5.  UpToDate.  </w:t>
      </w:r>
      <w:hyperlink r:id="rId373" w:anchor="H30" w:history="1">
        <w:r w:rsidRPr="00FA3F9C">
          <w:rPr>
            <w:rStyle w:val="Hyperlink"/>
            <w:rFonts w:ascii="Arial" w:hAnsi="Arial" w:cs="Arial"/>
            <w:sz w:val="24"/>
            <w:szCs w:val="24"/>
          </w:rPr>
          <w:t>http://www.uptodate.com/contents/treatment-of-psoriasis?source=machineLearning&amp;search=plaque+psoriasis&amp;selectedTitle=1~47&amp;sectionRank=2&amp;anchor=H30#H30</w:t>
        </w:r>
      </w:hyperlink>
      <w:r w:rsidRPr="00FA3F9C">
        <w:rPr>
          <w:rFonts w:ascii="Arial" w:hAnsi="Arial" w:cs="Arial"/>
          <w:sz w:val="24"/>
          <w:szCs w:val="24"/>
        </w:rPr>
        <w:t>.  Accessed 5/29/15.</w:t>
      </w:r>
    </w:p>
    <w:p w14:paraId="4B2FCC15" w14:textId="77777777" w:rsidR="00C3036D" w:rsidRPr="00FA3F9C" w:rsidRDefault="00C3036D" w:rsidP="006756E9">
      <w:pPr>
        <w:spacing w:after="0"/>
        <w:rPr>
          <w:rFonts w:ascii="Arial" w:eastAsia="Times New Roman" w:hAnsi="Arial" w:cs="Arial"/>
          <w:color w:val="222222"/>
          <w:sz w:val="24"/>
          <w:szCs w:val="24"/>
          <w:shd w:val="clear" w:color="auto" w:fill="FFFFFF"/>
        </w:rPr>
      </w:pPr>
      <w:r w:rsidRPr="00FA3F9C">
        <w:rPr>
          <w:rFonts w:ascii="Arial" w:hAnsi="Arial" w:cs="Arial"/>
          <w:sz w:val="24"/>
          <w:szCs w:val="24"/>
        </w:rPr>
        <w:t xml:space="preserve">6.  </w:t>
      </w:r>
      <w:proofErr w:type="spellStart"/>
      <w:r w:rsidRPr="00FA3F9C">
        <w:rPr>
          <w:rFonts w:ascii="Arial" w:eastAsia="Times New Roman" w:hAnsi="Arial" w:cs="Arial"/>
          <w:color w:val="222222"/>
          <w:sz w:val="24"/>
          <w:szCs w:val="24"/>
          <w:shd w:val="clear" w:color="auto" w:fill="FFFFFF"/>
        </w:rPr>
        <w:t>Mease</w:t>
      </w:r>
      <w:proofErr w:type="spellEnd"/>
      <w:r w:rsidRPr="00FA3F9C">
        <w:rPr>
          <w:rFonts w:ascii="Arial" w:eastAsia="Times New Roman" w:hAnsi="Arial" w:cs="Arial"/>
          <w:color w:val="222222"/>
          <w:sz w:val="24"/>
          <w:szCs w:val="24"/>
          <w:shd w:val="clear" w:color="auto" w:fill="FFFFFF"/>
        </w:rPr>
        <w:t>, Philip J., et al. "</w:t>
      </w:r>
      <w:proofErr w:type="spellStart"/>
      <w:r w:rsidRPr="00FA3F9C">
        <w:rPr>
          <w:rFonts w:ascii="Arial" w:eastAsia="Times New Roman" w:hAnsi="Arial" w:cs="Arial"/>
          <w:color w:val="222222"/>
          <w:sz w:val="24"/>
          <w:szCs w:val="24"/>
          <w:shd w:val="clear" w:color="auto" w:fill="FFFFFF"/>
        </w:rPr>
        <w:t>Secukinumab</w:t>
      </w:r>
      <w:proofErr w:type="spellEnd"/>
      <w:r w:rsidRPr="00FA3F9C">
        <w:rPr>
          <w:rFonts w:ascii="Arial" w:eastAsia="Times New Roman" w:hAnsi="Arial" w:cs="Arial"/>
          <w:color w:val="222222"/>
          <w:sz w:val="24"/>
          <w:szCs w:val="24"/>
          <w:shd w:val="clear" w:color="auto" w:fill="FFFFFF"/>
        </w:rPr>
        <w:t xml:space="preserve"> inhibition of interleukin-17A in patients with psoriatic arthritis." </w:t>
      </w:r>
      <w:r w:rsidRPr="00FA3F9C">
        <w:rPr>
          <w:rFonts w:ascii="Arial" w:eastAsia="Times New Roman" w:hAnsi="Arial" w:cs="Arial"/>
          <w:i/>
          <w:iCs/>
          <w:color w:val="222222"/>
          <w:sz w:val="24"/>
          <w:szCs w:val="24"/>
          <w:shd w:val="clear" w:color="auto" w:fill="FFFFFF"/>
        </w:rPr>
        <w:t>New England Journal of Medicine</w:t>
      </w:r>
      <w:r w:rsidRPr="00FA3F9C">
        <w:rPr>
          <w:rFonts w:ascii="Arial" w:eastAsia="Times New Roman" w:hAnsi="Arial" w:cs="Arial"/>
          <w:color w:val="222222"/>
          <w:sz w:val="24"/>
          <w:szCs w:val="24"/>
          <w:shd w:val="clear" w:color="auto" w:fill="FFFFFF"/>
        </w:rPr>
        <w:t> 373.14 (2015): 1329-1339.</w:t>
      </w:r>
    </w:p>
    <w:p w14:paraId="03B52E0E" w14:textId="77777777" w:rsidR="00C3036D" w:rsidRPr="00FA3F9C" w:rsidRDefault="00C3036D" w:rsidP="006756E9">
      <w:pPr>
        <w:rPr>
          <w:rFonts w:ascii="Arial" w:eastAsia="Times New Roman" w:hAnsi="Arial" w:cs="Arial"/>
          <w:sz w:val="24"/>
          <w:szCs w:val="24"/>
        </w:rPr>
      </w:pPr>
      <w:r w:rsidRPr="00FA3F9C">
        <w:rPr>
          <w:rFonts w:ascii="Arial" w:eastAsia="Times New Roman" w:hAnsi="Arial" w:cs="Arial"/>
          <w:color w:val="222222"/>
          <w:sz w:val="24"/>
          <w:szCs w:val="24"/>
          <w:shd w:val="clear" w:color="auto" w:fill="FFFFFF"/>
        </w:rPr>
        <w:t xml:space="preserve">7.  </w:t>
      </w:r>
      <w:proofErr w:type="spellStart"/>
      <w:r w:rsidRPr="00FA3F9C">
        <w:rPr>
          <w:rFonts w:ascii="Arial" w:eastAsia="Times New Roman" w:hAnsi="Arial" w:cs="Arial"/>
          <w:color w:val="222222"/>
          <w:sz w:val="24"/>
          <w:szCs w:val="24"/>
          <w:shd w:val="clear" w:color="auto" w:fill="FFFFFF"/>
        </w:rPr>
        <w:t>Baeten</w:t>
      </w:r>
      <w:proofErr w:type="spellEnd"/>
      <w:r w:rsidRPr="00FA3F9C">
        <w:rPr>
          <w:rFonts w:ascii="Arial" w:eastAsia="Times New Roman" w:hAnsi="Arial" w:cs="Arial"/>
          <w:color w:val="222222"/>
          <w:sz w:val="24"/>
          <w:szCs w:val="24"/>
          <w:shd w:val="clear" w:color="auto" w:fill="FFFFFF"/>
        </w:rPr>
        <w:t>, Dominique, et al. "</w:t>
      </w:r>
      <w:proofErr w:type="spellStart"/>
      <w:r w:rsidRPr="00FA3F9C">
        <w:rPr>
          <w:rFonts w:ascii="Arial" w:eastAsia="Times New Roman" w:hAnsi="Arial" w:cs="Arial"/>
          <w:color w:val="222222"/>
          <w:sz w:val="24"/>
          <w:szCs w:val="24"/>
          <w:shd w:val="clear" w:color="auto" w:fill="FFFFFF"/>
        </w:rPr>
        <w:t>Secukinumab</w:t>
      </w:r>
      <w:proofErr w:type="spellEnd"/>
      <w:r w:rsidRPr="00FA3F9C">
        <w:rPr>
          <w:rFonts w:ascii="Arial" w:eastAsia="Times New Roman" w:hAnsi="Arial" w:cs="Arial"/>
          <w:color w:val="222222"/>
          <w:sz w:val="24"/>
          <w:szCs w:val="24"/>
          <w:shd w:val="clear" w:color="auto" w:fill="FFFFFF"/>
        </w:rPr>
        <w:t>, an interleukin-17A inhibitor, in ankylosing spondylitis." </w:t>
      </w:r>
      <w:r w:rsidRPr="00FA3F9C">
        <w:rPr>
          <w:rFonts w:ascii="Arial" w:eastAsia="Times New Roman" w:hAnsi="Arial" w:cs="Arial"/>
          <w:i/>
          <w:iCs/>
          <w:color w:val="222222"/>
          <w:sz w:val="24"/>
          <w:szCs w:val="24"/>
          <w:shd w:val="clear" w:color="auto" w:fill="FFFFFF"/>
        </w:rPr>
        <w:t>New England Journal of Medicine</w:t>
      </w:r>
      <w:r w:rsidRPr="00FA3F9C">
        <w:rPr>
          <w:rFonts w:ascii="Arial" w:eastAsia="Times New Roman" w:hAnsi="Arial" w:cs="Arial"/>
          <w:color w:val="222222"/>
          <w:sz w:val="24"/>
          <w:szCs w:val="24"/>
          <w:shd w:val="clear" w:color="auto" w:fill="FFFFFF"/>
        </w:rPr>
        <w:t> 373.26 (2015): 2534-2548.</w:t>
      </w:r>
    </w:p>
    <w:p w14:paraId="58B47C31" w14:textId="77777777" w:rsidR="00C3036D" w:rsidRPr="00FA3F9C" w:rsidRDefault="00C3036D" w:rsidP="005510D0">
      <w:pPr>
        <w:rPr>
          <w:rFonts w:ascii="Arial" w:eastAsia="Times New Roman" w:hAnsi="Arial" w:cs="Arial"/>
          <w:sz w:val="24"/>
          <w:szCs w:val="24"/>
        </w:rPr>
      </w:pPr>
    </w:p>
    <w:p w14:paraId="1F0D4AFB" w14:textId="77777777" w:rsidR="00C3036D" w:rsidRPr="00FA3F9C" w:rsidRDefault="00C3036D" w:rsidP="006F623F">
      <w:pPr>
        <w:spacing w:after="0"/>
        <w:rPr>
          <w:rFonts w:ascii="Arial" w:hAnsi="Arial" w:cs="Arial"/>
          <w:sz w:val="24"/>
          <w:szCs w:val="24"/>
        </w:rPr>
      </w:pPr>
    </w:p>
    <w:p w14:paraId="5C02373B" w14:textId="77777777" w:rsidR="00C3036D" w:rsidRPr="00FA3F9C" w:rsidRDefault="00C3036D" w:rsidP="006F623F">
      <w:pPr>
        <w:spacing w:after="0"/>
        <w:rPr>
          <w:rFonts w:ascii="Arial" w:hAnsi="Arial" w:cs="Arial"/>
          <w:sz w:val="24"/>
          <w:szCs w:val="24"/>
        </w:rPr>
      </w:pPr>
    </w:p>
    <w:p w14:paraId="5C0DA72D" w14:textId="77777777" w:rsidR="00C3036D" w:rsidRPr="00FA3F9C" w:rsidRDefault="00C3036D" w:rsidP="006F623F">
      <w:pPr>
        <w:spacing w:after="0"/>
        <w:rPr>
          <w:rFonts w:ascii="Arial" w:hAnsi="Arial" w:cs="Arial"/>
          <w:sz w:val="24"/>
          <w:szCs w:val="24"/>
        </w:rPr>
      </w:pPr>
    </w:p>
    <w:p w14:paraId="0F9B0C29" w14:textId="2AFAFCFE" w:rsidR="00C3036D" w:rsidRDefault="00C3036D" w:rsidP="0078218F">
      <w:pPr>
        <w:pStyle w:val="Heading2"/>
      </w:pPr>
      <w:bookmarkStart w:id="302" w:name="_Toc106369925"/>
      <w:proofErr w:type="spellStart"/>
      <w:r w:rsidRPr="00FA3F9C">
        <w:t>Emsam</w:t>
      </w:r>
      <w:proofErr w:type="spellEnd"/>
      <w:r w:rsidRPr="00FA3F9C">
        <w:sym w:font="Symbol" w:char="F0D2"/>
      </w:r>
      <w:r w:rsidRPr="00FA3F9C">
        <w:t xml:space="preserve"> (selegiline transdermal system)</w:t>
      </w:r>
      <w:bookmarkEnd w:id="302"/>
    </w:p>
    <w:p w14:paraId="4A2E3D10" w14:textId="0B7E9D7B" w:rsidR="00C3036D" w:rsidRPr="0078218F" w:rsidRDefault="0078218F" w:rsidP="0078218F">
      <w:pPr>
        <w:jc w:val="center"/>
        <w:rPr>
          <w:rFonts w:ascii="Arial" w:hAnsi="Arial" w:cs="Arial"/>
          <w:b/>
          <w:sz w:val="24"/>
          <w:szCs w:val="24"/>
        </w:rPr>
      </w:pPr>
      <w:r w:rsidRPr="00FA3F9C">
        <w:rPr>
          <w:rFonts w:ascii="Arial" w:hAnsi="Arial" w:cs="Arial"/>
          <w:b/>
          <w:sz w:val="24"/>
          <w:szCs w:val="24"/>
        </w:rPr>
        <w:t>EBRx</w:t>
      </w:r>
      <w:r>
        <w:rPr>
          <w:rFonts w:ascii="Arial" w:hAnsi="Arial" w:cs="Arial"/>
          <w:b/>
          <w:sz w:val="24"/>
          <w:szCs w:val="24"/>
        </w:rPr>
        <w:t xml:space="preserve"> </w:t>
      </w:r>
      <w:r w:rsidRPr="00FA3F9C">
        <w:rPr>
          <w:rFonts w:ascii="Arial" w:hAnsi="Arial" w:cs="Arial"/>
          <w:b/>
          <w:sz w:val="24"/>
          <w:szCs w:val="24"/>
        </w:rPr>
        <w:t>Prior Authorization Criteria</w:t>
      </w:r>
    </w:p>
    <w:p w14:paraId="6AE9632E" w14:textId="77777777" w:rsidR="00C3036D" w:rsidRPr="00FA3F9C" w:rsidRDefault="00C3036D">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18"/>
        <w:gridCol w:w="2538"/>
      </w:tblGrid>
      <w:tr w:rsidR="00C3036D" w:rsidRPr="00FA3F9C" w14:paraId="6B63BFEE" w14:textId="77777777" w:rsidTr="00107678">
        <w:tc>
          <w:tcPr>
            <w:tcW w:w="6318" w:type="dxa"/>
          </w:tcPr>
          <w:p w14:paraId="168EC9C9" w14:textId="77777777" w:rsidR="00C3036D" w:rsidRPr="00FA3F9C" w:rsidRDefault="00C3036D">
            <w:pPr>
              <w:rPr>
                <w:rFonts w:ascii="Arial" w:hAnsi="Arial" w:cs="Arial"/>
                <w:sz w:val="24"/>
                <w:szCs w:val="24"/>
              </w:rPr>
            </w:pPr>
            <w:r w:rsidRPr="00FA3F9C">
              <w:rPr>
                <w:rFonts w:ascii="Arial" w:hAnsi="Arial" w:cs="Arial"/>
                <w:sz w:val="24"/>
                <w:szCs w:val="24"/>
              </w:rPr>
              <w:t>1.  Is the patient ≥ 18 years old with major depressive disorder?</w:t>
            </w:r>
          </w:p>
        </w:tc>
        <w:tc>
          <w:tcPr>
            <w:tcW w:w="2538" w:type="dxa"/>
          </w:tcPr>
          <w:p w14:paraId="7EDFD10C" w14:textId="77777777" w:rsidR="00C3036D" w:rsidRPr="00FA3F9C" w:rsidRDefault="00C3036D">
            <w:pPr>
              <w:rPr>
                <w:rFonts w:ascii="Arial" w:hAnsi="Arial" w:cs="Arial"/>
                <w:sz w:val="24"/>
                <w:szCs w:val="24"/>
              </w:rPr>
            </w:pPr>
            <w:r w:rsidRPr="00FA3F9C">
              <w:rPr>
                <w:rFonts w:ascii="Arial" w:hAnsi="Arial" w:cs="Arial"/>
                <w:sz w:val="24"/>
                <w:szCs w:val="24"/>
              </w:rPr>
              <w:sym w:font="Symbol" w:char="F0F0"/>
            </w:r>
            <w:r w:rsidRPr="00FA3F9C">
              <w:rPr>
                <w:rFonts w:ascii="Arial" w:hAnsi="Arial" w:cs="Arial"/>
                <w:sz w:val="24"/>
                <w:szCs w:val="24"/>
              </w:rPr>
              <w:t xml:space="preserve"> Yes         </w:t>
            </w:r>
            <w:r w:rsidRPr="00FA3F9C">
              <w:rPr>
                <w:rFonts w:ascii="Arial" w:hAnsi="Arial" w:cs="Arial"/>
                <w:sz w:val="24"/>
                <w:szCs w:val="24"/>
              </w:rPr>
              <w:sym w:font="Symbol" w:char="F0F0"/>
            </w:r>
            <w:r w:rsidRPr="00FA3F9C">
              <w:rPr>
                <w:rFonts w:ascii="Arial" w:hAnsi="Arial" w:cs="Arial"/>
                <w:sz w:val="24"/>
                <w:szCs w:val="24"/>
              </w:rPr>
              <w:t xml:space="preserve"> No</w:t>
            </w:r>
          </w:p>
        </w:tc>
      </w:tr>
      <w:tr w:rsidR="00C3036D" w:rsidRPr="00FA3F9C" w14:paraId="2221DC98" w14:textId="77777777" w:rsidTr="00107678">
        <w:tc>
          <w:tcPr>
            <w:tcW w:w="6318" w:type="dxa"/>
          </w:tcPr>
          <w:p w14:paraId="6CC6EFFD" w14:textId="77777777" w:rsidR="00C3036D" w:rsidRPr="00FA3F9C" w:rsidRDefault="00C3036D">
            <w:pPr>
              <w:rPr>
                <w:rFonts w:ascii="Arial" w:hAnsi="Arial" w:cs="Arial"/>
                <w:sz w:val="24"/>
                <w:szCs w:val="24"/>
              </w:rPr>
            </w:pPr>
            <w:r w:rsidRPr="00FA3F9C">
              <w:rPr>
                <w:rFonts w:ascii="Arial" w:hAnsi="Arial" w:cs="Arial"/>
                <w:sz w:val="24"/>
                <w:szCs w:val="24"/>
              </w:rPr>
              <w:t>2.* Is the patient unable to take oral tablets?</w:t>
            </w:r>
          </w:p>
        </w:tc>
        <w:tc>
          <w:tcPr>
            <w:tcW w:w="2538" w:type="dxa"/>
          </w:tcPr>
          <w:p w14:paraId="26F1B7B8" w14:textId="77777777" w:rsidR="00C3036D" w:rsidRPr="00FA3F9C" w:rsidRDefault="00C3036D">
            <w:pPr>
              <w:rPr>
                <w:rFonts w:ascii="Arial" w:hAnsi="Arial" w:cs="Arial"/>
                <w:sz w:val="24"/>
                <w:szCs w:val="24"/>
              </w:rPr>
            </w:pPr>
            <w:r w:rsidRPr="00FA3F9C">
              <w:rPr>
                <w:rFonts w:ascii="Arial" w:hAnsi="Arial" w:cs="Arial"/>
                <w:sz w:val="24"/>
                <w:szCs w:val="24"/>
              </w:rPr>
              <w:sym w:font="Symbol" w:char="F0F0"/>
            </w:r>
            <w:r w:rsidRPr="00FA3F9C">
              <w:rPr>
                <w:rFonts w:ascii="Arial" w:hAnsi="Arial" w:cs="Arial"/>
                <w:sz w:val="24"/>
                <w:szCs w:val="24"/>
              </w:rPr>
              <w:t xml:space="preserve"> Yes         </w:t>
            </w:r>
            <w:r w:rsidRPr="00FA3F9C">
              <w:rPr>
                <w:rFonts w:ascii="Arial" w:hAnsi="Arial" w:cs="Arial"/>
                <w:sz w:val="24"/>
                <w:szCs w:val="24"/>
              </w:rPr>
              <w:sym w:font="Symbol" w:char="F0F0"/>
            </w:r>
            <w:r w:rsidRPr="00FA3F9C">
              <w:rPr>
                <w:rFonts w:ascii="Arial" w:hAnsi="Arial" w:cs="Arial"/>
                <w:sz w:val="24"/>
                <w:szCs w:val="24"/>
              </w:rPr>
              <w:t xml:space="preserve"> No</w:t>
            </w:r>
          </w:p>
        </w:tc>
      </w:tr>
      <w:tr w:rsidR="00C3036D" w:rsidRPr="00FA3F9C" w14:paraId="029D5AF6" w14:textId="77777777" w:rsidTr="00107678">
        <w:tc>
          <w:tcPr>
            <w:tcW w:w="6318" w:type="dxa"/>
          </w:tcPr>
          <w:p w14:paraId="08188964" w14:textId="77777777" w:rsidR="00C3036D" w:rsidRPr="00FA3F9C" w:rsidRDefault="00C3036D" w:rsidP="00FC1E85">
            <w:pPr>
              <w:numPr>
                <w:ilvl w:val="0"/>
                <w:numId w:val="471"/>
              </w:numPr>
              <w:spacing w:after="0" w:line="240" w:lineRule="auto"/>
              <w:rPr>
                <w:rFonts w:ascii="Arial" w:hAnsi="Arial" w:cs="Arial"/>
                <w:sz w:val="24"/>
                <w:szCs w:val="24"/>
              </w:rPr>
            </w:pPr>
            <w:r w:rsidRPr="00FA3F9C">
              <w:rPr>
                <w:rFonts w:ascii="Arial" w:hAnsi="Arial" w:cs="Arial"/>
                <w:sz w:val="24"/>
                <w:szCs w:val="24"/>
              </w:rPr>
              <w:t xml:space="preserve">Is the patient currently </w:t>
            </w:r>
            <w:r w:rsidRPr="00FA3F9C">
              <w:rPr>
                <w:rFonts w:ascii="Arial" w:hAnsi="Arial" w:cs="Arial"/>
                <w:b/>
                <w:sz w:val="24"/>
                <w:szCs w:val="24"/>
              </w:rPr>
              <w:t>NOT</w:t>
            </w:r>
            <w:r w:rsidRPr="00FA3F9C">
              <w:rPr>
                <w:rFonts w:ascii="Arial" w:hAnsi="Arial" w:cs="Arial"/>
                <w:sz w:val="24"/>
                <w:szCs w:val="24"/>
              </w:rPr>
              <w:t xml:space="preserve"> taking any of the </w:t>
            </w:r>
            <w:proofErr w:type="gramStart"/>
            <w:r w:rsidRPr="00FA3F9C">
              <w:rPr>
                <w:rFonts w:ascii="Arial" w:hAnsi="Arial" w:cs="Arial"/>
                <w:sz w:val="24"/>
                <w:szCs w:val="24"/>
              </w:rPr>
              <w:t>following:</w:t>
            </w:r>
            <w:proofErr w:type="gramEnd"/>
          </w:p>
          <w:p w14:paraId="305B7076" w14:textId="77777777" w:rsidR="00C3036D" w:rsidRPr="00FA3F9C" w:rsidRDefault="00C3036D" w:rsidP="00107678">
            <w:pPr>
              <w:ind w:left="360"/>
              <w:rPr>
                <w:rFonts w:ascii="Arial" w:hAnsi="Arial" w:cs="Arial"/>
                <w:color w:val="000000"/>
                <w:sz w:val="24"/>
                <w:szCs w:val="24"/>
              </w:rPr>
            </w:pPr>
            <w:r w:rsidRPr="00FA3F9C">
              <w:rPr>
                <w:rFonts w:ascii="Arial" w:hAnsi="Arial" w:cs="Arial"/>
                <w:color w:val="000000"/>
                <w:sz w:val="24"/>
                <w:szCs w:val="24"/>
                <w:u w:val="single"/>
              </w:rPr>
              <w:t>other medications to treat depression</w:t>
            </w:r>
            <w:r w:rsidRPr="00FA3F9C">
              <w:rPr>
                <w:rFonts w:ascii="Arial" w:hAnsi="Arial" w:cs="Arial"/>
                <w:color w:val="000000"/>
                <w:sz w:val="24"/>
                <w:szCs w:val="24"/>
              </w:rPr>
              <w:t xml:space="preserve"> including but not limited to fluoxetine, paroxetine, Celexa®, </w:t>
            </w:r>
            <w:r w:rsidRPr="00FA3F9C">
              <w:rPr>
                <w:rFonts w:ascii="Arial" w:hAnsi="Arial" w:cs="Arial"/>
                <w:color w:val="000000"/>
                <w:sz w:val="24"/>
                <w:szCs w:val="24"/>
              </w:rPr>
              <w:lastRenderedPageBreak/>
              <w:t xml:space="preserve">Effexor®, Lexapro™, Paxil®, Zoloft®, duloxetine, amitriptyline, doxepin, nortriptyline, imipramine, Wellbutrin®, mirtazapine, buspirone, </w:t>
            </w:r>
            <w:proofErr w:type="spellStart"/>
            <w:r w:rsidRPr="00FA3F9C">
              <w:rPr>
                <w:rFonts w:ascii="Arial" w:hAnsi="Arial" w:cs="Arial"/>
                <w:color w:val="000000"/>
                <w:sz w:val="24"/>
                <w:szCs w:val="24"/>
              </w:rPr>
              <w:t>Eldepryl</w:t>
            </w:r>
            <w:proofErr w:type="spellEnd"/>
            <w:r w:rsidRPr="00FA3F9C">
              <w:rPr>
                <w:rFonts w:ascii="Arial" w:hAnsi="Arial" w:cs="Arial"/>
                <w:color w:val="000000"/>
                <w:sz w:val="24"/>
                <w:szCs w:val="24"/>
              </w:rPr>
              <w:t xml:space="preserve">®, </w:t>
            </w:r>
            <w:proofErr w:type="spellStart"/>
            <w:r w:rsidRPr="00FA3F9C">
              <w:rPr>
                <w:rFonts w:ascii="Arial" w:hAnsi="Arial" w:cs="Arial"/>
                <w:color w:val="000000"/>
                <w:sz w:val="24"/>
                <w:szCs w:val="24"/>
              </w:rPr>
              <w:t>Marplan</w:t>
            </w:r>
            <w:proofErr w:type="spellEnd"/>
            <w:r w:rsidRPr="00FA3F9C">
              <w:rPr>
                <w:rFonts w:ascii="Arial" w:hAnsi="Arial" w:cs="Arial"/>
                <w:color w:val="000000"/>
                <w:sz w:val="24"/>
                <w:szCs w:val="24"/>
              </w:rPr>
              <w:t xml:space="preserve">®, </w:t>
            </w:r>
            <w:proofErr w:type="spellStart"/>
            <w:r w:rsidRPr="00FA3F9C">
              <w:rPr>
                <w:rFonts w:ascii="Arial" w:hAnsi="Arial" w:cs="Arial"/>
                <w:color w:val="000000"/>
                <w:sz w:val="24"/>
                <w:szCs w:val="24"/>
              </w:rPr>
              <w:t>Nardil</w:t>
            </w:r>
            <w:proofErr w:type="spellEnd"/>
            <w:r w:rsidRPr="00FA3F9C">
              <w:rPr>
                <w:rFonts w:ascii="Arial" w:hAnsi="Arial" w:cs="Arial"/>
                <w:color w:val="000000"/>
                <w:sz w:val="24"/>
                <w:szCs w:val="24"/>
              </w:rPr>
              <w:t xml:space="preserve">®, </w:t>
            </w:r>
            <w:proofErr w:type="spellStart"/>
            <w:r w:rsidRPr="00FA3F9C">
              <w:rPr>
                <w:rFonts w:ascii="Arial" w:hAnsi="Arial" w:cs="Arial"/>
                <w:color w:val="000000"/>
                <w:sz w:val="24"/>
                <w:szCs w:val="24"/>
              </w:rPr>
              <w:t>Parnate</w:t>
            </w:r>
            <w:proofErr w:type="spellEnd"/>
            <w:r w:rsidRPr="00FA3F9C">
              <w:rPr>
                <w:rFonts w:ascii="Arial" w:hAnsi="Arial" w:cs="Arial"/>
                <w:color w:val="000000"/>
                <w:sz w:val="24"/>
                <w:szCs w:val="24"/>
              </w:rPr>
              <w:t>®, or St. John's wort?</w:t>
            </w:r>
          </w:p>
        </w:tc>
        <w:tc>
          <w:tcPr>
            <w:tcW w:w="2538" w:type="dxa"/>
          </w:tcPr>
          <w:p w14:paraId="3EF61C02" w14:textId="77777777" w:rsidR="00C3036D" w:rsidRPr="00FA3F9C" w:rsidRDefault="00C3036D" w:rsidP="00D234B3">
            <w:pPr>
              <w:rPr>
                <w:rFonts w:ascii="Arial" w:hAnsi="Arial" w:cs="Arial"/>
                <w:sz w:val="24"/>
                <w:szCs w:val="24"/>
              </w:rPr>
            </w:pPr>
            <w:r w:rsidRPr="00FA3F9C">
              <w:rPr>
                <w:rFonts w:ascii="Arial" w:hAnsi="Arial" w:cs="Arial"/>
                <w:sz w:val="24"/>
                <w:szCs w:val="24"/>
              </w:rPr>
              <w:lastRenderedPageBreak/>
              <w:sym w:font="Symbol" w:char="F0F0"/>
            </w:r>
            <w:r w:rsidRPr="00FA3F9C">
              <w:rPr>
                <w:rFonts w:ascii="Arial" w:hAnsi="Arial" w:cs="Arial"/>
                <w:sz w:val="24"/>
                <w:szCs w:val="24"/>
              </w:rPr>
              <w:t xml:space="preserve"> Yes         </w:t>
            </w:r>
            <w:r w:rsidRPr="00FA3F9C">
              <w:rPr>
                <w:rFonts w:ascii="Arial" w:hAnsi="Arial" w:cs="Arial"/>
                <w:sz w:val="24"/>
                <w:szCs w:val="24"/>
              </w:rPr>
              <w:sym w:font="Symbol" w:char="F0F0"/>
            </w:r>
            <w:r w:rsidRPr="00FA3F9C">
              <w:rPr>
                <w:rFonts w:ascii="Arial" w:hAnsi="Arial" w:cs="Arial"/>
                <w:sz w:val="24"/>
                <w:szCs w:val="24"/>
              </w:rPr>
              <w:t xml:space="preserve"> No</w:t>
            </w:r>
          </w:p>
        </w:tc>
      </w:tr>
      <w:tr w:rsidR="00C3036D" w:rsidRPr="00FA3F9C" w14:paraId="2B6DBFB4" w14:textId="77777777" w:rsidTr="00107678">
        <w:tc>
          <w:tcPr>
            <w:tcW w:w="6318" w:type="dxa"/>
          </w:tcPr>
          <w:p w14:paraId="69B747DC" w14:textId="77777777" w:rsidR="00C3036D" w:rsidRPr="00FA3F9C" w:rsidRDefault="00C3036D" w:rsidP="00FC1E85">
            <w:pPr>
              <w:numPr>
                <w:ilvl w:val="0"/>
                <w:numId w:val="471"/>
              </w:numPr>
              <w:spacing w:after="0" w:line="240" w:lineRule="auto"/>
              <w:rPr>
                <w:rFonts w:ascii="Arial" w:hAnsi="Arial" w:cs="Arial"/>
                <w:b/>
                <w:sz w:val="24"/>
                <w:szCs w:val="24"/>
              </w:rPr>
            </w:pPr>
            <w:r w:rsidRPr="00FA3F9C">
              <w:rPr>
                <w:rFonts w:ascii="Arial" w:hAnsi="Arial" w:cs="Arial"/>
                <w:sz w:val="24"/>
                <w:szCs w:val="24"/>
              </w:rPr>
              <w:t xml:space="preserve">Is the patient currently </w:t>
            </w:r>
            <w:r w:rsidRPr="00FA3F9C">
              <w:rPr>
                <w:rFonts w:ascii="Arial" w:hAnsi="Arial" w:cs="Arial"/>
                <w:b/>
                <w:sz w:val="24"/>
                <w:szCs w:val="24"/>
              </w:rPr>
              <w:t>NOT</w:t>
            </w:r>
            <w:r w:rsidRPr="00FA3F9C">
              <w:rPr>
                <w:rFonts w:ascii="Arial" w:hAnsi="Arial" w:cs="Arial"/>
                <w:sz w:val="24"/>
                <w:szCs w:val="24"/>
              </w:rPr>
              <w:t xml:space="preserve"> taking any of the </w:t>
            </w:r>
            <w:proofErr w:type="gramStart"/>
            <w:r w:rsidRPr="00FA3F9C">
              <w:rPr>
                <w:rFonts w:ascii="Arial" w:hAnsi="Arial" w:cs="Arial"/>
                <w:sz w:val="24"/>
                <w:szCs w:val="24"/>
              </w:rPr>
              <w:t>following</w:t>
            </w:r>
            <w:proofErr w:type="gramEnd"/>
          </w:p>
          <w:p w14:paraId="374CC17B" w14:textId="77777777" w:rsidR="00C3036D" w:rsidRPr="00FA3F9C" w:rsidRDefault="00C3036D" w:rsidP="00107678">
            <w:pPr>
              <w:ind w:left="360"/>
              <w:rPr>
                <w:rFonts w:ascii="Arial" w:hAnsi="Arial" w:cs="Arial"/>
                <w:b/>
                <w:sz w:val="24"/>
                <w:szCs w:val="24"/>
              </w:rPr>
            </w:pPr>
            <w:r w:rsidRPr="00FA3F9C">
              <w:rPr>
                <w:rFonts w:ascii="Arial" w:hAnsi="Arial" w:cs="Arial"/>
                <w:color w:val="000000"/>
                <w:sz w:val="24"/>
                <w:szCs w:val="24"/>
                <w:u w:val="single"/>
              </w:rPr>
              <w:t>pain medications</w:t>
            </w:r>
            <w:r w:rsidRPr="00FA3F9C">
              <w:rPr>
                <w:rFonts w:ascii="Arial" w:hAnsi="Arial" w:cs="Arial"/>
                <w:color w:val="000000"/>
                <w:sz w:val="24"/>
                <w:szCs w:val="24"/>
              </w:rPr>
              <w:t xml:space="preserve"> including, meperidine, tramadol, methadone, or propoxyphene?</w:t>
            </w:r>
          </w:p>
        </w:tc>
        <w:tc>
          <w:tcPr>
            <w:tcW w:w="2538" w:type="dxa"/>
          </w:tcPr>
          <w:p w14:paraId="16A74E26" w14:textId="77777777" w:rsidR="00C3036D" w:rsidRPr="00FA3F9C" w:rsidRDefault="00C3036D" w:rsidP="00D234B3">
            <w:pPr>
              <w:rPr>
                <w:rFonts w:ascii="Arial" w:hAnsi="Arial" w:cs="Arial"/>
                <w:sz w:val="24"/>
                <w:szCs w:val="24"/>
              </w:rPr>
            </w:pPr>
            <w:r w:rsidRPr="00FA3F9C">
              <w:rPr>
                <w:rFonts w:ascii="Arial" w:hAnsi="Arial" w:cs="Arial"/>
                <w:sz w:val="24"/>
                <w:szCs w:val="24"/>
              </w:rPr>
              <w:sym w:font="Symbol" w:char="F0F0"/>
            </w:r>
            <w:r w:rsidRPr="00FA3F9C">
              <w:rPr>
                <w:rFonts w:ascii="Arial" w:hAnsi="Arial" w:cs="Arial"/>
                <w:sz w:val="24"/>
                <w:szCs w:val="24"/>
              </w:rPr>
              <w:t xml:space="preserve"> Yes         </w:t>
            </w:r>
            <w:r w:rsidRPr="00FA3F9C">
              <w:rPr>
                <w:rFonts w:ascii="Arial" w:hAnsi="Arial" w:cs="Arial"/>
                <w:sz w:val="24"/>
                <w:szCs w:val="24"/>
              </w:rPr>
              <w:sym w:font="Symbol" w:char="F0F0"/>
            </w:r>
            <w:r w:rsidRPr="00FA3F9C">
              <w:rPr>
                <w:rFonts w:ascii="Arial" w:hAnsi="Arial" w:cs="Arial"/>
                <w:sz w:val="24"/>
                <w:szCs w:val="24"/>
              </w:rPr>
              <w:t xml:space="preserve"> No</w:t>
            </w:r>
          </w:p>
        </w:tc>
      </w:tr>
      <w:tr w:rsidR="00C3036D" w:rsidRPr="00FA3F9C" w14:paraId="0F55CF54" w14:textId="77777777" w:rsidTr="00107678">
        <w:tc>
          <w:tcPr>
            <w:tcW w:w="6318" w:type="dxa"/>
          </w:tcPr>
          <w:p w14:paraId="2C602333" w14:textId="77777777" w:rsidR="00C3036D" w:rsidRPr="00FA3F9C" w:rsidRDefault="00C3036D" w:rsidP="00FC1E85">
            <w:pPr>
              <w:numPr>
                <w:ilvl w:val="0"/>
                <w:numId w:val="471"/>
              </w:numPr>
              <w:spacing w:after="0" w:line="240" w:lineRule="auto"/>
              <w:rPr>
                <w:rFonts w:ascii="Arial" w:hAnsi="Arial" w:cs="Arial"/>
                <w:b/>
                <w:sz w:val="24"/>
                <w:szCs w:val="24"/>
              </w:rPr>
            </w:pPr>
            <w:r w:rsidRPr="00FA3F9C">
              <w:rPr>
                <w:rFonts w:ascii="Arial" w:hAnsi="Arial" w:cs="Arial"/>
                <w:sz w:val="24"/>
                <w:szCs w:val="24"/>
              </w:rPr>
              <w:t xml:space="preserve">Is the patient currently </w:t>
            </w:r>
            <w:r w:rsidRPr="00FA3F9C">
              <w:rPr>
                <w:rFonts w:ascii="Arial" w:hAnsi="Arial" w:cs="Arial"/>
                <w:b/>
                <w:sz w:val="24"/>
                <w:szCs w:val="24"/>
              </w:rPr>
              <w:t>NOT</w:t>
            </w:r>
            <w:r w:rsidRPr="00FA3F9C">
              <w:rPr>
                <w:rFonts w:ascii="Arial" w:hAnsi="Arial" w:cs="Arial"/>
                <w:sz w:val="24"/>
                <w:szCs w:val="24"/>
              </w:rPr>
              <w:t xml:space="preserve"> taking any of the </w:t>
            </w:r>
            <w:proofErr w:type="gramStart"/>
            <w:r w:rsidRPr="00FA3F9C">
              <w:rPr>
                <w:rFonts w:ascii="Arial" w:hAnsi="Arial" w:cs="Arial"/>
                <w:sz w:val="24"/>
                <w:szCs w:val="24"/>
              </w:rPr>
              <w:t>following</w:t>
            </w:r>
            <w:proofErr w:type="gramEnd"/>
          </w:p>
          <w:p w14:paraId="7F3327F3" w14:textId="77777777" w:rsidR="00C3036D" w:rsidRPr="00FA3F9C" w:rsidRDefault="00C3036D" w:rsidP="00107678">
            <w:pPr>
              <w:ind w:left="360"/>
              <w:rPr>
                <w:rFonts w:ascii="Arial" w:hAnsi="Arial" w:cs="Arial"/>
                <w:b/>
                <w:sz w:val="24"/>
                <w:szCs w:val="24"/>
              </w:rPr>
            </w:pPr>
            <w:r w:rsidRPr="00FA3F9C">
              <w:rPr>
                <w:rFonts w:ascii="Arial" w:hAnsi="Arial" w:cs="Arial"/>
                <w:color w:val="000000"/>
                <w:sz w:val="24"/>
                <w:szCs w:val="24"/>
                <w:u w:val="single"/>
              </w:rPr>
              <w:t>medication for seizures</w:t>
            </w:r>
            <w:r w:rsidRPr="00FA3F9C">
              <w:rPr>
                <w:rFonts w:ascii="Arial" w:hAnsi="Arial" w:cs="Arial"/>
                <w:color w:val="000000"/>
                <w:sz w:val="24"/>
                <w:szCs w:val="24"/>
              </w:rPr>
              <w:t>, such as carbamazepine or oxcarbazepine?</w:t>
            </w:r>
          </w:p>
        </w:tc>
        <w:tc>
          <w:tcPr>
            <w:tcW w:w="2538" w:type="dxa"/>
          </w:tcPr>
          <w:p w14:paraId="68909FF8" w14:textId="77777777" w:rsidR="00C3036D" w:rsidRPr="00FA3F9C" w:rsidRDefault="00C3036D" w:rsidP="00D234B3">
            <w:pPr>
              <w:rPr>
                <w:rFonts w:ascii="Arial" w:hAnsi="Arial" w:cs="Arial"/>
                <w:sz w:val="24"/>
                <w:szCs w:val="24"/>
              </w:rPr>
            </w:pPr>
            <w:r w:rsidRPr="00FA3F9C">
              <w:rPr>
                <w:rFonts w:ascii="Arial" w:hAnsi="Arial" w:cs="Arial"/>
                <w:sz w:val="24"/>
                <w:szCs w:val="24"/>
              </w:rPr>
              <w:sym w:font="Symbol" w:char="F0F0"/>
            </w:r>
            <w:r w:rsidRPr="00FA3F9C">
              <w:rPr>
                <w:rFonts w:ascii="Arial" w:hAnsi="Arial" w:cs="Arial"/>
                <w:sz w:val="24"/>
                <w:szCs w:val="24"/>
              </w:rPr>
              <w:t xml:space="preserve"> Yes         </w:t>
            </w:r>
            <w:r w:rsidRPr="00FA3F9C">
              <w:rPr>
                <w:rFonts w:ascii="Arial" w:hAnsi="Arial" w:cs="Arial"/>
                <w:sz w:val="24"/>
                <w:szCs w:val="24"/>
              </w:rPr>
              <w:sym w:font="Symbol" w:char="F0F0"/>
            </w:r>
            <w:r w:rsidRPr="00FA3F9C">
              <w:rPr>
                <w:rFonts w:ascii="Arial" w:hAnsi="Arial" w:cs="Arial"/>
                <w:sz w:val="24"/>
                <w:szCs w:val="24"/>
              </w:rPr>
              <w:t xml:space="preserve"> No</w:t>
            </w:r>
          </w:p>
        </w:tc>
      </w:tr>
      <w:tr w:rsidR="00C3036D" w:rsidRPr="00FA3F9C" w14:paraId="4C241A25" w14:textId="77777777" w:rsidTr="00107678">
        <w:tc>
          <w:tcPr>
            <w:tcW w:w="6318" w:type="dxa"/>
          </w:tcPr>
          <w:p w14:paraId="69FF8202" w14:textId="77777777" w:rsidR="00C3036D" w:rsidRPr="00FA3F9C" w:rsidRDefault="00C3036D" w:rsidP="00FC1E85">
            <w:pPr>
              <w:numPr>
                <w:ilvl w:val="0"/>
                <w:numId w:val="471"/>
              </w:numPr>
              <w:spacing w:after="0" w:line="240" w:lineRule="auto"/>
              <w:rPr>
                <w:rFonts w:ascii="Arial" w:hAnsi="Arial" w:cs="Arial"/>
                <w:b/>
                <w:sz w:val="24"/>
                <w:szCs w:val="24"/>
              </w:rPr>
            </w:pPr>
            <w:r w:rsidRPr="00FA3F9C">
              <w:rPr>
                <w:rFonts w:ascii="Arial" w:hAnsi="Arial" w:cs="Arial"/>
                <w:sz w:val="24"/>
                <w:szCs w:val="24"/>
              </w:rPr>
              <w:t xml:space="preserve">Is the patient currently </w:t>
            </w:r>
            <w:r w:rsidRPr="00FA3F9C">
              <w:rPr>
                <w:rFonts w:ascii="Arial" w:hAnsi="Arial" w:cs="Arial"/>
                <w:b/>
                <w:sz w:val="24"/>
                <w:szCs w:val="24"/>
              </w:rPr>
              <w:t>NOT</w:t>
            </w:r>
            <w:r w:rsidRPr="00FA3F9C">
              <w:rPr>
                <w:rFonts w:ascii="Arial" w:hAnsi="Arial" w:cs="Arial"/>
                <w:sz w:val="24"/>
                <w:szCs w:val="24"/>
              </w:rPr>
              <w:t xml:space="preserve"> taking any of the </w:t>
            </w:r>
            <w:proofErr w:type="gramStart"/>
            <w:r w:rsidRPr="00FA3F9C">
              <w:rPr>
                <w:rFonts w:ascii="Arial" w:hAnsi="Arial" w:cs="Arial"/>
                <w:sz w:val="24"/>
                <w:szCs w:val="24"/>
              </w:rPr>
              <w:t>following:</w:t>
            </w:r>
            <w:proofErr w:type="gramEnd"/>
          </w:p>
          <w:p w14:paraId="0A2B8549" w14:textId="77777777" w:rsidR="00C3036D" w:rsidRPr="00FA3F9C" w:rsidRDefault="00C3036D" w:rsidP="00107678">
            <w:pPr>
              <w:ind w:left="360"/>
              <w:rPr>
                <w:rFonts w:ascii="Arial" w:hAnsi="Arial" w:cs="Arial"/>
                <w:sz w:val="24"/>
                <w:szCs w:val="24"/>
              </w:rPr>
            </w:pPr>
            <w:r w:rsidRPr="00FA3F9C">
              <w:rPr>
                <w:rFonts w:ascii="Arial" w:hAnsi="Arial" w:cs="Arial"/>
                <w:color w:val="000000"/>
                <w:sz w:val="24"/>
                <w:szCs w:val="24"/>
                <w:u w:val="single"/>
              </w:rPr>
              <w:t>cough medicines</w:t>
            </w:r>
            <w:r w:rsidRPr="00FA3F9C">
              <w:rPr>
                <w:rFonts w:ascii="Arial" w:hAnsi="Arial" w:cs="Arial"/>
                <w:color w:val="000000"/>
                <w:sz w:val="24"/>
                <w:szCs w:val="24"/>
              </w:rPr>
              <w:t>, such as dextromethorphan, medicine to treat muscle spasms, such as cyclobenzaprine, or cold medicines, such as pseudoephedrine, phenylephrine, phenylpropanolamine, or ephedrine?</w:t>
            </w:r>
          </w:p>
        </w:tc>
        <w:tc>
          <w:tcPr>
            <w:tcW w:w="2538" w:type="dxa"/>
          </w:tcPr>
          <w:p w14:paraId="42A4ECFA" w14:textId="77777777" w:rsidR="00C3036D" w:rsidRPr="00FA3F9C" w:rsidRDefault="00C3036D" w:rsidP="00D234B3">
            <w:pPr>
              <w:rPr>
                <w:rFonts w:ascii="Arial" w:hAnsi="Arial" w:cs="Arial"/>
                <w:sz w:val="24"/>
                <w:szCs w:val="24"/>
              </w:rPr>
            </w:pPr>
            <w:r w:rsidRPr="00FA3F9C">
              <w:rPr>
                <w:rFonts w:ascii="Arial" w:hAnsi="Arial" w:cs="Arial"/>
                <w:sz w:val="24"/>
                <w:szCs w:val="24"/>
              </w:rPr>
              <w:sym w:font="Symbol" w:char="F0F0"/>
            </w:r>
            <w:r w:rsidRPr="00FA3F9C">
              <w:rPr>
                <w:rFonts w:ascii="Arial" w:hAnsi="Arial" w:cs="Arial"/>
                <w:sz w:val="24"/>
                <w:szCs w:val="24"/>
              </w:rPr>
              <w:t xml:space="preserve"> Yes         </w:t>
            </w:r>
            <w:r w:rsidRPr="00FA3F9C">
              <w:rPr>
                <w:rFonts w:ascii="Arial" w:hAnsi="Arial" w:cs="Arial"/>
                <w:sz w:val="24"/>
                <w:szCs w:val="24"/>
              </w:rPr>
              <w:sym w:font="Symbol" w:char="F0F0"/>
            </w:r>
            <w:r w:rsidRPr="00FA3F9C">
              <w:rPr>
                <w:rFonts w:ascii="Arial" w:hAnsi="Arial" w:cs="Arial"/>
                <w:sz w:val="24"/>
                <w:szCs w:val="24"/>
              </w:rPr>
              <w:t xml:space="preserve"> No</w:t>
            </w:r>
          </w:p>
        </w:tc>
      </w:tr>
      <w:tr w:rsidR="00C3036D" w:rsidRPr="00FA3F9C" w14:paraId="35921217" w14:textId="77777777" w:rsidTr="00107678">
        <w:tc>
          <w:tcPr>
            <w:tcW w:w="6318" w:type="dxa"/>
          </w:tcPr>
          <w:p w14:paraId="200BE9CA" w14:textId="77777777" w:rsidR="00C3036D" w:rsidRPr="00FA3F9C" w:rsidRDefault="00C3036D" w:rsidP="00FC1E85">
            <w:pPr>
              <w:numPr>
                <w:ilvl w:val="0"/>
                <w:numId w:val="471"/>
              </w:numPr>
              <w:spacing w:after="0" w:line="240" w:lineRule="auto"/>
              <w:rPr>
                <w:rFonts w:ascii="Arial" w:hAnsi="Arial" w:cs="Arial"/>
                <w:b/>
                <w:sz w:val="24"/>
                <w:szCs w:val="24"/>
              </w:rPr>
            </w:pPr>
            <w:r w:rsidRPr="00FA3F9C">
              <w:rPr>
                <w:rFonts w:ascii="Arial" w:hAnsi="Arial" w:cs="Arial"/>
                <w:sz w:val="24"/>
                <w:szCs w:val="24"/>
              </w:rPr>
              <w:t xml:space="preserve">Is the patient currently </w:t>
            </w:r>
            <w:r w:rsidRPr="00FA3F9C">
              <w:rPr>
                <w:rFonts w:ascii="Arial" w:hAnsi="Arial" w:cs="Arial"/>
                <w:b/>
                <w:sz w:val="24"/>
                <w:szCs w:val="24"/>
              </w:rPr>
              <w:t>NOT</w:t>
            </w:r>
            <w:r w:rsidRPr="00FA3F9C">
              <w:rPr>
                <w:rFonts w:ascii="Arial" w:hAnsi="Arial" w:cs="Arial"/>
                <w:sz w:val="24"/>
                <w:szCs w:val="24"/>
              </w:rPr>
              <w:t xml:space="preserve"> taking any of the </w:t>
            </w:r>
            <w:proofErr w:type="gramStart"/>
            <w:r w:rsidRPr="00FA3F9C">
              <w:rPr>
                <w:rFonts w:ascii="Arial" w:hAnsi="Arial" w:cs="Arial"/>
                <w:sz w:val="24"/>
                <w:szCs w:val="24"/>
              </w:rPr>
              <w:t>following:</w:t>
            </w:r>
            <w:proofErr w:type="gramEnd"/>
          </w:p>
          <w:p w14:paraId="0414B6E3" w14:textId="77777777" w:rsidR="00C3036D" w:rsidRPr="00FA3F9C" w:rsidRDefault="00C3036D" w:rsidP="00107678">
            <w:pPr>
              <w:ind w:left="360"/>
              <w:rPr>
                <w:rFonts w:ascii="Arial" w:hAnsi="Arial" w:cs="Arial"/>
                <w:b/>
                <w:sz w:val="24"/>
                <w:szCs w:val="24"/>
              </w:rPr>
            </w:pPr>
            <w:r w:rsidRPr="00FA3F9C">
              <w:rPr>
                <w:rFonts w:ascii="Arial" w:hAnsi="Arial" w:cs="Arial"/>
                <w:color w:val="000000"/>
                <w:sz w:val="24"/>
                <w:szCs w:val="24"/>
                <w:u w:val="single"/>
              </w:rPr>
              <w:t xml:space="preserve">any herbal or dietary supplement </w:t>
            </w:r>
            <w:r w:rsidRPr="00FA3F9C">
              <w:rPr>
                <w:rFonts w:ascii="Arial" w:hAnsi="Arial" w:cs="Arial"/>
                <w:color w:val="000000"/>
                <w:sz w:val="24"/>
                <w:szCs w:val="24"/>
              </w:rPr>
              <w:t>that contains tyramine, or medications with amphetamine?</w:t>
            </w:r>
          </w:p>
        </w:tc>
        <w:tc>
          <w:tcPr>
            <w:tcW w:w="2538" w:type="dxa"/>
          </w:tcPr>
          <w:p w14:paraId="29B8E767" w14:textId="77777777" w:rsidR="00C3036D" w:rsidRPr="00FA3F9C" w:rsidRDefault="00C3036D" w:rsidP="00D234B3">
            <w:pPr>
              <w:rPr>
                <w:rFonts w:ascii="Arial" w:hAnsi="Arial" w:cs="Arial"/>
                <w:sz w:val="24"/>
                <w:szCs w:val="24"/>
              </w:rPr>
            </w:pPr>
            <w:r w:rsidRPr="00FA3F9C">
              <w:rPr>
                <w:rFonts w:ascii="Arial" w:hAnsi="Arial" w:cs="Arial"/>
                <w:sz w:val="24"/>
                <w:szCs w:val="24"/>
              </w:rPr>
              <w:sym w:font="Symbol" w:char="F0F0"/>
            </w:r>
            <w:r w:rsidRPr="00FA3F9C">
              <w:rPr>
                <w:rFonts w:ascii="Arial" w:hAnsi="Arial" w:cs="Arial"/>
                <w:sz w:val="24"/>
                <w:szCs w:val="24"/>
              </w:rPr>
              <w:t xml:space="preserve"> Yes         </w:t>
            </w:r>
            <w:r w:rsidRPr="00FA3F9C">
              <w:rPr>
                <w:rFonts w:ascii="Arial" w:hAnsi="Arial" w:cs="Arial"/>
                <w:sz w:val="24"/>
                <w:szCs w:val="24"/>
              </w:rPr>
              <w:sym w:font="Symbol" w:char="F0F0"/>
            </w:r>
            <w:r w:rsidRPr="00FA3F9C">
              <w:rPr>
                <w:rFonts w:ascii="Arial" w:hAnsi="Arial" w:cs="Arial"/>
                <w:sz w:val="24"/>
                <w:szCs w:val="24"/>
              </w:rPr>
              <w:t xml:space="preserve"> No</w:t>
            </w:r>
          </w:p>
        </w:tc>
      </w:tr>
      <w:tr w:rsidR="00C3036D" w:rsidRPr="00FA3F9C" w14:paraId="6552F46D" w14:textId="77777777" w:rsidTr="00107678">
        <w:tc>
          <w:tcPr>
            <w:tcW w:w="8856" w:type="dxa"/>
            <w:gridSpan w:val="2"/>
          </w:tcPr>
          <w:p w14:paraId="3FCCD49F" w14:textId="77777777" w:rsidR="00C3036D" w:rsidRPr="00FA3F9C" w:rsidRDefault="00C3036D" w:rsidP="00D234B3">
            <w:pPr>
              <w:rPr>
                <w:rFonts w:ascii="Arial" w:hAnsi="Arial" w:cs="Arial"/>
                <w:b/>
                <w:sz w:val="24"/>
                <w:szCs w:val="24"/>
              </w:rPr>
            </w:pPr>
            <w:proofErr w:type="gramStart"/>
            <w:r w:rsidRPr="00FA3F9C">
              <w:rPr>
                <w:rFonts w:ascii="Arial" w:hAnsi="Arial" w:cs="Arial"/>
                <w:b/>
                <w:sz w:val="24"/>
                <w:szCs w:val="24"/>
              </w:rPr>
              <w:t>ALL of</w:t>
            </w:r>
            <w:proofErr w:type="gramEnd"/>
            <w:r w:rsidRPr="00FA3F9C">
              <w:rPr>
                <w:rFonts w:ascii="Arial" w:hAnsi="Arial" w:cs="Arial"/>
                <w:b/>
                <w:sz w:val="24"/>
                <w:szCs w:val="24"/>
              </w:rPr>
              <w:t xml:space="preserve"> the above questions must be answered “yes” to allow approval.  </w:t>
            </w:r>
          </w:p>
          <w:p w14:paraId="3005B08E" w14:textId="77777777" w:rsidR="00C3036D" w:rsidRPr="00FA3F9C" w:rsidRDefault="00C3036D" w:rsidP="00D234B3">
            <w:pPr>
              <w:rPr>
                <w:rFonts w:ascii="Arial" w:hAnsi="Arial" w:cs="Arial"/>
                <w:sz w:val="24"/>
                <w:szCs w:val="24"/>
              </w:rPr>
            </w:pPr>
            <w:r w:rsidRPr="00FA3F9C">
              <w:rPr>
                <w:rFonts w:ascii="Arial" w:hAnsi="Arial" w:cs="Arial"/>
                <w:b/>
                <w:sz w:val="24"/>
                <w:szCs w:val="24"/>
              </w:rPr>
              <w:t>Authorization period is 1 year.</w:t>
            </w:r>
          </w:p>
        </w:tc>
      </w:tr>
    </w:tbl>
    <w:p w14:paraId="3A77E652" w14:textId="77777777" w:rsidR="00C3036D" w:rsidRPr="00FA3F9C" w:rsidRDefault="00C3036D">
      <w:pPr>
        <w:rPr>
          <w:rFonts w:ascii="Arial" w:hAnsi="Arial" w:cs="Arial"/>
          <w:sz w:val="24"/>
          <w:szCs w:val="24"/>
        </w:rPr>
      </w:pPr>
    </w:p>
    <w:p w14:paraId="24CBA0C5" w14:textId="77777777" w:rsidR="00C3036D" w:rsidRPr="00FA3F9C" w:rsidRDefault="00C3036D">
      <w:pPr>
        <w:rPr>
          <w:rFonts w:ascii="Arial" w:hAnsi="Arial" w:cs="Arial"/>
          <w:sz w:val="24"/>
          <w:szCs w:val="24"/>
        </w:rPr>
      </w:pPr>
    </w:p>
    <w:p w14:paraId="32E37C42" w14:textId="77777777" w:rsidR="00C3036D" w:rsidRPr="00FA3F9C" w:rsidRDefault="00C3036D">
      <w:pPr>
        <w:rPr>
          <w:rFonts w:ascii="Arial" w:hAnsi="Arial" w:cs="Arial"/>
          <w:sz w:val="24"/>
          <w:szCs w:val="24"/>
        </w:rPr>
      </w:pPr>
      <w:r w:rsidRPr="00FA3F9C">
        <w:rPr>
          <w:rFonts w:ascii="Arial" w:hAnsi="Arial" w:cs="Arial"/>
          <w:sz w:val="24"/>
          <w:szCs w:val="24"/>
        </w:rPr>
        <w:lastRenderedPageBreak/>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5130"/>
        <w:gridCol w:w="2358"/>
      </w:tblGrid>
      <w:tr w:rsidR="00C3036D" w:rsidRPr="00FA3F9C" w14:paraId="7EEED51A" w14:textId="77777777" w:rsidTr="009407AE">
        <w:tc>
          <w:tcPr>
            <w:tcW w:w="1368" w:type="dxa"/>
          </w:tcPr>
          <w:p w14:paraId="5C22CFE2" w14:textId="77777777" w:rsidR="00C3036D" w:rsidRPr="00FA3F9C" w:rsidRDefault="00C3036D">
            <w:pPr>
              <w:rPr>
                <w:rFonts w:ascii="Arial" w:hAnsi="Arial" w:cs="Arial"/>
                <w:sz w:val="24"/>
                <w:szCs w:val="24"/>
              </w:rPr>
            </w:pPr>
            <w:r w:rsidRPr="00FA3F9C">
              <w:rPr>
                <w:rFonts w:ascii="Arial" w:hAnsi="Arial" w:cs="Arial"/>
                <w:sz w:val="24"/>
                <w:szCs w:val="24"/>
              </w:rPr>
              <w:t>Date</w:t>
            </w:r>
          </w:p>
        </w:tc>
        <w:tc>
          <w:tcPr>
            <w:tcW w:w="5130" w:type="dxa"/>
          </w:tcPr>
          <w:p w14:paraId="3E8DFE1F" w14:textId="77777777" w:rsidR="00C3036D" w:rsidRPr="00FA3F9C" w:rsidRDefault="00C3036D">
            <w:pPr>
              <w:rPr>
                <w:rFonts w:ascii="Arial" w:hAnsi="Arial" w:cs="Arial"/>
                <w:sz w:val="24"/>
                <w:szCs w:val="24"/>
              </w:rPr>
            </w:pPr>
            <w:r w:rsidRPr="00FA3F9C">
              <w:rPr>
                <w:rFonts w:ascii="Arial" w:hAnsi="Arial" w:cs="Arial"/>
                <w:sz w:val="24"/>
                <w:szCs w:val="24"/>
              </w:rPr>
              <w:t xml:space="preserve"> What changed?</w:t>
            </w:r>
          </w:p>
        </w:tc>
        <w:tc>
          <w:tcPr>
            <w:tcW w:w="2358" w:type="dxa"/>
          </w:tcPr>
          <w:p w14:paraId="685AD01D" w14:textId="77777777" w:rsidR="00C3036D" w:rsidRPr="00FA3F9C" w:rsidRDefault="00C3036D">
            <w:pPr>
              <w:rPr>
                <w:rFonts w:ascii="Arial" w:hAnsi="Arial" w:cs="Arial"/>
                <w:sz w:val="24"/>
                <w:szCs w:val="24"/>
              </w:rPr>
            </w:pPr>
            <w:r w:rsidRPr="00FA3F9C">
              <w:rPr>
                <w:rFonts w:ascii="Arial" w:hAnsi="Arial" w:cs="Arial"/>
                <w:sz w:val="24"/>
                <w:szCs w:val="24"/>
              </w:rPr>
              <w:t>Pharmacist’s initials</w:t>
            </w:r>
          </w:p>
        </w:tc>
      </w:tr>
      <w:tr w:rsidR="00C3036D" w:rsidRPr="00FA3F9C" w14:paraId="4687F152" w14:textId="77777777" w:rsidTr="009407AE">
        <w:tc>
          <w:tcPr>
            <w:tcW w:w="1368" w:type="dxa"/>
          </w:tcPr>
          <w:p w14:paraId="2B724E38" w14:textId="77777777" w:rsidR="00C3036D" w:rsidRPr="00FA3F9C" w:rsidRDefault="00C3036D">
            <w:pPr>
              <w:rPr>
                <w:rFonts w:ascii="Arial" w:hAnsi="Arial" w:cs="Arial"/>
                <w:sz w:val="24"/>
                <w:szCs w:val="24"/>
              </w:rPr>
            </w:pPr>
            <w:r w:rsidRPr="00FA3F9C">
              <w:rPr>
                <w:rFonts w:ascii="Arial" w:hAnsi="Arial" w:cs="Arial"/>
                <w:sz w:val="24"/>
                <w:szCs w:val="24"/>
              </w:rPr>
              <w:t>8/7/06</w:t>
            </w:r>
          </w:p>
        </w:tc>
        <w:tc>
          <w:tcPr>
            <w:tcW w:w="5130" w:type="dxa"/>
          </w:tcPr>
          <w:p w14:paraId="5B2F72EA" w14:textId="77777777" w:rsidR="00C3036D" w:rsidRPr="00FA3F9C" w:rsidRDefault="00C3036D">
            <w:pPr>
              <w:rPr>
                <w:rFonts w:ascii="Arial" w:hAnsi="Arial" w:cs="Arial"/>
                <w:sz w:val="24"/>
                <w:szCs w:val="24"/>
              </w:rPr>
            </w:pPr>
            <w:r w:rsidRPr="00FA3F9C">
              <w:rPr>
                <w:rFonts w:ascii="Arial" w:hAnsi="Arial" w:cs="Arial"/>
                <w:sz w:val="24"/>
                <w:szCs w:val="24"/>
              </w:rPr>
              <w:t>Criteria were written</w:t>
            </w:r>
          </w:p>
        </w:tc>
        <w:tc>
          <w:tcPr>
            <w:tcW w:w="2358" w:type="dxa"/>
          </w:tcPr>
          <w:p w14:paraId="46585A2B" w14:textId="77777777" w:rsidR="00C3036D" w:rsidRPr="00FA3F9C" w:rsidRDefault="00C3036D">
            <w:pPr>
              <w:rPr>
                <w:rFonts w:ascii="Arial" w:hAnsi="Arial" w:cs="Arial"/>
                <w:sz w:val="24"/>
                <w:szCs w:val="24"/>
              </w:rPr>
            </w:pPr>
            <w:r w:rsidRPr="00FA3F9C">
              <w:rPr>
                <w:rFonts w:ascii="Arial" w:hAnsi="Arial" w:cs="Arial"/>
                <w:sz w:val="24"/>
                <w:szCs w:val="24"/>
              </w:rPr>
              <w:t>JJ</w:t>
            </w:r>
          </w:p>
        </w:tc>
      </w:tr>
      <w:tr w:rsidR="00C3036D" w:rsidRPr="00FA3F9C" w14:paraId="344C6C42" w14:textId="77777777" w:rsidTr="009407AE">
        <w:tc>
          <w:tcPr>
            <w:tcW w:w="1368" w:type="dxa"/>
          </w:tcPr>
          <w:p w14:paraId="6841BE7D" w14:textId="77777777" w:rsidR="00C3036D" w:rsidRPr="00FA3F9C" w:rsidRDefault="00C3036D">
            <w:pPr>
              <w:rPr>
                <w:rFonts w:ascii="Arial" w:hAnsi="Arial" w:cs="Arial"/>
                <w:sz w:val="24"/>
                <w:szCs w:val="24"/>
              </w:rPr>
            </w:pPr>
            <w:r w:rsidRPr="00FA3F9C">
              <w:rPr>
                <w:rFonts w:ascii="Arial" w:hAnsi="Arial" w:cs="Arial"/>
                <w:sz w:val="24"/>
                <w:szCs w:val="24"/>
              </w:rPr>
              <w:t>10/17/06</w:t>
            </w:r>
          </w:p>
        </w:tc>
        <w:tc>
          <w:tcPr>
            <w:tcW w:w="5130" w:type="dxa"/>
          </w:tcPr>
          <w:p w14:paraId="3D35AA3C" w14:textId="77777777" w:rsidR="00C3036D" w:rsidRPr="00FA3F9C" w:rsidRDefault="00C3036D">
            <w:pPr>
              <w:rPr>
                <w:rFonts w:ascii="Arial" w:hAnsi="Arial" w:cs="Arial"/>
                <w:sz w:val="24"/>
                <w:szCs w:val="24"/>
              </w:rPr>
            </w:pPr>
            <w:r w:rsidRPr="00FA3F9C">
              <w:rPr>
                <w:rFonts w:ascii="Arial" w:hAnsi="Arial" w:cs="Arial"/>
                <w:sz w:val="24"/>
                <w:szCs w:val="24"/>
              </w:rPr>
              <w:t>IB voted to accept DUEC’s rec to T3PA this drug</w:t>
            </w:r>
          </w:p>
        </w:tc>
        <w:tc>
          <w:tcPr>
            <w:tcW w:w="2358" w:type="dxa"/>
          </w:tcPr>
          <w:p w14:paraId="4ED09E0E" w14:textId="77777777" w:rsidR="00C3036D" w:rsidRPr="00FA3F9C" w:rsidRDefault="00C3036D">
            <w:pPr>
              <w:rPr>
                <w:rFonts w:ascii="Arial" w:hAnsi="Arial" w:cs="Arial"/>
                <w:sz w:val="24"/>
                <w:szCs w:val="24"/>
              </w:rPr>
            </w:pPr>
            <w:r w:rsidRPr="00FA3F9C">
              <w:rPr>
                <w:rFonts w:ascii="Arial" w:hAnsi="Arial" w:cs="Arial"/>
                <w:sz w:val="24"/>
                <w:szCs w:val="24"/>
              </w:rPr>
              <w:t>JJ</w:t>
            </w:r>
          </w:p>
        </w:tc>
      </w:tr>
      <w:tr w:rsidR="00C3036D" w:rsidRPr="00FA3F9C" w14:paraId="04AC3043" w14:textId="77777777" w:rsidTr="009407AE">
        <w:tc>
          <w:tcPr>
            <w:tcW w:w="1368" w:type="dxa"/>
          </w:tcPr>
          <w:p w14:paraId="72E1EC67" w14:textId="77777777" w:rsidR="00C3036D" w:rsidRPr="00FA3F9C" w:rsidRDefault="00C3036D">
            <w:pPr>
              <w:rPr>
                <w:rFonts w:ascii="Arial" w:hAnsi="Arial" w:cs="Arial"/>
                <w:sz w:val="24"/>
                <w:szCs w:val="24"/>
              </w:rPr>
            </w:pPr>
            <w:r w:rsidRPr="00FA3F9C">
              <w:rPr>
                <w:rFonts w:ascii="Arial" w:hAnsi="Arial" w:cs="Arial"/>
                <w:sz w:val="24"/>
                <w:szCs w:val="24"/>
              </w:rPr>
              <w:t>5/16/12</w:t>
            </w:r>
          </w:p>
        </w:tc>
        <w:tc>
          <w:tcPr>
            <w:tcW w:w="5130" w:type="dxa"/>
          </w:tcPr>
          <w:p w14:paraId="60370FBF" w14:textId="77777777" w:rsidR="00C3036D" w:rsidRPr="00FA3F9C" w:rsidRDefault="00C3036D">
            <w:pPr>
              <w:rPr>
                <w:rFonts w:ascii="Arial" w:hAnsi="Arial" w:cs="Arial"/>
                <w:sz w:val="24"/>
                <w:szCs w:val="24"/>
              </w:rPr>
            </w:pPr>
            <w:r w:rsidRPr="00FA3F9C">
              <w:rPr>
                <w:rFonts w:ascii="Arial" w:hAnsi="Arial" w:cs="Arial"/>
                <w:sz w:val="24"/>
                <w:szCs w:val="24"/>
              </w:rPr>
              <w:t>Revision history table added</w:t>
            </w:r>
          </w:p>
        </w:tc>
        <w:tc>
          <w:tcPr>
            <w:tcW w:w="2358" w:type="dxa"/>
          </w:tcPr>
          <w:p w14:paraId="3B63F49E" w14:textId="77777777" w:rsidR="00C3036D" w:rsidRPr="00FA3F9C" w:rsidRDefault="00C3036D">
            <w:pPr>
              <w:rPr>
                <w:rFonts w:ascii="Arial" w:hAnsi="Arial" w:cs="Arial"/>
                <w:sz w:val="24"/>
                <w:szCs w:val="24"/>
              </w:rPr>
            </w:pPr>
            <w:r w:rsidRPr="00FA3F9C">
              <w:rPr>
                <w:rFonts w:ascii="Arial" w:hAnsi="Arial" w:cs="Arial"/>
                <w:sz w:val="24"/>
                <w:szCs w:val="24"/>
              </w:rPr>
              <w:t>JJ</w:t>
            </w:r>
          </w:p>
        </w:tc>
      </w:tr>
    </w:tbl>
    <w:p w14:paraId="5CC42C2A" w14:textId="77777777" w:rsidR="00C3036D" w:rsidRPr="00FA3F9C" w:rsidRDefault="00C3036D">
      <w:pPr>
        <w:rPr>
          <w:rFonts w:ascii="Arial" w:hAnsi="Arial" w:cs="Arial"/>
          <w:sz w:val="24"/>
          <w:szCs w:val="24"/>
        </w:rPr>
      </w:pPr>
    </w:p>
    <w:p w14:paraId="43EC362F" w14:textId="461BC8E2" w:rsidR="00C3036D" w:rsidRDefault="00C3036D" w:rsidP="0078218F">
      <w:pPr>
        <w:pStyle w:val="Heading2"/>
      </w:pPr>
      <w:bookmarkStart w:id="303" w:name="_Toc106369926"/>
      <w:r w:rsidRPr="00FA3F9C">
        <w:t>selegiline (</w:t>
      </w:r>
      <w:proofErr w:type="spellStart"/>
      <w:r w:rsidRPr="00FA3F9C">
        <w:t>Zelapar</w:t>
      </w:r>
      <w:proofErr w:type="spellEnd"/>
      <w:r w:rsidRPr="00FA3F9C">
        <w:t>)</w:t>
      </w:r>
      <w:bookmarkEnd w:id="303"/>
    </w:p>
    <w:p w14:paraId="0FEEF5C5" w14:textId="0FA47B76" w:rsidR="00C3036D" w:rsidRPr="00FA3F9C" w:rsidRDefault="0078218F" w:rsidP="0078218F">
      <w:pPr>
        <w:jc w:val="center"/>
        <w:rPr>
          <w:rFonts w:ascii="Arial" w:hAnsi="Arial" w:cs="Arial"/>
          <w:b/>
          <w:sz w:val="24"/>
          <w:szCs w:val="24"/>
        </w:rPr>
      </w:pPr>
      <w:r w:rsidRPr="00FA3F9C">
        <w:rPr>
          <w:rFonts w:ascii="Arial" w:hAnsi="Arial" w:cs="Arial"/>
          <w:b/>
          <w:sz w:val="24"/>
          <w:szCs w:val="24"/>
        </w:rPr>
        <w:t>EBRx Prior Authorization Criteria</w:t>
      </w:r>
      <w:r w:rsidR="00C3036D" w:rsidRPr="00FA3F9C">
        <w:rPr>
          <w:rFonts w:ascii="Arial" w:hAnsi="Arial" w:cs="Arial"/>
          <w:b/>
          <w:sz w:val="24"/>
          <w:szCs w:val="24"/>
        </w:rPr>
        <w:tab/>
      </w:r>
    </w:p>
    <w:p w14:paraId="5D573612" w14:textId="77777777" w:rsidR="00C3036D" w:rsidRPr="00FA3F9C" w:rsidRDefault="00C3036D" w:rsidP="00E4013F">
      <w:pPr>
        <w:jc w:val="center"/>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18"/>
        <w:gridCol w:w="1638"/>
      </w:tblGrid>
      <w:tr w:rsidR="00C3036D" w:rsidRPr="00FA3F9C" w14:paraId="7A7E5B11" w14:textId="77777777" w:rsidTr="00CE6C0A">
        <w:trPr>
          <w:trHeight w:val="305"/>
        </w:trPr>
        <w:tc>
          <w:tcPr>
            <w:tcW w:w="7218" w:type="dxa"/>
            <w:vAlign w:val="center"/>
          </w:tcPr>
          <w:p w14:paraId="75C23085" w14:textId="77777777" w:rsidR="00C3036D" w:rsidRPr="00FA3F9C" w:rsidRDefault="00C3036D" w:rsidP="00DC68FF">
            <w:pPr>
              <w:rPr>
                <w:rFonts w:ascii="Arial" w:hAnsi="Arial" w:cs="Arial"/>
                <w:b/>
                <w:sz w:val="24"/>
                <w:szCs w:val="24"/>
              </w:rPr>
            </w:pPr>
            <w:r w:rsidRPr="00FA3F9C">
              <w:rPr>
                <w:rFonts w:ascii="Arial" w:hAnsi="Arial" w:cs="Arial"/>
                <w:b/>
                <w:sz w:val="24"/>
                <w:szCs w:val="24"/>
              </w:rPr>
              <w:t>1.  Is the patient able to swallow pills?</w:t>
            </w:r>
          </w:p>
        </w:tc>
        <w:tc>
          <w:tcPr>
            <w:tcW w:w="1638" w:type="dxa"/>
            <w:vAlign w:val="center"/>
          </w:tcPr>
          <w:p w14:paraId="35CC524E" w14:textId="77777777" w:rsidR="00C3036D" w:rsidRPr="00FA3F9C" w:rsidRDefault="00C3036D" w:rsidP="00CE6C0A">
            <w:pPr>
              <w:jc w:val="center"/>
              <w:rPr>
                <w:rFonts w:ascii="Arial" w:hAnsi="Arial" w:cs="Arial"/>
                <w:b/>
                <w:sz w:val="24"/>
                <w:szCs w:val="24"/>
              </w:rPr>
            </w:pPr>
            <w:r w:rsidRPr="00FA3F9C">
              <w:rPr>
                <w:rFonts w:ascii="Arial" w:hAnsi="Arial" w:cs="Arial"/>
                <w:b/>
                <w:sz w:val="24"/>
                <w:szCs w:val="24"/>
              </w:rPr>
              <w:sym w:font="Symbol" w:char="F0F0"/>
            </w:r>
            <w:r w:rsidRPr="00FA3F9C">
              <w:rPr>
                <w:rFonts w:ascii="Arial" w:hAnsi="Arial" w:cs="Arial"/>
                <w:b/>
                <w:sz w:val="24"/>
                <w:szCs w:val="24"/>
              </w:rPr>
              <w:t xml:space="preserve"> Yes     </w:t>
            </w:r>
            <w:r w:rsidRPr="00FA3F9C">
              <w:rPr>
                <w:rFonts w:ascii="Arial" w:hAnsi="Arial" w:cs="Arial"/>
                <w:b/>
                <w:sz w:val="24"/>
                <w:szCs w:val="24"/>
              </w:rPr>
              <w:sym w:font="Symbol" w:char="F0F0"/>
            </w:r>
            <w:r w:rsidRPr="00FA3F9C">
              <w:rPr>
                <w:rFonts w:ascii="Arial" w:hAnsi="Arial" w:cs="Arial"/>
                <w:b/>
                <w:sz w:val="24"/>
                <w:szCs w:val="24"/>
              </w:rPr>
              <w:t xml:space="preserve"> No</w:t>
            </w:r>
          </w:p>
        </w:tc>
      </w:tr>
      <w:tr w:rsidR="00C3036D" w:rsidRPr="00FA3F9C" w14:paraId="170AEB4D" w14:textId="77777777" w:rsidTr="00CE6C0A">
        <w:tc>
          <w:tcPr>
            <w:tcW w:w="8856" w:type="dxa"/>
            <w:gridSpan w:val="2"/>
          </w:tcPr>
          <w:p w14:paraId="5C78881F" w14:textId="77777777" w:rsidR="00C3036D" w:rsidRPr="00FA3F9C" w:rsidRDefault="00C3036D" w:rsidP="00DC68FF">
            <w:pPr>
              <w:rPr>
                <w:rFonts w:ascii="Arial" w:hAnsi="Arial" w:cs="Arial"/>
                <w:b/>
                <w:sz w:val="24"/>
                <w:szCs w:val="24"/>
              </w:rPr>
            </w:pPr>
            <w:r w:rsidRPr="00FA3F9C">
              <w:rPr>
                <w:rFonts w:ascii="Arial" w:hAnsi="Arial" w:cs="Arial"/>
                <w:b/>
                <w:sz w:val="24"/>
                <w:szCs w:val="24"/>
              </w:rPr>
              <w:t xml:space="preserve">     If “no”, approve for 1 year.  If “yes”, then deny coverage.</w:t>
            </w:r>
          </w:p>
        </w:tc>
      </w:tr>
    </w:tbl>
    <w:p w14:paraId="18F19AE1" w14:textId="77777777" w:rsidR="00C3036D" w:rsidRPr="00FA3F9C" w:rsidRDefault="00C3036D" w:rsidP="00E4013F">
      <w:pPr>
        <w:jc w:val="center"/>
        <w:rPr>
          <w:rFonts w:ascii="Arial" w:hAnsi="Arial" w:cs="Arial"/>
          <w:b/>
          <w:sz w:val="24"/>
          <w:szCs w:val="24"/>
        </w:rPr>
      </w:pPr>
    </w:p>
    <w:p w14:paraId="07CF5C2B" w14:textId="77777777" w:rsidR="00C3036D" w:rsidRPr="00FA3F9C" w:rsidRDefault="00C3036D" w:rsidP="004B79B7">
      <w:pPr>
        <w:rPr>
          <w:rFonts w:ascii="Arial" w:hAnsi="Arial" w:cs="Arial"/>
          <w:b/>
          <w:sz w:val="24"/>
          <w:szCs w:val="24"/>
        </w:rPr>
      </w:pPr>
    </w:p>
    <w:p w14:paraId="390F9A77" w14:textId="77777777" w:rsidR="00C3036D" w:rsidRPr="00FA3F9C" w:rsidRDefault="00C3036D" w:rsidP="00DC68FF">
      <w:pPr>
        <w:rPr>
          <w:rFonts w:ascii="Arial" w:hAnsi="Arial" w:cs="Arial"/>
          <w:b/>
          <w:sz w:val="24"/>
          <w:szCs w:val="24"/>
        </w:rPr>
      </w:pPr>
    </w:p>
    <w:p w14:paraId="26A58D97" w14:textId="77777777" w:rsidR="00C3036D" w:rsidRPr="00FA3F9C" w:rsidRDefault="00C3036D" w:rsidP="00194244">
      <w:pPr>
        <w:rPr>
          <w:rFonts w:ascii="Arial" w:hAnsi="Arial" w:cs="Arial"/>
          <w:sz w:val="24"/>
          <w:szCs w:val="24"/>
        </w:rPr>
      </w:pPr>
      <w:r w:rsidRPr="00FA3F9C">
        <w:rPr>
          <w:rFonts w:ascii="Arial" w:hAnsi="Arial" w:cs="Arial"/>
          <w:sz w:val="24"/>
          <w:szCs w:val="24"/>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5130"/>
        <w:gridCol w:w="2358"/>
      </w:tblGrid>
      <w:tr w:rsidR="00C3036D" w:rsidRPr="00FA3F9C" w14:paraId="71405074" w14:textId="77777777" w:rsidTr="00D33165">
        <w:tc>
          <w:tcPr>
            <w:tcW w:w="1368" w:type="dxa"/>
          </w:tcPr>
          <w:p w14:paraId="3835A2D6" w14:textId="77777777" w:rsidR="00C3036D" w:rsidRPr="00FA3F9C" w:rsidRDefault="00C3036D" w:rsidP="00D33165">
            <w:pPr>
              <w:rPr>
                <w:rFonts w:ascii="Arial" w:hAnsi="Arial" w:cs="Arial"/>
                <w:sz w:val="24"/>
                <w:szCs w:val="24"/>
              </w:rPr>
            </w:pPr>
            <w:r w:rsidRPr="00FA3F9C">
              <w:rPr>
                <w:rFonts w:ascii="Arial" w:hAnsi="Arial" w:cs="Arial"/>
                <w:sz w:val="24"/>
                <w:szCs w:val="24"/>
              </w:rPr>
              <w:t>Date</w:t>
            </w:r>
          </w:p>
        </w:tc>
        <w:tc>
          <w:tcPr>
            <w:tcW w:w="5130" w:type="dxa"/>
          </w:tcPr>
          <w:p w14:paraId="7CB4C26E" w14:textId="77777777" w:rsidR="00C3036D" w:rsidRPr="00FA3F9C" w:rsidRDefault="00C3036D" w:rsidP="00D33165">
            <w:pPr>
              <w:rPr>
                <w:rFonts w:ascii="Arial" w:hAnsi="Arial" w:cs="Arial"/>
                <w:sz w:val="24"/>
                <w:szCs w:val="24"/>
              </w:rPr>
            </w:pPr>
            <w:r w:rsidRPr="00FA3F9C">
              <w:rPr>
                <w:rFonts w:ascii="Arial" w:hAnsi="Arial" w:cs="Arial"/>
                <w:sz w:val="24"/>
                <w:szCs w:val="24"/>
              </w:rPr>
              <w:t xml:space="preserve"> What changed?</w:t>
            </w:r>
          </w:p>
        </w:tc>
        <w:tc>
          <w:tcPr>
            <w:tcW w:w="2358" w:type="dxa"/>
          </w:tcPr>
          <w:p w14:paraId="3D93FC3C" w14:textId="77777777" w:rsidR="00C3036D" w:rsidRPr="00FA3F9C" w:rsidRDefault="00C3036D" w:rsidP="00D33165">
            <w:pPr>
              <w:rPr>
                <w:rFonts w:ascii="Arial" w:hAnsi="Arial" w:cs="Arial"/>
                <w:sz w:val="24"/>
                <w:szCs w:val="24"/>
              </w:rPr>
            </w:pPr>
            <w:r w:rsidRPr="00FA3F9C">
              <w:rPr>
                <w:rFonts w:ascii="Arial" w:hAnsi="Arial" w:cs="Arial"/>
                <w:sz w:val="24"/>
                <w:szCs w:val="24"/>
              </w:rPr>
              <w:t>Pharmacist’s initials</w:t>
            </w:r>
          </w:p>
        </w:tc>
      </w:tr>
      <w:tr w:rsidR="00C3036D" w:rsidRPr="00FA3F9C" w14:paraId="4791B117" w14:textId="77777777" w:rsidTr="00D33165">
        <w:tc>
          <w:tcPr>
            <w:tcW w:w="1368" w:type="dxa"/>
          </w:tcPr>
          <w:p w14:paraId="4B5B56FE" w14:textId="77777777" w:rsidR="00C3036D" w:rsidRPr="00FA3F9C" w:rsidRDefault="00C3036D" w:rsidP="00D33165">
            <w:pPr>
              <w:rPr>
                <w:rFonts w:ascii="Arial" w:hAnsi="Arial" w:cs="Arial"/>
                <w:sz w:val="24"/>
                <w:szCs w:val="24"/>
              </w:rPr>
            </w:pPr>
            <w:r w:rsidRPr="00FA3F9C">
              <w:rPr>
                <w:rFonts w:ascii="Arial" w:hAnsi="Arial" w:cs="Arial"/>
                <w:sz w:val="24"/>
                <w:szCs w:val="24"/>
              </w:rPr>
              <w:t>8/7/06</w:t>
            </w:r>
          </w:p>
        </w:tc>
        <w:tc>
          <w:tcPr>
            <w:tcW w:w="5130" w:type="dxa"/>
          </w:tcPr>
          <w:p w14:paraId="0A253AFF" w14:textId="77777777" w:rsidR="00C3036D" w:rsidRPr="00FA3F9C" w:rsidRDefault="00C3036D" w:rsidP="00D33165">
            <w:pPr>
              <w:rPr>
                <w:rFonts w:ascii="Arial" w:hAnsi="Arial" w:cs="Arial"/>
                <w:sz w:val="24"/>
                <w:szCs w:val="24"/>
              </w:rPr>
            </w:pPr>
            <w:r w:rsidRPr="00FA3F9C">
              <w:rPr>
                <w:rFonts w:ascii="Arial" w:hAnsi="Arial" w:cs="Arial"/>
                <w:sz w:val="24"/>
                <w:szCs w:val="24"/>
              </w:rPr>
              <w:t>Criteria were written</w:t>
            </w:r>
          </w:p>
        </w:tc>
        <w:tc>
          <w:tcPr>
            <w:tcW w:w="2358" w:type="dxa"/>
          </w:tcPr>
          <w:p w14:paraId="5155119E" w14:textId="77777777" w:rsidR="00C3036D" w:rsidRPr="00FA3F9C" w:rsidRDefault="00C3036D" w:rsidP="00D33165">
            <w:pPr>
              <w:rPr>
                <w:rFonts w:ascii="Arial" w:hAnsi="Arial" w:cs="Arial"/>
                <w:sz w:val="24"/>
                <w:szCs w:val="24"/>
              </w:rPr>
            </w:pPr>
            <w:r w:rsidRPr="00FA3F9C">
              <w:rPr>
                <w:rFonts w:ascii="Arial" w:hAnsi="Arial" w:cs="Arial"/>
                <w:sz w:val="24"/>
                <w:szCs w:val="24"/>
              </w:rPr>
              <w:t>JJ</w:t>
            </w:r>
          </w:p>
        </w:tc>
      </w:tr>
      <w:tr w:rsidR="00C3036D" w:rsidRPr="00FA3F9C" w14:paraId="7589A9FF" w14:textId="77777777" w:rsidTr="00D33165">
        <w:tc>
          <w:tcPr>
            <w:tcW w:w="1368" w:type="dxa"/>
          </w:tcPr>
          <w:p w14:paraId="3B439F44" w14:textId="77777777" w:rsidR="00C3036D" w:rsidRPr="00FA3F9C" w:rsidRDefault="00C3036D" w:rsidP="00D33165">
            <w:pPr>
              <w:rPr>
                <w:rFonts w:ascii="Arial" w:hAnsi="Arial" w:cs="Arial"/>
                <w:sz w:val="24"/>
                <w:szCs w:val="24"/>
              </w:rPr>
            </w:pPr>
            <w:r w:rsidRPr="00FA3F9C">
              <w:rPr>
                <w:rFonts w:ascii="Arial" w:hAnsi="Arial" w:cs="Arial"/>
                <w:sz w:val="24"/>
                <w:szCs w:val="24"/>
              </w:rPr>
              <w:t>10/17/06</w:t>
            </w:r>
          </w:p>
        </w:tc>
        <w:tc>
          <w:tcPr>
            <w:tcW w:w="5130" w:type="dxa"/>
          </w:tcPr>
          <w:p w14:paraId="2C41BA5D" w14:textId="77777777" w:rsidR="00C3036D" w:rsidRPr="00FA3F9C" w:rsidRDefault="00C3036D" w:rsidP="00D33165">
            <w:pPr>
              <w:rPr>
                <w:rFonts w:ascii="Arial" w:hAnsi="Arial" w:cs="Arial"/>
                <w:sz w:val="24"/>
                <w:szCs w:val="24"/>
              </w:rPr>
            </w:pPr>
            <w:r w:rsidRPr="00FA3F9C">
              <w:rPr>
                <w:rFonts w:ascii="Arial" w:hAnsi="Arial" w:cs="Arial"/>
                <w:sz w:val="24"/>
                <w:szCs w:val="24"/>
              </w:rPr>
              <w:t>IB voted to accept DUEC’s rec to T3PA this drug</w:t>
            </w:r>
          </w:p>
        </w:tc>
        <w:tc>
          <w:tcPr>
            <w:tcW w:w="2358" w:type="dxa"/>
          </w:tcPr>
          <w:p w14:paraId="70974046" w14:textId="77777777" w:rsidR="00C3036D" w:rsidRPr="00FA3F9C" w:rsidRDefault="00C3036D" w:rsidP="00D33165">
            <w:pPr>
              <w:rPr>
                <w:rFonts w:ascii="Arial" w:hAnsi="Arial" w:cs="Arial"/>
                <w:sz w:val="24"/>
                <w:szCs w:val="24"/>
              </w:rPr>
            </w:pPr>
            <w:r w:rsidRPr="00FA3F9C">
              <w:rPr>
                <w:rFonts w:ascii="Arial" w:hAnsi="Arial" w:cs="Arial"/>
                <w:sz w:val="24"/>
                <w:szCs w:val="24"/>
              </w:rPr>
              <w:t>JJ</w:t>
            </w:r>
          </w:p>
        </w:tc>
      </w:tr>
      <w:tr w:rsidR="00C3036D" w:rsidRPr="00FA3F9C" w14:paraId="5F4A9D5F" w14:textId="77777777" w:rsidTr="00D33165">
        <w:tc>
          <w:tcPr>
            <w:tcW w:w="1368" w:type="dxa"/>
          </w:tcPr>
          <w:p w14:paraId="3D4BA37B" w14:textId="77777777" w:rsidR="00C3036D" w:rsidRPr="00FA3F9C" w:rsidRDefault="00C3036D" w:rsidP="00D33165">
            <w:pPr>
              <w:rPr>
                <w:rFonts w:ascii="Arial" w:hAnsi="Arial" w:cs="Arial"/>
                <w:sz w:val="24"/>
                <w:szCs w:val="24"/>
              </w:rPr>
            </w:pPr>
            <w:r w:rsidRPr="00FA3F9C">
              <w:rPr>
                <w:rFonts w:ascii="Arial" w:hAnsi="Arial" w:cs="Arial"/>
                <w:sz w:val="24"/>
                <w:szCs w:val="24"/>
              </w:rPr>
              <w:lastRenderedPageBreak/>
              <w:t>5/16/12</w:t>
            </w:r>
          </w:p>
        </w:tc>
        <w:tc>
          <w:tcPr>
            <w:tcW w:w="5130" w:type="dxa"/>
          </w:tcPr>
          <w:p w14:paraId="19CB8BAA" w14:textId="77777777" w:rsidR="00C3036D" w:rsidRPr="00FA3F9C" w:rsidRDefault="00C3036D" w:rsidP="00D33165">
            <w:pPr>
              <w:rPr>
                <w:rFonts w:ascii="Arial" w:hAnsi="Arial" w:cs="Arial"/>
                <w:sz w:val="24"/>
                <w:szCs w:val="24"/>
              </w:rPr>
            </w:pPr>
            <w:r w:rsidRPr="00FA3F9C">
              <w:rPr>
                <w:rFonts w:ascii="Arial" w:hAnsi="Arial" w:cs="Arial"/>
                <w:sz w:val="24"/>
                <w:szCs w:val="24"/>
              </w:rPr>
              <w:t>Revision history table added</w:t>
            </w:r>
          </w:p>
        </w:tc>
        <w:tc>
          <w:tcPr>
            <w:tcW w:w="2358" w:type="dxa"/>
          </w:tcPr>
          <w:p w14:paraId="30B9B467" w14:textId="77777777" w:rsidR="00C3036D" w:rsidRPr="00FA3F9C" w:rsidRDefault="00C3036D" w:rsidP="00D33165">
            <w:pPr>
              <w:rPr>
                <w:rFonts w:ascii="Arial" w:hAnsi="Arial" w:cs="Arial"/>
                <w:sz w:val="24"/>
                <w:szCs w:val="24"/>
              </w:rPr>
            </w:pPr>
            <w:r w:rsidRPr="00FA3F9C">
              <w:rPr>
                <w:rFonts w:ascii="Arial" w:hAnsi="Arial" w:cs="Arial"/>
                <w:sz w:val="24"/>
                <w:szCs w:val="24"/>
              </w:rPr>
              <w:t>JJ</w:t>
            </w:r>
          </w:p>
        </w:tc>
      </w:tr>
    </w:tbl>
    <w:p w14:paraId="4C842A11" w14:textId="77777777" w:rsidR="00C3036D" w:rsidRPr="00FA3F9C" w:rsidRDefault="00C3036D" w:rsidP="00194244">
      <w:pPr>
        <w:rPr>
          <w:rFonts w:ascii="Arial" w:hAnsi="Arial" w:cs="Arial"/>
          <w:b/>
          <w:sz w:val="24"/>
          <w:szCs w:val="24"/>
        </w:rPr>
      </w:pPr>
    </w:p>
    <w:p w14:paraId="054E9EE1" w14:textId="77777777" w:rsidR="00C3036D" w:rsidRPr="00FA3F9C" w:rsidRDefault="00C3036D" w:rsidP="00E4013F">
      <w:pPr>
        <w:jc w:val="center"/>
        <w:rPr>
          <w:rFonts w:ascii="Arial" w:hAnsi="Arial" w:cs="Arial"/>
          <w:b/>
          <w:sz w:val="24"/>
          <w:szCs w:val="24"/>
        </w:rPr>
      </w:pPr>
    </w:p>
    <w:p w14:paraId="3431C2E7" w14:textId="77777777" w:rsidR="00C3036D" w:rsidRPr="00FA3F9C" w:rsidRDefault="00C3036D" w:rsidP="00E4013F">
      <w:pPr>
        <w:jc w:val="center"/>
        <w:rPr>
          <w:rFonts w:ascii="Arial" w:hAnsi="Arial" w:cs="Arial"/>
          <w:b/>
          <w:sz w:val="24"/>
          <w:szCs w:val="24"/>
        </w:rPr>
      </w:pPr>
    </w:p>
    <w:p w14:paraId="740EF55A" w14:textId="77777777" w:rsidR="00C3036D" w:rsidRPr="00FA3F9C" w:rsidRDefault="00C3036D" w:rsidP="00E4013F">
      <w:pPr>
        <w:rPr>
          <w:rFonts w:ascii="Arial" w:hAnsi="Arial" w:cs="Arial"/>
          <w:b/>
          <w:sz w:val="24"/>
          <w:szCs w:val="24"/>
        </w:rPr>
      </w:pPr>
    </w:p>
    <w:p w14:paraId="7CE76AF0" w14:textId="77777777" w:rsidR="00C3036D" w:rsidRPr="00FA3F9C" w:rsidRDefault="00C3036D">
      <w:pPr>
        <w:rPr>
          <w:rFonts w:ascii="Arial" w:hAnsi="Arial" w:cs="Arial"/>
          <w:sz w:val="24"/>
          <w:szCs w:val="24"/>
        </w:rPr>
      </w:pPr>
    </w:p>
    <w:p w14:paraId="3D427240" w14:textId="77777777" w:rsidR="00C3036D" w:rsidRPr="00FA3F9C" w:rsidRDefault="00C3036D" w:rsidP="0078218F">
      <w:pPr>
        <w:pStyle w:val="Heading2"/>
        <w:rPr>
          <w:lang w:val="es-ES"/>
        </w:rPr>
      </w:pPr>
      <w:bookmarkStart w:id="304" w:name="_Toc106369927"/>
      <w:proofErr w:type="spellStart"/>
      <w:r w:rsidRPr="00FA3F9C">
        <w:rPr>
          <w:lang w:val="es-ES"/>
        </w:rPr>
        <w:t>Selexipag</w:t>
      </w:r>
      <w:proofErr w:type="spellEnd"/>
      <w:r w:rsidRPr="00FA3F9C">
        <w:rPr>
          <w:lang w:val="es-ES"/>
        </w:rPr>
        <w:t xml:space="preserve"> (</w:t>
      </w:r>
      <w:proofErr w:type="spellStart"/>
      <w:r w:rsidRPr="00FA3F9C">
        <w:rPr>
          <w:lang w:val="es-ES"/>
        </w:rPr>
        <w:t>Uptravi</w:t>
      </w:r>
      <w:proofErr w:type="spellEnd"/>
      <w:r w:rsidRPr="00FA3F9C">
        <w:rPr>
          <w:lang w:val="es-ES"/>
        </w:rPr>
        <w:t>)</w:t>
      </w:r>
      <w:bookmarkEnd w:id="304"/>
      <w:r w:rsidRPr="00FA3F9C">
        <w:rPr>
          <w:lang w:val="es-ES"/>
        </w:rPr>
        <w:t xml:space="preserve">   </w:t>
      </w:r>
    </w:p>
    <w:p w14:paraId="3925E1FC" w14:textId="441D56E9" w:rsidR="00C3036D" w:rsidRDefault="00C3036D" w:rsidP="00D326B5">
      <w:pPr>
        <w:jc w:val="center"/>
        <w:rPr>
          <w:rFonts w:ascii="Arial" w:hAnsi="Arial" w:cs="Arial"/>
          <w:b/>
          <w:sz w:val="24"/>
          <w:szCs w:val="24"/>
        </w:rPr>
      </w:pPr>
      <w:r w:rsidRPr="00FA3F9C">
        <w:rPr>
          <w:rFonts w:ascii="Arial" w:hAnsi="Arial" w:cs="Arial"/>
          <w:b/>
          <w:sz w:val="24"/>
          <w:szCs w:val="24"/>
        </w:rPr>
        <w:t>200, 400, 600, 800, 1000, 1200, 1400, 1600mcg tablets, Tablet Therapy Pack: 200mcg (140s) and 800 (60s); total 200/pack</w:t>
      </w:r>
    </w:p>
    <w:p w14:paraId="5F7CE7B3" w14:textId="77777777" w:rsidR="0078218F" w:rsidRPr="00222A23" w:rsidRDefault="0078218F" w:rsidP="0078218F">
      <w:pPr>
        <w:spacing w:after="0"/>
        <w:jc w:val="center"/>
        <w:rPr>
          <w:rFonts w:ascii="Arial" w:hAnsi="Arial" w:cs="Arial"/>
          <w:sz w:val="24"/>
          <w:szCs w:val="24"/>
        </w:rPr>
      </w:pPr>
      <w:r w:rsidRPr="00222A23">
        <w:rPr>
          <w:rFonts w:ascii="Arial" w:hAnsi="Arial" w:cs="Arial"/>
          <w:sz w:val="24"/>
          <w:szCs w:val="24"/>
        </w:rPr>
        <w:t>EBRx PA Criteria</w:t>
      </w:r>
    </w:p>
    <w:p w14:paraId="349BFE70" w14:textId="77777777" w:rsidR="0078218F" w:rsidRPr="00FA3F9C" w:rsidRDefault="0078218F" w:rsidP="00D326B5">
      <w:pPr>
        <w:jc w:val="center"/>
        <w:rPr>
          <w:rFonts w:ascii="Arial" w:hAnsi="Arial" w:cs="Arial"/>
          <w:b/>
          <w:sz w:val="24"/>
          <w:szCs w:val="24"/>
        </w:rPr>
      </w:pPr>
    </w:p>
    <w:p w14:paraId="7D5B4720" w14:textId="77777777" w:rsidR="00C3036D" w:rsidRPr="00FA3F9C" w:rsidRDefault="00C3036D" w:rsidP="00F1052A">
      <w:pPr>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treatment of PAH (WHO Group I) to delay disease progression and reduce the risk of hospitalization for PAH.</w:t>
      </w:r>
    </w:p>
    <w:tbl>
      <w:tblPr>
        <w:tblStyle w:val="TableGrid"/>
        <w:tblW w:w="0" w:type="auto"/>
        <w:tblLook w:val="04A0" w:firstRow="1" w:lastRow="0" w:firstColumn="1" w:lastColumn="0" w:noHBand="0" w:noVBand="1"/>
      </w:tblPr>
      <w:tblGrid>
        <w:gridCol w:w="8928"/>
        <w:gridCol w:w="2088"/>
      </w:tblGrid>
      <w:tr w:rsidR="00C3036D" w:rsidRPr="00FA3F9C" w14:paraId="7B92B34A" w14:textId="77777777" w:rsidTr="00571CAB">
        <w:tc>
          <w:tcPr>
            <w:tcW w:w="8928" w:type="dxa"/>
            <w:shd w:val="clear" w:color="auto" w:fill="000000"/>
          </w:tcPr>
          <w:p w14:paraId="31C49AE0" w14:textId="77777777" w:rsidR="00C3036D" w:rsidRPr="00FA3F9C" w:rsidRDefault="00C3036D"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88" w:type="dxa"/>
            <w:shd w:val="clear" w:color="auto" w:fill="000000"/>
          </w:tcPr>
          <w:p w14:paraId="5E764DC7" w14:textId="77777777" w:rsidR="00C3036D" w:rsidRPr="00FA3F9C" w:rsidRDefault="00C3036D" w:rsidP="006F623F">
            <w:pPr>
              <w:jc w:val="center"/>
              <w:rPr>
                <w:rFonts w:ascii="Arial" w:hAnsi="Arial" w:cs="Arial"/>
                <w:b/>
                <w:sz w:val="24"/>
                <w:szCs w:val="24"/>
                <w:u w:val="single"/>
              </w:rPr>
            </w:pPr>
          </w:p>
        </w:tc>
      </w:tr>
      <w:tr w:rsidR="00C3036D" w:rsidRPr="00FA3F9C" w14:paraId="683C7BFA" w14:textId="77777777" w:rsidTr="008A5DCF">
        <w:tc>
          <w:tcPr>
            <w:tcW w:w="11016" w:type="dxa"/>
            <w:gridSpan w:val="2"/>
          </w:tcPr>
          <w:p w14:paraId="45F52295" w14:textId="77777777" w:rsidR="00C3036D" w:rsidRPr="00FA3F9C" w:rsidRDefault="00C3036D" w:rsidP="006F623F">
            <w:pPr>
              <w:rPr>
                <w:rFonts w:ascii="Arial" w:hAnsi="Arial" w:cs="Arial"/>
                <w:sz w:val="24"/>
                <w:szCs w:val="24"/>
              </w:rPr>
            </w:pPr>
            <w:r w:rsidRPr="00FA3F9C">
              <w:rPr>
                <w:rFonts w:ascii="Arial" w:hAnsi="Arial" w:cs="Arial"/>
                <w:sz w:val="24"/>
                <w:szCs w:val="24"/>
              </w:rPr>
              <w:t>1.  Patients must have the diagnosis of World Health Organization (WHO) Group 1 pulmonary artery hypertension.</w:t>
            </w:r>
          </w:p>
        </w:tc>
      </w:tr>
      <w:tr w:rsidR="00C3036D" w:rsidRPr="00FA3F9C" w14:paraId="3BC33816" w14:textId="77777777" w:rsidTr="008A5DCF">
        <w:tc>
          <w:tcPr>
            <w:tcW w:w="11016" w:type="dxa"/>
            <w:gridSpan w:val="2"/>
          </w:tcPr>
          <w:p w14:paraId="736D1B74" w14:textId="77777777" w:rsidR="00C3036D" w:rsidRPr="00FA3F9C" w:rsidRDefault="00C3036D" w:rsidP="00D326B5">
            <w:pPr>
              <w:rPr>
                <w:rFonts w:ascii="Arial" w:hAnsi="Arial" w:cs="Arial"/>
                <w:sz w:val="24"/>
                <w:szCs w:val="24"/>
              </w:rPr>
            </w:pPr>
            <w:r w:rsidRPr="00FA3F9C">
              <w:rPr>
                <w:rFonts w:ascii="Arial" w:hAnsi="Arial" w:cs="Arial"/>
                <w:sz w:val="24"/>
                <w:szCs w:val="24"/>
              </w:rPr>
              <w:t>2.  Chart notes must confirm the documentation of a right heart catheterization showing pulmonary vascular resistance of at least 5 Wood units or 400 dyn-sec-cm</w:t>
            </w:r>
            <w:r w:rsidRPr="00FA3F9C">
              <w:rPr>
                <w:rFonts w:ascii="Arial" w:hAnsi="Arial" w:cs="Arial"/>
                <w:sz w:val="24"/>
                <w:szCs w:val="24"/>
                <w:vertAlign w:val="superscript"/>
              </w:rPr>
              <w:t>-5</w:t>
            </w:r>
            <w:r w:rsidRPr="00FA3F9C">
              <w:rPr>
                <w:rFonts w:ascii="Arial" w:hAnsi="Arial" w:cs="Arial"/>
                <w:sz w:val="24"/>
                <w:szCs w:val="24"/>
              </w:rPr>
              <w:t>.</w:t>
            </w:r>
          </w:p>
        </w:tc>
      </w:tr>
      <w:tr w:rsidR="00C3036D" w:rsidRPr="00FA3F9C" w14:paraId="2AF05D00" w14:textId="77777777" w:rsidTr="008A5DCF">
        <w:tc>
          <w:tcPr>
            <w:tcW w:w="11016" w:type="dxa"/>
            <w:gridSpan w:val="2"/>
          </w:tcPr>
          <w:p w14:paraId="4B4B8313" w14:textId="77777777" w:rsidR="00C3036D" w:rsidRPr="00FA3F9C" w:rsidRDefault="00C3036D" w:rsidP="00D326B5">
            <w:pPr>
              <w:rPr>
                <w:rFonts w:ascii="Arial" w:hAnsi="Arial" w:cs="Arial"/>
                <w:sz w:val="24"/>
                <w:szCs w:val="24"/>
              </w:rPr>
            </w:pPr>
            <w:r w:rsidRPr="00FA3F9C">
              <w:rPr>
                <w:rFonts w:ascii="Arial" w:hAnsi="Arial" w:cs="Arial"/>
                <w:sz w:val="24"/>
                <w:szCs w:val="24"/>
              </w:rPr>
              <w:t>3.  Chart notes must confirm the patient has a 6 min walk distance of at least 50 meters in the past 12 months.</w:t>
            </w:r>
          </w:p>
        </w:tc>
      </w:tr>
    </w:tbl>
    <w:p w14:paraId="622C8E75" w14:textId="77777777" w:rsidR="00C3036D" w:rsidRPr="00FA3F9C" w:rsidRDefault="00C3036D" w:rsidP="006F623F">
      <w:pPr>
        <w:spacing w:after="0"/>
        <w:rPr>
          <w:rFonts w:ascii="Arial" w:hAnsi="Arial" w:cs="Arial"/>
          <w:b/>
          <w:sz w:val="24"/>
          <w:szCs w:val="24"/>
          <w:u w:val="single"/>
        </w:rPr>
      </w:pPr>
      <w:r w:rsidRPr="00FA3F9C">
        <w:rPr>
          <w:rFonts w:ascii="Arial" w:hAnsi="Arial" w:cs="Arial"/>
          <w:b/>
          <w:sz w:val="24"/>
          <w:szCs w:val="24"/>
          <w:u w:val="single"/>
        </w:rPr>
        <w:t>QL of 2 tablets per day.</w:t>
      </w:r>
    </w:p>
    <w:p w14:paraId="626206F4" w14:textId="77777777" w:rsidR="00C3036D" w:rsidRPr="00FA3F9C" w:rsidRDefault="00C3036D" w:rsidP="006F623F">
      <w:pPr>
        <w:spacing w:after="0"/>
        <w:rPr>
          <w:rFonts w:ascii="Arial" w:hAnsi="Arial" w:cs="Arial"/>
          <w:b/>
          <w:sz w:val="24"/>
          <w:szCs w:val="24"/>
          <w:u w:val="single"/>
        </w:rPr>
      </w:pPr>
      <w:r w:rsidRPr="00FA3F9C">
        <w:rPr>
          <w:rFonts w:ascii="Arial" w:hAnsi="Arial" w:cs="Arial"/>
          <w:b/>
          <w:sz w:val="24"/>
          <w:szCs w:val="24"/>
          <w:u w:val="single"/>
        </w:rPr>
        <w:t xml:space="preserve">This is a specialty medication so only a 30 </w:t>
      </w:r>
      <w:proofErr w:type="spellStart"/>
      <w:proofErr w:type="gramStart"/>
      <w:r w:rsidRPr="00FA3F9C">
        <w:rPr>
          <w:rFonts w:ascii="Arial" w:hAnsi="Arial" w:cs="Arial"/>
          <w:b/>
          <w:sz w:val="24"/>
          <w:szCs w:val="24"/>
          <w:u w:val="single"/>
        </w:rPr>
        <w:t>days</w:t>
      </w:r>
      <w:proofErr w:type="spellEnd"/>
      <w:proofErr w:type="gramEnd"/>
      <w:r w:rsidRPr="00FA3F9C">
        <w:rPr>
          <w:rFonts w:ascii="Arial" w:hAnsi="Arial" w:cs="Arial"/>
          <w:b/>
          <w:sz w:val="24"/>
          <w:szCs w:val="24"/>
          <w:u w:val="single"/>
        </w:rPr>
        <w:t xml:space="preserve"> supply will be allowed per month.</w:t>
      </w:r>
    </w:p>
    <w:p w14:paraId="65B1A06C" w14:textId="77777777" w:rsidR="00C3036D" w:rsidRPr="00FA3F9C" w:rsidRDefault="00C3036D" w:rsidP="006F623F">
      <w:pPr>
        <w:spacing w:after="0"/>
        <w:rPr>
          <w:rFonts w:ascii="Arial" w:hAnsi="Arial" w:cs="Arial"/>
          <w:b/>
          <w:sz w:val="24"/>
          <w:szCs w:val="24"/>
          <w:u w:val="single"/>
        </w:rPr>
      </w:pPr>
    </w:p>
    <w:tbl>
      <w:tblPr>
        <w:tblStyle w:val="TableGrid"/>
        <w:tblW w:w="0" w:type="auto"/>
        <w:shd w:val="clear" w:color="auto" w:fill="BFBFBF" w:themeFill="background1" w:themeFillShade="BF"/>
        <w:tblLook w:val="04A0" w:firstRow="1" w:lastRow="0" w:firstColumn="1" w:lastColumn="0" w:noHBand="0" w:noVBand="1"/>
      </w:tblPr>
      <w:tblGrid>
        <w:gridCol w:w="10998"/>
      </w:tblGrid>
      <w:tr w:rsidR="00C3036D" w:rsidRPr="00FA3F9C" w14:paraId="60BF837E" w14:textId="77777777" w:rsidTr="00D82B6E">
        <w:tc>
          <w:tcPr>
            <w:tcW w:w="10998" w:type="dxa"/>
            <w:shd w:val="clear" w:color="auto" w:fill="BFBFBF" w:themeFill="background1" w:themeFillShade="BF"/>
          </w:tcPr>
          <w:p w14:paraId="6A642AA5" w14:textId="77777777" w:rsidR="00C3036D" w:rsidRPr="00FA3F9C" w:rsidRDefault="00C3036D" w:rsidP="00D82B6E">
            <w:pPr>
              <w:rPr>
                <w:rFonts w:ascii="Arial" w:hAnsi="Arial" w:cs="Arial"/>
                <w:sz w:val="24"/>
                <w:szCs w:val="24"/>
              </w:rPr>
            </w:pPr>
            <w:r w:rsidRPr="00FA3F9C">
              <w:rPr>
                <w:rFonts w:ascii="Arial" w:hAnsi="Arial" w:cs="Arial"/>
                <w:sz w:val="24"/>
                <w:szCs w:val="24"/>
              </w:rPr>
              <w:t xml:space="preserve">Note:   The dosing is 200mcg BID up to a max dose of 1600mcg BID.  </w:t>
            </w:r>
          </w:p>
          <w:p w14:paraId="1FC4ECDC" w14:textId="77777777" w:rsidR="00C3036D" w:rsidRPr="00FA3F9C" w:rsidRDefault="00C3036D" w:rsidP="008A5DCF">
            <w:pPr>
              <w:rPr>
                <w:rFonts w:ascii="Arial" w:hAnsi="Arial" w:cs="Arial"/>
                <w:sz w:val="24"/>
                <w:szCs w:val="24"/>
              </w:rPr>
            </w:pPr>
            <w:r w:rsidRPr="00FA3F9C">
              <w:rPr>
                <w:rFonts w:ascii="Arial" w:hAnsi="Arial" w:cs="Arial"/>
                <w:sz w:val="24"/>
                <w:szCs w:val="24"/>
              </w:rPr>
              <w:t>It is imperative dose optimization occur since all strengths are priced the same per tablet.</w:t>
            </w:r>
          </w:p>
        </w:tc>
      </w:tr>
    </w:tbl>
    <w:p w14:paraId="2E24753B" w14:textId="77777777" w:rsidR="00C3036D" w:rsidRPr="00FA3F9C" w:rsidRDefault="00C3036D" w:rsidP="006F623F">
      <w:pPr>
        <w:spacing w:after="0"/>
        <w:rPr>
          <w:rFonts w:ascii="Arial" w:hAnsi="Arial" w:cs="Arial"/>
          <w:sz w:val="24"/>
          <w:szCs w:val="24"/>
        </w:rPr>
      </w:pPr>
    </w:p>
    <w:p w14:paraId="47B226F5" w14:textId="77777777" w:rsidR="00C3036D" w:rsidRPr="00FA3F9C" w:rsidRDefault="00C3036D" w:rsidP="001503D2">
      <w:pPr>
        <w:pBdr>
          <w:top w:val="single" w:sz="4" w:space="1" w:color="auto"/>
          <w:left w:val="single" w:sz="4" w:space="4" w:color="auto"/>
          <w:bottom w:val="single" w:sz="4" w:space="1" w:color="auto"/>
          <w:right w:val="single" w:sz="4" w:space="4" w:color="auto"/>
        </w:pBdr>
        <w:spacing w:after="0"/>
        <w:rPr>
          <w:rFonts w:ascii="Arial" w:hAnsi="Arial" w:cs="Arial"/>
          <w:sz w:val="24"/>
          <w:szCs w:val="24"/>
        </w:rPr>
      </w:pPr>
      <w:r w:rsidRPr="00FA3F9C">
        <w:rPr>
          <w:rFonts w:ascii="Arial" w:hAnsi="Arial" w:cs="Arial"/>
          <w:sz w:val="24"/>
          <w:szCs w:val="24"/>
        </w:rPr>
        <w:lastRenderedPageBreak/>
        <w:t xml:space="preserve">NOTE TO CALL CENTER PHARMACISTS:  Please make a note when the PA call comes in.  The titration pack should be allowed only during the first 3 months of starting the drug and ideally be used only 1 month.  Patients should be titrated by 12 weeks. After 3 months, </w:t>
      </w:r>
      <w:proofErr w:type="gramStart"/>
      <w:r w:rsidRPr="00FA3F9C">
        <w:rPr>
          <w:rFonts w:ascii="Arial" w:hAnsi="Arial" w:cs="Arial"/>
          <w:sz w:val="24"/>
          <w:szCs w:val="24"/>
        </w:rPr>
        <w:t>NON-titration</w:t>
      </w:r>
      <w:proofErr w:type="gramEnd"/>
      <w:r w:rsidRPr="00FA3F9C">
        <w:rPr>
          <w:rFonts w:ascii="Arial" w:hAnsi="Arial" w:cs="Arial"/>
          <w:sz w:val="24"/>
          <w:szCs w:val="24"/>
        </w:rPr>
        <w:t xml:space="preserve"> packs should be used with QL of 2/1 and appropriate </w:t>
      </w:r>
      <w:proofErr w:type="spellStart"/>
      <w:r w:rsidRPr="00FA3F9C">
        <w:rPr>
          <w:rFonts w:ascii="Arial" w:hAnsi="Arial" w:cs="Arial"/>
          <w:sz w:val="24"/>
          <w:szCs w:val="24"/>
        </w:rPr>
        <w:t>days</w:t>
      </w:r>
      <w:proofErr w:type="spellEnd"/>
      <w:r w:rsidRPr="00FA3F9C">
        <w:rPr>
          <w:rFonts w:ascii="Arial" w:hAnsi="Arial" w:cs="Arial"/>
          <w:sz w:val="24"/>
          <w:szCs w:val="24"/>
        </w:rPr>
        <w:t xml:space="preserve"> supply. </w:t>
      </w:r>
    </w:p>
    <w:p w14:paraId="188D6CA2" w14:textId="77777777" w:rsidR="00C3036D" w:rsidRPr="00FA3F9C" w:rsidRDefault="00C3036D" w:rsidP="001503D2">
      <w:pPr>
        <w:pBdr>
          <w:top w:val="single" w:sz="4" w:space="1" w:color="auto"/>
          <w:left w:val="single" w:sz="4" w:space="4" w:color="auto"/>
          <w:bottom w:val="single" w:sz="4" w:space="1" w:color="auto"/>
          <w:right w:val="single" w:sz="4" w:space="4" w:color="auto"/>
        </w:pBdr>
        <w:spacing w:after="0"/>
        <w:rPr>
          <w:rFonts w:ascii="Arial" w:hAnsi="Arial" w:cs="Arial"/>
          <w:sz w:val="24"/>
          <w:szCs w:val="24"/>
        </w:rPr>
      </w:pPr>
    </w:p>
    <w:p w14:paraId="048D3E59" w14:textId="77777777" w:rsidR="00C3036D" w:rsidRPr="00FA3F9C" w:rsidRDefault="00C3036D" w:rsidP="001503D2">
      <w:pPr>
        <w:pBdr>
          <w:top w:val="single" w:sz="4" w:space="1" w:color="auto"/>
          <w:left w:val="single" w:sz="4" w:space="4" w:color="auto"/>
          <w:bottom w:val="single" w:sz="4" w:space="1" w:color="auto"/>
          <w:right w:val="single" w:sz="4" w:space="4" w:color="auto"/>
        </w:pBdr>
        <w:spacing w:after="0"/>
        <w:rPr>
          <w:rFonts w:ascii="Arial" w:hAnsi="Arial" w:cs="Arial"/>
          <w:sz w:val="24"/>
          <w:szCs w:val="24"/>
        </w:rPr>
      </w:pPr>
      <w:r w:rsidRPr="00FA3F9C">
        <w:rPr>
          <w:rFonts w:ascii="Arial" w:hAnsi="Arial" w:cs="Arial"/>
          <w:sz w:val="24"/>
          <w:szCs w:val="24"/>
        </w:rPr>
        <w:t>Please ensure the QL is also entered within the PA.  Max daily dosage is 2 tablets.</w:t>
      </w:r>
    </w:p>
    <w:p w14:paraId="399D985A" w14:textId="77777777" w:rsidR="00C3036D" w:rsidRPr="00FA3F9C" w:rsidRDefault="00C3036D" w:rsidP="001503D2">
      <w:pPr>
        <w:pBdr>
          <w:top w:val="single" w:sz="4" w:space="1" w:color="auto"/>
          <w:left w:val="single" w:sz="4" w:space="4" w:color="auto"/>
          <w:bottom w:val="single" w:sz="4" w:space="1" w:color="auto"/>
          <w:right w:val="single" w:sz="4" w:space="4" w:color="auto"/>
        </w:pBdr>
        <w:spacing w:after="0"/>
        <w:rPr>
          <w:rFonts w:ascii="Arial" w:hAnsi="Arial" w:cs="Arial"/>
          <w:sz w:val="24"/>
          <w:szCs w:val="24"/>
        </w:rPr>
      </w:pPr>
    </w:p>
    <w:p w14:paraId="6DEA7B20" w14:textId="77777777" w:rsidR="00C3036D" w:rsidRPr="00FA3F9C" w:rsidRDefault="00C3036D" w:rsidP="001503D2">
      <w:pPr>
        <w:pBdr>
          <w:top w:val="single" w:sz="4" w:space="1" w:color="auto"/>
          <w:left w:val="single" w:sz="4" w:space="4" w:color="auto"/>
          <w:bottom w:val="single" w:sz="4" w:space="1" w:color="auto"/>
          <w:right w:val="single" w:sz="4" w:space="4" w:color="auto"/>
        </w:pBdr>
        <w:spacing w:after="0"/>
        <w:rPr>
          <w:rFonts w:ascii="Arial" w:hAnsi="Arial" w:cs="Arial"/>
          <w:sz w:val="24"/>
          <w:szCs w:val="24"/>
        </w:rPr>
      </w:pPr>
      <w:r w:rsidRPr="00FA3F9C">
        <w:rPr>
          <w:rFonts w:ascii="Arial" w:hAnsi="Arial" w:cs="Arial"/>
          <w:sz w:val="24"/>
          <w:szCs w:val="24"/>
        </w:rPr>
        <w:t>AWP Titration Packs 200 &amp; 800 (#200)= $26,136</w:t>
      </w:r>
    </w:p>
    <w:p w14:paraId="578270F0" w14:textId="77777777" w:rsidR="00C3036D" w:rsidRPr="00FA3F9C" w:rsidRDefault="00C3036D" w:rsidP="001503D2">
      <w:pPr>
        <w:pBdr>
          <w:top w:val="single" w:sz="4" w:space="1" w:color="auto"/>
          <w:left w:val="single" w:sz="4" w:space="4" w:color="auto"/>
          <w:bottom w:val="single" w:sz="4" w:space="1" w:color="auto"/>
          <w:right w:val="single" w:sz="4" w:space="4" w:color="auto"/>
        </w:pBdr>
        <w:spacing w:after="0"/>
        <w:rPr>
          <w:rFonts w:ascii="Arial" w:hAnsi="Arial" w:cs="Arial"/>
          <w:sz w:val="24"/>
          <w:szCs w:val="24"/>
        </w:rPr>
      </w:pPr>
      <w:r w:rsidRPr="00FA3F9C">
        <w:rPr>
          <w:rFonts w:ascii="Arial" w:hAnsi="Arial" w:cs="Arial"/>
          <w:sz w:val="24"/>
          <w:szCs w:val="24"/>
        </w:rPr>
        <w:t>200mcg (#60) = $11208</w:t>
      </w:r>
    </w:p>
    <w:p w14:paraId="423379D5" w14:textId="77777777" w:rsidR="00C3036D" w:rsidRPr="00FA3F9C" w:rsidRDefault="00C3036D" w:rsidP="001503D2">
      <w:pPr>
        <w:pBdr>
          <w:top w:val="single" w:sz="4" w:space="1" w:color="auto"/>
          <w:left w:val="single" w:sz="4" w:space="4" w:color="auto"/>
          <w:bottom w:val="single" w:sz="4" w:space="1" w:color="auto"/>
          <w:right w:val="single" w:sz="4" w:space="4" w:color="auto"/>
        </w:pBdr>
        <w:spacing w:after="0"/>
        <w:rPr>
          <w:rFonts w:ascii="Arial" w:hAnsi="Arial" w:cs="Arial"/>
          <w:sz w:val="24"/>
          <w:szCs w:val="24"/>
        </w:rPr>
      </w:pPr>
      <w:r w:rsidRPr="00FA3F9C">
        <w:rPr>
          <w:rFonts w:ascii="Arial" w:hAnsi="Arial" w:cs="Arial"/>
          <w:sz w:val="24"/>
          <w:szCs w:val="24"/>
        </w:rPr>
        <w:t>400, 600, 800, 1000, 1200, 1400, 1600mcg (any #60) = $17424</w:t>
      </w:r>
    </w:p>
    <w:p w14:paraId="4BD5C7A1" w14:textId="77777777" w:rsidR="00C3036D" w:rsidRPr="00FA3F9C" w:rsidRDefault="00C3036D" w:rsidP="006F623F">
      <w:pPr>
        <w:spacing w:after="0"/>
        <w:rPr>
          <w:rFonts w:ascii="Arial" w:hAnsi="Arial" w:cs="Arial"/>
          <w:sz w:val="24"/>
          <w:szCs w:val="24"/>
        </w:rPr>
      </w:pPr>
    </w:p>
    <w:p w14:paraId="635850DD" w14:textId="77777777" w:rsidR="00C3036D" w:rsidRPr="00FA3F9C" w:rsidRDefault="00C3036D" w:rsidP="006F623F">
      <w:pPr>
        <w:spacing w:after="0"/>
        <w:rPr>
          <w:rFonts w:ascii="Arial" w:hAnsi="Arial" w:cs="Arial"/>
          <w:sz w:val="24"/>
          <w:szCs w:val="24"/>
        </w:rPr>
      </w:pPr>
      <w:r w:rsidRPr="00FA3F9C">
        <w:rPr>
          <w:rFonts w:ascii="Arial" w:hAnsi="Arial" w:cs="Arial"/>
          <w:sz w:val="24"/>
          <w:szCs w:val="24"/>
        </w:rPr>
        <w:t>References:</w:t>
      </w:r>
    </w:p>
    <w:p w14:paraId="4E232545" w14:textId="77777777" w:rsidR="00C3036D" w:rsidRPr="00FA3F9C" w:rsidRDefault="00C3036D" w:rsidP="00D326B5">
      <w:pPr>
        <w:rPr>
          <w:rFonts w:ascii="Arial" w:hAnsi="Arial" w:cs="Arial"/>
          <w:b/>
          <w:sz w:val="24"/>
          <w:szCs w:val="24"/>
        </w:rPr>
      </w:pPr>
      <w:r w:rsidRPr="00FA3F9C">
        <w:rPr>
          <w:rFonts w:ascii="Arial" w:hAnsi="Arial" w:cs="Arial"/>
          <w:sz w:val="24"/>
          <w:szCs w:val="24"/>
        </w:rPr>
        <w:t xml:space="preserve">1.  </w:t>
      </w:r>
      <w:proofErr w:type="spellStart"/>
      <w:r w:rsidRPr="00FA3F9C">
        <w:rPr>
          <w:rFonts w:ascii="Arial" w:hAnsi="Arial" w:cs="Arial"/>
          <w:b/>
          <w:sz w:val="24"/>
          <w:szCs w:val="24"/>
        </w:rPr>
        <w:t>Sitbon</w:t>
      </w:r>
      <w:proofErr w:type="spellEnd"/>
      <w:r w:rsidRPr="00FA3F9C">
        <w:rPr>
          <w:rFonts w:ascii="Arial" w:hAnsi="Arial" w:cs="Arial"/>
          <w:b/>
          <w:sz w:val="24"/>
          <w:szCs w:val="24"/>
        </w:rPr>
        <w:t xml:space="preserve"> O, </w:t>
      </w:r>
      <w:proofErr w:type="spellStart"/>
      <w:r w:rsidRPr="00FA3F9C">
        <w:rPr>
          <w:rFonts w:ascii="Arial" w:hAnsi="Arial" w:cs="Arial"/>
          <w:b/>
          <w:sz w:val="24"/>
          <w:szCs w:val="24"/>
        </w:rPr>
        <w:t>Channick</w:t>
      </w:r>
      <w:proofErr w:type="spellEnd"/>
      <w:r w:rsidRPr="00FA3F9C">
        <w:rPr>
          <w:rFonts w:ascii="Arial" w:hAnsi="Arial" w:cs="Arial"/>
          <w:b/>
          <w:sz w:val="24"/>
          <w:szCs w:val="24"/>
        </w:rPr>
        <w:t xml:space="preserve"> R, Chin KM, et al.  </w:t>
      </w:r>
      <w:proofErr w:type="spellStart"/>
      <w:r w:rsidRPr="00FA3F9C">
        <w:rPr>
          <w:rFonts w:ascii="Arial" w:hAnsi="Arial" w:cs="Arial"/>
          <w:b/>
          <w:sz w:val="24"/>
          <w:szCs w:val="24"/>
        </w:rPr>
        <w:t>Selexipag</w:t>
      </w:r>
      <w:proofErr w:type="spellEnd"/>
      <w:r w:rsidRPr="00FA3F9C">
        <w:rPr>
          <w:rFonts w:ascii="Arial" w:hAnsi="Arial" w:cs="Arial"/>
          <w:b/>
          <w:sz w:val="24"/>
          <w:szCs w:val="24"/>
        </w:rPr>
        <w:t xml:space="preserve"> for the treatment of pulmonary arterial hypertension.  N </w:t>
      </w:r>
      <w:proofErr w:type="spellStart"/>
      <w:r w:rsidRPr="00FA3F9C">
        <w:rPr>
          <w:rFonts w:ascii="Arial" w:hAnsi="Arial" w:cs="Arial"/>
          <w:b/>
          <w:sz w:val="24"/>
          <w:szCs w:val="24"/>
        </w:rPr>
        <w:t>Engl</w:t>
      </w:r>
      <w:proofErr w:type="spellEnd"/>
      <w:r w:rsidRPr="00FA3F9C">
        <w:rPr>
          <w:rFonts w:ascii="Arial" w:hAnsi="Arial" w:cs="Arial"/>
          <w:b/>
          <w:sz w:val="24"/>
          <w:szCs w:val="24"/>
        </w:rPr>
        <w:t xml:space="preserve"> J Med. 2015;373:2522-33. (GRIPHON)</w:t>
      </w:r>
    </w:p>
    <w:p w14:paraId="3559B2FD" w14:textId="77777777" w:rsidR="00C3036D" w:rsidRPr="00FA3F9C" w:rsidRDefault="00C3036D" w:rsidP="006F623F">
      <w:pPr>
        <w:spacing w:after="0"/>
        <w:rPr>
          <w:rFonts w:ascii="Arial" w:hAnsi="Arial" w:cs="Arial"/>
          <w:sz w:val="24"/>
          <w:szCs w:val="24"/>
        </w:rPr>
      </w:pPr>
    </w:p>
    <w:p w14:paraId="4D347577" w14:textId="77777777" w:rsidR="00C3036D" w:rsidRPr="00FA3F9C" w:rsidRDefault="00C3036D" w:rsidP="006F623F">
      <w:pPr>
        <w:spacing w:after="0"/>
        <w:rPr>
          <w:rFonts w:ascii="Arial" w:hAnsi="Arial" w:cs="Arial"/>
          <w:sz w:val="24"/>
          <w:szCs w:val="24"/>
        </w:rPr>
      </w:pPr>
    </w:p>
    <w:p w14:paraId="708B4319" w14:textId="77777777" w:rsidR="00C3036D" w:rsidRPr="00FA3F9C" w:rsidRDefault="00C3036D" w:rsidP="006F623F">
      <w:pPr>
        <w:spacing w:after="0"/>
        <w:rPr>
          <w:rFonts w:ascii="Arial" w:hAnsi="Arial" w:cs="Arial"/>
          <w:sz w:val="24"/>
          <w:szCs w:val="24"/>
        </w:rPr>
      </w:pPr>
    </w:p>
    <w:p w14:paraId="299A135D" w14:textId="77777777" w:rsidR="00C3036D" w:rsidRPr="00FA3F9C" w:rsidRDefault="00C3036D" w:rsidP="006F623F">
      <w:pPr>
        <w:spacing w:after="0"/>
        <w:rPr>
          <w:rFonts w:ascii="Arial" w:hAnsi="Arial" w:cs="Arial"/>
          <w:sz w:val="24"/>
          <w:szCs w:val="24"/>
        </w:rPr>
      </w:pPr>
    </w:p>
    <w:p w14:paraId="16E5A53D" w14:textId="77777777" w:rsidR="00C3036D" w:rsidRPr="00FA3F9C" w:rsidRDefault="00C3036D" w:rsidP="006F623F">
      <w:pPr>
        <w:spacing w:after="0"/>
        <w:rPr>
          <w:rFonts w:ascii="Arial" w:hAnsi="Arial" w:cs="Arial"/>
          <w:sz w:val="24"/>
          <w:szCs w:val="24"/>
        </w:rPr>
      </w:pPr>
    </w:p>
    <w:p w14:paraId="0300CF75" w14:textId="77777777" w:rsidR="00C3036D" w:rsidRPr="00FA3F9C" w:rsidRDefault="00C3036D" w:rsidP="006F623F">
      <w:pPr>
        <w:spacing w:after="0"/>
        <w:rPr>
          <w:rFonts w:ascii="Arial" w:hAnsi="Arial" w:cs="Arial"/>
          <w:sz w:val="24"/>
          <w:szCs w:val="24"/>
        </w:rPr>
      </w:pPr>
    </w:p>
    <w:p w14:paraId="51237B1E" w14:textId="77777777" w:rsidR="00C3036D" w:rsidRPr="00FA3F9C" w:rsidRDefault="00C3036D" w:rsidP="006F623F">
      <w:pPr>
        <w:spacing w:after="0"/>
        <w:rPr>
          <w:rFonts w:ascii="Arial" w:hAnsi="Arial" w:cs="Arial"/>
          <w:sz w:val="24"/>
          <w:szCs w:val="24"/>
        </w:rPr>
      </w:pPr>
    </w:p>
    <w:p w14:paraId="59370FE8" w14:textId="77777777" w:rsidR="00C3036D" w:rsidRPr="00FA3F9C" w:rsidRDefault="00C3036D"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008"/>
        <w:gridCol w:w="7470"/>
        <w:gridCol w:w="2538"/>
      </w:tblGrid>
      <w:tr w:rsidR="00C3036D" w:rsidRPr="00FA3F9C" w14:paraId="6F7E8C77" w14:textId="77777777" w:rsidTr="00FE491B">
        <w:tc>
          <w:tcPr>
            <w:tcW w:w="1008" w:type="dxa"/>
          </w:tcPr>
          <w:p w14:paraId="306A183D" w14:textId="77777777" w:rsidR="00C3036D" w:rsidRPr="00FA3F9C" w:rsidRDefault="00C3036D" w:rsidP="006F623F">
            <w:pPr>
              <w:rPr>
                <w:rFonts w:ascii="Arial" w:hAnsi="Arial" w:cs="Arial"/>
                <w:sz w:val="24"/>
                <w:szCs w:val="24"/>
              </w:rPr>
            </w:pPr>
            <w:r w:rsidRPr="00FA3F9C">
              <w:rPr>
                <w:rFonts w:ascii="Arial" w:hAnsi="Arial" w:cs="Arial"/>
                <w:sz w:val="24"/>
                <w:szCs w:val="24"/>
              </w:rPr>
              <w:t>Date</w:t>
            </w:r>
          </w:p>
        </w:tc>
        <w:tc>
          <w:tcPr>
            <w:tcW w:w="7470" w:type="dxa"/>
          </w:tcPr>
          <w:p w14:paraId="7130B7A5" w14:textId="77777777" w:rsidR="00C3036D" w:rsidRPr="00FA3F9C" w:rsidRDefault="00C3036D" w:rsidP="006F623F">
            <w:pPr>
              <w:rPr>
                <w:rFonts w:ascii="Arial" w:hAnsi="Arial" w:cs="Arial"/>
                <w:sz w:val="24"/>
                <w:szCs w:val="24"/>
              </w:rPr>
            </w:pPr>
            <w:r w:rsidRPr="00FA3F9C">
              <w:rPr>
                <w:rFonts w:ascii="Arial" w:hAnsi="Arial" w:cs="Arial"/>
                <w:sz w:val="24"/>
                <w:szCs w:val="24"/>
              </w:rPr>
              <w:t>What changed</w:t>
            </w:r>
          </w:p>
        </w:tc>
        <w:tc>
          <w:tcPr>
            <w:tcW w:w="2538" w:type="dxa"/>
          </w:tcPr>
          <w:p w14:paraId="75022CD3" w14:textId="77777777" w:rsidR="00C3036D" w:rsidRPr="00FA3F9C" w:rsidRDefault="00C3036D" w:rsidP="006F623F">
            <w:pPr>
              <w:rPr>
                <w:rFonts w:ascii="Arial" w:hAnsi="Arial" w:cs="Arial"/>
                <w:sz w:val="24"/>
                <w:szCs w:val="24"/>
              </w:rPr>
            </w:pPr>
            <w:r w:rsidRPr="00FA3F9C">
              <w:rPr>
                <w:rFonts w:ascii="Arial" w:hAnsi="Arial" w:cs="Arial"/>
                <w:sz w:val="24"/>
                <w:szCs w:val="24"/>
              </w:rPr>
              <w:t>Pharmacist’s initials</w:t>
            </w:r>
          </w:p>
        </w:tc>
      </w:tr>
      <w:tr w:rsidR="00C3036D" w:rsidRPr="00FA3F9C" w14:paraId="60D00BE3" w14:textId="77777777" w:rsidTr="00FE491B">
        <w:tc>
          <w:tcPr>
            <w:tcW w:w="1008" w:type="dxa"/>
          </w:tcPr>
          <w:p w14:paraId="64DFAE22" w14:textId="77777777" w:rsidR="00C3036D" w:rsidRPr="00FA3F9C" w:rsidRDefault="00C3036D" w:rsidP="006F623F">
            <w:pPr>
              <w:rPr>
                <w:rFonts w:ascii="Arial" w:hAnsi="Arial" w:cs="Arial"/>
                <w:sz w:val="24"/>
                <w:szCs w:val="24"/>
              </w:rPr>
            </w:pPr>
            <w:r w:rsidRPr="00FA3F9C">
              <w:rPr>
                <w:rFonts w:ascii="Arial" w:hAnsi="Arial" w:cs="Arial"/>
                <w:sz w:val="24"/>
                <w:szCs w:val="24"/>
              </w:rPr>
              <w:t>4/5/16</w:t>
            </w:r>
          </w:p>
        </w:tc>
        <w:tc>
          <w:tcPr>
            <w:tcW w:w="7470" w:type="dxa"/>
          </w:tcPr>
          <w:p w14:paraId="742846C2" w14:textId="77777777" w:rsidR="00C3036D" w:rsidRPr="00FA3F9C" w:rsidRDefault="00C3036D" w:rsidP="006F623F">
            <w:pPr>
              <w:rPr>
                <w:rFonts w:ascii="Arial" w:hAnsi="Arial" w:cs="Arial"/>
                <w:sz w:val="24"/>
                <w:szCs w:val="24"/>
              </w:rPr>
            </w:pPr>
            <w:r w:rsidRPr="00FA3F9C">
              <w:rPr>
                <w:rFonts w:ascii="Arial" w:hAnsi="Arial" w:cs="Arial"/>
                <w:sz w:val="24"/>
                <w:szCs w:val="24"/>
              </w:rPr>
              <w:t>I wrote the criteria.  Awaiting the Insurance Board’s approval before this is covered.</w:t>
            </w:r>
          </w:p>
        </w:tc>
        <w:tc>
          <w:tcPr>
            <w:tcW w:w="2538" w:type="dxa"/>
          </w:tcPr>
          <w:p w14:paraId="482F7CB5" w14:textId="77777777" w:rsidR="00C3036D" w:rsidRPr="00FA3F9C" w:rsidRDefault="00C3036D" w:rsidP="006F623F">
            <w:pPr>
              <w:rPr>
                <w:rFonts w:ascii="Arial" w:hAnsi="Arial" w:cs="Arial"/>
                <w:sz w:val="24"/>
                <w:szCs w:val="24"/>
              </w:rPr>
            </w:pPr>
            <w:r w:rsidRPr="00FA3F9C">
              <w:rPr>
                <w:rFonts w:ascii="Arial" w:hAnsi="Arial" w:cs="Arial"/>
                <w:sz w:val="24"/>
                <w:szCs w:val="24"/>
              </w:rPr>
              <w:t>JJ</w:t>
            </w:r>
          </w:p>
        </w:tc>
      </w:tr>
      <w:tr w:rsidR="00C3036D" w:rsidRPr="00FA3F9C" w14:paraId="482FB2C9" w14:textId="77777777" w:rsidTr="00FE491B">
        <w:tc>
          <w:tcPr>
            <w:tcW w:w="1008" w:type="dxa"/>
          </w:tcPr>
          <w:p w14:paraId="2864DF07" w14:textId="77777777" w:rsidR="00C3036D" w:rsidRPr="00FA3F9C" w:rsidRDefault="00C3036D" w:rsidP="006F623F">
            <w:pPr>
              <w:rPr>
                <w:rFonts w:ascii="Arial" w:hAnsi="Arial" w:cs="Arial"/>
                <w:sz w:val="24"/>
                <w:szCs w:val="24"/>
              </w:rPr>
            </w:pPr>
            <w:r w:rsidRPr="00FA3F9C">
              <w:rPr>
                <w:rFonts w:ascii="Arial" w:hAnsi="Arial" w:cs="Arial"/>
                <w:sz w:val="24"/>
                <w:szCs w:val="24"/>
              </w:rPr>
              <w:t>2/9/17</w:t>
            </w:r>
          </w:p>
        </w:tc>
        <w:tc>
          <w:tcPr>
            <w:tcW w:w="7470" w:type="dxa"/>
          </w:tcPr>
          <w:p w14:paraId="40CCE809" w14:textId="77777777" w:rsidR="00C3036D" w:rsidRPr="00FA3F9C" w:rsidRDefault="00C3036D" w:rsidP="006F623F">
            <w:pPr>
              <w:rPr>
                <w:rFonts w:ascii="Arial" w:hAnsi="Arial" w:cs="Arial"/>
                <w:sz w:val="24"/>
                <w:szCs w:val="24"/>
              </w:rPr>
            </w:pPr>
            <w:r w:rsidRPr="00FA3F9C">
              <w:rPr>
                <w:rFonts w:ascii="Arial" w:hAnsi="Arial" w:cs="Arial"/>
                <w:sz w:val="24"/>
                <w:szCs w:val="24"/>
              </w:rPr>
              <w:t xml:space="preserve">I wrote the note to call center pharmacists to get help in optimizing the use of the QL and minimize use of multiple titration </w:t>
            </w:r>
            <w:proofErr w:type="spellStart"/>
            <w:r w:rsidRPr="00FA3F9C">
              <w:rPr>
                <w:rFonts w:ascii="Arial" w:hAnsi="Arial" w:cs="Arial"/>
                <w:sz w:val="24"/>
                <w:szCs w:val="24"/>
              </w:rPr>
              <w:t>paks</w:t>
            </w:r>
            <w:proofErr w:type="spellEnd"/>
            <w:r w:rsidRPr="00FA3F9C">
              <w:rPr>
                <w:rFonts w:ascii="Arial" w:hAnsi="Arial" w:cs="Arial"/>
                <w:sz w:val="24"/>
                <w:szCs w:val="24"/>
              </w:rPr>
              <w:t>.</w:t>
            </w:r>
          </w:p>
        </w:tc>
        <w:tc>
          <w:tcPr>
            <w:tcW w:w="2538" w:type="dxa"/>
          </w:tcPr>
          <w:p w14:paraId="0FEE689B" w14:textId="77777777" w:rsidR="00C3036D" w:rsidRPr="00FA3F9C" w:rsidRDefault="00C3036D" w:rsidP="006F623F">
            <w:pPr>
              <w:rPr>
                <w:rFonts w:ascii="Arial" w:hAnsi="Arial" w:cs="Arial"/>
                <w:sz w:val="24"/>
                <w:szCs w:val="24"/>
              </w:rPr>
            </w:pPr>
            <w:r w:rsidRPr="00FA3F9C">
              <w:rPr>
                <w:rFonts w:ascii="Arial" w:hAnsi="Arial" w:cs="Arial"/>
                <w:sz w:val="24"/>
                <w:szCs w:val="24"/>
              </w:rPr>
              <w:t>JJ</w:t>
            </w:r>
          </w:p>
        </w:tc>
      </w:tr>
    </w:tbl>
    <w:p w14:paraId="68EAB6DD" w14:textId="77777777" w:rsidR="00C3036D" w:rsidRPr="00FA3F9C" w:rsidRDefault="00C3036D" w:rsidP="006F623F">
      <w:pPr>
        <w:spacing w:after="0"/>
        <w:rPr>
          <w:rFonts w:ascii="Arial" w:hAnsi="Arial" w:cs="Arial"/>
          <w:sz w:val="24"/>
          <w:szCs w:val="24"/>
        </w:rPr>
      </w:pPr>
    </w:p>
    <w:p w14:paraId="2F1F5311" w14:textId="77777777" w:rsidR="00C3036D" w:rsidRPr="00FA3F9C" w:rsidRDefault="00C3036D" w:rsidP="0078218F">
      <w:pPr>
        <w:pStyle w:val="Heading2"/>
      </w:pPr>
      <w:bookmarkStart w:id="305" w:name="_Toc106369928"/>
      <w:r w:rsidRPr="00FA3F9C">
        <w:t>Selinexor (</w:t>
      </w:r>
      <w:proofErr w:type="spellStart"/>
      <w:r w:rsidRPr="00FA3F9C">
        <w:t>Xpovio</w:t>
      </w:r>
      <w:proofErr w:type="spellEnd"/>
      <w:r w:rsidRPr="00FA3F9C">
        <w:t>)</w:t>
      </w:r>
      <w:bookmarkEnd w:id="305"/>
    </w:p>
    <w:p w14:paraId="5FC28D2A" w14:textId="77777777" w:rsidR="00C3036D" w:rsidRPr="00FA3F9C" w:rsidRDefault="00C3036D" w:rsidP="006F623F">
      <w:pPr>
        <w:spacing w:after="0"/>
        <w:jc w:val="center"/>
        <w:rPr>
          <w:rFonts w:ascii="Arial" w:hAnsi="Arial" w:cs="Arial"/>
          <w:sz w:val="24"/>
          <w:szCs w:val="24"/>
        </w:rPr>
      </w:pPr>
      <w:r w:rsidRPr="00FA3F9C">
        <w:rPr>
          <w:rFonts w:ascii="Arial" w:hAnsi="Arial" w:cs="Arial"/>
          <w:sz w:val="24"/>
          <w:szCs w:val="24"/>
        </w:rPr>
        <w:t>20 mg, 40 mg, 50 mg, 60 mg tablets</w:t>
      </w:r>
    </w:p>
    <w:p w14:paraId="45AE63DE" w14:textId="77777777" w:rsidR="00C3036D" w:rsidRPr="00FA3F9C" w:rsidRDefault="00C3036D" w:rsidP="006F623F">
      <w:pPr>
        <w:spacing w:after="0"/>
        <w:jc w:val="center"/>
        <w:rPr>
          <w:rFonts w:ascii="Arial" w:hAnsi="Arial" w:cs="Arial"/>
          <w:sz w:val="24"/>
          <w:szCs w:val="24"/>
        </w:rPr>
      </w:pPr>
      <w:r w:rsidRPr="00FA3F9C">
        <w:rPr>
          <w:rFonts w:ascii="Arial" w:hAnsi="Arial" w:cs="Arial"/>
          <w:sz w:val="24"/>
          <w:szCs w:val="24"/>
        </w:rPr>
        <w:t>EBRx PA Criteria</w:t>
      </w:r>
    </w:p>
    <w:p w14:paraId="4E3A0CCC" w14:textId="77777777" w:rsidR="00C3036D" w:rsidRPr="00FA3F9C" w:rsidRDefault="00C3036D" w:rsidP="006F623F">
      <w:pPr>
        <w:spacing w:after="0"/>
        <w:rPr>
          <w:rFonts w:ascii="Arial" w:hAnsi="Arial" w:cs="Arial"/>
          <w:sz w:val="24"/>
          <w:szCs w:val="24"/>
        </w:rPr>
      </w:pPr>
      <w:r w:rsidRPr="00FA3F9C">
        <w:rPr>
          <w:rFonts w:ascii="Arial" w:hAnsi="Arial" w:cs="Arial"/>
          <w:b/>
          <w:sz w:val="24"/>
          <w:szCs w:val="24"/>
          <w:u w:val="single"/>
        </w:rPr>
        <w:lastRenderedPageBreak/>
        <w:t>is FDA-approved for:</w:t>
      </w:r>
      <w:r w:rsidRPr="00FA3F9C">
        <w:rPr>
          <w:rFonts w:ascii="Arial" w:hAnsi="Arial" w:cs="Arial"/>
          <w:sz w:val="24"/>
          <w:szCs w:val="24"/>
        </w:rPr>
        <w:t xml:space="preserve">  </w:t>
      </w:r>
    </w:p>
    <w:p w14:paraId="2409BD16" w14:textId="77777777" w:rsidR="00C3036D" w:rsidRPr="00FA3F9C" w:rsidRDefault="00C3036D" w:rsidP="00FC1E85">
      <w:pPr>
        <w:pStyle w:val="ListParagraph"/>
        <w:numPr>
          <w:ilvl w:val="0"/>
          <w:numId w:val="472"/>
        </w:numPr>
        <w:spacing w:after="0" w:line="276" w:lineRule="auto"/>
        <w:ind w:left="270" w:hanging="270"/>
        <w:rPr>
          <w:rFonts w:ascii="Arial" w:hAnsi="Arial" w:cs="Arial"/>
          <w:sz w:val="24"/>
          <w:szCs w:val="24"/>
        </w:rPr>
      </w:pPr>
      <w:r w:rsidRPr="00FA3F9C">
        <w:rPr>
          <w:rFonts w:ascii="Arial" w:hAnsi="Arial" w:cs="Arial"/>
          <w:sz w:val="24"/>
          <w:szCs w:val="24"/>
        </w:rPr>
        <w:t xml:space="preserve">In combination with bortezomib and dexamethasone for the treatment of adult patients with multiple myeloma who have received at least one prior therapy </w:t>
      </w:r>
      <w:r w:rsidRPr="00FA3F9C">
        <w:rPr>
          <w:rFonts w:ascii="Arial" w:hAnsi="Arial" w:cs="Arial"/>
          <w:sz w:val="24"/>
          <w:szCs w:val="24"/>
          <w:highlight w:val="yellow"/>
        </w:rPr>
        <w:t>NOT COVERED</w:t>
      </w:r>
      <w:r w:rsidRPr="00FA3F9C">
        <w:rPr>
          <w:rFonts w:ascii="Arial" w:hAnsi="Arial" w:cs="Arial"/>
          <w:sz w:val="24"/>
          <w:szCs w:val="24"/>
        </w:rPr>
        <w:t xml:space="preserve"> Benefit is limited to progression free survival. </w:t>
      </w:r>
    </w:p>
    <w:p w14:paraId="24A7B9B4" w14:textId="77777777" w:rsidR="00C3036D" w:rsidRPr="00FA3F9C" w:rsidRDefault="00C3036D" w:rsidP="00FC1E85">
      <w:pPr>
        <w:pStyle w:val="ListParagraph"/>
        <w:numPr>
          <w:ilvl w:val="1"/>
          <w:numId w:val="472"/>
        </w:numPr>
        <w:spacing w:after="0" w:line="276" w:lineRule="auto"/>
        <w:rPr>
          <w:rFonts w:ascii="Arial" w:hAnsi="Arial" w:cs="Arial"/>
          <w:sz w:val="24"/>
          <w:szCs w:val="24"/>
        </w:rPr>
      </w:pPr>
      <w:r w:rsidRPr="00FA3F9C">
        <w:rPr>
          <w:rFonts w:ascii="Arial" w:hAnsi="Arial" w:cs="Arial"/>
          <w:sz w:val="24"/>
          <w:szCs w:val="24"/>
        </w:rPr>
        <w:t xml:space="preserve">References: </w:t>
      </w:r>
    </w:p>
    <w:p w14:paraId="518BF785" w14:textId="77777777" w:rsidR="00C3036D" w:rsidRPr="00FA3F9C" w:rsidRDefault="00C3036D" w:rsidP="00FC1E85">
      <w:pPr>
        <w:pStyle w:val="ListParagraph"/>
        <w:numPr>
          <w:ilvl w:val="1"/>
          <w:numId w:val="472"/>
        </w:numPr>
        <w:spacing w:after="0" w:line="276" w:lineRule="auto"/>
        <w:ind w:left="1800"/>
        <w:rPr>
          <w:rFonts w:ascii="Arial" w:hAnsi="Arial" w:cs="Arial"/>
          <w:sz w:val="24"/>
          <w:szCs w:val="24"/>
        </w:rPr>
      </w:pPr>
      <w:r w:rsidRPr="00FA3F9C">
        <w:rPr>
          <w:rFonts w:ascii="Arial" w:hAnsi="Arial" w:cs="Arial"/>
          <w:sz w:val="24"/>
          <w:szCs w:val="24"/>
        </w:rPr>
        <w:t xml:space="preserve">NCCN Multiple Myeloma Guidelines. </w:t>
      </w:r>
      <w:hyperlink r:id="rId374" w:history="1">
        <w:r w:rsidRPr="00FA3F9C">
          <w:rPr>
            <w:rStyle w:val="Hyperlink"/>
            <w:rFonts w:ascii="Arial" w:hAnsi="Arial" w:cs="Arial"/>
            <w:sz w:val="24"/>
            <w:szCs w:val="24"/>
          </w:rPr>
          <w:t>https://www.nccn.org/professionals/physician_gls/pdf/myeloma.pdf</w:t>
        </w:r>
      </w:hyperlink>
    </w:p>
    <w:p w14:paraId="01A38DF3" w14:textId="77777777" w:rsidR="00C3036D" w:rsidRPr="00FA3F9C" w:rsidRDefault="00C3036D" w:rsidP="00FC1E85">
      <w:pPr>
        <w:pStyle w:val="ListParagraph"/>
        <w:numPr>
          <w:ilvl w:val="1"/>
          <w:numId w:val="472"/>
        </w:numPr>
        <w:spacing w:after="0" w:line="276" w:lineRule="auto"/>
        <w:ind w:left="1800"/>
        <w:rPr>
          <w:rFonts w:ascii="Arial" w:hAnsi="Arial" w:cs="Arial"/>
          <w:sz w:val="24"/>
          <w:szCs w:val="24"/>
        </w:rPr>
      </w:pPr>
      <w:proofErr w:type="spellStart"/>
      <w:r w:rsidRPr="00FA3F9C">
        <w:rPr>
          <w:rFonts w:ascii="Arial" w:hAnsi="Arial" w:cs="Arial"/>
          <w:sz w:val="24"/>
          <w:szCs w:val="24"/>
        </w:rPr>
        <w:t>Grosicki</w:t>
      </w:r>
      <w:proofErr w:type="spellEnd"/>
      <w:r w:rsidRPr="00FA3F9C">
        <w:rPr>
          <w:rFonts w:ascii="Arial" w:hAnsi="Arial" w:cs="Arial"/>
          <w:sz w:val="24"/>
          <w:szCs w:val="24"/>
        </w:rPr>
        <w:t xml:space="preserve"> S et al. Once-per-week </w:t>
      </w:r>
      <w:proofErr w:type="spellStart"/>
      <w:r w:rsidRPr="00FA3F9C">
        <w:rPr>
          <w:rFonts w:ascii="Arial" w:hAnsi="Arial" w:cs="Arial"/>
          <w:sz w:val="24"/>
          <w:szCs w:val="24"/>
        </w:rPr>
        <w:t>selinexor</w:t>
      </w:r>
      <w:proofErr w:type="spellEnd"/>
      <w:r w:rsidRPr="00FA3F9C">
        <w:rPr>
          <w:rFonts w:ascii="Arial" w:hAnsi="Arial" w:cs="Arial"/>
          <w:sz w:val="24"/>
          <w:szCs w:val="24"/>
        </w:rPr>
        <w:t xml:space="preserve">, bortezomib, and dexamethasone versus twice-per-week bortezomib and dexamethasone in patients with multiple myeloma (BOSTON): a </w:t>
      </w:r>
      <w:proofErr w:type="spellStart"/>
      <w:r w:rsidRPr="00FA3F9C">
        <w:rPr>
          <w:rFonts w:ascii="Arial" w:hAnsi="Arial" w:cs="Arial"/>
          <w:sz w:val="24"/>
          <w:szCs w:val="24"/>
        </w:rPr>
        <w:t>randomised</w:t>
      </w:r>
      <w:proofErr w:type="spellEnd"/>
      <w:r w:rsidRPr="00FA3F9C">
        <w:rPr>
          <w:rFonts w:ascii="Arial" w:hAnsi="Arial" w:cs="Arial"/>
          <w:sz w:val="24"/>
          <w:szCs w:val="24"/>
        </w:rPr>
        <w:t xml:space="preserve">, open-label, phase 3 trial. Lancet. 2020 Nov 14;396(10262):1563-1573. </w:t>
      </w:r>
      <w:proofErr w:type="spellStart"/>
      <w:r w:rsidRPr="00FA3F9C">
        <w:rPr>
          <w:rFonts w:ascii="Arial" w:hAnsi="Arial" w:cs="Arial"/>
          <w:sz w:val="24"/>
          <w:szCs w:val="24"/>
        </w:rPr>
        <w:t>doi</w:t>
      </w:r>
      <w:proofErr w:type="spellEnd"/>
      <w:r w:rsidRPr="00FA3F9C">
        <w:rPr>
          <w:rFonts w:ascii="Arial" w:hAnsi="Arial" w:cs="Arial"/>
          <w:sz w:val="24"/>
          <w:szCs w:val="24"/>
        </w:rPr>
        <w:t>: 10.1016/S0140-6736(20)32292-3. PMID: 33189178.</w:t>
      </w:r>
    </w:p>
    <w:p w14:paraId="7A895494" w14:textId="77777777" w:rsidR="00C3036D" w:rsidRPr="00FA3F9C" w:rsidRDefault="00C3036D" w:rsidP="00FC1E85">
      <w:pPr>
        <w:pStyle w:val="ListParagraph"/>
        <w:numPr>
          <w:ilvl w:val="0"/>
          <w:numId w:val="472"/>
        </w:numPr>
        <w:spacing w:after="0" w:line="276" w:lineRule="auto"/>
        <w:ind w:left="270" w:hanging="270"/>
        <w:rPr>
          <w:rFonts w:ascii="Arial" w:hAnsi="Arial" w:cs="Arial"/>
          <w:sz w:val="24"/>
          <w:szCs w:val="24"/>
        </w:rPr>
      </w:pPr>
      <w:r w:rsidRPr="00FA3F9C">
        <w:rPr>
          <w:rFonts w:ascii="Arial" w:hAnsi="Arial" w:cs="Arial"/>
          <w:sz w:val="24"/>
          <w:szCs w:val="24"/>
        </w:rPr>
        <w:t xml:space="preserve">In combination with dexamethasone for the treatment of adult patients with relapsed or refractory multiple myeloma who have received at least four prior therapies and whose disease is refractory to at least two proteasome inhibitors, at least two immunomodulatory agents, and an anti-CD38 monoclonal antibody </w:t>
      </w:r>
      <w:r w:rsidRPr="00FA3F9C">
        <w:rPr>
          <w:rFonts w:ascii="Arial" w:hAnsi="Arial" w:cs="Arial"/>
          <w:sz w:val="24"/>
          <w:szCs w:val="24"/>
          <w:highlight w:val="cyan"/>
        </w:rPr>
        <w:t>SEE CRITERIA</w:t>
      </w:r>
    </w:p>
    <w:p w14:paraId="017E9F8A" w14:textId="77777777" w:rsidR="00C3036D" w:rsidRPr="00FA3F9C" w:rsidRDefault="00C3036D" w:rsidP="00FC1E85">
      <w:pPr>
        <w:pStyle w:val="ListParagraph"/>
        <w:numPr>
          <w:ilvl w:val="0"/>
          <w:numId w:val="472"/>
        </w:numPr>
        <w:spacing w:after="0" w:line="276" w:lineRule="auto"/>
        <w:ind w:left="270" w:hanging="270"/>
        <w:rPr>
          <w:rFonts w:ascii="Arial" w:hAnsi="Arial" w:cs="Arial"/>
          <w:sz w:val="24"/>
          <w:szCs w:val="24"/>
        </w:rPr>
      </w:pPr>
      <w:r w:rsidRPr="00FA3F9C">
        <w:rPr>
          <w:rFonts w:ascii="Arial" w:hAnsi="Arial" w:cs="Arial"/>
          <w:sz w:val="24"/>
          <w:szCs w:val="24"/>
        </w:rPr>
        <w:t xml:space="preserve">For the treatment of adult patients with relapsed or refractory diffuse large B-cell lymphoma (DLBCL), not otherwise specified, including DLBCL arising from follicular lymphoma, after at least 2 lines of systemic therapy. This indication is approved under </w:t>
      </w:r>
      <w:r w:rsidRPr="00FA3F9C">
        <w:rPr>
          <w:rFonts w:ascii="Arial" w:hAnsi="Arial" w:cs="Arial"/>
          <w:b/>
          <w:i/>
          <w:sz w:val="24"/>
          <w:szCs w:val="24"/>
        </w:rPr>
        <w:t>accelerated approval</w:t>
      </w:r>
      <w:r w:rsidRPr="00FA3F9C">
        <w:rPr>
          <w:rFonts w:ascii="Arial" w:hAnsi="Arial" w:cs="Arial"/>
          <w:sz w:val="24"/>
          <w:szCs w:val="24"/>
        </w:rPr>
        <w:t xml:space="preserve"> based on response rate. Continued approval for this indication may be contingent upon verification and description of clinical benefit in confirmatory trial(s)  </w:t>
      </w:r>
      <w:r w:rsidRPr="00FA3F9C">
        <w:rPr>
          <w:rFonts w:ascii="Arial" w:hAnsi="Arial" w:cs="Arial"/>
          <w:sz w:val="24"/>
          <w:szCs w:val="24"/>
          <w:highlight w:val="yellow"/>
        </w:rPr>
        <w:t>NOT COVERED</w:t>
      </w:r>
      <w:r w:rsidRPr="00FA3F9C">
        <w:rPr>
          <w:rFonts w:ascii="Arial" w:hAnsi="Arial" w:cs="Arial"/>
          <w:sz w:val="24"/>
          <w:szCs w:val="24"/>
        </w:rPr>
        <w:t xml:space="preserve"> Data limited to single arm trial without overall survival or QOL benefit demonstrated.</w:t>
      </w:r>
    </w:p>
    <w:p w14:paraId="71BB3431" w14:textId="77777777" w:rsidR="00C3036D" w:rsidRPr="00FA3F9C" w:rsidRDefault="00C3036D" w:rsidP="00FC1E85">
      <w:pPr>
        <w:pStyle w:val="ListParagraph"/>
        <w:numPr>
          <w:ilvl w:val="1"/>
          <w:numId w:val="472"/>
        </w:numPr>
        <w:spacing w:after="0" w:line="276" w:lineRule="auto"/>
        <w:rPr>
          <w:rFonts w:ascii="Arial" w:hAnsi="Arial" w:cs="Arial"/>
          <w:sz w:val="24"/>
          <w:szCs w:val="24"/>
        </w:rPr>
      </w:pPr>
      <w:r w:rsidRPr="00FA3F9C">
        <w:rPr>
          <w:rFonts w:ascii="Arial" w:hAnsi="Arial" w:cs="Arial"/>
          <w:sz w:val="24"/>
          <w:szCs w:val="24"/>
        </w:rPr>
        <w:t xml:space="preserve">Reference: </w:t>
      </w:r>
      <w:proofErr w:type="spellStart"/>
      <w:r w:rsidRPr="00FA3F9C">
        <w:rPr>
          <w:rFonts w:ascii="Arial" w:hAnsi="Arial" w:cs="Arial"/>
          <w:sz w:val="24"/>
          <w:szCs w:val="24"/>
        </w:rPr>
        <w:t>Kalakonda</w:t>
      </w:r>
      <w:proofErr w:type="spellEnd"/>
      <w:r w:rsidRPr="00FA3F9C">
        <w:rPr>
          <w:rFonts w:ascii="Arial" w:hAnsi="Arial" w:cs="Arial"/>
          <w:sz w:val="24"/>
          <w:szCs w:val="24"/>
        </w:rPr>
        <w:t xml:space="preserve"> N et al. Selinexor in patients with relapsed or refractory diffuse large B-cell lymphoma (SADAL): a single-arm, multinational, </w:t>
      </w:r>
      <w:proofErr w:type="spellStart"/>
      <w:r w:rsidRPr="00FA3F9C">
        <w:rPr>
          <w:rFonts w:ascii="Arial" w:hAnsi="Arial" w:cs="Arial"/>
          <w:sz w:val="24"/>
          <w:szCs w:val="24"/>
        </w:rPr>
        <w:t>multicentre</w:t>
      </w:r>
      <w:proofErr w:type="spellEnd"/>
      <w:r w:rsidRPr="00FA3F9C">
        <w:rPr>
          <w:rFonts w:ascii="Arial" w:hAnsi="Arial" w:cs="Arial"/>
          <w:sz w:val="24"/>
          <w:szCs w:val="24"/>
        </w:rPr>
        <w:t xml:space="preserve">, open-label, phase 2 trial. Lancet </w:t>
      </w:r>
      <w:proofErr w:type="spellStart"/>
      <w:r w:rsidRPr="00FA3F9C">
        <w:rPr>
          <w:rFonts w:ascii="Arial" w:hAnsi="Arial" w:cs="Arial"/>
          <w:sz w:val="24"/>
          <w:szCs w:val="24"/>
        </w:rPr>
        <w:t>Haematol</w:t>
      </w:r>
      <w:proofErr w:type="spellEnd"/>
      <w:r w:rsidRPr="00FA3F9C">
        <w:rPr>
          <w:rFonts w:ascii="Arial" w:hAnsi="Arial" w:cs="Arial"/>
          <w:sz w:val="24"/>
          <w:szCs w:val="24"/>
        </w:rPr>
        <w:t xml:space="preserve">. 2020 Jul;7(7):e511-e522. </w:t>
      </w:r>
      <w:proofErr w:type="spellStart"/>
      <w:r w:rsidRPr="00FA3F9C">
        <w:rPr>
          <w:rFonts w:ascii="Arial" w:hAnsi="Arial" w:cs="Arial"/>
          <w:sz w:val="24"/>
          <w:szCs w:val="24"/>
        </w:rPr>
        <w:t>doi</w:t>
      </w:r>
      <w:proofErr w:type="spellEnd"/>
      <w:r w:rsidRPr="00FA3F9C">
        <w:rPr>
          <w:rFonts w:ascii="Arial" w:hAnsi="Arial" w:cs="Arial"/>
          <w:sz w:val="24"/>
          <w:szCs w:val="24"/>
        </w:rPr>
        <w:t>: 10.1016/S2352-3026(20)30120-4. PMID: 32589977.</w:t>
      </w:r>
    </w:p>
    <w:tbl>
      <w:tblPr>
        <w:tblStyle w:val="TableGrid"/>
        <w:tblW w:w="0" w:type="auto"/>
        <w:tblLook w:val="04A0" w:firstRow="1" w:lastRow="0" w:firstColumn="1" w:lastColumn="0" w:noHBand="0" w:noVBand="1"/>
      </w:tblPr>
      <w:tblGrid>
        <w:gridCol w:w="8928"/>
        <w:gridCol w:w="2088"/>
      </w:tblGrid>
      <w:tr w:rsidR="00C3036D" w:rsidRPr="00FA3F9C" w14:paraId="6FBEA8E7" w14:textId="77777777" w:rsidTr="00571CAB">
        <w:tc>
          <w:tcPr>
            <w:tcW w:w="8928" w:type="dxa"/>
            <w:shd w:val="clear" w:color="auto" w:fill="000000"/>
          </w:tcPr>
          <w:p w14:paraId="35CE2B72" w14:textId="77777777" w:rsidR="00C3036D" w:rsidRPr="00FA3F9C" w:rsidRDefault="00C3036D"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88" w:type="dxa"/>
            <w:shd w:val="clear" w:color="auto" w:fill="000000"/>
          </w:tcPr>
          <w:p w14:paraId="41658C28" w14:textId="77777777" w:rsidR="00C3036D" w:rsidRPr="00FA3F9C" w:rsidRDefault="00C3036D" w:rsidP="006F623F">
            <w:pPr>
              <w:jc w:val="center"/>
              <w:rPr>
                <w:rFonts w:ascii="Arial" w:hAnsi="Arial" w:cs="Arial"/>
                <w:b/>
                <w:sz w:val="24"/>
                <w:szCs w:val="24"/>
                <w:u w:val="single"/>
              </w:rPr>
            </w:pPr>
          </w:p>
        </w:tc>
      </w:tr>
      <w:tr w:rsidR="00C3036D" w:rsidRPr="00FA3F9C" w14:paraId="63860544" w14:textId="77777777" w:rsidTr="00F337AE">
        <w:tc>
          <w:tcPr>
            <w:tcW w:w="11016" w:type="dxa"/>
            <w:gridSpan w:val="2"/>
          </w:tcPr>
          <w:p w14:paraId="0062A5FA" w14:textId="77777777" w:rsidR="00C3036D" w:rsidRPr="00FA3F9C" w:rsidRDefault="00C3036D" w:rsidP="000B48B6">
            <w:pPr>
              <w:rPr>
                <w:rFonts w:ascii="Arial" w:hAnsi="Arial" w:cs="Arial"/>
                <w:sz w:val="24"/>
                <w:szCs w:val="24"/>
              </w:rPr>
            </w:pPr>
            <w:r w:rsidRPr="00FA3F9C">
              <w:rPr>
                <w:rFonts w:ascii="Arial" w:hAnsi="Arial" w:cs="Arial"/>
                <w:sz w:val="24"/>
                <w:szCs w:val="24"/>
              </w:rPr>
              <w:t>1. Diagnosis of multiple myeloma</w:t>
            </w:r>
          </w:p>
        </w:tc>
      </w:tr>
      <w:tr w:rsidR="00C3036D" w:rsidRPr="00FA3F9C" w14:paraId="311D8A14" w14:textId="77777777" w:rsidTr="00B1617E">
        <w:tc>
          <w:tcPr>
            <w:tcW w:w="11016" w:type="dxa"/>
            <w:gridSpan w:val="2"/>
          </w:tcPr>
          <w:p w14:paraId="2784EA4E" w14:textId="77777777" w:rsidR="00C3036D" w:rsidRPr="00FA3F9C" w:rsidRDefault="00C3036D" w:rsidP="006856F2">
            <w:pPr>
              <w:rPr>
                <w:rFonts w:ascii="Arial" w:hAnsi="Arial" w:cs="Arial"/>
                <w:sz w:val="24"/>
                <w:szCs w:val="24"/>
              </w:rPr>
            </w:pPr>
            <w:r w:rsidRPr="00FA3F9C">
              <w:rPr>
                <w:rFonts w:ascii="Arial" w:hAnsi="Arial" w:cs="Arial"/>
                <w:sz w:val="24"/>
                <w:szCs w:val="24"/>
              </w:rPr>
              <w:t xml:space="preserve">2. Patient has received at least four prior </w:t>
            </w:r>
            <w:r w:rsidRPr="00FA3F9C">
              <w:rPr>
                <w:rFonts w:ascii="Arial" w:hAnsi="Arial" w:cs="Arial"/>
                <w:sz w:val="24"/>
                <w:szCs w:val="24"/>
                <w:u w:val="single"/>
              </w:rPr>
              <w:t>regimens</w:t>
            </w:r>
          </w:p>
        </w:tc>
      </w:tr>
      <w:tr w:rsidR="00C3036D" w:rsidRPr="00FA3F9C" w14:paraId="510E7549" w14:textId="77777777" w:rsidTr="0010789D">
        <w:tc>
          <w:tcPr>
            <w:tcW w:w="11016" w:type="dxa"/>
            <w:gridSpan w:val="2"/>
          </w:tcPr>
          <w:p w14:paraId="5546EFA4" w14:textId="77777777" w:rsidR="00C3036D" w:rsidRPr="00FA3F9C" w:rsidRDefault="00C3036D" w:rsidP="006F623F">
            <w:pPr>
              <w:rPr>
                <w:rFonts w:ascii="Arial" w:hAnsi="Arial" w:cs="Arial"/>
                <w:sz w:val="24"/>
                <w:szCs w:val="24"/>
              </w:rPr>
            </w:pPr>
            <w:r w:rsidRPr="00FA3F9C">
              <w:rPr>
                <w:rFonts w:ascii="Arial" w:hAnsi="Arial" w:cs="Arial"/>
                <w:sz w:val="24"/>
                <w:szCs w:val="24"/>
              </w:rPr>
              <w:t xml:space="preserve">3. Disease is refractory* to the following: </w:t>
            </w:r>
          </w:p>
          <w:p w14:paraId="1D644045" w14:textId="77777777" w:rsidR="00C3036D" w:rsidRPr="00FA3F9C" w:rsidRDefault="00C3036D" w:rsidP="00B834A6">
            <w:pPr>
              <w:ind w:left="360"/>
              <w:rPr>
                <w:rFonts w:ascii="Arial" w:hAnsi="Arial" w:cs="Arial"/>
                <w:sz w:val="24"/>
                <w:szCs w:val="24"/>
              </w:rPr>
            </w:pPr>
            <w:r w:rsidRPr="00FA3F9C">
              <w:rPr>
                <w:rFonts w:ascii="Arial" w:hAnsi="Arial" w:cs="Arial"/>
                <w:sz w:val="24"/>
                <w:szCs w:val="24"/>
              </w:rPr>
              <w:t xml:space="preserve">(a) </w:t>
            </w:r>
            <w:r w:rsidRPr="00FA3F9C">
              <w:rPr>
                <w:rFonts w:ascii="Arial" w:hAnsi="Arial" w:cs="Arial"/>
                <w:b/>
                <w:sz w:val="24"/>
                <w:szCs w:val="24"/>
              </w:rPr>
              <w:t>Two</w:t>
            </w:r>
            <w:r w:rsidRPr="00FA3F9C">
              <w:rPr>
                <w:rFonts w:ascii="Arial" w:hAnsi="Arial" w:cs="Arial"/>
                <w:sz w:val="24"/>
                <w:szCs w:val="24"/>
              </w:rPr>
              <w:t xml:space="preserve"> proteasome inhibitors (e.g., bortezomib [</w:t>
            </w:r>
            <w:proofErr w:type="spellStart"/>
            <w:r w:rsidRPr="00FA3F9C">
              <w:rPr>
                <w:rFonts w:ascii="Arial" w:hAnsi="Arial" w:cs="Arial"/>
                <w:sz w:val="24"/>
                <w:szCs w:val="24"/>
              </w:rPr>
              <w:t>Velcade</w:t>
            </w:r>
            <w:proofErr w:type="spellEnd"/>
            <w:r w:rsidRPr="00FA3F9C">
              <w:rPr>
                <w:rFonts w:ascii="Arial" w:hAnsi="Arial" w:cs="Arial"/>
                <w:sz w:val="24"/>
                <w:szCs w:val="24"/>
              </w:rPr>
              <w:t>], carfilzomib [</w:t>
            </w:r>
            <w:proofErr w:type="spellStart"/>
            <w:r w:rsidRPr="00FA3F9C">
              <w:rPr>
                <w:rFonts w:ascii="Arial" w:hAnsi="Arial" w:cs="Arial"/>
                <w:sz w:val="24"/>
                <w:szCs w:val="24"/>
              </w:rPr>
              <w:t>Kyprolis</w:t>
            </w:r>
            <w:proofErr w:type="spellEnd"/>
            <w:r w:rsidRPr="00FA3F9C">
              <w:rPr>
                <w:rFonts w:ascii="Arial" w:hAnsi="Arial" w:cs="Arial"/>
                <w:sz w:val="24"/>
                <w:szCs w:val="24"/>
              </w:rPr>
              <w:t xml:space="preserve">], </w:t>
            </w:r>
            <w:proofErr w:type="spellStart"/>
            <w:r w:rsidRPr="00FA3F9C">
              <w:rPr>
                <w:rFonts w:ascii="Arial" w:hAnsi="Arial" w:cs="Arial"/>
                <w:sz w:val="24"/>
                <w:szCs w:val="24"/>
              </w:rPr>
              <w:t>ixazomib</w:t>
            </w:r>
            <w:proofErr w:type="spellEnd"/>
            <w:r w:rsidRPr="00FA3F9C">
              <w:rPr>
                <w:rFonts w:ascii="Arial" w:hAnsi="Arial" w:cs="Arial"/>
                <w:sz w:val="24"/>
                <w:szCs w:val="24"/>
              </w:rPr>
              <w:t xml:space="preserve"> [</w:t>
            </w:r>
            <w:proofErr w:type="spellStart"/>
            <w:r w:rsidRPr="00FA3F9C">
              <w:rPr>
                <w:rFonts w:ascii="Arial" w:hAnsi="Arial" w:cs="Arial"/>
                <w:sz w:val="24"/>
                <w:szCs w:val="24"/>
              </w:rPr>
              <w:t>Ninlaro</w:t>
            </w:r>
            <w:proofErr w:type="spellEnd"/>
            <w:r w:rsidRPr="00FA3F9C">
              <w:rPr>
                <w:rFonts w:ascii="Arial" w:hAnsi="Arial" w:cs="Arial"/>
                <w:sz w:val="24"/>
                <w:szCs w:val="24"/>
              </w:rPr>
              <w:t xml:space="preserve">]) </w:t>
            </w:r>
          </w:p>
          <w:p w14:paraId="2A025ACE" w14:textId="77777777" w:rsidR="00C3036D" w:rsidRPr="00FA3F9C" w:rsidRDefault="00C3036D" w:rsidP="00B834A6">
            <w:pPr>
              <w:ind w:left="360"/>
              <w:rPr>
                <w:rFonts w:ascii="Arial" w:hAnsi="Arial" w:cs="Arial"/>
                <w:sz w:val="24"/>
                <w:szCs w:val="24"/>
              </w:rPr>
            </w:pPr>
            <w:r w:rsidRPr="00FA3F9C">
              <w:rPr>
                <w:rFonts w:ascii="Arial" w:hAnsi="Arial" w:cs="Arial"/>
                <w:sz w:val="24"/>
                <w:szCs w:val="24"/>
              </w:rPr>
              <w:t xml:space="preserve">(b) </w:t>
            </w:r>
            <w:r w:rsidRPr="00FA3F9C">
              <w:rPr>
                <w:rFonts w:ascii="Arial" w:hAnsi="Arial" w:cs="Arial"/>
                <w:b/>
                <w:sz w:val="24"/>
                <w:szCs w:val="24"/>
              </w:rPr>
              <w:t>Two</w:t>
            </w:r>
            <w:r w:rsidRPr="00FA3F9C">
              <w:rPr>
                <w:rFonts w:ascii="Arial" w:hAnsi="Arial" w:cs="Arial"/>
                <w:sz w:val="24"/>
                <w:szCs w:val="24"/>
              </w:rPr>
              <w:t xml:space="preserve"> immunomodulatory agents (e.g., lenalidomide [Revlimid], thalidomide [</w:t>
            </w:r>
            <w:proofErr w:type="spellStart"/>
            <w:r w:rsidRPr="00FA3F9C">
              <w:rPr>
                <w:rFonts w:ascii="Arial" w:hAnsi="Arial" w:cs="Arial"/>
                <w:sz w:val="24"/>
                <w:szCs w:val="24"/>
              </w:rPr>
              <w:t>Thalomid</w:t>
            </w:r>
            <w:proofErr w:type="spellEnd"/>
            <w:r w:rsidRPr="00FA3F9C">
              <w:rPr>
                <w:rFonts w:ascii="Arial" w:hAnsi="Arial" w:cs="Arial"/>
                <w:sz w:val="24"/>
                <w:szCs w:val="24"/>
              </w:rPr>
              <w:t>], pomalidomide [</w:t>
            </w:r>
            <w:proofErr w:type="spellStart"/>
            <w:r w:rsidRPr="00FA3F9C">
              <w:rPr>
                <w:rFonts w:ascii="Arial" w:hAnsi="Arial" w:cs="Arial"/>
                <w:sz w:val="24"/>
                <w:szCs w:val="24"/>
              </w:rPr>
              <w:t>Pomalyst</w:t>
            </w:r>
            <w:proofErr w:type="spellEnd"/>
            <w:r w:rsidRPr="00FA3F9C">
              <w:rPr>
                <w:rFonts w:ascii="Arial" w:hAnsi="Arial" w:cs="Arial"/>
                <w:sz w:val="24"/>
                <w:szCs w:val="24"/>
              </w:rPr>
              <w:t xml:space="preserve">]) </w:t>
            </w:r>
          </w:p>
          <w:p w14:paraId="37624C1B" w14:textId="77777777" w:rsidR="00C3036D" w:rsidRPr="00FA3F9C" w:rsidRDefault="00C3036D" w:rsidP="00B834A6">
            <w:pPr>
              <w:ind w:left="360"/>
              <w:rPr>
                <w:rFonts w:ascii="Arial" w:hAnsi="Arial" w:cs="Arial"/>
                <w:sz w:val="24"/>
                <w:szCs w:val="24"/>
              </w:rPr>
            </w:pPr>
            <w:r w:rsidRPr="00FA3F9C">
              <w:rPr>
                <w:rFonts w:ascii="Arial" w:hAnsi="Arial" w:cs="Arial"/>
                <w:sz w:val="24"/>
                <w:szCs w:val="24"/>
              </w:rPr>
              <w:t>(c) An anti-CD38 monoclonal antibody (e.g., daratumumab [</w:t>
            </w:r>
            <w:proofErr w:type="spellStart"/>
            <w:r w:rsidRPr="00FA3F9C">
              <w:rPr>
                <w:rFonts w:ascii="Arial" w:hAnsi="Arial" w:cs="Arial"/>
                <w:sz w:val="24"/>
                <w:szCs w:val="24"/>
              </w:rPr>
              <w:t>Darzalex</w:t>
            </w:r>
            <w:proofErr w:type="spellEnd"/>
            <w:r w:rsidRPr="00FA3F9C">
              <w:rPr>
                <w:rFonts w:ascii="Arial" w:hAnsi="Arial" w:cs="Arial"/>
                <w:sz w:val="24"/>
                <w:szCs w:val="24"/>
              </w:rPr>
              <w:t xml:space="preserve">], </w:t>
            </w:r>
            <w:proofErr w:type="spellStart"/>
            <w:r w:rsidRPr="00FA3F9C">
              <w:rPr>
                <w:rFonts w:ascii="Arial" w:hAnsi="Arial" w:cs="Arial"/>
                <w:sz w:val="24"/>
                <w:szCs w:val="24"/>
              </w:rPr>
              <w:t>isatuximab</w:t>
            </w:r>
            <w:proofErr w:type="spellEnd"/>
            <w:r w:rsidRPr="00FA3F9C">
              <w:rPr>
                <w:rFonts w:ascii="Arial" w:hAnsi="Arial" w:cs="Arial"/>
                <w:sz w:val="24"/>
                <w:szCs w:val="24"/>
              </w:rPr>
              <w:t xml:space="preserve"> [</w:t>
            </w:r>
            <w:proofErr w:type="spellStart"/>
            <w:r w:rsidRPr="00FA3F9C">
              <w:rPr>
                <w:rFonts w:ascii="Arial" w:hAnsi="Arial" w:cs="Arial"/>
                <w:sz w:val="24"/>
                <w:szCs w:val="24"/>
              </w:rPr>
              <w:t>Sarclisa</w:t>
            </w:r>
            <w:proofErr w:type="spellEnd"/>
            <w:r w:rsidRPr="00FA3F9C">
              <w:rPr>
                <w:rFonts w:ascii="Arial" w:hAnsi="Arial" w:cs="Arial"/>
                <w:sz w:val="24"/>
                <w:szCs w:val="24"/>
              </w:rPr>
              <w:t>])</w:t>
            </w:r>
          </w:p>
        </w:tc>
      </w:tr>
      <w:tr w:rsidR="00C3036D" w:rsidRPr="00FA3F9C" w14:paraId="1567A641" w14:textId="77777777" w:rsidTr="00DA57E0">
        <w:tc>
          <w:tcPr>
            <w:tcW w:w="11016" w:type="dxa"/>
            <w:gridSpan w:val="2"/>
          </w:tcPr>
          <w:p w14:paraId="32B64451" w14:textId="77777777" w:rsidR="00C3036D" w:rsidRPr="00FA3F9C" w:rsidRDefault="00C3036D" w:rsidP="00B834A6">
            <w:pPr>
              <w:rPr>
                <w:rFonts w:ascii="Arial" w:hAnsi="Arial" w:cs="Arial"/>
                <w:sz w:val="24"/>
                <w:szCs w:val="24"/>
              </w:rPr>
            </w:pPr>
            <w:r w:rsidRPr="00FA3F9C">
              <w:rPr>
                <w:rFonts w:ascii="Arial" w:hAnsi="Arial" w:cs="Arial"/>
                <w:sz w:val="24"/>
                <w:szCs w:val="24"/>
              </w:rPr>
              <w:t>4. Selinexor will be used in combination with dexamethasone</w:t>
            </w:r>
          </w:p>
        </w:tc>
      </w:tr>
      <w:tr w:rsidR="00C3036D" w:rsidRPr="00FA3F9C" w14:paraId="756B2156" w14:textId="77777777" w:rsidTr="00DA57E0">
        <w:tc>
          <w:tcPr>
            <w:tcW w:w="11016" w:type="dxa"/>
            <w:gridSpan w:val="2"/>
          </w:tcPr>
          <w:p w14:paraId="4461C263" w14:textId="77777777" w:rsidR="00C3036D" w:rsidRPr="00FA3F9C" w:rsidRDefault="00C3036D" w:rsidP="00B834A6">
            <w:pPr>
              <w:rPr>
                <w:rFonts w:ascii="Arial" w:hAnsi="Arial" w:cs="Arial"/>
                <w:sz w:val="24"/>
                <w:szCs w:val="24"/>
              </w:rPr>
            </w:pPr>
            <w:r w:rsidRPr="00FA3F9C">
              <w:rPr>
                <w:rFonts w:ascii="Arial" w:hAnsi="Arial" w:cs="Arial"/>
                <w:sz w:val="24"/>
                <w:szCs w:val="24"/>
              </w:rPr>
              <w:t>If all criteria met, approve for 12 months.</w:t>
            </w:r>
          </w:p>
        </w:tc>
      </w:tr>
    </w:tbl>
    <w:p w14:paraId="29EAC420" w14:textId="77777777" w:rsidR="00C3036D" w:rsidRPr="00FA3F9C" w:rsidRDefault="00C3036D" w:rsidP="006F623F">
      <w:pPr>
        <w:spacing w:after="0"/>
        <w:rPr>
          <w:rFonts w:ascii="Arial" w:hAnsi="Arial" w:cs="Arial"/>
          <w:b/>
          <w:sz w:val="24"/>
          <w:szCs w:val="24"/>
          <w:u w:val="single"/>
        </w:rPr>
      </w:pPr>
    </w:p>
    <w:p w14:paraId="2E72B80C" w14:textId="77777777" w:rsidR="00C3036D" w:rsidRPr="00FA3F9C" w:rsidRDefault="00C3036D" w:rsidP="006F623F">
      <w:pPr>
        <w:spacing w:after="0"/>
        <w:rPr>
          <w:rFonts w:ascii="Arial" w:hAnsi="Arial" w:cs="Arial"/>
          <w:sz w:val="24"/>
          <w:szCs w:val="24"/>
        </w:rPr>
      </w:pPr>
      <w:r w:rsidRPr="00FA3F9C">
        <w:rPr>
          <w:rFonts w:ascii="Arial" w:hAnsi="Arial" w:cs="Arial"/>
          <w:sz w:val="24"/>
          <w:szCs w:val="24"/>
        </w:rPr>
        <w:t>*Refractory disease is defined as ONE of the following:</w:t>
      </w:r>
    </w:p>
    <w:p w14:paraId="020B7596" w14:textId="77777777" w:rsidR="00C3036D" w:rsidRPr="00FA3F9C" w:rsidRDefault="00C3036D" w:rsidP="00FC1E85">
      <w:pPr>
        <w:pStyle w:val="ListParagraph"/>
        <w:numPr>
          <w:ilvl w:val="0"/>
          <w:numId w:val="473"/>
        </w:numPr>
        <w:spacing w:after="0" w:line="276" w:lineRule="auto"/>
        <w:rPr>
          <w:rFonts w:ascii="Arial" w:hAnsi="Arial" w:cs="Arial"/>
          <w:sz w:val="24"/>
          <w:szCs w:val="24"/>
        </w:rPr>
      </w:pPr>
      <w:r w:rsidRPr="00FA3F9C">
        <w:rPr>
          <w:rFonts w:ascii="Arial" w:hAnsi="Arial" w:cs="Arial"/>
          <w:sz w:val="24"/>
          <w:szCs w:val="24"/>
        </w:rPr>
        <w:t xml:space="preserve"> ≤ 25% response to therapy (</w:t>
      </w:r>
      <w:proofErr w:type="gramStart"/>
      <w:r w:rsidRPr="00FA3F9C">
        <w:rPr>
          <w:rFonts w:ascii="Arial" w:hAnsi="Arial" w:cs="Arial"/>
          <w:sz w:val="24"/>
          <w:szCs w:val="24"/>
        </w:rPr>
        <w:t>e.g.</w:t>
      </w:r>
      <w:proofErr w:type="gramEnd"/>
      <w:r w:rsidRPr="00FA3F9C">
        <w:rPr>
          <w:rFonts w:ascii="Arial" w:hAnsi="Arial" w:cs="Arial"/>
          <w:sz w:val="24"/>
          <w:szCs w:val="24"/>
        </w:rPr>
        <w:t xml:space="preserve"> </w:t>
      </w:r>
      <w:r w:rsidRPr="00FA3F9C">
        <w:rPr>
          <w:rFonts w:ascii="Arial" w:hAnsi="Arial" w:cs="Arial"/>
          <w:sz w:val="24"/>
          <w:szCs w:val="24"/>
          <w:u w:val="single"/>
        </w:rPr>
        <w:t>&lt;</w:t>
      </w:r>
      <w:r w:rsidRPr="00FA3F9C">
        <w:rPr>
          <w:rFonts w:ascii="Arial" w:hAnsi="Arial" w:cs="Arial"/>
          <w:sz w:val="24"/>
          <w:szCs w:val="24"/>
        </w:rPr>
        <w:t>25% decrease in m-protein)</w:t>
      </w:r>
    </w:p>
    <w:p w14:paraId="0CAAAB13" w14:textId="77777777" w:rsidR="00C3036D" w:rsidRPr="00FA3F9C" w:rsidRDefault="00C3036D" w:rsidP="00FC1E85">
      <w:pPr>
        <w:pStyle w:val="ListParagraph"/>
        <w:numPr>
          <w:ilvl w:val="0"/>
          <w:numId w:val="473"/>
        </w:numPr>
        <w:spacing w:after="0" w:line="276" w:lineRule="auto"/>
        <w:rPr>
          <w:rFonts w:ascii="Arial" w:hAnsi="Arial" w:cs="Arial"/>
          <w:sz w:val="24"/>
          <w:szCs w:val="24"/>
        </w:rPr>
      </w:pPr>
      <w:r w:rsidRPr="00FA3F9C">
        <w:rPr>
          <w:rFonts w:ascii="Arial" w:hAnsi="Arial" w:cs="Arial"/>
          <w:sz w:val="24"/>
          <w:szCs w:val="24"/>
        </w:rPr>
        <w:t xml:space="preserve">Progression </w:t>
      </w:r>
      <w:r w:rsidRPr="00FA3F9C">
        <w:rPr>
          <w:rFonts w:ascii="Arial" w:hAnsi="Arial" w:cs="Arial"/>
          <w:sz w:val="24"/>
          <w:szCs w:val="24"/>
          <w:u w:val="single"/>
        </w:rPr>
        <w:t>during</w:t>
      </w:r>
      <w:r w:rsidRPr="00FA3F9C">
        <w:rPr>
          <w:rFonts w:ascii="Arial" w:hAnsi="Arial" w:cs="Arial"/>
          <w:sz w:val="24"/>
          <w:szCs w:val="24"/>
        </w:rPr>
        <w:t xml:space="preserve"> therapy</w:t>
      </w:r>
    </w:p>
    <w:p w14:paraId="0A71B87F" w14:textId="77777777" w:rsidR="00C3036D" w:rsidRPr="00FA3F9C" w:rsidRDefault="00C3036D" w:rsidP="00FC1E85">
      <w:pPr>
        <w:pStyle w:val="ListParagraph"/>
        <w:numPr>
          <w:ilvl w:val="0"/>
          <w:numId w:val="473"/>
        </w:numPr>
        <w:spacing w:after="0" w:line="276" w:lineRule="auto"/>
        <w:rPr>
          <w:rFonts w:ascii="Arial" w:hAnsi="Arial" w:cs="Arial"/>
          <w:sz w:val="24"/>
          <w:szCs w:val="24"/>
        </w:rPr>
      </w:pPr>
      <w:r w:rsidRPr="00FA3F9C">
        <w:rPr>
          <w:rFonts w:ascii="Arial" w:hAnsi="Arial" w:cs="Arial"/>
          <w:sz w:val="24"/>
          <w:szCs w:val="24"/>
        </w:rPr>
        <w:t xml:space="preserve">Progression </w:t>
      </w:r>
      <w:r w:rsidRPr="00FA3F9C">
        <w:rPr>
          <w:rFonts w:ascii="Arial" w:hAnsi="Arial" w:cs="Arial"/>
          <w:sz w:val="24"/>
          <w:szCs w:val="24"/>
          <w:u w:val="single"/>
        </w:rPr>
        <w:t>within</w:t>
      </w:r>
      <w:r w:rsidRPr="00FA3F9C">
        <w:rPr>
          <w:rFonts w:ascii="Arial" w:hAnsi="Arial" w:cs="Arial"/>
          <w:sz w:val="24"/>
          <w:szCs w:val="24"/>
        </w:rPr>
        <w:t xml:space="preserve"> 60 days after completion of therapy.</w:t>
      </w:r>
    </w:p>
    <w:p w14:paraId="47BF9A46" w14:textId="77777777" w:rsidR="00C3036D" w:rsidRPr="00FA3F9C" w:rsidRDefault="00C3036D" w:rsidP="00CC3E48">
      <w:pPr>
        <w:spacing w:after="0"/>
        <w:ind w:left="407"/>
        <w:rPr>
          <w:rFonts w:ascii="Arial" w:hAnsi="Arial" w:cs="Arial"/>
          <w:sz w:val="24"/>
          <w:szCs w:val="24"/>
        </w:rPr>
      </w:pPr>
    </w:p>
    <w:tbl>
      <w:tblPr>
        <w:tblStyle w:val="TableGrid"/>
        <w:tblW w:w="0" w:type="auto"/>
        <w:shd w:val="clear" w:color="auto" w:fill="BFBFBF" w:themeFill="background1" w:themeFillShade="BF"/>
        <w:tblLook w:val="04A0" w:firstRow="1" w:lastRow="0" w:firstColumn="1" w:lastColumn="0" w:noHBand="0" w:noVBand="1"/>
      </w:tblPr>
      <w:tblGrid>
        <w:gridCol w:w="10998"/>
      </w:tblGrid>
      <w:tr w:rsidR="00C3036D" w:rsidRPr="00FA3F9C" w14:paraId="529C7122" w14:textId="77777777" w:rsidTr="00D82B6E">
        <w:tc>
          <w:tcPr>
            <w:tcW w:w="10998" w:type="dxa"/>
            <w:shd w:val="clear" w:color="auto" w:fill="BFBFBF" w:themeFill="background1" w:themeFillShade="BF"/>
          </w:tcPr>
          <w:p w14:paraId="1C8E3837" w14:textId="77777777" w:rsidR="00C3036D" w:rsidRPr="00FA3F9C" w:rsidRDefault="00C3036D" w:rsidP="00D82B6E">
            <w:pPr>
              <w:rPr>
                <w:rFonts w:ascii="Arial" w:hAnsi="Arial" w:cs="Arial"/>
                <w:sz w:val="24"/>
                <w:szCs w:val="24"/>
                <w:u w:val="single"/>
              </w:rPr>
            </w:pPr>
            <w:r w:rsidRPr="00FA3F9C">
              <w:rPr>
                <w:rFonts w:ascii="Arial" w:hAnsi="Arial" w:cs="Arial"/>
                <w:sz w:val="24"/>
                <w:szCs w:val="24"/>
                <w:u w:val="single"/>
              </w:rPr>
              <w:t xml:space="preserve">Notes: </w:t>
            </w:r>
          </w:p>
          <w:p w14:paraId="170F5F30" w14:textId="77777777" w:rsidR="00C3036D" w:rsidRPr="00FA3F9C" w:rsidRDefault="00C3036D" w:rsidP="00D82B6E">
            <w:pPr>
              <w:rPr>
                <w:rFonts w:ascii="Arial" w:hAnsi="Arial" w:cs="Arial"/>
                <w:sz w:val="24"/>
                <w:szCs w:val="24"/>
              </w:rPr>
            </w:pPr>
            <w:r w:rsidRPr="00FA3F9C">
              <w:rPr>
                <w:rFonts w:ascii="Arial" w:hAnsi="Arial" w:cs="Arial"/>
                <w:sz w:val="24"/>
                <w:szCs w:val="24"/>
              </w:rPr>
              <w:t xml:space="preserve">Selinexor dose: 80 mg PO twice weekly on days 1 and 3 (in combination with dexamethasone). Continue until disease progression or unacceptable toxicity. Dose reductions are common. </w:t>
            </w:r>
          </w:p>
          <w:p w14:paraId="43C379AC" w14:textId="77777777" w:rsidR="00C3036D" w:rsidRPr="00FA3F9C" w:rsidRDefault="00C3036D" w:rsidP="00D82B6E">
            <w:pPr>
              <w:rPr>
                <w:rFonts w:ascii="Arial" w:hAnsi="Arial" w:cs="Arial"/>
                <w:sz w:val="24"/>
                <w:szCs w:val="24"/>
              </w:rPr>
            </w:pPr>
          </w:p>
          <w:p w14:paraId="3D1F8F08" w14:textId="77777777" w:rsidR="00C3036D" w:rsidRPr="00FA3F9C" w:rsidRDefault="00C3036D" w:rsidP="00414FA1">
            <w:pPr>
              <w:rPr>
                <w:rFonts w:ascii="Arial" w:hAnsi="Arial" w:cs="Arial"/>
                <w:sz w:val="24"/>
                <w:szCs w:val="24"/>
              </w:rPr>
            </w:pPr>
            <w:proofErr w:type="spellStart"/>
            <w:r w:rsidRPr="00FA3F9C">
              <w:rPr>
                <w:rFonts w:ascii="Arial" w:hAnsi="Arial" w:cs="Arial"/>
                <w:sz w:val="24"/>
                <w:szCs w:val="24"/>
              </w:rPr>
              <w:t>Selinexor+dexamethasone</w:t>
            </w:r>
            <w:proofErr w:type="spellEnd"/>
            <w:r w:rsidRPr="00FA3F9C">
              <w:rPr>
                <w:rFonts w:ascii="Arial" w:hAnsi="Arial" w:cs="Arial"/>
                <w:sz w:val="24"/>
                <w:szCs w:val="24"/>
              </w:rPr>
              <w:t xml:space="preserve"> has not been directly compared to another agent and exhibited a </w:t>
            </w:r>
            <w:proofErr w:type="gramStart"/>
            <w:r w:rsidRPr="00FA3F9C">
              <w:rPr>
                <w:rFonts w:ascii="Arial" w:hAnsi="Arial" w:cs="Arial"/>
                <w:sz w:val="24"/>
                <w:szCs w:val="24"/>
              </w:rPr>
              <w:t>low response rates</w:t>
            </w:r>
            <w:proofErr w:type="gramEnd"/>
            <w:r w:rsidRPr="00FA3F9C">
              <w:rPr>
                <w:rFonts w:ascii="Arial" w:hAnsi="Arial" w:cs="Arial"/>
                <w:sz w:val="24"/>
                <w:szCs w:val="24"/>
              </w:rPr>
              <w:t xml:space="preserve"> in the STORM2 trial (~25%). However, two formal indirect comparisons have demonstrated an improvement in overall survival compared to usual care.</w:t>
            </w:r>
          </w:p>
          <w:p w14:paraId="7EBEEDAF" w14:textId="77777777" w:rsidR="00C3036D" w:rsidRPr="00FA3F9C" w:rsidRDefault="00C3036D" w:rsidP="00414FA1">
            <w:pPr>
              <w:rPr>
                <w:rFonts w:ascii="Arial" w:hAnsi="Arial" w:cs="Arial"/>
                <w:sz w:val="24"/>
                <w:szCs w:val="24"/>
              </w:rPr>
            </w:pPr>
          </w:p>
          <w:p w14:paraId="7DB15339" w14:textId="77777777" w:rsidR="00C3036D" w:rsidRPr="00FA3F9C" w:rsidRDefault="00C3036D" w:rsidP="00414FA1">
            <w:pPr>
              <w:rPr>
                <w:rFonts w:ascii="Arial" w:hAnsi="Arial" w:cs="Arial"/>
                <w:sz w:val="24"/>
                <w:szCs w:val="24"/>
                <w:u w:val="single"/>
              </w:rPr>
            </w:pPr>
            <w:r w:rsidRPr="00FA3F9C">
              <w:rPr>
                <w:rFonts w:ascii="Arial" w:hAnsi="Arial" w:cs="Arial"/>
                <w:sz w:val="24"/>
                <w:szCs w:val="24"/>
                <w:u w:val="single"/>
              </w:rPr>
              <w:t>STORM trial (single arm trial)</w:t>
            </w:r>
            <w:r w:rsidRPr="00FA3F9C">
              <w:rPr>
                <w:rFonts w:ascii="Arial" w:hAnsi="Arial" w:cs="Arial"/>
                <w:sz w:val="24"/>
                <w:szCs w:val="24"/>
                <w:u w:val="single"/>
                <w:vertAlign w:val="superscript"/>
              </w:rPr>
              <w:t>1</w:t>
            </w:r>
          </w:p>
          <w:p w14:paraId="16D2AD44" w14:textId="77777777" w:rsidR="00C3036D" w:rsidRPr="00FA3F9C" w:rsidRDefault="00C3036D" w:rsidP="00414FA1">
            <w:pPr>
              <w:rPr>
                <w:rFonts w:ascii="Arial" w:hAnsi="Arial" w:cs="Arial"/>
                <w:sz w:val="24"/>
                <w:szCs w:val="24"/>
              </w:rPr>
            </w:pPr>
            <w:r w:rsidRPr="00FA3F9C">
              <w:rPr>
                <w:rFonts w:ascii="Arial" w:hAnsi="Arial" w:cs="Arial"/>
                <w:sz w:val="24"/>
                <w:szCs w:val="24"/>
              </w:rPr>
              <w:t>-response rate: 25.3%</w:t>
            </w:r>
          </w:p>
          <w:p w14:paraId="2B4DD169" w14:textId="77777777" w:rsidR="00C3036D" w:rsidRPr="00FA3F9C" w:rsidRDefault="00C3036D" w:rsidP="00414FA1">
            <w:pPr>
              <w:rPr>
                <w:rFonts w:ascii="Arial" w:hAnsi="Arial" w:cs="Arial"/>
                <w:sz w:val="24"/>
                <w:szCs w:val="24"/>
              </w:rPr>
            </w:pPr>
            <w:r w:rsidRPr="00FA3F9C">
              <w:rPr>
                <w:rFonts w:ascii="Arial" w:hAnsi="Arial" w:cs="Arial"/>
                <w:sz w:val="24"/>
                <w:szCs w:val="24"/>
              </w:rPr>
              <w:t xml:space="preserve">-median overall survival: 8.6 </w:t>
            </w:r>
            <w:proofErr w:type="spellStart"/>
            <w:r w:rsidRPr="00FA3F9C">
              <w:rPr>
                <w:rFonts w:ascii="Arial" w:hAnsi="Arial" w:cs="Arial"/>
                <w:sz w:val="24"/>
                <w:szCs w:val="24"/>
              </w:rPr>
              <w:t>mo</w:t>
            </w:r>
            <w:proofErr w:type="spellEnd"/>
          </w:p>
          <w:p w14:paraId="63677C77" w14:textId="77777777" w:rsidR="00C3036D" w:rsidRPr="00FA3F9C" w:rsidRDefault="00C3036D" w:rsidP="00414FA1">
            <w:pPr>
              <w:rPr>
                <w:rFonts w:ascii="Arial" w:hAnsi="Arial" w:cs="Arial"/>
                <w:sz w:val="24"/>
                <w:szCs w:val="24"/>
              </w:rPr>
            </w:pPr>
            <w:r w:rsidRPr="00FA3F9C">
              <w:rPr>
                <w:rFonts w:ascii="Arial" w:hAnsi="Arial" w:cs="Arial"/>
                <w:sz w:val="24"/>
                <w:szCs w:val="24"/>
              </w:rPr>
              <w:t>-dose reduction required: 53%</w:t>
            </w:r>
          </w:p>
          <w:p w14:paraId="141EBA79" w14:textId="77777777" w:rsidR="00C3036D" w:rsidRPr="00FA3F9C" w:rsidRDefault="00C3036D" w:rsidP="00414FA1">
            <w:pPr>
              <w:rPr>
                <w:rFonts w:ascii="Arial" w:hAnsi="Arial" w:cs="Arial"/>
                <w:sz w:val="24"/>
                <w:szCs w:val="24"/>
              </w:rPr>
            </w:pPr>
          </w:p>
          <w:p w14:paraId="79E4743E" w14:textId="77777777" w:rsidR="00C3036D" w:rsidRPr="00FA3F9C" w:rsidRDefault="00C3036D" w:rsidP="00414FA1">
            <w:pPr>
              <w:rPr>
                <w:rFonts w:ascii="Arial" w:hAnsi="Arial" w:cs="Arial"/>
                <w:sz w:val="24"/>
                <w:szCs w:val="24"/>
                <w:u w:val="single"/>
              </w:rPr>
            </w:pPr>
            <w:r w:rsidRPr="00FA3F9C">
              <w:rPr>
                <w:rFonts w:ascii="Arial" w:hAnsi="Arial" w:cs="Arial"/>
                <w:sz w:val="24"/>
                <w:szCs w:val="24"/>
                <w:u w:val="single"/>
              </w:rPr>
              <w:t>STORM trial versus MAMMOTH data (formal indirect comparison)</w:t>
            </w:r>
            <w:r w:rsidRPr="00FA3F9C">
              <w:rPr>
                <w:rFonts w:ascii="Arial" w:hAnsi="Arial" w:cs="Arial"/>
                <w:sz w:val="24"/>
                <w:szCs w:val="24"/>
                <w:u w:val="single"/>
                <w:vertAlign w:val="superscript"/>
              </w:rPr>
              <w:t>2,3</w:t>
            </w:r>
          </w:p>
          <w:p w14:paraId="4C4C68E2" w14:textId="77777777" w:rsidR="00C3036D" w:rsidRPr="00FA3F9C" w:rsidRDefault="00C3036D" w:rsidP="00414FA1">
            <w:pPr>
              <w:rPr>
                <w:rFonts w:ascii="Arial" w:hAnsi="Arial" w:cs="Arial"/>
                <w:sz w:val="24"/>
                <w:szCs w:val="24"/>
              </w:rPr>
            </w:pPr>
            <w:r w:rsidRPr="00FA3F9C">
              <w:rPr>
                <w:rFonts w:ascii="Arial" w:hAnsi="Arial" w:cs="Arial"/>
                <w:sz w:val="24"/>
                <w:szCs w:val="24"/>
              </w:rPr>
              <w:t xml:space="preserve">-Selinexor median overall survival: 10.4 </w:t>
            </w:r>
            <w:proofErr w:type="spellStart"/>
            <w:r w:rsidRPr="00FA3F9C">
              <w:rPr>
                <w:rFonts w:ascii="Arial" w:hAnsi="Arial" w:cs="Arial"/>
                <w:sz w:val="24"/>
                <w:szCs w:val="24"/>
              </w:rPr>
              <w:t>mo</w:t>
            </w:r>
            <w:proofErr w:type="spellEnd"/>
          </w:p>
          <w:p w14:paraId="2A607168" w14:textId="77777777" w:rsidR="00C3036D" w:rsidRPr="00FA3F9C" w:rsidRDefault="00C3036D" w:rsidP="00414FA1">
            <w:pPr>
              <w:rPr>
                <w:rFonts w:ascii="Arial" w:hAnsi="Arial" w:cs="Arial"/>
                <w:sz w:val="24"/>
                <w:szCs w:val="24"/>
              </w:rPr>
            </w:pPr>
            <w:r w:rsidRPr="00FA3F9C">
              <w:rPr>
                <w:rFonts w:ascii="Arial" w:hAnsi="Arial" w:cs="Arial"/>
                <w:sz w:val="24"/>
                <w:szCs w:val="24"/>
              </w:rPr>
              <w:t xml:space="preserve">-Usual care median overall survival: 6.9 </w:t>
            </w:r>
            <w:proofErr w:type="spellStart"/>
            <w:r w:rsidRPr="00FA3F9C">
              <w:rPr>
                <w:rFonts w:ascii="Arial" w:hAnsi="Arial" w:cs="Arial"/>
                <w:sz w:val="24"/>
                <w:szCs w:val="24"/>
              </w:rPr>
              <w:t>mo</w:t>
            </w:r>
            <w:proofErr w:type="spellEnd"/>
          </w:p>
          <w:p w14:paraId="50EB6B50" w14:textId="77777777" w:rsidR="00C3036D" w:rsidRPr="00FA3F9C" w:rsidRDefault="00C3036D" w:rsidP="00414FA1">
            <w:pPr>
              <w:rPr>
                <w:rFonts w:ascii="Arial" w:hAnsi="Arial" w:cs="Arial"/>
                <w:sz w:val="24"/>
                <w:szCs w:val="24"/>
              </w:rPr>
            </w:pPr>
            <w:r w:rsidRPr="00FA3F9C">
              <w:rPr>
                <w:rFonts w:ascii="Arial" w:hAnsi="Arial" w:cs="Arial"/>
                <w:sz w:val="24"/>
                <w:szCs w:val="24"/>
              </w:rPr>
              <w:t xml:space="preserve">Adjusted HR 0.55, 95% CI 0.36-0.84 </w:t>
            </w:r>
          </w:p>
          <w:p w14:paraId="7280AF4E" w14:textId="77777777" w:rsidR="00C3036D" w:rsidRPr="00FA3F9C" w:rsidRDefault="00C3036D" w:rsidP="00414FA1">
            <w:pPr>
              <w:rPr>
                <w:rFonts w:ascii="Arial" w:hAnsi="Arial" w:cs="Arial"/>
                <w:sz w:val="24"/>
                <w:szCs w:val="24"/>
              </w:rPr>
            </w:pPr>
          </w:p>
          <w:p w14:paraId="4DD23BF8" w14:textId="77777777" w:rsidR="00C3036D" w:rsidRPr="00FA3F9C" w:rsidRDefault="00C3036D" w:rsidP="00414FA1">
            <w:pPr>
              <w:rPr>
                <w:rFonts w:ascii="Arial" w:hAnsi="Arial" w:cs="Arial"/>
                <w:sz w:val="24"/>
                <w:szCs w:val="24"/>
                <w:u w:val="single"/>
              </w:rPr>
            </w:pPr>
            <w:r w:rsidRPr="00FA3F9C">
              <w:rPr>
                <w:rFonts w:ascii="Arial" w:hAnsi="Arial" w:cs="Arial"/>
                <w:sz w:val="24"/>
                <w:szCs w:val="24"/>
                <w:u w:val="single"/>
              </w:rPr>
              <w:t>STORM trial versus Flatiron database (formal indirect comparison)</w:t>
            </w:r>
            <w:r w:rsidRPr="00FA3F9C">
              <w:rPr>
                <w:rFonts w:ascii="Arial" w:hAnsi="Arial" w:cs="Arial"/>
                <w:sz w:val="24"/>
                <w:szCs w:val="24"/>
                <w:u w:val="single"/>
                <w:vertAlign w:val="superscript"/>
              </w:rPr>
              <w:t>4</w:t>
            </w:r>
          </w:p>
          <w:p w14:paraId="15538405" w14:textId="77777777" w:rsidR="00C3036D" w:rsidRPr="00FA3F9C" w:rsidRDefault="00C3036D" w:rsidP="00CC3E48">
            <w:pPr>
              <w:rPr>
                <w:rFonts w:ascii="Arial" w:hAnsi="Arial" w:cs="Arial"/>
                <w:sz w:val="24"/>
                <w:szCs w:val="24"/>
              </w:rPr>
            </w:pPr>
            <w:r w:rsidRPr="00FA3F9C">
              <w:rPr>
                <w:rFonts w:ascii="Arial" w:hAnsi="Arial" w:cs="Arial"/>
                <w:sz w:val="24"/>
                <w:szCs w:val="24"/>
              </w:rPr>
              <w:t xml:space="preserve">-Selinexor median overall survival: 10.4 </w:t>
            </w:r>
            <w:proofErr w:type="spellStart"/>
            <w:r w:rsidRPr="00FA3F9C">
              <w:rPr>
                <w:rFonts w:ascii="Arial" w:hAnsi="Arial" w:cs="Arial"/>
                <w:sz w:val="24"/>
                <w:szCs w:val="24"/>
              </w:rPr>
              <w:t>mo</w:t>
            </w:r>
            <w:proofErr w:type="spellEnd"/>
          </w:p>
          <w:p w14:paraId="3FFC6F03" w14:textId="77777777" w:rsidR="00C3036D" w:rsidRPr="00FA3F9C" w:rsidRDefault="00C3036D" w:rsidP="00CC3E48">
            <w:pPr>
              <w:rPr>
                <w:rFonts w:ascii="Arial" w:hAnsi="Arial" w:cs="Arial"/>
                <w:sz w:val="24"/>
                <w:szCs w:val="24"/>
              </w:rPr>
            </w:pPr>
            <w:r w:rsidRPr="00FA3F9C">
              <w:rPr>
                <w:rFonts w:ascii="Arial" w:hAnsi="Arial" w:cs="Arial"/>
                <w:sz w:val="24"/>
                <w:szCs w:val="24"/>
              </w:rPr>
              <w:t xml:space="preserve">-Usual care median overall survival: 5.2 </w:t>
            </w:r>
            <w:proofErr w:type="spellStart"/>
            <w:r w:rsidRPr="00FA3F9C">
              <w:rPr>
                <w:rFonts w:ascii="Arial" w:hAnsi="Arial" w:cs="Arial"/>
                <w:sz w:val="24"/>
                <w:szCs w:val="24"/>
              </w:rPr>
              <w:t>mo</w:t>
            </w:r>
            <w:proofErr w:type="spellEnd"/>
          </w:p>
          <w:p w14:paraId="523B8C99" w14:textId="77777777" w:rsidR="00C3036D" w:rsidRPr="00FA3F9C" w:rsidRDefault="00C3036D" w:rsidP="00414FA1">
            <w:pPr>
              <w:rPr>
                <w:rFonts w:ascii="Arial" w:hAnsi="Arial" w:cs="Arial"/>
                <w:sz w:val="24"/>
                <w:szCs w:val="24"/>
              </w:rPr>
            </w:pPr>
            <w:r w:rsidRPr="00FA3F9C">
              <w:rPr>
                <w:rFonts w:ascii="Arial" w:hAnsi="Arial" w:cs="Arial"/>
                <w:sz w:val="24"/>
                <w:szCs w:val="24"/>
              </w:rPr>
              <w:t>Adjusted HR 0.49, p=0.0241</w:t>
            </w:r>
          </w:p>
          <w:p w14:paraId="518DA080" w14:textId="77777777" w:rsidR="00C3036D" w:rsidRPr="00FA3F9C" w:rsidRDefault="00C3036D" w:rsidP="00414FA1">
            <w:pPr>
              <w:rPr>
                <w:rFonts w:ascii="Arial" w:hAnsi="Arial" w:cs="Arial"/>
                <w:sz w:val="24"/>
                <w:szCs w:val="24"/>
              </w:rPr>
            </w:pPr>
          </w:p>
          <w:p w14:paraId="41531CF3" w14:textId="77777777" w:rsidR="00C3036D" w:rsidRPr="00FA3F9C" w:rsidRDefault="00C3036D" w:rsidP="00414FA1">
            <w:pPr>
              <w:rPr>
                <w:rFonts w:ascii="Arial" w:hAnsi="Arial" w:cs="Arial"/>
                <w:sz w:val="24"/>
                <w:szCs w:val="24"/>
              </w:rPr>
            </w:pPr>
          </w:p>
          <w:p w14:paraId="2C8A76F0" w14:textId="77777777" w:rsidR="00C3036D" w:rsidRPr="00FA3F9C" w:rsidRDefault="00C3036D" w:rsidP="00CC3E48">
            <w:pPr>
              <w:pBdr>
                <w:top w:val="single" w:sz="4" w:space="1" w:color="auto"/>
              </w:pBdr>
              <w:rPr>
                <w:rFonts w:ascii="Arial" w:hAnsi="Arial" w:cs="Arial"/>
                <w:sz w:val="24"/>
                <w:szCs w:val="24"/>
              </w:rPr>
            </w:pPr>
            <w:r w:rsidRPr="00FA3F9C">
              <w:rPr>
                <w:rFonts w:ascii="Arial" w:hAnsi="Arial" w:cs="Arial"/>
                <w:sz w:val="24"/>
                <w:szCs w:val="24"/>
              </w:rPr>
              <w:t>References:</w:t>
            </w:r>
          </w:p>
          <w:p w14:paraId="570194CD" w14:textId="77777777" w:rsidR="00C3036D" w:rsidRPr="00FA3F9C" w:rsidRDefault="00C3036D" w:rsidP="00FC1E85">
            <w:pPr>
              <w:pStyle w:val="ListParagraph"/>
              <w:numPr>
                <w:ilvl w:val="0"/>
                <w:numId w:val="474"/>
              </w:numPr>
              <w:ind w:left="180" w:hanging="180"/>
              <w:rPr>
                <w:rFonts w:ascii="Arial" w:hAnsi="Arial" w:cs="Arial"/>
                <w:sz w:val="24"/>
                <w:szCs w:val="24"/>
              </w:rPr>
            </w:pPr>
            <w:r w:rsidRPr="00FA3F9C">
              <w:rPr>
                <w:rFonts w:ascii="Arial" w:hAnsi="Arial" w:cs="Arial"/>
                <w:sz w:val="24"/>
                <w:szCs w:val="24"/>
              </w:rPr>
              <w:t xml:space="preserve">Chari A et al. Oral Selinexor-Dexamethasone for Triple-Class Refractory Multiple Myeloma. N </w:t>
            </w:r>
            <w:proofErr w:type="spellStart"/>
            <w:r w:rsidRPr="00FA3F9C">
              <w:rPr>
                <w:rFonts w:ascii="Arial" w:hAnsi="Arial" w:cs="Arial"/>
                <w:sz w:val="24"/>
                <w:szCs w:val="24"/>
              </w:rPr>
              <w:t>Engl</w:t>
            </w:r>
            <w:proofErr w:type="spellEnd"/>
            <w:r w:rsidRPr="00FA3F9C">
              <w:rPr>
                <w:rFonts w:ascii="Arial" w:hAnsi="Arial" w:cs="Arial"/>
                <w:sz w:val="24"/>
                <w:szCs w:val="24"/>
              </w:rPr>
              <w:t xml:space="preserve"> J Med. 2019 Aug 22;381(8):727-738. </w:t>
            </w:r>
            <w:proofErr w:type="spellStart"/>
            <w:r w:rsidRPr="00FA3F9C">
              <w:rPr>
                <w:rFonts w:ascii="Arial" w:hAnsi="Arial" w:cs="Arial"/>
                <w:sz w:val="24"/>
                <w:szCs w:val="24"/>
              </w:rPr>
              <w:t>doi</w:t>
            </w:r>
            <w:proofErr w:type="spellEnd"/>
            <w:r w:rsidRPr="00FA3F9C">
              <w:rPr>
                <w:rFonts w:ascii="Arial" w:hAnsi="Arial" w:cs="Arial"/>
                <w:sz w:val="24"/>
                <w:szCs w:val="24"/>
              </w:rPr>
              <w:t>: 10.1056/NEJMoa1903455. PMID: 31433920.</w:t>
            </w:r>
          </w:p>
          <w:p w14:paraId="72B65E7A" w14:textId="77777777" w:rsidR="00C3036D" w:rsidRPr="00FA3F9C" w:rsidRDefault="00C3036D" w:rsidP="00FC1E85">
            <w:pPr>
              <w:pStyle w:val="ListParagraph"/>
              <w:numPr>
                <w:ilvl w:val="0"/>
                <w:numId w:val="474"/>
              </w:numPr>
              <w:ind w:left="180" w:hanging="180"/>
              <w:rPr>
                <w:rFonts w:ascii="Arial" w:hAnsi="Arial" w:cs="Arial"/>
                <w:sz w:val="24"/>
                <w:szCs w:val="24"/>
              </w:rPr>
            </w:pPr>
            <w:r w:rsidRPr="00FA3F9C">
              <w:rPr>
                <w:rFonts w:ascii="Arial" w:hAnsi="Arial" w:cs="Arial"/>
                <w:sz w:val="24"/>
                <w:szCs w:val="24"/>
                <w:lang w:val="es-ES"/>
              </w:rPr>
              <w:lastRenderedPageBreak/>
              <w:t xml:space="preserve">LJ Costa et al. </w:t>
            </w:r>
            <w:hyperlink r:id="rId375" w:history="1">
              <w:r w:rsidRPr="00FA3F9C">
                <w:rPr>
                  <w:rStyle w:val="Hyperlink"/>
                  <w:rFonts w:ascii="Arial" w:hAnsi="Arial" w:cs="Arial"/>
                  <w:sz w:val="24"/>
                  <w:szCs w:val="24"/>
                  <w:lang w:val="es-ES"/>
                </w:rPr>
                <w:t>https://ashpublications.org/blood/article/134/Supplement_1/3125/423837/Overall-Survival-of-Triple-Class-Refractory-Penta</w:t>
              </w:r>
            </w:hyperlink>
            <w:r w:rsidRPr="00FA3F9C">
              <w:rPr>
                <w:rFonts w:ascii="Arial" w:hAnsi="Arial" w:cs="Arial"/>
                <w:sz w:val="24"/>
                <w:szCs w:val="24"/>
                <w:lang w:val="es-ES"/>
              </w:rPr>
              <w:t xml:space="preserve">. </w:t>
            </w:r>
            <w:r w:rsidRPr="00FA3F9C">
              <w:rPr>
                <w:rFonts w:ascii="Arial" w:hAnsi="Arial" w:cs="Arial"/>
                <w:sz w:val="24"/>
                <w:szCs w:val="24"/>
              </w:rPr>
              <w:t>Accessed 11/18/19 [mammoth]</w:t>
            </w:r>
          </w:p>
          <w:p w14:paraId="59535EA3" w14:textId="77777777" w:rsidR="00C3036D" w:rsidRPr="00FA3F9C" w:rsidRDefault="00C3036D" w:rsidP="00FC1E85">
            <w:pPr>
              <w:pStyle w:val="ListParagraph"/>
              <w:numPr>
                <w:ilvl w:val="0"/>
                <w:numId w:val="474"/>
              </w:numPr>
              <w:ind w:left="180" w:hanging="180"/>
              <w:rPr>
                <w:rFonts w:ascii="Arial" w:hAnsi="Arial" w:cs="Arial"/>
                <w:sz w:val="24"/>
                <w:szCs w:val="24"/>
              </w:rPr>
            </w:pPr>
            <w:r w:rsidRPr="00FA3F9C">
              <w:rPr>
                <w:rFonts w:ascii="Arial" w:hAnsi="Arial" w:cs="Arial"/>
                <w:noProof/>
                <w:color w:val="000000"/>
                <w:sz w:val="24"/>
                <w:szCs w:val="24"/>
              </w:rPr>
              <w:t>Cornell R et al. Overall survival of patients with triple-class refractory multiple myeloma treated with selinexor plus dexamethasone vs standard of care in MAMMOTH. Am J Hematol. 2021 Jan;96(1):E5-E8. doi: 10.1002/ajh.26010. Epub 2020 Oct 21. PMID: 32974944.</w:t>
            </w:r>
          </w:p>
          <w:p w14:paraId="6E6277D7" w14:textId="77777777" w:rsidR="00C3036D" w:rsidRPr="00FA3F9C" w:rsidRDefault="00C3036D" w:rsidP="00FC1E85">
            <w:pPr>
              <w:pStyle w:val="ListParagraph"/>
              <w:numPr>
                <w:ilvl w:val="0"/>
                <w:numId w:val="474"/>
              </w:numPr>
              <w:autoSpaceDE w:val="0"/>
              <w:autoSpaceDN w:val="0"/>
              <w:adjustRightInd w:val="0"/>
              <w:ind w:left="180" w:hanging="180"/>
              <w:rPr>
                <w:rFonts w:ascii="Arial" w:hAnsi="Arial" w:cs="Arial"/>
                <w:sz w:val="24"/>
                <w:szCs w:val="24"/>
              </w:rPr>
            </w:pPr>
            <w:r w:rsidRPr="00FA3F9C">
              <w:rPr>
                <w:rFonts w:ascii="Arial" w:hAnsi="Arial" w:cs="Arial"/>
                <w:sz w:val="24"/>
                <w:szCs w:val="24"/>
              </w:rPr>
              <w:t xml:space="preserve">Richardson PG, Jagannath S, Chari A, et al. Overall survival (OS) with oral </w:t>
            </w:r>
            <w:proofErr w:type="spellStart"/>
            <w:r w:rsidRPr="00FA3F9C">
              <w:rPr>
                <w:rFonts w:ascii="Arial" w:hAnsi="Arial" w:cs="Arial"/>
                <w:sz w:val="24"/>
                <w:szCs w:val="24"/>
              </w:rPr>
              <w:t>selinexor</w:t>
            </w:r>
            <w:proofErr w:type="spellEnd"/>
            <w:r w:rsidRPr="00FA3F9C">
              <w:rPr>
                <w:rFonts w:ascii="Arial" w:hAnsi="Arial" w:cs="Arial"/>
                <w:sz w:val="24"/>
                <w:szCs w:val="24"/>
              </w:rPr>
              <w:t xml:space="preserve"> plus low dose dexamethasone (Sd) in patients with triple class refractory multiple myeloma (TCR-MM). J Clin Oncol. 2019; 37(suppl):8014. </w:t>
            </w:r>
            <w:hyperlink r:id="rId376" w:history="1">
              <w:r w:rsidRPr="00FA3F9C">
                <w:rPr>
                  <w:rStyle w:val="Hyperlink"/>
                  <w:rFonts w:ascii="Arial" w:hAnsi="Arial" w:cs="Arial"/>
                  <w:sz w:val="24"/>
                  <w:szCs w:val="24"/>
                </w:rPr>
                <w:t>https://ascopubs.org/doi/abs/10.1200/JCO.2019.37.15_suppl.8014</w:t>
              </w:r>
            </w:hyperlink>
            <w:r w:rsidRPr="00FA3F9C">
              <w:rPr>
                <w:rFonts w:ascii="Arial" w:hAnsi="Arial" w:cs="Arial"/>
                <w:sz w:val="24"/>
                <w:szCs w:val="24"/>
              </w:rPr>
              <w:t>. Accessed 11/18/19. [Flatiron]</w:t>
            </w:r>
          </w:p>
        </w:tc>
      </w:tr>
    </w:tbl>
    <w:p w14:paraId="56AD1345" w14:textId="77777777" w:rsidR="00C3036D" w:rsidRPr="00FA3F9C" w:rsidRDefault="00C3036D" w:rsidP="006F623F">
      <w:pPr>
        <w:spacing w:after="0"/>
        <w:rPr>
          <w:rFonts w:ascii="Arial" w:hAnsi="Arial" w:cs="Arial"/>
          <w:sz w:val="24"/>
          <w:szCs w:val="24"/>
        </w:rPr>
      </w:pPr>
    </w:p>
    <w:p w14:paraId="48C929D0" w14:textId="77777777" w:rsidR="00C3036D" w:rsidRPr="00FA3F9C" w:rsidRDefault="00C3036D" w:rsidP="006F623F">
      <w:pPr>
        <w:spacing w:after="0"/>
        <w:rPr>
          <w:rFonts w:ascii="Arial" w:hAnsi="Arial" w:cs="Arial"/>
          <w:sz w:val="24"/>
          <w:szCs w:val="24"/>
        </w:rPr>
      </w:pPr>
      <w:r w:rsidRPr="00FA3F9C">
        <w:rPr>
          <w:rFonts w:ascii="Arial" w:hAnsi="Arial" w:cs="Arial"/>
          <w:sz w:val="24"/>
          <w:szCs w:val="24"/>
        </w:rPr>
        <w:t xml:space="preserve">Quantity Limits: </w:t>
      </w:r>
      <w:proofErr w:type="gramStart"/>
      <w:r w:rsidRPr="00FA3F9C">
        <w:rPr>
          <w:rFonts w:ascii="Arial" w:hAnsi="Arial" w:cs="Arial"/>
          <w:sz w:val="24"/>
          <w:szCs w:val="24"/>
        </w:rPr>
        <w:t>28 day</w:t>
      </w:r>
      <w:proofErr w:type="gramEnd"/>
      <w:r w:rsidRPr="00FA3F9C">
        <w:rPr>
          <w:rFonts w:ascii="Arial" w:hAnsi="Arial" w:cs="Arial"/>
          <w:sz w:val="24"/>
          <w:szCs w:val="24"/>
        </w:rPr>
        <w:t xml:space="preserve"> supply</w:t>
      </w:r>
    </w:p>
    <w:p w14:paraId="6855F20B" w14:textId="77777777" w:rsidR="00C3036D" w:rsidRPr="00FA3F9C" w:rsidRDefault="00C3036D" w:rsidP="006F623F">
      <w:pPr>
        <w:spacing w:after="0"/>
        <w:rPr>
          <w:rFonts w:ascii="Arial" w:hAnsi="Arial" w:cs="Arial"/>
          <w:sz w:val="24"/>
          <w:szCs w:val="24"/>
        </w:rPr>
      </w:pPr>
    </w:p>
    <w:p w14:paraId="443375E6" w14:textId="77777777" w:rsidR="00C3036D" w:rsidRPr="00FA3F9C" w:rsidRDefault="00C3036D"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284"/>
        <w:gridCol w:w="7470"/>
        <w:gridCol w:w="2538"/>
      </w:tblGrid>
      <w:tr w:rsidR="00C3036D" w:rsidRPr="00FA3F9C" w14:paraId="5ECA42D1" w14:textId="77777777" w:rsidTr="00FE491B">
        <w:tc>
          <w:tcPr>
            <w:tcW w:w="1008" w:type="dxa"/>
          </w:tcPr>
          <w:p w14:paraId="053ED399" w14:textId="77777777" w:rsidR="00C3036D" w:rsidRPr="00FA3F9C" w:rsidRDefault="00C3036D" w:rsidP="006F623F">
            <w:pPr>
              <w:rPr>
                <w:rFonts w:ascii="Arial" w:hAnsi="Arial" w:cs="Arial"/>
                <w:sz w:val="24"/>
                <w:szCs w:val="24"/>
              </w:rPr>
            </w:pPr>
            <w:r w:rsidRPr="00FA3F9C">
              <w:rPr>
                <w:rFonts w:ascii="Arial" w:hAnsi="Arial" w:cs="Arial"/>
                <w:sz w:val="24"/>
                <w:szCs w:val="24"/>
              </w:rPr>
              <w:t>Date</w:t>
            </w:r>
          </w:p>
        </w:tc>
        <w:tc>
          <w:tcPr>
            <w:tcW w:w="7470" w:type="dxa"/>
          </w:tcPr>
          <w:p w14:paraId="56483C4B" w14:textId="77777777" w:rsidR="00C3036D" w:rsidRPr="00FA3F9C" w:rsidRDefault="00C3036D" w:rsidP="006F623F">
            <w:pPr>
              <w:rPr>
                <w:rFonts w:ascii="Arial" w:hAnsi="Arial" w:cs="Arial"/>
                <w:sz w:val="24"/>
                <w:szCs w:val="24"/>
              </w:rPr>
            </w:pPr>
            <w:r w:rsidRPr="00FA3F9C">
              <w:rPr>
                <w:rFonts w:ascii="Arial" w:hAnsi="Arial" w:cs="Arial"/>
                <w:sz w:val="24"/>
                <w:szCs w:val="24"/>
              </w:rPr>
              <w:t>What changed</w:t>
            </w:r>
          </w:p>
        </w:tc>
        <w:tc>
          <w:tcPr>
            <w:tcW w:w="2538" w:type="dxa"/>
          </w:tcPr>
          <w:p w14:paraId="2C3DED6D" w14:textId="77777777" w:rsidR="00C3036D" w:rsidRPr="00FA3F9C" w:rsidRDefault="00C3036D" w:rsidP="006F623F">
            <w:pPr>
              <w:rPr>
                <w:rFonts w:ascii="Arial" w:hAnsi="Arial" w:cs="Arial"/>
                <w:sz w:val="24"/>
                <w:szCs w:val="24"/>
              </w:rPr>
            </w:pPr>
            <w:r w:rsidRPr="00FA3F9C">
              <w:rPr>
                <w:rFonts w:ascii="Arial" w:hAnsi="Arial" w:cs="Arial"/>
                <w:sz w:val="24"/>
                <w:szCs w:val="24"/>
              </w:rPr>
              <w:t>Pharmacist’s initials</w:t>
            </w:r>
          </w:p>
        </w:tc>
      </w:tr>
      <w:tr w:rsidR="00C3036D" w:rsidRPr="00FA3F9C" w14:paraId="3B7F6976" w14:textId="77777777" w:rsidTr="00FE491B">
        <w:tc>
          <w:tcPr>
            <w:tcW w:w="1008" w:type="dxa"/>
          </w:tcPr>
          <w:p w14:paraId="10722C10" w14:textId="77777777" w:rsidR="00C3036D" w:rsidRPr="00FA3F9C" w:rsidRDefault="00C3036D" w:rsidP="006F623F">
            <w:pPr>
              <w:rPr>
                <w:rFonts w:ascii="Arial" w:hAnsi="Arial" w:cs="Arial"/>
                <w:sz w:val="24"/>
                <w:szCs w:val="24"/>
              </w:rPr>
            </w:pPr>
            <w:r w:rsidRPr="00FA3F9C">
              <w:rPr>
                <w:rFonts w:ascii="Arial" w:hAnsi="Arial" w:cs="Arial"/>
                <w:sz w:val="24"/>
                <w:szCs w:val="24"/>
              </w:rPr>
              <w:t>5/21/2021</w:t>
            </w:r>
          </w:p>
        </w:tc>
        <w:tc>
          <w:tcPr>
            <w:tcW w:w="7470" w:type="dxa"/>
          </w:tcPr>
          <w:p w14:paraId="07111704" w14:textId="77777777" w:rsidR="00C3036D" w:rsidRPr="00FA3F9C" w:rsidRDefault="00C3036D" w:rsidP="006F623F">
            <w:pPr>
              <w:rPr>
                <w:rFonts w:ascii="Arial" w:hAnsi="Arial" w:cs="Arial"/>
                <w:sz w:val="24"/>
                <w:szCs w:val="24"/>
              </w:rPr>
            </w:pPr>
            <w:r w:rsidRPr="00FA3F9C">
              <w:rPr>
                <w:rFonts w:ascii="Arial" w:hAnsi="Arial" w:cs="Arial"/>
                <w:sz w:val="24"/>
                <w:szCs w:val="24"/>
              </w:rPr>
              <w:t>Criteria written</w:t>
            </w:r>
          </w:p>
        </w:tc>
        <w:tc>
          <w:tcPr>
            <w:tcW w:w="2538" w:type="dxa"/>
          </w:tcPr>
          <w:p w14:paraId="35ACA695" w14:textId="77777777" w:rsidR="00C3036D" w:rsidRPr="00FA3F9C" w:rsidRDefault="00C3036D" w:rsidP="006F623F">
            <w:pPr>
              <w:rPr>
                <w:rFonts w:ascii="Arial" w:hAnsi="Arial" w:cs="Arial"/>
                <w:sz w:val="24"/>
                <w:szCs w:val="24"/>
              </w:rPr>
            </w:pPr>
            <w:proofErr w:type="spellStart"/>
            <w:r w:rsidRPr="00FA3F9C">
              <w:rPr>
                <w:rFonts w:ascii="Arial" w:hAnsi="Arial" w:cs="Arial"/>
                <w:sz w:val="24"/>
                <w:szCs w:val="24"/>
              </w:rPr>
              <w:t>sk</w:t>
            </w:r>
            <w:proofErr w:type="spellEnd"/>
          </w:p>
        </w:tc>
      </w:tr>
      <w:tr w:rsidR="00C3036D" w:rsidRPr="00FA3F9C" w14:paraId="54198006" w14:textId="77777777" w:rsidTr="00FE491B">
        <w:tc>
          <w:tcPr>
            <w:tcW w:w="1008" w:type="dxa"/>
          </w:tcPr>
          <w:p w14:paraId="21FDAAB6" w14:textId="77777777" w:rsidR="00C3036D" w:rsidRPr="00FA3F9C" w:rsidRDefault="00C3036D" w:rsidP="006F623F">
            <w:pPr>
              <w:rPr>
                <w:rFonts w:ascii="Arial" w:hAnsi="Arial" w:cs="Arial"/>
                <w:sz w:val="24"/>
                <w:szCs w:val="24"/>
              </w:rPr>
            </w:pPr>
            <w:r w:rsidRPr="00FA3F9C">
              <w:rPr>
                <w:rFonts w:ascii="Arial" w:hAnsi="Arial" w:cs="Arial"/>
                <w:sz w:val="24"/>
                <w:szCs w:val="24"/>
              </w:rPr>
              <w:t>5/26/21</w:t>
            </w:r>
          </w:p>
        </w:tc>
        <w:tc>
          <w:tcPr>
            <w:tcW w:w="7470" w:type="dxa"/>
          </w:tcPr>
          <w:p w14:paraId="1B8ACF9A" w14:textId="77777777" w:rsidR="00C3036D" w:rsidRPr="00FA3F9C" w:rsidRDefault="00C3036D" w:rsidP="006F623F">
            <w:pPr>
              <w:rPr>
                <w:rFonts w:ascii="Arial" w:hAnsi="Arial" w:cs="Arial"/>
                <w:sz w:val="24"/>
                <w:szCs w:val="24"/>
              </w:rPr>
            </w:pPr>
            <w:r w:rsidRPr="00FA3F9C">
              <w:rPr>
                <w:rFonts w:ascii="Arial" w:hAnsi="Arial" w:cs="Arial"/>
                <w:sz w:val="24"/>
                <w:szCs w:val="24"/>
              </w:rPr>
              <w:t>UAS to use EBRx criteria.</w:t>
            </w:r>
          </w:p>
        </w:tc>
        <w:tc>
          <w:tcPr>
            <w:tcW w:w="2538" w:type="dxa"/>
          </w:tcPr>
          <w:p w14:paraId="374B055D" w14:textId="77777777" w:rsidR="00C3036D" w:rsidRPr="00FA3F9C" w:rsidRDefault="00C3036D" w:rsidP="006F623F">
            <w:pPr>
              <w:rPr>
                <w:rFonts w:ascii="Arial" w:hAnsi="Arial" w:cs="Arial"/>
                <w:sz w:val="24"/>
                <w:szCs w:val="24"/>
              </w:rPr>
            </w:pPr>
            <w:r w:rsidRPr="00FA3F9C">
              <w:rPr>
                <w:rFonts w:ascii="Arial" w:hAnsi="Arial" w:cs="Arial"/>
                <w:sz w:val="24"/>
                <w:szCs w:val="24"/>
              </w:rPr>
              <w:t>JJ</w:t>
            </w:r>
          </w:p>
        </w:tc>
      </w:tr>
    </w:tbl>
    <w:p w14:paraId="71514BB4" w14:textId="77777777" w:rsidR="00C3036D" w:rsidRPr="00FA3F9C" w:rsidRDefault="00C3036D" w:rsidP="006F623F">
      <w:pPr>
        <w:spacing w:after="0"/>
        <w:rPr>
          <w:rFonts w:ascii="Arial" w:hAnsi="Arial" w:cs="Arial"/>
          <w:sz w:val="24"/>
          <w:szCs w:val="24"/>
        </w:rPr>
      </w:pPr>
    </w:p>
    <w:p w14:paraId="29C59DBB" w14:textId="77777777" w:rsidR="00C3036D" w:rsidRPr="00FA3F9C" w:rsidRDefault="00C3036D" w:rsidP="0078218F">
      <w:pPr>
        <w:pStyle w:val="Heading2"/>
      </w:pPr>
      <w:bookmarkStart w:id="306" w:name="_Toc106369929"/>
      <w:proofErr w:type="spellStart"/>
      <w:r w:rsidRPr="00FA3F9C">
        <w:t>Selumetinib</w:t>
      </w:r>
      <w:proofErr w:type="spellEnd"/>
      <w:r w:rsidRPr="00FA3F9C">
        <w:t xml:space="preserve"> (</w:t>
      </w:r>
      <w:proofErr w:type="spellStart"/>
      <w:r w:rsidRPr="00FA3F9C">
        <w:t>Koselugo</w:t>
      </w:r>
      <w:proofErr w:type="spellEnd"/>
      <w:r w:rsidRPr="00FA3F9C">
        <w:t>)</w:t>
      </w:r>
      <w:bookmarkEnd w:id="306"/>
    </w:p>
    <w:p w14:paraId="1D40E6D4" w14:textId="77777777" w:rsidR="00C3036D" w:rsidRPr="00FA3F9C" w:rsidRDefault="00C3036D" w:rsidP="006F623F">
      <w:pPr>
        <w:spacing w:after="0"/>
        <w:jc w:val="center"/>
        <w:rPr>
          <w:rFonts w:ascii="Arial" w:hAnsi="Arial" w:cs="Arial"/>
          <w:sz w:val="24"/>
          <w:szCs w:val="24"/>
        </w:rPr>
      </w:pPr>
      <w:r w:rsidRPr="00FA3F9C">
        <w:rPr>
          <w:rFonts w:ascii="Arial" w:hAnsi="Arial" w:cs="Arial"/>
          <w:sz w:val="24"/>
          <w:szCs w:val="24"/>
        </w:rPr>
        <w:t>10 mg, 25 mg capsules</w:t>
      </w:r>
    </w:p>
    <w:p w14:paraId="5DE408F6" w14:textId="77777777" w:rsidR="00C3036D" w:rsidRPr="00FA3F9C" w:rsidRDefault="00C3036D" w:rsidP="006F623F">
      <w:pPr>
        <w:spacing w:after="0"/>
        <w:jc w:val="center"/>
        <w:rPr>
          <w:rFonts w:ascii="Arial" w:hAnsi="Arial" w:cs="Arial"/>
          <w:sz w:val="24"/>
          <w:szCs w:val="24"/>
        </w:rPr>
      </w:pPr>
      <w:r w:rsidRPr="00FA3F9C">
        <w:rPr>
          <w:rFonts w:ascii="Arial" w:hAnsi="Arial" w:cs="Arial"/>
          <w:sz w:val="24"/>
          <w:szCs w:val="24"/>
        </w:rPr>
        <w:t>EBRx PA Criteria</w:t>
      </w:r>
    </w:p>
    <w:p w14:paraId="1038BD2E" w14:textId="77777777" w:rsidR="00C3036D" w:rsidRPr="00FA3F9C" w:rsidRDefault="00C3036D" w:rsidP="006F623F">
      <w:pPr>
        <w:spacing w:after="0"/>
        <w:rPr>
          <w:rFonts w:ascii="Arial" w:hAnsi="Arial" w:cs="Arial"/>
          <w:b/>
          <w:sz w:val="24"/>
          <w:szCs w:val="24"/>
          <w:u w:val="single"/>
        </w:rPr>
      </w:pPr>
    </w:p>
    <w:p w14:paraId="6BBE5231" w14:textId="77777777" w:rsidR="00C3036D" w:rsidRPr="00FA3F9C" w:rsidRDefault="00C3036D"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w:t>
      </w:r>
    </w:p>
    <w:p w14:paraId="7F6422C0" w14:textId="77777777" w:rsidR="00C3036D" w:rsidRPr="00FA3F9C" w:rsidRDefault="00C3036D" w:rsidP="006F623F">
      <w:pPr>
        <w:spacing w:after="0"/>
        <w:rPr>
          <w:rFonts w:ascii="Arial" w:hAnsi="Arial" w:cs="Arial"/>
          <w:sz w:val="24"/>
          <w:szCs w:val="24"/>
        </w:rPr>
      </w:pPr>
      <w:r w:rsidRPr="00FA3F9C">
        <w:rPr>
          <w:rFonts w:ascii="Arial" w:hAnsi="Arial" w:cs="Arial"/>
          <w:sz w:val="24"/>
          <w:szCs w:val="24"/>
        </w:rPr>
        <w:t>Treatment of pediatric patients 2 years of age and older with neurofibromatosis type 1 (NF1) who have symptomatic, inoperable plexiform neurofibromas (PN).</w:t>
      </w:r>
    </w:p>
    <w:tbl>
      <w:tblPr>
        <w:tblStyle w:val="TableGrid"/>
        <w:tblW w:w="0" w:type="auto"/>
        <w:tblLook w:val="04A0" w:firstRow="1" w:lastRow="0" w:firstColumn="1" w:lastColumn="0" w:noHBand="0" w:noVBand="1"/>
      </w:tblPr>
      <w:tblGrid>
        <w:gridCol w:w="8928"/>
        <w:gridCol w:w="2088"/>
      </w:tblGrid>
      <w:tr w:rsidR="00C3036D" w:rsidRPr="00FA3F9C" w14:paraId="2FCA1969" w14:textId="77777777" w:rsidTr="00571CAB">
        <w:tc>
          <w:tcPr>
            <w:tcW w:w="8928" w:type="dxa"/>
            <w:shd w:val="clear" w:color="auto" w:fill="000000"/>
          </w:tcPr>
          <w:p w14:paraId="3F9610D1" w14:textId="77777777" w:rsidR="00C3036D" w:rsidRPr="00FA3F9C" w:rsidRDefault="00C3036D"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88" w:type="dxa"/>
            <w:shd w:val="clear" w:color="auto" w:fill="000000"/>
          </w:tcPr>
          <w:p w14:paraId="7B0FFF82" w14:textId="77777777" w:rsidR="00C3036D" w:rsidRPr="00FA3F9C" w:rsidRDefault="00C3036D" w:rsidP="006F623F">
            <w:pPr>
              <w:jc w:val="center"/>
              <w:rPr>
                <w:rFonts w:ascii="Arial" w:hAnsi="Arial" w:cs="Arial"/>
                <w:b/>
                <w:sz w:val="24"/>
                <w:szCs w:val="24"/>
                <w:u w:val="single"/>
              </w:rPr>
            </w:pPr>
          </w:p>
        </w:tc>
      </w:tr>
      <w:tr w:rsidR="00C3036D" w:rsidRPr="00FA3F9C" w14:paraId="11A1F092" w14:textId="77777777" w:rsidTr="00F337AE">
        <w:tc>
          <w:tcPr>
            <w:tcW w:w="11016" w:type="dxa"/>
            <w:gridSpan w:val="2"/>
          </w:tcPr>
          <w:p w14:paraId="773D9C4B" w14:textId="77777777" w:rsidR="00C3036D" w:rsidRPr="00FA3F9C" w:rsidRDefault="00C3036D" w:rsidP="006F623F">
            <w:pPr>
              <w:rPr>
                <w:rFonts w:ascii="Arial" w:hAnsi="Arial" w:cs="Arial"/>
                <w:sz w:val="24"/>
                <w:szCs w:val="24"/>
              </w:rPr>
            </w:pPr>
            <w:r w:rsidRPr="00FA3F9C">
              <w:rPr>
                <w:rFonts w:ascii="Arial" w:hAnsi="Arial" w:cs="Arial"/>
                <w:sz w:val="24"/>
                <w:szCs w:val="24"/>
              </w:rPr>
              <w:t>1. Age is 2 years or older</w:t>
            </w:r>
          </w:p>
        </w:tc>
      </w:tr>
      <w:tr w:rsidR="00C3036D" w:rsidRPr="00FA3F9C" w14:paraId="0F42CA86" w14:textId="77777777" w:rsidTr="00B1617E">
        <w:tc>
          <w:tcPr>
            <w:tcW w:w="11016" w:type="dxa"/>
            <w:gridSpan w:val="2"/>
          </w:tcPr>
          <w:p w14:paraId="0C96C651" w14:textId="77777777" w:rsidR="00C3036D" w:rsidRPr="00FA3F9C" w:rsidRDefault="00C3036D" w:rsidP="006F623F">
            <w:pPr>
              <w:rPr>
                <w:rFonts w:ascii="Arial" w:hAnsi="Arial" w:cs="Arial"/>
                <w:sz w:val="24"/>
                <w:szCs w:val="24"/>
              </w:rPr>
            </w:pPr>
            <w:r w:rsidRPr="00FA3F9C">
              <w:rPr>
                <w:rFonts w:ascii="Arial" w:hAnsi="Arial" w:cs="Arial"/>
                <w:sz w:val="24"/>
                <w:szCs w:val="24"/>
              </w:rPr>
              <w:t>2. Diagnosis of neurofibromatosis type 1 (NF1)</w:t>
            </w:r>
          </w:p>
        </w:tc>
      </w:tr>
      <w:tr w:rsidR="00C3036D" w:rsidRPr="00FA3F9C" w14:paraId="5699B70B" w14:textId="77777777" w:rsidTr="0010789D">
        <w:tc>
          <w:tcPr>
            <w:tcW w:w="11016" w:type="dxa"/>
            <w:gridSpan w:val="2"/>
          </w:tcPr>
          <w:p w14:paraId="106039E5" w14:textId="77777777" w:rsidR="00C3036D" w:rsidRPr="00FA3F9C" w:rsidRDefault="00C3036D" w:rsidP="00541465">
            <w:pPr>
              <w:rPr>
                <w:rFonts w:ascii="Arial" w:hAnsi="Arial" w:cs="Arial"/>
                <w:sz w:val="24"/>
                <w:szCs w:val="24"/>
              </w:rPr>
            </w:pPr>
            <w:r w:rsidRPr="00FA3F9C">
              <w:rPr>
                <w:rFonts w:ascii="Arial" w:hAnsi="Arial" w:cs="Arial"/>
                <w:sz w:val="24"/>
                <w:szCs w:val="24"/>
              </w:rPr>
              <w:t xml:space="preserve">3. Presence of plexiform neurofibroma(s) (PN) that is/are unable to be </w:t>
            </w:r>
            <w:proofErr w:type="spellStart"/>
            <w:r w:rsidRPr="00FA3F9C">
              <w:rPr>
                <w:rFonts w:ascii="Arial" w:hAnsi="Arial" w:cs="Arial"/>
                <w:sz w:val="24"/>
                <w:szCs w:val="24"/>
              </w:rPr>
              <w:t>resected</w:t>
            </w:r>
            <w:proofErr w:type="spellEnd"/>
            <w:r w:rsidRPr="00FA3F9C">
              <w:rPr>
                <w:rFonts w:ascii="Arial" w:hAnsi="Arial" w:cs="Arial"/>
                <w:sz w:val="24"/>
                <w:szCs w:val="24"/>
              </w:rPr>
              <w:t>.</w:t>
            </w:r>
          </w:p>
        </w:tc>
      </w:tr>
      <w:tr w:rsidR="00C3036D" w:rsidRPr="00FA3F9C" w14:paraId="1C8F18F7" w14:textId="77777777" w:rsidTr="00DA57E0">
        <w:tc>
          <w:tcPr>
            <w:tcW w:w="11016" w:type="dxa"/>
            <w:gridSpan w:val="2"/>
          </w:tcPr>
          <w:p w14:paraId="62100B51" w14:textId="77777777" w:rsidR="00C3036D" w:rsidRPr="00FA3F9C" w:rsidRDefault="00C3036D" w:rsidP="00541465">
            <w:pPr>
              <w:rPr>
                <w:rFonts w:ascii="Arial" w:hAnsi="Arial" w:cs="Arial"/>
                <w:sz w:val="24"/>
                <w:szCs w:val="24"/>
              </w:rPr>
            </w:pPr>
            <w:r w:rsidRPr="00FA3F9C">
              <w:rPr>
                <w:rFonts w:ascii="Arial" w:hAnsi="Arial" w:cs="Arial"/>
                <w:sz w:val="24"/>
                <w:szCs w:val="24"/>
              </w:rPr>
              <w:t>4. Plexiform neurofibromas are symptomatic (</w:t>
            </w:r>
            <w:proofErr w:type="gramStart"/>
            <w:r w:rsidRPr="00FA3F9C">
              <w:rPr>
                <w:rFonts w:ascii="Arial" w:hAnsi="Arial" w:cs="Arial"/>
                <w:sz w:val="24"/>
                <w:szCs w:val="24"/>
              </w:rPr>
              <w:t>e.g.</w:t>
            </w:r>
            <w:proofErr w:type="gramEnd"/>
            <w:r w:rsidRPr="00FA3F9C">
              <w:rPr>
                <w:rFonts w:ascii="Arial" w:hAnsi="Arial" w:cs="Arial"/>
                <w:sz w:val="24"/>
                <w:szCs w:val="24"/>
              </w:rPr>
              <w:t xml:space="preserve"> cause pain, disfigurement, motor dysfunction, visual impairment, airway dysfunction, </w:t>
            </w:r>
            <w:proofErr w:type="spellStart"/>
            <w:r w:rsidRPr="00FA3F9C">
              <w:rPr>
                <w:rFonts w:ascii="Arial" w:hAnsi="Arial" w:cs="Arial"/>
                <w:sz w:val="24"/>
                <w:szCs w:val="24"/>
              </w:rPr>
              <w:t>etc</w:t>
            </w:r>
            <w:proofErr w:type="spellEnd"/>
            <w:r w:rsidRPr="00FA3F9C">
              <w:rPr>
                <w:rFonts w:ascii="Arial" w:hAnsi="Arial" w:cs="Arial"/>
                <w:sz w:val="24"/>
                <w:szCs w:val="24"/>
              </w:rPr>
              <w:t>).</w:t>
            </w:r>
          </w:p>
        </w:tc>
      </w:tr>
      <w:tr w:rsidR="00C3036D" w:rsidRPr="00FA3F9C" w14:paraId="586B3E63" w14:textId="77777777" w:rsidTr="00DA57E0">
        <w:tc>
          <w:tcPr>
            <w:tcW w:w="11016" w:type="dxa"/>
            <w:gridSpan w:val="2"/>
          </w:tcPr>
          <w:p w14:paraId="38BD7CD8" w14:textId="77777777" w:rsidR="00C3036D" w:rsidRPr="00FA3F9C" w:rsidRDefault="00C3036D" w:rsidP="004A3C99">
            <w:pPr>
              <w:rPr>
                <w:rFonts w:ascii="Arial" w:hAnsi="Arial" w:cs="Arial"/>
                <w:b/>
                <w:sz w:val="24"/>
                <w:szCs w:val="24"/>
              </w:rPr>
            </w:pPr>
            <w:r w:rsidRPr="00FA3F9C">
              <w:rPr>
                <w:rFonts w:ascii="Arial" w:hAnsi="Arial" w:cs="Arial"/>
                <w:b/>
                <w:sz w:val="24"/>
                <w:szCs w:val="24"/>
              </w:rPr>
              <w:t>If all criteria met, approve for 1 year.</w:t>
            </w:r>
          </w:p>
        </w:tc>
      </w:tr>
    </w:tbl>
    <w:p w14:paraId="25454697" w14:textId="77777777" w:rsidR="00C3036D" w:rsidRPr="00FA3F9C" w:rsidRDefault="00C3036D" w:rsidP="006F623F">
      <w:pPr>
        <w:spacing w:after="0"/>
        <w:rPr>
          <w:rFonts w:ascii="Arial" w:hAnsi="Arial" w:cs="Arial"/>
          <w:b/>
          <w:sz w:val="24"/>
          <w:szCs w:val="24"/>
          <w:u w:val="single"/>
        </w:rPr>
      </w:pPr>
    </w:p>
    <w:p w14:paraId="6DB1D489" w14:textId="77777777" w:rsidR="00C3036D" w:rsidRPr="00FA3F9C" w:rsidRDefault="00C3036D" w:rsidP="006F623F">
      <w:pPr>
        <w:spacing w:after="0"/>
        <w:rPr>
          <w:rFonts w:ascii="Arial" w:hAnsi="Arial" w:cs="Arial"/>
          <w:b/>
          <w:sz w:val="24"/>
          <w:szCs w:val="24"/>
          <w:u w:val="single"/>
        </w:rPr>
      </w:pPr>
    </w:p>
    <w:tbl>
      <w:tblPr>
        <w:tblStyle w:val="TableGrid"/>
        <w:tblW w:w="0" w:type="auto"/>
        <w:shd w:val="clear" w:color="auto" w:fill="BFBFBF" w:themeFill="background1" w:themeFillShade="BF"/>
        <w:tblLook w:val="04A0" w:firstRow="1" w:lastRow="0" w:firstColumn="1" w:lastColumn="0" w:noHBand="0" w:noVBand="1"/>
      </w:tblPr>
      <w:tblGrid>
        <w:gridCol w:w="10998"/>
      </w:tblGrid>
      <w:tr w:rsidR="00C3036D" w:rsidRPr="00FA3F9C" w14:paraId="23FA7068" w14:textId="77777777" w:rsidTr="00D82B6E">
        <w:tc>
          <w:tcPr>
            <w:tcW w:w="10998" w:type="dxa"/>
            <w:shd w:val="clear" w:color="auto" w:fill="BFBFBF" w:themeFill="background1" w:themeFillShade="BF"/>
          </w:tcPr>
          <w:p w14:paraId="5A338920" w14:textId="77777777" w:rsidR="00C3036D" w:rsidRPr="00FA3F9C" w:rsidRDefault="00C3036D" w:rsidP="00D82B6E">
            <w:pPr>
              <w:rPr>
                <w:rFonts w:ascii="Arial" w:hAnsi="Arial" w:cs="Arial"/>
                <w:sz w:val="24"/>
                <w:szCs w:val="24"/>
              </w:rPr>
            </w:pPr>
            <w:r w:rsidRPr="00FA3F9C">
              <w:rPr>
                <w:rFonts w:ascii="Arial" w:hAnsi="Arial" w:cs="Arial"/>
                <w:sz w:val="24"/>
                <w:szCs w:val="24"/>
              </w:rPr>
              <w:t xml:space="preserve">Note: </w:t>
            </w:r>
          </w:p>
          <w:p w14:paraId="0620661F" w14:textId="77777777" w:rsidR="00C3036D" w:rsidRPr="00FA3F9C" w:rsidRDefault="00C3036D" w:rsidP="00541465">
            <w:pPr>
              <w:rPr>
                <w:rFonts w:ascii="Arial" w:hAnsi="Arial" w:cs="Arial"/>
                <w:sz w:val="24"/>
                <w:szCs w:val="24"/>
              </w:rPr>
            </w:pPr>
            <w:r w:rsidRPr="00FA3F9C">
              <w:rPr>
                <w:rFonts w:ascii="Arial" w:hAnsi="Arial" w:cs="Arial"/>
                <w:sz w:val="24"/>
                <w:szCs w:val="24"/>
              </w:rPr>
              <w:t xml:space="preserve">In a single arm, phase II trial (n=50), </w:t>
            </w:r>
            <w:proofErr w:type="spellStart"/>
            <w:r w:rsidRPr="00FA3F9C">
              <w:rPr>
                <w:rFonts w:ascii="Arial" w:hAnsi="Arial" w:cs="Arial"/>
                <w:sz w:val="24"/>
                <w:szCs w:val="24"/>
              </w:rPr>
              <w:t>selumetinib</w:t>
            </w:r>
            <w:proofErr w:type="spellEnd"/>
            <w:r w:rsidRPr="00FA3F9C">
              <w:rPr>
                <w:rFonts w:ascii="Arial" w:hAnsi="Arial" w:cs="Arial"/>
                <w:sz w:val="24"/>
                <w:szCs w:val="24"/>
              </w:rPr>
              <w:t xml:space="preserve"> induced tumor shrinkage in 70% of patients. Clinically meaningful improvements in pain, functional, and overall health-related quality of life were also reported. </w:t>
            </w:r>
          </w:p>
        </w:tc>
      </w:tr>
    </w:tbl>
    <w:p w14:paraId="59B701A6" w14:textId="77777777" w:rsidR="00C3036D" w:rsidRPr="00FA3F9C" w:rsidRDefault="00C3036D" w:rsidP="006F623F">
      <w:pPr>
        <w:spacing w:after="0"/>
        <w:rPr>
          <w:rFonts w:ascii="Arial" w:hAnsi="Arial" w:cs="Arial"/>
          <w:sz w:val="24"/>
          <w:szCs w:val="24"/>
        </w:rPr>
      </w:pPr>
    </w:p>
    <w:p w14:paraId="5CC71C2A" w14:textId="77777777" w:rsidR="00C3036D" w:rsidRPr="00FA3F9C" w:rsidRDefault="00C3036D" w:rsidP="006F623F">
      <w:pPr>
        <w:spacing w:after="0"/>
        <w:rPr>
          <w:rFonts w:ascii="Arial" w:hAnsi="Arial" w:cs="Arial"/>
          <w:sz w:val="24"/>
          <w:szCs w:val="24"/>
        </w:rPr>
      </w:pPr>
      <w:r w:rsidRPr="00FA3F9C">
        <w:rPr>
          <w:rFonts w:ascii="Arial" w:hAnsi="Arial" w:cs="Arial"/>
          <w:sz w:val="24"/>
          <w:szCs w:val="24"/>
        </w:rPr>
        <w:t xml:space="preserve">Quantity Limits: </w:t>
      </w:r>
      <w:proofErr w:type="gramStart"/>
      <w:r w:rsidRPr="00FA3F9C">
        <w:rPr>
          <w:rFonts w:ascii="Arial" w:hAnsi="Arial" w:cs="Arial"/>
          <w:sz w:val="24"/>
          <w:szCs w:val="24"/>
        </w:rPr>
        <w:t>31 day</w:t>
      </w:r>
      <w:proofErr w:type="gramEnd"/>
      <w:r w:rsidRPr="00FA3F9C">
        <w:rPr>
          <w:rFonts w:ascii="Arial" w:hAnsi="Arial" w:cs="Arial"/>
          <w:sz w:val="24"/>
          <w:szCs w:val="24"/>
        </w:rPr>
        <w:t xml:space="preserve"> supply</w:t>
      </w:r>
    </w:p>
    <w:p w14:paraId="5D904F72" w14:textId="77777777" w:rsidR="00C3036D" w:rsidRPr="00FA3F9C" w:rsidRDefault="00C3036D" w:rsidP="006F623F">
      <w:pPr>
        <w:spacing w:after="0"/>
        <w:rPr>
          <w:rFonts w:ascii="Arial" w:hAnsi="Arial" w:cs="Arial"/>
          <w:sz w:val="24"/>
          <w:szCs w:val="24"/>
        </w:rPr>
      </w:pPr>
    </w:p>
    <w:p w14:paraId="0444C09A" w14:textId="77777777" w:rsidR="00C3036D" w:rsidRPr="00FA3F9C" w:rsidRDefault="00C3036D"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284"/>
        <w:gridCol w:w="7470"/>
        <w:gridCol w:w="2538"/>
      </w:tblGrid>
      <w:tr w:rsidR="00C3036D" w:rsidRPr="00FA3F9C" w14:paraId="36B9A535" w14:textId="77777777" w:rsidTr="00FE491B">
        <w:tc>
          <w:tcPr>
            <w:tcW w:w="1008" w:type="dxa"/>
          </w:tcPr>
          <w:p w14:paraId="5C9D94E8" w14:textId="77777777" w:rsidR="00C3036D" w:rsidRPr="00FA3F9C" w:rsidRDefault="00C3036D" w:rsidP="006F623F">
            <w:pPr>
              <w:rPr>
                <w:rFonts w:ascii="Arial" w:hAnsi="Arial" w:cs="Arial"/>
                <w:sz w:val="24"/>
                <w:szCs w:val="24"/>
              </w:rPr>
            </w:pPr>
            <w:r w:rsidRPr="00FA3F9C">
              <w:rPr>
                <w:rFonts w:ascii="Arial" w:hAnsi="Arial" w:cs="Arial"/>
                <w:sz w:val="24"/>
                <w:szCs w:val="24"/>
              </w:rPr>
              <w:t>Date</w:t>
            </w:r>
          </w:p>
        </w:tc>
        <w:tc>
          <w:tcPr>
            <w:tcW w:w="7470" w:type="dxa"/>
          </w:tcPr>
          <w:p w14:paraId="246674A1" w14:textId="77777777" w:rsidR="00C3036D" w:rsidRPr="00FA3F9C" w:rsidRDefault="00C3036D" w:rsidP="006F623F">
            <w:pPr>
              <w:rPr>
                <w:rFonts w:ascii="Arial" w:hAnsi="Arial" w:cs="Arial"/>
                <w:sz w:val="24"/>
                <w:szCs w:val="24"/>
              </w:rPr>
            </w:pPr>
            <w:r w:rsidRPr="00FA3F9C">
              <w:rPr>
                <w:rFonts w:ascii="Arial" w:hAnsi="Arial" w:cs="Arial"/>
                <w:sz w:val="24"/>
                <w:szCs w:val="24"/>
              </w:rPr>
              <w:t>What changed</w:t>
            </w:r>
          </w:p>
        </w:tc>
        <w:tc>
          <w:tcPr>
            <w:tcW w:w="2538" w:type="dxa"/>
          </w:tcPr>
          <w:p w14:paraId="099510FE" w14:textId="77777777" w:rsidR="00C3036D" w:rsidRPr="00FA3F9C" w:rsidRDefault="00C3036D" w:rsidP="006F623F">
            <w:pPr>
              <w:rPr>
                <w:rFonts w:ascii="Arial" w:hAnsi="Arial" w:cs="Arial"/>
                <w:sz w:val="24"/>
                <w:szCs w:val="24"/>
              </w:rPr>
            </w:pPr>
            <w:r w:rsidRPr="00FA3F9C">
              <w:rPr>
                <w:rFonts w:ascii="Arial" w:hAnsi="Arial" w:cs="Arial"/>
                <w:sz w:val="24"/>
                <w:szCs w:val="24"/>
              </w:rPr>
              <w:t>Pharmacist’s initials</w:t>
            </w:r>
          </w:p>
        </w:tc>
      </w:tr>
      <w:tr w:rsidR="00C3036D" w:rsidRPr="00FA3F9C" w14:paraId="58AC336C" w14:textId="77777777" w:rsidTr="00FE491B">
        <w:tc>
          <w:tcPr>
            <w:tcW w:w="1008" w:type="dxa"/>
          </w:tcPr>
          <w:p w14:paraId="0B03C04B" w14:textId="77777777" w:rsidR="00C3036D" w:rsidRPr="00FA3F9C" w:rsidRDefault="00C3036D" w:rsidP="006F623F">
            <w:pPr>
              <w:rPr>
                <w:rFonts w:ascii="Arial" w:hAnsi="Arial" w:cs="Arial"/>
                <w:sz w:val="24"/>
                <w:szCs w:val="24"/>
              </w:rPr>
            </w:pPr>
            <w:r w:rsidRPr="00FA3F9C">
              <w:rPr>
                <w:rFonts w:ascii="Arial" w:hAnsi="Arial" w:cs="Arial"/>
                <w:sz w:val="24"/>
                <w:szCs w:val="24"/>
              </w:rPr>
              <w:t>5/27/2020</w:t>
            </w:r>
          </w:p>
        </w:tc>
        <w:tc>
          <w:tcPr>
            <w:tcW w:w="7470" w:type="dxa"/>
          </w:tcPr>
          <w:p w14:paraId="29F4AF26" w14:textId="77777777" w:rsidR="00C3036D" w:rsidRPr="00FA3F9C" w:rsidRDefault="00C3036D" w:rsidP="006F623F">
            <w:pPr>
              <w:rPr>
                <w:rFonts w:ascii="Arial" w:hAnsi="Arial" w:cs="Arial"/>
                <w:sz w:val="24"/>
                <w:szCs w:val="24"/>
              </w:rPr>
            </w:pPr>
            <w:r w:rsidRPr="00FA3F9C">
              <w:rPr>
                <w:rFonts w:ascii="Arial" w:hAnsi="Arial" w:cs="Arial"/>
                <w:sz w:val="24"/>
                <w:szCs w:val="24"/>
              </w:rPr>
              <w:t>Reviewed at EBRx P&amp;T. Criteria written</w:t>
            </w:r>
          </w:p>
        </w:tc>
        <w:tc>
          <w:tcPr>
            <w:tcW w:w="2538" w:type="dxa"/>
          </w:tcPr>
          <w:p w14:paraId="2AF01D99" w14:textId="77777777" w:rsidR="00C3036D" w:rsidRPr="00FA3F9C" w:rsidRDefault="00C3036D" w:rsidP="006F623F">
            <w:pPr>
              <w:rPr>
                <w:rFonts w:ascii="Arial" w:hAnsi="Arial" w:cs="Arial"/>
                <w:sz w:val="24"/>
                <w:szCs w:val="24"/>
              </w:rPr>
            </w:pPr>
            <w:r w:rsidRPr="00FA3F9C">
              <w:rPr>
                <w:rFonts w:ascii="Arial" w:hAnsi="Arial" w:cs="Arial"/>
                <w:sz w:val="24"/>
                <w:szCs w:val="24"/>
              </w:rPr>
              <w:t>SK</w:t>
            </w:r>
          </w:p>
        </w:tc>
      </w:tr>
      <w:tr w:rsidR="00C3036D" w:rsidRPr="00FA3F9C" w14:paraId="37B7D712" w14:textId="77777777" w:rsidTr="00FE491B">
        <w:tc>
          <w:tcPr>
            <w:tcW w:w="1008" w:type="dxa"/>
          </w:tcPr>
          <w:p w14:paraId="613DA2F4" w14:textId="77777777" w:rsidR="00C3036D" w:rsidRPr="00FA3F9C" w:rsidRDefault="00C3036D" w:rsidP="006F623F">
            <w:pPr>
              <w:rPr>
                <w:rFonts w:ascii="Arial" w:hAnsi="Arial" w:cs="Arial"/>
                <w:sz w:val="24"/>
                <w:szCs w:val="24"/>
              </w:rPr>
            </w:pPr>
            <w:r w:rsidRPr="00FA3F9C">
              <w:rPr>
                <w:rFonts w:ascii="Arial" w:hAnsi="Arial" w:cs="Arial"/>
                <w:sz w:val="24"/>
                <w:szCs w:val="24"/>
              </w:rPr>
              <w:t>7/26/2021</w:t>
            </w:r>
          </w:p>
        </w:tc>
        <w:tc>
          <w:tcPr>
            <w:tcW w:w="7470" w:type="dxa"/>
          </w:tcPr>
          <w:p w14:paraId="14A159FD" w14:textId="77777777" w:rsidR="00C3036D" w:rsidRPr="00FA3F9C" w:rsidRDefault="00C3036D" w:rsidP="006F623F">
            <w:pPr>
              <w:rPr>
                <w:rFonts w:ascii="Arial" w:hAnsi="Arial" w:cs="Arial"/>
                <w:sz w:val="24"/>
                <w:szCs w:val="24"/>
              </w:rPr>
            </w:pPr>
            <w:r w:rsidRPr="00FA3F9C">
              <w:rPr>
                <w:rFonts w:ascii="Arial" w:hAnsi="Arial" w:cs="Arial"/>
                <w:sz w:val="24"/>
                <w:szCs w:val="24"/>
              </w:rPr>
              <w:t>Criteria reviewed. No change</w:t>
            </w:r>
          </w:p>
        </w:tc>
        <w:tc>
          <w:tcPr>
            <w:tcW w:w="2538" w:type="dxa"/>
          </w:tcPr>
          <w:p w14:paraId="0D05EF3E" w14:textId="77777777" w:rsidR="00C3036D" w:rsidRPr="00FA3F9C" w:rsidRDefault="00C3036D" w:rsidP="006F623F">
            <w:pPr>
              <w:rPr>
                <w:rFonts w:ascii="Arial" w:hAnsi="Arial" w:cs="Arial"/>
                <w:sz w:val="24"/>
                <w:szCs w:val="24"/>
              </w:rPr>
            </w:pPr>
            <w:r w:rsidRPr="00FA3F9C">
              <w:rPr>
                <w:rFonts w:ascii="Arial" w:hAnsi="Arial" w:cs="Arial"/>
                <w:sz w:val="24"/>
                <w:szCs w:val="24"/>
              </w:rPr>
              <w:t>SK</w:t>
            </w:r>
          </w:p>
        </w:tc>
      </w:tr>
    </w:tbl>
    <w:p w14:paraId="22C29433" w14:textId="77777777" w:rsidR="00C3036D" w:rsidRPr="00FA3F9C" w:rsidRDefault="00C3036D" w:rsidP="006F623F">
      <w:pPr>
        <w:spacing w:after="0"/>
        <w:rPr>
          <w:rFonts w:ascii="Arial" w:hAnsi="Arial" w:cs="Arial"/>
          <w:sz w:val="24"/>
          <w:szCs w:val="24"/>
        </w:rPr>
      </w:pPr>
    </w:p>
    <w:p w14:paraId="31737711" w14:textId="77777777" w:rsidR="00C3036D" w:rsidRPr="00FA3F9C" w:rsidRDefault="00C3036D" w:rsidP="0078218F">
      <w:pPr>
        <w:pStyle w:val="Heading2"/>
      </w:pPr>
      <w:bookmarkStart w:id="307" w:name="_Toc106369930"/>
      <w:proofErr w:type="spellStart"/>
      <w:r w:rsidRPr="00FA3F9C">
        <w:t>Semaglutide</w:t>
      </w:r>
      <w:proofErr w:type="spellEnd"/>
      <w:r w:rsidRPr="00FA3F9C">
        <w:t xml:space="preserve"> (Ozempic)</w:t>
      </w:r>
      <w:bookmarkEnd w:id="307"/>
    </w:p>
    <w:p w14:paraId="35AB8DAF" w14:textId="77777777" w:rsidR="00C3036D" w:rsidRPr="00FA3F9C" w:rsidRDefault="00C3036D" w:rsidP="006F623F">
      <w:pPr>
        <w:spacing w:after="0"/>
        <w:jc w:val="center"/>
        <w:rPr>
          <w:rFonts w:ascii="Arial" w:hAnsi="Arial" w:cs="Arial"/>
          <w:sz w:val="24"/>
          <w:szCs w:val="24"/>
        </w:rPr>
      </w:pPr>
      <w:r w:rsidRPr="00FA3F9C">
        <w:rPr>
          <w:rFonts w:ascii="Arial" w:hAnsi="Arial" w:cs="Arial"/>
          <w:sz w:val="24"/>
          <w:szCs w:val="24"/>
        </w:rPr>
        <w:t>EBRx PA Criteria</w:t>
      </w:r>
    </w:p>
    <w:p w14:paraId="1167497F" w14:textId="77777777" w:rsidR="00C3036D" w:rsidRPr="00FA3F9C" w:rsidRDefault="00C3036D" w:rsidP="006F623F">
      <w:pPr>
        <w:spacing w:after="0"/>
        <w:rPr>
          <w:rFonts w:ascii="Arial" w:hAnsi="Arial" w:cs="Arial"/>
          <w:b/>
          <w:sz w:val="24"/>
          <w:szCs w:val="24"/>
          <w:u w:val="single"/>
        </w:rPr>
      </w:pPr>
    </w:p>
    <w:p w14:paraId="427B3539" w14:textId="77777777" w:rsidR="00C3036D" w:rsidRPr="00FA3F9C" w:rsidRDefault="00C3036D"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w:t>
      </w:r>
    </w:p>
    <w:p w14:paraId="0BB5AC5E" w14:textId="77777777" w:rsidR="00C3036D" w:rsidRPr="00FA3F9C" w:rsidRDefault="00C3036D" w:rsidP="00C3036D">
      <w:pPr>
        <w:pStyle w:val="ListParagraph"/>
        <w:numPr>
          <w:ilvl w:val="0"/>
          <w:numId w:val="140"/>
        </w:numPr>
        <w:spacing w:after="0" w:line="276" w:lineRule="auto"/>
        <w:rPr>
          <w:rFonts w:ascii="Arial" w:hAnsi="Arial" w:cs="Arial"/>
          <w:sz w:val="24"/>
          <w:szCs w:val="24"/>
        </w:rPr>
      </w:pPr>
      <w:r w:rsidRPr="00FA3F9C">
        <w:rPr>
          <w:rFonts w:ascii="Arial" w:hAnsi="Arial" w:cs="Arial"/>
          <w:sz w:val="24"/>
          <w:szCs w:val="24"/>
        </w:rPr>
        <w:t xml:space="preserve">treatment of type 2 diabetes mellitus as an adjunct to diet and exercise to improve glycemic control in adults; and for risk reduction of major cardiovascular events in adults with T2DM and established CV disease (Ozempic only; not </w:t>
      </w:r>
      <w:proofErr w:type="spellStart"/>
      <w:r w:rsidRPr="00FA3F9C">
        <w:rPr>
          <w:rFonts w:ascii="Arial" w:hAnsi="Arial" w:cs="Arial"/>
          <w:sz w:val="24"/>
          <w:szCs w:val="24"/>
        </w:rPr>
        <w:t>Rybelsus</w:t>
      </w:r>
      <w:proofErr w:type="spellEnd"/>
      <w:r w:rsidRPr="00FA3F9C">
        <w:rPr>
          <w:rFonts w:ascii="Arial" w:hAnsi="Arial" w:cs="Arial"/>
          <w:sz w:val="24"/>
          <w:szCs w:val="24"/>
        </w:rPr>
        <w:t>).</w:t>
      </w:r>
    </w:p>
    <w:p w14:paraId="53A251C3" w14:textId="77777777" w:rsidR="00C3036D" w:rsidRPr="00FA3F9C" w:rsidRDefault="00C3036D" w:rsidP="00C3036D">
      <w:pPr>
        <w:pStyle w:val="ListParagraph"/>
        <w:numPr>
          <w:ilvl w:val="0"/>
          <w:numId w:val="140"/>
        </w:numPr>
        <w:spacing w:after="0" w:line="276" w:lineRule="auto"/>
        <w:rPr>
          <w:rFonts w:ascii="Arial" w:hAnsi="Arial" w:cs="Arial"/>
          <w:sz w:val="24"/>
          <w:szCs w:val="24"/>
        </w:rPr>
      </w:pPr>
      <w:r w:rsidRPr="00FA3F9C">
        <w:rPr>
          <w:rFonts w:ascii="Arial" w:hAnsi="Arial" w:cs="Arial"/>
          <w:sz w:val="24"/>
          <w:szCs w:val="24"/>
        </w:rPr>
        <w:t>Chronic weight management (</w:t>
      </w:r>
      <w:proofErr w:type="spellStart"/>
      <w:r w:rsidRPr="00FA3F9C">
        <w:rPr>
          <w:rFonts w:ascii="Arial" w:hAnsi="Arial" w:cs="Arial"/>
          <w:sz w:val="24"/>
          <w:szCs w:val="24"/>
        </w:rPr>
        <w:t>Wegovy</w:t>
      </w:r>
      <w:proofErr w:type="spellEnd"/>
      <w:r w:rsidRPr="00FA3F9C">
        <w:rPr>
          <w:rFonts w:ascii="Arial" w:hAnsi="Arial" w:cs="Arial"/>
          <w:sz w:val="24"/>
          <w:szCs w:val="24"/>
        </w:rPr>
        <w:t>)—NOT A COVERED USE</w:t>
      </w:r>
    </w:p>
    <w:tbl>
      <w:tblPr>
        <w:tblStyle w:val="TableGrid"/>
        <w:tblW w:w="0" w:type="auto"/>
        <w:tblLook w:val="04A0" w:firstRow="1" w:lastRow="0" w:firstColumn="1" w:lastColumn="0" w:noHBand="0" w:noVBand="1"/>
      </w:tblPr>
      <w:tblGrid>
        <w:gridCol w:w="8745"/>
        <w:gridCol w:w="2045"/>
      </w:tblGrid>
      <w:tr w:rsidR="00C3036D" w:rsidRPr="00FA3F9C" w14:paraId="37E85893" w14:textId="77777777" w:rsidTr="005E6F49">
        <w:tc>
          <w:tcPr>
            <w:tcW w:w="8745" w:type="dxa"/>
            <w:shd w:val="clear" w:color="auto" w:fill="000000"/>
          </w:tcPr>
          <w:p w14:paraId="152787D9" w14:textId="77777777" w:rsidR="00C3036D" w:rsidRPr="00FA3F9C" w:rsidRDefault="00C3036D"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45" w:type="dxa"/>
            <w:shd w:val="clear" w:color="auto" w:fill="000000"/>
          </w:tcPr>
          <w:p w14:paraId="289359CA" w14:textId="77777777" w:rsidR="00C3036D" w:rsidRPr="00FA3F9C" w:rsidRDefault="00C3036D" w:rsidP="006F623F">
            <w:pPr>
              <w:jc w:val="center"/>
              <w:rPr>
                <w:rFonts w:ascii="Arial" w:hAnsi="Arial" w:cs="Arial"/>
                <w:b/>
                <w:sz w:val="24"/>
                <w:szCs w:val="24"/>
                <w:u w:val="single"/>
              </w:rPr>
            </w:pPr>
          </w:p>
        </w:tc>
      </w:tr>
      <w:tr w:rsidR="00C3036D" w:rsidRPr="00FA3F9C" w14:paraId="392E40F9" w14:textId="77777777" w:rsidTr="005E6F49">
        <w:tc>
          <w:tcPr>
            <w:tcW w:w="10790" w:type="dxa"/>
            <w:gridSpan w:val="2"/>
          </w:tcPr>
          <w:p w14:paraId="679AD019" w14:textId="77777777" w:rsidR="00C3036D" w:rsidRPr="00FA3F9C" w:rsidRDefault="00C3036D" w:rsidP="006F623F">
            <w:pPr>
              <w:rPr>
                <w:rFonts w:ascii="Arial" w:hAnsi="Arial" w:cs="Arial"/>
                <w:sz w:val="24"/>
                <w:szCs w:val="24"/>
              </w:rPr>
            </w:pPr>
            <w:r w:rsidRPr="00FA3F9C">
              <w:rPr>
                <w:rFonts w:ascii="Arial" w:hAnsi="Arial" w:cs="Arial"/>
                <w:sz w:val="24"/>
                <w:szCs w:val="24"/>
              </w:rPr>
              <w:t>1. The patient must have the diagnosis of T2DM.</w:t>
            </w:r>
          </w:p>
        </w:tc>
      </w:tr>
      <w:tr w:rsidR="00C3036D" w:rsidRPr="00FA3F9C" w14:paraId="39A7B113" w14:textId="77777777" w:rsidTr="005E6F49">
        <w:tc>
          <w:tcPr>
            <w:tcW w:w="10790" w:type="dxa"/>
            <w:gridSpan w:val="2"/>
          </w:tcPr>
          <w:p w14:paraId="3E7F6DE5" w14:textId="77777777" w:rsidR="00C3036D" w:rsidRPr="00FA3F9C" w:rsidRDefault="00C3036D" w:rsidP="006F623F">
            <w:pPr>
              <w:rPr>
                <w:rFonts w:ascii="Arial" w:hAnsi="Arial" w:cs="Arial"/>
                <w:sz w:val="24"/>
                <w:szCs w:val="24"/>
              </w:rPr>
            </w:pPr>
            <w:r w:rsidRPr="00FA3F9C">
              <w:rPr>
                <w:rFonts w:ascii="Arial" w:hAnsi="Arial" w:cs="Arial"/>
                <w:sz w:val="24"/>
                <w:szCs w:val="24"/>
              </w:rPr>
              <w:t>2. The patient have a documented HbA1C in the previous 3 months of &gt;7.0%.</w:t>
            </w:r>
          </w:p>
        </w:tc>
      </w:tr>
      <w:tr w:rsidR="00C3036D" w:rsidRPr="00FA3F9C" w14:paraId="6A35B8DF" w14:textId="77777777" w:rsidTr="005E6F49">
        <w:tc>
          <w:tcPr>
            <w:tcW w:w="10790" w:type="dxa"/>
            <w:gridSpan w:val="2"/>
          </w:tcPr>
          <w:p w14:paraId="7140F94B" w14:textId="77777777" w:rsidR="00C3036D" w:rsidRPr="00FA3F9C" w:rsidRDefault="00C3036D" w:rsidP="005E6F49">
            <w:pPr>
              <w:rPr>
                <w:rFonts w:ascii="Arial" w:hAnsi="Arial" w:cs="Arial"/>
                <w:sz w:val="24"/>
                <w:szCs w:val="24"/>
              </w:rPr>
            </w:pPr>
            <w:r w:rsidRPr="00FA3F9C">
              <w:rPr>
                <w:rFonts w:ascii="Arial" w:hAnsi="Arial" w:cs="Arial"/>
                <w:sz w:val="24"/>
                <w:szCs w:val="24"/>
              </w:rPr>
              <w:t>3. Patient must be receiving metformin at 1000mg twice daily for the past 4-5 months. Pharmacist should look back to be sure this occurred.</w:t>
            </w:r>
          </w:p>
          <w:p w14:paraId="64A8B8D1" w14:textId="77777777" w:rsidR="00C3036D" w:rsidRPr="00FA3F9C" w:rsidRDefault="00C3036D" w:rsidP="005E6F49">
            <w:pPr>
              <w:rPr>
                <w:rFonts w:ascii="Arial" w:hAnsi="Arial" w:cs="Arial"/>
                <w:sz w:val="24"/>
                <w:szCs w:val="24"/>
              </w:rPr>
            </w:pPr>
            <w:r w:rsidRPr="00FA3F9C">
              <w:rPr>
                <w:rFonts w:ascii="Arial" w:hAnsi="Arial" w:cs="Arial"/>
                <w:sz w:val="24"/>
                <w:szCs w:val="24"/>
              </w:rPr>
              <w:t>OR</w:t>
            </w:r>
          </w:p>
          <w:p w14:paraId="37C70C75" w14:textId="77777777" w:rsidR="00C3036D" w:rsidRPr="00FA3F9C" w:rsidRDefault="00C3036D" w:rsidP="005E6F49">
            <w:pPr>
              <w:rPr>
                <w:rFonts w:ascii="Arial" w:hAnsi="Arial" w:cs="Arial"/>
                <w:sz w:val="24"/>
                <w:szCs w:val="24"/>
              </w:rPr>
            </w:pPr>
            <w:r w:rsidRPr="00FA3F9C">
              <w:rPr>
                <w:rFonts w:ascii="Arial" w:hAnsi="Arial" w:cs="Arial"/>
                <w:sz w:val="24"/>
                <w:szCs w:val="24"/>
              </w:rPr>
              <w:t>The patient must have a contraindication to metformin that must be documented by the pharmacist.</w:t>
            </w:r>
          </w:p>
        </w:tc>
      </w:tr>
      <w:tr w:rsidR="00C3036D" w:rsidRPr="00FA3F9C" w14:paraId="3121C5F3" w14:textId="77777777" w:rsidTr="005E6F49">
        <w:tc>
          <w:tcPr>
            <w:tcW w:w="10790" w:type="dxa"/>
            <w:gridSpan w:val="2"/>
          </w:tcPr>
          <w:p w14:paraId="2A023115" w14:textId="77777777" w:rsidR="00C3036D" w:rsidRPr="00FA3F9C" w:rsidRDefault="00C3036D" w:rsidP="005E6F49">
            <w:pPr>
              <w:rPr>
                <w:rFonts w:ascii="Arial" w:hAnsi="Arial" w:cs="Arial"/>
                <w:sz w:val="24"/>
                <w:szCs w:val="24"/>
              </w:rPr>
            </w:pPr>
            <w:r w:rsidRPr="00FA3F9C">
              <w:rPr>
                <w:rFonts w:ascii="Arial" w:hAnsi="Arial" w:cs="Arial"/>
                <w:sz w:val="24"/>
                <w:szCs w:val="24"/>
              </w:rPr>
              <w:t>4. No duplication of therapy with exenatide or other GLP-1 agonists (liraglutide, exenatide, albiglutide, dulaglutide) or concurrent SGLT2 inhibitor.</w:t>
            </w:r>
          </w:p>
        </w:tc>
      </w:tr>
    </w:tbl>
    <w:p w14:paraId="77B3D484" w14:textId="77777777" w:rsidR="00C3036D" w:rsidRPr="00FA3F9C" w:rsidRDefault="00C3036D" w:rsidP="006F623F">
      <w:pPr>
        <w:spacing w:after="0"/>
        <w:rPr>
          <w:rFonts w:ascii="Arial" w:hAnsi="Arial" w:cs="Arial"/>
          <w:b/>
          <w:sz w:val="24"/>
          <w:szCs w:val="24"/>
          <w:u w:val="single"/>
        </w:rPr>
      </w:pPr>
    </w:p>
    <w:tbl>
      <w:tblPr>
        <w:tblStyle w:val="TableGrid"/>
        <w:tblW w:w="0" w:type="auto"/>
        <w:tblLook w:val="04A0" w:firstRow="1" w:lastRow="0" w:firstColumn="1" w:lastColumn="0" w:noHBand="0" w:noVBand="1"/>
      </w:tblPr>
      <w:tblGrid>
        <w:gridCol w:w="8747"/>
        <w:gridCol w:w="2043"/>
      </w:tblGrid>
      <w:tr w:rsidR="00C3036D" w:rsidRPr="00FA3F9C" w14:paraId="208D134F" w14:textId="77777777" w:rsidTr="005E6F49">
        <w:tc>
          <w:tcPr>
            <w:tcW w:w="8747" w:type="dxa"/>
            <w:shd w:val="clear" w:color="auto" w:fill="000000"/>
          </w:tcPr>
          <w:p w14:paraId="48ECB29B" w14:textId="77777777" w:rsidR="00C3036D" w:rsidRPr="00FA3F9C" w:rsidRDefault="00C3036D" w:rsidP="00571CAB">
            <w:pPr>
              <w:rPr>
                <w:rFonts w:ascii="Arial" w:hAnsi="Arial" w:cs="Arial"/>
                <w:b/>
                <w:sz w:val="24"/>
                <w:szCs w:val="24"/>
                <w:u w:val="single"/>
              </w:rPr>
            </w:pPr>
            <w:r w:rsidRPr="00FA3F9C">
              <w:rPr>
                <w:rFonts w:ascii="Arial" w:hAnsi="Arial" w:cs="Arial"/>
                <w:b/>
                <w:sz w:val="24"/>
                <w:szCs w:val="24"/>
                <w:u w:val="single"/>
              </w:rPr>
              <w:lastRenderedPageBreak/>
              <w:t>Criteria for continuation</w:t>
            </w:r>
          </w:p>
        </w:tc>
        <w:tc>
          <w:tcPr>
            <w:tcW w:w="2043" w:type="dxa"/>
            <w:shd w:val="clear" w:color="auto" w:fill="000000"/>
          </w:tcPr>
          <w:p w14:paraId="3B8CB874" w14:textId="77777777" w:rsidR="00C3036D" w:rsidRPr="00FA3F9C" w:rsidRDefault="00C3036D" w:rsidP="00571CAB">
            <w:pPr>
              <w:jc w:val="center"/>
              <w:rPr>
                <w:rFonts w:ascii="Arial" w:hAnsi="Arial" w:cs="Arial"/>
                <w:b/>
                <w:sz w:val="24"/>
                <w:szCs w:val="24"/>
                <w:u w:val="single"/>
              </w:rPr>
            </w:pPr>
          </w:p>
        </w:tc>
      </w:tr>
      <w:tr w:rsidR="00C3036D" w:rsidRPr="00FA3F9C" w14:paraId="7B24D2EE" w14:textId="77777777" w:rsidTr="005E6F49">
        <w:tc>
          <w:tcPr>
            <w:tcW w:w="10790" w:type="dxa"/>
            <w:gridSpan w:val="2"/>
          </w:tcPr>
          <w:p w14:paraId="5F2A7705" w14:textId="77777777" w:rsidR="00C3036D" w:rsidRPr="00FA3F9C" w:rsidRDefault="00C3036D" w:rsidP="005E6F49">
            <w:pPr>
              <w:rPr>
                <w:rFonts w:ascii="Arial" w:hAnsi="Arial" w:cs="Arial"/>
                <w:sz w:val="24"/>
                <w:szCs w:val="24"/>
              </w:rPr>
            </w:pPr>
            <w:r w:rsidRPr="00FA3F9C">
              <w:rPr>
                <w:rFonts w:ascii="Arial" w:hAnsi="Arial" w:cs="Arial"/>
                <w:sz w:val="24"/>
                <w:szCs w:val="24"/>
              </w:rPr>
              <w:t xml:space="preserve">1.  The patient should have </w:t>
            </w:r>
            <w:proofErr w:type="spellStart"/>
            <w:r w:rsidRPr="00FA3F9C">
              <w:rPr>
                <w:rFonts w:ascii="Arial" w:hAnsi="Arial" w:cs="Arial"/>
                <w:sz w:val="24"/>
                <w:szCs w:val="24"/>
              </w:rPr>
              <w:t>semaglutide</w:t>
            </w:r>
            <w:proofErr w:type="spellEnd"/>
            <w:r w:rsidRPr="00FA3F9C">
              <w:rPr>
                <w:rFonts w:ascii="Arial" w:hAnsi="Arial" w:cs="Arial"/>
                <w:sz w:val="24"/>
                <w:szCs w:val="24"/>
              </w:rPr>
              <w:t xml:space="preserve"> on the profile as having filled for 10 of the 12 previous months.</w:t>
            </w:r>
          </w:p>
        </w:tc>
      </w:tr>
      <w:tr w:rsidR="00C3036D" w:rsidRPr="00FA3F9C" w14:paraId="3FC4095F" w14:textId="77777777" w:rsidTr="005E6F49">
        <w:tc>
          <w:tcPr>
            <w:tcW w:w="10790" w:type="dxa"/>
            <w:gridSpan w:val="2"/>
          </w:tcPr>
          <w:p w14:paraId="4EBCE5AD" w14:textId="77777777" w:rsidR="00C3036D" w:rsidRPr="00FA3F9C" w:rsidRDefault="00C3036D" w:rsidP="005E6F49">
            <w:pPr>
              <w:rPr>
                <w:rFonts w:ascii="Arial" w:hAnsi="Arial" w:cs="Arial"/>
                <w:sz w:val="24"/>
                <w:szCs w:val="24"/>
              </w:rPr>
            </w:pPr>
            <w:r w:rsidRPr="00FA3F9C">
              <w:rPr>
                <w:rFonts w:ascii="Arial" w:hAnsi="Arial" w:cs="Arial"/>
                <w:sz w:val="24"/>
                <w:szCs w:val="24"/>
              </w:rPr>
              <w:t>2.  The patient should have metformin on the profile as having filled for 10 of the 12 previous months.</w:t>
            </w:r>
          </w:p>
        </w:tc>
      </w:tr>
    </w:tbl>
    <w:p w14:paraId="5EA84E16" w14:textId="77777777" w:rsidR="00C3036D" w:rsidRPr="00FA3F9C" w:rsidRDefault="00C3036D" w:rsidP="006F623F">
      <w:pPr>
        <w:spacing w:after="0"/>
        <w:rPr>
          <w:rFonts w:ascii="Arial" w:hAnsi="Arial" w:cs="Arial"/>
          <w:b/>
          <w:sz w:val="24"/>
          <w:szCs w:val="24"/>
          <w:u w:val="single"/>
        </w:rPr>
      </w:pPr>
    </w:p>
    <w:tbl>
      <w:tblPr>
        <w:tblStyle w:val="TableGrid"/>
        <w:tblW w:w="0" w:type="auto"/>
        <w:shd w:val="clear" w:color="auto" w:fill="BFBFBF" w:themeFill="background1" w:themeFillShade="BF"/>
        <w:tblLook w:val="04A0" w:firstRow="1" w:lastRow="0" w:firstColumn="1" w:lastColumn="0" w:noHBand="0" w:noVBand="1"/>
      </w:tblPr>
      <w:tblGrid>
        <w:gridCol w:w="10790"/>
      </w:tblGrid>
      <w:tr w:rsidR="00C3036D" w:rsidRPr="00FA3F9C" w14:paraId="723FE077" w14:textId="77777777" w:rsidTr="005E6F49">
        <w:tc>
          <w:tcPr>
            <w:tcW w:w="10790" w:type="dxa"/>
            <w:shd w:val="clear" w:color="auto" w:fill="BFBFBF" w:themeFill="background1" w:themeFillShade="BF"/>
          </w:tcPr>
          <w:p w14:paraId="79C89441" w14:textId="77777777" w:rsidR="00C3036D" w:rsidRPr="00FA3F9C" w:rsidRDefault="00C3036D" w:rsidP="005E6F49">
            <w:pPr>
              <w:rPr>
                <w:rFonts w:ascii="Arial" w:hAnsi="Arial" w:cs="Arial"/>
                <w:sz w:val="24"/>
                <w:szCs w:val="24"/>
              </w:rPr>
            </w:pPr>
            <w:r w:rsidRPr="00FA3F9C">
              <w:rPr>
                <w:rFonts w:ascii="Arial" w:hAnsi="Arial" w:cs="Arial"/>
                <w:sz w:val="24"/>
                <w:szCs w:val="24"/>
              </w:rPr>
              <w:t xml:space="preserve">Note: </w:t>
            </w:r>
          </w:p>
          <w:p w14:paraId="1EEC81E5" w14:textId="77777777" w:rsidR="00C3036D" w:rsidRPr="00FA3F9C" w:rsidRDefault="00C3036D" w:rsidP="005E6F49">
            <w:pPr>
              <w:rPr>
                <w:rFonts w:ascii="Arial" w:hAnsi="Arial" w:cs="Arial"/>
                <w:sz w:val="24"/>
                <w:szCs w:val="24"/>
              </w:rPr>
            </w:pPr>
            <w:r w:rsidRPr="00FA3F9C">
              <w:rPr>
                <w:rFonts w:ascii="Arial" w:hAnsi="Arial" w:cs="Arial"/>
                <w:sz w:val="24"/>
                <w:szCs w:val="24"/>
              </w:rPr>
              <w:t xml:space="preserve">a.  Metformin must be titrated slowly upward.  Metformin 500mg BID is the initial dose.  </w:t>
            </w:r>
          </w:p>
        </w:tc>
      </w:tr>
    </w:tbl>
    <w:p w14:paraId="179330DD" w14:textId="77777777" w:rsidR="00C3036D" w:rsidRPr="00FA3F9C" w:rsidRDefault="00C3036D" w:rsidP="006F623F">
      <w:pPr>
        <w:spacing w:after="0"/>
        <w:rPr>
          <w:rFonts w:ascii="Arial" w:hAnsi="Arial" w:cs="Arial"/>
          <w:sz w:val="24"/>
          <w:szCs w:val="24"/>
        </w:rPr>
      </w:pPr>
    </w:p>
    <w:p w14:paraId="04C65D0A" w14:textId="77777777" w:rsidR="00C3036D" w:rsidRPr="00FA3F9C" w:rsidRDefault="00C3036D" w:rsidP="005E6F49">
      <w:pPr>
        <w:spacing w:after="0" w:line="240" w:lineRule="auto"/>
        <w:rPr>
          <w:rFonts w:ascii="Arial" w:hAnsi="Arial" w:cs="Arial"/>
          <w:sz w:val="24"/>
          <w:szCs w:val="24"/>
        </w:rPr>
      </w:pPr>
      <w:r w:rsidRPr="00FA3F9C">
        <w:rPr>
          <w:rFonts w:ascii="Arial" w:hAnsi="Arial" w:cs="Arial"/>
          <w:sz w:val="24"/>
          <w:szCs w:val="24"/>
        </w:rPr>
        <w:t>References:</w:t>
      </w:r>
    </w:p>
    <w:p w14:paraId="48EBF870" w14:textId="77777777" w:rsidR="00C3036D" w:rsidRPr="00FA3F9C" w:rsidRDefault="00C3036D" w:rsidP="00EC6C59">
      <w:pPr>
        <w:rPr>
          <w:rFonts w:ascii="Arial" w:eastAsia="Times New Roman" w:hAnsi="Arial" w:cs="Arial"/>
          <w:sz w:val="24"/>
          <w:szCs w:val="24"/>
        </w:rPr>
      </w:pPr>
      <w:r w:rsidRPr="00FA3F9C">
        <w:rPr>
          <w:rFonts w:ascii="Arial" w:hAnsi="Arial" w:cs="Arial"/>
          <w:sz w:val="24"/>
          <w:szCs w:val="24"/>
        </w:rPr>
        <w:t xml:space="preserve">1. </w:t>
      </w:r>
      <w:proofErr w:type="spellStart"/>
      <w:r w:rsidRPr="00FA3F9C">
        <w:rPr>
          <w:rFonts w:ascii="Arial" w:eastAsia="Times New Roman" w:hAnsi="Arial" w:cs="Arial"/>
          <w:color w:val="222222"/>
          <w:sz w:val="24"/>
          <w:szCs w:val="24"/>
          <w:shd w:val="clear" w:color="auto" w:fill="F8F8F8"/>
        </w:rPr>
        <w:t>Marso</w:t>
      </w:r>
      <w:proofErr w:type="spellEnd"/>
      <w:r w:rsidRPr="00FA3F9C">
        <w:rPr>
          <w:rFonts w:ascii="Arial" w:eastAsia="Times New Roman" w:hAnsi="Arial" w:cs="Arial"/>
          <w:color w:val="222222"/>
          <w:sz w:val="24"/>
          <w:szCs w:val="24"/>
          <w:shd w:val="clear" w:color="auto" w:fill="F8F8F8"/>
        </w:rPr>
        <w:t>, Steven P., et al. "</w:t>
      </w:r>
      <w:proofErr w:type="spellStart"/>
      <w:r w:rsidRPr="00FA3F9C">
        <w:rPr>
          <w:rFonts w:ascii="Arial" w:eastAsia="Times New Roman" w:hAnsi="Arial" w:cs="Arial"/>
          <w:color w:val="222222"/>
          <w:sz w:val="24"/>
          <w:szCs w:val="24"/>
          <w:shd w:val="clear" w:color="auto" w:fill="F8F8F8"/>
        </w:rPr>
        <w:t>Semaglutide</w:t>
      </w:r>
      <w:proofErr w:type="spellEnd"/>
      <w:r w:rsidRPr="00FA3F9C">
        <w:rPr>
          <w:rFonts w:ascii="Arial" w:eastAsia="Times New Roman" w:hAnsi="Arial" w:cs="Arial"/>
          <w:color w:val="222222"/>
          <w:sz w:val="24"/>
          <w:szCs w:val="24"/>
          <w:shd w:val="clear" w:color="auto" w:fill="F8F8F8"/>
        </w:rPr>
        <w:t xml:space="preserve"> and cardiovascular outcomes in patients with type 2 diabetes." </w:t>
      </w:r>
      <w:r w:rsidRPr="00FA3F9C">
        <w:rPr>
          <w:rFonts w:ascii="Arial" w:eastAsia="Times New Roman" w:hAnsi="Arial" w:cs="Arial"/>
          <w:i/>
          <w:iCs/>
          <w:color w:val="222222"/>
          <w:sz w:val="24"/>
          <w:szCs w:val="24"/>
          <w:shd w:val="clear" w:color="auto" w:fill="F8F8F8"/>
        </w:rPr>
        <w:t>New England Journal of Medicine</w:t>
      </w:r>
      <w:r w:rsidRPr="00FA3F9C">
        <w:rPr>
          <w:rFonts w:ascii="Arial" w:eastAsia="Times New Roman" w:hAnsi="Arial" w:cs="Arial"/>
          <w:color w:val="222222"/>
          <w:sz w:val="24"/>
          <w:szCs w:val="24"/>
          <w:shd w:val="clear" w:color="auto" w:fill="F8F8F8"/>
        </w:rPr>
        <w:t> 375.19 (2016): 1834-1844.</w:t>
      </w:r>
    </w:p>
    <w:p w14:paraId="1FA6B62F" w14:textId="77777777" w:rsidR="00C3036D" w:rsidRPr="00FA3F9C" w:rsidRDefault="00C3036D" w:rsidP="005E6F49">
      <w:pPr>
        <w:spacing w:after="0" w:line="240" w:lineRule="auto"/>
        <w:rPr>
          <w:rFonts w:ascii="Arial" w:hAnsi="Arial" w:cs="Arial"/>
          <w:sz w:val="24"/>
          <w:szCs w:val="24"/>
        </w:rPr>
      </w:pPr>
    </w:p>
    <w:p w14:paraId="59A7E637" w14:textId="77777777" w:rsidR="00C3036D" w:rsidRPr="00FA3F9C" w:rsidRDefault="00C3036D" w:rsidP="005E6F49">
      <w:pPr>
        <w:spacing w:after="0" w:line="240" w:lineRule="auto"/>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151"/>
        <w:gridCol w:w="8030"/>
        <w:gridCol w:w="1705"/>
      </w:tblGrid>
      <w:tr w:rsidR="00C3036D" w:rsidRPr="00FA3F9C" w14:paraId="43489F69" w14:textId="77777777" w:rsidTr="00160AE2">
        <w:tc>
          <w:tcPr>
            <w:tcW w:w="1055" w:type="dxa"/>
          </w:tcPr>
          <w:p w14:paraId="1937AE37" w14:textId="77777777" w:rsidR="00C3036D" w:rsidRPr="00FA3F9C" w:rsidRDefault="00C3036D" w:rsidP="005E6F49">
            <w:pPr>
              <w:rPr>
                <w:rFonts w:ascii="Arial" w:hAnsi="Arial" w:cs="Arial"/>
                <w:sz w:val="24"/>
                <w:szCs w:val="24"/>
              </w:rPr>
            </w:pPr>
            <w:r w:rsidRPr="00FA3F9C">
              <w:rPr>
                <w:rFonts w:ascii="Arial" w:hAnsi="Arial" w:cs="Arial"/>
                <w:sz w:val="24"/>
                <w:szCs w:val="24"/>
              </w:rPr>
              <w:t>Date</w:t>
            </w:r>
          </w:p>
        </w:tc>
        <w:tc>
          <w:tcPr>
            <w:tcW w:w="8030" w:type="dxa"/>
          </w:tcPr>
          <w:p w14:paraId="08232C7B" w14:textId="77777777" w:rsidR="00C3036D" w:rsidRPr="00FA3F9C" w:rsidRDefault="00C3036D" w:rsidP="005E6F49">
            <w:pPr>
              <w:rPr>
                <w:rFonts w:ascii="Arial" w:hAnsi="Arial" w:cs="Arial"/>
                <w:sz w:val="24"/>
                <w:szCs w:val="24"/>
              </w:rPr>
            </w:pPr>
            <w:r w:rsidRPr="00FA3F9C">
              <w:rPr>
                <w:rFonts w:ascii="Arial" w:hAnsi="Arial" w:cs="Arial"/>
                <w:sz w:val="24"/>
                <w:szCs w:val="24"/>
              </w:rPr>
              <w:t>What changed</w:t>
            </w:r>
          </w:p>
        </w:tc>
        <w:tc>
          <w:tcPr>
            <w:tcW w:w="1705" w:type="dxa"/>
          </w:tcPr>
          <w:p w14:paraId="486E1C83" w14:textId="77777777" w:rsidR="00C3036D" w:rsidRPr="00FA3F9C" w:rsidRDefault="00C3036D" w:rsidP="005E6F49">
            <w:pPr>
              <w:rPr>
                <w:rFonts w:ascii="Arial" w:hAnsi="Arial" w:cs="Arial"/>
                <w:sz w:val="24"/>
                <w:szCs w:val="24"/>
              </w:rPr>
            </w:pPr>
            <w:r w:rsidRPr="00FA3F9C">
              <w:rPr>
                <w:rFonts w:ascii="Arial" w:hAnsi="Arial" w:cs="Arial"/>
                <w:sz w:val="24"/>
                <w:szCs w:val="24"/>
              </w:rPr>
              <w:t>Pharmacist’s initials</w:t>
            </w:r>
          </w:p>
        </w:tc>
      </w:tr>
      <w:tr w:rsidR="00C3036D" w:rsidRPr="00FA3F9C" w14:paraId="79883D04" w14:textId="77777777" w:rsidTr="00160AE2">
        <w:tc>
          <w:tcPr>
            <w:tcW w:w="1055" w:type="dxa"/>
          </w:tcPr>
          <w:p w14:paraId="54186678" w14:textId="77777777" w:rsidR="00C3036D" w:rsidRPr="00FA3F9C" w:rsidRDefault="00C3036D" w:rsidP="005E6F49">
            <w:pPr>
              <w:rPr>
                <w:rFonts w:ascii="Arial" w:hAnsi="Arial" w:cs="Arial"/>
                <w:sz w:val="24"/>
                <w:szCs w:val="24"/>
              </w:rPr>
            </w:pPr>
            <w:r w:rsidRPr="00FA3F9C">
              <w:rPr>
                <w:rFonts w:ascii="Arial" w:hAnsi="Arial" w:cs="Arial"/>
                <w:sz w:val="24"/>
                <w:szCs w:val="24"/>
              </w:rPr>
              <w:t>10/28/19</w:t>
            </w:r>
          </w:p>
        </w:tc>
        <w:tc>
          <w:tcPr>
            <w:tcW w:w="8030" w:type="dxa"/>
          </w:tcPr>
          <w:p w14:paraId="471FF5F1" w14:textId="77777777" w:rsidR="00C3036D" w:rsidRPr="00FA3F9C" w:rsidRDefault="00C3036D" w:rsidP="005E6F49">
            <w:pPr>
              <w:rPr>
                <w:rFonts w:ascii="Arial" w:hAnsi="Arial" w:cs="Arial"/>
                <w:sz w:val="24"/>
                <w:szCs w:val="24"/>
              </w:rPr>
            </w:pPr>
            <w:r w:rsidRPr="00FA3F9C">
              <w:rPr>
                <w:rFonts w:ascii="Arial" w:hAnsi="Arial" w:cs="Arial"/>
                <w:sz w:val="24"/>
                <w:szCs w:val="24"/>
              </w:rPr>
              <w:t>I wrote the criteria. I put an upper limit on initial A1C because the drug does not reduce A1C by more than 1%.</w:t>
            </w:r>
          </w:p>
        </w:tc>
        <w:tc>
          <w:tcPr>
            <w:tcW w:w="1705" w:type="dxa"/>
          </w:tcPr>
          <w:p w14:paraId="302AEB0E" w14:textId="77777777" w:rsidR="00C3036D" w:rsidRPr="00FA3F9C" w:rsidRDefault="00C3036D" w:rsidP="005E6F49">
            <w:pPr>
              <w:rPr>
                <w:rFonts w:ascii="Arial" w:hAnsi="Arial" w:cs="Arial"/>
                <w:sz w:val="24"/>
                <w:szCs w:val="24"/>
              </w:rPr>
            </w:pPr>
            <w:r w:rsidRPr="00FA3F9C">
              <w:rPr>
                <w:rFonts w:ascii="Arial" w:hAnsi="Arial" w:cs="Arial"/>
                <w:sz w:val="24"/>
                <w:szCs w:val="24"/>
              </w:rPr>
              <w:t>JJ</w:t>
            </w:r>
          </w:p>
        </w:tc>
      </w:tr>
      <w:tr w:rsidR="00C3036D" w:rsidRPr="00FA3F9C" w14:paraId="52B41E12" w14:textId="77777777" w:rsidTr="00160AE2">
        <w:tc>
          <w:tcPr>
            <w:tcW w:w="1055" w:type="dxa"/>
          </w:tcPr>
          <w:p w14:paraId="7A99C6D9" w14:textId="77777777" w:rsidR="00C3036D" w:rsidRPr="00FA3F9C" w:rsidRDefault="00C3036D" w:rsidP="005E6F49">
            <w:pPr>
              <w:rPr>
                <w:rFonts w:ascii="Arial" w:hAnsi="Arial" w:cs="Arial"/>
                <w:sz w:val="24"/>
                <w:szCs w:val="24"/>
              </w:rPr>
            </w:pPr>
            <w:r w:rsidRPr="00FA3F9C">
              <w:rPr>
                <w:rFonts w:ascii="Arial" w:hAnsi="Arial" w:cs="Arial"/>
                <w:sz w:val="24"/>
                <w:szCs w:val="24"/>
              </w:rPr>
              <w:t>4/28/21</w:t>
            </w:r>
          </w:p>
        </w:tc>
        <w:tc>
          <w:tcPr>
            <w:tcW w:w="8030" w:type="dxa"/>
          </w:tcPr>
          <w:p w14:paraId="786E7188" w14:textId="77777777" w:rsidR="00C3036D" w:rsidRPr="00FA3F9C" w:rsidRDefault="00C3036D" w:rsidP="005E6F49">
            <w:pPr>
              <w:rPr>
                <w:rFonts w:ascii="Arial" w:hAnsi="Arial" w:cs="Arial"/>
                <w:sz w:val="24"/>
                <w:szCs w:val="24"/>
              </w:rPr>
            </w:pPr>
            <w:r w:rsidRPr="00FA3F9C">
              <w:rPr>
                <w:rFonts w:ascii="Arial" w:hAnsi="Arial" w:cs="Arial"/>
                <w:sz w:val="24"/>
                <w:szCs w:val="24"/>
              </w:rPr>
              <w:t xml:space="preserve">I added no concurrent SGLT2 inhibitor therapy due to uncertainty of combination therapy.  </w:t>
            </w:r>
            <w:proofErr w:type="gramStart"/>
            <w:r w:rsidRPr="00FA3F9C">
              <w:rPr>
                <w:rFonts w:ascii="Arial" w:hAnsi="Arial" w:cs="Arial"/>
                <w:sz w:val="24"/>
                <w:szCs w:val="24"/>
              </w:rPr>
              <w:t>Also</w:t>
            </w:r>
            <w:proofErr w:type="gramEnd"/>
            <w:r w:rsidRPr="00FA3F9C">
              <w:rPr>
                <w:rFonts w:ascii="Arial" w:hAnsi="Arial" w:cs="Arial"/>
                <w:sz w:val="24"/>
                <w:szCs w:val="24"/>
              </w:rPr>
              <w:t xml:space="preserve"> to be consistent with the contract, omitted secondary CV prevention requirement</w:t>
            </w:r>
          </w:p>
        </w:tc>
        <w:tc>
          <w:tcPr>
            <w:tcW w:w="1705" w:type="dxa"/>
          </w:tcPr>
          <w:p w14:paraId="4006749A" w14:textId="77777777" w:rsidR="00C3036D" w:rsidRPr="00FA3F9C" w:rsidRDefault="00C3036D" w:rsidP="005E6F49">
            <w:pPr>
              <w:rPr>
                <w:rFonts w:ascii="Arial" w:hAnsi="Arial" w:cs="Arial"/>
                <w:sz w:val="24"/>
                <w:szCs w:val="24"/>
              </w:rPr>
            </w:pPr>
            <w:r w:rsidRPr="00FA3F9C">
              <w:rPr>
                <w:rFonts w:ascii="Arial" w:hAnsi="Arial" w:cs="Arial"/>
                <w:sz w:val="24"/>
                <w:szCs w:val="24"/>
              </w:rPr>
              <w:t>JJ</w:t>
            </w:r>
          </w:p>
        </w:tc>
      </w:tr>
      <w:tr w:rsidR="00C3036D" w:rsidRPr="00FA3F9C" w14:paraId="4D28AB4F" w14:textId="77777777" w:rsidTr="00160AE2">
        <w:tc>
          <w:tcPr>
            <w:tcW w:w="1055" w:type="dxa"/>
          </w:tcPr>
          <w:p w14:paraId="62F2887B" w14:textId="77777777" w:rsidR="00C3036D" w:rsidRPr="00FA3F9C" w:rsidRDefault="00C3036D" w:rsidP="005E6F49">
            <w:pPr>
              <w:rPr>
                <w:rFonts w:ascii="Arial" w:hAnsi="Arial" w:cs="Arial"/>
                <w:sz w:val="24"/>
                <w:szCs w:val="24"/>
              </w:rPr>
            </w:pPr>
            <w:r w:rsidRPr="00FA3F9C">
              <w:rPr>
                <w:rFonts w:ascii="Arial" w:hAnsi="Arial" w:cs="Arial"/>
                <w:sz w:val="24"/>
                <w:szCs w:val="24"/>
              </w:rPr>
              <w:t>3/28/22</w:t>
            </w:r>
          </w:p>
        </w:tc>
        <w:tc>
          <w:tcPr>
            <w:tcW w:w="8030" w:type="dxa"/>
          </w:tcPr>
          <w:p w14:paraId="0D6ABEC3" w14:textId="77777777" w:rsidR="00C3036D" w:rsidRPr="00FA3F9C" w:rsidRDefault="00C3036D" w:rsidP="005E6F49">
            <w:pPr>
              <w:rPr>
                <w:rFonts w:ascii="Arial" w:hAnsi="Arial" w:cs="Arial"/>
                <w:sz w:val="24"/>
                <w:szCs w:val="24"/>
              </w:rPr>
            </w:pPr>
            <w:r w:rsidRPr="00FA3F9C">
              <w:rPr>
                <w:rFonts w:ascii="Arial" w:hAnsi="Arial" w:cs="Arial"/>
                <w:sz w:val="24"/>
                <w:szCs w:val="24"/>
              </w:rPr>
              <w:t>I updated the FDA approval, noting weight-management in not a covered use.  Also updating the CV risk reduction was shown only in patients with established CV disease.</w:t>
            </w:r>
          </w:p>
        </w:tc>
        <w:tc>
          <w:tcPr>
            <w:tcW w:w="1705" w:type="dxa"/>
          </w:tcPr>
          <w:p w14:paraId="5324FDC7" w14:textId="77777777" w:rsidR="00C3036D" w:rsidRPr="00FA3F9C" w:rsidRDefault="00C3036D" w:rsidP="005E6F49">
            <w:pPr>
              <w:rPr>
                <w:rFonts w:ascii="Arial" w:hAnsi="Arial" w:cs="Arial"/>
                <w:sz w:val="24"/>
                <w:szCs w:val="24"/>
              </w:rPr>
            </w:pPr>
            <w:r w:rsidRPr="00FA3F9C">
              <w:rPr>
                <w:rFonts w:ascii="Arial" w:hAnsi="Arial" w:cs="Arial"/>
                <w:sz w:val="24"/>
                <w:szCs w:val="24"/>
              </w:rPr>
              <w:t>JJ</w:t>
            </w:r>
          </w:p>
        </w:tc>
      </w:tr>
      <w:tr w:rsidR="00C3036D" w:rsidRPr="00FA3F9C" w14:paraId="01AFC2AF" w14:textId="77777777" w:rsidTr="00160AE2">
        <w:tc>
          <w:tcPr>
            <w:tcW w:w="1055" w:type="dxa"/>
          </w:tcPr>
          <w:p w14:paraId="2C40E4BF" w14:textId="77777777" w:rsidR="00C3036D" w:rsidRPr="00FA3F9C" w:rsidRDefault="00C3036D" w:rsidP="005E6F49">
            <w:pPr>
              <w:rPr>
                <w:rFonts w:ascii="Arial" w:hAnsi="Arial" w:cs="Arial"/>
                <w:sz w:val="24"/>
                <w:szCs w:val="24"/>
              </w:rPr>
            </w:pPr>
            <w:r w:rsidRPr="00FA3F9C">
              <w:rPr>
                <w:rFonts w:ascii="Arial" w:hAnsi="Arial" w:cs="Arial"/>
                <w:sz w:val="24"/>
                <w:szCs w:val="24"/>
              </w:rPr>
              <w:t>4/19/22</w:t>
            </w:r>
          </w:p>
        </w:tc>
        <w:tc>
          <w:tcPr>
            <w:tcW w:w="8030" w:type="dxa"/>
          </w:tcPr>
          <w:p w14:paraId="50942E34" w14:textId="77777777" w:rsidR="00C3036D" w:rsidRPr="00FA3F9C" w:rsidRDefault="00C3036D" w:rsidP="005E6F49">
            <w:pPr>
              <w:rPr>
                <w:rFonts w:ascii="Arial" w:hAnsi="Arial" w:cs="Arial"/>
                <w:sz w:val="24"/>
                <w:szCs w:val="24"/>
              </w:rPr>
            </w:pPr>
            <w:r w:rsidRPr="00FA3F9C">
              <w:rPr>
                <w:rFonts w:ascii="Arial" w:hAnsi="Arial" w:cs="Arial"/>
                <w:sz w:val="24"/>
                <w:szCs w:val="24"/>
              </w:rPr>
              <w:t>I removed the upper limit of A1C per the SUSTAIN-6 clinical trial, though their baseline characteristics showed a median or mean of 8.7% +1.5.</w:t>
            </w:r>
          </w:p>
        </w:tc>
        <w:tc>
          <w:tcPr>
            <w:tcW w:w="1705" w:type="dxa"/>
          </w:tcPr>
          <w:p w14:paraId="5FBD7148" w14:textId="77777777" w:rsidR="00C3036D" w:rsidRPr="00FA3F9C" w:rsidRDefault="00C3036D" w:rsidP="005E6F49">
            <w:pPr>
              <w:rPr>
                <w:rFonts w:ascii="Arial" w:hAnsi="Arial" w:cs="Arial"/>
                <w:sz w:val="24"/>
                <w:szCs w:val="24"/>
              </w:rPr>
            </w:pPr>
            <w:r w:rsidRPr="00FA3F9C">
              <w:rPr>
                <w:rFonts w:ascii="Arial" w:hAnsi="Arial" w:cs="Arial"/>
                <w:sz w:val="24"/>
                <w:szCs w:val="24"/>
              </w:rPr>
              <w:t>JJ</w:t>
            </w:r>
          </w:p>
        </w:tc>
      </w:tr>
    </w:tbl>
    <w:p w14:paraId="4ECC59C9" w14:textId="77777777" w:rsidR="00C3036D" w:rsidRPr="00FA3F9C" w:rsidRDefault="00C3036D" w:rsidP="005E6F49">
      <w:pPr>
        <w:spacing w:after="0" w:line="240" w:lineRule="auto"/>
        <w:rPr>
          <w:rFonts w:ascii="Arial" w:hAnsi="Arial" w:cs="Arial"/>
          <w:sz w:val="24"/>
          <w:szCs w:val="24"/>
        </w:rPr>
      </w:pPr>
    </w:p>
    <w:p w14:paraId="6C13CECD" w14:textId="77777777" w:rsidR="00C3036D" w:rsidRPr="00FA3F9C" w:rsidRDefault="00C3036D" w:rsidP="0078218F">
      <w:pPr>
        <w:pStyle w:val="Heading2"/>
      </w:pPr>
      <w:bookmarkStart w:id="308" w:name="_Toc106369931"/>
      <w:proofErr w:type="spellStart"/>
      <w:r w:rsidRPr="00FA3F9C">
        <w:t>Semaglutide</w:t>
      </w:r>
      <w:proofErr w:type="spellEnd"/>
      <w:r w:rsidRPr="00FA3F9C">
        <w:t xml:space="preserve"> (</w:t>
      </w:r>
      <w:proofErr w:type="spellStart"/>
      <w:r w:rsidRPr="00FA3F9C">
        <w:t>Rybelsus</w:t>
      </w:r>
      <w:proofErr w:type="spellEnd"/>
      <w:r w:rsidRPr="00FA3F9C">
        <w:t>)</w:t>
      </w:r>
      <w:bookmarkEnd w:id="308"/>
    </w:p>
    <w:p w14:paraId="4EF1793F" w14:textId="77777777" w:rsidR="00C3036D" w:rsidRPr="00FA3F9C" w:rsidRDefault="00C3036D" w:rsidP="006F623F">
      <w:pPr>
        <w:spacing w:after="0"/>
        <w:jc w:val="center"/>
        <w:rPr>
          <w:rFonts w:ascii="Arial" w:hAnsi="Arial" w:cs="Arial"/>
          <w:sz w:val="24"/>
          <w:szCs w:val="24"/>
        </w:rPr>
      </w:pPr>
      <w:r w:rsidRPr="00FA3F9C">
        <w:rPr>
          <w:rFonts w:ascii="Arial" w:hAnsi="Arial" w:cs="Arial"/>
          <w:sz w:val="24"/>
          <w:szCs w:val="24"/>
        </w:rPr>
        <w:t>EBRx PA Criteria</w:t>
      </w:r>
    </w:p>
    <w:p w14:paraId="20C53995" w14:textId="77777777" w:rsidR="00C3036D" w:rsidRPr="00FA3F9C" w:rsidRDefault="00C3036D" w:rsidP="006F623F">
      <w:pPr>
        <w:spacing w:after="0"/>
        <w:rPr>
          <w:rFonts w:ascii="Arial" w:hAnsi="Arial" w:cs="Arial"/>
          <w:b/>
          <w:sz w:val="24"/>
          <w:szCs w:val="24"/>
          <w:u w:val="single"/>
        </w:rPr>
      </w:pPr>
    </w:p>
    <w:p w14:paraId="493EDED9" w14:textId="77777777" w:rsidR="00C3036D" w:rsidRPr="00FA3F9C" w:rsidRDefault="00C3036D"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w:t>
      </w:r>
    </w:p>
    <w:p w14:paraId="0BF7FCE2" w14:textId="77777777" w:rsidR="00C3036D" w:rsidRPr="00FA3F9C" w:rsidRDefault="00C3036D" w:rsidP="00C3036D">
      <w:pPr>
        <w:pStyle w:val="ListParagraph"/>
        <w:numPr>
          <w:ilvl w:val="0"/>
          <w:numId w:val="315"/>
        </w:numPr>
        <w:spacing w:after="0" w:line="276" w:lineRule="auto"/>
        <w:rPr>
          <w:rFonts w:ascii="Arial" w:hAnsi="Arial" w:cs="Arial"/>
          <w:sz w:val="24"/>
          <w:szCs w:val="24"/>
        </w:rPr>
      </w:pPr>
      <w:r w:rsidRPr="00FA3F9C">
        <w:rPr>
          <w:rFonts w:ascii="Arial" w:hAnsi="Arial" w:cs="Arial"/>
          <w:sz w:val="24"/>
          <w:szCs w:val="24"/>
        </w:rPr>
        <w:t>Treatment of T2DM as an adjunct to diet and exercise to improve glycemic control in adults with T2DM.</w:t>
      </w:r>
    </w:p>
    <w:p w14:paraId="43AD199B" w14:textId="77777777" w:rsidR="00C3036D" w:rsidRPr="00FA3F9C" w:rsidRDefault="00C3036D" w:rsidP="004F1EB6">
      <w:pPr>
        <w:spacing w:after="0"/>
        <w:rPr>
          <w:rFonts w:ascii="Arial" w:hAnsi="Arial" w:cs="Arial"/>
          <w:sz w:val="24"/>
          <w:szCs w:val="24"/>
        </w:rPr>
      </w:pPr>
    </w:p>
    <w:tbl>
      <w:tblPr>
        <w:tblStyle w:val="TableGrid"/>
        <w:tblW w:w="0" w:type="auto"/>
        <w:tblLook w:val="04A0" w:firstRow="1" w:lastRow="0" w:firstColumn="1" w:lastColumn="0" w:noHBand="0" w:noVBand="1"/>
      </w:tblPr>
      <w:tblGrid>
        <w:gridCol w:w="8749"/>
        <w:gridCol w:w="2041"/>
      </w:tblGrid>
      <w:tr w:rsidR="00C3036D" w:rsidRPr="00FA3F9C" w14:paraId="09D9D4BF" w14:textId="77777777" w:rsidTr="00CE5E57">
        <w:tc>
          <w:tcPr>
            <w:tcW w:w="8749" w:type="dxa"/>
            <w:shd w:val="clear" w:color="auto" w:fill="000000"/>
          </w:tcPr>
          <w:p w14:paraId="62BC2F4A" w14:textId="77777777" w:rsidR="00C3036D" w:rsidRPr="00FA3F9C" w:rsidRDefault="00C3036D"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41" w:type="dxa"/>
            <w:shd w:val="clear" w:color="auto" w:fill="000000"/>
          </w:tcPr>
          <w:p w14:paraId="686F1DDF" w14:textId="77777777" w:rsidR="00C3036D" w:rsidRPr="00FA3F9C" w:rsidRDefault="00C3036D" w:rsidP="006F623F">
            <w:pPr>
              <w:jc w:val="center"/>
              <w:rPr>
                <w:rFonts w:ascii="Arial" w:hAnsi="Arial" w:cs="Arial"/>
                <w:b/>
                <w:sz w:val="24"/>
                <w:szCs w:val="24"/>
                <w:u w:val="single"/>
              </w:rPr>
            </w:pPr>
          </w:p>
        </w:tc>
      </w:tr>
      <w:tr w:rsidR="00C3036D" w:rsidRPr="00FA3F9C" w14:paraId="57C52CFA" w14:textId="77777777" w:rsidTr="00CE5E57">
        <w:tc>
          <w:tcPr>
            <w:tcW w:w="10790" w:type="dxa"/>
            <w:gridSpan w:val="2"/>
          </w:tcPr>
          <w:p w14:paraId="04C369F9" w14:textId="77777777" w:rsidR="00C3036D" w:rsidRPr="00FA3F9C" w:rsidRDefault="00C3036D" w:rsidP="006F623F">
            <w:pPr>
              <w:rPr>
                <w:rFonts w:ascii="Arial" w:hAnsi="Arial" w:cs="Arial"/>
                <w:sz w:val="24"/>
                <w:szCs w:val="24"/>
              </w:rPr>
            </w:pPr>
            <w:r w:rsidRPr="00FA3F9C">
              <w:rPr>
                <w:rFonts w:ascii="Arial" w:hAnsi="Arial" w:cs="Arial"/>
                <w:sz w:val="24"/>
                <w:szCs w:val="24"/>
              </w:rPr>
              <w:t>1. Patient must have the diagnosis of type 2 diabetes mellitus.</w:t>
            </w:r>
          </w:p>
        </w:tc>
      </w:tr>
      <w:tr w:rsidR="00C3036D" w:rsidRPr="00FA3F9C" w14:paraId="4705799F" w14:textId="77777777" w:rsidTr="00CE5E57">
        <w:tc>
          <w:tcPr>
            <w:tcW w:w="10790" w:type="dxa"/>
            <w:gridSpan w:val="2"/>
          </w:tcPr>
          <w:p w14:paraId="425B6383" w14:textId="77777777" w:rsidR="00C3036D" w:rsidRPr="00FA3F9C" w:rsidRDefault="00C3036D" w:rsidP="006F623F">
            <w:pPr>
              <w:rPr>
                <w:rFonts w:ascii="Arial" w:hAnsi="Arial" w:cs="Arial"/>
                <w:sz w:val="24"/>
                <w:szCs w:val="24"/>
              </w:rPr>
            </w:pPr>
            <w:r w:rsidRPr="00FA3F9C">
              <w:rPr>
                <w:rFonts w:ascii="Arial" w:hAnsi="Arial" w:cs="Arial"/>
                <w:sz w:val="24"/>
                <w:szCs w:val="24"/>
              </w:rPr>
              <w:t>2. Patient must have a documented Hb A1C in the previous 3 months of &gt;7.0%-9.5%.</w:t>
            </w:r>
          </w:p>
        </w:tc>
      </w:tr>
      <w:tr w:rsidR="00C3036D" w:rsidRPr="00FA3F9C" w14:paraId="1DE1BFEE" w14:textId="77777777" w:rsidTr="00CE5E57">
        <w:tc>
          <w:tcPr>
            <w:tcW w:w="10790" w:type="dxa"/>
            <w:gridSpan w:val="2"/>
          </w:tcPr>
          <w:p w14:paraId="3817AB38" w14:textId="77777777" w:rsidR="00C3036D" w:rsidRPr="00FA3F9C" w:rsidRDefault="00C3036D" w:rsidP="006F623F">
            <w:pPr>
              <w:rPr>
                <w:rFonts w:ascii="Arial" w:hAnsi="Arial" w:cs="Arial"/>
                <w:sz w:val="24"/>
                <w:szCs w:val="24"/>
              </w:rPr>
            </w:pPr>
            <w:r w:rsidRPr="00FA3F9C">
              <w:rPr>
                <w:rFonts w:ascii="Arial" w:hAnsi="Arial" w:cs="Arial"/>
                <w:sz w:val="24"/>
                <w:szCs w:val="24"/>
              </w:rPr>
              <w:t>3. Patient must be receiving metformin at 1000mg twice daily for the past 4 out of 5 months. Pharmacist should look back to be sure this occurred.</w:t>
            </w:r>
          </w:p>
          <w:p w14:paraId="7F1050BE" w14:textId="77777777" w:rsidR="00C3036D" w:rsidRPr="00FA3F9C" w:rsidRDefault="00C3036D" w:rsidP="006F623F">
            <w:pPr>
              <w:rPr>
                <w:rFonts w:ascii="Arial" w:hAnsi="Arial" w:cs="Arial"/>
                <w:sz w:val="24"/>
                <w:szCs w:val="24"/>
              </w:rPr>
            </w:pPr>
            <w:r w:rsidRPr="00FA3F9C">
              <w:rPr>
                <w:rFonts w:ascii="Arial" w:hAnsi="Arial" w:cs="Arial"/>
                <w:sz w:val="24"/>
                <w:szCs w:val="24"/>
              </w:rPr>
              <w:t>OR</w:t>
            </w:r>
          </w:p>
          <w:p w14:paraId="2FF67B37" w14:textId="77777777" w:rsidR="00C3036D" w:rsidRPr="00FA3F9C" w:rsidRDefault="00C3036D" w:rsidP="006F623F">
            <w:pPr>
              <w:rPr>
                <w:rFonts w:ascii="Arial" w:hAnsi="Arial" w:cs="Arial"/>
                <w:sz w:val="24"/>
                <w:szCs w:val="24"/>
              </w:rPr>
            </w:pPr>
            <w:r w:rsidRPr="00FA3F9C">
              <w:rPr>
                <w:rFonts w:ascii="Arial" w:hAnsi="Arial" w:cs="Arial"/>
                <w:sz w:val="24"/>
                <w:szCs w:val="24"/>
              </w:rPr>
              <w:t>The patient must have a contraindication to metformin that must be documented by the pharmacist.</w:t>
            </w:r>
          </w:p>
        </w:tc>
      </w:tr>
      <w:tr w:rsidR="00C3036D" w:rsidRPr="00FA3F9C" w14:paraId="4B42A3D1" w14:textId="77777777" w:rsidTr="00CE5E57">
        <w:tc>
          <w:tcPr>
            <w:tcW w:w="10790" w:type="dxa"/>
            <w:gridSpan w:val="2"/>
          </w:tcPr>
          <w:p w14:paraId="788CC3DB" w14:textId="77777777" w:rsidR="00C3036D" w:rsidRPr="00FA3F9C" w:rsidRDefault="00C3036D" w:rsidP="006F623F">
            <w:pPr>
              <w:rPr>
                <w:rFonts w:ascii="Arial" w:hAnsi="Arial" w:cs="Arial"/>
                <w:sz w:val="24"/>
                <w:szCs w:val="24"/>
              </w:rPr>
            </w:pPr>
            <w:r w:rsidRPr="00FA3F9C">
              <w:rPr>
                <w:rFonts w:ascii="Arial" w:hAnsi="Arial" w:cs="Arial"/>
                <w:sz w:val="24"/>
                <w:szCs w:val="24"/>
              </w:rPr>
              <w:t xml:space="preserve">4. No duplication of therapy with other GLP-1 agonists (dulaglutide, albiglutide, </w:t>
            </w:r>
            <w:proofErr w:type="spellStart"/>
            <w:r w:rsidRPr="00FA3F9C">
              <w:rPr>
                <w:rFonts w:ascii="Arial" w:hAnsi="Arial" w:cs="Arial"/>
                <w:sz w:val="24"/>
                <w:szCs w:val="24"/>
              </w:rPr>
              <w:t>semaglutide</w:t>
            </w:r>
            <w:proofErr w:type="spellEnd"/>
            <w:r w:rsidRPr="00FA3F9C">
              <w:rPr>
                <w:rFonts w:ascii="Arial" w:hAnsi="Arial" w:cs="Arial"/>
                <w:sz w:val="24"/>
                <w:szCs w:val="24"/>
              </w:rPr>
              <w:t>, exenatide) or SGLT2 inhibitor therapy.</w:t>
            </w:r>
          </w:p>
        </w:tc>
      </w:tr>
    </w:tbl>
    <w:p w14:paraId="56935B1F" w14:textId="77777777" w:rsidR="00C3036D" w:rsidRPr="00FA3F9C" w:rsidRDefault="00C3036D" w:rsidP="006F623F">
      <w:pPr>
        <w:spacing w:after="0"/>
        <w:rPr>
          <w:rFonts w:ascii="Arial" w:hAnsi="Arial" w:cs="Arial"/>
          <w:b/>
          <w:sz w:val="24"/>
          <w:szCs w:val="24"/>
          <w:u w:val="single"/>
        </w:rPr>
      </w:pPr>
    </w:p>
    <w:tbl>
      <w:tblPr>
        <w:tblStyle w:val="TableGrid"/>
        <w:tblW w:w="0" w:type="auto"/>
        <w:tblLook w:val="04A0" w:firstRow="1" w:lastRow="0" w:firstColumn="1" w:lastColumn="0" w:noHBand="0" w:noVBand="1"/>
      </w:tblPr>
      <w:tblGrid>
        <w:gridCol w:w="8747"/>
        <w:gridCol w:w="2043"/>
      </w:tblGrid>
      <w:tr w:rsidR="00C3036D" w:rsidRPr="00FA3F9C" w14:paraId="735B54D1" w14:textId="77777777" w:rsidTr="00C939CD">
        <w:tc>
          <w:tcPr>
            <w:tcW w:w="8747" w:type="dxa"/>
            <w:shd w:val="clear" w:color="auto" w:fill="000000"/>
          </w:tcPr>
          <w:p w14:paraId="6E1B9810" w14:textId="77777777" w:rsidR="00C3036D" w:rsidRPr="00FA3F9C" w:rsidRDefault="00C3036D" w:rsidP="00F71959">
            <w:pPr>
              <w:rPr>
                <w:rFonts w:ascii="Arial" w:hAnsi="Arial" w:cs="Arial"/>
                <w:b/>
                <w:sz w:val="24"/>
                <w:szCs w:val="24"/>
                <w:u w:val="single"/>
              </w:rPr>
            </w:pPr>
            <w:r w:rsidRPr="00FA3F9C">
              <w:rPr>
                <w:rFonts w:ascii="Arial" w:hAnsi="Arial" w:cs="Arial"/>
                <w:b/>
                <w:sz w:val="24"/>
                <w:szCs w:val="24"/>
                <w:u w:val="single"/>
              </w:rPr>
              <w:t>Criteria for continuation</w:t>
            </w:r>
          </w:p>
        </w:tc>
        <w:tc>
          <w:tcPr>
            <w:tcW w:w="2043" w:type="dxa"/>
            <w:shd w:val="clear" w:color="auto" w:fill="000000"/>
          </w:tcPr>
          <w:p w14:paraId="33A59BEB" w14:textId="77777777" w:rsidR="00C3036D" w:rsidRPr="00FA3F9C" w:rsidRDefault="00C3036D" w:rsidP="00F71959">
            <w:pPr>
              <w:jc w:val="center"/>
              <w:rPr>
                <w:rFonts w:ascii="Arial" w:hAnsi="Arial" w:cs="Arial"/>
                <w:b/>
                <w:sz w:val="24"/>
                <w:szCs w:val="24"/>
                <w:u w:val="single"/>
              </w:rPr>
            </w:pPr>
          </w:p>
        </w:tc>
      </w:tr>
      <w:tr w:rsidR="00C3036D" w:rsidRPr="00FA3F9C" w14:paraId="3B16160B" w14:textId="77777777" w:rsidTr="00C939CD">
        <w:tc>
          <w:tcPr>
            <w:tcW w:w="10790" w:type="dxa"/>
            <w:gridSpan w:val="2"/>
          </w:tcPr>
          <w:p w14:paraId="11D1DCF3" w14:textId="77777777" w:rsidR="00C3036D" w:rsidRPr="00FA3F9C" w:rsidRDefault="00C3036D" w:rsidP="00F71959">
            <w:pPr>
              <w:rPr>
                <w:rFonts w:ascii="Arial" w:hAnsi="Arial" w:cs="Arial"/>
                <w:sz w:val="24"/>
                <w:szCs w:val="24"/>
              </w:rPr>
            </w:pPr>
            <w:r w:rsidRPr="00FA3F9C">
              <w:rPr>
                <w:rFonts w:ascii="Arial" w:hAnsi="Arial" w:cs="Arial"/>
                <w:sz w:val="24"/>
                <w:szCs w:val="24"/>
              </w:rPr>
              <w:t xml:space="preserve">1.  The patient should have </w:t>
            </w:r>
            <w:proofErr w:type="spellStart"/>
            <w:r w:rsidRPr="00FA3F9C">
              <w:rPr>
                <w:rFonts w:ascii="Arial" w:hAnsi="Arial" w:cs="Arial"/>
                <w:sz w:val="24"/>
                <w:szCs w:val="24"/>
              </w:rPr>
              <w:t>semaglutide</w:t>
            </w:r>
            <w:proofErr w:type="spellEnd"/>
            <w:r w:rsidRPr="00FA3F9C">
              <w:rPr>
                <w:rFonts w:ascii="Arial" w:hAnsi="Arial" w:cs="Arial"/>
                <w:sz w:val="24"/>
                <w:szCs w:val="24"/>
              </w:rPr>
              <w:t xml:space="preserve"> on the profile as having filled for 10 of the 12 previous months.</w:t>
            </w:r>
          </w:p>
        </w:tc>
      </w:tr>
      <w:tr w:rsidR="00C3036D" w:rsidRPr="00FA3F9C" w14:paraId="3070887B" w14:textId="77777777" w:rsidTr="00C939CD">
        <w:tc>
          <w:tcPr>
            <w:tcW w:w="10790" w:type="dxa"/>
            <w:gridSpan w:val="2"/>
          </w:tcPr>
          <w:p w14:paraId="59586D93" w14:textId="77777777" w:rsidR="00C3036D" w:rsidRPr="00FA3F9C" w:rsidRDefault="00C3036D" w:rsidP="00F71959">
            <w:pPr>
              <w:rPr>
                <w:rFonts w:ascii="Arial" w:hAnsi="Arial" w:cs="Arial"/>
                <w:sz w:val="24"/>
                <w:szCs w:val="24"/>
              </w:rPr>
            </w:pPr>
            <w:r w:rsidRPr="00FA3F9C">
              <w:rPr>
                <w:rFonts w:ascii="Arial" w:hAnsi="Arial" w:cs="Arial"/>
                <w:sz w:val="24"/>
                <w:szCs w:val="24"/>
              </w:rPr>
              <w:t>2.  The patient should have metformin on the profile as having filled for 10 of the 12 previous months.</w:t>
            </w:r>
          </w:p>
        </w:tc>
      </w:tr>
    </w:tbl>
    <w:p w14:paraId="6830959F" w14:textId="77777777" w:rsidR="00C3036D" w:rsidRPr="00FA3F9C" w:rsidRDefault="00C3036D" w:rsidP="006F623F">
      <w:pPr>
        <w:spacing w:after="0"/>
        <w:rPr>
          <w:rFonts w:ascii="Arial" w:hAnsi="Arial" w:cs="Arial"/>
          <w:b/>
          <w:sz w:val="24"/>
          <w:szCs w:val="24"/>
          <w:u w:val="single"/>
        </w:rPr>
      </w:pPr>
    </w:p>
    <w:tbl>
      <w:tblPr>
        <w:tblStyle w:val="TableGrid"/>
        <w:tblW w:w="0" w:type="auto"/>
        <w:shd w:val="clear" w:color="auto" w:fill="BFBFBF" w:themeFill="background1" w:themeFillShade="BF"/>
        <w:tblLook w:val="04A0" w:firstRow="1" w:lastRow="0" w:firstColumn="1" w:lastColumn="0" w:noHBand="0" w:noVBand="1"/>
      </w:tblPr>
      <w:tblGrid>
        <w:gridCol w:w="10998"/>
      </w:tblGrid>
      <w:tr w:rsidR="00C3036D" w:rsidRPr="00FA3F9C" w14:paraId="439D9556" w14:textId="77777777" w:rsidTr="00D82B6E">
        <w:tc>
          <w:tcPr>
            <w:tcW w:w="10998" w:type="dxa"/>
            <w:shd w:val="clear" w:color="auto" w:fill="BFBFBF" w:themeFill="background1" w:themeFillShade="BF"/>
          </w:tcPr>
          <w:p w14:paraId="2AE8E4C8" w14:textId="77777777" w:rsidR="00C3036D" w:rsidRPr="00FA3F9C" w:rsidRDefault="00C3036D" w:rsidP="0052431C">
            <w:pPr>
              <w:rPr>
                <w:rFonts w:ascii="Arial" w:hAnsi="Arial" w:cs="Arial"/>
                <w:sz w:val="24"/>
                <w:szCs w:val="24"/>
              </w:rPr>
            </w:pPr>
            <w:r w:rsidRPr="00FA3F9C">
              <w:rPr>
                <w:rFonts w:ascii="Arial" w:hAnsi="Arial" w:cs="Arial"/>
                <w:sz w:val="24"/>
                <w:szCs w:val="24"/>
              </w:rPr>
              <w:t xml:space="preserve">Note: a.  Metformin must be titrated slowly upward.  Metformin 500mg BID is the initial dose.  </w:t>
            </w:r>
          </w:p>
        </w:tc>
      </w:tr>
    </w:tbl>
    <w:p w14:paraId="0F76E56D" w14:textId="77777777" w:rsidR="00C3036D" w:rsidRPr="00FA3F9C" w:rsidRDefault="00C3036D" w:rsidP="006F623F">
      <w:pPr>
        <w:spacing w:after="0"/>
        <w:rPr>
          <w:rFonts w:ascii="Arial" w:hAnsi="Arial" w:cs="Arial"/>
          <w:sz w:val="24"/>
          <w:szCs w:val="24"/>
        </w:rPr>
      </w:pPr>
    </w:p>
    <w:p w14:paraId="5F4C50A0" w14:textId="77777777" w:rsidR="00C3036D" w:rsidRPr="00FA3F9C" w:rsidRDefault="00C3036D" w:rsidP="004F1EB6">
      <w:pPr>
        <w:spacing w:after="0" w:line="240" w:lineRule="auto"/>
        <w:rPr>
          <w:rFonts w:ascii="Arial" w:hAnsi="Arial" w:cs="Arial"/>
          <w:sz w:val="24"/>
          <w:szCs w:val="24"/>
        </w:rPr>
      </w:pPr>
      <w:r w:rsidRPr="00FA3F9C">
        <w:rPr>
          <w:rFonts w:ascii="Arial" w:hAnsi="Arial" w:cs="Arial"/>
          <w:sz w:val="24"/>
          <w:szCs w:val="24"/>
        </w:rPr>
        <w:t>References:</w:t>
      </w:r>
    </w:p>
    <w:p w14:paraId="0DBDF5A7" w14:textId="77777777" w:rsidR="00C3036D" w:rsidRPr="00FA3F9C" w:rsidRDefault="00C3036D" w:rsidP="004F1EB6">
      <w:pPr>
        <w:spacing w:after="0" w:line="240" w:lineRule="auto"/>
        <w:rPr>
          <w:rFonts w:ascii="Arial" w:eastAsia="Times New Roman" w:hAnsi="Arial" w:cs="Arial"/>
          <w:sz w:val="24"/>
          <w:szCs w:val="24"/>
        </w:rPr>
      </w:pPr>
      <w:r w:rsidRPr="00FA3F9C">
        <w:rPr>
          <w:rFonts w:ascii="Arial" w:eastAsia="Times New Roman" w:hAnsi="Arial" w:cs="Arial"/>
          <w:sz w:val="24"/>
          <w:szCs w:val="24"/>
        </w:rPr>
        <w:t xml:space="preserve">1. Lexicomp. </w:t>
      </w:r>
      <w:proofErr w:type="spellStart"/>
      <w:r w:rsidRPr="00FA3F9C">
        <w:rPr>
          <w:rFonts w:ascii="Arial" w:eastAsia="Times New Roman" w:hAnsi="Arial" w:cs="Arial"/>
          <w:sz w:val="24"/>
          <w:szCs w:val="24"/>
        </w:rPr>
        <w:t>Semaglutide</w:t>
      </w:r>
      <w:proofErr w:type="spellEnd"/>
      <w:r w:rsidRPr="00FA3F9C">
        <w:rPr>
          <w:rFonts w:ascii="Arial" w:eastAsia="Times New Roman" w:hAnsi="Arial" w:cs="Arial"/>
          <w:sz w:val="24"/>
          <w:szCs w:val="24"/>
        </w:rPr>
        <w:t>. Accessed 1/6/22.</w:t>
      </w:r>
    </w:p>
    <w:p w14:paraId="4B85ADE2" w14:textId="77777777" w:rsidR="00C3036D" w:rsidRPr="00FA3F9C" w:rsidRDefault="00C3036D" w:rsidP="004F1EB6">
      <w:pPr>
        <w:rPr>
          <w:rFonts w:ascii="Arial" w:eastAsia="Times New Roman" w:hAnsi="Arial" w:cs="Arial"/>
          <w:sz w:val="24"/>
          <w:szCs w:val="24"/>
        </w:rPr>
      </w:pPr>
      <w:r w:rsidRPr="00FA3F9C">
        <w:rPr>
          <w:rFonts w:ascii="Arial" w:eastAsia="Times New Roman" w:hAnsi="Arial" w:cs="Arial"/>
          <w:sz w:val="24"/>
          <w:szCs w:val="24"/>
        </w:rPr>
        <w:t xml:space="preserve">2. </w:t>
      </w:r>
      <w:r w:rsidRPr="00FA3F9C">
        <w:rPr>
          <w:rFonts w:ascii="Arial" w:eastAsia="Times New Roman" w:hAnsi="Arial" w:cs="Arial"/>
          <w:color w:val="222222"/>
          <w:sz w:val="24"/>
          <w:szCs w:val="24"/>
          <w:shd w:val="clear" w:color="auto" w:fill="FFFFFF"/>
        </w:rPr>
        <w:t xml:space="preserve">Husain, Mansoor, et al. "Oral </w:t>
      </w:r>
      <w:proofErr w:type="spellStart"/>
      <w:r w:rsidRPr="00FA3F9C">
        <w:rPr>
          <w:rFonts w:ascii="Arial" w:eastAsia="Times New Roman" w:hAnsi="Arial" w:cs="Arial"/>
          <w:color w:val="222222"/>
          <w:sz w:val="24"/>
          <w:szCs w:val="24"/>
          <w:shd w:val="clear" w:color="auto" w:fill="FFFFFF"/>
        </w:rPr>
        <w:t>semaglutide</w:t>
      </w:r>
      <w:proofErr w:type="spellEnd"/>
      <w:r w:rsidRPr="00FA3F9C">
        <w:rPr>
          <w:rFonts w:ascii="Arial" w:eastAsia="Times New Roman" w:hAnsi="Arial" w:cs="Arial"/>
          <w:color w:val="222222"/>
          <w:sz w:val="24"/>
          <w:szCs w:val="24"/>
          <w:shd w:val="clear" w:color="auto" w:fill="FFFFFF"/>
        </w:rPr>
        <w:t xml:space="preserve"> and cardiovascular outcomes in patients with type 2 diabetes." </w:t>
      </w:r>
      <w:r w:rsidRPr="00FA3F9C">
        <w:rPr>
          <w:rFonts w:ascii="Arial" w:eastAsia="Times New Roman" w:hAnsi="Arial" w:cs="Arial"/>
          <w:i/>
          <w:iCs/>
          <w:color w:val="222222"/>
          <w:sz w:val="24"/>
          <w:szCs w:val="24"/>
          <w:shd w:val="clear" w:color="auto" w:fill="FFFFFF"/>
        </w:rPr>
        <w:t>New England Journal of Medicine</w:t>
      </w:r>
      <w:r w:rsidRPr="00FA3F9C">
        <w:rPr>
          <w:rFonts w:ascii="Arial" w:eastAsia="Times New Roman" w:hAnsi="Arial" w:cs="Arial"/>
          <w:color w:val="222222"/>
          <w:sz w:val="24"/>
          <w:szCs w:val="24"/>
          <w:shd w:val="clear" w:color="auto" w:fill="FFFFFF"/>
        </w:rPr>
        <w:t> 381.9 (2019): 841-851.</w:t>
      </w:r>
    </w:p>
    <w:p w14:paraId="626C8301" w14:textId="77777777" w:rsidR="00C3036D" w:rsidRPr="00FA3F9C" w:rsidRDefault="00C3036D"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085"/>
        <w:gridCol w:w="7910"/>
        <w:gridCol w:w="1795"/>
      </w:tblGrid>
      <w:tr w:rsidR="00C3036D" w:rsidRPr="00FA3F9C" w14:paraId="070DFFC5" w14:textId="77777777" w:rsidTr="004F1EB6">
        <w:tc>
          <w:tcPr>
            <w:tcW w:w="1085" w:type="dxa"/>
          </w:tcPr>
          <w:p w14:paraId="77EA9746" w14:textId="77777777" w:rsidR="00C3036D" w:rsidRPr="00FA3F9C" w:rsidRDefault="00C3036D" w:rsidP="006F623F">
            <w:pPr>
              <w:rPr>
                <w:rFonts w:ascii="Arial" w:hAnsi="Arial" w:cs="Arial"/>
                <w:sz w:val="24"/>
                <w:szCs w:val="24"/>
              </w:rPr>
            </w:pPr>
            <w:r w:rsidRPr="00FA3F9C">
              <w:rPr>
                <w:rFonts w:ascii="Arial" w:hAnsi="Arial" w:cs="Arial"/>
                <w:sz w:val="24"/>
                <w:szCs w:val="24"/>
              </w:rPr>
              <w:t>Date</w:t>
            </w:r>
          </w:p>
        </w:tc>
        <w:tc>
          <w:tcPr>
            <w:tcW w:w="7910" w:type="dxa"/>
          </w:tcPr>
          <w:p w14:paraId="7DBA576E" w14:textId="77777777" w:rsidR="00C3036D" w:rsidRPr="00FA3F9C" w:rsidRDefault="00C3036D" w:rsidP="006F623F">
            <w:pPr>
              <w:rPr>
                <w:rFonts w:ascii="Arial" w:hAnsi="Arial" w:cs="Arial"/>
                <w:sz w:val="24"/>
                <w:szCs w:val="24"/>
              </w:rPr>
            </w:pPr>
            <w:r w:rsidRPr="00FA3F9C">
              <w:rPr>
                <w:rFonts w:ascii="Arial" w:hAnsi="Arial" w:cs="Arial"/>
                <w:sz w:val="24"/>
                <w:szCs w:val="24"/>
              </w:rPr>
              <w:t>What changed</w:t>
            </w:r>
          </w:p>
        </w:tc>
        <w:tc>
          <w:tcPr>
            <w:tcW w:w="1795" w:type="dxa"/>
          </w:tcPr>
          <w:p w14:paraId="70B912AA" w14:textId="77777777" w:rsidR="00C3036D" w:rsidRPr="00FA3F9C" w:rsidRDefault="00C3036D" w:rsidP="006F623F">
            <w:pPr>
              <w:rPr>
                <w:rFonts w:ascii="Arial" w:hAnsi="Arial" w:cs="Arial"/>
                <w:sz w:val="24"/>
                <w:szCs w:val="24"/>
              </w:rPr>
            </w:pPr>
            <w:r w:rsidRPr="00FA3F9C">
              <w:rPr>
                <w:rFonts w:ascii="Arial" w:hAnsi="Arial" w:cs="Arial"/>
                <w:sz w:val="24"/>
                <w:szCs w:val="24"/>
              </w:rPr>
              <w:t>Pharmacist’s initials</w:t>
            </w:r>
          </w:p>
        </w:tc>
      </w:tr>
      <w:tr w:rsidR="00C3036D" w:rsidRPr="00FA3F9C" w14:paraId="203AB813" w14:textId="77777777" w:rsidTr="004F1EB6">
        <w:tc>
          <w:tcPr>
            <w:tcW w:w="1085" w:type="dxa"/>
          </w:tcPr>
          <w:p w14:paraId="3F19CD5B" w14:textId="77777777" w:rsidR="00C3036D" w:rsidRPr="00FA3F9C" w:rsidRDefault="00C3036D" w:rsidP="0052431C">
            <w:pPr>
              <w:rPr>
                <w:rFonts w:ascii="Arial" w:hAnsi="Arial" w:cs="Arial"/>
                <w:sz w:val="24"/>
                <w:szCs w:val="24"/>
              </w:rPr>
            </w:pPr>
            <w:r w:rsidRPr="00FA3F9C">
              <w:rPr>
                <w:rFonts w:ascii="Arial" w:hAnsi="Arial" w:cs="Arial"/>
                <w:sz w:val="24"/>
                <w:szCs w:val="24"/>
              </w:rPr>
              <w:t>1/6/22</w:t>
            </w:r>
          </w:p>
        </w:tc>
        <w:tc>
          <w:tcPr>
            <w:tcW w:w="7910" w:type="dxa"/>
          </w:tcPr>
          <w:p w14:paraId="5BE7FD04" w14:textId="77777777" w:rsidR="00C3036D" w:rsidRPr="00FA3F9C" w:rsidRDefault="00C3036D" w:rsidP="0052431C">
            <w:pPr>
              <w:rPr>
                <w:rFonts w:ascii="Arial" w:hAnsi="Arial" w:cs="Arial"/>
                <w:sz w:val="24"/>
                <w:szCs w:val="24"/>
              </w:rPr>
            </w:pPr>
            <w:r w:rsidRPr="00FA3F9C">
              <w:rPr>
                <w:rFonts w:ascii="Arial" w:hAnsi="Arial" w:cs="Arial"/>
                <w:sz w:val="24"/>
                <w:szCs w:val="24"/>
              </w:rPr>
              <w:t>I wrote the criteria.</w:t>
            </w:r>
          </w:p>
        </w:tc>
        <w:tc>
          <w:tcPr>
            <w:tcW w:w="1795" w:type="dxa"/>
          </w:tcPr>
          <w:p w14:paraId="6DE25DF0" w14:textId="77777777" w:rsidR="00C3036D" w:rsidRPr="00FA3F9C" w:rsidRDefault="00C3036D" w:rsidP="00E94C32">
            <w:pPr>
              <w:tabs>
                <w:tab w:val="center" w:pos="789"/>
              </w:tabs>
              <w:rPr>
                <w:rFonts w:ascii="Arial" w:hAnsi="Arial" w:cs="Arial"/>
                <w:sz w:val="24"/>
                <w:szCs w:val="24"/>
              </w:rPr>
            </w:pPr>
            <w:r w:rsidRPr="00FA3F9C">
              <w:rPr>
                <w:rFonts w:ascii="Arial" w:hAnsi="Arial" w:cs="Arial"/>
                <w:sz w:val="24"/>
                <w:szCs w:val="24"/>
              </w:rPr>
              <w:t>JJ</w:t>
            </w:r>
            <w:r w:rsidRPr="00FA3F9C">
              <w:rPr>
                <w:rFonts w:ascii="Arial" w:hAnsi="Arial" w:cs="Arial"/>
                <w:sz w:val="24"/>
                <w:szCs w:val="24"/>
              </w:rPr>
              <w:tab/>
            </w:r>
          </w:p>
        </w:tc>
      </w:tr>
      <w:tr w:rsidR="00C3036D" w:rsidRPr="00FA3F9C" w14:paraId="52763A61" w14:textId="77777777" w:rsidTr="004F1EB6">
        <w:tc>
          <w:tcPr>
            <w:tcW w:w="1085" w:type="dxa"/>
          </w:tcPr>
          <w:p w14:paraId="07B47C5C" w14:textId="77777777" w:rsidR="00C3036D" w:rsidRPr="00FA3F9C" w:rsidRDefault="00C3036D" w:rsidP="0052431C">
            <w:pPr>
              <w:rPr>
                <w:rFonts w:ascii="Arial" w:hAnsi="Arial" w:cs="Arial"/>
                <w:sz w:val="24"/>
                <w:szCs w:val="24"/>
              </w:rPr>
            </w:pPr>
            <w:r w:rsidRPr="00FA3F9C">
              <w:rPr>
                <w:rFonts w:ascii="Arial" w:hAnsi="Arial" w:cs="Arial"/>
                <w:sz w:val="24"/>
                <w:szCs w:val="24"/>
              </w:rPr>
              <w:t>1/20/22</w:t>
            </w:r>
          </w:p>
        </w:tc>
        <w:tc>
          <w:tcPr>
            <w:tcW w:w="7910" w:type="dxa"/>
          </w:tcPr>
          <w:p w14:paraId="32138587" w14:textId="77777777" w:rsidR="00C3036D" w:rsidRPr="00FA3F9C" w:rsidRDefault="00C3036D" w:rsidP="0052431C">
            <w:pPr>
              <w:rPr>
                <w:rFonts w:ascii="Arial" w:hAnsi="Arial" w:cs="Arial"/>
                <w:sz w:val="24"/>
                <w:szCs w:val="24"/>
              </w:rPr>
            </w:pPr>
            <w:r w:rsidRPr="00FA3F9C">
              <w:rPr>
                <w:rFonts w:ascii="Arial" w:hAnsi="Arial" w:cs="Arial"/>
                <w:sz w:val="24"/>
                <w:szCs w:val="24"/>
              </w:rPr>
              <w:t>I put an upper limit on initial A1C because the drug does not reduce A1C by more than 1%.</w:t>
            </w:r>
          </w:p>
        </w:tc>
        <w:tc>
          <w:tcPr>
            <w:tcW w:w="1795" w:type="dxa"/>
          </w:tcPr>
          <w:p w14:paraId="31F6570C" w14:textId="77777777" w:rsidR="00C3036D" w:rsidRPr="00FA3F9C" w:rsidRDefault="00C3036D" w:rsidP="00E94C32">
            <w:pPr>
              <w:tabs>
                <w:tab w:val="center" w:pos="789"/>
              </w:tabs>
              <w:rPr>
                <w:rFonts w:ascii="Arial" w:hAnsi="Arial" w:cs="Arial"/>
                <w:sz w:val="24"/>
                <w:szCs w:val="24"/>
              </w:rPr>
            </w:pPr>
            <w:r w:rsidRPr="00FA3F9C">
              <w:rPr>
                <w:rFonts w:ascii="Arial" w:hAnsi="Arial" w:cs="Arial"/>
                <w:sz w:val="24"/>
                <w:szCs w:val="24"/>
              </w:rPr>
              <w:t>JJ</w:t>
            </w:r>
          </w:p>
        </w:tc>
      </w:tr>
      <w:tr w:rsidR="00C3036D" w:rsidRPr="00FA3F9C" w14:paraId="33CE7FC2" w14:textId="77777777" w:rsidTr="004F1EB6">
        <w:tc>
          <w:tcPr>
            <w:tcW w:w="1085" w:type="dxa"/>
          </w:tcPr>
          <w:p w14:paraId="1CAA7EF8" w14:textId="77777777" w:rsidR="00C3036D" w:rsidRPr="00FA3F9C" w:rsidRDefault="00C3036D" w:rsidP="0052431C">
            <w:pPr>
              <w:rPr>
                <w:rFonts w:ascii="Arial" w:hAnsi="Arial" w:cs="Arial"/>
                <w:sz w:val="24"/>
                <w:szCs w:val="24"/>
              </w:rPr>
            </w:pPr>
            <w:r w:rsidRPr="00FA3F9C">
              <w:rPr>
                <w:rFonts w:ascii="Arial" w:hAnsi="Arial" w:cs="Arial"/>
                <w:sz w:val="24"/>
                <w:szCs w:val="24"/>
              </w:rPr>
              <w:t>3/28/22</w:t>
            </w:r>
          </w:p>
        </w:tc>
        <w:tc>
          <w:tcPr>
            <w:tcW w:w="7910" w:type="dxa"/>
          </w:tcPr>
          <w:p w14:paraId="53D5C0DE" w14:textId="77777777" w:rsidR="00C3036D" w:rsidRPr="00FA3F9C" w:rsidRDefault="00C3036D" w:rsidP="0052431C">
            <w:pPr>
              <w:rPr>
                <w:rFonts w:ascii="Arial" w:hAnsi="Arial" w:cs="Arial"/>
                <w:sz w:val="24"/>
                <w:szCs w:val="24"/>
              </w:rPr>
            </w:pPr>
            <w:r w:rsidRPr="00FA3F9C">
              <w:rPr>
                <w:rFonts w:ascii="Arial" w:hAnsi="Arial" w:cs="Arial"/>
                <w:sz w:val="24"/>
                <w:szCs w:val="24"/>
              </w:rPr>
              <w:t xml:space="preserve">I updated the FDA-approval, noting </w:t>
            </w:r>
            <w:proofErr w:type="spellStart"/>
            <w:r w:rsidRPr="00FA3F9C">
              <w:rPr>
                <w:rFonts w:ascii="Arial" w:hAnsi="Arial" w:cs="Arial"/>
                <w:sz w:val="24"/>
                <w:szCs w:val="24"/>
              </w:rPr>
              <w:t>Rybelsus</w:t>
            </w:r>
            <w:proofErr w:type="spellEnd"/>
            <w:r w:rsidRPr="00FA3F9C">
              <w:rPr>
                <w:rFonts w:ascii="Arial" w:hAnsi="Arial" w:cs="Arial"/>
                <w:sz w:val="24"/>
                <w:szCs w:val="24"/>
              </w:rPr>
              <w:t xml:space="preserve"> (oral </w:t>
            </w:r>
            <w:proofErr w:type="spellStart"/>
            <w:r w:rsidRPr="00FA3F9C">
              <w:rPr>
                <w:rFonts w:ascii="Arial" w:hAnsi="Arial" w:cs="Arial"/>
                <w:sz w:val="24"/>
                <w:szCs w:val="24"/>
              </w:rPr>
              <w:t>semaglutide</w:t>
            </w:r>
            <w:proofErr w:type="spellEnd"/>
            <w:r w:rsidRPr="00FA3F9C">
              <w:rPr>
                <w:rFonts w:ascii="Arial" w:hAnsi="Arial" w:cs="Arial"/>
                <w:sz w:val="24"/>
                <w:szCs w:val="24"/>
              </w:rPr>
              <w:t>) does not have the approval for CV risk reduction.</w:t>
            </w:r>
          </w:p>
        </w:tc>
        <w:tc>
          <w:tcPr>
            <w:tcW w:w="1795" w:type="dxa"/>
          </w:tcPr>
          <w:p w14:paraId="4A54D725" w14:textId="77777777" w:rsidR="00C3036D" w:rsidRPr="00FA3F9C" w:rsidRDefault="00C3036D" w:rsidP="00E94C32">
            <w:pPr>
              <w:tabs>
                <w:tab w:val="center" w:pos="789"/>
              </w:tabs>
              <w:rPr>
                <w:rFonts w:ascii="Arial" w:hAnsi="Arial" w:cs="Arial"/>
                <w:sz w:val="24"/>
                <w:szCs w:val="24"/>
              </w:rPr>
            </w:pPr>
            <w:r w:rsidRPr="00FA3F9C">
              <w:rPr>
                <w:rFonts w:ascii="Arial" w:hAnsi="Arial" w:cs="Arial"/>
                <w:sz w:val="24"/>
                <w:szCs w:val="24"/>
              </w:rPr>
              <w:t>JJ</w:t>
            </w:r>
          </w:p>
        </w:tc>
      </w:tr>
    </w:tbl>
    <w:p w14:paraId="1407FCBD" w14:textId="77777777" w:rsidR="00C3036D" w:rsidRPr="00FA3F9C" w:rsidRDefault="00C3036D" w:rsidP="006F623F">
      <w:pPr>
        <w:spacing w:after="0"/>
        <w:rPr>
          <w:rFonts w:ascii="Arial" w:hAnsi="Arial" w:cs="Arial"/>
          <w:sz w:val="24"/>
          <w:szCs w:val="24"/>
        </w:rPr>
      </w:pPr>
    </w:p>
    <w:p w14:paraId="1904F454" w14:textId="77777777" w:rsidR="00C3036D" w:rsidRPr="00FA3F9C" w:rsidRDefault="00C3036D" w:rsidP="006F623F">
      <w:pPr>
        <w:spacing w:after="0"/>
        <w:jc w:val="center"/>
        <w:rPr>
          <w:rFonts w:ascii="Arial" w:hAnsi="Arial" w:cs="Arial"/>
          <w:sz w:val="24"/>
          <w:szCs w:val="24"/>
        </w:rPr>
      </w:pPr>
    </w:p>
    <w:p w14:paraId="4E9E8E50" w14:textId="77777777" w:rsidR="0078218F" w:rsidRDefault="00C3036D" w:rsidP="0078218F">
      <w:pPr>
        <w:pStyle w:val="Heading2"/>
      </w:pPr>
      <w:bookmarkStart w:id="309" w:name="_Toc106369932"/>
      <w:r w:rsidRPr="00FA3F9C">
        <w:t>Sildenafil (</w:t>
      </w:r>
      <w:proofErr w:type="spellStart"/>
      <w:r w:rsidRPr="00FA3F9C">
        <w:t>Revatio</w:t>
      </w:r>
      <w:proofErr w:type="spellEnd"/>
      <w:r w:rsidRPr="00FA3F9C">
        <w:t>)</w:t>
      </w:r>
      <w:bookmarkEnd w:id="309"/>
      <w:r w:rsidRPr="00FA3F9C">
        <w:t xml:space="preserve"> </w:t>
      </w:r>
    </w:p>
    <w:p w14:paraId="0C2C12DE" w14:textId="5DACF0CB" w:rsidR="00C3036D" w:rsidRDefault="00C3036D" w:rsidP="00871AC4">
      <w:pPr>
        <w:spacing w:after="0"/>
        <w:jc w:val="center"/>
        <w:rPr>
          <w:rFonts w:ascii="Arial" w:hAnsi="Arial" w:cs="Arial"/>
          <w:sz w:val="24"/>
          <w:szCs w:val="24"/>
        </w:rPr>
      </w:pPr>
      <w:r w:rsidRPr="00FA3F9C">
        <w:rPr>
          <w:rFonts w:ascii="Arial" w:hAnsi="Arial" w:cs="Arial"/>
          <w:sz w:val="24"/>
          <w:szCs w:val="24"/>
        </w:rPr>
        <w:t>20mg tablets, 10mg/mL suspension reconstituted</w:t>
      </w:r>
    </w:p>
    <w:p w14:paraId="0C66C554" w14:textId="77777777" w:rsidR="0078218F" w:rsidRPr="00FA3F9C" w:rsidRDefault="0078218F" w:rsidP="0078218F">
      <w:pPr>
        <w:spacing w:after="0"/>
        <w:jc w:val="center"/>
        <w:rPr>
          <w:rFonts w:ascii="Arial" w:hAnsi="Arial" w:cs="Arial"/>
          <w:sz w:val="24"/>
          <w:szCs w:val="24"/>
        </w:rPr>
      </w:pPr>
      <w:r w:rsidRPr="00FA3F9C">
        <w:rPr>
          <w:rFonts w:ascii="Arial" w:hAnsi="Arial" w:cs="Arial"/>
          <w:sz w:val="24"/>
          <w:szCs w:val="24"/>
        </w:rPr>
        <w:t>EBRx PA Criteria</w:t>
      </w:r>
    </w:p>
    <w:p w14:paraId="38DCDF14" w14:textId="77777777" w:rsidR="0078218F" w:rsidRPr="00FA3F9C" w:rsidRDefault="0078218F" w:rsidP="00871AC4">
      <w:pPr>
        <w:spacing w:after="0"/>
        <w:jc w:val="center"/>
        <w:rPr>
          <w:rFonts w:ascii="Arial" w:hAnsi="Arial" w:cs="Arial"/>
          <w:sz w:val="24"/>
          <w:szCs w:val="24"/>
        </w:rPr>
      </w:pPr>
    </w:p>
    <w:p w14:paraId="11DC75FD" w14:textId="77777777" w:rsidR="00C3036D" w:rsidRPr="00FA3F9C" w:rsidRDefault="00C3036D" w:rsidP="006F623F">
      <w:pPr>
        <w:spacing w:after="0"/>
        <w:rPr>
          <w:rFonts w:ascii="Arial" w:hAnsi="Arial" w:cs="Arial"/>
          <w:b/>
          <w:sz w:val="24"/>
          <w:szCs w:val="24"/>
          <w:u w:val="single"/>
        </w:rPr>
      </w:pPr>
    </w:p>
    <w:p w14:paraId="51A72C3F" w14:textId="77777777" w:rsidR="00C3036D" w:rsidRPr="00FA3F9C" w:rsidRDefault="00C3036D" w:rsidP="006F623F">
      <w:pPr>
        <w:spacing w:after="0"/>
        <w:rPr>
          <w:rFonts w:ascii="Arial" w:hAnsi="Arial" w:cs="Arial"/>
          <w:b/>
          <w:sz w:val="24"/>
          <w:szCs w:val="24"/>
          <w:u w:val="single"/>
        </w:rPr>
      </w:pPr>
      <w:r w:rsidRPr="00FA3F9C">
        <w:rPr>
          <w:rFonts w:ascii="Arial" w:hAnsi="Arial" w:cs="Arial"/>
          <w:b/>
          <w:sz w:val="24"/>
          <w:szCs w:val="24"/>
          <w:u w:val="single"/>
        </w:rPr>
        <w:t xml:space="preserve">FDA-approved for: </w:t>
      </w:r>
    </w:p>
    <w:p w14:paraId="155955B7" w14:textId="77777777" w:rsidR="00C3036D" w:rsidRPr="00FA3F9C" w:rsidRDefault="00C3036D" w:rsidP="00FC1E85">
      <w:pPr>
        <w:pStyle w:val="ListParagraph"/>
        <w:numPr>
          <w:ilvl w:val="0"/>
          <w:numId w:val="475"/>
        </w:numPr>
        <w:spacing w:after="0" w:line="276" w:lineRule="auto"/>
        <w:rPr>
          <w:rFonts w:ascii="Arial" w:hAnsi="Arial" w:cs="Arial"/>
          <w:sz w:val="24"/>
          <w:szCs w:val="24"/>
        </w:rPr>
      </w:pPr>
      <w:r w:rsidRPr="00FA3F9C">
        <w:rPr>
          <w:rFonts w:ascii="Arial" w:hAnsi="Arial" w:cs="Arial"/>
          <w:sz w:val="24"/>
          <w:szCs w:val="24"/>
        </w:rPr>
        <w:t xml:space="preserve">Treatment of pulmonary arterial </w:t>
      </w:r>
      <w:proofErr w:type="spellStart"/>
      <w:r w:rsidRPr="00FA3F9C">
        <w:rPr>
          <w:rFonts w:ascii="Arial" w:hAnsi="Arial" w:cs="Arial"/>
          <w:sz w:val="24"/>
          <w:szCs w:val="24"/>
        </w:rPr>
        <w:t>hypertenstion</w:t>
      </w:r>
      <w:proofErr w:type="spellEnd"/>
      <w:r w:rsidRPr="00FA3F9C">
        <w:rPr>
          <w:rFonts w:ascii="Arial" w:hAnsi="Arial" w:cs="Arial"/>
          <w:sz w:val="24"/>
          <w:szCs w:val="24"/>
        </w:rPr>
        <w:t xml:space="preserve"> (PAH) (WHO Group 1) in adults to improve exercise ability and delay clinical worsening.</w:t>
      </w:r>
    </w:p>
    <w:p w14:paraId="1F3A0561" w14:textId="77777777" w:rsidR="00C3036D" w:rsidRPr="00FA3F9C" w:rsidRDefault="00C3036D" w:rsidP="00FC1E85">
      <w:pPr>
        <w:pStyle w:val="ListParagraph"/>
        <w:numPr>
          <w:ilvl w:val="0"/>
          <w:numId w:val="475"/>
        </w:numPr>
        <w:spacing w:after="0" w:line="276" w:lineRule="auto"/>
        <w:rPr>
          <w:rFonts w:ascii="Arial" w:hAnsi="Arial" w:cs="Arial"/>
          <w:sz w:val="24"/>
          <w:szCs w:val="24"/>
        </w:rPr>
      </w:pPr>
      <w:r w:rsidRPr="00FA3F9C">
        <w:rPr>
          <w:rFonts w:ascii="Arial" w:hAnsi="Arial" w:cs="Arial"/>
          <w:sz w:val="24"/>
          <w:szCs w:val="24"/>
        </w:rPr>
        <w:t>Erectile dysfunction</w:t>
      </w:r>
    </w:p>
    <w:tbl>
      <w:tblPr>
        <w:tblStyle w:val="TableGrid"/>
        <w:tblW w:w="0" w:type="auto"/>
        <w:tblLook w:val="04A0" w:firstRow="1" w:lastRow="0" w:firstColumn="1" w:lastColumn="0" w:noHBand="0" w:noVBand="1"/>
      </w:tblPr>
      <w:tblGrid>
        <w:gridCol w:w="10998"/>
      </w:tblGrid>
      <w:tr w:rsidR="00C3036D" w:rsidRPr="00FA3F9C" w14:paraId="171995CA" w14:textId="77777777" w:rsidTr="00F33892">
        <w:tc>
          <w:tcPr>
            <w:tcW w:w="10998" w:type="dxa"/>
          </w:tcPr>
          <w:p w14:paraId="0FED210C" w14:textId="77777777" w:rsidR="00C3036D" w:rsidRPr="00FA3F9C" w:rsidRDefault="00C3036D" w:rsidP="006F623F">
            <w:pPr>
              <w:jc w:val="center"/>
              <w:rPr>
                <w:rFonts w:ascii="Arial" w:hAnsi="Arial" w:cs="Arial"/>
                <w:b/>
                <w:sz w:val="24"/>
                <w:szCs w:val="24"/>
                <w:u w:val="single"/>
              </w:rPr>
            </w:pPr>
            <w:r w:rsidRPr="00FA3F9C">
              <w:rPr>
                <w:rFonts w:ascii="Arial" w:hAnsi="Arial" w:cs="Arial"/>
                <w:b/>
                <w:sz w:val="24"/>
                <w:szCs w:val="24"/>
                <w:u w:val="single"/>
              </w:rPr>
              <w:t>Criteria:</w:t>
            </w:r>
          </w:p>
        </w:tc>
      </w:tr>
      <w:tr w:rsidR="00C3036D" w:rsidRPr="00FA3F9C" w14:paraId="0D434C7E" w14:textId="77777777" w:rsidTr="00F33892">
        <w:tc>
          <w:tcPr>
            <w:tcW w:w="10998" w:type="dxa"/>
          </w:tcPr>
          <w:p w14:paraId="4B942459" w14:textId="77777777" w:rsidR="00C3036D" w:rsidRPr="00FA3F9C" w:rsidRDefault="00C3036D" w:rsidP="006F623F">
            <w:pPr>
              <w:rPr>
                <w:rFonts w:ascii="Arial" w:hAnsi="Arial" w:cs="Arial"/>
                <w:sz w:val="24"/>
                <w:szCs w:val="24"/>
              </w:rPr>
            </w:pPr>
            <w:r w:rsidRPr="00FA3F9C">
              <w:rPr>
                <w:rFonts w:ascii="Arial" w:hAnsi="Arial" w:cs="Arial"/>
                <w:sz w:val="24"/>
                <w:szCs w:val="24"/>
              </w:rPr>
              <w:t>1.  The patient must have the diagnosis of pulmonary arterial hypertension, WHO Group 1</w:t>
            </w:r>
          </w:p>
        </w:tc>
      </w:tr>
    </w:tbl>
    <w:p w14:paraId="69DA2F4C" w14:textId="77777777" w:rsidR="00C3036D" w:rsidRPr="00FA3F9C" w:rsidRDefault="00C3036D" w:rsidP="006F623F">
      <w:pPr>
        <w:spacing w:after="0"/>
        <w:rPr>
          <w:rFonts w:ascii="Arial" w:hAnsi="Arial" w:cs="Arial"/>
          <w:b/>
          <w:sz w:val="24"/>
          <w:szCs w:val="24"/>
          <w:u w:val="single"/>
        </w:rPr>
      </w:pPr>
    </w:p>
    <w:tbl>
      <w:tblPr>
        <w:tblStyle w:val="TableGrid"/>
        <w:tblW w:w="10998" w:type="dxa"/>
        <w:shd w:val="clear" w:color="auto" w:fill="BFBFBF" w:themeFill="background1" w:themeFillShade="BF"/>
        <w:tblLook w:val="04A0" w:firstRow="1" w:lastRow="0" w:firstColumn="1" w:lastColumn="0" w:noHBand="0" w:noVBand="1"/>
      </w:tblPr>
      <w:tblGrid>
        <w:gridCol w:w="10998"/>
      </w:tblGrid>
      <w:tr w:rsidR="00C3036D" w:rsidRPr="00FA3F9C" w14:paraId="541AB6F7" w14:textId="77777777" w:rsidTr="00871AC4">
        <w:tc>
          <w:tcPr>
            <w:tcW w:w="10998" w:type="dxa"/>
            <w:shd w:val="clear" w:color="auto" w:fill="BFBFBF" w:themeFill="background1" w:themeFillShade="BF"/>
          </w:tcPr>
          <w:p w14:paraId="72557948" w14:textId="77777777" w:rsidR="00C3036D" w:rsidRPr="00FA3F9C" w:rsidRDefault="00C3036D" w:rsidP="006F623F">
            <w:pPr>
              <w:rPr>
                <w:rFonts w:ascii="Arial" w:hAnsi="Arial" w:cs="Arial"/>
                <w:sz w:val="24"/>
                <w:szCs w:val="24"/>
              </w:rPr>
            </w:pPr>
            <w:r w:rsidRPr="00FA3F9C">
              <w:rPr>
                <w:rFonts w:ascii="Arial" w:hAnsi="Arial" w:cs="Arial"/>
                <w:sz w:val="24"/>
                <w:szCs w:val="24"/>
              </w:rPr>
              <w:t xml:space="preserve">Dosing is 5-20mg 3 times daily taken 4-6h apart.  Max dose is 20mg TID.  </w:t>
            </w:r>
          </w:p>
        </w:tc>
      </w:tr>
    </w:tbl>
    <w:p w14:paraId="1FEA0CA8" w14:textId="77777777" w:rsidR="00C3036D" w:rsidRPr="00FA3F9C" w:rsidRDefault="00C3036D" w:rsidP="006F623F">
      <w:pPr>
        <w:spacing w:after="0"/>
        <w:rPr>
          <w:rFonts w:ascii="Arial" w:hAnsi="Arial" w:cs="Arial"/>
          <w:sz w:val="24"/>
          <w:szCs w:val="24"/>
        </w:rPr>
      </w:pPr>
    </w:p>
    <w:p w14:paraId="70F44439" w14:textId="77777777" w:rsidR="00C3036D" w:rsidRPr="00FA3F9C" w:rsidRDefault="00C3036D" w:rsidP="006F623F">
      <w:pPr>
        <w:pStyle w:val="Default"/>
        <w:rPr>
          <w:rFonts w:ascii="Arial" w:hAnsi="Arial" w:cs="Arial"/>
        </w:rPr>
      </w:pPr>
    </w:p>
    <w:p w14:paraId="65EA2B93" w14:textId="77777777" w:rsidR="00C3036D" w:rsidRPr="00FA3F9C" w:rsidRDefault="00C3036D" w:rsidP="006F623F">
      <w:pPr>
        <w:spacing w:after="0"/>
        <w:rPr>
          <w:rFonts w:ascii="Arial" w:hAnsi="Arial" w:cs="Arial"/>
          <w:sz w:val="24"/>
          <w:szCs w:val="24"/>
        </w:rPr>
      </w:pPr>
    </w:p>
    <w:p w14:paraId="6396A3C1" w14:textId="77777777" w:rsidR="00C3036D" w:rsidRPr="00FA3F9C" w:rsidRDefault="00C3036D"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017"/>
        <w:gridCol w:w="7920"/>
        <w:gridCol w:w="2088"/>
      </w:tblGrid>
      <w:tr w:rsidR="00C3036D" w:rsidRPr="00FA3F9C" w14:paraId="385AB838" w14:textId="77777777" w:rsidTr="00F33892">
        <w:tc>
          <w:tcPr>
            <w:tcW w:w="1008" w:type="dxa"/>
          </w:tcPr>
          <w:p w14:paraId="25151EE6" w14:textId="77777777" w:rsidR="00C3036D" w:rsidRPr="00FA3F9C" w:rsidRDefault="00C3036D" w:rsidP="006F623F">
            <w:pPr>
              <w:rPr>
                <w:rFonts w:ascii="Arial" w:hAnsi="Arial" w:cs="Arial"/>
                <w:sz w:val="24"/>
                <w:szCs w:val="24"/>
              </w:rPr>
            </w:pPr>
            <w:r w:rsidRPr="00FA3F9C">
              <w:rPr>
                <w:rFonts w:ascii="Arial" w:hAnsi="Arial" w:cs="Arial"/>
                <w:sz w:val="24"/>
                <w:szCs w:val="24"/>
              </w:rPr>
              <w:t>Date</w:t>
            </w:r>
          </w:p>
        </w:tc>
        <w:tc>
          <w:tcPr>
            <w:tcW w:w="7920" w:type="dxa"/>
          </w:tcPr>
          <w:p w14:paraId="364F13BB" w14:textId="77777777" w:rsidR="00C3036D" w:rsidRPr="00FA3F9C" w:rsidRDefault="00C3036D" w:rsidP="006F623F">
            <w:pPr>
              <w:rPr>
                <w:rFonts w:ascii="Arial" w:hAnsi="Arial" w:cs="Arial"/>
                <w:sz w:val="24"/>
                <w:szCs w:val="24"/>
              </w:rPr>
            </w:pPr>
            <w:r w:rsidRPr="00FA3F9C">
              <w:rPr>
                <w:rFonts w:ascii="Arial" w:hAnsi="Arial" w:cs="Arial"/>
                <w:sz w:val="24"/>
                <w:szCs w:val="24"/>
              </w:rPr>
              <w:t>What changed</w:t>
            </w:r>
          </w:p>
        </w:tc>
        <w:tc>
          <w:tcPr>
            <w:tcW w:w="2088" w:type="dxa"/>
          </w:tcPr>
          <w:p w14:paraId="12B4ACED" w14:textId="77777777" w:rsidR="00C3036D" w:rsidRPr="00FA3F9C" w:rsidRDefault="00C3036D" w:rsidP="006F623F">
            <w:pPr>
              <w:rPr>
                <w:rFonts w:ascii="Arial" w:hAnsi="Arial" w:cs="Arial"/>
                <w:sz w:val="24"/>
                <w:szCs w:val="24"/>
              </w:rPr>
            </w:pPr>
            <w:r w:rsidRPr="00FA3F9C">
              <w:rPr>
                <w:rFonts w:ascii="Arial" w:hAnsi="Arial" w:cs="Arial"/>
                <w:sz w:val="24"/>
                <w:szCs w:val="24"/>
              </w:rPr>
              <w:t>Pharmacist’s initials</w:t>
            </w:r>
          </w:p>
        </w:tc>
      </w:tr>
      <w:tr w:rsidR="00C3036D" w:rsidRPr="00FA3F9C" w14:paraId="3F753796" w14:textId="77777777" w:rsidTr="00F33892">
        <w:tc>
          <w:tcPr>
            <w:tcW w:w="1008" w:type="dxa"/>
          </w:tcPr>
          <w:p w14:paraId="0B5A180F" w14:textId="77777777" w:rsidR="00C3036D" w:rsidRPr="00FA3F9C" w:rsidRDefault="00C3036D" w:rsidP="006F623F">
            <w:pPr>
              <w:rPr>
                <w:rFonts w:ascii="Arial" w:hAnsi="Arial" w:cs="Arial"/>
                <w:sz w:val="24"/>
                <w:szCs w:val="24"/>
              </w:rPr>
            </w:pPr>
            <w:r w:rsidRPr="00FA3F9C">
              <w:rPr>
                <w:rFonts w:ascii="Arial" w:hAnsi="Arial" w:cs="Arial"/>
                <w:sz w:val="24"/>
                <w:szCs w:val="24"/>
              </w:rPr>
              <w:t>2/6/15</w:t>
            </w:r>
          </w:p>
        </w:tc>
        <w:tc>
          <w:tcPr>
            <w:tcW w:w="7920" w:type="dxa"/>
          </w:tcPr>
          <w:p w14:paraId="1A59B784" w14:textId="77777777" w:rsidR="00C3036D" w:rsidRPr="00FA3F9C" w:rsidRDefault="00C3036D" w:rsidP="006F623F">
            <w:pPr>
              <w:rPr>
                <w:rFonts w:ascii="Arial" w:hAnsi="Arial" w:cs="Arial"/>
                <w:sz w:val="24"/>
                <w:szCs w:val="24"/>
              </w:rPr>
            </w:pPr>
            <w:r w:rsidRPr="00FA3F9C">
              <w:rPr>
                <w:rFonts w:ascii="Arial" w:hAnsi="Arial" w:cs="Arial"/>
                <w:sz w:val="24"/>
                <w:szCs w:val="24"/>
              </w:rPr>
              <w:t>I wrote the criteria.</w:t>
            </w:r>
          </w:p>
        </w:tc>
        <w:tc>
          <w:tcPr>
            <w:tcW w:w="2088" w:type="dxa"/>
          </w:tcPr>
          <w:p w14:paraId="7EE2020A" w14:textId="77777777" w:rsidR="00C3036D" w:rsidRPr="00FA3F9C" w:rsidRDefault="00C3036D" w:rsidP="006F623F">
            <w:pPr>
              <w:rPr>
                <w:rFonts w:ascii="Arial" w:hAnsi="Arial" w:cs="Arial"/>
                <w:sz w:val="24"/>
                <w:szCs w:val="24"/>
              </w:rPr>
            </w:pPr>
            <w:r w:rsidRPr="00FA3F9C">
              <w:rPr>
                <w:rFonts w:ascii="Arial" w:hAnsi="Arial" w:cs="Arial"/>
                <w:sz w:val="24"/>
                <w:szCs w:val="24"/>
              </w:rPr>
              <w:t>JJ</w:t>
            </w:r>
          </w:p>
        </w:tc>
      </w:tr>
      <w:tr w:rsidR="00C3036D" w:rsidRPr="00FA3F9C" w14:paraId="0B80B38C" w14:textId="77777777" w:rsidTr="00F33892">
        <w:tc>
          <w:tcPr>
            <w:tcW w:w="1008" w:type="dxa"/>
          </w:tcPr>
          <w:p w14:paraId="0EE25C5F" w14:textId="77777777" w:rsidR="00C3036D" w:rsidRPr="00FA3F9C" w:rsidRDefault="00C3036D" w:rsidP="006F623F">
            <w:pPr>
              <w:rPr>
                <w:rFonts w:ascii="Arial" w:hAnsi="Arial" w:cs="Arial"/>
                <w:sz w:val="24"/>
                <w:szCs w:val="24"/>
              </w:rPr>
            </w:pPr>
            <w:r w:rsidRPr="00FA3F9C">
              <w:rPr>
                <w:rFonts w:ascii="Arial" w:hAnsi="Arial" w:cs="Arial"/>
                <w:sz w:val="24"/>
                <w:szCs w:val="24"/>
              </w:rPr>
              <w:t>3/30/21</w:t>
            </w:r>
          </w:p>
        </w:tc>
        <w:tc>
          <w:tcPr>
            <w:tcW w:w="7920" w:type="dxa"/>
          </w:tcPr>
          <w:p w14:paraId="1CFE6B0D" w14:textId="569916CD" w:rsidR="00C3036D" w:rsidRPr="00FA3F9C" w:rsidRDefault="00B700AB" w:rsidP="006F623F">
            <w:pPr>
              <w:rPr>
                <w:rFonts w:ascii="Arial" w:hAnsi="Arial" w:cs="Arial"/>
                <w:sz w:val="24"/>
                <w:szCs w:val="24"/>
              </w:rPr>
            </w:pPr>
            <w:r w:rsidRPr="00FA3F9C">
              <w:rPr>
                <w:rFonts w:ascii="Arial" w:hAnsi="Arial" w:cs="Arial"/>
                <w:sz w:val="24"/>
                <w:szCs w:val="24"/>
              </w:rPr>
              <w:t>MB</w:t>
            </w:r>
            <w:r w:rsidR="00C3036D" w:rsidRPr="00FA3F9C">
              <w:rPr>
                <w:rFonts w:ascii="Arial" w:hAnsi="Arial" w:cs="Arial"/>
                <w:sz w:val="24"/>
                <w:szCs w:val="24"/>
              </w:rPr>
              <w:t xml:space="preserve"> Bard informed me the ED drugs are no longer covered by EBD, but the forms used for PAH are.</w:t>
            </w:r>
          </w:p>
        </w:tc>
        <w:tc>
          <w:tcPr>
            <w:tcW w:w="2088" w:type="dxa"/>
          </w:tcPr>
          <w:p w14:paraId="675D9096" w14:textId="77777777" w:rsidR="00C3036D" w:rsidRPr="00FA3F9C" w:rsidRDefault="00C3036D" w:rsidP="006F623F">
            <w:pPr>
              <w:rPr>
                <w:rFonts w:ascii="Arial" w:hAnsi="Arial" w:cs="Arial"/>
                <w:sz w:val="24"/>
                <w:szCs w:val="24"/>
              </w:rPr>
            </w:pPr>
            <w:r w:rsidRPr="00FA3F9C">
              <w:rPr>
                <w:rFonts w:ascii="Arial" w:hAnsi="Arial" w:cs="Arial"/>
                <w:sz w:val="24"/>
                <w:szCs w:val="24"/>
              </w:rPr>
              <w:t>JJ</w:t>
            </w:r>
          </w:p>
        </w:tc>
      </w:tr>
    </w:tbl>
    <w:p w14:paraId="6374A84C" w14:textId="77777777" w:rsidR="00C3036D" w:rsidRPr="00FA3F9C" w:rsidRDefault="00C3036D" w:rsidP="006F623F">
      <w:pPr>
        <w:spacing w:after="0"/>
        <w:rPr>
          <w:rFonts w:ascii="Arial" w:hAnsi="Arial" w:cs="Arial"/>
          <w:sz w:val="24"/>
          <w:szCs w:val="24"/>
        </w:rPr>
      </w:pPr>
    </w:p>
    <w:p w14:paraId="77E1A76B" w14:textId="77777777" w:rsidR="00C3036D" w:rsidRPr="00FA3F9C" w:rsidRDefault="00C3036D" w:rsidP="0078218F">
      <w:pPr>
        <w:pStyle w:val="Heading2"/>
      </w:pPr>
      <w:bookmarkStart w:id="310" w:name="_Toc106369933"/>
      <w:proofErr w:type="spellStart"/>
      <w:r w:rsidRPr="00FA3F9C">
        <w:t>Sipuleucel</w:t>
      </w:r>
      <w:proofErr w:type="spellEnd"/>
      <w:r w:rsidRPr="00FA3F9C">
        <w:t xml:space="preserve"> T (</w:t>
      </w:r>
      <w:proofErr w:type="spellStart"/>
      <w:r w:rsidRPr="00FA3F9C">
        <w:t>Provenge</w:t>
      </w:r>
      <w:proofErr w:type="spellEnd"/>
      <w:r w:rsidRPr="00FA3F9C">
        <w:t>)</w:t>
      </w:r>
      <w:bookmarkEnd w:id="310"/>
    </w:p>
    <w:p w14:paraId="26E0BB0B" w14:textId="77777777" w:rsidR="00C3036D" w:rsidRPr="00FA3F9C" w:rsidRDefault="00C3036D" w:rsidP="006F623F">
      <w:pPr>
        <w:spacing w:after="0"/>
        <w:jc w:val="center"/>
        <w:rPr>
          <w:rFonts w:ascii="Arial" w:hAnsi="Arial" w:cs="Arial"/>
          <w:sz w:val="24"/>
          <w:szCs w:val="24"/>
        </w:rPr>
      </w:pPr>
      <w:r w:rsidRPr="00FA3F9C">
        <w:rPr>
          <w:rFonts w:ascii="Arial" w:hAnsi="Arial" w:cs="Arial"/>
          <w:sz w:val="24"/>
          <w:szCs w:val="24"/>
        </w:rPr>
        <w:t>EBRx PA Criteria</w:t>
      </w:r>
    </w:p>
    <w:p w14:paraId="1674628D" w14:textId="77777777" w:rsidR="00C3036D" w:rsidRPr="00FA3F9C" w:rsidRDefault="00C3036D" w:rsidP="006F623F">
      <w:pPr>
        <w:spacing w:after="0"/>
        <w:rPr>
          <w:rFonts w:ascii="Arial" w:hAnsi="Arial" w:cs="Arial"/>
          <w:b/>
          <w:sz w:val="24"/>
          <w:szCs w:val="24"/>
          <w:u w:val="single"/>
        </w:rPr>
      </w:pPr>
    </w:p>
    <w:p w14:paraId="09F56EA1" w14:textId="77777777" w:rsidR="00C3036D" w:rsidRPr="00FA3F9C" w:rsidRDefault="00C3036D"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treatment of asymptomatic or minimally symptomatic metastatic castrate-resistant (hormone-refractory) prostate cancer</w:t>
      </w:r>
    </w:p>
    <w:p w14:paraId="27A1BAD5" w14:textId="77777777" w:rsidR="00C3036D" w:rsidRPr="00FA3F9C" w:rsidRDefault="00C3036D" w:rsidP="006F623F">
      <w:pPr>
        <w:spacing w:after="0"/>
        <w:rPr>
          <w:rFonts w:ascii="Arial" w:hAnsi="Arial" w:cs="Arial"/>
          <w:sz w:val="24"/>
          <w:szCs w:val="24"/>
        </w:rPr>
      </w:pPr>
    </w:p>
    <w:tbl>
      <w:tblPr>
        <w:tblStyle w:val="TableGrid"/>
        <w:tblW w:w="0" w:type="auto"/>
        <w:tblLook w:val="04A0" w:firstRow="1" w:lastRow="0" w:firstColumn="1" w:lastColumn="0" w:noHBand="0" w:noVBand="1"/>
      </w:tblPr>
      <w:tblGrid>
        <w:gridCol w:w="8928"/>
        <w:gridCol w:w="2088"/>
      </w:tblGrid>
      <w:tr w:rsidR="00C3036D" w:rsidRPr="00FA3F9C" w14:paraId="727CDC77" w14:textId="77777777" w:rsidTr="00571CAB">
        <w:tc>
          <w:tcPr>
            <w:tcW w:w="8928" w:type="dxa"/>
            <w:shd w:val="clear" w:color="auto" w:fill="000000"/>
          </w:tcPr>
          <w:p w14:paraId="02893488" w14:textId="77777777" w:rsidR="00C3036D" w:rsidRPr="00FA3F9C" w:rsidRDefault="00C3036D"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88" w:type="dxa"/>
            <w:shd w:val="clear" w:color="auto" w:fill="000000"/>
          </w:tcPr>
          <w:p w14:paraId="64B0ECE4" w14:textId="77777777" w:rsidR="00C3036D" w:rsidRPr="00FA3F9C" w:rsidRDefault="00C3036D" w:rsidP="006F623F">
            <w:pPr>
              <w:jc w:val="center"/>
              <w:rPr>
                <w:rFonts w:ascii="Arial" w:hAnsi="Arial" w:cs="Arial"/>
                <w:b/>
                <w:sz w:val="24"/>
                <w:szCs w:val="24"/>
                <w:u w:val="single"/>
              </w:rPr>
            </w:pPr>
          </w:p>
        </w:tc>
      </w:tr>
      <w:tr w:rsidR="00C3036D" w:rsidRPr="00FA3F9C" w14:paraId="3E18FFDE" w14:textId="77777777" w:rsidTr="00F337AE">
        <w:tc>
          <w:tcPr>
            <w:tcW w:w="11016" w:type="dxa"/>
            <w:gridSpan w:val="2"/>
          </w:tcPr>
          <w:p w14:paraId="3B22B8D1" w14:textId="77777777" w:rsidR="00C3036D" w:rsidRPr="00FA3F9C" w:rsidRDefault="00C3036D" w:rsidP="00FC1E85">
            <w:pPr>
              <w:pStyle w:val="ListParagraph"/>
              <w:numPr>
                <w:ilvl w:val="0"/>
                <w:numId w:val="476"/>
              </w:numPr>
              <w:ind w:left="360"/>
              <w:rPr>
                <w:rFonts w:ascii="Arial" w:hAnsi="Arial" w:cs="Arial"/>
                <w:sz w:val="24"/>
                <w:szCs w:val="24"/>
              </w:rPr>
            </w:pPr>
            <w:r w:rsidRPr="00FA3F9C">
              <w:rPr>
                <w:rFonts w:ascii="Arial" w:hAnsi="Arial" w:cs="Arial"/>
                <w:sz w:val="24"/>
                <w:szCs w:val="24"/>
              </w:rPr>
              <w:lastRenderedPageBreak/>
              <w:t>Diagnosis of metastatic prostate adenocarcinoma (not small cell or neuroendocrine prostate cancer).</w:t>
            </w:r>
          </w:p>
        </w:tc>
      </w:tr>
      <w:tr w:rsidR="00C3036D" w:rsidRPr="00FA3F9C" w14:paraId="4C2EB373" w14:textId="77777777" w:rsidTr="00B1617E">
        <w:tc>
          <w:tcPr>
            <w:tcW w:w="11016" w:type="dxa"/>
            <w:gridSpan w:val="2"/>
          </w:tcPr>
          <w:p w14:paraId="601CCE99" w14:textId="77777777" w:rsidR="00C3036D" w:rsidRPr="00FA3F9C" w:rsidRDefault="00C3036D" w:rsidP="00FC1E85">
            <w:pPr>
              <w:pStyle w:val="ListParagraph"/>
              <w:numPr>
                <w:ilvl w:val="0"/>
                <w:numId w:val="476"/>
              </w:numPr>
              <w:ind w:left="360"/>
              <w:rPr>
                <w:rFonts w:ascii="Arial" w:hAnsi="Arial" w:cs="Arial"/>
                <w:sz w:val="24"/>
                <w:szCs w:val="24"/>
              </w:rPr>
            </w:pPr>
            <w:r w:rsidRPr="00FA3F9C">
              <w:rPr>
                <w:rFonts w:ascii="Arial" w:hAnsi="Arial" w:cs="Arial"/>
                <w:sz w:val="24"/>
                <w:szCs w:val="24"/>
              </w:rPr>
              <w:t>Patient does not have visceral metastasis (</w:t>
            </w:r>
            <w:proofErr w:type="gramStart"/>
            <w:r w:rsidRPr="00FA3F9C">
              <w:rPr>
                <w:rFonts w:ascii="Arial" w:hAnsi="Arial" w:cs="Arial"/>
                <w:sz w:val="24"/>
                <w:szCs w:val="24"/>
              </w:rPr>
              <w:t>e.g.</w:t>
            </w:r>
            <w:proofErr w:type="gramEnd"/>
            <w:r w:rsidRPr="00FA3F9C">
              <w:rPr>
                <w:rFonts w:ascii="Arial" w:hAnsi="Arial" w:cs="Arial"/>
                <w:sz w:val="24"/>
                <w:szCs w:val="24"/>
              </w:rPr>
              <w:t xml:space="preserve"> metastasis to sites other than bone, lymph nodes, or other soft tissue. Visceral metastases include, but are not limited to, metastases to organs such as lung, brain, liver, adrenal, or peritoneum).</w:t>
            </w:r>
          </w:p>
        </w:tc>
      </w:tr>
      <w:tr w:rsidR="00C3036D" w:rsidRPr="00FA3F9C" w14:paraId="45187E87" w14:textId="77777777" w:rsidTr="00B1617E">
        <w:tc>
          <w:tcPr>
            <w:tcW w:w="11016" w:type="dxa"/>
            <w:gridSpan w:val="2"/>
          </w:tcPr>
          <w:p w14:paraId="36A723E3" w14:textId="77777777" w:rsidR="00C3036D" w:rsidRPr="00FA3F9C" w:rsidRDefault="00C3036D" w:rsidP="00FC1E85">
            <w:pPr>
              <w:pStyle w:val="ListParagraph"/>
              <w:numPr>
                <w:ilvl w:val="0"/>
                <w:numId w:val="476"/>
              </w:numPr>
              <w:ind w:left="360"/>
              <w:rPr>
                <w:rFonts w:ascii="Arial" w:hAnsi="Arial" w:cs="Arial"/>
                <w:sz w:val="24"/>
                <w:szCs w:val="24"/>
              </w:rPr>
            </w:pPr>
            <w:r w:rsidRPr="00FA3F9C">
              <w:rPr>
                <w:rFonts w:ascii="Arial" w:hAnsi="Arial" w:cs="Arial"/>
                <w:sz w:val="24"/>
                <w:szCs w:val="24"/>
              </w:rPr>
              <w:t>Prostate cancer is castration resistant (disease has progressed while serum testosterone level is &lt;50 ng/dl)</w:t>
            </w:r>
          </w:p>
        </w:tc>
      </w:tr>
      <w:tr w:rsidR="00C3036D" w:rsidRPr="00FA3F9C" w14:paraId="2F38D534" w14:textId="77777777" w:rsidTr="0010789D">
        <w:tc>
          <w:tcPr>
            <w:tcW w:w="11016" w:type="dxa"/>
            <w:gridSpan w:val="2"/>
          </w:tcPr>
          <w:p w14:paraId="57BACA52" w14:textId="77777777" w:rsidR="00C3036D" w:rsidRPr="00FA3F9C" w:rsidRDefault="00C3036D" w:rsidP="00FC1E85">
            <w:pPr>
              <w:pStyle w:val="ListParagraph"/>
              <w:numPr>
                <w:ilvl w:val="0"/>
                <w:numId w:val="476"/>
              </w:numPr>
              <w:ind w:left="360"/>
              <w:rPr>
                <w:rFonts w:ascii="Arial" w:hAnsi="Arial" w:cs="Arial"/>
                <w:sz w:val="24"/>
                <w:szCs w:val="24"/>
              </w:rPr>
            </w:pPr>
            <w:r w:rsidRPr="00FA3F9C">
              <w:rPr>
                <w:rFonts w:ascii="Arial" w:hAnsi="Arial" w:cs="Arial"/>
                <w:sz w:val="24"/>
                <w:szCs w:val="24"/>
              </w:rPr>
              <w:t>Patient exhibits no symptoms or has minimal symptoms due to prostate cancer defined as follows:</w:t>
            </w:r>
          </w:p>
          <w:p w14:paraId="33F09E5B" w14:textId="77777777" w:rsidR="00C3036D" w:rsidRPr="00FA3F9C" w:rsidRDefault="00C3036D" w:rsidP="00FF5E7B">
            <w:pPr>
              <w:pStyle w:val="ListParagraph"/>
              <w:ind w:left="360"/>
              <w:rPr>
                <w:rFonts w:ascii="Arial" w:hAnsi="Arial" w:cs="Arial"/>
                <w:sz w:val="24"/>
                <w:szCs w:val="24"/>
              </w:rPr>
            </w:pPr>
            <w:r w:rsidRPr="00FA3F9C">
              <w:rPr>
                <w:rFonts w:ascii="Arial" w:hAnsi="Arial" w:cs="Arial"/>
                <w:sz w:val="24"/>
                <w:szCs w:val="24"/>
              </w:rPr>
              <w:t>-No requirement for treatment of cancer-related pain with opioids</w:t>
            </w:r>
          </w:p>
          <w:p w14:paraId="30F7D87C" w14:textId="77777777" w:rsidR="00C3036D" w:rsidRPr="00FA3F9C" w:rsidRDefault="00C3036D" w:rsidP="00600F3D">
            <w:pPr>
              <w:pStyle w:val="ListParagraph"/>
              <w:ind w:left="360"/>
              <w:rPr>
                <w:rFonts w:ascii="Arial" w:hAnsi="Arial" w:cs="Arial"/>
                <w:sz w:val="24"/>
                <w:szCs w:val="24"/>
              </w:rPr>
            </w:pPr>
            <w:r w:rsidRPr="00FA3F9C">
              <w:rPr>
                <w:rFonts w:ascii="Arial" w:hAnsi="Arial" w:cs="Arial"/>
                <w:sz w:val="24"/>
                <w:szCs w:val="24"/>
              </w:rPr>
              <w:t>-Average weekly pain score of 4 or less on a scale of 10</w:t>
            </w:r>
          </w:p>
        </w:tc>
      </w:tr>
      <w:tr w:rsidR="00C3036D" w:rsidRPr="00FA3F9C" w14:paraId="756ACDE8" w14:textId="77777777" w:rsidTr="00DA57E0">
        <w:tc>
          <w:tcPr>
            <w:tcW w:w="11016" w:type="dxa"/>
            <w:gridSpan w:val="2"/>
          </w:tcPr>
          <w:p w14:paraId="325802A9" w14:textId="77777777" w:rsidR="00C3036D" w:rsidRPr="00FA3F9C" w:rsidRDefault="00C3036D" w:rsidP="00FC1E85">
            <w:pPr>
              <w:pStyle w:val="ListParagraph"/>
              <w:numPr>
                <w:ilvl w:val="0"/>
                <w:numId w:val="476"/>
              </w:numPr>
              <w:ind w:left="360"/>
              <w:rPr>
                <w:rFonts w:ascii="Arial" w:hAnsi="Arial" w:cs="Arial"/>
                <w:sz w:val="24"/>
                <w:szCs w:val="24"/>
              </w:rPr>
            </w:pPr>
            <w:r w:rsidRPr="00FA3F9C">
              <w:rPr>
                <w:rFonts w:ascii="Arial" w:hAnsi="Arial" w:cs="Arial"/>
                <w:sz w:val="24"/>
                <w:szCs w:val="24"/>
              </w:rPr>
              <w:t>Patient has a life expectancy of at least 6 months</w:t>
            </w:r>
          </w:p>
        </w:tc>
      </w:tr>
      <w:tr w:rsidR="00C3036D" w:rsidRPr="00FA3F9C" w14:paraId="0C4797F1" w14:textId="77777777" w:rsidTr="00DA57E0">
        <w:tc>
          <w:tcPr>
            <w:tcW w:w="11016" w:type="dxa"/>
            <w:gridSpan w:val="2"/>
          </w:tcPr>
          <w:p w14:paraId="1D6A262F" w14:textId="77777777" w:rsidR="00C3036D" w:rsidRPr="00FA3F9C" w:rsidRDefault="00C3036D" w:rsidP="00FC1E85">
            <w:pPr>
              <w:pStyle w:val="ListParagraph"/>
              <w:numPr>
                <w:ilvl w:val="0"/>
                <w:numId w:val="476"/>
              </w:numPr>
              <w:ind w:left="360"/>
              <w:rPr>
                <w:rFonts w:ascii="Arial" w:hAnsi="Arial" w:cs="Arial"/>
                <w:sz w:val="24"/>
                <w:szCs w:val="24"/>
              </w:rPr>
            </w:pPr>
            <w:r w:rsidRPr="00FA3F9C">
              <w:rPr>
                <w:rFonts w:ascii="Arial" w:hAnsi="Arial" w:cs="Arial"/>
                <w:sz w:val="24"/>
                <w:szCs w:val="24"/>
              </w:rPr>
              <w:t>Current serum testosterone level is less than 50 ng/dl</w:t>
            </w:r>
          </w:p>
        </w:tc>
      </w:tr>
      <w:tr w:rsidR="00C3036D" w:rsidRPr="00FA3F9C" w14:paraId="64C7DFF6" w14:textId="77777777" w:rsidTr="00DA57E0">
        <w:tc>
          <w:tcPr>
            <w:tcW w:w="11016" w:type="dxa"/>
            <w:gridSpan w:val="2"/>
          </w:tcPr>
          <w:p w14:paraId="319CBB3D" w14:textId="77777777" w:rsidR="00C3036D" w:rsidRPr="00FA3F9C" w:rsidRDefault="00C3036D" w:rsidP="00FC1E85">
            <w:pPr>
              <w:pStyle w:val="ListParagraph"/>
              <w:numPr>
                <w:ilvl w:val="0"/>
                <w:numId w:val="476"/>
              </w:numPr>
              <w:ind w:left="360"/>
              <w:rPr>
                <w:rFonts w:ascii="Arial" w:hAnsi="Arial" w:cs="Arial"/>
                <w:sz w:val="24"/>
                <w:szCs w:val="24"/>
              </w:rPr>
            </w:pPr>
            <w:r w:rsidRPr="00FA3F9C">
              <w:rPr>
                <w:rFonts w:ascii="Arial" w:hAnsi="Arial" w:cs="Arial"/>
                <w:sz w:val="24"/>
                <w:szCs w:val="24"/>
              </w:rPr>
              <w:t>ECOG performance status is 0 or 1 (see table below)</w:t>
            </w:r>
          </w:p>
        </w:tc>
      </w:tr>
      <w:tr w:rsidR="00C3036D" w:rsidRPr="00FA3F9C" w14:paraId="6FEAA8E5" w14:textId="77777777" w:rsidTr="00DA57E0">
        <w:tc>
          <w:tcPr>
            <w:tcW w:w="11016" w:type="dxa"/>
            <w:gridSpan w:val="2"/>
          </w:tcPr>
          <w:p w14:paraId="62E7C12C" w14:textId="77777777" w:rsidR="00C3036D" w:rsidRPr="00FA3F9C" w:rsidRDefault="00C3036D" w:rsidP="00FC1E85">
            <w:pPr>
              <w:pStyle w:val="ListParagraph"/>
              <w:numPr>
                <w:ilvl w:val="0"/>
                <w:numId w:val="476"/>
              </w:numPr>
              <w:ind w:left="360"/>
              <w:rPr>
                <w:rFonts w:ascii="Arial" w:hAnsi="Arial" w:cs="Arial"/>
                <w:sz w:val="24"/>
                <w:szCs w:val="24"/>
              </w:rPr>
            </w:pPr>
            <w:proofErr w:type="spellStart"/>
            <w:r w:rsidRPr="00FA3F9C">
              <w:rPr>
                <w:rFonts w:ascii="Arial" w:hAnsi="Arial" w:cs="Arial"/>
                <w:sz w:val="24"/>
                <w:szCs w:val="24"/>
              </w:rPr>
              <w:t>Sipuleucel</w:t>
            </w:r>
            <w:proofErr w:type="spellEnd"/>
            <w:r w:rsidRPr="00FA3F9C">
              <w:rPr>
                <w:rFonts w:ascii="Arial" w:hAnsi="Arial" w:cs="Arial"/>
                <w:sz w:val="24"/>
                <w:szCs w:val="24"/>
              </w:rPr>
              <w:t xml:space="preserve"> T will not be used in combination with other prostate cancer therapy (exception: androgen deprivation such as </w:t>
            </w:r>
            <w:proofErr w:type="spellStart"/>
            <w:r w:rsidRPr="00FA3F9C">
              <w:rPr>
                <w:rFonts w:ascii="Arial" w:hAnsi="Arial" w:cs="Arial"/>
                <w:sz w:val="24"/>
                <w:szCs w:val="24"/>
              </w:rPr>
              <w:t>goserelin</w:t>
            </w:r>
            <w:proofErr w:type="spellEnd"/>
            <w:r w:rsidRPr="00FA3F9C">
              <w:rPr>
                <w:rFonts w:ascii="Arial" w:hAnsi="Arial" w:cs="Arial"/>
                <w:sz w:val="24"/>
                <w:szCs w:val="24"/>
              </w:rPr>
              <w:t xml:space="preserve"> or leuprolide should continue)</w:t>
            </w:r>
          </w:p>
        </w:tc>
      </w:tr>
      <w:tr w:rsidR="00C3036D" w:rsidRPr="00FA3F9C" w14:paraId="769569A4" w14:textId="77777777" w:rsidTr="00DA57E0">
        <w:tc>
          <w:tcPr>
            <w:tcW w:w="11016" w:type="dxa"/>
            <w:gridSpan w:val="2"/>
          </w:tcPr>
          <w:p w14:paraId="185E5952" w14:textId="77777777" w:rsidR="00C3036D" w:rsidRPr="00FA3F9C" w:rsidRDefault="00C3036D" w:rsidP="00FC1E85">
            <w:pPr>
              <w:pStyle w:val="ListParagraph"/>
              <w:numPr>
                <w:ilvl w:val="0"/>
                <w:numId w:val="476"/>
              </w:numPr>
              <w:ind w:left="360"/>
              <w:rPr>
                <w:rFonts w:ascii="Arial" w:hAnsi="Arial" w:cs="Arial"/>
                <w:sz w:val="24"/>
                <w:szCs w:val="24"/>
              </w:rPr>
            </w:pPr>
            <w:r w:rsidRPr="00FA3F9C">
              <w:rPr>
                <w:rFonts w:ascii="Arial" w:hAnsi="Arial" w:cs="Arial"/>
                <w:sz w:val="24"/>
                <w:szCs w:val="24"/>
              </w:rPr>
              <w:t>Patient has been treated with 0 or 1 prior therapies in the castration-resistant metastatic setting.</w:t>
            </w:r>
          </w:p>
        </w:tc>
      </w:tr>
      <w:tr w:rsidR="00C3036D" w:rsidRPr="00FA3F9C" w14:paraId="495B664D" w14:textId="77777777" w:rsidTr="00473B3E">
        <w:tc>
          <w:tcPr>
            <w:tcW w:w="11016" w:type="dxa"/>
            <w:gridSpan w:val="2"/>
            <w:shd w:val="clear" w:color="auto" w:fill="F2F2F2" w:themeFill="background1" w:themeFillShade="F2"/>
          </w:tcPr>
          <w:p w14:paraId="5D02A406" w14:textId="77777777" w:rsidR="00C3036D" w:rsidRPr="00FA3F9C" w:rsidRDefault="00C3036D" w:rsidP="00473B3E">
            <w:pPr>
              <w:rPr>
                <w:rFonts w:ascii="Arial" w:hAnsi="Arial" w:cs="Arial"/>
                <w:sz w:val="24"/>
                <w:szCs w:val="24"/>
              </w:rPr>
            </w:pPr>
            <w:r w:rsidRPr="00FA3F9C">
              <w:rPr>
                <w:rFonts w:ascii="Arial" w:hAnsi="Arial" w:cs="Arial"/>
                <w:sz w:val="24"/>
                <w:szCs w:val="24"/>
              </w:rPr>
              <w:t xml:space="preserve">If all criteria are met, approve for 3 months only. </w:t>
            </w:r>
            <w:r w:rsidRPr="00FA3F9C">
              <w:rPr>
                <w:rFonts w:ascii="Arial" w:hAnsi="Arial" w:cs="Arial"/>
                <w:sz w:val="24"/>
                <w:szCs w:val="24"/>
                <w:highlight w:val="cyan"/>
              </w:rPr>
              <w:t>Renewals not allowed</w:t>
            </w:r>
            <w:r w:rsidRPr="00FA3F9C">
              <w:rPr>
                <w:rFonts w:ascii="Arial" w:hAnsi="Arial" w:cs="Arial"/>
                <w:sz w:val="24"/>
                <w:szCs w:val="24"/>
              </w:rPr>
              <w:t>, as treatment course is limited to 3 doses only.</w:t>
            </w:r>
          </w:p>
        </w:tc>
      </w:tr>
    </w:tbl>
    <w:p w14:paraId="527075EF" w14:textId="77777777" w:rsidR="00C3036D" w:rsidRPr="00FA3F9C" w:rsidRDefault="00C3036D" w:rsidP="006F623F">
      <w:pPr>
        <w:spacing w:after="0"/>
        <w:rPr>
          <w:rFonts w:ascii="Arial" w:hAnsi="Arial" w:cs="Arial"/>
          <w:b/>
          <w:sz w:val="24"/>
          <w:szCs w:val="24"/>
          <w:u w:val="single"/>
        </w:rPr>
      </w:pPr>
    </w:p>
    <w:tbl>
      <w:tblPr>
        <w:tblStyle w:val="TableGrid"/>
        <w:tblW w:w="0" w:type="auto"/>
        <w:shd w:val="clear" w:color="auto" w:fill="BFBFBF" w:themeFill="background1" w:themeFillShade="BF"/>
        <w:tblLook w:val="04A0" w:firstRow="1" w:lastRow="0" w:firstColumn="1" w:lastColumn="0" w:noHBand="0" w:noVBand="1"/>
      </w:tblPr>
      <w:tblGrid>
        <w:gridCol w:w="11831"/>
      </w:tblGrid>
      <w:tr w:rsidR="00C3036D" w:rsidRPr="00FA3F9C" w14:paraId="2D109F9C" w14:textId="77777777" w:rsidTr="00D82B6E">
        <w:tc>
          <w:tcPr>
            <w:tcW w:w="10998" w:type="dxa"/>
            <w:shd w:val="clear" w:color="auto" w:fill="BFBFBF" w:themeFill="background1" w:themeFillShade="BF"/>
          </w:tcPr>
          <w:p w14:paraId="3F69231F" w14:textId="77777777" w:rsidR="00C3036D" w:rsidRPr="00FA3F9C" w:rsidRDefault="00C3036D" w:rsidP="00D82B6E">
            <w:pPr>
              <w:rPr>
                <w:rFonts w:ascii="Arial" w:hAnsi="Arial" w:cs="Arial"/>
                <w:sz w:val="24"/>
                <w:szCs w:val="24"/>
              </w:rPr>
            </w:pPr>
            <w:r w:rsidRPr="00FA3F9C">
              <w:rPr>
                <w:rFonts w:ascii="Arial" w:hAnsi="Arial" w:cs="Arial"/>
                <w:sz w:val="24"/>
                <w:szCs w:val="24"/>
              </w:rPr>
              <w:t xml:space="preserve">Note: </w:t>
            </w:r>
          </w:p>
          <w:p w14:paraId="3F75392C" w14:textId="77777777" w:rsidR="00C3036D" w:rsidRPr="00FA3F9C" w:rsidRDefault="00C3036D" w:rsidP="00326127">
            <w:pPr>
              <w:rPr>
                <w:rFonts w:ascii="Arial" w:hAnsi="Arial" w:cs="Arial"/>
                <w:sz w:val="24"/>
                <w:szCs w:val="24"/>
              </w:rPr>
            </w:pPr>
            <w:proofErr w:type="spellStart"/>
            <w:r w:rsidRPr="00FA3F9C">
              <w:rPr>
                <w:rFonts w:ascii="Arial" w:hAnsi="Arial" w:cs="Arial"/>
                <w:sz w:val="24"/>
                <w:szCs w:val="24"/>
              </w:rPr>
              <w:t>Sipuleucel</w:t>
            </w:r>
            <w:proofErr w:type="spellEnd"/>
            <w:r w:rsidRPr="00FA3F9C">
              <w:rPr>
                <w:rFonts w:ascii="Arial" w:hAnsi="Arial" w:cs="Arial"/>
                <w:sz w:val="24"/>
                <w:szCs w:val="24"/>
              </w:rPr>
              <w:t xml:space="preserve"> T was compared to placebo in patients with metastatic castration resistant prostate cancer (</w:t>
            </w:r>
            <w:proofErr w:type="spellStart"/>
            <w:r w:rsidRPr="00FA3F9C">
              <w:rPr>
                <w:rFonts w:ascii="Arial" w:hAnsi="Arial" w:cs="Arial"/>
                <w:sz w:val="24"/>
                <w:szCs w:val="24"/>
              </w:rPr>
              <w:t>mCRPC</w:t>
            </w:r>
            <w:proofErr w:type="spellEnd"/>
            <w:r w:rsidRPr="00FA3F9C">
              <w:rPr>
                <w:rFonts w:ascii="Arial" w:hAnsi="Arial" w:cs="Arial"/>
                <w:sz w:val="24"/>
                <w:szCs w:val="24"/>
              </w:rPr>
              <w:t xml:space="preserve">) who were asymptomatic or minimally symptomatic. Overall survival was longer in the </w:t>
            </w:r>
            <w:proofErr w:type="spellStart"/>
            <w:r w:rsidRPr="00FA3F9C">
              <w:rPr>
                <w:rFonts w:ascii="Arial" w:hAnsi="Arial" w:cs="Arial"/>
                <w:sz w:val="24"/>
                <w:szCs w:val="24"/>
              </w:rPr>
              <w:t>sipuleucel</w:t>
            </w:r>
            <w:proofErr w:type="spellEnd"/>
            <w:r w:rsidRPr="00FA3F9C">
              <w:rPr>
                <w:rFonts w:ascii="Arial" w:hAnsi="Arial" w:cs="Arial"/>
                <w:sz w:val="24"/>
                <w:szCs w:val="24"/>
              </w:rPr>
              <w:t xml:space="preserve"> T group compared to placebo (25.8 </w:t>
            </w:r>
            <w:proofErr w:type="spellStart"/>
            <w:r w:rsidRPr="00FA3F9C">
              <w:rPr>
                <w:rFonts w:ascii="Arial" w:hAnsi="Arial" w:cs="Arial"/>
                <w:sz w:val="24"/>
                <w:szCs w:val="24"/>
              </w:rPr>
              <w:t>mo</w:t>
            </w:r>
            <w:proofErr w:type="spellEnd"/>
            <w:r w:rsidRPr="00FA3F9C">
              <w:rPr>
                <w:rFonts w:ascii="Arial" w:hAnsi="Arial" w:cs="Arial"/>
                <w:sz w:val="24"/>
                <w:szCs w:val="24"/>
              </w:rPr>
              <w:t xml:space="preserve"> vs 21.7 </w:t>
            </w:r>
            <w:proofErr w:type="spellStart"/>
            <w:r w:rsidRPr="00FA3F9C">
              <w:rPr>
                <w:rFonts w:ascii="Arial" w:hAnsi="Arial" w:cs="Arial"/>
                <w:sz w:val="24"/>
                <w:szCs w:val="24"/>
              </w:rPr>
              <w:t>mo</w:t>
            </w:r>
            <w:proofErr w:type="spellEnd"/>
            <w:r w:rsidRPr="00FA3F9C">
              <w:rPr>
                <w:rFonts w:ascii="Arial" w:hAnsi="Arial" w:cs="Arial"/>
                <w:sz w:val="24"/>
                <w:szCs w:val="24"/>
              </w:rPr>
              <w:t xml:space="preserve">). Placebo patients were allowed to receive a </w:t>
            </w:r>
            <w:proofErr w:type="spellStart"/>
            <w:r w:rsidRPr="00FA3F9C">
              <w:rPr>
                <w:rFonts w:ascii="Arial" w:hAnsi="Arial" w:cs="Arial"/>
                <w:sz w:val="24"/>
                <w:szCs w:val="24"/>
              </w:rPr>
              <w:t>sipuleucel</w:t>
            </w:r>
            <w:proofErr w:type="spellEnd"/>
            <w:r w:rsidRPr="00FA3F9C">
              <w:rPr>
                <w:rFonts w:ascii="Arial" w:hAnsi="Arial" w:cs="Arial"/>
                <w:sz w:val="24"/>
                <w:szCs w:val="24"/>
              </w:rPr>
              <w:t xml:space="preserve"> T-like product after progression, so the overall survival in the placebo group may be overestimated. Placebo patients who did not receive the </w:t>
            </w:r>
            <w:proofErr w:type="spellStart"/>
            <w:r w:rsidRPr="00FA3F9C">
              <w:rPr>
                <w:rFonts w:ascii="Arial" w:hAnsi="Arial" w:cs="Arial"/>
                <w:sz w:val="24"/>
                <w:szCs w:val="24"/>
              </w:rPr>
              <w:t>sipuleucel</w:t>
            </w:r>
            <w:proofErr w:type="spellEnd"/>
            <w:r w:rsidRPr="00FA3F9C">
              <w:rPr>
                <w:rFonts w:ascii="Arial" w:hAnsi="Arial" w:cs="Arial"/>
                <w:sz w:val="24"/>
                <w:szCs w:val="24"/>
              </w:rPr>
              <w:t xml:space="preserve"> T-like product after progression of disease had a median overall survival of 12 months.</w:t>
            </w:r>
            <w:r w:rsidRPr="00FA3F9C">
              <w:rPr>
                <w:rFonts w:ascii="Arial" w:hAnsi="Arial" w:cs="Arial"/>
                <w:sz w:val="24"/>
                <w:szCs w:val="24"/>
                <w:vertAlign w:val="superscript"/>
              </w:rPr>
              <w:t>1</w:t>
            </w:r>
            <w:r w:rsidRPr="00FA3F9C">
              <w:rPr>
                <w:rFonts w:ascii="Arial" w:hAnsi="Arial" w:cs="Arial"/>
                <w:sz w:val="24"/>
                <w:szCs w:val="24"/>
              </w:rPr>
              <w:t xml:space="preserve"> </w:t>
            </w:r>
          </w:p>
          <w:p w14:paraId="0F1F2FD1" w14:textId="77777777" w:rsidR="00C3036D" w:rsidRPr="00FA3F9C" w:rsidRDefault="00C3036D" w:rsidP="00326127">
            <w:pPr>
              <w:rPr>
                <w:rFonts w:ascii="Arial" w:hAnsi="Arial" w:cs="Arial"/>
                <w:sz w:val="24"/>
                <w:szCs w:val="24"/>
              </w:rPr>
            </w:pPr>
          </w:p>
          <w:p w14:paraId="3A7A2ECE" w14:textId="77777777" w:rsidR="00C3036D" w:rsidRPr="00FA3F9C" w:rsidRDefault="00C3036D" w:rsidP="00326127">
            <w:pPr>
              <w:rPr>
                <w:rFonts w:ascii="Arial" w:hAnsi="Arial" w:cs="Arial"/>
                <w:sz w:val="24"/>
                <w:szCs w:val="24"/>
              </w:rPr>
            </w:pPr>
            <w:r w:rsidRPr="00FA3F9C">
              <w:rPr>
                <w:rFonts w:ascii="Arial" w:hAnsi="Arial" w:cs="Arial"/>
                <w:sz w:val="24"/>
                <w:szCs w:val="24"/>
              </w:rPr>
              <w:t>When patients were broken into groups by PSA level, the effect on overall survival was only significant and even larger in patients with lower PSA levels (see chart below).</w:t>
            </w:r>
            <w:r w:rsidRPr="00FA3F9C">
              <w:rPr>
                <w:rFonts w:ascii="Arial" w:hAnsi="Arial" w:cs="Arial"/>
                <w:sz w:val="24"/>
                <w:szCs w:val="24"/>
                <w:vertAlign w:val="superscript"/>
              </w:rPr>
              <w:t>2</w:t>
            </w:r>
            <w:r w:rsidRPr="00FA3F9C">
              <w:rPr>
                <w:rFonts w:ascii="Arial" w:hAnsi="Arial" w:cs="Arial"/>
                <w:sz w:val="24"/>
                <w:szCs w:val="24"/>
              </w:rPr>
              <w:t xml:space="preserve"> This indicates that therapy may be more effective when used in earlier lines of therapy when disease burden is lower. NCCN recommends </w:t>
            </w:r>
            <w:proofErr w:type="spellStart"/>
            <w:r w:rsidRPr="00FA3F9C">
              <w:rPr>
                <w:rFonts w:ascii="Arial" w:hAnsi="Arial" w:cs="Arial"/>
                <w:sz w:val="24"/>
                <w:szCs w:val="24"/>
              </w:rPr>
              <w:t>sipuleucel</w:t>
            </w:r>
            <w:proofErr w:type="spellEnd"/>
            <w:r w:rsidRPr="00FA3F9C">
              <w:rPr>
                <w:rFonts w:ascii="Arial" w:hAnsi="Arial" w:cs="Arial"/>
                <w:sz w:val="24"/>
                <w:szCs w:val="24"/>
              </w:rPr>
              <w:t xml:space="preserve"> T only in patients with </w:t>
            </w:r>
            <w:proofErr w:type="spellStart"/>
            <w:r w:rsidRPr="00FA3F9C">
              <w:rPr>
                <w:rFonts w:ascii="Arial" w:hAnsi="Arial" w:cs="Arial"/>
                <w:sz w:val="24"/>
                <w:szCs w:val="24"/>
              </w:rPr>
              <w:t>mCRPC</w:t>
            </w:r>
            <w:proofErr w:type="spellEnd"/>
            <w:r w:rsidRPr="00FA3F9C">
              <w:rPr>
                <w:rFonts w:ascii="Arial" w:hAnsi="Arial" w:cs="Arial"/>
                <w:sz w:val="24"/>
                <w:szCs w:val="24"/>
              </w:rPr>
              <w:t xml:space="preserve"> in the </w:t>
            </w:r>
            <w:proofErr w:type="gramStart"/>
            <w:r w:rsidRPr="00FA3F9C">
              <w:rPr>
                <w:rFonts w:ascii="Arial" w:hAnsi="Arial" w:cs="Arial"/>
                <w:sz w:val="24"/>
                <w:szCs w:val="24"/>
              </w:rPr>
              <w:t>first or second line</w:t>
            </w:r>
            <w:proofErr w:type="gramEnd"/>
            <w:r w:rsidRPr="00FA3F9C">
              <w:rPr>
                <w:rFonts w:ascii="Arial" w:hAnsi="Arial" w:cs="Arial"/>
                <w:sz w:val="24"/>
                <w:szCs w:val="24"/>
              </w:rPr>
              <w:t xml:space="preserve"> setting. EBRx criteria mirror this recommendation.</w:t>
            </w:r>
            <w:r w:rsidRPr="00FA3F9C">
              <w:rPr>
                <w:rFonts w:ascii="Arial" w:hAnsi="Arial" w:cs="Arial"/>
                <w:sz w:val="24"/>
                <w:szCs w:val="24"/>
                <w:vertAlign w:val="superscript"/>
              </w:rPr>
              <w:t>3</w:t>
            </w:r>
          </w:p>
          <w:p w14:paraId="7C62726B" w14:textId="77777777" w:rsidR="00C3036D" w:rsidRPr="00FA3F9C" w:rsidRDefault="00C3036D" w:rsidP="00326127">
            <w:pPr>
              <w:rPr>
                <w:rFonts w:ascii="Arial" w:hAnsi="Arial" w:cs="Arial"/>
                <w:sz w:val="24"/>
                <w:szCs w:val="24"/>
              </w:rPr>
            </w:pPr>
          </w:p>
          <w:tbl>
            <w:tblPr>
              <w:tblStyle w:val="TableGrid"/>
              <w:tblpPr w:leftFromText="180" w:rightFromText="180" w:vertAnchor="text" w:horzAnchor="margin" w:tblpXSpec="center" w:tblpY="97"/>
              <w:tblW w:w="11605" w:type="dxa"/>
              <w:tblLook w:val="04A0" w:firstRow="1" w:lastRow="0" w:firstColumn="1" w:lastColumn="0" w:noHBand="0" w:noVBand="1"/>
            </w:tblPr>
            <w:tblGrid>
              <w:gridCol w:w="3517"/>
              <w:gridCol w:w="4044"/>
              <w:gridCol w:w="4044"/>
            </w:tblGrid>
            <w:tr w:rsidR="00C3036D" w:rsidRPr="00FA3F9C" w14:paraId="76C25562" w14:textId="77777777" w:rsidTr="003A1674">
              <w:trPr>
                <w:trHeight w:val="358"/>
              </w:trPr>
              <w:tc>
                <w:tcPr>
                  <w:tcW w:w="3517" w:type="dxa"/>
                  <w:shd w:val="clear" w:color="auto" w:fill="F2F2F2" w:themeFill="background1" w:themeFillShade="F2"/>
                </w:tcPr>
                <w:p w14:paraId="67CC6E0D" w14:textId="77777777" w:rsidR="00C3036D" w:rsidRPr="00FA3F9C" w:rsidRDefault="00C3036D" w:rsidP="00326127">
                  <w:pPr>
                    <w:pStyle w:val="ListParagraph"/>
                    <w:ind w:left="0"/>
                    <w:rPr>
                      <w:rFonts w:ascii="Arial" w:hAnsi="Arial" w:cs="Arial"/>
                      <w:sz w:val="24"/>
                      <w:szCs w:val="24"/>
                    </w:rPr>
                  </w:pPr>
                  <w:r w:rsidRPr="00FA3F9C">
                    <w:rPr>
                      <w:rFonts w:ascii="Arial" w:hAnsi="Arial" w:cs="Arial"/>
                      <w:sz w:val="24"/>
                      <w:szCs w:val="24"/>
                    </w:rPr>
                    <w:lastRenderedPageBreak/>
                    <w:t>Baseline PSA (ng/ml)</w:t>
                  </w:r>
                </w:p>
              </w:tc>
              <w:tc>
                <w:tcPr>
                  <w:tcW w:w="4044" w:type="dxa"/>
                  <w:shd w:val="clear" w:color="auto" w:fill="F2F2F2" w:themeFill="background1" w:themeFillShade="F2"/>
                </w:tcPr>
                <w:p w14:paraId="28A6DA3E" w14:textId="77777777" w:rsidR="00C3036D" w:rsidRPr="00FA3F9C" w:rsidRDefault="00C3036D" w:rsidP="00326127">
                  <w:pPr>
                    <w:pStyle w:val="ListParagraph"/>
                    <w:ind w:left="0"/>
                    <w:rPr>
                      <w:rFonts w:ascii="Arial" w:hAnsi="Arial" w:cs="Arial"/>
                      <w:sz w:val="24"/>
                      <w:szCs w:val="24"/>
                    </w:rPr>
                  </w:pPr>
                  <w:r w:rsidRPr="00FA3F9C">
                    <w:rPr>
                      <w:rFonts w:ascii="Arial" w:hAnsi="Arial" w:cs="Arial"/>
                      <w:sz w:val="24"/>
                      <w:szCs w:val="24"/>
                    </w:rPr>
                    <w:t>Median OS (</w:t>
                  </w:r>
                  <w:proofErr w:type="spellStart"/>
                  <w:r w:rsidRPr="00FA3F9C">
                    <w:rPr>
                      <w:rFonts w:ascii="Arial" w:hAnsi="Arial" w:cs="Arial"/>
                      <w:sz w:val="24"/>
                      <w:szCs w:val="24"/>
                    </w:rPr>
                    <w:t>sipuleucel</w:t>
                  </w:r>
                  <w:proofErr w:type="spellEnd"/>
                  <w:r w:rsidRPr="00FA3F9C">
                    <w:rPr>
                      <w:rFonts w:ascii="Arial" w:hAnsi="Arial" w:cs="Arial"/>
                      <w:sz w:val="24"/>
                      <w:szCs w:val="24"/>
                    </w:rPr>
                    <w:t xml:space="preserve"> T vs placebo; months)</w:t>
                  </w:r>
                </w:p>
              </w:tc>
              <w:tc>
                <w:tcPr>
                  <w:tcW w:w="4044" w:type="dxa"/>
                  <w:shd w:val="clear" w:color="auto" w:fill="F2F2F2" w:themeFill="background1" w:themeFillShade="F2"/>
                </w:tcPr>
                <w:p w14:paraId="240F371F" w14:textId="77777777" w:rsidR="00C3036D" w:rsidRPr="00FA3F9C" w:rsidRDefault="00C3036D" w:rsidP="00326127">
                  <w:pPr>
                    <w:pStyle w:val="ListParagraph"/>
                    <w:ind w:left="0"/>
                    <w:rPr>
                      <w:rFonts w:ascii="Arial" w:hAnsi="Arial" w:cs="Arial"/>
                      <w:sz w:val="24"/>
                      <w:szCs w:val="24"/>
                    </w:rPr>
                  </w:pPr>
                  <w:r w:rsidRPr="00FA3F9C">
                    <w:rPr>
                      <w:rFonts w:ascii="Arial" w:hAnsi="Arial" w:cs="Arial"/>
                      <w:sz w:val="24"/>
                      <w:szCs w:val="24"/>
                    </w:rPr>
                    <w:t>HR (95% CI)</w:t>
                  </w:r>
                </w:p>
              </w:tc>
            </w:tr>
            <w:tr w:rsidR="00C3036D" w:rsidRPr="00FA3F9C" w14:paraId="649E391D" w14:textId="77777777" w:rsidTr="003A1674">
              <w:trPr>
                <w:trHeight w:val="79"/>
              </w:trPr>
              <w:tc>
                <w:tcPr>
                  <w:tcW w:w="3517" w:type="dxa"/>
                  <w:shd w:val="clear" w:color="auto" w:fill="F2F2F2" w:themeFill="background1" w:themeFillShade="F2"/>
                </w:tcPr>
                <w:p w14:paraId="1852887D" w14:textId="77777777" w:rsidR="00C3036D" w:rsidRPr="00FA3F9C" w:rsidRDefault="00C3036D" w:rsidP="00326127">
                  <w:pPr>
                    <w:pStyle w:val="ListParagraph"/>
                    <w:ind w:left="0"/>
                    <w:rPr>
                      <w:rFonts w:ascii="Arial" w:hAnsi="Arial" w:cs="Arial"/>
                      <w:b/>
                      <w:sz w:val="24"/>
                      <w:szCs w:val="24"/>
                      <w:u w:val="single"/>
                    </w:rPr>
                  </w:pPr>
                  <w:r w:rsidRPr="00FA3F9C">
                    <w:rPr>
                      <w:rFonts w:ascii="Arial" w:hAnsi="Arial" w:cs="Arial"/>
                      <w:b/>
                      <w:sz w:val="24"/>
                      <w:szCs w:val="24"/>
                      <w:u w:val="single"/>
                    </w:rPr>
                    <w:t>&lt;</w:t>
                  </w:r>
                  <w:r w:rsidRPr="00FA3F9C">
                    <w:rPr>
                      <w:rFonts w:ascii="Arial" w:hAnsi="Arial" w:cs="Arial"/>
                      <w:b/>
                      <w:sz w:val="24"/>
                      <w:szCs w:val="24"/>
                    </w:rPr>
                    <w:t>22.1</w:t>
                  </w:r>
                </w:p>
              </w:tc>
              <w:tc>
                <w:tcPr>
                  <w:tcW w:w="4044" w:type="dxa"/>
                  <w:shd w:val="clear" w:color="auto" w:fill="F2F2F2" w:themeFill="background1" w:themeFillShade="F2"/>
                </w:tcPr>
                <w:p w14:paraId="314AEEDD" w14:textId="77777777" w:rsidR="00C3036D" w:rsidRPr="00FA3F9C" w:rsidRDefault="00C3036D" w:rsidP="00326127">
                  <w:pPr>
                    <w:pStyle w:val="ListParagraph"/>
                    <w:ind w:left="0"/>
                    <w:rPr>
                      <w:rFonts w:ascii="Arial" w:hAnsi="Arial" w:cs="Arial"/>
                      <w:b/>
                      <w:sz w:val="24"/>
                      <w:szCs w:val="24"/>
                      <w:u w:val="single"/>
                    </w:rPr>
                  </w:pPr>
                  <w:r w:rsidRPr="00FA3F9C">
                    <w:rPr>
                      <w:rFonts w:ascii="Arial" w:hAnsi="Arial" w:cs="Arial"/>
                      <w:b/>
                      <w:sz w:val="24"/>
                      <w:szCs w:val="24"/>
                    </w:rPr>
                    <w:t xml:space="preserve">41 vs. 28 </w:t>
                  </w:r>
                </w:p>
              </w:tc>
              <w:tc>
                <w:tcPr>
                  <w:tcW w:w="4044" w:type="dxa"/>
                  <w:shd w:val="clear" w:color="auto" w:fill="F2F2F2" w:themeFill="background1" w:themeFillShade="F2"/>
                </w:tcPr>
                <w:p w14:paraId="22BA6AC1" w14:textId="77777777" w:rsidR="00C3036D" w:rsidRPr="00FA3F9C" w:rsidRDefault="00C3036D" w:rsidP="00326127">
                  <w:pPr>
                    <w:pStyle w:val="ListParagraph"/>
                    <w:ind w:left="0"/>
                    <w:rPr>
                      <w:rFonts w:ascii="Arial" w:hAnsi="Arial" w:cs="Arial"/>
                      <w:b/>
                      <w:sz w:val="24"/>
                      <w:szCs w:val="24"/>
                      <w:u w:val="single"/>
                    </w:rPr>
                  </w:pPr>
                  <w:r w:rsidRPr="00FA3F9C">
                    <w:rPr>
                      <w:rFonts w:ascii="Arial" w:hAnsi="Arial" w:cs="Arial"/>
                      <w:b/>
                      <w:sz w:val="24"/>
                      <w:szCs w:val="24"/>
                    </w:rPr>
                    <w:t>0.51 (0.31-0.85)</w:t>
                  </w:r>
                </w:p>
              </w:tc>
            </w:tr>
            <w:tr w:rsidR="00C3036D" w:rsidRPr="00FA3F9C" w14:paraId="2C99A5D7" w14:textId="77777777" w:rsidTr="003A1674">
              <w:trPr>
                <w:trHeight w:val="151"/>
              </w:trPr>
              <w:tc>
                <w:tcPr>
                  <w:tcW w:w="3517" w:type="dxa"/>
                  <w:shd w:val="clear" w:color="auto" w:fill="F2F2F2" w:themeFill="background1" w:themeFillShade="F2"/>
                </w:tcPr>
                <w:p w14:paraId="250206EC" w14:textId="77777777" w:rsidR="00C3036D" w:rsidRPr="00FA3F9C" w:rsidRDefault="00C3036D" w:rsidP="00326127">
                  <w:pPr>
                    <w:pStyle w:val="ListParagraph"/>
                    <w:ind w:left="0"/>
                    <w:rPr>
                      <w:rFonts w:ascii="Arial" w:hAnsi="Arial" w:cs="Arial"/>
                      <w:sz w:val="24"/>
                      <w:szCs w:val="24"/>
                    </w:rPr>
                  </w:pPr>
                  <w:r w:rsidRPr="00FA3F9C">
                    <w:rPr>
                      <w:rFonts w:ascii="Arial" w:hAnsi="Arial" w:cs="Arial"/>
                      <w:sz w:val="24"/>
                      <w:szCs w:val="24"/>
                    </w:rPr>
                    <w:t>&gt;22.1 – 50.1</w:t>
                  </w:r>
                </w:p>
              </w:tc>
              <w:tc>
                <w:tcPr>
                  <w:tcW w:w="4044" w:type="dxa"/>
                  <w:shd w:val="clear" w:color="auto" w:fill="F2F2F2" w:themeFill="background1" w:themeFillShade="F2"/>
                </w:tcPr>
                <w:p w14:paraId="59D04919" w14:textId="77777777" w:rsidR="00C3036D" w:rsidRPr="00FA3F9C" w:rsidRDefault="00C3036D" w:rsidP="00326127">
                  <w:pPr>
                    <w:pStyle w:val="ListParagraph"/>
                    <w:ind w:left="0"/>
                    <w:rPr>
                      <w:rFonts w:ascii="Arial" w:hAnsi="Arial" w:cs="Arial"/>
                      <w:sz w:val="24"/>
                      <w:szCs w:val="24"/>
                    </w:rPr>
                  </w:pPr>
                  <w:r w:rsidRPr="00FA3F9C">
                    <w:rPr>
                      <w:rFonts w:ascii="Arial" w:hAnsi="Arial" w:cs="Arial"/>
                      <w:sz w:val="24"/>
                      <w:szCs w:val="24"/>
                    </w:rPr>
                    <w:t>27 vs 20</w:t>
                  </w:r>
                </w:p>
              </w:tc>
              <w:tc>
                <w:tcPr>
                  <w:tcW w:w="4044" w:type="dxa"/>
                  <w:shd w:val="clear" w:color="auto" w:fill="F2F2F2" w:themeFill="background1" w:themeFillShade="F2"/>
                </w:tcPr>
                <w:p w14:paraId="26913B38" w14:textId="77777777" w:rsidR="00C3036D" w:rsidRPr="00FA3F9C" w:rsidRDefault="00C3036D" w:rsidP="00326127">
                  <w:pPr>
                    <w:pStyle w:val="ListParagraph"/>
                    <w:ind w:left="0"/>
                    <w:rPr>
                      <w:rFonts w:ascii="Arial" w:hAnsi="Arial" w:cs="Arial"/>
                      <w:sz w:val="24"/>
                      <w:szCs w:val="24"/>
                    </w:rPr>
                  </w:pPr>
                  <w:r w:rsidRPr="00FA3F9C">
                    <w:rPr>
                      <w:rFonts w:ascii="Arial" w:hAnsi="Arial" w:cs="Arial"/>
                      <w:sz w:val="24"/>
                      <w:szCs w:val="24"/>
                    </w:rPr>
                    <w:t>0.74 (0.47-1.17)</w:t>
                  </w:r>
                </w:p>
              </w:tc>
            </w:tr>
            <w:tr w:rsidR="00C3036D" w:rsidRPr="00FA3F9C" w14:paraId="7A4628E7" w14:textId="77777777" w:rsidTr="003A1674">
              <w:trPr>
                <w:trHeight w:val="71"/>
              </w:trPr>
              <w:tc>
                <w:tcPr>
                  <w:tcW w:w="3517" w:type="dxa"/>
                  <w:shd w:val="clear" w:color="auto" w:fill="F2F2F2" w:themeFill="background1" w:themeFillShade="F2"/>
                </w:tcPr>
                <w:p w14:paraId="1D7C026C" w14:textId="77777777" w:rsidR="00C3036D" w:rsidRPr="00FA3F9C" w:rsidRDefault="00C3036D" w:rsidP="00326127">
                  <w:pPr>
                    <w:pStyle w:val="ListParagraph"/>
                    <w:ind w:left="0"/>
                    <w:rPr>
                      <w:rFonts w:ascii="Arial" w:hAnsi="Arial" w:cs="Arial"/>
                      <w:sz w:val="24"/>
                      <w:szCs w:val="24"/>
                    </w:rPr>
                  </w:pPr>
                  <w:r w:rsidRPr="00FA3F9C">
                    <w:rPr>
                      <w:rFonts w:ascii="Arial" w:hAnsi="Arial" w:cs="Arial"/>
                      <w:sz w:val="24"/>
                      <w:szCs w:val="24"/>
                    </w:rPr>
                    <w:t>&gt;50.1-134.1</w:t>
                  </w:r>
                </w:p>
              </w:tc>
              <w:tc>
                <w:tcPr>
                  <w:tcW w:w="4044" w:type="dxa"/>
                  <w:shd w:val="clear" w:color="auto" w:fill="F2F2F2" w:themeFill="background1" w:themeFillShade="F2"/>
                </w:tcPr>
                <w:p w14:paraId="3975B07E" w14:textId="77777777" w:rsidR="00C3036D" w:rsidRPr="00FA3F9C" w:rsidRDefault="00C3036D" w:rsidP="00326127">
                  <w:pPr>
                    <w:pStyle w:val="ListParagraph"/>
                    <w:ind w:left="0"/>
                    <w:rPr>
                      <w:rFonts w:ascii="Arial" w:hAnsi="Arial" w:cs="Arial"/>
                      <w:sz w:val="24"/>
                      <w:szCs w:val="24"/>
                    </w:rPr>
                  </w:pPr>
                  <w:r w:rsidRPr="00FA3F9C">
                    <w:rPr>
                      <w:rFonts w:ascii="Arial" w:hAnsi="Arial" w:cs="Arial"/>
                      <w:sz w:val="24"/>
                      <w:szCs w:val="24"/>
                    </w:rPr>
                    <w:t>20 vs 15</w:t>
                  </w:r>
                </w:p>
              </w:tc>
              <w:tc>
                <w:tcPr>
                  <w:tcW w:w="4044" w:type="dxa"/>
                  <w:shd w:val="clear" w:color="auto" w:fill="F2F2F2" w:themeFill="background1" w:themeFillShade="F2"/>
                </w:tcPr>
                <w:p w14:paraId="7300A1A5" w14:textId="77777777" w:rsidR="00C3036D" w:rsidRPr="00FA3F9C" w:rsidRDefault="00C3036D" w:rsidP="00326127">
                  <w:pPr>
                    <w:pStyle w:val="ListParagraph"/>
                    <w:ind w:left="0"/>
                    <w:rPr>
                      <w:rFonts w:ascii="Arial" w:hAnsi="Arial" w:cs="Arial"/>
                      <w:sz w:val="24"/>
                      <w:szCs w:val="24"/>
                    </w:rPr>
                  </w:pPr>
                  <w:r w:rsidRPr="00FA3F9C">
                    <w:rPr>
                      <w:rFonts w:ascii="Arial" w:hAnsi="Arial" w:cs="Arial"/>
                      <w:sz w:val="24"/>
                      <w:szCs w:val="24"/>
                    </w:rPr>
                    <w:t>0.81 (0.52-1.24)</w:t>
                  </w:r>
                </w:p>
              </w:tc>
            </w:tr>
            <w:tr w:rsidR="00C3036D" w:rsidRPr="00FA3F9C" w14:paraId="292CF8C3" w14:textId="77777777" w:rsidTr="003A1674">
              <w:trPr>
                <w:trHeight w:val="133"/>
              </w:trPr>
              <w:tc>
                <w:tcPr>
                  <w:tcW w:w="3517" w:type="dxa"/>
                  <w:shd w:val="clear" w:color="auto" w:fill="F2F2F2" w:themeFill="background1" w:themeFillShade="F2"/>
                </w:tcPr>
                <w:p w14:paraId="709C30C2" w14:textId="77777777" w:rsidR="00C3036D" w:rsidRPr="00FA3F9C" w:rsidRDefault="00C3036D" w:rsidP="00326127">
                  <w:pPr>
                    <w:pStyle w:val="ListParagraph"/>
                    <w:ind w:left="0"/>
                    <w:rPr>
                      <w:rFonts w:ascii="Arial" w:hAnsi="Arial" w:cs="Arial"/>
                      <w:sz w:val="24"/>
                      <w:szCs w:val="24"/>
                      <w:u w:val="single"/>
                    </w:rPr>
                  </w:pPr>
                  <w:r w:rsidRPr="00FA3F9C">
                    <w:rPr>
                      <w:rFonts w:ascii="Arial" w:hAnsi="Arial" w:cs="Arial"/>
                      <w:sz w:val="24"/>
                      <w:szCs w:val="24"/>
                    </w:rPr>
                    <w:t>&gt;134</w:t>
                  </w:r>
                </w:p>
              </w:tc>
              <w:tc>
                <w:tcPr>
                  <w:tcW w:w="4044" w:type="dxa"/>
                  <w:shd w:val="clear" w:color="auto" w:fill="F2F2F2" w:themeFill="background1" w:themeFillShade="F2"/>
                </w:tcPr>
                <w:p w14:paraId="330772A5" w14:textId="77777777" w:rsidR="00C3036D" w:rsidRPr="00FA3F9C" w:rsidRDefault="00C3036D" w:rsidP="00326127">
                  <w:pPr>
                    <w:pStyle w:val="ListParagraph"/>
                    <w:ind w:left="0"/>
                    <w:rPr>
                      <w:rFonts w:ascii="Arial" w:hAnsi="Arial" w:cs="Arial"/>
                      <w:sz w:val="24"/>
                      <w:szCs w:val="24"/>
                      <w:u w:val="single"/>
                    </w:rPr>
                  </w:pPr>
                  <w:r w:rsidRPr="00FA3F9C">
                    <w:rPr>
                      <w:rFonts w:ascii="Arial" w:hAnsi="Arial" w:cs="Arial"/>
                      <w:sz w:val="24"/>
                      <w:szCs w:val="24"/>
                    </w:rPr>
                    <w:t xml:space="preserve">18 vs 16 </w:t>
                  </w:r>
                </w:p>
              </w:tc>
              <w:tc>
                <w:tcPr>
                  <w:tcW w:w="4044" w:type="dxa"/>
                  <w:shd w:val="clear" w:color="auto" w:fill="F2F2F2" w:themeFill="background1" w:themeFillShade="F2"/>
                </w:tcPr>
                <w:p w14:paraId="3FC5FAA2" w14:textId="77777777" w:rsidR="00C3036D" w:rsidRPr="00FA3F9C" w:rsidRDefault="00C3036D" w:rsidP="00326127">
                  <w:pPr>
                    <w:pStyle w:val="ListParagraph"/>
                    <w:ind w:left="0"/>
                    <w:rPr>
                      <w:rFonts w:ascii="Arial" w:hAnsi="Arial" w:cs="Arial"/>
                      <w:sz w:val="24"/>
                      <w:szCs w:val="24"/>
                      <w:u w:val="single"/>
                    </w:rPr>
                  </w:pPr>
                  <w:r w:rsidRPr="00FA3F9C">
                    <w:rPr>
                      <w:rFonts w:ascii="Arial" w:hAnsi="Arial" w:cs="Arial"/>
                      <w:sz w:val="24"/>
                      <w:szCs w:val="24"/>
                    </w:rPr>
                    <w:t>0.84 (0.55-1.29)</w:t>
                  </w:r>
                </w:p>
              </w:tc>
            </w:tr>
          </w:tbl>
          <w:p w14:paraId="3D50177F" w14:textId="77777777" w:rsidR="00C3036D" w:rsidRPr="00FA3F9C" w:rsidRDefault="00C3036D" w:rsidP="00326127">
            <w:pPr>
              <w:rPr>
                <w:rFonts w:ascii="Arial" w:hAnsi="Arial" w:cs="Arial"/>
                <w:sz w:val="24"/>
                <w:szCs w:val="24"/>
              </w:rPr>
            </w:pPr>
          </w:p>
          <w:p w14:paraId="44A247FE" w14:textId="77777777" w:rsidR="00C3036D" w:rsidRPr="00FA3F9C" w:rsidRDefault="00C3036D" w:rsidP="00326127">
            <w:pPr>
              <w:rPr>
                <w:rFonts w:ascii="Arial" w:hAnsi="Arial" w:cs="Arial"/>
                <w:sz w:val="24"/>
                <w:szCs w:val="24"/>
              </w:rPr>
            </w:pPr>
            <w:r w:rsidRPr="00FA3F9C">
              <w:rPr>
                <w:rFonts w:ascii="Arial" w:hAnsi="Arial" w:cs="Arial"/>
                <w:sz w:val="24"/>
                <w:szCs w:val="24"/>
              </w:rPr>
              <w:t>Dosing:</w:t>
            </w:r>
          </w:p>
          <w:p w14:paraId="20B0A17C" w14:textId="77777777" w:rsidR="00C3036D" w:rsidRPr="00FA3F9C" w:rsidRDefault="00C3036D" w:rsidP="00250088">
            <w:pPr>
              <w:rPr>
                <w:rFonts w:ascii="Arial" w:hAnsi="Arial" w:cs="Arial"/>
                <w:sz w:val="24"/>
                <w:szCs w:val="24"/>
              </w:rPr>
            </w:pPr>
            <w:proofErr w:type="spellStart"/>
            <w:r w:rsidRPr="00FA3F9C">
              <w:rPr>
                <w:rFonts w:ascii="Arial" w:hAnsi="Arial" w:cs="Arial"/>
                <w:sz w:val="24"/>
                <w:szCs w:val="24"/>
              </w:rPr>
              <w:t>Sipuleucel</w:t>
            </w:r>
            <w:proofErr w:type="spellEnd"/>
            <w:r w:rsidRPr="00FA3F9C">
              <w:rPr>
                <w:rFonts w:ascii="Arial" w:hAnsi="Arial" w:cs="Arial"/>
                <w:sz w:val="24"/>
                <w:szCs w:val="24"/>
              </w:rPr>
              <w:t xml:space="preserve"> T is administered as 3 IV infusions, given 2 weeks apart. The </w:t>
            </w:r>
            <w:proofErr w:type="spellStart"/>
            <w:r w:rsidRPr="00FA3F9C">
              <w:rPr>
                <w:rFonts w:ascii="Arial" w:hAnsi="Arial" w:cs="Arial"/>
                <w:sz w:val="24"/>
                <w:szCs w:val="24"/>
              </w:rPr>
              <w:t>sipuleucel</w:t>
            </w:r>
            <w:proofErr w:type="spellEnd"/>
            <w:r w:rsidRPr="00FA3F9C">
              <w:rPr>
                <w:rFonts w:ascii="Arial" w:hAnsi="Arial" w:cs="Arial"/>
                <w:sz w:val="24"/>
                <w:szCs w:val="24"/>
              </w:rPr>
              <w:t xml:space="preserve"> T product is </w:t>
            </w:r>
            <w:proofErr w:type="spellStart"/>
            <w:r w:rsidRPr="00FA3F9C">
              <w:rPr>
                <w:rFonts w:ascii="Arial" w:hAnsi="Arial" w:cs="Arial"/>
                <w:sz w:val="24"/>
                <w:szCs w:val="24"/>
              </w:rPr>
              <w:t>manufacturered</w:t>
            </w:r>
            <w:proofErr w:type="spellEnd"/>
            <w:r w:rsidRPr="00FA3F9C">
              <w:rPr>
                <w:rFonts w:ascii="Arial" w:hAnsi="Arial" w:cs="Arial"/>
                <w:sz w:val="24"/>
                <w:szCs w:val="24"/>
              </w:rPr>
              <w:t xml:space="preserve"> by taking a sample of the patient’s antigen presenting cells (via apheresis) and sensitizing them to prostatic acid phosphatase (PAP), which is expressed on prostate tumors. The cells are reinfused into the patient, and they elicit a T cell response against cells expressing PAP. The most common side effects are fever, fatigue, and headache.</w:t>
            </w:r>
          </w:p>
          <w:p w14:paraId="332FCD17" w14:textId="77777777" w:rsidR="00C3036D" w:rsidRPr="00FA3F9C" w:rsidRDefault="00C3036D" w:rsidP="00250088">
            <w:pPr>
              <w:rPr>
                <w:rFonts w:ascii="Arial" w:hAnsi="Arial" w:cs="Arial"/>
                <w:sz w:val="24"/>
                <w:szCs w:val="24"/>
              </w:rPr>
            </w:pPr>
          </w:p>
          <w:p w14:paraId="4BDBCA4A" w14:textId="77777777" w:rsidR="00C3036D" w:rsidRPr="00FA3F9C" w:rsidRDefault="00C3036D" w:rsidP="00250088">
            <w:pPr>
              <w:rPr>
                <w:rFonts w:ascii="Arial" w:hAnsi="Arial" w:cs="Arial"/>
                <w:sz w:val="24"/>
                <w:szCs w:val="24"/>
              </w:rPr>
            </w:pPr>
            <w:r w:rsidRPr="00FA3F9C">
              <w:rPr>
                <w:rFonts w:ascii="Arial" w:hAnsi="Arial" w:cs="Arial"/>
                <w:sz w:val="24"/>
                <w:szCs w:val="24"/>
              </w:rPr>
              <w:t>References:</w:t>
            </w:r>
          </w:p>
          <w:p w14:paraId="49EC580B" w14:textId="77777777" w:rsidR="00C3036D" w:rsidRPr="00FA3F9C" w:rsidRDefault="00C3036D" w:rsidP="00FC1E85">
            <w:pPr>
              <w:pStyle w:val="ListParagraph"/>
              <w:numPr>
                <w:ilvl w:val="0"/>
                <w:numId w:val="477"/>
              </w:numPr>
              <w:tabs>
                <w:tab w:val="left" w:pos="360"/>
              </w:tabs>
              <w:spacing w:after="160" w:line="259" w:lineRule="auto"/>
              <w:ind w:left="180" w:hanging="180"/>
              <w:rPr>
                <w:rFonts w:ascii="Arial" w:hAnsi="Arial" w:cs="Arial"/>
                <w:color w:val="000000"/>
                <w:sz w:val="24"/>
                <w:szCs w:val="24"/>
              </w:rPr>
            </w:pPr>
            <w:proofErr w:type="spellStart"/>
            <w:r w:rsidRPr="00FA3F9C">
              <w:rPr>
                <w:rFonts w:ascii="Arial" w:hAnsi="Arial" w:cs="Arial"/>
                <w:color w:val="000000"/>
                <w:sz w:val="24"/>
                <w:szCs w:val="24"/>
              </w:rPr>
              <w:t>Kantoff</w:t>
            </w:r>
            <w:proofErr w:type="spellEnd"/>
            <w:r w:rsidRPr="00FA3F9C">
              <w:rPr>
                <w:rFonts w:ascii="Arial" w:hAnsi="Arial" w:cs="Arial"/>
                <w:color w:val="000000"/>
                <w:sz w:val="24"/>
                <w:szCs w:val="24"/>
              </w:rPr>
              <w:t xml:space="preserve"> PW et al. </w:t>
            </w:r>
            <w:proofErr w:type="spellStart"/>
            <w:r w:rsidRPr="00FA3F9C">
              <w:rPr>
                <w:rFonts w:ascii="Arial" w:hAnsi="Arial" w:cs="Arial"/>
                <w:color w:val="000000"/>
                <w:sz w:val="24"/>
                <w:szCs w:val="24"/>
              </w:rPr>
              <w:t>Sipuleucel</w:t>
            </w:r>
            <w:proofErr w:type="spellEnd"/>
            <w:r w:rsidRPr="00FA3F9C">
              <w:rPr>
                <w:rFonts w:ascii="Arial" w:hAnsi="Arial" w:cs="Arial"/>
                <w:color w:val="000000"/>
                <w:sz w:val="24"/>
                <w:szCs w:val="24"/>
              </w:rPr>
              <w:t xml:space="preserve"> T Immunotherapy for castration-resistant prostate cancer. NEJM 2010; 363:411-422. PMID 20818862</w:t>
            </w:r>
          </w:p>
          <w:p w14:paraId="0AFA6BB3" w14:textId="77777777" w:rsidR="00C3036D" w:rsidRPr="00FA3F9C" w:rsidRDefault="00C3036D" w:rsidP="00FC1E85">
            <w:pPr>
              <w:pStyle w:val="ListParagraph"/>
              <w:numPr>
                <w:ilvl w:val="0"/>
                <w:numId w:val="477"/>
              </w:numPr>
              <w:tabs>
                <w:tab w:val="left" w:pos="360"/>
              </w:tabs>
              <w:spacing w:after="160" w:line="259" w:lineRule="auto"/>
              <w:ind w:left="180" w:hanging="180"/>
              <w:rPr>
                <w:rFonts w:ascii="Arial" w:hAnsi="Arial" w:cs="Arial"/>
                <w:color w:val="000000"/>
                <w:sz w:val="24"/>
                <w:szCs w:val="24"/>
              </w:rPr>
            </w:pPr>
            <w:proofErr w:type="spellStart"/>
            <w:r w:rsidRPr="00FA3F9C">
              <w:rPr>
                <w:rFonts w:ascii="Arial" w:hAnsi="Arial" w:cs="Arial"/>
                <w:color w:val="000000"/>
                <w:sz w:val="24"/>
                <w:szCs w:val="24"/>
              </w:rPr>
              <w:t>Schellhammer</w:t>
            </w:r>
            <w:proofErr w:type="spellEnd"/>
            <w:r w:rsidRPr="00FA3F9C">
              <w:rPr>
                <w:rFonts w:ascii="Arial" w:hAnsi="Arial" w:cs="Arial"/>
                <w:color w:val="000000"/>
                <w:sz w:val="24"/>
                <w:szCs w:val="24"/>
              </w:rPr>
              <w:t xml:space="preserve"> PF et al. Lower baseline prostate-specific antigen is associated with a greater overall survival benefit from </w:t>
            </w:r>
            <w:proofErr w:type="spellStart"/>
            <w:r w:rsidRPr="00FA3F9C">
              <w:rPr>
                <w:rFonts w:ascii="Arial" w:hAnsi="Arial" w:cs="Arial"/>
                <w:color w:val="000000"/>
                <w:sz w:val="24"/>
                <w:szCs w:val="24"/>
              </w:rPr>
              <w:t>sipuleucel</w:t>
            </w:r>
            <w:proofErr w:type="spellEnd"/>
            <w:r w:rsidRPr="00FA3F9C">
              <w:rPr>
                <w:rFonts w:ascii="Arial" w:hAnsi="Arial" w:cs="Arial"/>
                <w:color w:val="000000"/>
                <w:sz w:val="24"/>
                <w:szCs w:val="24"/>
              </w:rPr>
              <w:t>-T in the immunotherapy for prostate adenocarcinoma treatment (IMPACT) trial. Urology 2013 Jun;81(6):1297-302. PMID 23582482</w:t>
            </w:r>
          </w:p>
          <w:p w14:paraId="4402735D" w14:textId="77777777" w:rsidR="00C3036D" w:rsidRPr="00FA3F9C" w:rsidRDefault="00C3036D" w:rsidP="00FC1E85">
            <w:pPr>
              <w:pStyle w:val="ListParagraph"/>
              <w:numPr>
                <w:ilvl w:val="0"/>
                <w:numId w:val="477"/>
              </w:numPr>
              <w:tabs>
                <w:tab w:val="left" w:pos="360"/>
              </w:tabs>
              <w:spacing w:after="160" w:line="259" w:lineRule="auto"/>
              <w:ind w:left="180" w:hanging="180"/>
              <w:rPr>
                <w:rFonts w:ascii="Arial" w:hAnsi="Arial" w:cs="Arial"/>
                <w:color w:val="000000"/>
                <w:sz w:val="24"/>
                <w:szCs w:val="24"/>
              </w:rPr>
            </w:pPr>
            <w:r w:rsidRPr="00FA3F9C">
              <w:rPr>
                <w:rFonts w:ascii="Arial" w:hAnsi="Arial" w:cs="Arial"/>
                <w:sz w:val="24"/>
                <w:szCs w:val="24"/>
              </w:rPr>
              <w:t xml:space="preserve">NCCN Prostate Cancer Guidelines. </w:t>
            </w:r>
            <w:hyperlink r:id="rId377" w:history="1">
              <w:r w:rsidRPr="00FA3F9C">
                <w:rPr>
                  <w:rStyle w:val="Hyperlink"/>
                  <w:rFonts w:ascii="Arial" w:hAnsi="Arial" w:cs="Arial"/>
                  <w:sz w:val="24"/>
                  <w:szCs w:val="24"/>
                </w:rPr>
                <w:t>https://www.nccn.org/professionals/physician_gls/pdf/prostate.pdf</w:t>
              </w:r>
            </w:hyperlink>
            <w:r w:rsidRPr="00FA3F9C">
              <w:rPr>
                <w:rFonts w:ascii="Arial" w:hAnsi="Arial" w:cs="Arial"/>
                <w:sz w:val="24"/>
                <w:szCs w:val="24"/>
              </w:rPr>
              <w:t>. Accessed 3/17/2020.</w:t>
            </w:r>
          </w:p>
        </w:tc>
      </w:tr>
    </w:tbl>
    <w:p w14:paraId="71C801EE" w14:textId="77777777" w:rsidR="00C3036D" w:rsidRPr="00FA3F9C" w:rsidRDefault="00C3036D" w:rsidP="006F623F">
      <w:pPr>
        <w:spacing w:after="0"/>
        <w:rPr>
          <w:rFonts w:ascii="Arial" w:hAnsi="Arial" w:cs="Arial"/>
          <w:sz w:val="24"/>
          <w:szCs w:val="24"/>
        </w:rPr>
      </w:pPr>
    </w:p>
    <w:tbl>
      <w:tblPr>
        <w:tblStyle w:val="TableGrid"/>
        <w:tblW w:w="0" w:type="auto"/>
        <w:jc w:val="center"/>
        <w:tblLook w:val="04A0" w:firstRow="1" w:lastRow="0" w:firstColumn="1" w:lastColumn="0" w:noHBand="0" w:noVBand="1"/>
      </w:tblPr>
      <w:tblGrid>
        <w:gridCol w:w="9350"/>
      </w:tblGrid>
      <w:tr w:rsidR="00C3036D" w:rsidRPr="00FA3F9C" w14:paraId="52C07209" w14:textId="77777777" w:rsidTr="00A3705C">
        <w:trPr>
          <w:jc w:val="center"/>
        </w:trPr>
        <w:tc>
          <w:tcPr>
            <w:tcW w:w="9350" w:type="dxa"/>
          </w:tcPr>
          <w:p w14:paraId="20FEF4A2" w14:textId="77777777" w:rsidR="00C3036D" w:rsidRPr="00FA3F9C" w:rsidRDefault="00C3036D" w:rsidP="00A3705C">
            <w:pPr>
              <w:rPr>
                <w:rFonts w:ascii="Arial" w:hAnsi="Arial" w:cs="Arial"/>
                <w:b/>
                <w:sz w:val="24"/>
                <w:szCs w:val="24"/>
              </w:rPr>
            </w:pPr>
            <w:r w:rsidRPr="00FA3F9C">
              <w:rPr>
                <w:rFonts w:ascii="Arial" w:hAnsi="Arial" w:cs="Arial"/>
                <w:b/>
                <w:sz w:val="24"/>
                <w:szCs w:val="24"/>
              </w:rPr>
              <w:t>ECOG Performance Status</w:t>
            </w:r>
          </w:p>
          <w:p w14:paraId="6FFBB75A" w14:textId="77777777" w:rsidR="00C3036D" w:rsidRPr="00FA3F9C" w:rsidRDefault="00C3036D" w:rsidP="00A3705C">
            <w:pPr>
              <w:rPr>
                <w:rFonts w:ascii="Arial" w:hAnsi="Arial" w:cs="Arial"/>
                <w:sz w:val="24"/>
                <w:szCs w:val="24"/>
              </w:rPr>
            </w:pPr>
            <w:r w:rsidRPr="00FA3F9C">
              <w:rPr>
                <w:rFonts w:ascii="Arial" w:hAnsi="Arial" w:cs="Arial"/>
                <w:sz w:val="24"/>
                <w:szCs w:val="24"/>
              </w:rPr>
              <w:t>0 – Fully active, able to carry on all pre-disease performance without restriction</w:t>
            </w:r>
          </w:p>
          <w:p w14:paraId="26B5E2FF" w14:textId="77777777" w:rsidR="00C3036D" w:rsidRPr="00FA3F9C" w:rsidRDefault="00C3036D" w:rsidP="00A3705C">
            <w:pPr>
              <w:ind w:left="337" w:hanging="337"/>
              <w:rPr>
                <w:rFonts w:ascii="Arial" w:hAnsi="Arial" w:cs="Arial"/>
                <w:sz w:val="24"/>
                <w:szCs w:val="24"/>
              </w:rPr>
            </w:pPr>
            <w:r w:rsidRPr="00FA3F9C">
              <w:rPr>
                <w:rFonts w:ascii="Arial" w:hAnsi="Arial" w:cs="Arial"/>
                <w:sz w:val="24"/>
                <w:szCs w:val="24"/>
              </w:rPr>
              <w:t xml:space="preserve">1 – Restricted in physically strenuous activity but ambulatory and able to carry out work of a light or   sedentary nature (light </w:t>
            </w:r>
            <w:proofErr w:type="gramStart"/>
            <w:r w:rsidRPr="00FA3F9C">
              <w:rPr>
                <w:rFonts w:ascii="Arial" w:hAnsi="Arial" w:cs="Arial"/>
                <w:sz w:val="24"/>
                <w:szCs w:val="24"/>
              </w:rPr>
              <w:t>house work</w:t>
            </w:r>
            <w:proofErr w:type="gramEnd"/>
            <w:r w:rsidRPr="00FA3F9C">
              <w:rPr>
                <w:rFonts w:ascii="Arial" w:hAnsi="Arial" w:cs="Arial"/>
                <w:sz w:val="24"/>
                <w:szCs w:val="24"/>
              </w:rPr>
              <w:t>, office work)</w:t>
            </w:r>
          </w:p>
          <w:p w14:paraId="2AD2084F" w14:textId="77777777" w:rsidR="00C3036D" w:rsidRPr="00FA3F9C" w:rsidRDefault="00C3036D" w:rsidP="00A3705C">
            <w:pPr>
              <w:ind w:left="337" w:hanging="337"/>
              <w:rPr>
                <w:rFonts w:ascii="Arial" w:hAnsi="Arial" w:cs="Arial"/>
                <w:sz w:val="24"/>
                <w:szCs w:val="24"/>
              </w:rPr>
            </w:pPr>
            <w:r w:rsidRPr="00FA3F9C">
              <w:rPr>
                <w:rFonts w:ascii="Arial" w:hAnsi="Arial" w:cs="Arial"/>
                <w:sz w:val="24"/>
                <w:szCs w:val="24"/>
              </w:rPr>
              <w:t>2 – Ambulatory and capable of all self-care but unable to carry out any work activities. Up and about more than about 50% of waking hours</w:t>
            </w:r>
          </w:p>
          <w:p w14:paraId="569596F7" w14:textId="77777777" w:rsidR="00C3036D" w:rsidRPr="00FA3F9C" w:rsidRDefault="00C3036D" w:rsidP="00A3705C">
            <w:pPr>
              <w:rPr>
                <w:rFonts w:ascii="Arial" w:hAnsi="Arial" w:cs="Arial"/>
                <w:sz w:val="24"/>
                <w:szCs w:val="24"/>
              </w:rPr>
            </w:pPr>
            <w:r w:rsidRPr="00FA3F9C">
              <w:rPr>
                <w:rFonts w:ascii="Arial" w:hAnsi="Arial" w:cs="Arial"/>
                <w:sz w:val="24"/>
                <w:szCs w:val="24"/>
              </w:rPr>
              <w:t>3 – Capable of only limited self-care, confined to bed or chair more than 50% of waking hours</w:t>
            </w:r>
          </w:p>
          <w:p w14:paraId="43CD5A85" w14:textId="77777777" w:rsidR="00C3036D" w:rsidRPr="00FA3F9C" w:rsidRDefault="00C3036D" w:rsidP="00A3705C">
            <w:pPr>
              <w:rPr>
                <w:rFonts w:ascii="Arial" w:hAnsi="Arial" w:cs="Arial"/>
                <w:sz w:val="24"/>
                <w:szCs w:val="24"/>
              </w:rPr>
            </w:pPr>
            <w:r w:rsidRPr="00FA3F9C">
              <w:rPr>
                <w:rFonts w:ascii="Arial" w:hAnsi="Arial" w:cs="Arial"/>
                <w:sz w:val="24"/>
                <w:szCs w:val="24"/>
              </w:rPr>
              <w:lastRenderedPageBreak/>
              <w:t>4 – Completely disabled. Cannot carry on any self-care. Totally confined to bed or chair</w:t>
            </w:r>
          </w:p>
          <w:p w14:paraId="38168386" w14:textId="77777777" w:rsidR="00C3036D" w:rsidRPr="00FA3F9C" w:rsidRDefault="00C3036D" w:rsidP="00A3705C">
            <w:pPr>
              <w:rPr>
                <w:rFonts w:ascii="Arial" w:hAnsi="Arial" w:cs="Arial"/>
                <w:sz w:val="24"/>
                <w:szCs w:val="24"/>
              </w:rPr>
            </w:pPr>
            <w:r w:rsidRPr="00FA3F9C">
              <w:rPr>
                <w:rFonts w:ascii="Arial" w:hAnsi="Arial" w:cs="Arial"/>
                <w:sz w:val="24"/>
                <w:szCs w:val="24"/>
              </w:rPr>
              <w:t>5 - Dead</w:t>
            </w:r>
          </w:p>
        </w:tc>
      </w:tr>
    </w:tbl>
    <w:p w14:paraId="3BE3B29D" w14:textId="77777777" w:rsidR="00C3036D" w:rsidRPr="00FA3F9C" w:rsidRDefault="00C3036D" w:rsidP="006F623F">
      <w:pPr>
        <w:spacing w:after="0"/>
        <w:rPr>
          <w:rFonts w:ascii="Arial" w:hAnsi="Arial" w:cs="Arial"/>
          <w:sz w:val="24"/>
          <w:szCs w:val="24"/>
        </w:rPr>
      </w:pPr>
    </w:p>
    <w:p w14:paraId="294807BB" w14:textId="77777777" w:rsidR="00C3036D" w:rsidRPr="00FA3F9C" w:rsidRDefault="00C3036D" w:rsidP="006F623F">
      <w:pPr>
        <w:spacing w:after="0"/>
        <w:rPr>
          <w:rFonts w:ascii="Arial" w:hAnsi="Arial" w:cs="Arial"/>
          <w:sz w:val="24"/>
          <w:szCs w:val="24"/>
        </w:rPr>
      </w:pPr>
      <w:r w:rsidRPr="00FA3F9C">
        <w:rPr>
          <w:rFonts w:ascii="Arial" w:hAnsi="Arial" w:cs="Arial"/>
          <w:sz w:val="24"/>
          <w:szCs w:val="24"/>
        </w:rPr>
        <w:t>Quantity Limits: n/a</w:t>
      </w:r>
    </w:p>
    <w:p w14:paraId="4B5D4A7A" w14:textId="77777777" w:rsidR="00C3036D" w:rsidRPr="00FA3F9C" w:rsidRDefault="00C3036D" w:rsidP="006F623F">
      <w:pPr>
        <w:spacing w:after="0"/>
        <w:rPr>
          <w:rFonts w:ascii="Arial" w:hAnsi="Arial" w:cs="Arial"/>
          <w:sz w:val="24"/>
          <w:szCs w:val="24"/>
        </w:rPr>
      </w:pPr>
    </w:p>
    <w:p w14:paraId="54FF1757" w14:textId="77777777" w:rsidR="00C3036D" w:rsidRPr="00FA3F9C" w:rsidRDefault="00C3036D"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284"/>
        <w:gridCol w:w="7470"/>
        <w:gridCol w:w="2538"/>
      </w:tblGrid>
      <w:tr w:rsidR="00C3036D" w:rsidRPr="00FA3F9C" w14:paraId="31AA91A2" w14:textId="77777777" w:rsidTr="00FE491B">
        <w:tc>
          <w:tcPr>
            <w:tcW w:w="1008" w:type="dxa"/>
          </w:tcPr>
          <w:p w14:paraId="592F4975" w14:textId="77777777" w:rsidR="00C3036D" w:rsidRPr="00FA3F9C" w:rsidRDefault="00C3036D" w:rsidP="006F623F">
            <w:pPr>
              <w:rPr>
                <w:rFonts w:ascii="Arial" w:hAnsi="Arial" w:cs="Arial"/>
                <w:sz w:val="24"/>
                <w:szCs w:val="24"/>
              </w:rPr>
            </w:pPr>
            <w:r w:rsidRPr="00FA3F9C">
              <w:rPr>
                <w:rFonts w:ascii="Arial" w:hAnsi="Arial" w:cs="Arial"/>
                <w:sz w:val="24"/>
                <w:szCs w:val="24"/>
              </w:rPr>
              <w:t>Date</w:t>
            </w:r>
          </w:p>
        </w:tc>
        <w:tc>
          <w:tcPr>
            <w:tcW w:w="7470" w:type="dxa"/>
          </w:tcPr>
          <w:p w14:paraId="0621FA14" w14:textId="77777777" w:rsidR="00C3036D" w:rsidRPr="00FA3F9C" w:rsidRDefault="00C3036D" w:rsidP="006F623F">
            <w:pPr>
              <w:rPr>
                <w:rFonts w:ascii="Arial" w:hAnsi="Arial" w:cs="Arial"/>
                <w:sz w:val="24"/>
                <w:szCs w:val="24"/>
              </w:rPr>
            </w:pPr>
            <w:r w:rsidRPr="00FA3F9C">
              <w:rPr>
                <w:rFonts w:ascii="Arial" w:hAnsi="Arial" w:cs="Arial"/>
                <w:sz w:val="24"/>
                <w:szCs w:val="24"/>
              </w:rPr>
              <w:t>What changed</w:t>
            </w:r>
          </w:p>
        </w:tc>
        <w:tc>
          <w:tcPr>
            <w:tcW w:w="2538" w:type="dxa"/>
          </w:tcPr>
          <w:p w14:paraId="60838C4F" w14:textId="77777777" w:rsidR="00C3036D" w:rsidRPr="00FA3F9C" w:rsidRDefault="00C3036D" w:rsidP="006F623F">
            <w:pPr>
              <w:rPr>
                <w:rFonts w:ascii="Arial" w:hAnsi="Arial" w:cs="Arial"/>
                <w:sz w:val="24"/>
                <w:szCs w:val="24"/>
              </w:rPr>
            </w:pPr>
            <w:r w:rsidRPr="00FA3F9C">
              <w:rPr>
                <w:rFonts w:ascii="Arial" w:hAnsi="Arial" w:cs="Arial"/>
                <w:sz w:val="24"/>
                <w:szCs w:val="24"/>
              </w:rPr>
              <w:t>Pharmacist’s initials</w:t>
            </w:r>
          </w:p>
        </w:tc>
      </w:tr>
      <w:tr w:rsidR="00C3036D" w:rsidRPr="00FA3F9C" w14:paraId="5418A653" w14:textId="77777777" w:rsidTr="00FE491B">
        <w:tc>
          <w:tcPr>
            <w:tcW w:w="1008" w:type="dxa"/>
          </w:tcPr>
          <w:p w14:paraId="77A1D302" w14:textId="77777777" w:rsidR="00C3036D" w:rsidRPr="00FA3F9C" w:rsidRDefault="00C3036D" w:rsidP="006F623F">
            <w:pPr>
              <w:rPr>
                <w:rFonts w:ascii="Arial" w:hAnsi="Arial" w:cs="Arial"/>
                <w:sz w:val="24"/>
                <w:szCs w:val="24"/>
              </w:rPr>
            </w:pPr>
            <w:r w:rsidRPr="00FA3F9C">
              <w:rPr>
                <w:rFonts w:ascii="Arial" w:hAnsi="Arial" w:cs="Arial"/>
                <w:sz w:val="24"/>
                <w:szCs w:val="24"/>
              </w:rPr>
              <w:t>3/17/2020</w:t>
            </w:r>
          </w:p>
        </w:tc>
        <w:tc>
          <w:tcPr>
            <w:tcW w:w="7470" w:type="dxa"/>
          </w:tcPr>
          <w:p w14:paraId="1628E7CB" w14:textId="77777777" w:rsidR="00C3036D" w:rsidRPr="00FA3F9C" w:rsidRDefault="00C3036D" w:rsidP="00FE2D07">
            <w:pPr>
              <w:rPr>
                <w:rFonts w:ascii="Arial" w:hAnsi="Arial" w:cs="Arial"/>
                <w:sz w:val="24"/>
                <w:szCs w:val="24"/>
              </w:rPr>
            </w:pPr>
            <w:r w:rsidRPr="00FA3F9C">
              <w:rPr>
                <w:rFonts w:ascii="Arial" w:hAnsi="Arial" w:cs="Arial"/>
                <w:sz w:val="24"/>
                <w:szCs w:val="24"/>
              </w:rPr>
              <w:t xml:space="preserve">Discussed at P&amp;T and will cover with medical PA. Criteria written. </w:t>
            </w:r>
          </w:p>
        </w:tc>
        <w:tc>
          <w:tcPr>
            <w:tcW w:w="2538" w:type="dxa"/>
          </w:tcPr>
          <w:p w14:paraId="3A511829" w14:textId="77777777" w:rsidR="00C3036D" w:rsidRPr="00FA3F9C" w:rsidRDefault="00C3036D" w:rsidP="006F623F">
            <w:pPr>
              <w:rPr>
                <w:rFonts w:ascii="Arial" w:hAnsi="Arial" w:cs="Arial"/>
                <w:sz w:val="24"/>
                <w:szCs w:val="24"/>
              </w:rPr>
            </w:pPr>
            <w:r w:rsidRPr="00FA3F9C">
              <w:rPr>
                <w:rFonts w:ascii="Arial" w:hAnsi="Arial" w:cs="Arial"/>
                <w:sz w:val="24"/>
                <w:szCs w:val="24"/>
              </w:rPr>
              <w:t>SK</w:t>
            </w:r>
          </w:p>
        </w:tc>
      </w:tr>
      <w:tr w:rsidR="00C3036D" w:rsidRPr="00FA3F9C" w14:paraId="63EEE45F" w14:textId="77777777" w:rsidTr="00FE491B">
        <w:tc>
          <w:tcPr>
            <w:tcW w:w="1008" w:type="dxa"/>
          </w:tcPr>
          <w:p w14:paraId="50B1984A" w14:textId="77777777" w:rsidR="00C3036D" w:rsidRPr="00FA3F9C" w:rsidRDefault="00C3036D" w:rsidP="006F623F">
            <w:pPr>
              <w:rPr>
                <w:rFonts w:ascii="Arial" w:hAnsi="Arial" w:cs="Arial"/>
                <w:sz w:val="24"/>
                <w:szCs w:val="24"/>
              </w:rPr>
            </w:pPr>
            <w:r w:rsidRPr="00FA3F9C">
              <w:rPr>
                <w:rFonts w:ascii="Arial" w:hAnsi="Arial" w:cs="Arial"/>
                <w:sz w:val="24"/>
                <w:szCs w:val="24"/>
              </w:rPr>
              <w:t>5/25/21</w:t>
            </w:r>
          </w:p>
        </w:tc>
        <w:tc>
          <w:tcPr>
            <w:tcW w:w="7470" w:type="dxa"/>
          </w:tcPr>
          <w:p w14:paraId="482C3C6E" w14:textId="77777777" w:rsidR="00C3036D" w:rsidRPr="00FA3F9C" w:rsidRDefault="00C3036D" w:rsidP="006F623F">
            <w:pPr>
              <w:rPr>
                <w:rFonts w:ascii="Arial" w:hAnsi="Arial" w:cs="Arial"/>
                <w:sz w:val="24"/>
                <w:szCs w:val="24"/>
              </w:rPr>
            </w:pPr>
            <w:r w:rsidRPr="00FA3F9C">
              <w:rPr>
                <w:rFonts w:ascii="Arial" w:hAnsi="Arial" w:cs="Arial"/>
                <w:sz w:val="24"/>
                <w:szCs w:val="24"/>
              </w:rPr>
              <w:t>Criteria reviewed. Minor rewording but no change to criteria</w:t>
            </w:r>
          </w:p>
        </w:tc>
        <w:tc>
          <w:tcPr>
            <w:tcW w:w="2538" w:type="dxa"/>
          </w:tcPr>
          <w:p w14:paraId="641710DD" w14:textId="77777777" w:rsidR="00C3036D" w:rsidRPr="00FA3F9C" w:rsidRDefault="00C3036D" w:rsidP="006F623F">
            <w:pPr>
              <w:rPr>
                <w:rFonts w:ascii="Arial" w:hAnsi="Arial" w:cs="Arial"/>
                <w:sz w:val="24"/>
                <w:szCs w:val="24"/>
              </w:rPr>
            </w:pPr>
            <w:r w:rsidRPr="00FA3F9C">
              <w:rPr>
                <w:rFonts w:ascii="Arial" w:hAnsi="Arial" w:cs="Arial"/>
                <w:sz w:val="24"/>
                <w:szCs w:val="24"/>
              </w:rPr>
              <w:t>SK</w:t>
            </w:r>
          </w:p>
        </w:tc>
      </w:tr>
    </w:tbl>
    <w:p w14:paraId="5EBBF48A" w14:textId="77777777" w:rsidR="00C3036D" w:rsidRPr="00FA3F9C" w:rsidRDefault="00C3036D" w:rsidP="006F623F">
      <w:pPr>
        <w:spacing w:after="0"/>
        <w:rPr>
          <w:rFonts w:ascii="Arial" w:hAnsi="Arial" w:cs="Arial"/>
          <w:sz w:val="24"/>
          <w:szCs w:val="24"/>
        </w:rPr>
      </w:pPr>
    </w:p>
    <w:p w14:paraId="4D4F9F30" w14:textId="77777777" w:rsidR="00C3036D" w:rsidRPr="00FA3F9C" w:rsidRDefault="00C3036D" w:rsidP="0078218F">
      <w:pPr>
        <w:pStyle w:val="Heading2"/>
      </w:pPr>
      <w:bookmarkStart w:id="311" w:name="_Toc106369934"/>
      <w:r w:rsidRPr="00FA3F9C">
        <w:t>Somatropin (</w:t>
      </w:r>
      <w:proofErr w:type="spellStart"/>
      <w:r w:rsidRPr="00FA3F9C">
        <w:t>Zorbtive</w:t>
      </w:r>
      <w:proofErr w:type="spellEnd"/>
      <w:r w:rsidRPr="00FA3F9C">
        <w:t>)</w:t>
      </w:r>
      <w:bookmarkEnd w:id="311"/>
    </w:p>
    <w:p w14:paraId="029AE249" w14:textId="77777777" w:rsidR="00C3036D" w:rsidRPr="00FA3F9C" w:rsidRDefault="00C3036D" w:rsidP="006F623F">
      <w:pPr>
        <w:spacing w:after="0"/>
        <w:jc w:val="center"/>
        <w:rPr>
          <w:rFonts w:ascii="Arial" w:hAnsi="Arial" w:cs="Arial"/>
          <w:sz w:val="24"/>
          <w:szCs w:val="24"/>
        </w:rPr>
      </w:pPr>
      <w:r w:rsidRPr="00FA3F9C">
        <w:rPr>
          <w:rFonts w:ascii="Arial" w:hAnsi="Arial" w:cs="Arial"/>
          <w:sz w:val="24"/>
          <w:szCs w:val="24"/>
        </w:rPr>
        <w:t>EBRx PA Criteria</w:t>
      </w:r>
    </w:p>
    <w:p w14:paraId="0AE7C8F0" w14:textId="77777777" w:rsidR="00C3036D" w:rsidRPr="00FA3F9C" w:rsidRDefault="00C3036D" w:rsidP="006F623F">
      <w:pPr>
        <w:spacing w:after="0"/>
        <w:rPr>
          <w:rFonts w:ascii="Arial" w:hAnsi="Arial" w:cs="Arial"/>
          <w:b/>
          <w:sz w:val="24"/>
          <w:szCs w:val="24"/>
          <w:u w:val="single"/>
        </w:rPr>
      </w:pPr>
    </w:p>
    <w:p w14:paraId="79145E6D" w14:textId="77777777" w:rsidR="00C3036D" w:rsidRPr="00FA3F9C" w:rsidRDefault="00C3036D" w:rsidP="00920E26">
      <w:pPr>
        <w:rPr>
          <w:rFonts w:ascii="Arial" w:eastAsia="Times New Roman"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w:t>
      </w:r>
      <w:r w:rsidRPr="00FA3F9C">
        <w:rPr>
          <w:rFonts w:ascii="Arial" w:eastAsia="Times New Roman" w:hAnsi="Arial" w:cs="Arial"/>
          <w:color w:val="474747"/>
          <w:sz w:val="24"/>
          <w:szCs w:val="24"/>
          <w:shd w:val="clear" w:color="auto" w:fill="FFFFFF"/>
        </w:rPr>
        <w:t>Treatment of short-bowel syndrome in patients receiving specialized nutritional support</w:t>
      </w:r>
    </w:p>
    <w:p w14:paraId="1D77781F" w14:textId="77777777" w:rsidR="00C3036D" w:rsidRPr="00FA3F9C" w:rsidRDefault="00C3036D" w:rsidP="006F623F">
      <w:pPr>
        <w:spacing w:after="0"/>
        <w:rPr>
          <w:rFonts w:ascii="Arial" w:hAnsi="Arial" w:cs="Arial"/>
          <w:sz w:val="24"/>
          <w:szCs w:val="24"/>
        </w:rPr>
      </w:pPr>
    </w:p>
    <w:tbl>
      <w:tblPr>
        <w:tblStyle w:val="TableGrid"/>
        <w:tblW w:w="0" w:type="auto"/>
        <w:tblLook w:val="04A0" w:firstRow="1" w:lastRow="0" w:firstColumn="1" w:lastColumn="0" w:noHBand="0" w:noVBand="1"/>
      </w:tblPr>
      <w:tblGrid>
        <w:gridCol w:w="8928"/>
        <w:gridCol w:w="2088"/>
      </w:tblGrid>
      <w:tr w:rsidR="00C3036D" w:rsidRPr="00FA3F9C" w14:paraId="295F56B8" w14:textId="77777777" w:rsidTr="00571CAB">
        <w:tc>
          <w:tcPr>
            <w:tcW w:w="8928" w:type="dxa"/>
            <w:shd w:val="clear" w:color="auto" w:fill="000000"/>
          </w:tcPr>
          <w:p w14:paraId="0B48039F" w14:textId="77777777" w:rsidR="00C3036D" w:rsidRPr="00FA3F9C" w:rsidRDefault="00C3036D"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88" w:type="dxa"/>
            <w:shd w:val="clear" w:color="auto" w:fill="000000"/>
          </w:tcPr>
          <w:p w14:paraId="64BFB3BD" w14:textId="77777777" w:rsidR="00C3036D" w:rsidRPr="00FA3F9C" w:rsidRDefault="00C3036D" w:rsidP="006F623F">
            <w:pPr>
              <w:jc w:val="center"/>
              <w:rPr>
                <w:rFonts w:ascii="Arial" w:hAnsi="Arial" w:cs="Arial"/>
                <w:b/>
                <w:sz w:val="24"/>
                <w:szCs w:val="24"/>
                <w:u w:val="single"/>
              </w:rPr>
            </w:pPr>
          </w:p>
        </w:tc>
      </w:tr>
      <w:tr w:rsidR="00C3036D" w:rsidRPr="00FA3F9C" w14:paraId="7C5FE4FB" w14:textId="77777777" w:rsidTr="00F337AE">
        <w:tc>
          <w:tcPr>
            <w:tcW w:w="11016" w:type="dxa"/>
            <w:gridSpan w:val="2"/>
          </w:tcPr>
          <w:p w14:paraId="498E8A63" w14:textId="77777777" w:rsidR="00C3036D" w:rsidRPr="00FA3F9C" w:rsidRDefault="00C3036D" w:rsidP="006F623F">
            <w:pPr>
              <w:rPr>
                <w:rFonts w:ascii="Arial" w:hAnsi="Arial" w:cs="Arial"/>
                <w:sz w:val="24"/>
                <w:szCs w:val="24"/>
              </w:rPr>
            </w:pPr>
            <w:r w:rsidRPr="00FA3F9C">
              <w:rPr>
                <w:rFonts w:ascii="Arial" w:hAnsi="Arial" w:cs="Arial"/>
                <w:sz w:val="24"/>
                <w:szCs w:val="24"/>
              </w:rPr>
              <w:t>1. The patient must have a diagnosis of short bowel syndrome.</w:t>
            </w:r>
          </w:p>
        </w:tc>
      </w:tr>
      <w:tr w:rsidR="00C3036D" w:rsidRPr="00FA3F9C" w14:paraId="101141C7" w14:textId="77777777" w:rsidTr="00B1617E">
        <w:tc>
          <w:tcPr>
            <w:tcW w:w="11016" w:type="dxa"/>
            <w:gridSpan w:val="2"/>
          </w:tcPr>
          <w:p w14:paraId="05E07C67" w14:textId="77777777" w:rsidR="00C3036D" w:rsidRPr="00FA3F9C" w:rsidRDefault="00C3036D" w:rsidP="006F623F">
            <w:pPr>
              <w:rPr>
                <w:rFonts w:ascii="Arial" w:hAnsi="Arial" w:cs="Arial"/>
                <w:sz w:val="24"/>
                <w:szCs w:val="24"/>
              </w:rPr>
            </w:pPr>
            <w:r w:rsidRPr="00FA3F9C">
              <w:rPr>
                <w:rFonts w:ascii="Arial" w:hAnsi="Arial" w:cs="Arial"/>
                <w:sz w:val="24"/>
                <w:szCs w:val="24"/>
              </w:rPr>
              <w:t>2. The patient must be receiving specialized nutritional support.</w:t>
            </w:r>
          </w:p>
        </w:tc>
      </w:tr>
      <w:tr w:rsidR="00C3036D" w:rsidRPr="00FA3F9C" w14:paraId="261CAC20" w14:textId="77777777" w:rsidTr="00B1617E">
        <w:tc>
          <w:tcPr>
            <w:tcW w:w="11016" w:type="dxa"/>
            <w:gridSpan w:val="2"/>
          </w:tcPr>
          <w:p w14:paraId="01153847" w14:textId="77777777" w:rsidR="00C3036D" w:rsidRPr="00FA3F9C" w:rsidRDefault="00C3036D" w:rsidP="006F623F">
            <w:pPr>
              <w:rPr>
                <w:rFonts w:ascii="Arial" w:hAnsi="Arial" w:cs="Arial"/>
                <w:sz w:val="24"/>
                <w:szCs w:val="24"/>
              </w:rPr>
            </w:pPr>
            <w:r w:rsidRPr="00FA3F9C">
              <w:rPr>
                <w:rFonts w:ascii="Arial" w:hAnsi="Arial" w:cs="Arial"/>
                <w:sz w:val="24"/>
                <w:szCs w:val="24"/>
              </w:rPr>
              <w:t>If the above criteria are satisfied, the PA is good for 12 months.</w:t>
            </w:r>
          </w:p>
        </w:tc>
      </w:tr>
    </w:tbl>
    <w:p w14:paraId="3504012C" w14:textId="77777777" w:rsidR="00C3036D" w:rsidRPr="00FA3F9C" w:rsidRDefault="00C3036D" w:rsidP="006F623F">
      <w:pPr>
        <w:spacing w:after="0"/>
        <w:rPr>
          <w:rFonts w:ascii="Arial" w:hAnsi="Arial" w:cs="Arial"/>
          <w:b/>
          <w:sz w:val="24"/>
          <w:szCs w:val="24"/>
          <w:u w:val="single"/>
        </w:rPr>
      </w:pPr>
    </w:p>
    <w:tbl>
      <w:tblPr>
        <w:tblStyle w:val="TableGrid"/>
        <w:tblW w:w="0" w:type="auto"/>
        <w:shd w:val="clear" w:color="auto" w:fill="BFBFBF" w:themeFill="background1" w:themeFillShade="BF"/>
        <w:tblLook w:val="04A0" w:firstRow="1" w:lastRow="0" w:firstColumn="1" w:lastColumn="0" w:noHBand="0" w:noVBand="1"/>
      </w:tblPr>
      <w:tblGrid>
        <w:gridCol w:w="10998"/>
      </w:tblGrid>
      <w:tr w:rsidR="00C3036D" w:rsidRPr="00FA3F9C" w14:paraId="26BDA395" w14:textId="77777777" w:rsidTr="00D82B6E">
        <w:tc>
          <w:tcPr>
            <w:tcW w:w="10998" w:type="dxa"/>
            <w:shd w:val="clear" w:color="auto" w:fill="BFBFBF" w:themeFill="background1" w:themeFillShade="BF"/>
          </w:tcPr>
          <w:p w14:paraId="75ADC724" w14:textId="77777777" w:rsidR="00C3036D" w:rsidRPr="00FA3F9C" w:rsidRDefault="00C3036D" w:rsidP="00D82B6E">
            <w:pPr>
              <w:rPr>
                <w:rFonts w:ascii="Arial" w:hAnsi="Arial" w:cs="Arial"/>
                <w:sz w:val="24"/>
                <w:szCs w:val="24"/>
              </w:rPr>
            </w:pPr>
            <w:r w:rsidRPr="00FA3F9C">
              <w:rPr>
                <w:rFonts w:ascii="Arial" w:hAnsi="Arial" w:cs="Arial"/>
                <w:sz w:val="24"/>
                <w:szCs w:val="24"/>
              </w:rPr>
              <w:t>Note: **</w:t>
            </w:r>
            <w:proofErr w:type="spellStart"/>
            <w:r w:rsidRPr="00FA3F9C">
              <w:rPr>
                <w:rFonts w:ascii="Arial" w:hAnsi="Arial" w:cs="Arial"/>
                <w:sz w:val="24"/>
                <w:szCs w:val="24"/>
              </w:rPr>
              <w:t>Zorbtive</w:t>
            </w:r>
            <w:proofErr w:type="spellEnd"/>
            <w:r w:rsidRPr="00FA3F9C">
              <w:rPr>
                <w:rFonts w:ascii="Arial" w:hAnsi="Arial" w:cs="Arial"/>
                <w:sz w:val="24"/>
                <w:szCs w:val="24"/>
              </w:rPr>
              <w:t xml:space="preserve"> is dosed at 0.1mg/kg up to a max of 8mg daily.  Administration beyond 4 weeks of therapy has not been adequately studied and is not recommended.  </w:t>
            </w:r>
          </w:p>
        </w:tc>
      </w:tr>
    </w:tbl>
    <w:p w14:paraId="543951C9" w14:textId="77777777" w:rsidR="00C3036D" w:rsidRPr="00FA3F9C" w:rsidRDefault="00C3036D" w:rsidP="006F623F">
      <w:pPr>
        <w:spacing w:after="0"/>
        <w:rPr>
          <w:rFonts w:ascii="Arial" w:hAnsi="Arial" w:cs="Arial"/>
          <w:sz w:val="24"/>
          <w:szCs w:val="24"/>
        </w:rPr>
      </w:pPr>
    </w:p>
    <w:p w14:paraId="360370E0" w14:textId="77777777" w:rsidR="00C3036D" w:rsidRPr="00FA3F9C" w:rsidRDefault="00C3036D" w:rsidP="006F623F">
      <w:pPr>
        <w:spacing w:after="0"/>
        <w:rPr>
          <w:rFonts w:ascii="Arial" w:hAnsi="Arial" w:cs="Arial"/>
          <w:sz w:val="24"/>
          <w:szCs w:val="24"/>
        </w:rPr>
      </w:pPr>
    </w:p>
    <w:p w14:paraId="3D0E0795" w14:textId="77777777" w:rsidR="00C3036D" w:rsidRPr="00FA3F9C" w:rsidRDefault="00C3036D"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017"/>
        <w:gridCol w:w="7470"/>
        <w:gridCol w:w="2538"/>
      </w:tblGrid>
      <w:tr w:rsidR="00C3036D" w:rsidRPr="00FA3F9C" w14:paraId="078F3CED" w14:textId="77777777" w:rsidTr="00FE491B">
        <w:tc>
          <w:tcPr>
            <w:tcW w:w="1008" w:type="dxa"/>
          </w:tcPr>
          <w:p w14:paraId="5E45C089" w14:textId="77777777" w:rsidR="00C3036D" w:rsidRPr="00FA3F9C" w:rsidRDefault="00C3036D" w:rsidP="006F623F">
            <w:pPr>
              <w:rPr>
                <w:rFonts w:ascii="Arial" w:hAnsi="Arial" w:cs="Arial"/>
                <w:sz w:val="24"/>
                <w:szCs w:val="24"/>
              </w:rPr>
            </w:pPr>
            <w:r w:rsidRPr="00FA3F9C">
              <w:rPr>
                <w:rFonts w:ascii="Arial" w:hAnsi="Arial" w:cs="Arial"/>
                <w:sz w:val="24"/>
                <w:szCs w:val="24"/>
              </w:rPr>
              <w:t>Date</w:t>
            </w:r>
          </w:p>
        </w:tc>
        <w:tc>
          <w:tcPr>
            <w:tcW w:w="7470" w:type="dxa"/>
          </w:tcPr>
          <w:p w14:paraId="34F826B4" w14:textId="77777777" w:rsidR="00C3036D" w:rsidRPr="00FA3F9C" w:rsidRDefault="00C3036D" w:rsidP="006F623F">
            <w:pPr>
              <w:rPr>
                <w:rFonts w:ascii="Arial" w:hAnsi="Arial" w:cs="Arial"/>
                <w:sz w:val="24"/>
                <w:szCs w:val="24"/>
              </w:rPr>
            </w:pPr>
            <w:r w:rsidRPr="00FA3F9C">
              <w:rPr>
                <w:rFonts w:ascii="Arial" w:hAnsi="Arial" w:cs="Arial"/>
                <w:sz w:val="24"/>
                <w:szCs w:val="24"/>
              </w:rPr>
              <w:t>What changed</w:t>
            </w:r>
          </w:p>
        </w:tc>
        <w:tc>
          <w:tcPr>
            <w:tcW w:w="2538" w:type="dxa"/>
          </w:tcPr>
          <w:p w14:paraId="2EF1A68D" w14:textId="77777777" w:rsidR="00C3036D" w:rsidRPr="00FA3F9C" w:rsidRDefault="00C3036D" w:rsidP="006F623F">
            <w:pPr>
              <w:rPr>
                <w:rFonts w:ascii="Arial" w:hAnsi="Arial" w:cs="Arial"/>
                <w:sz w:val="24"/>
                <w:szCs w:val="24"/>
              </w:rPr>
            </w:pPr>
            <w:r w:rsidRPr="00FA3F9C">
              <w:rPr>
                <w:rFonts w:ascii="Arial" w:hAnsi="Arial" w:cs="Arial"/>
                <w:sz w:val="24"/>
                <w:szCs w:val="24"/>
              </w:rPr>
              <w:t>Pharmacist’s initials</w:t>
            </w:r>
          </w:p>
        </w:tc>
      </w:tr>
      <w:tr w:rsidR="00C3036D" w:rsidRPr="00FA3F9C" w14:paraId="6AEC1AFB" w14:textId="77777777" w:rsidTr="00FE491B">
        <w:tc>
          <w:tcPr>
            <w:tcW w:w="1008" w:type="dxa"/>
          </w:tcPr>
          <w:p w14:paraId="1D211170" w14:textId="77777777" w:rsidR="00C3036D" w:rsidRPr="00FA3F9C" w:rsidRDefault="00C3036D" w:rsidP="006F623F">
            <w:pPr>
              <w:rPr>
                <w:rFonts w:ascii="Arial" w:hAnsi="Arial" w:cs="Arial"/>
                <w:sz w:val="24"/>
                <w:szCs w:val="24"/>
              </w:rPr>
            </w:pPr>
            <w:r w:rsidRPr="00FA3F9C">
              <w:rPr>
                <w:rFonts w:ascii="Arial" w:hAnsi="Arial" w:cs="Arial"/>
                <w:sz w:val="24"/>
                <w:szCs w:val="24"/>
              </w:rPr>
              <w:t>4/22/21</w:t>
            </w:r>
          </w:p>
        </w:tc>
        <w:tc>
          <w:tcPr>
            <w:tcW w:w="7470" w:type="dxa"/>
          </w:tcPr>
          <w:p w14:paraId="18A6B827" w14:textId="77777777" w:rsidR="00C3036D" w:rsidRPr="00FA3F9C" w:rsidRDefault="00C3036D" w:rsidP="006F623F">
            <w:pPr>
              <w:rPr>
                <w:rFonts w:ascii="Arial" w:hAnsi="Arial" w:cs="Arial"/>
                <w:sz w:val="24"/>
                <w:szCs w:val="24"/>
              </w:rPr>
            </w:pPr>
            <w:r w:rsidRPr="00FA3F9C">
              <w:rPr>
                <w:rFonts w:ascii="Arial" w:hAnsi="Arial" w:cs="Arial"/>
                <w:sz w:val="24"/>
                <w:szCs w:val="24"/>
              </w:rPr>
              <w:t>I simplified the criteria; no effective changes.</w:t>
            </w:r>
          </w:p>
        </w:tc>
        <w:tc>
          <w:tcPr>
            <w:tcW w:w="2538" w:type="dxa"/>
          </w:tcPr>
          <w:p w14:paraId="4EF36810" w14:textId="77777777" w:rsidR="00C3036D" w:rsidRPr="00FA3F9C" w:rsidRDefault="00C3036D" w:rsidP="006F623F">
            <w:pPr>
              <w:rPr>
                <w:rFonts w:ascii="Arial" w:hAnsi="Arial" w:cs="Arial"/>
                <w:sz w:val="24"/>
                <w:szCs w:val="24"/>
              </w:rPr>
            </w:pPr>
            <w:r w:rsidRPr="00FA3F9C">
              <w:rPr>
                <w:rFonts w:ascii="Arial" w:hAnsi="Arial" w:cs="Arial"/>
                <w:sz w:val="24"/>
                <w:szCs w:val="24"/>
              </w:rPr>
              <w:t>JJ</w:t>
            </w:r>
          </w:p>
        </w:tc>
      </w:tr>
      <w:tr w:rsidR="00C3036D" w:rsidRPr="00FA3F9C" w14:paraId="0096AC1D" w14:textId="77777777" w:rsidTr="00FE491B">
        <w:tc>
          <w:tcPr>
            <w:tcW w:w="1008" w:type="dxa"/>
          </w:tcPr>
          <w:p w14:paraId="7ED401F8" w14:textId="77777777" w:rsidR="00C3036D" w:rsidRPr="00FA3F9C" w:rsidRDefault="00C3036D" w:rsidP="006F623F">
            <w:pPr>
              <w:rPr>
                <w:rFonts w:ascii="Arial" w:hAnsi="Arial" w:cs="Arial"/>
                <w:sz w:val="24"/>
                <w:szCs w:val="24"/>
              </w:rPr>
            </w:pPr>
          </w:p>
        </w:tc>
        <w:tc>
          <w:tcPr>
            <w:tcW w:w="7470" w:type="dxa"/>
          </w:tcPr>
          <w:p w14:paraId="265C91CA" w14:textId="77777777" w:rsidR="00C3036D" w:rsidRPr="00FA3F9C" w:rsidRDefault="00C3036D" w:rsidP="006F623F">
            <w:pPr>
              <w:rPr>
                <w:rFonts w:ascii="Arial" w:hAnsi="Arial" w:cs="Arial"/>
                <w:sz w:val="24"/>
                <w:szCs w:val="24"/>
              </w:rPr>
            </w:pPr>
          </w:p>
        </w:tc>
        <w:tc>
          <w:tcPr>
            <w:tcW w:w="2538" w:type="dxa"/>
          </w:tcPr>
          <w:p w14:paraId="4851AE40" w14:textId="77777777" w:rsidR="00C3036D" w:rsidRPr="00FA3F9C" w:rsidRDefault="00C3036D" w:rsidP="006F623F">
            <w:pPr>
              <w:rPr>
                <w:rFonts w:ascii="Arial" w:hAnsi="Arial" w:cs="Arial"/>
                <w:sz w:val="24"/>
                <w:szCs w:val="24"/>
              </w:rPr>
            </w:pPr>
          </w:p>
        </w:tc>
      </w:tr>
    </w:tbl>
    <w:p w14:paraId="2F55865D" w14:textId="77777777" w:rsidR="00C3036D" w:rsidRPr="00FA3F9C" w:rsidRDefault="00C3036D" w:rsidP="006F623F">
      <w:pPr>
        <w:spacing w:after="0"/>
        <w:rPr>
          <w:rFonts w:ascii="Arial" w:hAnsi="Arial" w:cs="Arial"/>
          <w:sz w:val="24"/>
          <w:szCs w:val="24"/>
        </w:rPr>
      </w:pPr>
    </w:p>
    <w:p w14:paraId="7F774551" w14:textId="77777777" w:rsidR="00C3036D" w:rsidRPr="00FA3F9C" w:rsidRDefault="00C3036D" w:rsidP="0078218F">
      <w:pPr>
        <w:pStyle w:val="Heading2"/>
      </w:pPr>
      <w:bookmarkStart w:id="312" w:name="_Toc106369935"/>
      <w:r w:rsidRPr="00FA3F9C">
        <w:lastRenderedPageBreak/>
        <w:t>Sorafenib (</w:t>
      </w:r>
      <w:proofErr w:type="spellStart"/>
      <w:r w:rsidRPr="00FA3F9C">
        <w:t>Nexavar</w:t>
      </w:r>
      <w:proofErr w:type="spellEnd"/>
      <w:r w:rsidRPr="00FA3F9C">
        <w:t>)</w:t>
      </w:r>
      <w:bookmarkEnd w:id="312"/>
      <w:r w:rsidRPr="00FA3F9C">
        <w:t xml:space="preserve"> </w:t>
      </w:r>
    </w:p>
    <w:p w14:paraId="1DAB1FCD" w14:textId="77777777" w:rsidR="00C3036D" w:rsidRPr="00FA3F9C" w:rsidRDefault="00C3036D" w:rsidP="00D00992">
      <w:pPr>
        <w:jc w:val="center"/>
        <w:rPr>
          <w:rFonts w:ascii="Arial" w:hAnsi="Arial" w:cs="Arial"/>
          <w:sz w:val="24"/>
          <w:szCs w:val="24"/>
        </w:rPr>
      </w:pPr>
      <w:r w:rsidRPr="00FA3F9C">
        <w:rPr>
          <w:rFonts w:ascii="Arial" w:hAnsi="Arial" w:cs="Arial"/>
          <w:sz w:val="24"/>
          <w:szCs w:val="24"/>
        </w:rPr>
        <w:t>200 mg tablets</w:t>
      </w:r>
    </w:p>
    <w:p w14:paraId="48EFBA30" w14:textId="77777777" w:rsidR="00C3036D" w:rsidRPr="00FA3F9C" w:rsidRDefault="00C3036D" w:rsidP="00D00992">
      <w:pPr>
        <w:jc w:val="center"/>
        <w:rPr>
          <w:rFonts w:ascii="Arial" w:hAnsi="Arial" w:cs="Arial"/>
          <w:sz w:val="24"/>
          <w:szCs w:val="24"/>
        </w:rPr>
      </w:pPr>
      <w:r w:rsidRPr="00FA3F9C">
        <w:rPr>
          <w:rFonts w:ascii="Arial" w:hAnsi="Arial" w:cs="Arial"/>
          <w:sz w:val="24"/>
          <w:szCs w:val="24"/>
        </w:rPr>
        <w:t>EBRx PA Criteria</w:t>
      </w:r>
    </w:p>
    <w:p w14:paraId="2FC69E8D" w14:textId="77777777" w:rsidR="00C3036D" w:rsidRPr="00FA3F9C" w:rsidRDefault="00C3036D" w:rsidP="00D00992">
      <w:pPr>
        <w:rPr>
          <w:rFonts w:ascii="Arial" w:hAnsi="Arial" w:cs="Arial"/>
          <w:b/>
          <w:sz w:val="24"/>
          <w:szCs w:val="24"/>
          <w:u w:val="single"/>
        </w:rPr>
      </w:pPr>
      <w:r w:rsidRPr="00FA3F9C">
        <w:rPr>
          <w:rFonts w:ascii="Arial" w:hAnsi="Arial" w:cs="Arial"/>
          <w:b/>
          <w:sz w:val="24"/>
          <w:szCs w:val="24"/>
          <w:u w:val="single"/>
        </w:rPr>
        <w:t>Is FDA approved for:</w:t>
      </w:r>
    </w:p>
    <w:p w14:paraId="71BD5C43" w14:textId="77777777" w:rsidR="00C3036D" w:rsidRPr="00FA3F9C" w:rsidRDefault="00C3036D" w:rsidP="00FC1E85">
      <w:pPr>
        <w:numPr>
          <w:ilvl w:val="0"/>
          <w:numId w:val="478"/>
        </w:numPr>
        <w:spacing w:after="0" w:line="240" w:lineRule="auto"/>
        <w:rPr>
          <w:rFonts w:ascii="Arial" w:hAnsi="Arial" w:cs="Arial"/>
          <w:b/>
          <w:sz w:val="24"/>
          <w:szCs w:val="24"/>
          <w:u w:val="single"/>
        </w:rPr>
      </w:pPr>
      <w:r w:rsidRPr="00FA3F9C">
        <w:rPr>
          <w:rFonts w:ascii="Arial" w:hAnsi="Arial" w:cs="Arial"/>
          <w:sz w:val="24"/>
          <w:szCs w:val="24"/>
        </w:rPr>
        <w:t xml:space="preserve">Unresectable hepatocellular carcinoma </w:t>
      </w:r>
    </w:p>
    <w:p w14:paraId="08897CC4" w14:textId="77777777" w:rsidR="00C3036D" w:rsidRPr="00FA3F9C" w:rsidRDefault="00C3036D" w:rsidP="00FC1E85">
      <w:pPr>
        <w:numPr>
          <w:ilvl w:val="0"/>
          <w:numId w:val="478"/>
        </w:numPr>
        <w:spacing w:after="0" w:line="240" w:lineRule="auto"/>
        <w:rPr>
          <w:rFonts w:ascii="Arial" w:hAnsi="Arial" w:cs="Arial"/>
          <w:b/>
          <w:sz w:val="24"/>
          <w:szCs w:val="24"/>
          <w:u w:val="single"/>
        </w:rPr>
      </w:pPr>
      <w:r w:rsidRPr="00FA3F9C">
        <w:rPr>
          <w:rFonts w:ascii="Arial" w:hAnsi="Arial" w:cs="Arial"/>
          <w:sz w:val="24"/>
          <w:szCs w:val="24"/>
        </w:rPr>
        <w:t xml:space="preserve">Advanced renal cell carcinoma </w:t>
      </w:r>
    </w:p>
    <w:p w14:paraId="1D841996" w14:textId="77777777" w:rsidR="00C3036D" w:rsidRPr="00FA3F9C" w:rsidRDefault="00C3036D" w:rsidP="00FC1E85">
      <w:pPr>
        <w:numPr>
          <w:ilvl w:val="0"/>
          <w:numId w:val="478"/>
        </w:numPr>
        <w:spacing w:after="0" w:line="240" w:lineRule="auto"/>
        <w:rPr>
          <w:rFonts w:ascii="Arial" w:hAnsi="Arial" w:cs="Arial"/>
          <w:b/>
          <w:sz w:val="24"/>
          <w:szCs w:val="24"/>
          <w:u w:val="single"/>
        </w:rPr>
      </w:pPr>
      <w:r w:rsidRPr="00FA3F9C">
        <w:rPr>
          <w:rFonts w:ascii="Arial" w:hAnsi="Arial" w:cs="Arial"/>
          <w:sz w:val="24"/>
          <w:szCs w:val="24"/>
        </w:rPr>
        <w:t xml:space="preserve">Locally recurrent or metastatic, progressive, differentiated thyroid carcinoma refractory to radioactive iodine treatment </w:t>
      </w:r>
      <w:r w:rsidRPr="00FA3F9C">
        <w:rPr>
          <w:rFonts w:ascii="Arial" w:hAnsi="Arial" w:cs="Arial"/>
          <w:sz w:val="24"/>
          <w:szCs w:val="24"/>
          <w:highlight w:val="yellow"/>
        </w:rPr>
        <w:t>NOT COVERED</w:t>
      </w:r>
      <w:r w:rsidRPr="00FA3F9C">
        <w:rPr>
          <w:rFonts w:ascii="Arial" w:hAnsi="Arial" w:cs="Arial"/>
          <w:sz w:val="24"/>
          <w:szCs w:val="24"/>
        </w:rPr>
        <w:t xml:space="preserve"> Benefit compared with placebo is limited to progression free survival (PFS) only, and the incremental improvement was small at 3 months (median 10.8 </w:t>
      </w:r>
      <w:proofErr w:type="spellStart"/>
      <w:r w:rsidRPr="00FA3F9C">
        <w:rPr>
          <w:rFonts w:ascii="Arial" w:hAnsi="Arial" w:cs="Arial"/>
          <w:sz w:val="24"/>
          <w:szCs w:val="24"/>
        </w:rPr>
        <w:t>mo</w:t>
      </w:r>
      <w:proofErr w:type="spellEnd"/>
      <w:r w:rsidRPr="00FA3F9C">
        <w:rPr>
          <w:rFonts w:ascii="Arial" w:hAnsi="Arial" w:cs="Arial"/>
          <w:sz w:val="24"/>
          <w:szCs w:val="24"/>
        </w:rPr>
        <w:t xml:space="preserve"> vs 5.8 </w:t>
      </w:r>
      <w:proofErr w:type="spellStart"/>
      <w:r w:rsidRPr="00FA3F9C">
        <w:rPr>
          <w:rFonts w:ascii="Arial" w:hAnsi="Arial" w:cs="Arial"/>
          <w:sz w:val="24"/>
          <w:szCs w:val="24"/>
        </w:rPr>
        <w:t>mo</w:t>
      </w:r>
      <w:proofErr w:type="spellEnd"/>
      <w:r w:rsidRPr="00FA3F9C">
        <w:rPr>
          <w:rFonts w:ascii="Arial" w:hAnsi="Arial" w:cs="Arial"/>
          <w:sz w:val="24"/>
          <w:szCs w:val="24"/>
        </w:rPr>
        <w:t xml:space="preserve">). </w:t>
      </w:r>
    </w:p>
    <w:p w14:paraId="6FD653AD" w14:textId="77777777" w:rsidR="00C3036D" w:rsidRPr="00FA3F9C" w:rsidRDefault="00C3036D" w:rsidP="00FC1E85">
      <w:pPr>
        <w:numPr>
          <w:ilvl w:val="1"/>
          <w:numId w:val="478"/>
        </w:numPr>
        <w:spacing w:after="0" w:line="240" w:lineRule="auto"/>
        <w:rPr>
          <w:rFonts w:ascii="Arial" w:hAnsi="Arial" w:cs="Arial"/>
          <w:b/>
          <w:sz w:val="24"/>
          <w:szCs w:val="24"/>
          <w:u w:val="single"/>
        </w:rPr>
      </w:pPr>
      <w:r w:rsidRPr="00FA3F9C">
        <w:rPr>
          <w:rFonts w:ascii="Arial" w:hAnsi="Arial" w:cs="Arial"/>
          <w:sz w:val="24"/>
          <w:szCs w:val="24"/>
        </w:rPr>
        <w:t xml:space="preserve">Reference: Brose MS et al. Sorafenib in radioactive iodine-refractory, locally advanced or metastatic differentiated thyroid cancer: a </w:t>
      </w:r>
      <w:proofErr w:type="spellStart"/>
      <w:r w:rsidRPr="00FA3F9C">
        <w:rPr>
          <w:rFonts w:ascii="Arial" w:hAnsi="Arial" w:cs="Arial"/>
          <w:sz w:val="24"/>
          <w:szCs w:val="24"/>
        </w:rPr>
        <w:t>randomised</w:t>
      </w:r>
      <w:proofErr w:type="spellEnd"/>
      <w:r w:rsidRPr="00FA3F9C">
        <w:rPr>
          <w:rFonts w:ascii="Arial" w:hAnsi="Arial" w:cs="Arial"/>
          <w:sz w:val="24"/>
          <w:szCs w:val="24"/>
        </w:rPr>
        <w:t>, double-blind, phase 3 trial. Lancet. 2014 Jul 26;384(9940):319-28. PMID 24768112 NCT00984282</w:t>
      </w:r>
    </w:p>
    <w:p w14:paraId="0C54F8EE" w14:textId="77777777" w:rsidR="00C3036D" w:rsidRPr="00FA3F9C" w:rsidRDefault="00C3036D" w:rsidP="00D00992">
      <w:pPr>
        <w:rPr>
          <w:rFonts w:ascii="Arial" w:hAnsi="Arial" w:cs="Arial"/>
          <w:sz w:val="24"/>
          <w:szCs w:val="24"/>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C3036D" w:rsidRPr="00FA3F9C" w14:paraId="1B930789" w14:textId="77777777" w:rsidTr="00315CCC">
        <w:tc>
          <w:tcPr>
            <w:tcW w:w="10368" w:type="dxa"/>
            <w:tcBorders>
              <w:bottom w:val="single" w:sz="4" w:space="0" w:color="auto"/>
            </w:tcBorders>
            <w:shd w:val="clear" w:color="auto" w:fill="000000" w:themeFill="text1"/>
          </w:tcPr>
          <w:p w14:paraId="32DE7749" w14:textId="77777777" w:rsidR="00C3036D" w:rsidRPr="00FA3F9C" w:rsidRDefault="00C3036D" w:rsidP="00315CCC">
            <w:pPr>
              <w:rPr>
                <w:rFonts w:ascii="Arial" w:hAnsi="Arial" w:cs="Arial"/>
                <w:sz w:val="24"/>
                <w:szCs w:val="24"/>
              </w:rPr>
            </w:pPr>
            <w:r w:rsidRPr="00FA3F9C">
              <w:rPr>
                <w:rFonts w:ascii="Arial" w:hAnsi="Arial" w:cs="Arial"/>
                <w:sz w:val="24"/>
                <w:szCs w:val="24"/>
              </w:rPr>
              <w:t>Advanced renal cell carcinoma OR hepatocellular carcinoma</w:t>
            </w:r>
          </w:p>
        </w:tc>
      </w:tr>
      <w:tr w:rsidR="00C3036D" w:rsidRPr="00FA3F9C" w14:paraId="50D6ACF0" w14:textId="77777777" w:rsidTr="00315CCC">
        <w:tc>
          <w:tcPr>
            <w:tcW w:w="10368" w:type="dxa"/>
            <w:tcBorders>
              <w:bottom w:val="single" w:sz="4" w:space="0" w:color="auto"/>
            </w:tcBorders>
          </w:tcPr>
          <w:p w14:paraId="7294C857" w14:textId="77777777" w:rsidR="00C3036D" w:rsidRPr="00FA3F9C" w:rsidRDefault="00C3036D" w:rsidP="00FC1E85">
            <w:pPr>
              <w:numPr>
                <w:ilvl w:val="0"/>
                <w:numId w:val="479"/>
              </w:numPr>
              <w:spacing w:after="0" w:line="240" w:lineRule="auto"/>
              <w:ind w:left="450"/>
              <w:rPr>
                <w:rFonts w:ascii="Arial" w:hAnsi="Arial" w:cs="Arial"/>
                <w:sz w:val="24"/>
                <w:szCs w:val="24"/>
                <w:u w:val="single"/>
              </w:rPr>
            </w:pPr>
            <w:r w:rsidRPr="00FA3F9C">
              <w:rPr>
                <w:rFonts w:ascii="Arial" w:hAnsi="Arial" w:cs="Arial"/>
                <w:sz w:val="24"/>
                <w:szCs w:val="24"/>
              </w:rPr>
              <w:t>Diagnosis of advanced/metastatic clear cell renal cell carcinoma AND previous treatment with at least one prior therapy</w:t>
            </w:r>
          </w:p>
        </w:tc>
      </w:tr>
      <w:tr w:rsidR="00C3036D" w:rsidRPr="00FA3F9C" w14:paraId="0441D841" w14:textId="77777777" w:rsidTr="00315CCC">
        <w:tc>
          <w:tcPr>
            <w:tcW w:w="10368" w:type="dxa"/>
            <w:tcBorders>
              <w:bottom w:val="single" w:sz="4" w:space="0" w:color="auto"/>
            </w:tcBorders>
          </w:tcPr>
          <w:p w14:paraId="56B54C6D" w14:textId="77777777" w:rsidR="00C3036D" w:rsidRPr="00FA3F9C" w:rsidRDefault="00C3036D" w:rsidP="00FC1E85">
            <w:pPr>
              <w:numPr>
                <w:ilvl w:val="0"/>
                <w:numId w:val="479"/>
              </w:numPr>
              <w:spacing w:after="0" w:line="240" w:lineRule="auto"/>
              <w:ind w:left="450"/>
              <w:rPr>
                <w:rFonts w:ascii="Arial" w:hAnsi="Arial" w:cs="Arial"/>
                <w:sz w:val="24"/>
                <w:szCs w:val="24"/>
              </w:rPr>
            </w:pPr>
            <w:r w:rsidRPr="00FA3F9C">
              <w:rPr>
                <w:rFonts w:ascii="Arial" w:hAnsi="Arial" w:cs="Arial"/>
                <w:sz w:val="24"/>
                <w:szCs w:val="24"/>
              </w:rPr>
              <w:t>Diagnosis of advanced, unresectable hepatocellular carcinoma AND Child Pugh Class A (see guide below)</w:t>
            </w:r>
          </w:p>
        </w:tc>
      </w:tr>
      <w:tr w:rsidR="00C3036D" w:rsidRPr="00FA3F9C" w14:paraId="6247B31D" w14:textId="77777777" w:rsidTr="00315CCC">
        <w:tc>
          <w:tcPr>
            <w:tcW w:w="10368" w:type="dxa"/>
            <w:shd w:val="clear" w:color="auto" w:fill="F2F2F2" w:themeFill="background1" w:themeFillShade="F2"/>
          </w:tcPr>
          <w:p w14:paraId="6D11E33E" w14:textId="77777777" w:rsidR="00C3036D" w:rsidRPr="00FA3F9C" w:rsidRDefault="00C3036D" w:rsidP="00315CCC">
            <w:pPr>
              <w:rPr>
                <w:rFonts w:ascii="Arial" w:hAnsi="Arial" w:cs="Arial"/>
                <w:sz w:val="24"/>
                <w:szCs w:val="24"/>
              </w:rPr>
            </w:pPr>
            <w:r w:rsidRPr="00FA3F9C">
              <w:rPr>
                <w:rFonts w:ascii="Arial" w:hAnsi="Arial" w:cs="Arial"/>
                <w:sz w:val="24"/>
                <w:szCs w:val="24"/>
              </w:rPr>
              <w:t xml:space="preserve">If one of the above criteria is met, approve x 1 year </w:t>
            </w:r>
          </w:p>
        </w:tc>
      </w:tr>
    </w:tbl>
    <w:p w14:paraId="73AF4775" w14:textId="77777777" w:rsidR="00C3036D" w:rsidRPr="00FA3F9C" w:rsidRDefault="00C3036D">
      <w:pPr>
        <w:rPr>
          <w:rFonts w:ascii="Arial" w:hAnsi="Arial" w:cs="Arial"/>
          <w:sz w:val="24"/>
          <w:szCs w:val="24"/>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C3036D" w:rsidRPr="00FA3F9C" w14:paraId="37CDA593" w14:textId="77777777" w:rsidTr="00315CCC">
        <w:tc>
          <w:tcPr>
            <w:tcW w:w="10368" w:type="dxa"/>
            <w:shd w:val="clear" w:color="auto" w:fill="D9D9D9" w:themeFill="background1" w:themeFillShade="D9"/>
          </w:tcPr>
          <w:p w14:paraId="2655513C" w14:textId="77777777" w:rsidR="00C3036D" w:rsidRPr="00FA3F9C" w:rsidRDefault="00C3036D" w:rsidP="00315CCC">
            <w:pPr>
              <w:rPr>
                <w:rFonts w:ascii="Arial" w:hAnsi="Arial" w:cs="Arial"/>
                <w:sz w:val="24"/>
                <w:szCs w:val="24"/>
              </w:rPr>
            </w:pPr>
            <w:r w:rsidRPr="00FA3F9C">
              <w:rPr>
                <w:rFonts w:ascii="Arial" w:hAnsi="Arial" w:cs="Arial"/>
                <w:sz w:val="24"/>
                <w:szCs w:val="24"/>
              </w:rPr>
              <w:t>Notes:</w:t>
            </w:r>
          </w:p>
          <w:p w14:paraId="321A3CD8" w14:textId="77777777" w:rsidR="00C3036D" w:rsidRPr="00FA3F9C" w:rsidRDefault="00C3036D" w:rsidP="00315CCC">
            <w:pPr>
              <w:rPr>
                <w:rFonts w:ascii="Arial" w:hAnsi="Arial" w:cs="Arial"/>
                <w:sz w:val="24"/>
                <w:szCs w:val="24"/>
              </w:rPr>
            </w:pPr>
            <w:r w:rsidRPr="00FA3F9C">
              <w:rPr>
                <w:rFonts w:ascii="Arial" w:hAnsi="Arial" w:cs="Arial"/>
                <w:sz w:val="24"/>
                <w:szCs w:val="24"/>
              </w:rPr>
              <w:t>Dose: 400 mg twice daily</w:t>
            </w:r>
          </w:p>
          <w:p w14:paraId="339D0056" w14:textId="77777777" w:rsidR="00C3036D" w:rsidRPr="00FA3F9C" w:rsidRDefault="00C3036D" w:rsidP="00315CCC">
            <w:pPr>
              <w:rPr>
                <w:rFonts w:ascii="Arial" w:hAnsi="Arial" w:cs="Arial"/>
                <w:sz w:val="24"/>
                <w:szCs w:val="24"/>
              </w:rPr>
            </w:pPr>
          </w:p>
          <w:p w14:paraId="2922C33A" w14:textId="77777777" w:rsidR="00C3036D" w:rsidRPr="00FA3F9C" w:rsidRDefault="00C3036D" w:rsidP="00315CCC">
            <w:pPr>
              <w:rPr>
                <w:rFonts w:ascii="Arial" w:hAnsi="Arial" w:cs="Arial"/>
                <w:sz w:val="24"/>
                <w:szCs w:val="24"/>
                <w:u w:val="single"/>
              </w:rPr>
            </w:pPr>
            <w:r w:rsidRPr="00FA3F9C">
              <w:rPr>
                <w:rFonts w:ascii="Arial" w:hAnsi="Arial" w:cs="Arial"/>
                <w:sz w:val="24"/>
                <w:szCs w:val="24"/>
                <w:u w:val="single"/>
              </w:rPr>
              <w:t>Renal Cell Carcinoma:</w:t>
            </w:r>
          </w:p>
          <w:p w14:paraId="35A855B2" w14:textId="77777777" w:rsidR="00C3036D" w:rsidRPr="00FA3F9C" w:rsidRDefault="00C3036D" w:rsidP="00315CCC">
            <w:pPr>
              <w:rPr>
                <w:rFonts w:ascii="Arial" w:hAnsi="Arial" w:cs="Arial"/>
                <w:sz w:val="24"/>
                <w:szCs w:val="24"/>
              </w:rPr>
            </w:pPr>
            <w:r w:rsidRPr="00FA3F9C">
              <w:rPr>
                <w:rFonts w:ascii="Arial" w:hAnsi="Arial" w:cs="Arial"/>
                <w:sz w:val="24"/>
                <w:szCs w:val="24"/>
              </w:rPr>
              <w:lastRenderedPageBreak/>
              <w:t xml:space="preserve">Sorafenib was compared to placebo in </w:t>
            </w:r>
            <w:proofErr w:type="gramStart"/>
            <w:r w:rsidRPr="00FA3F9C">
              <w:rPr>
                <w:rFonts w:ascii="Arial" w:hAnsi="Arial" w:cs="Arial"/>
                <w:sz w:val="24"/>
                <w:szCs w:val="24"/>
              </w:rPr>
              <w:t>previously-treated</w:t>
            </w:r>
            <w:proofErr w:type="gramEnd"/>
            <w:r w:rsidRPr="00FA3F9C">
              <w:rPr>
                <w:rFonts w:ascii="Arial" w:hAnsi="Arial" w:cs="Arial"/>
                <w:sz w:val="24"/>
                <w:szCs w:val="24"/>
              </w:rPr>
              <w:t xml:space="preserve"> patients with advanced renal cell carcinoma. Progression free survival was improved with sorafenib (median 5.5 </w:t>
            </w:r>
            <w:proofErr w:type="spellStart"/>
            <w:r w:rsidRPr="00FA3F9C">
              <w:rPr>
                <w:rFonts w:ascii="Arial" w:hAnsi="Arial" w:cs="Arial"/>
                <w:sz w:val="24"/>
                <w:szCs w:val="24"/>
              </w:rPr>
              <w:t>mo</w:t>
            </w:r>
            <w:proofErr w:type="spellEnd"/>
            <w:r w:rsidRPr="00FA3F9C">
              <w:rPr>
                <w:rFonts w:ascii="Arial" w:hAnsi="Arial" w:cs="Arial"/>
                <w:sz w:val="24"/>
                <w:szCs w:val="24"/>
              </w:rPr>
              <w:t xml:space="preserve"> vs 2.8 </w:t>
            </w:r>
            <w:proofErr w:type="spellStart"/>
            <w:r w:rsidRPr="00FA3F9C">
              <w:rPr>
                <w:rFonts w:ascii="Arial" w:hAnsi="Arial" w:cs="Arial"/>
                <w:sz w:val="24"/>
                <w:szCs w:val="24"/>
              </w:rPr>
              <w:t>mo</w:t>
            </w:r>
            <w:proofErr w:type="spellEnd"/>
            <w:r w:rsidRPr="00FA3F9C">
              <w:rPr>
                <w:rFonts w:ascii="Arial" w:hAnsi="Arial" w:cs="Arial"/>
                <w:sz w:val="24"/>
                <w:szCs w:val="24"/>
              </w:rPr>
              <w:t xml:space="preserve">). Crossover from placebo was allowed which may have confounded the overall survival (OS) analysis. A censored overall survival analysis found an improvement in OS however (median 17.8 </w:t>
            </w:r>
            <w:proofErr w:type="spellStart"/>
            <w:r w:rsidRPr="00FA3F9C">
              <w:rPr>
                <w:rFonts w:ascii="Arial" w:hAnsi="Arial" w:cs="Arial"/>
                <w:sz w:val="24"/>
                <w:szCs w:val="24"/>
              </w:rPr>
              <w:t>mo</w:t>
            </w:r>
            <w:proofErr w:type="spellEnd"/>
            <w:r w:rsidRPr="00FA3F9C">
              <w:rPr>
                <w:rFonts w:ascii="Arial" w:hAnsi="Arial" w:cs="Arial"/>
                <w:sz w:val="24"/>
                <w:szCs w:val="24"/>
              </w:rPr>
              <w:t xml:space="preserve"> vs 14.3 </w:t>
            </w:r>
            <w:proofErr w:type="spellStart"/>
            <w:r w:rsidRPr="00FA3F9C">
              <w:rPr>
                <w:rFonts w:ascii="Arial" w:hAnsi="Arial" w:cs="Arial"/>
                <w:sz w:val="24"/>
                <w:szCs w:val="24"/>
              </w:rPr>
              <w:t>mo</w:t>
            </w:r>
            <w:proofErr w:type="spellEnd"/>
            <w:r w:rsidRPr="00FA3F9C">
              <w:rPr>
                <w:rFonts w:ascii="Arial" w:hAnsi="Arial" w:cs="Arial"/>
                <w:sz w:val="24"/>
                <w:szCs w:val="24"/>
              </w:rPr>
              <w:t>; HR = 0.78; 95% CI, 0.62 to 0.97; P = .0287).</w:t>
            </w:r>
            <w:r w:rsidRPr="00FA3F9C">
              <w:rPr>
                <w:rFonts w:ascii="Arial" w:hAnsi="Arial" w:cs="Arial"/>
                <w:sz w:val="24"/>
                <w:szCs w:val="24"/>
                <w:vertAlign w:val="superscript"/>
              </w:rPr>
              <w:t>1</w:t>
            </w:r>
          </w:p>
          <w:p w14:paraId="15EC6E66" w14:textId="77777777" w:rsidR="00C3036D" w:rsidRPr="00FA3F9C" w:rsidRDefault="00C3036D" w:rsidP="00315CCC">
            <w:pPr>
              <w:rPr>
                <w:rFonts w:ascii="Arial" w:hAnsi="Arial" w:cs="Arial"/>
                <w:sz w:val="24"/>
                <w:szCs w:val="24"/>
              </w:rPr>
            </w:pPr>
          </w:p>
          <w:p w14:paraId="2A5405A4" w14:textId="77777777" w:rsidR="00C3036D" w:rsidRPr="00FA3F9C" w:rsidRDefault="00C3036D" w:rsidP="00315CCC">
            <w:pPr>
              <w:rPr>
                <w:rFonts w:ascii="Arial" w:hAnsi="Arial" w:cs="Arial"/>
                <w:sz w:val="24"/>
                <w:szCs w:val="24"/>
                <w:u w:val="single"/>
              </w:rPr>
            </w:pPr>
            <w:r w:rsidRPr="00FA3F9C">
              <w:rPr>
                <w:rFonts w:ascii="Arial" w:hAnsi="Arial" w:cs="Arial"/>
                <w:sz w:val="24"/>
                <w:szCs w:val="24"/>
                <w:u w:val="single"/>
              </w:rPr>
              <w:t>Hepatocellular Carcinoma:</w:t>
            </w:r>
          </w:p>
          <w:p w14:paraId="74691C19" w14:textId="77777777" w:rsidR="00C3036D" w:rsidRPr="00FA3F9C" w:rsidRDefault="00C3036D" w:rsidP="00315CCC">
            <w:pPr>
              <w:rPr>
                <w:rFonts w:ascii="Arial" w:hAnsi="Arial" w:cs="Arial"/>
                <w:sz w:val="24"/>
                <w:szCs w:val="24"/>
              </w:rPr>
            </w:pPr>
            <w:r w:rsidRPr="00FA3F9C">
              <w:rPr>
                <w:rFonts w:ascii="Arial" w:hAnsi="Arial" w:cs="Arial"/>
                <w:sz w:val="24"/>
                <w:szCs w:val="24"/>
              </w:rPr>
              <w:t xml:space="preserve">Sorafenib was compared to placebo in patients with advanced HCC, child </w:t>
            </w:r>
            <w:proofErr w:type="spellStart"/>
            <w:r w:rsidRPr="00FA3F9C">
              <w:rPr>
                <w:rFonts w:ascii="Arial" w:hAnsi="Arial" w:cs="Arial"/>
                <w:sz w:val="24"/>
                <w:szCs w:val="24"/>
              </w:rPr>
              <w:t>pugh</w:t>
            </w:r>
            <w:proofErr w:type="spellEnd"/>
            <w:r w:rsidRPr="00FA3F9C">
              <w:rPr>
                <w:rFonts w:ascii="Arial" w:hAnsi="Arial" w:cs="Arial"/>
                <w:sz w:val="24"/>
                <w:szCs w:val="24"/>
              </w:rPr>
              <w:t xml:space="preserve"> class A liver function not eligible for surgical or locoregional therapies. Sorafenib improved OS compared with placebo (median 10.7 </w:t>
            </w:r>
            <w:proofErr w:type="spellStart"/>
            <w:r w:rsidRPr="00FA3F9C">
              <w:rPr>
                <w:rFonts w:ascii="Arial" w:hAnsi="Arial" w:cs="Arial"/>
                <w:sz w:val="24"/>
                <w:szCs w:val="24"/>
              </w:rPr>
              <w:t>mo</w:t>
            </w:r>
            <w:proofErr w:type="spellEnd"/>
            <w:r w:rsidRPr="00FA3F9C">
              <w:rPr>
                <w:rFonts w:ascii="Arial" w:hAnsi="Arial" w:cs="Arial"/>
                <w:sz w:val="24"/>
                <w:szCs w:val="24"/>
              </w:rPr>
              <w:t xml:space="preserve"> vs 7.9 </w:t>
            </w:r>
            <w:proofErr w:type="spellStart"/>
            <w:r w:rsidRPr="00FA3F9C">
              <w:rPr>
                <w:rFonts w:ascii="Arial" w:hAnsi="Arial" w:cs="Arial"/>
                <w:sz w:val="24"/>
                <w:szCs w:val="24"/>
              </w:rPr>
              <w:t>mo</w:t>
            </w:r>
            <w:proofErr w:type="spellEnd"/>
            <w:r w:rsidRPr="00FA3F9C">
              <w:rPr>
                <w:rFonts w:ascii="Arial" w:hAnsi="Arial" w:cs="Arial"/>
                <w:sz w:val="24"/>
                <w:szCs w:val="24"/>
              </w:rPr>
              <w:t>).</w:t>
            </w:r>
            <w:r w:rsidRPr="00FA3F9C">
              <w:rPr>
                <w:rFonts w:ascii="Arial" w:hAnsi="Arial" w:cs="Arial"/>
                <w:sz w:val="24"/>
                <w:szCs w:val="24"/>
                <w:vertAlign w:val="superscript"/>
              </w:rPr>
              <w:t>2</w:t>
            </w:r>
            <w:r w:rsidRPr="00FA3F9C">
              <w:rPr>
                <w:rFonts w:ascii="Arial" w:hAnsi="Arial" w:cs="Arial"/>
                <w:sz w:val="24"/>
                <w:szCs w:val="24"/>
              </w:rPr>
              <w:t xml:space="preserve"> There is also evidence that sorafenib has QOL benefits.</w:t>
            </w:r>
            <w:r w:rsidRPr="00FA3F9C">
              <w:rPr>
                <w:rFonts w:ascii="Arial" w:hAnsi="Arial" w:cs="Arial"/>
                <w:sz w:val="24"/>
                <w:szCs w:val="24"/>
                <w:vertAlign w:val="superscript"/>
              </w:rPr>
              <w:t>3</w:t>
            </w:r>
          </w:p>
          <w:p w14:paraId="7F67DBC5" w14:textId="77777777" w:rsidR="00C3036D" w:rsidRPr="00FA3F9C" w:rsidRDefault="00C3036D" w:rsidP="00315CCC">
            <w:pPr>
              <w:rPr>
                <w:rFonts w:ascii="Arial" w:hAnsi="Arial" w:cs="Arial"/>
                <w:sz w:val="24"/>
                <w:szCs w:val="24"/>
              </w:rPr>
            </w:pPr>
          </w:p>
          <w:p w14:paraId="4E671BF6" w14:textId="77777777" w:rsidR="00C3036D" w:rsidRPr="00FA3F9C" w:rsidRDefault="00C3036D" w:rsidP="00315CCC">
            <w:pPr>
              <w:rPr>
                <w:rFonts w:ascii="Arial" w:hAnsi="Arial" w:cs="Arial"/>
                <w:sz w:val="24"/>
                <w:szCs w:val="24"/>
              </w:rPr>
            </w:pPr>
            <w:r w:rsidRPr="00FA3F9C">
              <w:rPr>
                <w:rFonts w:ascii="Arial" w:hAnsi="Arial" w:cs="Arial"/>
                <w:sz w:val="24"/>
                <w:szCs w:val="24"/>
              </w:rPr>
              <w:t>Reference:</w:t>
            </w:r>
          </w:p>
          <w:p w14:paraId="64A88EE5" w14:textId="77777777" w:rsidR="00C3036D" w:rsidRPr="00FA3F9C" w:rsidRDefault="00C3036D" w:rsidP="00FC1E85">
            <w:pPr>
              <w:numPr>
                <w:ilvl w:val="0"/>
                <w:numId w:val="480"/>
              </w:numPr>
              <w:spacing w:after="0" w:line="240" w:lineRule="auto"/>
              <w:rPr>
                <w:rFonts w:ascii="Arial" w:hAnsi="Arial" w:cs="Arial"/>
                <w:sz w:val="24"/>
                <w:szCs w:val="24"/>
              </w:rPr>
            </w:pPr>
            <w:proofErr w:type="spellStart"/>
            <w:r w:rsidRPr="00FA3F9C">
              <w:rPr>
                <w:rFonts w:ascii="Arial" w:hAnsi="Arial" w:cs="Arial"/>
                <w:sz w:val="24"/>
                <w:szCs w:val="24"/>
              </w:rPr>
              <w:t>Escudier</w:t>
            </w:r>
            <w:proofErr w:type="spellEnd"/>
            <w:r w:rsidRPr="00FA3F9C">
              <w:rPr>
                <w:rFonts w:ascii="Arial" w:hAnsi="Arial" w:cs="Arial"/>
                <w:sz w:val="24"/>
                <w:szCs w:val="24"/>
              </w:rPr>
              <w:t xml:space="preserve"> B et al. Sorafenib for treatment of renal cell carcinoma: Final efficacy and safety results of the phase III treatment approaches in renal cancer global evaluation trial. J Clin Oncol. 2009 Jul 10;27(20):3312-8. </w:t>
            </w:r>
            <w:proofErr w:type="spellStart"/>
            <w:r w:rsidRPr="00FA3F9C">
              <w:rPr>
                <w:rFonts w:ascii="Arial" w:hAnsi="Arial" w:cs="Arial"/>
                <w:sz w:val="24"/>
                <w:szCs w:val="24"/>
              </w:rPr>
              <w:t>doi</w:t>
            </w:r>
            <w:proofErr w:type="spellEnd"/>
            <w:r w:rsidRPr="00FA3F9C">
              <w:rPr>
                <w:rFonts w:ascii="Arial" w:hAnsi="Arial" w:cs="Arial"/>
                <w:sz w:val="24"/>
                <w:szCs w:val="24"/>
              </w:rPr>
              <w:t xml:space="preserve">: 10.1200/JCO.2008.19.5511. </w:t>
            </w:r>
            <w:proofErr w:type="spellStart"/>
            <w:r w:rsidRPr="00FA3F9C">
              <w:rPr>
                <w:rFonts w:ascii="Arial" w:hAnsi="Arial" w:cs="Arial"/>
                <w:sz w:val="24"/>
                <w:szCs w:val="24"/>
              </w:rPr>
              <w:t>Epub</w:t>
            </w:r>
            <w:proofErr w:type="spellEnd"/>
            <w:r w:rsidRPr="00FA3F9C">
              <w:rPr>
                <w:rFonts w:ascii="Arial" w:hAnsi="Arial" w:cs="Arial"/>
                <w:sz w:val="24"/>
                <w:szCs w:val="24"/>
              </w:rPr>
              <w:t xml:space="preserve"> 2009 May 18.</w:t>
            </w:r>
          </w:p>
          <w:p w14:paraId="317EE1ED" w14:textId="77777777" w:rsidR="00C3036D" w:rsidRPr="00FA3F9C" w:rsidRDefault="00C3036D" w:rsidP="00FC1E85">
            <w:pPr>
              <w:numPr>
                <w:ilvl w:val="0"/>
                <w:numId w:val="480"/>
              </w:numPr>
              <w:spacing w:after="0" w:line="240" w:lineRule="auto"/>
              <w:rPr>
                <w:rFonts w:ascii="Arial" w:hAnsi="Arial" w:cs="Arial"/>
                <w:sz w:val="24"/>
                <w:szCs w:val="24"/>
              </w:rPr>
            </w:pPr>
            <w:proofErr w:type="spellStart"/>
            <w:r w:rsidRPr="00FA3F9C">
              <w:rPr>
                <w:rFonts w:ascii="Arial" w:hAnsi="Arial" w:cs="Arial"/>
                <w:sz w:val="24"/>
                <w:szCs w:val="24"/>
              </w:rPr>
              <w:t>Llovet</w:t>
            </w:r>
            <w:proofErr w:type="spellEnd"/>
            <w:r w:rsidRPr="00FA3F9C">
              <w:rPr>
                <w:rFonts w:ascii="Arial" w:hAnsi="Arial" w:cs="Arial"/>
                <w:sz w:val="24"/>
                <w:szCs w:val="24"/>
              </w:rPr>
              <w:t xml:space="preserve"> JM et al. Sorafenib in advanced hepatocellular carcinoma. N </w:t>
            </w:r>
            <w:proofErr w:type="spellStart"/>
            <w:r w:rsidRPr="00FA3F9C">
              <w:rPr>
                <w:rFonts w:ascii="Arial" w:hAnsi="Arial" w:cs="Arial"/>
                <w:sz w:val="24"/>
                <w:szCs w:val="24"/>
              </w:rPr>
              <w:t>Engl</w:t>
            </w:r>
            <w:proofErr w:type="spellEnd"/>
            <w:r w:rsidRPr="00FA3F9C">
              <w:rPr>
                <w:rFonts w:ascii="Arial" w:hAnsi="Arial" w:cs="Arial"/>
                <w:sz w:val="24"/>
                <w:szCs w:val="24"/>
              </w:rPr>
              <w:t xml:space="preserve"> J Med. 2008 Jul 24;359(4):378-90. PMID 18650514 NCT00105443</w:t>
            </w:r>
          </w:p>
          <w:p w14:paraId="6BAE08CD" w14:textId="77777777" w:rsidR="00C3036D" w:rsidRPr="00FA3F9C" w:rsidRDefault="00C3036D" w:rsidP="00FC1E85">
            <w:pPr>
              <w:numPr>
                <w:ilvl w:val="0"/>
                <w:numId w:val="480"/>
              </w:numPr>
              <w:spacing w:after="0" w:line="240" w:lineRule="auto"/>
              <w:rPr>
                <w:rFonts w:ascii="Arial" w:hAnsi="Arial" w:cs="Arial"/>
                <w:sz w:val="24"/>
                <w:szCs w:val="24"/>
              </w:rPr>
            </w:pPr>
            <w:r w:rsidRPr="00FA3F9C">
              <w:rPr>
                <w:rFonts w:ascii="Arial" w:hAnsi="Arial" w:cs="Arial"/>
                <w:sz w:val="24"/>
                <w:szCs w:val="24"/>
                <w:lang w:val="es-ES"/>
              </w:rPr>
              <w:t xml:space="preserve">Bukowski R, Cella D, </w:t>
            </w:r>
            <w:proofErr w:type="spellStart"/>
            <w:r w:rsidRPr="00FA3F9C">
              <w:rPr>
                <w:rFonts w:ascii="Arial" w:hAnsi="Arial" w:cs="Arial"/>
                <w:sz w:val="24"/>
                <w:szCs w:val="24"/>
                <w:lang w:val="es-ES"/>
              </w:rPr>
              <w:t>Gondek</w:t>
            </w:r>
            <w:proofErr w:type="spellEnd"/>
            <w:r w:rsidRPr="00FA3F9C">
              <w:rPr>
                <w:rFonts w:ascii="Arial" w:hAnsi="Arial" w:cs="Arial"/>
                <w:sz w:val="24"/>
                <w:szCs w:val="24"/>
                <w:lang w:val="es-ES"/>
              </w:rPr>
              <w:t xml:space="preserve"> K, </w:t>
            </w:r>
            <w:proofErr w:type="spellStart"/>
            <w:r w:rsidRPr="00FA3F9C">
              <w:rPr>
                <w:rFonts w:ascii="Arial" w:hAnsi="Arial" w:cs="Arial"/>
                <w:sz w:val="24"/>
                <w:szCs w:val="24"/>
                <w:lang w:val="es-ES"/>
              </w:rPr>
              <w:t>Escudier</w:t>
            </w:r>
            <w:proofErr w:type="spellEnd"/>
            <w:r w:rsidRPr="00FA3F9C">
              <w:rPr>
                <w:rFonts w:ascii="Arial" w:hAnsi="Arial" w:cs="Arial"/>
                <w:sz w:val="24"/>
                <w:szCs w:val="24"/>
                <w:lang w:val="es-ES"/>
              </w:rPr>
              <w:t xml:space="preserve"> B.  </w:t>
            </w:r>
            <w:r w:rsidRPr="00FA3F9C">
              <w:rPr>
                <w:rFonts w:ascii="Arial" w:hAnsi="Arial" w:cs="Arial"/>
                <w:sz w:val="24"/>
                <w:szCs w:val="24"/>
              </w:rPr>
              <w:t xml:space="preserve">Effects of sorafenib on symptoms and QOL:  Results from a </w:t>
            </w:r>
            <w:proofErr w:type="gramStart"/>
            <w:r w:rsidRPr="00FA3F9C">
              <w:rPr>
                <w:rFonts w:ascii="Arial" w:hAnsi="Arial" w:cs="Arial"/>
                <w:sz w:val="24"/>
                <w:szCs w:val="24"/>
              </w:rPr>
              <w:t>large randomized</w:t>
            </w:r>
            <w:proofErr w:type="gramEnd"/>
            <w:r w:rsidRPr="00FA3F9C">
              <w:rPr>
                <w:rFonts w:ascii="Arial" w:hAnsi="Arial" w:cs="Arial"/>
                <w:sz w:val="24"/>
                <w:szCs w:val="24"/>
              </w:rPr>
              <w:t xml:space="preserve"> placebo-controlled study in renal cancer.  Am J Clin Oncol. 2007;30:220-227. PMID 17551296</w:t>
            </w:r>
          </w:p>
          <w:p w14:paraId="0E949A29" w14:textId="77777777" w:rsidR="00C3036D" w:rsidRPr="00FA3F9C" w:rsidRDefault="00C3036D" w:rsidP="00315CCC">
            <w:pPr>
              <w:rPr>
                <w:rFonts w:ascii="Arial" w:hAnsi="Arial" w:cs="Arial"/>
                <w:sz w:val="24"/>
                <w:szCs w:val="24"/>
              </w:rPr>
            </w:pPr>
          </w:p>
          <w:p w14:paraId="75EAC9C5" w14:textId="77777777" w:rsidR="00C3036D" w:rsidRPr="00FA3F9C" w:rsidRDefault="00C3036D" w:rsidP="00315CCC">
            <w:pPr>
              <w:rPr>
                <w:rFonts w:ascii="Arial" w:hAnsi="Arial" w:cs="Arial"/>
                <w:sz w:val="24"/>
                <w:szCs w:val="24"/>
              </w:rPr>
            </w:pPr>
            <w:r w:rsidRPr="00FA3F9C">
              <w:rPr>
                <w:rFonts w:ascii="Arial" w:hAnsi="Arial" w:cs="Arial"/>
                <w:sz w:val="24"/>
                <w:szCs w:val="24"/>
              </w:rPr>
              <w:t>Guidelines:</w:t>
            </w:r>
          </w:p>
          <w:p w14:paraId="4B4B7138" w14:textId="77777777" w:rsidR="00C3036D" w:rsidRPr="00FA3F9C" w:rsidRDefault="00C3036D" w:rsidP="00FC1E85">
            <w:pPr>
              <w:numPr>
                <w:ilvl w:val="0"/>
                <w:numId w:val="481"/>
              </w:numPr>
              <w:spacing w:after="0" w:line="240" w:lineRule="auto"/>
              <w:rPr>
                <w:rFonts w:ascii="Arial" w:hAnsi="Arial" w:cs="Arial"/>
                <w:sz w:val="24"/>
                <w:szCs w:val="24"/>
              </w:rPr>
            </w:pPr>
            <w:r w:rsidRPr="00FA3F9C">
              <w:rPr>
                <w:rFonts w:ascii="Arial" w:hAnsi="Arial" w:cs="Arial"/>
                <w:sz w:val="24"/>
                <w:szCs w:val="24"/>
              </w:rPr>
              <w:t xml:space="preserve">NCCN guidelines for kidney cancer. </w:t>
            </w:r>
            <w:hyperlink r:id="rId378" w:history="1">
              <w:r w:rsidRPr="00FA3F9C">
                <w:rPr>
                  <w:rStyle w:val="Hyperlink"/>
                  <w:rFonts w:ascii="Arial" w:hAnsi="Arial" w:cs="Arial"/>
                  <w:sz w:val="24"/>
                  <w:szCs w:val="24"/>
                </w:rPr>
                <w:t>https://www.nccn.org/professionals/physician_gls/pdf/kidney.pdf</w:t>
              </w:r>
            </w:hyperlink>
            <w:r w:rsidRPr="00FA3F9C">
              <w:rPr>
                <w:rFonts w:ascii="Arial" w:hAnsi="Arial" w:cs="Arial"/>
                <w:sz w:val="24"/>
                <w:szCs w:val="24"/>
              </w:rPr>
              <w:t xml:space="preserve"> </w:t>
            </w:r>
          </w:p>
          <w:p w14:paraId="2843457D" w14:textId="77777777" w:rsidR="00C3036D" w:rsidRPr="00FA3F9C" w:rsidRDefault="00C3036D" w:rsidP="00FC1E85">
            <w:pPr>
              <w:numPr>
                <w:ilvl w:val="0"/>
                <w:numId w:val="481"/>
              </w:numPr>
              <w:spacing w:after="0" w:line="240" w:lineRule="auto"/>
              <w:rPr>
                <w:rFonts w:ascii="Arial" w:hAnsi="Arial" w:cs="Arial"/>
                <w:sz w:val="24"/>
                <w:szCs w:val="24"/>
              </w:rPr>
            </w:pPr>
            <w:r w:rsidRPr="00FA3F9C">
              <w:rPr>
                <w:rFonts w:ascii="Arial" w:hAnsi="Arial" w:cs="Arial"/>
                <w:sz w:val="24"/>
                <w:szCs w:val="24"/>
              </w:rPr>
              <w:t xml:space="preserve">NCCN guidelines for hepatobiliary cancers. </w:t>
            </w:r>
            <w:hyperlink r:id="rId379" w:history="1">
              <w:r w:rsidRPr="00FA3F9C">
                <w:rPr>
                  <w:rStyle w:val="Hyperlink"/>
                  <w:rFonts w:ascii="Arial" w:hAnsi="Arial" w:cs="Arial"/>
                  <w:sz w:val="24"/>
                  <w:szCs w:val="24"/>
                </w:rPr>
                <w:t>https://www.nccn.org/professionals/physician_gls/pdf/hepatobiliary.pdf</w:t>
              </w:r>
            </w:hyperlink>
            <w:r w:rsidRPr="00FA3F9C">
              <w:rPr>
                <w:rFonts w:ascii="Arial" w:hAnsi="Arial" w:cs="Arial"/>
                <w:sz w:val="24"/>
                <w:szCs w:val="24"/>
              </w:rPr>
              <w:t xml:space="preserve"> </w:t>
            </w:r>
          </w:p>
        </w:tc>
      </w:tr>
    </w:tbl>
    <w:p w14:paraId="6755D815" w14:textId="77777777" w:rsidR="00C3036D" w:rsidRPr="00FA3F9C" w:rsidRDefault="00C3036D" w:rsidP="00D00992">
      <w:pPr>
        <w:rPr>
          <w:rFonts w:ascii="Arial" w:hAnsi="Arial" w:cs="Arial"/>
          <w:sz w:val="24"/>
          <w:szCs w:val="24"/>
        </w:rPr>
      </w:pPr>
    </w:p>
    <w:p w14:paraId="634F9C1B" w14:textId="77777777" w:rsidR="00C3036D" w:rsidRPr="00FA3F9C" w:rsidRDefault="00C3036D" w:rsidP="00790F13">
      <w:pPr>
        <w:rPr>
          <w:rFonts w:ascii="Arial" w:hAnsi="Arial" w:cs="Arial"/>
          <w:sz w:val="24"/>
          <w:szCs w:val="24"/>
        </w:rPr>
      </w:pPr>
      <w:r w:rsidRPr="00FA3F9C">
        <w:rPr>
          <w:rFonts w:ascii="Arial" w:hAnsi="Arial" w:cs="Arial"/>
          <w:sz w:val="24"/>
          <w:szCs w:val="24"/>
        </w:rPr>
        <w:t>Quantity Limits: 120 tablets/30 days</w:t>
      </w:r>
    </w:p>
    <w:p w14:paraId="0024A908" w14:textId="77777777" w:rsidR="00C3036D" w:rsidRPr="00FA3F9C" w:rsidRDefault="00C3036D" w:rsidP="00D00992">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7547"/>
        <w:gridCol w:w="1615"/>
      </w:tblGrid>
      <w:tr w:rsidR="00C3036D" w:rsidRPr="00FA3F9C" w14:paraId="22B6AB92" w14:textId="77777777" w:rsidTr="00F171CE">
        <w:tc>
          <w:tcPr>
            <w:tcW w:w="908" w:type="dxa"/>
          </w:tcPr>
          <w:p w14:paraId="197536A1" w14:textId="77777777" w:rsidR="00C3036D" w:rsidRPr="00FA3F9C" w:rsidRDefault="00C3036D" w:rsidP="00315CCC">
            <w:pPr>
              <w:rPr>
                <w:rFonts w:ascii="Arial" w:hAnsi="Arial" w:cs="Arial"/>
                <w:sz w:val="24"/>
                <w:szCs w:val="24"/>
              </w:rPr>
            </w:pPr>
            <w:r w:rsidRPr="00FA3F9C">
              <w:rPr>
                <w:rFonts w:ascii="Arial" w:hAnsi="Arial" w:cs="Arial"/>
                <w:sz w:val="24"/>
                <w:szCs w:val="24"/>
              </w:rPr>
              <w:t>Date</w:t>
            </w:r>
          </w:p>
        </w:tc>
        <w:tc>
          <w:tcPr>
            <w:tcW w:w="7547" w:type="dxa"/>
          </w:tcPr>
          <w:p w14:paraId="40BD8419" w14:textId="77777777" w:rsidR="00C3036D" w:rsidRPr="00FA3F9C" w:rsidRDefault="00C3036D" w:rsidP="00315CCC">
            <w:pPr>
              <w:rPr>
                <w:rFonts w:ascii="Arial" w:hAnsi="Arial" w:cs="Arial"/>
                <w:sz w:val="24"/>
                <w:szCs w:val="24"/>
              </w:rPr>
            </w:pPr>
            <w:r w:rsidRPr="00FA3F9C">
              <w:rPr>
                <w:rFonts w:ascii="Arial" w:hAnsi="Arial" w:cs="Arial"/>
                <w:sz w:val="24"/>
                <w:szCs w:val="24"/>
              </w:rPr>
              <w:t>What Changed?</w:t>
            </w:r>
          </w:p>
        </w:tc>
        <w:tc>
          <w:tcPr>
            <w:tcW w:w="1615" w:type="dxa"/>
          </w:tcPr>
          <w:p w14:paraId="41819179" w14:textId="77777777" w:rsidR="00C3036D" w:rsidRPr="00FA3F9C" w:rsidRDefault="00C3036D" w:rsidP="00315CCC">
            <w:pPr>
              <w:rPr>
                <w:rFonts w:ascii="Arial" w:hAnsi="Arial" w:cs="Arial"/>
                <w:sz w:val="24"/>
                <w:szCs w:val="24"/>
              </w:rPr>
            </w:pPr>
            <w:r w:rsidRPr="00FA3F9C">
              <w:rPr>
                <w:rFonts w:ascii="Arial" w:hAnsi="Arial" w:cs="Arial"/>
                <w:sz w:val="24"/>
                <w:szCs w:val="24"/>
              </w:rPr>
              <w:t>Pharmacist’s initials</w:t>
            </w:r>
          </w:p>
        </w:tc>
      </w:tr>
      <w:tr w:rsidR="00C3036D" w:rsidRPr="00FA3F9C" w14:paraId="0A1D51E7" w14:textId="77777777" w:rsidTr="00F171CE">
        <w:tc>
          <w:tcPr>
            <w:tcW w:w="908" w:type="dxa"/>
          </w:tcPr>
          <w:p w14:paraId="54E0C6FF" w14:textId="77777777" w:rsidR="00C3036D" w:rsidRPr="00FA3F9C" w:rsidRDefault="00C3036D" w:rsidP="00315CCC">
            <w:pPr>
              <w:rPr>
                <w:rFonts w:ascii="Arial" w:hAnsi="Arial" w:cs="Arial"/>
                <w:sz w:val="24"/>
                <w:szCs w:val="24"/>
              </w:rPr>
            </w:pPr>
            <w:r w:rsidRPr="00FA3F9C">
              <w:rPr>
                <w:rFonts w:ascii="Arial" w:hAnsi="Arial" w:cs="Arial"/>
                <w:sz w:val="24"/>
                <w:szCs w:val="24"/>
              </w:rPr>
              <w:t>2/22/07</w:t>
            </w:r>
          </w:p>
        </w:tc>
        <w:tc>
          <w:tcPr>
            <w:tcW w:w="7547" w:type="dxa"/>
          </w:tcPr>
          <w:p w14:paraId="4E3EFF00" w14:textId="77777777" w:rsidR="00C3036D" w:rsidRPr="00FA3F9C" w:rsidRDefault="00C3036D" w:rsidP="00315CCC">
            <w:pPr>
              <w:rPr>
                <w:rFonts w:ascii="Arial" w:hAnsi="Arial" w:cs="Arial"/>
                <w:sz w:val="24"/>
                <w:szCs w:val="24"/>
              </w:rPr>
            </w:pPr>
            <w:r w:rsidRPr="00FA3F9C">
              <w:rPr>
                <w:rFonts w:ascii="Arial" w:hAnsi="Arial" w:cs="Arial"/>
                <w:sz w:val="24"/>
                <w:szCs w:val="24"/>
              </w:rPr>
              <w:t>PA criteria were written</w:t>
            </w:r>
          </w:p>
        </w:tc>
        <w:tc>
          <w:tcPr>
            <w:tcW w:w="1615" w:type="dxa"/>
          </w:tcPr>
          <w:p w14:paraId="61C97F16" w14:textId="77777777" w:rsidR="00C3036D" w:rsidRPr="00FA3F9C" w:rsidRDefault="00C3036D" w:rsidP="00315CCC">
            <w:pPr>
              <w:rPr>
                <w:rFonts w:ascii="Arial" w:hAnsi="Arial" w:cs="Arial"/>
                <w:sz w:val="24"/>
                <w:szCs w:val="24"/>
              </w:rPr>
            </w:pPr>
            <w:r w:rsidRPr="00FA3F9C">
              <w:rPr>
                <w:rFonts w:ascii="Arial" w:hAnsi="Arial" w:cs="Arial"/>
                <w:sz w:val="24"/>
                <w:szCs w:val="24"/>
              </w:rPr>
              <w:t>JJ</w:t>
            </w:r>
          </w:p>
        </w:tc>
      </w:tr>
      <w:tr w:rsidR="00C3036D" w:rsidRPr="00FA3F9C" w14:paraId="49B0433E" w14:textId="77777777" w:rsidTr="00F171CE">
        <w:tc>
          <w:tcPr>
            <w:tcW w:w="908" w:type="dxa"/>
          </w:tcPr>
          <w:p w14:paraId="21DBB568" w14:textId="77777777" w:rsidR="00C3036D" w:rsidRPr="00FA3F9C" w:rsidRDefault="00C3036D" w:rsidP="00315CCC">
            <w:pPr>
              <w:rPr>
                <w:rFonts w:ascii="Arial" w:hAnsi="Arial" w:cs="Arial"/>
                <w:sz w:val="24"/>
                <w:szCs w:val="24"/>
              </w:rPr>
            </w:pPr>
            <w:r w:rsidRPr="00FA3F9C">
              <w:rPr>
                <w:rFonts w:ascii="Arial" w:hAnsi="Arial" w:cs="Arial"/>
                <w:sz w:val="24"/>
                <w:szCs w:val="24"/>
              </w:rPr>
              <w:t>3/11/13</w:t>
            </w:r>
          </w:p>
        </w:tc>
        <w:tc>
          <w:tcPr>
            <w:tcW w:w="7547" w:type="dxa"/>
          </w:tcPr>
          <w:p w14:paraId="04CB09E3" w14:textId="77777777" w:rsidR="00C3036D" w:rsidRPr="00FA3F9C" w:rsidRDefault="00C3036D" w:rsidP="00315CCC">
            <w:pPr>
              <w:rPr>
                <w:rFonts w:ascii="Arial" w:hAnsi="Arial" w:cs="Arial"/>
                <w:sz w:val="24"/>
                <w:szCs w:val="24"/>
              </w:rPr>
            </w:pPr>
            <w:r w:rsidRPr="00FA3F9C">
              <w:rPr>
                <w:rFonts w:ascii="Arial" w:hAnsi="Arial" w:cs="Arial"/>
                <w:sz w:val="24"/>
                <w:szCs w:val="24"/>
              </w:rPr>
              <w:t>Added HCC as an indication; added references 2-5.</w:t>
            </w:r>
          </w:p>
        </w:tc>
        <w:tc>
          <w:tcPr>
            <w:tcW w:w="1615" w:type="dxa"/>
          </w:tcPr>
          <w:p w14:paraId="7C46F84B" w14:textId="77777777" w:rsidR="00C3036D" w:rsidRPr="00FA3F9C" w:rsidRDefault="00C3036D" w:rsidP="00315CCC">
            <w:pPr>
              <w:rPr>
                <w:rFonts w:ascii="Arial" w:hAnsi="Arial" w:cs="Arial"/>
                <w:sz w:val="24"/>
                <w:szCs w:val="24"/>
              </w:rPr>
            </w:pPr>
            <w:r w:rsidRPr="00FA3F9C">
              <w:rPr>
                <w:rFonts w:ascii="Arial" w:hAnsi="Arial" w:cs="Arial"/>
                <w:sz w:val="24"/>
                <w:szCs w:val="24"/>
              </w:rPr>
              <w:t>JJ</w:t>
            </w:r>
          </w:p>
        </w:tc>
      </w:tr>
      <w:tr w:rsidR="00C3036D" w:rsidRPr="00FA3F9C" w14:paraId="20DEE7EC" w14:textId="77777777" w:rsidTr="00F171CE">
        <w:tc>
          <w:tcPr>
            <w:tcW w:w="908" w:type="dxa"/>
          </w:tcPr>
          <w:p w14:paraId="0A106DE1" w14:textId="77777777" w:rsidR="00C3036D" w:rsidRPr="00FA3F9C" w:rsidRDefault="00C3036D" w:rsidP="00315CCC">
            <w:pPr>
              <w:rPr>
                <w:rFonts w:ascii="Arial" w:hAnsi="Arial" w:cs="Arial"/>
                <w:sz w:val="24"/>
                <w:szCs w:val="24"/>
              </w:rPr>
            </w:pPr>
            <w:r w:rsidRPr="00FA3F9C">
              <w:rPr>
                <w:rFonts w:ascii="Arial" w:hAnsi="Arial" w:cs="Arial"/>
                <w:sz w:val="24"/>
                <w:szCs w:val="24"/>
              </w:rPr>
              <w:t>3/4/14</w:t>
            </w:r>
          </w:p>
        </w:tc>
        <w:tc>
          <w:tcPr>
            <w:tcW w:w="7547" w:type="dxa"/>
          </w:tcPr>
          <w:p w14:paraId="335407BD" w14:textId="77777777" w:rsidR="00C3036D" w:rsidRPr="00FA3F9C" w:rsidRDefault="00C3036D" w:rsidP="00315CCC">
            <w:pPr>
              <w:rPr>
                <w:rFonts w:ascii="Arial" w:hAnsi="Arial" w:cs="Arial"/>
                <w:sz w:val="24"/>
                <w:szCs w:val="24"/>
              </w:rPr>
            </w:pPr>
            <w:r w:rsidRPr="00FA3F9C">
              <w:rPr>
                <w:rFonts w:ascii="Arial" w:hAnsi="Arial" w:cs="Arial"/>
                <w:sz w:val="24"/>
                <w:szCs w:val="24"/>
              </w:rPr>
              <w:t xml:space="preserve">I reviewed the trial with sorafenib in metastatic thyroid carcinoma (since it received FDA approval).  </w:t>
            </w:r>
          </w:p>
        </w:tc>
        <w:tc>
          <w:tcPr>
            <w:tcW w:w="1615" w:type="dxa"/>
          </w:tcPr>
          <w:p w14:paraId="39B99D93" w14:textId="77777777" w:rsidR="00C3036D" w:rsidRPr="00FA3F9C" w:rsidRDefault="00C3036D" w:rsidP="00315CCC">
            <w:pPr>
              <w:rPr>
                <w:rFonts w:ascii="Arial" w:hAnsi="Arial" w:cs="Arial"/>
                <w:sz w:val="24"/>
                <w:szCs w:val="24"/>
              </w:rPr>
            </w:pPr>
            <w:r w:rsidRPr="00FA3F9C">
              <w:rPr>
                <w:rFonts w:ascii="Arial" w:hAnsi="Arial" w:cs="Arial"/>
                <w:sz w:val="24"/>
                <w:szCs w:val="24"/>
              </w:rPr>
              <w:t>JJ</w:t>
            </w:r>
          </w:p>
        </w:tc>
      </w:tr>
      <w:tr w:rsidR="00C3036D" w:rsidRPr="00FA3F9C" w14:paraId="0FD668E1" w14:textId="77777777" w:rsidTr="00F171CE">
        <w:tc>
          <w:tcPr>
            <w:tcW w:w="908" w:type="dxa"/>
          </w:tcPr>
          <w:p w14:paraId="22740235" w14:textId="77777777" w:rsidR="00C3036D" w:rsidRPr="00FA3F9C" w:rsidRDefault="00C3036D" w:rsidP="00315CCC">
            <w:pPr>
              <w:rPr>
                <w:rFonts w:ascii="Arial" w:hAnsi="Arial" w:cs="Arial"/>
                <w:sz w:val="24"/>
                <w:szCs w:val="24"/>
              </w:rPr>
            </w:pPr>
            <w:r w:rsidRPr="00FA3F9C">
              <w:rPr>
                <w:rFonts w:ascii="Arial" w:hAnsi="Arial" w:cs="Arial"/>
                <w:sz w:val="24"/>
                <w:szCs w:val="24"/>
              </w:rPr>
              <w:t>12/1/16</w:t>
            </w:r>
          </w:p>
        </w:tc>
        <w:tc>
          <w:tcPr>
            <w:tcW w:w="7547" w:type="dxa"/>
          </w:tcPr>
          <w:p w14:paraId="57856AF1" w14:textId="77777777" w:rsidR="00C3036D" w:rsidRPr="00FA3F9C" w:rsidRDefault="00C3036D" w:rsidP="00315CCC">
            <w:pPr>
              <w:rPr>
                <w:rFonts w:ascii="Arial" w:hAnsi="Arial" w:cs="Arial"/>
                <w:sz w:val="24"/>
                <w:szCs w:val="24"/>
              </w:rPr>
            </w:pPr>
            <w:r w:rsidRPr="00FA3F9C">
              <w:rPr>
                <w:rFonts w:ascii="Arial" w:hAnsi="Arial" w:cs="Arial"/>
                <w:sz w:val="24"/>
                <w:szCs w:val="24"/>
              </w:rPr>
              <w:t xml:space="preserve">I searched for new overall survival data for differentiated thyroid cancer and found no new data, only reference 5 which evaluated overall survival but was confounded by placebo patients switching over to active sorafenib at progression.  The mean PFS was 10.8m with sorafenib and 5.8m with placebo (HR 0.59, 95%CI 0.45-0.76;p&lt;0.0001.  There was no ASCO Framework on thyroid cancer that I could find.  I scored this article using the ESMO Magnitude of Clinical Benefit scale from the Annals of Oncology and it reached a 3 (4 &amp;5 are considered to represent a high level of proven clinical benefit </w:t>
            </w:r>
          </w:p>
        </w:tc>
        <w:tc>
          <w:tcPr>
            <w:tcW w:w="1615" w:type="dxa"/>
          </w:tcPr>
          <w:p w14:paraId="34648887" w14:textId="77777777" w:rsidR="00C3036D" w:rsidRPr="00FA3F9C" w:rsidRDefault="00C3036D" w:rsidP="00315CCC">
            <w:pPr>
              <w:rPr>
                <w:rFonts w:ascii="Arial" w:hAnsi="Arial" w:cs="Arial"/>
                <w:sz w:val="24"/>
                <w:szCs w:val="24"/>
              </w:rPr>
            </w:pPr>
            <w:r w:rsidRPr="00FA3F9C">
              <w:rPr>
                <w:rFonts w:ascii="Arial" w:hAnsi="Arial" w:cs="Arial"/>
                <w:sz w:val="24"/>
                <w:szCs w:val="24"/>
              </w:rPr>
              <w:t>JJ</w:t>
            </w:r>
          </w:p>
        </w:tc>
      </w:tr>
      <w:tr w:rsidR="00C3036D" w:rsidRPr="00FA3F9C" w14:paraId="2E2E91AF" w14:textId="77777777" w:rsidTr="00F171CE">
        <w:tc>
          <w:tcPr>
            <w:tcW w:w="908" w:type="dxa"/>
          </w:tcPr>
          <w:p w14:paraId="2F823E4E" w14:textId="77777777" w:rsidR="00C3036D" w:rsidRPr="00FA3F9C" w:rsidRDefault="00C3036D" w:rsidP="00315CCC">
            <w:pPr>
              <w:rPr>
                <w:rFonts w:ascii="Arial" w:hAnsi="Arial" w:cs="Arial"/>
                <w:sz w:val="24"/>
                <w:szCs w:val="24"/>
              </w:rPr>
            </w:pPr>
            <w:r w:rsidRPr="00FA3F9C">
              <w:rPr>
                <w:rFonts w:ascii="Arial" w:hAnsi="Arial" w:cs="Arial"/>
                <w:sz w:val="24"/>
                <w:szCs w:val="24"/>
              </w:rPr>
              <w:t>6/17/19</w:t>
            </w:r>
          </w:p>
        </w:tc>
        <w:tc>
          <w:tcPr>
            <w:tcW w:w="7547" w:type="dxa"/>
          </w:tcPr>
          <w:p w14:paraId="329D0383" w14:textId="77777777" w:rsidR="00C3036D" w:rsidRPr="00FA3F9C" w:rsidRDefault="00C3036D" w:rsidP="00315CCC">
            <w:pPr>
              <w:rPr>
                <w:rFonts w:ascii="Arial" w:hAnsi="Arial" w:cs="Arial"/>
                <w:sz w:val="24"/>
                <w:szCs w:val="24"/>
              </w:rPr>
            </w:pPr>
            <w:r w:rsidRPr="00FA3F9C">
              <w:rPr>
                <w:rFonts w:ascii="Arial" w:hAnsi="Arial" w:cs="Arial"/>
                <w:sz w:val="24"/>
                <w:szCs w:val="24"/>
              </w:rPr>
              <w:t>Criteria reviewed. Added that patients should have prior therapy before accessing sorafenib for renal cell carcinoma. Added that HCC indication requires that Child Pugh Class be A as done in the study</w:t>
            </w:r>
          </w:p>
        </w:tc>
        <w:tc>
          <w:tcPr>
            <w:tcW w:w="1615" w:type="dxa"/>
          </w:tcPr>
          <w:p w14:paraId="4C9C95E0" w14:textId="77777777" w:rsidR="00C3036D" w:rsidRPr="00FA3F9C" w:rsidRDefault="00C3036D" w:rsidP="00315CCC">
            <w:pPr>
              <w:rPr>
                <w:rFonts w:ascii="Arial" w:hAnsi="Arial" w:cs="Arial"/>
                <w:sz w:val="24"/>
                <w:szCs w:val="24"/>
              </w:rPr>
            </w:pPr>
            <w:r w:rsidRPr="00FA3F9C">
              <w:rPr>
                <w:rFonts w:ascii="Arial" w:hAnsi="Arial" w:cs="Arial"/>
                <w:sz w:val="24"/>
                <w:szCs w:val="24"/>
              </w:rPr>
              <w:t>SK</w:t>
            </w:r>
          </w:p>
        </w:tc>
      </w:tr>
      <w:tr w:rsidR="00C3036D" w:rsidRPr="00FA3F9C" w14:paraId="3CFC528A" w14:textId="77777777" w:rsidTr="00F171CE">
        <w:tc>
          <w:tcPr>
            <w:tcW w:w="908" w:type="dxa"/>
          </w:tcPr>
          <w:p w14:paraId="4B97C236" w14:textId="77777777" w:rsidR="00C3036D" w:rsidRPr="00FA3F9C" w:rsidRDefault="00C3036D" w:rsidP="00315CCC">
            <w:pPr>
              <w:rPr>
                <w:rFonts w:ascii="Arial" w:hAnsi="Arial" w:cs="Arial"/>
                <w:sz w:val="24"/>
                <w:szCs w:val="24"/>
              </w:rPr>
            </w:pPr>
            <w:r w:rsidRPr="00FA3F9C">
              <w:rPr>
                <w:rFonts w:ascii="Arial" w:hAnsi="Arial" w:cs="Arial"/>
                <w:sz w:val="24"/>
                <w:szCs w:val="24"/>
              </w:rPr>
              <w:t>6/16/2020</w:t>
            </w:r>
          </w:p>
        </w:tc>
        <w:tc>
          <w:tcPr>
            <w:tcW w:w="7547" w:type="dxa"/>
          </w:tcPr>
          <w:p w14:paraId="18027114" w14:textId="77777777" w:rsidR="00C3036D" w:rsidRPr="00FA3F9C" w:rsidRDefault="00C3036D" w:rsidP="00315CCC">
            <w:pPr>
              <w:rPr>
                <w:rFonts w:ascii="Arial" w:hAnsi="Arial" w:cs="Arial"/>
                <w:sz w:val="24"/>
                <w:szCs w:val="24"/>
              </w:rPr>
            </w:pPr>
            <w:r w:rsidRPr="00FA3F9C">
              <w:rPr>
                <w:rFonts w:ascii="Arial" w:hAnsi="Arial" w:cs="Arial"/>
                <w:sz w:val="24"/>
                <w:szCs w:val="24"/>
              </w:rPr>
              <w:t>Criteria reviewed, no changes</w:t>
            </w:r>
          </w:p>
        </w:tc>
        <w:tc>
          <w:tcPr>
            <w:tcW w:w="1615" w:type="dxa"/>
          </w:tcPr>
          <w:p w14:paraId="30B8CF7A" w14:textId="77777777" w:rsidR="00C3036D" w:rsidRPr="00FA3F9C" w:rsidRDefault="00C3036D" w:rsidP="00315CCC">
            <w:pPr>
              <w:rPr>
                <w:rFonts w:ascii="Arial" w:hAnsi="Arial" w:cs="Arial"/>
                <w:sz w:val="24"/>
                <w:szCs w:val="24"/>
              </w:rPr>
            </w:pPr>
            <w:r w:rsidRPr="00FA3F9C">
              <w:rPr>
                <w:rFonts w:ascii="Arial" w:hAnsi="Arial" w:cs="Arial"/>
                <w:sz w:val="24"/>
                <w:szCs w:val="24"/>
              </w:rPr>
              <w:t>SK</w:t>
            </w:r>
          </w:p>
        </w:tc>
      </w:tr>
      <w:tr w:rsidR="00C3036D" w:rsidRPr="00FA3F9C" w14:paraId="1A3BE242" w14:textId="77777777" w:rsidTr="00F171CE">
        <w:tc>
          <w:tcPr>
            <w:tcW w:w="908" w:type="dxa"/>
          </w:tcPr>
          <w:p w14:paraId="36F73C18" w14:textId="77777777" w:rsidR="00C3036D" w:rsidRPr="00FA3F9C" w:rsidRDefault="00C3036D" w:rsidP="00315CCC">
            <w:pPr>
              <w:rPr>
                <w:rFonts w:ascii="Arial" w:hAnsi="Arial" w:cs="Arial"/>
                <w:sz w:val="24"/>
                <w:szCs w:val="24"/>
              </w:rPr>
            </w:pPr>
            <w:r w:rsidRPr="00FA3F9C">
              <w:rPr>
                <w:rFonts w:ascii="Arial" w:hAnsi="Arial" w:cs="Arial"/>
                <w:sz w:val="24"/>
                <w:szCs w:val="24"/>
              </w:rPr>
              <w:t>4/7/21</w:t>
            </w:r>
          </w:p>
        </w:tc>
        <w:tc>
          <w:tcPr>
            <w:tcW w:w="7547" w:type="dxa"/>
          </w:tcPr>
          <w:p w14:paraId="45C934E4" w14:textId="77777777" w:rsidR="00C3036D" w:rsidRPr="00FA3F9C" w:rsidRDefault="00C3036D" w:rsidP="00315CCC">
            <w:pPr>
              <w:rPr>
                <w:rFonts w:ascii="Arial" w:hAnsi="Arial" w:cs="Arial"/>
                <w:sz w:val="24"/>
                <w:szCs w:val="24"/>
              </w:rPr>
            </w:pPr>
            <w:r w:rsidRPr="00FA3F9C">
              <w:rPr>
                <w:rFonts w:ascii="Arial" w:hAnsi="Arial" w:cs="Arial"/>
                <w:sz w:val="24"/>
                <w:szCs w:val="24"/>
              </w:rPr>
              <w:t>Applied EBRx criteria to UAS Plan.  No current utilizers</w:t>
            </w:r>
          </w:p>
        </w:tc>
        <w:tc>
          <w:tcPr>
            <w:tcW w:w="1615" w:type="dxa"/>
          </w:tcPr>
          <w:p w14:paraId="52FEF64E" w14:textId="77777777" w:rsidR="00C3036D" w:rsidRPr="00FA3F9C" w:rsidRDefault="00C3036D" w:rsidP="00315CCC">
            <w:pPr>
              <w:rPr>
                <w:rFonts w:ascii="Arial" w:hAnsi="Arial" w:cs="Arial"/>
                <w:sz w:val="24"/>
                <w:szCs w:val="24"/>
              </w:rPr>
            </w:pPr>
            <w:r w:rsidRPr="00FA3F9C">
              <w:rPr>
                <w:rFonts w:ascii="Arial" w:hAnsi="Arial" w:cs="Arial"/>
                <w:sz w:val="24"/>
                <w:szCs w:val="24"/>
              </w:rPr>
              <w:t>JJ</w:t>
            </w:r>
          </w:p>
        </w:tc>
      </w:tr>
      <w:tr w:rsidR="00C3036D" w:rsidRPr="00FA3F9C" w14:paraId="6E248048" w14:textId="77777777" w:rsidTr="00F171CE">
        <w:tc>
          <w:tcPr>
            <w:tcW w:w="908" w:type="dxa"/>
          </w:tcPr>
          <w:p w14:paraId="0663C23D" w14:textId="77777777" w:rsidR="00C3036D" w:rsidRPr="00FA3F9C" w:rsidRDefault="00C3036D" w:rsidP="00315CCC">
            <w:pPr>
              <w:rPr>
                <w:rFonts w:ascii="Arial" w:hAnsi="Arial" w:cs="Arial"/>
                <w:sz w:val="24"/>
                <w:szCs w:val="24"/>
              </w:rPr>
            </w:pPr>
            <w:r w:rsidRPr="00FA3F9C">
              <w:rPr>
                <w:rFonts w:ascii="Arial" w:hAnsi="Arial" w:cs="Arial"/>
                <w:sz w:val="24"/>
                <w:szCs w:val="24"/>
              </w:rPr>
              <w:lastRenderedPageBreak/>
              <w:t>4/12/21</w:t>
            </w:r>
          </w:p>
        </w:tc>
        <w:tc>
          <w:tcPr>
            <w:tcW w:w="7547" w:type="dxa"/>
          </w:tcPr>
          <w:p w14:paraId="3C1F63D8" w14:textId="77777777" w:rsidR="00C3036D" w:rsidRPr="00FA3F9C" w:rsidRDefault="00C3036D" w:rsidP="00315CCC">
            <w:pPr>
              <w:rPr>
                <w:rFonts w:ascii="Arial" w:hAnsi="Arial" w:cs="Arial"/>
                <w:sz w:val="24"/>
                <w:szCs w:val="24"/>
              </w:rPr>
            </w:pPr>
            <w:r w:rsidRPr="00FA3F9C">
              <w:rPr>
                <w:rFonts w:ascii="Arial" w:hAnsi="Arial" w:cs="Arial"/>
                <w:sz w:val="24"/>
                <w:szCs w:val="24"/>
              </w:rPr>
              <w:t>Added HR for OS analysis in RCC</w:t>
            </w:r>
          </w:p>
        </w:tc>
        <w:tc>
          <w:tcPr>
            <w:tcW w:w="1615" w:type="dxa"/>
          </w:tcPr>
          <w:p w14:paraId="1B462C77" w14:textId="77777777" w:rsidR="00C3036D" w:rsidRPr="00FA3F9C" w:rsidRDefault="00C3036D" w:rsidP="00315CCC">
            <w:pPr>
              <w:rPr>
                <w:rFonts w:ascii="Arial" w:hAnsi="Arial" w:cs="Arial"/>
                <w:sz w:val="24"/>
                <w:szCs w:val="24"/>
              </w:rPr>
            </w:pPr>
            <w:r w:rsidRPr="00FA3F9C">
              <w:rPr>
                <w:rFonts w:ascii="Arial" w:hAnsi="Arial" w:cs="Arial"/>
                <w:sz w:val="24"/>
                <w:szCs w:val="24"/>
              </w:rPr>
              <w:t>SK</w:t>
            </w:r>
          </w:p>
        </w:tc>
      </w:tr>
      <w:tr w:rsidR="00C3036D" w:rsidRPr="00FA3F9C" w14:paraId="0DDE4097" w14:textId="77777777" w:rsidTr="00F171CE">
        <w:tc>
          <w:tcPr>
            <w:tcW w:w="908" w:type="dxa"/>
          </w:tcPr>
          <w:p w14:paraId="095A4D0F" w14:textId="77777777" w:rsidR="00C3036D" w:rsidRPr="00FA3F9C" w:rsidRDefault="00C3036D" w:rsidP="00315CCC">
            <w:pPr>
              <w:rPr>
                <w:rFonts w:ascii="Arial" w:hAnsi="Arial" w:cs="Arial"/>
                <w:sz w:val="24"/>
                <w:szCs w:val="24"/>
              </w:rPr>
            </w:pPr>
            <w:r w:rsidRPr="00FA3F9C">
              <w:rPr>
                <w:rFonts w:ascii="Arial" w:hAnsi="Arial" w:cs="Arial"/>
                <w:sz w:val="24"/>
                <w:szCs w:val="24"/>
              </w:rPr>
              <w:t>9/1/2021</w:t>
            </w:r>
          </w:p>
        </w:tc>
        <w:tc>
          <w:tcPr>
            <w:tcW w:w="7547" w:type="dxa"/>
          </w:tcPr>
          <w:p w14:paraId="684AF883" w14:textId="77777777" w:rsidR="00C3036D" w:rsidRPr="00FA3F9C" w:rsidRDefault="00C3036D" w:rsidP="00315CCC">
            <w:pPr>
              <w:rPr>
                <w:rFonts w:ascii="Arial" w:hAnsi="Arial" w:cs="Arial"/>
                <w:sz w:val="24"/>
                <w:szCs w:val="24"/>
              </w:rPr>
            </w:pPr>
            <w:r w:rsidRPr="00FA3F9C">
              <w:rPr>
                <w:rFonts w:ascii="Arial" w:hAnsi="Arial" w:cs="Arial"/>
                <w:sz w:val="24"/>
                <w:szCs w:val="24"/>
              </w:rPr>
              <w:t>Criteria reviewed. No change. Saved to UAS folder.</w:t>
            </w:r>
          </w:p>
        </w:tc>
        <w:tc>
          <w:tcPr>
            <w:tcW w:w="1615" w:type="dxa"/>
          </w:tcPr>
          <w:p w14:paraId="1F2C9F0C" w14:textId="77777777" w:rsidR="00C3036D" w:rsidRPr="00FA3F9C" w:rsidRDefault="00C3036D" w:rsidP="00315CCC">
            <w:pPr>
              <w:rPr>
                <w:rFonts w:ascii="Arial" w:hAnsi="Arial" w:cs="Arial"/>
                <w:sz w:val="24"/>
                <w:szCs w:val="24"/>
              </w:rPr>
            </w:pPr>
            <w:r w:rsidRPr="00FA3F9C">
              <w:rPr>
                <w:rFonts w:ascii="Arial" w:hAnsi="Arial" w:cs="Arial"/>
                <w:sz w:val="24"/>
                <w:szCs w:val="24"/>
              </w:rPr>
              <w:t>SK</w:t>
            </w:r>
          </w:p>
        </w:tc>
      </w:tr>
    </w:tbl>
    <w:p w14:paraId="2260A14C" w14:textId="77777777" w:rsidR="00C3036D" w:rsidRPr="00FA3F9C" w:rsidRDefault="00C3036D" w:rsidP="00D00992">
      <w:pPr>
        <w:rPr>
          <w:rFonts w:ascii="Arial" w:hAnsi="Arial" w:cs="Arial"/>
          <w:noProof/>
          <w:sz w:val="24"/>
          <w:szCs w:val="24"/>
        </w:rPr>
      </w:pPr>
    </w:p>
    <w:p w14:paraId="70189C2D" w14:textId="77777777" w:rsidR="00C3036D" w:rsidRPr="00FA3F9C" w:rsidRDefault="00C3036D" w:rsidP="00D00992">
      <w:pPr>
        <w:rPr>
          <w:rFonts w:ascii="Arial" w:hAnsi="Arial" w:cs="Arial"/>
          <w:sz w:val="24"/>
          <w:szCs w:val="24"/>
        </w:rPr>
      </w:pPr>
      <w:r w:rsidRPr="00FA3F9C">
        <w:rPr>
          <w:rFonts w:ascii="Arial" w:hAnsi="Arial" w:cs="Arial"/>
          <w:noProof/>
          <w:sz w:val="24"/>
          <w:szCs w:val="24"/>
        </w:rPr>
        <w:drawing>
          <wp:inline distT="0" distB="0" distL="0" distR="0" wp14:anchorId="149C0219" wp14:editId="40093F4A">
            <wp:extent cx="5094514" cy="495630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0">
                      <a:extLst>
                        <a:ext uri="{28A0092B-C50C-407E-A947-70E740481C1C}">
                          <a14:useLocalDpi xmlns:a14="http://schemas.microsoft.com/office/drawing/2010/main" val="0"/>
                        </a:ext>
                      </a:extLst>
                    </a:blip>
                    <a:srcRect l="64528" t="11888" r="15053" b="9488"/>
                    <a:stretch/>
                  </pic:blipFill>
                  <pic:spPr bwMode="auto">
                    <a:xfrm>
                      <a:off x="0" y="0"/>
                      <a:ext cx="5123516" cy="4984524"/>
                    </a:xfrm>
                    <a:prstGeom prst="rect">
                      <a:avLst/>
                    </a:prstGeom>
                    <a:noFill/>
                    <a:ln>
                      <a:noFill/>
                    </a:ln>
                    <a:extLst>
                      <a:ext uri="{53640926-AAD7-44D8-BBD7-CCE9431645EC}">
                        <a14:shadowObscured xmlns:a14="http://schemas.microsoft.com/office/drawing/2010/main"/>
                      </a:ext>
                    </a:extLst>
                  </pic:spPr>
                </pic:pic>
              </a:graphicData>
            </a:graphic>
          </wp:inline>
        </w:drawing>
      </w:r>
    </w:p>
    <w:p w14:paraId="7B2C53B2" w14:textId="77777777" w:rsidR="00C3036D" w:rsidRPr="00FA3F9C" w:rsidRDefault="00C3036D" w:rsidP="00D00992">
      <w:pPr>
        <w:ind w:left="720"/>
        <w:rPr>
          <w:rFonts w:ascii="Arial" w:hAnsi="Arial" w:cs="Arial"/>
          <w:sz w:val="24"/>
          <w:szCs w:val="24"/>
        </w:rPr>
      </w:pPr>
      <w:r w:rsidRPr="00FA3F9C">
        <w:rPr>
          <w:rFonts w:ascii="Arial" w:hAnsi="Arial" w:cs="Arial"/>
          <w:sz w:val="24"/>
          <w:szCs w:val="24"/>
        </w:rPr>
        <w:lastRenderedPageBreak/>
        <w:t xml:space="preserve">Above Child Pugh scoring scheme taken from Supplementary Appendix of </w:t>
      </w:r>
      <w:proofErr w:type="spellStart"/>
      <w:r w:rsidRPr="00FA3F9C">
        <w:rPr>
          <w:rFonts w:ascii="Arial" w:hAnsi="Arial" w:cs="Arial"/>
          <w:sz w:val="24"/>
          <w:szCs w:val="24"/>
        </w:rPr>
        <w:t>Llovet</w:t>
      </w:r>
      <w:proofErr w:type="spellEnd"/>
      <w:r w:rsidRPr="00FA3F9C">
        <w:rPr>
          <w:rFonts w:ascii="Arial" w:hAnsi="Arial" w:cs="Arial"/>
          <w:sz w:val="24"/>
          <w:szCs w:val="24"/>
        </w:rPr>
        <w:t xml:space="preserve"> JM et al. Sorafenib in advanced hepatocellular carcinoma. N </w:t>
      </w:r>
      <w:proofErr w:type="spellStart"/>
      <w:r w:rsidRPr="00FA3F9C">
        <w:rPr>
          <w:rFonts w:ascii="Arial" w:hAnsi="Arial" w:cs="Arial"/>
          <w:sz w:val="24"/>
          <w:szCs w:val="24"/>
        </w:rPr>
        <w:t>Engl</w:t>
      </w:r>
      <w:proofErr w:type="spellEnd"/>
      <w:r w:rsidRPr="00FA3F9C">
        <w:rPr>
          <w:rFonts w:ascii="Arial" w:hAnsi="Arial" w:cs="Arial"/>
          <w:sz w:val="24"/>
          <w:szCs w:val="24"/>
        </w:rPr>
        <w:t xml:space="preserve"> J Med. 2008 Jul 24;359(4):378-90. PMID 18650514 NCT00105443</w:t>
      </w:r>
    </w:p>
    <w:p w14:paraId="6E93BC7C" w14:textId="77777777" w:rsidR="00C3036D" w:rsidRPr="00FA3F9C" w:rsidRDefault="00C3036D" w:rsidP="00D00992">
      <w:pPr>
        <w:rPr>
          <w:rFonts w:ascii="Arial" w:hAnsi="Arial" w:cs="Arial"/>
          <w:sz w:val="24"/>
          <w:szCs w:val="24"/>
        </w:rPr>
      </w:pPr>
    </w:p>
    <w:p w14:paraId="34B2E5BF" w14:textId="77777777" w:rsidR="00C3036D" w:rsidRPr="00FA3F9C" w:rsidRDefault="00C3036D" w:rsidP="00D00992">
      <w:pPr>
        <w:jc w:val="right"/>
        <w:rPr>
          <w:rFonts w:ascii="Arial" w:hAnsi="Arial" w:cs="Arial"/>
          <w:sz w:val="24"/>
          <w:szCs w:val="24"/>
        </w:rPr>
      </w:pPr>
    </w:p>
    <w:p w14:paraId="4E249E3D" w14:textId="77777777" w:rsidR="00C3036D" w:rsidRPr="00FA3F9C" w:rsidRDefault="00C3036D" w:rsidP="00D00992">
      <w:pPr>
        <w:rPr>
          <w:rFonts w:ascii="Arial" w:hAnsi="Arial" w:cs="Arial"/>
          <w:sz w:val="24"/>
          <w:szCs w:val="24"/>
        </w:rPr>
      </w:pPr>
    </w:p>
    <w:p w14:paraId="6DD7596F" w14:textId="77777777" w:rsidR="00C3036D" w:rsidRPr="00FA3F9C" w:rsidRDefault="00C3036D" w:rsidP="00D00992">
      <w:pPr>
        <w:rPr>
          <w:rFonts w:ascii="Arial" w:hAnsi="Arial" w:cs="Arial"/>
          <w:sz w:val="24"/>
          <w:szCs w:val="24"/>
        </w:rPr>
      </w:pPr>
    </w:p>
    <w:p w14:paraId="798ED7E7" w14:textId="77777777" w:rsidR="00C3036D" w:rsidRPr="00FA3F9C" w:rsidRDefault="00C3036D" w:rsidP="00D00992">
      <w:pPr>
        <w:jc w:val="right"/>
        <w:rPr>
          <w:rFonts w:ascii="Arial" w:hAnsi="Arial" w:cs="Arial"/>
          <w:sz w:val="24"/>
          <w:szCs w:val="24"/>
        </w:rPr>
      </w:pPr>
    </w:p>
    <w:p w14:paraId="77FDBE5D" w14:textId="77777777" w:rsidR="00C3036D" w:rsidRPr="00FA3F9C" w:rsidRDefault="00C3036D" w:rsidP="00D00992">
      <w:pPr>
        <w:jc w:val="right"/>
        <w:rPr>
          <w:rFonts w:ascii="Arial" w:hAnsi="Arial" w:cs="Arial"/>
          <w:sz w:val="24"/>
          <w:szCs w:val="24"/>
        </w:rPr>
      </w:pPr>
    </w:p>
    <w:p w14:paraId="5C7CE2F4" w14:textId="77777777" w:rsidR="00C3036D" w:rsidRPr="00FA3F9C" w:rsidRDefault="00C3036D" w:rsidP="00D00992">
      <w:pPr>
        <w:jc w:val="right"/>
        <w:rPr>
          <w:rFonts w:ascii="Arial" w:hAnsi="Arial" w:cs="Arial"/>
          <w:sz w:val="24"/>
          <w:szCs w:val="24"/>
        </w:rPr>
      </w:pPr>
    </w:p>
    <w:p w14:paraId="3E1B9D82" w14:textId="77777777" w:rsidR="00C3036D" w:rsidRPr="00FA3F9C" w:rsidRDefault="00C3036D" w:rsidP="00D00992">
      <w:pPr>
        <w:jc w:val="right"/>
        <w:rPr>
          <w:rFonts w:ascii="Arial" w:hAnsi="Arial" w:cs="Arial"/>
          <w:sz w:val="24"/>
          <w:szCs w:val="24"/>
        </w:rPr>
      </w:pPr>
    </w:p>
    <w:p w14:paraId="44764929" w14:textId="77777777" w:rsidR="00C3036D" w:rsidRPr="00FA3F9C" w:rsidRDefault="00C3036D" w:rsidP="00D00992">
      <w:pPr>
        <w:jc w:val="right"/>
        <w:rPr>
          <w:rFonts w:ascii="Arial" w:hAnsi="Arial" w:cs="Arial"/>
          <w:sz w:val="24"/>
          <w:szCs w:val="24"/>
        </w:rPr>
      </w:pPr>
    </w:p>
    <w:p w14:paraId="08E187EF" w14:textId="77777777" w:rsidR="00C3036D" w:rsidRPr="00FA3F9C" w:rsidRDefault="00C3036D" w:rsidP="00D00992">
      <w:pPr>
        <w:jc w:val="right"/>
        <w:rPr>
          <w:rFonts w:ascii="Arial" w:hAnsi="Arial" w:cs="Arial"/>
          <w:sz w:val="24"/>
          <w:szCs w:val="24"/>
        </w:rPr>
      </w:pPr>
    </w:p>
    <w:p w14:paraId="4F288DBA" w14:textId="77777777" w:rsidR="00C3036D" w:rsidRPr="00FA3F9C" w:rsidRDefault="00C3036D" w:rsidP="00D00992">
      <w:pPr>
        <w:jc w:val="right"/>
        <w:rPr>
          <w:rFonts w:ascii="Arial" w:hAnsi="Arial" w:cs="Arial"/>
          <w:sz w:val="24"/>
          <w:szCs w:val="24"/>
        </w:rPr>
      </w:pPr>
    </w:p>
    <w:p w14:paraId="61D1F15C" w14:textId="77777777" w:rsidR="00C3036D" w:rsidRPr="00FA3F9C" w:rsidRDefault="00C3036D" w:rsidP="00D00992">
      <w:pPr>
        <w:jc w:val="right"/>
        <w:rPr>
          <w:rFonts w:ascii="Arial" w:hAnsi="Arial" w:cs="Arial"/>
          <w:sz w:val="24"/>
          <w:szCs w:val="24"/>
        </w:rPr>
      </w:pPr>
    </w:p>
    <w:p w14:paraId="4E2539A0" w14:textId="77777777" w:rsidR="00C3036D" w:rsidRPr="00FA3F9C" w:rsidRDefault="00C3036D" w:rsidP="00D00992">
      <w:pPr>
        <w:jc w:val="right"/>
        <w:rPr>
          <w:rFonts w:ascii="Arial" w:hAnsi="Arial" w:cs="Arial"/>
          <w:sz w:val="24"/>
          <w:szCs w:val="24"/>
        </w:rPr>
      </w:pPr>
    </w:p>
    <w:p w14:paraId="05209BDA" w14:textId="77777777" w:rsidR="00C3036D" w:rsidRPr="00FA3F9C" w:rsidRDefault="00C3036D" w:rsidP="00D00992">
      <w:pPr>
        <w:jc w:val="right"/>
        <w:rPr>
          <w:rFonts w:ascii="Arial" w:hAnsi="Arial" w:cs="Arial"/>
          <w:sz w:val="24"/>
          <w:szCs w:val="24"/>
        </w:rPr>
      </w:pPr>
    </w:p>
    <w:p w14:paraId="4F079CD0" w14:textId="77777777" w:rsidR="00C3036D" w:rsidRPr="00FA3F9C" w:rsidRDefault="00C3036D" w:rsidP="00D00992">
      <w:pPr>
        <w:jc w:val="right"/>
        <w:rPr>
          <w:rFonts w:ascii="Arial" w:hAnsi="Arial" w:cs="Arial"/>
          <w:sz w:val="24"/>
          <w:szCs w:val="24"/>
        </w:rPr>
      </w:pPr>
    </w:p>
    <w:p w14:paraId="7217AE40" w14:textId="77777777" w:rsidR="00C3036D" w:rsidRPr="00FA3F9C" w:rsidRDefault="00C3036D" w:rsidP="00D00992">
      <w:pPr>
        <w:jc w:val="right"/>
        <w:rPr>
          <w:rFonts w:ascii="Arial" w:hAnsi="Arial" w:cs="Arial"/>
          <w:sz w:val="24"/>
          <w:szCs w:val="24"/>
        </w:rPr>
      </w:pPr>
    </w:p>
    <w:p w14:paraId="1184D386" w14:textId="77777777" w:rsidR="00C3036D" w:rsidRPr="00FA3F9C" w:rsidRDefault="00C3036D" w:rsidP="00D00992">
      <w:pPr>
        <w:rPr>
          <w:rFonts w:ascii="Arial" w:hAnsi="Arial" w:cs="Arial"/>
          <w:sz w:val="24"/>
          <w:szCs w:val="24"/>
        </w:rPr>
      </w:pPr>
    </w:p>
    <w:p w14:paraId="2FB38257" w14:textId="77777777" w:rsidR="00C3036D" w:rsidRPr="00FA3F9C" w:rsidRDefault="00C3036D">
      <w:pPr>
        <w:rPr>
          <w:rFonts w:ascii="Arial" w:hAnsi="Arial" w:cs="Arial"/>
          <w:sz w:val="24"/>
          <w:szCs w:val="24"/>
        </w:rPr>
      </w:pPr>
    </w:p>
    <w:p w14:paraId="30E5938F" w14:textId="77777777" w:rsidR="00C3036D" w:rsidRPr="00FA3F9C" w:rsidRDefault="00C3036D" w:rsidP="0078218F">
      <w:pPr>
        <w:pStyle w:val="Heading2"/>
      </w:pPr>
      <w:bookmarkStart w:id="313" w:name="_Toc106369936"/>
      <w:r w:rsidRPr="00FA3F9C">
        <w:lastRenderedPageBreak/>
        <w:t>Spinosad (</w:t>
      </w:r>
      <w:proofErr w:type="spellStart"/>
      <w:r w:rsidRPr="00FA3F9C">
        <w:t>Natroba</w:t>
      </w:r>
      <w:proofErr w:type="spellEnd"/>
      <w:r w:rsidRPr="00FA3F9C">
        <w:t>)</w:t>
      </w:r>
      <w:bookmarkEnd w:id="313"/>
    </w:p>
    <w:p w14:paraId="725A9071" w14:textId="77777777" w:rsidR="00C3036D" w:rsidRPr="00FA3F9C" w:rsidRDefault="00C3036D" w:rsidP="006F623F">
      <w:pPr>
        <w:spacing w:after="0"/>
        <w:jc w:val="center"/>
        <w:rPr>
          <w:rFonts w:ascii="Arial" w:hAnsi="Arial" w:cs="Arial"/>
          <w:sz w:val="24"/>
          <w:szCs w:val="24"/>
        </w:rPr>
      </w:pPr>
      <w:r w:rsidRPr="00FA3F9C">
        <w:rPr>
          <w:rFonts w:ascii="Arial" w:hAnsi="Arial" w:cs="Arial"/>
          <w:sz w:val="24"/>
          <w:szCs w:val="24"/>
        </w:rPr>
        <w:t>EBRx PA Criteria</w:t>
      </w:r>
    </w:p>
    <w:p w14:paraId="1764216F" w14:textId="77777777" w:rsidR="00C3036D" w:rsidRPr="00FA3F9C" w:rsidRDefault="00C3036D" w:rsidP="006F623F">
      <w:pPr>
        <w:spacing w:after="0"/>
        <w:rPr>
          <w:rFonts w:ascii="Arial" w:hAnsi="Arial" w:cs="Arial"/>
          <w:b/>
          <w:sz w:val="24"/>
          <w:szCs w:val="24"/>
          <w:u w:val="single"/>
        </w:rPr>
      </w:pPr>
    </w:p>
    <w:p w14:paraId="776365D4" w14:textId="77777777" w:rsidR="00C3036D" w:rsidRPr="00FA3F9C" w:rsidRDefault="00C3036D" w:rsidP="006F623F">
      <w:pPr>
        <w:spacing w:after="0"/>
        <w:rPr>
          <w:rFonts w:ascii="Arial" w:hAnsi="Arial" w:cs="Arial"/>
          <w:sz w:val="24"/>
          <w:szCs w:val="24"/>
        </w:rPr>
      </w:pPr>
      <w:r w:rsidRPr="00FA3F9C">
        <w:rPr>
          <w:rFonts w:ascii="Arial" w:hAnsi="Arial" w:cs="Arial"/>
          <w:b/>
          <w:sz w:val="24"/>
          <w:szCs w:val="24"/>
          <w:u w:val="single"/>
        </w:rPr>
        <w:t>FDA-approved for:</w:t>
      </w:r>
      <w:r w:rsidRPr="00FA3F9C">
        <w:rPr>
          <w:rFonts w:ascii="Arial" w:hAnsi="Arial" w:cs="Arial"/>
          <w:sz w:val="24"/>
          <w:szCs w:val="24"/>
        </w:rPr>
        <w:t xml:space="preserve">  treatment of Pediculosis capitis (head lice) infestation in adults and children &gt;6 months old. </w:t>
      </w:r>
    </w:p>
    <w:p w14:paraId="3B46734C" w14:textId="77777777" w:rsidR="00C3036D" w:rsidRPr="00FA3F9C" w:rsidRDefault="00C3036D" w:rsidP="006F623F">
      <w:pPr>
        <w:spacing w:after="0"/>
        <w:rPr>
          <w:rFonts w:ascii="Arial" w:hAnsi="Arial" w:cs="Arial"/>
          <w:sz w:val="24"/>
          <w:szCs w:val="24"/>
        </w:rPr>
      </w:pPr>
    </w:p>
    <w:tbl>
      <w:tblPr>
        <w:tblStyle w:val="TableGrid"/>
        <w:tblW w:w="0" w:type="auto"/>
        <w:tblLook w:val="04A0" w:firstRow="1" w:lastRow="0" w:firstColumn="1" w:lastColumn="0" w:noHBand="0" w:noVBand="1"/>
      </w:tblPr>
      <w:tblGrid>
        <w:gridCol w:w="8745"/>
        <w:gridCol w:w="2045"/>
      </w:tblGrid>
      <w:tr w:rsidR="00C3036D" w:rsidRPr="00FA3F9C" w14:paraId="1A7112CA" w14:textId="77777777" w:rsidTr="00B02EF3">
        <w:tc>
          <w:tcPr>
            <w:tcW w:w="8745" w:type="dxa"/>
            <w:shd w:val="clear" w:color="auto" w:fill="000000"/>
          </w:tcPr>
          <w:p w14:paraId="18C1F910" w14:textId="77777777" w:rsidR="00C3036D" w:rsidRPr="00FA3F9C" w:rsidRDefault="00C3036D"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45" w:type="dxa"/>
            <w:shd w:val="clear" w:color="auto" w:fill="000000"/>
          </w:tcPr>
          <w:p w14:paraId="647C951B" w14:textId="77777777" w:rsidR="00C3036D" w:rsidRPr="00FA3F9C" w:rsidRDefault="00C3036D" w:rsidP="006F623F">
            <w:pPr>
              <w:jc w:val="center"/>
              <w:rPr>
                <w:rFonts w:ascii="Arial" w:hAnsi="Arial" w:cs="Arial"/>
                <w:b/>
                <w:sz w:val="24"/>
                <w:szCs w:val="24"/>
                <w:u w:val="single"/>
              </w:rPr>
            </w:pPr>
          </w:p>
        </w:tc>
      </w:tr>
      <w:tr w:rsidR="00C3036D" w:rsidRPr="00FA3F9C" w14:paraId="06E45580" w14:textId="77777777" w:rsidTr="00B02EF3">
        <w:tc>
          <w:tcPr>
            <w:tcW w:w="10790" w:type="dxa"/>
            <w:gridSpan w:val="2"/>
          </w:tcPr>
          <w:p w14:paraId="7EEA8B06" w14:textId="77777777" w:rsidR="00C3036D" w:rsidRPr="00FA3F9C" w:rsidRDefault="00C3036D" w:rsidP="00E13AE8">
            <w:pPr>
              <w:rPr>
                <w:rFonts w:ascii="Arial" w:hAnsi="Arial" w:cs="Arial"/>
                <w:sz w:val="24"/>
                <w:szCs w:val="24"/>
              </w:rPr>
            </w:pPr>
            <w:r w:rsidRPr="00FA3F9C">
              <w:rPr>
                <w:rFonts w:ascii="Arial" w:hAnsi="Arial" w:cs="Arial"/>
                <w:sz w:val="24"/>
                <w:szCs w:val="24"/>
              </w:rPr>
              <w:t>1.  The patient must have a diagnosis of head lice infestation.</w:t>
            </w:r>
          </w:p>
        </w:tc>
      </w:tr>
      <w:tr w:rsidR="00C3036D" w:rsidRPr="00FA3F9C" w14:paraId="19D2AFDF" w14:textId="77777777" w:rsidTr="00B02EF3">
        <w:tc>
          <w:tcPr>
            <w:tcW w:w="10790" w:type="dxa"/>
            <w:gridSpan w:val="2"/>
          </w:tcPr>
          <w:p w14:paraId="00B0CDC5" w14:textId="77777777" w:rsidR="00C3036D" w:rsidRPr="00FA3F9C" w:rsidRDefault="00C3036D" w:rsidP="00E13AE8">
            <w:pPr>
              <w:rPr>
                <w:rFonts w:ascii="Arial" w:hAnsi="Arial" w:cs="Arial"/>
                <w:sz w:val="24"/>
                <w:szCs w:val="24"/>
              </w:rPr>
            </w:pPr>
            <w:r w:rsidRPr="00FA3F9C">
              <w:rPr>
                <w:rFonts w:ascii="Arial" w:hAnsi="Arial" w:cs="Arial"/>
                <w:sz w:val="24"/>
                <w:szCs w:val="24"/>
              </w:rPr>
              <w:t>2. The patient must have had a course of treatment with permethrins in the past 30 days or have resistance to permethrins (confirmed locally).</w:t>
            </w:r>
          </w:p>
        </w:tc>
      </w:tr>
    </w:tbl>
    <w:p w14:paraId="42B1C56B" w14:textId="77777777" w:rsidR="00C3036D" w:rsidRPr="00FA3F9C" w:rsidRDefault="00C3036D" w:rsidP="006F623F">
      <w:pPr>
        <w:spacing w:after="0"/>
        <w:rPr>
          <w:rFonts w:ascii="Arial" w:hAnsi="Arial" w:cs="Arial"/>
          <w:b/>
          <w:sz w:val="24"/>
          <w:szCs w:val="24"/>
          <w:u w:val="single"/>
        </w:rPr>
      </w:pPr>
    </w:p>
    <w:p w14:paraId="38EF832F" w14:textId="77777777" w:rsidR="00C3036D" w:rsidRPr="00FA3F9C" w:rsidRDefault="00C3036D" w:rsidP="005478D7">
      <w:pPr>
        <w:pStyle w:val="NoSpacing"/>
        <w:rPr>
          <w:rFonts w:ascii="Arial" w:hAnsi="Arial" w:cs="Arial"/>
          <w:sz w:val="24"/>
          <w:szCs w:val="24"/>
        </w:rPr>
      </w:pPr>
      <w:r w:rsidRPr="00FA3F9C">
        <w:rPr>
          <w:rFonts w:ascii="Arial" w:hAnsi="Arial" w:cs="Arial"/>
          <w:sz w:val="24"/>
          <w:szCs w:val="24"/>
        </w:rPr>
        <w:t xml:space="preserve">In clinical studies </w:t>
      </w:r>
      <w:proofErr w:type="spellStart"/>
      <w:r w:rsidRPr="00FA3F9C">
        <w:rPr>
          <w:rFonts w:ascii="Arial" w:hAnsi="Arial" w:cs="Arial"/>
          <w:sz w:val="24"/>
          <w:szCs w:val="24"/>
        </w:rPr>
        <w:t>Natroba</w:t>
      </w:r>
      <w:proofErr w:type="spellEnd"/>
      <w:r w:rsidRPr="00FA3F9C">
        <w:rPr>
          <w:rFonts w:ascii="Arial" w:hAnsi="Arial" w:cs="Arial"/>
          <w:sz w:val="24"/>
          <w:szCs w:val="24"/>
        </w:rPr>
        <w:t xml:space="preserve"> Topical Suspension has been shown to be effective in eliminating head lice infestations in most patients with a single treatment. If live lice are seen one week (7 days) after the first application, </w:t>
      </w:r>
      <w:proofErr w:type="spellStart"/>
      <w:r w:rsidRPr="00FA3F9C">
        <w:rPr>
          <w:rFonts w:ascii="Arial" w:hAnsi="Arial" w:cs="Arial"/>
          <w:sz w:val="24"/>
          <w:szCs w:val="24"/>
        </w:rPr>
        <w:t>Natroba</w:t>
      </w:r>
      <w:proofErr w:type="spellEnd"/>
      <w:r w:rsidRPr="00FA3F9C">
        <w:rPr>
          <w:rFonts w:ascii="Arial" w:hAnsi="Arial" w:cs="Arial"/>
          <w:sz w:val="24"/>
          <w:szCs w:val="24"/>
        </w:rPr>
        <w:t xml:space="preserve"> Topical Suspension should be used again. A fine-tooth comb may be used to remove dead </w:t>
      </w:r>
      <w:proofErr w:type="spellStart"/>
      <w:r w:rsidRPr="00FA3F9C">
        <w:rPr>
          <w:rFonts w:ascii="Arial" w:hAnsi="Arial" w:cs="Arial"/>
          <w:sz w:val="24"/>
          <w:szCs w:val="24"/>
        </w:rPr>
        <w:t>lice</w:t>
      </w:r>
      <w:proofErr w:type="spellEnd"/>
      <w:r w:rsidRPr="00FA3F9C">
        <w:rPr>
          <w:rFonts w:ascii="Arial" w:hAnsi="Arial" w:cs="Arial"/>
          <w:sz w:val="24"/>
          <w:szCs w:val="24"/>
        </w:rPr>
        <w:t xml:space="preserve"> and nits from the hair and scalp, but combing is not required. </w:t>
      </w:r>
    </w:p>
    <w:p w14:paraId="5788740B" w14:textId="77777777" w:rsidR="00C3036D" w:rsidRPr="00FA3F9C" w:rsidRDefault="00C3036D" w:rsidP="005478D7">
      <w:pPr>
        <w:pStyle w:val="NoSpacing"/>
        <w:rPr>
          <w:rFonts w:ascii="Arial" w:hAnsi="Arial" w:cs="Arial"/>
          <w:sz w:val="24"/>
          <w:szCs w:val="24"/>
        </w:rPr>
      </w:pPr>
    </w:p>
    <w:p w14:paraId="28D8BF43" w14:textId="77777777" w:rsidR="00C3036D" w:rsidRPr="00FA3F9C" w:rsidRDefault="00C3036D" w:rsidP="006F623F">
      <w:pPr>
        <w:spacing w:after="0"/>
        <w:rPr>
          <w:rFonts w:ascii="Arial" w:hAnsi="Arial" w:cs="Arial"/>
          <w:color w:val="555555"/>
          <w:sz w:val="24"/>
          <w:szCs w:val="24"/>
          <w:shd w:val="clear" w:color="auto" w:fill="FFFFFF"/>
        </w:rPr>
      </w:pPr>
      <w:r w:rsidRPr="00FA3F9C">
        <w:rPr>
          <w:rFonts w:ascii="Arial" w:hAnsi="Arial" w:cs="Arial"/>
          <w:sz w:val="24"/>
          <w:szCs w:val="24"/>
        </w:rPr>
        <w:t xml:space="preserve">2015 AAP </w:t>
      </w:r>
      <w:proofErr w:type="spellStart"/>
      <w:r w:rsidRPr="00FA3F9C">
        <w:rPr>
          <w:rFonts w:ascii="Arial" w:hAnsi="Arial" w:cs="Arial"/>
          <w:sz w:val="24"/>
          <w:szCs w:val="24"/>
        </w:rPr>
        <w:t>AAP</w:t>
      </w:r>
      <w:proofErr w:type="spellEnd"/>
      <w:r w:rsidRPr="00FA3F9C">
        <w:rPr>
          <w:rFonts w:ascii="Arial" w:hAnsi="Arial" w:cs="Arial"/>
          <w:sz w:val="24"/>
          <w:szCs w:val="24"/>
        </w:rPr>
        <w:t xml:space="preserve"> Updates Treatments for Head Lice: “in areas where resistance to permethrin or </w:t>
      </w:r>
      <w:proofErr w:type="spellStart"/>
      <w:r w:rsidRPr="00FA3F9C">
        <w:rPr>
          <w:rFonts w:ascii="Arial" w:hAnsi="Arial" w:cs="Arial"/>
          <w:sz w:val="24"/>
          <w:szCs w:val="24"/>
        </w:rPr>
        <w:t>pyrethrins</w:t>
      </w:r>
      <w:proofErr w:type="spellEnd"/>
      <w:r w:rsidRPr="00FA3F9C">
        <w:rPr>
          <w:rFonts w:ascii="Arial" w:hAnsi="Arial" w:cs="Arial"/>
          <w:sz w:val="24"/>
          <w:szCs w:val="24"/>
        </w:rPr>
        <w:t xml:space="preserve"> has been demonstrated or for a patient with a documented infestation that has failed to respond to appropriately administered therapy with permethrin or </w:t>
      </w:r>
      <w:proofErr w:type="spellStart"/>
      <w:r w:rsidRPr="00FA3F9C">
        <w:rPr>
          <w:rFonts w:ascii="Arial" w:hAnsi="Arial" w:cs="Arial"/>
          <w:sz w:val="24"/>
          <w:szCs w:val="24"/>
        </w:rPr>
        <w:t>pyrethrins</w:t>
      </w:r>
      <w:proofErr w:type="spellEnd"/>
      <w:r w:rsidRPr="00FA3F9C">
        <w:rPr>
          <w:rFonts w:ascii="Arial" w:hAnsi="Arial" w:cs="Arial"/>
          <w:sz w:val="24"/>
          <w:szCs w:val="24"/>
        </w:rPr>
        <w:t>. Spinosad and topical ivermectin are newer preparations that might prove helpful in difficult cases” (1)</w:t>
      </w:r>
    </w:p>
    <w:p w14:paraId="1E2E2B15" w14:textId="77777777" w:rsidR="00C3036D" w:rsidRPr="00FA3F9C" w:rsidRDefault="00C3036D" w:rsidP="006F623F">
      <w:pPr>
        <w:spacing w:after="0"/>
        <w:rPr>
          <w:rFonts w:ascii="Arial" w:hAnsi="Arial" w:cs="Arial"/>
          <w:sz w:val="24"/>
          <w:szCs w:val="24"/>
        </w:rPr>
      </w:pPr>
    </w:p>
    <w:p w14:paraId="6C3791E1" w14:textId="77777777" w:rsidR="00C3036D" w:rsidRPr="00FA3F9C" w:rsidRDefault="00C3036D" w:rsidP="00584AD9">
      <w:pPr>
        <w:pStyle w:val="NoSpacing"/>
        <w:rPr>
          <w:rFonts w:ascii="Arial" w:hAnsi="Arial" w:cs="Arial"/>
          <w:sz w:val="24"/>
          <w:szCs w:val="24"/>
        </w:rPr>
      </w:pPr>
      <w:r w:rsidRPr="00FA3F9C">
        <w:rPr>
          <w:rFonts w:ascii="Arial" w:hAnsi="Arial" w:cs="Arial"/>
          <w:b/>
          <w:bCs/>
          <w:sz w:val="24"/>
          <w:szCs w:val="24"/>
        </w:rPr>
        <w:t>Quantity Limits</w:t>
      </w:r>
      <w:r w:rsidRPr="00FA3F9C">
        <w:rPr>
          <w:rFonts w:ascii="Arial" w:hAnsi="Arial" w:cs="Arial"/>
          <w:sz w:val="24"/>
          <w:szCs w:val="24"/>
        </w:rPr>
        <w:t xml:space="preserve">: </w:t>
      </w:r>
    </w:p>
    <w:p w14:paraId="2AE448FE" w14:textId="77777777" w:rsidR="00C3036D" w:rsidRPr="00FA3F9C" w:rsidRDefault="00C3036D" w:rsidP="00584AD9">
      <w:pPr>
        <w:pStyle w:val="NoSpacing"/>
        <w:rPr>
          <w:rFonts w:ascii="Arial" w:hAnsi="Arial" w:cs="Arial"/>
          <w:sz w:val="24"/>
          <w:szCs w:val="24"/>
        </w:rPr>
      </w:pPr>
      <w:r w:rsidRPr="00FA3F9C">
        <w:rPr>
          <w:rFonts w:ascii="Arial" w:hAnsi="Arial" w:cs="Arial"/>
          <w:sz w:val="24"/>
          <w:szCs w:val="24"/>
        </w:rPr>
        <w:t>quantity limit of 2 fills per 3 months</w:t>
      </w:r>
    </w:p>
    <w:p w14:paraId="12D1139D" w14:textId="77777777" w:rsidR="00C3036D" w:rsidRPr="00FA3F9C" w:rsidRDefault="00C3036D" w:rsidP="00584AD9">
      <w:pPr>
        <w:pStyle w:val="NoSpacing"/>
        <w:rPr>
          <w:rFonts w:ascii="Arial" w:hAnsi="Arial" w:cs="Arial"/>
          <w:sz w:val="24"/>
          <w:szCs w:val="24"/>
        </w:rPr>
      </w:pPr>
    </w:p>
    <w:p w14:paraId="79EA319E" w14:textId="77777777" w:rsidR="00C3036D" w:rsidRPr="00FA3F9C" w:rsidRDefault="00C3036D" w:rsidP="00B02EF3">
      <w:pPr>
        <w:pStyle w:val="NoSpacing"/>
        <w:rPr>
          <w:rFonts w:ascii="Arial" w:hAnsi="Arial" w:cs="Arial"/>
          <w:sz w:val="24"/>
          <w:szCs w:val="24"/>
        </w:rPr>
      </w:pPr>
      <w:r w:rsidRPr="00FA3F9C">
        <w:rPr>
          <w:rFonts w:ascii="Arial" w:hAnsi="Arial" w:cs="Arial"/>
          <w:b/>
          <w:bCs/>
          <w:sz w:val="24"/>
          <w:szCs w:val="24"/>
        </w:rPr>
        <w:t>AWP</w:t>
      </w:r>
      <w:r w:rsidRPr="00FA3F9C">
        <w:rPr>
          <w:rFonts w:ascii="Arial" w:hAnsi="Arial" w:cs="Arial"/>
          <w:sz w:val="24"/>
          <w:szCs w:val="24"/>
        </w:rPr>
        <w:t xml:space="preserve">: March 2021:  $2.45 per mL (120 mL, $294 for generic) </w:t>
      </w:r>
    </w:p>
    <w:p w14:paraId="287E7475" w14:textId="77777777" w:rsidR="00C3036D" w:rsidRPr="00FA3F9C" w:rsidRDefault="00C3036D" w:rsidP="006F623F">
      <w:pPr>
        <w:spacing w:after="0"/>
        <w:rPr>
          <w:rFonts w:ascii="Arial" w:hAnsi="Arial" w:cs="Arial"/>
          <w:b/>
          <w:bCs/>
          <w:sz w:val="24"/>
          <w:szCs w:val="24"/>
        </w:rPr>
      </w:pPr>
      <w:r w:rsidRPr="00FA3F9C">
        <w:rPr>
          <w:rFonts w:ascii="Arial" w:hAnsi="Arial" w:cs="Arial"/>
          <w:b/>
          <w:bCs/>
          <w:sz w:val="24"/>
          <w:szCs w:val="24"/>
        </w:rPr>
        <w:t>References</w:t>
      </w:r>
    </w:p>
    <w:p w14:paraId="1646824D" w14:textId="77777777" w:rsidR="00C3036D" w:rsidRPr="00FA3F9C" w:rsidRDefault="00C3036D" w:rsidP="00FC1E85">
      <w:pPr>
        <w:pStyle w:val="ListParagraph"/>
        <w:numPr>
          <w:ilvl w:val="0"/>
          <w:numId w:val="482"/>
        </w:numPr>
        <w:spacing w:after="0" w:line="276" w:lineRule="auto"/>
        <w:rPr>
          <w:rFonts w:ascii="Arial" w:hAnsi="Arial" w:cs="Arial"/>
          <w:sz w:val="24"/>
          <w:szCs w:val="24"/>
        </w:rPr>
      </w:pPr>
      <w:r w:rsidRPr="00FA3F9C">
        <w:rPr>
          <w:rFonts w:ascii="Arial" w:hAnsi="Arial" w:cs="Arial"/>
          <w:sz w:val="24"/>
          <w:szCs w:val="24"/>
        </w:rPr>
        <w:t xml:space="preserve">AAP. (2015). Head lice clinical report. Accessed 11/22/19 at </w:t>
      </w:r>
      <w:hyperlink r:id="rId381" w:history="1">
        <w:r w:rsidRPr="00FA3F9C">
          <w:rPr>
            <w:rStyle w:val="Hyperlink"/>
            <w:rFonts w:ascii="Arial" w:hAnsi="Arial" w:cs="Arial"/>
            <w:sz w:val="24"/>
            <w:szCs w:val="24"/>
          </w:rPr>
          <w:t>https://pediatrics.aappublications.org/content/pediatrics/early/2015/04/21/peds.2015-0746.full.pdf</w:t>
        </w:r>
      </w:hyperlink>
    </w:p>
    <w:p w14:paraId="2A0176A0" w14:textId="77777777" w:rsidR="00C3036D" w:rsidRPr="00FA3F9C" w:rsidRDefault="00C3036D" w:rsidP="00FC1E85">
      <w:pPr>
        <w:pStyle w:val="ListParagraph"/>
        <w:numPr>
          <w:ilvl w:val="0"/>
          <w:numId w:val="482"/>
        </w:numPr>
        <w:spacing w:after="0" w:line="276" w:lineRule="auto"/>
        <w:rPr>
          <w:rFonts w:ascii="Arial" w:hAnsi="Arial" w:cs="Arial"/>
          <w:sz w:val="24"/>
          <w:szCs w:val="24"/>
        </w:rPr>
      </w:pPr>
      <w:r w:rsidRPr="00FA3F9C">
        <w:rPr>
          <w:rFonts w:ascii="Arial" w:hAnsi="Arial" w:cs="Arial"/>
          <w:sz w:val="24"/>
          <w:szCs w:val="24"/>
        </w:rPr>
        <w:t xml:space="preserve">CDC. (2019). Lice treatment. Accessed 11/22/19 at </w:t>
      </w:r>
      <w:hyperlink r:id="rId382" w:history="1">
        <w:r w:rsidRPr="00FA3F9C">
          <w:rPr>
            <w:rStyle w:val="Hyperlink"/>
            <w:rFonts w:ascii="Arial" w:hAnsi="Arial" w:cs="Arial"/>
            <w:sz w:val="24"/>
            <w:szCs w:val="24"/>
          </w:rPr>
          <w:t>https://www.cdc.gov/parasites/lice/head/treatment.html</w:t>
        </w:r>
      </w:hyperlink>
    </w:p>
    <w:p w14:paraId="1530A9E0" w14:textId="77777777" w:rsidR="00C3036D" w:rsidRPr="00FA3F9C" w:rsidRDefault="00C3036D" w:rsidP="00FC1E85">
      <w:pPr>
        <w:pStyle w:val="ListParagraph"/>
        <w:numPr>
          <w:ilvl w:val="0"/>
          <w:numId w:val="482"/>
        </w:numPr>
        <w:spacing w:after="0" w:line="276" w:lineRule="auto"/>
        <w:rPr>
          <w:rFonts w:ascii="Arial" w:hAnsi="Arial" w:cs="Arial"/>
          <w:sz w:val="24"/>
          <w:szCs w:val="24"/>
        </w:rPr>
      </w:pPr>
      <w:r w:rsidRPr="00FA3F9C">
        <w:rPr>
          <w:rFonts w:ascii="Arial" w:hAnsi="Arial" w:cs="Arial"/>
          <w:sz w:val="24"/>
          <w:szCs w:val="24"/>
        </w:rPr>
        <w:t xml:space="preserve">FDA. (2011) </w:t>
      </w:r>
      <w:proofErr w:type="spellStart"/>
      <w:r w:rsidRPr="00FA3F9C">
        <w:rPr>
          <w:rFonts w:ascii="Arial" w:hAnsi="Arial" w:cs="Arial"/>
          <w:sz w:val="24"/>
          <w:szCs w:val="24"/>
        </w:rPr>
        <w:t>Natroba</w:t>
      </w:r>
      <w:proofErr w:type="spellEnd"/>
      <w:r w:rsidRPr="00FA3F9C">
        <w:rPr>
          <w:rFonts w:ascii="Arial" w:hAnsi="Arial" w:cs="Arial"/>
          <w:sz w:val="24"/>
          <w:szCs w:val="24"/>
        </w:rPr>
        <w:t xml:space="preserve"> topical solution. Accessed 11/22/19 at </w:t>
      </w:r>
      <w:hyperlink r:id="rId383" w:history="1">
        <w:r w:rsidRPr="00FA3F9C">
          <w:rPr>
            <w:rStyle w:val="Hyperlink"/>
            <w:rFonts w:ascii="Arial" w:hAnsi="Arial" w:cs="Arial"/>
            <w:sz w:val="24"/>
            <w:szCs w:val="24"/>
          </w:rPr>
          <w:t>https://www.accessdata.fda.gov/drugsatfda_docs/label/2011/022408lbl.pdf</w:t>
        </w:r>
      </w:hyperlink>
    </w:p>
    <w:p w14:paraId="06F1B060" w14:textId="77777777" w:rsidR="00C3036D" w:rsidRPr="00FA3F9C" w:rsidRDefault="00C3036D" w:rsidP="00FC1E85">
      <w:pPr>
        <w:pStyle w:val="ListParagraph"/>
        <w:numPr>
          <w:ilvl w:val="0"/>
          <w:numId w:val="482"/>
        </w:numPr>
        <w:spacing w:after="0" w:line="276" w:lineRule="auto"/>
        <w:rPr>
          <w:rFonts w:ascii="Arial" w:hAnsi="Arial" w:cs="Arial"/>
          <w:sz w:val="24"/>
          <w:szCs w:val="24"/>
        </w:rPr>
      </w:pPr>
      <w:r w:rsidRPr="00FA3F9C">
        <w:rPr>
          <w:rFonts w:ascii="Arial" w:hAnsi="Arial" w:cs="Arial"/>
          <w:sz w:val="24"/>
          <w:szCs w:val="24"/>
        </w:rPr>
        <w:t>Lexicomp. Spinosad alpha/monograph.  Accessed 11/22/19</w:t>
      </w:r>
    </w:p>
    <w:p w14:paraId="0107F69F" w14:textId="77777777" w:rsidR="00C3036D" w:rsidRPr="00FA3F9C" w:rsidRDefault="00C3036D" w:rsidP="00B02EF3">
      <w:pPr>
        <w:spacing w:after="0"/>
        <w:rPr>
          <w:rFonts w:ascii="Arial" w:hAnsi="Arial" w:cs="Arial"/>
          <w:sz w:val="24"/>
          <w:szCs w:val="24"/>
        </w:rPr>
      </w:pPr>
      <w:r w:rsidRPr="00FA3F9C">
        <w:rPr>
          <w:rFonts w:ascii="Arial" w:hAnsi="Arial" w:cs="Arial"/>
          <w:sz w:val="24"/>
          <w:szCs w:val="24"/>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7374"/>
        <w:gridCol w:w="1890"/>
      </w:tblGrid>
      <w:tr w:rsidR="00C3036D" w:rsidRPr="00FA3F9C" w14:paraId="2C7844D6" w14:textId="77777777" w:rsidTr="006C4EC1">
        <w:tc>
          <w:tcPr>
            <w:tcW w:w="1081" w:type="dxa"/>
            <w:tcBorders>
              <w:top w:val="single" w:sz="4" w:space="0" w:color="auto"/>
              <w:left w:val="single" w:sz="4" w:space="0" w:color="auto"/>
              <w:bottom w:val="single" w:sz="4" w:space="0" w:color="auto"/>
              <w:right w:val="single" w:sz="4" w:space="0" w:color="auto"/>
            </w:tcBorders>
            <w:hideMark/>
          </w:tcPr>
          <w:p w14:paraId="298CD787" w14:textId="77777777" w:rsidR="00C3036D" w:rsidRPr="00FA3F9C" w:rsidRDefault="00C3036D" w:rsidP="00025A13">
            <w:pPr>
              <w:spacing w:after="0"/>
              <w:rPr>
                <w:rFonts w:ascii="Arial" w:hAnsi="Arial" w:cs="Arial"/>
                <w:sz w:val="24"/>
                <w:szCs w:val="24"/>
              </w:rPr>
            </w:pPr>
            <w:r w:rsidRPr="00FA3F9C">
              <w:rPr>
                <w:rFonts w:ascii="Arial" w:hAnsi="Arial" w:cs="Arial"/>
                <w:sz w:val="24"/>
                <w:szCs w:val="24"/>
              </w:rPr>
              <w:lastRenderedPageBreak/>
              <w:t>Date</w:t>
            </w:r>
          </w:p>
        </w:tc>
        <w:tc>
          <w:tcPr>
            <w:tcW w:w="7374" w:type="dxa"/>
            <w:tcBorders>
              <w:top w:val="single" w:sz="4" w:space="0" w:color="auto"/>
              <w:left w:val="single" w:sz="4" w:space="0" w:color="auto"/>
              <w:bottom w:val="single" w:sz="4" w:space="0" w:color="auto"/>
              <w:right w:val="single" w:sz="4" w:space="0" w:color="auto"/>
            </w:tcBorders>
            <w:hideMark/>
          </w:tcPr>
          <w:p w14:paraId="1B351E81" w14:textId="77777777" w:rsidR="00C3036D" w:rsidRPr="00FA3F9C" w:rsidRDefault="00C3036D" w:rsidP="00025A13">
            <w:pPr>
              <w:spacing w:after="0"/>
              <w:rPr>
                <w:rFonts w:ascii="Arial" w:hAnsi="Arial" w:cs="Arial"/>
                <w:sz w:val="24"/>
                <w:szCs w:val="24"/>
              </w:rPr>
            </w:pPr>
            <w:r w:rsidRPr="00FA3F9C">
              <w:rPr>
                <w:rFonts w:ascii="Arial" w:hAnsi="Arial" w:cs="Arial"/>
                <w:sz w:val="24"/>
                <w:szCs w:val="24"/>
              </w:rPr>
              <w:t>What changed?</w:t>
            </w:r>
          </w:p>
        </w:tc>
        <w:tc>
          <w:tcPr>
            <w:tcW w:w="1890" w:type="dxa"/>
            <w:tcBorders>
              <w:top w:val="single" w:sz="4" w:space="0" w:color="auto"/>
              <w:left w:val="single" w:sz="4" w:space="0" w:color="auto"/>
              <w:bottom w:val="single" w:sz="4" w:space="0" w:color="auto"/>
              <w:right w:val="single" w:sz="4" w:space="0" w:color="auto"/>
            </w:tcBorders>
            <w:hideMark/>
          </w:tcPr>
          <w:p w14:paraId="5FDFEC47" w14:textId="77777777" w:rsidR="00C3036D" w:rsidRPr="00FA3F9C" w:rsidRDefault="00C3036D" w:rsidP="00025A13">
            <w:pPr>
              <w:spacing w:after="0"/>
              <w:rPr>
                <w:rFonts w:ascii="Arial" w:hAnsi="Arial" w:cs="Arial"/>
                <w:sz w:val="24"/>
                <w:szCs w:val="24"/>
              </w:rPr>
            </w:pPr>
            <w:r w:rsidRPr="00FA3F9C">
              <w:rPr>
                <w:rFonts w:ascii="Arial" w:hAnsi="Arial" w:cs="Arial"/>
                <w:sz w:val="24"/>
                <w:szCs w:val="24"/>
              </w:rPr>
              <w:t>Pharmacist’s initials</w:t>
            </w:r>
          </w:p>
        </w:tc>
      </w:tr>
      <w:tr w:rsidR="00C3036D" w:rsidRPr="00FA3F9C" w14:paraId="237F77B9" w14:textId="77777777" w:rsidTr="006C4EC1">
        <w:tc>
          <w:tcPr>
            <w:tcW w:w="1081" w:type="dxa"/>
            <w:tcBorders>
              <w:top w:val="single" w:sz="4" w:space="0" w:color="auto"/>
              <w:left w:val="single" w:sz="4" w:space="0" w:color="auto"/>
              <w:bottom w:val="single" w:sz="4" w:space="0" w:color="auto"/>
              <w:right w:val="single" w:sz="4" w:space="0" w:color="auto"/>
            </w:tcBorders>
            <w:hideMark/>
          </w:tcPr>
          <w:p w14:paraId="1CF58A3B" w14:textId="77777777" w:rsidR="00C3036D" w:rsidRPr="00FA3F9C" w:rsidRDefault="00C3036D" w:rsidP="00025A13">
            <w:pPr>
              <w:spacing w:after="0"/>
              <w:rPr>
                <w:rFonts w:ascii="Arial" w:hAnsi="Arial" w:cs="Arial"/>
                <w:sz w:val="24"/>
                <w:szCs w:val="24"/>
              </w:rPr>
            </w:pPr>
            <w:r w:rsidRPr="00FA3F9C">
              <w:rPr>
                <w:rFonts w:ascii="Arial" w:hAnsi="Arial" w:cs="Arial"/>
                <w:sz w:val="24"/>
                <w:szCs w:val="24"/>
              </w:rPr>
              <w:t>4/4/11</w:t>
            </w:r>
          </w:p>
        </w:tc>
        <w:tc>
          <w:tcPr>
            <w:tcW w:w="7374" w:type="dxa"/>
            <w:tcBorders>
              <w:top w:val="single" w:sz="4" w:space="0" w:color="auto"/>
              <w:left w:val="single" w:sz="4" w:space="0" w:color="auto"/>
              <w:bottom w:val="single" w:sz="4" w:space="0" w:color="auto"/>
              <w:right w:val="single" w:sz="4" w:space="0" w:color="auto"/>
            </w:tcBorders>
            <w:hideMark/>
          </w:tcPr>
          <w:p w14:paraId="12C4ADA9" w14:textId="77777777" w:rsidR="00C3036D" w:rsidRPr="00FA3F9C" w:rsidRDefault="00C3036D" w:rsidP="00025A13">
            <w:pPr>
              <w:spacing w:after="0"/>
              <w:rPr>
                <w:rFonts w:ascii="Arial" w:hAnsi="Arial" w:cs="Arial"/>
                <w:sz w:val="24"/>
                <w:szCs w:val="24"/>
              </w:rPr>
            </w:pPr>
            <w:r w:rsidRPr="00FA3F9C">
              <w:rPr>
                <w:rFonts w:ascii="Arial" w:hAnsi="Arial" w:cs="Arial"/>
                <w:sz w:val="24"/>
                <w:szCs w:val="24"/>
              </w:rPr>
              <w:t>IB accepted DUEC’s rec to place at T2PA</w:t>
            </w:r>
          </w:p>
        </w:tc>
        <w:tc>
          <w:tcPr>
            <w:tcW w:w="1890" w:type="dxa"/>
            <w:tcBorders>
              <w:top w:val="single" w:sz="4" w:space="0" w:color="auto"/>
              <w:left w:val="single" w:sz="4" w:space="0" w:color="auto"/>
              <w:bottom w:val="single" w:sz="4" w:space="0" w:color="auto"/>
              <w:right w:val="single" w:sz="4" w:space="0" w:color="auto"/>
            </w:tcBorders>
            <w:hideMark/>
          </w:tcPr>
          <w:p w14:paraId="1E46F707" w14:textId="77777777" w:rsidR="00C3036D" w:rsidRPr="00FA3F9C" w:rsidRDefault="00C3036D" w:rsidP="00025A13">
            <w:pPr>
              <w:spacing w:after="0"/>
              <w:rPr>
                <w:rFonts w:ascii="Arial" w:hAnsi="Arial" w:cs="Arial"/>
                <w:sz w:val="24"/>
                <w:szCs w:val="24"/>
              </w:rPr>
            </w:pPr>
            <w:proofErr w:type="spellStart"/>
            <w:r w:rsidRPr="00FA3F9C">
              <w:rPr>
                <w:rFonts w:ascii="Arial" w:hAnsi="Arial" w:cs="Arial"/>
                <w:sz w:val="24"/>
                <w:szCs w:val="24"/>
              </w:rPr>
              <w:t>Jj</w:t>
            </w:r>
            <w:proofErr w:type="spellEnd"/>
          </w:p>
        </w:tc>
      </w:tr>
      <w:tr w:rsidR="00C3036D" w:rsidRPr="00FA3F9C" w14:paraId="1D649C6B" w14:textId="77777777" w:rsidTr="006C4EC1">
        <w:tc>
          <w:tcPr>
            <w:tcW w:w="1081" w:type="dxa"/>
            <w:tcBorders>
              <w:top w:val="single" w:sz="4" w:space="0" w:color="auto"/>
              <w:left w:val="single" w:sz="4" w:space="0" w:color="auto"/>
              <w:bottom w:val="single" w:sz="4" w:space="0" w:color="auto"/>
              <w:right w:val="single" w:sz="4" w:space="0" w:color="auto"/>
            </w:tcBorders>
            <w:hideMark/>
          </w:tcPr>
          <w:p w14:paraId="6C20C62D" w14:textId="77777777" w:rsidR="00C3036D" w:rsidRPr="00FA3F9C" w:rsidRDefault="00C3036D" w:rsidP="00025A13">
            <w:pPr>
              <w:spacing w:after="0"/>
              <w:rPr>
                <w:rFonts w:ascii="Arial" w:hAnsi="Arial" w:cs="Arial"/>
                <w:sz w:val="24"/>
                <w:szCs w:val="24"/>
              </w:rPr>
            </w:pPr>
            <w:r w:rsidRPr="00FA3F9C">
              <w:rPr>
                <w:rFonts w:ascii="Arial" w:hAnsi="Arial" w:cs="Arial"/>
                <w:sz w:val="24"/>
                <w:szCs w:val="24"/>
              </w:rPr>
              <w:t>4/4/11</w:t>
            </w:r>
          </w:p>
        </w:tc>
        <w:tc>
          <w:tcPr>
            <w:tcW w:w="7374" w:type="dxa"/>
            <w:tcBorders>
              <w:top w:val="single" w:sz="4" w:space="0" w:color="auto"/>
              <w:left w:val="single" w:sz="4" w:space="0" w:color="auto"/>
              <w:bottom w:val="single" w:sz="4" w:space="0" w:color="auto"/>
              <w:right w:val="single" w:sz="4" w:space="0" w:color="auto"/>
            </w:tcBorders>
            <w:hideMark/>
          </w:tcPr>
          <w:p w14:paraId="405FA19C" w14:textId="77777777" w:rsidR="00C3036D" w:rsidRPr="00FA3F9C" w:rsidRDefault="00C3036D" w:rsidP="00025A13">
            <w:pPr>
              <w:spacing w:after="0"/>
              <w:rPr>
                <w:rFonts w:ascii="Arial" w:hAnsi="Arial" w:cs="Arial"/>
                <w:sz w:val="24"/>
                <w:szCs w:val="24"/>
              </w:rPr>
            </w:pPr>
            <w:r w:rsidRPr="00FA3F9C">
              <w:rPr>
                <w:rFonts w:ascii="Arial" w:hAnsi="Arial" w:cs="Arial"/>
                <w:sz w:val="24"/>
                <w:szCs w:val="24"/>
              </w:rPr>
              <w:t>PA criteria were written</w:t>
            </w:r>
          </w:p>
        </w:tc>
        <w:tc>
          <w:tcPr>
            <w:tcW w:w="1890" w:type="dxa"/>
            <w:tcBorders>
              <w:top w:val="single" w:sz="4" w:space="0" w:color="auto"/>
              <w:left w:val="single" w:sz="4" w:space="0" w:color="auto"/>
              <w:bottom w:val="single" w:sz="4" w:space="0" w:color="auto"/>
              <w:right w:val="single" w:sz="4" w:space="0" w:color="auto"/>
            </w:tcBorders>
            <w:hideMark/>
          </w:tcPr>
          <w:p w14:paraId="2FC7C1DA" w14:textId="77777777" w:rsidR="00C3036D" w:rsidRPr="00FA3F9C" w:rsidRDefault="00C3036D" w:rsidP="00025A13">
            <w:pPr>
              <w:spacing w:after="0"/>
              <w:rPr>
                <w:rFonts w:ascii="Arial" w:hAnsi="Arial" w:cs="Arial"/>
                <w:sz w:val="24"/>
                <w:szCs w:val="24"/>
              </w:rPr>
            </w:pPr>
            <w:r w:rsidRPr="00FA3F9C">
              <w:rPr>
                <w:rFonts w:ascii="Arial" w:hAnsi="Arial" w:cs="Arial"/>
                <w:sz w:val="24"/>
                <w:szCs w:val="24"/>
              </w:rPr>
              <w:t>JJ</w:t>
            </w:r>
          </w:p>
        </w:tc>
      </w:tr>
      <w:tr w:rsidR="00C3036D" w:rsidRPr="00FA3F9C" w14:paraId="492F1E72" w14:textId="77777777" w:rsidTr="006C4EC1">
        <w:tc>
          <w:tcPr>
            <w:tcW w:w="1081" w:type="dxa"/>
            <w:tcBorders>
              <w:top w:val="single" w:sz="4" w:space="0" w:color="auto"/>
              <w:left w:val="single" w:sz="4" w:space="0" w:color="auto"/>
              <w:bottom w:val="single" w:sz="4" w:space="0" w:color="auto"/>
              <w:right w:val="single" w:sz="4" w:space="0" w:color="auto"/>
            </w:tcBorders>
            <w:hideMark/>
          </w:tcPr>
          <w:p w14:paraId="37D16EA4" w14:textId="77777777" w:rsidR="00C3036D" w:rsidRPr="00FA3F9C" w:rsidRDefault="00C3036D" w:rsidP="00025A13">
            <w:pPr>
              <w:spacing w:after="0"/>
              <w:rPr>
                <w:rFonts w:ascii="Arial" w:hAnsi="Arial" w:cs="Arial"/>
                <w:sz w:val="24"/>
                <w:szCs w:val="24"/>
              </w:rPr>
            </w:pPr>
            <w:r w:rsidRPr="00FA3F9C">
              <w:rPr>
                <w:rFonts w:ascii="Arial" w:hAnsi="Arial" w:cs="Arial"/>
                <w:sz w:val="24"/>
                <w:szCs w:val="24"/>
              </w:rPr>
              <w:t>5/17/12</w:t>
            </w:r>
          </w:p>
        </w:tc>
        <w:tc>
          <w:tcPr>
            <w:tcW w:w="7374" w:type="dxa"/>
            <w:tcBorders>
              <w:top w:val="single" w:sz="4" w:space="0" w:color="auto"/>
              <w:left w:val="single" w:sz="4" w:space="0" w:color="auto"/>
              <w:bottom w:val="single" w:sz="4" w:space="0" w:color="auto"/>
              <w:right w:val="single" w:sz="4" w:space="0" w:color="auto"/>
            </w:tcBorders>
            <w:hideMark/>
          </w:tcPr>
          <w:p w14:paraId="788E6523" w14:textId="77777777" w:rsidR="00C3036D" w:rsidRPr="00FA3F9C" w:rsidRDefault="00C3036D" w:rsidP="00025A13">
            <w:pPr>
              <w:spacing w:after="0"/>
              <w:rPr>
                <w:rFonts w:ascii="Arial" w:hAnsi="Arial" w:cs="Arial"/>
                <w:sz w:val="24"/>
                <w:szCs w:val="24"/>
              </w:rPr>
            </w:pPr>
            <w:r w:rsidRPr="00FA3F9C">
              <w:rPr>
                <w:rFonts w:ascii="Arial" w:hAnsi="Arial" w:cs="Arial"/>
                <w:sz w:val="24"/>
                <w:szCs w:val="24"/>
              </w:rPr>
              <w:t>Revision history added</w:t>
            </w:r>
          </w:p>
        </w:tc>
        <w:tc>
          <w:tcPr>
            <w:tcW w:w="1890" w:type="dxa"/>
            <w:tcBorders>
              <w:top w:val="single" w:sz="4" w:space="0" w:color="auto"/>
              <w:left w:val="single" w:sz="4" w:space="0" w:color="auto"/>
              <w:bottom w:val="single" w:sz="4" w:space="0" w:color="auto"/>
              <w:right w:val="single" w:sz="4" w:space="0" w:color="auto"/>
            </w:tcBorders>
            <w:hideMark/>
          </w:tcPr>
          <w:p w14:paraId="09CAEE92" w14:textId="77777777" w:rsidR="00C3036D" w:rsidRPr="00FA3F9C" w:rsidRDefault="00C3036D" w:rsidP="00025A13">
            <w:pPr>
              <w:spacing w:after="0"/>
              <w:rPr>
                <w:rFonts w:ascii="Arial" w:hAnsi="Arial" w:cs="Arial"/>
                <w:sz w:val="24"/>
                <w:szCs w:val="24"/>
              </w:rPr>
            </w:pPr>
            <w:r w:rsidRPr="00FA3F9C">
              <w:rPr>
                <w:rFonts w:ascii="Arial" w:hAnsi="Arial" w:cs="Arial"/>
                <w:sz w:val="24"/>
                <w:szCs w:val="24"/>
              </w:rPr>
              <w:t>JJ</w:t>
            </w:r>
          </w:p>
        </w:tc>
      </w:tr>
      <w:tr w:rsidR="00C3036D" w:rsidRPr="00FA3F9C" w14:paraId="2296C89E" w14:textId="77777777" w:rsidTr="006C4EC1">
        <w:tc>
          <w:tcPr>
            <w:tcW w:w="1081" w:type="dxa"/>
            <w:tcBorders>
              <w:top w:val="single" w:sz="4" w:space="0" w:color="auto"/>
              <w:left w:val="single" w:sz="4" w:space="0" w:color="auto"/>
              <w:bottom w:val="single" w:sz="4" w:space="0" w:color="auto"/>
              <w:right w:val="single" w:sz="4" w:space="0" w:color="auto"/>
            </w:tcBorders>
          </w:tcPr>
          <w:p w14:paraId="2FAFD93A" w14:textId="77777777" w:rsidR="00C3036D" w:rsidRPr="00FA3F9C" w:rsidRDefault="00C3036D" w:rsidP="00025A13">
            <w:pPr>
              <w:spacing w:after="0"/>
              <w:rPr>
                <w:rFonts w:ascii="Arial" w:hAnsi="Arial" w:cs="Arial"/>
                <w:sz w:val="24"/>
                <w:szCs w:val="24"/>
              </w:rPr>
            </w:pPr>
            <w:r w:rsidRPr="00FA3F9C">
              <w:rPr>
                <w:rFonts w:ascii="Arial" w:hAnsi="Arial" w:cs="Arial"/>
                <w:sz w:val="24"/>
                <w:szCs w:val="24"/>
              </w:rPr>
              <w:t>11/22/19</w:t>
            </w:r>
          </w:p>
        </w:tc>
        <w:tc>
          <w:tcPr>
            <w:tcW w:w="7374" w:type="dxa"/>
            <w:tcBorders>
              <w:top w:val="single" w:sz="4" w:space="0" w:color="auto"/>
              <w:left w:val="single" w:sz="4" w:space="0" w:color="auto"/>
              <w:bottom w:val="single" w:sz="4" w:space="0" w:color="auto"/>
              <w:right w:val="single" w:sz="4" w:space="0" w:color="auto"/>
            </w:tcBorders>
          </w:tcPr>
          <w:p w14:paraId="082D496F" w14:textId="77777777" w:rsidR="00C3036D" w:rsidRPr="00FA3F9C" w:rsidRDefault="00C3036D" w:rsidP="00025A13">
            <w:pPr>
              <w:spacing w:after="0"/>
              <w:rPr>
                <w:rFonts w:ascii="Arial" w:hAnsi="Arial" w:cs="Arial"/>
                <w:sz w:val="24"/>
                <w:szCs w:val="24"/>
              </w:rPr>
            </w:pPr>
            <w:r w:rsidRPr="00FA3F9C">
              <w:rPr>
                <w:rFonts w:ascii="Arial" w:hAnsi="Arial" w:cs="Arial"/>
                <w:sz w:val="24"/>
                <w:szCs w:val="24"/>
              </w:rPr>
              <w:t>Criteria for new user as first line option, AWP added</w:t>
            </w:r>
          </w:p>
        </w:tc>
        <w:tc>
          <w:tcPr>
            <w:tcW w:w="1890" w:type="dxa"/>
            <w:tcBorders>
              <w:top w:val="single" w:sz="4" w:space="0" w:color="auto"/>
              <w:left w:val="single" w:sz="4" w:space="0" w:color="auto"/>
              <w:bottom w:val="single" w:sz="4" w:space="0" w:color="auto"/>
              <w:right w:val="single" w:sz="4" w:space="0" w:color="auto"/>
            </w:tcBorders>
          </w:tcPr>
          <w:p w14:paraId="4C66E61D" w14:textId="77777777" w:rsidR="00C3036D" w:rsidRPr="00FA3F9C" w:rsidRDefault="00C3036D" w:rsidP="00025A13">
            <w:pPr>
              <w:spacing w:after="0"/>
              <w:rPr>
                <w:rFonts w:ascii="Arial" w:hAnsi="Arial" w:cs="Arial"/>
                <w:sz w:val="24"/>
                <w:szCs w:val="24"/>
              </w:rPr>
            </w:pPr>
            <w:r w:rsidRPr="00FA3F9C">
              <w:rPr>
                <w:rFonts w:ascii="Arial" w:hAnsi="Arial" w:cs="Arial"/>
                <w:sz w:val="24"/>
                <w:szCs w:val="24"/>
              </w:rPr>
              <w:t>CS;JJ</w:t>
            </w:r>
          </w:p>
        </w:tc>
      </w:tr>
      <w:tr w:rsidR="00C3036D" w:rsidRPr="00FA3F9C" w14:paraId="19EA87AA" w14:textId="77777777" w:rsidTr="006C4EC1">
        <w:tc>
          <w:tcPr>
            <w:tcW w:w="1081" w:type="dxa"/>
            <w:tcBorders>
              <w:top w:val="single" w:sz="4" w:space="0" w:color="auto"/>
              <w:left w:val="single" w:sz="4" w:space="0" w:color="auto"/>
              <w:bottom w:val="single" w:sz="4" w:space="0" w:color="auto"/>
              <w:right w:val="single" w:sz="4" w:space="0" w:color="auto"/>
            </w:tcBorders>
          </w:tcPr>
          <w:p w14:paraId="0D9B2653" w14:textId="77777777" w:rsidR="00C3036D" w:rsidRPr="00FA3F9C" w:rsidRDefault="00C3036D" w:rsidP="00025A13">
            <w:pPr>
              <w:spacing w:after="0"/>
              <w:rPr>
                <w:rFonts w:ascii="Arial" w:hAnsi="Arial" w:cs="Arial"/>
                <w:sz w:val="24"/>
                <w:szCs w:val="24"/>
              </w:rPr>
            </w:pPr>
            <w:r w:rsidRPr="00FA3F9C">
              <w:rPr>
                <w:rFonts w:ascii="Arial" w:hAnsi="Arial" w:cs="Arial"/>
                <w:sz w:val="24"/>
                <w:szCs w:val="24"/>
              </w:rPr>
              <w:t>8/31/2020</w:t>
            </w:r>
          </w:p>
        </w:tc>
        <w:tc>
          <w:tcPr>
            <w:tcW w:w="7374" w:type="dxa"/>
            <w:tcBorders>
              <w:top w:val="single" w:sz="4" w:space="0" w:color="auto"/>
              <w:left w:val="single" w:sz="4" w:space="0" w:color="auto"/>
              <w:bottom w:val="single" w:sz="4" w:space="0" w:color="auto"/>
              <w:right w:val="single" w:sz="4" w:space="0" w:color="auto"/>
            </w:tcBorders>
          </w:tcPr>
          <w:p w14:paraId="1419F83A" w14:textId="77777777" w:rsidR="00C3036D" w:rsidRPr="00FA3F9C" w:rsidRDefault="00C3036D" w:rsidP="00025A13">
            <w:pPr>
              <w:spacing w:after="0"/>
              <w:rPr>
                <w:rFonts w:ascii="Arial" w:hAnsi="Arial" w:cs="Arial"/>
                <w:sz w:val="24"/>
                <w:szCs w:val="24"/>
              </w:rPr>
            </w:pPr>
            <w:r w:rsidRPr="00FA3F9C">
              <w:rPr>
                <w:rFonts w:ascii="Arial" w:hAnsi="Arial" w:cs="Arial"/>
                <w:sz w:val="24"/>
                <w:szCs w:val="24"/>
              </w:rPr>
              <w:t>Criteria reviewed. No changes.</w:t>
            </w:r>
          </w:p>
        </w:tc>
        <w:tc>
          <w:tcPr>
            <w:tcW w:w="1890" w:type="dxa"/>
            <w:tcBorders>
              <w:top w:val="single" w:sz="4" w:space="0" w:color="auto"/>
              <w:left w:val="single" w:sz="4" w:space="0" w:color="auto"/>
              <w:bottom w:val="single" w:sz="4" w:space="0" w:color="auto"/>
              <w:right w:val="single" w:sz="4" w:space="0" w:color="auto"/>
            </w:tcBorders>
          </w:tcPr>
          <w:p w14:paraId="435473C8" w14:textId="77777777" w:rsidR="00C3036D" w:rsidRPr="00FA3F9C" w:rsidRDefault="00C3036D" w:rsidP="00025A13">
            <w:pPr>
              <w:spacing w:after="0"/>
              <w:rPr>
                <w:rFonts w:ascii="Arial" w:hAnsi="Arial" w:cs="Arial"/>
                <w:sz w:val="24"/>
                <w:szCs w:val="24"/>
              </w:rPr>
            </w:pPr>
            <w:r w:rsidRPr="00FA3F9C">
              <w:rPr>
                <w:rFonts w:ascii="Arial" w:hAnsi="Arial" w:cs="Arial"/>
                <w:sz w:val="24"/>
                <w:szCs w:val="24"/>
              </w:rPr>
              <w:t>JJ</w:t>
            </w:r>
          </w:p>
        </w:tc>
      </w:tr>
      <w:tr w:rsidR="00C3036D" w:rsidRPr="00FA3F9C" w14:paraId="5A757E8F" w14:textId="77777777" w:rsidTr="006C4EC1">
        <w:tc>
          <w:tcPr>
            <w:tcW w:w="1081" w:type="dxa"/>
            <w:tcBorders>
              <w:top w:val="single" w:sz="4" w:space="0" w:color="auto"/>
              <w:left w:val="single" w:sz="4" w:space="0" w:color="auto"/>
              <w:bottom w:val="single" w:sz="4" w:space="0" w:color="auto"/>
              <w:right w:val="single" w:sz="4" w:space="0" w:color="auto"/>
            </w:tcBorders>
          </w:tcPr>
          <w:p w14:paraId="55634D96" w14:textId="77777777" w:rsidR="00C3036D" w:rsidRPr="00FA3F9C" w:rsidRDefault="00C3036D" w:rsidP="00025A13">
            <w:pPr>
              <w:spacing w:after="0"/>
              <w:rPr>
                <w:rFonts w:ascii="Arial" w:hAnsi="Arial" w:cs="Arial"/>
                <w:sz w:val="24"/>
                <w:szCs w:val="24"/>
              </w:rPr>
            </w:pPr>
            <w:r w:rsidRPr="00FA3F9C">
              <w:rPr>
                <w:rFonts w:ascii="Arial" w:hAnsi="Arial" w:cs="Arial"/>
                <w:sz w:val="24"/>
                <w:szCs w:val="24"/>
              </w:rPr>
              <w:t>3/9/21</w:t>
            </w:r>
          </w:p>
        </w:tc>
        <w:tc>
          <w:tcPr>
            <w:tcW w:w="7374" w:type="dxa"/>
            <w:tcBorders>
              <w:top w:val="single" w:sz="4" w:space="0" w:color="auto"/>
              <w:left w:val="single" w:sz="4" w:space="0" w:color="auto"/>
              <w:bottom w:val="single" w:sz="4" w:space="0" w:color="auto"/>
              <w:right w:val="single" w:sz="4" w:space="0" w:color="auto"/>
            </w:tcBorders>
          </w:tcPr>
          <w:p w14:paraId="5DA4629C" w14:textId="77777777" w:rsidR="00C3036D" w:rsidRPr="00FA3F9C" w:rsidRDefault="00C3036D" w:rsidP="00025A13">
            <w:pPr>
              <w:spacing w:after="0"/>
              <w:rPr>
                <w:rFonts w:ascii="Arial" w:hAnsi="Arial" w:cs="Arial"/>
                <w:sz w:val="24"/>
                <w:szCs w:val="24"/>
              </w:rPr>
            </w:pPr>
            <w:r w:rsidRPr="00FA3F9C">
              <w:rPr>
                <w:rFonts w:ascii="Arial" w:hAnsi="Arial" w:cs="Arial"/>
                <w:sz w:val="24"/>
                <w:szCs w:val="24"/>
              </w:rPr>
              <w:t>I updated the AWP cost; required the diagnosis of head lice infestation</w:t>
            </w:r>
          </w:p>
        </w:tc>
        <w:tc>
          <w:tcPr>
            <w:tcW w:w="1890" w:type="dxa"/>
            <w:tcBorders>
              <w:top w:val="single" w:sz="4" w:space="0" w:color="auto"/>
              <w:left w:val="single" w:sz="4" w:space="0" w:color="auto"/>
              <w:bottom w:val="single" w:sz="4" w:space="0" w:color="auto"/>
              <w:right w:val="single" w:sz="4" w:space="0" w:color="auto"/>
            </w:tcBorders>
          </w:tcPr>
          <w:p w14:paraId="0667E2D3" w14:textId="77777777" w:rsidR="00C3036D" w:rsidRPr="00FA3F9C" w:rsidRDefault="00C3036D" w:rsidP="00025A13">
            <w:pPr>
              <w:spacing w:after="0"/>
              <w:rPr>
                <w:rFonts w:ascii="Arial" w:hAnsi="Arial" w:cs="Arial"/>
                <w:sz w:val="24"/>
                <w:szCs w:val="24"/>
              </w:rPr>
            </w:pPr>
            <w:r w:rsidRPr="00FA3F9C">
              <w:rPr>
                <w:rFonts w:ascii="Arial" w:hAnsi="Arial" w:cs="Arial"/>
                <w:sz w:val="24"/>
                <w:szCs w:val="24"/>
              </w:rPr>
              <w:t>JJ</w:t>
            </w:r>
          </w:p>
        </w:tc>
      </w:tr>
    </w:tbl>
    <w:p w14:paraId="68851FD8" w14:textId="77777777" w:rsidR="00C3036D" w:rsidRPr="00FA3F9C" w:rsidRDefault="00C3036D" w:rsidP="00B02EF3">
      <w:pPr>
        <w:spacing w:after="0"/>
        <w:rPr>
          <w:rFonts w:ascii="Arial" w:hAnsi="Arial" w:cs="Arial"/>
          <w:sz w:val="24"/>
          <w:szCs w:val="24"/>
        </w:rPr>
      </w:pPr>
    </w:p>
    <w:p w14:paraId="562390E3" w14:textId="77777777" w:rsidR="00C3036D" w:rsidRPr="00FA3F9C" w:rsidRDefault="00C3036D" w:rsidP="00B02EF3">
      <w:pPr>
        <w:spacing w:after="0"/>
        <w:rPr>
          <w:rFonts w:ascii="Arial" w:hAnsi="Arial" w:cs="Arial"/>
          <w:sz w:val="24"/>
          <w:szCs w:val="24"/>
        </w:rPr>
      </w:pPr>
    </w:p>
    <w:p w14:paraId="4F30EC4A" w14:textId="77777777" w:rsidR="00C3036D" w:rsidRPr="00FA3F9C" w:rsidRDefault="00C3036D" w:rsidP="0078218F">
      <w:pPr>
        <w:pStyle w:val="Heading2"/>
      </w:pPr>
      <w:bookmarkStart w:id="314" w:name="_Toc106369937"/>
      <w:proofErr w:type="spellStart"/>
      <w:r w:rsidRPr="00FA3F9C">
        <w:t>Stiripentol</w:t>
      </w:r>
      <w:proofErr w:type="spellEnd"/>
      <w:r w:rsidRPr="00FA3F9C">
        <w:t xml:space="preserve"> (</w:t>
      </w:r>
      <w:proofErr w:type="spellStart"/>
      <w:r w:rsidRPr="00FA3F9C">
        <w:t>Diacomit</w:t>
      </w:r>
      <w:proofErr w:type="spellEnd"/>
      <w:r w:rsidRPr="00FA3F9C">
        <w:t>)</w:t>
      </w:r>
      <w:bookmarkEnd w:id="314"/>
    </w:p>
    <w:p w14:paraId="22E5A2C2" w14:textId="77777777" w:rsidR="00C3036D" w:rsidRPr="00FA3F9C" w:rsidRDefault="00C3036D" w:rsidP="006F623F">
      <w:pPr>
        <w:spacing w:after="0"/>
        <w:jc w:val="center"/>
        <w:rPr>
          <w:rFonts w:ascii="Arial" w:hAnsi="Arial" w:cs="Arial"/>
          <w:sz w:val="24"/>
          <w:szCs w:val="24"/>
        </w:rPr>
      </w:pPr>
      <w:r w:rsidRPr="00FA3F9C">
        <w:rPr>
          <w:rFonts w:ascii="Arial" w:hAnsi="Arial" w:cs="Arial"/>
          <w:sz w:val="24"/>
          <w:szCs w:val="24"/>
        </w:rPr>
        <w:t>EBRx PA Criteria</w:t>
      </w:r>
    </w:p>
    <w:p w14:paraId="5EA1B814" w14:textId="77777777" w:rsidR="00C3036D" w:rsidRPr="00FA3F9C" w:rsidRDefault="00C3036D" w:rsidP="006F623F">
      <w:pPr>
        <w:spacing w:after="0"/>
        <w:rPr>
          <w:rFonts w:ascii="Arial" w:hAnsi="Arial" w:cs="Arial"/>
          <w:b/>
          <w:sz w:val="24"/>
          <w:szCs w:val="24"/>
          <w:u w:val="single"/>
        </w:rPr>
      </w:pPr>
    </w:p>
    <w:p w14:paraId="7D1FBBAB" w14:textId="77777777" w:rsidR="00C3036D" w:rsidRPr="00FA3F9C" w:rsidRDefault="00C3036D" w:rsidP="006F623F">
      <w:pPr>
        <w:spacing w:after="0"/>
        <w:rPr>
          <w:rFonts w:ascii="Arial" w:hAnsi="Arial" w:cs="Arial"/>
          <w:b/>
          <w:sz w:val="24"/>
          <w:szCs w:val="24"/>
          <w:shd w:val="clear" w:color="auto" w:fill="FFFFFF"/>
        </w:rPr>
      </w:pPr>
      <w:r w:rsidRPr="00FA3F9C">
        <w:rPr>
          <w:rFonts w:ascii="Arial" w:hAnsi="Arial" w:cs="Arial"/>
          <w:b/>
          <w:sz w:val="24"/>
          <w:szCs w:val="24"/>
          <w:u w:val="single"/>
        </w:rPr>
        <w:t>FDA-approved for:</w:t>
      </w:r>
      <w:r w:rsidRPr="00FA3F9C">
        <w:rPr>
          <w:rFonts w:ascii="Arial" w:hAnsi="Arial" w:cs="Arial"/>
          <w:sz w:val="24"/>
          <w:szCs w:val="24"/>
        </w:rPr>
        <w:t xml:space="preserve">  </w:t>
      </w:r>
      <w:r w:rsidRPr="00FA3F9C">
        <w:rPr>
          <w:rFonts w:ascii="Arial" w:hAnsi="Arial" w:cs="Arial"/>
          <w:b/>
          <w:sz w:val="24"/>
          <w:szCs w:val="24"/>
        </w:rPr>
        <w:t>a</w:t>
      </w:r>
      <w:r w:rsidRPr="00FA3F9C">
        <w:rPr>
          <w:rFonts w:ascii="Arial" w:hAnsi="Arial" w:cs="Arial"/>
          <w:b/>
          <w:sz w:val="24"/>
          <w:szCs w:val="24"/>
          <w:shd w:val="clear" w:color="auto" w:fill="FFFFFF"/>
        </w:rPr>
        <w:t>djunctive</w:t>
      </w:r>
      <w:r w:rsidRPr="00FA3F9C">
        <w:rPr>
          <w:rFonts w:ascii="Arial" w:hAnsi="Arial" w:cs="Arial"/>
          <w:sz w:val="24"/>
          <w:szCs w:val="24"/>
          <w:shd w:val="clear" w:color="auto" w:fill="FFFFFF"/>
        </w:rPr>
        <w:t xml:space="preserve"> treatment of refractory generalized tonic-</w:t>
      </w:r>
      <w:proofErr w:type="spellStart"/>
      <w:r w:rsidRPr="00FA3F9C">
        <w:rPr>
          <w:rFonts w:ascii="Arial" w:hAnsi="Arial" w:cs="Arial"/>
          <w:sz w:val="24"/>
          <w:szCs w:val="24"/>
          <w:shd w:val="clear" w:color="auto" w:fill="FFFFFF"/>
        </w:rPr>
        <w:t>clonic</w:t>
      </w:r>
      <w:proofErr w:type="spellEnd"/>
      <w:r w:rsidRPr="00FA3F9C">
        <w:rPr>
          <w:rFonts w:ascii="Arial" w:hAnsi="Arial" w:cs="Arial"/>
          <w:sz w:val="24"/>
          <w:szCs w:val="24"/>
          <w:shd w:val="clear" w:color="auto" w:fill="FFFFFF"/>
        </w:rPr>
        <w:t xml:space="preserve"> seizures in conjunction with clobazam in patients ≥2 years </w:t>
      </w:r>
      <w:r w:rsidRPr="00FA3F9C">
        <w:rPr>
          <w:rFonts w:ascii="Arial" w:hAnsi="Arial" w:cs="Arial"/>
          <w:b/>
          <w:sz w:val="24"/>
          <w:szCs w:val="24"/>
          <w:shd w:val="clear" w:color="auto" w:fill="FFFFFF"/>
        </w:rPr>
        <w:t>with Dravet syndrome</w:t>
      </w:r>
    </w:p>
    <w:p w14:paraId="456F783F" w14:textId="77777777" w:rsidR="00C3036D" w:rsidRPr="00FA3F9C" w:rsidRDefault="00C3036D" w:rsidP="006F623F">
      <w:pPr>
        <w:spacing w:after="0"/>
        <w:rPr>
          <w:rFonts w:ascii="Arial" w:hAnsi="Arial" w:cs="Arial"/>
          <w:sz w:val="24"/>
          <w:szCs w:val="24"/>
        </w:rPr>
      </w:pPr>
    </w:p>
    <w:tbl>
      <w:tblPr>
        <w:tblStyle w:val="TableGrid"/>
        <w:tblW w:w="0" w:type="auto"/>
        <w:tblLook w:val="04A0" w:firstRow="1" w:lastRow="0" w:firstColumn="1" w:lastColumn="0" w:noHBand="0" w:noVBand="1"/>
      </w:tblPr>
      <w:tblGrid>
        <w:gridCol w:w="8745"/>
        <w:gridCol w:w="2045"/>
      </w:tblGrid>
      <w:tr w:rsidR="00C3036D" w:rsidRPr="00FA3F9C" w14:paraId="5532CBA9" w14:textId="77777777" w:rsidTr="000A2C68">
        <w:tc>
          <w:tcPr>
            <w:tcW w:w="8745" w:type="dxa"/>
            <w:shd w:val="clear" w:color="auto" w:fill="000000"/>
          </w:tcPr>
          <w:p w14:paraId="6064DCBB" w14:textId="77777777" w:rsidR="00C3036D" w:rsidRPr="00FA3F9C" w:rsidRDefault="00C3036D"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45" w:type="dxa"/>
            <w:shd w:val="clear" w:color="auto" w:fill="000000"/>
          </w:tcPr>
          <w:p w14:paraId="1874D597" w14:textId="77777777" w:rsidR="00C3036D" w:rsidRPr="00FA3F9C" w:rsidRDefault="00C3036D" w:rsidP="006F623F">
            <w:pPr>
              <w:jc w:val="center"/>
              <w:rPr>
                <w:rFonts w:ascii="Arial" w:hAnsi="Arial" w:cs="Arial"/>
                <w:b/>
                <w:sz w:val="24"/>
                <w:szCs w:val="24"/>
                <w:u w:val="single"/>
              </w:rPr>
            </w:pPr>
          </w:p>
        </w:tc>
      </w:tr>
      <w:tr w:rsidR="00C3036D" w:rsidRPr="00FA3F9C" w14:paraId="7BE6F107" w14:textId="77777777" w:rsidTr="000A2C68">
        <w:tc>
          <w:tcPr>
            <w:tcW w:w="10790" w:type="dxa"/>
            <w:gridSpan w:val="2"/>
          </w:tcPr>
          <w:p w14:paraId="18BBE904" w14:textId="77777777" w:rsidR="00C3036D" w:rsidRPr="00FA3F9C" w:rsidRDefault="00C3036D" w:rsidP="00FC1E85">
            <w:pPr>
              <w:pStyle w:val="ListParagraph"/>
              <w:numPr>
                <w:ilvl w:val="0"/>
                <w:numId w:val="483"/>
              </w:numPr>
              <w:rPr>
                <w:rFonts w:ascii="Arial" w:hAnsi="Arial" w:cs="Arial"/>
                <w:sz w:val="24"/>
                <w:szCs w:val="24"/>
              </w:rPr>
            </w:pPr>
            <w:r w:rsidRPr="00FA3F9C">
              <w:rPr>
                <w:rFonts w:ascii="Arial" w:hAnsi="Arial" w:cs="Arial"/>
                <w:sz w:val="24"/>
                <w:szCs w:val="24"/>
              </w:rPr>
              <w:t>Patient must have a diagnosis of Dravet Syndrome with refractory seizures</w:t>
            </w:r>
          </w:p>
        </w:tc>
      </w:tr>
      <w:tr w:rsidR="00C3036D" w:rsidRPr="00FA3F9C" w14:paraId="1A0A4035" w14:textId="77777777" w:rsidTr="000A2C68">
        <w:tc>
          <w:tcPr>
            <w:tcW w:w="10790" w:type="dxa"/>
            <w:gridSpan w:val="2"/>
          </w:tcPr>
          <w:p w14:paraId="65B98AAF" w14:textId="77777777" w:rsidR="00C3036D" w:rsidRPr="00FA3F9C" w:rsidRDefault="00C3036D" w:rsidP="00FC1E85">
            <w:pPr>
              <w:pStyle w:val="ListParagraph"/>
              <w:numPr>
                <w:ilvl w:val="0"/>
                <w:numId w:val="483"/>
              </w:numPr>
              <w:rPr>
                <w:rFonts w:ascii="Arial" w:hAnsi="Arial" w:cs="Arial"/>
                <w:sz w:val="24"/>
                <w:szCs w:val="24"/>
              </w:rPr>
            </w:pPr>
            <w:r w:rsidRPr="00FA3F9C">
              <w:rPr>
                <w:rFonts w:ascii="Arial" w:hAnsi="Arial" w:cs="Arial"/>
                <w:sz w:val="24"/>
                <w:szCs w:val="24"/>
              </w:rPr>
              <w:t>Seizures must be generalized tonic-</w:t>
            </w:r>
            <w:proofErr w:type="spellStart"/>
            <w:r w:rsidRPr="00FA3F9C">
              <w:rPr>
                <w:rFonts w:ascii="Arial" w:hAnsi="Arial" w:cs="Arial"/>
                <w:sz w:val="24"/>
                <w:szCs w:val="24"/>
              </w:rPr>
              <w:t>clonic</w:t>
            </w:r>
            <w:proofErr w:type="spellEnd"/>
          </w:p>
        </w:tc>
      </w:tr>
      <w:tr w:rsidR="00C3036D" w:rsidRPr="00FA3F9C" w14:paraId="44F94F5B" w14:textId="77777777" w:rsidTr="000A2C68">
        <w:tc>
          <w:tcPr>
            <w:tcW w:w="10790" w:type="dxa"/>
            <w:gridSpan w:val="2"/>
          </w:tcPr>
          <w:p w14:paraId="164DE28F" w14:textId="77777777" w:rsidR="00C3036D" w:rsidRPr="00FA3F9C" w:rsidRDefault="00C3036D" w:rsidP="00FC1E85">
            <w:pPr>
              <w:pStyle w:val="ListParagraph"/>
              <w:numPr>
                <w:ilvl w:val="0"/>
                <w:numId w:val="483"/>
              </w:numPr>
              <w:rPr>
                <w:rFonts w:ascii="Arial" w:hAnsi="Arial" w:cs="Arial"/>
                <w:sz w:val="24"/>
                <w:szCs w:val="24"/>
              </w:rPr>
            </w:pPr>
            <w:r w:rsidRPr="00FA3F9C">
              <w:rPr>
                <w:rFonts w:ascii="Arial" w:hAnsi="Arial" w:cs="Arial"/>
                <w:sz w:val="24"/>
                <w:szCs w:val="24"/>
              </w:rPr>
              <w:t xml:space="preserve">Patient </w:t>
            </w:r>
            <w:proofErr w:type="gramStart"/>
            <w:r w:rsidRPr="00FA3F9C">
              <w:rPr>
                <w:rFonts w:ascii="Arial" w:hAnsi="Arial" w:cs="Arial"/>
                <w:sz w:val="24"/>
                <w:szCs w:val="24"/>
              </w:rPr>
              <w:t>be currently taking</w:t>
            </w:r>
            <w:proofErr w:type="gramEnd"/>
            <w:r w:rsidRPr="00FA3F9C">
              <w:rPr>
                <w:rFonts w:ascii="Arial" w:hAnsi="Arial" w:cs="Arial"/>
                <w:sz w:val="24"/>
                <w:szCs w:val="24"/>
              </w:rPr>
              <w:t xml:space="preserve"> clobazam AND valproic acid for seizures</w:t>
            </w:r>
          </w:p>
        </w:tc>
      </w:tr>
      <w:tr w:rsidR="00C3036D" w:rsidRPr="00FA3F9C" w14:paraId="0AE0B560" w14:textId="77777777" w:rsidTr="000A2C68">
        <w:tc>
          <w:tcPr>
            <w:tcW w:w="10790" w:type="dxa"/>
            <w:gridSpan w:val="2"/>
          </w:tcPr>
          <w:p w14:paraId="2B6633DF" w14:textId="77777777" w:rsidR="00C3036D" w:rsidRPr="00FA3F9C" w:rsidRDefault="00C3036D" w:rsidP="00FC1E85">
            <w:pPr>
              <w:pStyle w:val="ListParagraph"/>
              <w:numPr>
                <w:ilvl w:val="0"/>
                <w:numId w:val="483"/>
              </w:numPr>
              <w:rPr>
                <w:rFonts w:ascii="Arial" w:hAnsi="Arial" w:cs="Arial"/>
                <w:sz w:val="24"/>
                <w:szCs w:val="24"/>
              </w:rPr>
            </w:pPr>
            <w:r w:rsidRPr="00FA3F9C">
              <w:rPr>
                <w:rFonts w:ascii="Arial" w:hAnsi="Arial" w:cs="Arial"/>
                <w:sz w:val="24"/>
                <w:szCs w:val="24"/>
              </w:rPr>
              <w:t xml:space="preserve">Patient must be ≥2 years of age </w:t>
            </w:r>
          </w:p>
        </w:tc>
      </w:tr>
      <w:tr w:rsidR="00C3036D" w:rsidRPr="00FA3F9C" w14:paraId="75F675D6" w14:textId="77777777" w:rsidTr="000A2C68">
        <w:tc>
          <w:tcPr>
            <w:tcW w:w="10790" w:type="dxa"/>
            <w:gridSpan w:val="2"/>
          </w:tcPr>
          <w:p w14:paraId="699AE2AA" w14:textId="77777777" w:rsidR="00C3036D" w:rsidRPr="00FA3F9C" w:rsidRDefault="00C3036D" w:rsidP="00FC1E85">
            <w:pPr>
              <w:pStyle w:val="ListParagraph"/>
              <w:numPr>
                <w:ilvl w:val="0"/>
                <w:numId w:val="483"/>
              </w:numPr>
              <w:rPr>
                <w:rFonts w:ascii="Arial" w:hAnsi="Arial" w:cs="Arial"/>
                <w:sz w:val="24"/>
                <w:szCs w:val="24"/>
              </w:rPr>
            </w:pPr>
            <w:r w:rsidRPr="00FA3F9C">
              <w:rPr>
                <w:rFonts w:ascii="Arial" w:hAnsi="Arial" w:cs="Arial"/>
                <w:sz w:val="24"/>
                <w:szCs w:val="24"/>
              </w:rPr>
              <w:t>Patient must have tried and failed cannabidiol</w:t>
            </w:r>
          </w:p>
        </w:tc>
      </w:tr>
      <w:tr w:rsidR="00C3036D" w:rsidRPr="00FA3F9C" w14:paraId="07A30EFB" w14:textId="77777777" w:rsidTr="000A2C68">
        <w:tc>
          <w:tcPr>
            <w:tcW w:w="10790" w:type="dxa"/>
            <w:gridSpan w:val="2"/>
          </w:tcPr>
          <w:p w14:paraId="0B138A08" w14:textId="77777777" w:rsidR="00C3036D" w:rsidRPr="00FA3F9C" w:rsidRDefault="00C3036D" w:rsidP="000A2C68">
            <w:pPr>
              <w:rPr>
                <w:rFonts w:ascii="Arial" w:hAnsi="Arial" w:cs="Arial"/>
                <w:sz w:val="24"/>
                <w:szCs w:val="24"/>
              </w:rPr>
            </w:pPr>
            <w:r w:rsidRPr="00FA3F9C">
              <w:rPr>
                <w:rFonts w:ascii="Arial" w:hAnsi="Arial" w:cs="Arial"/>
                <w:sz w:val="24"/>
                <w:szCs w:val="24"/>
              </w:rPr>
              <w:t>Approve for 6 months.</w:t>
            </w:r>
          </w:p>
        </w:tc>
      </w:tr>
    </w:tbl>
    <w:p w14:paraId="15825DE5" w14:textId="77777777" w:rsidR="00C3036D" w:rsidRPr="00FA3F9C" w:rsidRDefault="00C3036D" w:rsidP="006F623F">
      <w:pPr>
        <w:spacing w:after="0"/>
        <w:rPr>
          <w:rFonts w:ascii="Arial" w:hAnsi="Arial" w:cs="Arial"/>
          <w:b/>
          <w:sz w:val="24"/>
          <w:szCs w:val="24"/>
          <w:u w:val="single"/>
        </w:rPr>
      </w:pPr>
    </w:p>
    <w:tbl>
      <w:tblPr>
        <w:tblStyle w:val="TableGrid"/>
        <w:tblW w:w="0" w:type="auto"/>
        <w:tblLook w:val="04A0" w:firstRow="1" w:lastRow="0" w:firstColumn="1" w:lastColumn="0" w:noHBand="0" w:noVBand="1"/>
      </w:tblPr>
      <w:tblGrid>
        <w:gridCol w:w="8747"/>
        <w:gridCol w:w="2043"/>
      </w:tblGrid>
      <w:tr w:rsidR="00C3036D" w:rsidRPr="00FA3F9C" w14:paraId="29579D2E" w14:textId="77777777" w:rsidTr="000A2C68">
        <w:tc>
          <w:tcPr>
            <w:tcW w:w="8747" w:type="dxa"/>
            <w:shd w:val="clear" w:color="auto" w:fill="000000"/>
          </w:tcPr>
          <w:p w14:paraId="4558E233" w14:textId="77777777" w:rsidR="00C3036D" w:rsidRPr="00FA3F9C" w:rsidRDefault="00C3036D" w:rsidP="00571CAB">
            <w:pPr>
              <w:rPr>
                <w:rFonts w:ascii="Arial" w:hAnsi="Arial" w:cs="Arial"/>
                <w:b/>
                <w:sz w:val="24"/>
                <w:szCs w:val="24"/>
                <w:u w:val="single"/>
              </w:rPr>
            </w:pPr>
            <w:r w:rsidRPr="00FA3F9C">
              <w:rPr>
                <w:rFonts w:ascii="Arial" w:hAnsi="Arial" w:cs="Arial"/>
                <w:b/>
                <w:sz w:val="24"/>
                <w:szCs w:val="24"/>
                <w:u w:val="single"/>
              </w:rPr>
              <w:t>Criteria for continuation</w:t>
            </w:r>
          </w:p>
        </w:tc>
        <w:tc>
          <w:tcPr>
            <w:tcW w:w="2043" w:type="dxa"/>
            <w:shd w:val="clear" w:color="auto" w:fill="000000"/>
          </w:tcPr>
          <w:p w14:paraId="7DEA875B" w14:textId="77777777" w:rsidR="00C3036D" w:rsidRPr="00FA3F9C" w:rsidRDefault="00C3036D" w:rsidP="00571CAB">
            <w:pPr>
              <w:jc w:val="center"/>
              <w:rPr>
                <w:rFonts w:ascii="Arial" w:hAnsi="Arial" w:cs="Arial"/>
                <w:b/>
                <w:sz w:val="24"/>
                <w:szCs w:val="24"/>
                <w:u w:val="single"/>
              </w:rPr>
            </w:pPr>
          </w:p>
        </w:tc>
      </w:tr>
      <w:tr w:rsidR="00C3036D" w:rsidRPr="00FA3F9C" w14:paraId="239D6748" w14:textId="77777777" w:rsidTr="000A2C68">
        <w:tc>
          <w:tcPr>
            <w:tcW w:w="10790" w:type="dxa"/>
            <w:gridSpan w:val="2"/>
          </w:tcPr>
          <w:p w14:paraId="2135AF93" w14:textId="77777777" w:rsidR="00C3036D" w:rsidRPr="00FA3F9C" w:rsidRDefault="00C3036D" w:rsidP="00FC1E85">
            <w:pPr>
              <w:pStyle w:val="ListParagraph"/>
              <w:numPr>
                <w:ilvl w:val="0"/>
                <w:numId w:val="484"/>
              </w:numPr>
              <w:rPr>
                <w:rFonts w:ascii="Arial" w:hAnsi="Arial" w:cs="Arial"/>
                <w:sz w:val="24"/>
                <w:szCs w:val="24"/>
              </w:rPr>
            </w:pPr>
            <w:r w:rsidRPr="00FA3F9C">
              <w:rPr>
                <w:rFonts w:ascii="Arial" w:hAnsi="Arial" w:cs="Arial"/>
                <w:sz w:val="24"/>
                <w:szCs w:val="24"/>
              </w:rPr>
              <w:t xml:space="preserve">Continues to meet above criteria </w:t>
            </w:r>
          </w:p>
        </w:tc>
      </w:tr>
      <w:tr w:rsidR="00C3036D" w:rsidRPr="00FA3F9C" w14:paraId="75F30877" w14:textId="77777777" w:rsidTr="000A2C68">
        <w:tc>
          <w:tcPr>
            <w:tcW w:w="10790" w:type="dxa"/>
            <w:gridSpan w:val="2"/>
          </w:tcPr>
          <w:p w14:paraId="688FF691" w14:textId="77777777" w:rsidR="00C3036D" w:rsidRPr="00FA3F9C" w:rsidRDefault="00C3036D" w:rsidP="00FC1E85">
            <w:pPr>
              <w:pStyle w:val="ListParagraph"/>
              <w:numPr>
                <w:ilvl w:val="0"/>
                <w:numId w:val="484"/>
              </w:numPr>
              <w:rPr>
                <w:rFonts w:ascii="Arial" w:hAnsi="Arial" w:cs="Arial"/>
                <w:sz w:val="24"/>
                <w:szCs w:val="24"/>
              </w:rPr>
            </w:pPr>
            <w:r w:rsidRPr="00FA3F9C">
              <w:rPr>
                <w:rFonts w:ascii="Arial" w:hAnsi="Arial" w:cs="Arial"/>
                <w:sz w:val="24"/>
                <w:szCs w:val="24"/>
              </w:rPr>
              <w:t>Decrease in number of seizures per month has been seen</w:t>
            </w:r>
          </w:p>
        </w:tc>
      </w:tr>
      <w:tr w:rsidR="00C3036D" w:rsidRPr="00FA3F9C" w14:paraId="09B39C8F" w14:textId="77777777" w:rsidTr="000A2C68">
        <w:tc>
          <w:tcPr>
            <w:tcW w:w="10790" w:type="dxa"/>
            <w:gridSpan w:val="2"/>
          </w:tcPr>
          <w:p w14:paraId="0798BDBC" w14:textId="77777777" w:rsidR="00C3036D" w:rsidRPr="00FA3F9C" w:rsidRDefault="00C3036D" w:rsidP="00571CAB">
            <w:pPr>
              <w:rPr>
                <w:rFonts w:ascii="Arial" w:hAnsi="Arial" w:cs="Arial"/>
                <w:sz w:val="24"/>
                <w:szCs w:val="24"/>
              </w:rPr>
            </w:pPr>
            <w:r w:rsidRPr="00FA3F9C">
              <w:rPr>
                <w:rFonts w:ascii="Arial" w:hAnsi="Arial" w:cs="Arial"/>
                <w:sz w:val="24"/>
                <w:szCs w:val="24"/>
              </w:rPr>
              <w:t>Approve for 12 months.</w:t>
            </w:r>
          </w:p>
        </w:tc>
      </w:tr>
    </w:tbl>
    <w:p w14:paraId="4A89C376" w14:textId="77777777" w:rsidR="00C3036D" w:rsidRPr="00FA3F9C" w:rsidRDefault="00C3036D" w:rsidP="006F623F">
      <w:pPr>
        <w:spacing w:after="0"/>
        <w:rPr>
          <w:rFonts w:ascii="Arial" w:hAnsi="Arial" w:cs="Arial"/>
          <w:sz w:val="24"/>
          <w:szCs w:val="24"/>
        </w:rPr>
      </w:pPr>
    </w:p>
    <w:p w14:paraId="221C5179" w14:textId="77777777" w:rsidR="00C3036D" w:rsidRPr="00FA3F9C" w:rsidRDefault="00C3036D"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284"/>
        <w:gridCol w:w="7470"/>
        <w:gridCol w:w="2538"/>
      </w:tblGrid>
      <w:tr w:rsidR="00C3036D" w:rsidRPr="00FA3F9C" w14:paraId="41C06C5C" w14:textId="77777777" w:rsidTr="00FE491B">
        <w:tc>
          <w:tcPr>
            <w:tcW w:w="1008" w:type="dxa"/>
          </w:tcPr>
          <w:p w14:paraId="336E4D00" w14:textId="77777777" w:rsidR="00C3036D" w:rsidRPr="00FA3F9C" w:rsidRDefault="00C3036D" w:rsidP="006F623F">
            <w:pPr>
              <w:rPr>
                <w:rFonts w:ascii="Arial" w:hAnsi="Arial" w:cs="Arial"/>
                <w:sz w:val="24"/>
                <w:szCs w:val="24"/>
              </w:rPr>
            </w:pPr>
            <w:r w:rsidRPr="00FA3F9C">
              <w:rPr>
                <w:rFonts w:ascii="Arial" w:hAnsi="Arial" w:cs="Arial"/>
                <w:sz w:val="24"/>
                <w:szCs w:val="24"/>
              </w:rPr>
              <w:lastRenderedPageBreak/>
              <w:t>Date</w:t>
            </w:r>
          </w:p>
        </w:tc>
        <w:tc>
          <w:tcPr>
            <w:tcW w:w="7470" w:type="dxa"/>
          </w:tcPr>
          <w:p w14:paraId="298CBBC3" w14:textId="77777777" w:rsidR="00C3036D" w:rsidRPr="00FA3F9C" w:rsidRDefault="00C3036D" w:rsidP="006F623F">
            <w:pPr>
              <w:rPr>
                <w:rFonts w:ascii="Arial" w:hAnsi="Arial" w:cs="Arial"/>
                <w:sz w:val="24"/>
                <w:szCs w:val="24"/>
              </w:rPr>
            </w:pPr>
            <w:r w:rsidRPr="00FA3F9C">
              <w:rPr>
                <w:rFonts w:ascii="Arial" w:hAnsi="Arial" w:cs="Arial"/>
                <w:sz w:val="24"/>
                <w:szCs w:val="24"/>
              </w:rPr>
              <w:t>What changed</w:t>
            </w:r>
          </w:p>
        </w:tc>
        <w:tc>
          <w:tcPr>
            <w:tcW w:w="2538" w:type="dxa"/>
          </w:tcPr>
          <w:p w14:paraId="170BFB9D" w14:textId="77777777" w:rsidR="00C3036D" w:rsidRPr="00FA3F9C" w:rsidRDefault="00C3036D" w:rsidP="006F623F">
            <w:pPr>
              <w:rPr>
                <w:rFonts w:ascii="Arial" w:hAnsi="Arial" w:cs="Arial"/>
                <w:sz w:val="24"/>
                <w:szCs w:val="24"/>
              </w:rPr>
            </w:pPr>
            <w:r w:rsidRPr="00FA3F9C">
              <w:rPr>
                <w:rFonts w:ascii="Arial" w:hAnsi="Arial" w:cs="Arial"/>
                <w:sz w:val="24"/>
                <w:szCs w:val="24"/>
              </w:rPr>
              <w:t>Pharmacist’s initials</w:t>
            </w:r>
          </w:p>
        </w:tc>
      </w:tr>
      <w:tr w:rsidR="00C3036D" w:rsidRPr="00FA3F9C" w14:paraId="6E9E1FAB" w14:textId="77777777" w:rsidTr="00FE491B">
        <w:tc>
          <w:tcPr>
            <w:tcW w:w="1008" w:type="dxa"/>
          </w:tcPr>
          <w:p w14:paraId="0E09D35A" w14:textId="77777777" w:rsidR="00C3036D" w:rsidRPr="00FA3F9C" w:rsidRDefault="00C3036D" w:rsidP="006F623F">
            <w:pPr>
              <w:rPr>
                <w:rFonts w:ascii="Arial" w:hAnsi="Arial" w:cs="Arial"/>
                <w:sz w:val="24"/>
                <w:szCs w:val="24"/>
              </w:rPr>
            </w:pPr>
            <w:r w:rsidRPr="00FA3F9C">
              <w:rPr>
                <w:rFonts w:ascii="Arial" w:hAnsi="Arial" w:cs="Arial"/>
                <w:sz w:val="24"/>
                <w:szCs w:val="24"/>
              </w:rPr>
              <w:t>5/16/19</w:t>
            </w:r>
          </w:p>
        </w:tc>
        <w:tc>
          <w:tcPr>
            <w:tcW w:w="7470" w:type="dxa"/>
          </w:tcPr>
          <w:p w14:paraId="29FDD393" w14:textId="77777777" w:rsidR="00C3036D" w:rsidRPr="00FA3F9C" w:rsidRDefault="00C3036D" w:rsidP="006F623F">
            <w:pPr>
              <w:rPr>
                <w:rFonts w:ascii="Arial" w:hAnsi="Arial" w:cs="Arial"/>
                <w:sz w:val="24"/>
                <w:szCs w:val="24"/>
              </w:rPr>
            </w:pPr>
            <w:r w:rsidRPr="00FA3F9C">
              <w:rPr>
                <w:rFonts w:ascii="Arial" w:hAnsi="Arial" w:cs="Arial"/>
                <w:sz w:val="24"/>
                <w:szCs w:val="24"/>
              </w:rPr>
              <w:t>Wrote criteria.</w:t>
            </w:r>
          </w:p>
        </w:tc>
        <w:tc>
          <w:tcPr>
            <w:tcW w:w="2538" w:type="dxa"/>
          </w:tcPr>
          <w:p w14:paraId="09AA8ADE" w14:textId="77777777" w:rsidR="00C3036D" w:rsidRPr="00FA3F9C" w:rsidRDefault="00C3036D" w:rsidP="006F623F">
            <w:pPr>
              <w:rPr>
                <w:rFonts w:ascii="Arial" w:hAnsi="Arial" w:cs="Arial"/>
                <w:sz w:val="24"/>
                <w:szCs w:val="24"/>
              </w:rPr>
            </w:pPr>
            <w:r w:rsidRPr="00FA3F9C">
              <w:rPr>
                <w:rFonts w:ascii="Arial" w:hAnsi="Arial" w:cs="Arial"/>
                <w:sz w:val="24"/>
                <w:szCs w:val="24"/>
              </w:rPr>
              <w:t>ALM</w:t>
            </w:r>
          </w:p>
        </w:tc>
      </w:tr>
      <w:tr w:rsidR="00C3036D" w:rsidRPr="00FA3F9C" w14:paraId="4A68C421" w14:textId="77777777" w:rsidTr="00FE491B">
        <w:tc>
          <w:tcPr>
            <w:tcW w:w="1008" w:type="dxa"/>
          </w:tcPr>
          <w:p w14:paraId="4331C5BA" w14:textId="77777777" w:rsidR="00C3036D" w:rsidRPr="00FA3F9C" w:rsidRDefault="00C3036D" w:rsidP="006F623F">
            <w:pPr>
              <w:rPr>
                <w:rFonts w:ascii="Arial" w:hAnsi="Arial" w:cs="Arial"/>
                <w:sz w:val="24"/>
                <w:szCs w:val="24"/>
              </w:rPr>
            </w:pPr>
            <w:r w:rsidRPr="00FA3F9C">
              <w:rPr>
                <w:rFonts w:ascii="Arial" w:hAnsi="Arial" w:cs="Arial"/>
                <w:sz w:val="24"/>
                <w:szCs w:val="24"/>
              </w:rPr>
              <w:t>6/6/19</w:t>
            </w:r>
          </w:p>
        </w:tc>
        <w:tc>
          <w:tcPr>
            <w:tcW w:w="7470" w:type="dxa"/>
          </w:tcPr>
          <w:p w14:paraId="677B4BE8" w14:textId="77777777" w:rsidR="00C3036D" w:rsidRPr="00FA3F9C" w:rsidRDefault="00C3036D" w:rsidP="006F623F">
            <w:pPr>
              <w:rPr>
                <w:rFonts w:ascii="Arial" w:hAnsi="Arial" w:cs="Arial"/>
                <w:sz w:val="24"/>
                <w:szCs w:val="24"/>
              </w:rPr>
            </w:pPr>
            <w:r w:rsidRPr="00FA3F9C">
              <w:rPr>
                <w:rFonts w:ascii="Arial" w:hAnsi="Arial" w:cs="Arial"/>
                <w:sz w:val="24"/>
                <w:szCs w:val="24"/>
              </w:rPr>
              <w:t>Added Criteria to try and fail cannabidiol</w:t>
            </w:r>
          </w:p>
        </w:tc>
        <w:tc>
          <w:tcPr>
            <w:tcW w:w="2538" w:type="dxa"/>
          </w:tcPr>
          <w:p w14:paraId="001BED3C" w14:textId="77777777" w:rsidR="00C3036D" w:rsidRPr="00FA3F9C" w:rsidRDefault="00C3036D" w:rsidP="006F623F">
            <w:pPr>
              <w:rPr>
                <w:rFonts w:ascii="Arial" w:hAnsi="Arial" w:cs="Arial"/>
                <w:sz w:val="24"/>
                <w:szCs w:val="24"/>
              </w:rPr>
            </w:pPr>
            <w:r w:rsidRPr="00FA3F9C">
              <w:rPr>
                <w:rFonts w:ascii="Arial" w:hAnsi="Arial" w:cs="Arial"/>
                <w:sz w:val="24"/>
                <w:szCs w:val="24"/>
              </w:rPr>
              <w:t>ALM</w:t>
            </w:r>
          </w:p>
        </w:tc>
      </w:tr>
      <w:tr w:rsidR="00C3036D" w:rsidRPr="00FA3F9C" w14:paraId="1A4E0A99" w14:textId="77777777" w:rsidTr="00FE491B">
        <w:tc>
          <w:tcPr>
            <w:tcW w:w="1008" w:type="dxa"/>
          </w:tcPr>
          <w:p w14:paraId="3038FBB6" w14:textId="77777777" w:rsidR="00C3036D" w:rsidRPr="00FA3F9C" w:rsidRDefault="00C3036D" w:rsidP="006F623F">
            <w:pPr>
              <w:rPr>
                <w:rFonts w:ascii="Arial" w:hAnsi="Arial" w:cs="Arial"/>
                <w:sz w:val="24"/>
                <w:szCs w:val="24"/>
              </w:rPr>
            </w:pPr>
            <w:r w:rsidRPr="00FA3F9C">
              <w:rPr>
                <w:rFonts w:ascii="Arial" w:hAnsi="Arial" w:cs="Arial"/>
                <w:sz w:val="24"/>
                <w:szCs w:val="24"/>
              </w:rPr>
              <w:t>8/31/2020</w:t>
            </w:r>
          </w:p>
        </w:tc>
        <w:tc>
          <w:tcPr>
            <w:tcW w:w="7470" w:type="dxa"/>
          </w:tcPr>
          <w:p w14:paraId="151D2F31" w14:textId="77777777" w:rsidR="00C3036D" w:rsidRPr="00FA3F9C" w:rsidRDefault="00C3036D" w:rsidP="006F623F">
            <w:pPr>
              <w:rPr>
                <w:rFonts w:ascii="Arial" w:hAnsi="Arial" w:cs="Arial"/>
                <w:sz w:val="24"/>
                <w:szCs w:val="24"/>
              </w:rPr>
            </w:pPr>
            <w:r w:rsidRPr="00FA3F9C">
              <w:rPr>
                <w:rFonts w:ascii="Arial" w:hAnsi="Arial" w:cs="Arial"/>
                <w:sz w:val="24"/>
                <w:szCs w:val="24"/>
              </w:rPr>
              <w:t>I reviewed the criteria.  No changes</w:t>
            </w:r>
          </w:p>
        </w:tc>
        <w:tc>
          <w:tcPr>
            <w:tcW w:w="2538" w:type="dxa"/>
          </w:tcPr>
          <w:p w14:paraId="1BA81583" w14:textId="3016FEEB" w:rsidR="00C3036D" w:rsidRPr="00FA3F9C" w:rsidRDefault="005C142D" w:rsidP="006F623F">
            <w:pPr>
              <w:rPr>
                <w:rFonts w:ascii="Arial" w:hAnsi="Arial" w:cs="Arial"/>
                <w:sz w:val="24"/>
                <w:szCs w:val="24"/>
              </w:rPr>
            </w:pPr>
            <w:r w:rsidRPr="00FA3F9C">
              <w:rPr>
                <w:rFonts w:ascii="Arial" w:hAnsi="Arial" w:cs="Arial"/>
                <w:sz w:val="24"/>
                <w:szCs w:val="24"/>
              </w:rPr>
              <w:t>JJ</w:t>
            </w:r>
          </w:p>
        </w:tc>
      </w:tr>
      <w:tr w:rsidR="00C3036D" w:rsidRPr="00FA3F9C" w14:paraId="72C18CD4" w14:textId="77777777" w:rsidTr="00FE491B">
        <w:tc>
          <w:tcPr>
            <w:tcW w:w="1008" w:type="dxa"/>
          </w:tcPr>
          <w:p w14:paraId="3EF9586A" w14:textId="77777777" w:rsidR="00C3036D" w:rsidRPr="00FA3F9C" w:rsidRDefault="00C3036D" w:rsidP="006F623F">
            <w:pPr>
              <w:rPr>
                <w:rFonts w:ascii="Arial" w:hAnsi="Arial" w:cs="Arial"/>
                <w:sz w:val="24"/>
                <w:szCs w:val="24"/>
              </w:rPr>
            </w:pPr>
            <w:r w:rsidRPr="00FA3F9C">
              <w:rPr>
                <w:rFonts w:ascii="Arial" w:hAnsi="Arial" w:cs="Arial"/>
                <w:sz w:val="24"/>
                <w:szCs w:val="24"/>
              </w:rPr>
              <w:t>3/10/21</w:t>
            </w:r>
          </w:p>
        </w:tc>
        <w:tc>
          <w:tcPr>
            <w:tcW w:w="7470" w:type="dxa"/>
          </w:tcPr>
          <w:p w14:paraId="7EC1A342" w14:textId="77777777" w:rsidR="00C3036D" w:rsidRPr="00FA3F9C" w:rsidRDefault="00C3036D" w:rsidP="006F623F">
            <w:pPr>
              <w:rPr>
                <w:rFonts w:ascii="Arial" w:hAnsi="Arial" w:cs="Arial"/>
                <w:sz w:val="24"/>
                <w:szCs w:val="24"/>
              </w:rPr>
            </w:pPr>
            <w:r w:rsidRPr="00FA3F9C">
              <w:rPr>
                <w:rFonts w:ascii="Arial" w:hAnsi="Arial" w:cs="Arial"/>
                <w:sz w:val="24"/>
                <w:szCs w:val="24"/>
              </w:rPr>
              <w:t>I reviewed the criteria.  No changes.  UAS now uses these criteria.</w:t>
            </w:r>
          </w:p>
        </w:tc>
        <w:tc>
          <w:tcPr>
            <w:tcW w:w="2538" w:type="dxa"/>
          </w:tcPr>
          <w:p w14:paraId="65A1297D" w14:textId="77777777" w:rsidR="00C3036D" w:rsidRPr="00FA3F9C" w:rsidRDefault="00C3036D" w:rsidP="006F623F">
            <w:pPr>
              <w:rPr>
                <w:rFonts w:ascii="Arial" w:hAnsi="Arial" w:cs="Arial"/>
                <w:sz w:val="24"/>
                <w:szCs w:val="24"/>
              </w:rPr>
            </w:pPr>
            <w:r w:rsidRPr="00FA3F9C">
              <w:rPr>
                <w:rFonts w:ascii="Arial" w:hAnsi="Arial" w:cs="Arial"/>
                <w:sz w:val="24"/>
                <w:szCs w:val="24"/>
              </w:rPr>
              <w:t>JJ</w:t>
            </w:r>
          </w:p>
        </w:tc>
      </w:tr>
    </w:tbl>
    <w:p w14:paraId="06449ADA" w14:textId="77777777" w:rsidR="00C3036D" w:rsidRPr="00FA3F9C" w:rsidRDefault="00C3036D" w:rsidP="006F623F">
      <w:pPr>
        <w:spacing w:after="0"/>
        <w:rPr>
          <w:rFonts w:ascii="Arial" w:hAnsi="Arial" w:cs="Arial"/>
          <w:sz w:val="24"/>
          <w:szCs w:val="24"/>
        </w:rPr>
      </w:pPr>
    </w:p>
    <w:p w14:paraId="10F55E29" w14:textId="77777777" w:rsidR="00C3036D" w:rsidRPr="00FA3F9C" w:rsidRDefault="00C3036D" w:rsidP="006F623F">
      <w:pPr>
        <w:spacing w:after="0"/>
        <w:rPr>
          <w:rFonts w:ascii="Arial" w:hAnsi="Arial" w:cs="Arial"/>
          <w:sz w:val="24"/>
          <w:szCs w:val="24"/>
        </w:rPr>
      </w:pPr>
      <w:r w:rsidRPr="00FA3F9C">
        <w:rPr>
          <w:rFonts w:ascii="Arial" w:hAnsi="Arial" w:cs="Arial"/>
          <w:sz w:val="24"/>
          <w:szCs w:val="24"/>
        </w:rPr>
        <w:t>References:</w:t>
      </w:r>
    </w:p>
    <w:p w14:paraId="302A10E1" w14:textId="77777777" w:rsidR="00C3036D" w:rsidRPr="00FA3F9C" w:rsidRDefault="00C3036D" w:rsidP="00FC1E85">
      <w:pPr>
        <w:pStyle w:val="ListParagraph"/>
        <w:numPr>
          <w:ilvl w:val="0"/>
          <w:numId w:val="485"/>
        </w:numPr>
        <w:spacing w:after="0"/>
        <w:rPr>
          <w:rFonts w:ascii="Arial" w:hAnsi="Arial" w:cs="Arial"/>
          <w:color w:val="222222"/>
          <w:sz w:val="24"/>
          <w:szCs w:val="24"/>
          <w:shd w:val="clear" w:color="auto" w:fill="F8F8F8"/>
        </w:rPr>
      </w:pPr>
      <w:r w:rsidRPr="00FA3F9C">
        <w:rPr>
          <w:rFonts w:ascii="Arial" w:hAnsi="Arial" w:cs="Arial"/>
          <w:color w:val="222222"/>
          <w:sz w:val="24"/>
          <w:szCs w:val="24"/>
          <w:shd w:val="clear" w:color="auto" w:fill="F8F8F8"/>
        </w:rPr>
        <w:t xml:space="preserve">Inoue, </w:t>
      </w:r>
      <w:proofErr w:type="spellStart"/>
      <w:r w:rsidRPr="00FA3F9C">
        <w:rPr>
          <w:rFonts w:ascii="Arial" w:hAnsi="Arial" w:cs="Arial"/>
          <w:color w:val="222222"/>
          <w:sz w:val="24"/>
          <w:szCs w:val="24"/>
          <w:shd w:val="clear" w:color="auto" w:fill="F8F8F8"/>
        </w:rPr>
        <w:t>Yushi</w:t>
      </w:r>
      <w:proofErr w:type="spellEnd"/>
      <w:r w:rsidRPr="00FA3F9C">
        <w:rPr>
          <w:rFonts w:ascii="Arial" w:hAnsi="Arial" w:cs="Arial"/>
          <w:color w:val="222222"/>
          <w:sz w:val="24"/>
          <w:szCs w:val="24"/>
          <w:shd w:val="clear" w:color="auto" w:fill="F8F8F8"/>
        </w:rPr>
        <w:t xml:space="preserve">, Yoko </w:t>
      </w:r>
      <w:proofErr w:type="spellStart"/>
      <w:r w:rsidRPr="00FA3F9C">
        <w:rPr>
          <w:rFonts w:ascii="Arial" w:hAnsi="Arial" w:cs="Arial"/>
          <w:color w:val="222222"/>
          <w:sz w:val="24"/>
          <w:szCs w:val="24"/>
          <w:shd w:val="clear" w:color="auto" w:fill="F8F8F8"/>
        </w:rPr>
        <w:t>Ohtsuka</w:t>
      </w:r>
      <w:proofErr w:type="spellEnd"/>
      <w:r w:rsidRPr="00FA3F9C">
        <w:rPr>
          <w:rFonts w:ascii="Arial" w:hAnsi="Arial" w:cs="Arial"/>
          <w:color w:val="222222"/>
          <w:sz w:val="24"/>
          <w:szCs w:val="24"/>
          <w:shd w:val="clear" w:color="auto" w:fill="F8F8F8"/>
        </w:rPr>
        <w:t xml:space="preserve">, and STP-1 Study Group. "Effectiveness of add-on </w:t>
      </w:r>
      <w:proofErr w:type="spellStart"/>
      <w:r w:rsidRPr="00FA3F9C">
        <w:rPr>
          <w:rFonts w:ascii="Arial" w:hAnsi="Arial" w:cs="Arial"/>
          <w:color w:val="222222"/>
          <w:sz w:val="24"/>
          <w:szCs w:val="24"/>
          <w:shd w:val="clear" w:color="auto" w:fill="F8F8F8"/>
        </w:rPr>
        <w:t>stiripentol</w:t>
      </w:r>
      <w:proofErr w:type="spellEnd"/>
      <w:r w:rsidRPr="00FA3F9C">
        <w:rPr>
          <w:rFonts w:ascii="Arial" w:hAnsi="Arial" w:cs="Arial"/>
          <w:color w:val="222222"/>
          <w:sz w:val="24"/>
          <w:szCs w:val="24"/>
          <w:shd w:val="clear" w:color="auto" w:fill="F8F8F8"/>
        </w:rPr>
        <w:t xml:space="preserve"> to clobazam and valproate in Japanese patients with Dravet syndrome: additional supportive evidence." </w:t>
      </w:r>
      <w:r w:rsidRPr="00FA3F9C">
        <w:rPr>
          <w:rFonts w:ascii="Arial" w:hAnsi="Arial" w:cs="Arial"/>
          <w:i/>
          <w:iCs/>
          <w:color w:val="222222"/>
          <w:sz w:val="24"/>
          <w:szCs w:val="24"/>
          <w:shd w:val="clear" w:color="auto" w:fill="F8F8F8"/>
        </w:rPr>
        <w:t>Epilepsy research</w:t>
      </w:r>
      <w:r w:rsidRPr="00FA3F9C">
        <w:rPr>
          <w:rFonts w:ascii="Arial" w:hAnsi="Arial" w:cs="Arial"/>
          <w:color w:val="222222"/>
          <w:sz w:val="24"/>
          <w:szCs w:val="24"/>
          <w:shd w:val="clear" w:color="auto" w:fill="F8F8F8"/>
        </w:rPr>
        <w:t> 108.4 (2014): 725-731.</w:t>
      </w:r>
    </w:p>
    <w:p w14:paraId="58D6543D" w14:textId="77777777" w:rsidR="00C3036D" w:rsidRPr="00FA3F9C" w:rsidRDefault="00C3036D" w:rsidP="00FC1E85">
      <w:pPr>
        <w:pStyle w:val="ListParagraph"/>
        <w:numPr>
          <w:ilvl w:val="0"/>
          <w:numId w:val="485"/>
        </w:numPr>
        <w:spacing w:after="0"/>
        <w:rPr>
          <w:rFonts w:ascii="Arial" w:hAnsi="Arial" w:cs="Arial"/>
          <w:color w:val="222222"/>
          <w:sz w:val="24"/>
          <w:szCs w:val="24"/>
          <w:shd w:val="clear" w:color="auto" w:fill="F8F8F8"/>
        </w:rPr>
      </w:pPr>
      <w:r w:rsidRPr="00FA3F9C">
        <w:rPr>
          <w:rFonts w:ascii="Arial" w:hAnsi="Arial" w:cs="Arial"/>
          <w:color w:val="222222"/>
          <w:sz w:val="24"/>
          <w:szCs w:val="24"/>
          <w:shd w:val="clear" w:color="auto" w:fill="F8F8F8"/>
        </w:rPr>
        <w:t>Chiron, C., et al. "</w:t>
      </w:r>
      <w:proofErr w:type="spellStart"/>
      <w:r w:rsidRPr="00FA3F9C">
        <w:rPr>
          <w:rFonts w:ascii="Arial" w:hAnsi="Arial" w:cs="Arial"/>
          <w:color w:val="222222"/>
          <w:sz w:val="24"/>
          <w:szCs w:val="24"/>
          <w:shd w:val="clear" w:color="auto" w:fill="F8F8F8"/>
        </w:rPr>
        <w:t>Stiripentol</w:t>
      </w:r>
      <w:proofErr w:type="spellEnd"/>
      <w:r w:rsidRPr="00FA3F9C">
        <w:rPr>
          <w:rFonts w:ascii="Arial" w:hAnsi="Arial" w:cs="Arial"/>
          <w:color w:val="222222"/>
          <w:sz w:val="24"/>
          <w:szCs w:val="24"/>
          <w:shd w:val="clear" w:color="auto" w:fill="F8F8F8"/>
        </w:rPr>
        <w:t xml:space="preserve"> in severe myoclonic epilepsy in infancy: a </w:t>
      </w:r>
      <w:proofErr w:type="spellStart"/>
      <w:r w:rsidRPr="00FA3F9C">
        <w:rPr>
          <w:rFonts w:ascii="Arial" w:hAnsi="Arial" w:cs="Arial"/>
          <w:color w:val="222222"/>
          <w:sz w:val="24"/>
          <w:szCs w:val="24"/>
          <w:shd w:val="clear" w:color="auto" w:fill="F8F8F8"/>
        </w:rPr>
        <w:t>randomised</w:t>
      </w:r>
      <w:proofErr w:type="spellEnd"/>
      <w:r w:rsidRPr="00FA3F9C">
        <w:rPr>
          <w:rFonts w:ascii="Arial" w:hAnsi="Arial" w:cs="Arial"/>
          <w:color w:val="222222"/>
          <w:sz w:val="24"/>
          <w:szCs w:val="24"/>
          <w:shd w:val="clear" w:color="auto" w:fill="F8F8F8"/>
        </w:rPr>
        <w:t xml:space="preserve"> placebo-controlled syndrome-dedicated trial." </w:t>
      </w:r>
      <w:r w:rsidRPr="00FA3F9C">
        <w:rPr>
          <w:rFonts w:ascii="Arial" w:hAnsi="Arial" w:cs="Arial"/>
          <w:i/>
          <w:iCs/>
          <w:color w:val="222222"/>
          <w:sz w:val="24"/>
          <w:szCs w:val="24"/>
          <w:shd w:val="clear" w:color="auto" w:fill="F8F8F8"/>
        </w:rPr>
        <w:t>The Lancet</w:t>
      </w:r>
      <w:r w:rsidRPr="00FA3F9C">
        <w:rPr>
          <w:rFonts w:ascii="Arial" w:hAnsi="Arial" w:cs="Arial"/>
          <w:color w:val="222222"/>
          <w:sz w:val="24"/>
          <w:szCs w:val="24"/>
          <w:shd w:val="clear" w:color="auto" w:fill="F8F8F8"/>
        </w:rPr>
        <w:t>356.9242 (2000): 1638-1642.</w:t>
      </w:r>
    </w:p>
    <w:p w14:paraId="316A9375" w14:textId="77777777" w:rsidR="00C3036D" w:rsidRPr="00FA3F9C" w:rsidRDefault="00C3036D" w:rsidP="00FC1E85">
      <w:pPr>
        <w:pStyle w:val="ListParagraph"/>
        <w:numPr>
          <w:ilvl w:val="0"/>
          <w:numId w:val="485"/>
        </w:numPr>
        <w:spacing w:after="0"/>
        <w:rPr>
          <w:rFonts w:ascii="Arial" w:hAnsi="Arial" w:cs="Arial"/>
          <w:color w:val="222222"/>
          <w:sz w:val="24"/>
          <w:szCs w:val="24"/>
          <w:shd w:val="clear" w:color="auto" w:fill="F8F8F8"/>
        </w:rPr>
      </w:pPr>
      <w:r w:rsidRPr="00FA3F9C">
        <w:rPr>
          <w:rFonts w:ascii="Arial" w:hAnsi="Arial" w:cs="Arial"/>
          <w:color w:val="222222"/>
          <w:sz w:val="24"/>
          <w:szCs w:val="24"/>
          <w:shd w:val="clear" w:color="auto" w:fill="F8F8F8"/>
        </w:rPr>
        <w:t xml:space="preserve">Package insert: </w:t>
      </w:r>
      <w:proofErr w:type="spellStart"/>
      <w:r w:rsidRPr="00FA3F9C">
        <w:rPr>
          <w:rFonts w:ascii="Arial" w:hAnsi="Arial" w:cs="Arial"/>
          <w:color w:val="222222"/>
          <w:sz w:val="24"/>
          <w:szCs w:val="24"/>
          <w:shd w:val="clear" w:color="auto" w:fill="F8F8F8"/>
        </w:rPr>
        <w:t>Diacomit</w:t>
      </w:r>
      <w:proofErr w:type="spellEnd"/>
      <w:r w:rsidRPr="00FA3F9C">
        <w:rPr>
          <w:rFonts w:ascii="Arial" w:hAnsi="Arial" w:cs="Arial"/>
          <w:color w:val="222222"/>
          <w:sz w:val="24"/>
          <w:szCs w:val="24"/>
          <w:shd w:val="clear" w:color="auto" w:fill="F8F8F8"/>
        </w:rPr>
        <w:t>. Accessed 5/6/2019.</w:t>
      </w:r>
    </w:p>
    <w:p w14:paraId="60A7CD8A" w14:textId="77777777" w:rsidR="00C3036D" w:rsidRPr="00FA3F9C" w:rsidRDefault="00C3036D" w:rsidP="00FC1E85">
      <w:pPr>
        <w:pStyle w:val="ListParagraph"/>
        <w:numPr>
          <w:ilvl w:val="0"/>
          <w:numId w:val="485"/>
        </w:numPr>
        <w:spacing w:after="0"/>
        <w:rPr>
          <w:rFonts w:ascii="Arial" w:hAnsi="Arial" w:cs="Arial"/>
          <w:color w:val="222222"/>
          <w:sz w:val="24"/>
          <w:szCs w:val="24"/>
          <w:shd w:val="clear" w:color="auto" w:fill="F8F8F8"/>
        </w:rPr>
      </w:pPr>
      <w:proofErr w:type="spellStart"/>
      <w:r w:rsidRPr="00FA3F9C">
        <w:rPr>
          <w:rFonts w:ascii="Arial" w:hAnsi="Arial" w:cs="Arial"/>
          <w:color w:val="222222"/>
          <w:sz w:val="24"/>
          <w:szCs w:val="24"/>
          <w:shd w:val="clear" w:color="auto" w:fill="F8F8F8"/>
        </w:rPr>
        <w:t>LexiComp</w:t>
      </w:r>
      <w:proofErr w:type="spellEnd"/>
      <w:r w:rsidRPr="00FA3F9C">
        <w:rPr>
          <w:rFonts w:ascii="Arial" w:hAnsi="Arial" w:cs="Arial"/>
          <w:color w:val="222222"/>
          <w:sz w:val="24"/>
          <w:szCs w:val="24"/>
          <w:shd w:val="clear" w:color="auto" w:fill="F8F8F8"/>
        </w:rPr>
        <w:t xml:space="preserve">: </w:t>
      </w:r>
      <w:proofErr w:type="spellStart"/>
      <w:r w:rsidRPr="00FA3F9C">
        <w:rPr>
          <w:rFonts w:ascii="Arial" w:hAnsi="Arial" w:cs="Arial"/>
          <w:color w:val="222222"/>
          <w:sz w:val="24"/>
          <w:szCs w:val="24"/>
          <w:shd w:val="clear" w:color="auto" w:fill="F8F8F8"/>
        </w:rPr>
        <w:t>Diacomit</w:t>
      </w:r>
      <w:proofErr w:type="spellEnd"/>
      <w:r w:rsidRPr="00FA3F9C">
        <w:rPr>
          <w:rFonts w:ascii="Arial" w:hAnsi="Arial" w:cs="Arial"/>
          <w:color w:val="222222"/>
          <w:sz w:val="24"/>
          <w:szCs w:val="24"/>
          <w:shd w:val="clear" w:color="auto" w:fill="F8F8F8"/>
        </w:rPr>
        <w:t>. Accessed 5/6/2019.</w:t>
      </w:r>
    </w:p>
    <w:p w14:paraId="2084FF67" w14:textId="77777777" w:rsidR="00C3036D" w:rsidRPr="00FA3F9C" w:rsidRDefault="00C3036D" w:rsidP="000A2C68">
      <w:pPr>
        <w:spacing w:after="0"/>
        <w:rPr>
          <w:rFonts w:ascii="Arial" w:hAnsi="Arial" w:cs="Arial"/>
          <w:sz w:val="24"/>
          <w:szCs w:val="24"/>
        </w:rPr>
      </w:pPr>
    </w:p>
    <w:p w14:paraId="71EAF910" w14:textId="77777777" w:rsidR="00C3036D" w:rsidRPr="00FA3F9C" w:rsidRDefault="00C3036D" w:rsidP="00F61833">
      <w:pPr>
        <w:jc w:val="right"/>
        <w:rPr>
          <w:rFonts w:ascii="Arial" w:hAnsi="Arial" w:cs="Arial"/>
          <w:sz w:val="24"/>
          <w:szCs w:val="24"/>
        </w:rPr>
      </w:pPr>
    </w:p>
    <w:p w14:paraId="5E61DA7D" w14:textId="77777777" w:rsidR="00C3036D" w:rsidRPr="00FA3F9C" w:rsidRDefault="00C3036D" w:rsidP="0078218F">
      <w:pPr>
        <w:pStyle w:val="Heading2"/>
        <w:rPr>
          <w:lang w:val="fr-FR"/>
        </w:rPr>
      </w:pPr>
      <w:bookmarkStart w:id="315" w:name="_Toc106369938"/>
      <w:proofErr w:type="spellStart"/>
      <w:r w:rsidRPr="00FA3F9C">
        <w:rPr>
          <w:lang w:val="fr-FR"/>
        </w:rPr>
        <w:t>Sunitinib</w:t>
      </w:r>
      <w:proofErr w:type="spellEnd"/>
      <w:r w:rsidRPr="00FA3F9C">
        <w:rPr>
          <w:lang w:val="fr-FR"/>
        </w:rPr>
        <w:t xml:space="preserve"> (</w:t>
      </w:r>
      <w:proofErr w:type="spellStart"/>
      <w:r w:rsidRPr="00FA3F9C">
        <w:rPr>
          <w:lang w:val="fr-FR"/>
        </w:rPr>
        <w:t>Sutent</w:t>
      </w:r>
      <w:proofErr w:type="spellEnd"/>
      <w:r w:rsidRPr="00FA3F9C">
        <w:rPr>
          <w:lang w:val="fr-FR"/>
        </w:rPr>
        <w:t>)</w:t>
      </w:r>
      <w:bookmarkEnd w:id="315"/>
      <w:r w:rsidRPr="00FA3F9C">
        <w:rPr>
          <w:lang w:val="fr-FR"/>
        </w:rPr>
        <w:t xml:space="preserve"> </w:t>
      </w:r>
    </w:p>
    <w:p w14:paraId="6B07DB07" w14:textId="77777777" w:rsidR="00C3036D" w:rsidRPr="00FA3F9C" w:rsidRDefault="00C3036D" w:rsidP="0008616D">
      <w:pPr>
        <w:jc w:val="center"/>
        <w:rPr>
          <w:rFonts w:ascii="Arial" w:hAnsi="Arial" w:cs="Arial"/>
          <w:sz w:val="24"/>
          <w:szCs w:val="24"/>
          <w:lang w:val="fr-FR"/>
        </w:rPr>
      </w:pPr>
      <w:r w:rsidRPr="00FA3F9C">
        <w:rPr>
          <w:rFonts w:ascii="Arial" w:hAnsi="Arial" w:cs="Arial"/>
          <w:sz w:val="24"/>
          <w:szCs w:val="24"/>
          <w:lang w:val="fr-FR"/>
        </w:rPr>
        <w:t xml:space="preserve">12.5, 25, 37.5, 50mg capsules </w:t>
      </w:r>
    </w:p>
    <w:p w14:paraId="276A91C8" w14:textId="77777777" w:rsidR="00C3036D" w:rsidRPr="00FA3F9C" w:rsidRDefault="00C3036D" w:rsidP="00395FA1">
      <w:pPr>
        <w:jc w:val="center"/>
        <w:rPr>
          <w:rFonts w:ascii="Arial" w:hAnsi="Arial" w:cs="Arial"/>
          <w:sz w:val="24"/>
          <w:szCs w:val="24"/>
          <w:lang w:val="fr-FR"/>
        </w:rPr>
      </w:pPr>
      <w:r w:rsidRPr="00FA3F9C">
        <w:rPr>
          <w:rFonts w:ascii="Arial" w:hAnsi="Arial" w:cs="Arial"/>
          <w:sz w:val="24"/>
          <w:szCs w:val="24"/>
          <w:lang w:val="fr-FR"/>
        </w:rPr>
        <w:t xml:space="preserve">EBRx PA </w:t>
      </w:r>
      <w:proofErr w:type="spellStart"/>
      <w:r w:rsidRPr="00FA3F9C">
        <w:rPr>
          <w:rFonts w:ascii="Arial" w:hAnsi="Arial" w:cs="Arial"/>
          <w:sz w:val="24"/>
          <w:szCs w:val="24"/>
          <w:lang w:val="fr-FR"/>
        </w:rPr>
        <w:t>Criteria</w:t>
      </w:r>
      <w:proofErr w:type="spellEnd"/>
    </w:p>
    <w:p w14:paraId="3E677169" w14:textId="77777777" w:rsidR="00C3036D" w:rsidRPr="00FA3F9C" w:rsidRDefault="00C3036D" w:rsidP="008879DF">
      <w:pPr>
        <w:rPr>
          <w:rFonts w:ascii="Arial" w:hAnsi="Arial" w:cs="Arial"/>
          <w:b/>
          <w:sz w:val="24"/>
          <w:szCs w:val="24"/>
          <w:lang w:val="fr-FR"/>
        </w:rPr>
      </w:pPr>
    </w:p>
    <w:p w14:paraId="21769520" w14:textId="77777777" w:rsidR="00C3036D" w:rsidRPr="00FA3F9C" w:rsidRDefault="00C3036D" w:rsidP="008879DF">
      <w:pPr>
        <w:rPr>
          <w:rFonts w:ascii="Arial" w:hAnsi="Arial" w:cs="Arial"/>
          <w:b/>
          <w:sz w:val="24"/>
          <w:szCs w:val="24"/>
          <w:u w:val="single"/>
        </w:rPr>
      </w:pPr>
      <w:r w:rsidRPr="00FA3F9C">
        <w:rPr>
          <w:rFonts w:ascii="Arial" w:hAnsi="Arial" w:cs="Arial"/>
          <w:b/>
          <w:sz w:val="24"/>
          <w:szCs w:val="24"/>
          <w:u w:val="single"/>
        </w:rPr>
        <w:t>FDA approved for:</w:t>
      </w:r>
    </w:p>
    <w:p w14:paraId="5D43A724" w14:textId="77777777" w:rsidR="00C3036D" w:rsidRPr="00FA3F9C" w:rsidRDefault="00C3036D" w:rsidP="00FC1E85">
      <w:pPr>
        <w:numPr>
          <w:ilvl w:val="0"/>
          <w:numId w:val="486"/>
        </w:numPr>
        <w:tabs>
          <w:tab w:val="clear" w:pos="720"/>
          <w:tab w:val="num" w:pos="360"/>
        </w:tabs>
        <w:spacing w:after="0" w:line="240" w:lineRule="auto"/>
        <w:ind w:left="360" w:hanging="180"/>
        <w:rPr>
          <w:rFonts w:ascii="Arial" w:hAnsi="Arial" w:cs="Arial"/>
          <w:color w:val="000000"/>
          <w:sz w:val="24"/>
          <w:szCs w:val="24"/>
        </w:rPr>
      </w:pPr>
      <w:r w:rsidRPr="00FA3F9C">
        <w:rPr>
          <w:rFonts w:ascii="Arial" w:hAnsi="Arial" w:cs="Arial"/>
          <w:color w:val="000000"/>
          <w:sz w:val="24"/>
          <w:szCs w:val="24"/>
        </w:rPr>
        <w:t>treatment of gastrointestinal stromal tumor (GIST) after disease progression on or intolerance to imatinib mesylate.</w:t>
      </w:r>
    </w:p>
    <w:p w14:paraId="07700AF7" w14:textId="77777777" w:rsidR="00C3036D" w:rsidRPr="00FA3F9C" w:rsidRDefault="00C3036D" w:rsidP="00FC1E85">
      <w:pPr>
        <w:numPr>
          <w:ilvl w:val="0"/>
          <w:numId w:val="486"/>
        </w:numPr>
        <w:tabs>
          <w:tab w:val="clear" w:pos="720"/>
          <w:tab w:val="num" w:pos="360"/>
        </w:tabs>
        <w:spacing w:after="0" w:line="240" w:lineRule="auto"/>
        <w:ind w:left="360" w:hanging="180"/>
        <w:rPr>
          <w:rFonts w:ascii="Arial" w:hAnsi="Arial" w:cs="Arial"/>
          <w:color w:val="000000"/>
          <w:sz w:val="24"/>
          <w:szCs w:val="24"/>
        </w:rPr>
      </w:pPr>
      <w:r w:rsidRPr="00FA3F9C">
        <w:rPr>
          <w:rFonts w:ascii="Arial" w:hAnsi="Arial" w:cs="Arial"/>
          <w:color w:val="000000"/>
          <w:sz w:val="24"/>
          <w:szCs w:val="24"/>
        </w:rPr>
        <w:t xml:space="preserve">treatment of advanced renal cell carcinoma (RCC). </w:t>
      </w:r>
    </w:p>
    <w:p w14:paraId="70615502" w14:textId="77777777" w:rsidR="00C3036D" w:rsidRPr="00FA3F9C" w:rsidRDefault="00C3036D" w:rsidP="00FC1E85">
      <w:pPr>
        <w:numPr>
          <w:ilvl w:val="0"/>
          <w:numId w:val="486"/>
        </w:numPr>
        <w:tabs>
          <w:tab w:val="clear" w:pos="720"/>
          <w:tab w:val="num" w:pos="360"/>
        </w:tabs>
        <w:spacing w:after="0" w:line="240" w:lineRule="auto"/>
        <w:ind w:left="360" w:hanging="180"/>
        <w:rPr>
          <w:rFonts w:ascii="Arial" w:hAnsi="Arial" w:cs="Arial"/>
          <w:color w:val="000000"/>
          <w:sz w:val="24"/>
          <w:szCs w:val="24"/>
        </w:rPr>
      </w:pPr>
      <w:r w:rsidRPr="00FA3F9C">
        <w:rPr>
          <w:rFonts w:ascii="Arial" w:hAnsi="Arial" w:cs="Arial"/>
          <w:color w:val="000000"/>
          <w:sz w:val="24"/>
          <w:szCs w:val="24"/>
        </w:rPr>
        <w:t xml:space="preserve">adjuvant treatment of adult patients at high risk of recurrent RCC following nephrectomy </w:t>
      </w:r>
      <w:r w:rsidRPr="00FA3F9C">
        <w:rPr>
          <w:rFonts w:ascii="Arial" w:hAnsi="Arial" w:cs="Arial"/>
          <w:color w:val="000000"/>
          <w:sz w:val="24"/>
          <w:szCs w:val="24"/>
          <w:highlight w:val="yellow"/>
        </w:rPr>
        <w:t>NOT COVERED</w:t>
      </w:r>
    </w:p>
    <w:p w14:paraId="61071F2B" w14:textId="77777777" w:rsidR="00C3036D" w:rsidRPr="00FA3F9C" w:rsidRDefault="00C3036D" w:rsidP="00FC1E85">
      <w:pPr>
        <w:pStyle w:val="ListParagraph"/>
        <w:numPr>
          <w:ilvl w:val="0"/>
          <w:numId w:val="490"/>
        </w:numPr>
        <w:spacing w:after="0" w:line="240" w:lineRule="auto"/>
        <w:ind w:hanging="270"/>
        <w:rPr>
          <w:rFonts w:ascii="Arial" w:hAnsi="Arial" w:cs="Arial"/>
          <w:color w:val="000000"/>
          <w:sz w:val="24"/>
          <w:szCs w:val="24"/>
        </w:rPr>
      </w:pPr>
      <w:r w:rsidRPr="00FA3F9C">
        <w:rPr>
          <w:rFonts w:ascii="Arial" w:hAnsi="Arial" w:cs="Arial"/>
          <w:color w:val="000000"/>
          <w:sz w:val="24"/>
          <w:szCs w:val="24"/>
        </w:rPr>
        <w:t xml:space="preserve">Notes: In patients with stage II-IV </w:t>
      </w:r>
      <w:proofErr w:type="spellStart"/>
      <w:r w:rsidRPr="00FA3F9C">
        <w:rPr>
          <w:rFonts w:ascii="Arial" w:hAnsi="Arial" w:cs="Arial"/>
          <w:color w:val="000000"/>
          <w:sz w:val="24"/>
          <w:szCs w:val="24"/>
        </w:rPr>
        <w:t>resectable</w:t>
      </w:r>
      <w:proofErr w:type="spellEnd"/>
      <w:r w:rsidRPr="00FA3F9C">
        <w:rPr>
          <w:rFonts w:ascii="Arial" w:hAnsi="Arial" w:cs="Arial"/>
          <w:color w:val="000000"/>
          <w:sz w:val="24"/>
          <w:szCs w:val="24"/>
        </w:rPr>
        <w:t xml:space="preserve"> renal cell carcinoma, sunitinib or placebo was given x 1 year after </w:t>
      </w:r>
      <w:r w:rsidRPr="00FA3F9C">
        <w:rPr>
          <w:rFonts w:ascii="Arial" w:hAnsi="Arial" w:cs="Arial"/>
          <w:sz w:val="24"/>
          <w:szCs w:val="24"/>
        </w:rPr>
        <w:t xml:space="preserve">resection. Disease free survival was improved (6.8 versus 5.6 years) but overall survival was not improved. Sunitinib also was associated with significant toxicity. NCCN recommends this treatment as a </w:t>
      </w:r>
      <w:r w:rsidRPr="00FA3F9C">
        <w:rPr>
          <w:rFonts w:ascii="Arial" w:hAnsi="Arial" w:cs="Arial"/>
          <w:sz w:val="24"/>
          <w:szCs w:val="24"/>
          <w:highlight w:val="yellow"/>
        </w:rPr>
        <w:t>category 3</w:t>
      </w:r>
      <w:r w:rsidRPr="00FA3F9C">
        <w:rPr>
          <w:rFonts w:ascii="Arial" w:hAnsi="Arial" w:cs="Arial"/>
          <w:sz w:val="24"/>
          <w:szCs w:val="24"/>
        </w:rPr>
        <w:t xml:space="preserve"> recommendation. Pazopanib and sorafenib have also been studied in this setting and did not improve outcomes although study populations differed. Use of sunitinib in the adjuvant setting of RCC is not a</w:t>
      </w:r>
      <w:r w:rsidRPr="00FA3F9C">
        <w:rPr>
          <w:rFonts w:ascii="Arial" w:hAnsi="Arial" w:cs="Arial"/>
          <w:color w:val="000000"/>
          <w:sz w:val="24"/>
          <w:szCs w:val="24"/>
        </w:rPr>
        <w:t xml:space="preserve"> widespread accepted treatment and is associated with significant toxicity and has not been shown to improve overall survival. Therefore, EBRx will not cover at this time.</w:t>
      </w:r>
    </w:p>
    <w:p w14:paraId="69438EC2" w14:textId="77777777" w:rsidR="00C3036D" w:rsidRPr="00FA3F9C" w:rsidRDefault="00C3036D" w:rsidP="00FC1E85">
      <w:pPr>
        <w:pStyle w:val="ListParagraph"/>
        <w:numPr>
          <w:ilvl w:val="0"/>
          <w:numId w:val="490"/>
        </w:numPr>
        <w:spacing w:after="0" w:line="240" w:lineRule="auto"/>
        <w:ind w:hanging="270"/>
        <w:rPr>
          <w:rFonts w:ascii="Arial" w:hAnsi="Arial" w:cs="Arial"/>
          <w:color w:val="000000"/>
          <w:sz w:val="24"/>
          <w:szCs w:val="24"/>
        </w:rPr>
      </w:pPr>
      <w:r w:rsidRPr="00FA3F9C">
        <w:rPr>
          <w:rFonts w:ascii="Arial" w:hAnsi="Arial" w:cs="Arial"/>
          <w:color w:val="000000"/>
          <w:sz w:val="24"/>
          <w:szCs w:val="24"/>
        </w:rPr>
        <w:lastRenderedPageBreak/>
        <w:t>REFERENCES</w:t>
      </w:r>
    </w:p>
    <w:p w14:paraId="5FC89605" w14:textId="77777777" w:rsidR="00C3036D" w:rsidRPr="00FA3F9C" w:rsidRDefault="00C3036D" w:rsidP="00395FA1">
      <w:pPr>
        <w:pStyle w:val="ListParagraph"/>
        <w:spacing w:after="0" w:line="240" w:lineRule="auto"/>
        <w:rPr>
          <w:rFonts w:ascii="Arial" w:hAnsi="Arial" w:cs="Arial"/>
          <w:sz w:val="24"/>
          <w:szCs w:val="24"/>
        </w:rPr>
      </w:pPr>
      <w:r w:rsidRPr="00FA3F9C">
        <w:rPr>
          <w:rFonts w:ascii="Arial" w:hAnsi="Arial" w:cs="Arial"/>
          <w:sz w:val="24"/>
          <w:szCs w:val="24"/>
        </w:rPr>
        <w:t>-</w:t>
      </w:r>
      <w:proofErr w:type="spellStart"/>
      <w:r w:rsidRPr="00FA3F9C">
        <w:rPr>
          <w:rFonts w:ascii="Arial" w:hAnsi="Arial" w:cs="Arial"/>
          <w:sz w:val="24"/>
          <w:szCs w:val="24"/>
        </w:rPr>
        <w:t>Ravaud</w:t>
      </w:r>
      <w:proofErr w:type="spellEnd"/>
      <w:r w:rsidRPr="00FA3F9C">
        <w:rPr>
          <w:rFonts w:ascii="Arial" w:hAnsi="Arial" w:cs="Arial"/>
          <w:sz w:val="24"/>
          <w:szCs w:val="24"/>
        </w:rPr>
        <w:t xml:space="preserve"> et al. Adjuvant Sunitinib in High-Risk Renal-Cell Carcinoma after Nephrectomy. N </w:t>
      </w:r>
      <w:proofErr w:type="spellStart"/>
      <w:r w:rsidRPr="00FA3F9C">
        <w:rPr>
          <w:rFonts w:ascii="Arial" w:hAnsi="Arial" w:cs="Arial"/>
          <w:sz w:val="24"/>
          <w:szCs w:val="24"/>
        </w:rPr>
        <w:t>Engl</w:t>
      </w:r>
      <w:proofErr w:type="spellEnd"/>
      <w:r w:rsidRPr="00FA3F9C">
        <w:rPr>
          <w:rFonts w:ascii="Arial" w:hAnsi="Arial" w:cs="Arial"/>
          <w:sz w:val="24"/>
          <w:szCs w:val="24"/>
        </w:rPr>
        <w:t xml:space="preserve"> J Med. 2016;375(23):2246. PMID 27718781. </w:t>
      </w:r>
    </w:p>
    <w:p w14:paraId="2D302D16" w14:textId="77777777" w:rsidR="00C3036D" w:rsidRPr="00FA3F9C" w:rsidRDefault="00C3036D" w:rsidP="00395FA1">
      <w:pPr>
        <w:pStyle w:val="ListParagraph"/>
        <w:spacing w:after="0" w:line="240" w:lineRule="auto"/>
        <w:rPr>
          <w:rFonts w:ascii="Arial" w:hAnsi="Arial" w:cs="Arial"/>
          <w:color w:val="000000"/>
          <w:sz w:val="24"/>
          <w:szCs w:val="24"/>
        </w:rPr>
      </w:pPr>
      <w:r w:rsidRPr="00FA3F9C">
        <w:rPr>
          <w:rFonts w:ascii="Arial" w:hAnsi="Arial" w:cs="Arial"/>
          <w:sz w:val="24"/>
          <w:szCs w:val="24"/>
        </w:rPr>
        <w:t>-</w:t>
      </w:r>
      <w:proofErr w:type="spellStart"/>
      <w:r w:rsidRPr="00FA3F9C">
        <w:rPr>
          <w:rFonts w:ascii="Arial" w:hAnsi="Arial" w:cs="Arial"/>
          <w:sz w:val="24"/>
          <w:szCs w:val="24"/>
        </w:rPr>
        <w:t>Motzer</w:t>
      </w:r>
      <w:proofErr w:type="spellEnd"/>
      <w:r w:rsidRPr="00FA3F9C">
        <w:rPr>
          <w:rFonts w:ascii="Arial" w:hAnsi="Arial" w:cs="Arial"/>
          <w:sz w:val="24"/>
          <w:szCs w:val="24"/>
        </w:rPr>
        <w:t xml:space="preserve"> RJ et al. Adjuvant Sunitinib for High-risk Renal Cell Carcinoma After Nephrectomy: Subgroup Analyses and Updated Overall Survival Results. </w:t>
      </w:r>
      <w:hyperlink r:id="rId384" w:tooltip="European urology." w:history="1">
        <w:proofErr w:type="spellStart"/>
        <w:r w:rsidRPr="00FA3F9C">
          <w:rPr>
            <w:rStyle w:val="Hyperlink"/>
            <w:rFonts w:ascii="Arial" w:hAnsi="Arial" w:cs="Arial"/>
            <w:sz w:val="24"/>
            <w:szCs w:val="24"/>
          </w:rPr>
          <w:t>Eur</w:t>
        </w:r>
        <w:proofErr w:type="spellEnd"/>
        <w:r w:rsidRPr="00FA3F9C">
          <w:rPr>
            <w:rStyle w:val="Hyperlink"/>
            <w:rFonts w:ascii="Arial" w:hAnsi="Arial" w:cs="Arial"/>
            <w:sz w:val="24"/>
            <w:szCs w:val="24"/>
          </w:rPr>
          <w:t xml:space="preserve"> Urol.</w:t>
        </w:r>
      </w:hyperlink>
      <w:r w:rsidRPr="00FA3F9C">
        <w:rPr>
          <w:rFonts w:ascii="Arial" w:hAnsi="Arial" w:cs="Arial"/>
          <w:sz w:val="24"/>
          <w:szCs w:val="24"/>
        </w:rPr>
        <w:t xml:space="preserve"> 2018 Jan;73(1):62-68.)  </w:t>
      </w:r>
    </w:p>
    <w:p w14:paraId="2C3E74B8" w14:textId="77777777" w:rsidR="00C3036D" w:rsidRPr="00FA3F9C" w:rsidRDefault="00C3036D" w:rsidP="00FC1E85">
      <w:pPr>
        <w:numPr>
          <w:ilvl w:val="0"/>
          <w:numId w:val="486"/>
        </w:numPr>
        <w:tabs>
          <w:tab w:val="clear" w:pos="720"/>
          <w:tab w:val="num" w:pos="360"/>
        </w:tabs>
        <w:spacing w:after="0" w:line="240" w:lineRule="auto"/>
        <w:ind w:left="360" w:hanging="180"/>
        <w:rPr>
          <w:rFonts w:ascii="Arial" w:hAnsi="Arial" w:cs="Arial"/>
          <w:color w:val="000000"/>
          <w:sz w:val="24"/>
          <w:szCs w:val="24"/>
        </w:rPr>
      </w:pPr>
      <w:r w:rsidRPr="00FA3F9C">
        <w:rPr>
          <w:rFonts w:ascii="Arial" w:hAnsi="Arial" w:cs="Arial"/>
          <w:color w:val="000000"/>
          <w:sz w:val="24"/>
          <w:szCs w:val="24"/>
        </w:rPr>
        <w:t>treatment of progressive, well-differentiated pancreatic neuroendocrine tumors (</w:t>
      </w:r>
      <w:proofErr w:type="spellStart"/>
      <w:r w:rsidRPr="00FA3F9C">
        <w:rPr>
          <w:rFonts w:ascii="Arial" w:hAnsi="Arial" w:cs="Arial"/>
          <w:color w:val="000000"/>
          <w:sz w:val="24"/>
          <w:szCs w:val="24"/>
        </w:rPr>
        <w:t>pNET</w:t>
      </w:r>
      <w:proofErr w:type="spellEnd"/>
      <w:r w:rsidRPr="00FA3F9C">
        <w:rPr>
          <w:rFonts w:ascii="Arial" w:hAnsi="Arial" w:cs="Arial"/>
          <w:color w:val="000000"/>
          <w:sz w:val="24"/>
          <w:szCs w:val="24"/>
        </w:rPr>
        <w:t xml:space="preserve">) in patients with unresectable locally advanced or metastatic disease.  </w:t>
      </w:r>
    </w:p>
    <w:p w14:paraId="73107482" w14:textId="77777777" w:rsidR="00C3036D" w:rsidRPr="00FA3F9C" w:rsidRDefault="00C3036D" w:rsidP="008879DF">
      <w:pPr>
        <w:rPr>
          <w:rFonts w:ascii="Arial" w:hAnsi="Arial" w:cs="Arial"/>
          <w:b/>
          <w:sz w:val="24"/>
          <w:szCs w:val="24"/>
        </w:rPr>
      </w:pPr>
    </w:p>
    <w:p w14:paraId="59528BDF" w14:textId="77777777" w:rsidR="00C3036D" w:rsidRPr="00FA3F9C" w:rsidRDefault="00C3036D" w:rsidP="009C570E">
      <w:pPr>
        <w:rPr>
          <w:rFonts w:ascii="Arial" w:hAnsi="Arial" w:cs="Arial"/>
          <w:b/>
          <w:sz w:val="24"/>
          <w:szCs w:val="24"/>
        </w:rPr>
      </w:pPr>
    </w:p>
    <w:tbl>
      <w:tblPr>
        <w:tblW w:w="10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09"/>
      </w:tblGrid>
      <w:tr w:rsidR="00C3036D" w:rsidRPr="00FA3F9C" w14:paraId="22B5BA85" w14:textId="77777777" w:rsidTr="008C472A">
        <w:tc>
          <w:tcPr>
            <w:tcW w:w="10609" w:type="dxa"/>
            <w:tcBorders>
              <w:bottom w:val="nil"/>
            </w:tcBorders>
            <w:shd w:val="clear" w:color="auto" w:fill="000000"/>
          </w:tcPr>
          <w:p w14:paraId="4ECCD289" w14:textId="77777777" w:rsidR="00C3036D" w:rsidRPr="00FA3F9C" w:rsidRDefault="00C3036D" w:rsidP="00EA1B80">
            <w:pPr>
              <w:rPr>
                <w:rFonts w:ascii="Arial" w:hAnsi="Arial" w:cs="Arial"/>
                <w:sz w:val="24"/>
                <w:szCs w:val="24"/>
              </w:rPr>
            </w:pPr>
            <w:r w:rsidRPr="00FA3F9C">
              <w:rPr>
                <w:rFonts w:ascii="Arial" w:hAnsi="Arial" w:cs="Arial"/>
                <w:b/>
                <w:sz w:val="24"/>
                <w:szCs w:val="24"/>
              </w:rPr>
              <w:t xml:space="preserve">GI Stromal Tumor (GIST): </w:t>
            </w:r>
          </w:p>
        </w:tc>
      </w:tr>
      <w:tr w:rsidR="00C3036D" w:rsidRPr="00FA3F9C" w14:paraId="044AC69B" w14:textId="77777777" w:rsidTr="0044180A">
        <w:tc>
          <w:tcPr>
            <w:tcW w:w="10609" w:type="dxa"/>
            <w:tcBorders>
              <w:top w:val="nil"/>
              <w:bottom w:val="single" w:sz="4" w:space="0" w:color="auto"/>
            </w:tcBorders>
          </w:tcPr>
          <w:p w14:paraId="30C1579C" w14:textId="77777777" w:rsidR="00C3036D" w:rsidRPr="00FA3F9C" w:rsidRDefault="00C3036D" w:rsidP="0008616D">
            <w:pPr>
              <w:rPr>
                <w:rFonts w:ascii="Arial" w:hAnsi="Arial" w:cs="Arial"/>
                <w:sz w:val="24"/>
                <w:szCs w:val="24"/>
                <w:u w:val="single"/>
              </w:rPr>
            </w:pPr>
            <w:r w:rsidRPr="00FA3F9C">
              <w:rPr>
                <w:rFonts w:ascii="Arial" w:hAnsi="Arial" w:cs="Arial"/>
                <w:sz w:val="24"/>
                <w:szCs w:val="24"/>
              </w:rPr>
              <w:t>1.  The patient been diagnosed with gastrointestinal stromal tumor (GIST)</w:t>
            </w:r>
            <w:r w:rsidRPr="00FA3F9C">
              <w:rPr>
                <w:rFonts w:ascii="Arial" w:hAnsi="Arial" w:cs="Arial"/>
                <w:sz w:val="24"/>
                <w:szCs w:val="24"/>
              </w:rPr>
              <w:tab/>
            </w:r>
          </w:p>
        </w:tc>
      </w:tr>
      <w:tr w:rsidR="00C3036D" w:rsidRPr="00FA3F9C" w14:paraId="1738977D" w14:textId="77777777" w:rsidTr="0044180A">
        <w:tc>
          <w:tcPr>
            <w:tcW w:w="10609" w:type="dxa"/>
            <w:tcBorders>
              <w:bottom w:val="single" w:sz="4" w:space="0" w:color="auto"/>
            </w:tcBorders>
          </w:tcPr>
          <w:p w14:paraId="43B1CDFF" w14:textId="77777777" w:rsidR="00C3036D" w:rsidRPr="00FA3F9C" w:rsidRDefault="00C3036D" w:rsidP="0008616D">
            <w:pPr>
              <w:rPr>
                <w:rFonts w:ascii="Arial" w:hAnsi="Arial" w:cs="Arial"/>
                <w:sz w:val="24"/>
                <w:szCs w:val="24"/>
              </w:rPr>
            </w:pPr>
            <w:r w:rsidRPr="00FA3F9C">
              <w:rPr>
                <w:rFonts w:ascii="Arial" w:hAnsi="Arial" w:cs="Arial"/>
                <w:sz w:val="24"/>
                <w:szCs w:val="24"/>
              </w:rPr>
              <w:t>2.  The patient has experienced disease progression on imatinib or is intolerant to imatinib (Gleevec)</w:t>
            </w:r>
          </w:p>
        </w:tc>
      </w:tr>
      <w:tr w:rsidR="00C3036D" w:rsidRPr="00FA3F9C" w14:paraId="502CE937" w14:textId="77777777" w:rsidTr="00820AA3">
        <w:tc>
          <w:tcPr>
            <w:tcW w:w="10609" w:type="dxa"/>
            <w:tcBorders>
              <w:bottom w:val="single" w:sz="4" w:space="0" w:color="auto"/>
            </w:tcBorders>
            <w:shd w:val="clear" w:color="auto" w:fill="auto"/>
          </w:tcPr>
          <w:p w14:paraId="711866CE" w14:textId="77777777" w:rsidR="00C3036D" w:rsidRPr="00FA3F9C" w:rsidRDefault="00C3036D" w:rsidP="0044180A">
            <w:pPr>
              <w:rPr>
                <w:rFonts w:ascii="Arial" w:hAnsi="Arial" w:cs="Arial"/>
                <w:b/>
                <w:sz w:val="24"/>
                <w:szCs w:val="24"/>
              </w:rPr>
            </w:pPr>
            <w:r w:rsidRPr="00FA3F9C">
              <w:rPr>
                <w:rFonts w:ascii="Arial" w:hAnsi="Arial" w:cs="Arial"/>
                <w:b/>
                <w:sz w:val="24"/>
                <w:szCs w:val="24"/>
              </w:rPr>
              <w:t>If both criteria are met, approve x 1 year</w:t>
            </w:r>
          </w:p>
        </w:tc>
      </w:tr>
      <w:tr w:rsidR="00C3036D" w:rsidRPr="00FA3F9C" w14:paraId="748AE9E9" w14:textId="77777777" w:rsidTr="008C472A">
        <w:tc>
          <w:tcPr>
            <w:tcW w:w="10609" w:type="dxa"/>
            <w:tcBorders>
              <w:bottom w:val="single" w:sz="4" w:space="0" w:color="auto"/>
            </w:tcBorders>
            <w:shd w:val="clear" w:color="auto" w:fill="BFBFBF"/>
          </w:tcPr>
          <w:p w14:paraId="65FBD0E6" w14:textId="77777777" w:rsidR="00C3036D" w:rsidRPr="00FA3F9C" w:rsidRDefault="00C3036D" w:rsidP="0044180A">
            <w:pPr>
              <w:rPr>
                <w:rFonts w:ascii="Arial" w:hAnsi="Arial" w:cs="Arial"/>
                <w:b/>
                <w:sz w:val="24"/>
                <w:szCs w:val="24"/>
              </w:rPr>
            </w:pPr>
            <w:r w:rsidRPr="00FA3F9C">
              <w:rPr>
                <w:rFonts w:ascii="Arial" w:hAnsi="Arial" w:cs="Arial"/>
                <w:b/>
                <w:sz w:val="24"/>
                <w:szCs w:val="24"/>
              </w:rPr>
              <w:t>Evidence:</w:t>
            </w:r>
          </w:p>
          <w:p w14:paraId="0889F34E" w14:textId="77777777" w:rsidR="00C3036D" w:rsidRPr="00FA3F9C" w:rsidRDefault="00C3036D" w:rsidP="00AD0897">
            <w:pPr>
              <w:rPr>
                <w:rFonts w:ascii="Arial" w:hAnsi="Arial" w:cs="Arial"/>
                <w:sz w:val="24"/>
                <w:szCs w:val="24"/>
              </w:rPr>
            </w:pPr>
            <w:r w:rsidRPr="00FA3F9C">
              <w:rPr>
                <w:rFonts w:ascii="Arial" w:hAnsi="Arial" w:cs="Arial"/>
                <w:sz w:val="24"/>
                <w:szCs w:val="24"/>
              </w:rPr>
              <w:t>-In patients with GIST with disease progression on or intolerance to imatinib, OS was improved compared with placebo in first analysis</w:t>
            </w:r>
            <w:r w:rsidRPr="00FA3F9C">
              <w:rPr>
                <w:rFonts w:ascii="Arial" w:hAnsi="Arial" w:cs="Arial"/>
                <w:sz w:val="24"/>
                <w:szCs w:val="24"/>
                <w:vertAlign w:val="superscript"/>
              </w:rPr>
              <w:t>1</w:t>
            </w:r>
            <w:r w:rsidRPr="00FA3F9C">
              <w:rPr>
                <w:rFonts w:ascii="Arial" w:hAnsi="Arial" w:cs="Arial"/>
                <w:sz w:val="24"/>
                <w:szCs w:val="24"/>
              </w:rPr>
              <w:t xml:space="preserve"> (medians not reached; HR 0.49, 95% CI 0.29-0.83). Per study design, </w:t>
            </w:r>
            <w:proofErr w:type="spellStart"/>
            <w:r w:rsidRPr="00FA3F9C">
              <w:rPr>
                <w:rFonts w:ascii="Arial" w:hAnsi="Arial" w:cs="Arial"/>
                <w:sz w:val="24"/>
                <w:szCs w:val="24"/>
              </w:rPr>
              <w:t>pt</w:t>
            </w:r>
            <w:proofErr w:type="spellEnd"/>
            <w:r w:rsidRPr="00FA3F9C">
              <w:rPr>
                <w:rFonts w:ascii="Arial" w:hAnsi="Arial" w:cs="Arial"/>
                <w:sz w:val="24"/>
                <w:szCs w:val="24"/>
              </w:rPr>
              <w:t xml:space="preserve"> were allowed to cross over to active treatment after first analysis was complete. In follow-up analysis</w:t>
            </w:r>
            <w:r w:rsidRPr="00FA3F9C">
              <w:rPr>
                <w:rFonts w:ascii="Arial" w:hAnsi="Arial" w:cs="Arial"/>
                <w:sz w:val="24"/>
                <w:szCs w:val="24"/>
                <w:vertAlign w:val="superscript"/>
              </w:rPr>
              <w:t>2</w:t>
            </w:r>
            <w:r w:rsidRPr="00FA3F9C">
              <w:rPr>
                <w:rFonts w:ascii="Arial" w:hAnsi="Arial" w:cs="Arial"/>
                <w:sz w:val="24"/>
                <w:szCs w:val="24"/>
              </w:rPr>
              <w:t>, OS was similar between groups likely due to crossover effect.</w:t>
            </w:r>
          </w:p>
          <w:p w14:paraId="2F47B275" w14:textId="77777777" w:rsidR="00C3036D" w:rsidRPr="00FA3F9C" w:rsidRDefault="00C3036D" w:rsidP="00AD0897">
            <w:pPr>
              <w:rPr>
                <w:rFonts w:ascii="Arial" w:hAnsi="Arial" w:cs="Arial"/>
                <w:sz w:val="24"/>
                <w:szCs w:val="24"/>
              </w:rPr>
            </w:pPr>
            <w:r w:rsidRPr="00FA3F9C">
              <w:rPr>
                <w:rFonts w:ascii="Arial" w:hAnsi="Arial" w:cs="Arial"/>
                <w:sz w:val="24"/>
                <w:szCs w:val="24"/>
              </w:rPr>
              <w:t>-Usual starting dose: 50 mg daily x 4 weeks, then take two weeks off. Alternative dosing: 37.5 mg daily (continuous).</w:t>
            </w:r>
          </w:p>
          <w:p w14:paraId="6C95F20A" w14:textId="77777777" w:rsidR="00C3036D" w:rsidRPr="00FA3F9C" w:rsidRDefault="00C3036D" w:rsidP="00AD0897">
            <w:pPr>
              <w:rPr>
                <w:rFonts w:ascii="Arial" w:hAnsi="Arial" w:cs="Arial"/>
                <w:sz w:val="24"/>
                <w:szCs w:val="24"/>
              </w:rPr>
            </w:pPr>
          </w:p>
          <w:p w14:paraId="4F736B09" w14:textId="77777777" w:rsidR="00C3036D" w:rsidRPr="00FA3F9C" w:rsidRDefault="00C3036D" w:rsidP="00AD0897">
            <w:pPr>
              <w:rPr>
                <w:rFonts w:ascii="Arial" w:hAnsi="Arial" w:cs="Arial"/>
                <w:sz w:val="24"/>
                <w:szCs w:val="24"/>
              </w:rPr>
            </w:pPr>
            <w:r w:rsidRPr="00FA3F9C">
              <w:rPr>
                <w:rFonts w:ascii="Arial" w:hAnsi="Arial" w:cs="Arial"/>
                <w:sz w:val="24"/>
                <w:szCs w:val="24"/>
              </w:rPr>
              <w:t>REFERENCES:</w:t>
            </w:r>
          </w:p>
          <w:p w14:paraId="19DE066C" w14:textId="77777777" w:rsidR="00C3036D" w:rsidRPr="00FA3F9C" w:rsidRDefault="00500371" w:rsidP="00FC1E85">
            <w:pPr>
              <w:numPr>
                <w:ilvl w:val="0"/>
                <w:numId w:val="487"/>
              </w:numPr>
              <w:spacing w:after="0" w:line="240" w:lineRule="auto"/>
              <w:ind w:left="180" w:hanging="180"/>
              <w:rPr>
                <w:rFonts w:ascii="Arial" w:hAnsi="Arial" w:cs="Arial"/>
                <w:sz w:val="24"/>
                <w:szCs w:val="24"/>
              </w:rPr>
            </w:pPr>
            <w:hyperlink r:id="rId385" w:history="1">
              <w:r w:rsidR="00C3036D" w:rsidRPr="00FA3F9C">
                <w:rPr>
                  <w:rFonts w:ascii="Arial" w:hAnsi="Arial" w:cs="Arial"/>
                  <w:sz w:val="24"/>
                  <w:szCs w:val="24"/>
                </w:rPr>
                <w:t>Demetri GD</w:t>
              </w:r>
            </w:hyperlink>
            <w:r w:rsidR="00C3036D" w:rsidRPr="00FA3F9C">
              <w:rPr>
                <w:rFonts w:ascii="Arial" w:hAnsi="Arial" w:cs="Arial"/>
                <w:sz w:val="24"/>
                <w:szCs w:val="24"/>
              </w:rPr>
              <w:t xml:space="preserve"> et al. </w:t>
            </w:r>
            <w:r w:rsidR="00C3036D" w:rsidRPr="00FA3F9C">
              <w:rPr>
                <w:rFonts w:ascii="Arial" w:hAnsi="Arial" w:cs="Arial"/>
                <w:bCs/>
                <w:kern w:val="36"/>
                <w:sz w:val="24"/>
                <w:szCs w:val="24"/>
              </w:rPr>
              <w:t xml:space="preserve">Efficacy and safety of sunitinib in patients with advanced gastrointestinal stromal </w:t>
            </w:r>
            <w:proofErr w:type="spellStart"/>
            <w:r w:rsidR="00C3036D" w:rsidRPr="00FA3F9C">
              <w:rPr>
                <w:rFonts w:ascii="Arial" w:hAnsi="Arial" w:cs="Arial"/>
                <w:bCs/>
                <w:kern w:val="36"/>
                <w:sz w:val="24"/>
                <w:szCs w:val="24"/>
              </w:rPr>
              <w:t>tumour</w:t>
            </w:r>
            <w:proofErr w:type="spellEnd"/>
            <w:r w:rsidR="00C3036D" w:rsidRPr="00FA3F9C">
              <w:rPr>
                <w:rFonts w:ascii="Arial" w:hAnsi="Arial" w:cs="Arial"/>
                <w:bCs/>
                <w:kern w:val="36"/>
                <w:sz w:val="24"/>
                <w:szCs w:val="24"/>
              </w:rPr>
              <w:t xml:space="preserve"> after failure of imatinib: a </w:t>
            </w:r>
            <w:proofErr w:type="spellStart"/>
            <w:r w:rsidR="00C3036D" w:rsidRPr="00FA3F9C">
              <w:rPr>
                <w:rFonts w:ascii="Arial" w:hAnsi="Arial" w:cs="Arial"/>
                <w:bCs/>
                <w:kern w:val="36"/>
                <w:sz w:val="24"/>
                <w:szCs w:val="24"/>
              </w:rPr>
              <w:t>randomised</w:t>
            </w:r>
            <w:proofErr w:type="spellEnd"/>
            <w:r w:rsidR="00C3036D" w:rsidRPr="00FA3F9C">
              <w:rPr>
                <w:rFonts w:ascii="Arial" w:hAnsi="Arial" w:cs="Arial"/>
                <w:bCs/>
                <w:kern w:val="36"/>
                <w:sz w:val="24"/>
                <w:szCs w:val="24"/>
              </w:rPr>
              <w:t xml:space="preserve"> controlled trial. </w:t>
            </w:r>
            <w:hyperlink r:id="rId386" w:tooltip="Lancet (London, England)." w:history="1">
              <w:r w:rsidR="00C3036D" w:rsidRPr="00FA3F9C">
                <w:rPr>
                  <w:rFonts w:ascii="Arial" w:hAnsi="Arial" w:cs="Arial"/>
                  <w:sz w:val="24"/>
                  <w:szCs w:val="24"/>
                </w:rPr>
                <w:t>Lancet.</w:t>
              </w:r>
            </w:hyperlink>
            <w:r w:rsidR="00C3036D" w:rsidRPr="00FA3F9C">
              <w:rPr>
                <w:rFonts w:ascii="Arial" w:hAnsi="Arial" w:cs="Arial"/>
                <w:sz w:val="24"/>
                <w:szCs w:val="24"/>
              </w:rPr>
              <w:t xml:space="preserve"> 2006 Oct 14;368(9544):1329-38. [NCT00075218 PMID 17046465]</w:t>
            </w:r>
          </w:p>
          <w:p w14:paraId="75A92204" w14:textId="77777777" w:rsidR="00C3036D" w:rsidRPr="00FA3F9C" w:rsidRDefault="00500371" w:rsidP="00FC1E85">
            <w:pPr>
              <w:numPr>
                <w:ilvl w:val="0"/>
                <w:numId w:val="487"/>
              </w:numPr>
              <w:spacing w:after="0" w:line="240" w:lineRule="auto"/>
              <w:ind w:left="180" w:hanging="180"/>
              <w:rPr>
                <w:rFonts w:ascii="Arial" w:hAnsi="Arial" w:cs="Arial"/>
                <w:sz w:val="24"/>
                <w:szCs w:val="24"/>
              </w:rPr>
            </w:pPr>
            <w:hyperlink r:id="rId387" w:history="1">
              <w:r w:rsidR="00C3036D" w:rsidRPr="00FA3F9C">
                <w:rPr>
                  <w:rStyle w:val="highlight"/>
                  <w:rFonts w:ascii="Arial" w:hAnsi="Arial" w:cs="Arial"/>
                  <w:sz w:val="24"/>
                  <w:szCs w:val="24"/>
                </w:rPr>
                <w:t>Demetri</w:t>
              </w:r>
              <w:r w:rsidR="00C3036D" w:rsidRPr="00FA3F9C">
                <w:rPr>
                  <w:rStyle w:val="Hyperlink"/>
                  <w:rFonts w:ascii="Arial" w:hAnsi="Arial" w:cs="Arial"/>
                  <w:sz w:val="24"/>
                  <w:szCs w:val="24"/>
                </w:rPr>
                <w:t xml:space="preserve"> GD</w:t>
              </w:r>
            </w:hyperlink>
            <w:r w:rsidR="00C3036D" w:rsidRPr="00FA3F9C">
              <w:rPr>
                <w:rFonts w:ascii="Arial" w:hAnsi="Arial" w:cs="Arial"/>
                <w:sz w:val="24"/>
                <w:szCs w:val="24"/>
              </w:rPr>
              <w:t xml:space="preserve"> et al. Complete longitudinal analyses of the randomized, placebo-controlled, phase III trial of </w:t>
            </w:r>
            <w:r w:rsidR="00C3036D" w:rsidRPr="00FA3F9C">
              <w:rPr>
                <w:rStyle w:val="highlight"/>
                <w:rFonts w:ascii="Arial" w:hAnsi="Arial" w:cs="Arial"/>
                <w:sz w:val="24"/>
                <w:szCs w:val="24"/>
              </w:rPr>
              <w:t>sunitinib</w:t>
            </w:r>
            <w:r w:rsidR="00C3036D" w:rsidRPr="00FA3F9C">
              <w:rPr>
                <w:rFonts w:ascii="Arial" w:hAnsi="Arial" w:cs="Arial"/>
                <w:sz w:val="24"/>
                <w:szCs w:val="24"/>
              </w:rPr>
              <w:t xml:space="preserve"> in patients with gastrointestinal stromal tumor following imatinib failure. </w:t>
            </w:r>
            <w:hyperlink r:id="rId388" w:tooltip="Clinical cancer research : an official journal of the American Association for Cancer Research." w:history="1">
              <w:r w:rsidR="00C3036D" w:rsidRPr="00FA3F9C">
                <w:rPr>
                  <w:rStyle w:val="Hyperlink"/>
                  <w:rFonts w:ascii="Arial" w:hAnsi="Arial" w:cs="Arial"/>
                  <w:sz w:val="24"/>
                  <w:szCs w:val="24"/>
                </w:rPr>
                <w:t>Clin Cancer Res.</w:t>
              </w:r>
            </w:hyperlink>
            <w:r w:rsidR="00C3036D" w:rsidRPr="00FA3F9C">
              <w:rPr>
                <w:rFonts w:ascii="Arial" w:hAnsi="Arial" w:cs="Arial"/>
                <w:sz w:val="24"/>
                <w:szCs w:val="24"/>
              </w:rPr>
              <w:t xml:space="preserve"> 2012 Jun 1;18(11):3170-9. PMID 22661587</w:t>
            </w:r>
          </w:p>
        </w:tc>
      </w:tr>
    </w:tbl>
    <w:p w14:paraId="103C9698" w14:textId="77777777" w:rsidR="00C3036D" w:rsidRPr="00FA3F9C" w:rsidRDefault="00C3036D" w:rsidP="00BC231F">
      <w:pPr>
        <w:rPr>
          <w:rFonts w:ascii="Arial" w:hAnsi="Arial" w:cs="Arial"/>
          <w:sz w:val="24"/>
          <w:szCs w:val="24"/>
        </w:rPr>
      </w:pPr>
    </w:p>
    <w:p w14:paraId="7F69FDF0" w14:textId="77777777" w:rsidR="00C3036D" w:rsidRPr="00FA3F9C" w:rsidRDefault="00C3036D" w:rsidP="00A632D6">
      <w:pPr>
        <w:rPr>
          <w:rFonts w:ascii="Arial" w:hAnsi="Arial" w:cs="Arial"/>
          <w:sz w:val="24"/>
          <w:szCs w:val="24"/>
        </w:rPr>
      </w:pPr>
    </w:p>
    <w:tbl>
      <w:tblPr>
        <w:tblW w:w="10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09"/>
      </w:tblGrid>
      <w:tr w:rsidR="00C3036D" w:rsidRPr="00FA3F9C" w14:paraId="4AB32EFA" w14:textId="77777777" w:rsidTr="00EA1B80">
        <w:trPr>
          <w:trHeight w:val="332"/>
        </w:trPr>
        <w:tc>
          <w:tcPr>
            <w:tcW w:w="10609" w:type="dxa"/>
            <w:tcBorders>
              <w:bottom w:val="single" w:sz="4" w:space="0" w:color="auto"/>
            </w:tcBorders>
            <w:shd w:val="clear" w:color="auto" w:fill="000000"/>
          </w:tcPr>
          <w:p w14:paraId="203FCD49" w14:textId="77777777" w:rsidR="00C3036D" w:rsidRPr="00FA3F9C" w:rsidRDefault="00C3036D" w:rsidP="00EA1B80">
            <w:pPr>
              <w:rPr>
                <w:rFonts w:ascii="Arial" w:hAnsi="Arial" w:cs="Arial"/>
                <w:sz w:val="24"/>
                <w:szCs w:val="24"/>
              </w:rPr>
            </w:pPr>
            <w:r w:rsidRPr="00FA3F9C">
              <w:rPr>
                <w:rFonts w:ascii="Arial" w:hAnsi="Arial" w:cs="Arial"/>
                <w:b/>
                <w:sz w:val="24"/>
                <w:szCs w:val="24"/>
              </w:rPr>
              <w:t>Metastatic Renal Cell Carcinoma (RCC)</w:t>
            </w:r>
          </w:p>
        </w:tc>
      </w:tr>
      <w:tr w:rsidR="00C3036D" w:rsidRPr="00FA3F9C" w14:paraId="3822D9D9" w14:textId="77777777" w:rsidTr="008C472A">
        <w:trPr>
          <w:trHeight w:val="332"/>
        </w:trPr>
        <w:tc>
          <w:tcPr>
            <w:tcW w:w="10609" w:type="dxa"/>
            <w:tcBorders>
              <w:bottom w:val="single" w:sz="4" w:space="0" w:color="auto"/>
            </w:tcBorders>
          </w:tcPr>
          <w:p w14:paraId="571E1545" w14:textId="77777777" w:rsidR="00C3036D" w:rsidRPr="00FA3F9C" w:rsidRDefault="00C3036D" w:rsidP="009C06EC">
            <w:pPr>
              <w:rPr>
                <w:rFonts w:ascii="Arial" w:hAnsi="Arial" w:cs="Arial"/>
                <w:sz w:val="24"/>
                <w:szCs w:val="24"/>
              </w:rPr>
            </w:pPr>
            <w:r w:rsidRPr="00FA3F9C">
              <w:rPr>
                <w:rFonts w:ascii="Arial" w:hAnsi="Arial" w:cs="Arial"/>
                <w:sz w:val="24"/>
                <w:szCs w:val="24"/>
              </w:rPr>
              <w:t>1. The patient been diagnosed with advanced or metastatic renal cell carcinoma</w:t>
            </w:r>
          </w:p>
        </w:tc>
      </w:tr>
      <w:tr w:rsidR="00C3036D" w:rsidRPr="00FA3F9C" w14:paraId="6B637C70" w14:textId="77777777" w:rsidTr="00820AA3">
        <w:trPr>
          <w:trHeight w:val="332"/>
        </w:trPr>
        <w:tc>
          <w:tcPr>
            <w:tcW w:w="10609" w:type="dxa"/>
            <w:tcBorders>
              <w:bottom w:val="single" w:sz="4" w:space="0" w:color="auto"/>
            </w:tcBorders>
            <w:shd w:val="clear" w:color="auto" w:fill="auto"/>
          </w:tcPr>
          <w:p w14:paraId="2C0C353F" w14:textId="77777777" w:rsidR="00C3036D" w:rsidRPr="00FA3F9C" w:rsidRDefault="00C3036D" w:rsidP="00EA1B80">
            <w:pPr>
              <w:rPr>
                <w:rFonts w:ascii="Arial" w:hAnsi="Arial" w:cs="Arial"/>
                <w:b/>
                <w:sz w:val="24"/>
                <w:szCs w:val="24"/>
              </w:rPr>
            </w:pPr>
            <w:r w:rsidRPr="00FA3F9C">
              <w:rPr>
                <w:rFonts w:ascii="Arial" w:hAnsi="Arial" w:cs="Arial"/>
                <w:b/>
                <w:sz w:val="24"/>
                <w:szCs w:val="24"/>
              </w:rPr>
              <w:t>If above criterion is met, approve x 1 year</w:t>
            </w:r>
          </w:p>
        </w:tc>
      </w:tr>
      <w:tr w:rsidR="00C3036D" w:rsidRPr="00FA3F9C" w14:paraId="52703C82" w14:textId="77777777" w:rsidTr="008C472A">
        <w:tc>
          <w:tcPr>
            <w:tcW w:w="10609" w:type="dxa"/>
            <w:tcBorders>
              <w:bottom w:val="single" w:sz="4" w:space="0" w:color="auto"/>
            </w:tcBorders>
            <w:shd w:val="clear" w:color="auto" w:fill="BFBFBF"/>
          </w:tcPr>
          <w:p w14:paraId="62A9CA9F" w14:textId="77777777" w:rsidR="00C3036D" w:rsidRPr="00FA3F9C" w:rsidRDefault="00C3036D" w:rsidP="00EA1B80">
            <w:pPr>
              <w:rPr>
                <w:rFonts w:ascii="Arial" w:hAnsi="Arial" w:cs="Arial"/>
                <w:b/>
                <w:sz w:val="24"/>
                <w:szCs w:val="24"/>
              </w:rPr>
            </w:pPr>
            <w:r w:rsidRPr="00FA3F9C">
              <w:rPr>
                <w:rFonts w:ascii="Arial" w:hAnsi="Arial" w:cs="Arial"/>
                <w:b/>
                <w:sz w:val="24"/>
                <w:szCs w:val="24"/>
              </w:rPr>
              <w:t>Evidence:</w:t>
            </w:r>
          </w:p>
          <w:p w14:paraId="26CF325F" w14:textId="77777777" w:rsidR="00C3036D" w:rsidRPr="00FA3F9C" w:rsidRDefault="00C3036D" w:rsidP="00FD0588">
            <w:pPr>
              <w:rPr>
                <w:rFonts w:ascii="Arial" w:hAnsi="Arial" w:cs="Arial"/>
                <w:sz w:val="24"/>
                <w:szCs w:val="24"/>
              </w:rPr>
            </w:pPr>
            <w:r w:rsidRPr="00FA3F9C">
              <w:rPr>
                <w:rFonts w:ascii="Arial" w:hAnsi="Arial" w:cs="Arial"/>
                <w:sz w:val="24"/>
                <w:szCs w:val="24"/>
              </w:rPr>
              <w:t xml:space="preserve">-In patients with metastatic RCC, sunitinib improved progression free survival compared to interferon alfa (11 </w:t>
            </w:r>
            <w:proofErr w:type="spellStart"/>
            <w:r w:rsidRPr="00FA3F9C">
              <w:rPr>
                <w:rFonts w:ascii="Arial" w:hAnsi="Arial" w:cs="Arial"/>
                <w:sz w:val="24"/>
                <w:szCs w:val="24"/>
              </w:rPr>
              <w:t>mo</w:t>
            </w:r>
            <w:proofErr w:type="spellEnd"/>
            <w:r w:rsidRPr="00FA3F9C">
              <w:rPr>
                <w:rFonts w:ascii="Arial" w:hAnsi="Arial" w:cs="Arial"/>
                <w:sz w:val="24"/>
                <w:szCs w:val="24"/>
              </w:rPr>
              <w:t xml:space="preserve"> vs 5 </w:t>
            </w:r>
            <w:proofErr w:type="spellStart"/>
            <w:r w:rsidRPr="00FA3F9C">
              <w:rPr>
                <w:rFonts w:ascii="Arial" w:hAnsi="Arial" w:cs="Arial"/>
                <w:sz w:val="24"/>
                <w:szCs w:val="24"/>
              </w:rPr>
              <w:t>mo</w:t>
            </w:r>
            <w:proofErr w:type="spellEnd"/>
            <w:r w:rsidRPr="00FA3F9C">
              <w:rPr>
                <w:rFonts w:ascii="Arial" w:hAnsi="Arial" w:cs="Arial"/>
                <w:sz w:val="24"/>
                <w:szCs w:val="24"/>
              </w:rPr>
              <w:t>; P&lt;0.001). Overall survival trended toward significance compared to interferon (medians not reached; HR 0.65; 95% CI, 0.45 to 0.94; p=0.02</w:t>
            </w:r>
            <w:r w:rsidRPr="00FA3F9C">
              <w:rPr>
                <w:rFonts w:ascii="Arial" w:hAnsi="Arial" w:cs="Arial"/>
                <w:sz w:val="24"/>
                <w:szCs w:val="24"/>
              </w:rPr>
              <w:sym w:font="Wingdings" w:char="F0E0"/>
            </w:r>
            <w:r w:rsidRPr="00FA3F9C">
              <w:rPr>
                <w:rFonts w:ascii="Arial" w:hAnsi="Arial" w:cs="Arial"/>
                <w:sz w:val="24"/>
                <w:szCs w:val="24"/>
              </w:rPr>
              <w:t>did not meet prespecified level of significance)</w:t>
            </w:r>
            <w:r w:rsidRPr="00FA3F9C">
              <w:rPr>
                <w:rFonts w:ascii="Arial" w:hAnsi="Arial" w:cs="Arial"/>
                <w:sz w:val="24"/>
                <w:szCs w:val="24"/>
                <w:vertAlign w:val="superscript"/>
              </w:rPr>
              <w:t>1</w:t>
            </w:r>
            <w:r w:rsidRPr="00FA3F9C">
              <w:rPr>
                <w:rFonts w:ascii="Arial" w:hAnsi="Arial" w:cs="Arial"/>
                <w:sz w:val="24"/>
                <w:szCs w:val="24"/>
              </w:rPr>
              <w:t xml:space="preserve">. An exploratory analysis that excluded interferon patients who crossed over to sunitinib after progression found a median OS of 26 </w:t>
            </w:r>
            <w:proofErr w:type="spellStart"/>
            <w:r w:rsidRPr="00FA3F9C">
              <w:rPr>
                <w:rFonts w:ascii="Arial" w:hAnsi="Arial" w:cs="Arial"/>
                <w:sz w:val="24"/>
                <w:szCs w:val="24"/>
              </w:rPr>
              <w:t>mo</w:t>
            </w:r>
            <w:proofErr w:type="spellEnd"/>
            <w:r w:rsidRPr="00FA3F9C">
              <w:rPr>
                <w:rFonts w:ascii="Arial" w:hAnsi="Arial" w:cs="Arial"/>
                <w:sz w:val="24"/>
                <w:szCs w:val="24"/>
              </w:rPr>
              <w:t xml:space="preserve"> (sunitinib) vs 20 </w:t>
            </w:r>
            <w:proofErr w:type="spellStart"/>
            <w:r w:rsidRPr="00FA3F9C">
              <w:rPr>
                <w:rFonts w:ascii="Arial" w:hAnsi="Arial" w:cs="Arial"/>
                <w:sz w:val="24"/>
                <w:szCs w:val="24"/>
              </w:rPr>
              <w:t>mo</w:t>
            </w:r>
            <w:proofErr w:type="spellEnd"/>
            <w:r w:rsidRPr="00FA3F9C">
              <w:rPr>
                <w:rFonts w:ascii="Arial" w:hAnsi="Arial" w:cs="Arial"/>
                <w:sz w:val="24"/>
                <w:szCs w:val="24"/>
              </w:rPr>
              <w:t xml:space="preserve"> (IFN) HR 0.808; 95% CI, 0.661 to 0.987)</w:t>
            </w:r>
            <w:r w:rsidRPr="00FA3F9C">
              <w:rPr>
                <w:rFonts w:ascii="Arial" w:hAnsi="Arial" w:cs="Arial"/>
                <w:sz w:val="24"/>
                <w:szCs w:val="24"/>
                <w:vertAlign w:val="superscript"/>
              </w:rPr>
              <w:t>2</w:t>
            </w:r>
            <w:r w:rsidRPr="00FA3F9C">
              <w:rPr>
                <w:rFonts w:ascii="Arial" w:hAnsi="Arial" w:cs="Arial"/>
                <w:sz w:val="24"/>
                <w:szCs w:val="24"/>
              </w:rPr>
              <w:t>. Quality of life scores were clinically and statistically better in sunitinib group</w:t>
            </w:r>
            <w:r w:rsidRPr="00FA3F9C">
              <w:rPr>
                <w:rFonts w:ascii="Arial" w:hAnsi="Arial" w:cs="Arial"/>
                <w:sz w:val="24"/>
                <w:szCs w:val="24"/>
                <w:vertAlign w:val="superscript"/>
              </w:rPr>
              <w:t>1</w:t>
            </w:r>
            <w:r w:rsidRPr="00FA3F9C">
              <w:rPr>
                <w:rFonts w:ascii="Arial" w:hAnsi="Arial" w:cs="Arial"/>
                <w:sz w:val="24"/>
                <w:szCs w:val="24"/>
              </w:rPr>
              <w:t>.</w:t>
            </w:r>
          </w:p>
          <w:p w14:paraId="75CC1C9B" w14:textId="77777777" w:rsidR="00C3036D" w:rsidRPr="00FA3F9C" w:rsidRDefault="00C3036D" w:rsidP="00076432">
            <w:r w:rsidRPr="00FA3F9C">
              <w:t>REFERENCES:</w:t>
            </w:r>
          </w:p>
          <w:p w14:paraId="32726C0F" w14:textId="77777777" w:rsidR="00C3036D" w:rsidRPr="00FA3F9C" w:rsidRDefault="00500371" w:rsidP="00076432">
            <w:pPr>
              <w:rPr>
                <w:b/>
              </w:rPr>
            </w:pPr>
            <w:hyperlink r:id="rId389" w:history="1">
              <w:proofErr w:type="spellStart"/>
              <w:r w:rsidR="00C3036D" w:rsidRPr="00FA3F9C">
                <w:rPr>
                  <w:rStyle w:val="Hyperlink"/>
                  <w:rFonts w:ascii="Arial" w:hAnsi="Arial" w:cs="Arial"/>
                  <w:sz w:val="24"/>
                  <w:szCs w:val="24"/>
                </w:rPr>
                <w:t>Motzer</w:t>
              </w:r>
              <w:proofErr w:type="spellEnd"/>
              <w:r w:rsidR="00C3036D" w:rsidRPr="00FA3F9C">
                <w:rPr>
                  <w:rStyle w:val="Hyperlink"/>
                  <w:rFonts w:ascii="Arial" w:hAnsi="Arial" w:cs="Arial"/>
                  <w:sz w:val="24"/>
                  <w:szCs w:val="24"/>
                </w:rPr>
                <w:t xml:space="preserve"> RJ</w:t>
              </w:r>
            </w:hyperlink>
            <w:r w:rsidR="00C3036D" w:rsidRPr="00FA3F9C">
              <w:t xml:space="preserve"> et al. Sunitinib versus interferon alfa in metastatic renal-cell carcinoma. </w:t>
            </w:r>
            <w:hyperlink r:id="rId390" w:tooltip="The New England journal of medicine." w:history="1">
              <w:r w:rsidR="00C3036D" w:rsidRPr="00FA3F9C">
                <w:rPr>
                  <w:rStyle w:val="Hyperlink"/>
                  <w:rFonts w:ascii="Arial" w:hAnsi="Arial" w:cs="Arial"/>
                  <w:sz w:val="24"/>
                  <w:szCs w:val="24"/>
                </w:rPr>
                <w:t xml:space="preserve">N </w:t>
              </w:r>
              <w:proofErr w:type="spellStart"/>
              <w:r w:rsidR="00C3036D" w:rsidRPr="00FA3F9C">
                <w:rPr>
                  <w:rStyle w:val="Hyperlink"/>
                  <w:rFonts w:ascii="Arial" w:hAnsi="Arial" w:cs="Arial"/>
                  <w:sz w:val="24"/>
                  <w:szCs w:val="24"/>
                </w:rPr>
                <w:t>Engl</w:t>
              </w:r>
              <w:proofErr w:type="spellEnd"/>
              <w:r w:rsidR="00C3036D" w:rsidRPr="00FA3F9C">
                <w:rPr>
                  <w:rStyle w:val="Hyperlink"/>
                  <w:rFonts w:ascii="Arial" w:hAnsi="Arial" w:cs="Arial"/>
                  <w:sz w:val="24"/>
                  <w:szCs w:val="24"/>
                </w:rPr>
                <w:t xml:space="preserve"> J Med.</w:t>
              </w:r>
            </w:hyperlink>
            <w:r w:rsidR="00C3036D" w:rsidRPr="00FA3F9C">
              <w:t xml:space="preserve"> 2007 Jan 11;356(2):115-24. [NCT00083889, PMID 17215529</w:t>
            </w:r>
          </w:p>
          <w:p w14:paraId="6AA837C4" w14:textId="77777777" w:rsidR="00C3036D" w:rsidRPr="00FA3F9C" w:rsidRDefault="00500371" w:rsidP="00076432">
            <w:hyperlink r:id="rId391" w:history="1">
              <w:proofErr w:type="spellStart"/>
              <w:r w:rsidR="00C3036D" w:rsidRPr="00FA3F9C">
                <w:rPr>
                  <w:rStyle w:val="Hyperlink"/>
                  <w:rFonts w:ascii="Arial" w:hAnsi="Arial" w:cs="Arial"/>
                  <w:sz w:val="24"/>
                  <w:szCs w:val="24"/>
                </w:rPr>
                <w:t>Motzer</w:t>
              </w:r>
              <w:proofErr w:type="spellEnd"/>
              <w:r w:rsidR="00C3036D" w:rsidRPr="00FA3F9C">
                <w:rPr>
                  <w:rStyle w:val="Hyperlink"/>
                  <w:rFonts w:ascii="Arial" w:hAnsi="Arial" w:cs="Arial"/>
                  <w:sz w:val="24"/>
                  <w:szCs w:val="24"/>
                </w:rPr>
                <w:t xml:space="preserve"> RJ</w:t>
              </w:r>
            </w:hyperlink>
            <w:hyperlink r:id="rId392" w:tooltip="Journal of clinical oncology : official journal of the American Society of Clinical Oncology." w:history="1">
              <w:r w:rsidR="00C3036D" w:rsidRPr="00FA3F9C">
                <w:rPr>
                  <w:rStyle w:val="Hyperlink"/>
                  <w:rFonts w:ascii="Arial" w:hAnsi="Arial" w:cs="Arial"/>
                  <w:sz w:val="24"/>
                  <w:szCs w:val="24"/>
                </w:rPr>
                <w:t xml:space="preserve">J et al. </w:t>
              </w:r>
              <w:r w:rsidR="00C3036D" w:rsidRPr="00FA3F9C">
                <w:t xml:space="preserve">Overall survival and updated results for sunitinib compared with interferon alfa in patients with metastatic renal cell carcinoma. </w:t>
              </w:r>
              <w:r w:rsidR="00C3036D" w:rsidRPr="00FA3F9C">
                <w:rPr>
                  <w:rStyle w:val="Hyperlink"/>
                  <w:rFonts w:ascii="Arial" w:hAnsi="Arial" w:cs="Arial"/>
                  <w:sz w:val="24"/>
                  <w:szCs w:val="24"/>
                </w:rPr>
                <w:t>Clin Oncol.</w:t>
              </w:r>
            </w:hyperlink>
            <w:r w:rsidR="00C3036D" w:rsidRPr="00FA3F9C">
              <w:t xml:space="preserve"> 2009 Aug 1;27(22):3584-90. PMID 19487381</w:t>
            </w:r>
          </w:p>
        </w:tc>
      </w:tr>
    </w:tbl>
    <w:p w14:paraId="36CE2D0E" w14:textId="77777777" w:rsidR="00C3036D" w:rsidRPr="00FA3F9C" w:rsidRDefault="00C3036D" w:rsidP="00A632D6">
      <w:pPr>
        <w:rPr>
          <w:rFonts w:ascii="Arial" w:hAnsi="Arial" w:cs="Arial"/>
          <w:sz w:val="24"/>
          <w:szCs w:val="24"/>
        </w:rPr>
      </w:pPr>
    </w:p>
    <w:tbl>
      <w:tblPr>
        <w:tblW w:w="10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17"/>
      </w:tblGrid>
      <w:tr w:rsidR="00C3036D" w:rsidRPr="00FA3F9C" w14:paraId="78C73EB9" w14:textId="77777777" w:rsidTr="008C472A">
        <w:trPr>
          <w:trHeight w:val="332"/>
        </w:trPr>
        <w:tc>
          <w:tcPr>
            <w:tcW w:w="10609" w:type="dxa"/>
            <w:tcBorders>
              <w:bottom w:val="single" w:sz="4" w:space="0" w:color="auto"/>
            </w:tcBorders>
            <w:shd w:val="clear" w:color="auto" w:fill="000000"/>
          </w:tcPr>
          <w:p w14:paraId="1EA34628" w14:textId="77777777" w:rsidR="00C3036D" w:rsidRPr="00FA3F9C" w:rsidRDefault="00C3036D" w:rsidP="00D74D72">
            <w:pPr>
              <w:rPr>
                <w:rFonts w:ascii="Arial" w:hAnsi="Arial" w:cs="Arial"/>
                <w:sz w:val="24"/>
                <w:szCs w:val="24"/>
              </w:rPr>
            </w:pPr>
            <w:r w:rsidRPr="00FA3F9C">
              <w:rPr>
                <w:rFonts w:ascii="Arial" w:hAnsi="Arial" w:cs="Arial"/>
                <w:b/>
                <w:sz w:val="24"/>
                <w:szCs w:val="24"/>
              </w:rPr>
              <w:t>Pancreatic Neuroendocrine Tumor of the Pancreas (PNET)</w:t>
            </w:r>
          </w:p>
        </w:tc>
      </w:tr>
      <w:tr w:rsidR="00C3036D" w:rsidRPr="00FA3F9C" w14:paraId="3511BF9E" w14:textId="77777777" w:rsidTr="00EA1B80">
        <w:trPr>
          <w:trHeight w:val="314"/>
        </w:trPr>
        <w:tc>
          <w:tcPr>
            <w:tcW w:w="10609" w:type="dxa"/>
            <w:tcBorders>
              <w:bottom w:val="single" w:sz="4" w:space="0" w:color="auto"/>
            </w:tcBorders>
            <w:shd w:val="clear" w:color="auto" w:fill="auto"/>
          </w:tcPr>
          <w:p w14:paraId="0EBE4961" w14:textId="77777777" w:rsidR="00C3036D" w:rsidRPr="00FA3F9C" w:rsidRDefault="00C3036D" w:rsidP="009A11F2">
            <w:pPr>
              <w:rPr>
                <w:rFonts w:ascii="Arial" w:hAnsi="Arial" w:cs="Arial"/>
                <w:sz w:val="24"/>
                <w:szCs w:val="24"/>
              </w:rPr>
            </w:pPr>
            <w:r w:rsidRPr="00FA3F9C">
              <w:rPr>
                <w:rFonts w:ascii="Arial" w:hAnsi="Arial" w:cs="Arial"/>
                <w:sz w:val="24"/>
                <w:szCs w:val="24"/>
              </w:rPr>
              <w:lastRenderedPageBreak/>
              <w:t>1. The patient has been diagnosed with unresectable or metastatic pancreatic neuroendocrine tumor</w:t>
            </w:r>
          </w:p>
        </w:tc>
      </w:tr>
      <w:tr w:rsidR="00C3036D" w:rsidRPr="00FA3F9C" w14:paraId="279F2B9F" w14:textId="77777777" w:rsidTr="00820AA3">
        <w:trPr>
          <w:trHeight w:val="332"/>
        </w:trPr>
        <w:tc>
          <w:tcPr>
            <w:tcW w:w="10609" w:type="dxa"/>
            <w:tcBorders>
              <w:bottom w:val="single" w:sz="4" w:space="0" w:color="auto"/>
            </w:tcBorders>
            <w:shd w:val="clear" w:color="auto" w:fill="auto"/>
          </w:tcPr>
          <w:p w14:paraId="04F0DEC7" w14:textId="77777777" w:rsidR="00C3036D" w:rsidRPr="00FA3F9C" w:rsidRDefault="00C3036D" w:rsidP="009A11F2">
            <w:pPr>
              <w:rPr>
                <w:rFonts w:ascii="Arial" w:hAnsi="Arial" w:cs="Arial"/>
                <w:sz w:val="24"/>
                <w:szCs w:val="24"/>
              </w:rPr>
            </w:pPr>
            <w:r w:rsidRPr="00FA3F9C">
              <w:rPr>
                <w:rFonts w:ascii="Arial" w:hAnsi="Arial" w:cs="Arial"/>
                <w:sz w:val="24"/>
                <w:szCs w:val="24"/>
              </w:rPr>
              <w:t>2. The patient has progression of disease</w:t>
            </w:r>
          </w:p>
        </w:tc>
      </w:tr>
      <w:tr w:rsidR="00C3036D" w:rsidRPr="00FA3F9C" w14:paraId="198C87C5" w14:textId="77777777" w:rsidTr="00820AA3">
        <w:trPr>
          <w:trHeight w:val="332"/>
        </w:trPr>
        <w:tc>
          <w:tcPr>
            <w:tcW w:w="10609" w:type="dxa"/>
            <w:tcBorders>
              <w:bottom w:val="single" w:sz="4" w:space="0" w:color="auto"/>
            </w:tcBorders>
            <w:shd w:val="clear" w:color="auto" w:fill="auto"/>
          </w:tcPr>
          <w:p w14:paraId="20593680" w14:textId="77777777" w:rsidR="00C3036D" w:rsidRPr="00FA3F9C" w:rsidRDefault="00C3036D" w:rsidP="00820AA3">
            <w:pPr>
              <w:rPr>
                <w:rFonts w:ascii="Arial" w:hAnsi="Arial" w:cs="Arial"/>
                <w:sz w:val="24"/>
                <w:szCs w:val="24"/>
              </w:rPr>
            </w:pPr>
            <w:r w:rsidRPr="00FA3F9C">
              <w:rPr>
                <w:rFonts w:ascii="Arial" w:hAnsi="Arial" w:cs="Arial"/>
                <w:sz w:val="24"/>
                <w:szCs w:val="24"/>
              </w:rPr>
              <w:t>3. The patient does NOT have a poorly differentiated tumor</w:t>
            </w:r>
          </w:p>
        </w:tc>
      </w:tr>
      <w:tr w:rsidR="00C3036D" w:rsidRPr="00FA3F9C" w14:paraId="49C19ECB" w14:textId="77777777" w:rsidTr="00820AA3">
        <w:trPr>
          <w:trHeight w:val="332"/>
        </w:trPr>
        <w:tc>
          <w:tcPr>
            <w:tcW w:w="10609" w:type="dxa"/>
            <w:tcBorders>
              <w:bottom w:val="single" w:sz="4" w:space="0" w:color="auto"/>
            </w:tcBorders>
            <w:shd w:val="clear" w:color="auto" w:fill="auto"/>
          </w:tcPr>
          <w:p w14:paraId="3F415E0B" w14:textId="77777777" w:rsidR="00C3036D" w:rsidRPr="00FA3F9C" w:rsidRDefault="00C3036D" w:rsidP="0008616D">
            <w:pPr>
              <w:rPr>
                <w:rFonts w:ascii="Arial" w:hAnsi="Arial" w:cs="Arial"/>
                <w:b/>
                <w:sz w:val="24"/>
                <w:szCs w:val="24"/>
              </w:rPr>
            </w:pPr>
            <w:r w:rsidRPr="00FA3F9C">
              <w:rPr>
                <w:rFonts w:ascii="Arial" w:hAnsi="Arial" w:cs="Arial"/>
                <w:b/>
                <w:sz w:val="24"/>
                <w:szCs w:val="24"/>
              </w:rPr>
              <w:t>If above criteria met, approve x 1 year</w:t>
            </w:r>
          </w:p>
        </w:tc>
      </w:tr>
      <w:tr w:rsidR="00C3036D" w:rsidRPr="00500371" w14:paraId="4A3E5330" w14:textId="77777777" w:rsidTr="008C472A">
        <w:tc>
          <w:tcPr>
            <w:tcW w:w="10609" w:type="dxa"/>
            <w:tcBorders>
              <w:bottom w:val="single" w:sz="4" w:space="0" w:color="auto"/>
            </w:tcBorders>
            <w:shd w:val="clear" w:color="auto" w:fill="BFBFBF"/>
          </w:tcPr>
          <w:p w14:paraId="23F5A093" w14:textId="77777777" w:rsidR="00C3036D" w:rsidRPr="00FA3F9C" w:rsidRDefault="00C3036D" w:rsidP="008C472A">
            <w:pPr>
              <w:rPr>
                <w:rFonts w:ascii="Arial" w:hAnsi="Arial" w:cs="Arial"/>
                <w:b/>
                <w:sz w:val="24"/>
                <w:szCs w:val="24"/>
              </w:rPr>
            </w:pPr>
            <w:r w:rsidRPr="00FA3F9C">
              <w:rPr>
                <w:rFonts w:ascii="Arial" w:hAnsi="Arial" w:cs="Arial"/>
                <w:b/>
                <w:sz w:val="24"/>
                <w:szCs w:val="24"/>
              </w:rPr>
              <w:t>Evidence:</w:t>
            </w:r>
          </w:p>
          <w:p w14:paraId="211DDE2D" w14:textId="77777777" w:rsidR="00C3036D" w:rsidRPr="00FA3F9C" w:rsidRDefault="00C3036D" w:rsidP="00D51C3C">
            <w:pPr>
              <w:rPr>
                <w:rFonts w:ascii="Arial" w:hAnsi="Arial" w:cs="Arial"/>
                <w:sz w:val="24"/>
                <w:szCs w:val="24"/>
              </w:rPr>
            </w:pPr>
            <w:r w:rsidRPr="00FA3F9C">
              <w:rPr>
                <w:rFonts w:ascii="Arial" w:hAnsi="Arial" w:cs="Arial"/>
                <w:sz w:val="24"/>
                <w:szCs w:val="24"/>
              </w:rPr>
              <w:t xml:space="preserve">Sunitinib was compared to placebo in patients with advanced/metastatic/unresectable well-differentiated pancreatic neuroendocrine tumors (PNETs) with progression of disease. Patients could have had prior therapy, but it was not required (observation is appropriate for some patients due to indolent nature of disease). PFS was statistically better with sunitinib vs placebo (11 </w:t>
            </w:r>
            <w:proofErr w:type="spellStart"/>
            <w:r w:rsidRPr="00FA3F9C">
              <w:rPr>
                <w:rFonts w:ascii="Arial" w:hAnsi="Arial" w:cs="Arial"/>
                <w:sz w:val="24"/>
                <w:szCs w:val="24"/>
              </w:rPr>
              <w:t>mo</w:t>
            </w:r>
            <w:proofErr w:type="spellEnd"/>
            <w:r w:rsidRPr="00FA3F9C">
              <w:rPr>
                <w:rFonts w:ascii="Arial" w:hAnsi="Arial" w:cs="Arial"/>
                <w:sz w:val="24"/>
                <w:szCs w:val="24"/>
              </w:rPr>
              <w:t xml:space="preserve"> vs 5 </w:t>
            </w:r>
            <w:proofErr w:type="spellStart"/>
            <w:r w:rsidRPr="00FA3F9C">
              <w:rPr>
                <w:rFonts w:ascii="Arial" w:hAnsi="Arial" w:cs="Arial"/>
                <w:sz w:val="24"/>
                <w:szCs w:val="24"/>
              </w:rPr>
              <w:t>mo</w:t>
            </w:r>
            <w:proofErr w:type="spellEnd"/>
            <w:r w:rsidRPr="00FA3F9C">
              <w:rPr>
                <w:rFonts w:ascii="Arial" w:hAnsi="Arial" w:cs="Arial"/>
                <w:sz w:val="24"/>
                <w:szCs w:val="24"/>
              </w:rPr>
              <w:t>)</w:t>
            </w:r>
            <w:r w:rsidRPr="00FA3F9C">
              <w:rPr>
                <w:rFonts w:ascii="Arial" w:hAnsi="Arial" w:cs="Arial"/>
                <w:sz w:val="24"/>
                <w:szCs w:val="24"/>
                <w:vertAlign w:val="superscript"/>
              </w:rPr>
              <w:t>1</w:t>
            </w:r>
            <w:r w:rsidRPr="00FA3F9C">
              <w:rPr>
                <w:rFonts w:ascii="Arial" w:hAnsi="Arial" w:cs="Arial"/>
                <w:sz w:val="24"/>
                <w:szCs w:val="24"/>
              </w:rPr>
              <w:t xml:space="preserve">. OS trended toward significance but may have been confounded by crossover which was allowed (70% of placebo patients crossed over to sunitinib).  An analysis that censored </w:t>
            </w:r>
            <w:proofErr w:type="spellStart"/>
            <w:r w:rsidRPr="00FA3F9C">
              <w:rPr>
                <w:rFonts w:ascii="Arial" w:hAnsi="Arial" w:cs="Arial"/>
                <w:sz w:val="24"/>
                <w:szCs w:val="24"/>
              </w:rPr>
              <w:t>pt</w:t>
            </w:r>
            <w:proofErr w:type="spellEnd"/>
            <w:r w:rsidRPr="00FA3F9C">
              <w:rPr>
                <w:rFonts w:ascii="Arial" w:hAnsi="Arial" w:cs="Arial"/>
                <w:sz w:val="24"/>
                <w:szCs w:val="24"/>
              </w:rPr>
              <w:t xml:space="preserve"> who crossed over found a statistically improved OS with sunitinib (median OS 38.6 </w:t>
            </w:r>
            <w:proofErr w:type="spellStart"/>
            <w:r w:rsidRPr="00FA3F9C">
              <w:rPr>
                <w:rFonts w:ascii="Arial" w:hAnsi="Arial" w:cs="Arial"/>
                <w:sz w:val="24"/>
                <w:szCs w:val="24"/>
              </w:rPr>
              <w:t>mo</w:t>
            </w:r>
            <w:proofErr w:type="spellEnd"/>
            <w:r w:rsidRPr="00FA3F9C">
              <w:rPr>
                <w:rFonts w:ascii="Arial" w:hAnsi="Arial" w:cs="Arial"/>
                <w:sz w:val="24"/>
                <w:szCs w:val="24"/>
              </w:rPr>
              <w:t xml:space="preserve"> vs 13 </w:t>
            </w:r>
            <w:proofErr w:type="spellStart"/>
            <w:r w:rsidRPr="00FA3F9C">
              <w:rPr>
                <w:rFonts w:ascii="Arial" w:hAnsi="Arial" w:cs="Arial"/>
                <w:sz w:val="24"/>
                <w:szCs w:val="24"/>
              </w:rPr>
              <w:t>mo</w:t>
            </w:r>
            <w:proofErr w:type="spellEnd"/>
            <w:r w:rsidRPr="00FA3F9C">
              <w:rPr>
                <w:rFonts w:ascii="Arial" w:hAnsi="Arial" w:cs="Arial"/>
                <w:sz w:val="24"/>
                <w:szCs w:val="24"/>
              </w:rPr>
              <w:t>)</w:t>
            </w:r>
            <w:r w:rsidRPr="00FA3F9C">
              <w:rPr>
                <w:rFonts w:ascii="Arial" w:hAnsi="Arial" w:cs="Arial"/>
                <w:sz w:val="24"/>
                <w:szCs w:val="24"/>
                <w:vertAlign w:val="superscript"/>
              </w:rPr>
              <w:t>2</w:t>
            </w:r>
            <w:r w:rsidRPr="00FA3F9C">
              <w:rPr>
                <w:rFonts w:ascii="Arial" w:hAnsi="Arial" w:cs="Arial"/>
                <w:sz w:val="24"/>
                <w:szCs w:val="24"/>
              </w:rPr>
              <w:t>. Study was stopped early due to PFS difference and more “serious” adverse events occurring in the placebo group (data published in supplementary material</w:t>
            </w:r>
            <w:r w:rsidRPr="00FA3F9C">
              <w:rPr>
                <w:rFonts w:ascii="Arial" w:hAnsi="Arial" w:cs="Arial"/>
                <w:sz w:val="24"/>
                <w:szCs w:val="24"/>
                <w:vertAlign w:val="superscript"/>
              </w:rPr>
              <w:t>3</w:t>
            </w:r>
            <w:r w:rsidRPr="00FA3F9C">
              <w:rPr>
                <w:rFonts w:ascii="Arial" w:hAnsi="Arial" w:cs="Arial"/>
                <w:sz w:val="24"/>
                <w:szCs w:val="24"/>
              </w:rPr>
              <w:t xml:space="preserve">). </w:t>
            </w:r>
          </w:p>
          <w:p w14:paraId="11E135B9" w14:textId="77777777" w:rsidR="00C3036D" w:rsidRPr="00FA3F9C" w:rsidRDefault="00C3036D" w:rsidP="00076432">
            <w:r w:rsidRPr="00FA3F9C">
              <w:t>REFERENCES:</w:t>
            </w:r>
          </w:p>
          <w:p w14:paraId="07D6B7BA" w14:textId="77777777" w:rsidR="00C3036D" w:rsidRPr="00FA3F9C" w:rsidRDefault="00500371" w:rsidP="00076432">
            <w:pPr>
              <w:rPr>
                <w:b/>
              </w:rPr>
            </w:pPr>
            <w:hyperlink r:id="rId393" w:history="1">
              <w:r w:rsidR="00C3036D" w:rsidRPr="00FA3F9C">
                <w:rPr>
                  <w:rStyle w:val="Hyperlink"/>
                  <w:rFonts w:ascii="Arial" w:hAnsi="Arial" w:cs="Arial"/>
                  <w:sz w:val="24"/>
                  <w:szCs w:val="24"/>
                </w:rPr>
                <w:t>Raymond E</w:t>
              </w:r>
            </w:hyperlink>
            <w:r w:rsidR="00C3036D" w:rsidRPr="00FA3F9C">
              <w:t xml:space="preserve"> et al. Sunitinib malate for the treatment of pancreatic neuroendocrine tumors. </w:t>
            </w:r>
            <w:hyperlink r:id="rId394" w:tooltip="The New England journal of medicine." w:history="1">
              <w:r w:rsidR="00C3036D" w:rsidRPr="00FA3F9C">
                <w:rPr>
                  <w:rStyle w:val="Hyperlink"/>
                  <w:rFonts w:ascii="Arial" w:hAnsi="Arial" w:cs="Arial"/>
                  <w:sz w:val="24"/>
                  <w:szCs w:val="24"/>
                </w:rPr>
                <w:t xml:space="preserve">N </w:t>
              </w:r>
              <w:proofErr w:type="spellStart"/>
              <w:r w:rsidR="00C3036D" w:rsidRPr="00FA3F9C">
                <w:rPr>
                  <w:rStyle w:val="Hyperlink"/>
                  <w:rFonts w:ascii="Arial" w:hAnsi="Arial" w:cs="Arial"/>
                  <w:sz w:val="24"/>
                  <w:szCs w:val="24"/>
                </w:rPr>
                <w:t>Engl</w:t>
              </w:r>
              <w:proofErr w:type="spellEnd"/>
              <w:r w:rsidR="00C3036D" w:rsidRPr="00FA3F9C">
                <w:rPr>
                  <w:rStyle w:val="Hyperlink"/>
                  <w:rFonts w:ascii="Arial" w:hAnsi="Arial" w:cs="Arial"/>
                  <w:sz w:val="24"/>
                  <w:szCs w:val="24"/>
                </w:rPr>
                <w:t xml:space="preserve"> J Med.</w:t>
              </w:r>
            </w:hyperlink>
            <w:r w:rsidR="00C3036D" w:rsidRPr="00FA3F9C">
              <w:t xml:space="preserve"> 2011 Feb 10;364(6):501-13. NCT00428597, PMID 21306237</w:t>
            </w:r>
          </w:p>
          <w:p w14:paraId="535312EA" w14:textId="77777777" w:rsidR="00C3036D" w:rsidRPr="005005CA" w:rsidRDefault="00500371" w:rsidP="00076432">
            <w:pPr>
              <w:rPr>
                <w:b/>
                <w:lang w:val="fr-FR"/>
              </w:rPr>
            </w:pPr>
            <w:hyperlink r:id="rId395" w:history="1">
              <w:proofErr w:type="spellStart"/>
              <w:r w:rsidR="00C3036D" w:rsidRPr="00FA3F9C">
                <w:rPr>
                  <w:rStyle w:val="Hyperlink"/>
                  <w:rFonts w:ascii="Arial" w:hAnsi="Arial" w:cs="Arial"/>
                  <w:sz w:val="24"/>
                  <w:szCs w:val="24"/>
                </w:rPr>
                <w:t>Faivre</w:t>
              </w:r>
              <w:proofErr w:type="spellEnd"/>
              <w:r w:rsidR="00C3036D" w:rsidRPr="00FA3F9C">
                <w:rPr>
                  <w:rStyle w:val="Hyperlink"/>
                  <w:rFonts w:ascii="Arial" w:hAnsi="Arial" w:cs="Arial"/>
                  <w:sz w:val="24"/>
                  <w:szCs w:val="24"/>
                </w:rPr>
                <w:t xml:space="preserve"> S</w:t>
              </w:r>
            </w:hyperlink>
            <w:r w:rsidR="00C3036D" w:rsidRPr="00FA3F9C">
              <w:t xml:space="preserve"> et al. Sunitinib in pancreatic neuroendocrine tumors: updated progression-free survival and final overall survival from a phase III randomized study. </w:t>
            </w:r>
            <w:hyperlink r:id="rId396" w:tooltip="Annals of oncology : official journal of the European Society for Medical Oncology." w:history="1">
              <w:r w:rsidR="00C3036D" w:rsidRPr="00FA3F9C">
                <w:rPr>
                  <w:rStyle w:val="Hyperlink"/>
                  <w:rFonts w:ascii="Arial" w:hAnsi="Arial" w:cs="Arial"/>
                  <w:sz w:val="24"/>
                  <w:szCs w:val="24"/>
                </w:rPr>
                <w:t>Ann Oncol.</w:t>
              </w:r>
            </w:hyperlink>
            <w:r w:rsidR="00C3036D" w:rsidRPr="00FA3F9C">
              <w:t xml:space="preserve"> </w:t>
            </w:r>
            <w:r w:rsidR="00C3036D" w:rsidRPr="005005CA">
              <w:rPr>
                <w:lang w:val="fr-FR"/>
              </w:rPr>
              <w:t xml:space="preserve">2017 </w:t>
            </w:r>
            <w:proofErr w:type="spellStart"/>
            <w:r w:rsidR="00C3036D" w:rsidRPr="005005CA">
              <w:rPr>
                <w:lang w:val="fr-FR"/>
              </w:rPr>
              <w:t>Feb</w:t>
            </w:r>
            <w:proofErr w:type="spellEnd"/>
            <w:r w:rsidR="00C3036D" w:rsidRPr="005005CA">
              <w:rPr>
                <w:lang w:val="fr-FR"/>
              </w:rPr>
              <w:t xml:space="preserve"> 1;28(2):339-343. PMID 27836885</w:t>
            </w:r>
          </w:p>
          <w:p w14:paraId="35098BA0" w14:textId="77777777" w:rsidR="00C3036D" w:rsidRPr="00FA3F9C" w:rsidRDefault="00C3036D" w:rsidP="00076432">
            <w:pPr>
              <w:rPr>
                <w:b/>
                <w:lang w:val="fr-FR"/>
              </w:rPr>
            </w:pPr>
            <w:r w:rsidRPr="00FA3F9C">
              <w:rPr>
                <w:lang w:val="fr-FR"/>
              </w:rPr>
              <w:t xml:space="preserve">Faivre et al </w:t>
            </w:r>
            <w:proofErr w:type="spellStart"/>
            <w:r w:rsidRPr="00FA3F9C">
              <w:rPr>
                <w:lang w:val="fr-FR"/>
              </w:rPr>
              <w:t>appendix</w:t>
            </w:r>
            <w:proofErr w:type="spellEnd"/>
            <w:r w:rsidRPr="00FA3F9C">
              <w:rPr>
                <w:lang w:val="fr-FR"/>
              </w:rPr>
              <w:t>/</w:t>
            </w:r>
            <w:proofErr w:type="spellStart"/>
            <w:proofErr w:type="gramStart"/>
            <w:r w:rsidRPr="00FA3F9C">
              <w:rPr>
                <w:lang w:val="fr-FR"/>
              </w:rPr>
              <w:t>supplement</w:t>
            </w:r>
            <w:proofErr w:type="spellEnd"/>
            <w:r w:rsidRPr="00FA3F9C">
              <w:rPr>
                <w:lang w:val="fr-FR"/>
              </w:rPr>
              <w:t>:</w:t>
            </w:r>
            <w:proofErr w:type="gramEnd"/>
            <w:r w:rsidRPr="00FA3F9C">
              <w:rPr>
                <w:lang w:val="fr-FR"/>
              </w:rPr>
              <w:t xml:space="preserve"> </w:t>
            </w:r>
            <w:hyperlink r:id="rId397" w:history="1">
              <w:r w:rsidRPr="00FA3F9C">
                <w:rPr>
                  <w:rStyle w:val="Hyperlink"/>
                  <w:rFonts w:ascii="Arial" w:hAnsi="Arial" w:cs="Arial"/>
                  <w:sz w:val="24"/>
                  <w:szCs w:val="24"/>
                  <w:lang w:val="fr-FR"/>
                </w:rPr>
                <w:t>https://www.nejm.org/doi/suppl/10.1056/NEJMoa1003825/suppl_file/nejmoa1003825_appendix.pdf</w:t>
              </w:r>
            </w:hyperlink>
            <w:r w:rsidRPr="00FA3F9C">
              <w:rPr>
                <w:lang w:val="fr-FR"/>
              </w:rPr>
              <w:t xml:space="preserve"> </w:t>
            </w:r>
            <w:proofErr w:type="spellStart"/>
            <w:r w:rsidRPr="00FA3F9C">
              <w:rPr>
                <w:lang w:val="fr-FR"/>
              </w:rPr>
              <w:t>Accessed</w:t>
            </w:r>
            <w:proofErr w:type="spellEnd"/>
            <w:r w:rsidRPr="00FA3F9C">
              <w:rPr>
                <w:lang w:val="fr-FR"/>
              </w:rPr>
              <w:t xml:space="preserve"> 2/15/19</w:t>
            </w:r>
          </w:p>
        </w:tc>
      </w:tr>
    </w:tbl>
    <w:p w14:paraId="540A3F03" w14:textId="77777777" w:rsidR="00C3036D" w:rsidRPr="00FA3F9C" w:rsidRDefault="00C3036D" w:rsidP="00A632D6">
      <w:pPr>
        <w:rPr>
          <w:rFonts w:ascii="Arial" w:hAnsi="Arial" w:cs="Arial"/>
          <w:b/>
          <w:sz w:val="24"/>
          <w:szCs w:val="24"/>
          <w:lang w:val="fr-FR"/>
        </w:rPr>
      </w:pPr>
    </w:p>
    <w:p w14:paraId="2820497B" w14:textId="77777777" w:rsidR="00C3036D" w:rsidRPr="00FA3F9C" w:rsidRDefault="00C3036D" w:rsidP="00A632D6">
      <w:pPr>
        <w:rPr>
          <w:rFonts w:ascii="Arial" w:hAnsi="Arial" w:cs="Arial"/>
          <w:sz w:val="24"/>
          <w:szCs w:val="24"/>
        </w:rPr>
      </w:pPr>
      <w:r w:rsidRPr="00FA3F9C">
        <w:rPr>
          <w:rFonts w:ascii="Arial" w:hAnsi="Arial" w:cs="Arial"/>
          <w:sz w:val="24"/>
          <w:szCs w:val="24"/>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7650"/>
        <w:gridCol w:w="2088"/>
      </w:tblGrid>
      <w:tr w:rsidR="00C3036D" w:rsidRPr="00FA3F9C" w14:paraId="6EE8D292" w14:textId="77777777" w:rsidTr="00DD5660">
        <w:tc>
          <w:tcPr>
            <w:tcW w:w="1278" w:type="dxa"/>
          </w:tcPr>
          <w:p w14:paraId="79AFC308" w14:textId="77777777" w:rsidR="00C3036D" w:rsidRPr="00FA3F9C" w:rsidRDefault="00C3036D" w:rsidP="0079328D">
            <w:pPr>
              <w:rPr>
                <w:rFonts w:ascii="Arial" w:hAnsi="Arial" w:cs="Arial"/>
                <w:sz w:val="24"/>
                <w:szCs w:val="24"/>
              </w:rPr>
            </w:pPr>
            <w:r w:rsidRPr="00FA3F9C">
              <w:rPr>
                <w:rFonts w:ascii="Arial" w:hAnsi="Arial" w:cs="Arial"/>
                <w:sz w:val="24"/>
                <w:szCs w:val="24"/>
              </w:rPr>
              <w:lastRenderedPageBreak/>
              <w:t>Date</w:t>
            </w:r>
          </w:p>
        </w:tc>
        <w:tc>
          <w:tcPr>
            <w:tcW w:w="7650" w:type="dxa"/>
          </w:tcPr>
          <w:p w14:paraId="66D9F175" w14:textId="77777777" w:rsidR="00C3036D" w:rsidRPr="00FA3F9C" w:rsidRDefault="00C3036D" w:rsidP="0079328D">
            <w:pPr>
              <w:rPr>
                <w:rFonts w:ascii="Arial" w:hAnsi="Arial" w:cs="Arial"/>
                <w:sz w:val="24"/>
                <w:szCs w:val="24"/>
              </w:rPr>
            </w:pPr>
            <w:r w:rsidRPr="00FA3F9C">
              <w:rPr>
                <w:rFonts w:ascii="Arial" w:hAnsi="Arial" w:cs="Arial"/>
                <w:sz w:val="24"/>
                <w:szCs w:val="24"/>
              </w:rPr>
              <w:t>What changed?</w:t>
            </w:r>
          </w:p>
        </w:tc>
        <w:tc>
          <w:tcPr>
            <w:tcW w:w="2088" w:type="dxa"/>
          </w:tcPr>
          <w:p w14:paraId="5210F08A" w14:textId="77777777" w:rsidR="00C3036D" w:rsidRPr="00FA3F9C" w:rsidRDefault="00C3036D" w:rsidP="0079328D">
            <w:pPr>
              <w:rPr>
                <w:rFonts w:ascii="Arial" w:hAnsi="Arial" w:cs="Arial"/>
                <w:sz w:val="24"/>
                <w:szCs w:val="24"/>
              </w:rPr>
            </w:pPr>
            <w:r w:rsidRPr="00FA3F9C">
              <w:rPr>
                <w:rFonts w:ascii="Arial" w:hAnsi="Arial" w:cs="Arial"/>
                <w:sz w:val="24"/>
                <w:szCs w:val="24"/>
              </w:rPr>
              <w:t>Pharmacist’s initials</w:t>
            </w:r>
          </w:p>
        </w:tc>
      </w:tr>
      <w:tr w:rsidR="00C3036D" w:rsidRPr="00FA3F9C" w14:paraId="414BA1BD" w14:textId="77777777" w:rsidTr="00DD5660">
        <w:tc>
          <w:tcPr>
            <w:tcW w:w="1278" w:type="dxa"/>
          </w:tcPr>
          <w:p w14:paraId="74E30F37" w14:textId="77777777" w:rsidR="00C3036D" w:rsidRPr="00FA3F9C" w:rsidRDefault="00C3036D" w:rsidP="0079328D">
            <w:pPr>
              <w:rPr>
                <w:rFonts w:ascii="Arial" w:hAnsi="Arial" w:cs="Arial"/>
                <w:sz w:val="24"/>
                <w:szCs w:val="24"/>
              </w:rPr>
            </w:pPr>
            <w:r w:rsidRPr="00FA3F9C">
              <w:rPr>
                <w:rFonts w:ascii="Arial" w:hAnsi="Arial" w:cs="Arial"/>
                <w:sz w:val="24"/>
                <w:szCs w:val="24"/>
              </w:rPr>
              <w:t>2/22/07</w:t>
            </w:r>
          </w:p>
        </w:tc>
        <w:tc>
          <w:tcPr>
            <w:tcW w:w="7650" w:type="dxa"/>
          </w:tcPr>
          <w:p w14:paraId="45CBABA3" w14:textId="77777777" w:rsidR="00C3036D" w:rsidRPr="00FA3F9C" w:rsidRDefault="00C3036D" w:rsidP="0079328D">
            <w:pPr>
              <w:rPr>
                <w:rFonts w:ascii="Arial" w:hAnsi="Arial" w:cs="Arial"/>
                <w:sz w:val="24"/>
                <w:szCs w:val="24"/>
              </w:rPr>
            </w:pPr>
            <w:r w:rsidRPr="00FA3F9C">
              <w:rPr>
                <w:rFonts w:ascii="Arial" w:hAnsi="Arial" w:cs="Arial"/>
                <w:sz w:val="24"/>
                <w:szCs w:val="24"/>
              </w:rPr>
              <w:t>PA criteria were written</w:t>
            </w:r>
          </w:p>
        </w:tc>
        <w:tc>
          <w:tcPr>
            <w:tcW w:w="2088" w:type="dxa"/>
          </w:tcPr>
          <w:p w14:paraId="31847364" w14:textId="77777777" w:rsidR="00C3036D" w:rsidRPr="00FA3F9C" w:rsidRDefault="00C3036D" w:rsidP="0079328D">
            <w:pPr>
              <w:rPr>
                <w:rFonts w:ascii="Arial" w:hAnsi="Arial" w:cs="Arial"/>
                <w:sz w:val="24"/>
                <w:szCs w:val="24"/>
              </w:rPr>
            </w:pPr>
            <w:r w:rsidRPr="00FA3F9C">
              <w:rPr>
                <w:rFonts w:ascii="Arial" w:hAnsi="Arial" w:cs="Arial"/>
                <w:sz w:val="24"/>
                <w:szCs w:val="24"/>
              </w:rPr>
              <w:t>JJ</w:t>
            </w:r>
          </w:p>
        </w:tc>
      </w:tr>
      <w:tr w:rsidR="00C3036D" w:rsidRPr="00FA3F9C" w14:paraId="327F3D50" w14:textId="77777777" w:rsidTr="00DD5660">
        <w:tc>
          <w:tcPr>
            <w:tcW w:w="1278" w:type="dxa"/>
          </w:tcPr>
          <w:p w14:paraId="0D88A468" w14:textId="77777777" w:rsidR="00C3036D" w:rsidRPr="00FA3F9C" w:rsidRDefault="00C3036D" w:rsidP="0079328D">
            <w:pPr>
              <w:rPr>
                <w:rFonts w:ascii="Arial" w:hAnsi="Arial" w:cs="Arial"/>
                <w:sz w:val="24"/>
                <w:szCs w:val="24"/>
              </w:rPr>
            </w:pPr>
            <w:r w:rsidRPr="00FA3F9C">
              <w:rPr>
                <w:rFonts w:ascii="Arial" w:hAnsi="Arial" w:cs="Arial"/>
                <w:sz w:val="24"/>
                <w:szCs w:val="24"/>
              </w:rPr>
              <w:t>11/27/12</w:t>
            </w:r>
          </w:p>
        </w:tc>
        <w:tc>
          <w:tcPr>
            <w:tcW w:w="7650" w:type="dxa"/>
          </w:tcPr>
          <w:p w14:paraId="4E17EDF7" w14:textId="77777777" w:rsidR="00C3036D" w:rsidRPr="00FA3F9C" w:rsidRDefault="00C3036D" w:rsidP="0079328D">
            <w:pPr>
              <w:rPr>
                <w:rFonts w:ascii="Arial" w:hAnsi="Arial" w:cs="Arial"/>
                <w:sz w:val="24"/>
                <w:szCs w:val="24"/>
              </w:rPr>
            </w:pPr>
            <w:r w:rsidRPr="00FA3F9C">
              <w:rPr>
                <w:rFonts w:ascii="Arial" w:hAnsi="Arial" w:cs="Arial"/>
                <w:sz w:val="24"/>
                <w:szCs w:val="24"/>
              </w:rPr>
              <w:t xml:space="preserve">I removed the criteria that required a </w:t>
            </w:r>
            <w:proofErr w:type="spellStart"/>
            <w:r w:rsidRPr="00FA3F9C">
              <w:rPr>
                <w:rFonts w:ascii="Arial" w:hAnsi="Arial" w:cs="Arial"/>
                <w:sz w:val="24"/>
                <w:szCs w:val="24"/>
              </w:rPr>
              <w:t>mRCC</w:t>
            </w:r>
            <w:proofErr w:type="spellEnd"/>
            <w:r w:rsidRPr="00FA3F9C">
              <w:rPr>
                <w:rFonts w:ascii="Arial" w:hAnsi="Arial" w:cs="Arial"/>
                <w:sz w:val="24"/>
                <w:szCs w:val="24"/>
              </w:rPr>
              <w:t xml:space="preserve"> </w:t>
            </w:r>
            <w:proofErr w:type="spellStart"/>
            <w:r w:rsidRPr="00FA3F9C">
              <w:rPr>
                <w:rFonts w:ascii="Arial" w:hAnsi="Arial" w:cs="Arial"/>
                <w:sz w:val="24"/>
                <w:szCs w:val="24"/>
              </w:rPr>
              <w:t>paitent</w:t>
            </w:r>
            <w:proofErr w:type="spellEnd"/>
            <w:r w:rsidRPr="00FA3F9C">
              <w:rPr>
                <w:rFonts w:ascii="Arial" w:hAnsi="Arial" w:cs="Arial"/>
                <w:sz w:val="24"/>
                <w:szCs w:val="24"/>
              </w:rPr>
              <w:t xml:space="preserve"> to fail or be intolerant to prior cytokine therapy (interferon alpha, </w:t>
            </w:r>
            <w:proofErr w:type="gramStart"/>
            <w:r w:rsidRPr="00FA3F9C">
              <w:rPr>
                <w:rFonts w:ascii="Arial" w:hAnsi="Arial" w:cs="Arial"/>
                <w:sz w:val="24"/>
                <w:szCs w:val="24"/>
              </w:rPr>
              <w:t>interleukin-2</w:t>
            </w:r>
            <w:proofErr w:type="gramEnd"/>
            <w:r w:rsidRPr="00FA3F9C">
              <w:rPr>
                <w:rFonts w:ascii="Arial" w:hAnsi="Arial" w:cs="Arial"/>
                <w:sz w:val="24"/>
                <w:szCs w:val="24"/>
              </w:rPr>
              <w:t>, or both used together), based on a trial that showed a net clinical benefit of sunitinib when compared with interferon.  Although sunitinib toxicity days were longer than interferon, PFS was much longer with sunitinib.  OS was longer but not stat significantly longer with sunitinib, however, many patients crossed over to sunitinib, most likely masking the margin of OS benefit with sunitinib.  QOL was better for sunitinib.</w:t>
            </w:r>
          </w:p>
        </w:tc>
        <w:tc>
          <w:tcPr>
            <w:tcW w:w="2088" w:type="dxa"/>
          </w:tcPr>
          <w:p w14:paraId="071101D0" w14:textId="77777777" w:rsidR="00C3036D" w:rsidRPr="00FA3F9C" w:rsidRDefault="00C3036D" w:rsidP="0079328D">
            <w:pPr>
              <w:rPr>
                <w:rFonts w:ascii="Arial" w:hAnsi="Arial" w:cs="Arial"/>
                <w:sz w:val="24"/>
                <w:szCs w:val="24"/>
              </w:rPr>
            </w:pPr>
            <w:r w:rsidRPr="00FA3F9C">
              <w:rPr>
                <w:rFonts w:ascii="Arial" w:hAnsi="Arial" w:cs="Arial"/>
                <w:sz w:val="24"/>
                <w:szCs w:val="24"/>
              </w:rPr>
              <w:t>JJ</w:t>
            </w:r>
          </w:p>
        </w:tc>
      </w:tr>
      <w:tr w:rsidR="00C3036D" w:rsidRPr="00FA3F9C" w14:paraId="724AA622" w14:textId="77777777" w:rsidTr="00DD5660">
        <w:tc>
          <w:tcPr>
            <w:tcW w:w="1278" w:type="dxa"/>
          </w:tcPr>
          <w:p w14:paraId="565FFB1B" w14:textId="77777777" w:rsidR="00C3036D" w:rsidRPr="00FA3F9C" w:rsidRDefault="00C3036D" w:rsidP="0079328D">
            <w:pPr>
              <w:rPr>
                <w:rFonts w:ascii="Arial" w:hAnsi="Arial" w:cs="Arial"/>
                <w:sz w:val="24"/>
                <w:szCs w:val="24"/>
              </w:rPr>
            </w:pPr>
            <w:r w:rsidRPr="00FA3F9C">
              <w:rPr>
                <w:rFonts w:ascii="Arial" w:hAnsi="Arial" w:cs="Arial"/>
                <w:sz w:val="24"/>
                <w:szCs w:val="24"/>
              </w:rPr>
              <w:t>4/29/13</w:t>
            </w:r>
          </w:p>
        </w:tc>
        <w:tc>
          <w:tcPr>
            <w:tcW w:w="7650" w:type="dxa"/>
          </w:tcPr>
          <w:p w14:paraId="3B311ADE" w14:textId="77777777" w:rsidR="00C3036D" w:rsidRPr="00FA3F9C" w:rsidRDefault="00C3036D" w:rsidP="0079328D">
            <w:pPr>
              <w:rPr>
                <w:rFonts w:ascii="Arial" w:hAnsi="Arial" w:cs="Arial"/>
                <w:sz w:val="24"/>
                <w:szCs w:val="24"/>
              </w:rPr>
            </w:pPr>
            <w:r w:rsidRPr="00FA3F9C">
              <w:rPr>
                <w:rFonts w:ascii="Arial" w:hAnsi="Arial" w:cs="Arial"/>
                <w:sz w:val="24"/>
                <w:szCs w:val="24"/>
              </w:rPr>
              <w:t xml:space="preserve">I rearranged the questions above and added the use of sunitinib in pancreatic neuroendocrine tumors in TKI-naïve patients without </w:t>
            </w:r>
            <w:proofErr w:type="spellStart"/>
            <w:r w:rsidRPr="00FA3F9C">
              <w:rPr>
                <w:rFonts w:ascii="Arial" w:hAnsi="Arial" w:cs="Arial"/>
                <w:sz w:val="24"/>
                <w:szCs w:val="24"/>
              </w:rPr>
              <w:t>sympt</w:t>
            </w:r>
            <w:proofErr w:type="spellEnd"/>
            <w:r w:rsidRPr="00FA3F9C">
              <w:rPr>
                <w:rFonts w:ascii="Arial" w:hAnsi="Arial" w:cs="Arial"/>
                <w:sz w:val="24"/>
                <w:szCs w:val="24"/>
              </w:rPr>
              <w:t xml:space="preserve"> brain </w:t>
            </w:r>
            <w:proofErr w:type="spellStart"/>
            <w:r w:rsidRPr="00FA3F9C">
              <w:rPr>
                <w:rFonts w:ascii="Arial" w:hAnsi="Arial" w:cs="Arial"/>
                <w:sz w:val="24"/>
                <w:szCs w:val="24"/>
              </w:rPr>
              <w:t>mets</w:t>
            </w:r>
            <w:proofErr w:type="spellEnd"/>
            <w:r w:rsidRPr="00FA3F9C">
              <w:rPr>
                <w:rFonts w:ascii="Arial" w:hAnsi="Arial" w:cs="Arial"/>
                <w:sz w:val="24"/>
                <w:szCs w:val="24"/>
              </w:rPr>
              <w:t xml:space="preserve"> who </w:t>
            </w:r>
            <w:proofErr w:type="gramStart"/>
            <w:r w:rsidRPr="00FA3F9C">
              <w:rPr>
                <w:rFonts w:ascii="Arial" w:hAnsi="Arial" w:cs="Arial"/>
                <w:sz w:val="24"/>
                <w:szCs w:val="24"/>
              </w:rPr>
              <w:t>are ECOG 0-1 at first request</w:t>
            </w:r>
            <w:proofErr w:type="gramEnd"/>
            <w:r w:rsidRPr="00FA3F9C">
              <w:rPr>
                <w:rFonts w:ascii="Arial" w:hAnsi="Arial" w:cs="Arial"/>
                <w:sz w:val="24"/>
                <w:szCs w:val="24"/>
              </w:rPr>
              <w:t>.</w:t>
            </w:r>
          </w:p>
        </w:tc>
        <w:tc>
          <w:tcPr>
            <w:tcW w:w="2088" w:type="dxa"/>
          </w:tcPr>
          <w:p w14:paraId="65E08B3E" w14:textId="77777777" w:rsidR="00C3036D" w:rsidRPr="00FA3F9C" w:rsidRDefault="00C3036D" w:rsidP="0079328D">
            <w:pPr>
              <w:rPr>
                <w:rFonts w:ascii="Arial" w:hAnsi="Arial" w:cs="Arial"/>
                <w:sz w:val="24"/>
                <w:szCs w:val="24"/>
              </w:rPr>
            </w:pPr>
            <w:r w:rsidRPr="00FA3F9C">
              <w:rPr>
                <w:rFonts w:ascii="Arial" w:hAnsi="Arial" w:cs="Arial"/>
                <w:sz w:val="24"/>
                <w:szCs w:val="24"/>
              </w:rPr>
              <w:t>JJ</w:t>
            </w:r>
          </w:p>
        </w:tc>
      </w:tr>
      <w:tr w:rsidR="00C3036D" w:rsidRPr="00FA3F9C" w14:paraId="2CA3A32B" w14:textId="77777777" w:rsidTr="00DD5660">
        <w:tc>
          <w:tcPr>
            <w:tcW w:w="1278" w:type="dxa"/>
          </w:tcPr>
          <w:p w14:paraId="34D453AC" w14:textId="77777777" w:rsidR="00C3036D" w:rsidRPr="00FA3F9C" w:rsidRDefault="00C3036D" w:rsidP="0079328D">
            <w:pPr>
              <w:rPr>
                <w:rFonts w:ascii="Arial" w:hAnsi="Arial" w:cs="Arial"/>
                <w:sz w:val="24"/>
                <w:szCs w:val="24"/>
              </w:rPr>
            </w:pPr>
            <w:r w:rsidRPr="00FA3F9C">
              <w:rPr>
                <w:rFonts w:ascii="Arial" w:hAnsi="Arial" w:cs="Arial"/>
                <w:sz w:val="24"/>
                <w:szCs w:val="24"/>
              </w:rPr>
              <w:t>7/28, 2014</w:t>
            </w:r>
          </w:p>
        </w:tc>
        <w:tc>
          <w:tcPr>
            <w:tcW w:w="7650" w:type="dxa"/>
          </w:tcPr>
          <w:p w14:paraId="509AC7EC" w14:textId="77777777" w:rsidR="00C3036D" w:rsidRPr="00FA3F9C" w:rsidRDefault="00C3036D" w:rsidP="0079328D">
            <w:pPr>
              <w:rPr>
                <w:rFonts w:ascii="Arial" w:hAnsi="Arial" w:cs="Arial"/>
                <w:sz w:val="24"/>
                <w:szCs w:val="24"/>
              </w:rPr>
            </w:pPr>
            <w:r w:rsidRPr="00FA3F9C">
              <w:rPr>
                <w:rFonts w:ascii="Arial" w:hAnsi="Arial" w:cs="Arial"/>
                <w:sz w:val="24"/>
                <w:szCs w:val="24"/>
              </w:rPr>
              <w:t>Added 37.5mg tab to “covered” as a line extension.</w:t>
            </w:r>
          </w:p>
        </w:tc>
        <w:tc>
          <w:tcPr>
            <w:tcW w:w="2088" w:type="dxa"/>
          </w:tcPr>
          <w:p w14:paraId="5CF48BCA" w14:textId="77777777" w:rsidR="00C3036D" w:rsidRPr="00FA3F9C" w:rsidRDefault="00C3036D" w:rsidP="0079328D">
            <w:pPr>
              <w:rPr>
                <w:rFonts w:ascii="Arial" w:hAnsi="Arial" w:cs="Arial"/>
                <w:sz w:val="24"/>
                <w:szCs w:val="24"/>
              </w:rPr>
            </w:pPr>
            <w:r w:rsidRPr="00FA3F9C">
              <w:rPr>
                <w:rFonts w:ascii="Arial" w:hAnsi="Arial" w:cs="Arial"/>
                <w:sz w:val="24"/>
                <w:szCs w:val="24"/>
              </w:rPr>
              <w:t>JJ</w:t>
            </w:r>
          </w:p>
        </w:tc>
      </w:tr>
      <w:tr w:rsidR="00C3036D" w:rsidRPr="00FA3F9C" w14:paraId="535535E0" w14:textId="77777777" w:rsidTr="00DD5660">
        <w:tc>
          <w:tcPr>
            <w:tcW w:w="1278" w:type="dxa"/>
          </w:tcPr>
          <w:p w14:paraId="1CB779D9" w14:textId="77777777" w:rsidR="00C3036D" w:rsidRPr="00FA3F9C" w:rsidRDefault="00C3036D" w:rsidP="0079328D">
            <w:pPr>
              <w:rPr>
                <w:rFonts w:ascii="Arial" w:hAnsi="Arial" w:cs="Arial"/>
                <w:sz w:val="24"/>
                <w:szCs w:val="24"/>
              </w:rPr>
            </w:pPr>
            <w:r w:rsidRPr="00FA3F9C">
              <w:rPr>
                <w:rFonts w:ascii="Arial" w:hAnsi="Arial" w:cs="Arial"/>
                <w:sz w:val="24"/>
                <w:szCs w:val="24"/>
              </w:rPr>
              <w:t>3/18/19</w:t>
            </w:r>
          </w:p>
        </w:tc>
        <w:tc>
          <w:tcPr>
            <w:tcW w:w="7650" w:type="dxa"/>
          </w:tcPr>
          <w:p w14:paraId="45CA2969" w14:textId="77777777" w:rsidR="00C3036D" w:rsidRPr="00FA3F9C" w:rsidRDefault="00C3036D" w:rsidP="0079328D">
            <w:pPr>
              <w:rPr>
                <w:rFonts w:ascii="Arial" w:hAnsi="Arial" w:cs="Arial"/>
                <w:sz w:val="24"/>
                <w:szCs w:val="24"/>
              </w:rPr>
            </w:pPr>
            <w:r w:rsidRPr="00FA3F9C">
              <w:rPr>
                <w:rFonts w:ascii="Arial" w:hAnsi="Arial" w:cs="Arial"/>
                <w:sz w:val="24"/>
                <w:szCs w:val="24"/>
              </w:rPr>
              <w:t>General formatting updates; added references and rationale; added new indication for adjuvant RCC (not covered).</w:t>
            </w:r>
          </w:p>
          <w:p w14:paraId="77A38818" w14:textId="77777777" w:rsidR="00C3036D" w:rsidRPr="00FA3F9C" w:rsidRDefault="00C3036D" w:rsidP="0079328D">
            <w:pPr>
              <w:rPr>
                <w:rFonts w:ascii="Arial" w:hAnsi="Arial" w:cs="Arial"/>
                <w:sz w:val="24"/>
                <w:szCs w:val="24"/>
              </w:rPr>
            </w:pPr>
            <w:r w:rsidRPr="00FA3F9C">
              <w:rPr>
                <w:rFonts w:ascii="Arial" w:hAnsi="Arial" w:cs="Arial"/>
                <w:sz w:val="24"/>
                <w:szCs w:val="24"/>
              </w:rPr>
              <w:t>PNET: modified criteria slightly: poorly differentiated tumors not covered; removed requirement for “no previous TKI”</w:t>
            </w:r>
            <w:r w:rsidRPr="00FA3F9C">
              <w:rPr>
                <w:rFonts w:ascii="Arial" w:hAnsi="Arial" w:cs="Arial"/>
                <w:sz w:val="24"/>
                <w:szCs w:val="24"/>
              </w:rPr>
              <w:sym w:font="Wingdings" w:char="F0E0"/>
            </w:r>
            <w:r w:rsidRPr="00FA3F9C">
              <w:rPr>
                <w:rFonts w:ascii="Arial" w:hAnsi="Arial" w:cs="Arial"/>
                <w:sz w:val="24"/>
                <w:szCs w:val="24"/>
              </w:rPr>
              <w:t xml:space="preserve">no other TKIs are approved for PNET. Removed specification about brain </w:t>
            </w:r>
            <w:proofErr w:type="spellStart"/>
            <w:r w:rsidRPr="00FA3F9C">
              <w:rPr>
                <w:rFonts w:ascii="Arial" w:hAnsi="Arial" w:cs="Arial"/>
                <w:sz w:val="24"/>
                <w:szCs w:val="24"/>
              </w:rPr>
              <w:t>mets</w:t>
            </w:r>
            <w:proofErr w:type="spellEnd"/>
            <w:r w:rsidRPr="00FA3F9C">
              <w:rPr>
                <w:rFonts w:ascii="Arial" w:hAnsi="Arial" w:cs="Arial"/>
                <w:sz w:val="24"/>
                <w:szCs w:val="24"/>
              </w:rPr>
              <w:t xml:space="preserve">. </w:t>
            </w:r>
          </w:p>
          <w:p w14:paraId="57A8F096" w14:textId="77777777" w:rsidR="00C3036D" w:rsidRPr="00FA3F9C" w:rsidRDefault="00C3036D" w:rsidP="0079328D">
            <w:pPr>
              <w:rPr>
                <w:rFonts w:ascii="Arial" w:hAnsi="Arial" w:cs="Arial"/>
                <w:sz w:val="24"/>
                <w:szCs w:val="24"/>
              </w:rPr>
            </w:pPr>
          </w:p>
        </w:tc>
        <w:tc>
          <w:tcPr>
            <w:tcW w:w="2088" w:type="dxa"/>
          </w:tcPr>
          <w:p w14:paraId="07228BAE" w14:textId="77777777" w:rsidR="00C3036D" w:rsidRPr="00FA3F9C" w:rsidRDefault="00C3036D" w:rsidP="0079328D">
            <w:pPr>
              <w:rPr>
                <w:rFonts w:ascii="Arial" w:hAnsi="Arial" w:cs="Arial"/>
                <w:sz w:val="24"/>
                <w:szCs w:val="24"/>
              </w:rPr>
            </w:pPr>
            <w:proofErr w:type="spellStart"/>
            <w:r w:rsidRPr="00FA3F9C">
              <w:rPr>
                <w:rFonts w:ascii="Arial" w:hAnsi="Arial" w:cs="Arial"/>
                <w:sz w:val="24"/>
                <w:szCs w:val="24"/>
              </w:rPr>
              <w:t>Sk</w:t>
            </w:r>
            <w:proofErr w:type="spellEnd"/>
          </w:p>
        </w:tc>
      </w:tr>
      <w:tr w:rsidR="00C3036D" w:rsidRPr="00FA3F9C" w14:paraId="2A84AE12" w14:textId="77777777" w:rsidTr="00DD5660">
        <w:tc>
          <w:tcPr>
            <w:tcW w:w="1278" w:type="dxa"/>
          </w:tcPr>
          <w:p w14:paraId="0700BDE7" w14:textId="77777777" w:rsidR="00C3036D" w:rsidRPr="00FA3F9C" w:rsidRDefault="00C3036D" w:rsidP="0079328D">
            <w:pPr>
              <w:rPr>
                <w:rFonts w:ascii="Arial" w:hAnsi="Arial" w:cs="Arial"/>
                <w:sz w:val="24"/>
                <w:szCs w:val="24"/>
              </w:rPr>
            </w:pPr>
            <w:r w:rsidRPr="00FA3F9C">
              <w:rPr>
                <w:rFonts w:ascii="Arial" w:hAnsi="Arial" w:cs="Arial"/>
                <w:sz w:val="24"/>
                <w:szCs w:val="24"/>
              </w:rPr>
              <w:t>9/23/19</w:t>
            </w:r>
          </w:p>
        </w:tc>
        <w:tc>
          <w:tcPr>
            <w:tcW w:w="7650" w:type="dxa"/>
          </w:tcPr>
          <w:p w14:paraId="4281ED22" w14:textId="77777777" w:rsidR="00C3036D" w:rsidRPr="00FA3F9C" w:rsidRDefault="00C3036D" w:rsidP="0079328D">
            <w:pPr>
              <w:rPr>
                <w:rFonts w:ascii="Arial" w:hAnsi="Arial" w:cs="Arial"/>
                <w:sz w:val="24"/>
                <w:szCs w:val="24"/>
              </w:rPr>
            </w:pPr>
            <w:r w:rsidRPr="00FA3F9C">
              <w:rPr>
                <w:rFonts w:ascii="Arial" w:hAnsi="Arial" w:cs="Arial"/>
                <w:sz w:val="24"/>
                <w:szCs w:val="24"/>
              </w:rPr>
              <w:t xml:space="preserve">All criteria reviewed. </w:t>
            </w:r>
          </w:p>
          <w:p w14:paraId="0D72FD42" w14:textId="77777777" w:rsidR="00C3036D" w:rsidRPr="00FA3F9C" w:rsidRDefault="00C3036D" w:rsidP="0008616D">
            <w:pPr>
              <w:rPr>
                <w:rFonts w:ascii="Arial" w:hAnsi="Arial" w:cs="Arial"/>
                <w:sz w:val="24"/>
                <w:szCs w:val="24"/>
              </w:rPr>
            </w:pPr>
            <w:r w:rsidRPr="00FA3F9C">
              <w:rPr>
                <w:rFonts w:ascii="Arial" w:hAnsi="Arial" w:cs="Arial"/>
                <w:sz w:val="24"/>
                <w:szCs w:val="24"/>
              </w:rPr>
              <w:t>-for GIST, changed criteria to statements</w:t>
            </w:r>
          </w:p>
          <w:p w14:paraId="0F6A8088" w14:textId="77777777" w:rsidR="00C3036D" w:rsidRPr="00FA3F9C" w:rsidRDefault="00C3036D" w:rsidP="0008616D">
            <w:pPr>
              <w:rPr>
                <w:rFonts w:ascii="Arial" w:hAnsi="Arial" w:cs="Arial"/>
                <w:sz w:val="24"/>
                <w:szCs w:val="24"/>
              </w:rPr>
            </w:pPr>
            <w:r w:rsidRPr="00FA3F9C">
              <w:rPr>
                <w:rFonts w:ascii="Arial" w:hAnsi="Arial" w:cs="Arial"/>
                <w:sz w:val="24"/>
                <w:szCs w:val="24"/>
              </w:rPr>
              <w:t>-change PNET approval period to 1 year for consistency</w:t>
            </w:r>
          </w:p>
          <w:p w14:paraId="03D193B0" w14:textId="77777777" w:rsidR="00C3036D" w:rsidRPr="00FA3F9C" w:rsidRDefault="00C3036D" w:rsidP="0008616D">
            <w:pPr>
              <w:rPr>
                <w:rFonts w:ascii="Arial" w:hAnsi="Arial" w:cs="Arial"/>
                <w:sz w:val="24"/>
                <w:szCs w:val="24"/>
              </w:rPr>
            </w:pPr>
            <w:r w:rsidRPr="00FA3F9C">
              <w:rPr>
                <w:rFonts w:ascii="Arial" w:hAnsi="Arial" w:cs="Arial"/>
                <w:sz w:val="24"/>
                <w:szCs w:val="24"/>
              </w:rPr>
              <w:lastRenderedPageBreak/>
              <w:t>-no change in criteria</w:t>
            </w:r>
          </w:p>
        </w:tc>
        <w:tc>
          <w:tcPr>
            <w:tcW w:w="2088" w:type="dxa"/>
          </w:tcPr>
          <w:p w14:paraId="1A1B75D8" w14:textId="77777777" w:rsidR="00C3036D" w:rsidRPr="00FA3F9C" w:rsidRDefault="00C3036D" w:rsidP="0079328D">
            <w:pPr>
              <w:rPr>
                <w:rFonts w:ascii="Arial" w:hAnsi="Arial" w:cs="Arial"/>
                <w:sz w:val="24"/>
                <w:szCs w:val="24"/>
              </w:rPr>
            </w:pPr>
            <w:r w:rsidRPr="00FA3F9C">
              <w:rPr>
                <w:rFonts w:ascii="Arial" w:hAnsi="Arial" w:cs="Arial"/>
                <w:sz w:val="24"/>
                <w:szCs w:val="24"/>
              </w:rPr>
              <w:lastRenderedPageBreak/>
              <w:t>SK</w:t>
            </w:r>
          </w:p>
        </w:tc>
      </w:tr>
      <w:tr w:rsidR="00C3036D" w:rsidRPr="00FA3F9C" w14:paraId="14602FD9" w14:textId="77777777" w:rsidTr="00DD5660">
        <w:tc>
          <w:tcPr>
            <w:tcW w:w="1278" w:type="dxa"/>
          </w:tcPr>
          <w:p w14:paraId="3F16B0C5" w14:textId="77777777" w:rsidR="00C3036D" w:rsidRPr="00FA3F9C" w:rsidRDefault="00C3036D" w:rsidP="0079328D">
            <w:pPr>
              <w:rPr>
                <w:rFonts w:ascii="Arial" w:hAnsi="Arial" w:cs="Arial"/>
                <w:sz w:val="24"/>
                <w:szCs w:val="24"/>
              </w:rPr>
            </w:pPr>
            <w:r w:rsidRPr="00FA3F9C">
              <w:rPr>
                <w:rFonts w:ascii="Arial" w:hAnsi="Arial" w:cs="Arial"/>
                <w:sz w:val="24"/>
                <w:szCs w:val="24"/>
              </w:rPr>
              <w:t>12/13/2020</w:t>
            </w:r>
          </w:p>
        </w:tc>
        <w:tc>
          <w:tcPr>
            <w:tcW w:w="7650" w:type="dxa"/>
          </w:tcPr>
          <w:p w14:paraId="6488534D" w14:textId="77777777" w:rsidR="00C3036D" w:rsidRPr="00FA3F9C" w:rsidRDefault="00C3036D" w:rsidP="0079328D">
            <w:pPr>
              <w:rPr>
                <w:rFonts w:ascii="Arial" w:hAnsi="Arial" w:cs="Arial"/>
                <w:sz w:val="24"/>
                <w:szCs w:val="24"/>
              </w:rPr>
            </w:pPr>
            <w:r w:rsidRPr="00FA3F9C">
              <w:rPr>
                <w:rFonts w:ascii="Arial" w:hAnsi="Arial" w:cs="Arial"/>
                <w:sz w:val="24"/>
                <w:szCs w:val="24"/>
              </w:rPr>
              <w:t>All criteria reviewed. No changes</w:t>
            </w:r>
          </w:p>
        </w:tc>
        <w:tc>
          <w:tcPr>
            <w:tcW w:w="2088" w:type="dxa"/>
          </w:tcPr>
          <w:p w14:paraId="5CF093BA" w14:textId="77777777" w:rsidR="00C3036D" w:rsidRPr="00FA3F9C" w:rsidRDefault="00C3036D" w:rsidP="0079328D">
            <w:pPr>
              <w:rPr>
                <w:rFonts w:ascii="Arial" w:hAnsi="Arial" w:cs="Arial"/>
                <w:sz w:val="24"/>
                <w:szCs w:val="24"/>
              </w:rPr>
            </w:pPr>
            <w:r w:rsidRPr="00FA3F9C">
              <w:rPr>
                <w:rFonts w:ascii="Arial" w:hAnsi="Arial" w:cs="Arial"/>
                <w:sz w:val="24"/>
                <w:szCs w:val="24"/>
              </w:rPr>
              <w:t>SK</w:t>
            </w:r>
          </w:p>
        </w:tc>
      </w:tr>
      <w:tr w:rsidR="00C3036D" w:rsidRPr="00FA3F9C" w14:paraId="5EE6516F" w14:textId="77777777" w:rsidTr="00DD5660">
        <w:tc>
          <w:tcPr>
            <w:tcW w:w="1278" w:type="dxa"/>
          </w:tcPr>
          <w:p w14:paraId="4918532D" w14:textId="77777777" w:rsidR="00C3036D" w:rsidRPr="00FA3F9C" w:rsidRDefault="00C3036D" w:rsidP="0079328D">
            <w:pPr>
              <w:rPr>
                <w:rFonts w:ascii="Arial" w:hAnsi="Arial" w:cs="Arial"/>
                <w:sz w:val="24"/>
                <w:szCs w:val="24"/>
              </w:rPr>
            </w:pPr>
            <w:r w:rsidRPr="00FA3F9C">
              <w:rPr>
                <w:rFonts w:ascii="Arial" w:hAnsi="Arial" w:cs="Arial"/>
                <w:sz w:val="24"/>
                <w:szCs w:val="24"/>
              </w:rPr>
              <w:t>4/7/21</w:t>
            </w:r>
          </w:p>
        </w:tc>
        <w:tc>
          <w:tcPr>
            <w:tcW w:w="7650" w:type="dxa"/>
          </w:tcPr>
          <w:p w14:paraId="453BB9CB" w14:textId="77777777" w:rsidR="00C3036D" w:rsidRPr="00FA3F9C" w:rsidRDefault="00C3036D" w:rsidP="0079328D">
            <w:pPr>
              <w:rPr>
                <w:rFonts w:ascii="Arial" w:hAnsi="Arial" w:cs="Arial"/>
                <w:sz w:val="24"/>
                <w:szCs w:val="24"/>
              </w:rPr>
            </w:pPr>
            <w:r w:rsidRPr="00FA3F9C">
              <w:rPr>
                <w:rFonts w:ascii="Arial" w:hAnsi="Arial" w:cs="Arial"/>
                <w:sz w:val="24"/>
                <w:szCs w:val="24"/>
              </w:rPr>
              <w:t>Applied EBRx criteria to UAS plan. No current users.</w:t>
            </w:r>
          </w:p>
        </w:tc>
        <w:tc>
          <w:tcPr>
            <w:tcW w:w="2088" w:type="dxa"/>
          </w:tcPr>
          <w:p w14:paraId="1F536F6C" w14:textId="77777777" w:rsidR="00C3036D" w:rsidRPr="00FA3F9C" w:rsidRDefault="00C3036D" w:rsidP="0079328D">
            <w:pPr>
              <w:rPr>
                <w:rFonts w:ascii="Arial" w:hAnsi="Arial" w:cs="Arial"/>
                <w:sz w:val="24"/>
                <w:szCs w:val="24"/>
              </w:rPr>
            </w:pPr>
            <w:r w:rsidRPr="00FA3F9C">
              <w:rPr>
                <w:rFonts w:ascii="Arial" w:hAnsi="Arial" w:cs="Arial"/>
                <w:sz w:val="24"/>
                <w:szCs w:val="24"/>
              </w:rPr>
              <w:t>JJ</w:t>
            </w:r>
          </w:p>
        </w:tc>
      </w:tr>
    </w:tbl>
    <w:p w14:paraId="44CEE8F0" w14:textId="77777777" w:rsidR="00C3036D" w:rsidRPr="00FA3F9C" w:rsidRDefault="00C3036D" w:rsidP="00D040DA">
      <w:pPr>
        <w:rPr>
          <w:rFonts w:ascii="Arial" w:hAnsi="Arial" w:cs="Arial"/>
          <w:sz w:val="24"/>
          <w:szCs w:val="24"/>
        </w:rPr>
      </w:pPr>
    </w:p>
    <w:p w14:paraId="765F12C9" w14:textId="77777777" w:rsidR="0078218F" w:rsidRDefault="00C3036D" w:rsidP="0078218F">
      <w:pPr>
        <w:pStyle w:val="Heading2"/>
      </w:pPr>
      <w:bookmarkStart w:id="316" w:name="_Toc106369939"/>
      <w:r w:rsidRPr="00FA3F9C">
        <w:t>Tadalafil (</w:t>
      </w:r>
      <w:proofErr w:type="spellStart"/>
      <w:r w:rsidRPr="00FA3F9C">
        <w:t>Adcirca</w:t>
      </w:r>
      <w:proofErr w:type="spellEnd"/>
      <w:r w:rsidRPr="00FA3F9C">
        <w:t>)</w:t>
      </w:r>
      <w:bookmarkEnd w:id="316"/>
      <w:r w:rsidRPr="00FA3F9C">
        <w:t xml:space="preserve"> </w:t>
      </w:r>
    </w:p>
    <w:p w14:paraId="4A91E5B6" w14:textId="72BA7673" w:rsidR="00C3036D" w:rsidRDefault="00C3036D" w:rsidP="006F623F">
      <w:pPr>
        <w:spacing w:after="0"/>
        <w:jc w:val="center"/>
        <w:rPr>
          <w:rFonts w:ascii="Arial" w:hAnsi="Arial" w:cs="Arial"/>
          <w:sz w:val="24"/>
          <w:szCs w:val="24"/>
        </w:rPr>
      </w:pPr>
      <w:r w:rsidRPr="00FA3F9C">
        <w:rPr>
          <w:rFonts w:ascii="Arial" w:hAnsi="Arial" w:cs="Arial"/>
          <w:sz w:val="24"/>
          <w:szCs w:val="24"/>
        </w:rPr>
        <w:t xml:space="preserve">20mg tablets  </w:t>
      </w:r>
    </w:p>
    <w:p w14:paraId="7C4EB674" w14:textId="77777777" w:rsidR="0078218F" w:rsidRPr="00FA3F9C" w:rsidRDefault="0078218F" w:rsidP="0078218F">
      <w:pPr>
        <w:spacing w:after="0"/>
        <w:jc w:val="center"/>
        <w:rPr>
          <w:rFonts w:ascii="Arial" w:hAnsi="Arial" w:cs="Arial"/>
          <w:sz w:val="24"/>
          <w:szCs w:val="24"/>
        </w:rPr>
      </w:pPr>
      <w:r w:rsidRPr="00FA3F9C">
        <w:rPr>
          <w:rFonts w:ascii="Arial" w:hAnsi="Arial" w:cs="Arial"/>
          <w:sz w:val="24"/>
          <w:szCs w:val="24"/>
        </w:rPr>
        <w:t>EBRx PA Criteria</w:t>
      </w:r>
    </w:p>
    <w:p w14:paraId="6795E3BD" w14:textId="77777777" w:rsidR="0078218F" w:rsidRPr="00FA3F9C" w:rsidRDefault="0078218F" w:rsidP="006F623F">
      <w:pPr>
        <w:spacing w:after="0"/>
        <w:jc w:val="center"/>
        <w:rPr>
          <w:rFonts w:ascii="Arial" w:hAnsi="Arial" w:cs="Arial"/>
          <w:sz w:val="24"/>
          <w:szCs w:val="24"/>
        </w:rPr>
      </w:pPr>
    </w:p>
    <w:p w14:paraId="5A2662CA" w14:textId="77777777" w:rsidR="00C3036D" w:rsidRPr="00FA3F9C" w:rsidRDefault="00C3036D" w:rsidP="006F623F">
      <w:pPr>
        <w:spacing w:after="0"/>
        <w:rPr>
          <w:rFonts w:ascii="Arial" w:hAnsi="Arial" w:cs="Arial"/>
          <w:b/>
          <w:sz w:val="24"/>
          <w:szCs w:val="24"/>
          <w:u w:val="single"/>
        </w:rPr>
      </w:pPr>
    </w:p>
    <w:p w14:paraId="0DA8B9E6" w14:textId="77777777" w:rsidR="00C3036D" w:rsidRPr="00FA3F9C" w:rsidRDefault="00C3036D"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the treatment of pulmonary arterial hypertension (WHO Group 1) to improve exercise ability.  Studies establishing effectiveness included predominately patients with NYHA functional class II to III symptoms and etiologies of idiopathic or heritable PAH (61%) or PAH associated with connective tissue diseases (23%).</w:t>
      </w:r>
    </w:p>
    <w:tbl>
      <w:tblPr>
        <w:tblStyle w:val="TableGrid"/>
        <w:tblW w:w="0" w:type="auto"/>
        <w:tblLook w:val="04A0" w:firstRow="1" w:lastRow="0" w:firstColumn="1" w:lastColumn="0" w:noHBand="0" w:noVBand="1"/>
      </w:tblPr>
      <w:tblGrid>
        <w:gridCol w:w="8928"/>
        <w:gridCol w:w="2088"/>
      </w:tblGrid>
      <w:tr w:rsidR="00C3036D" w:rsidRPr="00FA3F9C" w14:paraId="5ED73389" w14:textId="77777777" w:rsidTr="00571CAB">
        <w:tc>
          <w:tcPr>
            <w:tcW w:w="8928" w:type="dxa"/>
            <w:shd w:val="clear" w:color="auto" w:fill="000000"/>
          </w:tcPr>
          <w:p w14:paraId="1CF07038" w14:textId="77777777" w:rsidR="00C3036D" w:rsidRPr="00FA3F9C" w:rsidRDefault="00C3036D" w:rsidP="00571CAB">
            <w:pPr>
              <w:rPr>
                <w:rFonts w:ascii="Arial" w:hAnsi="Arial" w:cs="Arial"/>
                <w:b/>
                <w:sz w:val="24"/>
                <w:szCs w:val="24"/>
                <w:u w:val="single"/>
              </w:rPr>
            </w:pPr>
            <w:r w:rsidRPr="00FA3F9C">
              <w:rPr>
                <w:rFonts w:ascii="Arial" w:hAnsi="Arial" w:cs="Arial"/>
                <w:b/>
                <w:sz w:val="24"/>
                <w:szCs w:val="24"/>
                <w:u w:val="single"/>
              </w:rPr>
              <w:t>Criteria for new users (must have ALL the following)</w:t>
            </w:r>
          </w:p>
        </w:tc>
        <w:tc>
          <w:tcPr>
            <w:tcW w:w="2088" w:type="dxa"/>
            <w:shd w:val="clear" w:color="auto" w:fill="000000"/>
          </w:tcPr>
          <w:p w14:paraId="4F0DC8A5" w14:textId="77777777" w:rsidR="00C3036D" w:rsidRPr="00FA3F9C" w:rsidRDefault="00C3036D" w:rsidP="006F623F">
            <w:pPr>
              <w:jc w:val="center"/>
              <w:rPr>
                <w:rFonts w:ascii="Arial" w:hAnsi="Arial" w:cs="Arial"/>
                <w:b/>
                <w:sz w:val="24"/>
                <w:szCs w:val="24"/>
                <w:u w:val="single"/>
              </w:rPr>
            </w:pPr>
          </w:p>
        </w:tc>
      </w:tr>
      <w:tr w:rsidR="00C3036D" w:rsidRPr="00FA3F9C" w14:paraId="53EBA4EE" w14:textId="77777777" w:rsidTr="00BF36D5">
        <w:tc>
          <w:tcPr>
            <w:tcW w:w="11016" w:type="dxa"/>
            <w:gridSpan w:val="2"/>
          </w:tcPr>
          <w:p w14:paraId="00E1078F" w14:textId="77777777" w:rsidR="00C3036D" w:rsidRPr="00FA3F9C" w:rsidRDefault="00C3036D" w:rsidP="002030BC">
            <w:pPr>
              <w:rPr>
                <w:rFonts w:ascii="Arial" w:hAnsi="Arial" w:cs="Arial"/>
                <w:sz w:val="24"/>
                <w:szCs w:val="24"/>
              </w:rPr>
            </w:pPr>
            <w:r w:rsidRPr="00FA3F9C">
              <w:rPr>
                <w:rFonts w:ascii="Arial" w:hAnsi="Arial" w:cs="Arial"/>
                <w:sz w:val="24"/>
                <w:szCs w:val="24"/>
              </w:rPr>
              <w:t xml:space="preserve">1.  Patient must have the diagnosis of Group 1 pulmonary artery hypertension* </w:t>
            </w:r>
          </w:p>
        </w:tc>
      </w:tr>
      <w:tr w:rsidR="00C3036D" w:rsidRPr="00FA3F9C" w14:paraId="6AFD15DA" w14:textId="77777777" w:rsidTr="00BF36D5">
        <w:tc>
          <w:tcPr>
            <w:tcW w:w="11016" w:type="dxa"/>
            <w:gridSpan w:val="2"/>
          </w:tcPr>
          <w:p w14:paraId="12233035" w14:textId="77777777" w:rsidR="00C3036D" w:rsidRPr="00FA3F9C" w:rsidRDefault="00C3036D" w:rsidP="002030BC">
            <w:pPr>
              <w:rPr>
                <w:rFonts w:ascii="Arial" w:hAnsi="Arial" w:cs="Arial"/>
                <w:sz w:val="24"/>
                <w:szCs w:val="24"/>
              </w:rPr>
            </w:pPr>
            <w:r w:rsidRPr="00FA3F9C">
              <w:rPr>
                <w:rFonts w:ascii="Arial" w:hAnsi="Arial" w:cs="Arial"/>
                <w:sz w:val="24"/>
                <w:szCs w:val="24"/>
              </w:rPr>
              <w:t>2.  Must be WHO functional class II or III</w:t>
            </w:r>
          </w:p>
        </w:tc>
      </w:tr>
      <w:tr w:rsidR="00C3036D" w:rsidRPr="00FA3F9C" w14:paraId="437D1722" w14:textId="77777777" w:rsidTr="00BF36D5">
        <w:tc>
          <w:tcPr>
            <w:tcW w:w="11016" w:type="dxa"/>
            <w:gridSpan w:val="2"/>
          </w:tcPr>
          <w:p w14:paraId="0A3C39AB" w14:textId="77777777" w:rsidR="00C3036D" w:rsidRPr="00FA3F9C" w:rsidRDefault="00C3036D" w:rsidP="006F623F">
            <w:pPr>
              <w:rPr>
                <w:rFonts w:ascii="Arial" w:hAnsi="Arial" w:cs="Arial"/>
                <w:sz w:val="24"/>
                <w:szCs w:val="24"/>
              </w:rPr>
            </w:pPr>
            <w:r w:rsidRPr="00FA3F9C">
              <w:rPr>
                <w:rFonts w:ascii="Arial" w:hAnsi="Arial" w:cs="Arial"/>
                <w:sz w:val="24"/>
                <w:szCs w:val="24"/>
              </w:rPr>
              <w:t xml:space="preserve">3.  Patient must be on concurrent </w:t>
            </w:r>
            <w:proofErr w:type="spellStart"/>
            <w:r w:rsidRPr="00FA3F9C">
              <w:rPr>
                <w:rFonts w:ascii="Arial" w:hAnsi="Arial" w:cs="Arial"/>
                <w:sz w:val="24"/>
                <w:szCs w:val="24"/>
              </w:rPr>
              <w:t>ambrisentan</w:t>
            </w:r>
            <w:proofErr w:type="spellEnd"/>
            <w:r w:rsidRPr="00FA3F9C">
              <w:rPr>
                <w:rFonts w:ascii="Arial" w:hAnsi="Arial" w:cs="Arial"/>
                <w:sz w:val="24"/>
                <w:szCs w:val="24"/>
              </w:rPr>
              <w:t xml:space="preserve"> (otherwise use sildenafil).</w:t>
            </w:r>
          </w:p>
        </w:tc>
      </w:tr>
      <w:tr w:rsidR="00C3036D" w:rsidRPr="00FA3F9C" w14:paraId="38E9FA80" w14:textId="77777777" w:rsidTr="00BF36D5">
        <w:tc>
          <w:tcPr>
            <w:tcW w:w="11016" w:type="dxa"/>
            <w:gridSpan w:val="2"/>
          </w:tcPr>
          <w:p w14:paraId="30ED4E2A" w14:textId="77777777" w:rsidR="00C3036D" w:rsidRPr="00FA3F9C" w:rsidRDefault="00C3036D" w:rsidP="006F623F">
            <w:pPr>
              <w:rPr>
                <w:rFonts w:ascii="Arial" w:hAnsi="Arial" w:cs="Arial"/>
                <w:sz w:val="24"/>
                <w:szCs w:val="24"/>
              </w:rPr>
            </w:pPr>
            <w:r w:rsidRPr="00FA3F9C">
              <w:rPr>
                <w:rFonts w:ascii="Arial" w:hAnsi="Arial" w:cs="Arial"/>
                <w:b/>
                <w:color w:val="000000"/>
                <w:sz w:val="24"/>
                <w:szCs w:val="24"/>
                <w:vertAlign w:val="superscript"/>
              </w:rPr>
              <w:t>§</w:t>
            </w:r>
            <w:r w:rsidRPr="00FA3F9C">
              <w:rPr>
                <w:rFonts w:ascii="Arial" w:hAnsi="Arial" w:cs="Arial"/>
                <w:sz w:val="24"/>
                <w:szCs w:val="24"/>
              </w:rPr>
              <w:t xml:space="preserve">4.  Must have in the medical record </w:t>
            </w:r>
            <w:proofErr w:type="gramStart"/>
            <w:r w:rsidRPr="00FA3F9C">
              <w:rPr>
                <w:rFonts w:ascii="Arial" w:hAnsi="Arial" w:cs="Arial"/>
                <w:sz w:val="24"/>
                <w:szCs w:val="24"/>
              </w:rPr>
              <w:t>a past history</w:t>
            </w:r>
            <w:proofErr w:type="gramEnd"/>
            <w:r w:rsidRPr="00FA3F9C">
              <w:rPr>
                <w:rFonts w:ascii="Arial" w:hAnsi="Arial" w:cs="Arial"/>
                <w:sz w:val="24"/>
                <w:szCs w:val="24"/>
              </w:rPr>
              <w:t xml:space="preserve"> of a right heart catheterization which showed all of the following:</w:t>
            </w:r>
          </w:p>
          <w:p w14:paraId="1ADC80CB" w14:textId="77777777" w:rsidR="00C3036D" w:rsidRPr="00FA3F9C" w:rsidRDefault="00C3036D" w:rsidP="006F623F">
            <w:pPr>
              <w:rPr>
                <w:rFonts w:ascii="Arial" w:hAnsi="Arial" w:cs="Arial"/>
                <w:sz w:val="24"/>
                <w:szCs w:val="24"/>
              </w:rPr>
            </w:pPr>
            <w:r w:rsidRPr="00FA3F9C">
              <w:rPr>
                <w:rFonts w:ascii="Arial" w:hAnsi="Arial" w:cs="Arial"/>
                <w:sz w:val="24"/>
                <w:szCs w:val="24"/>
              </w:rPr>
              <w:t xml:space="preserve">     a.  </w:t>
            </w:r>
            <w:proofErr w:type="spellStart"/>
            <w:r w:rsidRPr="00FA3F9C">
              <w:rPr>
                <w:rFonts w:ascii="Arial" w:hAnsi="Arial" w:cs="Arial"/>
                <w:sz w:val="24"/>
                <w:szCs w:val="24"/>
              </w:rPr>
              <w:t>mPAP</w:t>
            </w:r>
            <w:proofErr w:type="spellEnd"/>
            <w:r w:rsidRPr="00FA3F9C">
              <w:rPr>
                <w:rFonts w:ascii="Arial" w:hAnsi="Arial" w:cs="Arial"/>
                <w:sz w:val="24"/>
                <w:szCs w:val="24"/>
              </w:rPr>
              <w:t xml:space="preserve"> of </w:t>
            </w:r>
            <w:r w:rsidRPr="00FA3F9C">
              <w:rPr>
                <w:rFonts w:ascii="Arial" w:hAnsi="Arial" w:cs="Arial"/>
                <w:sz w:val="24"/>
                <w:szCs w:val="24"/>
                <w:u w:val="single"/>
              </w:rPr>
              <w:t>&gt;</w:t>
            </w:r>
            <w:r w:rsidRPr="00FA3F9C">
              <w:rPr>
                <w:rFonts w:ascii="Arial" w:hAnsi="Arial" w:cs="Arial"/>
                <w:sz w:val="24"/>
                <w:szCs w:val="24"/>
              </w:rPr>
              <w:t>25 mmHg</w:t>
            </w:r>
          </w:p>
          <w:p w14:paraId="1845B5EE" w14:textId="77777777" w:rsidR="00C3036D" w:rsidRPr="00FA3F9C" w:rsidRDefault="00C3036D" w:rsidP="006F623F">
            <w:pPr>
              <w:rPr>
                <w:rFonts w:ascii="Arial" w:hAnsi="Arial" w:cs="Arial"/>
                <w:sz w:val="24"/>
                <w:szCs w:val="24"/>
                <w:lang w:val="fr-FR"/>
              </w:rPr>
            </w:pPr>
            <w:r w:rsidRPr="00FA3F9C">
              <w:rPr>
                <w:rFonts w:ascii="Arial" w:hAnsi="Arial" w:cs="Arial"/>
                <w:sz w:val="24"/>
                <w:szCs w:val="24"/>
              </w:rPr>
              <w:t xml:space="preserve">     b.  </w:t>
            </w:r>
            <w:r w:rsidRPr="00FA3F9C">
              <w:rPr>
                <w:rFonts w:ascii="Arial" w:hAnsi="Arial" w:cs="Arial"/>
                <w:sz w:val="24"/>
                <w:szCs w:val="24"/>
                <w:lang w:val="fr-FR"/>
              </w:rPr>
              <w:t xml:space="preserve">PVR </w:t>
            </w:r>
            <w:r w:rsidRPr="00FA3F9C">
              <w:rPr>
                <w:rFonts w:ascii="Arial" w:hAnsi="Arial" w:cs="Arial"/>
                <w:sz w:val="24"/>
                <w:szCs w:val="24"/>
                <w:u w:val="single"/>
                <w:lang w:val="fr-FR"/>
              </w:rPr>
              <w:t>&gt;</w:t>
            </w:r>
            <w:r w:rsidRPr="00FA3F9C">
              <w:rPr>
                <w:rFonts w:ascii="Arial" w:hAnsi="Arial" w:cs="Arial"/>
                <w:sz w:val="24"/>
                <w:szCs w:val="24"/>
                <w:lang w:val="fr-FR"/>
              </w:rPr>
              <w:t>240 dyne-sec/cm</w:t>
            </w:r>
            <w:r w:rsidRPr="00FA3F9C">
              <w:rPr>
                <w:rFonts w:ascii="Arial" w:hAnsi="Arial" w:cs="Arial"/>
                <w:sz w:val="24"/>
                <w:szCs w:val="24"/>
                <w:vertAlign w:val="superscript"/>
                <w:lang w:val="fr-FR"/>
              </w:rPr>
              <w:t>5</w:t>
            </w:r>
          </w:p>
          <w:p w14:paraId="45611831" w14:textId="77777777" w:rsidR="00C3036D" w:rsidRPr="00FA3F9C" w:rsidRDefault="00C3036D" w:rsidP="006F623F">
            <w:pPr>
              <w:rPr>
                <w:rFonts w:ascii="Arial" w:hAnsi="Arial" w:cs="Arial"/>
                <w:sz w:val="24"/>
                <w:szCs w:val="24"/>
              </w:rPr>
            </w:pPr>
            <w:r w:rsidRPr="00FA3F9C">
              <w:rPr>
                <w:rFonts w:ascii="Arial" w:hAnsi="Arial" w:cs="Arial"/>
                <w:sz w:val="24"/>
                <w:szCs w:val="24"/>
                <w:lang w:val="fr-FR"/>
              </w:rPr>
              <w:t xml:space="preserve">     c.  </w:t>
            </w:r>
            <w:r w:rsidRPr="00FA3F9C">
              <w:rPr>
                <w:rFonts w:ascii="Arial" w:hAnsi="Arial" w:cs="Arial"/>
                <w:sz w:val="24"/>
                <w:szCs w:val="24"/>
              </w:rPr>
              <w:t xml:space="preserve">PCWP or LVEDP of </w:t>
            </w:r>
            <w:r w:rsidRPr="00FA3F9C">
              <w:rPr>
                <w:rFonts w:ascii="Arial" w:hAnsi="Arial" w:cs="Arial"/>
                <w:sz w:val="24"/>
                <w:szCs w:val="24"/>
                <w:u w:val="single"/>
              </w:rPr>
              <w:t>&lt;</w:t>
            </w:r>
            <w:r w:rsidRPr="00FA3F9C">
              <w:rPr>
                <w:rFonts w:ascii="Arial" w:hAnsi="Arial" w:cs="Arial"/>
                <w:sz w:val="24"/>
                <w:szCs w:val="24"/>
              </w:rPr>
              <w:t>15 mmHg</w:t>
            </w:r>
          </w:p>
        </w:tc>
      </w:tr>
      <w:tr w:rsidR="00C3036D" w:rsidRPr="00FA3F9C" w14:paraId="6E2A6A9D" w14:textId="77777777" w:rsidTr="00BF36D5">
        <w:tc>
          <w:tcPr>
            <w:tcW w:w="11016" w:type="dxa"/>
            <w:gridSpan w:val="2"/>
          </w:tcPr>
          <w:p w14:paraId="033BCD28" w14:textId="77777777" w:rsidR="00C3036D" w:rsidRPr="00FA3F9C" w:rsidRDefault="00C3036D" w:rsidP="006F623F">
            <w:pPr>
              <w:rPr>
                <w:rFonts w:ascii="Arial" w:hAnsi="Arial" w:cs="Arial"/>
                <w:sz w:val="24"/>
                <w:szCs w:val="24"/>
              </w:rPr>
            </w:pPr>
            <w:r w:rsidRPr="00FA3F9C">
              <w:rPr>
                <w:rFonts w:ascii="Arial" w:hAnsi="Arial" w:cs="Arial"/>
                <w:b/>
                <w:color w:val="000000"/>
                <w:sz w:val="24"/>
                <w:szCs w:val="24"/>
                <w:vertAlign w:val="superscript"/>
              </w:rPr>
              <w:t>§</w:t>
            </w:r>
            <w:r w:rsidRPr="00FA3F9C">
              <w:rPr>
                <w:rFonts w:ascii="Arial" w:hAnsi="Arial" w:cs="Arial"/>
                <w:sz w:val="24"/>
                <w:szCs w:val="24"/>
              </w:rPr>
              <w:t>5.  Must have in the medical record in the previous 24 weeks both results from pulmonary function tests:</w:t>
            </w:r>
          </w:p>
          <w:p w14:paraId="283A240A" w14:textId="77777777" w:rsidR="00C3036D" w:rsidRPr="00FA3F9C" w:rsidRDefault="00C3036D" w:rsidP="006F623F">
            <w:pPr>
              <w:rPr>
                <w:rFonts w:ascii="Arial" w:hAnsi="Arial" w:cs="Arial"/>
                <w:sz w:val="24"/>
                <w:szCs w:val="24"/>
              </w:rPr>
            </w:pPr>
            <w:r w:rsidRPr="00FA3F9C">
              <w:rPr>
                <w:rFonts w:ascii="Arial" w:hAnsi="Arial" w:cs="Arial"/>
                <w:sz w:val="24"/>
                <w:szCs w:val="24"/>
              </w:rPr>
              <w:t xml:space="preserve">     a.  Total lung capacity (TLC) </w:t>
            </w:r>
            <w:r w:rsidRPr="00FA3F9C">
              <w:rPr>
                <w:rFonts w:ascii="Arial" w:hAnsi="Arial" w:cs="Arial"/>
                <w:sz w:val="24"/>
                <w:szCs w:val="24"/>
                <w:u w:val="single"/>
              </w:rPr>
              <w:t>&gt;</w:t>
            </w:r>
            <w:r w:rsidRPr="00FA3F9C">
              <w:rPr>
                <w:rFonts w:ascii="Arial" w:hAnsi="Arial" w:cs="Arial"/>
                <w:sz w:val="24"/>
                <w:szCs w:val="24"/>
              </w:rPr>
              <w:t>60% of predicted normal, AND</w:t>
            </w:r>
          </w:p>
          <w:p w14:paraId="5985696D" w14:textId="77777777" w:rsidR="00C3036D" w:rsidRPr="00FA3F9C" w:rsidRDefault="00C3036D" w:rsidP="002030BC">
            <w:pPr>
              <w:rPr>
                <w:rFonts w:ascii="Arial" w:hAnsi="Arial" w:cs="Arial"/>
                <w:sz w:val="24"/>
                <w:szCs w:val="24"/>
              </w:rPr>
            </w:pPr>
            <w:r w:rsidRPr="00FA3F9C">
              <w:rPr>
                <w:rFonts w:ascii="Arial" w:hAnsi="Arial" w:cs="Arial"/>
                <w:sz w:val="24"/>
                <w:szCs w:val="24"/>
              </w:rPr>
              <w:t xml:space="preserve">     b.  Forced expiratory volume in one second (FEV1) </w:t>
            </w:r>
            <w:r w:rsidRPr="00FA3F9C">
              <w:rPr>
                <w:rFonts w:ascii="Arial" w:hAnsi="Arial" w:cs="Arial"/>
                <w:sz w:val="24"/>
                <w:szCs w:val="24"/>
                <w:u w:val="single"/>
              </w:rPr>
              <w:t>&gt;</w:t>
            </w:r>
            <w:r w:rsidRPr="00FA3F9C">
              <w:rPr>
                <w:rFonts w:ascii="Arial" w:hAnsi="Arial" w:cs="Arial"/>
                <w:sz w:val="24"/>
                <w:szCs w:val="24"/>
              </w:rPr>
              <w:t>55% of predicted normal.</w:t>
            </w:r>
          </w:p>
        </w:tc>
      </w:tr>
      <w:tr w:rsidR="00C3036D" w:rsidRPr="00FA3F9C" w14:paraId="4661F899" w14:textId="77777777" w:rsidTr="00BF36D5">
        <w:tc>
          <w:tcPr>
            <w:tcW w:w="11016" w:type="dxa"/>
            <w:gridSpan w:val="2"/>
          </w:tcPr>
          <w:p w14:paraId="6C48F814" w14:textId="77777777" w:rsidR="00C3036D" w:rsidRPr="00FA3F9C" w:rsidRDefault="00C3036D" w:rsidP="006F623F">
            <w:pPr>
              <w:rPr>
                <w:rFonts w:ascii="Arial" w:hAnsi="Arial" w:cs="Arial"/>
                <w:color w:val="000000"/>
                <w:sz w:val="24"/>
                <w:szCs w:val="24"/>
              </w:rPr>
            </w:pPr>
            <w:r w:rsidRPr="00FA3F9C">
              <w:rPr>
                <w:rFonts w:ascii="Arial" w:hAnsi="Arial" w:cs="Arial"/>
                <w:color w:val="000000"/>
                <w:sz w:val="24"/>
                <w:szCs w:val="24"/>
              </w:rPr>
              <w:t>6.  Must have in the medical record a walk distance of between 125m and 500meters.</w:t>
            </w:r>
          </w:p>
        </w:tc>
      </w:tr>
    </w:tbl>
    <w:p w14:paraId="378ADDA0" w14:textId="77777777" w:rsidR="00C3036D" w:rsidRPr="00FA3F9C" w:rsidRDefault="00C3036D" w:rsidP="006F623F">
      <w:pPr>
        <w:spacing w:after="0"/>
        <w:rPr>
          <w:rFonts w:ascii="Arial" w:hAnsi="Arial" w:cs="Arial"/>
          <w:sz w:val="24"/>
          <w:szCs w:val="24"/>
        </w:rPr>
      </w:pPr>
      <w:r w:rsidRPr="00FA3F9C">
        <w:rPr>
          <w:rFonts w:ascii="Arial" w:hAnsi="Arial" w:cs="Arial"/>
          <w:sz w:val="24"/>
          <w:szCs w:val="24"/>
        </w:rPr>
        <w:t>*Group 1 PAH=idiopathic, hereditary, or PAH associated with connective tissue disease, drugs or toxins, HIV, or repaired congenital heart defects.</w:t>
      </w:r>
    </w:p>
    <w:p w14:paraId="65650702" w14:textId="77777777" w:rsidR="00C3036D" w:rsidRPr="00FA3F9C" w:rsidRDefault="00C3036D" w:rsidP="006F623F">
      <w:pPr>
        <w:spacing w:after="0"/>
        <w:rPr>
          <w:rFonts w:ascii="Arial" w:eastAsia="Times New Roman" w:hAnsi="Arial" w:cs="Arial"/>
          <w:color w:val="222222"/>
          <w:sz w:val="24"/>
          <w:szCs w:val="24"/>
          <w:shd w:val="clear" w:color="auto" w:fill="FFFFFF"/>
        </w:rPr>
      </w:pPr>
      <w:r w:rsidRPr="00FA3F9C">
        <w:rPr>
          <w:rFonts w:ascii="Arial" w:hAnsi="Arial" w:cs="Arial"/>
          <w:b/>
          <w:color w:val="000000"/>
          <w:sz w:val="24"/>
          <w:szCs w:val="24"/>
          <w:vertAlign w:val="superscript"/>
        </w:rPr>
        <w:t>§</w:t>
      </w:r>
      <w:r w:rsidRPr="00FA3F9C">
        <w:rPr>
          <w:rFonts w:ascii="Arial" w:hAnsi="Arial" w:cs="Arial"/>
          <w:color w:val="000000"/>
          <w:sz w:val="24"/>
          <w:szCs w:val="24"/>
        </w:rPr>
        <w:t>From the trial protocol’s inclusion criteria which showed the benefit.</w:t>
      </w:r>
      <w:r w:rsidRPr="00FA3F9C">
        <w:rPr>
          <w:rFonts w:ascii="Arial" w:eastAsia="Times New Roman" w:hAnsi="Arial" w:cs="Arial"/>
          <w:color w:val="222222"/>
          <w:sz w:val="24"/>
          <w:szCs w:val="24"/>
          <w:shd w:val="clear" w:color="auto" w:fill="FFFFFF"/>
        </w:rPr>
        <w:t xml:space="preserve"> (</w:t>
      </w:r>
      <w:proofErr w:type="spellStart"/>
      <w:r w:rsidRPr="00FA3F9C">
        <w:rPr>
          <w:rFonts w:ascii="Arial" w:eastAsia="Times New Roman" w:hAnsi="Arial" w:cs="Arial"/>
          <w:color w:val="222222"/>
          <w:sz w:val="24"/>
          <w:szCs w:val="24"/>
          <w:shd w:val="clear" w:color="auto" w:fill="FFFFFF"/>
        </w:rPr>
        <w:t>Galiè</w:t>
      </w:r>
      <w:proofErr w:type="spellEnd"/>
      <w:r w:rsidRPr="00FA3F9C">
        <w:rPr>
          <w:rFonts w:ascii="Arial" w:eastAsia="Times New Roman" w:hAnsi="Arial" w:cs="Arial"/>
          <w:color w:val="222222"/>
          <w:sz w:val="24"/>
          <w:szCs w:val="24"/>
          <w:shd w:val="clear" w:color="auto" w:fill="FFFFFF"/>
        </w:rPr>
        <w:t xml:space="preserve">, </w:t>
      </w:r>
      <w:proofErr w:type="spellStart"/>
      <w:r w:rsidRPr="00FA3F9C">
        <w:rPr>
          <w:rFonts w:ascii="Arial" w:eastAsia="Times New Roman" w:hAnsi="Arial" w:cs="Arial"/>
          <w:color w:val="222222"/>
          <w:sz w:val="24"/>
          <w:szCs w:val="24"/>
          <w:shd w:val="clear" w:color="auto" w:fill="FFFFFF"/>
        </w:rPr>
        <w:t>Nazzareno</w:t>
      </w:r>
      <w:proofErr w:type="spellEnd"/>
      <w:r w:rsidRPr="00FA3F9C">
        <w:rPr>
          <w:rFonts w:ascii="Arial" w:eastAsia="Times New Roman" w:hAnsi="Arial" w:cs="Arial"/>
          <w:color w:val="222222"/>
          <w:sz w:val="24"/>
          <w:szCs w:val="24"/>
          <w:shd w:val="clear" w:color="auto" w:fill="FFFFFF"/>
        </w:rPr>
        <w:t>, et al.)</w:t>
      </w:r>
    </w:p>
    <w:p w14:paraId="6FCAC74B" w14:textId="77777777" w:rsidR="00C3036D" w:rsidRPr="00FA3F9C" w:rsidRDefault="00C3036D" w:rsidP="006F623F">
      <w:pPr>
        <w:spacing w:after="0"/>
        <w:rPr>
          <w:rFonts w:ascii="Arial" w:hAnsi="Arial" w:cs="Arial"/>
          <w:sz w:val="24"/>
          <w:szCs w:val="24"/>
          <w:u w:val="single"/>
        </w:rPr>
      </w:pPr>
    </w:p>
    <w:tbl>
      <w:tblPr>
        <w:tblStyle w:val="TableGrid"/>
        <w:tblW w:w="0" w:type="auto"/>
        <w:tblLook w:val="04A0" w:firstRow="1" w:lastRow="0" w:firstColumn="1" w:lastColumn="0" w:noHBand="0" w:noVBand="1"/>
      </w:tblPr>
      <w:tblGrid>
        <w:gridCol w:w="8928"/>
        <w:gridCol w:w="2088"/>
      </w:tblGrid>
      <w:tr w:rsidR="00C3036D" w:rsidRPr="00FA3F9C" w14:paraId="42D1D63C" w14:textId="77777777" w:rsidTr="00571CAB">
        <w:tc>
          <w:tcPr>
            <w:tcW w:w="8928" w:type="dxa"/>
            <w:shd w:val="clear" w:color="auto" w:fill="000000"/>
          </w:tcPr>
          <w:p w14:paraId="514C73D8" w14:textId="77777777" w:rsidR="00C3036D" w:rsidRPr="00FA3F9C" w:rsidRDefault="00C3036D" w:rsidP="00571CAB">
            <w:pPr>
              <w:rPr>
                <w:rFonts w:ascii="Arial" w:hAnsi="Arial" w:cs="Arial"/>
                <w:b/>
                <w:sz w:val="24"/>
                <w:szCs w:val="24"/>
                <w:u w:val="single"/>
              </w:rPr>
            </w:pPr>
            <w:r w:rsidRPr="00FA3F9C">
              <w:rPr>
                <w:rFonts w:ascii="Arial" w:hAnsi="Arial" w:cs="Arial"/>
                <w:b/>
                <w:sz w:val="24"/>
                <w:szCs w:val="24"/>
                <w:u w:val="single"/>
              </w:rPr>
              <w:t>Criteria for continuation</w:t>
            </w:r>
          </w:p>
        </w:tc>
        <w:tc>
          <w:tcPr>
            <w:tcW w:w="2088" w:type="dxa"/>
            <w:shd w:val="clear" w:color="auto" w:fill="000000"/>
          </w:tcPr>
          <w:p w14:paraId="7D04F903" w14:textId="77777777" w:rsidR="00C3036D" w:rsidRPr="00FA3F9C" w:rsidRDefault="00C3036D" w:rsidP="00571CAB">
            <w:pPr>
              <w:jc w:val="center"/>
              <w:rPr>
                <w:rFonts w:ascii="Arial" w:hAnsi="Arial" w:cs="Arial"/>
                <w:b/>
                <w:sz w:val="24"/>
                <w:szCs w:val="24"/>
                <w:u w:val="single"/>
              </w:rPr>
            </w:pPr>
          </w:p>
        </w:tc>
      </w:tr>
      <w:tr w:rsidR="00C3036D" w:rsidRPr="00FA3F9C" w14:paraId="3BD45EDA" w14:textId="77777777" w:rsidTr="00B04B73">
        <w:tc>
          <w:tcPr>
            <w:tcW w:w="11016" w:type="dxa"/>
            <w:gridSpan w:val="2"/>
          </w:tcPr>
          <w:p w14:paraId="0714963D" w14:textId="77777777" w:rsidR="00C3036D" w:rsidRPr="00FA3F9C" w:rsidRDefault="00C3036D" w:rsidP="00571CAB">
            <w:pPr>
              <w:rPr>
                <w:rFonts w:ascii="Arial" w:hAnsi="Arial" w:cs="Arial"/>
                <w:sz w:val="24"/>
                <w:szCs w:val="24"/>
              </w:rPr>
            </w:pPr>
            <w:r w:rsidRPr="00FA3F9C">
              <w:rPr>
                <w:rFonts w:ascii="Arial" w:hAnsi="Arial" w:cs="Arial"/>
                <w:sz w:val="24"/>
                <w:szCs w:val="24"/>
              </w:rPr>
              <w:t>1.  Must have satisfied the above 1-6 items previously.</w:t>
            </w:r>
          </w:p>
        </w:tc>
      </w:tr>
    </w:tbl>
    <w:p w14:paraId="5D47AFFA" w14:textId="77777777" w:rsidR="00C3036D" w:rsidRPr="00FA3F9C" w:rsidRDefault="00C3036D" w:rsidP="006F623F">
      <w:pPr>
        <w:spacing w:after="0"/>
        <w:rPr>
          <w:rFonts w:ascii="Arial" w:hAnsi="Arial" w:cs="Arial"/>
          <w:b/>
          <w:sz w:val="24"/>
          <w:szCs w:val="24"/>
          <w:u w:val="single"/>
        </w:rPr>
      </w:pPr>
    </w:p>
    <w:tbl>
      <w:tblPr>
        <w:tblStyle w:val="TableGrid"/>
        <w:tblW w:w="0" w:type="auto"/>
        <w:shd w:val="clear" w:color="auto" w:fill="BFBFBF" w:themeFill="background1" w:themeFillShade="BF"/>
        <w:tblLook w:val="04A0" w:firstRow="1" w:lastRow="0" w:firstColumn="1" w:lastColumn="0" w:noHBand="0" w:noVBand="1"/>
      </w:tblPr>
      <w:tblGrid>
        <w:gridCol w:w="10998"/>
      </w:tblGrid>
      <w:tr w:rsidR="00C3036D" w:rsidRPr="00FA3F9C" w14:paraId="45D09652" w14:textId="77777777" w:rsidTr="00D82B6E">
        <w:tc>
          <w:tcPr>
            <w:tcW w:w="10998" w:type="dxa"/>
            <w:shd w:val="clear" w:color="auto" w:fill="BFBFBF" w:themeFill="background1" w:themeFillShade="BF"/>
          </w:tcPr>
          <w:p w14:paraId="22370168" w14:textId="77777777" w:rsidR="00C3036D" w:rsidRPr="00FA3F9C" w:rsidRDefault="00C3036D" w:rsidP="00D82B6E">
            <w:pPr>
              <w:rPr>
                <w:rFonts w:ascii="Arial" w:hAnsi="Arial" w:cs="Arial"/>
                <w:sz w:val="24"/>
                <w:szCs w:val="24"/>
              </w:rPr>
            </w:pPr>
            <w:r w:rsidRPr="00FA3F9C">
              <w:rPr>
                <w:rFonts w:ascii="Arial" w:hAnsi="Arial" w:cs="Arial"/>
                <w:sz w:val="24"/>
                <w:szCs w:val="24"/>
              </w:rPr>
              <w:t xml:space="preserve">Notes: </w:t>
            </w:r>
          </w:p>
          <w:p w14:paraId="333DC8BA" w14:textId="77777777" w:rsidR="00C3036D" w:rsidRPr="00FA3F9C" w:rsidRDefault="00C3036D" w:rsidP="00FC1E85">
            <w:pPr>
              <w:pStyle w:val="ListParagraph"/>
              <w:numPr>
                <w:ilvl w:val="0"/>
                <w:numId w:val="491"/>
              </w:numPr>
              <w:rPr>
                <w:rFonts w:ascii="Arial" w:hAnsi="Arial" w:cs="Arial"/>
                <w:sz w:val="24"/>
                <w:szCs w:val="24"/>
              </w:rPr>
            </w:pPr>
            <w:r w:rsidRPr="00FA3F9C">
              <w:rPr>
                <w:rFonts w:ascii="Arial" w:hAnsi="Arial" w:cs="Arial"/>
                <w:sz w:val="24"/>
                <w:szCs w:val="24"/>
              </w:rPr>
              <w:t xml:space="preserve">Tadalafil must be given in combination with </w:t>
            </w:r>
            <w:proofErr w:type="spellStart"/>
            <w:r w:rsidRPr="00FA3F9C">
              <w:rPr>
                <w:rFonts w:ascii="Arial" w:hAnsi="Arial" w:cs="Arial"/>
                <w:sz w:val="24"/>
                <w:szCs w:val="24"/>
              </w:rPr>
              <w:t>ambrisentan</w:t>
            </w:r>
            <w:proofErr w:type="spellEnd"/>
            <w:r w:rsidRPr="00FA3F9C">
              <w:rPr>
                <w:rFonts w:ascii="Arial" w:hAnsi="Arial" w:cs="Arial"/>
                <w:sz w:val="24"/>
                <w:szCs w:val="24"/>
              </w:rPr>
              <w:t xml:space="preserve"> for PAH.  (Otherwise use sildenafil.)</w:t>
            </w:r>
          </w:p>
          <w:p w14:paraId="644A4828" w14:textId="77777777" w:rsidR="00C3036D" w:rsidRPr="00FA3F9C" w:rsidRDefault="00C3036D" w:rsidP="00FC1E85">
            <w:pPr>
              <w:pStyle w:val="ListParagraph"/>
              <w:numPr>
                <w:ilvl w:val="0"/>
                <w:numId w:val="491"/>
              </w:numPr>
              <w:rPr>
                <w:rFonts w:ascii="Arial" w:hAnsi="Arial" w:cs="Arial"/>
                <w:sz w:val="24"/>
                <w:szCs w:val="24"/>
              </w:rPr>
            </w:pPr>
            <w:r w:rsidRPr="00FA3F9C">
              <w:rPr>
                <w:rFonts w:ascii="Arial" w:hAnsi="Arial" w:cs="Arial"/>
                <w:sz w:val="24"/>
                <w:szCs w:val="24"/>
              </w:rPr>
              <w:t>Dose is 40mg QD.  If taking ritonavir, the dose is 20mg QD.</w:t>
            </w:r>
          </w:p>
          <w:p w14:paraId="10BF1667" w14:textId="77777777" w:rsidR="00C3036D" w:rsidRPr="00FA3F9C" w:rsidRDefault="00C3036D" w:rsidP="00FC1E85">
            <w:pPr>
              <w:pStyle w:val="ListParagraph"/>
              <w:numPr>
                <w:ilvl w:val="0"/>
                <w:numId w:val="491"/>
              </w:numPr>
              <w:rPr>
                <w:rFonts w:ascii="Arial" w:hAnsi="Arial" w:cs="Arial"/>
                <w:sz w:val="24"/>
                <w:szCs w:val="24"/>
              </w:rPr>
            </w:pPr>
            <w:r w:rsidRPr="00FA3F9C">
              <w:rPr>
                <w:rFonts w:ascii="Arial" w:hAnsi="Arial" w:cs="Arial"/>
                <w:sz w:val="24"/>
                <w:szCs w:val="24"/>
              </w:rPr>
              <w:t>PA is good for 1 year.</w:t>
            </w:r>
          </w:p>
          <w:p w14:paraId="0DCB282A" w14:textId="77777777" w:rsidR="00C3036D" w:rsidRPr="00FA3F9C" w:rsidRDefault="00C3036D" w:rsidP="00FC1E85">
            <w:pPr>
              <w:pStyle w:val="ListParagraph"/>
              <w:numPr>
                <w:ilvl w:val="0"/>
                <w:numId w:val="491"/>
              </w:numPr>
              <w:rPr>
                <w:rFonts w:ascii="Arial" w:hAnsi="Arial" w:cs="Arial"/>
                <w:sz w:val="24"/>
                <w:szCs w:val="24"/>
              </w:rPr>
            </w:pPr>
            <w:r w:rsidRPr="00FA3F9C">
              <w:rPr>
                <w:rFonts w:ascii="Arial" w:hAnsi="Arial" w:cs="Arial"/>
                <w:sz w:val="24"/>
                <w:szCs w:val="24"/>
              </w:rPr>
              <w:t>Quantity Limits: 2/1</w:t>
            </w:r>
          </w:p>
        </w:tc>
      </w:tr>
    </w:tbl>
    <w:p w14:paraId="6E239111" w14:textId="77777777" w:rsidR="00C3036D" w:rsidRPr="00FA3F9C" w:rsidRDefault="00C3036D" w:rsidP="00BF36D5">
      <w:pPr>
        <w:spacing w:after="0" w:line="240" w:lineRule="auto"/>
        <w:rPr>
          <w:rFonts w:ascii="Arial" w:hAnsi="Arial" w:cs="Arial"/>
          <w:sz w:val="24"/>
          <w:szCs w:val="24"/>
        </w:rPr>
      </w:pPr>
      <w:r w:rsidRPr="00FA3F9C">
        <w:rPr>
          <w:rFonts w:ascii="Arial" w:hAnsi="Arial" w:cs="Arial"/>
          <w:sz w:val="24"/>
          <w:szCs w:val="24"/>
        </w:rPr>
        <w:t>References:</w:t>
      </w:r>
    </w:p>
    <w:p w14:paraId="65812BBD" w14:textId="77777777" w:rsidR="00C3036D" w:rsidRPr="00FA3F9C" w:rsidRDefault="00C3036D" w:rsidP="00BF36D5">
      <w:pPr>
        <w:spacing w:after="0" w:line="240" w:lineRule="auto"/>
        <w:rPr>
          <w:rFonts w:ascii="Arial" w:hAnsi="Arial" w:cs="Arial"/>
          <w:sz w:val="24"/>
          <w:szCs w:val="24"/>
        </w:rPr>
      </w:pPr>
      <w:r w:rsidRPr="00FA3F9C">
        <w:rPr>
          <w:rFonts w:ascii="Arial" w:hAnsi="Arial" w:cs="Arial"/>
          <w:sz w:val="24"/>
          <w:szCs w:val="24"/>
        </w:rPr>
        <w:t>1.  Shah SJ.  Pulmonary Hypertension.  JAMA. 2012;308(13):1366-1374.</w:t>
      </w:r>
    </w:p>
    <w:p w14:paraId="2777E786" w14:textId="77777777" w:rsidR="00C3036D" w:rsidRPr="00FA3F9C" w:rsidRDefault="00C3036D" w:rsidP="00BF36D5">
      <w:pPr>
        <w:spacing w:after="0" w:line="240" w:lineRule="auto"/>
        <w:rPr>
          <w:rFonts w:ascii="Arial" w:hAnsi="Arial" w:cs="Arial"/>
          <w:sz w:val="24"/>
          <w:szCs w:val="24"/>
        </w:rPr>
      </w:pPr>
      <w:r w:rsidRPr="00FA3F9C">
        <w:rPr>
          <w:rFonts w:ascii="Arial" w:hAnsi="Arial" w:cs="Arial"/>
          <w:sz w:val="24"/>
          <w:szCs w:val="24"/>
        </w:rPr>
        <w:t xml:space="preserve">2.  Hopkins W, Rubin LJ.  Treatment of pulmonary hypertension in adults.  UpToDate.  </w:t>
      </w:r>
      <w:hyperlink r:id="rId398" w:history="1">
        <w:r w:rsidRPr="00FA3F9C">
          <w:rPr>
            <w:rStyle w:val="Hyperlink"/>
            <w:rFonts w:ascii="Arial" w:hAnsi="Arial" w:cs="Arial"/>
            <w:sz w:val="24"/>
            <w:szCs w:val="24"/>
          </w:rPr>
          <w:t>http://www.uptodate.com/contents/treatment-of-pulmonary-hypertension-in-adults?source=search_result&amp;search=pulmonary++hypertension&amp;selectedTitle=2~150</w:t>
        </w:r>
      </w:hyperlink>
      <w:r w:rsidRPr="00FA3F9C">
        <w:rPr>
          <w:rFonts w:ascii="Arial" w:hAnsi="Arial" w:cs="Arial"/>
          <w:sz w:val="24"/>
          <w:szCs w:val="24"/>
        </w:rPr>
        <w:t>.  Accessed 2/11/14.</w:t>
      </w:r>
    </w:p>
    <w:p w14:paraId="3DF9CECE" w14:textId="77777777" w:rsidR="00C3036D" w:rsidRPr="00FA3F9C" w:rsidRDefault="00C3036D" w:rsidP="00BF36D5">
      <w:pPr>
        <w:widowControl w:val="0"/>
        <w:autoSpaceDE w:val="0"/>
        <w:autoSpaceDN w:val="0"/>
        <w:adjustRightInd w:val="0"/>
        <w:spacing w:after="0" w:line="240" w:lineRule="auto"/>
        <w:rPr>
          <w:rFonts w:ascii="Arial" w:hAnsi="Arial" w:cs="Arial"/>
          <w:sz w:val="24"/>
          <w:szCs w:val="24"/>
        </w:rPr>
      </w:pPr>
      <w:r w:rsidRPr="00FA3F9C">
        <w:rPr>
          <w:rFonts w:ascii="Arial" w:hAnsi="Arial" w:cs="Arial"/>
          <w:sz w:val="24"/>
          <w:szCs w:val="24"/>
        </w:rPr>
        <w:t>3.  Liu C, Chen J, Gao Y, Deng B, Liu K. Endothelin receptor antagonists for pulmonary arterial hypertension. Cochrane Database of Systematic Reviews 2013, Issue 2. Art. No.: CD004434. DOI: 10.1002/14651858.CD004434.pub5.</w:t>
      </w:r>
    </w:p>
    <w:p w14:paraId="337F877C" w14:textId="77777777" w:rsidR="00C3036D" w:rsidRPr="00FA3F9C" w:rsidRDefault="00C3036D" w:rsidP="00BF36D5">
      <w:pPr>
        <w:widowControl w:val="0"/>
        <w:autoSpaceDE w:val="0"/>
        <w:autoSpaceDN w:val="0"/>
        <w:adjustRightInd w:val="0"/>
        <w:spacing w:after="0" w:line="240" w:lineRule="auto"/>
        <w:rPr>
          <w:rFonts w:ascii="Arial" w:hAnsi="Arial" w:cs="Arial"/>
          <w:sz w:val="24"/>
          <w:szCs w:val="24"/>
        </w:rPr>
      </w:pPr>
      <w:r w:rsidRPr="00FA3F9C">
        <w:rPr>
          <w:rFonts w:ascii="Arial" w:hAnsi="Arial" w:cs="Arial"/>
          <w:sz w:val="24"/>
          <w:szCs w:val="24"/>
        </w:rPr>
        <w:t xml:space="preserve">4.  Pulido T, </w:t>
      </w:r>
      <w:proofErr w:type="spellStart"/>
      <w:r w:rsidRPr="00FA3F9C">
        <w:rPr>
          <w:rFonts w:ascii="Arial" w:hAnsi="Arial" w:cs="Arial"/>
          <w:sz w:val="24"/>
          <w:szCs w:val="24"/>
        </w:rPr>
        <w:t>Adzerikho</w:t>
      </w:r>
      <w:proofErr w:type="spellEnd"/>
      <w:r w:rsidRPr="00FA3F9C">
        <w:rPr>
          <w:rFonts w:ascii="Arial" w:hAnsi="Arial" w:cs="Arial"/>
          <w:sz w:val="24"/>
          <w:szCs w:val="24"/>
        </w:rPr>
        <w:t xml:space="preserve"> I, </w:t>
      </w:r>
      <w:proofErr w:type="spellStart"/>
      <w:r w:rsidRPr="00FA3F9C">
        <w:rPr>
          <w:rFonts w:ascii="Arial" w:hAnsi="Arial" w:cs="Arial"/>
          <w:sz w:val="24"/>
          <w:szCs w:val="24"/>
        </w:rPr>
        <w:t>Channick</w:t>
      </w:r>
      <w:proofErr w:type="spellEnd"/>
      <w:r w:rsidRPr="00FA3F9C">
        <w:rPr>
          <w:rFonts w:ascii="Arial" w:hAnsi="Arial" w:cs="Arial"/>
          <w:sz w:val="24"/>
          <w:szCs w:val="24"/>
        </w:rPr>
        <w:t xml:space="preserve"> RN, et al.  </w:t>
      </w:r>
      <w:proofErr w:type="spellStart"/>
      <w:r w:rsidRPr="00FA3F9C">
        <w:rPr>
          <w:rFonts w:ascii="Arial" w:hAnsi="Arial" w:cs="Arial"/>
          <w:sz w:val="24"/>
          <w:szCs w:val="24"/>
        </w:rPr>
        <w:t>Macitentan</w:t>
      </w:r>
      <w:proofErr w:type="spellEnd"/>
      <w:r w:rsidRPr="00FA3F9C">
        <w:rPr>
          <w:rFonts w:ascii="Arial" w:hAnsi="Arial" w:cs="Arial"/>
          <w:sz w:val="24"/>
          <w:szCs w:val="24"/>
        </w:rPr>
        <w:t xml:space="preserve"> and morbidity and mortality in pulmonary arterial hypertension.  N </w:t>
      </w:r>
      <w:proofErr w:type="spellStart"/>
      <w:r w:rsidRPr="00FA3F9C">
        <w:rPr>
          <w:rFonts w:ascii="Arial" w:hAnsi="Arial" w:cs="Arial"/>
          <w:sz w:val="24"/>
          <w:szCs w:val="24"/>
        </w:rPr>
        <w:t>Engl</w:t>
      </w:r>
      <w:proofErr w:type="spellEnd"/>
      <w:r w:rsidRPr="00FA3F9C">
        <w:rPr>
          <w:rFonts w:ascii="Arial" w:hAnsi="Arial" w:cs="Arial"/>
          <w:sz w:val="24"/>
          <w:szCs w:val="24"/>
        </w:rPr>
        <w:t xml:space="preserve"> J Med. 2013;369:809-18.</w:t>
      </w:r>
    </w:p>
    <w:p w14:paraId="3E7D60EF" w14:textId="77777777" w:rsidR="00C3036D" w:rsidRPr="00FA3F9C" w:rsidRDefault="00C3036D" w:rsidP="00BF36D5">
      <w:pPr>
        <w:widowControl w:val="0"/>
        <w:autoSpaceDE w:val="0"/>
        <w:autoSpaceDN w:val="0"/>
        <w:adjustRightInd w:val="0"/>
        <w:spacing w:after="0" w:line="240" w:lineRule="auto"/>
        <w:rPr>
          <w:rFonts w:ascii="Arial" w:hAnsi="Arial" w:cs="Arial"/>
          <w:sz w:val="24"/>
          <w:szCs w:val="24"/>
          <w:lang w:val="fr-FR"/>
        </w:rPr>
      </w:pPr>
      <w:r w:rsidRPr="00FA3F9C">
        <w:rPr>
          <w:rFonts w:ascii="Arial" w:hAnsi="Arial" w:cs="Arial"/>
          <w:sz w:val="24"/>
          <w:szCs w:val="24"/>
        </w:rPr>
        <w:t xml:space="preserve">5.  </w:t>
      </w:r>
      <w:proofErr w:type="spellStart"/>
      <w:r w:rsidRPr="00FA3F9C">
        <w:rPr>
          <w:rFonts w:ascii="Arial" w:hAnsi="Arial" w:cs="Arial"/>
          <w:sz w:val="24"/>
          <w:szCs w:val="24"/>
        </w:rPr>
        <w:t>Ghofrani</w:t>
      </w:r>
      <w:proofErr w:type="spellEnd"/>
      <w:r w:rsidRPr="00FA3F9C">
        <w:rPr>
          <w:rFonts w:ascii="Arial" w:hAnsi="Arial" w:cs="Arial"/>
          <w:sz w:val="24"/>
          <w:szCs w:val="24"/>
        </w:rPr>
        <w:t xml:space="preserve"> H, </w:t>
      </w:r>
      <w:proofErr w:type="spellStart"/>
      <w:r w:rsidRPr="00FA3F9C">
        <w:rPr>
          <w:rFonts w:ascii="Arial" w:hAnsi="Arial" w:cs="Arial"/>
          <w:sz w:val="24"/>
          <w:szCs w:val="24"/>
        </w:rPr>
        <w:t>D’Armini</w:t>
      </w:r>
      <w:proofErr w:type="spellEnd"/>
      <w:r w:rsidRPr="00FA3F9C">
        <w:rPr>
          <w:rFonts w:ascii="Arial" w:hAnsi="Arial" w:cs="Arial"/>
          <w:sz w:val="24"/>
          <w:szCs w:val="24"/>
        </w:rPr>
        <w:t xml:space="preserve"> AM, Grimminger F, et al.  </w:t>
      </w:r>
      <w:proofErr w:type="spellStart"/>
      <w:r w:rsidRPr="00FA3F9C">
        <w:rPr>
          <w:rFonts w:ascii="Arial" w:hAnsi="Arial" w:cs="Arial"/>
          <w:sz w:val="24"/>
          <w:szCs w:val="24"/>
        </w:rPr>
        <w:t>Riociguat</w:t>
      </w:r>
      <w:proofErr w:type="spellEnd"/>
      <w:r w:rsidRPr="00FA3F9C">
        <w:rPr>
          <w:rFonts w:ascii="Arial" w:hAnsi="Arial" w:cs="Arial"/>
          <w:sz w:val="24"/>
          <w:szCs w:val="24"/>
        </w:rPr>
        <w:t xml:space="preserve"> for the treatment of chronic thromboembolic pulmonary hypertension.  </w:t>
      </w:r>
      <w:r w:rsidRPr="00FA3F9C">
        <w:rPr>
          <w:rFonts w:ascii="Arial" w:hAnsi="Arial" w:cs="Arial"/>
          <w:sz w:val="24"/>
          <w:szCs w:val="24"/>
          <w:lang w:val="fr-FR"/>
        </w:rPr>
        <w:t xml:space="preserve">N </w:t>
      </w:r>
      <w:proofErr w:type="spellStart"/>
      <w:r w:rsidRPr="00FA3F9C">
        <w:rPr>
          <w:rFonts w:ascii="Arial" w:hAnsi="Arial" w:cs="Arial"/>
          <w:sz w:val="24"/>
          <w:szCs w:val="24"/>
          <w:lang w:val="fr-FR"/>
        </w:rPr>
        <w:t>Engl</w:t>
      </w:r>
      <w:proofErr w:type="spellEnd"/>
      <w:r w:rsidRPr="00FA3F9C">
        <w:rPr>
          <w:rFonts w:ascii="Arial" w:hAnsi="Arial" w:cs="Arial"/>
          <w:sz w:val="24"/>
          <w:szCs w:val="24"/>
          <w:lang w:val="fr-FR"/>
        </w:rPr>
        <w:t xml:space="preserve"> J Med. </w:t>
      </w:r>
      <w:proofErr w:type="gramStart"/>
      <w:r w:rsidRPr="00FA3F9C">
        <w:rPr>
          <w:rFonts w:ascii="Arial" w:hAnsi="Arial" w:cs="Arial"/>
          <w:sz w:val="24"/>
          <w:szCs w:val="24"/>
          <w:lang w:val="fr-FR"/>
        </w:rPr>
        <w:t>2013;</w:t>
      </w:r>
      <w:proofErr w:type="gramEnd"/>
      <w:r w:rsidRPr="00FA3F9C">
        <w:rPr>
          <w:rFonts w:ascii="Arial" w:hAnsi="Arial" w:cs="Arial"/>
          <w:sz w:val="24"/>
          <w:szCs w:val="24"/>
          <w:lang w:val="fr-FR"/>
        </w:rPr>
        <w:t>369:319-29.</w:t>
      </w:r>
    </w:p>
    <w:p w14:paraId="6AFC9633" w14:textId="77777777" w:rsidR="00C3036D" w:rsidRPr="00FA3F9C" w:rsidRDefault="00C3036D" w:rsidP="00BF36D5">
      <w:pPr>
        <w:widowControl w:val="0"/>
        <w:autoSpaceDE w:val="0"/>
        <w:autoSpaceDN w:val="0"/>
        <w:adjustRightInd w:val="0"/>
        <w:spacing w:after="0" w:line="240" w:lineRule="auto"/>
        <w:rPr>
          <w:rFonts w:ascii="Arial" w:hAnsi="Arial" w:cs="Arial"/>
          <w:sz w:val="24"/>
          <w:szCs w:val="24"/>
        </w:rPr>
      </w:pPr>
      <w:r w:rsidRPr="00FA3F9C">
        <w:rPr>
          <w:rFonts w:ascii="Arial" w:hAnsi="Arial" w:cs="Arial"/>
          <w:sz w:val="24"/>
          <w:szCs w:val="24"/>
          <w:lang w:val="fr-FR"/>
        </w:rPr>
        <w:t xml:space="preserve">6.  </w:t>
      </w:r>
      <w:proofErr w:type="spellStart"/>
      <w:r w:rsidRPr="00FA3F9C">
        <w:rPr>
          <w:rFonts w:ascii="Arial" w:hAnsi="Arial" w:cs="Arial"/>
          <w:sz w:val="24"/>
          <w:szCs w:val="24"/>
          <w:lang w:val="fr-FR"/>
        </w:rPr>
        <w:t>Ghofrani</w:t>
      </w:r>
      <w:proofErr w:type="spellEnd"/>
      <w:r w:rsidRPr="00FA3F9C">
        <w:rPr>
          <w:rFonts w:ascii="Arial" w:hAnsi="Arial" w:cs="Arial"/>
          <w:sz w:val="24"/>
          <w:szCs w:val="24"/>
          <w:lang w:val="fr-FR"/>
        </w:rPr>
        <w:t xml:space="preserve"> H, </w:t>
      </w:r>
      <w:proofErr w:type="spellStart"/>
      <w:r w:rsidRPr="00FA3F9C">
        <w:rPr>
          <w:rFonts w:ascii="Arial" w:hAnsi="Arial" w:cs="Arial"/>
          <w:sz w:val="24"/>
          <w:szCs w:val="24"/>
          <w:lang w:val="fr-FR"/>
        </w:rPr>
        <w:t>Galie</w:t>
      </w:r>
      <w:proofErr w:type="spellEnd"/>
      <w:r w:rsidRPr="00FA3F9C">
        <w:rPr>
          <w:rFonts w:ascii="Arial" w:hAnsi="Arial" w:cs="Arial"/>
          <w:sz w:val="24"/>
          <w:szCs w:val="24"/>
          <w:lang w:val="fr-FR"/>
        </w:rPr>
        <w:t xml:space="preserve"> N, </w:t>
      </w:r>
      <w:proofErr w:type="spellStart"/>
      <w:r w:rsidRPr="00FA3F9C">
        <w:rPr>
          <w:rFonts w:ascii="Arial" w:hAnsi="Arial" w:cs="Arial"/>
          <w:sz w:val="24"/>
          <w:szCs w:val="24"/>
          <w:lang w:val="fr-FR"/>
        </w:rPr>
        <w:t>Grimminger</w:t>
      </w:r>
      <w:proofErr w:type="spellEnd"/>
      <w:r w:rsidRPr="00FA3F9C">
        <w:rPr>
          <w:rFonts w:ascii="Arial" w:hAnsi="Arial" w:cs="Arial"/>
          <w:sz w:val="24"/>
          <w:szCs w:val="24"/>
          <w:lang w:val="fr-FR"/>
        </w:rPr>
        <w:t xml:space="preserve"> F, </w:t>
      </w:r>
      <w:proofErr w:type="spellStart"/>
      <w:r w:rsidRPr="00FA3F9C">
        <w:rPr>
          <w:rFonts w:ascii="Arial" w:hAnsi="Arial" w:cs="Arial"/>
          <w:sz w:val="24"/>
          <w:szCs w:val="24"/>
          <w:lang w:val="fr-FR"/>
        </w:rPr>
        <w:t>Grunig</w:t>
      </w:r>
      <w:proofErr w:type="spellEnd"/>
      <w:r w:rsidRPr="00FA3F9C">
        <w:rPr>
          <w:rFonts w:ascii="Arial" w:hAnsi="Arial" w:cs="Arial"/>
          <w:sz w:val="24"/>
          <w:szCs w:val="24"/>
          <w:lang w:val="fr-FR"/>
        </w:rPr>
        <w:t xml:space="preserve"> E, et al.  </w:t>
      </w:r>
      <w:proofErr w:type="spellStart"/>
      <w:r w:rsidRPr="00FA3F9C">
        <w:rPr>
          <w:rFonts w:ascii="Arial" w:hAnsi="Arial" w:cs="Arial"/>
          <w:sz w:val="24"/>
          <w:szCs w:val="24"/>
        </w:rPr>
        <w:t>Riociguat</w:t>
      </w:r>
      <w:proofErr w:type="spellEnd"/>
      <w:r w:rsidRPr="00FA3F9C">
        <w:rPr>
          <w:rFonts w:ascii="Arial" w:hAnsi="Arial" w:cs="Arial"/>
          <w:sz w:val="24"/>
          <w:szCs w:val="24"/>
        </w:rPr>
        <w:t xml:space="preserve"> for the treatment of pulmonary arterial hypertension.  (PATENT-1). N </w:t>
      </w:r>
      <w:proofErr w:type="spellStart"/>
      <w:r w:rsidRPr="00FA3F9C">
        <w:rPr>
          <w:rFonts w:ascii="Arial" w:hAnsi="Arial" w:cs="Arial"/>
          <w:sz w:val="24"/>
          <w:szCs w:val="24"/>
        </w:rPr>
        <w:t>Engl</w:t>
      </w:r>
      <w:proofErr w:type="spellEnd"/>
      <w:r w:rsidRPr="00FA3F9C">
        <w:rPr>
          <w:rFonts w:ascii="Arial" w:hAnsi="Arial" w:cs="Arial"/>
          <w:sz w:val="24"/>
          <w:szCs w:val="24"/>
        </w:rPr>
        <w:t xml:space="preserve"> J Med. 2013;369:330-40.</w:t>
      </w:r>
    </w:p>
    <w:p w14:paraId="771B1983" w14:textId="77777777" w:rsidR="00C3036D" w:rsidRPr="00FA3F9C" w:rsidRDefault="00C3036D" w:rsidP="00BF36D5">
      <w:pPr>
        <w:widowControl w:val="0"/>
        <w:autoSpaceDE w:val="0"/>
        <w:autoSpaceDN w:val="0"/>
        <w:adjustRightInd w:val="0"/>
        <w:spacing w:after="0" w:line="240" w:lineRule="auto"/>
        <w:rPr>
          <w:rFonts w:ascii="Arial" w:hAnsi="Arial" w:cs="Arial"/>
          <w:sz w:val="24"/>
          <w:szCs w:val="24"/>
        </w:rPr>
      </w:pPr>
      <w:r w:rsidRPr="00FA3F9C">
        <w:rPr>
          <w:rFonts w:ascii="Arial" w:hAnsi="Arial" w:cs="Arial"/>
          <w:sz w:val="24"/>
          <w:szCs w:val="24"/>
        </w:rPr>
        <w:t xml:space="preserve">7.  Archer SL.  </w:t>
      </w:r>
      <w:proofErr w:type="spellStart"/>
      <w:r w:rsidRPr="00FA3F9C">
        <w:rPr>
          <w:rFonts w:ascii="Arial" w:hAnsi="Arial" w:cs="Arial"/>
          <w:sz w:val="24"/>
          <w:szCs w:val="24"/>
        </w:rPr>
        <w:t>Riociguat</w:t>
      </w:r>
      <w:proofErr w:type="spellEnd"/>
      <w:r w:rsidRPr="00FA3F9C">
        <w:rPr>
          <w:rFonts w:ascii="Arial" w:hAnsi="Arial" w:cs="Arial"/>
          <w:sz w:val="24"/>
          <w:szCs w:val="24"/>
        </w:rPr>
        <w:t xml:space="preserve"> for pulmonary hypertension—a glass half full.  N </w:t>
      </w:r>
      <w:proofErr w:type="spellStart"/>
      <w:r w:rsidRPr="00FA3F9C">
        <w:rPr>
          <w:rFonts w:ascii="Arial" w:hAnsi="Arial" w:cs="Arial"/>
          <w:sz w:val="24"/>
          <w:szCs w:val="24"/>
        </w:rPr>
        <w:t>Engl</w:t>
      </w:r>
      <w:proofErr w:type="spellEnd"/>
      <w:r w:rsidRPr="00FA3F9C">
        <w:rPr>
          <w:rFonts w:ascii="Arial" w:hAnsi="Arial" w:cs="Arial"/>
          <w:sz w:val="24"/>
          <w:szCs w:val="24"/>
        </w:rPr>
        <w:t xml:space="preserve"> J Med. 2013;369(4):386-88.</w:t>
      </w:r>
    </w:p>
    <w:p w14:paraId="65AEA183" w14:textId="77777777" w:rsidR="00C3036D" w:rsidRPr="00FA3F9C" w:rsidRDefault="00C3036D" w:rsidP="00BF36D5">
      <w:pPr>
        <w:widowControl w:val="0"/>
        <w:autoSpaceDE w:val="0"/>
        <w:autoSpaceDN w:val="0"/>
        <w:adjustRightInd w:val="0"/>
        <w:spacing w:after="0" w:line="240" w:lineRule="auto"/>
        <w:rPr>
          <w:rFonts w:ascii="Arial" w:hAnsi="Arial" w:cs="Arial"/>
          <w:sz w:val="24"/>
          <w:szCs w:val="24"/>
        </w:rPr>
      </w:pPr>
      <w:r w:rsidRPr="00FA3F9C">
        <w:rPr>
          <w:rFonts w:ascii="Arial" w:hAnsi="Arial" w:cs="Arial"/>
          <w:sz w:val="24"/>
          <w:szCs w:val="24"/>
        </w:rPr>
        <w:t>8.  Gabler NB, French B, Strom BL, et al.  Validation of 6-minute walk distance as a surrogate end point in pulmonary arterial hypertension trials. Circulation.2012;126:349-356.</w:t>
      </w:r>
    </w:p>
    <w:p w14:paraId="77770038" w14:textId="77777777" w:rsidR="00C3036D" w:rsidRPr="00FA3F9C" w:rsidRDefault="00C3036D" w:rsidP="00BF36D5">
      <w:pPr>
        <w:widowControl w:val="0"/>
        <w:autoSpaceDE w:val="0"/>
        <w:autoSpaceDN w:val="0"/>
        <w:adjustRightInd w:val="0"/>
        <w:spacing w:after="0" w:line="240" w:lineRule="auto"/>
        <w:rPr>
          <w:rFonts w:ascii="Arial" w:hAnsi="Arial" w:cs="Arial"/>
          <w:sz w:val="24"/>
          <w:szCs w:val="24"/>
        </w:rPr>
      </w:pPr>
      <w:r w:rsidRPr="00FA3F9C">
        <w:rPr>
          <w:rFonts w:ascii="Arial" w:hAnsi="Arial" w:cs="Arial"/>
          <w:sz w:val="24"/>
          <w:szCs w:val="24"/>
        </w:rPr>
        <w:t>9.  Savarese G, Paolillo S, et al.  Do changes in 6MWD predict clinical events in patients with PAH? A meta-analysis of 22 randomized trials.  J Am Coll Cardio. 2012;60(13):1192-1201.</w:t>
      </w:r>
    </w:p>
    <w:p w14:paraId="2B50582F" w14:textId="77777777" w:rsidR="00C3036D" w:rsidRPr="00FA3F9C" w:rsidRDefault="00C3036D" w:rsidP="00BF36D5">
      <w:pPr>
        <w:widowControl w:val="0"/>
        <w:autoSpaceDE w:val="0"/>
        <w:autoSpaceDN w:val="0"/>
        <w:adjustRightInd w:val="0"/>
        <w:spacing w:after="0" w:line="240" w:lineRule="auto"/>
        <w:rPr>
          <w:rFonts w:ascii="Arial" w:hAnsi="Arial" w:cs="Arial"/>
          <w:sz w:val="24"/>
          <w:szCs w:val="24"/>
        </w:rPr>
      </w:pPr>
      <w:r w:rsidRPr="00FA3F9C">
        <w:rPr>
          <w:rFonts w:ascii="Arial" w:hAnsi="Arial" w:cs="Arial"/>
          <w:sz w:val="24"/>
          <w:szCs w:val="24"/>
        </w:rPr>
        <w:t>10.  ESC and ERS. 2015 ESC/ERS Guidelines for the diagnosis and treatment of pulmonary hypertension.  European Heart Journal. 2016;37:67-119.</w:t>
      </w:r>
    </w:p>
    <w:p w14:paraId="4453D605" w14:textId="77777777" w:rsidR="00C3036D" w:rsidRPr="00FA3F9C" w:rsidRDefault="00C3036D" w:rsidP="00BF36D5">
      <w:pPr>
        <w:widowControl w:val="0"/>
        <w:autoSpaceDE w:val="0"/>
        <w:autoSpaceDN w:val="0"/>
        <w:adjustRightInd w:val="0"/>
        <w:spacing w:after="0" w:line="240" w:lineRule="auto"/>
        <w:rPr>
          <w:rFonts w:ascii="Arial" w:hAnsi="Arial" w:cs="Arial"/>
          <w:sz w:val="24"/>
          <w:szCs w:val="24"/>
        </w:rPr>
      </w:pPr>
      <w:r w:rsidRPr="00FA3F9C">
        <w:rPr>
          <w:rFonts w:ascii="Arial" w:hAnsi="Arial" w:cs="Arial"/>
          <w:sz w:val="24"/>
          <w:szCs w:val="24"/>
        </w:rPr>
        <w:t>11.  Tadalafil.  Lexicomp, accessed 4/5/16 for dosing and dosage forms.</w:t>
      </w:r>
    </w:p>
    <w:p w14:paraId="5F465A93" w14:textId="77777777" w:rsidR="00C3036D" w:rsidRPr="00FA3F9C" w:rsidRDefault="00C3036D" w:rsidP="00C6564F">
      <w:pPr>
        <w:spacing w:after="0"/>
        <w:rPr>
          <w:rFonts w:ascii="Arial" w:eastAsia="Times New Roman" w:hAnsi="Arial" w:cs="Arial"/>
          <w:sz w:val="24"/>
          <w:szCs w:val="24"/>
        </w:rPr>
      </w:pPr>
      <w:r w:rsidRPr="00FA3F9C">
        <w:rPr>
          <w:rFonts w:ascii="Arial" w:hAnsi="Arial" w:cs="Arial"/>
          <w:sz w:val="24"/>
          <w:szCs w:val="24"/>
        </w:rPr>
        <w:t xml:space="preserve">12.  </w:t>
      </w:r>
      <w:proofErr w:type="spellStart"/>
      <w:r w:rsidRPr="00FA3F9C">
        <w:rPr>
          <w:rFonts w:ascii="Arial" w:eastAsia="Times New Roman" w:hAnsi="Arial" w:cs="Arial"/>
          <w:color w:val="222222"/>
          <w:sz w:val="24"/>
          <w:szCs w:val="24"/>
          <w:shd w:val="clear" w:color="auto" w:fill="FFFFFF"/>
        </w:rPr>
        <w:t>Galiè</w:t>
      </w:r>
      <w:proofErr w:type="spellEnd"/>
      <w:r w:rsidRPr="00FA3F9C">
        <w:rPr>
          <w:rFonts w:ascii="Arial" w:eastAsia="Times New Roman" w:hAnsi="Arial" w:cs="Arial"/>
          <w:color w:val="222222"/>
          <w:sz w:val="24"/>
          <w:szCs w:val="24"/>
          <w:shd w:val="clear" w:color="auto" w:fill="FFFFFF"/>
        </w:rPr>
        <w:t xml:space="preserve">, </w:t>
      </w:r>
      <w:proofErr w:type="spellStart"/>
      <w:r w:rsidRPr="00FA3F9C">
        <w:rPr>
          <w:rFonts w:ascii="Arial" w:eastAsia="Times New Roman" w:hAnsi="Arial" w:cs="Arial"/>
          <w:color w:val="222222"/>
          <w:sz w:val="24"/>
          <w:szCs w:val="24"/>
          <w:shd w:val="clear" w:color="auto" w:fill="FFFFFF"/>
        </w:rPr>
        <w:t>Nazzareno</w:t>
      </w:r>
      <w:proofErr w:type="spellEnd"/>
      <w:r w:rsidRPr="00FA3F9C">
        <w:rPr>
          <w:rFonts w:ascii="Arial" w:eastAsia="Times New Roman" w:hAnsi="Arial" w:cs="Arial"/>
          <w:color w:val="222222"/>
          <w:sz w:val="24"/>
          <w:szCs w:val="24"/>
          <w:shd w:val="clear" w:color="auto" w:fill="FFFFFF"/>
        </w:rPr>
        <w:t xml:space="preserve">, et al. "Initial use of </w:t>
      </w:r>
      <w:proofErr w:type="spellStart"/>
      <w:r w:rsidRPr="00FA3F9C">
        <w:rPr>
          <w:rFonts w:ascii="Arial" w:eastAsia="Times New Roman" w:hAnsi="Arial" w:cs="Arial"/>
          <w:color w:val="222222"/>
          <w:sz w:val="24"/>
          <w:szCs w:val="24"/>
          <w:shd w:val="clear" w:color="auto" w:fill="FFFFFF"/>
        </w:rPr>
        <w:t>ambrisentan</w:t>
      </w:r>
      <w:proofErr w:type="spellEnd"/>
      <w:r w:rsidRPr="00FA3F9C">
        <w:rPr>
          <w:rFonts w:ascii="Arial" w:eastAsia="Times New Roman" w:hAnsi="Arial" w:cs="Arial"/>
          <w:color w:val="222222"/>
          <w:sz w:val="24"/>
          <w:szCs w:val="24"/>
          <w:shd w:val="clear" w:color="auto" w:fill="FFFFFF"/>
        </w:rPr>
        <w:t xml:space="preserve"> plus tadalafil in pulmonary arterial </w:t>
      </w:r>
      <w:proofErr w:type="spellStart"/>
      <w:r w:rsidRPr="00FA3F9C">
        <w:rPr>
          <w:rFonts w:ascii="Arial" w:eastAsia="Times New Roman" w:hAnsi="Arial" w:cs="Arial"/>
          <w:color w:val="222222"/>
          <w:sz w:val="24"/>
          <w:szCs w:val="24"/>
          <w:shd w:val="clear" w:color="auto" w:fill="FFFFFF"/>
        </w:rPr>
        <w:t>hypertension."</w:t>
      </w:r>
      <w:r w:rsidRPr="00FA3F9C">
        <w:rPr>
          <w:rFonts w:ascii="Arial" w:eastAsia="Times New Roman" w:hAnsi="Arial" w:cs="Arial"/>
          <w:i/>
          <w:iCs/>
          <w:color w:val="222222"/>
          <w:sz w:val="24"/>
          <w:szCs w:val="24"/>
          <w:shd w:val="clear" w:color="auto" w:fill="FFFFFF"/>
        </w:rPr>
        <w:t>New</w:t>
      </w:r>
      <w:proofErr w:type="spellEnd"/>
      <w:r w:rsidRPr="00FA3F9C">
        <w:rPr>
          <w:rFonts w:ascii="Arial" w:eastAsia="Times New Roman" w:hAnsi="Arial" w:cs="Arial"/>
          <w:i/>
          <w:iCs/>
          <w:color w:val="222222"/>
          <w:sz w:val="24"/>
          <w:szCs w:val="24"/>
          <w:shd w:val="clear" w:color="auto" w:fill="FFFFFF"/>
        </w:rPr>
        <w:t xml:space="preserve"> England Journal of Medicine</w:t>
      </w:r>
      <w:r w:rsidRPr="00FA3F9C">
        <w:rPr>
          <w:rFonts w:ascii="Arial" w:eastAsia="Times New Roman" w:hAnsi="Arial" w:cs="Arial"/>
          <w:color w:val="222222"/>
          <w:sz w:val="24"/>
          <w:szCs w:val="24"/>
          <w:shd w:val="clear" w:color="auto" w:fill="FFFFFF"/>
        </w:rPr>
        <w:t> 373.9 (2015): 834-844.</w:t>
      </w:r>
    </w:p>
    <w:p w14:paraId="290DB4A9" w14:textId="77777777" w:rsidR="00C3036D" w:rsidRPr="00FA3F9C" w:rsidRDefault="00C3036D" w:rsidP="00C6564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008"/>
        <w:gridCol w:w="7470"/>
        <w:gridCol w:w="2538"/>
      </w:tblGrid>
      <w:tr w:rsidR="00C3036D" w:rsidRPr="00FA3F9C" w14:paraId="7D9EACE2" w14:textId="77777777" w:rsidTr="00FE491B">
        <w:tc>
          <w:tcPr>
            <w:tcW w:w="1008" w:type="dxa"/>
          </w:tcPr>
          <w:p w14:paraId="0DD88985" w14:textId="77777777" w:rsidR="00C3036D" w:rsidRPr="00FA3F9C" w:rsidRDefault="00C3036D" w:rsidP="006F623F">
            <w:pPr>
              <w:rPr>
                <w:rFonts w:ascii="Arial" w:hAnsi="Arial" w:cs="Arial"/>
                <w:sz w:val="24"/>
                <w:szCs w:val="24"/>
              </w:rPr>
            </w:pPr>
            <w:r w:rsidRPr="00FA3F9C">
              <w:rPr>
                <w:rFonts w:ascii="Arial" w:hAnsi="Arial" w:cs="Arial"/>
                <w:sz w:val="24"/>
                <w:szCs w:val="24"/>
              </w:rPr>
              <w:lastRenderedPageBreak/>
              <w:t>Date</w:t>
            </w:r>
          </w:p>
        </w:tc>
        <w:tc>
          <w:tcPr>
            <w:tcW w:w="7470" w:type="dxa"/>
          </w:tcPr>
          <w:p w14:paraId="472069CA" w14:textId="77777777" w:rsidR="00C3036D" w:rsidRPr="00FA3F9C" w:rsidRDefault="00C3036D" w:rsidP="006F623F">
            <w:pPr>
              <w:rPr>
                <w:rFonts w:ascii="Arial" w:hAnsi="Arial" w:cs="Arial"/>
                <w:sz w:val="24"/>
                <w:szCs w:val="24"/>
              </w:rPr>
            </w:pPr>
            <w:r w:rsidRPr="00FA3F9C">
              <w:rPr>
                <w:rFonts w:ascii="Arial" w:hAnsi="Arial" w:cs="Arial"/>
                <w:sz w:val="24"/>
                <w:szCs w:val="24"/>
              </w:rPr>
              <w:t>What changed</w:t>
            </w:r>
          </w:p>
        </w:tc>
        <w:tc>
          <w:tcPr>
            <w:tcW w:w="2538" w:type="dxa"/>
          </w:tcPr>
          <w:p w14:paraId="4187463F" w14:textId="77777777" w:rsidR="00C3036D" w:rsidRPr="00FA3F9C" w:rsidRDefault="00C3036D" w:rsidP="006F623F">
            <w:pPr>
              <w:rPr>
                <w:rFonts w:ascii="Arial" w:hAnsi="Arial" w:cs="Arial"/>
                <w:sz w:val="24"/>
                <w:szCs w:val="24"/>
              </w:rPr>
            </w:pPr>
            <w:r w:rsidRPr="00FA3F9C">
              <w:rPr>
                <w:rFonts w:ascii="Arial" w:hAnsi="Arial" w:cs="Arial"/>
                <w:sz w:val="24"/>
                <w:szCs w:val="24"/>
              </w:rPr>
              <w:t>Pharmacist’s initials</w:t>
            </w:r>
          </w:p>
        </w:tc>
      </w:tr>
      <w:tr w:rsidR="00C3036D" w:rsidRPr="00FA3F9C" w14:paraId="5837083F" w14:textId="77777777" w:rsidTr="00FE491B">
        <w:tc>
          <w:tcPr>
            <w:tcW w:w="1008" w:type="dxa"/>
          </w:tcPr>
          <w:p w14:paraId="4B5B5DAD" w14:textId="77777777" w:rsidR="00C3036D" w:rsidRPr="00FA3F9C" w:rsidRDefault="00C3036D" w:rsidP="006F623F">
            <w:pPr>
              <w:rPr>
                <w:rFonts w:ascii="Arial" w:hAnsi="Arial" w:cs="Arial"/>
                <w:sz w:val="24"/>
                <w:szCs w:val="24"/>
              </w:rPr>
            </w:pPr>
            <w:r w:rsidRPr="00FA3F9C">
              <w:rPr>
                <w:rFonts w:ascii="Arial" w:hAnsi="Arial" w:cs="Arial"/>
                <w:sz w:val="24"/>
                <w:szCs w:val="24"/>
              </w:rPr>
              <w:t>4/5/16</w:t>
            </w:r>
          </w:p>
        </w:tc>
        <w:tc>
          <w:tcPr>
            <w:tcW w:w="7470" w:type="dxa"/>
          </w:tcPr>
          <w:p w14:paraId="0B258E31" w14:textId="77777777" w:rsidR="00C3036D" w:rsidRPr="00FA3F9C" w:rsidRDefault="00C3036D" w:rsidP="006F623F">
            <w:pPr>
              <w:rPr>
                <w:rFonts w:ascii="Arial" w:hAnsi="Arial" w:cs="Arial"/>
                <w:sz w:val="24"/>
                <w:szCs w:val="24"/>
              </w:rPr>
            </w:pPr>
            <w:r w:rsidRPr="00FA3F9C">
              <w:rPr>
                <w:rFonts w:ascii="Arial" w:hAnsi="Arial" w:cs="Arial"/>
                <w:sz w:val="24"/>
                <w:szCs w:val="24"/>
              </w:rPr>
              <w:t>I wrote the PA criteria and provided the references.</w:t>
            </w:r>
          </w:p>
        </w:tc>
        <w:tc>
          <w:tcPr>
            <w:tcW w:w="2538" w:type="dxa"/>
          </w:tcPr>
          <w:p w14:paraId="3ACCA732" w14:textId="588B27FB" w:rsidR="00C3036D" w:rsidRPr="00FA3F9C" w:rsidRDefault="005C142D" w:rsidP="006F623F">
            <w:pPr>
              <w:rPr>
                <w:rFonts w:ascii="Arial" w:hAnsi="Arial" w:cs="Arial"/>
                <w:sz w:val="24"/>
                <w:szCs w:val="24"/>
              </w:rPr>
            </w:pPr>
            <w:r w:rsidRPr="00FA3F9C">
              <w:rPr>
                <w:rFonts w:ascii="Arial" w:hAnsi="Arial" w:cs="Arial"/>
                <w:sz w:val="24"/>
                <w:szCs w:val="24"/>
              </w:rPr>
              <w:t>JJ</w:t>
            </w:r>
          </w:p>
        </w:tc>
      </w:tr>
      <w:tr w:rsidR="00C3036D" w:rsidRPr="00FA3F9C" w14:paraId="100E0D59" w14:textId="77777777" w:rsidTr="00FE491B">
        <w:tc>
          <w:tcPr>
            <w:tcW w:w="1008" w:type="dxa"/>
          </w:tcPr>
          <w:p w14:paraId="524445FB" w14:textId="77777777" w:rsidR="00C3036D" w:rsidRPr="00FA3F9C" w:rsidRDefault="00C3036D" w:rsidP="006F623F">
            <w:pPr>
              <w:rPr>
                <w:rFonts w:ascii="Arial" w:hAnsi="Arial" w:cs="Arial"/>
                <w:sz w:val="24"/>
                <w:szCs w:val="24"/>
              </w:rPr>
            </w:pPr>
          </w:p>
        </w:tc>
        <w:tc>
          <w:tcPr>
            <w:tcW w:w="7470" w:type="dxa"/>
          </w:tcPr>
          <w:p w14:paraId="203D9A02" w14:textId="77777777" w:rsidR="00C3036D" w:rsidRPr="00FA3F9C" w:rsidRDefault="00C3036D" w:rsidP="006F623F">
            <w:pPr>
              <w:rPr>
                <w:rFonts w:ascii="Arial" w:hAnsi="Arial" w:cs="Arial"/>
                <w:sz w:val="24"/>
                <w:szCs w:val="24"/>
              </w:rPr>
            </w:pPr>
          </w:p>
        </w:tc>
        <w:tc>
          <w:tcPr>
            <w:tcW w:w="2538" w:type="dxa"/>
          </w:tcPr>
          <w:p w14:paraId="764A00CF" w14:textId="77777777" w:rsidR="00C3036D" w:rsidRPr="00FA3F9C" w:rsidRDefault="00C3036D" w:rsidP="006F623F">
            <w:pPr>
              <w:rPr>
                <w:rFonts w:ascii="Arial" w:hAnsi="Arial" w:cs="Arial"/>
                <w:sz w:val="24"/>
                <w:szCs w:val="24"/>
              </w:rPr>
            </w:pPr>
          </w:p>
        </w:tc>
      </w:tr>
    </w:tbl>
    <w:p w14:paraId="0622C476" w14:textId="77777777" w:rsidR="00C3036D" w:rsidRPr="00FA3F9C" w:rsidRDefault="00C3036D" w:rsidP="006F623F">
      <w:pPr>
        <w:spacing w:after="0"/>
        <w:rPr>
          <w:rFonts w:ascii="Arial" w:hAnsi="Arial" w:cs="Arial"/>
          <w:sz w:val="24"/>
          <w:szCs w:val="24"/>
        </w:rPr>
      </w:pPr>
    </w:p>
    <w:p w14:paraId="25051A38" w14:textId="77777777" w:rsidR="0078218F" w:rsidRDefault="00C3036D" w:rsidP="0078218F">
      <w:pPr>
        <w:pStyle w:val="Heading2"/>
      </w:pPr>
      <w:bookmarkStart w:id="317" w:name="_Toc106369940"/>
      <w:proofErr w:type="spellStart"/>
      <w:r w:rsidRPr="00FA3F9C">
        <w:t>Tafamidis</w:t>
      </w:r>
      <w:proofErr w:type="spellEnd"/>
      <w:r w:rsidRPr="00FA3F9C">
        <w:t xml:space="preserve"> (</w:t>
      </w:r>
      <w:proofErr w:type="spellStart"/>
      <w:r w:rsidRPr="00FA3F9C">
        <w:t>Vyndaqel</w:t>
      </w:r>
      <w:proofErr w:type="spellEnd"/>
      <w:r w:rsidRPr="00FA3F9C">
        <w:t>)</w:t>
      </w:r>
      <w:bookmarkEnd w:id="317"/>
      <w:r w:rsidRPr="00FA3F9C">
        <w:t xml:space="preserve"> </w:t>
      </w:r>
    </w:p>
    <w:p w14:paraId="03126E60" w14:textId="32DEB651" w:rsidR="00C3036D" w:rsidRPr="00FA3F9C" w:rsidRDefault="00C3036D" w:rsidP="006F623F">
      <w:pPr>
        <w:spacing w:after="0"/>
        <w:jc w:val="center"/>
        <w:rPr>
          <w:rFonts w:ascii="Arial" w:hAnsi="Arial" w:cs="Arial"/>
          <w:sz w:val="24"/>
          <w:szCs w:val="24"/>
        </w:rPr>
      </w:pPr>
      <w:r w:rsidRPr="00FA3F9C">
        <w:rPr>
          <w:rFonts w:ascii="Arial" w:hAnsi="Arial" w:cs="Arial"/>
          <w:sz w:val="24"/>
          <w:szCs w:val="24"/>
        </w:rPr>
        <w:t>20mg capsules</w:t>
      </w:r>
    </w:p>
    <w:p w14:paraId="752115A4" w14:textId="77777777" w:rsidR="00C3036D" w:rsidRPr="00FA3F9C" w:rsidRDefault="00C3036D" w:rsidP="006F623F">
      <w:pPr>
        <w:spacing w:after="0"/>
        <w:jc w:val="center"/>
        <w:rPr>
          <w:rFonts w:ascii="Arial" w:hAnsi="Arial" w:cs="Arial"/>
          <w:sz w:val="24"/>
          <w:szCs w:val="24"/>
        </w:rPr>
      </w:pPr>
      <w:r w:rsidRPr="00FA3F9C">
        <w:rPr>
          <w:rFonts w:ascii="Arial" w:hAnsi="Arial" w:cs="Arial"/>
          <w:sz w:val="24"/>
          <w:szCs w:val="24"/>
        </w:rPr>
        <w:t>EBRx PA Criteria</w:t>
      </w:r>
    </w:p>
    <w:p w14:paraId="11483155" w14:textId="77777777" w:rsidR="00C3036D" w:rsidRPr="00FA3F9C" w:rsidRDefault="00C3036D" w:rsidP="006F623F">
      <w:pPr>
        <w:spacing w:after="0"/>
        <w:rPr>
          <w:rFonts w:ascii="Arial" w:hAnsi="Arial" w:cs="Arial"/>
          <w:b/>
          <w:sz w:val="24"/>
          <w:szCs w:val="24"/>
          <w:u w:val="single"/>
        </w:rPr>
      </w:pPr>
    </w:p>
    <w:p w14:paraId="19994659" w14:textId="77777777" w:rsidR="00C3036D" w:rsidRPr="00FA3F9C" w:rsidRDefault="00C3036D" w:rsidP="00061CDC">
      <w:pPr>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treatment of cardiomyopathy of wild type or hereditary transthyretin-mediated amyloidosis (ATTR-CM) in adults to reduce cardiovascular mortality and cardiovascular-related hospitalization.</w:t>
      </w:r>
    </w:p>
    <w:tbl>
      <w:tblPr>
        <w:tblStyle w:val="TableGrid"/>
        <w:tblW w:w="0" w:type="auto"/>
        <w:tblLook w:val="04A0" w:firstRow="1" w:lastRow="0" w:firstColumn="1" w:lastColumn="0" w:noHBand="0" w:noVBand="1"/>
      </w:tblPr>
      <w:tblGrid>
        <w:gridCol w:w="8928"/>
        <w:gridCol w:w="2088"/>
      </w:tblGrid>
      <w:tr w:rsidR="00C3036D" w:rsidRPr="00FA3F9C" w14:paraId="6FE11EB5" w14:textId="77777777" w:rsidTr="00571CAB">
        <w:tc>
          <w:tcPr>
            <w:tcW w:w="8928" w:type="dxa"/>
            <w:shd w:val="clear" w:color="auto" w:fill="000000"/>
          </w:tcPr>
          <w:p w14:paraId="282C8E37" w14:textId="77777777" w:rsidR="00C3036D" w:rsidRPr="00FA3F9C" w:rsidRDefault="00C3036D"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88" w:type="dxa"/>
            <w:shd w:val="clear" w:color="auto" w:fill="000000"/>
          </w:tcPr>
          <w:p w14:paraId="50588B34" w14:textId="77777777" w:rsidR="00C3036D" w:rsidRPr="00FA3F9C" w:rsidRDefault="00C3036D" w:rsidP="006F623F">
            <w:pPr>
              <w:jc w:val="center"/>
              <w:rPr>
                <w:rFonts w:ascii="Arial" w:hAnsi="Arial" w:cs="Arial"/>
                <w:b/>
                <w:sz w:val="24"/>
                <w:szCs w:val="24"/>
                <w:u w:val="single"/>
              </w:rPr>
            </w:pPr>
          </w:p>
        </w:tc>
      </w:tr>
      <w:tr w:rsidR="00C3036D" w:rsidRPr="00FA3F9C" w14:paraId="5811F319" w14:textId="77777777" w:rsidTr="00F337AE">
        <w:tc>
          <w:tcPr>
            <w:tcW w:w="11016" w:type="dxa"/>
            <w:gridSpan w:val="2"/>
          </w:tcPr>
          <w:p w14:paraId="2A63F746" w14:textId="77777777" w:rsidR="00C3036D" w:rsidRPr="00FA3F9C" w:rsidRDefault="00C3036D" w:rsidP="006F623F">
            <w:pPr>
              <w:rPr>
                <w:rFonts w:ascii="Arial" w:hAnsi="Arial" w:cs="Arial"/>
                <w:sz w:val="24"/>
                <w:szCs w:val="24"/>
              </w:rPr>
            </w:pPr>
            <w:r w:rsidRPr="00FA3F9C">
              <w:rPr>
                <w:rFonts w:ascii="Arial" w:hAnsi="Arial" w:cs="Arial"/>
                <w:sz w:val="24"/>
                <w:szCs w:val="24"/>
              </w:rPr>
              <w:t xml:space="preserve">1. Diagnosis of confirmed amyloidosis by the presence of amyloid deposits on biopsies from cardiac and noncardiac sites (e.g., fat aspirate, GI sites, salivary glands, or bone marrow).  </w:t>
            </w:r>
          </w:p>
        </w:tc>
      </w:tr>
      <w:tr w:rsidR="00C3036D" w:rsidRPr="00FA3F9C" w14:paraId="1B90C389" w14:textId="77777777" w:rsidTr="00B1617E">
        <w:tc>
          <w:tcPr>
            <w:tcW w:w="11016" w:type="dxa"/>
            <w:gridSpan w:val="2"/>
          </w:tcPr>
          <w:p w14:paraId="43A7E88A" w14:textId="77777777" w:rsidR="00C3036D" w:rsidRPr="00FA3F9C" w:rsidRDefault="00C3036D" w:rsidP="006F623F">
            <w:pPr>
              <w:rPr>
                <w:rFonts w:ascii="Arial" w:hAnsi="Arial" w:cs="Arial"/>
                <w:sz w:val="24"/>
                <w:szCs w:val="24"/>
              </w:rPr>
            </w:pPr>
            <w:r w:rsidRPr="00FA3F9C">
              <w:rPr>
                <w:rFonts w:ascii="Arial" w:hAnsi="Arial" w:cs="Arial"/>
                <w:sz w:val="24"/>
                <w:szCs w:val="24"/>
              </w:rPr>
              <w:t xml:space="preserve">2. In patients without ATTR mutation, they must have the presence of transthyretin precursor protein confirmed on immunohistochemical analysis, scintigraphy, or mass spectrometry. </w:t>
            </w:r>
          </w:p>
        </w:tc>
      </w:tr>
      <w:tr w:rsidR="00C3036D" w:rsidRPr="00FA3F9C" w14:paraId="2EDCEDDE" w14:textId="77777777" w:rsidTr="0010789D">
        <w:tc>
          <w:tcPr>
            <w:tcW w:w="11016" w:type="dxa"/>
            <w:gridSpan w:val="2"/>
          </w:tcPr>
          <w:p w14:paraId="1BAA2A99" w14:textId="77777777" w:rsidR="00C3036D" w:rsidRPr="00FA3F9C" w:rsidRDefault="00C3036D" w:rsidP="006F623F">
            <w:pPr>
              <w:rPr>
                <w:rFonts w:ascii="Arial" w:hAnsi="Arial" w:cs="Arial"/>
                <w:sz w:val="24"/>
                <w:szCs w:val="24"/>
              </w:rPr>
            </w:pPr>
            <w:r w:rsidRPr="00FA3F9C">
              <w:rPr>
                <w:rFonts w:ascii="Arial" w:hAnsi="Arial" w:cs="Arial"/>
                <w:sz w:val="24"/>
                <w:szCs w:val="24"/>
              </w:rPr>
              <w:t>3. Cardiac involvement must be shown by one of the following:</w:t>
            </w:r>
          </w:p>
          <w:p w14:paraId="6A310287" w14:textId="77777777" w:rsidR="00C3036D" w:rsidRPr="00FA3F9C" w:rsidRDefault="00C3036D" w:rsidP="00FC1E85">
            <w:pPr>
              <w:pStyle w:val="ListParagraph"/>
              <w:numPr>
                <w:ilvl w:val="0"/>
                <w:numId w:val="492"/>
              </w:numPr>
              <w:rPr>
                <w:rFonts w:ascii="Arial" w:hAnsi="Arial" w:cs="Arial"/>
                <w:sz w:val="24"/>
                <w:szCs w:val="24"/>
              </w:rPr>
            </w:pPr>
            <w:r w:rsidRPr="00FA3F9C">
              <w:rPr>
                <w:rFonts w:ascii="Arial" w:hAnsi="Arial" w:cs="Arial"/>
                <w:sz w:val="24"/>
                <w:szCs w:val="24"/>
              </w:rPr>
              <w:t xml:space="preserve">echocardiography must show an end-diastolic interventricular septal wall thickness exceeding 12 mm, OR </w:t>
            </w:r>
          </w:p>
          <w:p w14:paraId="753AD1CD" w14:textId="77777777" w:rsidR="00C3036D" w:rsidRPr="00FA3F9C" w:rsidRDefault="00C3036D" w:rsidP="00FC1E85">
            <w:pPr>
              <w:pStyle w:val="ListParagraph"/>
              <w:numPr>
                <w:ilvl w:val="0"/>
                <w:numId w:val="492"/>
              </w:numPr>
              <w:rPr>
                <w:rFonts w:ascii="Arial" w:hAnsi="Arial" w:cs="Arial"/>
                <w:sz w:val="24"/>
                <w:szCs w:val="24"/>
              </w:rPr>
            </w:pPr>
            <w:r w:rsidRPr="00FA3F9C">
              <w:rPr>
                <w:rFonts w:ascii="Arial" w:hAnsi="Arial" w:cs="Arial"/>
                <w:sz w:val="24"/>
                <w:szCs w:val="24"/>
              </w:rPr>
              <w:t>a history of heart failure with at least 1 prior hospitalization for heart failure or clinical evidence of heart failure without hospitalization manifested in signs or symptoms of volume overload, OR</w:t>
            </w:r>
          </w:p>
          <w:p w14:paraId="6C8FA0BA" w14:textId="77777777" w:rsidR="00C3036D" w:rsidRPr="00FA3F9C" w:rsidRDefault="00C3036D" w:rsidP="00FC1E85">
            <w:pPr>
              <w:pStyle w:val="ListParagraph"/>
              <w:numPr>
                <w:ilvl w:val="0"/>
                <w:numId w:val="492"/>
              </w:numPr>
              <w:rPr>
                <w:rFonts w:ascii="Arial" w:hAnsi="Arial" w:cs="Arial"/>
                <w:sz w:val="24"/>
                <w:szCs w:val="24"/>
              </w:rPr>
            </w:pPr>
            <w:r w:rsidRPr="00FA3F9C">
              <w:rPr>
                <w:rFonts w:ascii="Arial" w:hAnsi="Arial" w:cs="Arial"/>
                <w:sz w:val="24"/>
                <w:szCs w:val="24"/>
              </w:rPr>
              <w:t>elevated intracardiac pressures requiring treatment with a diuretic for improvement, OR</w:t>
            </w:r>
          </w:p>
          <w:p w14:paraId="5D15F821" w14:textId="77777777" w:rsidR="00C3036D" w:rsidRPr="00FA3F9C" w:rsidRDefault="00C3036D" w:rsidP="00FC1E85">
            <w:pPr>
              <w:pStyle w:val="ListParagraph"/>
              <w:numPr>
                <w:ilvl w:val="0"/>
                <w:numId w:val="492"/>
              </w:numPr>
              <w:rPr>
                <w:rFonts w:ascii="Arial" w:hAnsi="Arial" w:cs="Arial"/>
                <w:sz w:val="24"/>
                <w:szCs w:val="24"/>
              </w:rPr>
            </w:pPr>
            <w:r w:rsidRPr="00FA3F9C">
              <w:rPr>
                <w:rFonts w:ascii="Arial" w:hAnsi="Arial" w:cs="Arial"/>
                <w:sz w:val="24"/>
                <w:szCs w:val="24"/>
              </w:rPr>
              <w:t>an N-terminal pro-B-type natriuretic peptide (NT-</w:t>
            </w:r>
            <w:proofErr w:type="spellStart"/>
            <w:r w:rsidRPr="00FA3F9C">
              <w:rPr>
                <w:rFonts w:ascii="Arial" w:hAnsi="Arial" w:cs="Arial"/>
                <w:sz w:val="24"/>
                <w:szCs w:val="24"/>
              </w:rPr>
              <w:t>proBNP</w:t>
            </w:r>
            <w:proofErr w:type="spellEnd"/>
            <w:r w:rsidRPr="00FA3F9C">
              <w:rPr>
                <w:rFonts w:ascii="Arial" w:hAnsi="Arial" w:cs="Arial"/>
                <w:sz w:val="24"/>
                <w:szCs w:val="24"/>
              </w:rPr>
              <w:t xml:space="preserve">) level </w:t>
            </w:r>
            <w:r w:rsidRPr="00FA3F9C">
              <w:rPr>
                <w:rFonts w:ascii="Arial" w:hAnsi="Arial" w:cs="Arial"/>
                <w:sz w:val="24"/>
                <w:szCs w:val="24"/>
                <w:u w:val="single"/>
              </w:rPr>
              <w:t>&gt;</w:t>
            </w:r>
            <w:r w:rsidRPr="00FA3F9C">
              <w:rPr>
                <w:rFonts w:ascii="Arial" w:hAnsi="Arial" w:cs="Arial"/>
                <w:sz w:val="24"/>
                <w:szCs w:val="24"/>
              </w:rPr>
              <w:t>600pg/mL</w:t>
            </w:r>
          </w:p>
        </w:tc>
      </w:tr>
      <w:tr w:rsidR="00C3036D" w:rsidRPr="00FA3F9C" w14:paraId="0D7E5FAE" w14:textId="77777777" w:rsidTr="00DA57E0">
        <w:tc>
          <w:tcPr>
            <w:tcW w:w="11016" w:type="dxa"/>
            <w:gridSpan w:val="2"/>
          </w:tcPr>
          <w:p w14:paraId="6C9E3C5B" w14:textId="77777777" w:rsidR="00C3036D" w:rsidRPr="00FA3F9C" w:rsidRDefault="00C3036D" w:rsidP="006F623F">
            <w:pPr>
              <w:rPr>
                <w:rFonts w:ascii="Arial" w:hAnsi="Arial" w:cs="Arial"/>
                <w:sz w:val="24"/>
                <w:szCs w:val="24"/>
              </w:rPr>
            </w:pPr>
            <w:r w:rsidRPr="00FA3F9C">
              <w:rPr>
                <w:rFonts w:ascii="Arial" w:hAnsi="Arial" w:cs="Arial"/>
                <w:sz w:val="24"/>
                <w:szCs w:val="24"/>
              </w:rPr>
              <w:t>4. Must have a 6MWT of &gt;100m.</w:t>
            </w:r>
          </w:p>
        </w:tc>
      </w:tr>
      <w:tr w:rsidR="00C3036D" w:rsidRPr="00FA3F9C" w14:paraId="7F083617" w14:textId="77777777" w:rsidTr="00DA57E0">
        <w:tc>
          <w:tcPr>
            <w:tcW w:w="11016" w:type="dxa"/>
            <w:gridSpan w:val="2"/>
          </w:tcPr>
          <w:p w14:paraId="442949FD" w14:textId="77777777" w:rsidR="00C3036D" w:rsidRPr="00FA3F9C" w:rsidRDefault="00C3036D" w:rsidP="006F623F">
            <w:pPr>
              <w:rPr>
                <w:rFonts w:ascii="Arial" w:hAnsi="Arial" w:cs="Arial"/>
                <w:sz w:val="24"/>
                <w:szCs w:val="24"/>
              </w:rPr>
            </w:pPr>
            <w:r w:rsidRPr="00FA3F9C">
              <w:rPr>
                <w:rFonts w:ascii="Arial" w:hAnsi="Arial" w:cs="Arial"/>
                <w:sz w:val="24"/>
                <w:szCs w:val="24"/>
              </w:rPr>
              <w:t xml:space="preserve">5. </w:t>
            </w:r>
            <w:proofErr w:type="spellStart"/>
            <w:r w:rsidRPr="00FA3F9C">
              <w:rPr>
                <w:rFonts w:ascii="Arial" w:hAnsi="Arial" w:cs="Arial"/>
                <w:sz w:val="24"/>
                <w:szCs w:val="24"/>
              </w:rPr>
              <w:t>Tafamidis</w:t>
            </w:r>
            <w:proofErr w:type="spellEnd"/>
            <w:r w:rsidRPr="00FA3F9C">
              <w:rPr>
                <w:rFonts w:ascii="Arial" w:hAnsi="Arial" w:cs="Arial"/>
                <w:sz w:val="24"/>
                <w:szCs w:val="24"/>
              </w:rPr>
              <w:t xml:space="preserve"> must be prescribed by or given in consultation with a cardiologist transthyretin amyloidosis specialist, or medical geneticist</w:t>
            </w:r>
          </w:p>
        </w:tc>
      </w:tr>
    </w:tbl>
    <w:p w14:paraId="790FFF9F" w14:textId="77777777" w:rsidR="00C3036D" w:rsidRPr="00FA3F9C" w:rsidRDefault="00C3036D" w:rsidP="006F623F">
      <w:pPr>
        <w:spacing w:after="0"/>
        <w:rPr>
          <w:rFonts w:ascii="Arial" w:hAnsi="Arial" w:cs="Arial"/>
          <w:b/>
          <w:sz w:val="24"/>
          <w:szCs w:val="24"/>
          <w:u w:val="single"/>
        </w:rPr>
      </w:pPr>
    </w:p>
    <w:tbl>
      <w:tblPr>
        <w:tblStyle w:val="TableGrid"/>
        <w:tblW w:w="0" w:type="auto"/>
        <w:shd w:val="clear" w:color="auto" w:fill="BFBFBF" w:themeFill="background1" w:themeFillShade="BF"/>
        <w:tblLook w:val="04A0" w:firstRow="1" w:lastRow="0" w:firstColumn="1" w:lastColumn="0" w:noHBand="0" w:noVBand="1"/>
      </w:tblPr>
      <w:tblGrid>
        <w:gridCol w:w="10998"/>
      </w:tblGrid>
      <w:tr w:rsidR="00C3036D" w:rsidRPr="00FA3F9C" w14:paraId="0B3584CF" w14:textId="77777777" w:rsidTr="00D82B6E">
        <w:tc>
          <w:tcPr>
            <w:tcW w:w="10998" w:type="dxa"/>
            <w:shd w:val="clear" w:color="auto" w:fill="BFBFBF" w:themeFill="background1" w:themeFillShade="BF"/>
          </w:tcPr>
          <w:p w14:paraId="75CE6CEC" w14:textId="77777777" w:rsidR="00C3036D" w:rsidRPr="00FA3F9C" w:rsidRDefault="00C3036D" w:rsidP="00D82B6E">
            <w:pPr>
              <w:rPr>
                <w:rFonts w:ascii="Arial" w:hAnsi="Arial" w:cs="Arial"/>
                <w:sz w:val="24"/>
                <w:szCs w:val="24"/>
              </w:rPr>
            </w:pPr>
            <w:r w:rsidRPr="00FA3F9C">
              <w:rPr>
                <w:rFonts w:ascii="Arial" w:hAnsi="Arial" w:cs="Arial"/>
                <w:sz w:val="24"/>
                <w:szCs w:val="24"/>
              </w:rPr>
              <w:t>Note:  Dose is 80mg QD (20mg caps); however, we 80mg QD was not superior to 20mg QD.  Plan covers 20mg QD.</w:t>
            </w:r>
          </w:p>
        </w:tc>
      </w:tr>
    </w:tbl>
    <w:p w14:paraId="1F34C268" w14:textId="77777777" w:rsidR="00C3036D" w:rsidRPr="00FA3F9C" w:rsidRDefault="00C3036D" w:rsidP="006F623F">
      <w:pPr>
        <w:spacing w:after="0"/>
        <w:rPr>
          <w:rFonts w:ascii="Arial" w:hAnsi="Arial" w:cs="Arial"/>
          <w:sz w:val="24"/>
          <w:szCs w:val="24"/>
        </w:rPr>
      </w:pPr>
    </w:p>
    <w:p w14:paraId="4612D504" w14:textId="77777777" w:rsidR="00C3036D" w:rsidRPr="00FA3F9C" w:rsidRDefault="00C3036D" w:rsidP="006F623F">
      <w:pPr>
        <w:spacing w:after="0"/>
        <w:rPr>
          <w:rFonts w:ascii="Arial" w:hAnsi="Arial" w:cs="Arial"/>
          <w:sz w:val="24"/>
          <w:szCs w:val="24"/>
        </w:rPr>
      </w:pPr>
      <w:r w:rsidRPr="00FA3F9C">
        <w:rPr>
          <w:rFonts w:ascii="Arial" w:hAnsi="Arial" w:cs="Arial"/>
          <w:sz w:val="24"/>
          <w:szCs w:val="24"/>
        </w:rPr>
        <w:t>Quantity Limits: 1/1</w:t>
      </w:r>
    </w:p>
    <w:p w14:paraId="5B82CDFF" w14:textId="77777777" w:rsidR="00C3036D" w:rsidRPr="00FA3F9C" w:rsidRDefault="00C3036D" w:rsidP="006F623F">
      <w:pPr>
        <w:spacing w:after="0"/>
        <w:rPr>
          <w:rFonts w:ascii="Arial" w:hAnsi="Arial" w:cs="Arial"/>
          <w:sz w:val="24"/>
          <w:szCs w:val="24"/>
        </w:rPr>
      </w:pPr>
    </w:p>
    <w:p w14:paraId="44259DC8" w14:textId="77777777" w:rsidR="00C3036D" w:rsidRPr="00FA3F9C" w:rsidRDefault="00C3036D" w:rsidP="006F623F">
      <w:pPr>
        <w:spacing w:after="0"/>
        <w:rPr>
          <w:rFonts w:ascii="Arial" w:hAnsi="Arial" w:cs="Arial"/>
          <w:sz w:val="24"/>
          <w:szCs w:val="24"/>
        </w:rPr>
      </w:pPr>
      <w:r w:rsidRPr="00FA3F9C">
        <w:rPr>
          <w:rFonts w:ascii="Arial" w:hAnsi="Arial" w:cs="Arial"/>
          <w:sz w:val="24"/>
          <w:szCs w:val="24"/>
        </w:rPr>
        <w:t>References:</w:t>
      </w:r>
    </w:p>
    <w:p w14:paraId="7222DBF1" w14:textId="77777777" w:rsidR="00C3036D" w:rsidRPr="00FA3F9C" w:rsidRDefault="00C3036D" w:rsidP="006F623F">
      <w:pPr>
        <w:spacing w:after="0"/>
        <w:rPr>
          <w:rFonts w:ascii="Arial" w:hAnsi="Arial" w:cs="Arial"/>
          <w:sz w:val="24"/>
          <w:szCs w:val="24"/>
        </w:rPr>
      </w:pPr>
      <w:r w:rsidRPr="00FA3F9C">
        <w:rPr>
          <w:rFonts w:ascii="Arial" w:hAnsi="Arial" w:cs="Arial"/>
          <w:sz w:val="24"/>
          <w:szCs w:val="24"/>
        </w:rPr>
        <w:t xml:space="preserve">1. FDA.gov.  CDER. Application 211996ORIG1s000. Clinical Review. </w:t>
      </w:r>
      <w:proofErr w:type="spellStart"/>
      <w:r w:rsidRPr="00FA3F9C">
        <w:rPr>
          <w:rFonts w:ascii="Arial" w:hAnsi="Arial" w:cs="Arial"/>
          <w:sz w:val="24"/>
          <w:szCs w:val="24"/>
        </w:rPr>
        <w:t>Tafamidis</w:t>
      </w:r>
      <w:proofErr w:type="spellEnd"/>
      <w:r w:rsidRPr="00FA3F9C">
        <w:rPr>
          <w:rFonts w:ascii="Arial" w:hAnsi="Arial" w:cs="Arial"/>
          <w:sz w:val="24"/>
          <w:szCs w:val="24"/>
        </w:rPr>
        <w:t>.  See page 76.</w:t>
      </w:r>
    </w:p>
    <w:p w14:paraId="3E5CA808" w14:textId="77777777" w:rsidR="00C3036D" w:rsidRPr="00FA3F9C" w:rsidRDefault="00C3036D" w:rsidP="005B2C73">
      <w:pPr>
        <w:rPr>
          <w:rFonts w:ascii="Arial" w:eastAsia="Times New Roman" w:hAnsi="Arial" w:cs="Arial"/>
          <w:sz w:val="24"/>
          <w:szCs w:val="24"/>
        </w:rPr>
      </w:pPr>
      <w:r w:rsidRPr="00FA3F9C">
        <w:rPr>
          <w:rFonts w:ascii="Arial" w:hAnsi="Arial" w:cs="Arial"/>
          <w:sz w:val="24"/>
          <w:szCs w:val="24"/>
          <w:lang w:val="fr-FR"/>
        </w:rPr>
        <w:t xml:space="preserve">2. </w:t>
      </w:r>
      <w:r w:rsidRPr="00FA3F9C">
        <w:rPr>
          <w:rFonts w:ascii="Arial" w:eastAsia="Times New Roman" w:hAnsi="Arial" w:cs="Arial"/>
          <w:color w:val="222222"/>
          <w:sz w:val="24"/>
          <w:szCs w:val="24"/>
          <w:shd w:val="clear" w:color="auto" w:fill="FFFFFF"/>
          <w:lang w:val="fr-FR"/>
        </w:rPr>
        <w:t xml:space="preserve">Maurer, Mathew S., et al. </w:t>
      </w:r>
      <w:r w:rsidRPr="00FA3F9C">
        <w:rPr>
          <w:rFonts w:ascii="Arial" w:eastAsia="Times New Roman" w:hAnsi="Arial" w:cs="Arial"/>
          <w:color w:val="222222"/>
          <w:sz w:val="24"/>
          <w:szCs w:val="24"/>
          <w:shd w:val="clear" w:color="auto" w:fill="FFFFFF"/>
        </w:rPr>
        <w:t>"</w:t>
      </w:r>
      <w:proofErr w:type="spellStart"/>
      <w:r w:rsidRPr="00FA3F9C">
        <w:rPr>
          <w:rFonts w:ascii="Arial" w:eastAsia="Times New Roman" w:hAnsi="Arial" w:cs="Arial"/>
          <w:color w:val="222222"/>
          <w:sz w:val="24"/>
          <w:szCs w:val="24"/>
          <w:shd w:val="clear" w:color="auto" w:fill="FFFFFF"/>
        </w:rPr>
        <w:t>Tafamidis</w:t>
      </w:r>
      <w:proofErr w:type="spellEnd"/>
      <w:r w:rsidRPr="00FA3F9C">
        <w:rPr>
          <w:rFonts w:ascii="Arial" w:eastAsia="Times New Roman" w:hAnsi="Arial" w:cs="Arial"/>
          <w:color w:val="222222"/>
          <w:sz w:val="24"/>
          <w:szCs w:val="24"/>
          <w:shd w:val="clear" w:color="auto" w:fill="FFFFFF"/>
        </w:rPr>
        <w:t xml:space="preserve"> treatment for patients with transthyretin amyloid cardiomyopathy." </w:t>
      </w:r>
      <w:r w:rsidRPr="00FA3F9C">
        <w:rPr>
          <w:rFonts w:ascii="Arial" w:eastAsia="Times New Roman" w:hAnsi="Arial" w:cs="Arial"/>
          <w:i/>
          <w:iCs/>
          <w:color w:val="222222"/>
          <w:sz w:val="24"/>
          <w:szCs w:val="24"/>
          <w:shd w:val="clear" w:color="auto" w:fill="FFFFFF"/>
        </w:rPr>
        <w:t>New England Journal of Medicine</w:t>
      </w:r>
      <w:r w:rsidRPr="00FA3F9C">
        <w:rPr>
          <w:rFonts w:ascii="Arial" w:eastAsia="Times New Roman" w:hAnsi="Arial" w:cs="Arial"/>
          <w:color w:val="222222"/>
          <w:sz w:val="24"/>
          <w:szCs w:val="24"/>
          <w:shd w:val="clear" w:color="auto" w:fill="FFFFFF"/>
        </w:rPr>
        <w:t> 379.11 (2018): 1007-1016.</w:t>
      </w:r>
    </w:p>
    <w:p w14:paraId="03A721F0" w14:textId="77777777" w:rsidR="00C3036D" w:rsidRPr="00FA3F9C" w:rsidRDefault="00C3036D" w:rsidP="006F623F">
      <w:pPr>
        <w:spacing w:after="0"/>
        <w:rPr>
          <w:rFonts w:ascii="Arial" w:hAnsi="Arial" w:cs="Arial"/>
          <w:sz w:val="24"/>
          <w:szCs w:val="24"/>
        </w:rPr>
      </w:pPr>
    </w:p>
    <w:p w14:paraId="3DCD9E4C" w14:textId="77777777" w:rsidR="00C3036D" w:rsidRPr="00FA3F9C" w:rsidRDefault="00C3036D" w:rsidP="006F623F">
      <w:pPr>
        <w:spacing w:after="0"/>
        <w:rPr>
          <w:rFonts w:ascii="Arial" w:hAnsi="Arial" w:cs="Arial"/>
          <w:sz w:val="24"/>
          <w:szCs w:val="24"/>
        </w:rPr>
      </w:pPr>
    </w:p>
    <w:p w14:paraId="143EA699" w14:textId="77777777" w:rsidR="00C3036D" w:rsidRPr="00FA3F9C" w:rsidRDefault="00C3036D"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284"/>
        <w:gridCol w:w="7470"/>
        <w:gridCol w:w="2538"/>
      </w:tblGrid>
      <w:tr w:rsidR="00C3036D" w:rsidRPr="00FA3F9C" w14:paraId="617E5A15" w14:textId="77777777" w:rsidTr="00FE491B">
        <w:tc>
          <w:tcPr>
            <w:tcW w:w="1008" w:type="dxa"/>
          </w:tcPr>
          <w:p w14:paraId="4289FF05" w14:textId="77777777" w:rsidR="00C3036D" w:rsidRPr="00FA3F9C" w:rsidRDefault="00C3036D" w:rsidP="006F623F">
            <w:pPr>
              <w:rPr>
                <w:rFonts w:ascii="Arial" w:hAnsi="Arial" w:cs="Arial"/>
                <w:sz w:val="24"/>
                <w:szCs w:val="24"/>
              </w:rPr>
            </w:pPr>
            <w:r w:rsidRPr="00FA3F9C">
              <w:rPr>
                <w:rFonts w:ascii="Arial" w:hAnsi="Arial" w:cs="Arial"/>
                <w:sz w:val="24"/>
                <w:szCs w:val="24"/>
              </w:rPr>
              <w:t>Date</w:t>
            </w:r>
          </w:p>
        </w:tc>
        <w:tc>
          <w:tcPr>
            <w:tcW w:w="7470" w:type="dxa"/>
          </w:tcPr>
          <w:p w14:paraId="43092893" w14:textId="77777777" w:rsidR="00C3036D" w:rsidRPr="00FA3F9C" w:rsidRDefault="00C3036D" w:rsidP="006F623F">
            <w:pPr>
              <w:rPr>
                <w:rFonts w:ascii="Arial" w:hAnsi="Arial" w:cs="Arial"/>
                <w:sz w:val="24"/>
                <w:szCs w:val="24"/>
              </w:rPr>
            </w:pPr>
            <w:r w:rsidRPr="00FA3F9C">
              <w:rPr>
                <w:rFonts w:ascii="Arial" w:hAnsi="Arial" w:cs="Arial"/>
                <w:sz w:val="24"/>
                <w:szCs w:val="24"/>
              </w:rPr>
              <w:t>What changed</w:t>
            </w:r>
          </w:p>
        </w:tc>
        <w:tc>
          <w:tcPr>
            <w:tcW w:w="2538" w:type="dxa"/>
          </w:tcPr>
          <w:p w14:paraId="51666D5D" w14:textId="77777777" w:rsidR="00C3036D" w:rsidRPr="00FA3F9C" w:rsidRDefault="00C3036D" w:rsidP="006F623F">
            <w:pPr>
              <w:rPr>
                <w:rFonts w:ascii="Arial" w:hAnsi="Arial" w:cs="Arial"/>
                <w:sz w:val="24"/>
                <w:szCs w:val="24"/>
              </w:rPr>
            </w:pPr>
            <w:r w:rsidRPr="00FA3F9C">
              <w:rPr>
                <w:rFonts w:ascii="Arial" w:hAnsi="Arial" w:cs="Arial"/>
                <w:sz w:val="24"/>
                <w:szCs w:val="24"/>
              </w:rPr>
              <w:t>Pharmacist’s initials</w:t>
            </w:r>
          </w:p>
        </w:tc>
      </w:tr>
      <w:tr w:rsidR="00C3036D" w:rsidRPr="00FA3F9C" w14:paraId="42914B42" w14:textId="77777777" w:rsidTr="00FE491B">
        <w:tc>
          <w:tcPr>
            <w:tcW w:w="1008" w:type="dxa"/>
          </w:tcPr>
          <w:p w14:paraId="4752B48A" w14:textId="77777777" w:rsidR="00C3036D" w:rsidRPr="00FA3F9C" w:rsidRDefault="00C3036D" w:rsidP="006F623F">
            <w:pPr>
              <w:rPr>
                <w:rFonts w:ascii="Arial" w:hAnsi="Arial" w:cs="Arial"/>
                <w:sz w:val="24"/>
                <w:szCs w:val="24"/>
              </w:rPr>
            </w:pPr>
            <w:r w:rsidRPr="00FA3F9C">
              <w:rPr>
                <w:rFonts w:ascii="Arial" w:hAnsi="Arial" w:cs="Arial"/>
                <w:sz w:val="24"/>
                <w:szCs w:val="24"/>
              </w:rPr>
              <w:t>6/17/2019</w:t>
            </w:r>
          </w:p>
        </w:tc>
        <w:tc>
          <w:tcPr>
            <w:tcW w:w="7470" w:type="dxa"/>
          </w:tcPr>
          <w:p w14:paraId="4AE4F4F6" w14:textId="77777777" w:rsidR="00C3036D" w:rsidRPr="00FA3F9C" w:rsidRDefault="00C3036D" w:rsidP="006F623F">
            <w:pPr>
              <w:rPr>
                <w:rFonts w:ascii="Arial" w:hAnsi="Arial" w:cs="Arial"/>
                <w:sz w:val="24"/>
                <w:szCs w:val="24"/>
              </w:rPr>
            </w:pPr>
            <w:r w:rsidRPr="00FA3F9C">
              <w:rPr>
                <w:rFonts w:ascii="Arial" w:hAnsi="Arial" w:cs="Arial"/>
                <w:sz w:val="24"/>
                <w:szCs w:val="24"/>
              </w:rPr>
              <w:t>I wrote the criteria.</w:t>
            </w:r>
          </w:p>
        </w:tc>
        <w:tc>
          <w:tcPr>
            <w:tcW w:w="2538" w:type="dxa"/>
          </w:tcPr>
          <w:p w14:paraId="4C96719C" w14:textId="77777777" w:rsidR="00C3036D" w:rsidRPr="00FA3F9C" w:rsidRDefault="00C3036D" w:rsidP="006F623F">
            <w:pPr>
              <w:rPr>
                <w:rFonts w:ascii="Arial" w:hAnsi="Arial" w:cs="Arial"/>
                <w:sz w:val="24"/>
                <w:szCs w:val="24"/>
              </w:rPr>
            </w:pPr>
            <w:r w:rsidRPr="00FA3F9C">
              <w:rPr>
                <w:rFonts w:ascii="Arial" w:hAnsi="Arial" w:cs="Arial"/>
                <w:sz w:val="24"/>
                <w:szCs w:val="24"/>
              </w:rPr>
              <w:t>JJ</w:t>
            </w:r>
          </w:p>
        </w:tc>
      </w:tr>
      <w:tr w:rsidR="00C3036D" w:rsidRPr="00FA3F9C" w14:paraId="31FF7619" w14:textId="77777777" w:rsidTr="00FE491B">
        <w:tc>
          <w:tcPr>
            <w:tcW w:w="1008" w:type="dxa"/>
          </w:tcPr>
          <w:p w14:paraId="5B00F7CB" w14:textId="77777777" w:rsidR="00C3036D" w:rsidRPr="00FA3F9C" w:rsidRDefault="00C3036D" w:rsidP="006F623F">
            <w:pPr>
              <w:rPr>
                <w:rFonts w:ascii="Arial" w:hAnsi="Arial" w:cs="Arial"/>
                <w:sz w:val="24"/>
                <w:szCs w:val="24"/>
              </w:rPr>
            </w:pPr>
            <w:r w:rsidRPr="00FA3F9C">
              <w:rPr>
                <w:rFonts w:ascii="Arial" w:hAnsi="Arial" w:cs="Arial"/>
                <w:sz w:val="24"/>
                <w:szCs w:val="24"/>
              </w:rPr>
              <w:t>8/31/2020</w:t>
            </w:r>
          </w:p>
        </w:tc>
        <w:tc>
          <w:tcPr>
            <w:tcW w:w="7470" w:type="dxa"/>
          </w:tcPr>
          <w:p w14:paraId="4F2F1843" w14:textId="77777777" w:rsidR="00C3036D" w:rsidRPr="00FA3F9C" w:rsidRDefault="00C3036D" w:rsidP="006F623F">
            <w:pPr>
              <w:rPr>
                <w:rFonts w:ascii="Arial" w:hAnsi="Arial" w:cs="Arial"/>
                <w:sz w:val="24"/>
                <w:szCs w:val="24"/>
              </w:rPr>
            </w:pPr>
            <w:r w:rsidRPr="00FA3F9C">
              <w:rPr>
                <w:rFonts w:ascii="Arial" w:hAnsi="Arial" w:cs="Arial"/>
                <w:sz w:val="24"/>
                <w:szCs w:val="24"/>
              </w:rPr>
              <w:t>I updated the criteria to reflect our decision to limit access to 20mg (not 80mg) because mortality was not different between groups.</w:t>
            </w:r>
          </w:p>
        </w:tc>
        <w:tc>
          <w:tcPr>
            <w:tcW w:w="2538" w:type="dxa"/>
          </w:tcPr>
          <w:p w14:paraId="5CC2A34C" w14:textId="77777777" w:rsidR="00C3036D" w:rsidRPr="00FA3F9C" w:rsidRDefault="00C3036D" w:rsidP="006F623F">
            <w:pPr>
              <w:rPr>
                <w:rFonts w:ascii="Arial" w:hAnsi="Arial" w:cs="Arial"/>
                <w:sz w:val="24"/>
                <w:szCs w:val="24"/>
              </w:rPr>
            </w:pPr>
            <w:r w:rsidRPr="00FA3F9C">
              <w:rPr>
                <w:rFonts w:ascii="Arial" w:hAnsi="Arial" w:cs="Arial"/>
                <w:sz w:val="24"/>
                <w:szCs w:val="24"/>
              </w:rPr>
              <w:t>JJ</w:t>
            </w:r>
          </w:p>
        </w:tc>
      </w:tr>
      <w:tr w:rsidR="00C3036D" w:rsidRPr="00FA3F9C" w14:paraId="5B6F27B3" w14:textId="77777777" w:rsidTr="00FE491B">
        <w:tc>
          <w:tcPr>
            <w:tcW w:w="1008" w:type="dxa"/>
          </w:tcPr>
          <w:p w14:paraId="30626E9B" w14:textId="77777777" w:rsidR="00C3036D" w:rsidRPr="00FA3F9C" w:rsidRDefault="00C3036D" w:rsidP="006F623F">
            <w:pPr>
              <w:rPr>
                <w:rFonts w:ascii="Arial" w:hAnsi="Arial" w:cs="Arial"/>
                <w:sz w:val="24"/>
                <w:szCs w:val="24"/>
              </w:rPr>
            </w:pPr>
            <w:r w:rsidRPr="00FA3F9C">
              <w:rPr>
                <w:rFonts w:ascii="Arial" w:hAnsi="Arial" w:cs="Arial"/>
                <w:sz w:val="24"/>
                <w:szCs w:val="24"/>
              </w:rPr>
              <w:t>3/9/2021</w:t>
            </w:r>
          </w:p>
        </w:tc>
        <w:tc>
          <w:tcPr>
            <w:tcW w:w="7470" w:type="dxa"/>
          </w:tcPr>
          <w:p w14:paraId="4B39FBC3" w14:textId="77777777" w:rsidR="00C3036D" w:rsidRPr="00FA3F9C" w:rsidRDefault="00C3036D" w:rsidP="006F623F">
            <w:pPr>
              <w:rPr>
                <w:rFonts w:ascii="Arial" w:hAnsi="Arial" w:cs="Arial"/>
                <w:sz w:val="24"/>
                <w:szCs w:val="24"/>
              </w:rPr>
            </w:pPr>
            <w:r w:rsidRPr="00FA3F9C">
              <w:rPr>
                <w:rFonts w:ascii="Arial" w:hAnsi="Arial" w:cs="Arial"/>
                <w:sz w:val="24"/>
                <w:szCs w:val="24"/>
              </w:rPr>
              <w:t xml:space="preserve">I added reference 2.  I added </w:t>
            </w:r>
            <w:proofErr w:type="spellStart"/>
            <w:r w:rsidRPr="00FA3F9C">
              <w:rPr>
                <w:rFonts w:ascii="Arial" w:hAnsi="Arial" w:cs="Arial"/>
                <w:sz w:val="24"/>
                <w:szCs w:val="24"/>
              </w:rPr>
              <w:t>tafamidis</w:t>
            </w:r>
            <w:proofErr w:type="spellEnd"/>
            <w:r w:rsidRPr="00FA3F9C">
              <w:rPr>
                <w:rFonts w:ascii="Arial" w:hAnsi="Arial" w:cs="Arial"/>
                <w:sz w:val="24"/>
                <w:szCs w:val="24"/>
              </w:rPr>
              <w:t xml:space="preserve"> must be prescribed by or given in consultation with a cardiologist transthyretin amyloidosis specialist, or medical geneticist</w:t>
            </w:r>
          </w:p>
        </w:tc>
        <w:tc>
          <w:tcPr>
            <w:tcW w:w="2538" w:type="dxa"/>
          </w:tcPr>
          <w:p w14:paraId="0A7C3E50" w14:textId="77777777" w:rsidR="00C3036D" w:rsidRPr="00FA3F9C" w:rsidRDefault="00C3036D" w:rsidP="006F623F">
            <w:pPr>
              <w:rPr>
                <w:rFonts w:ascii="Arial" w:hAnsi="Arial" w:cs="Arial"/>
                <w:sz w:val="24"/>
                <w:szCs w:val="24"/>
              </w:rPr>
            </w:pPr>
            <w:r w:rsidRPr="00FA3F9C">
              <w:rPr>
                <w:rFonts w:ascii="Arial" w:hAnsi="Arial" w:cs="Arial"/>
                <w:sz w:val="24"/>
                <w:szCs w:val="24"/>
              </w:rPr>
              <w:t>JJ</w:t>
            </w:r>
          </w:p>
        </w:tc>
      </w:tr>
    </w:tbl>
    <w:p w14:paraId="5252F769" w14:textId="77777777" w:rsidR="00C3036D" w:rsidRPr="00FA3F9C" w:rsidRDefault="00C3036D" w:rsidP="006F623F">
      <w:pPr>
        <w:spacing w:after="0"/>
        <w:rPr>
          <w:rFonts w:ascii="Arial" w:hAnsi="Arial" w:cs="Arial"/>
          <w:sz w:val="24"/>
          <w:szCs w:val="24"/>
        </w:rPr>
      </w:pPr>
    </w:p>
    <w:p w14:paraId="0C62E3A3" w14:textId="77777777" w:rsidR="00C3036D" w:rsidRPr="00FA3F9C" w:rsidRDefault="00C3036D" w:rsidP="0078218F">
      <w:pPr>
        <w:pStyle w:val="Heading2"/>
      </w:pPr>
      <w:bookmarkStart w:id="318" w:name="_Toc106369941"/>
      <w:proofErr w:type="spellStart"/>
      <w:r w:rsidRPr="00FA3F9C">
        <w:t>Talazoparib</w:t>
      </w:r>
      <w:proofErr w:type="spellEnd"/>
      <w:r w:rsidRPr="00FA3F9C">
        <w:t xml:space="preserve"> (</w:t>
      </w:r>
      <w:proofErr w:type="spellStart"/>
      <w:r w:rsidRPr="00FA3F9C">
        <w:t>Talzenna</w:t>
      </w:r>
      <w:proofErr w:type="spellEnd"/>
      <w:r w:rsidRPr="00FA3F9C">
        <w:t>)</w:t>
      </w:r>
      <w:bookmarkEnd w:id="318"/>
    </w:p>
    <w:p w14:paraId="48C3AE05" w14:textId="77777777" w:rsidR="00C3036D" w:rsidRPr="00FA3F9C" w:rsidRDefault="00C3036D" w:rsidP="006F623F">
      <w:pPr>
        <w:spacing w:after="0"/>
        <w:jc w:val="center"/>
        <w:rPr>
          <w:rFonts w:ascii="Arial" w:hAnsi="Arial" w:cs="Arial"/>
          <w:sz w:val="24"/>
          <w:szCs w:val="24"/>
        </w:rPr>
      </w:pPr>
      <w:r w:rsidRPr="00FA3F9C">
        <w:rPr>
          <w:rFonts w:ascii="Arial" w:hAnsi="Arial" w:cs="Arial"/>
          <w:sz w:val="24"/>
          <w:szCs w:val="24"/>
        </w:rPr>
        <w:t>0.25, 0.5, and 1 mg capsules</w:t>
      </w:r>
    </w:p>
    <w:p w14:paraId="15F7CC70" w14:textId="77777777" w:rsidR="00C3036D" w:rsidRPr="00FA3F9C" w:rsidRDefault="00C3036D" w:rsidP="006F623F">
      <w:pPr>
        <w:spacing w:after="0"/>
        <w:jc w:val="center"/>
        <w:rPr>
          <w:rFonts w:ascii="Arial" w:hAnsi="Arial" w:cs="Arial"/>
          <w:sz w:val="24"/>
          <w:szCs w:val="24"/>
        </w:rPr>
      </w:pPr>
      <w:r w:rsidRPr="00FA3F9C">
        <w:rPr>
          <w:rFonts w:ascii="Arial" w:hAnsi="Arial" w:cs="Arial"/>
          <w:sz w:val="24"/>
          <w:szCs w:val="24"/>
        </w:rPr>
        <w:t>EBRx PA Criteria</w:t>
      </w:r>
    </w:p>
    <w:p w14:paraId="5E6A9743" w14:textId="77777777" w:rsidR="00C3036D" w:rsidRPr="00FA3F9C" w:rsidRDefault="00C3036D" w:rsidP="006F623F">
      <w:pPr>
        <w:spacing w:after="0"/>
        <w:rPr>
          <w:rFonts w:ascii="Arial" w:hAnsi="Arial" w:cs="Arial"/>
          <w:b/>
          <w:sz w:val="24"/>
          <w:szCs w:val="24"/>
          <w:u w:val="single"/>
        </w:rPr>
      </w:pPr>
    </w:p>
    <w:p w14:paraId="3A39D67B" w14:textId="77777777" w:rsidR="00C3036D" w:rsidRPr="00FA3F9C" w:rsidRDefault="00C3036D"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w:t>
      </w:r>
    </w:p>
    <w:p w14:paraId="57E61129" w14:textId="77777777" w:rsidR="00C3036D" w:rsidRPr="00FA3F9C" w:rsidRDefault="00C3036D" w:rsidP="00FC1E85">
      <w:pPr>
        <w:pStyle w:val="ListParagraph"/>
        <w:numPr>
          <w:ilvl w:val="0"/>
          <w:numId w:val="493"/>
        </w:numPr>
        <w:spacing w:after="0" w:line="276" w:lineRule="auto"/>
        <w:ind w:left="540" w:hanging="180"/>
        <w:rPr>
          <w:rFonts w:ascii="Arial" w:hAnsi="Arial" w:cs="Arial"/>
          <w:sz w:val="24"/>
          <w:szCs w:val="24"/>
        </w:rPr>
      </w:pPr>
      <w:r w:rsidRPr="00FA3F9C">
        <w:rPr>
          <w:rFonts w:ascii="Arial" w:hAnsi="Arial" w:cs="Arial"/>
          <w:color w:val="000000"/>
          <w:sz w:val="24"/>
          <w:szCs w:val="24"/>
        </w:rPr>
        <w:t>treatment of adult patients with deleterious or suspected deleterious germline BRCA-mutated (</w:t>
      </w:r>
      <w:proofErr w:type="spellStart"/>
      <w:r w:rsidRPr="00FA3F9C">
        <w:rPr>
          <w:rStyle w:val="italics"/>
          <w:rFonts w:ascii="Arial" w:hAnsi="Arial" w:cs="Arial"/>
          <w:i/>
          <w:iCs/>
          <w:color w:val="000000"/>
          <w:sz w:val="24"/>
          <w:szCs w:val="24"/>
        </w:rPr>
        <w:t>gBRCAm</w:t>
      </w:r>
      <w:proofErr w:type="spellEnd"/>
      <w:r w:rsidRPr="00FA3F9C">
        <w:rPr>
          <w:rFonts w:ascii="Arial" w:hAnsi="Arial" w:cs="Arial"/>
          <w:color w:val="000000"/>
          <w:sz w:val="24"/>
          <w:szCs w:val="24"/>
        </w:rPr>
        <w:t xml:space="preserve">) HER2-negative locally advanced or metastatic breast cancer. Select patients for therapy based on an FDA-approved companion diagnostic for </w:t>
      </w:r>
      <w:proofErr w:type="spellStart"/>
      <w:r w:rsidRPr="00FA3F9C">
        <w:rPr>
          <w:rFonts w:ascii="Arial" w:hAnsi="Arial" w:cs="Arial"/>
          <w:color w:val="000000"/>
          <w:sz w:val="24"/>
          <w:szCs w:val="24"/>
        </w:rPr>
        <w:t>talazoparib</w:t>
      </w:r>
      <w:proofErr w:type="spellEnd"/>
    </w:p>
    <w:p w14:paraId="302D41FD" w14:textId="77777777" w:rsidR="00C3036D" w:rsidRPr="00FA3F9C" w:rsidRDefault="00C3036D" w:rsidP="000E20D3">
      <w:pPr>
        <w:pStyle w:val="ListParagraph"/>
        <w:spacing w:after="0"/>
        <w:rPr>
          <w:rFonts w:ascii="Arial" w:hAnsi="Arial" w:cs="Arial"/>
          <w:sz w:val="24"/>
          <w:szCs w:val="24"/>
        </w:rPr>
      </w:pPr>
    </w:p>
    <w:tbl>
      <w:tblPr>
        <w:tblStyle w:val="TableGrid"/>
        <w:tblW w:w="0" w:type="auto"/>
        <w:tblLook w:val="04A0" w:firstRow="1" w:lastRow="0" w:firstColumn="1" w:lastColumn="0" w:noHBand="0" w:noVBand="1"/>
      </w:tblPr>
      <w:tblGrid>
        <w:gridCol w:w="8928"/>
        <w:gridCol w:w="2088"/>
      </w:tblGrid>
      <w:tr w:rsidR="00C3036D" w:rsidRPr="00FA3F9C" w14:paraId="40B7027E" w14:textId="77777777" w:rsidTr="00571CAB">
        <w:tc>
          <w:tcPr>
            <w:tcW w:w="8928" w:type="dxa"/>
            <w:shd w:val="clear" w:color="auto" w:fill="000000"/>
          </w:tcPr>
          <w:p w14:paraId="5349568F" w14:textId="77777777" w:rsidR="00C3036D" w:rsidRPr="00FA3F9C" w:rsidRDefault="00C3036D"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88" w:type="dxa"/>
            <w:shd w:val="clear" w:color="auto" w:fill="000000"/>
          </w:tcPr>
          <w:p w14:paraId="3F8A8903" w14:textId="77777777" w:rsidR="00C3036D" w:rsidRPr="00FA3F9C" w:rsidRDefault="00C3036D" w:rsidP="006F623F">
            <w:pPr>
              <w:jc w:val="center"/>
              <w:rPr>
                <w:rFonts w:ascii="Arial" w:hAnsi="Arial" w:cs="Arial"/>
                <w:b/>
                <w:sz w:val="24"/>
                <w:szCs w:val="24"/>
                <w:u w:val="single"/>
              </w:rPr>
            </w:pPr>
          </w:p>
        </w:tc>
      </w:tr>
      <w:tr w:rsidR="00C3036D" w:rsidRPr="00FA3F9C" w14:paraId="17B72144" w14:textId="77777777" w:rsidTr="00F337AE">
        <w:tc>
          <w:tcPr>
            <w:tcW w:w="11016" w:type="dxa"/>
            <w:gridSpan w:val="2"/>
          </w:tcPr>
          <w:p w14:paraId="47E783C6" w14:textId="77777777" w:rsidR="00C3036D" w:rsidRPr="00FA3F9C" w:rsidRDefault="00C3036D" w:rsidP="000E20D3">
            <w:pPr>
              <w:rPr>
                <w:rFonts w:ascii="Arial" w:hAnsi="Arial" w:cs="Arial"/>
                <w:sz w:val="24"/>
                <w:szCs w:val="24"/>
              </w:rPr>
            </w:pPr>
            <w:r w:rsidRPr="00FA3F9C">
              <w:rPr>
                <w:rFonts w:ascii="Arial" w:hAnsi="Arial" w:cs="Arial"/>
                <w:sz w:val="24"/>
                <w:szCs w:val="24"/>
              </w:rPr>
              <w:t>1. Diagnosis of unresectable or metastatic breast cancer</w:t>
            </w:r>
          </w:p>
        </w:tc>
      </w:tr>
      <w:tr w:rsidR="00C3036D" w:rsidRPr="00FA3F9C" w14:paraId="4D5365FD" w14:textId="77777777" w:rsidTr="00B1617E">
        <w:tc>
          <w:tcPr>
            <w:tcW w:w="11016" w:type="dxa"/>
            <w:gridSpan w:val="2"/>
          </w:tcPr>
          <w:p w14:paraId="6783FB7A" w14:textId="77777777" w:rsidR="00C3036D" w:rsidRPr="00FA3F9C" w:rsidRDefault="00C3036D" w:rsidP="000E20D3">
            <w:pPr>
              <w:rPr>
                <w:rFonts w:ascii="Arial" w:hAnsi="Arial" w:cs="Arial"/>
                <w:sz w:val="24"/>
                <w:szCs w:val="24"/>
              </w:rPr>
            </w:pPr>
            <w:r w:rsidRPr="00FA3F9C">
              <w:rPr>
                <w:rFonts w:ascii="Arial" w:hAnsi="Arial" w:cs="Arial"/>
                <w:sz w:val="24"/>
                <w:szCs w:val="24"/>
              </w:rPr>
              <w:t>2. Disease is progressing or has recurred after previous therapy</w:t>
            </w:r>
          </w:p>
        </w:tc>
      </w:tr>
      <w:tr w:rsidR="00C3036D" w:rsidRPr="00FA3F9C" w14:paraId="2A3888AC" w14:textId="77777777" w:rsidTr="00B1617E">
        <w:tc>
          <w:tcPr>
            <w:tcW w:w="11016" w:type="dxa"/>
            <w:gridSpan w:val="2"/>
          </w:tcPr>
          <w:p w14:paraId="137C7F9E" w14:textId="77777777" w:rsidR="00C3036D" w:rsidRPr="00FA3F9C" w:rsidRDefault="00C3036D" w:rsidP="000E20D3">
            <w:pPr>
              <w:rPr>
                <w:rFonts w:ascii="Arial" w:hAnsi="Arial" w:cs="Arial"/>
                <w:sz w:val="24"/>
                <w:szCs w:val="24"/>
              </w:rPr>
            </w:pPr>
            <w:r w:rsidRPr="00FA3F9C">
              <w:rPr>
                <w:rFonts w:ascii="Arial" w:hAnsi="Arial" w:cs="Arial"/>
                <w:sz w:val="24"/>
                <w:szCs w:val="24"/>
              </w:rPr>
              <w:t>3. Germline BRCA mutation is documented</w:t>
            </w:r>
          </w:p>
        </w:tc>
      </w:tr>
      <w:tr w:rsidR="00C3036D" w:rsidRPr="00FA3F9C" w14:paraId="0B4AF0C1" w14:textId="77777777" w:rsidTr="0010789D">
        <w:tc>
          <w:tcPr>
            <w:tcW w:w="11016" w:type="dxa"/>
            <w:gridSpan w:val="2"/>
          </w:tcPr>
          <w:p w14:paraId="55DFF1C5" w14:textId="77777777" w:rsidR="00C3036D" w:rsidRPr="00FA3F9C" w:rsidRDefault="00C3036D" w:rsidP="000E20D3">
            <w:pPr>
              <w:rPr>
                <w:rFonts w:ascii="Arial" w:hAnsi="Arial" w:cs="Arial"/>
                <w:sz w:val="24"/>
                <w:szCs w:val="24"/>
              </w:rPr>
            </w:pPr>
            <w:r w:rsidRPr="00FA3F9C">
              <w:rPr>
                <w:rFonts w:ascii="Arial" w:hAnsi="Arial" w:cs="Arial"/>
                <w:sz w:val="24"/>
                <w:szCs w:val="24"/>
              </w:rPr>
              <w:t>4. Tumor is HER2 negative</w:t>
            </w:r>
          </w:p>
        </w:tc>
      </w:tr>
      <w:tr w:rsidR="00C3036D" w:rsidRPr="00FA3F9C" w14:paraId="69BCF030" w14:textId="77777777" w:rsidTr="00DA57E0">
        <w:tc>
          <w:tcPr>
            <w:tcW w:w="11016" w:type="dxa"/>
            <w:gridSpan w:val="2"/>
          </w:tcPr>
          <w:p w14:paraId="5502DBF4" w14:textId="77777777" w:rsidR="00C3036D" w:rsidRPr="00FA3F9C" w:rsidRDefault="00C3036D" w:rsidP="003C5803">
            <w:pPr>
              <w:rPr>
                <w:rFonts w:ascii="Arial" w:hAnsi="Arial" w:cs="Arial"/>
                <w:sz w:val="24"/>
                <w:szCs w:val="24"/>
              </w:rPr>
            </w:pPr>
            <w:r w:rsidRPr="00FA3F9C">
              <w:rPr>
                <w:rFonts w:ascii="Arial" w:hAnsi="Arial" w:cs="Arial"/>
                <w:sz w:val="24"/>
                <w:szCs w:val="24"/>
              </w:rPr>
              <w:lastRenderedPageBreak/>
              <w:t xml:space="preserve">5. Patient has received a </w:t>
            </w:r>
            <w:proofErr w:type="spellStart"/>
            <w:r w:rsidRPr="00FA3F9C">
              <w:rPr>
                <w:rFonts w:ascii="Arial" w:hAnsi="Arial" w:cs="Arial"/>
                <w:sz w:val="24"/>
                <w:szCs w:val="24"/>
              </w:rPr>
              <w:t>taxane</w:t>
            </w:r>
            <w:proofErr w:type="spellEnd"/>
            <w:r w:rsidRPr="00FA3F9C">
              <w:rPr>
                <w:rFonts w:ascii="Arial" w:hAnsi="Arial" w:cs="Arial"/>
                <w:sz w:val="24"/>
                <w:szCs w:val="24"/>
              </w:rPr>
              <w:t xml:space="preserve"> (docetaxel, paclitaxel) </w:t>
            </w:r>
            <w:r w:rsidRPr="00FA3F9C">
              <w:rPr>
                <w:rFonts w:ascii="Arial" w:hAnsi="Arial" w:cs="Arial"/>
                <w:sz w:val="24"/>
                <w:szCs w:val="24"/>
                <w:u w:val="single"/>
              </w:rPr>
              <w:t>and</w:t>
            </w:r>
            <w:r w:rsidRPr="00FA3F9C">
              <w:rPr>
                <w:rFonts w:ascii="Arial" w:hAnsi="Arial" w:cs="Arial"/>
                <w:sz w:val="24"/>
                <w:szCs w:val="24"/>
              </w:rPr>
              <w:t xml:space="preserve"> an anthracycline (</w:t>
            </w:r>
            <w:proofErr w:type="spellStart"/>
            <w:r w:rsidRPr="00FA3F9C">
              <w:rPr>
                <w:rFonts w:ascii="Arial" w:hAnsi="Arial" w:cs="Arial"/>
                <w:sz w:val="24"/>
                <w:szCs w:val="24"/>
              </w:rPr>
              <w:t>epirubicin</w:t>
            </w:r>
            <w:proofErr w:type="spellEnd"/>
            <w:r w:rsidRPr="00FA3F9C">
              <w:rPr>
                <w:rFonts w:ascii="Arial" w:hAnsi="Arial" w:cs="Arial"/>
                <w:sz w:val="24"/>
                <w:szCs w:val="24"/>
              </w:rPr>
              <w:t>, doxorubicin) in the adjuvant or metastatic setting, unless contraindicated.</w:t>
            </w:r>
          </w:p>
        </w:tc>
      </w:tr>
      <w:tr w:rsidR="00C3036D" w:rsidRPr="00FA3F9C" w14:paraId="7F0DF301" w14:textId="77777777" w:rsidTr="00DA57E0">
        <w:tc>
          <w:tcPr>
            <w:tcW w:w="11016" w:type="dxa"/>
            <w:gridSpan w:val="2"/>
          </w:tcPr>
          <w:p w14:paraId="10574565" w14:textId="77777777" w:rsidR="00C3036D" w:rsidRPr="00FA3F9C" w:rsidRDefault="00C3036D" w:rsidP="003E68BA">
            <w:pPr>
              <w:rPr>
                <w:rFonts w:ascii="Arial" w:hAnsi="Arial" w:cs="Arial"/>
                <w:sz w:val="24"/>
                <w:szCs w:val="24"/>
              </w:rPr>
            </w:pPr>
            <w:r w:rsidRPr="00FA3F9C">
              <w:rPr>
                <w:rFonts w:ascii="Arial" w:hAnsi="Arial" w:cs="Arial"/>
                <w:sz w:val="24"/>
                <w:szCs w:val="24"/>
              </w:rPr>
              <w:t>6. If platinum-based chemotherapy was previously given (</w:t>
            </w:r>
            <w:proofErr w:type="gramStart"/>
            <w:r w:rsidRPr="00FA3F9C">
              <w:rPr>
                <w:rFonts w:ascii="Arial" w:hAnsi="Arial" w:cs="Arial"/>
                <w:sz w:val="24"/>
                <w:szCs w:val="24"/>
              </w:rPr>
              <w:t>e.g.</w:t>
            </w:r>
            <w:proofErr w:type="gramEnd"/>
            <w:r w:rsidRPr="00FA3F9C">
              <w:rPr>
                <w:rFonts w:ascii="Arial" w:hAnsi="Arial" w:cs="Arial"/>
                <w:sz w:val="24"/>
                <w:szCs w:val="24"/>
              </w:rPr>
              <w:t xml:space="preserve"> cisplatin, carboplatin), tumor did not progress </w:t>
            </w:r>
            <w:r w:rsidRPr="00FA3F9C">
              <w:rPr>
                <w:rFonts w:ascii="Arial" w:hAnsi="Arial" w:cs="Arial"/>
                <w:sz w:val="24"/>
                <w:szCs w:val="24"/>
                <w:u w:val="single"/>
              </w:rPr>
              <w:t>during</w:t>
            </w:r>
            <w:r w:rsidRPr="00FA3F9C">
              <w:rPr>
                <w:rFonts w:ascii="Arial" w:hAnsi="Arial" w:cs="Arial"/>
                <w:sz w:val="24"/>
                <w:szCs w:val="24"/>
              </w:rPr>
              <w:t xml:space="preserve"> platinum-based therapy</w:t>
            </w:r>
          </w:p>
        </w:tc>
      </w:tr>
      <w:tr w:rsidR="00C3036D" w:rsidRPr="00FA3F9C" w14:paraId="3AF4275C" w14:textId="77777777" w:rsidTr="00DA57E0">
        <w:tc>
          <w:tcPr>
            <w:tcW w:w="11016" w:type="dxa"/>
            <w:gridSpan w:val="2"/>
          </w:tcPr>
          <w:p w14:paraId="553059DC" w14:textId="77777777" w:rsidR="00C3036D" w:rsidRPr="00FA3F9C" w:rsidRDefault="00C3036D" w:rsidP="00BE3DC6">
            <w:pPr>
              <w:rPr>
                <w:rFonts w:ascii="Arial" w:hAnsi="Arial" w:cs="Arial"/>
                <w:sz w:val="24"/>
                <w:szCs w:val="24"/>
              </w:rPr>
            </w:pPr>
            <w:r w:rsidRPr="00FA3F9C">
              <w:rPr>
                <w:rFonts w:ascii="Arial" w:hAnsi="Arial" w:cs="Arial"/>
                <w:sz w:val="24"/>
                <w:szCs w:val="24"/>
              </w:rPr>
              <w:t>7. If tumor is hormone receptor (</w:t>
            </w:r>
            <w:proofErr w:type="gramStart"/>
            <w:r w:rsidRPr="00FA3F9C">
              <w:rPr>
                <w:rFonts w:ascii="Arial" w:hAnsi="Arial" w:cs="Arial"/>
                <w:sz w:val="24"/>
                <w:szCs w:val="24"/>
              </w:rPr>
              <w:t>e.g.</w:t>
            </w:r>
            <w:proofErr w:type="gramEnd"/>
            <w:r w:rsidRPr="00FA3F9C">
              <w:rPr>
                <w:rFonts w:ascii="Arial" w:hAnsi="Arial" w:cs="Arial"/>
                <w:sz w:val="24"/>
                <w:szCs w:val="24"/>
              </w:rPr>
              <w:t xml:space="preserve"> estrogen and/or progesterone receptor) positive, patient has received at least one hormonal therapy for treatment of metastatic disease (e.g. tamoxifen, letrozole, anastrozole, exemestane, </w:t>
            </w:r>
            <w:proofErr w:type="spellStart"/>
            <w:r w:rsidRPr="00FA3F9C">
              <w:rPr>
                <w:rFonts w:ascii="Arial" w:hAnsi="Arial" w:cs="Arial"/>
                <w:sz w:val="24"/>
                <w:szCs w:val="24"/>
              </w:rPr>
              <w:t>fulvestrant</w:t>
            </w:r>
            <w:proofErr w:type="spellEnd"/>
            <w:r w:rsidRPr="00FA3F9C">
              <w:rPr>
                <w:rFonts w:ascii="Arial" w:hAnsi="Arial" w:cs="Arial"/>
                <w:sz w:val="24"/>
                <w:szCs w:val="24"/>
              </w:rPr>
              <w:t>)</w:t>
            </w:r>
          </w:p>
        </w:tc>
      </w:tr>
      <w:tr w:rsidR="00C3036D" w:rsidRPr="00FA3F9C" w14:paraId="0CD5421C" w14:textId="77777777" w:rsidTr="00DA57E0">
        <w:tc>
          <w:tcPr>
            <w:tcW w:w="11016" w:type="dxa"/>
            <w:gridSpan w:val="2"/>
          </w:tcPr>
          <w:p w14:paraId="4396D77A" w14:textId="77777777" w:rsidR="00C3036D" w:rsidRPr="00FA3F9C" w:rsidRDefault="00C3036D" w:rsidP="00E90248">
            <w:pPr>
              <w:rPr>
                <w:rFonts w:ascii="Arial" w:hAnsi="Arial" w:cs="Arial"/>
                <w:sz w:val="24"/>
                <w:szCs w:val="24"/>
              </w:rPr>
            </w:pPr>
            <w:r w:rsidRPr="00FA3F9C">
              <w:rPr>
                <w:rFonts w:ascii="Arial" w:hAnsi="Arial" w:cs="Arial"/>
                <w:sz w:val="24"/>
                <w:szCs w:val="24"/>
              </w:rPr>
              <w:t>8. No prior PARP inhibitor has been used for treatment of breast cancer (</w:t>
            </w:r>
            <w:proofErr w:type="gramStart"/>
            <w:r w:rsidRPr="00FA3F9C">
              <w:rPr>
                <w:rFonts w:ascii="Arial" w:hAnsi="Arial" w:cs="Arial"/>
                <w:sz w:val="24"/>
                <w:szCs w:val="24"/>
              </w:rPr>
              <w:t>e.g.</w:t>
            </w:r>
            <w:proofErr w:type="gramEnd"/>
            <w:r w:rsidRPr="00FA3F9C">
              <w:rPr>
                <w:rFonts w:ascii="Arial" w:hAnsi="Arial" w:cs="Arial"/>
                <w:sz w:val="24"/>
                <w:szCs w:val="24"/>
              </w:rPr>
              <w:t xml:space="preserve"> </w:t>
            </w:r>
            <w:proofErr w:type="spellStart"/>
            <w:r w:rsidRPr="00FA3F9C">
              <w:rPr>
                <w:rFonts w:ascii="Arial" w:hAnsi="Arial" w:cs="Arial"/>
                <w:sz w:val="24"/>
                <w:szCs w:val="24"/>
              </w:rPr>
              <w:t>talazoparib</w:t>
            </w:r>
            <w:proofErr w:type="spellEnd"/>
            <w:r w:rsidRPr="00FA3F9C">
              <w:rPr>
                <w:rFonts w:ascii="Arial" w:hAnsi="Arial" w:cs="Arial"/>
                <w:sz w:val="24"/>
                <w:szCs w:val="24"/>
              </w:rPr>
              <w:t xml:space="preserve">, </w:t>
            </w:r>
            <w:proofErr w:type="spellStart"/>
            <w:r w:rsidRPr="00FA3F9C">
              <w:rPr>
                <w:rFonts w:ascii="Arial" w:hAnsi="Arial" w:cs="Arial"/>
                <w:sz w:val="24"/>
                <w:szCs w:val="24"/>
              </w:rPr>
              <w:t>olaparib</w:t>
            </w:r>
            <w:proofErr w:type="spellEnd"/>
            <w:r w:rsidRPr="00FA3F9C">
              <w:rPr>
                <w:rFonts w:ascii="Arial" w:hAnsi="Arial" w:cs="Arial"/>
                <w:sz w:val="24"/>
                <w:szCs w:val="24"/>
              </w:rPr>
              <w:t>, rucaparib)</w:t>
            </w:r>
          </w:p>
        </w:tc>
      </w:tr>
      <w:tr w:rsidR="00C3036D" w:rsidRPr="00FA3F9C" w14:paraId="342723DA" w14:textId="77777777" w:rsidTr="00DA57E0">
        <w:tc>
          <w:tcPr>
            <w:tcW w:w="11016" w:type="dxa"/>
            <w:gridSpan w:val="2"/>
          </w:tcPr>
          <w:p w14:paraId="6C55D707" w14:textId="77777777" w:rsidR="00C3036D" w:rsidRPr="00FA3F9C" w:rsidRDefault="00C3036D" w:rsidP="00E90248">
            <w:pPr>
              <w:rPr>
                <w:rFonts w:ascii="Arial" w:hAnsi="Arial" w:cs="Arial"/>
                <w:b/>
                <w:sz w:val="24"/>
                <w:szCs w:val="24"/>
              </w:rPr>
            </w:pPr>
            <w:r w:rsidRPr="00FA3F9C">
              <w:rPr>
                <w:rFonts w:ascii="Arial" w:hAnsi="Arial" w:cs="Arial"/>
                <w:b/>
                <w:sz w:val="24"/>
                <w:szCs w:val="24"/>
              </w:rPr>
              <w:t xml:space="preserve">If </w:t>
            </w:r>
            <w:proofErr w:type="gramStart"/>
            <w:r w:rsidRPr="00FA3F9C">
              <w:rPr>
                <w:rFonts w:ascii="Arial" w:hAnsi="Arial" w:cs="Arial"/>
                <w:b/>
                <w:sz w:val="24"/>
                <w:szCs w:val="24"/>
              </w:rPr>
              <w:t>all of</w:t>
            </w:r>
            <w:proofErr w:type="gramEnd"/>
            <w:r w:rsidRPr="00FA3F9C">
              <w:rPr>
                <w:rFonts w:ascii="Arial" w:hAnsi="Arial" w:cs="Arial"/>
                <w:b/>
                <w:sz w:val="24"/>
                <w:szCs w:val="24"/>
              </w:rPr>
              <w:t xml:space="preserve"> the above criteria are met, approve for 12 months</w:t>
            </w:r>
          </w:p>
        </w:tc>
      </w:tr>
    </w:tbl>
    <w:p w14:paraId="5C9722DB" w14:textId="77777777" w:rsidR="00C3036D" w:rsidRPr="00FA3F9C" w:rsidRDefault="00C3036D" w:rsidP="006F623F">
      <w:pPr>
        <w:spacing w:after="0"/>
        <w:rPr>
          <w:rFonts w:ascii="Arial" w:hAnsi="Arial" w:cs="Arial"/>
          <w:b/>
          <w:sz w:val="24"/>
          <w:szCs w:val="24"/>
          <w:u w:val="single"/>
        </w:rPr>
      </w:pPr>
    </w:p>
    <w:tbl>
      <w:tblPr>
        <w:tblStyle w:val="TableGrid"/>
        <w:tblW w:w="0" w:type="auto"/>
        <w:shd w:val="clear" w:color="auto" w:fill="BFBFBF" w:themeFill="background1" w:themeFillShade="BF"/>
        <w:tblLook w:val="04A0" w:firstRow="1" w:lastRow="0" w:firstColumn="1" w:lastColumn="0" w:noHBand="0" w:noVBand="1"/>
      </w:tblPr>
      <w:tblGrid>
        <w:gridCol w:w="11144"/>
      </w:tblGrid>
      <w:tr w:rsidR="00C3036D" w:rsidRPr="00FA3F9C" w14:paraId="7C29592E" w14:textId="77777777" w:rsidTr="00E90248">
        <w:trPr>
          <w:trHeight w:val="6146"/>
        </w:trPr>
        <w:tc>
          <w:tcPr>
            <w:tcW w:w="10998" w:type="dxa"/>
            <w:shd w:val="clear" w:color="auto" w:fill="BFBFBF" w:themeFill="background1" w:themeFillShade="BF"/>
          </w:tcPr>
          <w:p w14:paraId="2D212265" w14:textId="77777777" w:rsidR="00C3036D" w:rsidRPr="00FA3F9C" w:rsidRDefault="00C3036D" w:rsidP="00D82B6E">
            <w:pPr>
              <w:rPr>
                <w:rFonts w:ascii="Arial" w:hAnsi="Arial" w:cs="Arial"/>
                <w:sz w:val="24"/>
                <w:szCs w:val="24"/>
              </w:rPr>
            </w:pPr>
            <w:r w:rsidRPr="00FA3F9C">
              <w:rPr>
                <w:rFonts w:ascii="Arial" w:hAnsi="Arial" w:cs="Arial"/>
                <w:sz w:val="24"/>
                <w:szCs w:val="24"/>
              </w:rPr>
              <w:t xml:space="preserve">Note: </w:t>
            </w:r>
          </w:p>
          <w:p w14:paraId="6B3159AD" w14:textId="77777777" w:rsidR="00C3036D" w:rsidRPr="00FA3F9C" w:rsidRDefault="00C3036D" w:rsidP="00D82B6E">
            <w:pPr>
              <w:rPr>
                <w:rFonts w:ascii="Arial" w:hAnsi="Arial" w:cs="Arial"/>
                <w:sz w:val="24"/>
                <w:szCs w:val="24"/>
              </w:rPr>
            </w:pPr>
          </w:p>
          <w:p w14:paraId="5F4A2BA5" w14:textId="77777777" w:rsidR="00C3036D" w:rsidRPr="00FA3F9C" w:rsidRDefault="00C3036D" w:rsidP="00D55936">
            <w:pPr>
              <w:rPr>
                <w:rFonts w:ascii="Arial" w:hAnsi="Arial" w:cs="Arial"/>
                <w:sz w:val="24"/>
                <w:szCs w:val="24"/>
              </w:rPr>
            </w:pPr>
            <w:proofErr w:type="spellStart"/>
            <w:r w:rsidRPr="00FA3F9C">
              <w:rPr>
                <w:rFonts w:ascii="Arial" w:hAnsi="Arial" w:cs="Arial"/>
                <w:sz w:val="24"/>
                <w:szCs w:val="24"/>
              </w:rPr>
              <w:t>Talazoparib</w:t>
            </w:r>
            <w:proofErr w:type="spellEnd"/>
            <w:r w:rsidRPr="00FA3F9C">
              <w:rPr>
                <w:rFonts w:ascii="Arial" w:hAnsi="Arial" w:cs="Arial"/>
                <w:sz w:val="24"/>
                <w:szCs w:val="24"/>
              </w:rPr>
              <w:t xml:space="preserve"> was compared to physician’s choice of chemotherapy (capecitabine, </w:t>
            </w:r>
            <w:proofErr w:type="spellStart"/>
            <w:r w:rsidRPr="00FA3F9C">
              <w:rPr>
                <w:rFonts w:ascii="Arial" w:hAnsi="Arial" w:cs="Arial"/>
                <w:sz w:val="24"/>
                <w:szCs w:val="24"/>
              </w:rPr>
              <w:t>eribulin</w:t>
            </w:r>
            <w:proofErr w:type="spellEnd"/>
            <w:r w:rsidRPr="00FA3F9C">
              <w:rPr>
                <w:rFonts w:ascii="Arial" w:hAnsi="Arial" w:cs="Arial"/>
                <w:sz w:val="24"/>
                <w:szCs w:val="24"/>
              </w:rPr>
              <w:t xml:space="preserve">, gemcitabine, or vinorelbine) in the above patient population. Progression free survival was improved in the </w:t>
            </w:r>
            <w:proofErr w:type="spellStart"/>
            <w:r w:rsidRPr="00FA3F9C">
              <w:rPr>
                <w:rFonts w:ascii="Arial" w:hAnsi="Arial" w:cs="Arial"/>
                <w:sz w:val="24"/>
                <w:szCs w:val="24"/>
              </w:rPr>
              <w:t>talazoparib</w:t>
            </w:r>
            <w:proofErr w:type="spellEnd"/>
            <w:r w:rsidRPr="00FA3F9C">
              <w:rPr>
                <w:rFonts w:ascii="Arial" w:hAnsi="Arial" w:cs="Arial"/>
                <w:sz w:val="24"/>
                <w:szCs w:val="24"/>
              </w:rPr>
              <w:t xml:space="preserve"> group (median 7 </w:t>
            </w:r>
            <w:proofErr w:type="spellStart"/>
            <w:r w:rsidRPr="00FA3F9C">
              <w:rPr>
                <w:rFonts w:ascii="Arial" w:hAnsi="Arial" w:cs="Arial"/>
                <w:sz w:val="24"/>
                <w:szCs w:val="24"/>
              </w:rPr>
              <w:t>mo</w:t>
            </w:r>
            <w:proofErr w:type="spellEnd"/>
            <w:r w:rsidRPr="00FA3F9C">
              <w:rPr>
                <w:rFonts w:ascii="Arial" w:hAnsi="Arial" w:cs="Arial"/>
                <w:sz w:val="24"/>
                <w:szCs w:val="24"/>
              </w:rPr>
              <w:t xml:space="preserve"> vs 4.2 </w:t>
            </w:r>
            <w:proofErr w:type="spellStart"/>
            <w:r w:rsidRPr="00FA3F9C">
              <w:rPr>
                <w:rFonts w:ascii="Arial" w:hAnsi="Arial" w:cs="Arial"/>
                <w:sz w:val="24"/>
                <w:szCs w:val="24"/>
              </w:rPr>
              <w:t>mo</w:t>
            </w:r>
            <w:proofErr w:type="spellEnd"/>
            <w:r w:rsidRPr="00FA3F9C">
              <w:rPr>
                <w:rFonts w:ascii="Arial" w:hAnsi="Arial" w:cs="Arial"/>
                <w:sz w:val="24"/>
                <w:szCs w:val="24"/>
              </w:rPr>
              <w:t xml:space="preserve">). The overall survival analysis is immature and has not reached significance at the first follow up (median 22.3 vs 19.5 </w:t>
            </w:r>
            <w:proofErr w:type="spellStart"/>
            <w:proofErr w:type="gramStart"/>
            <w:r w:rsidRPr="00FA3F9C">
              <w:rPr>
                <w:rFonts w:ascii="Arial" w:hAnsi="Arial" w:cs="Arial"/>
                <w:sz w:val="24"/>
                <w:szCs w:val="24"/>
              </w:rPr>
              <w:t>mo</w:t>
            </w:r>
            <w:proofErr w:type="spellEnd"/>
            <w:r w:rsidRPr="00FA3F9C">
              <w:rPr>
                <w:rFonts w:ascii="Arial" w:hAnsi="Arial" w:cs="Arial"/>
                <w:sz w:val="24"/>
                <w:szCs w:val="24"/>
              </w:rPr>
              <w:t>;</w:t>
            </w:r>
            <w:proofErr w:type="gramEnd"/>
            <w:r w:rsidRPr="00FA3F9C">
              <w:rPr>
                <w:rFonts w:ascii="Arial" w:hAnsi="Arial" w:cs="Arial"/>
                <w:sz w:val="24"/>
                <w:szCs w:val="24"/>
              </w:rPr>
              <w:t xml:space="preserve"> HR 0.76, 95% CI, 0.55-1.06). There were similar rates of severe and serious adverse events. Time to deterioration of EORTC QLQ-C30 global health status was prolonged in the </w:t>
            </w:r>
            <w:proofErr w:type="spellStart"/>
            <w:r w:rsidRPr="00FA3F9C">
              <w:rPr>
                <w:rFonts w:ascii="Arial" w:hAnsi="Arial" w:cs="Arial"/>
                <w:sz w:val="24"/>
                <w:szCs w:val="24"/>
              </w:rPr>
              <w:t>talazoparib</w:t>
            </w:r>
            <w:proofErr w:type="spellEnd"/>
            <w:r w:rsidRPr="00FA3F9C">
              <w:rPr>
                <w:rFonts w:ascii="Arial" w:hAnsi="Arial" w:cs="Arial"/>
                <w:sz w:val="24"/>
                <w:szCs w:val="24"/>
              </w:rPr>
              <w:t xml:space="preserve"> group (median 24.3 vs 6.3 </w:t>
            </w:r>
            <w:proofErr w:type="spellStart"/>
            <w:r w:rsidRPr="00FA3F9C">
              <w:rPr>
                <w:rFonts w:ascii="Arial" w:hAnsi="Arial" w:cs="Arial"/>
                <w:sz w:val="24"/>
                <w:szCs w:val="24"/>
              </w:rPr>
              <w:t>mo</w:t>
            </w:r>
            <w:proofErr w:type="spellEnd"/>
            <w:r w:rsidRPr="00FA3F9C">
              <w:rPr>
                <w:rFonts w:ascii="Arial" w:hAnsi="Arial" w:cs="Arial"/>
                <w:sz w:val="24"/>
                <w:szCs w:val="24"/>
              </w:rPr>
              <w:t>). Time to deterioration of EORTC QLQ-BR23 was also prolonged (medians not reached).</w:t>
            </w:r>
          </w:p>
          <w:p w14:paraId="3B794510" w14:textId="77777777" w:rsidR="00C3036D" w:rsidRPr="00FA3F9C" w:rsidRDefault="00C3036D" w:rsidP="00D55936">
            <w:pPr>
              <w:rPr>
                <w:rFonts w:ascii="Arial" w:hAnsi="Arial" w:cs="Arial"/>
                <w:sz w:val="24"/>
                <w:szCs w:val="24"/>
              </w:rPr>
            </w:pPr>
          </w:p>
          <w:p w14:paraId="365B54C6" w14:textId="77777777" w:rsidR="00C3036D" w:rsidRPr="00FA3F9C" w:rsidRDefault="00C3036D" w:rsidP="00D55936">
            <w:pPr>
              <w:rPr>
                <w:rFonts w:ascii="Arial" w:hAnsi="Arial" w:cs="Arial"/>
                <w:sz w:val="24"/>
                <w:szCs w:val="24"/>
              </w:rPr>
            </w:pPr>
            <w:r w:rsidRPr="00FA3F9C">
              <w:rPr>
                <w:rFonts w:ascii="Arial" w:hAnsi="Arial" w:cs="Arial"/>
                <w:sz w:val="24"/>
                <w:szCs w:val="24"/>
              </w:rPr>
              <w:t>Though an overall survival benefit has not been demonstrated, time to deterioration of quality of life was improved (see other notes below).</w:t>
            </w:r>
          </w:p>
          <w:p w14:paraId="68D0013A" w14:textId="77777777" w:rsidR="00C3036D" w:rsidRPr="00FA3F9C" w:rsidRDefault="00C3036D" w:rsidP="00D55936">
            <w:pPr>
              <w:rPr>
                <w:rFonts w:ascii="Arial" w:hAnsi="Arial" w:cs="Arial"/>
                <w:sz w:val="24"/>
                <w:szCs w:val="24"/>
              </w:rPr>
            </w:pPr>
          </w:p>
          <w:p w14:paraId="0ECBEAFC" w14:textId="77777777" w:rsidR="00C3036D" w:rsidRPr="00FA3F9C" w:rsidRDefault="00C3036D" w:rsidP="00D55936">
            <w:pPr>
              <w:rPr>
                <w:rFonts w:ascii="Arial" w:hAnsi="Arial" w:cs="Arial"/>
                <w:sz w:val="24"/>
                <w:szCs w:val="24"/>
              </w:rPr>
            </w:pPr>
            <w:r w:rsidRPr="00FA3F9C">
              <w:rPr>
                <w:rFonts w:ascii="Arial" w:hAnsi="Arial" w:cs="Arial"/>
                <w:sz w:val="24"/>
                <w:szCs w:val="24"/>
              </w:rPr>
              <w:t xml:space="preserve">Dose: </w:t>
            </w:r>
          </w:p>
          <w:p w14:paraId="40028204" w14:textId="77777777" w:rsidR="00C3036D" w:rsidRPr="00FA3F9C" w:rsidRDefault="00C3036D" w:rsidP="00D55936">
            <w:pPr>
              <w:rPr>
                <w:rFonts w:ascii="Arial" w:hAnsi="Arial" w:cs="Arial"/>
                <w:sz w:val="24"/>
                <w:szCs w:val="24"/>
              </w:rPr>
            </w:pPr>
            <w:r w:rsidRPr="00FA3F9C">
              <w:rPr>
                <w:rFonts w:ascii="Arial" w:hAnsi="Arial" w:cs="Arial"/>
                <w:sz w:val="24"/>
                <w:szCs w:val="24"/>
              </w:rPr>
              <w:t>-1 mg daily until disease progression or unacceptable toxicity</w:t>
            </w:r>
          </w:p>
          <w:p w14:paraId="3B429D55" w14:textId="77777777" w:rsidR="00C3036D" w:rsidRPr="00FA3F9C" w:rsidRDefault="00C3036D" w:rsidP="00D55936">
            <w:pPr>
              <w:rPr>
                <w:rFonts w:ascii="Arial" w:hAnsi="Arial" w:cs="Arial"/>
                <w:sz w:val="24"/>
                <w:szCs w:val="24"/>
              </w:rPr>
            </w:pPr>
            <w:r w:rsidRPr="00FA3F9C">
              <w:rPr>
                <w:rFonts w:ascii="Arial" w:hAnsi="Arial" w:cs="Arial"/>
                <w:sz w:val="24"/>
                <w:szCs w:val="24"/>
              </w:rPr>
              <w:t xml:space="preserve">-Dose should be reduced to 0.75 mg daily when </w:t>
            </w:r>
            <w:proofErr w:type="spellStart"/>
            <w:r w:rsidRPr="00FA3F9C">
              <w:rPr>
                <w:rFonts w:ascii="Arial" w:hAnsi="Arial" w:cs="Arial"/>
                <w:sz w:val="24"/>
                <w:szCs w:val="24"/>
              </w:rPr>
              <w:t>coadministered</w:t>
            </w:r>
            <w:proofErr w:type="spellEnd"/>
            <w:r w:rsidRPr="00FA3F9C">
              <w:rPr>
                <w:rFonts w:ascii="Arial" w:hAnsi="Arial" w:cs="Arial"/>
                <w:sz w:val="24"/>
                <w:szCs w:val="24"/>
              </w:rPr>
              <w:t xml:space="preserve"> with certain P-</w:t>
            </w:r>
            <w:proofErr w:type="spellStart"/>
            <w:r w:rsidRPr="00FA3F9C">
              <w:rPr>
                <w:rFonts w:ascii="Arial" w:hAnsi="Arial" w:cs="Arial"/>
                <w:sz w:val="24"/>
                <w:szCs w:val="24"/>
              </w:rPr>
              <w:t>gp</w:t>
            </w:r>
            <w:proofErr w:type="spellEnd"/>
            <w:r w:rsidRPr="00FA3F9C">
              <w:rPr>
                <w:rFonts w:ascii="Arial" w:hAnsi="Arial" w:cs="Arial"/>
                <w:sz w:val="24"/>
                <w:szCs w:val="24"/>
              </w:rPr>
              <w:t xml:space="preserve"> inhibitors (amiodarone, carvedilol, clarithromycin, itraconazole, verapamil)</w:t>
            </w:r>
          </w:p>
          <w:p w14:paraId="059AA378" w14:textId="77777777" w:rsidR="00C3036D" w:rsidRPr="00FA3F9C" w:rsidRDefault="00C3036D" w:rsidP="00D55936">
            <w:pPr>
              <w:rPr>
                <w:rFonts w:ascii="Arial" w:hAnsi="Arial" w:cs="Arial"/>
                <w:sz w:val="24"/>
                <w:szCs w:val="24"/>
              </w:rPr>
            </w:pPr>
            <w:r w:rsidRPr="00FA3F9C">
              <w:rPr>
                <w:rFonts w:ascii="Arial" w:hAnsi="Arial" w:cs="Arial"/>
                <w:sz w:val="24"/>
                <w:szCs w:val="24"/>
              </w:rPr>
              <w:t>-If creatinine clearance is 30-59 ml/min, dose should be reduced to 0.75 mg daily.</w:t>
            </w:r>
          </w:p>
          <w:p w14:paraId="187DE10D" w14:textId="77777777" w:rsidR="00C3036D" w:rsidRPr="00FA3F9C" w:rsidRDefault="00C3036D" w:rsidP="00D55936">
            <w:pPr>
              <w:rPr>
                <w:rFonts w:ascii="Arial" w:hAnsi="Arial" w:cs="Arial"/>
                <w:sz w:val="24"/>
                <w:szCs w:val="24"/>
              </w:rPr>
            </w:pPr>
            <w:r w:rsidRPr="00FA3F9C">
              <w:rPr>
                <w:rFonts w:ascii="Arial" w:hAnsi="Arial" w:cs="Arial"/>
                <w:sz w:val="24"/>
                <w:szCs w:val="24"/>
              </w:rPr>
              <w:t>-Dose reduction for toxicity is made in 0.25 mg increments.</w:t>
            </w:r>
          </w:p>
          <w:p w14:paraId="302F7AE1" w14:textId="77777777" w:rsidR="00C3036D" w:rsidRPr="00FA3F9C" w:rsidRDefault="00C3036D" w:rsidP="00D55936">
            <w:pPr>
              <w:rPr>
                <w:rFonts w:ascii="Arial" w:hAnsi="Arial" w:cs="Arial"/>
                <w:sz w:val="24"/>
                <w:szCs w:val="24"/>
              </w:rPr>
            </w:pPr>
          </w:p>
          <w:p w14:paraId="2889C455" w14:textId="77777777" w:rsidR="00C3036D" w:rsidRPr="00FA3F9C" w:rsidRDefault="00C3036D" w:rsidP="00D55936">
            <w:pPr>
              <w:rPr>
                <w:rFonts w:ascii="Arial" w:hAnsi="Arial" w:cs="Arial"/>
                <w:sz w:val="24"/>
                <w:szCs w:val="24"/>
              </w:rPr>
            </w:pPr>
            <w:r w:rsidRPr="00FA3F9C">
              <w:rPr>
                <w:rFonts w:ascii="Arial" w:hAnsi="Arial" w:cs="Arial"/>
                <w:sz w:val="24"/>
                <w:szCs w:val="24"/>
              </w:rPr>
              <w:t>References:</w:t>
            </w:r>
          </w:p>
          <w:p w14:paraId="483DCC5E" w14:textId="77777777" w:rsidR="00C3036D" w:rsidRPr="00FA3F9C" w:rsidRDefault="00C3036D" w:rsidP="00C3036D">
            <w:pPr>
              <w:pStyle w:val="ListParagraph"/>
              <w:numPr>
                <w:ilvl w:val="0"/>
                <w:numId w:val="282"/>
              </w:numPr>
              <w:spacing w:after="160" w:line="259" w:lineRule="auto"/>
              <w:ind w:left="360" w:hanging="180"/>
              <w:rPr>
                <w:rFonts w:ascii="Arial" w:hAnsi="Arial" w:cs="Arial"/>
                <w:sz w:val="24"/>
                <w:szCs w:val="24"/>
              </w:rPr>
            </w:pPr>
            <w:r w:rsidRPr="00FA3F9C">
              <w:rPr>
                <w:rFonts w:ascii="Arial" w:hAnsi="Arial" w:cs="Arial"/>
                <w:sz w:val="24"/>
                <w:szCs w:val="24"/>
              </w:rPr>
              <w:lastRenderedPageBreak/>
              <w:t xml:space="preserve">Litton JK et al. </w:t>
            </w:r>
            <w:proofErr w:type="spellStart"/>
            <w:r w:rsidRPr="00FA3F9C">
              <w:rPr>
                <w:rFonts w:ascii="Arial" w:hAnsi="Arial" w:cs="Arial"/>
                <w:sz w:val="24"/>
                <w:szCs w:val="24"/>
              </w:rPr>
              <w:t>Talazoparib</w:t>
            </w:r>
            <w:proofErr w:type="spellEnd"/>
            <w:r w:rsidRPr="00FA3F9C">
              <w:rPr>
                <w:rFonts w:ascii="Arial" w:hAnsi="Arial" w:cs="Arial"/>
                <w:sz w:val="24"/>
                <w:szCs w:val="24"/>
              </w:rPr>
              <w:t xml:space="preserve"> in Patients with Advanced Breast Cancer and a Germline BRCA Mutation. N </w:t>
            </w:r>
            <w:proofErr w:type="spellStart"/>
            <w:r w:rsidRPr="00FA3F9C">
              <w:rPr>
                <w:rFonts w:ascii="Arial" w:hAnsi="Arial" w:cs="Arial"/>
                <w:sz w:val="24"/>
                <w:szCs w:val="24"/>
              </w:rPr>
              <w:t>Engl</w:t>
            </w:r>
            <w:proofErr w:type="spellEnd"/>
            <w:r w:rsidRPr="00FA3F9C">
              <w:rPr>
                <w:rFonts w:ascii="Arial" w:hAnsi="Arial" w:cs="Arial"/>
                <w:sz w:val="24"/>
                <w:szCs w:val="24"/>
              </w:rPr>
              <w:t xml:space="preserve"> J Med. 2018 Aug 23;379(8):753-763. NCT01945775 PMID 30110579 </w:t>
            </w:r>
          </w:p>
          <w:p w14:paraId="05D603AD" w14:textId="77777777" w:rsidR="00C3036D" w:rsidRPr="00FA3F9C" w:rsidRDefault="00C3036D" w:rsidP="00C3036D">
            <w:pPr>
              <w:pStyle w:val="ListParagraph"/>
              <w:numPr>
                <w:ilvl w:val="0"/>
                <w:numId w:val="282"/>
              </w:numPr>
              <w:spacing w:after="160" w:line="259" w:lineRule="auto"/>
              <w:ind w:left="360" w:hanging="180"/>
              <w:rPr>
                <w:rFonts w:ascii="Arial" w:hAnsi="Arial" w:cs="Arial"/>
                <w:sz w:val="24"/>
                <w:szCs w:val="24"/>
              </w:rPr>
            </w:pPr>
            <w:proofErr w:type="spellStart"/>
            <w:r w:rsidRPr="00FA3F9C">
              <w:rPr>
                <w:rFonts w:ascii="Arial" w:hAnsi="Arial" w:cs="Arial"/>
                <w:sz w:val="24"/>
                <w:szCs w:val="24"/>
                <w:lang w:val="fr-FR"/>
              </w:rPr>
              <w:t>Litton</w:t>
            </w:r>
            <w:proofErr w:type="spellEnd"/>
            <w:r w:rsidRPr="00FA3F9C">
              <w:rPr>
                <w:rFonts w:ascii="Arial" w:hAnsi="Arial" w:cs="Arial"/>
                <w:sz w:val="24"/>
                <w:szCs w:val="24"/>
                <w:lang w:val="fr-FR"/>
              </w:rPr>
              <w:t xml:space="preserve"> JK et al. </w:t>
            </w:r>
            <w:proofErr w:type="spellStart"/>
            <w:r w:rsidRPr="00FA3F9C">
              <w:rPr>
                <w:rFonts w:ascii="Arial" w:hAnsi="Arial" w:cs="Arial"/>
                <w:sz w:val="24"/>
                <w:szCs w:val="24"/>
                <w:lang w:val="fr-FR"/>
              </w:rPr>
              <w:t>Talazoparib</w:t>
            </w:r>
            <w:proofErr w:type="spellEnd"/>
            <w:r w:rsidRPr="00FA3F9C">
              <w:rPr>
                <w:rFonts w:ascii="Arial" w:hAnsi="Arial" w:cs="Arial"/>
                <w:sz w:val="24"/>
                <w:szCs w:val="24"/>
                <w:lang w:val="fr-FR"/>
              </w:rPr>
              <w:t>…</w:t>
            </w:r>
            <w:proofErr w:type="spellStart"/>
            <w:r w:rsidRPr="00FA3F9C">
              <w:rPr>
                <w:rFonts w:ascii="Arial" w:hAnsi="Arial" w:cs="Arial"/>
                <w:sz w:val="24"/>
                <w:szCs w:val="24"/>
                <w:lang w:val="fr-FR"/>
              </w:rPr>
              <w:t>appendix</w:t>
            </w:r>
            <w:proofErr w:type="spellEnd"/>
            <w:r w:rsidRPr="00FA3F9C">
              <w:rPr>
                <w:rFonts w:ascii="Arial" w:hAnsi="Arial" w:cs="Arial"/>
                <w:sz w:val="24"/>
                <w:szCs w:val="24"/>
                <w:lang w:val="fr-FR"/>
              </w:rPr>
              <w:t xml:space="preserve"> </w:t>
            </w:r>
            <w:hyperlink r:id="rId399" w:history="1">
              <w:r w:rsidRPr="00FA3F9C">
                <w:rPr>
                  <w:rStyle w:val="Hyperlink"/>
                  <w:rFonts w:ascii="Arial" w:hAnsi="Arial" w:cs="Arial"/>
                  <w:sz w:val="24"/>
                  <w:szCs w:val="24"/>
                  <w:lang w:val="fr-FR"/>
                </w:rPr>
                <w:t>https://www.nejm.org/doi/suppl/10.1056/NEJMoa1802905/suppl_file/nejmoa1802905_appendix.pdf</w:t>
              </w:r>
            </w:hyperlink>
            <w:r w:rsidRPr="00FA3F9C">
              <w:rPr>
                <w:rFonts w:ascii="Arial" w:hAnsi="Arial" w:cs="Arial"/>
                <w:sz w:val="24"/>
                <w:szCs w:val="24"/>
                <w:lang w:val="fr-FR"/>
              </w:rPr>
              <w:t xml:space="preserve">. </w:t>
            </w:r>
            <w:r w:rsidRPr="00FA3F9C">
              <w:rPr>
                <w:rFonts w:ascii="Arial" w:hAnsi="Arial" w:cs="Arial"/>
                <w:sz w:val="24"/>
                <w:szCs w:val="24"/>
              </w:rPr>
              <w:t>Accessed 7/12/19.</w:t>
            </w:r>
          </w:p>
          <w:p w14:paraId="7E57A8EF" w14:textId="77777777" w:rsidR="00C3036D" w:rsidRPr="00FA3F9C" w:rsidRDefault="00C3036D" w:rsidP="00C3036D">
            <w:pPr>
              <w:pStyle w:val="ListParagraph"/>
              <w:numPr>
                <w:ilvl w:val="0"/>
                <w:numId w:val="282"/>
              </w:numPr>
              <w:spacing w:after="160" w:line="259" w:lineRule="auto"/>
              <w:ind w:left="360" w:hanging="180"/>
              <w:rPr>
                <w:rFonts w:ascii="Arial" w:hAnsi="Arial" w:cs="Arial"/>
                <w:sz w:val="24"/>
                <w:szCs w:val="24"/>
              </w:rPr>
            </w:pPr>
            <w:r w:rsidRPr="00FA3F9C">
              <w:rPr>
                <w:rFonts w:ascii="Arial" w:hAnsi="Arial" w:cs="Arial"/>
                <w:sz w:val="24"/>
                <w:szCs w:val="24"/>
              </w:rPr>
              <w:t xml:space="preserve">Litton JK et al. </w:t>
            </w:r>
            <w:proofErr w:type="spellStart"/>
            <w:r w:rsidRPr="00FA3F9C">
              <w:rPr>
                <w:rFonts w:ascii="Arial" w:hAnsi="Arial" w:cs="Arial"/>
                <w:sz w:val="24"/>
                <w:szCs w:val="24"/>
              </w:rPr>
              <w:t>Talazoparib</w:t>
            </w:r>
            <w:proofErr w:type="spellEnd"/>
            <w:r w:rsidRPr="00FA3F9C">
              <w:rPr>
                <w:rFonts w:ascii="Arial" w:hAnsi="Arial" w:cs="Arial"/>
                <w:sz w:val="24"/>
                <w:szCs w:val="24"/>
              </w:rPr>
              <w:t xml:space="preserve">…protocol </w:t>
            </w:r>
            <w:hyperlink r:id="rId400" w:history="1">
              <w:r w:rsidRPr="00FA3F9C">
                <w:rPr>
                  <w:rStyle w:val="Hyperlink"/>
                  <w:rFonts w:ascii="Arial" w:hAnsi="Arial" w:cs="Arial"/>
                  <w:sz w:val="24"/>
                  <w:szCs w:val="24"/>
                </w:rPr>
                <w:t>https://www.nejm.org/doi/suppl/10.1056/NEJMoa1802905/suppl_file/nejmoa1802905_protocol.pdf. Accessed 7/12/19</w:t>
              </w:r>
            </w:hyperlink>
            <w:r w:rsidRPr="00FA3F9C">
              <w:rPr>
                <w:rFonts w:ascii="Arial" w:hAnsi="Arial" w:cs="Arial"/>
                <w:sz w:val="24"/>
                <w:szCs w:val="24"/>
              </w:rPr>
              <w:t>.</w:t>
            </w:r>
          </w:p>
          <w:p w14:paraId="03F8D5A9" w14:textId="77777777" w:rsidR="00C3036D" w:rsidRPr="00FA3F9C" w:rsidRDefault="00C3036D" w:rsidP="00C3036D">
            <w:pPr>
              <w:pStyle w:val="ListParagraph"/>
              <w:numPr>
                <w:ilvl w:val="0"/>
                <w:numId w:val="282"/>
              </w:numPr>
              <w:spacing w:after="160" w:line="259" w:lineRule="auto"/>
              <w:ind w:left="360" w:hanging="180"/>
              <w:rPr>
                <w:rFonts w:ascii="Arial" w:hAnsi="Arial" w:cs="Arial"/>
                <w:sz w:val="24"/>
                <w:szCs w:val="24"/>
              </w:rPr>
            </w:pPr>
            <w:r w:rsidRPr="00FA3F9C">
              <w:rPr>
                <w:rFonts w:ascii="Arial" w:hAnsi="Arial" w:cs="Arial"/>
                <w:sz w:val="24"/>
                <w:szCs w:val="24"/>
              </w:rPr>
              <w:t xml:space="preserve">Litton JK, </w:t>
            </w:r>
            <w:proofErr w:type="spellStart"/>
            <w:r w:rsidRPr="00FA3F9C">
              <w:rPr>
                <w:rFonts w:ascii="Arial" w:hAnsi="Arial" w:cs="Arial"/>
                <w:sz w:val="24"/>
                <w:szCs w:val="24"/>
              </w:rPr>
              <w:t>Hurvitz</w:t>
            </w:r>
            <w:proofErr w:type="spellEnd"/>
            <w:r w:rsidRPr="00FA3F9C">
              <w:rPr>
                <w:rFonts w:ascii="Arial" w:hAnsi="Arial" w:cs="Arial"/>
                <w:sz w:val="24"/>
                <w:szCs w:val="24"/>
              </w:rPr>
              <w:t xml:space="preserve"> SA, Mina LA, </w:t>
            </w:r>
            <w:proofErr w:type="spellStart"/>
            <w:r w:rsidRPr="00FA3F9C">
              <w:rPr>
                <w:rFonts w:ascii="Arial" w:hAnsi="Arial" w:cs="Arial"/>
                <w:sz w:val="24"/>
                <w:szCs w:val="24"/>
              </w:rPr>
              <w:t>Rugo</w:t>
            </w:r>
            <w:proofErr w:type="spellEnd"/>
            <w:r w:rsidRPr="00FA3F9C">
              <w:rPr>
                <w:rFonts w:ascii="Arial" w:hAnsi="Arial" w:cs="Arial"/>
                <w:sz w:val="24"/>
                <w:szCs w:val="24"/>
              </w:rPr>
              <w:t xml:space="preserve"> HS, Lee KH, Gonçalves A, Diab S, Woodward N, Goodwin A, </w:t>
            </w:r>
            <w:proofErr w:type="spellStart"/>
            <w:r w:rsidRPr="00FA3F9C">
              <w:rPr>
                <w:rFonts w:ascii="Arial" w:hAnsi="Arial" w:cs="Arial"/>
                <w:sz w:val="24"/>
                <w:szCs w:val="24"/>
              </w:rPr>
              <w:t>Yerushalmi</w:t>
            </w:r>
            <w:proofErr w:type="spellEnd"/>
            <w:r w:rsidRPr="00FA3F9C">
              <w:rPr>
                <w:rFonts w:ascii="Arial" w:hAnsi="Arial" w:cs="Arial"/>
                <w:sz w:val="24"/>
                <w:szCs w:val="24"/>
              </w:rPr>
              <w:t xml:space="preserve"> R, </w:t>
            </w:r>
            <w:proofErr w:type="spellStart"/>
            <w:r w:rsidRPr="00FA3F9C">
              <w:rPr>
                <w:rFonts w:ascii="Arial" w:hAnsi="Arial" w:cs="Arial"/>
                <w:sz w:val="24"/>
                <w:szCs w:val="24"/>
              </w:rPr>
              <w:t>Roché</w:t>
            </w:r>
            <w:proofErr w:type="spellEnd"/>
            <w:r w:rsidRPr="00FA3F9C">
              <w:rPr>
                <w:rFonts w:ascii="Arial" w:hAnsi="Arial" w:cs="Arial"/>
                <w:sz w:val="24"/>
                <w:szCs w:val="24"/>
              </w:rPr>
              <w:t xml:space="preserve"> H, </w:t>
            </w:r>
            <w:proofErr w:type="spellStart"/>
            <w:r w:rsidRPr="00FA3F9C">
              <w:rPr>
                <w:rFonts w:ascii="Arial" w:hAnsi="Arial" w:cs="Arial"/>
                <w:sz w:val="24"/>
                <w:szCs w:val="24"/>
              </w:rPr>
              <w:t>Im</w:t>
            </w:r>
            <w:proofErr w:type="spellEnd"/>
            <w:r w:rsidRPr="00FA3F9C">
              <w:rPr>
                <w:rFonts w:ascii="Arial" w:hAnsi="Arial" w:cs="Arial"/>
                <w:sz w:val="24"/>
                <w:szCs w:val="24"/>
              </w:rPr>
              <w:t xml:space="preserve"> YH, Eiermann W, Quek RGW, </w:t>
            </w:r>
            <w:proofErr w:type="spellStart"/>
            <w:r w:rsidRPr="00FA3F9C">
              <w:rPr>
                <w:rFonts w:ascii="Arial" w:hAnsi="Arial" w:cs="Arial"/>
                <w:sz w:val="24"/>
                <w:szCs w:val="24"/>
              </w:rPr>
              <w:t>Usari</w:t>
            </w:r>
            <w:proofErr w:type="spellEnd"/>
            <w:r w:rsidRPr="00FA3F9C">
              <w:rPr>
                <w:rFonts w:ascii="Arial" w:hAnsi="Arial" w:cs="Arial"/>
                <w:sz w:val="24"/>
                <w:szCs w:val="24"/>
              </w:rPr>
              <w:t xml:space="preserve"> T, </w:t>
            </w:r>
            <w:proofErr w:type="spellStart"/>
            <w:r w:rsidRPr="00FA3F9C">
              <w:rPr>
                <w:rFonts w:ascii="Arial" w:hAnsi="Arial" w:cs="Arial"/>
                <w:sz w:val="24"/>
                <w:szCs w:val="24"/>
              </w:rPr>
              <w:t>Lanzalone</w:t>
            </w:r>
            <w:proofErr w:type="spellEnd"/>
            <w:r w:rsidRPr="00FA3F9C">
              <w:rPr>
                <w:rFonts w:ascii="Arial" w:hAnsi="Arial" w:cs="Arial"/>
                <w:sz w:val="24"/>
                <w:szCs w:val="24"/>
              </w:rPr>
              <w:t xml:space="preserve"> S, </w:t>
            </w:r>
            <w:proofErr w:type="spellStart"/>
            <w:r w:rsidRPr="00FA3F9C">
              <w:rPr>
                <w:rFonts w:ascii="Arial" w:hAnsi="Arial" w:cs="Arial"/>
                <w:sz w:val="24"/>
                <w:szCs w:val="24"/>
              </w:rPr>
              <w:t>Czibere</w:t>
            </w:r>
            <w:proofErr w:type="spellEnd"/>
            <w:r w:rsidRPr="00FA3F9C">
              <w:rPr>
                <w:rFonts w:ascii="Arial" w:hAnsi="Arial" w:cs="Arial"/>
                <w:sz w:val="24"/>
                <w:szCs w:val="24"/>
              </w:rPr>
              <w:t xml:space="preserve"> A, Blum JL, Martin M, </w:t>
            </w:r>
            <w:proofErr w:type="spellStart"/>
            <w:r w:rsidRPr="00FA3F9C">
              <w:rPr>
                <w:rFonts w:ascii="Arial" w:hAnsi="Arial" w:cs="Arial"/>
                <w:sz w:val="24"/>
                <w:szCs w:val="24"/>
              </w:rPr>
              <w:t>Ettl</w:t>
            </w:r>
            <w:proofErr w:type="spellEnd"/>
            <w:r w:rsidRPr="00FA3F9C">
              <w:rPr>
                <w:rFonts w:ascii="Arial" w:hAnsi="Arial" w:cs="Arial"/>
                <w:sz w:val="24"/>
                <w:szCs w:val="24"/>
              </w:rPr>
              <w:t xml:space="preserve"> J. </w:t>
            </w:r>
            <w:proofErr w:type="spellStart"/>
            <w:r w:rsidRPr="00FA3F9C">
              <w:rPr>
                <w:rFonts w:ascii="Arial" w:hAnsi="Arial" w:cs="Arial"/>
                <w:sz w:val="24"/>
                <w:szCs w:val="24"/>
              </w:rPr>
              <w:t>Talazoparib</w:t>
            </w:r>
            <w:proofErr w:type="spellEnd"/>
            <w:r w:rsidRPr="00FA3F9C">
              <w:rPr>
                <w:rFonts w:ascii="Arial" w:hAnsi="Arial" w:cs="Arial"/>
                <w:sz w:val="24"/>
                <w:szCs w:val="24"/>
              </w:rPr>
              <w:t xml:space="preserve"> versus chemotherapy in patients with germline BRCA1/2-mutated HER2-negative advanced breast cancer: final overall survival results from the EMBRACA trial. Ann Oncol. 2020 Aug 20:S0923-7534(20)42106-4. PMID: 32828825.</w:t>
            </w:r>
          </w:p>
        </w:tc>
      </w:tr>
    </w:tbl>
    <w:p w14:paraId="594F4108" w14:textId="77777777" w:rsidR="00C3036D" w:rsidRPr="00FA3F9C" w:rsidRDefault="00C3036D" w:rsidP="006F623F">
      <w:pPr>
        <w:spacing w:after="0"/>
        <w:rPr>
          <w:rFonts w:ascii="Arial" w:hAnsi="Arial" w:cs="Arial"/>
          <w:sz w:val="24"/>
          <w:szCs w:val="24"/>
        </w:rPr>
      </w:pPr>
      <w:r w:rsidRPr="00FA3F9C">
        <w:rPr>
          <w:rFonts w:ascii="Arial" w:hAnsi="Arial" w:cs="Arial"/>
          <w:sz w:val="24"/>
          <w:szCs w:val="24"/>
        </w:rPr>
        <w:lastRenderedPageBreak/>
        <w:t xml:space="preserve">Quantity Limits: </w:t>
      </w:r>
    </w:p>
    <w:p w14:paraId="507EAB8B" w14:textId="77777777" w:rsidR="00C3036D" w:rsidRPr="00FA3F9C" w:rsidRDefault="00C3036D" w:rsidP="006F623F">
      <w:pPr>
        <w:spacing w:after="0"/>
        <w:rPr>
          <w:rFonts w:ascii="Arial" w:hAnsi="Arial" w:cs="Arial"/>
          <w:sz w:val="24"/>
          <w:szCs w:val="24"/>
        </w:rPr>
      </w:pPr>
      <w:r w:rsidRPr="00FA3F9C">
        <w:rPr>
          <w:rFonts w:ascii="Arial" w:hAnsi="Arial" w:cs="Arial"/>
          <w:sz w:val="24"/>
          <w:szCs w:val="24"/>
        </w:rPr>
        <w:t>1 mg: 30/30</w:t>
      </w:r>
    </w:p>
    <w:p w14:paraId="2687D2F5" w14:textId="77777777" w:rsidR="00C3036D" w:rsidRPr="00FA3F9C" w:rsidRDefault="00C3036D" w:rsidP="006F623F">
      <w:pPr>
        <w:spacing w:after="0"/>
        <w:rPr>
          <w:rFonts w:ascii="Arial" w:hAnsi="Arial" w:cs="Arial"/>
          <w:sz w:val="24"/>
          <w:szCs w:val="24"/>
        </w:rPr>
      </w:pPr>
      <w:r w:rsidRPr="00FA3F9C">
        <w:rPr>
          <w:rFonts w:ascii="Arial" w:hAnsi="Arial" w:cs="Arial"/>
          <w:sz w:val="24"/>
          <w:szCs w:val="24"/>
        </w:rPr>
        <w:t>0.25 mg: 90/30</w:t>
      </w:r>
    </w:p>
    <w:p w14:paraId="43B4C437" w14:textId="77777777" w:rsidR="00C3036D" w:rsidRPr="00FA3F9C" w:rsidRDefault="00C3036D" w:rsidP="006F623F">
      <w:pPr>
        <w:spacing w:after="0"/>
        <w:rPr>
          <w:rFonts w:ascii="Arial" w:hAnsi="Arial" w:cs="Arial"/>
          <w:sz w:val="24"/>
          <w:szCs w:val="24"/>
        </w:rPr>
      </w:pPr>
    </w:p>
    <w:p w14:paraId="08D84933" w14:textId="77777777" w:rsidR="00C3036D" w:rsidRPr="00FA3F9C" w:rsidRDefault="00C3036D"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418"/>
        <w:gridCol w:w="7470"/>
        <w:gridCol w:w="2538"/>
      </w:tblGrid>
      <w:tr w:rsidR="00C3036D" w:rsidRPr="00FA3F9C" w14:paraId="0AB400F9" w14:textId="77777777" w:rsidTr="00FE491B">
        <w:tc>
          <w:tcPr>
            <w:tcW w:w="1008" w:type="dxa"/>
          </w:tcPr>
          <w:p w14:paraId="6C7CED7C" w14:textId="77777777" w:rsidR="00C3036D" w:rsidRPr="00FA3F9C" w:rsidRDefault="00C3036D" w:rsidP="006F623F">
            <w:pPr>
              <w:rPr>
                <w:rFonts w:ascii="Arial" w:hAnsi="Arial" w:cs="Arial"/>
                <w:sz w:val="24"/>
                <w:szCs w:val="24"/>
              </w:rPr>
            </w:pPr>
            <w:r w:rsidRPr="00FA3F9C">
              <w:rPr>
                <w:rFonts w:ascii="Arial" w:hAnsi="Arial" w:cs="Arial"/>
                <w:sz w:val="24"/>
                <w:szCs w:val="24"/>
              </w:rPr>
              <w:t>Date</w:t>
            </w:r>
          </w:p>
        </w:tc>
        <w:tc>
          <w:tcPr>
            <w:tcW w:w="7470" w:type="dxa"/>
          </w:tcPr>
          <w:p w14:paraId="0FAFA496" w14:textId="77777777" w:rsidR="00C3036D" w:rsidRPr="00FA3F9C" w:rsidRDefault="00C3036D" w:rsidP="006F623F">
            <w:pPr>
              <w:rPr>
                <w:rFonts w:ascii="Arial" w:hAnsi="Arial" w:cs="Arial"/>
                <w:sz w:val="24"/>
                <w:szCs w:val="24"/>
              </w:rPr>
            </w:pPr>
            <w:r w:rsidRPr="00FA3F9C">
              <w:rPr>
                <w:rFonts w:ascii="Arial" w:hAnsi="Arial" w:cs="Arial"/>
                <w:sz w:val="24"/>
                <w:szCs w:val="24"/>
              </w:rPr>
              <w:t>What changed</w:t>
            </w:r>
          </w:p>
        </w:tc>
        <w:tc>
          <w:tcPr>
            <w:tcW w:w="2538" w:type="dxa"/>
          </w:tcPr>
          <w:p w14:paraId="6049CFC1" w14:textId="77777777" w:rsidR="00C3036D" w:rsidRPr="00FA3F9C" w:rsidRDefault="00C3036D" w:rsidP="006F623F">
            <w:pPr>
              <w:rPr>
                <w:rFonts w:ascii="Arial" w:hAnsi="Arial" w:cs="Arial"/>
                <w:sz w:val="24"/>
                <w:szCs w:val="24"/>
              </w:rPr>
            </w:pPr>
            <w:r w:rsidRPr="00FA3F9C">
              <w:rPr>
                <w:rFonts w:ascii="Arial" w:hAnsi="Arial" w:cs="Arial"/>
                <w:sz w:val="24"/>
                <w:szCs w:val="24"/>
              </w:rPr>
              <w:t>Pharmacist’s initials</w:t>
            </w:r>
          </w:p>
        </w:tc>
      </w:tr>
      <w:tr w:rsidR="00C3036D" w:rsidRPr="00FA3F9C" w14:paraId="0426BE63" w14:textId="77777777" w:rsidTr="00FE491B">
        <w:tc>
          <w:tcPr>
            <w:tcW w:w="1008" w:type="dxa"/>
          </w:tcPr>
          <w:p w14:paraId="36960C7A" w14:textId="77777777" w:rsidR="00C3036D" w:rsidRPr="00FA3F9C" w:rsidRDefault="00C3036D" w:rsidP="006F623F">
            <w:pPr>
              <w:rPr>
                <w:rFonts w:ascii="Arial" w:hAnsi="Arial" w:cs="Arial"/>
                <w:sz w:val="24"/>
                <w:szCs w:val="24"/>
              </w:rPr>
            </w:pPr>
            <w:r w:rsidRPr="00FA3F9C">
              <w:rPr>
                <w:rFonts w:ascii="Arial" w:hAnsi="Arial" w:cs="Arial"/>
                <w:sz w:val="24"/>
                <w:szCs w:val="24"/>
              </w:rPr>
              <w:t>8/26/19</w:t>
            </w:r>
          </w:p>
        </w:tc>
        <w:tc>
          <w:tcPr>
            <w:tcW w:w="7470" w:type="dxa"/>
          </w:tcPr>
          <w:p w14:paraId="35696AC1" w14:textId="77777777" w:rsidR="00C3036D" w:rsidRPr="00FA3F9C" w:rsidRDefault="00C3036D" w:rsidP="006F623F">
            <w:pPr>
              <w:rPr>
                <w:rFonts w:ascii="Arial" w:hAnsi="Arial" w:cs="Arial"/>
                <w:sz w:val="24"/>
                <w:szCs w:val="24"/>
              </w:rPr>
            </w:pPr>
            <w:r w:rsidRPr="00FA3F9C">
              <w:rPr>
                <w:rFonts w:ascii="Arial" w:hAnsi="Arial" w:cs="Arial"/>
                <w:sz w:val="24"/>
                <w:szCs w:val="24"/>
              </w:rPr>
              <w:t>Criteria written.</w:t>
            </w:r>
          </w:p>
        </w:tc>
        <w:tc>
          <w:tcPr>
            <w:tcW w:w="2538" w:type="dxa"/>
          </w:tcPr>
          <w:p w14:paraId="28313E10" w14:textId="77777777" w:rsidR="00C3036D" w:rsidRPr="00FA3F9C" w:rsidRDefault="00C3036D" w:rsidP="006F623F">
            <w:pPr>
              <w:rPr>
                <w:rFonts w:ascii="Arial" w:hAnsi="Arial" w:cs="Arial"/>
                <w:sz w:val="24"/>
                <w:szCs w:val="24"/>
              </w:rPr>
            </w:pPr>
            <w:r w:rsidRPr="00FA3F9C">
              <w:rPr>
                <w:rFonts w:ascii="Arial" w:hAnsi="Arial" w:cs="Arial"/>
                <w:sz w:val="24"/>
                <w:szCs w:val="24"/>
              </w:rPr>
              <w:t>SK</w:t>
            </w:r>
          </w:p>
        </w:tc>
      </w:tr>
      <w:tr w:rsidR="00C3036D" w:rsidRPr="00FA3F9C" w14:paraId="4AF0423F" w14:textId="77777777" w:rsidTr="00FE491B">
        <w:tc>
          <w:tcPr>
            <w:tcW w:w="1008" w:type="dxa"/>
          </w:tcPr>
          <w:p w14:paraId="5D6295E2" w14:textId="77777777" w:rsidR="00C3036D" w:rsidRPr="00FA3F9C" w:rsidRDefault="00C3036D" w:rsidP="006F623F">
            <w:pPr>
              <w:rPr>
                <w:rFonts w:ascii="Arial" w:hAnsi="Arial" w:cs="Arial"/>
                <w:sz w:val="24"/>
                <w:szCs w:val="24"/>
              </w:rPr>
            </w:pPr>
            <w:r w:rsidRPr="00FA3F9C">
              <w:rPr>
                <w:rFonts w:ascii="Arial" w:hAnsi="Arial" w:cs="Arial"/>
                <w:sz w:val="24"/>
                <w:szCs w:val="24"/>
              </w:rPr>
              <w:t>10/13/2020</w:t>
            </w:r>
          </w:p>
        </w:tc>
        <w:tc>
          <w:tcPr>
            <w:tcW w:w="7470" w:type="dxa"/>
          </w:tcPr>
          <w:p w14:paraId="2A1CE89A" w14:textId="77777777" w:rsidR="00C3036D" w:rsidRPr="00FA3F9C" w:rsidRDefault="00C3036D" w:rsidP="006F623F">
            <w:pPr>
              <w:rPr>
                <w:rFonts w:ascii="Arial" w:hAnsi="Arial" w:cs="Arial"/>
                <w:sz w:val="24"/>
                <w:szCs w:val="24"/>
              </w:rPr>
            </w:pPr>
            <w:r w:rsidRPr="00FA3F9C">
              <w:rPr>
                <w:rFonts w:ascii="Arial" w:hAnsi="Arial" w:cs="Arial"/>
                <w:sz w:val="24"/>
                <w:szCs w:val="24"/>
              </w:rPr>
              <w:t>Criteria reviewed. No change in criteria. Added new reference.</w:t>
            </w:r>
          </w:p>
        </w:tc>
        <w:tc>
          <w:tcPr>
            <w:tcW w:w="2538" w:type="dxa"/>
          </w:tcPr>
          <w:p w14:paraId="32142C32" w14:textId="77777777" w:rsidR="00C3036D" w:rsidRPr="00FA3F9C" w:rsidRDefault="00C3036D" w:rsidP="006F623F">
            <w:pPr>
              <w:rPr>
                <w:rFonts w:ascii="Arial" w:hAnsi="Arial" w:cs="Arial"/>
                <w:sz w:val="24"/>
                <w:szCs w:val="24"/>
              </w:rPr>
            </w:pPr>
            <w:r w:rsidRPr="00FA3F9C">
              <w:rPr>
                <w:rFonts w:ascii="Arial" w:hAnsi="Arial" w:cs="Arial"/>
                <w:sz w:val="24"/>
                <w:szCs w:val="24"/>
              </w:rPr>
              <w:t>SK</w:t>
            </w:r>
          </w:p>
        </w:tc>
      </w:tr>
      <w:tr w:rsidR="00C3036D" w:rsidRPr="00FA3F9C" w14:paraId="760DE80F" w14:textId="77777777" w:rsidTr="00FE491B">
        <w:tc>
          <w:tcPr>
            <w:tcW w:w="1008" w:type="dxa"/>
          </w:tcPr>
          <w:p w14:paraId="7E2A3AAF" w14:textId="77777777" w:rsidR="00C3036D" w:rsidRPr="00FA3F9C" w:rsidRDefault="00C3036D" w:rsidP="006F623F">
            <w:pPr>
              <w:rPr>
                <w:rFonts w:ascii="Arial" w:hAnsi="Arial" w:cs="Arial"/>
                <w:sz w:val="24"/>
                <w:szCs w:val="24"/>
              </w:rPr>
            </w:pPr>
            <w:r w:rsidRPr="00FA3F9C">
              <w:rPr>
                <w:rFonts w:ascii="Arial" w:hAnsi="Arial" w:cs="Arial"/>
                <w:sz w:val="24"/>
                <w:szCs w:val="24"/>
              </w:rPr>
              <w:t>1/26/2022</w:t>
            </w:r>
          </w:p>
        </w:tc>
        <w:tc>
          <w:tcPr>
            <w:tcW w:w="7470" w:type="dxa"/>
          </w:tcPr>
          <w:p w14:paraId="351A3693" w14:textId="77777777" w:rsidR="00C3036D" w:rsidRPr="00FA3F9C" w:rsidRDefault="00C3036D" w:rsidP="006F623F">
            <w:pPr>
              <w:rPr>
                <w:rFonts w:ascii="Arial" w:hAnsi="Arial" w:cs="Arial"/>
                <w:sz w:val="24"/>
                <w:szCs w:val="24"/>
              </w:rPr>
            </w:pPr>
            <w:proofErr w:type="spellStart"/>
            <w:r w:rsidRPr="00FA3F9C">
              <w:rPr>
                <w:rFonts w:ascii="Arial" w:hAnsi="Arial" w:cs="Arial"/>
                <w:sz w:val="24"/>
                <w:szCs w:val="24"/>
              </w:rPr>
              <w:t>Criteira</w:t>
            </w:r>
            <w:proofErr w:type="spellEnd"/>
            <w:r w:rsidRPr="00FA3F9C">
              <w:rPr>
                <w:rFonts w:ascii="Arial" w:hAnsi="Arial" w:cs="Arial"/>
                <w:sz w:val="24"/>
                <w:szCs w:val="24"/>
              </w:rPr>
              <w:t xml:space="preserve"> reviewed. No changes</w:t>
            </w:r>
          </w:p>
        </w:tc>
        <w:tc>
          <w:tcPr>
            <w:tcW w:w="2538" w:type="dxa"/>
          </w:tcPr>
          <w:p w14:paraId="49AC6790" w14:textId="77777777" w:rsidR="00C3036D" w:rsidRPr="00FA3F9C" w:rsidRDefault="00C3036D" w:rsidP="006F623F">
            <w:pPr>
              <w:rPr>
                <w:rFonts w:ascii="Arial" w:hAnsi="Arial" w:cs="Arial"/>
                <w:sz w:val="24"/>
                <w:szCs w:val="24"/>
              </w:rPr>
            </w:pPr>
            <w:r w:rsidRPr="00FA3F9C">
              <w:rPr>
                <w:rFonts w:ascii="Arial" w:hAnsi="Arial" w:cs="Arial"/>
                <w:sz w:val="24"/>
                <w:szCs w:val="24"/>
              </w:rPr>
              <w:t>SK</w:t>
            </w:r>
          </w:p>
        </w:tc>
      </w:tr>
    </w:tbl>
    <w:p w14:paraId="0E8C851B" w14:textId="77777777" w:rsidR="00C3036D" w:rsidRPr="00FA3F9C" w:rsidRDefault="00C3036D" w:rsidP="006F623F">
      <w:pPr>
        <w:spacing w:after="0"/>
        <w:rPr>
          <w:rFonts w:ascii="Arial" w:hAnsi="Arial" w:cs="Arial"/>
          <w:sz w:val="24"/>
          <w:szCs w:val="24"/>
        </w:rPr>
      </w:pPr>
    </w:p>
    <w:p w14:paraId="3FDB27D0" w14:textId="77777777" w:rsidR="00C3036D" w:rsidRPr="00FA3F9C" w:rsidRDefault="00C3036D" w:rsidP="006F623F">
      <w:pPr>
        <w:spacing w:after="0"/>
        <w:rPr>
          <w:rFonts w:ascii="Arial" w:hAnsi="Arial" w:cs="Arial"/>
          <w:sz w:val="24"/>
          <w:szCs w:val="24"/>
        </w:rPr>
      </w:pPr>
      <w:r w:rsidRPr="00FA3F9C">
        <w:rPr>
          <w:rFonts w:ascii="Arial" w:hAnsi="Arial" w:cs="Arial"/>
          <w:sz w:val="24"/>
          <w:szCs w:val="24"/>
        </w:rPr>
        <w:lastRenderedPageBreak/>
        <w:t>Differences between study inclusion/exclusion criteria (</w:t>
      </w:r>
      <w:proofErr w:type="gramStart"/>
      <w:r w:rsidRPr="00FA3F9C">
        <w:rPr>
          <w:rFonts w:ascii="Arial" w:hAnsi="Arial" w:cs="Arial"/>
          <w:sz w:val="24"/>
          <w:szCs w:val="24"/>
        </w:rPr>
        <w:t>taking into account</w:t>
      </w:r>
      <w:proofErr w:type="gramEnd"/>
      <w:r w:rsidRPr="00FA3F9C">
        <w:rPr>
          <w:rFonts w:ascii="Arial" w:hAnsi="Arial" w:cs="Arial"/>
          <w:sz w:val="24"/>
          <w:szCs w:val="24"/>
        </w:rPr>
        <w:t xml:space="preserve"> amendment 1) and EBRx criteria with rationale:</w:t>
      </w:r>
    </w:p>
    <w:p w14:paraId="55932995" w14:textId="77777777" w:rsidR="00C3036D" w:rsidRPr="00FA3F9C" w:rsidRDefault="00C3036D" w:rsidP="003C5803">
      <w:pPr>
        <w:spacing w:after="0"/>
        <w:ind w:left="90" w:hanging="90"/>
        <w:rPr>
          <w:rFonts w:ascii="Arial" w:hAnsi="Arial" w:cs="Arial"/>
          <w:sz w:val="24"/>
          <w:szCs w:val="24"/>
        </w:rPr>
      </w:pPr>
      <w:r w:rsidRPr="00FA3F9C">
        <w:rPr>
          <w:rFonts w:ascii="Arial" w:hAnsi="Arial" w:cs="Arial"/>
          <w:sz w:val="24"/>
          <w:szCs w:val="24"/>
        </w:rPr>
        <w:t xml:space="preserve">-study required prior treatment with a </w:t>
      </w:r>
      <w:proofErr w:type="spellStart"/>
      <w:r w:rsidRPr="00FA3F9C">
        <w:rPr>
          <w:rFonts w:ascii="Arial" w:hAnsi="Arial" w:cs="Arial"/>
          <w:sz w:val="24"/>
          <w:szCs w:val="24"/>
        </w:rPr>
        <w:t>taxane</w:t>
      </w:r>
      <w:proofErr w:type="spellEnd"/>
      <w:r w:rsidRPr="00FA3F9C">
        <w:rPr>
          <w:rFonts w:ascii="Arial" w:hAnsi="Arial" w:cs="Arial"/>
          <w:sz w:val="24"/>
          <w:szCs w:val="24"/>
        </w:rPr>
        <w:t xml:space="preserve"> and/or anthracycline in the neoadjuvant, adjuvant, locally advanced, or metastatic setting unless contraindicated. EBRx will require prior treatment with a </w:t>
      </w:r>
      <w:proofErr w:type="spellStart"/>
      <w:r w:rsidRPr="00FA3F9C">
        <w:rPr>
          <w:rFonts w:ascii="Arial" w:hAnsi="Arial" w:cs="Arial"/>
          <w:sz w:val="24"/>
          <w:szCs w:val="24"/>
        </w:rPr>
        <w:t>taxane</w:t>
      </w:r>
      <w:proofErr w:type="spellEnd"/>
      <w:r w:rsidRPr="00FA3F9C">
        <w:rPr>
          <w:rFonts w:ascii="Arial" w:hAnsi="Arial" w:cs="Arial"/>
          <w:sz w:val="24"/>
          <w:szCs w:val="24"/>
        </w:rPr>
        <w:t xml:space="preserve"> AND an anthracycline to mirror </w:t>
      </w:r>
      <w:proofErr w:type="spellStart"/>
      <w:r w:rsidRPr="00FA3F9C">
        <w:rPr>
          <w:rFonts w:ascii="Arial" w:hAnsi="Arial" w:cs="Arial"/>
          <w:sz w:val="24"/>
          <w:szCs w:val="24"/>
        </w:rPr>
        <w:t>olaparib</w:t>
      </w:r>
      <w:proofErr w:type="spellEnd"/>
      <w:r w:rsidRPr="00FA3F9C">
        <w:rPr>
          <w:rFonts w:ascii="Arial" w:hAnsi="Arial" w:cs="Arial"/>
          <w:sz w:val="24"/>
          <w:szCs w:val="24"/>
        </w:rPr>
        <w:t xml:space="preserve"> criteria and to push for use of less expensive therapies first.</w:t>
      </w:r>
    </w:p>
    <w:p w14:paraId="09AF1CDD" w14:textId="6F315EBB" w:rsidR="00C3036D" w:rsidRDefault="00C3036D" w:rsidP="003C5803">
      <w:pPr>
        <w:spacing w:after="0"/>
        <w:ind w:left="90" w:hanging="90"/>
        <w:rPr>
          <w:rFonts w:ascii="Arial" w:hAnsi="Arial" w:cs="Arial"/>
          <w:sz w:val="24"/>
          <w:szCs w:val="24"/>
        </w:rPr>
      </w:pPr>
      <w:r w:rsidRPr="00FA3F9C">
        <w:rPr>
          <w:rFonts w:ascii="Arial" w:hAnsi="Arial" w:cs="Arial"/>
          <w:sz w:val="24"/>
          <w:szCs w:val="24"/>
        </w:rPr>
        <w:t>-study did not require previous treatment with hormonal therapy. EBRx will require prior treatment with hormonal therapy for metastatic disease to push for use of less expensive therapies first.</w:t>
      </w:r>
    </w:p>
    <w:p w14:paraId="540C1F9F" w14:textId="77777777" w:rsidR="0078218F" w:rsidRPr="00FA3F9C" w:rsidRDefault="0078218F" w:rsidP="003C5803">
      <w:pPr>
        <w:spacing w:after="0"/>
        <w:ind w:left="90" w:hanging="90"/>
        <w:rPr>
          <w:rFonts w:ascii="Arial" w:hAnsi="Arial" w:cs="Arial"/>
          <w:sz w:val="24"/>
          <w:szCs w:val="24"/>
        </w:rPr>
      </w:pPr>
    </w:p>
    <w:p w14:paraId="1CB07682" w14:textId="77777777" w:rsidR="00C3036D" w:rsidRPr="00FA3F9C" w:rsidRDefault="00C3036D" w:rsidP="0078218F">
      <w:pPr>
        <w:pStyle w:val="Heading2"/>
        <w:rPr>
          <w:lang w:val="es-ES"/>
        </w:rPr>
      </w:pPr>
      <w:bookmarkStart w:id="319" w:name="_Toc106369942"/>
      <w:proofErr w:type="spellStart"/>
      <w:r w:rsidRPr="00FA3F9C">
        <w:rPr>
          <w:lang w:val="es-ES"/>
        </w:rPr>
        <w:t>Teprotumumab-trbw</w:t>
      </w:r>
      <w:proofErr w:type="spellEnd"/>
      <w:r w:rsidRPr="00FA3F9C">
        <w:rPr>
          <w:lang w:val="es-ES"/>
        </w:rPr>
        <w:t xml:space="preserve"> (</w:t>
      </w:r>
      <w:proofErr w:type="spellStart"/>
      <w:r w:rsidRPr="00FA3F9C">
        <w:rPr>
          <w:lang w:val="es-ES"/>
        </w:rPr>
        <w:t>Tepezza</w:t>
      </w:r>
      <w:proofErr w:type="spellEnd"/>
      <w:r w:rsidRPr="00FA3F9C">
        <w:rPr>
          <w:lang w:val="es-ES"/>
        </w:rPr>
        <w:t>)</w:t>
      </w:r>
      <w:bookmarkEnd w:id="319"/>
    </w:p>
    <w:p w14:paraId="38BF1B3D" w14:textId="77777777" w:rsidR="00C3036D" w:rsidRPr="00FA3F9C" w:rsidRDefault="00C3036D" w:rsidP="006F623F">
      <w:pPr>
        <w:spacing w:after="0"/>
        <w:jc w:val="center"/>
        <w:rPr>
          <w:rFonts w:ascii="Arial" w:hAnsi="Arial" w:cs="Arial"/>
          <w:sz w:val="24"/>
          <w:szCs w:val="24"/>
          <w:lang w:val="es-ES"/>
        </w:rPr>
      </w:pPr>
      <w:r w:rsidRPr="00FA3F9C">
        <w:rPr>
          <w:rFonts w:ascii="Arial" w:hAnsi="Arial" w:cs="Arial"/>
          <w:sz w:val="24"/>
          <w:szCs w:val="24"/>
          <w:lang w:val="es-ES"/>
        </w:rPr>
        <w:t xml:space="preserve">EBRx PA </w:t>
      </w:r>
      <w:proofErr w:type="spellStart"/>
      <w:r w:rsidRPr="00FA3F9C">
        <w:rPr>
          <w:rFonts w:ascii="Arial" w:hAnsi="Arial" w:cs="Arial"/>
          <w:sz w:val="24"/>
          <w:szCs w:val="24"/>
          <w:lang w:val="es-ES"/>
        </w:rPr>
        <w:t>Criteria</w:t>
      </w:r>
      <w:proofErr w:type="spellEnd"/>
    </w:p>
    <w:p w14:paraId="1684CDFA" w14:textId="77777777" w:rsidR="00C3036D" w:rsidRPr="00FA3F9C" w:rsidRDefault="00C3036D" w:rsidP="006F623F">
      <w:pPr>
        <w:spacing w:after="0"/>
        <w:rPr>
          <w:rFonts w:ascii="Arial" w:hAnsi="Arial" w:cs="Arial"/>
          <w:b/>
          <w:sz w:val="24"/>
          <w:szCs w:val="24"/>
          <w:u w:val="single"/>
          <w:lang w:val="es-ES"/>
        </w:rPr>
      </w:pPr>
    </w:p>
    <w:p w14:paraId="7FDEA8FD" w14:textId="77777777" w:rsidR="00C3036D" w:rsidRPr="00FA3F9C" w:rsidRDefault="00C3036D"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treatment of thyroid eye disease (Graves’ Ophthalmopathy)</w:t>
      </w:r>
    </w:p>
    <w:tbl>
      <w:tblPr>
        <w:tblStyle w:val="TableGrid"/>
        <w:tblW w:w="0" w:type="auto"/>
        <w:tblLook w:val="04A0" w:firstRow="1" w:lastRow="0" w:firstColumn="1" w:lastColumn="0" w:noHBand="0" w:noVBand="1"/>
      </w:tblPr>
      <w:tblGrid>
        <w:gridCol w:w="8928"/>
        <w:gridCol w:w="2088"/>
      </w:tblGrid>
      <w:tr w:rsidR="00C3036D" w:rsidRPr="00FA3F9C" w14:paraId="676B5B3C" w14:textId="77777777" w:rsidTr="00571CAB">
        <w:tc>
          <w:tcPr>
            <w:tcW w:w="8928" w:type="dxa"/>
            <w:shd w:val="clear" w:color="auto" w:fill="000000"/>
          </w:tcPr>
          <w:p w14:paraId="1C05E274" w14:textId="77777777" w:rsidR="00C3036D" w:rsidRPr="00FA3F9C" w:rsidRDefault="00C3036D"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88" w:type="dxa"/>
            <w:shd w:val="clear" w:color="auto" w:fill="000000"/>
          </w:tcPr>
          <w:p w14:paraId="28CD4F63" w14:textId="77777777" w:rsidR="00C3036D" w:rsidRPr="00FA3F9C" w:rsidRDefault="00C3036D" w:rsidP="006F623F">
            <w:pPr>
              <w:jc w:val="center"/>
              <w:rPr>
                <w:rFonts w:ascii="Arial" w:hAnsi="Arial" w:cs="Arial"/>
                <w:b/>
                <w:sz w:val="24"/>
                <w:szCs w:val="24"/>
                <w:u w:val="single"/>
              </w:rPr>
            </w:pPr>
          </w:p>
        </w:tc>
      </w:tr>
      <w:tr w:rsidR="00C3036D" w:rsidRPr="00FA3F9C" w14:paraId="0D016FAA" w14:textId="77777777" w:rsidTr="00F337AE">
        <w:tc>
          <w:tcPr>
            <w:tcW w:w="11016" w:type="dxa"/>
            <w:gridSpan w:val="2"/>
          </w:tcPr>
          <w:p w14:paraId="1C97F792" w14:textId="77777777" w:rsidR="00C3036D" w:rsidRPr="00FA3F9C" w:rsidRDefault="00C3036D" w:rsidP="006F623F">
            <w:pPr>
              <w:rPr>
                <w:rFonts w:ascii="Arial" w:hAnsi="Arial" w:cs="Arial"/>
                <w:sz w:val="24"/>
                <w:szCs w:val="24"/>
              </w:rPr>
            </w:pPr>
            <w:r w:rsidRPr="00FA3F9C">
              <w:rPr>
                <w:rFonts w:ascii="Arial" w:hAnsi="Arial" w:cs="Arial"/>
                <w:sz w:val="24"/>
                <w:szCs w:val="24"/>
              </w:rPr>
              <w:t>1. Patient must have the diagnosis of Grave’s ophthalmopathy.</w:t>
            </w:r>
          </w:p>
        </w:tc>
      </w:tr>
      <w:tr w:rsidR="00C3036D" w:rsidRPr="00FA3F9C" w14:paraId="5E01502A" w14:textId="77777777" w:rsidTr="00B1617E">
        <w:tc>
          <w:tcPr>
            <w:tcW w:w="11016" w:type="dxa"/>
            <w:gridSpan w:val="2"/>
          </w:tcPr>
          <w:p w14:paraId="0B257526" w14:textId="77777777" w:rsidR="00C3036D" w:rsidRPr="00FA3F9C" w:rsidRDefault="00C3036D" w:rsidP="006F623F">
            <w:pPr>
              <w:rPr>
                <w:rFonts w:ascii="Arial" w:hAnsi="Arial" w:cs="Arial"/>
                <w:sz w:val="24"/>
                <w:szCs w:val="24"/>
              </w:rPr>
            </w:pPr>
            <w:r w:rsidRPr="00FA3F9C">
              <w:rPr>
                <w:rFonts w:ascii="Arial" w:hAnsi="Arial" w:cs="Arial"/>
                <w:sz w:val="24"/>
                <w:szCs w:val="24"/>
              </w:rPr>
              <w:t>2. Corticosteroids have been tried and have failed.</w:t>
            </w:r>
          </w:p>
          <w:p w14:paraId="370BE29C" w14:textId="77777777" w:rsidR="00C3036D" w:rsidRPr="00FA3F9C" w:rsidRDefault="00C3036D" w:rsidP="006F623F">
            <w:pPr>
              <w:rPr>
                <w:rFonts w:ascii="Arial" w:hAnsi="Arial" w:cs="Arial"/>
                <w:sz w:val="24"/>
                <w:szCs w:val="24"/>
              </w:rPr>
            </w:pPr>
            <w:r w:rsidRPr="00FA3F9C">
              <w:rPr>
                <w:rFonts w:ascii="Arial" w:hAnsi="Arial" w:cs="Arial"/>
                <w:sz w:val="24"/>
                <w:szCs w:val="24"/>
                <w:highlight w:val="lightGray"/>
              </w:rPr>
              <w:t>***NOTE:  Corticosteroid dose used in the meta-analysis</w:t>
            </w:r>
            <w:r w:rsidRPr="00FA3F9C">
              <w:rPr>
                <w:rFonts w:ascii="Arial" w:hAnsi="Arial" w:cs="Arial"/>
                <w:sz w:val="24"/>
                <w:szCs w:val="24"/>
                <w:highlight w:val="lightGray"/>
                <w:vertAlign w:val="superscript"/>
              </w:rPr>
              <w:t>4</w:t>
            </w:r>
            <w:r w:rsidRPr="00FA3F9C">
              <w:rPr>
                <w:rFonts w:ascii="Arial" w:hAnsi="Arial" w:cs="Arial"/>
                <w:sz w:val="24"/>
                <w:szCs w:val="24"/>
                <w:highlight w:val="lightGray"/>
              </w:rPr>
              <w:t xml:space="preserve"> was high.  IV methylprednisolone 500mg daily for 6 weeks then 250mg daily for 6w; OR oral prednisone 80-100mg (1mg/kg) daily for 6 weeks until a response, followed by a 10mg per week reduction in dose.</w:t>
            </w:r>
            <w:r w:rsidRPr="00FA3F9C">
              <w:rPr>
                <w:rFonts w:ascii="Arial" w:hAnsi="Arial" w:cs="Arial"/>
                <w:sz w:val="24"/>
                <w:szCs w:val="24"/>
              </w:rPr>
              <w:t xml:space="preserve"> </w:t>
            </w:r>
          </w:p>
        </w:tc>
      </w:tr>
      <w:tr w:rsidR="00C3036D" w:rsidRPr="00FA3F9C" w14:paraId="410DA112" w14:textId="77777777" w:rsidTr="0010789D">
        <w:tc>
          <w:tcPr>
            <w:tcW w:w="11016" w:type="dxa"/>
            <w:gridSpan w:val="2"/>
          </w:tcPr>
          <w:p w14:paraId="736D3EC3" w14:textId="77777777" w:rsidR="00C3036D" w:rsidRPr="00FA3F9C" w:rsidRDefault="00C3036D" w:rsidP="006F623F">
            <w:pPr>
              <w:rPr>
                <w:rFonts w:ascii="Arial" w:hAnsi="Arial" w:cs="Arial"/>
                <w:sz w:val="24"/>
                <w:szCs w:val="24"/>
              </w:rPr>
            </w:pPr>
            <w:r w:rsidRPr="00FA3F9C">
              <w:rPr>
                <w:rFonts w:ascii="Arial" w:hAnsi="Arial" w:cs="Arial"/>
                <w:sz w:val="24"/>
                <w:szCs w:val="24"/>
              </w:rPr>
              <w:t>3. The patient has been evaluated for orbital decompression and is not a candidate.</w:t>
            </w:r>
          </w:p>
        </w:tc>
      </w:tr>
    </w:tbl>
    <w:p w14:paraId="42E90E79" w14:textId="77777777" w:rsidR="00C3036D" w:rsidRPr="00FA3F9C" w:rsidRDefault="00C3036D" w:rsidP="006F623F">
      <w:pPr>
        <w:spacing w:after="0"/>
        <w:rPr>
          <w:rFonts w:ascii="Arial" w:hAnsi="Arial" w:cs="Arial"/>
          <w:b/>
          <w:sz w:val="24"/>
          <w:szCs w:val="24"/>
          <w:u w:val="single"/>
        </w:rPr>
      </w:pPr>
    </w:p>
    <w:tbl>
      <w:tblPr>
        <w:tblStyle w:val="TableGrid"/>
        <w:tblW w:w="0" w:type="auto"/>
        <w:shd w:val="clear" w:color="auto" w:fill="BFBFBF" w:themeFill="background1" w:themeFillShade="BF"/>
        <w:tblLook w:val="04A0" w:firstRow="1" w:lastRow="0" w:firstColumn="1" w:lastColumn="0" w:noHBand="0" w:noVBand="1"/>
      </w:tblPr>
      <w:tblGrid>
        <w:gridCol w:w="10998"/>
      </w:tblGrid>
      <w:tr w:rsidR="00C3036D" w:rsidRPr="00FA3F9C" w14:paraId="19CCA79A" w14:textId="77777777" w:rsidTr="00D82B6E">
        <w:tc>
          <w:tcPr>
            <w:tcW w:w="10998" w:type="dxa"/>
            <w:shd w:val="clear" w:color="auto" w:fill="BFBFBF" w:themeFill="background1" w:themeFillShade="BF"/>
          </w:tcPr>
          <w:p w14:paraId="01DD171F" w14:textId="77777777" w:rsidR="00C3036D" w:rsidRPr="00FA3F9C" w:rsidRDefault="00C3036D" w:rsidP="00D82B6E">
            <w:pPr>
              <w:rPr>
                <w:rFonts w:ascii="Arial" w:hAnsi="Arial" w:cs="Arial"/>
                <w:sz w:val="24"/>
                <w:szCs w:val="24"/>
              </w:rPr>
            </w:pPr>
            <w:r w:rsidRPr="00FA3F9C">
              <w:rPr>
                <w:rFonts w:ascii="Arial" w:hAnsi="Arial" w:cs="Arial"/>
                <w:sz w:val="24"/>
                <w:szCs w:val="24"/>
              </w:rPr>
              <w:t xml:space="preserve">Note: The dosing of </w:t>
            </w:r>
            <w:proofErr w:type="spellStart"/>
            <w:r w:rsidRPr="00FA3F9C">
              <w:rPr>
                <w:rFonts w:ascii="Arial" w:hAnsi="Arial" w:cs="Arial"/>
                <w:sz w:val="24"/>
                <w:szCs w:val="24"/>
              </w:rPr>
              <w:t>Tepezza</w:t>
            </w:r>
            <w:proofErr w:type="spellEnd"/>
            <w:r w:rsidRPr="00FA3F9C">
              <w:rPr>
                <w:rFonts w:ascii="Arial" w:hAnsi="Arial" w:cs="Arial"/>
                <w:sz w:val="24"/>
                <w:szCs w:val="24"/>
              </w:rPr>
              <w:t xml:space="preserve"> is 8 infusions given over 5 months.</w:t>
            </w:r>
          </w:p>
        </w:tc>
      </w:tr>
    </w:tbl>
    <w:p w14:paraId="5B468049" w14:textId="77777777" w:rsidR="00C3036D" w:rsidRPr="00FA3F9C" w:rsidRDefault="00C3036D" w:rsidP="006F623F">
      <w:pPr>
        <w:spacing w:after="0"/>
        <w:rPr>
          <w:rFonts w:ascii="Arial" w:hAnsi="Arial" w:cs="Arial"/>
          <w:sz w:val="24"/>
          <w:szCs w:val="24"/>
        </w:rPr>
      </w:pPr>
    </w:p>
    <w:p w14:paraId="3AB449FC" w14:textId="77777777" w:rsidR="00C3036D" w:rsidRPr="00FA3F9C" w:rsidRDefault="00C3036D" w:rsidP="006F623F">
      <w:pPr>
        <w:spacing w:after="0"/>
        <w:rPr>
          <w:rFonts w:ascii="Arial" w:hAnsi="Arial" w:cs="Arial"/>
          <w:sz w:val="24"/>
          <w:szCs w:val="24"/>
        </w:rPr>
      </w:pPr>
      <w:r w:rsidRPr="00FA3F9C">
        <w:rPr>
          <w:rFonts w:ascii="Arial" w:hAnsi="Arial" w:cs="Arial"/>
          <w:sz w:val="24"/>
          <w:szCs w:val="24"/>
        </w:rPr>
        <w:t>Quantity Limits: 8 infusions.</w:t>
      </w:r>
    </w:p>
    <w:p w14:paraId="31871DBE" w14:textId="77777777" w:rsidR="00C3036D" w:rsidRPr="00FA3F9C" w:rsidRDefault="00C3036D" w:rsidP="006F623F">
      <w:pPr>
        <w:spacing w:after="0"/>
        <w:rPr>
          <w:rFonts w:ascii="Arial" w:hAnsi="Arial" w:cs="Arial"/>
          <w:sz w:val="24"/>
          <w:szCs w:val="24"/>
        </w:rPr>
      </w:pPr>
    </w:p>
    <w:p w14:paraId="278CC9A8" w14:textId="77777777" w:rsidR="00C3036D" w:rsidRPr="00FA3F9C" w:rsidRDefault="00C3036D" w:rsidP="006F623F">
      <w:pPr>
        <w:spacing w:after="0"/>
        <w:rPr>
          <w:rFonts w:ascii="Arial" w:hAnsi="Arial" w:cs="Arial"/>
          <w:sz w:val="24"/>
          <w:szCs w:val="24"/>
        </w:rPr>
      </w:pPr>
      <w:r w:rsidRPr="00FA3F9C">
        <w:rPr>
          <w:rFonts w:ascii="Arial" w:hAnsi="Arial" w:cs="Arial"/>
          <w:sz w:val="24"/>
          <w:szCs w:val="24"/>
        </w:rPr>
        <w:t>References:</w:t>
      </w:r>
    </w:p>
    <w:p w14:paraId="5F20FE62" w14:textId="77777777" w:rsidR="00C3036D" w:rsidRPr="00FA3F9C" w:rsidRDefault="00C3036D" w:rsidP="00FC1E85">
      <w:pPr>
        <w:pStyle w:val="ListParagraph"/>
        <w:numPr>
          <w:ilvl w:val="0"/>
          <w:numId w:val="494"/>
        </w:numPr>
        <w:shd w:val="clear" w:color="auto" w:fill="FFFFFF" w:themeFill="background1"/>
        <w:spacing w:after="0" w:line="240" w:lineRule="auto"/>
        <w:rPr>
          <w:rFonts w:ascii="Arial" w:hAnsi="Arial" w:cs="Arial"/>
          <w:color w:val="222222"/>
          <w:sz w:val="24"/>
          <w:szCs w:val="24"/>
          <w:shd w:val="clear" w:color="auto" w:fill="FFFFFF"/>
        </w:rPr>
      </w:pPr>
      <w:r w:rsidRPr="00FA3F9C">
        <w:rPr>
          <w:rFonts w:ascii="Arial" w:hAnsi="Arial" w:cs="Arial"/>
          <w:color w:val="222222"/>
          <w:sz w:val="24"/>
          <w:szCs w:val="24"/>
          <w:shd w:val="clear" w:color="auto" w:fill="FFFFFF"/>
          <w:lang w:val="fr-FR"/>
        </w:rPr>
        <w:t xml:space="preserve">Douglas, Raymond S., et al. </w:t>
      </w:r>
      <w:r w:rsidRPr="00FA3F9C">
        <w:rPr>
          <w:rFonts w:ascii="Arial" w:hAnsi="Arial" w:cs="Arial"/>
          <w:color w:val="222222"/>
          <w:sz w:val="24"/>
          <w:szCs w:val="24"/>
          <w:shd w:val="clear" w:color="auto" w:fill="FFFFFF"/>
        </w:rPr>
        <w:t>"Teprotumumab for the Treatment of Active Thyroid Eye Disease." </w:t>
      </w:r>
      <w:r w:rsidRPr="00FA3F9C">
        <w:rPr>
          <w:rFonts w:ascii="Arial" w:hAnsi="Arial" w:cs="Arial"/>
          <w:i/>
          <w:iCs/>
          <w:color w:val="222222"/>
          <w:sz w:val="24"/>
          <w:szCs w:val="24"/>
          <w:shd w:val="clear" w:color="auto" w:fill="FFFFFF"/>
        </w:rPr>
        <w:t>New England Journal of Medicine</w:t>
      </w:r>
      <w:r w:rsidRPr="00FA3F9C">
        <w:rPr>
          <w:rFonts w:ascii="Arial" w:hAnsi="Arial" w:cs="Arial"/>
          <w:color w:val="222222"/>
          <w:sz w:val="24"/>
          <w:szCs w:val="24"/>
          <w:shd w:val="clear" w:color="auto" w:fill="FFFFFF"/>
        </w:rPr>
        <w:t> 382.4 (2020): 341-352.</w:t>
      </w:r>
    </w:p>
    <w:p w14:paraId="0FCBD2F7" w14:textId="77777777" w:rsidR="00C3036D" w:rsidRPr="00FA3F9C" w:rsidRDefault="00C3036D" w:rsidP="00FC1E85">
      <w:pPr>
        <w:pStyle w:val="ListParagraph"/>
        <w:numPr>
          <w:ilvl w:val="0"/>
          <w:numId w:val="494"/>
        </w:numPr>
        <w:shd w:val="clear" w:color="auto" w:fill="FFFFFF" w:themeFill="background1"/>
        <w:spacing w:after="0" w:line="240" w:lineRule="auto"/>
        <w:rPr>
          <w:rFonts w:ascii="Arial" w:hAnsi="Arial" w:cs="Arial"/>
          <w:color w:val="000000" w:themeColor="text1"/>
          <w:sz w:val="24"/>
          <w:szCs w:val="24"/>
        </w:rPr>
      </w:pPr>
      <w:r w:rsidRPr="00FA3F9C">
        <w:rPr>
          <w:rFonts w:ascii="Arial" w:hAnsi="Arial" w:cs="Arial"/>
          <w:color w:val="000000" w:themeColor="text1"/>
          <w:sz w:val="24"/>
          <w:szCs w:val="24"/>
        </w:rPr>
        <w:t xml:space="preserve">Horizon Therapeutics USA, Inc. </w:t>
      </w:r>
      <w:proofErr w:type="spellStart"/>
      <w:r w:rsidRPr="00FA3F9C">
        <w:rPr>
          <w:rFonts w:ascii="Arial" w:hAnsi="Arial" w:cs="Arial"/>
          <w:color w:val="000000" w:themeColor="text1"/>
          <w:sz w:val="24"/>
          <w:szCs w:val="24"/>
        </w:rPr>
        <w:t>Tepezza</w:t>
      </w:r>
      <w:proofErr w:type="spellEnd"/>
      <w:r w:rsidRPr="00FA3F9C">
        <w:rPr>
          <w:rFonts w:ascii="Arial" w:hAnsi="Arial" w:cs="Arial"/>
          <w:color w:val="000000" w:themeColor="text1"/>
          <w:sz w:val="24"/>
          <w:szCs w:val="24"/>
        </w:rPr>
        <w:t xml:space="preserve"> (teprotumumab-</w:t>
      </w:r>
      <w:proofErr w:type="spellStart"/>
      <w:r w:rsidRPr="00FA3F9C">
        <w:rPr>
          <w:rFonts w:ascii="Arial" w:hAnsi="Arial" w:cs="Arial"/>
          <w:color w:val="000000" w:themeColor="text1"/>
          <w:sz w:val="24"/>
          <w:szCs w:val="24"/>
        </w:rPr>
        <w:t>trbw</w:t>
      </w:r>
      <w:proofErr w:type="spellEnd"/>
      <w:r w:rsidRPr="00FA3F9C">
        <w:rPr>
          <w:rFonts w:ascii="Arial" w:hAnsi="Arial" w:cs="Arial"/>
          <w:color w:val="000000" w:themeColor="text1"/>
          <w:sz w:val="24"/>
          <w:szCs w:val="24"/>
        </w:rPr>
        <w:t xml:space="preserve">) [package insert]. U.S. Food and Drug Administration website. </w:t>
      </w:r>
      <w:hyperlink r:id="rId401" w:history="1">
        <w:r w:rsidRPr="00FA3F9C">
          <w:rPr>
            <w:rFonts w:ascii="Arial" w:hAnsi="Arial" w:cs="Arial"/>
            <w:color w:val="000000" w:themeColor="text1"/>
            <w:sz w:val="24"/>
            <w:szCs w:val="24"/>
          </w:rPr>
          <w:t>https://www.hzndocs.com/TEPEZZA-Prescribing-Information.pdf</w:t>
        </w:r>
      </w:hyperlink>
      <w:r w:rsidRPr="00FA3F9C">
        <w:rPr>
          <w:rFonts w:ascii="Arial" w:hAnsi="Arial" w:cs="Arial"/>
          <w:color w:val="000000" w:themeColor="text1"/>
          <w:sz w:val="24"/>
          <w:szCs w:val="24"/>
        </w:rPr>
        <w:t>. Revised [January 2020]. Accessed [February 10, 2020].</w:t>
      </w:r>
    </w:p>
    <w:p w14:paraId="19690DA6" w14:textId="77777777" w:rsidR="00C3036D" w:rsidRPr="00FA3F9C" w:rsidRDefault="00C3036D" w:rsidP="00FC1E85">
      <w:pPr>
        <w:pStyle w:val="ListParagraph"/>
        <w:numPr>
          <w:ilvl w:val="0"/>
          <w:numId w:val="494"/>
        </w:numPr>
        <w:spacing w:after="0" w:line="240" w:lineRule="auto"/>
        <w:rPr>
          <w:rFonts w:ascii="Arial" w:hAnsi="Arial" w:cs="Arial"/>
          <w:color w:val="000000" w:themeColor="text1"/>
          <w:sz w:val="24"/>
          <w:szCs w:val="24"/>
        </w:rPr>
      </w:pPr>
      <w:r w:rsidRPr="00FA3F9C">
        <w:rPr>
          <w:rFonts w:ascii="Arial" w:hAnsi="Arial" w:cs="Arial"/>
          <w:color w:val="000000" w:themeColor="text1"/>
          <w:sz w:val="24"/>
          <w:szCs w:val="24"/>
        </w:rPr>
        <w:t>Smith, Terry J., et al. "Teprotumumab for thyroid-associated ophthalmopathy." </w:t>
      </w:r>
      <w:r w:rsidRPr="00FA3F9C">
        <w:rPr>
          <w:rFonts w:ascii="Arial" w:hAnsi="Arial" w:cs="Arial"/>
          <w:i/>
          <w:iCs/>
          <w:color w:val="000000" w:themeColor="text1"/>
          <w:sz w:val="24"/>
          <w:szCs w:val="24"/>
        </w:rPr>
        <w:t>New England Journal of Medicine</w:t>
      </w:r>
      <w:r w:rsidRPr="00FA3F9C">
        <w:rPr>
          <w:rFonts w:ascii="Arial" w:hAnsi="Arial" w:cs="Arial"/>
          <w:color w:val="000000" w:themeColor="text1"/>
          <w:sz w:val="24"/>
          <w:szCs w:val="24"/>
        </w:rPr>
        <w:t> 376.18 (2017): 1748-1761.</w:t>
      </w:r>
    </w:p>
    <w:p w14:paraId="6E3D4A75" w14:textId="77777777" w:rsidR="00C3036D" w:rsidRPr="00FA3F9C" w:rsidRDefault="00C3036D" w:rsidP="00FC1E85">
      <w:pPr>
        <w:pStyle w:val="ListParagraph"/>
        <w:numPr>
          <w:ilvl w:val="0"/>
          <w:numId w:val="494"/>
        </w:numPr>
        <w:spacing w:after="0" w:line="240" w:lineRule="auto"/>
        <w:rPr>
          <w:rFonts w:ascii="Arial" w:hAnsi="Arial" w:cs="Arial"/>
          <w:color w:val="000000" w:themeColor="text1"/>
          <w:sz w:val="24"/>
          <w:szCs w:val="24"/>
        </w:rPr>
      </w:pPr>
      <w:r w:rsidRPr="00FA3F9C">
        <w:rPr>
          <w:rFonts w:ascii="Arial" w:hAnsi="Arial" w:cs="Arial"/>
          <w:color w:val="000000" w:themeColor="text1"/>
          <w:sz w:val="24"/>
          <w:szCs w:val="24"/>
        </w:rPr>
        <w:lastRenderedPageBreak/>
        <w:t>Xu, Nuo, et al. "Comparative Efficacy of Medical Treatments for Thyroid Eye Disease: A Network Meta-Analysis." </w:t>
      </w:r>
      <w:r w:rsidRPr="00FA3F9C">
        <w:rPr>
          <w:rFonts w:ascii="Arial" w:hAnsi="Arial" w:cs="Arial"/>
          <w:i/>
          <w:iCs/>
          <w:color w:val="000000" w:themeColor="text1"/>
          <w:sz w:val="24"/>
          <w:szCs w:val="24"/>
        </w:rPr>
        <w:t>Journal of Ophthalmology</w:t>
      </w:r>
      <w:r w:rsidRPr="00FA3F9C">
        <w:rPr>
          <w:rFonts w:ascii="Arial" w:hAnsi="Arial" w:cs="Arial"/>
          <w:color w:val="000000" w:themeColor="text1"/>
          <w:sz w:val="24"/>
          <w:szCs w:val="24"/>
        </w:rPr>
        <w:t> 2018 (2018).</w:t>
      </w:r>
    </w:p>
    <w:p w14:paraId="405E4A56" w14:textId="77777777" w:rsidR="00C3036D" w:rsidRPr="00FA3F9C" w:rsidRDefault="00C3036D" w:rsidP="00FC1E85">
      <w:pPr>
        <w:pStyle w:val="ListParagraph"/>
        <w:numPr>
          <w:ilvl w:val="0"/>
          <w:numId w:val="494"/>
        </w:numPr>
        <w:spacing w:after="0" w:line="240" w:lineRule="auto"/>
        <w:rPr>
          <w:rFonts w:ascii="Arial" w:hAnsi="Arial" w:cs="Arial"/>
          <w:color w:val="000000" w:themeColor="text1"/>
          <w:sz w:val="24"/>
          <w:szCs w:val="24"/>
        </w:rPr>
      </w:pPr>
      <w:r w:rsidRPr="00FA3F9C">
        <w:rPr>
          <w:rFonts w:ascii="Arial" w:hAnsi="Arial" w:cs="Arial"/>
          <w:color w:val="000000" w:themeColor="text1"/>
          <w:sz w:val="24"/>
          <w:szCs w:val="24"/>
        </w:rPr>
        <w:t>FDA.gov website.</w:t>
      </w:r>
    </w:p>
    <w:p w14:paraId="7C56AB5E" w14:textId="77777777" w:rsidR="00C3036D" w:rsidRPr="00FA3F9C" w:rsidRDefault="00C3036D" w:rsidP="001972AE">
      <w:pPr>
        <w:shd w:val="clear" w:color="auto" w:fill="FCFCFC"/>
        <w:spacing w:after="0" w:line="240" w:lineRule="auto"/>
        <w:ind w:left="720" w:hanging="360"/>
        <w:rPr>
          <w:rFonts w:ascii="Arial" w:hAnsi="Arial" w:cs="Arial"/>
          <w:color w:val="333333"/>
          <w:sz w:val="24"/>
          <w:szCs w:val="24"/>
        </w:rPr>
      </w:pPr>
      <w:r w:rsidRPr="00FA3F9C">
        <w:rPr>
          <w:rFonts w:ascii="Arial" w:hAnsi="Arial" w:cs="Arial"/>
          <w:color w:val="000000" w:themeColor="text1"/>
          <w:sz w:val="24"/>
          <w:szCs w:val="24"/>
        </w:rPr>
        <w:t xml:space="preserve">6.   </w:t>
      </w:r>
      <w:r w:rsidRPr="00FA3F9C">
        <w:rPr>
          <w:rFonts w:ascii="Arial" w:hAnsi="Arial" w:cs="Arial"/>
          <w:color w:val="000000" w:themeColor="text1"/>
          <w:sz w:val="24"/>
          <w:szCs w:val="24"/>
        </w:rPr>
        <w:tab/>
        <w:t>(Available by abstract only)</w:t>
      </w:r>
      <w:r w:rsidRPr="00FA3F9C">
        <w:rPr>
          <w:rFonts w:ascii="Arial" w:hAnsi="Arial" w:cs="Arial"/>
          <w:color w:val="333333"/>
          <w:sz w:val="24"/>
          <w:szCs w:val="24"/>
        </w:rPr>
        <w:t xml:space="preserve"> Woods, RSR, </w:t>
      </w:r>
      <w:proofErr w:type="spellStart"/>
      <w:r w:rsidRPr="00FA3F9C">
        <w:rPr>
          <w:rFonts w:ascii="Arial" w:hAnsi="Arial" w:cs="Arial"/>
          <w:color w:val="333333"/>
          <w:sz w:val="24"/>
          <w:szCs w:val="24"/>
        </w:rPr>
        <w:t>Pilson</w:t>
      </w:r>
      <w:proofErr w:type="spellEnd"/>
      <w:r w:rsidRPr="00FA3F9C">
        <w:rPr>
          <w:rFonts w:ascii="Arial" w:hAnsi="Arial" w:cs="Arial"/>
          <w:color w:val="333333"/>
          <w:sz w:val="24"/>
          <w:szCs w:val="24"/>
        </w:rPr>
        <w:t xml:space="preserve"> Q, </w:t>
      </w:r>
      <w:proofErr w:type="spellStart"/>
      <w:r w:rsidRPr="00FA3F9C">
        <w:rPr>
          <w:rFonts w:ascii="Arial" w:hAnsi="Arial" w:cs="Arial"/>
          <w:color w:val="333333"/>
          <w:sz w:val="24"/>
          <w:szCs w:val="24"/>
        </w:rPr>
        <w:t>Kharytaniuk</w:t>
      </w:r>
      <w:proofErr w:type="spellEnd"/>
      <w:r w:rsidRPr="00FA3F9C">
        <w:rPr>
          <w:rFonts w:ascii="Arial" w:hAnsi="Arial" w:cs="Arial"/>
          <w:color w:val="333333"/>
          <w:sz w:val="24"/>
          <w:szCs w:val="24"/>
        </w:rPr>
        <w:t xml:space="preserve"> N, et al.  Outcomes of endoscopic orbital decompression for graves’ ophthalmopathy. Irish Journal of Medical Science. 6/2019.  Vol 189: 177-183.</w:t>
      </w:r>
    </w:p>
    <w:p w14:paraId="23F92518" w14:textId="77777777" w:rsidR="00C3036D" w:rsidRPr="00FA3F9C" w:rsidRDefault="00C3036D" w:rsidP="001972AE">
      <w:pPr>
        <w:pStyle w:val="ListParagraph"/>
        <w:spacing w:after="0" w:line="240" w:lineRule="auto"/>
        <w:ind w:hanging="360"/>
        <w:rPr>
          <w:rFonts w:ascii="Arial" w:hAnsi="Arial" w:cs="Arial"/>
          <w:color w:val="222222"/>
          <w:sz w:val="24"/>
          <w:szCs w:val="24"/>
          <w:shd w:val="clear" w:color="auto" w:fill="F8F8F8"/>
        </w:rPr>
      </w:pPr>
      <w:r w:rsidRPr="00FA3F9C">
        <w:rPr>
          <w:rFonts w:ascii="Arial" w:hAnsi="Arial" w:cs="Arial"/>
          <w:color w:val="333333"/>
          <w:sz w:val="24"/>
          <w:szCs w:val="24"/>
        </w:rPr>
        <w:t xml:space="preserve">7. </w:t>
      </w:r>
      <w:r w:rsidRPr="00FA3F9C">
        <w:rPr>
          <w:rFonts w:ascii="Arial" w:hAnsi="Arial" w:cs="Arial"/>
          <w:color w:val="333333"/>
          <w:sz w:val="24"/>
          <w:szCs w:val="24"/>
        </w:rPr>
        <w:tab/>
      </w:r>
      <w:proofErr w:type="spellStart"/>
      <w:r w:rsidRPr="00FA3F9C">
        <w:rPr>
          <w:rFonts w:ascii="Arial" w:hAnsi="Arial" w:cs="Arial"/>
          <w:color w:val="222222"/>
          <w:sz w:val="24"/>
          <w:szCs w:val="24"/>
          <w:shd w:val="clear" w:color="auto" w:fill="F8F8F8"/>
        </w:rPr>
        <w:t>Boboridis</w:t>
      </w:r>
      <w:proofErr w:type="spellEnd"/>
      <w:r w:rsidRPr="00FA3F9C">
        <w:rPr>
          <w:rFonts w:ascii="Arial" w:hAnsi="Arial" w:cs="Arial"/>
          <w:color w:val="222222"/>
          <w:sz w:val="24"/>
          <w:szCs w:val="24"/>
          <w:shd w:val="clear" w:color="auto" w:fill="F8F8F8"/>
        </w:rPr>
        <w:t xml:space="preserve">, Kostas G., and </w:t>
      </w:r>
      <w:proofErr w:type="spellStart"/>
      <w:r w:rsidRPr="00FA3F9C">
        <w:rPr>
          <w:rFonts w:ascii="Arial" w:hAnsi="Arial" w:cs="Arial"/>
          <w:color w:val="222222"/>
          <w:sz w:val="24"/>
          <w:szCs w:val="24"/>
          <w:shd w:val="clear" w:color="auto" w:fill="F8F8F8"/>
        </w:rPr>
        <w:t>Catey</w:t>
      </w:r>
      <w:proofErr w:type="spellEnd"/>
      <w:r w:rsidRPr="00FA3F9C">
        <w:rPr>
          <w:rFonts w:ascii="Arial" w:hAnsi="Arial" w:cs="Arial"/>
          <w:color w:val="222222"/>
          <w:sz w:val="24"/>
          <w:szCs w:val="24"/>
          <w:shd w:val="clear" w:color="auto" w:fill="F8F8F8"/>
        </w:rPr>
        <w:t xml:space="preserve"> Bunce. "Surgical orbital decompression for thyroid eye disease." </w:t>
      </w:r>
      <w:r w:rsidRPr="00FA3F9C">
        <w:rPr>
          <w:rFonts w:ascii="Arial" w:hAnsi="Arial" w:cs="Arial"/>
          <w:i/>
          <w:iCs/>
          <w:color w:val="222222"/>
          <w:sz w:val="24"/>
          <w:szCs w:val="24"/>
          <w:shd w:val="clear" w:color="auto" w:fill="F8F8F8"/>
        </w:rPr>
        <w:t>Cochrane Database of Systematic Reviews</w:t>
      </w:r>
      <w:r w:rsidRPr="00FA3F9C">
        <w:rPr>
          <w:rFonts w:ascii="Arial" w:hAnsi="Arial" w:cs="Arial"/>
          <w:color w:val="222222"/>
          <w:sz w:val="24"/>
          <w:szCs w:val="24"/>
          <w:shd w:val="clear" w:color="auto" w:fill="F8F8F8"/>
        </w:rPr>
        <w:t> 12 (2011).</w:t>
      </w:r>
    </w:p>
    <w:p w14:paraId="2810CB95" w14:textId="77777777" w:rsidR="00C3036D" w:rsidRPr="00FA3F9C" w:rsidRDefault="00C3036D" w:rsidP="001972AE">
      <w:pPr>
        <w:pStyle w:val="ListParagraph"/>
        <w:spacing w:after="0" w:line="240" w:lineRule="auto"/>
        <w:ind w:left="360"/>
        <w:rPr>
          <w:rFonts w:ascii="Arial" w:hAnsi="Arial" w:cs="Arial"/>
          <w:sz w:val="24"/>
          <w:szCs w:val="24"/>
        </w:rPr>
      </w:pPr>
      <w:r w:rsidRPr="00FA3F9C">
        <w:rPr>
          <w:rFonts w:ascii="Arial" w:hAnsi="Arial" w:cs="Arial"/>
          <w:color w:val="333333"/>
          <w:sz w:val="24"/>
          <w:szCs w:val="24"/>
        </w:rPr>
        <w:t>8.</w:t>
      </w:r>
      <w:r w:rsidRPr="00FA3F9C">
        <w:rPr>
          <w:rFonts w:ascii="Arial" w:hAnsi="Arial" w:cs="Arial"/>
          <w:sz w:val="24"/>
          <w:szCs w:val="24"/>
        </w:rPr>
        <w:tab/>
      </w:r>
      <w:proofErr w:type="spellStart"/>
      <w:r w:rsidRPr="00FA3F9C">
        <w:rPr>
          <w:rFonts w:ascii="Arial" w:hAnsi="Arial" w:cs="Arial"/>
          <w:color w:val="222222"/>
          <w:sz w:val="24"/>
          <w:szCs w:val="24"/>
          <w:shd w:val="clear" w:color="auto" w:fill="F8F8F8"/>
        </w:rPr>
        <w:t>Jefferis</w:t>
      </w:r>
      <w:proofErr w:type="spellEnd"/>
      <w:r w:rsidRPr="00FA3F9C">
        <w:rPr>
          <w:rFonts w:ascii="Arial" w:hAnsi="Arial" w:cs="Arial"/>
          <w:color w:val="222222"/>
          <w:sz w:val="24"/>
          <w:szCs w:val="24"/>
          <w:shd w:val="clear" w:color="auto" w:fill="F8F8F8"/>
        </w:rPr>
        <w:t>, J. M., et al. "Orbital decompression for thyroid eye disease: methods, outcomes, and complications." </w:t>
      </w:r>
      <w:r w:rsidRPr="00FA3F9C">
        <w:rPr>
          <w:rFonts w:ascii="Arial" w:hAnsi="Arial" w:cs="Arial"/>
          <w:i/>
          <w:iCs/>
          <w:color w:val="222222"/>
          <w:sz w:val="24"/>
          <w:szCs w:val="24"/>
          <w:shd w:val="clear" w:color="auto" w:fill="F8F8F8"/>
        </w:rPr>
        <w:t>Eye</w:t>
      </w:r>
      <w:r w:rsidRPr="00FA3F9C">
        <w:rPr>
          <w:rFonts w:ascii="Arial" w:hAnsi="Arial" w:cs="Arial"/>
          <w:color w:val="222222"/>
          <w:sz w:val="24"/>
          <w:szCs w:val="24"/>
          <w:shd w:val="clear" w:color="auto" w:fill="F8F8F8"/>
        </w:rPr>
        <w:t> 32.3 (2018): 626-636.</w:t>
      </w:r>
    </w:p>
    <w:p w14:paraId="275EE002" w14:textId="77777777" w:rsidR="00C3036D" w:rsidRPr="00FA3F9C" w:rsidRDefault="00C3036D" w:rsidP="001972AE">
      <w:pPr>
        <w:pStyle w:val="ListParagraph"/>
        <w:spacing w:after="0" w:line="240" w:lineRule="auto"/>
        <w:ind w:hanging="360"/>
        <w:rPr>
          <w:rFonts w:ascii="Arial" w:hAnsi="Arial" w:cs="Arial"/>
          <w:sz w:val="24"/>
          <w:szCs w:val="24"/>
        </w:rPr>
      </w:pPr>
    </w:p>
    <w:p w14:paraId="7DC46E23" w14:textId="77777777" w:rsidR="00C3036D" w:rsidRPr="00FA3F9C" w:rsidRDefault="00C3036D" w:rsidP="001972AE">
      <w:pPr>
        <w:shd w:val="clear" w:color="auto" w:fill="FCFCFC"/>
        <w:spacing w:after="0" w:line="240" w:lineRule="auto"/>
        <w:ind w:left="720" w:hanging="360"/>
        <w:rPr>
          <w:rFonts w:ascii="Arial" w:hAnsi="Arial" w:cs="Arial"/>
          <w:color w:val="333333"/>
          <w:sz w:val="24"/>
          <w:szCs w:val="24"/>
        </w:rPr>
      </w:pPr>
    </w:p>
    <w:p w14:paraId="73C22481" w14:textId="77777777" w:rsidR="00C3036D" w:rsidRPr="00FA3F9C" w:rsidRDefault="00C3036D" w:rsidP="001972AE">
      <w:pPr>
        <w:pStyle w:val="ListParagraph"/>
        <w:spacing w:after="0" w:line="240" w:lineRule="auto"/>
        <w:rPr>
          <w:rFonts w:ascii="Arial" w:hAnsi="Arial" w:cs="Arial"/>
          <w:color w:val="000000" w:themeColor="text1"/>
          <w:sz w:val="24"/>
          <w:szCs w:val="24"/>
        </w:rPr>
      </w:pPr>
    </w:p>
    <w:p w14:paraId="79FF695D" w14:textId="77777777" w:rsidR="00C3036D" w:rsidRPr="00FA3F9C" w:rsidRDefault="00C3036D" w:rsidP="006F623F">
      <w:pPr>
        <w:spacing w:after="0"/>
        <w:rPr>
          <w:rFonts w:ascii="Arial" w:hAnsi="Arial" w:cs="Arial"/>
          <w:sz w:val="24"/>
          <w:szCs w:val="24"/>
        </w:rPr>
      </w:pPr>
    </w:p>
    <w:p w14:paraId="567A0267" w14:textId="77777777" w:rsidR="00C3036D" w:rsidRPr="00FA3F9C" w:rsidRDefault="00C3036D" w:rsidP="006F623F">
      <w:pPr>
        <w:spacing w:after="0"/>
        <w:rPr>
          <w:rFonts w:ascii="Arial" w:hAnsi="Arial" w:cs="Arial"/>
          <w:sz w:val="24"/>
          <w:szCs w:val="24"/>
        </w:rPr>
      </w:pPr>
    </w:p>
    <w:p w14:paraId="21BB1FBB" w14:textId="77777777" w:rsidR="00C3036D" w:rsidRPr="00FA3F9C" w:rsidRDefault="00C3036D"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284"/>
        <w:gridCol w:w="7470"/>
        <w:gridCol w:w="2538"/>
      </w:tblGrid>
      <w:tr w:rsidR="00C3036D" w:rsidRPr="00FA3F9C" w14:paraId="785135CC" w14:textId="77777777" w:rsidTr="00FE491B">
        <w:tc>
          <w:tcPr>
            <w:tcW w:w="1008" w:type="dxa"/>
          </w:tcPr>
          <w:p w14:paraId="22BD1B82" w14:textId="77777777" w:rsidR="00C3036D" w:rsidRPr="00FA3F9C" w:rsidRDefault="00C3036D" w:rsidP="006F623F">
            <w:pPr>
              <w:rPr>
                <w:rFonts w:ascii="Arial" w:hAnsi="Arial" w:cs="Arial"/>
                <w:sz w:val="24"/>
                <w:szCs w:val="24"/>
              </w:rPr>
            </w:pPr>
            <w:r w:rsidRPr="00FA3F9C">
              <w:rPr>
                <w:rFonts w:ascii="Arial" w:hAnsi="Arial" w:cs="Arial"/>
                <w:sz w:val="24"/>
                <w:szCs w:val="24"/>
              </w:rPr>
              <w:t>Date</w:t>
            </w:r>
          </w:p>
        </w:tc>
        <w:tc>
          <w:tcPr>
            <w:tcW w:w="7470" w:type="dxa"/>
          </w:tcPr>
          <w:p w14:paraId="4BD50425" w14:textId="77777777" w:rsidR="00C3036D" w:rsidRPr="00FA3F9C" w:rsidRDefault="00C3036D" w:rsidP="006F623F">
            <w:pPr>
              <w:rPr>
                <w:rFonts w:ascii="Arial" w:hAnsi="Arial" w:cs="Arial"/>
                <w:sz w:val="24"/>
                <w:szCs w:val="24"/>
              </w:rPr>
            </w:pPr>
            <w:r w:rsidRPr="00FA3F9C">
              <w:rPr>
                <w:rFonts w:ascii="Arial" w:hAnsi="Arial" w:cs="Arial"/>
                <w:sz w:val="24"/>
                <w:szCs w:val="24"/>
              </w:rPr>
              <w:t>What changed</w:t>
            </w:r>
          </w:p>
        </w:tc>
        <w:tc>
          <w:tcPr>
            <w:tcW w:w="2538" w:type="dxa"/>
          </w:tcPr>
          <w:p w14:paraId="460CE8F1" w14:textId="77777777" w:rsidR="00C3036D" w:rsidRPr="00FA3F9C" w:rsidRDefault="00C3036D" w:rsidP="006F623F">
            <w:pPr>
              <w:rPr>
                <w:rFonts w:ascii="Arial" w:hAnsi="Arial" w:cs="Arial"/>
                <w:sz w:val="24"/>
                <w:szCs w:val="24"/>
              </w:rPr>
            </w:pPr>
            <w:r w:rsidRPr="00FA3F9C">
              <w:rPr>
                <w:rFonts w:ascii="Arial" w:hAnsi="Arial" w:cs="Arial"/>
                <w:sz w:val="24"/>
                <w:szCs w:val="24"/>
              </w:rPr>
              <w:t>Pharmacist’s initials</w:t>
            </w:r>
          </w:p>
        </w:tc>
      </w:tr>
      <w:tr w:rsidR="00C3036D" w:rsidRPr="00FA3F9C" w14:paraId="15CB6FE4" w14:textId="77777777" w:rsidTr="00FE491B">
        <w:tc>
          <w:tcPr>
            <w:tcW w:w="1008" w:type="dxa"/>
          </w:tcPr>
          <w:p w14:paraId="5E89C18D" w14:textId="77777777" w:rsidR="00C3036D" w:rsidRPr="00FA3F9C" w:rsidRDefault="00C3036D" w:rsidP="006F623F">
            <w:pPr>
              <w:rPr>
                <w:rFonts w:ascii="Arial" w:hAnsi="Arial" w:cs="Arial"/>
                <w:sz w:val="24"/>
                <w:szCs w:val="24"/>
              </w:rPr>
            </w:pPr>
            <w:r w:rsidRPr="00FA3F9C">
              <w:rPr>
                <w:rFonts w:ascii="Arial" w:hAnsi="Arial" w:cs="Arial"/>
                <w:sz w:val="24"/>
                <w:szCs w:val="24"/>
              </w:rPr>
              <w:t>9/9/2020</w:t>
            </w:r>
          </w:p>
        </w:tc>
        <w:tc>
          <w:tcPr>
            <w:tcW w:w="7470" w:type="dxa"/>
          </w:tcPr>
          <w:p w14:paraId="65D33488" w14:textId="77777777" w:rsidR="00C3036D" w:rsidRPr="00FA3F9C" w:rsidRDefault="00C3036D" w:rsidP="006F623F">
            <w:pPr>
              <w:rPr>
                <w:rFonts w:ascii="Arial" w:hAnsi="Arial" w:cs="Arial"/>
                <w:sz w:val="24"/>
                <w:szCs w:val="24"/>
              </w:rPr>
            </w:pPr>
            <w:r w:rsidRPr="00FA3F9C">
              <w:rPr>
                <w:rFonts w:ascii="Arial" w:hAnsi="Arial" w:cs="Arial"/>
                <w:sz w:val="24"/>
                <w:szCs w:val="24"/>
              </w:rPr>
              <w:t>I wrote the criteria.</w:t>
            </w:r>
          </w:p>
        </w:tc>
        <w:tc>
          <w:tcPr>
            <w:tcW w:w="2538" w:type="dxa"/>
          </w:tcPr>
          <w:p w14:paraId="72933E56" w14:textId="57C8676E" w:rsidR="00C3036D" w:rsidRPr="00FA3F9C" w:rsidRDefault="005C142D" w:rsidP="006F623F">
            <w:pPr>
              <w:rPr>
                <w:rFonts w:ascii="Arial" w:hAnsi="Arial" w:cs="Arial"/>
                <w:sz w:val="24"/>
                <w:szCs w:val="24"/>
              </w:rPr>
            </w:pPr>
            <w:r w:rsidRPr="00FA3F9C">
              <w:rPr>
                <w:rFonts w:ascii="Arial" w:hAnsi="Arial" w:cs="Arial"/>
                <w:sz w:val="24"/>
                <w:szCs w:val="24"/>
              </w:rPr>
              <w:t>JJ</w:t>
            </w:r>
          </w:p>
        </w:tc>
      </w:tr>
      <w:tr w:rsidR="00C3036D" w:rsidRPr="00FA3F9C" w14:paraId="1766ECB5" w14:textId="77777777" w:rsidTr="00FE491B">
        <w:tc>
          <w:tcPr>
            <w:tcW w:w="1008" w:type="dxa"/>
          </w:tcPr>
          <w:p w14:paraId="3890410A" w14:textId="77777777" w:rsidR="00C3036D" w:rsidRPr="00FA3F9C" w:rsidRDefault="00C3036D" w:rsidP="006F623F">
            <w:pPr>
              <w:rPr>
                <w:rFonts w:ascii="Arial" w:hAnsi="Arial" w:cs="Arial"/>
                <w:sz w:val="24"/>
                <w:szCs w:val="24"/>
              </w:rPr>
            </w:pPr>
            <w:r w:rsidRPr="00FA3F9C">
              <w:rPr>
                <w:rFonts w:ascii="Arial" w:hAnsi="Arial" w:cs="Arial"/>
                <w:sz w:val="24"/>
                <w:szCs w:val="24"/>
              </w:rPr>
              <w:t>1/11/2021</w:t>
            </w:r>
          </w:p>
        </w:tc>
        <w:tc>
          <w:tcPr>
            <w:tcW w:w="7470" w:type="dxa"/>
          </w:tcPr>
          <w:p w14:paraId="111BF3DA" w14:textId="77777777" w:rsidR="00C3036D" w:rsidRPr="00FA3F9C" w:rsidRDefault="00C3036D" w:rsidP="006F623F">
            <w:pPr>
              <w:rPr>
                <w:rFonts w:ascii="Arial" w:hAnsi="Arial" w:cs="Arial"/>
                <w:sz w:val="24"/>
                <w:szCs w:val="24"/>
              </w:rPr>
            </w:pPr>
            <w:r w:rsidRPr="00FA3F9C">
              <w:rPr>
                <w:rFonts w:ascii="Arial" w:hAnsi="Arial" w:cs="Arial"/>
                <w:sz w:val="24"/>
                <w:szCs w:val="24"/>
              </w:rPr>
              <w:t>I added the corticosteroid dose they should have tried.  This was included in the meta-analysis</w:t>
            </w:r>
          </w:p>
        </w:tc>
        <w:tc>
          <w:tcPr>
            <w:tcW w:w="2538" w:type="dxa"/>
          </w:tcPr>
          <w:p w14:paraId="7866B627" w14:textId="77777777" w:rsidR="00C3036D" w:rsidRPr="00FA3F9C" w:rsidRDefault="00C3036D" w:rsidP="006F623F">
            <w:pPr>
              <w:rPr>
                <w:rFonts w:ascii="Arial" w:hAnsi="Arial" w:cs="Arial"/>
                <w:sz w:val="24"/>
                <w:szCs w:val="24"/>
              </w:rPr>
            </w:pPr>
          </w:p>
        </w:tc>
      </w:tr>
    </w:tbl>
    <w:p w14:paraId="62939D04" w14:textId="77777777" w:rsidR="00C3036D" w:rsidRPr="00FA3F9C" w:rsidRDefault="00C3036D" w:rsidP="006F623F">
      <w:pPr>
        <w:spacing w:after="0"/>
        <w:rPr>
          <w:rFonts w:ascii="Arial" w:hAnsi="Arial" w:cs="Arial"/>
          <w:sz w:val="24"/>
          <w:szCs w:val="24"/>
        </w:rPr>
      </w:pPr>
    </w:p>
    <w:p w14:paraId="59323B25" w14:textId="77777777" w:rsidR="00C3036D" w:rsidRPr="00FA3F9C" w:rsidRDefault="00C3036D" w:rsidP="0078218F">
      <w:pPr>
        <w:pStyle w:val="Heading2"/>
      </w:pPr>
      <w:bookmarkStart w:id="320" w:name="_Toc106369943"/>
      <w:r w:rsidRPr="00FA3F9C">
        <w:t>Teriflunomide (</w:t>
      </w:r>
      <w:proofErr w:type="spellStart"/>
      <w:r w:rsidRPr="00FA3F9C">
        <w:t>Aubagio</w:t>
      </w:r>
      <w:proofErr w:type="spellEnd"/>
      <w:r w:rsidRPr="00FA3F9C">
        <w:t>)</w:t>
      </w:r>
      <w:bookmarkEnd w:id="320"/>
      <w:r w:rsidRPr="00FA3F9C">
        <w:t xml:space="preserve"> </w:t>
      </w:r>
    </w:p>
    <w:p w14:paraId="7713E5A9" w14:textId="77777777" w:rsidR="00C3036D" w:rsidRPr="00FA3F9C" w:rsidRDefault="00C3036D" w:rsidP="006F623F">
      <w:pPr>
        <w:spacing w:after="0"/>
        <w:jc w:val="center"/>
        <w:rPr>
          <w:rFonts w:ascii="Arial" w:hAnsi="Arial" w:cs="Arial"/>
          <w:sz w:val="24"/>
          <w:szCs w:val="24"/>
        </w:rPr>
      </w:pPr>
      <w:r w:rsidRPr="00FA3F9C">
        <w:rPr>
          <w:rFonts w:ascii="Arial" w:hAnsi="Arial" w:cs="Arial"/>
          <w:sz w:val="24"/>
          <w:szCs w:val="24"/>
        </w:rPr>
        <w:t>EBRx PA Criteria</w:t>
      </w:r>
    </w:p>
    <w:p w14:paraId="515E81D3" w14:textId="77777777" w:rsidR="00C3036D" w:rsidRPr="00FA3F9C" w:rsidRDefault="00C3036D" w:rsidP="006F623F">
      <w:pPr>
        <w:spacing w:after="0"/>
        <w:rPr>
          <w:rFonts w:ascii="Arial" w:hAnsi="Arial" w:cs="Arial"/>
          <w:b/>
          <w:sz w:val="24"/>
          <w:szCs w:val="24"/>
          <w:u w:val="single"/>
        </w:rPr>
      </w:pPr>
    </w:p>
    <w:p w14:paraId="31A75831" w14:textId="77777777" w:rsidR="00C3036D" w:rsidRPr="00FA3F9C" w:rsidRDefault="00C3036D" w:rsidP="00303EB2">
      <w:pPr>
        <w:rPr>
          <w:rFonts w:ascii="Arial" w:eastAsia="Times New Roman" w:hAnsi="Arial" w:cs="Arial"/>
          <w:sz w:val="24"/>
          <w:szCs w:val="24"/>
        </w:rPr>
      </w:pPr>
      <w:r w:rsidRPr="00FA3F9C">
        <w:rPr>
          <w:rFonts w:ascii="Arial" w:hAnsi="Arial" w:cs="Arial"/>
          <w:sz w:val="24"/>
          <w:szCs w:val="24"/>
          <w:u w:val="single"/>
        </w:rPr>
        <w:t>is FDA-approved for:</w:t>
      </w:r>
      <w:r w:rsidRPr="00FA3F9C">
        <w:rPr>
          <w:rFonts w:ascii="Arial" w:hAnsi="Arial" w:cs="Arial"/>
          <w:sz w:val="24"/>
          <w:szCs w:val="24"/>
        </w:rPr>
        <w:t xml:space="preserve">  </w:t>
      </w:r>
      <w:r w:rsidRPr="00FA3F9C">
        <w:rPr>
          <w:rFonts w:ascii="Arial" w:eastAsia="Times New Roman" w:hAnsi="Arial" w:cs="Arial"/>
          <w:color w:val="474747"/>
          <w:sz w:val="24"/>
          <w:szCs w:val="24"/>
          <w:shd w:val="clear" w:color="auto" w:fill="FFFFFF"/>
        </w:rPr>
        <w:t>Treatment of relapsing forms of multiple sclerosis, including clinically isolated syndrome, relapsing-remitting disease, and active secondary progressive disease in adults.</w:t>
      </w:r>
    </w:p>
    <w:tbl>
      <w:tblPr>
        <w:tblStyle w:val="TableGrid"/>
        <w:tblW w:w="0" w:type="auto"/>
        <w:tblLook w:val="04A0" w:firstRow="1" w:lastRow="0" w:firstColumn="1" w:lastColumn="0" w:noHBand="0" w:noVBand="1"/>
      </w:tblPr>
      <w:tblGrid>
        <w:gridCol w:w="8928"/>
        <w:gridCol w:w="2088"/>
      </w:tblGrid>
      <w:tr w:rsidR="00C3036D" w:rsidRPr="00FA3F9C" w14:paraId="5ED19E6F" w14:textId="77777777" w:rsidTr="00571CAB">
        <w:tc>
          <w:tcPr>
            <w:tcW w:w="8928" w:type="dxa"/>
            <w:shd w:val="clear" w:color="auto" w:fill="000000"/>
          </w:tcPr>
          <w:p w14:paraId="7BEF0FC9" w14:textId="77777777" w:rsidR="00C3036D" w:rsidRPr="00FA3F9C" w:rsidRDefault="00C3036D" w:rsidP="00571CAB">
            <w:pPr>
              <w:rPr>
                <w:rFonts w:ascii="Arial" w:hAnsi="Arial" w:cs="Arial"/>
                <w:sz w:val="24"/>
                <w:szCs w:val="24"/>
                <w:u w:val="single"/>
              </w:rPr>
            </w:pPr>
            <w:r w:rsidRPr="00FA3F9C">
              <w:rPr>
                <w:rFonts w:ascii="Arial" w:hAnsi="Arial" w:cs="Arial"/>
                <w:sz w:val="24"/>
                <w:szCs w:val="24"/>
                <w:u w:val="single"/>
              </w:rPr>
              <w:t>Criteria for new users</w:t>
            </w:r>
          </w:p>
        </w:tc>
        <w:tc>
          <w:tcPr>
            <w:tcW w:w="2088" w:type="dxa"/>
            <w:shd w:val="clear" w:color="auto" w:fill="000000"/>
          </w:tcPr>
          <w:p w14:paraId="1D3D96DF" w14:textId="77777777" w:rsidR="00C3036D" w:rsidRPr="00FA3F9C" w:rsidRDefault="00C3036D" w:rsidP="006F623F">
            <w:pPr>
              <w:jc w:val="center"/>
              <w:rPr>
                <w:rFonts w:ascii="Arial" w:hAnsi="Arial" w:cs="Arial"/>
                <w:sz w:val="24"/>
                <w:szCs w:val="24"/>
                <w:u w:val="single"/>
              </w:rPr>
            </w:pPr>
          </w:p>
        </w:tc>
      </w:tr>
      <w:tr w:rsidR="00C3036D" w:rsidRPr="00FA3F9C" w14:paraId="6E5A752C" w14:textId="77777777" w:rsidTr="00F337AE">
        <w:tc>
          <w:tcPr>
            <w:tcW w:w="11016" w:type="dxa"/>
            <w:gridSpan w:val="2"/>
          </w:tcPr>
          <w:p w14:paraId="2AB7F5B9" w14:textId="77777777" w:rsidR="00C3036D" w:rsidRPr="00FA3F9C" w:rsidRDefault="00C3036D" w:rsidP="00303EB2">
            <w:pPr>
              <w:rPr>
                <w:rFonts w:ascii="Arial" w:hAnsi="Arial" w:cs="Arial"/>
                <w:sz w:val="24"/>
                <w:szCs w:val="24"/>
              </w:rPr>
            </w:pPr>
            <w:r w:rsidRPr="00FA3F9C">
              <w:rPr>
                <w:rFonts w:ascii="Arial" w:hAnsi="Arial" w:cs="Arial"/>
                <w:sz w:val="24"/>
                <w:szCs w:val="24"/>
              </w:rPr>
              <w:t>1.  The patient must have the diagnosis of a relapsing form of multiple sclerosis.</w:t>
            </w:r>
          </w:p>
        </w:tc>
      </w:tr>
      <w:tr w:rsidR="00C3036D" w:rsidRPr="00FA3F9C" w14:paraId="11E13B7F" w14:textId="77777777" w:rsidTr="00B1617E">
        <w:tc>
          <w:tcPr>
            <w:tcW w:w="11016" w:type="dxa"/>
            <w:gridSpan w:val="2"/>
          </w:tcPr>
          <w:p w14:paraId="1F4E1751" w14:textId="77777777" w:rsidR="00C3036D" w:rsidRPr="00FA3F9C" w:rsidRDefault="00C3036D" w:rsidP="00303EB2">
            <w:pPr>
              <w:rPr>
                <w:rFonts w:ascii="Arial" w:hAnsi="Arial" w:cs="Arial"/>
                <w:sz w:val="24"/>
                <w:szCs w:val="24"/>
              </w:rPr>
            </w:pPr>
            <w:r w:rsidRPr="00FA3F9C">
              <w:rPr>
                <w:rFonts w:ascii="Arial" w:hAnsi="Arial" w:cs="Arial"/>
                <w:sz w:val="24"/>
                <w:szCs w:val="24"/>
              </w:rPr>
              <w:t>2.  The patient must have experienced at least 2 clinical relapses in the previous 2 years or one relapse during the preceding 1 year.</w:t>
            </w:r>
          </w:p>
        </w:tc>
      </w:tr>
      <w:tr w:rsidR="00C3036D" w:rsidRPr="00FA3F9C" w14:paraId="030A3841" w14:textId="77777777" w:rsidTr="0010789D">
        <w:tc>
          <w:tcPr>
            <w:tcW w:w="11016" w:type="dxa"/>
            <w:gridSpan w:val="2"/>
          </w:tcPr>
          <w:p w14:paraId="08B42C0A" w14:textId="77777777" w:rsidR="00C3036D" w:rsidRPr="00FA3F9C" w:rsidRDefault="00C3036D" w:rsidP="00303EB2">
            <w:pPr>
              <w:rPr>
                <w:rFonts w:ascii="Arial" w:hAnsi="Arial" w:cs="Arial"/>
                <w:sz w:val="24"/>
                <w:szCs w:val="24"/>
              </w:rPr>
            </w:pPr>
            <w:r w:rsidRPr="00FA3F9C">
              <w:rPr>
                <w:rFonts w:ascii="Arial" w:hAnsi="Arial" w:cs="Arial"/>
                <w:sz w:val="24"/>
                <w:szCs w:val="24"/>
              </w:rPr>
              <w:t xml:space="preserve">3.  There should be no overlapping </w:t>
            </w:r>
            <w:proofErr w:type="spellStart"/>
            <w:r w:rsidRPr="00FA3F9C">
              <w:rPr>
                <w:rFonts w:ascii="Arial" w:hAnsi="Arial" w:cs="Arial"/>
                <w:sz w:val="24"/>
                <w:szCs w:val="24"/>
              </w:rPr>
              <w:t>days</w:t>
            </w:r>
            <w:proofErr w:type="spellEnd"/>
            <w:r w:rsidRPr="00FA3F9C">
              <w:rPr>
                <w:rFonts w:ascii="Arial" w:hAnsi="Arial" w:cs="Arial"/>
                <w:sz w:val="24"/>
                <w:szCs w:val="24"/>
              </w:rPr>
              <w:t xml:space="preserve"> supply with other MS therapy including interferon, natalizumab, glatiramer, mitoxantrone, immunoglobulins, fingolimod, dimethyl fumarate, or diroximel fumarate.</w:t>
            </w:r>
          </w:p>
        </w:tc>
      </w:tr>
      <w:tr w:rsidR="00C3036D" w:rsidRPr="00FA3F9C" w14:paraId="7D0DAC85" w14:textId="77777777" w:rsidTr="0010789D">
        <w:tc>
          <w:tcPr>
            <w:tcW w:w="11016" w:type="dxa"/>
            <w:gridSpan w:val="2"/>
          </w:tcPr>
          <w:p w14:paraId="3A1CC711" w14:textId="77777777" w:rsidR="00C3036D" w:rsidRPr="00FA3F9C" w:rsidRDefault="00C3036D" w:rsidP="00427B32">
            <w:pPr>
              <w:rPr>
                <w:rFonts w:ascii="Arial" w:hAnsi="Arial" w:cs="Arial"/>
                <w:sz w:val="24"/>
                <w:szCs w:val="24"/>
              </w:rPr>
            </w:pPr>
            <w:r w:rsidRPr="00FA3F9C">
              <w:rPr>
                <w:rFonts w:ascii="Arial" w:hAnsi="Arial" w:cs="Arial"/>
                <w:sz w:val="24"/>
                <w:szCs w:val="24"/>
              </w:rPr>
              <w:lastRenderedPageBreak/>
              <w:t xml:space="preserve">4. Patients must step through formulary agents, dimethyl fumarate, </w:t>
            </w:r>
            <w:proofErr w:type="spellStart"/>
            <w:r w:rsidRPr="00FA3F9C">
              <w:rPr>
                <w:rFonts w:ascii="Arial" w:hAnsi="Arial" w:cs="Arial"/>
                <w:sz w:val="24"/>
                <w:szCs w:val="24"/>
              </w:rPr>
              <w:t>Aubagio</w:t>
            </w:r>
            <w:proofErr w:type="spellEnd"/>
            <w:r w:rsidRPr="00FA3F9C">
              <w:rPr>
                <w:rFonts w:ascii="Arial" w:hAnsi="Arial" w:cs="Arial"/>
                <w:sz w:val="24"/>
                <w:szCs w:val="24"/>
              </w:rPr>
              <w:t xml:space="preserve">, or </w:t>
            </w:r>
            <w:proofErr w:type="spellStart"/>
            <w:r w:rsidRPr="00FA3F9C">
              <w:rPr>
                <w:rFonts w:ascii="Arial" w:hAnsi="Arial" w:cs="Arial"/>
                <w:sz w:val="24"/>
                <w:szCs w:val="24"/>
              </w:rPr>
              <w:t>Zeposia</w:t>
            </w:r>
            <w:proofErr w:type="spellEnd"/>
            <w:r w:rsidRPr="00FA3F9C">
              <w:rPr>
                <w:rFonts w:ascii="Arial" w:hAnsi="Arial" w:cs="Arial"/>
                <w:sz w:val="24"/>
                <w:szCs w:val="24"/>
              </w:rPr>
              <w:t xml:space="preserve"> before obtaining a non-formulary agent.</w:t>
            </w:r>
          </w:p>
        </w:tc>
      </w:tr>
      <w:tr w:rsidR="00C3036D" w:rsidRPr="00FA3F9C" w14:paraId="723223F2" w14:textId="77777777" w:rsidTr="00DA57E0">
        <w:tc>
          <w:tcPr>
            <w:tcW w:w="11016" w:type="dxa"/>
            <w:gridSpan w:val="2"/>
          </w:tcPr>
          <w:p w14:paraId="10A056E4" w14:textId="77777777" w:rsidR="00C3036D" w:rsidRPr="00FA3F9C" w:rsidRDefault="00C3036D" w:rsidP="006F623F">
            <w:pPr>
              <w:rPr>
                <w:rFonts w:ascii="Arial" w:hAnsi="Arial" w:cs="Arial"/>
                <w:sz w:val="24"/>
                <w:szCs w:val="24"/>
              </w:rPr>
            </w:pPr>
            <w:r w:rsidRPr="00FA3F9C">
              <w:rPr>
                <w:rFonts w:ascii="Arial" w:hAnsi="Arial" w:cs="Arial"/>
                <w:sz w:val="24"/>
                <w:szCs w:val="24"/>
              </w:rPr>
              <w:t>If criteria are true, allow coverage for new users.  If patient has teriflunomide approved for coverage in the past, continue access.</w:t>
            </w:r>
          </w:p>
        </w:tc>
      </w:tr>
    </w:tbl>
    <w:p w14:paraId="0899E0D2" w14:textId="77777777" w:rsidR="00C3036D" w:rsidRPr="00FA3F9C" w:rsidRDefault="00C3036D" w:rsidP="006F623F">
      <w:pPr>
        <w:spacing w:after="0"/>
        <w:rPr>
          <w:rFonts w:ascii="Arial" w:hAnsi="Arial" w:cs="Arial"/>
          <w:sz w:val="24"/>
          <w:szCs w:val="24"/>
          <w:u w:val="single"/>
        </w:rPr>
      </w:pPr>
    </w:p>
    <w:tbl>
      <w:tblPr>
        <w:tblStyle w:val="TableGrid"/>
        <w:tblW w:w="0" w:type="auto"/>
        <w:shd w:val="clear" w:color="auto" w:fill="BFBFBF" w:themeFill="background1" w:themeFillShade="BF"/>
        <w:tblLook w:val="04A0" w:firstRow="1" w:lastRow="0" w:firstColumn="1" w:lastColumn="0" w:noHBand="0" w:noVBand="1"/>
      </w:tblPr>
      <w:tblGrid>
        <w:gridCol w:w="10998"/>
      </w:tblGrid>
      <w:tr w:rsidR="00C3036D" w:rsidRPr="00FA3F9C" w14:paraId="03F6ADCF" w14:textId="77777777" w:rsidTr="00D82B6E">
        <w:tc>
          <w:tcPr>
            <w:tcW w:w="10998" w:type="dxa"/>
            <w:shd w:val="clear" w:color="auto" w:fill="BFBFBF" w:themeFill="background1" w:themeFillShade="BF"/>
          </w:tcPr>
          <w:p w14:paraId="12528CF7" w14:textId="77777777" w:rsidR="00C3036D" w:rsidRPr="00FA3F9C" w:rsidRDefault="00C3036D" w:rsidP="00D82B6E">
            <w:pPr>
              <w:rPr>
                <w:rFonts w:ascii="Arial" w:hAnsi="Arial" w:cs="Arial"/>
                <w:sz w:val="24"/>
                <w:szCs w:val="24"/>
              </w:rPr>
            </w:pPr>
            <w:r w:rsidRPr="00FA3F9C">
              <w:rPr>
                <w:rFonts w:ascii="Arial" w:hAnsi="Arial" w:cs="Arial"/>
                <w:sz w:val="24"/>
                <w:szCs w:val="24"/>
              </w:rPr>
              <w:t xml:space="preserve">Note: </w:t>
            </w:r>
          </w:p>
        </w:tc>
      </w:tr>
    </w:tbl>
    <w:p w14:paraId="29769C04" w14:textId="77777777" w:rsidR="00C3036D" w:rsidRPr="00FA3F9C" w:rsidRDefault="00C3036D" w:rsidP="006F623F">
      <w:pPr>
        <w:spacing w:after="0"/>
        <w:rPr>
          <w:rFonts w:ascii="Arial" w:hAnsi="Arial" w:cs="Arial"/>
          <w:sz w:val="24"/>
          <w:szCs w:val="24"/>
        </w:rPr>
      </w:pPr>
    </w:p>
    <w:p w14:paraId="464C19AC" w14:textId="77777777" w:rsidR="00C3036D" w:rsidRPr="00FA3F9C" w:rsidRDefault="00C3036D" w:rsidP="006F623F">
      <w:pPr>
        <w:spacing w:after="0"/>
        <w:rPr>
          <w:rFonts w:ascii="Arial" w:hAnsi="Arial" w:cs="Arial"/>
          <w:sz w:val="24"/>
          <w:szCs w:val="24"/>
        </w:rPr>
      </w:pPr>
      <w:r w:rsidRPr="00FA3F9C">
        <w:rPr>
          <w:rFonts w:ascii="Arial" w:hAnsi="Arial" w:cs="Arial"/>
          <w:sz w:val="24"/>
          <w:szCs w:val="24"/>
        </w:rPr>
        <w:t xml:space="preserve">Quantity Limits: 31 </w:t>
      </w:r>
      <w:proofErr w:type="spellStart"/>
      <w:r w:rsidRPr="00FA3F9C">
        <w:rPr>
          <w:rFonts w:ascii="Arial" w:hAnsi="Arial" w:cs="Arial"/>
          <w:sz w:val="24"/>
          <w:szCs w:val="24"/>
        </w:rPr>
        <w:t>days</w:t>
      </w:r>
      <w:proofErr w:type="spellEnd"/>
      <w:r w:rsidRPr="00FA3F9C">
        <w:rPr>
          <w:rFonts w:ascii="Arial" w:hAnsi="Arial" w:cs="Arial"/>
          <w:sz w:val="24"/>
          <w:szCs w:val="24"/>
        </w:rPr>
        <w:t xml:space="preserve"> supply; 1/1.</w:t>
      </w:r>
    </w:p>
    <w:p w14:paraId="7081BB9D" w14:textId="77777777" w:rsidR="00C3036D" w:rsidRPr="00FA3F9C" w:rsidRDefault="00C3036D" w:rsidP="00303EB2">
      <w:pPr>
        <w:spacing w:after="0" w:line="240" w:lineRule="auto"/>
        <w:rPr>
          <w:rFonts w:ascii="Arial" w:eastAsia="Times New Roman" w:hAnsi="Arial" w:cs="Arial"/>
          <w:color w:val="222222"/>
          <w:sz w:val="24"/>
          <w:szCs w:val="24"/>
          <w:shd w:val="clear" w:color="auto" w:fill="F8F8F8"/>
        </w:rPr>
      </w:pPr>
      <w:r w:rsidRPr="00FA3F9C">
        <w:rPr>
          <w:rFonts w:ascii="Arial" w:eastAsia="Times New Roman" w:hAnsi="Arial" w:cs="Arial"/>
          <w:color w:val="222222"/>
          <w:sz w:val="24"/>
          <w:szCs w:val="24"/>
          <w:shd w:val="clear" w:color="auto" w:fill="F8F8F8"/>
        </w:rPr>
        <w:t>References:</w:t>
      </w:r>
    </w:p>
    <w:p w14:paraId="3C0777F6" w14:textId="77777777" w:rsidR="00C3036D" w:rsidRPr="00FA3F9C" w:rsidRDefault="00C3036D" w:rsidP="00303EB2">
      <w:pPr>
        <w:spacing w:after="0" w:line="240" w:lineRule="auto"/>
        <w:rPr>
          <w:rFonts w:ascii="Arial" w:eastAsia="Times New Roman" w:hAnsi="Arial" w:cs="Arial"/>
          <w:sz w:val="24"/>
          <w:szCs w:val="24"/>
        </w:rPr>
      </w:pPr>
      <w:r w:rsidRPr="00FA3F9C">
        <w:rPr>
          <w:rFonts w:ascii="Arial" w:eastAsia="Times New Roman" w:hAnsi="Arial" w:cs="Arial"/>
          <w:color w:val="222222"/>
          <w:sz w:val="24"/>
          <w:szCs w:val="24"/>
          <w:shd w:val="clear" w:color="auto" w:fill="F8F8F8"/>
        </w:rPr>
        <w:t>1. Zimmermann, Marita, et al. "Disease-modifying therapies for relapsing–remitting and primary progressive multiple sclerosis: a cost-utility analysis." </w:t>
      </w:r>
      <w:r w:rsidRPr="00FA3F9C">
        <w:rPr>
          <w:rFonts w:ascii="Arial" w:eastAsia="Times New Roman" w:hAnsi="Arial" w:cs="Arial"/>
          <w:i/>
          <w:iCs/>
          <w:color w:val="222222"/>
          <w:sz w:val="24"/>
          <w:szCs w:val="24"/>
          <w:shd w:val="clear" w:color="auto" w:fill="F8F8F8"/>
        </w:rPr>
        <w:t>CNS drugs</w:t>
      </w:r>
      <w:r w:rsidRPr="00FA3F9C">
        <w:rPr>
          <w:rFonts w:ascii="Arial" w:eastAsia="Times New Roman" w:hAnsi="Arial" w:cs="Arial"/>
          <w:color w:val="222222"/>
          <w:sz w:val="24"/>
          <w:szCs w:val="24"/>
          <w:shd w:val="clear" w:color="auto" w:fill="F8F8F8"/>
        </w:rPr>
        <w:t> 32.12 (2018): 1145-1157.</w:t>
      </w:r>
    </w:p>
    <w:p w14:paraId="0591F103" w14:textId="77777777" w:rsidR="00C3036D" w:rsidRPr="00FA3F9C" w:rsidRDefault="00C3036D" w:rsidP="006F623F">
      <w:pPr>
        <w:spacing w:after="0"/>
        <w:rPr>
          <w:rFonts w:ascii="Arial" w:hAnsi="Arial" w:cs="Arial"/>
          <w:sz w:val="24"/>
          <w:szCs w:val="24"/>
        </w:rPr>
      </w:pPr>
    </w:p>
    <w:p w14:paraId="4AD7AEFF" w14:textId="77777777" w:rsidR="00C3036D" w:rsidRPr="00FA3F9C" w:rsidRDefault="00C3036D" w:rsidP="006F623F">
      <w:pPr>
        <w:spacing w:after="0"/>
        <w:rPr>
          <w:rFonts w:ascii="Arial" w:hAnsi="Arial" w:cs="Arial"/>
          <w:sz w:val="24"/>
          <w:szCs w:val="24"/>
        </w:rPr>
      </w:pPr>
      <w:r w:rsidRPr="00FA3F9C">
        <w:rPr>
          <w:rFonts w:ascii="Arial" w:hAnsi="Arial" w:cs="Arial"/>
          <w:sz w:val="24"/>
          <w:szCs w:val="24"/>
        </w:rPr>
        <w:t>Revision History:</w:t>
      </w:r>
    </w:p>
    <w:tbl>
      <w:tblPr>
        <w:tblW w:w="108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7734"/>
        <w:gridCol w:w="1872"/>
      </w:tblGrid>
      <w:tr w:rsidR="00C3036D" w:rsidRPr="00FA3F9C" w14:paraId="41F9ED91" w14:textId="77777777" w:rsidTr="00303EB2">
        <w:tc>
          <w:tcPr>
            <w:tcW w:w="878" w:type="dxa"/>
          </w:tcPr>
          <w:p w14:paraId="4F613B3C" w14:textId="77777777" w:rsidR="00C3036D" w:rsidRPr="00FA3F9C" w:rsidRDefault="00C3036D" w:rsidP="007E170F">
            <w:pPr>
              <w:spacing w:after="0" w:line="240" w:lineRule="auto"/>
              <w:rPr>
                <w:rFonts w:ascii="Arial" w:hAnsi="Arial" w:cs="Arial"/>
                <w:sz w:val="24"/>
                <w:szCs w:val="24"/>
              </w:rPr>
            </w:pPr>
            <w:r w:rsidRPr="00FA3F9C">
              <w:rPr>
                <w:rFonts w:ascii="Arial" w:hAnsi="Arial" w:cs="Arial"/>
                <w:sz w:val="24"/>
                <w:szCs w:val="24"/>
              </w:rPr>
              <w:t>Date</w:t>
            </w:r>
          </w:p>
        </w:tc>
        <w:tc>
          <w:tcPr>
            <w:tcW w:w="8122" w:type="dxa"/>
          </w:tcPr>
          <w:p w14:paraId="602A5B64" w14:textId="77777777" w:rsidR="00C3036D" w:rsidRPr="00FA3F9C" w:rsidRDefault="00C3036D" w:rsidP="007E170F">
            <w:pPr>
              <w:spacing w:after="0" w:line="240" w:lineRule="auto"/>
              <w:rPr>
                <w:rFonts w:ascii="Arial" w:hAnsi="Arial" w:cs="Arial"/>
                <w:sz w:val="24"/>
                <w:szCs w:val="24"/>
              </w:rPr>
            </w:pPr>
            <w:r w:rsidRPr="00FA3F9C">
              <w:rPr>
                <w:rFonts w:ascii="Arial" w:hAnsi="Arial" w:cs="Arial"/>
                <w:sz w:val="24"/>
                <w:szCs w:val="24"/>
              </w:rPr>
              <w:t>What changed?</w:t>
            </w:r>
          </w:p>
        </w:tc>
        <w:tc>
          <w:tcPr>
            <w:tcW w:w="1890" w:type="dxa"/>
          </w:tcPr>
          <w:p w14:paraId="5400E910" w14:textId="77777777" w:rsidR="00C3036D" w:rsidRPr="00FA3F9C" w:rsidRDefault="00C3036D" w:rsidP="007E170F">
            <w:pPr>
              <w:spacing w:after="0" w:line="240" w:lineRule="auto"/>
              <w:rPr>
                <w:rFonts w:ascii="Arial" w:hAnsi="Arial" w:cs="Arial"/>
                <w:sz w:val="24"/>
                <w:szCs w:val="24"/>
              </w:rPr>
            </w:pPr>
            <w:r w:rsidRPr="00FA3F9C">
              <w:rPr>
                <w:rFonts w:ascii="Arial" w:hAnsi="Arial" w:cs="Arial"/>
                <w:sz w:val="24"/>
                <w:szCs w:val="24"/>
              </w:rPr>
              <w:t>Pharmacist’s initials</w:t>
            </w:r>
          </w:p>
        </w:tc>
      </w:tr>
      <w:tr w:rsidR="00C3036D" w:rsidRPr="00FA3F9C" w14:paraId="2D7B48F3" w14:textId="77777777" w:rsidTr="00303EB2">
        <w:tc>
          <w:tcPr>
            <w:tcW w:w="878" w:type="dxa"/>
          </w:tcPr>
          <w:p w14:paraId="2C1BBCF4" w14:textId="77777777" w:rsidR="00C3036D" w:rsidRPr="00FA3F9C" w:rsidRDefault="00C3036D" w:rsidP="007E170F">
            <w:pPr>
              <w:spacing w:after="0" w:line="240" w:lineRule="auto"/>
              <w:rPr>
                <w:rFonts w:ascii="Arial" w:hAnsi="Arial" w:cs="Arial"/>
                <w:sz w:val="24"/>
                <w:szCs w:val="24"/>
              </w:rPr>
            </w:pPr>
            <w:r w:rsidRPr="00FA3F9C">
              <w:rPr>
                <w:rFonts w:ascii="Arial" w:hAnsi="Arial" w:cs="Arial"/>
                <w:sz w:val="24"/>
                <w:szCs w:val="24"/>
              </w:rPr>
              <w:t>2/27/13</w:t>
            </w:r>
          </w:p>
        </w:tc>
        <w:tc>
          <w:tcPr>
            <w:tcW w:w="8122" w:type="dxa"/>
          </w:tcPr>
          <w:p w14:paraId="3F2C97FC" w14:textId="77777777" w:rsidR="00C3036D" w:rsidRPr="00FA3F9C" w:rsidRDefault="00C3036D" w:rsidP="007E170F">
            <w:pPr>
              <w:spacing w:after="0" w:line="240" w:lineRule="auto"/>
              <w:rPr>
                <w:rFonts w:ascii="Arial" w:hAnsi="Arial" w:cs="Arial"/>
                <w:sz w:val="24"/>
                <w:szCs w:val="24"/>
              </w:rPr>
            </w:pPr>
            <w:r w:rsidRPr="00FA3F9C">
              <w:rPr>
                <w:rFonts w:ascii="Arial" w:hAnsi="Arial" w:cs="Arial"/>
                <w:sz w:val="24"/>
                <w:szCs w:val="24"/>
              </w:rPr>
              <w:t>Jill created the criteria.</w:t>
            </w:r>
          </w:p>
        </w:tc>
        <w:tc>
          <w:tcPr>
            <w:tcW w:w="1890" w:type="dxa"/>
          </w:tcPr>
          <w:p w14:paraId="2CCF72FE" w14:textId="77777777" w:rsidR="00C3036D" w:rsidRPr="00FA3F9C" w:rsidRDefault="00C3036D" w:rsidP="007E170F">
            <w:pPr>
              <w:spacing w:after="0" w:line="240" w:lineRule="auto"/>
              <w:rPr>
                <w:rFonts w:ascii="Arial" w:hAnsi="Arial" w:cs="Arial"/>
                <w:sz w:val="24"/>
                <w:szCs w:val="24"/>
              </w:rPr>
            </w:pPr>
            <w:r w:rsidRPr="00FA3F9C">
              <w:rPr>
                <w:rFonts w:ascii="Arial" w:hAnsi="Arial" w:cs="Arial"/>
                <w:sz w:val="24"/>
                <w:szCs w:val="24"/>
              </w:rPr>
              <w:t>JJ</w:t>
            </w:r>
          </w:p>
        </w:tc>
      </w:tr>
      <w:tr w:rsidR="00C3036D" w:rsidRPr="00FA3F9C" w14:paraId="4F5E4B65" w14:textId="77777777" w:rsidTr="00303EB2">
        <w:tc>
          <w:tcPr>
            <w:tcW w:w="878" w:type="dxa"/>
          </w:tcPr>
          <w:p w14:paraId="6DAA6179" w14:textId="77777777" w:rsidR="00C3036D" w:rsidRPr="00FA3F9C" w:rsidRDefault="00C3036D" w:rsidP="007E170F">
            <w:pPr>
              <w:spacing w:after="0" w:line="240" w:lineRule="auto"/>
              <w:rPr>
                <w:rFonts w:ascii="Arial" w:hAnsi="Arial" w:cs="Arial"/>
                <w:sz w:val="24"/>
                <w:szCs w:val="24"/>
              </w:rPr>
            </w:pPr>
            <w:r w:rsidRPr="00FA3F9C">
              <w:rPr>
                <w:rFonts w:ascii="Arial" w:hAnsi="Arial" w:cs="Arial"/>
                <w:sz w:val="24"/>
                <w:szCs w:val="24"/>
              </w:rPr>
              <w:t>5/5/14</w:t>
            </w:r>
          </w:p>
        </w:tc>
        <w:tc>
          <w:tcPr>
            <w:tcW w:w="8122" w:type="dxa"/>
          </w:tcPr>
          <w:p w14:paraId="3C6A5EEF" w14:textId="77777777" w:rsidR="00C3036D" w:rsidRPr="00FA3F9C" w:rsidRDefault="00C3036D" w:rsidP="007E170F">
            <w:pPr>
              <w:spacing w:after="0" w:line="240" w:lineRule="auto"/>
              <w:rPr>
                <w:rFonts w:ascii="Arial" w:hAnsi="Arial" w:cs="Arial"/>
                <w:sz w:val="24"/>
                <w:szCs w:val="24"/>
              </w:rPr>
            </w:pPr>
            <w:r w:rsidRPr="00FA3F9C">
              <w:rPr>
                <w:rFonts w:ascii="Arial" w:hAnsi="Arial" w:cs="Arial"/>
                <w:sz w:val="24"/>
                <w:szCs w:val="24"/>
              </w:rPr>
              <w:t xml:space="preserve">I added the 1/1 QL and the statement about no overlapping </w:t>
            </w:r>
            <w:proofErr w:type="spellStart"/>
            <w:r w:rsidRPr="00FA3F9C">
              <w:rPr>
                <w:rFonts w:ascii="Arial" w:hAnsi="Arial" w:cs="Arial"/>
                <w:sz w:val="24"/>
                <w:szCs w:val="24"/>
              </w:rPr>
              <w:t>days</w:t>
            </w:r>
            <w:proofErr w:type="spellEnd"/>
            <w:r w:rsidRPr="00FA3F9C">
              <w:rPr>
                <w:rFonts w:ascii="Arial" w:hAnsi="Arial" w:cs="Arial"/>
                <w:sz w:val="24"/>
                <w:szCs w:val="24"/>
              </w:rPr>
              <w:t xml:space="preserve"> supply with other MS therapy.</w:t>
            </w:r>
          </w:p>
        </w:tc>
        <w:tc>
          <w:tcPr>
            <w:tcW w:w="1890" w:type="dxa"/>
          </w:tcPr>
          <w:p w14:paraId="57C8D9F4" w14:textId="77777777" w:rsidR="00C3036D" w:rsidRPr="00FA3F9C" w:rsidRDefault="00C3036D" w:rsidP="007E170F">
            <w:pPr>
              <w:spacing w:after="0" w:line="240" w:lineRule="auto"/>
              <w:rPr>
                <w:rFonts w:ascii="Arial" w:hAnsi="Arial" w:cs="Arial"/>
                <w:sz w:val="24"/>
                <w:szCs w:val="24"/>
              </w:rPr>
            </w:pPr>
            <w:r w:rsidRPr="00FA3F9C">
              <w:rPr>
                <w:rFonts w:ascii="Arial" w:hAnsi="Arial" w:cs="Arial"/>
                <w:sz w:val="24"/>
                <w:szCs w:val="24"/>
              </w:rPr>
              <w:t>JJ</w:t>
            </w:r>
          </w:p>
        </w:tc>
      </w:tr>
      <w:tr w:rsidR="00C3036D" w:rsidRPr="00FA3F9C" w14:paraId="2A9662DD" w14:textId="77777777" w:rsidTr="00303EB2">
        <w:tc>
          <w:tcPr>
            <w:tcW w:w="878" w:type="dxa"/>
          </w:tcPr>
          <w:p w14:paraId="6F7F2ECA" w14:textId="77777777" w:rsidR="00C3036D" w:rsidRPr="00FA3F9C" w:rsidRDefault="00C3036D" w:rsidP="007E170F">
            <w:pPr>
              <w:spacing w:after="0" w:line="240" w:lineRule="auto"/>
              <w:rPr>
                <w:rFonts w:ascii="Arial" w:hAnsi="Arial" w:cs="Arial"/>
                <w:sz w:val="24"/>
                <w:szCs w:val="24"/>
              </w:rPr>
            </w:pPr>
            <w:r w:rsidRPr="00FA3F9C">
              <w:rPr>
                <w:rFonts w:ascii="Arial" w:hAnsi="Arial" w:cs="Arial"/>
                <w:sz w:val="24"/>
                <w:szCs w:val="24"/>
              </w:rPr>
              <w:t>5/20/14</w:t>
            </w:r>
          </w:p>
        </w:tc>
        <w:tc>
          <w:tcPr>
            <w:tcW w:w="8122" w:type="dxa"/>
          </w:tcPr>
          <w:p w14:paraId="7D32F80F" w14:textId="77777777" w:rsidR="00C3036D" w:rsidRPr="00FA3F9C" w:rsidRDefault="00C3036D" w:rsidP="007E170F">
            <w:pPr>
              <w:spacing w:after="0" w:line="240" w:lineRule="auto"/>
              <w:rPr>
                <w:rFonts w:ascii="Arial" w:hAnsi="Arial" w:cs="Arial"/>
                <w:sz w:val="24"/>
                <w:szCs w:val="24"/>
              </w:rPr>
            </w:pPr>
            <w:r w:rsidRPr="00FA3F9C">
              <w:rPr>
                <w:rFonts w:ascii="Arial" w:hAnsi="Arial" w:cs="Arial"/>
                <w:sz w:val="24"/>
                <w:szCs w:val="24"/>
              </w:rPr>
              <w:t>I added the requirement for new users to have tried Rebif as the interferon prior to access to teriflunomide.  Reference #4 added.</w:t>
            </w:r>
          </w:p>
        </w:tc>
        <w:tc>
          <w:tcPr>
            <w:tcW w:w="1890" w:type="dxa"/>
          </w:tcPr>
          <w:p w14:paraId="2763613F" w14:textId="77777777" w:rsidR="00C3036D" w:rsidRPr="00FA3F9C" w:rsidRDefault="00C3036D" w:rsidP="007E170F">
            <w:pPr>
              <w:spacing w:after="0" w:line="240" w:lineRule="auto"/>
              <w:rPr>
                <w:rFonts w:ascii="Arial" w:hAnsi="Arial" w:cs="Arial"/>
                <w:sz w:val="24"/>
                <w:szCs w:val="24"/>
              </w:rPr>
            </w:pPr>
            <w:r w:rsidRPr="00FA3F9C">
              <w:rPr>
                <w:rFonts w:ascii="Arial" w:hAnsi="Arial" w:cs="Arial"/>
                <w:sz w:val="24"/>
                <w:szCs w:val="24"/>
              </w:rPr>
              <w:t>JJ</w:t>
            </w:r>
          </w:p>
        </w:tc>
      </w:tr>
      <w:tr w:rsidR="00C3036D" w:rsidRPr="00FA3F9C" w14:paraId="7CF70A00" w14:textId="77777777" w:rsidTr="00303EB2">
        <w:tc>
          <w:tcPr>
            <w:tcW w:w="878" w:type="dxa"/>
          </w:tcPr>
          <w:p w14:paraId="665B7BDE" w14:textId="77777777" w:rsidR="00C3036D" w:rsidRPr="00FA3F9C" w:rsidRDefault="00C3036D" w:rsidP="007E170F">
            <w:pPr>
              <w:spacing w:after="0" w:line="240" w:lineRule="auto"/>
              <w:rPr>
                <w:rFonts w:ascii="Arial" w:hAnsi="Arial" w:cs="Arial"/>
                <w:sz w:val="24"/>
                <w:szCs w:val="24"/>
              </w:rPr>
            </w:pPr>
            <w:r w:rsidRPr="00FA3F9C">
              <w:rPr>
                <w:rFonts w:ascii="Arial" w:hAnsi="Arial" w:cs="Arial"/>
                <w:sz w:val="24"/>
                <w:szCs w:val="24"/>
              </w:rPr>
              <w:t>8/1/17</w:t>
            </w:r>
          </w:p>
        </w:tc>
        <w:tc>
          <w:tcPr>
            <w:tcW w:w="8122" w:type="dxa"/>
          </w:tcPr>
          <w:p w14:paraId="5EABEDB4" w14:textId="77777777" w:rsidR="00C3036D" w:rsidRPr="00FA3F9C" w:rsidRDefault="00C3036D" w:rsidP="007E170F">
            <w:pPr>
              <w:spacing w:after="0" w:line="240" w:lineRule="auto"/>
              <w:rPr>
                <w:rFonts w:ascii="Arial" w:hAnsi="Arial" w:cs="Arial"/>
                <w:sz w:val="24"/>
                <w:szCs w:val="24"/>
              </w:rPr>
            </w:pPr>
            <w:r w:rsidRPr="00FA3F9C">
              <w:rPr>
                <w:rFonts w:ascii="Arial" w:hAnsi="Arial" w:cs="Arial"/>
                <w:sz w:val="24"/>
                <w:szCs w:val="24"/>
              </w:rPr>
              <w:t xml:space="preserve">I removed the requirement to fail interferon first based on the ICER report that showed a similar point estimate for interferon and teriflunomide in reducing disability progression </w:t>
            </w:r>
          </w:p>
        </w:tc>
        <w:tc>
          <w:tcPr>
            <w:tcW w:w="1890" w:type="dxa"/>
          </w:tcPr>
          <w:p w14:paraId="04CB0E7A" w14:textId="77777777" w:rsidR="00C3036D" w:rsidRPr="00FA3F9C" w:rsidRDefault="00C3036D" w:rsidP="007E170F">
            <w:pPr>
              <w:spacing w:after="0" w:line="240" w:lineRule="auto"/>
              <w:rPr>
                <w:rFonts w:ascii="Arial" w:hAnsi="Arial" w:cs="Arial"/>
                <w:sz w:val="24"/>
                <w:szCs w:val="24"/>
              </w:rPr>
            </w:pPr>
            <w:r w:rsidRPr="00FA3F9C">
              <w:rPr>
                <w:rFonts w:ascii="Arial" w:hAnsi="Arial" w:cs="Arial"/>
                <w:sz w:val="24"/>
                <w:szCs w:val="24"/>
              </w:rPr>
              <w:t>JJ</w:t>
            </w:r>
          </w:p>
        </w:tc>
      </w:tr>
      <w:tr w:rsidR="00C3036D" w:rsidRPr="00FA3F9C" w14:paraId="78E83FA6" w14:textId="77777777" w:rsidTr="00303EB2">
        <w:tc>
          <w:tcPr>
            <w:tcW w:w="878" w:type="dxa"/>
          </w:tcPr>
          <w:p w14:paraId="2C479E3C" w14:textId="77777777" w:rsidR="00C3036D" w:rsidRPr="00FA3F9C" w:rsidRDefault="00C3036D" w:rsidP="007E170F">
            <w:pPr>
              <w:spacing w:after="0" w:line="240" w:lineRule="auto"/>
              <w:rPr>
                <w:rFonts w:ascii="Arial" w:hAnsi="Arial" w:cs="Arial"/>
                <w:sz w:val="24"/>
                <w:szCs w:val="24"/>
              </w:rPr>
            </w:pPr>
            <w:r w:rsidRPr="00FA3F9C">
              <w:rPr>
                <w:rFonts w:ascii="Arial" w:hAnsi="Arial" w:cs="Arial"/>
                <w:sz w:val="24"/>
                <w:szCs w:val="24"/>
              </w:rPr>
              <w:t>8/31/2020</w:t>
            </w:r>
          </w:p>
        </w:tc>
        <w:tc>
          <w:tcPr>
            <w:tcW w:w="8122" w:type="dxa"/>
          </w:tcPr>
          <w:p w14:paraId="528E1D91" w14:textId="77777777" w:rsidR="00C3036D" w:rsidRPr="00FA3F9C" w:rsidRDefault="00C3036D" w:rsidP="007E170F">
            <w:pPr>
              <w:spacing w:after="0" w:line="240" w:lineRule="auto"/>
              <w:rPr>
                <w:rFonts w:ascii="Arial" w:hAnsi="Arial" w:cs="Arial"/>
                <w:sz w:val="24"/>
                <w:szCs w:val="24"/>
              </w:rPr>
            </w:pPr>
            <w:r w:rsidRPr="00FA3F9C">
              <w:rPr>
                <w:rFonts w:ascii="Arial" w:hAnsi="Arial" w:cs="Arial"/>
                <w:sz w:val="24"/>
                <w:szCs w:val="24"/>
              </w:rPr>
              <w:t>I updated the criteria.  No effective changes.</w:t>
            </w:r>
          </w:p>
        </w:tc>
        <w:tc>
          <w:tcPr>
            <w:tcW w:w="1890" w:type="dxa"/>
          </w:tcPr>
          <w:p w14:paraId="31111F3D" w14:textId="77777777" w:rsidR="00C3036D" w:rsidRPr="00FA3F9C" w:rsidRDefault="00C3036D" w:rsidP="007E170F">
            <w:pPr>
              <w:spacing w:after="0" w:line="240" w:lineRule="auto"/>
              <w:rPr>
                <w:rFonts w:ascii="Arial" w:hAnsi="Arial" w:cs="Arial"/>
                <w:sz w:val="24"/>
                <w:szCs w:val="24"/>
              </w:rPr>
            </w:pPr>
            <w:r w:rsidRPr="00FA3F9C">
              <w:rPr>
                <w:rFonts w:ascii="Arial" w:hAnsi="Arial" w:cs="Arial"/>
                <w:sz w:val="24"/>
                <w:szCs w:val="24"/>
              </w:rPr>
              <w:t>JJ</w:t>
            </w:r>
          </w:p>
        </w:tc>
      </w:tr>
      <w:tr w:rsidR="00C3036D" w:rsidRPr="00FA3F9C" w14:paraId="70C94698" w14:textId="77777777" w:rsidTr="00303EB2">
        <w:tc>
          <w:tcPr>
            <w:tcW w:w="878" w:type="dxa"/>
          </w:tcPr>
          <w:p w14:paraId="00DEB101" w14:textId="77777777" w:rsidR="00C3036D" w:rsidRPr="00FA3F9C" w:rsidRDefault="00C3036D" w:rsidP="007E170F">
            <w:pPr>
              <w:spacing w:after="0" w:line="240" w:lineRule="auto"/>
              <w:rPr>
                <w:rFonts w:ascii="Arial" w:hAnsi="Arial" w:cs="Arial"/>
                <w:sz w:val="24"/>
                <w:szCs w:val="24"/>
              </w:rPr>
            </w:pPr>
            <w:r w:rsidRPr="00FA3F9C">
              <w:rPr>
                <w:rFonts w:ascii="Arial" w:hAnsi="Arial" w:cs="Arial"/>
                <w:sz w:val="24"/>
                <w:szCs w:val="24"/>
              </w:rPr>
              <w:t>4/7/21</w:t>
            </w:r>
          </w:p>
        </w:tc>
        <w:tc>
          <w:tcPr>
            <w:tcW w:w="8122" w:type="dxa"/>
          </w:tcPr>
          <w:p w14:paraId="7A3923D7" w14:textId="77777777" w:rsidR="00C3036D" w:rsidRPr="00FA3F9C" w:rsidRDefault="00C3036D" w:rsidP="007E170F">
            <w:pPr>
              <w:spacing w:after="0" w:line="240" w:lineRule="auto"/>
              <w:rPr>
                <w:rFonts w:ascii="Arial" w:hAnsi="Arial" w:cs="Arial"/>
                <w:sz w:val="24"/>
                <w:szCs w:val="24"/>
              </w:rPr>
            </w:pPr>
            <w:r w:rsidRPr="00FA3F9C">
              <w:rPr>
                <w:rFonts w:ascii="Arial" w:hAnsi="Arial" w:cs="Arial"/>
                <w:sz w:val="24"/>
                <w:szCs w:val="24"/>
              </w:rPr>
              <w:t>Applied EBRx criteria to UAS plan.</w:t>
            </w:r>
          </w:p>
        </w:tc>
        <w:tc>
          <w:tcPr>
            <w:tcW w:w="1890" w:type="dxa"/>
          </w:tcPr>
          <w:p w14:paraId="7D20DCF3" w14:textId="77777777" w:rsidR="00C3036D" w:rsidRPr="00FA3F9C" w:rsidRDefault="00C3036D" w:rsidP="007E170F">
            <w:pPr>
              <w:spacing w:after="0" w:line="240" w:lineRule="auto"/>
              <w:rPr>
                <w:rFonts w:ascii="Arial" w:hAnsi="Arial" w:cs="Arial"/>
                <w:sz w:val="24"/>
                <w:szCs w:val="24"/>
              </w:rPr>
            </w:pPr>
            <w:r w:rsidRPr="00FA3F9C">
              <w:rPr>
                <w:rFonts w:ascii="Arial" w:hAnsi="Arial" w:cs="Arial"/>
                <w:sz w:val="24"/>
                <w:szCs w:val="24"/>
              </w:rPr>
              <w:t>JJ</w:t>
            </w:r>
          </w:p>
        </w:tc>
      </w:tr>
      <w:tr w:rsidR="00C3036D" w:rsidRPr="00FA3F9C" w14:paraId="3FC2A5DA" w14:textId="77777777" w:rsidTr="00303EB2">
        <w:tc>
          <w:tcPr>
            <w:tcW w:w="878" w:type="dxa"/>
          </w:tcPr>
          <w:p w14:paraId="74A619D8" w14:textId="77777777" w:rsidR="00C3036D" w:rsidRPr="00FA3F9C" w:rsidRDefault="00C3036D" w:rsidP="007E170F">
            <w:pPr>
              <w:spacing w:after="0" w:line="240" w:lineRule="auto"/>
              <w:rPr>
                <w:rFonts w:ascii="Arial" w:hAnsi="Arial" w:cs="Arial"/>
                <w:sz w:val="24"/>
                <w:szCs w:val="24"/>
              </w:rPr>
            </w:pPr>
            <w:r w:rsidRPr="00FA3F9C">
              <w:rPr>
                <w:rFonts w:ascii="Arial" w:hAnsi="Arial" w:cs="Arial"/>
                <w:sz w:val="24"/>
                <w:szCs w:val="24"/>
              </w:rPr>
              <w:t>7/2021</w:t>
            </w:r>
          </w:p>
        </w:tc>
        <w:tc>
          <w:tcPr>
            <w:tcW w:w="8122" w:type="dxa"/>
          </w:tcPr>
          <w:p w14:paraId="233A7193" w14:textId="77777777" w:rsidR="00C3036D" w:rsidRPr="00FA3F9C" w:rsidRDefault="00C3036D" w:rsidP="00427B32">
            <w:pPr>
              <w:spacing w:after="0" w:line="240" w:lineRule="auto"/>
              <w:rPr>
                <w:rFonts w:ascii="Arial" w:hAnsi="Arial" w:cs="Arial"/>
                <w:sz w:val="24"/>
                <w:szCs w:val="24"/>
              </w:rPr>
            </w:pPr>
            <w:r w:rsidRPr="00FA3F9C">
              <w:rPr>
                <w:rFonts w:ascii="Arial" w:hAnsi="Arial" w:cs="Arial"/>
                <w:sz w:val="24"/>
                <w:szCs w:val="24"/>
              </w:rPr>
              <w:t xml:space="preserve">Added Item #4 above requiring all new requests to step through formulary agents, dimethyl fumarate, </w:t>
            </w:r>
            <w:proofErr w:type="spellStart"/>
            <w:r w:rsidRPr="00FA3F9C">
              <w:rPr>
                <w:rFonts w:ascii="Arial" w:hAnsi="Arial" w:cs="Arial"/>
                <w:sz w:val="24"/>
                <w:szCs w:val="24"/>
              </w:rPr>
              <w:t>Aubagio</w:t>
            </w:r>
            <w:proofErr w:type="spellEnd"/>
            <w:r w:rsidRPr="00FA3F9C">
              <w:rPr>
                <w:rFonts w:ascii="Arial" w:hAnsi="Arial" w:cs="Arial"/>
                <w:sz w:val="24"/>
                <w:szCs w:val="24"/>
              </w:rPr>
              <w:t xml:space="preserve">, or </w:t>
            </w:r>
            <w:proofErr w:type="spellStart"/>
            <w:r w:rsidRPr="00FA3F9C">
              <w:rPr>
                <w:rFonts w:ascii="Arial" w:hAnsi="Arial" w:cs="Arial"/>
                <w:sz w:val="24"/>
                <w:szCs w:val="24"/>
              </w:rPr>
              <w:t>Zeposia</w:t>
            </w:r>
            <w:proofErr w:type="spellEnd"/>
            <w:r w:rsidRPr="00FA3F9C">
              <w:rPr>
                <w:rFonts w:ascii="Arial" w:hAnsi="Arial" w:cs="Arial"/>
                <w:sz w:val="24"/>
                <w:szCs w:val="24"/>
              </w:rPr>
              <w:t xml:space="preserve"> before obtaining a non-formulary agent.</w:t>
            </w:r>
          </w:p>
        </w:tc>
        <w:tc>
          <w:tcPr>
            <w:tcW w:w="1890" w:type="dxa"/>
          </w:tcPr>
          <w:p w14:paraId="1423E2DB" w14:textId="77777777" w:rsidR="00C3036D" w:rsidRPr="00FA3F9C" w:rsidRDefault="00C3036D" w:rsidP="007E170F">
            <w:pPr>
              <w:spacing w:after="0" w:line="240" w:lineRule="auto"/>
              <w:rPr>
                <w:rFonts w:ascii="Arial" w:hAnsi="Arial" w:cs="Arial"/>
                <w:sz w:val="24"/>
                <w:szCs w:val="24"/>
              </w:rPr>
            </w:pPr>
            <w:r w:rsidRPr="00FA3F9C">
              <w:rPr>
                <w:rFonts w:ascii="Arial" w:hAnsi="Arial" w:cs="Arial"/>
                <w:sz w:val="24"/>
                <w:szCs w:val="24"/>
              </w:rPr>
              <w:t>DD</w:t>
            </w:r>
          </w:p>
        </w:tc>
      </w:tr>
    </w:tbl>
    <w:p w14:paraId="2961822D" w14:textId="77777777" w:rsidR="00C3036D" w:rsidRPr="00FA3F9C" w:rsidRDefault="00C3036D" w:rsidP="006F623F">
      <w:pPr>
        <w:spacing w:after="0"/>
        <w:rPr>
          <w:rFonts w:ascii="Arial" w:hAnsi="Arial" w:cs="Arial"/>
          <w:sz w:val="24"/>
          <w:szCs w:val="24"/>
        </w:rPr>
      </w:pPr>
    </w:p>
    <w:p w14:paraId="12547986" w14:textId="77777777" w:rsidR="00C3036D" w:rsidRPr="00FA3F9C" w:rsidRDefault="00C3036D" w:rsidP="0078218F">
      <w:pPr>
        <w:pStyle w:val="Heading2"/>
      </w:pPr>
      <w:bookmarkStart w:id="321" w:name="_Toc106369944"/>
      <w:r w:rsidRPr="00FA3F9C">
        <w:t>Tetrabenazine (</w:t>
      </w:r>
      <w:proofErr w:type="spellStart"/>
      <w:r w:rsidRPr="00FA3F9C">
        <w:t>Xenazine</w:t>
      </w:r>
      <w:proofErr w:type="spellEnd"/>
      <w:r w:rsidRPr="00FA3F9C">
        <w:t>)</w:t>
      </w:r>
      <w:bookmarkEnd w:id="321"/>
    </w:p>
    <w:p w14:paraId="4DC6BAE8" w14:textId="77777777" w:rsidR="00C3036D" w:rsidRPr="00FA3F9C" w:rsidRDefault="00C3036D" w:rsidP="006F623F">
      <w:pPr>
        <w:spacing w:after="0"/>
        <w:jc w:val="center"/>
        <w:rPr>
          <w:rFonts w:ascii="Arial" w:hAnsi="Arial" w:cs="Arial"/>
          <w:sz w:val="24"/>
          <w:szCs w:val="24"/>
        </w:rPr>
      </w:pPr>
      <w:r w:rsidRPr="00FA3F9C">
        <w:rPr>
          <w:rFonts w:ascii="Arial" w:hAnsi="Arial" w:cs="Arial"/>
          <w:sz w:val="24"/>
          <w:szCs w:val="24"/>
        </w:rPr>
        <w:t>EBRx PA Criteria</w:t>
      </w:r>
    </w:p>
    <w:p w14:paraId="5BFD3D15" w14:textId="77777777" w:rsidR="00C3036D" w:rsidRPr="00FA3F9C" w:rsidRDefault="00C3036D" w:rsidP="006F623F">
      <w:pPr>
        <w:spacing w:after="0"/>
        <w:rPr>
          <w:rFonts w:ascii="Arial" w:hAnsi="Arial" w:cs="Arial"/>
          <w:b/>
          <w:sz w:val="24"/>
          <w:szCs w:val="24"/>
          <w:u w:val="single"/>
        </w:rPr>
      </w:pPr>
    </w:p>
    <w:p w14:paraId="1D1D3090" w14:textId="77777777" w:rsidR="00C3036D" w:rsidRPr="00FA3F9C" w:rsidRDefault="00C3036D" w:rsidP="0041563F">
      <w:pPr>
        <w:spacing w:after="0"/>
        <w:rPr>
          <w:rFonts w:ascii="Arial" w:hAnsi="Arial" w:cs="Arial"/>
          <w:b/>
          <w:sz w:val="24"/>
          <w:szCs w:val="24"/>
        </w:rPr>
      </w:pPr>
      <w:r w:rsidRPr="00FA3F9C">
        <w:rPr>
          <w:rFonts w:ascii="Arial" w:hAnsi="Arial" w:cs="Arial"/>
          <w:b/>
          <w:sz w:val="24"/>
          <w:szCs w:val="24"/>
          <w:u w:val="single"/>
        </w:rPr>
        <w:lastRenderedPageBreak/>
        <w:t>FDA-approved for:</w:t>
      </w:r>
      <w:r w:rsidRPr="00FA3F9C">
        <w:rPr>
          <w:rFonts w:ascii="Arial" w:hAnsi="Arial" w:cs="Arial"/>
          <w:sz w:val="24"/>
          <w:szCs w:val="24"/>
        </w:rPr>
        <w:t xml:space="preserve">  </w:t>
      </w:r>
      <w:r w:rsidRPr="00FA3F9C">
        <w:rPr>
          <w:rFonts w:ascii="Arial" w:hAnsi="Arial" w:cs="Arial"/>
          <w:b/>
          <w:sz w:val="24"/>
          <w:szCs w:val="24"/>
        </w:rPr>
        <w:t>Chorea associated with Huntington disease</w:t>
      </w:r>
    </w:p>
    <w:p w14:paraId="03DCC74D" w14:textId="77777777" w:rsidR="00C3036D" w:rsidRPr="00FA3F9C" w:rsidRDefault="00C3036D" w:rsidP="0041563F">
      <w:pPr>
        <w:spacing w:after="0"/>
        <w:rPr>
          <w:rFonts w:ascii="Arial" w:hAnsi="Arial" w:cs="Arial"/>
          <w:b/>
          <w:sz w:val="24"/>
          <w:szCs w:val="24"/>
        </w:rPr>
      </w:pPr>
      <w:r w:rsidRPr="00FA3F9C">
        <w:rPr>
          <w:rFonts w:ascii="Arial" w:hAnsi="Arial" w:cs="Arial"/>
          <w:b/>
          <w:sz w:val="24"/>
          <w:szCs w:val="24"/>
        </w:rPr>
        <w:t>Off-label:</w:t>
      </w:r>
    </w:p>
    <w:p w14:paraId="47D69749" w14:textId="77777777" w:rsidR="00C3036D" w:rsidRPr="00FA3F9C" w:rsidRDefault="00C3036D" w:rsidP="00FC1E85">
      <w:pPr>
        <w:pStyle w:val="ListParagraph"/>
        <w:numPr>
          <w:ilvl w:val="0"/>
          <w:numId w:val="495"/>
        </w:numPr>
        <w:spacing w:after="0" w:line="276" w:lineRule="auto"/>
        <w:rPr>
          <w:rFonts w:ascii="Arial" w:hAnsi="Arial" w:cs="Arial"/>
          <w:b/>
          <w:sz w:val="24"/>
          <w:szCs w:val="24"/>
        </w:rPr>
      </w:pPr>
      <w:r w:rsidRPr="00FA3F9C">
        <w:rPr>
          <w:rFonts w:ascii="Arial" w:hAnsi="Arial" w:cs="Arial"/>
          <w:b/>
          <w:sz w:val="24"/>
          <w:szCs w:val="24"/>
        </w:rPr>
        <w:t xml:space="preserve">Tardive </w:t>
      </w:r>
      <w:proofErr w:type="gramStart"/>
      <w:r w:rsidRPr="00FA3F9C">
        <w:rPr>
          <w:rFonts w:ascii="Arial" w:hAnsi="Arial" w:cs="Arial"/>
          <w:b/>
          <w:sz w:val="24"/>
          <w:szCs w:val="24"/>
        </w:rPr>
        <w:t>dyskinesia;</w:t>
      </w:r>
      <w:proofErr w:type="gramEnd"/>
      <w:r w:rsidRPr="00FA3F9C">
        <w:rPr>
          <w:rFonts w:ascii="Arial" w:hAnsi="Arial" w:cs="Arial"/>
          <w:b/>
          <w:sz w:val="24"/>
          <w:szCs w:val="24"/>
        </w:rPr>
        <w:t xml:space="preserve"> Use has been substantiated by inclusion in at least one evidence-based or consensus-based clinical practice guideline.  Specifically, based on American Academy of Neurology guidelines, tetrabenazine is possibly effective and may be considered in the treatment of patients with tardive dyskinesia.  NOT A COVERED USE BECAUSE GINKGO BILOBA IS A LESS COSTLY, EFFECTIVE ALTERNATIVE.</w:t>
      </w:r>
    </w:p>
    <w:p w14:paraId="0E769BD9" w14:textId="77777777" w:rsidR="00C3036D" w:rsidRPr="00FA3F9C" w:rsidRDefault="00C3036D" w:rsidP="006F623F">
      <w:pPr>
        <w:spacing w:after="0"/>
        <w:rPr>
          <w:rFonts w:ascii="Arial" w:hAnsi="Arial" w:cs="Arial"/>
          <w:sz w:val="24"/>
          <w:szCs w:val="24"/>
        </w:rPr>
      </w:pPr>
    </w:p>
    <w:tbl>
      <w:tblPr>
        <w:tblStyle w:val="TableGrid"/>
        <w:tblW w:w="0" w:type="auto"/>
        <w:tblLook w:val="04A0" w:firstRow="1" w:lastRow="0" w:firstColumn="1" w:lastColumn="0" w:noHBand="0" w:noVBand="1"/>
      </w:tblPr>
      <w:tblGrid>
        <w:gridCol w:w="8745"/>
        <w:gridCol w:w="2045"/>
      </w:tblGrid>
      <w:tr w:rsidR="00C3036D" w:rsidRPr="00FA3F9C" w14:paraId="47A68CCC" w14:textId="77777777" w:rsidTr="0041563F">
        <w:tc>
          <w:tcPr>
            <w:tcW w:w="8745" w:type="dxa"/>
            <w:shd w:val="clear" w:color="auto" w:fill="000000"/>
          </w:tcPr>
          <w:p w14:paraId="77457C84" w14:textId="77777777" w:rsidR="00C3036D" w:rsidRPr="00FA3F9C" w:rsidRDefault="00C3036D"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45" w:type="dxa"/>
            <w:shd w:val="clear" w:color="auto" w:fill="000000"/>
          </w:tcPr>
          <w:p w14:paraId="3FC6C5FF" w14:textId="77777777" w:rsidR="00C3036D" w:rsidRPr="00FA3F9C" w:rsidRDefault="00C3036D" w:rsidP="006F623F">
            <w:pPr>
              <w:jc w:val="center"/>
              <w:rPr>
                <w:rFonts w:ascii="Arial" w:hAnsi="Arial" w:cs="Arial"/>
                <w:b/>
                <w:sz w:val="24"/>
                <w:szCs w:val="24"/>
                <w:u w:val="single"/>
              </w:rPr>
            </w:pPr>
          </w:p>
        </w:tc>
      </w:tr>
      <w:tr w:rsidR="00C3036D" w:rsidRPr="00FA3F9C" w14:paraId="14FC3DD8" w14:textId="77777777" w:rsidTr="0041563F">
        <w:tc>
          <w:tcPr>
            <w:tcW w:w="10790" w:type="dxa"/>
            <w:gridSpan w:val="2"/>
            <w:hideMark/>
          </w:tcPr>
          <w:p w14:paraId="5B743AAF" w14:textId="77777777" w:rsidR="00C3036D" w:rsidRPr="00FA3F9C" w:rsidRDefault="00C3036D" w:rsidP="0025235D">
            <w:pPr>
              <w:rPr>
                <w:rFonts w:ascii="Arial" w:hAnsi="Arial" w:cs="Arial"/>
                <w:sz w:val="24"/>
                <w:szCs w:val="24"/>
              </w:rPr>
            </w:pPr>
            <w:r w:rsidRPr="00FA3F9C">
              <w:rPr>
                <w:rFonts w:ascii="Arial" w:hAnsi="Arial" w:cs="Arial"/>
                <w:sz w:val="24"/>
                <w:szCs w:val="24"/>
              </w:rPr>
              <w:t xml:space="preserve">1. The patient must have the diagnosis of Huntington’s Disease with </w:t>
            </w:r>
            <w:proofErr w:type="spellStart"/>
            <w:r w:rsidRPr="00FA3F9C">
              <w:rPr>
                <w:rFonts w:ascii="Arial" w:hAnsi="Arial" w:cs="Arial"/>
                <w:sz w:val="24"/>
                <w:szCs w:val="24"/>
              </w:rPr>
              <w:t>choreaform</w:t>
            </w:r>
            <w:proofErr w:type="spellEnd"/>
            <w:r w:rsidRPr="00FA3F9C">
              <w:rPr>
                <w:rFonts w:ascii="Arial" w:hAnsi="Arial" w:cs="Arial"/>
                <w:sz w:val="24"/>
                <w:szCs w:val="24"/>
              </w:rPr>
              <w:t xml:space="preserve"> movements.</w:t>
            </w:r>
          </w:p>
        </w:tc>
      </w:tr>
      <w:tr w:rsidR="00C3036D" w:rsidRPr="00FA3F9C" w14:paraId="612E0774" w14:textId="77777777" w:rsidTr="0041563F">
        <w:tc>
          <w:tcPr>
            <w:tcW w:w="10790" w:type="dxa"/>
            <w:gridSpan w:val="2"/>
            <w:hideMark/>
          </w:tcPr>
          <w:p w14:paraId="2BDD3B05" w14:textId="77777777" w:rsidR="00C3036D" w:rsidRPr="00FA3F9C" w:rsidRDefault="00C3036D">
            <w:pPr>
              <w:rPr>
                <w:rFonts w:ascii="Arial" w:hAnsi="Arial" w:cs="Arial"/>
                <w:sz w:val="24"/>
                <w:szCs w:val="24"/>
              </w:rPr>
            </w:pPr>
            <w:r w:rsidRPr="00FA3F9C">
              <w:rPr>
                <w:rFonts w:ascii="Arial" w:hAnsi="Arial" w:cs="Arial"/>
                <w:sz w:val="24"/>
                <w:szCs w:val="24"/>
              </w:rPr>
              <w:t xml:space="preserve">2. If the dose requested is above 50mg daily, CYP2D6 genotyping must be </w:t>
            </w:r>
            <w:proofErr w:type="gramStart"/>
            <w:r w:rsidRPr="00FA3F9C">
              <w:rPr>
                <w:rFonts w:ascii="Arial" w:hAnsi="Arial" w:cs="Arial"/>
                <w:sz w:val="24"/>
                <w:szCs w:val="24"/>
              </w:rPr>
              <w:t>completed</w:t>
            </w:r>
            <w:proofErr w:type="gramEnd"/>
            <w:r w:rsidRPr="00FA3F9C">
              <w:rPr>
                <w:rFonts w:ascii="Arial" w:hAnsi="Arial" w:cs="Arial"/>
                <w:sz w:val="24"/>
                <w:szCs w:val="24"/>
              </w:rPr>
              <w:t xml:space="preserve"> and results provided to call center.</w:t>
            </w:r>
          </w:p>
        </w:tc>
      </w:tr>
      <w:tr w:rsidR="00C3036D" w:rsidRPr="00FA3F9C" w14:paraId="784EC287" w14:textId="77777777" w:rsidTr="0041563F">
        <w:tc>
          <w:tcPr>
            <w:tcW w:w="10790" w:type="dxa"/>
            <w:gridSpan w:val="2"/>
            <w:hideMark/>
          </w:tcPr>
          <w:p w14:paraId="3DE0E8C6" w14:textId="77777777" w:rsidR="00C3036D" w:rsidRPr="00FA3F9C" w:rsidRDefault="00C3036D">
            <w:pPr>
              <w:rPr>
                <w:rFonts w:ascii="Arial" w:hAnsi="Arial" w:cs="Arial"/>
                <w:sz w:val="24"/>
                <w:szCs w:val="24"/>
              </w:rPr>
            </w:pPr>
            <w:r w:rsidRPr="00FA3F9C">
              <w:rPr>
                <w:rFonts w:ascii="Arial" w:hAnsi="Arial" w:cs="Arial"/>
                <w:sz w:val="24"/>
                <w:szCs w:val="24"/>
              </w:rPr>
              <w:t>3. The patient must NOT have hepatic impairment.  (USE IS CONTRAINDICATED.)</w:t>
            </w:r>
          </w:p>
        </w:tc>
      </w:tr>
      <w:tr w:rsidR="00C3036D" w:rsidRPr="00FA3F9C" w14:paraId="3B5781F3" w14:textId="77777777" w:rsidTr="0041563F">
        <w:tc>
          <w:tcPr>
            <w:tcW w:w="10790" w:type="dxa"/>
            <w:gridSpan w:val="2"/>
            <w:hideMark/>
          </w:tcPr>
          <w:p w14:paraId="0089A3A4" w14:textId="77777777" w:rsidR="00C3036D" w:rsidRPr="00FA3F9C" w:rsidRDefault="00C3036D">
            <w:pPr>
              <w:rPr>
                <w:rFonts w:ascii="Arial" w:hAnsi="Arial" w:cs="Arial"/>
                <w:sz w:val="24"/>
                <w:szCs w:val="24"/>
              </w:rPr>
            </w:pPr>
            <w:r w:rsidRPr="00FA3F9C">
              <w:rPr>
                <w:rFonts w:ascii="Arial" w:hAnsi="Arial" w:cs="Arial"/>
                <w:sz w:val="24"/>
                <w:szCs w:val="24"/>
              </w:rPr>
              <w:t>4. The patient must NOT have taken reserpine in the last 20 days or an MAOI in the last 14 days. (CONTRAINDICATED)</w:t>
            </w:r>
          </w:p>
        </w:tc>
      </w:tr>
      <w:tr w:rsidR="00C3036D" w:rsidRPr="00FA3F9C" w14:paraId="3E5669A5" w14:textId="77777777" w:rsidTr="0041563F">
        <w:tc>
          <w:tcPr>
            <w:tcW w:w="10790" w:type="dxa"/>
            <w:gridSpan w:val="2"/>
          </w:tcPr>
          <w:p w14:paraId="27212A09" w14:textId="77777777" w:rsidR="00C3036D" w:rsidRPr="00FA3F9C" w:rsidRDefault="00C3036D" w:rsidP="006F623F">
            <w:pPr>
              <w:rPr>
                <w:rFonts w:ascii="Arial" w:hAnsi="Arial" w:cs="Arial"/>
                <w:sz w:val="24"/>
                <w:szCs w:val="24"/>
              </w:rPr>
            </w:pPr>
            <w:r w:rsidRPr="00FA3F9C">
              <w:rPr>
                <w:rFonts w:ascii="Arial" w:hAnsi="Arial" w:cs="Arial"/>
                <w:sz w:val="24"/>
                <w:szCs w:val="24"/>
              </w:rPr>
              <w:t xml:space="preserve">5. The patient must NOT co-administer with </w:t>
            </w:r>
            <w:proofErr w:type="spellStart"/>
            <w:r w:rsidRPr="00FA3F9C">
              <w:rPr>
                <w:rFonts w:ascii="Arial" w:hAnsi="Arial" w:cs="Arial"/>
                <w:sz w:val="24"/>
                <w:szCs w:val="24"/>
              </w:rPr>
              <w:t>deutetrabenazine</w:t>
            </w:r>
            <w:proofErr w:type="spellEnd"/>
            <w:r w:rsidRPr="00FA3F9C">
              <w:rPr>
                <w:rFonts w:ascii="Arial" w:hAnsi="Arial" w:cs="Arial"/>
                <w:sz w:val="24"/>
                <w:szCs w:val="24"/>
              </w:rPr>
              <w:t xml:space="preserve"> or </w:t>
            </w:r>
            <w:proofErr w:type="spellStart"/>
            <w:r w:rsidRPr="00FA3F9C">
              <w:rPr>
                <w:rFonts w:ascii="Arial" w:hAnsi="Arial" w:cs="Arial"/>
                <w:sz w:val="24"/>
                <w:szCs w:val="24"/>
              </w:rPr>
              <w:t>valbenazine</w:t>
            </w:r>
            <w:proofErr w:type="spellEnd"/>
            <w:r w:rsidRPr="00FA3F9C">
              <w:rPr>
                <w:rFonts w:ascii="Arial" w:hAnsi="Arial" w:cs="Arial"/>
                <w:sz w:val="24"/>
                <w:szCs w:val="24"/>
              </w:rPr>
              <w:t xml:space="preserve"> (CONTRAINDICATED)</w:t>
            </w:r>
          </w:p>
        </w:tc>
      </w:tr>
    </w:tbl>
    <w:p w14:paraId="141FB8A2" w14:textId="77777777" w:rsidR="00C3036D" w:rsidRPr="00FA3F9C" w:rsidRDefault="00C3036D" w:rsidP="006F623F">
      <w:pPr>
        <w:spacing w:after="0"/>
        <w:rPr>
          <w:rFonts w:ascii="Arial" w:hAnsi="Arial" w:cs="Arial"/>
          <w:b/>
          <w:sz w:val="24"/>
          <w:szCs w:val="24"/>
          <w:u w:val="single"/>
        </w:rPr>
      </w:pPr>
    </w:p>
    <w:p w14:paraId="1FFAE297" w14:textId="77777777" w:rsidR="00C3036D" w:rsidRPr="00FA3F9C" w:rsidRDefault="00C3036D" w:rsidP="006F623F">
      <w:pPr>
        <w:spacing w:after="0"/>
        <w:rPr>
          <w:rFonts w:ascii="Arial" w:hAnsi="Arial" w:cs="Arial"/>
          <w:sz w:val="24"/>
          <w:szCs w:val="24"/>
        </w:rPr>
      </w:pPr>
      <w:r w:rsidRPr="00FA3F9C">
        <w:rPr>
          <w:rFonts w:ascii="Arial" w:hAnsi="Arial" w:cs="Arial"/>
          <w:b/>
          <w:sz w:val="24"/>
          <w:szCs w:val="24"/>
        </w:rPr>
        <w:t>For the treatment of chorea in HD</w:t>
      </w:r>
      <w:r w:rsidRPr="00FA3F9C">
        <w:rPr>
          <w:rFonts w:ascii="Arial" w:hAnsi="Arial" w:cs="Arial"/>
          <w:sz w:val="24"/>
          <w:szCs w:val="24"/>
        </w:rPr>
        <w:t>:</w:t>
      </w:r>
    </w:p>
    <w:p w14:paraId="76D3761F" w14:textId="77777777" w:rsidR="00C3036D" w:rsidRPr="00FA3F9C" w:rsidRDefault="00C3036D" w:rsidP="006F623F">
      <w:pPr>
        <w:spacing w:after="0"/>
        <w:rPr>
          <w:rFonts w:ascii="Arial" w:hAnsi="Arial" w:cs="Arial"/>
          <w:sz w:val="24"/>
          <w:szCs w:val="24"/>
        </w:rPr>
      </w:pPr>
      <w:r w:rsidRPr="00FA3F9C">
        <w:rPr>
          <w:rFonts w:ascii="Arial" w:hAnsi="Arial" w:cs="Arial"/>
          <w:sz w:val="24"/>
          <w:szCs w:val="24"/>
        </w:rPr>
        <w:t>“There is moderate evidence that the drug tetrabenazine (TBZ) can be helpful.”(8)</w:t>
      </w:r>
    </w:p>
    <w:p w14:paraId="2967771A" w14:textId="77777777" w:rsidR="00C3036D" w:rsidRPr="00FA3F9C" w:rsidRDefault="00C3036D" w:rsidP="006F623F">
      <w:pPr>
        <w:spacing w:after="0"/>
        <w:rPr>
          <w:rFonts w:ascii="Arial" w:hAnsi="Arial" w:cs="Arial"/>
          <w:sz w:val="24"/>
          <w:szCs w:val="24"/>
        </w:rPr>
      </w:pPr>
      <w:r w:rsidRPr="00FA3F9C">
        <w:rPr>
          <w:rFonts w:ascii="Arial" w:hAnsi="Arial" w:cs="Arial"/>
          <w:b/>
          <w:sz w:val="24"/>
          <w:szCs w:val="24"/>
        </w:rPr>
        <w:t>Lack of efficacy in TD</w:t>
      </w:r>
      <w:r w:rsidRPr="00FA3F9C">
        <w:rPr>
          <w:rFonts w:ascii="Arial" w:hAnsi="Arial" w:cs="Arial"/>
          <w:sz w:val="24"/>
          <w:szCs w:val="24"/>
        </w:rPr>
        <w:t>:</w:t>
      </w:r>
    </w:p>
    <w:p w14:paraId="0150F365" w14:textId="77777777" w:rsidR="00C3036D" w:rsidRPr="00FA3F9C" w:rsidRDefault="00C3036D" w:rsidP="00EF35C8">
      <w:pPr>
        <w:spacing w:after="0"/>
        <w:rPr>
          <w:rFonts w:ascii="Arial" w:hAnsi="Arial" w:cs="Arial"/>
          <w:color w:val="000000"/>
          <w:sz w:val="24"/>
          <w:szCs w:val="24"/>
          <w:shd w:val="clear" w:color="auto" w:fill="FFFFFF"/>
        </w:rPr>
      </w:pPr>
      <w:r w:rsidRPr="00FA3F9C">
        <w:rPr>
          <w:rFonts w:ascii="Arial" w:hAnsi="Arial" w:cs="Arial"/>
          <w:color w:val="000000"/>
          <w:sz w:val="24"/>
          <w:szCs w:val="24"/>
          <w:shd w:val="clear" w:color="auto" w:fill="FFFFFF"/>
        </w:rPr>
        <w:t>“4.1 TD symptoms 4.1.1 Not improved to a clinically important extent</w:t>
      </w:r>
    </w:p>
    <w:p w14:paraId="19962018" w14:textId="77777777" w:rsidR="00C3036D" w:rsidRPr="00FA3F9C" w:rsidRDefault="00C3036D" w:rsidP="00EF35C8">
      <w:pPr>
        <w:spacing w:after="0"/>
        <w:rPr>
          <w:rFonts w:ascii="Arial" w:hAnsi="Arial" w:cs="Arial"/>
          <w:color w:val="000000"/>
          <w:sz w:val="24"/>
          <w:szCs w:val="24"/>
          <w:shd w:val="clear" w:color="auto" w:fill="FFFFFF"/>
        </w:rPr>
      </w:pPr>
      <w:r w:rsidRPr="00FA3F9C">
        <w:rPr>
          <w:rFonts w:ascii="Arial" w:hAnsi="Arial" w:cs="Arial"/>
          <w:color w:val="000000"/>
          <w:sz w:val="24"/>
          <w:szCs w:val="24"/>
          <w:shd w:val="clear" w:color="auto" w:fill="FFFFFF"/>
        </w:rPr>
        <w:t>We found no significant benefit of tetrabenazine over haloperidol for 'no clinically relevant improvement after 18 weeks' treatment' (1 trial, 13 people; RR 0.93, 95% CI 0.45 to 1.95; Analysis 4.1)”</w:t>
      </w:r>
      <w:r w:rsidRPr="00FA3F9C">
        <w:rPr>
          <w:rFonts w:ascii="Arial" w:hAnsi="Arial" w:cs="Arial"/>
          <w:color w:val="000000"/>
          <w:sz w:val="24"/>
          <w:szCs w:val="24"/>
          <w:shd w:val="clear" w:color="auto" w:fill="FFFFFF"/>
          <w:vertAlign w:val="superscript"/>
        </w:rPr>
        <w:t>7</w:t>
      </w:r>
    </w:p>
    <w:p w14:paraId="2F59E740" w14:textId="77777777" w:rsidR="00C3036D" w:rsidRPr="00FA3F9C" w:rsidRDefault="00C3036D" w:rsidP="0025235D">
      <w:pPr>
        <w:spacing w:after="0"/>
        <w:rPr>
          <w:rFonts w:ascii="Arial" w:hAnsi="Arial" w:cs="Arial"/>
          <w:sz w:val="24"/>
          <w:szCs w:val="24"/>
        </w:rPr>
      </w:pPr>
      <w:r w:rsidRPr="00FA3F9C">
        <w:rPr>
          <w:rFonts w:ascii="Arial" w:hAnsi="Arial" w:cs="Arial"/>
          <w:b/>
          <w:bCs/>
          <w:sz w:val="24"/>
          <w:szCs w:val="24"/>
        </w:rPr>
        <w:t xml:space="preserve">Quantity Limits: </w:t>
      </w:r>
      <w:r w:rsidRPr="00FA3F9C">
        <w:rPr>
          <w:rFonts w:ascii="Arial" w:hAnsi="Arial" w:cs="Arial"/>
          <w:sz w:val="24"/>
          <w:szCs w:val="24"/>
        </w:rPr>
        <w:t xml:space="preserve">30 </w:t>
      </w:r>
      <w:proofErr w:type="spellStart"/>
      <w:r w:rsidRPr="00FA3F9C">
        <w:rPr>
          <w:rFonts w:ascii="Arial" w:hAnsi="Arial" w:cs="Arial"/>
          <w:sz w:val="24"/>
          <w:szCs w:val="24"/>
        </w:rPr>
        <w:t>days</w:t>
      </w:r>
      <w:proofErr w:type="spellEnd"/>
      <w:r w:rsidRPr="00FA3F9C">
        <w:rPr>
          <w:rFonts w:ascii="Arial" w:hAnsi="Arial" w:cs="Arial"/>
          <w:sz w:val="24"/>
          <w:szCs w:val="24"/>
        </w:rPr>
        <w:t xml:space="preserve"> supply, max 100 mg daily dose, 3000 mg/month </w:t>
      </w:r>
    </w:p>
    <w:p w14:paraId="27095FE0" w14:textId="77777777" w:rsidR="00C3036D" w:rsidRPr="00FA3F9C" w:rsidRDefault="00C3036D" w:rsidP="00851D59">
      <w:pPr>
        <w:pStyle w:val="NoSpacing"/>
        <w:rPr>
          <w:rFonts w:ascii="Arial" w:hAnsi="Arial" w:cs="Arial"/>
          <w:sz w:val="24"/>
          <w:szCs w:val="24"/>
        </w:rPr>
      </w:pPr>
      <w:r w:rsidRPr="00FA3F9C">
        <w:rPr>
          <w:rFonts w:ascii="Arial" w:hAnsi="Arial" w:cs="Arial"/>
          <w:b/>
          <w:bCs/>
          <w:sz w:val="24"/>
          <w:szCs w:val="24"/>
        </w:rPr>
        <w:t xml:space="preserve">AWP-November 2019: </w:t>
      </w:r>
      <w:r w:rsidRPr="00FA3F9C">
        <w:rPr>
          <w:rFonts w:ascii="Arial" w:hAnsi="Arial" w:cs="Arial"/>
          <w:sz w:val="24"/>
          <w:szCs w:val="24"/>
        </w:rPr>
        <w:t>12.5 mg/$ 15.70-78.81, 25 mg/$ 31.39-157.62</w:t>
      </w:r>
    </w:p>
    <w:p w14:paraId="2DAFD97F" w14:textId="77777777" w:rsidR="00C3036D" w:rsidRPr="00FA3F9C" w:rsidRDefault="00C3036D" w:rsidP="00492C12">
      <w:pPr>
        <w:spacing w:after="0"/>
        <w:rPr>
          <w:rFonts w:ascii="Arial" w:hAnsi="Arial" w:cs="Arial"/>
          <w:b/>
          <w:sz w:val="24"/>
          <w:szCs w:val="24"/>
        </w:rPr>
      </w:pPr>
    </w:p>
    <w:p w14:paraId="4E37B969" w14:textId="77777777" w:rsidR="00C3036D" w:rsidRPr="00FA3F9C" w:rsidRDefault="00C3036D" w:rsidP="00492C12">
      <w:pPr>
        <w:spacing w:after="0"/>
        <w:rPr>
          <w:rFonts w:ascii="Arial" w:hAnsi="Arial" w:cs="Arial"/>
          <w:b/>
          <w:sz w:val="24"/>
          <w:szCs w:val="24"/>
        </w:rPr>
      </w:pPr>
      <w:r w:rsidRPr="00FA3F9C">
        <w:rPr>
          <w:rFonts w:ascii="Arial" w:hAnsi="Arial" w:cs="Arial"/>
          <w:b/>
          <w:sz w:val="24"/>
          <w:szCs w:val="24"/>
        </w:rPr>
        <w:t>References:</w:t>
      </w:r>
    </w:p>
    <w:p w14:paraId="4AD0D24A" w14:textId="77777777" w:rsidR="00C3036D" w:rsidRPr="00FA3F9C" w:rsidRDefault="00C3036D" w:rsidP="00492C12">
      <w:pPr>
        <w:spacing w:after="0"/>
        <w:rPr>
          <w:rFonts w:ascii="Arial" w:hAnsi="Arial" w:cs="Arial"/>
          <w:sz w:val="24"/>
          <w:szCs w:val="24"/>
        </w:rPr>
      </w:pPr>
      <w:r w:rsidRPr="00FA3F9C">
        <w:rPr>
          <w:rFonts w:ascii="Arial" w:hAnsi="Arial" w:cs="Arial"/>
          <w:sz w:val="24"/>
          <w:szCs w:val="24"/>
        </w:rPr>
        <w:t>1. Lexicomp.  Tetrabenazine pricing and FDA approval.  Accessed 11/23/19.</w:t>
      </w:r>
    </w:p>
    <w:p w14:paraId="48203AA6" w14:textId="77777777" w:rsidR="00C3036D" w:rsidRPr="00FA3F9C" w:rsidRDefault="00C3036D" w:rsidP="00492C12">
      <w:pPr>
        <w:spacing w:after="0" w:line="240" w:lineRule="auto"/>
        <w:rPr>
          <w:rFonts w:ascii="Arial" w:eastAsia="Times New Roman" w:hAnsi="Arial" w:cs="Arial"/>
          <w:color w:val="222222"/>
          <w:sz w:val="24"/>
          <w:szCs w:val="24"/>
          <w:shd w:val="clear" w:color="auto" w:fill="F8F8F8"/>
        </w:rPr>
      </w:pPr>
      <w:r w:rsidRPr="00FA3F9C">
        <w:rPr>
          <w:rFonts w:ascii="Arial" w:hAnsi="Arial" w:cs="Arial"/>
          <w:sz w:val="24"/>
          <w:szCs w:val="24"/>
        </w:rPr>
        <w:t xml:space="preserve">2. </w:t>
      </w:r>
      <w:r w:rsidRPr="00FA3F9C">
        <w:rPr>
          <w:rFonts w:ascii="Arial" w:eastAsia="Times New Roman" w:hAnsi="Arial" w:cs="Arial"/>
          <w:color w:val="222222"/>
          <w:sz w:val="24"/>
          <w:szCs w:val="24"/>
          <w:shd w:val="clear" w:color="auto" w:fill="F8F8F8"/>
        </w:rPr>
        <w:t>Soares</w:t>
      </w:r>
      <w:r w:rsidRPr="00FA3F9C">
        <w:rPr>
          <w:rFonts w:ascii="Cambria Math" w:eastAsia="Times New Roman" w:hAnsi="Cambria Math" w:cs="Cambria Math"/>
          <w:color w:val="222222"/>
          <w:sz w:val="24"/>
          <w:szCs w:val="24"/>
          <w:shd w:val="clear" w:color="auto" w:fill="F8F8F8"/>
        </w:rPr>
        <w:t>‐</w:t>
      </w:r>
      <w:r w:rsidRPr="00FA3F9C">
        <w:rPr>
          <w:rFonts w:ascii="Arial" w:eastAsia="Times New Roman" w:hAnsi="Arial" w:cs="Arial"/>
          <w:color w:val="222222"/>
          <w:sz w:val="24"/>
          <w:szCs w:val="24"/>
          <w:shd w:val="clear" w:color="auto" w:fill="F8F8F8"/>
        </w:rPr>
        <w:t>Weiser, Karla, et al. "Miscellaneous treatments for antipsychotic</w:t>
      </w:r>
      <w:r w:rsidRPr="00FA3F9C">
        <w:rPr>
          <w:rFonts w:ascii="Cambria Math" w:eastAsia="Times New Roman" w:hAnsi="Cambria Math" w:cs="Cambria Math"/>
          <w:color w:val="222222"/>
          <w:sz w:val="24"/>
          <w:szCs w:val="24"/>
          <w:shd w:val="clear" w:color="auto" w:fill="F8F8F8"/>
        </w:rPr>
        <w:t>‐</w:t>
      </w:r>
      <w:r w:rsidRPr="00FA3F9C">
        <w:rPr>
          <w:rFonts w:ascii="Arial" w:eastAsia="Times New Roman" w:hAnsi="Arial" w:cs="Arial"/>
          <w:color w:val="222222"/>
          <w:sz w:val="24"/>
          <w:szCs w:val="24"/>
          <w:shd w:val="clear" w:color="auto" w:fill="F8F8F8"/>
        </w:rPr>
        <w:t>induced tardive dyskinesia." </w:t>
      </w:r>
      <w:r w:rsidRPr="00FA3F9C">
        <w:rPr>
          <w:rFonts w:ascii="Arial" w:eastAsia="Times New Roman" w:hAnsi="Arial" w:cs="Arial"/>
          <w:i/>
          <w:iCs/>
          <w:color w:val="222222"/>
          <w:sz w:val="24"/>
          <w:szCs w:val="24"/>
          <w:shd w:val="clear" w:color="auto" w:fill="F8F8F8"/>
        </w:rPr>
        <w:t>Cochrane Database of Systematic Reviews</w:t>
      </w:r>
      <w:r w:rsidRPr="00FA3F9C">
        <w:rPr>
          <w:rFonts w:ascii="Arial" w:eastAsia="Times New Roman" w:hAnsi="Arial" w:cs="Arial"/>
          <w:color w:val="222222"/>
          <w:sz w:val="24"/>
          <w:szCs w:val="24"/>
          <w:shd w:val="clear" w:color="auto" w:fill="F8F8F8"/>
        </w:rPr>
        <w:t> 3 (2018).</w:t>
      </w:r>
    </w:p>
    <w:p w14:paraId="1776BD03" w14:textId="77777777" w:rsidR="00C3036D" w:rsidRPr="00FA3F9C" w:rsidRDefault="00C3036D" w:rsidP="00492C12">
      <w:pPr>
        <w:spacing w:after="0" w:line="240" w:lineRule="auto"/>
        <w:rPr>
          <w:rFonts w:ascii="Arial" w:eastAsia="Times New Roman" w:hAnsi="Arial" w:cs="Arial"/>
          <w:color w:val="222222"/>
          <w:sz w:val="24"/>
          <w:szCs w:val="24"/>
          <w:shd w:val="clear" w:color="auto" w:fill="FFFFFF"/>
        </w:rPr>
      </w:pPr>
      <w:r w:rsidRPr="00FA3F9C">
        <w:rPr>
          <w:rFonts w:ascii="Arial" w:eastAsia="Times New Roman" w:hAnsi="Arial" w:cs="Arial"/>
          <w:color w:val="222222"/>
          <w:sz w:val="24"/>
          <w:szCs w:val="24"/>
          <w:shd w:val="clear" w:color="auto" w:fill="FFFFFF"/>
        </w:rPr>
        <w:lastRenderedPageBreak/>
        <w:t>3. Godwin-Austen, R. B., and T. Clark. "Persistent phenothiazine dyskinesia treated with tetrabenazine." </w:t>
      </w:r>
      <w:r w:rsidRPr="00FA3F9C">
        <w:rPr>
          <w:rFonts w:ascii="Arial" w:eastAsia="Times New Roman" w:hAnsi="Arial" w:cs="Arial"/>
          <w:i/>
          <w:iCs/>
          <w:color w:val="222222"/>
          <w:sz w:val="24"/>
          <w:szCs w:val="24"/>
          <w:shd w:val="clear" w:color="auto" w:fill="FFFFFF"/>
        </w:rPr>
        <w:t>Br Med J</w:t>
      </w:r>
      <w:r w:rsidRPr="00FA3F9C">
        <w:rPr>
          <w:rFonts w:ascii="Arial" w:eastAsia="Times New Roman" w:hAnsi="Arial" w:cs="Arial"/>
          <w:color w:val="222222"/>
          <w:sz w:val="24"/>
          <w:szCs w:val="24"/>
          <w:shd w:val="clear" w:color="auto" w:fill="FFFFFF"/>
        </w:rPr>
        <w:t> 4.5778 (1971): 25-26.</w:t>
      </w:r>
    </w:p>
    <w:p w14:paraId="413DD33D" w14:textId="77777777" w:rsidR="00C3036D" w:rsidRPr="00FA3F9C" w:rsidRDefault="00C3036D" w:rsidP="00492C12">
      <w:pPr>
        <w:spacing w:after="0" w:line="240" w:lineRule="auto"/>
        <w:rPr>
          <w:rFonts w:ascii="Arial" w:hAnsi="Arial" w:cs="Arial"/>
          <w:sz w:val="24"/>
          <w:szCs w:val="24"/>
        </w:rPr>
      </w:pPr>
      <w:r w:rsidRPr="00FA3F9C">
        <w:rPr>
          <w:rFonts w:ascii="Arial" w:hAnsi="Arial" w:cs="Arial"/>
          <w:sz w:val="24"/>
          <w:szCs w:val="24"/>
        </w:rPr>
        <w:t xml:space="preserve">4. Leung, Jonathan G., and Ericka L. </w:t>
      </w:r>
      <w:proofErr w:type="spellStart"/>
      <w:r w:rsidRPr="00FA3F9C">
        <w:rPr>
          <w:rFonts w:ascii="Arial" w:hAnsi="Arial" w:cs="Arial"/>
          <w:sz w:val="24"/>
          <w:szCs w:val="24"/>
        </w:rPr>
        <w:t>Breden</w:t>
      </w:r>
      <w:proofErr w:type="spellEnd"/>
      <w:r w:rsidRPr="00FA3F9C">
        <w:rPr>
          <w:rFonts w:ascii="Arial" w:hAnsi="Arial" w:cs="Arial"/>
          <w:sz w:val="24"/>
          <w:szCs w:val="24"/>
        </w:rPr>
        <w:t xml:space="preserve">. "Tetrabenazine for the treatment of tardive dyskinesia." </w:t>
      </w:r>
      <w:r w:rsidRPr="00FA3F9C">
        <w:rPr>
          <w:rFonts w:ascii="Arial" w:hAnsi="Arial" w:cs="Arial"/>
          <w:i/>
          <w:iCs/>
          <w:sz w:val="24"/>
          <w:szCs w:val="24"/>
        </w:rPr>
        <w:t>Annals of Pharmacotherapy</w:t>
      </w:r>
      <w:r w:rsidRPr="00FA3F9C">
        <w:rPr>
          <w:rFonts w:ascii="Arial" w:hAnsi="Arial" w:cs="Arial"/>
          <w:sz w:val="24"/>
          <w:szCs w:val="24"/>
        </w:rPr>
        <w:t xml:space="preserve"> 45.4 (2011): 525-531.</w:t>
      </w:r>
    </w:p>
    <w:p w14:paraId="7BDD9902" w14:textId="77777777" w:rsidR="00C3036D" w:rsidRPr="00FA3F9C" w:rsidRDefault="00C3036D" w:rsidP="00492C12">
      <w:pPr>
        <w:spacing w:after="0" w:line="240" w:lineRule="auto"/>
        <w:rPr>
          <w:rFonts w:ascii="Arial" w:eastAsia="Times New Roman" w:hAnsi="Arial" w:cs="Arial"/>
          <w:sz w:val="24"/>
          <w:szCs w:val="24"/>
        </w:rPr>
      </w:pPr>
      <w:r w:rsidRPr="00FA3F9C">
        <w:rPr>
          <w:rFonts w:ascii="Arial" w:eastAsia="Times New Roman" w:hAnsi="Arial" w:cs="Arial"/>
          <w:sz w:val="24"/>
          <w:szCs w:val="24"/>
        </w:rPr>
        <w:t xml:space="preserve">5. ICER. Tardive Dyskinesia. 2017.  </w:t>
      </w:r>
      <w:hyperlink r:id="rId402" w:history="1">
        <w:r w:rsidRPr="00FA3F9C">
          <w:rPr>
            <w:rStyle w:val="Hyperlink"/>
            <w:rFonts w:ascii="Arial" w:eastAsia="Times New Roman" w:hAnsi="Arial" w:cs="Arial"/>
            <w:sz w:val="24"/>
            <w:szCs w:val="24"/>
          </w:rPr>
          <w:t>https://icer-review.org/wp-content/uploads/2017/04/NECEPAC_TD_FINAL_REPORT_122217.pdf</w:t>
        </w:r>
      </w:hyperlink>
    </w:p>
    <w:p w14:paraId="7F43D75C" w14:textId="77777777" w:rsidR="00C3036D" w:rsidRPr="00FA3F9C" w:rsidRDefault="00C3036D" w:rsidP="00492C12">
      <w:pPr>
        <w:spacing w:after="0" w:line="240" w:lineRule="auto"/>
        <w:rPr>
          <w:rFonts w:ascii="Arial" w:hAnsi="Arial" w:cs="Arial"/>
          <w:sz w:val="24"/>
          <w:szCs w:val="24"/>
        </w:rPr>
      </w:pPr>
      <w:r w:rsidRPr="00FA3F9C">
        <w:rPr>
          <w:rFonts w:ascii="Arial" w:eastAsia="Times New Roman" w:hAnsi="Arial" w:cs="Arial"/>
          <w:sz w:val="24"/>
          <w:szCs w:val="24"/>
          <w:lang w:val="fr-FR"/>
        </w:rPr>
        <w:t xml:space="preserve">6. </w:t>
      </w:r>
      <w:r w:rsidRPr="00FA3F9C">
        <w:rPr>
          <w:rFonts w:ascii="Arial" w:hAnsi="Arial" w:cs="Arial"/>
          <w:sz w:val="24"/>
          <w:szCs w:val="24"/>
          <w:lang w:val="fr-FR"/>
        </w:rPr>
        <w:t xml:space="preserve">Zhang WF, Tan YL, et al.  </w:t>
      </w:r>
      <w:r w:rsidRPr="00FA3F9C">
        <w:rPr>
          <w:rFonts w:ascii="Arial" w:hAnsi="Arial" w:cs="Arial"/>
          <w:sz w:val="24"/>
          <w:szCs w:val="24"/>
        </w:rPr>
        <w:t>Extract of ginkgo biloba treatment for tardive dyskinesia in schizophrenia: a randomized, double-blind, placebo-controlled trial. J Clin Psychiatry 2011; 72(5):615-621.</w:t>
      </w:r>
    </w:p>
    <w:p w14:paraId="68A9EB84" w14:textId="77777777" w:rsidR="00C3036D" w:rsidRPr="00FA3F9C" w:rsidRDefault="00C3036D" w:rsidP="00492C12">
      <w:pPr>
        <w:spacing w:after="0" w:line="240" w:lineRule="auto"/>
        <w:rPr>
          <w:rFonts w:ascii="Arial" w:hAnsi="Arial" w:cs="Arial"/>
          <w:sz w:val="24"/>
          <w:szCs w:val="24"/>
        </w:rPr>
      </w:pPr>
      <w:r w:rsidRPr="00FA3F9C">
        <w:rPr>
          <w:rFonts w:ascii="Arial" w:hAnsi="Arial" w:cs="Arial"/>
          <w:sz w:val="24"/>
          <w:szCs w:val="24"/>
        </w:rPr>
        <w:t>7. El</w:t>
      </w:r>
      <w:r w:rsidRPr="00FA3F9C">
        <w:rPr>
          <w:rFonts w:ascii="Cambria Math" w:hAnsi="Cambria Math" w:cs="Cambria Math"/>
          <w:sz w:val="24"/>
          <w:szCs w:val="24"/>
        </w:rPr>
        <w:t>‐</w:t>
      </w:r>
      <w:proofErr w:type="spellStart"/>
      <w:r w:rsidRPr="00FA3F9C">
        <w:rPr>
          <w:rFonts w:ascii="Arial" w:hAnsi="Arial" w:cs="Arial"/>
          <w:sz w:val="24"/>
          <w:szCs w:val="24"/>
        </w:rPr>
        <w:t>Sayeh</w:t>
      </w:r>
      <w:proofErr w:type="spellEnd"/>
      <w:r w:rsidRPr="00FA3F9C">
        <w:rPr>
          <w:rFonts w:ascii="Arial" w:hAnsi="Arial" w:cs="Arial"/>
          <w:sz w:val="24"/>
          <w:szCs w:val="24"/>
        </w:rPr>
        <w:t xml:space="preserve"> HG et al. (2018) Non</w:t>
      </w:r>
      <w:r w:rsidRPr="00FA3F9C">
        <w:rPr>
          <w:rFonts w:ascii="Cambria Math" w:hAnsi="Cambria Math" w:cs="Cambria Math"/>
          <w:sz w:val="24"/>
          <w:szCs w:val="24"/>
        </w:rPr>
        <w:t>‐</w:t>
      </w:r>
      <w:r w:rsidRPr="00FA3F9C">
        <w:rPr>
          <w:rFonts w:ascii="Arial" w:hAnsi="Arial" w:cs="Arial"/>
          <w:sz w:val="24"/>
          <w:szCs w:val="24"/>
        </w:rPr>
        <w:t>antipsychotic catecholaminergic drugs for antipsychotic</w:t>
      </w:r>
      <w:r w:rsidRPr="00FA3F9C">
        <w:rPr>
          <w:rFonts w:ascii="Cambria Math" w:hAnsi="Cambria Math" w:cs="Cambria Math"/>
          <w:sz w:val="24"/>
          <w:szCs w:val="24"/>
        </w:rPr>
        <w:t>‐</w:t>
      </w:r>
      <w:r w:rsidRPr="00FA3F9C">
        <w:rPr>
          <w:rFonts w:ascii="Arial" w:hAnsi="Arial" w:cs="Arial"/>
          <w:sz w:val="24"/>
          <w:szCs w:val="24"/>
        </w:rPr>
        <w:t xml:space="preserve">induced tardive dyskinesia. Cochrane Database of Systematic Reviews. Accessed 11/23/19 at </w:t>
      </w:r>
      <w:hyperlink r:id="rId403" w:history="1">
        <w:r w:rsidRPr="00FA3F9C">
          <w:rPr>
            <w:rStyle w:val="Hyperlink"/>
            <w:rFonts w:ascii="Arial" w:hAnsi="Arial" w:cs="Arial"/>
            <w:sz w:val="24"/>
            <w:szCs w:val="24"/>
          </w:rPr>
          <w:t>https://www.cochranelibrary.com/cdsr/doi/10.1002/14651858.CD000458.pub3/full?highlightAbstract=tetrabenazine%7Cwithdrawn%7Ctetrabenazin</w:t>
        </w:r>
      </w:hyperlink>
    </w:p>
    <w:p w14:paraId="59BD13F9" w14:textId="77777777" w:rsidR="00C3036D" w:rsidRPr="00FA3F9C" w:rsidRDefault="00C3036D" w:rsidP="00851D59">
      <w:pPr>
        <w:spacing w:after="0" w:line="240" w:lineRule="auto"/>
        <w:rPr>
          <w:rFonts w:ascii="Arial" w:eastAsia="Times New Roman" w:hAnsi="Arial" w:cs="Arial"/>
          <w:sz w:val="24"/>
          <w:szCs w:val="24"/>
        </w:rPr>
      </w:pPr>
      <w:r w:rsidRPr="00FA3F9C">
        <w:rPr>
          <w:rFonts w:ascii="Arial" w:hAnsi="Arial" w:cs="Arial"/>
          <w:sz w:val="24"/>
          <w:szCs w:val="24"/>
        </w:rPr>
        <w:t xml:space="preserve">8. AAN. (2012). Drug treatments for chorea in Huntington’s disease. Accessed 11/23/19 at  </w:t>
      </w:r>
      <w:hyperlink r:id="rId404" w:history="1">
        <w:r w:rsidRPr="00FA3F9C">
          <w:rPr>
            <w:rStyle w:val="Hyperlink"/>
            <w:rFonts w:ascii="Arial" w:hAnsi="Arial" w:cs="Arial"/>
            <w:sz w:val="24"/>
            <w:szCs w:val="24"/>
          </w:rPr>
          <w:t>https://www.aan.com/Guidelines/home/GetGuidelineContent/560</w:t>
        </w:r>
      </w:hyperlink>
      <w:r w:rsidRPr="00FA3F9C">
        <w:rPr>
          <w:rFonts w:ascii="Arial" w:hAnsi="Arial" w:cs="Arial"/>
          <w:sz w:val="24"/>
          <w:szCs w:val="24"/>
        </w:rPr>
        <w:t xml:space="preserve"> </w:t>
      </w:r>
    </w:p>
    <w:p w14:paraId="45B41C4F" w14:textId="77777777" w:rsidR="00C3036D" w:rsidRPr="00FA3F9C" w:rsidRDefault="00C3036D" w:rsidP="00851D59">
      <w:pPr>
        <w:spacing w:after="0"/>
        <w:rPr>
          <w:rFonts w:ascii="Arial" w:hAnsi="Arial" w:cs="Arial"/>
          <w:b/>
          <w:bCs/>
          <w:sz w:val="24"/>
          <w:szCs w:val="24"/>
        </w:rPr>
      </w:pPr>
      <w:r w:rsidRPr="00FA3F9C">
        <w:rPr>
          <w:rFonts w:ascii="Arial" w:hAnsi="Arial" w:cs="Arial"/>
          <w:b/>
          <w:bCs/>
          <w:sz w:val="24"/>
          <w:szCs w:val="24"/>
        </w:rPr>
        <w:t>Revision History:</w:t>
      </w:r>
    </w:p>
    <w:tbl>
      <w:tblPr>
        <w:tblStyle w:val="TableGrid"/>
        <w:tblW w:w="0" w:type="auto"/>
        <w:tblLook w:val="04A0" w:firstRow="1" w:lastRow="0" w:firstColumn="1" w:lastColumn="0" w:noHBand="0" w:noVBand="1"/>
      </w:tblPr>
      <w:tblGrid>
        <w:gridCol w:w="1418"/>
        <w:gridCol w:w="7288"/>
        <w:gridCol w:w="2505"/>
      </w:tblGrid>
      <w:tr w:rsidR="00C3036D" w:rsidRPr="00FA3F9C" w14:paraId="3927ACFD" w14:textId="77777777" w:rsidTr="005954D4">
        <w:tc>
          <w:tcPr>
            <w:tcW w:w="997" w:type="dxa"/>
          </w:tcPr>
          <w:p w14:paraId="29AEEF46" w14:textId="77777777" w:rsidR="00C3036D" w:rsidRPr="00FA3F9C" w:rsidRDefault="00C3036D" w:rsidP="005954D4">
            <w:pPr>
              <w:rPr>
                <w:rFonts w:ascii="Arial" w:hAnsi="Arial" w:cs="Arial"/>
                <w:sz w:val="24"/>
                <w:szCs w:val="24"/>
              </w:rPr>
            </w:pPr>
            <w:r w:rsidRPr="00FA3F9C">
              <w:rPr>
                <w:rFonts w:ascii="Arial" w:hAnsi="Arial" w:cs="Arial"/>
                <w:sz w:val="24"/>
                <w:szCs w:val="24"/>
              </w:rPr>
              <w:t>Date</w:t>
            </w:r>
          </w:p>
        </w:tc>
        <w:tc>
          <w:tcPr>
            <w:tcW w:w="7288" w:type="dxa"/>
          </w:tcPr>
          <w:p w14:paraId="371E0B79" w14:textId="77777777" w:rsidR="00C3036D" w:rsidRPr="00FA3F9C" w:rsidRDefault="00C3036D" w:rsidP="005954D4">
            <w:pPr>
              <w:rPr>
                <w:rFonts w:ascii="Arial" w:hAnsi="Arial" w:cs="Arial"/>
                <w:sz w:val="24"/>
                <w:szCs w:val="24"/>
              </w:rPr>
            </w:pPr>
            <w:r w:rsidRPr="00FA3F9C">
              <w:rPr>
                <w:rFonts w:ascii="Arial" w:hAnsi="Arial" w:cs="Arial"/>
                <w:sz w:val="24"/>
                <w:szCs w:val="24"/>
              </w:rPr>
              <w:t>What changed</w:t>
            </w:r>
          </w:p>
        </w:tc>
        <w:tc>
          <w:tcPr>
            <w:tcW w:w="2505" w:type="dxa"/>
          </w:tcPr>
          <w:p w14:paraId="16AAFFE5" w14:textId="77777777" w:rsidR="00C3036D" w:rsidRPr="00FA3F9C" w:rsidRDefault="00C3036D" w:rsidP="005954D4">
            <w:pPr>
              <w:rPr>
                <w:rFonts w:ascii="Arial" w:hAnsi="Arial" w:cs="Arial"/>
                <w:sz w:val="24"/>
                <w:szCs w:val="24"/>
              </w:rPr>
            </w:pPr>
            <w:r w:rsidRPr="00FA3F9C">
              <w:rPr>
                <w:rFonts w:ascii="Arial" w:hAnsi="Arial" w:cs="Arial"/>
                <w:sz w:val="24"/>
                <w:szCs w:val="24"/>
              </w:rPr>
              <w:t>Pharmacist’s initials</w:t>
            </w:r>
          </w:p>
        </w:tc>
      </w:tr>
      <w:tr w:rsidR="00C3036D" w:rsidRPr="00FA3F9C" w14:paraId="67A5B981" w14:textId="77777777" w:rsidTr="005954D4">
        <w:tc>
          <w:tcPr>
            <w:tcW w:w="997" w:type="dxa"/>
          </w:tcPr>
          <w:p w14:paraId="4224339C" w14:textId="77777777" w:rsidR="00C3036D" w:rsidRPr="00FA3F9C" w:rsidRDefault="00C3036D" w:rsidP="005954D4">
            <w:pPr>
              <w:rPr>
                <w:rFonts w:ascii="Arial" w:hAnsi="Arial" w:cs="Arial"/>
                <w:sz w:val="24"/>
                <w:szCs w:val="24"/>
              </w:rPr>
            </w:pPr>
            <w:r w:rsidRPr="00FA3F9C">
              <w:rPr>
                <w:rFonts w:ascii="Arial" w:hAnsi="Arial" w:cs="Arial"/>
                <w:sz w:val="24"/>
                <w:szCs w:val="24"/>
              </w:rPr>
              <w:t>2011</w:t>
            </w:r>
          </w:p>
        </w:tc>
        <w:tc>
          <w:tcPr>
            <w:tcW w:w="7288" w:type="dxa"/>
          </w:tcPr>
          <w:p w14:paraId="01DCCF60" w14:textId="77777777" w:rsidR="00C3036D" w:rsidRPr="00FA3F9C" w:rsidRDefault="00C3036D" w:rsidP="005954D4">
            <w:pPr>
              <w:rPr>
                <w:rFonts w:ascii="Arial" w:hAnsi="Arial" w:cs="Arial"/>
                <w:sz w:val="24"/>
                <w:szCs w:val="24"/>
              </w:rPr>
            </w:pPr>
            <w:r w:rsidRPr="00FA3F9C">
              <w:rPr>
                <w:rFonts w:ascii="Arial" w:hAnsi="Arial" w:cs="Arial"/>
                <w:sz w:val="24"/>
                <w:szCs w:val="24"/>
              </w:rPr>
              <w:t>I created criteria.</w:t>
            </w:r>
          </w:p>
        </w:tc>
        <w:tc>
          <w:tcPr>
            <w:tcW w:w="2505" w:type="dxa"/>
          </w:tcPr>
          <w:p w14:paraId="0F0C5857" w14:textId="0D3097F8" w:rsidR="00C3036D" w:rsidRPr="00FA3F9C" w:rsidRDefault="005C142D" w:rsidP="005954D4">
            <w:pPr>
              <w:rPr>
                <w:rFonts w:ascii="Arial" w:hAnsi="Arial" w:cs="Arial"/>
                <w:sz w:val="24"/>
                <w:szCs w:val="24"/>
              </w:rPr>
            </w:pPr>
            <w:r w:rsidRPr="00FA3F9C">
              <w:rPr>
                <w:rFonts w:ascii="Arial" w:hAnsi="Arial" w:cs="Arial"/>
                <w:sz w:val="24"/>
                <w:szCs w:val="24"/>
              </w:rPr>
              <w:t>JJ</w:t>
            </w:r>
          </w:p>
        </w:tc>
      </w:tr>
      <w:tr w:rsidR="00C3036D" w:rsidRPr="00FA3F9C" w14:paraId="0B2E6904" w14:textId="77777777" w:rsidTr="005954D4">
        <w:tc>
          <w:tcPr>
            <w:tcW w:w="997" w:type="dxa"/>
          </w:tcPr>
          <w:p w14:paraId="5BCA67AC" w14:textId="77777777" w:rsidR="00C3036D" w:rsidRPr="00FA3F9C" w:rsidRDefault="00C3036D" w:rsidP="005954D4">
            <w:pPr>
              <w:rPr>
                <w:rFonts w:ascii="Arial" w:hAnsi="Arial" w:cs="Arial"/>
                <w:sz w:val="24"/>
                <w:szCs w:val="24"/>
              </w:rPr>
            </w:pPr>
            <w:r w:rsidRPr="00FA3F9C">
              <w:rPr>
                <w:rFonts w:ascii="Arial" w:hAnsi="Arial" w:cs="Arial"/>
                <w:sz w:val="24"/>
                <w:szCs w:val="24"/>
              </w:rPr>
              <w:t>7/26/2019</w:t>
            </w:r>
          </w:p>
        </w:tc>
        <w:tc>
          <w:tcPr>
            <w:tcW w:w="7288" w:type="dxa"/>
          </w:tcPr>
          <w:p w14:paraId="7EF81B34" w14:textId="77777777" w:rsidR="00C3036D" w:rsidRPr="00FA3F9C" w:rsidRDefault="00C3036D" w:rsidP="005954D4">
            <w:pPr>
              <w:rPr>
                <w:rFonts w:ascii="Arial" w:hAnsi="Arial" w:cs="Arial"/>
                <w:sz w:val="24"/>
                <w:szCs w:val="24"/>
              </w:rPr>
            </w:pPr>
            <w:r w:rsidRPr="00FA3F9C">
              <w:rPr>
                <w:rFonts w:ascii="Arial" w:hAnsi="Arial" w:cs="Arial"/>
                <w:sz w:val="24"/>
                <w:szCs w:val="24"/>
              </w:rPr>
              <w:t xml:space="preserve">I revised the criteria.  I also found that Med Impact was not </w:t>
            </w:r>
            <w:proofErr w:type="spellStart"/>
            <w:r w:rsidRPr="00FA3F9C">
              <w:rPr>
                <w:rFonts w:ascii="Arial" w:hAnsi="Arial" w:cs="Arial"/>
                <w:sz w:val="24"/>
                <w:szCs w:val="24"/>
              </w:rPr>
              <w:t>PAing</w:t>
            </w:r>
            <w:proofErr w:type="spellEnd"/>
            <w:r w:rsidRPr="00FA3F9C">
              <w:rPr>
                <w:rFonts w:ascii="Arial" w:hAnsi="Arial" w:cs="Arial"/>
                <w:sz w:val="24"/>
                <w:szCs w:val="24"/>
              </w:rPr>
              <w:t xml:space="preserve"> this drug. When I ran a claim on </w:t>
            </w:r>
            <w:proofErr w:type="spellStart"/>
            <w:r w:rsidRPr="00FA3F9C">
              <w:rPr>
                <w:rFonts w:ascii="Arial" w:hAnsi="Arial" w:cs="Arial"/>
                <w:sz w:val="24"/>
                <w:szCs w:val="24"/>
              </w:rPr>
              <w:t>MedAccess</w:t>
            </w:r>
            <w:proofErr w:type="spellEnd"/>
            <w:r w:rsidRPr="00FA3F9C">
              <w:rPr>
                <w:rFonts w:ascii="Arial" w:hAnsi="Arial" w:cs="Arial"/>
                <w:sz w:val="24"/>
                <w:szCs w:val="24"/>
              </w:rPr>
              <w:t>, the only rule was “QL of 30ds”.  I also found a Cochrane Systematic Review that says the ginkgo trial is awaiting confirmation from ongoing trials.  Cochrane fell short of recommending tetrabenazine for TD.</w:t>
            </w:r>
          </w:p>
        </w:tc>
        <w:tc>
          <w:tcPr>
            <w:tcW w:w="2505" w:type="dxa"/>
          </w:tcPr>
          <w:p w14:paraId="0F38A569" w14:textId="77777777" w:rsidR="00C3036D" w:rsidRPr="00FA3F9C" w:rsidRDefault="00C3036D" w:rsidP="005954D4">
            <w:pPr>
              <w:rPr>
                <w:rFonts w:ascii="Arial" w:hAnsi="Arial" w:cs="Arial"/>
                <w:sz w:val="24"/>
                <w:szCs w:val="24"/>
              </w:rPr>
            </w:pPr>
            <w:r w:rsidRPr="00FA3F9C">
              <w:rPr>
                <w:rFonts w:ascii="Arial" w:hAnsi="Arial" w:cs="Arial"/>
                <w:sz w:val="24"/>
                <w:szCs w:val="24"/>
              </w:rPr>
              <w:t>JJ</w:t>
            </w:r>
          </w:p>
        </w:tc>
      </w:tr>
      <w:tr w:rsidR="00C3036D" w:rsidRPr="00FA3F9C" w14:paraId="1BCF62D6" w14:textId="77777777" w:rsidTr="005954D4">
        <w:tc>
          <w:tcPr>
            <w:tcW w:w="997" w:type="dxa"/>
          </w:tcPr>
          <w:p w14:paraId="0E7F76F4" w14:textId="77777777" w:rsidR="00C3036D" w:rsidRPr="00FA3F9C" w:rsidRDefault="00C3036D" w:rsidP="005954D4">
            <w:pPr>
              <w:rPr>
                <w:rFonts w:ascii="Arial" w:hAnsi="Arial" w:cs="Arial"/>
                <w:sz w:val="24"/>
                <w:szCs w:val="24"/>
              </w:rPr>
            </w:pPr>
            <w:r w:rsidRPr="00FA3F9C">
              <w:rPr>
                <w:rFonts w:ascii="Arial" w:hAnsi="Arial" w:cs="Arial"/>
                <w:sz w:val="24"/>
                <w:szCs w:val="24"/>
              </w:rPr>
              <w:t>11/23/2019</w:t>
            </w:r>
          </w:p>
        </w:tc>
        <w:tc>
          <w:tcPr>
            <w:tcW w:w="7288" w:type="dxa"/>
          </w:tcPr>
          <w:p w14:paraId="4B032078" w14:textId="77777777" w:rsidR="00C3036D" w:rsidRPr="00FA3F9C" w:rsidRDefault="00C3036D" w:rsidP="005954D4">
            <w:pPr>
              <w:rPr>
                <w:rFonts w:ascii="Arial" w:hAnsi="Arial" w:cs="Arial"/>
                <w:sz w:val="24"/>
                <w:szCs w:val="24"/>
              </w:rPr>
            </w:pPr>
            <w:r w:rsidRPr="00FA3F9C">
              <w:rPr>
                <w:rFonts w:ascii="Arial" w:hAnsi="Arial" w:cs="Arial"/>
                <w:sz w:val="24"/>
                <w:szCs w:val="24"/>
              </w:rPr>
              <w:t>Additions: contraindication of co-administrations, dose maximums for CYP polymorphisms, AWP; Added supporting notes from chorea guidelines, review results for lack of efficacy in TD</w:t>
            </w:r>
          </w:p>
        </w:tc>
        <w:tc>
          <w:tcPr>
            <w:tcW w:w="2505" w:type="dxa"/>
          </w:tcPr>
          <w:p w14:paraId="52016D6A" w14:textId="77777777" w:rsidR="00C3036D" w:rsidRPr="00FA3F9C" w:rsidRDefault="00C3036D" w:rsidP="005954D4">
            <w:pPr>
              <w:rPr>
                <w:rFonts w:ascii="Arial" w:hAnsi="Arial" w:cs="Arial"/>
                <w:sz w:val="24"/>
                <w:szCs w:val="24"/>
              </w:rPr>
            </w:pPr>
            <w:r w:rsidRPr="00FA3F9C">
              <w:rPr>
                <w:rFonts w:ascii="Arial" w:hAnsi="Arial" w:cs="Arial"/>
                <w:sz w:val="24"/>
                <w:szCs w:val="24"/>
              </w:rPr>
              <w:t>CS/JJ</w:t>
            </w:r>
          </w:p>
        </w:tc>
      </w:tr>
    </w:tbl>
    <w:p w14:paraId="7E0F71B9" w14:textId="77777777" w:rsidR="00C3036D" w:rsidRPr="00FA3F9C" w:rsidRDefault="00C3036D" w:rsidP="00492C12">
      <w:pPr>
        <w:spacing w:after="0"/>
        <w:rPr>
          <w:rFonts w:ascii="Arial" w:hAnsi="Arial" w:cs="Arial"/>
          <w:b/>
          <w:sz w:val="24"/>
          <w:szCs w:val="24"/>
        </w:rPr>
      </w:pPr>
    </w:p>
    <w:p w14:paraId="318AB913" w14:textId="77777777" w:rsidR="00C3036D" w:rsidRPr="00FA3F9C" w:rsidRDefault="00C3036D" w:rsidP="006F623F">
      <w:pPr>
        <w:spacing w:after="0"/>
        <w:rPr>
          <w:rFonts w:ascii="Arial" w:hAnsi="Arial" w:cs="Arial"/>
          <w:sz w:val="24"/>
          <w:szCs w:val="24"/>
        </w:rPr>
      </w:pPr>
    </w:p>
    <w:p w14:paraId="2D1B0D5D" w14:textId="77777777" w:rsidR="00C3036D" w:rsidRPr="00FA3F9C" w:rsidRDefault="00C3036D" w:rsidP="0078218F">
      <w:pPr>
        <w:pStyle w:val="Heading2"/>
      </w:pPr>
      <w:bookmarkStart w:id="322" w:name="_Toc106369945"/>
      <w:proofErr w:type="spellStart"/>
      <w:r w:rsidRPr="00FA3F9C">
        <w:t>Tezacaftor</w:t>
      </w:r>
      <w:proofErr w:type="spellEnd"/>
      <w:r w:rsidRPr="00FA3F9C">
        <w:t>-ivacaftor (</w:t>
      </w:r>
      <w:proofErr w:type="spellStart"/>
      <w:r w:rsidRPr="00FA3F9C">
        <w:t>Symdeko</w:t>
      </w:r>
      <w:proofErr w:type="spellEnd"/>
      <w:r w:rsidRPr="00FA3F9C">
        <w:t>)</w:t>
      </w:r>
      <w:bookmarkEnd w:id="322"/>
      <w:r w:rsidRPr="00FA3F9C">
        <w:t xml:space="preserve"> </w:t>
      </w:r>
    </w:p>
    <w:p w14:paraId="01DC706C" w14:textId="7346C4AC" w:rsidR="00C3036D" w:rsidRDefault="00C3036D" w:rsidP="00E4013F">
      <w:pPr>
        <w:jc w:val="center"/>
        <w:rPr>
          <w:rFonts w:ascii="Arial" w:hAnsi="Arial" w:cs="Arial"/>
          <w:b/>
          <w:sz w:val="24"/>
          <w:szCs w:val="24"/>
        </w:rPr>
      </w:pPr>
      <w:r w:rsidRPr="00FA3F9C">
        <w:rPr>
          <w:rFonts w:ascii="Arial" w:hAnsi="Arial" w:cs="Arial"/>
          <w:b/>
          <w:sz w:val="24"/>
          <w:szCs w:val="24"/>
        </w:rPr>
        <w:t>100mg TEZ/150mg IVA) tablets plus an additional IVA 150mg</w:t>
      </w:r>
    </w:p>
    <w:p w14:paraId="3594B2E4" w14:textId="77777777" w:rsidR="0078218F" w:rsidRPr="00FA3F9C" w:rsidRDefault="0078218F" w:rsidP="0078218F">
      <w:pPr>
        <w:jc w:val="center"/>
        <w:rPr>
          <w:rFonts w:ascii="Arial" w:hAnsi="Arial" w:cs="Arial"/>
          <w:b/>
          <w:sz w:val="24"/>
          <w:szCs w:val="24"/>
        </w:rPr>
      </w:pPr>
      <w:r w:rsidRPr="00FA3F9C">
        <w:rPr>
          <w:rFonts w:ascii="Arial" w:hAnsi="Arial" w:cs="Arial"/>
          <w:b/>
          <w:sz w:val="24"/>
          <w:szCs w:val="24"/>
        </w:rPr>
        <w:t>EBRx Prior Authorization Criteria</w:t>
      </w:r>
    </w:p>
    <w:p w14:paraId="7CF3F1EB" w14:textId="77777777" w:rsidR="0078218F" w:rsidRPr="00FA3F9C" w:rsidRDefault="0078218F" w:rsidP="00E4013F">
      <w:pPr>
        <w:jc w:val="center"/>
        <w:rPr>
          <w:rFonts w:ascii="Arial" w:hAnsi="Arial" w:cs="Arial"/>
          <w:b/>
          <w:sz w:val="24"/>
          <w:szCs w:val="24"/>
        </w:rPr>
      </w:pPr>
    </w:p>
    <w:p w14:paraId="00D1853A" w14:textId="77777777" w:rsidR="00C3036D" w:rsidRPr="00FA3F9C" w:rsidRDefault="00C3036D" w:rsidP="00E4013F">
      <w:pPr>
        <w:jc w:val="center"/>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98"/>
      </w:tblGrid>
      <w:tr w:rsidR="00C3036D" w:rsidRPr="00FA3F9C" w14:paraId="2DF8BE74" w14:textId="77777777" w:rsidTr="00D040FF">
        <w:trPr>
          <w:trHeight w:val="728"/>
        </w:trPr>
        <w:tc>
          <w:tcPr>
            <w:tcW w:w="10998" w:type="dxa"/>
            <w:shd w:val="clear" w:color="auto" w:fill="000000"/>
            <w:vAlign w:val="center"/>
          </w:tcPr>
          <w:p w14:paraId="00F0B913" w14:textId="77777777" w:rsidR="00C3036D" w:rsidRPr="00FA3F9C" w:rsidRDefault="00C3036D" w:rsidP="00094F67">
            <w:pPr>
              <w:rPr>
                <w:rFonts w:ascii="Arial" w:hAnsi="Arial" w:cs="Arial"/>
                <w:b/>
                <w:sz w:val="24"/>
                <w:szCs w:val="24"/>
              </w:rPr>
            </w:pPr>
            <w:r w:rsidRPr="00FA3F9C">
              <w:rPr>
                <w:rFonts w:ascii="Arial" w:hAnsi="Arial" w:cs="Arial"/>
                <w:b/>
                <w:sz w:val="24"/>
                <w:szCs w:val="24"/>
              </w:rPr>
              <w:t>Initial approval criteria:</w:t>
            </w:r>
          </w:p>
        </w:tc>
      </w:tr>
      <w:tr w:rsidR="00C3036D" w:rsidRPr="00FA3F9C" w14:paraId="6BF0688A" w14:textId="77777777" w:rsidTr="005662E7">
        <w:trPr>
          <w:trHeight w:val="728"/>
        </w:trPr>
        <w:tc>
          <w:tcPr>
            <w:tcW w:w="10998" w:type="dxa"/>
            <w:vAlign w:val="center"/>
          </w:tcPr>
          <w:p w14:paraId="3AAF2377" w14:textId="77777777" w:rsidR="00C3036D" w:rsidRPr="00FA3F9C" w:rsidRDefault="00C3036D" w:rsidP="00C3036D">
            <w:pPr>
              <w:numPr>
                <w:ilvl w:val="0"/>
                <w:numId w:val="152"/>
              </w:numPr>
              <w:spacing w:after="0" w:line="240" w:lineRule="auto"/>
              <w:rPr>
                <w:rFonts w:ascii="Arial" w:hAnsi="Arial" w:cs="Arial"/>
                <w:b/>
                <w:sz w:val="24"/>
                <w:szCs w:val="24"/>
              </w:rPr>
            </w:pPr>
            <w:r w:rsidRPr="00FA3F9C">
              <w:rPr>
                <w:rFonts w:ascii="Arial" w:hAnsi="Arial" w:cs="Arial"/>
                <w:b/>
                <w:sz w:val="24"/>
                <w:szCs w:val="24"/>
              </w:rPr>
              <w:t>The patient must be age 6-12 years old.</w:t>
            </w:r>
          </w:p>
        </w:tc>
      </w:tr>
      <w:tr w:rsidR="00C3036D" w:rsidRPr="00FA3F9C" w14:paraId="224E6800" w14:textId="77777777" w:rsidTr="005662E7">
        <w:trPr>
          <w:trHeight w:val="728"/>
        </w:trPr>
        <w:tc>
          <w:tcPr>
            <w:tcW w:w="10998" w:type="dxa"/>
            <w:vAlign w:val="center"/>
          </w:tcPr>
          <w:p w14:paraId="00E76DF3" w14:textId="77777777" w:rsidR="00C3036D" w:rsidRPr="00FA3F9C" w:rsidRDefault="00C3036D" w:rsidP="00C3036D">
            <w:pPr>
              <w:numPr>
                <w:ilvl w:val="0"/>
                <w:numId w:val="152"/>
              </w:numPr>
              <w:spacing w:after="0" w:line="240" w:lineRule="auto"/>
              <w:rPr>
                <w:rFonts w:ascii="Arial" w:hAnsi="Arial" w:cs="Arial"/>
                <w:b/>
                <w:sz w:val="24"/>
                <w:szCs w:val="24"/>
              </w:rPr>
            </w:pPr>
            <w:r w:rsidRPr="00FA3F9C">
              <w:rPr>
                <w:rFonts w:ascii="Arial" w:hAnsi="Arial" w:cs="Arial"/>
                <w:b/>
                <w:sz w:val="24"/>
                <w:szCs w:val="24"/>
              </w:rPr>
              <w:t xml:space="preserve">The patient must have the diagnosis of cystic fibrosis and be homozygous for the F508del mutation </w:t>
            </w:r>
          </w:p>
          <w:p w14:paraId="4971A179" w14:textId="77777777" w:rsidR="00C3036D" w:rsidRPr="00FA3F9C" w:rsidRDefault="00C3036D" w:rsidP="008E75FA">
            <w:pPr>
              <w:ind w:left="360"/>
              <w:rPr>
                <w:rFonts w:ascii="Arial" w:hAnsi="Arial" w:cs="Arial"/>
                <w:b/>
                <w:sz w:val="24"/>
                <w:szCs w:val="24"/>
              </w:rPr>
            </w:pPr>
            <w:r w:rsidRPr="00FA3F9C">
              <w:rPr>
                <w:rFonts w:ascii="Arial" w:hAnsi="Arial" w:cs="Arial"/>
                <w:b/>
                <w:sz w:val="24"/>
                <w:szCs w:val="24"/>
              </w:rPr>
              <w:t>OR</w:t>
            </w:r>
          </w:p>
          <w:p w14:paraId="274C8084" w14:textId="77777777" w:rsidR="00C3036D" w:rsidRPr="00FA3F9C" w:rsidRDefault="00C3036D" w:rsidP="008E75FA">
            <w:pPr>
              <w:ind w:left="360"/>
              <w:rPr>
                <w:rFonts w:ascii="Arial" w:hAnsi="Arial" w:cs="Arial"/>
                <w:b/>
                <w:sz w:val="24"/>
                <w:szCs w:val="24"/>
              </w:rPr>
            </w:pPr>
            <w:r w:rsidRPr="00FA3F9C">
              <w:rPr>
                <w:rFonts w:ascii="Arial" w:hAnsi="Arial" w:cs="Arial"/>
                <w:b/>
                <w:sz w:val="24"/>
                <w:szCs w:val="24"/>
              </w:rPr>
              <w:t xml:space="preserve">have at least one mutation in the cystic fibrosis transmembrane conductance regulator (CFTR) gene that is responsive to </w:t>
            </w:r>
            <w:proofErr w:type="spellStart"/>
            <w:r w:rsidRPr="00FA3F9C">
              <w:rPr>
                <w:rFonts w:ascii="Arial" w:hAnsi="Arial" w:cs="Arial"/>
                <w:b/>
                <w:sz w:val="24"/>
                <w:szCs w:val="24"/>
              </w:rPr>
              <w:t>Symdeko</w:t>
            </w:r>
            <w:proofErr w:type="spellEnd"/>
            <w:r w:rsidRPr="00FA3F9C">
              <w:rPr>
                <w:rFonts w:ascii="Arial" w:hAnsi="Arial" w:cs="Arial"/>
                <w:b/>
                <w:sz w:val="24"/>
                <w:szCs w:val="24"/>
              </w:rPr>
              <w:t xml:space="preserve">. </w:t>
            </w:r>
          </w:p>
          <w:p w14:paraId="3CEB19ED" w14:textId="77777777" w:rsidR="00C3036D" w:rsidRPr="00FA3F9C" w:rsidRDefault="00500371" w:rsidP="005662E7">
            <w:pPr>
              <w:ind w:left="360"/>
              <w:rPr>
                <w:rFonts w:ascii="Arial" w:hAnsi="Arial" w:cs="Arial"/>
                <w:b/>
                <w:sz w:val="24"/>
                <w:szCs w:val="24"/>
              </w:rPr>
            </w:pPr>
            <w:r>
              <w:rPr>
                <w:rFonts w:ascii="Arial" w:hAnsi="Arial" w:cs="Arial"/>
                <w:b/>
                <w:noProof/>
                <w:sz w:val="24"/>
                <w:szCs w:val="24"/>
              </w:rPr>
              <w:lastRenderedPageBreak/>
              <w:pict w14:anchorId="200E43E2">
                <v:shape id="_x0000_i1027" type="#_x0000_t75" style="width:495pt;height:345.75pt;visibility:visible">
                  <v:imagedata r:id="rId405" o:title=""/>
                </v:shape>
              </w:pict>
            </w:r>
          </w:p>
        </w:tc>
      </w:tr>
      <w:tr w:rsidR="00C3036D" w:rsidRPr="00FA3F9C" w14:paraId="3D2F9746" w14:textId="77777777" w:rsidTr="005662E7">
        <w:trPr>
          <w:trHeight w:val="728"/>
        </w:trPr>
        <w:tc>
          <w:tcPr>
            <w:tcW w:w="10998" w:type="dxa"/>
            <w:vAlign w:val="center"/>
          </w:tcPr>
          <w:p w14:paraId="34F885BE" w14:textId="77777777" w:rsidR="00C3036D" w:rsidRPr="00FA3F9C" w:rsidRDefault="00C3036D" w:rsidP="00C3036D">
            <w:pPr>
              <w:numPr>
                <w:ilvl w:val="0"/>
                <w:numId w:val="152"/>
              </w:numPr>
              <w:spacing w:after="0" w:line="240" w:lineRule="auto"/>
              <w:rPr>
                <w:rFonts w:ascii="Arial" w:hAnsi="Arial" w:cs="Arial"/>
                <w:b/>
                <w:sz w:val="24"/>
                <w:szCs w:val="24"/>
              </w:rPr>
            </w:pPr>
            <w:r w:rsidRPr="00FA3F9C">
              <w:rPr>
                <w:rFonts w:ascii="Arial" w:hAnsi="Arial" w:cs="Arial"/>
                <w:b/>
                <w:sz w:val="24"/>
                <w:szCs w:val="24"/>
              </w:rPr>
              <w:lastRenderedPageBreak/>
              <w:t>The patient must be currently demonstrating adherence with the evidence-based standard of care for inhaled therapies for cystic fibrosis.</w:t>
            </w:r>
            <w:r w:rsidRPr="00FA3F9C">
              <w:rPr>
                <w:rFonts w:ascii="Arial" w:hAnsi="Arial" w:cs="Arial"/>
                <w:b/>
                <w:sz w:val="24"/>
                <w:szCs w:val="24"/>
                <w:vertAlign w:val="superscript"/>
              </w:rPr>
              <w:t>1</w:t>
            </w:r>
            <w:r w:rsidRPr="00FA3F9C">
              <w:rPr>
                <w:rFonts w:ascii="Arial" w:hAnsi="Arial" w:cs="Arial"/>
                <w:b/>
                <w:sz w:val="24"/>
                <w:szCs w:val="24"/>
              </w:rPr>
              <w:t xml:space="preserve">  (Or else the patient must have documented experience of  intolerance to </w:t>
            </w:r>
            <w:proofErr w:type="spellStart"/>
            <w:r w:rsidRPr="00FA3F9C">
              <w:rPr>
                <w:rFonts w:ascii="Arial" w:hAnsi="Arial" w:cs="Arial"/>
                <w:b/>
                <w:sz w:val="24"/>
                <w:szCs w:val="24"/>
              </w:rPr>
              <w:t>dornase</w:t>
            </w:r>
            <w:proofErr w:type="spellEnd"/>
            <w:r w:rsidRPr="00FA3F9C">
              <w:rPr>
                <w:rFonts w:ascii="Arial" w:hAnsi="Arial" w:cs="Arial"/>
                <w:b/>
                <w:sz w:val="24"/>
                <w:szCs w:val="24"/>
              </w:rPr>
              <w:t xml:space="preserve"> alfa &amp;/OR bronchospasm or irritability with inhaled hypertonic saline and therefore cannot use it.—This must be documented in the medical record and represented to the call pharmacists.)</w:t>
            </w:r>
          </w:p>
        </w:tc>
      </w:tr>
      <w:tr w:rsidR="00C3036D" w:rsidRPr="00FA3F9C" w14:paraId="40E3E0C3" w14:textId="77777777" w:rsidTr="005662E7">
        <w:trPr>
          <w:trHeight w:val="728"/>
        </w:trPr>
        <w:tc>
          <w:tcPr>
            <w:tcW w:w="10998" w:type="dxa"/>
            <w:vAlign w:val="center"/>
          </w:tcPr>
          <w:p w14:paraId="65CB3CAF" w14:textId="77777777" w:rsidR="00C3036D" w:rsidRPr="00FA3F9C" w:rsidRDefault="00C3036D" w:rsidP="00C3036D">
            <w:pPr>
              <w:numPr>
                <w:ilvl w:val="0"/>
                <w:numId w:val="152"/>
              </w:numPr>
              <w:spacing w:after="0" w:line="240" w:lineRule="auto"/>
              <w:rPr>
                <w:rFonts w:ascii="Arial" w:hAnsi="Arial" w:cs="Arial"/>
                <w:b/>
                <w:sz w:val="24"/>
                <w:szCs w:val="24"/>
              </w:rPr>
            </w:pPr>
            <w:r w:rsidRPr="00FA3F9C">
              <w:rPr>
                <w:rFonts w:ascii="Arial" w:hAnsi="Arial" w:cs="Arial"/>
                <w:b/>
                <w:sz w:val="24"/>
                <w:szCs w:val="24"/>
              </w:rPr>
              <w:t>The patient must be a nonsmoker.</w:t>
            </w:r>
          </w:p>
        </w:tc>
      </w:tr>
    </w:tbl>
    <w:p w14:paraId="013274DB" w14:textId="77777777" w:rsidR="00C3036D" w:rsidRPr="00FA3F9C" w:rsidRDefault="00C3036D" w:rsidP="00FA7E8B">
      <w:pPr>
        <w:rPr>
          <w:rFonts w:ascii="Arial" w:hAnsi="Arial" w:cs="Arial"/>
          <w:b/>
          <w:sz w:val="24"/>
          <w:szCs w:val="24"/>
        </w:rPr>
      </w:pPr>
      <w:r w:rsidRPr="00FA3F9C">
        <w:rPr>
          <w:rFonts w:ascii="Arial" w:hAnsi="Arial" w:cs="Arial"/>
          <w:b/>
          <w:sz w:val="24"/>
          <w:szCs w:val="24"/>
          <w:vertAlign w:val="superscript"/>
        </w:rPr>
        <w:lastRenderedPageBreak/>
        <w:t>*</w:t>
      </w:r>
      <w:r w:rsidRPr="00FA3F9C">
        <w:rPr>
          <w:rFonts w:ascii="Arial" w:hAnsi="Arial" w:cs="Arial"/>
          <w:b/>
          <w:sz w:val="24"/>
          <w:szCs w:val="24"/>
        </w:rPr>
        <w:t>Quantity limit of 62/31 days; normal dose is 150 mg BID</w:t>
      </w:r>
    </w:p>
    <w:p w14:paraId="07B9AB23" w14:textId="77777777" w:rsidR="00C3036D" w:rsidRPr="00FA3F9C" w:rsidRDefault="00C3036D" w:rsidP="00C101D4">
      <w:pPr>
        <w:rPr>
          <w:rFonts w:ascii="Arial" w:hAnsi="Arial" w:cs="Arial"/>
          <w:sz w:val="24"/>
          <w:szCs w:val="24"/>
        </w:rPr>
      </w:pPr>
    </w:p>
    <w:p w14:paraId="78E70C51" w14:textId="77777777" w:rsidR="00C3036D" w:rsidRPr="00FA3F9C" w:rsidRDefault="00C3036D" w:rsidP="00EA6D94">
      <w:pPr>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98"/>
      </w:tblGrid>
      <w:tr w:rsidR="00C3036D" w:rsidRPr="00FA3F9C" w14:paraId="255992B7" w14:textId="77777777" w:rsidTr="00D040FF">
        <w:trPr>
          <w:trHeight w:val="728"/>
        </w:trPr>
        <w:tc>
          <w:tcPr>
            <w:tcW w:w="10998" w:type="dxa"/>
            <w:shd w:val="clear" w:color="auto" w:fill="000000"/>
            <w:vAlign w:val="center"/>
          </w:tcPr>
          <w:p w14:paraId="52D08A61" w14:textId="77777777" w:rsidR="00C3036D" w:rsidRPr="00FA3F9C" w:rsidRDefault="00C3036D" w:rsidP="00094F67">
            <w:pPr>
              <w:rPr>
                <w:rFonts w:ascii="Arial" w:hAnsi="Arial" w:cs="Arial"/>
                <w:b/>
                <w:sz w:val="24"/>
                <w:szCs w:val="24"/>
              </w:rPr>
            </w:pPr>
            <w:r w:rsidRPr="00FA3F9C">
              <w:rPr>
                <w:rFonts w:ascii="Arial" w:hAnsi="Arial" w:cs="Arial"/>
                <w:b/>
                <w:sz w:val="24"/>
                <w:szCs w:val="24"/>
              </w:rPr>
              <w:t>Continuation criteria:</w:t>
            </w:r>
          </w:p>
        </w:tc>
      </w:tr>
      <w:tr w:rsidR="00C3036D" w:rsidRPr="00FA3F9C" w14:paraId="545915AD" w14:textId="77777777" w:rsidTr="005662E7">
        <w:trPr>
          <w:trHeight w:val="728"/>
        </w:trPr>
        <w:tc>
          <w:tcPr>
            <w:tcW w:w="10998" w:type="dxa"/>
            <w:vAlign w:val="center"/>
          </w:tcPr>
          <w:p w14:paraId="785E4A66" w14:textId="77777777" w:rsidR="00C3036D" w:rsidRPr="00FA3F9C" w:rsidRDefault="00C3036D" w:rsidP="00C3036D">
            <w:pPr>
              <w:numPr>
                <w:ilvl w:val="0"/>
                <w:numId w:val="153"/>
              </w:numPr>
              <w:spacing w:after="0" w:line="240" w:lineRule="auto"/>
              <w:rPr>
                <w:rFonts w:ascii="Arial" w:hAnsi="Arial" w:cs="Arial"/>
                <w:b/>
                <w:sz w:val="24"/>
                <w:szCs w:val="24"/>
              </w:rPr>
            </w:pPr>
            <w:r w:rsidRPr="00FA3F9C">
              <w:rPr>
                <w:rFonts w:ascii="Arial" w:hAnsi="Arial" w:cs="Arial"/>
                <w:b/>
                <w:sz w:val="24"/>
                <w:szCs w:val="24"/>
              </w:rPr>
              <w:t>The patient must be currently demonstrating adherence with the evidence-based standard of care for inhaled therapies for cystic fibrosis.</w:t>
            </w:r>
            <w:r w:rsidRPr="00FA3F9C">
              <w:rPr>
                <w:rFonts w:ascii="Arial" w:hAnsi="Arial" w:cs="Arial"/>
                <w:b/>
                <w:sz w:val="24"/>
                <w:szCs w:val="24"/>
                <w:vertAlign w:val="superscript"/>
              </w:rPr>
              <w:t>1</w:t>
            </w:r>
            <w:r w:rsidRPr="00FA3F9C">
              <w:rPr>
                <w:rFonts w:ascii="Arial" w:hAnsi="Arial" w:cs="Arial"/>
                <w:b/>
                <w:sz w:val="24"/>
                <w:szCs w:val="24"/>
              </w:rPr>
              <w:t xml:space="preserve">  (or the patient must have experienced intolerance to </w:t>
            </w:r>
            <w:proofErr w:type="spellStart"/>
            <w:r w:rsidRPr="00FA3F9C">
              <w:rPr>
                <w:rFonts w:ascii="Arial" w:hAnsi="Arial" w:cs="Arial"/>
                <w:b/>
                <w:sz w:val="24"/>
                <w:szCs w:val="24"/>
              </w:rPr>
              <w:t>dornase</w:t>
            </w:r>
            <w:proofErr w:type="spellEnd"/>
            <w:r w:rsidRPr="00FA3F9C">
              <w:rPr>
                <w:rFonts w:ascii="Arial" w:hAnsi="Arial" w:cs="Arial"/>
                <w:b/>
                <w:sz w:val="24"/>
                <w:szCs w:val="24"/>
              </w:rPr>
              <w:t xml:space="preserve"> alfa &amp;/OR bronchospasm or irritability with inhaled hypertonic saline and therefore cannot use it).</w:t>
            </w:r>
          </w:p>
        </w:tc>
      </w:tr>
      <w:tr w:rsidR="00C3036D" w:rsidRPr="00FA3F9C" w14:paraId="65D0FD0D" w14:textId="77777777" w:rsidTr="005662E7">
        <w:trPr>
          <w:trHeight w:val="728"/>
        </w:trPr>
        <w:tc>
          <w:tcPr>
            <w:tcW w:w="10998" w:type="dxa"/>
            <w:vAlign w:val="center"/>
          </w:tcPr>
          <w:p w14:paraId="78A179F7" w14:textId="77777777" w:rsidR="00C3036D" w:rsidRPr="00FA3F9C" w:rsidRDefault="00C3036D" w:rsidP="00C3036D">
            <w:pPr>
              <w:numPr>
                <w:ilvl w:val="0"/>
                <w:numId w:val="153"/>
              </w:numPr>
              <w:spacing w:after="0" w:line="240" w:lineRule="auto"/>
              <w:rPr>
                <w:rFonts w:ascii="Arial" w:hAnsi="Arial" w:cs="Arial"/>
                <w:b/>
                <w:sz w:val="24"/>
                <w:szCs w:val="24"/>
              </w:rPr>
            </w:pPr>
            <w:r w:rsidRPr="00FA3F9C">
              <w:rPr>
                <w:rFonts w:ascii="Arial" w:hAnsi="Arial" w:cs="Arial"/>
                <w:b/>
                <w:sz w:val="24"/>
                <w:szCs w:val="24"/>
              </w:rPr>
              <w:t>The patient must have had transaminases (ALT and AST) drawn in the past 6 months and they were lower than 5 times the ULN</w:t>
            </w:r>
          </w:p>
        </w:tc>
      </w:tr>
      <w:tr w:rsidR="00C3036D" w:rsidRPr="00FA3F9C" w14:paraId="2527F342" w14:textId="77777777" w:rsidTr="005662E7">
        <w:trPr>
          <w:trHeight w:val="728"/>
        </w:trPr>
        <w:tc>
          <w:tcPr>
            <w:tcW w:w="10998" w:type="dxa"/>
            <w:vAlign w:val="center"/>
          </w:tcPr>
          <w:p w14:paraId="1D88D389" w14:textId="77777777" w:rsidR="00C3036D" w:rsidRPr="00FA3F9C" w:rsidRDefault="00C3036D" w:rsidP="00C3036D">
            <w:pPr>
              <w:numPr>
                <w:ilvl w:val="0"/>
                <w:numId w:val="153"/>
              </w:numPr>
              <w:spacing w:after="0" w:line="240" w:lineRule="auto"/>
              <w:rPr>
                <w:rFonts w:ascii="Arial" w:hAnsi="Arial" w:cs="Arial"/>
                <w:b/>
                <w:sz w:val="24"/>
                <w:szCs w:val="24"/>
              </w:rPr>
            </w:pPr>
            <w:r w:rsidRPr="00FA3F9C">
              <w:rPr>
                <w:rFonts w:ascii="Arial" w:hAnsi="Arial" w:cs="Arial"/>
                <w:b/>
                <w:sz w:val="24"/>
                <w:szCs w:val="24"/>
              </w:rPr>
              <w:t>The patient must be a nonsmoker.</w:t>
            </w:r>
          </w:p>
        </w:tc>
      </w:tr>
      <w:tr w:rsidR="00C3036D" w:rsidRPr="00FA3F9C" w14:paraId="449E9885" w14:textId="77777777" w:rsidTr="005662E7">
        <w:trPr>
          <w:trHeight w:val="728"/>
        </w:trPr>
        <w:tc>
          <w:tcPr>
            <w:tcW w:w="10998" w:type="dxa"/>
            <w:vAlign w:val="center"/>
          </w:tcPr>
          <w:p w14:paraId="08ABDF35" w14:textId="77777777" w:rsidR="00C3036D" w:rsidRPr="00FA3F9C" w:rsidRDefault="00C3036D" w:rsidP="00C3036D">
            <w:pPr>
              <w:numPr>
                <w:ilvl w:val="0"/>
                <w:numId w:val="153"/>
              </w:numPr>
              <w:spacing w:after="0" w:line="240" w:lineRule="auto"/>
              <w:rPr>
                <w:rFonts w:ascii="Arial" w:hAnsi="Arial" w:cs="Arial"/>
                <w:b/>
                <w:sz w:val="24"/>
                <w:szCs w:val="24"/>
              </w:rPr>
            </w:pPr>
            <w:r w:rsidRPr="00FA3F9C">
              <w:rPr>
                <w:rFonts w:ascii="Arial" w:hAnsi="Arial" w:cs="Arial"/>
                <w:b/>
                <w:sz w:val="24"/>
                <w:szCs w:val="24"/>
              </w:rPr>
              <w:t xml:space="preserve">The patient must demonstrate a clinical benefit with </w:t>
            </w:r>
            <w:proofErr w:type="spellStart"/>
            <w:r w:rsidRPr="00FA3F9C">
              <w:rPr>
                <w:rFonts w:ascii="Arial" w:hAnsi="Arial" w:cs="Arial"/>
                <w:b/>
                <w:sz w:val="24"/>
                <w:szCs w:val="24"/>
              </w:rPr>
              <w:t>tezacaftor</w:t>
            </w:r>
            <w:proofErr w:type="spellEnd"/>
            <w:r w:rsidRPr="00FA3F9C">
              <w:rPr>
                <w:rFonts w:ascii="Arial" w:hAnsi="Arial" w:cs="Arial"/>
                <w:b/>
                <w:sz w:val="24"/>
                <w:szCs w:val="24"/>
              </w:rPr>
              <w:t>-ivacaftor as shown by lung function (FEV1), weight gain, or reduction in CF exacerbations or CF hospitalizations.</w:t>
            </w:r>
          </w:p>
        </w:tc>
      </w:tr>
      <w:tr w:rsidR="00C3036D" w:rsidRPr="00FA3F9C" w14:paraId="31EA55E5" w14:textId="77777777" w:rsidTr="005662E7">
        <w:trPr>
          <w:trHeight w:val="728"/>
        </w:trPr>
        <w:tc>
          <w:tcPr>
            <w:tcW w:w="10998" w:type="dxa"/>
            <w:vAlign w:val="center"/>
          </w:tcPr>
          <w:p w14:paraId="134DFCDD" w14:textId="77777777" w:rsidR="00C3036D" w:rsidRPr="00FA3F9C" w:rsidRDefault="00C3036D" w:rsidP="00C3036D">
            <w:pPr>
              <w:numPr>
                <w:ilvl w:val="0"/>
                <w:numId w:val="153"/>
              </w:numPr>
              <w:spacing w:after="0" w:line="240" w:lineRule="auto"/>
              <w:rPr>
                <w:rFonts w:ascii="Arial" w:hAnsi="Arial" w:cs="Arial"/>
                <w:b/>
                <w:sz w:val="24"/>
                <w:szCs w:val="24"/>
              </w:rPr>
            </w:pPr>
            <w:r w:rsidRPr="00FA3F9C">
              <w:rPr>
                <w:rFonts w:ascii="Arial" w:hAnsi="Arial" w:cs="Arial"/>
                <w:b/>
                <w:sz w:val="24"/>
                <w:szCs w:val="24"/>
              </w:rPr>
              <w:t>The patient must be adherent (1 fill/1 month) with therapy as determined by refill history or reported by physician.</w:t>
            </w:r>
          </w:p>
        </w:tc>
      </w:tr>
    </w:tbl>
    <w:p w14:paraId="05EE0118" w14:textId="77777777" w:rsidR="00C3036D" w:rsidRPr="00FA3F9C" w:rsidRDefault="00C3036D" w:rsidP="00B136B1">
      <w:pPr>
        <w:rPr>
          <w:rFonts w:ascii="Arial" w:hAnsi="Arial" w:cs="Arial"/>
          <w:sz w:val="24"/>
          <w:szCs w:val="24"/>
        </w:rPr>
      </w:pPr>
      <w:r w:rsidRPr="00FA3F9C">
        <w:rPr>
          <w:rFonts w:ascii="Arial" w:hAnsi="Arial" w:cs="Arial"/>
          <w:sz w:val="24"/>
          <w:szCs w:val="24"/>
        </w:rPr>
        <w:t>References:</w:t>
      </w:r>
    </w:p>
    <w:p w14:paraId="16ACB376" w14:textId="77777777" w:rsidR="00C3036D" w:rsidRPr="00FA3F9C" w:rsidRDefault="00C3036D" w:rsidP="00C3036D">
      <w:pPr>
        <w:numPr>
          <w:ilvl w:val="0"/>
          <w:numId w:val="285"/>
        </w:numPr>
        <w:spacing w:after="0" w:line="240" w:lineRule="auto"/>
        <w:rPr>
          <w:rFonts w:ascii="Arial" w:hAnsi="Arial" w:cs="Arial"/>
          <w:b/>
          <w:sz w:val="24"/>
          <w:szCs w:val="24"/>
        </w:rPr>
      </w:pPr>
      <w:proofErr w:type="spellStart"/>
      <w:r w:rsidRPr="00FA3F9C">
        <w:rPr>
          <w:rFonts w:ascii="Arial" w:hAnsi="Arial" w:cs="Arial"/>
          <w:b/>
          <w:sz w:val="24"/>
          <w:szCs w:val="24"/>
          <w:lang w:val="fr-FR"/>
        </w:rPr>
        <w:t>Mogayzel</w:t>
      </w:r>
      <w:proofErr w:type="spellEnd"/>
      <w:r w:rsidRPr="00FA3F9C">
        <w:rPr>
          <w:rFonts w:ascii="Arial" w:hAnsi="Arial" w:cs="Arial"/>
          <w:b/>
          <w:sz w:val="24"/>
          <w:szCs w:val="24"/>
          <w:lang w:val="fr-FR"/>
        </w:rPr>
        <w:t xml:space="preserve"> PJ, </w:t>
      </w:r>
      <w:proofErr w:type="spellStart"/>
      <w:r w:rsidRPr="00FA3F9C">
        <w:rPr>
          <w:rFonts w:ascii="Arial" w:hAnsi="Arial" w:cs="Arial"/>
          <w:b/>
          <w:sz w:val="24"/>
          <w:szCs w:val="24"/>
          <w:lang w:val="fr-FR"/>
        </w:rPr>
        <w:t>Naureckas</w:t>
      </w:r>
      <w:proofErr w:type="spellEnd"/>
      <w:r w:rsidRPr="00FA3F9C">
        <w:rPr>
          <w:rFonts w:ascii="Arial" w:hAnsi="Arial" w:cs="Arial"/>
          <w:b/>
          <w:sz w:val="24"/>
          <w:szCs w:val="24"/>
          <w:lang w:val="fr-FR"/>
        </w:rPr>
        <w:t xml:space="preserve"> ET, Robinson KA, Mueller G, et al.  </w:t>
      </w:r>
      <w:r w:rsidRPr="00FA3F9C">
        <w:rPr>
          <w:rFonts w:ascii="Arial" w:hAnsi="Arial" w:cs="Arial"/>
          <w:b/>
          <w:sz w:val="24"/>
          <w:szCs w:val="24"/>
        </w:rPr>
        <w:t>cystic Fibrosis Pulmonary Guidelines:  Chronic medications for maintenance of lung health.  Am J Respir Crit Care Med. 2013;187(7):680-689.</w:t>
      </w:r>
    </w:p>
    <w:p w14:paraId="7A6D831D" w14:textId="77777777" w:rsidR="00C3036D" w:rsidRPr="00FA3F9C" w:rsidRDefault="00C3036D" w:rsidP="00C3036D">
      <w:pPr>
        <w:numPr>
          <w:ilvl w:val="0"/>
          <w:numId w:val="285"/>
        </w:numPr>
        <w:spacing w:after="0" w:line="240" w:lineRule="auto"/>
        <w:rPr>
          <w:rFonts w:ascii="Arial" w:hAnsi="Arial" w:cs="Arial"/>
          <w:b/>
          <w:sz w:val="24"/>
          <w:szCs w:val="24"/>
        </w:rPr>
      </w:pPr>
      <w:r w:rsidRPr="00FA3F9C">
        <w:rPr>
          <w:rFonts w:ascii="Arial" w:hAnsi="Arial" w:cs="Arial"/>
          <w:sz w:val="24"/>
          <w:szCs w:val="24"/>
        </w:rPr>
        <w:t xml:space="preserve">Ramsey, B et al.  A CFTR Potentiator in Patients with Cystic Fibrosis and the </w:t>
      </w:r>
      <w:r w:rsidRPr="00FA3F9C">
        <w:rPr>
          <w:rFonts w:ascii="Arial" w:hAnsi="Arial" w:cs="Arial"/>
          <w:i/>
          <w:sz w:val="24"/>
          <w:szCs w:val="24"/>
        </w:rPr>
        <w:t>G551D</w:t>
      </w:r>
      <w:r w:rsidRPr="00FA3F9C">
        <w:rPr>
          <w:rFonts w:ascii="Arial" w:hAnsi="Arial" w:cs="Arial"/>
          <w:sz w:val="24"/>
          <w:szCs w:val="24"/>
        </w:rPr>
        <w:t xml:space="preserve"> Mutation. N </w:t>
      </w:r>
      <w:proofErr w:type="spellStart"/>
      <w:r w:rsidRPr="00FA3F9C">
        <w:rPr>
          <w:rFonts w:ascii="Arial" w:hAnsi="Arial" w:cs="Arial"/>
          <w:sz w:val="24"/>
          <w:szCs w:val="24"/>
        </w:rPr>
        <w:t>Engl</w:t>
      </w:r>
      <w:proofErr w:type="spellEnd"/>
      <w:r w:rsidRPr="00FA3F9C">
        <w:rPr>
          <w:rFonts w:ascii="Arial" w:hAnsi="Arial" w:cs="Arial"/>
          <w:sz w:val="24"/>
          <w:szCs w:val="24"/>
        </w:rPr>
        <w:t xml:space="preserve"> J Med 2011; 365: 1663-72</w:t>
      </w:r>
    </w:p>
    <w:p w14:paraId="564BFA27" w14:textId="77777777" w:rsidR="00C3036D" w:rsidRPr="00FA3F9C" w:rsidRDefault="00C3036D" w:rsidP="00C3036D">
      <w:pPr>
        <w:numPr>
          <w:ilvl w:val="0"/>
          <w:numId w:val="285"/>
        </w:numPr>
        <w:spacing w:after="0" w:line="240" w:lineRule="auto"/>
        <w:rPr>
          <w:rFonts w:ascii="Arial" w:hAnsi="Arial" w:cs="Arial"/>
          <w:b/>
          <w:sz w:val="24"/>
          <w:szCs w:val="24"/>
        </w:rPr>
      </w:pPr>
      <w:proofErr w:type="spellStart"/>
      <w:r w:rsidRPr="00FA3F9C">
        <w:rPr>
          <w:rFonts w:ascii="Arial" w:hAnsi="Arial" w:cs="Arial"/>
          <w:b/>
          <w:sz w:val="24"/>
          <w:szCs w:val="24"/>
        </w:rPr>
        <w:t>Symdeko</w:t>
      </w:r>
      <w:proofErr w:type="spellEnd"/>
      <w:r w:rsidRPr="00FA3F9C">
        <w:rPr>
          <w:rFonts w:ascii="Arial" w:hAnsi="Arial" w:cs="Arial"/>
          <w:b/>
          <w:sz w:val="24"/>
          <w:szCs w:val="24"/>
        </w:rPr>
        <w:t xml:space="preserve"> PI.  Accessed 4/7/21.</w:t>
      </w:r>
    </w:p>
    <w:p w14:paraId="3BC88582" w14:textId="77777777" w:rsidR="00C3036D" w:rsidRPr="00FA3F9C" w:rsidRDefault="00C3036D" w:rsidP="00C3036D">
      <w:pPr>
        <w:numPr>
          <w:ilvl w:val="0"/>
          <w:numId w:val="285"/>
        </w:numPr>
        <w:spacing w:after="0" w:line="240" w:lineRule="auto"/>
        <w:rPr>
          <w:rFonts w:ascii="Arial" w:hAnsi="Arial" w:cs="Arial"/>
          <w:b/>
          <w:sz w:val="24"/>
          <w:szCs w:val="24"/>
        </w:rPr>
      </w:pPr>
      <w:r w:rsidRPr="00FA3F9C">
        <w:rPr>
          <w:rFonts w:ascii="Arial" w:hAnsi="Arial" w:cs="Arial"/>
          <w:b/>
          <w:sz w:val="24"/>
          <w:szCs w:val="24"/>
        </w:rPr>
        <w:t xml:space="preserve">ICER Cystic Fibrosis.  </w:t>
      </w:r>
      <w:hyperlink r:id="rId406" w:history="1">
        <w:r w:rsidRPr="00FA3F9C">
          <w:rPr>
            <w:rStyle w:val="Hyperlink"/>
            <w:rFonts w:ascii="Arial" w:hAnsi="Arial" w:cs="Arial"/>
            <w:b/>
            <w:sz w:val="24"/>
            <w:szCs w:val="24"/>
          </w:rPr>
          <w:t>https://34eyj51jerf417itp82ufdoe-wpengine.netdna-ssl.com/wp-content/uploads/2020/08/ICER_CF_RAAG_092320-1.pdf</w:t>
        </w:r>
      </w:hyperlink>
    </w:p>
    <w:p w14:paraId="16B68FD1" w14:textId="77777777" w:rsidR="00C3036D" w:rsidRPr="00FA3F9C" w:rsidRDefault="00C3036D" w:rsidP="008E75FA">
      <w:pPr>
        <w:ind w:left="360"/>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1"/>
        <w:gridCol w:w="8730"/>
        <w:gridCol w:w="1417"/>
      </w:tblGrid>
      <w:tr w:rsidR="00C3036D" w:rsidRPr="00FA3F9C" w14:paraId="5A48DCFC" w14:textId="77777777" w:rsidTr="008E75FA">
        <w:tc>
          <w:tcPr>
            <w:tcW w:w="1008" w:type="dxa"/>
          </w:tcPr>
          <w:p w14:paraId="74B7F241" w14:textId="77777777" w:rsidR="00C3036D" w:rsidRPr="00FA3F9C" w:rsidRDefault="00C3036D" w:rsidP="00E4013F">
            <w:pPr>
              <w:rPr>
                <w:rFonts w:ascii="Arial" w:hAnsi="Arial" w:cs="Arial"/>
                <w:sz w:val="24"/>
                <w:szCs w:val="24"/>
              </w:rPr>
            </w:pPr>
            <w:r w:rsidRPr="00FA3F9C">
              <w:rPr>
                <w:rFonts w:ascii="Arial" w:hAnsi="Arial" w:cs="Arial"/>
                <w:sz w:val="24"/>
                <w:szCs w:val="24"/>
              </w:rPr>
              <w:lastRenderedPageBreak/>
              <w:t>Date</w:t>
            </w:r>
          </w:p>
        </w:tc>
        <w:tc>
          <w:tcPr>
            <w:tcW w:w="8730" w:type="dxa"/>
          </w:tcPr>
          <w:p w14:paraId="4FD5A3B2" w14:textId="77777777" w:rsidR="00C3036D" w:rsidRPr="00FA3F9C" w:rsidRDefault="00C3036D" w:rsidP="00E4013F">
            <w:pPr>
              <w:rPr>
                <w:rFonts w:ascii="Arial" w:hAnsi="Arial" w:cs="Arial"/>
                <w:sz w:val="24"/>
                <w:szCs w:val="24"/>
              </w:rPr>
            </w:pPr>
            <w:r w:rsidRPr="00FA3F9C">
              <w:rPr>
                <w:rFonts w:ascii="Arial" w:hAnsi="Arial" w:cs="Arial"/>
                <w:sz w:val="24"/>
                <w:szCs w:val="24"/>
              </w:rPr>
              <w:t>What changed?</w:t>
            </w:r>
          </w:p>
        </w:tc>
        <w:tc>
          <w:tcPr>
            <w:tcW w:w="1278" w:type="dxa"/>
          </w:tcPr>
          <w:p w14:paraId="51F5B5B6" w14:textId="77777777" w:rsidR="00C3036D" w:rsidRPr="00FA3F9C" w:rsidRDefault="00C3036D" w:rsidP="00E4013F">
            <w:pPr>
              <w:rPr>
                <w:rFonts w:ascii="Arial" w:hAnsi="Arial" w:cs="Arial"/>
                <w:sz w:val="24"/>
                <w:szCs w:val="24"/>
              </w:rPr>
            </w:pPr>
            <w:r w:rsidRPr="00FA3F9C">
              <w:rPr>
                <w:rFonts w:ascii="Arial" w:hAnsi="Arial" w:cs="Arial"/>
                <w:sz w:val="24"/>
                <w:szCs w:val="24"/>
              </w:rPr>
              <w:t>Pharmacist</w:t>
            </w:r>
          </w:p>
        </w:tc>
      </w:tr>
      <w:tr w:rsidR="00C3036D" w:rsidRPr="00FA3F9C" w14:paraId="5A29F329" w14:textId="77777777" w:rsidTr="008E75FA">
        <w:tc>
          <w:tcPr>
            <w:tcW w:w="1008" w:type="dxa"/>
          </w:tcPr>
          <w:p w14:paraId="38528F88" w14:textId="77777777" w:rsidR="00C3036D" w:rsidRPr="00FA3F9C" w:rsidRDefault="00C3036D" w:rsidP="00B136B1">
            <w:pPr>
              <w:rPr>
                <w:rFonts w:ascii="Arial" w:hAnsi="Arial" w:cs="Arial"/>
                <w:sz w:val="24"/>
                <w:szCs w:val="24"/>
              </w:rPr>
            </w:pPr>
            <w:r w:rsidRPr="00FA3F9C">
              <w:rPr>
                <w:rFonts w:ascii="Arial" w:hAnsi="Arial" w:cs="Arial"/>
                <w:sz w:val="24"/>
                <w:szCs w:val="24"/>
              </w:rPr>
              <w:t>2/25/19</w:t>
            </w:r>
          </w:p>
        </w:tc>
        <w:tc>
          <w:tcPr>
            <w:tcW w:w="8730" w:type="dxa"/>
          </w:tcPr>
          <w:p w14:paraId="52592208" w14:textId="77777777" w:rsidR="00C3036D" w:rsidRPr="00FA3F9C" w:rsidRDefault="00C3036D" w:rsidP="00E4013F">
            <w:pPr>
              <w:rPr>
                <w:rFonts w:ascii="Arial" w:hAnsi="Arial" w:cs="Arial"/>
                <w:sz w:val="24"/>
                <w:szCs w:val="24"/>
              </w:rPr>
            </w:pPr>
            <w:r w:rsidRPr="00FA3F9C">
              <w:rPr>
                <w:rFonts w:ascii="Arial" w:hAnsi="Arial" w:cs="Arial"/>
                <w:sz w:val="24"/>
                <w:szCs w:val="24"/>
              </w:rPr>
              <w:t>I wrote the criteria.</w:t>
            </w:r>
          </w:p>
        </w:tc>
        <w:tc>
          <w:tcPr>
            <w:tcW w:w="1278" w:type="dxa"/>
          </w:tcPr>
          <w:p w14:paraId="407B6DA4" w14:textId="77777777" w:rsidR="00C3036D" w:rsidRPr="00FA3F9C" w:rsidRDefault="00C3036D" w:rsidP="00E4013F">
            <w:pPr>
              <w:rPr>
                <w:rFonts w:ascii="Arial" w:hAnsi="Arial" w:cs="Arial"/>
                <w:sz w:val="24"/>
                <w:szCs w:val="24"/>
              </w:rPr>
            </w:pPr>
            <w:r w:rsidRPr="00FA3F9C">
              <w:rPr>
                <w:rFonts w:ascii="Arial" w:hAnsi="Arial" w:cs="Arial"/>
                <w:sz w:val="24"/>
                <w:szCs w:val="24"/>
              </w:rPr>
              <w:t>JJ</w:t>
            </w:r>
          </w:p>
        </w:tc>
      </w:tr>
      <w:tr w:rsidR="00C3036D" w:rsidRPr="00FA3F9C" w14:paraId="08A0633A" w14:textId="77777777" w:rsidTr="008E75FA">
        <w:tc>
          <w:tcPr>
            <w:tcW w:w="1008" w:type="dxa"/>
          </w:tcPr>
          <w:p w14:paraId="166249C8" w14:textId="77777777" w:rsidR="00C3036D" w:rsidRPr="00FA3F9C" w:rsidRDefault="00C3036D" w:rsidP="00B136B1">
            <w:pPr>
              <w:rPr>
                <w:rFonts w:ascii="Arial" w:hAnsi="Arial" w:cs="Arial"/>
                <w:sz w:val="24"/>
                <w:szCs w:val="24"/>
              </w:rPr>
            </w:pPr>
            <w:r w:rsidRPr="00FA3F9C">
              <w:rPr>
                <w:rFonts w:ascii="Arial" w:hAnsi="Arial" w:cs="Arial"/>
                <w:sz w:val="24"/>
                <w:szCs w:val="24"/>
              </w:rPr>
              <w:t>12/16/19</w:t>
            </w:r>
          </w:p>
        </w:tc>
        <w:tc>
          <w:tcPr>
            <w:tcW w:w="8730" w:type="dxa"/>
          </w:tcPr>
          <w:p w14:paraId="53B547FC" w14:textId="77777777" w:rsidR="00C3036D" w:rsidRPr="00FA3F9C" w:rsidRDefault="00C3036D" w:rsidP="00E4013F">
            <w:pPr>
              <w:rPr>
                <w:rFonts w:ascii="Arial" w:hAnsi="Arial" w:cs="Arial"/>
                <w:sz w:val="24"/>
                <w:szCs w:val="24"/>
              </w:rPr>
            </w:pPr>
            <w:r w:rsidRPr="00FA3F9C">
              <w:rPr>
                <w:rFonts w:ascii="Arial" w:hAnsi="Arial" w:cs="Arial"/>
                <w:sz w:val="24"/>
                <w:szCs w:val="24"/>
              </w:rPr>
              <w:t xml:space="preserve">I updated the format and limited </w:t>
            </w:r>
            <w:proofErr w:type="spellStart"/>
            <w:r w:rsidRPr="00FA3F9C">
              <w:rPr>
                <w:rFonts w:ascii="Arial" w:hAnsi="Arial" w:cs="Arial"/>
                <w:sz w:val="24"/>
                <w:szCs w:val="24"/>
              </w:rPr>
              <w:t>Symdeko</w:t>
            </w:r>
            <w:proofErr w:type="spellEnd"/>
            <w:r w:rsidRPr="00FA3F9C">
              <w:rPr>
                <w:rFonts w:ascii="Arial" w:hAnsi="Arial" w:cs="Arial"/>
                <w:sz w:val="24"/>
                <w:szCs w:val="24"/>
              </w:rPr>
              <w:t xml:space="preserve"> coverage to only ages 6-12y because </w:t>
            </w:r>
            <w:proofErr w:type="spellStart"/>
            <w:r w:rsidRPr="00FA3F9C">
              <w:rPr>
                <w:rFonts w:ascii="Arial" w:hAnsi="Arial" w:cs="Arial"/>
                <w:sz w:val="24"/>
                <w:szCs w:val="24"/>
              </w:rPr>
              <w:t>Trikafta</w:t>
            </w:r>
            <w:proofErr w:type="spellEnd"/>
            <w:r w:rsidRPr="00FA3F9C">
              <w:rPr>
                <w:rFonts w:ascii="Arial" w:hAnsi="Arial" w:cs="Arial"/>
                <w:sz w:val="24"/>
                <w:szCs w:val="24"/>
              </w:rPr>
              <w:t xml:space="preserve"> is recommended and superior in homozygotes older than 12.  From ICER’s RAAG for population 3 (heterozygous F508del + a residual function mutation, </w:t>
            </w:r>
            <w:proofErr w:type="spellStart"/>
            <w:r w:rsidRPr="00FA3F9C">
              <w:rPr>
                <w:rFonts w:ascii="Arial" w:hAnsi="Arial" w:cs="Arial"/>
                <w:sz w:val="24"/>
                <w:szCs w:val="24"/>
              </w:rPr>
              <w:t>Trikafta</w:t>
            </w:r>
            <w:proofErr w:type="spellEnd"/>
            <w:r w:rsidRPr="00FA3F9C">
              <w:rPr>
                <w:rFonts w:ascii="Arial" w:hAnsi="Arial" w:cs="Arial"/>
                <w:sz w:val="24"/>
                <w:szCs w:val="24"/>
              </w:rPr>
              <w:t xml:space="preserve"> has better evidence than </w:t>
            </w:r>
            <w:proofErr w:type="spellStart"/>
            <w:r w:rsidRPr="00FA3F9C">
              <w:rPr>
                <w:rFonts w:ascii="Arial" w:hAnsi="Arial" w:cs="Arial"/>
                <w:sz w:val="24"/>
                <w:szCs w:val="24"/>
              </w:rPr>
              <w:t>Symdeko</w:t>
            </w:r>
            <w:proofErr w:type="spellEnd"/>
            <w:r w:rsidRPr="00FA3F9C">
              <w:rPr>
                <w:rFonts w:ascii="Arial" w:hAnsi="Arial" w:cs="Arial"/>
                <w:sz w:val="24"/>
                <w:szCs w:val="24"/>
              </w:rPr>
              <w:t>.</w:t>
            </w:r>
          </w:p>
        </w:tc>
        <w:tc>
          <w:tcPr>
            <w:tcW w:w="1278" w:type="dxa"/>
          </w:tcPr>
          <w:p w14:paraId="6C976F94" w14:textId="77777777" w:rsidR="00C3036D" w:rsidRPr="00FA3F9C" w:rsidRDefault="00C3036D" w:rsidP="00E4013F">
            <w:pPr>
              <w:rPr>
                <w:rFonts w:ascii="Arial" w:hAnsi="Arial" w:cs="Arial"/>
                <w:sz w:val="24"/>
                <w:szCs w:val="24"/>
              </w:rPr>
            </w:pPr>
            <w:r w:rsidRPr="00FA3F9C">
              <w:rPr>
                <w:rFonts w:ascii="Arial" w:hAnsi="Arial" w:cs="Arial"/>
                <w:sz w:val="24"/>
                <w:szCs w:val="24"/>
              </w:rPr>
              <w:t>JJ</w:t>
            </w:r>
          </w:p>
        </w:tc>
      </w:tr>
      <w:tr w:rsidR="00C3036D" w:rsidRPr="00FA3F9C" w14:paraId="596C0414" w14:textId="77777777" w:rsidTr="008E75FA">
        <w:tc>
          <w:tcPr>
            <w:tcW w:w="1008" w:type="dxa"/>
          </w:tcPr>
          <w:p w14:paraId="0C0B4F43" w14:textId="77777777" w:rsidR="00C3036D" w:rsidRPr="00FA3F9C" w:rsidRDefault="00C3036D" w:rsidP="00B136B1">
            <w:pPr>
              <w:rPr>
                <w:rFonts w:ascii="Arial" w:hAnsi="Arial" w:cs="Arial"/>
                <w:sz w:val="24"/>
                <w:szCs w:val="24"/>
              </w:rPr>
            </w:pPr>
            <w:r w:rsidRPr="00FA3F9C">
              <w:rPr>
                <w:rFonts w:ascii="Arial" w:hAnsi="Arial" w:cs="Arial"/>
                <w:sz w:val="24"/>
                <w:szCs w:val="24"/>
              </w:rPr>
              <w:t>4/7/21</w:t>
            </w:r>
          </w:p>
        </w:tc>
        <w:tc>
          <w:tcPr>
            <w:tcW w:w="8730" w:type="dxa"/>
          </w:tcPr>
          <w:p w14:paraId="28EC70BE" w14:textId="77777777" w:rsidR="00C3036D" w:rsidRPr="00FA3F9C" w:rsidRDefault="00C3036D" w:rsidP="00E4013F">
            <w:pPr>
              <w:rPr>
                <w:rFonts w:ascii="Arial" w:hAnsi="Arial" w:cs="Arial"/>
                <w:sz w:val="24"/>
                <w:szCs w:val="24"/>
              </w:rPr>
            </w:pPr>
            <w:r w:rsidRPr="00FA3F9C">
              <w:rPr>
                <w:rFonts w:ascii="Arial" w:hAnsi="Arial" w:cs="Arial"/>
                <w:sz w:val="24"/>
                <w:szCs w:val="24"/>
              </w:rPr>
              <w:t>I clarified eligible patients to be consistent with EBRx past meeting where we agreed to allow in vitro data of mutations access to the drug.  Applied EBRx criteria to UAS.</w:t>
            </w:r>
          </w:p>
        </w:tc>
        <w:tc>
          <w:tcPr>
            <w:tcW w:w="1278" w:type="dxa"/>
          </w:tcPr>
          <w:p w14:paraId="11ADF3BB" w14:textId="77777777" w:rsidR="00C3036D" w:rsidRPr="00FA3F9C" w:rsidRDefault="00C3036D" w:rsidP="00E4013F">
            <w:pPr>
              <w:rPr>
                <w:rFonts w:ascii="Arial" w:hAnsi="Arial" w:cs="Arial"/>
                <w:sz w:val="24"/>
                <w:szCs w:val="24"/>
              </w:rPr>
            </w:pPr>
            <w:r w:rsidRPr="00FA3F9C">
              <w:rPr>
                <w:rFonts w:ascii="Arial" w:hAnsi="Arial" w:cs="Arial"/>
                <w:sz w:val="24"/>
                <w:szCs w:val="24"/>
              </w:rPr>
              <w:t>JJ</w:t>
            </w:r>
          </w:p>
        </w:tc>
      </w:tr>
    </w:tbl>
    <w:p w14:paraId="1FE5677B" w14:textId="77777777" w:rsidR="00C3036D" w:rsidRPr="00FA3F9C" w:rsidRDefault="00C3036D">
      <w:pPr>
        <w:rPr>
          <w:rFonts w:ascii="Arial" w:hAnsi="Arial" w:cs="Arial"/>
          <w:sz w:val="24"/>
          <w:szCs w:val="24"/>
        </w:rPr>
      </w:pPr>
    </w:p>
    <w:p w14:paraId="09F50656" w14:textId="74B2C6EF" w:rsidR="005C142D" w:rsidRDefault="005C142D" w:rsidP="002166CE">
      <w:pPr>
        <w:pStyle w:val="Heading2"/>
      </w:pPr>
      <w:bookmarkStart w:id="323" w:name="_Toc106369946"/>
      <w:r w:rsidRPr="00FA3F9C">
        <w:t>inhaled tobramycin (TOBI)</w:t>
      </w:r>
      <w:bookmarkEnd w:id="323"/>
    </w:p>
    <w:p w14:paraId="10418DF8" w14:textId="77777777" w:rsidR="0078218F" w:rsidRPr="00FA3F9C" w:rsidRDefault="0078218F" w:rsidP="0078218F">
      <w:pPr>
        <w:spacing w:after="0"/>
        <w:jc w:val="center"/>
        <w:rPr>
          <w:rFonts w:ascii="Arial" w:hAnsi="Arial" w:cs="Arial"/>
          <w:b/>
          <w:sz w:val="24"/>
          <w:szCs w:val="24"/>
        </w:rPr>
      </w:pPr>
      <w:r w:rsidRPr="00FA3F9C">
        <w:rPr>
          <w:rFonts w:ascii="Arial" w:hAnsi="Arial" w:cs="Arial"/>
          <w:b/>
          <w:sz w:val="24"/>
          <w:szCs w:val="24"/>
        </w:rPr>
        <w:t>EB</w:t>
      </w:r>
      <w:r>
        <w:rPr>
          <w:rFonts w:ascii="Arial" w:hAnsi="Arial" w:cs="Arial"/>
          <w:b/>
          <w:sz w:val="24"/>
          <w:szCs w:val="24"/>
        </w:rPr>
        <w:t>Rx</w:t>
      </w:r>
      <w:r w:rsidRPr="00FA3F9C">
        <w:rPr>
          <w:rFonts w:ascii="Arial" w:hAnsi="Arial" w:cs="Arial"/>
          <w:b/>
          <w:sz w:val="24"/>
          <w:szCs w:val="24"/>
        </w:rPr>
        <w:t xml:space="preserve"> PA Criteria</w:t>
      </w:r>
    </w:p>
    <w:p w14:paraId="0986B7B0" w14:textId="77777777" w:rsidR="0078218F" w:rsidRPr="00FA3F9C" w:rsidRDefault="0078218F" w:rsidP="008E480C">
      <w:pPr>
        <w:spacing w:after="0"/>
        <w:jc w:val="center"/>
        <w:rPr>
          <w:rFonts w:ascii="Arial" w:hAnsi="Arial" w:cs="Arial"/>
          <w:b/>
          <w:sz w:val="24"/>
          <w:szCs w:val="24"/>
        </w:rPr>
      </w:pPr>
    </w:p>
    <w:p w14:paraId="1800D32F" w14:textId="77777777" w:rsidR="005C142D" w:rsidRPr="00FA3F9C" w:rsidRDefault="005C142D" w:rsidP="008E480C">
      <w:pPr>
        <w:spacing w:after="0"/>
        <w:jc w:val="center"/>
        <w:rPr>
          <w:rFonts w:ascii="Arial" w:hAnsi="Arial" w:cs="Arial"/>
          <w:b/>
          <w:sz w:val="24"/>
          <w:szCs w:val="24"/>
        </w:rPr>
      </w:pPr>
    </w:p>
    <w:tbl>
      <w:tblPr>
        <w:tblStyle w:val="TableGrid"/>
        <w:tblW w:w="10908" w:type="dxa"/>
        <w:tblLook w:val="04A0" w:firstRow="1" w:lastRow="0" w:firstColumn="1" w:lastColumn="0" w:noHBand="0" w:noVBand="1"/>
      </w:tblPr>
      <w:tblGrid>
        <w:gridCol w:w="10908"/>
      </w:tblGrid>
      <w:tr w:rsidR="005C142D" w:rsidRPr="00FA3F9C" w14:paraId="437ACA90" w14:textId="77777777" w:rsidTr="009D1FE7">
        <w:tc>
          <w:tcPr>
            <w:tcW w:w="10908" w:type="dxa"/>
          </w:tcPr>
          <w:p w14:paraId="72B2768C" w14:textId="77777777" w:rsidR="005C142D" w:rsidRPr="00FA3F9C" w:rsidRDefault="005C142D" w:rsidP="009D1FE7">
            <w:pPr>
              <w:rPr>
                <w:rFonts w:ascii="Arial" w:hAnsi="Arial" w:cs="Arial"/>
                <w:sz w:val="24"/>
                <w:szCs w:val="24"/>
              </w:rPr>
            </w:pPr>
            <w:r w:rsidRPr="00FA3F9C">
              <w:rPr>
                <w:rFonts w:ascii="Arial" w:hAnsi="Arial" w:cs="Arial"/>
                <w:sz w:val="24"/>
                <w:szCs w:val="24"/>
              </w:rPr>
              <w:t>The patient must have a diagnosis of cystic fibrosis.</w:t>
            </w:r>
          </w:p>
        </w:tc>
      </w:tr>
      <w:tr w:rsidR="005C142D" w:rsidRPr="00FA3F9C" w14:paraId="6C423087" w14:textId="77777777" w:rsidTr="009D1FE7">
        <w:tc>
          <w:tcPr>
            <w:tcW w:w="10908" w:type="dxa"/>
          </w:tcPr>
          <w:p w14:paraId="58B9D58C" w14:textId="77777777" w:rsidR="005C142D" w:rsidRPr="00FA3F9C" w:rsidRDefault="005C142D" w:rsidP="008E480C">
            <w:pPr>
              <w:rPr>
                <w:rFonts w:ascii="Arial" w:hAnsi="Arial" w:cs="Arial"/>
                <w:sz w:val="24"/>
                <w:szCs w:val="24"/>
              </w:rPr>
            </w:pPr>
            <w:r w:rsidRPr="00FA3F9C">
              <w:rPr>
                <w:rFonts w:ascii="Arial" w:hAnsi="Arial" w:cs="Arial"/>
                <w:sz w:val="24"/>
                <w:szCs w:val="24"/>
              </w:rPr>
              <w:t>If the request is for diagnosis outside of cystic fibrosis, a manual review will be required. Physician should include literature to support use in diagnosis outside of CF.</w:t>
            </w:r>
          </w:p>
        </w:tc>
      </w:tr>
      <w:tr w:rsidR="005C142D" w:rsidRPr="00FA3F9C" w14:paraId="0E08530A" w14:textId="77777777" w:rsidTr="009D1FE7">
        <w:tc>
          <w:tcPr>
            <w:tcW w:w="10908" w:type="dxa"/>
          </w:tcPr>
          <w:p w14:paraId="424C8E9F" w14:textId="77777777" w:rsidR="005C142D" w:rsidRPr="00FA3F9C" w:rsidRDefault="005C142D" w:rsidP="008E480C">
            <w:pPr>
              <w:rPr>
                <w:rFonts w:ascii="Arial" w:hAnsi="Arial" w:cs="Arial"/>
                <w:sz w:val="24"/>
                <w:szCs w:val="24"/>
              </w:rPr>
            </w:pPr>
            <w:r w:rsidRPr="00FA3F9C">
              <w:rPr>
                <w:rFonts w:ascii="Arial" w:hAnsi="Arial" w:cs="Arial"/>
                <w:sz w:val="24"/>
                <w:szCs w:val="24"/>
              </w:rPr>
              <w:t>NOTE:  There is a QL of 28 days per 56 days consistent with the FDA indication of 28 days ON then 28 days OFF.</w:t>
            </w:r>
          </w:p>
        </w:tc>
      </w:tr>
    </w:tbl>
    <w:p w14:paraId="706661F9" w14:textId="77777777" w:rsidR="005C142D" w:rsidRPr="00FA3F9C" w:rsidRDefault="005C142D" w:rsidP="008E480C">
      <w:pPr>
        <w:spacing w:after="0"/>
        <w:jc w:val="center"/>
        <w:rPr>
          <w:rFonts w:ascii="Arial" w:hAnsi="Arial" w:cs="Arial"/>
          <w:sz w:val="24"/>
          <w:szCs w:val="24"/>
        </w:rPr>
      </w:pPr>
    </w:p>
    <w:p w14:paraId="22C98844" w14:textId="77777777" w:rsidR="005C142D" w:rsidRPr="00FA3F9C" w:rsidRDefault="005C142D" w:rsidP="00F504FF">
      <w:pPr>
        <w:spacing w:after="0"/>
        <w:rPr>
          <w:rFonts w:ascii="Arial" w:hAnsi="Arial" w:cs="Arial"/>
          <w:sz w:val="24"/>
          <w:szCs w:val="24"/>
        </w:rPr>
      </w:pPr>
      <w:r w:rsidRPr="00FA3F9C">
        <w:rPr>
          <w:rFonts w:ascii="Arial" w:hAnsi="Arial" w:cs="Arial"/>
          <w:sz w:val="24"/>
          <w:szCs w:val="24"/>
        </w:rPr>
        <w:t>References:</w:t>
      </w:r>
    </w:p>
    <w:p w14:paraId="287D6774" w14:textId="77777777" w:rsidR="005C142D" w:rsidRPr="00FA3F9C" w:rsidRDefault="005C142D" w:rsidP="00F504FF">
      <w:pPr>
        <w:autoSpaceDE w:val="0"/>
        <w:autoSpaceDN w:val="0"/>
        <w:adjustRightInd w:val="0"/>
        <w:spacing w:after="0" w:line="240" w:lineRule="auto"/>
        <w:rPr>
          <w:rFonts w:ascii="Arial" w:hAnsi="Arial" w:cs="Arial"/>
          <w:sz w:val="24"/>
          <w:szCs w:val="24"/>
        </w:rPr>
      </w:pPr>
      <w:r w:rsidRPr="00FA3F9C">
        <w:rPr>
          <w:rFonts w:ascii="Arial" w:hAnsi="Arial" w:cs="Arial"/>
          <w:sz w:val="24"/>
          <w:szCs w:val="24"/>
        </w:rPr>
        <w:t xml:space="preserve">1.  Flume PA, et al.   Cystic Fibrosis Pulmonary Guidelines Chronic Medications for Maintenance of Lung Health.  </w:t>
      </w:r>
      <w:r w:rsidRPr="00FA3F9C">
        <w:rPr>
          <w:rFonts w:ascii="Arial" w:hAnsi="Arial" w:cs="Arial"/>
          <w:i/>
          <w:sz w:val="24"/>
          <w:szCs w:val="24"/>
        </w:rPr>
        <w:t>Am J Respir Crit Care Med</w:t>
      </w:r>
      <w:r w:rsidRPr="00FA3F9C">
        <w:rPr>
          <w:rFonts w:ascii="Arial" w:hAnsi="Arial" w:cs="Arial"/>
          <w:sz w:val="24"/>
          <w:szCs w:val="24"/>
        </w:rPr>
        <w:t>. 2007;176. pp 957–969.</w:t>
      </w:r>
    </w:p>
    <w:p w14:paraId="6DF6A34E" w14:textId="77777777" w:rsidR="005C142D" w:rsidRPr="00FA3F9C" w:rsidRDefault="005C142D" w:rsidP="00F504FF">
      <w:pPr>
        <w:autoSpaceDE w:val="0"/>
        <w:autoSpaceDN w:val="0"/>
        <w:adjustRightInd w:val="0"/>
        <w:spacing w:after="0" w:line="240" w:lineRule="auto"/>
        <w:rPr>
          <w:rFonts w:ascii="Arial" w:hAnsi="Arial" w:cs="Arial"/>
          <w:sz w:val="24"/>
          <w:szCs w:val="24"/>
        </w:rPr>
      </w:pPr>
      <w:r w:rsidRPr="00FA3F9C">
        <w:rPr>
          <w:rFonts w:ascii="Arial" w:hAnsi="Arial" w:cs="Arial"/>
          <w:sz w:val="24"/>
          <w:szCs w:val="24"/>
        </w:rPr>
        <w:t>2.  Lexi-Comp, FDA-approved dosing. Accessed 11/16/17.</w:t>
      </w:r>
    </w:p>
    <w:p w14:paraId="29E3E332" w14:textId="77777777" w:rsidR="005C142D" w:rsidRPr="00FA3F9C" w:rsidRDefault="005C142D" w:rsidP="00F504FF">
      <w:pPr>
        <w:autoSpaceDE w:val="0"/>
        <w:autoSpaceDN w:val="0"/>
        <w:adjustRightInd w:val="0"/>
        <w:spacing w:after="0" w:line="240" w:lineRule="auto"/>
        <w:rPr>
          <w:rFonts w:ascii="Arial" w:hAnsi="Arial" w:cs="Arial"/>
          <w:sz w:val="24"/>
          <w:szCs w:val="24"/>
        </w:rPr>
      </w:pPr>
    </w:p>
    <w:p w14:paraId="268FB262" w14:textId="77777777" w:rsidR="005C142D" w:rsidRPr="00FA3F9C" w:rsidRDefault="005C142D" w:rsidP="00F504FF">
      <w:pPr>
        <w:autoSpaceDE w:val="0"/>
        <w:autoSpaceDN w:val="0"/>
        <w:adjustRightInd w:val="0"/>
        <w:spacing w:after="0" w:line="240" w:lineRule="auto"/>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151"/>
        <w:gridCol w:w="8280"/>
        <w:gridCol w:w="1620"/>
      </w:tblGrid>
      <w:tr w:rsidR="005C142D" w:rsidRPr="00FA3F9C" w14:paraId="0CA7366F" w14:textId="77777777" w:rsidTr="009D1FE7">
        <w:tc>
          <w:tcPr>
            <w:tcW w:w="1008" w:type="dxa"/>
          </w:tcPr>
          <w:p w14:paraId="71BB1C6F" w14:textId="77777777" w:rsidR="005C142D" w:rsidRPr="00FA3F9C" w:rsidRDefault="005C142D" w:rsidP="00F504FF">
            <w:pPr>
              <w:autoSpaceDE w:val="0"/>
              <w:autoSpaceDN w:val="0"/>
              <w:adjustRightInd w:val="0"/>
              <w:rPr>
                <w:rFonts w:ascii="Arial" w:hAnsi="Arial" w:cs="Arial"/>
                <w:sz w:val="24"/>
                <w:szCs w:val="24"/>
              </w:rPr>
            </w:pPr>
            <w:r w:rsidRPr="00FA3F9C">
              <w:rPr>
                <w:rFonts w:ascii="Arial" w:hAnsi="Arial" w:cs="Arial"/>
                <w:sz w:val="24"/>
                <w:szCs w:val="24"/>
              </w:rPr>
              <w:t>Date</w:t>
            </w:r>
          </w:p>
        </w:tc>
        <w:tc>
          <w:tcPr>
            <w:tcW w:w="8280" w:type="dxa"/>
          </w:tcPr>
          <w:p w14:paraId="323ECF6D" w14:textId="77777777" w:rsidR="005C142D" w:rsidRPr="00FA3F9C" w:rsidRDefault="005C142D" w:rsidP="00F504FF">
            <w:pPr>
              <w:autoSpaceDE w:val="0"/>
              <w:autoSpaceDN w:val="0"/>
              <w:adjustRightInd w:val="0"/>
              <w:rPr>
                <w:rFonts w:ascii="Arial" w:hAnsi="Arial" w:cs="Arial"/>
                <w:sz w:val="24"/>
                <w:szCs w:val="24"/>
              </w:rPr>
            </w:pPr>
            <w:r w:rsidRPr="00FA3F9C">
              <w:rPr>
                <w:rFonts w:ascii="Arial" w:hAnsi="Arial" w:cs="Arial"/>
                <w:sz w:val="24"/>
                <w:szCs w:val="24"/>
              </w:rPr>
              <w:t>What changed?</w:t>
            </w:r>
          </w:p>
        </w:tc>
        <w:tc>
          <w:tcPr>
            <w:tcW w:w="1620" w:type="dxa"/>
          </w:tcPr>
          <w:p w14:paraId="2EA8613D" w14:textId="77777777" w:rsidR="005C142D" w:rsidRPr="00FA3F9C" w:rsidRDefault="005C142D" w:rsidP="00F504FF">
            <w:pPr>
              <w:autoSpaceDE w:val="0"/>
              <w:autoSpaceDN w:val="0"/>
              <w:adjustRightInd w:val="0"/>
              <w:rPr>
                <w:rFonts w:ascii="Arial" w:hAnsi="Arial" w:cs="Arial"/>
                <w:sz w:val="24"/>
                <w:szCs w:val="24"/>
              </w:rPr>
            </w:pPr>
            <w:r w:rsidRPr="00FA3F9C">
              <w:rPr>
                <w:rFonts w:ascii="Arial" w:hAnsi="Arial" w:cs="Arial"/>
                <w:sz w:val="24"/>
                <w:szCs w:val="24"/>
              </w:rPr>
              <w:t>Pharmacist’s initials</w:t>
            </w:r>
          </w:p>
        </w:tc>
      </w:tr>
      <w:tr w:rsidR="005C142D" w:rsidRPr="00FA3F9C" w14:paraId="09452845" w14:textId="77777777" w:rsidTr="009D1FE7">
        <w:tc>
          <w:tcPr>
            <w:tcW w:w="1008" w:type="dxa"/>
          </w:tcPr>
          <w:p w14:paraId="05DFE891" w14:textId="77777777" w:rsidR="005C142D" w:rsidRPr="00FA3F9C" w:rsidRDefault="005C142D" w:rsidP="00F504FF">
            <w:pPr>
              <w:autoSpaceDE w:val="0"/>
              <w:autoSpaceDN w:val="0"/>
              <w:adjustRightInd w:val="0"/>
              <w:rPr>
                <w:rFonts w:ascii="Arial" w:hAnsi="Arial" w:cs="Arial"/>
                <w:sz w:val="24"/>
                <w:szCs w:val="24"/>
              </w:rPr>
            </w:pPr>
            <w:r w:rsidRPr="00FA3F9C">
              <w:rPr>
                <w:rFonts w:ascii="Arial" w:hAnsi="Arial" w:cs="Arial"/>
                <w:sz w:val="24"/>
                <w:szCs w:val="24"/>
              </w:rPr>
              <w:lastRenderedPageBreak/>
              <w:t>5/16/12</w:t>
            </w:r>
          </w:p>
        </w:tc>
        <w:tc>
          <w:tcPr>
            <w:tcW w:w="8280" w:type="dxa"/>
          </w:tcPr>
          <w:p w14:paraId="79E9A48A" w14:textId="77777777" w:rsidR="005C142D" w:rsidRPr="00FA3F9C" w:rsidRDefault="005C142D" w:rsidP="00F504FF">
            <w:pPr>
              <w:autoSpaceDE w:val="0"/>
              <w:autoSpaceDN w:val="0"/>
              <w:adjustRightInd w:val="0"/>
              <w:rPr>
                <w:rFonts w:ascii="Arial" w:hAnsi="Arial" w:cs="Arial"/>
                <w:sz w:val="24"/>
                <w:szCs w:val="24"/>
              </w:rPr>
            </w:pPr>
            <w:r w:rsidRPr="00FA3F9C">
              <w:rPr>
                <w:rFonts w:ascii="Arial" w:hAnsi="Arial" w:cs="Arial"/>
                <w:sz w:val="24"/>
                <w:szCs w:val="24"/>
              </w:rPr>
              <w:t>I added references and revision history.  DUEC has not ever addressed the topic since Jan 2004.  The criteria are supported by the current (2007) CF guidelines.</w:t>
            </w:r>
          </w:p>
        </w:tc>
        <w:tc>
          <w:tcPr>
            <w:tcW w:w="1620" w:type="dxa"/>
          </w:tcPr>
          <w:p w14:paraId="135A463C" w14:textId="77777777" w:rsidR="005C142D" w:rsidRPr="00FA3F9C" w:rsidRDefault="005C142D" w:rsidP="00F504FF">
            <w:pPr>
              <w:autoSpaceDE w:val="0"/>
              <w:autoSpaceDN w:val="0"/>
              <w:adjustRightInd w:val="0"/>
              <w:rPr>
                <w:rFonts w:ascii="Arial" w:hAnsi="Arial" w:cs="Arial"/>
                <w:sz w:val="24"/>
                <w:szCs w:val="24"/>
              </w:rPr>
            </w:pPr>
            <w:r w:rsidRPr="00FA3F9C">
              <w:rPr>
                <w:rFonts w:ascii="Arial" w:hAnsi="Arial" w:cs="Arial"/>
                <w:sz w:val="24"/>
                <w:szCs w:val="24"/>
              </w:rPr>
              <w:t>JJ</w:t>
            </w:r>
          </w:p>
        </w:tc>
      </w:tr>
      <w:tr w:rsidR="005C142D" w:rsidRPr="00FA3F9C" w14:paraId="387CF520" w14:textId="77777777" w:rsidTr="009D1FE7">
        <w:tc>
          <w:tcPr>
            <w:tcW w:w="1008" w:type="dxa"/>
          </w:tcPr>
          <w:p w14:paraId="3D268295" w14:textId="77777777" w:rsidR="005C142D" w:rsidRPr="00FA3F9C" w:rsidRDefault="005C142D" w:rsidP="00F504FF">
            <w:pPr>
              <w:autoSpaceDE w:val="0"/>
              <w:autoSpaceDN w:val="0"/>
              <w:adjustRightInd w:val="0"/>
              <w:rPr>
                <w:rFonts w:ascii="Arial" w:hAnsi="Arial" w:cs="Arial"/>
                <w:sz w:val="24"/>
                <w:szCs w:val="24"/>
              </w:rPr>
            </w:pPr>
            <w:r w:rsidRPr="00FA3F9C">
              <w:rPr>
                <w:rFonts w:ascii="Arial" w:hAnsi="Arial" w:cs="Arial"/>
                <w:sz w:val="24"/>
                <w:szCs w:val="24"/>
              </w:rPr>
              <w:t>11/16/17</w:t>
            </w:r>
          </w:p>
        </w:tc>
        <w:tc>
          <w:tcPr>
            <w:tcW w:w="8280" w:type="dxa"/>
          </w:tcPr>
          <w:p w14:paraId="096C6BB8" w14:textId="77777777" w:rsidR="005C142D" w:rsidRPr="00FA3F9C" w:rsidRDefault="005C142D" w:rsidP="009D1FE7">
            <w:pPr>
              <w:autoSpaceDE w:val="0"/>
              <w:autoSpaceDN w:val="0"/>
              <w:adjustRightInd w:val="0"/>
              <w:rPr>
                <w:rFonts w:ascii="Arial" w:hAnsi="Arial" w:cs="Arial"/>
                <w:sz w:val="24"/>
                <w:szCs w:val="24"/>
              </w:rPr>
            </w:pPr>
            <w:r w:rsidRPr="00FA3F9C">
              <w:rPr>
                <w:rFonts w:ascii="Arial" w:hAnsi="Arial" w:cs="Arial"/>
                <w:sz w:val="24"/>
                <w:szCs w:val="24"/>
              </w:rPr>
              <w:t xml:space="preserve">I added a note for QL of 28 days ON, then 28 days OFF.  GBB is communicating with MI to program the QL restriction. </w:t>
            </w:r>
          </w:p>
        </w:tc>
        <w:tc>
          <w:tcPr>
            <w:tcW w:w="1620" w:type="dxa"/>
          </w:tcPr>
          <w:p w14:paraId="1F6D204D" w14:textId="77777777" w:rsidR="005C142D" w:rsidRPr="00FA3F9C" w:rsidRDefault="005C142D" w:rsidP="00F504FF">
            <w:pPr>
              <w:autoSpaceDE w:val="0"/>
              <w:autoSpaceDN w:val="0"/>
              <w:adjustRightInd w:val="0"/>
              <w:rPr>
                <w:rFonts w:ascii="Arial" w:hAnsi="Arial" w:cs="Arial"/>
                <w:sz w:val="24"/>
                <w:szCs w:val="24"/>
              </w:rPr>
            </w:pPr>
            <w:r w:rsidRPr="00FA3F9C">
              <w:rPr>
                <w:rFonts w:ascii="Arial" w:hAnsi="Arial" w:cs="Arial"/>
                <w:sz w:val="24"/>
                <w:szCs w:val="24"/>
              </w:rPr>
              <w:t>JJ</w:t>
            </w:r>
          </w:p>
        </w:tc>
      </w:tr>
    </w:tbl>
    <w:p w14:paraId="2CD4AD95" w14:textId="77777777" w:rsidR="005C142D" w:rsidRPr="00FA3F9C" w:rsidRDefault="005C142D" w:rsidP="00F504FF">
      <w:pPr>
        <w:autoSpaceDE w:val="0"/>
        <w:autoSpaceDN w:val="0"/>
        <w:adjustRightInd w:val="0"/>
        <w:spacing w:after="0" w:line="240" w:lineRule="auto"/>
        <w:rPr>
          <w:rFonts w:ascii="Arial" w:hAnsi="Arial" w:cs="Arial"/>
          <w:sz w:val="24"/>
          <w:szCs w:val="24"/>
        </w:rPr>
      </w:pPr>
    </w:p>
    <w:p w14:paraId="04CBFFA9" w14:textId="77777777" w:rsidR="005C142D" w:rsidRPr="00FA3F9C" w:rsidRDefault="005C142D" w:rsidP="002166CE">
      <w:pPr>
        <w:pStyle w:val="Heading2"/>
      </w:pPr>
      <w:bookmarkStart w:id="324" w:name="_Toc106369947"/>
      <w:r w:rsidRPr="00FA3F9C">
        <w:t>Trametinib (</w:t>
      </w:r>
      <w:proofErr w:type="spellStart"/>
      <w:r w:rsidRPr="00FA3F9C">
        <w:t>Mekinist</w:t>
      </w:r>
      <w:proofErr w:type="spellEnd"/>
      <w:r w:rsidRPr="00FA3F9C">
        <w:t>)</w:t>
      </w:r>
      <w:bookmarkEnd w:id="324"/>
      <w:r w:rsidRPr="00FA3F9C">
        <w:t xml:space="preserve"> </w:t>
      </w:r>
    </w:p>
    <w:p w14:paraId="211BB1BD" w14:textId="77777777" w:rsidR="005C142D" w:rsidRPr="00FA3F9C" w:rsidRDefault="005C142D" w:rsidP="00462D16">
      <w:pPr>
        <w:jc w:val="center"/>
        <w:rPr>
          <w:rFonts w:ascii="Arial" w:hAnsi="Arial" w:cs="Arial"/>
          <w:sz w:val="24"/>
          <w:szCs w:val="24"/>
        </w:rPr>
      </w:pPr>
      <w:r w:rsidRPr="00FA3F9C">
        <w:rPr>
          <w:rFonts w:ascii="Arial" w:hAnsi="Arial" w:cs="Arial"/>
          <w:sz w:val="24"/>
          <w:szCs w:val="24"/>
        </w:rPr>
        <w:t xml:space="preserve">0.5mg, 2mg tablets </w:t>
      </w:r>
    </w:p>
    <w:p w14:paraId="3E7E741B" w14:textId="77777777" w:rsidR="005C142D" w:rsidRPr="00FA3F9C" w:rsidRDefault="005C142D" w:rsidP="00930C46">
      <w:pPr>
        <w:jc w:val="center"/>
        <w:rPr>
          <w:rFonts w:ascii="Arial" w:hAnsi="Arial" w:cs="Arial"/>
          <w:sz w:val="24"/>
          <w:szCs w:val="24"/>
        </w:rPr>
      </w:pPr>
      <w:r w:rsidRPr="00FA3F9C">
        <w:rPr>
          <w:rFonts w:ascii="Arial" w:hAnsi="Arial" w:cs="Arial"/>
          <w:sz w:val="24"/>
          <w:szCs w:val="24"/>
        </w:rPr>
        <w:t>EBRx PA Criteria</w:t>
      </w:r>
    </w:p>
    <w:p w14:paraId="1438FE7C" w14:textId="77777777" w:rsidR="005C142D" w:rsidRPr="00FA3F9C" w:rsidRDefault="005C142D" w:rsidP="002A23A6">
      <w:pPr>
        <w:jc w:val="center"/>
        <w:rPr>
          <w:rFonts w:ascii="Arial" w:hAnsi="Arial" w:cs="Arial"/>
          <w:b/>
          <w:sz w:val="24"/>
          <w:szCs w:val="24"/>
        </w:rPr>
      </w:pPr>
    </w:p>
    <w:p w14:paraId="6987AA3E" w14:textId="77777777" w:rsidR="005C142D" w:rsidRPr="00FA3F9C" w:rsidRDefault="005C142D" w:rsidP="00BD7F1A">
      <w:pPr>
        <w:ind w:left="90"/>
        <w:rPr>
          <w:rFonts w:ascii="Arial" w:hAnsi="Arial" w:cs="Arial"/>
          <w:b/>
          <w:noProof/>
          <w:sz w:val="24"/>
          <w:szCs w:val="24"/>
          <w:u w:val="single"/>
        </w:rPr>
      </w:pPr>
      <w:r w:rsidRPr="00FA3F9C">
        <w:rPr>
          <w:rFonts w:ascii="Arial" w:hAnsi="Arial" w:cs="Arial"/>
          <w:b/>
          <w:noProof/>
          <w:sz w:val="24"/>
          <w:szCs w:val="24"/>
          <w:u w:val="single"/>
        </w:rPr>
        <w:t>FDA approved for the following:</w:t>
      </w:r>
    </w:p>
    <w:p w14:paraId="149B0C81" w14:textId="77777777" w:rsidR="005C142D" w:rsidRPr="00FA3F9C" w:rsidRDefault="005C142D" w:rsidP="00BD7F1A">
      <w:pPr>
        <w:ind w:left="90"/>
        <w:rPr>
          <w:rFonts w:ascii="Arial" w:hAnsi="Arial" w:cs="Arial"/>
          <w:noProof/>
          <w:sz w:val="24"/>
          <w:szCs w:val="24"/>
        </w:rPr>
      </w:pPr>
      <w:r w:rsidRPr="00FA3F9C">
        <w:rPr>
          <w:rFonts w:ascii="Arial" w:hAnsi="Arial" w:cs="Arial"/>
          <w:noProof/>
          <w:sz w:val="24"/>
          <w:szCs w:val="24"/>
        </w:rPr>
        <w:t xml:space="preserve"> </w:t>
      </w:r>
    </w:p>
    <w:p w14:paraId="1B3B6DA2" w14:textId="77777777" w:rsidR="005C142D" w:rsidRPr="00FA3F9C" w:rsidRDefault="005C142D" w:rsidP="00BD7F1A">
      <w:pPr>
        <w:ind w:left="90"/>
        <w:rPr>
          <w:rFonts w:ascii="Arial" w:hAnsi="Arial" w:cs="Arial"/>
          <w:noProof/>
          <w:sz w:val="24"/>
          <w:szCs w:val="24"/>
        </w:rPr>
      </w:pPr>
      <w:r w:rsidRPr="00FA3F9C">
        <w:rPr>
          <w:rFonts w:ascii="Arial" w:hAnsi="Arial" w:cs="Arial"/>
          <w:noProof/>
          <w:sz w:val="24"/>
          <w:szCs w:val="24"/>
          <w:u w:val="single"/>
        </w:rPr>
        <w:t>As monotherapy</w:t>
      </w:r>
      <w:r w:rsidRPr="00FA3F9C">
        <w:rPr>
          <w:rFonts w:ascii="Arial" w:hAnsi="Arial" w:cs="Arial"/>
          <w:noProof/>
          <w:sz w:val="24"/>
          <w:szCs w:val="24"/>
        </w:rPr>
        <w:t>:</w:t>
      </w:r>
    </w:p>
    <w:p w14:paraId="51E99F3D" w14:textId="77777777" w:rsidR="005C142D" w:rsidRPr="00FA3F9C" w:rsidRDefault="005C142D" w:rsidP="005C142D">
      <w:pPr>
        <w:numPr>
          <w:ilvl w:val="0"/>
          <w:numId w:val="99"/>
        </w:numPr>
        <w:spacing w:after="0" w:line="240" w:lineRule="auto"/>
        <w:ind w:left="270" w:hanging="180"/>
        <w:rPr>
          <w:rFonts w:ascii="Arial" w:hAnsi="Arial" w:cs="Arial"/>
          <w:noProof/>
          <w:sz w:val="24"/>
          <w:szCs w:val="24"/>
        </w:rPr>
      </w:pPr>
      <w:r w:rsidRPr="00FA3F9C">
        <w:rPr>
          <w:rFonts w:ascii="Arial" w:hAnsi="Arial" w:cs="Arial"/>
          <w:noProof/>
          <w:sz w:val="24"/>
          <w:szCs w:val="24"/>
        </w:rPr>
        <w:t xml:space="preserve">treatment of BRAF-inhibitor treatment-naïve patients with unresectable or metastatic melanoma with BRAF V600E or V600K mutations as detected by an FDA-approved test. </w:t>
      </w:r>
      <w:r w:rsidRPr="00FA3F9C">
        <w:rPr>
          <w:rFonts w:ascii="Arial" w:hAnsi="Arial" w:cs="Arial"/>
          <w:noProof/>
          <w:sz w:val="24"/>
          <w:szCs w:val="24"/>
          <w:highlight w:val="yellow"/>
        </w:rPr>
        <w:t>NOT COVERED</w:t>
      </w:r>
      <w:r w:rsidRPr="00FA3F9C">
        <w:rPr>
          <w:rFonts w:ascii="Arial" w:hAnsi="Arial" w:cs="Arial"/>
          <w:noProof/>
          <w:sz w:val="24"/>
          <w:szCs w:val="24"/>
        </w:rPr>
        <w:t xml:space="preserve"> </w:t>
      </w:r>
    </w:p>
    <w:p w14:paraId="0A8EDAA1" w14:textId="77777777" w:rsidR="005C142D" w:rsidRPr="00FA3F9C" w:rsidRDefault="005C142D" w:rsidP="005C142D">
      <w:pPr>
        <w:numPr>
          <w:ilvl w:val="1"/>
          <w:numId w:val="99"/>
        </w:numPr>
        <w:spacing w:after="0" w:line="240" w:lineRule="auto"/>
        <w:ind w:left="720" w:hanging="180"/>
        <w:rPr>
          <w:rFonts w:ascii="Arial" w:hAnsi="Arial" w:cs="Arial"/>
          <w:noProof/>
          <w:sz w:val="24"/>
          <w:szCs w:val="24"/>
        </w:rPr>
      </w:pPr>
      <w:r w:rsidRPr="00FA3F9C">
        <w:rPr>
          <w:rFonts w:ascii="Arial" w:hAnsi="Arial" w:cs="Arial"/>
          <w:noProof/>
          <w:sz w:val="24"/>
          <w:szCs w:val="24"/>
        </w:rPr>
        <w:t>EBRx prefers combination therapy over monotherapy. Trametinib monotherapy did improve overall survival compared with chemotherapy. However, monotherapy with trametinib appears inferior to BRAF inhibitor monotherapy and BRAF/MEK inhibitor combination therapy.</w:t>
      </w:r>
    </w:p>
    <w:p w14:paraId="25660272" w14:textId="77777777" w:rsidR="005C142D" w:rsidRPr="00FA3F9C" w:rsidRDefault="005C142D" w:rsidP="005C142D">
      <w:pPr>
        <w:numPr>
          <w:ilvl w:val="1"/>
          <w:numId w:val="99"/>
        </w:numPr>
        <w:spacing w:after="0" w:line="240" w:lineRule="auto"/>
        <w:ind w:left="720" w:hanging="180"/>
        <w:rPr>
          <w:rFonts w:ascii="Arial" w:hAnsi="Arial" w:cs="Arial"/>
          <w:noProof/>
          <w:sz w:val="24"/>
          <w:szCs w:val="24"/>
        </w:rPr>
      </w:pPr>
      <w:r w:rsidRPr="00FA3F9C">
        <w:rPr>
          <w:rFonts w:ascii="Arial" w:hAnsi="Arial" w:cs="Arial"/>
          <w:noProof/>
          <w:sz w:val="24"/>
          <w:szCs w:val="24"/>
          <w:lang w:val="fr-FR"/>
        </w:rPr>
        <w:t xml:space="preserve">Reference: Robert C et al. </w:t>
      </w:r>
      <w:r w:rsidRPr="00FA3F9C">
        <w:rPr>
          <w:rFonts w:ascii="Arial" w:hAnsi="Arial" w:cs="Arial"/>
          <w:noProof/>
          <w:sz w:val="24"/>
          <w:szCs w:val="24"/>
        </w:rPr>
        <w:t>Five-year outcomes from a phase 3 METRIC study in patients with BRAF V600 E/K-mutant advanced or metastatic melanoma. Eur J Cancer 2019 Mar;109:61-69. PMID 30690294, NCT01245062</w:t>
      </w:r>
    </w:p>
    <w:p w14:paraId="55788C7B" w14:textId="77777777" w:rsidR="005C142D" w:rsidRPr="00FA3F9C" w:rsidRDefault="005C142D" w:rsidP="00BD7F1A">
      <w:pPr>
        <w:ind w:left="90"/>
        <w:rPr>
          <w:rFonts w:ascii="Arial" w:hAnsi="Arial" w:cs="Arial"/>
          <w:noProof/>
          <w:sz w:val="24"/>
          <w:szCs w:val="24"/>
        </w:rPr>
      </w:pPr>
    </w:p>
    <w:p w14:paraId="0CB225F3" w14:textId="77777777" w:rsidR="005C142D" w:rsidRPr="00FA3F9C" w:rsidRDefault="005C142D" w:rsidP="00BD7F1A">
      <w:pPr>
        <w:ind w:left="90"/>
        <w:rPr>
          <w:rFonts w:ascii="Arial" w:hAnsi="Arial" w:cs="Arial"/>
          <w:noProof/>
          <w:sz w:val="24"/>
          <w:szCs w:val="24"/>
          <w:u w:val="single"/>
        </w:rPr>
      </w:pPr>
      <w:r w:rsidRPr="00FA3F9C">
        <w:rPr>
          <w:rFonts w:ascii="Arial" w:hAnsi="Arial" w:cs="Arial"/>
          <w:noProof/>
          <w:sz w:val="24"/>
          <w:szCs w:val="24"/>
          <w:u w:val="single"/>
        </w:rPr>
        <w:t>In combination with dabrafenib:</w:t>
      </w:r>
    </w:p>
    <w:p w14:paraId="296697E5" w14:textId="77777777" w:rsidR="005C142D" w:rsidRPr="00FA3F9C" w:rsidRDefault="005C142D" w:rsidP="005C142D">
      <w:pPr>
        <w:numPr>
          <w:ilvl w:val="0"/>
          <w:numId w:val="99"/>
        </w:numPr>
        <w:spacing w:after="0" w:line="240" w:lineRule="auto"/>
        <w:ind w:left="270" w:hanging="180"/>
        <w:rPr>
          <w:rFonts w:ascii="Arial" w:hAnsi="Arial" w:cs="Arial"/>
          <w:noProof/>
          <w:sz w:val="24"/>
          <w:szCs w:val="24"/>
        </w:rPr>
      </w:pPr>
      <w:r w:rsidRPr="00FA3F9C">
        <w:rPr>
          <w:rFonts w:ascii="Arial" w:hAnsi="Arial" w:cs="Arial"/>
          <w:noProof/>
          <w:sz w:val="24"/>
          <w:szCs w:val="24"/>
        </w:rPr>
        <w:t xml:space="preserve">treatment of patients with unresectable or metastatic melanoma with BRAF V600E or V600K mutations as detected by an FDA-approved test. </w:t>
      </w:r>
      <w:r w:rsidRPr="00FA3F9C">
        <w:rPr>
          <w:rFonts w:ascii="Arial" w:hAnsi="Arial" w:cs="Arial"/>
          <w:noProof/>
          <w:sz w:val="24"/>
          <w:szCs w:val="24"/>
          <w:highlight w:val="cyan"/>
        </w:rPr>
        <w:t>Covered in first line setting only</w:t>
      </w:r>
    </w:p>
    <w:p w14:paraId="5FDE0401" w14:textId="77777777" w:rsidR="005C142D" w:rsidRPr="00FA3F9C" w:rsidRDefault="005C142D" w:rsidP="005C142D">
      <w:pPr>
        <w:numPr>
          <w:ilvl w:val="0"/>
          <w:numId w:val="99"/>
        </w:numPr>
        <w:spacing w:after="0" w:line="240" w:lineRule="auto"/>
        <w:ind w:left="270" w:hanging="180"/>
        <w:rPr>
          <w:rFonts w:ascii="Arial" w:hAnsi="Arial" w:cs="Arial"/>
          <w:noProof/>
          <w:sz w:val="24"/>
          <w:szCs w:val="24"/>
        </w:rPr>
      </w:pPr>
      <w:r w:rsidRPr="00FA3F9C">
        <w:rPr>
          <w:rFonts w:ascii="Arial" w:hAnsi="Arial" w:cs="Arial"/>
          <w:noProof/>
          <w:sz w:val="24"/>
          <w:szCs w:val="24"/>
        </w:rPr>
        <w:t xml:space="preserve">adjuvant treatment of patients with melanoma with BRAF V600E or V600K mutations, as detected by an FDA-approved test, and involvement of lymph node(s), following complete resection.  </w:t>
      </w:r>
      <w:r w:rsidRPr="00FA3F9C">
        <w:rPr>
          <w:rFonts w:ascii="Arial" w:hAnsi="Arial" w:cs="Arial"/>
          <w:noProof/>
          <w:sz w:val="24"/>
          <w:szCs w:val="24"/>
          <w:highlight w:val="cyan"/>
        </w:rPr>
        <w:t>Covered</w:t>
      </w:r>
    </w:p>
    <w:p w14:paraId="634C9611" w14:textId="77777777" w:rsidR="005C142D" w:rsidRPr="00FA3F9C" w:rsidRDefault="005C142D" w:rsidP="005C142D">
      <w:pPr>
        <w:numPr>
          <w:ilvl w:val="0"/>
          <w:numId w:val="99"/>
        </w:numPr>
        <w:spacing w:after="0" w:line="240" w:lineRule="auto"/>
        <w:ind w:left="270" w:hanging="180"/>
        <w:rPr>
          <w:rFonts w:ascii="Arial" w:hAnsi="Arial" w:cs="Arial"/>
          <w:noProof/>
          <w:sz w:val="24"/>
          <w:szCs w:val="24"/>
        </w:rPr>
      </w:pPr>
      <w:r w:rsidRPr="00FA3F9C">
        <w:rPr>
          <w:rFonts w:ascii="Arial" w:hAnsi="Arial" w:cs="Arial"/>
          <w:noProof/>
          <w:sz w:val="24"/>
          <w:szCs w:val="24"/>
        </w:rPr>
        <w:lastRenderedPageBreak/>
        <w:t xml:space="preserve">treatment of patients with metastatic non-small cell lung cancer (NSCLC) with BRAF V600E mutation as detected by an FDA-approved test. </w:t>
      </w:r>
      <w:r w:rsidRPr="00FA3F9C">
        <w:rPr>
          <w:rFonts w:ascii="Arial" w:hAnsi="Arial" w:cs="Arial"/>
          <w:noProof/>
          <w:sz w:val="24"/>
          <w:szCs w:val="24"/>
          <w:highlight w:val="yellow"/>
        </w:rPr>
        <w:t>NOT COVERED</w:t>
      </w:r>
      <w:r w:rsidRPr="00FA3F9C">
        <w:rPr>
          <w:rFonts w:ascii="Arial" w:hAnsi="Arial" w:cs="Arial"/>
          <w:noProof/>
          <w:sz w:val="24"/>
          <w:szCs w:val="24"/>
        </w:rPr>
        <w:t>: data limited to single arm trial only; no comparative or overall survival data at this time (other option: platinum-based chemotherapy +/- pembrolizumab)</w:t>
      </w:r>
    </w:p>
    <w:p w14:paraId="0C26061C" w14:textId="77777777" w:rsidR="005C142D" w:rsidRPr="00FA3F9C" w:rsidRDefault="005C142D" w:rsidP="00514218">
      <w:pPr>
        <w:ind w:left="270" w:firstLine="450"/>
        <w:rPr>
          <w:rFonts w:ascii="Arial" w:hAnsi="Arial" w:cs="Arial"/>
          <w:noProof/>
          <w:sz w:val="24"/>
          <w:szCs w:val="24"/>
        </w:rPr>
      </w:pPr>
      <w:r w:rsidRPr="00FA3F9C">
        <w:rPr>
          <w:rFonts w:ascii="Arial" w:hAnsi="Arial" w:cs="Arial"/>
          <w:noProof/>
          <w:sz w:val="24"/>
          <w:szCs w:val="24"/>
          <w:lang w:val="fr-FR"/>
        </w:rPr>
        <w:t xml:space="preserve">-Reference: Planchard D et al. </w:t>
      </w:r>
      <w:r w:rsidRPr="00FA3F9C">
        <w:rPr>
          <w:rFonts w:ascii="Arial" w:hAnsi="Arial" w:cs="Arial"/>
          <w:noProof/>
          <w:sz w:val="24"/>
          <w:szCs w:val="24"/>
        </w:rPr>
        <w:t>Lancet Oncol 2017; 18:1307-1316. PMID 28919011</w:t>
      </w:r>
    </w:p>
    <w:p w14:paraId="29C52449" w14:textId="77777777" w:rsidR="005C142D" w:rsidRPr="00FA3F9C" w:rsidRDefault="005C142D" w:rsidP="005C142D">
      <w:pPr>
        <w:numPr>
          <w:ilvl w:val="0"/>
          <w:numId w:val="99"/>
        </w:numPr>
        <w:spacing w:after="0" w:line="240" w:lineRule="auto"/>
        <w:ind w:left="270" w:hanging="180"/>
        <w:rPr>
          <w:rFonts w:ascii="Arial" w:hAnsi="Arial" w:cs="Arial"/>
          <w:noProof/>
          <w:sz w:val="24"/>
          <w:szCs w:val="24"/>
        </w:rPr>
      </w:pPr>
      <w:r w:rsidRPr="00FA3F9C">
        <w:rPr>
          <w:rFonts w:ascii="Arial" w:hAnsi="Arial" w:cs="Arial"/>
          <w:noProof/>
          <w:sz w:val="24"/>
          <w:szCs w:val="24"/>
        </w:rPr>
        <w:t xml:space="preserve">treatment of patients with locally advanced or metastatic anaplastic thyroid cancer (ATC) with BRAF V600E mutation and with no satisfactory locoregional treatment options </w:t>
      </w:r>
      <w:r w:rsidRPr="00FA3F9C">
        <w:rPr>
          <w:rFonts w:ascii="Arial" w:hAnsi="Arial" w:cs="Arial"/>
          <w:noProof/>
          <w:sz w:val="24"/>
          <w:szCs w:val="24"/>
          <w:highlight w:val="yellow"/>
        </w:rPr>
        <w:t>NOT COVERED</w:t>
      </w:r>
      <w:r w:rsidRPr="00FA3F9C">
        <w:rPr>
          <w:rFonts w:ascii="Arial" w:hAnsi="Arial" w:cs="Arial"/>
          <w:noProof/>
          <w:sz w:val="24"/>
          <w:szCs w:val="24"/>
        </w:rPr>
        <w:t xml:space="preserve">: no comparative data at this time (other option: chemotherapy) </w:t>
      </w:r>
    </w:p>
    <w:p w14:paraId="0B0DBC45" w14:textId="77777777" w:rsidR="005C142D" w:rsidRPr="00FA3F9C" w:rsidRDefault="005C142D" w:rsidP="00514218">
      <w:pPr>
        <w:ind w:left="810"/>
        <w:rPr>
          <w:rFonts w:ascii="Arial" w:hAnsi="Arial" w:cs="Arial"/>
          <w:noProof/>
          <w:sz w:val="24"/>
          <w:szCs w:val="24"/>
        </w:rPr>
      </w:pPr>
      <w:r w:rsidRPr="00FA3F9C">
        <w:rPr>
          <w:rFonts w:ascii="Arial" w:hAnsi="Arial" w:cs="Arial"/>
          <w:noProof/>
          <w:sz w:val="24"/>
          <w:szCs w:val="24"/>
        </w:rPr>
        <w:t>-Reference: Subbiah V et al. J Clin Oncol 2018; 36(1):713. PMID 29072975</w:t>
      </w:r>
    </w:p>
    <w:p w14:paraId="28FC5BF0" w14:textId="77777777" w:rsidR="005C142D" w:rsidRPr="00FA3F9C" w:rsidRDefault="005C142D" w:rsidP="00BD7F1A">
      <w:pPr>
        <w:ind w:left="90"/>
        <w:rPr>
          <w:rFonts w:ascii="Arial" w:hAnsi="Arial" w:cs="Arial"/>
          <w:noProof/>
          <w:sz w:val="24"/>
          <w:szCs w:val="24"/>
        </w:rPr>
      </w:pPr>
    </w:p>
    <w:p w14:paraId="745FDADB" w14:textId="77777777" w:rsidR="005C142D" w:rsidRPr="00FA3F9C" w:rsidRDefault="005C142D" w:rsidP="002A23A6">
      <w:pPr>
        <w:jc w:val="center"/>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6"/>
        <w:gridCol w:w="2044"/>
      </w:tblGrid>
      <w:tr w:rsidR="005C142D" w:rsidRPr="00FA3F9C" w14:paraId="1948559F" w14:textId="77777777" w:rsidTr="00270F20">
        <w:tc>
          <w:tcPr>
            <w:tcW w:w="8746" w:type="dxa"/>
            <w:shd w:val="clear" w:color="auto" w:fill="000000"/>
          </w:tcPr>
          <w:p w14:paraId="1C5BE724" w14:textId="77777777" w:rsidR="005C142D" w:rsidRPr="00FA3F9C" w:rsidRDefault="005C142D" w:rsidP="00270F20">
            <w:pPr>
              <w:rPr>
                <w:rFonts w:ascii="Arial" w:hAnsi="Arial" w:cs="Arial"/>
                <w:b/>
                <w:sz w:val="24"/>
                <w:szCs w:val="24"/>
                <w:u w:val="single"/>
              </w:rPr>
            </w:pPr>
            <w:r w:rsidRPr="00FA3F9C">
              <w:rPr>
                <w:rFonts w:ascii="Arial" w:hAnsi="Arial" w:cs="Arial"/>
                <w:b/>
                <w:sz w:val="24"/>
                <w:szCs w:val="24"/>
                <w:u w:val="single"/>
              </w:rPr>
              <w:t>Advanced/Metastatic melanoma: criteria for new users</w:t>
            </w:r>
          </w:p>
        </w:tc>
        <w:tc>
          <w:tcPr>
            <w:tcW w:w="2044" w:type="dxa"/>
            <w:shd w:val="clear" w:color="auto" w:fill="000000"/>
          </w:tcPr>
          <w:p w14:paraId="0CBF12FE" w14:textId="77777777" w:rsidR="005C142D" w:rsidRPr="00FA3F9C" w:rsidRDefault="005C142D" w:rsidP="00270F20">
            <w:pPr>
              <w:jc w:val="center"/>
              <w:rPr>
                <w:rFonts w:ascii="Arial" w:hAnsi="Arial" w:cs="Arial"/>
                <w:b/>
                <w:sz w:val="24"/>
                <w:szCs w:val="24"/>
                <w:u w:val="single"/>
              </w:rPr>
            </w:pPr>
          </w:p>
        </w:tc>
      </w:tr>
      <w:tr w:rsidR="005C142D" w:rsidRPr="00FA3F9C" w14:paraId="0E21C726" w14:textId="77777777" w:rsidTr="00270F20">
        <w:tc>
          <w:tcPr>
            <w:tcW w:w="10790" w:type="dxa"/>
            <w:gridSpan w:val="2"/>
            <w:shd w:val="clear" w:color="auto" w:fill="auto"/>
          </w:tcPr>
          <w:p w14:paraId="070962D9" w14:textId="77777777" w:rsidR="005C142D" w:rsidRPr="00FA3F9C" w:rsidRDefault="005C142D" w:rsidP="00270F20">
            <w:pPr>
              <w:rPr>
                <w:rFonts w:ascii="Arial" w:hAnsi="Arial" w:cs="Arial"/>
                <w:sz w:val="24"/>
                <w:szCs w:val="24"/>
              </w:rPr>
            </w:pPr>
            <w:r w:rsidRPr="00FA3F9C">
              <w:rPr>
                <w:rFonts w:ascii="Arial" w:hAnsi="Arial" w:cs="Arial"/>
                <w:sz w:val="24"/>
                <w:szCs w:val="24"/>
              </w:rPr>
              <w:t xml:space="preserve">1. Patient must have histologically confirmed unresectable or metastatic cutaneous melanoma </w:t>
            </w:r>
          </w:p>
        </w:tc>
      </w:tr>
      <w:tr w:rsidR="005C142D" w:rsidRPr="00FA3F9C" w14:paraId="2B9C5E32" w14:textId="77777777" w:rsidTr="00270F20">
        <w:tc>
          <w:tcPr>
            <w:tcW w:w="10790" w:type="dxa"/>
            <w:gridSpan w:val="2"/>
            <w:shd w:val="clear" w:color="auto" w:fill="auto"/>
          </w:tcPr>
          <w:p w14:paraId="40E1A5A4" w14:textId="77777777" w:rsidR="005C142D" w:rsidRPr="00FA3F9C" w:rsidRDefault="005C142D" w:rsidP="00270F20">
            <w:pPr>
              <w:rPr>
                <w:rFonts w:ascii="Arial" w:hAnsi="Arial" w:cs="Arial"/>
                <w:sz w:val="24"/>
                <w:szCs w:val="24"/>
              </w:rPr>
            </w:pPr>
            <w:r w:rsidRPr="00FA3F9C">
              <w:rPr>
                <w:rFonts w:ascii="Arial" w:hAnsi="Arial" w:cs="Arial"/>
                <w:sz w:val="24"/>
                <w:szCs w:val="24"/>
              </w:rPr>
              <w:t xml:space="preserve">2. Patient must be BRAF V600E or BRAF V600K mutation </w:t>
            </w:r>
          </w:p>
        </w:tc>
      </w:tr>
      <w:tr w:rsidR="005C142D" w:rsidRPr="00FA3F9C" w14:paraId="43517037" w14:textId="77777777" w:rsidTr="00270F20">
        <w:tc>
          <w:tcPr>
            <w:tcW w:w="10790" w:type="dxa"/>
            <w:gridSpan w:val="2"/>
            <w:shd w:val="clear" w:color="auto" w:fill="auto"/>
          </w:tcPr>
          <w:p w14:paraId="28D660EF" w14:textId="77777777" w:rsidR="005C142D" w:rsidRPr="00FA3F9C" w:rsidRDefault="005C142D" w:rsidP="00270F20">
            <w:pPr>
              <w:rPr>
                <w:rFonts w:ascii="Arial" w:hAnsi="Arial" w:cs="Arial"/>
                <w:sz w:val="24"/>
                <w:szCs w:val="24"/>
              </w:rPr>
            </w:pPr>
            <w:r w:rsidRPr="00FA3F9C">
              <w:rPr>
                <w:rFonts w:ascii="Arial" w:hAnsi="Arial" w:cs="Arial"/>
                <w:sz w:val="24"/>
                <w:szCs w:val="24"/>
              </w:rPr>
              <w:t>3. Patient must be ECOG 0 or 1.</w:t>
            </w:r>
          </w:p>
        </w:tc>
      </w:tr>
      <w:tr w:rsidR="005C142D" w:rsidRPr="00FA3F9C" w14:paraId="1BF7EAF3" w14:textId="77777777" w:rsidTr="00270F20">
        <w:tc>
          <w:tcPr>
            <w:tcW w:w="10790" w:type="dxa"/>
            <w:gridSpan w:val="2"/>
            <w:shd w:val="clear" w:color="auto" w:fill="auto"/>
          </w:tcPr>
          <w:p w14:paraId="264ABB15" w14:textId="77777777" w:rsidR="005C142D" w:rsidRPr="00FA3F9C" w:rsidRDefault="005C142D" w:rsidP="00270F20">
            <w:pPr>
              <w:rPr>
                <w:rFonts w:ascii="Arial" w:hAnsi="Arial" w:cs="Arial"/>
                <w:sz w:val="24"/>
                <w:szCs w:val="24"/>
              </w:rPr>
            </w:pPr>
            <w:r w:rsidRPr="00FA3F9C">
              <w:rPr>
                <w:rFonts w:ascii="Arial" w:hAnsi="Arial" w:cs="Arial"/>
                <w:sz w:val="24"/>
                <w:szCs w:val="24"/>
              </w:rPr>
              <w:t>4. The patient must not have received previous systemic therapy for advanced/metastatic melanoma.</w:t>
            </w:r>
          </w:p>
        </w:tc>
      </w:tr>
      <w:tr w:rsidR="005C142D" w:rsidRPr="00FA3F9C" w14:paraId="5B27F03B" w14:textId="77777777" w:rsidTr="00270F20">
        <w:tc>
          <w:tcPr>
            <w:tcW w:w="10790" w:type="dxa"/>
            <w:gridSpan w:val="2"/>
            <w:shd w:val="clear" w:color="auto" w:fill="auto"/>
          </w:tcPr>
          <w:p w14:paraId="10FD2959" w14:textId="77777777" w:rsidR="005C142D" w:rsidRPr="00FA3F9C" w:rsidRDefault="005C142D" w:rsidP="00761A3A">
            <w:pPr>
              <w:rPr>
                <w:rFonts w:ascii="Arial" w:hAnsi="Arial" w:cs="Arial"/>
                <w:sz w:val="24"/>
                <w:szCs w:val="24"/>
              </w:rPr>
            </w:pPr>
            <w:r w:rsidRPr="00FA3F9C">
              <w:rPr>
                <w:rFonts w:ascii="Arial" w:hAnsi="Arial" w:cs="Arial"/>
                <w:sz w:val="24"/>
                <w:szCs w:val="24"/>
              </w:rPr>
              <w:t>5. Trametinib must be used in combination with dabrafenib (</w:t>
            </w:r>
            <w:proofErr w:type="spellStart"/>
            <w:r w:rsidRPr="00FA3F9C">
              <w:rPr>
                <w:rFonts w:ascii="Arial" w:hAnsi="Arial" w:cs="Arial"/>
                <w:sz w:val="24"/>
                <w:szCs w:val="24"/>
              </w:rPr>
              <w:t>Tafinlar</w:t>
            </w:r>
            <w:proofErr w:type="spellEnd"/>
            <w:r w:rsidRPr="00FA3F9C">
              <w:rPr>
                <w:rFonts w:ascii="Arial" w:hAnsi="Arial" w:cs="Arial"/>
                <w:sz w:val="24"/>
                <w:szCs w:val="24"/>
              </w:rPr>
              <w:t>)</w:t>
            </w:r>
          </w:p>
        </w:tc>
      </w:tr>
      <w:tr w:rsidR="005C142D" w:rsidRPr="00FA3F9C" w14:paraId="4A28BC53" w14:textId="77777777" w:rsidTr="00270F20">
        <w:trPr>
          <w:trHeight w:val="107"/>
        </w:trPr>
        <w:tc>
          <w:tcPr>
            <w:tcW w:w="10790" w:type="dxa"/>
            <w:gridSpan w:val="2"/>
            <w:tcBorders>
              <w:bottom w:val="single" w:sz="4" w:space="0" w:color="auto"/>
            </w:tcBorders>
            <w:shd w:val="clear" w:color="auto" w:fill="auto"/>
          </w:tcPr>
          <w:p w14:paraId="2637EA6A" w14:textId="77777777" w:rsidR="005C142D" w:rsidRPr="00FA3F9C" w:rsidRDefault="005C142D" w:rsidP="00270F20">
            <w:pPr>
              <w:rPr>
                <w:rFonts w:ascii="Arial" w:hAnsi="Arial" w:cs="Arial"/>
                <w:b/>
                <w:sz w:val="24"/>
                <w:szCs w:val="24"/>
              </w:rPr>
            </w:pPr>
            <w:r w:rsidRPr="00FA3F9C">
              <w:rPr>
                <w:rFonts w:ascii="Arial" w:hAnsi="Arial" w:cs="Arial"/>
                <w:b/>
                <w:sz w:val="24"/>
                <w:szCs w:val="24"/>
              </w:rPr>
              <w:t xml:space="preserve">If above criteria fulfilled, approve for 12 months </w:t>
            </w:r>
          </w:p>
        </w:tc>
      </w:tr>
      <w:tr w:rsidR="005C142D" w:rsidRPr="00FA3F9C" w14:paraId="44538AB4" w14:textId="77777777" w:rsidTr="00270F20">
        <w:trPr>
          <w:trHeight w:val="107"/>
        </w:trPr>
        <w:tc>
          <w:tcPr>
            <w:tcW w:w="10790" w:type="dxa"/>
            <w:gridSpan w:val="2"/>
            <w:tcBorders>
              <w:bottom w:val="single" w:sz="4" w:space="0" w:color="auto"/>
            </w:tcBorders>
            <w:shd w:val="clear" w:color="auto" w:fill="auto"/>
          </w:tcPr>
          <w:p w14:paraId="17CD9180" w14:textId="77777777" w:rsidR="005C142D" w:rsidRPr="00FA3F9C" w:rsidRDefault="005C142D" w:rsidP="00930C46">
            <w:pPr>
              <w:rPr>
                <w:rFonts w:ascii="Arial" w:hAnsi="Arial" w:cs="Arial"/>
                <w:b/>
                <w:sz w:val="24"/>
                <w:szCs w:val="24"/>
                <w:highlight w:val="yellow"/>
              </w:rPr>
            </w:pPr>
            <w:r w:rsidRPr="00FA3F9C">
              <w:rPr>
                <w:rFonts w:ascii="Arial" w:hAnsi="Arial" w:cs="Arial"/>
                <w:b/>
                <w:sz w:val="24"/>
                <w:szCs w:val="24"/>
              </w:rPr>
              <w:t>Quantity Limits: 2 mg: #30/30 days</w:t>
            </w:r>
          </w:p>
        </w:tc>
      </w:tr>
      <w:tr w:rsidR="005C142D" w:rsidRPr="00FA3F9C" w14:paraId="2CD6CD66" w14:textId="77777777" w:rsidTr="00270F20">
        <w:trPr>
          <w:trHeight w:val="107"/>
        </w:trPr>
        <w:tc>
          <w:tcPr>
            <w:tcW w:w="10790" w:type="dxa"/>
            <w:gridSpan w:val="2"/>
            <w:tcBorders>
              <w:bottom w:val="single" w:sz="4" w:space="0" w:color="auto"/>
            </w:tcBorders>
            <w:shd w:val="clear" w:color="auto" w:fill="D9D9D9"/>
          </w:tcPr>
          <w:p w14:paraId="53FD05DD" w14:textId="77777777" w:rsidR="005C142D" w:rsidRPr="00FA3F9C" w:rsidRDefault="005C142D" w:rsidP="00930C46">
            <w:pPr>
              <w:rPr>
                <w:rFonts w:ascii="Arial" w:hAnsi="Arial" w:cs="Arial"/>
                <w:sz w:val="24"/>
                <w:szCs w:val="24"/>
              </w:rPr>
            </w:pPr>
            <w:r w:rsidRPr="00FA3F9C">
              <w:rPr>
                <w:rFonts w:ascii="Arial" w:hAnsi="Arial" w:cs="Arial"/>
                <w:b/>
                <w:sz w:val="24"/>
                <w:szCs w:val="24"/>
                <w:u w:val="single"/>
              </w:rPr>
              <w:t>Note: Treatment continues until progression or unacceptable toxicity.</w:t>
            </w:r>
            <w:r w:rsidRPr="00FA3F9C">
              <w:rPr>
                <w:rFonts w:ascii="Arial" w:hAnsi="Arial" w:cs="Arial"/>
                <w:sz w:val="24"/>
                <w:szCs w:val="24"/>
              </w:rPr>
              <w:t xml:space="preserve"> </w:t>
            </w:r>
          </w:p>
        </w:tc>
      </w:tr>
      <w:tr w:rsidR="005C142D" w:rsidRPr="00FA3F9C" w14:paraId="47C2F043" w14:textId="77777777" w:rsidTr="00270F20">
        <w:trPr>
          <w:trHeight w:val="56"/>
        </w:trPr>
        <w:tc>
          <w:tcPr>
            <w:tcW w:w="10790" w:type="dxa"/>
            <w:gridSpan w:val="2"/>
            <w:tcBorders>
              <w:bottom w:val="single" w:sz="4" w:space="0" w:color="auto"/>
            </w:tcBorders>
            <w:shd w:val="clear" w:color="auto" w:fill="BFBFBF"/>
          </w:tcPr>
          <w:p w14:paraId="47927AED" w14:textId="77777777" w:rsidR="005C142D" w:rsidRPr="00FA3F9C" w:rsidRDefault="005C142D" w:rsidP="00270F20">
            <w:pPr>
              <w:rPr>
                <w:rFonts w:ascii="Arial" w:hAnsi="Arial" w:cs="Arial"/>
                <w:sz w:val="24"/>
                <w:szCs w:val="24"/>
                <w:u w:val="single"/>
              </w:rPr>
            </w:pPr>
            <w:r w:rsidRPr="00FA3F9C">
              <w:rPr>
                <w:rFonts w:ascii="Arial" w:hAnsi="Arial" w:cs="Arial"/>
                <w:sz w:val="24"/>
                <w:szCs w:val="24"/>
                <w:u w:val="single"/>
              </w:rPr>
              <w:t>Starting doses:</w:t>
            </w:r>
          </w:p>
          <w:p w14:paraId="5982AAC4" w14:textId="77777777" w:rsidR="005C142D" w:rsidRPr="00FA3F9C" w:rsidRDefault="005C142D" w:rsidP="00270F20">
            <w:pPr>
              <w:rPr>
                <w:rFonts w:ascii="Arial" w:hAnsi="Arial" w:cs="Arial"/>
                <w:sz w:val="24"/>
                <w:szCs w:val="24"/>
              </w:rPr>
            </w:pPr>
            <w:r w:rsidRPr="00FA3F9C">
              <w:rPr>
                <w:rFonts w:ascii="Arial" w:hAnsi="Arial" w:cs="Arial"/>
                <w:sz w:val="24"/>
                <w:szCs w:val="24"/>
              </w:rPr>
              <w:t xml:space="preserve">Dabrafenib 150 mg PO bid </w:t>
            </w:r>
          </w:p>
          <w:p w14:paraId="04DE04C9" w14:textId="77777777" w:rsidR="005C142D" w:rsidRPr="00FA3F9C" w:rsidRDefault="005C142D" w:rsidP="00270F20">
            <w:pPr>
              <w:rPr>
                <w:rFonts w:ascii="Arial" w:hAnsi="Arial" w:cs="Arial"/>
                <w:sz w:val="24"/>
                <w:szCs w:val="24"/>
              </w:rPr>
            </w:pPr>
            <w:r w:rsidRPr="00FA3F9C">
              <w:rPr>
                <w:rFonts w:ascii="Arial" w:hAnsi="Arial" w:cs="Arial"/>
                <w:sz w:val="24"/>
                <w:szCs w:val="24"/>
              </w:rPr>
              <w:t>Trametinib 2 mg PO daily</w:t>
            </w:r>
          </w:p>
          <w:p w14:paraId="546A55DB" w14:textId="77777777" w:rsidR="005C142D" w:rsidRPr="00FA3F9C" w:rsidRDefault="005C142D" w:rsidP="00270F20">
            <w:pPr>
              <w:rPr>
                <w:rFonts w:ascii="Arial" w:hAnsi="Arial" w:cs="Arial"/>
                <w:sz w:val="24"/>
                <w:szCs w:val="24"/>
              </w:rPr>
            </w:pPr>
          </w:p>
          <w:p w14:paraId="0E6C8D4D" w14:textId="77777777" w:rsidR="005C142D" w:rsidRPr="00FA3F9C" w:rsidRDefault="005C142D" w:rsidP="00270F20">
            <w:pPr>
              <w:rPr>
                <w:rFonts w:ascii="Arial" w:hAnsi="Arial" w:cs="Arial"/>
                <w:b/>
                <w:sz w:val="24"/>
                <w:szCs w:val="24"/>
                <w:u w:val="single"/>
              </w:rPr>
            </w:pPr>
            <w:r w:rsidRPr="00FA3F9C">
              <w:rPr>
                <w:rFonts w:ascii="Arial" w:hAnsi="Arial" w:cs="Arial"/>
                <w:b/>
                <w:sz w:val="24"/>
                <w:szCs w:val="24"/>
                <w:u w:val="single"/>
              </w:rPr>
              <w:t>Evidence:</w:t>
            </w:r>
          </w:p>
          <w:p w14:paraId="7575752C" w14:textId="77777777" w:rsidR="005C142D" w:rsidRPr="00FA3F9C" w:rsidRDefault="005C142D" w:rsidP="00270F20">
            <w:pPr>
              <w:rPr>
                <w:rFonts w:ascii="Arial" w:hAnsi="Arial" w:cs="Arial"/>
                <w:sz w:val="24"/>
                <w:szCs w:val="24"/>
              </w:rPr>
            </w:pPr>
            <w:proofErr w:type="spellStart"/>
            <w:r w:rsidRPr="00FA3F9C">
              <w:rPr>
                <w:rFonts w:ascii="Arial" w:hAnsi="Arial" w:cs="Arial"/>
                <w:sz w:val="24"/>
                <w:szCs w:val="24"/>
              </w:rPr>
              <w:t>Dabrafenib+trametinib</w:t>
            </w:r>
            <w:proofErr w:type="spellEnd"/>
            <w:r w:rsidRPr="00FA3F9C">
              <w:rPr>
                <w:rFonts w:ascii="Arial" w:hAnsi="Arial" w:cs="Arial"/>
                <w:sz w:val="24"/>
                <w:szCs w:val="24"/>
              </w:rPr>
              <w:t xml:space="preserve"> was superior to dabrafenib monotherapy and vemurafenib monotherapy in the Combi-d and Combi-v studies, respectively. Overall survival for combination therapy was 25 </w:t>
            </w:r>
            <w:proofErr w:type="spellStart"/>
            <w:r w:rsidRPr="00FA3F9C">
              <w:rPr>
                <w:rFonts w:ascii="Arial" w:hAnsi="Arial" w:cs="Arial"/>
                <w:sz w:val="24"/>
                <w:szCs w:val="24"/>
              </w:rPr>
              <w:t>mo</w:t>
            </w:r>
            <w:proofErr w:type="spellEnd"/>
            <w:r w:rsidRPr="00FA3F9C">
              <w:rPr>
                <w:rFonts w:ascii="Arial" w:hAnsi="Arial" w:cs="Arial"/>
                <w:sz w:val="24"/>
                <w:szCs w:val="24"/>
              </w:rPr>
              <w:t xml:space="preserve"> versus 17-18 months in the monotherapy arms</w:t>
            </w:r>
            <w:r w:rsidRPr="00FA3F9C">
              <w:rPr>
                <w:rFonts w:ascii="Arial" w:hAnsi="Arial" w:cs="Arial"/>
                <w:sz w:val="24"/>
                <w:szCs w:val="24"/>
                <w:vertAlign w:val="superscript"/>
              </w:rPr>
              <w:t>1,2</w:t>
            </w:r>
            <w:r w:rsidRPr="00FA3F9C">
              <w:rPr>
                <w:rFonts w:ascii="Arial" w:hAnsi="Arial" w:cs="Arial"/>
                <w:sz w:val="24"/>
                <w:szCs w:val="24"/>
              </w:rPr>
              <w:t xml:space="preserve">. </w:t>
            </w:r>
          </w:p>
          <w:p w14:paraId="361D0DA6" w14:textId="77777777" w:rsidR="005C142D" w:rsidRPr="00FA3F9C" w:rsidRDefault="005C142D" w:rsidP="00270F20">
            <w:pPr>
              <w:rPr>
                <w:rFonts w:ascii="Arial" w:hAnsi="Arial" w:cs="Arial"/>
                <w:sz w:val="24"/>
                <w:szCs w:val="24"/>
              </w:rPr>
            </w:pPr>
          </w:p>
          <w:p w14:paraId="13A16C1A" w14:textId="77777777" w:rsidR="005C142D" w:rsidRPr="00FA3F9C" w:rsidRDefault="005C142D" w:rsidP="00270F20">
            <w:pPr>
              <w:rPr>
                <w:rFonts w:ascii="Arial" w:hAnsi="Arial" w:cs="Arial"/>
                <w:sz w:val="24"/>
                <w:szCs w:val="24"/>
              </w:rPr>
            </w:pPr>
            <w:r w:rsidRPr="00FA3F9C">
              <w:rPr>
                <w:rFonts w:ascii="Arial" w:hAnsi="Arial" w:cs="Arial"/>
                <w:sz w:val="24"/>
                <w:szCs w:val="24"/>
              </w:rPr>
              <w:t>References:</w:t>
            </w:r>
          </w:p>
          <w:p w14:paraId="32BCF045" w14:textId="77777777" w:rsidR="005C142D" w:rsidRPr="00FA3F9C" w:rsidRDefault="00500371" w:rsidP="005C142D">
            <w:pPr>
              <w:numPr>
                <w:ilvl w:val="0"/>
                <w:numId w:val="100"/>
              </w:numPr>
              <w:spacing w:after="0" w:line="240" w:lineRule="auto"/>
              <w:ind w:left="90" w:hanging="180"/>
              <w:rPr>
                <w:rFonts w:ascii="Arial" w:hAnsi="Arial" w:cs="Arial"/>
                <w:sz w:val="24"/>
                <w:szCs w:val="24"/>
              </w:rPr>
            </w:pPr>
            <w:hyperlink r:id="rId407" w:history="1">
              <w:r w:rsidR="005C142D" w:rsidRPr="00FA3F9C">
                <w:rPr>
                  <w:rStyle w:val="Hyperlink"/>
                  <w:rFonts w:ascii="Arial" w:hAnsi="Arial" w:cs="Arial"/>
                  <w:sz w:val="24"/>
                  <w:szCs w:val="24"/>
                </w:rPr>
                <w:t>Long GV</w:t>
              </w:r>
            </w:hyperlink>
            <w:r w:rsidR="005C142D" w:rsidRPr="00FA3F9C">
              <w:rPr>
                <w:rFonts w:ascii="Arial" w:hAnsi="Arial" w:cs="Arial"/>
                <w:sz w:val="24"/>
                <w:szCs w:val="24"/>
              </w:rPr>
              <w:t xml:space="preserve"> et al.</w:t>
            </w:r>
            <w:r w:rsidR="005C142D" w:rsidRPr="00FA3F9C">
              <w:rPr>
                <w:rFonts w:ascii="Arial" w:hAnsi="Arial" w:cs="Arial"/>
                <w:bCs/>
                <w:sz w:val="24"/>
                <w:szCs w:val="24"/>
              </w:rPr>
              <w:t xml:space="preserve"> Dabrafenib plus trametinib versus dabrafenib monotherapy in patients with metastatic BRAF V600E/K-mutant melanoma: long-term survival and safety analysis of a phase 3 study. </w:t>
            </w:r>
            <w:hyperlink r:id="rId408" w:tooltip="Annals of oncology : official journal of the European Society for Medical Oncology." w:history="1">
              <w:r w:rsidR="005C142D" w:rsidRPr="00FA3F9C">
                <w:rPr>
                  <w:rStyle w:val="Hyperlink"/>
                  <w:rFonts w:ascii="Arial" w:hAnsi="Arial" w:cs="Arial"/>
                  <w:sz w:val="24"/>
                  <w:szCs w:val="24"/>
                </w:rPr>
                <w:t>Ann Oncol.</w:t>
              </w:r>
            </w:hyperlink>
            <w:r w:rsidR="005C142D" w:rsidRPr="00FA3F9C">
              <w:rPr>
                <w:rFonts w:ascii="Arial" w:hAnsi="Arial" w:cs="Arial"/>
                <w:sz w:val="24"/>
                <w:szCs w:val="24"/>
              </w:rPr>
              <w:t> 2017 Jul 1;28(7):1631-1639. PMID 28475671 NCT01584648</w:t>
            </w:r>
          </w:p>
          <w:p w14:paraId="155A6435" w14:textId="77777777" w:rsidR="005C142D" w:rsidRPr="00FA3F9C" w:rsidRDefault="005C142D" w:rsidP="005C142D">
            <w:pPr>
              <w:numPr>
                <w:ilvl w:val="0"/>
                <w:numId w:val="100"/>
              </w:numPr>
              <w:spacing w:after="0" w:line="240" w:lineRule="auto"/>
              <w:ind w:left="90" w:hanging="180"/>
              <w:rPr>
                <w:rFonts w:ascii="Arial" w:hAnsi="Arial" w:cs="Arial"/>
                <w:sz w:val="24"/>
                <w:szCs w:val="24"/>
              </w:rPr>
            </w:pPr>
            <w:r w:rsidRPr="00FA3F9C">
              <w:rPr>
                <w:rFonts w:ascii="Arial" w:hAnsi="Arial" w:cs="Arial"/>
                <w:sz w:val="24"/>
                <w:szCs w:val="24"/>
              </w:rPr>
              <w:t xml:space="preserve">Robert C et al. Improved overall survival in melanoma with combined dabrafenib and trametinib. N </w:t>
            </w:r>
            <w:proofErr w:type="spellStart"/>
            <w:r w:rsidRPr="00FA3F9C">
              <w:rPr>
                <w:rFonts w:ascii="Arial" w:hAnsi="Arial" w:cs="Arial"/>
                <w:sz w:val="24"/>
                <w:szCs w:val="24"/>
              </w:rPr>
              <w:t>Engl</w:t>
            </w:r>
            <w:proofErr w:type="spellEnd"/>
            <w:r w:rsidRPr="00FA3F9C">
              <w:rPr>
                <w:rFonts w:ascii="Arial" w:hAnsi="Arial" w:cs="Arial"/>
                <w:sz w:val="24"/>
                <w:szCs w:val="24"/>
              </w:rPr>
              <w:t xml:space="preserve"> J Med. 2015 Jan 1;372(1):30-9. PMID 2539951 NCT01597908</w:t>
            </w:r>
          </w:p>
        </w:tc>
      </w:tr>
    </w:tbl>
    <w:p w14:paraId="1C881E39" w14:textId="77777777" w:rsidR="005C142D" w:rsidRPr="00FA3F9C" w:rsidRDefault="005C142D" w:rsidP="00BD7F1A">
      <w:pPr>
        <w:rPr>
          <w:rFonts w:ascii="Arial" w:hAnsi="Arial" w:cs="Arial"/>
          <w:noProof/>
          <w:sz w:val="24"/>
          <w:szCs w:val="24"/>
        </w:rPr>
      </w:pPr>
    </w:p>
    <w:p w14:paraId="2CFC290E" w14:textId="77777777" w:rsidR="005C142D" w:rsidRPr="00FA3F9C" w:rsidRDefault="005C142D" w:rsidP="00BD7F1A">
      <w:pPr>
        <w:rPr>
          <w:rFonts w:ascii="Arial" w:hAnsi="Arial" w:cs="Arial"/>
          <w:noProof/>
          <w:sz w:val="24"/>
          <w:szCs w:val="24"/>
        </w:rPr>
      </w:pPr>
    </w:p>
    <w:p w14:paraId="60BFC857" w14:textId="77777777" w:rsidR="005C142D" w:rsidRPr="00FA3F9C" w:rsidRDefault="005C142D" w:rsidP="00BD7F1A">
      <w:pPr>
        <w:rPr>
          <w:rFonts w:ascii="Arial" w:hAnsi="Arial" w:cs="Arial"/>
          <w:noProof/>
          <w:sz w:val="24"/>
          <w:szCs w:val="24"/>
        </w:rPr>
      </w:pPr>
    </w:p>
    <w:p w14:paraId="38758BAC" w14:textId="77777777" w:rsidR="005C142D" w:rsidRPr="00FA3F9C" w:rsidRDefault="005C142D" w:rsidP="00BD7F1A">
      <w:pPr>
        <w:rPr>
          <w:rFonts w:ascii="Arial" w:hAnsi="Arial" w:cs="Arial"/>
          <w:noProof/>
          <w:sz w:val="24"/>
          <w:szCs w:val="24"/>
        </w:rPr>
      </w:pPr>
    </w:p>
    <w:p w14:paraId="107C05B3" w14:textId="77777777" w:rsidR="005C142D" w:rsidRPr="00FA3F9C" w:rsidRDefault="005C142D" w:rsidP="00BD7F1A">
      <w:pPr>
        <w:rPr>
          <w:rFonts w:ascii="Arial" w:hAnsi="Arial" w:cs="Arial"/>
          <w:noProof/>
          <w:sz w:val="24"/>
          <w:szCs w:val="24"/>
        </w:rPr>
      </w:pPr>
    </w:p>
    <w:p w14:paraId="00F3710F" w14:textId="77777777" w:rsidR="005C142D" w:rsidRPr="00FA3F9C" w:rsidRDefault="005C142D" w:rsidP="00BD7F1A">
      <w:pPr>
        <w:rPr>
          <w:rFonts w:ascii="Arial" w:hAnsi="Arial" w:cs="Arial"/>
          <w:noProof/>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7"/>
        <w:gridCol w:w="1949"/>
      </w:tblGrid>
      <w:tr w:rsidR="005C142D" w:rsidRPr="00FA3F9C" w14:paraId="074499C5" w14:textId="77777777" w:rsidTr="00270F20">
        <w:tc>
          <w:tcPr>
            <w:tcW w:w="8347" w:type="dxa"/>
            <w:shd w:val="clear" w:color="auto" w:fill="000000"/>
          </w:tcPr>
          <w:p w14:paraId="1644F570" w14:textId="77777777" w:rsidR="005C142D" w:rsidRPr="00FA3F9C" w:rsidRDefault="005C142D" w:rsidP="00270F20">
            <w:pPr>
              <w:rPr>
                <w:rFonts w:ascii="Arial" w:hAnsi="Arial" w:cs="Arial"/>
                <w:b/>
                <w:sz w:val="24"/>
                <w:szCs w:val="24"/>
                <w:u w:val="single"/>
              </w:rPr>
            </w:pPr>
            <w:r w:rsidRPr="00FA3F9C">
              <w:rPr>
                <w:rFonts w:ascii="Arial" w:hAnsi="Arial" w:cs="Arial"/>
                <w:b/>
                <w:sz w:val="24"/>
                <w:szCs w:val="24"/>
                <w:u w:val="single"/>
              </w:rPr>
              <w:t>Adjuvant treatment of melanoma: criteria for new users</w:t>
            </w:r>
          </w:p>
        </w:tc>
        <w:tc>
          <w:tcPr>
            <w:tcW w:w="1949" w:type="dxa"/>
            <w:shd w:val="clear" w:color="auto" w:fill="000000"/>
          </w:tcPr>
          <w:p w14:paraId="6E888AE0" w14:textId="77777777" w:rsidR="005C142D" w:rsidRPr="00FA3F9C" w:rsidRDefault="005C142D" w:rsidP="00270F20">
            <w:pPr>
              <w:jc w:val="center"/>
              <w:rPr>
                <w:rFonts w:ascii="Arial" w:hAnsi="Arial" w:cs="Arial"/>
                <w:b/>
                <w:sz w:val="24"/>
                <w:szCs w:val="24"/>
                <w:u w:val="single"/>
              </w:rPr>
            </w:pPr>
          </w:p>
        </w:tc>
      </w:tr>
      <w:tr w:rsidR="005C142D" w:rsidRPr="00FA3F9C" w14:paraId="3D08A08D" w14:textId="77777777" w:rsidTr="00270F20">
        <w:tc>
          <w:tcPr>
            <w:tcW w:w="10296" w:type="dxa"/>
            <w:gridSpan w:val="2"/>
            <w:shd w:val="clear" w:color="auto" w:fill="auto"/>
          </w:tcPr>
          <w:p w14:paraId="6DCBC31A" w14:textId="77777777" w:rsidR="005C142D" w:rsidRPr="00FA3F9C" w:rsidRDefault="005C142D" w:rsidP="00462D16">
            <w:pPr>
              <w:rPr>
                <w:rFonts w:ascii="Arial" w:hAnsi="Arial" w:cs="Arial"/>
                <w:sz w:val="24"/>
                <w:szCs w:val="24"/>
              </w:rPr>
            </w:pPr>
            <w:r w:rsidRPr="00FA3F9C">
              <w:rPr>
                <w:rFonts w:ascii="Arial" w:hAnsi="Arial" w:cs="Arial"/>
                <w:sz w:val="24"/>
                <w:szCs w:val="24"/>
              </w:rPr>
              <w:t xml:space="preserve">1. Patient must have stage III cutaneous melanoma </w:t>
            </w:r>
          </w:p>
        </w:tc>
      </w:tr>
      <w:tr w:rsidR="005C142D" w:rsidRPr="00FA3F9C" w14:paraId="29AC1C36" w14:textId="77777777" w:rsidTr="00270F20">
        <w:tc>
          <w:tcPr>
            <w:tcW w:w="10296" w:type="dxa"/>
            <w:gridSpan w:val="2"/>
            <w:shd w:val="clear" w:color="auto" w:fill="auto"/>
          </w:tcPr>
          <w:p w14:paraId="0F040E7A" w14:textId="77777777" w:rsidR="005C142D" w:rsidRPr="00FA3F9C" w:rsidRDefault="005C142D" w:rsidP="00270F20">
            <w:pPr>
              <w:rPr>
                <w:rFonts w:ascii="Arial" w:hAnsi="Arial" w:cs="Arial"/>
                <w:sz w:val="24"/>
                <w:szCs w:val="24"/>
              </w:rPr>
            </w:pPr>
            <w:r w:rsidRPr="00FA3F9C">
              <w:rPr>
                <w:rFonts w:ascii="Arial" w:hAnsi="Arial" w:cs="Arial"/>
                <w:sz w:val="24"/>
                <w:szCs w:val="24"/>
              </w:rPr>
              <w:t>2. Patient must have undergone complete resection of melanoma</w:t>
            </w:r>
          </w:p>
        </w:tc>
      </w:tr>
      <w:tr w:rsidR="005C142D" w:rsidRPr="00FA3F9C" w14:paraId="3A81A0D9" w14:textId="77777777" w:rsidTr="00270F20">
        <w:tc>
          <w:tcPr>
            <w:tcW w:w="10296" w:type="dxa"/>
            <w:gridSpan w:val="2"/>
            <w:shd w:val="clear" w:color="auto" w:fill="auto"/>
          </w:tcPr>
          <w:p w14:paraId="4AC31ECE" w14:textId="77777777" w:rsidR="005C142D" w:rsidRPr="00FA3F9C" w:rsidRDefault="005C142D" w:rsidP="00270F20">
            <w:pPr>
              <w:rPr>
                <w:rFonts w:ascii="Arial" w:hAnsi="Arial" w:cs="Arial"/>
                <w:sz w:val="24"/>
                <w:szCs w:val="24"/>
              </w:rPr>
            </w:pPr>
            <w:r w:rsidRPr="00FA3F9C">
              <w:rPr>
                <w:rFonts w:ascii="Arial" w:hAnsi="Arial" w:cs="Arial"/>
                <w:sz w:val="24"/>
                <w:szCs w:val="24"/>
              </w:rPr>
              <w:t xml:space="preserve">3. Patient must be BRAF V600E or BRAF V600K mutation </w:t>
            </w:r>
          </w:p>
        </w:tc>
      </w:tr>
      <w:tr w:rsidR="005C142D" w:rsidRPr="00FA3F9C" w14:paraId="39CCDA89" w14:textId="77777777" w:rsidTr="00270F20">
        <w:tc>
          <w:tcPr>
            <w:tcW w:w="10296" w:type="dxa"/>
            <w:gridSpan w:val="2"/>
            <w:shd w:val="clear" w:color="auto" w:fill="auto"/>
          </w:tcPr>
          <w:p w14:paraId="1A0480C6" w14:textId="77777777" w:rsidR="005C142D" w:rsidRPr="00FA3F9C" w:rsidRDefault="005C142D" w:rsidP="00270F20">
            <w:pPr>
              <w:rPr>
                <w:rFonts w:ascii="Arial" w:hAnsi="Arial" w:cs="Arial"/>
                <w:sz w:val="24"/>
                <w:szCs w:val="24"/>
              </w:rPr>
            </w:pPr>
            <w:r w:rsidRPr="00FA3F9C">
              <w:rPr>
                <w:rFonts w:ascii="Arial" w:hAnsi="Arial" w:cs="Arial"/>
                <w:sz w:val="24"/>
                <w:szCs w:val="24"/>
              </w:rPr>
              <w:lastRenderedPageBreak/>
              <w:t>4. Patient must be ECOG 0 or 1.</w:t>
            </w:r>
          </w:p>
        </w:tc>
      </w:tr>
      <w:tr w:rsidR="005C142D" w:rsidRPr="00FA3F9C" w14:paraId="2F56DAA3" w14:textId="77777777" w:rsidTr="00270F20">
        <w:tc>
          <w:tcPr>
            <w:tcW w:w="10296" w:type="dxa"/>
            <w:gridSpan w:val="2"/>
            <w:shd w:val="clear" w:color="auto" w:fill="auto"/>
          </w:tcPr>
          <w:p w14:paraId="02E892DD" w14:textId="77777777" w:rsidR="005C142D" w:rsidRPr="00FA3F9C" w:rsidRDefault="005C142D" w:rsidP="00270E40">
            <w:pPr>
              <w:rPr>
                <w:rFonts w:ascii="Arial" w:hAnsi="Arial" w:cs="Arial"/>
                <w:sz w:val="24"/>
                <w:szCs w:val="24"/>
              </w:rPr>
            </w:pPr>
            <w:r w:rsidRPr="00FA3F9C">
              <w:rPr>
                <w:rFonts w:ascii="Arial" w:hAnsi="Arial" w:cs="Arial"/>
                <w:sz w:val="24"/>
                <w:szCs w:val="24"/>
              </w:rPr>
              <w:t>5. Trametinib must be used in combination with dabrafenib (monotherapy has not been studied in the adjuvant setting)</w:t>
            </w:r>
          </w:p>
        </w:tc>
      </w:tr>
      <w:tr w:rsidR="005C142D" w:rsidRPr="00FA3F9C" w14:paraId="70A2F29F" w14:textId="77777777" w:rsidTr="00270F20">
        <w:trPr>
          <w:trHeight w:val="107"/>
        </w:trPr>
        <w:tc>
          <w:tcPr>
            <w:tcW w:w="10296" w:type="dxa"/>
            <w:gridSpan w:val="2"/>
            <w:tcBorders>
              <w:bottom w:val="single" w:sz="4" w:space="0" w:color="auto"/>
            </w:tcBorders>
            <w:shd w:val="clear" w:color="auto" w:fill="auto"/>
          </w:tcPr>
          <w:p w14:paraId="320E7B75" w14:textId="77777777" w:rsidR="005C142D" w:rsidRPr="00FA3F9C" w:rsidRDefault="005C142D" w:rsidP="00270F20">
            <w:pPr>
              <w:rPr>
                <w:rFonts w:ascii="Arial" w:hAnsi="Arial" w:cs="Arial"/>
                <w:b/>
                <w:sz w:val="24"/>
                <w:szCs w:val="24"/>
              </w:rPr>
            </w:pPr>
            <w:r w:rsidRPr="00FA3F9C">
              <w:rPr>
                <w:rFonts w:ascii="Arial" w:hAnsi="Arial" w:cs="Arial"/>
                <w:b/>
                <w:sz w:val="24"/>
                <w:szCs w:val="24"/>
              </w:rPr>
              <w:t>If above criteria fulfilled, approve for 12 months. *Adjuvant therapy for melanoma should not exceed 12 months.*</w:t>
            </w:r>
          </w:p>
        </w:tc>
      </w:tr>
      <w:tr w:rsidR="005C142D" w:rsidRPr="00FA3F9C" w14:paraId="358D8BCC" w14:textId="77777777" w:rsidTr="00270F20">
        <w:trPr>
          <w:trHeight w:val="107"/>
        </w:trPr>
        <w:tc>
          <w:tcPr>
            <w:tcW w:w="10296" w:type="dxa"/>
            <w:gridSpan w:val="2"/>
            <w:tcBorders>
              <w:bottom w:val="single" w:sz="4" w:space="0" w:color="auto"/>
            </w:tcBorders>
            <w:shd w:val="clear" w:color="auto" w:fill="auto"/>
          </w:tcPr>
          <w:p w14:paraId="3642A3AA" w14:textId="77777777" w:rsidR="005C142D" w:rsidRPr="00FA3F9C" w:rsidRDefault="005C142D" w:rsidP="00462D16">
            <w:pPr>
              <w:rPr>
                <w:rFonts w:ascii="Arial" w:hAnsi="Arial" w:cs="Arial"/>
                <w:sz w:val="24"/>
                <w:szCs w:val="24"/>
              </w:rPr>
            </w:pPr>
            <w:r w:rsidRPr="00FA3F9C">
              <w:rPr>
                <w:rFonts w:ascii="Arial" w:hAnsi="Arial" w:cs="Arial"/>
                <w:b/>
                <w:sz w:val="24"/>
                <w:szCs w:val="24"/>
              </w:rPr>
              <w:t xml:space="preserve">Quantity limits: </w:t>
            </w:r>
            <w:r w:rsidRPr="00FA3F9C">
              <w:rPr>
                <w:rFonts w:ascii="Arial" w:hAnsi="Arial" w:cs="Arial"/>
                <w:sz w:val="24"/>
                <w:szCs w:val="24"/>
              </w:rPr>
              <w:t>2 mg capsules: #30/30 days</w:t>
            </w:r>
          </w:p>
        </w:tc>
      </w:tr>
      <w:tr w:rsidR="005C142D" w:rsidRPr="00FA3F9C" w14:paraId="0E6B92EA" w14:textId="77777777" w:rsidTr="00270F20">
        <w:trPr>
          <w:trHeight w:val="1031"/>
        </w:trPr>
        <w:tc>
          <w:tcPr>
            <w:tcW w:w="10296" w:type="dxa"/>
            <w:gridSpan w:val="2"/>
            <w:tcBorders>
              <w:bottom w:val="single" w:sz="4" w:space="0" w:color="auto"/>
            </w:tcBorders>
            <w:shd w:val="clear" w:color="auto" w:fill="BFBFBF"/>
          </w:tcPr>
          <w:p w14:paraId="1238DF30" w14:textId="77777777" w:rsidR="005C142D" w:rsidRPr="00FA3F9C" w:rsidRDefault="005C142D" w:rsidP="00270F20">
            <w:pPr>
              <w:rPr>
                <w:rFonts w:ascii="Arial" w:hAnsi="Arial" w:cs="Arial"/>
                <w:sz w:val="24"/>
                <w:szCs w:val="24"/>
                <w:u w:val="single"/>
              </w:rPr>
            </w:pPr>
            <w:r w:rsidRPr="00FA3F9C">
              <w:rPr>
                <w:rFonts w:ascii="Arial" w:hAnsi="Arial" w:cs="Arial"/>
                <w:sz w:val="24"/>
                <w:szCs w:val="24"/>
                <w:u w:val="single"/>
              </w:rPr>
              <w:t>Starting doses:</w:t>
            </w:r>
          </w:p>
          <w:p w14:paraId="2AD6F241" w14:textId="77777777" w:rsidR="005C142D" w:rsidRPr="00FA3F9C" w:rsidRDefault="005C142D" w:rsidP="00270F20">
            <w:pPr>
              <w:rPr>
                <w:rFonts w:ascii="Arial" w:hAnsi="Arial" w:cs="Arial"/>
                <w:sz w:val="24"/>
                <w:szCs w:val="24"/>
              </w:rPr>
            </w:pPr>
            <w:r w:rsidRPr="00FA3F9C">
              <w:rPr>
                <w:rFonts w:ascii="Arial" w:hAnsi="Arial" w:cs="Arial"/>
                <w:sz w:val="24"/>
                <w:szCs w:val="24"/>
              </w:rPr>
              <w:t xml:space="preserve">Dabrafenib 150 mg PO bid </w:t>
            </w:r>
          </w:p>
          <w:p w14:paraId="13187BD6" w14:textId="77777777" w:rsidR="005C142D" w:rsidRPr="00FA3F9C" w:rsidRDefault="005C142D" w:rsidP="00270F20">
            <w:pPr>
              <w:rPr>
                <w:rFonts w:ascii="Arial" w:hAnsi="Arial" w:cs="Arial"/>
                <w:sz w:val="24"/>
                <w:szCs w:val="24"/>
              </w:rPr>
            </w:pPr>
            <w:r w:rsidRPr="00FA3F9C">
              <w:rPr>
                <w:rFonts w:ascii="Arial" w:hAnsi="Arial" w:cs="Arial"/>
                <w:sz w:val="24"/>
                <w:szCs w:val="24"/>
              </w:rPr>
              <w:t>Trametinib 2 mg PO daily</w:t>
            </w:r>
          </w:p>
          <w:p w14:paraId="2D537A83" w14:textId="77777777" w:rsidR="005C142D" w:rsidRPr="00FA3F9C" w:rsidRDefault="005C142D" w:rsidP="00270F20">
            <w:pPr>
              <w:rPr>
                <w:rFonts w:ascii="Arial" w:hAnsi="Arial" w:cs="Arial"/>
                <w:sz w:val="24"/>
                <w:szCs w:val="24"/>
              </w:rPr>
            </w:pPr>
          </w:p>
          <w:p w14:paraId="768FCF26" w14:textId="77777777" w:rsidR="005C142D" w:rsidRPr="00FA3F9C" w:rsidRDefault="005C142D" w:rsidP="00270F20">
            <w:pPr>
              <w:rPr>
                <w:rFonts w:ascii="Arial" w:hAnsi="Arial" w:cs="Arial"/>
                <w:b/>
                <w:sz w:val="24"/>
                <w:szCs w:val="24"/>
                <w:u w:val="single"/>
              </w:rPr>
            </w:pPr>
            <w:r w:rsidRPr="00FA3F9C">
              <w:rPr>
                <w:rFonts w:ascii="Arial" w:hAnsi="Arial" w:cs="Arial"/>
                <w:b/>
                <w:sz w:val="24"/>
                <w:szCs w:val="24"/>
                <w:u w:val="single"/>
              </w:rPr>
              <w:t>Evidence:</w:t>
            </w:r>
          </w:p>
          <w:p w14:paraId="060AE3AA" w14:textId="77777777" w:rsidR="005C142D" w:rsidRPr="00FA3F9C" w:rsidRDefault="005C142D" w:rsidP="00270F20">
            <w:pPr>
              <w:rPr>
                <w:rFonts w:ascii="Arial" w:hAnsi="Arial" w:cs="Arial"/>
                <w:sz w:val="24"/>
                <w:szCs w:val="24"/>
              </w:rPr>
            </w:pPr>
            <w:r w:rsidRPr="00FA3F9C">
              <w:rPr>
                <w:rFonts w:ascii="Arial" w:hAnsi="Arial" w:cs="Arial"/>
                <w:sz w:val="24"/>
                <w:szCs w:val="24"/>
              </w:rPr>
              <w:t xml:space="preserve">The combination of </w:t>
            </w:r>
            <w:proofErr w:type="spellStart"/>
            <w:r w:rsidRPr="00FA3F9C">
              <w:rPr>
                <w:rFonts w:ascii="Arial" w:hAnsi="Arial" w:cs="Arial"/>
                <w:sz w:val="24"/>
                <w:szCs w:val="24"/>
              </w:rPr>
              <w:t>dabrafenib+trametinib</w:t>
            </w:r>
            <w:proofErr w:type="spellEnd"/>
            <w:r w:rsidRPr="00FA3F9C">
              <w:rPr>
                <w:rFonts w:ascii="Arial" w:hAnsi="Arial" w:cs="Arial"/>
                <w:sz w:val="24"/>
                <w:szCs w:val="24"/>
              </w:rPr>
              <w:t xml:space="preserve"> improved relapse-free survival compared with placebo in patients with resected stage III melanoma. Four-year relapse free survival was 54% (dab/tram) vs 38% (placebo). An interim analysis of overall survival showed an improvement with combination therapy (3-year OS of 86% versus 77% in the placebo group (HR, 0.57; 95% CI, 0.42 to 0.79; </w:t>
            </w:r>
            <w:r w:rsidRPr="00FA3F9C">
              <w:rPr>
                <w:rFonts w:ascii="Arial" w:hAnsi="Arial" w:cs="Arial"/>
                <w:i/>
                <w:iCs/>
                <w:sz w:val="24"/>
                <w:szCs w:val="24"/>
              </w:rPr>
              <w:t>P</w:t>
            </w:r>
            <w:r w:rsidRPr="00FA3F9C">
              <w:rPr>
                <w:rFonts w:ascii="Arial" w:hAnsi="Arial" w:cs="Arial"/>
                <w:sz w:val="24"/>
                <w:szCs w:val="24"/>
              </w:rPr>
              <w:t> = .0006), but this improvement did not cross the prespecified interim analysis significance threshold of </w:t>
            </w:r>
            <w:r w:rsidRPr="00FA3F9C">
              <w:rPr>
                <w:rFonts w:ascii="Arial" w:hAnsi="Arial" w:cs="Arial"/>
                <w:i/>
                <w:iCs/>
                <w:sz w:val="24"/>
                <w:szCs w:val="24"/>
              </w:rPr>
              <w:t>P</w:t>
            </w:r>
            <w:r w:rsidRPr="00FA3F9C">
              <w:rPr>
                <w:rFonts w:ascii="Arial" w:hAnsi="Arial" w:cs="Arial"/>
                <w:sz w:val="24"/>
                <w:szCs w:val="24"/>
              </w:rPr>
              <w:t> = 0.000019. </w:t>
            </w:r>
          </w:p>
          <w:p w14:paraId="6ACC91CD" w14:textId="77777777" w:rsidR="005C142D" w:rsidRPr="00FA3F9C" w:rsidRDefault="005C142D" w:rsidP="00270F20">
            <w:pPr>
              <w:rPr>
                <w:rFonts w:ascii="Arial" w:hAnsi="Arial" w:cs="Arial"/>
                <w:sz w:val="24"/>
                <w:szCs w:val="24"/>
              </w:rPr>
            </w:pPr>
          </w:p>
          <w:p w14:paraId="45024348" w14:textId="77777777" w:rsidR="005C142D" w:rsidRPr="00FA3F9C" w:rsidRDefault="005C142D" w:rsidP="00270F20">
            <w:pPr>
              <w:rPr>
                <w:rFonts w:ascii="Arial" w:hAnsi="Arial" w:cs="Arial"/>
                <w:sz w:val="24"/>
                <w:szCs w:val="24"/>
              </w:rPr>
            </w:pPr>
            <w:r w:rsidRPr="00FA3F9C">
              <w:rPr>
                <w:rFonts w:ascii="Arial" w:hAnsi="Arial" w:cs="Arial"/>
                <w:sz w:val="24"/>
                <w:szCs w:val="24"/>
              </w:rPr>
              <w:t>References:</w:t>
            </w:r>
          </w:p>
          <w:p w14:paraId="02DC0AE2" w14:textId="77777777" w:rsidR="005C142D" w:rsidRPr="00FA3F9C" w:rsidRDefault="005C142D" w:rsidP="005C142D">
            <w:pPr>
              <w:pStyle w:val="ListParagraph"/>
              <w:numPr>
                <w:ilvl w:val="0"/>
                <w:numId w:val="101"/>
              </w:numPr>
              <w:spacing w:after="0" w:line="240" w:lineRule="auto"/>
              <w:ind w:left="160" w:hanging="180"/>
              <w:rPr>
                <w:rFonts w:ascii="Arial" w:hAnsi="Arial" w:cs="Arial"/>
                <w:sz w:val="24"/>
                <w:szCs w:val="24"/>
              </w:rPr>
            </w:pPr>
            <w:r w:rsidRPr="00FA3F9C">
              <w:rPr>
                <w:rFonts w:ascii="Arial" w:eastAsia="Times New Roman" w:hAnsi="Arial" w:cs="Arial"/>
                <w:sz w:val="24"/>
                <w:szCs w:val="24"/>
              </w:rPr>
              <w:t xml:space="preserve">Long GV et al. Adjuvant Dabrafenib plus Trametinib in Stage III BRAF-Mutated Melanoma. N </w:t>
            </w:r>
            <w:proofErr w:type="spellStart"/>
            <w:r w:rsidRPr="00FA3F9C">
              <w:rPr>
                <w:rFonts w:ascii="Arial" w:eastAsia="Times New Roman" w:hAnsi="Arial" w:cs="Arial"/>
                <w:sz w:val="24"/>
                <w:szCs w:val="24"/>
              </w:rPr>
              <w:t>Engl</w:t>
            </w:r>
            <w:proofErr w:type="spellEnd"/>
            <w:r w:rsidRPr="00FA3F9C">
              <w:rPr>
                <w:rFonts w:ascii="Arial" w:eastAsia="Times New Roman" w:hAnsi="Arial" w:cs="Arial"/>
                <w:sz w:val="24"/>
                <w:szCs w:val="24"/>
              </w:rPr>
              <w:t xml:space="preserve"> J Med. 2017;377(19):1813. PMID 28891408 NCT01682083</w:t>
            </w:r>
          </w:p>
          <w:p w14:paraId="4E9A3EE4" w14:textId="77777777" w:rsidR="005C142D" w:rsidRPr="00FA3F9C" w:rsidRDefault="005C142D" w:rsidP="005C142D">
            <w:pPr>
              <w:pStyle w:val="ListParagraph"/>
              <w:numPr>
                <w:ilvl w:val="0"/>
                <w:numId w:val="101"/>
              </w:numPr>
              <w:spacing w:after="0" w:line="240" w:lineRule="auto"/>
              <w:ind w:left="160" w:hanging="180"/>
              <w:rPr>
                <w:rFonts w:ascii="Arial" w:hAnsi="Arial" w:cs="Arial"/>
                <w:sz w:val="24"/>
                <w:szCs w:val="24"/>
              </w:rPr>
            </w:pPr>
            <w:proofErr w:type="spellStart"/>
            <w:r w:rsidRPr="00FA3F9C">
              <w:rPr>
                <w:rFonts w:ascii="Arial" w:hAnsi="Arial" w:cs="Arial"/>
                <w:sz w:val="24"/>
                <w:szCs w:val="24"/>
              </w:rPr>
              <w:t>Hauschild</w:t>
            </w:r>
            <w:proofErr w:type="spellEnd"/>
            <w:r w:rsidRPr="00FA3F9C">
              <w:rPr>
                <w:rFonts w:ascii="Arial" w:hAnsi="Arial" w:cs="Arial"/>
                <w:sz w:val="24"/>
                <w:szCs w:val="24"/>
              </w:rPr>
              <w:t xml:space="preserve"> A et al. Longer Follow-Up Confirms Relapse-Free Survival Benefit </w:t>
            </w:r>
            <w:proofErr w:type="gramStart"/>
            <w:r w:rsidRPr="00FA3F9C">
              <w:rPr>
                <w:rFonts w:ascii="Arial" w:hAnsi="Arial" w:cs="Arial"/>
                <w:sz w:val="24"/>
                <w:szCs w:val="24"/>
              </w:rPr>
              <w:t>With</w:t>
            </w:r>
            <w:proofErr w:type="gramEnd"/>
            <w:r w:rsidRPr="00FA3F9C">
              <w:rPr>
                <w:rFonts w:ascii="Arial" w:hAnsi="Arial" w:cs="Arial"/>
                <w:sz w:val="24"/>
                <w:szCs w:val="24"/>
              </w:rPr>
              <w:t xml:space="preserve"> Adjuvant Dabrafenib Plus Trametinib in Patients With Resected BRAF V600-Mutant Stage III Melanoma. J Clin Oncol. 2018 Oct 22:JCO1801219. [</w:t>
            </w:r>
            <w:proofErr w:type="spellStart"/>
            <w:r w:rsidRPr="00FA3F9C">
              <w:rPr>
                <w:rFonts w:ascii="Arial" w:hAnsi="Arial" w:cs="Arial"/>
                <w:sz w:val="24"/>
                <w:szCs w:val="24"/>
              </w:rPr>
              <w:t>Epub</w:t>
            </w:r>
            <w:proofErr w:type="spellEnd"/>
            <w:r w:rsidRPr="00FA3F9C">
              <w:rPr>
                <w:rFonts w:ascii="Arial" w:hAnsi="Arial" w:cs="Arial"/>
                <w:sz w:val="24"/>
                <w:szCs w:val="24"/>
              </w:rPr>
              <w:t xml:space="preserve"> ahead of print] PMID 30343620 </w:t>
            </w:r>
            <w:r w:rsidRPr="00FA3F9C">
              <w:rPr>
                <w:rFonts w:ascii="Arial" w:eastAsia="Times New Roman" w:hAnsi="Arial" w:cs="Arial"/>
                <w:sz w:val="24"/>
                <w:szCs w:val="24"/>
              </w:rPr>
              <w:t>NCT01682083</w:t>
            </w:r>
          </w:p>
        </w:tc>
      </w:tr>
    </w:tbl>
    <w:p w14:paraId="4FEFDC92" w14:textId="77777777" w:rsidR="005C142D" w:rsidRPr="00FA3F9C" w:rsidRDefault="005C142D" w:rsidP="00BD7F1A">
      <w:pPr>
        <w:rPr>
          <w:rFonts w:ascii="Arial" w:hAnsi="Arial" w:cs="Arial"/>
          <w:noProof/>
          <w:sz w:val="24"/>
          <w:szCs w:val="24"/>
        </w:rPr>
      </w:pPr>
    </w:p>
    <w:p w14:paraId="3FEDA468" w14:textId="77777777" w:rsidR="005C142D" w:rsidRPr="00FA3F9C" w:rsidRDefault="005C142D" w:rsidP="009D2C78">
      <w:pPr>
        <w:rPr>
          <w:rFonts w:ascii="Arial" w:hAnsi="Arial" w:cs="Arial"/>
          <w:sz w:val="24"/>
          <w:szCs w:val="24"/>
        </w:rPr>
      </w:pPr>
    </w:p>
    <w:p w14:paraId="1AC8FBAE" w14:textId="77777777" w:rsidR="005C142D" w:rsidRPr="00FA3F9C" w:rsidRDefault="005C142D" w:rsidP="00BD761B">
      <w:pPr>
        <w:jc w:val="right"/>
        <w:rPr>
          <w:rFonts w:ascii="Arial" w:hAnsi="Arial" w:cs="Arial"/>
          <w:sz w:val="24"/>
          <w:szCs w:val="24"/>
        </w:rPr>
      </w:pPr>
    </w:p>
    <w:p w14:paraId="2B6C0A25" w14:textId="77777777" w:rsidR="005C142D" w:rsidRPr="00FA3F9C" w:rsidRDefault="005C142D" w:rsidP="002A23A6">
      <w:pPr>
        <w:rPr>
          <w:rFonts w:ascii="Arial" w:hAnsi="Arial" w:cs="Arial"/>
          <w:sz w:val="24"/>
          <w:szCs w:val="24"/>
        </w:rPr>
      </w:pPr>
    </w:p>
    <w:p w14:paraId="6ACDEF4D" w14:textId="77777777" w:rsidR="005C142D" w:rsidRPr="00FA3F9C" w:rsidRDefault="005C142D" w:rsidP="002A23A6">
      <w:pPr>
        <w:rPr>
          <w:rFonts w:ascii="Arial" w:hAnsi="Arial" w:cs="Arial"/>
          <w:sz w:val="24"/>
          <w:szCs w:val="24"/>
        </w:rPr>
      </w:pPr>
      <w:r w:rsidRPr="00FA3F9C">
        <w:rPr>
          <w:rFonts w:ascii="Arial" w:hAnsi="Arial" w:cs="Arial"/>
          <w:sz w:val="24"/>
          <w:szCs w:val="24"/>
        </w:rPr>
        <w:t>Revision history:</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7132"/>
        <w:gridCol w:w="1952"/>
      </w:tblGrid>
      <w:tr w:rsidR="005C142D" w:rsidRPr="00FA3F9C" w14:paraId="17F8B60E" w14:textId="77777777" w:rsidTr="00D351CB">
        <w:tc>
          <w:tcPr>
            <w:tcW w:w="828" w:type="dxa"/>
            <w:tcBorders>
              <w:top w:val="single" w:sz="4" w:space="0" w:color="auto"/>
              <w:left w:val="single" w:sz="4" w:space="0" w:color="auto"/>
              <w:bottom w:val="single" w:sz="4" w:space="0" w:color="auto"/>
              <w:right w:val="single" w:sz="4" w:space="0" w:color="auto"/>
            </w:tcBorders>
            <w:hideMark/>
          </w:tcPr>
          <w:p w14:paraId="79625036" w14:textId="77777777" w:rsidR="005C142D" w:rsidRPr="00FA3F9C" w:rsidRDefault="005C142D">
            <w:pPr>
              <w:rPr>
                <w:rFonts w:ascii="Arial" w:hAnsi="Arial" w:cs="Arial"/>
                <w:sz w:val="24"/>
                <w:szCs w:val="24"/>
              </w:rPr>
            </w:pPr>
            <w:r w:rsidRPr="00FA3F9C">
              <w:rPr>
                <w:rFonts w:ascii="Arial" w:hAnsi="Arial" w:cs="Arial"/>
                <w:sz w:val="24"/>
                <w:szCs w:val="24"/>
              </w:rPr>
              <w:t>Date</w:t>
            </w:r>
          </w:p>
        </w:tc>
        <w:tc>
          <w:tcPr>
            <w:tcW w:w="7560" w:type="dxa"/>
            <w:tcBorders>
              <w:top w:val="single" w:sz="4" w:space="0" w:color="auto"/>
              <w:left w:val="single" w:sz="4" w:space="0" w:color="auto"/>
              <w:bottom w:val="single" w:sz="4" w:space="0" w:color="auto"/>
              <w:right w:val="single" w:sz="4" w:space="0" w:color="auto"/>
            </w:tcBorders>
            <w:hideMark/>
          </w:tcPr>
          <w:p w14:paraId="4BAC0F8B" w14:textId="77777777" w:rsidR="005C142D" w:rsidRPr="00FA3F9C" w:rsidRDefault="005C142D">
            <w:pPr>
              <w:rPr>
                <w:rFonts w:ascii="Arial" w:hAnsi="Arial" w:cs="Arial"/>
                <w:sz w:val="24"/>
                <w:szCs w:val="24"/>
              </w:rPr>
            </w:pPr>
            <w:r w:rsidRPr="00FA3F9C">
              <w:rPr>
                <w:rFonts w:ascii="Arial" w:hAnsi="Arial" w:cs="Arial"/>
                <w:sz w:val="24"/>
                <w:szCs w:val="24"/>
              </w:rPr>
              <w:t>What changed?</w:t>
            </w:r>
          </w:p>
        </w:tc>
        <w:tc>
          <w:tcPr>
            <w:tcW w:w="1980" w:type="dxa"/>
            <w:tcBorders>
              <w:top w:val="single" w:sz="4" w:space="0" w:color="auto"/>
              <w:left w:val="single" w:sz="4" w:space="0" w:color="auto"/>
              <w:bottom w:val="single" w:sz="4" w:space="0" w:color="auto"/>
              <w:right w:val="single" w:sz="4" w:space="0" w:color="auto"/>
            </w:tcBorders>
            <w:hideMark/>
          </w:tcPr>
          <w:p w14:paraId="22DD1EF1" w14:textId="77777777" w:rsidR="005C142D" w:rsidRPr="00FA3F9C" w:rsidRDefault="005C142D">
            <w:pPr>
              <w:rPr>
                <w:rFonts w:ascii="Arial" w:hAnsi="Arial" w:cs="Arial"/>
                <w:sz w:val="24"/>
                <w:szCs w:val="24"/>
              </w:rPr>
            </w:pPr>
            <w:r w:rsidRPr="00FA3F9C">
              <w:rPr>
                <w:rFonts w:ascii="Arial" w:hAnsi="Arial" w:cs="Arial"/>
                <w:sz w:val="24"/>
                <w:szCs w:val="24"/>
              </w:rPr>
              <w:t>Pharmacist’s initials</w:t>
            </w:r>
          </w:p>
        </w:tc>
      </w:tr>
      <w:tr w:rsidR="005C142D" w:rsidRPr="00FA3F9C" w14:paraId="7A3A9C9D" w14:textId="77777777" w:rsidTr="00D351CB">
        <w:tc>
          <w:tcPr>
            <w:tcW w:w="828" w:type="dxa"/>
            <w:tcBorders>
              <w:top w:val="single" w:sz="4" w:space="0" w:color="auto"/>
              <w:left w:val="single" w:sz="4" w:space="0" w:color="auto"/>
              <w:bottom w:val="single" w:sz="4" w:space="0" w:color="auto"/>
              <w:right w:val="single" w:sz="4" w:space="0" w:color="auto"/>
            </w:tcBorders>
          </w:tcPr>
          <w:p w14:paraId="3B6CFAE6" w14:textId="77777777" w:rsidR="005C142D" w:rsidRPr="00FA3F9C" w:rsidRDefault="005C142D">
            <w:pPr>
              <w:rPr>
                <w:rFonts w:ascii="Arial" w:hAnsi="Arial" w:cs="Arial"/>
                <w:sz w:val="24"/>
                <w:szCs w:val="24"/>
              </w:rPr>
            </w:pPr>
            <w:r w:rsidRPr="00FA3F9C">
              <w:rPr>
                <w:rFonts w:ascii="Arial" w:hAnsi="Arial" w:cs="Arial"/>
                <w:sz w:val="24"/>
                <w:szCs w:val="24"/>
              </w:rPr>
              <w:t>9/17/13</w:t>
            </w:r>
          </w:p>
        </w:tc>
        <w:tc>
          <w:tcPr>
            <w:tcW w:w="7560" w:type="dxa"/>
            <w:tcBorders>
              <w:top w:val="single" w:sz="4" w:space="0" w:color="auto"/>
              <w:left w:val="single" w:sz="4" w:space="0" w:color="auto"/>
              <w:bottom w:val="single" w:sz="4" w:space="0" w:color="auto"/>
              <w:right w:val="single" w:sz="4" w:space="0" w:color="auto"/>
            </w:tcBorders>
          </w:tcPr>
          <w:p w14:paraId="5EE20BCA" w14:textId="77777777" w:rsidR="005C142D" w:rsidRPr="00FA3F9C" w:rsidRDefault="005C142D">
            <w:pPr>
              <w:rPr>
                <w:rFonts w:ascii="Arial" w:hAnsi="Arial" w:cs="Arial"/>
                <w:sz w:val="24"/>
                <w:szCs w:val="24"/>
              </w:rPr>
            </w:pPr>
            <w:r w:rsidRPr="00FA3F9C">
              <w:rPr>
                <w:rFonts w:ascii="Arial" w:hAnsi="Arial" w:cs="Arial"/>
                <w:sz w:val="24"/>
                <w:szCs w:val="24"/>
              </w:rPr>
              <w:t>Criteria written</w:t>
            </w:r>
          </w:p>
        </w:tc>
        <w:tc>
          <w:tcPr>
            <w:tcW w:w="1980" w:type="dxa"/>
            <w:tcBorders>
              <w:top w:val="single" w:sz="4" w:space="0" w:color="auto"/>
              <w:left w:val="single" w:sz="4" w:space="0" w:color="auto"/>
              <w:bottom w:val="single" w:sz="4" w:space="0" w:color="auto"/>
              <w:right w:val="single" w:sz="4" w:space="0" w:color="auto"/>
            </w:tcBorders>
          </w:tcPr>
          <w:p w14:paraId="20EB341A" w14:textId="77777777" w:rsidR="005C142D" w:rsidRPr="00FA3F9C" w:rsidRDefault="005C142D">
            <w:pPr>
              <w:rPr>
                <w:rFonts w:ascii="Arial" w:hAnsi="Arial" w:cs="Arial"/>
                <w:sz w:val="24"/>
                <w:szCs w:val="24"/>
              </w:rPr>
            </w:pPr>
            <w:r w:rsidRPr="00FA3F9C">
              <w:rPr>
                <w:rFonts w:ascii="Arial" w:hAnsi="Arial" w:cs="Arial"/>
                <w:sz w:val="24"/>
                <w:szCs w:val="24"/>
              </w:rPr>
              <w:t>JJ</w:t>
            </w:r>
          </w:p>
        </w:tc>
      </w:tr>
      <w:tr w:rsidR="005C142D" w:rsidRPr="00FA3F9C" w14:paraId="07E1865A" w14:textId="77777777" w:rsidTr="00D351CB">
        <w:tc>
          <w:tcPr>
            <w:tcW w:w="828" w:type="dxa"/>
            <w:tcBorders>
              <w:top w:val="single" w:sz="4" w:space="0" w:color="auto"/>
              <w:left w:val="single" w:sz="4" w:space="0" w:color="auto"/>
              <w:bottom w:val="single" w:sz="4" w:space="0" w:color="auto"/>
              <w:right w:val="single" w:sz="4" w:space="0" w:color="auto"/>
            </w:tcBorders>
          </w:tcPr>
          <w:p w14:paraId="359724B4" w14:textId="77777777" w:rsidR="005C142D" w:rsidRPr="00FA3F9C" w:rsidRDefault="005C142D">
            <w:pPr>
              <w:rPr>
                <w:rFonts w:ascii="Arial" w:hAnsi="Arial" w:cs="Arial"/>
                <w:sz w:val="24"/>
                <w:szCs w:val="24"/>
              </w:rPr>
            </w:pPr>
            <w:r w:rsidRPr="00FA3F9C">
              <w:rPr>
                <w:rFonts w:ascii="Arial" w:hAnsi="Arial" w:cs="Arial"/>
                <w:sz w:val="24"/>
                <w:szCs w:val="24"/>
              </w:rPr>
              <w:t>4/2014</w:t>
            </w:r>
          </w:p>
        </w:tc>
        <w:tc>
          <w:tcPr>
            <w:tcW w:w="7560" w:type="dxa"/>
            <w:tcBorders>
              <w:top w:val="single" w:sz="4" w:space="0" w:color="auto"/>
              <w:left w:val="single" w:sz="4" w:space="0" w:color="auto"/>
              <w:bottom w:val="single" w:sz="4" w:space="0" w:color="auto"/>
              <w:right w:val="single" w:sz="4" w:space="0" w:color="auto"/>
            </w:tcBorders>
          </w:tcPr>
          <w:p w14:paraId="0267D600" w14:textId="77777777" w:rsidR="005C142D" w:rsidRPr="00FA3F9C" w:rsidRDefault="005C142D">
            <w:pPr>
              <w:rPr>
                <w:rFonts w:ascii="Arial" w:hAnsi="Arial" w:cs="Arial"/>
                <w:sz w:val="24"/>
                <w:szCs w:val="24"/>
              </w:rPr>
            </w:pPr>
            <w:r w:rsidRPr="00FA3F9C">
              <w:rPr>
                <w:rFonts w:ascii="Arial" w:hAnsi="Arial" w:cs="Arial"/>
                <w:sz w:val="24"/>
                <w:szCs w:val="24"/>
              </w:rPr>
              <w:t xml:space="preserve">We began covering dabrafenib monotherapy (after DCWG) with a PA.  The criteria:  dx of metastatic melanoma, V600 BRAF mutation, no previous vemurafenib, trametinib, or ipilimumab (may have had IL-2).  QL is 14 ds.  </w:t>
            </w:r>
          </w:p>
        </w:tc>
        <w:tc>
          <w:tcPr>
            <w:tcW w:w="1980" w:type="dxa"/>
            <w:tcBorders>
              <w:top w:val="single" w:sz="4" w:space="0" w:color="auto"/>
              <w:left w:val="single" w:sz="4" w:space="0" w:color="auto"/>
              <w:bottom w:val="single" w:sz="4" w:space="0" w:color="auto"/>
              <w:right w:val="single" w:sz="4" w:space="0" w:color="auto"/>
            </w:tcBorders>
          </w:tcPr>
          <w:p w14:paraId="648971D9" w14:textId="77777777" w:rsidR="005C142D" w:rsidRPr="00FA3F9C" w:rsidRDefault="005C142D">
            <w:pPr>
              <w:rPr>
                <w:rFonts w:ascii="Arial" w:hAnsi="Arial" w:cs="Arial"/>
                <w:sz w:val="24"/>
                <w:szCs w:val="24"/>
              </w:rPr>
            </w:pPr>
            <w:r w:rsidRPr="00FA3F9C">
              <w:rPr>
                <w:rFonts w:ascii="Arial" w:hAnsi="Arial" w:cs="Arial"/>
                <w:sz w:val="24"/>
                <w:szCs w:val="24"/>
              </w:rPr>
              <w:t>JJ</w:t>
            </w:r>
          </w:p>
        </w:tc>
      </w:tr>
      <w:tr w:rsidR="005C142D" w:rsidRPr="00FA3F9C" w14:paraId="595F17BB" w14:textId="77777777" w:rsidTr="00D351CB">
        <w:tc>
          <w:tcPr>
            <w:tcW w:w="828" w:type="dxa"/>
            <w:tcBorders>
              <w:top w:val="single" w:sz="4" w:space="0" w:color="auto"/>
              <w:left w:val="single" w:sz="4" w:space="0" w:color="auto"/>
              <w:bottom w:val="single" w:sz="4" w:space="0" w:color="auto"/>
              <w:right w:val="single" w:sz="4" w:space="0" w:color="auto"/>
            </w:tcBorders>
          </w:tcPr>
          <w:p w14:paraId="71EBE01E" w14:textId="77777777" w:rsidR="005C142D" w:rsidRPr="00FA3F9C" w:rsidRDefault="005C142D">
            <w:pPr>
              <w:rPr>
                <w:rFonts w:ascii="Arial" w:hAnsi="Arial" w:cs="Arial"/>
                <w:sz w:val="24"/>
                <w:szCs w:val="24"/>
              </w:rPr>
            </w:pPr>
            <w:r w:rsidRPr="00FA3F9C">
              <w:rPr>
                <w:rFonts w:ascii="Arial" w:hAnsi="Arial" w:cs="Arial"/>
                <w:sz w:val="24"/>
                <w:szCs w:val="24"/>
              </w:rPr>
              <w:t>1/15/15</w:t>
            </w:r>
          </w:p>
        </w:tc>
        <w:tc>
          <w:tcPr>
            <w:tcW w:w="7560" w:type="dxa"/>
            <w:tcBorders>
              <w:top w:val="single" w:sz="4" w:space="0" w:color="auto"/>
              <w:left w:val="single" w:sz="4" w:space="0" w:color="auto"/>
              <w:bottom w:val="single" w:sz="4" w:space="0" w:color="auto"/>
              <w:right w:val="single" w:sz="4" w:space="0" w:color="auto"/>
            </w:tcBorders>
          </w:tcPr>
          <w:p w14:paraId="0101CC4C" w14:textId="77777777" w:rsidR="005C142D" w:rsidRPr="00FA3F9C" w:rsidRDefault="005C142D">
            <w:pPr>
              <w:rPr>
                <w:rFonts w:ascii="Arial" w:hAnsi="Arial" w:cs="Arial"/>
                <w:sz w:val="24"/>
                <w:szCs w:val="24"/>
              </w:rPr>
            </w:pPr>
            <w:r w:rsidRPr="00FA3F9C">
              <w:rPr>
                <w:rFonts w:ascii="Arial" w:hAnsi="Arial" w:cs="Arial"/>
                <w:sz w:val="24"/>
                <w:szCs w:val="24"/>
              </w:rPr>
              <w:t xml:space="preserve">I changed the criteria to include combination trametinib + dabrafenib since new OS data are published.  Dabrafenib monotherapy is still not covered.  This was discussed at DCWG </w:t>
            </w:r>
          </w:p>
        </w:tc>
        <w:tc>
          <w:tcPr>
            <w:tcW w:w="1980" w:type="dxa"/>
            <w:tcBorders>
              <w:top w:val="single" w:sz="4" w:space="0" w:color="auto"/>
              <w:left w:val="single" w:sz="4" w:space="0" w:color="auto"/>
              <w:bottom w:val="single" w:sz="4" w:space="0" w:color="auto"/>
              <w:right w:val="single" w:sz="4" w:space="0" w:color="auto"/>
            </w:tcBorders>
          </w:tcPr>
          <w:p w14:paraId="3D073A94" w14:textId="77777777" w:rsidR="005C142D" w:rsidRPr="00FA3F9C" w:rsidRDefault="005C142D">
            <w:pPr>
              <w:rPr>
                <w:rFonts w:ascii="Arial" w:hAnsi="Arial" w:cs="Arial"/>
                <w:sz w:val="24"/>
                <w:szCs w:val="24"/>
              </w:rPr>
            </w:pPr>
            <w:r w:rsidRPr="00FA3F9C">
              <w:rPr>
                <w:rFonts w:ascii="Arial" w:hAnsi="Arial" w:cs="Arial"/>
                <w:sz w:val="24"/>
                <w:szCs w:val="24"/>
              </w:rPr>
              <w:t>JJ</w:t>
            </w:r>
          </w:p>
        </w:tc>
      </w:tr>
      <w:tr w:rsidR="005C142D" w:rsidRPr="00FA3F9C" w14:paraId="360C7A0A" w14:textId="77777777" w:rsidTr="00D351CB">
        <w:tc>
          <w:tcPr>
            <w:tcW w:w="828" w:type="dxa"/>
            <w:tcBorders>
              <w:top w:val="single" w:sz="4" w:space="0" w:color="auto"/>
              <w:left w:val="single" w:sz="4" w:space="0" w:color="auto"/>
              <w:bottom w:val="single" w:sz="4" w:space="0" w:color="auto"/>
              <w:right w:val="single" w:sz="4" w:space="0" w:color="auto"/>
            </w:tcBorders>
          </w:tcPr>
          <w:p w14:paraId="301E4FAE" w14:textId="77777777" w:rsidR="005C142D" w:rsidRPr="00FA3F9C" w:rsidRDefault="005C142D">
            <w:pPr>
              <w:rPr>
                <w:rFonts w:ascii="Arial" w:hAnsi="Arial" w:cs="Arial"/>
                <w:sz w:val="24"/>
                <w:szCs w:val="24"/>
              </w:rPr>
            </w:pPr>
            <w:r w:rsidRPr="00FA3F9C">
              <w:rPr>
                <w:rFonts w:ascii="Arial" w:hAnsi="Arial" w:cs="Arial"/>
                <w:sz w:val="24"/>
                <w:szCs w:val="24"/>
              </w:rPr>
              <w:t>4/22/19</w:t>
            </w:r>
          </w:p>
        </w:tc>
        <w:tc>
          <w:tcPr>
            <w:tcW w:w="7560" w:type="dxa"/>
            <w:tcBorders>
              <w:top w:val="single" w:sz="4" w:space="0" w:color="auto"/>
              <w:left w:val="single" w:sz="4" w:space="0" w:color="auto"/>
              <w:bottom w:val="single" w:sz="4" w:space="0" w:color="auto"/>
              <w:right w:val="single" w:sz="4" w:space="0" w:color="auto"/>
            </w:tcBorders>
          </w:tcPr>
          <w:p w14:paraId="15E38B86" w14:textId="77777777" w:rsidR="005C142D" w:rsidRPr="00FA3F9C" w:rsidRDefault="005C142D" w:rsidP="00930C46">
            <w:pPr>
              <w:rPr>
                <w:rFonts w:ascii="Arial" w:hAnsi="Arial" w:cs="Arial"/>
                <w:sz w:val="24"/>
                <w:szCs w:val="24"/>
              </w:rPr>
            </w:pPr>
            <w:r w:rsidRPr="00FA3F9C">
              <w:rPr>
                <w:rFonts w:ascii="Arial" w:hAnsi="Arial" w:cs="Arial"/>
                <w:sz w:val="24"/>
                <w:szCs w:val="24"/>
              </w:rPr>
              <w:t>Criteria reviewed. For melanoma, dabrafenib is only covered in combination with trametinib. New indications added: adjuvant treatment of melanoma (covered), NSCLC (not covered), anaplastic thyroid cancer (not covered)</w:t>
            </w:r>
          </w:p>
        </w:tc>
        <w:tc>
          <w:tcPr>
            <w:tcW w:w="1980" w:type="dxa"/>
            <w:tcBorders>
              <w:top w:val="single" w:sz="4" w:space="0" w:color="auto"/>
              <w:left w:val="single" w:sz="4" w:space="0" w:color="auto"/>
              <w:bottom w:val="single" w:sz="4" w:space="0" w:color="auto"/>
              <w:right w:val="single" w:sz="4" w:space="0" w:color="auto"/>
            </w:tcBorders>
          </w:tcPr>
          <w:p w14:paraId="556C47D4" w14:textId="77777777" w:rsidR="005C142D" w:rsidRPr="00FA3F9C" w:rsidRDefault="005C142D">
            <w:pPr>
              <w:rPr>
                <w:rFonts w:ascii="Arial" w:hAnsi="Arial" w:cs="Arial"/>
                <w:sz w:val="24"/>
                <w:szCs w:val="24"/>
              </w:rPr>
            </w:pPr>
            <w:proofErr w:type="spellStart"/>
            <w:r w:rsidRPr="00FA3F9C">
              <w:rPr>
                <w:rFonts w:ascii="Arial" w:hAnsi="Arial" w:cs="Arial"/>
                <w:sz w:val="24"/>
                <w:szCs w:val="24"/>
              </w:rPr>
              <w:t>Sk</w:t>
            </w:r>
            <w:proofErr w:type="spellEnd"/>
          </w:p>
        </w:tc>
      </w:tr>
      <w:tr w:rsidR="005C142D" w:rsidRPr="00FA3F9C" w14:paraId="07A38F33" w14:textId="77777777" w:rsidTr="00D351CB">
        <w:tc>
          <w:tcPr>
            <w:tcW w:w="828" w:type="dxa"/>
            <w:tcBorders>
              <w:top w:val="single" w:sz="4" w:space="0" w:color="auto"/>
              <w:left w:val="single" w:sz="4" w:space="0" w:color="auto"/>
              <w:bottom w:val="single" w:sz="4" w:space="0" w:color="auto"/>
              <w:right w:val="single" w:sz="4" w:space="0" w:color="auto"/>
            </w:tcBorders>
          </w:tcPr>
          <w:p w14:paraId="17B2AC4D" w14:textId="77777777" w:rsidR="005C142D" w:rsidRPr="00FA3F9C" w:rsidRDefault="005C142D">
            <w:pPr>
              <w:rPr>
                <w:rFonts w:ascii="Arial" w:hAnsi="Arial" w:cs="Arial"/>
                <w:sz w:val="24"/>
                <w:szCs w:val="24"/>
              </w:rPr>
            </w:pPr>
            <w:r w:rsidRPr="00FA3F9C">
              <w:rPr>
                <w:rFonts w:ascii="Arial" w:hAnsi="Arial" w:cs="Arial"/>
                <w:sz w:val="24"/>
                <w:szCs w:val="24"/>
              </w:rPr>
              <w:t>9/26/19</w:t>
            </w:r>
          </w:p>
        </w:tc>
        <w:tc>
          <w:tcPr>
            <w:tcW w:w="7560" w:type="dxa"/>
            <w:tcBorders>
              <w:top w:val="single" w:sz="4" w:space="0" w:color="auto"/>
              <w:left w:val="single" w:sz="4" w:space="0" w:color="auto"/>
              <w:bottom w:val="single" w:sz="4" w:space="0" w:color="auto"/>
              <w:right w:val="single" w:sz="4" w:space="0" w:color="auto"/>
            </w:tcBorders>
          </w:tcPr>
          <w:p w14:paraId="3C88B135" w14:textId="77777777" w:rsidR="005C142D" w:rsidRPr="00FA3F9C" w:rsidRDefault="005C142D" w:rsidP="00462D16">
            <w:pPr>
              <w:rPr>
                <w:rFonts w:ascii="Arial" w:hAnsi="Arial" w:cs="Arial"/>
                <w:sz w:val="24"/>
                <w:szCs w:val="24"/>
              </w:rPr>
            </w:pPr>
            <w:r w:rsidRPr="00FA3F9C">
              <w:rPr>
                <w:rFonts w:ascii="Arial" w:hAnsi="Arial" w:cs="Arial"/>
                <w:sz w:val="24"/>
                <w:szCs w:val="24"/>
              </w:rPr>
              <w:t>Criteria reviewed. Updated monotherapy indication as wording was slightly changed. No change in any criteria. Corrected QL for adjuvant indication. Added references for indications not covered.</w:t>
            </w:r>
          </w:p>
        </w:tc>
        <w:tc>
          <w:tcPr>
            <w:tcW w:w="1980" w:type="dxa"/>
            <w:tcBorders>
              <w:top w:val="single" w:sz="4" w:space="0" w:color="auto"/>
              <w:left w:val="single" w:sz="4" w:space="0" w:color="auto"/>
              <w:bottom w:val="single" w:sz="4" w:space="0" w:color="auto"/>
              <w:right w:val="single" w:sz="4" w:space="0" w:color="auto"/>
            </w:tcBorders>
          </w:tcPr>
          <w:p w14:paraId="630310AC" w14:textId="77777777" w:rsidR="005C142D" w:rsidRPr="00FA3F9C" w:rsidRDefault="005C142D">
            <w:pPr>
              <w:rPr>
                <w:rFonts w:ascii="Arial" w:hAnsi="Arial" w:cs="Arial"/>
                <w:sz w:val="24"/>
                <w:szCs w:val="24"/>
              </w:rPr>
            </w:pPr>
            <w:r w:rsidRPr="00FA3F9C">
              <w:rPr>
                <w:rFonts w:ascii="Arial" w:hAnsi="Arial" w:cs="Arial"/>
                <w:sz w:val="24"/>
                <w:szCs w:val="24"/>
              </w:rPr>
              <w:t>SK</w:t>
            </w:r>
          </w:p>
        </w:tc>
      </w:tr>
      <w:tr w:rsidR="005C142D" w:rsidRPr="00FA3F9C" w14:paraId="45AF037C" w14:textId="77777777" w:rsidTr="00D351CB">
        <w:tc>
          <w:tcPr>
            <w:tcW w:w="828" w:type="dxa"/>
            <w:tcBorders>
              <w:top w:val="single" w:sz="4" w:space="0" w:color="auto"/>
              <w:left w:val="single" w:sz="4" w:space="0" w:color="auto"/>
              <w:bottom w:val="single" w:sz="4" w:space="0" w:color="auto"/>
              <w:right w:val="single" w:sz="4" w:space="0" w:color="auto"/>
            </w:tcBorders>
          </w:tcPr>
          <w:p w14:paraId="28B93C8B" w14:textId="77777777" w:rsidR="005C142D" w:rsidRPr="00FA3F9C" w:rsidRDefault="005C142D">
            <w:pPr>
              <w:rPr>
                <w:rFonts w:ascii="Arial" w:hAnsi="Arial" w:cs="Arial"/>
                <w:sz w:val="24"/>
                <w:szCs w:val="24"/>
              </w:rPr>
            </w:pPr>
            <w:r w:rsidRPr="00FA3F9C">
              <w:rPr>
                <w:rFonts w:ascii="Arial" w:hAnsi="Arial" w:cs="Arial"/>
                <w:sz w:val="24"/>
                <w:szCs w:val="24"/>
              </w:rPr>
              <w:t>11/16/20</w:t>
            </w:r>
          </w:p>
        </w:tc>
        <w:tc>
          <w:tcPr>
            <w:tcW w:w="7560" w:type="dxa"/>
            <w:tcBorders>
              <w:top w:val="single" w:sz="4" w:space="0" w:color="auto"/>
              <w:left w:val="single" w:sz="4" w:space="0" w:color="auto"/>
              <w:bottom w:val="single" w:sz="4" w:space="0" w:color="auto"/>
              <w:right w:val="single" w:sz="4" w:space="0" w:color="auto"/>
            </w:tcBorders>
          </w:tcPr>
          <w:p w14:paraId="65546FFE" w14:textId="77777777" w:rsidR="005C142D" w:rsidRPr="00FA3F9C" w:rsidRDefault="005C142D" w:rsidP="00462D16">
            <w:pPr>
              <w:rPr>
                <w:rFonts w:ascii="Arial" w:hAnsi="Arial" w:cs="Arial"/>
                <w:sz w:val="24"/>
                <w:szCs w:val="24"/>
              </w:rPr>
            </w:pPr>
            <w:r w:rsidRPr="00FA3F9C">
              <w:rPr>
                <w:rFonts w:ascii="Arial" w:hAnsi="Arial" w:cs="Arial"/>
                <w:sz w:val="24"/>
                <w:szCs w:val="24"/>
              </w:rPr>
              <w:t>Criteria reviewed. No changes.</w:t>
            </w:r>
          </w:p>
        </w:tc>
        <w:tc>
          <w:tcPr>
            <w:tcW w:w="1980" w:type="dxa"/>
            <w:tcBorders>
              <w:top w:val="single" w:sz="4" w:space="0" w:color="auto"/>
              <w:left w:val="single" w:sz="4" w:space="0" w:color="auto"/>
              <w:bottom w:val="single" w:sz="4" w:space="0" w:color="auto"/>
              <w:right w:val="single" w:sz="4" w:space="0" w:color="auto"/>
            </w:tcBorders>
          </w:tcPr>
          <w:p w14:paraId="735958C2" w14:textId="77777777" w:rsidR="005C142D" w:rsidRPr="00FA3F9C" w:rsidRDefault="005C142D">
            <w:pPr>
              <w:rPr>
                <w:rFonts w:ascii="Arial" w:hAnsi="Arial" w:cs="Arial"/>
                <w:sz w:val="24"/>
                <w:szCs w:val="24"/>
              </w:rPr>
            </w:pPr>
            <w:r w:rsidRPr="00FA3F9C">
              <w:rPr>
                <w:rFonts w:ascii="Arial" w:hAnsi="Arial" w:cs="Arial"/>
                <w:sz w:val="24"/>
                <w:szCs w:val="24"/>
              </w:rPr>
              <w:t>SK</w:t>
            </w:r>
          </w:p>
        </w:tc>
      </w:tr>
      <w:tr w:rsidR="005C142D" w:rsidRPr="00FA3F9C" w14:paraId="75439587" w14:textId="77777777" w:rsidTr="00D351CB">
        <w:tc>
          <w:tcPr>
            <w:tcW w:w="828" w:type="dxa"/>
            <w:tcBorders>
              <w:top w:val="single" w:sz="4" w:space="0" w:color="auto"/>
              <w:left w:val="single" w:sz="4" w:space="0" w:color="auto"/>
              <w:bottom w:val="single" w:sz="4" w:space="0" w:color="auto"/>
              <w:right w:val="single" w:sz="4" w:space="0" w:color="auto"/>
            </w:tcBorders>
          </w:tcPr>
          <w:p w14:paraId="6625935F" w14:textId="77777777" w:rsidR="005C142D" w:rsidRPr="00FA3F9C" w:rsidRDefault="005C142D">
            <w:pPr>
              <w:rPr>
                <w:rFonts w:ascii="Arial" w:hAnsi="Arial" w:cs="Arial"/>
                <w:sz w:val="24"/>
                <w:szCs w:val="24"/>
              </w:rPr>
            </w:pPr>
            <w:r w:rsidRPr="00FA3F9C">
              <w:rPr>
                <w:rFonts w:ascii="Arial" w:hAnsi="Arial" w:cs="Arial"/>
                <w:sz w:val="24"/>
                <w:szCs w:val="24"/>
              </w:rPr>
              <w:lastRenderedPageBreak/>
              <w:t>4/25/2022</w:t>
            </w:r>
          </w:p>
        </w:tc>
        <w:tc>
          <w:tcPr>
            <w:tcW w:w="7560" w:type="dxa"/>
            <w:tcBorders>
              <w:top w:val="single" w:sz="4" w:space="0" w:color="auto"/>
              <w:left w:val="single" w:sz="4" w:space="0" w:color="auto"/>
              <w:bottom w:val="single" w:sz="4" w:space="0" w:color="auto"/>
              <w:right w:val="single" w:sz="4" w:space="0" w:color="auto"/>
            </w:tcBorders>
          </w:tcPr>
          <w:p w14:paraId="4A938FDC" w14:textId="77777777" w:rsidR="005C142D" w:rsidRPr="00FA3F9C" w:rsidRDefault="005C142D" w:rsidP="00FB51D5">
            <w:pPr>
              <w:rPr>
                <w:rFonts w:ascii="Arial" w:hAnsi="Arial" w:cs="Arial"/>
                <w:sz w:val="24"/>
                <w:szCs w:val="24"/>
              </w:rPr>
            </w:pPr>
            <w:r w:rsidRPr="00FA3F9C">
              <w:rPr>
                <w:rFonts w:ascii="Arial" w:hAnsi="Arial" w:cs="Arial"/>
                <w:sz w:val="24"/>
                <w:szCs w:val="24"/>
              </w:rPr>
              <w:t xml:space="preserve">Criteria reviewed. For metastatic melanoma indication, increased approval period from 6 </w:t>
            </w:r>
            <w:proofErr w:type="spellStart"/>
            <w:r w:rsidRPr="00FA3F9C">
              <w:rPr>
                <w:rFonts w:ascii="Arial" w:hAnsi="Arial" w:cs="Arial"/>
                <w:sz w:val="24"/>
                <w:szCs w:val="24"/>
              </w:rPr>
              <w:t>mo</w:t>
            </w:r>
            <w:proofErr w:type="spellEnd"/>
            <w:r w:rsidRPr="00FA3F9C">
              <w:rPr>
                <w:rFonts w:ascii="Arial" w:hAnsi="Arial" w:cs="Arial"/>
                <w:sz w:val="24"/>
                <w:szCs w:val="24"/>
              </w:rPr>
              <w:t xml:space="preserve"> to 12 mo. No other changes.</w:t>
            </w:r>
          </w:p>
        </w:tc>
        <w:tc>
          <w:tcPr>
            <w:tcW w:w="1980" w:type="dxa"/>
            <w:tcBorders>
              <w:top w:val="single" w:sz="4" w:space="0" w:color="auto"/>
              <w:left w:val="single" w:sz="4" w:space="0" w:color="auto"/>
              <w:bottom w:val="single" w:sz="4" w:space="0" w:color="auto"/>
              <w:right w:val="single" w:sz="4" w:space="0" w:color="auto"/>
            </w:tcBorders>
          </w:tcPr>
          <w:p w14:paraId="1A02B76D" w14:textId="77777777" w:rsidR="005C142D" w:rsidRPr="00FA3F9C" w:rsidRDefault="005C142D">
            <w:pPr>
              <w:rPr>
                <w:rFonts w:ascii="Arial" w:hAnsi="Arial" w:cs="Arial"/>
                <w:sz w:val="24"/>
                <w:szCs w:val="24"/>
              </w:rPr>
            </w:pPr>
            <w:r w:rsidRPr="00FA3F9C">
              <w:rPr>
                <w:rFonts w:ascii="Arial" w:hAnsi="Arial" w:cs="Arial"/>
                <w:sz w:val="24"/>
                <w:szCs w:val="24"/>
              </w:rPr>
              <w:t>SK</w:t>
            </w:r>
          </w:p>
        </w:tc>
      </w:tr>
    </w:tbl>
    <w:p w14:paraId="3CCC6071" w14:textId="77777777" w:rsidR="005C142D" w:rsidRPr="00FA3F9C" w:rsidRDefault="005C142D" w:rsidP="002A23A6">
      <w:pPr>
        <w:rPr>
          <w:rFonts w:ascii="Arial" w:hAnsi="Arial" w:cs="Arial"/>
          <w:sz w:val="24"/>
          <w:szCs w:val="24"/>
        </w:rPr>
      </w:pPr>
    </w:p>
    <w:p w14:paraId="079CA765" w14:textId="77777777" w:rsidR="005C142D" w:rsidRPr="00FA3F9C" w:rsidRDefault="005C142D" w:rsidP="00226010">
      <w:pPr>
        <w:rPr>
          <w:rFonts w:ascii="Arial" w:hAnsi="Arial" w:cs="Arial"/>
          <w:sz w:val="24"/>
          <w:szCs w:val="24"/>
        </w:rPr>
      </w:pPr>
    </w:p>
    <w:p w14:paraId="5EA3052E" w14:textId="77777777" w:rsidR="002166CE" w:rsidRDefault="005C142D" w:rsidP="002166CE">
      <w:pPr>
        <w:pStyle w:val="Heading2"/>
      </w:pPr>
      <w:bookmarkStart w:id="325" w:name="_Toc106369948"/>
      <w:r w:rsidRPr="00FA3F9C">
        <w:t>Treprostinil (Tyvaso)</w:t>
      </w:r>
      <w:bookmarkEnd w:id="325"/>
    </w:p>
    <w:p w14:paraId="06DBE4E5" w14:textId="42D774A7" w:rsidR="005C142D" w:rsidRPr="00FA3F9C" w:rsidRDefault="005C142D" w:rsidP="006F623F">
      <w:pPr>
        <w:spacing w:after="0"/>
        <w:jc w:val="center"/>
        <w:rPr>
          <w:rFonts w:ascii="Arial" w:hAnsi="Arial" w:cs="Arial"/>
          <w:sz w:val="24"/>
          <w:szCs w:val="24"/>
        </w:rPr>
      </w:pPr>
      <w:r w:rsidRPr="00FA3F9C">
        <w:rPr>
          <w:rFonts w:ascii="Arial" w:hAnsi="Arial" w:cs="Arial"/>
          <w:sz w:val="24"/>
          <w:szCs w:val="24"/>
        </w:rPr>
        <w:t xml:space="preserve"> solution for Inhalation</w:t>
      </w:r>
    </w:p>
    <w:p w14:paraId="3CE8E09C" w14:textId="3B6C9895" w:rsidR="005C142D" w:rsidRDefault="005C142D" w:rsidP="006F623F">
      <w:pPr>
        <w:spacing w:after="0"/>
        <w:jc w:val="center"/>
        <w:rPr>
          <w:rFonts w:ascii="Arial" w:hAnsi="Arial" w:cs="Arial"/>
          <w:sz w:val="24"/>
          <w:szCs w:val="24"/>
        </w:rPr>
      </w:pPr>
      <w:r w:rsidRPr="00FA3F9C">
        <w:rPr>
          <w:rFonts w:ascii="Arial" w:hAnsi="Arial" w:cs="Arial"/>
          <w:sz w:val="24"/>
          <w:szCs w:val="24"/>
        </w:rPr>
        <w:t>0.6mg/mL (2.9mL)</w:t>
      </w:r>
    </w:p>
    <w:p w14:paraId="6BDDAFDE" w14:textId="77777777" w:rsidR="002166CE" w:rsidRPr="00FA3F9C" w:rsidRDefault="002166CE" w:rsidP="002166CE">
      <w:pPr>
        <w:spacing w:after="0"/>
        <w:jc w:val="center"/>
        <w:rPr>
          <w:rFonts w:ascii="Arial" w:hAnsi="Arial" w:cs="Arial"/>
          <w:sz w:val="24"/>
          <w:szCs w:val="24"/>
        </w:rPr>
      </w:pPr>
      <w:r w:rsidRPr="00FA3F9C">
        <w:rPr>
          <w:rFonts w:ascii="Arial" w:hAnsi="Arial" w:cs="Arial"/>
          <w:sz w:val="24"/>
          <w:szCs w:val="24"/>
        </w:rPr>
        <w:t>EBRx PA Criteria</w:t>
      </w:r>
    </w:p>
    <w:p w14:paraId="5026642B" w14:textId="77777777" w:rsidR="002166CE" w:rsidRPr="00FA3F9C" w:rsidRDefault="002166CE" w:rsidP="006F623F">
      <w:pPr>
        <w:spacing w:after="0"/>
        <w:jc w:val="center"/>
        <w:rPr>
          <w:rFonts w:ascii="Arial" w:hAnsi="Arial" w:cs="Arial"/>
          <w:sz w:val="24"/>
          <w:szCs w:val="24"/>
        </w:rPr>
      </w:pPr>
    </w:p>
    <w:p w14:paraId="4CFD9C15" w14:textId="77777777" w:rsidR="005C142D" w:rsidRPr="00FA3F9C" w:rsidRDefault="005C142D" w:rsidP="003E49EF">
      <w:pPr>
        <w:spacing w:after="0"/>
        <w:rPr>
          <w:rFonts w:ascii="Arial" w:hAnsi="Arial" w:cs="Arial"/>
          <w:sz w:val="24"/>
          <w:szCs w:val="24"/>
        </w:rPr>
      </w:pPr>
    </w:p>
    <w:p w14:paraId="3859C28C" w14:textId="77777777" w:rsidR="005C142D" w:rsidRPr="00FA3F9C" w:rsidRDefault="005C142D" w:rsidP="003E49EF">
      <w:pPr>
        <w:spacing w:after="0"/>
        <w:rPr>
          <w:rFonts w:ascii="Arial" w:hAnsi="Arial" w:cs="Arial"/>
          <w:sz w:val="24"/>
          <w:szCs w:val="24"/>
        </w:rPr>
      </w:pPr>
      <w:r w:rsidRPr="00FA3F9C">
        <w:rPr>
          <w:rFonts w:ascii="Arial" w:hAnsi="Arial" w:cs="Arial"/>
          <w:sz w:val="24"/>
          <w:szCs w:val="24"/>
        </w:rPr>
        <w:t xml:space="preserve">Tyvaso for inhalation has the same ingredient as </w:t>
      </w:r>
      <w:proofErr w:type="spellStart"/>
      <w:r w:rsidRPr="00FA3F9C">
        <w:rPr>
          <w:rFonts w:ascii="Arial" w:hAnsi="Arial" w:cs="Arial"/>
          <w:sz w:val="24"/>
          <w:szCs w:val="24"/>
        </w:rPr>
        <w:t>Remodulin</w:t>
      </w:r>
      <w:proofErr w:type="spellEnd"/>
      <w:r w:rsidRPr="00FA3F9C">
        <w:rPr>
          <w:rFonts w:ascii="Arial" w:hAnsi="Arial" w:cs="Arial"/>
          <w:sz w:val="24"/>
          <w:szCs w:val="24"/>
        </w:rPr>
        <w:t xml:space="preserve"> for injection (covered by the medical benefit without a PA).  </w:t>
      </w:r>
      <w:proofErr w:type="spellStart"/>
      <w:r w:rsidRPr="00FA3F9C">
        <w:rPr>
          <w:rFonts w:ascii="Arial" w:hAnsi="Arial" w:cs="Arial"/>
          <w:sz w:val="24"/>
          <w:szCs w:val="24"/>
        </w:rPr>
        <w:t>Orenitram</w:t>
      </w:r>
      <w:proofErr w:type="spellEnd"/>
      <w:r w:rsidRPr="00FA3F9C">
        <w:rPr>
          <w:rFonts w:ascii="Arial" w:hAnsi="Arial" w:cs="Arial"/>
          <w:sz w:val="24"/>
          <w:szCs w:val="24"/>
        </w:rPr>
        <w:t xml:space="preserve"> is also </w:t>
      </w:r>
      <w:proofErr w:type="spellStart"/>
      <w:r w:rsidRPr="00FA3F9C">
        <w:rPr>
          <w:rFonts w:ascii="Arial" w:hAnsi="Arial" w:cs="Arial"/>
          <w:sz w:val="24"/>
          <w:szCs w:val="24"/>
        </w:rPr>
        <w:t>treprostinil</w:t>
      </w:r>
      <w:proofErr w:type="spellEnd"/>
      <w:r w:rsidRPr="00FA3F9C">
        <w:rPr>
          <w:rFonts w:ascii="Arial" w:hAnsi="Arial" w:cs="Arial"/>
          <w:sz w:val="24"/>
          <w:szCs w:val="24"/>
        </w:rPr>
        <w:t xml:space="preserve"> oral XR tablet 0.125, 0.25, 1mg, 2.5mg, and 5mg and is excluded from our plans.</w:t>
      </w:r>
    </w:p>
    <w:p w14:paraId="6689446E" w14:textId="77777777" w:rsidR="005C142D" w:rsidRPr="00FA3F9C" w:rsidRDefault="005C142D" w:rsidP="003E49EF">
      <w:pPr>
        <w:spacing w:after="0"/>
        <w:rPr>
          <w:rFonts w:ascii="Arial" w:hAnsi="Arial" w:cs="Arial"/>
          <w:sz w:val="24"/>
          <w:szCs w:val="24"/>
        </w:rPr>
      </w:pPr>
    </w:p>
    <w:p w14:paraId="3B132C6B" w14:textId="77777777" w:rsidR="005C142D" w:rsidRPr="00FA3F9C" w:rsidRDefault="005C142D" w:rsidP="006F623F">
      <w:pPr>
        <w:spacing w:after="0"/>
        <w:rPr>
          <w:rFonts w:ascii="Arial" w:hAnsi="Arial" w:cs="Arial"/>
          <w:b/>
          <w:sz w:val="24"/>
          <w:szCs w:val="24"/>
          <w:u w:val="single"/>
        </w:rPr>
      </w:pPr>
      <w:r w:rsidRPr="00FA3F9C">
        <w:rPr>
          <w:rFonts w:ascii="Arial" w:hAnsi="Arial" w:cs="Arial"/>
          <w:b/>
          <w:sz w:val="24"/>
          <w:szCs w:val="24"/>
          <w:u w:val="single"/>
        </w:rPr>
        <w:t xml:space="preserve">Tyvaso is FDA-approved for: treatment of PAH (WHO Group I) in patients with NYHA class III symptoms to improve exercise ability.  Nearly all controlled clinical trial experience has been with concomitant </w:t>
      </w:r>
      <w:proofErr w:type="spellStart"/>
      <w:r w:rsidRPr="00FA3F9C">
        <w:rPr>
          <w:rFonts w:ascii="Arial" w:hAnsi="Arial" w:cs="Arial"/>
          <w:b/>
          <w:sz w:val="24"/>
          <w:szCs w:val="24"/>
          <w:u w:val="single"/>
        </w:rPr>
        <w:t>bosentan</w:t>
      </w:r>
      <w:proofErr w:type="spellEnd"/>
      <w:r w:rsidRPr="00FA3F9C">
        <w:rPr>
          <w:rFonts w:ascii="Arial" w:hAnsi="Arial" w:cs="Arial"/>
          <w:b/>
          <w:sz w:val="24"/>
          <w:szCs w:val="24"/>
          <w:u w:val="single"/>
        </w:rPr>
        <w:t xml:space="preserve"> or sildenafil.</w:t>
      </w:r>
    </w:p>
    <w:tbl>
      <w:tblPr>
        <w:tblStyle w:val="TableGrid"/>
        <w:tblW w:w="0" w:type="auto"/>
        <w:tblLook w:val="04A0" w:firstRow="1" w:lastRow="0" w:firstColumn="1" w:lastColumn="0" w:noHBand="0" w:noVBand="1"/>
      </w:tblPr>
      <w:tblGrid>
        <w:gridCol w:w="10998"/>
      </w:tblGrid>
      <w:tr w:rsidR="005C142D" w:rsidRPr="00FA3F9C" w14:paraId="1A09B152" w14:textId="77777777" w:rsidTr="00983BE6">
        <w:tc>
          <w:tcPr>
            <w:tcW w:w="10998" w:type="dxa"/>
          </w:tcPr>
          <w:p w14:paraId="699BD365" w14:textId="77777777" w:rsidR="005C142D" w:rsidRPr="00FA3F9C" w:rsidRDefault="005C142D" w:rsidP="00983BE6">
            <w:pPr>
              <w:rPr>
                <w:rFonts w:ascii="Arial" w:hAnsi="Arial" w:cs="Arial"/>
                <w:b/>
                <w:sz w:val="24"/>
                <w:szCs w:val="24"/>
                <w:u w:val="single"/>
              </w:rPr>
            </w:pPr>
            <w:r w:rsidRPr="00FA3F9C">
              <w:rPr>
                <w:rFonts w:ascii="Arial" w:hAnsi="Arial" w:cs="Arial"/>
                <w:b/>
                <w:sz w:val="24"/>
                <w:szCs w:val="24"/>
                <w:u w:val="single"/>
              </w:rPr>
              <w:t>Criteria</w:t>
            </w:r>
          </w:p>
        </w:tc>
      </w:tr>
      <w:tr w:rsidR="005C142D" w:rsidRPr="00FA3F9C" w14:paraId="7B996016" w14:textId="77777777" w:rsidTr="00983BE6">
        <w:tc>
          <w:tcPr>
            <w:tcW w:w="10998" w:type="dxa"/>
          </w:tcPr>
          <w:p w14:paraId="00E45249" w14:textId="77777777" w:rsidR="005C142D" w:rsidRPr="00FA3F9C" w:rsidRDefault="005C142D" w:rsidP="006F623F">
            <w:pPr>
              <w:rPr>
                <w:rFonts w:ascii="Arial" w:hAnsi="Arial" w:cs="Arial"/>
                <w:sz w:val="24"/>
                <w:szCs w:val="24"/>
              </w:rPr>
            </w:pPr>
            <w:r w:rsidRPr="00FA3F9C">
              <w:rPr>
                <w:rFonts w:ascii="Arial" w:hAnsi="Arial" w:cs="Arial"/>
                <w:sz w:val="24"/>
                <w:szCs w:val="24"/>
              </w:rPr>
              <w:t>1.  The patient must have the diagnosis of pulmonary artery hypertension (Group 1), WHO functional class III</w:t>
            </w:r>
          </w:p>
          <w:p w14:paraId="52357689" w14:textId="77777777" w:rsidR="005C142D" w:rsidRPr="00FA3F9C" w:rsidRDefault="005C142D" w:rsidP="006F623F">
            <w:pPr>
              <w:rPr>
                <w:rFonts w:ascii="Arial" w:hAnsi="Arial" w:cs="Arial"/>
                <w:sz w:val="24"/>
                <w:szCs w:val="24"/>
              </w:rPr>
            </w:pPr>
            <w:r w:rsidRPr="00FA3F9C">
              <w:rPr>
                <w:rFonts w:ascii="Arial" w:hAnsi="Arial" w:cs="Arial"/>
                <w:sz w:val="24"/>
                <w:szCs w:val="24"/>
              </w:rPr>
              <w:t>AND</w:t>
            </w:r>
          </w:p>
          <w:p w14:paraId="68115291" w14:textId="77777777" w:rsidR="005C142D" w:rsidRPr="00FA3F9C" w:rsidRDefault="005C142D" w:rsidP="006F623F">
            <w:pPr>
              <w:rPr>
                <w:rFonts w:ascii="Arial" w:hAnsi="Arial" w:cs="Arial"/>
                <w:sz w:val="24"/>
                <w:szCs w:val="24"/>
              </w:rPr>
            </w:pPr>
            <w:r w:rsidRPr="00FA3F9C">
              <w:rPr>
                <w:rFonts w:ascii="Arial" w:hAnsi="Arial" w:cs="Arial"/>
                <w:sz w:val="24"/>
                <w:szCs w:val="24"/>
              </w:rPr>
              <w:t>either still symptomatic despite taking a PDE5 inhibitor (sildenafil, tadalafil, etc.) or endothelin receptor antagonist (</w:t>
            </w:r>
            <w:proofErr w:type="spellStart"/>
            <w:r w:rsidRPr="00FA3F9C">
              <w:rPr>
                <w:rFonts w:ascii="Arial" w:hAnsi="Arial" w:cs="Arial"/>
                <w:sz w:val="24"/>
                <w:szCs w:val="24"/>
              </w:rPr>
              <w:t>ambrisentan</w:t>
            </w:r>
            <w:proofErr w:type="spellEnd"/>
            <w:r w:rsidRPr="00FA3F9C">
              <w:rPr>
                <w:rFonts w:ascii="Arial" w:hAnsi="Arial" w:cs="Arial"/>
                <w:sz w:val="24"/>
                <w:szCs w:val="24"/>
              </w:rPr>
              <w:t xml:space="preserve">, </w:t>
            </w:r>
            <w:proofErr w:type="spellStart"/>
            <w:r w:rsidRPr="00FA3F9C">
              <w:rPr>
                <w:rFonts w:ascii="Arial" w:hAnsi="Arial" w:cs="Arial"/>
                <w:sz w:val="24"/>
                <w:szCs w:val="24"/>
              </w:rPr>
              <w:t>bosentan</w:t>
            </w:r>
            <w:proofErr w:type="spellEnd"/>
            <w:r w:rsidRPr="00FA3F9C">
              <w:rPr>
                <w:rFonts w:ascii="Arial" w:hAnsi="Arial" w:cs="Arial"/>
                <w:sz w:val="24"/>
                <w:szCs w:val="24"/>
              </w:rPr>
              <w:t xml:space="preserve">, </w:t>
            </w:r>
            <w:proofErr w:type="spellStart"/>
            <w:r w:rsidRPr="00FA3F9C">
              <w:rPr>
                <w:rFonts w:ascii="Arial" w:hAnsi="Arial" w:cs="Arial"/>
                <w:sz w:val="24"/>
                <w:szCs w:val="24"/>
              </w:rPr>
              <w:t>macitentan</w:t>
            </w:r>
            <w:proofErr w:type="spellEnd"/>
            <w:r w:rsidRPr="00FA3F9C">
              <w:rPr>
                <w:rFonts w:ascii="Arial" w:hAnsi="Arial" w:cs="Arial"/>
                <w:sz w:val="24"/>
                <w:szCs w:val="24"/>
              </w:rPr>
              <w:t>)</w:t>
            </w:r>
          </w:p>
        </w:tc>
      </w:tr>
      <w:tr w:rsidR="005C142D" w:rsidRPr="00FA3F9C" w14:paraId="4049E64B" w14:textId="77777777" w:rsidTr="00983BE6">
        <w:tc>
          <w:tcPr>
            <w:tcW w:w="10998" w:type="dxa"/>
          </w:tcPr>
          <w:p w14:paraId="46081CE9" w14:textId="77777777" w:rsidR="005C142D" w:rsidRPr="00FA3F9C" w:rsidRDefault="005C142D" w:rsidP="006F623F">
            <w:pPr>
              <w:rPr>
                <w:rFonts w:ascii="Arial" w:hAnsi="Arial" w:cs="Arial"/>
                <w:sz w:val="24"/>
                <w:szCs w:val="24"/>
              </w:rPr>
            </w:pPr>
            <w:r w:rsidRPr="00FA3F9C">
              <w:rPr>
                <w:rFonts w:ascii="Arial" w:hAnsi="Arial" w:cs="Arial"/>
                <w:sz w:val="24"/>
                <w:szCs w:val="24"/>
              </w:rPr>
              <w:t>OR</w:t>
            </w:r>
          </w:p>
        </w:tc>
      </w:tr>
      <w:tr w:rsidR="005C142D" w:rsidRPr="00FA3F9C" w14:paraId="2989A91B" w14:textId="77777777" w:rsidTr="00983BE6">
        <w:tc>
          <w:tcPr>
            <w:tcW w:w="10998" w:type="dxa"/>
          </w:tcPr>
          <w:p w14:paraId="6E14A84E" w14:textId="77777777" w:rsidR="005C142D" w:rsidRPr="00FA3F9C" w:rsidRDefault="005C142D" w:rsidP="006F623F">
            <w:pPr>
              <w:rPr>
                <w:rFonts w:ascii="Arial" w:hAnsi="Arial" w:cs="Arial"/>
                <w:sz w:val="24"/>
                <w:szCs w:val="24"/>
              </w:rPr>
            </w:pPr>
            <w:r w:rsidRPr="00FA3F9C">
              <w:rPr>
                <w:rFonts w:ascii="Arial" w:hAnsi="Arial" w:cs="Arial"/>
                <w:sz w:val="24"/>
                <w:szCs w:val="24"/>
              </w:rPr>
              <w:t>2.  The patient must have the diagnosis of PAH Group 5 after treating underlying causes.</w:t>
            </w:r>
          </w:p>
        </w:tc>
      </w:tr>
      <w:tr w:rsidR="005C142D" w:rsidRPr="00FA3F9C" w14:paraId="4483FD9F" w14:textId="77777777" w:rsidTr="00983BE6">
        <w:tc>
          <w:tcPr>
            <w:tcW w:w="10998" w:type="dxa"/>
          </w:tcPr>
          <w:p w14:paraId="21293286" w14:textId="77777777" w:rsidR="005C142D" w:rsidRPr="00FA3F9C" w:rsidRDefault="005C142D" w:rsidP="006F623F">
            <w:pPr>
              <w:rPr>
                <w:rFonts w:ascii="Arial" w:hAnsi="Arial" w:cs="Arial"/>
                <w:b/>
                <w:sz w:val="24"/>
                <w:szCs w:val="24"/>
              </w:rPr>
            </w:pPr>
            <w:r w:rsidRPr="00FA3F9C">
              <w:rPr>
                <w:rFonts w:ascii="Arial" w:hAnsi="Arial" w:cs="Arial"/>
                <w:b/>
                <w:sz w:val="24"/>
                <w:szCs w:val="24"/>
              </w:rPr>
              <w:t xml:space="preserve">If </w:t>
            </w:r>
            <w:proofErr w:type="gramStart"/>
            <w:r w:rsidRPr="00FA3F9C">
              <w:rPr>
                <w:rFonts w:ascii="Arial" w:hAnsi="Arial" w:cs="Arial"/>
                <w:b/>
                <w:sz w:val="24"/>
                <w:szCs w:val="24"/>
              </w:rPr>
              <w:t>both of the above</w:t>
            </w:r>
            <w:proofErr w:type="gramEnd"/>
            <w:r w:rsidRPr="00FA3F9C">
              <w:rPr>
                <w:rFonts w:ascii="Arial" w:hAnsi="Arial" w:cs="Arial"/>
                <w:b/>
                <w:sz w:val="24"/>
                <w:szCs w:val="24"/>
              </w:rPr>
              <w:t xml:space="preserve"> are satisfied, approve for 12 months.</w:t>
            </w:r>
          </w:p>
        </w:tc>
      </w:tr>
    </w:tbl>
    <w:p w14:paraId="16A5866B" w14:textId="77777777" w:rsidR="005C142D" w:rsidRPr="00FA3F9C" w:rsidRDefault="005C142D" w:rsidP="006F623F">
      <w:pPr>
        <w:spacing w:after="0"/>
        <w:rPr>
          <w:rFonts w:ascii="Arial" w:hAnsi="Arial" w:cs="Arial"/>
          <w:b/>
          <w:sz w:val="24"/>
          <w:szCs w:val="24"/>
          <w:u w:val="single"/>
        </w:rPr>
      </w:pPr>
    </w:p>
    <w:tbl>
      <w:tblPr>
        <w:tblStyle w:val="TableGrid"/>
        <w:tblW w:w="0" w:type="auto"/>
        <w:shd w:val="clear" w:color="auto" w:fill="BFBFBF" w:themeFill="background1" w:themeFillShade="BF"/>
        <w:tblLook w:val="04A0" w:firstRow="1" w:lastRow="0" w:firstColumn="1" w:lastColumn="0" w:noHBand="0" w:noVBand="1"/>
      </w:tblPr>
      <w:tblGrid>
        <w:gridCol w:w="10998"/>
      </w:tblGrid>
      <w:tr w:rsidR="005C142D" w:rsidRPr="00FA3F9C" w14:paraId="31842568" w14:textId="77777777" w:rsidTr="003E49EF">
        <w:tc>
          <w:tcPr>
            <w:tcW w:w="10998" w:type="dxa"/>
            <w:shd w:val="clear" w:color="auto" w:fill="BFBFBF" w:themeFill="background1" w:themeFillShade="BF"/>
          </w:tcPr>
          <w:p w14:paraId="67227F8D" w14:textId="77777777" w:rsidR="005C142D" w:rsidRPr="00FA3F9C" w:rsidRDefault="005C142D" w:rsidP="003E49EF">
            <w:pPr>
              <w:tabs>
                <w:tab w:val="left" w:pos="5907"/>
              </w:tabs>
              <w:rPr>
                <w:rFonts w:ascii="Arial" w:hAnsi="Arial" w:cs="Arial"/>
                <w:sz w:val="24"/>
                <w:szCs w:val="24"/>
              </w:rPr>
            </w:pPr>
            <w:r w:rsidRPr="00FA3F9C">
              <w:rPr>
                <w:rFonts w:ascii="Arial" w:hAnsi="Arial" w:cs="Arial"/>
                <w:sz w:val="24"/>
                <w:szCs w:val="24"/>
              </w:rPr>
              <w:t xml:space="preserve">Dosing is 18mcg (3 inhalations) every 4 hours 4 times/day.  </w:t>
            </w:r>
          </w:p>
        </w:tc>
      </w:tr>
    </w:tbl>
    <w:p w14:paraId="359BD0D0" w14:textId="77777777" w:rsidR="005C142D" w:rsidRPr="00FA3F9C" w:rsidRDefault="005C142D" w:rsidP="006F623F">
      <w:pPr>
        <w:spacing w:after="0"/>
        <w:rPr>
          <w:rFonts w:ascii="Arial" w:hAnsi="Arial" w:cs="Arial"/>
          <w:sz w:val="24"/>
          <w:szCs w:val="24"/>
        </w:rPr>
      </w:pPr>
    </w:p>
    <w:tbl>
      <w:tblPr>
        <w:tblStyle w:val="TableGrid"/>
        <w:tblW w:w="0" w:type="auto"/>
        <w:tblLook w:val="04A0" w:firstRow="1" w:lastRow="0" w:firstColumn="1" w:lastColumn="0" w:noHBand="0" w:noVBand="1"/>
      </w:tblPr>
      <w:tblGrid>
        <w:gridCol w:w="1537"/>
        <w:gridCol w:w="1443"/>
        <w:gridCol w:w="2018"/>
        <w:gridCol w:w="1723"/>
        <w:gridCol w:w="1896"/>
        <w:gridCol w:w="2097"/>
        <w:gridCol w:w="1857"/>
      </w:tblGrid>
      <w:tr w:rsidR="005C142D" w:rsidRPr="00FA3F9C" w14:paraId="4FA505C8" w14:textId="77777777" w:rsidTr="00983BE6">
        <w:tc>
          <w:tcPr>
            <w:tcW w:w="11016" w:type="dxa"/>
            <w:gridSpan w:val="7"/>
          </w:tcPr>
          <w:p w14:paraId="35A680B9" w14:textId="77777777" w:rsidR="005C142D" w:rsidRPr="00FA3F9C" w:rsidRDefault="005C142D"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Diagnostic Criteria and WHO categorization of PH</w:t>
            </w:r>
          </w:p>
        </w:tc>
      </w:tr>
      <w:tr w:rsidR="005C142D" w:rsidRPr="00FA3F9C" w14:paraId="11F24C6D" w14:textId="77777777" w:rsidTr="00983BE6">
        <w:tc>
          <w:tcPr>
            <w:tcW w:w="1401" w:type="dxa"/>
          </w:tcPr>
          <w:p w14:paraId="08DBBBED" w14:textId="77777777" w:rsidR="005C142D" w:rsidRPr="00FA3F9C" w:rsidRDefault="005C142D" w:rsidP="003926F2">
            <w:pPr>
              <w:widowControl w:val="0"/>
              <w:autoSpaceDE w:val="0"/>
              <w:autoSpaceDN w:val="0"/>
              <w:adjustRightInd w:val="0"/>
              <w:rPr>
                <w:rFonts w:ascii="Arial" w:hAnsi="Arial" w:cs="Arial"/>
                <w:b/>
                <w:color w:val="231F20"/>
                <w:sz w:val="24"/>
                <w:szCs w:val="24"/>
              </w:rPr>
            </w:pPr>
          </w:p>
        </w:tc>
        <w:tc>
          <w:tcPr>
            <w:tcW w:w="1336" w:type="dxa"/>
          </w:tcPr>
          <w:p w14:paraId="70C526A5" w14:textId="77777777" w:rsidR="005C142D" w:rsidRPr="00FA3F9C" w:rsidRDefault="005C142D"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All Groups</w:t>
            </w:r>
          </w:p>
        </w:tc>
        <w:tc>
          <w:tcPr>
            <w:tcW w:w="1690" w:type="dxa"/>
            <w:shd w:val="clear" w:color="auto" w:fill="DBDBDB" w:themeFill="accent3" w:themeFillTint="66"/>
          </w:tcPr>
          <w:p w14:paraId="566886F2" w14:textId="77777777" w:rsidR="005C142D" w:rsidRPr="00FA3F9C" w:rsidRDefault="005C142D"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Group 1</w:t>
            </w:r>
          </w:p>
        </w:tc>
        <w:tc>
          <w:tcPr>
            <w:tcW w:w="1519" w:type="dxa"/>
          </w:tcPr>
          <w:p w14:paraId="030DC743" w14:textId="77777777" w:rsidR="005C142D" w:rsidRPr="00FA3F9C" w:rsidRDefault="005C142D"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Group 2</w:t>
            </w:r>
          </w:p>
        </w:tc>
        <w:tc>
          <w:tcPr>
            <w:tcW w:w="1658" w:type="dxa"/>
          </w:tcPr>
          <w:p w14:paraId="42A2048B" w14:textId="77777777" w:rsidR="005C142D" w:rsidRPr="00FA3F9C" w:rsidRDefault="005C142D"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Group 3</w:t>
            </w:r>
          </w:p>
        </w:tc>
        <w:tc>
          <w:tcPr>
            <w:tcW w:w="1808" w:type="dxa"/>
          </w:tcPr>
          <w:p w14:paraId="5C9532F8" w14:textId="77777777" w:rsidR="005C142D" w:rsidRPr="00FA3F9C" w:rsidRDefault="005C142D"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Group 4</w:t>
            </w:r>
          </w:p>
        </w:tc>
        <w:tc>
          <w:tcPr>
            <w:tcW w:w="1604" w:type="dxa"/>
          </w:tcPr>
          <w:p w14:paraId="62D14934" w14:textId="77777777" w:rsidR="005C142D" w:rsidRPr="00FA3F9C" w:rsidRDefault="005C142D"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Group 5</w:t>
            </w:r>
          </w:p>
        </w:tc>
      </w:tr>
      <w:tr w:rsidR="005C142D" w:rsidRPr="00FA3F9C" w14:paraId="30498811" w14:textId="77777777" w:rsidTr="00983BE6">
        <w:tc>
          <w:tcPr>
            <w:tcW w:w="1401" w:type="dxa"/>
          </w:tcPr>
          <w:p w14:paraId="176AA0BB" w14:textId="77777777" w:rsidR="005C142D" w:rsidRPr="00FA3F9C" w:rsidRDefault="005C142D"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Description</w:t>
            </w:r>
          </w:p>
        </w:tc>
        <w:tc>
          <w:tcPr>
            <w:tcW w:w="1336" w:type="dxa"/>
          </w:tcPr>
          <w:p w14:paraId="70A4E313" w14:textId="77777777" w:rsidR="005C142D" w:rsidRPr="00FA3F9C" w:rsidRDefault="005C142D"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 xml:space="preserve">Elevated </w:t>
            </w:r>
            <w:r w:rsidRPr="00FA3F9C">
              <w:rPr>
                <w:rFonts w:ascii="Arial" w:hAnsi="Arial" w:cs="Arial"/>
                <w:b/>
                <w:color w:val="231F20"/>
                <w:sz w:val="24"/>
                <w:szCs w:val="24"/>
              </w:rPr>
              <w:lastRenderedPageBreak/>
              <w:t>PAP</w:t>
            </w:r>
          </w:p>
        </w:tc>
        <w:tc>
          <w:tcPr>
            <w:tcW w:w="1690" w:type="dxa"/>
            <w:shd w:val="clear" w:color="auto" w:fill="DBDBDB" w:themeFill="accent3" w:themeFillTint="66"/>
          </w:tcPr>
          <w:p w14:paraId="00A83223" w14:textId="77777777" w:rsidR="005C142D" w:rsidRPr="00FA3F9C" w:rsidRDefault="005C142D"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lastRenderedPageBreak/>
              <w:t xml:space="preserve">Pulmonary </w:t>
            </w:r>
            <w:r w:rsidRPr="00FA3F9C">
              <w:rPr>
                <w:rFonts w:ascii="Arial" w:hAnsi="Arial" w:cs="Arial"/>
                <w:b/>
                <w:color w:val="231F20"/>
                <w:sz w:val="24"/>
                <w:szCs w:val="24"/>
              </w:rPr>
              <w:lastRenderedPageBreak/>
              <w:t>arterial hypertension</w:t>
            </w:r>
          </w:p>
        </w:tc>
        <w:tc>
          <w:tcPr>
            <w:tcW w:w="1519" w:type="dxa"/>
          </w:tcPr>
          <w:p w14:paraId="4F982149" w14:textId="77777777" w:rsidR="005C142D" w:rsidRPr="00FA3F9C" w:rsidRDefault="005C142D"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lastRenderedPageBreak/>
              <w:t xml:space="preserve">Pulmonary </w:t>
            </w:r>
            <w:r w:rsidRPr="00FA3F9C">
              <w:rPr>
                <w:rFonts w:ascii="Arial" w:hAnsi="Arial" w:cs="Arial"/>
                <w:b/>
                <w:color w:val="231F20"/>
                <w:sz w:val="24"/>
                <w:szCs w:val="24"/>
              </w:rPr>
              <w:lastRenderedPageBreak/>
              <w:t>venous hypertension</w:t>
            </w:r>
          </w:p>
        </w:tc>
        <w:tc>
          <w:tcPr>
            <w:tcW w:w="1658" w:type="dxa"/>
          </w:tcPr>
          <w:p w14:paraId="1A41CCAF" w14:textId="77777777" w:rsidR="005C142D" w:rsidRPr="00FA3F9C" w:rsidRDefault="005C142D"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lastRenderedPageBreak/>
              <w:t xml:space="preserve">PH due to </w:t>
            </w:r>
            <w:r w:rsidRPr="00FA3F9C">
              <w:rPr>
                <w:rFonts w:ascii="Arial" w:hAnsi="Arial" w:cs="Arial"/>
                <w:b/>
                <w:color w:val="231F20"/>
                <w:sz w:val="24"/>
                <w:szCs w:val="24"/>
              </w:rPr>
              <w:lastRenderedPageBreak/>
              <w:t>hypoxemia</w:t>
            </w:r>
          </w:p>
        </w:tc>
        <w:tc>
          <w:tcPr>
            <w:tcW w:w="1808" w:type="dxa"/>
          </w:tcPr>
          <w:p w14:paraId="69560860" w14:textId="77777777" w:rsidR="005C142D" w:rsidRPr="00FA3F9C" w:rsidRDefault="005C142D"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lastRenderedPageBreak/>
              <w:t xml:space="preserve">Chronic </w:t>
            </w:r>
            <w:r w:rsidRPr="00FA3F9C">
              <w:rPr>
                <w:rFonts w:ascii="Arial" w:hAnsi="Arial" w:cs="Arial"/>
                <w:b/>
                <w:color w:val="231F20"/>
                <w:sz w:val="24"/>
                <w:szCs w:val="24"/>
              </w:rPr>
              <w:lastRenderedPageBreak/>
              <w:t>thromboembolic PH</w:t>
            </w:r>
          </w:p>
        </w:tc>
        <w:tc>
          <w:tcPr>
            <w:tcW w:w="1604" w:type="dxa"/>
          </w:tcPr>
          <w:p w14:paraId="248C2A8F" w14:textId="77777777" w:rsidR="005C142D" w:rsidRPr="00FA3F9C" w:rsidRDefault="005C142D"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lastRenderedPageBreak/>
              <w:t xml:space="preserve">Miscellaneous </w:t>
            </w:r>
            <w:r w:rsidRPr="00FA3F9C">
              <w:rPr>
                <w:rFonts w:ascii="Arial" w:hAnsi="Arial" w:cs="Arial"/>
                <w:b/>
                <w:color w:val="231F20"/>
                <w:sz w:val="24"/>
                <w:szCs w:val="24"/>
              </w:rPr>
              <w:lastRenderedPageBreak/>
              <w:t>or multifactorial PH</w:t>
            </w:r>
          </w:p>
        </w:tc>
      </w:tr>
      <w:tr w:rsidR="005C142D" w:rsidRPr="00FA3F9C" w14:paraId="056E4E1F" w14:textId="77777777" w:rsidTr="00983BE6">
        <w:tc>
          <w:tcPr>
            <w:tcW w:w="1401" w:type="dxa"/>
          </w:tcPr>
          <w:p w14:paraId="0FF5BF08" w14:textId="77777777" w:rsidR="005C142D" w:rsidRPr="00FA3F9C" w:rsidRDefault="005C142D"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lastRenderedPageBreak/>
              <w:t>Estimated prevalence</w:t>
            </w:r>
          </w:p>
        </w:tc>
        <w:tc>
          <w:tcPr>
            <w:tcW w:w="1336" w:type="dxa"/>
          </w:tcPr>
          <w:p w14:paraId="61AE5AFD" w14:textId="77777777" w:rsidR="005C142D" w:rsidRPr="00FA3F9C" w:rsidRDefault="005C142D"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Up to 10-20% of the general population</w:t>
            </w:r>
          </w:p>
        </w:tc>
        <w:tc>
          <w:tcPr>
            <w:tcW w:w="1690" w:type="dxa"/>
            <w:shd w:val="clear" w:color="auto" w:fill="DBDBDB" w:themeFill="accent3" w:themeFillTint="66"/>
          </w:tcPr>
          <w:p w14:paraId="78E587E1" w14:textId="77777777" w:rsidR="005C142D" w:rsidRPr="00FA3F9C" w:rsidRDefault="005C142D"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15 cases/1,000,000 overall; 6 cases per 1mil for idiopathic PAH</w:t>
            </w:r>
          </w:p>
        </w:tc>
        <w:tc>
          <w:tcPr>
            <w:tcW w:w="1519" w:type="dxa"/>
          </w:tcPr>
          <w:p w14:paraId="189AB921" w14:textId="77777777" w:rsidR="005C142D" w:rsidRPr="00FA3F9C" w:rsidRDefault="005C142D"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&gt;3-4 mil in US</w:t>
            </w:r>
          </w:p>
        </w:tc>
        <w:tc>
          <w:tcPr>
            <w:tcW w:w="1658" w:type="dxa"/>
          </w:tcPr>
          <w:p w14:paraId="02BCDA2B" w14:textId="77777777" w:rsidR="005C142D" w:rsidRPr="00FA3F9C" w:rsidRDefault="005C142D"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20% in COPD pts w/ a prior hospitalization for COPD</w:t>
            </w:r>
          </w:p>
        </w:tc>
        <w:tc>
          <w:tcPr>
            <w:tcW w:w="1808" w:type="dxa"/>
          </w:tcPr>
          <w:p w14:paraId="220A596C" w14:textId="77777777" w:rsidR="005C142D" w:rsidRPr="00FA3F9C" w:rsidRDefault="005C142D"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0.5-2% (up to 3.8%) in survivors of acute PE</w:t>
            </w:r>
          </w:p>
        </w:tc>
        <w:tc>
          <w:tcPr>
            <w:tcW w:w="1604" w:type="dxa"/>
          </w:tcPr>
          <w:p w14:paraId="021547C0" w14:textId="77777777" w:rsidR="005C142D" w:rsidRPr="00FA3F9C" w:rsidRDefault="005C142D"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Unclear</w:t>
            </w:r>
          </w:p>
        </w:tc>
      </w:tr>
      <w:tr w:rsidR="005C142D" w:rsidRPr="00FA3F9C" w14:paraId="413B57EF" w14:textId="77777777" w:rsidTr="00983BE6">
        <w:tc>
          <w:tcPr>
            <w:tcW w:w="1401" w:type="dxa"/>
          </w:tcPr>
          <w:p w14:paraId="73B7A5AC" w14:textId="77777777" w:rsidR="005C142D" w:rsidRPr="00FA3F9C" w:rsidRDefault="005C142D"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Diagnostic criteria</w:t>
            </w:r>
          </w:p>
        </w:tc>
        <w:tc>
          <w:tcPr>
            <w:tcW w:w="9615" w:type="dxa"/>
            <w:gridSpan w:val="6"/>
          </w:tcPr>
          <w:p w14:paraId="675BA0F9" w14:textId="77777777" w:rsidR="005C142D" w:rsidRPr="00FA3F9C" w:rsidRDefault="005C142D" w:rsidP="003926F2">
            <w:pPr>
              <w:widowControl w:val="0"/>
              <w:autoSpaceDE w:val="0"/>
              <w:autoSpaceDN w:val="0"/>
              <w:adjustRightInd w:val="0"/>
              <w:rPr>
                <w:rFonts w:ascii="Arial" w:hAnsi="Arial" w:cs="Arial"/>
                <w:b/>
                <w:color w:val="231F20"/>
                <w:sz w:val="24"/>
                <w:szCs w:val="24"/>
              </w:rPr>
            </w:pPr>
          </w:p>
        </w:tc>
      </w:tr>
      <w:tr w:rsidR="005C142D" w:rsidRPr="00FA3F9C" w14:paraId="58EE75B9" w14:textId="77777777" w:rsidTr="00983BE6">
        <w:tc>
          <w:tcPr>
            <w:tcW w:w="1401" w:type="dxa"/>
          </w:tcPr>
          <w:p w14:paraId="1CA93FBF" w14:textId="77777777" w:rsidR="005C142D" w:rsidRPr="00FA3F9C" w:rsidRDefault="005C142D"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Mean PA pressure, mmHg</w:t>
            </w:r>
          </w:p>
        </w:tc>
        <w:tc>
          <w:tcPr>
            <w:tcW w:w="1336" w:type="dxa"/>
          </w:tcPr>
          <w:p w14:paraId="23FF46A6" w14:textId="77777777" w:rsidR="005C142D" w:rsidRPr="00FA3F9C" w:rsidRDefault="005C142D"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u w:val="single"/>
              </w:rPr>
              <w:t>&gt;</w:t>
            </w:r>
            <w:r w:rsidRPr="00FA3F9C">
              <w:rPr>
                <w:rFonts w:ascii="Arial" w:hAnsi="Arial" w:cs="Arial"/>
                <w:b/>
                <w:color w:val="231F20"/>
                <w:sz w:val="24"/>
                <w:szCs w:val="24"/>
              </w:rPr>
              <w:t>25</w:t>
            </w:r>
          </w:p>
        </w:tc>
        <w:tc>
          <w:tcPr>
            <w:tcW w:w="1690" w:type="dxa"/>
            <w:shd w:val="clear" w:color="auto" w:fill="DBDBDB" w:themeFill="accent3" w:themeFillTint="66"/>
          </w:tcPr>
          <w:p w14:paraId="134613FE" w14:textId="77777777" w:rsidR="005C142D" w:rsidRPr="00FA3F9C" w:rsidRDefault="005C142D"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u w:val="single"/>
              </w:rPr>
              <w:t>&gt;</w:t>
            </w:r>
            <w:r w:rsidRPr="00FA3F9C">
              <w:rPr>
                <w:rFonts w:ascii="Arial" w:hAnsi="Arial" w:cs="Arial"/>
                <w:b/>
                <w:color w:val="231F20"/>
                <w:sz w:val="24"/>
                <w:szCs w:val="24"/>
              </w:rPr>
              <w:t>25</w:t>
            </w:r>
          </w:p>
        </w:tc>
        <w:tc>
          <w:tcPr>
            <w:tcW w:w="1519" w:type="dxa"/>
          </w:tcPr>
          <w:p w14:paraId="0279A7E8" w14:textId="77777777" w:rsidR="005C142D" w:rsidRPr="00FA3F9C" w:rsidRDefault="005C142D" w:rsidP="003926F2">
            <w:pPr>
              <w:rPr>
                <w:rFonts w:ascii="Arial" w:hAnsi="Arial" w:cs="Arial"/>
                <w:sz w:val="24"/>
                <w:szCs w:val="24"/>
              </w:rPr>
            </w:pPr>
            <w:r w:rsidRPr="00FA3F9C">
              <w:rPr>
                <w:rFonts w:ascii="Arial" w:hAnsi="Arial" w:cs="Arial"/>
                <w:b/>
                <w:color w:val="231F20"/>
                <w:sz w:val="24"/>
                <w:szCs w:val="24"/>
                <w:u w:val="single"/>
              </w:rPr>
              <w:t>&gt;</w:t>
            </w:r>
            <w:r w:rsidRPr="00FA3F9C">
              <w:rPr>
                <w:rFonts w:ascii="Arial" w:hAnsi="Arial" w:cs="Arial"/>
                <w:b/>
                <w:color w:val="231F20"/>
                <w:sz w:val="24"/>
                <w:szCs w:val="24"/>
              </w:rPr>
              <w:t>25</w:t>
            </w:r>
          </w:p>
        </w:tc>
        <w:tc>
          <w:tcPr>
            <w:tcW w:w="1658" w:type="dxa"/>
          </w:tcPr>
          <w:p w14:paraId="102B1E57" w14:textId="77777777" w:rsidR="005C142D" w:rsidRPr="00FA3F9C" w:rsidRDefault="005C142D" w:rsidP="003926F2">
            <w:pPr>
              <w:rPr>
                <w:rFonts w:ascii="Arial" w:hAnsi="Arial" w:cs="Arial"/>
                <w:sz w:val="24"/>
                <w:szCs w:val="24"/>
              </w:rPr>
            </w:pPr>
            <w:r w:rsidRPr="00FA3F9C">
              <w:rPr>
                <w:rFonts w:ascii="Arial" w:hAnsi="Arial" w:cs="Arial"/>
                <w:b/>
                <w:color w:val="231F20"/>
                <w:sz w:val="24"/>
                <w:szCs w:val="24"/>
                <w:u w:val="single"/>
              </w:rPr>
              <w:t>&gt;</w:t>
            </w:r>
            <w:r w:rsidRPr="00FA3F9C">
              <w:rPr>
                <w:rFonts w:ascii="Arial" w:hAnsi="Arial" w:cs="Arial"/>
                <w:b/>
                <w:color w:val="231F20"/>
                <w:sz w:val="24"/>
                <w:szCs w:val="24"/>
              </w:rPr>
              <w:t>25</w:t>
            </w:r>
          </w:p>
        </w:tc>
        <w:tc>
          <w:tcPr>
            <w:tcW w:w="1808" w:type="dxa"/>
          </w:tcPr>
          <w:p w14:paraId="6137A5C7" w14:textId="77777777" w:rsidR="005C142D" w:rsidRPr="00FA3F9C" w:rsidRDefault="005C142D" w:rsidP="003926F2">
            <w:pPr>
              <w:rPr>
                <w:rFonts w:ascii="Arial" w:hAnsi="Arial" w:cs="Arial"/>
                <w:sz w:val="24"/>
                <w:szCs w:val="24"/>
              </w:rPr>
            </w:pPr>
            <w:r w:rsidRPr="00FA3F9C">
              <w:rPr>
                <w:rFonts w:ascii="Arial" w:hAnsi="Arial" w:cs="Arial"/>
                <w:b/>
                <w:color w:val="231F20"/>
                <w:sz w:val="24"/>
                <w:szCs w:val="24"/>
                <w:u w:val="single"/>
              </w:rPr>
              <w:t>&gt;</w:t>
            </w:r>
            <w:r w:rsidRPr="00FA3F9C">
              <w:rPr>
                <w:rFonts w:ascii="Arial" w:hAnsi="Arial" w:cs="Arial"/>
                <w:b/>
                <w:color w:val="231F20"/>
                <w:sz w:val="24"/>
                <w:szCs w:val="24"/>
              </w:rPr>
              <w:t>25</w:t>
            </w:r>
          </w:p>
        </w:tc>
        <w:tc>
          <w:tcPr>
            <w:tcW w:w="1604" w:type="dxa"/>
          </w:tcPr>
          <w:p w14:paraId="2EDFC0A6" w14:textId="77777777" w:rsidR="005C142D" w:rsidRPr="00FA3F9C" w:rsidRDefault="005C142D" w:rsidP="003926F2">
            <w:pPr>
              <w:rPr>
                <w:rFonts w:ascii="Arial" w:hAnsi="Arial" w:cs="Arial"/>
                <w:sz w:val="24"/>
                <w:szCs w:val="24"/>
              </w:rPr>
            </w:pPr>
            <w:r w:rsidRPr="00FA3F9C">
              <w:rPr>
                <w:rFonts w:ascii="Arial" w:hAnsi="Arial" w:cs="Arial"/>
                <w:b/>
                <w:color w:val="231F20"/>
                <w:sz w:val="24"/>
                <w:szCs w:val="24"/>
                <w:u w:val="single"/>
              </w:rPr>
              <w:t>&gt;</w:t>
            </w:r>
            <w:r w:rsidRPr="00FA3F9C">
              <w:rPr>
                <w:rFonts w:ascii="Arial" w:hAnsi="Arial" w:cs="Arial"/>
                <w:b/>
                <w:color w:val="231F20"/>
                <w:sz w:val="24"/>
                <w:szCs w:val="24"/>
              </w:rPr>
              <w:t>25</w:t>
            </w:r>
          </w:p>
        </w:tc>
      </w:tr>
      <w:tr w:rsidR="005C142D" w:rsidRPr="00FA3F9C" w14:paraId="55CF4183" w14:textId="77777777" w:rsidTr="00983BE6">
        <w:tc>
          <w:tcPr>
            <w:tcW w:w="1401" w:type="dxa"/>
          </w:tcPr>
          <w:p w14:paraId="4F2716BE" w14:textId="77777777" w:rsidR="005C142D" w:rsidRPr="00FA3F9C" w:rsidRDefault="005C142D"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PCWP or LVEDP, mmHg</w:t>
            </w:r>
          </w:p>
        </w:tc>
        <w:tc>
          <w:tcPr>
            <w:tcW w:w="1336" w:type="dxa"/>
          </w:tcPr>
          <w:p w14:paraId="29A05D61" w14:textId="77777777" w:rsidR="005C142D" w:rsidRPr="00FA3F9C" w:rsidRDefault="005C142D" w:rsidP="003926F2">
            <w:pPr>
              <w:widowControl w:val="0"/>
              <w:autoSpaceDE w:val="0"/>
              <w:autoSpaceDN w:val="0"/>
              <w:adjustRightInd w:val="0"/>
              <w:rPr>
                <w:rFonts w:ascii="Arial" w:hAnsi="Arial" w:cs="Arial"/>
                <w:b/>
                <w:color w:val="231F20"/>
                <w:sz w:val="24"/>
                <w:szCs w:val="24"/>
              </w:rPr>
            </w:pPr>
          </w:p>
        </w:tc>
        <w:tc>
          <w:tcPr>
            <w:tcW w:w="1690" w:type="dxa"/>
            <w:shd w:val="clear" w:color="auto" w:fill="DBDBDB" w:themeFill="accent3" w:themeFillTint="66"/>
          </w:tcPr>
          <w:p w14:paraId="082B0A5D" w14:textId="77777777" w:rsidR="005C142D" w:rsidRPr="00FA3F9C" w:rsidRDefault="005C142D"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u w:val="single"/>
              </w:rPr>
              <w:t>&lt;</w:t>
            </w:r>
            <w:r w:rsidRPr="00FA3F9C">
              <w:rPr>
                <w:rFonts w:ascii="Arial" w:hAnsi="Arial" w:cs="Arial"/>
                <w:b/>
                <w:color w:val="231F20"/>
                <w:sz w:val="24"/>
                <w:szCs w:val="24"/>
              </w:rPr>
              <w:t>15</w:t>
            </w:r>
          </w:p>
        </w:tc>
        <w:tc>
          <w:tcPr>
            <w:tcW w:w="1519" w:type="dxa"/>
          </w:tcPr>
          <w:p w14:paraId="76394722" w14:textId="77777777" w:rsidR="005C142D" w:rsidRPr="00FA3F9C" w:rsidRDefault="005C142D"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highlight w:val="yellow"/>
              </w:rPr>
              <w:t>&gt;15</w:t>
            </w:r>
          </w:p>
        </w:tc>
        <w:tc>
          <w:tcPr>
            <w:tcW w:w="1658" w:type="dxa"/>
          </w:tcPr>
          <w:p w14:paraId="0E6AC9C8" w14:textId="77777777" w:rsidR="005C142D" w:rsidRPr="00FA3F9C" w:rsidRDefault="005C142D" w:rsidP="003926F2">
            <w:pPr>
              <w:rPr>
                <w:rFonts w:ascii="Arial" w:hAnsi="Arial" w:cs="Arial"/>
                <w:sz w:val="24"/>
                <w:szCs w:val="24"/>
              </w:rPr>
            </w:pPr>
            <w:r w:rsidRPr="00FA3F9C">
              <w:rPr>
                <w:rFonts w:ascii="Arial" w:hAnsi="Arial" w:cs="Arial"/>
                <w:b/>
                <w:color w:val="231F20"/>
                <w:sz w:val="24"/>
                <w:szCs w:val="24"/>
                <w:u w:val="single"/>
              </w:rPr>
              <w:t>&lt;</w:t>
            </w:r>
            <w:r w:rsidRPr="00FA3F9C">
              <w:rPr>
                <w:rFonts w:ascii="Arial" w:hAnsi="Arial" w:cs="Arial"/>
                <w:b/>
                <w:color w:val="231F20"/>
                <w:sz w:val="24"/>
                <w:szCs w:val="24"/>
              </w:rPr>
              <w:t>15</w:t>
            </w:r>
          </w:p>
        </w:tc>
        <w:tc>
          <w:tcPr>
            <w:tcW w:w="1808" w:type="dxa"/>
          </w:tcPr>
          <w:p w14:paraId="31CBBCD2" w14:textId="77777777" w:rsidR="005C142D" w:rsidRPr="00FA3F9C" w:rsidRDefault="005C142D" w:rsidP="003926F2">
            <w:pPr>
              <w:rPr>
                <w:rFonts w:ascii="Arial" w:hAnsi="Arial" w:cs="Arial"/>
                <w:sz w:val="24"/>
                <w:szCs w:val="24"/>
              </w:rPr>
            </w:pPr>
            <w:r w:rsidRPr="00FA3F9C">
              <w:rPr>
                <w:rFonts w:ascii="Arial" w:hAnsi="Arial" w:cs="Arial"/>
                <w:b/>
                <w:color w:val="231F20"/>
                <w:sz w:val="24"/>
                <w:szCs w:val="24"/>
                <w:u w:val="single"/>
              </w:rPr>
              <w:t>&lt;</w:t>
            </w:r>
            <w:r w:rsidRPr="00FA3F9C">
              <w:rPr>
                <w:rFonts w:ascii="Arial" w:hAnsi="Arial" w:cs="Arial"/>
                <w:b/>
                <w:color w:val="231F20"/>
                <w:sz w:val="24"/>
                <w:szCs w:val="24"/>
              </w:rPr>
              <w:t>15</w:t>
            </w:r>
          </w:p>
        </w:tc>
        <w:tc>
          <w:tcPr>
            <w:tcW w:w="1604" w:type="dxa"/>
          </w:tcPr>
          <w:p w14:paraId="7017A2D9" w14:textId="77777777" w:rsidR="005C142D" w:rsidRPr="00FA3F9C" w:rsidRDefault="005C142D" w:rsidP="003926F2">
            <w:pPr>
              <w:rPr>
                <w:rFonts w:ascii="Arial" w:hAnsi="Arial" w:cs="Arial"/>
                <w:sz w:val="24"/>
                <w:szCs w:val="24"/>
              </w:rPr>
            </w:pPr>
            <w:r w:rsidRPr="00FA3F9C">
              <w:rPr>
                <w:rFonts w:ascii="Arial" w:hAnsi="Arial" w:cs="Arial"/>
                <w:b/>
                <w:color w:val="231F20"/>
                <w:sz w:val="24"/>
                <w:szCs w:val="24"/>
                <w:u w:val="single"/>
              </w:rPr>
              <w:t>&lt;</w:t>
            </w:r>
            <w:r w:rsidRPr="00FA3F9C">
              <w:rPr>
                <w:rFonts w:ascii="Arial" w:hAnsi="Arial" w:cs="Arial"/>
                <w:b/>
                <w:color w:val="231F20"/>
                <w:sz w:val="24"/>
                <w:szCs w:val="24"/>
              </w:rPr>
              <w:t>15</w:t>
            </w:r>
          </w:p>
        </w:tc>
      </w:tr>
      <w:tr w:rsidR="005C142D" w:rsidRPr="00FA3F9C" w14:paraId="4ADC21BD" w14:textId="77777777" w:rsidTr="00983BE6">
        <w:tc>
          <w:tcPr>
            <w:tcW w:w="1401" w:type="dxa"/>
          </w:tcPr>
          <w:p w14:paraId="0B1120F9" w14:textId="77777777" w:rsidR="005C142D" w:rsidRPr="00FA3F9C" w:rsidRDefault="005C142D"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PVR, dynes/s/cm</w:t>
            </w:r>
          </w:p>
        </w:tc>
        <w:tc>
          <w:tcPr>
            <w:tcW w:w="1336" w:type="dxa"/>
          </w:tcPr>
          <w:p w14:paraId="2B2AB6E4" w14:textId="77777777" w:rsidR="005C142D" w:rsidRPr="00FA3F9C" w:rsidRDefault="005C142D" w:rsidP="003926F2">
            <w:pPr>
              <w:widowControl w:val="0"/>
              <w:autoSpaceDE w:val="0"/>
              <w:autoSpaceDN w:val="0"/>
              <w:adjustRightInd w:val="0"/>
              <w:rPr>
                <w:rFonts w:ascii="Arial" w:hAnsi="Arial" w:cs="Arial"/>
                <w:b/>
                <w:color w:val="231F20"/>
                <w:sz w:val="24"/>
                <w:szCs w:val="24"/>
              </w:rPr>
            </w:pPr>
          </w:p>
        </w:tc>
        <w:tc>
          <w:tcPr>
            <w:tcW w:w="1690" w:type="dxa"/>
            <w:shd w:val="clear" w:color="auto" w:fill="DBDBDB" w:themeFill="accent3" w:themeFillTint="66"/>
          </w:tcPr>
          <w:p w14:paraId="20B718C7" w14:textId="77777777" w:rsidR="005C142D" w:rsidRPr="00FA3F9C" w:rsidRDefault="005C142D" w:rsidP="003926F2">
            <w:pPr>
              <w:widowControl w:val="0"/>
              <w:autoSpaceDE w:val="0"/>
              <w:autoSpaceDN w:val="0"/>
              <w:adjustRightInd w:val="0"/>
              <w:rPr>
                <w:rFonts w:ascii="Arial" w:hAnsi="Arial" w:cs="Arial"/>
                <w:b/>
                <w:color w:val="231F20"/>
                <w:sz w:val="24"/>
                <w:szCs w:val="24"/>
              </w:rPr>
            </w:pPr>
            <w:r w:rsidRPr="00FA3F9C">
              <w:rPr>
                <w:rFonts w:ascii="Arial" w:hAnsi="Arial" w:cs="Arial"/>
                <w:b/>
                <w:color w:val="231F20"/>
                <w:sz w:val="24"/>
                <w:szCs w:val="24"/>
              </w:rPr>
              <w:t>&gt;240</w:t>
            </w:r>
          </w:p>
        </w:tc>
        <w:tc>
          <w:tcPr>
            <w:tcW w:w="1519" w:type="dxa"/>
          </w:tcPr>
          <w:p w14:paraId="2B3E5CDE" w14:textId="77777777" w:rsidR="005C142D" w:rsidRPr="00FA3F9C" w:rsidRDefault="005C142D" w:rsidP="003926F2">
            <w:pPr>
              <w:widowControl w:val="0"/>
              <w:autoSpaceDE w:val="0"/>
              <w:autoSpaceDN w:val="0"/>
              <w:adjustRightInd w:val="0"/>
              <w:rPr>
                <w:rFonts w:ascii="Arial" w:hAnsi="Arial" w:cs="Arial"/>
                <w:b/>
                <w:color w:val="231F20"/>
                <w:sz w:val="24"/>
                <w:szCs w:val="24"/>
                <w:highlight w:val="yellow"/>
              </w:rPr>
            </w:pPr>
          </w:p>
        </w:tc>
        <w:tc>
          <w:tcPr>
            <w:tcW w:w="1658" w:type="dxa"/>
          </w:tcPr>
          <w:p w14:paraId="127D6A92" w14:textId="77777777" w:rsidR="005C142D" w:rsidRPr="00FA3F9C" w:rsidRDefault="005C142D" w:rsidP="003926F2">
            <w:pPr>
              <w:rPr>
                <w:rFonts w:ascii="Arial" w:hAnsi="Arial" w:cs="Arial"/>
                <w:sz w:val="24"/>
                <w:szCs w:val="24"/>
              </w:rPr>
            </w:pPr>
            <w:r w:rsidRPr="00FA3F9C">
              <w:rPr>
                <w:rFonts w:ascii="Arial" w:hAnsi="Arial" w:cs="Arial"/>
                <w:color w:val="231F20"/>
                <w:sz w:val="24"/>
                <w:szCs w:val="24"/>
              </w:rPr>
              <w:t>&gt;240</w:t>
            </w:r>
          </w:p>
        </w:tc>
        <w:tc>
          <w:tcPr>
            <w:tcW w:w="1808" w:type="dxa"/>
          </w:tcPr>
          <w:p w14:paraId="706E262C" w14:textId="77777777" w:rsidR="005C142D" w:rsidRPr="00FA3F9C" w:rsidRDefault="005C142D" w:rsidP="003926F2">
            <w:pPr>
              <w:rPr>
                <w:rFonts w:ascii="Arial" w:hAnsi="Arial" w:cs="Arial"/>
                <w:sz w:val="24"/>
                <w:szCs w:val="24"/>
              </w:rPr>
            </w:pPr>
            <w:r w:rsidRPr="00FA3F9C">
              <w:rPr>
                <w:rFonts w:ascii="Arial" w:hAnsi="Arial" w:cs="Arial"/>
                <w:color w:val="231F20"/>
                <w:sz w:val="24"/>
                <w:szCs w:val="24"/>
              </w:rPr>
              <w:t>&gt;240</w:t>
            </w:r>
          </w:p>
        </w:tc>
        <w:tc>
          <w:tcPr>
            <w:tcW w:w="1604" w:type="dxa"/>
          </w:tcPr>
          <w:p w14:paraId="4CBB5C98" w14:textId="77777777" w:rsidR="005C142D" w:rsidRPr="00FA3F9C" w:rsidRDefault="005C142D" w:rsidP="003926F2">
            <w:pPr>
              <w:rPr>
                <w:rFonts w:ascii="Arial" w:hAnsi="Arial" w:cs="Arial"/>
                <w:sz w:val="24"/>
                <w:szCs w:val="24"/>
              </w:rPr>
            </w:pPr>
            <w:r w:rsidRPr="00FA3F9C">
              <w:rPr>
                <w:rFonts w:ascii="Arial" w:hAnsi="Arial" w:cs="Arial"/>
                <w:color w:val="231F20"/>
                <w:sz w:val="24"/>
                <w:szCs w:val="24"/>
              </w:rPr>
              <w:t>&gt;240</w:t>
            </w:r>
          </w:p>
        </w:tc>
      </w:tr>
    </w:tbl>
    <w:p w14:paraId="7A07266D" w14:textId="77777777" w:rsidR="005C142D" w:rsidRPr="00FA3F9C" w:rsidRDefault="005C142D" w:rsidP="00983BE6">
      <w:pPr>
        <w:spacing w:after="0" w:line="240" w:lineRule="auto"/>
        <w:rPr>
          <w:rFonts w:ascii="Arial" w:hAnsi="Arial" w:cs="Arial"/>
          <w:b/>
          <w:sz w:val="24"/>
          <w:szCs w:val="24"/>
        </w:rPr>
      </w:pPr>
      <w:r w:rsidRPr="00FA3F9C">
        <w:rPr>
          <w:rFonts w:ascii="Arial" w:hAnsi="Arial" w:cs="Arial"/>
          <w:b/>
          <w:sz w:val="24"/>
          <w:szCs w:val="24"/>
        </w:rPr>
        <w:t>References:</w:t>
      </w:r>
    </w:p>
    <w:p w14:paraId="7F5A0A78" w14:textId="77777777" w:rsidR="005C142D" w:rsidRPr="00FA3F9C" w:rsidRDefault="005C142D" w:rsidP="00983BE6">
      <w:pPr>
        <w:spacing w:after="0" w:line="240" w:lineRule="auto"/>
        <w:rPr>
          <w:rFonts w:ascii="Arial" w:hAnsi="Arial" w:cs="Arial"/>
          <w:b/>
          <w:sz w:val="24"/>
          <w:szCs w:val="24"/>
        </w:rPr>
      </w:pPr>
      <w:r w:rsidRPr="00FA3F9C">
        <w:rPr>
          <w:rFonts w:ascii="Arial" w:hAnsi="Arial" w:cs="Arial"/>
          <w:b/>
          <w:sz w:val="24"/>
          <w:szCs w:val="24"/>
        </w:rPr>
        <w:t>1. Lexicomp. Treprostinil, inhaled.  Accessed 8/31/2020.</w:t>
      </w:r>
    </w:p>
    <w:p w14:paraId="3C50ACEF" w14:textId="77777777" w:rsidR="005C142D" w:rsidRPr="00FA3F9C" w:rsidRDefault="005C142D" w:rsidP="00983BE6">
      <w:pPr>
        <w:spacing w:after="0" w:line="240" w:lineRule="auto"/>
        <w:rPr>
          <w:rFonts w:ascii="Arial" w:eastAsia="Times New Roman" w:hAnsi="Arial" w:cs="Arial"/>
          <w:b/>
          <w:sz w:val="24"/>
          <w:szCs w:val="24"/>
        </w:rPr>
      </w:pPr>
      <w:r w:rsidRPr="00FA3F9C">
        <w:rPr>
          <w:rFonts w:ascii="Arial" w:hAnsi="Arial" w:cs="Arial"/>
          <w:b/>
          <w:sz w:val="24"/>
          <w:szCs w:val="24"/>
          <w:lang w:val="fr-FR"/>
        </w:rPr>
        <w:t xml:space="preserve">2. </w:t>
      </w:r>
      <w:r w:rsidRPr="00FA3F9C">
        <w:rPr>
          <w:rFonts w:ascii="Arial" w:eastAsia="Times New Roman" w:hAnsi="Arial" w:cs="Arial"/>
          <w:b/>
          <w:color w:val="222222"/>
          <w:sz w:val="24"/>
          <w:szCs w:val="24"/>
          <w:shd w:val="clear" w:color="auto" w:fill="F8F8F8"/>
          <w:lang w:val="fr-FR"/>
        </w:rPr>
        <w:t xml:space="preserve">Klinger, James R., et al. </w:t>
      </w:r>
      <w:r w:rsidRPr="00FA3F9C">
        <w:rPr>
          <w:rFonts w:ascii="Arial" w:eastAsia="Times New Roman" w:hAnsi="Arial" w:cs="Arial"/>
          <w:b/>
          <w:color w:val="222222"/>
          <w:sz w:val="24"/>
          <w:szCs w:val="24"/>
          <w:shd w:val="clear" w:color="auto" w:fill="F8F8F8"/>
        </w:rPr>
        <w:t>"Therapy for pulmonary arterial hypertension in adults: update of the CHEST guideline and expert panel report." </w:t>
      </w:r>
      <w:r w:rsidRPr="00FA3F9C">
        <w:rPr>
          <w:rFonts w:ascii="Arial" w:eastAsia="Times New Roman" w:hAnsi="Arial" w:cs="Arial"/>
          <w:b/>
          <w:i/>
          <w:iCs/>
          <w:color w:val="222222"/>
          <w:sz w:val="24"/>
          <w:szCs w:val="24"/>
          <w:shd w:val="clear" w:color="auto" w:fill="F8F8F8"/>
        </w:rPr>
        <w:t>Chest</w:t>
      </w:r>
      <w:r w:rsidRPr="00FA3F9C">
        <w:rPr>
          <w:rFonts w:ascii="Arial" w:eastAsia="Times New Roman" w:hAnsi="Arial" w:cs="Arial"/>
          <w:b/>
          <w:color w:val="222222"/>
          <w:sz w:val="24"/>
          <w:szCs w:val="24"/>
          <w:shd w:val="clear" w:color="auto" w:fill="F8F8F8"/>
        </w:rPr>
        <w:t> 155.3 (2019): 565-586.</w:t>
      </w:r>
    </w:p>
    <w:p w14:paraId="7E0712BB" w14:textId="77777777" w:rsidR="005C142D" w:rsidRPr="00FA3F9C" w:rsidRDefault="005C142D" w:rsidP="00983BE6">
      <w:pPr>
        <w:spacing w:after="0" w:line="240" w:lineRule="auto"/>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284"/>
        <w:gridCol w:w="7761"/>
        <w:gridCol w:w="2088"/>
      </w:tblGrid>
      <w:tr w:rsidR="005C142D" w:rsidRPr="00FA3F9C" w14:paraId="1BDC5D35" w14:textId="77777777" w:rsidTr="00983BE6">
        <w:tc>
          <w:tcPr>
            <w:tcW w:w="1167" w:type="dxa"/>
          </w:tcPr>
          <w:p w14:paraId="70667BD4" w14:textId="77777777" w:rsidR="005C142D" w:rsidRPr="00FA3F9C" w:rsidRDefault="005C142D" w:rsidP="00983BE6">
            <w:pPr>
              <w:rPr>
                <w:rFonts w:ascii="Arial" w:hAnsi="Arial" w:cs="Arial"/>
                <w:sz w:val="24"/>
                <w:szCs w:val="24"/>
              </w:rPr>
            </w:pPr>
            <w:r w:rsidRPr="00FA3F9C">
              <w:rPr>
                <w:rFonts w:ascii="Arial" w:hAnsi="Arial" w:cs="Arial"/>
                <w:sz w:val="24"/>
                <w:szCs w:val="24"/>
              </w:rPr>
              <w:t>Date</w:t>
            </w:r>
          </w:p>
        </w:tc>
        <w:tc>
          <w:tcPr>
            <w:tcW w:w="7761" w:type="dxa"/>
          </w:tcPr>
          <w:p w14:paraId="26A96370" w14:textId="77777777" w:rsidR="005C142D" w:rsidRPr="00FA3F9C" w:rsidRDefault="005C142D" w:rsidP="00983BE6">
            <w:pPr>
              <w:rPr>
                <w:rFonts w:ascii="Arial" w:hAnsi="Arial" w:cs="Arial"/>
                <w:sz w:val="24"/>
                <w:szCs w:val="24"/>
              </w:rPr>
            </w:pPr>
            <w:r w:rsidRPr="00FA3F9C">
              <w:rPr>
                <w:rFonts w:ascii="Arial" w:hAnsi="Arial" w:cs="Arial"/>
                <w:sz w:val="24"/>
                <w:szCs w:val="24"/>
              </w:rPr>
              <w:t>What changed</w:t>
            </w:r>
          </w:p>
        </w:tc>
        <w:tc>
          <w:tcPr>
            <w:tcW w:w="2088" w:type="dxa"/>
          </w:tcPr>
          <w:p w14:paraId="4B58770F" w14:textId="77777777" w:rsidR="005C142D" w:rsidRPr="00FA3F9C" w:rsidRDefault="005C142D" w:rsidP="00983BE6">
            <w:pPr>
              <w:rPr>
                <w:rFonts w:ascii="Arial" w:hAnsi="Arial" w:cs="Arial"/>
                <w:sz w:val="24"/>
                <w:szCs w:val="24"/>
              </w:rPr>
            </w:pPr>
            <w:r w:rsidRPr="00FA3F9C">
              <w:rPr>
                <w:rFonts w:ascii="Arial" w:hAnsi="Arial" w:cs="Arial"/>
                <w:sz w:val="24"/>
                <w:szCs w:val="24"/>
              </w:rPr>
              <w:t>Pharmacist’s initials</w:t>
            </w:r>
          </w:p>
        </w:tc>
      </w:tr>
      <w:tr w:rsidR="005C142D" w:rsidRPr="00FA3F9C" w14:paraId="38230219" w14:textId="77777777" w:rsidTr="00983BE6">
        <w:tc>
          <w:tcPr>
            <w:tcW w:w="1167" w:type="dxa"/>
          </w:tcPr>
          <w:p w14:paraId="6FF07D2A" w14:textId="77777777" w:rsidR="005C142D" w:rsidRPr="00FA3F9C" w:rsidRDefault="005C142D" w:rsidP="00983BE6">
            <w:pPr>
              <w:rPr>
                <w:rFonts w:ascii="Arial" w:hAnsi="Arial" w:cs="Arial"/>
                <w:sz w:val="24"/>
                <w:szCs w:val="24"/>
              </w:rPr>
            </w:pPr>
            <w:r w:rsidRPr="00FA3F9C">
              <w:rPr>
                <w:rFonts w:ascii="Arial" w:hAnsi="Arial" w:cs="Arial"/>
                <w:sz w:val="24"/>
                <w:szCs w:val="24"/>
              </w:rPr>
              <w:t>2/6/15</w:t>
            </w:r>
          </w:p>
        </w:tc>
        <w:tc>
          <w:tcPr>
            <w:tcW w:w="7761" w:type="dxa"/>
          </w:tcPr>
          <w:p w14:paraId="77FE95F6" w14:textId="77777777" w:rsidR="005C142D" w:rsidRPr="00FA3F9C" w:rsidRDefault="005C142D" w:rsidP="00983BE6">
            <w:pPr>
              <w:rPr>
                <w:rFonts w:ascii="Arial" w:hAnsi="Arial" w:cs="Arial"/>
                <w:sz w:val="24"/>
                <w:szCs w:val="24"/>
              </w:rPr>
            </w:pPr>
            <w:r w:rsidRPr="00FA3F9C">
              <w:rPr>
                <w:rFonts w:ascii="Arial" w:hAnsi="Arial" w:cs="Arial"/>
                <w:sz w:val="24"/>
                <w:szCs w:val="24"/>
              </w:rPr>
              <w:t>I wrote the criteria.</w:t>
            </w:r>
          </w:p>
        </w:tc>
        <w:tc>
          <w:tcPr>
            <w:tcW w:w="2088" w:type="dxa"/>
          </w:tcPr>
          <w:p w14:paraId="7CCBF92C" w14:textId="77777777" w:rsidR="005C142D" w:rsidRPr="00FA3F9C" w:rsidRDefault="005C142D" w:rsidP="00983BE6">
            <w:pPr>
              <w:rPr>
                <w:rFonts w:ascii="Arial" w:hAnsi="Arial" w:cs="Arial"/>
                <w:sz w:val="24"/>
                <w:szCs w:val="24"/>
              </w:rPr>
            </w:pPr>
            <w:r w:rsidRPr="00FA3F9C">
              <w:rPr>
                <w:rFonts w:ascii="Arial" w:hAnsi="Arial" w:cs="Arial"/>
                <w:sz w:val="24"/>
                <w:szCs w:val="24"/>
              </w:rPr>
              <w:t>JJ</w:t>
            </w:r>
          </w:p>
        </w:tc>
      </w:tr>
      <w:tr w:rsidR="005C142D" w:rsidRPr="00FA3F9C" w14:paraId="7B903079" w14:textId="77777777" w:rsidTr="00983BE6">
        <w:tc>
          <w:tcPr>
            <w:tcW w:w="1167" w:type="dxa"/>
          </w:tcPr>
          <w:p w14:paraId="32144F53" w14:textId="77777777" w:rsidR="005C142D" w:rsidRPr="00FA3F9C" w:rsidRDefault="005C142D" w:rsidP="00983BE6">
            <w:pPr>
              <w:rPr>
                <w:rFonts w:ascii="Arial" w:hAnsi="Arial" w:cs="Arial"/>
                <w:sz w:val="24"/>
                <w:szCs w:val="24"/>
              </w:rPr>
            </w:pPr>
            <w:r w:rsidRPr="00FA3F9C">
              <w:rPr>
                <w:rFonts w:ascii="Arial" w:hAnsi="Arial" w:cs="Arial"/>
                <w:sz w:val="24"/>
                <w:szCs w:val="24"/>
              </w:rPr>
              <w:t>8/31/2020</w:t>
            </w:r>
          </w:p>
        </w:tc>
        <w:tc>
          <w:tcPr>
            <w:tcW w:w="7761" w:type="dxa"/>
          </w:tcPr>
          <w:p w14:paraId="5033FF9D" w14:textId="77777777" w:rsidR="005C142D" w:rsidRPr="00FA3F9C" w:rsidRDefault="005C142D" w:rsidP="00983BE6">
            <w:pPr>
              <w:rPr>
                <w:rFonts w:ascii="Arial" w:hAnsi="Arial" w:cs="Arial"/>
                <w:sz w:val="24"/>
                <w:szCs w:val="24"/>
              </w:rPr>
            </w:pPr>
            <w:r w:rsidRPr="00FA3F9C">
              <w:rPr>
                <w:rFonts w:ascii="Arial" w:hAnsi="Arial" w:cs="Arial"/>
                <w:sz w:val="24"/>
                <w:szCs w:val="24"/>
              </w:rPr>
              <w:t>I updated the criteria to include NYHA Class III symptoms and added ERAs for concomitant use.</w:t>
            </w:r>
          </w:p>
        </w:tc>
        <w:tc>
          <w:tcPr>
            <w:tcW w:w="2088" w:type="dxa"/>
          </w:tcPr>
          <w:p w14:paraId="75E2096A" w14:textId="77777777" w:rsidR="005C142D" w:rsidRPr="00FA3F9C" w:rsidRDefault="005C142D" w:rsidP="00983BE6">
            <w:pPr>
              <w:rPr>
                <w:rFonts w:ascii="Arial" w:hAnsi="Arial" w:cs="Arial"/>
                <w:sz w:val="24"/>
                <w:szCs w:val="24"/>
              </w:rPr>
            </w:pPr>
            <w:r w:rsidRPr="00FA3F9C">
              <w:rPr>
                <w:rFonts w:ascii="Arial" w:hAnsi="Arial" w:cs="Arial"/>
                <w:sz w:val="24"/>
                <w:szCs w:val="24"/>
              </w:rPr>
              <w:t>JJ</w:t>
            </w:r>
          </w:p>
        </w:tc>
      </w:tr>
    </w:tbl>
    <w:p w14:paraId="65A093A8" w14:textId="77777777" w:rsidR="005C142D" w:rsidRPr="00FA3F9C" w:rsidRDefault="005C142D">
      <w:pPr>
        <w:spacing w:after="0" w:line="240" w:lineRule="auto"/>
        <w:rPr>
          <w:rFonts w:ascii="Arial" w:hAnsi="Arial" w:cs="Arial"/>
          <w:sz w:val="24"/>
          <w:szCs w:val="24"/>
        </w:rPr>
      </w:pPr>
    </w:p>
    <w:p w14:paraId="4A04ECD4" w14:textId="77777777" w:rsidR="005C142D" w:rsidRPr="00FA3F9C" w:rsidRDefault="005C142D" w:rsidP="006F623F">
      <w:pPr>
        <w:spacing w:after="0"/>
        <w:jc w:val="center"/>
        <w:rPr>
          <w:rFonts w:ascii="Arial" w:hAnsi="Arial" w:cs="Arial"/>
          <w:sz w:val="24"/>
          <w:szCs w:val="24"/>
        </w:rPr>
      </w:pPr>
    </w:p>
    <w:p w14:paraId="1885E828" w14:textId="77777777" w:rsidR="002166CE" w:rsidRDefault="005C142D" w:rsidP="002166CE">
      <w:pPr>
        <w:pStyle w:val="Heading2"/>
      </w:pPr>
      <w:bookmarkStart w:id="326" w:name="_Toc106369949"/>
      <w:proofErr w:type="spellStart"/>
      <w:r w:rsidRPr="00FA3F9C">
        <w:t>Trientine</w:t>
      </w:r>
      <w:proofErr w:type="spellEnd"/>
      <w:r w:rsidRPr="00FA3F9C">
        <w:t xml:space="preserve"> (</w:t>
      </w:r>
      <w:proofErr w:type="spellStart"/>
      <w:r w:rsidRPr="00FA3F9C">
        <w:t>Syprine</w:t>
      </w:r>
      <w:proofErr w:type="spellEnd"/>
      <w:r w:rsidRPr="00FA3F9C">
        <w:t xml:space="preserve"> or </w:t>
      </w:r>
      <w:proofErr w:type="spellStart"/>
      <w:r w:rsidRPr="00FA3F9C">
        <w:t>Clovique</w:t>
      </w:r>
      <w:proofErr w:type="spellEnd"/>
      <w:r w:rsidRPr="00FA3F9C">
        <w:t>)</w:t>
      </w:r>
      <w:bookmarkEnd w:id="326"/>
    </w:p>
    <w:p w14:paraId="70FB522E" w14:textId="25A3D097" w:rsidR="005C142D" w:rsidRPr="00FA3F9C" w:rsidRDefault="005C142D" w:rsidP="006F623F">
      <w:pPr>
        <w:spacing w:after="0"/>
        <w:jc w:val="center"/>
        <w:rPr>
          <w:rFonts w:ascii="Arial" w:hAnsi="Arial" w:cs="Arial"/>
          <w:sz w:val="24"/>
          <w:szCs w:val="24"/>
        </w:rPr>
      </w:pPr>
      <w:r w:rsidRPr="00FA3F9C">
        <w:rPr>
          <w:rFonts w:ascii="Arial" w:hAnsi="Arial" w:cs="Arial"/>
          <w:sz w:val="24"/>
          <w:szCs w:val="24"/>
        </w:rPr>
        <w:t xml:space="preserve"> available in GENERIC</w:t>
      </w:r>
    </w:p>
    <w:p w14:paraId="748CAA31" w14:textId="1F94F51B" w:rsidR="005C142D" w:rsidRDefault="005C142D" w:rsidP="006F623F">
      <w:pPr>
        <w:spacing w:after="0"/>
        <w:jc w:val="center"/>
        <w:rPr>
          <w:rFonts w:ascii="Arial" w:hAnsi="Arial" w:cs="Arial"/>
          <w:sz w:val="24"/>
          <w:szCs w:val="24"/>
        </w:rPr>
      </w:pPr>
      <w:r w:rsidRPr="00FA3F9C">
        <w:rPr>
          <w:rFonts w:ascii="Arial" w:hAnsi="Arial" w:cs="Arial"/>
          <w:sz w:val="24"/>
          <w:szCs w:val="24"/>
        </w:rPr>
        <w:t>250mg capsules</w:t>
      </w:r>
    </w:p>
    <w:p w14:paraId="7FA6BC4C" w14:textId="77777777" w:rsidR="002166CE" w:rsidRPr="00FA3F9C" w:rsidRDefault="002166CE" w:rsidP="002166CE">
      <w:pPr>
        <w:spacing w:after="0"/>
        <w:jc w:val="center"/>
        <w:rPr>
          <w:rFonts w:ascii="Arial" w:hAnsi="Arial" w:cs="Arial"/>
          <w:sz w:val="24"/>
          <w:szCs w:val="24"/>
        </w:rPr>
      </w:pPr>
      <w:r w:rsidRPr="00FA3F9C">
        <w:rPr>
          <w:rFonts w:ascii="Arial" w:hAnsi="Arial" w:cs="Arial"/>
          <w:sz w:val="24"/>
          <w:szCs w:val="24"/>
        </w:rPr>
        <w:lastRenderedPageBreak/>
        <w:t xml:space="preserve">EBRx PA Criteria </w:t>
      </w:r>
    </w:p>
    <w:p w14:paraId="308BD63D" w14:textId="77777777" w:rsidR="002166CE" w:rsidRPr="00FA3F9C" w:rsidRDefault="002166CE" w:rsidP="006F623F">
      <w:pPr>
        <w:spacing w:after="0"/>
        <w:jc w:val="center"/>
        <w:rPr>
          <w:rFonts w:ascii="Arial" w:hAnsi="Arial" w:cs="Arial"/>
          <w:sz w:val="24"/>
          <w:szCs w:val="24"/>
        </w:rPr>
      </w:pPr>
    </w:p>
    <w:p w14:paraId="536A00D4" w14:textId="77777777" w:rsidR="005C142D" w:rsidRPr="00FA3F9C" w:rsidRDefault="005C142D" w:rsidP="006F623F">
      <w:pPr>
        <w:spacing w:after="0"/>
        <w:rPr>
          <w:rFonts w:ascii="Arial" w:hAnsi="Arial" w:cs="Arial"/>
          <w:b/>
          <w:sz w:val="24"/>
          <w:szCs w:val="24"/>
          <w:u w:val="single"/>
        </w:rPr>
      </w:pPr>
    </w:p>
    <w:p w14:paraId="24AE9591" w14:textId="77777777" w:rsidR="005C142D" w:rsidRPr="00FA3F9C" w:rsidRDefault="005C142D" w:rsidP="004C2953">
      <w:pPr>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treatment of Wilson’s disease in patients who are intolerant of penicillamine.</w:t>
      </w:r>
    </w:p>
    <w:tbl>
      <w:tblPr>
        <w:tblStyle w:val="TableGrid"/>
        <w:tblW w:w="0" w:type="auto"/>
        <w:tblLook w:val="04A0" w:firstRow="1" w:lastRow="0" w:firstColumn="1" w:lastColumn="0" w:noHBand="0" w:noVBand="1"/>
      </w:tblPr>
      <w:tblGrid>
        <w:gridCol w:w="10998"/>
      </w:tblGrid>
      <w:tr w:rsidR="005C142D" w:rsidRPr="00FA3F9C" w14:paraId="7080AB61" w14:textId="77777777" w:rsidTr="00EB0004">
        <w:tc>
          <w:tcPr>
            <w:tcW w:w="10998" w:type="dxa"/>
            <w:shd w:val="clear" w:color="auto" w:fill="000000"/>
          </w:tcPr>
          <w:p w14:paraId="58AC9944" w14:textId="77777777" w:rsidR="005C142D" w:rsidRPr="00FA3F9C" w:rsidRDefault="005C142D" w:rsidP="0002783B">
            <w:pPr>
              <w:rPr>
                <w:rFonts w:ascii="Arial" w:hAnsi="Arial" w:cs="Arial"/>
                <w:b/>
                <w:sz w:val="24"/>
                <w:szCs w:val="24"/>
                <w:u w:val="single"/>
              </w:rPr>
            </w:pPr>
            <w:r w:rsidRPr="00FA3F9C">
              <w:rPr>
                <w:rFonts w:ascii="Arial" w:hAnsi="Arial" w:cs="Arial"/>
                <w:b/>
                <w:sz w:val="24"/>
                <w:szCs w:val="24"/>
                <w:u w:val="single"/>
              </w:rPr>
              <w:t>Criteria:</w:t>
            </w:r>
          </w:p>
        </w:tc>
      </w:tr>
      <w:tr w:rsidR="005C142D" w:rsidRPr="00FA3F9C" w14:paraId="6FC5CABC" w14:textId="77777777" w:rsidTr="00EB0004">
        <w:tc>
          <w:tcPr>
            <w:tcW w:w="10998" w:type="dxa"/>
          </w:tcPr>
          <w:p w14:paraId="133B94BD" w14:textId="77777777" w:rsidR="005C142D" w:rsidRPr="00FA3F9C" w:rsidRDefault="005C142D" w:rsidP="00230802">
            <w:pPr>
              <w:rPr>
                <w:rFonts w:ascii="Arial" w:hAnsi="Arial" w:cs="Arial"/>
                <w:sz w:val="24"/>
                <w:szCs w:val="24"/>
              </w:rPr>
            </w:pPr>
            <w:r w:rsidRPr="00FA3F9C">
              <w:rPr>
                <w:rFonts w:ascii="Arial" w:hAnsi="Arial" w:cs="Arial"/>
                <w:sz w:val="24"/>
                <w:szCs w:val="24"/>
              </w:rPr>
              <w:t>1.  Must have the diagnosis of Wilson’s Disease intolerant to penicillamine.</w:t>
            </w:r>
          </w:p>
        </w:tc>
      </w:tr>
      <w:tr w:rsidR="005C142D" w:rsidRPr="00FA3F9C" w14:paraId="6436C7A5" w14:textId="77777777" w:rsidTr="00EB0004">
        <w:tc>
          <w:tcPr>
            <w:tcW w:w="10998" w:type="dxa"/>
          </w:tcPr>
          <w:p w14:paraId="11FF715B" w14:textId="77777777" w:rsidR="005C142D" w:rsidRPr="00FA3F9C" w:rsidRDefault="005C142D" w:rsidP="00EB0004">
            <w:pPr>
              <w:rPr>
                <w:rFonts w:ascii="Arial" w:hAnsi="Arial" w:cs="Arial"/>
                <w:sz w:val="24"/>
                <w:szCs w:val="24"/>
              </w:rPr>
            </w:pPr>
            <w:r w:rsidRPr="00FA3F9C">
              <w:rPr>
                <w:rFonts w:ascii="Arial" w:hAnsi="Arial" w:cs="Arial"/>
                <w:sz w:val="24"/>
                <w:szCs w:val="24"/>
              </w:rPr>
              <w:t xml:space="preserve">2.  Must be symptomatic with either clinical hepatic symptoms or neurologic </w:t>
            </w:r>
            <w:proofErr w:type="gramStart"/>
            <w:r w:rsidRPr="00FA3F9C">
              <w:rPr>
                <w:rFonts w:ascii="Arial" w:hAnsi="Arial" w:cs="Arial"/>
                <w:sz w:val="24"/>
                <w:szCs w:val="24"/>
              </w:rPr>
              <w:t>symptoms;</w:t>
            </w:r>
            <w:proofErr w:type="gramEnd"/>
          </w:p>
          <w:p w14:paraId="0FAC68A2" w14:textId="77777777" w:rsidR="005C142D" w:rsidRPr="00FA3F9C" w:rsidRDefault="005C142D" w:rsidP="00EB0004">
            <w:pPr>
              <w:rPr>
                <w:rFonts w:ascii="Arial" w:hAnsi="Arial" w:cs="Arial"/>
                <w:sz w:val="24"/>
                <w:szCs w:val="24"/>
              </w:rPr>
            </w:pPr>
            <w:r w:rsidRPr="00FA3F9C">
              <w:rPr>
                <w:rFonts w:ascii="Arial" w:hAnsi="Arial" w:cs="Arial"/>
                <w:sz w:val="24"/>
                <w:szCs w:val="24"/>
              </w:rPr>
              <w:t>If not symptomatic, profile must include zinc 150mg/day administered in 2-3 divided doses.</w:t>
            </w:r>
          </w:p>
        </w:tc>
      </w:tr>
      <w:tr w:rsidR="005C142D" w:rsidRPr="00FA3F9C" w14:paraId="287E8311" w14:textId="77777777" w:rsidTr="00EB0004">
        <w:tc>
          <w:tcPr>
            <w:tcW w:w="10998" w:type="dxa"/>
          </w:tcPr>
          <w:p w14:paraId="2495F902" w14:textId="77777777" w:rsidR="005C142D" w:rsidRPr="00FA3F9C" w:rsidRDefault="005C142D" w:rsidP="006F623F">
            <w:pPr>
              <w:rPr>
                <w:rFonts w:ascii="Arial" w:eastAsia="Times New Roman" w:hAnsi="Arial" w:cs="Arial"/>
                <w:sz w:val="24"/>
                <w:szCs w:val="24"/>
              </w:rPr>
            </w:pPr>
            <w:r w:rsidRPr="00FA3F9C">
              <w:rPr>
                <w:rFonts w:ascii="Arial" w:hAnsi="Arial" w:cs="Arial"/>
                <w:sz w:val="24"/>
                <w:szCs w:val="24"/>
              </w:rPr>
              <w:t xml:space="preserve">3.  Must ingest a low copper diet (AVOID: </w:t>
            </w:r>
            <w:r w:rsidRPr="00FA3F9C">
              <w:rPr>
                <w:rFonts w:ascii="Arial" w:eastAsia="Times New Roman" w:hAnsi="Arial" w:cs="Arial"/>
                <w:color w:val="444444"/>
                <w:sz w:val="24"/>
                <w:szCs w:val="24"/>
                <w:shd w:val="clear" w:color="auto" w:fill="FFFFFF"/>
              </w:rPr>
              <w:t>lamb; pork; pheasant quail; duck; goose; squid; salmon; organ meats including liver, heart, kidney, brain; shellfish including oysters, scallops, shrimp, lobster, clams, and crab; meat gelatin; soy protein meat substitutes; tofu; nuts and seeds, vegetable juice cocktail, mushrooms, nectarine, commercially dried fruits including raisins, dates, prunes; avocado, dried beans including soy beans, lima beans, baked beans, garbanzo beans, pinto beans; dried peas; lentils; millet; barley; wheat germ; bran breads and cereals; cereals with &gt;0.2 mg of copper per serving (check label); soy flour; soy grits; fresh sweet potatoes, chocolate milk, soy milk, cocoa, desserts that contain high amounts of ingredients rich in copper; candy with nuts, chocolate, or cocoa, instant breakfast beverages, mineral water, soy-based beverages, copper-fortified formulas, brewer’s yeast, multiple vitamins with copper or minerals)</w:t>
            </w:r>
          </w:p>
        </w:tc>
      </w:tr>
    </w:tbl>
    <w:p w14:paraId="1876E5A4" w14:textId="77777777" w:rsidR="005C142D" w:rsidRPr="00FA3F9C" w:rsidRDefault="005C142D" w:rsidP="0002783B">
      <w:pPr>
        <w:spacing w:after="0"/>
        <w:rPr>
          <w:rFonts w:ascii="Arial" w:hAnsi="Arial" w:cs="Arial"/>
          <w:sz w:val="24"/>
          <w:szCs w:val="24"/>
        </w:rPr>
      </w:pPr>
      <w:r w:rsidRPr="00FA3F9C">
        <w:rPr>
          <w:rFonts w:ascii="Arial" w:hAnsi="Arial" w:cs="Arial"/>
          <w:sz w:val="24"/>
          <w:szCs w:val="24"/>
        </w:rPr>
        <w:t>Quantity Limit: 8 tabs/day (2g max/day)</w:t>
      </w:r>
    </w:p>
    <w:p w14:paraId="24547C7A" w14:textId="77777777" w:rsidR="005C142D" w:rsidRPr="00FA3F9C" w:rsidRDefault="005C142D" w:rsidP="006F623F">
      <w:pPr>
        <w:spacing w:after="0"/>
        <w:rPr>
          <w:rFonts w:ascii="Arial" w:hAnsi="Arial" w:cs="Arial"/>
          <w:sz w:val="24"/>
          <w:szCs w:val="24"/>
        </w:rPr>
      </w:pPr>
    </w:p>
    <w:p w14:paraId="58381B20" w14:textId="77777777" w:rsidR="005C142D" w:rsidRPr="00FA3F9C" w:rsidRDefault="005C142D"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284"/>
        <w:gridCol w:w="7470"/>
        <w:gridCol w:w="2538"/>
      </w:tblGrid>
      <w:tr w:rsidR="005C142D" w:rsidRPr="00FA3F9C" w14:paraId="5ED1AD51" w14:textId="77777777" w:rsidTr="00FE491B">
        <w:tc>
          <w:tcPr>
            <w:tcW w:w="1008" w:type="dxa"/>
          </w:tcPr>
          <w:p w14:paraId="7B758D69" w14:textId="77777777" w:rsidR="005C142D" w:rsidRPr="00FA3F9C" w:rsidRDefault="005C142D" w:rsidP="006F623F">
            <w:pPr>
              <w:rPr>
                <w:rFonts w:ascii="Arial" w:hAnsi="Arial" w:cs="Arial"/>
                <w:sz w:val="24"/>
                <w:szCs w:val="24"/>
              </w:rPr>
            </w:pPr>
            <w:r w:rsidRPr="00FA3F9C">
              <w:rPr>
                <w:rFonts w:ascii="Arial" w:hAnsi="Arial" w:cs="Arial"/>
                <w:sz w:val="24"/>
                <w:szCs w:val="24"/>
              </w:rPr>
              <w:t>Date</w:t>
            </w:r>
          </w:p>
        </w:tc>
        <w:tc>
          <w:tcPr>
            <w:tcW w:w="7470" w:type="dxa"/>
          </w:tcPr>
          <w:p w14:paraId="67BEFFD6" w14:textId="77777777" w:rsidR="005C142D" w:rsidRPr="00FA3F9C" w:rsidRDefault="005C142D" w:rsidP="006F623F">
            <w:pPr>
              <w:rPr>
                <w:rFonts w:ascii="Arial" w:hAnsi="Arial" w:cs="Arial"/>
                <w:sz w:val="24"/>
                <w:szCs w:val="24"/>
              </w:rPr>
            </w:pPr>
            <w:r w:rsidRPr="00FA3F9C">
              <w:rPr>
                <w:rFonts w:ascii="Arial" w:hAnsi="Arial" w:cs="Arial"/>
                <w:sz w:val="24"/>
                <w:szCs w:val="24"/>
              </w:rPr>
              <w:t>What changed</w:t>
            </w:r>
          </w:p>
        </w:tc>
        <w:tc>
          <w:tcPr>
            <w:tcW w:w="2538" w:type="dxa"/>
          </w:tcPr>
          <w:p w14:paraId="256996FA" w14:textId="77777777" w:rsidR="005C142D" w:rsidRPr="00FA3F9C" w:rsidRDefault="005C142D" w:rsidP="006F623F">
            <w:pPr>
              <w:rPr>
                <w:rFonts w:ascii="Arial" w:hAnsi="Arial" w:cs="Arial"/>
                <w:sz w:val="24"/>
                <w:szCs w:val="24"/>
              </w:rPr>
            </w:pPr>
            <w:r w:rsidRPr="00FA3F9C">
              <w:rPr>
                <w:rFonts w:ascii="Arial" w:hAnsi="Arial" w:cs="Arial"/>
                <w:sz w:val="24"/>
                <w:szCs w:val="24"/>
              </w:rPr>
              <w:t>Pharmacist’s initials</w:t>
            </w:r>
          </w:p>
        </w:tc>
      </w:tr>
      <w:tr w:rsidR="005C142D" w:rsidRPr="00FA3F9C" w14:paraId="6FCDA68A" w14:textId="77777777" w:rsidTr="00FE491B">
        <w:tc>
          <w:tcPr>
            <w:tcW w:w="1008" w:type="dxa"/>
          </w:tcPr>
          <w:p w14:paraId="2CF2D49E" w14:textId="77777777" w:rsidR="005C142D" w:rsidRPr="00FA3F9C" w:rsidRDefault="005C142D" w:rsidP="006F623F">
            <w:pPr>
              <w:rPr>
                <w:rFonts w:ascii="Arial" w:hAnsi="Arial" w:cs="Arial"/>
                <w:sz w:val="24"/>
                <w:szCs w:val="24"/>
              </w:rPr>
            </w:pPr>
            <w:r w:rsidRPr="00FA3F9C">
              <w:rPr>
                <w:rFonts w:ascii="Arial" w:hAnsi="Arial" w:cs="Arial"/>
                <w:sz w:val="24"/>
                <w:szCs w:val="24"/>
              </w:rPr>
              <w:t>10/2/15</w:t>
            </w:r>
          </w:p>
        </w:tc>
        <w:tc>
          <w:tcPr>
            <w:tcW w:w="7470" w:type="dxa"/>
          </w:tcPr>
          <w:p w14:paraId="7AD38338" w14:textId="77777777" w:rsidR="005C142D" w:rsidRPr="00FA3F9C" w:rsidRDefault="005C142D" w:rsidP="004C2953">
            <w:pPr>
              <w:rPr>
                <w:rFonts w:ascii="Arial" w:hAnsi="Arial" w:cs="Arial"/>
                <w:sz w:val="24"/>
                <w:szCs w:val="24"/>
              </w:rPr>
            </w:pPr>
            <w:r w:rsidRPr="00FA3F9C">
              <w:rPr>
                <w:rFonts w:ascii="Arial" w:hAnsi="Arial" w:cs="Arial"/>
                <w:sz w:val="24"/>
                <w:szCs w:val="24"/>
              </w:rPr>
              <w:t xml:space="preserve">I wrote the criteria.  </w:t>
            </w:r>
          </w:p>
        </w:tc>
        <w:tc>
          <w:tcPr>
            <w:tcW w:w="2538" w:type="dxa"/>
          </w:tcPr>
          <w:p w14:paraId="1F5DE2AC" w14:textId="77777777" w:rsidR="005C142D" w:rsidRPr="00FA3F9C" w:rsidRDefault="005C142D" w:rsidP="006F623F">
            <w:pPr>
              <w:rPr>
                <w:rFonts w:ascii="Arial" w:hAnsi="Arial" w:cs="Arial"/>
                <w:sz w:val="24"/>
                <w:szCs w:val="24"/>
              </w:rPr>
            </w:pPr>
            <w:r w:rsidRPr="00FA3F9C">
              <w:rPr>
                <w:rFonts w:ascii="Arial" w:hAnsi="Arial" w:cs="Arial"/>
                <w:sz w:val="24"/>
                <w:szCs w:val="24"/>
              </w:rPr>
              <w:t>JJ</w:t>
            </w:r>
          </w:p>
        </w:tc>
      </w:tr>
      <w:tr w:rsidR="005C142D" w:rsidRPr="00FA3F9C" w14:paraId="6FCF8BF9" w14:textId="77777777" w:rsidTr="00FE491B">
        <w:tc>
          <w:tcPr>
            <w:tcW w:w="1008" w:type="dxa"/>
          </w:tcPr>
          <w:p w14:paraId="3F7AF5F7" w14:textId="77777777" w:rsidR="005C142D" w:rsidRPr="00FA3F9C" w:rsidRDefault="005C142D" w:rsidP="006F623F">
            <w:pPr>
              <w:rPr>
                <w:rFonts w:ascii="Arial" w:hAnsi="Arial" w:cs="Arial"/>
                <w:sz w:val="24"/>
                <w:szCs w:val="24"/>
              </w:rPr>
            </w:pPr>
            <w:r w:rsidRPr="00FA3F9C">
              <w:rPr>
                <w:rFonts w:ascii="Arial" w:hAnsi="Arial" w:cs="Arial"/>
                <w:sz w:val="24"/>
                <w:szCs w:val="24"/>
              </w:rPr>
              <w:t>8/31/2020</w:t>
            </w:r>
          </w:p>
        </w:tc>
        <w:tc>
          <w:tcPr>
            <w:tcW w:w="7470" w:type="dxa"/>
          </w:tcPr>
          <w:p w14:paraId="6B3AEC0E" w14:textId="77777777" w:rsidR="005C142D" w:rsidRPr="00FA3F9C" w:rsidRDefault="005C142D" w:rsidP="006F623F">
            <w:pPr>
              <w:rPr>
                <w:rFonts w:ascii="Arial" w:hAnsi="Arial" w:cs="Arial"/>
                <w:sz w:val="24"/>
                <w:szCs w:val="24"/>
              </w:rPr>
            </w:pPr>
            <w:r w:rsidRPr="00FA3F9C">
              <w:rPr>
                <w:rFonts w:ascii="Arial" w:hAnsi="Arial" w:cs="Arial"/>
                <w:sz w:val="24"/>
                <w:szCs w:val="24"/>
              </w:rPr>
              <w:t>I reviewed the criteria.  It is still listed as alternative to penicillamine in the latest review article.  No trials.</w:t>
            </w:r>
          </w:p>
        </w:tc>
        <w:tc>
          <w:tcPr>
            <w:tcW w:w="2538" w:type="dxa"/>
          </w:tcPr>
          <w:p w14:paraId="4E7EC16F" w14:textId="77777777" w:rsidR="005C142D" w:rsidRPr="00FA3F9C" w:rsidRDefault="005C142D" w:rsidP="006F623F">
            <w:pPr>
              <w:rPr>
                <w:rFonts w:ascii="Arial" w:hAnsi="Arial" w:cs="Arial"/>
                <w:sz w:val="24"/>
                <w:szCs w:val="24"/>
              </w:rPr>
            </w:pPr>
            <w:r w:rsidRPr="00FA3F9C">
              <w:rPr>
                <w:rFonts w:ascii="Arial" w:hAnsi="Arial" w:cs="Arial"/>
                <w:sz w:val="24"/>
                <w:szCs w:val="24"/>
              </w:rPr>
              <w:t>JJ</w:t>
            </w:r>
          </w:p>
        </w:tc>
      </w:tr>
    </w:tbl>
    <w:p w14:paraId="0839C8B2" w14:textId="77777777" w:rsidR="005C142D" w:rsidRPr="00FA3F9C" w:rsidRDefault="005C142D" w:rsidP="0070007F">
      <w:pPr>
        <w:spacing w:after="0"/>
        <w:rPr>
          <w:rFonts w:ascii="Arial" w:hAnsi="Arial" w:cs="Arial"/>
          <w:sz w:val="24"/>
          <w:szCs w:val="24"/>
        </w:rPr>
      </w:pPr>
    </w:p>
    <w:p w14:paraId="2BD5043F" w14:textId="77777777" w:rsidR="005C142D" w:rsidRPr="00FA3F9C" w:rsidRDefault="005C142D" w:rsidP="00076432">
      <w:r w:rsidRPr="00FA3F9C">
        <w:t>References:</w:t>
      </w:r>
    </w:p>
    <w:p w14:paraId="2610A57A" w14:textId="77777777" w:rsidR="005C142D" w:rsidRPr="00FA3F9C" w:rsidRDefault="005C142D" w:rsidP="00076432">
      <w:r w:rsidRPr="00FA3F9C">
        <w:t xml:space="preserve">1.  Roberts EA, </w:t>
      </w:r>
      <w:proofErr w:type="spellStart"/>
      <w:r w:rsidRPr="00FA3F9C">
        <w:t>Schilsky</w:t>
      </w:r>
      <w:proofErr w:type="spellEnd"/>
      <w:r w:rsidRPr="00FA3F9C">
        <w:t xml:space="preserve"> ML.  Diagnosis and treatment of Wilson disease: An update.  Hepatology. 2008;47(6): 2089-2111.</w:t>
      </w:r>
    </w:p>
    <w:p w14:paraId="67A902D3" w14:textId="77777777" w:rsidR="005C142D" w:rsidRPr="00FA3F9C" w:rsidRDefault="005C142D" w:rsidP="00076432">
      <w:r w:rsidRPr="00FA3F9C">
        <w:t xml:space="preserve">2.  Dietary Special Considerations.  </w:t>
      </w:r>
      <w:hyperlink r:id="rId409" w:history="1">
        <w:r w:rsidRPr="00FA3F9C">
          <w:rPr>
            <w:rStyle w:val="Hyperlink"/>
            <w:rFonts w:ascii="Arial" w:hAnsi="Arial" w:cs="Arial"/>
            <w:sz w:val="24"/>
            <w:szCs w:val="24"/>
          </w:rPr>
          <w:t>http://gicare.com/diets/copper-restriction/</w:t>
        </w:r>
      </w:hyperlink>
    </w:p>
    <w:p w14:paraId="59DE39C2" w14:textId="77777777" w:rsidR="005C142D" w:rsidRPr="00FA3F9C" w:rsidRDefault="005C142D" w:rsidP="00076432">
      <w:r w:rsidRPr="00FA3F9C">
        <w:t xml:space="preserve"> (</w:t>
      </w:r>
      <w:proofErr w:type="gramStart"/>
      <w:r w:rsidRPr="00FA3F9C">
        <w:t>accessed</w:t>
      </w:r>
      <w:proofErr w:type="gramEnd"/>
      <w:r w:rsidRPr="00FA3F9C">
        <w:t xml:space="preserve"> 10/2/15).</w:t>
      </w:r>
    </w:p>
    <w:p w14:paraId="3D5AB0E7" w14:textId="77777777" w:rsidR="005C142D" w:rsidRPr="00FA3F9C" w:rsidRDefault="005C142D" w:rsidP="00076432">
      <w:r w:rsidRPr="00FA3F9C">
        <w:lastRenderedPageBreak/>
        <w:t xml:space="preserve">4.  Weiss KH, </w:t>
      </w:r>
      <w:proofErr w:type="spellStart"/>
      <w:r w:rsidRPr="00FA3F9C">
        <w:t>Stremmel</w:t>
      </w:r>
      <w:proofErr w:type="spellEnd"/>
      <w:r w:rsidRPr="00FA3F9C">
        <w:t xml:space="preserve"> W.  Clinical considerations for an effective medical therapy in Wilson’s disease.  Annals of the New York Academy of Sciences. 2014;1315:81-85. (Review Article)</w:t>
      </w:r>
    </w:p>
    <w:p w14:paraId="5B415732" w14:textId="77777777" w:rsidR="005C142D" w:rsidRPr="00FA3F9C" w:rsidRDefault="005C142D" w:rsidP="00076432">
      <w:pPr>
        <w:rPr>
          <w:b/>
          <w:color w:val="000000"/>
        </w:rPr>
      </w:pPr>
      <w:r w:rsidRPr="00FA3F9C">
        <w:rPr>
          <w:lang w:val="fr-FR"/>
        </w:rPr>
        <w:t xml:space="preserve">5.   Brewer GJ, Askari F, et al.  </w:t>
      </w:r>
      <w:r w:rsidRPr="00FA3F9C">
        <w:rPr>
          <w:color w:val="000000"/>
        </w:rPr>
        <w:t xml:space="preserve">Treatment of Wilson disease with ammonium </w:t>
      </w:r>
      <w:proofErr w:type="spellStart"/>
      <w:r w:rsidRPr="00FA3F9C">
        <w:rPr>
          <w:color w:val="000000"/>
        </w:rPr>
        <w:t>tetrathiomolybdate</w:t>
      </w:r>
      <w:proofErr w:type="spellEnd"/>
      <w:r w:rsidRPr="00FA3F9C">
        <w:rPr>
          <w:color w:val="000000"/>
        </w:rPr>
        <w:t xml:space="preserve">: IV. Comparison of </w:t>
      </w:r>
      <w:proofErr w:type="spellStart"/>
      <w:r w:rsidRPr="00FA3F9C">
        <w:rPr>
          <w:color w:val="000000"/>
        </w:rPr>
        <w:t>tetrathiomolybdate</w:t>
      </w:r>
      <w:proofErr w:type="spellEnd"/>
      <w:r w:rsidRPr="00FA3F9C">
        <w:rPr>
          <w:color w:val="000000"/>
        </w:rPr>
        <w:t xml:space="preserve"> and </w:t>
      </w:r>
      <w:proofErr w:type="spellStart"/>
      <w:r w:rsidRPr="00FA3F9C">
        <w:rPr>
          <w:color w:val="000000"/>
        </w:rPr>
        <w:t>trientine</w:t>
      </w:r>
      <w:proofErr w:type="spellEnd"/>
      <w:r w:rsidRPr="00FA3F9C">
        <w:rPr>
          <w:color w:val="000000"/>
        </w:rPr>
        <w:t xml:space="preserve"> in a double-blind study of treatment of the neurologic presentation of Wilson disease. Arch Neurol. 2006. 63(4):521-7.</w:t>
      </w:r>
    </w:p>
    <w:p w14:paraId="74BB0BBA" w14:textId="77777777" w:rsidR="005C142D" w:rsidRPr="00FA3F9C" w:rsidRDefault="005C142D" w:rsidP="00076432">
      <w:pPr>
        <w:rPr>
          <w:rFonts w:eastAsia="Times New Roman"/>
        </w:rPr>
      </w:pPr>
      <w:r w:rsidRPr="00FA3F9C">
        <w:rPr>
          <w:rFonts w:eastAsia="Times New Roman"/>
          <w:b/>
          <w:color w:val="000000"/>
        </w:rPr>
        <w:t xml:space="preserve">6. </w:t>
      </w:r>
      <w:r w:rsidRPr="00FA3F9C">
        <w:rPr>
          <w:rFonts w:eastAsia="Times New Roman"/>
          <w:color w:val="222222"/>
          <w:shd w:val="clear" w:color="auto" w:fill="F8F8F8"/>
        </w:rPr>
        <w:t xml:space="preserve">Aggarwal, </w:t>
      </w:r>
      <w:proofErr w:type="spellStart"/>
      <w:r w:rsidRPr="00FA3F9C">
        <w:rPr>
          <w:rFonts w:eastAsia="Times New Roman"/>
          <w:color w:val="222222"/>
          <w:shd w:val="clear" w:color="auto" w:fill="F8F8F8"/>
        </w:rPr>
        <w:t>Annu</w:t>
      </w:r>
      <w:proofErr w:type="spellEnd"/>
      <w:r w:rsidRPr="00FA3F9C">
        <w:rPr>
          <w:rFonts w:eastAsia="Times New Roman"/>
          <w:color w:val="222222"/>
          <w:shd w:val="clear" w:color="auto" w:fill="F8F8F8"/>
        </w:rPr>
        <w:t>, and Mohit Bhatt. "Advances in treatment of Wilson disease." </w:t>
      </w:r>
      <w:r w:rsidRPr="00FA3F9C">
        <w:rPr>
          <w:rFonts w:eastAsia="Times New Roman"/>
          <w:i/>
          <w:iCs/>
          <w:color w:val="222222"/>
          <w:shd w:val="clear" w:color="auto" w:fill="F8F8F8"/>
        </w:rPr>
        <w:t>Tremor and Other Hyperkinetic Movements</w:t>
      </w:r>
      <w:r w:rsidRPr="00FA3F9C">
        <w:rPr>
          <w:rFonts w:eastAsia="Times New Roman"/>
          <w:color w:val="222222"/>
          <w:shd w:val="clear" w:color="auto" w:fill="F8F8F8"/>
        </w:rPr>
        <w:t> 8 (2018).</w:t>
      </w:r>
    </w:p>
    <w:p w14:paraId="46BDD45C" w14:textId="77777777" w:rsidR="005C142D" w:rsidRPr="00FA3F9C" w:rsidRDefault="005C142D" w:rsidP="00076432"/>
    <w:p w14:paraId="64119AEC" w14:textId="77777777" w:rsidR="005C142D" w:rsidRPr="00FA3F9C" w:rsidRDefault="005C142D" w:rsidP="005D3DE3">
      <w:pPr>
        <w:pStyle w:val="Heading2"/>
      </w:pPr>
      <w:bookmarkStart w:id="327" w:name="_Toc106369950"/>
      <w:proofErr w:type="spellStart"/>
      <w:r w:rsidRPr="00FA3F9C">
        <w:t>trilaciclib</w:t>
      </w:r>
      <w:proofErr w:type="spellEnd"/>
      <w:r w:rsidRPr="00FA3F9C">
        <w:t xml:space="preserve"> (</w:t>
      </w:r>
      <w:proofErr w:type="spellStart"/>
      <w:r w:rsidRPr="00FA3F9C">
        <w:t>Cosela</w:t>
      </w:r>
      <w:proofErr w:type="spellEnd"/>
      <w:r w:rsidRPr="00FA3F9C">
        <w:t>)</w:t>
      </w:r>
      <w:bookmarkEnd w:id="327"/>
    </w:p>
    <w:p w14:paraId="12713B1C" w14:textId="77777777" w:rsidR="005C142D" w:rsidRPr="00FA3F9C" w:rsidRDefault="005C142D" w:rsidP="00E64736">
      <w:pPr>
        <w:spacing w:after="0"/>
        <w:jc w:val="center"/>
        <w:rPr>
          <w:rFonts w:ascii="Arial" w:hAnsi="Arial" w:cs="Arial"/>
          <w:sz w:val="24"/>
          <w:szCs w:val="24"/>
        </w:rPr>
      </w:pPr>
      <w:r w:rsidRPr="00FA3F9C">
        <w:rPr>
          <w:rFonts w:ascii="Arial" w:hAnsi="Arial" w:cs="Arial"/>
          <w:sz w:val="24"/>
          <w:szCs w:val="24"/>
        </w:rPr>
        <w:t>300 mg IV solution for reconstitution</w:t>
      </w:r>
    </w:p>
    <w:p w14:paraId="1CF55FD0" w14:textId="77777777" w:rsidR="005C142D" w:rsidRPr="00FA3F9C" w:rsidRDefault="005C142D" w:rsidP="00E64736">
      <w:pPr>
        <w:spacing w:after="0"/>
        <w:jc w:val="center"/>
        <w:rPr>
          <w:rFonts w:ascii="Arial" w:hAnsi="Arial" w:cs="Arial"/>
          <w:sz w:val="24"/>
          <w:szCs w:val="24"/>
        </w:rPr>
      </w:pPr>
      <w:r w:rsidRPr="00FA3F9C">
        <w:rPr>
          <w:rFonts w:ascii="Arial" w:hAnsi="Arial" w:cs="Arial"/>
          <w:sz w:val="24"/>
          <w:szCs w:val="24"/>
        </w:rPr>
        <w:t>EBRx PA Criteria</w:t>
      </w:r>
    </w:p>
    <w:p w14:paraId="0C6982B6" w14:textId="77777777" w:rsidR="005C142D" w:rsidRPr="00FA3F9C" w:rsidRDefault="005C142D" w:rsidP="006F623F">
      <w:pPr>
        <w:spacing w:after="0"/>
        <w:rPr>
          <w:rFonts w:ascii="Arial" w:hAnsi="Arial" w:cs="Arial"/>
          <w:b/>
          <w:sz w:val="24"/>
          <w:szCs w:val="24"/>
          <w:u w:val="single"/>
        </w:rPr>
      </w:pPr>
    </w:p>
    <w:p w14:paraId="46C832EB" w14:textId="77777777" w:rsidR="005C142D" w:rsidRPr="00FA3F9C" w:rsidRDefault="005C142D"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w:t>
      </w:r>
    </w:p>
    <w:p w14:paraId="0956410F" w14:textId="77777777" w:rsidR="005C142D" w:rsidRPr="00FA3F9C" w:rsidRDefault="005C142D" w:rsidP="005C142D">
      <w:pPr>
        <w:pStyle w:val="NormalWeb"/>
        <w:numPr>
          <w:ilvl w:val="0"/>
          <w:numId w:val="293"/>
        </w:numPr>
        <w:spacing w:before="0" w:beforeAutospacing="0" w:after="0" w:afterAutospacing="0"/>
        <w:rPr>
          <w:rFonts w:ascii="Arial" w:hAnsi="Arial" w:cs="Arial"/>
          <w:sz w:val="24"/>
          <w:szCs w:val="24"/>
        </w:rPr>
      </w:pPr>
      <w:r w:rsidRPr="00FA3F9C">
        <w:rPr>
          <w:rFonts w:ascii="Arial" w:hAnsi="Arial" w:cs="Arial"/>
          <w:sz w:val="24"/>
          <w:szCs w:val="24"/>
        </w:rPr>
        <w:t xml:space="preserve">To decrease the incidence of chemotherapy-induced myelosuppression in adult patients when administered prior to a platinum/etoposide-containing regimen or topotecan-containing regimen for extensive-stage small cell lung cancer </w:t>
      </w:r>
      <w:r w:rsidRPr="00FA3F9C">
        <w:rPr>
          <w:rFonts w:ascii="Arial" w:hAnsi="Arial" w:cs="Arial"/>
          <w:sz w:val="24"/>
          <w:szCs w:val="24"/>
          <w:highlight w:val="cyan"/>
        </w:rPr>
        <w:t>SEE CRITERIA</w:t>
      </w:r>
    </w:p>
    <w:p w14:paraId="4D0A8E33" w14:textId="77777777" w:rsidR="005C142D" w:rsidRPr="00FA3F9C" w:rsidRDefault="005C142D" w:rsidP="00E64736">
      <w:pPr>
        <w:pStyle w:val="ListParagraph"/>
        <w:spacing w:after="0"/>
        <w:rPr>
          <w:rFonts w:ascii="Arial" w:hAnsi="Arial" w:cs="Arial"/>
          <w:sz w:val="24"/>
          <w:szCs w:val="24"/>
        </w:rPr>
      </w:pPr>
    </w:p>
    <w:tbl>
      <w:tblPr>
        <w:tblStyle w:val="TableGrid"/>
        <w:tblW w:w="0" w:type="auto"/>
        <w:tblLook w:val="04A0" w:firstRow="1" w:lastRow="0" w:firstColumn="1" w:lastColumn="0" w:noHBand="0" w:noVBand="1"/>
      </w:tblPr>
      <w:tblGrid>
        <w:gridCol w:w="8746"/>
        <w:gridCol w:w="2270"/>
      </w:tblGrid>
      <w:tr w:rsidR="005C142D" w:rsidRPr="00FA3F9C" w14:paraId="084EFE92" w14:textId="77777777" w:rsidTr="004C6322">
        <w:tc>
          <w:tcPr>
            <w:tcW w:w="8746" w:type="dxa"/>
            <w:shd w:val="clear" w:color="auto" w:fill="000000"/>
          </w:tcPr>
          <w:p w14:paraId="28FE2BBF" w14:textId="77777777" w:rsidR="005C142D" w:rsidRPr="00FA3F9C" w:rsidRDefault="005C142D"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44" w:type="dxa"/>
            <w:shd w:val="clear" w:color="auto" w:fill="000000"/>
          </w:tcPr>
          <w:p w14:paraId="39E10379" w14:textId="77777777" w:rsidR="005C142D" w:rsidRPr="00FA3F9C" w:rsidRDefault="005C142D" w:rsidP="006F623F">
            <w:pPr>
              <w:jc w:val="center"/>
              <w:rPr>
                <w:rFonts w:ascii="Arial" w:hAnsi="Arial" w:cs="Arial"/>
                <w:b/>
                <w:sz w:val="24"/>
                <w:szCs w:val="24"/>
                <w:u w:val="single"/>
              </w:rPr>
            </w:pPr>
          </w:p>
        </w:tc>
      </w:tr>
      <w:tr w:rsidR="005C142D" w:rsidRPr="00FA3F9C" w14:paraId="70BB3C90" w14:textId="77777777" w:rsidTr="00F337AE">
        <w:tc>
          <w:tcPr>
            <w:tcW w:w="11016" w:type="dxa"/>
            <w:gridSpan w:val="2"/>
          </w:tcPr>
          <w:p w14:paraId="5988D0B3" w14:textId="77777777" w:rsidR="005C142D" w:rsidRPr="00FA3F9C" w:rsidRDefault="005C142D" w:rsidP="001B4D75">
            <w:pPr>
              <w:rPr>
                <w:rFonts w:ascii="Arial" w:hAnsi="Arial" w:cs="Arial"/>
                <w:sz w:val="24"/>
                <w:szCs w:val="24"/>
              </w:rPr>
            </w:pPr>
            <w:r w:rsidRPr="00FA3F9C">
              <w:rPr>
                <w:rFonts w:ascii="Arial" w:hAnsi="Arial" w:cs="Arial"/>
                <w:sz w:val="24"/>
                <w:szCs w:val="24"/>
              </w:rPr>
              <w:t>1.Diagnosis of extensive stage small cell lung cancer</w:t>
            </w:r>
          </w:p>
        </w:tc>
      </w:tr>
      <w:tr w:rsidR="005C142D" w:rsidRPr="00FA3F9C" w14:paraId="1B4F95C5" w14:textId="77777777" w:rsidTr="00B1617E">
        <w:tc>
          <w:tcPr>
            <w:tcW w:w="11016" w:type="dxa"/>
            <w:gridSpan w:val="2"/>
          </w:tcPr>
          <w:p w14:paraId="5A0F62D6" w14:textId="77777777" w:rsidR="005C142D" w:rsidRPr="00FA3F9C" w:rsidRDefault="005C142D" w:rsidP="001B4D75">
            <w:pPr>
              <w:rPr>
                <w:rFonts w:ascii="Arial" w:hAnsi="Arial" w:cs="Arial"/>
                <w:sz w:val="24"/>
                <w:szCs w:val="24"/>
              </w:rPr>
            </w:pPr>
            <w:r w:rsidRPr="00FA3F9C">
              <w:rPr>
                <w:rFonts w:ascii="Arial" w:hAnsi="Arial" w:cs="Arial"/>
                <w:sz w:val="24"/>
                <w:szCs w:val="24"/>
              </w:rPr>
              <w:t>2. Patient will be treated with either a platinum/etoposide-containing regimen or topotecan-containing regimen</w:t>
            </w:r>
          </w:p>
        </w:tc>
      </w:tr>
      <w:tr w:rsidR="005C142D" w:rsidRPr="00FA3F9C" w14:paraId="1B77C83F" w14:textId="77777777" w:rsidTr="00B1617E">
        <w:tc>
          <w:tcPr>
            <w:tcW w:w="11016" w:type="dxa"/>
            <w:gridSpan w:val="2"/>
          </w:tcPr>
          <w:p w14:paraId="57315ADE" w14:textId="77777777" w:rsidR="005C142D" w:rsidRPr="00FA3F9C" w:rsidRDefault="005C142D" w:rsidP="00140D53">
            <w:pPr>
              <w:rPr>
                <w:rFonts w:ascii="Arial" w:hAnsi="Arial" w:cs="Arial"/>
                <w:sz w:val="24"/>
                <w:szCs w:val="24"/>
              </w:rPr>
            </w:pPr>
            <w:r w:rsidRPr="00FA3F9C">
              <w:rPr>
                <w:rFonts w:ascii="Arial" w:hAnsi="Arial" w:cs="Arial"/>
                <w:sz w:val="24"/>
                <w:szCs w:val="24"/>
              </w:rPr>
              <w:t>3. The patient is not a candidate for G-CSF (</w:t>
            </w:r>
            <w:proofErr w:type="spellStart"/>
            <w:r w:rsidRPr="00FA3F9C">
              <w:rPr>
                <w:rFonts w:ascii="Arial" w:hAnsi="Arial" w:cs="Arial"/>
                <w:sz w:val="24"/>
                <w:szCs w:val="24"/>
              </w:rPr>
              <w:t>pegfilgrastim</w:t>
            </w:r>
            <w:proofErr w:type="spellEnd"/>
            <w:r w:rsidRPr="00FA3F9C">
              <w:rPr>
                <w:rFonts w:ascii="Arial" w:hAnsi="Arial" w:cs="Arial"/>
                <w:sz w:val="24"/>
                <w:szCs w:val="24"/>
              </w:rPr>
              <w:t xml:space="preserve"> or filgrastim).</w:t>
            </w:r>
          </w:p>
        </w:tc>
      </w:tr>
      <w:tr w:rsidR="005C142D" w:rsidRPr="00FA3F9C" w14:paraId="77D5080B" w14:textId="77777777" w:rsidTr="00A52F36">
        <w:tc>
          <w:tcPr>
            <w:tcW w:w="11016" w:type="dxa"/>
            <w:gridSpan w:val="2"/>
            <w:shd w:val="clear" w:color="auto" w:fill="F2F2F2" w:themeFill="background1" w:themeFillShade="F2"/>
          </w:tcPr>
          <w:p w14:paraId="5D49EB4E" w14:textId="77777777" w:rsidR="005C142D" w:rsidRPr="00FA3F9C" w:rsidRDefault="005C142D" w:rsidP="00342FDF">
            <w:pPr>
              <w:rPr>
                <w:rFonts w:ascii="Arial" w:hAnsi="Arial" w:cs="Arial"/>
                <w:sz w:val="24"/>
                <w:szCs w:val="24"/>
              </w:rPr>
            </w:pPr>
            <w:r w:rsidRPr="00FA3F9C">
              <w:rPr>
                <w:rFonts w:ascii="Arial" w:hAnsi="Arial" w:cs="Arial"/>
                <w:sz w:val="24"/>
                <w:szCs w:val="24"/>
              </w:rPr>
              <w:t>If criteria met, approve for 12 months</w:t>
            </w:r>
          </w:p>
        </w:tc>
      </w:tr>
      <w:tr w:rsidR="005C142D" w:rsidRPr="00FA3F9C" w14:paraId="6F0B454E" w14:textId="77777777" w:rsidTr="00A52F36">
        <w:tc>
          <w:tcPr>
            <w:tcW w:w="11016" w:type="dxa"/>
            <w:gridSpan w:val="2"/>
            <w:shd w:val="clear" w:color="auto" w:fill="F2F2F2" w:themeFill="background1" w:themeFillShade="F2"/>
          </w:tcPr>
          <w:p w14:paraId="42A27FBD" w14:textId="77777777" w:rsidR="005C142D" w:rsidRPr="00FA3F9C" w:rsidRDefault="005C142D" w:rsidP="00140D53">
            <w:pPr>
              <w:rPr>
                <w:rFonts w:ascii="Arial" w:hAnsi="Arial" w:cs="Arial"/>
                <w:sz w:val="24"/>
                <w:szCs w:val="24"/>
              </w:rPr>
            </w:pPr>
            <w:r w:rsidRPr="00FA3F9C">
              <w:rPr>
                <w:rFonts w:ascii="Arial" w:hAnsi="Arial" w:cs="Arial"/>
                <w:sz w:val="24"/>
                <w:szCs w:val="24"/>
              </w:rPr>
              <w:t xml:space="preserve">Note: per PI, GCSF is contraindicated in patients with history of hypersensitivity (serious allergic reaction) to </w:t>
            </w:r>
            <w:proofErr w:type="spellStart"/>
            <w:r w:rsidRPr="00FA3F9C">
              <w:rPr>
                <w:rFonts w:ascii="Arial" w:hAnsi="Arial" w:cs="Arial"/>
                <w:sz w:val="24"/>
                <w:szCs w:val="24"/>
              </w:rPr>
              <w:t>pegfilgrastim</w:t>
            </w:r>
            <w:proofErr w:type="spellEnd"/>
            <w:r w:rsidRPr="00FA3F9C">
              <w:rPr>
                <w:rFonts w:ascii="Arial" w:hAnsi="Arial" w:cs="Arial"/>
                <w:sz w:val="24"/>
                <w:szCs w:val="24"/>
              </w:rPr>
              <w:t>, filgrastim, or any component of the formulation. Patients also may experience severe bone pain with GCSF which may prevent further use.</w:t>
            </w:r>
          </w:p>
        </w:tc>
      </w:tr>
    </w:tbl>
    <w:p w14:paraId="1E6EC4C3" w14:textId="77777777" w:rsidR="005C142D" w:rsidRPr="00FA3F9C" w:rsidRDefault="005C142D" w:rsidP="006F623F">
      <w:pPr>
        <w:spacing w:after="0"/>
        <w:rPr>
          <w:rFonts w:ascii="Arial" w:hAnsi="Arial" w:cs="Arial"/>
          <w:b/>
          <w:sz w:val="24"/>
          <w:szCs w:val="24"/>
          <w:u w:val="single"/>
        </w:rPr>
      </w:pPr>
    </w:p>
    <w:tbl>
      <w:tblPr>
        <w:tblStyle w:val="TableGrid"/>
        <w:tblW w:w="0" w:type="auto"/>
        <w:shd w:val="clear" w:color="auto" w:fill="BFBFBF" w:themeFill="background1" w:themeFillShade="BF"/>
        <w:tblLook w:val="04A0" w:firstRow="1" w:lastRow="0" w:firstColumn="1" w:lastColumn="0" w:noHBand="0" w:noVBand="1"/>
      </w:tblPr>
      <w:tblGrid>
        <w:gridCol w:w="11301"/>
      </w:tblGrid>
      <w:tr w:rsidR="005C142D" w:rsidRPr="00FA3F9C" w14:paraId="75CF418C" w14:textId="77777777" w:rsidTr="005355E0">
        <w:trPr>
          <w:trHeight w:val="7550"/>
        </w:trPr>
        <w:tc>
          <w:tcPr>
            <w:tcW w:w="10790" w:type="dxa"/>
            <w:shd w:val="clear" w:color="auto" w:fill="BFBFBF" w:themeFill="background1" w:themeFillShade="BF"/>
          </w:tcPr>
          <w:p w14:paraId="1A7F3765" w14:textId="77777777" w:rsidR="005C142D" w:rsidRPr="00FA3F9C" w:rsidRDefault="005C142D" w:rsidP="00D82B6E">
            <w:pPr>
              <w:rPr>
                <w:rFonts w:ascii="Arial" w:hAnsi="Arial" w:cs="Arial"/>
                <w:sz w:val="24"/>
                <w:szCs w:val="24"/>
              </w:rPr>
            </w:pPr>
            <w:r w:rsidRPr="00FA3F9C">
              <w:rPr>
                <w:rFonts w:ascii="Arial" w:hAnsi="Arial" w:cs="Arial"/>
                <w:sz w:val="24"/>
                <w:szCs w:val="24"/>
              </w:rPr>
              <w:lastRenderedPageBreak/>
              <w:t xml:space="preserve">Notes: </w:t>
            </w:r>
          </w:p>
          <w:p w14:paraId="1D7CED45" w14:textId="77777777" w:rsidR="005C142D" w:rsidRPr="00FA3F9C" w:rsidRDefault="005C142D" w:rsidP="00D82B6E">
            <w:pPr>
              <w:rPr>
                <w:rFonts w:ascii="Arial" w:hAnsi="Arial" w:cs="Arial"/>
                <w:sz w:val="24"/>
                <w:szCs w:val="24"/>
              </w:rPr>
            </w:pPr>
          </w:p>
          <w:p w14:paraId="5CA71FCB" w14:textId="77777777" w:rsidR="005C142D" w:rsidRPr="00FA3F9C" w:rsidRDefault="005C142D" w:rsidP="00D82B6E">
            <w:pPr>
              <w:rPr>
                <w:rFonts w:ascii="Arial" w:hAnsi="Arial" w:cs="Arial"/>
                <w:sz w:val="24"/>
                <w:szCs w:val="24"/>
              </w:rPr>
            </w:pPr>
            <w:r w:rsidRPr="00FA3F9C">
              <w:rPr>
                <w:rFonts w:ascii="Arial" w:hAnsi="Arial" w:cs="Arial"/>
                <w:sz w:val="24"/>
                <w:szCs w:val="24"/>
              </w:rPr>
              <w:t>Dose: 240 mg/m2 IV within 4 hours of each dose of chemotherapy (3 doses per cycle of platinum/etoposide regimens; 5 doses per cycle in topotecan regimens).</w:t>
            </w:r>
          </w:p>
          <w:p w14:paraId="127BA3A3" w14:textId="77777777" w:rsidR="005C142D" w:rsidRPr="00FA3F9C" w:rsidRDefault="005C142D" w:rsidP="00D82B6E">
            <w:pPr>
              <w:rPr>
                <w:rFonts w:ascii="Arial" w:hAnsi="Arial" w:cs="Arial"/>
                <w:sz w:val="24"/>
                <w:szCs w:val="24"/>
              </w:rPr>
            </w:pPr>
          </w:p>
          <w:p w14:paraId="2C41657B" w14:textId="77777777" w:rsidR="005C142D" w:rsidRPr="00FA3F9C" w:rsidRDefault="005C142D" w:rsidP="005355E0">
            <w:pPr>
              <w:rPr>
                <w:rFonts w:ascii="Arial" w:hAnsi="Arial" w:cs="Arial"/>
                <w:sz w:val="24"/>
                <w:szCs w:val="24"/>
              </w:rPr>
            </w:pPr>
            <w:r w:rsidRPr="00FA3F9C">
              <w:rPr>
                <w:rFonts w:ascii="Arial" w:hAnsi="Arial" w:cs="Arial"/>
                <w:sz w:val="24"/>
                <w:szCs w:val="24"/>
              </w:rPr>
              <w:t xml:space="preserve">Compared to placebo, </w:t>
            </w:r>
            <w:proofErr w:type="spellStart"/>
            <w:r w:rsidRPr="00FA3F9C">
              <w:rPr>
                <w:rFonts w:ascii="Arial" w:hAnsi="Arial" w:cs="Arial"/>
                <w:sz w:val="24"/>
                <w:szCs w:val="24"/>
              </w:rPr>
              <w:t>trilaciclib</w:t>
            </w:r>
            <w:proofErr w:type="spellEnd"/>
            <w:r w:rsidRPr="00FA3F9C">
              <w:rPr>
                <w:rFonts w:ascii="Arial" w:hAnsi="Arial" w:cs="Arial"/>
                <w:sz w:val="24"/>
                <w:szCs w:val="24"/>
              </w:rPr>
              <w:t xml:space="preserve"> reduces duration of severe neutropenia. The following secondary endpoints were numerically improved (no stats given) in the </w:t>
            </w:r>
            <w:proofErr w:type="spellStart"/>
            <w:r w:rsidRPr="00FA3F9C">
              <w:rPr>
                <w:rFonts w:ascii="Arial" w:hAnsi="Arial" w:cs="Arial"/>
                <w:sz w:val="24"/>
                <w:szCs w:val="24"/>
              </w:rPr>
              <w:t>trilaciclib</w:t>
            </w:r>
            <w:proofErr w:type="spellEnd"/>
            <w:r w:rsidRPr="00FA3F9C">
              <w:rPr>
                <w:rFonts w:ascii="Arial" w:hAnsi="Arial" w:cs="Arial"/>
                <w:sz w:val="24"/>
                <w:szCs w:val="24"/>
              </w:rPr>
              <w:t xml:space="preserve"> group: use of GCSF, dose reduction of chemotherapy, incidence of febrile neutropenia, and hospitalization due to chemo-induced myelosuppression or sepsis. Some quality of life assessments were also improved. Trilaciclib does not appear to adversely affect overall survival or progression free survival. </w:t>
            </w:r>
          </w:p>
          <w:p w14:paraId="63DEDB2D" w14:textId="77777777" w:rsidR="005C142D" w:rsidRPr="00FA3F9C" w:rsidRDefault="005C142D" w:rsidP="005355E0">
            <w:pPr>
              <w:rPr>
                <w:rFonts w:ascii="Arial" w:hAnsi="Arial" w:cs="Arial"/>
                <w:sz w:val="24"/>
                <w:szCs w:val="24"/>
              </w:rPr>
            </w:pPr>
          </w:p>
          <w:p w14:paraId="778B2FBA" w14:textId="77777777" w:rsidR="005C142D" w:rsidRPr="00FA3F9C" w:rsidRDefault="005C142D" w:rsidP="005355E0">
            <w:pPr>
              <w:rPr>
                <w:rFonts w:ascii="Arial" w:hAnsi="Arial" w:cs="Arial"/>
                <w:sz w:val="24"/>
                <w:szCs w:val="24"/>
              </w:rPr>
            </w:pPr>
            <w:r w:rsidRPr="00FA3F9C">
              <w:rPr>
                <w:rFonts w:ascii="Arial" w:hAnsi="Arial" w:cs="Arial"/>
                <w:sz w:val="24"/>
                <w:szCs w:val="24"/>
              </w:rPr>
              <w:t xml:space="preserve">Trilaciclib is given without GCSF/ESA in the first cycle of chemotherapy, but GCSF and/or erythropoietin stimulating agents (ESAs) may be used in addition to </w:t>
            </w:r>
            <w:proofErr w:type="spellStart"/>
            <w:r w:rsidRPr="00FA3F9C">
              <w:rPr>
                <w:rFonts w:ascii="Arial" w:hAnsi="Arial" w:cs="Arial"/>
                <w:sz w:val="24"/>
                <w:szCs w:val="24"/>
              </w:rPr>
              <w:t>trilaciclib</w:t>
            </w:r>
            <w:proofErr w:type="spellEnd"/>
            <w:r w:rsidRPr="00FA3F9C">
              <w:rPr>
                <w:rFonts w:ascii="Arial" w:hAnsi="Arial" w:cs="Arial"/>
                <w:sz w:val="24"/>
                <w:szCs w:val="24"/>
              </w:rPr>
              <w:t xml:space="preserve"> in subsequent cycles. </w:t>
            </w:r>
          </w:p>
          <w:p w14:paraId="31B2DF5E" w14:textId="77777777" w:rsidR="005C142D" w:rsidRPr="00FA3F9C" w:rsidRDefault="005C142D" w:rsidP="005355E0">
            <w:pPr>
              <w:rPr>
                <w:rFonts w:ascii="Arial" w:hAnsi="Arial" w:cs="Arial"/>
                <w:sz w:val="24"/>
                <w:szCs w:val="24"/>
              </w:rPr>
            </w:pPr>
          </w:p>
          <w:p w14:paraId="362FE919" w14:textId="77777777" w:rsidR="005C142D" w:rsidRPr="00FA3F9C" w:rsidRDefault="005C142D" w:rsidP="005355E0">
            <w:pPr>
              <w:rPr>
                <w:rFonts w:ascii="Arial" w:hAnsi="Arial" w:cs="Arial"/>
                <w:sz w:val="24"/>
                <w:szCs w:val="24"/>
              </w:rPr>
            </w:pPr>
            <w:r w:rsidRPr="00FA3F9C">
              <w:rPr>
                <w:rFonts w:ascii="Arial" w:hAnsi="Arial" w:cs="Arial"/>
                <w:sz w:val="24"/>
                <w:szCs w:val="24"/>
              </w:rPr>
              <w:t xml:space="preserve">For prevention of neutropenia, GCSF has more robust data compared to </w:t>
            </w:r>
            <w:proofErr w:type="spellStart"/>
            <w:r w:rsidRPr="00FA3F9C">
              <w:rPr>
                <w:rFonts w:ascii="Arial" w:hAnsi="Arial" w:cs="Arial"/>
                <w:sz w:val="24"/>
                <w:szCs w:val="24"/>
              </w:rPr>
              <w:t>trilaciclib</w:t>
            </w:r>
            <w:proofErr w:type="spellEnd"/>
            <w:r w:rsidRPr="00FA3F9C">
              <w:rPr>
                <w:rFonts w:ascii="Arial" w:hAnsi="Arial" w:cs="Arial"/>
                <w:sz w:val="24"/>
                <w:szCs w:val="24"/>
              </w:rPr>
              <w:t>, as GCSF has been shown to improve infection-related mortality as well as duration/incidence/severity of neutropenia, incidence of febrile neutropenia, and hospitalization. Therefore, GCSF will be preferred.</w:t>
            </w:r>
          </w:p>
          <w:p w14:paraId="670E36A7" w14:textId="77777777" w:rsidR="005C142D" w:rsidRPr="00FA3F9C" w:rsidRDefault="005C142D" w:rsidP="005355E0">
            <w:pPr>
              <w:rPr>
                <w:rFonts w:ascii="Arial" w:hAnsi="Arial" w:cs="Arial"/>
                <w:sz w:val="24"/>
                <w:szCs w:val="24"/>
              </w:rPr>
            </w:pPr>
          </w:p>
          <w:p w14:paraId="275384F4" w14:textId="77777777" w:rsidR="005C142D" w:rsidRPr="00FA3F9C" w:rsidRDefault="005C142D" w:rsidP="005355E0">
            <w:pPr>
              <w:rPr>
                <w:rFonts w:ascii="Arial" w:hAnsi="Arial" w:cs="Arial"/>
                <w:sz w:val="24"/>
                <w:szCs w:val="24"/>
              </w:rPr>
            </w:pPr>
          </w:p>
          <w:tbl>
            <w:tblPr>
              <w:tblStyle w:val="TableGrid"/>
              <w:tblpPr w:leftFromText="180" w:rightFromText="180" w:vertAnchor="text" w:horzAnchor="margin" w:tblpXSpec="center" w:tblpY="97"/>
              <w:tblW w:w="11075" w:type="dxa"/>
              <w:tblLook w:val="04A0" w:firstRow="1" w:lastRow="0" w:firstColumn="1" w:lastColumn="0" w:noHBand="0" w:noVBand="1"/>
            </w:tblPr>
            <w:tblGrid>
              <w:gridCol w:w="1947"/>
              <w:gridCol w:w="3791"/>
              <w:gridCol w:w="2543"/>
              <w:gridCol w:w="1337"/>
              <w:gridCol w:w="73"/>
              <w:gridCol w:w="1384"/>
            </w:tblGrid>
            <w:tr w:rsidR="005C142D" w:rsidRPr="00FA3F9C" w14:paraId="4EAD3E90" w14:textId="77777777" w:rsidTr="001137EC">
              <w:trPr>
                <w:cantSplit/>
                <w:trHeight w:val="64"/>
                <w:tblHeader/>
              </w:trPr>
              <w:tc>
                <w:tcPr>
                  <w:tcW w:w="1975" w:type="dxa"/>
                  <w:shd w:val="clear" w:color="auto" w:fill="D9D9D9" w:themeFill="background1" w:themeFillShade="D9"/>
                </w:tcPr>
                <w:p w14:paraId="4A2047C7" w14:textId="77777777" w:rsidR="005C142D" w:rsidRPr="00FA3F9C" w:rsidRDefault="005C142D" w:rsidP="005355E0">
                  <w:pPr>
                    <w:rPr>
                      <w:rFonts w:ascii="Arial" w:hAnsi="Arial" w:cs="Arial"/>
                      <w:sz w:val="24"/>
                      <w:szCs w:val="24"/>
                    </w:rPr>
                  </w:pPr>
                  <w:r w:rsidRPr="00FA3F9C">
                    <w:rPr>
                      <w:rFonts w:ascii="Arial" w:hAnsi="Arial" w:cs="Arial"/>
                      <w:sz w:val="24"/>
                      <w:szCs w:val="24"/>
                    </w:rPr>
                    <w:t>Trial</w:t>
                  </w:r>
                </w:p>
              </w:tc>
              <w:tc>
                <w:tcPr>
                  <w:tcW w:w="4140" w:type="dxa"/>
                  <w:shd w:val="clear" w:color="auto" w:fill="D9D9D9" w:themeFill="background1" w:themeFillShade="D9"/>
                </w:tcPr>
                <w:p w14:paraId="536E6D8A" w14:textId="77777777" w:rsidR="005C142D" w:rsidRPr="00FA3F9C" w:rsidRDefault="005C142D" w:rsidP="005355E0">
                  <w:pPr>
                    <w:rPr>
                      <w:rFonts w:ascii="Arial" w:hAnsi="Arial" w:cs="Arial"/>
                      <w:sz w:val="24"/>
                      <w:szCs w:val="24"/>
                    </w:rPr>
                  </w:pPr>
                  <w:r w:rsidRPr="00FA3F9C">
                    <w:rPr>
                      <w:rFonts w:ascii="Arial" w:hAnsi="Arial" w:cs="Arial"/>
                      <w:sz w:val="24"/>
                      <w:szCs w:val="24"/>
                    </w:rPr>
                    <w:t xml:space="preserve">Population </w:t>
                  </w:r>
                </w:p>
              </w:tc>
              <w:tc>
                <w:tcPr>
                  <w:tcW w:w="4960" w:type="dxa"/>
                  <w:gridSpan w:val="4"/>
                  <w:shd w:val="clear" w:color="auto" w:fill="D9D9D9" w:themeFill="background1" w:themeFillShade="D9"/>
                </w:tcPr>
                <w:p w14:paraId="4E6D3594" w14:textId="77777777" w:rsidR="005C142D" w:rsidRPr="00FA3F9C" w:rsidRDefault="005C142D" w:rsidP="005355E0">
                  <w:pPr>
                    <w:rPr>
                      <w:rFonts w:ascii="Arial" w:hAnsi="Arial" w:cs="Arial"/>
                      <w:sz w:val="24"/>
                      <w:szCs w:val="24"/>
                    </w:rPr>
                  </w:pPr>
                  <w:r w:rsidRPr="00FA3F9C">
                    <w:rPr>
                      <w:rFonts w:ascii="Arial" w:hAnsi="Arial" w:cs="Arial"/>
                      <w:sz w:val="24"/>
                      <w:szCs w:val="24"/>
                    </w:rPr>
                    <w:t xml:space="preserve">Key Results </w:t>
                  </w:r>
                </w:p>
              </w:tc>
            </w:tr>
            <w:tr w:rsidR="005C142D" w:rsidRPr="00FA3F9C" w14:paraId="0FF07A82" w14:textId="77777777" w:rsidTr="001137EC">
              <w:trPr>
                <w:trHeight w:val="64"/>
              </w:trPr>
              <w:tc>
                <w:tcPr>
                  <w:tcW w:w="1975" w:type="dxa"/>
                  <w:vMerge w:val="restart"/>
                </w:tcPr>
                <w:p w14:paraId="6746054F" w14:textId="77777777" w:rsidR="005C142D" w:rsidRPr="00FA3F9C" w:rsidRDefault="005C142D" w:rsidP="005355E0">
                  <w:pPr>
                    <w:rPr>
                      <w:rFonts w:ascii="Arial" w:hAnsi="Arial" w:cs="Arial"/>
                      <w:sz w:val="24"/>
                      <w:szCs w:val="24"/>
                    </w:rPr>
                  </w:pPr>
                  <w:r w:rsidRPr="00FA3F9C">
                    <w:rPr>
                      <w:rFonts w:ascii="Arial" w:hAnsi="Arial" w:cs="Arial"/>
                      <w:sz w:val="24"/>
                      <w:szCs w:val="24"/>
                    </w:rPr>
                    <w:t>Study 1 (G1T28-05)</w:t>
                  </w:r>
                  <w:r w:rsidRPr="00FA3F9C">
                    <w:rPr>
                      <w:rFonts w:ascii="Arial" w:hAnsi="Arial" w:cs="Arial"/>
                      <w:sz w:val="24"/>
                      <w:szCs w:val="24"/>
                      <w:vertAlign w:val="superscript"/>
                    </w:rPr>
                    <w:t>1,2</w:t>
                  </w:r>
                  <w:r w:rsidRPr="00FA3F9C">
                    <w:rPr>
                      <w:rFonts w:ascii="Arial" w:hAnsi="Arial" w:cs="Arial"/>
                      <w:sz w:val="24"/>
                      <w:szCs w:val="24"/>
                    </w:rPr>
                    <w:t xml:space="preserve"> </w:t>
                  </w:r>
                </w:p>
                <w:p w14:paraId="0446903A" w14:textId="77777777" w:rsidR="005C142D" w:rsidRPr="00FA3F9C" w:rsidRDefault="005C142D" w:rsidP="005355E0">
                  <w:pPr>
                    <w:rPr>
                      <w:rFonts w:ascii="Arial" w:hAnsi="Arial" w:cs="Arial"/>
                      <w:sz w:val="24"/>
                      <w:szCs w:val="24"/>
                    </w:rPr>
                  </w:pPr>
                  <w:r w:rsidRPr="00FA3F9C">
                    <w:rPr>
                      <w:rFonts w:ascii="Arial" w:hAnsi="Arial" w:cs="Arial"/>
                      <w:sz w:val="24"/>
                      <w:szCs w:val="24"/>
                    </w:rPr>
                    <w:t>NCT03041311</w:t>
                  </w:r>
                </w:p>
                <w:p w14:paraId="2217C375" w14:textId="77777777" w:rsidR="005C142D" w:rsidRPr="00FA3F9C" w:rsidRDefault="005C142D" w:rsidP="005355E0">
                  <w:pPr>
                    <w:rPr>
                      <w:rFonts w:ascii="Arial" w:hAnsi="Arial" w:cs="Arial"/>
                      <w:sz w:val="24"/>
                      <w:szCs w:val="24"/>
                    </w:rPr>
                  </w:pPr>
                </w:p>
                <w:p w14:paraId="04B236CD" w14:textId="77777777" w:rsidR="005C142D" w:rsidRPr="00FA3F9C" w:rsidRDefault="005C142D" w:rsidP="005355E0">
                  <w:pPr>
                    <w:rPr>
                      <w:rFonts w:ascii="Arial" w:hAnsi="Arial" w:cs="Arial"/>
                      <w:sz w:val="24"/>
                      <w:szCs w:val="24"/>
                    </w:rPr>
                  </w:pPr>
                  <w:r w:rsidRPr="00FA3F9C">
                    <w:rPr>
                      <w:rFonts w:ascii="Arial" w:hAnsi="Arial" w:cs="Arial"/>
                      <w:sz w:val="24"/>
                      <w:szCs w:val="24"/>
                    </w:rPr>
                    <w:t xml:space="preserve">randomized (1:1), double-blind, placebo-controlled </w:t>
                  </w:r>
                </w:p>
                <w:p w14:paraId="43ECFB0A" w14:textId="77777777" w:rsidR="005C142D" w:rsidRPr="00FA3F9C" w:rsidRDefault="005C142D" w:rsidP="005355E0">
                  <w:pPr>
                    <w:rPr>
                      <w:rFonts w:ascii="Arial" w:hAnsi="Arial" w:cs="Arial"/>
                      <w:sz w:val="24"/>
                      <w:szCs w:val="24"/>
                    </w:rPr>
                  </w:pPr>
                </w:p>
                <w:p w14:paraId="75677AAF" w14:textId="77777777" w:rsidR="005C142D" w:rsidRPr="00FA3F9C" w:rsidRDefault="005C142D" w:rsidP="005355E0">
                  <w:pPr>
                    <w:rPr>
                      <w:rFonts w:ascii="Arial" w:hAnsi="Arial" w:cs="Arial"/>
                      <w:sz w:val="24"/>
                      <w:szCs w:val="24"/>
                    </w:rPr>
                  </w:pPr>
                  <w:proofErr w:type="spellStart"/>
                  <w:r w:rsidRPr="00FA3F9C">
                    <w:rPr>
                      <w:rFonts w:ascii="Arial" w:hAnsi="Arial" w:cs="Arial"/>
                      <w:sz w:val="24"/>
                      <w:szCs w:val="24"/>
                    </w:rPr>
                    <w:t>trilaciclib</w:t>
                  </w:r>
                  <w:proofErr w:type="spellEnd"/>
                  <w:r w:rsidRPr="00FA3F9C">
                    <w:rPr>
                      <w:rFonts w:ascii="Arial" w:hAnsi="Arial" w:cs="Arial"/>
                      <w:sz w:val="24"/>
                      <w:szCs w:val="24"/>
                    </w:rPr>
                    <w:t xml:space="preserve"> vs placebo given prior to </w:t>
                  </w:r>
                  <w:r w:rsidRPr="00FA3F9C">
                    <w:rPr>
                      <w:rFonts w:ascii="Arial" w:hAnsi="Arial" w:cs="Arial"/>
                      <w:sz w:val="24"/>
                      <w:szCs w:val="24"/>
                    </w:rPr>
                    <w:lastRenderedPageBreak/>
                    <w:t xml:space="preserve">etoposide, carboplatin, and atezolizumab </w:t>
                  </w:r>
                </w:p>
                <w:p w14:paraId="1DDA736D" w14:textId="77777777" w:rsidR="005C142D" w:rsidRPr="00FA3F9C" w:rsidRDefault="005C142D" w:rsidP="005355E0">
                  <w:pPr>
                    <w:rPr>
                      <w:rFonts w:ascii="Arial" w:hAnsi="Arial" w:cs="Arial"/>
                      <w:sz w:val="24"/>
                      <w:szCs w:val="24"/>
                    </w:rPr>
                  </w:pPr>
                </w:p>
                <w:p w14:paraId="608AED25" w14:textId="77777777" w:rsidR="005C142D" w:rsidRPr="00FA3F9C" w:rsidRDefault="005C142D" w:rsidP="005355E0">
                  <w:pPr>
                    <w:rPr>
                      <w:rFonts w:ascii="Arial" w:hAnsi="Arial" w:cs="Arial"/>
                      <w:sz w:val="24"/>
                      <w:szCs w:val="24"/>
                    </w:rPr>
                  </w:pPr>
                  <w:r w:rsidRPr="00FA3F9C">
                    <w:rPr>
                      <w:rFonts w:ascii="Arial" w:hAnsi="Arial" w:cs="Arial"/>
                      <w:sz w:val="24"/>
                      <w:szCs w:val="24"/>
                    </w:rPr>
                    <w:t>During Cycle 1, prophylactic G-CSF and ESA use not permitted. ESAs and prophylactic G-CSF allowed from Cycle 2 onwards as indicated. Therapeutic G-CSF, RBC, and platelet transfusions allowed at any time.</w:t>
                  </w:r>
                </w:p>
              </w:tc>
              <w:tc>
                <w:tcPr>
                  <w:tcW w:w="4140" w:type="dxa"/>
                  <w:vMerge w:val="restart"/>
                </w:tcPr>
                <w:p w14:paraId="4CB88865" w14:textId="77777777" w:rsidR="005C142D" w:rsidRPr="00FA3F9C" w:rsidRDefault="005C142D" w:rsidP="005355E0">
                  <w:pPr>
                    <w:rPr>
                      <w:rFonts w:ascii="Arial" w:hAnsi="Arial" w:cs="Arial"/>
                      <w:sz w:val="24"/>
                      <w:szCs w:val="24"/>
                      <w:u w:val="single"/>
                    </w:rPr>
                  </w:pPr>
                  <w:r w:rsidRPr="00FA3F9C">
                    <w:rPr>
                      <w:rFonts w:ascii="Arial" w:hAnsi="Arial" w:cs="Arial"/>
                      <w:sz w:val="24"/>
                      <w:szCs w:val="24"/>
                      <w:u w:val="single"/>
                    </w:rPr>
                    <w:lastRenderedPageBreak/>
                    <w:t>Key inclusion criteria</w:t>
                  </w:r>
                </w:p>
                <w:p w14:paraId="5E55705E" w14:textId="77777777" w:rsidR="005C142D" w:rsidRPr="00FA3F9C" w:rsidRDefault="005C142D" w:rsidP="005355E0">
                  <w:pPr>
                    <w:rPr>
                      <w:rFonts w:ascii="Arial" w:hAnsi="Arial" w:cs="Arial"/>
                      <w:sz w:val="24"/>
                      <w:szCs w:val="24"/>
                    </w:rPr>
                  </w:pPr>
                  <w:r w:rsidRPr="00FA3F9C">
                    <w:rPr>
                      <w:rFonts w:ascii="Arial" w:hAnsi="Arial" w:cs="Arial"/>
                      <w:sz w:val="24"/>
                      <w:szCs w:val="24"/>
                    </w:rPr>
                    <w:t>-newly diagnosed extensive stage small cell lung cancer (ES-SCLC) not previously treated with chemotherapy</w:t>
                  </w:r>
                </w:p>
                <w:p w14:paraId="0EC4B2A6" w14:textId="77777777" w:rsidR="005C142D" w:rsidRPr="00FA3F9C" w:rsidRDefault="005C142D" w:rsidP="005355E0">
                  <w:pPr>
                    <w:rPr>
                      <w:rFonts w:ascii="Arial" w:hAnsi="Arial" w:cs="Arial"/>
                      <w:sz w:val="24"/>
                      <w:szCs w:val="24"/>
                    </w:rPr>
                  </w:pPr>
                  <w:r w:rsidRPr="00FA3F9C">
                    <w:rPr>
                      <w:rFonts w:ascii="Arial" w:hAnsi="Arial" w:cs="Arial"/>
                      <w:sz w:val="24"/>
                      <w:szCs w:val="24"/>
                    </w:rPr>
                    <w:t xml:space="preserve">-current treatment: etoposide, carboplatin, and atezolizumab </w:t>
                  </w:r>
                </w:p>
                <w:p w14:paraId="2B063E62" w14:textId="77777777" w:rsidR="005C142D" w:rsidRPr="00FA3F9C" w:rsidRDefault="005C142D" w:rsidP="005355E0">
                  <w:pPr>
                    <w:rPr>
                      <w:rFonts w:ascii="Arial" w:hAnsi="Arial" w:cs="Arial"/>
                      <w:sz w:val="24"/>
                      <w:szCs w:val="24"/>
                    </w:rPr>
                  </w:pPr>
                </w:p>
                <w:p w14:paraId="2993F24C" w14:textId="77777777" w:rsidR="005C142D" w:rsidRPr="00FA3F9C" w:rsidRDefault="005C142D" w:rsidP="005355E0">
                  <w:pPr>
                    <w:rPr>
                      <w:rFonts w:ascii="Arial" w:hAnsi="Arial" w:cs="Arial"/>
                      <w:sz w:val="24"/>
                      <w:szCs w:val="24"/>
                      <w:u w:val="single"/>
                    </w:rPr>
                  </w:pPr>
                  <w:r w:rsidRPr="00FA3F9C">
                    <w:rPr>
                      <w:rFonts w:ascii="Arial" w:hAnsi="Arial" w:cs="Arial"/>
                      <w:sz w:val="24"/>
                      <w:szCs w:val="24"/>
                      <w:u w:val="single"/>
                    </w:rPr>
                    <w:t>Population enrolled</w:t>
                  </w:r>
                </w:p>
                <w:p w14:paraId="2BC30608" w14:textId="77777777" w:rsidR="005C142D" w:rsidRPr="00FA3F9C" w:rsidRDefault="005C142D" w:rsidP="005355E0">
                  <w:pPr>
                    <w:rPr>
                      <w:rFonts w:ascii="Arial" w:hAnsi="Arial" w:cs="Arial"/>
                      <w:sz w:val="24"/>
                      <w:szCs w:val="24"/>
                    </w:rPr>
                  </w:pPr>
                  <w:r w:rsidRPr="00FA3F9C">
                    <w:rPr>
                      <w:rFonts w:ascii="Arial" w:hAnsi="Arial" w:cs="Arial"/>
                      <w:sz w:val="24"/>
                      <w:szCs w:val="24"/>
                    </w:rPr>
                    <w:t>N=107</w:t>
                  </w:r>
                </w:p>
                <w:p w14:paraId="73CB3220" w14:textId="77777777" w:rsidR="005C142D" w:rsidRPr="00FA3F9C" w:rsidRDefault="005C142D" w:rsidP="005355E0">
                  <w:pPr>
                    <w:rPr>
                      <w:rFonts w:ascii="Arial" w:hAnsi="Arial" w:cs="Arial"/>
                      <w:sz w:val="24"/>
                      <w:szCs w:val="24"/>
                    </w:rPr>
                  </w:pPr>
                  <w:r w:rsidRPr="00FA3F9C">
                    <w:rPr>
                      <w:rFonts w:ascii="Arial" w:hAnsi="Arial" w:cs="Arial"/>
                      <w:sz w:val="24"/>
                      <w:szCs w:val="24"/>
                    </w:rPr>
                    <w:t xml:space="preserve">Median age: 64 </w:t>
                  </w:r>
                  <w:proofErr w:type="spellStart"/>
                  <w:r w:rsidRPr="00FA3F9C">
                    <w:rPr>
                      <w:rFonts w:ascii="Arial" w:hAnsi="Arial" w:cs="Arial"/>
                      <w:sz w:val="24"/>
                      <w:szCs w:val="24"/>
                    </w:rPr>
                    <w:t>yr</w:t>
                  </w:r>
                  <w:proofErr w:type="spellEnd"/>
                </w:p>
                <w:p w14:paraId="554EF1EE" w14:textId="77777777" w:rsidR="005C142D" w:rsidRPr="00FA3F9C" w:rsidRDefault="005C142D" w:rsidP="005355E0">
                  <w:pPr>
                    <w:rPr>
                      <w:rFonts w:ascii="Arial" w:hAnsi="Arial" w:cs="Arial"/>
                      <w:sz w:val="24"/>
                      <w:szCs w:val="24"/>
                    </w:rPr>
                  </w:pPr>
                  <w:r w:rsidRPr="00FA3F9C">
                    <w:rPr>
                      <w:rFonts w:ascii="Arial" w:hAnsi="Arial" w:cs="Arial"/>
                      <w:sz w:val="24"/>
                      <w:szCs w:val="24"/>
                    </w:rPr>
                    <w:t>Male: 70%</w:t>
                  </w:r>
                </w:p>
                <w:p w14:paraId="50A41E7D" w14:textId="77777777" w:rsidR="005C142D" w:rsidRPr="00FA3F9C" w:rsidRDefault="005C142D" w:rsidP="005355E0">
                  <w:pPr>
                    <w:rPr>
                      <w:rFonts w:ascii="Arial" w:hAnsi="Arial" w:cs="Arial"/>
                      <w:sz w:val="24"/>
                      <w:szCs w:val="24"/>
                    </w:rPr>
                  </w:pPr>
                  <w:r w:rsidRPr="00FA3F9C">
                    <w:rPr>
                      <w:rFonts w:ascii="Arial" w:hAnsi="Arial" w:cs="Arial"/>
                      <w:sz w:val="24"/>
                      <w:szCs w:val="24"/>
                    </w:rPr>
                    <w:lastRenderedPageBreak/>
                    <w:t>White: 97%</w:t>
                  </w:r>
                </w:p>
              </w:tc>
              <w:tc>
                <w:tcPr>
                  <w:tcW w:w="2610" w:type="dxa"/>
                  <w:shd w:val="clear" w:color="auto" w:fill="F2F2F2" w:themeFill="background1" w:themeFillShade="F2"/>
                  <w:vAlign w:val="center"/>
                </w:tcPr>
                <w:p w14:paraId="433271E2" w14:textId="77777777" w:rsidR="005C142D" w:rsidRPr="00FA3F9C" w:rsidRDefault="005C142D" w:rsidP="005355E0">
                  <w:pPr>
                    <w:ind w:left="50"/>
                    <w:rPr>
                      <w:rFonts w:ascii="Arial" w:hAnsi="Arial" w:cs="Arial"/>
                      <w:sz w:val="24"/>
                      <w:szCs w:val="24"/>
                    </w:rPr>
                  </w:pPr>
                </w:p>
              </w:tc>
              <w:tc>
                <w:tcPr>
                  <w:tcW w:w="1175" w:type="dxa"/>
                  <w:shd w:val="clear" w:color="auto" w:fill="F2F2F2" w:themeFill="background1" w:themeFillShade="F2"/>
                  <w:vAlign w:val="center"/>
                </w:tcPr>
                <w:p w14:paraId="0147C817" w14:textId="77777777" w:rsidR="005C142D" w:rsidRPr="00FA3F9C" w:rsidRDefault="005C142D" w:rsidP="005355E0">
                  <w:pPr>
                    <w:rPr>
                      <w:rFonts w:ascii="Arial" w:hAnsi="Arial" w:cs="Arial"/>
                      <w:b/>
                      <w:sz w:val="24"/>
                      <w:szCs w:val="24"/>
                    </w:rPr>
                  </w:pPr>
                  <w:r w:rsidRPr="00FA3F9C">
                    <w:rPr>
                      <w:rFonts w:ascii="Arial" w:hAnsi="Arial" w:cs="Arial"/>
                      <w:b/>
                      <w:sz w:val="24"/>
                      <w:szCs w:val="24"/>
                    </w:rPr>
                    <w:t>Trilaciclib</w:t>
                  </w:r>
                </w:p>
              </w:tc>
              <w:tc>
                <w:tcPr>
                  <w:tcW w:w="1175" w:type="dxa"/>
                  <w:gridSpan w:val="2"/>
                  <w:shd w:val="clear" w:color="auto" w:fill="F2F2F2" w:themeFill="background1" w:themeFillShade="F2"/>
                  <w:vAlign w:val="center"/>
                </w:tcPr>
                <w:p w14:paraId="39D3DDCB" w14:textId="77777777" w:rsidR="005C142D" w:rsidRPr="00FA3F9C" w:rsidRDefault="005C142D" w:rsidP="005355E0">
                  <w:pPr>
                    <w:rPr>
                      <w:rFonts w:ascii="Arial" w:hAnsi="Arial" w:cs="Arial"/>
                      <w:b/>
                      <w:sz w:val="24"/>
                      <w:szCs w:val="24"/>
                    </w:rPr>
                  </w:pPr>
                  <w:r w:rsidRPr="00FA3F9C">
                    <w:rPr>
                      <w:rFonts w:ascii="Arial" w:hAnsi="Arial" w:cs="Arial"/>
                      <w:b/>
                      <w:sz w:val="24"/>
                      <w:szCs w:val="24"/>
                    </w:rPr>
                    <w:t>Placebo</w:t>
                  </w:r>
                </w:p>
              </w:tc>
            </w:tr>
            <w:tr w:rsidR="005C142D" w:rsidRPr="00FA3F9C" w14:paraId="30A9FA1A" w14:textId="77777777" w:rsidTr="001137EC">
              <w:trPr>
                <w:trHeight w:val="445"/>
              </w:trPr>
              <w:tc>
                <w:tcPr>
                  <w:tcW w:w="1975" w:type="dxa"/>
                  <w:vMerge/>
                </w:tcPr>
                <w:p w14:paraId="1798904A" w14:textId="77777777" w:rsidR="005C142D" w:rsidRPr="00FA3F9C" w:rsidRDefault="005C142D" w:rsidP="005355E0">
                  <w:pPr>
                    <w:rPr>
                      <w:rFonts w:ascii="Arial" w:hAnsi="Arial" w:cs="Arial"/>
                      <w:sz w:val="24"/>
                      <w:szCs w:val="24"/>
                    </w:rPr>
                  </w:pPr>
                </w:p>
              </w:tc>
              <w:tc>
                <w:tcPr>
                  <w:tcW w:w="4140" w:type="dxa"/>
                  <w:vMerge/>
                </w:tcPr>
                <w:p w14:paraId="52E43029" w14:textId="77777777" w:rsidR="005C142D" w:rsidRPr="00FA3F9C" w:rsidRDefault="005C142D" w:rsidP="005355E0">
                  <w:pPr>
                    <w:rPr>
                      <w:rFonts w:ascii="Arial" w:hAnsi="Arial" w:cs="Arial"/>
                      <w:sz w:val="24"/>
                      <w:szCs w:val="24"/>
                      <w:u w:val="single"/>
                    </w:rPr>
                  </w:pPr>
                </w:p>
              </w:tc>
              <w:tc>
                <w:tcPr>
                  <w:tcW w:w="2610" w:type="dxa"/>
                  <w:vAlign w:val="center"/>
                </w:tcPr>
                <w:p w14:paraId="17188776" w14:textId="77777777" w:rsidR="005C142D" w:rsidRPr="00FA3F9C" w:rsidRDefault="005C142D" w:rsidP="005355E0">
                  <w:pPr>
                    <w:rPr>
                      <w:rFonts w:ascii="Arial" w:hAnsi="Arial" w:cs="Arial"/>
                      <w:sz w:val="24"/>
                      <w:szCs w:val="24"/>
                    </w:rPr>
                  </w:pPr>
                  <w:r w:rsidRPr="00FA3F9C">
                    <w:rPr>
                      <w:rFonts w:ascii="Arial" w:hAnsi="Arial" w:cs="Arial"/>
                      <w:sz w:val="24"/>
                      <w:szCs w:val="24"/>
                      <w:highlight w:val="yellow"/>
                    </w:rPr>
                    <w:t>Duration of severe neutropenia* in cycle 1 (primary endpoint)</w:t>
                  </w:r>
                </w:p>
              </w:tc>
              <w:tc>
                <w:tcPr>
                  <w:tcW w:w="1175" w:type="dxa"/>
                  <w:vAlign w:val="center"/>
                </w:tcPr>
                <w:p w14:paraId="2311894B" w14:textId="77777777" w:rsidR="005C142D" w:rsidRPr="00FA3F9C" w:rsidRDefault="005C142D" w:rsidP="005355E0">
                  <w:pPr>
                    <w:rPr>
                      <w:rFonts w:ascii="Arial" w:hAnsi="Arial" w:cs="Arial"/>
                      <w:sz w:val="24"/>
                      <w:szCs w:val="24"/>
                    </w:rPr>
                  </w:pPr>
                  <w:r w:rsidRPr="00FA3F9C">
                    <w:rPr>
                      <w:rFonts w:ascii="Arial" w:hAnsi="Arial" w:cs="Arial"/>
                      <w:sz w:val="24"/>
                      <w:szCs w:val="24"/>
                    </w:rPr>
                    <w:t>0 days</w:t>
                  </w:r>
                </w:p>
              </w:tc>
              <w:tc>
                <w:tcPr>
                  <w:tcW w:w="1175" w:type="dxa"/>
                  <w:gridSpan w:val="2"/>
                  <w:vAlign w:val="center"/>
                </w:tcPr>
                <w:p w14:paraId="72CCCA66" w14:textId="77777777" w:rsidR="005C142D" w:rsidRPr="00FA3F9C" w:rsidRDefault="005C142D" w:rsidP="005355E0">
                  <w:pPr>
                    <w:rPr>
                      <w:rFonts w:ascii="Arial" w:hAnsi="Arial" w:cs="Arial"/>
                      <w:sz w:val="24"/>
                      <w:szCs w:val="24"/>
                    </w:rPr>
                  </w:pPr>
                  <w:r w:rsidRPr="00FA3F9C">
                    <w:rPr>
                      <w:rFonts w:ascii="Arial" w:hAnsi="Arial" w:cs="Arial"/>
                      <w:sz w:val="24"/>
                      <w:szCs w:val="24"/>
                    </w:rPr>
                    <w:t>4 days</w:t>
                  </w:r>
                </w:p>
                <w:p w14:paraId="357DA830" w14:textId="77777777" w:rsidR="005C142D" w:rsidRPr="00FA3F9C" w:rsidRDefault="005C142D" w:rsidP="005355E0">
                  <w:pPr>
                    <w:rPr>
                      <w:rFonts w:ascii="Arial" w:hAnsi="Arial" w:cs="Arial"/>
                      <w:sz w:val="24"/>
                      <w:szCs w:val="24"/>
                    </w:rPr>
                  </w:pPr>
                  <w:r w:rsidRPr="00FA3F9C">
                    <w:rPr>
                      <w:rFonts w:ascii="Arial" w:hAnsi="Arial" w:cs="Arial"/>
                      <w:sz w:val="24"/>
                      <w:szCs w:val="24"/>
                    </w:rPr>
                    <w:t>(p&lt;0.0001)</w:t>
                  </w:r>
                </w:p>
              </w:tc>
            </w:tr>
            <w:tr w:rsidR="005C142D" w:rsidRPr="00FA3F9C" w14:paraId="28BF6649" w14:textId="77777777" w:rsidTr="001137EC">
              <w:trPr>
                <w:trHeight w:val="436"/>
              </w:trPr>
              <w:tc>
                <w:tcPr>
                  <w:tcW w:w="1975" w:type="dxa"/>
                  <w:vMerge/>
                </w:tcPr>
                <w:p w14:paraId="03EC87EC" w14:textId="77777777" w:rsidR="005C142D" w:rsidRPr="00FA3F9C" w:rsidRDefault="005C142D" w:rsidP="005355E0">
                  <w:pPr>
                    <w:rPr>
                      <w:rFonts w:ascii="Arial" w:hAnsi="Arial" w:cs="Arial"/>
                      <w:sz w:val="24"/>
                      <w:szCs w:val="24"/>
                    </w:rPr>
                  </w:pPr>
                </w:p>
              </w:tc>
              <w:tc>
                <w:tcPr>
                  <w:tcW w:w="4140" w:type="dxa"/>
                  <w:vMerge/>
                </w:tcPr>
                <w:p w14:paraId="24271F5C" w14:textId="77777777" w:rsidR="005C142D" w:rsidRPr="00FA3F9C" w:rsidRDefault="005C142D" w:rsidP="005355E0">
                  <w:pPr>
                    <w:rPr>
                      <w:rFonts w:ascii="Arial" w:hAnsi="Arial" w:cs="Arial"/>
                      <w:sz w:val="24"/>
                      <w:szCs w:val="24"/>
                      <w:u w:val="single"/>
                    </w:rPr>
                  </w:pPr>
                </w:p>
              </w:tc>
              <w:tc>
                <w:tcPr>
                  <w:tcW w:w="2610" w:type="dxa"/>
                  <w:vAlign w:val="center"/>
                </w:tcPr>
                <w:p w14:paraId="0BEACFDC" w14:textId="77777777" w:rsidR="005C142D" w:rsidRPr="00FA3F9C" w:rsidRDefault="005C142D" w:rsidP="005355E0">
                  <w:pPr>
                    <w:rPr>
                      <w:rFonts w:ascii="Arial" w:hAnsi="Arial" w:cs="Arial"/>
                      <w:sz w:val="24"/>
                      <w:szCs w:val="24"/>
                    </w:rPr>
                  </w:pPr>
                  <w:r w:rsidRPr="00FA3F9C">
                    <w:rPr>
                      <w:rFonts w:ascii="Arial" w:hAnsi="Arial" w:cs="Arial"/>
                      <w:sz w:val="24"/>
                      <w:szCs w:val="24"/>
                    </w:rPr>
                    <w:t>% of patients with severe neutropenia</w:t>
                  </w:r>
                </w:p>
              </w:tc>
              <w:tc>
                <w:tcPr>
                  <w:tcW w:w="1175" w:type="dxa"/>
                  <w:vAlign w:val="center"/>
                </w:tcPr>
                <w:p w14:paraId="4A34F0AE" w14:textId="77777777" w:rsidR="005C142D" w:rsidRPr="00FA3F9C" w:rsidRDefault="005C142D" w:rsidP="005355E0">
                  <w:pPr>
                    <w:rPr>
                      <w:rFonts w:ascii="Arial" w:hAnsi="Arial" w:cs="Arial"/>
                      <w:sz w:val="24"/>
                      <w:szCs w:val="24"/>
                    </w:rPr>
                  </w:pPr>
                  <w:r w:rsidRPr="00FA3F9C">
                    <w:rPr>
                      <w:rFonts w:ascii="Arial" w:hAnsi="Arial" w:cs="Arial"/>
                      <w:sz w:val="24"/>
                      <w:szCs w:val="24"/>
                    </w:rPr>
                    <w:t>1.9%</w:t>
                  </w:r>
                </w:p>
              </w:tc>
              <w:tc>
                <w:tcPr>
                  <w:tcW w:w="1175" w:type="dxa"/>
                  <w:gridSpan w:val="2"/>
                  <w:vAlign w:val="center"/>
                </w:tcPr>
                <w:p w14:paraId="6C02212B" w14:textId="77777777" w:rsidR="005C142D" w:rsidRPr="00FA3F9C" w:rsidRDefault="005C142D" w:rsidP="005355E0">
                  <w:pPr>
                    <w:rPr>
                      <w:rFonts w:ascii="Arial" w:hAnsi="Arial" w:cs="Arial"/>
                      <w:sz w:val="24"/>
                      <w:szCs w:val="24"/>
                    </w:rPr>
                  </w:pPr>
                  <w:r w:rsidRPr="00FA3F9C">
                    <w:rPr>
                      <w:rFonts w:ascii="Arial" w:hAnsi="Arial" w:cs="Arial"/>
                      <w:sz w:val="24"/>
                      <w:szCs w:val="24"/>
                    </w:rPr>
                    <w:t>49.1% (p&lt;0.0001)</w:t>
                  </w:r>
                </w:p>
              </w:tc>
            </w:tr>
            <w:tr w:rsidR="005C142D" w:rsidRPr="00FA3F9C" w14:paraId="6157FC26" w14:textId="77777777" w:rsidTr="001137EC">
              <w:trPr>
                <w:trHeight w:val="350"/>
              </w:trPr>
              <w:tc>
                <w:tcPr>
                  <w:tcW w:w="1975" w:type="dxa"/>
                  <w:vMerge/>
                </w:tcPr>
                <w:p w14:paraId="51C3B524" w14:textId="77777777" w:rsidR="005C142D" w:rsidRPr="00FA3F9C" w:rsidRDefault="005C142D" w:rsidP="005355E0">
                  <w:pPr>
                    <w:rPr>
                      <w:rFonts w:ascii="Arial" w:hAnsi="Arial" w:cs="Arial"/>
                      <w:sz w:val="24"/>
                      <w:szCs w:val="24"/>
                    </w:rPr>
                  </w:pPr>
                </w:p>
              </w:tc>
              <w:tc>
                <w:tcPr>
                  <w:tcW w:w="4140" w:type="dxa"/>
                  <w:vMerge/>
                </w:tcPr>
                <w:p w14:paraId="5C090FE0" w14:textId="77777777" w:rsidR="005C142D" w:rsidRPr="00FA3F9C" w:rsidRDefault="005C142D" w:rsidP="005355E0">
                  <w:pPr>
                    <w:rPr>
                      <w:rFonts w:ascii="Arial" w:hAnsi="Arial" w:cs="Arial"/>
                      <w:sz w:val="24"/>
                      <w:szCs w:val="24"/>
                      <w:u w:val="single"/>
                    </w:rPr>
                  </w:pPr>
                </w:p>
              </w:tc>
              <w:tc>
                <w:tcPr>
                  <w:tcW w:w="2610" w:type="dxa"/>
                  <w:vAlign w:val="center"/>
                </w:tcPr>
                <w:p w14:paraId="62B2F07F" w14:textId="77777777" w:rsidR="005C142D" w:rsidRPr="00FA3F9C" w:rsidRDefault="005C142D" w:rsidP="005355E0">
                  <w:pPr>
                    <w:rPr>
                      <w:rFonts w:ascii="Arial" w:hAnsi="Arial" w:cs="Arial"/>
                      <w:sz w:val="24"/>
                      <w:szCs w:val="24"/>
                    </w:rPr>
                  </w:pPr>
                  <w:r w:rsidRPr="00FA3F9C">
                    <w:rPr>
                      <w:rFonts w:ascii="Arial" w:hAnsi="Arial" w:cs="Arial"/>
                      <w:sz w:val="24"/>
                      <w:szCs w:val="24"/>
                    </w:rPr>
                    <w:t># all cause dose reduction  of chemo (event rate per cycle)</w:t>
                  </w:r>
                </w:p>
              </w:tc>
              <w:tc>
                <w:tcPr>
                  <w:tcW w:w="1175" w:type="dxa"/>
                  <w:vAlign w:val="center"/>
                </w:tcPr>
                <w:p w14:paraId="05C1161A" w14:textId="77777777" w:rsidR="005C142D" w:rsidRPr="00FA3F9C" w:rsidRDefault="005C142D" w:rsidP="005355E0">
                  <w:pPr>
                    <w:rPr>
                      <w:rFonts w:ascii="Arial" w:hAnsi="Arial" w:cs="Arial"/>
                      <w:sz w:val="24"/>
                      <w:szCs w:val="24"/>
                    </w:rPr>
                  </w:pPr>
                  <w:r w:rsidRPr="00FA3F9C">
                    <w:rPr>
                      <w:rFonts w:ascii="Arial" w:hAnsi="Arial" w:cs="Arial"/>
                      <w:sz w:val="24"/>
                      <w:szCs w:val="24"/>
                    </w:rPr>
                    <w:t>0.021</w:t>
                  </w:r>
                </w:p>
              </w:tc>
              <w:tc>
                <w:tcPr>
                  <w:tcW w:w="1175" w:type="dxa"/>
                  <w:gridSpan w:val="2"/>
                  <w:vAlign w:val="center"/>
                </w:tcPr>
                <w:p w14:paraId="5B798E61" w14:textId="77777777" w:rsidR="005C142D" w:rsidRPr="00FA3F9C" w:rsidRDefault="005C142D" w:rsidP="005355E0">
                  <w:pPr>
                    <w:rPr>
                      <w:rFonts w:ascii="Arial" w:hAnsi="Arial" w:cs="Arial"/>
                      <w:sz w:val="24"/>
                      <w:szCs w:val="24"/>
                    </w:rPr>
                  </w:pPr>
                  <w:r w:rsidRPr="00FA3F9C">
                    <w:rPr>
                      <w:rFonts w:ascii="Arial" w:hAnsi="Arial" w:cs="Arial"/>
                      <w:sz w:val="24"/>
                      <w:szCs w:val="24"/>
                    </w:rPr>
                    <w:t>0.085 (p=0.0195)</w:t>
                  </w:r>
                </w:p>
              </w:tc>
            </w:tr>
            <w:tr w:rsidR="005C142D" w:rsidRPr="00FA3F9C" w14:paraId="35816188" w14:textId="77777777" w:rsidTr="001137EC">
              <w:trPr>
                <w:trHeight w:val="350"/>
              </w:trPr>
              <w:tc>
                <w:tcPr>
                  <w:tcW w:w="1975" w:type="dxa"/>
                  <w:vMerge/>
                </w:tcPr>
                <w:p w14:paraId="077120A4" w14:textId="77777777" w:rsidR="005C142D" w:rsidRPr="00FA3F9C" w:rsidRDefault="005C142D" w:rsidP="005355E0">
                  <w:pPr>
                    <w:rPr>
                      <w:rFonts w:ascii="Arial" w:hAnsi="Arial" w:cs="Arial"/>
                      <w:sz w:val="24"/>
                      <w:szCs w:val="24"/>
                    </w:rPr>
                  </w:pPr>
                </w:p>
              </w:tc>
              <w:tc>
                <w:tcPr>
                  <w:tcW w:w="4140" w:type="dxa"/>
                  <w:vMerge/>
                </w:tcPr>
                <w:p w14:paraId="19FDD719" w14:textId="77777777" w:rsidR="005C142D" w:rsidRPr="00FA3F9C" w:rsidRDefault="005C142D" w:rsidP="005355E0">
                  <w:pPr>
                    <w:rPr>
                      <w:rFonts w:ascii="Arial" w:hAnsi="Arial" w:cs="Arial"/>
                      <w:sz w:val="24"/>
                      <w:szCs w:val="24"/>
                      <w:u w:val="single"/>
                    </w:rPr>
                  </w:pPr>
                </w:p>
              </w:tc>
              <w:tc>
                <w:tcPr>
                  <w:tcW w:w="2610" w:type="dxa"/>
                  <w:vAlign w:val="center"/>
                </w:tcPr>
                <w:p w14:paraId="3A31914E" w14:textId="77777777" w:rsidR="005C142D" w:rsidRPr="00FA3F9C" w:rsidRDefault="005C142D" w:rsidP="005355E0">
                  <w:pPr>
                    <w:rPr>
                      <w:rFonts w:ascii="Arial" w:hAnsi="Arial" w:cs="Arial"/>
                      <w:sz w:val="24"/>
                      <w:szCs w:val="24"/>
                    </w:rPr>
                  </w:pPr>
                  <w:r w:rsidRPr="00FA3F9C">
                    <w:rPr>
                      <w:rFonts w:ascii="Arial" w:hAnsi="Arial" w:cs="Arial"/>
                      <w:sz w:val="24"/>
                      <w:szCs w:val="24"/>
                      <w:highlight w:val="yellow"/>
                    </w:rPr>
                    <w:t>% of patients with RBC transfusion on/after 5 weeks</w:t>
                  </w:r>
                </w:p>
              </w:tc>
              <w:tc>
                <w:tcPr>
                  <w:tcW w:w="1175" w:type="dxa"/>
                  <w:vAlign w:val="center"/>
                </w:tcPr>
                <w:p w14:paraId="1AA03228" w14:textId="77777777" w:rsidR="005C142D" w:rsidRPr="00FA3F9C" w:rsidRDefault="005C142D" w:rsidP="005355E0">
                  <w:pPr>
                    <w:rPr>
                      <w:rFonts w:ascii="Arial" w:hAnsi="Arial" w:cs="Arial"/>
                      <w:sz w:val="24"/>
                      <w:szCs w:val="24"/>
                    </w:rPr>
                  </w:pPr>
                  <w:r w:rsidRPr="00FA3F9C">
                    <w:rPr>
                      <w:rFonts w:ascii="Arial" w:hAnsi="Arial" w:cs="Arial"/>
                      <w:sz w:val="24"/>
                      <w:szCs w:val="24"/>
                    </w:rPr>
                    <w:t>13%</w:t>
                  </w:r>
                </w:p>
              </w:tc>
              <w:tc>
                <w:tcPr>
                  <w:tcW w:w="1175" w:type="dxa"/>
                  <w:gridSpan w:val="2"/>
                  <w:vAlign w:val="center"/>
                </w:tcPr>
                <w:p w14:paraId="0EB0F3B0" w14:textId="77777777" w:rsidR="005C142D" w:rsidRPr="00FA3F9C" w:rsidRDefault="005C142D" w:rsidP="005355E0">
                  <w:pPr>
                    <w:rPr>
                      <w:rFonts w:ascii="Arial" w:hAnsi="Arial" w:cs="Arial"/>
                      <w:sz w:val="24"/>
                      <w:szCs w:val="24"/>
                    </w:rPr>
                  </w:pPr>
                  <w:r w:rsidRPr="00FA3F9C">
                    <w:rPr>
                      <w:rFonts w:ascii="Arial" w:hAnsi="Arial" w:cs="Arial"/>
                      <w:sz w:val="24"/>
                      <w:szCs w:val="24"/>
                    </w:rPr>
                    <w:t xml:space="preserve">20.8% </w:t>
                  </w:r>
                </w:p>
              </w:tc>
            </w:tr>
            <w:tr w:rsidR="005C142D" w:rsidRPr="00FA3F9C" w14:paraId="1CB04B46" w14:textId="77777777" w:rsidTr="001137EC">
              <w:trPr>
                <w:trHeight w:val="326"/>
              </w:trPr>
              <w:tc>
                <w:tcPr>
                  <w:tcW w:w="1975" w:type="dxa"/>
                  <w:vMerge/>
                </w:tcPr>
                <w:p w14:paraId="3F8779E5" w14:textId="77777777" w:rsidR="005C142D" w:rsidRPr="00FA3F9C" w:rsidRDefault="005C142D" w:rsidP="005355E0">
                  <w:pPr>
                    <w:rPr>
                      <w:rFonts w:ascii="Arial" w:hAnsi="Arial" w:cs="Arial"/>
                      <w:sz w:val="24"/>
                      <w:szCs w:val="24"/>
                    </w:rPr>
                  </w:pPr>
                </w:p>
              </w:tc>
              <w:tc>
                <w:tcPr>
                  <w:tcW w:w="4140" w:type="dxa"/>
                  <w:vMerge/>
                </w:tcPr>
                <w:p w14:paraId="4B5C17B7" w14:textId="77777777" w:rsidR="005C142D" w:rsidRPr="00FA3F9C" w:rsidRDefault="005C142D" w:rsidP="005355E0">
                  <w:pPr>
                    <w:rPr>
                      <w:rFonts w:ascii="Arial" w:hAnsi="Arial" w:cs="Arial"/>
                      <w:sz w:val="24"/>
                      <w:szCs w:val="24"/>
                      <w:u w:val="single"/>
                    </w:rPr>
                  </w:pPr>
                </w:p>
              </w:tc>
              <w:tc>
                <w:tcPr>
                  <w:tcW w:w="2610" w:type="dxa"/>
                  <w:vAlign w:val="center"/>
                </w:tcPr>
                <w:p w14:paraId="270692EF" w14:textId="77777777" w:rsidR="005C142D" w:rsidRPr="00FA3F9C" w:rsidRDefault="005C142D" w:rsidP="005355E0">
                  <w:pPr>
                    <w:rPr>
                      <w:rFonts w:ascii="Arial" w:hAnsi="Arial" w:cs="Arial"/>
                      <w:sz w:val="24"/>
                      <w:szCs w:val="24"/>
                    </w:rPr>
                  </w:pPr>
                  <w:r w:rsidRPr="00FA3F9C">
                    <w:rPr>
                      <w:rFonts w:ascii="Arial" w:hAnsi="Arial" w:cs="Arial"/>
                      <w:sz w:val="24"/>
                      <w:szCs w:val="24"/>
                      <w:highlight w:val="yellow"/>
                    </w:rPr>
                    <w:t>% of patients with G-CSF administration</w:t>
                  </w:r>
                </w:p>
              </w:tc>
              <w:tc>
                <w:tcPr>
                  <w:tcW w:w="1175" w:type="dxa"/>
                  <w:vAlign w:val="center"/>
                </w:tcPr>
                <w:p w14:paraId="423FB14B" w14:textId="77777777" w:rsidR="005C142D" w:rsidRPr="00FA3F9C" w:rsidRDefault="005C142D" w:rsidP="005355E0">
                  <w:pPr>
                    <w:rPr>
                      <w:rFonts w:ascii="Arial" w:hAnsi="Arial" w:cs="Arial"/>
                      <w:sz w:val="24"/>
                      <w:szCs w:val="24"/>
                    </w:rPr>
                  </w:pPr>
                  <w:r w:rsidRPr="00FA3F9C">
                    <w:rPr>
                      <w:rFonts w:ascii="Arial" w:hAnsi="Arial" w:cs="Arial"/>
                      <w:sz w:val="24"/>
                      <w:szCs w:val="24"/>
                    </w:rPr>
                    <w:t>29.6%</w:t>
                  </w:r>
                </w:p>
              </w:tc>
              <w:tc>
                <w:tcPr>
                  <w:tcW w:w="1175" w:type="dxa"/>
                  <w:gridSpan w:val="2"/>
                  <w:vAlign w:val="center"/>
                </w:tcPr>
                <w:p w14:paraId="20815540" w14:textId="77777777" w:rsidR="005C142D" w:rsidRPr="00FA3F9C" w:rsidRDefault="005C142D" w:rsidP="005355E0">
                  <w:pPr>
                    <w:rPr>
                      <w:rFonts w:ascii="Arial" w:hAnsi="Arial" w:cs="Arial"/>
                      <w:sz w:val="24"/>
                      <w:szCs w:val="24"/>
                    </w:rPr>
                  </w:pPr>
                  <w:r w:rsidRPr="00FA3F9C">
                    <w:rPr>
                      <w:rFonts w:ascii="Arial" w:hAnsi="Arial" w:cs="Arial"/>
                      <w:sz w:val="24"/>
                      <w:szCs w:val="24"/>
                    </w:rPr>
                    <w:t>47.2%</w:t>
                  </w:r>
                </w:p>
              </w:tc>
            </w:tr>
            <w:tr w:rsidR="005C142D" w:rsidRPr="00FA3F9C" w14:paraId="75506E6F" w14:textId="77777777" w:rsidTr="001137EC">
              <w:trPr>
                <w:trHeight w:val="326"/>
              </w:trPr>
              <w:tc>
                <w:tcPr>
                  <w:tcW w:w="1975" w:type="dxa"/>
                  <w:vMerge/>
                </w:tcPr>
                <w:p w14:paraId="324479CC" w14:textId="77777777" w:rsidR="005C142D" w:rsidRPr="00FA3F9C" w:rsidRDefault="005C142D" w:rsidP="005355E0">
                  <w:pPr>
                    <w:rPr>
                      <w:rFonts w:ascii="Arial" w:hAnsi="Arial" w:cs="Arial"/>
                      <w:sz w:val="24"/>
                      <w:szCs w:val="24"/>
                    </w:rPr>
                  </w:pPr>
                </w:p>
              </w:tc>
              <w:tc>
                <w:tcPr>
                  <w:tcW w:w="4140" w:type="dxa"/>
                  <w:vMerge/>
                </w:tcPr>
                <w:p w14:paraId="080157E3" w14:textId="77777777" w:rsidR="005C142D" w:rsidRPr="00FA3F9C" w:rsidRDefault="005C142D" w:rsidP="005355E0">
                  <w:pPr>
                    <w:rPr>
                      <w:rFonts w:ascii="Arial" w:hAnsi="Arial" w:cs="Arial"/>
                      <w:sz w:val="24"/>
                      <w:szCs w:val="24"/>
                      <w:u w:val="single"/>
                    </w:rPr>
                  </w:pPr>
                </w:p>
              </w:tc>
              <w:tc>
                <w:tcPr>
                  <w:tcW w:w="2610" w:type="dxa"/>
                  <w:vAlign w:val="center"/>
                </w:tcPr>
                <w:p w14:paraId="36954B99" w14:textId="77777777" w:rsidR="005C142D" w:rsidRPr="00FA3F9C" w:rsidRDefault="005C142D" w:rsidP="005355E0">
                  <w:pPr>
                    <w:rPr>
                      <w:rFonts w:ascii="Arial" w:hAnsi="Arial" w:cs="Arial"/>
                      <w:sz w:val="24"/>
                      <w:szCs w:val="24"/>
                      <w:highlight w:val="yellow"/>
                    </w:rPr>
                  </w:pPr>
                  <w:r w:rsidRPr="00FA3F9C">
                    <w:rPr>
                      <w:rFonts w:ascii="Arial" w:hAnsi="Arial" w:cs="Arial"/>
                      <w:sz w:val="24"/>
                      <w:szCs w:val="24"/>
                      <w:highlight w:val="yellow"/>
                    </w:rPr>
                    <w:t>% with febrile neutropenia</w:t>
                  </w:r>
                </w:p>
              </w:tc>
              <w:tc>
                <w:tcPr>
                  <w:tcW w:w="1175" w:type="dxa"/>
                  <w:vAlign w:val="center"/>
                </w:tcPr>
                <w:p w14:paraId="188205E6" w14:textId="77777777" w:rsidR="005C142D" w:rsidRPr="00FA3F9C" w:rsidRDefault="005C142D" w:rsidP="005355E0">
                  <w:pPr>
                    <w:rPr>
                      <w:rFonts w:ascii="Arial" w:hAnsi="Arial" w:cs="Arial"/>
                      <w:sz w:val="24"/>
                      <w:szCs w:val="24"/>
                    </w:rPr>
                  </w:pPr>
                  <w:r w:rsidRPr="00FA3F9C">
                    <w:rPr>
                      <w:rFonts w:ascii="Arial" w:hAnsi="Arial" w:cs="Arial"/>
                      <w:sz w:val="24"/>
                      <w:szCs w:val="24"/>
                    </w:rPr>
                    <w:t>1.9%</w:t>
                  </w:r>
                </w:p>
              </w:tc>
              <w:tc>
                <w:tcPr>
                  <w:tcW w:w="1175" w:type="dxa"/>
                  <w:gridSpan w:val="2"/>
                  <w:vAlign w:val="center"/>
                </w:tcPr>
                <w:p w14:paraId="4F290FD0" w14:textId="77777777" w:rsidR="005C142D" w:rsidRPr="00FA3F9C" w:rsidRDefault="005C142D" w:rsidP="005355E0">
                  <w:pPr>
                    <w:rPr>
                      <w:rFonts w:ascii="Arial" w:hAnsi="Arial" w:cs="Arial"/>
                      <w:sz w:val="24"/>
                      <w:szCs w:val="24"/>
                    </w:rPr>
                  </w:pPr>
                  <w:r w:rsidRPr="00FA3F9C">
                    <w:rPr>
                      <w:rFonts w:ascii="Arial" w:hAnsi="Arial" w:cs="Arial"/>
                      <w:sz w:val="24"/>
                      <w:szCs w:val="24"/>
                    </w:rPr>
                    <w:t>5.7%</w:t>
                  </w:r>
                </w:p>
              </w:tc>
            </w:tr>
            <w:tr w:rsidR="005C142D" w:rsidRPr="00FA3F9C" w14:paraId="38DE7D22" w14:textId="77777777" w:rsidTr="001137EC">
              <w:trPr>
                <w:trHeight w:val="326"/>
              </w:trPr>
              <w:tc>
                <w:tcPr>
                  <w:tcW w:w="1975" w:type="dxa"/>
                  <w:vMerge/>
                </w:tcPr>
                <w:p w14:paraId="29A98A4B" w14:textId="77777777" w:rsidR="005C142D" w:rsidRPr="00FA3F9C" w:rsidRDefault="005C142D" w:rsidP="005355E0">
                  <w:pPr>
                    <w:rPr>
                      <w:rFonts w:ascii="Arial" w:hAnsi="Arial" w:cs="Arial"/>
                      <w:sz w:val="24"/>
                      <w:szCs w:val="24"/>
                    </w:rPr>
                  </w:pPr>
                </w:p>
              </w:tc>
              <w:tc>
                <w:tcPr>
                  <w:tcW w:w="4140" w:type="dxa"/>
                  <w:vMerge/>
                </w:tcPr>
                <w:p w14:paraId="682B1D5C" w14:textId="77777777" w:rsidR="005C142D" w:rsidRPr="00FA3F9C" w:rsidRDefault="005C142D" w:rsidP="005355E0">
                  <w:pPr>
                    <w:rPr>
                      <w:rFonts w:ascii="Arial" w:hAnsi="Arial" w:cs="Arial"/>
                      <w:sz w:val="24"/>
                      <w:szCs w:val="24"/>
                      <w:u w:val="single"/>
                    </w:rPr>
                  </w:pPr>
                </w:p>
              </w:tc>
              <w:tc>
                <w:tcPr>
                  <w:tcW w:w="2610" w:type="dxa"/>
                  <w:vAlign w:val="center"/>
                </w:tcPr>
                <w:p w14:paraId="59124283" w14:textId="77777777" w:rsidR="005C142D" w:rsidRPr="00FA3F9C" w:rsidRDefault="005C142D" w:rsidP="005355E0">
                  <w:pPr>
                    <w:rPr>
                      <w:rFonts w:ascii="Arial" w:hAnsi="Arial" w:cs="Arial"/>
                      <w:sz w:val="24"/>
                      <w:szCs w:val="24"/>
                      <w:highlight w:val="yellow"/>
                    </w:rPr>
                  </w:pPr>
                  <w:r w:rsidRPr="00FA3F9C">
                    <w:rPr>
                      <w:rFonts w:ascii="Arial" w:hAnsi="Arial" w:cs="Arial"/>
                      <w:sz w:val="24"/>
                      <w:szCs w:val="24"/>
                      <w:highlight w:val="yellow"/>
                    </w:rPr>
                    <w:t>Hospitalization for chemo-induced myelosuppression or sepsis</w:t>
                  </w:r>
                </w:p>
              </w:tc>
              <w:tc>
                <w:tcPr>
                  <w:tcW w:w="1175" w:type="dxa"/>
                  <w:vAlign w:val="center"/>
                </w:tcPr>
                <w:p w14:paraId="2C8E919A" w14:textId="77777777" w:rsidR="005C142D" w:rsidRPr="00FA3F9C" w:rsidRDefault="005C142D" w:rsidP="005355E0">
                  <w:pPr>
                    <w:rPr>
                      <w:rFonts w:ascii="Arial" w:hAnsi="Arial" w:cs="Arial"/>
                      <w:sz w:val="24"/>
                      <w:szCs w:val="24"/>
                    </w:rPr>
                  </w:pPr>
                  <w:r w:rsidRPr="00FA3F9C">
                    <w:rPr>
                      <w:rFonts w:ascii="Arial" w:hAnsi="Arial" w:cs="Arial"/>
                      <w:sz w:val="24"/>
                      <w:szCs w:val="24"/>
                    </w:rPr>
                    <w:t>3.8%</w:t>
                  </w:r>
                </w:p>
              </w:tc>
              <w:tc>
                <w:tcPr>
                  <w:tcW w:w="1175" w:type="dxa"/>
                  <w:gridSpan w:val="2"/>
                  <w:vAlign w:val="center"/>
                </w:tcPr>
                <w:p w14:paraId="74749E01" w14:textId="77777777" w:rsidR="005C142D" w:rsidRPr="00FA3F9C" w:rsidRDefault="005C142D" w:rsidP="005355E0">
                  <w:pPr>
                    <w:rPr>
                      <w:rFonts w:ascii="Arial" w:hAnsi="Arial" w:cs="Arial"/>
                      <w:sz w:val="24"/>
                      <w:szCs w:val="24"/>
                    </w:rPr>
                  </w:pPr>
                  <w:r w:rsidRPr="00FA3F9C">
                    <w:rPr>
                      <w:rFonts w:ascii="Arial" w:hAnsi="Arial" w:cs="Arial"/>
                      <w:sz w:val="24"/>
                      <w:szCs w:val="24"/>
                    </w:rPr>
                    <w:t>11.3%</w:t>
                  </w:r>
                </w:p>
              </w:tc>
            </w:tr>
            <w:tr w:rsidR="005C142D" w:rsidRPr="00FA3F9C" w14:paraId="39126A44" w14:textId="77777777" w:rsidTr="001137EC">
              <w:trPr>
                <w:trHeight w:val="60"/>
              </w:trPr>
              <w:tc>
                <w:tcPr>
                  <w:tcW w:w="1975" w:type="dxa"/>
                  <w:vMerge/>
                </w:tcPr>
                <w:p w14:paraId="4A734310" w14:textId="77777777" w:rsidR="005C142D" w:rsidRPr="00FA3F9C" w:rsidRDefault="005C142D" w:rsidP="005355E0">
                  <w:pPr>
                    <w:rPr>
                      <w:rFonts w:ascii="Arial" w:hAnsi="Arial" w:cs="Arial"/>
                      <w:sz w:val="24"/>
                      <w:szCs w:val="24"/>
                    </w:rPr>
                  </w:pPr>
                </w:p>
              </w:tc>
              <w:tc>
                <w:tcPr>
                  <w:tcW w:w="4140" w:type="dxa"/>
                  <w:vMerge/>
                </w:tcPr>
                <w:p w14:paraId="42E0A21E" w14:textId="77777777" w:rsidR="005C142D" w:rsidRPr="00FA3F9C" w:rsidRDefault="005C142D" w:rsidP="005355E0">
                  <w:pPr>
                    <w:rPr>
                      <w:rFonts w:ascii="Arial" w:hAnsi="Arial" w:cs="Arial"/>
                      <w:sz w:val="24"/>
                      <w:szCs w:val="24"/>
                      <w:u w:val="single"/>
                    </w:rPr>
                  </w:pPr>
                </w:p>
              </w:tc>
              <w:tc>
                <w:tcPr>
                  <w:tcW w:w="4960" w:type="dxa"/>
                  <w:gridSpan w:val="4"/>
                  <w:shd w:val="clear" w:color="auto" w:fill="F2F2F2" w:themeFill="background1" w:themeFillShade="F2"/>
                  <w:vAlign w:val="center"/>
                </w:tcPr>
                <w:p w14:paraId="3EB8228E" w14:textId="77777777" w:rsidR="005C142D" w:rsidRPr="00FA3F9C" w:rsidRDefault="005C142D" w:rsidP="005355E0">
                  <w:pPr>
                    <w:rPr>
                      <w:rFonts w:ascii="Arial" w:hAnsi="Arial" w:cs="Arial"/>
                      <w:sz w:val="24"/>
                      <w:szCs w:val="24"/>
                    </w:rPr>
                  </w:pPr>
                  <w:r w:rsidRPr="00FA3F9C">
                    <w:rPr>
                      <w:rFonts w:ascii="Arial" w:hAnsi="Arial" w:cs="Arial"/>
                      <w:sz w:val="24"/>
                      <w:szCs w:val="24"/>
                    </w:rPr>
                    <w:t xml:space="preserve">Quality of life assessments </w:t>
                  </w:r>
                </w:p>
              </w:tc>
            </w:tr>
            <w:tr w:rsidR="005C142D" w:rsidRPr="00FA3F9C" w14:paraId="16534630" w14:textId="77777777" w:rsidTr="001137EC">
              <w:trPr>
                <w:trHeight w:val="60"/>
              </w:trPr>
              <w:tc>
                <w:tcPr>
                  <w:tcW w:w="1975" w:type="dxa"/>
                  <w:vMerge/>
                </w:tcPr>
                <w:p w14:paraId="128393E3" w14:textId="77777777" w:rsidR="005C142D" w:rsidRPr="00FA3F9C" w:rsidRDefault="005C142D" w:rsidP="005355E0">
                  <w:pPr>
                    <w:rPr>
                      <w:rFonts w:ascii="Arial" w:hAnsi="Arial" w:cs="Arial"/>
                      <w:sz w:val="24"/>
                      <w:szCs w:val="24"/>
                    </w:rPr>
                  </w:pPr>
                </w:p>
              </w:tc>
              <w:tc>
                <w:tcPr>
                  <w:tcW w:w="4140" w:type="dxa"/>
                  <w:vMerge/>
                </w:tcPr>
                <w:p w14:paraId="5CCD357E" w14:textId="77777777" w:rsidR="005C142D" w:rsidRPr="00FA3F9C" w:rsidRDefault="005C142D" w:rsidP="005355E0">
                  <w:pPr>
                    <w:rPr>
                      <w:rFonts w:ascii="Arial" w:hAnsi="Arial" w:cs="Arial"/>
                      <w:sz w:val="24"/>
                      <w:szCs w:val="24"/>
                      <w:u w:val="single"/>
                    </w:rPr>
                  </w:pPr>
                </w:p>
              </w:tc>
              <w:tc>
                <w:tcPr>
                  <w:tcW w:w="4960" w:type="dxa"/>
                  <w:gridSpan w:val="4"/>
                  <w:vAlign w:val="center"/>
                </w:tcPr>
                <w:p w14:paraId="478A0E4C" w14:textId="77777777" w:rsidR="005C142D" w:rsidRPr="00FA3F9C" w:rsidRDefault="005C142D" w:rsidP="005355E0">
                  <w:pPr>
                    <w:rPr>
                      <w:rFonts w:ascii="Arial" w:hAnsi="Arial" w:cs="Arial"/>
                      <w:sz w:val="24"/>
                      <w:szCs w:val="24"/>
                    </w:rPr>
                  </w:pPr>
                  <w:r w:rsidRPr="00FA3F9C">
                    <w:rPr>
                      <w:rFonts w:ascii="Arial" w:hAnsi="Arial" w:cs="Arial"/>
                      <w:sz w:val="24"/>
                      <w:szCs w:val="24"/>
                    </w:rPr>
                    <w:t>Median time to deterioration (each of the following comparisons had HR &lt;1 with 95% CI that did not cross 1.0)</w:t>
                  </w:r>
                </w:p>
              </w:tc>
            </w:tr>
            <w:tr w:rsidR="005C142D" w:rsidRPr="00FA3F9C" w14:paraId="7329C322" w14:textId="77777777" w:rsidTr="001137EC">
              <w:trPr>
                <w:trHeight w:val="60"/>
              </w:trPr>
              <w:tc>
                <w:tcPr>
                  <w:tcW w:w="1975" w:type="dxa"/>
                  <w:vMerge/>
                </w:tcPr>
                <w:p w14:paraId="13B86B58" w14:textId="77777777" w:rsidR="005C142D" w:rsidRPr="00FA3F9C" w:rsidRDefault="005C142D" w:rsidP="005355E0">
                  <w:pPr>
                    <w:rPr>
                      <w:rFonts w:ascii="Arial" w:hAnsi="Arial" w:cs="Arial"/>
                      <w:sz w:val="24"/>
                      <w:szCs w:val="24"/>
                    </w:rPr>
                  </w:pPr>
                </w:p>
              </w:tc>
              <w:tc>
                <w:tcPr>
                  <w:tcW w:w="4140" w:type="dxa"/>
                  <w:vMerge/>
                </w:tcPr>
                <w:p w14:paraId="24FAC285" w14:textId="77777777" w:rsidR="005C142D" w:rsidRPr="00FA3F9C" w:rsidRDefault="005C142D" w:rsidP="005355E0">
                  <w:pPr>
                    <w:rPr>
                      <w:rFonts w:ascii="Arial" w:hAnsi="Arial" w:cs="Arial"/>
                      <w:sz w:val="24"/>
                      <w:szCs w:val="24"/>
                      <w:u w:val="single"/>
                    </w:rPr>
                  </w:pPr>
                </w:p>
              </w:tc>
              <w:tc>
                <w:tcPr>
                  <w:tcW w:w="2610" w:type="dxa"/>
                  <w:vAlign w:val="center"/>
                </w:tcPr>
                <w:p w14:paraId="430540F5" w14:textId="77777777" w:rsidR="005C142D" w:rsidRPr="00FA3F9C" w:rsidRDefault="005C142D" w:rsidP="005355E0">
                  <w:pPr>
                    <w:ind w:left="430"/>
                    <w:rPr>
                      <w:rFonts w:ascii="Arial" w:hAnsi="Arial" w:cs="Arial"/>
                      <w:sz w:val="24"/>
                      <w:szCs w:val="24"/>
                    </w:rPr>
                  </w:pPr>
                  <w:r w:rsidRPr="00FA3F9C">
                    <w:rPr>
                      <w:rFonts w:ascii="Arial" w:hAnsi="Arial" w:cs="Arial"/>
                      <w:sz w:val="24"/>
                      <w:szCs w:val="24"/>
                    </w:rPr>
                    <w:t>Functional well being</w:t>
                  </w:r>
                </w:p>
              </w:tc>
              <w:tc>
                <w:tcPr>
                  <w:tcW w:w="1175" w:type="dxa"/>
                  <w:vAlign w:val="center"/>
                </w:tcPr>
                <w:p w14:paraId="3B99CC46" w14:textId="77777777" w:rsidR="005C142D" w:rsidRPr="00FA3F9C" w:rsidRDefault="005C142D" w:rsidP="005355E0">
                  <w:pPr>
                    <w:rPr>
                      <w:rFonts w:ascii="Arial" w:hAnsi="Arial" w:cs="Arial"/>
                      <w:sz w:val="24"/>
                      <w:szCs w:val="24"/>
                    </w:rPr>
                  </w:pPr>
                  <w:r w:rsidRPr="00FA3F9C">
                    <w:rPr>
                      <w:rFonts w:ascii="Arial" w:hAnsi="Arial" w:cs="Arial"/>
                      <w:sz w:val="24"/>
                      <w:szCs w:val="24"/>
                    </w:rPr>
                    <w:t xml:space="preserve">8.6 </w:t>
                  </w:r>
                  <w:proofErr w:type="spellStart"/>
                  <w:r w:rsidRPr="00FA3F9C">
                    <w:rPr>
                      <w:rFonts w:ascii="Arial" w:hAnsi="Arial" w:cs="Arial"/>
                      <w:sz w:val="24"/>
                      <w:szCs w:val="24"/>
                    </w:rPr>
                    <w:t>mo</w:t>
                  </w:r>
                  <w:proofErr w:type="spellEnd"/>
                </w:p>
              </w:tc>
              <w:tc>
                <w:tcPr>
                  <w:tcW w:w="1175" w:type="dxa"/>
                  <w:gridSpan w:val="2"/>
                  <w:vAlign w:val="center"/>
                </w:tcPr>
                <w:p w14:paraId="163E6808" w14:textId="77777777" w:rsidR="005C142D" w:rsidRPr="00FA3F9C" w:rsidRDefault="005C142D" w:rsidP="005355E0">
                  <w:pPr>
                    <w:rPr>
                      <w:rFonts w:ascii="Arial" w:hAnsi="Arial" w:cs="Arial"/>
                      <w:sz w:val="24"/>
                      <w:szCs w:val="24"/>
                    </w:rPr>
                  </w:pPr>
                  <w:r w:rsidRPr="00FA3F9C">
                    <w:rPr>
                      <w:rFonts w:ascii="Arial" w:hAnsi="Arial" w:cs="Arial"/>
                      <w:sz w:val="24"/>
                      <w:szCs w:val="24"/>
                    </w:rPr>
                    <w:t xml:space="preserve">3.5 </w:t>
                  </w:r>
                  <w:proofErr w:type="spellStart"/>
                  <w:r w:rsidRPr="00FA3F9C">
                    <w:rPr>
                      <w:rFonts w:ascii="Arial" w:hAnsi="Arial" w:cs="Arial"/>
                      <w:sz w:val="24"/>
                      <w:szCs w:val="24"/>
                    </w:rPr>
                    <w:t>mo</w:t>
                  </w:r>
                  <w:proofErr w:type="spellEnd"/>
                </w:p>
              </w:tc>
            </w:tr>
            <w:tr w:rsidR="005C142D" w:rsidRPr="00FA3F9C" w14:paraId="2D9371F9" w14:textId="77777777" w:rsidTr="001137EC">
              <w:trPr>
                <w:trHeight w:val="60"/>
              </w:trPr>
              <w:tc>
                <w:tcPr>
                  <w:tcW w:w="1975" w:type="dxa"/>
                  <w:vMerge/>
                </w:tcPr>
                <w:p w14:paraId="242FF374" w14:textId="77777777" w:rsidR="005C142D" w:rsidRPr="00FA3F9C" w:rsidRDefault="005C142D" w:rsidP="005355E0">
                  <w:pPr>
                    <w:rPr>
                      <w:rFonts w:ascii="Arial" w:hAnsi="Arial" w:cs="Arial"/>
                      <w:sz w:val="24"/>
                      <w:szCs w:val="24"/>
                    </w:rPr>
                  </w:pPr>
                </w:p>
              </w:tc>
              <w:tc>
                <w:tcPr>
                  <w:tcW w:w="4140" w:type="dxa"/>
                  <w:vMerge/>
                </w:tcPr>
                <w:p w14:paraId="5E9B659B" w14:textId="77777777" w:rsidR="005C142D" w:rsidRPr="00FA3F9C" w:rsidRDefault="005C142D" w:rsidP="005355E0">
                  <w:pPr>
                    <w:rPr>
                      <w:rFonts w:ascii="Arial" w:hAnsi="Arial" w:cs="Arial"/>
                      <w:sz w:val="24"/>
                      <w:szCs w:val="24"/>
                      <w:u w:val="single"/>
                    </w:rPr>
                  </w:pPr>
                </w:p>
              </w:tc>
              <w:tc>
                <w:tcPr>
                  <w:tcW w:w="2610" w:type="dxa"/>
                  <w:vAlign w:val="center"/>
                </w:tcPr>
                <w:p w14:paraId="0A95DB8E" w14:textId="77777777" w:rsidR="005C142D" w:rsidRPr="00FA3F9C" w:rsidRDefault="005C142D" w:rsidP="005355E0">
                  <w:pPr>
                    <w:ind w:left="430"/>
                    <w:rPr>
                      <w:rFonts w:ascii="Arial" w:hAnsi="Arial" w:cs="Arial"/>
                      <w:sz w:val="24"/>
                      <w:szCs w:val="24"/>
                    </w:rPr>
                  </w:pPr>
                  <w:r w:rsidRPr="00FA3F9C">
                    <w:rPr>
                      <w:rFonts w:ascii="Arial" w:hAnsi="Arial" w:cs="Arial"/>
                      <w:sz w:val="24"/>
                      <w:szCs w:val="24"/>
                    </w:rPr>
                    <w:t>Lung trial outcome index</w:t>
                  </w:r>
                </w:p>
              </w:tc>
              <w:tc>
                <w:tcPr>
                  <w:tcW w:w="1175" w:type="dxa"/>
                  <w:vAlign w:val="center"/>
                </w:tcPr>
                <w:p w14:paraId="32148DCF" w14:textId="77777777" w:rsidR="005C142D" w:rsidRPr="00FA3F9C" w:rsidRDefault="005C142D" w:rsidP="005355E0">
                  <w:pPr>
                    <w:rPr>
                      <w:rFonts w:ascii="Arial" w:hAnsi="Arial" w:cs="Arial"/>
                      <w:sz w:val="24"/>
                      <w:szCs w:val="24"/>
                    </w:rPr>
                  </w:pPr>
                  <w:r w:rsidRPr="00FA3F9C">
                    <w:rPr>
                      <w:rFonts w:ascii="Arial" w:hAnsi="Arial" w:cs="Arial"/>
                      <w:sz w:val="24"/>
                      <w:szCs w:val="24"/>
                    </w:rPr>
                    <w:t>Not reached</w:t>
                  </w:r>
                </w:p>
              </w:tc>
              <w:tc>
                <w:tcPr>
                  <w:tcW w:w="1175" w:type="dxa"/>
                  <w:gridSpan w:val="2"/>
                  <w:vAlign w:val="center"/>
                </w:tcPr>
                <w:p w14:paraId="59911304" w14:textId="77777777" w:rsidR="005C142D" w:rsidRPr="00FA3F9C" w:rsidRDefault="005C142D" w:rsidP="005355E0">
                  <w:pPr>
                    <w:rPr>
                      <w:rFonts w:ascii="Arial" w:hAnsi="Arial" w:cs="Arial"/>
                      <w:sz w:val="24"/>
                      <w:szCs w:val="24"/>
                    </w:rPr>
                  </w:pPr>
                  <w:r w:rsidRPr="00FA3F9C">
                    <w:rPr>
                      <w:rFonts w:ascii="Arial" w:hAnsi="Arial" w:cs="Arial"/>
                      <w:sz w:val="24"/>
                      <w:szCs w:val="24"/>
                    </w:rPr>
                    <w:t xml:space="preserve">7.95 </w:t>
                  </w:r>
                  <w:proofErr w:type="spellStart"/>
                  <w:r w:rsidRPr="00FA3F9C">
                    <w:rPr>
                      <w:rFonts w:ascii="Arial" w:hAnsi="Arial" w:cs="Arial"/>
                      <w:sz w:val="24"/>
                      <w:szCs w:val="24"/>
                    </w:rPr>
                    <w:t>mo</w:t>
                  </w:r>
                  <w:proofErr w:type="spellEnd"/>
                </w:p>
              </w:tc>
            </w:tr>
            <w:tr w:rsidR="005C142D" w:rsidRPr="00FA3F9C" w14:paraId="7327FA60" w14:textId="77777777" w:rsidTr="001137EC">
              <w:trPr>
                <w:trHeight w:val="60"/>
              </w:trPr>
              <w:tc>
                <w:tcPr>
                  <w:tcW w:w="1975" w:type="dxa"/>
                  <w:vMerge/>
                </w:tcPr>
                <w:p w14:paraId="0C88180E" w14:textId="77777777" w:rsidR="005C142D" w:rsidRPr="00FA3F9C" w:rsidRDefault="005C142D" w:rsidP="005355E0">
                  <w:pPr>
                    <w:rPr>
                      <w:rFonts w:ascii="Arial" w:hAnsi="Arial" w:cs="Arial"/>
                      <w:sz w:val="24"/>
                      <w:szCs w:val="24"/>
                    </w:rPr>
                  </w:pPr>
                </w:p>
              </w:tc>
              <w:tc>
                <w:tcPr>
                  <w:tcW w:w="4140" w:type="dxa"/>
                  <w:vMerge/>
                </w:tcPr>
                <w:p w14:paraId="5C0F8635" w14:textId="77777777" w:rsidR="005C142D" w:rsidRPr="00FA3F9C" w:rsidRDefault="005C142D" w:rsidP="005355E0">
                  <w:pPr>
                    <w:rPr>
                      <w:rFonts w:ascii="Arial" w:hAnsi="Arial" w:cs="Arial"/>
                      <w:sz w:val="24"/>
                      <w:szCs w:val="24"/>
                      <w:u w:val="single"/>
                    </w:rPr>
                  </w:pPr>
                </w:p>
              </w:tc>
              <w:tc>
                <w:tcPr>
                  <w:tcW w:w="2610" w:type="dxa"/>
                  <w:vAlign w:val="center"/>
                </w:tcPr>
                <w:p w14:paraId="5A9C9723" w14:textId="77777777" w:rsidR="005C142D" w:rsidRPr="00FA3F9C" w:rsidRDefault="005C142D" w:rsidP="005355E0">
                  <w:pPr>
                    <w:ind w:left="430"/>
                    <w:rPr>
                      <w:rFonts w:ascii="Arial" w:hAnsi="Arial" w:cs="Arial"/>
                      <w:sz w:val="24"/>
                      <w:szCs w:val="24"/>
                    </w:rPr>
                  </w:pPr>
                  <w:r w:rsidRPr="00FA3F9C">
                    <w:rPr>
                      <w:rFonts w:ascii="Arial" w:hAnsi="Arial" w:cs="Arial"/>
                      <w:sz w:val="24"/>
                      <w:szCs w:val="24"/>
                    </w:rPr>
                    <w:t>Fact-anemia</w:t>
                  </w:r>
                </w:p>
              </w:tc>
              <w:tc>
                <w:tcPr>
                  <w:tcW w:w="1175" w:type="dxa"/>
                  <w:vAlign w:val="center"/>
                </w:tcPr>
                <w:p w14:paraId="445F0B88" w14:textId="77777777" w:rsidR="005C142D" w:rsidRPr="00FA3F9C" w:rsidRDefault="005C142D" w:rsidP="005355E0">
                  <w:pPr>
                    <w:rPr>
                      <w:rFonts w:ascii="Arial" w:hAnsi="Arial" w:cs="Arial"/>
                      <w:sz w:val="24"/>
                      <w:szCs w:val="24"/>
                    </w:rPr>
                  </w:pPr>
                  <w:r w:rsidRPr="00FA3F9C">
                    <w:rPr>
                      <w:rFonts w:ascii="Arial" w:hAnsi="Arial" w:cs="Arial"/>
                      <w:sz w:val="24"/>
                      <w:szCs w:val="24"/>
                    </w:rPr>
                    <w:t>Not reached</w:t>
                  </w:r>
                </w:p>
              </w:tc>
              <w:tc>
                <w:tcPr>
                  <w:tcW w:w="1175" w:type="dxa"/>
                  <w:gridSpan w:val="2"/>
                  <w:vAlign w:val="center"/>
                </w:tcPr>
                <w:p w14:paraId="0D4A36E0" w14:textId="77777777" w:rsidR="005C142D" w:rsidRPr="00FA3F9C" w:rsidRDefault="005C142D" w:rsidP="005355E0">
                  <w:pPr>
                    <w:rPr>
                      <w:rFonts w:ascii="Arial" w:hAnsi="Arial" w:cs="Arial"/>
                      <w:sz w:val="24"/>
                      <w:szCs w:val="24"/>
                    </w:rPr>
                  </w:pPr>
                  <w:r w:rsidRPr="00FA3F9C">
                    <w:rPr>
                      <w:rFonts w:ascii="Arial" w:hAnsi="Arial" w:cs="Arial"/>
                      <w:sz w:val="24"/>
                      <w:szCs w:val="24"/>
                    </w:rPr>
                    <w:t xml:space="preserve">4.17 </w:t>
                  </w:r>
                  <w:proofErr w:type="spellStart"/>
                  <w:r w:rsidRPr="00FA3F9C">
                    <w:rPr>
                      <w:rFonts w:ascii="Arial" w:hAnsi="Arial" w:cs="Arial"/>
                      <w:sz w:val="24"/>
                      <w:szCs w:val="24"/>
                    </w:rPr>
                    <w:t>mo</w:t>
                  </w:r>
                  <w:proofErr w:type="spellEnd"/>
                </w:p>
              </w:tc>
            </w:tr>
            <w:tr w:rsidR="005C142D" w:rsidRPr="00FA3F9C" w14:paraId="09B262B1" w14:textId="77777777" w:rsidTr="001137EC">
              <w:trPr>
                <w:trHeight w:val="631"/>
              </w:trPr>
              <w:tc>
                <w:tcPr>
                  <w:tcW w:w="1975" w:type="dxa"/>
                  <w:vMerge/>
                </w:tcPr>
                <w:p w14:paraId="5FBD2E42" w14:textId="77777777" w:rsidR="005C142D" w:rsidRPr="00FA3F9C" w:rsidRDefault="005C142D" w:rsidP="005355E0">
                  <w:pPr>
                    <w:rPr>
                      <w:rFonts w:ascii="Arial" w:hAnsi="Arial" w:cs="Arial"/>
                      <w:sz w:val="24"/>
                      <w:szCs w:val="24"/>
                    </w:rPr>
                  </w:pPr>
                </w:p>
              </w:tc>
              <w:tc>
                <w:tcPr>
                  <w:tcW w:w="4140" w:type="dxa"/>
                  <w:vMerge/>
                </w:tcPr>
                <w:p w14:paraId="77A47DB4" w14:textId="77777777" w:rsidR="005C142D" w:rsidRPr="00FA3F9C" w:rsidRDefault="005C142D" w:rsidP="005355E0">
                  <w:pPr>
                    <w:rPr>
                      <w:rFonts w:ascii="Arial" w:hAnsi="Arial" w:cs="Arial"/>
                      <w:sz w:val="24"/>
                      <w:szCs w:val="24"/>
                      <w:u w:val="single"/>
                    </w:rPr>
                  </w:pPr>
                </w:p>
              </w:tc>
              <w:tc>
                <w:tcPr>
                  <w:tcW w:w="4960" w:type="dxa"/>
                  <w:gridSpan w:val="4"/>
                  <w:vAlign w:val="center"/>
                </w:tcPr>
                <w:p w14:paraId="7C775986" w14:textId="77777777" w:rsidR="005C142D" w:rsidRPr="00FA3F9C" w:rsidRDefault="005C142D" w:rsidP="005355E0">
                  <w:pPr>
                    <w:ind w:left="50"/>
                    <w:rPr>
                      <w:rFonts w:ascii="Arial" w:hAnsi="Arial" w:cs="Arial"/>
                      <w:sz w:val="24"/>
                      <w:szCs w:val="24"/>
                    </w:rPr>
                  </w:pPr>
                  <w:r w:rsidRPr="00FA3F9C">
                    <w:rPr>
                      <w:rFonts w:ascii="Arial" w:hAnsi="Arial" w:cs="Arial"/>
                      <w:sz w:val="24"/>
                      <w:szCs w:val="24"/>
                    </w:rPr>
                    <w:t>For each of the following comparisons of time to deterioration, 95% CI crossed 1.0: Physical wellbeing, social wellbeing, emotional wellbeing, physical wellbeing, fatigue, lung cancer subscale, Fact-general scales</w:t>
                  </w:r>
                </w:p>
              </w:tc>
            </w:tr>
            <w:tr w:rsidR="005C142D" w:rsidRPr="00FA3F9C" w14:paraId="172DB396" w14:textId="77777777" w:rsidTr="001137EC">
              <w:trPr>
                <w:trHeight w:val="118"/>
              </w:trPr>
              <w:tc>
                <w:tcPr>
                  <w:tcW w:w="1975" w:type="dxa"/>
                  <w:vMerge/>
                </w:tcPr>
                <w:p w14:paraId="1B80E144" w14:textId="77777777" w:rsidR="005C142D" w:rsidRPr="00FA3F9C" w:rsidRDefault="005C142D" w:rsidP="005355E0">
                  <w:pPr>
                    <w:rPr>
                      <w:rFonts w:ascii="Arial" w:hAnsi="Arial" w:cs="Arial"/>
                      <w:sz w:val="24"/>
                      <w:szCs w:val="24"/>
                    </w:rPr>
                  </w:pPr>
                </w:p>
              </w:tc>
              <w:tc>
                <w:tcPr>
                  <w:tcW w:w="4140" w:type="dxa"/>
                  <w:vMerge/>
                </w:tcPr>
                <w:p w14:paraId="3A4EB3B0" w14:textId="77777777" w:rsidR="005C142D" w:rsidRPr="00FA3F9C" w:rsidRDefault="005C142D" w:rsidP="005355E0">
                  <w:pPr>
                    <w:rPr>
                      <w:rFonts w:ascii="Arial" w:hAnsi="Arial" w:cs="Arial"/>
                      <w:sz w:val="24"/>
                      <w:szCs w:val="24"/>
                      <w:u w:val="single"/>
                    </w:rPr>
                  </w:pPr>
                </w:p>
              </w:tc>
              <w:tc>
                <w:tcPr>
                  <w:tcW w:w="4960" w:type="dxa"/>
                  <w:gridSpan w:val="4"/>
                  <w:vAlign w:val="center"/>
                </w:tcPr>
                <w:p w14:paraId="78503370" w14:textId="77777777" w:rsidR="005C142D" w:rsidRPr="00FA3F9C" w:rsidRDefault="005C142D" w:rsidP="005355E0">
                  <w:pPr>
                    <w:rPr>
                      <w:rFonts w:ascii="Arial" w:hAnsi="Arial" w:cs="Arial"/>
                      <w:sz w:val="24"/>
                      <w:szCs w:val="24"/>
                    </w:rPr>
                  </w:pPr>
                  <w:r w:rsidRPr="00FA3F9C">
                    <w:rPr>
                      <w:rFonts w:ascii="Arial" w:hAnsi="Arial" w:cs="Arial"/>
                      <w:sz w:val="24"/>
                      <w:szCs w:val="24"/>
                    </w:rPr>
                    <w:t>At the end of Cycle 4: no differences between groups for total or any subscale score. </w:t>
                  </w:r>
                </w:p>
                <w:p w14:paraId="37D23AFC" w14:textId="77777777" w:rsidR="005C142D" w:rsidRPr="00FA3F9C" w:rsidRDefault="005C142D" w:rsidP="005355E0">
                  <w:pPr>
                    <w:rPr>
                      <w:rFonts w:ascii="Arial" w:hAnsi="Arial" w:cs="Arial"/>
                      <w:sz w:val="24"/>
                      <w:szCs w:val="24"/>
                    </w:rPr>
                  </w:pPr>
                  <w:r w:rsidRPr="00FA3F9C">
                    <w:rPr>
                      <w:rFonts w:ascii="Arial" w:hAnsi="Arial" w:cs="Arial"/>
                      <w:sz w:val="24"/>
                      <w:szCs w:val="24"/>
                    </w:rPr>
                    <w:t>No difference in overall survival (not mature).</w:t>
                  </w:r>
                </w:p>
              </w:tc>
            </w:tr>
            <w:tr w:rsidR="005C142D" w:rsidRPr="00FA3F9C" w14:paraId="1DBCEC68" w14:textId="77777777" w:rsidTr="001137EC">
              <w:trPr>
                <w:trHeight w:val="165"/>
              </w:trPr>
              <w:tc>
                <w:tcPr>
                  <w:tcW w:w="1975" w:type="dxa"/>
                  <w:vMerge w:val="restart"/>
                </w:tcPr>
                <w:p w14:paraId="4F4F3365" w14:textId="77777777" w:rsidR="005C142D" w:rsidRPr="00FA3F9C" w:rsidRDefault="005C142D" w:rsidP="005355E0">
                  <w:pPr>
                    <w:rPr>
                      <w:rFonts w:ascii="Arial" w:hAnsi="Arial" w:cs="Arial"/>
                      <w:sz w:val="24"/>
                      <w:szCs w:val="24"/>
                    </w:rPr>
                  </w:pPr>
                  <w:r w:rsidRPr="00FA3F9C">
                    <w:rPr>
                      <w:rFonts w:ascii="Arial" w:hAnsi="Arial" w:cs="Arial"/>
                      <w:sz w:val="24"/>
                      <w:szCs w:val="24"/>
                    </w:rPr>
                    <w:t>Study 3 (G1T28-03)</w:t>
                  </w:r>
                  <w:r w:rsidRPr="00FA3F9C">
                    <w:rPr>
                      <w:rFonts w:ascii="Arial" w:hAnsi="Arial" w:cs="Arial"/>
                      <w:sz w:val="24"/>
                      <w:szCs w:val="24"/>
                      <w:vertAlign w:val="superscript"/>
                    </w:rPr>
                    <w:t>1,3</w:t>
                  </w:r>
                </w:p>
                <w:p w14:paraId="2C73827C" w14:textId="77777777" w:rsidR="005C142D" w:rsidRPr="00FA3F9C" w:rsidRDefault="005C142D" w:rsidP="005355E0">
                  <w:pPr>
                    <w:rPr>
                      <w:rFonts w:ascii="Arial" w:hAnsi="Arial" w:cs="Arial"/>
                      <w:sz w:val="24"/>
                      <w:szCs w:val="24"/>
                    </w:rPr>
                  </w:pPr>
                  <w:r w:rsidRPr="00FA3F9C">
                    <w:rPr>
                      <w:rFonts w:ascii="Arial" w:hAnsi="Arial" w:cs="Arial"/>
                      <w:sz w:val="24"/>
                      <w:szCs w:val="24"/>
                    </w:rPr>
                    <w:t>NCT02514447</w:t>
                  </w:r>
                </w:p>
                <w:p w14:paraId="66618BE3" w14:textId="77777777" w:rsidR="005C142D" w:rsidRPr="00FA3F9C" w:rsidRDefault="005C142D" w:rsidP="005355E0">
                  <w:pPr>
                    <w:rPr>
                      <w:rFonts w:ascii="Arial" w:hAnsi="Arial" w:cs="Arial"/>
                      <w:sz w:val="24"/>
                      <w:szCs w:val="24"/>
                    </w:rPr>
                  </w:pPr>
                </w:p>
                <w:p w14:paraId="47407030" w14:textId="77777777" w:rsidR="005C142D" w:rsidRPr="00FA3F9C" w:rsidRDefault="005C142D" w:rsidP="005355E0">
                  <w:pPr>
                    <w:rPr>
                      <w:rFonts w:ascii="Arial" w:hAnsi="Arial" w:cs="Arial"/>
                      <w:sz w:val="24"/>
                      <w:szCs w:val="24"/>
                    </w:rPr>
                  </w:pPr>
                  <w:r w:rsidRPr="00FA3F9C">
                    <w:rPr>
                      <w:rFonts w:ascii="Arial" w:hAnsi="Arial" w:cs="Arial"/>
                      <w:sz w:val="24"/>
                      <w:szCs w:val="24"/>
                    </w:rPr>
                    <w:t>During Cycle 1, prophylactic G-</w:t>
                  </w:r>
                  <w:r w:rsidRPr="00FA3F9C">
                    <w:rPr>
                      <w:rFonts w:ascii="Arial" w:hAnsi="Arial" w:cs="Arial"/>
                      <w:sz w:val="24"/>
                      <w:szCs w:val="24"/>
                    </w:rPr>
                    <w:lastRenderedPageBreak/>
                    <w:t>CSF and ESA use not permitted. ESAs and prophylactic G-CSF allowed from Cycle 2 onwards as indicated. Therapeutic G-CSF, RBC, and platelet transfusions allowed at any time.</w:t>
                  </w:r>
                </w:p>
              </w:tc>
              <w:tc>
                <w:tcPr>
                  <w:tcW w:w="4140" w:type="dxa"/>
                  <w:vMerge w:val="restart"/>
                </w:tcPr>
                <w:p w14:paraId="0E1CAA6C" w14:textId="77777777" w:rsidR="005C142D" w:rsidRPr="00FA3F9C" w:rsidRDefault="005C142D" w:rsidP="005355E0">
                  <w:pPr>
                    <w:rPr>
                      <w:rFonts w:ascii="Arial" w:hAnsi="Arial" w:cs="Arial"/>
                      <w:sz w:val="24"/>
                      <w:szCs w:val="24"/>
                      <w:u w:val="single"/>
                    </w:rPr>
                  </w:pPr>
                  <w:r w:rsidRPr="00FA3F9C">
                    <w:rPr>
                      <w:rFonts w:ascii="Arial" w:hAnsi="Arial" w:cs="Arial"/>
                      <w:sz w:val="24"/>
                      <w:szCs w:val="24"/>
                      <w:u w:val="single"/>
                    </w:rPr>
                    <w:lastRenderedPageBreak/>
                    <w:t>Key inclusion criteria</w:t>
                  </w:r>
                </w:p>
                <w:p w14:paraId="7CC2A18F" w14:textId="77777777" w:rsidR="005C142D" w:rsidRPr="00FA3F9C" w:rsidRDefault="005C142D" w:rsidP="005355E0">
                  <w:pPr>
                    <w:rPr>
                      <w:rFonts w:ascii="Arial" w:hAnsi="Arial" w:cs="Arial"/>
                      <w:sz w:val="24"/>
                      <w:szCs w:val="24"/>
                    </w:rPr>
                  </w:pPr>
                  <w:r w:rsidRPr="00FA3F9C">
                    <w:rPr>
                      <w:rFonts w:ascii="Arial" w:hAnsi="Arial" w:cs="Arial"/>
                      <w:sz w:val="24"/>
                      <w:szCs w:val="24"/>
                    </w:rPr>
                    <w:t>-previously treated  extensive stage small cell lung cancer (ES-SCLC)</w:t>
                  </w:r>
                </w:p>
                <w:p w14:paraId="51BCF138" w14:textId="77777777" w:rsidR="005C142D" w:rsidRPr="00FA3F9C" w:rsidRDefault="005C142D" w:rsidP="005355E0">
                  <w:pPr>
                    <w:rPr>
                      <w:rFonts w:ascii="Arial" w:hAnsi="Arial" w:cs="Arial"/>
                      <w:sz w:val="24"/>
                      <w:szCs w:val="24"/>
                    </w:rPr>
                  </w:pPr>
                  <w:r w:rsidRPr="00FA3F9C">
                    <w:rPr>
                      <w:rFonts w:ascii="Arial" w:hAnsi="Arial" w:cs="Arial"/>
                      <w:sz w:val="24"/>
                      <w:szCs w:val="24"/>
                    </w:rPr>
                    <w:t>-current treatment: topotecan</w:t>
                  </w:r>
                </w:p>
                <w:p w14:paraId="587EDE5D" w14:textId="77777777" w:rsidR="005C142D" w:rsidRPr="00FA3F9C" w:rsidRDefault="005C142D" w:rsidP="005355E0">
                  <w:pPr>
                    <w:rPr>
                      <w:rFonts w:ascii="Arial" w:hAnsi="Arial" w:cs="Arial"/>
                      <w:sz w:val="24"/>
                      <w:szCs w:val="24"/>
                      <w:u w:val="single"/>
                    </w:rPr>
                  </w:pPr>
                </w:p>
                <w:p w14:paraId="16257AA4" w14:textId="77777777" w:rsidR="005C142D" w:rsidRPr="00FA3F9C" w:rsidRDefault="005C142D" w:rsidP="005355E0">
                  <w:pPr>
                    <w:rPr>
                      <w:rFonts w:ascii="Arial" w:hAnsi="Arial" w:cs="Arial"/>
                      <w:sz w:val="24"/>
                      <w:szCs w:val="24"/>
                      <w:u w:val="single"/>
                    </w:rPr>
                  </w:pPr>
                  <w:r w:rsidRPr="00FA3F9C">
                    <w:rPr>
                      <w:rFonts w:ascii="Arial" w:hAnsi="Arial" w:cs="Arial"/>
                      <w:sz w:val="24"/>
                      <w:szCs w:val="24"/>
                      <w:u w:val="single"/>
                    </w:rPr>
                    <w:lastRenderedPageBreak/>
                    <w:t>Population enrolled</w:t>
                  </w:r>
                </w:p>
                <w:p w14:paraId="36DEABC9" w14:textId="77777777" w:rsidR="005C142D" w:rsidRPr="00FA3F9C" w:rsidRDefault="005C142D" w:rsidP="005355E0">
                  <w:pPr>
                    <w:rPr>
                      <w:rFonts w:ascii="Arial" w:hAnsi="Arial" w:cs="Arial"/>
                      <w:sz w:val="24"/>
                      <w:szCs w:val="24"/>
                    </w:rPr>
                  </w:pPr>
                  <w:r w:rsidRPr="00FA3F9C">
                    <w:rPr>
                      <w:rFonts w:ascii="Arial" w:hAnsi="Arial" w:cs="Arial"/>
                      <w:sz w:val="24"/>
                      <w:szCs w:val="24"/>
                    </w:rPr>
                    <w:t>N=61</w:t>
                  </w:r>
                </w:p>
                <w:p w14:paraId="17711F6E" w14:textId="77777777" w:rsidR="005C142D" w:rsidRPr="00FA3F9C" w:rsidRDefault="005C142D" w:rsidP="005355E0">
                  <w:pPr>
                    <w:rPr>
                      <w:rFonts w:ascii="Arial" w:hAnsi="Arial" w:cs="Arial"/>
                      <w:sz w:val="24"/>
                      <w:szCs w:val="24"/>
                    </w:rPr>
                  </w:pPr>
                  <w:r w:rsidRPr="00FA3F9C">
                    <w:rPr>
                      <w:rFonts w:ascii="Arial" w:hAnsi="Arial" w:cs="Arial"/>
                      <w:sz w:val="24"/>
                      <w:szCs w:val="24"/>
                    </w:rPr>
                    <w:t xml:space="preserve">Median age: 62 </w:t>
                  </w:r>
                  <w:proofErr w:type="spellStart"/>
                  <w:r w:rsidRPr="00FA3F9C">
                    <w:rPr>
                      <w:rFonts w:ascii="Arial" w:hAnsi="Arial" w:cs="Arial"/>
                      <w:sz w:val="24"/>
                      <w:szCs w:val="24"/>
                    </w:rPr>
                    <w:t>yr</w:t>
                  </w:r>
                  <w:proofErr w:type="spellEnd"/>
                </w:p>
                <w:p w14:paraId="69CF7788" w14:textId="77777777" w:rsidR="005C142D" w:rsidRPr="00FA3F9C" w:rsidRDefault="005C142D" w:rsidP="005355E0">
                  <w:pPr>
                    <w:rPr>
                      <w:rFonts w:ascii="Arial" w:hAnsi="Arial" w:cs="Arial"/>
                      <w:sz w:val="24"/>
                      <w:szCs w:val="24"/>
                    </w:rPr>
                  </w:pPr>
                  <w:r w:rsidRPr="00FA3F9C">
                    <w:rPr>
                      <w:rFonts w:ascii="Arial" w:hAnsi="Arial" w:cs="Arial"/>
                      <w:sz w:val="24"/>
                      <w:szCs w:val="24"/>
                    </w:rPr>
                    <w:t>Male 68%</w:t>
                  </w:r>
                </w:p>
                <w:p w14:paraId="57297B90" w14:textId="77777777" w:rsidR="005C142D" w:rsidRPr="00FA3F9C" w:rsidRDefault="005C142D" w:rsidP="005355E0">
                  <w:pPr>
                    <w:rPr>
                      <w:rFonts w:ascii="Arial" w:hAnsi="Arial" w:cs="Arial"/>
                      <w:sz w:val="24"/>
                      <w:szCs w:val="24"/>
                    </w:rPr>
                  </w:pPr>
                </w:p>
              </w:tc>
              <w:tc>
                <w:tcPr>
                  <w:tcW w:w="2610" w:type="dxa"/>
                  <w:shd w:val="clear" w:color="auto" w:fill="D9D9D9" w:themeFill="background1" w:themeFillShade="D9"/>
                  <w:vAlign w:val="center"/>
                </w:tcPr>
                <w:p w14:paraId="6D763760" w14:textId="77777777" w:rsidR="005C142D" w:rsidRPr="00FA3F9C" w:rsidRDefault="005C142D" w:rsidP="005355E0">
                  <w:pPr>
                    <w:rPr>
                      <w:rFonts w:ascii="Arial" w:hAnsi="Arial" w:cs="Arial"/>
                      <w:sz w:val="24"/>
                      <w:szCs w:val="24"/>
                    </w:rPr>
                  </w:pPr>
                </w:p>
              </w:tc>
              <w:tc>
                <w:tcPr>
                  <w:tcW w:w="1260" w:type="dxa"/>
                  <w:gridSpan w:val="2"/>
                  <w:shd w:val="clear" w:color="auto" w:fill="D9D9D9" w:themeFill="background1" w:themeFillShade="D9"/>
                  <w:vAlign w:val="center"/>
                </w:tcPr>
                <w:p w14:paraId="6B374593" w14:textId="77777777" w:rsidR="005C142D" w:rsidRPr="00FA3F9C" w:rsidRDefault="005C142D" w:rsidP="005355E0">
                  <w:pPr>
                    <w:rPr>
                      <w:rFonts w:ascii="Arial" w:hAnsi="Arial" w:cs="Arial"/>
                      <w:sz w:val="24"/>
                      <w:szCs w:val="24"/>
                    </w:rPr>
                  </w:pPr>
                  <w:r w:rsidRPr="00FA3F9C">
                    <w:rPr>
                      <w:rFonts w:ascii="Arial" w:hAnsi="Arial" w:cs="Arial"/>
                      <w:sz w:val="24"/>
                      <w:szCs w:val="24"/>
                    </w:rPr>
                    <w:t>Trilaciclib</w:t>
                  </w:r>
                </w:p>
              </w:tc>
              <w:tc>
                <w:tcPr>
                  <w:tcW w:w="1090" w:type="dxa"/>
                  <w:shd w:val="clear" w:color="auto" w:fill="D9D9D9" w:themeFill="background1" w:themeFillShade="D9"/>
                  <w:vAlign w:val="center"/>
                </w:tcPr>
                <w:p w14:paraId="4275013A" w14:textId="77777777" w:rsidR="005C142D" w:rsidRPr="00FA3F9C" w:rsidRDefault="005C142D" w:rsidP="005355E0">
                  <w:pPr>
                    <w:rPr>
                      <w:rFonts w:ascii="Arial" w:hAnsi="Arial" w:cs="Arial"/>
                      <w:sz w:val="24"/>
                      <w:szCs w:val="24"/>
                    </w:rPr>
                  </w:pPr>
                  <w:r w:rsidRPr="00FA3F9C">
                    <w:rPr>
                      <w:rFonts w:ascii="Arial" w:hAnsi="Arial" w:cs="Arial"/>
                      <w:sz w:val="24"/>
                      <w:szCs w:val="24"/>
                    </w:rPr>
                    <w:t>Placebo</w:t>
                  </w:r>
                </w:p>
              </w:tc>
            </w:tr>
            <w:tr w:rsidR="005C142D" w:rsidRPr="00FA3F9C" w14:paraId="79CD7945" w14:textId="77777777" w:rsidTr="001137EC">
              <w:trPr>
                <w:trHeight w:val="162"/>
              </w:trPr>
              <w:tc>
                <w:tcPr>
                  <w:tcW w:w="1975" w:type="dxa"/>
                  <w:vMerge/>
                </w:tcPr>
                <w:p w14:paraId="73C61F8E" w14:textId="77777777" w:rsidR="005C142D" w:rsidRPr="00FA3F9C" w:rsidRDefault="005C142D" w:rsidP="005355E0">
                  <w:pPr>
                    <w:rPr>
                      <w:rFonts w:ascii="Arial" w:hAnsi="Arial" w:cs="Arial"/>
                      <w:sz w:val="24"/>
                      <w:szCs w:val="24"/>
                    </w:rPr>
                  </w:pPr>
                </w:p>
              </w:tc>
              <w:tc>
                <w:tcPr>
                  <w:tcW w:w="4140" w:type="dxa"/>
                  <w:vMerge/>
                </w:tcPr>
                <w:p w14:paraId="12B57942" w14:textId="77777777" w:rsidR="005C142D" w:rsidRPr="00FA3F9C" w:rsidRDefault="005C142D" w:rsidP="005355E0">
                  <w:pPr>
                    <w:rPr>
                      <w:rFonts w:ascii="Arial" w:hAnsi="Arial" w:cs="Arial"/>
                      <w:sz w:val="24"/>
                      <w:szCs w:val="24"/>
                    </w:rPr>
                  </w:pPr>
                </w:p>
              </w:tc>
              <w:tc>
                <w:tcPr>
                  <w:tcW w:w="2610" w:type="dxa"/>
                  <w:vAlign w:val="center"/>
                </w:tcPr>
                <w:p w14:paraId="56F99764" w14:textId="77777777" w:rsidR="005C142D" w:rsidRPr="00FA3F9C" w:rsidRDefault="005C142D" w:rsidP="005355E0">
                  <w:pPr>
                    <w:rPr>
                      <w:rFonts w:ascii="Arial" w:hAnsi="Arial" w:cs="Arial"/>
                      <w:sz w:val="24"/>
                      <w:szCs w:val="24"/>
                    </w:rPr>
                  </w:pPr>
                  <w:r w:rsidRPr="00FA3F9C">
                    <w:rPr>
                      <w:rFonts w:ascii="Arial" w:hAnsi="Arial" w:cs="Arial"/>
                      <w:sz w:val="24"/>
                      <w:szCs w:val="24"/>
                    </w:rPr>
                    <w:t>Duration of severe neutropenia* in cycle 1 (primary endpoint)</w:t>
                  </w:r>
                </w:p>
              </w:tc>
              <w:tc>
                <w:tcPr>
                  <w:tcW w:w="1260" w:type="dxa"/>
                  <w:gridSpan w:val="2"/>
                  <w:vAlign w:val="center"/>
                </w:tcPr>
                <w:p w14:paraId="4031BCEE" w14:textId="77777777" w:rsidR="005C142D" w:rsidRPr="00FA3F9C" w:rsidRDefault="005C142D" w:rsidP="005355E0">
                  <w:pPr>
                    <w:rPr>
                      <w:rFonts w:ascii="Arial" w:hAnsi="Arial" w:cs="Arial"/>
                      <w:sz w:val="24"/>
                      <w:szCs w:val="24"/>
                    </w:rPr>
                  </w:pPr>
                  <w:r w:rsidRPr="00FA3F9C">
                    <w:rPr>
                      <w:rFonts w:ascii="Arial" w:hAnsi="Arial" w:cs="Arial"/>
                      <w:sz w:val="24"/>
                      <w:szCs w:val="24"/>
                    </w:rPr>
                    <w:t>2 days</w:t>
                  </w:r>
                </w:p>
              </w:tc>
              <w:tc>
                <w:tcPr>
                  <w:tcW w:w="1090" w:type="dxa"/>
                  <w:vAlign w:val="center"/>
                </w:tcPr>
                <w:p w14:paraId="4F29DBFD" w14:textId="77777777" w:rsidR="005C142D" w:rsidRPr="00FA3F9C" w:rsidRDefault="005C142D" w:rsidP="005355E0">
                  <w:pPr>
                    <w:rPr>
                      <w:rFonts w:ascii="Arial" w:hAnsi="Arial" w:cs="Arial"/>
                      <w:sz w:val="24"/>
                      <w:szCs w:val="24"/>
                    </w:rPr>
                  </w:pPr>
                  <w:r w:rsidRPr="00FA3F9C">
                    <w:rPr>
                      <w:rFonts w:ascii="Arial" w:hAnsi="Arial" w:cs="Arial"/>
                      <w:sz w:val="24"/>
                      <w:szCs w:val="24"/>
                    </w:rPr>
                    <w:t>7 days</w:t>
                  </w:r>
                </w:p>
                <w:p w14:paraId="13E95779" w14:textId="77777777" w:rsidR="005C142D" w:rsidRPr="00FA3F9C" w:rsidRDefault="005C142D" w:rsidP="005355E0">
                  <w:pPr>
                    <w:rPr>
                      <w:rFonts w:ascii="Arial" w:hAnsi="Arial" w:cs="Arial"/>
                      <w:sz w:val="24"/>
                      <w:szCs w:val="24"/>
                    </w:rPr>
                  </w:pPr>
                  <w:r w:rsidRPr="00FA3F9C">
                    <w:rPr>
                      <w:rFonts w:ascii="Arial" w:hAnsi="Arial" w:cs="Arial"/>
                      <w:sz w:val="24"/>
                      <w:szCs w:val="24"/>
                    </w:rPr>
                    <w:t>(p&lt;0.0001)</w:t>
                  </w:r>
                </w:p>
              </w:tc>
            </w:tr>
            <w:tr w:rsidR="005C142D" w:rsidRPr="00FA3F9C" w14:paraId="55365C83" w14:textId="77777777" w:rsidTr="001137EC">
              <w:trPr>
                <w:trHeight w:val="162"/>
              </w:trPr>
              <w:tc>
                <w:tcPr>
                  <w:tcW w:w="1975" w:type="dxa"/>
                  <w:vMerge/>
                </w:tcPr>
                <w:p w14:paraId="5AB254BC" w14:textId="77777777" w:rsidR="005C142D" w:rsidRPr="00FA3F9C" w:rsidRDefault="005C142D" w:rsidP="005355E0">
                  <w:pPr>
                    <w:rPr>
                      <w:rFonts w:ascii="Arial" w:hAnsi="Arial" w:cs="Arial"/>
                      <w:sz w:val="24"/>
                      <w:szCs w:val="24"/>
                    </w:rPr>
                  </w:pPr>
                </w:p>
              </w:tc>
              <w:tc>
                <w:tcPr>
                  <w:tcW w:w="4140" w:type="dxa"/>
                  <w:vMerge/>
                </w:tcPr>
                <w:p w14:paraId="06699621" w14:textId="77777777" w:rsidR="005C142D" w:rsidRPr="00FA3F9C" w:rsidRDefault="005C142D" w:rsidP="005355E0">
                  <w:pPr>
                    <w:rPr>
                      <w:rFonts w:ascii="Arial" w:hAnsi="Arial" w:cs="Arial"/>
                      <w:sz w:val="24"/>
                      <w:szCs w:val="24"/>
                    </w:rPr>
                  </w:pPr>
                </w:p>
              </w:tc>
              <w:tc>
                <w:tcPr>
                  <w:tcW w:w="2610" w:type="dxa"/>
                  <w:vAlign w:val="center"/>
                </w:tcPr>
                <w:p w14:paraId="1BB11DB2" w14:textId="77777777" w:rsidR="005C142D" w:rsidRPr="00FA3F9C" w:rsidRDefault="005C142D" w:rsidP="005355E0">
                  <w:pPr>
                    <w:rPr>
                      <w:rFonts w:ascii="Arial" w:hAnsi="Arial" w:cs="Arial"/>
                      <w:sz w:val="24"/>
                      <w:szCs w:val="24"/>
                    </w:rPr>
                  </w:pPr>
                  <w:r w:rsidRPr="00FA3F9C">
                    <w:rPr>
                      <w:rFonts w:ascii="Arial" w:hAnsi="Arial" w:cs="Arial"/>
                      <w:sz w:val="24"/>
                      <w:szCs w:val="24"/>
                    </w:rPr>
                    <w:t>% of patients with severe neutropenia</w:t>
                  </w:r>
                </w:p>
              </w:tc>
              <w:tc>
                <w:tcPr>
                  <w:tcW w:w="1260" w:type="dxa"/>
                  <w:gridSpan w:val="2"/>
                  <w:vAlign w:val="center"/>
                </w:tcPr>
                <w:p w14:paraId="74CD07DC" w14:textId="77777777" w:rsidR="005C142D" w:rsidRPr="00FA3F9C" w:rsidRDefault="005C142D" w:rsidP="005355E0">
                  <w:pPr>
                    <w:rPr>
                      <w:rFonts w:ascii="Arial" w:hAnsi="Arial" w:cs="Arial"/>
                      <w:sz w:val="24"/>
                      <w:szCs w:val="24"/>
                    </w:rPr>
                  </w:pPr>
                  <w:r w:rsidRPr="00FA3F9C">
                    <w:rPr>
                      <w:rFonts w:ascii="Arial" w:hAnsi="Arial" w:cs="Arial"/>
                      <w:sz w:val="24"/>
                      <w:szCs w:val="24"/>
                    </w:rPr>
                    <w:t>41%</w:t>
                  </w:r>
                </w:p>
              </w:tc>
              <w:tc>
                <w:tcPr>
                  <w:tcW w:w="1090" w:type="dxa"/>
                  <w:vAlign w:val="center"/>
                </w:tcPr>
                <w:p w14:paraId="78B366B9" w14:textId="77777777" w:rsidR="005C142D" w:rsidRPr="00FA3F9C" w:rsidRDefault="005C142D" w:rsidP="005355E0">
                  <w:pPr>
                    <w:rPr>
                      <w:rFonts w:ascii="Arial" w:hAnsi="Arial" w:cs="Arial"/>
                      <w:sz w:val="24"/>
                      <w:szCs w:val="24"/>
                    </w:rPr>
                  </w:pPr>
                  <w:r w:rsidRPr="00FA3F9C">
                    <w:rPr>
                      <w:rFonts w:ascii="Arial" w:hAnsi="Arial" w:cs="Arial"/>
                      <w:sz w:val="24"/>
                      <w:szCs w:val="24"/>
                    </w:rPr>
                    <w:t>76%</w:t>
                  </w:r>
                </w:p>
                <w:p w14:paraId="1578C550" w14:textId="77777777" w:rsidR="005C142D" w:rsidRPr="00FA3F9C" w:rsidRDefault="005C142D" w:rsidP="005355E0">
                  <w:pPr>
                    <w:rPr>
                      <w:rFonts w:ascii="Arial" w:hAnsi="Arial" w:cs="Arial"/>
                      <w:sz w:val="24"/>
                      <w:szCs w:val="24"/>
                    </w:rPr>
                  </w:pPr>
                  <w:r w:rsidRPr="00FA3F9C">
                    <w:rPr>
                      <w:rFonts w:ascii="Arial" w:hAnsi="Arial" w:cs="Arial"/>
                      <w:iCs/>
                      <w:sz w:val="24"/>
                      <w:szCs w:val="24"/>
                    </w:rPr>
                    <w:t>(p</w:t>
                  </w:r>
                  <w:r w:rsidRPr="00FA3F9C">
                    <w:rPr>
                      <w:rFonts w:ascii="Arial" w:hAnsi="Arial" w:cs="Arial"/>
                      <w:sz w:val="24"/>
                      <w:szCs w:val="24"/>
                    </w:rPr>
                    <w:t> = 0.016)</w:t>
                  </w:r>
                </w:p>
              </w:tc>
            </w:tr>
            <w:tr w:rsidR="005C142D" w:rsidRPr="00FA3F9C" w14:paraId="2D3FC654" w14:textId="77777777" w:rsidTr="001137EC">
              <w:trPr>
                <w:trHeight w:val="162"/>
              </w:trPr>
              <w:tc>
                <w:tcPr>
                  <w:tcW w:w="1975" w:type="dxa"/>
                  <w:vMerge/>
                </w:tcPr>
                <w:p w14:paraId="2187EE40" w14:textId="77777777" w:rsidR="005C142D" w:rsidRPr="00FA3F9C" w:rsidRDefault="005C142D" w:rsidP="005355E0">
                  <w:pPr>
                    <w:rPr>
                      <w:rFonts w:ascii="Arial" w:hAnsi="Arial" w:cs="Arial"/>
                      <w:sz w:val="24"/>
                      <w:szCs w:val="24"/>
                    </w:rPr>
                  </w:pPr>
                </w:p>
              </w:tc>
              <w:tc>
                <w:tcPr>
                  <w:tcW w:w="4140" w:type="dxa"/>
                  <w:vMerge/>
                </w:tcPr>
                <w:p w14:paraId="76CBCCDC" w14:textId="77777777" w:rsidR="005C142D" w:rsidRPr="00FA3F9C" w:rsidRDefault="005C142D" w:rsidP="005355E0">
                  <w:pPr>
                    <w:rPr>
                      <w:rFonts w:ascii="Arial" w:hAnsi="Arial" w:cs="Arial"/>
                      <w:sz w:val="24"/>
                      <w:szCs w:val="24"/>
                    </w:rPr>
                  </w:pPr>
                </w:p>
              </w:tc>
              <w:tc>
                <w:tcPr>
                  <w:tcW w:w="2610" w:type="dxa"/>
                  <w:vAlign w:val="center"/>
                </w:tcPr>
                <w:p w14:paraId="037F1C4C" w14:textId="77777777" w:rsidR="005C142D" w:rsidRPr="00FA3F9C" w:rsidRDefault="005C142D" w:rsidP="005355E0">
                  <w:pPr>
                    <w:rPr>
                      <w:rFonts w:ascii="Arial" w:hAnsi="Arial" w:cs="Arial"/>
                      <w:sz w:val="24"/>
                      <w:szCs w:val="24"/>
                    </w:rPr>
                  </w:pPr>
                  <w:r w:rsidRPr="00FA3F9C">
                    <w:rPr>
                      <w:rFonts w:ascii="Arial" w:hAnsi="Arial" w:cs="Arial"/>
                      <w:sz w:val="24"/>
                      <w:szCs w:val="24"/>
                    </w:rPr>
                    <w:t>% all cause dose reduction of chemo</w:t>
                  </w:r>
                </w:p>
              </w:tc>
              <w:tc>
                <w:tcPr>
                  <w:tcW w:w="1260" w:type="dxa"/>
                  <w:gridSpan w:val="2"/>
                  <w:vAlign w:val="center"/>
                </w:tcPr>
                <w:p w14:paraId="3E6D3333" w14:textId="77777777" w:rsidR="005C142D" w:rsidRPr="00FA3F9C" w:rsidRDefault="005C142D" w:rsidP="005355E0">
                  <w:pPr>
                    <w:rPr>
                      <w:rFonts w:ascii="Arial" w:hAnsi="Arial" w:cs="Arial"/>
                      <w:sz w:val="24"/>
                      <w:szCs w:val="24"/>
                    </w:rPr>
                  </w:pPr>
                  <w:r w:rsidRPr="00FA3F9C">
                    <w:rPr>
                      <w:rFonts w:ascii="Arial" w:hAnsi="Arial" w:cs="Arial"/>
                      <w:sz w:val="24"/>
                      <w:szCs w:val="24"/>
                    </w:rPr>
                    <w:t>19%</w:t>
                  </w:r>
                </w:p>
              </w:tc>
              <w:tc>
                <w:tcPr>
                  <w:tcW w:w="1090" w:type="dxa"/>
                  <w:vAlign w:val="center"/>
                </w:tcPr>
                <w:p w14:paraId="7E521014" w14:textId="77777777" w:rsidR="005C142D" w:rsidRPr="00FA3F9C" w:rsidRDefault="005C142D" w:rsidP="005355E0">
                  <w:pPr>
                    <w:rPr>
                      <w:rFonts w:ascii="Arial" w:hAnsi="Arial" w:cs="Arial"/>
                      <w:sz w:val="24"/>
                      <w:szCs w:val="24"/>
                    </w:rPr>
                  </w:pPr>
                  <w:r w:rsidRPr="00FA3F9C">
                    <w:rPr>
                      <w:rFonts w:ascii="Arial" w:hAnsi="Arial" w:cs="Arial"/>
                      <w:sz w:val="24"/>
                      <w:szCs w:val="24"/>
                    </w:rPr>
                    <w:t>31%</w:t>
                  </w:r>
                </w:p>
              </w:tc>
            </w:tr>
            <w:tr w:rsidR="005C142D" w:rsidRPr="00FA3F9C" w14:paraId="37EB7776" w14:textId="77777777" w:rsidTr="001137EC">
              <w:trPr>
                <w:trHeight w:val="162"/>
              </w:trPr>
              <w:tc>
                <w:tcPr>
                  <w:tcW w:w="1975" w:type="dxa"/>
                  <w:vMerge/>
                </w:tcPr>
                <w:p w14:paraId="02A8501F" w14:textId="77777777" w:rsidR="005C142D" w:rsidRPr="00FA3F9C" w:rsidRDefault="005C142D" w:rsidP="005355E0">
                  <w:pPr>
                    <w:rPr>
                      <w:rFonts w:ascii="Arial" w:hAnsi="Arial" w:cs="Arial"/>
                      <w:sz w:val="24"/>
                      <w:szCs w:val="24"/>
                    </w:rPr>
                  </w:pPr>
                </w:p>
              </w:tc>
              <w:tc>
                <w:tcPr>
                  <w:tcW w:w="4140" w:type="dxa"/>
                  <w:vMerge/>
                </w:tcPr>
                <w:p w14:paraId="0E16734E" w14:textId="77777777" w:rsidR="005C142D" w:rsidRPr="00FA3F9C" w:rsidRDefault="005C142D" w:rsidP="005355E0">
                  <w:pPr>
                    <w:rPr>
                      <w:rFonts w:ascii="Arial" w:hAnsi="Arial" w:cs="Arial"/>
                      <w:sz w:val="24"/>
                      <w:szCs w:val="24"/>
                    </w:rPr>
                  </w:pPr>
                </w:p>
              </w:tc>
              <w:tc>
                <w:tcPr>
                  <w:tcW w:w="2610" w:type="dxa"/>
                  <w:vAlign w:val="center"/>
                </w:tcPr>
                <w:p w14:paraId="0E523A1A" w14:textId="77777777" w:rsidR="005C142D" w:rsidRPr="00FA3F9C" w:rsidRDefault="005C142D" w:rsidP="005355E0">
                  <w:pPr>
                    <w:rPr>
                      <w:rFonts w:ascii="Arial" w:hAnsi="Arial" w:cs="Arial"/>
                      <w:sz w:val="24"/>
                      <w:szCs w:val="24"/>
                    </w:rPr>
                  </w:pPr>
                  <w:r w:rsidRPr="00FA3F9C">
                    <w:rPr>
                      <w:rFonts w:ascii="Arial" w:hAnsi="Arial" w:cs="Arial"/>
                      <w:sz w:val="24"/>
                      <w:szCs w:val="24"/>
                    </w:rPr>
                    <w:t>% of patients with RBC transfusion on/after 5 weeks</w:t>
                  </w:r>
                </w:p>
              </w:tc>
              <w:tc>
                <w:tcPr>
                  <w:tcW w:w="1260" w:type="dxa"/>
                  <w:gridSpan w:val="2"/>
                  <w:vAlign w:val="center"/>
                </w:tcPr>
                <w:p w14:paraId="038BBBDC" w14:textId="77777777" w:rsidR="005C142D" w:rsidRPr="00FA3F9C" w:rsidRDefault="005C142D" w:rsidP="005355E0">
                  <w:pPr>
                    <w:rPr>
                      <w:rFonts w:ascii="Arial" w:hAnsi="Arial" w:cs="Arial"/>
                      <w:sz w:val="24"/>
                      <w:szCs w:val="24"/>
                    </w:rPr>
                  </w:pPr>
                  <w:r w:rsidRPr="00FA3F9C">
                    <w:rPr>
                      <w:rFonts w:ascii="Arial" w:hAnsi="Arial" w:cs="Arial"/>
                      <w:sz w:val="24"/>
                      <w:szCs w:val="24"/>
                    </w:rPr>
                    <w:t>31%</w:t>
                  </w:r>
                </w:p>
              </w:tc>
              <w:tc>
                <w:tcPr>
                  <w:tcW w:w="1090" w:type="dxa"/>
                  <w:vAlign w:val="center"/>
                </w:tcPr>
                <w:p w14:paraId="22B2942E" w14:textId="77777777" w:rsidR="005C142D" w:rsidRPr="00FA3F9C" w:rsidRDefault="005C142D" w:rsidP="005355E0">
                  <w:pPr>
                    <w:rPr>
                      <w:rFonts w:ascii="Arial" w:hAnsi="Arial" w:cs="Arial"/>
                      <w:sz w:val="24"/>
                      <w:szCs w:val="24"/>
                    </w:rPr>
                  </w:pPr>
                  <w:r w:rsidRPr="00FA3F9C">
                    <w:rPr>
                      <w:rFonts w:ascii="Arial" w:hAnsi="Arial" w:cs="Arial"/>
                      <w:sz w:val="24"/>
                      <w:szCs w:val="24"/>
                    </w:rPr>
                    <w:t>41%</w:t>
                  </w:r>
                </w:p>
              </w:tc>
            </w:tr>
            <w:tr w:rsidR="005C142D" w:rsidRPr="00FA3F9C" w14:paraId="03274129" w14:textId="77777777" w:rsidTr="001137EC">
              <w:trPr>
                <w:trHeight w:val="162"/>
              </w:trPr>
              <w:tc>
                <w:tcPr>
                  <w:tcW w:w="1975" w:type="dxa"/>
                  <w:vMerge/>
                </w:tcPr>
                <w:p w14:paraId="5F52C008" w14:textId="77777777" w:rsidR="005C142D" w:rsidRPr="00FA3F9C" w:rsidRDefault="005C142D" w:rsidP="005355E0">
                  <w:pPr>
                    <w:rPr>
                      <w:rFonts w:ascii="Arial" w:hAnsi="Arial" w:cs="Arial"/>
                      <w:sz w:val="24"/>
                      <w:szCs w:val="24"/>
                    </w:rPr>
                  </w:pPr>
                </w:p>
              </w:tc>
              <w:tc>
                <w:tcPr>
                  <w:tcW w:w="4140" w:type="dxa"/>
                  <w:vMerge/>
                </w:tcPr>
                <w:p w14:paraId="049DEEC4" w14:textId="77777777" w:rsidR="005C142D" w:rsidRPr="00FA3F9C" w:rsidRDefault="005C142D" w:rsidP="005355E0">
                  <w:pPr>
                    <w:rPr>
                      <w:rFonts w:ascii="Arial" w:hAnsi="Arial" w:cs="Arial"/>
                      <w:sz w:val="24"/>
                      <w:szCs w:val="24"/>
                    </w:rPr>
                  </w:pPr>
                </w:p>
              </w:tc>
              <w:tc>
                <w:tcPr>
                  <w:tcW w:w="2610" w:type="dxa"/>
                  <w:vAlign w:val="center"/>
                </w:tcPr>
                <w:p w14:paraId="39DD9258" w14:textId="77777777" w:rsidR="005C142D" w:rsidRPr="00FA3F9C" w:rsidRDefault="005C142D" w:rsidP="005355E0">
                  <w:pPr>
                    <w:rPr>
                      <w:rFonts w:ascii="Arial" w:hAnsi="Arial" w:cs="Arial"/>
                      <w:sz w:val="24"/>
                      <w:szCs w:val="24"/>
                    </w:rPr>
                  </w:pPr>
                  <w:r w:rsidRPr="00FA3F9C">
                    <w:rPr>
                      <w:rFonts w:ascii="Arial" w:hAnsi="Arial" w:cs="Arial"/>
                      <w:sz w:val="24"/>
                      <w:szCs w:val="24"/>
                    </w:rPr>
                    <w:t>% of patients with G-CSF administration</w:t>
                  </w:r>
                </w:p>
              </w:tc>
              <w:tc>
                <w:tcPr>
                  <w:tcW w:w="1260" w:type="dxa"/>
                  <w:gridSpan w:val="2"/>
                  <w:vAlign w:val="center"/>
                </w:tcPr>
                <w:p w14:paraId="04441C34" w14:textId="77777777" w:rsidR="005C142D" w:rsidRPr="00FA3F9C" w:rsidRDefault="005C142D" w:rsidP="005355E0">
                  <w:pPr>
                    <w:rPr>
                      <w:rFonts w:ascii="Arial" w:hAnsi="Arial" w:cs="Arial"/>
                      <w:sz w:val="24"/>
                      <w:szCs w:val="24"/>
                    </w:rPr>
                  </w:pPr>
                  <w:r w:rsidRPr="00FA3F9C">
                    <w:rPr>
                      <w:rFonts w:ascii="Arial" w:hAnsi="Arial" w:cs="Arial"/>
                      <w:sz w:val="24"/>
                      <w:szCs w:val="24"/>
                    </w:rPr>
                    <w:t>50%</w:t>
                  </w:r>
                </w:p>
              </w:tc>
              <w:tc>
                <w:tcPr>
                  <w:tcW w:w="1090" w:type="dxa"/>
                  <w:vAlign w:val="center"/>
                </w:tcPr>
                <w:p w14:paraId="43FAAF63" w14:textId="77777777" w:rsidR="005C142D" w:rsidRPr="00FA3F9C" w:rsidRDefault="005C142D" w:rsidP="005355E0">
                  <w:pPr>
                    <w:rPr>
                      <w:rFonts w:ascii="Arial" w:hAnsi="Arial" w:cs="Arial"/>
                      <w:sz w:val="24"/>
                      <w:szCs w:val="24"/>
                    </w:rPr>
                  </w:pPr>
                  <w:r w:rsidRPr="00FA3F9C">
                    <w:rPr>
                      <w:rFonts w:ascii="Arial" w:hAnsi="Arial" w:cs="Arial"/>
                      <w:sz w:val="24"/>
                      <w:szCs w:val="24"/>
                    </w:rPr>
                    <w:t>66%</w:t>
                  </w:r>
                </w:p>
              </w:tc>
            </w:tr>
            <w:tr w:rsidR="005C142D" w:rsidRPr="00FA3F9C" w14:paraId="01A2B110" w14:textId="77777777" w:rsidTr="001137EC">
              <w:trPr>
                <w:trHeight w:val="162"/>
              </w:trPr>
              <w:tc>
                <w:tcPr>
                  <w:tcW w:w="1975" w:type="dxa"/>
                  <w:vMerge/>
                </w:tcPr>
                <w:p w14:paraId="13FB6D5B" w14:textId="77777777" w:rsidR="005C142D" w:rsidRPr="00FA3F9C" w:rsidRDefault="005C142D" w:rsidP="005355E0">
                  <w:pPr>
                    <w:rPr>
                      <w:rFonts w:ascii="Arial" w:hAnsi="Arial" w:cs="Arial"/>
                      <w:sz w:val="24"/>
                      <w:szCs w:val="24"/>
                    </w:rPr>
                  </w:pPr>
                </w:p>
              </w:tc>
              <w:tc>
                <w:tcPr>
                  <w:tcW w:w="4140" w:type="dxa"/>
                  <w:vMerge/>
                </w:tcPr>
                <w:p w14:paraId="2F9EFD06" w14:textId="77777777" w:rsidR="005C142D" w:rsidRPr="00FA3F9C" w:rsidRDefault="005C142D" w:rsidP="005355E0">
                  <w:pPr>
                    <w:rPr>
                      <w:rFonts w:ascii="Arial" w:hAnsi="Arial" w:cs="Arial"/>
                      <w:sz w:val="24"/>
                      <w:szCs w:val="24"/>
                    </w:rPr>
                  </w:pPr>
                </w:p>
              </w:tc>
              <w:tc>
                <w:tcPr>
                  <w:tcW w:w="4960" w:type="dxa"/>
                  <w:gridSpan w:val="4"/>
                  <w:shd w:val="clear" w:color="auto" w:fill="F2F2F2" w:themeFill="background1" w:themeFillShade="F2"/>
                  <w:vAlign w:val="center"/>
                </w:tcPr>
                <w:p w14:paraId="015DAC2B" w14:textId="77777777" w:rsidR="005C142D" w:rsidRPr="00FA3F9C" w:rsidRDefault="005C142D" w:rsidP="005355E0">
                  <w:pPr>
                    <w:rPr>
                      <w:rFonts w:ascii="Arial" w:hAnsi="Arial" w:cs="Arial"/>
                      <w:sz w:val="24"/>
                      <w:szCs w:val="24"/>
                    </w:rPr>
                  </w:pPr>
                  <w:r w:rsidRPr="00FA3F9C">
                    <w:rPr>
                      <w:rFonts w:ascii="Arial" w:hAnsi="Arial" w:cs="Arial"/>
                      <w:sz w:val="24"/>
                      <w:szCs w:val="24"/>
                    </w:rPr>
                    <w:t xml:space="preserve">Quality of life assessments </w:t>
                  </w:r>
                </w:p>
              </w:tc>
            </w:tr>
            <w:tr w:rsidR="005C142D" w:rsidRPr="00FA3F9C" w14:paraId="0C258A90" w14:textId="77777777" w:rsidTr="001137EC">
              <w:trPr>
                <w:trHeight w:val="162"/>
              </w:trPr>
              <w:tc>
                <w:tcPr>
                  <w:tcW w:w="1975" w:type="dxa"/>
                  <w:vMerge/>
                </w:tcPr>
                <w:p w14:paraId="596F5235" w14:textId="77777777" w:rsidR="005C142D" w:rsidRPr="00FA3F9C" w:rsidRDefault="005C142D" w:rsidP="005355E0">
                  <w:pPr>
                    <w:rPr>
                      <w:rFonts w:ascii="Arial" w:hAnsi="Arial" w:cs="Arial"/>
                      <w:sz w:val="24"/>
                      <w:szCs w:val="24"/>
                    </w:rPr>
                  </w:pPr>
                </w:p>
              </w:tc>
              <w:tc>
                <w:tcPr>
                  <w:tcW w:w="4140" w:type="dxa"/>
                  <w:vMerge/>
                </w:tcPr>
                <w:p w14:paraId="1EB1A4B7" w14:textId="77777777" w:rsidR="005C142D" w:rsidRPr="00FA3F9C" w:rsidRDefault="005C142D" w:rsidP="005355E0">
                  <w:pPr>
                    <w:rPr>
                      <w:rFonts w:ascii="Arial" w:hAnsi="Arial" w:cs="Arial"/>
                      <w:sz w:val="24"/>
                      <w:szCs w:val="24"/>
                    </w:rPr>
                  </w:pPr>
                </w:p>
              </w:tc>
              <w:tc>
                <w:tcPr>
                  <w:tcW w:w="4960" w:type="dxa"/>
                  <w:gridSpan w:val="4"/>
                  <w:vAlign w:val="center"/>
                </w:tcPr>
                <w:p w14:paraId="2008C977" w14:textId="77777777" w:rsidR="005C142D" w:rsidRPr="00FA3F9C" w:rsidRDefault="005C142D" w:rsidP="005355E0">
                  <w:pPr>
                    <w:rPr>
                      <w:rFonts w:ascii="Arial" w:hAnsi="Arial" w:cs="Arial"/>
                      <w:sz w:val="24"/>
                      <w:szCs w:val="24"/>
                    </w:rPr>
                  </w:pPr>
                  <w:r w:rsidRPr="00FA3F9C">
                    <w:rPr>
                      <w:rFonts w:ascii="Arial" w:hAnsi="Arial" w:cs="Arial"/>
                      <w:sz w:val="24"/>
                      <w:szCs w:val="24"/>
                    </w:rPr>
                    <w:t>Median time to deterioration (each of the following comparisons had HR &lt;1 with 95% CI that did not cross 1.0)</w:t>
                  </w:r>
                </w:p>
              </w:tc>
            </w:tr>
            <w:tr w:rsidR="005C142D" w:rsidRPr="00FA3F9C" w14:paraId="08426870" w14:textId="77777777" w:rsidTr="001137EC">
              <w:trPr>
                <w:trHeight w:val="162"/>
              </w:trPr>
              <w:tc>
                <w:tcPr>
                  <w:tcW w:w="1975" w:type="dxa"/>
                  <w:vMerge/>
                </w:tcPr>
                <w:p w14:paraId="17416FDC" w14:textId="77777777" w:rsidR="005C142D" w:rsidRPr="00FA3F9C" w:rsidRDefault="005C142D" w:rsidP="005355E0">
                  <w:pPr>
                    <w:rPr>
                      <w:rFonts w:ascii="Arial" w:hAnsi="Arial" w:cs="Arial"/>
                      <w:sz w:val="24"/>
                      <w:szCs w:val="24"/>
                    </w:rPr>
                  </w:pPr>
                </w:p>
              </w:tc>
              <w:tc>
                <w:tcPr>
                  <w:tcW w:w="4140" w:type="dxa"/>
                  <w:vMerge/>
                </w:tcPr>
                <w:p w14:paraId="446D1194" w14:textId="77777777" w:rsidR="005C142D" w:rsidRPr="00FA3F9C" w:rsidRDefault="005C142D" w:rsidP="005355E0">
                  <w:pPr>
                    <w:rPr>
                      <w:rFonts w:ascii="Arial" w:hAnsi="Arial" w:cs="Arial"/>
                      <w:sz w:val="24"/>
                      <w:szCs w:val="24"/>
                    </w:rPr>
                  </w:pPr>
                </w:p>
              </w:tc>
              <w:tc>
                <w:tcPr>
                  <w:tcW w:w="2610" w:type="dxa"/>
                  <w:vAlign w:val="center"/>
                </w:tcPr>
                <w:p w14:paraId="27483F9F" w14:textId="77777777" w:rsidR="005C142D" w:rsidRPr="00FA3F9C" w:rsidRDefault="005C142D" w:rsidP="005355E0">
                  <w:pPr>
                    <w:ind w:left="430"/>
                    <w:rPr>
                      <w:rFonts w:ascii="Arial" w:hAnsi="Arial" w:cs="Arial"/>
                      <w:sz w:val="24"/>
                      <w:szCs w:val="24"/>
                    </w:rPr>
                  </w:pPr>
                  <w:r w:rsidRPr="00FA3F9C">
                    <w:rPr>
                      <w:rFonts w:ascii="Arial" w:hAnsi="Arial" w:cs="Arial"/>
                      <w:sz w:val="24"/>
                      <w:szCs w:val="24"/>
                    </w:rPr>
                    <w:t>Physical well being</w:t>
                  </w:r>
                </w:p>
              </w:tc>
              <w:tc>
                <w:tcPr>
                  <w:tcW w:w="1260" w:type="dxa"/>
                  <w:gridSpan w:val="2"/>
                  <w:vAlign w:val="center"/>
                </w:tcPr>
                <w:p w14:paraId="19BD7CF9" w14:textId="77777777" w:rsidR="005C142D" w:rsidRPr="00FA3F9C" w:rsidRDefault="005C142D" w:rsidP="005355E0">
                  <w:pPr>
                    <w:rPr>
                      <w:rFonts w:ascii="Arial" w:hAnsi="Arial" w:cs="Arial"/>
                      <w:sz w:val="24"/>
                      <w:szCs w:val="24"/>
                    </w:rPr>
                  </w:pPr>
                  <w:r w:rsidRPr="00FA3F9C">
                    <w:rPr>
                      <w:rFonts w:ascii="Arial" w:hAnsi="Arial" w:cs="Arial"/>
                      <w:sz w:val="24"/>
                      <w:szCs w:val="24"/>
                    </w:rPr>
                    <w:t>Not reached</w:t>
                  </w:r>
                </w:p>
              </w:tc>
              <w:tc>
                <w:tcPr>
                  <w:tcW w:w="1090" w:type="dxa"/>
                  <w:vAlign w:val="center"/>
                </w:tcPr>
                <w:p w14:paraId="15701781" w14:textId="77777777" w:rsidR="005C142D" w:rsidRPr="00FA3F9C" w:rsidRDefault="005C142D" w:rsidP="005355E0">
                  <w:pPr>
                    <w:rPr>
                      <w:rFonts w:ascii="Arial" w:hAnsi="Arial" w:cs="Arial"/>
                      <w:sz w:val="24"/>
                      <w:szCs w:val="24"/>
                    </w:rPr>
                  </w:pPr>
                  <w:r w:rsidRPr="00FA3F9C">
                    <w:rPr>
                      <w:rFonts w:ascii="Arial" w:hAnsi="Arial" w:cs="Arial"/>
                      <w:sz w:val="24"/>
                      <w:szCs w:val="24"/>
                    </w:rPr>
                    <w:t xml:space="preserve">1.64 </w:t>
                  </w:r>
                  <w:proofErr w:type="spellStart"/>
                  <w:r w:rsidRPr="00FA3F9C">
                    <w:rPr>
                      <w:rFonts w:ascii="Arial" w:hAnsi="Arial" w:cs="Arial"/>
                      <w:sz w:val="24"/>
                      <w:szCs w:val="24"/>
                    </w:rPr>
                    <w:t>mo</w:t>
                  </w:r>
                  <w:proofErr w:type="spellEnd"/>
                </w:p>
              </w:tc>
            </w:tr>
            <w:tr w:rsidR="005C142D" w:rsidRPr="00FA3F9C" w14:paraId="7E4E3056" w14:textId="77777777" w:rsidTr="001137EC">
              <w:trPr>
                <w:trHeight w:val="162"/>
              </w:trPr>
              <w:tc>
                <w:tcPr>
                  <w:tcW w:w="1975" w:type="dxa"/>
                  <w:vMerge/>
                </w:tcPr>
                <w:p w14:paraId="76AD497B" w14:textId="77777777" w:rsidR="005C142D" w:rsidRPr="00FA3F9C" w:rsidRDefault="005C142D" w:rsidP="005355E0">
                  <w:pPr>
                    <w:rPr>
                      <w:rFonts w:ascii="Arial" w:hAnsi="Arial" w:cs="Arial"/>
                      <w:sz w:val="24"/>
                      <w:szCs w:val="24"/>
                    </w:rPr>
                  </w:pPr>
                </w:p>
              </w:tc>
              <w:tc>
                <w:tcPr>
                  <w:tcW w:w="4140" w:type="dxa"/>
                  <w:vMerge/>
                </w:tcPr>
                <w:p w14:paraId="70E8E7BF" w14:textId="77777777" w:rsidR="005C142D" w:rsidRPr="00FA3F9C" w:rsidRDefault="005C142D" w:rsidP="005355E0">
                  <w:pPr>
                    <w:rPr>
                      <w:rFonts w:ascii="Arial" w:hAnsi="Arial" w:cs="Arial"/>
                      <w:sz w:val="24"/>
                      <w:szCs w:val="24"/>
                    </w:rPr>
                  </w:pPr>
                </w:p>
              </w:tc>
              <w:tc>
                <w:tcPr>
                  <w:tcW w:w="2610" w:type="dxa"/>
                  <w:vAlign w:val="center"/>
                </w:tcPr>
                <w:p w14:paraId="320F722A" w14:textId="77777777" w:rsidR="005C142D" w:rsidRPr="00FA3F9C" w:rsidRDefault="005C142D" w:rsidP="005355E0">
                  <w:pPr>
                    <w:ind w:left="430"/>
                    <w:rPr>
                      <w:rFonts w:ascii="Arial" w:hAnsi="Arial" w:cs="Arial"/>
                      <w:sz w:val="24"/>
                      <w:szCs w:val="24"/>
                    </w:rPr>
                  </w:pPr>
                  <w:r w:rsidRPr="00FA3F9C">
                    <w:rPr>
                      <w:rFonts w:ascii="Arial" w:hAnsi="Arial" w:cs="Arial"/>
                      <w:sz w:val="24"/>
                      <w:szCs w:val="24"/>
                    </w:rPr>
                    <w:t>Lung cancer symptoms</w:t>
                  </w:r>
                </w:p>
              </w:tc>
              <w:tc>
                <w:tcPr>
                  <w:tcW w:w="1260" w:type="dxa"/>
                  <w:gridSpan w:val="2"/>
                  <w:vAlign w:val="center"/>
                </w:tcPr>
                <w:p w14:paraId="159B7EC4" w14:textId="77777777" w:rsidR="005C142D" w:rsidRPr="00FA3F9C" w:rsidRDefault="005C142D" w:rsidP="005355E0">
                  <w:pPr>
                    <w:rPr>
                      <w:rFonts w:ascii="Arial" w:hAnsi="Arial" w:cs="Arial"/>
                      <w:sz w:val="24"/>
                      <w:szCs w:val="24"/>
                    </w:rPr>
                  </w:pPr>
                  <w:r w:rsidRPr="00FA3F9C">
                    <w:rPr>
                      <w:rFonts w:ascii="Arial" w:hAnsi="Arial" w:cs="Arial"/>
                      <w:sz w:val="24"/>
                      <w:szCs w:val="24"/>
                    </w:rPr>
                    <w:t>Not reached</w:t>
                  </w:r>
                </w:p>
              </w:tc>
              <w:tc>
                <w:tcPr>
                  <w:tcW w:w="1090" w:type="dxa"/>
                  <w:vAlign w:val="center"/>
                </w:tcPr>
                <w:p w14:paraId="095ADFF3" w14:textId="77777777" w:rsidR="005C142D" w:rsidRPr="00FA3F9C" w:rsidRDefault="005C142D" w:rsidP="005355E0">
                  <w:pPr>
                    <w:rPr>
                      <w:rFonts w:ascii="Arial" w:hAnsi="Arial" w:cs="Arial"/>
                      <w:sz w:val="24"/>
                      <w:szCs w:val="24"/>
                    </w:rPr>
                  </w:pPr>
                  <w:r w:rsidRPr="00FA3F9C">
                    <w:rPr>
                      <w:rFonts w:ascii="Arial" w:hAnsi="Arial" w:cs="Arial"/>
                      <w:sz w:val="24"/>
                      <w:szCs w:val="24"/>
                    </w:rPr>
                    <w:t xml:space="preserve">10 </w:t>
                  </w:r>
                  <w:proofErr w:type="spellStart"/>
                  <w:r w:rsidRPr="00FA3F9C">
                    <w:rPr>
                      <w:rFonts w:ascii="Arial" w:hAnsi="Arial" w:cs="Arial"/>
                      <w:sz w:val="24"/>
                      <w:szCs w:val="24"/>
                    </w:rPr>
                    <w:t>mo</w:t>
                  </w:r>
                  <w:proofErr w:type="spellEnd"/>
                </w:p>
              </w:tc>
            </w:tr>
            <w:tr w:rsidR="005C142D" w:rsidRPr="00FA3F9C" w14:paraId="3700ADE4" w14:textId="77777777" w:rsidTr="001137EC">
              <w:trPr>
                <w:trHeight w:val="162"/>
              </w:trPr>
              <w:tc>
                <w:tcPr>
                  <w:tcW w:w="1975" w:type="dxa"/>
                  <w:vMerge/>
                </w:tcPr>
                <w:p w14:paraId="18A142E3" w14:textId="77777777" w:rsidR="005C142D" w:rsidRPr="00FA3F9C" w:rsidRDefault="005C142D" w:rsidP="005355E0">
                  <w:pPr>
                    <w:rPr>
                      <w:rFonts w:ascii="Arial" w:hAnsi="Arial" w:cs="Arial"/>
                      <w:sz w:val="24"/>
                      <w:szCs w:val="24"/>
                    </w:rPr>
                  </w:pPr>
                </w:p>
              </w:tc>
              <w:tc>
                <w:tcPr>
                  <w:tcW w:w="4140" w:type="dxa"/>
                  <w:vMerge/>
                </w:tcPr>
                <w:p w14:paraId="7D8FCAD0" w14:textId="77777777" w:rsidR="005C142D" w:rsidRPr="00FA3F9C" w:rsidRDefault="005C142D" w:rsidP="005355E0">
                  <w:pPr>
                    <w:rPr>
                      <w:rFonts w:ascii="Arial" w:hAnsi="Arial" w:cs="Arial"/>
                      <w:sz w:val="24"/>
                      <w:szCs w:val="24"/>
                    </w:rPr>
                  </w:pPr>
                </w:p>
              </w:tc>
              <w:tc>
                <w:tcPr>
                  <w:tcW w:w="2610" w:type="dxa"/>
                  <w:vAlign w:val="center"/>
                </w:tcPr>
                <w:p w14:paraId="1064914A" w14:textId="77777777" w:rsidR="005C142D" w:rsidRPr="00FA3F9C" w:rsidRDefault="005C142D" w:rsidP="005355E0">
                  <w:pPr>
                    <w:ind w:left="430"/>
                    <w:rPr>
                      <w:rFonts w:ascii="Arial" w:hAnsi="Arial" w:cs="Arial"/>
                      <w:sz w:val="24"/>
                      <w:szCs w:val="24"/>
                    </w:rPr>
                  </w:pPr>
                  <w:r w:rsidRPr="00FA3F9C">
                    <w:rPr>
                      <w:rFonts w:ascii="Arial" w:hAnsi="Arial" w:cs="Arial"/>
                      <w:sz w:val="24"/>
                      <w:szCs w:val="24"/>
                    </w:rPr>
                    <w:t>Fact-fatigue</w:t>
                  </w:r>
                </w:p>
              </w:tc>
              <w:tc>
                <w:tcPr>
                  <w:tcW w:w="1260" w:type="dxa"/>
                  <w:gridSpan w:val="2"/>
                  <w:vAlign w:val="center"/>
                </w:tcPr>
                <w:p w14:paraId="7D2683F1" w14:textId="77777777" w:rsidR="005C142D" w:rsidRPr="00FA3F9C" w:rsidRDefault="005C142D" w:rsidP="005355E0">
                  <w:pPr>
                    <w:rPr>
                      <w:rFonts w:ascii="Arial" w:hAnsi="Arial" w:cs="Arial"/>
                      <w:sz w:val="24"/>
                      <w:szCs w:val="24"/>
                    </w:rPr>
                  </w:pPr>
                  <w:r w:rsidRPr="00FA3F9C">
                    <w:rPr>
                      <w:rFonts w:ascii="Arial" w:hAnsi="Arial" w:cs="Arial"/>
                      <w:sz w:val="24"/>
                      <w:szCs w:val="24"/>
                    </w:rPr>
                    <w:t xml:space="preserve">3.09 </w:t>
                  </w:r>
                  <w:proofErr w:type="spellStart"/>
                  <w:r w:rsidRPr="00FA3F9C">
                    <w:rPr>
                      <w:rFonts w:ascii="Arial" w:hAnsi="Arial" w:cs="Arial"/>
                      <w:sz w:val="24"/>
                      <w:szCs w:val="24"/>
                    </w:rPr>
                    <w:t>mo</w:t>
                  </w:r>
                  <w:proofErr w:type="spellEnd"/>
                </w:p>
              </w:tc>
              <w:tc>
                <w:tcPr>
                  <w:tcW w:w="1090" w:type="dxa"/>
                  <w:vAlign w:val="center"/>
                </w:tcPr>
                <w:p w14:paraId="49A0C05E" w14:textId="77777777" w:rsidR="005C142D" w:rsidRPr="00FA3F9C" w:rsidRDefault="005C142D" w:rsidP="005355E0">
                  <w:pPr>
                    <w:rPr>
                      <w:rFonts w:ascii="Arial" w:hAnsi="Arial" w:cs="Arial"/>
                      <w:sz w:val="24"/>
                      <w:szCs w:val="24"/>
                    </w:rPr>
                  </w:pPr>
                  <w:r w:rsidRPr="00FA3F9C">
                    <w:rPr>
                      <w:rFonts w:ascii="Arial" w:hAnsi="Arial" w:cs="Arial"/>
                      <w:sz w:val="24"/>
                      <w:szCs w:val="24"/>
                    </w:rPr>
                    <w:t xml:space="preserve">0.95 </w:t>
                  </w:r>
                  <w:proofErr w:type="spellStart"/>
                  <w:r w:rsidRPr="00FA3F9C">
                    <w:rPr>
                      <w:rFonts w:ascii="Arial" w:hAnsi="Arial" w:cs="Arial"/>
                      <w:sz w:val="24"/>
                      <w:szCs w:val="24"/>
                    </w:rPr>
                    <w:t>mo</w:t>
                  </w:r>
                  <w:proofErr w:type="spellEnd"/>
                </w:p>
              </w:tc>
            </w:tr>
            <w:tr w:rsidR="005C142D" w:rsidRPr="00FA3F9C" w14:paraId="4B3B38EB" w14:textId="77777777" w:rsidTr="001137EC">
              <w:trPr>
                <w:trHeight w:val="162"/>
              </w:trPr>
              <w:tc>
                <w:tcPr>
                  <w:tcW w:w="1975" w:type="dxa"/>
                  <w:vMerge/>
                </w:tcPr>
                <w:p w14:paraId="301BD234" w14:textId="77777777" w:rsidR="005C142D" w:rsidRPr="00FA3F9C" w:rsidRDefault="005C142D" w:rsidP="005355E0">
                  <w:pPr>
                    <w:rPr>
                      <w:rFonts w:ascii="Arial" w:hAnsi="Arial" w:cs="Arial"/>
                      <w:sz w:val="24"/>
                      <w:szCs w:val="24"/>
                    </w:rPr>
                  </w:pPr>
                </w:p>
              </w:tc>
              <w:tc>
                <w:tcPr>
                  <w:tcW w:w="4140" w:type="dxa"/>
                  <w:vMerge/>
                </w:tcPr>
                <w:p w14:paraId="365BEE95" w14:textId="77777777" w:rsidR="005C142D" w:rsidRPr="00FA3F9C" w:rsidRDefault="005C142D" w:rsidP="005355E0">
                  <w:pPr>
                    <w:rPr>
                      <w:rFonts w:ascii="Arial" w:hAnsi="Arial" w:cs="Arial"/>
                      <w:sz w:val="24"/>
                      <w:szCs w:val="24"/>
                    </w:rPr>
                  </w:pPr>
                </w:p>
              </w:tc>
              <w:tc>
                <w:tcPr>
                  <w:tcW w:w="4960" w:type="dxa"/>
                  <w:gridSpan w:val="4"/>
                  <w:vAlign w:val="center"/>
                </w:tcPr>
                <w:p w14:paraId="7FDC8DDC" w14:textId="77777777" w:rsidR="005C142D" w:rsidRPr="00FA3F9C" w:rsidRDefault="005C142D" w:rsidP="005355E0">
                  <w:pPr>
                    <w:rPr>
                      <w:rFonts w:ascii="Arial" w:hAnsi="Arial" w:cs="Arial"/>
                      <w:sz w:val="24"/>
                      <w:szCs w:val="24"/>
                    </w:rPr>
                  </w:pPr>
                  <w:r w:rsidRPr="00FA3F9C">
                    <w:rPr>
                      <w:rFonts w:ascii="Arial" w:hAnsi="Arial" w:cs="Arial"/>
                      <w:sz w:val="24"/>
                      <w:szCs w:val="24"/>
                    </w:rPr>
                    <w:t xml:space="preserve">For each of the following comparisons of time to deterioration, 95% CI crossed 1.0:  functional wellbeing, emotional wellbeing, social wellbeing, lung trial outcome index </w:t>
                  </w:r>
                </w:p>
              </w:tc>
            </w:tr>
            <w:tr w:rsidR="005C142D" w:rsidRPr="00FA3F9C" w14:paraId="6AF92757" w14:textId="77777777" w:rsidTr="001137EC">
              <w:trPr>
                <w:trHeight w:val="162"/>
              </w:trPr>
              <w:tc>
                <w:tcPr>
                  <w:tcW w:w="1975" w:type="dxa"/>
                  <w:vMerge/>
                </w:tcPr>
                <w:p w14:paraId="3A035CEC" w14:textId="77777777" w:rsidR="005C142D" w:rsidRPr="00FA3F9C" w:rsidRDefault="005C142D" w:rsidP="005355E0">
                  <w:pPr>
                    <w:rPr>
                      <w:rFonts w:ascii="Arial" w:hAnsi="Arial" w:cs="Arial"/>
                      <w:sz w:val="24"/>
                      <w:szCs w:val="24"/>
                    </w:rPr>
                  </w:pPr>
                </w:p>
              </w:tc>
              <w:tc>
                <w:tcPr>
                  <w:tcW w:w="4140" w:type="dxa"/>
                  <w:vMerge/>
                </w:tcPr>
                <w:p w14:paraId="2E10A380" w14:textId="77777777" w:rsidR="005C142D" w:rsidRPr="00FA3F9C" w:rsidRDefault="005C142D" w:rsidP="005355E0">
                  <w:pPr>
                    <w:rPr>
                      <w:rFonts w:ascii="Arial" w:hAnsi="Arial" w:cs="Arial"/>
                      <w:sz w:val="24"/>
                      <w:szCs w:val="24"/>
                    </w:rPr>
                  </w:pPr>
                </w:p>
              </w:tc>
              <w:tc>
                <w:tcPr>
                  <w:tcW w:w="2610" w:type="dxa"/>
                  <w:vAlign w:val="center"/>
                </w:tcPr>
                <w:p w14:paraId="4F5D3034" w14:textId="77777777" w:rsidR="005C142D" w:rsidRPr="00FA3F9C" w:rsidRDefault="005C142D" w:rsidP="005355E0">
                  <w:pPr>
                    <w:rPr>
                      <w:rFonts w:ascii="Arial" w:hAnsi="Arial" w:cs="Arial"/>
                      <w:sz w:val="24"/>
                      <w:szCs w:val="24"/>
                    </w:rPr>
                  </w:pPr>
                  <w:r w:rsidRPr="00FA3F9C">
                    <w:rPr>
                      <w:rFonts w:ascii="Arial" w:hAnsi="Arial" w:cs="Arial"/>
                      <w:sz w:val="24"/>
                      <w:szCs w:val="24"/>
                    </w:rPr>
                    <w:t>% with febrile neutropenia</w:t>
                  </w:r>
                </w:p>
              </w:tc>
              <w:tc>
                <w:tcPr>
                  <w:tcW w:w="1260" w:type="dxa"/>
                  <w:gridSpan w:val="2"/>
                  <w:vAlign w:val="center"/>
                </w:tcPr>
                <w:p w14:paraId="450F1867" w14:textId="77777777" w:rsidR="005C142D" w:rsidRPr="00FA3F9C" w:rsidRDefault="005C142D" w:rsidP="005355E0">
                  <w:pPr>
                    <w:rPr>
                      <w:rFonts w:ascii="Arial" w:hAnsi="Arial" w:cs="Arial"/>
                      <w:sz w:val="24"/>
                      <w:szCs w:val="24"/>
                    </w:rPr>
                  </w:pPr>
                  <w:r w:rsidRPr="00FA3F9C">
                    <w:rPr>
                      <w:rFonts w:ascii="Arial" w:hAnsi="Arial" w:cs="Arial"/>
                      <w:sz w:val="24"/>
                      <w:szCs w:val="24"/>
                    </w:rPr>
                    <w:t>6.3%</w:t>
                  </w:r>
                </w:p>
              </w:tc>
              <w:tc>
                <w:tcPr>
                  <w:tcW w:w="1090" w:type="dxa"/>
                  <w:vAlign w:val="center"/>
                </w:tcPr>
                <w:p w14:paraId="6F27F544" w14:textId="77777777" w:rsidR="005C142D" w:rsidRPr="00FA3F9C" w:rsidRDefault="005C142D" w:rsidP="005355E0">
                  <w:pPr>
                    <w:rPr>
                      <w:rFonts w:ascii="Arial" w:hAnsi="Arial" w:cs="Arial"/>
                      <w:sz w:val="24"/>
                      <w:szCs w:val="24"/>
                    </w:rPr>
                  </w:pPr>
                  <w:r w:rsidRPr="00FA3F9C">
                    <w:rPr>
                      <w:rFonts w:ascii="Arial" w:hAnsi="Arial" w:cs="Arial"/>
                      <w:sz w:val="24"/>
                      <w:szCs w:val="24"/>
                    </w:rPr>
                    <w:t>17.9%</w:t>
                  </w:r>
                </w:p>
              </w:tc>
            </w:tr>
            <w:tr w:rsidR="005C142D" w:rsidRPr="00FA3F9C" w14:paraId="34893F95" w14:textId="77777777" w:rsidTr="001137EC">
              <w:trPr>
                <w:trHeight w:val="162"/>
              </w:trPr>
              <w:tc>
                <w:tcPr>
                  <w:tcW w:w="1975" w:type="dxa"/>
                  <w:vMerge/>
                </w:tcPr>
                <w:p w14:paraId="73671556" w14:textId="77777777" w:rsidR="005C142D" w:rsidRPr="00FA3F9C" w:rsidRDefault="005C142D" w:rsidP="005355E0">
                  <w:pPr>
                    <w:rPr>
                      <w:rFonts w:ascii="Arial" w:hAnsi="Arial" w:cs="Arial"/>
                      <w:sz w:val="24"/>
                      <w:szCs w:val="24"/>
                    </w:rPr>
                  </w:pPr>
                </w:p>
              </w:tc>
              <w:tc>
                <w:tcPr>
                  <w:tcW w:w="4140" w:type="dxa"/>
                  <w:vMerge/>
                </w:tcPr>
                <w:p w14:paraId="54AA7143" w14:textId="77777777" w:rsidR="005C142D" w:rsidRPr="00FA3F9C" w:rsidRDefault="005C142D" w:rsidP="005355E0">
                  <w:pPr>
                    <w:rPr>
                      <w:rFonts w:ascii="Arial" w:hAnsi="Arial" w:cs="Arial"/>
                      <w:sz w:val="24"/>
                      <w:szCs w:val="24"/>
                    </w:rPr>
                  </w:pPr>
                </w:p>
              </w:tc>
              <w:tc>
                <w:tcPr>
                  <w:tcW w:w="2610" w:type="dxa"/>
                  <w:vAlign w:val="center"/>
                </w:tcPr>
                <w:p w14:paraId="29C7FC45" w14:textId="77777777" w:rsidR="005C142D" w:rsidRPr="00FA3F9C" w:rsidRDefault="005C142D" w:rsidP="005355E0">
                  <w:pPr>
                    <w:rPr>
                      <w:rFonts w:ascii="Arial" w:hAnsi="Arial" w:cs="Arial"/>
                      <w:sz w:val="24"/>
                      <w:szCs w:val="24"/>
                    </w:rPr>
                  </w:pPr>
                  <w:r w:rsidRPr="00FA3F9C">
                    <w:rPr>
                      <w:rFonts w:ascii="Arial" w:hAnsi="Arial" w:cs="Arial"/>
                      <w:sz w:val="24"/>
                      <w:szCs w:val="24"/>
                    </w:rPr>
                    <w:t>% with hospitalization for chemo-induced myelosuppression or sepsis</w:t>
                  </w:r>
                </w:p>
              </w:tc>
              <w:tc>
                <w:tcPr>
                  <w:tcW w:w="1260" w:type="dxa"/>
                  <w:gridSpan w:val="2"/>
                  <w:vAlign w:val="center"/>
                </w:tcPr>
                <w:p w14:paraId="7825B03D" w14:textId="77777777" w:rsidR="005C142D" w:rsidRPr="00FA3F9C" w:rsidRDefault="005C142D" w:rsidP="005355E0">
                  <w:pPr>
                    <w:rPr>
                      <w:rFonts w:ascii="Arial" w:hAnsi="Arial" w:cs="Arial"/>
                      <w:sz w:val="24"/>
                      <w:szCs w:val="24"/>
                    </w:rPr>
                  </w:pPr>
                  <w:r w:rsidRPr="00FA3F9C">
                    <w:rPr>
                      <w:rFonts w:ascii="Arial" w:hAnsi="Arial" w:cs="Arial"/>
                      <w:sz w:val="24"/>
                      <w:szCs w:val="24"/>
                    </w:rPr>
                    <w:t>9.4%</w:t>
                  </w:r>
                </w:p>
              </w:tc>
              <w:tc>
                <w:tcPr>
                  <w:tcW w:w="1090" w:type="dxa"/>
                  <w:vAlign w:val="center"/>
                </w:tcPr>
                <w:p w14:paraId="58E717CF" w14:textId="77777777" w:rsidR="005C142D" w:rsidRPr="00FA3F9C" w:rsidRDefault="005C142D" w:rsidP="005355E0">
                  <w:pPr>
                    <w:rPr>
                      <w:rFonts w:ascii="Arial" w:hAnsi="Arial" w:cs="Arial"/>
                      <w:sz w:val="24"/>
                      <w:szCs w:val="24"/>
                    </w:rPr>
                  </w:pPr>
                  <w:r w:rsidRPr="00FA3F9C">
                    <w:rPr>
                      <w:rFonts w:ascii="Arial" w:hAnsi="Arial" w:cs="Arial"/>
                      <w:sz w:val="24"/>
                      <w:szCs w:val="24"/>
                    </w:rPr>
                    <w:t>21.4%</w:t>
                  </w:r>
                </w:p>
              </w:tc>
            </w:tr>
            <w:tr w:rsidR="005C142D" w:rsidRPr="00FA3F9C" w14:paraId="7F935EA6" w14:textId="77777777" w:rsidTr="001137EC">
              <w:trPr>
                <w:trHeight w:val="162"/>
              </w:trPr>
              <w:tc>
                <w:tcPr>
                  <w:tcW w:w="1975" w:type="dxa"/>
                  <w:vMerge/>
                </w:tcPr>
                <w:p w14:paraId="105919BD" w14:textId="77777777" w:rsidR="005C142D" w:rsidRPr="00FA3F9C" w:rsidRDefault="005C142D" w:rsidP="005355E0">
                  <w:pPr>
                    <w:rPr>
                      <w:rFonts w:ascii="Arial" w:hAnsi="Arial" w:cs="Arial"/>
                      <w:sz w:val="24"/>
                      <w:szCs w:val="24"/>
                    </w:rPr>
                  </w:pPr>
                </w:p>
              </w:tc>
              <w:tc>
                <w:tcPr>
                  <w:tcW w:w="4140" w:type="dxa"/>
                  <w:vMerge/>
                </w:tcPr>
                <w:p w14:paraId="453D1CA2" w14:textId="77777777" w:rsidR="005C142D" w:rsidRPr="00FA3F9C" w:rsidRDefault="005C142D" w:rsidP="005355E0">
                  <w:pPr>
                    <w:rPr>
                      <w:rFonts w:ascii="Arial" w:hAnsi="Arial" w:cs="Arial"/>
                      <w:sz w:val="24"/>
                      <w:szCs w:val="24"/>
                    </w:rPr>
                  </w:pPr>
                </w:p>
              </w:tc>
              <w:tc>
                <w:tcPr>
                  <w:tcW w:w="2610" w:type="dxa"/>
                  <w:vAlign w:val="center"/>
                </w:tcPr>
                <w:p w14:paraId="54805CCD" w14:textId="77777777" w:rsidR="005C142D" w:rsidRPr="00FA3F9C" w:rsidRDefault="005C142D" w:rsidP="005355E0">
                  <w:pPr>
                    <w:rPr>
                      <w:rFonts w:ascii="Arial" w:hAnsi="Arial" w:cs="Arial"/>
                      <w:sz w:val="24"/>
                      <w:szCs w:val="24"/>
                    </w:rPr>
                  </w:pPr>
                  <w:r w:rsidRPr="00FA3F9C">
                    <w:rPr>
                      <w:rFonts w:ascii="Arial" w:hAnsi="Arial" w:cs="Arial"/>
                      <w:sz w:val="24"/>
                      <w:szCs w:val="24"/>
                    </w:rPr>
                    <w:t>No difference in overall survival</w:t>
                  </w:r>
                </w:p>
              </w:tc>
              <w:tc>
                <w:tcPr>
                  <w:tcW w:w="1260" w:type="dxa"/>
                  <w:gridSpan w:val="2"/>
                  <w:vAlign w:val="center"/>
                </w:tcPr>
                <w:p w14:paraId="5B74F82B" w14:textId="77777777" w:rsidR="005C142D" w:rsidRPr="00FA3F9C" w:rsidRDefault="005C142D" w:rsidP="005355E0">
                  <w:pPr>
                    <w:rPr>
                      <w:rFonts w:ascii="Arial" w:hAnsi="Arial" w:cs="Arial"/>
                      <w:sz w:val="24"/>
                      <w:szCs w:val="24"/>
                    </w:rPr>
                  </w:pPr>
                </w:p>
              </w:tc>
              <w:tc>
                <w:tcPr>
                  <w:tcW w:w="1090" w:type="dxa"/>
                  <w:vAlign w:val="center"/>
                </w:tcPr>
                <w:p w14:paraId="31615F57" w14:textId="77777777" w:rsidR="005C142D" w:rsidRPr="00FA3F9C" w:rsidRDefault="005C142D" w:rsidP="005355E0">
                  <w:pPr>
                    <w:rPr>
                      <w:rFonts w:ascii="Arial" w:hAnsi="Arial" w:cs="Arial"/>
                      <w:sz w:val="24"/>
                      <w:szCs w:val="24"/>
                    </w:rPr>
                  </w:pPr>
                </w:p>
              </w:tc>
            </w:tr>
            <w:tr w:rsidR="005C142D" w:rsidRPr="00FA3F9C" w14:paraId="6D12767A" w14:textId="77777777" w:rsidTr="001137EC">
              <w:trPr>
                <w:trHeight w:val="162"/>
              </w:trPr>
              <w:tc>
                <w:tcPr>
                  <w:tcW w:w="11075" w:type="dxa"/>
                  <w:gridSpan w:val="6"/>
                </w:tcPr>
                <w:p w14:paraId="53A30289" w14:textId="77777777" w:rsidR="005C142D" w:rsidRPr="00FA3F9C" w:rsidRDefault="005C142D" w:rsidP="005355E0">
                  <w:pPr>
                    <w:rPr>
                      <w:rFonts w:ascii="Arial" w:hAnsi="Arial" w:cs="Arial"/>
                      <w:sz w:val="24"/>
                      <w:szCs w:val="24"/>
                    </w:rPr>
                  </w:pPr>
                  <w:r w:rsidRPr="00FA3F9C">
                    <w:rPr>
                      <w:rFonts w:ascii="Arial" w:hAnsi="Arial" w:cs="Arial"/>
                      <w:sz w:val="24"/>
                      <w:szCs w:val="24"/>
                    </w:rPr>
                    <w:t>*Severe neutropenia = absolute neutrophil count &lt;500 cells/microliter</w:t>
                  </w:r>
                </w:p>
                <w:p w14:paraId="2FA521E7" w14:textId="77777777" w:rsidR="005C142D" w:rsidRPr="00FA3F9C" w:rsidRDefault="005C142D" w:rsidP="005355E0">
                  <w:pPr>
                    <w:rPr>
                      <w:rFonts w:ascii="Arial" w:hAnsi="Arial" w:cs="Arial"/>
                      <w:sz w:val="24"/>
                      <w:szCs w:val="24"/>
                    </w:rPr>
                  </w:pPr>
                  <w:r w:rsidRPr="00FA3F9C">
                    <w:rPr>
                      <w:rFonts w:ascii="Arial" w:hAnsi="Arial" w:cs="Arial"/>
                      <w:sz w:val="24"/>
                      <w:szCs w:val="24"/>
                    </w:rPr>
                    <w:t>GCSF = granulocyte colony stimulating factor; ESA = erythropoietin stimulation agent; RBC = red blood cell</w:t>
                  </w:r>
                </w:p>
              </w:tc>
            </w:tr>
            <w:tr w:rsidR="005C142D" w:rsidRPr="00FA3F9C" w14:paraId="02852801" w14:textId="77777777" w:rsidTr="001137EC">
              <w:trPr>
                <w:trHeight w:val="521"/>
              </w:trPr>
              <w:tc>
                <w:tcPr>
                  <w:tcW w:w="11075" w:type="dxa"/>
                  <w:gridSpan w:val="6"/>
                  <w:vAlign w:val="center"/>
                </w:tcPr>
                <w:p w14:paraId="7858252C" w14:textId="77777777" w:rsidR="005C142D" w:rsidRPr="00FA3F9C" w:rsidRDefault="005C142D" w:rsidP="005355E0">
                  <w:pPr>
                    <w:rPr>
                      <w:rFonts w:ascii="Arial" w:hAnsi="Arial" w:cs="Arial"/>
                      <w:sz w:val="24"/>
                      <w:szCs w:val="24"/>
                    </w:rPr>
                  </w:pPr>
                  <w:r w:rsidRPr="00FA3F9C">
                    <w:rPr>
                      <w:rFonts w:ascii="Arial" w:hAnsi="Arial" w:cs="Arial"/>
                      <w:sz w:val="24"/>
                      <w:szCs w:val="24"/>
                    </w:rPr>
                    <w:t>Notes:</w:t>
                  </w:r>
                </w:p>
                <w:p w14:paraId="6896F6C1" w14:textId="77777777" w:rsidR="005C142D" w:rsidRPr="00FA3F9C" w:rsidRDefault="005C142D" w:rsidP="00FC1E85">
                  <w:pPr>
                    <w:pStyle w:val="ListParagraph"/>
                    <w:numPr>
                      <w:ilvl w:val="0"/>
                      <w:numId w:val="496"/>
                    </w:numPr>
                    <w:ind w:left="520" w:hanging="160"/>
                    <w:rPr>
                      <w:rFonts w:ascii="Arial" w:hAnsi="Arial" w:cs="Arial"/>
                      <w:sz w:val="24"/>
                      <w:szCs w:val="24"/>
                    </w:rPr>
                  </w:pPr>
                  <w:r w:rsidRPr="00FA3F9C">
                    <w:rPr>
                      <w:rFonts w:ascii="Arial" w:hAnsi="Arial" w:cs="Arial"/>
                      <w:sz w:val="24"/>
                      <w:szCs w:val="24"/>
                    </w:rPr>
                    <w:lastRenderedPageBreak/>
                    <w:t>Results not included above include Study 2 (G1T28-02; NCT02499770) which enrolled a similar population with similar design as Study 1 except patients were treated with platinum/etoposide. Results were similar.</w:t>
                  </w:r>
                  <w:r w:rsidRPr="00FA3F9C">
                    <w:rPr>
                      <w:rFonts w:ascii="Arial" w:hAnsi="Arial" w:cs="Arial"/>
                      <w:sz w:val="24"/>
                      <w:szCs w:val="24"/>
                      <w:vertAlign w:val="superscript"/>
                    </w:rPr>
                    <w:t>1</w:t>
                  </w:r>
                </w:p>
              </w:tc>
            </w:tr>
          </w:tbl>
          <w:p w14:paraId="495C5254" w14:textId="77777777" w:rsidR="005C142D" w:rsidRPr="00FA3F9C" w:rsidRDefault="005C142D" w:rsidP="00D82B6E">
            <w:pPr>
              <w:rPr>
                <w:rFonts w:ascii="Arial" w:hAnsi="Arial" w:cs="Arial"/>
                <w:sz w:val="24"/>
                <w:szCs w:val="24"/>
              </w:rPr>
            </w:pPr>
          </w:p>
        </w:tc>
      </w:tr>
      <w:tr w:rsidR="005C142D" w:rsidRPr="00FA3F9C" w14:paraId="663E45E7" w14:textId="77777777" w:rsidTr="002C41D7">
        <w:tc>
          <w:tcPr>
            <w:tcW w:w="10790" w:type="dxa"/>
            <w:shd w:val="clear" w:color="auto" w:fill="BFBFBF" w:themeFill="background1" w:themeFillShade="BF"/>
          </w:tcPr>
          <w:p w14:paraId="2B129152" w14:textId="77777777" w:rsidR="005C142D" w:rsidRPr="00FA3F9C" w:rsidRDefault="005C142D" w:rsidP="002C41D7">
            <w:pPr>
              <w:rPr>
                <w:rFonts w:ascii="Arial" w:hAnsi="Arial" w:cs="Arial"/>
                <w:bCs/>
                <w:sz w:val="24"/>
                <w:szCs w:val="24"/>
              </w:rPr>
            </w:pPr>
            <w:r w:rsidRPr="00FA3F9C">
              <w:rPr>
                <w:rFonts w:ascii="Arial" w:hAnsi="Arial" w:cs="Arial"/>
                <w:bCs/>
                <w:sz w:val="24"/>
                <w:szCs w:val="24"/>
              </w:rPr>
              <w:lastRenderedPageBreak/>
              <w:t>References:</w:t>
            </w:r>
          </w:p>
          <w:p w14:paraId="025DBB34" w14:textId="77777777" w:rsidR="005C142D" w:rsidRPr="00FA3F9C" w:rsidRDefault="005C142D" w:rsidP="005355E0">
            <w:pPr>
              <w:ind w:left="180" w:hanging="180"/>
              <w:rPr>
                <w:rFonts w:ascii="Arial" w:hAnsi="Arial" w:cs="Arial"/>
                <w:sz w:val="24"/>
                <w:szCs w:val="24"/>
              </w:rPr>
            </w:pPr>
            <w:r w:rsidRPr="00FA3F9C">
              <w:rPr>
                <w:rFonts w:ascii="Arial" w:hAnsi="Arial" w:cs="Arial"/>
                <w:sz w:val="24"/>
                <w:szCs w:val="24"/>
                <w:lang w:val="es-ES"/>
              </w:rPr>
              <w:t xml:space="preserve">1. </w:t>
            </w:r>
            <w:proofErr w:type="spellStart"/>
            <w:r w:rsidRPr="00FA3F9C">
              <w:rPr>
                <w:rFonts w:ascii="Arial" w:hAnsi="Arial" w:cs="Arial"/>
                <w:sz w:val="24"/>
                <w:szCs w:val="24"/>
                <w:lang w:val="es-ES"/>
              </w:rPr>
              <w:t>Trilaciclib</w:t>
            </w:r>
            <w:proofErr w:type="spellEnd"/>
            <w:r w:rsidRPr="00FA3F9C">
              <w:rPr>
                <w:rFonts w:ascii="Arial" w:hAnsi="Arial" w:cs="Arial"/>
                <w:sz w:val="24"/>
                <w:szCs w:val="24"/>
                <w:lang w:val="es-ES"/>
              </w:rPr>
              <w:t xml:space="preserve"> PI. </w:t>
            </w:r>
            <w:hyperlink r:id="rId410" w:history="1">
              <w:r w:rsidRPr="00FA3F9C">
                <w:rPr>
                  <w:rStyle w:val="Hyperlink"/>
                  <w:rFonts w:ascii="Arial" w:hAnsi="Arial" w:cs="Arial"/>
                  <w:sz w:val="24"/>
                  <w:szCs w:val="24"/>
                  <w:lang w:val="es-ES"/>
                </w:rPr>
                <w:t>https://www.g1therapeutics.com/cosela/pi/</w:t>
              </w:r>
            </w:hyperlink>
            <w:r w:rsidRPr="00FA3F9C">
              <w:rPr>
                <w:rFonts w:ascii="Arial" w:hAnsi="Arial" w:cs="Arial"/>
                <w:sz w:val="24"/>
                <w:szCs w:val="24"/>
                <w:lang w:val="es-ES"/>
              </w:rPr>
              <w:t xml:space="preserve">. </w:t>
            </w:r>
            <w:r w:rsidRPr="00FA3F9C">
              <w:rPr>
                <w:rFonts w:ascii="Arial" w:hAnsi="Arial" w:cs="Arial"/>
                <w:sz w:val="24"/>
                <w:szCs w:val="24"/>
              </w:rPr>
              <w:t>Accessed 3/15/2021.</w:t>
            </w:r>
          </w:p>
          <w:p w14:paraId="60E36725" w14:textId="77777777" w:rsidR="005C142D" w:rsidRPr="00FA3F9C" w:rsidRDefault="005C142D" w:rsidP="005355E0">
            <w:pPr>
              <w:ind w:left="180" w:hanging="180"/>
              <w:rPr>
                <w:rFonts w:ascii="Arial" w:hAnsi="Arial" w:cs="Arial"/>
                <w:sz w:val="24"/>
                <w:szCs w:val="24"/>
              </w:rPr>
            </w:pPr>
            <w:r w:rsidRPr="00FA3F9C">
              <w:rPr>
                <w:rFonts w:ascii="Arial" w:hAnsi="Arial" w:cs="Arial"/>
                <w:sz w:val="24"/>
                <w:szCs w:val="24"/>
              </w:rPr>
              <w:t xml:space="preserve">2. Daniel D et al. Trilaciclib prior to chemotherapy and atezolizumab in patients with newly diagnosed extensive-stage small cell lung cancer: A </w:t>
            </w:r>
            <w:proofErr w:type="spellStart"/>
            <w:r w:rsidRPr="00FA3F9C">
              <w:rPr>
                <w:rFonts w:ascii="Arial" w:hAnsi="Arial" w:cs="Arial"/>
                <w:sz w:val="24"/>
                <w:szCs w:val="24"/>
              </w:rPr>
              <w:t>multicentre</w:t>
            </w:r>
            <w:proofErr w:type="spellEnd"/>
            <w:r w:rsidRPr="00FA3F9C">
              <w:rPr>
                <w:rFonts w:ascii="Arial" w:hAnsi="Arial" w:cs="Arial"/>
                <w:sz w:val="24"/>
                <w:szCs w:val="24"/>
              </w:rPr>
              <w:t xml:space="preserve">, </w:t>
            </w:r>
            <w:proofErr w:type="spellStart"/>
            <w:r w:rsidRPr="00FA3F9C">
              <w:rPr>
                <w:rFonts w:ascii="Arial" w:hAnsi="Arial" w:cs="Arial"/>
                <w:sz w:val="24"/>
                <w:szCs w:val="24"/>
              </w:rPr>
              <w:t>randomised</w:t>
            </w:r>
            <w:proofErr w:type="spellEnd"/>
            <w:r w:rsidRPr="00FA3F9C">
              <w:rPr>
                <w:rFonts w:ascii="Arial" w:hAnsi="Arial" w:cs="Arial"/>
                <w:sz w:val="24"/>
                <w:szCs w:val="24"/>
              </w:rPr>
              <w:t xml:space="preserve">, double-blind, placebo-controlled Phase II trial. Int J Cancer. 2020 Dec 21. </w:t>
            </w:r>
            <w:proofErr w:type="spellStart"/>
            <w:r w:rsidRPr="00FA3F9C">
              <w:rPr>
                <w:rFonts w:ascii="Arial" w:hAnsi="Arial" w:cs="Arial"/>
                <w:sz w:val="24"/>
                <w:szCs w:val="24"/>
              </w:rPr>
              <w:t>doi</w:t>
            </w:r>
            <w:proofErr w:type="spellEnd"/>
            <w:r w:rsidRPr="00FA3F9C">
              <w:rPr>
                <w:rFonts w:ascii="Arial" w:hAnsi="Arial" w:cs="Arial"/>
                <w:sz w:val="24"/>
                <w:szCs w:val="24"/>
              </w:rPr>
              <w:t xml:space="preserve">: 10.1002/ijc.33453. </w:t>
            </w:r>
            <w:proofErr w:type="spellStart"/>
            <w:r w:rsidRPr="00FA3F9C">
              <w:rPr>
                <w:rFonts w:ascii="Arial" w:hAnsi="Arial" w:cs="Arial"/>
                <w:sz w:val="24"/>
                <w:szCs w:val="24"/>
              </w:rPr>
              <w:t>Epub</w:t>
            </w:r>
            <w:proofErr w:type="spellEnd"/>
            <w:r w:rsidRPr="00FA3F9C">
              <w:rPr>
                <w:rFonts w:ascii="Arial" w:hAnsi="Arial" w:cs="Arial"/>
                <w:sz w:val="24"/>
                <w:szCs w:val="24"/>
              </w:rPr>
              <w:t xml:space="preserve"> ahead of print. PMID: 33348420.</w:t>
            </w:r>
          </w:p>
          <w:p w14:paraId="0EF8EB8F" w14:textId="77777777" w:rsidR="005C142D" w:rsidRPr="00FA3F9C" w:rsidRDefault="005C142D" w:rsidP="005355E0">
            <w:pPr>
              <w:ind w:left="180" w:hanging="180"/>
              <w:rPr>
                <w:rFonts w:ascii="Arial" w:hAnsi="Arial" w:cs="Arial"/>
                <w:sz w:val="24"/>
                <w:szCs w:val="24"/>
              </w:rPr>
            </w:pPr>
            <w:r w:rsidRPr="00FA3F9C">
              <w:rPr>
                <w:rFonts w:ascii="Arial" w:hAnsi="Arial" w:cs="Arial"/>
                <w:sz w:val="24"/>
                <w:szCs w:val="24"/>
              </w:rPr>
              <w:lastRenderedPageBreak/>
              <w:t xml:space="preserve">3. Hart LL et al. </w:t>
            </w:r>
            <w:proofErr w:type="spellStart"/>
            <w:r w:rsidRPr="00FA3F9C">
              <w:rPr>
                <w:rFonts w:ascii="Arial" w:hAnsi="Arial" w:cs="Arial"/>
                <w:sz w:val="24"/>
                <w:szCs w:val="24"/>
              </w:rPr>
              <w:t>Myelopreservation</w:t>
            </w:r>
            <w:proofErr w:type="spellEnd"/>
            <w:r w:rsidRPr="00FA3F9C">
              <w:rPr>
                <w:rFonts w:ascii="Arial" w:hAnsi="Arial" w:cs="Arial"/>
                <w:sz w:val="24"/>
                <w:szCs w:val="24"/>
              </w:rPr>
              <w:t xml:space="preserve"> with Trilaciclib in Patients Receiving Topotecan for Small Cell Lung Cancer: Results from a Randomized, Double-Blind, Placebo-Controlled Phase II Study. Adv </w:t>
            </w:r>
            <w:proofErr w:type="spellStart"/>
            <w:r w:rsidRPr="00FA3F9C">
              <w:rPr>
                <w:rFonts w:ascii="Arial" w:hAnsi="Arial" w:cs="Arial"/>
                <w:sz w:val="24"/>
                <w:szCs w:val="24"/>
              </w:rPr>
              <w:t>Ther</w:t>
            </w:r>
            <w:proofErr w:type="spellEnd"/>
            <w:r w:rsidRPr="00FA3F9C">
              <w:rPr>
                <w:rFonts w:ascii="Arial" w:hAnsi="Arial" w:cs="Arial"/>
                <w:sz w:val="24"/>
                <w:szCs w:val="24"/>
              </w:rPr>
              <w:t xml:space="preserve">. 2021 Jan;38(1):350-365. </w:t>
            </w:r>
            <w:proofErr w:type="spellStart"/>
            <w:r w:rsidRPr="00FA3F9C">
              <w:rPr>
                <w:rFonts w:ascii="Arial" w:hAnsi="Arial" w:cs="Arial"/>
                <w:sz w:val="24"/>
                <w:szCs w:val="24"/>
              </w:rPr>
              <w:t>doi</w:t>
            </w:r>
            <w:proofErr w:type="spellEnd"/>
            <w:r w:rsidRPr="00FA3F9C">
              <w:rPr>
                <w:rFonts w:ascii="Arial" w:hAnsi="Arial" w:cs="Arial"/>
                <w:sz w:val="24"/>
                <w:szCs w:val="24"/>
              </w:rPr>
              <w:t xml:space="preserve">: 10.1007/s12325-020-01538-0. </w:t>
            </w:r>
            <w:proofErr w:type="spellStart"/>
            <w:r w:rsidRPr="00FA3F9C">
              <w:rPr>
                <w:rFonts w:ascii="Arial" w:hAnsi="Arial" w:cs="Arial"/>
                <w:sz w:val="24"/>
                <w:szCs w:val="24"/>
              </w:rPr>
              <w:t>Epub</w:t>
            </w:r>
            <w:proofErr w:type="spellEnd"/>
            <w:r w:rsidRPr="00FA3F9C">
              <w:rPr>
                <w:rFonts w:ascii="Arial" w:hAnsi="Arial" w:cs="Arial"/>
                <w:sz w:val="24"/>
                <w:szCs w:val="24"/>
              </w:rPr>
              <w:t xml:space="preserve"> 2020 Oct 29. PMID: 33123968; PMCID: PMC7854399.</w:t>
            </w:r>
          </w:p>
          <w:p w14:paraId="7E7193C1" w14:textId="77777777" w:rsidR="005C142D" w:rsidRPr="00FA3F9C" w:rsidRDefault="005C142D" w:rsidP="005355E0">
            <w:pPr>
              <w:ind w:left="180" w:hanging="180"/>
              <w:rPr>
                <w:rFonts w:ascii="Arial" w:hAnsi="Arial" w:cs="Arial"/>
                <w:sz w:val="24"/>
                <w:szCs w:val="24"/>
              </w:rPr>
            </w:pPr>
            <w:r w:rsidRPr="00FA3F9C">
              <w:rPr>
                <w:rFonts w:ascii="Arial" w:hAnsi="Arial" w:cs="Arial"/>
                <w:sz w:val="24"/>
                <w:szCs w:val="24"/>
              </w:rPr>
              <w:t xml:space="preserve">4. NCCN Guidelines Hematopoietic Growth Factors Version 1.2021. </w:t>
            </w:r>
            <w:hyperlink r:id="rId411" w:history="1">
              <w:r w:rsidRPr="00FA3F9C">
                <w:rPr>
                  <w:rStyle w:val="Hyperlink"/>
                  <w:rFonts w:ascii="Arial" w:hAnsi="Arial" w:cs="Arial"/>
                  <w:sz w:val="24"/>
                  <w:szCs w:val="24"/>
                </w:rPr>
                <w:t>https://www.nccn.org/professionals/physician_gls/pdf/growthfactors.pdf</w:t>
              </w:r>
            </w:hyperlink>
            <w:r w:rsidRPr="00FA3F9C">
              <w:rPr>
                <w:rFonts w:ascii="Arial" w:hAnsi="Arial" w:cs="Arial"/>
                <w:sz w:val="24"/>
                <w:szCs w:val="24"/>
              </w:rPr>
              <w:t>. Accessed 3/16/2021.</w:t>
            </w:r>
          </w:p>
        </w:tc>
      </w:tr>
    </w:tbl>
    <w:p w14:paraId="7E0C933E" w14:textId="77777777" w:rsidR="005C142D" w:rsidRPr="00FA3F9C" w:rsidRDefault="005C142D" w:rsidP="006F623F">
      <w:pPr>
        <w:spacing w:after="0"/>
        <w:rPr>
          <w:rFonts w:ascii="Arial" w:hAnsi="Arial" w:cs="Arial"/>
          <w:sz w:val="24"/>
          <w:szCs w:val="24"/>
        </w:rPr>
      </w:pPr>
    </w:p>
    <w:p w14:paraId="4379BA0B" w14:textId="77777777" w:rsidR="005C142D" w:rsidRPr="00FA3F9C" w:rsidRDefault="005C142D" w:rsidP="006F623F">
      <w:pPr>
        <w:spacing w:after="0"/>
        <w:rPr>
          <w:rFonts w:ascii="Arial" w:hAnsi="Arial" w:cs="Arial"/>
          <w:sz w:val="24"/>
          <w:szCs w:val="24"/>
        </w:rPr>
      </w:pPr>
      <w:r w:rsidRPr="00FA3F9C">
        <w:rPr>
          <w:rFonts w:ascii="Arial" w:hAnsi="Arial" w:cs="Arial"/>
          <w:sz w:val="24"/>
          <w:szCs w:val="24"/>
        </w:rPr>
        <w:t>Quantity Limits: n/a (medical drug)</w:t>
      </w:r>
    </w:p>
    <w:p w14:paraId="2FE3100A" w14:textId="77777777" w:rsidR="005C142D" w:rsidRPr="00FA3F9C" w:rsidRDefault="005C142D" w:rsidP="006F623F">
      <w:pPr>
        <w:spacing w:after="0"/>
        <w:rPr>
          <w:rFonts w:ascii="Arial" w:hAnsi="Arial" w:cs="Arial"/>
          <w:sz w:val="24"/>
          <w:szCs w:val="24"/>
        </w:rPr>
      </w:pPr>
    </w:p>
    <w:p w14:paraId="34EB1385" w14:textId="77777777" w:rsidR="005C142D" w:rsidRPr="00FA3F9C" w:rsidRDefault="005C142D"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418"/>
        <w:gridCol w:w="7470"/>
        <w:gridCol w:w="2538"/>
      </w:tblGrid>
      <w:tr w:rsidR="005C142D" w:rsidRPr="00FA3F9C" w14:paraId="1F8A5A5F" w14:textId="77777777" w:rsidTr="00FE491B">
        <w:tc>
          <w:tcPr>
            <w:tcW w:w="1008" w:type="dxa"/>
          </w:tcPr>
          <w:p w14:paraId="39589E86" w14:textId="77777777" w:rsidR="005C142D" w:rsidRPr="00FA3F9C" w:rsidRDefault="005C142D" w:rsidP="006F623F">
            <w:pPr>
              <w:rPr>
                <w:rFonts w:ascii="Arial" w:hAnsi="Arial" w:cs="Arial"/>
                <w:sz w:val="24"/>
                <w:szCs w:val="24"/>
              </w:rPr>
            </w:pPr>
            <w:r w:rsidRPr="00FA3F9C">
              <w:rPr>
                <w:rFonts w:ascii="Arial" w:hAnsi="Arial" w:cs="Arial"/>
                <w:sz w:val="24"/>
                <w:szCs w:val="24"/>
              </w:rPr>
              <w:t>Date</w:t>
            </w:r>
          </w:p>
        </w:tc>
        <w:tc>
          <w:tcPr>
            <w:tcW w:w="7470" w:type="dxa"/>
          </w:tcPr>
          <w:p w14:paraId="17C63FEB" w14:textId="77777777" w:rsidR="005C142D" w:rsidRPr="00FA3F9C" w:rsidRDefault="005C142D" w:rsidP="006F623F">
            <w:pPr>
              <w:rPr>
                <w:rFonts w:ascii="Arial" w:hAnsi="Arial" w:cs="Arial"/>
                <w:sz w:val="24"/>
                <w:szCs w:val="24"/>
              </w:rPr>
            </w:pPr>
            <w:r w:rsidRPr="00FA3F9C">
              <w:rPr>
                <w:rFonts w:ascii="Arial" w:hAnsi="Arial" w:cs="Arial"/>
                <w:sz w:val="24"/>
                <w:szCs w:val="24"/>
              </w:rPr>
              <w:t>What changed</w:t>
            </w:r>
          </w:p>
        </w:tc>
        <w:tc>
          <w:tcPr>
            <w:tcW w:w="2538" w:type="dxa"/>
          </w:tcPr>
          <w:p w14:paraId="2B8EC78E" w14:textId="77777777" w:rsidR="005C142D" w:rsidRPr="00FA3F9C" w:rsidRDefault="005C142D" w:rsidP="006F623F">
            <w:pPr>
              <w:rPr>
                <w:rFonts w:ascii="Arial" w:hAnsi="Arial" w:cs="Arial"/>
                <w:sz w:val="24"/>
                <w:szCs w:val="24"/>
              </w:rPr>
            </w:pPr>
            <w:r w:rsidRPr="00FA3F9C">
              <w:rPr>
                <w:rFonts w:ascii="Arial" w:hAnsi="Arial" w:cs="Arial"/>
                <w:sz w:val="24"/>
                <w:szCs w:val="24"/>
              </w:rPr>
              <w:t>Pharmacist’s initials</w:t>
            </w:r>
          </w:p>
        </w:tc>
      </w:tr>
      <w:tr w:rsidR="005C142D" w:rsidRPr="00FA3F9C" w14:paraId="50ABEEC2" w14:textId="77777777" w:rsidTr="00FE491B">
        <w:tc>
          <w:tcPr>
            <w:tcW w:w="1008" w:type="dxa"/>
          </w:tcPr>
          <w:p w14:paraId="19B9A271" w14:textId="77777777" w:rsidR="005C142D" w:rsidRPr="00FA3F9C" w:rsidRDefault="005C142D" w:rsidP="006F623F">
            <w:pPr>
              <w:rPr>
                <w:rFonts w:ascii="Arial" w:hAnsi="Arial" w:cs="Arial"/>
                <w:sz w:val="24"/>
                <w:szCs w:val="24"/>
              </w:rPr>
            </w:pPr>
            <w:r w:rsidRPr="00FA3F9C">
              <w:rPr>
                <w:rFonts w:ascii="Arial" w:hAnsi="Arial" w:cs="Arial"/>
                <w:sz w:val="24"/>
                <w:szCs w:val="24"/>
              </w:rPr>
              <w:t>03/18/2021</w:t>
            </w:r>
          </w:p>
        </w:tc>
        <w:tc>
          <w:tcPr>
            <w:tcW w:w="7470" w:type="dxa"/>
          </w:tcPr>
          <w:p w14:paraId="019977CF" w14:textId="77777777" w:rsidR="005C142D" w:rsidRPr="00FA3F9C" w:rsidRDefault="005C142D" w:rsidP="006F623F">
            <w:pPr>
              <w:rPr>
                <w:rFonts w:ascii="Arial" w:hAnsi="Arial" w:cs="Arial"/>
                <w:sz w:val="24"/>
                <w:szCs w:val="24"/>
              </w:rPr>
            </w:pPr>
            <w:r w:rsidRPr="00FA3F9C">
              <w:rPr>
                <w:rFonts w:ascii="Arial" w:hAnsi="Arial" w:cs="Arial"/>
                <w:sz w:val="24"/>
                <w:szCs w:val="24"/>
              </w:rPr>
              <w:t>Criteria written</w:t>
            </w:r>
          </w:p>
        </w:tc>
        <w:tc>
          <w:tcPr>
            <w:tcW w:w="2538" w:type="dxa"/>
          </w:tcPr>
          <w:p w14:paraId="779600DC" w14:textId="77777777" w:rsidR="005C142D" w:rsidRPr="00FA3F9C" w:rsidRDefault="005C142D" w:rsidP="005355E0">
            <w:pPr>
              <w:rPr>
                <w:rFonts w:ascii="Arial" w:hAnsi="Arial" w:cs="Arial"/>
                <w:sz w:val="24"/>
                <w:szCs w:val="24"/>
              </w:rPr>
            </w:pPr>
            <w:r w:rsidRPr="00FA3F9C">
              <w:rPr>
                <w:rFonts w:ascii="Arial" w:hAnsi="Arial" w:cs="Arial"/>
                <w:sz w:val="24"/>
                <w:szCs w:val="24"/>
              </w:rPr>
              <w:t>SK</w:t>
            </w:r>
          </w:p>
        </w:tc>
      </w:tr>
      <w:tr w:rsidR="005C142D" w:rsidRPr="00FA3F9C" w14:paraId="00F396AC" w14:textId="77777777" w:rsidTr="00FE491B">
        <w:tc>
          <w:tcPr>
            <w:tcW w:w="1008" w:type="dxa"/>
          </w:tcPr>
          <w:p w14:paraId="6EF37100" w14:textId="77777777" w:rsidR="005C142D" w:rsidRPr="00FA3F9C" w:rsidRDefault="005C142D" w:rsidP="006F623F">
            <w:pPr>
              <w:rPr>
                <w:rFonts w:ascii="Arial" w:hAnsi="Arial" w:cs="Arial"/>
                <w:sz w:val="24"/>
                <w:szCs w:val="24"/>
              </w:rPr>
            </w:pPr>
          </w:p>
        </w:tc>
        <w:tc>
          <w:tcPr>
            <w:tcW w:w="7470" w:type="dxa"/>
          </w:tcPr>
          <w:p w14:paraId="0C42F5C1" w14:textId="77777777" w:rsidR="005C142D" w:rsidRPr="00FA3F9C" w:rsidRDefault="005C142D" w:rsidP="006F623F">
            <w:pPr>
              <w:rPr>
                <w:rFonts w:ascii="Arial" w:hAnsi="Arial" w:cs="Arial"/>
                <w:sz w:val="24"/>
                <w:szCs w:val="24"/>
              </w:rPr>
            </w:pPr>
          </w:p>
        </w:tc>
        <w:tc>
          <w:tcPr>
            <w:tcW w:w="2538" w:type="dxa"/>
          </w:tcPr>
          <w:p w14:paraId="7FDA9E30" w14:textId="77777777" w:rsidR="005C142D" w:rsidRPr="00FA3F9C" w:rsidRDefault="005C142D" w:rsidP="006F623F">
            <w:pPr>
              <w:rPr>
                <w:rFonts w:ascii="Arial" w:hAnsi="Arial" w:cs="Arial"/>
                <w:sz w:val="24"/>
                <w:szCs w:val="24"/>
              </w:rPr>
            </w:pPr>
          </w:p>
        </w:tc>
      </w:tr>
    </w:tbl>
    <w:p w14:paraId="1BE7E215" w14:textId="77777777" w:rsidR="005C142D" w:rsidRPr="00FA3F9C" w:rsidRDefault="005C142D" w:rsidP="006F623F">
      <w:pPr>
        <w:spacing w:after="0"/>
        <w:rPr>
          <w:rFonts w:ascii="Arial" w:hAnsi="Arial" w:cs="Arial"/>
          <w:sz w:val="24"/>
          <w:szCs w:val="24"/>
        </w:rPr>
      </w:pPr>
    </w:p>
    <w:p w14:paraId="51A706AE" w14:textId="77777777" w:rsidR="005C142D" w:rsidRPr="00FA3F9C" w:rsidRDefault="005C142D" w:rsidP="005C73CE">
      <w:pPr>
        <w:jc w:val="center"/>
        <w:rPr>
          <w:rFonts w:ascii="Arial" w:hAnsi="Arial" w:cs="Arial"/>
          <w:b/>
          <w:sz w:val="24"/>
          <w:szCs w:val="24"/>
        </w:rPr>
      </w:pPr>
      <w:r w:rsidRPr="00FA3F9C">
        <w:rPr>
          <w:rFonts w:ascii="Arial" w:hAnsi="Arial" w:cs="Arial"/>
          <w:b/>
          <w:sz w:val="24"/>
          <w:szCs w:val="24"/>
        </w:rPr>
        <w:t>EBRx</w:t>
      </w:r>
    </w:p>
    <w:p w14:paraId="0FB83341" w14:textId="77777777" w:rsidR="005C142D" w:rsidRPr="00FA3F9C" w:rsidRDefault="005C142D" w:rsidP="005C73CE">
      <w:pPr>
        <w:jc w:val="center"/>
        <w:rPr>
          <w:rFonts w:ascii="Arial" w:hAnsi="Arial" w:cs="Arial"/>
          <w:b/>
          <w:sz w:val="24"/>
          <w:szCs w:val="24"/>
        </w:rPr>
      </w:pPr>
      <w:r w:rsidRPr="00FA3F9C">
        <w:rPr>
          <w:rFonts w:ascii="Arial" w:hAnsi="Arial" w:cs="Arial"/>
          <w:b/>
          <w:sz w:val="24"/>
          <w:szCs w:val="24"/>
        </w:rPr>
        <w:t>Quantity Limit Override Criteria</w:t>
      </w:r>
    </w:p>
    <w:p w14:paraId="289309A0" w14:textId="77777777" w:rsidR="005C142D" w:rsidRPr="00FA3F9C" w:rsidRDefault="005C142D" w:rsidP="005C73CE">
      <w:pPr>
        <w:jc w:val="center"/>
        <w:rPr>
          <w:rFonts w:ascii="Arial" w:hAnsi="Arial" w:cs="Arial"/>
          <w:b/>
          <w:sz w:val="24"/>
          <w:szCs w:val="24"/>
        </w:rPr>
      </w:pPr>
      <w:r w:rsidRPr="00FA3F9C">
        <w:rPr>
          <w:rFonts w:ascii="Arial" w:hAnsi="Arial" w:cs="Arial"/>
          <w:b/>
          <w:sz w:val="24"/>
          <w:szCs w:val="24"/>
        </w:rPr>
        <w:t xml:space="preserve">for </w:t>
      </w:r>
      <w:r w:rsidRPr="005D3DE3">
        <w:rPr>
          <w:rStyle w:val="Heading2Char"/>
          <w:rFonts w:eastAsiaTheme="minorHAnsi"/>
        </w:rPr>
        <w:t>Triptans</w:t>
      </w:r>
      <w:r w:rsidRPr="00FA3F9C">
        <w:rPr>
          <w:rFonts w:ascii="Arial" w:hAnsi="Arial" w:cs="Arial"/>
          <w:b/>
          <w:sz w:val="24"/>
          <w:szCs w:val="24"/>
        </w:rPr>
        <w:tab/>
      </w:r>
    </w:p>
    <w:p w14:paraId="2BE4FDC4" w14:textId="77777777" w:rsidR="005C142D" w:rsidRPr="00FA3F9C" w:rsidRDefault="005C142D" w:rsidP="005C73CE">
      <w:pPr>
        <w:jc w:val="center"/>
        <w:rPr>
          <w:rFonts w:ascii="Arial" w:hAnsi="Arial" w:cs="Arial"/>
          <w:b/>
          <w:sz w:val="24"/>
          <w:szCs w:val="24"/>
        </w:rPr>
      </w:pPr>
    </w:p>
    <w:p w14:paraId="0AE81C5A" w14:textId="77777777" w:rsidR="005C142D" w:rsidRPr="00FA3F9C" w:rsidRDefault="005C142D" w:rsidP="00995A03">
      <w:pPr>
        <w:jc w:val="center"/>
        <w:rPr>
          <w:rFonts w:ascii="Arial" w:hAnsi="Arial" w:cs="Arial"/>
          <w:b/>
          <w:sz w:val="24"/>
          <w:szCs w:val="24"/>
        </w:rPr>
      </w:pPr>
      <w:r w:rsidRPr="00FA3F9C">
        <w:rPr>
          <w:rFonts w:ascii="Arial" w:hAnsi="Arial" w:cs="Arial"/>
          <w:b/>
          <w:sz w:val="24"/>
          <w:szCs w:val="24"/>
        </w:rPr>
        <w:t>Quantity Limits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9"/>
        <w:gridCol w:w="2784"/>
        <w:gridCol w:w="1983"/>
      </w:tblGrid>
      <w:tr w:rsidR="005C142D" w:rsidRPr="00FA3F9C" w14:paraId="44AA96A2" w14:textId="77777777" w:rsidTr="00995A03">
        <w:trPr>
          <w:jc w:val="center"/>
        </w:trPr>
        <w:tc>
          <w:tcPr>
            <w:tcW w:w="1899" w:type="dxa"/>
          </w:tcPr>
          <w:p w14:paraId="05945B80" w14:textId="77777777" w:rsidR="005C142D" w:rsidRPr="00FA3F9C" w:rsidRDefault="005C142D" w:rsidP="00DF71CE">
            <w:pPr>
              <w:jc w:val="center"/>
              <w:rPr>
                <w:rFonts w:ascii="Arial" w:hAnsi="Arial" w:cs="Arial"/>
                <w:b/>
                <w:sz w:val="24"/>
                <w:szCs w:val="24"/>
              </w:rPr>
            </w:pPr>
            <w:r w:rsidRPr="00FA3F9C">
              <w:rPr>
                <w:rFonts w:ascii="Arial" w:hAnsi="Arial" w:cs="Arial"/>
                <w:b/>
                <w:sz w:val="24"/>
                <w:szCs w:val="24"/>
              </w:rPr>
              <w:t>Agent</w:t>
            </w:r>
          </w:p>
        </w:tc>
        <w:tc>
          <w:tcPr>
            <w:tcW w:w="2784" w:type="dxa"/>
          </w:tcPr>
          <w:p w14:paraId="2786F6D2" w14:textId="77777777" w:rsidR="005C142D" w:rsidRPr="00FA3F9C" w:rsidRDefault="005C142D" w:rsidP="00DF71CE">
            <w:pPr>
              <w:jc w:val="center"/>
              <w:rPr>
                <w:rFonts w:ascii="Arial" w:hAnsi="Arial" w:cs="Arial"/>
                <w:b/>
                <w:sz w:val="24"/>
                <w:szCs w:val="24"/>
              </w:rPr>
            </w:pPr>
            <w:r w:rsidRPr="00FA3F9C">
              <w:rPr>
                <w:rFonts w:ascii="Arial" w:hAnsi="Arial" w:cs="Arial"/>
                <w:b/>
                <w:sz w:val="24"/>
                <w:szCs w:val="24"/>
              </w:rPr>
              <w:t>Strength</w:t>
            </w:r>
          </w:p>
        </w:tc>
        <w:tc>
          <w:tcPr>
            <w:tcW w:w="1983" w:type="dxa"/>
          </w:tcPr>
          <w:p w14:paraId="7FB7AE67" w14:textId="77777777" w:rsidR="005C142D" w:rsidRPr="00FA3F9C" w:rsidRDefault="005C142D" w:rsidP="00DF71CE">
            <w:pPr>
              <w:jc w:val="center"/>
              <w:rPr>
                <w:rFonts w:ascii="Arial" w:hAnsi="Arial" w:cs="Arial"/>
                <w:b/>
                <w:sz w:val="24"/>
                <w:szCs w:val="24"/>
              </w:rPr>
            </w:pPr>
            <w:r w:rsidRPr="00FA3F9C">
              <w:rPr>
                <w:rFonts w:ascii="Arial" w:hAnsi="Arial" w:cs="Arial"/>
                <w:b/>
                <w:sz w:val="24"/>
                <w:szCs w:val="24"/>
              </w:rPr>
              <w:t>Quantity Limit</w:t>
            </w:r>
          </w:p>
        </w:tc>
      </w:tr>
      <w:tr w:rsidR="005C142D" w:rsidRPr="00FA3F9C" w14:paraId="194C8CEA" w14:textId="77777777" w:rsidTr="00995A03">
        <w:trPr>
          <w:jc w:val="center"/>
        </w:trPr>
        <w:tc>
          <w:tcPr>
            <w:tcW w:w="1899" w:type="dxa"/>
          </w:tcPr>
          <w:p w14:paraId="5F61B05F" w14:textId="77777777" w:rsidR="005C142D" w:rsidRPr="00FA3F9C" w:rsidRDefault="005C142D" w:rsidP="00DF71CE">
            <w:pPr>
              <w:jc w:val="center"/>
              <w:rPr>
                <w:rFonts w:ascii="Arial" w:hAnsi="Arial" w:cs="Arial"/>
                <w:b/>
                <w:sz w:val="24"/>
                <w:szCs w:val="24"/>
              </w:rPr>
            </w:pPr>
            <w:proofErr w:type="spellStart"/>
            <w:r w:rsidRPr="00FA3F9C">
              <w:rPr>
                <w:rFonts w:ascii="Arial" w:hAnsi="Arial" w:cs="Arial"/>
                <w:b/>
                <w:sz w:val="24"/>
                <w:szCs w:val="24"/>
              </w:rPr>
              <w:t>Amerge</w:t>
            </w:r>
            <w:proofErr w:type="spellEnd"/>
          </w:p>
        </w:tc>
        <w:tc>
          <w:tcPr>
            <w:tcW w:w="2784" w:type="dxa"/>
          </w:tcPr>
          <w:p w14:paraId="41B81F74" w14:textId="77777777" w:rsidR="005C142D" w:rsidRPr="00FA3F9C" w:rsidRDefault="005C142D" w:rsidP="00995A03">
            <w:pPr>
              <w:jc w:val="center"/>
              <w:rPr>
                <w:rFonts w:ascii="Arial" w:hAnsi="Arial" w:cs="Arial"/>
                <w:sz w:val="24"/>
                <w:szCs w:val="24"/>
              </w:rPr>
            </w:pPr>
            <w:r w:rsidRPr="00FA3F9C">
              <w:rPr>
                <w:rFonts w:ascii="Arial" w:hAnsi="Arial" w:cs="Arial"/>
                <w:sz w:val="24"/>
                <w:szCs w:val="24"/>
              </w:rPr>
              <w:t>1mg, 2.5mg tabs</w:t>
            </w:r>
          </w:p>
        </w:tc>
        <w:tc>
          <w:tcPr>
            <w:tcW w:w="1983" w:type="dxa"/>
          </w:tcPr>
          <w:p w14:paraId="4F9B710B" w14:textId="77777777" w:rsidR="005C142D" w:rsidRPr="00FA3F9C" w:rsidRDefault="005C142D" w:rsidP="00DF71CE">
            <w:pPr>
              <w:jc w:val="center"/>
              <w:rPr>
                <w:rFonts w:ascii="Arial" w:hAnsi="Arial" w:cs="Arial"/>
                <w:sz w:val="24"/>
                <w:szCs w:val="24"/>
              </w:rPr>
            </w:pPr>
            <w:r w:rsidRPr="00FA3F9C">
              <w:rPr>
                <w:rFonts w:ascii="Arial" w:hAnsi="Arial" w:cs="Arial"/>
                <w:sz w:val="24"/>
                <w:szCs w:val="24"/>
              </w:rPr>
              <w:t>9/31 days</w:t>
            </w:r>
          </w:p>
        </w:tc>
      </w:tr>
      <w:tr w:rsidR="005C142D" w:rsidRPr="00FA3F9C" w14:paraId="30DE3AC7" w14:textId="77777777" w:rsidTr="00995A03">
        <w:trPr>
          <w:jc w:val="center"/>
        </w:trPr>
        <w:tc>
          <w:tcPr>
            <w:tcW w:w="1899" w:type="dxa"/>
          </w:tcPr>
          <w:p w14:paraId="28C69F49" w14:textId="77777777" w:rsidR="005C142D" w:rsidRPr="00FA3F9C" w:rsidRDefault="005C142D" w:rsidP="00DF71CE">
            <w:pPr>
              <w:jc w:val="center"/>
              <w:rPr>
                <w:rFonts w:ascii="Arial" w:hAnsi="Arial" w:cs="Arial"/>
                <w:b/>
                <w:sz w:val="24"/>
                <w:szCs w:val="24"/>
              </w:rPr>
            </w:pPr>
            <w:proofErr w:type="spellStart"/>
            <w:r w:rsidRPr="00FA3F9C">
              <w:rPr>
                <w:rFonts w:ascii="Arial" w:hAnsi="Arial" w:cs="Arial"/>
                <w:b/>
                <w:sz w:val="24"/>
                <w:szCs w:val="24"/>
              </w:rPr>
              <w:t>Axert</w:t>
            </w:r>
            <w:proofErr w:type="spellEnd"/>
          </w:p>
        </w:tc>
        <w:tc>
          <w:tcPr>
            <w:tcW w:w="2784" w:type="dxa"/>
          </w:tcPr>
          <w:p w14:paraId="66D988C9" w14:textId="77777777" w:rsidR="005C142D" w:rsidRPr="00FA3F9C" w:rsidRDefault="005C142D" w:rsidP="00995A03">
            <w:pPr>
              <w:jc w:val="center"/>
              <w:rPr>
                <w:rFonts w:ascii="Arial" w:hAnsi="Arial" w:cs="Arial"/>
                <w:sz w:val="24"/>
                <w:szCs w:val="24"/>
              </w:rPr>
            </w:pPr>
            <w:r w:rsidRPr="00FA3F9C">
              <w:rPr>
                <w:rFonts w:ascii="Arial" w:hAnsi="Arial" w:cs="Arial"/>
                <w:sz w:val="24"/>
                <w:szCs w:val="24"/>
              </w:rPr>
              <w:t>6.25mg, 12.5mg tabs</w:t>
            </w:r>
          </w:p>
        </w:tc>
        <w:tc>
          <w:tcPr>
            <w:tcW w:w="1983" w:type="dxa"/>
          </w:tcPr>
          <w:p w14:paraId="42617BFC" w14:textId="77777777" w:rsidR="005C142D" w:rsidRPr="00FA3F9C" w:rsidRDefault="005C142D" w:rsidP="00DF71CE">
            <w:pPr>
              <w:jc w:val="center"/>
              <w:rPr>
                <w:rFonts w:ascii="Arial" w:hAnsi="Arial" w:cs="Arial"/>
                <w:sz w:val="24"/>
                <w:szCs w:val="24"/>
              </w:rPr>
            </w:pPr>
            <w:r w:rsidRPr="00FA3F9C">
              <w:rPr>
                <w:rFonts w:ascii="Arial" w:hAnsi="Arial" w:cs="Arial"/>
                <w:sz w:val="24"/>
                <w:szCs w:val="24"/>
              </w:rPr>
              <w:t>6/31 days</w:t>
            </w:r>
          </w:p>
        </w:tc>
      </w:tr>
      <w:tr w:rsidR="005C142D" w:rsidRPr="00FA3F9C" w14:paraId="66C6CCCE" w14:textId="77777777" w:rsidTr="00995A03">
        <w:trPr>
          <w:jc w:val="center"/>
        </w:trPr>
        <w:tc>
          <w:tcPr>
            <w:tcW w:w="1899" w:type="dxa"/>
          </w:tcPr>
          <w:p w14:paraId="5881C207" w14:textId="77777777" w:rsidR="005C142D" w:rsidRPr="00FA3F9C" w:rsidRDefault="005C142D" w:rsidP="00DF71CE">
            <w:pPr>
              <w:jc w:val="center"/>
              <w:rPr>
                <w:rFonts w:ascii="Arial" w:hAnsi="Arial" w:cs="Arial"/>
                <w:b/>
                <w:sz w:val="24"/>
                <w:szCs w:val="24"/>
              </w:rPr>
            </w:pPr>
            <w:proofErr w:type="spellStart"/>
            <w:r w:rsidRPr="00FA3F9C">
              <w:rPr>
                <w:rFonts w:ascii="Arial" w:hAnsi="Arial" w:cs="Arial"/>
                <w:b/>
                <w:sz w:val="24"/>
                <w:szCs w:val="24"/>
              </w:rPr>
              <w:t>Frova</w:t>
            </w:r>
            <w:proofErr w:type="spellEnd"/>
          </w:p>
        </w:tc>
        <w:tc>
          <w:tcPr>
            <w:tcW w:w="2784" w:type="dxa"/>
          </w:tcPr>
          <w:p w14:paraId="04FD694D" w14:textId="77777777" w:rsidR="005C142D" w:rsidRPr="00FA3F9C" w:rsidRDefault="005C142D" w:rsidP="00DF71CE">
            <w:pPr>
              <w:jc w:val="center"/>
              <w:rPr>
                <w:rFonts w:ascii="Arial" w:hAnsi="Arial" w:cs="Arial"/>
                <w:sz w:val="24"/>
                <w:szCs w:val="24"/>
              </w:rPr>
            </w:pPr>
            <w:r w:rsidRPr="00FA3F9C">
              <w:rPr>
                <w:rFonts w:ascii="Arial" w:hAnsi="Arial" w:cs="Arial"/>
                <w:sz w:val="24"/>
                <w:szCs w:val="24"/>
              </w:rPr>
              <w:t>2.5mg tabs</w:t>
            </w:r>
          </w:p>
        </w:tc>
        <w:tc>
          <w:tcPr>
            <w:tcW w:w="1983" w:type="dxa"/>
          </w:tcPr>
          <w:p w14:paraId="08BD71E3" w14:textId="77777777" w:rsidR="005C142D" w:rsidRPr="00FA3F9C" w:rsidRDefault="005C142D" w:rsidP="00DF71CE">
            <w:pPr>
              <w:jc w:val="center"/>
              <w:rPr>
                <w:rFonts w:ascii="Arial" w:hAnsi="Arial" w:cs="Arial"/>
                <w:sz w:val="24"/>
                <w:szCs w:val="24"/>
              </w:rPr>
            </w:pPr>
            <w:r w:rsidRPr="00FA3F9C">
              <w:rPr>
                <w:rFonts w:ascii="Arial" w:hAnsi="Arial" w:cs="Arial"/>
                <w:sz w:val="24"/>
                <w:szCs w:val="24"/>
              </w:rPr>
              <w:t>9/31 days</w:t>
            </w:r>
          </w:p>
        </w:tc>
      </w:tr>
      <w:tr w:rsidR="005C142D" w:rsidRPr="00FA3F9C" w14:paraId="14908468" w14:textId="77777777" w:rsidTr="00995A03">
        <w:trPr>
          <w:jc w:val="center"/>
        </w:trPr>
        <w:tc>
          <w:tcPr>
            <w:tcW w:w="1899" w:type="dxa"/>
          </w:tcPr>
          <w:p w14:paraId="73ABF5A4" w14:textId="77777777" w:rsidR="005C142D" w:rsidRPr="00FA3F9C" w:rsidRDefault="005C142D" w:rsidP="00DF71CE">
            <w:pPr>
              <w:jc w:val="center"/>
              <w:rPr>
                <w:rFonts w:ascii="Arial" w:hAnsi="Arial" w:cs="Arial"/>
                <w:b/>
                <w:sz w:val="24"/>
                <w:szCs w:val="24"/>
              </w:rPr>
            </w:pPr>
            <w:r w:rsidRPr="00FA3F9C">
              <w:rPr>
                <w:rFonts w:ascii="Arial" w:hAnsi="Arial" w:cs="Arial"/>
                <w:b/>
                <w:sz w:val="24"/>
                <w:szCs w:val="24"/>
              </w:rPr>
              <w:t xml:space="preserve">Imitrex SQ </w:t>
            </w:r>
            <w:proofErr w:type="spellStart"/>
            <w:r w:rsidRPr="00FA3F9C">
              <w:rPr>
                <w:rFonts w:ascii="Arial" w:hAnsi="Arial" w:cs="Arial"/>
                <w:b/>
                <w:sz w:val="24"/>
                <w:szCs w:val="24"/>
              </w:rPr>
              <w:t>Inj</w:t>
            </w:r>
            <w:proofErr w:type="spellEnd"/>
          </w:p>
        </w:tc>
        <w:tc>
          <w:tcPr>
            <w:tcW w:w="2784" w:type="dxa"/>
          </w:tcPr>
          <w:p w14:paraId="26FB899E" w14:textId="77777777" w:rsidR="005C142D" w:rsidRPr="00FA3F9C" w:rsidRDefault="005C142D" w:rsidP="00DF71CE">
            <w:pPr>
              <w:jc w:val="center"/>
              <w:rPr>
                <w:rFonts w:ascii="Arial" w:hAnsi="Arial" w:cs="Arial"/>
                <w:sz w:val="24"/>
                <w:szCs w:val="24"/>
              </w:rPr>
            </w:pPr>
            <w:r w:rsidRPr="00FA3F9C">
              <w:rPr>
                <w:rFonts w:ascii="Arial" w:hAnsi="Arial" w:cs="Arial"/>
                <w:sz w:val="24"/>
                <w:szCs w:val="24"/>
              </w:rPr>
              <w:t>4mg, 6mg Kit</w:t>
            </w:r>
          </w:p>
          <w:p w14:paraId="1ADB41C0" w14:textId="77777777" w:rsidR="005C142D" w:rsidRPr="00FA3F9C" w:rsidRDefault="005C142D" w:rsidP="00DF71CE">
            <w:pPr>
              <w:jc w:val="center"/>
              <w:rPr>
                <w:rFonts w:ascii="Arial" w:hAnsi="Arial" w:cs="Arial"/>
                <w:sz w:val="24"/>
                <w:szCs w:val="24"/>
              </w:rPr>
            </w:pPr>
            <w:r w:rsidRPr="00FA3F9C">
              <w:rPr>
                <w:rFonts w:ascii="Arial" w:hAnsi="Arial" w:cs="Arial"/>
                <w:sz w:val="24"/>
                <w:szCs w:val="24"/>
              </w:rPr>
              <w:t>6mg Vial</w:t>
            </w:r>
          </w:p>
        </w:tc>
        <w:tc>
          <w:tcPr>
            <w:tcW w:w="1983" w:type="dxa"/>
          </w:tcPr>
          <w:p w14:paraId="687623EF" w14:textId="77777777" w:rsidR="005C142D" w:rsidRPr="00FA3F9C" w:rsidRDefault="005C142D" w:rsidP="00DF71CE">
            <w:pPr>
              <w:jc w:val="center"/>
              <w:rPr>
                <w:rFonts w:ascii="Arial" w:hAnsi="Arial" w:cs="Arial"/>
                <w:sz w:val="24"/>
                <w:szCs w:val="24"/>
              </w:rPr>
            </w:pPr>
            <w:r w:rsidRPr="00FA3F9C">
              <w:rPr>
                <w:rFonts w:ascii="Arial" w:hAnsi="Arial" w:cs="Arial"/>
                <w:sz w:val="24"/>
                <w:szCs w:val="24"/>
              </w:rPr>
              <w:t>2 kits/31 days</w:t>
            </w:r>
          </w:p>
          <w:p w14:paraId="174D8914" w14:textId="77777777" w:rsidR="005C142D" w:rsidRPr="00FA3F9C" w:rsidRDefault="005C142D" w:rsidP="00DF71CE">
            <w:pPr>
              <w:jc w:val="center"/>
              <w:rPr>
                <w:rFonts w:ascii="Arial" w:hAnsi="Arial" w:cs="Arial"/>
                <w:sz w:val="24"/>
                <w:szCs w:val="24"/>
              </w:rPr>
            </w:pPr>
            <w:r w:rsidRPr="00FA3F9C">
              <w:rPr>
                <w:rFonts w:ascii="Arial" w:hAnsi="Arial" w:cs="Arial"/>
                <w:sz w:val="24"/>
                <w:szCs w:val="24"/>
              </w:rPr>
              <w:t>5 vials/31 days</w:t>
            </w:r>
          </w:p>
        </w:tc>
      </w:tr>
      <w:tr w:rsidR="005C142D" w:rsidRPr="00FA3F9C" w14:paraId="5BE85DCB" w14:textId="77777777" w:rsidTr="00995A03">
        <w:trPr>
          <w:jc w:val="center"/>
        </w:trPr>
        <w:tc>
          <w:tcPr>
            <w:tcW w:w="1899" w:type="dxa"/>
          </w:tcPr>
          <w:p w14:paraId="07344FD8" w14:textId="77777777" w:rsidR="005C142D" w:rsidRPr="00FA3F9C" w:rsidRDefault="005C142D" w:rsidP="00DF71CE">
            <w:pPr>
              <w:jc w:val="center"/>
              <w:rPr>
                <w:rFonts w:ascii="Arial" w:hAnsi="Arial" w:cs="Arial"/>
                <w:b/>
                <w:sz w:val="24"/>
                <w:szCs w:val="24"/>
              </w:rPr>
            </w:pPr>
            <w:r w:rsidRPr="00FA3F9C">
              <w:rPr>
                <w:rFonts w:ascii="Arial" w:hAnsi="Arial" w:cs="Arial"/>
                <w:b/>
                <w:sz w:val="24"/>
                <w:szCs w:val="24"/>
              </w:rPr>
              <w:lastRenderedPageBreak/>
              <w:t>Imitrex NS</w:t>
            </w:r>
          </w:p>
        </w:tc>
        <w:tc>
          <w:tcPr>
            <w:tcW w:w="2784" w:type="dxa"/>
          </w:tcPr>
          <w:p w14:paraId="7CE7BE92" w14:textId="77777777" w:rsidR="005C142D" w:rsidRPr="00FA3F9C" w:rsidRDefault="005C142D" w:rsidP="00DF71CE">
            <w:pPr>
              <w:jc w:val="center"/>
              <w:rPr>
                <w:rFonts w:ascii="Arial" w:hAnsi="Arial" w:cs="Arial"/>
                <w:sz w:val="24"/>
                <w:szCs w:val="24"/>
              </w:rPr>
            </w:pPr>
            <w:r w:rsidRPr="00FA3F9C">
              <w:rPr>
                <w:rFonts w:ascii="Arial" w:hAnsi="Arial" w:cs="Arial"/>
                <w:sz w:val="24"/>
                <w:szCs w:val="24"/>
              </w:rPr>
              <w:t>5mg</w:t>
            </w:r>
          </w:p>
          <w:p w14:paraId="6186F494" w14:textId="77777777" w:rsidR="005C142D" w:rsidRPr="00FA3F9C" w:rsidRDefault="005C142D" w:rsidP="00DF71CE">
            <w:pPr>
              <w:jc w:val="center"/>
              <w:rPr>
                <w:rFonts w:ascii="Arial" w:hAnsi="Arial" w:cs="Arial"/>
                <w:sz w:val="24"/>
                <w:szCs w:val="24"/>
              </w:rPr>
            </w:pPr>
            <w:r w:rsidRPr="00FA3F9C">
              <w:rPr>
                <w:rFonts w:ascii="Arial" w:hAnsi="Arial" w:cs="Arial"/>
                <w:sz w:val="24"/>
                <w:szCs w:val="24"/>
              </w:rPr>
              <w:t>20mg</w:t>
            </w:r>
          </w:p>
        </w:tc>
        <w:tc>
          <w:tcPr>
            <w:tcW w:w="1983" w:type="dxa"/>
          </w:tcPr>
          <w:p w14:paraId="1161B041" w14:textId="77777777" w:rsidR="005C142D" w:rsidRPr="00FA3F9C" w:rsidRDefault="005C142D" w:rsidP="00DF71CE">
            <w:pPr>
              <w:jc w:val="center"/>
              <w:rPr>
                <w:rFonts w:ascii="Arial" w:hAnsi="Arial" w:cs="Arial"/>
                <w:sz w:val="24"/>
                <w:szCs w:val="24"/>
              </w:rPr>
            </w:pPr>
            <w:r w:rsidRPr="00FA3F9C">
              <w:rPr>
                <w:rFonts w:ascii="Arial" w:hAnsi="Arial" w:cs="Arial"/>
                <w:sz w:val="24"/>
                <w:szCs w:val="24"/>
              </w:rPr>
              <w:t>12/31 days</w:t>
            </w:r>
          </w:p>
          <w:p w14:paraId="6BB362F6" w14:textId="77777777" w:rsidR="005C142D" w:rsidRPr="00FA3F9C" w:rsidRDefault="005C142D" w:rsidP="00DF71CE">
            <w:pPr>
              <w:jc w:val="center"/>
              <w:rPr>
                <w:rFonts w:ascii="Arial" w:hAnsi="Arial" w:cs="Arial"/>
                <w:sz w:val="24"/>
                <w:szCs w:val="24"/>
              </w:rPr>
            </w:pPr>
            <w:r w:rsidRPr="00FA3F9C">
              <w:rPr>
                <w:rFonts w:ascii="Arial" w:hAnsi="Arial" w:cs="Arial"/>
                <w:sz w:val="24"/>
                <w:szCs w:val="24"/>
              </w:rPr>
              <w:t>6/31 days</w:t>
            </w:r>
          </w:p>
        </w:tc>
      </w:tr>
      <w:tr w:rsidR="005C142D" w:rsidRPr="00FA3F9C" w14:paraId="37AA53E8" w14:textId="77777777" w:rsidTr="00995A03">
        <w:trPr>
          <w:jc w:val="center"/>
        </w:trPr>
        <w:tc>
          <w:tcPr>
            <w:tcW w:w="1899" w:type="dxa"/>
          </w:tcPr>
          <w:p w14:paraId="7C631A45" w14:textId="77777777" w:rsidR="005C142D" w:rsidRPr="00FA3F9C" w:rsidRDefault="005C142D" w:rsidP="00DF71CE">
            <w:pPr>
              <w:jc w:val="center"/>
              <w:rPr>
                <w:rFonts w:ascii="Arial" w:hAnsi="Arial" w:cs="Arial"/>
                <w:b/>
                <w:sz w:val="24"/>
                <w:szCs w:val="24"/>
              </w:rPr>
            </w:pPr>
            <w:r w:rsidRPr="00FA3F9C">
              <w:rPr>
                <w:rFonts w:ascii="Arial" w:hAnsi="Arial" w:cs="Arial"/>
                <w:b/>
                <w:sz w:val="24"/>
                <w:szCs w:val="24"/>
              </w:rPr>
              <w:t>Imitrex PO</w:t>
            </w:r>
          </w:p>
        </w:tc>
        <w:tc>
          <w:tcPr>
            <w:tcW w:w="2784" w:type="dxa"/>
          </w:tcPr>
          <w:p w14:paraId="00F3CDFE" w14:textId="77777777" w:rsidR="005C142D" w:rsidRPr="00FA3F9C" w:rsidRDefault="005C142D" w:rsidP="00995A03">
            <w:pPr>
              <w:jc w:val="center"/>
              <w:rPr>
                <w:rFonts w:ascii="Arial" w:hAnsi="Arial" w:cs="Arial"/>
                <w:sz w:val="24"/>
                <w:szCs w:val="24"/>
              </w:rPr>
            </w:pPr>
            <w:r w:rsidRPr="00FA3F9C">
              <w:rPr>
                <w:rFonts w:ascii="Arial" w:hAnsi="Arial" w:cs="Arial"/>
                <w:sz w:val="24"/>
                <w:szCs w:val="24"/>
              </w:rPr>
              <w:t>25mg, 50mg, 100mg tabs</w:t>
            </w:r>
          </w:p>
        </w:tc>
        <w:tc>
          <w:tcPr>
            <w:tcW w:w="1983" w:type="dxa"/>
          </w:tcPr>
          <w:p w14:paraId="243245BE" w14:textId="77777777" w:rsidR="005C142D" w:rsidRPr="00FA3F9C" w:rsidRDefault="005C142D" w:rsidP="00DF71CE">
            <w:pPr>
              <w:jc w:val="center"/>
              <w:rPr>
                <w:rFonts w:ascii="Arial" w:hAnsi="Arial" w:cs="Arial"/>
                <w:sz w:val="24"/>
                <w:szCs w:val="24"/>
              </w:rPr>
            </w:pPr>
            <w:r w:rsidRPr="00FA3F9C">
              <w:rPr>
                <w:rFonts w:ascii="Arial" w:hAnsi="Arial" w:cs="Arial"/>
                <w:sz w:val="24"/>
                <w:szCs w:val="24"/>
              </w:rPr>
              <w:t>9/31 days</w:t>
            </w:r>
          </w:p>
        </w:tc>
      </w:tr>
      <w:tr w:rsidR="005C142D" w:rsidRPr="00FA3F9C" w14:paraId="02A854C7" w14:textId="77777777" w:rsidTr="00995A03">
        <w:trPr>
          <w:jc w:val="center"/>
        </w:trPr>
        <w:tc>
          <w:tcPr>
            <w:tcW w:w="1899" w:type="dxa"/>
          </w:tcPr>
          <w:p w14:paraId="1C61AE02" w14:textId="77777777" w:rsidR="005C142D" w:rsidRPr="00FA3F9C" w:rsidRDefault="005C142D" w:rsidP="00DF71CE">
            <w:pPr>
              <w:jc w:val="center"/>
              <w:rPr>
                <w:rFonts w:ascii="Arial" w:hAnsi="Arial" w:cs="Arial"/>
                <w:b/>
                <w:sz w:val="24"/>
                <w:szCs w:val="24"/>
              </w:rPr>
            </w:pPr>
            <w:r w:rsidRPr="00FA3F9C">
              <w:rPr>
                <w:rFonts w:ascii="Arial" w:hAnsi="Arial" w:cs="Arial"/>
                <w:b/>
                <w:sz w:val="24"/>
                <w:szCs w:val="24"/>
              </w:rPr>
              <w:t>Maxalt</w:t>
            </w:r>
          </w:p>
        </w:tc>
        <w:tc>
          <w:tcPr>
            <w:tcW w:w="2784" w:type="dxa"/>
          </w:tcPr>
          <w:p w14:paraId="6A5D3FDE" w14:textId="77777777" w:rsidR="005C142D" w:rsidRPr="00FA3F9C" w:rsidRDefault="005C142D" w:rsidP="00995A03">
            <w:pPr>
              <w:jc w:val="center"/>
              <w:rPr>
                <w:rFonts w:ascii="Arial" w:hAnsi="Arial" w:cs="Arial"/>
                <w:sz w:val="24"/>
                <w:szCs w:val="24"/>
              </w:rPr>
            </w:pPr>
            <w:r w:rsidRPr="00FA3F9C">
              <w:rPr>
                <w:rFonts w:ascii="Arial" w:hAnsi="Arial" w:cs="Arial"/>
                <w:sz w:val="24"/>
                <w:szCs w:val="24"/>
              </w:rPr>
              <w:t>5mg,10mg tabs</w:t>
            </w:r>
          </w:p>
          <w:p w14:paraId="166809E2" w14:textId="77777777" w:rsidR="005C142D" w:rsidRPr="00FA3F9C" w:rsidRDefault="005C142D" w:rsidP="00995A03">
            <w:pPr>
              <w:jc w:val="center"/>
              <w:rPr>
                <w:rFonts w:ascii="Arial" w:hAnsi="Arial" w:cs="Arial"/>
                <w:sz w:val="24"/>
                <w:szCs w:val="24"/>
              </w:rPr>
            </w:pPr>
            <w:r w:rsidRPr="00FA3F9C">
              <w:rPr>
                <w:rFonts w:ascii="Arial" w:hAnsi="Arial" w:cs="Arial"/>
                <w:sz w:val="24"/>
                <w:szCs w:val="24"/>
              </w:rPr>
              <w:t>5mg, 10mg MLT</w:t>
            </w:r>
          </w:p>
        </w:tc>
        <w:tc>
          <w:tcPr>
            <w:tcW w:w="1983" w:type="dxa"/>
          </w:tcPr>
          <w:p w14:paraId="304FDB99" w14:textId="77777777" w:rsidR="005C142D" w:rsidRPr="00FA3F9C" w:rsidRDefault="005C142D" w:rsidP="00DF71CE">
            <w:pPr>
              <w:jc w:val="center"/>
              <w:rPr>
                <w:rFonts w:ascii="Arial" w:hAnsi="Arial" w:cs="Arial"/>
                <w:sz w:val="24"/>
                <w:szCs w:val="24"/>
              </w:rPr>
            </w:pPr>
            <w:r w:rsidRPr="00FA3F9C">
              <w:rPr>
                <w:rFonts w:ascii="Arial" w:hAnsi="Arial" w:cs="Arial"/>
                <w:sz w:val="24"/>
                <w:szCs w:val="24"/>
              </w:rPr>
              <w:t>12/31 days</w:t>
            </w:r>
          </w:p>
        </w:tc>
      </w:tr>
      <w:tr w:rsidR="005C142D" w:rsidRPr="00FA3F9C" w14:paraId="1BA8470D" w14:textId="77777777" w:rsidTr="00995A03">
        <w:trPr>
          <w:jc w:val="center"/>
        </w:trPr>
        <w:tc>
          <w:tcPr>
            <w:tcW w:w="1899" w:type="dxa"/>
          </w:tcPr>
          <w:p w14:paraId="0EC901C1" w14:textId="77777777" w:rsidR="005C142D" w:rsidRPr="00FA3F9C" w:rsidRDefault="005C142D" w:rsidP="00DF71CE">
            <w:pPr>
              <w:jc w:val="center"/>
              <w:rPr>
                <w:rFonts w:ascii="Arial" w:hAnsi="Arial" w:cs="Arial"/>
                <w:b/>
                <w:sz w:val="24"/>
                <w:szCs w:val="24"/>
              </w:rPr>
            </w:pPr>
            <w:proofErr w:type="spellStart"/>
            <w:r w:rsidRPr="00FA3F9C">
              <w:rPr>
                <w:rFonts w:ascii="Arial" w:hAnsi="Arial" w:cs="Arial"/>
                <w:b/>
                <w:sz w:val="24"/>
                <w:szCs w:val="24"/>
              </w:rPr>
              <w:t>Relpax</w:t>
            </w:r>
            <w:proofErr w:type="spellEnd"/>
          </w:p>
        </w:tc>
        <w:tc>
          <w:tcPr>
            <w:tcW w:w="2784" w:type="dxa"/>
          </w:tcPr>
          <w:p w14:paraId="50550A14" w14:textId="77777777" w:rsidR="005C142D" w:rsidRPr="00FA3F9C" w:rsidRDefault="005C142D" w:rsidP="00995A03">
            <w:pPr>
              <w:jc w:val="center"/>
              <w:rPr>
                <w:rFonts w:ascii="Arial" w:hAnsi="Arial" w:cs="Arial"/>
                <w:sz w:val="24"/>
                <w:szCs w:val="24"/>
              </w:rPr>
            </w:pPr>
            <w:r w:rsidRPr="00FA3F9C">
              <w:rPr>
                <w:rFonts w:ascii="Arial" w:hAnsi="Arial" w:cs="Arial"/>
                <w:sz w:val="24"/>
                <w:szCs w:val="24"/>
              </w:rPr>
              <w:t>20mg, 40mg tabs</w:t>
            </w:r>
          </w:p>
        </w:tc>
        <w:tc>
          <w:tcPr>
            <w:tcW w:w="1983" w:type="dxa"/>
          </w:tcPr>
          <w:p w14:paraId="69707E40" w14:textId="77777777" w:rsidR="005C142D" w:rsidRPr="00FA3F9C" w:rsidRDefault="005C142D" w:rsidP="00DF71CE">
            <w:pPr>
              <w:jc w:val="center"/>
              <w:rPr>
                <w:rFonts w:ascii="Arial" w:hAnsi="Arial" w:cs="Arial"/>
                <w:sz w:val="24"/>
                <w:szCs w:val="24"/>
              </w:rPr>
            </w:pPr>
            <w:r w:rsidRPr="00FA3F9C">
              <w:rPr>
                <w:rFonts w:ascii="Arial" w:hAnsi="Arial" w:cs="Arial"/>
                <w:sz w:val="24"/>
                <w:szCs w:val="24"/>
              </w:rPr>
              <w:t>6/31 days</w:t>
            </w:r>
          </w:p>
        </w:tc>
      </w:tr>
      <w:tr w:rsidR="005C142D" w:rsidRPr="00FA3F9C" w14:paraId="06438460" w14:textId="77777777" w:rsidTr="00995A03">
        <w:trPr>
          <w:jc w:val="center"/>
        </w:trPr>
        <w:tc>
          <w:tcPr>
            <w:tcW w:w="1899" w:type="dxa"/>
          </w:tcPr>
          <w:p w14:paraId="21BA837C" w14:textId="77777777" w:rsidR="005C142D" w:rsidRPr="00FA3F9C" w:rsidRDefault="005C142D" w:rsidP="00DF71CE">
            <w:pPr>
              <w:jc w:val="center"/>
              <w:rPr>
                <w:rFonts w:ascii="Arial" w:hAnsi="Arial" w:cs="Arial"/>
                <w:b/>
                <w:sz w:val="24"/>
                <w:szCs w:val="24"/>
              </w:rPr>
            </w:pPr>
            <w:proofErr w:type="spellStart"/>
            <w:r w:rsidRPr="00FA3F9C">
              <w:rPr>
                <w:rFonts w:ascii="Arial" w:hAnsi="Arial" w:cs="Arial"/>
                <w:b/>
                <w:sz w:val="24"/>
                <w:szCs w:val="24"/>
              </w:rPr>
              <w:t>Sumavel</w:t>
            </w:r>
            <w:proofErr w:type="spellEnd"/>
          </w:p>
          <w:p w14:paraId="0B52E3A6" w14:textId="77777777" w:rsidR="005C142D" w:rsidRPr="00FA3F9C" w:rsidRDefault="005C142D" w:rsidP="00DF71CE">
            <w:pPr>
              <w:jc w:val="center"/>
              <w:rPr>
                <w:rFonts w:ascii="Arial" w:hAnsi="Arial" w:cs="Arial"/>
                <w:b/>
                <w:sz w:val="24"/>
                <w:szCs w:val="24"/>
              </w:rPr>
            </w:pPr>
            <w:proofErr w:type="spellStart"/>
            <w:r w:rsidRPr="00FA3F9C">
              <w:rPr>
                <w:rFonts w:ascii="Arial" w:hAnsi="Arial" w:cs="Arial"/>
                <w:b/>
                <w:sz w:val="24"/>
                <w:szCs w:val="24"/>
              </w:rPr>
              <w:t>DosePro</w:t>
            </w:r>
            <w:proofErr w:type="spellEnd"/>
            <w:r w:rsidRPr="00FA3F9C">
              <w:rPr>
                <w:rFonts w:ascii="Arial" w:hAnsi="Arial" w:cs="Arial"/>
                <w:b/>
                <w:sz w:val="24"/>
                <w:szCs w:val="24"/>
              </w:rPr>
              <w:t xml:space="preserve"> SQ </w:t>
            </w:r>
            <w:proofErr w:type="spellStart"/>
            <w:r w:rsidRPr="00FA3F9C">
              <w:rPr>
                <w:rFonts w:ascii="Arial" w:hAnsi="Arial" w:cs="Arial"/>
                <w:b/>
                <w:sz w:val="24"/>
                <w:szCs w:val="24"/>
              </w:rPr>
              <w:t>Inj</w:t>
            </w:r>
            <w:proofErr w:type="spellEnd"/>
          </w:p>
        </w:tc>
        <w:tc>
          <w:tcPr>
            <w:tcW w:w="2784" w:type="dxa"/>
          </w:tcPr>
          <w:p w14:paraId="05F4023E" w14:textId="77777777" w:rsidR="005C142D" w:rsidRPr="00FA3F9C" w:rsidRDefault="005C142D" w:rsidP="00DF71CE">
            <w:pPr>
              <w:jc w:val="center"/>
              <w:rPr>
                <w:rFonts w:ascii="Arial" w:hAnsi="Arial" w:cs="Arial"/>
                <w:sz w:val="24"/>
                <w:szCs w:val="24"/>
              </w:rPr>
            </w:pPr>
            <w:r w:rsidRPr="00FA3F9C">
              <w:rPr>
                <w:rFonts w:ascii="Arial" w:hAnsi="Arial" w:cs="Arial"/>
                <w:sz w:val="24"/>
                <w:szCs w:val="24"/>
              </w:rPr>
              <w:t>6mg</w:t>
            </w:r>
          </w:p>
        </w:tc>
        <w:tc>
          <w:tcPr>
            <w:tcW w:w="1983" w:type="dxa"/>
          </w:tcPr>
          <w:p w14:paraId="7D06BB11" w14:textId="77777777" w:rsidR="005C142D" w:rsidRPr="00FA3F9C" w:rsidRDefault="005C142D" w:rsidP="00DF71CE">
            <w:pPr>
              <w:jc w:val="center"/>
              <w:rPr>
                <w:rFonts w:ascii="Arial" w:hAnsi="Arial" w:cs="Arial"/>
                <w:sz w:val="24"/>
                <w:szCs w:val="24"/>
              </w:rPr>
            </w:pPr>
            <w:r w:rsidRPr="00FA3F9C">
              <w:rPr>
                <w:rFonts w:ascii="Arial" w:hAnsi="Arial" w:cs="Arial"/>
                <w:sz w:val="24"/>
                <w:szCs w:val="24"/>
              </w:rPr>
              <w:t>6 units/31 days</w:t>
            </w:r>
          </w:p>
        </w:tc>
      </w:tr>
      <w:tr w:rsidR="005C142D" w:rsidRPr="00FA3F9C" w14:paraId="3761545F" w14:textId="77777777" w:rsidTr="00995A03">
        <w:trPr>
          <w:jc w:val="center"/>
        </w:trPr>
        <w:tc>
          <w:tcPr>
            <w:tcW w:w="1899" w:type="dxa"/>
          </w:tcPr>
          <w:p w14:paraId="6739FA77" w14:textId="77777777" w:rsidR="005C142D" w:rsidRPr="00FA3F9C" w:rsidRDefault="005C142D" w:rsidP="00DF71CE">
            <w:pPr>
              <w:jc w:val="center"/>
              <w:rPr>
                <w:rFonts w:ascii="Arial" w:hAnsi="Arial" w:cs="Arial"/>
                <w:b/>
                <w:sz w:val="24"/>
                <w:szCs w:val="24"/>
              </w:rPr>
            </w:pPr>
            <w:proofErr w:type="spellStart"/>
            <w:r w:rsidRPr="00FA3F9C">
              <w:rPr>
                <w:rFonts w:ascii="Arial" w:hAnsi="Arial" w:cs="Arial"/>
                <w:b/>
                <w:sz w:val="24"/>
                <w:szCs w:val="24"/>
              </w:rPr>
              <w:t>Treximet</w:t>
            </w:r>
            <w:proofErr w:type="spellEnd"/>
          </w:p>
        </w:tc>
        <w:tc>
          <w:tcPr>
            <w:tcW w:w="2784" w:type="dxa"/>
          </w:tcPr>
          <w:p w14:paraId="364A8BC9" w14:textId="77777777" w:rsidR="005C142D" w:rsidRPr="00FA3F9C" w:rsidRDefault="005C142D" w:rsidP="00DF71CE">
            <w:pPr>
              <w:jc w:val="center"/>
              <w:rPr>
                <w:rFonts w:ascii="Arial" w:hAnsi="Arial" w:cs="Arial"/>
                <w:sz w:val="24"/>
                <w:szCs w:val="24"/>
              </w:rPr>
            </w:pPr>
            <w:r w:rsidRPr="00FA3F9C">
              <w:rPr>
                <w:rFonts w:ascii="Arial" w:hAnsi="Arial" w:cs="Arial"/>
                <w:sz w:val="24"/>
                <w:szCs w:val="24"/>
              </w:rPr>
              <w:t>85/500 mg tabs</w:t>
            </w:r>
          </w:p>
        </w:tc>
        <w:tc>
          <w:tcPr>
            <w:tcW w:w="1983" w:type="dxa"/>
          </w:tcPr>
          <w:p w14:paraId="64E16EB7" w14:textId="77777777" w:rsidR="005C142D" w:rsidRPr="00FA3F9C" w:rsidRDefault="005C142D" w:rsidP="00DF71CE">
            <w:pPr>
              <w:jc w:val="center"/>
              <w:rPr>
                <w:rFonts w:ascii="Arial" w:hAnsi="Arial" w:cs="Arial"/>
                <w:sz w:val="24"/>
                <w:szCs w:val="24"/>
              </w:rPr>
            </w:pPr>
            <w:r w:rsidRPr="00FA3F9C">
              <w:rPr>
                <w:rFonts w:ascii="Arial" w:hAnsi="Arial" w:cs="Arial"/>
                <w:sz w:val="24"/>
                <w:szCs w:val="24"/>
              </w:rPr>
              <w:t>9/31days</w:t>
            </w:r>
          </w:p>
        </w:tc>
      </w:tr>
      <w:tr w:rsidR="005C142D" w:rsidRPr="00FA3F9C" w14:paraId="0739E7BB" w14:textId="77777777" w:rsidTr="00995A03">
        <w:trPr>
          <w:jc w:val="center"/>
        </w:trPr>
        <w:tc>
          <w:tcPr>
            <w:tcW w:w="1899" w:type="dxa"/>
          </w:tcPr>
          <w:p w14:paraId="2BEE9DF3" w14:textId="77777777" w:rsidR="005C142D" w:rsidRPr="00FA3F9C" w:rsidRDefault="005C142D" w:rsidP="00DF71CE">
            <w:pPr>
              <w:jc w:val="center"/>
              <w:rPr>
                <w:rFonts w:ascii="Arial" w:hAnsi="Arial" w:cs="Arial"/>
                <w:b/>
                <w:sz w:val="24"/>
                <w:szCs w:val="24"/>
              </w:rPr>
            </w:pPr>
            <w:proofErr w:type="spellStart"/>
            <w:r w:rsidRPr="00FA3F9C">
              <w:rPr>
                <w:rFonts w:ascii="Arial" w:hAnsi="Arial" w:cs="Arial"/>
                <w:b/>
                <w:sz w:val="24"/>
                <w:szCs w:val="24"/>
              </w:rPr>
              <w:t>Zomig</w:t>
            </w:r>
            <w:proofErr w:type="spellEnd"/>
          </w:p>
        </w:tc>
        <w:tc>
          <w:tcPr>
            <w:tcW w:w="2784" w:type="dxa"/>
          </w:tcPr>
          <w:p w14:paraId="7C2E3A28" w14:textId="77777777" w:rsidR="005C142D" w:rsidRPr="00FA3F9C" w:rsidRDefault="005C142D" w:rsidP="00995A03">
            <w:pPr>
              <w:jc w:val="center"/>
              <w:rPr>
                <w:rFonts w:ascii="Arial" w:hAnsi="Arial" w:cs="Arial"/>
                <w:sz w:val="24"/>
                <w:szCs w:val="24"/>
              </w:rPr>
            </w:pPr>
            <w:r w:rsidRPr="00FA3F9C">
              <w:rPr>
                <w:rFonts w:ascii="Arial" w:hAnsi="Arial" w:cs="Arial"/>
                <w:sz w:val="24"/>
                <w:szCs w:val="24"/>
              </w:rPr>
              <w:t>2.5mg tabs &amp; 2.5mg ZMT</w:t>
            </w:r>
          </w:p>
          <w:p w14:paraId="147A0A4B" w14:textId="77777777" w:rsidR="005C142D" w:rsidRPr="00FA3F9C" w:rsidRDefault="005C142D" w:rsidP="00995A03">
            <w:pPr>
              <w:jc w:val="center"/>
              <w:rPr>
                <w:rFonts w:ascii="Arial" w:hAnsi="Arial" w:cs="Arial"/>
                <w:sz w:val="24"/>
                <w:szCs w:val="24"/>
              </w:rPr>
            </w:pPr>
            <w:r w:rsidRPr="00FA3F9C">
              <w:rPr>
                <w:rFonts w:ascii="Arial" w:hAnsi="Arial" w:cs="Arial"/>
                <w:sz w:val="24"/>
                <w:szCs w:val="24"/>
              </w:rPr>
              <w:t>5mg tabs &amp; 5mg ZMT</w:t>
            </w:r>
          </w:p>
        </w:tc>
        <w:tc>
          <w:tcPr>
            <w:tcW w:w="1983" w:type="dxa"/>
          </w:tcPr>
          <w:p w14:paraId="28E9992B" w14:textId="77777777" w:rsidR="005C142D" w:rsidRPr="00FA3F9C" w:rsidRDefault="005C142D" w:rsidP="00DF71CE">
            <w:pPr>
              <w:jc w:val="center"/>
              <w:rPr>
                <w:rFonts w:ascii="Arial" w:hAnsi="Arial" w:cs="Arial"/>
                <w:sz w:val="24"/>
                <w:szCs w:val="24"/>
              </w:rPr>
            </w:pPr>
            <w:r w:rsidRPr="00FA3F9C">
              <w:rPr>
                <w:rFonts w:ascii="Arial" w:hAnsi="Arial" w:cs="Arial"/>
                <w:sz w:val="24"/>
                <w:szCs w:val="24"/>
              </w:rPr>
              <w:t>6/31 days</w:t>
            </w:r>
          </w:p>
          <w:p w14:paraId="24A5C9C2" w14:textId="77777777" w:rsidR="005C142D" w:rsidRPr="00FA3F9C" w:rsidRDefault="005C142D" w:rsidP="00995A03">
            <w:pPr>
              <w:jc w:val="center"/>
              <w:rPr>
                <w:rFonts w:ascii="Arial" w:hAnsi="Arial" w:cs="Arial"/>
                <w:sz w:val="24"/>
                <w:szCs w:val="24"/>
              </w:rPr>
            </w:pPr>
            <w:r w:rsidRPr="00FA3F9C">
              <w:rPr>
                <w:rFonts w:ascii="Arial" w:hAnsi="Arial" w:cs="Arial"/>
                <w:sz w:val="24"/>
                <w:szCs w:val="24"/>
              </w:rPr>
              <w:t>3/31 days</w:t>
            </w:r>
          </w:p>
        </w:tc>
      </w:tr>
      <w:tr w:rsidR="005C142D" w:rsidRPr="00FA3F9C" w14:paraId="70EE3998" w14:textId="77777777" w:rsidTr="00995A03">
        <w:trPr>
          <w:jc w:val="center"/>
        </w:trPr>
        <w:tc>
          <w:tcPr>
            <w:tcW w:w="1899" w:type="dxa"/>
          </w:tcPr>
          <w:p w14:paraId="537B92A7" w14:textId="77777777" w:rsidR="005C142D" w:rsidRPr="00FA3F9C" w:rsidRDefault="005C142D" w:rsidP="00DF71CE">
            <w:pPr>
              <w:jc w:val="center"/>
              <w:rPr>
                <w:rFonts w:ascii="Arial" w:hAnsi="Arial" w:cs="Arial"/>
                <w:b/>
                <w:sz w:val="24"/>
                <w:szCs w:val="24"/>
              </w:rPr>
            </w:pPr>
            <w:proofErr w:type="spellStart"/>
            <w:r w:rsidRPr="00FA3F9C">
              <w:rPr>
                <w:rFonts w:ascii="Arial" w:hAnsi="Arial" w:cs="Arial"/>
                <w:b/>
                <w:sz w:val="24"/>
                <w:szCs w:val="24"/>
              </w:rPr>
              <w:t>Zomig</w:t>
            </w:r>
            <w:proofErr w:type="spellEnd"/>
            <w:r w:rsidRPr="00FA3F9C">
              <w:rPr>
                <w:rFonts w:ascii="Arial" w:hAnsi="Arial" w:cs="Arial"/>
                <w:b/>
                <w:sz w:val="24"/>
                <w:szCs w:val="24"/>
              </w:rPr>
              <w:t xml:space="preserve"> NS</w:t>
            </w:r>
          </w:p>
        </w:tc>
        <w:tc>
          <w:tcPr>
            <w:tcW w:w="2784" w:type="dxa"/>
          </w:tcPr>
          <w:p w14:paraId="46B5E077" w14:textId="77777777" w:rsidR="005C142D" w:rsidRPr="00FA3F9C" w:rsidRDefault="005C142D" w:rsidP="00DF71CE">
            <w:pPr>
              <w:jc w:val="center"/>
              <w:rPr>
                <w:rFonts w:ascii="Arial" w:hAnsi="Arial" w:cs="Arial"/>
                <w:sz w:val="24"/>
                <w:szCs w:val="24"/>
              </w:rPr>
            </w:pPr>
            <w:r w:rsidRPr="00FA3F9C">
              <w:rPr>
                <w:rFonts w:ascii="Arial" w:hAnsi="Arial" w:cs="Arial"/>
                <w:sz w:val="24"/>
                <w:szCs w:val="24"/>
              </w:rPr>
              <w:t>5mg/100µL</w:t>
            </w:r>
          </w:p>
        </w:tc>
        <w:tc>
          <w:tcPr>
            <w:tcW w:w="1983" w:type="dxa"/>
          </w:tcPr>
          <w:p w14:paraId="4A71203A" w14:textId="77777777" w:rsidR="005C142D" w:rsidRPr="00FA3F9C" w:rsidRDefault="005C142D" w:rsidP="00DF71CE">
            <w:pPr>
              <w:jc w:val="center"/>
              <w:rPr>
                <w:rFonts w:ascii="Arial" w:hAnsi="Arial" w:cs="Arial"/>
                <w:sz w:val="24"/>
                <w:szCs w:val="24"/>
              </w:rPr>
            </w:pPr>
            <w:r w:rsidRPr="00FA3F9C">
              <w:rPr>
                <w:rFonts w:ascii="Arial" w:hAnsi="Arial" w:cs="Arial"/>
                <w:sz w:val="24"/>
                <w:szCs w:val="24"/>
              </w:rPr>
              <w:t>6 units/31 days</w:t>
            </w:r>
          </w:p>
        </w:tc>
      </w:tr>
    </w:tbl>
    <w:p w14:paraId="7E2464F7" w14:textId="77777777" w:rsidR="005C142D" w:rsidRPr="00FA3F9C" w:rsidRDefault="005C142D" w:rsidP="00995A03">
      <w:pPr>
        <w:rPr>
          <w:rFonts w:ascii="Arial" w:hAnsi="Arial" w:cs="Arial"/>
          <w:b/>
          <w:sz w:val="24"/>
          <w:szCs w:val="24"/>
        </w:rPr>
      </w:pPr>
    </w:p>
    <w:p w14:paraId="55425589" w14:textId="77777777" w:rsidR="005C142D" w:rsidRPr="00FA3F9C" w:rsidRDefault="005C142D" w:rsidP="00995A03">
      <w:pPr>
        <w:rPr>
          <w:rFonts w:ascii="Arial" w:hAnsi="Arial" w:cs="Arial"/>
          <w:b/>
          <w:sz w:val="24"/>
          <w:szCs w:val="24"/>
        </w:rPr>
      </w:pPr>
      <w:r w:rsidRPr="00FA3F9C">
        <w:rPr>
          <w:rFonts w:ascii="Arial" w:hAnsi="Arial" w:cs="Arial"/>
          <w:b/>
          <w:sz w:val="24"/>
          <w:szCs w:val="24"/>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6750"/>
        <w:gridCol w:w="1458"/>
      </w:tblGrid>
      <w:tr w:rsidR="005C142D" w:rsidRPr="00FA3F9C" w14:paraId="797665F4" w14:textId="77777777" w:rsidTr="00EB6A70">
        <w:tc>
          <w:tcPr>
            <w:tcW w:w="1368" w:type="dxa"/>
            <w:shd w:val="clear" w:color="auto" w:fill="auto"/>
          </w:tcPr>
          <w:p w14:paraId="6CD841B5" w14:textId="77777777" w:rsidR="005C142D" w:rsidRPr="00FA3F9C" w:rsidRDefault="005C142D" w:rsidP="00995A03">
            <w:pPr>
              <w:rPr>
                <w:rFonts w:ascii="Arial" w:hAnsi="Arial" w:cs="Arial"/>
                <w:b/>
                <w:sz w:val="24"/>
                <w:szCs w:val="24"/>
              </w:rPr>
            </w:pPr>
            <w:r w:rsidRPr="00FA3F9C">
              <w:rPr>
                <w:rFonts w:ascii="Arial" w:hAnsi="Arial" w:cs="Arial"/>
                <w:b/>
                <w:sz w:val="24"/>
                <w:szCs w:val="24"/>
              </w:rPr>
              <w:t>Since inception</w:t>
            </w:r>
          </w:p>
        </w:tc>
        <w:tc>
          <w:tcPr>
            <w:tcW w:w="6750" w:type="dxa"/>
            <w:shd w:val="clear" w:color="auto" w:fill="auto"/>
          </w:tcPr>
          <w:p w14:paraId="3F5DADE5" w14:textId="77777777" w:rsidR="005C142D" w:rsidRPr="00FA3F9C" w:rsidRDefault="005C142D" w:rsidP="00995A03">
            <w:pPr>
              <w:rPr>
                <w:rFonts w:ascii="Arial" w:hAnsi="Arial" w:cs="Arial"/>
                <w:b/>
                <w:sz w:val="24"/>
                <w:szCs w:val="24"/>
              </w:rPr>
            </w:pPr>
            <w:r w:rsidRPr="00FA3F9C">
              <w:rPr>
                <w:rFonts w:ascii="Arial" w:hAnsi="Arial" w:cs="Arial"/>
                <w:b/>
                <w:sz w:val="24"/>
                <w:szCs w:val="24"/>
              </w:rPr>
              <w:t>RP statins to sumatriptan. No RP applied to rizatriptan</w:t>
            </w:r>
          </w:p>
        </w:tc>
        <w:tc>
          <w:tcPr>
            <w:tcW w:w="1458" w:type="dxa"/>
            <w:shd w:val="clear" w:color="auto" w:fill="auto"/>
          </w:tcPr>
          <w:p w14:paraId="07E50ED3" w14:textId="38C79CA3" w:rsidR="005C142D" w:rsidRPr="00FA3F9C" w:rsidRDefault="005C142D" w:rsidP="00995A03">
            <w:pPr>
              <w:rPr>
                <w:rFonts w:ascii="Arial" w:hAnsi="Arial" w:cs="Arial"/>
                <w:b/>
                <w:sz w:val="24"/>
                <w:szCs w:val="24"/>
              </w:rPr>
            </w:pPr>
            <w:r w:rsidRPr="00FA3F9C">
              <w:rPr>
                <w:rFonts w:ascii="Arial" w:hAnsi="Arial" w:cs="Arial"/>
                <w:b/>
                <w:sz w:val="24"/>
                <w:szCs w:val="24"/>
              </w:rPr>
              <w:t xml:space="preserve">Per </w:t>
            </w:r>
            <w:r w:rsidR="00B700AB" w:rsidRPr="00FA3F9C">
              <w:rPr>
                <w:rFonts w:ascii="Arial" w:hAnsi="Arial" w:cs="Arial"/>
                <w:b/>
                <w:sz w:val="24"/>
                <w:szCs w:val="24"/>
              </w:rPr>
              <w:t>DD</w:t>
            </w:r>
            <w:r w:rsidRPr="00FA3F9C">
              <w:rPr>
                <w:rFonts w:ascii="Arial" w:hAnsi="Arial" w:cs="Arial"/>
                <w:b/>
                <w:sz w:val="24"/>
                <w:szCs w:val="24"/>
              </w:rPr>
              <w:t>.</w:t>
            </w:r>
          </w:p>
        </w:tc>
      </w:tr>
      <w:tr w:rsidR="005C142D" w:rsidRPr="00FA3F9C" w14:paraId="48929CD4" w14:textId="77777777" w:rsidTr="00EB6A70">
        <w:tc>
          <w:tcPr>
            <w:tcW w:w="1368" w:type="dxa"/>
            <w:shd w:val="clear" w:color="auto" w:fill="auto"/>
          </w:tcPr>
          <w:p w14:paraId="4E322F69" w14:textId="77777777" w:rsidR="005C142D" w:rsidRPr="00FA3F9C" w:rsidRDefault="005C142D" w:rsidP="00995A03">
            <w:pPr>
              <w:rPr>
                <w:rFonts w:ascii="Arial" w:hAnsi="Arial" w:cs="Arial"/>
                <w:b/>
                <w:sz w:val="24"/>
                <w:szCs w:val="24"/>
              </w:rPr>
            </w:pPr>
            <w:r w:rsidRPr="00FA3F9C">
              <w:rPr>
                <w:rFonts w:ascii="Arial" w:hAnsi="Arial" w:cs="Arial"/>
                <w:b/>
                <w:sz w:val="24"/>
                <w:szCs w:val="24"/>
              </w:rPr>
              <w:t>7/14/2020</w:t>
            </w:r>
          </w:p>
        </w:tc>
        <w:tc>
          <w:tcPr>
            <w:tcW w:w="6750" w:type="dxa"/>
            <w:shd w:val="clear" w:color="auto" w:fill="auto"/>
          </w:tcPr>
          <w:p w14:paraId="7651AD07" w14:textId="77777777" w:rsidR="005C142D" w:rsidRPr="00FA3F9C" w:rsidRDefault="005C142D" w:rsidP="00995A03">
            <w:pPr>
              <w:rPr>
                <w:rFonts w:ascii="Arial" w:hAnsi="Arial" w:cs="Arial"/>
                <w:b/>
                <w:sz w:val="24"/>
                <w:szCs w:val="24"/>
              </w:rPr>
            </w:pPr>
            <w:r w:rsidRPr="00FA3F9C">
              <w:rPr>
                <w:rFonts w:ascii="Arial" w:hAnsi="Arial" w:cs="Arial"/>
                <w:b/>
                <w:sz w:val="24"/>
                <w:szCs w:val="24"/>
              </w:rPr>
              <w:t xml:space="preserve">I removed the PA from this form on the server; left the QLs.  Current strategy is to RP triptans to generic sumatriptan.  The RP does not apply to rizatriptan (per </w:t>
            </w:r>
            <w:r w:rsidRPr="00FA3F9C">
              <w:rPr>
                <w:rFonts w:ascii="Arial" w:hAnsi="Arial" w:cs="Arial"/>
                <w:b/>
                <w:sz w:val="24"/>
                <w:szCs w:val="24"/>
              </w:rPr>
              <w:lastRenderedPageBreak/>
              <w:t xml:space="preserve">the DERP reports out of Oregon).  Per ICER, </w:t>
            </w:r>
            <w:proofErr w:type="spellStart"/>
            <w:r w:rsidRPr="00FA3F9C">
              <w:rPr>
                <w:rFonts w:ascii="Arial" w:hAnsi="Arial" w:cs="Arial"/>
                <w:b/>
                <w:sz w:val="24"/>
                <w:szCs w:val="24"/>
              </w:rPr>
              <w:t>eletriptan</w:t>
            </w:r>
            <w:proofErr w:type="spellEnd"/>
            <w:r w:rsidRPr="00FA3F9C">
              <w:rPr>
                <w:rFonts w:ascii="Arial" w:hAnsi="Arial" w:cs="Arial"/>
                <w:b/>
                <w:sz w:val="24"/>
                <w:szCs w:val="24"/>
              </w:rPr>
              <w:t xml:space="preserve"> performed best in a network meta-analysis for the endpoints 2 hour pain relief and 24 hour sustained pain relief.  Will discuss 7/27/2020 at EBRx P&amp;T to remove RP from </w:t>
            </w:r>
            <w:proofErr w:type="spellStart"/>
            <w:r w:rsidRPr="00FA3F9C">
              <w:rPr>
                <w:rFonts w:ascii="Arial" w:hAnsi="Arial" w:cs="Arial"/>
                <w:b/>
                <w:sz w:val="24"/>
                <w:szCs w:val="24"/>
              </w:rPr>
              <w:t>eletriptan</w:t>
            </w:r>
            <w:proofErr w:type="spellEnd"/>
            <w:r w:rsidRPr="00FA3F9C">
              <w:rPr>
                <w:rFonts w:ascii="Arial" w:hAnsi="Arial" w:cs="Arial"/>
                <w:b/>
                <w:sz w:val="24"/>
                <w:szCs w:val="24"/>
              </w:rPr>
              <w:t>.</w:t>
            </w:r>
          </w:p>
        </w:tc>
        <w:tc>
          <w:tcPr>
            <w:tcW w:w="1458" w:type="dxa"/>
            <w:shd w:val="clear" w:color="auto" w:fill="auto"/>
          </w:tcPr>
          <w:p w14:paraId="3667D63C" w14:textId="4875B647" w:rsidR="005C142D" w:rsidRPr="00FA3F9C" w:rsidRDefault="005C142D" w:rsidP="00995A03">
            <w:pPr>
              <w:rPr>
                <w:rFonts w:ascii="Arial" w:hAnsi="Arial" w:cs="Arial"/>
                <w:b/>
                <w:sz w:val="24"/>
                <w:szCs w:val="24"/>
              </w:rPr>
            </w:pPr>
            <w:r w:rsidRPr="00FA3F9C">
              <w:rPr>
                <w:rFonts w:ascii="Arial" w:hAnsi="Arial" w:cs="Arial"/>
                <w:b/>
                <w:sz w:val="24"/>
                <w:szCs w:val="24"/>
              </w:rPr>
              <w:lastRenderedPageBreak/>
              <w:t>JJ</w:t>
            </w:r>
          </w:p>
        </w:tc>
      </w:tr>
      <w:tr w:rsidR="005C142D" w:rsidRPr="00FA3F9C" w14:paraId="2465D133" w14:textId="77777777" w:rsidTr="00EB6A70">
        <w:tc>
          <w:tcPr>
            <w:tcW w:w="1368" w:type="dxa"/>
            <w:shd w:val="clear" w:color="auto" w:fill="auto"/>
          </w:tcPr>
          <w:p w14:paraId="3B975379" w14:textId="77777777" w:rsidR="005C142D" w:rsidRPr="00FA3F9C" w:rsidRDefault="005C142D" w:rsidP="00995A03">
            <w:pPr>
              <w:rPr>
                <w:rFonts w:ascii="Arial" w:hAnsi="Arial" w:cs="Arial"/>
                <w:b/>
                <w:sz w:val="24"/>
                <w:szCs w:val="24"/>
              </w:rPr>
            </w:pPr>
          </w:p>
        </w:tc>
        <w:tc>
          <w:tcPr>
            <w:tcW w:w="6750" w:type="dxa"/>
            <w:shd w:val="clear" w:color="auto" w:fill="auto"/>
          </w:tcPr>
          <w:p w14:paraId="376A165C" w14:textId="77777777" w:rsidR="005C142D" w:rsidRPr="00FA3F9C" w:rsidRDefault="005C142D" w:rsidP="00995A03">
            <w:pPr>
              <w:rPr>
                <w:rFonts w:ascii="Arial" w:hAnsi="Arial" w:cs="Arial"/>
                <w:b/>
                <w:sz w:val="24"/>
                <w:szCs w:val="24"/>
              </w:rPr>
            </w:pPr>
          </w:p>
        </w:tc>
        <w:tc>
          <w:tcPr>
            <w:tcW w:w="1458" w:type="dxa"/>
            <w:shd w:val="clear" w:color="auto" w:fill="auto"/>
          </w:tcPr>
          <w:p w14:paraId="7BE8933F" w14:textId="77777777" w:rsidR="005C142D" w:rsidRPr="00FA3F9C" w:rsidRDefault="005C142D" w:rsidP="00995A03">
            <w:pPr>
              <w:rPr>
                <w:rFonts w:ascii="Arial" w:hAnsi="Arial" w:cs="Arial"/>
                <w:b/>
                <w:sz w:val="24"/>
                <w:szCs w:val="24"/>
              </w:rPr>
            </w:pPr>
          </w:p>
        </w:tc>
      </w:tr>
    </w:tbl>
    <w:p w14:paraId="711747FF" w14:textId="77777777" w:rsidR="005C142D" w:rsidRPr="00FA3F9C" w:rsidRDefault="005C142D" w:rsidP="00995A03">
      <w:pPr>
        <w:rPr>
          <w:rFonts w:ascii="Arial" w:hAnsi="Arial" w:cs="Arial"/>
          <w:b/>
          <w:sz w:val="24"/>
          <w:szCs w:val="24"/>
        </w:rPr>
      </w:pPr>
    </w:p>
    <w:p w14:paraId="253203DD" w14:textId="77777777" w:rsidR="005C142D" w:rsidRPr="00FA3F9C" w:rsidRDefault="005C142D">
      <w:pPr>
        <w:rPr>
          <w:rFonts w:ascii="Arial" w:hAnsi="Arial" w:cs="Arial"/>
          <w:b/>
          <w:sz w:val="24"/>
          <w:szCs w:val="24"/>
        </w:rPr>
      </w:pPr>
      <w:r w:rsidRPr="00FA3F9C">
        <w:rPr>
          <w:rFonts w:ascii="Arial" w:hAnsi="Arial" w:cs="Arial"/>
          <w:b/>
          <w:sz w:val="24"/>
          <w:szCs w:val="24"/>
        </w:rPr>
        <w:t>Reference</w:t>
      </w:r>
    </w:p>
    <w:p w14:paraId="0ACB0370" w14:textId="77777777" w:rsidR="005C142D" w:rsidRPr="00FA3F9C" w:rsidRDefault="005C142D" w:rsidP="006B1585">
      <w:pPr>
        <w:autoSpaceDE w:val="0"/>
        <w:autoSpaceDN w:val="0"/>
        <w:adjustRightInd w:val="0"/>
        <w:rPr>
          <w:rFonts w:ascii="Arial" w:eastAsia="Malgun Gothic" w:hAnsi="Arial" w:cs="Arial"/>
          <w:sz w:val="24"/>
          <w:szCs w:val="24"/>
          <w:lang w:eastAsia="ko-KR"/>
        </w:rPr>
      </w:pPr>
      <w:r w:rsidRPr="00FA3F9C">
        <w:rPr>
          <w:rFonts w:ascii="Arial" w:hAnsi="Arial" w:cs="Arial"/>
          <w:sz w:val="24"/>
          <w:szCs w:val="24"/>
        </w:rPr>
        <w:t xml:space="preserve">1. </w:t>
      </w:r>
      <w:r w:rsidRPr="00FA3F9C">
        <w:rPr>
          <w:rFonts w:ascii="Arial" w:eastAsia="Malgun Gothic" w:hAnsi="Arial" w:cs="Arial"/>
          <w:bCs/>
          <w:sz w:val="24"/>
          <w:szCs w:val="24"/>
          <w:lang w:eastAsia="ko-KR"/>
        </w:rPr>
        <w:t xml:space="preserve">SD Silberstein, J Olesen, </w:t>
      </w:r>
      <w:r w:rsidRPr="00FA3F9C">
        <w:rPr>
          <w:rFonts w:ascii="Arial" w:eastAsia="Malgun Gothic" w:hAnsi="Arial" w:cs="Arial"/>
          <w:bCs/>
          <w:i/>
          <w:sz w:val="24"/>
          <w:szCs w:val="24"/>
          <w:lang w:eastAsia="ko-KR"/>
        </w:rPr>
        <w:t>et al</w:t>
      </w:r>
      <w:r w:rsidRPr="00FA3F9C">
        <w:rPr>
          <w:rFonts w:ascii="Arial" w:eastAsia="Malgun Gothic" w:hAnsi="Arial" w:cs="Arial"/>
          <w:b/>
          <w:bCs/>
          <w:sz w:val="24"/>
          <w:szCs w:val="24"/>
          <w:lang w:eastAsia="ko-KR"/>
        </w:rPr>
        <w:t xml:space="preserve">. </w:t>
      </w:r>
      <w:r w:rsidRPr="00FA3F9C">
        <w:rPr>
          <w:rFonts w:ascii="Arial" w:eastAsia="Malgun Gothic" w:hAnsi="Arial" w:cs="Arial"/>
          <w:sz w:val="24"/>
          <w:szCs w:val="24"/>
          <w:lang w:eastAsia="ko-KR"/>
        </w:rPr>
        <w:t xml:space="preserve">The International Classification of Headache Disorders, 2nd Edition (ICHD-II)—revision of criteria for 8.2 </w:t>
      </w:r>
      <w:r w:rsidRPr="00FA3F9C">
        <w:rPr>
          <w:rFonts w:ascii="Arial" w:eastAsia="Malgun Gothic" w:hAnsi="Arial" w:cs="Arial"/>
          <w:i/>
          <w:iCs/>
          <w:sz w:val="24"/>
          <w:szCs w:val="24"/>
          <w:lang w:eastAsia="ko-KR"/>
        </w:rPr>
        <w:t xml:space="preserve">Medication-overuse headache. </w:t>
      </w:r>
      <w:proofErr w:type="spellStart"/>
      <w:r w:rsidRPr="00FA3F9C">
        <w:rPr>
          <w:rFonts w:ascii="Arial" w:eastAsia="Malgun Gothic" w:hAnsi="Arial" w:cs="Arial"/>
          <w:i/>
          <w:iCs/>
          <w:sz w:val="24"/>
          <w:szCs w:val="24"/>
          <w:lang w:eastAsia="ko-KR"/>
        </w:rPr>
        <w:t>Chephalalgia</w:t>
      </w:r>
      <w:proofErr w:type="spellEnd"/>
      <w:r w:rsidRPr="00FA3F9C">
        <w:rPr>
          <w:rFonts w:ascii="Arial" w:eastAsia="Malgun Gothic" w:hAnsi="Arial" w:cs="Arial"/>
          <w:i/>
          <w:iCs/>
          <w:sz w:val="24"/>
          <w:szCs w:val="24"/>
          <w:lang w:eastAsia="ko-KR"/>
        </w:rPr>
        <w:t xml:space="preserve">. </w:t>
      </w:r>
      <w:r w:rsidRPr="00FA3F9C">
        <w:rPr>
          <w:rFonts w:ascii="Arial" w:eastAsia="Malgun Gothic" w:hAnsi="Arial" w:cs="Arial"/>
          <w:sz w:val="24"/>
          <w:szCs w:val="24"/>
          <w:lang w:eastAsia="ko-KR"/>
        </w:rPr>
        <w:t xml:space="preserve">2005; 25:460–465. </w:t>
      </w:r>
    </w:p>
    <w:p w14:paraId="294FA479" w14:textId="77777777" w:rsidR="005C142D" w:rsidRPr="00FA3F9C" w:rsidRDefault="005C142D" w:rsidP="0061771F">
      <w:pPr>
        <w:autoSpaceDE w:val="0"/>
        <w:autoSpaceDN w:val="0"/>
        <w:adjustRightInd w:val="0"/>
        <w:rPr>
          <w:rFonts w:ascii="Arial" w:eastAsia="ScalaLancetPro" w:hAnsi="Arial" w:cs="Arial"/>
          <w:sz w:val="24"/>
          <w:szCs w:val="24"/>
          <w:lang w:eastAsia="ko-KR"/>
        </w:rPr>
      </w:pPr>
      <w:r w:rsidRPr="00FA3F9C">
        <w:rPr>
          <w:rFonts w:ascii="Arial" w:hAnsi="Arial" w:cs="Arial"/>
          <w:sz w:val="24"/>
          <w:szCs w:val="24"/>
        </w:rPr>
        <w:t xml:space="preserve">2. </w:t>
      </w:r>
      <w:r w:rsidRPr="00FA3F9C">
        <w:rPr>
          <w:rFonts w:ascii="Arial" w:eastAsia="ScalaLancetPro" w:hAnsi="Arial" w:cs="Arial"/>
          <w:sz w:val="24"/>
          <w:szCs w:val="24"/>
          <w:lang w:eastAsia="ko-KR"/>
        </w:rPr>
        <w:t xml:space="preserve">American Academy of Neurology. AAN guideline summary for clinicians. </w:t>
      </w:r>
      <w:r w:rsidRPr="00FA3F9C">
        <w:rPr>
          <w:rFonts w:ascii="Arial" w:eastAsia="ScalaLancetPro" w:hAnsi="Arial" w:cs="Arial"/>
          <w:sz w:val="24"/>
          <w:szCs w:val="24"/>
          <w:lang w:val="fr-FR" w:eastAsia="ko-KR"/>
        </w:rPr>
        <w:t xml:space="preserve">Migraine </w:t>
      </w:r>
      <w:proofErr w:type="spellStart"/>
      <w:r w:rsidRPr="00FA3F9C">
        <w:rPr>
          <w:rFonts w:ascii="Arial" w:eastAsia="ScalaLancetPro" w:hAnsi="Arial" w:cs="Arial"/>
          <w:sz w:val="24"/>
          <w:szCs w:val="24"/>
          <w:lang w:val="fr-FR" w:eastAsia="ko-KR"/>
        </w:rPr>
        <w:t>headache</w:t>
      </w:r>
      <w:proofErr w:type="spellEnd"/>
      <w:r w:rsidRPr="00FA3F9C">
        <w:rPr>
          <w:rFonts w:ascii="Arial" w:eastAsia="ScalaLancetPro" w:hAnsi="Arial" w:cs="Arial"/>
          <w:sz w:val="24"/>
          <w:szCs w:val="24"/>
          <w:lang w:val="fr-FR" w:eastAsia="ko-KR"/>
        </w:rPr>
        <w:t xml:space="preserve">. </w:t>
      </w:r>
      <w:hyperlink r:id="rId412" w:history="1">
        <w:r w:rsidRPr="00FA3F9C">
          <w:rPr>
            <w:rStyle w:val="Hyperlink"/>
            <w:rFonts w:ascii="Arial" w:eastAsia="ScalaLancetPro" w:hAnsi="Arial" w:cs="Arial"/>
            <w:sz w:val="24"/>
            <w:szCs w:val="24"/>
            <w:lang w:val="fr-FR" w:eastAsia="ko-KR"/>
          </w:rPr>
          <w:t xml:space="preserve">http://www.aan.com/professionals/practice/guidelines/migraine/clinician_summary_migraine.pdf.   </w:t>
        </w:r>
        <w:r w:rsidRPr="00FA3F9C">
          <w:rPr>
            <w:rStyle w:val="Hyperlink"/>
            <w:rFonts w:ascii="Arial" w:eastAsia="ScalaLancetPro" w:hAnsi="Arial" w:cs="Arial"/>
            <w:sz w:val="24"/>
            <w:szCs w:val="24"/>
            <w:lang w:eastAsia="ko-KR"/>
          </w:rPr>
          <w:t>Accessed March 13</w:t>
        </w:r>
      </w:hyperlink>
      <w:r w:rsidRPr="00FA3F9C">
        <w:rPr>
          <w:rFonts w:ascii="Arial" w:eastAsia="ScalaLancetPro" w:hAnsi="Arial" w:cs="Arial"/>
          <w:sz w:val="24"/>
          <w:szCs w:val="24"/>
          <w:lang w:eastAsia="ko-KR"/>
        </w:rPr>
        <w:t>, 2010.</w:t>
      </w:r>
    </w:p>
    <w:p w14:paraId="6F65860E" w14:textId="77777777" w:rsidR="005C142D" w:rsidRPr="00FA3F9C" w:rsidRDefault="005C142D" w:rsidP="0061771F">
      <w:pPr>
        <w:autoSpaceDE w:val="0"/>
        <w:autoSpaceDN w:val="0"/>
        <w:adjustRightInd w:val="0"/>
        <w:rPr>
          <w:rFonts w:ascii="Arial" w:eastAsia="ScalaLancetPro" w:hAnsi="Arial" w:cs="Arial"/>
          <w:sz w:val="24"/>
          <w:szCs w:val="24"/>
          <w:lang w:eastAsia="ko-KR"/>
        </w:rPr>
      </w:pPr>
      <w:r w:rsidRPr="00FA3F9C">
        <w:rPr>
          <w:rFonts w:ascii="Arial" w:eastAsia="ScalaLancetPro" w:hAnsi="Arial" w:cs="Arial"/>
          <w:sz w:val="24"/>
          <w:szCs w:val="24"/>
          <w:lang w:eastAsia="ko-KR"/>
        </w:rPr>
        <w:t xml:space="preserve">3. </w:t>
      </w:r>
      <w:proofErr w:type="spellStart"/>
      <w:r w:rsidRPr="00FA3F9C">
        <w:rPr>
          <w:rFonts w:ascii="Arial" w:eastAsia="ScalaLancetPro" w:hAnsi="Arial" w:cs="Arial"/>
          <w:sz w:val="24"/>
          <w:szCs w:val="24"/>
          <w:lang w:eastAsia="ko-KR"/>
        </w:rPr>
        <w:t>Goadsby</w:t>
      </w:r>
      <w:proofErr w:type="spellEnd"/>
      <w:r w:rsidRPr="00FA3F9C">
        <w:rPr>
          <w:rFonts w:ascii="Arial" w:eastAsia="ScalaLancetPro" w:hAnsi="Arial" w:cs="Arial"/>
          <w:sz w:val="24"/>
          <w:szCs w:val="24"/>
          <w:lang w:eastAsia="ko-KR"/>
        </w:rPr>
        <w:t xml:space="preserve"> PJ, Lipton RB, </w:t>
      </w:r>
      <w:r w:rsidRPr="00FA3F9C">
        <w:rPr>
          <w:rFonts w:ascii="Arial" w:eastAsia="ScalaLancetPro" w:hAnsi="Arial" w:cs="Arial"/>
          <w:i/>
          <w:sz w:val="24"/>
          <w:szCs w:val="24"/>
          <w:lang w:eastAsia="ko-KR"/>
        </w:rPr>
        <w:t>et al</w:t>
      </w:r>
      <w:r w:rsidRPr="00FA3F9C">
        <w:rPr>
          <w:rFonts w:ascii="Arial" w:eastAsia="ScalaLancetPro" w:hAnsi="Arial" w:cs="Arial"/>
          <w:sz w:val="24"/>
          <w:szCs w:val="24"/>
          <w:lang w:eastAsia="ko-KR"/>
        </w:rPr>
        <w:t xml:space="preserve">. Migraine: Current understanding and treatment. </w:t>
      </w:r>
      <w:r w:rsidRPr="00FA3F9C">
        <w:rPr>
          <w:rFonts w:ascii="Arial" w:eastAsia="ScalaLancetPro" w:hAnsi="Arial" w:cs="Arial"/>
          <w:i/>
          <w:sz w:val="24"/>
          <w:szCs w:val="24"/>
          <w:lang w:eastAsia="ko-KR"/>
        </w:rPr>
        <w:t xml:space="preserve">N </w:t>
      </w:r>
      <w:proofErr w:type="spellStart"/>
      <w:r w:rsidRPr="00FA3F9C">
        <w:rPr>
          <w:rFonts w:ascii="Arial" w:eastAsia="ScalaLancetPro" w:hAnsi="Arial" w:cs="Arial"/>
          <w:i/>
          <w:sz w:val="24"/>
          <w:szCs w:val="24"/>
          <w:lang w:eastAsia="ko-KR"/>
        </w:rPr>
        <w:t>Engl</w:t>
      </w:r>
      <w:proofErr w:type="spellEnd"/>
      <w:r w:rsidRPr="00FA3F9C">
        <w:rPr>
          <w:rFonts w:ascii="Arial" w:eastAsia="ScalaLancetPro" w:hAnsi="Arial" w:cs="Arial"/>
          <w:i/>
          <w:sz w:val="24"/>
          <w:szCs w:val="24"/>
          <w:lang w:eastAsia="ko-KR"/>
        </w:rPr>
        <w:t xml:space="preserve"> J Med</w:t>
      </w:r>
      <w:r w:rsidRPr="00FA3F9C">
        <w:rPr>
          <w:rFonts w:ascii="Arial" w:eastAsia="ScalaLancetPro" w:hAnsi="Arial" w:cs="Arial"/>
          <w:sz w:val="24"/>
          <w:szCs w:val="24"/>
          <w:lang w:eastAsia="ko-KR"/>
        </w:rPr>
        <w:t xml:space="preserve">. 2002; 346:257-270. </w:t>
      </w:r>
    </w:p>
    <w:p w14:paraId="24D4A798" w14:textId="77777777" w:rsidR="005C142D" w:rsidRPr="00FA3F9C" w:rsidRDefault="005C142D" w:rsidP="00B04B37">
      <w:pPr>
        <w:autoSpaceDE w:val="0"/>
        <w:autoSpaceDN w:val="0"/>
        <w:adjustRightInd w:val="0"/>
        <w:rPr>
          <w:rFonts w:ascii="Arial" w:eastAsia="ScalaLancetPro" w:hAnsi="Arial" w:cs="Arial"/>
          <w:sz w:val="24"/>
          <w:szCs w:val="24"/>
          <w:lang w:eastAsia="ko-KR"/>
        </w:rPr>
      </w:pPr>
      <w:r w:rsidRPr="00FA3F9C">
        <w:rPr>
          <w:rFonts w:ascii="Arial" w:eastAsia="ScalaLancetPro" w:hAnsi="Arial" w:cs="Arial"/>
          <w:sz w:val="24"/>
          <w:szCs w:val="24"/>
          <w:lang w:eastAsia="ko-KR"/>
        </w:rPr>
        <w:t xml:space="preserve">4. Menken M, </w:t>
      </w:r>
      <w:proofErr w:type="spellStart"/>
      <w:r w:rsidRPr="00FA3F9C">
        <w:rPr>
          <w:rFonts w:ascii="Arial" w:eastAsia="ScalaLancetPro" w:hAnsi="Arial" w:cs="Arial"/>
          <w:sz w:val="24"/>
          <w:szCs w:val="24"/>
          <w:lang w:eastAsia="ko-KR"/>
        </w:rPr>
        <w:t>Munsat</w:t>
      </w:r>
      <w:proofErr w:type="spellEnd"/>
      <w:r w:rsidRPr="00FA3F9C">
        <w:rPr>
          <w:rFonts w:ascii="Arial" w:eastAsia="ScalaLancetPro" w:hAnsi="Arial" w:cs="Arial"/>
          <w:sz w:val="24"/>
          <w:szCs w:val="24"/>
          <w:lang w:eastAsia="ko-KR"/>
        </w:rPr>
        <w:t xml:space="preserve"> TL, Toole JF. The global burden of disease study—implications for neurology. </w:t>
      </w:r>
      <w:r w:rsidRPr="00FA3F9C">
        <w:rPr>
          <w:rFonts w:ascii="Arial" w:eastAsia="ScalaLancetPro-Italic" w:hAnsi="Arial" w:cs="Arial"/>
          <w:i/>
          <w:iCs/>
          <w:sz w:val="24"/>
          <w:szCs w:val="24"/>
          <w:lang w:eastAsia="ko-KR"/>
        </w:rPr>
        <w:t xml:space="preserve">Arch Neurol </w:t>
      </w:r>
      <w:r w:rsidRPr="00FA3F9C">
        <w:rPr>
          <w:rFonts w:ascii="Arial" w:eastAsia="ScalaLancetPro" w:hAnsi="Arial" w:cs="Arial"/>
          <w:sz w:val="24"/>
          <w:szCs w:val="24"/>
          <w:lang w:eastAsia="ko-KR"/>
        </w:rPr>
        <w:t xml:space="preserve">2000; </w:t>
      </w:r>
      <w:r w:rsidRPr="00FA3F9C">
        <w:rPr>
          <w:rFonts w:ascii="Arial" w:eastAsia="ScalaLancetPro-Bold" w:hAnsi="Arial" w:cs="Arial"/>
          <w:bCs/>
          <w:sz w:val="24"/>
          <w:szCs w:val="24"/>
          <w:lang w:eastAsia="ko-KR"/>
        </w:rPr>
        <w:t>57</w:t>
      </w:r>
      <w:r w:rsidRPr="00FA3F9C">
        <w:rPr>
          <w:rFonts w:ascii="Arial" w:eastAsia="ScalaLancetPro-Bold" w:hAnsi="Arial" w:cs="Arial"/>
          <w:b/>
          <w:bCs/>
          <w:sz w:val="24"/>
          <w:szCs w:val="24"/>
          <w:lang w:eastAsia="ko-KR"/>
        </w:rPr>
        <w:t xml:space="preserve">: </w:t>
      </w:r>
      <w:r w:rsidRPr="00FA3F9C">
        <w:rPr>
          <w:rFonts w:ascii="Arial" w:eastAsia="ScalaLancetPro" w:hAnsi="Arial" w:cs="Arial"/>
          <w:sz w:val="24"/>
          <w:szCs w:val="24"/>
          <w:lang w:eastAsia="ko-KR"/>
        </w:rPr>
        <w:t>418–20.</w:t>
      </w:r>
    </w:p>
    <w:p w14:paraId="0D2E4A43" w14:textId="77777777" w:rsidR="005C142D" w:rsidRPr="00FA3F9C" w:rsidRDefault="005C142D">
      <w:pPr>
        <w:autoSpaceDE w:val="0"/>
        <w:autoSpaceDN w:val="0"/>
        <w:adjustRightInd w:val="0"/>
        <w:rPr>
          <w:rFonts w:ascii="Arial" w:eastAsia="ScalaLancetPro" w:hAnsi="Arial" w:cs="Arial"/>
          <w:sz w:val="24"/>
          <w:szCs w:val="24"/>
          <w:lang w:eastAsia="ko-KR"/>
        </w:rPr>
      </w:pPr>
    </w:p>
    <w:p w14:paraId="0808616E" w14:textId="77777777" w:rsidR="005C142D" w:rsidRPr="00FA3F9C" w:rsidRDefault="005C142D" w:rsidP="005D3DE3">
      <w:pPr>
        <w:pStyle w:val="Heading2"/>
      </w:pPr>
      <w:bookmarkStart w:id="328" w:name="_Toc106369951"/>
      <w:r w:rsidRPr="00FA3F9C">
        <w:t>Tucatinib (</w:t>
      </w:r>
      <w:proofErr w:type="spellStart"/>
      <w:r w:rsidRPr="00FA3F9C">
        <w:t>Tukysa</w:t>
      </w:r>
      <w:proofErr w:type="spellEnd"/>
      <w:r w:rsidRPr="00FA3F9C">
        <w:t>)</w:t>
      </w:r>
      <w:bookmarkEnd w:id="328"/>
    </w:p>
    <w:p w14:paraId="448E6ED6" w14:textId="77777777" w:rsidR="005C142D" w:rsidRPr="00FA3F9C" w:rsidRDefault="005C142D" w:rsidP="006F623F">
      <w:pPr>
        <w:spacing w:after="0"/>
        <w:jc w:val="center"/>
        <w:rPr>
          <w:rFonts w:ascii="Arial" w:hAnsi="Arial" w:cs="Arial"/>
          <w:sz w:val="24"/>
          <w:szCs w:val="24"/>
        </w:rPr>
      </w:pPr>
      <w:r w:rsidRPr="00FA3F9C">
        <w:rPr>
          <w:rFonts w:ascii="Arial" w:hAnsi="Arial" w:cs="Arial"/>
          <w:sz w:val="24"/>
          <w:szCs w:val="24"/>
        </w:rPr>
        <w:t>50 and 150 mg tablets</w:t>
      </w:r>
    </w:p>
    <w:p w14:paraId="273ED239" w14:textId="77777777" w:rsidR="005C142D" w:rsidRPr="00FA3F9C" w:rsidRDefault="005C142D" w:rsidP="006F623F">
      <w:pPr>
        <w:spacing w:after="0"/>
        <w:jc w:val="center"/>
        <w:rPr>
          <w:rFonts w:ascii="Arial" w:hAnsi="Arial" w:cs="Arial"/>
          <w:sz w:val="24"/>
          <w:szCs w:val="24"/>
        </w:rPr>
      </w:pPr>
      <w:r w:rsidRPr="00FA3F9C">
        <w:rPr>
          <w:rFonts w:ascii="Arial" w:hAnsi="Arial" w:cs="Arial"/>
          <w:sz w:val="24"/>
          <w:szCs w:val="24"/>
        </w:rPr>
        <w:t>EBRx PA Criteria</w:t>
      </w:r>
    </w:p>
    <w:p w14:paraId="30139D50" w14:textId="77777777" w:rsidR="005C142D" w:rsidRPr="00FA3F9C" w:rsidRDefault="005C142D" w:rsidP="006F623F">
      <w:pPr>
        <w:spacing w:after="0"/>
        <w:rPr>
          <w:rFonts w:ascii="Arial" w:hAnsi="Arial" w:cs="Arial"/>
          <w:b/>
          <w:sz w:val="24"/>
          <w:szCs w:val="24"/>
          <w:u w:val="single"/>
        </w:rPr>
      </w:pPr>
    </w:p>
    <w:p w14:paraId="7B86E046" w14:textId="77777777" w:rsidR="005C142D" w:rsidRPr="00FA3F9C" w:rsidRDefault="005C142D" w:rsidP="006F623F">
      <w:pPr>
        <w:spacing w:after="0"/>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w:t>
      </w:r>
    </w:p>
    <w:p w14:paraId="0056D1F3" w14:textId="77777777" w:rsidR="005C142D" w:rsidRPr="00FA3F9C" w:rsidRDefault="005C142D" w:rsidP="006F623F">
      <w:pPr>
        <w:spacing w:after="0"/>
        <w:rPr>
          <w:rFonts w:ascii="Arial" w:hAnsi="Arial" w:cs="Arial"/>
          <w:sz w:val="24"/>
          <w:szCs w:val="24"/>
        </w:rPr>
      </w:pPr>
      <w:r w:rsidRPr="00FA3F9C">
        <w:rPr>
          <w:rFonts w:ascii="Arial" w:hAnsi="Arial" w:cs="Arial"/>
          <w:sz w:val="24"/>
          <w:szCs w:val="24"/>
        </w:rPr>
        <w:t>Treatment of adult patients with advanced unresectable or metastatic HER2-positive breast cancer, including patients with brain metastases, who have received one or more prior anti-HER2-based regimens in the metastatic setting [in combination with trastuzumab and capecitabine]</w:t>
      </w:r>
    </w:p>
    <w:p w14:paraId="1DC0F5C7" w14:textId="77777777" w:rsidR="005C142D" w:rsidRPr="00FA3F9C" w:rsidRDefault="005C142D" w:rsidP="006F623F">
      <w:pPr>
        <w:spacing w:after="0"/>
        <w:rPr>
          <w:rFonts w:ascii="Arial" w:hAnsi="Arial" w:cs="Arial"/>
          <w:sz w:val="24"/>
          <w:szCs w:val="24"/>
        </w:rPr>
      </w:pPr>
    </w:p>
    <w:tbl>
      <w:tblPr>
        <w:tblStyle w:val="TableGrid"/>
        <w:tblW w:w="0" w:type="auto"/>
        <w:tblLook w:val="04A0" w:firstRow="1" w:lastRow="0" w:firstColumn="1" w:lastColumn="0" w:noHBand="0" w:noVBand="1"/>
      </w:tblPr>
      <w:tblGrid>
        <w:gridCol w:w="8928"/>
        <w:gridCol w:w="2088"/>
      </w:tblGrid>
      <w:tr w:rsidR="005C142D" w:rsidRPr="00FA3F9C" w14:paraId="0B1C67C5" w14:textId="77777777" w:rsidTr="00571CAB">
        <w:tc>
          <w:tcPr>
            <w:tcW w:w="8928" w:type="dxa"/>
            <w:shd w:val="clear" w:color="auto" w:fill="000000"/>
          </w:tcPr>
          <w:p w14:paraId="0EA18400" w14:textId="77777777" w:rsidR="005C142D" w:rsidRPr="00FA3F9C" w:rsidRDefault="005C142D"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88" w:type="dxa"/>
            <w:shd w:val="clear" w:color="auto" w:fill="000000"/>
          </w:tcPr>
          <w:p w14:paraId="6551B868" w14:textId="77777777" w:rsidR="005C142D" w:rsidRPr="00FA3F9C" w:rsidRDefault="005C142D" w:rsidP="006F623F">
            <w:pPr>
              <w:jc w:val="center"/>
              <w:rPr>
                <w:rFonts w:ascii="Arial" w:hAnsi="Arial" w:cs="Arial"/>
                <w:b/>
                <w:sz w:val="24"/>
                <w:szCs w:val="24"/>
                <w:u w:val="single"/>
              </w:rPr>
            </w:pPr>
          </w:p>
        </w:tc>
      </w:tr>
      <w:tr w:rsidR="005C142D" w:rsidRPr="00FA3F9C" w14:paraId="46899ECF" w14:textId="77777777" w:rsidTr="00F337AE">
        <w:tc>
          <w:tcPr>
            <w:tcW w:w="11016" w:type="dxa"/>
            <w:gridSpan w:val="2"/>
          </w:tcPr>
          <w:p w14:paraId="5BC598F4" w14:textId="77777777" w:rsidR="005C142D" w:rsidRPr="00FA3F9C" w:rsidRDefault="005C142D" w:rsidP="006F623F">
            <w:pPr>
              <w:rPr>
                <w:rFonts w:ascii="Arial" w:hAnsi="Arial" w:cs="Arial"/>
                <w:sz w:val="24"/>
                <w:szCs w:val="24"/>
              </w:rPr>
            </w:pPr>
            <w:r w:rsidRPr="00FA3F9C">
              <w:rPr>
                <w:rFonts w:ascii="Arial" w:hAnsi="Arial" w:cs="Arial"/>
                <w:sz w:val="24"/>
                <w:szCs w:val="24"/>
              </w:rPr>
              <w:lastRenderedPageBreak/>
              <w:t>1. Diagnosis of metastatic breast cancer</w:t>
            </w:r>
          </w:p>
        </w:tc>
      </w:tr>
      <w:tr w:rsidR="005C142D" w:rsidRPr="00FA3F9C" w14:paraId="5A24A9CE" w14:textId="77777777" w:rsidTr="00B1617E">
        <w:tc>
          <w:tcPr>
            <w:tcW w:w="11016" w:type="dxa"/>
            <w:gridSpan w:val="2"/>
          </w:tcPr>
          <w:p w14:paraId="289E40B2" w14:textId="77777777" w:rsidR="005C142D" w:rsidRPr="00FA3F9C" w:rsidRDefault="005C142D" w:rsidP="006F623F">
            <w:pPr>
              <w:rPr>
                <w:rFonts w:ascii="Arial" w:hAnsi="Arial" w:cs="Arial"/>
                <w:sz w:val="24"/>
                <w:szCs w:val="24"/>
              </w:rPr>
            </w:pPr>
            <w:r w:rsidRPr="00FA3F9C">
              <w:rPr>
                <w:rFonts w:ascii="Arial" w:hAnsi="Arial" w:cs="Arial"/>
                <w:sz w:val="24"/>
                <w:szCs w:val="24"/>
              </w:rPr>
              <w:t>2. Tumor is HER2 positive</w:t>
            </w:r>
          </w:p>
        </w:tc>
      </w:tr>
      <w:tr w:rsidR="005C142D" w:rsidRPr="00FA3F9C" w14:paraId="67283908" w14:textId="77777777" w:rsidTr="0010789D">
        <w:tc>
          <w:tcPr>
            <w:tcW w:w="11016" w:type="dxa"/>
            <w:gridSpan w:val="2"/>
          </w:tcPr>
          <w:p w14:paraId="4B932611" w14:textId="77777777" w:rsidR="005C142D" w:rsidRPr="00FA3F9C" w:rsidRDefault="005C142D" w:rsidP="006F623F">
            <w:pPr>
              <w:rPr>
                <w:rFonts w:ascii="Arial" w:hAnsi="Arial" w:cs="Arial"/>
                <w:sz w:val="24"/>
                <w:szCs w:val="24"/>
              </w:rPr>
            </w:pPr>
            <w:r w:rsidRPr="00FA3F9C">
              <w:rPr>
                <w:rFonts w:ascii="Arial" w:hAnsi="Arial" w:cs="Arial"/>
                <w:sz w:val="24"/>
                <w:szCs w:val="24"/>
              </w:rPr>
              <w:t xml:space="preserve">3. Patient has previously been treated with trastuzumab (Herceptin or biosimilar), </w:t>
            </w:r>
            <w:proofErr w:type="spellStart"/>
            <w:r w:rsidRPr="00FA3F9C">
              <w:rPr>
                <w:rFonts w:ascii="Arial" w:hAnsi="Arial" w:cs="Arial"/>
                <w:sz w:val="24"/>
                <w:szCs w:val="24"/>
              </w:rPr>
              <w:t>pertuzumab</w:t>
            </w:r>
            <w:proofErr w:type="spellEnd"/>
            <w:r w:rsidRPr="00FA3F9C">
              <w:rPr>
                <w:rFonts w:ascii="Arial" w:hAnsi="Arial" w:cs="Arial"/>
                <w:sz w:val="24"/>
                <w:szCs w:val="24"/>
              </w:rPr>
              <w:t xml:space="preserve"> (Perjeta), and ado-trastuzumab emtansine (</w:t>
            </w:r>
            <w:proofErr w:type="spellStart"/>
            <w:r w:rsidRPr="00FA3F9C">
              <w:rPr>
                <w:rFonts w:ascii="Arial" w:hAnsi="Arial" w:cs="Arial"/>
                <w:sz w:val="24"/>
                <w:szCs w:val="24"/>
              </w:rPr>
              <w:t>Kadcyla</w:t>
            </w:r>
            <w:proofErr w:type="spellEnd"/>
            <w:r w:rsidRPr="00FA3F9C">
              <w:rPr>
                <w:rFonts w:ascii="Arial" w:hAnsi="Arial" w:cs="Arial"/>
                <w:sz w:val="24"/>
                <w:szCs w:val="24"/>
              </w:rPr>
              <w:t>)</w:t>
            </w:r>
          </w:p>
        </w:tc>
      </w:tr>
      <w:tr w:rsidR="005C142D" w:rsidRPr="00FA3F9C" w14:paraId="42360EB0" w14:textId="77777777" w:rsidTr="00DA57E0">
        <w:tc>
          <w:tcPr>
            <w:tcW w:w="11016" w:type="dxa"/>
            <w:gridSpan w:val="2"/>
          </w:tcPr>
          <w:p w14:paraId="0D20E677" w14:textId="77777777" w:rsidR="005C142D" w:rsidRPr="00FA3F9C" w:rsidRDefault="005C142D" w:rsidP="006F623F">
            <w:pPr>
              <w:rPr>
                <w:rFonts w:ascii="Arial" w:hAnsi="Arial" w:cs="Arial"/>
                <w:sz w:val="24"/>
                <w:szCs w:val="24"/>
              </w:rPr>
            </w:pPr>
            <w:r w:rsidRPr="00FA3F9C">
              <w:rPr>
                <w:rFonts w:ascii="Arial" w:hAnsi="Arial" w:cs="Arial"/>
                <w:sz w:val="24"/>
                <w:szCs w:val="24"/>
              </w:rPr>
              <w:t>4. No prior lapatinib (</w:t>
            </w:r>
            <w:proofErr w:type="spellStart"/>
            <w:r w:rsidRPr="00FA3F9C">
              <w:rPr>
                <w:rFonts w:ascii="Arial" w:hAnsi="Arial" w:cs="Arial"/>
                <w:sz w:val="24"/>
                <w:szCs w:val="24"/>
              </w:rPr>
              <w:t>Tykerb</w:t>
            </w:r>
            <w:proofErr w:type="spellEnd"/>
            <w:r w:rsidRPr="00FA3F9C">
              <w:rPr>
                <w:rFonts w:ascii="Arial" w:hAnsi="Arial" w:cs="Arial"/>
                <w:sz w:val="24"/>
                <w:szCs w:val="24"/>
              </w:rPr>
              <w:t>)</w:t>
            </w:r>
          </w:p>
        </w:tc>
      </w:tr>
      <w:tr w:rsidR="005C142D" w:rsidRPr="00FA3F9C" w14:paraId="23ACBFB0" w14:textId="77777777" w:rsidTr="00DA57E0">
        <w:tc>
          <w:tcPr>
            <w:tcW w:w="11016" w:type="dxa"/>
            <w:gridSpan w:val="2"/>
          </w:tcPr>
          <w:p w14:paraId="2EDE5D44" w14:textId="77777777" w:rsidR="005C142D" w:rsidRPr="00FA3F9C" w:rsidRDefault="005C142D" w:rsidP="00533795">
            <w:pPr>
              <w:rPr>
                <w:rFonts w:ascii="Arial" w:hAnsi="Arial" w:cs="Arial"/>
                <w:sz w:val="24"/>
                <w:szCs w:val="24"/>
              </w:rPr>
            </w:pPr>
            <w:r w:rsidRPr="00FA3F9C">
              <w:rPr>
                <w:rFonts w:ascii="Arial" w:hAnsi="Arial" w:cs="Arial"/>
                <w:sz w:val="24"/>
                <w:szCs w:val="24"/>
              </w:rPr>
              <w:t>5. Tucatinib will be used in combination with trastuzumab (Herceptin or biosimilar) and capecitabine (Xeloda)</w:t>
            </w:r>
          </w:p>
        </w:tc>
      </w:tr>
      <w:tr w:rsidR="005C142D" w:rsidRPr="00FA3F9C" w14:paraId="5585A6FC" w14:textId="77777777" w:rsidTr="00533795">
        <w:tc>
          <w:tcPr>
            <w:tcW w:w="11016" w:type="dxa"/>
            <w:gridSpan w:val="2"/>
            <w:shd w:val="clear" w:color="auto" w:fill="F2F2F2" w:themeFill="background1" w:themeFillShade="F2"/>
          </w:tcPr>
          <w:p w14:paraId="35428F71" w14:textId="77777777" w:rsidR="005C142D" w:rsidRPr="00FA3F9C" w:rsidRDefault="005C142D" w:rsidP="00533795">
            <w:pPr>
              <w:rPr>
                <w:rFonts w:ascii="Arial" w:hAnsi="Arial" w:cs="Arial"/>
                <w:sz w:val="24"/>
                <w:szCs w:val="24"/>
              </w:rPr>
            </w:pPr>
            <w:r w:rsidRPr="00FA3F9C">
              <w:rPr>
                <w:rFonts w:ascii="Arial" w:hAnsi="Arial" w:cs="Arial"/>
                <w:sz w:val="24"/>
                <w:szCs w:val="24"/>
              </w:rPr>
              <w:t xml:space="preserve">If all criteria met, approve for 12 months. </w:t>
            </w:r>
          </w:p>
        </w:tc>
      </w:tr>
    </w:tbl>
    <w:p w14:paraId="0363EF96" w14:textId="77777777" w:rsidR="005C142D" w:rsidRPr="00FA3F9C" w:rsidRDefault="005C142D" w:rsidP="006F623F">
      <w:pPr>
        <w:spacing w:after="0"/>
        <w:rPr>
          <w:rFonts w:ascii="Arial" w:hAnsi="Arial" w:cs="Arial"/>
          <w:b/>
          <w:sz w:val="24"/>
          <w:szCs w:val="24"/>
          <w:u w:val="single"/>
        </w:rPr>
      </w:pPr>
    </w:p>
    <w:tbl>
      <w:tblPr>
        <w:tblStyle w:val="TableGrid"/>
        <w:tblW w:w="0" w:type="auto"/>
        <w:shd w:val="clear" w:color="auto" w:fill="BFBFBF" w:themeFill="background1" w:themeFillShade="BF"/>
        <w:tblLook w:val="04A0" w:firstRow="1" w:lastRow="0" w:firstColumn="1" w:lastColumn="0" w:noHBand="0" w:noVBand="1"/>
      </w:tblPr>
      <w:tblGrid>
        <w:gridCol w:w="10998"/>
      </w:tblGrid>
      <w:tr w:rsidR="005C142D" w:rsidRPr="00FA3F9C" w14:paraId="3AD9671F" w14:textId="77777777" w:rsidTr="00D82B6E">
        <w:tc>
          <w:tcPr>
            <w:tcW w:w="10998" w:type="dxa"/>
            <w:shd w:val="clear" w:color="auto" w:fill="BFBFBF" w:themeFill="background1" w:themeFillShade="BF"/>
          </w:tcPr>
          <w:p w14:paraId="2BEAFF65" w14:textId="77777777" w:rsidR="005C142D" w:rsidRPr="00FA3F9C" w:rsidRDefault="005C142D" w:rsidP="00D82B6E">
            <w:pPr>
              <w:rPr>
                <w:rFonts w:ascii="Arial" w:hAnsi="Arial" w:cs="Arial"/>
                <w:sz w:val="24"/>
                <w:szCs w:val="24"/>
              </w:rPr>
            </w:pPr>
            <w:r w:rsidRPr="00FA3F9C">
              <w:rPr>
                <w:rFonts w:ascii="Arial" w:hAnsi="Arial" w:cs="Arial"/>
                <w:sz w:val="24"/>
                <w:szCs w:val="24"/>
              </w:rPr>
              <w:t xml:space="preserve">Note: </w:t>
            </w:r>
          </w:p>
          <w:p w14:paraId="71549E7B" w14:textId="77777777" w:rsidR="005C142D" w:rsidRPr="00FA3F9C" w:rsidRDefault="005C142D" w:rsidP="00533795">
            <w:pPr>
              <w:rPr>
                <w:rFonts w:ascii="Arial" w:hAnsi="Arial" w:cs="Arial"/>
                <w:sz w:val="24"/>
                <w:szCs w:val="24"/>
              </w:rPr>
            </w:pPr>
            <w:r w:rsidRPr="00FA3F9C">
              <w:rPr>
                <w:rFonts w:ascii="Arial" w:hAnsi="Arial" w:cs="Arial"/>
                <w:sz w:val="24"/>
                <w:szCs w:val="24"/>
              </w:rPr>
              <w:t xml:space="preserve">Tucatinib/trastuzumab/capecitabine was compared to placebo/trastuzumab/capecitabine. The tucatinib group showed a significant improvement in overall survival compared with the placebo group (median OS 21.9 </w:t>
            </w:r>
            <w:proofErr w:type="spellStart"/>
            <w:r w:rsidRPr="00FA3F9C">
              <w:rPr>
                <w:rFonts w:ascii="Arial" w:hAnsi="Arial" w:cs="Arial"/>
                <w:sz w:val="24"/>
                <w:szCs w:val="24"/>
              </w:rPr>
              <w:t>mo</w:t>
            </w:r>
            <w:proofErr w:type="spellEnd"/>
            <w:r w:rsidRPr="00FA3F9C">
              <w:rPr>
                <w:rFonts w:ascii="Arial" w:hAnsi="Arial" w:cs="Arial"/>
                <w:sz w:val="24"/>
                <w:szCs w:val="24"/>
              </w:rPr>
              <w:t xml:space="preserve"> vs 17.4 </w:t>
            </w:r>
            <w:proofErr w:type="spellStart"/>
            <w:r w:rsidRPr="00FA3F9C">
              <w:rPr>
                <w:rFonts w:ascii="Arial" w:hAnsi="Arial" w:cs="Arial"/>
                <w:sz w:val="24"/>
                <w:szCs w:val="24"/>
              </w:rPr>
              <w:t>mo</w:t>
            </w:r>
            <w:proofErr w:type="spellEnd"/>
            <w:r w:rsidRPr="00FA3F9C">
              <w:rPr>
                <w:rFonts w:ascii="Arial" w:hAnsi="Arial" w:cs="Arial"/>
                <w:sz w:val="24"/>
                <w:szCs w:val="24"/>
              </w:rPr>
              <w:t>). This study included patients with untreated brain metastasis if stable and benefit was maintained in this subgroup. Will not allow prior treatment with lapatinib as efficacy of tucatinib is not well established in patients who have received prior lapatinib.</w:t>
            </w:r>
          </w:p>
          <w:p w14:paraId="5650B7E3" w14:textId="77777777" w:rsidR="005C142D" w:rsidRPr="00FA3F9C" w:rsidRDefault="005C142D" w:rsidP="00533795">
            <w:pPr>
              <w:rPr>
                <w:rFonts w:ascii="Arial" w:hAnsi="Arial" w:cs="Arial"/>
                <w:sz w:val="24"/>
                <w:szCs w:val="24"/>
              </w:rPr>
            </w:pPr>
          </w:p>
          <w:p w14:paraId="71AB6C2F" w14:textId="77777777" w:rsidR="005C142D" w:rsidRPr="00FA3F9C" w:rsidRDefault="005C142D" w:rsidP="00533795">
            <w:pPr>
              <w:rPr>
                <w:rFonts w:ascii="Arial" w:hAnsi="Arial" w:cs="Arial"/>
                <w:sz w:val="24"/>
                <w:szCs w:val="24"/>
              </w:rPr>
            </w:pPr>
            <w:r w:rsidRPr="00FA3F9C">
              <w:rPr>
                <w:rFonts w:ascii="Arial" w:hAnsi="Arial" w:cs="Arial"/>
                <w:sz w:val="24"/>
                <w:szCs w:val="24"/>
              </w:rPr>
              <w:t>References:</w:t>
            </w:r>
          </w:p>
          <w:p w14:paraId="5862366B" w14:textId="77777777" w:rsidR="005C142D" w:rsidRPr="00FA3F9C" w:rsidRDefault="005C142D" w:rsidP="00533795">
            <w:pPr>
              <w:rPr>
                <w:rFonts w:ascii="Arial" w:hAnsi="Arial" w:cs="Arial"/>
                <w:sz w:val="24"/>
                <w:szCs w:val="24"/>
              </w:rPr>
            </w:pPr>
            <w:r w:rsidRPr="00FA3F9C">
              <w:rPr>
                <w:rFonts w:ascii="Arial" w:hAnsi="Arial" w:cs="Arial"/>
                <w:sz w:val="24"/>
                <w:szCs w:val="24"/>
              </w:rPr>
              <w:t xml:space="preserve">Murthy RK, </w:t>
            </w:r>
            <w:proofErr w:type="spellStart"/>
            <w:r w:rsidRPr="00FA3F9C">
              <w:rPr>
                <w:rFonts w:ascii="Arial" w:hAnsi="Arial" w:cs="Arial"/>
                <w:sz w:val="24"/>
                <w:szCs w:val="24"/>
              </w:rPr>
              <w:t>Loi</w:t>
            </w:r>
            <w:proofErr w:type="spellEnd"/>
            <w:r w:rsidRPr="00FA3F9C">
              <w:rPr>
                <w:rFonts w:ascii="Arial" w:hAnsi="Arial" w:cs="Arial"/>
                <w:sz w:val="24"/>
                <w:szCs w:val="24"/>
              </w:rPr>
              <w:t xml:space="preserve"> S, Okines A, et al. Tucatinib, Trastuzumab, and Capecitabine for HER2-Positive Metastatic Breast Cancer [published correction appears in N </w:t>
            </w:r>
            <w:proofErr w:type="spellStart"/>
            <w:r w:rsidRPr="00FA3F9C">
              <w:rPr>
                <w:rFonts w:ascii="Arial" w:hAnsi="Arial" w:cs="Arial"/>
                <w:sz w:val="24"/>
                <w:szCs w:val="24"/>
              </w:rPr>
              <w:t>Engl</w:t>
            </w:r>
            <w:proofErr w:type="spellEnd"/>
            <w:r w:rsidRPr="00FA3F9C">
              <w:rPr>
                <w:rFonts w:ascii="Arial" w:hAnsi="Arial" w:cs="Arial"/>
                <w:sz w:val="24"/>
                <w:szCs w:val="24"/>
              </w:rPr>
              <w:t xml:space="preserve"> J Med. 2020 Feb 6;382(6):586]. N </w:t>
            </w:r>
            <w:proofErr w:type="spellStart"/>
            <w:r w:rsidRPr="00FA3F9C">
              <w:rPr>
                <w:rFonts w:ascii="Arial" w:hAnsi="Arial" w:cs="Arial"/>
                <w:sz w:val="24"/>
                <w:szCs w:val="24"/>
              </w:rPr>
              <w:t>Engl</w:t>
            </w:r>
            <w:proofErr w:type="spellEnd"/>
            <w:r w:rsidRPr="00FA3F9C">
              <w:rPr>
                <w:rFonts w:ascii="Arial" w:hAnsi="Arial" w:cs="Arial"/>
                <w:sz w:val="24"/>
                <w:szCs w:val="24"/>
              </w:rPr>
              <w:t xml:space="preserve"> J Med. 2020;382(7):597</w:t>
            </w:r>
            <w:r w:rsidRPr="00FA3F9C">
              <w:rPr>
                <w:rFonts w:ascii="Cambria Math" w:hAnsi="Cambria Math" w:cs="Cambria Math"/>
                <w:sz w:val="24"/>
                <w:szCs w:val="24"/>
              </w:rPr>
              <w:t>‐</w:t>
            </w:r>
            <w:r w:rsidRPr="00FA3F9C">
              <w:rPr>
                <w:rFonts w:ascii="Arial" w:hAnsi="Arial" w:cs="Arial"/>
                <w:sz w:val="24"/>
                <w:szCs w:val="24"/>
              </w:rPr>
              <w:t>609. doi:10.1056/NEJMoa1914609 PMID 31825569 NCT02614794</w:t>
            </w:r>
          </w:p>
          <w:p w14:paraId="4ACE7DB6" w14:textId="77777777" w:rsidR="005C142D" w:rsidRPr="00FA3F9C" w:rsidRDefault="005C142D" w:rsidP="00533795">
            <w:pPr>
              <w:rPr>
                <w:rFonts w:ascii="Arial" w:hAnsi="Arial" w:cs="Arial"/>
                <w:sz w:val="24"/>
                <w:szCs w:val="24"/>
              </w:rPr>
            </w:pPr>
          </w:p>
          <w:p w14:paraId="6EB99CF6" w14:textId="77777777" w:rsidR="005C142D" w:rsidRPr="00FA3F9C" w:rsidRDefault="005C142D" w:rsidP="00533795">
            <w:pPr>
              <w:rPr>
                <w:rFonts w:ascii="Arial" w:hAnsi="Arial" w:cs="Arial"/>
                <w:sz w:val="24"/>
                <w:szCs w:val="24"/>
              </w:rPr>
            </w:pPr>
            <w:r w:rsidRPr="00FA3F9C">
              <w:rPr>
                <w:rFonts w:ascii="Arial" w:hAnsi="Arial" w:cs="Arial"/>
                <w:sz w:val="24"/>
                <w:szCs w:val="24"/>
              </w:rPr>
              <w:t xml:space="preserve">NCCN Guidelines for Breast Cancer. </w:t>
            </w:r>
            <w:hyperlink r:id="rId413" w:history="1">
              <w:r w:rsidRPr="00FA3F9C">
                <w:rPr>
                  <w:rStyle w:val="Hyperlink"/>
                  <w:rFonts w:ascii="Arial" w:hAnsi="Arial" w:cs="Arial"/>
                  <w:sz w:val="24"/>
                  <w:szCs w:val="24"/>
                </w:rPr>
                <w:t>www.nccn.org/profressional/physician_gls/pdf/breast.pdf</w:t>
              </w:r>
            </w:hyperlink>
            <w:r w:rsidRPr="00FA3F9C">
              <w:rPr>
                <w:rFonts w:ascii="Arial" w:hAnsi="Arial" w:cs="Arial"/>
                <w:sz w:val="24"/>
                <w:szCs w:val="24"/>
              </w:rPr>
              <w:t xml:space="preserve"> </w:t>
            </w:r>
          </w:p>
          <w:p w14:paraId="61C76E25" w14:textId="77777777" w:rsidR="005C142D" w:rsidRPr="00FA3F9C" w:rsidRDefault="005C142D" w:rsidP="00533795">
            <w:pPr>
              <w:rPr>
                <w:rFonts w:ascii="Arial" w:hAnsi="Arial" w:cs="Arial"/>
                <w:sz w:val="24"/>
                <w:szCs w:val="24"/>
              </w:rPr>
            </w:pPr>
          </w:p>
        </w:tc>
      </w:tr>
    </w:tbl>
    <w:p w14:paraId="4155D665" w14:textId="77777777" w:rsidR="005C142D" w:rsidRPr="00FA3F9C" w:rsidRDefault="005C142D" w:rsidP="006F623F">
      <w:pPr>
        <w:spacing w:after="0"/>
        <w:rPr>
          <w:rFonts w:ascii="Arial" w:hAnsi="Arial" w:cs="Arial"/>
          <w:sz w:val="24"/>
          <w:szCs w:val="24"/>
        </w:rPr>
      </w:pPr>
    </w:p>
    <w:p w14:paraId="150EBB22" w14:textId="77777777" w:rsidR="005C142D" w:rsidRPr="00FA3F9C" w:rsidRDefault="005C142D" w:rsidP="006F623F">
      <w:pPr>
        <w:spacing w:after="0"/>
        <w:rPr>
          <w:rFonts w:ascii="Arial" w:hAnsi="Arial" w:cs="Arial"/>
          <w:sz w:val="24"/>
          <w:szCs w:val="24"/>
        </w:rPr>
      </w:pPr>
      <w:r w:rsidRPr="00FA3F9C">
        <w:rPr>
          <w:rFonts w:ascii="Arial" w:hAnsi="Arial" w:cs="Arial"/>
          <w:sz w:val="24"/>
          <w:szCs w:val="24"/>
        </w:rPr>
        <w:t xml:space="preserve">Quantity Limits: </w:t>
      </w:r>
    </w:p>
    <w:p w14:paraId="712DC40A" w14:textId="77777777" w:rsidR="005C142D" w:rsidRPr="00FA3F9C" w:rsidRDefault="005C142D" w:rsidP="006F623F">
      <w:pPr>
        <w:spacing w:after="0"/>
        <w:rPr>
          <w:rFonts w:ascii="Arial" w:hAnsi="Arial" w:cs="Arial"/>
          <w:sz w:val="24"/>
          <w:szCs w:val="24"/>
        </w:rPr>
      </w:pPr>
    </w:p>
    <w:p w14:paraId="03C6B8C9" w14:textId="77777777" w:rsidR="005C142D" w:rsidRPr="00FA3F9C" w:rsidRDefault="005C142D"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284"/>
        <w:gridCol w:w="7470"/>
        <w:gridCol w:w="2538"/>
      </w:tblGrid>
      <w:tr w:rsidR="005C142D" w:rsidRPr="00FA3F9C" w14:paraId="566C10F7" w14:textId="77777777" w:rsidTr="00FE491B">
        <w:tc>
          <w:tcPr>
            <w:tcW w:w="1008" w:type="dxa"/>
          </w:tcPr>
          <w:p w14:paraId="79ABA1F3" w14:textId="77777777" w:rsidR="005C142D" w:rsidRPr="00FA3F9C" w:rsidRDefault="005C142D" w:rsidP="006F623F">
            <w:pPr>
              <w:rPr>
                <w:rFonts w:ascii="Arial" w:hAnsi="Arial" w:cs="Arial"/>
                <w:sz w:val="24"/>
                <w:szCs w:val="24"/>
              </w:rPr>
            </w:pPr>
            <w:r w:rsidRPr="00FA3F9C">
              <w:rPr>
                <w:rFonts w:ascii="Arial" w:hAnsi="Arial" w:cs="Arial"/>
                <w:sz w:val="24"/>
                <w:szCs w:val="24"/>
              </w:rPr>
              <w:t>Date</w:t>
            </w:r>
          </w:p>
        </w:tc>
        <w:tc>
          <w:tcPr>
            <w:tcW w:w="7470" w:type="dxa"/>
          </w:tcPr>
          <w:p w14:paraId="4870EA8D" w14:textId="77777777" w:rsidR="005C142D" w:rsidRPr="00FA3F9C" w:rsidRDefault="005C142D" w:rsidP="006F623F">
            <w:pPr>
              <w:rPr>
                <w:rFonts w:ascii="Arial" w:hAnsi="Arial" w:cs="Arial"/>
                <w:sz w:val="24"/>
                <w:szCs w:val="24"/>
              </w:rPr>
            </w:pPr>
            <w:r w:rsidRPr="00FA3F9C">
              <w:rPr>
                <w:rFonts w:ascii="Arial" w:hAnsi="Arial" w:cs="Arial"/>
                <w:sz w:val="24"/>
                <w:szCs w:val="24"/>
              </w:rPr>
              <w:t>What changed</w:t>
            </w:r>
          </w:p>
        </w:tc>
        <w:tc>
          <w:tcPr>
            <w:tcW w:w="2538" w:type="dxa"/>
          </w:tcPr>
          <w:p w14:paraId="2EE3060E" w14:textId="77777777" w:rsidR="005C142D" w:rsidRPr="00FA3F9C" w:rsidRDefault="005C142D" w:rsidP="006F623F">
            <w:pPr>
              <w:rPr>
                <w:rFonts w:ascii="Arial" w:hAnsi="Arial" w:cs="Arial"/>
                <w:sz w:val="24"/>
                <w:szCs w:val="24"/>
              </w:rPr>
            </w:pPr>
            <w:r w:rsidRPr="00FA3F9C">
              <w:rPr>
                <w:rFonts w:ascii="Arial" w:hAnsi="Arial" w:cs="Arial"/>
                <w:sz w:val="24"/>
                <w:szCs w:val="24"/>
              </w:rPr>
              <w:t>Pharmacist’s initials</w:t>
            </w:r>
          </w:p>
        </w:tc>
      </w:tr>
      <w:tr w:rsidR="005C142D" w:rsidRPr="00FA3F9C" w14:paraId="782759A9" w14:textId="77777777" w:rsidTr="00FE491B">
        <w:tc>
          <w:tcPr>
            <w:tcW w:w="1008" w:type="dxa"/>
          </w:tcPr>
          <w:p w14:paraId="0AD3B152" w14:textId="77777777" w:rsidR="005C142D" w:rsidRPr="00FA3F9C" w:rsidRDefault="005C142D" w:rsidP="006F623F">
            <w:pPr>
              <w:rPr>
                <w:rFonts w:ascii="Arial" w:hAnsi="Arial" w:cs="Arial"/>
                <w:sz w:val="24"/>
                <w:szCs w:val="24"/>
              </w:rPr>
            </w:pPr>
            <w:r w:rsidRPr="00FA3F9C">
              <w:rPr>
                <w:rFonts w:ascii="Arial" w:hAnsi="Arial" w:cs="Arial"/>
                <w:sz w:val="24"/>
                <w:szCs w:val="24"/>
              </w:rPr>
              <w:t>5/27/20</w:t>
            </w:r>
          </w:p>
        </w:tc>
        <w:tc>
          <w:tcPr>
            <w:tcW w:w="7470" w:type="dxa"/>
          </w:tcPr>
          <w:p w14:paraId="7646453E" w14:textId="77777777" w:rsidR="005C142D" w:rsidRPr="00FA3F9C" w:rsidRDefault="005C142D" w:rsidP="006F623F">
            <w:pPr>
              <w:rPr>
                <w:rFonts w:ascii="Arial" w:hAnsi="Arial" w:cs="Arial"/>
                <w:sz w:val="24"/>
                <w:szCs w:val="24"/>
              </w:rPr>
            </w:pPr>
            <w:r w:rsidRPr="00FA3F9C">
              <w:rPr>
                <w:rFonts w:ascii="Arial" w:hAnsi="Arial" w:cs="Arial"/>
                <w:sz w:val="24"/>
                <w:szCs w:val="24"/>
              </w:rPr>
              <w:t>Reviewed at 5/27/2020 EBRx P&amp;T meeting. Criteria written</w:t>
            </w:r>
          </w:p>
        </w:tc>
        <w:tc>
          <w:tcPr>
            <w:tcW w:w="2538" w:type="dxa"/>
          </w:tcPr>
          <w:p w14:paraId="00DB4D0B" w14:textId="77777777" w:rsidR="005C142D" w:rsidRPr="00FA3F9C" w:rsidRDefault="005C142D" w:rsidP="006F623F">
            <w:pPr>
              <w:rPr>
                <w:rFonts w:ascii="Arial" w:hAnsi="Arial" w:cs="Arial"/>
                <w:sz w:val="24"/>
                <w:szCs w:val="24"/>
              </w:rPr>
            </w:pPr>
            <w:r w:rsidRPr="00FA3F9C">
              <w:rPr>
                <w:rFonts w:ascii="Arial" w:hAnsi="Arial" w:cs="Arial"/>
                <w:sz w:val="24"/>
                <w:szCs w:val="24"/>
              </w:rPr>
              <w:t>SK</w:t>
            </w:r>
          </w:p>
        </w:tc>
      </w:tr>
      <w:tr w:rsidR="005C142D" w:rsidRPr="00FA3F9C" w14:paraId="40E9C938" w14:textId="77777777" w:rsidTr="00FE491B">
        <w:tc>
          <w:tcPr>
            <w:tcW w:w="1008" w:type="dxa"/>
          </w:tcPr>
          <w:p w14:paraId="18A7B138" w14:textId="77777777" w:rsidR="005C142D" w:rsidRPr="00FA3F9C" w:rsidRDefault="005C142D" w:rsidP="006F623F">
            <w:pPr>
              <w:rPr>
                <w:rFonts w:ascii="Arial" w:hAnsi="Arial" w:cs="Arial"/>
                <w:sz w:val="24"/>
                <w:szCs w:val="24"/>
              </w:rPr>
            </w:pPr>
            <w:r w:rsidRPr="00FA3F9C">
              <w:rPr>
                <w:rFonts w:ascii="Arial" w:hAnsi="Arial" w:cs="Arial"/>
                <w:sz w:val="24"/>
                <w:szCs w:val="24"/>
              </w:rPr>
              <w:t>4/7/21</w:t>
            </w:r>
          </w:p>
        </w:tc>
        <w:tc>
          <w:tcPr>
            <w:tcW w:w="7470" w:type="dxa"/>
          </w:tcPr>
          <w:p w14:paraId="744663EB" w14:textId="77777777" w:rsidR="005C142D" w:rsidRPr="00FA3F9C" w:rsidRDefault="005C142D" w:rsidP="006F623F">
            <w:pPr>
              <w:rPr>
                <w:rFonts w:ascii="Arial" w:hAnsi="Arial" w:cs="Arial"/>
                <w:sz w:val="24"/>
                <w:szCs w:val="24"/>
              </w:rPr>
            </w:pPr>
            <w:r w:rsidRPr="00FA3F9C">
              <w:rPr>
                <w:rFonts w:ascii="Arial" w:hAnsi="Arial" w:cs="Arial"/>
                <w:sz w:val="24"/>
                <w:szCs w:val="24"/>
              </w:rPr>
              <w:t>Applied EBRx criteria to UAS plan.  No current users</w:t>
            </w:r>
          </w:p>
        </w:tc>
        <w:tc>
          <w:tcPr>
            <w:tcW w:w="2538" w:type="dxa"/>
          </w:tcPr>
          <w:p w14:paraId="4B741F83" w14:textId="77777777" w:rsidR="005C142D" w:rsidRPr="00FA3F9C" w:rsidRDefault="005C142D" w:rsidP="006F623F">
            <w:pPr>
              <w:rPr>
                <w:rFonts w:ascii="Arial" w:hAnsi="Arial" w:cs="Arial"/>
                <w:sz w:val="24"/>
                <w:szCs w:val="24"/>
              </w:rPr>
            </w:pPr>
            <w:r w:rsidRPr="00FA3F9C">
              <w:rPr>
                <w:rFonts w:ascii="Arial" w:hAnsi="Arial" w:cs="Arial"/>
                <w:sz w:val="24"/>
                <w:szCs w:val="24"/>
              </w:rPr>
              <w:t>JJ</w:t>
            </w:r>
          </w:p>
        </w:tc>
      </w:tr>
      <w:tr w:rsidR="005C142D" w:rsidRPr="00FA3F9C" w14:paraId="3A002DA3" w14:textId="77777777" w:rsidTr="00FE491B">
        <w:tc>
          <w:tcPr>
            <w:tcW w:w="1008" w:type="dxa"/>
          </w:tcPr>
          <w:p w14:paraId="63D94102" w14:textId="77777777" w:rsidR="005C142D" w:rsidRPr="00FA3F9C" w:rsidRDefault="005C142D" w:rsidP="006F623F">
            <w:pPr>
              <w:rPr>
                <w:rFonts w:ascii="Arial" w:hAnsi="Arial" w:cs="Arial"/>
                <w:sz w:val="24"/>
                <w:szCs w:val="24"/>
              </w:rPr>
            </w:pPr>
            <w:r w:rsidRPr="00FA3F9C">
              <w:rPr>
                <w:rFonts w:ascii="Arial" w:hAnsi="Arial" w:cs="Arial"/>
                <w:sz w:val="24"/>
                <w:szCs w:val="24"/>
              </w:rPr>
              <w:t>7/26/2021</w:t>
            </w:r>
          </w:p>
        </w:tc>
        <w:tc>
          <w:tcPr>
            <w:tcW w:w="7470" w:type="dxa"/>
          </w:tcPr>
          <w:p w14:paraId="209FD780" w14:textId="77777777" w:rsidR="005C142D" w:rsidRPr="00FA3F9C" w:rsidRDefault="005C142D" w:rsidP="006F623F">
            <w:pPr>
              <w:rPr>
                <w:rFonts w:ascii="Arial" w:hAnsi="Arial" w:cs="Arial"/>
                <w:sz w:val="24"/>
                <w:szCs w:val="24"/>
              </w:rPr>
            </w:pPr>
            <w:r w:rsidRPr="00FA3F9C">
              <w:rPr>
                <w:rFonts w:ascii="Arial" w:hAnsi="Arial" w:cs="Arial"/>
                <w:sz w:val="24"/>
                <w:szCs w:val="24"/>
              </w:rPr>
              <w:t>Criteria reviewed. No change</w:t>
            </w:r>
          </w:p>
        </w:tc>
        <w:tc>
          <w:tcPr>
            <w:tcW w:w="2538" w:type="dxa"/>
          </w:tcPr>
          <w:p w14:paraId="2F1B00F3" w14:textId="77777777" w:rsidR="005C142D" w:rsidRPr="00FA3F9C" w:rsidRDefault="005C142D" w:rsidP="006F623F">
            <w:pPr>
              <w:rPr>
                <w:rFonts w:ascii="Arial" w:hAnsi="Arial" w:cs="Arial"/>
                <w:sz w:val="24"/>
                <w:szCs w:val="24"/>
              </w:rPr>
            </w:pPr>
            <w:r w:rsidRPr="00FA3F9C">
              <w:rPr>
                <w:rFonts w:ascii="Arial" w:hAnsi="Arial" w:cs="Arial"/>
                <w:sz w:val="24"/>
                <w:szCs w:val="24"/>
              </w:rPr>
              <w:t>SK</w:t>
            </w:r>
          </w:p>
        </w:tc>
      </w:tr>
    </w:tbl>
    <w:p w14:paraId="33E3AB5E" w14:textId="77777777" w:rsidR="005C142D" w:rsidRPr="00FA3F9C" w:rsidRDefault="005C142D" w:rsidP="006F623F">
      <w:pPr>
        <w:spacing w:after="0"/>
        <w:rPr>
          <w:rFonts w:ascii="Arial" w:hAnsi="Arial" w:cs="Arial"/>
          <w:sz w:val="24"/>
          <w:szCs w:val="24"/>
        </w:rPr>
      </w:pPr>
    </w:p>
    <w:p w14:paraId="62D3AC06" w14:textId="75CACAE9" w:rsidR="005D3DE3" w:rsidRDefault="005C142D" w:rsidP="005D3DE3">
      <w:pPr>
        <w:pStyle w:val="Heading2"/>
      </w:pPr>
      <w:bookmarkStart w:id="329" w:name="_Toc106369952"/>
      <w:r w:rsidRPr="00FA3F9C">
        <w:lastRenderedPageBreak/>
        <w:t>Uridine triacetate</w:t>
      </w:r>
      <w:r w:rsidR="005D3DE3">
        <w:t xml:space="preserve"> (</w:t>
      </w:r>
      <w:proofErr w:type="spellStart"/>
      <w:r w:rsidR="005D3DE3" w:rsidRPr="00FA3F9C">
        <w:t>Xuriden</w:t>
      </w:r>
      <w:proofErr w:type="spellEnd"/>
      <w:r w:rsidR="005D3DE3">
        <w:t>,</w:t>
      </w:r>
      <w:r w:rsidR="005D3DE3" w:rsidRPr="005D3DE3">
        <w:t xml:space="preserve"> </w:t>
      </w:r>
      <w:proofErr w:type="spellStart"/>
      <w:r w:rsidR="005D3DE3" w:rsidRPr="00FA3F9C">
        <w:t>Vistogard</w:t>
      </w:r>
      <w:proofErr w:type="spellEnd"/>
      <w:r w:rsidR="005D3DE3">
        <w:t>)</w:t>
      </w:r>
      <w:bookmarkEnd w:id="329"/>
    </w:p>
    <w:p w14:paraId="50DB6BDB" w14:textId="6344D607" w:rsidR="005C142D" w:rsidRPr="00FA3F9C" w:rsidRDefault="005C142D" w:rsidP="00527F32">
      <w:pPr>
        <w:spacing w:after="0"/>
        <w:jc w:val="center"/>
        <w:rPr>
          <w:rFonts w:ascii="Arial" w:hAnsi="Arial" w:cs="Arial"/>
          <w:sz w:val="24"/>
          <w:szCs w:val="24"/>
        </w:rPr>
      </w:pPr>
      <w:r w:rsidRPr="00FA3F9C">
        <w:rPr>
          <w:rFonts w:ascii="Arial" w:hAnsi="Arial" w:cs="Arial"/>
          <w:sz w:val="24"/>
          <w:szCs w:val="24"/>
        </w:rPr>
        <w:t xml:space="preserve"> oral granules Packets</w:t>
      </w:r>
    </w:p>
    <w:p w14:paraId="0CC5A141" w14:textId="77777777" w:rsidR="005C142D" w:rsidRPr="00FA3F9C" w:rsidRDefault="005C142D" w:rsidP="00527F32">
      <w:pPr>
        <w:spacing w:after="0"/>
        <w:jc w:val="center"/>
        <w:rPr>
          <w:rFonts w:ascii="Arial" w:hAnsi="Arial" w:cs="Arial"/>
          <w:sz w:val="24"/>
          <w:szCs w:val="24"/>
        </w:rPr>
      </w:pPr>
      <w:proofErr w:type="spellStart"/>
      <w:r w:rsidRPr="00FA3F9C">
        <w:rPr>
          <w:rFonts w:ascii="Arial" w:hAnsi="Arial" w:cs="Arial"/>
          <w:sz w:val="24"/>
          <w:szCs w:val="24"/>
        </w:rPr>
        <w:t>Xuriden</w:t>
      </w:r>
      <w:proofErr w:type="spellEnd"/>
      <w:r w:rsidRPr="00FA3F9C">
        <w:rPr>
          <w:rFonts w:ascii="Arial" w:hAnsi="Arial" w:cs="Arial"/>
          <w:sz w:val="24"/>
          <w:szCs w:val="24"/>
        </w:rPr>
        <w:t xml:space="preserve"> 2g packets</w:t>
      </w:r>
    </w:p>
    <w:p w14:paraId="14C7F549" w14:textId="77777777" w:rsidR="005C142D" w:rsidRPr="00FA3F9C" w:rsidRDefault="005C142D" w:rsidP="00527F32">
      <w:pPr>
        <w:spacing w:after="0"/>
        <w:jc w:val="center"/>
        <w:rPr>
          <w:rFonts w:ascii="Arial" w:hAnsi="Arial" w:cs="Arial"/>
          <w:sz w:val="24"/>
          <w:szCs w:val="24"/>
        </w:rPr>
      </w:pPr>
      <w:proofErr w:type="spellStart"/>
      <w:r w:rsidRPr="00FA3F9C">
        <w:rPr>
          <w:rFonts w:ascii="Arial" w:hAnsi="Arial" w:cs="Arial"/>
          <w:sz w:val="24"/>
          <w:szCs w:val="24"/>
        </w:rPr>
        <w:t>Vistogard</w:t>
      </w:r>
      <w:proofErr w:type="spellEnd"/>
      <w:r w:rsidRPr="00FA3F9C">
        <w:rPr>
          <w:rFonts w:ascii="Arial" w:hAnsi="Arial" w:cs="Arial"/>
          <w:sz w:val="24"/>
          <w:szCs w:val="24"/>
        </w:rPr>
        <w:t xml:space="preserve"> 10g packets</w:t>
      </w:r>
    </w:p>
    <w:p w14:paraId="5619AD9C" w14:textId="77777777" w:rsidR="005C142D" w:rsidRPr="00FA3F9C" w:rsidRDefault="005C142D" w:rsidP="006F623F">
      <w:pPr>
        <w:spacing w:after="0"/>
        <w:jc w:val="center"/>
        <w:rPr>
          <w:rFonts w:ascii="Arial" w:hAnsi="Arial" w:cs="Arial"/>
          <w:sz w:val="24"/>
          <w:szCs w:val="24"/>
        </w:rPr>
      </w:pPr>
      <w:r w:rsidRPr="00FA3F9C">
        <w:rPr>
          <w:rFonts w:ascii="Arial" w:hAnsi="Arial" w:cs="Arial"/>
          <w:sz w:val="24"/>
          <w:szCs w:val="24"/>
        </w:rPr>
        <w:t>EBRx PA Criteria</w:t>
      </w:r>
    </w:p>
    <w:p w14:paraId="32262D70" w14:textId="77777777" w:rsidR="005C142D" w:rsidRPr="00FA3F9C" w:rsidRDefault="005C142D" w:rsidP="006F623F">
      <w:pPr>
        <w:spacing w:after="0"/>
        <w:rPr>
          <w:rFonts w:ascii="Arial" w:hAnsi="Arial" w:cs="Arial"/>
          <w:b/>
          <w:sz w:val="24"/>
          <w:szCs w:val="24"/>
          <w:u w:val="single"/>
        </w:rPr>
      </w:pPr>
    </w:p>
    <w:p w14:paraId="7DA9ED83" w14:textId="77777777" w:rsidR="005C142D" w:rsidRPr="00FA3F9C" w:rsidRDefault="005C142D" w:rsidP="006F623F">
      <w:pPr>
        <w:spacing w:after="0"/>
        <w:rPr>
          <w:rFonts w:ascii="Arial" w:hAnsi="Arial" w:cs="Arial"/>
          <w:sz w:val="24"/>
          <w:szCs w:val="24"/>
        </w:rPr>
      </w:pPr>
      <w:proofErr w:type="spellStart"/>
      <w:r w:rsidRPr="00FA3F9C">
        <w:rPr>
          <w:rFonts w:ascii="Arial" w:hAnsi="Arial" w:cs="Arial"/>
          <w:b/>
          <w:sz w:val="24"/>
          <w:szCs w:val="24"/>
          <w:u w:val="single"/>
        </w:rPr>
        <w:t>Xuriden</w:t>
      </w:r>
      <w:proofErr w:type="spellEnd"/>
      <w:r w:rsidRPr="00FA3F9C">
        <w:rPr>
          <w:rFonts w:ascii="Arial" w:hAnsi="Arial" w:cs="Arial"/>
          <w:b/>
          <w:sz w:val="24"/>
          <w:szCs w:val="24"/>
          <w:u w:val="single"/>
        </w:rPr>
        <w:t xml:space="preserve"> is FDA-approved for:</w:t>
      </w:r>
      <w:r w:rsidRPr="00FA3F9C">
        <w:rPr>
          <w:rFonts w:ascii="Arial" w:hAnsi="Arial" w:cs="Arial"/>
          <w:sz w:val="24"/>
          <w:szCs w:val="24"/>
        </w:rPr>
        <w:t xml:space="preserve">  treatment of patients with hereditary </w:t>
      </w:r>
      <w:proofErr w:type="spellStart"/>
      <w:r w:rsidRPr="00FA3F9C">
        <w:rPr>
          <w:rFonts w:ascii="Arial" w:hAnsi="Arial" w:cs="Arial"/>
          <w:sz w:val="24"/>
          <w:szCs w:val="24"/>
        </w:rPr>
        <w:t>orotic</w:t>
      </w:r>
      <w:proofErr w:type="spellEnd"/>
      <w:r w:rsidRPr="00FA3F9C">
        <w:rPr>
          <w:rFonts w:ascii="Arial" w:hAnsi="Arial" w:cs="Arial"/>
          <w:sz w:val="24"/>
          <w:szCs w:val="24"/>
        </w:rPr>
        <w:t xml:space="preserve"> aciduria (HOA). </w:t>
      </w:r>
    </w:p>
    <w:p w14:paraId="7B09B3E5" w14:textId="77777777" w:rsidR="005C142D" w:rsidRPr="00FA3F9C" w:rsidRDefault="005C142D" w:rsidP="00A25610">
      <w:pPr>
        <w:spacing w:after="0"/>
        <w:rPr>
          <w:rFonts w:ascii="Arial" w:hAnsi="Arial" w:cs="Arial"/>
          <w:sz w:val="24"/>
          <w:szCs w:val="24"/>
        </w:rPr>
      </w:pPr>
      <w:proofErr w:type="spellStart"/>
      <w:r w:rsidRPr="00FA3F9C">
        <w:rPr>
          <w:rFonts w:ascii="Arial" w:hAnsi="Arial" w:cs="Arial"/>
          <w:b/>
          <w:sz w:val="24"/>
          <w:szCs w:val="24"/>
          <w:u w:val="single"/>
        </w:rPr>
        <w:t>Vistogard</w:t>
      </w:r>
      <w:proofErr w:type="spellEnd"/>
      <w:r w:rsidRPr="00FA3F9C">
        <w:rPr>
          <w:rFonts w:ascii="Arial" w:hAnsi="Arial" w:cs="Arial"/>
          <w:b/>
          <w:sz w:val="24"/>
          <w:szCs w:val="24"/>
          <w:u w:val="single"/>
        </w:rPr>
        <w:t xml:space="preserve"> is FDA-approved for:</w:t>
      </w:r>
      <w:r w:rsidRPr="00FA3F9C">
        <w:rPr>
          <w:rFonts w:ascii="Arial" w:hAnsi="Arial" w:cs="Arial"/>
          <w:sz w:val="24"/>
          <w:szCs w:val="24"/>
        </w:rPr>
        <w:t xml:space="preserve"> emergency treatment of adult and pediatric patients following a fluorouracil or capecitabine overdose regardless of the presence of symptoms OR who exhibit early-onset, severe or life-threatening toxicity affecting the cardiac or central nervous system  and/or early-onset, unusually severe adverse reactions (e.g., gastrointestinal toxicity and/or neutropenia) within 96 hours following the end of fluorouracil or capecitabine administration</w:t>
      </w:r>
    </w:p>
    <w:p w14:paraId="3E475B64" w14:textId="77777777" w:rsidR="005C142D" w:rsidRPr="00FA3F9C" w:rsidRDefault="005C142D" w:rsidP="00A25610">
      <w:pPr>
        <w:spacing w:after="0"/>
        <w:rPr>
          <w:rFonts w:ascii="Arial" w:hAnsi="Arial" w:cs="Arial"/>
          <w:sz w:val="24"/>
          <w:szCs w:val="24"/>
        </w:rPr>
      </w:pPr>
    </w:p>
    <w:tbl>
      <w:tblPr>
        <w:tblStyle w:val="TableGrid"/>
        <w:tblW w:w="0" w:type="auto"/>
        <w:tblLook w:val="04A0" w:firstRow="1" w:lastRow="0" w:firstColumn="1" w:lastColumn="0" w:noHBand="0" w:noVBand="1"/>
      </w:tblPr>
      <w:tblGrid>
        <w:gridCol w:w="8928"/>
        <w:gridCol w:w="2088"/>
      </w:tblGrid>
      <w:tr w:rsidR="005C142D" w:rsidRPr="00FA3F9C" w14:paraId="5412CF93" w14:textId="77777777" w:rsidTr="001479DA">
        <w:tc>
          <w:tcPr>
            <w:tcW w:w="8928" w:type="dxa"/>
            <w:shd w:val="clear" w:color="auto" w:fill="000000"/>
          </w:tcPr>
          <w:p w14:paraId="5289E744" w14:textId="77777777" w:rsidR="005C142D" w:rsidRPr="00FA3F9C" w:rsidRDefault="005C142D" w:rsidP="001479DA">
            <w:pPr>
              <w:rPr>
                <w:rFonts w:ascii="Arial" w:hAnsi="Arial" w:cs="Arial"/>
                <w:b/>
                <w:sz w:val="24"/>
                <w:szCs w:val="24"/>
                <w:u w:val="single"/>
              </w:rPr>
            </w:pPr>
            <w:proofErr w:type="spellStart"/>
            <w:r w:rsidRPr="00FA3F9C">
              <w:rPr>
                <w:rFonts w:ascii="Arial" w:hAnsi="Arial" w:cs="Arial"/>
                <w:b/>
                <w:sz w:val="24"/>
                <w:szCs w:val="24"/>
                <w:u w:val="single"/>
              </w:rPr>
              <w:t>Xuriden</w:t>
            </w:r>
            <w:proofErr w:type="spellEnd"/>
            <w:r w:rsidRPr="00FA3F9C">
              <w:rPr>
                <w:rFonts w:ascii="Arial" w:hAnsi="Arial" w:cs="Arial"/>
                <w:b/>
                <w:sz w:val="24"/>
                <w:szCs w:val="24"/>
                <w:u w:val="single"/>
              </w:rPr>
              <w:t xml:space="preserve"> Criteria for new users</w:t>
            </w:r>
          </w:p>
        </w:tc>
        <w:tc>
          <w:tcPr>
            <w:tcW w:w="2088" w:type="dxa"/>
            <w:shd w:val="clear" w:color="auto" w:fill="000000"/>
          </w:tcPr>
          <w:p w14:paraId="0F79F0AD" w14:textId="77777777" w:rsidR="005C142D" w:rsidRPr="00FA3F9C" w:rsidRDefault="005C142D" w:rsidP="001479DA">
            <w:pPr>
              <w:jc w:val="center"/>
              <w:rPr>
                <w:rFonts w:ascii="Arial" w:hAnsi="Arial" w:cs="Arial"/>
                <w:b/>
                <w:sz w:val="24"/>
                <w:szCs w:val="24"/>
                <w:u w:val="single"/>
              </w:rPr>
            </w:pPr>
          </w:p>
        </w:tc>
      </w:tr>
      <w:tr w:rsidR="005C142D" w:rsidRPr="00FA3F9C" w14:paraId="0F1C3DB8" w14:textId="77777777" w:rsidTr="001479DA">
        <w:tc>
          <w:tcPr>
            <w:tcW w:w="11016" w:type="dxa"/>
            <w:gridSpan w:val="2"/>
          </w:tcPr>
          <w:p w14:paraId="70B2131D" w14:textId="77777777" w:rsidR="005C142D" w:rsidRPr="00FA3F9C" w:rsidRDefault="005C142D" w:rsidP="001479DA">
            <w:pPr>
              <w:rPr>
                <w:rFonts w:ascii="Arial" w:hAnsi="Arial" w:cs="Arial"/>
                <w:sz w:val="24"/>
                <w:szCs w:val="24"/>
              </w:rPr>
            </w:pPr>
            <w:r w:rsidRPr="00FA3F9C">
              <w:rPr>
                <w:rFonts w:ascii="Arial" w:hAnsi="Arial" w:cs="Arial"/>
                <w:sz w:val="24"/>
                <w:szCs w:val="24"/>
              </w:rPr>
              <w:t xml:space="preserve">1.  The patient must have a validated diagnosis of hereditary </w:t>
            </w:r>
            <w:proofErr w:type="spellStart"/>
            <w:r w:rsidRPr="00FA3F9C">
              <w:rPr>
                <w:rFonts w:ascii="Arial" w:hAnsi="Arial" w:cs="Arial"/>
                <w:sz w:val="24"/>
                <w:szCs w:val="24"/>
              </w:rPr>
              <w:t>orotic</w:t>
            </w:r>
            <w:proofErr w:type="spellEnd"/>
            <w:r w:rsidRPr="00FA3F9C">
              <w:rPr>
                <w:rFonts w:ascii="Arial" w:hAnsi="Arial" w:cs="Arial"/>
                <w:sz w:val="24"/>
                <w:szCs w:val="24"/>
              </w:rPr>
              <w:t xml:space="preserve"> aciduria (validated by the EBRx Medical Director)</w:t>
            </w:r>
          </w:p>
          <w:p w14:paraId="7A944222" w14:textId="77777777" w:rsidR="005C142D" w:rsidRPr="00FA3F9C" w:rsidRDefault="005C142D" w:rsidP="00FC1E85">
            <w:pPr>
              <w:pStyle w:val="ListParagraph"/>
              <w:numPr>
                <w:ilvl w:val="0"/>
                <w:numId w:val="497"/>
              </w:numPr>
              <w:rPr>
                <w:rFonts w:ascii="Arial" w:hAnsi="Arial" w:cs="Arial"/>
                <w:sz w:val="24"/>
                <w:szCs w:val="24"/>
              </w:rPr>
            </w:pPr>
            <w:r w:rsidRPr="00FA3F9C">
              <w:rPr>
                <w:rFonts w:ascii="Arial" w:hAnsi="Arial" w:cs="Arial"/>
                <w:sz w:val="24"/>
                <w:szCs w:val="24"/>
              </w:rPr>
              <w:t>Confirmed by the presence of a mutation in the uridine monophosphate synthase gene</w:t>
            </w:r>
          </w:p>
          <w:p w14:paraId="24BA0345" w14:textId="77777777" w:rsidR="005C142D" w:rsidRPr="00FA3F9C" w:rsidRDefault="005C142D" w:rsidP="00FC1E85">
            <w:pPr>
              <w:pStyle w:val="ListParagraph"/>
              <w:numPr>
                <w:ilvl w:val="0"/>
                <w:numId w:val="497"/>
              </w:numPr>
              <w:rPr>
                <w:rFonts w:ascii="Arial" w:hAnsi="Arial" w:cs="Arial"/>
                <w:sz w:val="24"/>
                <w:szCs w:val="24"/>
              </w:rPr>
            </w:pPr>
            <w:r w:rsidRPr="00FA3F9C">
              <w:rPr>
                <w:rFonts w:ascii="Arial" w:hAnsi="Arial" w:cs="Arial"/>
                <w:sz w:val="24"/>
                <w:szCs w:val="24"/>
              </w:rPr>
              <w:t xml:space="preserve">Elevated urinary </w:t>
            </w:r>
            <w:proofErr w:type="spellStart"/>
            <w:r w:rsidRPr="00FA3F9C">
              <w:rPr>
                <w:rFonts w:ascii="Arial" w:hAnsi="Arial" w:cs="Arial"/>
                <w:sz w:val="24"/>
                <w:szCs w:val="24"/>
              </w:rPr>
              <w:t>orotic</w:t>
            </w:r>
            <w:proofErr w:type="spellEnd"/>
            <w:r w:rsidRPr="00FA3F9C">
              <w:rPr>
                <w:rFonts w:ascii="Arial" w:hAnsi="Arial" w:cs="Arial"/>
                <w:sz w:val="24"/>
                <w:szCs w:val="24"/>
              </w:rPr>
              <w:t xml:space="preserve"> acid level according to age-specific reference range</w:t>
            </w:r>
          </w:p>
        </w:tc>
      </w:tr>
      <w:tr w:rsidR="005C142D" w:rsidRPr="00FA3F9C" w14:paraId="2CCF08E7" w14:textId="77777777" w:rsidTr="001479DA">
        <w:tc>
          <w:tcPr>
            <w:tcW w:w="11016" w:type="dxa"/>
            <w:gridSpan w:val="2"/>
          </w:tcPr>
          <w:p w14:paraId="4978728B" w14:textId="77777777" w:rsidR="005C142D" w:rsidRPr="00FA3F9C" w:rsidRDefault="005C142D" w:rsidP="001479DA">
            <w:pPr>
              <w:rPr>
                <w:rFonts w:ascii="Arial" w:hAnsi="Arial" w:cs="Arial"/>
                <w:sz w:val="24"/>
                <w:szCs w:val="24"/>
              </w:rPr>
            </w:pPr>
            <w:r w:rsidRPr="00FA3F9C">
              <w:rPr>
                <w:rFonts w:ascii="Arial" w:hAnsi="Arial" w:cs="Arial"/>
                <w:sz w:val="24"/>
                <w:szCs w:val="24"/>
              </w:rPr>
              <w:t>2. Uridine is being prescribed by or given in consultation with a specialist in inherited metabolic diseases.</w:t>
            </w:r>
          </w:p>
        </w:tc>
      </w:tr>
      <w:tr w:rsidR="005C142D" w:rsidRPr="00FA3F9C" w14:paraId="02E6F0ED" w14:textId="77777777" w:rsidTr="00B26A36">
        <w:tc>
          <w:tcPr>
            <w:tcW w:w="11016" w:type="dxa"/>
            <w:gridSpan w:val="2"/>
            <w:tcBorders>
              <w:bottom w:val="single" w:sz="4" w:space="0" w:color="auto"/>
            </w:tcBorders>
          </w:tcPr>
          <w:p w14:paraId="1D95478F" w14:textId="77777777" w:rsidR="005C142D" w:rsidRPr="00FA3F9C" w:rsidRDefault="005C142D" w:rsidP="00A25610">
            <w:pPr>
              <w:rPr>
                <w:rFonts w:ascii="Arial" w:hAnsi="Arial" w:cs="Arial"/>
                <w:sz w:val="24"/>
                <w:szCs w:val="24"/>
              </w:rPr>
            </w:pPr>
            <w:r w:rsidRPr="00FA3F9C">
              <w:rPr>
                <w:rFonts w:ascii="Arial" w:hAnsi="Arial" w:cs="Arial"/>
                <w:sz w:val="24"/>
                <w:szCs w:val="24"/>
              </w:rPr>
              <w:t>Max dose is 120mg/kg (maximum 8 GRAMS once daily)**********PA is good for 3 months.</w:t>
            </w:r>
          </w:p>
        </w:tc>
      </w:tr>
      <w:tr w:rsidR="005C142D" w:rsidRPr="00FA3F9C" w14:paraId="788478E5" w14:textId="77777777" w:rsidTr="00B26A36">
        <w:tc>
          <w:tcPr>
            <w:tcW w:w="11016" w:type="dxa"/>
            <w:gridSpan w:val="2"/>
            <w:shd w:val="clear" w:color="auto" w:fill="000000"/>
          </w:tcPr>
          <w:p w14:paraId="70B55B82" w14:textId="77777777" w:rsidR="005C142D" w:rsidRPr="00FA3F9C" w:rsidRDefault="005C142D" w:rsidP="00214055">
            <w:pPr>
              <w:rPr>
                <w:rFonts w:ascii="Arial" w:hAnsi="Arial" w:cs="Arial"/>
                <w:sz w:val="24"/>
                <w:szCs w:val="24"/>
              </w:rPr>
            </w:pPr>
            <w:r w:rsidRPr="00FA3F9C">
              <w:rPr>
                <w:rFonts w:ascii="Arial" w:hAnsi="Arial" w:cs="Arial"/>
                <w:sz w:val="24"/>
                <w:szCs w:val="24"/>
              </w:rPr>
              <w:t>Continuation Criteria</w:t>
            </w:r>
          </w:p>
        </w:tc>
      </w:tr>
      <w:tr w:rsidR="005C142D" w:rsidRPr="00FA3F9C" w14:paraId="75402132" w14:textId="77777777" w:rsidTr="001479DA">
        <w:tc>
          <w:tcPr>
            <w:tcW w:w="11016" w:type="dxa"/>
            <w:gridSpan w:val="2"/>
          </w:tcPr>
          <w:p w14:paraId="0D1EE4E7" w14:textId="77777777" w:rsidR="005C142D" w:rsidRPr="00FA3F9C" w:rsidRDefault="005C142D" w:rsidP="00A25610">
            <w:pPr>
              <w:rPr>
                <w:rFonts w:ascii="Arial" w:hAnsi="Arial" w:cs="Arial"/>
                <w:sz w:val="24"/>
                <w:szCs w:val="24"/>
              </w:rPr>
            </w:pPr>
            <w:r w:rsidRPr="00FA3F9C">
              <w:rPr>
                <w:rFonts w:ascii="Arial" w:hAnsi="Arial" w:cs="Arial"/>
                <w:sz w:val="24"/>
                <w:szCs w:val="24"/>
              </w:rPr>
              <w:t xml:space="preserve">1.  At three months, the patient must show an improvement in baseline hematologic abnormality AND urinary excretion of </w:t>
            </w:r>
            <w:proofErr w:type="spellStart"/>
            <w:r w:rsidRPr="00FA3F9C">
              <w:rPr>
                <w:rFonts w:ascii="Arial" w:hAnsi="Arial" w:cs="Arial"/>
                <w:sz w:val="24"/>
                <w:szCs w:val="24"/>
              </w:rPr>
              <w:t>orotic</w:t>
            </w:r>
            <w:proofErr w:type="spellEnd"/>
            <w:r w:rsidRPr="00FA3F9C">
              <w:rPr>
                <w:rFonts w:ascii="Arial" w:hAnsi="Arial" w:cs="Arial"/>
                <w:sz w:val="24"/>
                <w:szCs w:val="24"/>
              </w:rPr>
              <w:t xml:space="preserve"> acid OR a decrease in nephrolithiasis.  If this is shown, the patient can have the PA approved for one year renewable the next year if he/she maintains response.</w:t>
            </w:r>
          </w:p>
        </w:tc>
      </w:tr>
    </w:tbl>
    <w:p w14:paraId="38466C9B" w14:textId="77777777" w:rsidR="005C142D" w:rsidRPr="00FA3F9C" w:rsidRDefault="005C142D" w:rsidP="006F623F">
      <w:pPr>
        <w:spacing w:after="0"/>
        <w:rPr>
          <w:rFonts w:ascii="Arial" w:hAnsi="Arial" w:cs="Arial"/>
          <w:b/>
          <w:sz w:val="24"/>
          <w:szCs w:val="24"/>
          <w:u w:val="single"/>
        </w:rPr>
      </w:pPr>
    </w:p>
    <w:p w14:paraId="00C15074" w14:textId="77777777" w:rsidR="005C142D" w:rsidRPr="00FA3F9C" w:rsidRDefault="005C142D" w:rsidP="006F623F">
      <w:pPr>
        <w:spacing w:after="0"/>
        <w:rPr>
          <w:rFonts w:ascii="Arial" w:hAnsi="Arial" w:cs="Arial"/>
          <w:b/>
          <w:sz w:val="24"/>
          <w:szCs w:val="24"/>
          <w:u w:val="single"/>
        </w:rPr>
      </w:pPr>
    </w:p>
    <w:tbl>
      <w:tblPr>
        <w:tblStyle w:val="TableGrid"/>
        <w:tblW w:w="0" w:type="auto"/>
        <w:tblLook w:val="04A0" w:firstRow="1" w:lastRow="0" w:firstColumn="1" w:lastColumn="0" w:noHBand="0" w:noVBand="1"/>
      </w:tblPr>
      <w:tblGrid>
        <w:gridCol w:w="8928"/>
        <w:gridCol w:w="2088"/>
      </w:tblGrid>
      <w:tr w:rsidR="005C142D" w:rsidRPr="00FA3F9C" w14:paraId="4514C8A8" w14:textId="77777777" w:rsidTr="0099579D">
        <w:tc>
          <w:tcPr>
            <w:tcW w:w="8928" w:type="dxa"/>
            <w:shd w:val="clear" w:color="auto" w:fill="000000"/>
          </w:tcPr>
          <w:p w14:paraId="133812F6" w14:textId="77777777" w:rsidR="005C142D" w:rsidRPr="00FA3F9C" w:rsidRDefault="005C142D" w:rsidP="0099579D">
            <w:pPr>
              <w:rPr>
                <w:rFonts w:ascii="Arial" w:hAnsi="Arial" w:cs="Arial"/>
                <w:b/>
                <w:sz w:val="24"/>
                <w:szCs w:val="24"/>
                <w:u w:val="single"/>
              </w:rPr>
            </w:pPr>
            <w:proofErr w:type="spellStart"/>
            <w:r w:rsidRPr="00FA3F9C">
              <w:rPr>
                <w:rFonts w:ascii="Arial" w:hAnsi="Arial" w:cs="Arial"/>
                <w:b/>
                <w:sz w:val="24"/>
                <w:szCs w:val="24"/>
                <w:u w:val="single"/>
              </w:rPr>
              <w:t>Vistogard</w:t>
            </w:r>
            <w:proofErr w:type="spellEnd"/>
            <w:r w:rsidRPr="00FA3F9C">
              <w:rPr>
                <w:rFonts w:ascii="Arial" w:hAnsi="Arial" w:cs="Arial"/>
                <w:b/>
                <w:sz w:val="24"/>
                <w:szCs w:val="24"/>
                <w:u w:val="single"/>
              </w:rPr>
              <w:t xml:space="preserve"> Criteria for new users</w:t>
            </w:r>
          </w:p>
        </w:tc>
        <w:tc>
          <w:tcPr>
            <w:tcW w:w="2088" w:type="dxa"/>
            <w:shd w:val="clear" w:color="auto" w:fill="000000"/>
          </w:tcPr>
          <w:p w14:paraId="693C3045" w14:textId="77777777" w:rsidR="005C142D" w:rsidRPr="00FA3F9C" w:rsidRDefault="005C142D" w:rsidP="0099579D">
            <w:pPr>
              <w:jc w:val="center"/>
              <w:rPr>
                <w:rFonts w:ascii="Arial" w:hAnsi="Arial" w:cs="Arial"/>
                <w:b/>
                <w:sz w:val="24"/>
                <w:szCs w:val="24"/>
                <w:u w:val="single"/>
              </w:rPr>
            </w:pPr>
          </w:p>
        </w:tc>
      </w:tr>
      <w:tr w:rsidR="005C142D" w:rsidRPr="00FA3F9C" w14:paraId="67D32A17" w14:textId="77777777" w:rsidTr="0099579D">
        <w:tc>
          <w:tcPr>
            <w:tcW w:w="11016" w:type="dxa"/>
            <w:gridSpan w:val="2"/>
          </w:tcPr>
          <w:p w14:paraId="4962A14F" w14:textId="77777777" w:rsidR="005C142D" w:rsidRPr="00FA3F9C" w:rsidRDefault="005C142D" w:rsidP="00A25610">
            <w:pPr>
              <w:rPr>
                <w:rFonts w:ascii="Arial" w:hAnsi="Arial" w:cs="Arial"/>
                <w:sz w:val="24"/>
                <w:szCs w:val="24"/>
              </w:rPr>
            </w:pPr>
            <w:r w:rsidRPr="00FA3F9C">
              <w:rPr>
                <w:rFonts w:ascii="Arial" w:hAnsi="Arial" w:cs="Arial"/>
                <w:sz w:val="24"/>
                <w:szCs w:val="24"/>
              </w:rPr>
              <w:t>1.  The patient must have received an overdose of 5-fluorouracil or capecitabine OR is showing early-onset, severe, or life-threatening toxicity due to 5-fluorouracil or capecitabine.</w:t>
            </w:r>
          </w:p>
        </w:tc>
      </w:tr>
      <w:tr w:rsidR="005C142D" w:rsidRPr="00FA3F9C" w14:paraId="1E912942" w14:textId="77777777" w:rsidTr="0099579D">
        <w:tc>
          <w:tcPr>
            <w:tcW w:w="11016" w:type="dxa"/>
            <w:gridSpan w:val="2"/>
          </w:tcPr>
          <w:p w14:paraId="2B029EC1" w14:textId="77777777" w:rsidR="005C142D" w:rsidRPr="00FA3F9C" w:rsidRDefault="005C142D" w:rsidP="00A25610">
            <w:pPr>
              <w:rPr>
                <w:rFonts w:ascii="Arial" w:hAnsi="Arial" w:cs="Arial"/>
                <w:sz w:val="24"/>
                <w:szCs w:val="24"/>
              </w:rPr>
            </w:pPr>
            <w:r w:rsidRPr="00FA3F9C">
              <w:rPr>
                <w:rFonts w:ascii="Arial" w:hAnsi="Arial" w:cs="Arial"/>
                <w:sz w:val="24"/>
                <w:szCs w:val="24"/>
              </w:rPr>
              <w:t xml:space="preserve">2.  </w:t>
            </w:r>
            <w:proofErr w:type="spellStart"/>
            <w:r w:rsidRPr="00FA3F9C">
              <w:rPr>
                <w:rFonts w:ascii="Arial" w:hAnsi="Arial" w:cs="Arial"/>
                <w:sz w:val="24"/>
                <w:szCs w:val="24"/>
              </w:rPr>
              <w:t>Vistogard</w:t>
            </w:r>
            <w:proofErr w:type="spellEnd"/>
            <w:r w:rsidRPr="00FA3F9C">
              <w:rPr>
                <w:rFonts w:ascii="Arial" w:hAnsi="Arial" w:cs="Arial"/>
                <w:sz w:val="24"/>
                <w:szCs w:val="24"/>
              </w:rPr>
              <w:t xml:space="preserve"> must be started within 96 hours following the end of 5-fluorouracil or capecitabine administration.</w:t>
            </w:r>
          </w:p>
        </w:tc>
      </w:tr>
      <w:tr w:rsidR="005C142D" w:rsidRPr="00FA3F9C" w14:paraId="02C4A593" w14:textId="77777777" w:rsidTr="004C780B">
        <w:tc>
          <w:tcPr>
            <w:tcW w:w="11016" w:type="dxa"/>
            <w:gridSpan w:val="2"/>
            <w:shd w:val="clear" w:color="auto" w:fill="F2F2F2" w:themeFill="background1" w:themeFillShade="F2"/>
          </w:tcPr>
          <w:p w14:paraId="41E885F8" w14:textId="77777777" w:rsidR="005C142D" w:rsidRPr="00FA3F9C" w:rsidRDefault="005C142D" w:rsidP="0099579D">
            <w:pPr>
              <w:rPr>
                <w:rFonts w:ascii="Arial" w:hAnsi="Arial" w:cs="Arial"/>
                <w:sz w:val="24"/>
                <w:szCs w:val="24"/>
              </w:rPr>
            </w:pPr>
          </w:p>
          <w:p w14:paraId="10684F64" w14:textId="77777777" w:rsidR="005C142D" w:rsidRPr="00FA3F9C" w:rsidRDefault="005C142D" w:rsidP="0099579D">
            <w:pPr>
              <w:rPr>
                <w:rFonts w:ascii="Arial" w:hAnsi="Arial" w:cs="Arial"/>
                <w:sz w:val="24"/>
                <w:szCs w:val="24"/>
              </w:rPr>
            </w:pPr>
            <w:r w:rsidRPr="00FA3F9C">
              <w:rPr>
                <w:rFonts w:ascii="Arial" w:hAnsi="Arial" w:cs="Arial"/>
                <w:sz w:val="24"/>
                <w:szCs w:val="24"/>
              </w:rPr>
              <w:lastRenderedPageBreak/>
              <w:t xml:space="preserve">If all criteria are met, approve PA for 20 doses TOTAL </w:t>
            </w:r>
            <w:r w:rsidRPr="00FA3F9C">
              <w:rPr>
                <w:rFonts w:ascii="Arial" w:hAnsi="Arial" w:cs="Arial"/>
                <w:sz w:val="24"/>
                <w:szCs w:val="24"/>
                <w:u w:val="single"/>
              </w:rPr>
              <w:t>taking into account any doses given inpatient</w:t>
            </w:r>
            <w:r w:rsidRPr="00FA3F9C">
              <w:rPr>
                <w:rFonts w:ascii="Arial" w:hAnsi="Arial" w:cs="Arial"/>
                <w:sz w:val="24"/>
                <w:szCs w:val="24"/>
              </w:rPr>
              <w:t>.</w:t>
            </w:r>
          </w:p>
          <w:p w14:paraId="0CBA7012" w14:textId="77777777" w:rsidR="005C142D" w:rsidRPr="00FA3F9C" w:rsidRDefault="005C142D" w:rsidP="0099579D">
            <w:pPr>
              <w:rPr>
                <w:rFonts w:ascii="Arial" w:hAnsi="Arial" w:cs="Arial"/>
                <w:sz w:val="24"/>
                <w:szCs w:val="24"/>
              </w:rPr>
            </w:pPr>
          </w:p>
          <w:p w14:paraId="676A139D" w14:textId="77777777" w:rsidR="005C142D" w:rsidRPr="00FA3F9C" w:rsidRDefault="005C142D" w:rsidP="0099579D">
            <w:pPr>
              <w:rPr>
                <w:rFonts w:ascii="Arial" w:hAnsi="Arial" w:cs="Arial"/>
                <w:sz w:val="24"/>
                <w:szCs w:val="24"/>
              </w:rPr>
            </w:pPr>
            <w:r w:rsidRPr="00FA3F9C">
              <w:rPr>
                <w:rFonts w:ascii="Arial" w:hAnsi="Arial" w:cs="Arial"/>
                <w:sz w:val="24"/>
                <w:szCs w:val="24"/>
              </w:rPr>
              <w:t>Dose is 10g PO q6h for 20 doses TOTAL. Therapy is expected to be initiated in the inpatient setting.</w:t>
            </w:r>
          </w:p>
          <w:p w14:paraId="6B7F6D43" w14:textId="77777777" w:rsidR="005C142D" w:rsidRPr="00FA3F9C" w:rsidRDefault="005C142D" w:rsidP="0099579D">
            <w:pPr>
              <w:rPr>
                <w:rFonts w:ascii="Arial" w:hAnsi="Arial" w:cs="Arial"/>
                <w:sz w:val="24"/>
                <w:szCs w:val="24"/>
              </w:rPr>
            </w:pPr>
          </w:p>
          <w:p w14:paraId="128F8D84" w14:textId="77777777" w:rsidR="005C142D" w:rsidRPr="00FA3F9C" w:rsidRDefault="005C142D" w:rsidP="00200740">
            <w:pPr>
              <w:rPr>
                <w:rFonts w:ascii="Arial" w:hAnsi="Arial" w:cs="Arial"/>
                <w:sz w:val="24"/>
                <w:szCs w:val="24"/>
              </w:rPr>
            </w:pPr>
            <w:r w:rsidRPr="00FA3F9C">
              <w:rPr>
                <w:rFonts w:ascii="Arial" w:hAnsi="Arial" w:cs="Arial"/>
                <w:sz w:val="24"/>
                <w:szCs w:val="24"/>
              </w:rPr>
              <w:t>Quantity Limits:  20 doses total including doses given as inpatient.</w:t>
            </w:r>
          </w:p>
          <w:p w14:paraId="2834C344" w14:textId="77777777" w:rsidR="005C142D" w:rsidRPr="00FA3F9C" w:rsidRDefault="005C142D" w:rsidP="00200740">
            <w:pPr>
              <w:rPr>
                <w:rFonts w:ascii="Arial" w:hAnsi="Arial" w:cs="Arial"/>
                <w:sz w:val="24"/>
                <w:szCs w:val="24"/>
              </w:rPr>
            </w:pPr>
          </w:p>
          <w:p w14:paraId="0B33D808" w14:textId="77777777" w:rsidR="005C142D" w:rsidRPr="00FA3F9C" w:rsidRDefault="005C142D" w:rsidP="00200740">
            <w:pPr>
              <w:rPr>
                <w:rFonts w:ascii="Arial" w:hAnsi="Arial" w:cs="Arial"/>
                <w:sz w:val="24"/>
                <w:szCs w:val="24"/>
              </w:rPr>
            </w:pPr>
            <w:proofErr w:type="spellStart"/>
            <w:r w:rsidRPr="00FA3F9C">
              <w:rPr>
                <w:rFonts w:ascii="Arial" w:hAnsi="Arial" w:cs="Arial"/>
                <w:sz w:val="24"/>
                <w:szCs w:val="24"/>
              </w:rPr>
              <w:t>Vistogard</w:t>
            </w:r>
            <w:proofErr w:type="spellEnd"/>
            <w:r w:rsidRPr="00FA3F9C">
              <w:rPr>
                <w:rFonts w:ascii="Arial" w:hAnsi="Arial" w:cs="Arial"/>
                <w:sz w:val="24"/>
                <w:szCs w:val="24"/>
              </w:rPr>
              <w:t xml:space="preserve"> should not be administered for non-emergent toxicities as it may interfere with the efficacy of fluoropyrimidine treatment.</w:t>
            </w:r>
          </w:p>
          <w:p w14:paraId="5EF35397" w14:textId="77777777" w:rsidR="005C142D" w:rsidRPr="00FA3F9C" w:rsidRDefault="005C142D" w:rsidP="00200740">
            <w:pPr>
              <w:rPr>
                <w:rFonts w:ascii="Arial" w:hAnsi="Arial" w:cs="Arial"/>
                <w:sz w:val="24"/>
                <w:szCs w:val="24"/>
              </w:rPr>
            </w:pPr>
          </w:p>
          <w:p w14:paraId="37DAB9E6" w14:textId="77777777" w:rsidR="005C142D" w:rsidRPr="00FA3F9C" w:rsidRDefault="005C142D" w:rsidP="00200740">
            <w:pPr>
              <w:rPr>
                <w:rFonts w:ascii="Arial" w:hAnsi="Arial" w:cs="Arial"/>
                <w:sz w:val="24"/>
                <w:szCs w:val="24"/>
              </w:rPr>
            </w:pPr>
            <w:r w:rsidRPr="00FA3F9C">
              <w:rPr>
                <w:rFonts w:ascii="Arial" w:hAnsi="Arial" w:cs="Arial"/>
                <w:sz w:val="24"/>
                <w:szCs w:val="24"/>
              </w:rPr>
              <w:t xml:space="preserve">Note: </w:t>
            </w:r>
            <w:proofErr w:type="spellStart"/>
            <w:r w:rsidRPr="00FA3F9C">
              <w:rPr>
                <w:rFonts w:ascii="Arial" w:hAnsi="Arial" w:cs="Arial"/>
                <w:sz w:val="24"/>
                <w:szCs w:val="24"/>
              </w:rPr>
              <w:t>Vistogard</w:t>
            </w:r>
            <w:proofErr w:type="spellEnd"/>
            <w:r w:rsidRPr="00FA3F9C">
              <w:rPr>
                <w:rFonts w:ascii="Arial" w:hAnsi="Arial" w:cs="Arial"/>
                <w:sz w:val="24"/>
                <w:szCs w:val="24"/>
              </w:rPr>
              <w:t xml:space="preserve"> is supplied as follows:</w:t>
            </w:r>
          </w:p>
          <w:p w14:paraId="5D1A7190" w14:textId="77777777" w:rsidR="005C142D" w:rsidRPr="00FA3F9C" w:rsidRDefault="005C142D" w:rsidP="00200740">
            <w:pPr>
              <w:rPr>
                <w:rFonts w:ascii="Arial" w:hAnsi="Arial" w:cs="Arial"/>
                <w:sz w:val="24"/>
                <w:szCs w:val="24"/>
              </w:rPr>
            </w:pPr>
            <w:r w:rsidRPr="00FA3F9C">
              <w:rPr>
                <w:rFonts w:ascii="Arial" w:hAnsi="Arial" w:cs="Arial"/>
                <w:sz w:val="24"/>
                <w:szCs w:val="24"/>
              </w:rPr>
              <w:t>-NDC 69468-151-20 (course of therapy package): 1 carton containing 20 single-dose packets of uridine triacetate</w:t>
            </w:r>
          </w:p>
          <w:p w14:paraId="5A838651" w14:textId="77777777" w:rsidR="005C142D" w:rsidRPr="00FA3F9C" w:rsidRDefault="005C142D" w:rsidP="00200740">
            <w:pPr>
              <w:rPr>
                <w:rFonts w:ascii="Arial" w:hAnsi="Arial" w:cs="Arial"/>
                <w:sz w:val="24"/>
                <w:szCs w:val="24"/>
              </w:rPr>
            </w:pPr>
            <w:r w:rsidRPr="00FA3F9C">
              <w:rPr>
                <w:rFonts w:ascii="Arial" w:hAnsi="Arial" w:cs="Arial"/>
                <w:sz w:val="24"/>
                <w:szCs w:val="24"/>
              </w:rPr>
              <w:t>-NDC 69468-151-04 (24-hour pack): 1 carton containing 4 single-dose packets of uridine triacetate</w:t>
            </w:r>
          </w:p>
        </w:tc>
      </w:tr>
    </w:tbl>
    <w:p w14:paraId="4D10AB34" w14:textId="77777777" w:rsidR="005C142D" w:rsidRPr="00FA3F9C" w:rsidRDefault="005C142D" w:rsidP="006F623F">
      <w:pPr>
        <w:spacing w:after="0"/>
        <w:rPr>
          <w:rFonts w:ascii="Arial" w:hAnsi="Arial" w:cs="Arial"/>
          <w:b/>
          <w:sz w:val="24"/>
          <w:szCs w:val="24"/>
          <w:u w:val="single"/>
        </w:rPr>
      </w:pPr>
    </w:p>
    <w:p w14:paraId="1384C994" w14:textId="77777777" w:rsidR="005C142D" w:rsidRPr="00FA3F9C" w:rsidRDefault="005C142D" w:rsidP="006F623F">
      <w:pPr>
        <w:spacing w:after="0"/>
        <w:rPr>
          <w:rFonts w:ascii="Arial" w:hAnsi="Arial" w:cs="Arial"/>
          <w:b/>
          <w:sz w:val="24"/>
          <w:szCs w:val="24"/>
          <w:u w:val="single"/>
        </w:rPr>
      </w:pPr>
    </w:p>
    <w:p w14:paraId="6835FB85" w14:textId="77777777" w:rsidR="005C142D" w:rsidRPr="00FA3F9C" w:rsidRDefault="005C142D" w:rsidP="006F623F">
      <w:pPr>
        <w:spacing w:after="0"/>
        <w:rPr>
          <w:rFonts w:ascii="Arial" w:hAnsi="Arial" w:cs="Arial"/>
          <w:sz w:val="24"/>
          <w:szCs w:val="24"/>
        </w:rPr>
      </w:pPr>
    </w:p>
    <w:p w14:paraId="79FF0577" w14:textId="77777777" w:rsidR="005C142D" w:rsidRPr="00FA3F9C" w:rsidRDefault="005C142D"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151"/>
        <w:gridCol w:w="7873"/>
        <w:gridCol w:w="2088"/>
      </w:tblGrid>
      <w:tr w:rsidR="005C142D" w:rsidRPr="00FA3F9C" w14:paraId="683447B9" w14:textId="77777777" w:rsidTr="00A25610">
        <w:tc>
          <w:tcPr>
            <w:tcW w:w="1055" w:type="dxa"/>
          </w:tcPr>
          <w:p w14:paraId="47819280" w14:textId="77777777" w:rsidR="005C142D" w:rsidRPr="00FA3F9C" w:rsidRDefault="005C142D" w:rsidP="006F623F">
            <w:pPr>
              <w:rPr>
                <w:rFonts w:ascii="Arial" w:hAnsi="Arial" w:cs="Arial"/>
                <w:sz w:val="24"/>
                <w:szCs w:val="24"/>
              </w:rPr>
            </w:pPr>
            <w:r w:rsidRPr="00FA3F9C">
              <w:rPr>
                <w:rFonts w:ascii="Arial" w:hAnsi="Arial" w:cs="Arial"/>
                <w:sz w:val="24"/>
                <w:szCs w:val="24"/>
              </w:rPr>
              <w:t>Date</w:t>
            </w:r>
          </w:p>
        </w:tc>
        <w:tc>
          <w:tcPr>
            <w:tcW w:w="7873" w:type="dxa"/>
          </w:tcPr>
          <w:p w14:paraId="50DE2479" w14:textId="77777777" w:rsidR="005C142D" w:rsidRPr="00FA3F9C" w:rsidRDefault="005C142D" w:rsidP="006F623F">
            <w:pPr>
              <w:rPr>
                <w:rFonts w:ascii="Arial" w:hAnsi="Arial" w:cs="Arial"/>
                <w:sz w:val="24"/>
                <w:szCs w:val="24"/>
              </w:rPr>
            </w:pPr>
            <w:r w:rsidRPr="00FA3F9C">
              <w:rPr>
                <w:rFonts w:ascii="Arial" w:hAnsi="Arial" w:cs="Arial"/>
                <w:sz w:val="24"/>
                <w:szCs w:val="24"/>
              </w:rPr>
              <w:t>What changed</w:t>
            </w:r>
          </w:p>
        </w:tc>
        <w:tc>
          <w:tcPr>
            <w:tcW w:w="2088" w:type="dxa"/>
          </w:tcPr>
          <w:p w14:paraId="752A05FA" w14:textId="77777777" w:rsidR="005C142D" w:rsidRPr="00FA3F9C" w:rsidRDefault="005C142D" w:rsidP="006F623F">
            <w:pPr>
              <w:rPr>
                <w:rFonts w:ascii="Arial" w:hAnsi="Arial" w:cs="Arial"/>
                <w:sz w:val="24"/>
                <w:szCs w:val="24"/>
              </w:rPr>
            </w:pPr>
            <w:r w:rsidRPr="00FA3F9C">
              <w:rPr>
                <w:rFonts w:ascii="Arial" w:hAnsi="Arial" w:cs="Arial"/>
                <w:sz w:val="24"/>
                <w:szCs w:val="24"/>
              </w:rPr>
              <w:t>Pharmacist’s initials</w:t>
            </w:r>
          </w:p>
        </w:tc>
      </w:tr>
      <w:tr w:rsidR="005C142D" w:rsidRPr="00FA3F9C" w14:paraId="38867853" w14:textId="77777777" w:rsidTr="00A25610">
        <w:tc>
          <w:tcPr>
            <w:tcW w:w="1055" w:type="dxa"/>
          </w:tcPr>
          <w:p w14:paraId="38B06072" w14:textId="77777777" w:rsidR="005C142D" w:rsidRPr="00FA3F9C" w:rsidRDefault="005C142D" w:rsidP="006F623F">
            <w:pPr>
              <w:rPr>
                <w:rFonts w:ascii="Arial" w:hAnsi="Arial" w:cs="Arial"/>
                <w:sz w:val="24"/>
                <w:szCs w:val="24"/>
              </w:rPr>
            </w:pPr>
            <w:r w:rsidRPr="00FA3F9C">
              <w:rPr>
                <w:rFonts w:ascii="Arial" w:hAnsi="Arial" w:cs="Arial"/>
                <w:sz w:val="24"/>
                <w:szCs w:val="24"/>
              </w:rPr>
              <w:t>9/19/16</w:t>
            </w:r>
          </w:p>
        </w:tc>
        <w:tc>
          <w:tcPr>
            <w:tcW w:w="7873" w:type="dxa"/>
          </w:tcPr>
          <w:p w14:paraId="6170BFE4" w14:textId="77777777" w:rsidR="005C142D" w:rsidRPr="00FA3F9C" w:rsidRDefault="005C142D" w:rsidP="006F623F">
            <w:pPr>
              <w:rPr>
                <w:rFonts w:ascii="Arial" w:hAnsi="Arial" w:cs="Arial"/>
                <w:sz w:val="24"/>
                <w:szCs w:val="24"/>
              </w:rPr>
            </w:pPr>
            <w:r w:rsidRPr="00FA3F9C">
              <w:rPr>
                <w:rFonts w:ascii="Arial" w:hAnsi="Arial" w:cs="Arial"/>
                <w:sz w:val="24"/>
                <w:szCs w:val="24"/>
              </w:rPr>
              <w:t xml:space="preserve">I wrote the criteria.  </w:t>
            </w:r>
          </w:p>
        </w:tc>
        <w:tc>
          <w:tcPr>
            <w:tcW w:w="2088" w:type="dxa"/>
          </w:tcPr>
          <w:p w14:paraId="3D7E7CCC" w14:textId="774CA2E7" w:rsidR="005C142D" w:rsidRPr="00FA3F9C" w:rsidRDefault="005C142D" w:rsidP="006F623F">
            <w:pPr>
              <w:rPr>
                <w:rFonts w:ascii="Arial" w:hAnsi="Arial" w:cs="Arial"/>
                <w:sz w:val="24"/>
                <w:szCs w:val="24"/>
              </w:rPr>
            </w:pPr>
            <w:r w:rsidRPr="00FA3F9C">
              <w:rPr>
                <w:rFonts w:ascii="Arial" w:hAnsi="Arial" w:cs="Arial"/>
                <w:sz w:val="24"/>
                <w:szCs w:val="24"/>
              </w:rPr>
              <w:t xml:space="preserve">J </w:t>
            </w:r>
            <w:r w:rsidR="002F3083">
              <w:rPr>
                <w:rFonts w:ascii="Arial" w:hAnsi="Arial" w:cs="Arial"/>
                <w:sz w:val="24"/>
                <w:szCs w:val="24"/>
              </w:rPr>
              <w:t>JJ</w:t>
            </w:r>
          </w:p>
        </w:tc>
      </w:tr>
      <w:tr w:rsidR="005C142D" w:rsidRPr="00FA3F9C" w14:paraId="416335EE" w14:textId="77777777" w:rsidTr="00A25610">
        <w:tc>
          <w:tcPr>
            <w:tcW w:w="1055" w:type="dxa"/>
          </w:tcPr>
          <w:p w14:paraId="19C2D64E" w14:textId="77777777" w:rsidR="005C142D" w:rsidRPr="00FA3F9C" w:rsidRDefault="005C142D" w:rsidP="006F623F">
            <w:pPr>
              <w:rPr>
                <w:rFonts w:ascii="Arial" w:hAnsi="Arial" w:cs="Arial"/>
                <w:sz w:val="24"/>
                <w:szCs w:val="24"/>
              </w:rPr>
            </w:pPr>
            <w:r w:rsidRPr="00FA3F9C">
              <w:rPr>
                <w:rFonts w:ascii="Arial" w:hAnsi="Arial" w:cs="Arial"/>
                <w:sz w:val="24"/>
                <w:szCs w:val="24"/>
              </w:rPr>
              <w:t>12/14/16</w:t>
            </w:r>
          </w:p>
        </w:tc>
        <w:tc>
          <w:tcPr>
            <w:tcW w:w="7873" w:type="dxa"/>
          </w:tcPr>
          <w:p w14:paraId="62A4331E" w14:textId="77777777" w:rsidR="005C142D" w:rsidRPr="00FA3F9C" w:rsidRDefault="005C142D" w:rsidP="006F623F">
            <w:pPr>
              <w:rPr>
                <w:rFonts w:ascii="Arial" w:hAnsi="Arial" w:cs="Arial"/>
                <w:sz w:val="24"/>
                <w:szCs w:val="24"/>
              </w:rPr>
            </w:pPr>
            <w:r w:rsidRPr="00FA3F9C">
              <w:rPr>
                <w:rFonts w:ascii="Arial" w:hAnsi="Arial" w:cs="Arial"/>
                <w:sz w:val="24"/>
                <w:szCs w:val="24"/>
              </w:rPr>
              <w:t xml:space="preserve">I added to the criteria the coverage criteria for </w:t>
            </w:r>
            <w:proofErr w:type="spellStart"/>
            <w:r w:rsidRPr="00FA3F9C">
              <w:rPr>
                <w:rFonts w:ascii="Arial" w:hAnsi="Arial" w:cs="Arial"/>
                <w:sz w:val="24"/>
                <w:szCs w:val="24"/>
              </w:rPr>
              <w:t>Xuriden</w:t>
            </w:r>
            <w:proofErr w:type="spellEnd"/>
            <w:r w:rsidRPr="00FA3F9C">
              <w:rPr>
                <w:rFonts w:ascii="Arial" w:hAnsi="Arial" w:cs="Arial"/>
                <w:sz w:val="24"/>
                <w:szCs w:val="24"/>
              </w:rPr>
              <w:t xml:space="preserve"> for HOA including continuation criteria.</w:t>
            </w:r>
          </w:p>
        </w:tc>
        <w:tc>
          <w:tcPr>
            <w:tcW w:w="2088" w:type="dxa"/>
          </w:tcPr>
          <w:p w14:paraId="5049FC5C" w14:textId="29845FE3" w:rsidR="005C142D" w:rsidRPr="00FA3F9C" w:rsidRDefault="005C142D" w:rsidP="006F623F">
            <w:pPr>
              <w:rPr>
                <w:rFonts w:ascii="Arial" w:hAnsi="Arial" w:cs="Arial"/>
                <w:sz w:val="24"/>
                <w:szCs w:val="24"/>
              </w:rPr>
            </w:pPr>
            <w:r w:rsidRPr="00FA3F9C">
              <w:rPr>
                <w:rFonts w:ascii="Arial" w:hAnsi="Arial" w:cs="Arial"/>
                <w:sz w:val="24"/>
                <w:szCs w:val="24"/>
              </w:rPr>
              <w:t xml:space="preserve">J </w:t>
            </w:r>
            <w:r w:rsidR="002F3083">
              <w:rPr>
                <w:rFonts w:ascii="Arial" w:hAnsi="Arial" w:cs="Arial"/>
                <w:sz w:val="24"/>
                <w:szCs w:val="24"/>
              </w:rPr>
              <w:t>JJ</w:t>
            </w:r>
          </w:p>
        </w:tc>
      </w:tr>
      <w:tr w:rsidR="005C142D" w:rsidRPr="00FA3F9C" w14:paraId="60EEE389" w14:textId="77777777" w:rsidTr="00A25610">
        <w:tc>
          <w:tcPr>
            <w:tcW w:w="1055" w:type="dxa"/>
          </w:tcPr>
          <w:p w14:paraId="1618C381" w14:textId="77777777" w:rsidR="005C142D" w:rsidRPr="00FA3F9C" w:rsidRDefault="005C142D" w:rsidP="006F623F">
            <w:pPr>
              <w:rPr>
                <w:rFonts w:ascii="Arial" w:hAnsi="Arial" w:cs="Arial"/>
                <w:sz w:val="24"/>
                <w:szCs w:val="24"/>
              </w:rPr>
            </w:pPr>
            <w:r w:rsidRPr="00FA3F9C">
              <w:rPr>
                <w:rFonts w:ascii="Arial" w:hAnsi="Arial" w:cs="Arial"/>
                <w:sz w:val="24"/>
                <w:szCs w:val="24"/>
              </w:rPr>
              <w:t>9/23/19</w:t>
            </w:r>
          </w:p>
        </w:tc>
        <w:tc>
          <w:tcPr>
            <w:tcW w:w="7873" w:type="dxa"/>
          </w:tcPr>
          <w:p w14:paraId="4F10EFBF" w14:textId="77777777" w:rsidR="005C142D" w:rsidRPr="00FA3F9C" w:rsidRDefault="005C142D" w:rsidP="006F623F">
            <w:pPr>
              <w:rPr>
                <w:rFonts w:ascii="Arial" w:hAnsi="Arial" w:cs="Arial"/>
                <w:sz w:val="24"/>
                <w:szCs w:val="24"/>
              </w:rPr>
            </w:pPr>
            <w:r w:rsidRPr="00FA3F9C">
              <w:rPr>
                <w:rFonts w:ascii="Arial" w:hAnsi="Arial" w:cs="Arial"/>
                <w:sz w:val="24"/>
                <w:szCs w:val="24"/>
              </w:rPr>
              <w:t xml:space="preserve">All criteria reviewed. </w:t>
            </w:r>
          </w:p>
          <w:p w14:paraId="57CA61F4" w14:textId="77777777" w:rsidR="005C142D" w:rsidRPr="00FA3F9C" w:rsidRDefault="005C142D" w:rsidP="00445731">
            <w:pPr>
              <w:rPr>
                <w:rFonts w:ascii="Arial" w:hAnsi="Arial" w:cs="Arial"/>
                <w:sz w:val="24"/>
                <w:szCs w:val="24"/>
              </w:rPr>
            </w:pPr>
            <w:proofErr w:type="spellStart"/>
            <w:r w:rsidRPr="00FA3F9C">
              <w:rPr>
                <w:rFonts w:ascii="Arial" w:hAnsi="Arial" w:cs="Arial"/>
                <w:sz w:val="24"/>
                <w:szCs w:val="24"/>
              </w:rPr>
              <w:t>Vistogard</w:t>
            </w:r>
            <w:proofErr w:type="spellEnd"/>
            <w:r w:rsidRPr="00FA3F9C">
              <w:rPr>
                <w:rFonts w:ascii="Arial" w:hAnsi="Arial" w:cs="Arial"/>
                <w:sz w:val="24"/>
                <w:szCs w:val="24"/>
              </w:rPr>
              <w:t xml:space="preserve">: reworded criteria to cover if fluoropyrimidine overdose OR if </w:t>
            </w:r>
            <w:proofErr w:type="spellStart"/>
            <w:r w:rsidRPr="00FA3F9C">
              <w:rPr>
                <w:rFonts w:ascii="Arial" w:hAnsi="Arial" w:cs="Arial"/>
                <w:sz w:val="24"/>
                <w:szCs w:val="24"/>
              </w:rPr>
              <w:t>pt</w:t>
            </w:r>
            <w:proofErr w:type="spellEnd"/>
            <w:r w:rsidRPr="00FA3F9C">
              <w:rPr>
                <w:rFonts w:ascii="Arial" w:hAnsi="Arial" w:cs="Arial"/>
                <w:sz w:val="24"/>
                <w:szCs w:val="24"/>
              </w:rPr>
              <w:t xml:space="preserve"> is showing early-onset, severe or life-threatening toxicity. Added that </w:t>
            </w:r>
            <w:proofErr w:type="spellStart"/>
            <w:r w:rsidRPr="00FA3F9C">
              <w:rPr>
                <w:rFonts w:ascii="Arial" w:hAnsi="Arial" w:cs="Arial"/>
                <w:sz w:val="24"/>
                <w:szCs w:val="24"/>
              </w:rPr>
              <w:t>Vistogard</w:t>
            </w:r>
            <w:proofErr w:type="spellEnd"/>
            <w:r w:rsidRPr="00FA3F9C">
              <w:rPr>
                <w:rFonts w:ascii="Arial" w:hAnsi="Arial" w:cs="Arial"/>
                <w:sz w:val="24"/>
                <w:szCs w:val="24"/>
              </w:rPr>
              <w:t xml:space="preserve"> should start within 96 hours of fluoropyrimidine discontinuation.</w:t>
            </w:r>
          </w:p>
          <w:p w14:paraId="0A1CB93E" w14:textId="77777777" w:rsidR="005C142D" w:rsidRPr="00FA3F9C" w:rsidRDefault="005C142D" w:rsidP="00445731">
            <w:pPr>
              <w:rPr>
                <w:rFonts w:ascii="Arial" w:hAnsi="Arial" w:cs="Arial"/>
                <w:sz w:val="24"/>
                <w:szCs w:val="24"/>
              </w:rPr>
            </w:pPr>
            <w:proofErr w:type="spellStart"/>
            <w:r w:rsidRPr="00FA3F9C">
              <w:rPr>
                <w:rFonts w:ascii="Arial" w:hAnsi="Arial" w:cs="Arial"/>
                <w:sz w:val="24"/>
                <w:szCs w:val="24"/>
              </w:rPr>
              <w:t>Xuriden</w:t>
            </w:r>
            <w:proofErr w:type="spellEnd"/>
            <w:r w:rsidRPr="00FA3F9C">
              <w:rPr>
                <w:rFonts w:ascii="Arial" w:hAnsi="Arial" w:cs="Arial"/>
                <w:sz w:val="24"/>
                <w:szCs w:val="24"/>
              </w:rPr>
              <w:t>: changed initial approval period to 3 months</w:t>
            </w:r>
          </w:p>
        </w:tc>
        <w:tc>
          <w:tcPr>
            <w:tcW w:w="2088" w:type="dxa"/>
          </w:tcPr>
          <w:p w14:paraId="0AFB2CB5" w14:textId="77777777" w:rsidR="005C142D" w:rsidRPr="00FA3F9C" w:rsidRDefault="005C142D" w:rsidP="006F623F">
            <w:pPr>
              <w:rPr>
                <w:rFonts w:ascii="Arial" w:hAnsi="Arial" w:cs="Arial"/>
                <w:sz w:val="24"/>
                <w:szCs w:val="24"/>
              </w:rPr>
            </w:pPr>
            <w:r w:rsidRPr="00FA3F9C">
              <w:rPr>
                <w:rFonts w:ascii="Arial" w:hAnsi="Arial" w:cs="Arial"/>
                <w:sz w:val="24"/>
                <w:szCs w:val="24"/>
              </w:rPr>
              <w:t>S Keisner</w:t>
            </w:r>
          </w:p>
        </w:tc>
      </w:tr>
      <w:tr w:rsidR="005C142D" w:rsidRPr="00FA3F9C" w14:paraId="69D037DD" w14:textId="77777777" w:rsidTr="00A25610">
        <w:tc>
          <w:tcPr>
            <w:tcW w:w="1055" w:type="dxa"/>
          </w:tcPr>
          <w:p w14:paraId="479BD90F" w14:textId="77777777" w:rsidR="005C142D" w:rsidRPr="00FA3F9C" w:rsidRDefault="005C142D" w:rsidP="006F623F">
            <w:pPr>
              <w:rPr>
                <w:rFonts w:ascii="Arial" w:hAnsi="Arial" w:cs="Arial"/>
                <w:sz w:val="24"/>
                <w:szCs w:val="24"/>
              </w:rPr>
            </w:pPr>
            <w:r w:rsidRPr="00FA3F9C">
              <w:rPr>
                <w:rFonts w:ascii="Arial" w:hAnsi="Arial" w:cs="Arial"/>
                <w:sz w:val="24"/>
                <w:szCs w:val="24"/>
              </w:rPr>
              <w:t>12/15/20</w:t>
            </w:r>
          </w:p>
        </w:tc>
        <w:tc>
          <w:tcPr>
            <w:tcW w:w="7873" w:type="dxa"/>
          </w:tcPr>
          <w:p w14:paraId="40E2E991" w14:textId="77777777" w:rsidR="005C142D" w:rsidRPr="00FA3F9C" w:rsidRDefault="005C142D" w:rsidP="006F623F">
            <w:pPr>
              <w:rPr>
                <w:rFonts w:ascii="Arial" w:hAnsi="Arial" w:cs="Arial"/>
                <w:sz w:val="24"/>
                <w:szCs w:val="24"/>
              </w:rPr>
            </w:pPr>
            <w:r w:rsidRPr="00FA3F9C">
              <w:rPr>
                <w:rFonts w:ascii="Arial" w:hAnsi="Arial" w:cs="Arial"/>
                <w:sz w:val="24"/>
                <w:szCs w:val="24"/>
              </w:rPr>
              <w:t>Criteria reviewed. No change.</w:t>
            </w:r>
          </w:p>
        </w:tc>
        <w:tc>
          <w:tcPr>
            <w:tcW w:w="2088" w:type="dxa"/>
          </w:tcPr>
          <w:p w14:paraId="5C2746B3" w14:textId="77777777" w:rsidR="005C142D" w:rsidRPr="00FA3F9C" w:rsidRDefault="005C142D" w:rsidP="006F623F">
            <w:pPr>
              <w:rPr>
                <w:rFonts w:ascii="Arial" w:hAnsi="Arial" w:cs="Arial"/>
                <w:sz w:val="24"/>
                <w:szCs w:val="24"/>
              </w:rPr>
            </w:pPr>
            <w:proofErr w:type="spellStart"/>
            <w:r w:rsidRPr="00FA3F9C">
              <w:rPr>
                <w:rFonts w:ascii="Arial" w:hAnsi="Arial" w:cs="Arial"/>
                <w:sz w:val="24"/>
                <w:szCs w:val="24"/>
              </w:rPr>
              <w:t>Sk</w:t>
            </w:r>
            <w:proofErr w:type="spellEnd"/>
          </w:p>
        </w:tc>
      </w:tr>
      <w:tr w:rsidR="005C142D" w:rsidRPr="00FA3F9C" w14:paraId="5DEF23BD" w14:textId="77777777" w:rsidTr="00A25610">
        <w:tc>
          <w:tcPr>
            <w:tcW w:w="1055" w:type="dxa"/>
          </w:tcPr>
          <w:p w14:paraId="73FBF645" w14:textId="77777777" w:rsidR="005C142D" w:rsidRPr="00FA3F9C" w:rsidRDefault="005C142D" w:rsidP="006F623F">
            <w:pPr>
              <w:rPr>
                <w:rFonts w:ascii="Arial" w:hAnsi="Arial" w:cs="Arial"/>
                <w:sz w:val="24"/>
                <w:szCs w:val="24"/>
              </w:rPr>
            </w:pPr>
            <w:r w:rsidRPr="00FA3F9C">
              <w:rPr>
                <w:rFonts w:ascii="Arial" w:hAnsi="Arial" w:cs="Arial"/>
                <w:sz w:val="24"/>
                <w:szCs w:val="24"/>
              </w:rPr>
              <w:t>4/1/21</w:t>
            </w:r>
          </w:p>
        </w:tc>
        <w:tc>
          <w:tcPr>
            <w:tcW w:w="7873" w:type="dxa"/>
          </w:tcPr>
          <w:p w14:paraId="24239EDE" w14:textId="77777777" w:rsidR="005C142D" w:rsidRPr="00FA3F9C" w:rsidRDefault="005C142D" w:rsidP="006F623F">
            <w:pPr>
              <w:rPr>
                <w:rFonts w:ascii="Arial" w:hAnsi="Arial" w:cs="Arial"/>
                <w:sz w:val="24"/>
                <w:szCs w:val="24"/>
              </w:rPr>
            </w:pPr>
            <w:r w:rsidRPr="00FA3F9C">
              <w:rPr>
                <w:rFonts w:ascii="Arial" w:hAnsi="Arial" w:cs="Arial"/>
                <w:sz w:val="24"/>
                <w:szCs w:val="24"/>
              </w:rPr>
              <w:t>Clarified requirements for accurate diagnosis.  Applied EBRx criteria to UAS Plan.</w:t>
            </w:r>
          </w:p>
        </w:tc>
        <w:tc>
          <w:tcPr>
            <w:tcW w:w="2088" w:type="dxa"/>
          </w:tcPr>
          <w:p w14:paraId="05927069" w14:textId="77777777" w:rsidR="005C142D" w:rsidRPr="00FA3F9C" w:rsidRDefault="005C142D" w:rsidP="006F623F">
            <w:pPr>
              <w:rPr>
                <w:rFonts w:ascii="Arial" w:hAnsi="Arial" w:cs="Arial"/>
                <w:sz w:val="24"/>
                <w:szCs w:val="24"/>
              </w:rPr>
            </w:pPr>
            <w:r w:rsidRPr="00FA3F9C">
              <w:rPr>
                <w:rFonts w:ascii="Arial" w:hAnsi="Arial" w:cs="Arial"/>
                <w:sz w:val="24"/>
                <w:szCs w:val="24"/>
              </w:rPr>
              <w:t>JJ</w:t>
            </w:r>
          </w:p>
        </w:tc>
      </w:tr>
    </w:tbl>
    <w:p w14:paraId="3A3B0152" w14:textId="77777777" w:rsidR="005C142D" w:rsidRPr="00FA3F9C" w:rsidRDefault="005C142D" w:rsidP="006F623F">
      <w:pPr>
        <w:spacing w:after="0"/>
        <w:rPr>
          <w:rFonts w:ascii="Arial" w:hAnsi="Arial" w:cs="Arial"/>
          <w:sz w:val="24"/>
          <w:szCs w:val="24"/>
        </w:rPr>
      </w:pPr>
    </w:p>
    <w:p w14:paraId="421EE772" w14:textId="77777777" w:rsidR="005D3DE3" w:rsidRDefault="005C142D" w:rsidP="005D3DE3">
      <w:pPr>
        <w:pStyle w:val="Heading2"/>
      </w:pPr>
      <w:bookmarkStart w:id="330" w:name="_Toc106369953"/>
      <w:r w:rsidRPr="00FA3F9C">
        <w:lastRenderedPageBreak/>
        <w:t>Ustekinumab (Stelara)</w:t>
      </w:r>
      <w:bookmarkEnd w:id="330"/>
      <w:r w:rsidRPr="00FA3F9C">
        <w:t xml:space="preserve"> </w:t>
      </w:r>
    </w:p>
    <w:p w14:paraId="130A9CD3" w14:textId="0CD0D242" w:rsidR="005C142D" w:rsidRPr="00FA3F9C" w:rsidRDefault="005C142D" w:rsidP="000D1C08">
      <w:pPr>
        <w:spacing w:after="0"/>
        <w:jc w:val="center"/>
        <w:rPr>
          <w:rFonts w:ascii="Arial" w:hAnsi="Arial" w:cs="Arial"/>
          <w:b/>
          <w:sz w:val="24"/>
          <w:szCs w:val="24"/>
        </w:rPr>
      </w:pPr>
      <w:r w:rsidRPr="00FA3F9C">
        <w:rPr>
          <w:rFonts w:ascii="Arial" w:hAnsi="Arial" w:cs="Arial"/>
          <w:b/>
          <w:sz w:val="24"/>
          <w:szCs w:val="24"/>
        </w:rPr>
        <w:t>PA Criteria</w:t>
      </w:r>
    </w:p>
    <w:p w14:paraId="192F13B6" w14:textId="77777777" w:rsidR="005C142D" w:rsidRPr="00FA3F9C" w:rsidRDefault="005C142D" w:rsidP="000D1C08">
      <w:pPr>
        <w:spacing w:after="0"/>
        <w:jc w:val="center"/>
        <w:rPr>
          <w:rFonts w:ascii="Arial" w:hAnsi="Arial" w:cs="Arial"/>
          <w:sz w:val="24"/>
          <w:szCs w:val="24"/>
        </w:rPr>
      </w:pPr>
      <w:r w:rsidRPr="00FA3F9C">
        <w:rPr>
          <w:rFonts w:ascii="Arial" w:hAnsi="Arial" w:cs="Arial"/>
          <w:sz w:val="24"/>
          <w:szCs w:val="24"/>
        </w:rPr>
        <w:t>45 mg/0.5mL (0.5mL), 90mg/mL (1mL)</w:t>
      </w:r>
    </w:p>
    <w:p w14:paraId="3E13E46A" w14:textId="77777777" w:rsidR="005C142D" w:rsidRPr="00FA3F9C" w:rsidRDefault="005C142D" w:rsidP="000D1C08">
      <w:pPr>
        <w:spacing w:after="0"/>
        <w:jc w:val="center"/>
        <w:rPr>
          <w:rFonts w:ascii="Arial" w:hAnsi="Arial" w:cs="Arial"/>
          <w:sz w:val="24"/>
          <w:szCs w:val="24"/>
        </w:rPr>
      </w:pPr>
    </w:p>
    <w:p w14:paraId="1C2E924C" w14:textId="77777777" w:rsidR="005C142D" w:rsidRPr="00FA3F9C" w:rsidRDefault="005C142D" w:rsidP="000D1C08">
      <w:pPr>
        <w:spacing w:after="0"/>
        <w:rPr>
          <w:rFonts w:ascii="Arial" w:hAnsi="Arial" w:cs="Arial"/>
          <w:sz w:val="24"/>
          <w:szCs w:val="24"/>
        </w:rPr>
      </w:pPr>
      <w:r w:rsidRPr="00FA3F9C">
        <w:rPr>
          <w:rFonts w:ascii="Arial" w:hAnsi="Arial" w:cs="Arial"/>
          <w:sz w:val="24"/>
          <w:szCs w:val="24"/>
        </w:rPr>
        <w:t>FDA approved indications:</w:t>
      </w:r>
    </w:p>
    <w:p w14:paraId="41AF34A4" w14:textId="77777777" w:rsidR="005C142D" w:rsidRPr="00FA3F9C" w:rsidRDefault="005C142D" w:rsidP="00FC1E85">
      <w:pPr>
        <w:pStyle w:val="ListParagraph"/>
        <w:numPr>
          <w:ilvl w:val="0"/>
          <w:numId w:val="498"/>
        </w:numPr>
        <w:spacing w:after="0"/>
        <w:rPr>
          <w:rFonts w:ascii="Arial" w:hAnsi="Arial" w:cs="Arial"/>
          <w:sz w:val="24"/>
          <w:szCs w:val="24"/>
        </w:rPr>
      </w:pPr>
      <w:r w:rsidRPr="00FA3F9C">
        <w:rPr>
          <w:rFonts w:ascii="Arial" w:hAnsi="Arial" w:cs="Arial"/>
          <w:sz w:val="24"/>
          <w:szCs w:val="24"/>
        </w:rPr>
        <w:t xml:space="preserve">Treatment of adults with moderate-to-severe </w:t>
      </w:r>
      <w:r w:rsidRPr="00FA3F9C">
        <w:rPr>
          <w:rFonts w:ascii="Arial" w:hAnsi="Arial" w:cs="Arial"/>
          <w:b/>
          <w:sz w:val="24"/>
          <w:szCs w:val="24"/>
          <w:u w:val="single"/>
        </w:rPr>
        <w:t>plaque psoriasis</w:t>
      </w:r>
      <w:r w:rsidRPr="00FA3F9C">
        <w:rPr>
          <w:rFonts w:ascii="Arial" w:hAnsi="Arial" w:cs="Arial"/>
          <w:sz w:val="24"/>
          <w:szCs w:val="24"/>
        </w:rPr>
        <w:t xml:space="preserve"> who are candidates for phototherapy or systemic therapy.</w:t>
      </w:r>
    </w:p>
    <w:p w14:paraId="798358E8" w14:textId="77777777" w:rsidR="005C142D" w:rsidRPr="00FA3F9C" w:rsidRDefault="005C142D" w:rsidP="00FC1E85">
      <w:pPr>
        <w:pStyle w:val="ListParagraph"/>
        <w:numPr>
          <w:ilvl w:val="0"/>
          <w:numId w:val="498"/>
        </w:numPr>
        <w:spacing w:after="0"/>
        <w:rPr>
          <w:rFonts w:ascii="Arial" w:hAnsi="Arial" w:cs="Arial"/>
          <w:sz w:val="24"/>
          <w:szCs w:val="24"/>
        </w:rPr>
      </w:pPr>
      <w:r w:rsidRPr="00FA3F9C">
        <w:rPr>
          <w:rFonts w:ascii="Arial" w:hAnsi="Arial" w:cs="Arial"/>
          <w:sz w:val="24"/>
          <w:szCs w:val="24"/>
        </w:rPr>
        <w:t xml:space="preserve">Treatment of adults with active </w:t>
      </w:r>
      <w:r w:rsidRPr="00FA3F9C">
        <w:rPr>
          <w:rFonts w:ascii="Arial" w:hAnsi="Arial" w:cs="Arial"/>
          <w:b/>
          <w:sz w:val="24"/>
          <w:szCs w:val="24"/>
        </w:rPr>
        <w:t>psoriatic arthritis</w:t>
      </w:r>
      <w:r w:rsidRPr="00FA3F9C">
        <w:rPr>
          <w:rFonts w:ascii="Arial" w:hAnsi="Arial" w:cs="Arial"/>
          <w:sz w:val="24"/>
          <w:szCs w:val="24"/>
        </w:rPr>
        <w:t xml:space="preserve"> (as monotherapy or in combination with methotrexate).</w:t>
      </w:r>
    </w:p>
    <w:p w14:paraId="3EF6BA9C" w14:textId="77777777" w:rsidR="005C142D" w:rsidRPr="00FA3F9C" w:rsidRDefault="005C142D" w:rsidP="00FC1E85">
      <w:pPr>
        <w:pStyle w:val="ListParagraph"/>
        <w:numPr>
          <w:ilvl w:val="0"/>
          <w:numId w:val="498"/>
        </w:numPr>
        <w:spacing w:after="0"/>
        <w:rPr>
          <w:rFonts w:ascii="Arial" w:hAnsi="Arial" w:cs="Arial"/>
          <w:sz w:val="24"/>
          <w:szCs w:val="24"/>
        </w:rPr>
      </w:pPr>
      <w:r w:rsidRPr="00FA3F9C">
        <w:rPr>
          <w:rFonts w:ascii="Arial" w:hAnsi="Arial" w:cs="Arial"/>
          <w:sz w:val="24"/>
          <w:szCs w:val="24"/>
        </w:rPr>
        <w:t>Treatment of mod-</w:t>
      </w:r>
      <w:proofErr w:type="spellStart"/>
      <w:r w:rsidRPr="00FA3F9C">
        <w:rPr>
          <w:rFonts w:ascii="Arial" w:hAnsi="Arial" w:cs="Arial"/>
          <w:sz w:val="24"/>
          <w:szCs w:val="24"/>
        </w:rPr>
        <w:t>sev</w:t>
      </w:r>
      <w:proofErr w:type="spellEnd"/>
      <w:r w:rsidRPr="00FA3F9C">
        <w:rPr>
          <w:rFonts w:ascii="Arial" w:hAnsi="Arial" w:cs="Arial"/>
          <w:sz w:val="24"/>
          <w:szCs w:val="24"/>
        </w:rPr>
        <w:t xml:space="preserve"> active Crohn’s disease in adults who failed or were intolerant to immunomodulatory or corticosteroids, but never failed TNF blocker therapy or who have failed or were intolerant to treatment w/ one or more TNF blockers.</w:t>
      </w:r>
    </w:p>
    <w:p w14:paraId="1A61D61B" w14:textId="77777777" w:rsidR="005C142D" w:rsidRPr="00FA3F9C" w:rsidRDefault="005C142D" w:rsidP="00E901A6">
      <w:pPr>
        <w:pStyle w:val="ListParagraph"/>
        <w:spacing w:after="0"/>
        <w:rPr>
          <w:rFonts w:ascii="Arial" w:hAnsi="Arial" w:cs="Arial"/>
          <w:sz w:val="24"/>
          <w:szCs w:val="24"/>
        </w:rPr>
      </w:pPr>
    </w:p>
    <w:tbl>
      <w:tblPr>
        <w:tblStyle w:val="TableGrid"/>
        <w:tblW w:w="11088" w:type="dxa"/>
        <w:tblLook w:val="04A0" w:firstRow="1" w:lastRow="0" w:firstColumn="1" w:lastColumn="0" w:noHBand="0" w:noVBand="1"/>
      </w:tblPr>
      <w:tblGrid>
        <w:gridCol w:w="9018"/>
        <w:gridCol w:w="2070"/>
      </w:tblGrid>
      <w:tr w:rsidR="005C142D" w:rsidRPr="00FA3F9C" w14:paraId="088CC8BD" w14:textId="77777777" w:rsidTr="00D727D7">
        <w:tc>
          <w:tcPr>
            <w:tcW w:w="11088" w:type="dxa"/>
            <w:gridSpan w:val="2"/>
          </w:tcPr>
          <w:p w14:paraId="365F7EB5" w14:textId="77777777" w:rsidR="005C142D" w:rsidRPr="00FA3F9C" w:rsidRDefault="005C142D" w:rsidP="006A78B8">
            <w:pPr>
              <w:rPr>
                <w:rFonts w:ascii="Arial" w:hAnsi="Arial" w:cs="Arial"/>
                <w:b/>
                <w:sz w:val="24"/>
                <w:szCs w:val="24"/>
              </w:rPr>
            </w:pPr>
            <w:r w:rsidRPr="00FA3F9C">
              <w:rPr>
                <w:rFonts w:ascii="Arial" w:hAnsi="Arial" w:cs="Arial"/>
                <w:b/>
                <w:sz w:val="24"/>
                <w:szCs w:val="24"/>
              </w:rPr>
              <w:t>Plaque psoriasis</w:t>
            </w:r>
          </w:p>
        </w:tc>
      </w:tr>
      <w:tr w:rsidR="005C142D" w:rsidRPr="00FA3F9C" w14:paraId="6DC0A9E0" w14:textId="77777777" w:rsidTr="00D727D7">
        <w:tc>
          <w:tcPr>
            <w:tcW w:w="11088" w:type="dxa"/>
            <w:gridSpan w:val="2"/>
          </w:tcPr>
          <w:p w14:paraId="1BFDAC1E" w14:textId="77777777" w:rsidR="005C142D" w:rsidRPr="00FA3F9C" w:rsidRDefault="005C142D" w:rsidP="006A78B8">
            <w:pPr>
              <w:rPr>
                <w:rFonts w:ascii="Arial" w:hAnsi="Arial" w:cs="Arial"/>
                <w:b/>
                <w:sz w:val="24"/>
                <w:szCs w:val="24"/>
              </w:rPr>
            </w:pPr>
            <w:r w:rsidRPr="00FA3F9C">
              <w:rPr>
                <w:rFonts w:ascii="Arial" w:hAnsi="Arial" w:cs="Arial"/>
                <w:b/>
                <w:sz w:val="24"/>
                <w:szCs w:val="24"/>
              </w:rPr>
              <w:t>Initial request</w:t>
            </w:r>
          </w:p>
        </w:tc>
      </w:tr>
      <w:tr w:rsidR="005C142D" w:rsidRPr="00FA3F9C" w14:paraId="0BA5A4B8" w14:textId="77777777" w:rsidTr="00D727D7">
        <w:tc>
          <w:tcPr>
            <w:tcW w:w="9018" w:type="dxa"/>
          </w:tcPr>
          <w:p w14:paraId="1341F24F" w14:textId="77777777" w:rsidR="005C142D" w:rsidRPr="00FA3F9C" w:rsidRDefault="005C142D" w:rsidP="008038E7">
            <w:pPr>
              <w:rPr>
                <w:rFonts w:ascii="Arial" w:hAnsi="Arial" w:cs="Arial"/>
                <w:sz w:val="24"/>
                <w:szCs w:val="24"/>
              </w:rPr>
            </w:pPr>
            <w:r w:rsidRPr="00FA3F9C">
              <w:rPr>
                <w:rFonts w:ascii="Arial" w:hAnsi="Arial" w:cs="Arial"/>
                <w:sz w:val="24"/>
                <w:szCs w:val="24"/>
              </w:rPr>
              <w:t>1. Does the patient have a diagnosis of moderate-to-severe plaque psoriasis, as indicated by a PASI score of at ≥12 (scale is 0-72) and involvement of at least 10% BSA?</w:t>
            </w:r>
          </w:p>
        </w:tc>
        <w:tc>
          <w:tcPr>
            <w:tcW w:w="2070" w:type="dxa"/>
          </w:tcPr>
          <w:p w14:paraId="63F984F5" w14:textId="77777777" w:rsidR="005C142D" w:rsidRPr="00FA3F9C" w:rsidRDefault="005C142D" w:rsidP="006A78B8">
            <w:pPr>
              <w:rPr>
                <w:rFonts w:ascii="Arial" w:hAnsi="Arial" w:cs="Arial"/>
                <w:sz w:val="24"/>
                <w:szCs w:val="24"/>
              </w:rPr>
            </w:pPr>
            <w:r w:rsidRPr="00FA3F9C">
              <w:rPr>
                <w:rFonts w:ascii="Arial" w:hAnsi="Arial" w:cs="Arial"/>
                <w:sz w:val="24"/>
                <w:szCs w:val="24"/>
              </w:rPr>
              <w:sym w:font="Symbol" w:char="F0F0"/>
            </w:r>
            <w:r w:rsidRPr="00FA3F9C">
              <w:rPr>
                <w:rFonts w:ascii="Arial" w:hAnsi="Arial" w:cs="Arial"/>
                <w:sz w:val="24"/>
                <w:szCs w:val="24"/>
              </w:rPr>
              <w:t xml:space="preserve"> Yes</w:t>
            </w:r>
            <w:r w:rsidRPr="00FA3F9C">
              <w:rPr>
                <w:rFonts w:ascii="Arial" w:hAnsi="Arial" w:cs="Arial"/>
                <w:sz w:val="24"/>
                <w:szCs w:val="24"/>
              </w:rPr>
              <w:tab/>
            </w:r>
            <w:r w:rsidRPr="00FA3F9C">
              <w:rPr>
                <w:rFonts w:ascii="Arial" w:hAnsi="Arial" w:cs="Arial"/>
                <w:sz w:val="24"/>
                <w:szCs w:val="24"/>
              </w:rPr>
              <w:sym w:font="Symbol" w:char="F0F0"/>
            </w:r>
            <w:r w:rsidRPr="00FA3F9C">
              <w:rPr>
                <w:rFonts w:ascii="Arial" w:hAnsi="Arial" w:cs="Arial"/>
                <w:sz w:val="24"/>
                <w:szCs w:val="24"/>
              </w:rPr>
              <w:t xml:space="preserve"> No</w:t>
            </w:r>
          </w:p>
          <w:p w14:paraId="766E970C" w14:textId="77777777" w:rsidR="005C142D" w:rsidRPr="00FA3F9C" w:rsidRDefault="005C142D" w:rsidP="000D1C08">
            <w:pPr>
              <w:rPr>
                <w:rFonts w:ascii="Arial" w:hAnsi="Arial" w:cs="Arial"/>
                <w:sz w:val="24"/>
                <w:szCs w:val="24"/>
              </w:rPr>
            </w:pPr>
            <w:r w:rsidRPr="00FA3F9C">
              <w:rPr>
                <w:rFonts w:ascii="Arial" w:hAnsi="Arial" w:cs="Arial"/>
                <w:sz w:val="24"/>
                <w:szCs w:val="24"/>
              </w:rPr>
              <w:t>If yes, go on to next question. If no, stop and deny coverage.</w:t>
            </w:r>
          </w:p>
        </w:tc>
      </w:tr>
      <w:tr w:rsidR="005C142D" w:rsidRPr="00FA3F9C" w14:paraId="38472259" w14:textId="77777777" w:rsidTr="00D727D7">
        <w:tc>
          <w:tcPr>
            <w:tcW w:w="9018" w:type="dxa"/>
          </w:tcPr>
          <w:p w14:paraId="6CACD5F9" w14:textId="77777777" w:rsidR="005C142D" w:rsidRPr="00FA3F9C" w:rsidRDefault="005C142D" w:rsidP="000D1C08">
            <w:pPr>
              <w:rPr>
                <w:rFonts w:ascii="Arial" w:hAnsi="Arial" w:cs="Arial"/>
                <w:sz w:val="24"/>
                <w:szCs w:val="24"/>
              </w:rPr>
            </w:pPr>
            <w:r w:rsidRPr="00FA3F9C">
              <w:rPr>
                <w:rFonts w:ascii="Arial" w:hAnsi="Arial" w:cs="Arial"/>
                <w:sz w:val="24"/>
                <w:szCs w:val="24"/>
              </w:rPr>
              <w:t>2. Has the patient had an inadequate response despite 3 months of methotrexate 25mg per week?</w:t>
            </w:r>
          </w:p>
          <w:p w14:paraId="3D9994F6" w14:textId="77777777" w:rsidR="005C142D" w:rsidRPr="00FA3F9C" w:rsidRDefault="005C142D" w:rsidP="000D1C08">
            <w:pPr>
              <w:rPr>
                <w:rFonts w:ascii="Arial" w:hAnsi="Arial" w:cs="Arial"/>
                <w:sz w:val="24"/>
                <w:szCs w:val="24"/>
              </w:rPr>
            </w:pPr>
            <w:r w:rsidRPr="00FA3F9C">
              <w:rPr>
                <w:rFonts w:ascii="Arial" w:hAnsi="Arial" w:cs="Arial"/>
                <w:b/>
                <w:sz w:val="24"/>
                <w:szCs w:val="24"/>
                <w:u w:val="single"/>
              </w:rPr>
              <w:t>OR</w:t>
            </w:r>
            <w:r w:rsidRPr="00FA3F9C">
              <w:rPr>
                <w:rFonts w:ascii="Arial" w:hAnsi="Arial" w:cs="Arial"/>
                <w:sz w:val="24"/>
                <w:szCs w:val="24"/>
              </w:rPr>
              <w:t xml:space="preserve"> Has the patient experience intolerance to methotrexate?</w:t>
            </w:r>
          </w:p>
          <w:p w14:paraId="47F48399" w14:textId="77777777" w:rsidR="005C142D" w:rsidRPr="00FA3F9C" w:rsidRDefault="005C142D" w:rsidP="000D1C08">
            <w:pPr>
              <w:rPr>
                <w:rFonts w:ascii="Arial" w:hAnsi="Arial" w:cs="Arial"/>
                <w:sz w:val="24"/>
                <w:szCs w:val="24"/>
              </w:rPr>
            </w:pPr>
            <w:r w:rsidRPr="00FA3F9C">
              <w:rPr>
                <w:rFonts w:ascii="Arial" w:hAnsi="Arial" w:cs="Arial"/>
                <w:b/>
                <w:sz w:val="24"/>
                <w:szCs w:val="24"/>
                <w:u w:val="single"/>
              </w:rPr>
              <w:t>OR</w:t>
            </w:r>
            <w:r w:rsidRPr="00FA3F9C">
              <w:rPr>
                <w:rFonts w:ascii="Arial" w:hAnsi="Arial" w:cs="Arial"/>
                <w:sz w:val="24"/>
                <w:szCs w:val="24"/>
              </w:rPr>
              <w:t xml:space="preserve"> Does the patient have a contraindication to methotrexate?</w:t>
            </w:r>
          </w:p>
        </w:tc>
        <w:tc>
          <w:tcPr>
            <w:tcW w:w="2070" w:type="dxa"/>
          </w:tcPr>
          <w:p w14:paraId="0A696372" w14:textId="77777777" w:rsidR="005C142D" w:rsidRPr="00FA3F9C" w:rsidRDefault="005C142D" w:rsidP="006A78B8">
            <w:pPr>
              <w:rPr>
                <w:rFonts w:ascii="Arial" w:hAnsi="Arial" w:cs="Arial"/>
                <w:sz w:val="24"/>
                <w:szCs w:val="24"/>
              </w:rPr>
            </w:pPr>
            <w:r w:rsidRPr="00FA3F9C">
              <w:rPr>
                <w:rFonts w:ascii="Arial" w:hAnsi="Arial" w:cs="Arial"/>
                <w:sz w:val="24"/>
                <w:szCs w:val="24"/>
              </w:rPr>
              <w:sym w:font="Symbol" w:char="F0F0"/>
            </w:r>
            <w:r w:rsidRPr="00FA3F9C">
              <w:rPr>
                <w:rFonts w:ascii="Arial" w:hAnsi="Arial" w:cs="Arial"/>
                <w:sz w:val="24"/>
                <w:szCs w:val="24"/>
              </w:rPr>
              <w:t xml:space="preserve"> Yes</w:t>
            </w:r>
            <w:r w:rsidRPr="00FA3F9C">
              <w:rPr>
                <w:rFonts w:ascii="Arial" w:hAnsi="Arial" w:cs="Arial"/>
                <w:sz w:val="24"/>
                <w:szCs w:val="24"/>
              </w:rPr>
              <w:tab/>
            </w:r>
            <w:r w:rsidRPr="00FA3F9C">
              <w:rPr>
                <w:rFonts w:ascii="Arial" w:hAnsi="Arial" w:cs="Arial"/>
                <w:sz w:val="24"/>
                <w:szCs w:val="24"/>
              </w:rPr>
              <w:sym w:font="Symbol" w:char="F0F0"/>
            </w:r>
            <w:r w:rsidRPr="00FA3F9C">
              <w:rPr>
                <w:rFonts w:ascii="Arial" w:hAnsi="Arial" w:cs="Arial"/>
                <w:sz w:val="24"/>
                <w:szCs w:val="24"/>
              </w:rPr>
              <w:t xml:space="preserve"> No</w:t>
            </w:r>
          </w:p>
          <w:p w14:paraId="0818BE3F" w14:textId="77777777" w:rsidR="005C142D" w:rsidRPr="00FA3F9C" w:rsidRDefault="005C142D" w:rsidP="006A78B8">
            <w:pPr>
              <w:rPr>
                <w:rFonts w:ascii="Arial" w:hAnsi="Arial" w:cs="Arial"/>
                <w:sz w:val="24"/>
                <w:szCs w:val="24"/>
              </w:rPr>
            </w:pPr>
            <w:r w:rsidRPr="00FA3F9C">
              <w:rPr>
                <w:rFonts w:ascii="Arial" w:hAnsi="Arial" w:cs="Arial"/>
                <w:sz w:val="24"/>
                <w:szCs w:val="24"/>
              </w:rPr>
              <w:t>If yes, go on to next question. If no, stop and deny coverage.</w:t>
            </w:r>
          </w:p>
        </w:tc>
      </w:tr>
      <w:tr w:rsidR="005C142D" w:rsidRPr="00FA3F9C" w14:paraId="5FD2821D" w14:textId="77777777" w:rsidTr="00D727D7">
        <w:tc>
          <w:tcPr>
            <w:tcW w:w="9018" w:type="dxa"/>
          </w:tcPr>
          <w:p w14:paraId="1BFD714C" w14:textId="77777777" w:rsidR="005C142D" w:rsidRPr="00FA3F9C" w:rsidRDefault="005C142D" w:rsidP="0039177A">
            <w:pPr>
              <w:rPr>
                <w:rFonts w:ascii="Arial" w:hAnsi="Arial" w:cs="Arial"/>
                <w:sz w:val="24"/>
                <w:szCs w:val="24"/>
              </w:rPr>
            </w:pPr>
            <w:r w:rsidRPr="00FA3F9C">
              <w:rPr>
                <w:rFonts w:ascii="Arial" w:hAnsi="Arial" w:cs="Arial"/>
                <w:sz w:val="24"/>
                <w:szCs w:val="24"/>
              </w:rPr>
              <w:t>3. Has the patient had an inadequate response despite at least 3 months of treatment with at least 1 other conventional systemic agents for psoriasis (cyclosporine, or psoralen plus ultraviolet A)?</w:t>
            </w:r>
          </w:p>
          <w:p w14:paraId="64F03697" w14:textId="77777777" w:rsidR="005C142D" w:rsidRPr="00FA3F9C" w:rsidRDefault="005C142D" w:rsidP="0039177A">
            <w:pPr>
              <w:rPr>
                <w:rFonts w:ascii="Arial" w:hAnsi="Arial" w:cs="Arial"/>
                <w:sz w:val="24"/>
                <w:szCs w:val="24"/>
              </w:rPr>
            </w:pPr>
            <w:r w:rsidRPr="00FA3F9C">
              <w:rPr>
                <w:rFonts w:ascii="Arial" w:hAnsi="Arial" w:cs="Arial"/>
                <w:b/>
                <w:sz w:val="24"/>
                <w:szCs w:val="24"/>
                <w:u w:val="single"/>
              </w:rPr>
              <w:t>OR</w:t>
            </w:r>
            <w:r w:rsidRPr="00FA3F9C">
              <w:rPr>
                <w:rFonts w:ascii="Arial" w:hAnsi="Arial" w:cs="Arial"/>
                <w:sz w:val="24"/>
                <w:szCs w:val="24"/>
              </w:rPr>
              <w:t xml:space="preserve"> Is the patient intolerant to or have a contraindication to at least 1 of those treatments?</w:t>
            </w:r>
          </w:p>
        </w:tc>
        <w:tc>
          <w:tcPr>
            <w:tcW w:w="2070" w:type="dxa"/>
          </w:tcPr>
          <w:p w14:paraId="6E6B31B8" w14:textId="77777777" w:rsidR="005C142D" w:rsidRPr="00FA3F9C" w:rsidRDefault="005C142D" w:rsidP="0039177A">
            <w:pPr>
              <w:rPr>
                <w:rFonts w:ascii="Arial" w:hAnsi="Arial" w:cs="Arial"/>
                <w:sz w:val="24"/>
                <w:szCs w:val="24"/>
              </w:rPr>
            </w:pPr>
            <w:r w:rsidRPr="00FA3F9C">
              <w:rPr>
                <w:rFonts w:ascii="Arial" w:hAnsi="Arial" w:cs="Arial"/>
                <w:sz w:val="24"/>
                <w:szCs w:val="24"/>
              </w:rPr>
              <w:sym w:font="Symbol" w:char="F0F0"/>
            </w:r>
            <w:r w:rsidRPr="00FA3F9C">
              <w:rPr>
                <w:rFonts w:ascii="Arial" w:hAnsi="Arial" w:cs="Arial"/>
                <w:sz w:val="24"/>
                <w:szCs w:val="24"/>
              </w:rPr>
              <w:t xml:space="preserve"> Yes</w:t>
            </w:r>
            <w:r w:rsidRPr="00FA3F9C">
              <w:rPr>
                <w:rFonts w:ascii="Arial" w:hAnsi="Arial" w:cs="Arial"/>
                <w:sz w:val="24"/>
                <w:szCs w:val="24"/>
              </w:rPr>
              <w:tab/>
            </w:r>
            <w:r w:rsidRPr="00FA3F9C">
              <w:rPr>
                <w:rFonts w:ascii="Arial" w:hAnsi="Arial" w:cs="Arial"/>
                <w:sz w:val="24"/>
                <w:szCs w:val="24"/>
              </w:rPr>
              <w:sym w:font="Symbol" w:char="F0F0"/>
            </w:r>
            <w:r w:rsidRPr="00FA3F9C">
              <w:rPr>
                <w:rFonts w:ascii="Arial" w:hAnsi="Arial" w:cs="Arial"/>
                <w:sz w:val="24"/>
                <w:szCs w:val="24"/>
              </w:rPr>
              <w:t xml:space="preserve"> No</w:t>
            </w:r>
          </w:p>
          <w:p w14:paraId="215F4B25" w14:textId="77777777" w:rsidR="005C142D" w:rsidRPr="00FA3F9C" w:rsidRDefault="005C142D" w:rsidP="0039177A">
            <w:pPr>
              <w:rPr>
                <w:rFonts w:ascii="Arial" w:hAnsi="Arial" w:cs="Arial"/>
                <w:sz w:val="24"/>
                <w:szCs w:val="24"/>
              </w:rPr>
            </w:pPr>
          </w:p>
        </w:tc>
      </w:tr>
      <w:tr w:rsidR="005C142D" w:rsidRPr="00FA3F9C" w14:paraId="2D0BD48C" w14:textId="77777777" w:rsidTr="00D727D7">
        <w:tc>
          <w:tcPr>
            <w:tcW w:w="9018" w:type="dxa"/>
          </w:tcPr>
          <w:p w14:paraId="29D66ACD" w14:textId="77777777" w:rsidR="005C142D" w:rsidRPr="00FA3F9C" w:rsidRDefault="005C142D" w:rsidP="0039177A">
            <w:pPr>
              <w:rPr>
                <w:rFonts w:ascii="Arial" w:hAnsi="Arial" w:cs="Arial"/>
                <w:sz w:val="24"/>
                <w:szCs w:val="24"/>
              </w:rPr>
            </w:pPr>
            <w:r w:rsidRPr="00FA3F9C">
              <w:rPr>
                <w:rFonts w:ascii="Arial" w:hAnsi="Arial" w:cs="Arial"/>
                <w:sz w:val="24"/>
                <w:szCs w:val="24"/>
              </w:rPr>
              <w:t xml:space="preserve">4.  The patient must have tried and failed Humira (for a minimum of 12 weeks) AND must have tried and failed Enbrel (for a minimum of 12 weeks) prior seeking </w:t>
            </w:r>
            <w:proofErr w:type="spellStart"/>
            <w:r w:rsidRPr="00FA3F9C">
              <w:rPr>
                <w:rFonts w:ascii="Arial" w:hAnsi="Arial" w:cs="Arial"/>
                <w:sz w:val="24"/>
                <w:szCs w:val="24"/>
              </w:rPr>
              <w:t>ustekinumab</w:t>
            </w:r>
            <w:proofErr w:type="spellEnd"/>
            <w:r w:rsidRPr="00FA3F9C">
              <w:rPr>
                <w:rFonts w:ascii="Arial" w:hAnsi="Arial" w:cs="Arial"/>
                <w:sz w:val="24"/>
                <w:szCs w:val="24"/>
              </w:rPr>
              <w:t>.</w:t>
            </w:r>
          </w:p>
        </w:tc>
        <w:tc>
          <w:tcPr>
            <w:tcW w:w="2070" w:type="dxa"/>
          </w:tcPr>
          <w:p w14:paraId="21CC1344" w14:textId="77777777" w:rsidR="005C142D" w:rsidRPr="00FA3F9C" w:rsidRDefault="005C142D" w:rsidP="0039177A">
            <w:pPr>
              <w:rPr>
                <w:rFonts w:ascii="Arial" w:hAnsi="Arial" w:cs="Arial"/>
                <w:sz w:val="24"/>
                <w:szCs w:val="24"/>
              </w:rPr>
            </w:pPr>
          </w:p>
        </w:tc>
      </w:tr>
      <w:tr w:rsidR="005C142D" w:rsidRPr="00FA3F9C" w14:paraId="3ECBBE53" w14:textId="77777777" w:rsidTr="00D727D7">
        <w:tc>
          <w:tcPr>
            <w:tcW w:w="11088" w:type="dxa"/>
            <w:gridSpan w:val="2"/>
            <w:shd w:val="clear" w:color="auto" w:fill="E7E6E6" w:themeFill="background2"/>
          </w:tcPr>
          <w:p w14:paraId="39E5C538" w14:textId="77777777" w:rsidR="005C142D" w:rsidRPr="00FA3F9C" w:rsidRDefault="005C142D" w:rsidP="000D1C08">
            <w:pPr>
              <w:rPr>
                <w:rFonts w:ascii="Arial" w:hAnsi="Arial" w:cs="Arial"/>
                <w:b/>
                <w:sz w:val="24"/>
                <w:szCs w:val="24"/>
              </w:rPr>
            </w:pPr>
            <w:r w:rsidRPr="00FA3F9C">
              <w:rPr>
                <w:rFonts w:ascii="Arial" w:hAnsi="Arial" w:cs="Arial"/>
                <w:b/>
                <w:sz w:val="24"/>
                <w:szCs w:val="24"/>
              </w:rPr>
              <w:t>If the answer to 1, 2, AND 3 is yes, approve coverage for 28 weeks (4 doses).</w:t>
            </w:r>
          </w:p>
        </w:tc>
      </w:tr>
      <w:tr w:rsidR="005C142D" w:rsidRPr="00FA3F9C" w14:paraId="2EFDDA61" w14:textId="77777777" w:rsidTr="00D727D7">
        <w:tc>
          <w:tcPr>
            <w:tcW w:w="11088" w:type="dxa"/>
            <w:gridSpan w:val="2"/>
          </w:tcPr>
          <w:p w14:paraId="29514CD9" w14:textId="77777777" w:rsidR="005C142D" w:rsidRPr="00FA3F9C" w:rsidRDefault="005C142D" w:rsidP="000D1C08">
            <w:pPr>
              <w:rPr>
                <w:rFonts w:ascii="Arial" w:hAnsi="Arial" w:cs="Arial"/>
                <w:b/>
                <w:sz w:val="24"/>
                <w:szCs w:val="24"/>
              </w:rPr>
            </w:pPr>
            <w:r w:rsidRPr="00FA3F9C">
              <w:rPr>
                <w:rFonts w:ascii="Arial" w:hAnsi="Arial" w:cs="Arial"/>
                <w:b/>
                <w:sz w:val="24"/>
                <w:szCs w:val="24"/>
              </w:rPr>
              <w:lastRenderedPageBreak/>
              <w:t>Responders maintenance therapy</w:t>
            </w:r>
          </w:p>
        </w:tc>
      </w:tr>
      <w:tr w:rsidR="005C142D" w:rsidRPr="00FA3F9C" w14:paraId="4B427991" w14:textId="77777777" w:rsidTr="00D727D7">
        <w:tc>
          <w:tcPr>
            <w:tcW w:w="9018" w:type="dxa"/>
          </w:tcPr>
          <w:p w14:paraId="5BAF81E5" w14:textId="77777777" w:rsidR="005C142D" w:rsidRPr="00FA3F9C" w:rsidRDefault="005C142D" w:rsidP="000D1C08">
            <w:pPr>
              <w:rPr>
                <w:rFonts w:ascii="Arial" w:hAnsi="Arial" w:cs="Arial"/>
                <w:sz w:val="24"/>
                <w:szCs w:val="24"/>
              </w:rPr>
            </w:pPr>
            <w:r w:rsidRPr="00FA3F9C">
              <w:rPr>
                <w:rFonts w:ascii="Arial" w:hAnsi="Arial" w:cs="Arial"/>
                <w:sz w:val="24"/>
                <w:szCs w:val="24"/>
              </w:rPr>
              <w:t xml:space="preserve">Did the patient achieve a reduction in PASI of </w:t>
            </w:r>
            <w:r w:rsidRPr="00FA3F9C">
              <w:rPr>
                <w:rFonts w:ascii="Arial" w:hAnsi="Arial" w:cs="Arial"/>
                <w:sz w:val="24"/>
                <w:szCs w:val="24"/>
                <w:u w:val="single"/>
              </w:rPr>
              <w:t>at least</w:t>
            </w:r>
            <w:r w:rsidRPr="00FA3F9C">
              <w:rPr>
                <w:rFonts w:ascii="Arial" w:hAnsi="Arial" w:cs="Arial"/>
                <w:sz w:val="24"/>
                <w:szCs w:val="24"/>
              </w:rPr>
              <w:t xml:space="preserve"> 50%?</w:t>
            </w:r>
          </w:p>
        </w:tc>
        <w:tc>
          <w:tcPr>
            <w:tcW w:w="2070" w:type="dxa"/>
          </w:tcPr>
          <w:p w14:paraId="7717130B" w14:textId="77777777" w:rsidR="005C142D" w:rsidRPr="00FA3F9C" w:rsidRDefault="005C142D" w:rsidP="000D1C08">
            <w:pPr>
              <w:rPr>
                <w:rFonts w:ascii="Arial" w:hAnsi="Arial" w:cs="Arial"/>
                <w:sz w:val="24"/>
                <w:szCs w:val="24"/>
              </w:rPr>
            </w:pPr>
            <w:r w:rsidRPr="00FA3F9C">
              <w:rPr>
                <w:rFonts w:ascii="Arial" w:hAnsi="Arial" w:cs="Arial"/>
                <w:sz w:val="24"/>
                <w:szCs w:val="24"/>
              </w:rPr>
              <w:sym w:font="Symbol" w:char="F0F0"/>
            </w:r>
            <w:r w:rsidRPr="00FA3F9C">
              <w:rPr>
                <w:rFonts w:ascii="Arial" w:hAnsi="Arial" w:cs="Arial"/>
                <w:sz w:val="24"/>
                <w:szCs w:val="24"/>
              </w:rPr>
              <w:t xml:space="preserve"> Yes</w:t>
            </w:r>
            <w:r w:rsidRPr="00FA3F9C">
              <w:rPr>
                <w:rFonts w:ascii="Arial" w:hAnsi="Arial" w:cs="Arial"/>
                <w:sz w:val="24"/>
                <w:szCs w:val="24"/>
              </w:rPr>
              <w:tab/>
            </w:r>
            <w:r w:rsidRPr="00FA3F9C">
              <w:rPr>
                <w:rFonts w:ascii="Arial" w:hAnsi="Arial" w:cs="Arial"/>
                <w:sz w:val="24"/>
                <w:szCs w:val="24"/>
              </w:rPr>
              <w:sym w:font="Symbol" w:char="F0F0"/>
            </w:r>
            <w:r w:rsidRPr="00FA3F9C">
              <w:rPr>
                <w:rFonts w:ascii="Arial" w:hAnsi="Arial" w:cs="Arial"/>
                <w:sz w:val="24"/>
                <w:szCs w:val="24"/>
              </w:rPr>
              <w:t xml:space="preserve"> No</w:t>
            </w:r>
          </w:p>
        </w:tc>
      </w:tr>
      <w:tr w:rsidR="005C142D" w:rsidRPr="00FA3F9C" w14:paraId="0B539170" w14:textId="77777777" w:rsidTr="00D727D7">
        <w:tc>
          <w:tcPr>
            <w:tcW w:w="11088" w:type="dxa"/>
            <w:gridSpan w:val="2"/>
            <w:shd w:val="clear" w:color="auto" w:fill="E7E6E6" w:themeFill="background2"/>
          </w:tcPr>
          <w:p w14:paraId="503E9128" w14:textId="77777777" w:rsidR="005C142D" w:rsidRPr="00FA3F9C" w:rsidRDefault="005C142D" w:rsidP="000D1C08">
            <w:pPr>
              <w:rPr>
                <w:rFonts w:ascii="Arial" w:hAnsi="Arial" w:cs="Arial"/>
                <w:b/>
                <w:sz w:val="24"/>
                <w:szCs w:val="24"/>
              </w:rPr>
            </w:pPr>
            <w:r w:rsidRPr="00FA3F9C">
              <w:rPr>
                <w:rFonts w:ascii="Arial" w:hAnsi="Arial" w:cs="Arial"/>
                <w:b/>
                <w:sz w:val="24"/>
                <w:szCs w:val="24"/>
              </w:rPr>
              <w:t>If the answer was yes, patient is approved for therapy for 1 year (4 doses).</w:t>
            </w:r>
          </w:p>
        </w:tc>
      </w:tr>
      <w:tr w:rsidR="005C142D" w:rsidRPr="00FA3F9C" w14:paraId="09C01765" w14:textId="77777777" w:rsidTr="00D727D7">
        <w:tc>
          <w:tcPr>
            <w:tcW w:w="11088" w:type="dxa"/>
            <w:gridSpan w:val="2"/>
            <w:shd w:val="clear" w:color="auto" w:fill="FFFFFF" w:themeFill="background1"/>
          </w:tcPr>
          <w:p w14:paraId="1FFF2A5D" w14:textId="77777777" w:rsidR="005C142D" w:rsidRPr="00FA3F9C" w:rsidRDefault="005C142D" w:rsidP="000D1C08">
            <w:pPr>
              <w:rPr>
                <w:rFonts w:ascii="Arial" w:hAnsi="Arial" w:cs="Arial"/>
                <w:sz w:val="24"/>
                <w:szCs w:val="24"/>
              </w:rPr>
            </w:pPr>
            <w:r w:rsidRPr="00FA3F9C">
              <w:rPr>
                <w:rFonts w:ascii="Arial" w:hAnsi="Arial" w:cs="Arial"/>
                <w:sz w:val="24"/>
                <w:szCs w:val="24"/>
              </w:rPr>
              <w:t>References:</w:t>
            </w:r>
          </w:p>
          <w:p w14:paraId="1B08FFDD" w14:textId="77777777" w:rsidR="005C142D" w:rsidRPr="00FA3F9C" w:rsidRDefault="005C142D" w:rsidP="000D1C08">
            <w:pPr>
              <w:rPr>
                <w:rFonts w:ascii="Arial" w:hAnsi="Arial" w:cs="Arial"/>
                <w:sz w:val="24"/>
                <w:szCs w:val="24"/>
              </w:rPr>
            </w:pPr>
            <w:r w:rsidRPr="00FA3F9C">
              <w:rPr>
                <w:rFonts w:ascii="Arial" w:hAnsi="Arial" w:cs="Arial"/>
                <w:sz w:val="24"/>
                <w:szCs w:val="24"/>
              </w:rPr>
              <w:t xml:space="preserve">1. Leonardi CL, Kimball AB, Papp KA, et al. Efficacy and safety of </w:t>
            </w:r>
            <w:proofErr w:type="spellStart"/>
            <w:r w:rsidRPr="00FA3F9C">
              <w:rPr>
                <w:rFonts w:ascii="Arial" w:hAnsi="Arial" w:cs="Arial"/>
                <w:sz w:val="24"/>
                <w:szCs w:val="24"/>
              </w:rPr>
              <w:t>ustekinumab</w:t>
            </w:r>
            <w:proofErr w:type="spellEnd"/>
            <w:r w:rsidRPr="00FA3F9C">
              <w:rPr>
                <w:rFonts w:ascii="Arial" w:hAnsi="Arial" w:cs="Arial"/>
                <w:sz w:val="24"/>
                <w:szCs w:val="24"/>
              </w:rPr>
              <w:t>, a human interleukin-12/23 monoclonal antibody, in patients with psoriasis: 76-week results from a randomized, double-blind, placebo-controlled trial (PHOENIX 1). Lancet 2008;371:1665-74.</w:t>
            </w:r>
          </w:p>
          <w:p w14:paraId="434C7F1A" w14:textId="77777777" w:rsidR="005C142D" w:rsidRPr="00FA3F9C" w:rsidRDefault="005C142D" w:rsidP="000D1C08">
            <w:pPr>
              <w:rPr>
                <w:rFonts w:ascii="Arial" w:hAnsi="Arial" w:cs="Arial"/>
                <w:sz w:val="24"/>
                <w:szCs w:val="24"/>
              </w:rPr>
            </w:pPr>
            <w:r w:rsidRPr="00FA3F9C">
              <w:rPr>
                <w:rFonts w:ascii="Arial" w:hAnsi="Arial" w:cs="Arial"/>
                <w:sz w:val="24"/>
                <w:szCs w:val="24"/>
              </w:rPr>
              <w:t xml:space="preserve">2. Lin VW, </w:t>
            </w:r>
            <w:proofErr w:type="spellStart"/>
            <w:r w:rsidRPr="00FA3F9C">
              <w:rPr>
                <w:rFonts w:ascii="Arial" w:hAnsi="Arial" w:cs="Arial"/>
                <w:sz w:val="24"/>
                <w:szCs w:val="24"/>
              </w:rPr>
              <w:t>Ringold</w:t>
            </w:r>
            <w:proofErr w:type="spellEnd"/>
            <w:r w:rsidRPr="00FA3F9C">
              <w:rPr>
                <w:rFonts w:ascii="Arial" w:hAnsi="Arial" w:cs="Arial"/>
                <w:sz w:val="24"/>
                <w:szCs w:val="24"/>
              </w:rPr>
              <w:t xml:space="preserve"> S, Devine EB. Comparison of </w:t>
            </w:r>
            <w:proofErr w:type="spellStart"/>
            <w:r w:rsidRPr="00FA3F9C">
              <w:rPr>
                <w:rFonts w:ascii="Arial" w:hAnsi="Arial" w:cs="Arial"/>
                <w:sz w:val="24"/>
                <w:szCs w:val="24"/>
              </w:rPr>
              <w:t>ustekinumab</w:t>
            </w:r>
            <w:proofErr w:type="spellEnd"/>
            <w:r w:rsidRPr="00FA3F9C">
              <w:rPr>
                <w:rFonts w:ascii="Arial" w:hAnsi="Arial" w:cs="Arial"/>
                <w:sz w:val="24"/>
                <w:szCs w:val="24"/>
              </w:rPr>
              <w:t xml:space="preserve"> with other biological agents for the treatment of moderate to severe plaque psoriasis, A Bayesian Network Meta-analysis. Arch Dermatol. Oct 2012; E1-E8.</w:t>
            </w:r>
          </w:p>
          <w:p w14:paraId="68B4DCAA" w14:textId="77777777" w:rsidR="005C142D" w:rsidRPr="00FA3F9C" w:rsidRDefault="005C142D" w:rsidP="000D1C08">
            <w:pPr>
              <w:rPr>
                <w:rFonts w:ascii="Arial" w:hAnsi="Arial" w:cs="Arial"/>
                <w:sz w:val="24"/>
                <w:szCs w:val="24"/>
              </w:rPr>
            </w:pPr>
            <w:r w:rsidRPr="00222A23">
              <w:rPr>
                <w:rFonts w:ascii="Arial" w:hAnsi="Arial" w:cs="Arial"/>
                <w:sz w:val="24"/>
                <w:szCs w:val="24"/>
              </w:rPr>
              <w:t xml:space="preserve">3. Papp KA, Langley RG, </w:t>
            </w:r>
            <w:proofErr w:type="spellStart"/>
            <w:r w:rsidRPr="00222A23">
              <w:rPr>
                <w:rFonts w:ascii="Arial" w:hAnsi="Arial" w:cs="Arial"/>
                <w:sz w:val="24"/>
                <w:szCs w:val="24"/>
              </w:rPr>
              <w:t>Lebwohl</w:t>
            </w:r>
            <w:proofErr w:type="spellEnd"/>
            <w:r w:rsidRPr="00222A23">
              <w:rPr>
                <w:rFonts w:ascii="Arial" w:hAnsi="Arial" w:cs="Arial"/>
                <w:sz w:val="24"/>
                <w:szCs w:val="24"/>
              </w:rPr>
              <w:t xml:space="preserve"> M, et al. </w:t>
            </w:r>
            <w:r w:rsidRPr="00FA3F9C">
              <w:rPr>
                <w:rFonts w:ascii="Arial" w:hAnsi="Arial" w:cs="Arial"/>
                <w:sz w:val="24"/>
                <w:szCs w:val="24"/>
              </w:rPr>
              <w:t xml:space="preserve">Efficacy and safety of </w:t>
            </w:r>
            <w:proofErr w:type="spellStart"/>
            <w:r w:rsidRPr="00FA3F9C">
              <w:rPr>
                <w:rFonts w:ascii="Arial" w:hAnsi="Arial" w:cs="Arial"/>
                <w:sz w:val="24"/>
                <w:szCs w:val="24"/>
              </w:rPr>
              <w:t>ustekinumab</w:t>
            </w:r>
            <w:proofErr w:type="spellEnd"/>
            <w:r w:rsidRPr="00FA3F9C">
              <w:rPr>
                <w:rFonts w:ascii="Arial" w:hAnsi="Arial" w:cs="Arial"/>
                <w:sz w:val="24"/>
                <w:szCs w:val="24"/>
              </w:rPr>
              <w:t>, a human interleukin-12/23 monoclonal antibody, in patients with psoriasis: 52-week results from a randomized, double-blind, placebo-controlled trial (PHOENIX 2). Lancet 2008;371:1675-84.</w:t>
            </w:r>
          </w:p>
          <w:p w14:paraId="7D8245E3" w14:textId="77777777" w:rsidR="005C142D" w:rsidRPr="00FA3F9C" w:rsidRDefault="005C142D" w:rsidP="000D1C08">
            <w:pPr>
              <w:rPr>
                <w:rFonts w:ascii="Arial" w:hAnsi="Arial" w:cs="Arial"/>
                <w:sz w:val="24"/>
                <w:szCs w:val="24"/>
              </w:rPr>
            </w:pPr>
            <w:r w:rsidRPr="00FA3F9C">
              <w:rPr>
                <w:rFonts w:ascii="Arial" w:hAnsi="Arial" w:cs="Arial"/>
                <w:sz w:val="24"/>
                <w:szCs w:val="24"/>
              </w:rPr>
              <w:t xml:space="preserve">4. Griffiths CE, Strober BE, Kerkhof P, et al. Comparison of </w:t>
            </w:r>
            <w:proofErr w:type="spellStart"/>
            <w:r w:rsidRPr="00FA3F9C">
              <w:rPr>
                <w:rFonts w:ascii="Arial" w:hAnsi="Arial" w:cs="Arial"/>
                <w:sz w:val="24"/>
                <w:szCs w:val="24"/>
              </w:rPr>
              <w:t>ustekinumab</w:t>
            </w:r>
            <w:proofErr w:type="spellEnd"/>
            <w:r w:rsidRPr="00FA3F9C">
              <w:rPr>
                <w:rFonts w:ascii="Arial" w:hAnsi="Arial" w:cs="Arial"/>
                <w:sz w:val="24"/>
                <w:szCs w:val="24"/>
              </w:rPr>
              <w:t xml:space="preserve"> and etanercept for moderate-to-severe psoriasis. N </w:t>
            </w:r>
            <w:proofErr w:type="spellStart"/>
            <w:r w:rsidRPr="00FA3F9C">
              <w:rPr>
                <w:rFonts w:ascii="Arial" w:hAnsi="Arial" w:cs="Arial"/>
                <w:sz w:val="24"/>
                <w:szCs w:val="24"/>
              </w:rPr>
              <w:t>Engl</w:t>
            </w:r>
            <w:proofErr w:type="spellEnd"/>
            <w:r w:rsidRPr="00FA3F9C">
              <w:rPr>
                <w:rFonts w:ascii="Arial" w:hAnsi="Arial" w:cs="Arial"/>
                <w:sz w:val="24"/>
                <w:szCs w:val="24"/>
              </w:rPr>
              <w:t xml:space="preserve"> J Med 2010;362:118-28.</w:t>
            </w:r>
          </w:p>
        </w:tc>
      </w:tr>
    </w:tbl>
    <w:p w14:paraId="294E2FF8" w14:textId="77777777" w:rsidR="005C142D" w:rsidRPr="00FA3F9C" w:rsidRDefault="005C142D" w:rsidP="000D1C08">
      <w:pPr>
        <w:spacing w:after="0"/>
        <w:rPr>
          <w:rFonts w:ascii="Arial" w:hAnsi="Arial" w:cs="Arial"/>
          <w:sz w:val="24"/>
          <w:szCs w:val="24"/>
        </w:rPr>
      </w:pPr>
      <w:r w:rsidRPr="00FA3F9C">
        <w:rPr>
          <w:rFonts w:ascii="Arial" w:hAnsi="Arial" w:cs="Arial"/>
          <w:sz w:val="24"/>
          <w:szCs w:val="24"/>
        </w:rPr>
        <w:t>Note: Dosing is weight based. For those weighing &lt;100 kg, each dose is 45 mg. For those weighing &gt;100 kg, each dose is 90 mg. Drug is dosed at weeks 0 and 4, and then every 12 weeks thereafter.</w:t>
      </w:r>
    </w:p>
    <w:p w14:paraId="3793125D" w14:textId="77777777" w:rsidR="005C142D" w:rsidRPr="00FA3F9C" w:rsidRDefault="005C142D" w:rsidP="000D1C08">
      <w:pPr>
        <w:spacing w:after="0"/>
        <w:rPr>
          <w:rFonts w:ascii="Arial" w:hAnsi="Arial" w:cs="Arial"/>
          <w:sz w:val="24"/>
          <w:szCs w:val="24"/>
        </w:rPr>
      </w:pPr>
    </w:p>
    <w:p w14:paraId="20344863" w14:textId="77777777" w:rsidR="005C142D" w:rsidRPr="00FA3F9C" w:rsidRDefault="005C142D" w:rsidP="000D1C08">
      <w:pPr>
        <w:spacing w:after="0"/>
        <w:rPr>
          <w:rFonts w:ascii="Arial" w:hAnsi="Arial" w:cs="Arial"/>
          <w:sz w:val="24"/>
          <w:szCs w:val="24"/>
        </w:rPr>
      </w:pPr>
    </w:p>
    <w:p w14:paraId="10C9C633" w14:textId="77777777" w:rsidR="005C142D" w:rsidRPr="00FA3F9C" w:rsidRDefault="005C142D" w:rsidP="000D1C08">
      <w:pPr>
        <w:spacing w:after="0"/>
        <w:rPr>
          <w:rFonts w:ascii="Arial" w:hAnsi="Arial" w:cs="Arial"/>
          <w:sz w:val="24"/>
          <w:szCs w:val="24"/>
        </w:rPr>
      </w:pPr>
    </w:p>
    <w:p w14:paraId="27C549E7" w14:textId="77777777" w:rsidR="005C142D" w:rsidRPr="00FA3F9C" w:rsidRDefault="005C142D" w:rsidP="000D1C08">
      <w:pPr>
        <w:spacing w:after="0"/>
        <w:rPr>
          <w:rFonts w:ascii="Arial" w:hAnsi="Arial" w:cs="Arial"/>
          <w:sz w:val="24"/>
          <w:szCs w:val="24"/>
        </w:rPr>
      </w:pPr>
    </w:p>
    <w:p w14:paraId="56B0DF4F" w14:textId="77777777" w:rsidR="005C142D" w:rsidRPr="00FA3F9C" w:rsidRDefault="005C142D" w:rsidP="000D1C08">
      <w:pPr>
        <w:spacing w:after="0"/>
        <w:rPr>
          <w:rFonts w:ascii="Arial" w:hAnsi="Arial" w:cs="Arial"/>
          <w:sz w:val="24"/>
          <w:szCs w:val="24"/>
        </w:rPr>
      </w:pPr>
    </w:p>
    <w:p w14:paraId="5A73C2F9" w14:textId="77777777" w:rsidR="005C142D" w:rsidRPr="00FA3F9C" w:rsidRDefault="005C142D" w:rsidP="000D1C08">
      <w:pPr>
        <w:spacing w:after="0"/>
        <w:rPr>
          <w:rFonts w:ascii="Arial" w:hAnsi="Arial" w:cs="Arial"/>
          <w:sz w:val="24"/>
          <w:szCs w:val="24"/>
        </w:rPr>
      </w:pPr>
    </w:p>
    <w:p w14:paraId="260BAC2A" w14:textId="77777777" w:rsidR="005C142D" w:rsidRPr="00FA3F9C" w:rsidRDefault="005C142D" w:rsidP="000D1C08">
      <w:pPr>
        <w:spacing w:after="0"/>
        <w:rPr>
          <w:rFonts w:ascii="Arial" w:hAnsi="Arial" w:cs="Arial"/>
          <w:sz w:val="24"/>
          <w:szCs w:val="24"/>
        </w:rPr>
      </w:pPr>
    </w:p>
    <w:p w14:paraId="28D89BB4" w14:textId="77777777" w:rsidR="005C142D" w:rsidRPr="00FA3F9C" w:rsidRDefault="005C142D" w:rsidP="000D1C08">
      <w:pPr>
        <w:spacing w:after="0"/>
        <w:rPr>
          <w:rFonts w:ascii="Arial" w:hAnsi="Arial" w:cs="Arial"/>
          <w:sz w:val="24"/>
          <w:szCs w:val="24"/>
        </w:rPr>
      </w:pPr>
    </w:p>
    <w:tbl>
      <w:tblPr>
        <w:tblStyle w:val="TableGrid"/>
        <w:tblW w:w="0" w:type="auto"/>
        <w:tblLook w:val="04A0" w:firstRow="1" w:lastRow="0" w:firstColumn="1" w:lastColumn="0" w:noHBand="0" w:noVBand="1"/>
      </w:tblPr>
      <w:tblGrid>
        <w:gridCol w:w="9018"/>
        <w:gridCol w:w="1980"/>
      </w:tblGrid>
      <w:tr w:rsidR="005C142D" w:rsidRPr="00FA3F9C" w14:paraId="01B3B661" w14:textId="77777777" w:rsidTr="00D727D7">
        <w:tc>
          <w:tcPr>
            <w:tcW w:w="10998" w:type="dxa"/>
            <w:gridSpan w:val="2"/>
          </w:tcPr>
          <w:p w14:paraId="18DA1711" w14:textId="77777777" w:rsidR="005C142D" w:rsidRPr="00FA3F9C" w:rsidRDefault="005C142D" w:rsidP="007B7E00">
            <w:pPr>
              <w:rPr>
                <w:rFonts w:ascii="Arial" w:hAnsi="Arial" w:cs="Arial"/>
                <w:b/>
                <w:sz w:val="24"/>
                <w:szCs w:val="24"/>
              </w:rPr>
            </w:pPr>
            <w:r w:rsidRPr="00FA3F9C">
              <w:rPr>
                <w:rFonts w:ascii="Arial" w:hAnsi="Arial" w:cs="Arial"/>
                <w:b/>
                <w:sz w:val="24"/>
                <w:szCs w:val="24"/>
              </w:rPr>
              <w:t>Psoriatic arthritis</w:t>
            </w:r>
          </w:p>
        </w:tc>
      </w:tr>
      <w:tr w:rsidR="005C142D" w:rsidRPr="00FA3F9C" w14:paraId="2F7880DD" w14:textId="77777777" w:rsidTr="00D727D7">
        <w:tc>
          <w:tcPr>
            <w:tcW w:w="9018" w:type="dxa"/>
          </w:tcPr>
          <w:p w14:paraId="66685A7D" w14:textId="77777777" w:rsidR="005C142D" w:rsidRPr="00FA3F9C" w:rsidRDefault="005C142D" w:rsidP="00EA36A8">
            <w:pPr>
              <w:rPr>
                <w:rFonts w:ascii="Arial" w:hAnsi="Arial" w:cs="Arial"/>
                <w:sz w:val="24"/>
                <w:szCs w:val="24"/>
              </w:rPr>
            </w:pPr>
            <w:r w:rsidRPr="00FA3F9C">
              <w:rPr>
                <w:rFonts w:ascii="Arial" w:hAnsi="Arial" w:cs="Arial"/>
                <w:sz w:val="24"/>
                <w:szCs w:val="24"/>
              </w:rPr>
              <w:t>1. Does the patient have a diagnosis of active psoriatic arthritis, as defined by ≥5 swollen and ≥5 tender joints and a C-reactive protein of ≥3.0mg/L?</w:t>
            </w:r>
          </w:p>
        </w:tc>
        <w:tc>
          <w:tcPr>
            <w:tcW w:w="1980" w:type="dxa"/>
          </w:tcPr>
          <w:p w14:paraId="4C64508B" w14:textId="77777777" w:rsidR="005C142D" w:rsidRPr="00FA3F9C" w:rsidRDefault="005C142D" w:rsidP="007B7E00">
            <w:pPr>
              <w:rPr>
                <w:rFonts w:ascii="Arial" w:hAnsi="Arial" w:cs="Arial"/>
                <w:sz w:val="24"/>
                <w:szCs w:val="24"/>
              </w:rPr>
            </w:pPr>
            <w:r w:rsidRPr="00FA3F9C">
              <w:rPr>
                <w:rFonts w:ascii="Arial" w:hAnsi="Arial" w:cs="Arial"/>
                <w:sz w:val="24"/>
                <w:szCs w:val="24"/>
              </w:rPr>
              <w:sym w:font="Symbol" w:char="F0F0"/>
            </w:r>
            <w:r w:rsidRPr="00FA3F9C">
              <w:rPr>
                <w:rFonts w:ascii="Arial" w:hAnsi="Arial" w:cs="Arial"/>
                <w:sz w:val="24"/>
                <w:szCs w:val="24"/>
              </w:rPr>
              <w:t xml:space="preserve"> Yes</w:t>
            </w:r>
            <w:r w:rsidRPr="00FA3F9C">
              <w:rPr>
                <w:rFonts w:ascii="Arial" w:hAnsi="Arial" w:cs="Arial"/>
                <w:sz w:val="24"/>
                <w:szCs w:val="24"/>
              </w:rPr>
              <w:tab/>
            </w:r>
            <w:r w:rsidRPr="00FA3F9C">
              <w:rPr>
                <w:rFonts w:ascii="Arial" w:hAnsi="Arial" w:cs="Arial"/>
                <w:sz w:val="24"/>
                <w:szCs w:val="24"/>
              </w:rPr>
              <w:sym w:font="Symbol" w:char="F0F0"/>
            </w:r>
            <w:r w:rsidRPr="00FA3F9C">
              <w:rPr>
                <w:rFonts w:ascii="Arial" w:hAnsi="Arial" w:cs="Arial"/>
                <w:sz w:val="24"/>
                <w:szCs w:val="24"/>
              </w:rPr>
              <w:t xml:space="preserve"> No</w:t>
            </w:r>
          </w:p>
          <w:p w14:paraId="3F72BAE4" w14:textId="77777777" w:rsidR="005C142D" w:rsidRPr="00FA3F9C" w:rsidRDefault="005C142D" w:rsidP="007B7E00">
            <w:pPr>
              <w:rPr>
                <w:rFonts w:ascii="Arial" w:hAnsi="Arial" w:cs="Arial"/>
                <w:sz w:val="24"/>
                <w:szCs w:val="24"/>
              </w:rPr>
            </w:pPr>
            <w:r w:rsidRPr="00FA3F9C">
              <w:rPr>
                <w:rFonts w:ascii="Arial" w:hAnsi="Arial" w:cs="Arial"/>
                <w:sz w:val="24"/>
                <w:szCs w:val="24"/>
              </w:rPr>
              <w:t>If yes, go on to next question. If no, stop and deny coverage.</w:t>
            </w:r>
          </w:p>
        </w:tc>
      </w:tr>
      <w:tr w:rsidR="005C142D" w:rsidRPr="00FA3F9C" w14:paraId="5B01BDCF" w14:textId="77777777" w:rsidTr="00D727D7">
        <w:tc>
          <w:tcPr>
            <w:tcW w:w="9018" w:type="dxa"/>
          </w:tcPr>
          <w:p w14:paraId="3CF4756D" w14:textId="77777777" w:rsidR="005C142D" w:rsidRPr="00FA3F9C" w:rsidRDefault="005C142D" w:rsidP="007B7E00">
            <w:pPr>
              <w:rPr>
                <w:rFonts w:ascii="Arial" w:hAnsi="Arial" w:cs="Arial"/>
                <w:sz w:val="24"/>
                <w:szCs w:val="24"/>
              </w:rPr>
            </w:pPr>
            <w:r w:rsidRPr="00FA3F9C">
              <w:rPr>
                <w:rFonts w:ascii="Arial" w:hAnsi="Arial" w:cs="Arial"/>
                <w:sz w:val="24"/>
                <w:szCs w:val="24"/>
              </w:rPr>
              <w:lastRenderedPageBreak/>
              <w:t>2. Has the patient had an inadequate response to ≥3 months of disease-modifying antirheumatic drug (DMARD) therapy</w:t>
            </w:r>
          </w:p>
          <w:p w14:paraId="0949B9F5" w14:textId="77777777" w:rsidR="005C142D" w:rsidRPr="00FA3F9C" w:rsidRDefault="005C142D" w:rsidP="007B7E00">
            <w:pPr>
              <w:rPr>
                <w:rFonts w:ascii="Arial" w:hAnsi="Arial" w:cs="Arial"/>
                <w:sz w:val="24"/>
                <w:szCs w:val="24"/>
              </w:rPr>
            </w:pPr>
            <w:r w:rsidRPr="00FA3F9C">
              <w:rPr>
                <w:rFonts w:ascii="Arial" w:hAnsi="Arial" w:cs="Arial"/>
                <w:b/>
                <w:sz w:val="24"/>
                <w:szCs w:val="24"/>
                <w:u w:val="single"/>
              </w:rPr>
              <w:t>OR</w:t>
            </w:r>
            <w:r w:rsidRPr="00FA3F9C">
              <w:rPr>
                <w:rFonts w:ascii="Arial" w:hAnsi="Arial" w:cs="Arial"/>
                <w:sz w:val="24"/>
                <w:szCs w:val="24"/>
              </w:rPr>
              <w:t xml:space="preserve"> ≥4 weeks of NSAID therapy</w:t>
            </w:r>
          </w:p>
          <w:p w14:paraId="6C6F99EF" w14:textId="77777777" w:rsidR="005C142D" w:rsidRPr="00FA3F9C" w:rsidRDefault="005C142D" w:rsidP="007B7E00">
            <w:pPr>
              <w:rPr>
                <w:rFonts w:ascii="Arial" w:hAnsi="Arial" w:cs="Arial"/>
                <w:sz w:val="24"/>
                <w:szCs w:val="24"/>
              </w:rPr>
            </w:pPr>
            <w:r w:rsidRPr="00FA3F9C">
              <w:rPr>
                <w:rFonts w:ascii="Arial" w:hAnsi="Arial" w:cs="Arial"/>
                <w:b/>
                <w:sz w:val="24"/>
                <w:szCs w:val="24"/>
                <w:u w:val="single"/>
              </w:rPr>
              <w:t>OR</w:t>
            </w:r>
            <w:r w:rsidRPr="00FA3F9C">
              <w:rPr>
                <w:rFonts w:ascii="Arial" w:hAnsi="Arial" w:cs="Arial"/>
                <w:sz w:val="24"/>
                <w:szCs w:val="24"/>
              </w:rPr>
              <w:t xml:space="preserve"> ≥ 8 (etanercept, adalimumab, </w:t>
            </w:r>
            <w:proofErr w:type="spellStart"/>
            <w:r w:rsidRPr="00FA3F9C">
              <w:rPr>
                <w:rFonts w:ascii="Arial" w:hAnsi="Arial" w:cs="Arial"/>
                <w:sz w:val="24"/>
                <w:szCs w:val="24"/>
              </w:rPr>
              <w:t>golimumad</w:t>
            </w:r>
            <w:proofErr w:type="spellEnd"/>
            <w:r w:rsidRPr="00FA3F9C">
              <w:rPr>
                <w:rFonts w:ascii="Arial" w:hAnsi="Arial" w:cs="Arial"/>
                <w:sz w:val="24"/>
                <w:szCs w:val="24"/>
              </w:rPr>
              <w:t>, certolizumab-pegol) or 14 (infliximab) continuous weeks of TNF-antagonist therapy?</w:t>
            </w:r>
          </w:p>
          <w:p w14:paraId="10714CEE" w14:textId="77777777" w:rsidR="005C142D" w:rsidRPr="00FA3F9C" w:rsidRDefault="005C142D" w:rsidP="007B7E00">
            <w:pPr>
              <w:rPr>
                <w:rFonts w:ascii="Arial" w:hAnsi="Arial" w:cs="Arial"/>
                <w:sz w:val="24"/>
                <w:szCs w:val="24"/>
              </w:rPr>
            </w:pPr>
            <w:r w:rsidRPr="00FA3F9C">
              <w:rPr>
                <w:rFonts w:ascii="Arial" w:hAnsi="Arial" w:cs="Arial"/>
                <w:b/>
                <w:sz w:val="24"/>
                <w:szCs w:val="24"/>
                <w:u w:val="single"/>
              </w:rPr>
              <w:t>OR</w:t>
            </w:r>
            <w:r w:rsidRPr="00FA3F9C">
              <w:rPr>
                <w:rFonts w:ascii="Arial" w:hAnsi="Arial" w:cs="Arial"/>
                <w:sz w:val="24"/>
                <w:szCs w:val="24"/>
              </w:rPr>
              <w:t xml:space="preserve"> Was the patient intolerant of anti-TNF therapies?</w:t>
            </w:r>
          </w:p>
        </w:tc>
        <w:tc>
          <w:tcPr>
            <w:tcW w:w="1980" w:type="dxa"/>
          </w:tcPr>
          <w:p w14:paraId="65A0F789" w14:textId="77777777" w:rsidR="005C142D" w:rsidRPr="00FA3F9C" w:rsidRDefault="005C142D" w:rsidP="007B7E00">
            <w:pPr>
              <w:rPr>
                <w:rFonts w:ascii="Arial" w:hAnsi="Arial" w:cs="Arial"/>
                <w:sz w:val="24"/>
                <w:szCs w:val="24"/>
              </w:rPr>
            </w:pPr>
            <w:r w:rsidRPr="00FA3F9C">
              <w:rPr>
                <w:rFonts w:ascii="Arial" w:hAnsi="Arial" w:cs="Arial"/>
                <w:sz w:val="24"/>
                <w:szCs w:val="24"/>
              </w:rPr>
              <w:sym w:font="Symbol" w:char="F0F0"/>
            </w:r>
            <w:r w:rsidRPr="00FA3F9C">
              <w:rPr>
                <w:rFonts w:ascii="Arial" w:hAnsi="Arial" w:cs="Arial"/>
                <w:sz w:val="24"/>
                <w:szCs w:val="24"/>
              </w:rPr>
              <w:t xml:space="preserve"> Yes</w:t>
            </w:r>
            <w:r w:rsidRPr="00FA3F9C">
              <w:rPr>
                <w:rFonts w:ascii="Arial" w:hAnsi="Arial" w:cs="Arial"/>
                <w:sz w:val="24"/>
                <w:szCs w:val="24"/>
              </w:rPr>
              <w:tab/>
            </w:r>
            <w:r w:rsidRPr="00FA3F9C">
              <w:rPr>
                <w:rFonts w:ascii="Arial" w:hAnsi="Arial" w:cs="Arial"/>
                <w:sz w:val="24"/>
                <w:szCs w:val="24"/>
              </w:rPr>
              <w:sym w:font="Symbol" w:char="F0F0"/>
            </w:r>
            <w:r w:rsidRPr="00FA3F9C">
              <w:rPr>
                <w:rFonts w:ascii="Arial" w:hAnsi="Arial" w:cs="Arial"/>
                <w:sz w:val="24"/>
                <w:szCs w:val="24"/>
              </w:rPr>
              <w:t xml:space="preserve"> No</w:t>
            </w:r>
          </w:p>
          <w:p w14:paraId="6B4541FF" w14:textId="77777777" w:rsidR="005C142D" w:rsidRPr="00FA3F9C" w:rsidRDefault="005C142D" w:rsidP="007B7E00">
            <w:pPr>
              <w:rPr>
                <w:rFonts w:ascii="Arial" w:hAnsi="Arial" w:cs="Arial"/>
                <w:sz w:val="24"/>
                <w:szCs w:val="24"/>
              </w:rPr>
            </w:pPr>
          </w:p>
        </w:tc>
      </w:tr>
      <w:tr w:rsidR="005C142D" w:rsidRPr="00FA3F9C" w14:paraId="5D8DA513" w14:textId="77777777" w:rsidTr="00D727D7">
        <w:tc>
          <w:tcPr>
            <w:tcW w:w="9018" w:type="dxa"/>
          </w:tcPr>
          <w:p w14:paraId="6CDB96DF" w14:textId="77777777" w:rsidR="005C142D" w:rsidRPr="00FA3F9C" w:rsidRDefault="005C142D" w:rsidP="003274B7">
            <w:pPr>
              <w:rPr>
                <w:rFonts w:ascii="Arial" w:hAnsi="Arial" w:cs="Arial"/>
                <w:sz w:val="24"/>
                <w:szCs w:val="24"/>
              </w:rPr>
            </w:pPr>
            <w:r w:rsidRPr="00FA3F9C">
              <w:rPr>
                <w:rFonts w:ascii="Arial" w:hAnsi="Arial" w:cs="Arial"/>
                <w:sz w:val="24"/>
                <w:szCs w:val="24"/>
              </w:rPr>
              <w:t xml:space="preserve">3.  The patient must have tried and failed Humira (for a minimum of 12 weeks) AND must have tried and failed Enbrel (for a minimum of 12 weeks) prior seeking </w:t>
            </w:r>
            <w:proofErr w:type="spellStart"/>
            <w:r w:rsidRPr="00FA3F9C">
              <w:rPr>
                <w:rFonts w:ascii="Arial" w:hAnsi="Arial" w:cs="Arial"/>
                <w:sz w:val="24"/>
                <w:szCs w:val="24"/>
              </w:rPr>
              <w:t>ustekinumab</w:t>
            </w:r>
            <w:proofErr w:type="spellEnd"/>
            <w:r w:rsidRPr="00FA3F9C">
              <w:rPr>
                <w:rFonts w:ascii="Arial" w:hAnsi="Arial" w:cs="Arial"/>
                <w:sz w:val="24"/>
                <w:szCs w:val="24"/>
              </w:rPr>
              <w:t>.</w:t>
            </w:r>
          </w:p>
        </w:tc>
        <w:tc>
          <w:tcPr>
            <w:tcW w:w="1980" w:type="dxa"/>
          </w:tcPr>
          <w:p w14:paraId="3F37DFB3" w14:textId="77777777" w:rsidR="005C142D" w:rsidRPr="00FA3F9C" w:rsidRDefault="005C142D" w:rsidP="007B7E00">
            <w:pPr>
              <w:rPr>
                <w:rFonts w:ascii="Arial" w:hAnsi="Arial" w:cs="Arial"/>
                <w:sz w:val="24"/>
                <w:szCs w:val="24"/>
              </w:rPr>
            </w:pPr>
          </w:p>
        </w:tc>
      </w:tr>
      <w:tr w:rsidR="005C142D" w:rsidRPr="00FA3F9C" w14:paraId="69F0F7EC" w14:textId="77777777" w:rsidTr="00D727D7">
        <w:tc>
          <w:tcPr>
            <w:tcW w:w="10998" w:type="dxa"/>
            <w:gridSpan w:val="2"/>
            <w:shd w:val="clear" w:color="auto" w:fill="E7E6E6" w:themeFill="background2"/>
          </w:tcPr>
          <w:p w14:paraId="1E02BBF2" w14:textId="77777777" w:rsidR="005C142D" w:rsidRPr="00FA3F9C" w:rsidRDefault="005C142D" w:rsidP="007B7E00">
            <w:pPr>
              <w:rPr>
                <w:rFonts w:ascii="Arial" w:hAnsi="Arial" w:cs="Arial"/>
                <w:b/>
                <w:sz w:val="24"/>
                <w:szCs w:val="24"/>
              </w:rPr>
            </w:pPr>
            <w:r w:rsidRPr="00FA3F9C">
              <w:rPr>
                <w:rFonts w:ascii="Arial" w:hAnsi="Arial" w:cs="Arial"/>
                <w:b/>
                <w:sz w:val="24"/>
                <w:szCs w:val="24"/>
              </w:rPr>
              <w:t>If the answer to 1 and 2 is yes, approve coverage for 1 year (6 doses).</w:t>
            </w:r>
          </w:p>
        </w:tc>
      </w:tr>
      <w:tr w:rsidR="005C142D" w:rsidRPr="00FA3F9C" w14:paraId="78377EAF" w14:textId="77777777" w:rsidTr="00D727D7">
        <w:tc>
          <w:tcPr>
            <w:tcW w:w="10998" w:type="dxa"/>
            <w:gridSpan w:val="2"/>
            <w:shd w:val="clear" w:color="auto" w:fill="FFFFFF" w:themeFill="background1"/>
          </w:tcPr>
          <w:p w14:paraId="5C63FDBC" w14:textId="77777777" w:rsidR="005C142D" w:rsidRPr="00FA3F9C" w:rsidRDefault="005C142D" w:rsidP="007B7E00">
            <w:pPr>
              <w:rPr>
                <w:rFonts w:ascii="Arial" w:hAnsi="Arial" w:cs="Arial"/>
                <w:sz w:val="24"/>
                <w:szCs w:val="24"/>
              </w:rPr>
            </w:pPr>
            <w:r w:rsidRPr="00FA3F9C">
              <w:rPr>
                <w:rFonts w:ascii="Arial" w:hAnsi="Arial" w:cs="Arial"/>
                <w:sz w:val="24"/>
                <w:szCs w:val="24"/>
              </w:rPr>
              <w:t>References:</w:t>
            </w:r>
          </w:p>
          <w:p w14:paraId="030A0FCF" w14:textId="77777777" w:rsidR="005C142D" w:rsidRPr="00FA3F9C" w:rsidRDefault="005C142D" w:rsidP="007B7E00">
            <w:pPr>
              <w:rPr>
                <w:rFonts w:ascii="Arial" w:hAnsi="Arial" w:cs="Arial"/>
                <w:sz w:val="24"/>
                <w:szCs w:val="24"/>
              </w:rPr>
            </w:pPr>
            <w:r w:rsidRPr="00FA3F9C">
              <w:rPr>
                <w:rFonts w:ascii="Arial" w:hAnsi="Arial" w:cs="Arial"/>
                <w:sz w:val="24"/>
                <w:szCs w:val="24"/>
              </w:rPr>
              <w:t xml:space="preserve">1. McInnes IB, Kavanaugh A, Gottlieb AB, et al. Efficacy and safety of </w:t>
            </w:r>
            <w:proofErr w:type="spellStart"/>
            <w:r w:rsidRPr="00FA3F9C">
              <w:rPr>
                <w:rFonts w:ascii="Arial" w:hAnsi="Arial" w:cs="Arial"/>
                <w:sz w:val="24"/>
                <w:szCs w:val="24"/>
              </w:rPr>
              <w:t>ustekinumab</w:t>
            </w:r>
            <w:proofErr w:type="spellEnd"/>
            <w:r w:rsidRPr="00FA3F9C">
              <w:rPr>
                <w:rFonts w:ascii="Arial" w:hAnsi="Arial" w:cs="Arial"/>
                <w:sz w:val="24"/>
                <w:szCs w:val="24"/>
              </w:rPr>
              <w:t xml:space="preserve"> in patients with active psoriatic arthritis: 1 year results of the phase 3, multicenter, double-blind, placebo-controlled PSUMMIT 1 trial. Lancet 2013;382:780-89. </w:t>
            </w:r>
          </w:p>
          <w:p w14:paraId="340D2B00" w14:textId="77777777" w:rsidR="005C142D" w:rsidRPr="00FA3F9C" w:rsidRDefault="005C142D" w:rsidP="00E901A6">
            <w:pPr>
              <w:rPr>
                <w:rFonts w:ascii="Arial" w:hAnsi="Arial" w:cs="Arial"/>
                <w:sz w:val="24"/>
                <w:szCs w:val="24"/>
              </w:rPr>
            </w:pPr>
            <w:r w:rsidRPr="00FA3F9C">
              <w:rPr>
                <w:rFonts w:ascii="Arial" w:hAnsi="Arial" w:cs="Arial"/>
                <w:sz w:val="24"/>
                <w:szCs w:val="24"/>
              </w:rPr>
              <w:t xml:space="preserve">2. </w:t>
            </w:r>
            <w:proofErr w:type="spellStart"/>
            <w:r w:rsidRPr="00FA3F9C">
              <w:rPr>
                <w:rFonts w:ascii="Arial" w:hAnsi="Arial" w:cs="Arial"/>
                <w:sz w:val="24"/>
                <w:szCs w:val="24"/>
              </w:rPr>
              <w:t>Ritchlin</w:t>
            </w:r>
            <w:proofErr w:type="spellEnd"/>
            <w:r w:rsidRPr="00FA3F9C">
              <w:rPr>
                <w:rFonts w:ascii="Arial" w:hAnsi="Arial" w:cs="Arial"/>
                <w:sz w:val="24"/>
                <w:szCs w:val="24"/>
              </w:rPr>
              <w:t xml:space="preserve"> C, Rahman P, Kavanaugh A, et al. Efficacy and safety of the anti-IL-12/23 p40 monoclonal antibody, </w:t>
            </w:r>
            <w:proofErr w:type="spellStart"/>
            <w:r w:rsidRPr="00FA3F9C">
              <w:rPr>
                <w:rFonts w:ascii="Arial" w:hAnsi="Arial" w:cs="Arial"/>
                <w:sz w:val="24"/>
                <w:szCs w:val="24"/>
              </w:rPr>
              <w:t>ustekinumab</w:t>
            </w:r>
            <w:proofErr w:type="spellEnd"/>
            <w:r w:rsidRPr="00FA3F9C">
              <w:rPr>
                <w:rFonts w:ascii="Arial" w:hAnsi="Arial" w:cs="Arial"/>
                <w:sz w:val="24"/>
                <w:szCs w:val="24"/>
              </w:rPr>
              <w:t>, in patients with active psoriatic arthritis despite conventional non-biological and biological anti-tumor necrosis factor therapy: 6-month and 1-year results of the phase 3, multicenter, double-blind, placebo-controlled, randomized PSUMMIT 2 trial. Ann Rheum Dis 2014;73:990-999.</w:t>
            </w:r>
          </w:p>
        </w:tc>
      </w:tr>
    </w:tbl>
    <w:p w14:paraId="0403EEB2" w14:textId="77777777" w:rsidR="005C142D" w:rsidRPr="00FA3F9C" w:rsidRDefault="005C142D" w:rsidP="000D1C08">
      <w:pPr>
        <w:spacing w:after="0"/>
        <w:rPr>
          <w:rFonts w:ascii="Arial" w:hAnsi="Arial" w:cs="Arial"/>
          <w:sz w:val="24"/>
          <w:szCs w:val="24"/>
        </w:rPr>
      </w:pPr>
      <w:r w:rsidRPr="00FA3F9C">
        <w:rPr>
          <w:rFonts w:ascii="Arial" w:hAnsi="Arial" w:cs="Arial"/>
          <w:sz w:val="24"/>
          <w:szCs w:val="24"/>
        </w:rPr>
        <w:t>Note: Dose for psoriatic arthritis is 45 mg. Drug is dosed at weeks 0 and 4, then every 12 weeks thereafter.</w:t>
      </w:r>
    </w:p>
    <w:p w14:paraId="25E8E487" w14:textId="77777777" w:rsidR="005C142D" w:rsidRPr="00FA3F9C" w:rsidRDefault="005C142D" w:rsidP="000D1C08">
      <w:pPr>
        <w:spacing w:after="0"/>
        <w:rPr>
          <w:rFonts w:ascii="Arial" w:hAnsi="Arial" w:cs="Arial"/>
          <w:sz w:val="24"/>
          <w:szCs w:val="24"/>
        </w:rPr>
      </w:pPr>
    </w:p>
    <w:p w14:paraId="7293DBEB" w14:textId="77777777" w:rsidR="005C142D" w:rsidRPr="00FA3F9C" w:rsidRDefault="005C142D" w:rsidP="000D1C08">
      <w:pPr>
        <w:spacing w:after="0"/>
        <w:rPr>
          <w:rFonts w:ascii="Arial" w:hAnsi="Arial" w:cs="Arial"/>
          <w:sz w:val="24"/>
          <w:szCs w:val="24"/>
        </w:rPr>
      </w:pPr>
    </w:p>
    <w:p w14:paraId="2D68AE26" w14:textId="77777777" w:rsidR="005C142D" w:rsidRPr="00FA3F9C" w:rsidRDefault="005C142D" w:rsidP="000D1C08">
      <w:pPr>
        <w:spacing w:after="0"/>
        <w:rPr>
          <w:rFonts w:ascii="Arial" w:hAnsi="Arial" w:cs="Arial"/>
          <w:sz w:val="24"/>
          <w:szCs w:val="24"/>
        </w:rPr>
      </w:pPr>
    </w:p>
    <w:tbl>
      <w:tblPr>
        <w:tblStyle w:val="TableGrid"/>
        <w:tblW w:w="0" w:type="auto"/>
        <w:tblLook w:val="04A0" w:firstRow="1" w:lastRow="0" w:firstColumn="1" w:lastColumn="0" w:noHBand="0" w:noVBand="1"/>
      </w:tblPr>
      <w:tblGrid>
        <w:gridCol w:w="10998"/>
      </w:tblGrid>
      <w:tr w:rsidR="005C142D" w:rsidRPr="00FA3F9C" w14:paraId="70B804CE" w14:textId="77777777" w:rsidTr="00921EA7">
        <w:tc>
          <w:tcPr>
            <w:tcW w:w="10998" w:type="dxa"/>
          </w:tcPr>
          <w:p w14:paraId="23EDB150" w14:textId="77777777" w:rsidR="005C142D" w:rsidRPr="00FA3F9C" w:rsidRDefault="005C142D" w:rsidP="00921EA7">
            <w:pPr>
              <w:rPr>
                <w:rFonts w:ascii="Arial" w:hAnsi="Arial" w:cs="Arial"/>
                <w:b/>
                <w:sz w:val="24"/>
                <w:szCs w:val="24"/>
              </w:rPr>
            </w:pPr>
            <w:proofErr w:type="spellStart"/>
            <w:r w:rsidRPr="00FA3F9C">
              <w:rPr>
                <w:rFonts w:ascii="Arial" w:hAnsi="Arial" w:cs="Arial"/>
                <w:b/>
                <w:sz w:val="24"/>
                <w:szCs w:val="24"/>
              </w:rPr>
              <w:t>Crohns</w:t>
            </w:r>
            <w:proofErr w:type="spellEnd"/>
            <w:r w:rsidRPr="00FA3F9C">
              <w:rPr>
                <w:rFonts w:ascii="Arial" w:hAnsi="Arial" w:cs="Arial"/>
                <w:b/>
                <w:sz w:val="24"/>
                <w:szCs w:val="24"/>
              </w:rPr>
              <w:t xml:space="preserve"> Disease</w:t>
            </w:r>
          </w:p>
        </w:tc>
      </w:tr>
      <w:tr w:rsidR="005C142D" w:rsidRPr="00FA3F9C" w14:paraId="511D9FB2" w14:textId="77777777" w:rsidTr="00AF7B49">
        <w:tc>
          <w:tcPr>
            <w:tcW w:w="10998" w:type="dxa"/>
          </w:tcPr>
          <w:p w14:paraId="5E9D3C42" w14:textId="77777777" w:rsidR="005C142D" w:rsidRPr="00FA3F9C" w:rsidRDefault="005C142D" w:rsidP="00921EA7">
            <w:pPr>
              <w:rPr>
                <w:rFonts w:ascii="Arial" w:hAnsi="Arial" w:cs="Arial"/>
                <w:sz w:val="24"/>
                <w:szCs w:val="24"/>
              </w:rPr>
            </w:pPr>
            <w:r w:rsidRPr="00FA3F9C">
              <w:rPr>
                <w:rFonts w:ascii="Arial" w:hAnsi="Arial" w:cs="Arial"/>
                <w:sz w:val="24"/>
                <w:szCs w:val="24"/>
              </w:rPr>
              <w:t xml:space="preserve">1.  The patient must have the diagnosis of </w:t>
            </w:r>
            <w:proofErr w:type="spellStart"/>
            <w:r w:rsidRPr="00FA3F9C">
              <w:rPr>
                <w:rFonts w:ascii="Arial" w:hAnsi="Arial" w:cs="Arial"/>
                <w:sz w:val="24"/>
                <w:szCs w:val="24"/>
              </w:rPr>
              <w:t>Crohns</w:t>
            </w:r>
            <w:proofErr w:type="spellEnd"/>
            <w:r w:rsidRPr="00FA3F9C">
              <w:rPr>
                <w:rFonts w:ascii="Arial" w:hAnsi="Arial" w:cs="Arial"/>
                <w:sz w:val="24"/>
                <w:szCs w:val="24"/>
              </w:rPr>
              <w:t xml:space="preserve"> disease.</w:t>
            </w:r>
          </w:p>
        </w:tc>
      </w:tr>
      <w:tr w:rsidR="005C142D" w:rsidRPr="00FA3F9C" w14:paraId="0504D70D" w14:textId="77777777" w:rsidTr="00AF7B49">
        <w:tc>
          <w:tcPr>
            <w:tcW w:w="10998" w:type="dxa"/>
          </w:tcPr>
          <w:p w14:paraId="788442D5" w14:textId="77777777" w:rsidR="005C142D" w:rsidRPr="00FA3F9C" w:rsidRDefault="005C142D" w:rsidP="00921EA7">
            <w:pPr>
              <w:rPr>
                <w:rFonts w:ascii="Arial" w:hAnsi="Arial" w:cs="Arial"/>
                <w:sz w:val="24"/>
                <w:szCs w:val="24"/>
              </w:rPr>
            </w:pPr>
            <w:r w:rsidRPr="00FA3F9C">
              <w:rPr>
                <w:rFonts w:ascii="Arial" w:hAnsi="Arial" w:cs="Arial"/>
                <w:sz w:val="24"/>
                <w:szCs w:val="24"/>
              </w:rPr>
              <w:t>2.  The patient must have a Crohn’s Disease Activity Index of 220-450 (out of 600).</w:t>
            </w:r>
          </w:p>
        </w:tc>
      </w:tr>
      <w:tr w:rsidR="005C142D" w:rsidRPr="00FA3F9C" w14:paraId="05FD70F3" w14:textId="77777777" w:rsidTr="00AF7B49">
        <w:tc>
          <w:tcPr>
            <w:tcW w:w="10998" w:type="dxa"/>
          </w:tcPr>
          <w:p w14:paraId="25BAAFF8" w14:textId="77777777" w:rsidR="005C142D" w:rsidRPr="00FA3F9C" w:rsidRDefault="005C142D" w:rsidP="003274B7">
            <w:pPr>
              <w:rPr>
                <w:rFonts w:ascii="Arial" w:hAnsi="Arial" w:cs="Arial"/>
                <w:sz w:val="24"/>
                <w:szCs w:val="24"/>
              </w:rPr>
            </w:pPr>
            <w:r w:rsidRPr="00FA3F9C">
              <w:rPr>
                <w:rFonts w:ascii="Arial" w:hAnsi="Arial" w:cs="Arial"/>
                <w:sz w:val="24"/>
                <w:szCs w:val="24"/>
              </w:rPr>
              <w:t xml:space="preserve">3.  The patient must have tried and failed Humira ( for a  minimum of 12 weeks) prior seeking </w:t>
            </w:r>
            <w:proofErr w:type="spellStart"/>
            <w:r w:rsidRPr="00FA3F9C">
              <w:rPr>
                <w:rFonts w:ascii="Arial" w:hAnsi="Arial" w:cs="Arial"/>
                <w:sz w:val="24"/>
                <w:szCs w:val="24"/>
              </w:rPr>
              <w:t>ustekinumab</w:t>
            </w:r>
            <w:proofErr w:type="spellEnd"/>
            <w:r w:rsidRPr="00FA3F9C">
              <w:rPr>
                <w:rFonts w:ascii="Arial" w:hAnsi="Arial" w:cs="Arial"/>
                <w:sz w:val="24"/>
                <w:szCs w:val="24"/>
              </w:rPr>
              <w:t>.</w:t>
            </w:r>
          </w:p>
        </w:tc>
      </w:tr>
      <w:tr w:rsidR="005C142D" w:rsidRPr="00FA3F9C" w14:paraId="243BCAF6" w14:textId="77777777" w:rsidTr="00AF7B49">
        <w:tc>
          <w:tcPr>
            <w:tcW w:w="10998" w:type="dxa"/>
          </w:tcPr>
          <w:p w14:paraId="66E2C210" w14:textId="77777777" w:rsidR="005C142D" w:rsidRPr="00FA3F9C" w:rsidRDefault="005C142D" w:rsidP="00921EA7">
            <w:pPr>
              <w:rPr>
                <w:rFonts w:ascii="Arial" w:hAnsi="Arial" w:cs="Arial"/>
                <w:sz w:val="24"/>
                <w:szCs w:val="24"/>
              </w:rPr>
            </w:pPr>
          </w:p>
        </w:tc>
      </w:tr>
      <w:tr w:rsidR="005C142D" w:rsidRPr="00FA3F9C" w14:paraId="28EC28BD" w14:textId="77777777" w:rsidTr="00921EA7">
        <w:tc>
          <w:tcPr>
            <w:tcW w:w="10998" w:type="dxa"/>
            <w:shd w:val="clear" w:color="auto" w:fill="E7E6E6" w:themeFill="background2"/>
          </w:tcPr>
          <w:p w14:paraId="24E60F78" w14:textId="77777777" w:rsidR="005C142D" w:rsidRPr="00FA3F9C" w:rsidRDefault="005C142D" w:rsidP="00921EA7">
            <w:pPr>
              <w:rPr>
                <w:rFonts w:ascii="Arial" w:hAnsi="Arial" w:cs="Arial"/>
                <w:b/>
                <w:sz w:val="24"/>
                <w:szCs w:val="24"/>
              </w:rPr>
            </w:pPr>
            <w:r w:rsidRPr="00FA3F9C">
              <w:rPr>
                <w:rFonts w:ascii="Arial" w:hAnsi="Arial" w:cs="Arial"/>
                <w:b/>
                <w:sz w:val="24"/>
                <w:szCs w:val="24"/>
              </w:rPr>
              <w:t>If the patient satisfies the criteria above, PA is approved for 1 year.</w:t>
            </w:r>
          </w:p>
        </w:tc>
      </w:tr>
      <w:tr w:rsidR="005C142D" w:rsidRPr="00FA3F9C" w14:paraId="2FC5D800" w14:textId="77777777" w:rsidTr="00921EA7">
        <w:tc>
          <w:tcPr>
            <w:tcW w:w="10998" w:type="dxa"/>
            <w:shd w:val="clear" w:color="auto" w:fill="FFFFFF" w:themeFill="background1"/>
          </w:tcPr>
          <w:p w14:paraId="06E3B2B4" w14:textId="77777777" w:rsidR="005C142D" w:rsidRPr="00FA3F9C" w:rsidRDefault="005C142D" w:rsidP="00921EA7">
            <w:pPr>
              <w:rPr>
                <w:rFonts w:ascii="Arial" w:hAnsi="Arial" w:cs="Arial"/>
                <w:sz w:val="24"/>
                <w:szCs w:val="24"/>
              </w:rPr>
            </w:pPr>
            <w:r w:rsidRPr="00FA3F9C">
              <w:rPr>
                <w:rFonts w:ascii="Arial" w:hAnsi="Arial" w:cs="Arial"/>
                <w:sz w:val="24"/>
                <w:szCs w:val="24"/>
              </w:rPr>
              <w:t>References:</w:t>
            </w:r>
          </w:p>
          <w:p w14:paraId="684B6746" w14:textId="77777777" w:rsidR="005C142D" w:rsidRPr="00FA3F9C" w:rsidRDefault="005C142D" w:rsidP="00921EA7">
            <w:pPr>
              <w:rPr>
                <w:rFonts w:ascii="Arial" w:eastAsia="Times New Roman" w:hAnsi="Arial" w:cs="Arial"/>
                <w:sz w:val="24"/>
                <w:szCs w:val="24"/>
              </w:rPr>
            </w:pPr>
            <w:r w:rsidRPr="00FA3F9C">
              <w:rPr>
                <w:rFonts w:ascii="Arial" w:hAnsi="Arial" w:cs="Arial"/>
                <w:sz w:val="24"/>
                <w:szCs w:val="24"/>
              </w:rPr>
              <w:t xml:space="preserve">1. </w:t>
            </w:r>
            <w:proofErr w:type="spellStart"/>
            <w:r w:rsidRPr="00FA3F9C">
              <w:rPr>
                <w:rFonts w:ascii="Arial" w:eastAsia="Times New Roman" w:hAnsi="Arial" w:cs="Arial"/>
                <w:color w:val="222222"/>
                <w:sz w:val="24"/>
                <w:szCs w:val="24"/>
                <w:shd w:val="clear" w:color="auto" w:fill="FFFFFF"/>
              </w:rPr>
              <w:t>Feagan</w:t>
            </w:r>
            <w:proofErr w:type="spellEnd"/>
            <w:r w:rsidRPr="00FA3F9C">
              <w:rPr>
                <w:rFonts w:ascii="Arial" w:eastAsia="Times New Roman" w:hAnsi="Arial" w:cs="Arial"/>
                <w:color w:val="222222"/>
                <w:sz w:val="24"/>
                <w:szCs w:val="24"/>
                <w:shd w:val="clear" w:color="auto" w:fill="FFFFFF"/>
              </w:rPr>
              <w:t>, Brian G., et al. "Ustekinumab as induction and maintenance therapy for Crohn’s disease." </w:t>
            </w:r>
            <w:r w:rsidRPr="00FA3F9C">
              <w:rPr>
                <w:rFonts w:ascii="Arial" w:eastAsia="Times New Roman" w:hAnsi="Arial" w:cs="Arial"/>
                <w:i/>
                <w:iCs/>
                <w:color w:val="222222"/>
                <w:sz w:val="24"/>
                <w:szCs w:val="24"/>
                <w:shd w:val="clear" w:color="auto" w:fill="FFFFFF"/>
              </w:rPr>
              <w:t>New England Journal of Medicine</w:t>
            </w:r>
            <w:r w:rsidRPr="00FA3F9C">
              <w:rPr>
                <w:rFonts w:ascii="Arial" w:eastAsia="Times New Roman" w:hAnsi="Arial" w:cs="Arial"/>
                <w:color w:val="222222"/>
                <w:sz w:val="24"/>
                <w:szCs w:val="24"/>
                <w:shd w:val="clear" w:color="auto" w:fill="FFFFFF"/>
              </w:rPr>
              <w:t> 375.20 (2016): 1946-1960.</w:t>
            </w:r>
          </w:p>
        </w:tc>
      </w:tr>
    </w:tbl>
    <w:p w14:paraId="53FC3D3C" w14:textId="77777777" w:rsidR="005C142D" w:rsidRPr="00FA3F9C" w:rsidRDefault="005C142D" w:rsidP="000D1C08">
      <w:pPr>
        <w:spacing w:after="0"/>
        <w:rPr>
          <w:rFonts w:ascii="Arial" w:hAnsi="Arial" w:cs="Arial"/>
          <w:sz w:val="24"/>
          <w:szCs w:val="24"/>
        </w:rPr>
      </w:pPr>
    </w:p>
    <w:p w14:paraId="0EC5FA58" w14:textId="77777777" w:rsidR="005C142D" w:rsidRPr="00FA3F9C" w:rsidRDefault="005C142D" w:rsidP="000D1C08">
      <w:pPr>
        <w:spacing w:after="0"/>
        <w:rPr>
          <w:rFonts w:ascii="Arial" w:hAnsi="Arial" w:cs="Arial"/>
          <w:sz w:val="24"/>
          <w:szCs w:val="24"/>
        </w:rPr>
      </w:pPr>
    </w:p>
    <w:tbl>
      <w:tblPr>
        <w:tblStyle w:val="TableGrid"/>
        <w:tblW w:w="0" w:type="auto"/>
        <w:tblLook w:val="04A0" w:firstRow="1" w:lastRow="0" w:firstColumn="1" w:lastColumn="0" w:noHBand="0" w:noVBand="1"/>
      </w:tblPr>
      <w:tblGrid>
        <w:gridCol w:w="1188"/>
        <w:gridCol w:w="7830"/>
        <w:gridCol w:w="1980"/>
      </w:tblGrid>
      <w:tr w:rsidR="005C142D" w:rsidRPr="00FA3F9C" w14:paraId="5B55BDC6" w14:textId="77777777" w:rsidTr="00D727D7">
        <w:tc>
          <w:tcPr>
            <w:tcW w:w="1188" w:type="dxa"/>
          </w:tcPr>
          <w:p w14:paraId="5C21C9C0" w14:textId="77777777" w:rsidR="005C142D" w:rsidRPr="00FA3F9C" w:rsidRDefault="005C142D" w:rsidP="00A66C4E">
            <w:pPr>
              <w:jc w:val="center"/>
              <w:rPr>
                <w:rFonts w:ascii="Arial" w:hAnsi="Arial" w:cs="Arial"/>
                <w:b/>
                <w:sz w:val="24"/>
                <w:szCs w:val="24"/>
              </w:rPr>
            </w:pPr>
            <w:r w:rsidRPr="00FA3F9C">
              <w:rPr>
                <w:rFonts w:ascii="Arial" w:hAnsi="Arial" w:cs="Arial"/>
                <w:b/>
                <w:sz w:val="24"/>
                <w:szCs w:val="24"/>
              </w:rPr>
              <w:t>Date</w:t>
            </w:r>
          </w:p>
        </w:tc>
        <w:tc>
          <w:tcPr>
            <w:tcW w:w="7830" w:type="dxa"/>
          </w:tcPr>
          <w:p w14:paraId="1745A50B" w14:textId="77777777" w:rsidR="005C142D" w:rsidRPr="00FA3F9C" w:rsidRDefault="005C142D" w:rsidP="00A66C4E">
            <w:pPr>
              <w:jc w:val="center"/>
              <w:rPr>
                <w:rFonts w:ascii="Arial" w:hAnsi="Arial" w:cs="Arial"/>
                <w:b/>
                <w:sz w:val="24"/>
                <w:szCs w:val="24"/>
              </w:rPr>
            </w:pPr>
            <w:r w:rsidRPr="00FA3F9C">
              <w:rPr>
                <w:rFonts w:ascii="Arial" w:hAnsi="Arial" w:cs="Arial"/>
                <w:b/>
                <w:sz w:val="24"/>
                <w:szCs w:val="24"/>
              </w:rPr>
              <w:t>What changed</w:t>
            </w:r>
          </w:p>
        </w:tc>
        <w:tc>
          <w:tcPr>
            <w:tcW w:w="1980" w:type="dxa"/>
          </w:tcPr>
          <w:p w14:paraId="65D945C0" w14:textId="77777777" w:rsidR="005C142D" w:rsidRPr="00FA3F9C" w:rsidRDefault="005C142D" w:rsidP="00A66C4E">
            <w:pPr>
              <w:jc w:val="center"/>
              <w:rPr>
                <w:rFonts w:ascii="Arial" w:hAnsi="Arial" w:cs="Arial"/>
                <w:b/>
                <w:sz w:val="24"/>
                <w:szCs w:val="24"/>
              </w:rPr>
            </w:pPr>
            <w:r w:rsidRPr="00FA3F9C">
              <w:rPr>
                <w:rFonts w:ascii="Arial" w:hAnsi="Arial" w:cs="Arial"/>
                <w:b/>
                <w:sz w:val="24"/>
                <w:szCs w:val="24"/>
              </w:rPr>
              <w:t>PharmD Initials</w:t>
            </w:r>
          </w:p>
        </w:tc>
      </w:tr>
      <w:tr w:rsidR="005C142D" w:rsidRPr="00FA3F9C" w14:paraId="404A4BEB" w14:textId="77777777" w:rsidTr="00D727D7">
        <w:tc>
          <w:tcPr>
            <w:tcW w:w="1188" w:type="dxa"/>
          </w:tcPr>
          <w:p w14:paraId="035E4BC5" w14:textId="77777777" w:rsidR="005C142D" w:rsidRPr="00FA3F9C" w:rsidRDefault="005C142D" w:rsidP="000D1C08">
            <w:pPr>
              <w:rPr>
                <w:rFonts w:ascii="Arial" w:hAnsi="Arial" w:cs="Arial"/>
                <w:sz w:val="24"/>
                <w:szCs w:val="24"/>
              </w:rPr>
            </w:pPr>
            <w:r w:rsidRPr="00FA3F9C">
              <w:rPr>
                <w:rFonts w:ascii="Arial" w:hAnsi="Arial" w:cs="Arial"/>
                <w:sz w:val="24"/>
                <w:szCs w:val="24"/>
              </w:rPr>
              <w:t>11.7.14</w:t>
            </w:r>
          </w:p>
        </w:tc>
        <w:tc>
          <w:tcPr>
            <w:tcW w:w="7830" w:type="dxa"/>
          </w:tcPr>
          <w:p w14:paraId="538D7B30" w14:textId="77777777" w:rsidR="005C142D" w:rsidRPr="00FA3F9C" w:rsidRDefault="005C142D" w:rsidP="000D1C08">
            <w:pPr>
              <w:rPr>
                <w:rFonts w:ascii="Arial" w:hAnsi="Arial" w:cs="Arial"/>
                <w:sz w:val="24"/>
                <w:szCs w:val="24"/>
              </w:rPr>
            </w:pPr>
            <w:r w:rsidRPr="00FA3F9C">
              <w:rPr>
                <w:rFonts w:ascii="Arial" w:hAnsi="Arial" w:cs="Arial"/>
                <w:sz w:val="24"/>
                <w:szCs w:val="24"/>
              </w:rPr>
              <w:t>PA criteria written</w:t>
            </w:r>
          </w:p>
        </w:tc>
        <w:tc>
          <w:tcPr>
            <w:tcW w:w="1980" w:type="dxa"/>
          </w:tcPr>
          <w:p w14:paraId="75BBCA3C" w14:textId="77777777" w:rsidR="005C142D" w:rsidRPr="00FA3F9C" w:rsidRDefault="005C142D" w:rsidP="000D1C08">
            <w:pPr>
              <w:rPr>
                <w:rFonts w:ascii="Arial" w:hAnsi="Arial" w:cs="Arial"/>
                <w:sz w:val="24"/>
                <w:szCs w:val="24"/>
              </w:rPr>
            </w:pPr>
            <w:r w:rsidRPr="00FA3F9C">
              <w:rPr>
                <w:rFonts w:ascii="Arial" w:hAnsi="Arial" w:cs="Arial"/>
                <w:sz w:val="24"/>
                <w:szCs w:val="24"/>
              </w:rPr>
              <w:t>GBB</w:t>
            </w:r>
          </w:p>
        </w:tc>
      </w:tr>
      <w:tr w:rsidR="005C142D" w:rsidRPr="00FA3F9C" w14:paraId="1C9D47C1" w14:textId="77777777" w:rsidTr="00D727D7">
        <w:tc>
          <w:tcPr>
            <w:tcW w:w="1188" w:type="dxa"/>
          </w:tcPr>
          <w:p w14:paraId="7D4F5467" w14:textId="77777777" w:rsidR="005C142D" w:rsidRPr="00FA3F9C" w:rsidRDefault="005C142D" w:rsidP="000D1C08">
            <w:pPr>
              <w:rPr>
                <w:rFonts w:ascii="Arial" w:hAnsi="Arial" w:cs="Arial"/>
                <w:sz w:val="24"/>
                <w:szCs w:val="24"/>
              </w:rPr>
            </w:pPr>
            <w:r w:rsidRPr="00FA3F9C">
              <w:rPr>
                <w:rFonts w:ascii="Arial" w:hAnsi="Arial" w:cs="Arial"/>
                <w:sz w:val="24"/>
                <w:szCs w:val="24"/>
              </w:rPr>
              <w:t>3/3/17</w:t>
            </w:r>
          </w:p>
        </w:tc>
        <w:tc>
          <w:tcPr>
            <w:tcW w:w="7830" w:type="dxa"/>
          </w:tcPr>
          <w:p w14:paraId="6765F20B" w14:textId="77777777" w:rsidR="005C142D" w:rsidRPr="00FA3F9C" w:rsidRDefault="005C142D" w:rsidP="000D1C08">
            <w:pPr>
              <w:rPr>
                <w:rFonts w:ascii="Arial" w:hAnsi="Arial" w:cs="Arial"/>
                <w:sz w:val="24"/>
                <w:szCs w:val="24"/>
              </w:rPr>
            </w:pPr>
            <w:r w:rsidRPr="00FA3F9C">
              <w:rPr>
                <w:rFonts w:ascii="Arial" w:hAnsi="Arial" w:cs="Arial"/>
                <w:sz w:val="24"/>
                <w:szCs w:val="24"/>
              </w:rPr>
              <w:t>I added the Crohn’s indication and reference.</w:t>
            </w:r>
          </w:p>
        </w:tc>
        <w:tc>
          <w:tcPr>
            <w:tcW w:w="1980" w:type="dxa"/>
          </w:tcPr>
          <w:p w14:paraId="4D038F4C" w14:textId="23E861BA" w:rsidR="005C142D" w:rsidRPr="00FA3F9C" w:rsidRDefault="005C142D" w:rsidP="000D1C08">
            <w:pPr>
              <w:rPr>
                <w:rFonts w:ascii="Arial" w:hAnsi="Arial" w:cs="Arial"/>
                <w:sz w:val="24"/>
                <w:szCs w:val="24"/>
              </w:rPr>
            </w:pPr>
            <w:r w:rsidRPr="00FA3F9C">
              <w:rPr>
                <w:rFonts w:ascii="Arial" w:hAnsi="Arial" w:cs="Arial"/>
                <w:sz w:val="24"/>
                <w:szCs w:val="24"/>
              </w:rPr>
              <w:t xml:space="preserve">J </w:t>
            </w:r>
            <w:r w:rsidR="002F3083">
              <w:rPr>
                <w:rFonts w:ascii="Arial" w:hAnsi="Arial" w:cs="Arial"/>
                <w:sz w:val="24"/>
                <w:szCs w:val="24"/>
              </w:rPr>
              <w:t>JJ</w:t>
            </w:r>
          </w:p>
        </w:tc>
      </w:tr>
      <w:tr w:rsidR="005C142D" w:rsidRPr="00FA3F9C" w14:paraId="586CC557" w14:textId="77777777" w:rsidTr="00D727D7">
        <w:tc>
          <w:tcPr>
            <w:tcW w:w="1188" w:type="dxa"/>
          </w:tcPr>
          <w:p w14:paraId="58D6753A" w14:textId="77777777" w:rsidR="005C142D" w:rsidRPr="00FA3F9C" w:rsidRDefault="005C142D" w:rsidP="000D1C08">
            <w:pPr>
              <w:rPr>
                <w:rFonts w:ascii="Arial" w:hAnsi="Arial" w:cs="Arial"/>
                <w:sz w:val="24"/>
                <w:szCs w:val="24"/>
              </w:rPr>
            </w:pPr>
            <w:r w:rsidRPr="00FA3F9C">
              <w:rPr>
                <w:rFonts w:ascii="Arial" w:hAnsi="Arial" w:cs="Arial"/>
                <w:sz w:val="24"/>
                <w:szCs w:val="24"/>
              </w:rPr>
              <w:t>3/7/17</w:t>
            </w:r>
          </w:p>
        </w:tc>
        <w:tc>
          <w:tcPr>
            <w:tcW w:w="7830" w:type="dxa"/>
          </w:tcPr>
          <w:p w14:paraId="365C222A" w14:textId="77777777" w:rsidR="005C142D" w:rsidRPr="00FA3F9C" w:rsidRDefault="005C142D" w:rsidP="000D1C08">
            <w:pPr>
              <w:rPr>
                <w:rFonts w:ascii="Arial" w:hAnsi="Arial" w:cs="Arial"/>
                <w:sz w:val="24"/>
                <w:szCs w:val="24"/>
              </w:rPr>
            </w:pPr>
            <w:r w:rsidRPr="00FA3F9C">
              <w:rPr>
                <w:rFonts w:ascii="Arial" w:hAnsi="Arial" w:cs="Arial"/>
                <w:sz w:val="24"/>
                <w:szCs w:val="24"/>
              </w:rPr>
              <w:t xml:space="preserve">Corrected criteria to require failure of </w:t>
            </w:r>
            <w:proofErr w:type="spellStart"/>
            <w:r w:rsidRPr="00FA3F9C">
              <w:rPr>
                <w:rFonts w:ascii="Arial" w:hAnsi="Arial" w:cs="Arial"/>
                <w:sz w:val="24"/>
                <w:szCs w:val="24"/>
              </w:rPr>
              <w:t>humira</w:t>
            </w:r>
            <w:proofErr w:type="spellEnd"/>
            <w:r w:rsidRPr="00FA3F9C">
              <w:rPr>
                <w:rFonts w:ascii="Arial" w:hAnsi="Arial" w:cs="Arial"/>
                <w:sz w:val="24"/>
                <w:szCs w:val="24"/>
              </w:rPr>
              <w:t xml:space="preserve"> AND Enbrel for </w:t>
            </w:r>
            <w:proofErr w:type="spellStart"/>
            <w:r w:rsidRPr="00FA3F9C">
              <w:rPr>
                <w:rFonts w:ascii="Arial" w:hAnsi="Arial" w:cs="Arial"/>
                <w:sz w:val="24"/>
                <w:szCs w:val="24"/>
              </w:rPr>
              <w:t>PPso</w:t>
            </w:r>
            <w:proofErr w:type="spellEnd"/>
            <w:r w:rsidRPr="00FA3F9C">
              <w:rPr>
                <w:rFonts w:ascii="Arial" w:hAnsi="Arial" w:cs="Arial"/>
                <w:sz w:val="24"/>
                <w:szCs w:val="24"/>
              </w:rPr>
              <w:t xml:space="preserve"> and </w:t>
            </w:r>
            <w:proofErr w:type="spellStart"/>
            <w:r w:rsidRPr="00FA3F9C">
              <w:rPr>
                <w:rFonts w:ascii="Arial" w:hAnsi="Arial" w:cs="Arial"/>
                <w:sz w:val="24"/>
                <w:szCs w:val="24"/>
              </w:rPr>
              <w:t>PsArth</w:t>
            </w:r>
            <w:proofErr w:type="spellEnd"/>
            <w:r w:rsidRPr="00FA3F9C">
              <w:rPr>
                <w:rFonts w:ascii="Arial" w:hAnsi="Arial" w:cs="Arial"/>
                <w:sz w:val="24"/>
                <w:szCs w:val="24"/>
              </w:rPr>
              <w:t xml:space="preserve">, but only Humira for </w:t>
            </w:r>
            <w:proofErr w:type="spellStart"/>
            <w:r w:rsidRPr="00FA3F9C">
              <w:rPr>
                <w:rFonts w:ascii="Arial" w:hAnsi="Arial" w:cs="Arial"/>
                <w:sz w:val="24"/>
                <w:szCs w:val="24"/>
              </w:rPr>
              <w:t>Crohns</w:t>
            </w:r>
            <w:proofErr w:type="spellEnd"/>
          </w:p>
        </w:tc>
        <w:tc>
          <w:tcPr>
            <w:tcW w:w="1980" w:type="dxa"/>
          </w:tcPr>
          <w:p w14:paraId="079774E9" w14:textId="77777777" w:rsidR="005C142D" w:rsidRPr="00FA3F9C" w:rsidRDefault="005C142D" w:rsidP="000D1C08">
            <w:pPr>
              <w:rPr>
                <w:rFonts w:ascii="Arial" w:hAnsi="Arial" w:cs="Arial"/>
                <w:sz w:val="24"/>
                <w:szCs w:val="24"/>
              </w:rPr>
            </w:pPr>
            <w:r w:rsidRPr="00FA3F9C">
              <w:rPr>
                <w:rFonts w:ascii="Arial" w:hAnsi="Arial" w:cs="Arial"/>
                <w:sz w:val="24"/>
                <w:szCs w:val="24"/>
              </w:rPr>
              <w:t>JJ</w:t>
            </w:r>
          </w:p>
        </w:tc>
      </w:tr>
    </w:tbl>
    <w:p w14:paraId="5FDB8B5F" w14:textId="77777777" w:rsidR="005C142D" w:rsidRPr="00FA3F9C" w:rsidRDefault="005C142D" w:rsidP="000D1C08">
      <w:pPr>
        <w:spacing w:after="0"/>
        <w:rPr>
          <w:rFonts w:ascii="Arial" w:hAnsi="Arial" w:cs="Arial"/>
          <w:sz w:val="24"/>
          <w:szCs w:val="24"/>
        </w:rPr>
      </w:pPr>
    </w:p>
    <w:tbl>
      <w:tblPr>
        <w:tblStyle w:val="TableGrid"/>
        <w:tblW w:w="0" w:type="auto"/>
        <w:tblLook w:val="04A0" w:firstRow="1" w:lastRow="0" w:firstColumn="1" w:lastColumn="0" w:noHBand="0" w:noVBand="1"/>
      </w:tblPr>
      <w:tblGrid>
        <w:gridCol w:w="1188"/>
        <w:gridCol w:w="9810"/>
      </w:tblGrid>
      <w:tr w:rsidR="005C142D" w:rsidRPr="00FA3F9C" w14:paraId="6B9D6FDF" w14:textId="77777777" w:rsidTr="00D727D7">
        <w:tc>
          <w:tcPr>
            <w:tcW w:w="1188" w:type="dxa"/>
          </w:tcPr>
          <w:p w14:paraId="047EA384" w14:textId="77777777" w:rsidR="005C142D" w:rsidRPr="00FA3F9C" w:rsidRDefault="005C142D" w:rsidP="000D1C08">
            <w:pPr>
              <w:rPr>
                <w:rFonts w:ascii="Arial" w:hAnsi="Arial" w:cs="Arial"/>
                <w:b/>
                <w:sz w:val="24"/>
                <w:szCs w:val="24"/>
              </w:rPr>
            </w:pPr>
            <w:r w:rsidRPr="00FA3F9C">
              <w:rPr>
                <w:rFonts w:ascii="Arial" w:hAnsi="Arial" w:cs="Arial"/>
                <w:b/>
                <w:sz w:val="24"/>
                <w:szCs w:val="24"/>
              </w:rPr>
              <w:t>PASI</w:t>
            </w:r>
          </w:p>
        </w:tc>
        <w:tc>
          <w:tcPr>
            <w:tcW w:w="9810" w:type="dxa"/>
          </w:tcPr>
          <w:p w14:paraId="0953B6EE" w14:textId="77777777" w:rsidR="005C142D" w:rsidRPr="00FA3F9C" w:rsidRDefault="005C142D" w:rsidP="000D1C08">
            <w:pPr>
              <w:rPr>
                <w:rFonts w:ascii="Arial" w:hAnsi="Arial" w:cs="Arial"/>
                <w:sz w:val="24"/>
                <w:szCs w:val="24"/>
              </w:rPr>
            </w:pPr>
            <w:r w:rsidRPr="00FA3F9C">
              <w:rPr>
                <w:rFonts w:ascii="Arial" w:hAnsi="Arial" w:cs="Arial"/>
                <w:sz w:val="24"/>
                <w:szCs w:val="24"/>
              </w:rPr>
              <w:t>Psoriasis Area Severity Index. Used to express the severity of psoriasis based on a combination of erythema, induration, and desquamation over the percentage of affected body area. Scale ranges from 0 (no disease) to 72 (maximal disease).</w:t>
            </w:r>
          </w:p>
        </w:tc>
      </w:tr>
      <w:tr w:rsidR="005C142D" w:rsidRPr="00FA3F9C" w14:paraId="4CE89683" w14:textId="77777777" w:rsidTr="00D727D7">
        <w:tc>
          <w:tcPr>
            <w:tcW w:w="1188" w:type="dxa"/>
          </w:tcPr>
          <w:p w14:paraId="11D9ACAF" w14:textId="77777777" w:rsidR="005C142D" w:rsidRPr="00FA3F9C" w:rsidRDefault="005C142D" w:rsidP="000D1C08">
            <w:pPr>
              <w:rPr>
                <w:rFonts w:ascii="Arial" w:hAnsi="Arial" w:cs="Arial"/>
                <w:sz w:val="24"/>
                <w:szCs w:val="24"/>
              </w:rPr>
            </w:pPr>
          </w:p>
        </w:tc>
        <w:tc>
          <w:tcPr>
            <w:tcW w:w="9810" w:type="dxa"/>
          </w:tcPr>
          <w:p w14:paraId="66C273FD" w14:textId="77777777" w:rsidR="005C142D" w:rsidRPr="00FA3F9C" w:rsidRDefault="005C142D" w:rsidP="000D1C08">
            <w:pPr>
              <w:rPr>
                <w:rFonts w:ascii="Arial" w:hAnsi="Arial" w:cs="Arial"/>
                <w:sz w:val="24"/>
                <w:szCs w:val="24"/>
              </w:rPr>
            </w:pPr>
          </w:p>
        </w:tc>
      </w:tr>
      <w:tr w:rsidR="005C142D" w:rsidRPr="00FA3F9C" w14:paraId="652B212F" w14:textId="77777777" w:rsidTr="00D727D7">
        <w:tc>
          <w:tcPr>
            <w:tcW w:w="1188" w:type="dxa"/>
          </w:tcPr>
          <w:p w14:paraId="11E3051F" w14:textId="77777777" w:rsidR="005C142D" w:rsidRPr="00FA3F9C" w:rsidRDefault="005C142D" w:rsidP="000D1C08">
            <w:pPr>
              <w:rPr>
                <w:rFonts w:ascii="Arial" w:hAnsi="Arial" w:cs="Arial"/>
                <w:sz w:val="24"/>
                <w:szCs w:val="24"/>
              </w:rPr>
            </w:pPr>
          </w:p>
        </w:tc>
        <w:tc>
          <w:tcPr>
            <w:tcW w:w="9810" w:type="dxa"/>
          </w:tcPr>
          <w:p w14:paraId="4D482E75" w14:textId="77777777" w:rsidR="005C142D" w:rsidRPr="00FA3F9C" w:rsidRDefault="005C142D" w:rsidP="000D1C08">
            <w:pPr>
              <w:rPr>
                <w:rFonts w:ascii="Arial" w:hAnsi="Arial" w:cs="Arial"/>
                <w:sz w:val="24"/>
                <w:szCs w:val="24"/>
              </w:rPr>
            </w:pPr>
          </w:p>
        </w:tc>
      </w:tr>
    </w:tbl>
    <w:p w14:paraId="42A4EA61" w14:textId="77777777" w:rsidR="005C142D" w:rsidRPr="00FA3F9C" w:rsidRDefault="005C142D" w:rsidP="000D1C08">
      <w:pPr>
        <w:spacing w:after="0"/>
        <w:rPr>
          <w:rFonts w:ascii="Arial" w:hAnsi="Arial" w:cs="Arial"/>
          <w:sz w:val="24"/>
          <w:szCs w:val="24"/>
        </w:rPr>
      </w:pPr>
    </w:p>
    <w:p w14:paraId="77EA5EE9" w14:textId="77777777" w:rsidR="005D3DE3" w:rsidRDefault="005C142D" w:rsidP="005D3DE3">
      <w:pPr>
        <w:pStyle w:val="Heading2"/>
      </w:pPr>
      <w:bookmarkStart w:id="331" w:name="_Toc106369954"/>
      <w:r w:rsidRPr="00FA3F9C">
        <w:t>Vedolizumab (Entyvio)</w:t>
      </w:r>
      <w:bookmarkEnd w:id="331"/>
      <w:r w:rsidRPr="00FA3F9C">
        <w:t xml:space="preserve"> </w:t>
      </w:r>
    </w:p>
    <w:p w14:paraId="02DC18CE" w14:textId="449DE1C0" w:rsidR="005C142D" w:rsidRDefault="005C142D" w:rsidP="009F429C">
      <w:pPr>
        <w:spacing w:line="240" w:lineRule="auto"/>
        <w:contextualSpacing/>
        <w:jc w:val="center"/>
        <w:rPr>
          <w:rFonts w:ascii="Arial" w:hAnsi="Arial" w:cs="Arial"/>
          <w:b/>
          <w:sz w:val="24"/>
          <w:szCs w:val="24"/>
        </w:rPr>
      </w:pPr>
      <w:r w:rsidRPr="00FA3F9C">
        <w:rPr>
          <w:rFonts w:ascii="Arial" w:hAnsi="Arial" w:cs="Arial"/>
          <w:b/>
          <w:sz w:val="24"/>
          <w:szCs w:val="24"/>
        </w:rPr>
        <w:t>300mg (1ea) solution for IV push or bolus</w:t>
      </w:r>
    </w:p>
    <w:p w14:paraId="355979AE" w14:textId="77777777" w:rsidR="005D3DE3" w:rsidRPr="00FA3F9C" w:rsidRDefault="005D3DE3" w:rsidP="005D3DE3">
      <w:pPr>
        <w:spacing w:line="240" w:lineRule="auto"/>
        <w:contextualSpacing/>
        <w:jc w:val="center"/>
        <w:rPr>
          <w:rFonts w:ascii="Arial" w:hAnsi="Arial" w:cs="Arial"/>
          <w:b/>
          <w:sz w:val="24"/>
          <w:szCs w:val="24"/>
        </w:rPr>
      </w:pPr>
      <w:r w:rsidRPr="00FA3F9C">
        <w:rPr>
          <w:rFonts w:ascii="Arial" w:hAnsi="Arial" w:cs="Arial"/>
          <w:b/>
          <w:sz w:val="24"/>
          <w:szCs w:val="24"/>
        </w:rPr>
        <w:t xml:space="preserve">EBRx PA Criteria </w:t>
      </w:r>
    </w:p>
    <w:p w14:paraId="43307731" w14:textId="77777777" w:rsidR="005D3DE3" w:rsidRPr="00FA3F9C" w:rsidRDefault="005D3DE3" w:rsidP="009F429C">
      <w:pPr>
        <w:spacing w:line="240" w:lineRule="auto"/>
        <w:contextualSpacing/>
        <w:jc w:val="center"/>
        <w:rPr>
          <w:rFonts w:ascii="Arial" w:hAnsi="Arial" w:cs="Arial"/>
          <w:b/>
          <w:sz w:val="24"/>
          <w:szCs w:val="24"/>
        </w:rPr>
      </w:pPr>
    </w:p>
    <w:p w14:paraId="50B04032" w14:textId="77777777" w:rsidR="005C142D" w:rsidRPr="00FA3F9C" w:rsidRDefault="005C142D" w:rsidP="009F429C">
      <w:pPr>
        <w:spacing w:line="240" w:lineRule="auto"/>
        <w:contextualSpacing/>
        <w:jc w:val="center"/>
        <w:rPr>
          <w:rFonts w:ascii="Arial" w:hAnsi="Arial" w:cs="Arial"/>
          <w:b/>
          <w:sz w:val="24"/>
          <w:szCs w:val="24"/>
        </w:rPr>
      </w:pPr>
    </w:p>
    <w:p w14:paraId="149BA233" w14:textId="77777777" w:rsidR="005C142D" w:rsidRPr="00FA3F9C" w:rsidRDefault="005C142D" w:rsidP="009F429C">
      <w:pPr>
        <w:spacing w:line="240" w:lineRule="auto"/>
        <w:contextualSpacing/>
        <w:jc w:val="center"/>
        <w:rPr>
          <w:rFonts w:ascii="Arial" w:hAnsi="Arial" w:cs="Arial"/>
          <w:b/>
          <w:sz w:val="24"/>
          <w:szCs w:val="24"/>
        </w:rPr>
      </w:pPr>
    </w:p>
    <w:tbl>
      <w:tblPr>
        <w:tblStyle w:val="TableGrid"/>
        <w:tblW w:w="9350" w:type="dxa"/>
        <w:tblInd w:w="-100" w:type="dxa"/>
        <w:tblLook w:val="04A0" w:firstRow="1" w:lastRow="0" w:firstColumn="1" w:lastColumn="0" w:noHBand="0" w:noVBand="1"/>
      </w:tblPr>
      <w:tblGrid>
        <w:gridCol w:w="7645"/>
        <w:gridCol w:w="1705"/>
      </w:tblGrid>
      <w:tr w:rsidR="005C142D" w:rsidRPr="00FA3F9C" w14:paraId="69D15C15" w14:textId="77777777" w:rsidTr="001103FC">
        <w:tc>
          <w:tcPr>
            <w:tcW w:w="9350" w:type="dxa"/>
            <w:gridSpan w:val="2"/>
            <w:tcBorders>
              <w:top w:val="single" w:sz="12" w:space="0" w:color="auto"/>
              <w:left w:val="single" w:sz="12" w:space="0" w:color="auto"/>
              <w:bottom w:val="single" w:sz="12" w:space="0" w:color="auto"/>
              <w:right w:val="single" w:sz="12" w:space="0" w:color="auto"/>
            </w:tcBorders>
          </w:tcPr>
          <w:p w14:paraId="31AA3573" w14:textId="77777777" w:rsidR="005C142D" w:rsidRPr="00FA3F9C" w:rsidRDefault="005C142D" w:rsidP="001103FC">
            <w:pPr>
              <w:contextualSpacing/>
              <w:rPr>
                <w:rFonts w:ascii="Arial" w:hAnsi="Arial" w:cs="Arial"/>
                <w:b/>
                <w:sz w:val="24"/>
                <w:szCs w:val="24"/>
              </w:rPr>
            </w:pPr>
            <w:r w:rsidRPr="00FA3F9C">
              <w:rPr>
                <w:rFonts w:ascii="Arial" w:hAnsi="Arial" w:cs="Arial"/>
                <w:b/>
                <w:sz w:val="24"/>
                <w:szCs w:val="24"/>
              </w:rPr>
              <w:t>Crohn’s Disease</w:t>
            </w:r>
          </w:p>
        </w:tc>
      </w:tr>
      <w:tr w:rsidR="005C142D" w:rsidRPr="00FA3F9C" w14:paraId="201A66F3" w14:textId="77777777" w:rsidTr="001103FC">
        <w:tc>
          <w:tcPr>
            <w:tcW w:w="9350" w:type="dxa"/>
            <w:gridSpan w:val="2"/>
            <w:tcBorders>
              <w:top w:val="single" w:sz="12" w:space="0" w:color="auto"/>
              <w:bottom w:val="single" w:sz="2" w:space="0" w:color="auto"/>
            </w:tcBorders>
          </w:tcPr>
          <w:p w14:paraId="1FC693A2" w14:textId="77777777" w:rsidR="005C142D" w:rsidRPr="00FA3F9C" w:rsidRDefault="005C142D" w:rsidP="001103FC">
            <w:pPr>
              <w:contextualSpacing/>
              <w:rPr>
                <w:rFonts w:ascii="Arial" w:hAnsi="Arial" w:cs="Arial"/>
                <w:b/>
                <w:sz w:val="24"/>
                <w:szCs w:val="24"/>
              </w:rPr>
            </w:pPr>
            <w:r w:rsidRPr="00FA3F9C">
              <w:rPr>
                <w:rFonts w:ascii="Arial" w:hAnsi="Arial" w:cs="Arial"/>
                <w:b/>
                <w:sz w:val="24"/>
                <w:szCs w:val="24"/>
              </w:rPr>
              <w:t>Initial request to identify responders.</w:t>
            </w:r>
          </w:p>
        </w:tc>
      </w:tr>
      <w:tr w:rsidR="005C142D" w:rsidRPr="00FA3F9C" w14:paraId="32524173" w14:textId="77777777" w:rsidTr="001103FC">
        <w:tc>
          <w:tcPr>
            <w:tcW w:w="7645" w:type="dxa"/>
            <w:tcBorders>
              <w:top w:val="single" w:sz="2" w:space="0" w:color="auto"/>
              <w:bottom w:val="single" w:sz="2" w:space="0" w:color="auto"/>
              <w:right w:val="single" w:sz="2" w:space="0" w:color="auto"/>
            </w:tcBorders>
          </w:tcPr>
          <w:p w14:paraId="2FEC3B7D" w14:textId="77777777" w:rsidR="005C142D" w:rsidRPr="00FA3F9C" w:rsidRDefault="005C142D" w:rsidP="001103FC">
            <w:pPr>
              <w:contextualSpacing/>
              <w:rPr>
                <w:rFonts w:ascii="Arial" w:hAnsi="Arial" w:cs="Arial"/>
                <w:sz w:val="24"/>
                <w:szCs w:val="24"/>
              </w:rPr>
            </w:pPr>
            <w:r w:rsidRPr="00FA3F9C">
              <w:rPr>
                <w:rFonts w:ascii="Arial" w:hAnsi="Arial" w:cs="Arial"/>
                <w:b/>
                <w:sz w:val="24"/>
                <w:szCs w:val="24"/>
              </w:rPr>
              <w:t>1</w:t>
            </w:r>
            <w:r w:rsidRPr="00FA3F9C">
              <w:rPr>
                <w:rFonts w:ascii="Arial" w:hAnsi="Arial" w:cs="Arial"/>
                <w:sz w:val="24"/>
                <w:szCs w:val="24"/>
              </w:rPr>
              <w:t>.  Does the patient have a diagnosis of Crohn’s Disease?</w:t>
            </w:r>
          </w:p>
        </w:tc>
        <w:tc>
          <w:tcPr>
            <w:tcW w:w="1705" w:type="dxa"/>
            <w:tcBorders>
              <w:top w:val="single" w:sz="2" w:space="0" w:color="auto"/>
              <w:left w:val="single" w:sz="2" w:space="0" w:color="auto"/>
              <w:bottom w:val="single" w:sz="2" w:space="0" w:color="auto"/>
            </w:tcBorders>
          </w:tcPr>
          <w:p w14:paraId="14B301A1" w14:textId="77777777" w:rsidR="005C142D" w:rsidRPr="00FA3F9C" w:rsidRDefault="005C142D" w:rsidP="001103FC">
            <w:pPr>
              <w:contextualSpacing/>
              <w:rPr>
                <w:rFonts w:ascii="Arial" w:hAnsi="Arial" w:cs="Arial"/>
                <w:sz w:val="24"/>
                <w:szCs w:val="24"/>
              </w:rPr>
            </w:pPr>
            <w:r w:rsidRPr="00FA3F9C">
              <w:rPr>
                <w:rFonts w:ascii="Arial" w:hAnsi="Arial" w:cs="Arial"/>
                <w:b/>
                <w:sz w:val="24"/>
                <w:szCs w:val="24"/>
              </w:rPr>
              <w:t xml:space="preserve">□ </w:t>
            </w:r>
            <w:r w:rsidRPr="00FA3F9C">
              <w:rPr>
                <w:rFonts w:ascii="Arial" w:hAnsi="Arial" w:cs="Arial"/>
                <w:sz w:val="24"/>
                <w:szCs w:val="24"/>
              </w:rPr>
              <w:t>Yes      □  No</w:t>
            </w:r>
          </w:p>
        </w:tc>
      </w:tr>
      <w:tr w:rsidR="005C142D" w:rsidRPr="00FA3F9C" w14:paraId="67CAA258" w14:textId="77777777" w:rsidTr="001103FC">
        <w:tc>
          <w:tcPr>
            <w:tcW w:w="7645" w:type="dxa"/>
            <w:tcBorders>
              <w:top w:val="single" w:sz="2" w:space="0" w:color="auto"/>
              <w:right w:val="single" w:sz="2" w:space="0" w:color="auto"/>
            </w:tcBorders>
          </w:tcPr>
          <w:p w14:paraId="18A5A8F4" w14:textId="77777777" w:rsidR="005C142D" w:rsidRPr="00FA3F9C" w:rsidRDefault="005C142D" w:rsidP="001103FC">
            <w:pPr>
              <w:ind w:left="337" w:hanging="337"/>
              <w:contextualSpacing/>
              <w:rPr>
                <w:rFonts w:ascii="Arial" w:hAnsi="Arial" w:cs="Arial"/>
                <w:sz w:val="24"/>
                <w:szCs w:val="24"/>
              </w:rPr>
            </w:pPr>
            <w:r w:rsidRPr="00FA3F9C">
              <w:rPr>
                <w:rFonts w:ascii="Arial" w:hAnsi="Arial" w:cs="Arial"/>
                <w:b/>
                <w:sz w:val="24"/>
                <w:szCs w:val="24"/>
              </w:rPr>
              <w:t>2.</w:t>
            </w:r>
            <w:r w:rsidRPr="00FA3F9C">
              <w:rPr>
                <w:rFonts w:ascii="Arial" w:hAnsi="Arial" w:cs="Arial"/>
                <w:sz w:val="24"/>
                <w:szCs w:val="24"/>
              </w:rPr>
              <w:t xml:space="preserve">  Has the patient failed treatment with, or is dependent on corticosteroids, as defined by the following:</w:t>
            </w:r>
          </w:p>
          <w:p w14:paraId="264F59C1" w14:textId="77777777" w:rsidR="005C142D" w:rsidRPr="00FA3F9C" w:rsidRDefault="005C142D" w:rsidP="001103FC">
            <w:pPr>
              <w:ind w:left="697" w:hanging="697"/>
              <w:contextualSpacing/>
              <w:rPr>
                <w:rFonts w:ascii="Arial" w:hAnsi="Arial" w:cs="Arial"/>
                <w:sz w:val="24"/>
                <w:szCs w:val="24"/>
              </w:rPr>
            </w:pPr>
            <w:r w:rsidRPr="00FA3F9C">
              <w:rPr>
                <w:rFonts w:ascii="Arial" w:hAnsi="Arial" w:cs="Arial"/>
                <w:sz w:val="24"/>
                <w:szCs w:val="24"/>
              </w:rPr>
              <w:t xml:space="preserve">          a.  Signs and symptoms of persistent, active disease despite a history of at least one 4-week induction regimen that included a dose equivalent to prednisone 30 mg daily, PO for two weeks or IV for 1 week</w:t>
            </w:r>
          </w:p>
          <w:p w14:paraId="4D331508" w14:textId="77777777" w:rsidR="005C142D" w:rsidRPr="00FA3F9C" w:rsidRDefault="005C142D" w:rsidP="001103FC">
            <w:pPr>
              <w:ind w:left="697" w:hanging="697"/>
              <w:contextualSpacing/>
              <w:rPr>
                <w:rFonts w:ascii="Arial" w:hAnsi="Arial" w:cs="Arial"/>
                <w:sz w:val="24"/>
                <w:szCs w:val="24"/>
              </w:rPr>
            </w:pPr>
            <w:r w:rsidRPr="00FA3F9C">
              <w:rPr>
                <w:rFonts w:ascii="Arial" w:hAnsi="Arial" w:cs="Arial"/>
                <w:sz w:val="24"/>
                <w:szCs w:val="24"/>
              </w:rPr>
              <w:lastRenderedPageBreak/>
              <w:t xml:space="preserve">  </w:t>
            </w:r>
            <w:r w:rsidRPr="00FA3F9C">
              <w:rPr>
                <w:rFonts w:ascii="Arial" w:hAnsi="Arial" w:cs="Arial"/>
                <w:b/>
                <w:i/>
                <w:sz w:val="24"/>
                <w:szCs w:val="24"/>
                <w:u w:val="single"/>
              </w:rPr>
              <w:t xml:space="preserve">OR </w:t>
            </w:r>
            <w:r w:rsidRPr="00FA3F9C">
              <w:rPr>
                <w:rFonts w:ascii="Arial" w:hAnsi="Arial" w:cs="Arial"/>
                <w:sz w:val="24"/>
                <w:szCs w:val="24"/>
              </w:rPr>
              <w:t xml:space="preserve">  b.  2 failed attempts to taper corticosteroids to below a dose equivalent to prednisone 10 mg daily PO on 2 separate occasions</w:t>
            </w:r>
          </w:p>
          <w:p w14:paraId="3BBABE88" w14:textId="77777777" w:rsidR="005C142D" w:rsidRPr="00FA3F9C" w:rsidRDefault="005C142D" w:rsidP="001103FC">
            <w:pPr>
              <w:ind w:left="697" w:hanging="697"/>
              <w:contextualSpacing/>
              <w:rPr>
                <w:rFonts w:ascii="Arial" w:hAnsi="Arial" w:cs="Arial"/>
                <w:sz w:val="24"/>
                <w:szCs w:val="24"/>
              </w:rPr>
            </w:pPr>
            <w:r w:rsidRPr="00FA3F9C">
              <w:rPr>
                <w:rFonts w:ascii="Arial" w:hAnsi="Arial" w:cs="Arial"/>
                <w:sz w:val="24"/>
                <w:szCs w:val="24"/>
              </w:rPr>
              <w:t xml:space="preserve">   </w:t>
            </w:r>
            <w:r w:rsidRPr="00FA3F9C">
              <w:rPr>
                <w:rFonts w:ascii="Arial" w:hAnsi="Arial" w:cs="Arial"/>
                <w:b/>
                <w:i/>
                <w:sz w:val="24"/>
                <w:szCs w:val="24"/>
                <w:u w:val="single"/>
              </w:rPr>
              <w:t>OR</w:t>
            </w:r>
            <w:r w:rsidRPr="00FA3F9C">
              <w:rPr>
                <w:rFonts w:ascii="Arial" w:hAnsi="Arial" w:cs="Arial"/>
                <w:sz w:val="24"/>
                <w:szCs w:val="24"/>
              </w:rPr>
              <w:t xml:space="preserve">   c.  History of intolerance of corticosteroids (including, but not limited to: Cushing’s syndrome, osteopenia/osteoporosis, hyperglycemia, insomnia, or infection)</w:t>
            </w:r>
          </w:p>
        </w:tc>
        <w:tc>
          <w:tcPr>
            <w:tcW w:w="1705" w:type="dxa"/>
            <w:tcBorders>
              <w:top w:val="single" w:sz="2" w:space="0" w:color="auto"/>
              <w:left w:val="single" w:sz="2" w:space="0" w:color="auto"/>
            </w:tcBorders>
          </w:tcPr>
          <w:p w14:paraId="062C2D18" w14:textId="77777777" w:rsidR="005C142D" w:rsidRPr="00FA3F9C" w:rsidRDefault="005C142D" w:rsidP="001103FC">
            <w:pPr>
              <w:contextualSpacing/>
              <w:rPr>
                <w:rFonts w:ascii="Arial" w:hAnsi="Arial" w:cs="Arial"/>
                <w:sz w:val="24"/>
                <w:szCs w:val="24"/>
              </w:rPr>
            </w:pPr>
            <w:r w:rsidRPr="00FA3F9C">
              <w:rPr>
                <w:rFonts w:ascii="Arial" w:hAnsi="Arial" w:cs="Arial"/>
                <w:b/>
                <w:sz w:val="24"/>
                <w:szCs w:val="24"/>
              </w:rPr>
              <w:lastRenderedPageBreak/>
              <w:t xml:space="preserve">□ </w:t>
            </w:r>
            <w:r w:rsidRPr="00FA3F9C">
              <w:rPr>
                <w:rFonts w:ascii="Arial" w:hAnsi="Arial" w:cs="Arial"/>
                <w:sz w:val="24"/>
                <w:szCs w:val="24"/>
              </w:rPr>
              <w:t>Yes      □  No</w:t>
            </w:r>
          </w:p>
        </w:tc>
      </w:tr>
      <w:tr w:rsidR="005C142D" w:rsidRPr="00FA3F9C" w14:paraId="5ABB4442" w14:textId="77777777" w:rsidTr="001103FC">
        <w:tc>
          <w:tcPr>
            <w:tcW w:w="7645" w:type="dxa"/>
          </w:tcPr>
          <w:p w14:paraId="63C305C0" w14:textId="77777777" w:rsidR="005C142D" w:rsidRPr="00FA3F9C" w:rsidRDefault="005C142D" w:rsidP="001103FC">
            <w:pPr>
              <w:ind w:left="337" w:hanging="337"/>
              <w:contextualSpacing/>
              <w:rPr>
                <w:rFonts w:ascii="Arial" w:hAnsi="Arial" w:cs="Arial"/>
                <w:sz w:val="24"/>
                <w:szCs w:val="24"/>
              </w:rPr>
            </w:pPr>
            <w:r w:rsidRPr="00FA3F9C">
              <w:rPr>
                <w:rFonts w:ascii="Arial" w:hAnsi="Arial" w:cs="Arial"/>
                <w:b/>
                <w:sz w:val="24"/>
                <w:szCs w:val="24"/>
              </w:rPr>
              <w:t>3</w:t>
            </w:r>
            <w:r w:rsidRPr="00FA3F9C">
              <w:rPr>
                <w:rFonts w:ascii="Arial" w:hAnsi="Arial" w:cs="Arial"/>
                <w:sz w:val="24"/>
                <w:szCs w:val="24"/>
              </w:rPr>
              <w:t>.  Was the patient unresponsive or intolerant to immunosuppressive therapy, as defined by the following:</w:t>
            </w:r>
          </w:p>
          <w:p w14:paraId="4BC07349" w14:textId="77777777" w:rsidR="005C142D" w:rsidRPr="00FA3F9C" w:rsidRDefault="005C142D" w:rsidP="001103FC">
            <w:pPr>
              <w:ind w:left="697" w:hanging="697"/>
              <w:contextualSpacing/>
              <w:rPr>
                <w:rFonts w:ascii="Arial" w:hAnsi="Arial" w:cs="Arial"/>
                <w:sz w:val="24"/>
                <w:szCs w:val="24"/>
              </w:rPr>
            </w:pPr>
            <w:r w:rsidRPr="00FA3F9C">
              <w:rPr>
                <w:rFonts w:ascii="Arial" w:hAnsi="Arial" w:cs="Arial"/>
                <w:sz w:val="24"/>
                <w:szCs w:val="24"/>
              </w:rPr>
              <w:t xml:space="preserve">          a.  Signs and symptoms of persistent, active disease despite a history of ≥1  8-week regimen of oral azathioprine (≥1.5mg/kg) or mercaptopurine (≥0.75mg/kg)</w:t>
            </w:r>
          </w:p>
          <w:p w14:paraId="31139DDF" w14:textId="77777777" w:rsidR="005C142D" w:rsidRPr="00FA3F9C" w:rsidRDefault="005C142D" w:rsidP="001103FC">
            <w:pPr>
              <w:ind w:left="697" w:hanging="697"/>
              <w:contextualSpacing/>
              <w:rPr>
                <w:rFonts w:ascii="Arial" w:hAnsi="Arial" w:cs="Arial"/>
                <w:sz w:val="24"/>
                <w:szCs w:val="24"/>
              </w:rPr>
            </w:pPr>
            <w:r w:rsidRPr="00FA3F9C">
              <w:rPr>
                <w:rFonts w:ascii="Arial" w:hAnsi="Arial" w:cs="Arial"/>
                <w:sz w:val="24"/>
                <w:szCs w:val="24"/>
              </w:rPr>
              <w:t xml:space="preserve">  </w:t>
            </w:r>
            <w:r w:rsidRPr="00FA3F9C">
              <w:rPr>
                <w:rFonts w:ascii="Arial" w:hAnsi="Arial" w:cs="Arial"/>
                <w:b/>
                <w:i/>
                <w:sz w:val="24"/>
                <w:szCs w:val="24"/>
                <w:u w:val="single"/>
              </w:rPr>
              <w:t>OR</w:t>
            </w:r>
            <w:r w:rsidRPr="00FA3F9C">
              <w:rPr>
                <w:rFonts w:ascii="Arial" w:hAnsi="Arial" w:cs="Arial"/>
                <w:sz w:val="24"/>
                <w:szCs w:val="24"/>
              </w:rPr>
              <w:t xml:space="preserve">   b. Signs and symptoms of persistent, active disease despite a history of ≥1  8-week regimen of methotrexate (≥12.5mg/kg/</w:t>
            </w:r>
            <w:proofErr w:type="spellStart"/>
            <w:r w:rsidRPr="00FA3F9C">
              <w:rPr>
                <w:rFonts w:ascii="Arial" w:hAnsi="Arial" w:cs="Arial"/>
                <w:sz w:val="24"/>
                <w:szCs w:val="24"/>
              </w:rPr>
              <w:t>wk</w:t>
            </w:r>
            <w:proofErr w:type="spellEnd"/>
            <w:r w:rsidRPr="00FA3F9C">
              <w:rPr>
                <w:rFonts w:ascii="Arial" w:hAnsi="Arial" w:cs="Arial"/>
                <w:sz w:val="24"/>
                <w:szCs w:val="24"/>
              </w:rPr>
              <w:t>)</w:t>
            </w:r>
          </w:p>
          <w:p w14:paraId="589C527F" w14:textId="77777777" w:rsidR="005C142D" w:rsidRPr="00FA3F9C" w:rsidRDefault="005C142D" w:rsidP="001103FC">
            <w:pPr>
              <w:ind w:left="697" w:hanging="697"/>
              <w:contextualSpacing/>
              <w:rPr>
                <w:rFonts w:ascii="Arial" w:hAnsi="Arial" w:cs="Arial"/>
                <w:sz w:val="24"/>
                <w:szCs w:val="24"/>
              </w:rPr>
            </w:pPr>
            <w:r w:rsidRPr="00FA3F9C">
              <w:rPr>
                <w:rFonts w:ascii="Arial" w:hAnsi="Arial" w:cs="Arial"/>
                <w:sz w:val="24"/>
                <w:szCs w:val="24"/>
              </w:rPr>
              <w:t xml:space="preserve">  </w:t>
            </w:r>
            <w:r w:rsidRPr="00FA3F9C">
              <w:rPr>
                <w:rFonts w:ascii="Arial" w:hAnsi="Arial" w:cs="Arial"/>
                <w:b/>
                <w:i/>
                <w:sz w:val="24"/>
                <w:szCs w:val="24"/>
                <w:u w:val="single"/>
              </w:rPr>
              <w:t>OR</w:t>
            </w:r>
            <w:r w:rsidRPr="00FA3F9C">
              <w:rPr>
                <w:rFonts w:ascii="Arial" w:hAnsi="Arial" w:cs="Arial"/>
                <w:sz w:val="24"/>
                <w:szCs w:val="24"/>
              </w:rPr>
              <w:t xml:space="preserve">   c.  History of intolerance of ≥1 immunosuppressive (including, but not   limited to: Nausea, vomiting, abdominal pain, pancreatitis, LFT abnormalities, lymphopenia, thiopurine methyltransferase genetic mutation, or infection)</w:t>
            </w:r>
          </w:p>
        </w:tc>
        <w:tc>
          <w:tcPr>
            <w:tcW w:w="1705" w:type="dxa"/>
          </w:tcPr>
          <w:p w14:paraId="0015ADDA" w14:textId="77777777" w:rsidR="005C142D" w:rsidRPr="00FA3F9C" w:rsidRDefault="005C142D" w:rsidP="001103FC">
            <w:pPr>
              <w:contextualSpacing/>
              <w:rPr>
                <w:rFonts w:ascii="Arial" w:hAnsi="Arial" w:cs="Arial"/>
                <w:b/>
                <w:sz w:val="24"/>
                <w:szCs w:val="24"/>
              </w:rPr>
            </w:pPr>
            <w:r w:rsidRPr="00FA3F9C">
              <w:rPr>
                <w:rFonts w:ascii="Arial" w:hAnsi="Arial" w:cs="Arial"/>
                <w:b/>
                <w:sz w:val="24"/>
                <w:szCs w:val="24"/>
              </w:rPr>
              <w:t xml:space="preserve">□ </w:t>
            </w:r>
            <w:r w:rsidRPr="00FA3F9C">
              <w:rPr>
                <w:rFonts w:ascii="Arial" w:hAnsi="Arial" w:cs="Arial"/>
                <w:sz w:val="24"/>
                <w:szCs w:val="24"/>
              </w:rPr>
              <w:t>Yes      □  No</w:t>
            </w:r>
          </w:p>
        </w:tc>
      </w:tr>
      <w:tr w:rsidR="005C142D" w:rsidRPr="00FA3F9C" w14:paraId="01FE9AE8" w14:textId="77777777" w:rsidTr="001103FC">
        <w:tc>
          <w:tcPr>
            <w:tcW w:w="7645" w:type="dxa"/>
          </w:tcPr>
          <w:p w14:paraId="5D367D6E" w14:textId="77777777" w:rsidR="005C142D" w:rsidRPr="00FA3F9C" w:rsidRDefault="005C142D" w:rsidP="001103FC">
            <w:pPr>
              <w:ind w:left="337" w:hanging="337"/>
              <w:contextualSpacing/>
              <w:rPr>
                <w:rFonts w:ascii="Arial" w:hAnsi="Arial" w:cs="Arial"/>
                <w:sz w:val="24"/>
                <w:szCs w:val="24"/>
              </w:rPr>
            </w:pPr>
            <w:r w:rsidRPr="00FA3F9C">
              <w:rPr>
                <w:rFonts w:ascii="Arial" w:hAnsi="Arial" w:cs="Arial"/>
                <w:b/>
                <w:sz w:val="24"/>
                <w:szCs w:val="24"/>
              </w:rPr>
              <w:t>4</w:t>
            </w:r>
            <w:r w:rsidRPr="00FA3F9C">
              <w:rPr>
                <w:rFonts w:ascii="Arial" w:hAnsi="Arial" w:cs="Arial"/>
                <w:sz w:val="24"/>
                <w:szCs w:val="24"/>
              </w:rPr>
              <w:t>.  Was the patient unresponsive or intolerant to treatment with a TNF antagonist, as defined by the following:</w:t>
            </w:r>
          </w:p>
          <w:p w14:paraId="0E76CA31" w14:textId="77777777" w:rsidR="005C142D" w:rsidRPr="00FA3F9C" w:rsidRDefault="005C142D" w:rsidP="001103FC">
            <w:pPr>
              <w:ind w:left="697" w:hanging="697"/>
              <w:contextualSpacing/>
              <w:rPr>
                <w:rFonts w:ascii="Arial" w:hAnsi="Arial" w:cs="Arial"/>
                <w:sz w:val="24"/>
                <w:szCs w:val="24"/>
              </w:rPr>
            </w:pPr>
            <w:r w:rsidRPr="00FA3F9C">
              <w:rPr>
                <w:rFonts w:ascii="Arial" w:hAnsi="Arial" w:cs="Arial"/>
                <w:sz w:val="24"/>
                <w:szCs w:val="24"/>
              </w:rPr>
              <w:t xml:space="preserve">          a.  Signs and symptoms of persistent, active disease despite a history of ≥1  4-week induction regimen of 1 of the following:</w:t>
            </w:r>
          </w:p>
          <w:p w14:paraId="7E377C7C" w14:textId="77777777" w:rsidR="005C142D" w:rsidRPr="00FA3F9C" w:rsidRDefault="005C142D" w:rsidP="001103FC">
            <w:pPr>
              <w:ind w:left="877" w:hanging="877"/>
              <w:contextualSpacing/>
              <w:rPr>
                <w:rFonts w:ascii="Arial" w:hAnsi="Arial" w:cs="Arial"/>
                <w:sz w:val="24"/>
                <w:szCs w:val="24"/>
              </w:rPr>
            </w:pPr>
            <w:r w:rsidRPr="00FA3F9C">
              <w:rPr>
                <w:rFonts w:ascii="Arial" w:hAnsi="Arial" w:cs="Arial"/>
                <w:sz w:val="24"/>
                <w:szCs w:val="24"/>
              </w:rPr>
              <w:t xml:space="preserve">                - Infliximab: 5mg/kg IV, 2 doses at least 2 weeks apart</w:t>
            </w:r>
          </w:p>
          <w:p w14:paraId="31AF9436" w14:textId="77777777" w:rsidR="005C142D" w:rsidRPr="00FA3F9C" w:rsidRDefault="005C142D" w:rsidP="001103FC">
            <w:pPr>
              <w:ind w:left="1057" w:hanging="1057"/>
              <w:contextualSpacing/>
              <w:rPr>
                <w:rFonts w:ascii="Arial" w:hAnsi="Arial" w:cs="Arial"/>
                <w:sz w:val="24"/>
                <w:szCs w:val="24"/>
              </w:rPr>
            </w:pPr>
            <w:r w:rsidRPr="00FA3F9C">
              <w:rPr>
                <w:rFonts w:ascii="Arial" w:hAnsi="Arial" w:cs="Arial"/>
                <w:sz w:val="24"/>
                <w:szCs w:val="24"/>
              </w:rPr>
              <w:t xml:space="preserve">                - Adalimumab: 1  80mg SC dose followed by 1  40mg dose ≥2 weeks apart</w:t>
            </w:r>
          </w:p>
          <w:p w14:paraId="37D5BC80" w14:textId="77777777" w:rsidR="005C142D" w:rsidRPr="00FA3F9C" w:rsidRDefault="005C142D" w:rsidP="001103FC">
            <w:pPr>
              <w:ind w:left="1057" w:hanging="1057"/>
              <w:contextualSpacing/>
              <w:rPr>
                <w:rFonts w:ascii="Arial" w:hAnsi="Arial" w:cs="Arial"/>
                <w:sz w:val="24"/>
                <w:szCs w:val="24"/>
              </w:rPr>
            </w:pPr>
            <w:r w:rsidRPr="00FA3F9C">
              <w:rPr>
                <w:rFonts w:ascii="Arial" w:hAnsi="Arial" w:cs="Arial"/>
                <w:sz w:val="24"/>
                <w:szCs w:val="24"/>
              </w:rPr>
              <w:t xml:space="preserve">                - Certolizumab pegol: 400mg SC, 2 doses ≥2 weeks apart</w:t>
            </w:r>
          </w:p>
          <w:p w14:paraId="1DAD4F06" w14:textId="77777777" w:rsidR="005C142D" w:rsidRPr="00FA3F9C" w:rsidRDefault="005C142D" w:rsidP="001103FC">
            <w:pPr>
              <w:ind w:left="697" w:hanging="697"/>
              <w:contextualSpacing/>
              <w:rPr>
                <w:rFonts w:ascii="Arial" w:hAnsi="Arial" w:cs="Arial"/>
                <w:sz w:val="24"/>
                <w:szCs w:val="24"/>
              </w:rPr>
            </w:pPr>
            <w:r w:rsidRPr="00FA3F9C">
              <w:rPr>
                <w:rFonts w:ascii="Arial" w:hAnsi="Arial" w:cs="Arial"/>
                <w:sz w:val="24"/>
                <w:szCs w:val="24"/>
              </w:rPr>
              <w:t xml:space="preserve"> </w:t>
            </w:r>
            <w:r w:rsidRPr="00FA3F9C">
              <w:rPr>
                <w:rFonts w:ascii="Arial" w:hAnsi="Arial" w:cs="Arial"/>
                <w:b/>
                <w:i/>
                <w:sz w:val="24"/>
                <w:szCs w:val="24"/>
                <w:u w:val="single"/>
              </w:rPr>
              <w:t>OR</w:t>
            </w:r>
            <w:r w:rsidRPr="00FA3F9C">
              <w:rPr>
                <w:rFonts w:ascii="Arial" w:hAnsi="Arial" w:cs="Arial"/>
                <w:sz w:val="24"/>
                <w:szCs w:val="24"/>
              </w:rPr>
              <w:t xml:space="preserve">   b.  Recurrence of symptoms during scheduled maintenance dosing after prior clinical benefit (discontinue despite clinical benefit does not qualify)</w:t>
            </w:r>
          </w:p>
          <w:p w14:paraId="1CBD4876" w14:textId="77777777" w:rsidR="005C142D" w:rsidRPr="00FA3F9C" w:rsidRDefault="005C142D" w:rsidP="001103FC">
            <w:pPr>
              <w:ind w:left="877" w:hanging="877"/>
              <w:contextualSpacing/>
              <w:rPr>
                <w:rFonts w:ascii="Arial" w:hAnsi="Arial" w:cs="Arial"/>
                <w:sz w:val="24"/>
                <w:szCs w:val="24"/>
              </w:rPr>
            </w:pPr>
            <w:r w:rsidRPr="00FA3F9C">
              <w:rPr>
                <w:rFonts w:ascii="Arial" w:hAnsi="Arial" w:cs="Arial"/>
                <w:sz w:val="24"/>
                <w:szCs w:val="24"/>
              </w:rPr>
              <w:t xml:space="preserve"> </w:t>
            </w:r>
            <w:r w:rsidRPr="00FA3F9C">
              <w:rPr>
                <w:rFonts w:ascii="Arial" w:hAnsi="Arial" w:cs="Arial"/>
                <w:b/>
                <w:i/>
                <w:sz w:val="24"/>
                <w:szCs w:val="24"/>
                <w:u w:val="single"/>
              </w:rPr>
              <w:t>OR</w:t>
            </w:r>
            <w:r w:rsidRPr="00FA3F9C">
              <w:rPr>
                <w:rFonts w:ascii="Arial" w:hAnsi="Arial" w:cs="Arial"/>
                <w:sz w:val="24"/>
                <w:szCs w:val="24"/>
              </w:rPr>
              <w:t xml:space="preserve">   c.  History of intolerance of at least 1 TNF antagonist (including, but not limited to: infection-related reaction, demyelination, CHF, or infection)</w:t>
            </w:r>
          </w:p>
        </w:tc>
        <w:tc>
          <w:tcPr>
            <w:tcW w:w="1705" w:type="dxa"/>
          </w:tcPr>
          <w:p w14:paraId="2491A1F3" w14:textId="77777777" w:rsidR="005C142D" w:rsidRPr="00FA3F9C" w:rsidRDefault="005C142D" w:rsidP="001103FC">
            <w:pPr>
              <w:contextualSpacing/>
              <w:rPr>
                <w:rFonts w:ascii="Arial" w:hAnsi="Arial" w:cs="Arial"/>
                <w:b/>
                <w:sz w:val="24"/>
                <w:szCs w:val="24"/>
              </w:rPr>
            </w:pPr>
            <w:r w:rsidRPr="00FA3F9C">
              <w:rPr>
                <w:rFonts w:ascii="Arial" w:hAnsi="Arial" w:cs="Arial"/>
                <w:b/>
                <w:sz w:val="24"/>
                <w:szCs w:val="24"/>
              </w:rPr>
              <w:t xml:space="preserve">□ </w:t>
            </w:r>
            <w:r w:rsidRPr="00FA3F9C">
              <w:rPr>
                <w:rFonts w:ascii="Arial" w:hAnsi="Arial" w:cs="Arial"/>
                <w:sz w:val="24"/>
                <w:szCs w:val="24"/>
              </w:rPr>
              <w:t>Yes      □  No</w:t>
            </w:r>
          </w:p>
        </w:tc>
      </w:tr>
      <w:tr w:rsidR="005C142D" w:rsidRPr="00FA3F9C" w14:paraId="76885F31" w14:textId="77777777" w:rsidTr="001103FC">
        <w:tc>
          <w:tcPr>
            <w:tcW w:w="9350" w:type="dxa"/>
            <w:gridSpan w:val="2"/>
            <w:shd w:val="clear" w:color="auto" w:fill="E7E6E6" w:themeFill="background2"/>
          </w:tcPr>
          <w:p w14:paraId="1F896F87" w14:textId="77777777" w:rsidR="005C142D" w:rsidRPr="00FA3F9C" w:rsidRDefault="005C142D" w:rsidP="001103FC">
            <w:pPr>
              <w:contextualSpacing/>
              <w:rPr>
                <w:rFonts w:ascii="Arial" w:hAnsi="Arial" w:cs="Arial"/>
                <w:b/>
                <w:sz w:val="24"/>
                <w:szCs w:val="24"/>
              </w:rPr>
            </w:pPr>
            <w:r w:rsidRPr="00FA3F9C">
              <w:rPr>
                <w:rFonts w:ascii="Arial" w:hAnsi="Arial" w:cs="Arial"/>
                <w:b/>
                <w:sz w:val="24"/>
                <w:szCs w:val="24"/>
              </w:rPr>
              <w:t>If the answers to 1, 2, and either 3 OR 4 are yes, patient is approved for 14 weeks (4 doses).</w:t>
            </w:r>
          </w:p>
        </w:tc>
      </w:tr>
      <w:tr w:rsidR="005C142D" w:rsidRPr="00FA3F9C" w14:paraId="12C87461" w14:textId="77777777" w:rsidTr="001103FC">
        <w:tc>
          <w:tcPr>
            <w:tcW w:w="9350" w:type="dxa"/>
            <w:gridSpan w:val="2"/>
            <w:shd w:val="clear" w:color="auto" w:fill="FFFFFF" w:themeFill="background1"/>
          </w:tcPr>
          <w:p w14:paraId="68B8C0C7" w14:textId="77777777" w:rsidR="005C142D" w:rsidRPr="00FA3F9C" w:rsidRDefault="005C142D" w:rsidP="001103FC">
            <w:pPr>
              <w:contextualSpacing/>
              <w:rPr>
                <w:rFonts w:ascii="Arial" w:hAnsi="Arial" w:cs="Arial"/>
                <w:b/>
                <w:sz w:val="24"/>
                <w:szCs w:val="24"/>
              </w:rPr>
            </w:pPr>
            <w:r w:rsidRPr="00FA3F9C">
              <w:rPr>
                <w:rFonts w:ascii="Arial" w:hAnsi="Arial" w:cs="Arial"/>
                <w:b/>
                <w:sz w:val="24"/>
                <w:szCs w:val="24"/>
              </w:rPr>
              <w:lastRenderedPageBreak/>
              <w:t>Responders Maintenance Therapy</w:t>
            </w:r>
          </w:p>
        </w:tc>
      </w:tr>
      <w:tr w:rsidR="005C142D" w:rsidRPr="00FA3F9C" w14:paraId="6B625E91" w14:textId="77777777" w:rsidTr="001103FC">
        <w:tc>
          <w:tcPr>
            <w:tcW w:w="7645" w:type="dxa"/>
            <w:shd w:val="clear" w:color="auto" w:fill="FFFFFF" w:themeFill="background1"/>
          </w:tcPr>
          <w:p w14:paraId="2F2557CD" w14:textId="77777777" w:rsidR="005C142D" w:rsidRPr="00FA3F9C" w:rsidRDefault="005C142D" w:rsidP="001103FC">
            <w:pPr>
              <w:contextualSpacing/>
              <w:rPr>
                <w:rFonts w:ascii="Arial" w:hAnsi="Arial" w:cs="Arial"/>
                <w:sz w:val="24"/>
                <w:szCs w:val="24"/>
              </w:rPr>
            </w:pPr>
            <w:r w:rsidRPr="00FA3F9C">
              <w:rPr>
                <w:rFonts w:ascii="Arial" w:hAnsi="Arial" w:cs="Arial"/>
                <w:sz w:val="24"/>
                <w:szCs w:val="24"/>
              </w:rPr>
              <w:t>Did the patient respond to and was successful on therapy?</w:t>
            </w:r>
          </w:p>
        </w:tc>
        <w:tc>
          <w:tcPr>
            <w:tcW w:w="1705" w:type="dxa"/>
            <w:shd w:val="clear" w:color="auto" w:fill="FFFFFF" w:themeFill="background1"/>
          </w:tcPr>
          <w:p w14:paraId="46A60D8B" w14:textId="77777777" w:rsidR="005C142D" w:rsidRPr="00FA3F9C" w:rsidRDefault="005C142D" w:rsidP="001103FC">
            <w:pPr>
              <w:contextualSpacing/>
              <w:rPr>
                <w:rFonts w:ascii="Arial" w:hAnsi="Arial" w:cs="Arial"/>
                <w:b/>
                <w:sz w:val="24"/>
                <w:szCs w:val="24"/>
              </w:rPr>
            </w:pPr>
            <w:r w:rsidRPr="00FA3F9C">
              <w:rPr>
                <w:rFonts w:ascii="Arial" w:hAnsi="Arial" w:cs="Arial"/>
                <w:b/>
                <w:sz w:val="24"/>
                <w:szCs w:val="24"/>
              </w:rPr>
              <w:t xml:space="preserve">□ </w:t>
            </w:r>
            <w:r w:rsidRPr="00FA3F9C">
              <w:rPr>
                <w:rFonts w:ascii="Arial" w:hAnsi="Arial" w:cs="Arial"/>
                <w:sz w:val="24"/>
                <w:szCs w:val="24"/>
              </w:rPr>
              <w:t>Yes      □  No</w:t>
            </w:r>
          </w:p>
        </w:tc>
      </w:tr>
      <w:tr w:rsidR="005C142D" w:rsidRPr="00FA3F9C" w14:paraId="2D5DC844" w14:textId="77777777" w:rsidTr="001103FC">
        <w:tc>
          <w:tcPr>
            <w:tcW w:w="9350" w:type="dxa"/>
            <w:gridSpan w:val="2"/>
            <w:shd w:val="clear" w:color="auto" w:fill="E7E6E6" w:themeFill="background2"/>
          </w:tcPr>
          <w:p w14:paraId="37D2CF0C" w14:textId="77777777" w:rsidR="005C142D" w:rsidRPr="00FA3F9C" w:rsidRDefault="005C142D" w:rsidP="001103FC">
            <w:pPr>
              <w:contextualSpacing/>
              <w:rPr>
                <w:rFonts w:ascii="Arial" w:hAnsi="Arial" w:cs="Arial"/>
                <w:b/>
                <w:sz w:val="24"/>
                <w:szCs w:val="24"/>
              </w:rPr>
            </w:pPr>
            <w:r w:rsidRPr="00FA3F9C">
              <w:rPr>
                <w:rFonts w:ascii="Arial" w:hAnsi="Arial" w:cs="Arial"/>
                <w:b/>
                <w:sz w:val="24"/>
                <w:szCs w:val="24"/>
              </w:rPr>
              <w:t>If the answer was yes, patient is approved for therapy for 1 year (7 doses).</w:t>
            </w:r>
          </w:p>
        </w:tc>
      </w:tr>
      <w:tr w:rsidR="005C142D" w:rsidRPr="00FA3F9C" w14:paraId="1A381C06" w14:textId="77777777" w:rsidTr="001103FC">
        <w:tc>
          <w:tcPr>
            <w:tcW w:w="9350" w:type="dxa"/>
            <w:gridSpan w:val="2"/>
            <w:shd w:val="clear" w:color="auto" w:fill="FFFFFF" w:themeFill="background1"/>
          </w:tcPr>
          <w:p w14:paraId="01D8A86E" w14:textId="77777777" w:rsidR="005C142D" w:rsidRPr="00FA3F9C" w:rsidRDefault="005C142D" w:rsidP="001103FC">
            <w:pPr>
              <w:contextualSpacing/>
              <w:rPr>
                <w:rFonts w:ascii="Arial" w:hAnsi="Arial" w:cs="Arial"/>
                <w:sz w:val="24"/>
                <w:szCs w:val="24"/>
              </w:rPr>
            </w:pPr>
            <w:r w:rsidRPr="00FA3F9C">
              <w:rPr>
                <w:rFonts w:ascii="Arial" w:hAnsi="Arial" w:cs="Arial"/>
                <w:b/>
                <w:sz w:val="24"/>
                <w:szCs w:val="24"/>
              </w:rPr>
              <w:t>References:</w:t>
            </w:r>
            <w:r w:rsidRPr="00FA3F9C">
              <w:rPr>
                <w:rFonts w:ascii="Arial" w:hAnsi="Arial" w:cs="Arial"/>
                <w:sz w:val="24"/>
                <w:szCs w:val="24"/>
              </w:rPr>
              <w:t xml:space="preserve"> </w:t>
            </w:r>
          </w:p>
          <w:p w14:paraId="6FC241A0" w14:textId="77777777" w:rsidR="005C142D" w:rsidRPr="00FA3F9C" w:rsidRDefault="005C142D" w:rsidP="001103FC">
            <w:pPr>
              <w:contextualSpacing/>
              <w:rPr>
                <w:rFonts w:ascii="Arial" w:hAnsi="Arial" w:cs="Arial"/>
                <w:sz w:val="24"/>
                <w:szCs w:val="24"/>
              </w:rPr>
            </w:pPr>
            <w:r w:rsidRPr="00FA3F9C">
              <w:rPr>
                <w:rFonts w:ascii="Arial" w:hAnsi="Arial" w:cs="Arial"/>
                <w:sz w:val="24"/>
                <w:szCs w:val="24"/>
              </w:rPr>
              <w:t xml:space="preserve">1. </w:t>
            </w:r>
            <w:proofErr w:type="spellStart"/>
            <w:r w:rsidRPr="00FA3F9C">
              <w:rPr>
                <w:rFonts w:ascii="Arial" w:hAnsi="Arial" w:cs="Arial"/>
                <w:sz w:val="24"/>
                <w:szCs w:val="24"/>
              </w:rPr>
              <w:t>Sandborn</w:t>
            </w:r>
            <w:proofErr w:type="spellEnd"/>
            <w:r w:rsidRPr="00FA3F9C">
              <w:rPr>
                <w:rFonts w:ascii="Arial" w:hAnsi="Arial" w:cs="Arial"/>
                <w:sz w:val="24"/>
                <w:szCs w:val="24"/>
              </w:rPr>
              <w:t xml:space="preserve"> WJ, </w:t>
            </w:r>
            <w:proofErr w:type="spellStart"/>
            <w:r w:rsidRPr="00FA3F9C">
              <w:rPr>
                <w:rFonts w:ascii="Arial" w:hAnsi="Arial" w:cs="Arial"/>
                <w:sz w:val="24"/>
                <w:szCs w:val="24"/>
              </w:rPr>
              <w:t>Feagan</w:t>
            </w:r>
            <w:proofErr w:type="spellEnd"/>
            <w:r w:rsidRPr="00FA3F9C">
              <w:rPr>
                <w:rFonts w:ascii="Arial" w:hAnsi="Arial" w:cs="Arial"/>
                <w:sz w:val="24"/>
                <w:szCs w:val="24"/>
              </w:rPr>
              <w:t xml:space="preserve"> BG, </w:t>
            </w:r>
            <w:proofErr w:type="spellStart"/>
            <w:r w:rsidRPr="00FA3F9C">
              <w:rPr>
                <w:rFonts w:ascii="Arial" w:hAnsi="Arial" w:cs="Arial"/>
                <w:sz w:val="24"/>
                <w:szCs w:val="24"/>
              </w:rPr>
              <w:t>Rutgeerts</w:t>
            </w:r>
            <w:proofErr w:type="spellEnd"/>
            <w:r w:rsidRPr="00FA3F9C">
              <w:rPr>
                <w:rFonts w:ascii="Arial" w:hAnsi="Arial" w:cs="Arial"/>
                <w:sz w:val="24"/>
                <w:szCs w:val="24"/>
              </w:rPr>
              <w:t xml:space="preserve"> P, </w:t>
            </w:r>
            <w:proofErr w:type="spellStart"/>
            <w:r w:rsidRPr="00FA3F9C">
              <w:rPr>
                <w:rFonts w:ascii="Arial" w:hAnsi="Arial" w:cs="Arial"/>
                <w:sz w:val="24"/>
                <w:szCs w:val="24"/>
              </w:rPr>
              <w:t>Hanauer</w:t>
            </w:r>
            <w:proofErr w:type="spellEnd"/>
            <w:r w:rsidRPr="00FA3F9C">
              <w:rPr>
                <w:rFonts w:ascii="Arial" w:hAnsi="Arial" w:cs="Arial"/>
                <w:sz w:val="24"/>
                <w:szCs w:val="24"/>
              </w:rPr>
              <w:t xml:space="preserve"> S, et al. Vedolizumab as Induction and Maintenance Therapy for Crohn’s Disease. N </w:t>
            </w:r>
            <w:proofErr w:type="spellStart"/>
            <w:r w:rsidRPr="00FA3F9C">
              <w:rPr>
                <w:rFonts w:ascii="Arial" w:hAnsi="Arial" w:cs="Arial"/>
                <w:sz w:val="24"/>
                <w:szCs w:val="24"/>
              </w:rPr>
              <w:t>Engl</w:t>
            </w:r>
            <w:proofErr w:type="spellEnd"/>
            <w:r w:rsidRPr="00FA3F9C">
              <w:rPr>
                <w:rFonts w:ascii="Arial" w:hAnsi="Arial" w:cs="Arial"/>
                <w:sz w:val="24"/>
                <w:szCs w:val="24"/>
              </w:rPr>
              <w:t xml:space="preserve"> J Med. 369;8. Aug 22, 2013. Accessed July 17, 2014.</w:t>
            </w:r>
          </w:p>
          <w:p w14:paraId="0A5C83C7" w14:textId="77777777" w:rsidR="005C142D" w:rsidRPr="00FA3F9C" w:rsidRDefault="005C142D" w:rsidP="001103FC">
            <w:pPr>
              <w:contextualSpacing/>
              <w:rPr>
                <w:rFonts w:ascii="Arial" w:hAnsi="Arial" w:cs="Arial"/>
                <w:sz w:val="24"/>
                <w:szCs w:val="24"/>
              </w:rPr>
            </w:pPr>
            <w:r w:rsidRPr="00FA3F9C">
              <w:rPr>
                <w:rFonts w:ascii="Arial" w:hAnsi="Arial" w:cs="Arial"/>
                <w:sz w:val="24"/>
                <w:szCs w:val="24"/>
              </w:rPr>
              <w:t xml:space="preserve">2. Sands BE, </w:t>
            </w:r>
            <w:proofErr w:type="spellStart"/>
            <w:r w:rsidRPr="00FA3F9C">
              <w:rPr>
                <w:rFonts w:ascii="Arial" w:hAnsi="Arial" w:cs="Arial"/>
                <w:sz w:val="24"/>
                <w:szCs w:val="24"/>
              </w:rPr>
              <w:t>Feagan</w:t>
            </w:r>
            <w:proofErr w:type="spellEnd"/>
            <w:r w:rsidRPr="00FA3F9C">
              <w:rPr>
                <w:rFonts w:ascii="Arial" w:hAnsi="Arial" w:cs="Arial"/>
                <w:sz w:val="24"/>
                <w:szCs w:val="24"/>
              </w:rPr>
              <w:t xml:space="preserve"> BG, et al. Effects of vedolizumab induction therapy for patients with CD in whom TNF treatment failed. (GEMINI3) Gastroenterology. 2014;147:618-27.</w:t>
            </w:r>
          </w:p>
        </w:tc>
      </w:tr>
    </w:tbl>
    <w:p w14:paraId="7597C487" w14:textId="77777777" w:rsidR="005C142D" w:rsidRPr="00FA3F9C" w:rsidRDefault="005C142D" w:rsidP="009F429C">
      <w:pPr>
        <w:rPr>
          <w:rFonts w:ascii="Arial" w:hAnsi="Arial" w:cs="Arial"/>
          <w:sz w:val="24"/>
          <w:szCs w:val="24"/>
        </w:rPr>
      </w:pPr>
    </w:p>
    <w:p w14:paraId="5A5B71A4" w14:textId="77777777" w:rsidR="005C142D" w:rsidRPr="00FA3F9C" w:rsidRDefault="005C142D" w:rsidP="009F429C">
      <w:pPr>
        <w:rPr>
          <w:rFonts w:ascii="Arial" w:hAnsi="Arial" w:cs="Arial"/>
          <w:sz w:val="24"/>
          <w:szCs w:val="24"/>
        </w:rPr>
      </w:pPr>
    </w:p>
    <w:tbl>
      <w:tblPr>
        <w:tblStyle w:val="TableGrid"/>
        <w:tblW w:w="9350" w:type="dxa"/>
        <w:tblInd w:w="-130" w:type="dxa"/>
        <w:tblLook w:val="04A0" w:firstRow="1" w:lastRow="0" w:firstColumn="1" w:lastColumn="0" w:noHBand="0" w:noVBand="1"/>
      </w:tblPr>
      <w:tblGrid>
        <w:gridCol w:w="7645"/>
        <w:gridCol w:w="1705"/>
      </w:tblGrid>
      <w:tr w:rsidR="005C142D" w:rsidRPr="00FA3F9C" w14:paraId="4C9184B6" w14:textId="77777777" w:rsidTr="001103FC">
        <w:tc>
          <w:tcPr>
            <w:tcW w:w="9350"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1239180" w14:textId="77777777" w:rsidR="005C142D" w:rsidRPr="00FA3F9C" w:rsidRDefault="005C142D" w:rsidP="001103FC">
            <w:pPr>
              <w:contextualSpacing/>
              <w:rPr>
                <w:rFonts w:ascii="Arial" w:hAnsi="Arial" w:cs="Arial"/>
                <w:sz w:val="24"/>
                <w:szCs w:val="24"/>
              </w:rPr>
            </w:pPr>
            <w:r w:rsidRPr="00FA3F9C">
              <w:rPr>
                <w:rFonts w:ascii="Arial" w:hAnsi="Arial" w:cs="Arial"/>
                <w:b/>
                <w:sz w:val="24"/>
                <w:szCs w:val="24"/>
              </w:rPr>
              <w:t>Ulcerative Colitis</w:t>
            </w:r>
          </w:p>
        </w:tc>
      </w:tr>
      <w:tr w:rsidR="005C142D" w:rsidRPr="00FA3F9C" w14:paraId="7583C19A" w14:textId="77777777" w:rsidTr="001103FC">
        <w:tc>
          <w:tcPr>
            <w:tcW w:w="9350" w:type="dxa"/>
            <w:gridSpan w:val="2"/>
            <w:tcBorders>
              <w:top w:val="single" w:sz="12" w:space="0" w:color="auto"/>
              <w:left w:val="single" w:sz="2" w:space="0" w:color="auto"/>
              <w:bottom w:val="single" w:sz="2" w:space="0" w:color="auto"/>
              <w:right w:val="single" w:sz="2" w:space="0" w:color="auto"/>
            </w:tcBorders>
            <w:shd w:val="clear" w:color="auto" w:fill="FFFFFF" w:themeFill="background1"/>
          </w:tcPr>
          <w:p w14:paraId="059D1037" w14:textId="77777777" w:rsidR="005C142D" w:rsidRPr="00FA3F9C" w:rsidRDefault="005C142D" w:rsidP="001103FC">
            <w:pPr>
              <w:contextualSpacing/>
              <w:rPr>
                <w:rFonts w:ascii="Arial" w:hAnsi="Arial" w:cs="Arial"/>
                <w:b/>
                <w:sz w:val="24"/>
                <w:szCs w:val="24"/>
              </w:rPr>
            </w:pPr>
            <w:r w:rsidRPr="00FA3F9C">
              <w:rPr>
                <w:rFonts w:ascii="Arial" w:hAnsi="Arial" w:cs="Arial"/>
                <w:b/>
                <w:sz w:val="24"/>
                <w:szCs w:val="24"/>
              </w:rPr>
              <w:t>Initial request to identify responders.</w:t>
            </w:r>
          </w:p>
        </w:tc>
      </w:tr>
      <w:tr w:rsidR="005C142D" w:rsidRPr="00FA3F9C" w14:paraId="06EB0B4B" w14:textId="77777777" w:rsidTr="001103FC">
        <w:tc>
          <w:tcPr>
            <w:tcW w:w="7645" w:type="dxa"/>
            <w:tcBorders>
              <w:top w:val="single" w:sz="2" w:space="0" w:color="auto"/>
            </w:tcBorders>
            <w:shd w:val="clear" w:color="auto" w:fill="FFFFFF" w:themeFill="background1"/>
          </w:tcPr>
          <w:p w14:paraId="5AA736EA" w14:textId="77777777" w:rsidR="005C142D" w:rsidRPr="00FA3F9C" w:rsidRDefault="005C142D" w:rsidP="001103FC">
            <w:pPr>
              <w:contextualSpacing/>
              <w:rPr>
                <w:rFonts w:ascii="Arial" w:hAnsi="Arial" w:cs="Arial"/>
                <w:sz w:val="24"/>
                <w:szCs w:val="24"/>
              </w:rPr>
            </w:pPr>
            <w:r w:rsidRPr="00FA3F9C">
              <w:rPr>
                <w:rFonts w:ascii="Arial" w:hAnsi="Arial" w:cs="Arial"/>
                <w:b/>
                <w:sz w:val="24"/>
                <w:szCs w:val="24"/>
              </w:rPr>
              <w:t xml:space="preserve">1.  </w:t>
            </w:r>
            <w:r w:rsidRPr="00FA3F9C">
              <w:rPr>
                <w:rFonts w:ascii="Arial" w:hAnsi="Arial" w:cs="Arial"/>
                <w:sz w:val="24"/>
                <w:szCs w:val="24"/>
              </w:rPr>
              <w:t>Does the patient have a diagnosis of Ulcerative Colitis?</w:t>
            </w:r>
          </w:p>
        </w:tc>
        <w:tc>
          <w:tcPr>
            <w:tcW w:w="1705" w:type="dxa"/>
            <w:tcBorders>
              <w:top w:val="single" w:sz="2" w:space="0" w:color="auto"/>
            </w:tcBorders>
            <w:shd w:val="clear" w:color="auto" w:fill="FFFFFF" w:themeFill="background1"/>
          </w:tcPr>
          <w:p w14:paraId="5BF2A684" w14:textId="77777777" w:rsidR="005C142D" w:rsidRPr="00FA3F9C" w:rsidRDefault="005C142D" w:rsidP="001103FC">
            <w:pPr>
              <w:contextualSpacing/>
              <w:rPr>
                <w:rFonts w:ascii="Arial" w:hAnsi="Arial" w:cs="Arial"/>
                <w:b/>
                <w:sz w:val="24"/>
                <w:szCs w:val="24"/>
              </w:rPr>
            </w:pPr>
            <w:r w:rsidRPr="00FA3F9C">
              <w:rPr>
                <w:rFonts w:ascii="Arial" w:hAnsi="Arial" w:cs="Arial"/>
                <w:b/>
                <w:sz w:val="24"/>
                <w:szCs w:val="24"/>
              </w:rPr>
              <w:t xml:space="preserve">□ </w:t>
            </w:r>
            <w:r w:rsidRPr="00FA3F9C">
              <w:rPr>
                <w:rFonts w:ascii="Arial" w:hAnsi="Arial" w:cs="Arial"/>
                <w:sz w:val="24"/>
                <w:szCs w:val="24"/>
              </w:rPr>
              <w:t>Yes      □  No</w:t>
            </w:r>
          </w:p>
        </w:tc>
      </w:tr>
      <w:tr w:rsidR="005C142D" w:rsidRPr="00FA3F9C" w14:paraId="4540D830" w14:textId="77777777" w:rsidTr="001103FC">
        <w:tc>
          <w:tcPr>
            <w:tcW w:w="7645" w:type="dxa"/>
            <w:shd w:val="clear" w:color="auto" w:fill="FFFFFF" w:themeFill="background1"/>
          </w:tcPr>
          <w:p w14:paraId="021D00F6" w14:textId="77777777" w:rsidR="005C142D" w:rsidRPr="00FA3F9C" w:rsidRDefault="005C142D" w:rsidP="001103FC">
            <w:pPr>
              <w:ind w:left="337" w:hanging="337"/>
              <w:contextualSpacing/>
              <w:rPr>
                <w:rFonts w:ascii="Arial" w:hAnsi="Arial" w:cs="Arial"/>
                <w:sz w:val="24"/>
                <w:szCs w:val="24"/>
              </w:rPr>
            </w:pPr>
            <w:r w:rsidRPr="00FA3F9C">
              <w:rPr>
                <w:rFonts w:ascii="Arial" w:hAnsi="Arial" w:cs="Arial"/>
                <w:b/>
                <w:sz w:val="24"/>
                <w:szCs w:val="24"/>
              </w:rPr>
              <w:t>2.</w:t>
            </w:r>
            <w:r w:rsidRPr="00FA3F9C">
              <w:rPr>
                <w:rFonts w:ascii="Arial" w:hAnsi="Arial" w:cs="Arial"/>
                <w:sz w:val="24"/>
                <w:szCs w:val="24"/>
              </w:rPr>
              <w:t xml:space="preserve">  Has the patient failed treatment with, or is dependent on corticosteroids, as defined by the following:</w:t>
            </w:r>
          </w:p>
          <w:p w14:paraId="2DBA8023" w14:textId="77777777" w:rsidR="005C142D" w:rsidRPr="00FA3F9C" w:rsidRDefault="005C142D" w:rsidP="001103FC">
            <w:pPr>
              <w:ind w:left="697" w:hanging="697"/>
              <w:contextualSpacing/>
              <w:rPr>
                <w:rFonts w:ascii="Arial" w:hAnsi="Arial" w:cs="Arial"/>
                <w:sz w:val="24"/>
                <w:szCs w:val="24"/>
              </w:rPr>
            </w:pPr>
            <w:r w:rsidRPr="00FA3F9C">
              <w:rPr>
                <w:rFonts w:ascii="Arial" w:hAnsi="Arial" w:cs="Arial"/>
                <w:sz w:val="24"/>
                <w:szCs w:val="24"/>
              </w:rPr>
              <w:t xml:space="preserve">          a.  Signs and symptoms of persistent, active disease despite a history of at least one 4-week induction regimen that included a dose equivalent to prednisone 30 mg daily, PO for two weeks or IV for 1 week</w:t>
            </w:r>
          </w:p>
          <w:p w14:paraId="66D27CFB" w14:textId="77777777" w:rsidR="005C142D" w:rsidRPr="00FA3F9C" w:rsidRDefault="005C142D" w:rsidP="001103FC">
            <w:pPr>
              <w:ind w:left="697" w:hanging="697"/>
              <w:contextualSpacing/>
              <w:rPr>
                <w:rFonts w:ascii="Arial" w:hAnsi="Arial" w:cs="Arial"/>
                <w:sz w:val="24"/>
                <w:szCs w:val="24"/>
              </w:rPr>
            </w:pPr>
            <w:r w:rsidRPr="00FA3F9C">
              <w:rPr>
                <w:rFonts w:ascii="Arial" w:hAnsi="Arial" w:cs="Arial"/>
                <w:sz w:val="24"/>
                <w:szCs w:val="24"/>
              </w:rPr>
              <w:t xml:space="preserve">  </w:t>
            </w:r>
            <w:r w:rsidRPr="00FA3F9C">
              <w:rPr>
                <w:rFonts w:ascii="Arial" w:hAnsi="Arial" w:cs="Arial"/>
                <w:b/>
                <w:i/>
                <w:sz w:val="24"/>
                <w:szCs w:val="24"/>
                <w:u w:val="single"/>
              </w:rPr>
              <w:t xml:space="preserve">OR </w:t>
            </w:r>
            <w:r w:rsidRPr="00FA3F9C">
              <w:rPr>
                <w:rFonts w:ascii="Arial" w:hAnsi="Arial" w:cs="Arial"/>
                <w:sz w:val="24"/>
                <w:szCs w:val="24"/>
              </w:rPr>
              <w:t xml:space="preserve">  b.  2 failed attempts to taper corticosteroids to below a dose equivalent to prednisone 10 mg daily PO on 2 separate occasions</w:t>
            </w:r>
          </w:p>
          <w:p w14:paraId="341197DB" w14:textId="77777777" w:rsidR="005C142D" w:rsidRPr="00FA3F9C" w:rsidRDefault="005C142D" w:rsidP="001103FC">
            <w:pPr>
              <w:ind w:left="727" w:hanging="727"/>
              <w:contextualSpacing/>
              <w:rPr>
                <w:rFonts w:ascii="Arial" w:hAnsi="Arial" w:cs="Arial"/>
                <w:sz w:val="24"/>
                <w:szCs w:val="24"/>
              </w:rPr>
            </w:pPr>
            <w:r w:rsidRPr="00FA3F9C">
              <w:rPr>
                <w:rFonts w:ascii="Arial" w:hAnsi="Arial" w:cs="Arial"/>
                <w:sz w:val="24"/>
                <w:szCs w:val="24"/>
              </w:rPr>
              <w:t xml:space="preserve">  </w:t>
            </w:r>
            <w:r w:rsidRPr="00FA3F9C">
              <w:rPr>
                <w:rFonts w:ascii="Arial" w:hAnsi="Arial" w:cs="Arial"/>
                <w:b/>
                <w:i/>
                <w:sz w:val="24"/>
                <w:szCs w:val="24"/>
                <w:u w:val="single"/>
              </w:rPr>
              <w:t>OR</w:t>
            </w:r>
            <w:r w:rsidRPr="00FA3F9C">
              <w:rPr>
                <w:rFonts w:ascii="Arial" w:hAnsi="Arial" w:cs="Arial"/>
                <w:sz w:val="24"/>
                <w:szCs w:val="24"/>
              </w:rPr>
              <w:t xml:space="preserve">   c.  History of intolerance of corticosteroids (including, but not limited to: Cushing’s syndrome, osteopenia/osteoporosis, hyperglycemia, insomnia, or infection)</w:t>
            </w:r>
          </w:p>
        </w:tc>
        <w:tc>
          <w:tcPr>
            <w:tcW w:w="1705" w:type="dxa"/>
            <w:shd w:val="clear" w:color="auto" w:fill="FFFFFF" w:themeFill="background1"/>
          </w:tcPr>
          <w:p w14:paraId="21FB6AE7" w14:textId="77777777" w:rsidR="005C142D" w:rsidRPr="00FA3F9C" w:rsidRDefault="005C142D" w:rsidP="001103FC">
            <w:pPr>
              <w:contextualSpacing/>
              <w:rPr>
                <w:rFonts w:ascii="Arial" w:hAnsi="Arial" w:cs="Arial"/>
                <w:b/>
                <w:sz w:val="24"/>
                <w:szCs w:val="24"/>
              </w:rPr>
            </w:pPr>
            <w:r w:rsidRPr="00FA3F9C">
              <w:rPr>
                <w:rFonts w:ascii="Arial" w:hAnsi="Arial" w:cs="Arial"/>
                <w:b/>
                <w:sz w:val="24"/>
                <w:szCs w:val="24"/>
              </w:rPr>
              <w:t xml:space="preserve">□ </w:t>
            </w:r>
            <w:r w:rsidRPr="00FA3F9C">
              <w:rPr>
                <w:rFonts w:ascii="Arial" w:hAnsi="Arial" w:cs="Arial"/>
                <w:sz w:val="24"/>
                <w:szCs w:val="24"/>
              </w:rPr>
              <w:t>Yes      □  No</w:t>
            </w:r>
          </w:p>
        </w:tc>
      </w:tr>
      <w:tr w:rsidR="005C142D" w:rsidRPr="00FA3F9C" w14:paraId="02D48F86" w14:textId="77777777" w:rsidTr="001103FC">
        <w:tc>
          <w:tcPr>
            <w:tcW w:w="7645" w:type="dxa"/>
            <w:shd w:val="clear" w:color="auto" w:fill="FFFFFF" w:themeFill="background1"/>
          </w:tcPr>
          <w:p w14:paraId="63B29316" w14:textId="77777777" w:rsidR="005C142D" w:rsidRPr="00FA3F9C" w:rsidRDefault="005C142D" w:rsidP="001103FC">
            <w:pPr>
              <w:ind w:left="337" w:hanging="337"/>
              <w:contextualSpacing/>
              <w:rPr>
                <w:rFonts w:ascii="Arial" w:hAnsi="Arial" w:cs="Arial"/>
                <w:sz w:val="24"/>
                <w:szCs w:val="24"/>
              </w:rPr>
            </w:pPr>
            <w:r w:rsidRPr="00FA3F9C">
              <w:rPr>
                <w:rFonts w:ascii="Arial" w:hAnsi="Arial" w:cs="Arial"/>
                <w:b/>
                <w:sz w:val="24"/>
                <w:szCs w:val="24"/>
              </w:rPr>
              <w:t>3</w:t>
            </w:r>
            <w:r w:rsidRPr="00FA3F9C">
              <w:rPr>
                <w:rFonts w:ascii="Arial" w:hAnsi="Arial" w:cs="Arial"/>
                <w:sz w:val="24"/>
                <w:szCs w:val="24"/>
              </w:rPr>
              <w:t>.  Was the patient unresponsive or intolerant to immunosuppressive therapy, as defined by the following:</w:t>
            </w:r>
          </w:p>
          <w:p w14:paraId="54C1912D" w14:textId="77777777" w:rsidR="005C142D" w:rsidRPr="00FA3F9C" w:rsidRDefault="005C142D" w:rsidP="001103FC">
            <w:pPr>
              <w:ind w:left="697" w:hanging="697"/>
              <w:contextualSpacing/>
              <w:rPr>
                <w:rFonts w:ascii="Arial" w:hAnsi="Arial" w:cs="Arial"/>
                <w:sz w:val="24"/>
                <w:szCs w:val="24"/>
              </w:rPr>
            </w:pPr>
            <w:r w:rsidRPr="00FA3F9C">
              <w:rPr>
                <w:rFonts w:ascii="Arial" w:hAnsi="Arial" w:cs="Arial"/>
                <w:sz w:val="24"/>
                <w:szCs w:val="24"/>
              </w:rPr>
              <w:lastRenderedPageBreak/>
              <w:t xml:space="preserve">          a.  Signs and symptoms of persistent, active disease despite a history of ≥1  8-week regimen of oral azathioprine (≥1.5mg/kg) or mercaptopurine (≥0.75mg/kg)</w:t>
            </w:r>
          </w:p>
          <w:p w14:paraId="20EB518D" w14:textId="77777777" w:rsidR="005C142D" w:rsidRPr="00FA3F9C" w:rsidRDefault="005C142D" w:rsidP="001103FC">
            <w:pPr>
              <w:ind w:left="637" w:hanging="637"/>
              <w:contextualSpacing/>
              <w:rPr>
                <w:rFonts w:ascii="Arial" w:hAnsi="Arial" w:cs="Arial"/>
                <w:b/>
                <w:sz w:val="24"/>
                <w:szCs w:val="24"/>
              </w:rPr>
            </w:pPr>
            <w:r w:rsidRPr="00FA3F9C">
              <w:rPr>
                <w:rFonts w:ascii="Arial" w:hAnsi="Arial" w:cs="Arial"/>
                <w:sz w:val="24"/>
                <w:szCs w:val="24"/>
              </w:rPr>
              <w:t xml:space="preserve">  </w:t>
            </w:r>
            <w:r w:rsidRPr="00FA3F9C">
              <w:rPr>
                <w:rFonts w:ascii="Arial" w:hAnsi="Arial" w:cs="Arial"/>
                <w:b/>
                <w:i/>
                <w:sz w:val="24"/>
                <w:szCs w:val="24"/>
                <w:u w:val="single"/>
              </w:rPr>
              <w:t>OR</w:t>
            </w:r>
            <w:r w:rsidRPr="00FA3F9C">
              <w:rPr>
                <w:rFonts w:ascii="Arial" w:hAnsi="Arial" w:cs="Arial"/>
                <w:sz w:val="24"/>
                <w:szCs w:val="24"/>
              </w:rPr>
              <w:t xml:space="preserve">  b.  History of intolerance of ≥1 immunosuppressive (including, but not   limited to: Nausea, vomiting, abdominal pain, pancreatitis, LFT abnormalities, lymphopenia, thiopurine methyltransferase genetic mutation, or infection)</w:t>
            </w:r>
          </w:p>
        </w:tc>
        <w:tc>
          <w:tcPr>
            <w:tcW w:w="1705" w:type="dxa"/>
            <w:shd w:val="clear" w:color="auto" w:fill="FFFFFF" w:themeFill="background1"/>
          </w:tcPr>
          <w:p w14:paraId="7EA45EC4" w14:textId="77777777" w:rsidR="005C142D" w:rsidRPr="00FA3F9C" w:rsidRDefault="005C142D" w:rsidP="001103FC">
            <w:pPr>
              <w:contextualSpacing/>
              <w:rPr>
                <w:rFonts w:ascii="Arial" w:hAnsi="Arial" w:cs="Arial"/>
                <w:b/>
                <w:sz w:val="24"/>
                <w:szCs w:val="24"/>
              </w:rPr>
            </w:pPr>
            <w:r w:rsidRPr="00FA3F9C">
              <w:rPr>
                <w:rFonts w:ascii="Arial" w:hAnsi="Arial" w:cs="Arial"/>
                <w:b/>
                <w:sz w:val="24"/>
                <w:szCs w:val="24"/>
              </w:rPr>
              <w:lastRenderedPageBreak/>
              <w:t xml:space="preserve">□ </w:t>
            </w:r>
            <w:r w:rsidRPr="00FA3F9C">
              <w:rPr>
                <w:rFonts w:ascii="Arial" w:hAnsi="Arial" w:cs="Arial"/>
                <w:sz w:val="24"/>
                <w:szCs w:val="24"/>
              </w:rPr>
              <w:t>Yes      □  No</w:t>
            </w:r>
          </w:p>
        </w:tc>
      </w:tr>
      <w:tr w:rsidR="005C142D" w:rsidRPr="00FA3F9C" w14:paraId="1C63C9D4" w14:textId="77777777" w:rsidTr="001103FC">
        <w:tc>
          <w:tcPr>
            <w:tcW w:w="7645" w:type="dxa"/>
            <w:shd w:val="clear" w:color="auto" w:fill="FFFFFF" w:themeFill="background1"/>
          </w:tcPr>
          <w:p w14:paraId="2F92C725" w14:textId="77777777" w:rsidR="005C142D" w:rsidRPr="00FA3F9C" w:rsidRDefault="005C142D" w:rsidP="001103FC">
            <w:pPr>
              <w:ind w:left="337" w:hanging="337"/>
              <w:contextualSpacing/>
              <w:rPr>
                <w:rFonts w:ascii="Arial" w:hAnsi="Arial" w:cs="Arial"/>
                <w:sz w:val="24"/>
                <w:szCs w:val="24"/>
              </w:rPr>
            </w:pPr>
            <w:r w:rsidRPr="00FA3F9C">
              <w:rPr>
                <w:rFonts w:ascii="Arial" w:hAnsi="Arial" w:cs="Arial"/>
                <w:b/>
                <w:sz w:val="24"/>
                <w:szCs w:val="24"/>
              </w:rPr>
              <w:t>4</w:t>
            </w:r>
            <w:r w:rsidRPr="00FA3F9C">
              <w:rPr>
                <w:rFonts w:ascii="Arial" w:hAnsi="Arial" w:cs="Arial"/>
                <w:sz w:val="24"/>
                <w:szCs w:val="24"/>
              </w:rPr>
              <w:t>.  Was the patient unresponsive or intolerant to treatment with a TNF antagonist, as defined by the following:</w:t>
            </w:r>
          </w:p>
          <w:p w14:paraId="2CEEAA84" w14:textId="77777777" w:rsidR="005C142D" w:rsidRPr="00FA3F9C" w:rsidRDefault="005C142D" w:rsidP="001103FC">
            <w:pPr>
              <w:ind w:left="697" w:hanging="697"/>
              <w:contextualSpacing/>
              <w:rPr>
                <w:rFonts w:ascii="Arial" w:hAnsi="Arial" w:cs="Arial"/>
                <w:sz w:val="24"/>
                <w:szCs w:val="24"/>
              </w:rPr>
            </w:pPr>
            <w:r w:rsidRPr="00FA3F9C">
              <w:rPr>
                <w:rFonts w:ascii="Arial" w:hAnsi="Arial" w:cs="Arial"/>
                <w:sz w:val="24"/>
                <w:szCs w:val="24"/>
              </w:rPr>
              <w:t xml:space="preserve">         a.  Recurrence of symptoms during scheduled maintenance dosing after prior clinical benefit (discontinue despite clinical benefit does not qualify)</w:t>
            </w:r>
          </w:p>
          <w:p w14:paraId="5B104CCA" w14:textId="77777777" w:rsidR="005C142D" w:rsidRPr="00FA3F9C" w:rsidRDefault="005C142D" w:rsidP="001103FC">
            <w:pPr>
              <w:ind w:left="637" w:hanging="637"/>
              <w:contextualSpacing/>
              <w:rPr>
                <w:rFonts w:ascii="Arial" w:hAnsi="Arial" w:cs="Arial"/>
                <w:b/>
                <w:sz w:val="24"/>
                <w:szCs w:val="24"/>
              </w:rPr>
            </w:pPr>
            <w:r w:rsidRPr="00FA3F9C">
              <w:rPr>
                <w:rFonts w:ascii="Arial" w:hAnsi="Arial" w:cs="Arial"/>
                <w:sz w:val="24"/>
                <w:szCs w:val="24"/>
              </w:rPr>
              <w:t xml:space="preserve"> </w:t>
            </w:r>
            <w:r w:rsidRPr="00FA3F9C">
              <w:rPr>
                <w:rFonts w:ascii="Arial" w:hAnsi="Arial" w:cs="Arial"/>
                <w:b/>
                <w:i/>
                <w:sz w:val="24"/>
                <w:szCs w:val="24"/>
                <w:u w:val="single"/>
              </w:rPr>
              <w:t>OR</w:t>
            </w:r>
            <w:r w:rsidRPr="00FA3F9C">
              <w:rPr>
                <w:rFonts w:ascii="Arial" w:hAnsi="Arial" w:cs="Arial"/>
                <w:sz w:val="24"/>
                <w:szCs w:val="24"/>
              </w:rPr>
              <w:t xml:space="preserve">   b.  History of intolerance of at least 1 TNF antagonist (including, but not limited to: infection-related reaction, demyelination, CHF, or infection)</w:t>
            </w:r>
          </w:p>
        </w:tc>
        <w:tc>
          <w:tcPr>
            <w:tcW w:w="1705" w:type="dxa"/>
            <w:shd w:val="clear" w:color="auto" w:fill="FFFFFF" w:themeFill="background1"/>
          </w:tcPr>
          <w:p w14:paraId="1B5EBC20" w14:textId="77777777" w:rsidR="005C142D" w:rsidRPr="00FA3F9C" w:rsidRDefault="005C142D" w:rsidP="001103FC">
            <w:pPr>
              <w:contextualSpacing/>
              <w:rPr>
                <w:rFonts w:ascii="Arial" w:hAnsi="Arial" w:cs="Arial"/>
                <w:b/>
                <w:sz w:val="24"/>
                <w:szCs w:val="24"/>
              </w:rPr>
            </w:pPr>
            <w:r w:rsidRPr="00FA3F9C">
              <w:rPr>
                <w:rFonts w:ascii="Arial" w:hAnsi="Arial" w:cs="Arial"/>
                <w:b/>
                <w:sz w:val="24"/>
                <w:szCs w:val="24"/>
              </w:rPr>
              <w:t xml:space="preserve">□ </w:t>
            </w:r>
            <w:r w:rsidRPr="00FA3F9C">
              <w:rPr>
                <w:rFonts w:ascii="Arial" w:hAnsi="Arial" w:cs="Arial"/>
                <w:sz w:val="24"/>
                <w:szCs w:val="24"/>
              </w:rPr>
              <w:t>Yes      □  No</w:t>
            </w:r>
          </w:p>
        </w:tc>
      </w:tr>
      <w:tr w:rsidR="005C142D" w:rsidRPr="00FA3F9C" w14:paraId="04DA2E27" w14:textId="77777777" w:rsidTr="001103FC">
        <w:tc>
          <w:tcPr>
            <w:tcW w:w="9350" w:type="dxa"/>
            <w:gridSpan w:val="2"/>
            <w:shd w:val="clear" w:color="auto" w:fill="E7E6E6" w:themeFill="background2"/>
          </w:tcPr>
          <w:p w14:paraId="3B429851" w14:textId="77777777" w:rsidR="005C142D" w:rsidRPr="00FA3F9C" w:rsidRDefault="005C142D" w:rsidP="001103FC">
            <w:pPr>
              <w:contextualSpacing/>
              <w:rPr>
                <w:rFonts w:ascii="Arial" w:hAnsi="Arial" w:cs="Arial"/>
                <w:b/>
                <w:sz w:val="24"/>
                <w:szCs w:val="24"/>
              </w:rPr>
            </w:pPr>
            <w:r w:rsidRPr="00FA3F9C">
              <w:rPr>
                <w:rFonts w:ascii="Arial" w:hAnsi="Arial" w:cs="Arial"/>
                <w:b/>
                <w:sz w:val="24"/>
                <w:szCs w:val="24"/>
              </w:rPr>
              <w:t>If the answers to 1, 2, and either 3 OR 4 are yes, patient is approved for 14 weeks (4 doses).</w:t>
            </w:r>
          </w:p>
        </w:tc>
      </w:tr>
      <w:tr w:rsidR="005C142D" w:rsidRPr="00FA3F9C" w14:paraId="641647A6" w14:textId="77777777" w:rsidTr="001103FC">
        <w:tc>
          <w:tcPr>
            <w:tcW w:w="9350" w:type="dxa"/>
            <w:gridSpan w:val="2"/>
            <w:shd w:val="clear" w:color="auto" w:fill="FFFFFF" w:themeFill="background1"/>
          </w:tcPr>
          <w:p w14:paraId="41292FA9" w14:textId="77777777" w:rsidR="005C142D" w:rsidRPr="00FA3F9C" w:rsidRDefault="005C142D" w:rsidP="001103FC">
            <w:pPr>
              <w:contextualSpacing/>
              <w:rPr>
                <w:rFonts w:ascii="Arial" w:hAnsi="Arial" w:cs="Arial"/>
                <w:b/>
                <w:sz w:val="24"/>
                <w:szCs w:val="24"/>
              </w:rPr>
            </w:pPr>
            <w:r w:rsidRPr="00FA3F9C">
              <w:rPr>
                <w:rFonts w:ascii="Arial" w:hAnsi="Arial" w:cs="Arial"/>
                <w:b/>
                <w:sz w:val="24"/>
                <w:szCs w:val="24"/>
              </w:rPr>
              <w:t>Responders Maintenance Therapy</w:t>
            </w:r>
          </w:p>
        </w:tc>
      </w:tr>
      <w:tr w:rsidR="005C142D" w:rsidRPr="00FA3F9C" w14:paraId="34C260D9" w14:textId="77777777" w:rsidTr="001103FC">
        <w:tc>
          <w:tcPr>
            <w:tcW w:w="7645" w:type="dxa"/>
            <w:shd w:val="clear" w:color="auto" w:fill="FFFFFF" w:themeFill="background1"/>
          </w:tcPr>
          <w:p w14:paraId="45C7A2AA" w14:textId="77777777" w:rsidR="005C142D" w:rsidRPr="00FA3F9C" w:rsidRDefault="005C142D" w:rsidP="001103FC">
            <w:pPr>
              <w:contextualSpacing/>
              <w:rPr>
                <w:rFonts w:ascii="Arial" w:hAnsi="Arial" w:cs="Arial"/>
                <w:sz w:val="24"/>
                <w:szCs w:val="24"/>
              </w:rPr>
            </w:pPr>
            <w:r w:rsidRPr="00FA3F9C">
              <w:rPr>
                <w:rFonts w:ascii="Arial" w:hAnsi="Arial" w:cs="Arial"/>
                <w:sz w:val="24"/>
                <w:szCs w:val="24"/>
              </w:rPr>
              <w:t>Did the patient respond to, and was successful on therapy?</w:t>
            </w:r>
          </w:p>
        </w:tc>
        <w:tc>
          <w:tcPr>
            <w:tcW w:w="1705" w:type="dxa"/>
            <w:shd w:val="clear" w:color="auto" w:fill="FFFFFF" w:themeFill="background1"/>
          </w:tcPr>
          <w:p w14:paraId="16B83B29" w14:textId="77777777" w:rsidR="005C142D" w:rsidRPr="00FA3F9C" w:rsidRDefault="005C142D" w:rsidP="001103FC">
            <w:pPr>
              <w:contextualSpacing/>
              <w:rPr>
                <w:rFonts w:ascii="Arial" w:hAnsi="Arial" w:cs="Arial"/>
                <w:b/>
                <w:sz w:val="24"/>
                <w:szCs w:val="24"/>
              </w:rPr>
            </w:pPr>
            <w:r w:rsidRPr="00FA3F9C">
              <w:rPr>
                <w:rFonts w:ascii="Arial" w:hAnsi="Arial" w:cs="Arial"/>
                <w:b/>
                <w:sz w:val="24"/>
                <w:szCs w:val="24"/>
              </w:rPr>
              <w:t xml:space="preserve">□ </w:t>
            </w:r>
            <w:r w:rsidRPr="00FA3F9C">
              <w:rPr>
                <w:rFonts w:ascii="Arial" w:hAnsi="Arial" w:cs="Arial"/>
                <w:sz w:val="24"/>
                <w:szCs w:val="24"/>
              </w:rPr>
              <w:t>Yes      □  No</w:t>
            </w:r>
          </w:p>
        </w:tc>
      </w:tr>
      <w:tr w:rsidR="005C142D" w:rsidRPr="00FA3F9C" w14:paraId="41755C4A" w14:textId="77777777" w:rsidTr="001103FC">
        <w:tc>
          <w:tcPr>
            <w:tcW w:w="9350" w:type="dxa"/>
            <w:gridSpan w:val="2"/>
            <w:shd w:val="clear" w:color="auto" w:fill="E7E6E6" w:themeFill="background2"/>
          </w:tcPr>
          <w:p w14:paraId="200A2D37" w14:textId="77777777" w:rsidR="005C142D" w:rsidRPr="00FA3F9C" w:rsidRDefault="005C142D" w:rsidP="001103FC">
            <w:pPr>
              <w:contextualSpacing/>
              <w:rPr>
                <w:rFonts w:ascii="Arial" w:hAnsi="Arial" w:cs="Arial"/>
                <w:sz w:val="24"/>
                <w:szCs w:val="24"/>
              </w:rPr>
            </w:pPr>
            <w:r w:rsidRPr="00FA3F9C">
              <w:rPr>
                <w:rFonts w:ascii="Arial" w:hAnsi="Arial" w:cs="Arial"/>
                <w:b/>
                <w:sz w:val="24"/>
                <w:szCs w:val="24"/>
              </w:rPr>
              <w:t>If the answer was yes, patient is approved for therapy for 1 year (7 doses).</w:t>
            </w:r>
          </w:p>
        </w:tc>
      </w:tr>
      <w:tr w:rsidR="005C142D" w:rsidRPr="00FA3F9C" w14:paraId="2B04A825" w14:textId="77777777" w:rsidTr="001103FC">
        <w:tc>
          <w:tcPr>
            <w:tcW w:w="9350" w:type="dxa"/>
            <w:gridSpan w:val="2"/>
            <w:shd w:val="clear" w:color="auto" w:fill="FFFFFF" w:themeFill="background1"/>
          </w:tcPr>
          <w:p w14:paraId="4E625D65" w14:textId="77777777" w:rsidR="005C142D" w:rsidRPr="00FA3F9C" w:rsidRDefault="005C142D" w:rsidP="001103FC">
            <w:pPr>
              <w:contextualSpacing/>
              <w:rPr>
                <w:rFonts w:ascii="Arial" w:hAnsi="Arial" w:cs="Arial"/>
                <w:b/>
                <w:sz w:val="24"/>
                <w:szCs w:val="24"/>
              </w:rPr>
            </w:pPr>
            <w:r w:rsidRPr="00FA3F9C">
              <w:rPr>
                <w:rFonts w:ascii="Arial" w:hAnsi="Arial" w:cs="Arial"/>
                <w:b/>
                <w:sz w:val="24"/>
                <w:szCs w:val="24"/>
              </w:rPr>
              <w:t xml:space="preserve">References: </w:t>
            </w:r>
          </w:p>
          <w:p w14:paraId="2EA5D5B7" w14:textId="77777777" w:rsidR="005C142D" w:rsidRPr="00FA3F9C" w:rsidRDefault="005C142D" w:rsidP="001103FC">
            <w:pPr>
              <w:contextualSpacing/>
              <w:rPr>
                <w:rFonts w:ascii="Arial" w:hAnsi="Arial" w:cs="Arial"/>
                <w:sz w:val="24"/>
                <w:szCs w:val="24"/>
              </w:rPr>
            </w:pPr>
            <w:proofErr w:type="spellStart"/>
            <w:r w:rsidRPr="00FA3F9C">
              <w:rPr>
                <w:rFonts w:ascii="Arial" w:hAnsi="Arial" w:cs="Arial"/>
                <w:sz w:val="24"/>
                <w:szCs w:val="24"/>
              </w:rPr>
              <w:t>Feagan</w:t>
            </w:r>
            <w:proofErr w:type="spellEnd"/>
            <w:r w:rsidRPr="00FA3F9C">
              <w:rPr>
                <w:rFonts w:ascii="Arial" w:hAnsi="Arial" w:cs="Arial"/>
                <w:sz w:val="24"/>
                <w:szCs w:val="24"/>
              </w:rPr>
              <w:t xml:space="preserve"> BG, </w:t>
            </w:r>
            <w:proofErr w:type="spellStart"/>
            <w:r w:rsidRPr="00FA3F9C">
              <w:rPr>
                <w:rFonts w:ascii="Arial" w:hAnsi="Arial" w:cs="Arial"/>
                <w:sz w:val="24"/>
                <w:szCs w:val="24"/>
              </w:rPr>
              <w:t>Rutgeerts</w:t>
            </w:r>
            <w:proofErr w:type="spellEnd"/>
            <w:r w:rsidRPr="00FA3F9C">
              <w:rPr>
                <w:rFonts w:ascii="Arial" w:hAnsi="Arial" w:cs="Arial"/>
                <w:sz w:val="24"/>
                <w:szCs w:val="24"/>
              </w:rPr>
              <w:t xml:space="preserve"> P, Sands BE, </w:t>
            </w:r>
            <w:proofErr w:type="spellStart"/>
            <w:r w:rsidRPr="00FA3F9C">
              <w:rPr>
                <w:rFonts w:ascii="Arial" w:hAnsi="Arial" w:cs="Arial"/>
                <w:sz w:val="24"/>
                <w:szCs w:val="24"/>
              </w:rPr>
              <w:t>Hanauer</w:t>
            </w:r>
            <w:proofErr w:type="spellEnd"/>
            <w:r w:rsidRPr="00FA3F9C">
              <w:rPr>
                <w:rFonts w:ascii="Arial" w:hAnsi="Arial" w:cs="Arial"/>
                <w:sz w:val="24"/>
                <w:szCs w:val="24"/>
              </w:rPr>
              <w:t xml:space="preserve"> S, et al. Vedolizumab as Induction and Maintenance Therapy for Ulcerative Colitis. N </w:t>
            </w:r>
            <w:proofErr w:type="spellStart"/>
            <w:r w:rsidRPr="00FA3F9C">
              <w:rPr>
                <w:rFonts w:ascii="Arial" w:hAnsi="Arial" w:cs="Arial"/>
                <w:sz w:val="24"/>
                <w:szCs w:val="24"/>
              </w:rPr>
              <w:t>Engl</w:t>
            </w:r>
            <w:proofErr w:type="spellEnd"/>
            <w:r w:rsidRPr="00FA3F9C">
              <w:rPr>
                <w:rFonts w:ascii="Arial" w:hAnsi="Arial" w:cs="Arial"/>
                <w:sz w:val="24"/>
                <w:szCs w:val="24"/>
              </w:rPr>
              <w:t xml:space="preserve"> J Med 369;8 699-710. Aug 22, 2013. Accessed July 18, 2014.</w:t>
            </w:r>
          </w:p>
        </w:tc>
      </w:tr>
    </w:tbl>
    <w:p w14:paraId="6CB36509" w14:textId="77777777" w:rsidR="005C142D" w:rsidRPr="00FA3F9C" w:rsidRDefault="005C142D" w:rsidP="009F429C">
      <w:pPr>
        <w:spacing w:line="240" w:lineRule="auto"/>
        <w:contextualSpacing/>
        <w:rPr>
          <w:rFonts w:ascii="Arial" w:hAnsi="Arial" w:cs="Arial"/>
          <w:b/>
          <w:sz w:val="24"/>
          <w:szCs w:val="24"/>
        </w:rPr>
      </w:pPr>
    </w:p>
    <w:p w14:paraId="3938030E" w14:textId="77777777" w:rsidR="005C142D" w:rsidRPr="00FA3F9C" w:rsidRDefault="005C142D" w:rsidP="009F429C">
      <w:pPr>
        <w:spacing w:line="240" w:lineRule="auto"/>
        <w:contextualSpacing/>
        <w:jc w:val="center"/>
        <w:rPr>
          <w:rFonts w:ascii="Arial" w:hAnsi="Arial" w:cs="Arial"/>
          <w:b/>
          <w:sz w:val="24"/>
          <w:szCs w:val="24"/>
        </w:rPr>
      </w:pPr>
    </w:p>
    <w:tbl>
      <w:tblPr>
        <w:tblStyle w:val="TableGrid"/>
        <w:tblW w:w="0" w:type="auto"/>
        <w:tblLook w:val="04A0" w:firstRow="1" w:lastRow="0" w:firstColumn="1" w:lastColumn="0" w:noHBand="0" w:noVBand="1"/>
      </w:tblPr>
      <w:tblGrid>
        <w:gridCol w:w="1165"/>
        <w:gridCol w:w="6120"/>
        <w:gridCol w:w="2065"/>
      </w:tblGrid>
      <w:tr w:rsidR="005C142D" w:rsidRPr="00FA3F9C" w14:paraId="2A9C27B4" w14:textId="77777777" w:rsidTr="001103FC">
        <w:tc>
          <w:tcPr>
            <w:tcW w:w="9350" w:type="dxa"/>
            <w:gridSpan w:val="3"/>
          </w:tcPr>
          <w:p w14:paraId="34DA026F" w14:textId="77777777" w:rsidR="005C142D" w:rsidRPr="00FA3F9C" w:rsidRDefault="005C142D" w:rsidP="001103FC">
            <w:pPr>
              <w:contextualSpacing/>
              <w:jc w:val="center"/>
              <w:rPr>
                <w:rFonts w:ascii="Arial" w:hAnsi="Arial" w:cs="Arial"/>
                <w:b/>
                <w:sz w:val="24"/>
                <w:szCs w:val="24"/>
              </w:rPr>
            </w:pPr>
            <w:r w:rsidRPr="00FA3F9C">
              <w:rPr>
                <w:rFonts w:ascii="Arial" w:hAnsi="Arial" w:cs="Arial"/>
                <w:b/>
                <w:sz w:val="24"/>
                <w:szCs w:val="24"/>
              </w:rPr>
              <w:t>Revision History</w:t>
            </w:r>
          </w:p>
        </w:tc>
      </w:tr>
      <w:tr w:rsidR="005C142D" w:rsidRPr="00FA3F9C" w14:paraId="0EA50EC6" w14:textId="77777777" w:rsidTr="001103FC">
        <w:tc>
          <w:tcPr>
            <w:tcW w:w="1165" w:type="dxa"/>
          </w:tcPr>
          <w:p w14:paraId="43ABF3E4" w14:textId="77777777" w:rsidR="005C142D" w:rsidRPr="00FA3F9C" w:rsidRDefault="005C142D" w:rsidP="001103FC">
            <w:pPr>
              <w:contextualSpacing/>
              <w:jc w:val="center"/>
              <w:rPr>
                <w:rFonts w:ascii="Arial" w:hAnsi="Arial" w:cs="Arial"/>
                <w:b/>
                <w:sz w:val="24"/>
                <w:szCs w:val="24"/>
              </w:rPr>
            </w:pPr>
            <w:r w:rsidRPr="00FA3F9C">
              <w:rPr>
                <w:rFonts w:ascii="Arial" w:hAnsi="Arial" w:cs="Arial"/>
                <w:b/>
                <w:sz w:val="24"/>
                <w:szCs w:val="24"/>
              </w:rPr>
              <w:t>Date</w:t>
            </w:r>
          </w:p>
        </w:tc>
        <w:tc>
          <w:tcPr>
            <w:tcW w:w="6120" w:type="dxa"/>
          </w:tcPr>
          <w:p w14:paraId="36B840F4" w14:textId="77777777" w:rsidR="005C142D" w:rsidRPr="00FA3F9C" w:rsidRDefault="005C142D" w:rsidP="001103FC">
            <w:pPr>
              <w:contextualSpacing/>
              <w:jc w:val="center"/>
              <w:rPr>
                <w:rFonts w:ascii="Arial" w:hAnsi="Arial" w:cs="Arial"/>
                <w:b/>
                <w:sz w:val="24"/>
                <w:szCs w:val="24"/>
              </w:rPr>
            </w:pPr>
            <w:r w:rsidRPr="00FA3F9C">
              <w:rPr>
                <w:rFonts w:ascii="Arial" w:hAnsi="Arial" w:cs="Arial"/>
                <w:b/>
                <w:sz w:val="24"/>
                <w:szCs w:val="24"/>
              </w:rPr>
              <w:t>What happened</w:t>
            </w:r>
          </w:p>
        </w:tc>
        <w:tc>
          <w:tcPr>
            <w:tcW w:w="2065" w:type="dxa"/>
          </w:tcPr>
          <w:p w14:paraId="55A0A349" w14:textId="77777777" w:rsidR="005C142D" w:rsidRPr="00FA3F9C" w:rsidRDefault="005C142D" w:rsidP="001103FC">
            <w:pPr>
              <w:contextualSpacing/>
              <w:jc w:val="center"/>
              <w:rPr>
                <w:rFonts w:ascii="Arial" w:hAnsi="Arial" w:cs="Arial"/>
                <w:b/>
                <w:sz w:val="24"/>
                <w:szCs w:val="24"/>
              </w:rPr>
            </w:pPr>
            <w:r w:rsidRPr="00FA3F9C">
              <w:rPr>
                <w:rFonts w:ascii="Arial" w:hAnsi="Arial" w:cs="Arial"/>
                <w:b/>
                <w:sz w:val="24"/>
                <w:szCs w:val="24"/>
              </w:rPr>
              <w:t>Pharmacist</w:t>
            </w:r>
          </w:p>
        </w:tc>
      </w:tr>
      <w:tr w:rsidR="005C142D" w:rsidRPr="00FA3F9C" w14:paraId="148D05DC" w14:textId="77777777" w:rsidTr="001103FC">
        <w:tc>
          <w:tcPr>
            <w:tcW w:w="1165" w:type="dxa"/>
          </w:tcPr>
          <w:p w14:paraId="6D3480F1" w14:textId="77777777" w:rsidR="005C142D" w:rsidRPr="00FA3F9C" w:rsidRDefault="005C142D" w:rsidP="001103FC">
            <w:pPr>
              <w:contextualSpacing/>
              <w:rPr>
                <w:rFonts w:ascii="Arial" w:hAnsi="Arial" w:cs="Arial"/>
                <w:sz w:val="24"/>
                <w:szCs w:val="24"/>
              </w:rPr>
            </w:pPr>
            <w:r w:rsidRPr="00FA3F9C">
              <w:rPr>
                <w:rFonts w:ascii="Arial" w:hAnsi="Arial" w:cs="Arial"/>
                <w:sz w:val="24"/>
                <w:szCs w:val="24"/>
              </w:rPr>
              <w:t>7/22/14</w:t>
            </w:r>
          </w:p>
        </w:tc>
        <w:tc>
          <w:tcPr>
            <w:tcW w:w="6120" w:type="dxa"/>
          </w:tcPr>
          <w:p w14:paraId="1243948A" w14:textId="77777777" w:rsidR="005C142D" w:rsidRPr="00FA3F9C" w:rsidRDefault="005C142D" w:rsidP="001103FC">
            <w:pPr>
              <w:contextualSpacing/>
              <w:rPr>
                <w:rFonts w:ascii="Arial" w:hAnsi="Arial" w:cs="Arial"/>
                <w:sz w:val="24"/>
                <w:szCs w:val="24"/>
              </w:rPr>
            </w:pPr>
            <w:r w:rsidRPr="00FA3F9C">
              <w:rPr>
                <w:rFonts w:ascii="Arial" w:hAnsi="Arial" w:cs="Arial"/>
                <w:sz w:val="24"/>
                <w:szCs w:val="24"/>
              </w:rPr>
              <w:t>Created criteria</w:t>
            </w:r>
          </w:p>
        </w:tc>
        <w:tc>
          <w:tcPr>
            <w:tcW w:w="2065" w:type="dxa"/>
          </w:tcPr>
          <w:p w14:paraId="45A636B1" w14:textId="77777777" w:rsidR="005C142D" w:rsidRPr="00FA3F9C" w:rsidRDefault="005C142D" w:rsidP="001103FC">
            <w:pPr>
              <w:contextualSpacing/>
              <w:rPr>
                <w:rFonts w:ascii="Arial" w:hAnsi="Arial" w:cs="Arial"/>
                <w:sz w:val="24"/>
                <w:szCs w:val="24"/>
              </w:rPr>
            </w:pPr>
            <w:r w:rsidRPr="00FA3F9C">
              <w:rPr>
                <w:rFonts w:ascii="Arial" w:hAnsi="Arial" w:cs="Arial"/>
                <w:sz w:val="24"/>
                <w:szCs w:val="24"/>
              </w:rPr>
              <w:t>GBB</w:t>
            </w:r>
          </w:p>
        </w:tc>
      </w:tr>
      <w:tr w:rsidR="005C142D" w:rsidRPr="00FA3F9C" w14:paraId="02E6F890" w14:textId="77777777" w:rsidTr="001103FC">
        <w:tc>
          <w:tcPr>
            <w:tcW w:w="1165" w:type="dxa"/>
          </w:tcPr>
          <w:p w14:paraId="01268F6F" w14:textId="77777777" w:rsidR="005C142D" w:rsidRPr="00FA3F9C" w:rsidRDefault="005C142D" w:rsidP="001103FC">
            <w:pPr>
              <w:contextualSpacing/>
              <w:rPr>
                <w:rFonts w:ascii="Arial" w:hAnsi="Arial" w:cs="Arial"/>
                <w:sz w:val="24"/>
                <w:szCs w:val="24"/>
              </w:rPr>
            </w:pPr>
            <w:r w:rsidRPr="00FA3F9C">
              <w:rPr>
                <w:rFonts w:ascii="Arial" w:hAnsi="Arial" w:cs="Arial"/>
                <w:sz w:val="24"/>
                <w:szCs w:val="24"/>
              </w:rPr>
              <w:t>10/30/14</w:t>
            </w:r>
          </w:p>
        </w:tc>
        <w:tc>
          <w:tcPr>
            <w:tcW w:w="6120" w:type="dxa"/>
          </w:tcPr>
          <w:p w14:paraId="3F5945E1" w14:textId="77777777" w:rsidR="005C142D" w:rsidRPr="00FA3F9C" w:rsidRDefault="005C142D" w:rsidP="001103FC">
            <w:pPr>
              <w:contextualSpacing/>
              <w:rPr>
                <w:rFonts w:ascii="Arial" w:hAnsi="Arial" w:cs="Arial"/>
                <w:sz w:val="24"/>
                <w:szCs w:val="24"/>
              </w:rPr>
            </w:pPr>
            <w:r w:rsidRPr="00FA3F9C">
              <w:rPr>
                <w:rFonts w:ascii="Arial" w:hAnsi="Arial" w:cs="Arial"/>
                <w:sz w:val="24"/>
                <w:szCs w:val="24"/>
              </w:rPr>
              <w:t>A 2</w:t>
            </w:r>
            <w:r w:rsidRPr="00FA3F9C">
              <w:rPr>
                <w:rFonts w:ascii="Arial" w:hAnsi="Arial" w:cs="Arial"/>
                <w:sz w:val="24"/>
                <w:szCs w:val="24"/>
                <w:vertAlign w:val="superscript"/>
              </w:rPr>
              <w:t>nd</w:t>
            </w:r>
            <w:r w:rsidRPr="00FA3F9C">
              <w:rPr>
                <w:rFonts w:ascii="Arial" w:hAnsi="Arial" w:cs="Arial"/>
                <w:sz w:val="24"/>
                <w:szCs w:val="24"/>
              </w:rPr>
              <w:t xml:space="preserve"> reference was added regarding CD. NO changes in PA criteria</w:t>
            </w:r>
          </w:p>
        </w:tc>
        <w:tc>
          <w:tcPr>
            <w:tcW w:w="2065" w:type="dxa"/>
          </w:tcPr>
          <w:p w14:paraId="5EDA9730" w14:textId="77777777" w:rsidR="005C142D" w:rsidRPr="00FA3F9C" w:rsidRDefault="005C142D" w:rsidP="001103FC">
            <w:pPr>
              <w:contextualSpacing/>
              <w:rPr>
                <w:rFonts w:ascii="Arial" w:hAnsi="Arial" w:cs="Arial"/>
                <w:sz w:val="24"/>
                <w:szCs w:val="24"/>
              </w:rPr>
            </w:pPr>
            <w:r w:rsidRPr="00FA3F9C">
              <w:rPr>
                <w:rFonts w:ascii="Arial" w:hAnsi="Arial" w:cs="Arial"/>
                <w:sz w:val="24"/>
                <w:szCs w:val="24"/>
              </w:rPr>
              <w:t>JJ</w:t>
            </w:r>
          </w:p>
        </w:tc>
      </w:tr>
    </w:tbl>
    <w:p w14:paraId="71DA63E8" w14:textId="77777777" w:rsidR="005C142D" w:rsidRPr="00FA3F9C" w:rsidRDefault="005C142D" w:rsidP="009F429C">
      <w:pPr>
        <w:spacing w:line="240" w:lineRule="auto"/>
        <w:contextualSpacing/>
        <w:rPr>
          <w:rFonts w:ascii="Arial" w:hAnsi="Arial" w:cs="Arial"/>
          <w:b/>
          <w:sz w:val="24"/>
          <w:szCs w:val="24"/>
        </w:rPr>
      </w:pPr>
    </w:p>
    <w:p w14:paraId="6237B2F1" w14:textId="77777777" w:rsidR="005C142D" w:rsidRPr="00FA3F9C" w:rsidRDefault="005C142D">
      <w:pPr>
        <w:rPr>
          <w:rFonts w:ascii="Arial" w:hAnsi="Arial" w:cs="Arial"/>
          <w:sz w:val="24"/>
          <w:szCs w:val="24"/>
        </w:rPr>
      </w:pPr>
    </w:p>
    <w:p w14:paraId="348102B7" w14:textId="77777777" w:rsidR="005D3DE3" w:rsidRDefault="005C142D" w:rsidP="005D3DE3">
      <w:pPr>
        <w:pStyle w:val="Heading2"/>
        <w:rPr>
          <w:lang w:val="es-ES"/>
        </w:rPr>
      </w:pPr>
      <w:bookmarkStart w:id="332" w:name="_Toc106369955"/>
      <w:proofErr w:type="spellStart"/>
      <w:r w:rsidRPr="00FA3F9C">
        <w:rPr>
          <w:lang w:val="es-ES"/>
        </w:rPr>
        <w:t>Vemurafenib</w:t>
      </w:r>
      <w:proofErr w:type="spellEnd"/>
      <w:r w:rsidRPr="00FA3F9C">
        <w:rPr>
          <w:lang w:val="es-ES"/>
        </w:rPr>
        <w:t xml:space="preserve"> (</w:t>
      </w:r>
      <w:proofErr w:type="spellStart"/>
      <w:r w:rsidRPr="00FA3F9C">
        <w:rPr>
          <w:lang w:val="es-ES"/>
        </w:rPr>
        <w:t>Zelboraf</w:t>
      </w:r>
      <w:proofErr w:type="spellEnd"/>
      <w:r w:rsidRPr="00FA3F9C">
        <w:rPr>
          <w:lang w:val="es-ES"/>
        </w:rPr>
        <w:t>®)</w:t>
      </w:r>
      <w:bookmarkEnd w:id="332"/>
      <w:r w:rsidRPr="00FA3F9C">
        <w:rPr>
          <w:lang w:val="es-ES"/>
        </w:rPr>
        <w:t xml:space="preserve"> </w:t>
      </w:r>
    </w:p>
    <w:p w14:paraId="197ADB4E" w14:textId="4F3EBA61" w:rsidR="005C142D" w:rsidRPr="00FA3F9C" w:rsidRDefault="005C142D" w:rsidP="00565408">
      <w:pPr>
        <w:jc w:val="center"/>
        <w:rPr>
          <w:rFonts w:ascii="Arial" w:hAnsi="Arial" w:cs="Arial"/>
          <w:sz w:val="24"/>
          <w:szCs w:val="24"/>
          <w:lang w:val="es-ES"/>
        </w:rPr>
      </w:pPr>
      <w:r w:rsidRPr="00FA3F9C">
        <w:rPr>
          <w:rFonts w:ascii="Arial" w:hAnsi="Arial" w:cs="Arial"/>
          <w:sz w:val="24"/>
          <w:szCs w:val="24"/>
          <w:lang w:val="es-ES"/>
        </w:rPr>
        <w:t xml:space="preserve">240mg </w:t>
      </w:r>
      <w:proofErr w:type="spellStart"/>
      <w:r w:rsidRPr="00FA3F9C">
        <w:rPr>
          <w:rFonts w:ascii="Arial" w:hAnsi="Arial" w:cs="Arial"/>
          <w:sz w:val="24"/>
          <w:szCs w:val="24"/>
          <w:lang w:val="es-ES"/>
        </w:rPr>
        <w:t>tabs</w:t>
      </w:r>
      <w:proofErr w:type="spellEnd"/>
    </w:p>
    <w:p w14:paraId="193BF2E4" w14:textId="77777777" w:rsidR="005C142D" w:rsidRPr="00FA3F9C" w:rsidRDefault="005C142D" w:rsidP="00773BCD">
      <w:pPr>
        <w:jc w:val="center"/>
        <w:rPr>
          <w:rFonts w:ascii="Arial" w:hAnsi="Arial" w:cs="Arial"/>
          <w:sz w:val="24"/>
          <w:szCs w:val="24"/>
          <w:lang w:val="es-ES"/>
        </w:rPr>
      </w:pPr>
      <w:r w:rsidRPr="00FA3F9C">
        <w:rPr>
          <w:rFonts w:ascii="Arial" w:hAnsi="Arial" w:cs="Arial"/>
          <w:sz w:val="24"/>
          <w:szCs w:val="24"/>
          <w:lang w:val="es-ES"/>
        </w:rPr>
        <w:t xml:space="preserve">EBRx PA </w:t>
      </w:r>
      <w:proofErr w:type="spellStart"/>
      <w:r w:rsidRPr="00FA3F9C">
        <w:rPr>
          <w:rFonts w:ascii="Arial" w:hAnsi="Arial" w:cs="Arial"/>
          <w:sz w:val="24"/>
          <w:szCs w:val="24"/>
          <w:lang w:val="es-ES"/>
        </w:rPr>
        <w:t>Criteria</w:t>
      </w:r>
      <w:proofErr w:type="spellEnd"/>
    </w:p>
    <w:p w14:paraId="2BE1C71B" w14:textId="77777777" w:rsidR="005C142D" w:rsidRPr="00FA3F9C" w:rsidRDefault="005C142D" w:rsidP="002A23A6">
      <w:pPr>
        <w:jc w:val="center"/>
        <w:rPr>
          <w:rFonts w:ascii="Arial" w:hAnsi="Arial" w:cs="Arial"/>
          <w:b/>
          <w:sz w:val="24"/>
          <w:szCs w:val="24"/>
          <w:lang w:val="es-ES"/>
        </w:rPr>
      </w:pPr>
    </w:p>
    <w:p w14:paraId="0FA02C15" w14:textId="77777777" w:rsidR="005C142D" w:rsidRPr="00FA3F9C" w:rsidRDefault="005C142D" w:rsidP="00AD271E">
      <w:pPr>
        <w:rPr>
          <w:rFonts w:ascii="Arial" w:hAnsi="Arial" w:cs="Arial"/>
          <w:b/>
          <w:sz w:val="24"/>
          <w:szCs w:val="24"/>
          <w:u w:val="single"/>
        </w:rPr>
      </w:pPr>
      <w:r w:rsidRPr="00FA3F9C">
        <w:rPr>
          <w:rFonts w:ascii="Arial" w:hAnsi="Arial" w:cs="Arial"/>
          <w:b/>
          <w:sz w:val="24"/>
          <w:szCs w:val="24"/>
          <w:u w:val="single"/>
        </w:rPr>
        <w:t>FDA-approved for:</w:t>
      </w:r>
    </w:p>
    <w:p w14:paraId="0EC7C9DE" w14:textId="77777777" w:rsidR="005C142D" w:rsidRPr="00FA3F9C" w:rsidRDefault="005C142D" w:rsidP="00FC1E85">
      <w:pPr>
        <w:numPr>
          <w:ilvl w:val="0"/>
          <w:numId w:val="499"/>
        </w:numPr>
        <w:spacing w:after="0" w:line="240" w:lineRule="auto"/>
        <w:rPr>
          <w:rFonts w:ascii="Arial" w:hAnsi="Arial" w:cs="Arial"/>
          <w:sz w:val="24"/>
          <w:szCs w:val="24"/>
        </w:rPr>
      </w:pPr>
      <w:r w:rsidRPr="00FA3F9C">
        <w:rPr>
          <w:rFonts w:ascii="Arial" w:hAnsi="Arial" w:cs="Arial"/>
          <w:sz w:val="24"/>
          <w:szCs w:val="24"/>
        </w:rPr>
        <w:t xml:space="preserve">treatment of patients with unresectable or metastatic melanoma with BRAF V600E mutation as detected by an FDA-approved test. </w:t>
      </w:r>
      <w:r w:rsidRPr="00FA3F9C">
        <w:rPr>
          <w:rFonts w:ascii="Arial" w:hAnsi="Arial" w:cs="Arial"/>
          <w:sz w:val="24"/>
          <w:szCs w:val="24"/>
          <w:highlight w:val="cyan"/>
        </w:rPr>
        <w:t xml:space="preserve">Covered in combination with </w:t>
      </w:r>
      <w:proofErr w:type="spellStart"/>
      <w:r w:rsidRPr="00FA3F9C">
        <w:rPr>
          <w:rFonts w:ascii="Arial" w:hAnsi="Arial" w:cs="Arial"/>
          <w:sz w:val="24"/>
          <w:szCs w:val="24"/>
          <w:highlight w:val="cyan"/>
        </w:rPr>
        <w:t>cobimetinib</w:t>
      </w:r>
      <w:proofErr w:type="spellEnd"/>
      <w:r w:rsidRPr="00FA3F9C">
        <w:rPr>
          <w:rFonts w:ascii="Arial" w:hAnsi="Arial" w:cs="Arial"/>
          <w:sz w:val="24"/>
          <w:szCs w:val="24"/>
          <w:highlight w:val="cyan"/>
        </w:rPr>
        <w:t xml:space="preserve"> in first line treatment setting</w:t>
      </w:r>
      <w:r w:rsidRPr="00FA3F9C">
        <w:rPr>
          <w:rFonts w:ascii="Arial" w:hAnsi="Arial" w:cs="Arial"/>
          <w:sz w:val="24"/>
          <w:szCs w:val="24"/>
        </w:rPr>
        <w:t xml:space="preserve"> </w:t>
      </w:r>
    </w:p>
    <w:p w14:paraId="219811E2" w14:textId="77777777" w:rsidR="005C142D" w:rsidRPr="00FA3F9C" w:rsidRDefault="005C142D" w:rsidP="00FC1E85">
      <w:pPr>
        <w:numPr>
          <w:ilvl w:val="0"/>
          <w:numId w:val="499"/>
        </w:numPr>
        <w:spacing w:after="0" w:line="240" w:lineRule="auto"/>
        <w:rPr>
          <w:rFonts w:ascii="Arial" w:hAnsi="Arial" w:cs="Arial"/>
          <w:sz w:val="24"/>
          <w:szCs w:val="24"/>
        </w:rPr>
      </w:pPr>
      <w:r w:rsidRPr="00FA3F9C">
        <w:rPr>
          <w:rFonts w:ascii="Arial" w:hAnsi="Arial" w:cs="Arial"/>
          <w:sz w:val="24"/>
          <w:szCs w:val="24"/>
        </w:rPr>
        <w:t xml:space="preserve">treatment of patients with </w:t>
      </w:r>
      <w:proofErr w:type="spellStart"/>
      <w:r w:rsidRPr="00FA3F9C">
        <w:rPr>
          <w:rFonts w:ascii="Arial" w:hAnsi="Arial" w:cs="Arial"/>
          <w:sz w:val="24"/>
          <w:szCs w:val="24"/>
        </w:rPr>
        <w:t>Erdheim</w:t>
      </w:r>
      <w:proofErr w:type="spellEnd"/>
      <w:r w:rsidRPr="00FA3F9C">
        <w:rPr>
          <w:rFonts w:ascii="Arial" w:hAnsi="Arial" w:cs="Arial"/>
          <w:sz w:val="24"/>
          <w:szCs w:val="24"/>
        </w:rPr>
        <w:t xml:space="preserve">-Chester Disease with BRAF V600 mutation </w:t>
      </w:r>
      <w:r w:rsidRPr="00FA3F9C">
        <w:rPr>
          <w:rFonts w:ascii="Arial" w:hAnsi="Arial" w:cs="Arial"/>
          <w:sz w:val="24"/>
          <w:szCs w:val="24"/>
          <w:highlight w:val="yellow"/>
        </w:rPr>
        <w:t>NOT COVERED</w:t>
      </w:r>
      <w:r w:rsidRPr="00FA3F9C">
        <w:rPr>
          <w:rFonts w:ascii="Arial" w:hAnsi="Arial" w:cs="Arial"/>
          <w:sz w:val="24"/>
          <w:szCs w:val="24"/>
        </w:rPr>
        <w:t>: data is limited to single arm trial only. One case series demonstrated symptom improvement in 3 patients (low quality data).</w:t>
      </w:r>
    </w:p>
    <w:p w14:paraId="61F2C279" w14:textId="77777777" w:rsidR="005C142D" w:rsidRPr="00FA3F9C" w:rsidRDefault="005C142D" w:rsidP="00565408">
      <w:pPr>
        <w:pStyle w:val="ListParagraph"/>
        <w:spacing w:after="0" w:line="240" w:lineRule="auto"/>
        <w:rPr>
          <w:rFonts w:ascii="Arial" w:hAnsi="Arial" w:cs="Arial"/>
          <w:sz w:val="24"/>
          <w:szCs w:val="24"/>
        </w:rPr>
      </w:pPr>
      <w:r w:rsidRPr="00FA3F9C">
        <w:rPr>
          <w:rFonts w:ascii="Arial" w:hAnsi="Arial" w:cs="Arial"/>
          <w:sz w:val="24"/>
          <w:szCs w:val="24"/>
        </w:rPr>
        <w:t xml:space="preserve">References: </w:t>
      </w:r>
    </w:p>
    <w:p w14:paraId="391B7EB7" w14:textId="77777777" w:rsidR="005C142D" w:rsidRPr="00FA3F9C" w:rsidRDefault="005C142D" w:rsidP="00565408">
      <w:pPr>
        <w:pStyle w:val="ListParagraph"/>
        <w:spacing w:after="0" w:line="240" w:lineRule="auto"/>
        <w:ind w:left="1080" w:hanging="180"/>
        <w:rPr>
          <w:rFonts w:ascii="Arial" w:hAnsi="Arial" w:cs="Arial"/>
          <w:sz w:val="24"/>
          <w:szCs w:val="24"/>
        </w:rPr>
      </w:pPr>
      <w:r w:rsidRPr="00FA3F9C">
        <w:rPr>
          <w:rFonts w:ascii="Arial" w:hAnsi="Arial" w:cs="Arial"/>
          <w:sz w:val="24"/>
          <w:szCs w:val="24"/>
        </w:rPr>
        <w:t xml:space="preserve">1. Diamond EL et al. </w:t>
      </w:r>
      <w:r w:rsidRPr="00FA3F9C">
        <w:rPr>
          <w:rStyle w:val="highlight"/>
          <w:rFonts w:ascii="Arial" w:hAnsi="Arial" w:cs="Arial"/>
          <w:sz w:val="24"/>
          <w:szCs w:val="24"/>
        </w:rPr>
        <w:t>Vemurafenib</w:t>
      </w:r>
      <w:r w:rsidRPr="00FA3F9C">
        <w:rPr>
          <w:rFonts w:ascii="Arial" w:hAnsi="Arial" w:cs="Arial"/>
          <w:sz w:val="24"/>
          <w:szCs w:val="24"/>
        </w:rPr>
        <w:t xml:space="preserve"> for BRAF V600-Mutant </w:t>
      </w:r>
      <w:proofErr w:type="spellStart"/>
      <w:r w:rsidRPr="00FA3F9C">
        <w:rPr>
          <w:rStyle w:val="highlight"/>
          <w:rFonts w:ascii="Arial" w:hAnsi="Arial" w:cs="Arial"/>
          <w:sz w:val="24"/>
          <w:szCs w:val="24"/>
        </w:rPr>
        <w:t>Erdheim</w:t>
      </w:r>
      <w:proofErr w:type="spellEnd"/>
      <w:r w:rsidRPr="00FA3F9C">
        <w:rPr>
          <w:rStyle w:val="highlight"/>
          <w:rFonts w:ascii="Arial" w:hAnsi="Arial" w:cs="Arial"/>
          <w:sz w:val="24"/>
          <w:szCs w:val="24"/>
        </w:rPr>
        <w:t>-Chester Disease</w:t>
      </w:r>
      <w:r w:rsidRPr="00FA3F9C">
        <w:rPr>
          <w:rFonts w:ascii="Arial" w:hAnsi="Arial" w:cs="Arial"/>
          <w:sz w:val="24"/>
          <w:szCs w:val="24"/>
        </w:rPr>
        <w:t xml:space="preserve"> and Langerhans Cell Histiocytosis: Analysis of Data From the Histology-Independent, Phase 2, Open-label VE-BASKET Study. </w:t>
      </w:r>
      <w:hyperlink r:id="rId414" w:tooltip="JAMA oncology." w:history="1">
        <w:r w:rsidRPr="00FA3F9C">
          <w:rPr>
            <w:rStyle w:val="Hyperlink"/>
            <w:rFonts w:ascii="Arial" w:hAnsi="Arial" w:cs="Arial"/>
            <w:sz w:val="24"/>
            <w:szCs w:val="24"/>
          </w:rPr>
          <w:t>JAMA Oncol.</w:t>
        </w:r>
      </w:hyperlink>
      <w:r w:rsidRPr="00FA3F9C">
        <w:rPr>
          <w:rFonts w:ascii="Arial" w:hAnsi="Arial" w:cs="Arial"/>
          <w:sz w:val="24"/>
          <w:szCs w:val="24"/>
        </w:rPr>
        <w:t xml:space="preserve"> 2018 Mar 1;4(3):384-388. PMID </w:t>
      </w:r>
      <w:r w:rsidRPr="00FA3F9C">
        <w:rPr>
          <w:rFonts w:ascii="Arial" w:eastAsia="Times New Roman" w:hAnsi="Arial" w:cs="Arial"/>
          <w:sz w:val="24"/>
          <w:szCs w:val="24"/>
        </w:rPr>
        <w:t>29188284</w:t>
      </w:r>
    </w:p>
    <w:p w14:paraId="6ED8F564" w14:textId="77777777" w:rsidR="005C142D" w:rsidRPr="00FA3F9C" w:rsidRDefault="005C142D" w:rsidP="00527ABC">
      <w:pPr>
        <w:ind w:left="1080" w:hanging="180"/>
        <w:rPr>
          <w:rFonts w:ascii="Arial" w:hAnsi="Arial" w:cs="Arial"/>
          <w:sz w:val="24"/>
          <w:szCs w:val="24"/>
        </w:rPr>
      </w:pPr>
      <w:r w:rsidRPr="00FA3F9C">
        <w:rPr>
          <w:rFonts w:ascii="Arial" w:hAnsi="Arial" w:cs="Arial"/>
          <w:sz w:val="24"/>
          <w:szCs w:val="24"/>
        </w:rPr>
        <w:t xml:space="preserve">2. Diamond EL et al. Consensus guidelines for the diagnosis and clinical management of </w:t>
      </w:r>
      <w:proofErr w:type="spellStart"/>
      <w:r w:rsidRPr="00FA3F9C">
        <w:rPr>
          <w:rFonts w:ascii="Arial" w:hAnsi="Arial" w:cs="Arial"/>
          <w:sz w:val="24"/>
          <w:szCs w:val="24"/>
        </w:rPr>
        <w:t>Erdheim</w:t>
      </w:r>
      <w:proofErr w:type="spellEnd"/>
      <w:r w:rsidRPr="00FA3F9C">
        <w:rPr>
          <w:rFonts w:ascii="Arial" w:hAnsi="Arial" w:cs="Arial"/>
          <w:sz w:val="24"/>
          <w:szCs w:val="24"/>
        </w:rPr>
        <w:t xml:space="preserve">-Chester disease. </w:t>
      </w:r>
      <w:hyperlink r:id="rId415" w:tooltip="Blood." w:history="1">
        <w:r w:rsidRPr="00FA3F9C">
          <w:rPr>
            <w:rStyle w:val="Hyperlink"/>
            <w:rFonts w:ascii="Arial" w:hAnsi="Arial" w:cs="Arial"/>
            <w:sz w:val="24"/>
            <w:szCs w:val="24"/>
          </w:rPr>
          <w:t>Blood.</w:t>
        </w:r>
      </w:hyperlink>
      <w:r w:rsidRPr="00FA3F9C">
        <w:rPr>
          <w:rFonts w:ascii="Arial" w:hAnsi="Arial" w:cs="Arial"/>
          <w:sz w:val="24"/>
          <w:szCs w:val="24"/>
        </w:rPr>
        <w:t xml:space="preserve"> 2014 Jul 24;124(4):483-92. </w:t>
      </w:r>
      <w:proofErr w:type="spellStart"/>
      <w:r w:rsidRPr="00FA3F9C">
        <w:rPr>
          <w:rFonts w:ascii="Arial" w:hAnsi="Arial" w:cs="Arial"/>
          <w:sz w:val="24"/>
          <w:szCs w:val="24"/>
        </w:rPr>
        <w:t>doi</w:t>
      </w:r>
      <w:proofErr w:type="spellEnd"/>
      <w:r w:rsidRPr="00FA3F9C">
        <w:rPr>
          <w:rFonts w:ascii="Arial" w:hAnsi="Arial" w:cs="Arial"/>
          <w:sz w:val="24"/>
          <w:szCs w:val="24"/>
        </w:rPr>
        <w:t xml:space="preserve">: 10.1182/blood-2014-03-561381. </w:t>
      </w:r>
      <w:proofErr w:type="spellStart"/>
      <w:r w:rsidRPr="00FA3F9C">
        <w:rPr>
          <w:rFonts w:ascii="Arial" w:hAnsi="Arial" w:cs="Arial"/>
          <w:sz w:val="24"/>
          <w:szCs w:val="24"/>
        </w:rPr>
        <w:t>Epub</w:t>
      </w:r>
      <w:proofErr w:type="spellEnd"/>
      <w:r w:rsidRPr="00FA3F9C">
        <w:rPr>
          <w:rFonts w:ascii="Arial" w:hAnsi="Arial" w:cs="Arial"/>
          <w:sz w:val="24"/>
          <w:szCs w:val="24"/>
        </w:rPr>
        <w:t xml:space="preserve"> 2014 May 21. PMID 24850756</w:t>
      </w:r>
    </w:p>
    <w:p w14:paraId="144ADF0A" w14:textId="77777777" w:rsidR="005C142D" w:rsidRPr="00FA3F9C" w:rsidRDefault="005C142D" w:rsidP="00527ABC">
      <w:pPr>
        <w:ind w:left="1080" w:hanging="180"/>
        <w:rPr>
          <w:rFonts w:ascii="Arial" w:hAnsi="Arial" w:cs="Arial"/>
          <w:sz w:val="24"/>
          <w:szCs w:val="24"/>
        </w:rPr>
      </w:pPr>
      <w:r w:rsidRPr="00FA3F9C">
        <w:rPr>
          <w:rFonts w:ascii="Arial" w:hAnsi="Arial" w:cs="Arial"/>
          <w:sz w:val="24"/>
          <w:szCs w:val="24"/>
        </w:rPr>
        <w:t xml:space="preserve">3. </w:t>
      </w:r>
      <w:proofErr w:type="spellStart"/>
      <w:r w:rsidRPr="00FA3F9C">
        <w:rPr>
          <w:rStyle w:val="Emphasis"/>
          <w:rFonts w:ascii="Arial" w:hAnsi="Arial" w:cs="Arial"/>
          <w:i w:val="0"/>
          <w:color w:val="1A1A1A"/>
          <w:sz w:val="24"/>
          <w:szCs w:val="24"/>
          <w:bdr w:val="none" w:sz="0" w:space="0" w:color="auto" w:frame="1"/>
          <w:shd w:val="clear" w:color="auto" w:fill="FFFFFF"/>
        </w:rPr>
        <w:t>Haroche</w:t>
      </w:r>
      <w:proofErr w:type="spellEnd"/>
      <w:r w:rsidRPr="00FA3F9C">
        <w:rPr>
          <w:rStyle w:val="Emphasis"/>
          <w:rFonts w:ascii="Arial" w:hAnsi="Arial" w:cs="Arial"/>
          <w:i w:val="0"/>
          <w:color w:val="1A1A1A"/>
          <w:sz w:val="24"/>
          <w:szCs w:val="24"/>
          <w:bdr w:val="none" w:sz="0" w:space="0" w:color="auto" w:frame="1"/>
          <w:shd w:val="clear" w:color="auto" w:fill="FFFFFF"/>
        </w:rPr>
        <w:t xml:space="preserve"> J et al. Dramatic efficacy of vemurafenib in both multisystemic and refractory </w:t>
      </w:r>
      <w:proofErr w:type="spellStart"/>
      <w:r w:rsidRPr="00FA3F9C">
        <w:rPr>
          <w:rStyle w:val="Emphasis"/>
          <w:rFonts w:ascii="Arial" w:hAnsi="Arial" w:cs="Arial"/>
          <w:i w:val="0"/>
          <w:color w:val="1A1A1A"/>
          <w:sz w:val="24"/>
          <w:szCs w:val="24"/>
          <w:bdr w:val="none" w:sz="0" w:space="0" w:color="auto" w:frame="1"/>
          <w:shd w:val="clear" w:color="auto" w:fill="FFFFFF"/>
        </w:rPr>
        <w:t>Erdheim</w:t>
      </w:r>
      <w:proofErr w:type="spellEnd"/>
      <w:r w:rsidRPr="00FA3F9C">
        <w:rPr>
          <w:rStyle w:val="Emphasis"/>
          <w:rFonts w:ascii="Arial" w:hAnsi="Arial" w:cs="Arial"/>
          <w:i w:val="0"/>
          <w:color w:val="1A1A1A"/>
          <w:sz w:val="24"/>
          <w:szCs w:val="24"/>
          <w:bdr w:val="none" w:sz="0" w:space="0" w:color="auto" w:frame="1"/>
          <w:shd w:val="clear" w:color="auto" w:fill="FFFFFF"/>
        </w:rPr>
        <w:t>-Chester disease and Langerhans cell histiocytosis harboring the BRAF V600E mutation Blood</w:t>
      </w:r>
      <w:r w:rsidRPr="00FA3F9C">
        <w:rPr>
          <w:rFonts w:ascii="Arial" w:hAnsi="Arial" w:cs="Arial"/>
          <w:i/>
          <w:color w:val="1A1A1A"/>
          <w:sz w:val="24"/>
          <w:szCs w:val="24"/>
          <w:shd w:val="clear" w:color="auto" w:fill="FFFFFF"/>
        </w:rPr>
        <w:t> (2013) 121 (9): 1495–1500.</w:t>
      </w:r>
    </w:p>
    <w:p w14:paraId="175B30B7" w14:textId="77777777" w:rsidR="005C142D" w:rsidRPr="00FA3F9C" w:rsidRDefault="005C142D" w:rsidP="0015446A">
      <w:pPr>
        <w:rPr>
          <w:rFonts w:ascii="Arial" w:hAnsi="Arial" w:cs="Arial"/>
          <w:sz w:val="24"/>
          <w:szCs w:val="24"/>
        </w:rPr>
      </w:pPr>
    </w:p>
    <w:p w14:paraId="2068AB28" w14:textId="77777777" w:rsidR="005C142D" w:rsidRPr="00FA3F9C" w:rsidRDefault="005C142D" w:rsidP="009F408B">
      <w:pPr>
        <w:rPr>
          <w:rFonts w:ascii="Arial" w:hAnsi="Arial" w:cs="Arial"/>
          <w:sz w:val="24"/>
          <w:szCs w:val="24"/>
          <w:u w:val="single"/>
        </w:rPr>
      </w:pPr>
      <w:r w:rsidRPr="00FA3F9C">
        <w:rPr>
          <w:rFonts w:ascii="Arial" w:hAnsi="Arial" w:cs="Arial"/>
          <w:sz w:val="24"/>
          <w:szCs w:val="24"/>
          <w:u w:val="single"/>
        </w:rPr>
        <w:t>The following indication is not included in the vemurafenib package insert but is FDA approved per the atezolizumab (</w:t>
      </w:r>
      <w:proofErr w:type="spellStart"/>
      <w:r w:rsidRPr="00FA3F9C">
        <w:rPr>
          <w:rFonts w:ascii="Arial" w:hAnsi="Arial" w:cs="Arial"/>
          <w:sz w:val="24"/>
          <w:szCs w:val="24"/>
          <w:u w:val="single"/>
        </w:rPr>
        <w:t>Tecentriq</w:t>
      </w:r>
      <w:proofErr w:type="spellEnd"/>
      <w:r w:rsidRPr="00FA3F9C">
        <w:rPr>
          <w:rFonts w:ascii="Arial" w:hAnsi="Arial" w:cs="Arial"/>
          <w:sz w:val="24"/>
          <w:szCs w:val="24"/>
          <w:u w:val="single"/>
        </w:rPr>
        <w:t>) package insert:</w:t>
      </w:r>
    </w:p>
    <w:p w14:paraId="6A7AECBA" w14:textId="77777777" w:rsidR="005C142D" w:rsidRPr="00FA3F9C" w:rsidRDefault="005C142D" w:rsidP="005C142D">
      <w:pPr>
        <w:pStyle w:val="ListParagraph"/>
        <w:numPr>
          <w:ilvl w:val="0"/>
          <w:numId w:val="27"/>
        </w:numPr>
        <w:spacing w:after="0" w:line="276" w:lineRule="auto"/>
        <w:ind w:left="540"/>
        <w:rPr>
          <w:rFonts w:ascii="Arial" w:hAnsi="Arial" w:cs="Arial"/>
          <w:b/>
          <w:sz w:val="24"/>
          <w:szCs w:val="24"/>
          <w:u w:val="single"/>
        </w:rPr>
      </w:pPr>
      <w:r w:rsidRPr="00FA3F9C">
        <w:rPr>
          <w:rFonts w:ascii="Arial" w:hAnsi="Arial" w:cs="Arial"/>
          <w:b/>
          <w:sz w:val="24"/>
          <w:szCs w:val="24"/>
          <w:u w:val="single"/>
        </w:rPr>
        <w:t>Melanoma</w:t>
      </w:r>
      <w:r w:rsidRPr="00FA3F9C">
        <w:rPr>
          <w:rFonts w:ascii="Arial" w:hAnsi="Arial" w:cs="Arial"/>
          <w:sz w:val="24"/>
          <w:szCs w:val="24"/>
        </w:rPr>
        <w:t xml:space="preserve"> </w:t>
      </w:r>
    </w:p>
    <w:p w14:paraId="08D89B8D" w14:textId="77777777" w:rsidR="005C142D" w:rsidRPr="00FA3F9C" w:rsidRDefault="005C142D" w:rsidP="005C142D">
      <w:pPr>
        <w:pStyle w:val="ListParagraph"/>
        <w:numPr>
          <w:ilvl w:val="1"/>
          <w:numId w:val="27"/>
        </w:numPr>
        <w:spacing w:after="0" w:line="276" w:lineRule="auto"/>
        <w:ind w:left="810"/>
        <w:rPr>
          <w:rFonts w:ascii="Arial" w:hAnsi="Arial" w:cs="Arial"/>
          <w:b/>
          <w:sz w:val="24"/>
          <w:szCs w:val="24"/>
          <w:u w:val="single"/>
        </w:rPr>
      </w:pPr>
      <w:r w:rsidRPr="00FA3F9C">
        <w:rPr>
          <w:rFonts w:ascii="Arial" w:hAnsi="Arial" w:cs="Arial"/>
          <w:sz w:val="24"/>
          <w:szCs w:val="24"/>
        </w:rPr>
        <w:t xml:space="preserve">in combination with atezolizumab and </w:t>
      </w:r>
      <w:proofErr w:type="spellStart"/>
      <w:r w:rsidRPr="00FA3F9C">
        <w:rPr>
          <w:rFonts w:ascii="Arial" w:hAnsi="Arial" w:cs="Arial"/>
          <w:sz w:val="24"/>
          <w:szCs w:val="24"/>
        </w:rPr>
        <w:t>cobimetinib</w:t>
      </w:r>
      <w:proofErr w:type="spellEnd"/>
      <w:r w:rsidRPr="00FA3F9C">
        <w:rPr>
          <w:rFonts w:ascii="Arial" w:hAnsi="Arial" w:cs="Arial"/>
          <w:sz w:val="24"/>
          <w:szCs w:val="24"/>
        </w:rPr>
        <w:t xml:space="preserve"> for the treatment of patients with BRAF V600 mutation-positive unresectable or metastatic melanoma </w:t>
      </w:r>
      <w:r w:rsidRPr="00FA3F9C">
        <w:rPr>
          <w:rFonts w:ascii="Arial" w:hAnsi="Arial" w:cs="Arial"/>
          <w:sz w:val="24"/>
          <w:szCs w:val="24"/>
          <w:highlight w:val="yellow"/>
        </w:rPr>
        <w:t>NOT COVERED</w:t>
      </w:r>
    </w:p>
    <w:p w14:paraId="78D42CFD" w14:textId="77777777" w:rsidR="005C142D" w:rsidRPr="00FA3F9C" w:rsidRDefault="005C142D" w:rsidP="005C142D">
      <w:pPr>
        <w:pStyle w:val="ListParagraph"/>
        <w:numPr>
          <w:ilvl w:val="2"/>
          <w:numId w:val="27"/>
        </w:numPr>
        <w:spacing w:after="200" w:line="276" w:lineRule="auto"/>
        <w:ind w:left="1350"/>
        <w:rPr>
          <w:rFonts w:ascii="Arial" w:hAnsi="Arial" w:cs="Arial"/>
          <w:sz w:val="24"/>
          <w:szCs w:val="24"/>
        </w:rPr>
      </w:pPr>
      <w:r w:rsidRPr="00FA3F9C">
        <w:rPr>
          <w:rFonts w:ascii="Arial" w:hAnsi="Arial" w:cs="Arial"/>
          <w:sz w:val="24"/>
          <w:szCs w:val="24"/>
        </w:rPr>
        <w:t xml:space="preserve">Benefit of this combination is limited to progression free survival. Overall survival nor quality of life have been shown to be improved at this time. </w:t>
      </w:r>
    </w:p>
    <w:p w14:paraId="7ECECBA9" w14:textId="77777777" w:rsidR="005C142D" w:rsidRPr="00FA3F9C" w:rsidRDefault="005C142D" w:rsidP="005C142D">
      <w:pPr>
        <w:pStyle w:val="ListParagraph"/>
        <w:numPr>
          <w:ilvl w:val="2"/>
          <w:numId w:val="27"/>
        </w:numPr>
        <w:spacing w:after="200" w:line="276" w:lineRule="auto"/>
        <w:ind w:left="1350"/>
        <w:rPr>
          <w:rFonts w:ascii="Arial" w:hAnsi="Arial" w:cs="Arial"/>
          <w:sz w:val="24"/>
          <w:szCs w:val="24"/>
        </w:rPr>
      </w:pPr>
      <w:r w:rsidRPr="00FA3F9C">
        <w:rPr>
          <w:rFonts w:ascii="Arial" w:hAnsi="Arial" w:cs="Arial"/>
          <w:sz w:val="24"/>
          <w:szCs w:val="24"/>
        </w:rPr>
        <w:lastRenderedPageBreak/>
        <w:t xml:space="preserve">Reference: </w:t>
      </w:r>
      <w:proofErr w:type="spellStart"/>
      <w:r w:rsidRPr="00FA3F9C">
        <w:rPr>
          <w:rFonts w:ascii="Arial" w:hAnsi="Arial" w:cs="Arial"/>
          <w:sz w:val="24"/>
          <w:szCs w:val="24"/>
        </w:rPr>
        <w:t>Gutzmer</w:t>
      </w:r>
      <w:proofErr w:type="spellEnd"/>
      <w:r w:rsidRPr="00FA3F9C">
        <w:rPr>
          <w:rFonts w:ascii="Arial" w:hAnsi="Arial" w:cs="Arial"/>
          <w:sz w:val="24"/>
          <w:szCs w:val="24"/>
        </w:rPr>
        <w:t xml:space="preserve"> R, </w:t>
      </w:r>
      <w:proofErr w:type="spellStart"/>
      <w:r w:rsidRPr="00FA3F9C">
        <w:rPr>
          <w:rFonts w:ascii="Arial" w:hAnsi="Arial" w:cs="Arial"/>
          <w:sz w:val="24"/>
          <w:szCs w:val="24"/>
        </w:rPr>
        <w:t>Stroyakovskiy</w:t>
      </w:r>
      <w:proofErr w:type="spellEnd"/>
      <w:r w:rsidRPr="00FA3F9C">
        <w:rPr>
          <w:rFonts w:ascii="Arial" w:hAnsi="Arial" w:cs="Arial"/>
          <w:sz w:val="24"/>
          <w:szCs w:val="24"/>
        </w:rPr>
        <w:t xml:space="preserve"> D, </w:t>
      </w:r>
      <w:proofErr w:type="spellStart"/>
      <w:r w:rsidRPr="00FA3F9C">
        <w:rPr>
          <w:rFonts w:ascii="Arial" w:hAnsi="Arial" w:cs="Arial"/>
          <w:sz w:val="24"/>
          <w:szCs w:val="24"/>
        </w:rPr>
        <w:t>Gogas</w:t>
      </w:r>
      <w:proofErr w:type="spellEnd"/>
      <w:r w:rsidRPr="00FA3F9C">
        <w:rPr>
          <w:rFonts w:ascii="Arial" w:hAnsi="Arial" w:cs="Arial"/>
          <w:sz w:val="24"/>
          <w:szCs w:val="24"/>
        </w:rPr>
        <w:t xml:space="preserve"> H, et al. Atezolizumab, vemurafenib, and </w:t>
      </w:r>
      <w:proofErr w:type="spellStart"/>
      <w:r w:rsidRPr="00FA3F9C">
        <w:rPr>
          <w:rFonts w:ascii="Arial" w:hAnsi="Arial" w:cs="Arial"/>
          <w:sz w:val="24"/>
          <w:szCs w:val="24"/>
        </w:rPr>
        <w:t>cobimetinib</w:t>
      </w:r>
      <w:proofErr w:type="spellEnd"/>
      <w:r w:rsidRPr="00FA3F9C">
        <w:rPr>
          <w:rFonts w:ascii="Arial" w:hAnsi="Arial" w:cs="Arial"/>
          <w:sz w:val="24"/>
          <w:szCs w:val="24"/>
        </w:rPr>
        <w:t xml:space="preserve"> as first-line treatment for unresectable advanced BRAFV600 mutation-positive melanoma (IMspire150): primary analysis of the </w:t>
      </w:r>
      <w:proofErr w:type="spellStart"/>
      <w:r w:rsidRPr="00FA3F9C">
        <w:rPr>
          <w:rFonts w:ascii="Arial" w:hAnsi="Arial" w:cs="Arial"/>
          <w:sz w:val="24"/>
          <w:szCs w:val="24"/>
        </w:rPr>
        <w:t>randomised</w:t>
      </w:r>
      <w:proofErr w:type="spellEnd"/>
      <w:r w:rsidRPr="00FA3F9C">
        <w:rPr>
          <w:rFonts w:ascii="Arial" w:hAnsi="Arial" w:cs="Arial"/>
          <w:sz w:val="24"/>
          <w:szCs w:val="24"/>
        </w:rPr>
        <w:t>, double-blind, placebo-controlled, phase 3 trial. Lancet. 2020;395(10240):1835-1844. doi:10.1016/S0140-6736(20)30934-X PMID 32534646</w:t>
      </w:r>
    </w:p>
    <w:p w14:paraId="5E680602" w14:textId="77777777" w:rsidR="005C142D" w:rsidRPr="00FA3F9C" w:rsidRDefault="005C142D" w:rsidP="0015446A">
      <w:pPr>
        <w:rPr>
          <w:rFonts w:ascii="Arial" w:hAnsi="Arial" w:cs="Arial"/>
          <w:sz w:val="24"/>
          <w:szCs w:val="24"/>
        </w:rPr>
      </w:pPr>
    </w:p>
    <w:p w14:paraId="57BB5F0E" w14:textId="77777777" w:rsidR="005C142D" w:rsidRPr="00FA3F9C" w:rsidRDefault="005C142D" w:rsidP="002A23A6">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8"/>
        <w:gridCol w:w="2088"/>
      </w:tblGrid>
      <w:tr w:rsidR="005C142D" w:rsidRPr="00FA3F9C" w14:paraId="342606D2" w14:textId="77777777" w:rsidTr="007F3292">
        <w:tc>
          <w:tcPr>
            <w:tcW w:w="8928" w:type="dxa"/>
            <w:shd w:val="clear" w:color="auto" w:fill="000000"/>
          </w:tcPr>
          <w:p w14:paraId="4A3A7E3E" w14:textId="77777777" w:rsidR="005C142D" w:rsidRPr="00FA3F9C" w:rsidRDefault="005C142D" w:rsidP="007F3292">
            <w:pPr>
              <w:rPr>
                <w:rFonts w:ascii="Arial" w:hAnsi="Arial" w:cs="Arial"/>
                <w:b/>
                <w:sz w:val="24"/>
                <w:szCs w:val="24"/>
                <w:u w:val="single"/>
              </w:rPr>
            </w:pPr>
            <w:r w:rsidRPr="00FA3F9C">
              <w:rPr>
                <w:rFonts w:ascii="Arial" w:hAnsi="Arial" w:cs="Arial"/>
                <w:b/>
                <w:sz w:val="24"/>
                <w:szCs w:val="24"/>
                <w:u w:val="single"/>
              </w:rPr>
              <w:t>Melanoma: Criteria for new users</w:t>
            </w:r>
          </w:p>
        </w:tc>
        <w:tc>
          <w:tcPr>
            <w:tcW w:w="2088" w:type="dxa"/>
            <w:shd w:val="clear" w:color="auto" w:fill="000000"/>
          </w:tcPr>
          <w:p w14:paraId="4109E86A" w14:textId="77777777" w:rsidR="005C142D" w:rsidRPr="00FA3F9C" w:rsidRDefault="005C142D" w:rsidP="007F3292">
            <w:pPr>
              <w:jc w:val="center"/>
              <w:rPr>
                <w:rFonts w:ascii="Arial" w:hAnsi="Arial" w:cs="Arial"/>
                <w:b/>
                <w:sz w:val="24"/>
                <w:szCs w:val="24"/>
                <w:u w:val="single"/>
              </w:rPr>
            </w:pPr>
          </w:p>
        </w:tc>
      </w:tr>
      <w:tr w:rsidR="005C142D" w:rsidRPr="00FA3F9C" w14:paraId="0B5E5226" w14:textId="77777777" w:rsidTr="007F3292">
        <w:tc>
          <w:tcPr>
            <w:tcW w:w="11016" w:type="dxa"/>
            <w:gridSpan w:val="2"/>
            <w:shd w:val="clear" w:color="auto" w:fill="auto"/>
          </w:tcPr>
          <w:p w14:paraId="31E077BD" w14:textId="77777777" w:rsidR="005C142D" w:rsidRPr="00FA3F9C" w:rsidRDefault="005C142D" w:rsidP="007F3292">
            <w:pPr>
              <w:rPr>
                <w:rFonts w:ascii="Arial" w:hAnsi="Arial" w:cs="Arial"/>
                <w:sz w:val="24"/>
                <w:szCs w:val="24"/>
              </w:rPr>
            </w:pPr>
            <w:r w:rsidRPr="00FA3F9C">
              <w:rPr>
                <w:rFonts w:ascii="Arial" w:hAnsi="Arial" w:cs="Arial"/>
                <w:sz w:val="24"/>
                <w:szCs w:val="24"/>
              </w:rPr>
              <w:t>1.  The patient must have the diagnosis of histologically confirmed unresectable or metastatic melanoma.</w:t>
            </w:r>
          </w:p>
        </w:tc>
      </w:tr>
      <w:tr w:rsidR="005C142D" w:rsidRPr="00FA3F9C" w14:paraId="69796D88" w14:textId="77777777" w:rsidTr="007F3292">
        <w:tc>
          <w:tcPr>
            <w:tcW w:w="11016" w:type="dxa"/>
            <w:gridSpan w:val="2"/>
            <w:shd w:val="clear" w:color="auto" w:fill="auto"/>
          </w:tcPr>
          <w:p w14:paraId="3C823008" w14:textId="77777777" w:rsidR="005C142D" w:rsidRPr="00FA3F9C" w:rsidRDefault="005C142D" w:rsidP="007F3292">
            <w:pPr>
              <w:rPr>
                <w:rFonts w:ascii="Arial" w:hAnsi="Arial" w:cs="Arial"/>
                <w:sz w:val="24"/>
                <w:szCs w:val="24"/>
              </w:rPr>
            </w:pPr>
            <w:r w:rsidRPr="00FA3F9C">
              <w:rPr>
                <w:rFonts w:ascii="Arial" w:hAnsi="Arial" w:cs="Arial"/>
                <w:sz w:val="24"/>
                <w:szCs w:val="24"/>
              </w:rPr>
              <w:t>2.  The patient must have a BRAF V600 mutation</w:t>
            </w:r>
          </w:p>
        </w:tc>
      </w:tr>
      <w:tr w:rsidR="005C142D" w:rsidRPr="00FA3F9C" w14:paraId="32FB8A09" w14:textId="77777777" w:rsidTr="007F3292">
        <w:tc>
          <w:tcPr>
            <w:tcW w:w="11016" w:type="dxa"/>
            <w:gridSpan w:val="2"/>
            <w:shd w:val="clear" w:color="auto" w:fill="auto"/>
          </w:tcPr>
          <w:p w14:paraId="726BF74F" w14:textId="77777777" w:rsidR="005C142D" w:rsidRPr="00FA3F9C" w:rsidRDefault="005C142D" w:rsidP="007F3292">
            <w:pPr>
              <w:rPr>
                <w:rFonts w:ascii="Arial" w:hAnsi="Arial" w:cs="Arial"/>
                <w:sz w:val="24"/>
                <w:szCs w:val="24"/>
              </w:rPr>
            </w:pPr>
            <w:r w:rsidRPr="00FA3F9C">
              <w:rPr>
                <w:rFonts w:ascii="Arial" w:hAnsi="Arial" w:cs="Arial"/>
                <w:sz w:val="24"/>
                <w:szCs w:val="24"/>
              </w:rPr>
              <w:t>3.  The patient must be ECOG 0-1 at first request.</w:t>
            </w:r>
          </w:p>
        </w:tc>
      </w:tr>
      <w:tr w:rsidR="005C142D" w:rsidRPr="00FA3F9C" w14:paraId="3B8EF778" w14:textId="77777777" w:rsidTr="007F3292">
        <w:tc>
          <w:tcPr>
            <w:tcW w:w="11016" w:type="dxa"/>
            <w:gridSpan w:val="2"/>
            <w:shd w:val="clear" w:color="auto" w:fill="auto"/>
          </w:tcPr>
          <w:p w14:paraId="76EB4A51" w14:textId="77777777" w:rsidR="005C142D" w:rsidRPr="00FA3F9C" w:rsidRDefault="005C142D" w:rsidP="007F3292">
            <w:pPr>
              <w:tabs>
                <w:tab w:val="left" w:pos="8760"/>
              </w:tabs>
              <w:rPr>
                <w:rFonts w:ascii="Arial" w:hAnsi="Arial" w:cs="Arial"/>
                <w:sz w:val="24"/>
                <w:szCs w:val="24"/>
              </w:rPr>
            </w:pPr>
            <w:r w:rsidRPr="00FA3F9C">
              <w:rPr>
                <w:rFonts w:ascii="Arial" w:hAnsi="Arial" w:cs="Arial"/>
                <w:sz w:val="24"/>
                <w:szCs w:val="24"/>
              </w:rPr>
              <w:t xml:space="preserve">4.  Must receive vemurafenib concurrently with </w:t>
            </w:r>
            <w:proofErr w:type="spellStart"/>
            <w:r w:rsidRPr="00FA3F9C">
              <w:rPr>
                <w:rFonts w:ascii="Arial" w:hAnsi="Arial" w:cs="Arial"/>
                <w:sz w:val="24"/>
                <w:szCs w:val="24"/>
              </w:rPr>
              <w:t>cobimetinib</w:t>
            </w:r>
            <w:proofErr w:type="spellEnd"/>
            <w:r w:rsidRPr="00FA3F9C">
              <w:rPr>
                <w:rFonts w:ascii="Arial" w:hAnsi="Arial" w:cs="Arial"/>
                <w:sz w:val="24"/>
                <w:szCs w:val="24"/>
              </w:rPr>
              <w:t>.</w:t>
            </w:r>
          </w:p>
        </w:tc>
      </w:tr>
      <w:tr w:rsidR="005C142D" w:rsidRPr="00FA3F9C" w14:paraId="1E7067B1" w14:textId="77777777" w:rsidTr="007F3292">
        <w:tc>
          <w:tcPr>
            <w:tcW w:w="11016" w:type="dxa"/>
            <w:gridSpan w:val="2"/>
            <w:shd w:val="clear" w:color="auto" w:fill="auto"/>
          </w:tcPr>
          <w:p w14:paraId="76B87BC0" w14:textId="77777777" w:rsidR="005C142D" w:rsidRPr="00FA3F9C" w:rsidRDefault="005C142D" w:rsidP="007F3292">
            <w:pPr>
              <w:tabs>
                <w:tab w:val="left" w:pos="8760"/>
              </w:tabs>
              <w:rPr>
                <w:rFonts w:ascii="Arial" w:hAnsi="Arial" w:cs="Arial"/>
                <w:sz w:val="24"/>
                <w:szCs w:val="24"/>
              </w:rPr>
            </w:pPr>
            <w:r w:rsidRPr="00FA3F9C">
              <w:rPr>
                <w:rFonts w:ascii="Arial" w:hAnsi="Arial" w:cs="Arial"/>
                <w:sz w:val="24"/>
                <w:szCs w:val="24"/>
              </w:rPr>
              <w:t xml:space="preserve">5.  This combination therapy must be first line. No previous treatment for melanoma is allowed prior to access to </w:t>
            </w:r>
            <w:proofErr w:type="spellStart"/>
            <w:r w:rsidRPr="00FA3F9C">
              <w:rPr>
                <w:rFonts w:ascii="Arial" w:hAnsi="Arial" w:cs="Arial"/>
                <w:sz w:val="24"/>
                <w:szCs w:val="24"/>
              </w:rPr>
              <w:t>cobimetinib</w:t>
            </w:r>
            <w:proofErr w:type="spellEnd"/>
            <w:r w:rsidRPr="00FA3F9C">
              <w:rPr>
                <w:rFonts w:ascii="Arial" w:hAnsi="Arial" w:cs="Arial"/>
                <w:sz w:val="24"/>
                <w:szCs w:val="24"/>
              </w:rPr>
              <w:t>/vemurafenib.</w:t>
            </w:r>
          </w:p>
        </w:tc>
      </w:tr>
      <w:tr w:rsidR="005C142D" w:rsidRPr="00FA3F9C" w14:paraId="09DB0D8D" w14:textId="77777777" w:rsidTr="007F3292">
        <w:tc>
          <w:tcPr>
            <w:tcW w:w="11016" w:type="dxa"/>
            <w:gridSpan w:val="2"/>
            <w:shd w:val="clear" w:color="auto" w:fill="auto"/>
          </w:tcPr>
          <w:p w14:paraId="5946BD5A" w14:textId="77777777" w:rsidR="005C142D" w:rsidRPr="00FA3F9C" w:rsidRDefault="005C142D" w:rsidP="00A76D54">
            <w:pPr>
              <w:tabs>
                <w:tab w:val="left" w:pos="8760"/>
              </w:tabs>
              <w:rPr>
                <w:rFonts w:ascii="Arial" w:hAnsi="Arial" w:cs="Arial"/>
                <w:b/>
                <w:sz w:val="24"/>
                <w:szCs w:val="24"/>
              </w:rPr>
            </w:pPr>
            <w:r w:rsidRPr="00FA3F9C">
              <w:rPr>
                <w:rFonts w:ascii="Arial" w:hAnsi="Arial" w:cs="Arial"/>
                <w:b/>
                <w:sz w:val="24"/>
                <w:szCs w:val="24"/>
              </w:rPr>
              <w:t>If the patient meets all criteria above, PA is good for 6 months.</w:t>
            </w:r>
          </w:p>
        </w:tc>
      </w:tr>
      <w:tr w:rsidR="005C142D" w:rsidRPr="00FA3F9C" w14:paraId="2315ADFF" w14:textId="77777777" w:rsidTr="007F3292">
        <w:tc>
          <w:tcPr>
            <w:tcW w:w="11016" w:type="dxa"/>
            <w:gridSpan w:val="2"/>
            <w:shd w:val="clear" w:color="auto" w:fill="auto"/>
          </w:tcPr>
          <w:p w14:paraId="33A38442" w14:textId="77777777" w:rsidR="005C142D" w:rsidRPr="00FA3F9C" w:rsidRDefault="005C142D" w:rsidP="007F3292">
            <w:pPr>
              <w:tabs>
                <w:tab w:val="left" w:pos="8760"/>
              </w:tabs>
              <w:rPr>
                <w:rFonts w:ascii="Arial" w:hAnsi="Arial" w:cs="Arial"/>
                <w:b/>
                <w:sz w:val="24"/>
                <w:szCs w:val="24"/>
              </w:rPr>
            </w:pPr>
            <w:r w:rsidRPr="00FA3F9C">
              <w:rPr>
                <w:rFonts w:ascii="Arial" w:hAnsi="Arial" w:cs="Arial"/>
                <w:b/>
                <w:sz w:val="24"/>
                <w:szCs w:val="24"/>
              </w:rPr>
              <w:t>Quantity Limits: #224/28 days</w:t>
            </w:r>
          </w:p>
        </w:tc>
      </w:tr>
    </w:tbl>
    <w:p w14:paraId="11C0D732" w14:textId="77777777" w:rsidR="005C142D" w:rsidRPr="00FA3F9C" w:rsidRDefault="005C142D" w:rsidP="002A23A6">
      <w:pPr>
        <w:rPr>
          <w:rFonts w:ascii="Arial" w:hAnsi="Arial" w:cs="Arial"/>
          <w:sz w:val="24"/>
          <w:szCs w:val="24"/>
        </w:rPr>
      </w:pPr>
    </w:p>
    <w:p w14:paraId="2E0C5E8D" w14:textId="77777777" w:rsidR="005C142D" w:rsidRPr="00FA3F9C" w:rsidRDefault="005C142D" w:rsidP="002A23A6">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10998"/>
      </w:tblGrid>
      <w:tr w:rsidR="005C142D" w:rsidRPr="00FA3F9C" w14:paraId="2A8C0E96" w14:textId="77777777" w:rsidTr="007F3292">
        <w:tc>
          <w:tcPr>
            <w:tcW w:w="10998" w:type="dxa"/>
            <w:shd w:val="clear" w:color="auto" w:fill="BFBFBF"/>
          </w:tcPr>
          <w:p w14:paraId="2B940258" w14:textId="77777777" w:rsidR="005C142D" w:rsidRPr="00FA3F9C" w:rsidRDefault="005C142D" w:rsidP="007F3292">
            <w:pPr>
              <w:rPr>
                <w:rFonts w:ascii="Arial" w:hAnsi="Arial" w:cs="Arial"/>
                <w:sz w:val="24"/>
                <w:szCs w:val="24"/>
                <w:u w:val="single"/>
              </w:rPr>
            </w:pPr>
            <w:r w:rsidRPr="00FA3F9C">
              <w:rPr>
                <w:rFonts w:ascii="Arial" w:hAnsi="Arial" w:cs="Arial"/>
                <w:sz w:val="24"/>
                <w:szCs w:val="24"/>
                <w:u w:val="single"/>
              </w:rPr>
              <w:t>Evidence:</w:t>
            </w:r>
          </w:p>
          <w:p w14:paraId="682AA981" w14:textId="77777777" w:rsidR="005C142D" w:rsidRPr="00FA3F9C" w:rsidRDefault="005C142D" w:rsidP="007F3292">
            <w:pPr>
              <w:rPr>
                <w:rFonts w:ascii="Arial" w:hAnsi="Arial" w:cs="Arial"/>
                <w:sz w:val="24"/>
                <w:szCs w:val="24"/>
              </w:rPr>
            </w:pPr>
            <w:proofErr w:type="spellStart"/>
            <w:r w:rsidRPr="00FA3F9C">
              <w:rPr>
                <w:rFonts w:ascii="Arial" w:hAnsi="Arial" w:cs="Arial"/>
                <w:sz w:val="24"/>
                <w:szCs w:val="24"/>
              </w:rPr>
              <w:t>Cobimetinib</w:t>
            </w:r>
            <w:proofErr w:type="spellEnd"/>
            <w:r w:rsidRPr="00FA3F9C">
              <w:rPr>
                <w:rFonts w:ascii="Arial" w:hAnsi="Arial" w:cs="Arial"/>
                <w:sz w:val="24"/>
                <w:szCs w:val="24"/>
              </w:rPr>
              <w:t xml:space="preserve"> + vemurafenib versus placebo + vemurafenib was studied in patients with BRAF V600 mutation-positive unresectable or metastatic melanoma. Overall survival was improved in the </w:t>
            </w:r>
            <w:proofErr w:type="spellStart"/>
            <w:r w:rsidRPr="00FA3F9C">
              <w:rPr>
                <w:rFonts w:ascii="Arial" w:hAnsi="Arial" w:cs="Arial"/>
                <w:sz w:val="24"/>
                <w:szCs w:val="24"/>
              </w:rPr>
              <w:t>cobimetinib+vemurafenib</w:t>
            </w:r>
            <w:proofErr w:type="spellEnd"/>
            <w:r w:rsidRPr="00FA3F9C">
              <w:rPr>
                <w:rFonts w:ascii="Arial" w:hAnsi="Arial" w:cs="Arial"/>
                <w:sz w:val="24"/>
                <w:szCs w:val="24"/>
              </w:rPr>
              <w:t xml:space="preserve"> group with median overall survival improvement of 4.9 months (22.3 </w:t>
            </w:r>
            <w:proofErr w:type="spellStart"/>
            <w:r w:rsidRPr="00FA3F9C">
              <w:rPr>
                <w:rFonts w:ascii="Arial" w:hAnsi="Arial" w:cs="Arial"/>
                <w:sz w:val="24"/>
                <w:szCs w:val="24"/>
              </w:rPr>
              <w:t>mo</w:t>
            </w:r>
            <w:proofErr w:type="spellEnd"/>
            <w:r w:rsidRPr="00FA3F9C">
              <w:rPr>
                <w:rFonts w:ascii="Arial" w:hAnsi="Arial" w:cs="Arial"/>
                <w:sz w:val="24"/>
                <w:szCs w:val="24"/>
              </w:rPr>
              <w:t xml:space="preserve"> </w:t>
            </w:r>
            <w:r w:rsidRPr="00FA3F9C">
              <w:rPr>
                <w:rFonts w:ascii="Arial" w:hAnsi="Arial" w:cs="Arial"/>
                <w:sz w:val="24"/>
                <w:szCs w:val="24"/>
              </w:rPr>
              <w:lastRenderedPageBreak/>
              <w:t xml:space="preserve">versus 17.4 </w:t>
            </w:r>
            <w:proofErr w:type="spellStart"/>
            <w:r w:rsidRPr="00FA3F9C">
              <w:rPr>
                <w:rFonts w:ascii="Arial" w:hAnsi="Arial" w:cs="Arial"/>
                <w:sz w:val="24"/>
                <w:szCs w:val="24"/>
              </w:rPr>
              <w:t>mo</w:t>
            </w:r>
            <w:proofErr w:type="spellEnd"/>
            <w:r w:rsidRPr="00FA3F9C">
              <w:rPr>
                <w:rFonts w:ascii="Arial" w:hAnsi="Arial" w:cs="Arial"/>
                <w:sz w:val="24"/>
                <w:szCs w:val="24"/>
              </w:rPr>
              <w:t>). Response rate and PFS were also improved. Quality of life analysis showed similar scores between groups.</w:t>
            </w:r>
            <w:r w:rsidRPr="00FA3F9C">
              <w:rPr>
                <w:rFonts w:ascii="Arial" w:hAnsi="Arial" w:cs="Arial"/>
                <w:sz w:val="24"/>
                <w:szCs w:val="24"/>
                <w:vertAlign w:val="superscript"/>
              </w:rPr>
              <w:t>1,2</w:t>
            </w:r>
          </w:p>
          <w:p w14:paraId="47B5BB44" w14:textId="77777777" w:rsidR="005C142D" w:rsidRPr="00FA3F9C" w:rsidRDefault="005C142D" w:rsidP="007F3292">
            <w:pPr>
              <w:rPr>
                <w:rFonts w:ascii="Arial" w:hAnsi="Arial" w:cs="Arial"/>
                <w:sz w:val="24"/>
                <w:szCs w:val="24"/>
              </w:rPr>
            </w:pPr>
          </w:p>
          <w:p w14:paraId="21DDEDC8" w14:textId="77777777" w:rsidR="005C142D" w:rsidRPr="00FA3F9C" w:rsidRDefault="005C142D" w:rsidP="007F3292">
            <w:pPr>
              <w:rPr>
                <w:rFonts w:ascii="Arial" w:hAnsi="Arial" w:cs="Arial"/>
                <w:sz w:val="24"/>
                <w:szCs w:val="24"/>
              </w:rPr>
            </w:pPr>
            <w:r w:rsidRPr="00FA3F9C">
              <w:rPr>
                <w:rFonts w:ascii="Arial" w:hAnsi="Arial" w:cs="Arial"/>
                <w:sz w:val="24"/>
                <w:szCs w:val="24"/>
              </w:rPr>
              <w:t xml:space="preserve">Note: </w:t>
            </w:r>
          </w:p>
          <w:p w14:paraId="59F7CF79" w14:textId="77777777" w:rsidR="005C142D" w:rsidRPr="00FA3F9C" w:rsidRDefault="005C142D" w:rsidP="00773BCD">
            <w:pPr>
              <w:rPr>
                <w:rFonts w:ascii="Arial" w:hAnsi="Arial" w:cs="Arial"/>
                <w:sz w:val="24"/>
                <w:szCs w:val="24"/>
              </w:rPr>
            </w:pPr>
            <w:r w:rsidRPr="00FA3F9C">
              <w:rPr>
                <w:rFonts w:ascii="Arial" w:hAnsi="Arial" w:cs="Arial"/>
                <w:sz w:val="24"/>
                <w:szCs w:val="24"/>
              </w:rPr>
              <w:t>-Vemurafenib is also FDA approved as monotherapy for treatment of advanced/metastatic melanoma and is superior to chemotherapy</w:t>
            </w:r>
            <w:r w:rsidRPr="00FA3F9C">
              <w:rPr>
                <w:rFonts w:ascii="Arial" w:hAnsi="Arial" w:cs="Arial"/>
                <w:sz w:val="24"/>
                <w:szCs w:val="24"/>
                <w:vertAlign w:val="superscript"/>
              </w:rPr>
              <w:t>3</w:t>
            </w:r>
            <w:r w:rsidRPr="00FA3F9C">
              <w:rPr>
                <w:rFonts w:ascii="Arial" w:hAnsi="Arial" w:cs="Arial"/>
                <w:sz w:val="24"/>
                <w:szCs w:val="24"/>
              </w:rPr>
              <w:t>. However, combination therapy (</w:t>
            </w:r>
            <w:proofErr w:type="spellStart"/>
            <w:r w:rsidRPr="00FA3F9C">
              <w:rPr>
                <w:rFonts w:ascii="Arial" w:hAnsi="Arial" w:cs="Arial"/>
                <w:sz w:val="24"/>
                <w:szCs w:val="24"/>
              </w:rPr>
              <w:t>vemurafenib+cobimetinib</w:t>
            </w:r>
            <w:proofErr w:type="spellEnd"/>
            <w:r w:rsidRPr="00FA3F9C">
              <w:rPr>
                <w:rFonts w:ascii="Arial" w:hAnsi="Arial" w:cs="Arial"/>
                <w:sz w:val="24"/>
                <w:szCs w:val="24"/>
              </w:rPr>
              <w:t>) is preferred due to superiority data over monotherapy.</w:t>
            </w:r>
          </w:p>
          <w:p w14:paraId="12DF292E" w14:textId="77777777" w:rsidR="005C142D" w:rsidRPr="00FA3F9C" w:rsidRDefault="005C142D" w:rsidP="007F3292">
            <w:pPr>
              <w:rPr>
                <w:rFonts w:ascii="Arial" w:hAnsi="Arial" w:cs="Arial"/>
                <w:sz w:val="24"/>
                <w:szCs w:val="24"/>
              </w:rPr>
            </w:pPr>
            <w:r w:rsidRPr="00FA3F9C">
              <w:rPr>
                <w:rFonts w:ascii="Arial" w:hAnsi="Arial" w:cs="Arial"/>
                <w:sz w:val="24"/>
                <w:szCs w:val="24"/>
              </w:rPr>
              <w:t xml:space="preserve">-Doses: </w:t>
            </w:r>
            <w:proofErr w:type="spellStart"/>
            <w:r w:rsidRPr="00FA3F9C">
              <w:rPr>
                <w:rFonts w:ascii="Arial" w:hAnsi="Arial" w:cs="Arial"/>
                <w:sz w:val="24"/>
                <w:szCs w:val="24"/>
              </w:rPr>
              <w:t>Cobimetinib</w:t>
            </w:r>
            <w:proofErr w:type="spellEnd"/>
            <w:r w:rsidRPr="00FA3F9C">
              <w:rPr>
                <w:rFonts w:ascii="Arial" w:hAnsi="Arial" w:cs="Arial"/>
                <w:sz w:val="24"/>
                <w:szCs w:val="24"/>
              </w:rPr>
              <w:t xml:space="preserve"> 60mg PO daily days 1-21 out of each 28-day cycle; vemurafenib 960mg PO BID. The combination is continued until progression of disease or unacceptable toxicity.</w:t>
            </w:r>
          </w:p>
          <w:p w14:paraId="163B837C" w14:textId="77777777" w:rsidR="005C142D" w:rsidRPr="00FA3F9C" w:rsidRDefault="005C142D" w:rsidP="007F3292">
            <w:pPr>
              <w:rPr>
                <w:rFonts w:ascii="Arial" w:hAnsi="Arial" w:cs="Arial"/>
                <w:sz w:val="24"/>
                <w:szCs w:val="24"/>
              </w:rPr>
            </w:pPr>
          </w:p>
          <w:p w14:paraId="042FE140" w14:textId="77777777" w:rsidR="005C142D" w:rsidRPr="00FA3F9C" w:rsidRDefault="005C142D" w:rsidP="007F3292">
            <w:pPr>
              <w:rPr>
                <w:rFonts w:ascii="Arial" w:hAnsi="Arial" w:cs="Arial"/>
                <w:b/>
                <w:sz w:val="24"/>
                <w:szCs w:val="24"/>
                <w:u w:val="single"/>
              </w:rPr>
            </w:pPr>
            <w:r w:rsidRPr="00FA3F9C">
              <w:rPr>
                <w:rFonts w:ascii="Arial" w:hAnsi="Arial" w:cs="Arial"/>
                <w:b/>
                <w:sz w:val="24"/>
                <w:szCs w:val="24"/>
                <w:u w:val="single"/>
              </w:rPr>
              <w:t>References:</w:t>
            </w:r>
          </w:p>
          <w:p w14:paraId="3BE10661" w14:textId="77777777" w:rsidR="005C142D" w:rsidRPr="00FA3F9C" w:rsidRDefault="005C142D" w:rsidP="005C142D">
            <w:pPr>
              <w:pStyle w:val="ListParagraph"/>
              <w:numPr>
                <w:ilvl w:val="0"/>
                <w:numId w:val="98"/>
              </w:numPr>
              <w:spacing w:after="0" w:line="240" w:lineRule="auto"/>
              <w:rPr>
                <w:rFonts w:ascii="Arial" w:hAnsi="Arial" w:cs="Arial"/>
                <w:sz w:val="24"/>
                <w:szCs w:val="24"/>
              </w:rPr>
            </w:pPr>
            <w:r w:rsidRPr="00FA3F9C">
              <w:rPr>
                <w:rFonts w:ascii="Arial" w:hAnsi="Arial" w:cs="Arial"/>
                <w:sz w:val="24"/>
                <w:szCs w:val="24"/>
              </w:rPr>
              <w:t xml:space="preserve">Larkin J, </w:t>
            </w:r>
            <w:proofErr w:type="spellStart"/>
            <w:r w:rsidRPr="00FA3F9C">
              <w:rPr>
                <w:rFonts w:ascii="Arial" w:hAnsi="Arial" w:cs="Arial"/>
                <w:sz w:val="24"/>
                <w:szCs w:val="24"/>
              </w:rPr>
              <w:t>Ascerto</w:t>
            </w:r>
            <w:proofErr w:type="spellEnd"/>
            <w:r w:rsidRPr="00FA3F9C">
              <w:rPr>
                <w:rFonts w:ascii="Arial" w:hAnsi="Arial" w:cs="Arial"/>
                <w:sz w:val="24"/>
                <w:szCs w:val="24"/>
              </w:rPr>
              <w:t xml:space="preserve"> P, et al.  Combined vemurafenib and </w:t>
            </w:r>
            <w:proofErr w:type="spellStart"/>
            <w:r w:rsidRPr="00FA3F9C">
              <w:rPr>
                <w:rFonts w:ascii="Arial" w:hAnsi="Arial" w:cs="Arial"/>
                <w:sz w:val="24"/>
                <w:szCs w:val="24"/>
              </w:rPr>
              <w:t>cobimetinib</w:t>
            </w:r>
            <w:proofErr w:type="spellEnd"/>
            <w:r w:rsidRPr="00FA3F9C">
              <w:rPr>
                <w:rFonts w:ascii="Arial" w:hAnsi="Arial" w:cs="Arial"/>
                <w:sz w:val="24"/>
                <w:szCs w:val="24"/>
              </w:rPr>
              <w:t xml:space="preserve"> in BRAF-mutated melanoma.  N </w:t>
            </w:r>
            <w:proofErr w:type="spellStart"/>
            <w:r w:rsidRPr="00FA3F9C">
              <w:rPr>
                <w:rFonts w:ascii="Arial" w:hAnsi="Arial" w:cs="Arial"/>
                <w:sz w:val="24"/>
                <w:szCs w:val="24"/>
              </w:rPr>
              <w:t>Engl</w:t>
            </w:r>
            <w:proofErr w:type="spellEnd"/>
            <w:r w:rsidRPr="00FA3F9C">
              <w:rPr>
                <w:rFonts w:ascii="Arial" w:hAnsi="Arial" w:cs="Arial"/>
                <w:sz w:val="24"/>
                <w:szCs w:val="24"/>
              </w:rPr>
              <w:t xml:space="preserve"> J Med. 2014;371(20):1867-76. NCT01689519 PMID 25265494</w:t>
            </w:r>
          </w:p>
          <w:p w14:paraId="42BE7E92" w14:textId="77777777" w:rsidR="005C142D" w:rsidRPr="00FA3F9C" w:rsidRDefault="00500371" w:rsidP="005C142D">
            <w:pPr>
              <w:pStyle w:val="ListParagraph"/>
              <w:numPr>
                <w:ilvl w:val="0"/>
                <w:numId w:val="98"/>
              </w:numPr>
              <w:spacing w:after="0" w:line="240" w:lineRule="auto"/>
              <w:rPr>
                <w:rFonts w:ascii="Arial" w:hAnsi="Arial" w:cs="Arial"/>
                <w:sz w:val="24"/>
                <w:szCs w:val="24"/>
              </w:rPr>
            </w:pPr>
            <w:hyperlink r:id="rId416" w:history="1">
              <w:proofErr w:type="spellStart"/>
              <w:r w:rsidR="005C142D" w:rsidRPr="00FA3F9C">
                <w:rPr>
                  <w:rStyle w:val="Hyperlink"/>
                  <w:rFonts w:ascii="Arial" w:hAnsi="Arial" w:cs="Arial"/>
                  <w:sz w:val="24"/>
                  <w:szCs w:val="24"/>
                </w:rPr>
                <w:t>Ascierto</w:t>
              </w:r>
              <w:proofErr w:type="spellEnd"/>
              <w:r w:rsidR="005C142D" w:rsidRPr="00FA3F9C">
                <w:rPr>
                  <w:rStyle w:val="Hyperlink"/>
                  <w:rFonts w:ascii="Arial" w:hAnsi="Arial" w:cs="Arial"/>
                  <w:sz w:val="24"/>
                  <w:szCs w:val="24"/>
                </w:rPr>
                <w:t xml:space="preserve"> PA</w:t>
              </w:r>
            </w:hyperlink>
            <w:r w:rsidR="005C142D" w:rsidRPr="00FA3F9C">
              <w:rPr>
                <w:rFonts w:ascii="Arial" w:hAnsi="Arial" w:cs="Arial"/>
                <w:sz w:val="24"/>
                <w:szCs w:val="24"/>
              </w:rPr>
              <w:t xml:space="preserve"> et al. </w:t>
            </w:r>
            <w:proofErr w:type="spellStart"/>
            <w:r w:rsidR="005C142D" w:rsidRPr="00FA3F9C">
              <w:rPr>
                <w:rStyle w:val="highlight"/>
                <w:rFonts w:ascii="Arial" w:hAnsi="Arial" w:cs="Arial"/>
                <w:sz w:val="24"/>
                <w:szCs w:val="24"/>
              </w:rPr>
              <w:t>Cobimetinib</w:t>
            </w:r>
            <w:proofErr w:type="spellEnd"/>
            <w:r w:rsidR="005C142D" w:rsidRPr="00FA3F9C">
              <w:rPr>
                <w:rFonts w:ascii="Arial" w:hAnsi="Arial" w:cs="Arial"/>
                <w:sz w:val="24"/>
                <w:szCs w:val="24"/>
              </w:rPr>
              <w:t xml:space="preserve"> combined with vemurafenib in advanced BRAF(V600)-mutant melanoma (</w:t>
            </w:r>
            <w:proofErr w:type="spellStart"/>
            <w:r w:rsidR="005C142D" w:rsidRPr="00FA3F9C">
              <w:rPr>
                <w:rFonts w:ascii="Arial" w:hAnsi="Arial" w:cs="Arial"/>
                <w:sz w:val="24"/>
                <w:szCs w:val="24"/>
              </w:rPr>
              <w:t>coBRIM</w:t>
            </w:r>
            <w:proofErr w:type="spellEnd"/>
            <w:r w:rsidR="005C142D" w:rsidRPr="00FA3F9C">
              <w:rPr>
                <w:rFonts w:ascii="Arial" w:hAnsi="Arial" w:cs="Arial"/>
                <w:sz w:val="24"/>
                <w:szCs w:val="24"/>
              </w:rPr>
              <w:t xml:space="preserve">): updated efficacy results from a </w:t>
            </w:r>
            <w:proofErr w:type="spellStart"/>
            <w:r w:rsidR="005C142D" w:rsidRPr="00FA3F9C">
              <w:rPr>
                <w:rFonts w:ascii="Arial" w:hAnsi="Arial" w:cs="Arial"/>
                <w:sz w:val="24"/>
                <w:szCs w:val="24"/>
              </w:rPr>
              <w:t>randomised</w:t>
            </w:r>
            <w:proofErr w:type="spellEnd"/>
            <w:r w:rsidR="005C142D" w:rsidRPr="00FA3F9C">
              <w:rPr>
                <w:rFonts w:ascii="Arial" w:hAnsi="Arial" w:cs="Arial"/>
                <w:sz w:val="24"/>
                <w:szCs w:val="24"/>
              </w:rPr>
              <w:t xml:space="preserve">, double-blind, phase 3 trial. </w:t>
            </w:r>
            <w:hyperlink r:id="rId417" w:tooltip="The Lancet. Oncology." w:history="1">
              <w:r w:rsidR="005C142D" w:rsidRPr="00FA3F9C">
                <w:rPr>
                  <w:rStyle w:val="Hyperlink"/>
                  <w:rFonts w:ascii="Arial" w:hAnsi="Arial" w:cs="Arial"/>
                  <w:sz w:val="24"/>
                  <w:szCs w:val="24"/>
                </w:rPr>
                <w:t>Lancet Oncol.</w:t>
              </w:r>
            </w:hyperlink>
            <w:r w:rsidR="005C142D" w:rsidRPr="00FA3F9C">
              <w:rPr>
                <w:rFonts w:ascii="Arial" w:hAnsi="Arial" w:cs="Arial"/>
                <w:sz w:val="24"/>
                <w:szCs w:val="24"/>
              </w:rPr>
              <w:t xml:space="preserve"> 2016 Sep;17(9):1248-60. NCT01689519 PMID 27480103</w:t>
            </w:r>
          </w:p>
          <w:p w14:paraId="210A7DE2" w14:textId="77777777" w:rsidR="005C142D" w:rsidRPr="00FA3F9C" w:rsidRDefault="005C142D" w:rsidP="005C142D">
            <w:pPr>
              <w:pStyle w:val="ListParagraph"/>
              <w:numPr>
                <w:ilvl w:val="0"/>
                <w:numId w:val="98"/>
              </w:numPr>
              <w:spacing w:after="0" w:line="240" w:lineRule="auto"/>
              <w:rPr>
                <w:rFonts w:ascii="Arial" w:hAnsi="Arial" w:cs="Arial"/>
                <w:sz w:val="24"/>
                <w:szCs w:val="24"/>
              </w:rPr>
            </w:pPr>
            <w:r w:rsidRPr="00FA3F9C">
              <w:rPr>
                <w:rFonts w:ascii="Arial" w:hAnsi="Arial" w:cs="Arial"/>
                <w:sz w:val="24"/>
                <w:szCs w:val="24"/>
              </w:rPr>
              <w:t xml:space="preserve">Chapman PB, et al.  Improved survival with vemurafenib in melanoma with BRAF V600E mutation.  N </w:t>
            </w:r>
            <w:proofErr w:type="spellStart"/>
            <w:r w:rsidRPr="00FA3F9C">
              <w:rPr>
                <w:rFonts w:ascii="Arial" w:hAnsi="Arial" w:cs="Arial"/>
                <w:sz w:val="24"/>
                <w:szCs w:val="24"/>
              </w:rPr>
              <w:t>Engl</w:t>
            </w:r>
            <w:proofErr w:type="spellEnd"/>
            <w:r w:rsidRPr="00FA3F9C">
              <w:rPr>
                <w:rFonts w:ascii="Arial" w:hAnsi="Arial" w:cs="Arial"/>
                <w:sz w:val="24"/>
                <w:szCs w:val="24"/>
              </w:rPr>
              <w:t xml:space="preserve"> J Med. 2011.</w:t>
            </w:r>
          </w:p>
        </w:tc>
      </w:tr>
    </w:tbl>
    <w:p w14:paraId="5A184EE8" w14:textId="77777777" w:rsidR="005C142D" w:rsidRPr="00FA3F9C" w:rsidRDefault="005C142D" w:rsidP="002A23A6">
      <w:pPr>
        <w:rPr>
          <w:rFonts w:ascii="Arial" w:hAnsi="Arial" w:cs="Arial"/>
          <w:sz w:val="24"/>
          <w:szCs w:val="24"/>
        </w:rPr>
      </w:pPr>
    </w:p>
    <w:p w14:paraId="7197FFE2" w14:textId="77777777" w:rsidR="005C142D" w:rsidRPr="00FA3F9C" w:rsidRDefault="005C142D" w:rsidP="002A23A6">
      <w:pPr>
        <w:rPr>
          <w:rFonts w:ascii="Arial" w:hAnsi="Arial" w:cs="Arial"/>
          <w:sz w:val="24"/>
          <w:szCs w:val="24"/>
        </w:rPr>
      </w:pPr>
    </w:p>
    <w:p w14:paraId="6F4066A0" w14:textId="77777777" w:rsidR="005C142D" w:rsidRPr="00FA3F9C" w:rsidRDefault="005C142D" w:rsidP="00CA77CE">
      <w:pPr>
        <w:rPr>
          <w:rFonts w:ascii="Arial" w:hAnsi="Arial" w:cs="Arial"/>
          <w:sz w:val="24"/>
          <w:szCs w:val="24"/>
        </w:rPr>
      </w:pPr>
      <w:r w:rsidRPr="00FA3F9C">
        <w:rPr>
          <w:rFonts w:ascii="Arial" w:hAnsi="Arial" w:cs="Arial"/>
          <w:sz w:val="24"/>
          <w:szCs w:val="24"/>
        </w:rPr>
        <w:t>Revision History:</w:t>
      </w:r>
      <w:r w:rsidRPr="00FA3F9C">
        <w:rPr>
          <w:rFonts w:ascii="Arial" w:hAnsi="Arial" w:cs="Arial"/>
          <w:sz w:val="24"/>
          <w:szCs w:val="24"/>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7740"/>
        <w:gridCol w:w="1638"/>
      </w:tblGrid>
      <w:tr w:rsidR="005C142D" w:rsidRPr="00FA3F9C" w14:paraId="42AB7C42" w14:textId="77777777" w:rsidTr="003A2856">
        <w:tc>
          <w:tcPr>
            <w:tcW w:w="918" w:type="dxa"/>
          </w:tcPr>
          <w:p w14:paraId="14AE0D20" w14:textId="77777777" w:rsidR="005C142D" w:rsidRPr="00FA3F9C" w:rsidRDefault="005C142D" w:rsidP="00CA77CE">
            <w:pPr>
              <w:rPr>
                <w:rFonts w:ascii="Arial" w:hAnsi="Arial" w:cs="Arial"/>
                <w:sz w:val="24"/>
                <w:szCs w:val="24"/>
              </w:rPr>
            </w:pPr>
            <w:r w:rsidRPr="00FA3F9C">
              <w:rPr>
                <w:rFonts w:ascii="Arial" w:hAnsi="Arial" w:cs="Arial"/>
                <w:sz w:val="24"/>
                <w:szCs w:val="24"/>
              </w:rPr>
              <w:t>Date</w:t>
            </w:r>
          </w:p>
        </w:tc>
        <w:tc>
          <w:tcPr>
            <w:tcW w:w="7740" w:type="dxa"/>
          </w:tcPr>
          <w:p w14:paraId="743A47FC" w14:textId="77777777" w:rsidR="005C142D" w:rsidRPr="00FA3F9C" w:rsidRDefault="005C142D" w:rsidP="00CA77CE">
            <w:pPr>
              <w:rPr>
                <w:rFonts w:ascii="Arial" w:hAnsi="Arial" w:cs="Arial"/>
                <w:sz w:val="24"/>
                <w:szCs w:val="24"/>
              </w:rPr>
            </w:pPr>
            <w:r w:rsidRPr="00FA3F9C">
              <w:rPr>
                <w:rFonts w:ascii="Arial" w:hAnsi="Arial" w:cs="Arial"/>
                <w:sz w:val="24"/>
                <w:szCs w:val="24"/>
              </w:rPr>
              <w:t>What changed?</w:t>
            </w:r>
          </w:p>
        </w:tc>
        <w:tc>
          <w:tcPr>
            <w:tcW w:w="1638" w:type="dxa"/>
          </w:tcPr>
          <w:p w14:paraId="7AE873B2" w14:textId="77777777" w:rsidR="005C142D" w:rsidRPr="00FA3F9C" w:rsidRDefault="005C142D" w:rsidP="00CA77CE">
            <w:pPr>
              <w:rPr>
                <w:rFonts w:ascii="Arial" w:hAnsi="Arial" w:cs="Arial"/>
                <w:sz w:val="24"/>
                <w:szCs w:val="24"/>
              </w:rPr>
            </w:pPr>
            <w:r w:rsidRPr="00FA3F9C">
              <w:rPr>
                <w:rFonts w:ascii="Arial" w:hAnsi="Arial" w:cs="Arial"/>
                <w:sz w:val="24"/>
                <w:szCs w:val="24"/>
              </w:rPr>
              <w:t>Pharmacist’s initials</w:t>
            </w:r>
          </w:p>
        </w:tc>
      </w:tr>
      <w:tr w:rsidR="005C142D" w:rsidRPr="00FA3F9C" w14:paraId="2E56C279" w14:textId="77777777" w:rsidTr="003A2856">
        <w:trPr>
          <w:trHeight w:val="269"/>
        </w:trPr>
        <w:tc>
          <w:tcPr>
            <w:tcW w:w="918" w:type="dxa"/>
          </w:tcPr>
          <w:p w14:paraId="47CACEE9" w14:textId="77777777" w:rsidR="005C142D" w:rsidRPr="00FA3F9C" w:rsidRDefault="005C142D" w:rsidP="00CA77CE">
            <w:pPr>
              <w:rPr>
                <w:rFonts w:ascii="Arial" w:hAnsi="Arial" w:cs="Arial"/>
                <w:sz w:val="24"/>
                <w:szCs w:val="24"/>
              </w:rPr>
            </w:pPr>
            <w:r w:rsidRPr="00FA3F9C">
              <w:rPr>
                <w:rFonts w:ascii="Arial" w:hAnsi="Arial" w:cs="Arial"/>
                <w:sz w:val="24"/>
                <w:szCs w:val="24"/>
              </w:rPr>
              <w:lastRenderedPageBreak/>
              <w:t>10/11/11</w:t>
            </w:r>
          </w:p>
        </w:tc>
        <w:tc>
          <w:tcPr>
            <w:tcW w:w="7740" w:type="dxa"/>
          </w:tcPr>
          <w:p w14:paraId="4A709FCE" w14:textId="77777777" w:rsidR="005C142D" w:rsidRPr="00FA3F9C" w:rsidRDefault="005C142D" w:rsidP="00CA77CE">
            <w:pPr>
              <w:rPr>
                <w:rFonts w:ascii="Arial" w:hAnsi="Arial" w:cs="Arial"/>
                <w:sz w:val="24"/>
                <w:szCs w:val="24"/>
              </w:rPr>
            </w:pPr>
            <w:r w:rsidRPr="00FA3F9C">
              <w:rPr>
                <w:rFonts w:ascii="Arial" w:hAnsi="Arial" w:cs="Arial"/>
                <w:sz w:val="24"/>
                <w:szCs w:val="24"/>
              </w:rPr>
              <w:t>IB approved DUECs rec for T3PA, QL of 15 ds for 1/2 T3 copay, then 1/2 T3 copay for second 15ds.</w:t>
            </w:r>
          </w:p>
        </w:tc>
        <w:tc>
          <w:tcPr>
            <w:tcW w:w="1638" w:type="dxa"/>
          </w:tcPr>
          <w:p w14:paraId="5DAF6F89" w14:textId="77777777" w:rsidR="005C142D" w:rsidRPr="00FA3F9C" w:rsidRDefault="005C142D" w:rsidP="00CA77CE">
            <w:pPr>
              <w:rPr>
                <w:rFonts w:ascii="Arial" w:hAnsi="Arial" w:cs="Arial"/>
                <w:sz w:val="24"/>
                <w:szCs w:val="24"/>
              </w:rPr>
            </w:pPr>
            <w:r w:rsidRPr="00FA3F9C">
              <w:rPr>
                <w:rFonts w:ascii="Arial" w:hAnsi="Arial" w:cs="Arial"/>
                <w:sz w:val="24"/>
                <w:szCs w:val="24"/>
              </w:rPr>
              <w:t>JJ</w:t>
            </w:r>
          </w:p>
        </w:tc>
      </w:tr>
      <w:tr w:rsidR="005C142D" w:rsidRPr="00FA3F9C" w14:paraId="23842953" w14:textId="77777777" w:rsidTr="003A2856">
        <w:tc>
          <w:tcPr>
            <w:tcW w:w="918" w:type="dxa"/>
          </w:tcPr>
          <w:p w14:paraId="516F5E6B" w14:textId="77777777" w:rsidR="005C142D" w:rsidRPr="00FA3F9C" w:rsidRDefault="005C142D" w:rsidP="00CA77CE">
            <w:pPr>
              <w:rPr>
                <w:rFonts w:ascii="Arial" w:hAnsi="Arial" w:cs="Arial"/>
                <w:sz w:val="24"/>
                <w:szCs w:val="24"/>
              </w:rPr>
            </w:pPr>
            <w:r w:rsidRPr="00FA3F9C">
              <w:rPr>
                <w:rFonts w:ascii="Arial" w:hAnsi="Arial" w:cs="Arial"/>
                <w:sz w:val="24"/>
                <w:szCs w:val="24"/>
              </w:rPr>
              <w:t>4/22/19</w:t>
            </w:r>
          </w:p>
        </w:tc>
        <w:tc>
          <w:tcPr>
            <w:tcW w:w="7740" w:type="dxa"/>
          </w:tcPr>
          <w:p w14:paraId="38860D22" w14:textId="77777777" w:rsidR="005C142D" w:rsidRPr="00FA3F9C" w:rsidRDefault="005C142D" w:rsidP="00CA77CE">
            <w:pPr>
              <w:rPr>
                <w:rFonts w:ascii="Arial" w:hAnsi="Arial" w:cs="Arial"/>
                <w:sz w:val="24"/>
                <w:szCs w:val="24"/>
              </w:rPr>
            </w:pPr>
            <w:r w:rsidRPr="00FA3F9C">
              <w:rPr>
                <w:rFonts w:ascii="Arial" w:hAnsi="Arial" w:cs="Arial"/>
                <w:sz w:val="24"/>
                <w:szCs w:val="24"/>
              </w:rPr>
              <w:t xml:space="preserve">Criteria reviewed. Vemurafenib combination therapy preferred over monotherapy. Added new indication of </w:t>
            </w:r>
            <w:proofErr w:type="spellStart"/>
            <w:r w:rsidRPr="00FA3F9C">
              <w:rPr>
                <w:rFonts w:ascii="Arial" w:hAnsi="Arial" w:cs="Arial"/>
                <w:sz w:val="24"/>
                <w:szCs w:val="24"/>
              </w:rPr>
              <w:t>Erdheim</w:t>
            </w:r>
            <w:proofErr w:type="spellEnd"/>
            <w:r w:rsidRPr="00FA3F9C">
              <w:rPr>
                <w:rFonts w:ascii="Arial" w:hAnsi="Arial" w:cs="Arial"/>
                <w:sz w:val="24"/>
                <w:szCs w:val="24"/>
              </w:rPr>
              <w:t>-Chester disease (not covered). Updated references and data summary.</w:t>
            </w:r>
          </w:p>
        </w:tc>
        <w:tc>
          <w:tcPr>
            <w:tcW w:w="1638" w:type="dxa"/>
          </w:tcPr>
          <w:p w14:paraId="09B2982A" w14:textId="77777777" w:rsidR="005C142D" w:rsidRPr="00FA3F9C" w:rsidRDefault="005C142D" w:rsidP="00CA77CE">
            <w:pPr>
              <w:rPr>
                <w:rFonts w:ascii="Arial" w:hAnsi="Arial" w:cs="Arial"/>
                <w:sz w:val="24"/>
                <w:szCs w:val="24"/>
              </w:rPr>
            </w:pPr>
            <w:r w:rsidRPr="00FA3F9C">
              <w:rPr>
                <w:rFonts w:ascii="Arial" w:hAnsi="Arial" w:cs="Arial"/>
                <w:sz w:val="24"/>
                <w:szCs w:val="24"/>
              </w:rPr>
              <w:t>SK</w:t>
            </w:r>
          </w:p>
        </w:tc>
      </w:tr>
      <w:tr w:rsidR="005C142D" w:rsidRPr="00FA3F9C" w14:paraId="04540B23" w14:textId="77777777" w:rsidTr="003A2856">
        <w:tc>
          <w:tcPr>
            <w:tcW w:w="918" w:type="dxa"/>
          </w:tcPr>
          <w:p w14:paraId="2032131F" w14:textId="77777777" w:rsidR="005C142D" w:rsidRPr="00FA3F9C" w:rsidRDefault="005C142D" w:rsidP="00CA77CE">
            <w:pPr>
              <w:rPr>
                <w:rFonts w:ascii="Arial" w:hAnsi="Arial" w:cs="Arial"/>
                <w:sz w:val="24"/>
                <w:szCs w:val="24"/>
              </w:rPr>
            </w:pPr>
            <w:r w:rsidRPr="00FA3F9C">
              <w:rPr>
                <w:rFonts w:ascii="Arial" w:hAnsi="Arial" w:cs="Arial"/>
                <w:sz w:val="24"/>
                <w:szCs w:val="24"/>
              </w:rPr>
              <w:t>4/23/19</w:t>
            </w:r>
          </w:p>
        </w:tc>
        <w:tc>
          <w:tcPr>
            <w:tcW w:w="7740" w:type="dxa"/>
          </w:tcPr>
          <w:p w14:paraId="3C14480E" w14:textId="77777777" w:rsidR="005C142D" w:rsidRPr="00FA3F9C" w:rsidRDefault="005C142D" w:rsidP="00CA77CE">
            <w:pPr>
              <w:rPr>
                <w:rFonts w:ascii="Arial" w:hAnsi="Arial" w:cs="Arial"/>
                <w:sz w:val="24"/>
                <w:szCs w:val="24"/>
              </w:rPr>
            </w:pPr>
            <w:r w:rsidRPr="00FA3F9C">
              <w:rPr>
                <w:rFonts w:ascii="Arial" w:hAnsi="Arial" w:cs="Arial"/>
                <w:sz w:val="24"/>
                <w:szCs w:val="24"/>
              </w:rPr>
              <w:t>Added references 4 &amp; 5.</w:t>
            </w:r>
          </w:p>
        </w:tc>
        <w:tc>
          <w:tcPr>
            <w:tcW w:w="1638" w:type="dxa"/>
          </w:tcPr>
          <w:p w14:paraId="711D18F9" w14:textId="77777777" w:rsidR="005C142D" w:rsidRPr="00FA3F9C" w:rsidRDefault="005C142D" w:rsidP="00CA77CE">
            <w:pPr>
              <w:rPr>
                <w:rFonts w:ascii="Arial" w:hAnsi="Arial" w:cs="Arial"/>
                <w:sz w:val="24"/>
                <w:szCs w:val="24"/>
              </w:rPr>
            </w:pPr>
            <w:r w:rsidRPr="00FA3F9C">
              <w:rPr>
                <w:rFonts w:ascii="Arial" w:hAnsi="Arial" w:cs="Arial"/>
                <w:sz w:val="24"/>
                <w:szCs w:val="24"/>
              </w:rPr>
              <w:t>JJ</w:t>
            </w:r>
          </w:p>
        </w:tc>
      </w:tr>
      <w:tr w:rsidR="005C142D" w:rsidRPr="00FA3F9C" w14:paraId="14C722DA" w14:textId="77777777" w:rsidTr="003A2856">
        <w:tc>
          <w:tcPr>
            <w:tcW w:w="918" w:type="dxa"/>
          </w:tcPr>
          <w:p w14:paraId="273BE8CD" w14:textId="77777777" w:rsidR="005C142D" w:rsidRPr="00FA3F9C" w:rsidRDefault="005C142D" w:rsidP="00CA77CE">
            <w:pPr>
              <w:rPr>
                <w:rFonts w:ascii="Arial" w:hAnsi="Arial" w:cs="Arial"/>
                <w:sz w:val="24"/>
                <w:szCs w:val="24"/>
              </w:rPr>
            </w:pPr>
            <w:r w:rsidRPr="00FA3F9C">
              <w:rPr>
                <w:rFonts w:ascii="Arial" w:hAnsi="Arial" w:cs="Arial"/>
                <w:sz w:val="24"/>
                <w:szCs w:val="24"/>
              </w:rPr>
              <w:t>9/26/19</w:t>
            </w:r>
          </w:p>
        </w:tc>
        <w:tc>
          <w:tcPr>
            <w:tcW w:w="7740" w:type="dxa"/>
          </w:tcPr>
          <w:p w14:paraId="405EC4F5" w14:textId="77777777" w:rsidR="005C142D" w:rsidRPr="00FA3F9C" w:rsidRDefault="005C142D" w:rsidP="00375774">
            <w:pPr>
              <w:rPr>
                <w:rFonts w:ascii="Arial" w:hAnsi="Arial" w:cs="Arial"/>
                <w:sz w:val="24"/>
                <w:szCs w:val="24"/>
              </w:rPr>
            </w:pPr>
            <w:r w:rsidRPr="00FA3F9C">
              <w:rPr>
                <w:rFonts w:ascii="Arial" w:hAnsi="Arial" w:cs="Arial"/>
                <w:sz w:val="24"/>
                <w:szCs w:val="24"/>
              </w:rPr>
              <w:t>Criteria reviewed. Made some formatting changes but no change to criteria.</w:t>
            </w:r>
          </w:p>
        </w:tc>
        <w:tc>
          <w:tcPr>
            <w:tcW w:w="1638" w:type="dxa"/>
          </w:tcPr>
          <w:p w14:paraId="0EB6C598" w14:textId="77777777" w:rsidR="005C142D" w:rsidRPr="00FA3F9C" w:rsidRDefault="005C142D" w:rsidP="00CA77CE">
            <w:pPr>
              <w:rPr>
                <w:rFonts w:ascii="Arial" w:hAnsi="Arial" w:cs="Arial"/>
                <w:sz w:val="24"/>
                <w:szCs w:val="24"/>
              </w:rPr>
            </w:pPr>
            <w:r w:rsidRPr="00FA3F9C">
              <w:rPr>
                <w:rFonts w:ascii="Arial" w:hAnsi="Arial" w:cs="Arial"/>
                <w:sz w:val="24"/>
                <w:szCs w:val="24"/>
              </w:rPr>
              <w:t>SK</w:t>
            </w:r>
          </w:p>
        </w:tc>
      </w:tr>
      <w:tr w:rsidR="005C142D" w:rsidRPr="00FA3F9C" w14:paraId="2BED6E0A" w14:textId="77777777" w:rsidTr="003A2856">
        <w:tc>
          <w:tcPr>
            <w:tcW w:w="918" w:type="dxa"/>
          </w:tcPr>
          <w:p w14:paraId="3690B560" w14:textId="77777777" w:rsidR="005C142D" w:rsidRPr="00FA3F9C" w:rsidRDefault="005C142D" w:rsidP="00CA77CE">
            <w:pPr>
              <w:rPr>
                <w:rFonts w:ascii="Arial" w:hAnsi="Arial" w:cs="Arial"/>
                <w:sz w:val="24"/>
                <w:szCs w:val="24"/>
              </w:rPr>
            </w:pPr>
            <w:r w:rsidRPr="00FA3F9C">
              <w:rPr>
                <w:rFonts w:ascii="Arial" w:hAnsi="Arial" w:cs="Arial"/>
                <w:sz w:val="24"/>
                <w:szCs w:val="24"/>
              </w:rPr>
              <w:t>8/7/2020</w:t>
            </w:r>
          </w:p>
        </w:tc>
        <w:tc>
          <w:tcPr>
            <w:tcW w:w="7740" w:type="dxa"/>
          </w:tcPr>
          <w:p w14:paraId="688AF5D8" w14:textId="77777777" w:rsidR="005C142D" w:rsidRPr="00FA3F9C" w:rsidRDefault="005C142D" w:rsidP="004E22F8">
            <w:pPr>
              <w:rPr>
                <w:rFonts w:ascii="Arial" w:hAnsi="Arial" w:cs="Arial"/>
                <w:sz w:val="24"/>
                <w:szCs w:val="24"/>
              </w:rPr>
            </w:pPr>
            <w:r w:rsidRPr="00FA3F9C">
              <w:rPr>
                <w:rFonts w:ascii="Arial" w:hAnsi="Arial" w:cs="Arial"/>
                <w:sz w:val="24"/>
                <w:szCs w:val="24"/>
              </w:rPr>
              <w:t>New indication reviewed (</w:t>
            </w:r>
            <w:proofErr w:type="spellStart"/>
            <w:r w:rsidRPr="00FA3F9C">
              <w:rPr>
                <w:rFonts w:ascii="Arial" w:hAnsi="Arial" w:cs="Arial"/>
                <w:sz w:val="24"/>
                <w:szCs w:val="24"/>
              </w:rPr>
              <w:t>atezo+cobi+vemurafenib</w:t>
            </w:r>
            <w:proofErr w:type="spellEnd"/>
            <w:r w:rsidRPr="00FA3F9C">
              <w:rPr>
                <w:rFonts w:ascii="Arial" w:hAnsi="Arial" w:cs="Arial"/>
                <w:sz w:val="24"/>
                <w:szCs w:val="24"/>
              </w:rPr>
              <w:t xml:space="preserve"> for melanoma). Do not cover.</w:t>
            </w:r>
          </w:p>
        </w:tc>
        <w:tc>
          <w:tcPr>
            <w:tcW w:w="1638" w:type="dxa"/>
          </w:tcPr>
          <w:p w14:paraId="360654BC" w14:textId="77777777" w:rsidR="005C142D" w:rsidRPr="00FA3F9C" w:rsidRDefault="005C142D" w:rsidP="00CA77CE">
            <w:pPr>
              <w:rPr>
                <w:rFonts w:ascii="Arial" w:hAnsi="Arial" w:cs="Arial"/>
                <w:sz w:val="24"/>
                <w:szCs w:val="24"/>
              </w:rPr>
            </w:pPr>
            <w:r w:rsidRPr="00FA3F9C">
              <w:rPr>
                <w:rFonts w:ascii="Arial" w:hAnsi="Arial" w:cs="Arial"/>
                <w:sz w:val="24"/>
                <w:szCs w:val="24"/>
              </w:rPr>
              <w:t>SK</w:t>
            </w:r>
          </w:p>
        </w:tc>
      </w:tr>
      <w:tr w:rsidR="005C142D" w:rsidRPr="00FA3F9C" w14:paraId="781AAEE5" w14:textId="77777777" w:rsidTr="003A2856">
        <w:tc>
          <w:tcPr>
            <w:tcW w:w="918" w:type="dxa"/>
          </w:tcPr>
          <w:p w14:paraId="4EA342E2" w14:textId="77777777" w:rsidR="005C142D" w:rsidRPr="00FA3F9C" w:rsidRDefault="005C142D" w:rsidP="00CA77CE">
            <w:pPr>
              <w:rPr>
                <w:rFonts w:ascii="Arial" w:hAnsi="Arial" w:cs="Arial"/>
                <w:sz w:val="24"/>
                <w:szCs w:val="24"/>
              </w:rPr>
            </w:pPr>
            <w:r w:rsidRPr="00FA3F9C">
              <w:rPr>
                <w:rFonts w:ascii="Arial" w:hAnsi="Arial" w:cs="Arial"/>
                <w:sz w:val="24"/>
                <w:szCs w:val="24"/>
              </w:rPr>
              <w:t>12/15/2020</w:t>
            </w:r>
          </w:p>
        </w:tc>
        <w:tc>
          <w:tcPr>
            <w:tcW w:w="7740" w:type="dxa"/>
          </w:tcPr>
          <w:p w14:paraId="6849BC5A" w14:textId="77777777" w:rsidR="005C142D" w:rsidRPr="00FA3F9C" w:rsidRDefault="005C142D" w:rsidP="00A56383">
            <w:pPr>
              <w:rPr>
                <w:rFonts w:ascii="Arial" w:hAnsi="Arial" w:cs="Arial"/>
                <w:sz w:val="24"/>
                <w:szCs w:val="24"/>
              </w:rPr>
            </w:pPr>
            <w:r w:rsidRPr="00FA3F9C">
              <w:rPr>
                <w:rFonts w:ascii="Arial" w:hAnsi="Arial" w:cs="Arial"/>
                <w:sz w:val="24"/>
                <w:szCs w:val="24"/>
              </w:rPr>
              <w:t xml:space="preserve">Criteria reviewed. No change. Added reference for case series (n=3) for use of vemurafenib in </w:t>
            </w:r>
            <w:proofErr w:type="spellStart"/>
            <w:r w:rsidRPr="00FA3F9C">
              <w:rPr>
                <w:rFonts w:ascii="Arial" w:hAnsi="Arial" w:cs="Arial"/>
                <w:sz w:val="24"/>
                <w:szCs w:val="24"/>
              </w:rPr>
              <w:t>Erdheim</w:t>
            </w:r>
            <w:proofErr w:type="spellEnd"/>
            <w:r w:rsidRPr="00FA3F9C">
              <w:rPr>
                <w:rFonts w:ascii="Arial" w:hAnsi="Arial" w:cs="Arial"/>
                <w:sz w:val="24"/>
                <w:szCs w:val="24"/>
              </w:rPr>
              <w:t xml:space="preserve"> Chester. Patient experienced symptom improvement. Since this is low quality evidence, no change to criteria.</w:t>
            </w:r>
          </w:p>
        </w:tc>
        <w:tc>
          <w:tcPr>
            <w:tcW w:w="1638" w:type="dxa"/>
          </w:tcPr>
          <w:p w14:paraId="6FCBCA3E" w14:textId="77777777" w:rsidR="005C142D" w:rsidRPr="00FA3F9C" w:rsidRDefault="005C142D" w:rsidP="00CA77CE">
            <w:pPr>
              <w:rPr>
                <w:rFonts w:ascii="Arial" w:hAnsi="Arial" w:cs="Arial"/>
                <w:sz w:val="24"/>
                <w:szCs w:val="24"/>
              </w:rPr>
            </w:pPr>
            <w:r w:rsidRPr="00FA3F9C">
              <w:rPr>
                <w:rFonts w:ascii="Arial" w:hAnsi="Arial" w:cs="Arial"/>
                <w:sz w:val="24"/>
                <w:szCs w:val="24"/>
              </w:rPr>
              <w:t>SK</w:t>
            </w:r>
          </w:p>
        </w:tc>
      </w:tr>
      <w:tr w:rsidR="005C142D" w:rsidRPr="00FA3F9C" w14:paraId="7C58F823" w14:textId="77777777" w:rsidTr="003A2856">
        <w:tc>
          <w:tcPr>
            <w:tcW w:w="918" w:type="dxa"/>
          </w:tcPr>
          <w:p w14:paraId="32B4897E" w14:textId="77777777" w:rsidR="005C142D" w:rsidRPr="00FA3F9C" w:rsidRDefault="005C142D" w:rsidP="00CA77CE">
            <w:pPr>
              <w:rPr>
                <w:rFonts w:ascii="Arial" w:hAnsi="Arial" w:cs="Arial"/>
                <w:sz w:val="24"/>
                <w:szCs w:val="24"/>
              </w:rPr>
            </w:pPr>
            <w:r w:rsidRPr="00FA3F9C">
              <w:rPr>
                <w:rFonts w:ascii="Arial" w:hAnsi="Arial" w:cs="Arial"/>
                <w:sz w:val="24"/>
                <w:szCs w:val="24"/>
              </w:rPr>
              <w:t>3/31/2021</w:t>
            </w:r>
          </w:p>
        </w:tc>
        <w:tc>
          <w:tcPr>
            <w:tcW w:w="7740" w:type="dxa"/>
          </w:tcPr>
          <w:p w14:paraId="530B7BD1" w14:textId="77777777" w:rsidR="005C142D" w:rsidRPr="00FA3F9C" w:rsidRDefault="005C142D" w:rsidP="00A56383">
            <w:pPr>
              <w:rPr>
                <w:rFonts w:ascii="Arial" w:hAnsi="Arial" w:cs="Arial"/>
                <w:sz w:val="24"/>
                <w:szCs w:val="24"/>
              </w:rPr>
            </w:pPr>
            <w:r w:rsidRPr="00FA3F9C">
              <w:rPr>
                <w:rFonts w:ascii="Arial" w:hAnsi="Arial" w:cs="Arial"/>
                <w:sz w:val="24"/>
                <w:szCs w:val="24"/>
              </w:rPr>
              <w:t>Applied to UAS plan</w:t>
            </w:r>
          </w:p>
        </w:tc>
        <w:tc>
          <w:tcPr>
            <w:tcW w:w="1638" w:type="dxa"/>
          </w:tcPr>
          <w:p w14:paraId="7A99E0FB" w14:textId="77777777" w:rsidR="005C142D" w:rsidRPr="00FA3F9C" w:rsidRDefault="005C142D" w:rsidP="00CA77CE">
            <w:pPr>
              <w:rPr>
                <w:rFonts w:ascii="Arial" w:hAnsi="Arial" w:cs="Arial"/>
                <w:sz w:val="24"/>
                <w:szCs w:val="24"/>
              </w:rPr>
            </w:pPr>
            <w:r w:rsidRPr="00FA3F9C">
              <w:rPr>
                <w:rFonts w:ascii="Arial" w:hAnsi="Arial" w:cs="Arial"/>
                <w:sz w:val="24"/>
                <w:szCs w:val="24"/>
              </w:rPr>
              <w:t>JJ</w:t>
            </w:r>
          </w:p>
        </w:tc>
      </w:tr>
      <w:tr w:rsidR="005C142D" w:rsidRPr="00FA3F9C" w14:paraId="3A68B7BB" w14:textId="77777777" w:rsidTr="003A2856">
        <w:tc>
          <w:tcPr>
            <w:tcW w:w="918" w:type="dxa"/>
          </w:tcPr>
          <w:p w14:paraId="7C3459C3" w14:textId="77777777" w:rsidR="005C142D" w:rsidRPr="00FA3F9C" w:rsidRDefault="005C142D" w:rsidP="00CA77CE">
            <w:pPr>
              <w:rPr>
                <w:rFonts w:ascii="Arial" w:hAnsi="Arial" w:cs="Arial"/>
                <w:sz w:val="24"/>
                <w:szCs w:val="24"/>
              </w:rPr>
            </w:pPr>
            <w:r w:rsidRPr="00FA3F9C">
              <w:rPr>
                <w:rFonts w:ascii="Arial" w:hAnsi="Arial" w:cs="Arial"/>
                <w:sz w:val="24"/>
                <w:szCs w:val="24"/>
              </w:rPr>
              <w:t>4/25/2022</w:t>
            </w:r>
          </w:p>
        </w:tc>
        <w:tc>
          <w:tcPr>
            <w:tcW w:w="7740" w:type="dxa"/>
          </w:tcPr>
          <w:p w14:paraId="7F648233" w14:textId="77777777" w:rsidR="005C142D" w:rsidRPr="00FA3F9C" w:rsidRDefault="005C142D" w:rsidP="00A56383">
            <w:pPr>
              <w:rPr>
                <w:rFonts w:ascii="Arial" w:hAnsi="Arial" w:cs="Arial"/>
                <w:sz w:val="24"/>
                <w:szCs w:val="24"/>
              </w:rPr>
            </w:pPr>
            <w:r w:rsidRPr="00FA3F9C">
              <w:rPr>
                <w:rFonts w:ascii="Arial" w:hAnsi="Arial" w:cs="Arial"/>
                <w:sz w:val="24"/>
                <w:szCs w:val="24"/>
              </w:rPr>
              <w:t>Criteria reviewed. No change.</w:t>
            </w:r>
          </w:p>
        </w:tc>
        <w:tc>
          <w:tcPr>
            <w:tcW w:w="1638" w:type="dxa"/>
          </w:tcPr>
          <w:p w14:paraId="4DE3E22D" w14:textId="77777777" w:rsidR="005C142D" w:rsidRPr="00FA3F9C" w:rsidRDefault="005C142D" w:rsidP="00CA77CE">
            <w:pPr>
              <w:rPr>
                <w:rFonts w:ascii="Arial" w:hAnsi="Arial" w:cs="Arial"/>
                <w:sz w:val="24"/>
                <w:szCs w:val="24"/>
              </w:rPr>
            </w:pPr>
            <w:r w:rsidRPr="00FA3F9C">
              <w:rPr>
                <w:rFonts w:ascii="Arial" w:hAnsi="Arial" w:cs="Arial"/>
                <w:sz w:val="24"/>
                <w:szCs w:val="24"/>
              </w:rPr>
              <w:t>SK</w:t>
            </w:r>
          </w:p>
        </w:tc>
      </w:tr>
    </w:tbl>
    <w:p w14:paraId="5E5D638A" w14:textId="77777777" w:rsidR="005C142D" w:rsidRPr="00FA3F9C" w:rsidRDefault="005C142D" w:rsidP="00565408">
      <w:pPr>
        <w:rPr>
          <w:rFonts w:ascii="Arial" w:hAnsi="Arial" w:cs="Arial"/>
          <w:sz w:val="24"/>
          <w:szCs w:val="24"/>
        </w:rPr>
      </w:pPr>
    </w:p>
    <w:p w14:paraId="0F0346D4" w14:textId="77777777" w:rsidR="005C142D" w:rsidRPr="00FA3F9C" w:rsidRDefault="005C142D" w:rsidP="005D3DE3">
      <w:pPr>
        <w:pStyle w:val="Heading2"/>
      </w:pPr>
      <w:bookmarkStart w:id="333" w:name="_Toc106369956"/>
      <w:proofErr w:type="spellStart"/>
      <w:r w:rsidRPr="00FA3F9C">
        <w:t>Venetoclax</w:t>
      </w:r>
      <w:proofErr w:type="spellEnd"/>
      <w:r w:rsidRPr="00FA3F9C">
        <w:t xml:space="preserve"> (</w:t>
      </w:r>
      <w:proofErr w:type="spellStart"/>
      <w:r w:rsidRPr="00FA3F9C">
        <w:t>Venclexta</w:t>
      </w:r>
      <w:proofErr w:type="spellEnd"/>
      <w:r w:rsidRPr="00FA3F9C">
        <w:t>®)</w:t>
      </w:r>
      <w:bookmarkEnd w:id="333"/>
      <w:r w:rsidRPr="00FA3F9C">
        <w:t xml:space="preserve"> </w:t>
      </w:r>
    </w:p>
    <w:p w14:paraId="0BC0F39B" w14:textId="77777777" w:rsidR="005C142D" w:rsidRPr="00FA3F9C" w:rsidRDefault="005C142D" w:rsidP="00B500AD">
      <w:pPr>
        <w:jc w:val="center"/>
        <w:rPr>
          <w:rFonts w:ascii="Arial" w:hAnsi="Arial" w:cs="Arial"/>
          <w:sz w:val="24"/>
          <w:szCs w:val="24"/>
        </w:rPr>
      </w:pPr>
      <w:r w:rsidRPr="00FA3F9C">
        <w:rPr>
          <w:rFonts w:ascii="Arial" w:hAnsi="Arial" w:cs="Arial"/>
          <w:sz w:val="24"/>
          <w:szCs w:val="24"/>
        </w:rPr>
        <w:t>10mg, 50mg, 100mg Tablets</w:t>
      </w:r>
    </w:p>
    <w:p w14:paraId="044E4AD1" w14:textId="77777777" w:rsidR="005C142D" w:rsidRPr="00FA3F9C" w:rsidRDefault="005C142D" w:rsidP="00B500AD">
      <w:pPr>
        <w:rPr>
          <w:rFonts w:ascii="Arial" w:hAnsi="Arial" w:cs="Arial"/>
          <w:b/>
          <w:sz w:val="24"/>
          <w:szCs w:val="24"/>
          <w:u w:val="single"/>
        </w:rPr>
      </w:pPr>
    </w:p>
    <w:p w14:paraId="4A98EEAB" w14:textId="77777777" w:rsidR="005C142D" w:rsidRPr="00FA3F9C" w:rsidRDefault="005C142D" w:rsidP="00B500AD">
      <w:pPr>
        <w:rPr>
          <w:rFonts w:ascii="Arial" w:hAnsi="Arial" w:cs="Arial"/>
          <w:sz w:val="24"/>
          <w:szCs w:val="24"/>
        </w:rPr>
      </w:pPr>
      <w:r w:rsidRPr="00FA3F9C">
        <w:rPr>
          <w:rFonts w:ascii="Arial" w:hAnsi="Arial" w:cs="Arial"/>
          <w:b/>
          <w:sz w:val="24"/>
          <w:szCs w:val="24"/>
          <w:u w:val="single"/>
        </w:rPr>
        <w:t>FDA approved indications:</w:t>
      </w:r>
      <w:r w:rsidRPr="00FA3F9C">
        <w:rPr>
          <w:rFonts w:ascii="Arial" w:hAnsi="Arial" w:cs="Arial"/>
          <w:sz w:val="24"/>
          <w:szCs w:val="24"/>
        </w:rPr>
        <w:t xml:space="preserve"> </w:t>
      </w:r>
    </w:p>
    <w:p w14:paraId="6808FF8B" w14:textId="77777777" w:rsidR="005C142D" w:rsidRPr="00FA3F9C" w:rsidRDefault="005C142D" w:rsidP="00FC1E85">
      <w:pPr>
        <w:pStyle w:val="ListParagraph"/>
        <w:numPr>
          <w:ilvl w:val="0"/>
          <w:numId w:val="379"/>
        </w:numPr>
        <w:rPr>
          <w:rFonts w:ascii="Arial" w:hAnsi="Arial" w:cs="Arial"/>
          <w:sz w:val="24"/>
          <w:szCs w:val="24"/>
        </w:rPr>
      </w:pPr>
      <w:r w:rsidRPr="00FA3F9C">
        <w:rPr>
          <w:rFonts w:ascii="Arial" w:hAnsi="Arial" w:cs="Arial"/>
          <w:b/>
          <w:bCs/>
          <w:color w:val="000000"/>
          <w:sz w:val="24"/>
          <w:szCs w:val="24"/>
        </w:rPr>
        <w:t>Chronic lymphocytic leukemia/small lymphocytic lymphoma:</w:t>
      </w:r>
      <w:r w:rsidRPr="00FA3F9C">
        <w:rPr>
          <w:rFonts w:ascii="Arial" w:hAnsi="Arial" w:cs="Arial"/>
          <w:color w:val="000000"/>
          <w:sz w:val="24"/>
          <w:szCs w:val="24"/>
        </w:rPr>
        <w:t> Treatment of adults with chronic lymphocytic leukemia (CLL) or small lymphocytic lymphoma (SLL)</w:t>
      </w:r>
      <w:r w:rsidRPr="00FA3F9C">
        <w:rPr>
          <w:rFonts w:ascii="Arial" w:hAnsi="Arial" w:cs="Arial"/>
          <w:color w:val="000000"/>
          <w:sz w:val="24"/>
          <w:szCs w:val="24"/>
          <w:shd w:val="clear" w:color="auto" w:fill="F2F2F2"/>
        </w:rPr>
        <w:t>.</w:t>
      </w:r>
    </w:p>
    <w:p w14:paraId="3C406724" w14:textId="77777777" w:rsidR="005C142D" w:rsidRPr="00FA3F9C" w:rsidRDefault="005C142D" w:rsidP="00FC1E85">
      <w:pPr>
        <w:pStyle w:val="ListParagraph"/>
        <w:numPr>
          <w:ilvl w:val="1"/>
          <w:numId w:val="379"/>
        </w:numPr>
        <w:ind w:left="900"/>
        <w:rPr>
          <w:rFonts w:ascii="Arial" w:hAnsi="Arial" w:cs="Arial"/>
          <w:sz w:val="24"/>
          <w:szCs w:val="24"/>
        </w:rPr>
      </w:pPr>
      <w:r w:rsidRPr="00FA3F9C">
        <w:rPr>
          <w:rFonts w:ascii="Arial" w:hAnsi="Arial" w:cs="Arial"/>
          <w:bCs/>
          <w:color w:val="000000"/>
          <w:sz w:val="24"/>
          <w:szCs w:val="24"/>
          <w:highlight w:val="cyan"/>
        </w:rPr>
        <w:t>Coverage is restricted to patients who have received at least 1 prior therapy</w:t>
      </w:r>
      <w:r w:rsidRPr="00FA3F9C">
        <w:rPr>
          <w:rFonts w:ascii="Arial" w:hAnsi="Arial" w:cs="Arial"/>
          <w:bCs/>
          <w:color w:val="000000"/>
          <w:sz w:val="24"/>
          <w:szCs w:val="24"/>
        </w:rPr>
        <w:t>.</w:t>
      </w:r>
      <w:r w:rsidRPr="00FA3F9C">
        <w:rPr>
          <w:rFonts w:ascii="Arial" w:hAnsi="Arial" w:cs="Arial"/>
          <w:sz w:val="24"/>
          <w:szCs w:val="24"/>
        </w:rPr>
        <w:t xml:space="preserve"> </w:t>
      </w:r>
    </w:p>
    <w:p w14:paraId="0DC19C49" w14:textId="77777777" w:rsidR="005C142D" w:rsidRPr="00FA3F9C" w:rsidRDefault="005C142D" w:rsidP="00FC1E85">
      <w:pPr>
        <w:pStyle w:val="ListParagraph"/>
        <w:numPr>
          <w:ilvl w:val="1"/>
          <w:numId w:val="379"/>
        </w:numPr>
        <w:ind w:left="900"/>
        <w:rPr>
          <w:rFonts w:ascii="Arial" w:hAnsi="Arial" w:cs="Arial"/>
          <w:sz w:val="24"/>
          <w:szCs w:val="24"/>
        </w:rPr>
      </w:pPr>
      <w:r w:rsidRPr="00FA3F9C">
        <w:rPr>
          <w:rFonts w:ascii="Arial" w:hAnsi="Arial" w:cs="Arial"/>
          <w:sz w:val="24"/>
          <w:szCs w:val="24"/>
        </w:rPr>
        <w:lastRenderedPageBreak/>
        <w:t xml:space="preserve">The approval for first line use of </w:t>
      </w:r>
      <w:proofErr w:type="spellStart"/>
      <w:r w:rsidRPr="00FA3F9C">
        <w:rPr>
          <w:rFonts w:ascii="Arial" w:hAnsi="Arial" w:cs="Arial"/>
          <w:sz w:val="24"/>
          <w:szCs w:val="24"/>
        </w:rPr>
        <w:t>venetoclax</w:t>
      </w:r>
      <w:proofErr w:type="spellEnd"/>
      <w:r w:rsidRPr="00FA3F9C">
        <w:rPr>
          <w:rFonts w:ascii="Arial" w:hAnsi="Arial" w:cs="Arial"/>
          <w:sz w:val="24"/>
          <w:szCs w:val="24"/>
        </w:rPr>
        <w:t xml:space="preserve"> in combination with </w:t>
      </w:r>
      <w:proofErr w:type="spellStart"/>
      <w:r w:rsidRPr="00FA3F9C">
        <w:rPr>
          <w:rFonts w:ascii="Arial" w:hAnsi="Arial" w:cs="Arial"/>
          <w:sz w:val="24"/>
          <w:szCs w:val="24"/>
        </w:rPr>
        <w:t>obinutuzumab</w:t>
      </w:r>
      <w:proofErr w:type="spellEnd"/>
      <w:r w:rsidRPr="00FA3F9C">
        <w:rPr>
          <w:rFonts w:ascii="Arial" w:hAnsi="Arial" w:cs="Arial"/>
          <w:sz w:val="24"/>
          <w:szCs w:val="24"/>
        </w:rPr>
        <w:t xml:space="preserve"> was based on a study that enrolled older patients or patients with comorbidities. Progression free survival (PFS) was improved with </w:t>
      </w:r>
      <w:proofErr w:type="spellStart"/>
      <w:r w:rsidRPr="00FA3F9C">
        <w:rPr>
          <w:rFonts w:ascii="Arial" w:hAnsi="Arial" w:cs="Arial"/>
          <w:sz w:val="24"/>
          <w:szCs w:val="24"/>
        </w:rPr>
        <w:t>obinutuzumab+venetoclax</w:t>
      </w:r>
      <w:proofErr w:type="spellEnd"/>
      <w:r w:rsidRPr="00FA3F9C">
        <w:rPr>
          <w:rFonts w:ascii="Arial" w:hAnsi="Arial" w:cs="Arial"/>
          <w:sz w:val="24"/>
          <w:szCs w:val="24"/>
        </w:rPr>
        <w:t xml:space="preserve"> compared with </w:t>
      </w:r>
      <w:proofErr w:type="spellStart"/>
      <w:r w:rsidRPr="00FA3F9C">
        <w:rPr>
          <w:rFonts w:ascii="Arial" w:hAnsi="Arial" w:cs="Arial"/>
          <w:sz w:val="24"/>
          <w:szCs w:val="24"/>
        </w:rPr>
        <w:t>obinutuzumab</w:t>
      </w:r>
      <w:proofErr w:type="spellEnd"/>
      <w:r w:rsidRPr="00FA3F9C">
        <w:rPr>
          <w:rFonts w:ascii="Arial" w:hAnsi="Arial" w:cs="Arial"/>
          <w:sz w:val="24"/>
          <w:szCs w:val="24"/>
        </w:rPr>
        <w:t xml:space="preserve"> + chlorambucil (24-month rate of PFS 88% vs 64%). At 4 years, the rate of PFS remained improved with </w:t>
      </w:r>
      <w:proofErr w:type="spellStart"/>
      <w:r w:rsidRPr="00FA3F9C">
        <w:rPr>
          <w:rFonts w:ascii="Arial" w:hAnsi="Arial" w:cs="Arial"/>
          <w:sz w:val="24"/>
          <w:szCs w:val="24"/>
        </w:rPr>
        <w:t>obinutuzumab</w:t>
      </w:r>
      <w:proofErr w:type="spellEnd"/>
      <w:r w:rsidRPr="00FA3F9C">
        <w:rPr>
          <w:rFonts w:ascii="Arial" w:hAnsi="Arial" w:cs="Arial"/>
          <w:sz w:val="24"/>
          <w:szCs w:val="24"/>
        </w:rPr>
        <w:t>/</w:t>
      </w:r>
      <w:proofErr w:type="spellStart"/>
      <w:r w:rsidRPr="00FA3F9C">
        <w:rPr>
          <w:rFonts w:ascii="Arial" w:hAnsi="Arial" w:cs="Arial"/>
          <w:sz w:val="24"/>
          <w:szCs w:val="24"/>
        </w:rPr>
        <w:t>venetoclax</w:t>
      </w:r>
      <w:proofErr w:type="spellEnd"/>
      <w:r w:rsidRPr="00FA3F9C">
        <w:rPr>
          <w:rFonts w:ascii="Arial" w:hAnsi="Arial" w:cs="Arial"/>
          <w:sz w:val="24"/>
          <w:szCs w:val="24"/>
        </w:rPr>
        <w:t xml:space="preserve"> (74% vs 35%). At a median follow up of 52 </w:t>
      </w:r>
      <w:proofErr w:type="spellStart"/>
      <w:r w:rsidRPr="00FA3F9C">
        <w:rPr>
          <w:rFonts w:ascii="Arial" w:hAnsi="Arial" w:cs="Arial"/>
          <w:sz w:val="24"/>
          <w:szCs w:val="24"/>
        </w:rPr>
        <w:t>mo</w:t>
      </w:r>
      <w:proofErr w:type="spellEnd"/>
      <w:r w:rsidRPr="00FA3F9C">
        <w:rPr>
          <w:rFonts w:ascii="Arial" w:hAnsi="Arial" w:cs="Arial"/>
          <w:sz w:val="24"/>
          <w:szCs w:val="24"/>
        </w:rPr>
        <w:t xml:space="preserve">, the median OS has was not reached in either arm (HR, 0.85; 95% CI, 0.54-1.35; P = 0.4929), and the 4-year OS rate was 85% for the </w:t>
      </w:r>
      <w:proofErr w:type="spellStart"/>
      <w:r w:rsidRPr="00FA3F9C">
        <w:rPr>
          <w:rFonts w:ascii="Arial" w:hAnsi="Arial" w:cs="Arial"/>
          <w:sz w:val="24"/>
          <w:szCs w:val="24"/>
        </w:rPr>
        <w:t>venetoclax</w:t>
      </w:r>
      <w:proofErr w:type="spellEnd"/>
      <w:r w:rsidRPr="00FA3F9C">
        <w:rPr>
          <w:rFonts w:ascii="Arial" w:hAnsi="Arial" w:cs="Arial"/>
          <w:sz w:val="24"/>
          <w:szCs w:val="24"/>
        </w:rPr>
        <w:t xml:space="preserve"> arm and 83% for the control arm.  Quality of life was not improved to a greater extent than the control group. See ibrutinib (Imbruvica) which does have overall survival data reported in the first-line setting. </w:t>
      </w:r>
    </w:p>
    <w:p w14:paraId="57954594" w14:textId="77777777" w:rsidR="005C142D" w:rsidRPr="00FA3F9C" w:rsidRDefault="005C142D" w:rsidP="008C6AC1">
      <w:pPr>
        <w:ind w:left="1080" w:firstLine="360"/>
        <w:rPr>
          <w:rFonts w:ascii="Arial" w:hAnsi="Arial" w:cs="Arial"/>
          <w:sz w:val="24"/>
          <w:szCs w:val="24"/>
        </w:rPr>
      </w:pPr>
      <w:r w:rsidRPr="00FA3F9C">
        <w:rPr>
          <w:rFonts w:ascii="Arial" w:hAnsi="Arial" w:cs="Arial"/>
          <w:sz w:val="24"/>
          <w:szCs w:val="24"/>
        </w:rPr>
        <w:t xml:space="preserve">References: </w:t>
      </w:r>
    </w:p>
    <w:p w14:paraId="149B2D4A" w14:textId="77777777" w:rsidR="005C142D" w:rsidRPr="00FA3F9C" w:rsidRDefault="005C142D" w:rsidP="00FC1E85">
      <w:pPr>
        <w:pStyle w:val="ListParagraph"/>
        <w:numPr>
          <w:ilvl w:val="2"/>
          <w:numId w:val="379"/>
        </w:numPr>
        <w:rPr>
          <w:rFonts w:ascii="Arial" w:hAnsi="Arial" w:cs="Arial"/>
          <w:sz w:val="24"/>
          <w:szCs w:val="24"/>
        </w:rPr>
      </w:pPr>
      <w:r w:rsidRPr="00FA3F9C">
        <w:rPr>
          <w:rFonts w:ascii="Arial" w:hAnsi="Arial" w:cs="Arial"/>
          <w:sz w:val="24"/>
          <w:szCs w:val="24"/>
        </w:rPr>
        <w:t xml:space="preserve">Fischer K et al. </w:t>
      </w:r>
      <w:proofErr w:type="spellStart"/>
      <w:r w:rsidRPr="00FA3F9C">
        <w:rPr>
          <w:rFonts w:ascii="Arial" w:hAnsi="Arial" w:cs="Arial"/>
          <w:sz w:val="24"/>
          <w:szCs w:val="24"/>
        </w:rPr>
        <w:t>Venetoclax</w:t>
      </w:r>
      <w:proofErr w:type="spellEnd"/>
      <w:r w:rsidRPr="00FA3F9C">
        <w:rPr>
          <w:rFonts w:ascii="Arial" w:hAnsi="Arial" w:cs="Arial"/>
          <w:sz w:val="24"/>
          <w:szCs w:val="24"/>
        </w:rPr>
        <w:t xml:space="preserve"> and Obinutuzumab in Patients with CLL and Coexisting Conditions. N </w:t>
      </w:r>
      <w:proofErr w:type="spellStart"/>
      <w:r w:rsidRPr="00FA3F9C">
        <w:rPr>
          <w:rFonts w:ascii="Arial" w:hAnsi="Arial" w:cs="Arial"/>
          <w:sz w:val="24"/>
          <w:szCs w:val="24"/>
        </w:rPr>
        <w:t>Engl</w:t>
      </w:r>
      <w:proofErr w:type="spellEnd"/>
      <w:r w:rsidRPr="00FA3F9C">
        <w:rPr>
          <w:rFonts w:ascii="Arial" w:hAnsi="Arial" w:cs="Arial"/>
          <w:sz w:val="24"/>
          <w:szCs w:val="24"/>
        </w:rPr>
        <w:t xml:space="preserve"> J Med. 2019 Jun 6;380(23):2225-2236. </w:t>
      </w:r>
      <w:proofErr w:type="spellStart"/>
      <w:r w:rsidRPr="00FA3F9C">
        <w:rPr>
          <w:rFonts w:ascii="Arial" w:hAnsi="Arial" w:cs="Arial"/>
          <w:sz w:val="24"/>
          <w:szCs w:val="24"/>
        </w:rPr>
        <w:t>doi</w:t>
      </w:r>
      <w:proofErr w:type="spellEnd"/>
      <w:r w:rsidRPr="00FA3F9C">
        <w:rPr>
          <w:rFonts w:ascii="Arial" w:hAnsi="Arial" w:cs="Arial"/>
          <w:sz w:val="24"/>
          <w:szCs w:val="24"/>
        </w:rPr>
        <w:t xml:space="preserve">: 10.1056/NEJMoa1815281. </w:t>
      </w:r>
      <w:proofErr w:type="spellStart"/>
      <w:r w:rsidRPr="00FA3F9C">
        <w:rPr>
          <w:rFonts w:ascii="Arial" w:hAnsi="Arial" w:cs="Arial"/>
          <w:sz w:val="24"/>
          <w:szCs w:val="24"/>
        </w:rPr>
        <w:t>Epub</w:t>
      </w:r>
      <w:proofErr w:type="spellEnd"/>
      <w:r w:rsidRPr="00FA3F9C">
        <w:rPr>
          <w:rFonts w:ascii="Arial" w:hAnsi="Arial" w:cs="Arial"/>
          <w:sz w:val="24"/>
          <w:szCs w:val="24"/>
        </w:rPr>
        <w:t xml:space="preserve"> 2019 Jun 4. PMID 31166681 NCT02242942</w:t>
      </w:r>
    </w:p>
    <w:p w14:paraId="2025204A" w14:textId="77777777" w:rsidR="005C142D" w:rsidRPr="00FA3F9C" w:rsidRDefault="005C142D" w:rsidP="00FC1E85">
      <w:pPr>
        <w:pStyle w:val="ListParagraph"/>
        <w:numPr>
          <w:ilvl w:val="2"/>
          <w:numId w:val="379"/>
        </w:numPr>
        <w:rPr>
          <w:rFonts w:ascii="Arial" w:hAnsi="Arial" w:cs="Arial"/>
          <w:sz w:val="24"/>
          <w:szCs w:val="24"/>
        </w:rPr>
      </w:pPr>
      <w:r w:rsidRPr="00FA3F9C">
        <w:rPr>
          <w:rFonts w:ascii="Arial" w:hAnsi="Arial" w:cs="Arial"/>
          <w:sz w:val="24"/>
          <w:szCs w:val="24"/>
          <w:lang w:val="es-ES"/>
        </w:rPr>
        <w:t>Al-</w:t>
      </w:r>
      <w:proofErr w:type="spellStart"/>
      <w:r w:rsidRPr="00FA3F9C">
        <w:rPr>
          <w:rFonts w:ascii="Arial" w:hAnsi="Arial" w:cs="Arial"/>
          <w:sz w:val="24"/>
          <w:szCs w:val="24"/>
          <w:lang w:val="es-ES"/>
        </w:rPr>
        <w:t>Sawaf</w:t>
      </w:r>
      <w:proofErr w:type="spellEnd"/>
      <w:r w:rsidRPr="00FA3F9C">
        <w:rPr>
          <w:rFonts w:ascii="Arial" w:hAnsi="Arial" w:cs="Arial"/>
          <w:sz w:val="24"/>
          <w:szCs w:val="24"/>
          <w:lang w:val="es-ES"/>
        </w:rPr>
        <w:t xml:space="preserve"> O et al. </w:t>
      </w:r>
      <w:proofErr w:type="spellStart"/>
      <w:r w:rsidRPr="00FA3F9C">
        <w:rPr>
          <w:rFonts w:ascii="Arial" w:hAnsi="Arial" w:cs="Arial"/>
          <w:sz w:val="24"/>
          <w:szCs w:val="24"/>
        </w:rPr>
        <w:t>Venetoclax</w:t>
      </w:r>
      <w:proofErr w:type="spellEnd"/>
      <w:r w:rsidRPr="00FA3F9C">
        <w:rPr>
          <w:rFonts w:ascii="Arial" w:hAnsi="Arial" w:cs="Arial"/>
          <w:sz w:val="24"/>
          <w:szCs w:val="24"/>
        </w:rPr>
        <w:t xml:space="preserve"> plus </w:t>
      </w:r>
      <w:proofErr w:type="spellStart"/>
      <w:r w:rsidRPr="00FA3F9C">
        <w:rPr>
          <w:rFonts w:ascii="Arial" w:hAnsi="Arial" w:cs="Arial"/>
          <w:sz w:val="24"/>
          <w:szCs w:val="24"/>
        </w:rPr>
        <w:t>obinutuzumab</w:t>
      </w:r>
      <w:proofErr w:type="spellEnd"/>
      <w:r w:rsidRPr="00FA3F9C">
        <w:rPr>
          <w:rFonts w:ascii="Arial" w:hAnsi="Arial" w:cs="Arial"/>
          <w:sz w:val="24"/>
          <w:szCs w:val="24"/>
        </w:rPr>
        <w:t xml:space="preserve"> versus chlorambucil plus </w:t>
      </w:r>
      <w:proofErr w:type="spellStart"/>
      <w:r w:rsidRPr="00FA3F9C">
        <w:rPr>
          <w:rFonts w:ascii="Arial" w:hAnsi="Arial" w:cs="Arial"/>
          <w:sz w:val="24"/>
          <w:szCs w:val="24"/>
        </w:rPr>
        <w:t>obinutuzumab</w:t>
      </w:r>
      <w:proofErr w:type="spellEnd"/>
      <w:r w:rsidRPr="00FA3F9C">
        <w:rPr>
          <w:rFonts w:ascii="Arial" w:hAnsi="Arial" w:cs="Arial"/>
          <w:sz w:val="24"/>
          <w:szCs w:val="24"/>
        </w:rPr>
        <w:t xml:space="preserve"> for previously untreated chronic lymphocytic </w:t>
      </w:r>
      <w:proofErr w:type="spellStart"/>
      <w:r w:rsidRPr="00FA3F9C">
        <w:rPr>
          <w:rFonts w:ascii="Arial" w:hAnsi="Arial" w:cs="Arial"/>
          <w:sz w:val="24"/>
          <w:szCs w:val="24"/>
        </w:rPr>
        <w:t>leukaemia</w:t>
      </w:r>
      <w:proofErr w:type="spellEnd"/>
      <w:r w:rsidRPr="00FA3F9C">
        <w:rPr>
          <w:rFonts w:ascii="Arial" w:hAnsi="Arial" w:cs="Arial"/>
          <w:sz w:val="24"/>
          <w:szCs w:val="24"/>
        </w:rPr>
        <w:t xml:space="preserve"> (CLL14): follow-up results from a </w:t>
      </w:r>
      <w:proofErr w:type="spellStart"/>
      <w:r w:rsidRPr="00FA3F9C">
        <w:rPr>
          <w:rFonts w:ascii="Arial" w:hAnsi="Arial" w:cs="Arial"/>
          <w:sz w:val="24"/>
          <w:szCs w:val="24"/>
        </w:rPr>
        <w:t>multicentre</w:t>
      </w:r>
      <w:proofErr w:type="spellEnd"/>
      <w:r w:rsidRPr="00FA3F9C">
        <w:rPr>
          <w:rFonts w:ascii="Arial" w:hAnsi="Arial" w:cs="Arial"/>
          <w:sz w:val="24"/>
          <w:szCs w:val="24"/>
        </w:rPr>
        <w:t xml:space="preserve">, open-label, </w:t>
      </w:r>
      <w:proofErr w:type="spellStart"/>
      <w:r w:rsidRPr="00FA3F9C">
        <w:rPr>
          <w:rFonts w:ascii="Arial" w:hAnsi="Arial" w:cs="Arial"/>
          <w:sz w:val="24"/>
          <w:szCs w:val="24"/>
        </w:rPr>
        <w:t>randomised</w:t>
      </w:r>
      <w:proofErr w:type="spellEnd"/>
      <w:r w:rsidRPr="00FA3F9C">
        <w:rPr>
          <w:rFonts w:ascii="Arial" w:hAnsi="Arial" w:cs="Arial"/>
          <w:sz w:val="24"/>
          <w:szCs w:val="24"/>
        </w:rPr>
        <w:t xml:space="preserve">, phase 3 trial. Lancet Oncol. 2020 Sep;21(9):1188-1200. </w:t>
      </w:r>
      <w:proofErr w:type="spellStart"/>
      <w:r w:rsidRPr="00FA3F9C">
        <w:rPr>
          <w:rFonts w:ascii="Arial" w:hAnsi="Arial" w:cs="Arial"/>
          <w:sz w:val="24"/>
          <w:szCs w:val="24"/>
        </w:rPr>
        <w:t>doi</w:t>
      </w:r>
      <w:proofErr w:type="spellEnd"/>
      <w:r w:rsidRPr="00FA3F9C">
        <w:rPr>
          <w:rFonts w:ascii="Arial" w:hAnsi="Arial" w:cs="Arial"/>
          <w:sz w:val="24"/>
          <w:szCs w:val="24"/>
        </w:rPr>
        <w:t>: 10.1016/S1470-2045(20)30443-5. PMID: 32888452.</w:t>
      </w:r>
    </w:p>
    <w:p w14:paraId="4B547765" w14:textId="77777777" w:rsidR="005C142D" w:rsidRPr="00FA3F9C" w:rsidRDefault="005C142D" w:rsidP="00FC1E85">
      <w:pPr>
        <w:pStyle w:val="ListParagraph"/>
        <w:numPr>
          <w:ilvl w:val="2"/>
          <w:numId w:val="379"/>
        </w:numPr>
        <w:rPr>
          <w:rFonts w:ascii="Arial" w:hAnsi="Arial" w:cs="Arial"/>
          <w:sz w:val="24"/>
          <w:szCs w:val="24"/>
        </w:rPr>
      </w:pPr>
      <w:r w:rsidRPr="00FA3F9C">
        <w:rPr>
          <w:rFonts w:ascii="Arial" w:hAnsi="Arial" w:cs="Arial"/>
          <w:sz w:val="24"/>
          <w:szCs w:val="24"/>
          <w:lang w:val="es-ES"/>
        </w:rPr>
        <w:t>Al-</w:t>
      </w:r>
      <w:proofErr w:type="spellStart"/>
      <w:r w:rsidRPr="00FA3F9C">
        <w:rPr>
          <w:rFonts w:ascii="Arial" w:hAnsi="Arial" w:cs="Arial"/>
          <w:sz w:val="24"/>
          <w:szCs w:val="24"/>
          <w:lang w:val="es-ES"/>
        </w:rPr>
        <w:t>Sawaf</w:t>
      </w:r>
      <w:proofErr w:type="spellEnd"/>
      <w:r w:rsidRPr="00FA3F9C">
        <w:rPr>
          <w:rFonts w:ascii="Arial" w:hAnsi="Arial" w:cs="Arial"/>
          <w:sz w:val="24"/>
          <w:szCs w:val="24"/>
          <w:lang w:val="es-ES"/>
        </w:rPr>
        <w:t xml:space="preserve"> O et al.  </w:t>
      </w:r>
      <w:r w:rsidRPr="00FA3F9C">
        <w:rPr>
          <w:rFonts w:ascii="Arial" w:hAnsi="Arial" w:cs="Arial"/>
          <w:sz w:val="24"/>
          <w:szCs w:val="24"/>
        </w:rPr>
        <w:t xml:space="preserve">Rapid Improvement of Patient-Reported Outcomes with </w:t>
      </w:r>
      <w:proofErr w:type="spellStart"/>
      <w:r w:rsidRPr="00FA3F9C">
        <w:rPr>
          <w:rFonts w:ascii="Arial" w:hAnsi="Arial" w:cs="Arial"/>
          <w:sz w:val="24"/>
          <w:szCs w:val="24"/>
        </w:rPr>
        <w:t>Venetoclax</w:t>
      </w:r>
      <w:proofErr w:type="spellEnd"/>
      <w:r w:rsidRPr="00FA3F9C">
        <w:rPr>
          <w:rFonts w:ascii="Arial" w:hAnsi="Arial" w:cs="Arial"/>
          <w:sz w:val="24"/>
          <w:szCs w:val="24"/>
        </w:rPr>
        <w:t xml:space="preserve"> Plus Obinutuzumab in Patients with Previously Untreated CLL and Coexisting Conditions: A Prospective Analysis from the CLL14 Trial. </w:t>
      </w:r>
      <w:hyperlink r:id="rId418" w:history="1">
        <w:r w:rsidRPr="00FA3F9C">
          <w:rPr>
            <w:rStyle w:val="Hyperlink"/>
            <w:rFonts w:ascii="Arial" w:hAnsi="Arial" w:cs="Arial"/>
            <w:sz w:val="24"/>
            <w:szCs w:val="24"/>
          </w:rPr>
          <w:t>https://ash.confex.com/ash/2019/webprogram/Paper126542.html</w:t>
        </w:r>
      </w:hyperlink>
      <w:r w:rsidRPr="00FA3F9C">
        <w:rPr>
          <w:rFonts w:ascii="Arial" w:hAnsi="Arial" w:cs="Arial"/>
          <w:sz w:val="24"/>
          <w:szCs w:val="24"/>
        </w:rPr>
        <w:t>. Accessed 1/21/2020.</w:t>
      </w:r>
    </w:p>
    <w:p w14:paraId="02754698" w14:textId="77777777" w:rsidR="005C142D" w:rsidRPr="00FA3F9C" w:rsidRDefault="005C142D" w:rsidP="00FC1E85">
      <w:pPr>
        <w:pStyle w:val="ListParagraph"/>
        <w:numPr>
          <w:ilvl w:val="2"/>
          <w:numId w:val="379"/>
        </w:numPr>
        <w:rPr>
          <w:rFonts w:ascii="Arial" w:hAnsi="Arial" w:cs="Arial"/>
          <w:sz w:val="24"/>
          <w:szCs w:val="24"/>
        </w:rPr>
      </w:pPr>
      <w:r w:rsidRPr="00FA3F9C">
        <w:rPr>
          <w:rFonts w:ascii="Arial" w:hAnsi="Arial" w:cs="Arial"/>
          <w:sz w:val="24"/>
          <w:szCs w:val="24"/>
        </w:rPr>
        <w:t>4-year follow up data (press release only; data presented at European Hematology Association 2021 Virtual Congress): https://www.cancernetwork.com/view/three-year-follow-up-continues-to-support-fixed-dose-venetoclax-obinutuzumab-in-treatment-na-ve-cll. Accessed 9/28/2021.</w:t>
      </w:r>
    </w:p>
    <w:p w14:paraId="6821F415" w14:textId="77777777" w:rsidR="005C142D" w:rsidRPr="00FA3F9C" w:rsidRDefault="005C142D" w:rsidP="008C6AC1">
      <w:pPr>
        <w:pStyle w:val="ListParagraph"/>
        <w:ind w:left="900"/>
        <w:rPr>
          <w:rFonts w:ascii="Arial" w:hAnsi="Arial" w:cs="Arial"/>
          <w:sz w:val="24"/>
          <w:szCs w:val="24"/>
        </w:rPr>
      </w:pPr>
    </w:p>
    <w:p w14:paraId="799DB2AD" w14:textId="77777777" w:rsidR="005C142D" w:rsidRPr="00FA3F9C" w:rsidRDefault="005C142D" w:rsidP="00FC1E85">
      <w:pPr>
        <w:pStyle w:val="ListParagraph"/>
        <w:numPr>
          <w:ilvl w:val="0"/>
          <w:numId w:val="379"/>
        </w:numPr>
        <w:rPr>
          <w:rFonts w:ascii="Arial" w:hAnsi="Arial" w:cs="Arial"/>
          <w:b/>
          <w:i/>
          <w:sz w:val="24"/>
          <w:szCs w:val="24"/>
        </w:rPr>
      </w:pPr>
      <w:r w:rsidRPr="00FA3F9C">
        <w:rPr>
          <w:rFonts w:ascii="Arial" w:hAnsi="Arial" w:cs="Arial"/>
          <w:b/>
          <w:bCs/>
          <w:color w:val="000000"/>
          <w:sz w:val="24"/>
          <w:szCs w:val="24"/>
        </w:rPr>
        <w:t>Acute myeloid leukemia:</w:t>
      </w:r>
      <w:r w:rsidRPr="00FA3F9C">
        <w:rPr>
          <w:rFonts w:ascii="Arial" w:hAnsi="Arial" w:cs="Arial"/>
          <w:sz w:val="24"/>
          <w:szCs w:val="24"/>
        </w:rPr>
        <w:t xml:space="preserve"> in combination with </w:t>
      </w:r>
      <w:proofErr w:type="spellStart"/>
      <w:r w:rsidRPr="00FA3F9C">
        <w:rPr>
          <w:rFonts w:ascii="Arial" w:hAnsi="Arial" w:cs="Arial"/>
          <w:sz w:val="24"/>
          <w:szCs w:val="24"/>
        </w:rPr>
        <w:t>azacitidine</w:t>
      </w:r>
      <w:proofErr w:type="spellEnd"/>
      <w:r w:rsidRPr="00FA3F9C">
        <w:rPr>
          <w:rFonts w:ascii="Arial" w:hAnsi="Arial" w:cs="Arial"/>
          <w:sz w:val="24"/>
          <w:szCs w:val="24"/>
        </w:rPr>
        <w:t xml:space="preserve"> or decitabine or low-dose cytarabine for the treatment of newly-diagnosed AML in patients who are age 75 years or older, or who have </w:t>
      </w:r>
      <w:proofErr w:type="spellStart"/>
      <w:r w:rsidRPr="00FA3F9C">
        <w:rPr>
          <w:rFonts w:ascii="Arial" w:hAnsi="Arial" w:cs="Arial"/>
          <w:sz w:val="24"/>
          <w:szCs w:val="24"/>
        </w:rPr>
        <w:t>comorbities</w:t>
      </w:r>
      <w:proofErr w:type="spellEnd"/>
      <w:r w:rsidRPr="00FA3F9C">
        <w:rPr>
          <w:rFonts w:ascii="Arial" w:hAnsi="Arial" w:cs="Arial"/>
          <w:sz w:val="24"/>
          <w:szCs w:val="24"/>
        </w:rPr>
        <w:t xml:space="preserve"> that preclude use of intensive induction chemotherapy. </w:t>
      </w:r>
    </w:p>
    <w:p w14:paraId="31DCA104" w14:textId="77777777" w:rsidR="005C142D" w:rsidRPr="00FA3F9C" w:rsidRDefault="005C142D" w:rsidP="00FC1E85">
      <w:pPr>
        <w:pStyle w:val="ListParagraph"/>
        <w:numPr>
          <w:ilvl w:val="1"/>
          <w:numId w:val="379"/>
        </w:numPr>
        <w:rPr>
          <w:rFonts w:ascii="Arial" w:hAnsi="Arial" w:cs="Arial"/>
          <w:b/>
          <w:i/>
          <w:sz w:val="24"/>
          <w:szCs w:val="24"/>
        </w:rPr>
      </w:pPr>
      <w:r w:rsidRPr="00FA3F9C">
        <w:rPr>
          <w:rFonts w:ascii="Arial" w:hAnsi="Arial" w:cs="Arial"/>
          <w:sz w:val="24"/>
          <w:szCs w:val="24"/>
        </w:rPr>
        <w:t xml:space="preserve">This was an accelerated approval based on response rates only. See data below for justification of coverage. </w:t>
      </w:r>
      <w:r w:rsidRPr="00FA3F9C">
        <w:rPr>
          <w:rFonts w:ascii="Arial" w:hAnsi="Arial" w:cs="Arial"/>
          <w:b/>
          <w:i/>
          <w:sz w:val="24"/>
          <w:szCs w:val="24"/>
          <w:highlight w:val="cyan"/>
        </w:rPr>
        <w:t xml:space="preserve">EBRX prefers use in combination with </w:t>
      </w:r>
      <w:proofErr w:type="spellStart"/>
      <w:r w:rsidRPr="00FA3F9C">
        <w:rPr>
          <w:rFonts w:ascii="Arial" w:hAnsi="Arial" w:cs="Arial"/>
          <w:b/>
          <w:i/>
          <w:sz w:val="24"/>
          <w:szCs w:val="24"/>
          <w:highlight w:val="cyan"/>
        </w:rPr>
        <w:t>azaciditine</w:t>
      </w:r>
      <w:proofErr w:type="spellEnd"/>
      <w:r w:rsidRPr="00FA3F9C">
        <w:rPr>
          <w:rFonts w:ascii="Arial" w:hAnsi="Arial" w:cs="Arial"/>
          <w:b/>
          <w:i/>
          <w:sz w:val="24"/>
          <w:szCs w:val="24"/>
          <w:highlight w:val="cyan"/>
        </w:rPr>
        <w:t xml:space="preserve"> or decitabine only (not low dose cytarabine)</w:t>
      </w:r>
      <w:r w:rsidRPr="00FA3F9C">
        <w:rPr>
          <w:rFonts w:ascii="Arial" w:hAnsi="Arial" w:cs="Arial"/>
          <w:b/>
          <w:i/>
          <w:sz w:val="24"/>
          <w:szCs w:val="24"/>
        </w:rPr>
        <w:t xml:space="preserve">. </w:t>
      </w:r>
    </w:p>
    <w:p w14:paraId="7819EE31" w14:textId="77777777" w:rsidR="005C142D" w:rsidRPr="00FA3F9C" w:rsidRDefault="005C142D" w:rsidP="00FC1E85">
      <w:pPr>
        <w:pStyle w:val="ListParagraph"/>
        <w:numPr>
          <w:ilvl w:val="1"/>
          <w:numId w:val="379"/>
        </w:numPr>
        <w:rPr>
          <w:rFonts w:ascii="Arial" w:hAnsi="Arial" w:cs="Arial"/>
          <w:b/>
          <w:i/>
          <w:sz w:val="24"/>
          <w:szCs w:val="24"/>
        </w:rPr>
      </w:pPr>
      <w:proofErr w:type="spellStart"/>
      <w:r w:rsidRPr="00FA3F9C">
        <w:rPr>
          <w:rFonts w:ascii="Arial" w:hAnsi="Arial" w:cs="Arial"/>
          <w:sz w:val="24"/>
          <w:szCs w:val="24"/>
        </w:rPr>
        <w:t>Venetoclax</w:t>
      </w:r>
      <w:proofErr w:type="spellEnd"/>
      <w:r w:rsidRPr="00FA3F9C">
        <w:rPr>
          <w:rFonts w:ascii="Arial" w:hAnsi="Arial" w:cs="Arial"/>
          <w:sz w:val="24"/>
          <w:szCs w:val="24"/>
        </w:rPr>
        <w:t xml:space="preserve"> was granted full approval for AML indication as of 10/2020</w:t>
      </w:r>
    </w:p>
    <w:p w14:paraId="15D3C28B" w14:textId="77777777" w:rsidR="005C142D" w:rsidRPr="00FA3F9C" w:rsidRDefault="005C142D" w:rsidP="00FC1E85">
      <w:pPr>
        <w:pStyle w:val="ListParagraph"/>
        <w:numPr>
          <w:ilvl w:val="1"/>
          <w:numId w:val="379"/>
        </w:numPr>
        <w:rPr>
          <w:rFonts w:ascii="Arial" w:hAnsi="Arial" w:cs="Arial"/>
          <w:b/>
          <w:i/>
          <w:sz w:val="24"/>
          <w:szCs w:val="24"/>
        </w:rPr>
      </w:pPr>
      <w:r w:rsidRPr="00FA3F9C">
        <w:rPr>
          <w:rFonts w:ascii="Arial" w:hAnsi="Arial" w:cs="Arial"/>
          <w:b/>
          <w:i/>
          <w:sz w:val="24"/>
          <w:szCs w:val="24"/>
        </w:rPr>
        <w:lastRenderedPageBreak/>
        <w:t xml:space="preserve">The phase III VIALE-C (NCT03069352) showed no significant difference in overall survival with </w:t>
      </w:r>
      <w:proofErr w:type="spellStart"/>
      <w:r w:rsidRPr="00FA3F9C">
        <w:rPr>
          <w:rFonts w:ascii="Arial" w:hAnsi="Arial" w:cs="Arial"/>
          <w:b/>
          <w:i/>
          <w:sz w:val="24"/>
          <w:szCs w:val="24"/>
        </w:rPr>
        <w:t>venetoclax</w:t>
      </w:r>
      <w:proofErr w:type="spellEnd"/>
      <w:r w:rsidRPr="00FA3F9C">
        <w:rPr>
          <w:rFonts w:ascii="Arial" w:hAnsi="Arial" w:cs="Arial"/>
          <w:b/>
          <w:i/>
          <w:sz w:val="24"/>
          <w:szCs w:val="24"/>
        </w:rPr>
        <w:t xml:space="preserve">/cytarabine as compared to placebo/cytarabine. </w:t>
      </w:r>
      <w:hyperlink r:id="rId419" w:history="1">
        <w:r w:rsidRPr="00FA3F9C">
          <w:rPr>
            <w:rStyle w:val="Hyperlink"/>
            <w:rFonts w:ascii="Arial" w:hAnsi="Arial" w:cs="Arial"/>
            <w:sz w:val="24"/>
            <w:szCs w:val="24"/>
          </w:rPr>
          <w:t>https://www.targetedonc.com/news/venetoclax-plus-lowdose-cytarabine-fails-to-improve-os-in-aml</w:t>
        </w:r>
      </w:hyperlink>
      <w:r w:rsidRPr="00FA3F9C">
        <w:rPr>
          <w:rFonts w:ascii="Arial" w:hAnsi="Arial" w:cs="Arial"/>
          <w:sz w:val="24"/>
          <w:szCs w:val="24"/>
        </w:rPr>
        <w:t xml:space="preserve">. </w:t>
      </w:r>
    </w:p>
    <w:p w14:paraId="77DB01F8" w14:textId="77777777" w:rsidR="005C142D" w:rsidRPr="00FA3F9C" w:rsidRDefault="005C142D" w:rsidP="00FC1E85">
      <w:pPr>
        <w:pStyle w:val="ListParagraph"/>
        <w:numPr>
          <w:ilvl w:val="1"/>
          <w:numId w:val="379"/>
        </w:numPr>
        <w:rPr>
          <w:rFonts w:ascii="Arial" w:hAnsi="Arial" w:cs="Arial"/>
          <w:b/>
          <w:i/>
          <w:sz w:val="24"/>
          <w:szCs w:val="24"/>
        </w:rPr>
      </w:pPr>
      <w:r w:rsidRPr="00FA3F9C">
        <w:rPr>
          <w:rFonts w:ascii="Arial" w:hAnsi="Arial" w:cs="Arial"/>
          <w:sz w:val="24"/>
          <w:szCs w:val="24"/>
        </w:rPr>
        <w:t xml:space="preserve">Preliminary data released for </w:t>
      </w:r>
      <w:proofErr w:type="spellStart"/>
      <w:r w:rsidRPr="00FA3F9C">
        <w:rPr>
          <w:rFonts w:ascii="Arial" w:hAnsi="Arial" w:cs="Arial"/>
          <w:sz w:val="24"/>
          <w:szCs w:val="24"/>
        </w:rPr>
        <w:t>azacitidine</w:t>
      </w:r>
      <w:proofErr w:type="spellEnd"/>
      <w:r w:rsidRPr="00FA3F9C">
        <w:rPr>
          <w:rFonts w:ascii="Arial" w:hAnsi="Arial" w:cs="Arial"/>
          <w:sz w:val="24"/>
          <w:szCs w:val="24"/>
        </w:rPr>
        <w:t>/</w:t>
      </w:r>
      <w:proofErr w:type="spellStart"/>
      <w:r w:rsidRPr="00FA3F9C">
        <w:rPr>
          <w:rFonts w:ascii="Arial" w:hAnsi="Arial" w:cs="Arial"/>
          <w:sz w:val="24"/>
          <w:szCs w:val="24"/>
        </w:rPr>
        <w:t>venetoclax</w:t>
      </w:r>
      <w:proofErr w:type="spellEnd"/>
      <w:r w:rsidRPr="00FA3F9C">
        <w:rPr>
          <w:rFonts w:ascii="Arial" w:hAnsi="Arial" w:cs="Arial"/>
          <w:sz w:val="24"/>
          <w:szCs w:val="24"/>
        </w:rPr>
        <w:t xml:space="preserve"> vs </w:t>
      </w:r>
      <w:proofErr w:type="spellStart"/>
      <w:r w:rsidRPr="00FA3F9C">
        <w:rPr>
          <w:rFonts w:ascii="Arial" w:hAnsi="Arial" w:cs="Arial"/>
          <w:sz w:val="24"/>
          <w:szCs w:val="24"/>
        </w:rPr>
        <w:t>azacitidine</w:t>
      </w:r>
      <w:proofErr w:type="spellEnd"/>
      <w:r w:rsidRPr="00FA3F9C">
        <w:rPr>
          <w:rFonts w:ascii="Arial" w:hAnsi="Arial" w:cs="Arial"/>
          <w:sz w:val="24"/>
          <w:szCs w:val="24"/>
        </w:rPr>
        <w:t>/placebo indicates an improvement in overall survival (</w:t>
      </w:r>
      <w:hyperlink r:id="rId420" w:history="1">
        <w:r w:rsidRPr="00FA3F9C">
          <w:rPr>
            <w:rStyle w:val="Hyperlink"/>
            <w:rFonts w:ascii="Arial" w:hAnsi="Arial" w:cs="Arial"/>
            <w:sz w:val="24"/>
            <w:szCs w:val="24"/>
          </w:rPr>
          <w:t>https://news.abbvie.com/news/press-releases/abbvie-announces-positive-topline-results-from-phase-3-trial-venclexta-venetoclax-in-combination-with-azacitidine-in-patients-with-acute-myeloid-leukemia-aml.htm?view_id=3438</w:t>
        </w:r>
      </w:hyperlink>
      <w:r w:rsidRPr="00FA3F9C">
        <w:rPr>
          <w:rFonts w:ascii="Arial" w:hAnsi="Arial" w:cs="Arial"/>
          <w:sz w:val="24"/>
          <w:szCs w:val="24"/>
        </w:rPr>
        <w:t xml:space="preserve">). </w:t>
      </w:r>
    </w:p>
    <w:p w14:paraId="27E77F21" w14:textId="77777777" w:rsidR="005C142D" w:rsidRPr="00FA3F9C" w:rsidRDefault="005C142D" w:rsidP="00FC1E85">
      <w:pPr>
        <w:pStyle w:val="ListParagraph"/>
        <w:numPr>
          <w:ilvl w:val="2"/>
          <w:numId w:val="379"/>
        </w:numPr>
        <w:rPr>
          <w:rFonts w:ascii="Arial" w:hAnsi="Arial" w:cs="Arial"/>
          <w:b/>
          <w:i/>
          <w:sz w:val="24"/>
          <w:szCs w:val="24"/>
        </w:rPr>
      </w:pPr>
      <w:r w:rsidRPr="00FA3F9C">
        <w:rPr>
          <w:rFonts w:ascii="Arial" w:hAnsi="Arial" w:cs="Arial"/>
          <w:sz w:val="24"/>
          <w:szCs w:val="24"/>
        </w:rPr>
        <w:t xml:space="preserve">Full study published: DiNardo CD et al. </w:t>
      </w:r>
      <w:proofErr w:type="spellStart"/>
      <w:r w:rsidRPr="00FA3F9C">
        <w:rPr>
          <w:rFonts w:ascii="Arial" w:hAnsi="Arial" w:cs="Arial"/>
          <w:sz w:val="24"/>
          <w:szCs w:val="24"/>
        </w:rPr>
        <w:t>Azacitidine</w:t>
      </w:r>
      <w:proofErr w:type="spellEnd"/>
      <w:r w:rsidRPr="00FA3F9C">
        <w:rPr>
          <w:rFonts w:ascii="Arial" w:hAnsi="Arial" w:cs="Arial"/>
          <w:sz w:val="24"/>
          <w:szCs w:val="24"/>
        </w:rPr>
        <w:t xml:space="preserve"> and </w:t>
      </w:r>
      <w:proofErr w:type="spellStart"/>
      <w:r w:rsidRPr="00FA3F9C">
        <w:rPr>
          <w:rFonts w:ascii="Arial" w:hAnsi="Arial" w:cs="Arial"/>
          <w:sz w:val="24"/>
          <w:szCs w:val="24"/>
        </w:rPr>
        <w:t>Venetoclax</w:t>
      </w:r>
      <w:proofErr w:type="spellEnd"/>
      <w:r w:rsidRPr="00FA3F9C">
        <w:rPr>
          <w:rFonts w:ascii="Arial" w:hAnsi="Arial" w:cs="Arial"/>
          <w:sz w:val="24"/>
          <w:szCs w:val="24"/>
        </w:rPr>
        <w:t xml:space="preserve"> in Previously Untreated Acute Myeloid Leukemia. N </w:t>
      </w:r>
      <w:proofErr w:type="spellStart"/>
      <w:r w:rsidRPr="00FA3F9C">
        <w:rPr>
          <w:rFonts w:ascii="Arial" w:hAnsi="Arial" w:cs="Arial"/>
          <w:sz w:val="24"/>
          <w:szCs w:val="24"/>
        </w:rPr>
        <w:t>Engl</w:t>
      </w:r>
      <w:proofErr w:type="spellEnd"/>
      <w:r w:rsidRPr="00FA3F9C">
        <w:rPr>
          <w:rFonts w:ascii="Arial" w:hAnsi="Arial" w:cs="Arial"/>
          <w:sz w:val="24"/>
          <w:szCs w:val="24"/>
        </w:rPr>
        <w:t xml:space="preserve"> J Med. 2020 Aug 13;383(7):617-629. </w:t>
      </w:r>
      <w:proofErr w:type="spellStart"/>
      <w:r w:rsidRPr="00FA3F9C">
        <w:rPr>
          <w:rFonts w:ascii="Arial" w:hAnsi="Arial" w:cs="Arial"/>
          <w:sz w:val="24"/>
          <w:szCs w:val="24"/>
        </w:rPr>
        <w:t>doi</w:t>
      </w:r>
      <w:proofErr w:type="spellEnd"/>
      <w:r w:rsidRPr="00FA3F9C">
        <w:rPr>
          <w:rFonts w:ascii="Arial" w:hAnsi="Arial" w:cs="Arial"/>
          <w:sz w:val="24"/>
          <w:szCs w:val="24"/>
        </w:rPr>
        <w:t>: 10.1056/NEJMoa2012971. PMID: 32786187.</w:t>
      </w:r>
    </w:p>
    <w:p w14:paraId="7704EE86" w14:textId="77777777" w:rsidR="005C142D" w:rsidRPr="00FA3F9C" w:rsidRDefault="005C142D" w:rsidP="00B500AD">
      <w:pPr>
        <w:rPr>
          <w:rFonts w:ascii="Arial" w:hAnsi="Arial" w:cs="Arial"/>
          <w:sz w:val="24"/>
          <w:szCs w:val="24"/>
        </w:rPr>
      </w:pPr>
    </w:p>
    <w:tbl>
      <w:tblPr>
        <w:tblStyle w:val="TableGrid"/>
        <w:tblW w:w="0" w:type="auto"/>
        <w:tblLook w:val="04A0" w:firstRow="1" w:lastRow="0" w:firstColumn="1" w:lastColumn="0" w:noHBand="0" w:noVBand="1"/>
      </w:tblPr>
      <w:tblGrid>
        <w:gridCol w:w="9350"/>
      </w:tblGrid>
      <w:tr w:rsidR="005C142D" w:rsidRPr="00FA3F9C" w14:paraId="0818EDEB" w14:textId="77777777" w:rsidTr="00E60490">
        <w:tc>
          <w:tcPr>
            <w:tcW w:w="9350" w:type="dxa"/>
            <w:shd w:val="clear" w:color="auto" w:fill="000000" w:themeFill="text1"/>
          </w:tcPr>
          <w:p w14:paraId="133F8D35" w14:textId="77777777" w:rsidR="005C142D" w:rsidRPr="00FA3F9C" w:rsidRDefault="005C142D" w:rsidP="000E79CF">
            <w:pPr>
              <w:rPr>
                <w:rFonts w:ascii="Arial" w:hAnsi="Arial" w:cs="Arial"/>
                <w:sz w:val="24"/>
                <w:szCs w:val="24"/>
              </w:rPr>
            </w:pPr>
            <w:r w:rsidRPr="00FA3F9C">
              <w:rPr>
                <w:rFonts w:ascii="Arial" w:hAnsi="Arial" w:cs="Arial"/>
                <w:sz w:val="24"/>
                <w:szCs w:val="24"/>
              </w:rPr>
              <w:t>Chronic lymphocytic leukemia (CLL) and Small lymphocytic leukemia (SLL)</w:t>
            </w:r>
          </w:p>
        </w:tc>
      </w:tr>
      <w:tr w:rsidR="005C142D" w:rsidRPr="00FA3F9C" w14:paraId="2DFC0C15" w14:textId="77777777" w:rsidTr="00E60490">
        <w:tc>
          <w:tcPr>
            <w:tcW w:w="9350" w:type="dxa"/>
          </w:tcPr>
          <w:p w14:paraId="3F6C04AC" w14:textId="77777777" w:rsidR="005C142D" w:rsidRPr="00FA3F9C" w:rsidRDefault="005C142D" w:rsidP="005C142D">
            <w:pPr>
              <w:pStyle w:val="ListParagraph"/>
              <w:numPr>
                <w:ilvl w:val="0"/>
                <w:numId w:val="6"/>
              </w:numPr>
              <w:rPr>
                <w:rFonts w:ascii="Arial" w:hAnsi="Arial" w:cs="Arial"/>
                <w:sz w:val="24"/>
                <w:szCs w:val="24"/>
              </w:rPr>
            </w:pPr>
            <w:r w:rsidRPr="00FA3F9C">
              <w:rPr>
                <w:rFonts w:ascii="Arial" w:hAnsi="Arial" w:cs="Arial"/>
                <w:sz w:val="24"/>
                <w:szCs w:val="24"/>
              </w:rPr>
              <w:t>Diagnosis of relapsed or refractory CLL or SLL</w:t>
            </w:r>
          </w:p>
        </w:tc>
      </w:tr>
      <w:tr w:rsidR="005C142D" w:rsidRPr="00FA3F9C" w14:paraId="726D4911" w14:textId="77777777" w:rsidTr="00E60490">
        <w:tc>
          <w:tcPr>
            <w:tcW w:w="9350" w:type="dxa"/>
          </w:tcPr>
          <w:p w14:paraId="3968540D" w14:textId="77777777" w:rsidR="005C142D" w:rsidRPr="00FA3F9C" w:rsidRDefault="005C142D" w:rsidP="005C142D">
            <w:pPr>
              <w:pStyle w:val="ListParagraph"/>
              <w:numPr>
                <w:ilvl w:val="0"/>
                <w:numId w:val="6"/>
              </w:numPr>
              <w:rPr>
                <w:rFonts w:ascii="Arial" w:hAnsi="Arial" w:cs="Arial"/>
                <w:sz w:val="24"/>
                <w:szCs w:val="24"/>
              </w:rPr>
            </w:pPr>
            <w:r w:rsidRPr="00FA3F9C">
              <w:rPr>
                <w:rFonts w:ascii="Arial" w:hAnsi="Arial" w:cs="Arial"/>
                <w:sz w:val="24"/>
                <w:szCs w:val="24"/>
              </w:rPr>
              <w:t>Must have received ≥ 1 prior therapy</w:t>
            </w:r>
          </w:p>
        </w:tc>
      </w:tr>
      <w:tr w:rsidR="005C142D" w:rsidRPr="00FA3F9C" w14:paraId="3A11C105" w14:textId="77777777" w:rsidTr="00E60490">
        <w:tc>
          <w:tcPr>
            <w:tcW w:w="9350" w:type="dxa"/>
          </w:tcPr>
          <w:p w14:paraId="659902EA" w14:textId="77777777" w:rsidR="005C142D" w:rsidRPr="00FA3F9C" w:rsidRDefault="005C142D" w:rsidP="005C142D">
            <w:pPr>
              <w:pStyle w:val="ListParagraph"/>
              <w:numPr>
                <w:ilvl w:val="0"/>
                <w:numId w:val="6"/>
              </w:numPr>
              <w:rPr>
                <w:rFonts w:ascii="Arial" w:hAnsi="Arial" w:cs="Arial"/>
                <w:sz w:val="24"/>
                <w:szCs w:val="24"/>
              </w:rPr>
            </w:pPr>
            <w:r w:rsidRPr="00FA3F9C">
              <w:rPr>
                <w:rFonts w:ascii="Arial" w:hAnsi="Arial" w:cs="Arial"/>
                <w:sz w:val="24"/>
                <w:szCs w:val="24"/>
              </w:rPr>
              <w:t>Performance status (ECOG) 0-1 at initial request</w:t>
            </w:r>
          </w:p>
        </w:tc>
      </w:tr>
      <w:tr w:rsidR="005C142D" w:rsidRPr="00FA3F9C" w14:paraId="26B5B725" w14:textId="77777777" w:rsidTr="00E60490">
        <w:tc>
          <w:tcPr>
            <w:tcW w:w="9350" w:type="dxa"/>
          </w:tcPr>
          <w:p w14:paraId="5626B9E0" w14:textId="77777777" w:rsidR="005C142D" w:rsidRPr="00FA3F9C" w:rsidRDefault="005C142D" w:rsidP="005C142D">
            <w:pPr>
              <w:pStyle w:val="ListParagraph"/>
              <w:numPr>
                <w:ilvl w:val="0"/>
                <w:numId w:val="6"/>
              </w:numPr>
              <w:rPr>
                <w:rFonts w:ascii="Arial" w:hAnsi="Arial" w:cs="Arial"/>
                <w:sz w:val="24"/>
                <w:szCs w:val="24"/>
              </w:rPr>
            </w:pPr>
            <w:r w:rsidRPr="00FA3F9C">
              <w:rPr>
                <w:rFonts w:ascii="Arial" w:hAnsi="Arial" w:cs="Arial"/>
                <w:sz w:val="24"/>
                <w:szCs w:val="24"/>
              </w:rPr>
              <w:t xml:space="preserve">Must plan to give rituximab concurrently after </w:t>
            </w:r>
            <w:proofErr w:type="spellStart"/>
            <w:r w:rsidRPr="00FA3F9C">
              <w:rPr>
                <w:rFonts w:ascii="Arial" w:hAnsi="Arial" w:cs="Arial"/>
                <w:sz w:val="24"/>
                <w:szCs w:val="24"/>
              </w:rPr>
              <w:t>venetoclax</w:t>
            </w:r>
            <w:proofErr w:type="spellEnd"/>
            <w:r w:rsidRPr="00FA3F9C">
              <w:rPr>
                <w:rFonts w:ascii="Arial" w:hAnsi="Arial" w:cs="Arial"/>
                <w:sz w:val="24"/>
                <w:szCs w:val="24"/>
              </w:rPr>
              <w:t xml:space="preserve"> ramp up period </w:t>
            </w:r>
          </w:p>
        </w:tc>
      </w:tr>
      <w:tr w:rsidR="005C142D" w:rsidRPr="00FA3F9C" w14:paraId="3DEB859A" w14:textId="77777777" w:rsidTr="00E60490">
        <w:tc>
          <w:tcPr>
            <w:tcW w:w="9350" w:type="dxa"/>
          </w:tcPr>
          <w:p w14:paraId="243FC815" w14:textId="77777777" w:rsidR="005C142D" w:rsidRPr="00FA3F9C" w:rsidRDefault="005C142D" w:rsidP="001E1CAC">
            <w:pPr>
              <w:rPr>
                <w:rFonts w:ascii="Arial" w:hAnsi="Arial" w:cs="Arial"/>
                <w:b/>
                <w:sz w:val="24"/>
                <w:szCs w:val="24"/>
              </w:rPr>
            </w:pPr>
            <w:r w:rsidRPr="00FA3F9C">
              <w:rPr>
                <w:rFonts w:ascii="Arial" w:hAnsi="Arial" w:cs="Arial"/>
                <w:b/>
                <w:sz w:val="24"/>
                <w:szCs w:val="24"/>
              </w:rPr>
              <w:t>If all of the above criteria are met, approve for 12 months; QL 120/30. May approve ONE renewal request if there is no evidence of disease progression. The maximum duration of therapy is two years from the first dose of rituximab.</w:t>
            </w:r>
          </w:p>
        </w:tc>
      </w:tr>
      <w:tr w:rsidR="005C142D" w:rsidRPr="00FA3F9C" w14:paraId="04B3AB84" w14:textId="77777777" w:rsidTr="00EB50ED">
        <w:tc>
          <w:tcPr>
            <w:tcW w:w="9350" w:type="dxa"/>
            <w:shd w:val="clear" w:color="auto" w:fill="D9D9D9" w:themeFill="background1" w:themeFillShade="D9"/>
          </w:tcPr>
          <w:p w14:paraId="0F7132B9" w14:textId="77777777" w:rsidR="005C142D" w:rsidRPr="00FA3F9C" w:rsidRDefault="005C142D" w:rsidP="000E79CF">
            <w:pPr>
              <w:rPr>
                <w:rFonts w:ascii="Arial" w:eastAsia="MS Gothic" w:hAnsi="Arial" w:cs="Arial"/>
                <w:color w:val="000000"/>
                <w:sz w:val="24"/>
                <w:szCs w:val="24"/>
              </w:rPr>
            </w:pPr>
            <w:r w:rsidRPr="00FA3F9C">
              <w:rPr>
                <w:rFonts w:ascii="Arial" w:hAnsi="Arial" w:cs="Arial"/>
                <w:sz w:val="24"/>
                <w:szCs w:val="24"/>
              </w:rPr>
              <w:t>Additional Notes</w:t>
            </w:r>
          </w:p>
        </w:tc>
      </w:tr>
      <w:tr w:rsidR="005C142D" w:rsidRPr="00FA3F9C" w14:paraId="351D0CE2" w14:textId="77777777" w:rsidTr="00E60490">
        <w:tc>
          <w:tcPr>
            <w:tcW w:w="9350" w:type="dxa"/>
          </w:tcPr>
          <w:p w14:paraId="7BC7A54A" w14:textId="77777777" w:rsidR="005C142D" w:rsidRPr="00FA3F9C" w:rsidRDefault="005C142D" w:rsidP="009E58BD">
            <w:pPr>
              <w:rPr>
                <w:rFonts w:ascii="Arial" w:hAnsi="Arial" w:cs="Arial"/>
                <w:sz w:val="24"/>
                <w:szCs w:val="24"/>
              </w:rPr>
            </w:pPr>
            <w:r w:rsidRPr="00FA3F9C">
              <w:rPr>
                <w:rFonts w:ascii="Arial" w:hAnsi="Arial" w:cs="Arial"/>
                <w:sz w:val="24"/>
                <w:szCs w:val="24"/>
              </w:rPr>
              <w:t xml:space="preserve">Per FDA labeling, use </w:t>
            </w:r>
            <w:proofErr w:type="spellStart"/>
            <w:r w:rsidRPr="00FA3F9C">
              <w:rPr>
                <w:rFonts w:ascii="Arial" w:hAnsi="Arial" w:cs="Arial"/>
                <w:sz w:val="24"/>
                <w:szCs w:val="24"/>
              </w:rPr>
              <w:t>venetoclax</w:t>
            </w:r>
            <w:proofErr w:type="spellEnd"/>
            <w:r w:rsidRPr="00FA3F9C">
              <w:rPr>
                <w:rFonts w:ascii="Arial" w:hAnsi="Arial" w:cs="Arial"/>
                <w:sz w:val="24"/>
                <w:szCs w:val="24"/>
              </w:rPr>
              <w:t xml:space="preserve"> until disease progression or up to </w:t>
            </w:r>
            <w:r w:rsidRPr="00FA3F9C">
              <w:rPr>
                <w:rFonts w:ascii="Arial" w:hAnsi="Arial" w:cs="Arial"/>
                <w:b/>
                <w:sz w:val="24"/>
                <w:szCs w:val="24"/>
              </w:rPr>
              <w:t>24 months</w:t>
            </w:r>
            <w:r w:rsidRPr="00FA3F9C">
              <w:rPr>
                <w:rFonts w:ascii="Arial" w:hAnsi="Arial" w:cs="Arial"/>
                <w:sz w:val="24"/>
                <w:szCs w:val="24"/>
              </w:rPr>
              <w:t xml:space="preserve"> from day 1 cycle 1 of rituximab</w:t>
            </w:r>
          </w:p>
        </w:tc>
      </w:tr>
      <w:tr w:rsidR="005C142D" w:rsidRPr="00FA3F9C" w14:paraId="13269F1D" w14:textId="77777777" w:rsidTr="0033770B">
        <w:trPr>
          <w:trHeight w:val="2681"/>
        </w:trPr>
        <w:tc>
          <w:tcPr>
            <w:tcW w:w="9350" w:type="dxa"/>
          </w:tcPr>
          <w:p w14:paraId="3683FD77" w14:textId="77777777" w:rsidR="005C142D" w:rsidRPr="00FA3F9C" w:rsidRDefault="005C142D" w:rsidP="006E4CCD">
            <w:pPr>
              <w:rPr>
                <w:rFonts w:ascii="Arial" w:hAnsi="Arial" w:cs="Arial"/>
                <w:b/>
                <w:color w:val="000000"/>
                <w:sz w:val="24"/>
                <w:szCs w:val="24"/>
                <w:u w:val="single"/>
              </w:rPr>
            </w:pPr>
            <w:r w:rsidRPr="00FA3F9C">
              <w:rPr>
                <w:rFonts w:ascii="Arial" w:hAnsi="Arial" w:cs="Arial"/>
                <w:b/>
                <w:color w:val="000000"/>
                <w:sz w:val="24"/>
                <w:szCs w:val="24"/>
                <w:u w:val="single"/>
              </w:rPr>
              <w:t>Evidence:</w:t>
            </w:r>
          </w:p>
          <w:p w14:paraId="009F7D06" w14:textId="77777777" w:rsidR="005C142D" w:rsidRPr="00FA3F9C" w:rsidRDefault="005C142D" w:rsidP="006E4CCD">
            <w:pPr>
              <w:rPr>
                <w:rFonts w:ascii="Arial" w:hAnsi="Arial" w:cs="Arial"/>
                <w:b/>
                <w:color w:val="000000"/>
                <w:sz w:val="24"/>
                <w:szCs w:val="24"/>
                <w:u w:val="single"/>
              </w:rPr>
            </w:pPr>
            <w:proofErr w:type="spellStart"/>
            <w:r w:rsidRPr="00FA3F9C">
              <w:rPr>
                <w:rFonts w:ascii="Arial" w:hAnsi="Arial" w:cs="Arial"/>
                <w:color w:val="000000"/>
                <w:sz w:val="24"/>
                <w:szCs w:val="24"/>
              </w:rPr>
              <w:t>Venetoclax</w:t>
            </w:r>
            <w:proofErr w:type="spellEnd"/>
            <w:r w:rsidRPr="00FA3F9C">
              <w:rPr>
                <w:rFonts w:ascii="Arial" w:hAnsi="Arial" w:cs="Arial"/>
                <w:color w:val="000000"/>
                <w:sz w:val="24"/>
                <w:szCs w:val="24"/>
              </w:rPr>
              <w:t xml:space="preserve"> + rituximab (VR) was compared to </w:t>
            </w:r>
            <w:proofErr w:type="spellStart"/>
            <w:r w:rsidRPr="00FA3F9C">
              <w:rPr>
                <w:rFonts w:ascii="Arial" w:hAnsi="Arial" w:cs="Arial"/>
                <w:color w:val="000000"/>
                <w:sz w:val="24"/>
                <w:szCs w:val="24"/>
              </w:rPr>
              <w:t>bendamustine+rituximab</w:t>
            </w:r>
            <w:proofErr w:type="spellEnd"/>
            <w:r w:rsidRPr="00FA3F9C">
              <w:rPr>
                <w:rFonts w:ascii="Arial" w:hAnsi="Arial" w:cs="Arial"/>
                <w:color w:val="000000"/>
                <w:sz w:val="24"/>
                <w:szCs w:val="24"/>
              </w:rPr>
              <w:t xml:space="preserve"> (BR) in patients with relapsed or refractory CLL who had received 1-3 prior therapies. Overall survival was improved in the </w:t>
            </w:r>
            <w:proofErr w:type="spellStart"/>
            <w:r w:rsidRPr="00FA3F9C">
              <w:rPr>
                <w:rFonts w:ascii="Arial" w:hAnsi="Arial" w:cs="Arial"/>
                <w:color w:val="000000"/>
                <w:sz w:val="24"/>
                <w:szCs w:val="24"/>
              </w:rPr>
              <w:t>venetoclax+rituximab</w:t>
            </w:r>
            <w:proofErr w:type="spellEnd"/>
            <w:r w:rsidRPr="00FA3F9C">
              <w:rPr>
                <w:rFonts w:ascii="Arial" w:hAnsi="Arial" w:cs="Arial"/>
                <w:color w:val="000000"/>
                <w:sz w:val="24"/>
                <w:szCs w:val="24"/>
              </w:rPr>
              <w:t xml:space="preserve"> group (HR 0.5 95% CI 0.30-0.85). At 3 years, the rate of overall survival was 87.9% versus 79.5% (VR vs BR). Event-free survival (no disease progression, death, or initiation of new treatment for CLL) was 85% vs 35%. Grade 3/4 toxicity was slightly higher in VR group (82% vs 70%) and was driven mostly by a higher rate of neutropenia. However, rates of infection and febrile neutropenia were lower in VR group. </w:t>
            </w:r>
          </w:p>
          <w:p w14:paraId="018C0AE7" w14:textId="77777777" w:rsidR="005C142D" w:rsidRPr="00FA3F9C" w:rsidRDefault="005C142D" w:rsidP="006E4CCD">
            <w:pPr>
              <w:rPr>
                <w:rFonts w:ascii="Arial" w:hAnsi="Arial" w:cs="Arial"/>
                <w:b/>
                <w:color w:val="000000"/>
                <w:sz w:val="24"/>
                <w:szCs w:val="24"/>
                <w:u w:val="single"/>
              </w:rPr>
            </w:pPr>
          </w:p>
          <w:p w14:paraId="748AEA7A" w14:textId="77777777" w:rsidR="005C142D" w:rsidRPr="00FA3F9C" w:rsidRDefault="005C142D" w:rsidP="009E58BD">
            <w:pPr>
              <w:rPr>
                <w:rFonts w:ascii="Arial" w:hAnsi="Arial" w:cs="Arial"/>
                <w:b/>
                <w:color w:val="000000"/>
                <w:sz w:val="24"/>
                <w:szCs w:val="24"/>
                <w:u w:val="single"/>
              </w:rPr>
            </w:pPr>
            <w:r w:rsidRPr="00FA3F9C">
              <w:rPr>
                <w:rFonts w:ascii="Arial" w:hAnsi="Arial" w:cs="Arial"/>
                <w:b/>
                <w:color w:val="000000"/>
                <w:sz w:val="24"/>
                <w:szCs w:val="24"/>
                <w:u w:val="single"/>
              </w:rPr>
              <w:t xml:space="preserve">Other: </w:t>
            </w:r>
          </w:p>
          <w:p w14:paraId="10523641" w14:textId="77777777" w:rsidR="005C142D" w:rsidRPr="00FA3F9C" w:rsidRDefault="005C142D" w:rsidP="00FC1E85">
            <w:pPr>
              <w:pStyle w:val="ListParagraph"/>
              <w:numPr>
                <w:ilvl w:val="0"/>
                <w:numId w:val="501"/>
              </w:numPr>
              <w:ind w:left="245" w:hanging="245"/>
              <w:rPr>
                <w:rFonts w:ascii="Arial" w:hAnsi="Arial" w:cs="Arial"/>
                <w:b/>
                <w:color w:val="000000"/>
                <w:sz w:val="24"/>
                <w:szCs w:val="24"/>
                <w:u w:val="single"/>
                <w:shd w:val="clear" w:color="auto" w:fill="F2F2F2"/>
              </w:rPr>
            </w:pPr>
            <w:r w:rsidRPr="00FA3F9C">
              <w:rPr>
                <w:rFonts w:ascii="Arial" w:hAnsi="Arial" w:cs="Arial"/>
                <w:color w:val="000000"/>
                <w:sz w:val="24"/>
                <w:szCs w:val="24"/>
              </w:rPr>
              <w:lastRenderedPageBreak/>
              <w:t xml:space="preserve">If high risk for tumor lysis syndrome, </w:t>
            </w:r>
            <w:proofErr w:type="spellStart"/>
            <w:r w:rsidRPr="00FA3F9C">
              <w:rPr>
                <w:rFonts w:ascii="Arial" w:hAnsi="Arial" w:cs="Arial"/>
                <w:color w:val="000000"/>
                <w:sz w:val="24"/>
                <w:szCs w:val="24"/>
              </w:rPr>
              <w:t>venetoclax</w:t>
            </w:r>
            <w:proofErr w:type="spellEnd"/>
            <w:r w:rsidRPr="00FA3F9C">
              <w:rPr>
                <w:rFonts w:ascii="Arial" w:hAnsi="Arial" w:cs="Arial"/>
                <w:color w:val="000000"/>
                <w:sz w:val="24"/>
                <w:szCs w:val="24"/>
              </w:rPr>
              <w:t xml:space="preserve"> will be initiated INPATIENT so patient can be closely monitored and given IV hydration</w:t>
            </w:r>
          </w:p>
          <w:p w14:paraId="3CF8245F" w14:textId="77777777" w:rsidR="005C142D" w:rsidRPr="00FA3F9C" w:rsidRDefault="005C142D" w:rsidP="00FC1E85">
            <w:pPr>
              <w:pStyle w:val="ListParagraph"/>
              <w:numPr>
                <w:ilvl w:val="0"/>
                <w:numId w:val="501"/>
              </w:numPr>
              <w:ind w:left="245" w:hanging="245"/>
              <w:rPr>
                <w:rFonts w:ascii="Arial" w:hAnsi="Arial" w:cs="Arial"/>
                <w:b/>
                <w:color w:val="000000"/>
                <w:sz w:val="24"/>
                <w:szCs w:val="24"/>
                <w:u w:val="single"/>
                <w:shd w:val="clear" w:color="auto" w:fill="F2F2F2"/>
              </w:rPr>
            </w:pPr>
            <w:r w:rsidRPr="00FA3F9C">
              <w:rPr>
                <w:rFonts w:ascii="Arial" w:hAnsi="Arial" w:cs="Arial"/>
                <w:color w:val="000000"/>
                <w:sz w:val="24"/>
                <w:szCs w:val="24"/>
              </w:rPr>
              <w:t>Concomitant use of strong CYP3A4 inhibitors during initiation and start-up phase is contraindicated</w:t>
            </w:r>
          </w:p>
          <w:p w14:paraId="1698124D" w14:textId="77777777" w:rsidR="005C142D" w:rsidRPr="00FA3F9C" w:rsidRDefault="005C142D" w:rsidP="00FC1E85">
            <w:pPr>
              <w:pStyle w:val="ListParagraph"/>
              <w:numPr>
                <w:ilvl w:val="1"/>
                <w:numId w:val="501"/>
              </w:numPr>
              <w:ind w:left="605" w:hanging="245"/>
              <w:rPr>
                <w:rFonts w:ascii="Arial" w:hAnsi="Arial" w:cs="Arial"/>
                <w:sz w:val="24"/>
                <w:szCs w:val="24"/>
              </w:rPr>
            </w:pPr>
            <w:r w:rsidRPr="00FA3F9C">
              <w:rPr>
                <w:rFonts w:ascii="Arial" w:hAnsi="Arial" w:cs="Arial"/>
                <w:color w:val="000000"/>
                <w:sz w:val="24"/>
                <w:szCs w:val="24"/>
              </w:rPr>
              <w:t xml:space="preserve">If a </w:t>
            </w:r>
            <w:r w:rsidRPr="00FA3F9C">
              <w:rPr>
                <w:rFonts w:ascii="Arial" w:hAnsi="Arial" w:cs="Arial"/>
                <w:color w:val="000000"/>
                <w:sz w:val="24"/>
                <w:szCs w:val="24"/>
                <w:u w:val="single"/>
              </w:rPr>
              <w:t>strong</w:t>
            </w:r>
            <w:r w:rsidRPr="00FA3F9C">
              <w:rPr>
                <w:rFonts w:ascii="Arial" w:hAnsi="Arial" w:cs="Arial"/>
                <w:color w:val="000000"/>
                <w:sz w:val="24"/>
                <w:szCs w:val="24"/>
              </w:rPr>
              <w:t xml:space="preserve"> 3A4 inhibitor needs to be start during the steady daily dosing phase, the dose of </w:t>
            </w:r>
            <w:proofErr w:type="spellStart"/>
            <w:r w:rsidRPr="00FA3F9C">
              <w:rPr>
                <w:rFonts w:ascii="Arial" w:hAnsi="Arial" w:cs="Arial"/>
                <w:color w:val="000000"/>
                <w:sz w:val="24"/>
                <w:szCs w:val="24"/>
              </w:rPr>
              <w:t>venetoclax</w:t>
            </w:r>
            <w:proofErr w:type="spellEnd"/>
            <w:r w:rsidRPr="00FA3F9C">
              <w:rPr>
                <w:rFonts w:ascii="Arial" w:hAnsi="Arial" w:cs="Arial"/>
                <w:color w:val="000000"/>
                <w:sz w:val="24"/>
                <w:szCs w:val="24"/>
              </w:rPr>
              <w:t xml:space="preserve"> should be reduced by at least 75%</w:t>
            </w:r>
          </w:p>
          <w:p w14:paraId="6302D9E1" w14:textId="77777777" w:rsidR="005C142D" w:rsidRPr="00FA3F9C" w:rsidRDefault="005C142D" w:rsidP="00FC1E85">
            <w:pPr>
              <w:pStyle w:val="ListParagraph"/>
              <w:numPr>
                <w:ilvl w:val="1"/>
                <w:numId w:val="501"/>
              </w:numPr>
              <w:ind w:left="605" w:hanging="245"/>
              <w:rPr>
                <w:rFonts w:ascii="Arial" w:hAnsi="Arial" w:cs="Arial"/>
                <w:sz w:val="24"/>
                <w:szCs w:val="24"/>
              </w:rPr>
            </w:pPr>
            <w:r w:rsidRPr="00FA3F9C">
              <w:rPr>
                <w:rFonts w:ascii="Arial" w:hAnsi="Arial" w:cs="Arial"/>
                <w:color w:val="000000"/>
                <w:sz w:val="24"/>
                <w:szCs w:val="24"/>
                <w:u w:val="single"/>
              </w:rPr>
              <w:t>Moderate</w:t>
            </w:r>
            <w:r w:rsidRPr="00FA3F9C">
              <w:rPr>
                <w:rFonts w:ascii="Arial" w:hAnsi="Arial" w:cs="Arial"/>
                <w:color w:val="000000"/>
                <w:sz w:val="24"/>
                <w:szCs w:val="24"/>
              </w:rPr>
              <w:t xml:space="preserve"> </w:t>
            </w:r>
            <w:r w:rsidRPr="00FA3F9C">
              <w:rPr>
                <w:rFonts w:ascii="Arial" w:hAnsi="Arial" w:cs="Arial"/>
                <w:sz w:val="24"/>
                <w:szCs w:val="24"/>
              </w:rPr>
              <w:sym w:font="Wingdings" w:char="F0E0"/>
            </w:r>
            <w:r w:rsidRPr="00FA3F9C">
              <w:rPr>
                <w:rFonts w:ascii="Arial" w:hAnsi="Arial" w:cs="Arial"/>
                <w:color w:val="000000"/>
                <w:sz w:val="24"/>
                <w:szCs w:val="24"/>
              </w:rPr>
              <w:t xml:space="preserve"> reduce </w:t>
            </w:r>
            <w:proofErr w:type="spellStart"/>
            <w:r w:rsidRPr="00FA3F9C">
              <w:rPr>
                <w:rFonts w:ascii="Arial" w:hAnsi="Arial" w:cs="Arial"/>
                <w:color w:val="000000"/>
                <w:sz w:val="24"/>
                <w:szCs w:val="24"/>
              </w:rPr>
              <w:t>venetoclax</w:t>
            </w:r>
            <w:proofErr w:type="spellEnd"/>
            <w:r w:rsidRPr="00FA3F9C">
              <w:rPr>
                <w:rFonts w:ascii="Arial" w:hAnsi="Arial" w:cs="Arial"/>
                <w:color w:val="000000"/>
                <w:sz w:val="24"/>
                <w:szCs w:val="24"/>
              </w:rPr>
              <w:t xml:space="preserve"> by at least 50%</w:t>
            </w:r>
          </w:p>
          <w:p w14:paraId="7F6D78A2" w14:textId="77777777" w:rsidR="005C142D" w:rsidRPr="00FA3F9C" w:rsidRDefault="005C142D" w:rsidP="009E58BD">
            <w:pPr>
              <w:rPr>
                <w:rFonts w:ascii="Arial" w:hAnsi="Arial" w:cs="Arial"/>
                <w:sz w:val="24"/>
                <w:szCs w:val="24"/>
              </w:rPr>
            </w:pPr>
            <w:r w:rsidRPr="00FA3F9C">
              <w:rPr>
                <w:rFonts w:ascii="Arial" w:hAnsi="Arial" w:cs="Arial"/>
                <w:b/>
                <w:color w:val="000000"/>
                <w:sz w:val="24"/>
                <w:szCs w:val="24"/>
                <w:u w:val="single"/>
              </w:rPr>
              <w:t>Dosing</w:t>
            </w:r>
            <w:r w:rsidRPr="00FA3F9C">
              <w:rPr>
                <w:rFonts w:ascii="Arial" w:hAnsi="Arial" w:cs="Arial"/>
                <w:color w:val="000000"/>
                <w:sz w:val="24"/>
                <w:szCs w:val="24"/>
              </w:rPr>
              <w:t>: PO</w:t>
            </w:r>
          </w:p>
          <w:p w14:paraId="25B9CE46" w14:textId="77777777" w:rsidR="005C142D" w:rsidRPr="00FA3F9C" w:rsidRDefault="005C142D" w:rsidP="00FC1E85">
            <w:pPr>
              <w:pStyle w:val="ListParagraph"/>
              <w:numPr>
                <w:ilvl w:val="0"/>
                <w:numId w:val="379"/>
              </w:numPr>
              <w:ind w:left="245" w:hanging="245"/>
              <w:rPr>
                <w:rFonts w:ascii="Arial" w:hAnsi="Arial" w:cs="Arial"/>
                <w:color w:val="000000"/>
                <w:sz w:val="24"/>
                <w:szCs w:val="24"/>
                <w:shd w:val="clear" w:color="auto" w:fill="F2F2F2"/>
              </w:rPr>
            </w:pPr>
            <w:r w:rsidRPr="00FA3F9C">
              <w:rPr>
                <w:rFonts w:ascii="Arial" w:hAnsi="Arial" w:cs="Arial"/>
                <w:color w:val="000000"/>
                <w:sz w:val="24"/>
                <w:szCs w:val="24"/>
              </w:rPr>
              <w:t>Week 1: 20mg QD</w:t>
            </w:r>
          </w:p>
          <w:p w14:paraId="642B0ACD" w14:textId="77777777" w:rsidR="005C142D" w:rsidRPr="00FA3F9C" w:rsidRDefault="005C142D" w:rsidP="00FC1E85">
            <w:pPr>
              <w:pStyle w:val="ListParagraph"/>
              <w:numPr>
                <w:ilvl w:val="0"/>
                <w:numId w:val="379"/>
              </w:numPr>
              <w:ind w:left="245" w:hanging="245"/>
              <w:rPr>
                <w:rFonts w:ascii="Arial" w:hAnsi="Arial" w:cs="Arial"/>
                <w:color w:val="000000"/>
                <w:sz w:val="24"/>
                <w:szCs w:val="24"/>
                <w:shd w:val="clear" w:color="auto" w:fill="F2F2F2"/>
              </w:rPr>
            </w:pPr>
            <w:r w:rsidRPr="00FA3F9C">
              <w:rPr>
                <w:rFonts w:ascii="Arial" w:hAnsi="Arial" w:cs="Arial"/>
                <w:color w:val="000000"/>
                <w:sz w:val="24"/>
                <w:szCs w:val="24"/>
              </w:rPr>
              <w:t>Week 2: 50mg QD</w:t>
            </w:r>
          </w:p>
          <w:p w14:paraId="624A3D3A" w14:textId="77777777" w:rsidR="005C142D" w:rsidRPr="00FA3F9C" w:rsidRDefault="005C142D" w:rsidP="00FC1E85">
            <w:pPr>
              <w:pStyle w:val="ListParagraph"/>
              <w:numPr>
                <w:ilvl w:val="0"/>
                <w:numId w:val="379"/>
              </w:numPr>
              <w:ind w:left="245" w:hanging="245"/>
              <w:rPr>
                <w:rFonts w:ascii="Arial" w:hAnsi="Arial" w:cs="Arial"/>
                <w:color w:val="000000"/>
                <w:sz w:val="24"/>
                <w:szCs w:val="24"/>
                <w:shd w:val="clear" w:color="auto" w:fill="F2F2F2"/>
              </w:rPr>
            </w:pPr>
            <w:r w:rsidRPr="00FA3F9C">
              <w:rPr>
                <w:rFonts w:ascii="Arial" w:hAnsi="Arial" w:cs="Arial"/>
                <w:color w:val="000000"/>
                <w:sz w:val="24"/>
                <w:szCs w:val="24"/>
              </w:rPr>
              <w:t>Week 3: 100mg QD</w:t>
            </w:r>
          </w:p>
          <w:p w14:paraId="551BC358" w14:textId="77777777" w:rsidR="005C142D" w:rsidRPr="00FA3F9C" w:rsidRDefault="005C142D" w:rsidP="00FC1E85">
            <w:pPr>
              <w:pStyle w:val="ListParagraph"/>
              <w:numPr>
                <w:ilvl w:val="0"/>
                <w:numId w:val="379"/>
              </w:numPr>
              <w:ind w:left="245" w:hanging="245"/>
              <w:rPr>
                <w:rFonts w:ascii="Arial" w:hAnsi="Arial" w:cs="Arial"/>
                <w:color w:val="000000"/>
                <w:sz w:val="24"/>
                <w:szCs w:val="24"/>
                <w:shd w:val="clear" w:color="auto" w:fill="F2F2F2"/>
              </w:rPr>
            </w:pPr>
            <w:r w:rsidRPr="00FA3F9C">
              <w:rPr>
                <w:rFonts w:ascii="Arial" w:hAnsi="Arial" w:cs="Arial"/>
                <w:color w:val="000000"/>
                <w:sz w:val="24"/>
                <w:szCs w:val="24"/>
              </w:rPr>
              <w:t>Week 4: 200mg QD</w:t>
            </w:r>
          </w:p>
          <w:p w14:paraId="2521E8AD" w14:textId="77777777" w:rsidR="005C142D" w:rsidRPr="00FA3F9C" w:rsidRDefault="005C142D" w:rsidP="00FC1E85">
            <w:pPr>
              <w:pStyle w:val="ListParagraph"/>
              <w:numPr>
                <w:ilvl w:val="0"/>
                <w:numId w:val="379"/>
              </w:numPr>
              <w:ind w:left="245" w:hanging="245"/>
              <w:rPr>
                <w:rFonts w:ascii="Arial" w:hAnsi="Arial" w:cs="Arial"/>
                <w:color w:val="000000"/>
                <w:sz w:val="24"/>
                <w:szCs w:val="24"/>
                <w:shd w:val="clear" w:color="auto" w:fill="F2F2F2"/>
              </w:rPr>
            </w:pPr>
            <w:r w:rsidRPr="00FA3F9C">
              <w:rPr>
                <w:rFonts w:ascii="Arial" w:hAnsi="Arial" w:cs="Arial"/>
                <w:color w:val="000000"/>
                <w:sz w:val="24"/>
                <w:szCs w:val="24"/>
              </w:rPr>
              <w:t>Week 5 and thereafter: 400mg QD</w:t>
            </w:r>
          </w:p>
          <w:p w14:paraId="20E8094B" w14:textId="77777777" w:rsidR="005C142D" w:rsidRPr="00FA3F9C" w:rsidRDefault="005C142D" w:rsidP="00FC1E85">
            <w:pPr>
              <w:pStyle w:val="ListParagraph"/>
              <w:numPr>
                <w:ilvl w:val="0"/>
                <w:numId w:val="379"/>
              </w:numPr>
              <w:ind w:left="245" w:hanging="245"/>
              <w:rPr>
                <w:rFonts w:ascii="Arial" w:hAnsi="Arial" w:cs="Arial"/>
                <w:color w:val="000000"/>
                <w:sz w:val="24"/>
                <w:szCs w:val="24"/>
                <w:shd w:val="clear" w:color="auto" w:fill="F2F2F2"/>
              </w:rPr>
            </w:pPr>
            <w:r w:rsidRPr="00FA3F9C">
              <w:rPr>
                <w:rFonts w:ascii="Arial" w:hAnsi="Arial" w:cs="Arial"/>
                <w:color w:val="000000"/>
                <w:sz w:val="24"/>
                <w:szCs w:val="24"/>
              </w:rPr>
              <w:t xml:space="preserve">Continue until disease progression or unacceptable toxicity for up to 24 months from day 1 cycle 1 of rituximab; begin rituximab after receiving </w:t>
            </w:r>
            <w:proofErr w:type="spellStart"/>
            <w:r w:rsidRPr="00FA3F9C">
              <w:rPr>
                <w:rFonts w:ascii="Arial" w:hAnsi="Arial" w:cs="Arial"/>
                <w:color w:val="000000"/>
                <w:sz w:val="24"/>
                <w:szCs w:val="24"/>
              </w:rPr>
              <w:t>venetoclax</w:t>
            </w:r>
            <w:proofErr w:type="spellEnd"/>
            <w:r w:rsidRPr="00FA3F9C">
              <w:rPr>
                <w:rFonts w:ascii="Arial" w:hAnsi="Arial" w:cs="Arial"/>
                <w:color w:val="000000"/>
                <w:sz w:val="24"/>
                <w:szCs w:val="24"/>
              </w:rPr>
              <w:t xml:space="preserve"> at the 400mg QD dose for 7 days</w:t>
            </w:r>
          </w:p>
          <w:p w14:paraId="00B950ED" w14:textId="77777777" w:rsidR="005C142D" w:rsidRPr="00FA3F9C" w:rsidRDefault="005C142D" w:rsidP="00FC1E85">
            <w:pPr>
              <w:pStyle w:val="ListParagraph"/>
              <w:numPr>
                <w:ilvl w:val="0"/>
                <w:numId w:val="379"/>
              </w:numPr>
              <w:ind w:left="245" w:hanging="245"/>
              <w:rPr>
                <w:rFonts w:ascii="Arial" w:hAnsi="Arial" w:cs="Arial"/>
                <w:color w:val="000000"/>
                <w:sz w:val="24"/>
                <w:szCs w:val="24"/>
                <w:shd w:val="clear" w:color="auto" w:fill="F2F2F2"/>
              </w:rPr>
            </w:pPr>
            <w:r w:rsidRPr="00FA3F9C">
              <w:rPr>
                <w:rFonts w:ascii="Arial" w:hAnsi="Arial" w:cs="Arial"/>
                <w:color w:val="000000"/>
                <w:sz w:val="24"/>
                <w:szCs w:val="24"/>
              </w:rPr>
              <w:t>Dose Modifications for toxicity</w:t>
            </w:r>
          </w:p>
          <w:tbl>
            <w:tblPr>
              <w:tblStyle w:val="TableGrid"/>
              <w:tblpPr w:leftFromText="180" w:rightFromText="180" w:vertAnchor="text" w:horzAnchor="page" w:tblpX="784" w:tblpY="-27"/>
              <w:tblW w:w="0" w:type="auto"/>
              <w:tblLook w:val="04A0" w:firstRow="1" w:lastRow="0" w:firstColumn="1" w:lastColumn="0" w:noHBand="0" w:noVBand="1"/>
            </w:tblPr>
            <w:tblGrid>
              <w:gridCol w:w="1563"/>
              <w:gridCol w:w="1256"/>
            </w:tblGrid>
            <w:tr w:rsidR="005C142D" w:rsidRPr="00FA3F9C" w14:paraId="33C87671" w14:textId="77777777" w:rsidTr="009E58BD">
              <w:trPr>
                <w:trHeight w:val="256"/>
              </w:trPr>
              <w:tc>
                <w:tcPr>
                  <w:tcW w:w="2511" w:type="dxa"/>
                  <w:gridSpan w:val="2"/>
                  <w:shd w:val="clear" w:color="auto" w:fill="D0CECE" w:themeFill="background2" w:themeFillShade="E6"/>
                </w:tcPr>
                <w:p w14:paraId="60623CEF" w14:textId="77777777" w:rsidR="005C142D" w:rsidRPr="00FA3F9C" w:rsidRDefault="005C142D" w:rsidP="009E58BD">
                  <w:pPr>
                    <w:rPr>
                      <w:rFonts w:ascii="Arial" w:hAnsi="Arial" w:cs="Arial"/>
                      <w:b/>
                      <w:sz w:val="24"/>
                      <w:szCs w:val="24"/>
                    </w:rPr>
                  </w:pPr>
                  <w:r w:rsidRPr="00FA3F9C">
                    <w:rPr>
                      <w:rFonts w:ascii="Arial" w:hAnsi="Arial" w:cs="Arial"/>
                      <w:b/>
                      <w:sz w:val="24"/>
                      <w:szCs w:val="24"/>
                    </w:rPr>
                    <w:t>Dose Modification for Toxicity</w:t>
                  </w:r>
                </w:p>
              </w:tc>
            </w:tr>
            <w:tr w:rsidR="005C142D" w:rsidRPr="00FA3F9C" w14:paraId="1A1AB596" w14:textId="77777777" w:rsidTr="009E58BD">
              <w:trPr>
                <w:trHeight w:val="256"/>
              </w:trPr>
              <w:tc>
                <w:tcPr>
                  <w:tcW w:w="1255" w:type="dxa"/>
                  <w:shd w:val="clear" w:color="auto" w:fill="D0CECE" w:themeFill="background2" w:themeFillShade="E6"/>
                </w:tcPr>
                <w:p w14:paraId="2C749548" w14:textId="77777777" w:rsidR="005C142D" w:rsidRPr="00FA3F9C" w:rsidRDefault="005C142D" w:rsidP="009E58BD">
                  <w:pPr>
                    <w:rPr>
                      <w:rFonts w:ascii="Arial" w:hAnsi="Arial" w:cs="Arial"/>
                      <w:b/>
                      <w:sz w:val="24"/>
                      <w:szCs w:val="24"/>
                    </w:rPr>
                  </w:pPr>
                  <w:r w:rsidRPr="00FA3F9C">
                    <w:rPr>
                      <w:rFonts w:ascii="Arial" w:hAnsi="Arial" w:cs="Arial"/>
                      <w:b/>
                      <w:sz w:val="24"/>
                      <w:szCs w:val="24"/>
                    </w:rPr>
                    <w:t>Dose @ interruption (mg)</w:t>
                  </w:r>
                </w:p>
              </w:tc>
              <w:tc>
                <w:tcPr>
                  <w:tcW w:w="1256" w:type="dxa"/>
                  <w:shd w:val="clear" w:color="auto" w:fill="D0CECE" w:themeFill="background2" w:themeFillShade="E6"/>
                </w:tcPr>
                <w:p w14:paraId="0F8FC8E5" w14:textId="77777777" w:rsidR="005C142D" w:rsidRPr="00FA3F9C" w:rsidRDefault="005C142D" w:rsidP="009E58BD">
                  <w:pPr>
                    <w:rPr>
                      <w:rFonts w:ascii="Arial" w:hAnsi="Arial" w:cs="Arial"/>
                      <w:b/>
                      <w:sz w:val="24"/>
                      <w:szCs w:val="24"/>
                    </w:rPr>
                  </w:pPr>
                  <w:r w:rsidRPr="00FA3F9C">
                    <w:rPr>
                      <w:rFonts w:ascii="Arial" w:hAnsi="Arial" w:cs="Arial"/>
                      <w:b/>
                      <w:sz w:val="24"/>
                      <w:szCs w:val="24"/>
                    </w:rPr>
                    <w:t>Restart dose (mg)</w:t>
                  </w:r>
                </w:p>
              </w:tc>
            </w:tr>
            <w:tr w:rsidR="005C142D" w:rsidRPr="00FA3F9C" w14:paraId="0D027B13" w14:textId="77777777" w:rsidTr="009E58BD">
              <w:trPr>
                <w:trHeight w:val="256"/>
              </w:trPr>
              <w:tc>
                <w:tcPr>
                  <w:tcW w:w="1255" w:type="dxa"/>
                </w:tcPr>
                <w:p w14:paraId="0DB4FE68" w14:textId="77777777" w:rsidR="005C142D" w:rsidRPr="00FA3F9C" w:rsidRDefault="005C142D" w:rsidP="009E58BD">
                  <w:pPr>
                    <w:rPr>
                      <w:rFonts w:ascii="Arial" w:hAnsi="Arial" w:cs="Arial"/>
                      <w:sz w:val="24"/>
                      <w:szCs w:val="24"/>
                    </w:rPr>
                  </w:pPr>
                  <w:r w:rsidRPr="00FA3F9C">
                    <w:rPr>
                      <w:rFonts w:ascii="Arial" w:hAnsi="Arial" w:cs="Arial"/>
                      <w:sz w:val="24"/>
                      <w:szCs w:val="24"/>
                    </w:rPr>
                    <w:t>400</w:t>
                  </w:r>
                </w:p>
              </w:tc>
              <w:tc>
                <w:tcPr>
                  <w:tcW w:w="1256" w:type="dxa"/>
                </w:tcPr>
                <w:p w14:paraId="7390971F" w14:textId="77777777" w:rsidR="005C142D" w:rsidRPr="00FA3F9C" w:rsidRDefault="005C142D" w:rsidP="009E58BD">
                  <w:pPr>
                    <w:rPr>
                      <w:rFonts w:ascii="Arial" w:hAnsi="Arial" w:cs="Arial"/>
                      <w:sz w:val="24"/>
                      <w:szCs w:val="24"/>
                    </w:rPr>
                  </w:pPr>
                  <w:r w:rsidRPr="00FA3F9C">
                    <w:rPr>
                      <w:rFonts w:ascii="Arial" w:hAnsi="Arial" w:cs="Arial"/>
                      <w:sz w:val="24"/>
                      <w:szCs w:val="24"/>
                    </w:rPr>
                    <w:t>300</w:t>
                  </w:r>
                </w:p>
              </w:tc>
            </w:tr>
            <w:tr w:rsidR="005C142D" w:rsidRPr="00FA3F9C" w14:paraId="027B9138" w14:textId="77777777" w:rsidTr="009E58BD">
              <w:trPr>
                <w:trHeight w:val="256"/>
              </w:trPr>
              <w:tc>
                <w:tcPr>
                  <w:tcW w:w="1255" w:type="dxa"/>
                </w:tcPr>
                <w:p w14:paraId="3338304A" w14:textId="77777777" w:rsidR="005C142D" w:rsidRPr="00FA3F9C" w:rsidRDefault="005C142D" w:rsidP="009E58BD">
                  <w:pPr>
                    <w:rPr>
                      <w:rFonts w:ascii="Arial" w:hAnsi="Arial" w:cs="Arial"/>
                      <w:sz w:val="24"/>
                      <w:szCs w:val="24"/>
                    </w:rPr>
                  </w:pPr>
                  <w:r w:rsidRPr="00FA3F9C">
                    <w:rPr>
                      <w:rFonts w:ascii="Arial" w:hAnsi="Arial" w:cs="Arial"/>
                      <w:sz w:val="24"/>
                      <w:szCs w:val="24"/>
                    </w:rPr>
                    <w:t>300</w:t>
                  </w:r>
                </w:p>
              </w:tc>
              <w:tc>
                <w:tcPr>
                  <w:tcW w:w="1256" w:type="dxa"/>
                </w:tcPr>
                <w:p w14:paraId="0DA15D0E" w14:textId="77777777" w:rsidR="005C142D" w:rsidRPr="00FA3F9C" w:rsidRDefault="005C142D" w:rsidP="009E58BD">
                  <w:pPr>
                    <w:rPr>
                      <w:rFonts w:ascii="Arial" w:hAnsi="Arial" w:cs="Arial"/>
                      <w:sz w:val="24"/>
                      <w:szCs w:val="24"/>
                    </w:rPr>
                  </w:pPr>
                  <w:r w:rsidRPr="00FA3F9C">
                    <w:rPr>
                      <w:rFonts w:ascii="Arial" w:hAnsi="Arial" w:cs="Arial"/>
                      <w:sz w:val="24"/>
                      <w:szCs w:val="24"/>
                    </w:rPr>
                    <w:t>200</w:t>
                  </w:r>
                </w:p>
              </w:tc>
            </w:tr>
            <w:tr w:rsidR="005C142D" w:rsidRPr="00FA3F9C" w14:paraId="35D592A8" w14:textId="77777777" w:rsidTr="009E58BD">
              <w:trPr>
                <w:trHeight w:val="256"/>
              </w:trPr>
              <w:tc>
                <w:tcPr>
                  <w:tcW w:w="1255" w:type="dxa"/>
                </w:tcPr>
                <w:p w14:paraId="597ECE7C" w14:textId="77777777" w:rsidR="005C142D" w:rsidRPr="00FA3F9C" w:rsidRDefault="005C142D" w:rsidP="009E58BD">
                  <w:pPr>
                    <w:rPr>
                      <w:rFonts w:ascii="Arial" w:hAnsi="Arial" w:cs="Arial"/>
                      <w:sz w:val="24"/>
                      <w:szCs w:val="24"/>
                    </w:rPr>
                  </w:pPr>
                  <w:r w:rsidRPr="00FA3F9C">
                    <w:rPr>
                      <w:rFonts w:ascii="Arial" w:hAnsi="Arial" w:cs="Arial"/>
                      <w:sz w:val="24"/>
                      <w:szCs w:val="24"/>
                    </w:rPr>
                    <w:t>200</w:t>
                  </w:r>
                </w:p>
              </w:tc>
              <w:tc>
                <w:tcPr>
                  <w:tcW w:w="1256" w:type="dxa"/>
                </w:tcPr>
                <w:p w14:paraId="70C44D47" w14:textId="77777777" w:rsidR="005C142D" w:rsidRPr="00FA3F9C" w:rsidRDefault="005C142D" w:rsidP="009E58BD">
                  <w:pPr>
                    <w:rPr>
                      <w:rFonts w:ascii="Arial" w:hAnsi="Arial" w:cs="Arial"/>
                      <w:sz w:val="24"/>
                      <w:szCs w:val="24"/>
                    </w:rPr>
                  </w:pPr>
                  <w:r w:rsidRPr="00FA3F9C">
                    <w:rPr>
                      <w:rFonts w:ascii="Arial" w:hAnsi="Arial" w:cs="Arial"/>
                      <w:sz w:val="24"/>
                      <w:szCs w:val="24"/>
                    </w:rPr>
                    <w:t>100</w:t>
                  </w:r>
                </w:p>
              </w:tc>
            </w:tr>
            <w:tr w:rsidR="005C142D" w:rsidRPr="00FA3F9C" w14:paraId="4750B27D" w14:textId="77777777" w:rsidTr="009E58BD">
              <w:trPr>
                <w:trHeight w:val="256"/>
              </w:trPr>
              <w:tc>
                <w:tcPr>
                  <w:tcW w:w="1255" w:type="dxa"/>
                </w:tcPr>
                <w:p w14:paraId="5D68063B" w14:textId="77777777" w:rsidR="005C142D" w:rsidRPr="00FA3F9C" w:rsidRDefault="005C142D" w:rsidP="009E58BD">
                  <w:pPr>
                    <w:rPr>
                      <w:rFonts w:ascii="Arial" w:hAnsi="Arial" w:cs="Arial"/>
                      <w:sz w:val="24"/>
                      <w:szCs w:val="24"/>
                    </w:rPr>
                  </w:pPr>
                  <w:r w:rsidRPr="00FA3F9C">
                    <w:rPr>
                      <w:rFonts w:ascii="Arial" w:hAnsi="Arial" w:cs="Arial"/>
                      <w:sz w:val="24"/>
                      <w:szCs w:val="24"/>
                    </w:rPr>
                    <w:t>100</w:t>
                  </w:r>
                </w:p>
              </w:tc>
              <w:tc>
                <w:tcPr>
                  <w:tcW w:w="1256" w:type="dxa"/>
                </w:tcPr>
                <w:p w14:paraId="7AC3DF0B" w14:textId="77777777" w:rsidR="005C142D" w:rsidRPr="00FA3F9C" w:rsidRDefault="005C142D" w:rsidP="009E58BD">
                  <w:pPr>
                    <w:rPr>
                      <w:rFonts w:ascii="Arial" w:hAnsi="Arial" w:cs="Arial"/>
                      <w:sz w:val="24"/>
                      <w:szCs w:val="24"/>
                    </w:rPr>
                  </w:pPr>
                  <w:r w:rsidRPr="00FA3F9C">
                    <w:rPr>
                      <w:rFonts w:ascii="Arial" w:hAnsi="Arial" w:cs="Arial"/>
                      <w:sz w:val="24"/>
                      <w:szCs w:val="24"/>
                    </w:rPr>
                    <w:t>50</w:t>
                  </w:r>
                </w:p>
              </w:tc>
            </w:tr>
            <w:tr w:rsidR="005C142D" w:rsidRPr="00FA3F9C" w14:paraId="1F36A4C8" w14:textId="77777777" w:rsidTr="009E58BD">
              <w:trPr>
                <w:trHeight w:val="256"/>
              </w:trPr>
              <w:tc>
                <w:tcPr>
                  <w:tcW w:w="1255" w:type="dxa"/>
                </w:tcPr>
                <w:p w14:paraId="7DDC4B3C" w14:textId="77777777" w:rsidR="005C142D" w:rsidRPr="00FA3F9C" w:rsidRDefault="005C142D" w:rsidP="009E58BD">
                  <w:pPr>
                    <w:rPr>
                      <w:rFonts w:ascii="Arial" w:hAnsi="Arial" w:cs="Arial"/>
                      <w:sz w:val="24"/>
                      <w:szCs w:val="24"/>
                    </w:rPr>
                  </w:pPr>
                  <w:r w:rsidRPr="00FA3F9C">
                    <w:rPr>
                      <w:rFonts w:ascii="Arial" w:hAnsi="Arial" w:cs="Arial"/>
                      <w:sz w:val="24"/>
                      <w:szCs w:val="24"/>
                    </w:rPr>
                    <w:t>50</w:t>
                  </w:r>
                </w:p>
              </w:tc>
              <w:tc>
                <w:tcPr>
                  <w:tcW w:w="1256" w:type="dxa"/>
                </w:tcPr>
                <w:p w14:paraId="073F373C" w14:textId="77777777" w:rsidR="005C142D" w:rsidRPr="00FA3F9C" w:rsidRDefault="005C142D" w:rsidP="009E58BD">
                  <w:pPr>
                    <w:rPr>
                      <w:rFonts w:ascii="Arial" w:hAnsi="Arial" w:cs="Arial"/>
                      <w:sz w:val="24"/>
                      <w:szCs w:val="24"/>
                    </w:rPr>
                  </w:pPr>
                  <w:r w:rsidRPr="00FA3F9C">
                    <w:rPr>
                      <w:rFonts w:ascii="Arial" w:hAnsi="Arial" w:cs="Arial"/>
                      <w:sz w:val="24"/>
                      <w:szCs w:val="24"/>
                    </w:rPr>
                    <w:t>20</w:t>
                  </w:r>
                </w:p>
              </w:tc>
            </w:tr>
            <w:tr w:rsidR="005C142D" w:rsidRPr="00FA3F9C" w14:paraId="24B7F4B1" w14:textId="77777777" w:rsidTr="009E58BD">
              <w:trPr>
                <w:trHeight w:val="256"/>
              </w:trPr>
              <w:tc>
                <w:tcPr>
                  <w:tcW w:w="1255" w:type="dxa"/>
                </w:tcPr>
                <w:p w14:paraId="0E5C580A" w14:textId="77777777" w:rsidR="005C142D" w:rsidRPr="00FA3F9C" w:rsidRDefault="005C142D" w:rsidP="009E58BD">
                  <w:pPr>
                    <w:rPr>
                      <w:rFonts w:ascii="Arial" w:hAnsi="Arial" w:cs="Arial"/>
                      <w:sz w:val="24"/>
                      <w:szCs w:val="24"/>
                    </w:rPr>
                  </w:pPr>
                  <w:r w:rsidRPr="00FA3F9C">
                    <w:rPr>
                      <w:rFonts w:ascii="Arial" w:hAnsi="Arial" w:cs="Arial"/>
                      <w:sz w:val="24"/>
                      <w:szCs w:val="24"/>
                    </w:rPr>
                    <w:t>20</w:t>
                  </w:r>
                </w:p>
              </w:tc>
              <w:tc>
                <w:tcPr>
                  <w:tcW w:w="1256" w:type="dxa"/>
                </w:tcPr>
                <w:p w14:paraId="07AA20C6" w14:textId="77777777" w:rsidR="005C142D" w:rsidRPr="00FA3F9C" w:rsidRDefault="005C142D" w:rsidP="009E58BD">
                  <w:pPr>
                    <w:rPr>
                      <w:rFonts w:ascii="Arial" w:hAnsi="Arial" w:cs="Arial"/>
                      <w:sz w:val="24"/>
                      <w:szCs w:val="24"/>
                    </w:rPr>
                  </w:pPr>
                  <w:r w:rsidRPr="00FA3F9C">
                    <w:rPr>
                      <w:rFonts w:ascii="Arial" w:hAnsi="Arial" w:cs="Arial"/>
                      <w:sz w:val="24"/>
                      <w:szCs w:val="24"/>
                    </w:rPr>
                    <w:t>10</w:t>
                  </w:r>
                </w:p>
              </w:tc>
            </w:tr>
          </w:tbl>
          <w:p w14:paraId="4032FCF2" w14:textId="77777777" w:rsidR="005C142D" w:rsidRPr="00FA3F9C" w:rsidRDefault="005C142D" w:rsidP="009E58BD">
            <w:pPr>
              <w:rPr>
                <w:rFonts w:ascii="Arial" w:hAnsi="Arial" w:cs="Arial"/>
                <w:sz w:val="24"/>
                <w:szCs w:val="24"/>
              </w:rPr>
            </w:pPr>
          </w:p>
          <w:p w14:paraId="7F1EB729" w14:textId="77777777" w:rsidR="005C142D" w:rsidRPr="00FA3F9C" w:rsidRDefault="005C142D" w:rsidP="009E58BD">
            <w:pPr>
              <w:rPr>
                <w:rFonts w:ascii="Arial" w:hAnsi="Arial" w:cs="Arial"/>
                <w:sz w:val="24"/>
                <w:szCs w:val="24"/>
              </w:rPr>
            </w:pPr>
          </w:p>
          <w:p w14:paraId="5865ABA2" w14:textId="77777777" w:rsidR="005C142D" w:rsidRPr="00FA3F9C" w:rsidRDefault="005C142D" w:rsidP="009E58BD">
            <w:pPr>
              <w:rPr>
                <w:rFonts w:ascii="Arial" w:hAnsi="Arial" w:cs="Arial"/>
                <w:sz w:val="24"/>
                <w:szCs w:val="24"/>
              </w:rPr>
            </w:pPr>
          </w:p>
          <w:p w14:paraId="4F765CE9" w14:textId="77777777" w:rsidR="005C142D" w:rsidRPr="00FA3F9C" w:rsidRDefault="005C142D" w:rsidP="009E58BD">
            <w:pPr>
              <w:rPr>
                <w:rFonts w:ascii="Arial" w:hAnsi="Arial" w:cs="Arial"/>
                <w:sz w:val="24"/>
                <w:szCs w:val="24"/>
              </w:rPr>
            </w:pPr>
          </w:p>
          <w:p w14:paraId="0AD7488A" w14:textId="77777777" w:rsidR="005C142D" w:rsidRPr="00FA3F9C" w:rsidRDefault="005C142D" w:rsidP="009E58BD">
            <w:pPr>
              <w:rPr>
                <w:rFonts w:ascii="Arial" w:hAnsi="Arial" w:cs="Arial"/>
                <w:sz w:val="24"/>
                <w:szCs w:val="24"/>
              </w:rPr>
            </w:pPr>
          </w:p>
          <w:p w14:paraId="00068D36" w14:textId="77777777" w:rsidR="005C142D" w:rsidRPr="00FA3F9C" w:rsidRDefault="005C142D" w:rsidP="009E58BD">
            <w:pPr>
              <w:rPr>
                <w:rFonts w:ascii="Arial" w:hAnsi="Arial" w:cs="Arial"/>
                <w:sz w:val="24"/>
                <w:szCs w:val="24"/>
              </w:rPr>
            </w:pPr>
          </w:p>
          <w:p w14:paraId="1663F124" w14:textId="77777777" w:rsidR="005C142D" w:rsidRPr="00FA3F9C" w:rsidRDefault="005C142D" w:rsidP="009E58BD">
            <w:pPr>
              <w:rPr>
                <w:rFonts w:ascii="Arial" w:hAnsi="Arial" w:cs="Arial"/>
                <w:sz w:val="24"/>
                <w:szCs w:val="24"/>
              </w:rPr>
            </w:pPr>
          </w:p>
        </w:tc>
      </w:tr>
      <w:tr w:rsidR="005C142D" w:rsidRPr="00FA3F9C" w14:paraId="5748A0E1" w14:textId="77777777" w:rsidTr="009E58BD">
        <w:trPr>
          <w:trHeight w:val="71"/>
        </w:trPr>
        <w:tc>
          <w:tcPr>
            <w:tcW w:w="9350" w:type="dxa"/>
          </w:tcPr>
          <w:p w14:paraId="4BB2E309" w14:textId="77777777" w:rsidR="005C142D" w:rsidRPr="00FA3F9C" w:rsidRDefault="005C142D" w:rsidP="009E58BD">
            <w:pPr>
              <w:rPr>
                <w:rFonts w:ascii="Arial" w:hAnsi="Arial" w:cs="Arial"/>
                <w:sz w:val="24"/>
                <w:szCs w:val="24"/>
              </w:rPr>
            </w:pPr>
            <w:r w:rsidRPr="00FA3F9C">
              <w:rPr>
                <w:rFonts w:ascii="Arial" w:hAnsi="Arial" w:cs="Arial"/>
                <w:sz w:val="24"/>
                <w:szCs w:val="24"/>
              </w:rPr>
              <w:lastRenderedPageBreak/>
              <w:t>References:</w:t>
            </w:r>
          </w:p>
          <w:p w14:paraId="28BCAD33" w14:textId="77777777" w:rsidR="005C142D" w:rsidRPr="00FA3F9C" w:rsidRDefault="005C142D" w:rsidP="00FC1E85">
            <w:pPr>
              <w:pStyle w:val="ListParagraph"/>
              <w:numPr>
                <w:ilvl w:val="0"/>
                <w:numId w:val="500"/>
              </w:numPr>
              <w:ind w:left="245" w:hanging="180"/>
              <w:rPr>
                <w:rFonts w:ascii="Arial" w:hAnsi="Arial" w:cs="Arial"/>
                <w:sz w:val="24"/>
                <w:szCs w:val="24"/>
              </w:rPr>
            </w:pPr>
            <w:r w:rsidRPr="00FA3F9C">
              <w:rPr>
                <w:rFonts w:ascii="Arial" w:hAnsi="Arial" w:cs="Arial"/>
                <w:color w:val="222222"/>
                <w:sz w:val="24"/>
                <w:szCs w:val="24"/>
                <w:shd w:val="clear" w:color="auto" w:fill="F8F8F8"/>
                <w:lang w:val="fr-FR"/>
              </w:rPr>
              <w:t xml:space="preserve">Seymour, John F., et al. </w:t>
            </w:r>
            <w:r w:rsidRPr="00FA3F9C">
              <w:rPr>
                <w:rFonts w:ascii="Arial" w:hAnsi="Arial" w:cs="Arial"/>
                <w:color w:val="222222"/>
                <w:sz w:val="24"/>
                <w:szCs w:val="24"/>
                <w:shd w:val="clear" w:color="auto" w:fill="F8F8F8"/>
              </w:rPr>
              <w:t>"</w:t>
            </w:r>
            <w:proofErr w:type="spellStart"/>
            <w:r w:rsidRPr="00FA3F9C">
              <w:rPr>
                <w:rFonts w:ascii="Arial" w:hAnsi="Arial" w:cs="Arial"/>
                <w:color w:val="222222"/>
                <w:sz w:val="24"/>
                <w:szCs w:val="24"/>
                <w:shd w:val="clear" w:color="auto" w:fill="F8F8F8"/>
              </w:rPr>
              <w:t>Venetoclax</w:t>
            </w:r>
            <w:proofErr w:type="spellEnd"/>
            <w:r w:rsidRPr="00FA3F9C">
              <w:rPr>
                <w:rFonts w:ascii="Arial" w:hAnsi="Arial" w:cs="Arial"/>
                <w:color w:val="222222"/>
                <w:sz w:val="24"/>
                <w:szCs w:val="24"/>
                <w:shd w:val="clear" w:color="auto" w:fill="F8F8F8"/>
              </w:rPr>
              <w:t>–rituximab in relapsed or refractory chronic lymphocytic leukemia." </w:t>
            </w:r>
            <w:r w:rsidRPr="00FA3F9C">
              <w:rPr>
                <w:rFonts w:ascii="Arial" w:hAnsi="Arial" w:cs="Arial"/>
                <w:i/>
                <w:iCs/>
                <w:color w:val="222222"/>
                <w:sz w:val="24"/>
                <w:szCs w:val="24"/>
                <w:shd w:val="clear" w:color="auto" w:fill="F8F8F8"/>
              </w:rPr>
              <w:t xml:space="preserve">NEJM </w:t>
            </w:r>
            <w:r w:rsidRPr="00FA3F9C">
              <w:rPr>
                <w:rFonts w:ascii="Arial" w:hAnsi="Arial" w:cs="Arial"/>
                <w:color w:val="222222"/>
                <w:sz w:val="24"/>
                <w:szCs w:val="24"/>
                <w:shd w:val="clear" w:color="auto" w:fill="F8F8F8"/>
              </w:rPr>
              <w:t>378.12 (2018): 1107-1120. PMID 29562156 NCT02005471</w:t>
            </w:r>
          </w:p>
          <w:p w14:paraId="694D587D" w14:textId="77777777" w:rsidR="005C142D" w:rsidRPr="00FA3F9C" w:rsidRDefault="005C142D" w:rsidP="00FC1E85">
            <w:pPr>
              <w:pStyle w:val="ListParagraph"/>
              <w:numPr>
                <w:ilvl w:val="0"/>
                <w:numId w:val="500"/>
              </w:numPr>
              <w:ind w:left="245" w:hanging="180"/>
              <w:rPr>
                <w:rFonts w:ascii="Arial" w:hAnsi="Arial" w:cs="Arial"/>
                <w:sz w:val="24"/>
                <w:szCs w:val="24"/>
              </w:rPr>
            </w:pPr>
            <w:r w:rsidRPr="00FA3F9C">
              <w:rPr>
                <w:rFonts w:ascii="Arial" w:hAnsi="Arial" w:cs="Arial"/>
                <w:color w:val="222222"/>
                <w:sz w:val="24"/>
                <w:szCs w:val="24"/>
                <w:shd w:val="clear" w:color="auto" w:fill="F8F8F8"/>
              </w:rPr>
              <w:t xml:space="preserve">Package insert: </w:t>
            </w:r>
            <w:proofErr w:type="spellStart"/>
            <w:r w:rsidRPr="00FA3F9C">
              <w:rPr>
                <w:rFonts w:ascii="Arial" w:hAnsi="Arial" w:cs="Arial"/>
                <w:color w:val="222222"/>
                <w:sz w:val="24"/>
                <w:szCs w:val="24"/>
                <w:shd w:val="clear" w:color="auto" w:fill="F8F8F8"/>
              </w:rPr>
              <w:t>venetoclax</w:t>
            </w:r>
            <w:proofErr w:type="spellEnd"/>
            <w:r w:rsidRPr="00FA3F9C">
              <w:rPr>
                <w:rFonts w:ascii="Arial" w:hAnsi="Arial" w:cs="Arial"/>
                <w:color w:val="222222"/>
                <w:sz w:val="24"/>
                <w:szCs w:val="24"/>
                <w:shd w:val="clear" w:color="auto" w:fill="F8F8F8"/>
              </w:rPr>
              <w:t>. Accessed 12/21/2018.</w:t>
            </w:r>
          </w:p>
        </w:tc>
      </w:tr>
    </w:tbl>
    <w:p w14:paraId="1850C00B" w14:textId="77777777" w:rsidR="005C142D" w:rsidRPr="00FA3F9C" w:rsidRDefault="005C142D" w:rsidP="00B500AD">
      <w:pPr>
        <w:rPr>
          <w:rFonts w:ascii="Arial" w:hAnsi="Arial" w:cs="Arial"/>
          <w:sz w:val="24"/>
          <w:szCs w:val="24"/>
        </w:rPr>
      </w:pPr>
    </w:p>
    <w:p w14:paraId="6CE4137A" w14:textId="77777777" w:rsidR="005C142D" w:rsidRPr="00FA3F9C" w:rsidRDefault="005C142D" w:rsidP="00B500AD">
      <w:pPr>
        <w:rPr>
          <w:rFonts w:ascii="Arial" w:hAnsi="Arial" w:cs="Arial"/>
          <w:sz w:val="24"/>
          <w:szCs w:val="24"/>
        </w:rPr>
      </w:pPr>
    </w:p>
    <w:tbl>
      <w:tblPr>
        <w:tblStyle w:val="TableGrid"/>
        <w:tblW w:w="0" w:type="auto"/>
        <w:tblLook w:val="04A0" w:firstRow="1" w:lastRow="0" w:firstColumn="1" w:lastColumn="0" w:noHBand="0" w:noVBand="1"/>
      </w:tblPr>
      <w:tblGrid>
        <w:gridCol w:w="11645"/>
      </w:tblGrid>
      <w:tr w:rsidR="005C142D" w:rsidRPr="00FA3F9C" w14:paraId="2400CAC7" w14:textId="77777777" w:rsidTr="005E11D7">
        <w:tc>
          <w:tcPr>
            <w:tcW w:w="9350" w:type="dxa"/>
            <w:shd w:val="clear" w:color="auto" w:fill="000000" w:themeFill="text1"/>
          </w:tcPr>
          <w:p w14:paraId="04CC12FB" w14:textId="77777777" w:rsidR="005C142D" w:rsidRPr="00FA3F9C" w:rsidRDefault="005C142D" w:rsidP="009E58BD">
            <w:pPr>
              <w:rPr>
                <w:rFonts w:ascii="Arial" w:hAnsi="Arial" w:cs="Arial"/>
                <w:sz w:val="24"/>
                <w:szCs w:val="24"/>
              </w:rPr>
            </w:pPr>
            <w:r w:rsidRPr="00FA3F9C">
              <w:rPr>
                <w:rFonts w:ascii="Arial" w:hAnsi="Arial" w:cs="Arial"/>
                <w:sz w:val="24"/>
                <w:szCs w:val="24"/>
              </w:rPr>
              <w:t xml:space="preserve">Acute myeloid leukemia </w:t>
            </w:r>
          </w:p>
        </w:tc>
      </w:tr>
      <w:tr w:rsidR="005C142D" w:rsidRPr="00FA3F9C" w14:paraId="5AB64FBE" w14:textId="77777777" w:rsidTr="005E11D7">
        <w:tc>
          <w:tcPr>
            <w:tcW w:w="9350" w:type="dxa"/>
          </w:tcPr>
          <w:p w14:paraId="4D6FF27C" w14:textId="77777777" w:rsidR="005C142D" w:rsidRPr="00FA3F9C" w:rsidRDefault="005C142D" w:rsidP="00FC1E85">
            <w:pPr>
              <w:pStyle w:val="ListParagraph"/>
              <w:numPr>
                <w:ilvl w:val="0"/>
                <w:numId w:val="505"/>
              </w:numPr>
              <w:spacing w:line="276" w:lineRule="auto"/>
              <w:ind w:left="331" w:hanging="245"/>
              <w:rPr>
                <w:rFonts w:ascii="Arial" w:hAnsi="Arial" w:cs="Arial"/>
                <w:sz w:val="24"/>
                <w:szCs w:val="24"/>
              </w:rPr>
            </w:pPr>
            <w:r w:rsidRPr="00FA3F9C">
              <w:rPr>
                <w:rFonts w:ascii="Arial" w:hAnsi="Arial" w:cs="Arial"/>
                <w:sz w:val="24"/>
                <w:szCs w:val="24"/>
              </w:rPr>
              <w:t>Diagnosis of acute myeloid leukemia</w:t>
            </w:r>
          </w:p>
        </w:tc>
      </w:tr>
      <w:tr w:rsidR="005C142D" w:rsidRPr="00FA3F9C" w14:paraId="616E7771" w14:textId="77777777" w:rsidTr="0033770B">
        <w:trPr>
          <w:trHeight w:val="485"/>
        </w:trPr>
        <w:tc>
          <w:tcPr>
            <w:tcW w:w="9350" w:type="dxa"/>
          </w:tcPr>
          <w:p w14:paraId="1F1E1DEB" w14:textId="77777777" w:rsidR="005C142D" w:rsidRPr="00FA3F9C" w:rsidRDefault="005C142D" w:rsidP="00FC1E85">
            <w:pPr>
              <w:pStyle w:val="ListParagraph"/>
              <w:numPr>
                <w:ilvl w:val="0"/>
                <w:numId w:val="505"/>
              </w:numPr>
              <w:spacing w:line="276" w:lineRule="auto"/>
              <w:ind w:left="331" w:hanging="245"/>
              <w:rPr>
                <w:rFonts w:ascii="Arial" w:hAnsi="Arial" w:cs="Arial"/>
                <w:sz w:val="24"/>
                <w:szCs w:val="24"/>
              </w:rPr>
            </w:pPr>
            <w:r w:rsidRPr="00FA3F9C">
              <w:rPr>
                <w:rFonts w:ascii="Arial" w:hAnsi="Arial" w:cs="Arial"/>
                <w:sz w:val="24"/>
                <w:szCs w:val="24"/>
              </w:rPr>
              <w:t>Ineligible for standard/intense induction chemotherapy because of presence of one of the following: age &gt;75 years, cardiac disease or prior anthracycline use, secondary AML, high probability of treatment-related mortality</w:t>
            </w:r>
          </w:p>
        </w:tc>
      </w:tr>
      <w:tr w:rsidR="005C142D" w:rsidRPr="00FA3F9C" w14:paraId="3A2F9201" w14:textId="77777777" w:rsidTr="005E11D7">
        <w:tc>
          <w:tcPr>
            <w:tcW w:w="9350" w:type="dxa"/>
          </w:tcPr>
          <w:p w14:paraId="65E9174B" w14:textId="77777777" w:rsidR="005C142D" w:rsidRPr="00FA3F9C" w:rsidRDefault="005C142D" w:rsidP="00FC1E85">
            <w:pPr>
              <w:pStyle w:val="ListParagraph"/>
              <w:numPr>
                <w:ilvl w:val="0"/>
                <w:numId w:val="505"/>
              </w:numPr>
              <w:spacing w:line="276" w:lineRule="auto"/>
              <w:ind w:left="331" w:hanging="245"/>
              <w:rPr>
                <w:rFonts w:ascii="Arial" w:hAnsi="Arial" w:cs="Arial"/>
                <w:sz w:val="24"/>
                <w:szCs w:val="24"/>
              </w:rPr>
            </w:pPr>
            <w:r w:rsidRPr="00FA3F9C">
              <w:rPr>
                <w:rFonts w:ascii="Arial" w:hAnsi="Arial" w:cs="Arial"/>
                <w:sz w:val="24"/>
                <w:szCs w:val="24"/>
              </w:rPr>
              <w:t>No prior treatment for AML (exception: patient may have received leukapheresis or hydroxyurea)</w:t>
            </w:r>
          </w:p>
        </w:tc>
      </w:tr>
      <w:tr w:rsidR="005C142D" w:rsidRPr="00FA3F9C" w14:paraId="19E59393" w14:textId="77777777" w:rsidTr="00BE3286">
        <w:trPr>
          <w:trHeight w:val="242"/>
        </w:trPr>
        <w:tc>
          <w:tcPr>
            <w:tcW w:w="9350" w:type="dxa"/>
          </w:tcPr>
          <w:p w14:paraId="4E011092" w14:textId="77777777" w:rsidR="005C142D" w:rsidRPr="00FA3F9C" w:rsidRDefault="005C142D" w:rsidP="00FC1E85">
            <w:pPr>
              <w:pStyle w:val="ListParagraph"/>
              <w:numPr>
                <w:ilvl w:val="0"/>
                <w:numId w:val="505"/>
              </w:numPr>
              <w:spacing w:line="276" w:lineRule="auto"/>
              <w:ind w:left="331" w:hanging="245"/>
              <w:rPr>
                <w:rFonts w:ascii="Arial" w:hAnsi="Arial" w:cs="Arial"/>
                <w:sz w:val="24"/>
                <w:szCs w:val="24"/>
              </w:rPr>
            </w:pPr>
            <w:proofErr w:type="spellStart"/>
            <w:r w:rsidRPr="00FA3F9C">
              <w:rPr>
                <w:rFonts w:ascii="Arial" w:hAnsi="Arial" w:cs="Arial"/>
                <w:sz w:val="24"/>
                <w:szCs w:val="24"/>
              </w:rPr>
              <w:t>Venetoclax</w:t>
            </w:r>
            <w:proofErr w:type="spellEnd"/>
            <w:r w:rsidRPr="00FA3F9C">
              <w:rPr>
                <w:rFonts w:ascii="Arial" w:hAnsi="Arial" w:cs="Arial"/>
                <w:sz w:val="24"/>
                <w:szCs w:val="24"/>
              </w:rPr>
              <w:t xml:space="preserve"> will be used in combination with either </w:t>
            </w:r>
            <w:proofErr w:type="spellStart"/>
            <w:r w:rsidRPr="00FA3F9C">
              <w:rPr>
                <w:rFonts w:ascii="Arial" w:hAnsi="Arial" w:cs="Arial"/>
                <w:sz w:val="24"/>
                <w:szCs w:val="24"/>
              </w:rPr>
              <w:t>azacitidine</w:t>
            </w:r>
            <w:proofErr w:type="spellEnd"/>
            <w:r w:rsidRPr="00FA3F9C">
              <w:rPr>
                <w:rFonts w:ascii="Arial" w:hAnsi="Arial" w:cs="Arial"/>
                <w:sz w:val="24"/>
                <w:szCs w:val="24"/>
              </w:rPr>
              <w:t xml:space="preserve"> or decitabine</w:t>
            </w:r>
          </w:p>
        </w:tc>
      </w:tr>
      <w:tr w:rsidR="005C142D" w:rsidRPr="00FA3F9C" w14:paraId="1D5DAFDA" w14:textId="77777777" w:rsidTr="005E11D7">
        <w:tc>
          <w:tcPr>
            <w:tcW w:w="9350" w:type="dxa"/>
          </w:tcPr>
          <w:p w14:paraId="175B1C69" w14:textId="77777777" w:rsidR="005C142D" w:rsidRPr="00FA3F9C" w:rsidRDefault="005C142D" w:rsidP="003621F8">
            <w:pPr>
              <w:rPr>
                <w:rFonts w:ascii="Arial" w:hAnsi="Arial" w:cs="Arial"/>
                <w:b/>
                <w:sz w:val="24"/>
                <w:szCs w:val="24"/>
              </w:rPr>
            </w:pPr>
            <w:r w:rsidRPr="00FA3F9C">
              <w:rPr>
                <w:rFonts w:ascii="Arial" w:hAnsi="Arial" w:cs="Arial"/>
                <w:b/>
                <w:sz w:val="24"/>
                <w:szCs w:val="24"/>
              </w:rPr>
              <w:t>If all of the above criteria are met, approve for 6 months; QL 120/30</w:t>
            </w:r>
          </w:p>
        </w:tc>
      </w:tr>
      <w:tr w:rsidR="005C142D" w:rsidRPr="00FA3F9C" w14:paraId="051CCE32" w14:textId="77777777" w:rsidTr="005E11D7">
        <w:tc>
          <w:tcPr>
            <w:tcW w:w="9350" w:type="dxa"/>
            <w:shd w:val="clear" w:color="auto" w:fill="D9D9D9" w:themeFill="background1" w:themeFillShade="D9"/>
          </w:tcPr>
          <w:p w14:paraId="2E301184" w14:textId="77777777" w:rsidR="005C142D" w:rsidRPr="00FA3F9C" w:rsidRDefault="005C142D" w:rsidP="005E11D7">
            <w:pPr>
              <w:rPr>
                <w:rFonts w:ascii="Arial" w:eastAsia="MS Gothic" w:hAnsi="Arial" w:cs="Arial"/>
                <w:color w:val="000000"/>
                <w:sz w:val="24"/>
                <w:szCs w:val="24"/>
              </w:rPr>
            </w:pPr>
            <w:r w:rsidRPr="00FA3F9C">
              <w:rPr>
                <w:rFonts w:ascii="Arial" w:hAnsi="Arial" w:cs="Arial"/>
                <w:sz w:val="24"/>
                <w:szCs w:val="24"/>
              </w:rPr>
              <w:t>Additional Notes</w:t>
            </w:r>
          </w:p>
        </w:tc>
      </w:tr>
      <w:tr w:rsidR="005C142D" w:rsidRPr="00FA3F9C" w14:paraId="4C3A5BF1" w14:textId="77777777" w:rsidTr="005E11D7">
        <w:tc>
          <w:tcPr>
            <w:tcW w:w="9350" w:type="dxa"/>
          </w:tcPr>
          <w:p w14:paraId="3D1F1474" w14:textId="77777777" w:rsidR="005C142D" w:rsidRPr="00FA3F9C" w:rsidRDefault="005C142D" w:rsidP="00FC1E85">
            <w:pPr>
              <w:pStyle w:val="ListParagraph"/>
              <w:numPr>
                <w:ilvl w:val="0"/>
                <w:numId w:val="504"/>
              </w:numPr>
              <w:ind w:left="155" w:hanging="180"/>
              <w:rPr>
                <w:rFonts w:ascii="Arial" w:hAnsi="Arial" w:cs="Arial"/>
                <w:sz w:val="24"/>
                <w:szCs w:val="24"/>
              </w:rPr>
            </w:pPr>
            <w:r w:rsidRPr="00FA3F9C">
              <w:rPr>
                <w:rFonts w:ascii="Arial" w:hAnsi="Arial" w:cs="Arial"/>
                <w:sz w:val="24"/>
                <w:szCs w:val="24"/>
              </w:rPr>
              <w:t xml:space="preserve">NCCN also recommends </w:t>
            </w:r>
            <w:proofErr w:type="spellStart"/>
            <w:r w:rsidRPr="00FA3F9C">
              <w:rPr>
                <w:rFonts w:ascii="Arial" w:hAnsi="Arial" w:cs="Arial"/>
                <w:sz w:val="24"/>
                <w:szCs w:val="24"/>
              </w:rPr>
              <w:t>Venetoclax</w:t>
            </w:r>
            <w:proofErr w:type="spellEnd"/>
            <w:r w:rsidRPr="00FA3F9C">
              <w:rPr>
                <w:rFonts w:ascii="Arial" w:hAnsi="Arial" w:cs="Arial"/>
                <w:sz w:val="24"/>
                <w:szCs w:val="24"/>
              </w:rPr>
              <w:t xml:space="preserve"> with </w:t>
            </w:r>
            <w:proofErr w:type="spellStart"/>
            <w:r w:rsidRPr="00FA3F9C">
              <w:rPr>
                <w:rFonts w:ascii="Arial" w:hAnsi="Arial" w:cs="Arial"/>
                <w:sz w:val="24"/>
                <w:szCs w:val="24"/>
              </w:rPr>
              <w:t>azacitidine</w:t>
            </w:r>
            <w:proofErr w:type="spellEnd"/>
            <w:r w:rsidRPr="00FA3F9C">
              <w:rPr>
                <w:rFonts w:ascii="Arial" w:hAnsi="Arial" w:cs="Arial"/>
                <w:sz w:val="24"/>
                <w:szCs w:val="24"/>
              </w:rPr>
              <w:t xml:space="preserve"> or decitabine or low-dose cytarabine in patients &gt;60 y/o who ARE candidates for intensive induction chemotherapy AND have high-risk cytogenetics. This use is off label and is not covered.</w:t>
            </w:r>
            <w:r w:rsidRPr="00FA3F9C">
              <w:rPr>
                <w:rFonts w:ascii="Arial" w:hAnsi="Arial" w:cs="Arial"/>
                <w:sz w:val="24"/>
                <w:szCs w:val="24"/>
                <w:vertAlign w:val="superscript"/>
              </w:rPr>
              <w:t>1</w:t>
            </w:r>
          </w:p>
          <w:p w14:paraId="6C607A22" w14:textId="77777777" w:rsidR="005C142D" w:rsidRPr="00FA3F9C" w:rsidRDefault="005C142D" w:rsidP="00FC1E85">
            <w:pPr>
              <w:pStyle w:val="ListParagraph"/>
              <w:numPr>
                <w:ilvl w:val="0"/>
                <w:numId w:val="504"/>
              </w:numPr>
              <w:ind w:left="155" w:hanging="180"/>
              <w:rPr>
                <w:rFonts w:ascii="Arial" w:hAnsi="Arial" w:cs="Arial"/>
                <w:sz w:val="24"/>
                <w:szCs w:val="24"/>
              </w:rPr>
            </w:pPr>
            <w:r w:rsidRPr="00FA3F9C">
              <w:rPr>
                <w:rFonts w:ascii="Arial" w:hAnsi="Arial" w:cs="Arial"/>
                <w:sz w:val="24"/>
                <w:szCs w:val="24"/>
              </w:rPr>
              <w:t xml:space="preserve">Dosing of </w:t>
            </w:r>
            <w:proofErr w:type="spellStart"/>
            <w:r w:rsidRPr="00FA3F9C">
              <w:rPr>
                <w:rFonts w:ascii="Arial" w:hAnsi="Arial" w:cs="Arial"/>
                <w:sz w:val="24"/>
                <w:szCs w:val="24"/>
              </w:rPr>
              <w:t>venetoclax</w:t>
            </w:r>
            <w:proofErr w:type="spellEnd"/>
            <w:r w:rsidRPr="00FA3F9C">
              <w:rPr>
                <w:rFonts w:ascii="Arial" w:hAnsi="Arial" w:cs="Arial"/>
                <w:sz w:val="24"/>
                <w:szCs w:val="24"/>
              </w:rPr>
              <w:t xml:space="preserve"> with </w:t>
            </w:r>
            <w:proofErr w:type="spellStart"/>
            <w:r w:rsidRPr="00FA3F9C">
              <w:rPr>
                <w:rFonts w:ascii="Arial" w:hAnsi="Arial" w:cs="Arial"/>
                <w:sz w:val="24"/>
                <w:szCs w:val="24"/>
              </w:rPr>
              <w:t>azacitidine</w:t>
            </w:r>
            <w:proofErr w:type="spellEnd"/>
            <w:r w:rsidRPr="00FA3F9C">
              <w:rPr>
                <w:rFonts w:ascii="Arial" w:hAnsi="Arial" w:cs="Arial"/>
                <w:sz w:val="24"/>
                <w:szCs w:val="24"/>
              </w:rPr>
              <w:t xml:space="preserve"> and decitabine is 400 mg daily compared to 600 mg daily when given with low-dose cytarabine (LDAC). EBRx will cover </w:t>
            </w:r>
            <w:proofErr w:type="spellStart"/>
            <w:r w:rsidRPr="00FA3F9C">
              <w:rPr>
                <w:rFonts w:ascii="Arial" w:hAnsi="Arial" w:cs="Arial"/>
                <w:sz w:val="24"/>
                <w:szCs w:val="24"/>
              </w:rPr>
              <w:t>venetoclax</w:t>
            </w:r>
            <w:proofErr w:type="spellEnd"/>
            <w:r w:rsidRPr="00FA3F9C">
              <w:rPr>
                <w:rFonts w:ascii="Arial" w:hAnsi="Arial" w:cs="Arial"/>
                <w:sz w:val="24"/>
                <w:szCs w:val="24"/>
              </w:rPr>
              <w:t xml:space="preserve"> in combination with </w:t>
            </w:r>
            <w:proofErr w:type="spellStart"/>
            <w:r w:rsidRPr="00FA3F9C">
              <w:rPr>
                <w:rFonts w:ascii="Arial" w:hAnsi="Arial" w:cs="Arial"/>
                <w:sz w:val="24"/>
                <w:szCs w:val="24"/>
              </w:rPr>
              <w:t>azacitidine</w:t>
            </w:r>
            <w:proofErr w:type="spellEnd"/>
            <w:r w:rsidRPr="00FA3F9C">
              <w:rPr>
                <w:rFonts w:ascii="Arial" w:hAnsi="Arial" w:cs="Arial"/>
                <w:sz w:val="24"/>
                <w:szCs w:val="24"/>
              </w:rPr>
              <w:t>/decitabine only due to increased cost when given with LDAC.</w:t>
            </w:r>
          </w:p>
        </w:tc>
      </w:tr>
      <w:tr w:rsidR="005C142D" w:rsidRPr="00FA3F9C" w14:paraId="78CDE9BD" w14:textId="77777777" w:rsidTr="00437D86">
        <w:trPr>
          <w:trHeight w:val="1421"/>
        </w:trPr>
        <w:tc>
          <w:tcPr>
            <w:tcW w:w="9350" w:type="dxa"/>
          </w:tcPr>
          <w:p w14:paraId="75E61479" w14:textId="77777777" w:rsidR="005C142D" w:rsidRPr="00FA3F9C" w:rsidRDefault="005C142D" w:rsidP="005E11D7">
            <w:pPr>
              <w:rPr>
                <w:rFonts w:ascii="Arial" w:hAnsi="Arial" w:cs="Arial"/>
                <w:sz w:val="24"/>
                <w:szCs w:val="24"/>
              </w:rPr>
            </w:pPr>
            <w:r w:rsidRPr="00FA3F9C">
              <w:rPr>
                <w:rFonts w:ascii="Arial" w:hAnsi="Arial" w:cs="Arial"/>
                <w:b/>
                <w:sz w:val="24"/>
                <w:szCs w:val="24"/>
                <w:u w:val="single"/>
              </w:rPr>
              <w:t>Evidence</w:t>
            </w:r>
            <w:r w:rsidRPr="00FA3F9C">
              <w:rPr>
                <w:rFonts w:ascii="Arial" w:hAnsi="Arial" w:cs="Arial"/>
                <w:sz w:val="24"/>
                <w:szCs w:val="24"/>
              </w:rPr>
              <w:t>:</w:t>
            </w:r>
          </w:p>
          <w:p w14:paraId="16AC63B1" w14:textId="77777777" w:rsidR="005C142D" w:rsidRPr="00FA3F9C" w:rsidRDefault="005C142D" w:rsidP="00FC1E85">
            <w:pPr>
              <w:pStyle w:val="ListParagraph"/>
              <w:numPr>
                <w:ilvl w:val="0"/>
                <w:numId w:val="503"/>
              </w:numPr>
              <w:ind w:left="155" w:hanging="155"/>
              <w:rPr>
                <w:rFonts w:ascii="Arial" w:hAnsi="Arial" w:cs="Arial"/>
                <w:sz w:val="24"/>
                <w:szCs w:val="24"/>
              </w:rPr>
            </w:pPr>
            <w:r w:rsidRPr="00FA3F9C">
              <w:rPr>
                <w:rFonts w:ascii="Arial" w:hAnsi="Arial" w:cs="Arial"/>
                <w:sz w:val="24"/>
                <w:szCs w:val="24"/>
              </w:rPr>
              <w:t xml:space="preserve">In older patients with comorbidities precluding intensive induction chemotherapy, </w:t>
            </w:r>
            <w:proofErr w:type="spellStart"/>
            <w:r w:rsidRPr="00FA3F9C">
              <w:rPr>
                <w:rFonts w:ascii="Arial" w:hAnsi="Arial" w:cs="Arial"/>
                <w:sz w:val="24"/>
                <w:szCs w:val="24"/>
              </w:rPr>
              <w:t>venetoclax</w:t>
            </w:r>
            <w:proofErr w:type="spellEnd"/>
            <w:r w:rsidRPr="00FA3F9C">
              <w:rPr>
                <w:rFonts w:ascii="Arial" w:hAnsi="Arial" w:cs="Arial"/>
                <w:sz w:val="24"/>
                <w:szCs w:val="24"/>
              </w:rPr>
              <w:t xml:space="preserve"> was studied in combination with hypomethylating agents (HMAs, decitabine or </w:t>
            </w:r>
            <w:proofErr w:type="spellStart"/>
            <w:r w:rsidRPr="00FA3F9C">
              <w:rPr>
                <w:rFonts w:ascii="Arial" w:hAnsi="Arial" w:cs="Arial"/>
                <w:sz w:val="24"/>
                <w:szCs w:val="24"/>
              </w:rPr>
              <w:t>azacitidine</w:t>
            </w:r>
            <w:proofErr w:type="spellEnd"/>
            <w:r w:rsidRPr="00FA3F9C">
              <w:rPr>
                <w:rFonts w:ascii="Arial" w:hAnsi="Arial" w:cs="Arial"/>
                <w:sz w:val="24"/>
                <w:szCs w:val="24"/>
              </w:rPr>
              <w:t xml:space="preserve">) and low-dose cytarabine (LDAC). Response rates and overall survival were generally higher than have been seen with other therapies recommended in this population. Although </w:t>
            </w:r>
            <w:proofErr w:type="spellStart"/>
            <w:r w:rsidRPr="00FA3F9C">
              <w:rPr>
                <w:rFonts w:ascii="Arial" w:hAnsi="Arial" w:cs="Arial"/>
                <w:sz w:val="24"/>
                <w:szCs w:val="24"/>
              </w:rPr>
              <w:t>venetoclax</w:t>
            </w:r>
            <w:proofErr w:type="spellEnd"/>
            <w:r w:rsidRPr="00FA3F9C">
              <w:rPr>
                <w:rFonts w:ascii="Arial" w:hAnsi="Arial" w:cs="Arial"/>
                <w:sz w:val="24"/>
                <w:szCs w:val="24"/>
              </w:rPr>
              <w:t xml:space="preserve"> has not been compared head-to-head to other regimens, indirect comparisons between trials show possible benefit over other therapies (see table below).  Therefore, we will cover for now.</w:t>
            </w:r>
          </w:p>
          <w:p w14:paraId="6E7928FB" w14:textId="77777777" w:rsidR="005C142D" w:rsidRPr="00FA3F9C" w:rsidRDefault="005C142D" w:rsidP="00FC1E85">
            <w:pPr>
              <w:pStyle w:val="ListParagraph"/>
              <w:numPr>
                <w:ilvl w:val="0"/>
                <w:numId w:val="503"/>
              </w:numPr>
              <w:ind w:left="155" w:hanging="155"/>
              <w:rPr>
                <w:rFonts w:ascii="Arial" w:hAnsi="Arial" w:cs="Arial"/>
                <w:sz w:val="24"/>
                <w:szCs w:val="24"/>
              </w:rPr>
            </w:pPr>
            <w:proofErr w:type="spellStart"/>
            <w:r w:rsidRPr="00FA3F9C">
              <w:rPr>
                <w:rFonts w:ascii="Arial" w:hAnsi="Arial" w:cs="Arial"/>
                <w:sz w:val="24"/>
                <w:szCs w:val="24"/>
              </w:rPr>
              <w:t>Venetoclax</w:t>
            </w:r>
            <w:proofErr w:type="spellEnd"/>
            <w:r w:rsidRPr="00FA3F9C">
              <w:rPr>
                <w:rFonts w:ascii="Arial" w:hAnsi="Arial" w:cs="Arial"/>
                <w:sz w:val="24"/>
                <w:szCs w:val="24"/>
              </w:rPr>
              <w:t xml:space="preserve"> + </w:t>
            </w:r>
            <w:proofErr w:type="spellStart"/>
            <w:r w:rsidRPr="00FA3F9C">
              <w:rPr>
                <w:rFonts w:ascii="Arial" w:hAnsi="Arial" w:cs="Arial"/>
                <w:sz w:val="24"/>
                <w:szCs w:val="24"/>
              </w:rPr>
              <w:t>azacitidine</w:t>
            </w:r>
            <w:proofErr w:type="spellEnd"/>
            <w:r w:rsidRPr="00FA3F9C">
              <w:rPr>
                <w:rFonts w:ascii="Arial" w:hAnsi="Arial" w:cs="Arial"/>
                <w:sz w:val="24"/>
                <w:szCs w:val="24"/>
              </w:rPr>
              <w:t xml:space="preserve"> improved overall survival compared to </w:t>
            </w:r>
            <w:proofErr w:type="spellStart"/>
            <w:r w:rsidRPr="00FA3F9C">
              <w:rPr>
                <w:rFonts w:ascii="Arial" w:hAnsi="Arial" w:cs="Arial"/>
                <w:sz w:val="24"/>
                <w:szCs w:val="24"/>
              </w:rPr>
              <w:t>azacitidine</w:t>
            </w:r>
            <w:proofErr w:type="spellEnd"/>
            <w:r w:rsidRPr="00FA3F9C">
              <w:rPr>
                <w:rFonts w:ascii="Arial" w:hAnsi="Arial" w:cs="Arial"/>
                <w:sz w:val="24"/>
                <w:szCs w:val="24"/>
              </w:rPr>
              <w:t xml:space="preserve"> alone.</w:t>
            </w:r>
            <w:r w:rsidRPr="00FA3F9C">
              <w:rPr>
                <w:rFonts w:ascii="Arial" w:hAnsi="Arial" w:cs="Arial"/>
                <w:sz w:val="24"/>
                <w:szCs w:val="24"/>
                <w:vertAlign w:val="superscript"/>
              </w:rPr>
              <w:t>7</w:t>
            </w:r>
          </w:p>
          <w:p w14:paraId="3926216A" w14:textId="77777777" w:rsidR="005C142D" w:rsidRPr="00FA3F9C" w:rsidRDefault="005C142D" w:rsidP="00FC1E85">
            <w:pPr>
              <w:pStyle w:val="ListParagraph"/>
              <w:numPr>
                <w:ilvl w:val="0"/>
                <w:numId w:val="503"/>
              </w:numPr>
              <w:ind w:left="155" w:hanging="155"/>
              <w:rPr>
                <w:rFonts w:ascii="Arial" w:hAnsi="Arial" w:cs="Arial"/>
                <w:sz w:val="24"/>
                <w:szCs w:val="24"/>
              </w:rPr>
            </w:pPr>
            <w:r w:rsidRPr="00FA3F9C">
              <w:rPr>
                <w:rFonts w:ascii="Arial" w:hAnsi="Arial" w:cs="Arial"/>
                <w:sz w:val="24"/>
                <w:szCs w:val="24"/>
              </w:rPr>
              <w:t xml:space="preserve">No overall survival benefit has been demonstrated to date for </w:t>
            </w:r>
            <w:proofErr w:type="spellStart"/>
            <w:r w:rsidRPr="00FA3F9C">
              <w:rPr>
                <w:rFonts w:ascii="Arial" w:hAnsi="Arial" w:cs="Arial"/>
                <w:sz w:val="24"/>
                <w:szCs w:val="24"/>
              </w:rPr>
              <w:t>venetoclax+decitabine</w:t>
            </w:r>
            <w:proofErr w:type="spellEnd"/>
            <w:r w:rsidRPr="00FA3F9C">
              <w:rPr>
                <w:rFonts w:ascii="Arial" w:hAnsi="Arial" w:cs="Arial"/>
                <w:sz w:val="24"/>
                <w:szCs w:val="24"/>
              </w:rPr>
              <w:t xml:space="preserve"> vs decitabine OR </w:t>
            </w:r>
            <w:proofErr w:type="spellStart"/>
            <w:r w:rsidRPr="00FA3F9C">
              <w:rPr>
                <w:rFonts w:ascii="Arial" w:hAnsi="Arial" w:cs="Arial"/>
                <w:sz w:val="24"/>
                <w:szCs w:val="24"/>
              </w:rPr>
              <w:t>venetoclax+cytarabine</w:t>
            </w:r>
            <w:proofErr w:type="spellEnd"/>
            <w:r w:rsidRPr="00FA3F9C">
              <w:rPr>
                <w:rFonts w:ascii="Arial" w:hAnsi="Arial" w:cs="Arial"/>
                <w:sz w:val="24"/>
                <w:szCs w:val="24"/>
              </w:rPr>
              <w:t xml:space="preserve"> vs cytarabine.</w:t>
            </w:r>
          </w:p>
          <w:tbl>
            <w:tblPr>
              <w:tblStyle w:val="TableGrid"/>
              <w:tblW w:w="8900" w:type="dxa"/>
              <w:jc w:val="center"/>
              <w:tblLook w:val="04A0" w:firstRow="1" w:lastRow="0" w:firstColumn="1" w:lastColumn="0" w:noHBand="0" w:noVBand="1"/>
            </w:tblPr>
            <w:tblGrid>
              <w:gridCol w:w="1550"/>
              <w:gridCol w:w="1466"/>
              <w:gridCol w:w="2084"/>
              <w:gridCol w:w="1297"/>
              <w:gridCol w:w="2511"/>
              <w:gridCol w:w="2511"/>
            </w:tblGrid>
            <w:tr w:rsidR="005C142D" w:rsidRPr="00FA3F9C" w14:paraId="5DB0D224" w14:textId="77777777" w:rsidTr="00214E24">
              <w:trPr>
                <w:trHeight w:val="93"/>
                <w:jc w:val="center"/>
              </w:trPr>
              <w:tc>
                <w:tcPr>
                  <w:tcW w:w="8900" w:type="dxa"/>
                  <w:gridSpan w:val="6"/>
                  <w:shd w:val="clear" w:color="auto" w:fill="D9D9D9" w:themeFill="background1" w:themeFillShade="D9"/>
                </w:tcPr>
                <w:p w14:paraId="06DCBFA5" w14:textId="77777777" w:rsidR="005C142D" w:rsidRPr="00FA3F9C" w:rsidRDefault="005C142D" w:rsidP="003F4E55">
                  <w:pPr>
                    <w:pStyle w:val="ListParagraph"/>
                    <w:ind w:left="-29"/>
                    <w:rPr>
                      <w:rFonts w:ascii="Arial" w:hAnsi="Arial" w:cs="Arial"/>
                      <w:b/>
                      <w:sz w:val="24"/>
                      <w:szCs w:val="24"/>
                    </w:rPr>
                  </w:pPr>
                  <w:r w:rsidRPr="00FA3F9C">
                    <w:rPr>
                      <w:rFonts w:ascii="Arial" w:hAnsi="Arial" w:cs="Arial"/>
                      <w:b/>
                      <w:sz w:val="24"/>
                      <w:szCs w:val="24"/>
                    </w:rPr>
                    <w:t>Studies of older patients with AML (all untreated)</w:t>
                  </w:r>
                </w:p>
              </w:tc>
            </w:tr>
            <w:tr w:rsidR="005C142D" w:rsidRPr="00FA3F9C" w14:paraId="2B449C70" w14:textId="77777777" w:rsidTr="003F4E55">
              <w:trPr>
                <w:trHeight w:val="151"/>
                <w:jc w:val="center"/>
              </w:trPr>
              <w:tc>
                <w:tcPr>
                  <w:tcW w:w="1205" w:type="dxa"/>
                  <w:shd w:val="clear" w:color="auto" w:fill="D9D9D9" w:themeFill="background1" w:themeFillShade="D9"/>
                </w:tcPr>
                <w:p w14:paraId="637A8791" w14:textId="77777777" w:rsidR="005C142D" w:rsidRPr="00FA3F9C" w:rsidRDefault="005C142D" w:rsidP="00214E24">
                  <w:pPr>
                    <w:rPr>
                      <w:rFonts w:ascii="Arial" w:hAnsi="Arial" w:cs="Arial"/>
                      <w:b/>
                      <w:sz w:val="24"/>
                      <w:szCs w:val="24"/>
                    </w:rPr>
                  </w:pPr>
                </w:p>
              </w:tc>
              <w:tc>
                <w:tcPr>
                  <w:tcW w:w="1407" w:type="dxa"/>
                  <w:shd w:val="clear" w:color="auto" w:fill="D9D9D9" w:themeFill="background1" w:themeFillShade="D9"/>
                  <w:vAlign w:val="center"/>
                </w:tcPr>
                <w:p w14:paraId="6EAFB35E" w14:textId="77777777" w:rsidR="005C142D" w:rsidRPr="00FA3F9C" w:rsidRDefault="005C142D" w:rsidP="00214E24">
                  <w:pPr>
                    <w:jc w:val="center"/>
                    <w:rPr>
                      <w:rFonts w:ascii="Arial" w:hAnsi="Arial" w:cs="Arial"/>
                      <w:sz w:val="24"/>
                      <w:szCs w:val="24"/>
                    </w:rPr>
                  </w:pPr>
                  <w:r w:rsidRPr="00FA3F9C">
                    <w:rPr>
                      <w:rFonts w:ascii="Arial" w:hAnsi="Arial" w:cs="Arial"/>
                      <w:sz w:val="24"/>
                      <w:szCs w:val="24"/>
                    </w:rPr>
                    <w:t>Azacitidine</w:t>
                  </w:r>
                  <w:r w:rsidRPr="00FA3F9C">
                    <w:rPr>
                      <w:rFonts w:ascii="Arial" w:hAnsi="Arial" w:cs="Arial"/>
                      <w:sz w:val="24"/>
                      <w:szCs w:val="24"/>
                      <w:vertAlign w:val="superscript"/>
                    </w:rPr>
                    <w:t>2</w:t>
                  </w:r>
                </w:p>
              </w:tc>
              <w:tc>
                <w:tcPr>
                  <w:tcW w:w="1435" w:type="dxa"/>
                  <w:shd w:val="clear" w:color="auto" w:fill="D9D9D9" w:themeFill="background1" w:themeFillShade="D9"/>
                  <w:vAlign w:val="center"/>
                </w:tcPr>
                <w:p w14:paraId="65811A5A" w14:textId="77777777" w:rsidR="005C142D" w:rsidRPr="00FA3F9C" w:rsidRDefault="005C142D" w:rsidP="00214E24">
                  <w:pPr>
                    <w:jc w:val="center"/>
                    <w:rPr>
                      <w:rFonts w:ascii="Arial" w:hAnsi="Arial" w:cs="Arial"/>
                      <w:sz w:val="24"/>
                      <w:szCs w:val="24"/>
                    </w:rPr>
                  </w:pPr>
                  <w:r w:rsidRPr="00FA3F9C">
                    <w:rPr>
                      <w:rFonts w:ascii="Arial" w:hAnsi="Arial" w:cs="Arial"/>
                      <w:sz w:val="24"/>
                      <w:szCs w:val="24"/>
                    </w:rPr>
                    <w:t>Decitabine</w:t>
                  </w:r>
                  <w:r w:rsidRPr="00FA3F9C">
                    <w:rPr>
                      <w:rFonts w:ascii="Arial" w:hAnsi="Arial" w:cs="Arial"/>
                      <w:sz w:val="24"/>
                      <w:szCs w:val="24"/>
                      <w:vertAlign w:val="superscript"/>
                    </w:rPr>
                    <w:t>3</w:t>
                  </w:r>
                </w:p>
              </w:tc>
              <w:tc>
                <w:tcPr>
                  <w:tcW w:w="1325" w:type="dxa"/>
                  <w:shd w:val="clear" w:color="auto" w:fill="D9D9D9" w:themeFill="background1" w:themeFillShade="D9"/>
                  <w:vAlign w:val="center"/>
                </w:tcPr>
                <w:p w14:paraId="24DCDC9E" w14:textId="77777777" w:rsidR="005C142D" w:rsidRPr="00FA3F9C" w:rsidRDefault="005C142D" w:rsidP="00214E24">
                  <w:pPr>
                    <w:jc w:val="center"/>
                    <w:rPr>
                      <w:rFonts w:ascii="Arial" w:hAnsi="Arial" w:cs="Arial"/>
                      <w:sz w:val="24"/>
                      <w:szCs w:val="24"/>
                    </w:rPr>
                  </w:pPr>
                  <w:proofErr w:type="spellStart"/>
                  <w:r w:rsidRPr="00FA3F9C">
                    <w:rPr>
                      <w:rFonts w:ascii="Arial" w:hAnsi="Arial" w:cs="Arial"/>
                      <w:sz w:val="24"/>
                      <w:szCs w:val="24"/>
                    </w:rPr>
                    <w:t>Glasdegib</w:t>
                  </w:r>
                  <w:proofErr w:type="spellEnd"/>
                  <w:r w:rsidRPr="00FA3F9C">
                    <w:rPr>
                      <w:rFonts w:ascii="Arial" w:hAnsi="Arial" w:cs="Arial"/>
                      <w:sz w:val="24"/>
                      <w:szCs w:val="24"/>
                    </w:rPr>
                    <w:t xml:space="preserve"> + LDAC</w:t>
                  </w:r>
                  <w:r w:rsidRPr="00FA3F9C">
                    <w:rPr>
                      <w:rFonts w:ascii="Arial" w:hAnsi="Arial" w:cs="Arial"/>
                      <w:sz w:val="24"/>
                      <w:szCs w:val="24"/>
                      <w:vertAlign w:val="superscript"/>
                    </w:rPr>
                    <w:t>4</w:t>
                  </w:r>
                </w:p>
              </w:tc>
              <w:tc>
                <w:tcPr>
                  <w:tcW w:w="1953" w:type="dxa"/>
                  <w:shd w:val="clear" w:color="auto" w:fill="D9D9D9" w:themeFill="background1" w:themeFillShade="D9"/>
                  <w:vAlign w:val="center"/>
                </w:tcPr>
                <w:p w14:paraId="48085EC8" w14:textId="77777777" w:rsidR="005C142D" w:rsidRPr="00FA3F9C" w:rsidRDefault="005C142D" w:rsidP="00214E24">
                  <w:pPr>
                    <w:pStyle w:val="ListParagraph"/>
                    <w:ind w:left="249"/>
                    <w:jc w:val="center"/>
                    <w:rPr>
                      <w:rFonts w:ascii="Arial" w:hAnsi="Arial" w:cs="Arial"/>
                      <w:sz w:val="24"/>
                      <w:szCs w:val="24"/>
                    </w:rPr>
                  </w:pPr>
                  <w:proofErr w:type="spellStart"/>
                  <w:r w:rsidRPr="00FA3F9C">
                    <w:rPr>
                      <w:rFonts w:ascii="Arial" w:hAnsi="Arial" w:cs="Arial"/>
                      <w:sz w:val="24"/>
                      <w:szCs w:val="24"/>
                    </w:rPr>
                    <w:t>Venetoclax</w:t>
                  </w:r>
                  <w:proofErr w:type="spellEnd"/>
                  <w:r w:rsidRPr="00FA3F9C">
                    <w:rPr>
                      <w:rFonts w:ascii="Arial" w:hAnsi="Arial" w:cs="Arial"/>
                      <w:sz w:val="24"/>
                      <w:szCs w:val="24"/>
                    </w:rPr>
                    <w:t xml:space="preserve"> + </w:t>
                  </w:r>
                </w:p>
                <w:p w14:paraId="04290024" w14:textId="77777777" w:rsidR="005C142D" w:rsidRPr="00FA3F9C" w:rsidRDefault="005C142D" w:rsidP="00214E24">
                  <w:pPr>
                    <w:pStyle w:val="ListParagraph"/>
                    <w:ind w:left="249"/>
                    <w:jc w:val="center"/>
                    <w:rPr>
                      <w:rFonts w:ascii="Arial" w:hAnsi="Arial" w:cs="Arial"/>
                      <w:sz w:val="24"/>
                      <w:szCs w:val="24"/>
                    </w:rPr>
                  </w:pPr>
                  <w:proofErr w:type="spellStart"/>
                  <w:r w:rsidRPr="00FA3F9C">
                    <w:rPr>
                      <w:rFonts w:ascii="Arial" w:hAnsi="Arial" w:cs="Arial"/>
                      <w:sz w:val="24"/>
                      <w:szCs w:val="24"/>
                    </w:rPr>
                    <w:lastRenderedPageBreak/>
                    <w:t>azacitidine</w:t>
                  </w:r>
                  <w:proofErr w:type="spellEnd"/>
                  <w:r w:rsidRPr="00FA3F9C">
                    <w:rPr>
                      <w:rFonts w:ascii="Arial" w:hAnsi="Arial" w:cs="Arial"/>
                      <w:sz w:val="24"/>
                      <w:szCs w:val="24"/>
                    </w:rPr>
                    <w:t xml:space="preserve"> or decitabine</w:t>
                  </w:r>
                  <w:r w:rsidRPr="00FA3F9C">
                    <w:rPr>
                      <w:rFonts w:ascii="Arial" w:hAnsi="Arial" w:cs="Arial"/>
                      <w:sz w:val="24"/>
                      <w:szCs w:val="24"/>
                      <w:vertAlign w:val="superscript"/>
                    </w:rPr>
                    <w:t>5</w:t>
                  </w:r>
                </w:p>
              </w:tc>
              <w:tc>
                <w:tcPr>
                  <w:tcW w:w="1575" w:type="dxa"/>
                  <w:shd w:val="clear" w:color="auto" w:fill="D9D9D9" w:themeFill="background1" w:themeFillShade="D9"/>
                  <w:vAlign w:val="center"/>
                </w:tcPr>
                <w:p w14:paraId="33F7249E" w14:textId="77777777" w:rsidR="005C142D" w:rsidRPr="00FA3F9C" w:rsidRDefault="005C142D" w:rsidP="00214E24">
                  <w:pPr>
                    <w:pStyle w:val="ListParagraph"/>
                    <w:ind w:left="249"/>
                    <w:jc w:val="center"/>
                    <w:rPr>
                      <w:rFonts w:ascii="Arial" w:hAnsi="Arial" w:cs="Arial"/>
                      <w:sz w:val="24"/>
                      <w:szCs w:val="24"/>
                    </w:rPr>
                  </w:pPr>
                  <w:proofErr w:type="spellStart"/>
                  <w:r w:rsidRPr="00FA3F9C">
                    <w:rPr>
                      <w:rFonts w:ascii="Arial" w:hAnsi="Arial" w:cs="Arial"/>
                      <w:sz w:val="24"/>
                      <w:szCs w:val="24"/>
                    </w:rPr>
                    <w:lastRenderedPageBreak/>
                    <w:t>Venetoclax</w:t>
                  </w:r>
                  <w:proofErr w:type="spellEnd"/>
                  <w:r w:rsidRPr="00FA3F9C">
                    <w:rPr>
                      <w:rFonts w:ascii="Arial" w:hAnsi="Arial" w:cs="Arial"/>
                      <w:sz w:val="24"/>
                      <w:szCs w:val="24"/>
                    </w:rPr>
                    <w:t xml:space="preserve"> + LDAC</w:t>
                  </w:r>
                  <w:r w:rsidRPr="00FA3F9C">
                    <w:rPr>
                      <w:rFonts w:ascii="Arial" w:hAnsi="Arial" w:cs="Arial"/>
                      <w:sz w:val="24"/>
                      <w:szCs w:val="24"/>
                      <w:vertAlign w:val="superscript"/>
                    </w:rPr>
                    <w:t>6</w:t>
                  </w:r>
                </w:p>
              </w:tc>
            </w:tr>
            <w:tr w:rsidR="005C142D" w:rsidRPr="00FA3F9C" w14:paraId="1B77B96E" w14:textId="77777777" w:rsidTr="003F4E55">
              <w:trPr>
                <w:trHeight w:val="296"/>
                <w:jc w:val="center"/>
              </w:trPr>
              <w:tc>
                <w:tcPr>
                  <w:tcW w:w="1205" w:type="dxa"/>
                  <w:vAlign w:val="center"/>
                </w:tcPr>
                <w:p w14:paraId="023242C4" w14:textId="77777777" w:rsidR="005C142D" w:rsidRPr="00FA3F9C" w:rsidRDefault="005C142D" w:rsidP="00214E24">
                  <w:pPr>
                    <w:rPr>
                      <w:rFonts w:ascii="Arial" w:hAnsi="Arial" w:cs="Arial"/>
                      <w:b/>
                      <w:sz w:val="24"/>
                      <w:szCs w:val="24"/>
                    </w:rPr>
                  </w:pPr>
                  <w:r w:rsidRPr="00FA3F9C">
                    <w:rPr>
                      <w:rFonts w:ascii="Arial" w:hAnsi="Arial" w:cs="Arial"/>
                      <w:b/>
                      <w:sz w:val="24"/>
                      <w:szCs w:val="24"/>
                    </w:rPr>
                    <w:t>CR</w:t>
                  </w:r>
                </w:p>
              </w:tc>
              <w:tc>
                <w:tcPr>
                  <w:tcW w:w="1407" w:type="dxa"/>
                  <w:vAlign w:val="center"/>
                </w:tcPr>
                <w:p w14:paraId="5D381704" w14:textId="77777777" w:rsidR="005C142D" w:rsidRPr="00FA3F9C" w:rsidRDefault="005C142D" w:rsidP="00214E24">
                  <w:pPr>
                    <w:rPr>
                      <w:rFonts w:ascii="Arial" w:hAnsi="Arial" w:cs="Arial"/>
                      <w:sz w:val="24"/>
                      <w:szCs w:val="24"/>
                    </w:rPr>
                  </w:pPr>
                  <w:r w:rsidRPr="00FA3F9C">
                    <w:rPr>
                      <w:rFonts w:ascii="Arial" w:hAnsi="Arial" w:cs="Arial"/>
                      <w:sz w:val="24"/>
                      <w:szCs w:val="24"/>
                    </w:rPr>
                    <w:t>18%</w:t>
                  </w:r>
                </w:p>
              </w:tc>
              <w:tc>
                <w:tcPr>
                  <w:tcW w:w="1435" w:type="dxa"/>
                  <w:vAlign w:val="center"/>
                </w:tcPr>
                <w:p w14:paraId="4BD7EF0A" w14:textId="77777777" w:rsidR="005C142D" w:rsidRPr="00FA3F9C" w:rsidRDefault="005C142D" w:rsidP="00214E24">
                  <w:pPr>
                    <w:rPr>
                      <w:rFonts w:ascii="Arial" w:hAnsi="Arial" w:cs="Arial"/>
                      <w:sz w:val="24"/>
                      <w:szCs w:val="24"/>
                    </w:rPr>
                  </w:pPr>
                  <w:r w:rsidRPr="00FA3F9C">
                    <w:rPr>
                      <w:rFonts w:ascii="Arial" w:hAnsi="Arial" w:cs="Arial"/>
                      <w:sz w:val="24"/>
                      <w:szCs w:val="24"/>
                    </w:rPr>
                    <w:t>16%</w:t>
                  </w:r>
                </w:p>
              </w:tc>
              <w:tc>
                <w:tcPr>
                  <w:tcW w:w="1325" w:type="dxa"/>
                  <w:vAlign w:val="center"/>
                </w:tcPr>
                <w:p w14:paraId="35FA2368" w14:textId="77777777" w:rsidR="005C142D" w:rsidRPr="00FA3F9C" w:rsidRDefault="005C142D" w:rsidP="00214E24">
                  <w:pPr>
                    <w:rPr>
                      <w:rFonts w:ascii="Arial" w:hAnsi="Arial" w:cs="Arial"/>
                      <w:sz w:val="24"/>
                      <w:szCs w:val="24"/>
                    </w:rPr>
                  </w:pPr>
                  <w:r w:rsidRPr="00FA3F9C">
                    <w:rPr>
                      <w:rFonts w:ascii="Arial" w:hAnsi="Arial" w:cs="Arial"/>
                      <w:sz w:val="24"/>
                      <w:szCs w:val="24"/>
                    </w:rPr>
                    <w:t>17.9%</w:t>
                  </w:r>
                </w:p>
              </w:tc>
              <w:tc>
                <w:tcPr>
                  <w:tcW w:w="1953" w:type="dxa"/>
                  <w:vAlign w:val="center"/>
                </w:tcPr>
                <w:p w14:paraId="582D1F47" w14:textId="77777777" w:rsidR="005C142D" w:rsidRPr="00FA3F9C" w:rsidRDefault="005C142D" w:rsidP="00214E24">
                  <w:pPr>
                    <w:pStyle w:val="ListParagraph"/>
                    <w:ind w:left="249"/>
                    <w:rPr>
                      <w:rFonts w:ascii="Arial" w:hAnsi="Arial" w:cs="Arial"/>
                      <w:sz w:val="24"/>
                      <w:szCs w:val="24"/>
                    </w:rPr>
                  </w:pPr>
                  <w:r w:rsidRPr="00FA3F9C">
                    <w:rPr>
                      <w:rFonts w:ascii="Arial" w:hAnsi="Arial" w:cs="Arial"/>
                      <w:sz w:val="24"/>
                      <w:szCs w:val="24"/>
                    </w:rPr>
                    <w:t>37%</w:t>
                  </w:r>
                </w:p>
              </w:tc>
              <w:tc>
                <w:tcPr>
                  <w:tcW w:w="1575" w:type="dxa"/>
                  <w:vAlign w:val="center"/>
                </w:tcPr>
                <w:p w14:paraId="5615C01B" w14:textId="77777777" w:rsidR="005C142D" w:rsidRPr="00FA3F9C" w:rsidRDefault="005C142D" w:rsidP="00214E24">
                  <w:pPr>
                    <w:pStyle w:val="ListParagraph"/>
                    <w:ind w:left="249"/>
                    <w:rPr>
                      <w:rFonts w:ascii="Arial" w:hAnsi="Arial" w:cs="Arial"/>
                      <w:sz w:val="24"/>
                      <w:szCs w:val="24"/>
                    </w:rPr>
                  </w:pPr>
                  <w:r w:rsidRPr="00FA3F9C">
                    <w:rPr>
                      <w:rFonts w:ascii="Arial" w:hAnsi="Arial" w:cs="Arial"/>
                      <w:sz w:val="24"/>
                      <w:szCs w:val="24"/>
                    </w:rPr>
                    <w:t>26%</w:t>
                  </w:r>
                </w:p>
              </w:tc>
            </w:tr>
            <w:tr w:rsidR="005C142D" w:rsidRPr="00FA3F9C" w14:paraId="580951B9" w14:textId="77777777" w:rsidTr="003F4E55">
              <w:trPr>
                <w:trHeight w:val="305"/>
                <w:jc w:val="center"/>
              </w:trPr>
              <w:tc>
                <w:tcPr>
                  <w:tcW w:w="1205" w:type="dxa"/>
                  <w:vAlign w:val="center"/>
                </w:tcPr>
                <w:p w14:paraId="5B1180D5" w14:textId="77777777" w:rsidR="005C142D" w:rsidRPr="00FA3F9C" w:rsidRDefault="005C142D" w:rsidP="00214E24">
                  <w:pPr>
                    <w:rPr>
                      <w:rFonts w:ascii="Arial" w:hAnsi="Arial" w:cs="Arial"/>
                      <w:b/>
                      <w:sz w:val="24"/>
                      <w:szCs w:val="24"/>
                    </w:rPr>
                  </w:pPr>
                  <w:proofErr w:type="spellStart"/>
                  <w:r w:rsidRPr="00FA3F9C">
                    <w:rPr>
                      <w:rFonts w:ascii="Arial" w:hAnsi="Arial" w:cs="Arial"/>
                      <w:b/>
                      <w:sz w:val="24"/>
                      <w:szCs w:val="24"/>
                    </w:rPr>
                    <w:t>CRi</w:t>
                  </w:r>
                  <w:proofErr w:type="spellEnd"/>
                </w:p>
              </w:tc>
              <w:tc>
                <w:tcPr>
                  <w:tcW w:w="1407" w:type="dxa"/>
                  <w:vAlign w:val="center"/>
                </w:tcPr>
                <w:p w14:paraId="49885D58" w14:textId="77777777" w:rsidR="005C142D" w:rsidRPr="00FA3F9C" w:rsidRDefault="005C142D" w:rsidP="00214E24">
                  <w:pPr>
                    <w:rPr>
                      <w:rFonts w:ascii="Arial" w:hAnsi="Arial" w:cs="Arial"/>
                      <w:sz w:val="24"/>
                      <w:szCs w:val="24"/>
                    </w:rPr>
                  </w:pPr>
                  <w:r w:rsidRPr="00FA3F9C">
                    <w:rPr>
                      <w:rFonts w:ascii="Arial" w:hAnsi="Arial" w:cs="Arial"/>
                      <w:sz w:val="24"/>
                      <w:szCs w:val="24"/>
                    </w:rPr>
                    <w:t>NR</w:t>
                  </w:r>
                </w:p>
              </w:tc>
              <w:tc>
                <w:tcPr>
                  <w:tcW w:w="1435" w:type="dxa"/>
                  <w:vAlign w:val="center"/>
                </w:tcPr>
                <w:p w14:paraId="0F71DD60" w14:textId="77777777" w:rsidR="005C142D" w:rsidRPr="00FA3F9C" w:rsidRDefault="005C142D" w:rsidP="00214E24">
                  <w:pPr>
                    <w:rPr>
                      <w:rFonts w:ascii="Arial" w:hAnsi="Arial" w:cs="Arial"/>
                      <w:sz w:val="24"/>
                      <w:szCs w:val="24"/>
                    </w:rPr>
                  </w:pPr>
                  <w:r w:rsidRPr="00FA3F9C">
                    <w:rPr>
                      <w:rFonts w:ascii="Arial" w:hAnsi="Arial" w:cs="Arial"/>
                      <w:sz w:val="24"/>
                      <w:szCs w:val="24"/>
                    </w:rPr>
                    <w:t>9.9%</w:t>
                  </w:r>
                </w:p>
              </w:tc>
              <w:tc>
                <w:tcPr>
                  <w:tcW w:w="1325" w:type="dxa"/>
                  <w:vAlign w:val="center"/>
                </w:tcPr>
                <w:p w14:paraId="1E466EA3" w14:textId="77777777" w:rsidR="005C142D" w:rsidRPr="00FA3F9C" w:rsidRDefault="005C142D" w:rsidP="00214E24">
                  <w:pPr>
                    <w:rPr>
                      <w:rFonts w:ascii="Arial" w:hAnsi="Arial" w:cs="Arial"/>
                      <w:sz w:val="24"/>
                      <w:szCs w:val="24"/>
                    </w:rPr>
                  </w:pPr>
                  <w:r w:rsidRPr="00FA3F9C">
                    <w:rPr>
                      <w:rFonts w:ascii="Arial" w:hAnsi="Arial" w:cs="Arial"/>
                      <w:sz w:val="24"/>
                      <w:szCs w:val="24"/>
                    </w:rPr>
                    <w:t>6.4%</w:t>
                  </w:r>
                </w:p>
              </w:tc>
              <w:tc>
                <w:tcPr>
                  <w:tcW w:w="1953" w:type="dxa"/>
                  <w:vAlign w:val="center"/>
                </w:tcPr>
                <w:p w14:paraId="0F0F36FD" w14:textId="77777777" w:rsidR="005C142D" w:rsidRPr="00FA3F9C" w:rsidRDefault="005C142D" w:rsidP="00214E24">
                  <w:pPr>
                    <w:pStyle w:val="ListParagraph"/>
                    <w:ind w:left="249"/>
                    <w:rPr>
                      <w:rFonts w:ascii="Arial" w:hAnsi="Arial" w:cs="Arial"/>
                      <w:sz w:val="24"/>
                      <w:szCs w:val="24"/>
                    </w:rPr>
                  </w:pPr>
                  <w:r w:rsidRPr="00FA3F9C">
                    <w:rPr>
                      <w:rFonts w:ascii="Arial" w:hAnsi="Arial" w:cs="Arial"/>
                      <w:sz w:val="24"/>
                      <w:szCs w:val="24"/>
                    </w:rPr>
                    <w:t>30%</w:t>
                  </w:r>
                </w:p>
              </w:tc>
              <w:tc>
                <w:tcPr>
                  <w:tcW w:w="1575" w:type="dxa"/>
                  <w:vAlign w:val="center"/>
                </w:tcPr>
                <w:p w14:paraId="55BD3E3B" w14:textId="77777777" w:rsidR="005C142D" w:rsidRPr="00FA3F9C" w:rsidRDefault="005C142D" w:rsidP="00214E24">
                  <w:pPr>
                    <w:pStyle w:val="ListParagraph"/>
                    <w:ind w:left="249"/>
                    <w:rPr>
                      <w:rFonts w:ascii="Arial" w:hAnsi="Arial" w:cs="Arial"/>
                      <w:sz w:val="24"/>
                      <w:szCs w:val="24"/>
                    </w:rPr>
                  </w:pPr>
                  <w:r w:rsidRPr="00FA3F9C">
                    <w:rPr>
                      <w:rFonts w:ascii="Arial" w:hAnsi="Arial" w:cs="Arial"/>
                      <w:sz w:val="24"/>
                      <w:szCs w:val="24"/>
                    </w:rPr>
                    <w:t>28%</w:t>
                  </w:r>
                </w:p>
              </w:tc>
            </w:tr>
            <w:tr w:rsidR="005C142D" w:rsidRPr="00FA3F9C" w14:paraId="54F180AF" w14:textId="77777777" w:rsidTr="003F4E55">
              <w:trPr>
                <w:trHeight w:val="296"/>
                <w:jc w:val="center"/>
              </w:trPr>
              <w:tc>
                <w:tcPr>
                  <w:tcW w:w="1205" w:type="dxa"/>
                  <w:vAlign w:val="center"/>
                </w:tcPr>
                <w:p w14:paraId="7890FC72" w14:textId="77777777" w:rsidR="005C142D" w:rsidRPr="00FA3F9C" w:rsidRDefault="005C142D" w:rsidP="00214E24">
                  <w:pPr>
                    <w:rPr>
                      <w:rFonts w:ascii="Arial" w:hAnsi="Arial" w:cs="Arial"/>
                      <w:b/>
                      <w:sz w:val="24"/>
                      <w:szCs w:val="24"/>
                    </w:rPr>
                  </w:pPr>
                  <w:r w:rsidRPr="00FA3F9C">
                    <w:rPr>
                      <w:rFonts w:ascii="Arial" w:hAnsi="Arial" w:cs="Arial"/>
                      <w:b/>
                      <w:sz w:val="24"/>
                      <w:szCs w:val="24"/>
                    </w:rPr>
                    <w:t>OS</w:t>
                  </w:r>
                </w:p>
              </w:tc>
              <w:tc>
                <w:tcPr>
                  <w:tcW w:w="1407" w:type="dxa"/>
                  <w:vAlign w:val="center"/>
                </w:tcPr>
                <w:p w14:paraId="6D31A43D" w14:textId="77777777" w:rsidR="005C142D" w:rsidRPr="00FA3F9C" w:rsidRDefault="005C142D" w:rsidP="00214E24">
                  <w:pPr>
                    <w:rPr>
                      <w:rFonts w:ascii="Arial" w:hAnsi="Arial" w:cs="Arial"/>
                      <w:sz w:val="24"/>
                      <w:szCs w:val="24"/>
                    </w:rPr>
                  </w:pPr>
                  <w:r w:rsidRPr="00FA3F9C">
                    <w:rPr>
                      <w:rFonts w:ascii="Arial" w:hAnsi="Arial" w:cs="Arial"/>
                      <w:sz w:val="24"/>
                      <w:szCs w:val="24"/>
                    </w:rPr>
                    <w:t xml:space="preserve">25 </w:t>
                  </w:r>
                  <w:proofErr w:type="spellStart"/>
                  <w:r w:rsidRPr="00FA3F9C">
                    <w:rPr>
                      <w:rFonts w:ascii="Arial" w:hAnsi="Arial" w:cs="Arial"/>
                      <w:sz w:val="24"/>
                      <w:szCs w:val="24"/>
                    </w:rPr>
                    <w:t>mo</w:t>
                  </w:r>
                  <w:proofErr w:type="spellEnd"/>
                  <w:r w:rsidRPr="00FA3F9C">
                    <w:rPr>
                      <w:rFonts w:ascii="Arial" w:hAnsi="Arial" w:cs="Arial"/>
                      <w:sz w:val="24"/>
                      <w:szCs w:val="24"/>
                    </w:rPr>
                    <w:t>^</w:t>
                  </w:r>
                </w:p>
              </w:tc>
              <w:tc>
                <w:tcPr>
                  <w:tcW w:w="1435" w:type="dxa"/>
                  <w:vAlign w:val="center"/>
                </w:tcPr>
                <w:p w14:paraId="247697B2" w14:textId="77777777" w:rsidR="005C142D" w:rsidRPr="00FA3F9C" w:rsidRDefault="005C142D" w:rsidP="00214E24">
                  <w:pPr>
                    <w:rPr>
                      <w:rFonts w:ascii="Arial" w:hAnsi="Arial" w:cs="Arial"/>
                      <w:sz w:val="24"/>
                      <w:szCs w:val="24"/>
                    </w:rPr>
                  </w:pPr>
                  <w:r w:rsidRPr="00FA3F9C">
                    <w:rPr>
                      <w:rFonts w:ascii="Arial" w:hAnsi="Arial" w:cs="Arial"/>
                      <w:sz w:val="24"/>
                      <w:szCs w:val="24"/>
                    </w:rPr>
                    <w:t xml:space="preserve">8 </w:t>
                  </w:r>
                  <w:proofErr w:type="spellStart"/>
                  <w:r w:rsidRPr="00FA3F9C">
                    <w:rPr>
                      <w:rFonts w:ascii="Arial" w:hAnsi="Arial" w:cs="Arial"/>
                      <w:sz w:val="24"/>
                      <w:szCs w:val="24"/>
                    </w:rPr>
                    <w:t>mo</w:t>
                  </w:r>
                  <w:proofErr w:type="spellEnd"/>
                  <w:r w:rsidRPr="00FA3F9C">
                    <w:rPr>
                      <w:rFonts w:ascii="Arial" w:hAnsi="Arial" w:cs="Arial"/>
                      <w:sz w:val="24"/>
                      <w:szCs w:val="24"/>
                    </w:rPr>
                    <w:t>^^</w:t>
                  </w:r>
                </w:p>
              </w:tc>
              <w:tc>
                <w:tcPr>
                  <w:tcW w:w="1325" w:type="dxa"/>
                  <w:vAlign w:val="center"/>
                </w:tcPr>
                <w:p w14:paraId="74A651EA" w14:textId="77777777" w:rsidR="005C142D" w:rsidRPr="00FA3F9C" w:rsidRDefault="005C142D" w:rsidP="00214E24">
                  <w:pPr>
                    <w:rPr>
                      <w:rFonts w:ascii="Arial" w:hAnsi="Arial" w:cs="Arial"/>
                      <w:sz w:val="24"/>
                      <w:szCs w:val="24"/>
                    </w:rPr>
                  </w:pPr>
                  <w:r w:rsidRPr="00FA3F9C">
                    <w:rPr>
                      <w:rFonts w:ascii="Arial" w:hAnsi="Arial" w:cs="Arial"/>
                      <w:sz w:val="24"/>
                      <w:szCs w:val="24"/>
                    </w:rPr>
                    <w:t xml:space="preserve">8 </w:t>
                  </w:r>
                  <w:proofErr w:type="spellStart"/>
                  <w:r w:rsidRPr="00FA3F9C">
                    <w:rPr>
                      <w:rFonts w:ascii="Arial" w:hAnsi="Arial" w:cs="Arial"/>
                      <w:sz w:val="24"/>
                      <w:szCs w:val="24"/>
                    </w:rPr>
                    <w:t>mo</w:t>
                  </w:r>
                  <w:proofErr w:type="spellEnd"/>
                  <w:r w:rsidRPr="00FA3F9C">
                    <w:rPr>
                      <w:rFonts w:ascii="Arial" w:hAnsi="Arial" w:cs="Arial"/>
                      <w:sz w:val="24"/>
                      <w:szCs w:val="24"/>
                    </w:rPr>
                    <w:t>*</w:t>
                  </w:r>
                </w:p>
              </w:tc>
              <w:tc>
                <w:tcPr>
                  <w:tcW w:w="1953" w:type="dxa"/>
                  <w:vAlign w:val="center"/>
                </w:tcPr>
                <w:p w14:paraId="2BA17E70" w14:textId="77777777" w:rsidR="005C142D" w:rsidRPr="00FA3F9C" w:rsidRDefault="005C142D" w:rsidP="00214E24">
                  <w:pPr>
                    <w:pStyle w:val="ListParagraph"/>
                    <w:ind w:left="249"/>
                    <w:rPr>
                      <w:rFonts w:ascii="Arial" w:hAnsi="Arial" w:cs="Arial"/>
                      <w:sz w:val="24"/>
                      <w:szCs w:val="24"/>
                    </w:rPr>
                  </w:pPr>
                  <w:r w:rsidRPr="00FA3F9C">
                    <w:rPr>
                      <w:rFonts w:ascii="Arial" w:hAnsi="Arial" w:cs="Arial"/>
                      <w:sz w:val="24"/>
                      <w:szCs w:val="24"/>
                    </w:rPr>
                    <w:t xml:space="preserve">17.5 </w:t>
                  </w:r>
                  <w:proofErr w:type="spellStart"/>
                  <w:r w:rsidRPr="00FA3F9C">
                    <w:rPr>
                      <w:rFonts w:ascii="Arial" w:hAnsi="Arial" w:cs="Arial"/>
                      <w:sz w:val="24"/>
                      <w:szCs w:val="24"/>
                    </w:rPr>
                    <w:t>mo</w:t>
                  </w:r>
                  <w:proofErr w:type="spellEnd"/>
                </w:p>
              </w:tc>
              <w:tc>
                <w:tcPr>
                  <w:tcW w:w="1575" w:type="dxa"/>
                  <w:vAlign w:val="center"/>
                </w:tcPr>
                <w:p w14:paraId="6D7C4F0C" w14:textId="77777777" w:rsidR="005C142D" w:rsidRPr="00FA3F9C" w:rsidRDefault="005C142D" w:rsidP="00214E24">
                  <w:pPr>
                    <w:pStyle w:val="ListParagraph"/>
                    <w:ind w:left="249"/>
                    <w:rPr>
                      <w:rFonts w:ascii="Arial" w:hAnsi="Arial" w:cs="Arial"/>
                      <w:sz w:val="24"/>
                      <w:szCs w:val="24"/>
                    </w:rPr>
                  </w:pPr>
                  <w:r w:rsidRPr="00FA3F9C">
                    <w:rPr>
                      <w:rFonts w:ascii="Arial" w:hAnsi="Arial" w:cs="Arial"/>
                      <w:sz w:val="24"/>
                      <w:szCs w:val="24"/>
                    </w:rPr>
                    <w:t xml:space="preserve">10 </w:t>
                  </w:r>
                  <w:proofErr w:type="spellStart"/>
                  <w:r w:rsidRPr="00FA3F9C">
                    <w:rPr>
                      <w:rFonts w:ascii="Arial" w:hAnsi="Arial" w:cs="Arial"/>
                      <w:sz w:val="24"/>
                      <w:szCs w:val="24"/>
                    </w:rPr>
                    <w:t>mo</w:t>
                  </w:r>
                  <w:proofErr w:type="spellEnd"/>
                </w:p>
              </w:tc>
            </w:tr>
            <w:tr w:rsidR="005C142D" w:rsidRPr="00FA3F9C" w14:paraId="4534F90A" w14:textId="77777777" w:rsidTr="00214E24">
              <w:trPr>
                <w:trHeight w:val="57"/>
                <w:jc w:val="center"/>
              </w:trPr>
              <w:tc>
                <w:tcPr>
                  <w:tcW w:w="8900" w:type="dxa"/>
                  <w:gridSpan w:val="6"/>
                  <w:shd w:val="clear" w:color="auto" w:fill="D9D9D9" w:themeFill="background1" w:themeFillShade="D9"/>
                </w:tcPr>
                <w:p w14:paraId="4FE2A732" w14:textId="77777777" w:rsidR="005C142D" w:rsidRPr="00FA3F9C" w:rsidRDefault="005C142D" w:rsidP="003F4E55">
                  <w:pPr>
                    <w:pStyle w:val="ListParagraph"/>
                    <w:ind w:left="0"/>
                    <w:rPr>
                      <w:rFonts w:ascii="Arial" w:hAnsi="Arial" w:cs="Arial"/>
                      <w:b/>
                      <w:sz w:val="24"/>
                      <w:szCs w:val="24"/>
                    </w:rPr>
                  </w:pPr>
                  <w:r w:rsidRPr="00FA3F9C">
                    <w:rPr>
                      <w:rFonts w:ascii="Arial" w:hAnsi="Arial" w:cs="Arial"/>
                      <w:b/>
                      <w:sz w:val="24"/>
                      <w:szCs w:val="24"/>
                    </w:rPr>
                    <w:t>Selected baseline characteristics</w:t>
                  </w:r>
                </w:p>
              </w:tc>
            </w:tr>
            <w:tr w:rsidR="005C142D" w:rsidRPr="00FA3F9C" w14:paraId="3255DB96" w14:textId="77777777" w:rsidTr="003F4E55">
              <w:trPr>
                <w:trHeight w:val="463"/>
                <w:jc w:val="center"/>
              </w:trPr>
              <w:tc>
                <w:tcPr>
                  <w:tcW w:w="1205" w:type="dxa"/>
                  <w:vAlign w:val="center"/>
                </w:tcPr>
                <w:p w14:paraId="1C42C03D" w14:textId="77777777" w:rsidR="005C142D" w:rsidRPr="00FA3F9C" w:rsidRDefault="005C142D" w:rsidP="00214E24">
                  <w:pPr>
                    <w:rPr>
                      <w:rFonts w:ascii="Arial" w:hAnsi="Arial" w:cs="Arial"/>
                      <w:b/>
                      <w:sz w:val="24"/>
                      <w:szCs w:val="24"/>
                    </w:rPr>
                  </w:pPr>
                  <w:r w:rsidRPr="00FA3F9C">
                    <w:rPr>
                      <w:rFonts w:ascii="Arial" w:hAnsi="Arial" w:cs="Arial"/>
                      <w:b/>
                      <w:sz w:val="24"/>
                      <w:szCs w:val="24"/>
                    </w:rPr>
                    <w:t>Age</w:t>
                  </w:r>
                </w:p>
              </w:tc>
              <w:tc>
                <w:tcPr>
                  <w:tcW w:w="1407" w:type="dxa"/>
                  <w:vAlign w:val="center"/>
                </w:tcPr>
                <w:p w14:paraId="47D5A233" w14:textId="77777777" w:rsidR="005C142D" w:rsidRPr="00FA3F9C" w:rsidRDefault="005C142D" w:rsidP="00214E24">
                  <w:pPr>
                    <w:rPr>
                      <w:rFonts w:ascii="Arial" w:hAnsi="Arial" w:cs="Arial"/>
                      <w:sz w:val="24"/>
                      <w:szCs w:val="24"/>
                      <w:u w:val="single"/>
                    </w:rPr>
                  </w:pPr>
                  <w:r w:rsidRPr="00FA3F9C">
                    <w:rPr>
                      <w:rFonts w:ascii="Arial" w:hAnsi="Arial" w:cs="Arial"/>
                      <w:sz w:val="24"/>
                      <w:szCs w:val="24"/>
                      <w:u w:val="single"/>
                    </w:rPr>
                    <w:t>&gt;</w:t>
                  </w:r>
                  <w:r w:rsidRPr="00FA3F9C">
                    <w:rPr>
                      <w:rFonts w:ascii="Arial" w:hAnsi="Arial" w:cs="Arial"/>
                      <w:sz w:val="24"/>
                      <w:szCs w:val="24"/>
                    </w:rPr>
                    <w:t>65y: 73%</w:t>
                  </w:r>
                </w:p>
                <w:p w14:paraId="69BC67A6" w14:textId="77777777" w:rsidR="005C142D" w:rsidRPr="00FA3F9C" w:rsidRDefault="005C142D" w:rsidP="00214E24">
                  <w:pPr>
                    <w:rPr>
                      <w:rFonts w:ascii="Arial" w:hAnsi="Arial" w:cs="Arial"/>
                      <w:sz w:val="24"/>
                      <w:szCs w:val="24"/>
                    </w:rPr>
                  </w:pPr>
                  <w:r w:rsidRPr="00FA3F9C">
                    <w:rPr>
                      <w:rFonts w:ascii="Arial" w:hAnsi="Arial" w:cs="Arial"/>
                      <w:sz w:val="24"/>
                      <w:szCs w:val="24"/>
                      <w:u w:val="single"/>
                    </w:rPr>
                    <w:t>&gt;</w:t>
                  </w:r>
                  <w:r w:rsidRPr="00FA3F9C">
                    <w:rPr>
                      <w:rFonts w:ascii="Arial" w:hAnsi="Arial" w:cs="Arial"/>
                      <w:sz w:val="24"/>
                      <w:szCs w:val="24"/>
                    </w:rPr>
                    <w:t>75y: 22%</w:t>
                  </w:r>
                </w:p>
              </w:tc>
              <w:tc>
                <w:tcPr>
                  <w:tcW w:w="1435" w:type="dxa"/>
                  <w:vAlign w:val="center"/>
                </w:tcPr>
                <w:p w14:paraId="7BE1456F" w14:textId="77777777" w:rsidR="005C142D" w:rsidRPr="00FA3F9C" w:rsidRDefault="005C142D" w:rsidP="00214E24">
                  <w:pPr>
                    <w:rPr>
                      <w:rFonts w:ascii="Arial" w:hAnsi="Arial" w:cs="Arial"/>
                      <w:sz w:val="24"/>
                      <w:szCs w:val="24"/>
                      <w:u w:val="single"/>
                    </w:rPr>
                  </w:pPr>
                  <w:r w:rsidRPr="00FA3F9C">
                    <w:rPr>
                      <w:rFonts w:ascii="Arial" w:hAnsi="Arial" w:cs="Arial"/>
                      <w:sz w:val="24"/>
                      <w:szCs w:val="24"/>
                      <w:u w:val="single"/>
                    </w:rPr>
                    <w:t>&gt;</w:t>
                  </w:r>
                  <w:r w:rsidRPr="00FA3F9C">
                    <w:rPr>
                      <w:rFonts w:ascii="Arial" w:hAnsi="Arial" w:cs="Arial"/>
                      <w:sz w:val="24"/>
                      <w:szCs w:val="24"/>
                    </w:rPr>
                    <w:t>65y: 99%</w:t>
                  </w:r>
                </w:p>
                <w:p w14:paraId="0C31B661" w14:textId="77777777" w:rsidR="005C142D" w:rsidRPr="00FA3F9C" w:rsidRDefault="005C142D" w:rsidP="00214E24">
                  <w:pPr>
                    <w:rPr>
                      <w:rFonts w:ascii="Arial" w:hAnsi="Arial" w:cs="Arial"/>
                      <w:sz w:val="24"/>
                      <w:szCs w:val="24"/>
                    </w:rPr>
                  </w:pPr>
                  <w:r w:rsidRPr="00FA3F9C">
                    <w:rPr>
                      <w:rFonts w:ascii="Arial" w:hAnsi="Arial" w:cs="Arial"/>
                      <w:sz w:val="24"/>
                      <w:szCs w:val="24"/>
                      <w:u w:val="single"/>
                    </w:rPr>
                    <w:t>&gt;</w:t>
                  </w:r>
                  <w:r w:rsidRPr="00FA3F9C">
                    <w:rPr>
                      <w:rFonts w:ascii="Arial" w:hAnsi="Arial" w:cs="Arial"/>
                      <w:sz w:val="24"/>
                      <w:szCs w:val="24"/>
                    </w:rPr>
                    <w:t>70y: 82%</w:t>
                  </w:r>
                </w:p>
              </w:tc>
              <w:tc>
                <w:tcPr>
                  <w:tcW w:w="1325" w:type="dxa"/>
                  <w:vAlign w:val="center"/>
                </w:tcPr>
                <w:p w14:paraId="6A2E4EE0" w14:textId="77777777" w:rsidR="005C142D" w:rsidRPr="00FA3F9C" w:rsidRDefault="005C142D" w:rsidP="00214E24">
                  <w:pPr>
                    <w:rPr>
                      <w:rFonts w:ascii="Arial" w:hAnsi="Arial" w:cs="Arial"/>
                      <w:sz w:val="24"/>
                      <w:szCs w:val="24"/>
                    </w:rPr>
                  </w:pPr>
                  <w:r w:rsidRPr="00FA3F9C">
                    <w:rPr>
                      <w:rFonts w:ascii="Arial" w:hAnsi="Arial" w:cs="Arial"/>
                      <w:sz w:val="24"/>
                      <w:szCs w:val="24"/>
                      <w:u w:val="single"/>
                    </w:rPr>
                    <w:t>&gt;</w:t>
                  </w:r>
                  <w:r w:rsidRPr="00FA3F9C">
                    <w:rPr>
                      <w:rFonts w:ascii="Arial" w:hAnsi="Arial" w:cs="Arial"/>
                      <w:sz w:val="24"/>
                      <w:szCs w:val="24"/>
                    </w:rPr>
                    <w:t>65y: 98%</w:t>
                  </w:r>
                </w:p>
                <w:p w14:paraId="0D94C497" w14:textId="77777777" w:rsidR="005C142D" w:rsidRPr="00FA3F9C" w:rsidRDefault="005C142D" w:rsidP="00214E24">
                  <w:pPr>
                    <w:rPr>
                      <w:rFonts w:ascii="Arial" w:hAnsi="Arial" w:cs="Arial"/>
                      <w:sz w:val="24"/>
                      <w:szCs w:val="24"/>
                    </w:rPr>
                  </w:pPr>
                  <w:r w:rsidRPr="00FA3F9C">
                    <w:rPr>
                      <w:rFonts w:ascii="Arial" w:hAnsi="Arial" w:cs="Arial"/>
                      <w:sz w:val="24"/>
                      <w:szCs w:val="24"/>
                      <w:u w:val="single"/>
                    </w:rPr>
                    <w:t>&gt;</w:t>
                  </w:r>
                  <w:r w:rsidRPr="00FA3F9C">
                    <w:rPr>
                      <w:rFonts w:ascii="Arial" w:hAnsi="Arial" w:cs="Arial"/>
                      <w:sz w:val="24"/>
                      <w:szCs w:val="24"/>
                    </w:rPr>
                    <w:t>75y: 60%</w:t>
                  </w:r>
                </w:p>
              </w:tc>
              <w:tc>
                <w:tcPr>
                  <w:tcW w:w="1953" w:type="dxa"/>
                  <w:vAlign w:val="center"/>
                </w:tcPr>
                <w:p w14:paraId="1F4686D6" w14:textId="77777777" w:rsidR="005C142D" w:rsidRPr="00FA3F9C" w:rsidRDefault="005C142D" w:rsidP="00214E24">
                  <w:pPr>
                    <w:pStyle w:val="ListParagraph"/>
                    <w:ind w:left="249"/>
                    <w:rPr>
                      <w:rFonts w:ascii="Arial" w:hAnsi="Arial" w:cs="Arial"/>
                      <w:sz w:val="24"/>
                      <w:szCs w:val="24"/>
                    </w:rPr>
                  </w:pPr>
                  <w:r w:rsidRPr="00FA3F9C">
                    <w:rPr>
                      <w:rFonts w:ascii="Arial" w:hAnsi="Arial" w:cs="Arial"/>
                      <w:sz w:val="24"/>
                      <w:szCs w:val="24"/>
                      <w:u w:val="single"/>
                    </w:rPr>
                    <w:t>&gt;</w:t>
                  </w:r>
                  <w:r w:rsidRPr="00FA3F9C">
                    <w:rPr>
                      <w:rFonts w:ascii="Arial" w:hAnsi="Arial" w:cs="Arial"/>
                      <w:sz w:val="24"/>
                      <w:szCs w:val="24"/>
                    </w:rPr>
                    <w:t>65y: 100%</w:t>
                  </w:r>
                </w:p>
                <w:p w14:paraId="6FAF7922" w14:textId="77777777" w:rsidR="005C142D" w:rsidRPr="00FA3F9C" w:rsidRDefault="005C142D" w:rsidP="00214E24">
                  <w:pPr>
                    <w:pStyle w:val="ListParagraph"/>
                    <w:ind w:left="249"/>
                    <w:rPr>
                      <w:rFonts w:ascii="Arial" w:hAnsi="Arial" w:cs="Arial"/>
                      <w:sz w:val="24"/>
                      <w:szCs w:val="24"/>
                    </w:rPr>
                  </w:pPr>
                  <w:r w:rsidRPr="00FA3F9C">
                    <w:rPr>
                      <w:rFonts w:ascii="Arial" w:hAnsi="Arial" w:cs="Arial"/>
                      <w:sz w:val="24"/>
                      <w:szCs w:val="24"/>
                      <w:u w:val="single"/>
                    </w:rPr>
                    <w:t>&gt;</w:t>
                  </w:r>
                  <w:r w:rsidRPr="00FA3F9C">
                    <w:rPr>
                      <w:rFonts w:ascii="Arial" w:hAnsi="Arial" w:cs="Arial"/>
                      <w:sz w:val="24"/>
                      <w:szCs w:val="24"/>
                    </w:rPr>
                    <w:t>75y: 36%</w:t>
                  </w:r>
                </w:p>
              </w:tc>
              <w:tc>
                <w:tcPr>
                  <w:tcW w:w="1575" w:type="dxa"/>
                  <w:vAlign w:val="center"/>
                </w:tcPr>
                <w:p w14:paraId="39C712CD" w14:textId="77777777" w:rsidR="005C142D" w:rsidRPr="00FA3F9C" w:rsidRDefault="005C142D" w:rsidP="00214E24">
                  <w:pPr>
                    <w:pStyle w:val="ListParagraph"/>
                    <w:ind w:left="249"/>
                    <w:rPr>
                      <w:rFonts w:ascii="Arial" w:hAnsi="Arial" w:cs="Arial"/>
                      <w:sz w:val="24"/>
                      <w:szCs w:val="24"/>
                    </w:rPr>
                  </w:pPr>
                  <w:r w:rsidRPr="00FA3F9C">
                    <w:rPr>
                      <w:rFonts w:ascii="Arial" w:hAnsi="Arial" w:cs="Arial"/>
                      <w:sz w:val="24"/>
                      <w:szCs w:val="24"/>
                      <w:u w:val="single"/>
                    </w:rPr>
                    <w:t>&gt;</w:t>
                  </w:r>
                  <w:r w:rsidRPr="00FA3F9C">
                    <w:rPr>
                      <w:rFonts w:ascii="Arial" w:hAnsi="Arial" w:cs="Arial"/>
                      <w:sz w:val="24"/>
                      <w:szCs w:val="24"/>
                    </w:rPr>
                    <w:t>65y: 98%</w:t>
                  </w:r>
                </w:p>
                <w:p w14:paraId="25290948" w14:textId="77777777" w:rsidR="005C142D" w:rsidRPr="00FA3F9C" w:rsidRDefault="005C142D" w:rsidP="00214E24">
                  <w:pPr>
                    <w:pStyle w:val="ListParagraph"/>
                    <w:ind w:left="249"/>
                    <w:rPr>
                      <w:rFonts w:ascii="Arial" w:hAnsi="Arial" w:cs="Arial"/>
                      <w:sz w:val="24"/>
                      <w:szCs w:val="24"/>
                    </w:rPr>
                  </w:pPr>
                  <w:r w:rsidRPr="00FA3F9C">
                    <w:rPr>
                      <w:rFonts w:ascii="Arial" w:hAnsi="Arial" w:cs="Arial"/>
                      <w:sz w:val="24"/>
                      <w:szCs w:val="24"/>
                      <w:u w:val="single"/>
                    </w:rPr>
                    <w:t>&gt;</w:t>
                  </w:r>
                  <w:r w:rsidRPr="00FA3F9C">
                    <w:rPr>
                      <w:rFonts w:ascii="Arial" w:hAnsi="Arial" w:cs="Arial"/>
                      <w:sz w:val="24"/>
                      <w:szCs w:val="24"/>
                    </w:rPr>
                    <w:t>75y:50%</w:t>
                  </w:r>
                </w:p>
              </w:tc>
            </w:tr>
            <w:tr w:rsidR="005C142D" w:rsidRPr="00FA3F9C" w14:paraId="5BB9624A" w14:textId="77777777" w:rsidTr="003F4E55">
              <w:trPr>
                <w:trHeight w:val="296"/>
                <w:jc w:val="center"/>
              </w:trPr>
              <w:tc>
                <w:tcPr>
                  <w:tcW w:w="1205" w:type="dxa"/>
                  <w:vAlign w:val="center"/>
                </w:tcPr>
                <w:p w14:paraId="22D5C776" w14:textId="77777777" w:rsidR="005C142D" w:rsidRPr="00FA3F9C" w:rsidRDefault="005C142D" w:rsidP="00214E24">
                  <w:pPr>
                    <w:rPr>
                      <w:rFonts w:ascii="Arial" w:hAnsi="Arial" w:cs="Arial"/>
                      <w:b/>
                      <w:sz w:val="24"/>
                      <w:szCs w:val="24"/>
                    </w:rPr>
                  </w:pPr>
                  <w:r w:rsidRPr="00FA3F9C">
                    <w:rPr>
                      <w:rFonts w:ascii="Arial" w:hAnsi="Arial" w:cs="Arial"/>
                      <w:b/>
                      <w:sz w:val="24"/>
                      <w:szCs w:val="24"/>
                    </w:rPr>
                    <w:t>Poor cytogenetic risk</w:t>
                  </w:r>
                </w:p>
              </w:tc>
              <w:tc>
                <w:tcPr>
                  <w:tcW w:w="1407" w:type="dxa"/>
                  <w:vAlign w:val="center"/>
                </w:tcPr>
                <w:p w14:paraId="7E51B5A8" w14:textId="77777777" w:rsidR="005C142D" w:rsidRPr="00FA3F9C" w:rsidRDefault="005C142D" w:rsidP="00214E24">
                  <w:pPr>
                    <w:rPr>
                      <w:rFonts w:ascii="Arial" w:hAnsi="Arial" w:cs="Arial"/>
                      <w:sz w:val="24"/>
                      <w:szCs w:val="24"/>
                    </w:rPr>
                  </w:pPr>
                  <w:r w:rsidRPr="00FA3F9C">
                    <w:rPr>
                      <w:rFonts w:ascii="Arial" w:hAnsi="Arial" w:cs="Arial"/>
                      <w:sz w:val="24"/>
                      <w:szCs w:val="24"/>
                    </w:rPr>
                    <w:t>24%</w:t>
                  </w:r>
                </w:p>
              </w:tc>
              <w:tc>
                <w:tcPr>
                  <w:tcW w:w="1435" w:type="dxa"/>
                  <w:vAlign w:val="center"/>
                </w:tcPr>
                <w:p w14:paraId="1FB2EC4A" w14:textId="77777777" w:rsidR="005C142D" w:rsidRPr="00FA3F9C" w:rsidRDefault="005C142D" w:rsidP="00214E24">
                  <w:pPr>
                    <w:rPr>
                      <w:rFonts w:ascii="Arial" w:hAnsi="Arial" w:cs="Arial"/>
                      <w:sz w:val="24"/>
                      <w:szCs w:val="24"/>
                    </w:rPr>
                  </w:pPr>
                  <w:r w:rsidRPr="00FA3F9C">
                    <w:rPr>
                      <w:rFonts w:ascii="Arial" w:hAnsi="Arial" w:cs="Arial"/>
                      <w:sz w:val="24"/>
                      <w:szCs w:val="24"/>
                    </w:rPr>
                    <w:t>36%</w:t>
                  </w:r>
                </w:p>
              </w:tc>
              <w:tc>
                <w:tcPr>
                  <w:tcW w:w="1325" w:type="dxa"/>
                  <w:vAlign w:val="center"/>
                </w:tcPr>
                <w:p w14:paraId="2E1F88E8" w14:textId="77777777" w:rsidR="005C142D" w:rsidRPr="00FA3F9C" w:rsidRDefault="005C142D" w:rsidP="00214E24">
                  <w:pPr>
                    <w:rPr>
                      <w:rFonts w:ascii="Arial" w:hAnsi="Arial" w:cs="Arial"/>
                      <w:sz w:val="24"/>
                      <w:szCs w:val="24"/>
                    </w:rPr>
                  </w:pPr>
                  <w:r w:rsidRPr="00FA3F9C">
                    <w:rPr>
                      <w:rFonts w:ascii="Arial" w:hAnsi="Arial" w:cs="Arial"/>
                      <w:sz w:val="24"/>
                      <w:szCs w:val="24"/>
                    </w:rPr>
                    <w:t>41%</w:t>
                  </w:r>
                </w:p>
              </w:tc>
              <w:tc>
                <w:tcPr>
                  <w:tcW w:w="1953" w:type="dxa"/>
                  <w:vAlign w:val="center"/>
                </w:tcPr>
                <w:p w14:paraId="0AD404B3" w14:textId="77777777" w:rsidR="005C142D" w:rsidRPr="00FA3F9C" w:rsidRDefault="005C142D" w:rsidP="00214E24">
                  <w:pPr>
                    <w:pStyle w:val="ListParagraph"/>
                    <w:ind w:left="249"/>
                    <w:rPr>
                      <w:rFonts w:ascii="Arial" w:hAnsi="Arial" w:cs="Arial"/>
                      <w:sz w:val="24"/>
                      <w:szCs w:val="24"/>
                    </w:rPr>
                  </w:pPr>
                  <w:r w:rsidRPr="00FA3F9C">
                    <w:rPr>
                      <w:rFonts w:ascii="Arial" w:hAnsi="Arial" w:cs="Arial"/>
                      <w:sz w:val="24"/>
                      <w:szCs w:val="24"/>
                    </w:rPr>
                    <w:t>49%</w:t>
                  </w:r>
                </w:p>
              </w:tc>
              <w:tc>
                <w:tcPr>
                  <w:tcW w:w="1575" w:type="dxa"/>
                  <w:vAlign w:val="center"/>
                </w:tcPr>
                <w:p w14:paraId="02C50765" w14:textId="77777777" w:rsidR="005C142D" w:rsidRPr="00FA3F9C" w:rsidRDefault="005C142D" w:rsidP="00214E24">
                  <w:pPr>
                    <w:pStyle w:val="ListParagraph"/>
                    <w:ind w:left="249"/>
                    <w:rPr>
                      <w:rFonts w:ascii="Arial" w:hAnsi="Arial" w:cs="Arial"/>
                      <w:sz w:val="24"/>
                      <w:szCs w:val="24"/>
                    </w:rPr>
                  </w:pPr>
                  <w:r w:rsidRPr="00FA3F9C">
                    <w:rPr>
                      <w:rFonts w:ascii="Arial" w:hAnsi="Arial" w:cs="Arial"/>
                      <w:sz w:val="24"/>
                      <w:szCs w:val="24"/>
                    </w:rPr>
                    <w:t>32%~</w:t>
                  </w:r>
                </w:p>
              </w:tc>
            </w:tr>
            <w:tr w:rsidR="005C142D" w:rsidRPr="00FA3F9C" w14:paraId="0B409CDE" w14:textId="77777777" w:rsidTr="003F4E55">
              <w:trPr>
                <w:trHeight w:val="315"/>
                <w:jc w:val="center"/>
              </w:trPr>
              <w:tc>
                <w:tcPr>
                  <w:tcW w:w="1205" w:type="dxa"/>
                  <w:vAlign w:val="center"/>
                </w:tcPr>
                <w:p w14:paraId="71FC9E5A" w14:textId="77777777" w:rsidR="005C142D" w:rsidRPr="00FA3F9C" w:rsidRDefault="005C142D" w:rsidP="00214E24">
                  <w:pPr>
                    <w:rPr>
                      <w:rFonts w:ascii="Arial" w:hAnsi="Arial" w:cs="Arial"/>
                      <w:b/>
                      <w:sz w:val="24"/>
                      <w:szCs w:val="24"/>
                    </w:rPr>
                  </w:pPr>
                  <w:r w:rsidRPr="00FA3F9C">
                    <w:rPr>
                      <w:rFonts w:ascii="Arial" w:hAnsi="Arial" w:cs="Arial"/>
                      <w:b/>
                      <w:sz w:val="24"/>
                      <w:szCs w:val="24"/>
                    </w:rPr>
                    <w:t>Blasts &lt;30%</w:t>
                  </w:r>
                </w:p>
              </w:tc>
              <w:tc>
                <w:tcPr>
                  <w:tcW w:w="1407" w:type="dxa"/>
                  <w:vAlign w:val="center"/>
                </w:tcPr>
                <w:p w14:paraId="0353E201" w14:textId="77777777" w:rsidR="005C142D" w:rsidRPr="00FA3F9C" w:rsidRDefault="005C142D" w:rsidP="00214E24">
                  <w:pPr>
                    <w:rPr>
                      <w:rFonts w:ascii="Arial" w:hAnsi="Arial" w:cs="Arial"/>
                      <w:sz w:val="24"/>
                      <w:szCs w:val="24"/>
                    </w:rPr>
                  </w:pPr>
                  <w:r w:rsidRPr="00FA3F9C">
                    <w:rPr>
                      <w:rFonts w:ascii="Arial" w:hAnsi="Arial" w:cs="Arial"/>
                      <w:sz w:val="24"/>
                      <w:szCs w:val="24"/>
                    </w:rPr>
                    <w:t>98%</w:t>
                  </w:r>
                </w:p>
              </w:tc>
              <w:tc>
                <w:tcPr>
                  <w:tcW w:w="1435" w:type="dxa"/>
                  <w:vAlign w:val="center"/>
                </w:tcPr>
                <w:p w14:paraId="4411E4DA" w14:textId="77777777" w:rsidR="005C142D" w:rsidRPr="00FA3F9C" w:rsidRDefault="005C142D" w:rsidP="00214E24">
                  <w:pPr>
                    <w:rPr>
                      <w:rFonts w:ascii="Arial" w:hAnsi="Arial" w:cs="Arial"/>
                      <w:sz w:val="24"/>
                      <w:szCs w:val="24"/>
                    </w:rPr>
                  </w:pPr>
                  <w:r w:rsidRPr="00FA3F9C">
                    <w:rPr>
                      <w:rFonts w:ascii="Arial" w:hAnsi="Arial" w:cs="Arial"/>
                      <w:sz w:val="24"/>
                      <w:szCs w:val="24"/>
                    </w:rPr>
                    <w:t>27%</w:t>
                  </w:r>
                </w:p>
              </w:tc>
              <w:tc>
                <w:tcPr>
                  <w:tcW w:w="1325" w:type="dxa"/>
                  <w:vAlign w:val="center"/>
                </w:tcPr>
                <w:p w14:paraId="7D856AA4" w14:textId="77777777" w:rsidR="005C142D" w:rsidRPr="00FA3F9C" w:rsidRDefault="005C142D" w:rsidP="00214E24">
                  <w:pPr>
                    <w:rPr>
                      <w:rFonts w:ascii="Arial" w:hAnsi="Arial" w:cs="Arial"/>
                      <w:sz w:val="24"/>
                      <w:szCs w:val="24"/>
                    </w:rPr>
                  </w:pPr>
                  <w:r w:rsidRPr="00FA3F9C">
                    <w:rPr>
                      <w:rFonts w:ascii="Arial" w:hAnsi="Arial" w:cs="Arial"/>
                      <w:sz w:val="24"/>
                      <w:szCs w:val="24"/>
                    </w:rPr>
                    <w:t>NR (Median blast count 41%)</w:t>
                  </w:r>
                </w:p>
              </w:tc>
              <w:tc>
                <w:tcPr>
                  <w:tcW w:w="1953" w:type="dxa"/>
                  <w:vAlign w:val="center"/>
                </w:tcPr>
                <w:p w14:paraId="0259188F" w14:textId="77777777" w:rsidR="005C142D" w:rsidRPr="00FA3F9C" w:rsidRDefault="005C142D" w:rsidP="00214E24">
                  <w:pPr>
                    <w:pStyle w:val="ListParagraph"/>
                    <w:ind w:left="249"/>
                    <w:rPr>
                      <w:rFonts w:ascii="Arial" w:hAnsi="Arial" w:cs="Arial"/>
                      <w:sz w:val="24"/>
                      <w:szCs w:val="24"/>
                    </w:rPr>
                  </w:pPr>
                  <w:r w:rsidRPr="00FA3F9C">
                    <w:rPr>
                      <w:rFonts w:ascii="Arial" w:hAnsi="Arial" w:cs="Arial"/>
                      <w:sz w:val="24"/>
                      <w:szCs w:val="24"/>
                    </w:rPr>
                    <w:t>24%</w:t>
                  </w:r>
                </w:p>
              </w:tc>
              <w:tc>
                <w:tcPr>
                  <w:tcW w:w="1575" w:type="dxa"/>
                  <w:vAlign w:val="center"/>
                </w:tcPr>
                <w:p w14:paraId="2F0FC68B" w14:textId="77777777" w:rsidR="005C142D" w:rsidRPr="00FA3F9C" w:rsidRDefault="005C142D" w:rsidP="00214E24">
                  <w:pPr>
                    <w:pStyle w:val="ListParagraph"/>
                    <w:ind w:left="249"/>
                    <w:rPr>
                      <w:rFonts w:ascii="Arial" w:hAnsi="Arial" w:cs="Arial"/>
                      <w:sz w:val="24"/>
                      <w:szCs w:val="24"/>
                    </w:rPr>
                  </w:pPr>
                  <w:r w:rsidRPr="00FA3F9C">
                    <w:rPr>
                      <w:rFonts w:ascii="Arial" w:hAnsi="Arial" w:cs="Arial"/>
                      <w:sz w:val="24"/>
                      <w:szCs w:val="24"/>
                    </w:rPr>
                    <w:t>33%</w:t>
                  </w:r>
                </w:p>
              </w:tc>
            </w:tr>
            <w:tr w:rsidR="005C142D" w:rsidRPr="00FA3F9C" w14:paraId="4ECBB457" w14:textId="77777777" w:rsidTr="003F4E55">
              <w:trPr>
                <w:trHeight w:val="1185"/>
                <w:jc w:val="center"/>
              </w:trPr>
              <w:tc>
                <w:tcPr>
                  <w:tcW w:w="1205" w:type="dxa"/>
                  <w:vAlign w:val="center"/>
                </w:tcPr>
                <w:p w14:paraId="48CE9703" w14:textId="77777777" w:rsidR="005C142D" w:rsidRPr="00FA3F9C" w:rsidRDefault="005C142D" w:rsidP="00214E24">
                  <w:pPr>
                    <w:rPr>
                      <w:rFonts w:ascii="Arial" w:hAnsi="Arial" w:cs="Arial"/>
                      <w:b/>
                      <w:sz w:val="24"/>
                      <w:szCs w:val="24"/>
                    </w:rPr>
                  </w:pPr>
                  <w:r w:rsidRPr="00FA3F9C">
                    <w:rPr>
                      <w:rFonts w:ascii="Arial" w:hAnsi="Arial" w:cs="Arial"/>
                      <w:b/>
                      <w:sz w:val="24"/>
                      <w:szCs w:val="24"/>
                    </w:rPr>
                    <w:t xml:space="preserve">Key </w:t>
                  </w:r>
                  <w:proofErr w:type="spellStart"/>
                  <w:r w:rsidRPr="00FA3F9C">
                    <w:rPr>
                      <w:rFonts w:ascii="Arial" w:hAnsi="Arial" w:cs="Arial"/>
                      <w:b/>
                      <w:sz w:val="24"/>
                      <w:szCs w:val="24"/>
                    </w:rPr>
                    <w:t>inc</w:t>
                  </w:r>
                  <w:proofErr w:type="spellEnd"/>
                  <w:r w:rsidRPr="00FA3F9C">
                    <w:rPr>
                      <w:rFonts w:ascii="Arial" w:hAnsi="Arial" w:cs="Arial"/>
                      <w:b/>
                      <w:sz w:val="24"/>
                      <w:szCs w:val="24"/>
                    </w:rPr>
                    <w:t>/</w:t>
                  </w:r>
                  <w:proofErr w:type="spellStart"/>
                  <w:r w:rsidRPr="00FA3F9C">
                    <w:rPr>
                      <w:rFonts w:ascii="Arial" w:hAnsi="Arial" w:cs="Arial"/>
                      <w:b/>
                      <w:sz w:val="24"/>
                      <w:szCs w:val="24"/>
                    </w:rPr>
                    <w:t>exc</w:t>
                  </w:r>
                  <w:proofErr w:type="spellEnd"/>
                  <w:r w:rsidRPr="00FA3F9C">
                    <w:rPr>
                      <w:rFonts w:ascii="Arial" w:hAnsi="Arial" w:cs="Arial"/>
                      <w:b/>
                      <w:sz w:val="24"/>
                      <w:szCs w:val="24"/>
                    </w:rPr>
                    <w:t xml:space="preserve"> criteria</w:t>
                  </w:r>
                </w:p>
              </w:tc>
              <w:tc>
                <w:tcPr>
                  <w:tcW w:w="1407" w:type="dxa"/>
                  <w:vAlign w:val="center"/>
                </w:tcPr>
                <w:p w14:paraId="388427EE" w14:textId="77777777" w:rsidR="005C142D" w:rsidRPr="00FA3F9C" w:rsidRDefault="005C142D" w:rsidP="00214E24">
                  <w:pPr>
                    <w:rPr>
                      <w:rFonts w:ascii="Arial" w:hAnsi="Arial" w:cs="Arial"/>
                      <w:sz w:val="24"/>
                      <w:szCs w:val="24"/>
                    </w:rPr>
                  </w:pPr>
                  <w:r w:rsidRPr="00FA3F9C">
                    <w:rPr>
                      <w:rFonts w:ascii="Arial" w:hAnsi="Arial" w:cs="Arial"/>
                      <w:sz w:val="24"/>
                      <w:szCs w:val="24"/>
                    </w:rPr>
                    <w:t xml:space="preserve">Age </w:t>
                  </w:r>
                  <w:r w:rsidRPr="00FA3F9C">
                    <w:rPr>
                      <w:rFonts w:ascii="Arial" w:hAnsi="Arial" w:cs="Arial"/>
                      <w:sz w:val="24"/>
                      <w:szCs w:val="24"/>
                      <w:u w:val="single"/>
                    </w:rPr>
                    <w:t>&gt;</w:t>
                  </w:r>
                  <w:r w:rsidRPr="00FA3F9C">
                    <w:rPr>
                      <w:rFonts w:ascii="Arial" w:hAnsi="Arial" w:cs="Arial"/>
                      <w:sz w:val="24"/>
                      <w:szCs w:val="24"/>
                    </w:rPr>
                    <w:t xml:space="preserve">18y; excluded therapy-related disease </w:t>
                  </w:r>
                </w:p>
              </w:tc>
              <w:tc>
                <w:tcPr>
                  <w:tcW w:w="1435" w:type="dxa"/>
                  <w:vAlign w:val="center"/>
                </w:tcPr>
                <w:p w14:paraId="40FCA722" w14:textId="77777777" w:rsidR="005C142D" w:rsidRPr="00FA3F9C" w:rsidRDefault="005C142D" w:rsidP="00214E24">
                  <w:pPr>
                    <w:rPr>
                      <w:rFonts w:ascii="Arial" w:hAnsi="Arial" w:cs="Arial"/>
                      <w:sz w:val="24"/>
                      <w:szCs w:val="24"/>
                    </w:rPr>
                  </w:pPr>
                  <w:r w:rsidRPr="00FA3F9C">
                    <w:rPr>
                      <w:rFonts w:ascii="Arial" w:hAnsi="Arial" w:cs="Arial"/>
                      <w:sz w:val="24"/>
                      <w:szCs w:val="24"/>
                      <w:u w:val="single"/>
                    </w:rPr>
                    <w:t>&gt;</w:t>
                  </w:r>
                  <w:r w:rsidRPr="00FA3F9C">
                    <w:rPr>
                      <w:rFonts w:ascii="Arial" w:hAnsi="Arial" w:cs="Arial"/>
                      <w:sz w:val="24"/>
                      <w:szCs w:val="24"/>
                    </w:rPr>
                    <w:t>65y, de novo or secondary AML, poor/intermediate cytogenetics</w:t>
                  </w:r>
                </w:p>
              </w:tc>
              <w:tc>
                <w:tcPr>
                  <w:tcW w:w="1325" w:type="dxa"/>
                  <w:vAlign w:val="center"/>
                </w:tcPr>
                <w:p w14:paraId="37A49CBE" w14:textId="77777777" w:rsidR="005C142D" w:rsidRPr="00FA3F9C" w:rsidRDefault="005C142D" w:rsidP="00214E24">
                  <w:pPr>
                    <w:rPr>
                      <w:rFonts w:ascii="Arial" w:hAnsi="Arial" w:cs="Arial"/>
                      <w:sz w:val="24"/>
                      <w:szCs w:val="24"/>
                    </w:rPr>
                  </w:pPr>
                  <w:r w:rsidRPr="00FA3F9C">
                    <w:rPr>
                      <w:rFonts w:ascii="Arial" w:hAnsi="Arial" w:cs="Arial"/>
                      <w:sz w:val="24"/>
                      <w:szCs w:val="24"/>
                      <w:u w:val="single"/>
                    </w:rPr>
                    <w:t>&gt;</w:t>
                  </w:r>
                  <w:r w:rsidRPr="00FA3F9C">
                    <w:rPr>
                      <w:rFonts w:ascii="Arial" w:hAnsi="Arial" w:cs="Arial"/>
                      <w:sz w:val="24"/>
                      <w:szCs w:val="24"/>
                    </w:rPr>
                    <w:t xml:space="preserve">55y AND not suitable for intensive chemo due to age </w:t>
                  </w:r>
                  <w:r w:rsidRPr="00FA3F9C">
                    <w:rPr>
                      <w:rFonts w:ascii="Arial" w:hAnsi="Arial" w:cs="Arial"/>
                      <w:sz w:val="24"/>
                      <w:szCs w:val="24"/>
                      <w:u w:val="single"/>
                    </w:rPr>
                    <w:t>&gt;</w:t>
                  </w:r>
                  <w:r w:rsidRPr="00FA3F9C">
                    <w:rPr>
                      <w:rFonts w:ascii="Arial" w:hAnsi="Arial" w:cs="Arial"/>
                      <w:sz w:val="24"/>
                      <w:szCs w:val="24"/>
                    </w:rPr>
                    <w:t xml:space="preserve">75y, </w:t>
                  </w:r>
                  <w:proofErr w:type="spellStart"/>
                  <w:r w:rsidRPr="00FA3F9C">
                    <w:rPr>
                      <w:rFonts w:ascii="Arial" w:hAnsi="Arial" w:cs="Arial"/>
                      <w:sz w:val="24"/>
                      <w:szCs w:val="24"/>
                    </w:rPr>
                    <w:t>cr</w:t>
                  </w:r>
                  <w:proofErr w:type="spellEnd"/>
                  <w:r w:rsidRPr="00FA3F9C">
                    <w:rPr>
                      <w:rFonts w:ascii="Arial" w:hAnsi="Arial" w:cs="Arial"/>
                      <w:sz w:val="24"/>
                      <w:szCs w:val="24"/>
                    </w:rPr>
                    <w:t>&gt;1.3, severe cardiac disease or ECOG PS = 2</w:t>
                  </w:r>
                </w:p>
              </w:tc>
              <w:tc>
                <w:tcPr>
                  <w:tcW w:w="1953" w:type="dxa"/>
                  <w:vAlign w:val="center"/>
                </w:tcPr>
                <w:p w14:paraId="411DF340" w14:textId="77777777" w:rsidR="005C142D" w:rsidRPr="00FA3F9C" w:rsidRDefault="005C142D" w:rsidP="00214E24">
                  <w:pPr>
                    <w:pStyle w:val="ListParagraph"/>
                    <w:ind w:left="0"/>
                    <w:rPr>
                      <w:rFonts w:ascii="Arial" w:hAnsi="Arial" w:cs="Arial"/>
                      <w:sz w:val="24"/>
                      <w:szCs w:val="24"/>
                    </w:rPr>
                  </w:pPr>
                  <w:r w:rsidRPr="00FA3F9C">
                    <w:rPr>
                      <w:rFonts w:ascii="Arial" w:hAnsi="Arial" w:cs="Arial"/>
                      <w:sz w:val="24"/>
                      <w:szCs w:val="24"/>
                      <w:u w:val="single"/>
                    </w:rPr>
                    <w:t>&gt;</w:t>
                  </w:r>
                  <w:r w:rsidRPr="00FA3F9C">
                    <w:rPr>
                      <w:rFonts w:ascii="Arial" w:hAnsi="Arial" w:cs="Arial"/>
                      <w:sz w:val="24"/>
                      <w:szCs w:val="24"/>
                    </w:rPr>
                    <w:t xml:space="preserve">65 y/o AND ineligible for intensive chemo due to age &gt;75, cardiac </w:t>
                  </w:r>
                  <w:proofErr w:type="spellStart"/>
                  <w:r w:rsidRPr="00FA3F9C">
                    <w:rPr>
                      <w:rFonts w:ascii="Arial" w:hAnsi="Arial" w:cs="Arial"/>
                      <w:sz w:val="24"/>
                      <w:szCs w:val="24"/>
                    </w:rPr>
                    <w:t>dz</w:t>
                  </w:r>
                  <w:proofErr w:type="spellEnd"/>
                  <w:r w:rsidRPr="00FA3F9C">
                    <w:rPr>
                      <w:rFonts w:ascii="Arial" w:hAnsi="Arial" w:cs="Arial"/>
                      <w:sz w:val="24"/>
                      <w:szCs w:val="24"/>
                    </w:rPr>
                    <w:t xml:space="preserve">, prior anthracycline use, secondary AML, or high probability of treatment-related mortality; no prior </w:t>
                  </w:r>
                  <w:proofErr w:type="spellStart"/>
                  <w:r w:rsidRPr="00FA3F9C">
                    <w:rPr>
                      <w:rFonts w:ascii="Arial" w:hAnsi="Arial" w:cs="Arial"/>
                      <w:sz w:val="24"/>
                      <w:szCs w:val="24"/>
                    </w:rPr>
                    <w:t>azacitidine</w:t>
                  </w:r>
                  <w:proofErr w:type="spellEnd"/>
                  <w:r w:rsidRPr="00FA3F9C">
                    <w:rPr>
                      <w:rFonts w:ascii="Arial" w:hAnsi="Arial" w:cs="Arial"/>
                      <w:sz w:val="24"/>
                      <w:szCs w:val="24"/>
                    </w:rPr>
                    <w:t>/decitabine</w:t>
                  </w:r>
                </w:p>
              </w:tc>
              <w:tc>
                <w:tcPr>
                  <w:tcW w:w="1575" w:type="dxa"/>
                  <w:vAlign w:val="center"/>
                </w:tcPr>
                <w:p w14:paraId="3509AA01" w14:textId="77777777" w:rsidR="005C142D" w:rsidRPr="00FA3F9C" w:rsidRDefault="005C142D" w:rsidP="00214E24">
                  <w:pPr>
                    <w:pStyle w:val="ListParagraph"/>
                    <w:ind w:left="0"/>
                    <w:rPr>
                      <w:rFonts w:ascii="Arial" w:hAnsi="Arial" w:cs="Arial"/>
                      <w:sz w:val="24"/>
                      <w:szCs w:val="24"/>
                    </w:rPr>
                  </w:pPr>
                  <w:r w:rsidRPr="00FA3F9C">
                    <w:rPr>
                      <w:rFonts w:ascii="Arial" w:hAnsi="Arial" w:cs="Arial"/>
                      <w:sz w:val="24"/>
                      <w:szCs w:val="24"/>
                      <w:u w:val="single"/>
                    </w:rPr>
                    <w:t>&gt;</w:t>
                  </w:r>
                  <w:r w:rsidRPr="00FA3F9C">
                    <w:rPr>
                      <w:rFonts w:ascii="Arial" w:hAnsi="Arial" w:cs="Arial"/>
                      <w:sz w:val="24"/>
                      <w:szCs w:val="24"/>
                    </w:rPr>
                    <w:t xml:space="preserve">60y AND ineligible for intensive chemo; prior </w:t>
                  </w:r>
                  <w:proofErr w:type="spellStart"/>
                  <w:r w:rsidRPr="00FA3F9C">
                    <w:rPr>
                      <w:rFonts w:ascii="Arial" w:hAnsi="Arial" w:cs="Arial"/>
                      <w:sz w:val="24"/>
                      <w:szCs w:val="24"/>
                    </w:rPr>
                    <w:t>azacitidine</w:t>
                  </w:r>
                  <w:proofErr w:type="spellEnd"/>
                  <w:r w:rsidRPr="00FA3F9C">
                    <w:rPr>
                      <w:rFonts w:ascii="Arial" w:hAnsi="Arial" w:cs="Arial"/>
                      <w:sz w:val="24"/>
                      <w:szCs w:val="24"/>
                    </w:rPr>
                    <w:t>/decitabine allowed</w:t>
                  </w:r>
                </w:p>
              </w:tc>
            </w:tr>
            <w:tr w:rsidR="005C142D" w:rsidRPr="00FA3F9C" w14:paraId="3E51FC07" w14:textId="77777777" w:rsidTr="003F4E55">
              <w:trPr>
                <w:trHeight w:val="62"/>
                <w:jc w:val="center"/>
              </w:trPr>
              <w:tc>
                <w:tcPr>
                  <w:tcW w:w="8900" w:type="dxa"/>
                  <w:gridSpan w:val="6"/>
                </w:tcPr>
                <w:p w14:paraId="77D24E7C" w14:textId="77777777" w:rsidR="005C142D" w:rsidRPr="00FA3F9C" w:rsidRDefault="005C142D" w:rsidP="00214E24">
                  <w:pPr>
                    <w:pStyle w:val="ListParagraph"/>
                    <w:ind w:left="0"/>
                    <w:rPr>
                      <w:rFonts w:ascii="Arial" w:hAnsi="Arial" w:cs="Arial"/>
                      <w:sz w:val="24"/>
                      <w:szCs w:val="24"/>
                    </w:rPr>
                  </w:pPr>
                  <w:r w:rsidRPr="00FA3F9C">
                    <w:rPr>
                      <w:rFonts w:ascii="Arial" w:hAnsi="Arial" w:cs="Arial"/>
                      <w:sz w:val="24"/>
                      <w:szCs w:val="24"/>
                    </w:rPr>
                    <w:lastRenderedPageBreak/>
                    <w:t xml:space="preserve">CR: complete response (absence of leukemic blasts in BM, ANC&gt;1k, </w:t>
                  </w:r>
                  <w:proofErr w:type="spellStart"/>
                  <w:r w:rsidRPr="00FA3F9C">
                    <w:rPr>
                      <w:rFonts w:ascii="Arial" w:hAnsi="Arial" w:cs="Arial"/>
                      <w:sz w:val="24"/>
                      <w:szCs w:val="24"/>
                    </w:rPr>
                    <w:t>Plt</w:t>
                  </w:r>
                  <w:proofErr w:type="spellEnd"/>
                  <w:r w:rsidRPr="00FA3F9C">
                    <w:rPr>
                      <w:rFonts w:ascii="Arial" w:hAnsi="Arial" w:cs="Arial"/>
                      <w:sz w:val="24"/>
                      <w:szCs w:val="24"/>
                    </w:rPr>
                    <w:t>&gt;100k, PRBC transfusion independence, BM blasts &lt;5%)</w:t>
                  </w:r>
                </w:p>
                <w:p w14:paraId="5A19E5EE" w14:textId="77777777" w:rsidR="005C142D" w:rsidRPr="00FA3F9C" w:rsidRDefault="005C142D" w:rsidP="00214E24">
                  <w:pPr>
                    <w:pStyle w:val="ListParagraph"/>
                    <w:ind w:left="0"/>
                    <w:rPr>
                      <w:rFonts w:ascii="Arial" w:hAnsi="Arial" w:cs="Arial"/>
                      <w:sz w:val="24"/>
                      <w:szCs w:val="24"/>
                    </w:rPr>
                  </w:pPr>
                  <w:proofErr w:type="spellStart"/>
                  <w:r w:rsidRPr="00FA3F9C">
                    <w:rPr>
                      <w:rFonts w:ascii="Arial" w:hAnsi="Arial" w:cs="Arial"/>
                      <w:sz w:val="24"/>
                      <w:szCs w:val="24"/>
                    </w:rPr>
                    <w:t>CRi</w:t>
                  </w:r>
                  <w:proofErr w:type="spellEnd"/>
                  <w:r w:rsidRPr="00FA3F9C">
                    <w:rPr>
                      <w:rFonts w:ascii="Arial" w:hAnsi="Arial" w:cs="Arial"/>
                      <w:sz w:val="24"/>
                      <w:szCs w:val="24"/>
                    </w:rPr>
                    <w:t>: meets criteria for CR but with incomplete recovery of platelet or neutrophil count</w:t>
                  </w:r>
                </w:p>
                <w:p w14:paraId="2E96B11B" w14:textId="77777777" w:rsidR="005C142D" w:rsidRPr="00FA3F9C" w:rsidRDefault="005C142D" w:rsidP="00214E24">
                  <w:pPr>
                    <w:pStyle w:val="ListParagraph"/>
                    <w:ind w:left="0"/>
                    <w:rPr>
                      <w:rFonts w:ascii="Arial" w:hAnsi="Arial" w:cs="Arial"/>
                      <w:sz w:val="24"/>
                      <w:szCs w:val="24"/>
                    </w:rPr>
                  </w:pPr>
                  <w:r w:rsidRPr="00FA3F9C">
                    <w:rPr>
                      <w:rFonts w:ascii="Arial" w:hAnsi="Arial" w:cs="Arial"/>
                      <w:sz w:val="24"/>
                      <w:szCs w:val="24"/>
                    </w:rPr>
                    <w:t>OS: overall survival</w:t>
                  </w:r>
                </w:p>
                <w:p w14:paraId="661523E2" w14:textId="77777777" w:rsidR="005C142D" w:rsidRPr="00FA3F9C" w:rsidRDefault="005C142D" w:rsidP="00214E24">
                  <w:pPr>
                    <w:pStyle w:val="ListParagraph"/>
                    <w:ind w:left="0"/>
                    <w:rPr>
                      <w:rFonts w:ascii="Arial" w:hAnsi="Arial" w:cs="Arial"/>
                      <w:sz w:val="24"/>
                      <w:szCs w:val="24"/>
                    </w:rPr>
                  </w:pPr>
                  <w:r w:rsidRPr="00FA3F9C">
                    <w:rPr>
                      <w:rFonts w:ascii="Arial" w:hAnsi="Arial" w:cs="Arial"/>
                      <w:sz w:val="24"/>
                      <w:szCs w:val="24"/>
                    </w:rPr>
                    <w:t xml:space="preserve">LDAC: low dose </w:t>
                  </w:r>
                  <w:proofErr w:type="spellStart"/>
                  <w:r w:rsidRPr="00FA3F9C">
                    <w:rPr>
                      <w:rFonts w:ascii="Arial" w:hAnsi="Arial" w:cs="Arial"/>
                      <w:sz w:val="24"/>
                      <w:szCs w:val="24"/>
                    </w:rPr>
                    <w:t>ara</w:t>
                  </w:r>
                  <w:proofErr w:type="spellEnd"/>
                  <w:r w:rsidRPr="00FA3F9C">
                    <w:rPr>
                      <w:rFonts w:ascii="Arial" w:hAnsi="Arial" w:cs="Arial"/>
                      <w:sz w:val="24"/>
                      <w:szCs w:val="24"/>
                    </w:rPr>
                    <w:t>-c (cytarabine)</w:t>
                  </w:r>
                </w:p>
                <w:p w14:paraId="540E9574" w14:textId="77777777" w:rsidR="005C142D" w:rsidRPr="00FA3F9C" w:rsidRDefault="005C142D" w:rsidP="00214E24">
                  <w:pPr>
                    <w:pStyle w:val="ListParagraph"/>
                    <w:ind w:left="0"/>
                    <w:rPr>
                      <w:rFonts w:ascii="Arial" w:hAnsi="Arial" w:cs="Arial"/>
                      <w:sz w:val="24"/>
                      <w:szCs w:val="24"/>
                    </w:rPr>
                  </w:pPr>
                  <w:r w:rsidRPr="00FA3F9C">
                    <w:rPr>
                      <w:rFonts w:ascii="Arial" w:hAnsi="Arial" w:cs="Arial"/>
                      <w:sz w:val="24"/>
                      <w:szCs w:val="24"/>
                    </w:rPr>
                    <w:t>NR: not reported</w:t>
                  </w:r>
                </w:p>
                <w:p w14:paraId="4E8862C0" w14:textId="77777777" w:rsidR="005C142D" w:rsidRPr="00FA3F9C" w:rsidRDefault="005C142D" w:rsidP="00214E24">
                  <w:pPr>
                    <w:rPr>
                      <w:rFonts w:ascii="Arial" w:hAnsi="Arial" w:cs="Arial"/>
                      <w:sz w:val="24"/>
                      <w:szCs w:val="24"/>
                    </w:rPr>
                  </w:pPr>
                  <w:r w:rsidRPr="00FA3F9C">
                    <w:rPr>
                      <w:rFonts w:ascii="Arial" w:hAnsi="Arial" w:cs="Arial"/>
                      <w:sz w:val="24"/>
                      <w:szCs w:val="24"/>
                    </w:rPr>
                    <w:t>^superior to group receiving best supportive care, LDAC, or intensive chemo</w:t>
                  </w:r>
                </w:p>
                <w:p w14:paraId="614130E5" w14:textId="77777777" w:rsidR="005C142D" w:rsidRPr="00FA3F9C" w:rsidRDefault="005C142D" w:rsidP="00214E24">
                  <w:pPr>
                    <w:rPr>
                      <w:rFonts w:ascii="Arial" w:hAnsi="Arial" w:cs="Arial"/>
                      <w:sz w:val="24"/>
                      <w:szCs w:val="24"/>
                    </w:rPr>
                  </w:pPr>
                  <w:r w:rsidRPr="00FA3F9C">
                    <w:rPr>
                      <w:rFonts w:ascii="Arial" w:hAnsi="Arial" w:cs="Arial"/>
                      <w:sz w:val="24"/>
                      <w:szCs w:val="24"/>
                    </w:rPr>
                    <w:t>^^trended toward superiority compared with group receiving supportive care or LDAC</w:t>
                  </w:r>
                </w:p>
                <w:p w14:paraId="1CFDB688" w14:textId="77777777" w:rsidR="005C142D" w:rsidRPr="00FA3F9C" w:rsidRDefault="005C142D" w:rsidP="00214E24">
                  <w:pPr>
                    <w:rPr>
                      <w:rFonts w:ascii="Arial" w:hAnsi="Arial" w:cs="Arial"/>
                      <w:sz w:val="24"/>
                      <w:szCs w:val="24"/>
                    </w:rPr>
                  </w:pPr>
                  <w:r w:rsidRPr="00FA3F9C">
                    <w:rPr>
                      <w:rFonts w:ascii="Arial" w:hAnsi="Arial" w:cs="Arial"/>
                      <w:sz w:val="24"/>
                      <w:szCs w:val="24"/>
                    </w:rPr>
                    <w:t>*superior to LDAC alone</w:t>
                  </w:r>
                </w:p>
                <w:p w14:paraId="4C50441D" w14:textId="77777777" w:rsidR="005C142D" w:rsidRPr="00FA3F9C" w:rsidRDefault="005C142D" w:rsidP="00214E24">
                  <w:pPr>
                    <w:rPr>
                      <w:rFonts w:ascii="Arial" w:hAnsi="Arial" w:cs="Arial"/>
                      <w:b/>
                      <w:sz w:val="24"/>
                      <w:szCs w:val="24"/>
                    </w:rPr>
                  </w:pPr>
                  <w:r w:rsidRPr="00FA3F9C">
                    <w:rPr>
                      <w:rFonts w:ascii="Arial" w:hAnsi="Arial" w:cs="Arial"/>
                      <w:sz w:val="24"/>
                      <w:szCs w:val="24"/>
                    </w:rPr>
                    <w:t>~</w:t>
                  </w:r>
                  <w:proofErr w:type="spellStart"/>
                  <w:r w:rsidRPr="00FA3F9C">
                    <w:rPr>
                      <w:rFonts w:ascii="Arial" w:hAnsi="Arial" w:cs="Arial"/>
                      <w:sz w:val="24"/>
                      <w:szCs w:val="24"/>
                    </w:rPr>
                    <w:t>Venetoclax</w:t>
                  </w:r>
                  <w:proofErr w:type="spellEnd"/>
                  <w:r w:rsidRPr="00FA3F9C">
                    <w:rPr>
                      <w:rFonts w:ascii="Arial" w:hAnsi="Arial" w:cs="Arial"/>
                      <w:sz w:val="24"/>
                      <w:szCs w:val="24"/>
                    </w:rPr>
                    <w:t xml:space="preserve">/LDAC study enrolled more patients with secondary AML than </w:t>
                  </w:r>
                  <w:proofErr w:type="spellStart"/>
                  <w:r w:rsidRPr="00FA3F9C">
                    <w:rPr>
                      <w:rFonts w:ascii="Arial" w:hAnsi="Arial" w:cs="Arial"/>
                      <w:sz w:val="24"/>
                      <w:szCs w:val="24"/>
                    </w:rPr>
                    <w:t>ventoclax+aza</w:t>
                  </w:r>
                  <w:proofErr w:type="spellEnd"/>
                  <w:r w:rsidRPr="00FA3F9C">
                    <w:rPr>
                      <w:rFonts w:ascii="Arial" w:hAnsi="Arial" w:cs="Arial"/>
                      <w:sz w:val="24"/>
                      <w:szCs w:val="24"/>
                    </w:rPr>
                    <w:t>/dec study (49% vs 25%). Secondary AML is associated with worse prognosis</w:t>
                  </w:r>
                </w:p>
              </w:tc>
            </w:tr>
          </w:tbl>
          <w:p w14:paraId="6A3E7D2B" w14:textId="77777777" w:rsidR="005C142D" w:rsidRPr="00FA3F9C" w:rsidRDefault="005C142D" w:rsidP="003621F8">
            <w:pPr>
              <w:rPr>
                <w:rFonts w:ascii="Arial" w:hAnsi="Arial" w:cs="Arial"/>
                <w:sz w:val="24"/>
                <w:szCs w:val="24"/>
              </w:rPr>
            </w:pPr>
            <w:r w:rsidRPr="00FA3F9C">
              <w:rPr>
                <w:rFonts w:ascii="Arial" w:hAnsi="Arial" w:cs="Arial"/>
                <w:b/>
                <w:color w:val="000000"/>
                <w:sz w:val="24"/>
                <w:szCs w:val="24"/>
                <w:u w:val="single"/>
              </w:rPr>
              <w:t xml:space="preserve">Dosing (with </w:t>
            </w:r>
            <w:proofErr w:type="spellStart"/>
            <w:r w:rsidRPr="00FA3F9C">
              <w:rPr>
                <w:rFonts w:ascii="Arial" w:hAnsi="Arial" w:cs="Arial"/>
                <w:b/>
                <w:color w:val="000000"/>
                <w:sz w:val="24"/>
                <w:szCs w:val="24"/>
                <w:u w:val="single"/>
              </w:rPr>
              <w:t>azacitidine</w:t>
            </w:r>
            <w:proofErr w:type="spellEnd"/>
            <w:r w:rsidRPr="00FA3F9C">
              <w:rPr>
                <w:rFonts w:ascii="Arial" w:hAnsi="Arial" w:cs="Arial"/>
                <w:b/>
                <w:color w:val="000000"/>
                <w:sz w:val="24"/>
                <w:szCs w:val="24"/>
                <w:u w:val="single"/>
              </w:rPr>
              <w:t xml:space="preserve"> or decitabine)</w:t>
            </w:r>
            <w:r w:rsidRPr="00FA3F9C">
              <w:rPr>
                <w:rFonts w:ascii="Arial" w:hAnsi="Arial" w:cs="Arial"/>
                <w:color w:val="000000"/>
                <w:sz w:val="24"/>
                <w:szCs w:val="24"/>
              </w:rPr>
              <w:t xml:space="preserve">: </w:t>
            </w:r>
          </w:p>
          <w:p w14:paraId="7A54D8A6" w14:textId="77777777" w:rsidR="005C142D" w:rsidRPr="00FA3F9C" w:rsidRDefault="005C142D" w:rsidP="00FC1E85">
            <w:pPr>
              <w:pStyle w:val="ListParagraph"/>
              <w:numPr>
                <w:ilvl w:val="0"/>
                <w:numId w:val="379"/>
              </w:numPr>
              <w:ind w:left="245" w:hanging="245"/>
              <w:rPr>
                <w:rFonts w:ascii="Arial" w:hAnsi="Arial" w:cs="Arial"/>
                <w:color w:val="000000"/>
                <w:sz w:val="24"/>
                <w:szCs w:val="24"/>
                <w:shd w:val="clear" w:color="auto" w:fill="F2F2F2"/>
              </w:rPr>
            </w:pPr>
            <w:r w:rsidRPr="00FA3F9C">
              <w:rPr>
                <w:rFonts w:ascii="Arial" w:hAnsi="Arial" w:cs="Arial"/>
                <w:color w:val="000000"/>
                <w:sz w:val="24"/>
                <w:szCs w:val="24"/>
                <w:shd w:val="clear" w:color="auto" w:fill="F2F2F2"/>
              </w:rPr>
              <w:t xml:space="preserve">Do not start </w:t>
            </w:r>
            <w:proofErr w:type="spellStart"/>
            <w:r w:rsidRPr="00FA3F9C">
              <w:rPr>
                <w:rFonts w:ascii="Arial" w:hAnsi="Arial" w:cs="Arial"/>
                <w:color w:val="000000"/>
                <w:sz w:val="24"/>
                <w:szCs w:val="24"/>
                <w:shd w:val="clear" w:color="auto" w:fill="F2F2F2"/>
              </w:rPr>
              <w:t>Venetoclax</w:t>
            </w:r>
            <w:proofErr w:type="spellEnd"/>
            <w:r w:rsidRPr="00FA3F9C">
              <w:rPr>
                <w:rFonts w:ascii="Arial" w:hAnsi="Arial" w:cs="Arial"/>
                <w:color w:val="000000"/>
                <w:sz w:val="24"/>
                <w:szCs w:val="24"/>
                <w:shd w:val="clear" w:color="auto" w:fill="F2F2F2"/>
              </w:rPr>
              <w:t xml:space="preserve"> until WBC is &lt;25 x 10</w:t>
            </w:r>
            <w:r w:rsidRPr="00FA3F9C">
              <w:rPr>
                <w:rFonts w:ascii="Arial" w:hAnsi="Arial" w:cs="Arial"/>
                <w:color w:val="000000"/>
                <w:sz w:val="24"/>
                <w:szCs w:val="24"/>
                <w:shd w:val="clear" w:color="auto" w:fill="F2F2F2"/>
                <w:vertAlign w:val="superscript"/>
              </w:rPr>
              <w:t>9</w:t>
            </w:r>
            <w:r w:rsidRPr="00FA3F9C">
              <w:rPr>
                <w:rFonts w:ascii="Arial" w:hAnsi="Arial" w:cs="Arial"/>
                <w:color w:val="000000"/>
                <w:sz w:val="24"/>
                <w:szCs w:val="24"/>
                <w:shd w:val="clear" w:color="auto" w:fill="F2F2F2"/>
              </w:rPr>
              <w:t xml:space="preserve">/L. Cytoreduction may be required (with </w:t>
            </w:r>
            <w:proofErr w:type="spellStart"/>
            <w:r w:rsidRPr="00FA3F9C">
              <w:rPr>
                <w:rFonts w:ascii="Arial" w:hAnsi="Arial" w:cs="Arial"/>
                <w:color w:val="000000"/>
                <w:sz w:val="24"/>
                <w:szCs w:val="24"/>
                <w:shd w:val="clear" w:color="auto" w:fill="F2F2F2"/>
              </w:rPr>
              <w:t>hyroxyurea</w:t>
            </w:r>
            <w:proofErr w:type="spellEnd"/>
            <w:r w:rsidRPr="00FA3F9C">
              <w:rPr>
                <w:rFonts w:ascii="Arial" w:hAnsi="Arial" w:cs="Arial"/>
                <w:color w:val="000000"/>
                <w:sz w:val="24"/>
                <w:szCs w:val="24"/>
                <w:shd w:val="clear" w:color="auto" w:fill="F2F2F2"/>
              </w:rPr>
              <w:t>, for example)</w:t>
            </w:r>
          </w:p>
          <w:p w14:paraId="24084614" w14:textId="77777777" w:rsidR="005C142D" w:rsidRPr="00FA3F9C" w:rsidRDefault="005C142D" w:rsidP="00FC1E85">
            <w:pPr>
              <w:pStyle w:val="ListParagraph"/>
              <w:numPr>
                <w:ilvl w:val="0"/>
                <w:numId w:val="379"/>
              </w:numPr>
              <w:ind w:left="245" w:hanging="245"/>
              <w:rPr>
                <w:rFonts w:ascii="Arial" w:hAnsi="Arial" w:cs="Arial"/>
                <w:color w:val="000000"/>
                <w:sz w:val="24"/>
                <w:szCs w:val="24"/>
                <w:shd w:val="clear" w:color="auto" w:fill="F2F2F2"/>
              </w:rPr>
            </w:pPr>
            <w:proofErr w:type="spellStart"/>
            <w:r w:rsidRPr="00FA3F9C">
              <w:rPr>
                <w:rFonts w:ascii="Arial" w:hAnsi="Arial" w:cs="Arial"/>
                <w:color w:val="000000"/>
                <w:sz w:val="24"/>
                <w:szCs w:val="24"/>
                <w:shd w:val="clear" w:color="auto" w:fill="F2F2F2"/>
              </w:rPr>
              <w:t>Venetoclax</w:t>
            </w:r>
            <w:proofErr w:type="spellEnd"/>
            <w:r w:rsidRPr="00FA3F9C">
              <w:rPr>
                <w:rFonts w:ascii="Arial" w:hAnsi="Arial" w:cs="Arial"/>
                <w:color w:val="000000"/>
                <w:sz w:val="24"/>
                <w:szCs w:val="24"/>
                <w:shd w:val="clear" w:color="auto" w:fill="F2F2F2"/>
              </w:rPr>
              <w:t xml:space="preserve"> likely will be started INPATIENT</w:t>
            </w:r>
          </w:p>
          <w:p w14:paraId="6C7524C9" w14:textId="77777777" w:rsidR="005C142D" w:rsidRPr="00FA3F9C" w:rsidRDefault="005C142D" w:rsidP="00FC1E85">
            <w:pPr>
              <w:pStyle w:val="ListParagraph"/>
              <w:numPr>
                <w:ilvl w:val="0"/>
                <w:numId w:val="379"/>
              </w:numPr>
              <w:ind w:left="245" w:hanging="245"/>
              <w:rPr>
                <w:rFonts w:ascii="Arial" w:hAnsi="Arial" w:cs="Arial"/>
                <w:color w:val="000000"/>
                <w:sz w:val="24"/>
                <w:szCs w:val="24"/>
                <w:shd w:val="clear" w:color="auto" w:fill="F2F2F2"/>
              </w:rPr>
            </w:pPr>
            <w:r w:rsidRPr="00FA3F9C">
              <w:rPr>
                <w:rFonts w:ascii="Arial" w:hAnsi="Arial" w:cs="Arial"/>
                <w:color w:val="000000"/>
                <w:sz w:val="24"/>
                <w:szCs w:val="24"/>
              </w:rPr>
              <w:t>Day 1: 100 mg QD</w:t>
            </w:r>
          </w:p>
          <w:p w14:paraId="651123B6" w14:textId="77777777" w:rsidR="005C142D" w:rsidRPr="00FA3F9C" w:rsidRDefault="005C142D" w:rsidP="00FC1E85">
            <w:pPr>
              <w:pStyle w:val="ListParagraph"/>
              <w:numPr>
                <w:ilvl w:val="0"/>
                <w:numId w:val="379"/>
              </w:numPr>
              <w:ind w:left="245" w:hanging="245"/>
              <w:rPr>
                <w:rFonts w:ascii="Arial" w:hAnsi="Arial" w:cs="Arial"/>
                <w:color w:val="000000"/>
                <w:sz w:val="24"/>
                <w:szCs w:val="24"/>
                <w:shd w:val="clear" w:color="auto" w:fill="F2F2F2"/>
              </w:rPr>
            </w:pPr>
            <w:r w:rsidRPr="00FA3F9C">
              <w:rPr>
                <w:rFonts w:ascii="Arial" w:hAnsi="Arial" w:cs="Arial"/>
                <w:color w:val="000000"/>
                <w:sz w:val="24"/>
                <w:szCs w:val="24"/>
              </w:rPr>
              <w:t>Day 2: 200 mg QD</w:t>
            </w:r>
          </w:p>
          <w:p w14:paraId="5D93DE26" w14:textId="77777777" w:rsidR="005C142D" w:rsidRPr="00FA3F9C" w:rsidRDefault="005C142D" w:rsidP="00FC1E85">
            <w:pPr>
              <w:pStyle w:val="ListParagraph"/>
              <w:numPr>
                <w:ilvl w:val="0"/>
                <w:numId w:val="379"/>
              </w:numPr>
              <w:ind w:left="245" w:hanging="245"/>
              <w:rPr>
                <w:rFonts w:ascii="Arial" w:hAnsi="Arial" w:cs="Arial"/>
                <w:color w:val="000000"/>
                <w:sz w:val="24"/>
                <w:szCs w:val="24"/>
                <w:shd w:val="clear" w:color="auto" w:fill="F2F2F2"/>
              </w:rPr>
            </w:pPr>
            <w:r w:rsidRPr="00FA3F9C">
              <w:rPr>
                <w:rFonts w:ascii="Arial" w:hAnsi="Arial" w:cs="Arial"/>
                <w:color w:val="000000"/>
                <w:sz w:val="24"/>
                <w:szCs w:val="24"/>
              </w:rPr>
              <w:t>Day 3 and beyond: 400 mg QD</w:t>
            </w:r>
          </w:p>
          <w:p w14:paraId="0CBE3A44" w14:textId="77777777" w:rsidR="005C142D" w:rsidRPr="00FA3F9C" w:rsidRDefault="005C142D" w:rsidP="00FC1E85">
            <w:pPr>
              <w:pStyle w:val="ListParagraph"/>
              <w:numPr>
                <w:ilvl w:val="0"/>
                <w:numId w:val="379"/>
              </w:numPr>
              <w:ind w:left="245" w:hanging="245"/>
              <w:rPr>
                <w:rFonts w:ascii="Arial" w:hAnsi="Arial" w:cs="Arial"/>
                <w:color w:val="000000"/>
                <w:sz w:val="24"/>
                <w:szCs w:val="24"/>
                <w:shd w:val="clear" w:color="auto" w:fill="F2F2F2"/>
              </w:rPr>
            </w:pPr>
            <w:r w:rsidRPr="00FA3F9C">
              <w:rPr>
                <w:rFonts w:ascii="Arial" w:hAnsi="Arial" w:cs="Arial"/>
                <w:color w:val="000000"/>
                <w:sz w:val="24"/>
                <w:szCs w:val="24"/>
              </w:rPr>
              <w:t xml:space="preserve">Continue until disease progression or unacceptable toxicity </w:t>
            </w:r>
          </w:p>
        </w:tc>
      </w:tr>
      <w:tr w:rsidR="005C142D" w:rsidRPr="00FA3F9C" w14:paraId="28CE4238" w14:textId="77777777" w:rsidTr="005E11D7">
        <w:trPr>
          <w:trHeight w:val="71"/>
        </w:trPr>
        <w:tc>
          <w:tcPr>
            <w:tcW w:w="9350" w:type="dxa"/>
          </w:tcPr>
          <w:p w14:paraId="0E8CE9DB" w14:textId="77777777" w:rsidR="005C142D" w:rsidRPr="00FA3F9C" w:rsidRDefault="005C142D" w:rsidP="00E31FDE">
            <w:pPr>
              <w:rPr>
                <w:rFonts w:ascii="Arial" w:hAnsi="Arial" w:cs="Arial"/>
                <w:sz w:val="24"/>
                <w:szCs w:val="24"/>
              </w:rPr>
            </w:pPr>
            <w:r w:rsidRPr="00FA3F9C">
              <w:rPr>
                <w:rFonts w:ascii="Arial" w:hAnsi="Arial" w:cs="Arial"/>
                <w:sz w:val="24"/>
                <w:szCs w:val="24"/>
              </w:rPr>
              <w:lastRenderedPageBreak/>
              <w:t>References:</w:t>
            </w:r>
          </w:p>
          <w:p w14:paraId="4EF42324" w14:textId="77777777" w:rsidR="005C142D" w:rsidRPr="00FA3F9C" w:rsidRDefault="005C142D" w:rsidP="00FC1E85">
            <w:pPr>
              <w:pStyle w:val="ListParagraph"/>
              <w:numPr>
                <w:ilvl w:val="0"/>
                <w:numId w:val="502"/>
              </w:numPr>
              <w:ind w:left="245" w:hanging="180"/>
              <w:rPr>
                <w:rFonts w:ascii="Arial" w:hAnsi="Arial" w:cs="Arial"/>
                <w:sz w:val="24"/>
                <w:szCs w:val="24"/>
              </w:rPr>
            </w:pPr>
            <w:r w:rsidRPr="00FA3F9C">
              <w:rPr>
                <w:rFonts w:ascii="Arial" w:hAnsi="Arial" w:cs="Arial"/>
                <w:i/>
                <w:sz w:val="24"/>
                <w:szCs w:val="24"/>
                <w:shd w:val="clear" w:color="auto" w:fill="FFFFFF"/>
              </w:rPr>
              <w:t xml:space="preserve">Guidelines for AML – NCCN. </w:t>
            </w:r>
            <w:hyperlink r:id="rId421" w:history="1">
              <w:r w:rsidRPr="00FA3F9C">
                <w:rPr>
                  <w:rStyle w:val="Hyperlink"/>
                  <w:rFonts w:ascii="Arial" w:hAnsi="Arial" w:cs="Arial"/>
                  <w:sz w:val="24"/>
                  <w:szCs w:val="24"/>
                  <w:shd w:val="clear" w:color="auto" w:fill="FFFFFF"/>
                </w:rPr>
                <w:t>www.nccn.org/professionals/physician_gls/pdf/aml.pdf</w:t>
              </w:r>
            </w:hyperlink>
            <w:r w:rsidRPr="00FA3F9C">
              <w:rPr>
                <w:rFonts w:ascii="Arial" w:hAnsi="Arial" w:cs="Arial"/>
                <w:sz w:val="24"/>
                <w:szCs w:val="24"/>
                <w:shd w:val="clear" w:color="auto" w:fill="FFFFFF"/>
              </w:rPr>
              <w:t>. Accessed 3/21/19</w:t>
            </w:r>
          </w:p>
          <w:p w14:paraId="06F4F8D8" w14:textId="77777777" w:rsidR="005C142D" w:rsidRPr="00FA3F9C" w:rsidRDefault="005C142D" w:rsidP="00FC1E85">
            <w:pPr>
              <w:pStyle w:val="ListParagraph"/>
              <w:numPr>
                <w:ilvl w:val="0"/>
                <w:numId w:val="502"/>
              </w:numPr>
              <w:ind w:left="245" w:hanging="180"/>
              <w:rPr>
                <w:rFonts w:ascii="Arial" w:hAnsi="Arial" w:cs="Arial"/>
                <w:sz w:val="24"/>
                <w:szCs w:val="24"/>
              </w:rPr>
            </w:pPr>
            <w:proofErr w:type="spellStart"/>
            <w:r w:rsidRPr="00FA3F9C">
              <w:rPr>
                <w:rFonts w:ascii="Arial" w:hAnsi="Arial" w:cs="Arial"/>
                <w:sz w:val="24"/>
                <w:szCs w:val="24"/>
              </w:rPr>
              <w:t>Fenaux</w:t>
            </w:r>
            <w:proofErr w:type="spellEnd"/>
            <w:r w:rsidRPr="00FA3F9C">
              <w:rPr>
                <w:rFonts w:ascii="Arial" w:hAnsi="Arial" w:cs="Arial"/>
                <w:sz w:val="24"/>
                <w:szCs w:val="24"/>
              </w:rPr>
              <w:t>, Pierre, et al. “</w:t>
            </w:r>
            <w:proofErr w:type="spellStart"/>
            <w:r w:rsidRPr="00FA3F9C">
              <w:rPr>
                <w:rFonts w:ascii="Arial" w:hAnsi="Arial" w:cs="Arial"/>
                <w:sz w:val="24"/>
                <w:szCs w:val="24"/>
              </w:rPr>
              <w:t>Azacitidine</w:t>
            </w:r>
            <w:proofErr w:type="spellEnd"/>
            <w:r w:rsidRPr="00FA3F9C">
              <w:rPr>
                <w:rFonts w:ascii="Arial" w:hAnsi="Arial" w:cs="Arial"/>
                <w:sz w:val="24"/>
                <w:szCs w:val="24"/>
              </w:rPr>
              <w:t xml:space="preserve"> Prolongs Overall Survival Compared With Conventional Care Regimens in Elderly Patients With Low Bone Marrow Blast Count Acute Myeloid Leukemia.” </w:t>
            </w:r>
            <w:r w:rsidRPr="00FA3F9C">
              <w:rPr>
                <w:rFonts w:ascii="Arial" w:hAnsi="Arial" w:cs="Arial"/>
                <w:i/>
                <w:iCs/>
                <w:sz w:val="24"/>
                <w:szCs w:val="24"/>
              </w:rPr>
              <w:t>Journal of Clinical Oncology</w:t>
            </w:r>
            <w:r w:rsidRPr="00FA3F9C">
              <w:rPr>
                <w:rFonts w:ascii="Arial" w:hAnsi="Arial" w:cs="Arial"/>
                <w:sz w:val="24"/>
                <w:szCs w:val="24"/>
              </w:rPr>
              <w:t>, vol. 28, no. 4, 2010, pp. 562–569., doi:10.1200/jco.2009.23.8329. PMID 20026804</w:t>
            </w:r>
          </w:p>
          <w:p w14:paraId="7EFB24FF" w14:textId="77777777" w:rsidR="005C142D" w:rsidRPr="00FA3F9C" w:rsidRDefault="005C142D" w:rsidP="00FC1E85">
            <w:pPr>
              <w:pStyle w:val="ListParagraph"/>
              <w:numPr>
                <w:ilvl w:val="0"/>
                <w:numId w:val="502"/>
              </w:numPr>
              <w:ind w:left="245" w:hanging="180"/>
              <w:rPr>
                <w:rFonts w:ascii="Arial" w:hAnsi="Arial" w:cs="Arial"/>
                <w:sz w:val="24"/>
                <w:szCs w:val="24"/>
              </w:rPr>
            </w:pPr>
            <w:proofErr w:type="spellStart"/>
            <w:r w:rsidRPr="00FA3F9C">
              <w:rPr>
                <w:rFonts w:ascii="Arial" w:hAnsi="Arial" w:cs="Arial"/>
                <w:sz w:val="24"/>
                <w:szCs w:val="24"/>
                <w:lang w:val="es-ES"/>
              </w:rPr>
              <w:t>Kantarjian</w:t>
            </w:r>
            <w:proofErr w:type="spellEnd"/>
            <w:r w:rsidRPr="00FA3F9C">
              <w:rPr>
                <w:rFonts w:ascii="Arial" w:hAnsi="Arial" w:cs="Arial"/>
                <w:sz w:val="24"/>
                <w:szCs w:val="24"/>
                <w:lang w:val="es-ES"/>
              </w:rPr>
              <w:t xml:space="preserve">, </w:t>
            </w:r>
            <w:proofErr w:type="spellStart"/>
            <w:r w:rsidRPr="00FA3F9C">
              <w:rPr>
                <w:rFonts w:ascii="Arial" w:hAnsi="Arial" w:cs="Arial"/>
                <w:sz w:val="24"/>
                <w:szCs w:val="24"/>
                <w:lang w:val="es-ES"/>
              </w:rPr>
              <w:t>Hagop</w:t>
            </w:r>
            <w:proofErr w:type="spellEnd"/>
            <w:r w:rsidRPr="00FA3F9C">
              <w:rPr>
                <w:rFonts w:ascii="Arial" w:hAnsi="Arial" w:cs="Arial"/>
                <w:sz w:val="24"/>
                <w:szCs w:val="24"/>
                <w:lang w:val="es-ES"/>
              </w:rPr>
              <w:t xml:space="preserve"> M., et al. </w:t>
            </w:r>
            <w:r w:rsidRPr="00FA3F9C">
              <w:rPr>
                <w:rFonts w:ascii="Arial" w:hAnsi="Arial" w:cs="Arial"/>
                <w:sz w:val="24"/>
                <w:szCs w:val="24"/>
              </w:rPr>
              <w:t>“Multicenter, Randomized, Open-Label, Phase III Trial of Decitabine Versus Patient Choice, With Physician Advice, of Either Supportive Care or Low-Dose Cytarabine for the Treatment of Older Patients With Newly Diagnosed Acute Myeloid Leukemia.” </w:t>
            </w:r>
            <w:r w:rsidRPr="00FA3F9C">
              <w:rPr>
                <w:rFonts w:ascii="Arial" w:hAnsi="Arial" w:cs="Arial"/>
                <w:i/>
                <w:iCs/>
                <w:sz w:val="24"/>
                <w:szCs w:val="24"/>
              </w:rPr>
              <w:t>Journal of Clinical Oncology</w:t>
            </w:r>
            <w:r w:rsidRPr="00FA3F9C">
              <w:rPr>
                <w:rFonts w:ascii="Arial" w:hAnsi="Arial" w:cs="Arial"/>
                <w:sz w:val="24"/>
                <w:szCs w:val="24"/>
              </w:rPr>
              <w:t>, vol. 30, no. 21, 2012, pp. 2670–2677., doi:10.1200/jco.2011.38.9429. PMID 22689805</w:t>
            </w:r>
          </w:p>
          <w:p w14:paraId="03C74320" w14:textId="77777777" w:rsidR="005C142D" w:rsidRPr="00FA3F9C" w:rsidRDefault="005C142D" w:rsidP="00FC1E85">
            <w:pPr>
              <w:pStyle w:val="ListParagraph"/>
              <w:numPr>
                <w:ilvl w:val="0"/>
                <w:numId w:val="502"/>
              </w:numPr>
              <w:ind w:left="245" w:hanging="180"/>
              <w:rPr>
                <w:rFonts w:ascii="Arial" w:hAnsi="Arial" w:cs="Arial"/>
                <w:sz w:val="24"/>
                <w:szCs w:val="24"/>
              </w:rPr>
            </w:pPr>
            <w:r w:rsidRPr="00FA3F9C">
              <w:rPr>
                <w:rFonts w:ascii="Arial" w:hAnsi="Arial" w:cs="Arial"/>
                <w:sz w:val="24"/>
                <w:szCs w:val="24"/>
                <w:shd w:val="clear" w:color="auto" w:fill="FFFFFF"/>
                <w:lang w:val="fr-FR"/>
              </w:rPr>
              <w:t xml:space="preserve">Cortes, Jorge E., et al. </w:t>
            </w:r>
            <w:r w:rsidRPr="00FA3F9C">
              <w:rPr>
                <w:rFonts w:ascii="Arial" w:hAnsi="Arial" w:cs="Arial"/>
                <w:sz w:val="24"/>
                <w:szCs w:val="24"/>
                <w:shd w:val="clear" w:color="auto" w:fill="FFFFFF"/>
              </w:rPr>
              <w:t xml:space="preserve">“Randomized Comparison of Low Dose Cytarabine with or without </w:t>
            </w:r>
            <w:proofErr w:type="spellStart"/>
            <w:r w:rsidRPr="00FA3F9C">
              <w:rPr>
                <w:rFonts w:ascii="Arial" w:hAnsi="Arial" w:cs="Arial"/>
                <w:sz w:val="24"/>
                <w:szCs w:val="24"/>
                <w:shd w:val="clear" w:color="auto" w:fill="FFFFFF"/>
              </w:rPr>
              <w:t>Glasdegib</w:t>
            </w:r>
            <w:proofErr w:type="spellEnd"/>
            <w:r w:rsidRPr="00FA3F9C">
              <w:rPr>
                <w:rFonts w:ascii="Arial" w:hAnsi="Arial" w:cs="Arial"/>
                <w:sz w:val="24"/>
                <w:szCs w:val="24"/>
                <w:shd w:val="clear" w:color="auto" w:fill="FFFFFF"/>
              </w:rPr>
              <w:t xml:space="preserve"> in Patients with Newly Diagnosed Acute Myeloid Leukemia or High-Risk Myelodysplastic Syndrome.” </w:t>
            </w:r>
            <w:r w:rsidRPr="00FA3F9C">
              <w:rPr>
                <w:rFonts w:ascii="Arial" w:hAnsi="Arial" w:cs="Arial"/>
                <w:i/>
                <w:iCs/>
                <w:sz w:val="24"/>
                <w:szCs w:val="24"/>
              </w:rPr>
              <w:t>Leukemia</w:t>
            </w:r>
            <w:r w:rsidRPr="00FA3F9C">
              <w:rPr>
                <w:rFonts w:ascii="Arial" w:hAnsi="Arial" w:cs="Arial"/>
                <w:sz w:val="24"/>
                <w:szCs w:val="24"/>
                <w:shd w:val="clear" w:color="auto" w:fill="FFFFFF"/>
              </w:rPr>
              <w:t>, 2018, doi:10.1038/s41375-018-0312-9. PMID 30555165</w:t>
            </w:r>
          </w:p>
          <w:p w14:paraId="0E66D91A" w14:textId="77777777" w:rsidR="005C142D" w:rsidRPr="00FA3F9C" w:rsidRDefault="005C142D" w:rsidP="00FC1E85">
            <w:pPr>
              <w:pStyle w:val="ListParagraph"/>
              <w:numPr>
                <w:ilvl w:val="0"/>
                <w:numId w:val="502"/>
              </w:numPr>
              <w:ind w:left="245" w:hanging="180"/>
              <w:rPr>
                <w:rFonts w:ascii="Arial" w:hAnsi="Arial" w:cs="Arial"/>
                <w:sz w:val="24"/>
                <w:szCs w:val="24"/>
              </w:rPr>
            </w:pPr>
            <w:proofErr w:type="spellStart"/>
            <w:r w:rsidRPr="00FA3F9C">
              <w:rPr>
                <w:rFonts w:ascii="Arial" w:hAnsi="Arial" w:cs="Arial"/>
                <w:sz w:val="24"/>
                <w:szCs w:val="24"/>
              </w:rPr>
              <w:lastRenderedPageBreak/>
              <w:t>Dinardo</w:t>
            </w:r>
            <w:proofErr w:type="spellEnd"/>
            <w:r w:rsidRPr="00FA3F9C">
              <w:rPr>
                <w:rFonts w:ascii="Arial" w:hAnsi="Arial" w:cs="Arial"/>
                <w:sz w:val="24"/>
                <w:szCs w:val="24"/>
              </w:rPr>
              <w:t>, Courtney D., et al. “</w:t>
            </w:r>
            <w:proofErr w:type="spellStart"/>
            <w:r w:rsidRPr="00FA3F9C">
              <w:rPr>
                <w:rFonts w:ascii="Arial" w:hAnsi="Arial" w:cs="Arial"/>
                <w:sz w:val="24"/>
                <w:szCs w:val="24"/>
              </w:rPr>
              <w:t>Venetoclax</w:t>
            </w:r>
            <w:proofErr w:type="spellEnd"/>
            <w:r w:rsidRPr="00FA3F9C">
              <w:rPr>
                <w:rFonts w:ascii="Arial" w:hAnsi="Arial" w:cs="Arial"/>
                <w:sz w:val="24"/>
                <w:szCs w:val="24"/>
              </w:rPr>
              <w:t xml:space="preserve"> Combined with Decitabine or </w:t>
            </w:r>
            <w:proofErr w:type="spellStart"/>
            <w:r w:rsidRPr="00FA3F9C">
              <w:rPr>
                <w:rFonts w:ascii="Arial" w:hAnsi="Arial" w:cs="Arial"/>
                <w:sz w:val="24"/>
                <w:szCs w:val="24"/>
              </w:rPr>
              <w:t>Azacitidine</w:t>
            </w:r>
            <w:proofErr w:type="spellEnd"/>
            <w:r w:rsidRPr="00FA3F9C">
              <w:rPr>
                <w:rFonts w:ascii="Arial" w:hAnsi="Arial" w:cs="Arial"/>
                <w:sz w:val="24"/>
                <w:szCs w:val="24"/>
              </w:rPr>
              <w:t xml:space="preserve"> in Treatment-Naive, Elderly Patients with Acute Myeloid Leukemia.” </w:t>
            </w:r>
            <w:r w:rsidRPr="00FA3F9C">
              <w:rPr>
                <w:rFonts w:ascii="Arial" w:hAnsi="Arial" w:cs="Arial"/>
                <w:i/>
                <w:iCs/>
                <w:sz w:val="24"/>
                <w:szCs w:val="24"/>
              </w:rPr>
              <w:t>Blood</w:t>
            </w:r>
            <w:r w:rsidRPr="00FA3F9C">
              <w:rPr>
                <w:rFonts w:ascii="Arial" w:hAnsi="Arial" w:cs="Arial"/>
                <w:sz w:val="24"/>
                <w:szCs w:val="24"/>
              </w:rPr>
              <w:t>, vol. 133, no. 1, 2018, pp. 7–17., doi:10.1182/blood-2018-08-868752. PMID 30361262 NCT02203773</w:t>
            </w:r>
          </w:p>
          <w:p w14:paraId="1AA36FF2" w14:textId="77777777" w:rsidR="005C142D" w:rsidRPr="00FA3F9C" w:rsidRDefault="005C142D" w:rsidP="00FC1E85">
            <w:pPr>
              <w:pStyle w:val="ListParagraph"/>
              <w:numPr>
                <w:ilvl w:val="0"/>
                <w:numId w:val="502"/>
              </w:numPr>
              <w:ind w:left="245" w:hanging="180"/>
              <w:rPr>
                <w:rFonts w:ascii="Arial" w:hAnsi="Arial" w:cs="Arial"/>
                <w:sz w:val="24"/>
                <w:szCs w:val="24"/>
              </w:rPr>
            </w:pPr>
            <w:r w:rsidRPr="00FA3F9C">
              <w:rPr>
                <w:rFonts w:ascii="Arial" w:hAnsi="Arial" w:cs="Arial"/>
                <w:sz w:val="24"/>
                <w:szCs w:val="24"/>
              </w:rPr>
              <w:t xml:space="preserve">Wei AH et al. </w:t>
            </w:r>
            <w:proofErr w:type="spellStart"/>
            <w:r w:rsidRPr="00FA3F9C">
              <w:rPr>
                <w:rFonts w:ascii="Arial" w:hAnsi="Arial" w:cs="Arial"/>
                <w:sz w:val="24"/>
                <w:szCs w:val="24"/>
              </w:rPr>
              <w:t>Venetoclax</w:t>
            </w:r>
            <w:proofErr w:type="spellEnd"/>
            <w:r w:rsidRPr="00FA3F9C">
              <w:rPr>
                <w:rFonts w:ascii="Arial" w:hAnsi="Arial" w:cs="Arial"/>
                <w:sz w:val="24"/>
                <w:szCs w:val="24"/>
              </w:rPr>
              <w:t xml:space="preserve"> combined with low-dose cytarabine for previously untreated patients with acute myeloid leukemia: results from a phase </w:t>
            </w:r>
            <w:proofErr w:type="spellStart"/>
            <w:r w:rsidRPr="00FA3F9C">
              <w:rPr>
                <w:rFonts w:ascii="Arial" w:hAnsi="Arial" w:cs="Arial"/>
                <w:sz w:val="24"/>
                <w:szCs w:val="24"/>
              </w:rPr>
              <w:t>Ib</w:t>
            </w:r>
            <w:proofErr w:type="spellEnd"/>
            <w:r w:rsidRPr="00FA3F9C">
              <w:rPr>
                <w:rFonts w:ascii="Arial" w:hAnsi="Arial" w:cs="Arial"/>
                <w:sz w:val="24"/>
                <w:szCs w:val="24"/>
              </w:rPr>
              <w:t>/II study. J Clin Oncol. 2019 Mar 20:JCO1801600. PMID: 30892988</w:t>
            </w:r>
          </w:p>
          <w:p w14:paraId="0B0A64EB" w14:textId="77777777" w:rsidR="005C142D" w:rsidRPr="00FA3F9C" w:rsidRDefault="005C142D" w:rsidP="00FC1E85">
            <w:pPr>
              <w:pStyle w:val="ListParagraph"/>
              <w:numPr>
                <w:ilvl w:val="0"/>
                <w:numId w:val="502"/>
              </w:numPr>
              <w:ind w:left="245" w:hanging="180"/>
              <w:rPr>
                <w:rFonts w:ascii="Arial" w:hAnsi="Arial" w:cs="Arial"/>
                <w:sz w:val="24"/>
                <w:szCs w:val="24"/>
              </w:rPr>
            </w:pPr>
            <w:r w:rsidRPr="00FA3F9C">
              <w:rPr>
                <w:rFonts w:ascii="Arial" w:hAnsi="Arial" w:cs="Arial"/>
                <w:sz w:val="24"/>
                <w:szCs w:val="24"/>
              </w:rPr>
              <w:t xml:space="preserve">DiNardo CD et al. </w:t>
            </w:r>
            <w:proofErr w:type="spellStart"/>
            <w:r w:rsidRPr="00FA3F9C">
              <w:rPr>
                <w:rFonts w:ascii="Arial" w:hAnsi="Arial" w:cs="Arial"/>
                <w:sz w:val="24"/>
                <w:szCs w:val="24"/>
              </w:rPr>
              <w:t>Azacitidine</w:t>
            </w:r>
            <w:proofErr w:type="spellEnd"/>
            <w:r w:rsidRPr="00FA3F9C">
              <w:rPr>
                <w:rFonts w:ascii="Arial" w:hAnsi="Arial" w:cs="Arial"/>
                <w:sz w:val="24"/>
                <w:szCs w:val="24"/>
              </w:rPr>
              <w:t xml:space="preserve"> and </w:t>
            </w:r>
            <w:proofErr w:type="spellStart"/>
            <w:r w:rsidRPr="00FA3F9C">
              <w:rPr>
                <w:rFonts w:ascii="Arial" w:hAnsi="Arial" w:cs="Arial"/>
                <w:sz w:val="24"/>
                <w:szCs w:val="24"/>
              </w:rPr>
              <w:t>Venetoclax</w:t>
            </w:r>
            <w:proofErr w:type="spellEnd"/>
            <w:r w:rsidRPr="00FA3F9C">
              <w:rPr>
                <w:rFonts w:ascii="Arial" w:hAnsi="Arial" w:cs="Arial"/>
                <w:sz w:val="24"/>
                <w:szCs w:val="24"/>
              </w:rPr>
              <w:t xml:space="preserve"> in Previously Untreated Acute Myeloid Leukemia. N </w:t>
            </w:r>
            <w:proofErr w:type="spellStart"/>
            <w:r w:rsidRPr="00FA3F9C">
              <w:rPr>
                <w:rFonts w:ascii="Arial" w:hAnsi="Arial" w:cs="Arial"/>
                <w:sz w:val="24"/>
                <w:szCs w:val="24"/>
              </w:rPr>
              <w:t>Engl</w:t>
            </w:r>
            <w:proofErr w:type="spellEnd"/>
            <w:r w:rsidRPr="00FA3F9C">
              <w:rPr>
                <w:rFonts w:ascii="Arial" w:hAnsi="Arial" w:cs="Arial"/>
                <w:sz w:val="24"/>
                <w:szCs w:val="24"/>
              </w:rPr>
              <w:t xml:space="preserve"> J Med. 2020 Aug 13;383(7):617-629. </w:t>
            </w:r>
            <w:proofErr w:type="spellStart"/>
            <w:r w:rsidRPr="00FA3F9C">
              <w:rPr>
                <w:rFonts w:ascii="Arial" w:hAnsi="Arial" w:cs="Arial"/>
                <w:sz w:val="24"/>
                <w:szCs w:val="24"/>
              </w:rPr>
              <w:t>doi</w:t>
            </w:r>
            <w:proofErr w:type="spellEnd"/>
            <w:r w:rsidRPr="00FA3F9C">
              <w:rPr>
                <w:rFonts w:ascii="Arial" w:hAnsi="Arial" w:cs="Arial"/>
                <w:sz w:val="24"/>
                <w:szCs w:val="24"/>
              </w:rPr>
              <w:t>: 10.1056/NEJMoa2012971. PMID: 32786187.</w:t>
            </w:r>
          </w:p>
        </w:tc>
      </w:tr>
    </w:tbl>
    <w:p w14:paraId="0BCF36B0" w14:textId="77777777" w:rsidR="005C142D" w:rsidRPr="00FA3F9C" w:rsidRDefault="005C142D" w:rsidP="00B500AD">
      <w:pPr>
        <w:rPr>
          <w:rFonts w:ascii="Arial" w:hAnsi="Arial" w:cs="Arial"/>
          <w:sz w:val="24"/>
          <w:szCs w:val="24"/>
        </w:rPr>
      </w:pPr>
    </w:p>
    <w:p w14:paraId="2771B756" w14:textId="77777777" w:rsidR="005C142D" w:rsidRPr="00FA3F9C" w:rsidRDefault="005C142D" w:rsidP="00B500AD">
      <w:pPr>
        <w:rPr>
          <w:rFonts w:ascii="Arial" w:hAnsi="Arial" w:cs="Arial"/>
          <w:sz w:val="24"/>
          <w:szCs w:val="24"/>
        </w:rPr>
      </w:pPr>
    </w:p>
    <w:tbl>
      <w:tblPr>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7511"/>
        <w:gridCol w:w="1866"/>
      </w:tblGrid>
      <w:tr w:rsidR="005C142D" w:rsidRPr="00FA3F9C" w14:paraId="706A4263" w14:textId="77777777" w:rsidTr="00FB3489">
        <w:tc>
          <w:tcPr>
            <w:tcW w:w="985" w:type="dxa"/>
          </w:tcPr>
          <w:p w14:paraId="509316F6" w14:textId="77777777" w:rsidR="005C142D" w:rsidRPr="00FA3F9C" w:rsidRDefault="005C142D" w:rsidP="000E79CF">
            <w:pPr>
              <w:rPr>
                <w:rFonts w:ascii="Arial" w:hAnsi="Arial" w:cs="Arial"/>
                <w:sz w:val="24"/>
                <w:szCs w:val="24"/>
              </w:rPr>
            </w:pPr>
            <w:r w:rsidRPr="00FA3F9C">
              <w:rPr>
                <w:rFonts w:ascii="Arial" w:hAnsi="Arial" w:cs="Arial"/>
                <w:sz w:val="24"/>
                <w:szCs w:val="24"/>
              </w:rPr>
              <w:t>Date</w:t>
            </w:r>
          </w:p>
        </w:tc>
        <w:tc>
          <w:tcPr>
            <w:tcW w:w="7920" w:type="dxa"/>
          </w:tcPr>
          <w:p w14:paraId="35E4C877" w14:textId="77777777" w:rsidR="005C142D" w:rsidRPr="00FA3F9C" w:rsidRDefault="005C142D" w:rsidP="000E79CF">
            <w:pPr>
              <w:rPr>
                <w:rFonts w:ascii="Arial" w:hAnsi="Arial" w:cs="Arial"/>
                <w:sz w:val="24"/>
                <w:szCs w:val="24"/>
              </w:rPr>
            </w:pPr>
            <w:r w:rsidRPr="00FA3F9C">
              <w:rPr>
                <w:rFonts w:ascii="Arial" w:hAnsi="Arial" w:cs="Arial"/>
                <w:sz w:val="24"/>
                <w:szCs w:val="24"/>
              </w:rPr>
              <w:t>What changed?</w:t>
            </w:r>
          </w:p>
        </w:tc>
        <w:tc>
          <w:tcPr>
            <w:tcW w:w="1890" w:type="dxa"/>
          </w:tcPr>
          <w:p w14:paraId="24EB42B1" w14:textId="77777777" w:rsidR="005C142D" w:rsidRPr="00FA3F9C" w:rsidRDefault="005C142D" w:rsidP="000E79CF">
            <w:pPr>
              <w:rPr>
                <w:rFonts w:ascii="Arial" w:hAnsi="Arial" w:cs="Arial"/>
                <w:sz w:val="24"/>
                <w:szCs w:val="24"/>
              </w:rPr>
            </w:pPr>
            <w:r w:rsidRPr="00FA3F9C">
              <w:rPr>
                <w:rFonts w:ascii="Arial" w:hAnsi="Arial" w:cs="Arial"/>
                <w:sz w:val="24"/>
                <w:szCs w:val="24"/>
              </w:rPr>
              <w:t>Pharmacist’s initials</w:t>
            </w:r>
          </w:p>
        </w:tc>
      </w:tr>
      <w:tr w:rsidR="005C142D" w:rsidRPr="00FA3F9C" w14:paraId="21081C02" w14:textId="77777777" w:rsidTr="00FB3489">
        <w:tc>
          <w:tcPr>
            <w:tcW w:w="985" w:type="dxa"/>
          </w:tcPr>
          <w:p w14:paraId="3781B1BF" w14:textId="77777777" w:rsidR="005C142D" w:rsidRPr="00FA3F9C" w:rsidRDefault="005C142D" w:rsidP="000E79CF">
            <w:pPr>
              <w:rPr>
                <w:rFonts w:ascii="Arial" w:hAnsi="Arial" w:cs="Arial"/>
                <w:sz w:val="24"/>
                <w:szCs w:val="24"/>
              </w:rPr>
            </w:pPr>
            <w:r w:rsidRPr="00FA3F9C">
              <w:rPr>
                <w:rFonts w:ascii="Arial" w:hAnsi="Arial" w:cs="Arial"/>
                <w:sz w:val="24"/>
                <w:szCs w:val="24"/>
              </w:rPr>
              <w:t>12-19-18</w:t>
            </w:r>
          </w:p>
        </w:tc>
        <w:tc>
          <w:tcPr>
            <w:tcW w:w="7920" w:type="dxa"/>
          </w:tcPr>
          <w:p w14:paraId="058CC7E1" w14:textId="77777777" w:rsidR="005C142D" w:rsidRPr="00FA3F9C" w:rsidRDefault="005C142D" w:rsidP="000E79CF">
            <w:pPr>
              <w:rPr>
                <w:rFonts w:ascii="Arial" w:hAnsi="Arial" w:cs="Arial"/>
                <w:sz w:val="24"/>
                <w:szCs w:val="24"/>
              </w:rPr>
            </w:pPr>
            <w:r w:rsidRPr="00FA3F9C">
              <w:rPr>
                <w:rFonts w:ascii="Arial" w:hAnsi="Arial" w:cs="Arial"/>
                <w:sz w:val="24"/>
                <w:szCs w:val="24"/>
              </w:rPr>
              <w:t xml:space="preserve">Wrote criteria for </w:t>
            </w:r>
            <w:proofErr w:type="spellStart"/>
            <w:r w:rsidRPr="00FA3F9C">
              <w:rPr>
                <w:rFonts w:ascii="Arial" w:hAnsi="Arial" w:cs="Arial"/>
                <w:sz w:val="24"/>
                <w:szCs w:val="24"/>
              </w:rPr>
              <w:t>venetoclax</w:t>
            </w:r>
            <w:proofErr w:type="spellEnd"/>
            <w:r w:rsidRPr="00FA3F9C">
              <w:rPr>
                <w:rFonts w:ascii="Arial" w:hAnsi="Arial" w:cs="Arial"/>
                <w:sz w:val="24"/>
                <w:szCs w:val="24"/>
              </w:rPr>
              <w:t xml:space="preserve"> for RR CLL/SLL</w:t>
            </w:r>
          </w:p>
        </w:tc>
        <w:tc>
          <w:tcPr>
            <w:tcW w:w="1890" w:type="dxa"/>
          </w:tcPr>
          <w:p w14:paraId="04DCADE7" w14:textId="77777777" w:rsidR="005C142D" w:rsidRPr="00FA3F9C" w:rsidRDefault="005C142D" w:rsidP="000E79CF">
            <w:pPr>
              <w:rPr>
                <w:rFonts w:ascii="Arial" w:hAnsi="Arial" w:cs="Arial"/>
                <w:sz w:val="24"/>
                <w:szCs w:val="24"/>
              </w:rPr>
            </w:pPr>
            <w:r w:rsidRPr="00FA3F9C">
              <w:rPr>
                <w:rFonts w:ascii="Arial" w:hAnsi="Arial" w:cs="Arial"/>
                <w:sz w:val="24"/>
                <w:szCs w:val="24"/>
              </w:rPr>
              <w:t>ALM</w:t>
            </w:r>
          </w:p>
        </w:tc>
      </w:tr>
      <w:tr w:rsidR="005C142D" w:rsidRPr="00FA3F9C" w14:paraId="5F8C074E" w14:textId="77777777" w:rsidTr="00FB3489">
        <w:tc>
          <w:tcPr>
            <w:tcW w:w="985" w:type="dxa"/>
          </w:tcPr>
          <w:p w14:paraId="4F274F31" w14:textId="77777777" w:rsidR="005C142D" w:rsidRPr="00FA3F9C" w:rsidRDefault="005C142D" w:rsidP="000E79CF">
            <w:pPr>
              <w:rPr>
                <w:rFonts w:ascii="Arial" w:hAnsi="Arial" w:cs="Arial"/>
                <w:sz w:val="24"/>
                <w:szCs w:val="24"/>
              </w:rPr>
            </w:pPr>
            <w:r w:rsidRPr="00FA3F9C">
              <w:rPr>
                <w:rFonts w:ascii="Arial" w:hAnsi="Arial" w:cs="Arial"/>
                <w:sz w:val="24"/>
                <w:szCs w:val="24"/>
              </w:rPr>
              <w:t>1/29/19</w:t>
            </w:r>
          </w:p>
        </w:tc>
        <w:tc>
          <w:tcPr>
            <w:tcW w:w="7920" w:type="dxa"/>
          </w:tcPr>
          <w:p w14:paraId="3215FC2B" w14:textId="77777777" w:rsidR="005C142D" w:rsidRPr="00FA3F9C" w:rsidRDefault="005C142D" w:rsidP="000E79CF">
            <w:pPr>
              <w:rPr>
                <w:rFonts w:ascii="Arial" w:hAnsi="Arial" w:cs="Arial"/>
                <w:sz w:val="24"/>
                <w:szCs w:val="24"/>
              </w:rPr>
            </w:pPr>
            <w:r w:rsidRPr="00FA3F9C">
              <w:rPr>
                <w:rFonts w:ascii="Arial" w:hAnsi="Arial" w:cs="Arial"/>
                <w:sz w:val="24"/>
                <w:szCs w:val="24"/>
              </w:rPr>
              <w:t xml:space="preserve">I reviewed the criteria. I removed pregnancy/contraception requirement; it is implied.  We expect prescribers to practice medicine.  Although median OS had not been met for either the </w:t>
            </w:r>
            <w:proofErr w:type="spellStart"/>
            <w:r w:rsidRPr="00FA3F9C">
              <w:rPr>
                <w:rFonts w:ascii="Arial" w:hAnsi="Arial" w:cs="Arial"/>
                <w:sz w:val="24"/>
                <w:szCs w:val="24"/>
              </w:rPr>
              <w:t>venetoclax</w:t>
            </w:r>
            <w:proofErr w:type="spellEnd"/>
            <w:r w:rsidRPr="00FA3F9C">
              <w:rPr>
                <w:rFonts w:ascii="Arial" w:hAnsi="Arial" w:cs="Arial"/>
                <w:sz w:val="24"/>
                <w:szCs w:val="24"/>
              </w:rPr>
              <w:t>/Rituxan or the placebo group, the 24 month survival was 91.9% vs 86.6%, respectively, HR 0.48, 95%CI 0.25 to 0.90.</w:t>
            </w:r>
          </w:p>
        </w:tc>
        <w:tc>
          <w:tcPr>
            <w:tcW w:w="1890" w:type="dxa"/>
          </w:tcPr>
          <w:p w14:paraId="1077D0A5" w14:textId="77777777" w:rsidR="005C142D" w:rsidRPr="00FA3F9C" w:rsidRDefault="005C142D" w:rsidP="000E79CF">
            <w:pPr>
              <w:rPr>
                <w:rFonts w:ascii="Arial" w:hAnsi="Arial" w:cs="Arial"/>
                <w:sz w:val="24"/>
                <w:szCs w:val="24"/>
              </w:rPr>
            </w:pPr>
            <w:r w:rsidRPr="00FA3F9C">
              <w:rPr>
                <w:rFonts w:ascii="Arial" w:hAnsi="Arial" w:cs="Arial"/>
                <w:sz w:val="24"/>
                <w:szCs w:val="24"/>
              </w:rPr>
              <w:t>JJ</w:t>
            </w:r>
          </w:p>
        </w:tc>
      </w:tr>
      <w:tr w:rsidR="005C142D" w:rsidRPr="00FA3F9C" w14:paraId="4A634CC3" w14:textId="77777777" w:rsidTr="00FB3489">
        <w:tc>
          <w:tcPr>
            <w:tcW w:w="985" w:type="dxa"/>
          </w:tcPr>
          <w:p w14:paraId="1A013279" w14:textId="77777777" w:rsidR="005C142D" w:rsidRPr="00FA3F9C" w:rsidRDefault="005C142D" w:rsidP="000E79CF">
            <w:pPr>
              <w:rPr>
                <w:rFonts w:ascii="Arial" w:hAnsi="Arial" w:cs="Arial"/>
                <w:sz w:val="24"/>
                <w:szCs w:val="24"/>
              </w:rPr>
            </w:pPr>
            <w:r w:rsidRPr="00FA3F9C">
              <w:rPr>
                <w:rFonts w:ascii="Arial" w:hAnsi="Arial" w:cs="Arial"/>
                <w:sz w:val="24"/>
                <w:szCs w:val="24"/>
              </w:rPr>
              <w:t>2/7/19</w:t>
            </w:r>
          </w:p>
        </w:tc>
        <w:tc>
          <w:tcPr>
            <w:tcW w:w="7920" w:type="dxa"/>
          </w:tcPr>
          <w:p w14:paraId="3AFA1E74" w14:textId="77777777" w:rsidR="005C142D" w:rsidRPr="00FA3F9C" w:rsidRDefault="005C142D" w:rsidP="000E79CF">
            <w:pPr>
              <w:rPr>
                <w:rFonts w:ascii="Arial" w:hAnsi="Arial" w:cs="Arial"/>
                <w:sz w:val="24"/>
                <w:szCs w:val="24"/>
              </w:rPr>
            </w:pPr>
            <w:r w:rsidRPr="00FA3F9C">
              <w:rPr>
                <w:rFonts w:ascii="Arial" w:hAnsi="Arial" w:cs="Arial"/>
                <w:sz w:val="24"/>
                <w:szCs w:val="24"/>
              </w:rPr>
              <w:t>Added second FDA approval for AML (not covered at this time)</w:t>
            </w:r>
          </w:p>
        </w:tc>
        <w:tc>
          <w:tcPr>
            <w:tcW w:w="1890" w:type="dxa"/>
          </w:tcPr>
          <w:p w14:paraId="286F2175" w14:textId="77777777" w:rsidR="005C142D" w:rsidRPr="00FA3F9C" w:rsidRDefault="005C142D" w:rsidP="000E79CF">
            <w:pPr>
              <w:rPr>
                <w:rFonts w:ascii="Arial" w:hAnsi="Arial" w:cs="Arial"/>
                <w:sz w:val="24"/>
                <w:szCs w:val="24"/>
              </w:rPr>
            </w:pPr>
            <w:proofErr w:type="spellStart"/>
            <w:r w:rsidRPr="00FA3F9C">
              <w:rPr>
                <w:rFonts w:ascii="Arial" w:hAnsi="Arial" w:cs="Arial"/>
                <w:sz w:val="24"/>
                <w:szCs w:val="24"/>
              </w:rPr>
              <w:t>Sk</w:t>
            </w:r>
            <w:proofErr w:type="spellEnd"/>
          </w:p>
        </w:tc>
      </w:tr>
      <w:tr w:rsidR="005C142D" w:rsidRPr="00FA3F9C" w14:paraId="4200EA08" w14:textId="77777777" w:rsidTr="00FB3489">
        <w:tc>
          <w:tcPr>
            <w:tcW w:w="985" w:type="dxa"/>
          </w:tcPr>
          <w:p w14:paraId="5E84A4B6" w14:textId="77777777" w:rsidR="005C142D" w:rsidRPr="00FA3F9C" w:rsidRDefault="005C142D" w:rsidP="000E79CF">
            <w:pPr>
              <w:rPr>
                <w:rFonts w:ascii="Arial" w:hAnsi="Arial" w:cs="Arial"/>
                <w:sz w:val="24"/>
                <w:szCs w:val="24"/>
              </w:rPr>
            </w:pPr>
            <w:r w:rsidRPr="00FA3F9C">
              <w:rPr>
                <w:rFonts w:ascii="Arial" w:hAnsi="Arial" w:cs="Arial"/>
                <w:sz w:val="24"/>
                <w:szCs w:val="24"/>
              </w:rPr>
              <w:t>4/18/19</w:t>
            </w:r>
          </w:p>
        </w:tc>
        <w:tc>
          <w:tcPr>
            <w:tcW w:w="7920" w:type="dxa"/>
          </w:tcPr>
          <w:p w14:paraId="21AFCC16" w14:textId="77777777" w:rsidR="005C142D" w:rsidRPr="00FA3F9C" w:rsidRDefault="005C142D" w:rsidP="000E79CF">
            <w:pPr>
              <w:rPr>
                <w:rFonts w:ascii="Arial" w:hAnsi="Arial" w:cs="Arial"/>
                <w:sz w:val="24"/>
                <w:szCs w:val="24"/>
              </w:rPr>
            </w:pPr>
            <w:r w:rsidRPr="00FA3F9C">
              <w:rPr>
                <w:rFonts w:ascii="Arial" w:hAnsi="Arial" w:cs="Arial"/>
                <w:sz w:val="24"/>
                <w:szCs w:val="24"/>
              </w:rPr>
              <w:t>Added new covered indication of AML in older patients or patients with comorbidities who cannot undergo standard induction chemotherapy</w:t>
            </w:r>
          </w:p>
        </w:tc>
        <w:tc>
          <w:tcPr>
            <w:tcW w:w="1890" w:type="dxa"/>
          </w:tcPr>
          <w:p w14:paraId="70352608" w14:textId="77777777" w:rsidR="005C142D" w:rsidRPr="00FA3F9C" w:rsidRDefault="005C142D" w:rsidP="000E79CF">
            <w:pPr>
              <w:rPr>
                <w:rFonts w:ascii="Arial" w:hAnsi="Arial" w:cs="Arial"/>
                <w:sz w:val="24"/>
                <w:szCs w:val="24"/>
              </w:rPr>
            </w:pPr>
            <w:proofErr w:type="spellStart"/>
            <w:r w:rsidRPr="00FA3F9C">
              <w:rPr>
                <w:rFonts w:ascii="Arial" w:hAnsi="Arial" w:cs="Arial"/>
                <w:sz w:val="24"/>
                <w:szCs w:val="24"/>
              </w:rPr>
              <w:t>Sk</w:t>
            </w:r>
            <w:proofErr w:type="spellEnd"/>
          </w:p>
        </w:tc>
      </w:tr>
      <w:tr w:rsidR="005C142D" w:rsidRPr="00FA3F9C" w14:paraId="45E1AD1C" w14:textId="77777777" w:rsidTr="00FB3489">
        <w:tc>
          <w:tcPr>
            <w:tcW w:w="985" w:type="dxa"/>
          </w:tcPr>
          <w:p w14:paraId="381F08C0" w14:textId="77777777" w:rsidR="005C142D" w:rsidRPr="00FA3F9C" w:rsidRDefault="005C142D" w:rsidP="000E79CF">
            <w:pPr>
              <w:rPr>
                <w:rFonts w:ascii="Arial" w:hAnsi="Arial" w:cs="Arial"/>
                <w:sz w:val="24"/>
                <w:szCs w:val="24"/>
              </w:rPr>
            </w:pPr>
            <w:r w:rsidRPr="00FA3F9C">
              <w:rPr>
                <w:rFonts w:ascii="Arial" w:hAnsi="Arial" w:cs="Arial"/>
                <w:sz w:val="24"/>
                <w:szCs w:val="24"/>
              </w:rPr>
              <w:t>7/18/19</w:t>
            </w:r>
          </w:p>
        </w:tc>
        <w:tc>
          <w:tcPr>
            <w:tcW w:w="7920" w:type="dxa"/>
          </w:tcPr>
          <w:p w14:paraId="199F9168" w14:textId="77777777" w:rsidR="005C142D" w:rsidRPr="00FA3F9C" w:rsidRDefault="005C142D" w:rsidP="0033770B">
            <w:pPr>
              <w:rPr>
                <w:rFonts w:ascii="Arial" w:hAnsi="Arial" w:cs="Arial"/>
                <w:sz w:val="24"/>
                <w:szCs w:val="24"/>
              </w:rPr>
            </w:pPr>
            <w:r w:rsidRPr="00FA3F9C">
              <w:rPr>
                <w:rFonts w:ascii="Arial" w:hAnsi="Arial" w:cs="Arial"/>
                <w:sz w:val="24"/>
                <w:szCs w:val="24"/>
              </w:rPr>
              <w:t xml:space="preserve">Criteria reviewed in light of new indication for use of </w:t>
            </w:r>
            <w:proofErr w:type="spellStart"/>
            <w:r w:rsidRPr="00FA3F9C">
              <w:rPr>
                <w:rFonts w:ascii="Arial" w:hAnsi="Arial" w:cs="Arial"/>
                <w:sz w:val="24"/>
                <w:szCs w:val="24"/>
              </w:rPr>
              <w:t>venetoclax</w:t>
            </w:r>
            <w:proofErr w:type="spellEnd"/>
            <w:r w:rsidRPr="00FA3F9C">
              <w:rPr>
                <w:rFonts w:ascii="Arial" w:hAnsi="Arial" w:cs="Arial"/>
                <w:sz w:val="24"/>
                <w:szCs w:val="24"/>
              </w:rPr>
              <w:t xml:space="preserve"> in combination with </w:t>
            </w:r>
            <w:proofErr w:type="spellStart"/>
            <w:r w:rsidRPr="00FA3F9C">
              <w:rPr>
                <w:rFonts w:ascii="Arial" w:hAnsi="Arial" w:cs="Arial"/>
                <w:sz w:val="24"/>
                <w:szCs w:val="24"/>
              </w:rPr>
              <w:t>obinutuzumab</w:t>
            </w:r>
            <w:proofErr w:type="spellEnd"/>
            <w:r w:rsidRPr="00FA3F9C">
              <w:rPr>
                <w:rFonts w:ascii="Arial" w:hAnsi="Arial" w:cs="Arial"/>
                <w:sz w:val="24"/>
                <w:szCs w:val="24"/>
              </w:rPr>
              <w:t xml:space="preserve"> in untreated patients.  This indication will not be covered (see above).</w:t>
            </w:r>
          </w:p>
        </w:tc>
        <w:tc>
          <w:tcPr>
            <w:tcW w:w="1890" w:type="dxa"/>
          </w:tcPr>
          <w:p w14:paraId="199A0C97" w14:textId="77777777" w:rsidR="005C142D" w:rsidRPr="00FA3F9C" w:rsidRDefault="005C142D" w:rsidP="000E79CF">
            <w:pPr>
              <w:rPr>
                <w:rFonts w:ascii="Arial" w:hAnsi="Arial" w:cs="Arial"/>
                <w:sz w:val="24"/>
                <w:szCs w:val="24"/>
              </w:rPr>
            </w:pPr>
            <w:r w:rsidRPr="00FA3F9C">
              <w:rPr>
                <w:rFonts w:ascii="Arial" w:hAnsi="Arial" w:cs="Arial"/>
                <w:sz w:val="24"/>
                <w:szCs w:val="24"/>
              </w:rPr>
              <w:t>SK</w:t>
            </w:r>
          </w:p>
        </w:tc>
      </w:tr>
      <w:tr w:rsidR="005C142D" w:rsidRPr="00FA3F9C" w14:paraId="0BA909F8" w14:textId="77777777" w:rsidTr="00FB3489">
        <w:tc>
          <w:tcPr>
            <w:tcW w:w="985" w:type="dxa"/>
          </w:tcPr>
          <w:p w14:paraId="7DBAE41C" w14:textId="77777777" w:rsidR="005C142D" w:rsidRPr="00FA3F9C" w:rsidRDefault="005C142D" w:rsidP="000E79CF">
            <w:pPr>
              <w:rPr>
                <w:rFonts w:ascii="Arial" w:hAnsi="Arial" w:cs="Arial"/>
                <w:sz w:val="24"/>
                <w:szCs w:val="24"/>
              </w:rPr>
            </w:pPr>
            <w:r w:rsidRPr="00FA3F9C">
              <w:rPr>
                <w:rFonts w:ascii="Arial" w:hAnsi="Arial" w:cs="Arial"/>
                <w:sz w:val="24"/>
                <w:szCs w:val="24"/>
              </w:rPr>
              <w:t>1/29/20</w:t>
            </w:r>
          </w:p>
        </w:tc>
        <w:tc>
          <w:tcPr>
            <w:tcW w:w="7920" w:type="dxa"/>
          </w:tcPr>
          <w:p w14:paraId="05CDF751" w14:textId="77777777" w:rsidR="005C142D" w:rsidRPr="00FA3F9C" w:rsidRDefault="005C142D" w:rsidP="0033770B">
            <w:pPr>
              <w:rPr>
                <w:rFonts w:ascii="Arial" w:hAnsi="Arial" w:cs="Arial"/>
                <w:sz w:val="24"/>
                <w:szCs w:val="24"/>
              </w:rPr>
            </w:pPr>
            <w:r w:rsidRPr="00FA3F9C">
              <w:rPr>
                <w:rFonts w:ascii="Arial" w:hAnsi="Arial" w:cs="Arial"/>
                <w:sz w:val="24"/>
                <w:szCs w:val="24"/>
              </w:rPr>
              <w:t xml:space="preserve">Clarified duration of therapy for relapsed/refractory CLL (24 months). Updated survival data from MURANO study (CLL). For first line CLL </w:t>
            </w:r>
            <w:r w:rsidRPr="00FA3F9C">
              <w:rPr>
                <w:rFonts w:ascii="Arial" w:hAnsi="Arial" w:cs="Arial"/>
                <w:sz w:val="24"/>
                <w:szCs w:val="24"/>
              </w:rPr>
              <w:lastRenderedPageBreak/>
              <w:t xml:space="preserve">indication (with </w:t>
            </w:r>
            <w:proofErr w:type="spellStart"/>
            <w:r w:rsidRPr="00FA3F9C">
              <w:rPr>
                <w:rFonts w:ascii="Arial" w:hAnsi="Arial" w:cs="Arial"/>
                <w:sz w:val="24"/>
                <w:szCs w:val="24"/>
              </w:rPr>
              <w:t>obinutuzumab</w:t>
            </w:r>
            <w:proofErr w:type="spellEnd"/>
            <w:r w:rsidRPr="00FA3F9C">
              <w:rPr>
                <w:rFonts w:ascii="Arial" w:hAnsi="Arial" w:cs="Arial"/>
                <w:sz w:val="24"/>
                <w:szCs w:val="24"/>
              </w:rPr>
              <w:t>), could not locate additional survival data. No indication of improvement in QOL data compared to control per an ASH abstract (reference added above).</w:t>
            </w:r>
          </w:p>
        </w:tc>
        <w:tc>
          <w:tcPr>
            <w:tcW w:w="1890" w:type="dxa"/>
          </w:tcPr>
          <w:p w14:paraId="49959CB1" w14:textId="77777777" w:rsidR="005C142D" w:rsidRPr="00FA3F9C" w:rsidRDefault="005C142D" w:rsidP="000E79CF">
            <w:pPr>
              <w:rPr>
                <w:rFonts w:ascii="Arial" w:hAnsi="Arial" w:cs="Arial"/>
                <w:sz w:val="24"/>
                <w:szCs w:val="24"/>
              </w:rPr>
            </w:pPr>
            <w:proofErr w:type="spellStart"/>
            <w:r w:rsidRPr="00FA3F9C">
              <w:rPr>
                <w:rFonts w:ascii="Arial" w:hAnsi="Arial" w:cs="Arial"/>
                <w:sz w:val="24"/>
                <w:szCs w:val="24"/>
              </w:rPr>
              <w:lastRenderedPageBreak/>
              <w:t>Sk</w:t>
            </w:r>
            <w:proofErr w:type="spellEnd"/>
          </w:p>
        </w:tc>
      </w:tr>
      <w:tr w:rsidR="005C142D" w:rsidRPr="00FA3F9C" w14:paraId="5F814E63" w14:textId="77777777" w:rsidTr="00FB3489">
        <w:tc>
          <w:tcPr>
            <w:tcW w:w="985" w:type="dxa"/>
          </w:tcPr>
          <w:p w14:paraId="6EF0367F" w14:textId="77777777" w:rsidR="005C142D" w:rsidRPr="00FA3F9C" w:rsidRDefault="005C142D" w:rsidP="000E79CF">
            <w:pPr>
              <w:rPr>
                <w:rFonts w:ascii="Arial" w:hAnsi="Arial" w:cs="Arial"/>
                <w:sz w:val="24"/>
                <w:szCs w:val="24"/>
              </w:rPr>
            </w:pPr>
            <w:r w:rsidRPr="00FA3F9C">
              <w:rPr>
                <w:rFonts w:ascii="Arial" w:hAnsi="Arial" w:cs="Arial"/>
                <w:sz w:val="24"/>
                <w:szCs w:val="24"/>
              </w:rPr>
              <w:t>3/16/20</w:t>
            </w:r>
          </w:p>
        </w:tc>
        <w:tc>
          <w:tcPr>
            <w:tcW w:w="7920" w:type="dxa"/>
          </w:tcPr>
          <w:p w14:paraId="1067AA50" w14:textId="77777777" w:rsidR="005C142D" w:rsidRPr="00FA3F9C" w:rsidRDefault="005C142D" w:rsidP="00E218B3">
            <w:pPr>
              <w:rPr>
                <w:rFonts w:ascii="Arial" w:hAnsi="Arial" w:cs="Arial"/>
                <w:sz w:val="24"/>
                <w:szCs w:val="24"/>
              </w:rPr>
            </w:pPr>
            <w:r w:rsidRPr="00FA3F9C">
              <w:rPr>
                <w:rFonts w:ascii="Arial" w:hAnsi="Arial" w:cs="Arial"/>
                <w:sz w:val="24"/>
                <w:szCs w:val="24"/>
              </w:rPr>
              <w:t xml:space="preserve">Added note about phase III data for </w:t>
            </w:r>
            <w:proofErr w:type="spellStart"/>
            <w:r w:rsidRPr="00FA3F9C">
              <w:rPr>
                <w:rFonts w:ascii="Arial" w:hAnsi="Arial" w:cs="Arial"/>
                <w:sz w:val="24"/>
                <w:szCs w:val="24"/>
              </w:rPr>
              <w:t>venetoclax</w:t>
            </w:r>
            <w:proofErr w:type="spellEnd"/>
            <w:r w:rsidRPr="00FA3F9C">
              <w:rPr>
                <w:rFonts w:ascii="Arial" w:hAnsi="Arial" w:cs="Arial"/>
                <w:sz w:val="24"/>
                <w:szCs w:val="24"/>
              </w:rPr>
              <w:t>/cytarabine (negative trial). No change to criteria.</w:t>
            </w:r>
          </w:p>
        </w:tc>
        <w:tc>
          <w:tcPr>
            <w:tcW w:w="1890" w:type="dxa"/>
          </w:tcPr>
          <w:p w14:paraId="73FD826C" w14:textId="77777777" w:rsidR="005C142D" w:rsidRPr="00FA3F9C" w:rsidRDefault="005C142D" w:rsidP="000E79CF">
            <w:pPr>
              <w:rPr>
                <w:rFonts w:ascii="Arial" w:hAnsi="Arial" w:cs="Arial"/>
                <w:sz w:val="24"/>
                <w:szCs w:val="24"/>
              </w:rPr>
            </w:pPr>
            <w:r w:rsidRPr="00FA3F9C">
              <w:rPr>
                <w:rFonts w:ascii="Arial" w:hAnsi="Arial" w:cs="Arial"/>
                <w:sz w:val="24"/>
                <w:szCs w:val="24"/>
              </w:rPr>
              <w:t>SK</w:t>
            </w:r>
          </w:p>
        </w:tc>
      </w:tr>
      <w:tr w:rsidR="005C142D" w:rsidRPr="00FA3F9C" w14:paraId="3E361F13" w14:textId="77777777" w:rsidTr="00FB3489">
        <w:tc>
          <w:tcPr>
            <w:tcW w:w="985" w:type="dxa"/>
          </w:tcPr>
          <w:p w14:paraId="7EA90E31" w14:textId="77777777" w:rsidR="005C142D" w:rsidRPr="00FA3F9C" w:rsidRDefault="005C142D" w:rsidP="000E79CF">
            <w:pPr>
              <w:rPr>
                <w:rFonts w:ascii="Arial" w:hAnsi="Arial" w:cs="Arial"/>
                <w:sz w:val="24"/>
                <w:szCs w:val="24"/>
              </w:rPr>
            </w:pPr>
            <w:r w:rsidRPr="00FA3F9C">
              <w:rPr>
                <w:rFonts w:ascii="Arial" w:hAnsi="Arial" w:cs="Arial"/>
                <w:sz w:val="24"/>
                <w:szCs w:val="24"/>
              </w:rPr>
              <w:t>3/25/20</w:t>
            </w:r>
          </w:p>
        </w:tc>
        <w:tc>
          <w:tcPr>
            <w:tcW w:w="7920" w:type="dxa"/>
          </w:tcPr>
          <w:p w14:paraId="36927306" w14:textId="77777777" w:rsidR="005C142D" w:rsidRPr="00FA3F9C" w:rsidRDefault="005C142D" w:rsidP="00E218B3">
            <w:pPr>
              <w:rPr>
                <w:rFonts w:ascii="Arial" w:hAnsi="Arial" w:cs="Arial"/>
                <w:sz w:val="24"/>
                <w:szCs w:val="24"/>
              </w:rPr>
            </w:pPr>
            <w:r w:rsidRPr="00FA3F9C">
              <w:rPr>
                <w:rFonts w:ascii="Arial" w:hAnsi="Arial" w:cs="Arial"/>
                <w:sz w:val="24"/>
                <w:szCs w:val="24"/>
              </w:rPr>
              <w:t xml:space="preserve">Added statement about preliminary data for </w:t>
            </w:r>
            <w:proofErr w:type="spellStart"/>
            <w:r w:rsidRPr="00FA3F9C">
              <w:rPr>
                <w:rFonts w:ascii="Arial" w:hAnsi="Arial" w:cs="Arial"/>
                <w:sz w:val="24"/>
                <w:szCs w:val="24"/>
              </w:rPr>
              <w:t>azacitidine</w:t>
            </w:r>
            <w:proofErr w:type="spellEnd"/>
            <w:r w:rsidRPr="00FA3F9C">
              <w:rPr>
                <w:rFonts w:ascii="Arial" w:hAnsi="Arial" w:cs="Arial"/>
                <w:sz w:val="24"/>
                <w:szCs w:val="24"/>
              </w:rPr>
              <w:t>/</w:t>
            </w:r>
            <w:proofErr w:type="spellStart"/>
            <w:r w:rsidRPr="00FA3F9C">
              <w:rPr>
                <w:rFonts w:ascii="Arial" w:hAnsi="Arial" w:cs="Arial"/>
                <w:sz w:val="24"/>
                <w:szCs w:val="24"/>
              </w:rPr>
              <w:t>venetoclax</w:t>
            </w:r>
            <w:proofErr w:type="spellEnd"/>
            <w:r w:rsidRPr="00FA3F9C">
              <w:rPr>
                <w:rFonts w:ascii="Arial" w:hAnsi="Arial" w:cs="Arial"/>
                <w:sz w:val="24"/>
                <w:szCs w:val="24"/>
              </w:rPr>
              <w:t xml:space="preserve"> showing improvement in overall survival compared with </w:t>
            </w:r>
            <w:proofErr w:type="spellStart"/>
            <w:r w:rsidRPr="00FA3F9C">
              <w:rPr>
                <w:rFonts w:ascii="Arial" w:hAnsi="Arial" w:cs="Arial"/>
                <w:sz w:val="24"/>
                <w:szCs w:val="24"/>
              </w:rPr>
              <w:t>azacitidine</w:t>
            </w:r>
            <w:proofErr w:type="spellEnd"/>
            <w:r w:rsidRPr="00FA3F9C">
              <w:rPr>
                <w:rFonts w:ascii="Arial" w:hAnsi="Arial" w:cs="Arial"/>
                <w:sz w:val="24"/>
                <w:szCs w:val="24"/>
              </w:rPr>
              <w:t xml:space="preserve"> alone.</w:t>
            </w:r>
          </w:p>
        </w:tc>
        <w:tc>
          <w:tcPr>
            <w:tcW w:w="1890" w:type="dxa"/>
          </w:tcPr>
          <w:p w14:paraId="2B538586" w14:textId="77777777" w:rsidR="005C142D" w:rsidRPr="00FA3F9C" w:rsidRDefault="005C142D" w:rsidP="000E79CF">
            <w:pPr>
              <w:rPr>
                <w:rFonts w:ascii="Arial" w:hAnsi="Arial" w:cs="Arial"/>
                <w:sz w:val="24"/>
                <w:szCs w:val="24"/>
              </w:rPr>
            </w:pPr>
            <w:r w:rsidRPr="00FA3F9C">
              <w:rPr>
                <w:rFonts w:ascii="Arial" w:hAnsi="Arial" w:cs="Arial"/>
                <w:sz w:val="24"/>
                <w:szCs w:val="24"/>
              </w:rPr>
              <w:t>SK</w:t>
            </w:r>
          </w:p>
        </w:tc>
      </w:tr>
      <w:tr w:rsidR="005C142D" w:rsidRPr="00FA3F9C" w14:paraId="33406681" w14:textId="77777777" w:rsidTr="00FB3489">
        <w:tc>
          <w:tcPr>
            <w:tcW w:w="985" w:type="dxa"/>
          </w:tcPr>
          <w:p w14:paraId="3D52FAFD" w14:textId="77777777" w:rsidR="005C142D" w:rsidRPr="00FA3F9C" w:rsidRDefault="005C142D" w:rsidP="000E79CF">
            <w:pPr>
              <w:rPr>
                <w:rFonts w:ascii="Arial" w:hAnsi="Arial" w:cs="Arial"/>
                <w:sz w:val="24"/>
                <w:szCs w:val="24"/>
              </w:rPr>
            </w:pPr>
            <w:r w:rsidRPr="00FA3F9C">
              <w:rPr>
                <w:rFonts w:ascii="Arial" w:hAnsi="Arial" w:cs="Arial"/>
                <w:sz w:val="24"/>
                <w:szCs w:val="24"/>
              </w:rPr>
              <w:t>11/16/2020</w:t>
            </w:r>
          </w:p>
        </w:tc>
        <w:tc>
          <w:tcPr>
            <w:tcW w:w="7920" w:type="dxa"/>
          </w:tcPr>
          <w:p w14:paraId="337382A5" w14:textId="77777777" w:rsidR="005C142D" w:rsidRPr="00FA3F9C" w:rsidRDefault="005C142D" w:rsidP="00E218B3">
            <w:pPr>
              <w:rPr>
                <w:rFonts w:ascii="Arial" w:hAnsi="Arial" w:cs="Arial"/>
                <w:sz w:val="24"/>
                <w:szCs w:val="24"/>
              </w:rPr>
            </w:pPr>
            <w:r w:rsidRPr="00FA3F9C">
              <w:rPr>
                <w:rFonts w:ascii="Arial" w:hAnsi="Arial" w:cs="Arial"/>
                <w:sz w:val="24"/>
                <w:szCs w:val="24"/>
              </w:rPr>
              <w:t xml:space="preserve">Added note that </w:t>
            </w:r>
            <w:proofErr w:type="spellStart"/>
            <w:r w:rsidRPr="00FA3F9C">
              <w:rPr>
                <w:rFonts w:ascii="Arial" w:hAnsi="Arial" w:cs="Arial"/>
                <w:sz w:val="24"/>
                <w:szCs w:val="24"/>
              </w:rPr>
              <w:t>venetoclax</w:t>
            </w:r>
            <w:proofErr w:type="spellEnd"/>
            <w:r w:rsidRPr="00FA3F9C">
              <w:rPr>
                <w:rFonts w:ascii="Arial" w:hAnsi="Arial" w:cs="Arial"/>
                <w:sz w:val="24"/>
                <w:szCs w:val="24"/>
              </w:rPr>
              <w:t xml:space="preserve"> now has full approval for AML indication. Added reference for trial showing improvement in OS when </w:t>
            </w:r>
            <w:proofErr w:type="spellStart"/>
            <w:r w:rsidRPr="00FA3F9C">
              <w:rPr>
                <w:rFonts w:ascii="Arial" w:hAnsi="Arial" w:cs="Arial"/>
                <w:sz w:val="24"/>
                <w:szCs w:val="24"/>
              </w:rPr>
              <w:t>pt</w:t>
            </w:r>
            <w:proofErr w:type="spellEnd"/>
            <w:r w:rsidRPr="00FA3F9C">
              <w:rPr>
                <w:rFonts w:ascii="Arial" w:hAnsi="Arial" w:cs="Arial"/>
                <w:sz w:val="24"/>
                <w:szCs w:val="24"/>
              </w:rPr>
              <w:t xml:space="preserve"> are treated with </w:t>
            </w:r>
            <w:proofErr w:type="spellStart"/>
            <w:r w:rsidRPr="00FA3F9C">
              <w:rPr>
                <w:rFonts w:ascii="Arial" w:hAnsi="Arial" w:cs="Arial"/>
                <w:sz w:val="24"/>
                <w:szCs w:val="24"/>
              </w:rPr>
              <w:t>azacitidine+Veneto</w:t>
            </w:r>
            <w:proofErr w:type="spellEnd"/>
            <w:r w:rsidRPr="00FA3F9C">
              <w:rPr>
                <w:rFonts w:ascii="Arial" w:hAnsi="Arial" w:cs="Arial"/>
                <w:sz w:val="24"/>
                <w:szCs w:val="24"/>
              </w:rPr>
              <w:t xml:space="preserve"> vs </w:t>
            </w:r>
            <w:proofErr w:type="spellStart"/>
            <w:r w:rsidRPr="00FA3F9C">
              <w:rPr>
                <w:rFonts w:ascii="Arial" w:hAnsi="Arial" w:cs="Arial"/>
                <w:sz w:val="24"/>
                <w:szCs w:val="24"/>
              </w:rPr>
              <w:t>azacitidine</w:t>
            </w:r>
            <w:proofErr w:type="spellEnd"/>
            <w:r w:rsidRPr="00FA3F9C">
              <w:rPr>
                <w:rFonts w:ascii="Arial" w:hAnsi="Arial" w:cs="Arial"/>
                <w:sz w:val="24"/>
                <w:szCs w:val="24"/>
              </w:rPr>
              <w:t xml:space="preserve"> alone.</w:t>
            </w:r>
          </w:p>
        </w:tc>
        <w:tc>
          <w:tcPr>
            <w:tcW w:w="1890" w:type="dxa"/>
          </w:tcPr>
          <w:p w14:paraId="7167B966" w14:textId="77777777" w:rsidR="005C142D" w:rsidRPr="00FA3F9C" w:rsidRDefault="005C142D" w:rsidP="000E79CF">
            <w:pPr>
              <w:rPr>
                <w:rFonts w:ascii="Arial" w:hAnsi="Arial" w:cs="Arial"/>
                <w:sz w:val="24"/>
                <w:szCs w:val="24"/>
              </w:rPr>
            </w:pPr>
            <w:r w:rsidRPr="00FA3F9C">
              <w:rPr>
                <w:rFonts w:ascii="Arial" w:hAnsi="Arial" w:cs="Arial"/>
                <w:sz w:val="24"/>
                <w:szCs w:val="24"/>
              </w:rPr>
              <w:t>SK</w:t>
            </w:r>
          </w:p>
        </w:tc>
      </w:tr>
      <w:tr w:rsidR="005C142D" w:rsidRPr="00FA3F9C" w14:paraId="5575E103" w14:textId="77777777" w:rsidTr="00FB3489">
        <w:tc>
          <w:tcPr>
            <w:tcW w:w="985" w:type="dxa"/>
          </w:tcPr>
          <w:p w14:paraId="48A944CB" w14:textId="77777777" w:rsidR="005C142D" w:rsidRPr="00FA3F9C" w:rsidRDefault="005C142D" w:rsidP="000E79CF">
            <w:pPr>
              <w:rPr>
                <w:rFonts w:ascii="Arial" w:hAnsi="Arial" w:cs="Arial"/>
                <w:sz w:val="24"/>
                <w:szCs w:val="24"/>
              </w:rPr>
            </w:pPr>
            <w:r w:rsidRPr="00FA3F9C">
              <w:rPr>
                <w:rFonts w:ascii="Arial" w:hAnsi="Arial" w:cs="Arial"/>
                <w:sz w:val="24"/>
                <w:szCs w:val="24"/>
              </w:rPr>
              <w:t>3/29/2021</w:t>
            </w:r>
          </w:p>
        </w:tc>
        <w:tc>
          <w:tcPr>
            <w:tcW w:w="7920" w:type="dxa"/>
          </w:tcPr>
          <w:p w14:paraId="20C10919" w14:textId="77777777" w:rsidR="005C142D" w:rsidRPr="00FA3F9C" w:rsidRDefault="005C142D" w:rsidP="00E218B3">
            <w:pPr>
              <w:rPr>
                <w:rFonts w:ascii="Arial" w:hAnsi="Arial" w:cs="Arial"/>
                <w:sz w:val="24"/>
                <w:szCs w:val="24"/>
              </w:rPr>
            </w:pPr>
            <w:r w:rsidRPr="00FA3F9C">
              <w:rPr>
                <w:rFonts w:ascii="Arial" w:hAnsi="Arial" w:cs="Arial"/>
                <w:sz w:val="24"/>
                <w:szCs w:val="24"/>
              </w:rPr>
              <w:t>Criteria reviewed. No change to criteria. Updated data for first line treatment of CLL</w:t>
            </w:r>
          </w:p>
        </w:tc>
        <w:tc>
          <w:tcPr>
            <w:tcW w:w="1890" w:type="dxa"/>
          </w:tcPr>
          <w:p w14:paraId="2886C665" w14:textId="77777777" w:rsidR="005C142D" w:rsidRPr="00FA3F9C" w:rsidRDefault="005C142D" w:rsidP="000E79CF">
            <w:pPr>
              <w:rPr>
                <w:rFonts w:ascii="Arial" w:hAnsi="Arial" w:cs="Arial"/>
                <w:sz w:val="24"/>
                <w:szCs w:val="24"/>
              </w:rPr>
            </w:pPr>
            <w:r w:rsidRPr="00FA3F9C">
              <w:rPr>
                <w:rFonts w:ascii="Arial" w:hAnsi="Arial" w:cs="Arial"/>
                <w:sz w:val="24"/>
                <w:szCs w:val="24"/>
              </w:rPr>
              <w:t>SK</w:t>
            </w:r>
          </w:p>
        </w:tc>
      </w:tr>
      <w:tr w:rsidR="005C142D" w:rsidRPr="00FA3F9C" w14:paraId="622AA7F1" w14:textId="77777777" w:rsidTr="00FB3489">
        <w:tc>
          <w:tcPr>
            <w:tcW w:w="985" w:type="dxa"/>
          </w:tcPr>
          <w:p w14:paraId="26462581" w14:textId="77777777" w:rsidR="005C142D" w:rsidRPr="00FA3F9C" w:rsidRDefault="005C142D" w:rsidP="000E79CF">
            <w:pPr>
              <w:rPr>
                <w:rFonts w:ascii="Arial" w:hAnsi="Arial" w:cs="Arial"/>
                <w:sz w:val="24"/>
                <w:szCs w:val="24"/>
              </w:rPr>
            </w:pPr>
            <w:r w:rsidRPr="00FA3F9C">
              <w:rPr>
                <w:rFonts w:ascii="Arial" w:hAnsi="Arial" w:cs="Arial"/>
                <w:sz w:val="24"/>
                <w:szCs w:val="24"/>
              </w:rPr>
              <w:t>4/7/21</w:t>
            </w:r>
          </w:p>
        </w:tc>
        <w:tc>
          <w:tcPr>
            <w:tcW w:w="7920" w:type="dxa"/>
          </w:tcPr>
          <w:p w14:paraId="6C19918A" w14:textId="77777777" w:rsidR="005C142D" w:rsidRPr="00FA3F9C" w:rsidRDefault="005C142D" w:rsidP="00E218B3">
            <w:pPr>
              <w:rPr>
                <w:rFonts w:ascii="Arial" w:hAnsi="Arial" w:cs="Arial"/>
                <w:sz w:val="24"/>
                <w:szCs w:val="24"/>
              </w:rPr>
            </w:pPr>
            <w:r w:rsidRPr="00FA3F9C">
              <w:rPr>
                <w:rFonts w:ascii="Arial" w:hAnsi="Arial" w:cs="Arial"/>
                <w:sz w:val="24"/>
                <w:szCs w:val="24"/>
              </w:rPr>
              <w:t>Applied EBRx criteria to UAS plan.  No current users.</w:t>
            </w:r>
          </w:p>
        </w:tc>
        <w:tc>
          <w:tcPr>
            <w:tcW w:w="1890" w:type="dxa"/>
          </w:tcPr>
          <w:p w14:paraId="2BF14682" w14:textId="77777777" w:rsidR="005C142D" w:rsidRPr="00FA3F9C" w:rsidRDefault="005C142D" w:rsidP="000E79CF">
            <w:pPr>
              <w:rPr>
                <w:rFonts w:ascii="Arial" w:hAnsi="Arial" w:cs="Arial"/>
                <w:sz w:val="24"/>
                <w:szCs w:val="24"/>
              </w:rPr>
            </w:pPr>
            <w:r w:rsidRPr="00FA3F9C">
              <w:rPr>
                <w:rFonts w:ascii="Arial" w:hAnsi="Arial" w:cs="Arial"/>
                <w:sz w:val="24"/>
                <w:szCs w:val="24"/>
              </w:rPr>
              <w:t>JJ</w:t>
            </w:r>
          </w:p>
        </w:tc>
      </w:tr>
      <w:tr w:rsidR="005C142D" w:rsidRPr="00FA3F9C" w14:paraId="1CE8DB01" w14:textId="77777777" w:rsidTr="00FB3489">
        <w:tc>
          <w:tcPr>
            <w:tcW w:w="985" w:type="dxa"/>
          </w:tcPr>
          <w:p w14:paraId="1979A3AB" w14:textId="77777777" w:rsidR="005C142D" w:rsidRPr="00FA3F9C" w:rsidRDefault="005C142D" w:rsidP="000E79CF">
            <w:pPr>
              <w:rPr>
                <w:rFonts w:ascii="Arial" w:hAnsi="Arial" w:cs="Arial"/>
                <w:sz w:val="24"/>
                <w:szCs w:val="24"/>
              </w:rPr>
            </w:pPr>
            <w:r w:rsidRPr="00FA3F9C">
              <w:rPr>
                <w:rFonts w:ascii="Arial" w:hAnsi="Arial" w:cs="Arial"/>
                <w:sz w:val="24"/>
                <w:szCs w:val="24"/>
              </w:rPr>
              <w:t>9/28/2021</w:t>
            </w:r>
          </w:p>
        </w:tc>
        <w:tc>
          <w:tcPr>
            <w:tcW w:w="7920" w:type="dxa"/>
          </w:tcPr>
          <w:p w14:paraId="6A8885CD" w14:textId="77777777" w:rsidR="005C142D" w:rsidRPr="00FA3F9C" w:rsidRDefault="005C142D" w:rsidP="00E218B3">
            <w:pPr>
              <w:rPr>
                <w:rFonts w:ascii="Arial" w:hAnsi="Arial" w:cs="Arial"/>
                <w:sz w:val="24"/>
                <w:szCs w:val="24"/>
              </w:rPr>
            </w:pPr>
            <w:r w:rsidRPr="00FA3F9C">
              <w:rPr>
                <w:rFonts w:ascii="Arial" w:hAnsi="Arial" w:cs="Arial"/>
                <w:sz w:val="24"/>
                <w:szCs w:val="24"/>
              </w:rPr>
              <w:t>Updated data for Veneto/</w:t>
            </w:r>
            <w:proofErr w:type="spellStart"/>
            <w:r w:rsidRPr="00FA3F9C">
              <w:rPr>
                <w:rFonts w:ascii="Arial" w:hAnsi="Arial" w:cs="Arial"/>
                <w:sz w:val="24"/>
                <w:szCs w:val="24"/>
              </w:rPr>
              <w:t>obinutuzumab</w:t>
            </w:r>
            <w:proofErr w:type="spellEnd"/>
            <w:r w:rsidRPr="00FA3F9C">
              <w:rPr>
                <w:rFonts w:ascii="Arial" w:hAnsi="Arial" w:cs="Arial"/>
                <w:sz w:val="24"/>
                <w:szCs w:val="24"/>
              </w:rPr>
              <w:t xml:space="preserve"> for first line CLL. No change to criteria.</w:t>
            </w:r>
          </w:p>
        </w:tc>
        <w:tc>
          <w:tcPr>
            <w:tcW w:w="1890" w:type="dxa"/>
          </w:tcPr>
          <w:p w14:paraId="1281E989" w14:textId="77777777" w:rsidR="005C142D" w:rsidRPr="00FA3F9C" w:rsidRDefault="005C142D" w:rsidP="000E79CF">
            <w:pPr>
              <w:rPr>
                <w:rFonts w:ascii="Arial" w:hAnsi="Arial" w:cs="Arial"/>
                <w:sz w:val="24"/>
                <w:szCs w:val="24"/>
              </w:rPr>
            </w:pPr>
            <w:r w:rsidRPr="00FA3F9C">
              <w:rPr>
                <w:rFonts w:ascii="Arial" w:hAnsi="Arial" w:cs="Arial"/>
                <w:sz w:val="24"/>
                <w:szCs w:val="24"/>
              </w:rPr>
              <w:t>SK</w:t>
            </w:r>
          </w:p>
        </w:tc>
      </w:tr>
    </w:tbl>
    <w:p w14:paraId="2C266B9D" w14:textId="77777777" w:rsidR="005C142D" w:rsidRPr="00FA3F9C" w:rsidRDefault="005C142D" w:rsidP="00B500AD">
      <w:pPr>
        <w:rPr>
          <w:rFonts w:ascii="Arial" w:hAnsi="Arial" w:cs="Arial"/>
          <w:sz w:val="24"/>
          <w:szCs w:val="24"/>
        </w:rPr>
      </w:pPr>
    </w:p>
    <w:p w14:paraId="58FB2CFE" w14:textId="77777777" w:rsidR="005C142D" w:rsidRPr="00FA3F9C" w:rsidRDefault="005C142D">
      <w:pPr>
        <w:rPr>
          <w:rFonts w:ascii="Arial" w:hAnsi="Arial" w:cs="Arial"/>
          <w:sz w:val="24"/>
          <w:szCs w:val="24"/>
        </w:rPr>
      </w:pPr>
    </w:p>
    <w:p w14:paraId="47BE0D2D" w14:textId="77777777" w:rsidR="005D3DE3" w:rsidRDefault="005C142D" w:rsidP="005D3DE3">
      <w:pPr>
        <w:pStyle w:val="Heading2"/>
      </w:pPr>
      <w:bookmarkStart w:id="334" w:name="_Toc106369957"/>
      <w:r w:rsidRPr="00FA3F9C">
        <w:t>Vigabatrin (Sabril)</w:t>
      </w:r>
      <w:bookmarkEnd w:id="334"/>
      <w:r w:rsidRPr="00FA3F9C">
        <w:t xml:space="preserve"> </w:t>
      </w:r>
    </w:p>
    <w:p w14:paraId="7A7BCDB7" w14:textId="05E89C3A" w:rsidR="005C142D" w:rsidRPr="00FA3F9C" w:rsidRDefault="005C142D" w:rsidP="006F623F">
      <w:pPr>
        <w:spacing w:after="0"/>
        <w:jc w:val="center"/>
        <w:rPr>
          <w:rFonts w:ascii="Arial" w:hAnsi="Arial" w:cs="Arial"/>
          <w:sz w:val="24"/>
          <w:szCs w:val="24"/>
        </w:rPr>
      </w:pPr>
      <w:r w:rsidRPr="00FA3F9C">
        <w:rPr>
          <w:rFonts w:ascii="Arial" w:hAnsi="Arial" w:cs="Arial"/>
          <w:sz w:val="24"/>
          <w:szCs w:val="24"/>
        </w:rPr>
        <w:t>[generic available]</w:t>
      </w:r>
    </w:p>
    <w:p w14:paraId="7A8FCFA7" w14:textId="77777777" w:rsidR="005C142D" w:rsidRPr="00FA3F9C" w:rsidRDefault="005C142D" w:rsidP="006F623F">
      <w:pPr>
        <w:spacing w:after="0"/>
        <w:jc w:val="center"/>
        <w:rPr>
          <w:rFonts w:ascii="Arial" w:hAnsi="Arial" w:cs="Arial"/>
          <w:sz w:val="24"/>
          <w:szCs w:val="24"/>
        </w:rPr>
      </w:pPr>
      <w:r w:rsidRPr="00FA3F9C">
        <w:rPr>
          <w:rFonts w:ascii="Arial" w:hAnsi="Arial" w:cs="Arial"/>
          <w:sz w:val="24"/>
          <w:szCs w:val="24"/>
        </w:rPr>
        <w:t>EBRx PA Criteria</w:t>
      </w:r>
    </w:p>
    <w:p w14:paraId="7A1E30BA" w14:textId="77777777" w:rsidR="005C142D" w:rsidRPr="00FA3F9C" w:rsidRDefault="005C142D" w:rsidP="006F623F">
      <w:pPr>
        <w:spacing w:after="0"/>
        <w:rPr>
          <w:rFonts w:ascii="Arial" w:hAnsi="Arial" w:cs="Arial"/>
          <w:b/>
          <w:sz w:val="24"/>
          <w:szCs w:val="24"/>
          <w:u w:val="single"/>
        </w:rPr>
      </w:pPr>
    </w:p>
    <w:p w14:paraId="73404189" w14:textId="77777777" w:rsidR="005C142D" w:rsidRPr="00FA3F9C" w:rsidRDefault="005C142D" w:rsidP="007409DD">
      <w:pPr>
        <w:spacing w:after="0" w:line="240" w:lineRule="auto"/>
        <w:rPr>
          <w:rFonts w:ascii="Arial" w:hAnsi="Arial" w:cs="Arial"/>
          <w:sz w:val="24"/>
          <w:szCs w:val="24"/>
        </w:rPr>
      </w:pPr>
      <w:r w:rsidRPr="00FA3F9C">
        <w:rPr>
          <w:rFonts w:ascii="Arial" w:hAnsi="Arial" w:cs="Arial"/>
          <w:b/>
          <w:sz w:val="24"/>
          <w:szCs w:val="24"/>
          <w:u w:val="single"/>
        </w:rPr>
        <w:t>is FDA-approved for:</w:t>
      </w:r>
      <w:r w:rsidRPr="00FA3F9C">
        <w:rPr>
          <w:rFonts w:ascii="Arial" w:hAnsi="Arial" w:cs="Arial"/>
          <w:sz w:val="24"/>
          <w:szCs w:val="24"/>
        </w:rPr>
        <w:t xml:space="preserve">  </w:t>
      </w:r>
    </w:p>
    <w:p w14:paraId="031F0941" w14:textId="77777777" w:rsidR="005C142D" w:rsidRPr="00FA3F9C" w:rsidRDefault="005C142D" w:rsidP="00FC1E85">
      <w:pPr>
        <w:pStyle w:val="ListParagraph"/>
        <w:numPr>
          <w:ilvl w:val="0"/>
          <w:numId w:val="506"/>
        </w:numPr>
        <w:spacing w:after="0" w:line="240" w:lineRule="auto"/>
        <w:rPr>
          <w:rFonts w:ascii="Arial" w:hAnsi="Arial" w:cs="Arial"/>
          <w:sz w:val="24"/>
          <w:szCs w:val="24"/>
        </w:rPr>
      </w:pPr>
      <w:r w:rsidRPr="00FA3F9C">
        <w:rPr>
          <w:rFonts w:ascii="Arial" w:hAnsi="Arial" w:cs="Arial"/>
          <w:sz w:val="24"/>
          <w:szCs w:val="24"/>
        </w:rPr>
        <w:t>infantile spasms.</w:t>
      </w:r>
    </w:p>
    <w:p w14:paraId="58B2A60E" w14:textId="77777777" w:rsidR="005C142D" w:rsidRPr="00FA3F9C" w:rsidRDefault="005C142D" w:rsidP="00FC1E85">
      <w:pPr>
        <w:pStyle w:val="ListParagraph"/>
        <w:numPr>
          <w:ilvl w:val="0"/>
          <w:numId w:val="506"/>
        </w:numPr>
        <w:spacing w:after="0" w:line="240" w:lineRule="auto"/>
        <w:rPr>
          <w:rFonts w:ascii="Arial" w:hAnsi="Arial" w:cs="Arial"/>
          <w:sz w:val="24"/>
          <w:szCs w:val="24"/>
        </w:rPr>
      </w:pPr>
      <w:r w:rsidRPr="00FA3F9C">
        <w:rPr>
          <w:rFonts w:ascii="Arial" w:hAnsi="Arial" w:cs="Arial"/>
          <w:sz w:val="24"/>
          <w:szCs w:val="24"/>
        </w:rPr>
        <w:t xml:space="preserve">Refractory complex partial seizures as adjunctive therapy for adults and pediatric patients </w:t>
      </w:r>
      <w:r w:rsidRPr="00FA3F9C">
        <w:rPr>
          <w:rFonts w:ascii="Arial" w:hAnsi="Arial" w:cs="Arial"/>
          <w:sz w:val="24"/>
          <w:szCs w:val="24"/>
          <w:u w:val="single"/>
        </w:rPr>
        <w:t>&gt;</w:t>
      </w:r>
      <w:r w:rsidRPr="00FA3F9C">
        <w:rPr>
          <w:rFonts w:ascii="Arial" w:hAnsi="Arial" w:cs="Arial"/>
          <w:sz w:val="24"/>
          <w:szCs w:val="24"/>
        </w:rPr>
        <w:t xml:space="preserve">10 </w:t>
      </w:r>
      <w:proofErr w:type="spellStart"/>
      <w:r w:rsidRPr="00FA3F9C">
        <w:rPr>
          <w:rFonts w:ascii="Arial" w:hAnsi="Arial" w:cs="Arial"/>
          <w:sz w:val="24"/>
          <w:szCs w:val="24"/>
        </w:rPr>
        <w:t>yo</w:t>
      </w:r>
      <w:proofErr w:type="spellEnd"/>
      <w:r w:rsidRPr="00FA3F9C">
        <w:rPr>
          <w:rFonts w:ascii="Arial" w:hAnsi="Arial" w:cs="Arial"/>
          <w:sz w:val="24"/>
          <w:szCs w:val="24"/>
        </w:rPr>
        <w:t xml:space="preserve"> who inadequately responded to several alternative treatments and for whom the potential benefits outweigh the risk of vision loss.</w:t>
      </w:r>
    </w:p>
    <w:p w14:paraId="58993DB4" w14:textId="77777777" w:rsidR="005C142D" w:rsidRPr="00FA3F9C" w:rsidRDefault="005C142D" w:rsidP="006F623F">
      <w:pPr>
        <w:spacing w:after="0"/>
        <w:rPr>
          <w:rFonts w:ascii="Arial" w:hAnsi="Arial" w:cs="Arial"/>
          <w:sz w:val="24"/>
          <w:szCs w:val="24"/>
        </w:rPr>
      </w:pPr>
    </w:p>
    <w:tbl>
      <w:tblPr>
        <w:tblStyle w:val="TableGrid"/>
        <w:tblW w:w="0" w:type="auto"/>
        <w:tblLook w:val="04A0" w:firstRow="1" w:lastRow="0" w:firstColumn="1" w:lastColumn="0" w:noHBand="0" w:noVBand="1"/>
      </w:tblPr>
      <w:tblGrid>
        <w:gridCol w:w="8928"/>
        <w:gridCol w:w="2088"/>
      </w:tblGrid>
      <w:tr w:rsidR="005C142D" w:rsidRPr="00FA3F9C" w14:paraId="1BDB2BF2" w14:textId="77777777" w:rsidTr="00571CAB">
        <w:tc>
          <w:tcPr>
            <w:tcW w:w="8928" w:type="dxa"/>
            <w:shd w:val="clear" w:color="auto" w:fill="000000"/>
          </w:tcPr>
          <w:p w14:paraId="09E11256" w14:textId="77777777" w:rsidR="005C142D" w:rsidRPr="00FA3F9C" w:rsidRDefault="005C142D" w:rsidP="00571CAB">
            <w:pPr>
              <w:rPr>
                <w:rFonts w:ascii="Arial" w:hAnsi="Arial" w:cs="Arial"/>
                <w:b/>
                <w:sz w:val="24"/>
                <w:szCs w:val="24"/>
                <w:u w:val="single"/>
              </w:rPr>
            </w:pPr>
            <w:r w:rsidRPr="00FA3F9C">
              <w:rPr>
                <w:rFonts w:ascii="Arial" w:hAnsi="Arial" w:cs="Arial"/>
                <w:b/>
                <w:sz w:val="24"/>
                <w:szCs w:val="24"/>
                <w:u w:val="single"/>
              </w:rPr>
              <w:t>Criteria for new users</w:t>
            </w:r>
          </w:p>
        </w:tc>
        <w:tc>
          <w:tcPr>
            <w:tcW w:w="2088" w:type="dxa"/>
            <w:shd w:val="clear" w:color="auto" w:fill="000000"/>
          </w:tcPr>
          <w:p w14:paraId="1A892EF5" w14:textId="77777777" w:rsidR="005C142D" w:rsidRPr="00FA3F9C" w:rsidRDefault="005C142D" w:rsidP="006F623F">
            <w:pPr>
              <w:jc w:val="center"/>
              <w:rPr>
                <w:rFonts w:ascii="Arial" w:hAnsi="Arial" w:cs="Arial"/>
                <w:b/>
                <w:sz w:val="24"/>
                <w:szCs w:val="24"/>
                <w:u w:val="single"/>
              </w:rPr>
            </w:pPr>
          </w:p>
        </w:tc>
      </w:tr>
      <w:tr w:rsidR="005C142D" w:rsidRPr="00FA3F9C" w14:paraId="06B625B9" w14:textId="77777777" w:rsidTr="00F337AE">
        <w:tc>
          <w:tcPr>
            <w:tcW w:w="11016" w:type="dxa"/>
            <w:gridSpan w:val="2"/>
          </w:tcPr>
          <w:p w14:paraId="4231AC92" w14:textId="77777777" w:rsidR="005C142D" w:rsidRPr="00FA3F9C" w:rsidRDefault="005C142D" w:rsidP="006F623F">
            <w:pPr>
              <w:rPr>
                <w:rFonts w:ascii="Arial" w:hAnsi="Arial" w:cs="Arial"/>
                <w:sz w:val="24"/>
                <w:szCs w:val="24"/>
              </w:rPr>
            </w:pPr>
            <w:r w:rsidRPr="00FA3F9C">
              <w:rPr>
                <w:rFonts w:ascii="Arial" w:hAnsi="Arial" w:cs="Arial"/>
                <w:sz w:val="24"/>
                <w:szCs w:val="24"/>
              </w:rPr>
              <w:t>1. Patient must be diagnosed with infantile spasms.</w:t>
            </w:r>
          </w:p>
        </w:tc>
      </w:tr>
      <w:tr w:rsidR="005C142D" w:rsidRPr="00FA3F9C" w14:paraId="534C0792" w14:textId="77777777" w:rsidTr="00B1617E">
        <w:tc>
          <w:tcPr>
            <w:tcW w:w="11016" w:type="dxa"/>
            <w:gridSpan w:val="2"/>
          </w:tcPr>
          <w:p w14:paraId="14D1E507" w14:textId="77777777" w:rsidR="005C142D" w:rsidRPr="00FA3F9C" w:rsidRDefault="005C142D" w:rsidP="006F623F">
            <w:pPr>
              <w:rPr>
                <w:rFonts w:ascii="Arial" w:hAnsi="Arial" w:cs="Arial"/>
                <w:sz w:val="24"/>
                <w:szCs w:val="24"/>
              </w:rPr>
            </w:pPr>
            <w:r w:rsidRPr="00FA3F9C">
              <w:rPr>
                <w:rFonts w:ascii="Arial" w:hAnsi="Arial" w:cs="Arial"/>
                <w:sz w:val="24"/>
                <w:szCs w:val="24"/>
              </w:rPr>
              <w:t>2. Patient must be either unable to take hormonal therapy for infantile spasms (high dose prednisolone) OR ELSE be planning to take it concurrently with vigabatrin.</w:t>
            </w:r>
          </w:p>
        </w:tc>
      </w:tr>
      <w:tr w:rsidR="005C142D" w:rsidRPr="00FA3F9C" w14:paraId="61EAFBE3" w14:textId="77777777" w:rsidTr="00B1617E">
        <w:tc>
          <w:tcPr>
            <w:tcW w:w="11016" w:type="dxa"/>
            <w:gridSpan w:val="2"/>
          </w:tcPr>
          <w:p w14:paraId="26CB5790" w14:textId="77777777" w:rsidR="005C142D" w:rsidRPr="00FA3F9C" w:rsidRDefault="005C142D" w:rsidP="006F623F">
            <w:pPr>
              <w:rPr>
                <w:rFonts w:ascii="Arial" w:hAnsi="Arial" w:cs="Arial"/>
                <w:sz w:val="24"/>
                <w:szCs w:val="24"/>
              </w:rPr>
            </w:pPr>
            <w:r w:rsidRPr="00FA3F9C">
              <w:rPr>
                <w:rFonts w:ascii="Arial" w:hAnsi="Arial" w:cs="Arial"/>
                <w:sz w:val="24"/>
                <w:szCs w:val="24"/>
              </w:rPr>
              <w:t>3. The drug must be prescribed by a pediatric neurologist.</w:t>
            </w:r>
          </w:p>
        </w:tc>
      </w:tr>
      <w:tr w:rsidR="005C142D" w:rsidRPr="00FA3F9C" w14:paraId="158A50DA" w14:textId="77777777" w:rsidTr="0010789D">
        <w:tc>
          <w:tcPr>
            <w:tcW w:w="11016" w:type="dxa"/>
            <w:gridSpan w:val="2"/>
          </w:tcPr>
          <w:p w14:paraId="0ECE25BC" w14:textId="77777777" w:rsidR="005C142D" w:rsidRPr="00FA3F9C" w:rsidRDefault="005C142D" w:rsidP="006F623F">
            <w:pPr>
              <w:rPr>
                <w:rFonts w:ascii="Arial" w:hAnsi="Arial" w:cs="Arial"/>
                <w:sz w:val="24"/>
                <w:szCs w:val="24"/>
              </w:rPr>
            </w:pPr>
            <w:r w:rsidRPr="00FA3F9C">
              <w:rPr>
                <w:rFonts w:ascii="Arial" w:hAnsi="Arial" w:cs="Arial"/>
                <w:sz w:val="24"/>
                <w:szCs w:val="24"/>
              </w:rPr>
              <w:t>Note:  The FDA requires patients to undergo visual field examinations every 3 months due to the potential irreversible retinopathies resulting in bilateral concentric constriction of visual fields.</w:t>
            </w:r>
          </w:p>
        </w:tc>
      </w:tr>
    </w:tbl>
    <w:p w14:paraId="764C6D78" w14:textId="77777777" w:rsidR="005C142D" w:rsidRPr="00FA3F9C" w:rsidRDefault="005C142D" w:rsidP="006F623F">
      <w:pPr>
        <w:spacing w:after="0"/>
        <w:rPr>
          <w:rFonts w:ascii="Arial" w:hAnsi="Arial" w:cs="Arial"/>
          <w:sz w:val="24"/>
          <w:szCs w:val="24"/>
        </w:rPr>
      </w:pPr>
    </w:p>
    <w:p w14:paraId="6D109039" w14:textId="77777777" w:rsidR="005C142D" w:rsidRPr="00FA3F9C" w:rsidRDefault="005C142D" w:rsidP="006F623F">
      <w:pPr>
        <w:spacing w:after="0"/>
        <w:rPr>
          <w:rFonts w:ascii="Arial" w:hAnsi="Arial" w:cs="Arial"/>
          <w:sz w:val="24"/>
          <w:szCs w:val="24"/>
        </w:rPr>
      </w:pPr>
      <w:r w:rsidRPr="00FA3F9C">
        <w:rPr>
          <w:rFonts w:ascii="Arial" w:hAnsi="Arial" w:cs="Arial"/>
          <w:sz w:val="24"/>
          <w:szCs w:val="24"/>
        </w:rPr>
        <w:t>Revision History:</w:t>
      </w:r>
    </w:p>
    <w:tbl>
      <w:tblPr>
        <w:tblStyle w:val="TableGrid"/>
        <w:tblW w:w="0" w:type="auto"/>
        <w:tblLook w:val="04A0" w:firstRow="1" w:lastRow="0" w:firstColumn="1" w:lastColumn="0" w:noHBand="0" w:noVBand="1"/>
      </w:tblPr>
      <w:tblGrid>
        <w:gridCol w:w="1017"/>
        <w:gridCol w:w="7719"/>
        <w:gridCol w:w="2065"/>
      </w:tblGrid>
      <w:tr w:rsidR="005C142D" w:rsidRPr="00FA3F9C" w14:paraId="56C7962E" w14:textId="77777777" w:rsidTr="00CC0DFA">
        <w:tc>
          <w:tcPr>
            <w:tcW w:w="1006" w:type="dxa"/>
          </w:tcPr>
          <w:p w14:paraId="2F79CFD2" w14:textId="77777777" w:rsidR="005C142D" w:rsidRPr="00FA3F9C" w:rsidRDefault="005C142D" w:rsidP="006F623F">
            <w:pPr>
              <w:rPr>
                <w:rFonts w:ascii="Arial" w:hAnsi="Arial" w:cs="Arial"/>
                <w:sz w:val="24"/>
                <w:szCs w:val="24"/>
              </w:rPr>
            </w:pPr>
            <w:r w:rsidRPr="00FA3F9C">
              <w:rPr>
                <w:rFonts w:ascii="Arial" w:hAnsi="Arial" w:cs="Arial"/>
                <w:sz w:val="24"/>
                <w:szCs w:val="24"/>
              </w:rPr>
              <w:t>Date</w:t>
            </w:r>
          </w:p>
        </w:tc>
        <w:tc>
          <w:tcPr>
            <w:tcW w:w="7719" w:type="dxa"/>
          </w:tcPr>
          <w:p w14:paraId="6F268187" w14:textId="77777777" w:rsidR="005C142D" w:rsidRPr="00FA3F9C" w:rsidRDefault="005C142D" w:rsidP="006F623F">
            <w:pPr>
              <w:rPr>
                <w:rFonts w:ascii="Arial" w:hAnsi="Arial" w:cs="Arial"/>
                <w:sz w:val="24"/>
                <w:szCs w:val="24"/>
              </w:rPr>
            </w:pPr>
            <w:r w:rsidRPr="00FA3F9C">
              <w:rPr>
                <w:rFonts w:ascii="Arial" w:hAnsi="Arial" w:cs="Arial"/>
                <w:sz w:val="24"/>
                <w:szCs w:val="24"/>
              </w:rPr>
              <w:t>What changed</w:t>
            </w:r>
          </w:p>
        </w:tc>
        <w:tc>
          <w:tcPr>
            <w:tcW w:w="2065" w:type="dxa"/>
          </w:tcPr>
          <w:p w14:paraId="33441ADE" w14:textId="77777777" w:rsidR="005C142D" w:rsidRPr="00FA3F9C" w:rsidRDefault="005C142D" w:rsidP="006F623F">
            <w:pPr>
              <w:rPr>
                <w:rFonts w:ascii="Arial" w:hAnsi="Arial" w:cs="Arial"/>
                <w:sz w:val="24"/>
                <w:szCs w:val="24"/>
              </w:rPr>
            </w:pPr>
            <w:r w:rsidRPr="00FA3F9C">
              <w:rPr>
                <w:rFonts w:ascii="Arial" w:hAnsi="Arial" w:cs="Arial"/>
                <w:sz w:val="24"/>
                <w:szCs w:val="24"/>
              </w:rPr>
              <w:t>Pharmacist’s initials</w:t>
            </w:r>
          </w:p>
        </w:tc>
      </w:tr>
      <w:tr w:rsidR="005C142D" w:rsidRPr="00FA3F9C" w14:paraId="42437FCB" w14:textId="77777777" w:rsidTr="00CC0DFA">
        <w:tc>
          <w:tcPr>
            <w:tcW w:w="1006" w:type="dxa"/>
          </w:tcPr>
          <w:p w14:paraId="41D95341" w14:textId="77777777" w:rsidR="005C142D" w:rsidRPr="00FA3F9C" w:rsidRDefault="005C142D" w:rsidP="006F623F">
            <w:pPr>
              <w:rPr>
                <w:rFonts w:ascii="Arial" w:hAnsi="Arial" w:cs="Arial"/>
                <w:sz w:val="24"/>
                <w:szCs w:val="24"/>
              </w:rPr>
            </w:pPr>
            <w:r w:rsidRPr="00FA3F9C">
              <w:rPr>
                <w:rFonts w:ascii="Arial" w:hAnsi="Arial" w:cs="Arial"/>
                <w:sz w:val="24"/>
                <w:szCs w:val="24"/>
              </w:rPr>
              <w:t>4/26/19</w:t>
            </w:r>
          </w:p>
        </w:tc>
        <w:tc>
          <w:tcPr>
            <w:tcW w:w="7719" w:type="dxa"/>
          </w:tcPr>
          <w:p w14:paraId="495BB7B5" w14:textId="77777777" w:rsidR="005C142D" w:rsidRPr="00FA3F9C" w:rsidRDefault="005C142D" w:rsidP="006F623F">
            <w:pPr>
              <w:rPr>
                <w:rFonts w:ascii="Arial" w:hAnsi="Arial" w:cs="Arial"/>
                <w:sz w:val="24"/>
                <w:szCs w:val="24"/>
              </w:rPr>
            </w:pPr>
            <w:r w:rsidRPr="00FA3F9C">
              <w:rPr>
                <w:rFonts w:ascii="Arial" w:hAnsi="Arial" w:cs="Arial"/>
                <w:sz w:val="24"/>
                <w:szCs w:val="24"/>
              </w:rPr>
              <w:t>I wrote the criteria.</w:t>
            </w:r>
          </w:p>
        </w:tc>
        <w:tc>
          <w:tcPr>
            <w:tcW w:w="2065" w:type="dxa"/>
          </w:tcPr>
          <w:p w14:paraId="5EA38573" w14:textId="77777777" w:rsidR="005C142D" w:rsidRPr="00FA3F9C" w:rsidRDefault="005C142D" w:rsidP="006F623F">
            <w:pPr>
              <w:rPr>
                <w:rFonts w:ascii="Arial" w:hAnsi="Arial" w:cs="Arial"/>
                <w:sz w:val="24"/>
                <w:szCs w:val="24"/>
              </w:rPr>
            </w:pPr>
            <w:r w:rsidRPr="00FA3F9C">
              <w:rPr>
                <w:rFonts w:ascii="Arial" w:hAnsi="Arial" w:cs="Arial"/>
                <w:sz w:val="24"/>
                <w:szCs w:val="24"/>
              </w:rPr>
              <w:t>JJ</w:t>
            </w:r>
          </w:p>
        </w:tc>
      </w:tr>
      <w:tr w:rsidR="005C142D" w:rsidRPr="00FA3F9C" w14:paraId="7D7F53AC" w14:textId="77777777" w:rsidTr="00CC0DFA">
        <w:tc>
          <w:tcPr>
            <w:tcW w:w="1006" w:type="dxa"/>
          </w:tcPr>
          <w:p w14:paraId="328A619E" w14:textId="77777777" w:rsidR="005C142D" w:rsidRPr="00FA3F9C" w:rsidRDefault="005C142D" w:rsidP="006F623F">
            <w:pPr>
              <w:rPr>
                <w:rFonts w:ascii="Arial" w:hAnsi="Arial" w:cs="Arial"/>
                <w:sz w:val="24"/>
                <w:szCs w:val="24"/>
              </w:rPr>
            </w:pPr>
            <w:r w:rsidRPr="00FA3F9C">
              <w:rPr>
                <w:rFonts w:ascii="Arial" w:hAnsi="Arial" w:cs="Arial"/>
                <w:sz w:val="24"/>
                <w:szCs w:val="24"/>
              </w:rPr>
              <w:t>7/10/19</w:t>
            </w:r>
          </w:p>
        </w:tc>
        <w:tc>
          <w:tcPr>
            <w:tcW w:w="7719" w:type="dxa"/>
          </w:tcPr>
          <w:p w14:paraId="01CFC032" w14:textId="77777777" w:rsidR="005C142D" w:rsidRPr="00FA3F9C" w:rsidRDefault="005C142D" w:rsidP="006F623F">
            <w:pPr>
              <w:rPr>
                <w:rFonts w:ascii="Arial" w:hAnsi="Arial" w:cs="Arial"/>
                <w:sz w:val="24"/>
                <w:szCs w:val="24"/>
              </w:rPr>
            </w:pPr>
            <w:r w:rsidRPr="00FA3F9C">
              <w:rPr>
                <w:rFonts w:ascii="Arial" w:hAnsi="Arial" w:cs="Arial"/>
                <w:sz w:val="24"/>
                <w:szCs w:val="24"/>
              </w:rPr>
              <w:t xml:space="preserve">I added the criteria requiring a pediatric neurologist to be the prescriber (per Dr. Bill </w:t>
            </w:r>
            <w:proofErr w:type="spellStart"/>
            <w:r w:rsidRPr="00FA3F9C">
              <w:rPr>
                <w:rFonts w:ascii="Arial" w:hAnsi="Arial" w:cs="Arial"/>
                <w:sz w:val="24"/>
                <w:szCs w:val="24"/>
              </w:rPr>
              <w:t>Golden’s</w:t>
            </w:r>
            <w:proofErr w:type="spellEnd"/>
            <w:r w:rsidRPr="00FA3F9C">
              <w:rPr>
                <w:rFonts w:ascii="Arial" w:hAnsi="Arial" w:cs="Arial"/>
                <w:sz w:val="24"/>
                <w:szCs w:val="24"/>
              </w:rPr>
              <w:t xml:space="preserve"> recommendation at DUEC 7/8/19).</w:t>
            </w:r>
          </w:p>
        </w:tc>
        <w:tc>
          <w:tcPr>
            <w:tcW w:w="2065" w:type="dxa"/>
          </w:tcPr>
          <w:p w14:paraId="1A0CF0D1" w14:textId="77777777" w:rsidR="005C142D" w:rsidRPr="00FA3F9C" w:rsidRDefault="005C142D" w:rsidP="006F623F">
            <w:pPr>
              <w:rPr>
                <w:rFonts w:ascii="Arial" w:hAnsi="Arial" w:cs="Arial"/>
                <w:sz w:val="24"/>
                <w:szCs w:val="24"/>
              </w:rPr>
            </w:pPr>
            <w:r w:rsidRPr="00FA3F9C">
              <w:rPr>
                <w:rFonts w:ascii="Arial" w:hAnsi="Arial" w:cs="Arial"/>
                <w:sz w:val="24"/>
                <w:szCs w:val="24"/>
              </w:rPr>
              <w:t>JJ</w:t>
            </w:r>
          </w:p>
        </w:tc>
      </w:tr>
    </w:tbl>
    <w:p w14:paraId="18B9E4D9" w14:textId="77777777" w:rsidR="005C142D" w:rsidRPr="00FA3F9C" w:rsidRDefault="005C142D" w:rsidP="006F623F">
      <w:pPr>
        <w:spacing w:after="0"/>
        <w:rPr>
          <w:rFonts w:ascii="Arial" w:hAnsi="Arial" w:cs="Arial"/>
          <w:sz w:val="24"/>
          <w:szCs w:val="24"/>
        </w:rPr>
      </w:pPr>
    </w:p>
    <w:p w14:paraId="2E8D19F2" w14:textId="77777777" w:rsidR="005C142D" w:rsidRPr="00FA3F9C" w:rsidRDefault="005C142D" w:rsidP="006F623F">
      <w:pPr>
        <w:spacing w:after="0"/>
        <w:rPr>
          <w:rFonts w:ascii="Arial" w:hAnsi="Arial" w:cs="Arial"/>
          <w:sz w:val="24"/>
          <w:szCs w:val="24"/>
        </w:rPr>
      </w:pPr>
    </w:p>
    <w:tbl>
      <w:tblPr>
        <w:tblStyle w:val="TableGrid"/>
        <w:tblW w:w="0" w:type="auto"/>
        <w:tblLook w:val="04A0" w:firstRow="1" w:lastRow="0" w:firstColumn="1" w:lastColumn="0" w:noHBand="0" w:noVBand="1"/>
      </w:tblPr>
      <w:tblGrid>
        <w:gridCol w:w="10790"/>
      </w:tblGrid>
      <w:tr w:rsidR="005C142D" w:rsidRPr="00FA3F9C" w14:paraId="24A9D201" w14:textId="77777777" w:rsidTr="000473AA">
        <w:tc>
          <w:tcPr>
            <w:tcW w:w="10790" w:type="dxa"/>
            <w:shd w:val="clear" w:color="auto" w:fill="000000" w:themeFill="text1"/>
          </w:tcPr>
          <w:p w14:paraId="76292CD5" w14:textId="77777777" w:rsidR="005C142D" w:rsidRPr="00FA3F9C" w:rsidRDefault="005C142D" w:rsidP="000473AA">
            <w:pPr>
              <w:rPr>
                <w:rFonts w:ascii="Arial" w:hAnsi="Arial" w:cs="Arial"/>
                <w:sz w:val="24"/>
                <w:szCs w:val="24"/>
              </w:rPr>
            </w:pPr>
            <w:r w:rsidRPr="00FA3F9C">
              <w:rPr>
                <w:rFonts w:ascii="Arial" w:hAnsi="Arial" w:cs="Arial"/>
                <w:sz w:val="24"/>
                <w:szCs w:val="24"/>
              </w:rPr>
              <w:t>Evidence</w:t>
            </w:r>
          </w:p>
        </w:tc>
      </w:tr>
      <w:tr w:rsidR="005C142D" w:rsidRPr="00FA3F9C" w14:paraId="312B2139" w14:textId="77777777" w:rsidTr="000473AA">
        <w:tc>
          <w:tcPr>
            <w:tcW w:w="10790" w:type="dxa"/>
          </w:tcPr>
          <w:p w14:paraId="21EA3620" w14:textId="77777777" w:rsidR="005C142D" w:rsidRPr="00FA3F9C" w:rsidRDefault="005C142D" w:rsidP="000473AA">
            <w:pPr>
              <w:rPr>
                <w:rFonts w:ascii="Arial" w:eastAsia="Times New Roman" w:hAnsi="Arial" w:cs="Arial"/>
                <w:sz w:val="24"/>
                <w:szCs w:val="24"/>
              </w:rPr>
            </w:pPr>
            <w:r w:rsidRPr="00FA3F9C">
              <w:rPr>
                <w:rFonts w:ascii="Arial" w:eastAsia="Times New Roman" w:hAnsi="Arial" w:cs="Arial"/>
                <w:color w:val="222222"/>
                <w:sz w:val="24"/>
                <w:szCs w:val="24"/>
                <w:shd w:val="clear" w:color="auto" w:fill="F8F8F8"/>
                <w:lang w:val="fr-FR"/>
              </w:rPr>
              <w:t xml:space="preserve">1. Kanner, Andres M., et al. </w:t>
            </w:r>
            <w:r w:rsidRPr="00FA3F9C">
              <w:rPr>
                <w:rFonts w:ascii="Arial" w:eastAsia="Times New Roman" w:hAnsi="Arial" w:cs="Arial"/>
                <w:color w:val="222222"/>
                <w:sz w:val="24"/>
                <w:szCs w:val="24"/>
                <w:shd w:val="clear" w:color="auto" w:fill="F8F8F8"/>
              </w:rPr>
              <w:t>"Practice guideline update summary: Efficacy and tolerability of the new antiepileptic drugs II: Treatment-resistant epilepsy." </w:t>
            </w:r>
            <w:r w:rsidRPr="00FA3F9C">
              <w:rPr>
                <w:rFonts w:ascii="Arial" w:eastAsia="Times New Roman" w:hAnsi="Arial" w:cs="Arial"/>
                <w:i/>
                <w:iCs/>
                <w:color w:val="222222"/>
                <w:sz w:val="24"/>
                <w:szCs w:val="24"/>
                <w:shd w:val="clear" w:color="auto" w:fill="F8F8F8"/>
              </w:rPr>
              <w:t>Epilepsy currents</w:t>
            </w:r>
            <w:r w:rsidRPr="00FA3F9C">
              <w:rPr>
                <w:rFonts w:ascii="Arial" w:eastAsia="Times New Roman" w:hAnsi="Arial" w:cs="Arial"/>
                <w:color w:val="222222"/>
                <w:sz w:val="24"/>
                <w:szCs w:val="24"/>
                <w:shd w:val="clear" w:color="auto" w:fill="F8F8F8"/>
              </w:rPr>
              <w:t> 18.4 (2018): 269-278.</w:t>
            </w:r>
          </w:p>
        </w:tc>
      </w:tr>
      <w:tr w:rsidR="005C142D" w:rsidRPr="00FA3F9C" w14:paraId="2EB15847" w14:textId="77777777" w:rsidTr="000473AA">
        <w:tc>
          <w:tcPr>
            <w:tcW w:w="10790" w:type="dxa"/>
          </w:tcPr>
          <w:p w14:paraId="5EA65901" w14:textId="77777777" w:rsidR="005C142D" w:rsidRPr="00FA3F9C" w:rsidRDefault="005C142D" w:rsidP="000473AA">
            <w:pPr>
              <w:rPr>
                <w:rFonts w:ascii="Arial" w:eastAsia="Times New Roman" w:hAnsi="Arial" w:cs="Arial"/>
                <w:sz w:val="24"/>
                <w:szCs w:val="24"/>
              </w:rPr>
            </w:pPr>
            <w:r w:rsidRPr="00FA3F9C">
              <w:rPr>
                <w:rFonts w:ascii="Arial" w:hAnsi="Arial" w:cs="Arial"/>
                <w:sz w:val="24"/>
                <w:szCs w:val="24"/>
                <w:lang w:val="fr-FR"/>
              </w:rPr>
              <w:t xml:space="preserve">2. </w:t>
            </w:r>
            <w:r w:rsidRPr="00FA3F9C">
              <w:rPr>
                <w:rFonts w:ascii="Arial" w:eastAsia="Times New Roman" w:hAnsi="Arial" w:cs="Arial"/>
                <w:color w:val="222222"/>
                <w:sz w:val="24"/>
                <w:szCs w:val="24"/>
                <w:shd w:val="clear" w:color="auto" w:fill="F8F8F8"/>
                <w:lang w:val="fr-FR"/>
              </w:rPr>
              <w:t xml:space="preserve">Kanner, Andres M., et al. </w:t>
            </w:r>
            <w:r w:rsidRPr="00FA3F9C">
              <w:rPr>
                <w:rFonts w:ascii="Arial" w:eastAsia="Times New Roman" w:hAnsi="Arial" w:cs="Arial"/>
                <w:color w:val="222222"/>
                <w:sz w:val="24"/>
                <w:szCs w:val="24"/>
                <w:shd w:val="clear" w:color="auto" w:fill="F8F8F8"/>
              </w:rPr>
              <w:t>"Practice guideline update summary: Efficacy and tolerability of the new antiepileptic drugs I: Treatment of new-onset epilepsy." </w:t>
            </w:r>
            <w:r w:rsidRPr="00FA3F9C">
              <w:rPr>
                <w:rFonts w:ascii="Arial" w:eastAsia="Times New Roman" w:hAnsi="Arial" w:cs="Arial"/>
                <w:i/>
                <w:iCs/>
                <w:color w:val="222222"/>
                <w:sz w:val="24"/>
                <w:szCs w:val="24"/>
                <w:shd w:val="clear" w:color="auto" w:fill="F8F8F8"/>
              </w:rPr>
              <w:t>Epilepsy currents</w:t>
            </w:r>
            <w:r w:rsidRPr="00FA3F9C">
              <w:rPr>
                <w:rFonts w:ascii="Arial" w:eastAsia="Times New Roman" w:hAnsi="Arial" w:cs="Arial"/>
                <w:color w:val="222222"/>
                <w:sz w:val="24"/>
                <w:szCs w:val="24"/>
                <w:shd w:val="clear" w:color="auto" w:fill="F8F8F8"/>
              </w:rPr>
              <w:t> 18.4 (2018): 260-268.</w:t>
            </w:r>
          </w:p>
        </w:tc>
      </w:tr>
      <w:tr w:rsidR="005C142D" w:rsidRPr="00FA3F9C" w14:paraId="2A0ACC39" w14:textId="77777777" w:rsidTr="000473AA">
        <w:tc>
          <w:tcPr>
            <w:tcW w:w="10790" w:type="dxa"/>
          </w:tcPr>
          <w:p w14:paraId="64945842" w14:textId="77777777" w:rsidR="005C142D" w:rsidRPr="00FA3F9C" w:rsidRDefault="005C142D" w:rsidP="007409DD">
            <w:pPr>
              <w:rPr>
                <w:rFonts w:ascii="Arial" w:hAnsi="Arial" w:cs="Arial"/>
                <w:sz w:val="24"/>
                <w:szCs w:val="24"/>
              </w:rPr>
            </w:pPr>
            <w:r w:rsidRPr="00FA3F9C">
              <w:rPr>
                <w:rFonts w:ascii="Arial" w:hAnsi="Arial" w:cs="Arial"/>
                <w:color w:val="222222"/>
                <w:sz w:val="24"/>
                <w:szCs w:val="24"/>
                <w:shd w:val="clear" w:color="auto" w:fill="F8F8F8"/>
              </w:rPr>
              <w:t>3. Hancock, Eleanor C., John P. Osborne, and Stuart W. Edwards. "Treatment of infantile spasms." </w:t>
            </w:r>
            <w:r w:rsidRPr="00FA3F9C">
              <w:rPr>
                <w:rFonts w:ascii="Arial" w:hAnsi="Arial" w:cs="Arial"/>
                <w:i/>
                <w:iCs/>
                <w:color w:val="222222"/>
                <w:sz w:val="24"/>
                <w:szCs w:val="24"/>
                <w:shd w:val="clear" w:color="auto" w:fill="F8F8F8"/>
              </w:rPr>
              <w:t>Cochrane Database of Systematic Reviews</w:t>
            </w:r>
            <w:r w:rsidRPr="00FA3F9C">
              <w:rPr>
                <w:rFonts w:ascii="Arial" w:hAnsi="Arial" w:cs="Arial"/>
                <w:color w:val="222222"/>
                <w:sz w:val="24"/>
                <w:szCs w:val="24"/>
                <w:shd w:val="clear" w:color="auto" w:fill="F8F8F8"/>
              </w:rPr>
              <w:t> 6 (2013).</w:t>
            </w:r>
          </w:p>
        </w:tc>
      </w:tr>
      <w:tr w:rsidR="005C142D" w:rsidRPr="00FA3F9C" w14:paraId="48A54848" w14:textId="77777777" w:rsidTr="000473AA">
        <w:tc>
          <w:tcPr>
            <w:tcW w:w="10790" w:type="dxa"/>
          </w:tcPr>
          <w:p w14:paraId="7B495DED" w14:textId="77777777" w:rsidR="005C142D" w:rsidRPr="00FA3F9C" w:rsidRDefault="005C142D" w:rsidP="007409DD">
            <w:pPr>
              <w:rPr>
                <w:rFonts w:ascii="Arial" w:hAnsi="Arial" w:cs="Arial"/>
                <w:sz w:val="24"/>
                <w:szCs w:val="24"/>
              </w:rPr>
            </w:pPr>
            <w:r w:rsidRPr="00FA3F9C">
              <w:rPr>
                <w:rFonts w:ascii="Arial" w:hAnsi="Arial" w:cs="Arial"/>
                <w:color w:val="222222"/>
                <w:sz w:val="24"/>
                <w:szCs w:val="24"/>
                <w:shd w:val="clear" w:color="auto" w:fill="F8F8F8"/>
                <w:lang w:val="fr-FR"/>
              </w:rPr>
              <w:t xml:space="preserve">4. </w:t>
            </w:r>
            <w:proofErr w:type="spellStart"/>
            <w:r w:rsidRPr="00FA3F9C">
              <w:rPr>
                <w:rFonts w:ascii="Arial" w:hAnsi="Arial" w:cs="Arial"/>
                <w:color w:val="222222"/>
                <w:sz w:val="24"/>
                <w:szCs w:val="24"/>
                <w:shd w:val="clear" w:color="auto" w:fill="F8F8F8"/>
                <w:lang w:val="fr-FR"/>
              </w:rPr>
              <w:t>O'Callaghan</w:t>
            </w:r>
            <w:proofErr w:type="spellEnd"/>
            <w:r w:rsidRPr="00FA3F9C">
              <w:rPr>
                <w:rFonts w:ascii="Arial" w:hAnsi="Arial" w:cs="Arial"/>
                <w:color w:val="222222"/>
                <w:sz w:val="24"/>
                <w:szCs w:val="24"/>
                <w:shd w:val="clear" w:color="auto" w:fill="F8F8F8"/>
                <w:lang w:val="fr-FR"/>
              </w:rPr>
              <w:t xml:space="preserve">, </w:t>
            </w:r>
            <w:proofErr w:type="spellStart"/>
            <w:r w:rsidRPr="00FA3F9C">
              <w:rPr>
                <w:rFonts w:ascii="Arial" w:hAnsi="Arial" w:cs="Arial"/>
                <w:color w:val="222222"/>
                <w:sz w:val="24"/>
                <w:szCs w:val="24"/>
                <w:shd w:val="clear" w:color="auto" w:fill="F8F8F8"/>
                <w:lang w:val="fr-FR"/>
              </w:rPr>
              <w:t>Finbar</w:t>
            </w:r>
            <w:proofErr w:type="spellEnd"/>
            <w:r w:rsidRPr="00FA3F9C">
              <w:rPr>
                <w:rFonts w:ascii="Arial" w:hAnsi="Arial" w:cs="Arial"/>
                <w:color w:val="222222"/>
                <w:sz w:val="24"/>
                <w:szCs w:val="24"/>
                <w:shd w:val="clear" w:color="auto" w:fill="F8F8F8"/>
                <w:lang w:val="fr-FR"/>
              </w:rPr>
              <w:t xml:space="preserve"> JK, et al. </w:t>
            </w:r>
            <w:r w:rsidRPr="00FA3F9C">
              <w:rPr>
                <w:rFonts w:ascii="Arial" w:hAnsi="Arial" w:cs="Arial"/>
                <w:color w:val="222222"/>
                <w:sz w:val="24"/>
                <w:szCs w:val="24"/>
                <w:shd w:val="clear" w:color="auto" w:fill="F8F8F8"/>
              </w:rPr>
              <w:t xml:space="preserve">"Safety and effectiveness of hormonal treatment versus hormonal treatment with vigabatrin for infantile spasms (ICISS): a </w:t>
            </w:r>
            <w:proofErr w:type="spellStart"/>
            <w:r w:rsidRPr="00FA3F9C">
              <w:rPr>
                <w:rFonts w:ascii="Arial" w:hAnsi="Arial" w:cs="Arial"/>
                <w:color w:val="222222"/>
                <w:sz w:val="24"/>
                <w:szCs w:val="24"/>
                <w:shd w:val="clear" w:color="auto" w:fill="F8F8F8"/>
              </w:rPr>
              <w:t>randomised</w:t>
            </w:r>
            <w:proofErr w:type="spellEnd"/>
            <w:r w:rsidRPr="00FA3F9C">
              <w:rPr>
                <w:rFonts w:ascii="Arial" w:hAnsi="Arial" w:cs="Arial"/>
                <w:color w:val="222222"/>
                <w:sz w:val="24"/>
                <w:szCs w:val="24"/>
                <w:shd w:val="clear" w:color="auto" w:fill="F8F8F8"/>
              </w:rPr>
              <w:t xml:space="preserve">, </w:t>
            </w:r>
            <w:proofErr w:type="spellStart"/>
            <w:r w:rsidRPr="00FA3F9C">
              <w:rPr>
                <w:rFonts w:ascii="Arial" w:hAnsi="Arial" w:cs="Arial"/>
                <w:color w:val="222222"/>
                <w:sz w:val="24"/>
                <w:szCs w:val="24"/>
                <w:shd w:val="clear" w:color="auto" w:fill="F8F8F8"/>
              </w:rPr>
              <w:t>multicentre</w:t>
            </w:r>
            <w:proofErr w:type="spellEnd"/>
            <w:r w:rsidRPr="00FA3F9C">
              <w:rPr>
                <w:rFonts w:ascii="Arial" w:hAnsi="Arial" w:cs="Arial"/>
                <w:color w:val="222222"/>
                <w:sz w:val="24"/>
                <w:szCs w:val="24"/>
                <w:shd w:val="clear" w:color="auto" w:fill="F8F8F8"/>
              </w:rPr>
              <w:t>, open-label trial." </w:t>
            </w:r>
            <w:r w:rsidRPr="00FA3F9C">
              <w:rPr>
                <w:rFonts w:ascii="Arial" w:hAnsi="Arial" w:cs="Arial"/>
                <w:i/>
                <w:iCs/>
                <w:color w:val="222222"/>
                <w:sz w:val="24"/>
                <w:szCs w:val="24"/>
                <w:shd w:val="clear" w:color="auto" w:fill="F8F8F8"/>
              </w:rPr>
              <w:t>The Lancet Neurology</w:t>
            </w:r>
            <w:r w:rsidRPr="00FA3F9C">
              <w:rPr>
                <w:rFonts w:ascii="Arial" w:hAnsi="Arial" w:cs="Arial"/>
                <w:color w:val="222222"/>
                <w:sz w:val="24"/>
                <w:szCs w:val="24"/>
                <w:shd w:val="clear" w:color="auto" w:fill="F8F8F8"/>
              </w:rPr>
              <w:t> 16.1 (2017): 33-42.</w:t>
            </w:r>
          </w:p>
        </w:tc>
      </w:tr>
    </w:tbl>
    <w:p w14:paraId="07D2BD50" w14:textId="77777777" w:rsidR="005C142D" w:rsidRPr="00FA3F9C" w:rsidRDefault="005C142D" w:rsidP="006F623F">
      <w:pPr>
        <w:spacing w:after="0"/>
        <w:rPr>
          <w:rFonts w:ascii="Arial" w:hAnsi="Arial" w:cs="Arial"/>
          <w:sz w:val="24"/>
          <w:szCs w:val="24"/>
        </w:rPr>
      </w:pPr>
    </w:p>
    <w:p w14:paraId="7F77E870" w14:textId="77777777" w:rsidR="005D3DE3" w:rsidRDefault="005C142D" w:rsidP="005D3DE3">
      <w:pPr>
        <w:pStyle w:val="Heading2"/>
        <w:rPr>
          <w:lang w:val="es-ES"/>
        </w:rPr>
      </w:pPr>
      <w:bookmarkStart w:id="335" w:name="_Toc106369958"/>
      <w:proofErr w:type="spellStart"/>
      <w:r w:rsidRPr="00FA3F9C">
        <w:rPr>
          <w:lang w:val="es-ES"/>
        </w:rPr>
        <w:t>Vorinostat</w:t>
      </w:r>
      <w:proofErr w:type="spellEnd"/>
      <w:r w:rsidRPr="00FA3F9C">
        <w:rPr>
          <w:lang w:val="es-ES"/>
        </w:rPr>
        <w:t xml:space="preserve"> (</w:t>
      </w:r>
      <w:proofErr w:type="spellStart"/>
      <w:r w:rsidRPr="00FA3F9C">
        <w:rPr>
          <w:lang w:val="es-ES"/>
        </w:rPr>
        <w:t>Zolinza</w:t>
      </w:r>
      <w:proofErr w:type="spellEnd"/>
      <w:r w:rsidRPr="00FA3F9C">
        <w:rPr>
          <w:lang w:val="es-ES"/>
        </w:rPr>
        <w:t>®)</w:t>
      </w:r>
      <w:bookmarkEnd w:id="335"/>
    </w:p>
    <w:p w14:paraId="4DD92AA9" w14:textId="6F7891A2" w:rsidR="005C142D" w:rsidRPr="00FA3F9C" w:rsidRDefault="005C142D" w:rsidP="00802691">
      <w:pPr>
        <w:jc w:val="center"/>
        <w:rPr>
          <w:rFonts w:ascii="Arial" w:hAnsi="Arial" w:cs="Arial"/>
          <w:bCs/>
          <w:sz w:val="24"/>
          <w:szCs w:val="24"/>
          <w:lang w:val="es-ES"/>
        </w:rPr>
      </w:pPr>
      <w:r w:rsidRPr="00FA3F9C">
        <w:rPr>
          <w:rFonts w:ascii="Arial" w:hAnsi="Arial" w:cs="Arial"/>
          <w:sz w:val="24"/>
          <w:szCs w:val="24"/>
          <w:lang w:val="es-ES"/>
        </w:rPr>
        <w:t xml:space="preserve"> 100 mg capsules</w:t>
      </w:r>
    </w:p>
    <w:p w14:paraId="1F466DAA" w14:textId="77777777" w:rsidR="005C142D" w:rsidRPr="00FA3F9C" w:rsidRDefault="005C142D" w:rsidP="00802691">
      <w:pPr>
        <w:jc w:val="center"/>
        <w:rPr>
          <w:rFonts w:ascii="Arial" w:hAnsi="Arial" w:cs="Arial"/>
          <w:sz w:val="24"/>
          <w:szCs w:val="24"/>
          <w:lang w:val="es-ES"/>
        </w:rPr>
      </w:pPr>
      <w:r w:rsidRPr="00FA3F9C">
        <w:rPr>
          <w:rFonts w:ascii="Arial" w:hAnsi="Arial" w:cs="Arial"/>
          <w:sz w:val="24"/>
          <w:szCs w:val="24"/>
          <w:lang w:val="es-ES"/>
        </w:rPr>
        <w:t xml:space="preserve">EBRx PA </w:t>
      </w:r>
      <w:proofErr w:type="spellStart"/>
      <w:r w:rsidRPr="00FA3F9C">
        <w:rPr>
          <w:rFonts w:ascii="Arial" w:hAnsi="Arial" w:cs="Arial"/>
          <w:sz w:val="24"/>
          <w:szCs w:val="24"/>
          <w:lang w:val="es-ES"/>
        </w:rPr>
        <w:t>Criteria</w:t>
      </w:r>
      <w:proofErr w:type="spellEnd"/>
    </w:p>
    <w:p w14:paraId="6BE9C52F" w14:textId="77777777" w:rsidR="005C142D" w:rsidRPr="00FA3F9C" w:rsidRDefault="005C142D">
      <w:pPr>
        <w:jc w:val="center"/>
        <w:rPr>
          <w:rFonts w:ascii="Arial" w:hAnsi="Arial" w:cs="Arial"/>
          <w:sz w:val="24"/>
          <w:szCs w:val="24"/>
          <w:lang w:val="es-ES"/>
        </w:rPr>
      </w:pPr>
    </w:p>
    <w:p w14:paraId="023E7F49" w14:textId="77777777" w:rsidR="005C142D" w:rsidRPr="00FA3F9C" w:rsidRDefault="005C142D" w:rsidP="008B696F">
      <w:pPr>
        <w:ind w:left="-810"/>
        <w:rPr>
          <w:rFonts w:ascii="Arial" w:hAnsi="Arial" w:cs="Arial"/>
          <w:sz w:val="24"/>
          <w:szCs w:val="24"/>
        </w:rPr>
      </w:pPr>
      <w:r w:rsidRPr="00FA3F9C">
        <w:rPr>
          <w:rFonts w:ascii="Arial" w:hAnsi="Arial" w:cs="Arial"/>
          <w:b/>
          <w:sz w:val="24"/>
          <w:szCs w:val="24"/>
          <w:u w:val="single"/>
        </w:rPr>
        <w:t>FDA approved for:</w:t>
      </w:r>
    </w:p>
    <w:p w14:paraId="32A5B384" w14:textId="77777777" w:rsidR="005C142D" w:rsidRPr="00FA3F9C" w:rsidRDefault="005C142D" w:rsidP="008B696F">
      <w:pPr>
        <w:ind w:left="-810"/>
        <w:rPr>
          <w:rFonts w:ascii="Arial" w:hAnsi="Arial" w:cs="Arial"/>
          <w:sz w:val="24"/>
          <w:szCs w:val="24"/>
        </w:rPr>
      </w:pPr>
      <w:r w:rsidRPr="00FA3F9C">
        <w:rPr>
          <w:rFonts w:ascii="Arial" w:hAnsi="Arial" w:cs="Arial"/>
          <w:sz w:val="24"/>
          <w:szCs w:val="24"/>
        </w:rPr>
        <w:t>Cutaneous T-cell lymphoma (CTCL) with progressive, persistent, or recurrent disease on or following 2 systemic treatments</w:t>
      </w:r>
    </w:p>
    <w:p w14:paraId="19E497F0" w14:textId="77777777" w:rsidR="005C142D" w:rsidRPr="00FA3F9C" w:rsidRDefault="005C142D" w:rsidP="00802691">
      <w:pPr>
        <w:ind w:left="-630"/>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6"/>
        <w:gridCol w:w="3053"/>
      </w:tblGrid>
      <w:tr w:rsidR="005C142D" w:rsidRPr="00FA3F9C" w14:paraId="77329E73" w14:textId="77777777" w:rsidTr="008B696F">
        <w:trPr>
          <w:jc w:val="center"/>
        </w:trPr>
        <w:tc>
          <w:tcPr>
            <w:tcW w:w="7216" w:type="dxa"/>
            <w:tcBorders>
              <w:top w:val="single" w:sz="4" w:space="0" w:color="auto"/>
              <w:left w:val="single" w:sz="4" w:space="0" w:color="auto"/>
              <w:bottom w:val="single" w:sz="4" w:space="0" w:color="auto"/>
              <w:right w:val="single" w:sz="4" w:space="0" w:color="auto"/>
            </w:tcBorders>
            <w:shd w:val="clear" w:color="auto" w:fill="000000"/>
            <w:hideMark/>
          </w:tcPr>
          <w:p w14:paraId="71A59984" w14:textId="77777777" w:rsidR="005C142D" w:rsidRPr="00FA3F9C" w:rsidRDefault="005C142D">
            <w:pPr>
              <w:rPr>
                <w:rFonts w:ascii="Arial" w:hAnsi="Arial" w:cs="Arial"/>
                <w:b/>
                <w:sz w:val="24"/>
                <w:szCs w:val="24"/>
                <w:u w:val="single"/>
              </w:rPr>
            </w:pPr>
            <w:r w:rsidRPr="00FA3F9C">
              <w:rPr>
                <w:rFonts w:ascii="Arial" w:hAnsi="Arial" w:cs="Arial"/>
                <w:b/>
                <w:sz w:val="24"/>
                <w:szCs w:val="24"/>
                <w:u w:val="single"/>
              </w:rPr>
              <w:t>Criteria for new users</w:t>
            </w:r>
          </w:p>
        </w:tc>
        <w:tc>
          <w:tcPr>
            <w:tcW w:w="3053" w:type="dxa"/>
            <w:tcBorders>
              <w:top w:val="single" w:sz="4" w:space="0" w:color="auto"/>
              <w:left w:val="single" w:sz="4" w:space="0" w:color="auto"/>
              <w:bottom w:val="single" w:sz="4" w:space="0" w:color="auto"/>
              <w:right w:val="single" w:sz="4" w:space="0" w:color="auto"/>
            </w:tcBorders>
            <w:shd w:val="clear" w:color="auto" w:fill="000000"/>
          </w:tcPr>
          <w:p w14:paraId="78FF5A28" w14:textId="77777777" w:rsidR="005C142D" w:rsidRPr="00FA3F9C" w:rsidRDefault="005C142D" w:rsidP="00AD6FE1">
            <w:pPr>
              <w:jc w:val="center"/>
              <w:rPr>
                <w:rFonts w:ascii="Arial" w:hAnsi="Arial" w:cs="Arial"/>
                <w:b/>
                <w:sz w:val="24"/>
                <w:szCs w:val="24"/>
                <w:u w:val="single"/>
              </w:rPr>
            </w:pPr>
          </w:p>
        </w:tc>
      </w:tr>
      <w:tr w:rsidR="005C142D" w:rsidRPr="00FA3F9C" w14:paraId="46460F1B" w14:textId="77777777" w:rsidTr="008B696F">
        <w:trPr>
          <w:jc w:val="center"/>
        </w:trPr>
        <w:tc>
          <w:tcPr>
            <w:tcW w:w="10269" w:type="dxa"/>
            <w:gridSpan w:val="2"/>
            <w:tcBorders>
              <w:top w:val="single" w:sz="4" w:space="0" w:color="auto"/>
              <w:left w:val="single" w:sz="4" w:space="0" w:color="auto"/>
              <w:bottom w:val="single" w:sz="4" w:space="0" w:color="auto"/>
              <w:right w:val="single" w:sz="4" w:space="0" w:color="auto"/>
            </w:tcBorders>
            <w:shd w:val="clear" w:color="auto" w:fill="auto"/>
            <w:hideMark/>
          </w:tcPr>
          <w:p w14:paraId="6BF58D99" w14:textId="77777777" w:rsidR="005C142D" w:rsidRPr="00FA3F9C" w:rsidRDefault="005C142D">
            <w:pPr>
              <w:rPr>
                <w:rFonts w:ascii="Arial" w:hAnsi="Arial" w:cs="Arial"/>
                <w:sz w:val="24"/>
                <w:szCs w:val="24"/>
              </w:rPr>
            </w:pPr>
            <w:r w:rsidRPr="00FA3F9C">
              <w:rPr>
                <w:rFonts w:ascii="Arial" w:hAnsi="Arial" w:cs="Arial"/>
                <w:sz w:val="24"/>
                <w:szCs w:val="24"/>
              </w:rPr>
              <w:t>Does the patient have a diagnosis of cutaneous T-cell lymphoma with progressive, persistent, or recurrent disease on or following at least 2 systemic treatments that included methotrexate, a retinoid (isotretinoin or acitretin), interferon, or extracorporeal photopheresis?</w:t>
            </w:r>
          </w:p>
        </w:tc>
      </w:tr>
      <w:tr w:rsidR="005C142D" w:rsidRPr="00FA3F9C" w14:paraId="0B9A901D" w14:textId="77777777" w:rsidTr="008B696F">
        <w:trPr>
          <w:jc w:val="center"/>
        </w:trPr>
        <w:tc>
          <w:tcPr>
            <w:tcW w:w="10269" w:type="dxa"/>
            <w:gridSpan w:val="2"/>
            <w:tcBorders>
              <w:top w:val="single" w:sz="4" w:space="0" w:color="auto"/>
              <w:left w:val="single" w:sz="4" w:space="0" w:color="auto"/>
              <w:bottom w:val="single" w:sz="4" w:space="0" w:color="auto"/>
              <w:right w:val="single" w:sz="4" w:space="0" w:color="auto"/>
            </w:tcBorders>
            <w:shd w:val="clear" w:color="auto" w:fill="F2F2F2"/>
            <w:hideMark/>
          </w:tcPr>
          <w:p w14:paraId="08BE67A3" w14:textId="77777777" w:rsidR="005C142D" w:rsidRPr="00FA3F9C" w:rsidRDefault="005C142D" w:rsidP="0027521C">
            <w:pPr>
              <w:rPr>
                <w:rFonts w:ascii="Arial" w:hAnsi="Arial" w:cs="Arial"/>
                <w:sz w:val="24"/>
                <w:szCs w:val="24"/>
              </w:rPr>
            </w:pPr>
            <w:r w:rsidRPr="00FA3F9C">
              <w:rPr>
                <w:rFonts w:ascii="Arial" w:hAnsi="Arial" w:cs="Arial"/>
                <w:sz w:val="24"/>
                <w:szCs w:val="24"/>
              </w:rPr>
              <w:t>If above criterion is met, approve x 1 year</w:t>
            </w:r>
          </w:p>
        </w:tc>
      </w:tr>
    </w:tbl>
    <w:p w14:paraId="43976F58" w14:textId="77777777" w:rsidR="005C142D" w:rsidRPr="00FA3F9C" w:rsidRDefault="005C142D">
      <w:pPr>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9"/>
      </w:tblGrid>
      <w:tr w:rsidR="005C142D" w:rsidRPr="00FA3F9C" w14:paraId="43A48D38" w14:textId="77777777" w:rsidTr="008B696F">
        <w:trPr>
          <w:jc w:val="center"/>
        </w:trPr>
        <w:tc>
          <w:tcPr>
            <w:tcW w:w="10269" w:type="dxa"/>
            <w:tcBorders>
              <w:top w:val="single" w:sz="4" w:space="0" w:color="auto"/>
              <w:left w:val="single" w:sz="4" w:space="0" w:color="auto"/>
              <w:bottom w:val="single" w:sz="4" w:space="0" w:color="auto"/>
              <w:right w:val="single" w:sz="4" w:space="0" w:color="auto"/>
            </w:tcBorders>
            <w:shd w:val="clear" w:color="auto" w:fill="D9D9D9"/>
          </w:tcPr>
          <w:p w14:paraId="23974F66" w14:textId="77777777" w:rsidR="005C142D" w:rsidRPr="00FA3F9C" w:rsidRDefault="005C142D" w:rsidP="0027521C">
            <w:pPr>
              <w:rPr>
                <w:rFonts w:ascii="Arial" w:hAnsi="Arial" w:cs="Arial"/>
                <w:sz w:val="24"/>
                <w:szCs w:val="24"/>
              </w:rPr>
            </w:pPr>
            <w:r w:rsidRPr="00FA3F9C">
              <w:rPr>
                <w:rFonts w:ascii="Arial" w:hAnsi="Arial" w:cs="Arial"/>
                <w:sz w:val="24"/>
                <w:szCs w:val="24"/>
              </w:rPr>
              <w:t>Note:</w:t>
            </w:r>
          </w:p>
          <w:p w14:paraId="7ECDBA04" w14:textId="77777777" w:rsidR="005C142D" w:rsidRPr="00FA3F9C" w:rsidRDefault="005C142D" w:rsidP="0027521C">
            <w:pPr>
              <w:rPr>
                <w:rFonts w:ascii="Arial" w:hAnsi="Arial" w:cs="Arial"/>
                <w:sz w:val="24"/>
                <w:szCs w:val="24"/>
              </w:rPr>
            </w:pPr>
            <w:r w:rsidRPr="00FA3F9C">
              <w:rPr>
                <w:rFonts w:ascii="Arial" w:hAnsi="Arial" w:cs="Arial"/>
                <w:sz w:val="24"/>
                <w:szCs w:val="24"/>
              </w:rPr>
              <w:t>Dose is 400 mg PO once daily</w:t>
            </w:r>
          </w:p>
          <w:p w14:paraId="356633F9" w14:textId="77777777" w:rsidR="005C142D" w:rsidRPr="00FA3F9C" w:rsidRDefault="005C142D" w:rsidP="0027521C">
            <w:pPr>
              <w:rPr>
                <w:rFonts w:ascii="Arial" w:hAnsi="Arial" w:cs="Arial"/>
                <w:sz w:val="24"/>
                <w:szCs w:val="24"/>
              </w:rPr>
            </w:pPr>
          </w:p>
          <w:p w14:paraId="2CE4AF80" w14:textId="77777777" w:rsidR="005C142D" w:rsidRPr="00FA3F9C" w:rsidRDefault="005C142D" w:rsidP="0027521C">
            <w:pPr>
              <w:rPr>
                <w:rFonts w:ascii="Arial" w:hAnsi="Arial" w:cs="Arial"/>
                <w:sz w:val="24"/>
                <w:szCs w:val="24"/>
              </w:rPr>
            </w:pPr>
            <w:proofErr w:type="spellStart"/>
            <w:r w:rsidRPr="00FA3F9C">
              <w:rPr>
                <w:rFonts w:ascii="Arial" w:hAnsi="Arial" w:cs="Arial"/>
                <w:sz w:val="24"/>
                <w:szCs w:val="24"/>
              </w:rPr>
              <w:t>Vorinostat</w:t>
            </w:r>
            <w:proofErr w:type="spellEnd"/>
            <w:r w:rsidRPr="00FA3F9C">
              <w:rPr>
                <w:rFonts w:ascii="Arial" w:hAnsi="Arial" w:cs="Arial"/>
                <w:sz w:val="24"/>
                <w:szCs w:val="24"/>
              </w:rPr>
              <w:t xml:space="preserve"> was associated with a 29.7% response rate and improved pruritus significantly in 32.3% of patients.</w:t>
            </w:r>
          </w:p>
          <w:p w14:paraId="5C2D8562" w14:textId="77777777" w:rsidR="005C142D" w:rsidRPr="00FA3F9C" w:rsidRDefault="005C142D" w:rsidP="0027521C">
            <w:pPr>
              <w:rPr>
                <w:rFonts w:ascii="Arial" w:hAnsi="Arial" w:cs="Arial"/>
                <w:sz w:val="24"/>
                <w:szCs w:val="24"/>
              </w:rPr>
            </w:pPr>
          </w:p>
          <w:p w14:paraId="5962F02B" w14:textId="77777777" w:rsidR="005C142D" w:rsidRPr="00FA3F9C" w:rsidRDefault="005C142D" w:rsidP="0027521C">
            <w:pPr>
              <w:rPr>
                <w:rFonts w:ascii="Arial" w:hAnsi="Arial" w:cs="Arial"/>
                <w:sz w:val="24"/>
                <w:szCs w:val="24"/>
              </w:rPr>
            </w:pPr>
            <w:r w:rsidRPr="00FA3F9C">
              <w:rPr>
                <w:rFonts w:ascii="Arial" w:hAnsi="Arial" w:cs="Arial"/>
                <w:sz w:val="24"/>
                <w:szCs w:val="24"/>
              </w:rPr>
              <w:t xml:space="preserve">Ref: </w:t>
            </w:r>
            <w:proofErr w:type="spellStart"/>
            <w:r w:rsidRPr="00FA3F9C">
              <w:rPr>
                <w:rFonts w:ascii="Arial" w:hAnsi="Arial" w:cs="Arial"/>
                <w:sz w:val="24"/>
                <w:szCs w:val="24"/>
              </w:rPr>
              <w:t>Zolinza</w:t>
            </w:r>
            <w:proofErr w:type="spellEnd"/>
            <w:r w:rsidRPr="00FA3F9C">
              <w:rPr>
                <w:rFonts w:ascii="Arial" w:hAnsi="Arial" w:cs="Arial"/>
                <w:sz w:val="24"/>
                <w:szCs w:val="24"/>
              </w:rPr>
              <w:t xml:space="preserve"> PI.  Accessed online 6/19/2019.</w:t>
            </w:r>
          </w:p>
        </w:tc>
      </w:tr>
    </w:tbl>
    <w:p w14:paraId="1ACA70E4" w14:textId="77777777" w:rsidR="005C142D" w:rsidRPr="00FA3F9C" w:rsidRDefault="005C142D">
      <w:pPr>
        <w:rPr>
          <w:rFonts w:ascii="Arial" w:hAnsi="Arial" w:cs="Arial"/>
          <w:sz w:val="24"/>
          <w:szCs w:val="24"/>
        </w:rPr>
      </w:pPr>
    </w:p>
    <w:p w14:paraId="6359A29C" w14:textId="77777777" w:rsidR="005C142D" w:rsidRPr="00FA3F9C" w:rsidRDefault="005C142D" w:rsidP="008B696F">
      <w:pPr>
        <w:ind w:left="-810"/>
        <w:rPr>
          <w:rFonts w:ascii="Arial" w:hAnsi="Arial" w:cs="Arial"/>
          <w:sz w:val="24"/>
          <w:szCs w:val="24"/>
        </w:rPr>
      </w:pPr>
      <w:r w:rsidRPr="00FA3F9C">
        <w:rPr>
          <w:rFonts w:ascii="Arial" w:hAnsi="Arial" w:cs="Arial"/>
          <w:sz w:val="24"/>
          <w:szCs w:val="24"/>
        </w:rPr>
        <w:t>Quantity limits: #120 capsules/30 days</w:t>
      </w:r>
    </w:p>
    <w:p w14:paraId="00C014F7" w14:textId="77777777" w:rsidR="005C142D" w:rsidRPr="00FA3F9C" w:rsidRDefault="005C142D" w:rsidP="008B696F">
      <w:pPr>
        <w:ind w:left="-810"/>
        <w:rPr>
          <w:rFonts w:ascii="Arial" w:hAnsi="Arial" w:cs="Arial"/>
          <w:sz w:val="24"/>
          <w:szCs w:val="24"/>
        </w:rPr>
      </w:pPr>
    </w:p>
    <w:p w14:paraId="63F0F67C" w14:textId="77777777" w:rsidR="005C142D" w:rsidRPr="00FA3F9C" w:rsidRDefault="005C142D" w:rsidP="008B696F">
      <w:pPr>
        <w:ind w:left="-810"/>
        <w:rPr>
          <w:rFonts w:ascii="Arial" w:hAnsi="Arial" w:cs="Arial"/>
          <w:sz w:val="24"/>
          <w:szCs w:val="24"/>
        </w:rPr>
      </w:pPr>
      <w:r w:rsidRPr="00FA3F9C">
        <w:rPr>
          <w:rFonts w:ascii="Arial" w:hAnsi="Arial" w:cs="Arial"/>
          <w:sz w:val="24"/>
          <w:szCs w:val="24"/>
        </w:rPr>
        <w:t xml:space="preserve">Reference: </w:t>
      </w:r>
    </w:p>
    <w:p w14:paraId="2E2CDA13" w14:textId="77777777" w:rsidR="005C142D" w:rsidRPr="00FA3F9C" w:rsidRDefault="005C142D" w:rsidP="008B696F">
      <w:pPr>
        <w:ind w:left="-810"/>
        <w:rPr>
          <w:rFonts w:ascii="Arial" w:hAnsi="Arial" w:cs="Arial"/>
          <w:sz w:val="24"/>
          <w:szCs w:val="24"/>
        </w:rPr>
      </w:pPr>
      <w:r w:rsidRPr="00FA3F9C">
        <w:rPr>
          <w:rFonts w:ascii="Arial" w:hAnsi="Arial" w:cs="Arial"/>
          <w:sz w:val="24"/>
          <w:szCs w:val="24"/>
        </w:rPr>
        <w:lastRenderedPageBreak/>
        <w:t xml:space="preserve">Olsen EA, Kim YH, </w:t>
      </w:r>
      <w:proofErr w:type="spellStart"/>
      <w:r w:rsidRPr="00FA3F9C">
        <w:rPr>
          <w:rFonts w:ascii="Arial" w:hAnsi="Arial" w:cs="Arial"/>
          <w:sz w:val="24"/>
          <w:szCs w:val="24"/>
        </w:rPr>
        <w:t>Kuzel</w:t>
      </w:r>
      <w:proofErr w:type="spellEnd"/>
      <w:r w:rsidRPr="00FA3F9C">
        <w:rPr>
          <w:rFonts w:ascii="Arial" w:hAnsi="Arial" w:cs="Arial"/>
          <w:sz w:val="24"/>
          <w:szCs w:val="24"/>
        </w:rPr>
        <w:t xml:space="preserve"> TM, et al. Phase IIb multicenter trial of </w:t>
      </w:r>
      <w:proofErr w:type="spellStart"/>
      <w:r w:rsidRPr="00FA3F9C">
        <w:rPr>
          <w:rFonts w:ascii="Arial" w:hAnsi="Arial" w:cs="Arial"/>
          <w:sz w:val="24"/>
          <w:szCs w:val="24"/>
        </w:rPr>
        <w:t>vorinostat</w:t>
      </w:r>
      <w:proofErr w:type="spellEnd"/>
      <w:r w:rsidRPr="00FA3F9C">
        <w:rPr>
          <w:rFonts w:ascii="Arial" w:hAnsi="Arial" w:cs="Arial"/>
          <w:sz w:val="24"/>
          <w:szCs w:val="24"/>
        </w:rPr>
        <w:t xml:space="preserve"> in patients with persistent, progressive, or treatment refractory cutaneous T-cell lymphoma. J Clin Oncol. 2007;25(21):3109</w:t>
      </w:r>
      <w:r w:rsidRPr="00FA3F9C">
        <w:rPr>
          <w:rFonts w:ascii="Cambria Math" w:hAnsi="Cambria Math" w:cs="Cambria Math"/>
          <w:sz w:val="24"/>
          <w:szCs w:val="24"/>
        </w:rPr>
        <w:t>‐</w:t>
      </w:r>
      <w:r w:rsidRPr="00FA3F9C">
        <w:rPr>
          <w:rFonts w:ascii="Arial" w:hAnsi="Arial" w:cs="Arial"/>
          <w:sz w:val="24"/>
          <w:szCs w:val="24"/>
        </w:rPr>
        <w:t>3115. doi:10.1200/JCO.2006.10.2434 PMID 17577020 NCT00091559</w:t>
      </w:r>
    </w:p>
    <w:p w14:paraId="09B6E6D8" w14:textId="77777777" w:rsidR="005C142D" w:rsidRPr="00FA3F9C" w:rsidRDefault="005C142D">
      <w:pPr>
        <w:rPr>
          <w:rFonts w:ascii="Arial" w:hAnsi="Arial" w:cs="Arial"/>
          <w:sz w:val="24"/>
          <w:szCs w:val="24"/>
        </w:rPr>
      </w:pPr>
    </w:p>
    <w:p w14:paraId="48C29B13" w14:textId="77777777" w:rsidR="005C142D" w:rsidRPr="00FA3F9C" w:rsidRDefault="005C142D" w:rsidP="00CA175F">
      <w:pPr>
        <w:ind w:left="-630"/>
        <w:rPr>
          <w:rFonts w:ascii="Arial" w:hAnsi="Arial" w:cs="Arial"/>
          <w:sz w:val="24"/>
          <w:szCs w:val="24"/>
        </w:rPr>
      </w:pPr>
    </w:p>
    <w:p w14:paraId="6CC400FD" w14:textId="77777777" w:rsidR="005C142D" w:rsidRPr="00FA3F9C" w:rsidRDefault="005C142D" w:rsidP="00CA175F">
      <w:pPr>
        <w:ind w:left="-630"/>
        <w:rPr>
          <w:rFonts w:ascii="Arial" w:hAnsi="Arial" w:cs="Arial"/>
          <w:sz w:val="24"/>
          <w:szCs w:val="24"/>
        </w:rPr>
      </w:pPr>
      <w:r w:rsidRPr="00FA3F9C">
        <w:rPr>
          <w:rFonts w:ascii="Arial" w:hAnsi="Arial" w:cs="Arial"/>
          <w:sz w:val="24"/>
          <w:szCs w:val="24"/>
        </w:rPr>
        <w:t>Revision History:</w:t>
      </w:r>
    </w:p>
    <w:tbl>
      <w:tblPr>
        <w:tblW w:w="1044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7330"/>
        <w:gridCol w:w="1590"/>
      </w:tblGrid>
      <w:tr w:rsidR="005C142D" w:rsidRPr="00FA3F9C" w14:paraId="6D84C31F" w14:textId="77777777" w:rsidTr="008B696F">
        <w:tc>
          <w:tcPr>
            <w:tcW w:w="1530" w:type="dxa"/>
          </w:tcPr>
          <w:p w14:paraId="3666E8FD" w14:textId="77777777" w:rsidR="005C142D" w:rsidRPr="00FA3F9C" w:rsidRDefault="005C142D">
            <w:pPr>
              <w:rPr>
                <w:rFonts w:ascii="Arial" w:hAnsi="Arial" w:cs="Arial"/>
                <w:sz w:val="24"/>
                <w:szCs w:val="24"/>
              </w:rPr>
            </w:pPr>
            <w:r w:rsidRPr="00FA3F9C">
              <w:rPr>
                <w:rFonts w:ascii="Arial" w:hAnsi="Arial" w:cs="Arial"/>
                <w:sz w:val="24"/>
                <w:szCs w:val="24"/>
              </w:rPr>
              <w:t>Date</w:t>
            </w:r>
          </w:p>
        </w:tc>
        <w:tc>
          <w:tcPr>
            <w:tcW w:w="7557" w:type="dxa"/>
          </w:tcPr>
          <w:p w14:paraId="25050E26" w14:textId="77777777" w:rsidR="005C142D" w:rsidRPr="00FA3F9C" w:rsidRDefault="005C142D">
            <w:pPr>
              <w:rPr>
                <w:rFonts w:ascii="Arial" w:hAnsi="Arial" w:cs="Arial"/>
                <w:sz w:val="24"/>
                <w:szCs w:val="24"/>
              </w:rPr>
            </w:pPr>
            <w:r w:rsidRPr="00FA3F9C">
              <w:rPr>
                <w:rFonts w:ascii="Arial" w:hAnsi="Arial" w:cs="Arial"/>
                <w:sz w:val="24"/>
                <w:szCs w:val="24"/>
              </w:rPr>
              <w:t>What changed?</w:t>
            </w:r>
          </w:p>
        </w:tc>
        <w:tc>
          <w:tcPr>
            <w:tcW w:w="1353" w:type="dxa"/>
          </w:tcPr>
          <w:p w14:paraId="4DFC9248" w14:textId="77777777" w:rsidR="005C142D" w:rsidRPr="00FA3F9C" w:rsidRDefault="005C142D">
            <w:pPr>
              <w:rPr>
                <w:rFonts w:ascii="Arial" w:hAnsi="Arial" w:cs="Arial"/>
                <w:sz w:val="24"/>
                <w:szCs w:val="24"/>
              </w:rPr>
            </w:pPr>
            <w:r w:rsidRPr="00FA3F9C">
              <w:rPr>
                <w:rFonts w:ascii="Arial" w:hAnsi="Arial" w:cs="Arial"/>
                <w:sz w:val="24"/>
                <w:szCs w:val="24"/>
              </w:rPr>
              <w:t>Pharmacist’s initials</w:t>
            </w:r>
          </w:p>
        </w:tc>
      </w:tr>
      <w:tr w:rsidR="005C142D" w:rsidRPr="00FA3F9C" w14:paraId="603532F0" w14:textId="77777777" w:rsidTr="008B696F">
        <w:tc>
          <w:tcPr>
            <w:tcW w:w="1530" w:type="dxa"/>
          </w:tcPr>
          <w:p w14:paraId="193E7CD7" w14:textId="77777777" w:rsidR="005C142D" w:rsidRPr="00FA3F9C" w:rsidRDefault="005C142D">
            <w:pPr>
              <w:rPr>
                <w:rFonts w:ascii="Arial" w:hAnsi="Arial" w:cs="Arial"/>
                <w:sz w:val="24"/>
                <w:szCs w:val="24"/>
              </w:rPr>
            </w:pPr>
            <w:r w:rsidRPr="00FA3F9C">
              <w:rPr>
                <w:rFonts w:ascii="Arial" w:hAnsi="Arial" w:cs="Arial"/>
                <w:sz w:val="24"/>
                <w:szCs w:val="24"/>
              </w:rPr>
              <w:t>2/20/07</w:t>
            </w:r>
          </w:p>
        </w:tc>
        <w:tc>
          <w:tcPr>
            <w:tcW w:w="7557" w:type="dxa"/>
          </w:tcPr>
          <w:p w14:paraId="0D481242" w14:textId="77777777" w:rsidR="005C142D" w:rsidRPr="00FA3F9C" w:rsidRDefault="005C142D">
            <w:pPr>
              <w:rPr>
                <w:rFonts w:ascii="Arial" w:hAnsi="Arial" w:cs="Arial"/>
                <w:sz w:val="24"/>
                <w:szCs w:val="24"/>
              </w:rPr>
            </w:pPr>
            <w:r w:rsidRPr="00FA3F9C">
              <w:rPr>
                <w:rFonts w:ascii="Arial" w:hAnsi="Arial" w:cs="Arial"/>
                <w:sz w:val="24"/>
                <w:szCs w:val="24"/>
              </w:rPr>
              <w:t>IB approved DUECs recommendation to place the drug on T3PA.</w:t>
            </w:r>
          </w:p>
        </w:tc>
        <w:tc>
          <w:tcPr>
            <w:tcW w:w="1353" w:type="dxa"/>
          </w:tcPr>
          <w:p w14:paraId="20F132C3" w14:textId="77777777" w:rsidR="005C142D" w:rsidRPr="00FA3F9C" w:rsidRDefault="005C142D">
            <w:pPr>
              <w:rPr>
                <w:rFonts w:ascii="Arial" w:hAnsi="Arial" w:cs="Arial"/>
                <w:sz w:val="24"/>
                <w:szCs w:val="24"/>
              </w:rPr>
            </w:pPr>
            <w:r w:rsidRPr="00FA3F9C">
              <w:rPr>
                <w:rFonts w:ascii="Arial" w:hAnsi="Arial" w:cs="Arial"/>
                <w:sz w:val="24"/>
                <w:szCs w:val="24"/>
              </w:rPr>
              <w:t>JJ</w:t>
            </w:r>
          </w:p>
        </w:tc>
      </w:tr>
      <w:tr w:rsidR="005C142D" w:rsidRPr="00FA3F9C" w14:paraId="764A5CA7" w14:textId="77777777" w:rsidTr="008B696F">
        <w:tc>
          <w:tcPr>
            <w:tcW w:w="1530" w:type="dxa"/>
          </w:tcPr>
          <w:p w14:paraId="73F001B1" w14:textId="77777777" w:rsidR="005C142D" w:rsidRPr="00FA3F9C" w:rsidRDefault="005C142D">
            <w:pPr>
              <w:rPr>
                <w:rFonts w:ascii="Arial" w:hAnsi="Arial" w:cs="Arial"/>
                <w:sz w:val="24"/>
                <w:szCs w:val="24"/>
              </w:rPr>
            </w:pPr>
            <w:r w:rsidRPr="00FA3F9C">
              <w:rPr>
                <w:rFonts w:ascii="Arial" w:hAnsi="Arial" w:cs="Arial"/>
                <w:sz w:val="24"/>
                <w:szCs w:val="24"/>
              </w:rPr>
              <w:t>2/7/07</w:t>
            </w:r>
          </w:p>
        </w:tc>
        <w:tc>
          <w:tcPr>
            <w:tcW w:w="7557" w:type="dxa"/>
          </w:tcPr>
          <w:p w14:paraId="597DE1B4" w14:textId="77777777" w:rsidR="005C142D" w:rsidRPr="00FA3F9C" w:rsidRDefault="005C142D">
            <w:pPr>
              <w:rPr>
                <w:rFonts w:ascii="Arial" w:hAnsi="Arial" w:cs="Arial"/>
                <w:sz w:val="24"/>
                <w:szCs w:val="24"/>
              </w:rPr>
            </w:pPr>
            <w:r w:rsidRPr="00FA3F9C">
              <w:rPr>
                <w:rFonts w:ascii="Arial" w:hAnsi="Arial" w:cs="Arial"/>
                <w:sz w:val="24"/>
                <w:szCs w:val="24"/>
              </w:rPr>
              <w:t>Criteria were written</w:t>
            </w:r>
          </w:p>
        </w:tc>
        <w:tc>
          <w:tcPr>
            <w:tcW w:w="1353" w:type="dxa"/>
          </w:tcPr>
          <w:p w14:paraId="4D48A0B7" w14:textId="77777777" w:rsidR="005C142D" w:rsidRPr="00FA3F9C" w:rsidRDefault="005C142D">
            <w:pPr>
              <w:rPr>
                <w:rFonts w:ascii="Arial" w:hAnsi="Arial" w:cs="Arial"/>
                <w:sz w:val="24"/>
                <w:szCs w:val="24"/>
              </w:rPr>
            </w:pPr>
            <w:r w:rsidRPr="00FA3F9C">
              <w:rPr>
                <w:rFonts w:ascii="Arial" w:hAnsi="Arial" w:cs="Arial"/>
                <w:sz w:val="24"/>
                <w:szCs w:val="24"/>
              </w:rPr>
              <w:t>JJ</w:t>
            </w:r>
          </w:p>
        </w:tc>
      </w:tr>
      <w:tr w:rsidR="005C142D" w:rsidRPr="00FA3F9C" w14:paraId="5CB6B8EF" w14:textId="77777777" w:rsidTr="008B696F">
        <w:tc>
          <w:tcPr>
            <w:tcW w:w="1530" w:type="dxa"/>
          </w:tcPr>
          <w:p w14:paraId="1DD15A25" w14:textId="77777777" w:rsidR="005C142D" w:rsidRPr="00FA3F9C" w:rsidRDefault="005C142D">
            <w:pPr>
              <w:rPr>
                <w:rFonts w:ascii="Arial" w:hAnsi="Arial" w:cs="Arial"/>
                <w:sz w:val="24"/>
                <w:szCs w:val="24"/>
              </w:rPr>
            </w:pPr>
            <w:r w:rsidRPr="00FA3F9C">
              <w:rPr>
                <w:rFonts w:ascii="Arial" w:hAnsi="Arial" w:cs="Arial"/>
                <w:sz w:val="24"/>
                <w:szCs w:val="24"/>
              </w:rPr>
              <w:t>5/17/12</w:t>
            </w:r>
          </w:p>
        </w:tc>
        <w:tc>
          <w:tcPr>
            <w:tcW w:w="7557" w:type="dxa"/>
          </w:tcPr>
          <w:p w14:paraId="037C1171" w14:textId="77777777" w:rsidR="005C142D" w:rsidRPr="00FA3F9C" w:rsidRDefault="005C142D">
            <w:pPr>
              <w:rPr>
                <w:rFonts w:ascii="Arial" w:hAnsi="Arial" w:cs="Arial"/>
                <w:sz w:val="24"/>
                <w:szCs w:val="24"/>
              </w:rPr>
            </w:pPr>
            <w:r w:rsidRPr="00FA3F9C">
              <w:rPr>
                <w:rFonts w:ascii="Arial" w:hAnsi="Arial" w:cs="Arial"/>
                <w:sz w:val="24"/>
                <w:szCs w:val="24"/>
              </w:rPr>
              <w:t>Revision history table added</w:t>
            </w:r>
          </w:p>
        </w:tc>
        <w:tc>
          <w:tcPr>
            <w:tcW w:w="1353" w:type="dxa"/>
          </w:tcPr>
          <w:p w14:paraId="49B5C0EA" w14:textId="77777777" w:rsidR="005C142D" w:rsidRPr="00FA3F9C" w:rsidRDefault="005C142D">
            <w:pPr>
              <w:rPr>
                <w:rFonts w:ascii="Arial" w:hAnsi="Arial" w:cs="Arial"/>
                <w:sz w:val="24"/>
                <w:szCs w:val="24"/>
              </w:rPr>
            </w:pPr>
            <w:r w:rsidRPr="00FA3F9C">
              <w:rPr>
                <w:rFonts w:ascii="Arial" w:hAnsi="Arial" w:cs="Arial"/>
                <w:sz w:val="24"/>
                <w:szCs w:val="24"/>
              </w:rPr>
              <w:t>JJ</w:t>
            </w:r>
          </w:p>
        </w:tc>
      </w:tr>
      <w:tr w:rsidR="005C142D" w:rsidRPr="00FA3F9C" w14:paraId="4DF1423B" w14:textId="77777777" w:rsidTr="008B696F">
        <w:tc>
          <w:tcPr>
            <w:tcW w:w="1530" w:type="dxa"/>
          </w:tcPr>
          <w:p w14:paraId="68E18030" w14:textId="77777777" w:rsidR="005C142D" w:rsidRPr="00FA3F9C" w:rsidRDefault="005C142D">
            <w:pPr>
              <w:rPr>
                <w:rFonts w:ascii="Arial" w:hAnsi="Arial" w:cs="Arial"/>
                <w:sz w:val="24"/>
                <w:szCs w:val="24"/>
              </w:rPr>
            </w:pPr>
            <w:r w:rsidRPr="00FA3F9C">
              <w:rPr>
                <w:rFonts w:ascii="Arial" w:hAnsi="Arial" w:cs="Arial"/>
                <w:sz w:val="24"/>
                <w:szCs w:val="24"/>
              </w:rPr>
              <w:t>5/13/15</w:t>
            </w:r>
          </w:p>
        </w:tc>
        <w:tc>
          <w:tcPr>
            <w:tcW w:w="7557" w:type="dxa"/>
          </w:tcPr>
          <w:p w14:paraId="2DFFA9B3" w14:textId="77777777" w:rsidR="005C142D" w:rsidRPr="00FA3F9C" w:rsidRDefault="005C142D">
            <w:pPr>
              <w:rPr>
                <w:rFonts w:ascii="Arial" w:hAnsi="Arial" w:cs="Arial"/>
                <w:sz w:val="24"/>
                <w:szCs w:val="24"/>
              </w:rPr>
            </w:pPr>
            <w:r w:rsidRPr="00FA3F9C">
              <w:rPr>
                <w:rFonts w:ascii="Arial" w:hAnsi="Arial" w:cs="Arial"/>
                <w:sz w:val="24"/>
                <w:szCs w:val="24"/>
              </w:rPr>
              <w:t xml:space="preserve">I added  a more specific diagnosis requirement.  The FDA approval is for pts following 2 systemic therapies.  After DCWG 5/12/15, discussion indicated they wanted 3 prior therapies which have better response rates and cost less than </w:t>
            </w:r>
            <w:proofErr w:type="spellStart"/>
            <w:r w:rsidRPr="00FA3F9C">
              <w:rPr>
                <w:rFonts w:ascii="Arial" w:hAnsi="Arial" w:cs="Arial"/>
                <w:sz w:val="24"/>
                <w:szCs w:val="24"/>
              </w:rPr>
              <w:t>vorinostat</w:t>
            </w:r>
            <w:proofErr w:type="spellEnd"/>
            <w:r w:rsidRPr="00FA3F9C">
              <w:rPr>
                <w:rFonts w:ascii="Arial" w:hAnsi="Arial" w:cs="Arial"/>
                <w:sz w:val="24"/>
                <w:szCs w:val="24"/>
              </w:rPr>
              <w:t>.</w:t>
            </w:r>
          </w:p>
        </w:tc>
        <w:tc>
          <w:tcPr>
            <w:tcW w:w="1353" w:type="dxa"/>
          </w:tcPr>
          <w:p w14:paraId="441DFFF5" w14:textId="77777777" w:rsidR="005C142D" w:rsidRPr="00FA3F9C" w:rsidRDefault="005C142D">
            <w:pPr>
              <w:rPr>
                <w:rFonts w:ascii="Arial" w:hAnsi="Arial" w:cs="Arial"/>
                <w:sz w:val="24"/>
                <w:szCs w:val="24"/>
              </w:rPr>
            </w:pPr>
            <w:r w:rsidRPr="00FA3F9C">
              <w:rPr>
                <w:rFonts w:ascii="Arial" w:hAnsi="Arial" w:cs="Arial"/>
                <w:sz w:val="24"/>
                <w:szCs w:val="24"/>
              </w:rPr>
              <w:t>JJ</w:t>
            </w:r>
          </w:p>
        </w:tc>
      </w:tr>
      <w:tr w:rsidR="005C142D" w:rsidRPr="00FA3F9C" w14:paraId="6DBD10E3" w14:textId="77777777" w:rsidTr="008B696F">
        <w:tc>
          <w:tcPr>
            <w:tcW w:w="1530" w:type="dxa"/>
          </w:tcPr>
          <w:p w14:paraId="3B869E50" w14:textId="77777777" w:rsidR="005C142D" w:rsidRPr="00FA3F9C" w:rsidRDefault="005C142D">
            <w:pPr>
              <w:rPr>
                <w:rFonts w:ascii="Arial" w:hAnsi="Arial" w:cs="Arial"/>
                <w:sz w:val="24"/>
                <w:szCs w:val="24"/>
              </w:rPr>
            </w:pPr>
            <w:r w:rsidRPr="00FA3F9C">
              <w:rPr>
                <w:rFonts w:ascii="Arial" w:hAnsi="Arial" w:cs="Arial"/>
                <w:sz w:val="24"/>
                <w:szCs w:val="24"/>
              </w:rPr>
              <w:t>6/19/19</w:t>
            </w:r>
          </w:p>
        </w:tc>
        <w:tc>
          <w:tcPr>
            <w:tcW w:w="7557" w:type="dxa"/>
          </w:tcPr>
          <w:p w14:paraId="3674247A" w14:textId="77777777" w:rsidR="005C142D" w:rsidRPr="00FA3F9C" w:rsidRDefault="005C142D" w:rsidP="00802691">
            <w:pPr>
              <w:rPr>
                <w:rFonts w:ascii="Arial" w:hAnsi="Arial" w:cs="Arial"/>
                <w:sz w:val="24"/>
                <w:szCs w:val="24"/>
              </w:rPr>
            </w:pPr>
            <w:r w:rsidRPr="00FA3F9C">
              <w:rPr>
                <w:rFonts w:ascii="Arial" w:hAnsi="Arial" w:cs="Arial"/>
                <w:sz w:val="24"/>
                <w:szCs w:val="24"/>
              </w:rPr>
              <w:t>Criteria reviewed. Allow 2 prior therapies before approved rather than 3. Allow prior use of interferon.</w:t>
            </w:r>
          </w:p>
        </w:tc>
        <w:tc>
          <w:tcPr>
            <w:tcW w:w="1353" w:type="dxa"/>
          </w:tcPr>
          <w:p w14:paraId="20A825C1" w14:textId="77777777" w:rsidR="005C142D" w:rsidRPr="00FA3F9C" w:rsidRDefault="005C142D">
            <w:pPr>
              <w:rPr>
                <w:rFonts w:ascii="Arial" w:hAnsi="Arial" w:cs="Arial"/>
                <w:sz w:val="24"/>
                <w:szCs w:val="24"/>
              </w:rPr>
            </w:pPr>
            <w:r w:rsidRPr="00FA3F9C">
              <w:rPr>
                <w:rFonts w:ascii="Arial" w:hAnsi="Arial" w:cs="Arial"/>
                <w:sz w:val="24"/>
                <w:szCs w:val="24"/>
              </w:rPr>
              <w:t>SK</w:t>
            </w:r>
          </w:p>
        </w:tc>
      </w:tr>
      <w:tr w:rsidR="005C142D" w:rsidRPr="00FA3F9C" w14:paraId="46CBCC3B" w14:textId="77777777" w:rsidTr="008B696F">
        <w:tc>
          <w:tcPr>
            <w:tcW w:w="1530" w:type="dxa"/>
          </w:tcPr>
          <w:p w14:paraId="093DC204" w14:textId="77777777" w:rsidR="005C142D" w:rsidRPr="00FA3F9C" w:rsidRDefault="005C142D">
            <w:pPr>
              <w:rPr>
                <w:rFonts w:ascii="Arial" w:hAnsi="Arial" w:cs="Arial"/>
                <w:sz w:val="24"/>
                <w:szCs w:val="24"/>
              </w:rPr>
            </w:pPr>
            <w:r w:rsidRPr="00FA3F9C">
              <w:rPr>
                <w:rFonts w:ascii="Arial" w:hAnsi="Arial" w:cs="Arial"/>
                <w:sz w:val="24"/>
                <w:szCs w:val="24"/>
              </w:rPr>
              <w:t>6/16/2020</w:t>
            </w:r>
          </w:p>
        </w:tc>
        <w:tc>
          <w:tcPr>
            <w:tcW w:w="7557" w:type="dxa"/>
          </w:tcPr>
          <w:p w14:paraId="2148B626" w14:textId="77777777" w:rsidR="005C142D" w:rsidRPr="00FA3F9C" w:rsidRDefault="005C142D" w:rsidP="00802691">
            <w:pPr>
              <w:rPr>
                <w:rFonts w:ascii="Arial" w:hAnsi="Arial" w:cs="Arial"/>
                <w:sz w:val="24"/>
                <w:szCs w:val="24"/>
              </w:rPr>
            </w:pPr>
            <w:r w:rsidRPr="00FA3F9C">
              <w:rPr>
                <w:rFonts w:ascii="Arial" w:hAnsi="Arial" w:cs="Arial"/>
                <w:sz w:val="24"/>
                <w:szCs w:val="24"/>
              </w:rPr>
              <w:t>Reviewed at DCWG 6-2020. Criteria reviewed. No change.</w:t>
            </w:r>
          </w:p>
        </w:tc>
        <w:tc>
          <w:tcPr>
            <w:tcW w:w="1353" w:type="dxa"/>
          </w:tcPr>
          <w:p w14:paraId="7D808719" w14:textId="77777777" w:rsidR="005C142D" w:rsidRPr="00FA3F9C" w:rsidRDefault="005C142D">
            <w:pPr>
              <w:rPr>
                <w:rFonts w:ascii="Arial" w:hAnsi="Arial" w:cs="Arial"/>
                <w:sz w:val="24"/>
                <w:szCs w:val="24"/>
              </w:rPr>
            </w:pPr>
            <w:r w:rsidRPr="00FA3F9C">
              <w:rPr>
                <w:rFonts w:ascii="Arial" w:hAnsi="Arial" w:cs="Arial"/>
                <w:sz w:val="24"/>
                <w:szCs w:val="24"/>
              </w:rPr>
              <w:t>SK</w:t>
            </w:r>
          </w:p>
        </w:tc>
      </w:tr>
      <w:tr w:rsidR="005C142D" w:rsidRPr="00FA3F9C" w14:paraId="605A032A" w14:textId="77777777" w:rsidTr="008B696F">
        <w:tc>
          <w:tcPr>
            <w:tcW w:w="1530" w:type="dxa"/>
          </w:tcPr>
          <w:p w14:paraId="1366E0E8" w14:textId="77777777" w:rsidR="005C142D" w:rsidRPr="00FA3F9C" w:rsidRDefault="005C142D">
            <w:pPr>
              <w:rPr>
                <w:rFonts w:ascii="Arial" w:hAnsi="Arial" w:cs="Arial"/>
                <w:sz w:val="24"/>
                <w:szCs w:val="24"/>
              </w:rPr>
            </w:pPr>
            <w:r w:rsidRPr="00FA3F9C">
              <w:rPr>
                <w:rFonts w:ascii="Arial" w:hAnsi="Arial" w:cs="Arial"/>
                <w:sz w:val="24"/>
                <w:szCs w:val="24"/>
              </w:rPr>
              <w:t>3/31/2021</w:t>
            </w:r>
          </w:p>
        </w:tc>
        <w:tc>
          <w:tcPr>
            <w:tcW w:w="7557" w:type="dxa"/>
          </w:tcPr>
          <w:p w14:paraId="6CCEE637" w14:textId="77777777" w:rsidR="005C142D" w:rsidRPr="00FA3F9C" w:rsidRDefault="005C142D" w:rsidP="00802691">
            <w:pPr>
              <w:rPr>
                <w:rFonts w:ascii="Arial" w:hAnsi="Arial" w:cs="Arial"/>
                <w:sz w:val="24"/>
                <w:szCs w:val="24"/>
              </w:rPr>
            </w:pPr>
            <w:r w:rsidRPr="00FA3F9C">
              <w:rPr>
                <w:rFonts w:ascii="Arial" w:hAnsi="Arial" w:cs="Arial"/>
                <w:sz w:val="24"/>
                <w:szCs w:val="24"/>
              </w:rPr>
              <w:t>Applied EBRx criteria to UAS Plan.  No effective change, just formatting.</w:t>
            </w:r>
          </w:p>
        </w:tc>
        <w:tc>
          <w:tcPr>
            <w:tcW w:w="1353" w:type="dxa"/>
          </w:tcPr>
          <w:p w14:paraId="5862C630" w14:textId="77777777" w:rsidR="005C142D" w:rsidRPr="00FA3F9C" w:rsidRDefault="005C142D">
            <w:pPr>
              <w:rPr>
                <w:rFonts w:ascii="Arial" w:hAnsi="Arial" w:cs="Arial"/>
                <w:sz w:val="24"/>
                <w:szCs w:val="24"/>
              </w:rPr>
            </w:pPr>
            <w:r w:rsidRPr="00FA3F9C">
              <w:rPr>
                <w:rFonts w:ascii="Arial" w:hAnsi="Arial" w:cs="Arial"/>
                <w:sz w:val="24"/>
                <w:szCs w:val="24"/>
              </w:rPr>
              <w:t>JJ</w:t>
            </w:r>
          </w:p>
        </w:tc>
      </w:tr>
      <w:tr w:rsidR="005C142D" w:rsidRPr="00FA3F9C" w14:paraId="5C664F3D" w14:textId="77777777" w:rsidTr="008B696F">
        <w:tc>
          <w:tcPr>
            <w:tcW w:w="1530" w:type="dxa"/>
          </w:tcPr>
          <w:p w14:paraId="78385964" w14:textId="77777777" w:rsidR="005C142D" w:rsidRPr="00FA3F9C" w:rsidRDefault="005C142D">
            <w:pPr>
              <w:rPr>
                <w:rFonts w:ascii="Arial" w:hAnsi="Arial" w:cs="Arial"/>
                <w:sz w:val="24"/>
                <w:szCs w:val="24"/>
              </w:rPr>
            </w:pPr>
            <w:r w:rsidRPr="00FA3F9C">
              <w:rPr>
                <w:rFonts w:ascii="Arial" w:hAnsi="Arial" w:cs="Arial"/>
                <w:sz w:val="24"/>
                <w:szCs w:val="24"/>
              </w:rPr>
              <w:t>9/1/2021</w:t>
            </w:r>
          </w:p>
        </w:tc>
        <w:tc>
          <w:tcPr>
            <w:tcW w:w="7557" w:type="dxa"/>
          </w:tcPr>
          <w:p w14:paraId="24CA4A30" w14:textId="77777777" w:rsidR="005C142D" w:rsidRPr="00FA3F9C" w:rsidRDefault="005C142D" w:rsidP="007750A9">
            <w:pPr>
              <w:rPr>
                <w:rFonts w:ascii="Arial" w:hAnsi="Arial" w:cs="Arial"/>
                <w:sz w:val="24"/>
                <w:szCs w:val="24"/>
              </w:rPr>
            </w:pPr>
            <w:r w:rsidRPr="00FA3F9C">
              <w:rPr>
                <w:rFonts w:ascii="Arial" w:hAnsi="Arial" w:cs="Arial"/>
                <w:sz w:val="24"/>
                <w:szCs w:val="24"/>
              </w:rPr>
              <w:t xml:space="preserve">Criteria reviewed. No changes. </w:t>
            </w:r>
          </w:p>
        </w:tc>
        <w:tc>
          <w:tcPr>
            <w:tcW w:w="1353" w:type="dxa"/>
          </w:tcPr>
          <w:p w14:paraId="7F8CECD3" w14:textId="77777777" w:rsidR="005C142D" w:rsidRPr="00FA3F9C" w:rsidRDefault="005C142D">
            <w:pPr>
              <w:rPr>
                <w:rFonts w:ascii="Arial" w:hAnsi="Arial" w:cs="Arial"/>
                <w:sz w:val="24"/>
                <w:szCs w:val="24"/>
              </w:rPr>
            </w:pPr>
            <w:r w:rsidRPr="00FA3F9C">
              <w:rPr>
                <w:rFonts w:ascii="Arial" w:hAnsi="Arial" w:cs="Arial"/>
                <w:sz w:val="24"/>
                <w:szCs w:val="24"/>
              </w:rPr>
              <w:t>SK</w:t>
            </w:r>
          </w:p>
        </w:tc>
      </w:tr>
    </w:tbl>
    <w:p w14:paraId="5BFAC946" w14:textId="77777777" w:rsidR="005C142D" w:rsidRPr="00FA3F9C" w:rsidRDefault="005C142D">
      <w:pPr>
        <w:rPr>
          <w:rFonts w:ascii="Arial" w:hAnsi="Arial" w:cs="Arial"/>
          <w:sz w:val="24"/>
          <w:szCs w:val="24"/>
        </w:rPr>
      </w:pPr>
    </w:p>
    <w:p w14:paraId="356344A4" w14:textId="77777777" w:rsidR="0027626C" w:rsidRPr="00FA3F9C" w:rsidRDefault="0027626C" w:rsidP="0027626C">
      <w:pPr>
        <w:tabs>
          <w:tab w:val="left" w:pos="3315"/>
        </w:tabs>
        <w:rPr>
          <w:rFonts w:ascii="Arial" w:hAnsi="Arial" w:cs="Arial"/>
          <w:sz w:val="24"/>
          <w:szCs w:val="24"/>
        </w:rPr>
      </w:pPr>
    </w:p>
    <w:sectPr w:rsidR="0027626C" w:rsidRPr="00FA3F9C" w:rsidSect="00FA3F9C">
      <w:pgSz w:w="15840" w:h="12240" w:orient="landscape"/>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98B263" w14:textId="77777777" w:rsidR="00B700AB" w:rsidRDefault="00B700AB" w:rsidP="00B700AB">
      <w:pPr>
        <w:spacing w:after="0" w:line="240" w:lineRule="auto"/>
      </w:pPr>
      <w:r>
        <w:separator/>
      </w:r>
    </w:p>
  </w:endnote>
  <w:endnote w:type="continuationSeparator" w:id="0">
    <w:p w14:paraId="331E08EB" w14:textId="77777777" w:rsidR="00B700AB" w:rsidRDefault="00B700AB" w:rsidP="00B700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MT">
    <w:altName w:val="MS Mincho"/>
    <w:panose1 w:val="00000000000000000000"/>
    <w:charset w:val="80"/>
    <w:family w:val="auto"/>
    <w:notTrueType/>
    <w:pitch w:val="default"/>
    <w:sig w:usb0="00000000" w:usb1="08070000" w:usb2="00000010" w:usb3="00000000" w:csb0="00020000" w:csb1="00000000"/>
  </w:font>
  <w:font w:name="Avenir Roman">
    <w:altName w:val="Corbel"/>
    <w:charset w:val="4D"/>
    <w:family w:val="swiss"/>
    <w:pitch w:val="variable"/>
    <w:sig w:usb0="800000AF" w:usb1="5000204A" w:usb2="00000000" w:usb3="00000000" w:csb0="0000009B" w:csb1="00000000"/>
  </w:font>
  <w:font w:name="Arial Unicode MS">
    <w:altName w:val="Yu Gothic"/>
    <w:panose1 w:val="020B0604020202020204"/>
    <w:charset w:val="80"/>
    <w:family w:val="swiss"/>
    <w:pitch w:val="variable"/>
    <w:sig w:usb0="F7FFAFFF" w:usb1="E9DFFFFF" w:usb2="0000003F" w:usb3="00000000" w:csb0="003F01FF" w:csb1="00000000"/>
  </w:font>
  <w:font w:name="Avenir 55 Roman">
    <w:altName w:val="Malgun Gothic"/>
    <w:panose1 w:val="00000000000000000000"/>
    <w:charset w:val="00"/>
    <w:family w:val="roman"/>
    <w:notTrueType/>
    <w:pitch w:val="default"/>
    <w:sig w:usb0="00000003" w:usb1="00000000" w:usb2="00000000" w:usb3="00000000" w:csb0="00000001" w:csb1="00000000"/>
  </w:font>
  <w:font w:name="Avenir 85 Heavy">
    <w:altName w:val="Cambria"/>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OTNEJMScalaSansLF">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HelveticaNeueLTStd-Cn">
    <w:altName w:val="MS Gothic"/>
    <w:panose1 w:val="00000000000000000000"/>
    <w:charset w:val="80"/>
    <w:family w:val="swiss"/>
    <w:notTrueType/>
    <w:pitch w:val="default"/>
    <w:sig w:usb0="00000000"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TimesNewRoman">
    <w:altName w:val="Times New Roman"/>
    <w:panose1 w:val="00000000000000000000"/>
    <w:charset w:val="80"/>
    <w:family w:val="auto"/>
    <w:notTrueType/>
    <w:pitch w:val="default"/>
    <w:sig w:usb0="00000001"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AdvAGaramond-R">
    <w:altName w:val="MS Mincho"/>
    <w:panose1 w:val="00000000000000000000"/>
    <w:charset w:val="80"/>
    <w:family w:val="auto"/>
    <w:notTrueType/>
    <w:pitch w:val="default"/>
    <w:sig w:usb0="00000000" w:usb1="08070000" w:usb2="00000010" w:usb3="00000000" w:csb0="00020000" w:csb1="00000000"/>
  </w:font>
  <w:font w:name="OTNEJMQuadraat">
    <w:altName w:val="MS Mincho"/>
    <w:panose1 w:val="00000000000000000000"/>
    <w:charset w:val="80"/>
    <w:family w:val="roman"/>
    <w:notTrueType/>
    <w:pitch w:val="default"/>
    <w:sig w:usb0="00000000" w:usb1="08070000" w:usb2="00000010" w:usb3="00000000" w:csb0="00020000" w:csb1="00000000"/>
  </w:font>
  <w:font w:name="MinionPro-Regular">
    <w:altName w:val="MS Mincho"/>
    <w:panose1 w:val="00000000000000000000"/>
    <w:charset w:val="80"/>
    <w:family w:val="auto"/>
    <w:notTrueType/>
    <w:pitch w:val="default"/>
    <w:sig w:usb0="00000003" w:usb1="08070000" w:usb2="00000010" w:usb3="00000000" w:csb0="00020001" w:csb1="00000000"/>
  </w:font>
  <w:font w:name="Shruti">
    <w:panose1 w:val="02000500000000000000"/>
    <w:charset w:val="00"/>
    <w:family w:val="swiss"/>
    <w:pitch w:val="variable"/>
    <w:sig w:usb0="00040003" w:usb1="00000000" w:usb2="00000000" w:usb3="00000000" w:csb0="00000001" w:csb1="00000000"/>
  </w:font>
  <w:font w:name="ScalaLancetPro">
    <w:altName w:val="Malgun Gothic"/>
    <w:panose1 w:val="00000000000000000000"/>
    <w:charset w:val="81"/>
    <w:family w:val="auto"/>
    <w:notTrueType/>
    <w:pitch w:val="default"/>
    <w:sig w:usb0="00000000" w:usb1="09060000" w:usb2="00000010" w:usb3="00000000" w:csb0="00080000" w:csb1="00000000"/>
  </w:font>
  <w:font w:name="ScalaLancetPro-Italic">
    <w:altName w:val="바탕"/>
    <w:panose1 w:val="00000000000000000000"/>
    <w:charset w:val="81"/>
    <w:family w:val="auto"/>
    <w:notTrueType/>
    <w:pitch w:val="default"/>
    <w:sig w:usb0="00000001" w:usb1="09060000" w:usb2="00000010" w:usb3="00000000" w:csb0="00080000" w:csb1="00000000"/>
  </w:font>
  <w:font w:name="ScalaLancetPro-Bold">
    <w:altName w:val="바탕"/>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5D108" w14:textId="77777777" w:rsidR="00B700AB" w:rsidRDefault="00B700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D7839" w14:textId="77777777" w:rsidR="00B700AB" w:rsidRDefault="00B700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B65D2" w14:textId="77777777" w:rsidR="00B700AB" w:rsidRDefault="00B700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D0ACEC" w14:textId="77777777" w:rsidR="00B700AB" w:rsidRDefault="00B700AB" w:rsidP="00B700AB">
      <w:pPr>
        <w:spacing w:after="0" w:line="240" w:lineRule="auto"/>
      </w:pPr>
      <w:r>
        <w:separator/>
      </w:r>
    </w:p>
  </w:footnote>
  <w:footnote w:type="continuationSeparator" w:id="0">
    <w:p w14:paraId="428E5096" w14:textId="77777777" w:rsidR="00B700AB" w:rsidRDefault="00B700AB" w:rsidP="00B700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9BB92" w14:textId="77777777" w:rsidR="00B700AB" w:rsidRDefault="00B700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4763609"/>
      <w:docPartObj>
        <w:docPartGallery w:val="Watermarks"/>
        <w:docPartUnique/>
      </w:docPartObj>
    </w:sdtPr>
    <w:sdtEndPr/>
    <w:sdtContent>
      <w:p w14:paraId="3910DDEA" w14:textId="140E6B21" w:rsidR="00B700AB" w:rsidRDefault="00500371">
        <w:pPr>
          <w:pStyle w:val="Header"/>
        </w:pPr>
        <w:r>
          <w:rPr>
            <w:noProof/>
          </w:rPr>
          <w:pict w14:anchorId="23BA38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2050" type="#_x0000_t136" style="position:absolute;margin-left:0;margin-top:0;width:527.85pt;height:131.95pt;rotation:315;z-index:-251658752;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1DA07" w14:textId="77777777" w:rsidR="00B700AB" w:rsidRDefault="00B700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3179"/>
    <w:multiLevelType w:val="hybridMultilevel"/>
    <w:tmpl w:val="8A10EC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14324D"/>
    <w:multiLevelType w:val="hybridMultilevel"/>
    <w:tmpl w:val="E59E88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253805"/>
    <w:multiLevelType w:val="hybridMultilevel"/>
    <w:tmpl w:val="7BAE2A9C"/>
    <w:lvl w:ilvl="0" w:tplc="058AE6F0">
      <w:start w:val="1"/>
      <w:numFmt w:val="decimal"/>
      <w:lvlText w:val="%1."/>
      <w:lvlJc w:val="left"/>
      <w:pPr>
        <w:ind w:left="720" w:hanging="360"/>
      </w:pPr>
      <w:rPr>
        <w:rFonts w:hint="default"/>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531857"/>
    <w:multiLevelType w:val="hybridMultilevel"/>
    <w:tmpl w:val="4ECEB1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893C0F"/>
    <w:multiLevelType w:val="hybridMultilevel"/>
    <w:tmpl w:val="ED8E07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09921DE"/>
    <w:multiLevelType w:val="hybridMultilevel"/>
    <w:tmpl w:val="1B4461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0AF7A99"/>
    <w:multiLevelType w:val="hybridMultilevel"/>
    <w:tmpl w:val="C6AA24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17756AC"/>
    <w:multiLevelType w:val="hybridMultilevel"/>
    <w:tmpl w:val="AD8A09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1B704AB"/>
    <w:multiLevelType w:val="hybridMultilevel"/>
    <w:tmpl w:val="7176387E"/>
    <w:lvl w:ilvl="0" w:tplc="E5B4CF7E">
      <w:start w:val="1"/>
      <w:numFmt w:val="bullet"/>
      <w:lvlText w:val="o"/>
      <w:lvlJc w:val="left"/>
      <w:pPr>
        <w:ind w:left="1440" w:hanging="360"/>
      </w:pPr>
      <w:rPr>
        <w:rFonts w:ascii="Calibr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21A4FC9"/>
    <w:multiLevelType w:val="hybridMultilevel"/>
    <w:tmpl w:val="7DEA12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2720A95"/>
    <w:multiLevelType w:val="hybridMultilevel"/>
    <w:tmpl w:val="522830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2CD1443"/>
    <w:multiLevelType w:val="hybridMultilevel"/>
    <w:tmpl w:val="7166E082"/>
    <w:lvl w:ilvl="0" w:tplc="E020E9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2D97D5C"/>
    <w:multiLevelType w:val="hybridMultilevel"/>
    <w:tmpl w:val="8D66FF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30D49E3"/>
    <w:multiLevelType w:val="hybridMultilevel"/>
    <w:tmpl w:val="1A6E4B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3BF6F3D"/>
    <w:multiLevelType w:val="hybridMultilevel"/>
    <w:tmpl w:val="9FD41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4665D93"/>
    <w:multiLevelType w:val="hybridMultilevel"/>
    <w:tmpl w:val="17B83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4851C9E"/>
    <w:multiLevelType w:val="hybridMultilevel"/>
    <w:tmpl w:val="EB8841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052A4A59"/>
    <w:multiLevelType w:val="hybridMultilevel"/>
    <w:tmpl w:val="6EC2963E"/>
    <w:lvl w:ilvl="0" w:tplc="50C60E86">
      <w:start w:val="1"/>
      <w:numFmt w:val="decimal"/>
      <w:lvlText w:val="%1."/>
      <w:lvlJc w:val="left"/>
      <w:pPr>
        <w:ind w:left="720" w:hanging="360"/>
      </w:pPr>
      <w:rPr>
        <w:rFonts w:hint="default"/>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54566B3"/>
    <w:multiLevelType w:val="hybridMultilevel"/>
    <w:tmpl w:val="CB4EF0D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059F494D"/>
    <w:multiLevelType w:val="hybridMultilevel"/>
    <w:tmpl w:val="A6BC0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6552C3B"/>
    <w:multiLevelType w:val="hybridMultilevel"/>
    <w:tmpl w:val="0E7C2D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066178E5"/>
    <w:multiLevelType w:val="hybridMultilevel"/>
    <w:tmpl w:val="957E9352"/>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068A1B98"/>
    <w:multiLevelType w:val="hybridMultilevel"/>
    <w:tmpl w:val="B60C58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6A776A5"/>
    <w:multiLevelType w:val="hybridMultilevel"/>
    <w:tmpl w:val="F578A0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6EE0462"/>
    <w:multiLevelType w:val="hybridMultilevel"/>
    <w:tmpl w:val="EBE0A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70F04CA"/>
    <w:multiLevelType w:val="hybridMultilevel"/>
    <w:tmpl w:val="B210A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74E6F31"/>
    <w:multiLevelType w:val="hybridMultilevel"/>
    <w:tmpl w:val="7CBA7514"/>
    <w:lvl w:ilvl="0" w:tplc="04090001">
      <w:start w:val="1"/>
      <w:numFmt w:val="bullet"/>
      <w:lvlText w:val=""/>
      <w:lvlJc w:val="left"/>
      <w:pPr>
        <w:ind w:left="720" w:hanging="360"/>
      </w:pPr>
      <w:rPr>
        <w:rFonts w:ascii="Symbol" w:hAnsi="Symbol" w:hint="default"/>
      </w:rPr>
    </w:lvl>
    <w:lvl w:ilvl="1" w:tplc="E5B4CF7E">
      <w:start w:val="1"/>
      <w:numFmt w:val="bullet"/>
      <w:lvlText w:val="o"/>
      <w:lvlJc w:val="left"/>
      <w:pPr>
        <w:ind w:left="1440" w:hanging="360"/>
      </w:pPr>
      <w:rPr>
        <w:rFonts w:ascii="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77A7486"/>
    <w:multiLevelType w:val="hybridMultilevel"/>
    <w:tmpl w:val="4C82A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7A02976"/>
    <w:multiLevelType w:val="hybridMultilevel"/>
    <w:tmpl w:val="274E25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7C13536"/>
    <w:multiLevelType w:val="hybridMultilevel"/>
    <w:tmpl w:val="DC44B11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07FC0366"/>
    <w:multiLevelType w:val="hybridMultilevel"/>
    <w:tmpl w:val="1924C15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083A423F"/>
    <w:multiLevelType w:val="hybridMultilevel"/>
    <w:tmpl w:val="9104CDB6"/>
    <w:lvl w:ilvl="0" w:tplc="5F5A62C0">
      <w:start w:val="1"/>
      <w:numFmt w:val="bullet"/>
      <w:lvlText w:val=""/>
      <w:lvlJc w:val="left"/>
      <w:pPr>
        <w:ind w:left="720" w:hanging="360"/>
      </w:pPr>
      <w:rPr>
        <w:rFonts w:ascii="Wingdings" w:hAnsi="Wingdings"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8D055CE"/>
    <w:multiLevelType w:val="hybridMultilevel"/>
    <w:tmpl w:val="A100FF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08EA39D8"/>
    <w:multiLevelType w:val="hybridMultilevel"/>
    <w:tmpl w:val="B672A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9041505"/>
    <w:multiLevelType w:val="hybridMultilevel"/>
    <w:tmpl w:val="4322F2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09116F3B"/>
    <w:multiLevelType w:val="hybridMultilevel"/>
    <w:tmpl w:val="B5C28C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A807833"/>
    <w:multiLevelType w:val="hybridMultilevel"/>
    <w:tmpl w:val="3F228D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0A88457D"/>
    <w:multiLevelType w:val="hybridMultilevel"/>
    <w:tmpl w:val="88F82540"/>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0A994160"/>
    <w:multiLevelType w:val="hybridMultilevel"/>
    <w:tmpl w:val="64687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B072A18"/>
    <w:multiLevelType w:val="hybridMultilevel"/>
    <w:tmpl w:val="50AC57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0B3E729D"/>
    <w:multiLevelType w:val="hybridMultilevel"/>
    <w:tmpl w:val="F70C28BC"/>
    <w:lvl w:ilvl="0" w:tplc="FF98095E">
      <w:start w:val="1"/>
      <w:numFmt w:val="decimal"/>
      <w:lvlText w:val="%1."/>
      <w:lvlJc w:val="left"/>
      <w:pPr>
        <w:ind w:left="720" w:hanging="360"/>
      </w:pPr>
      <w:rPr>
        <w:rFonts w:ascii="Arial" w:hAnsi="Arial" w:cs="Arial" w:hint="default"/>
        <w:color w:val="222222"/>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0B961A10"/>
    <w:multiLevelType w:val="hybridMultilevel"/>
    <w:tmpl w:val="FB20A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BED43F8"/>
    <w:multiLevelType w:val="hybridMultilevel"/>
    <w:tmpl w:val="8C007C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0BF908C3"/>
    <w:multiLevelType w:val="hybridMultilevel"/>
    <w:tmpl w:val="EB8841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0C1D6BEC"/>
    <w:multiLevelType w:val="hybridMultilevel"/>
    <w:tmpl w:val="07F22572"/>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0C706815"/>
    <w:multiLevelType w:val="hybridMultilevel"/>
    <w:tmpl w:val="1646B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0CDB4E0C"/>
    <w:multiLevelType w:val="hybridMultilevel"/>
    <w:tmpl w:val="D71CD5D4"/>
    <w:lvl w:ilvl="0" w:tplc="0409000F">
      <w:start w:val="1"/>
      <w:numFmt w:val="decimal"/>
      <w:lvlText w:val="%1."/>
      <w:lvlJc w:val="left"/>
      <w:pPr>
        <w:ind w:left="1714" w:hanging="360"/>
      </w:pPr>
    </w:lvl>
    <w:lvl w:ilvl="1" w:tplc="04090019" w:tentative="1">
      <w:start w:val="1"/>
      <w:numFmt w:val="lowerLetter"/>
      <w:lvlText w:val="%2."/>
      <w:lvlJc w:val="left"/>
      <w:pPr>
        <w:ind w:left="2434" w:hanging="360"/>
      </w:pPr>
    </w:lvl>
    <w:lvl w:ilvl="2" w:tplc="0409001B" w:tentative="1">
      <w:start w:val="1"/>
      <w:numFmt w:val="lowerRoman"/>
      <w:lvlText w:val="%3."/>
      <w:lvlJc w:val="right"/>
      <w:pPr>
        <w:ind w:left="3154" w:hanging="180"/>
      </w:pPr>
    </w:lvl>
    <w:lvl w:ilvl="3" w:tplc="0409000F" w:tentative="1">
      <w:start w:val="1"/>
      <w:numFmt w:val="decimal"/>
      <w:lvlText w:val="%4."/>
      <w:lvlJc w:val="left"/>
      <w:pPr>
        <w:ind w:left="3874" w:hanging="360"/>
      </w:pPr>
    </w:lvl>
    <w:lvl w:ilvl="4" w:tplc="04090019" w:tentative="1">
      <w:start w:val="1"/>
      <w:numFmt w:val="lowerLetter"/>
      <w:lvlText w:val="%5."/>
      <w:lvlJc w:val="left"/>
      <w:pPr>
        <w:ind w:left="4594" w:hanging="360"/>
      </w:pPr>
    </w:lvl>
    <w:lvl w:ilvl="5" w:tplc="0409001B" w:tentative="1">
      <w:start w:val="1"/>
      <w:numFmt w:val="lowerRoman"/>
      <w:lvlText w:val="%6."/>
      <w:lvlJc w:val="right"/>
      <w:pPr>
        <w:ind w:left="5314" w:hanging="180"/>
      </w:pPr>
    </w:lvl>
    <w:lvl w:ilvl="6" w:tplc="0409000F" w:tentative="1">
      <w:start w:val="1"/>
      <w:numFmt w:val="decimal"/>
      <w:lvlText w:val="%7."/>
      <w:lvlJc w:val="left"/>
      <w:pPr>
        <w:ind w:left="6034" w:hanging="360"/>
      </w:pPr>
    </w:lvl>
    <w:lvl w:ilvl="7" w:tplc="04090019" w:tentative="1">
      <w:start w:val="1"/>
      <w:numFmt w:val="lowerLetter"/>
      <w:lvlText w:val="%8."/>
      <w:lvlJc w:val="left"/>
      <w:pPr>
        <w:ind w:left="6754" w:hanging="360"/>
      </w:pPr>
    </w:lvl>
    <w:lvl w:ilvl="8" w:tplc="0409001B" w:tentative="1">
      <w:start w:val="1"/>
      <w:numFmt w:val="lowerRoman"/>
      <w:lvlText w:val="%9."/>
      <w:lvlJc w:val="right"/>
      <w:pPr>
        <w:ind w:left="7474" w:hanging="180"/>
      </w:pPr>
    </w:lvl>
  </w:abstractNum>
  <w:abstractNum w:abstractNumId="47" w15:restartNumberingAfterBreak="0">
    <w:nsid w:val="0CDD3690"/>
    <w:multiLevelType w:val="hybridMultilevel"/>
    <w:tmpl w:val="3E92E5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0D0E767D"/>
    <w:multiLevelType w:val="hybridMultilevel"/>
    <w:tmpl w:val="16FE94C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0D157E0A"/>
    <w:multiLevelType w:val="hybridMultilevel"/>
    <w:tmpl w:val="1040A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0D4955CD"/>
    <w:multiLevelType w:val="hybridMultilevel"/>
    <w:tmpl w:val="A62EAB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0D9F2E47"/>
    <w:multiLevelType w:val="hybridMultilevel"/>
    <w:tmpl w:val="169A63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0DA6481D"/>
    <w:multiLevelType w:val="hybridMultilevel"/>
    <w:tmpl w:val="9C001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0DAD5180"/>
    <w:multiLevelType w:val="hybridMultilevel"/>
    <w:tmpl w:val="031EE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0EFB5429"/>
    <w:multiLevelType w:val="hybridMultilevel"/>
    <w:tmpl w:val="8C0AD85E"/>
    <w:lvl w:ilvl="0" w:tplc="264A5906">
      <w:start w:val="1"/>
      <w:numFmt w:val="decimal"/>
      <w:lvlText w:val="%1."/>
      <w:lvlJc w:val="left"/>
      <w:pPr>
        <w:ind w:left="63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0F3C1891"/>
    <w:multiLevelType w:val="hybridMultilevel"/>
    <w:tmpl w:val="88F82540"/>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0FF26CD5"/>
    <w:multiLevelType w:val="hybridMultilevel"/>
    <w:tmpl w:val="EA240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0302D37"/>
    <w:multiLevelType w:val="hybridMultilevel"/>
    <w:tmpl w:val="88F82540"/>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103F0155"/>
    <w:multiLevelType w:val="hybridMultilevel"/>
    <w:tmpl w:val="21F05C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0610234"/>
    <w:multiLevelType w:val="hybridMultilevel"/>
    <w:tmpl w:val="9182C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10734618"/>
    <w:multiLevelType w:val="hybridMultilevel"/>
    <w:tmpl w:val="B3625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0CE7173"/>
    <w:multiLevelType w:val="hybridMultilevel"/>
    <w:tmpl w:val="36B63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192436A"/>
    <w:multiLevelType w:val="hybridMultilevel"/>
    <w:tmpl w:val="AD5AD88C"/>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15:restartNumberingAfterBreak="0">
    <w:nsid w:val="11AD5E82"/>
    <w:multiLevelType w:val="hybridMultilevel"/>
    <w:tmpl w:val="C946044A"/>
    <w:lvl w:ilvl="0" w:tplc="684A7414">
      <w:start w:val="1"/>
      <w:numFmt w:val="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1B91EDD"/>
    <w:multiLevelType w:val="hybridMultilevel"/>
    <w:tmpl w:val="FF5860B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11C43D50"/>
    <w:multiLevelType w:val="hybridMultilevel"/>
    <w:tmpl w:val="DD50E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2213162"/>
    <w:multiLevelType w:val="hybridMultilevel"/>
    <w:tmpl w:val="5FC21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263153B"/>
    <w:multiLevelType w:val="hybridMultilevel"/>
    <w:tmpl w:val="5FE2E7FA"/>
    <w:lvl w:ilvl="0" w:tplc="51768C6E">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126675EF"/>
    <w:multiLevelType w:val="hybridMultilevel"/>
    <w:tmpl w:val="80BAF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12964644"/>
    <w:multiLevelType w:val="hybridMultilevel"/>
    <w:tmpl w:val="A100FF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12B0244D"/>
    <w:multiLevelType w:val="hybridMultilevel"/>
    <w:tmpl w:val="A42C9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12D40448"/>
    <w:multiLevelType w:val="hybridMultilevel"/>
    <w:tmpl w:val="CF6A9C9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2" w15:restartNumberingAfterBreak="0">
    <w:nsid w:val="12E634A3"/>
    <w:multiLevelType w:val="hybridMultilevel"/>
    <w:tmpl w:val="42C25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12E76C82"/>
    <w:multiLevelType w:val="hybridMultilevel"/>
    <w:tmpl w:val="D572330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135F4916"/>
    <w:multiLevelType w:val="hybridMultilevel"/>
    <w:tmpl w:val="ADA07C0C"/>
    <w:lvl w:ilvl="0" w:tplc="E6945C66">
      <w:start w:val="1"/>
      <w:numFmt w:val="bullet"/>
      <w:lvlText w:val=""/>
      <w:lvlJc w:val="left"/>
      <w:pPr>
        <w:tabs>
          <w:tab w:val="num" w:pos="0"/>
        </w:tabs>
        <w:ind w:left="0" w:hanging="216"/>
      </w:pPr>
      <w:rPr>
        <w:rFonts w:ascii="Wingdings" w:hAnsi="Wingdings" w:hint="default"/>
        <w:spacing w:val="-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136D6497"/>
    <w:multiLevelType w:val="hybridMultilevel"/>
    <w:tmpl w:val="3DB6C5B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137C3996"/>
    <w:multiLevelType w:val="hybridMultilevel"/>
    <w:tmpl w:val="190C27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13CF1C32"/>
    <w:multiLevelType w:val="hybridMultilevel"/>
    <w:tmpl w:val="B7EA0E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13E8624A"/>
    <w:multiLevelType w:val="hybridMultilevel"/>
    <w:tmpl w:val="85FEF4D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13F676D3"/>
    <w:multiLevelType w:val="hybridMultilevel"/>
    <w:tmpl w:val="AD227C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143B53A4"/>
    <w:multiLevelType w:val="hybridMultilevel"/>
    <w:tmpl w:val="76647BB2"/>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144A038F"/>
    <w:multiLevelType w:val="hybridMultilevel"/>
    <w:tmpl w:val="0CC8A39E"/>
    <w:lvl w:ilvl="0" w:tplc="5F06E8CA">
      <w:start w:val="3"/>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2" w15:restartNumberingAfterBreak="0">
    <w:nsid w:val="146923C7"/>
    <w:multiLevelType w:val="hybridMultilevel"/>
    <w:tmpl w:val="927C4D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146D5172"/>
    <w:multiLevelType w:val="hybridMultilevel"/>
    <w:tmpl w:val="3BC2FD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14750D08"/>
    <w:multiLevelType w:val="hybridMultilevel"/>
    <w:tmpl w:val="1D3E5BA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14AB1DF7"/>
    <w:multiLevelType w:val="hybridMultilevel"/>
    <w:tmpl w:val="2FC859A6"/>
    <w:lvl w:ilvl="0" w:tplc="B7AE1C04">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156A325D"/>
    <w:multiLevelType w:val="hybridMultilevel"/>
    <w:tmpl w:val="D00AB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15977866"/>
    <w:multiLevelType w:val="hybridMultilevel"/>
    <w:tmpl w:val="4B5440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159D4C99"/>
    <w:multiLevelType w:val="hybridMultilevel"/>
    <w:tmpl w:val="9214A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15F21837"/>
    <w:multiLevelType w:val="hybridMultilevel"/>
    <w:tmpl w:val="FC4A62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164D309C"/>
    <w:multiLevelType w:val="hybridMultilevel"/>
    <w:tmpl w:val="CCF44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16782A57"/>
    <w:multiLevelType w:val="hybridMultilevel"/>
    <w:tmpl w:val="E7567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16A975E2"/>
    <w:multiLevelType w:val="hybridMultilevel"/>
    <w:tmpl w:val="54B06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16AC72E4"/>
    <w:multiLevelType w:val="hybridMultilevel"/>
    <w:tmpl w:val="AB50B350"/>
    <w:lvl w:ilvl="0" w:tplc="9322E690">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4" w15:restartNumberingAfterBreak="0">
    <w:nsid w:val="16B374A4"/>
    <w:multiLevelType w:val="hybridMultilevel"/>
    <w:tmpl w:val="16FE94C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15:restartNumberingAfterBreak="0">
    <w:nsid w:val="171375BB"/>
    <w:multiLevelType w:val="hybridMultilevel"/>
    <w:tmpl w:val="E806D12E"/>
    <w:lvl w:ilvl="0" w:tplc="04090001">
      <w:start w:val="1"/>
      <w:numFmt w:val="bullet"/>
      <w:lvlText w:val=""/>
      <w:lvlJc w:val="left"/>
      <w:pPr>
        <w:ind w:left="720" w:hanging="360"/>
      </w:pPr>
      <w:rPr>
        <w:rFonts w:ascii="Symbol" w:hAnsi="Symbol" w:hint="default"/>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172223E1"/>
    <w:multiLevelType w:val="hybridMultilevel"/>
    <w:tmpl w:val="5364B2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7" w15:restartNumberingAfterBreak="0">
    <w:nsid w:val="176F36BC"/>
    <w:multiLevelType w:val="hybridMultilevel"/>
    <w:tmpl w:val="D5EC5382"/>
    <w:lvl w:ilvl="0" w:tplc="14E88892">
      <w:start w:val="1"/>
      <w:numFmt w:val="decimal"/>
      <w:lvlText w:val="%1."/>
      <w:lvlJc w:val="left"/>
      <w:pPr>
        <w:ind w:left="400" w:hanging="360"/>
      </w:pPr>
      <w:rPr>
        <w:rFonts w:hint="default"/>
        <w:b w:val="0"/>
        <w:u w:val="none"/>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98" w15:restartNumberingAfterBreak="0">
    <w:nsid w:val="178D426C"/>
    <w:multiLevelType w:val="hybridMultilevel"/>
    <w:tmpl w:val="E250AD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17A428BF"/>
    <w:multiLevelType w:val="hybridMultilevel"/>
    <w:tmpl w:val="E7240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17AD7E65"/>
    <w:multiLevelType w:val="hybridMultilevel"/>
    <w:tmpl w:val="A66873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17EB5236"/>
    <w:multiLevelType w:val="hybridMultilevel"/>
    <w:tmpl w:val="2DF0C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18291BEA"/>
    <w:multiLevelType w:val="hybridMultilevel"/>
    <w:tmpl w:val="0E064D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18547ECE"/>
    <w:multiLevelType w:val="hybridMultilevel"/>
    <w:tmpl w:val="F67C85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18A81E22"/>
    <w:multiLevelType w:val="hybridMultilevel"/>
    <w:tmpl w:val="BE681098"/>
    <w:lvl w:ilvl="0" w:tplc="E3109AB0">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05" w15:restartNumberingAfterBreak="0">
    <w:nsid w:val="18F8230D"/>
    <w:multiLevelType w:val="hybridMultilevel"/>
    <w:tmpl w:val="ABC8B0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6" w15:restartNumberingAfterBreak="0">
    <w:nsid w:val="19E63509"/>
    <w:multiLevelType w:val="hybridMultilevel"/>
    <w:tmpl w:val="CF08DF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1A573997"/>
    <w:multiLevelType w:val="hybridMultilevel"/>
    <w:tmpl w:val="57DE51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1AAD0224"/>
    <w:multiLevelType w:val="hybridMultilevel"/>
    <w:tmpl w:val="967EF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1ACE13EE"/>
    <w:multiLevelType w:val="hybridMultilevel"/>
    <w:tmpl w:val="AEA20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1B151CE3"/>
    <w:multiLevelType w:val="hybridMultilevel"/>
    <w:tmpl w:val="EB40B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1B5B3135"/>
    <w:multiLevelType w:val="hybridMultilevel"/>
    <w:tmpl w:val="D182DE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1B9E26E5"/>
    <w:multiLevelType w:val="hybridMultilevel"/>
    <w:tmpl w:val="07F22572"/>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15:restartNumberingAfterBreak="0">
    <w:nsid w:val="1C367EEF"/>
    <w:multiLevelType w:val="hybridMultilevel"/>
    <w:tmpl w:val="DDB2B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1C4242F9"/>
    <w:multiLevelType w:val="hybridMultilevel"/>
    <w:tmpl w:val="3CB68632"/>
    <w:lvl w:ilvl="0" w:tplc="C2CCC81C">
      <w:start w:val="1"/>
      <w:numFmt w:val="decimal"/>
      <w:lvlText w:val="%1."/>
      <w:lvlJc w:val="left"/>
      <w:pPr>
        <w:ind w:left="720" w:hanging="360"/>
      </w:pPr>
      <w:rPr>
        <w:rFonts w:hint="default"/>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1DC96671"/>
    <w:multiLevelType w:val="hybridMultilevel"/>
    <w:tmpl w:val="8EA49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1DD64D9F"/>
    <w:multiLevelType w:val="hybridMultilevel"/>
    <w:tmpl w:val="B78C1ED2"/>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1DEC1C0B"/>
    <w:multiLevelType w:val="hybridMultilevel"/>
    <w:tmpl w:val="32EAAE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1DF45C7D"/>
    <w:multiLevelType w:val="hybridMultilevel"/>
    <w:tmpl w:val="D932F2D0"/>
    <w:lvl w:ilvl="0" w:tplc="E9B8EE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1E21052B"/>
    <w:multiLevelType w:val="hybridMultilevel"/>
    <w:tmpl w:val="03CCF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1E462103"/>
    <w:multiLevelType w:val="hybridMultilevel"/>
    <w:tmpl w:val="3BB4CC52"/>
    <w:lvl w:ilvl="0" w:tplc="138EA3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1E5F5273"/>
    <w:multiLevelType w:val="hybridMultilevel"/>
    <w:tmpl w:val="5FE6916E"/>
    <w:lvl w:ilvl="0" w:tplc="997814F0">
      <w:start w:val="1"/>
      <w:numFmt w:val="bullet"/>
      <w:lvlText w:val=""/>
      <w:lvlJc w:val="left"/>
      <w:pPr>
        <w:ind w:left="720" w:hanging="360"/>
      </w:pPr>
      <w:rPr>
        <w:rFonts w:ascii="Wingdings" w:hAnsi="Wingdings"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1E8A54ED"/>
    <w:multiLevelType w:val="hybridMultilevel"/>
    <w:tmpl w:val="BAD29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1EAE3377"/>
    <w:multiLevelType w:val="hybridMultilevel"/>
    <w:tmpl w:val="481837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15:restartNumberingAfterBreak="0">
    <w:nsid w:val="1EDB619E"/>
    <w:multiLevelType w:val="hybridMultilevel"/>
    <w:tmpl w:val="85769C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1F0C545C"/>
    <w:multiLevelType w:val="hybridMultilevel"/>
    <w:tmpl w:val="303237F0"/>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126" w15:restartNumberingAfterBreak="0">
    <w:nsid w:val="1F1A58B3"/>
    <w:multiLevelType w:val="hybridMultilevel"/>
    <w:tmpl w:val="4B24349A"/>
    <w:lvl w:ilvl="0" w:tplc="1660BA6C">
      <w:start w:val="3"/>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1F4F5234"/>
    <w:multiLevelType w:val="hybridMultilevel"/>
    <w:tmpl w:val="BB460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1FAB239E"/>
    <w:multiLevelType w:val="hybridMultilevel"/>
    <w:tmpl w:val="315A9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1FCF03B4"/>
    <w:multiLevelType w:val="hybridMultilevel"/>
    <w:tmpl w:val="4C82A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21DE68AB"/>
    <w:multiLevelType w:val="hybridMultilevel"/>
    <w:tmpl w:val="A15CBA8C"/>
    <w:lvl w:ilvl="0" w:tplc="04090001">
      <w:start w:val="1"/>
      <w:numFmt w:val="bullet"/>
      <w:lvlText w:val=""/>
      <w:lvlJc w:val="left"/>
      <w:pPr>
        <w:ind w:left="720" w:hanging="360"/>
      </w:pPr>
      <w:rPr>
        <w:rFonts w:ascii="Symbol" w:hAnsi="Symbol" w:hint="default"/>
      </w:rPr>
    </w:lvl>
    <w:lvl w:ilvl="1" w:tplc="20A842AC">
      <w:start w:val="1"/>
      <w:numFmt w:val="bullet"/>
      <w:lvlText w:val="o"/>
      <w:lvlJc w:val="left"/>
      <w:pPr>
        <w:ind w:left="1440" w:hanging="360"/>
      </w:pPr>
      <w:rPr>
        <w:rFonts w:ascii="Calibri" w:hAnsi="Calibri"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220014AF"/>
    <w:multiLevelType w:val="hybridMultilevel"/>
    <w:tmpl w:val="84AC2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22095F00"/>
    <w:multiLevelType w:val="hybridMultilevel"/>
    <w:tmpl w:val="BFD4BF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22763190"/>
    <w:multiLevelType w:val="hybridMultilevel"/>
    <w:tmpl w:val="B858789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4" w15:restartNumberingAfterBreak="0">
    <w:nsid w:val="22A43876"/>
    <w:multiLevelType w:val="hybridMultilevel"/>
    <w:tmpl w:val="BCAA5A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23053F01"/>
    <w:multiLevelType w:val="multilevel"/>
    <w:tmpl w:val="A2925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15:restartNumberingAfterBreak="0">
    <w:nsid w:val="233319B7"/>
    <w:multiLevelType w:val="hybridMultilevel"/>
    <w:tmpl w:val="6B1463C0"/>
    <w:lvl w:ilvl="0" w:tplc="0409000F">
      <w:start w:val="1"/>
      <w:numFmt w:val="decimal"/>
      <w:lvlText w:val="%1."/>
      <w:lvlJc w:val="left"/>
      <w:pPr>
        <w:ind w:left="753" w:hanging="360"/>
      </w:pPr>
    </w:lvl>
    <w:lvl w:ilvl="1" w:tplc="04090019" w:tentative="1">
      <w:start w:val="1"/>
      <w:numFmt w:val="lowerLetter"/>
      <w:lvlText w:val="%2."/>
      <w:lvlJc w:val="left"/>
      <w:pPr>
        <w:ind w:left="1473" w:hanging="360"/>
      </w:pPr>
    </w:lvl>
    <w:lvl w:ilvl="2" w:tplc="0409001B" w:tentative="1">
      <w:start w:val="1"/>
      <w:numFmt w:val="lowerRoman"/>
      <w:lvlText w:val="%3."/>
      <w:lvlJc w:val="right"/>
      <w:pPr>
        <w:ind w:left="2193" w:hanging="180"/>
      </w:pPr>
    </w:lvl>
    <w:lvl w:ilvl="3" w:tplc="0409000F" w:tentative="1">
      <w:start w:val="1"/>
      <w:numFmt w:val="decimal"/>
      <w:lvlText w:val="%4."/>
      <w:lvlJc w:val="left"/>
      <w:pPr>
        <w:ind w:left="2913" w:hanging="360"/>
      </w:pPr>
    </w:lvl>
    <w:lvl w:ilvl="4" w:tplc="04090019" w:tentative="1">
      <w:start w:val="1"/>
      <w:numFmt w:val="lowerLetter"/>
      <w:lvlText w:val="%5."/>
      <w:lvlJc w:val="left"/>
      <w:pPr>
        <w:ind w:left="3633" w:hanging="360"/>
      </w:pPr>
    </w:lvl>
    <w:lvl w:ilvl="5" w:tplc="0409001B" w:tentative="1">
      <w:start w:val="1"/>
      <w:numFmt w:val="lowerRoman"/>
      <w:lvlText w:val="%6."/>
      <w:lvlJc w:val="right"/>
      <w:pPr>
        <w:ind w:left="4353" w:hanging="180"/>
      </w:pPr>
    </w:lvl>
    <w:lvl w:ilvl="6" w:tplc="0409000F" w:tentative="1">
      <w:start w:val="1"/>
      <w:numFmt w:val="decimal"/>
      <w:lvlText w:val="%7."/>
      <w:lvlJc w:val="left"/>
      <w:pPr>
        <w:ind w:left="5073" w:hanging="360"/>
      </w:pPr>
    </w:lvl>
    <w:lvl w:ilvl="7" w:tplc="04090019" w:tentative="1">
      <w:start w:val="1"/>
      <w:numFmt w:val="lowerLetter"/>
      <w:lvlText w:val="%8."/>
      <w:lvlJc w:val="left"/>
      <w:pPr>
        <w:ind w:left="5793" w:hanging="360"/>
      </w:pPr>
    </w:lvl>
    <w:lvl w:ilvl="8" w:tplc="0409001B" w:tentative="1">
      <w:start w:val="1"/>
      <w:numFmt w:val="lowerRoman"/>
      <w:lvlText w:val="%9."/>
      <w:lvlJc w:val="right"/>
      <w:pPr>
        <w:ind w:left="6513" w:hanging="180"/>
      </w:pPr>
    </w:lvl>
  </w:abstractNum>
  <w:abstractNum w:abstractNumId="137" w15:restartNumberingAfterBreak="0">
    <w:nsid w:val="23CA2DBF"/>
    <w:multiLevelType w:val="hybridMultilevel"/>
    <w:tmpl w:val="EA6E336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8" w15:restartNumberingAfterBreak="0">
    <w:nsid w:val="24382CF9"/>
    <w:multiLevelType w:val="multilevel"/>
    <w:tmpl w:val="25E4E2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244E0B81"/>
    <w:multiLevelType w:val="hybridMultilevel"/>
    <w:tmpl w:val="4F805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24E6417E"/>
    <w:multiLevelType w:val="hybridMultilevel"/>
    <w:tmpl w:val="686ED8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24F45F3C"/>
    <w:multiLevelType w:val="hybridMultilevel"/>
    <w:tmpl w:val="954E6E9A"/>
    <w:lvl w:ilvl="0" w:tplc="E6945C66">
      <w:start w:val="1"/>
      <w:numFmt w:val="bullet"/>
      <w:lvlText w:val=""/>
      <w:lvlJc w:val="left"/>
      <w:pPr>
        <w:tabs>
          <w:tab w:val="num" w:pos="0"/>
        </w:tabs>
        <w:ind w:left="0" w:hanging="216"/>
      </w:pPr>
      <w:rPr>
        <w:rFonts w:ascii="Wingdings" w:hAnsi="Wingdings" w:hint="default"/>
        <w:spacing w:val="-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251963C2"/>
    <w:multiLevelType w:val="hybridMultilevel"/>
    <w:tmpl w:val="D8EEAC7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3" w15:restartNumberingAfterBreak="0">
    <w:nsid w:val="25557221"/>
    <w:multiLevelType w:val="hybridMultilevel"/>
    <w:tmpl w:val="54C43E2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4" w15:restartNumberingAfterBreak="0">
    <w:nsid w:val="25AB4319"/>
    <w:multiLevelType w:val="hybridMultilevel"/>
    <w:tmpl w:val="36B401CC"/>
    <w:lvl w:ilvl="0" w:tplc="676ACD3E">
      <w:start w:val="1"/>
      <w:numFmt w:val="decimal"/>
      <w:lvlText w:val="%1."/>
      <w:lvlJc w:val="left"/>
      <w:pPr>
        <w:ind w:left="720" w:hanging="360"/>
      </w:pPr>
      <w:rPr>
        <w:rFonts w:hint="default"/>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25FE37D5"/>
    <w:multiLevelType w:val="hybridMultilevel"/>
    <w:tmpl w:val="9836B6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264A2DB3"/>
    <w:multiLevelType w:val="hybridMultilevel"/>
    <w:tmpl w:val="C95E9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26E4266A"/>
    <w:multiLevelType w:val="hybridMultilevel"/>
    <w:tmpl w:val="CC9AB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277F60F1"/>
    <w:multiLevelType w:val="hybridMultilevel"/>
    <w:tmpl w:val="3C8C1A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27813A67"/>
    <w:multiLevelType w:val="hybridMultilevel"/>
    <w:tmpl w:val="817E536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0" w15:restartNumberingAfterBreak="0">
    <w:nsid w:val="279402CE"/>
    <w:multiLevelType w:val="hybridMultilevel"/>
    <w:tmpl w:val="A11403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27F23749"/>
    <w:multiLevelType w:val="hybridMultilevel"/>
    <w:tmpl w:val="65445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27FF18FD"/>
    <w:multiLevelType w:val="hybridMultilevel"/>
    <w:tmpl w:val="6C9E60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28087158"/>
    <w:multiLevelType w:val="hybridMultilevel"/>
    <w:tmpl w:val="08FAD1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283E0CF2"/>
    <w:multiLevelType w:val="hybridMultilevel"/>
    <w:tmpl w:val="805A5B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287D71E7"/>
    <w:multiLevelType w:val="hybridMultilevel"/>
    <w:tmpl w:val="6C2A1D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289C204F"/>
    <w:multiLevelType w:val="hybridMultilevel"/>
    <w:tmpl w:val="9CE239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28BB580D"/>
    <w:multiLevelType w:val="hybridMultilevel"/>
    <w:tmpl w:val="C9B0EB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28DD5D13"/>
    <w:multiLevelType w:val="hybridMultilevel"/>
    <w:tmpl w:val="88827D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296954A6"/>
    <w:multiLevelType w:val="hybridMultilevel"/>
    <w:tmpl w:val="CCF44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29D453FA"/>
    <w:multiLevelType w:val="hybridMultilevel"/>
    <w:tmpl w:val="BCEC39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2A193122"/>
    <w:multiLevelType w:val="hybridMultilevel"/>
    <w:tmpl w:val="5436F1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2A1B1626"/>
    <w:multiLevelType w:val="hybridMultilevel"/>
    <w:tmpl w:val="A6AA4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2AA543CF"/>
    <w:multiLevelType w:val="hybridMultilevel"/>
    <w:tmpl w:val="333E49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2B261106"/>
    <w:multiLevelType w:val="hybridMultilevel"/>
    <w:tmpl w:val="8F88D2F4"/>
    <w:lvl w:ilvl="0" w:tplc="0409000F">
      <w:start w:val="1"/>
      <w:numFmt w:val="decimal"/>
      <w:lvlText w:val="%1."/>
      <w:lvlJc w:val="left"/>
      <w:pPr>
        <w:ind w:left="630" w:hanging="360"/>
      </w:pPr>
      <w:rPr>
        <w:rFonts w:cs="Times New Roman"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5" w15:restartNumberingAfterBreak="0">
    <w:nsid w:val="2B3E225C"/>
    <w:multiLevelType w:val="hybridMultilevel"/>
    <w:tmpl w:val="36DCF074"/>
    <w:lvl w:ilvl="0" w:tplc="51768C6E">
      <w:start w:val="1"/>
      <w:numFmt w:val="bullet"/>
      <w:lvlText w:val="∙"/>
      <w:lvlJc w:val="left"/>
      <w:pPr>
        <w:ind w:left="720" w:hanging="360"/>
      </w:pPr>
      <w:rPr>
        <w:rFonts w:ascii="Courier New" w:hAnsi="Courier New" w:hint="default"/>
      </w:rPr>
    </w:lvl>
    <w:lvl w:ilvl="1" w:tplc="51768C6E">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2C295879"/>
    <w:multiLevelType w:val="hybridMultilevel"/>
    <w:tmpl w:val="1B4461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2C3A65AC"/>
    <w:multiLevelType w:val="hybridMultilevel"/>
    <w:tmpl w:val="771A8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2C3D6460"/>
    <w:multiLevelType w:val="hybridMultilevel"/>
    <w:tmpl w:val="03925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2C3F3857"/>
    <w:multiLevelType w:val="hybridMultilevel"/>
    <w:tmpl w:val="1D8039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2CA02B00"/>
    <w:multiLevelType w:val="hybridMultilevel"/>
    <w:tmpl w:val="C7A0E8D6"/>
    <w:lvl w:ilvl="0" w:tplc="F5B60072">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1" w15:restartNumberingAfterBreak="0">
    <w:nsid w:val="2CFB6406"/>
    <w:multiLevelType w:val="hybridMultilevel"/>
    <w:tmpl w:val="D8EEA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2D3E62B2"/>
    <w:multiLevelType w:val="hybridMultilevel"/>
    <w:tmpl w:val="2CC62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2D70533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4" w15:restartNumberingAfterBreak="0">
    <w:nsid w:val="2D9607E8"/>
    <w:multiLevelType w:val="hybridMultilevel"/>
    <w:tmpl w:val="1788F9DE"/>
    <w:lvl w:ilvl="0" w:tplc="0409000F">
      <w:start w:val="1"/>
      <w:numFmt w:val="decimal"/>
      <w:lvlText w:val="%1."/>
      <w:lvlJc w:val="left"/>
      <w:pPr>
        <w:ind w:left="270" w:hanging="360"/>
      </w:p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75" w15:restartNumberingAfterBreak="0">
    <w:nsid w:val="2E7F089A"/>
    <w:multiLevelType w:val="hybridMultilevel"/>
    <w:tmpl w:val="064026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2EAF1C6D"/>
    <w:multiLevelType w:val="hybridMultilevel"/>
    <w:tmpl w:val="533A41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2EBF20ED"/>
    <w:multiLevelType w:val="hybridMultilevel"/>
    <w:tmpl w:val="DA5A3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2EF23EC3"/>
    <w:multiLevelType w:val="hybridMultilevel"/>
    <w:tmpl w:val="759ECF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2F46540A"/>
    <w:multiLevelType w:val="hybridMultilevel"/>
    <w:tmpl w:val="86D89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2F6C0AD0"/>
    <w:multiLevelType w:val="hybridMultilevel"/>
    <w:tmpl w:val="1B18E8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2FAA473D"/>
    <w:multiLevelType w:val="hybridMultilevel"/>
    <w:tmpl w:val="BCC0C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2FFE70F6"/>
    <w:multiLevelType w:val="hybridMultilevel"/>
    <w:tmpl w:val="9774D2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30252E7F"/>
    <w:multiLevelType w:val="hybridMultilevel"/>
    <w:tmpl w:val="777E91B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4" w15:restartNumberingAfterBreak="0">
    <w:nsid w:val="30601E66"/>
    <w:multiLevelType w:val="hybridMultilevel"/>
    <w:tmpl w:val="DD409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308769AC"/>
    <w:multiLevelType w:val="hybridMultilevel"/>
    <w:tmpl w:val="F642C7E2"/>
    <w:lvl w:ilvl="0" w:tplc="E6F8628E">
      <w:start w:val="1"/>
      <w:numFmt w:val="decimal"/>
      <w:lvlText w:val="%1."/>
      <w:lvlJc w:val="left"/>
      <w:pPr>
        <w:ind w:left="720" w:hanging="360"/>
      </w:pPr>
      <w:rPr>
        <w:rFonts w:ascii="Times New Roman" w:hAnsi="Times New Roman" w:cs="Times New Roman" w:hint="default"/>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30A151B9"/>
    <w:multiLevelType w:val="hybridMultilevel"/>
    <w:tmpl w:val="CDC469A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7" w15:restartNumberingAfterBreak="0">
    <w:nsid w:val="31095C77"/>
    <w:multiLevelType w:val="hybridMultilevel"/>
    <w:tmpl w:val="DD2ED40C"/>
    <w:lvl w:ilvl="0" w:tplc="0409000F">
      <w:start w:val="1"/>
      <w:numFmt w:val="decimal"/>
      <w:lvlText w:val="%1."/>
      <w:lvlJc w:val="left"/>
      <w:pPr>
        <w:ind w:left="1160" w:hanging="360"/>
      </w:pPr>
      <w:rPr>
        <w:rFonts w:hint="default"/>
      </w:rPr>
    </w:lvl>
    <w:lvl w:ilvl="1" w:tplc="04090019">
      <w:start w:val="1"/>
      <w:numFmt w:val="lowerLetter"/>
      <w:lvlText w:val="%2."/>
      <w:lvlJc w:val="left"/>
      <w:pPr>
        <w:ind w:left="1880" w:hanging="360"/>
      </w:pPr>
    </w:lvl>
    <w:lvl w:ilvl="2" w:tplc="0409001B" w:tentative="1">
      <w:start w:val="1"/>
      <w:numFmt w:val="lowerRoman"/>
      <w:lvlText w:val="%3."/>
      <w:lvlJc w:val="right"/>
      <w:pPr>
        <w:ind w:left="2600" w:hanging="180"/>
      </w:pPr>
    </w:lvl>
    <w:lvl w:ilvl="3" w:tplc="0409000F" w:tentative="1">
      <w:start w:val="1"/>
      <w:numFmt w:val="decimal"/>
      <w:lvlText w:val="%4."/>
      <w:lvlJc w:val="left"/>
      <w:pPr>
        <w:ind w:left="3320" w:hanging="360"/>
      </w:pPr>
    </w:lvl>
    <w:lvl w:ilvl="4" w:tplc="04090019" w:tentative="1">
      <w:start w:val="1"/>
      <w:numFmt w:val="lowerLetter"/>
      <w:lvlText w:val="%5."/>
      <w:lvlJc w:val="left"/>
      <w:pPr>
        <w:ind w:left="4040" w:hanging="360"/>
      </w:pPr>
    </w:lvl>
    <w:lvl w:ilvl="5" w:tplc="0409001B" w:tentative="1">
      <w:start w:val="1"/>
      <w:numFmt w:val="lowerRoman"/>
      <w:lvlText w:val="%6."/>
      <w:lvlJc w:val="right"/>
      <w:pPr>
        <w:ind w:left="4760" w:hanging="180"/>
      </w:pPr>
    </w:lvl>
    <w:lvl w:ilvl="6" w:tplc="0409000F" w:tentative="1">
      <w:start w:val="1"/>
      <w:numFmt w:val="decimal"/>
      <w:lvlText w:val="%7."/>
      <w:lvlJc w:val="left"/>
      <w:pPr>
        <w:ind w:left="5480" w:hanging="360"/>
      </w:pPr>
    </w:lvl>
    <w:lvl w:ilvl="7" w:tplc="04090019" w:tentative="1">
      <w:start w:val="1"/>
      <w:numFmt w:val="lowerLetter"/>
      <w:lvlText w:val="%8."/>
      <w:lvlJc w:val="left"/>
      <w:pPr>
        <w:ind w:left="6200" w:hanging="360"/>
      </w:pPr>
    </w:lvl>
    <w:lvl w:ilvl="8" w:tplc="0409001B" w:tentative="1">
      <w:start w:val="1"/>
      <w:numFmt w:val="lowerRoman"/>
      <w:lvlText w:val="%9."/>
      <w:lvlJc w:val="right"/>
      <w:pPr>
        <w:ind w:left="6920" w:hanging="180"/>
      </w:pPr>
    </w:lvl>
  </w:abstractNum>
  <w:abstractNum w:abstractNumId="188" w15:restartNumberingAfterBreak="0">
    <w:nsid w:val="31542EAB"/>
    <w:multiLevelType w:val="hybridMultilevel"/>
    <w:tmpl w:val="AD5AD88C"/>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9" w15:restartNumberingAfterBreak="0">
    <w:nsid w:val="315A0781"/>
    <w:multiLevelType w:val="hybridMultilevel"/>
    <w:tmpl w:val="0AB400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316C34CD"/>
    <w:multiLevelType w:val="hybridMultilevel"/>
    <w:tmpl w:val="C082DD36"/>
    <w:lvl w:ilvl="0" w:tplc="0409000F">
      <w:start w:val="1"/>
      <w:numFmt w:val="decimal"/>
      <w:lvlText w:val="%1."/>
      <w:lvlJc w:val="left"/>
      <w:pPr>
        <w:ind w:left="720" w:hanging="360"/>
      </w:pPr>
    </w:lvl>
    <w:lvl w:ilvl="1" w:tplc="21705004">
      <w:numFmt w:val="bullet"/>
      <w:lvlText w:val="•"/>
      <w:lvlJc w:val="left"/>
      <w:pPr>
        <w:ind w:left="1440" w:hanging="360"/>
      </w:pPr>
      <w:rPr>
        <w:rFonts w:ascii="SymbolMT" w:eastAsiaTheme="minorHAnsi" w:hAnsi="SymbolMT" w:cs="SymbolMT"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31C756AC"/>
    <w:multiLevelType w:val="hybridMultilevel"/>
    <w:tmpl w:val="A002F0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31F369F7"/>
    <w:multiLevelType w:val="hybridMultilevel"/>
    <w:tmpl w:val="CDAE2F4C"/>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193" w15:restartNumberingAfterBreak="0">
    <w:nsid w:val="32146DEF"/>
    <w:multiLevelType w:val="hybridMultilevel"/>
    <w:tmpl w:val="4CE42F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321476C7"/>
    <w:multiLevelType w:val="hybridMultilevel"/>
    <w:tmpl w:val="1362FEDC"/>
    <w:lvl w:ilvl="0" w:tplc="61A8D0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32726EE0"/>
    <w:multiLevelType w:val="hybridMultilevel"/>
    <w:tmpl w:val="B60EDAD6"/>
    <w:lvl w:ilvl="0" w:tplc="51768C6E">
      <w:start w:val="1"/>
      <w:numFmt w:val="bullet"/>
      <w:lvlText w:val="∙"/>
      <w:lvlJc w:val="left"/>
      <w:pPr>
        <w:ind w:left="1170" w:hanging="360"/>
      </w:pPr>
      <w:rPr>
        <w:rFonts w:ascii="Courier New" w:hAnsi="Courier New" w:hint="default"/>
      </w:rPr>
    </w:lvl>
    <w:lvl w:ilvl="1" w:tplc="51768C6E">
      <w:start w:val="1"/>
      <w:numFmt w:val="bullet"/>
      <w:lvlText w:val="∙"/>
      <w:lvlJc w:val="left"/>
      <w:pPr>
        <w:ind w:left="2160" w:hanging="360"/>
      </w:pPr>
      <w:rPr>
        <w:rFonts w:ascii="Courier New" w:hAnsi="Courier New" w:hint="default"/>
      </w:rPr>
    </w:lvl>
    <w:lvl w:ilvl="2" w:tplc="51768C6E">
      <w:start w:val="1"/>
      <w:numFmt w:val="bullet"/>
      <w:lvlText w:val="∙"/>
      <w:lvlJc w:val="left"/>
      <w:pPr>
        <w:ind w:left="2880" w:hanging="360"/>
      </w:pPr>
      <w:rPr>
        <w:rFonts w:ascii="Courier New" w:hAnsi="Courier New"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6" w15:restartNumberingAfterBreak="0">
    <w:nsid w:val="328C5C63"/>
    <w:multiLevelType w:val="hybridMultilevel"/>
    <w:tmpl w:val="1FA67B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32D129DA"/>
    <w:multiLevelType w:val="hybridMultilevel"/>
    <w:tmpl w:val="BC2442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32F361C3"/>
    <w:multiLevelType w:val="hybridMultilevel"/>
    <w:tmpl w:val="915AB8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334805D4"/>
    <w:multiLevelType w:val="hybridMultilevel"/>
    <w:tmpl w:val="62E8B8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334924C2"/>
    <w:multiLevelType w:val="hybridMultilevel"/>
    <w:tmpl w:val="B9A0C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33627BC7"/>
    <w:multiLevelType w:val="hybridMultilevel"/>
    <w:tmpl w:val="4FE68E6A"/>
    <w:lvl w:ilvl="0" w:tplc="0BDEAC58">
      <w:start w:val="1"/>
      <w:numFmt w:val="decimal"/>
      <w:lvlText w:val="%1."/>
      <w:lvlJc w:val="left"/>
      <w:pPr>
        <w:ind w:left="360" w:hanging="360"/>
      </w:pPr>
      <w:rPr>
        <w:rFonts w:ascii="Calibri" w:hAnsi="Calibri"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2" w15:restartNumberingAfterBreak="0">
    <w:nsid w:val="33810BCB"/>
    <w:multiLevelType w:val="hybridMultilevel"/>
    <w:tmpl w:val="1CECE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341E2589"/>
    <w:multiLevelType w:val="hybridMultilevel"/>
    <w:tmpl w:val="774E6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34665913"/>
    <w:multiLevelType w:val="hybridMultilevel"/>
    <w:tmpl w:val="04F205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34770A47"/>
    <w:multiLevelType w:val="hybridMultilevel"/>
    <w:tmpl w:val="22B495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34985C04"/>
    <w:multiLevelType w:val="hybridMultilevel"/>
    <w:tmpl w:val="09BE04EA"/>
    <w:lvl w:ilvl="0" w:tplc="0409000F">
      <w:start w:val="1"/>
      <w:numFmt w:val="decimal"/>
      <w:lvlText w:val="%1."/>
      <w:lvlJc w:val="left"/>
      <w:pPr>
        <w:ind w:left="360" w:hanging="360"/>
      </w:pPr>
      <w:rPr>
        <w:rFonts w:hint="default"/>
      </w:rPr>
    </w:lvl>
    <w:lvl w:ilvl="1" w:tplc="B3F66D1A">
      <w:start w:val="1"/>
      <w:numFmt w:val="bullet"/>
      <w:lvlText w:val="□"/>
      <w:lvlJc w:val="left"/>
      <w:pPr>
        <w:ind w:left="1080" w:hanging="360"/>
      </w:pPr>
      <w:rPr>
        <w:rFonts w:ascii="Courier New" w:hAnsi="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7" w15:restartNumberingAfterBreak="0">
    <w:nsid w:val="34A32217"/>
    <w:multiLevelType w:val="hybridMultilevel"/>
    <w:tmpl w:val="AD5AD88C"/>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8" w15:restartNumberingAfterBreak="0">
    <w:nsid w:val="35C0330E"/>
    <w:multiLevelType w:val="hybridMultilevel"/>
    <w:tmpl w:val="3E92E5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36121D3A"/>
    <w:multiLevelType w:val="hybridMultilevel"/>
    <w:tmpl w:val="11309DE4"/>
    <w:lvl w:ilvl="0" w:tplc="DCFC686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36563CAE"/>
    <w:multiLevelType w:val="hybridMultilevel"/>
    <w:tmpl w:val="394435D4"/>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211" w15:restartNumberingAfterBreak="0">
    <w:nsid w:val="36A10AF0"/>
    <w:multiLevelType w:val="hybridMultilevel"/>
    <w:tmpl w:val="F578A0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36B63129"/>
    <w:multiLevelType w:val="hybridMultilevel"/>
    <w:tmpl w:val="53847D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36EF390A"/>
    <w:multiLevelType w:val="hybridMultilevel"/>
    <w:tmpl w:val="FB1294D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4" w15:restartNumberingAfterBreak="0">
    <w:nsid w:val="3721349B"/>
    <w:multiLevelType w:val="hybridMultilevel"/>
    <w:tmpl w:val="C8667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3861169A"/>
    <w:multiLevelType w:val="hybridMultilevel"/>
    <w:tmpl w:val="6E4E0A94"/>
    <w:lvl w:ilvl="0" w:tplc="0AAE2338">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388C7F7B"/>
    <w:multiLevelType w:val="hybridMultilevel"/>
    <w:tmpl w:val="29C0F9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3894577E"/>
    <w:multiLevelType w:val="hybridMultilevel"/>
    <w:tmpl w:val="87149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394F58F3"/>
    <w:multiLevelType w:val="hybridMultilevel"/>
    <w:tmpl w:val="03EA7458"/>
    <w:lvl w:ilvl="0" w:tplc="8CD2EC9E">
      <w:start w:val="1"/>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39A22BDC"/>
    <w:multiLevelType w:val="hybridMultilevel"/>
    <w:tmpl w:val="AD2AB0BA"/>
    <w:lvl w:ilvl="0" w:tplc="04090001">
      <w:start w:val="1"/>
      <w:numFmt w:val="bullet"/>
      <w:lvlText w:val=""/>
      <w:lvlJc w:val="left"/>
      <w:pPr>
        <w:ind w:left="1510" w:hanging="360"/>
      </w:pPr>
      <w:rPr>
        <w:rFonts w:ascii="Symbol" w:hAnsi="Symbol" w:hint="default"/>
      </w:rPr>
    </w:lvl>
    <w:lvl w:ilvl="1" w:tplc="04090003" w:tentative="1">
      <w:start w:val="1"/>
      <w:numFmt w:val="bullet"/>
      <w:lvlText w:val="o"/>
      <w:lvlJc w:val="left"/>
      <w:pPr>
        <w:ind w:left="2230" w:hanging="360"/>
      </w:pPr>
      <w:rPr>
        <w:rFonts w:ascii="Courier New" w:hAnsi="Courier New" w:cs="Courier New" w:hint="default"/>
      </w:rPr>
    </w:lvl>
    <w:lvl w:ilvl="2" w:tplc="04090005" w:tentative="1">
      <w:start w:val="1"/>
      <w:numFmt w:val="bullet"/>
      <w:lvlText w:val=""/>
      <w:lvlJc w:val="left"/>
      <w:pPr>
        <w:ind w:left="2950" w:hanging="360"/>
      </w:pPr>
      <w:rPr>
        <w:rFonts w:ascii="Wingdings" w:hAnsi="Wingdings" w:hint="default"/>
      </w:rPr>
    </w:lvl>
    <w:lvl w:ilvl="3" w:tplc="04090001" w:tentative="1">
      <w:start w:val="1"/>
      <w:numFmt w:val="bullet"/>
      <w:lvlText w:val=""/>
      <w:lvlJc w:val="left"/>
      <w:pPr>
        <w:ind w:left="3670" w:hanging="360"/>
      </w:pPr>
      <w:rPr>
        <w:rFonts w:ascii="Symbol" w:hAnsi="Symbol" w:hint="default"/>
      </w:rPr>
    </w:lvl>
    <w:lvl w:ilvl="4" w:tplc="04090003" w:tentative="1">
      <w:start w:val="1"/>
      <w:numFmt w:val="bullet"/>
      <w:lvlText w:val="o"/>
      <w:lvlJc w:val="left"/>
      <w:pPr>
        <w:ind w:left="4390" w:hanging="360"/>
      </w:pPr>
      <w:rPr>
        <w:rFonts w:ascii="Courier New" w:hAnsi="Courier New" w:cs="Courier New" w:hint="default"/>
      </w:rPr>
    </w:lvl>
    <w:lvl w:ilvl="5" w:tplc="04090005" w:tentative="1">
      <w:start w:val="1"/>
      <w:numFmt w:val="bullet"/>
      <w:lvlText w:val=""/>
      <w:lvlJc w:val="left"/>
      <w:pPr>
        <w:ind w:left="5110" w:hanging="360"/>
      </w:pPr>
      <w:rPr>
        <w:rFonts w:ascii="Wingdings" w:hAnsi="Wingdings" w:hint="default"/>
      </w:rPr>
    </w:lvl>
    <w:lvl w:ilvl="6" w:tplc="04090001" w:tentative="1">
      <w:start w:val="1"/>
      <w:numFmt w:val="bullet"/>
      <w:lvlText w:val=""/>
      <w:lvlJc w:val="left"/>
      <w:pPr>
        <w:ind w:left="5830" w:hanging="360"/>
      </w:pPr>
      <w:rPr>
        <w:rFonts w:ascii="Symbol" w:hAnsi="Symbol" w:hint="default"/>
      </w:rPr>
    </w:lvl>
    <w:lvl w:ilvl="7" w:tplc="04090003" w:tentative="1">
      <w:start w:val="1"/>
      <w:numFmt w:val="bullet"/>
      <w:lvlText w:val="o"/>
      <w:lvlJc w:val="left"/>
      <w:pPr>
        <w:ind w:left="6550" w:hanging="360"/>
      </w:pPr>
      <w:rPr>
        <w:rFonts w:ascii="Courier New" w:hAnsi="Courier New" w:cs="Courier New" w:hint="default"/>
      </w:rPr>
    </w:lvl>
    <w:lvl w:ilvl="8" w:tplc="04090005" w:tentative="1">
      <w:start w:val="1"/>
      <w:numFmt w:val="bullet"/>
      <w:lvlText w:val=""/>
      <w:lvlJc w:val="left"/>
      <w:pPr>
        <w:ind w:left="7270" w:hanging="360"/>
      </w:pPr>
      <w:rPr>
        <w:rFonts w:ascii="Wingdings" w:hAnsi="Wingdings" w:hint="default"/>
      </w:rPr>
    </w:lvl>
  </w:abstractNum>
  <w:abstractNum w:abstractNumId="220" w15:restartNumberingAfterBreak="0">
    <w:nsid w:val="39A52566"/>
    <w:multiLevelType w:val="hybridMultilevel"/>
    <w:tmpl w:val="46A4501E"/>
    <w:lvl w:ilvl="0" w:tplc="1BB2EB3C">
      <w:start w:val="1"/>
      <w:numFmt w:val="decimal"/>
      <w:lvlText w:val="%1."/>
      <w:lvlJc w:val="left"/>
      <w:pPr>
        <w:ind w:left="360" w:hanging="360"/>
      </w:pPr>
      <w:rPr>
        <w:rFonts w:hint="default"/>
        <w:sz w:val="16"/>
        <w:szCs w:val="1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1" w15:restartNumberingAfterBreak="0">
    <w:nsid w:val="39B33626"/>
    <w:multiLevelType w:val="hybridMultilevel"/>
    <w:tmpl w:val="88F82540"/>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2" w15:restartNumberingAfterBreak="0">
    <w:nsid w:val="39C31E2B"/>
    <w:multiLevelType w:val="multilevel"/>
    <w:tmpl w:val="0FD237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39C61979"/>
    <w:multiLevelType w:val="hybridMultilevel"/>
    <w:tmpl w:val="F33CE6C0"/>
    <w:lvl w:ilvl="0" w:tplc="A1BE801E">
      <w:start w:val="1"/>
      <w:numFmt w:val="bullet"/>
      <w:lvlText w:val=""/>
      <w:lvlJc w:val="left"/>
      <w:pPr>
        <w:ind w:left="360" w:hanging="360"/>
      </w:pPr>
      <w:rPr>
        <w:rFonts w:ascii="Symbol" w:hAnsi="Symbol" w:hint="default"/>
      </w:rPr>
    </w:lvl>
    <w:lvl w:ilvl="1" w:tplc="04090003" w:tentative="1">
      <w:start w:val="1"/>
      <w:numFmt w:val="bullet"/>
      <w:lvlText w:val="o"/>
      <w:lvlJc w:val="left"/>
      <w:pPr>
        <w:ind w:left="-1360" w:hanging="360"/>
      </w:pPr>
      <w:rPr>
        <w:rFonts w:ascii="Courier New" w:hAnsi="Courier New" w:hint="default"/>
      </w:rPr>
    </w:lvl>
    <w:lvl w:ilvl="2" w:tplc="04090005" w:tentative="1">
      <w:start w:val="1"/>
      <w:numFmt w:val="bullet"/>
      <w:lvlText w:val=""/>
      <w:lvlJc w:val="left"/>
      <w:pPr>
        <w:ind w:left="-640" w:hanging="360"/>
      </w:pPr>
      <w:rPr>
        <w:rFonts w:ascii="Wingdings" w:hAnsi="Wingdings" w:hint="default"/>
      </w:rPr>
    </w:lvl>
    <w:lvl w:ilvl="3" w:tplc="04090001" w:tentative="1">
      <w:start w:val="1"/>
      <w:numFmt w:val="bullet"/>
      <w:lvlText w:val=""/>
      <w:lvlJc w:val="left"/>
      <w:pPr>
        <w:ind w:left="80" w:hanging="360"/>
      </w:pPr>
      <w:rPr>
        <w:rFonts w:ascii="Symbol" w:hAnsi="Symbol" w:hint="default"/>
      </w:rPr>
    </w:lvl>
    <w:lvl w:ilvl="4" w:tplc="04090003" w:tentative="1">
      <w:start w:val="1"/>
      <w:numFmt w:val="bullet"/>
      <w:lvlText w:val="o"/>
      <w:lvlJc w:val="left"/>
      <w:pPr>
        <w:ind w:left="800" w:hanging="360"/>
      </w:pPr>
      <w:rPr>
        <w:rFonts w:ascii="Courier New" w:hAnsi="Courier New" w:hint="default"/>
      </w:rPr>
    </w:lvl>
    <w:lvl w:ilvl="5" w:tplc="04090005" w:tentative="1">
      <w:start w:val="1"/>
      <w:numFmt w:val="bullet"/>
      <w:lvlText w:val=""/>
      <w:lvlJc w:val="left"/>
      <w:pPr>
        <w:ind w:left="1520" w:hanging="360"/>
      </w:pPr>
      <w:rPr>
        <w:rFonts w:ascii="Wingdings" w:hAnsi="Wingdings" w:hint="default"/>
      </w:rPr>
    </w:lvl>
    <w:lvl w:ilvl="6" w:tplc="04090001" w:tentative="1">
      <w:start w:val="1"/>
      <w:numFmt w:val="bullet"/>
      <w:lvlText w:val=""/>
      <w:lvlJc w:val="left"/>
      <w:pPr>
        <w:ind w:left="2240" w:hanging="360"/>
      </w:pPr>
      <w:rPr>
        <w:rFonts w:ascii="Symbol" w:hAnsi="Symbol" w:hint="default"/>
      </w:rPr>
    </w:lvl>
    <w:lvl w:ilvl="7" w:tplc="04090003" w:tentative="1">
      <w:start w:val="1"/>
      <w:numFmt w:val="bullet"/>
      <w:lvlText w:val="o"/>
      <w:lvlJc w:val="left"/>
      <w:pPr>
        <w:ind w:left="2960" w:hanging="360"/>
      </w:pPr>
      <w:rPr>
        <w:rFonts w:ascii="Courier New" w:hAnsi="Courier New" w:hint="default"/>
      </w:rPr>
    </w:lvl>
    <w:lvl w:ilvl="8" w:tplc="04090005" w:tentative="1">
      <w:start w:val="1"/>
      <w:numFmt w:val="bullet"/>
      <w:lvlText w:val=""/>
      <w:lvlJc w:val="left"/>
      <w:pPr>
        <w:ind w:left="3680" w:hanging="360"/>
      </w:pPr>
      <w:rPr>
        <w:rFonts w:ascii="Wingdings" w:hAnsi="Wingdings" w:hint="default"/>
      </w:rPr>
    </w:lvl>
  </w:abstractNum>
  <w:abstractNum w:abstractNumId="224" w15:restartNumberingAfterBreak="0">
    <w:nsid w:val="3A784F23"/>
    <w:multiLevelType w:val="hybridMultilevel"/>
    <w:tmpl w:val="7F403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3A7F6797"/>
    <w:multiLevelType w:val="hybridMultilevel"/>
    <w:tmpl w:val="3254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3AAA55D1"/>
    <w:multiLevelType w:val="hybridMultilevel"/>
    <w:tmpl w:val="FA10CD46"/>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7" w15:restartNumberingAfterBreak="0">
    <w:nsid w:val="3AD2566E"/>
    <w:multiLevelType w:val="hybridMultilevel"/>
    <w:tmpl w:val="350A31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3AD70E8C"/>
    <w:multiLevelType w:val="hybridMultilevel"/>
    <w:tmpl w:val="6F265FBA"/>
    <w:lvl w:ilvl="0" w:tplc="75F82CA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29" w15:restartNumberingAfterBreak="0">
    <w:nsid w:val="3B2665C7"/>
    <w:multiLevelType w:val="hybridMultilevel"/>
    <w:tmpl w:val="98EE4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3B5E4356"/>
    <w:multiLevelType w:val="hybridMultilevel"/>
    <w:tmpl w:val="51C090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3B822AB5"/>
    <w:multiLevelType w:val="hybridMultilevel"/>
    <w:tmpl w:val="2D92B9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3B876C4D"/>
    <w:multiLevelType w:val="hybridMultilevel"/>
    <w:tmpl w:val="1B4461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15:restartNumberingAfterBreak="0">
    <w:nsid w:val="3BBC6017"/>
    <w:multiLevelType w:val="hybridMultilevel"/>
    <w:tmpl w:val="1CBEFB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15:restartNumberingAfterBreak="0">
    <w:nsid w:val="3BFD2A8B"/>
    <w:multiLevelType w:val="hybridMultilevel"/>
    <w:tmpl w:val="CCF44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3C27664B"/>
    <w:multiLevelType w:val="hybridMultilevel"/>
    <w:tmpl w:val="CBEEFA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3C59620C"/>
    <w:multiLevelType w:val="hybridMultilevel"/>
    <w:tmpl w:val="6B4EE798"/>
    <w:lvl w:ilvl="0" w:tplc="51768C6E">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3C5A04B0"/>
    <w:multiLevelType w:val="hybridMultilevel"/>
    <w:tmpl w:val="A2682102"/>
    <w:lvl w:ilvl="0" w:tplc="6AFE1C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8" w15:restartNumberingAfterBreak="0">
    <w:nsid w:val="3C693AFD"/>
    <w:multiLevelType w:val="hybridMultilevel"/>
    <w:tmpl w:val="33AA914A"/>
    <w:lvl w:ilvl="0" w:tplc="3514A748">
      <w:start w:val="1"/>
      <w:numFmt w:val="decimal"/>
      <w:lvlText w:val="%1."/>
      <w:lvlJc w:val="left"/>
      <w:pPr>
        <w:ind w:left="720" w:hanging="360"/>
      </w:pPr>
      <w:rPr>
        <w:rFonts w:ascii="Calibri" w:hAnsi="Calibri" w:cs="Calibri" w:hint="default"/>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15:restartNumberingAfterBreak="0">
    <w:nsid w:val="3C6F3809"/>
    <w:multiLevelType w:val="hybridMultilevel"/>
    <w:tmpl w:val="70ACDC68"/>
    <w:lvl w:ilvl="0" w:tplc="36C8F82A">
      <w:start w:val="1"/>
      <w:numFmt w:val="decimal"/>
      <w:lvlText w:val="%1."/>
      <w:lvlJc w:val="left"/>
      <w:pPr>
        <w:ind w:left="720" w:hanging="360"/>
      </w:pPr>
      <w:rPr>
        <w:rFonts w:hint="default"/>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3C750613"/>
    <w:multiLevelType w:val="hybridMultilevel"/>
    <w:tmpl w:val="80303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3CEF51B5"/>
    <w:multiLevelType w:val="hybridMultilevel"/>
    <w:tmpl w:val="F1BE8F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15:restartNumberingAfterBreak="0">
    <w:nsid w:val="3D1A47A8"/>
    <w:multiLevelType w:val="hybridMultilevel"/>
    <w:tmpl w:val="922E9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3D790B0E"/>
    <w:multiLevelType w:val="hybridMultilevel"/>
    <w:tmpl w:val="A1863514"/>
    <w:lvl w:ilvl="0" w:tplc="C92C4BF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15:restartNumberingAfterBreak="0">
    <w:nsid w:val="3D885449"/>
    <w:multiLevelType w:val="hybridMultilevel"/>
    <w:tmpl w:val="4C82A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15:restartNumberingAfterBreak="0">
    <w:nsid w:val="3DAA60E4"/>
    <w:multiLevelType w:val="hybridMultilevel"/>
    <w:tmpl w:val="D4DCAE5E"/>
    <w:lvl w:ilvl="0" w:tplc="FD90103A">
      <w:start w:val="1"/>
      <w:numFmt w:val="decimal"/>
      <w:lvlText w:val="%1."/>
      <w:lvlJc w:val="left"/>
      <w:pPr>
        <w:ind w:left="430" w:hanging="360"/>
      </w:pPr>
      <w:rPr>
        <w:rFonts w:hint="default"/>
      </w:r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246" w15:restartNumberingAfterBreak="0">
    <w:nsid w:val="3E0038F7"/>
    <w:multiLevelType w:val="hybridMultilevel"/>
    <w:tmpl w:val="21541DF6"/>
    <w:lvl w:ilvl="0" w:tplc="9708AF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15:restartNumberingAfterBreak="0">
    <w:nsid w:val="3E0E6D0B"/>
    <w:multiLevelType w:val="hybridMultilevel"/>
    <w:tmpl w:val="7C6CA406"/>
    <w:lvl w:ilvl="0" w:tplc="1000458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3E557113"/>
    <w:multiLevelType w:val="hybridMultilevel"/>
    <w:tmpl w:val="AB4E43BE"/>
    <w:lvl w:ilvl="0" w:tplc="929CFEAE">
      <w:start w:val="1"/>
      <w:numFmt w:val="decimal"/>
      <w:lvlText w:val="%1."/>
      <w:lvlJc w:val="left"/>
      <w:pPr>
        <w:ind w:left="720" w:hanging="360"/>
      </w:pPr>
      <w:rPr>
        <w:rFonts w:ascii="Times New Roman" w:hAnsi="Times New Roman"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15:restartNumberingAfterBreak="0">
    <w:nsid w:val="3E5923D7"/>
    <w:multiLevelType w:val="hybridMultilevel"/>
    <w:tmpl w:val="154A13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3E853D84"/>
    <w:multiLevelType w:val="hybridMultilevel"/>
    <w:tmpl w:val="B5C28C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3E933E83"/>
    <w:multiLevelType w:val="hybridMultilevel"/>
    <w:tmpl w:val="C0E81684"/>
    <w:lvl w:ilvl="0" w:tplc="04090001">
      <w:start w:val="1"/>
      <w:numFmt w:val="bullet"/>
      <w:lvlText w:val=""/>
      <w:lvlJc w:val="left"/>
      <w:pPr>
        <w:ind w:left="0" w:hanging="360"/>
      </w:pPr>
      <w:rPr>
        <w:rFonts w:ascii="Symbol" w:hAnsi="Symbol" w:hint="default"/>
        <w:sz w:val="18"/>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52" w15:restartNumberingAfterBreak="0">
    <w:nsid w:val="3EE8186D"/>
    <w:multiLevelType w:val="hybridMultilevel"/>
    <w:tmpl w:val="2286F0C8"/>
    <w:lvl w:ilvl="0" w:tplc="AAD8B03A">
      <w:start w:val="1"/>
      <w:numFmt w:val="lowerLetter"/>
      <w:lvlText w:val="%1."/>
      <w:lvlJc w:val="left"/>
      <w:pPr>
        <w:ind w:left="720" w:hanging="360"/>
      </w:pPr>
      <w:rPr>
        <w:rFonts w:hint="default"/>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15:restartNumberingAfterBreak="0">
    <w:nsid w:val="3F1128D7"/>
    <w:multiLevelType w:val="hybridMultilevel"/>
    <w:tmpl w:val="18B07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15:restartNumberingAfterBreak="0">
    <w:nsid w:val="3F1C4DE8"/>
    <w:multiLevelType w:val="hybridMultilevel"/>
    <w:tmpl w:val="E2A8E8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5" w15:restartNumberingAfterBreak="0">
    <w:nsid w:val="3F3D4F69"/>
    <w:multiLevelType w:val="hybridMultilevel"/>
    <w:tmpl w:val="89E0FDDE"/>
    <w:lvl w:ilvl="0" w:tplc="10A6F96C">
      <w:start w:val="3"/>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15:restartNumberingAfterBreak="0">
    <w:nsid w:val="3F7B2079"/>
    <w:multiLevelType w:val="hybridMultilevel"/>
    <w:tmpl w:val="5DC82E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15:restartNumberingAfterBreak="0">
    <w:nsid w:val="3F8D3D8D"/>
    <w:multiLevelType w:val="hybridMultilevel"/>
    <w:tmpl w:val="30B4F5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408B4C83"/>
    <w:multiLevelType w:val="hybridMultilevel"/>
    <w:tmpl w:val="16FE94C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9" w15:restartNumberingAfterBreak="0">
    <w:nsid w:val="40A65749"/>
    <w:multiLevelType w:val="hybridMultilevel"/>
    <w:tmpl w:val="8E3893B8"/>
    <w:lvl w:ilvl="0" w:tplc="04090019">
      <w:start w:val="1"/>
      <w:numFmt w:val="lowerLetter"/>
      <w:lvlText w:val="%1."/>
      <w:lvlJc w:val="left"/>
      <w:pPr>
        <w:ind w:left="720" w:hanging="360"/>
      </w:pPr>
      <w:rPr>
        <w:rFonts w:hint="default"/>
        <w:color w:val="auto"/>
      </w:rPr>
    </w:lvl>
    <w:lvl w:ilvl="1" w:tplc="7F64AA0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15:restartNumberingAfterBreak="0">
    <w:nsid w:val="40F36B58"/>
    <w:multiLevelType w:val="hybridMultilevel"/>
    <w:tmpl w:val="EB8841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1" w15:restartNumberingAfterBreak="0">
    <w:nsid w:val="42A046FC"/>
    <w:multiLevelType w:val="hybridMultilevel"/>
    <w:tmpl w:val="F4BEB87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2" w15:restartNumberingAfterBreak="0">
    <w:nsid w:val="42CF34C6"/>
    <w:multiLevelType w:val="hybridMultilevel"/>
    <w:tmpl w:val="B40E05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3" w15:restartNumberingAfterBreak="0">
    <w:nsid w:val="43931BDE"/>
    <w:multiLevelType w:val="hybridMultilevel"/>
    <w:tmpl w:val="4E0ED9B4"/>
    <w:lvl w:ilvl="0" w:tplc="2954E1A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4" w15:restartNumberingAfterBreak="0">
    <w:nsid w:val="43DF7E57"/>
    <w:multiLevelType w:val="hybridMultilevel"/>
    <w:tmpl w:val="C00C2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43FD7865"/>
    <w:multiLevelType w:val="hybridMultilevel"/>
    <w:tmpl w:val="0F06D0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6" w15:restartNumberingAfterBreak="0">
    <w:nsid w:val="441803C1"/>
    <w:multiLevelType w:val="hybridMultilevel"/>
    <w:tmpl w:val="EF1A68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7" w15:restartNumberingAfterBreak="0">
    <w:nsid w:val="441D5ED4"/>
    <w:multiLevelType w:val="hybridMultilevel"/>
    <w:tmpl w:val="56CAD8C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442F1323"/>
    <w:multiLevelType w:val="hybridMultilevel"/>
    <w:tmpl w:val="D5081D14"/>
    <w:lvl w:ilvl="0" w:tplc="04090001">
      <w:start w:val="1"/>
      <w:numFmt w:val="bullet"/>
      <w:lvlText w:val=""/>
      <w:lvlJc w:val="left"/>
      <w:pPr>
        <w:ind w:left="692" w:hanging="360"/>
      </w:pPr>
      <w:rPr>
        <w:rFonts w:ascii="Symbol" w:hAnsi="Symbol" w:hint="default"/>
      </w:rPr>
    </w:lvl>
    <w:lvl w:ilvl="1" w:tplc="04090003" w:tentative="1">
      <w:start w:val="1"/>
      <w:numFmt w:val="bullet"/>
      <w:lvlText w:val="o"/>
      <w:lvlJc w:val="left"/>
      <w:pPr>
        <w:ind w:left="1412" w:hanging="360"/>
      </w:pPr>
      <w:rPr>
        <w:rFonts w:ascii="Courier New" w:hAnsi="Courier New" w:cs="Courier New" w:hint="default"/>
      </w:rPr>
    </w:lvl>
    <w:lvl w:ilvl="2" w:tplc="04090005" w:tentative="1">
      <w:start w:val="1"/>
      <w:numFmt w:val="bullet"/>
      <w:lvlText w:val=""/>
      <w:lvlJc w:val="left"/>
      <w:pPr>
        <w:ind w:left="2132" w:hanging="360"/>
      </w:pPr>
      <w:rPr>
        <w:rFonts w:ascii="Wingdings" w:hAnsi="Wingdings" w:hint="default"/>
      </w:rPr>
    </w:lvl>
    <w:lvl w:ilvl="3" w:tplc="04090001" w:tentative="1">
      <w:start w:val="1"/>
      <w:numFmt w:val="bullet"/>
      <w:lvlText w:val=""/>
      <w:lvlJc w:val="left"/>
      <w:pPr>
        <w:ind w:left="2852" w:hanging="360"/>
      </w:pPr>
      <w:rPr>
        <w:rFonts w:ascii="Symbol" w:hAnsi="Symbol" w:hint="default"/>
      </w:rPr>
    </w:lvl>
    <w:lvl w:ilvl="4" w:tplc="04090003" w:tentative="1">
      <w:start w:val="1"/>
      <w:numFmt w:val="bullet"/>
      <w:lvlText w:val="o"/>
      <w:lvlJc w:val="left"/>
      <w:pPr>
        <w:ind w:left="3572" w:hanging="360"/>
      </w:pPr>
      <w:rPr>
        <w:rFonts w:ascii="Courier New" w:hAnsi="Courier New" w:cs="Courier New" w:hint="default"/>
      </w:rPr>
    </w:lvl>
    <w:lvl w:ilvl="5" w:tplc="04090005" w:tentative="1">
      <w:start w:val="1"/>
      <w:numFmt w:val="bullet"/>
      <w:lvlText w:val=""/>
      <w:lvlJc w:val="left"/>
      <w:pPr>
        <w:ind w:left="4292" w:hanging="360"/>
      </w:pPr>
      <w:rPr>
        <w:rFonts w:ascii="Wingdings" w:hAnsi="Wingdings" w:hint="default"/>
      </w:rPr>
    </w:lvl>
    <w:lvl w:ilvl="6" w:tplc="04090001" w:tentative="1">
      <w:start w:val="1"/>
      <w:numFmt w:val="bullet"/>
      <w:lvlText w:val=""/>
      <w:lvlJc w:val="left"/>
      <w:pPr>
        <w:ind w:left="5012" w:hanging="360"/>
      </w:pPr>
      <w:rPr>
        <w:rFonts w:ascii="Symbol" w:hAnsi="Symbol" w:hint="default"/>
      </w:rPr>
    </w:lvl>
    <w:lvl w:ilvl="7" w:tplc="04090003" w:tentative="1">
      <w:start w:val="1"/>
      <w:numFmt w:val="bullet"/>
      <w:lvlText w:val="o"/>
      <w:lvlJc w:val="left"/>
      <w:pPr>
        <w:ind w:left="5732" w:hanging="360"/>
      </w:pPr>
      <w:rPr>
        <w:rFonts w:ascii="Courier New" w:hAnsi="Courier New" w:cs="Courier New" w:hint="default"/>
      </w:rPr>
    </w:lvl>
    <w:lvl w:ilvl="8" w:tplc="04090005" w:tentative="1">
      <w:start w:val="1"/>
      <w:numFmt w:val="bullet"/>
      <w:lvlText w:val=""/>
      <w:lvlJc w:val="left"/>
      <w:pPr>
        <w:ind w:left="6452" w:hanging="360"/>
      </w:pPr>
      <w:rPr>
        <w:rFonts w:ascii="Wingdings" w:hAnsi="Wingdings" w:hint="default"/>
      </w:rPr>
    </w:lvl>
  </w:abstractNum>
  <w:abstractNum w:abstractNumId="269" w15:restartNumberingAfterBreak="0">
    <w:nsid w:val="44313D41"/>
    <w:multiLevelType w:val="hybridMultilevel"/>
    <w:tmpl w:val="2EC4A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44385B3C"/>
    <w:multiLevelType w:val="hybridMultilevel"/>
    <w:tmpl w:val="27AA01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1" w15:restartNumberingAfterBreak="0">
    <w:nsid w:val="44576DA1"/>
    <w:multiLevelType w:val="hybridMultilevel"/>
    <w:tmpl w:val="E38E7D2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2" w15:restartNumberingAfterBreak="0">
    <w:nsid w:val="447508EA"/>
    <w:multiLevelType w:val="hybridMultilevel"/>
    <w:tmpl w:val="74069D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3" w15:restartNumberingAfterBreak="0">
    <w:nsid w:val="44931120"/>
    <w:multiLevelType w:val="hybridMultilevel"/>
    <w:tmpl w:val="50FE848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15:restartNumberingAfterBreak="0">
    <w:nsid w:val="44B93B67"/>
    <w:multiLevelType w:val="hybridMultilevel"/>
    <w:tmpl w:val="2B70F4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5" w15:restartNumberingAfterBreak="0">
    <w:nsid w:val="451C139F"/>
    <w:multiLevelType w:val="hybridMultilevel"/>
    <w:tmpl w:val="02E41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6" w15:restartNumberingAfterBreak="0">
    <w:nsid w:val="452E3792"/>
    <w:multiLevelType w:val="hybridMultilevel"/>
    <w:tmpl w:val="24EE47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15:restartNumberingAfterBreak="0">
    <w:nsid w:val="45785424"/>
    <w:multiLevelType w:val="hybridMultilevel"/>
    <w:tmpl w:val="791220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8" w15:restartNumberingAfterBreak="0">
    <w:nsid w:val="45B97EFD"/>
    <w:multiLevelType w:val="hybridMultilevel"/>
    <w:tmpl w:val="0AD84792"/>
    <w:lvl w:ilvl="0" w:tplc="F5B6007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45E05DBE"/>
    <w:multiLevelType w:val="hybridMultilevel"/>
    <w:tmpl w:val="10502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15:restartNumberingAfterBreak="0">
    <w:nsid w:val="46462FC6"/>
    <w:multiLevelType w:val="hybridMultilevel"/>
    <w:tmpl w:val="B1940390"/>
    <w:lvl w:ilvl="0" w:tplc="8152AE44">
      <w:start w:val="3"/>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1" w15:restartNumberingAfterBreak="0">
    <w:nsid w:val="465162BF"/>
    <w:multiLevelType w:val="hybridMultilevel"/>
    <w:tmpl w:val="46DAA2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2" w15:restartNumberingAfterBreak="0">
    <w:nsid w:val="46654933"/>
    <w:multiLevelType w:val="hybridMultilevel"/>
    <w:tmpl w:val="F8462C00"/>
    <w:lvl w:ilvl="0" w:tplc="E0C4843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3" w15:restartNumberingAfterBreak="0">
    <w:nsid w:val="468A718E"/>
    <w:multiLevelType w:val="hybridMultilevel"/>
    <w:tmpl w:val="58146E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4" w15:restartNumberingAfterBreak="0">
    <w:nsid w:val="46A61CBA"/>
    <w:multiLevelType w:val="hybridMultilevel"/>
    <w:tmpl w:val="6A6A0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5" w15:restartNumberingAfterBreak="0">
    <w:nsid w:val="46D23257"/>
    <w:multiLevelType w:val="hybridMultilevel"/>
    <w:tmpl w:val="897854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99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6" w15:restartNumberingAfterBreak="0">
    <w:nsid w:val="471F4377"/>
    <w:multiLevelType w:val="hybridMultilevel"/>
    <w:tmpl w:val="D932CC7C"/>
    <w:lvl w:ilvl="0" w:tplc="DCFC6866">
      <w:numFmt w:val="bullet"/>
      <w:lvlText w:val="•"/>
      <w:lvlJc w:val="left"/>
      <w:pPr>
        <w:ind w:left="767" w:hanging="360"/>
      </w:pPr>
      <w:rPr>
        <w:rFonts w:ascii="Calibri" w:eastAsiaTheme="minorHAnsi" w:hAnsi="Calibri" w:cs="Calibri"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287" w15:restartNumberingAfterBreak="0">
    <w:nsid w:val="478A29DA"/>
    <w:multiLevelType w:val="hybridMultilevel"/>
    <w:tmpl w:val="8376B4A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8" w15:restartNumberingAfterBreak="0">
    <w:nsid w:val="481646C0"/>
    <w:multiLevelType w:val="hybridMultilevel"/>
    <w:tmpl w:val="E43EC6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15:restartNumberingAfterBreak="0">
    <w:nsid w:val="48174F30"/>
    <w:multiLevelType w:val="hybridMultilevel"/>
    <w:tmpl w:val="1AAA58A2"/>
    <w:lvl w:ilvl="0" w:tplc="A572B5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0" w15:restartNumberingAfterBreak="0">
    <w:nsid w:val="486E5C1A"/>
    <w:multiLevelType w:val="hybridMultilevel"/>
    <w:tmpl w:val="764A5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1" w15:restartNumberingAfterBreak="0">
    <w:nsid w:val="489A6FC3"/>
    <w:multiLevelType w:val="hybridMultilevel"/>
    <w:tmpl w:val="D876E03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2" w15:restartNumberingAfterBreak="0">
    <w:nsid w:val="49383819"/>
    <w:multiLevelType w:val="hybridMultilevel"/>
    <w:tmpl w:val="AA5AF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15:restartNumberingAfterBreak="0">
    <w:nsid w:val="49657A37"/>
    <w:multiLevelType w:val="hybridMultilevel"/>
    <w:tmpl w:val="AB88E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4" w15:restartNumberingAfterBreak="0">
    <w:nsid w:val="49C54ED9"/>
    <w:multiLevelType w:val="hybridMultilevel"/>
    <w:tmpl w:val="E2AA47E6"/>
    <w:lvl w:ilvl="0" w:tplc="51768C6E">
      <w:start w:val="1"/>
      <w:numFmt w:val="bullet"/>
      <w:lvlText w:val="∙"/>
      <w:lvlJc w:val="left"/>
      <w:pPr>
        <w:ind w:left="720" w:hanging="360"/>
      </w:pPr>
      <w:rPr>
        <w:rFonts w:ascii="Courier New" w:hAnsi="Courier New" w:hint="default"/>
      </w:rPr>
    </w:lvl>
    <w:lvl w:ilvl="1" w:tplc="51768C6E">
      <w:start w:val="1"/>
      <w:numFmt w:val="bullet"/>
      <w:lvlText w:val="∙"/>
      <w:lvlJc w:val="left"/>
      <w:pPr>
        <w:ind w:left="1440" w:hanging="360"/>
      </w:pPr>
      <w:rPr>
        <w:rFonts w:ascii="Courier New" w:hAnsi="Courier New" w:hint="default"/>
      </w:rPr>
    </w:lvl>
    <w:lvl w:ilvl="2" w:tplc="51768C6E">
      <w:start w:val="1"/>
      <w:numFmt w:val="bullet"/>
      <w:lvlText w:val="∙"/>
      <w:lvlJc w:val="left"/>
      <w:pPr>
        <w:ind w:left="2160" w:hanging="360"/>
      </w:pPr>
      <w:rPr>
        <w:rFonts w:ascii="Courier New" w:hAnsi="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5" w15:restartNumberingAfterBreak="0">
    <w:nsid w:val="4A590149"/>
    <w:multiLevelType w:val="hybridMultilevel"/>
    <w:tmpl w:val="A76A17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6" w15:restartNumberingAfterBreak="0">
    <w:nsid w:val="4A706DCD"/>
    <w:multiLevelType w:val="hybridMultilevel"/>
    <w:tmpl w:val="E7DEBC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7" w15:restartNumberingAfterBreak="0">
    <w:nsid w:val="4A9D2541"/>
    <w:multiLevelType w:val="hybridMultilevel"/>
    <w:tmpl w:val="CC66EA2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8" w15:restartNumberingAfterBreak="0">
    <w:nsid w:val="4AB672EC"/>
    <w:multiLevelType w:val="hybridMultilevel"/>
    <w:tmpl w:val="4C82A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9" w15:restartNumberingAfterBreak="0">
    <w:nsid w:val="4B0D03D1"/>
    <w:multiLevelType w:val="hybridMultilevel"/>
    <w:tmpl w:val="245091F2"/>
    <w:lvl w:ilvl="0" w:tplc="04090001">
      <w:start w:val="1"/>
      <w:numFmt w:val="bullet"/>
      <w:lvlText w:val=""/>
      <w:lvlJc w:val="left"/>
      <w:pPr>
        <w:ind w:left="720" w:hanging="360"/>
      </w:pPr>
      <w:rPr>
        <w:rFonts w:ascii="Symbol" w:hAnsi="Symbol" w:hint="default"/>
      </w:rPr>
    </w:lvl>
    <w:lvl w:ilvl="1" w:tplc="20A842AC">
      <w:start w:val="1"/>
      <w:numFmt w:val="bullet"/>
      <w:lvlText w:val="o"/>
      <w:lvlJc w:val="left"/>
      <w:pPr>
        <w:ind w:left="1440" w:hanging="360"/>
      </w:pPr>
      <w:rPr>
        <w:rFonts w:ascii="Calibri" w:hAnsi="Calibri" w:cs="Calibri" w:hint="default"/>
      </w:rPr>
    </w:lvl>
    <w:lvl w:ilvl="2" w:tplc="20A842AC">
      <w:start w:val="1"/>
      <w:numFmt w:val="bullet"/>
      <w:lvlText w:val="o"/>
      <w:lvlJc w:val="left"/>
      <w:pPr>
        <w:ind w:left="2160" w:hanging="360"/>
      </w:pPr>
      <w:rPr>
        <w:rFonts w:ascii="Calibri" w:hAnsi="Calibri" w:cs="Calibri"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15:restartNumberingAfterBreak="0">
    <w:nsid w:val="4B274A5F"/>
    <w:multiLevelType w:val="hybridMultilevel"/>
    <w:tmpl w:val="D3DA03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1" w15:restartNumberingAfterBreak="0">
    <w:nsid w:val="4B5658EA"/>
    <w:multiLevelType w:val="hybridMultilevel"/>
    <w:tmpl w:val="90686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2" w15:restartNumberingAfterBreak="0">
    <w:nsid w:val="4B93181E"/>
    <w:multiLevelType w:val="hybridMultilevel"/>
    <w:tmpl w:val="F5B4C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3" w15:restartNumberingAfterBreak="0">
    <w:nsid w:val="4BE13BB6"/>
    <w:multiLevelType w:val="hybridMultilevel"/>
    <w:tmpl w:val="BDC0FC58"/>
    <w:lvl w:ilvl="0" w:tplc="5BD20EE4">
      <w:start w:val="16"/>
      <w:numFmt w:val="bullet"/>
      <w:lvlText w:val=""/>
      <w:lvlJc w:val="left"/>
      <w:pPr>
        <w:tabs>
          <w:tab w:val="num" w:pos="720"/>
        </w:tabs>
        <w:ind w:left="720" w:hanging="720"/>
      </w:pPr>
      <w:rPr>
        <w:rFonts w:ascii="Wingdings" w:eastAsia="Times New Roman" w:hAnsi="Wingdings" w:cs="Arial" w:hint="default"/>
        <w:sz w:val="20"/>
        <w:szCs w:val="2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4" w15:restartNumberingAfterBreak="0">
    <w:nsid w:val="4C1465C3"/>
    <w:multiLevelType w:val="hybridMultilevel"/>
    <w:tmpl w:val="6234FF74"/>
    <w:lvl w:ilvl="0" w:tplc="5306926A">
      <w:start w:val="3"/>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5" w15:restartNumberingAfterBreak="0">
    <w:nsid w:val="4CB453CF"/>
    <w:multiLevelType w:val="hybridMultilevel"/>
    <w:tmpl w:val="F04426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6" w15:restartNumberingAfterBreak="0">
    <w:nsid w:val="4CBF040E"/>
    <w:multiLevelType w:val="hybridMultilevel"/>
    <w:tmpl w:val="0B725C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07" w15:restartNumberingAfterBreak="0">
    <w:nsid w:val="4CF10B17"/>
    <w:multiLevelType w:val="hybridMultilevel"/>
    <w:tmpl w:val="6186A7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8" w15:restartNumberingAfterBreak="0">
    <w:nsid w:val="4CF2290F"/>
    <w:multiLevelType w:val="hybridMultilevel"/>
    <w:tmpl w:val="F140C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9" w15:restartNumberingAfterBreak="0">
    <w:nsid w:val="4D492341"/>
    <w:multiLevelType w:val="hybridMultilevel"/>
    <w:tmpl w:val="8FF89DF8"/>
    <w:lvl w:ilvl="0" w:tplc="AD1CBAC6">
      <w:start w:val="1"/>
      <w:numFmt w:val="decimal"/>
      <w:lvlText w:val="%1."/>
      <w:lvlJc w:val="left"/>
      <w:pPr>
        <w:ind w:left="1080" w:hanging="360"/>
      </w:pPr>
      <w:rPr>
        <w:b w:val="0"/>
        <w:sz w:val="16"/>
        <w:szCs w:val="1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0" w15:restartNumberingAfterBreak="0">
    <w:nsid w:val="4D4B6DDC"/>
    <w:multiLevelType w:val="hybridMultilevel"/>
    <w:tmpl w:val="9CF279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1" w15:restartNumberingAfterBreak="0">
    <w:nsid w:val="4D656848"/>
    <w:multiLevelType w:val="hybridMultilevel"/>
    <w:tmpl w:val="CFACB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2" w15:restartNumberingAfterBreak="0">
    <w:nsid w:val="4D736C39"/>
    <w:multiLevelType w:val="hybridMultilevel"/>
    <w:tmpl w:val="E6B07076"/>
    <w:lvl w:ilvl="0" w:tplc="3BB4F37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3" w15:restartNumberingAfterBreak="0">
    <w:nsid w:val="4DAE5637"/>
    <w:multiLevelType w:val="hybridMultilevel"/>
    <w:tmpl w:val="70A4E242"/>
    <w:lvl w:ilvl="0" w:tplc="D1DEC5D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4" w15:restartNumberingAfterBreak="0">
    <w:nsid w:val="4DE9380E"/>
    <w:multiLevelType w:val="hybridMultilevel"/>
    <w:tmpl w:val="49FEF9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5" w15:restartNumberingAfterBreak="0">
    <w:nsid w:val="4EBD7851"/>
    <w:multiLevelType w:val="hybridMultilevel"/>
    <w:tmpl w:val="1AAA58A2"/>
    <w:lvl w:ilvl="0" w:tplc="A572B5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6" w15:restartNumberingAfterBreak="0">
    <w:nsid w:val="4EFD02A5"/>
    <w:multiLevelType w:val="hybridMultilevel"/>
    <w:tmpl w:val="6B90D7EA"/>
    <w:lvl w:ilvl="0" w:tplc="264A590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7" w15:restartNumberingAfterBreak="0">
    <w:nsid w:val="4F3C744D"/>
    <w:multiLevelType w:val="hybridMultilevel"/>
    <w:tmpl w:val="03EA7458"/>
    <w:lvl w:ilvl="0" w:tplc="8CD2EC9E">
      <w:start w:val="1"/>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8" w15:restartNumberingAfterBreak="0">
    <w:nsid w:val="4F9E1F9E"/>
    <w:multiLevelType w:val="hybridMultilevel"/>
    <w:tmpl w:val="43441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9" w15:restartNumberingAfterBreak="0">
    <w:nsid w:val="4FA067F4"/>
    <w:multiLevelType w:val="hybridMultilevel"/>
    <w:tmpl w:val="A7E0B6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0" w15:restartNumberingAfterBreak="0">
    <w:nsid w:val="4FE96C5B"/>
    <w:multiLevelType w:val="hybridMultilevel"/>
    <w:tmpl w:val="70A4E242"/>
    <w:lvl w:ilvl="0" w:tplc="D1DEC5D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1" w15:restartNumberingAfterBreak="0">
    <w:nsid w:val="50050FE2"/>
    <w:multiLevelType w:val="hybridMultilevel"/>
    <w:tmpl w:val="21145E06"/>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22" w15:restartNumberingAfterBreak="0">
    <w:nsid w:val="509A599E"/>
    <w:multiLevelType w:val="hybridMultilevel"/>
    <w:tmpl w:val="2ED4CFB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3" w15:restartNumberingAfterBreak="0">
    <w:nsid w:val="50AC0BDF"/>
    <w:multiLevelType w:val="hybridMultilevel"/>
    <w:tmpl w:val="13D8C7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4" w15:restartNumberingAfterBreak="0">
    <w:nsid w:val="50FF0ED9"/>
    <w:multiLevelType w:val="hybridMultilevel"/>
    <w:tmpl w:val="DE6E9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5" w15:restartNumberingAfterBreak="0">
    <w:nsid w:val="51061F0F"/>
    <w:multiLevelType w:val="hybridMultilevel"/>
    <w:tmpl w:val="AD5AD88C"/>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6" w15:restartNumberingAfterBreak="0">
    <w:nsid w:val="51376EAB"/>
    <w:multiLevelType w:val="hybridMultilevel"/>
    <w:tmpl w:val="8A3496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7" w15:restartNumberingAfterBreak="0">
    <w:nsid w:val="51526B96"/>
    <w:multiLevelType w:val="hybridMultilevel"/>
    <w:tmpl w:val="8BAE3E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8" w15:restartNumberingAfterBreak="0">
    <w:nsid w:val="51D80DE6"/>
    <w:multiLevelType w:val="hybridMultilevel"/>
    <w:tmpl w:val="A8DEC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9" w15:restartNumberingAfterBreak="0">
    <w:nsid w:val="526817D2"/>
    <w:multiLevelType w:val="hybridMultilevel"/>
    <w:tmpl w:val="39A4C5B0"/>
    <w:lvl w:ilvl="0" w:tplc="51768C6E">
      <w:start w:val="1"/>
      <w:numFmt w:val="bullet"/>
      <w:lvlText w:val="∙"/>
      <w:lvlJc w:val="left"/>
      <w:pPr>
        <w:ind w:left="720" w:hanging="360"/>
      </w:pPr>
      <w:rPr>
        <w:rFonts w:ascii="Courier New" w:hAnsi="Courier New" w:hint="default"/>
      </w:rPr>
    </w:lvl>
    <w:lvl w:ilvl="1" w:tplc="51768C6E">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0" w15:restartNumberingAfterBreak="0">
    <w:nsid w:val="528A4EEA"/>
    <w:multiLevelType w:val="hybridMultilevel"/>
    <w:tmpl w:val="59C8BCD0"/>
    <w:lvl w:ilvl="0" w:tplc="2BD01D3E">
      <w:start w:val="1"/>
      <w:numFmt w:val="decimal"/>
      <w:lvlText w:val="%1."/>
      <w:lvlJc w:val="left"/>
      <w:pPr>
        <w:ind w:left="720" w:hanging="360"/>
      </w:pPr>
      <w:rPr>
        <w:rFonts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1" w15:restartNumberingAfterBreak="0">
    <w:nsid w:val="52D20940"/>
    <w:multiLevelType w:val="hybridMultilevel"/>
    <w:tmpl w:val="05E8F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2" w15:restartNumberingAfterBreak="0">
    <w:nsid w:val="531357F5"/>
    <w:multiLevelType w:val="hybridMultilevel"/>
    <w:tmpl w:val="BBF077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3" w15:restartNumberingAfterBreak="0">
    <w:nsid w:val="53437206"/>
    <w:multiLevelType w:val="hybridMultilevel"/>
    <w:tmpl w:val="34AAA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4" w15:restartNumberingAfterBreak="0">
    <w:nsid w:val="535235FF"/>
    <w:multiLevelType w:val="hybridMultilevel"/>
    <w:tmpl w:val="55E6AE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5" w15:restartNumberingAfterBreak="0">
    <w:nsid w:val="535D7107"/>
    <w:multiLevelType w:val="hybridMultilevel"/>
    <w:tmpl w:val="B95473AC"/>
    <w:lvl w:ilvl="0" w:tplc="0409000F">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6" w15:restartNumberingAfterBreak="0">
    <w:nsid w:val="53C02F3A"/>
    <w:multiLevelType w:val="hybridMultilevel"/>
    <w:tmpl w:val="764A5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7" w15:restartNumberingAfterBreak="0">
    <w:nsid w:val="5451773E"/>
    <w:multiLevelType w:val="hybridMultilevel"/>
    <w:tmpl w:val="A42243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8" w15:restartNumberingAfterBreak="0">
    <w:nsid w:val="548E0F26"/>
    <w:multiLevelType w:val="hybridMultilevel"/>
    <w:tmpl w:val="E8D82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9" w15:restartNumberingAfterBreak="0">
    <w:nsid w:val="54B32DF5"/>
    <w:multiLevelType w:val="hybridMultilevel"/>
    <w:tmpl w:val="8AA69086"/>
    <w:lvl w:ilvl="0" w:tplc="F5B6007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0" w15:restartNumberingAfterBreak="0">
    <w:nsid w:val="54B61596"/>
    <w:multiLevelType w:val="hybridMultilevel"/>
    <w:tmpl w:val="884C442E"/>
    <w:lvl w:ilvl="0" w:tplc="DC66F422">
      <w:start w:val="1"/>
      <w:numFmt w:val="decimal"/>
      <w:lvlText w:val="%1."/>
      <w:lvlJc w:val="left"/>
      <w:pPr>
        <w:ind w:left="430" w:hanging="360"/>
      </w:pPr>
      <w:rPr>
        <w:rFonts w:hint="default"/>
      </w:r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341" w15:restartNumberingAfterBreak="0">
    <w:nsid w:val="550A2E02"/>
    <w:multiLevelType w:val="hybridMultilevel"/>
    <w:tmpl w:val="79203788"/>
    <w:lvl w:ilvl="0" w:tplc="E5A0E678">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2" w15:restartNumberingAfterBreak="0">
    <w:nsid w:val="55E27459"/>
    <w:multiLevelType w:val="hybridMultilevel"/>
    <w:tmpl w:val="4BC400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3" w15:restartNumberingAfterBreak="0">
    <w:nsid w:val="5683358A"/>
    <w:multiLevelType w:val="hybridMultilevel"/>
    <w:tmpl w:val="32B472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4" w15:restartNumberingAfterBreak="0">
    <w:nsid w:val="56A11B98"/>
    <w:multiLevelType w:val="hybridMultilevel"/>
    <w:tmpl w:val="4BC400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5" w15:restartNumberingAfterBreak="0">
    <w:nsid w:val="56FE224E"/>
    <w:multiLevelType w:val="hybridMultilevel"/>
    <w:tmpl w:val="10FA9D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6" w15:restartNumberingAfterBreak="0">
    <w:nsid w:val="570D48A6"/>
    <w:multiLevelType w:val="hybridMultilevel"/>
    <w:tmpl w:val="90BAB362"/>
    <w:lvl w:ilvl="0" w:tplc="3056D770">
      <w:start w:val="1"/>
      <w:numFmt w:val="decimal"/>
      <w:lvlText w:val="%1."/>
      <w:lvlJc w:val="left"/>
      <w:pPr>
        <w:ind w:left="427" w:hanging="360"/>
      </w:pPr>
      <w:rPr>
        <w:rFonts w:hint="default"/>
      </w:rPr>
    </w:lvl>
    <w:lvl w:ilvl="1" w:tplc="04090019" w:tentative="1">
      <w:start w:val="1"/>
      <w:numFmt w:val="lowerLetter"/>
      <w:lvlText w:val="%2."/>
      <w:lvlJc w:val="left"/>
      <w:pPr>
        <w:ind w:left="1147" w:hanging="360"/>
      </w:pPr>
    </w:lvl>
    <w:lvl w:ilvl="2" w:tplc="0409001B" w:tentative="1">
      <w:start w:val="1"/>
      <w:numFmt w:val="lowerRoman"/>
      <w:lvlText w:val="%3."/>
      <w:lvlJc w:val="right"/>
      <w:pPr>
        <w:ind w:left="1867" w:hanging="180"/>
      </w:pPr>
    </w:lvl>
    <w:lvl w:ilvl="3" w:tplc="0409000F" w:tentative="1">
      <w:start w:val="1"/>
      <w:numFmt w:val="decimal"/>
      <w:lvlText w:val="%4."/>
      <w:lvlJc w:val="left"/>
      <w:pPr>
        <w:ind w:left="2587" w:hanging="360"/>
      </w:pPr>
    </w:lvl>
    <w:lvl w:ilvl="4" w:tplc="04090019" w:tentative="1">
      <w:start w:val="1"/>
      <w:numFmt w:val="lowerLetter"/>
      <w:lvlText w:val="%5."/>
      <w:lvlJc w:val="left"/>
      <w:pPr>
        <w:ind w:left="3307" w:hanging="360"/>
      </w:pPr>
    </w:lvl>
    <w:lvl w:ilvl="5" w:tplc="0409001B" w:tentative="1">
      <w:start w:val="1"/>
      <w:numFmt w:val="lowerRoman"/>
      <w:lvlText w:val="%6."/>
      <w:lvlJc w:val="right"/>
      <w:pPr>
        <w:ind w:left="4027" w:hanging="180"/>
      </w:pPr>
    </w:lvl>
    <w:lvl w:ilvl="6" w:tplc="0409000F" w:tentative="1">
      <w:start w:val="1"/>
      <w:numFmt w:val="decimal"/>
      <w:lvlText w:val="%7."/>
      <w:lvlJc w:val="left"/>
      <w:pPr>
        <w:ind w:left="4747" w:hanging="360"/>
      </w:pPr>
    </w:lvl>
    <w:lvl w:ilvl="7" w:tplc="04090019" w:tentative="1">
      <w:start w:val="1"/>
      <w:numFmt w:val="lowerLetter"/>
      <w:lvlText w:val="%8."/>
      <w:lvlJc w:val="left"/>
      <w:pPr>
        <w:ind w:left="5467" w:hanging="360"/>
      </w:pPr>
    </w:lvl>
    <w:lvl w:ilvl="8" w:tplc="0409001B" w:tentative="1">
      <w:start w:val="1"/>
      <w:numFmt w:val="lowerRoman"/>
      <w:lvlText w:val="%9."/>
      <w:lvlJc w:val="right"/>
      <w:pPr>
        <w:ind w:left="6187" w:hanging="180"/>
      </w:pPr>
    </w:lvl>
  </w:abstractNum>
  <w:abstractNum w:abstractNumId="347" w15:restartNumberingAfterBreak="0">
    <w:nsid w:val="57273816"/>
    <w:multiLevelType w:val="hybridMultilevel"/>
    <w:tmpl w:val="E4AAD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8" w15:restartNumberingAfterBreak="0">
    <w:nsid w:val="57D9781E"/>
    <w:multiLevelType w:val="hybridMultilevel"/>
    <w:tmpl w:val="ED00C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9" w15:restartNumberingAfterBreak="0">
    <w:nsid w:val="58271A63"/>
    <w:multiLevelType w:val="hybridMultilevel"/>
    <w:tmpl w:val="18EEA0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0" w15:restartNumberingAfterBreak="0">
    <w:nsid w:val="582A1160"/>
    <w:multiLevelType w:val="hybridMultilevel"/>
    <w:tmpl w:val="6D9C875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51" w15:restartNumberingAfterBreak="0">
    <w:nsid w:val="584C2A1F"/>
    <w:multiLevelType w:val="hybridMultilevel"/>
    <w:tmpl w:val="F3A24B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2" w15:restartNumberingAfterBreak="0">
    <w:nsid w:val="58933870"/>
    <w:multiLevelType w:val="hybridMultilevel"/>
    <w:tmpl w:val="AB209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3" w15:restartNumberingAfterBreak="0">
    <w:nsid w:val="58DA6EBE"/>
    <w:multiLevelType w:val="hybridMultilevel"/>
    <w:tmpl w:val="7D686F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4" w15:restartNumberingAfterBreak="0">
    <w:nsid w:val="599D2071"/>
    <w:multiLevelType w:val="hybridMultilevel"/>
    <w:tmpl w:val="947E4886"/>
    <w:lvl w:ilvl="0" w:tplc="187465FA">
      <w:start w:val="2"/>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5" w15:restartNumberingAfterBreak="0">
    <w:nsid w:val="59B07F81"/>
    <w:multiLevelType w:val="hybridMultilevel"/>
    <w:tmpl w:val="FF1A343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6" w15:restartNumberingAfterBreak="0">
    <w:nsid w:val="59B717CB"/>
    <w:multiLevelType w:val="hybridMultilevel"/>
    <w:tmpl w:val="42EA88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7" w15:restartNumberingAfterBreak="0">
    <w:nsid w:val="5A912B98"/>
    <w:multiLevelType w:val="hybridMultilevel"/>
    <w:tmpl w:val="263E5FE2"/>
    <w:lvl w:ilvl="0" w:tplc="E7B0FA22">
      <w:start w:val="4"/>
      <w:numFmt w:val="decimal"/>
      <w:lvlText w:val="%1."/>
      <w:lvlJc w:val="left"/>
      <w:pPr>
        <w:ind w:left="360" w:hanging="360"/>
      </w:pPr>
      <w:rPr>
        <w:rFonts w:ascii="Avenir Roman" w:eastAsiaTheme="minorHAnsi" w:hAnsi="Avenir Roman" w:cstheme="minorBidi" w:hint="default"/>
        <w:b w:val="0"/>
        <w:sz w:val="15"/>
        <w:szCs w:val="15"/>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8" w15:restartNumberingAfterBreak="0">
    <w:nsid w:val="5AFE7F62"/>
    <w:multiLevelType w:val="hybridMultilevel"/>
    <w:tmpl w:val="5238AB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9" w15:restartNumberingAfterBreak="0">
    <w:nsid w:val="5BB040FB"/>
    <w:multiLevelType w:val="hybridMultilevel"/>
    <w:tmpl w:val="B234E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60" w15:restartNumberingAfterBreak="0">
    <w:nsid w:val="5CBE257C"/>
    <w:multiLevelType w:val="hybridMultilevel"/>
    <w:tmpl w:val="ABC40000"/>
    <w:lvl w:ilvl="0" w:tplc="65BAECDC">
      <w:start w:val="1"/>
      <w:numFmt w:val="decimal"/>
      <w:lvlText w:val="%1."/>
      <w:lvlJc w:val="left"/>
      <w:pPr>
        <w:ind w:left="1080" w:hanging="360"/>
      </w:pPr>
      <w:rPr>
        <w:b w:val="0"/>
        <w:sz w:val="16"/>
        <w:szCs w:val="1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1" w15:restartNumberingAfterBreak="0">
    <w:nsid w:val="5CF91948"/>
    <w:multiLevelType w:val="multilevel"/>
    <w:tmpl w:val="1D362446"/>
    <w:lvl w:ilvl="0">
      <w:start w:val="1"/>
      <w:numFmt w:val="bullet"/>
      <w:lvlText w:val=""/>
      <w:lvlJc w:val="left"/>
      <w:pPr>
        <w:ind w:left="-90" w:firstLine="360"/>
      </w:pPr>
      <w:rPr>
        <w:rFonts w:ascii="Symbol" w:hAnsi="Symbol" w:hint="default"/>
      </w:rPr>
    </w:lvl>
    <w:lvl w:ilvl="1">
      <w:start w:val="1"/>
      <w:numFmt w:val="bullet"/>
      <w:lvlText w:val="o"/>
      <w:lvlJc w:val="left"/>
      <w:pPr>
        <w:ind w:left="1080" w:firstLine="1080"/>
      </w:pPr>
      <w:rPr>
        <w:rFonts w:ascii="Arial" w:eastAsia="Arial" w:hAnsi="Arial" w:cs="Arial"/>
      </w:rPr>
    </w:lvl>
    <w:lvl w:ilvl="2">
      <w:start w:val="1"/>
      <w:numFmt w:val="bullet"/>
      <w:lvlText w:val="▪"/>
      <w:lvlJc w:val="left"/>
      <w:pPr>
        <w:ind w:left="1800" w:firstLine="1800"/>
      </w:pPr>
      <w:rPr>
        <w:rFonts w:ascii="Arial" w:eastAsia="Arial" w:hAnsi="Arial" w:cs="Arial"/>
      </w:rPr>
    </w:lvl>
    <w:lvl w:ilvl="3">
      <w:start w:val="1"/>
      <w:numFmt w:val="bullet"/>
      <w:lvlText w:val="●"/>
      <w:lvlJc w:val="left"/>
      <w:pPr>
        <w:ind w:left="2520" w:firstLine="2520"/>
      </w:pPr>
      <w:rPr>
        <w:rFonts w:ascii="Arial" w:eastAsia="Arial" w:hAnsi="Arial" w:cs="Arial"/>
      </w:rPr>
    </w:lvl>
    <w:lvl w:ilvl="4">
      <w:start w:val="1"/>
      <w:numFmt w:val="bullet"/>
      <w:lvlText w:val="o"/>
      <w:lvlJc w:val="left"/>
      <w:pPr>
        <w:ind w:left="3240" w:firstLine="3240"/>
      </w:pPr>
      <w:rPr>
        <w:rFonts w:ascii="Arial" w:eastAsia="Arial" w:hAnsi="Arial" w:cs="Arial"/>
      </w:rPr>
    </w:lvl>
    <w:lvl w:ilvl="5">
      <w:start w:val="1"/>
      <w:numFmt w:val="bullet"/>
      <w:lvlText w:val="▪"/>
      <w:lvlJc w:val="left"/>
      <w:pPr>
        <w:ind w:left="3960" w:firstLine="3960"/>
      </w:pPr>
      <w:rPr>
        <w:rFonts w:ascii="Arial" w:eastAsia="Arial" w:hAnsi="Arial" w:cs="Arial"/>
      </w:rPr>
    </w:lvl>
    <w:lvl w:ilvl="6">
      <w:start w:val="1"/>
      <w:numFmt w:val="bullet"/>
      <w:lvlText w:val="●"/>
      <w:lvlJc w:val="left"/>
      <w:pPr>
        <w:ind w:left="4680" w:firstLine="4680"/>
      </w:pPr>
      <w:rPr>
        <w:rFonts w:ascii="Arial" w:eastAsia="Arial" w:hAnsi="Arial" w:cs="Arial"/>
      </w:rPr>
    </w:lvl>
    <w:lvl w:ilvl="7">
      <w:start w:val="1"/>
      <w:numFmt w:val="bullet"/>
      <w:lvlText w:val="o"/>
      <w:lvlJc w:val="left"/>
      <w:pPr>
        <w:ind w:left="5400" w:firstLine="5400"/>
      </w:pPr>
      <w:rPr>
        <w:rFonts w:ascii="Arial" w:eastAsia="Arial" w:hAnsi="Arial" w:cs="Arial"/>
      </w:rPr>
    </w:lvl>
    <w:lvl w:ilvl="8">
      <w:start w:val="1"/>
      <w:numFmt w:val="bullet"/>
      <w:lvlText w:val="▪"/>
      <w:lvlJc w:val="left"/>
      <w:pPr>
        <w:ind w:left="6120" w:firstLine="6120"/>
      </w:pPr>
      <w:rPr>
        <w:rFonts w:ascii="Arial" w:eastAsia="Arial" w:hAnsi="Arial" w:cs="Arial"/>
      </w:rPr>
    </w:lvl>
  </w:abstractNum>
  <w:abstractNum w:abstractNumId="362" w15:restartNumberingAfterBreak="0">
    <w:nsid w:val="5D3630B7"/>
    <w:multiLevelType w:val="hybridMultilevel"/>
    <w:tmpl w:val="16FE94C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3" w15:restartNumberingAfterBreak="0">
    <w:nsid w:val="5D4569D7"/>
    <w:multiLevelType w:val="hybridMultilevel"/>
    <w:tmpl w:val="46628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4" w15:restartNumberingAfterBreak="0">
    <w:nsid w:val="5DC05A52"/>
    <w:multiLevelType w:val="hybridMultilevel"/>
    <w:tmpl w:val="7DA24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5" w15:restartNumberingAfterBreak="0">
    <w:nsid w:val="5DEE3DA9"/>
    <w:multiLevelType w:val="hybridMultilevel"/>
    <w:tmpl w:val="65EA1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6" w15:restartNumberingAfterBreak="0">
    <w:nsid w:val="5EA11A41"/>
    <w:multiLevelType w:val="hybridMultilevel"/>
    <w:tmpl w:val="D2406E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7" w15:restartNumberingAfterBreak="0">
    <w:nsid w:val="5F615204"/>
    <w:multiLevelType w:val="hybridMultilevel"/>
    <w:tmpl w:val="CF5E02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8" w15:restartNumberingAfterBreak="0">
    <w:nsid w:val="5FD6701A"/>
    <w:multiLevelType w:val="hybridMultilevel"/>
    <w:tmpl w:val="6EF429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9" w15:restartNumberingAfterBreak="0">
    <w:nsid w:val="5FE760B2"/>
    <w:multiLevelType w:val="hybridMultilevel"/>
    <w:tmpl w:val="9CE693BE"/>
    <w:lvl w:ilvl="0" w:tplc="04090003">
      <w:start w:val="1"/>
      <w:numFmt w:val="bullet"/>
      <w:lvlText w:val="o"/>
      <w:lvlJc w:val="left"/>
      <w:pPr>
        <w:ind w:left="1350" w:hanging="360"/>
      </w:pPr>
      <w:rPr>
        <w:rFonts w:ascii="Courier New" w:hAnsi="Courier New" w:cs="Courier New" w:hint="default"/>
      </w:rPr>
    </w:lvl>
    <w:lvl w:ilvl="1" w:tplc="04090003">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70" w15:restartNumberingAfterBreak="0">
    <w:nsid w:val="606B3ECF"/>
    <w:multiLevelType w:val="hybridMultilevel"/>
    <w:tmpl w:val="F1BE8F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1" w15:restartNumberingAfterBreak="0">
    <w:nsid w:val="607378E1"/>
    <w:multiLevelType w:val="hybridMultilevel"/>
    <w:tmpl w:val="728AB8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2" w15:restartNumberingAfterBreak="0">
    <w:nsid w:val="60D93A64"/>
    <w:multiLevelType w:val="hybridMultilevel"/>
    <w:tmpl w:val="925C7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3" w15:restartNumberingAfterBreak="0">
    <w:nsid w:val="60E75731"/>
    <w:multiLevelType w:val="hybridMultilevel"/>
    <w:tmpl w:val="733AF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4" w15:restartNumberingAfterBreak="0">
    <w:nsid w:val="6120579D"/>
    <w:multiLevelType w:val="hybridMultilevel"/>
    <w:tmpl w:val="8CFE866C"/>
    <w:lvl w:ilvl="0" w:tplc="798676DE">
      <w:start w:val="1"/>
      <w:numFmt w:val="decimal"/>
      <w:lvlText w:val="%1."/>
      <w:lvlJc w:val="left"/>
      <w:pPr>
        <w:ind w:left="720" w:hanging="360"/>
      </w:pPr>
      <w:rPr>
        <w:rFonts w:cs="Times New Roman" w:hint="default"/>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5" w15:restartNumberingAfterBreak="0">
    <w:nsid w:val="61401399"/>
    <w:multiLevelType w:val="hybridMultilevel"/>
    <w:tmpl w:val="5C78F7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6" w15:restartNumberingAfterBreak="0">
    <w:nsid w:val="61A257B5"/>
    <w:multiLevelType w:val="hybridMultilevel"/>
    <w:tmpl w:val="237228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7" w15:restartNumberingAfterBreak="0">
    <w:nsid w:val="624A05A8"/>
    <w:multiLevelType w:val="hybridMultilevel"/>
    <w:tmpl w:val="38B27FB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8" w15:restartNumberingAfterBreak="0">
    <w:nsid w:val="626D2D12"/>
    <w:multiLevelType w:val="hybridMultilevel"/>
    <w:tmpl w:val="91A2582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79" w15:restartNumberingAfterBreak="0">
    <w:nsid w:val="62B91F6F"/>
    <w:multiLevelType w:val="hybridMultilevel"/>
    <w:tmpl w:val="219497F4"/>
    <w:lvl w:ilvl="0" w:tplc="293C3B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0" w15:restartNumberingAfterBreak="0">
    <w:nsid w:val="62CC7428"/>
    <w:multiLevelType w:val="hybridMultilevel"/>
    <w:tmpl w:val="FA5A1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1" w15:restartNumberingAfterBreak="0">
    <w:nsid w:val="62CD27EC"/>
    <w:multiLevelType w:val="hybridMultilevel"/>
    <w:tmpl w:val="D35046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2" w15:restartNumberingAfterBreak="0">
    <w:nsid w:val="631D2ADD"/>
    <w:multiLevelType w:val="hybridMultilevel"/>
    <w:tmpl w:val="408A4B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3" w15:restartNumberingAfterBreak="0">
    <w:nsid w:val="63446FFF"/>
    <w:multiLevelType w:val="hybridMultilevel"/>
    <w:tmpl w:val="A65E10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4" w15:restartNumberingAfterBreak="0">
    <w:nsid w:val="63563903"/>
    <w:multiLevelType w:val="hybridMultilevel"/>
    <w:tmpl w:val="C27A774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85" w15:restartNumberingAfterBreak="0">
    <w:nsid w:val="6361411F"/>
    <w:multiLevelType w:val="hybridMultilevel"/>
    <w:tmpl w:val="EF9858FE"/>
    <w:lvl w:ilvl="0" w:tplc="0409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386" w15:restartNumberingAfterBreak="0">
    <w:nsid w:val="636A1690"/>
    <w:multiLevelType w:val="hybridMultilevel"/>
    <w:tmpl w:val="D5EC5382"/>
    <w:lvl w:ilvl="0" w:tplc="14E88892">
      <w:start w:val="1"/>
      <w:numFmt w:val="decimal"/>
      <w:lvlText w:val="%1."/>
      <w:lvlJc w:val="left"/>
      <w:pPr>
        <w:ind w:left="400" w:hanging="360"/>
      </w:pPr>
      <w:rPr>
        <w:rFonts w:hint="default"/>
        <w:b w:val="0"/>
        <w:u w:val="none"/>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387" w15:restartNumberingAfterBreak="0">
    <w:nsid w:val="63F16099"/>
    <w:multiLevelType w:val="hybridMultilevel"/>
    <w:tmpl w:val="97F2C7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8" w15:restartNumberingAfterBreak="0">
    <w:nsid w:val="643472D1"/>
    <w:multiLevelType w:val="hybridMultilevel"/>
    <w:tmpl w:val="F6BE589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9" w15:restartNumberingAfterBreak="0">
    <w:nsid w:val="646D6A22"/>
    <w:multiLevelType w:val="hybridMultilevel"/>
    <w:tmpl w:val="E09EC4E0"/>
    <w:lvl w:ilvl="0" w:tplc="04090015">
      <w:start w:val="1"/>
      <w:numFmt w:val="upp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0" w15:restartNumberingAfterBreak="0">
    <w:nsid w:val="64AD0CF5"/>
    <w:multiLevelType w:val="multilevel"/>
    <w:tmpl w:val="AF4EB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1" w15:restartNumberingAfterBreak="0">
    <w:nsid w:val="64BC5FD1"/>
    <w:multiLevelType w:val="hybridMultilevel"/>
    <w:tmpl w:val="6C8A8CA6"/>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2" w15:restartNumberingAfterBreak="0">
    <w:nsid w:val="64CE020F"/>
    <w:multiLevelType w:val="hybridMultilevel"/>
    <w:tmpl w:val="48F66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3" w15:restartNumberingAfterBreak="0">
    <w:nsid w:val="653F76DC"/>
    <w:multiLevelType w:val="hybridMultilevel"/>
    <w:tmpl w:val="DDB03D22"/>
    <w:lvl w:ilvl="0" w:tplc="F5B6007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4" w15:restartNumberingAfterBreak="0">
    <w:nsid w:val="65762A92"/>
    <w:multiLevelType w:val="hybridMultilevel"/>
    <w:tmpl w:val="8A1259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5" w15:restartNumberingAfterBreak="0">
    <w:nsid w:val="65A3768C"/>
    <w:multiLevelType w:val="hybridMultilevel"/>
    <w:tmpl w:val="B14AE0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6" w15:restartNumberingAfterBreak="0">
    <w:nsid w:val="65FA75BA"/>
    <w:multiLevelType w:val="hybridMultilevel"/>
    <w:tmpl w:val="1C26209E"/>
    <w:lvl w:ilvl="0" w:tplc="957AF6CC">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7" w15:restartNumberingAfterBreak="0">
    <w:nsid w:val="66093C39"/>
    <w:multiLevelType w:val="hybridMultilevel"/>
    <w:tmpl w:val="960A99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8" w15:restartNumberingAfterBreak="0">
    <w:nsid w:val="665C2A6C"/>
    <w:multiLevelType w:val="hybridMultilevel"/>
    <w:tmpl w:val="6F06D5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668E12B1"/>
    <w:multiLevelType w:val="hybridMultilevel"/>
    <w:tmpl w:val="73AAA59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0" w15:restartNumberingAfterBreak="0">
    <w:nsid w:val="66AB0B69"/>
    <w:multiLevelType w:val="hybridMultilevel"/>
    <w:tmpl w:val="DCC623EA"/>
    <w:lvl w:ilvl="0" w:tplc="F5B6007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1" w15:restartNumberingAfterBreak="0">
    <w:nsid w:val="672716C5"/>
    <w:multiLevelType w:val="hybridMultilevel"/>
    <w:tmpl w:val="80DCE45E"/>
    <w:lvl w:ilvl="0" w:tplc="6772024C">
      <w:start w:val="1"/>
      <w:numFmt w:val="decimal"/>
      <w:lvlText w:val="%1."/>
      <w:lvlJc w:val="left"/>
      <w:pPr>
        <w:ind w:left="720" w:hanging="360"/>
      </w:pPr>
      <w:rPr>
        <w:rFonts w:hint="default"/>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2" w15:restartNumberingAfterBreak="0">
    <w:nsid w:val="673D6D8B"/>
    <w:multiLevelType w:val="hybridMultilevel"/>
    <w:tmpl w:val="6C880B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3" w15:restartNumberingAfterBreak="0">
    <w:nsid w:val="675616B9"/>
    <w:multiLevelType w:val="hybridMultilevel"/>
    <w:tmpl w:val="DA5E0A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4" w15:restartNumberingAfterBreak="0">
    <w:nsid w:val="67614B86"/>
    <w:multiLevelType w:val="hybridMultilevel"/>
    <w:tmpl w:val="A954A0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5" w15:restartNumberingAfterBreak="0">
    <w:nsid w:val="67673A93"/>
    <w:multiLevelType w:val="hybridMultilevel"/>
    <w:tmpl w:val="CFCA3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6" w15:restartNumberingAfterBreak="0">
    <w:nsid w:val="677F306A"/>
    <w:multiLevelType w:val="hybridMultilevel"/>
    <w:tmpl w:val="2C482B8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7" w15:restartNumberingAfterBreak="0">
    <w:nsid w:val="67BD040A"/>
    <w:multiLevelType w:val="hybridMultilevel"/>
    <w:tmpl w:val="DC44BB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8" w15:restartNumberingAfterBreak="0">
    <w:nsid w:val="684F7102"/>
    <w:multiLevelType w:val="hybridMultilevel"/>
    <w:tmpl w:val="5B0C6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9" w15:restartNumberingAfterBreak="0">
    <w:nsid w:val="685A09C9"/>
    <w:multiLevelType w:val="hybridMultilevel"/>
    <w:tmpl w:val="24149D9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0" w15:restartNumberingAfterBreak="0">
    <w:nsid w:val="69786AC7"/>
    <w:multiLevelType w:val="hybridMultilevel"/>
    <w:tmpl w:val="37FE79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1" w15:restartNumberingAfterBreak="0">
    <w:nsid w:val="69982B7B"/>
    <w:multiLevelType w:val="hybridMultilevel"/>
    <w:tmpl w:val="A3766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2" w15:restartNumberingAfterBreak="0">
    <w:nsid w:val="69F06BE6"/>
    <w:multiLevelType w:val="hybridMultilevel"/>
    <w:tmpl w:val="9E2CA6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3" w15:restartNumberingAfterBreak="0">
    <w:nsid w:val="69FC4661"/>
    <w:multiLevelType w:val="hybridMultilevel"/>
    <w:tmpl w:val="92B47E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4" w15:restartNumberingAfterBreak="0">
    <w:nsid w:val="6A046276"/>
    <w:multiLevelType w:val="hybridMultilevel"/>
    <w:tmpl w:val="0E16A426"/>
    <w:lvl w:ilvl="0" w:tplc="1A466898">
      <w:start w:val="1"/>
      <w:numFmt w:val="decimal"/>
      <w:lvlText w:val="%1."/>
      <w:lvlJc w:val="left"/>
      <w:pPr>
        <w:ind w:left="720" w:hanging="360"/>
      </w:pPr>
      <w:rPr>
        <w:rFonts w:ascii="Calibri" w:hAnsi="Calibri" w:cs="Calibri"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5" w15:restartNumberingAfterBreak="0">
    <w:nsid w:val="6A324859"/>
    <w:multiLevelType w:val="hybridMultilevel"/>
    <w:tmpl w:val="C36EFF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6" w15:restartNumberingAfterBreak="0">
    <w:nsid w:val="6A4368D4"/>
    <w:multiLevelType w:val="hybridMultilevel"/>
    <w:tmpl w:val="884C442E"/>
    <w:lvl w:ilvl="0" w:tplc="DC66F422">
      <w:start w:val="1"/>
      <w:numFmt w:val="decimal"/>
      <w:lvlText w:val="%1."/>
      <w:lvlJc w:val="left"/>
      <w:pPr>
        <w:ind w:left="430" w:hanging="360"/>
      </w:pPr>
      <w:rPr>
        <w:rFonts w:hint="default"/>
      </w:r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417" w15:restartNumberingAfterBreak="0">
    <w:nsid w:val="6A906420"/>
    <w:multiLevelType w:val="hybridMultilevel"/>
    <w:tmpl w:val="2286F0C8"/>
    <w:lvl w:ilvl="0" w:tplc="AAD8B03A">
      <w:start w:val="1"/>
      <w:numFmt w:val="lowerLetter"/>
      <w:lvlText w:val="%1."/>
      <w:lvlJc w:val="left"/>
      <w:pPr>
        <w:ind w:left="720" w:hanging="360"/>
      </w:pPr>
      <w:rPr>
        <w:rFonts w:hint="default"/>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8" w15:restartNumberingAfterBreak="0">
    <w:nsid w:val="6AC2607F"/>
    <w:multiLevelType w:val="hybridMultilevel"/>
    <w:tmpl w:val="6944A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9" w15:restartNumberingAfterBreak="0">
    <w:nsid w:val="6B043A0C"/>
    <w:multiLevelType w:val="hybridMultilevel"/>
    <w:tmpl w:val="256E67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0" w15:restartNumberingAfterBreak="0">
    <w:nsid w:val="6B1C5934"/>
    <w:multiLevelType w:val="hybridMultilevel"/>
    <w:tmpl w:val="E1401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1" w15:restartNumberingAfterBreak="0">
    <w:nsid w:val="6B281CA1"/>
    <w:multiLevelType w:val="hybridMultilevel"/>
    <w:tmpl w:val="03D2D4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2" w15:restartNumberingAfterBreak="0">
    <w:nsid w:val="6B55586B"/>
    <w:multiLevelType w:val="hybridMultilevel"/>
    <w:tmpl w:val="7BCE0E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3" w15:restartNumberingAfterBreak="0">
    <w:nsid w:val="6C05415A"/>
    <w:multiLevelType w:val="hybridMultilevel"/>
    <w:tmpl w:val="9F18F05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4" w15:restartNumberingAfterBreak="0">
    <w:nsid w:val="6CD04576"/>
    <w:multiLevelType w:val="hybridMultilevel"/>
    <w:tmpl w:val="F394332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5" w15:restartNumberingAfterBreak="0">
    <w:nsid w:val="6CED219D"/>
    <w:multiLevelType w:val="hybridMultilevel"/>
    <w:tmpl w:val="9182C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6" w15:restartNumberingAfterBreak="0">
    <w:nsid w:val="6D0369B9"/>
    <w:multiLevelType w:val="hybridMultilevel"/>
    <w:tmpl w:val="1CE83094"/>
    <w:lvl w:ilvl="0" w:tplc="5526246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7" w15:restartNumberingAfterBreak="0">
    <w:nsid w:val="6D134465"/>
    <w:multiLevelType w:val="hybridMultilevel"/>
    <w:tmpl w:val="E384D4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8" w15:restartNumberingAfterBreak="0">
    <w:nsid w:val="6D5405B8"/>
    <w:multiLevelType w:val="hybridMultilevel"/>
    <w:tmpl w:val="0CC68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9" w15:restartNumberingAfterBreak="0">
    <w:nsid w:val="6DB50C7A"/>
    <w:multiLevelType w:val="hybridMultilevel"/>
    <w:tmpl w:val="9A10BF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0" w15:restartNumberingAfterBreak="0">
    <w:nsid w:val="6DBC1663"/>
    <w:multiLevelType w:val="hybridMultilevel"/>
    <w:tmpl w:val="05E0CC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1" w15:restartNumberingAfterBreak="0">
    <w:nsid w:val="6E0326A8"/>
    <w:multiLevelType w:val="hybridMultilevel"/>
    <w:tmpl w:val="4BC681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2" w15:restartNumberingAfterBreak="0">
    <w:nsid w:val="6E1567C4"/>
    <w:multiLevelType w:val="hybridMultilevel"/>
    <w:tmpl w:val="2ED03DFC"/>
    <w:lvl w:ilvl="0" w:tplc="7E782ABA">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AB6E3CA2">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61C46C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0BAA2A2">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BF42EC4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CF8C4AA">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3B64134">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E03AD46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20A413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33" w15:restartNumberingAfterBreak="0">
    <w:nsid w:val="6E2E2BED"/>
    <w:multiLevelType w:val="hybridMultilevel"/>
    <w:tmpl w:val="750CCFD4"/>
    <w:lvl w:ilvl="0" w:tplc="51768C6E">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4" w15:restartNumberingAfterBreak="0">
    <w:nsid w:val="6E6B4D7B"/>
    <w:multiLevelType w:val="hybridMultilevel"/>
    <w:tmpl w:val="C452F3CC"/>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35" w15:restartNumberingAfterBreak="0">
    <w:nsid w:val="6ECE2E42"/>
    <w:multiLevelType w:val="hybridMultilevel"/>
    <w:tmpl w:val="C582B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6" w15:restartNumberingAfterBreak="0">
    <w:nsid w:val="6F711B7A"/>
    <w:multiLevelType w:val="hybridMultilevel"/>
    <w:tmpl w:val="52E0D6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7" w15:restartNumberingAfterBreak="0">
    <w:nsid w:val="6FC778EE"/>
    <w:multiLevelType w:val="hybridMultilevel"/>
    <w:tmpl w:val="A1863514"/>
    <w:lvl w:ilvl="0" w:tplc="C92C4BF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8" w15:restartNumberingAfterBreak="0">
    <w:nsid w:val="70041E55"/>
    <w:multiLevelType w:val="hybridMultilevel"/>
    <w:tmpl w:val="E3363E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9" w15:restartNumberingAfterBreak="0">
    <w:nsid w:val="709544DA"/>
    <w:multiLevelType w:val="hybridMultilevel"/>
    <w:tmpl w:val="CCF44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0" w15:restartNumberingAfterBreak="0">
    <w:nsid w:val="709551D5"/>
    <w:multiLevelType w:val="hybridMultilevel"/>
    <w:tmpl w:val="6F265FBA"/>
    <w:lvl w:ilvl="0" w:tplc="75F82CA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41" w15:restartNumberingAfterBreak="0">
    <w:nsid w:val="70AC3F46"/>
    <w:multiLevelType w:val="hybridMultilevel"/>
    <w:tmpl w:val="10641166"/>
    <w:lvl w:ilvl="0" w:tplc="E8D0FF4C">
      <w:start w:val="1"/>
      <w:numFmt w:val="decimal"/>
      <w:lvlText w:val="%1."/>
      <w:lvlJc w:val="left"/>
      <w:pPr>
        <w:ind w:left="720" w:hanging="360"/>
      </w:pPr>
      <w:rPr>
        <w:rFonts w:asciiTheme="minorHAnsi" w:hAnsiTheme="minorHAnsi" w:hint="default"/>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2" w15:restartNumberingAfterBreak="0">
    <w:nsid w:val="713670A8"/>
    <w:multiLevelType w:val="hybridMultilevel"/>
    <w:tmpl w:val="7FCA05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3" w15:restartNumberingAfterBreak="0">
    <w:nsid w:val="717558BC"/>
    <w:multiLevelType w:val="hybridMultilevel"/>
    <w:tmpl w:val="1D6046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4" w15:restartNumberingAfterBreak="0">
    <w:nsid w:val="718967A1"/>
    <w:multiLevelType w:val="hybridMultilevel"/>
    <w:tmpl w:val="8D6604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5" w15:restartNumberingAfterBreak="0">
    <w:nsid w:val="7211399B"/>
    <w:multiLevelType w:val="hybridMultilevel"/>
    <w:tmpl w:val="3B5A3F2A"/>
    <w:lvl w:ilvl="0" w:tplc="AE987A64">
      <w:start w:val="1"/>
      <w:numFmt w:val="decimal"/>
      <w:lvlText w:val="%1."/>
      <w:lvlJc w:val="left"/>
      <w:pPr>
        <w:ind w:left="810" w:hanging="360"/>
      </w:pPr>
      <w:rPr>
        <w:sz w:val="16"/>
        <w:szCs w:val="16"/>
      </w:rPr>
    </w:lvl>
    <w:lvl w:ilvl="1" w:tplc="04090019" w:tentative="1">
      <w:start w:val="1"/>
      <w:numFmt w:val="lowerLetter"/>
      <w:lvlText w:val="%2."/>
      <w:lvlJc w:val="left"/>
      <w:pPr>
        <w:ind w:left="1530" w:hanging="360"/>
      </w:pPr>
    </w:lvl>
    <w:lvl w:ilvl="2" w:tplc="0409001B">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46" w15:restartNumberingAfterBreak="0">
    <w:nsid w:val="72B85D70"/>
    <w:multiLevelType w:val="hybridMultilevel"/>
    <w:tmpl w:val="67FE15DE"/>
    <w:lvl w:ilvl="0" w:tplc="5ED8FD70">
      <w:start w:val="1"/>
      <w:numFmt w:val="decimal"/>
      <w:lvlText w:val="%1."/>
      <w:lvlJc w:val="left"/>
      <w:pPr>
        <w:ind w:left="360" w:hanging="360"/>
      </w:pPr>
      <w:rPr>
        <w:rFonts w:asciiTheme="minorHAnsi" w:eastAsiaTheme="minorHAnsi" w:hAnsiTheme="minorHAnsi" w:cstheme="minorBidi"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7" w15:restartNumberingAfterBreak="0">
    <w:nsid w:val="72CE1E2B"/>
    <w:multiLevelType w:val="hybridMultilevel"/>
    <w:tmpl w:val="B5C28C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8" w15:restartNumberingAfterBreak="0">
    <w:nsid w:val="72D3530B"/>
    <w:multiLevelType w:val="hybridMultilevel"/>
    <w:tmpl w:val="2A985FC0"/>
    <w:lvl w:ilvl="0" w:tplc="392C9B38">
      <w:start w:val="1"/>
      <w:numFmt w:val="decimal"/>
      <w:lvlText w:val="%1."/>
      <w:lvlJc w:val="left"/>
      <w:pPr>
        <w:ind w:left="720" w:hanging="360"/>
      </w:pPr>
      <w:rPr>
        <w:rFonts w:ascii="Arial" w:hAnsi="Arial" w:cs="Arial" w:hint="default"/>
        <w:color w:val="222222"/>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9" w15:restartNumberingAfterBreak="0">
    <w:nsid w:val="72EE75FA"/>
    <w:multiLevelType w:val="multilevel"/>
    <w:tmpl w:val="AB1AB7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0" w15:restartNumberingAfterBreak="0">
    <w:nsid w:val="73391930"/>
    <w:multiLevelType w:val="hybridMultilevel"/>
    <w:tmpl w:val="FA10CD46"/>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1" w15:restartNumberingAfterBreak="0">
    <w:nsid w:val="73486ACD"/>
    <w:multiLevelType w:val="hybridMultilevel"/>
    <w:tmpl w:val="3028C064"/>
    <w:lvl w:ilvl="0" w:tplc="04090003">
      <w:start w:val="1"/>
      <w:numFmt w:val="bullet"/>
      <w:lvlText w:val="o"/>
      <w:lvlJc w:val="left"/>
      <w:pPr>
        <w:ind w:left="720" w:hanging="360"/>
      </w:pPr>
      <w:rPr>
        <w:rFonts w:ascii="Courier New" w:hAnsi="Courier New" w:cs="Courier New" w:hint="default"/>
      </w:rPr>
    </w:lvl>
    <w:lvl w:ilvl="1" w:tplc="43C694D2">
      <w:start w:val="1"/>
      <w:numFmt w:val="bullet"/>
      <w:lvlText w:val="o"/>
      <w:lvlJc w:val="left"/>
      <w:pPr>
        <w:ind w:left="1440" w:hanging="360"/>
      </w:pPr>
      <w:rPr>
        <w:rFonts w:ascii="Courier New" w:hAnsi="Courier New" w:cs="Courier New" w:hint="default"/>
        <w:sz w:val="16"/>
        <w:szCs w:val="1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2" w15:restartNumberingAfterBreak="0">
    <w:nsid w:val="7360684B"/>
    <w:multiLevelType w:val="hybridMultilevel"/>
    <w:tmpl w:val="A28C4D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3" w15:restartNumberingAfterBreak="0">
    <w:nsid w:val="73D15A9E"/>
    <w:multiLevelType w:val="hybridMultilevel"/>
    <w:tmpl w:val="15D29782"/>
    <w:lvl w:ilvl="0" w:tplc="0A9441B4">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4" w15:restartNumberingAfterBreak="0">
    <w:nsid w:val="73D218F0"/>
    <w:multiLevelType w:val="hybridMultilevel"/>
    <w:tmpl w:val="E53E3F48"/>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55" w15:restartNumberingAfterBreak="0">
    <w:nsid w:val="74442DB2"/>
    <w:multiLevelType w:val="hybridMultilevel"/>
    <w:tmpl w:val="8092E0C2"/>
    <w:lvl w:ilvl="0" w:tplc="E5B4CF7E">
      <w:start w:val="1"/>
      <w:numFmt w:val="bullet"/>
      <w:lvlText w:val="o"/>
      <w:lvlJc w:val="left"/>
      <w:pPr>
        <w:ind w:left="706" w:hanging="360"/>
      </w:pPr>
      <w:rPr>
        <w:rFonts w:ascii="Calibri" w:hAnsi="Calibri" w:cs="Calibri"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456" w15:restartNumberingAfterBreak="0">
    <w:nsid w:val="74E84381"/>
    <w:multiLevelType w:val="hybridMultilevel"/>
    <w:tmpl w:val="6F8484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7" w15:restartNumberingAfterBreak="0">
    <w:nsid w:val="75656C0C"/>
    <w:multiLevelType w:val="hybridMultilevel"/>
    <w:tmpl w:val="8C50622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58" w15:restartNumberingAfterBreak="0">
    <w:nsid w:val="75657921"/>
    <w:multiLevelType w:val="hybridMultilevel"/>
    <w:tmpl w:val="775A19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9" w15:restartNumberingAfterBreak="0">
    <w:nsid w:val="757B5279"/>
    <w:multiLevelType w:val="hybridMultilevel"/>
    <w:tmpl w:val="8C0AD85E"/>
    <w:lvl w:ilvl="0" w:tplc="264A590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0" w15:restartNumberingAfterBreak="0">
    <w:nsid w:val="759F36A5"/>
    <w:multiLevelType w:val="hybridMultilevel"/>
    <w:tmpl w:val="0CD802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1" w15:restartNumberingAfterBreak="0">
    <w:nsid w:val="75B43E36"/>
    <w:multiLevelType w:val="hybridMultilevel"/>
    <w:tmpl w:val="5790AE78"/>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2" w15:restartNumberingAfterBreak="0">
    <w:nsid w:val="75C8489B"/>
    <w:multiLevelType w:val="hybridMultilevel"/>
    <w:tmpl w:val="32D21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3" w15:restartNumberingAfterBreak="0">
    <w:nsid w:val="765F73E0"/>
    <w:multiLevelType w:val="hybridMultilevel"/>
    <w:tmpl w:val="4680F0EC"/>
    <w:lvl w:ilvl="0" w:tplc="324AB39C">
      <w:start w:val="1"/>
      <w:numFmt w:val="decimal"/>
      <w:lvlText w:val="%1."/>
      <w:lvlJc w:val="left"/>
      <w:pPr>
        <w:ind w:left="1800" w:hanging="360"/>
      </w:pPr>
      <w:rPr>
        <w:rFonts w:hint="default"/>
        <w:sz w:val="16"/>
        <w:szCs w:val="16"/>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4" w15:restartNumberingAfterBreak="0">
    <w:nsid w:val="766B2BD3"/>
    <w:multiLevelType w:val="hybridMultilevel"/>
    <w:tmpl w:val="DFDA5C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5" w15:restartNumberingAfterBreak="0">
    <w:nsid w:val="77A96F88"/>
    <w:multiLevelType w:val="hybridMultilevel"/>
    <w:tmpl w:val="E48A06F8"/>
    <w:lvl w:ilvl="0" w:tplc="C024A0E4">
      <w:start w:val="1"/>
      <w:numFmt w:val="decimal"/>
      <w:lvlText w:val="%1."/>
      <w:lvlJc w:val="left"/>
      <w:pPr>
        <w:ind w:left="720" w:hanging="360"/>
      </w:pPr>
      <w:rPr>
        <w:rFonts w:cs="Avenir 55 Roman" w:hint="default"/>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6" w15:restartNumberingAfterBreak="0">
    <w:nsid w:val="783844BC"/>
    <w:multiLevelType w:val="hybridMultilevel"/>
    <w:tmpl w:val="667E4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7" w15:restartNumberingAfterBreak="0">
    <w:nsid w:val="783F62C7"/>
    <w:multiLevelType w:val="multilevel"/>
    <w:tmpl w:val="51D862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8" w15:restartNumberingAfterBreak="0">
    <w:nsid w:val="78B75624"/>
    <w:multiLevelType w:val="multilevel"/>
    <w:tmpl w:val="F7762A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9" w15:restartNumberingAfterBreak="0">
    <w:nsid w:val="78F82243"/>
    <w:multiLevelType w:val="hybridMultilevel"/>
    <w:tmpl w:val="192AB0AA"/>
    <w:lvl w:ilvl="0" w:tplc="F5B6007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0" w15:restartNumberingAfterBreak="0">
    <w:nsid w:val="794B019F"/>
    <w:multiLevelType w:val="hybridMultilevel"/>
    <w:tmpl w:val="F3F479F0"/>
    <w:lvl w:ilvl="0" w:tplc="6FA8FE1A">
      <w:start w:val="1"/>
      <w:numFmt w:val="decimal"/>
      <w:lvlText w:val="%1."/>
      <w:lvlJc w:val="left"/>
      <w:pPr>
        <w:ind w:left="720" w:hanging="360"/>
      </w:pPr>
      <w:rPr>
        <w:rFonts w:hint="default"/>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1" w15:restartNumberingAfterBreak="0">
    <w:nsid w:val="79921DD3"/>
    <w:multiLevelType w:val="hybridMultilevel"/>
    <w:tmpl w:val="C63EBF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2" w15:restartNumberingAfterBreak="0">
    <w:nsid w:val="799E79B7"/>
    <w:multiLevelType w:val="hybridMultilevel"/>
    <w:tmpl w:val="F2DED61C"/>
    <w:lvl w:ilvl="0" w:tplc="85B02530">
      <w:start w:val="1"/>
      <w:numFmt w:val="decimal"/>
      <w:lvlText w:val="%1."/>
      <w:lvlJc w:val="left"/>
      <w:pPr>
        <w:ind w:left="360" w:hanging="360"/>
      </w:pPr>
      <w:rPr>
        <w:rFonts w:asciiTheme="minorHAnsi" w:eastAsiaTheme="minorHAnsi" w:hAnsiTheme="minorHAnsi" w:cstheme="minorBidi"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3" w15:restartNumberingAfterBreak="0">
    <w:nsid w:val="79B737D3"/>
    <w:multiLevelType w:val="hybridMultilevel"/>
    <w:tmpl w:val="A22614E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4" w15:restartNumberingAfterBreak="0">
    <w:nsid w:val="7A1413DA"/>
    <w:multiLevelType w:val="hybridMultilevel"/>
    <w:tmpl w:val="7BAE2A9C"/>
    <w:lvl w:ilvl="0" w:tplc="058AE6F0">
      <w:start w:val="1"/>
      <w:numFmt w:val="decimal"/>
      <w:lvlText w:val="%1."/>
      <w:lvlJc w:val="left"/>
      <w:pPr>
        <w:ind w:left="720" w:hanging="360"/>
      </w:pPr>
      <w:rPr>
        <w:rFonts w:hint="default"/>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5" w15:restartNumberingAfterBreak="0">
    <w:nsid w:val="7A4A40E5"/>
    <w:multiLevelType w:val="hybridMultilevel"/>
    <w:tmpl w:val="107A6A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6" w15:restartNumberingAfterBreak="0">
    <w:nsid w:val="7A5309BC"/>
    <w:multiLevelType w:val="hybridMultilevel"/>
    <w:tmpl w:val="F09C1A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7" w15:restartNumberingAfterBreak="0">
    <w:nsid w:val="7A70777C"/>
    <w:multiLevelType w:val="hybridMultilevel"/>
    <w:tmpl w:val="91A4BD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8" w15:restartNumberingAfterBreak="0">
    <w:nsid w:val="7A805051"/>
    <w:multiLevelType w:val="hybridMultilevel"/>
    <w:tmpl w:val="E79E29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9" w15:restartNumberingAfterBreak="0">
    <w:nsid w:val="7AC059AB"/>
    <w:multiLevelType w:val="hybridMultilevel"/>
    <w:tmpl w:val="910276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0" w15:restartNumberingAfterBreak="0">
    <w:nsid w:val="7AED275C"/>
    <w:multiLevelType w:val="hybridMultilevel"/>
    <w:tmpl w:val="36BEA7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1" w15:restartNumberingAfterBreak="0">
    <w:nsid w:val="7B217795"/>
    <w:multiLevelType w:val="hybridMultilevel"/>
    <w:tmpl w:val="B2C83E34"/>
    <w:lvl w:ilvl="0" w:tplc="264A590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2" w15:restartNumberingAfterBreak="0">
    <w:nsid w:val="7B4A1FA5"/>
    <w:multiLevelType w:val="multilevel"/>
    <w:tmpl w:val="43CE82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3" w15:restartNumberingAfterBreak="0">
    <w:nsid w:val="7B651CD3"/>
    <w:multiLevelType w:val="hybridMultilevel"/>
    <w:tmpl w:val="6AA49A3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4" w15:restartNumberingAfterBreak="0">
    <w:nsid w:val="7BD61AE2"/>
    <w:multiLevelType w:val="hybridMultilevel"/>
    <w:tmpl w:val="6DB2A948"/>
    <w:lvl w:ilvl="0" w:tplc="D526CB1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5" w15:restartNumberingAfterBreak="0">
    <w:nsid w:val="7C1914C0"/>
    <w:multiLevelType w:val="hybridMultilevel"/>
    <w:tmpl w:val="69DC8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6" w15:restartNumberingAfterBreak="0">
    <w:nsid w:val="7C702EAC"/>
    <w:multiLevelType w:val="hybridMultilevel"/>
    <w:tmpl w:val="2AB0013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7" w15:restartNumberingAfterBreak="0">
    <w:nsid w:val="7C9533D2"/>
    <w:multiLevelType w:val="hybridMultilevel"/>
    <w:tmpl w:val="748EE4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8" w15:restartNumberingAfterBreak="0">
    <w:nsid w:val="7D03232F"/>
    <w:multiLevelType w:val="hybridMultilevel"/>
    <w:tmpl w:val="0E8673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9" w15:restartNumberingAfterBreak="0">
    <w:nsid w:val="7D1B41E5"/>
    <w:multiLevelType w:val="hybridMultilevel"/>
    <w:tmpl w:val="42E49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0" w15:restartNumberingAfterBreak="0">
    <w:nsid w:val="7D5331C1"/>
    <w:multiLevelType w:val="multilevel"/>
    <w:tmpl w:val="D34CC8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1" w15:restartNumberingAfterBreak="0">
    <w:nsid w:val="7D661031"/>
    <w:multiLevelType w:val="hybridMultilevel"/>
    <w:tmpl w:val="AA32B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2" w15:restartNumberingAfterBreak="0">
    <w:nsid w:val="7D7667DD"/>
    <w:multiLevelType w:val="hybridMultilevel"/>
    <w:tmpl w:val="AA0C306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3" w15:restartNumberingAfterBreak="0">
    <w:nsid w:val="7D7F508D"/>
    <w:multiLevelType w:val="hybridMultilevel"/>
    <w:tmpl w:val="351027C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4" w15:restartNumberingAfterBreak="0">
    <w:nsid w:val="7D89522A"/>
    <w:multiLevelType w:val="hybridMultilevel"/>
    <w:tmpl w:val="ACC6B8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5" w15:restartNumberingAfterBreak="0">
    <w:nsid w:val="7DBF57D0"/>
    <w:multiLevelType w:val="hybridMultilevel"/>
    <w:tmpl w:val="D6C6EDF2"/>
    <w:lvl w:ilvl="0" w:tplc="650A915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6" w15:restartNumberingAfterBreak="0">
    <w:nsid w:val="7DDC2E41"/>
    <w:multiLevelType w:val="hybridMultilevel"/>
    <w:tmpl w:val="7338A7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7" w15:restartNumberingAfterBreak="0">
    <w:nsid w:val="7DE10270"/>
    <w:multiLevelType w:val="hybridMultilevel"/>
    <w:tmpl w:val="6212B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8" w15:restartNumberingAfterBreak="0">
    <w:nsid w:val="7E6F37E1"/>
    <w:multiLevelType w:val="hybridMultilevel"/>
    <w:tmpl w:val="A358CE2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9" w15:restartNumberingAfterBreak="0">
    <w:nsid w:val="7E931327"/>
    <w:multiLevelType w:val="hybridMultilevel"/>
    <w:tmpl w:val="F5323F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0" w15:restartNumberingAfterBreak="0">
    <w:nsid w:val="7EAE2310"/>
    <w:multiLevelType w:val="hybridMultilevel"/>
    <w:tmpl w:val="C3F4E9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1" w15:restartNumberingAfterBreak="0">
    <w:nsid w:val="7EF30D9E"/>
    <w:multiLevelType w:val="hybridMultilevel"/>
    <w:tmpl w:val="16F28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2" w15:restartNumberingAfterBreak="0">
    <w:nsid w:val="7EFA2365"/>
    <w:multiLevelType w:val="hybridMultilevel"/>
    <w:tmpl w:val="94F886FA"/>
    <w:lvl w:ilvl="0" w:tplc="E1563AE4">
      <w:start w:val="1"/>
      <w:numFmt w:val="decimal"/>
      <w:lvlText w:val="%1."/>
      <w:lvlJc w:val="left"/>
      <w:pPr>
        <w:ind w:left="720" w:hanging="360"/>
      </w:pPr>
      <w:rPr>
        <w:rFonts w:asciiTheme="minorHAnsi" w:hAnsiTheme="minorHAnsi" w:cstheme="minorHAnsi" w:hint="default"/>
        <w:color w:val="auto"/>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3" w15:restartNumberingAfterBreak="0">
    <w:nsid w:val="7F0D66A7"/>
    <w:multiLevelType w:val="hybridMultilevel"/>
    <w:tmpl w:val="DBE22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4" w15:restartNumberingAfterBreak="0">
    <w:nsid w:val="7FAB0748"/>
    <w:multiLevelType w:val="hybridMultilevel"/>
    <w:tmpl w:val="4BC400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5" w15:restartNumberingAfterBreak="0">
    <w:nsid w:val="7FC57B28"/>
    <w:multiLevelType w:val="hybridMultilevel"/>
    <w:tmpl w:val="278204F6"/>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num w:numId="1" w16cid:durableId="572787312">
    <w:abstractNumId w:val="390"/>
  </w:num>
  <w:num w:numId="2" w16cid:durableId="1475833717">
    <w:abstractNumId w:val="122"/>
  </w:num>
  <w:num w:numId="3" w16cid:durableId="972757608">
    <w:abstractNumId w:val="340"/>
  </w:num>
  <w:num w:numId="4" w16cid:durableId="598175485">
    <w:abstractNumId w:val="132"/>
  </w:num>
  <w:num w:numId="5" w16cid:durableId="663094348">
    <w:abstractNumId w:val="382"/>
  </w:num>
  <w:num w:numId="6" w16cid:durableId="352390027">
    <w:abstractNumId w:val="18"/>
  </w:num>
  <w:num w:numId="7" w16cid:durableId="226650805">
    <w:abstractNumId w:val="239"/>
  </w:num>
  <w:num w:numId="8" w16cid:durableId="1628391441">
    <w:abstractNumId w:val="377"/>
  </w:num>
  <w:num w:numId="9" w16cid:durableId="1890721245">
    <w:abstractNumId w:val="1"/>
  </w:num>
  <w:num w:numId="10" w16cid:durableId="1881045311">
    <w:abstractNumId w:val="202"/>
  </w:num>
  <w:num w:numId="11" w16cid:durableId="704142244">
    <w:abstractNumId w:val="488"/>
  </w:num>
  <w:num w:numId="12" w16cid:durableId="2019458627">
    <w:abstractNumId w:val="483"/>
  </w:num>
  <w:num w:numId="13" w16cid:durableId="657391916">
    <w:abstractNumId w:val="347"/>
  </w:num>
  <w:num w:numId="14" w16cid:durableId="520777412">
    <w:abstractNumId w:val="87"/>
  </w:num>
  <w:num w:numId="15" w16cid:durableId="489564598">
    <w:abstractNumId w:val="173"/>
  </w:num>
  <w:num w:numId="16" w16cid:durableId="707297167">
    <w:abstractNumId w:val="385"/>
  </w:num>
  <w:num w:numId="17" w16cid:durableId="699013316">
    <w:abstractNumId w:val="288"/>
  </w:num>
  <w:num w:numId="18" w16cid:durableId="1419670911">
    <w:abstractNumId w:val="387"/>
  </w:num>
  <w:num w:numId="19" w16cid:durableId="422922361">
    <w:abstractNumId w:val="100"/>
  </w:num>
  <w:num w:numId="20" w16cid:durableId="1269047323">
    <w:abstractNumId w:val="204"/>
  </w:num>
  <w:num w:numId="21" w16cid:durableId="1757284418">
    <w:abstractNumId w:val="76"/>
  </w:num>
  <w:num w:numId="22" w16cid:durableId="633946479">
    <w:abstractNumId w:val="500"/>
  </w:num>
  <w:num w:numId="23" w16cid:durableId="2065442085">
    <w:abstractNumId w:val="409"/>
  </w:num>
  <w:num w:numId="24" w16cid:durableId="912812416">
    <w:abstractNumId w:val="307"/>
  </w:num>
  <w:num w:numId="25" w16cid:durableId="599221238">
    <w:abstractNumId w:val="158"/>
  </w:num>
  <w:num w:numId="26" w16cid:durableId="611517033">
    <w:abstractNumId w:val="237"/>
  </w:num>
  <w:num w:numId="27" w16cid:durableId="1311057733">
    <w:abstractNumId w:val="487"/>
  </w:num>
  <w:num w:numId="28" w16cid:durableId="701783710">
    <w:abstractNumId w:val="391"/>
  </w:num>
  <w:num w:numId="29" w16cid:durableId="799225320">
    <w:abstractNumId w:val="203"/>
  </w:num>
  <w:num w:numId="30" w16cid:durableId="203834138">
    <w:abstractNumId w:val="369"/>
  </w:num>
  <w:num w:numId="31" w16cid:durableId="271940828">
    <w:abstractNumId w:val="198"/>
  </w:num>
  <w:num w:numId="32" w16cid:durableId="1499806364">
    <w:abstractNumId w:val="273"/>
  </w:num>
  <w:num w:numId="33" w16cid:durableId="1941402845">
    <w:abstractNumId w:val="486"/>
  </w:num>
  <w:num w:numId="34" w16cid:durableId="177889214">
    <w:abstractNumId w:val="267"/>
  </w:num>
  <w:num w:numId="35" w16cid:durableId="1426997979">
    <w:abstractNumId w:val="406"/>
  </w:num>
  <w:num w:numId="36" w16cid:durableId="97339248">
    <w:abstractNumId w:val="491"/>
  </w:num>
  <w:num w:numId="37" w16cid:durableId="970281141">
    <w:abstractNumId w:val="85"/>
  </w:num>
  <w:num w:numId="38" w16cid:durableId="1750883794">
    <w:abstractNumId w:val="463"/>
  </w:num>
  <w:num w:numId="39" w16cid:durableId="455218963">
    <w:abstractNumId w:val="39"/>
  </w:num>
  <w:num w:numId="40" w16cid:durableId="1442414467">
    <w:abstractNumId w:val="23"/>
  </w:num>
  <w:num w:numId="41" w16cid:durableId="1132019580">
    <w:abstractNumId w:val="72"/>
  </w:num>
  <w:num w:numId="42" w16cid:durableId="871502671">
    <w:abstractNumId w:val="392"/>
  </w:num>
  <w:num w:numId="43" w16cid:durableId="1603607420">
    <w:abstractNumId w:val="365"/>
  </w:num>
  <w:num w:numId="44" w16cid:durableId="138498063">
    <w:abstractNumId w:val="115"/>
  </w:num>
  <w:num w:numId="45" w16cid:durableId="867185636">
    <w:abstractNumId w:val="164"/>
  </w:num>
  <w:num w:numId="46" w16cid:durableId="596255675">
    <w:abstractNumId w:val="189"/>
  </w:num>
  <w:num w:numId="47" w16cid:durableId="272979268">
    <w:abstractNumId w:val="34"/>
  </w:num>
  <w:num w:numId="48" w16cid:durableId="921598182">
    <w:abstractNumId w:val="422"/>
  </w:num>
  <w:num w:numId="49" w16cid:durableId="88086728">
    <w:abstractNumId w:val="502"/>
  </w:num>
  <w:num w:numId="50" w16cid:durableId="1229851626">
    <w:abstractNumId w:val="496"/>
  </w:num>
  <w:num w:numId="51" w16cid:durableId="883953263">
    <w:abstractNumId w:val="337"/>
  </w:num>
  <w:num w:numId="52" w16cid:durableId="2058235028">
    <w:abstractNumId w:val="184"/>
  </w:num>
  <w:num w:numId="53" w16cid:durableId="2065787711">
    <w:abstractNumId w:val="179"/>
  </w:num>
  <w:num w:numId="54" w16cid:durableId="97987727">
    <w:abstractNumId w:val="300"/>
  </w:num>
  <w:num w:numId="55" w16cid:durableId="648097607">
    <w:abstractNumId w:val="135"/>
  </w:num>
  <w:num w:numId="56" w16cid:durableId="75177621">
    <w:abstractNumId w:val="452"/>
  </w:num>
  <w:num w:numId="57" w16cid:durableId="2127579596">
    <w:abstractNumId w:val="10"/>
  </w:num>
  <w:num w:numId="58" w16cid:durableId="1212883201">
    <w:abstractNumId w:val="254"/>
  </w:num>
  <w:num w:numId="59" w16cid:durableId="1466584193">
    <w:abstractNumId w:val="175"/>
  </w:num>
  <w:num w:numId="60" w16cid:durableId="621882908">
    <w:abstractNumId w:val="15"/>
  </w:num>
  <w:num w:numId="61" w16cid:durableId="2056585423">
    <w:abstractNumId w:val="310"/>
  </w:num>
  <w:num w:numId="62" w16cid:durableId="980234391">
    <w:abstractNumId w:val="155"/>
  </w:num>
  <w:num w:numId="63" w16cid:durableId="1155755886">
    <w:abstractNumId w:val="234"/>
  </w:num>
  <w:num w:numId="64" w16cid:durableId="430316087">
    <w:abstractNumId w:val="308"/>
  </w:num>
  <w:num w:numId="65" w16cid:durableId="1922517306">
    <w:abstractNumId w:val="232"/>
  </w:num>
  <w:num w:numId="66" w16cid:durableId="2000694894">
    <w:abstractNumId w:val="159"/>
  </w:num>
  <w:num w:numId="67" w16cid:durableId="1930581998">
    <w:abstractNumId w:val="5"/>
  </w:num>
  <w:num w:numId="68" w16cid:durableId="2076581722">
    <w:abstractNumId w:val="90"/>
  </w:num>
  <w:num w:numId="69" w16cid:durableId="37974125">
    <w:abstractNumId w:val="440"/>
  </w:num>
  <w:num w:numId="70" w16cid:durableId="1305692990">
    <w:abstractNumId w:val="166"/>
  </w:num>
  <w:num w:numId="71" w16cid:durableId="1072315475">
    <w:abstractNumId w:val="439"/>
  </w:num>
  <w:num w:numId="72" w16cid:durableId="255136472">
    <w:abstractNumId w:val="228"/>
  </w:num>
  <w:num w:numId="73" w16cid:durableId="711535069">
    <w:abstractNumId w:val="408"/>
  </w:num>
  <w:num w:numId="74" w16cid:durableId="912200372">
    <w:abstractNumId w:val="36"/>
  </w:num>
  <w:num w:numId="75" w16cid:durableId="1121803155">
    <w:abstractNumId w:val="262"/>
  </w:num>
  <w:num w:numId="76" w16cid:durableId="873005901">
    <w:abstractNumId w:val="224"/>
  </w:num>
  <w:num w:numId="77" w16cid:durableId="542717588">
    <w:abstractNumId w:val="83"/>
  </w:num>
  <w:num w:numId="78" w16cid:durableId="305014255">
    <w:abstractNumId w:val="354"/>
  </w:num>
  <w:num w:numId="79" w16cid:durableId="260838009">
    <w:abstractNumId w:val="482"/>
  </w:num>
  <w:num w:numId="80" w16cid:durableId="1878274034">
    <w:abstractNumId w:val="331"/>
  </w:num>
  <w:num w:numId="81" w16cid:durableId="336615474">
    <w:abstractNumId w:val="470"/>
  </w:num>
  <w:num w:numId="82" w16cid:durableId="1273391721">
    <w:abstractNumId w:val="214"/>
  </w:num>
  <w:num w:numId="83" w16cid:durableId="390933277">
    <w:abstractNumId w:val="182"/>
  </w:num>
  <w:num w:numId="84" w16cid:durableId="681594554">
    <w:abstractNumId w:val="105"/>
  </w:num>
  <w:num w:numId="85" w16cid:durableId="1724405437">
    <w:abstractNumId w:val="434"/>
  </w:num>
  <w:num w:numId="86" w16cid:durableId="972520524">
    <w:abstractNumId w:val="103"/>
  </w:num>
  <w:num w:numId="87" w16cid:durableId="1292127810">
    <w:abstractNumId w:val="473"/>
  </w:num>
  <w:num w:numId="88" w16cid:durableId="264772054">
    <w:abstractNumId w:val="0"/>
  </w:num>
  <w:num w:numId="89" w16cid:durableId="1542473501">
    <w:abstractNumId w:val="176"/>
  </w:num>
  <w:num w:numId="90" w16cid:durableId="226651810">
    <w:abstractNumId w:val="383"/>
  </w:num>
  <w:num w:numId="91" w16cid:durableId="38752076">
    <w:abstractNumId w:val="292"/>
  </w:num>
  <w:num w:numId="92" w16cid:durableId="1580165861">
    <w:abstractNumId w:val="53"/>
  </w:num>
  <w:num w:numId="93" w16cid:durableId="1277100286">
    <w:abstractNumId w:val="330"/>
  </w:num>
  <w:num w:numId="94" w16cid:durableId="1341933068">
    <w:abstractNumId w:val="185"/>
  </w:num>
  <w:num w:numId="95" w16cid:durableId="2019845343">
    <w:abstractNumId w:val="194"/>
  </w:num>
  <w:num w:numId="96" w16cid:durableId="437020169">
    <w:abstractNumId w:val="124"/>
  </w:num>
  <w:num w:numId="97" w16cid:durableId="1215971990">
    <w:abstractNumId w:val="428"/>
  </w:num>
  <w:num w:numId="98" w16cid:durableId="1230652855">
    <w:abstractNumId w:val="17"/>
  </w:num>
  <w:num w:numId="99" w16cid:durableId="1274441826">
    <w:abstractNumId w:val="454"/>
  </w:num>
  <w:num w:numId="100" w16cid:durableId="542057503">
    <w:abstractNumId w:val="238"/>
  </w:num>
  <w:num w:numId="101" w16cid:durableId="1778989715">
    <w:abstractNumId w:val="187"/>
  </w:num>
  <w:num w:numId="102" w16cid:durableId="1037513130">
    <w:abstractNumId w:val="156"/>
  </w:num>
  <w:num w:numId="103" w16cid:durableId="36131044">
    <w:abstractNumId w:val="326"/>
  </w:num>
  <w:num w:numId="104" w16cid:durableId="88159700">
    <w:abstractNumId w:val="319"/>
  </w:num>
  <w:num w:numId="105" w16cid:durableId="1220286649">
    <w:abstractNumId w:val="451"/>
  </w:num>
  <w:num w:numId="106" w16cid:durableId="780881636">
    <w:abstractNumId w:val="474"/>
  </w:num>
  <w:num w:numId="107" w16cid:durableId="1154225270">
    <w:abstractNumId w:val="2"/>
  </w:num>
  <w:num w:numId="108" w16cid:durableId="34477245">
    <w:abstractNumId w:val="277"/>
  </w:num>
  <w:num w:numId="109" w16cid:durableId="653946274">
    <w:abstractNumId w:val="352"/>
  </w:num>
  <w:num w:numId="110" w16cid:durableId="1980838037">
    <w:abstractNumId w:val="26"/>
  </w:num>
  <w:num w:numId="111" w16cid:durableId="1950239610">
    <w:abstractNumId w:val="8"/>
  </w:num>
  <w:num w:numId="112" w16cid:durableId="1272321590">
    <w:abstractNumId w:val="455"/>
  </w:num>
  <w:num w:numId="113" w16cid:durableId="1308240624">
    <w:abstractNumId w:val="315"/>
  </w:num>
  <w:num w:numId="114" w16cid:durableId="87775754">
    <w:abstractNumId w:val="289"/>
  </w:num>
  <w:num w:numId="115" w16cid:durableId="1857186244">
    <w:abstractNumId w:val="75"/>
  </w:num>
  <w:num w:numId="116" w16cid:durableId="1165441451">
    <w:abstractNumId w:val="143"/>
  </w:num>
  <w:num w:numId="117" w16cid:durableId="1041368444">
    <w:abstractNumId w:val="169"/>
  </w:num>
  <w:num w:numId="118" w16cid:durableId="350030387">
    <w:abstractNumId w:val="172"/>
  </w:num>
  <w:num w:numId="119" w16cid:durableId="51277264">
    <w:abstractNumId w:val="118"/>
  </w:num>
  <w:num w:numId="120" w16cid:durableId="1451971771">
    <w:abstractNumId w:val="42"/>
  </w:num>
  <w:num w:numId="121" w16cid:durableId="1660771552">
    <w:abstractNumId w:val="427"/>
  </w:num>
  <w:num w:numId="122" w16cid:durableId="1039549408">
    <w:abstractNumId w:val="431"/>
  </w:num>
  <w:num w:numId="123" w16cid:durableId="442724220">
    <w:abstractNumId w:val="334"/>
  </w:num>
  <w:num w:numId="124" w16cid:durableId="712464199">
    <w:abstractNumId w:val="22"/>
  </w:num>
  <w:num w:numId="125" w16cid:durableId="320669211">
    <w:abstractNumId w:val="418"/>
  </w:num>
  <w:num w:numId="126" w16cid:durableId="1721321117">
    <w:abstractNumId w:val="95"/>
  </w:num>
  <w:num w:numId="127" w16cid:durableId="967705477">
    <w:abstractNumId w:val="79"/>
  </w:num>
  <w:num w:numId="128" w16cid:durableId="1114713287">
    <w:abstractNumId w:val="154"/>
  </w:num>
  <w:num w:numId="129" w16cid:durableId="135146774">
    <w:abstractNumId w:val="505"/>
  </w:num>
  <w:num w:numId="130" w16cid:durableId="1524975345">
    <w:abstractNumId w:val="178"/>
  </w:num>
  <w:num w:numId="131" w16cid:durableId="790510923">
    <w:abstractNumId w:val="11"/>
  </w:num>
  <w:num w:numId="132" w16cid:durableId="551424767">
    <w:abstractNumId w:val="86"/>
  </w:num>
  <w:num w:numId="133" w16cid:durableId="824662864">
    <w:abstractNumId w:val="363"/>
  </w:num>
  <w:num w:numId="134" w16cid:durableId="1400859536">
    <w:abstractNumId w:val="248"/>
  </w:num>
  <w:num w:numId="135" w16cid:durableId="1155537460">
    <w:abstractNumId w:val="357"/>
  </w:num>
  <w:num w:numId="136" w16cid:durableId="948774228">
    <w:abstractNumId w:val="266"/>
  </w:num>
  <w:num w:numId="137" w16cid:durableId="941301359">
    <w:abstractNumId w:val="96"/>
  </w:num>
  <w:num w:numId="138" w16cid:durableId="1271817949">
    <w:abstractNumId w:val="109"/>
  </w:num>
  <w:num w:numId="139" w16cid:durableId="1566138835">
    <w:abstractNumId w:val="324"/>
  </w:num>
  <w:num w:numId="140" w16cid:durableId="728455212">
    <w:abstractNumId w:val="127"/>
  </w:num>
  <w:num w:numId="141" w16cid:durableId="1555266766">
    <w:abstractNumId w:val="113"/>
  </w:num>
  <w:num w:numId="142" w16cid:durableId="1343118880">
    <w:abstractNumId w:val="359"/>
  </w:num>
  <w:num w:numId="143" w16cid:durableId="918054339">
    <w:abstractNumId w:val="88"/>
  </w:num>
  <w:num w:numId="144" w16cid:durableId="2030835704">
    <w:abstractNumId w:val="322"/>
  </w:num>
  <w:num w:numId="145" w16cid:durableId="228196936">
    <w:abstractNumId w:val="353"/>
  </w:num>
  <w:num w:numId="146" w16cid:durableId="784233210">
    <w:abstractNumId w:val="223"/>
  </w:num>
  <w:num w:numId="147" w16cid:durableId="560215963">
    <w:abstractNumId w:val="167"/>
  </w:num>
  <w:num w:numId="148" w16cid:durableId="547228392">
    <w:abstractNumId w:val="163"/>
  </w:num>
  <w:num w:numId="149" w16cid:durableId="406615396">
    <w:abstractNumId w:val="381"/>
  </w:num>
  <w:num w:numId="150" w16cid:durableId="1926184888">
    <w:abstractNumId w:val="73"/>
  </w:num>
  <w:num w:numId="151" w16cid:durableId="331763142">
    <w:abstractNumId w:val="401"/>
  </w:num>
  <w:num w:numId="152" w16cid:durableId="1843201246">
    <w:abstractNumId w:val="271"/>
  </w:num>
  <w:num w:numId="153" w16cid:durableId="1590038297">
    <w:abstractNumId w:val="265"/>
  </w:num>
  <w:num w:numId="154" w16cid:durableId="1700232741">
    <w:abstractNumId w:val="291"/>
  </w:num>
  <w:num w:numId="155" w16cid:durableId="501238283">
    <w:abstractNumId w:val="466"/>
  </w:num>
  <w:num w:numId="156" w16cid:durableId="1104496356">
    <w:abstractNumId w:val="376"/>
  </w:num>
  <w:num w:numId="157" w16cid:durableId="2006586140">
    <w:abstractNumId w:val="12"/>
  </w:num>
  <w:num w:numId="158" w16cid:durableId="1239897951">
    <w:abstractNumId w:val="501"/>
  </w:num>
  <w:num w:numId="159" w16cid:durableId="544146624">
    <w:abstractNumId w:val="394"/>
  </w:num>
  <w:num w:numId="160" w16cid:durableId="1377701350">
    <w:abstractNumId w:val="133"/>
  </w:num>
  <w:num w:numId="161" w16cid:durableId="1449158808">
    <w:abstractNumId w:val="78"/>
  </w:num>
  <w:num w:numId="162" w16cid:durableId="1455055629">
    <w:abstractNumId w:val="40"/>
  </w:num>
  <w:num w:numId="163" w16cid:durableId="740448476">
    <w:abstractNumId w:val="321"/>
  </w:num>
  <w:num w:numId="164" w16cid:durableId="984510302">
    <w:abstractNumId w:val="446"/>
  </w:num>
  <w:num w:numId="165" w16cid:durableId="899098523">
    <w:abstractNumId w:val="472"/>
  </w:num>
  <w:num w:numId="166" w16cid:durableId="220092930">
    <w:abstractNumId w:val="389"/>
  </w:num>
  <w:num w:numId="167" w16cid:durableId="279605353">
    <w:abstractNumId w:val="9"/>
  </w:num>
  <w:num w:numId="168" w16cid:durableId="969281381">
    <w:abstractNumId w:val="82"/>
  </w:num>
  <w:num w:numId="169" w16cid:durableId="986251768">
    <w:abstractNumId w:val="52"/>
  </w:num>
  <w:num w:numId="170" w16cid:durableId="2092382996">
    <w:abstractNumId w:val="117"/>
  </w:num>
  <w:num w:numId="171" w16cid:durableId="584386137">
    <w:abstractNumId w:val="80"/>
  </w:num>
  <w:num w:numId="172" w16cid:durableId="980498987">
    <w:abstractNumId w:val="419"/>
  </w:num>
  <w:num w:numId="173" w16cid:durableId="1184172915">
    <w:abstractNumId w:val="200"/>
  </w:num>
  <w:num w:numId="174" w16cid:durableId="2022782244">
    <w:abstractNumId w:val="69"/>
  </w:num>
  <w:num w:numId="175" w16cid:durableId="1820728378">
    <w:abstractNumId w:val="361"/>
  </w:num>
  <w:num w:numId="176" w16cid:durableId="575017843">
    <w:abstractNumId w:val="193"/>
  </w:num>
  <w:num w:numId="177" w16cid:durableId="1856773135">
    <w:abstractNumId w:val="477"/>
  </w:num>
  <w:num w:numId="178" w16cid:durableId="263000521">
    <w:abstractNumId w:val="152"/>
  </w:num>
  <w:num w:numId="179" w16cid:durableId="2031754890">
    <w:abstractNumId w:val="443"/>
  </w:num>
  <w:num w:numId="180" w16cid:durableId="1159616946">
    <w:abstractNumId w:val="414"/>
  </w:num>
  <w:num w:numId="181" w16cid:durableId="287971680">
    <w:abstractNumId w:val="37"/>
  </w:num>
  <w:num w:numId="182" w16cid:durableId="517812671">
    <w:abstractNumId w:val="281"/>
  </w:num>
  <w:num w:numId="183" w16cid:durableId="860239974">
    <w:abstractNumId w:val="399"/>
  </w:num>
  <w:num w:numId="184" w16cid:durableId="1730609607">
    <w:abstractNumId w:val="213"/>
  </w:num>
  <w:num w:numId="185" w16cid:durableId="1276015522">
    <w:abstractNumId w:val="55"/>
  </w:num>
  <w:num w:numId="186" w16cid:durableId="1509830722">
    <w:abstractNumId w:val="493"/>
  </w:num>
  <w:num w:numId="187" w16cid:durableId="36202803">
    <w:abstractNumId w:val="57"/>
  </w:num>
  <w:num w:numId="188" w16cid:durableId="547837176">
    <w:abstractNumId w:val="43"/>
  </w:num>
  <w:num w:numId="189" w16cid:durableId="128403548">
    <w:abstractNumId w:val="260"/>
  </w:num>
  <w:num w:numId="190" w16cid:durableId="686904893">
    <w:abstractNumId w:val="226"/>
  </w:num>
  <w:num w:numId="191" w16cid:durableId="651756543">
    <w:abstractNumId w:val="450"/>
  </w:num>
  <w:num w:numId="192" w16cid:durableId="2067683678">
    <w:abstractNumId w:val="16"/>
  </w:num>
  <w:num w:numId="193" w16cid:durableId="773285751">
    <w:abstractNumId w:val="461"/>
  </w:num>
  <w:num w:numId="194" w16cid:durableId="430584858">
    <w:abstractNumId w:val="183"/>
  </w:num>
  <w:num w:numId="195" w16cid:durableId="345905388">
    <w:abstractNumId w:val="464"/>
  </w:num>
  <w:num w:numId="196" w16cid:durableId="1150099468">
    <w:abstractNumId w:val="453"/>
  </w:num>
  <w:num w:numId="197" w16cid:durableId="560097802">
    <w:abstractNumId w:val="221"/>
  </w:num>
  <w:num w:numId="198" w16cid:durableId="172844976">
    <w:abstractNumId w:val="65"/>
  </w:num>
  <w:num w:numId="199" w16cid:durableId="499003030">
    <w:abstractNumId w:val="402"/>
  </w:num>
  <w:num w:numId="200" w16cid:durableId="728577765">
    <w:abstractNumId w:val="374"/>
  </w:num>
  <w:num w:numId="201" w16cid:durableId="1015379947">
    <w:abstractNumId w:val="161"/>
  </w:num>
  <w:num w:numId="202" w16cid:durableId="1205020784">
    <w:abstractNumId w:val="212"/>
  </w:num>
  <w:num w:numId="203" w16cid:durableId="399786921">
    <w:abstractNumId w:val="268"/>
  </w:num>
  <w:num w:numId="204" w16cid:durableId="1513912915">
    <w:abstractNumId w:val="317"/>
  </w:num>
  <w:num w:numId="205" w16cid:durableId="127165806">
    <w:abstractNumId w:val="333"/>
  </w:num>
  <w:num w:numId="206" w16cid:durableId="2076051216">
    <w:abstractNumId w:val="218"/>
  </w:num>
  <w:num w:numId="207" w16cid:durableId="1071149497">
    <w:abstractNumId w:val="380"/>
  </w:num>
  <w:num w:numId="208" w16cid:durableId="635186473">
    <w:abstractNumId w:val="306"/>
  </w:num>
  <w:num w:numId="209" w16cid:durableId="2120903300">
    <w:abstractNumId w:val="429"/>
  </w:num>
  <w:num w:numId="210" w16cid:durableId="143358607">
    <w:abstractNumId w:val="368"/>
  </w:num>
  <w:num w:numId="211" w16cid:durableId="461776041">
    <w:abstractNumId w:val="448"/>
  </w:num>
  <w:num w:numId="212" w16cid:durableId="308750053">
    <w:abstractNumId w:val="210"/>
  </w:num>
  <w:num w:numId="213" w16cid:durableId="1439108063">
    <w:abstractNumId w:val="423"/>
  </w:num>
  <w:num w:numId="214" w16cid:durableId="1856993338">
    <w:abstractNumId w:val="197"/>
  </w:num>
  <w:num w:numId="215" w16cid:durableId="243996221">
    <w:abstractNumId w:val="242"/>
  </w:num>
  <w:num w:numId="216" w16cid:durableId="637880140">
    <w:abstractNumId w:val="432"/>
  </w:num>
  <w:num w:numId="217" w16cid:durableId="1662810008">
    <w:abstractNumId w:val="192"/>
  </w:num>
  <w:num w:numId="218" w16cid:durableId="2028478606">
    <w:abstractNumId w:val="312"/>
  </w:num>
  <w:num w:numId="219" w16cid:durableId="1908690380">
    <w:abstractNumId w:val="47"/>
  </w:num>
  <w:num w:numId="220" w16cid:durableId="217132438">
    <w:abstractNumId w:val="253"/>
  </w:num>
  <w:num w:numId="221" w16cid:durableId="459690472">
    <w:abstractNumId w:val="345"/>
  </w:num>
  <w:num w:numId="222" w16cid:durableId="163013791">
    <w:abstractNumId w:val="275"/>
  </w:num>
  <w:num w:numId="223" w16cid:durableId="1837498733">
    <w:abstractNumId w:val="68"/>
  </w:num>
  <w:num w:numId="224" w16cid:durableId="1615818740">
    <w:abstractNumId w:val="456"/>
  </w:num>
  <w:num w:numId="225" w16cid:durableId="1004406497">
    <w:abstractNumId w:val="144"/>
  </w:num>
  <w:num w:numId="226" w16cid:durableId="591276034">
    <w:abstractNumId w:val="107"/>
  </w:num>
  <w:num w:numId="227" w16cid:durableId="116654589">
    <w:abstractNumId w:val="13"/>
  </w:num>
  <w:num w:numId="228" w16cid:durableId="964965893">
    <w:abstractNumId w:val="468"/>
  </w:num>
  <w:num w:numId="229" w16cid:durableId="609244850">
    <w:abstractNumId w:val="490"/>
  </w:num>
  <w:num w:numId="230" w16cid:durableId="234583523">
    <w:abstractNumId w:val="6"/>
  </w:num>
  <w:num w:numId="231" w16cid:durableId="1328899268">
    <w:abstractNumId w:val="231"/>
  </w:num>
  <w:num w:numId="232" w16cid:durableId="2048482203">
    <w:abstractNumId w:val="467"/>
  </w:num>
  <w:num w:numId="233" w16cid:durableId="217011943">
    <w:abstractNumId w:val="400"/>
  </w:num>
  <w:num w:numId="234" w16cid:durableId="828792659">
    <w:abstractNumId w:val="393"/>
  </w:num>
  <w:num w:numId="235" w16cid:durableId="1104112351">
    <w:abstractNumId w:val="278"/>
  </w:num>
  <w:num w:numId="236" w16cid:durableId="1059475673">
    <w:abstractNumId w:val="329"/>
  </w:num>
  <w:num w:numId="237" w16cid:durableId="1377856699">
    <w:abstractNumId w:val="294"/>
  </w:num>
  <w:num w:numId="238" w16cid:durableId="513544210">
    <w:abstractNumId w:val="165"/>
  </w:num>
  <w:num w:numId="239" w16cid:durableId="774398001">
    <w:abstractNumId w:val="433"/>
  </w:num>
  <w:num w:numId="240" w16cid:durableId="2062091003">
    <w:abstractNumId w:val="236"/>
  </w:num>
  <w:num w:numId="241" w16cid:durableId="64105713">
    <w:abstractNumId w:val="67"/>
  </w:num>
  <w:num w:numId="242" w16cid:durableId="1245995303">
    <w:abstractNumId w:val="222"/>
  </w:num>
  <w:num w:numId="243" w16cid:durableId="1739476810">
    <w:abstractNumId w:val="138"/>
  </w:num>
  <w:num w:numId="244" w16cid:durableId="109397298">
    <w:abstractNumId w:val="339"/>
  </w:num>
  <w:num w:numId="245" w16cid:durableId="1356883614">
    <w:abstractNumId w:val="469"/>
  </w:num>
  <w:num w:numId="246" w16cid:durableId="212814687">
    <w:abstractNumId w:val="195"/>
  </w:num>
  <w:num w:numId="247" w16cid:durableId="1225068033">
    <w:abstractNumId w:val="272"/>
  </w:num>
  <w:num w:numId="248" w16cid:durableId="1614939336">
    <w:abstractNumId w:val="170"/>
  </w:num>
  <w:num w:numId="249" w16cid:durableId="377628063">
    <w:abstractNumId w:val="205"/>
  </w:num>
  <w:num w:numId="250" w16cid:durableId="2046439765">
    <w:abstractNumId w:val="296"/>
  </w:num>
  <w:num w:numId="251" w16cid:durableId="1190490240">
    <w:abstractNumId w:val="261"/>
  </w:num>
  <w:num w:numId="252" w16cid:durableId="1038161415">
    <w:abstractNumId w:val="416"/>
  </w:num>
  <w:num w:numId="253" w16cid:durableId="925725571">
    <w:abstractNumId w:val="181"/>
  </w:num>
  <w:num w:numId="254" w16cid:durableId="1111978514">
    <w:abstractNumId w:val="32"/>
  </w:num>
  <w:num w:numId="255" w16cid:durableId="1948267329">
    <w:abstractNumId w:val="56"/>
  </w:num>
  <w:num w:numId="256" w16cid:durableId="2031832791">
    <w:abstractNumId w:val="147"/>
  </w:num>
  <w:num w:numId="257" w16cid:durableId="1277173129">
    <w:abstractNumId w:val="435"/>
  </w:num>
  <w:num w:numId="258" w16cid:durableId="1246307371">
    <w:abstractNumId w:val="420"/>
  </w:num>
  <w:num w:numId="259" w16cid:durableId="1906137582">
    <w:abstractNumId w:val="60"/>
  </w:num>
  <w:num w:numId="260" w16cid:durableId="1532648110">
    <w:abstractNumId w:val="444"/>
  </w:num>
  <w:num w:numId="261" w16cid:durableId="516313713">
    <w:abstractNumId w:val="489"/>
  </w:num>
  <w:num w:numId="262" w16cid:durableId="2074112215">
    <w:abstractNumId w:val="465"/>
  </w:num>
  <w:num w:numId="263" w16cid:durableId="774059283">
    <w:abstractNumId w:val="356"/>
  </w:num>
  <w:num w:numId="264" w16cid:durableId="1193494723">
    <w:abstractNumId w:val="327"/>
  </w:num>
  <w:num w:numId="265" w16cid:durableId="404114435">
    <w:abstractNumId w:val="139"/>
  </w:num>
  <w:num w:numId="266" w16cid:durableId="1579246241">
    <w:abstractNumId w:val="336"/>
  </w:num>
  <w:num w:numId="267" w16cid:durableId="2046444090">
    <w:abstractNumId w:val="199"/>
  </w:num>
  <w:num w:numId="268" w16cid:durableId="2050303753">
    <w:abstractNumId w:val="290"/>
  </w:num>
  <w:num w:numId="269" w16cid:durableId="1116875189">
    <w:abstractNumId w:val="215"/>
  </w:num>
  <w:num w:numId="270" w16cid:durableId="796679963">
    <w:abstractNumId w:val="25"/>
  </w:num>
  <w:num w:numId="271" w16cid:durableId="1793210289">
    <w:abstractNumId w:val="270"/>
  </w:num>
  <w:num w:numId="272" w16cid:durableId="986976120">
    <w:abstractNumId w:val="137"/>
  </w:num>
  <w:num w:numId="273" w16cid:durableId="531504771">
    <w:abstractNumId w:val="395"/>
  </w:num>
  <w:num w:numId="274" w16cid:durableId="461582159">
    <w:abstractNumId w:val="413"/>
  </w:num>
  <w:num w:numId="275" w16cid:durableId="203834554">
    <w:abstractNumId w:val="256"/>
  </w:num>
  <w:num w:numId="276" w16cid:durableId="525406581">
    <w:abstractNumId w:val="111"/>
  </w:num>
  <w:num w:numId="277" w16cid:durableId="1726954105">
    <w:abstractNumId w:val="285"/>
  </w:num>
  <w:num w:numId="278" w16cid:durableId="1794863526">
    <w:abstractNumId w:val="283"/>
  </w:num>
  <w:num w:numId="279" w16cid:durableId="955677163">
    <w:abstractNumId w:val="370"/>
  </w:num>
  <w:num w:numId="280" w16cid:durableId="135922801">
    <w:abstractNumId w:val="346"/>
  </w:num>
  <w:num w:numId="281" w16cid:durableId="579947172">
    <w:abstractNumId w:val="304"/>
  </w:num>
  <w:num w:numId="282" w16cid:durableId="45685893">
    <w:abstractNumId w:val="445"/>
  </w:num>
  <w:num w:numId="283" w16cid:durableId="1140728517">
    <w:abstractNumId w:val="458"/>
  </w:num>
  <w:num w:numId="284" w16cid:durableId="1885829355">
    <w:abstractNumId w:val="318"/>
  </w:num>
  <w:num w:numId="285" w16cid:durableId="1234969298">
    <w:abstractNumId w:val="201"/>
  </w:num>
  <w:num w:numId="286" w16cid:durableId="386801254">
    <w:abstractNumId w:val="415"/>
  </w:num>
  <w:num w:numId="287" w16cid:durableId="2107384898">
    <w:abstractNumId w:val="131"/>
  </w:num>
  <w:num w:numId="288" w16cid:durableId="598870444">
    <w:abstractNumId w:val="314"/>
  </w:num>
  <w:num w:numId="289" w16cid:durableId="1315528236">
    <w:abstractNumId w:val="348"/>
  </w:num>
  <w:num w:numId="290" w16cid:durableId="278873799">
    <w:abstractNumId w:val="92"/>
  </w:num>
  <w:num w:numId="291" w16cid:durableId="87165163">
    <w:abstractNumId w:val="119"/>
  </w:num>
  <w:num w:numId="292" w16cid:durableId="1248921272">
    <w:abstractNumId w:val="438"/>
  </w:num>
  <w:num w:numId="293" w16cid:durableId="1772428784">
    <w:abstractNumId w:val="70"/>
  </w:num>
  <w:num w:numId="294" w16cid:durableId="531038440">
    <w:abstractNumId w:val="338"/>
  </w:num>
  <w:num w:numId="295" w16cid:durableId="2033190509">
    <w:abstractNumId w:val="460"/>
  </w:num>
  <w:num w:numId="296" w16cid:durableId="747727249">
    <w:abstractNumId w:val="74"/>
  </w:num>
  <w:num w:numId="297" w16cid:durableId="760296140">
    <w:abstractNumId w:val="141"/>
  </w:num>
  <w:num w:numId="298" w16cid:durableId="194008606">
    <w:abstractNumId w:val="373"/>
  </w:num>
  <w:num w:numId="299" w16cid:durableId="524756558">
    <w:abstractNumId w:val="130"/>
  </w:num>
  <w:num w:numId="300" w16cid:durableId="855771011">
    <w:abstractNumId w:val="299"/>
  </w:num>
  <w:num w:numId="301" w16cid:durableId="1489399185">
    <w:abstractNumId w:val="412"/>
  </w:num>
  <w:num w:numId="302" w16cid:durableId="1063680095">
    <w:abstractNumId w:val="478"/>
  </w:num>
  <w:num w:numId="303" w16cid:durableId="589512822">
    <w:abstractNumId w:val="191"/>
  </w:num>
  <w:num w:numId="304" w16cid:durableId="665284140">
    <w:abstractNumId w:val="145"/>
  </w:num>
  <w:num w:numId="305" w16cid:durableId="1625621230">
    <w:abstractNumId w:val="485"/>
  </w:num>
  <w:num w:numId="306" w16cid:durableId="503013429">
    <w:abstractNumId w:val="441"/>
  </w:num>
  <w:num w:numId="307" w16cid:durableId="686907285">
    <w:abstractNumId w:val="257"/>
  </w:num>
  <w:num w:numId="308" w16cid:durableId="471948976">
    <w:abstractNumId w:val="499"/>
  </w:num>
  <w:num w:numId="309" w16cid:durableId="1226331656">
    <w:abstractNumId w:val="84"/>
  </w:num>
  <w:num w:numId="310" w16cid:durableId="762383204">
    <w:abstractNumId w:val="114"/>
  </w:num>
  <w:num w:numId="311" w16cid:durableId="905410735">
    <w:abstractNumId w:val="497"/>
  </w:num>
  <w:num w:numId="312" w16cid:durableId="538709227">
    <w:abstractNumId w:val="190"/>
  </w:num>
  <w:num w:numId="313" w16cid:durableId="1451048048">
    <w:abstractNumId w:val="151"/>
  </w:num>
  <w:num w:numId="314" w16cid:durableId="1523978779">
    <w:abstractNumId w:val="301"/>
  </w:num>
  <w:num w:numId="315" w16cid:durableId="1834371661">
    <w:abstractNumId w:val="240"/>
  </w:num>
  <w:num w:numId="316" w16cid:durableId="683169353">
    <w:abstractNumId w:val="21"/>
  </w:num>
  <w:num w:numId="317" w16cid:durableId="1704938453">
    <w:abstractNumId w:val="323"/>
  </w:num>
  <w:num w:numId="318" w16cid:durableId="1048920985">
    <w:abstractNumId w:val="217"/>
  </w:num>
  <w:num w:numId="319" w16cid:durableId="253707341">
    <w:abstractNumId w:val="398"/>
  </w:num>
  <w:num w:numId="320" w16cid:durableId="2007324713">
    <w:abstractNumId w:val="235"/>
  </w:num>
  <w:num w:numId="321" w16cid:durableId="1526554163">
    <w:abstractNumId w:val="379"/>
  </w:num>
  <w:num w:numId="322" w16cid:durableId="1353528977">
    <w:abstractNumId w:val="341"/>
  </w:num>
  <w:num w:numId="323" w16cid:durableId="452679575">
    <w:abstractNumId w:val="160"/>
  </w:num>
  <w:num w:numId="324" w16cid:durableId="1039471450">
    <w:abstractNumId w:val="410"/>
  </w:num>
  <w:num w:numId="325" w16cid:durableId="1247030905">
    <w:abstractNumId w:val="123"/>
  </w:num>
  <w:num w:numId="326" w16cid:durableId="247421149">
    <w:abstractNumId w:val="320"/>
  </w:num>
  <w:num w:numId="327" w16cid:durableId="1314598747">
    <w:abstractNumId w:val="255"/>
  </w:num>
  <w:num w:numId="328" w16cid:durableId="1661808506">
    <w:abstractNumId w:val="168"/>
  </w:num>
  <w:num w:numId="329" w16cid:durableId="124928202">
    <w:abstractNumId w:val="457"/>
  </w:num>
  <w:num w:numId="330" w16cid:durableId="1218394435">
    <w:abstractNumId w:val="313"/>
  </w:num>
  <w:num w:numId="331" w16cid:durableId="615331505">
    <w:abstractNumId w:val="229"/>
  </w:num>
  <w:num w:numId="332" w16cid:durableId="1649941536">
    <w:abstractNumId w:val="269"/>
  </w:num>
  <w:num w:numId="333" w16cid:durableId="501621987">
    <w:abstractNumId w:val="405"/>
  </w:num>
  <w:num w:numId="334" w16cid:durableId="54816841">
    <w:abstractNumId w:val="50"/>
  </w:num>
  <w:num w:numId="335" w16cid:durableId="648754627">
    <w:abstractNumId w:val="480"/>
  </w:num>
  <w:num w:numId="336" w16cid:durableId="712655691">
    <w:abstractNumId w:val="258"/>
  </w:num>
  <w:num w:numId="337" w16cid:durableId="1383286891">
    <w:abstractNumId w:val="362"/>
  </w:num>
  <w:num w:numId="338" w16cid:durableId="1820608414">
    <w:abstractNumId w:val="94"/>
  </w:num>
  <w:num w:numId="339" w16cid:durableId="1021709477">
    <w:abstractNumId w:val="48"/>
  </w:num>
  <w:num w:numId="340" w16cid:durableId="1147016832">
    <w:abstractNumId w:val="274"/>
  </w:num>
  <w:num w:numId="341" w16cid:durableId="1554777510">
    <w:abstractNumId w:val="366"/>
  </w:num>
  <w:num w:numId="342" w16cid:durableId="1700550528">
    <w:abstractNumId w:val="157"/>
  </w:num>
  <w:num w:numId="343" w16cid:durableId="140584046">
    <w:abstractNumId w:val="106"/>
  </w:num>
  <w:num w:numId="344" w16cid:durableId="1761218226">
    <w:abstractNumId w:val="388"/>
  </w:num>
  <w:num w:numId="345" w16cid:durableId="60058201">
    <w:abstractNumId w:val="263"/>
  </w:num>
  <w:num w:numId="346" w16cid:durableId="876744588">
    <w:abstractNumId w:val="378"/>
  </w:num>
  <w:num w:numId="347" w16cid:durableId="570774555">
    <w:abstractNumId w:val="384"/>
  </w:num>
  <w:num w:numId="348" w16cid:durableId="755978357">
    <w:abstractNumId w:val="108"/>
  </w:num>
  <w:num w:numId="349" w16cid:durableId="1708873965">
    <w:abstractNumId w:val="208"/>
  </w:num>
  <w:num w:numId="350" w16cid:durableId="817960457">
    <w:abstractNumId w:val="305"/>
  </w:num>
  <w:num w:numId="351" w16cid:durableId="1943032434">
    <w:abstractNumId w:val="404"/>
  </w:num>
  <w:num w:numId="352" w16cid:durableId="1898053878">
    <w:abstractNumId w:val="417"/>
  </w:num>
  <w:num w:numId="353" w16cid:durableId="2057271792">
    <w:abstractNumId w:val="367"/>
  </w:num>
  <w:num w:numId="354" w16cid:durableId="1139104306">
    <w:abstractNumId w:val="249"/>
  </w:num>
  <w:num w:numId="355" w16cid:durableId="1092245137">
    <w:abstractNumId w:val="437"/>
  </w:num>
  <w:num w:numId="356" w16cid:durableId="1302148757">
    <w:abstractNumId w:val="148"/>
  </w:num>
  <w:num w:numId="357" w16cid:durableId="849296186">
    <w:abstractNumId w:val="484"/>
  </w:num>
  <w:num w:numId="358" w16cid:durableId="1811942543">
    <w:abstractNumId w:val="475"/>
  </w:num>
  <w:num w:numId="359" w16cid:durableId="1984701844">
    <w:abstractNumId w:val="459"/>
  </w:num>
  <w:num w:numId="360" w16cid:durableId="1057120255">
    <w:abstractNumId w:val="225"/>
  </w:num>
  <w:num w:numId="361" w16cid:durableId="1039935526">
    <w:abstractNumId w:val="63"/>
  </w:num>
  <w:num w:numId="362" w16cid:durableId="1637181554">
    <w:abstractNumId w:val="188"/>
  </w:num>
  <w:num w:numId="363" w16cid:durableId="828398115">
    <w:abstractNumId w:val="252"/>
  </w:num>
  <w:num w:numId="364" w16cid:durableId="1933392159">
    <w:abstractNumId w:val="62"/>
  </w:num>
  <w:num w:numId="365" w16cid:durableId="221603708">
    <w:abstractNumId w:val="494"/>
  </w:num>
  <w:num w:numId="366" w16cid:durableId="1064377271">
    <w:abstractNumId w:val="282"/>
  </w:num>
  <w:num w:numId="367" w16cid:durableId="58065917">
    <w:abstractNumId w:val="219"/>
  </w:num>
  <w:num w:numId="368" w16cid:durableId="718021208">
    <w:abstractNumId w:val="126"/>
  </w:num>
  <w:num w:numId="369" w16cid:durableId="929854221">
    <w:abstractNumId w:val="20"/>
  </w:num>
  <w:num w:numId="370" w16cid:durableId="330066671">
    <w:abstractNumId w:val="241"/>
  </w:num>
  <w:num w:numId="371" w16cid:durableId="396637325">
    <w:abstractNumId w:val="207"/>
  </w:num>
  <w:num w:numId="372" w16cid:durableId="840967849">
    <w:abstractNumId w:val="325"/>
  </w:num>
  <w:num w:numId="373" w16cid:durableId="1303802986">
    <w:abstractNumId w:val="136"/>
  </w:num>
  <w:num w:numId="374" w16cid:durableId="1790657511">
    <w:abstractNumId w:val="91"/>
  </w:num>
  <w:num w:numId="375" w16cid:durableId="855539338">
    <w:abstractNumId w:val="430"/>
  </w:num>
  <w:num w:numId="376" w16cid:durableId="968776488">
    <w:abstractNumId w:val="481"/>
  </w:num>
  <w:num w:numId="377" w16cid:durableId="1617366948">
    <w:abstractNumId w:val="316"/>
  </w:num>
  <w:num w:numId="378" w16cid:durableId="574511950">
    <w:abstractNumId w:val="396"/>
  </w:num>
  <w:num w:numId="379" w16cid:durableId="55201768">
    <w:abstractNumId w:val="332"/>
  </w:num>
  <w:num w:numId="380" w16cid:durableId="1129402187">
    <w:abstractNumId w:val="98"/>
  </w:num>
  <w:num w:numId="381" w16cid:durableId="846989652">
    <w:abstractNumId w:val="24"/>
  </w:num>
  <w:num w:numId="382" w16cid:durableId="12924042">
    <w:abstractNumId w:val="186"/>
  </w:num>
  <w:num w:numId="383" w16cid:durableId="910969934">
    <w:abstractNumId w:val="27"/>
  </w:num>
  <w:num w:numId="384" w16cid:durableId="542206819">
    <w:abstractNumId w:val="309"/>
  </w:num>
  <w:num w:numId="385" w16cid:durableId="200610">
    <w:abstractNumId w:val="360"/>
  </w:num>
  <w:num w:numId="386" w16cid:durableId="1982225462">
    <w:abstractNumId w:val="298"/>
  </w:num>
  <w:num w:numId="387" w16cid:durableId="1560289106">
    <w:abstractNumId w:val="244"/>
  </w:num>
  <w:num w:numId="388" w16cid:durableId="1465662414">
    <w:abstractNumId w:val="411"/>
  </w:num>
  <w:num w:numId="389" w16cid:durableId="201328331">
    <w:abstractNumId w:val="129"/>
  </w:num>
  <w:num w:numId="390" w16cid:durableId="2017151232">
    <w:abstractNumId w:val="280"/>
  </w:num>
  <w:num w:numId="391" w16cid:durableId="1002707616">
    <w:abstractNumId w:val="125"/>
  </w:num>
  <w:num w:numId="392" w16cid:durableId="1872380787">
    <w:abstractNumId w:val="216"/>
  </w:num>
  <w:num w:numId="393" w16cid:durableId="1115708594">
    <w:abstractNumId w:val="97"/>
  </w:num>
  <w:num w:numId="394" w16cid:durableId="1359503077">
    <w:abstractNumId w:val="386"/>
  </w:num>
  <w:num w:numId="395" w16cid:durableId="1207714567">
    <w:abstractNumId w:val="93"/>
  </w:num>
  <w:num w:numId="396" w16cid:durableId="306906654">
    <w:abstractNumId w:val="297"/>
  </w:num>
  <w:num w:numId="397" w16cid:durableId="1417555394">
    <w:abstractNumId w:val="343"/>
  </w:num>
  <w:num w:numId="398" w16cid:durableId="1636835554">
    <w:abstractNumId w:val="251"/>
  </w:num>
  <w:num w:numId="399" w16cid:durableId="1103112723">
    <w:abstractNumId w:val="426"/>
  </w:num>
  <w:num w:numId="400" w16cid:durableId="1453205137">
    <w:abstractNumId w:val="128"/>
  </w:num>
  <w:num w:numId="401" w16cid:durableId="1423380518">
    <w:abstractNumId w:val="358"/>
  </w:num>
  <w:num w:numId="402" w16cid:durableId="1157040365">
    <w:abstractNumId w:val="233"/>
  </w:num>
  <w:num w:numId="403" w16cid:durableId="542643345">
    <w:abstractNumId w:val="140"/>
  </w:num>
  <w:num w:numId="404" w16cid:durableId="961765877">
    <w:abstractNumId w:val="121"/>
  </w:num>
  <w:num w:numId="405" w16cid:durableId="907763199">
    <w:abstractNumId w:val="31"/>
  </w:num>
  <w:num w:numId="406" w16cid:durableId="1063409202">
    <w:abstractNumId w:val="46"/>
  </w:num>
  <w:num w:numId="407" w16cid:durableId="46220668">
    <w:abstractNumId w:val="303"/>
  </w:num>
  <w:num w:numId="408" w16cid:durableId="1265767343">
    <w:abstractNumId w:val="180"/>
  </w:num>
  <w:num w:numId="409" w16cid:durableId="1515728631">
    <w:abstractNumId w:val="476"/>
  </w:num>
  <w:num w:numId="410" w16cid:durableId="720136443">
    <w:abstractNumId w:val="471"/>
  </w:num>
  <w:num w:numId="411" w16cid:durableId="2006082169">
    <w:abstractNumId w:val="220"/>
  </w:num>
  <w:num w:numId="412" w16cid:durableId="2031224757">
    <w:abstractNumId w:val="421"/>
  </w:num>
  <w:num w:numId="413" w16cid:durableId="2078743355">
    <w:abstractNumId w:val="503"/>
  </w:num>
  <w:num w:numId="414" w16cid:durableId="1437364547">
    <w:abstractNumId w:val="264"/>
  </w:num>
  <w:num w:numId="415" w16cid:durableId="2131514898">
    <w:abstractNumId w:val="259"/>
  </w:num>
  <w:num w:numId="416" w16cid:durableId="1022437781">
    <w:abstractNumId w:val="371"/>
  </w:num>
  <w:num w:numId="417" w16cid:durableId="52627670">
    <w:abstractNumId w:val="211"/>
  </w:num>
  <w:num w:numId="418" w16cid:durableId="728651777">
    <w:abstractNumId w:val="243"/>
  </w:num>
  <w:num w:numId="419" w16cid:durableId="1626348792">
    <w:abstractNumId w:val="120"/>
  </w:num>
  <w:num w:numId="420" w16cid:durableId="318584660">
    <w:abstractNumId w:val="246"/>
  </w:num>
  <w:num w:numId="421" w16cid:durableId="1084449067">
    <w:abstractNumId w:val="245"/>
  </w:num>
  <w:num w:numId="422" w16cid:durableId="1769153935">
    <w:abstractNumId w:val="504"/>
  </w:num>
  <w:num w:numId="423" w16cid:durableId="551504326">
    <w:abstractNumId w:val="38"/>
  </w:num>
  <w:num w:numId="424" w16cid:durableId="1678072148">
    <w:abstractNumId w:val="54"/>
  </w:num>
  <w:num w:numId="425" w16cid:durableId="1189493523">
    <w:abstractNumId w:val="342"/>
  </w:num>
  <w:num w:numId="426" w16cid:durableId="198318607">
    <w:abstractNumId w:val="41"/>
  </w:num>
  <w:num w:numId="427" w16cid:durableId="2025092750">
    <w:abstractNumId w:val="344"/>
  </w:num>
  <w:num w:numId="428" w16cid:durableId="169566409">
    <w:abstractNumId w:val="375"/>
  </w:num>
  <w:num w:numId="429" w16cid:durableId="1413431503">
    <w:abstractNumId w:val="150"/>
  </w:num>
  <w:num w:numId="430" w16cid:durableId="2123718208">
    <w:abstractNumId w:val="149"/>
  </w:num>
  <w:num w:numId="431" w16cid:durableId="1987471072">
    <w:abstractNumId w:val="59"/>
  </w:num>
  <w:num w:numId="432" w16cid:durableId="1862158322">
    <w:abstractNumId w:val="425"/>
  </w:num>
  <w:num w:numId="433" w16cid:durableId="113913289">
    <w:abstractNumId w:val="250"/>
  </w:num>
  <w:num w:numId="434" w16cid:durableId="1167671304">
    <w:abstractNumId w:val="35"/>
  </w:num>
  <w:num w:numId="435" w16cid:durableId="1045524660">
    <w:abstractNumId w:val="447"/>
  </w:num>
  <w:num w:numId="436" w16cid:durableId="1241527432">
    <w:abstractNumId w:val="7"/>
  </w:num>
  <w:num w:numId="437" w16cid:durableId="1883904744">
    <w:abstractNumId w:val="29"/>
  </w:num>
  <w:num w:numId="438" w16cid:durableId="734276602">
    <w:abstractNumId w:val="19"/>
  </w:num>
  <w:num w:numId="439" w16cid:durableId="38213242">
    <w:abstractNumId w:val="71"/>
  </w:num>
  <w:num w:numId="440" w16cid:durableId="99766690">
    <w:abstractNumId w:val="247"/>
  </w:num>
  <w:num w:numId="441" w16cid:durableId="1178272578">
    <w:abstractNumId w:val="153"/>
  </w:num>
  <w:num w:numId="442" w16cid:durableId="892929886">
    <w:abstractNumId w:val="495"/>
  </w:num>
  <w:num w:numId="443" w16cid:durableId="1433236218">
    <w:abstractNumId w:val="174"/>
  </w:num>
  <w:num w:numId="444" w16cid:durableId="888956103">
    <w:abstractNumId w:val="436"/>
  </w:num>
  <w:num w:numId="445" w16cid:durableId="53896385">
    <w:abstractNumId w:val="355"/>
  </w:num>
  <w:num w:numId="446" w16cid:durableId="2127307136">
    <w:abstractNumId w:val="30"/>
  </w:num>
  <w:num w:numId="447" w16cid:durableId="1803689782">
    <w:abstractNumId w:val="3"/>
  </w:num>
  <w:num w:numId="448" w16cid:durableId="202862572">
    <w:abstractNumId w:val="462"/>
  </w:num>
  <w:num w:numId="449" w16cid:durableId="941913501">
    <w:abstractNumId w:val="177"/>
  </w:num>
  <w:num w:numId="450" w16cid:durableId="1636788715">
    <w:abstractNumId w:val="89"/>
  </w:num>
  <w:num w:numId="451" w16cid:durableId="1125125044">
    <w:abstractNumId w:val="311"/>
  </w:num>
  <w:num w:numId="452" w16cid:durableId="779228847">
    <w:abstractNumId w:val="101"/>
  </w:num>
  <w:num w:numId="453" w16cid:durableId="1406804339">
    <w:abstractNumId w:val="171"/>
  </w:num>
  <w:num w:numId="454" w16cid:durableId="1861359063">
    <w:abstractNumId w:val="142"/>
  </w:num>
  <w:num w:numId="455" w16cid:durableId="1330906815">
    <w:abstractNumId w:val="335"/>
  </w:num>
  <w:num w:numId="456" w16cid:durableId="99683464">
    <w:abstractNumId w:val="350"/>
  </w:num>
  <w:num w:numId="457" w16cid:durableId="2071806090">
    <w:abstractNumId w:val="14"/>
  </w:num>
  <w:num w:numId="458" w16cid:durableId="703558859">
    <w:abstractNumId w:val="328"/>
  </w:num>
  <w:num w:numId="459" w16cid:durableId="951090445">
    <w:abstractNumId w:val="276"/>
  </w:num>
  <w:num w:numId="460" w16cid:durableId="176383759">
    <w:abstractNumId w:val="162"/>
  </w:num>
  <w:num w:numId="461" w16cid:durableId="1750881221">
    <w:abstractNumId w:val="279"/>
  </w:num>
  <w:num w:numId="462" w16cid:durableId="1917322672">
    <w:abstractNumId w:val="77"/>
  </w:num>
  <w:num w:numId="463" w16cid:durableId="836698744">
    <w:abstractNumId w:val="44"/>
  </w:num>
  <w:num w:numId="464" w16cid:durableId="1603611689">
    <w:abstractNumId w:val="206"/>
  </w:num>
  <w:num w:numId="465" w16cid:durableId="1438872059">
    <w:abstractNumId w:val="424"/>
  </w:num>
  <w:num w:numId="466" w16cid:durableId="1812357075">
    <w:abstractNumId w:val="112"/>
  </w:num>
  <w:num w:numId="467" w16cid:durableId="1669140719">
    <w:abstractNumId w:val="61"/>
  </w:num>
  <w:num w:numId="468" w16cid:durableId="1402870942">
    <w:abstractNumId w:val="372"/>
  </w:num>
  <w:num w:numId="469" w16cid:durableId="35399286">
    <w:abstractNumId w:val="284"/>
  </w:num>
  <w:num w:numId="470" w16cid:durableId="740256041">
    <w:abstractNumId w:val="110"/>
  </w:num>
  <w:num w:numId="471" w16cid:durableId="749737118">
    <w:abstractNumId w:val="81"/>
  </w:num>
  <w:num w:numId="472" w16cid:durableId="546528626">
    <w:abstractNumId w:val="209"/>
  </w:num>
  <w:num w:numId="473" w16cid:durableId="450439479">
    <w:abstractNumId w:val="286"/>
  </w:num>
  <w:num w:numId="474" w16cid:durableId="1334842711">
    <w:abstractNumId w:val="104"/>
  </w:num>
  <w:num w:numId="475" w16cid:durableId="551773871">
    <w:abstractNumId w:val="33"/>
  </w:num>
  <w:num w:numId="476" w16cid:durableId="980499544">
    <w:abstractNumId w:val="146"/>
  </w:num>
  <w:num w:numId="477" w16cid:durableId="1152019715">
    <w:abstractNumId w:val="397"/>
  </w:num>
  <w:num w:numId="478" w16cid:durableId="949512955">
    <w:abstractNumId w:val="349"/>
  </w:num>
  <w:num w:numId="479" w16cid:durableId="2033532151">
    <w:abstractNumId w:val="403"/>
  </w:num>
  <w:num w:numId="480" w16cid:durableId="2134589029">
    <w:abstractNumId w:val="295"/>
  </w:num>
  <w:num w:numId="481" w16cid:durableId="1900171946">
    <w:abstractNumId w:val="230"/>
  </w:num>
  <w:num w:numId="482" w16cid:durableId="1685283181">
    <w:abstractNumId w:val="28"/>
  </w:num>
  <w:num w:numId="483" w16cid:durableId="1396657723">
    <w:abstractNumId w:val="287"/>
  </w:num>
  <w:num w:numId="484" w16cid:durableId="1994985126">
    <w:abstractNumId w:val="64"/>
  </w:num>
  <w:num w:numId="485" w16cid:durableId="597520624">
    <w:abstractNumId w:val="498"/>
  </w:num>
  <w:num w:numId="486" w16cid:durableId="462623964">
    <w:abstractNumId w:val="449"/>
  </w:num>
  <w:num w:numId="487" w16cid:durableId="2139177621">
    <w:abstractNumId w:val="134"/>
  </w:num>
  <w:num w:numId="488" w16cid:durableId="2112620427">
    <w:abstractNumId w:val="51"/>
  </w:num>
  <w:num w:numId="489" w16cid:durableId="152378680">
    <w:abstractNumId w:val="407"/>
  </w:num>
  <w:num w:numId="490" w16cid:durableId="864975572">
    <w:abstractNumId w:val="116"/>
  </w:num>
  <w:num w:numId="491" w16cid:durableId="1266814068">
    <w:abstractNumId w:val="4"/>
  </w:num>
  <w:num w:numId="492" w16cid:durableId="1608808558">
    <w:abstractNumId w:val="492"/>
  </w:num>
  <w:num w:numId="493" w16cid:durableId="852651184">
    <w:abstractNumId w:val="49"/>
  </w:num>
  <w:num w:numId="494" w16cid:durableId="1360397265">
    <w:abstractNumId w:val="196"/>
  </w:num>
  <w:num w:numId="495" w16cid:durableId="802499020">
    <w:abstractNumId w:val="45"/>
  </w:num>
  <w:num w:numId="496" w16cid:durableId="1336491623">
    <w:abstractNumId w:val="293"/>
  </w:num>
  <w:num w:numId="497" w16cid:durableId="706372488">
    <w:abstractNumId w:val="66"/>
  </w:num>
  <w:num w:numId="498" w16cid:durableId="1284119850">
    <w:abstractNumId w:val="442"/>
  </w:num>
  <w:num w:numId="499" w16cid:durableId="2015570587">
    <w:abstractNumId w:val="302"/>
  </w:num>
  <w:num w:numId="500" w16cid:durableId="849024968">
    <w:abstractNumId w:val="227"/>
  </w:num>
  <w:num w:numId="501" w16cid:durableId="377707810">
    <w:abstractNumId w:val="479"/>
  </w:num>
  <w:num w:numId="502" w16cid:durableId="450437968">
    <w:abstractNumId w:val="351"/>
  </w:num>
  <w:num w:numId="503" w16cid:durableId="1839613966">
    <w:abstractNumId w:val="99"/>
  </w:num>
  <w:num w:numId="504" w16cid:durableId="239028894">
    <w:abstractNumId w:val="364"/>
  </w:num>
  <w:num w:numId="505" w16cid:durableId="1654749641">
    <w:abstractNumId w:val="58"/>
  </w:num>
  <w:num w:numId="506" w16cid:durableId="1644191175">
    <w:abstractNumId w:val="102"/>
  </w:num>
  <w:numIdMacAtCleanup w:val="50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eisner, Sidney">
    <w15:presenceInfo w15:providerId="AD" w15:userId="S-1-5-21-45967694-370826977-176895030-153712"/>
  </w15:person>
  <w15:person w15:author="Johnson, Jill">
    <w15:presenceInfo w15:providerId="AD" w15:userId="S::johnsonjillt@uams.edu::0f798a8b-b5aa-45d8-826d-a67d4fad3e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626C"/>
    <w:rsid w:val="00076432"/>
    <w:rsid w:val="001506C1"/>
    <w:rsid w:val="001F1BF5"/>
    <w:rsid w:val="002166CE"/>
    <w:rsid w:val="00222A23"/>
    <w:rsid w:val="0024168B"/>
    <w:rsid w:val="002641D2"/>
    <w:rsid w:val="0027626C"/>
    <w:rsid w:val="002819F6"/>
    <w:rsid w:val="002A1632"/>
    <w:rsid w:val="002B2097"/>
    <w:rsid w:val="002D375E"/>
    <w:rsid w:val="002F3083"/>
    <w:rsid w:val="003331F0"/>
    <w:rsid w:val="003B40CD"/>
    <w:rsid w:val="00415E63"/>
    <w:rsid w:val="004F1A85"/>
    <w:rsid w:val="00500371"/>
    <w:rsid w:val="005005CA"/>
    <w:rsid w:val="00500AD5"/>
    <w:rsid w:val="005B76C0"/>
    <w:rsid w:val="005C142D"/>
    <w:rsid w:val="005D3DE3"/>
    <w:rsid w:val="005E2908"/>
    <w:rsid w:val="00652A6E"/>
    <w:rsid w:val="006C522D"/>
    <w:rsid w:val="0078218F"/>
    <w:rsid w:val="00953C90"/>
    <w:rsid w:val="009B5AA5"/>
    <w:rsid w:val="00B700AB"/>
    <w:rsid w:val="00BE7C2A"/>
    <w:rsid w:val="00C3036D"/>
    <w:rsid w:val="00CA4C3C"/>
    <w:rsid w:val="00CC64CF"/>
    <w:rsid w:val="00D84454"/>
    <w:rsid w:val="00E0067F"/>
    <w:rsid w:val="00EF3B65"/>
    <w:rsid w:val="00FA3F9C"/>
    <w:rsid w:val="00FA5A16"/>
    <w:rsid w:val="00FB513C"/>
    <w:rsid w:val="00FC1E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rules v:ext="edit">
        <o:r id="V:Rule2" type="connector" idref="#_x0000_s1029"/>
      </o:rules>
    </o:shapelayout>
  </w:shapeDefaults>
  <w:decimalSymbol w:val="."/>
  <w:listSeparator w:val=","/>
  <w14:docId w14:val="6D74ECB7"/>
  <w15:chartTrackingRefBased/>
  <w15:docId w15:val="{5B0995CA-4ECA-46F2-943F-BD6A8EB43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7626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qFormat/>
    <w:rsid w:val="009B5AA5"/>
    <w:pPr>
      <w:keepNext/>
      <w:spacing w:after="0" w:line="240" w:lineRule="auto"/>
      <w:jc w:val="center"/>
      <w:outlineLvl w:val="1"/>
    </w:pPr>
    <w:rPr>
      <w:rFonts w:ascii="Arial" w:eastAsia="Times New Roman" w:hAnsi="Arial" w:cs="Arial"/>
      <w:b/>
      <w:sz w:val="28"/>
      <w:szCs w:val="20"/>
    </w:rPr>
  </w:style>
  <w:style w:type="paragraph" w:styleId="Heading4">
    <w:name w:val="heading 4"/>
    <w:basedOn w:val="Normal"/>
    <w:link w:val="Heading4Char"/>
    <w:uiPriority w:val="9"/>
    <w:qFormat/>
    <w:rsid w:val="002641D2"/>
    <w:pPr>
      <w:spacing w:before="100" w:beforeAutospacing="1" w:after="100" w:afterAutospacing="1" w:line="240" w:lineRule="auto"/>
      <w:outlineLvl w:val="3"/>
    </w:pPr>
    <w:rPr>
      <w:rFonts w:ascii="Times New Roman" w:eastAsia="Times New Roman" w:hAnsi="Times New Roman" w:cs="Times New Roman"/>
      <w:b/>
      <w:bCs/>
      <w:sz w:val="24"/>
      <w:szCs w:val="24"/>
      <w:lang w:val="x-none" w:eastAsia="x-none"/>
    </w:rPr>
  </w:style>
  <w:style w:type="paragraph" w:styleId="Heading5">
    <w:name w:val="heading 5"/>
    <w:basedOn w:val="Normal"/>
    <w:next w:val="Normal"/>
    <w:link w:val="Heading5Char"/>
    <w:qFormat/>
    <w:rsid w:val="009B5AA5"/>
    <w:pPr>
      <w:keepNext/>
      <w:spacing w:after="0" w:line="240" w:lineRule="auto"/>
      <w:outlineLvl w:val="4"/>
    </w:pPr>
    <w:rPr>
      <w:rFonts w:ascii="Arial" w:eastAsia="Times New Roman" w:hAnsi="Arial" w:cs="Times New Roman"/>
      <w:b/>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762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7626C"/>
    <w:pPr>
      <w:ind w:left="720"/>
      <w:contextualSpacing/>
    </w:pPr>
    <w:rPr>
      <w:rFonts w:ascii="Calibri" w:eastAsia="Calibri" w:hAnsi="Calibri" w:cs="Times New Roman"/>
    </w:rPr>
  </w:style>
  <w:style w:type="character" w:styleId="Hyperlink">
    <w:name w:val="Hyperlink"/>
    <w:basedOn w:val="DefaultParagraphFont"/>
    <w:uiPriority w:val="99"/>
    <w:unhideWhenUsed/>
    <w:rsid w:val="0027626C"/>
    <w:rPr>
      <w:color w:val="0563C1" w:themeColor="hyperlink"/>
      <w:u w:val="single"/>
    </w:rPr>
  </w:style>
  <w:style w:type="paragraph" w:customStyle="1" w:styleId="Default">
    <w:name w:val="Default"/>
    <w:rsid w:val="0027626C"/>
    <w:pPr>
      <w:autoSpaceDE w:val="0"/>
      <w:autoSpaceDN w:val="0"/>
      <w:adjustRightInd w:val="0"/>
      <w:spacing w:after="0" w:line="240" w:lineRule="auto"/>
    </w:pPr>
    <w:rPr>
      <w:rFonts w:ascii="Avenir 85 Heavy" w:hAnsi="Avenir 85 Heavy" w:cs="Avenir 85 Heavy"/>
      <w:color w:val="000000"/>
      <w:sz w:val="24"/>
      <w:szCs w:val="24"/>
    </w:rPr>
  </w:style>
  <w:style w:type="character" w:customStyle="1" w:styleId="titledefault">
    <w:name w:val="title_default"/>
    <w:basedOn w:val="DefaultParagraphFont"/>
    <w:rsid w:val="0027626C"/>
  </w:style>
  <w:style w:type="character" w:customStyle="1" w:styleId="highlight">
    <w:name w:val="highlight"/>
    <w:basedOn w:val="DefaultParagraphFont"/>
    <w:rsid w:val="0027626C"/>
  </w:style>
  <w:style w:type="character" w:customStyle="1" w:styleId="Heading1Char">
    <w:name w:val="Heading 1 Char"/>
    <w:basedOn w:val="DefaultParagraphFont"/>
    <w:link w:val="Heading1"/>
    <w:uiPriority w:val="9"/>
    <w:rsid w:val="0027626C"/>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27626C"/>
    <w:pPr>
      <w:spacing w:before="100" w:beforeAutospacing="1" w:after="100" w:afterAutospacing="1" w:line="240" w:lineRule="auto"/>
    </w:pPr>
    <w:rPr>
      <w:rFonts w:ascii="Times" w:eastAsiaTheme="minorEastAsia" w:hAnsi="Times" w:cs="Times New Roman"/>
      <w:sz w:val="20"/>
      <w:szCs w:val="20"/>
    </w:rPr>
  </w:style>
  <w:style w:type="character" w:customStyle="1" w:styleId="apple-converted-space">
    <w:name w:val="apple-converted-space"/>
    <w:basedOn w:val="DefaultParagraphFont"/>
    <w:rsid w:val="0027626C"/>
  </w:style>
  <w:style w:type="character" w:styleId="Strong">
    <w:name w:val="Strong"/>
    <w:basedOn w:val="DefaultParagraphFont"/>
    <w:uiPriority w:val="22"/>
    <w:qFormat/>
    <w:rsid w:val="0027626C"/>
    <w:rPr>
      <w:b/>
      <w:bCs/>
    </w:rPr>
  </w:style>
  <w:style w:type="paragraph" w:customStyle="1" w:styleId="bulletindent1">
    <w:name w:val="bulletindent1"/>
    <w:basedOn w:val="Normal"/>
    <w:rsid w:val="0027626C"/>
    <w:pPr>
      <w:spacing w:before="100" w:beforeAutospacing="1" w:after="100" w:afterAutospacing="1" w:line="240" w:lineRule="auto"/>
    </w:pPr>
    <w:rPr>
      <w:rFonts w:ascii="Times" w:eastAsiaTheme="minorEastAsia" w:hAnsi="Times"/>
      <w:sz w:val="20"/>
      <w:szCs w:val="20"/>
    </w:rPr>
  </w:style>
  <w:style w:type="character" w:customStyle="1" w:styleId="glyph">
    <w:name w:val="glyph"/>
    <w:basedOn w:val="DefaultParagraphFont"/>
    <w:rsid w:val="0027626C"/>
  </w:style>
  <w:style w:type="character" w:customStyle="1" w:styleId="nowrap">
    <w:name w:val="nowrap"/>
    <w:basedOn w:val="DefaultParagraphFont"/>
    <w:rsid w:val="0027626C"/>
  </w:style>
  <w:style w:type="table" w:styleId="GridTable4">
    <w:name w:val="Grid Table 4"/>
    <w:basedOn w:val="TableNormal"/>
    <w:uiPriority w:val="49"/>
    <w:rsid w:val="0027626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Spacing">
    <w:name w:val="No Spacing"/>
    <w:uiPriority w:val="1"/>
    <w:qFormat/>
    <w:rsid w:val="0027626C"/>
    <w:pPr>
      <w:spacing w:after="0" w:line="240" w:lineRule="auto"/>
    </w:pPr>
  </w:style>
  <w:style w:type="character" w:customStyle="1" w:styleId="jrnl">
    <w:name w:val="jrnl"/>
    <w:basedOn w:val="DefaultParagraphFont"/>
    <w:rsid w:val="0027626C"/>
  </w:style>
  <w:style w:type="character" w:customStyle="1" w:styleId="h2">
    <w:name w:val="h2"/>
    <w:basedOn w:val="DefaultParagraphFont"/>
    <w:rsid w:val="001506C1"/>
  </w:style>
  <w:style w:type="character" w:customStyle="1" w:styleId="headingendmark">
    <w:name w:val="headingendmark"/>
    <w:basedOn w:val="DefaultParagraphFont"/>
    <w:rsid w:val="001506C1"/>
  </w:style>
  <w:style w:type="character" w:customStyle="1" w:styleId="definition">
    <w:name w:val="definition"/>
    <w:basedOn w:val="DefaultParagraphFont"/>
    <w:rsid w:val="001506C1"/>
  </w:style>
  <w:style w:type="paragraph" w:customStyle="1" w:styleId="Normal1">
    <w:name w:val="Normal1"/>
    <w:rsid w:val="002641D2"/>
    <w:pPr>
      <w:widowControl w:val="0"/>
      <w:spacing w:after="0" w:line="240" w:lineRule="auto"/>
    </w:pPr>
    <w:rPr>
      <w:rFonts w:ascii="Cambria" w:eastAsia="Cambria" w:hAnsi="Cambria" w:cs="Cambria"/>
      <w:color w:val="000000"/>
      <w:sz w:val="24"/>
      <w:szCs w:val="24"/>
    </w:rPr>
  </w:style>
  <w:style w:type="paragraph" w:customStyle="1" w:styleId="Body">
    <w:name w:val="Body"/>
    <w:rsid w:val="002641D2"/>
    <w:pPr>
      <w:pBdr>
        <w:top w:val="nil"/>
        <w:left w:val="nil"/>
        <w:bottom w:val="nil"/>
        <w:right w:val="nil"/>
        <w:between w:val="nil"/>
        <w:bar w:val="nil"/>
      </w:pBdr>
      <w:spacing w:after="200" w:line="276" w:lineRule="auto"/>
    </w:pPr>
    <w:rPr>
      <w:rFonts w:ascii="Calibri" w:eastAsia="Calibri" w:hAnsi="Calibri" w:cs="Calibri"/>
      <w:color w:val="000000"/>
      <w:u w:color="000000"/>
      <w:bdr w:val="nil"/>
    </w:rPr>
  </w:style>
  <w:style w:type="character" w:customStyle="1" w:styleId="Heading4Char">
    <w:name w:val="Heading 4 Char"/>
    <w:basedOn w:val="DefaultParagraphFont"/>
    <w:link w:val="Heading4"/>
    <w:uiPriority w:val="9"/>
    <w:rsid w:val="002641D2"/>
    <w:rPr>
      <w:rFonts w:ascii="Times New Roman" w:eastAsia="Times New Roman" w:hAnsi="Times New Roman" w:cs="Times New Roman"/>
      <w:b/>
      <w:bCs/>
      <w:sz w:val="24"/>
      <w:szCs w:val="24"/>
      <w:lang w:val="x-none" w:eastAsia="x-none"/>
    </w:rPr>
  </w:style>
  <w:style w:type="paragraph" w:styleId="Title">
    <w:name w:val="Title"/>
    <w:basedOn w:val="Normal"/>
    <w:next w:val="Normal"/>
    <w:link w:val="TitleChar"/>
    <w:uiPriority w:val="10"/>
    <w:qFormat/>
    <w:rsid w:val="002641D2"/>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x-none" w:eastAsia="x-none"/>
    </w:rPr>
  </w:style>
  <w:style w:type="character" w:customStyle="1" w:styleId="TitleChar">
    <w:name w:val="Title Char"/>
    <w:basedOn w:val="DefaultParagraphFont"/>
    <w:link w:val="Title"/>
    <w:uiPriority w:val="10"/>
    <w:rsid w:val="002641D2"/>
    <w:rPr>
      <w:rFonts w:ascii="Cambria" w:eastAsia="Times New Roman" w:hAnsi="Cambria" w:cs="Times New Roman"/>
      <w:color w:val="17365D"/>
      <w:spacing w:val="5"/>
      <w:kern w:val="28"/>
      <w:sz w:val="52"/>
      <w:szCs w:val="52"/>
      <w:lang w:val="x-none" w:eastAsia="x-none"/>
    </w:rPr>
  </w:style>
  <w:style w:type="character" w:customStyle="1" w:styleId="maintitle3">
    <w:name w:val="maintitle3"/>
    <w:rsid w:val="002641D2"/>
    <w:rPr>
      <w:vanish w:val="0"/>
      <w:webHidden w:val="0"/>
      <w:specVanish w:val="0"/>
    </w:rPr>
  </w:style>
  <w:style w:type="paragraph" w:customStyle="1" w:styleId="headinganchor">
    <w:name w:val="headinganchor"/>
    <w:basedOn w:val="Normal"/>
    <w:rsid w:val="002641D2"/>
    <w:pPr>
      <w:spacing w:before="100" w:beforeAutospacing="1" w:after="100" w:afterAutospacing="1" w:line="240" w:lineRule="auto"/>
    </w:pPr>
    <w:rPr>
      <w:rFonts w:ascii="Times" w:hAnsi="Times"/>
      <w:sz w:val="20"/>
      <w:szCs w:val="20"/>
    </w:rPr>
  </w:style>
  <w:style w:type="character" w:customStyle="1" w:styleId="h1">
    <w:name w:val="h1"/>
    <w:basedOn w:val="DefaultParagraphFont"/>
    <w:rsid w:val="002641D2"/>
  </w:style>
  <w:style w:type="paragraph" w:customStyle="1" w:styleId="bulletindent2">
    <w:name w:val="bulletindent2"/>
    <w:basedOn w:val="Normal"/>
    <w:rsid w:val="002641D2"/>
    <w:pPr>
      <w:spacing w:before="100" w:beforeAutospacing="1" w:after="100" w:afterAutospacing="1" w:line="240" w:lineRule="auto"/>
    </w:pPr>
    <w:rPr>
      <w:rFonts w:ascii="Times" w:hAnsi="Times"/>
      <w:sz w:val="20"/>
      <w:szCs w:val="20"/>
    </w:rPr>
  </w:style>
  <w:style w:type="character" w:customStyle="1" w:styleId="meta-citation-journal-name">
    <w:name w:val="meta-citation-journal-name"/>
    <w:basedOn w:val="DefaultParagraphFont"/>
    <w:rsid w:val="002641D2"/>
  </w:style>
  <w:style w:type="character" w:customStyle="1" w:styleId="meta-citation">
    <w:name w:val="meta-citation"/>
    <w:basedOn w:val="DefaultParagraphFont"/>
    <w:rsid w:val="002641D2"/>
  </w:style>
  <w:style w:type="paragraph" w:styleId="CommentText">
    <w:name w:val="annotation text"/>
    <w:basedOn w:val="Normal"/>
    <w:link w:val="CommentTextChar"/>
    <w:uiPriority w:val="99"/>
    <w:unhideWhenUsed/>
    <w:rsid w:val="002641D2"/>
    <w:pPr>
      <w:spacing w:after="200" w:line="240" w:lineRule="auto"/>
    </w:pPr>
    <w:rPr>
      <w:sz w:val="20"/>
      <w:szCs w:val="20"/>
    </w:rPr>
  </w:style>
  <w:style w:type="character" w:customStyle="1" w:styleId="CommentTextChar">
    <w:name w:val="Comment Text Char"/>
    <w:basedOn w:val="DefaultParagraphFont"/>
    <w:link w:val="CommentText"/>
    <w:uiPriority w:val="99"/>
    <w:rsid w:val="002641D2"/>
    <w:rPr>
      <w:sz w:val="20"/>
      <w:szCs w:val="20"/>
    </w:rPr>
  </w:style>
  <w:style w:type="character" w:customStyle="1" w:styleId="hlfld-contribauthor">
    <w:name w:val="hlfld-contribauthor"/>
    <w:basedOn w:val="DefaultParagraphFont"/>
    <w:rsid w:val="002641D2"/>
  </w:style>
  <w:style w:type="character" w:customStyle="1" w:styleId="separator">
    <w:name w:val="separator"/>
    <w:basedOn w:val="DefaultParagraphFont"/>
    <w:rsid w:val="002641D2"/>
  </w:style>
  <w:style w:type="character" w:customStyle="1" w:styleId="nlmsource">
    <w:name w:val="nlm_source"/>
    <w:basedOn w:val="DefaultParagraphFont"/>
    <w:rsid w:val="002641D2"/>
  </w:style>
  <w:style w:type="character" w:customStyle="1" w:styleId="authors">
    <w:name w:val="authors"/>
    <w:basedOn w:val="DefaultParagraphFont"/>
    <w:rsid w:val="002641D2"/>
  </w:style>
  <w:style w:type="character" w:customStyle="1" w:styleId="Date1">
    <w:name w:val="Date1"/>
    <w:basedOn w:val="DefaultParagraphFont"/>
    <w:rsid w:val="002641D2"/>
  </w:style>
  <w:style w:type="character" w:customStyle="1" w:styleId="arttitle">
    <w:name w:val="art_title"/>
    <w:basedOn w:val="DefaultParagraphFont"/>
    <w:rsid w:val="002641D2"/>
  </w:style>
  <w:style w:type="character" w:customStyle="1" w:styleId="serialtitle">
    <w:name w:val="serial_title"/>
    <w:basedOn w:val="DefaultParagraphFont"/>
    <w:rsid w:val="002641D2"/>
  </w:style>
  <w:style w:type="character" w:customStyle="1" w:styleId="volumeissue">
    <w:name w:val="volume_issue"/>
    <w:basedOn w:val="DefaultParagraphFont"/>
    <w:rsid w:val="002641D2"/>
  </w:style>
  <w:style w:type="character" w:customStyle="1" w:styleId="pagerange">
    <w:name w:val="page_range"/>
    <w:basedOn w:val="DefaultParagraphFont"/>
    <w:rsid w:val="002641D2"/>
  </w:style>
  <w:style w:type="character" w:customStyle="1" w:styleId="hitinf">
    <w:name w:val="hit_inf"/>
    <w:basedOn w:val="DefaultParagraphFont"/>
    <w:rsid w:val="009B5AA5"/>
  </w:style>
  <w:style w:type="paragraph" w:styleId="Header">
    <w:name w:val="header"/>
    <w:basedOn w:val="Normal"/>
    <w:link w:val="HeaderChar"/>
    <w:unhideWhenUsed/>
    <w:rsid w:val="009B5A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5AA5"/>
  </w:style>
  <w:style w:type="paragraph" w:styleId="Footer">
    <w:name w:val="footer"/>
    <w:basedOn w:val="Normal"/>
    <w:link w:val="FooterChar"/>
    <w:uiPriority w:val="99"/>
    <w:unhideWhenUsed/>
    <w:rsid w:val="009B5A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5AA5"/>
  </w:style>
  <w:style w:type="paragraph" w:styleId="BalloonText">
    <w:name w:val="Balloon Text"/>
    <w:basedOn w:val="Normal"/>
    <w:link w:val="BalloonTextChar"/>
    <w:uiPriority w:val="99"/>
    <w:semiHidden/>
    <w:unhideWhenUsed/>
    <w:rsid w:val="009B5A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5AA5"/>
    <w:rPr>
      <w:rFonts w:ascii="Tahoma" w:hAnsi="Tahoma" w:cs="Tahoma"/>
      <w:sz w:val="16"/>
      <w:szCs w:val="16"/>
    </w:rPr>
  </w:style>
  <w:style w:type="character" w:styleId="CommentReference">
    <w:name w:val="annotation reference"/>
    <w:basedOn w:val="DefaultParagraphFont"/>
    <w:uiPriority w:val="99"/>
    <w:semiHidden/>
    <w:unhideWhenUsed/>
    <w:rsid w:val="009B5AA5"/>
    <w:rPr>
      <w:sz w:val="16"/>
      <w:szCs w:val="16"/>
    </w:rPr>
  </w:style>
  <w:style w:type="paragraph" w:styleId="CommentSubject">
    <w:name w:val="annotation subject"/>
    <w:basedOn w:val="CommentText"/>
    <w:next w:val="CommentText"/>
    <w:link w:val="CommentSubjectChar"/>
    <w:uiPriority w:val="99"/>
    <w:semiHidden/>
    <w:unhideWhenUsed/>
    <w:rsid w:val="009B5AA5"/>
    <w:rPr>
      <w:b/>
      <w:bCs/>
    </w:rPr>
  </w:style>
  <w:style w:type="character" w:customStyle="1" w:styleId="CommentSubjectChar">
    <w:name w:val="Comment Subject Char"/>
    <w:basedOn w:val="CommentTextChar"/>
    <w:link w:val="CommentSubject"/>
    <w:uiPriority w:val="99"/>
    <w:semiHidden/>
    <w:rsid w:val="009B5AA5"/>
    <w:rPr>
      <w:b/>
      <w:bCs/>
      <w:sz w:val="20"/>
      <w:szCs w:val="20"/>
    </w:rPr>
  </w:style>
  <w:style w:type="character" w:styleId="FollowedHyperlink">
    <w:name w:val="FollowedHyperlink"/>
    <w:basedOn w:val="DefaultParagraphFont"/>
    <w:uiPriority w:val="99"/>
    <w:semiHidden/>
    <w:unhideWhenUsed/>
    <w:rsid w:val="009B5AA5"/>
    <w:rPr>
      <w:color w:val="954F72" w:themeColor="followedHyperlink"/>
      <w:u w:val="single"/>
    </w:rPr>
  </w:style>
  <w:style w:type="character" w:customStyle="1" w:styleId="Heading2Char">
    <w:name w:val="Heading 2 Char"/>
    <w:basedOn w:val="DefaultParagraphFont"/>
    <w:link w:val="Heading2"/>
    <w:rsid w:val="009B5AA5"/>
    <w:rPr>
      <w:rFonts w:ascii="Arial" w:eastAsia="Times New Roman" w:hAnsi="Arial" w:cs="Arial"/>
      <w:b/>
      <w:sz w:val="28"/>
      <w:szCs w:val="20"/>
    </w:rPr>
  </w:style>
  <w:style w:type="character" w:customStyle="1" w:styleId="Heading5Char">
    <w:name w:val="Heading 5 Char"/>
    <w:basedOn w:val="DefaultParagraphFont"/>
    <w:link w:val="Heading5"/>
    <w:rsid w:val="009B5AA5"/>
    <w:rPr>
      <w:rFonts w:ascii="Arial" w:eastAsia="Times New Roman" w:hAnsi="Arial" w:cs="Times New Roman"/>
      <w:b/>
      <w:sz w:val="20"/>
      <w:szCs w:val="24"/>
    </w:rPr>
  </w:style>
  <w:style w:type="paragraph" w:styleId="BodyText">
    <w:name w:val="Body Text"/>
    <w:basedOn w:val="Normal"/>
    <w:link w:val="BodyTextChar"/>
    <w:rsid w:val="009B5AA5"/>
    <w:pPr>
      <w:spacing w:after="0" w:line="240" w:lineRule="auto"/>
    </w:pPr>
    <w:rPr>
      <w:rFonts w:ascii="Bookman Old Style" w:eastAsia="Times New Roman" w:hAnsi="Bookman Old Style" w:cs="Times New Roman"/>
      <w:szCs w:val="20"/>
    </w:rPr>
  </w:style>
  <w:style w:type="character" w:customStyle="1" w:styleId="BodyTextChar">
    <w:name w:val="Body Text Char"/>
    <w:basedOn w:val="DefaultParagraphFont"/>
    <w:link w:val="BodyText"/>
    <w:rsid w:val="009B5AA5"/>
    <w:rPr>
      <w:rFonts w:ascii="Bookman Old Style" w:eastAsia="Times New Roman" w:hAnsi="Bookman Old Style" w:cs="Times New Roman"/>
      <w:szCs w:val="20"/>
    </w:rPr>
  </w:style>
  <w:style w:type="character" w:styleId="PageNumber">
    <w:name w:val="page number"/>
    <w:basedOn w:val="DefaultParagraphFont"/>
    <w:rsid w:val="009B5AA5"/>
  </w:style>
  <w:style w:type="character" w:customStyle="1" w:styleId="normaltextrun">
    <w:name w:val="normaltextrun"/>
    <w:basedOn w:val="DefaultParagraphFont"/>
    <w:rsid w:val="00C3036D"/>
  </w:style>
  <w:style w:type="character" w:customStyle="1" w:styleId="selectable">
    <w:name w:val="selectable"/>
    <w:basedOn w:val="DefaultParagraphFont"/>
    <w:rsid w:val="00C3036D"/>
  </w:style>
  <w:style w:type="character" w:customStyle="1" w:styleId="italics">
    <w:name w:val="italics"/>
    <w:basedOn w:val="DefaultParagraphFont"/>
    <w:rsid w:val="00C3036D"/>
  </w:style>
  <w:style w:type="character" w:styleId="Emphasis">
    <w:name w:val="Emphasis"/>
    <w:uiPriority w:val="20"/>
    <w:qFormat/>
    <w:rsid w:val="005C142D"/>
    <w:rPr>
      <w:i/>
      <w:iCs/>
    </w:rPr>
  </w:style>
  <w:style w:type="paragraph" w:styleId="TOCHeading">
    <w:name w:val="TOC Heading"/>
    <w:basedOn w:val="Heading1"/>
    <w:next w:val="Normal"/>
    <w:uiPriority w:val="39"/>
    <w:unhideWhenUsed/>
    <w:qFormat/>
    <w:rsid w:val="00652A6E"/>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TOC2">
    <w:name w:val="toc 2"/>
    <w:basedOn w:val="Normal"/>
    <w:next w:val="Normal"/>
    <w:autoRedefine/>
    <w:uiPriority w:val="39"/>
    <w:unhideWhenUsed/>
    <w:rsid w:val="00652A6E"/>
    <w:pPr>
      <w:spacing w:after="100"/>
      <w:ind w:left="220"/>
    </w:pPr>
  </w:style>
  <w:style w:type="paragraph" w:styleId="TOC1">
    <w:name w:val="toc 1"/>
    <w:basedOn w:val="Normal"/>
    <w:next w:val="Normal"/>
    <w:autoRedefine/>
    <w:uiPriority w:val="39"/>
    <w:unhideWhenUsed/>
    <w:rsid w:val="00652A6E"/>
    <w:pPr>
      <w:spacing w:after="100"/>
    </w:pPr>
  </w:style>
  <w:style w:type="paragraph" w:styleId="TOC3">
    <w:name w:val="toc 3"/>
    <w:basedOn w:val="Normal"/>
    <w:next w:val="Normal"/>
    <w:autoRedefine/>
    <w:uiPriority w:val="39"/>
    <w:unhideWhenUsed/>
    <w:rsid w:val="00652A6E"/>
    <w:pPr>
      <w:spacing w:after="100"/>
      <w:ind w:left="440"/>
    </w:pPr>
    <w:rPr>
      <w:rFonts w:eastAsiaTheme="minorEastAsia"/>
    </w:rPr>
  </w:style>
  <w:style w:type="paragraph" w:styleId="TOC4">
    <w:name w:val="toc 4"/>
    <w:basedOn w:val="Normal"/>
    <w:next w:val="Normal"/>
    <w:autoRedefine/>
    <w:uiPriority w:val="39"/>
    <w:unhideWhenUsed/>
    <w:rsid w:val="00652A6E"/>
    <w:pPr>
      <w:spacing w:after="100"/>
      <w:ind w:left="660"/>
    </w:pPr>
    <w:rPr>
      <w:rFonts w:eastAsiaTheme="minorEastAsia"/>
    </w:rPr>
  </w:style>
  <w:style w:type="paragraph" w:styleId="TOC5">
    <w:name w:val="toc 5"/>
    <w:basedOn w:val="Normal"/>
    <w:next w:val="Normal"/>
    <w:autoRedefine/>
    <w:uiPriority w:val="39"/>
    <w:unhideWhenUsed/>
    <w:rsid w:val="00652A6E"/>
    <w:pPr>
      <w:spacing w:after="100"/>
      <w:ind w:left="880"/>
    </w:pPr>
    <w:rPr>
      <w:rFonts w:eastAsiaTheme="minorEastAsia"/>
    </w:rPr>
  </w:style>
  <w:style w:type="paragraph" w:styleId="TOC6">
    <w:name w:val="toc 6"/>
    <w:basedOn w:val="Normal"/>
    <w:next w:val="Normal"/>
    <w:autoRedefine/>
    <w:uiPriority w:val="39"/>
    <w:unhideWhenUsed/>
    <w:rsid w:val="00652A6E"/>
    <w:pPr>
      <w:spacing w:after="100"/>
      <w:ind w:left="1100"/>
    </w:pPr>
    <w:rPr>
      <w:rFonts w:eastAsiaTheme="minorEastAsia"/>
    </w:rPr>
  </w:style>
  <w:style w:type="paragraph" w:styleId="TOC7">
    <w:name w:val="toc 7"/>
    <w:basedOn w:val="Normal"/>
    <w:next w:val="Normal"/>
    <w:autoRedefine/>
    <w:uiPriority w:val="39"/>
    <w:unhideWhenUsed/>
    <w:rsid w:val="00652A6E"/>
    <w:pPr>
      <w:spacing w:after="100"/>
      <w:ind w:left="1320"/>
    </w:pPr>
    <w:rPr>
      <w:rFonts w:eastAsiaTheme="minorEastAsia"/>
    </w:rPr>
  </w:style>
  <w:style w:type="paragraph" w:styleId="TOC8">
    <w:name w:val="toc 8"/>
    <w:basedOn w:val="Normal"/>
    <w:next w:val="Normal"/>
    <w:autoRedefine/>
    <w:uiPriority w:val="39"/>
    <w:unhideWhenUsed/>
    <w:rsid w:val="00652A6E"/>
    <w:pPr>
      <w:spacing w:after="100"/>
      <w:ind w:left="1540"/>
    </w:pPr>
    <w:rPr>
      <w:rFonts w:eastAsiaTheme="minorEastAsia"/>
    </w:rPr>
  </w:style>
  <w:style w:type="paragraph" w:styleId="TOC9">
    <w:name w:val="toc 9"/>
    <w:basedOn w:val="Normal"/>
    <w:next w:val="Normal"/>
    <w:autoRedefine/>
    <w:uiPriority w:val="39"/>
    <w:unhideWhenUsed/>
    <w:rsid w:val="00652A6E"/>
    <w:pPr>
      <w:spacing w:after="100"/>
      <w:ind w:left="1760"/>
    </w:pPr>
    <w:rPr>
      <w:rFonts w:eastAsiaTheme="minorEastAsia"/>
    </w:rPr>
  </w:style>
  <w:style w:type="character" w:styleId="UnresolvedMention">
    <w:name w:val="Unresolved Mention"/>
    <w:basedOn w:val="DefaultParagraphFont"/>
    <w:uiPriority w:val="99"/>
    <w:semiHidden/>
    <w:unhideWhenUsed/>
    <w:rsid w:val="00652A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uptodate.com/contents/iron-chelators-choice-of-agent-dosing-and-adverse%20effects?search=deferiprone&amp;source=search_result&amp;selectedTitle=2~16&amp;usage_type=default&amp;display_rank=1" TargetMode="External"/><Relationship Id="rId299" Type="http://schemas.openxmlformats.org/officeDocument/2006/relationships/hyperlink" Target="https://icer-review.org/wp-content/uploads/2018/07/ICER_SMA_Final_Evidence_Report_052419.pdf" TargetMode="External"/><Relationship Id="rId21" Type="http://schemas.openxmlformats.org/officeDocument/2006/relationships/hyperlink" Target="https://www.nejm.org/doi/suppl/10.1056/NEJMoa1715546/suppl_file/nejmoa1715546_protocol.pdf" TargetMode="External"/><Relationship Id="rId63" Type="http://schemas.openxmlformats.org/officeDocument/2006/relationships/hyperlink" Target="https://www.nccn.org/professionals/physician_gls/pdf/t-cell.pdf" TargetMode="External"/><Relationship Id="rId159" Type="http://schemas.openxmlformats.org/officeDocument/2006/relationships/hyperlink" Target="https://meetinglibrary.asco.org/record/181898/abstract" TargetMode="External"/><Relationship Id="rId324" Type="http://schemas.openxmlformats.org/officeDocument/2006/relationships/hyperlink" Target="https://www.ncbi.nlm.nih.gov/pubmed/?term=Paz-Ares%20L%5BAuthor%5D&amp;cauthor=true&amp;cauthor_uid=30280635" TargetMode="External"/><Relationship Id="rId366" Type="http://schemas.openxmlformats.org/officeDocument/2006/relationships/hyperlink" Target="https://www.ncbi.nlm.nih.gov/pubmed/28962635" TargetMode="External"/><Relationship Id="rId170" Type="http://schemas.openxmlformats.org/officeDocument/2006/relationships/hyperlink" Target="https://www.uptodate.com/contents/renal-angiomyolipomas?search=renal%20angiomyolipoma&amp;source=search_result&amp;selectedTitle=1~31&amp;usage_type=default&amp;display_rank=1" TargetMode="External"/><Relationship Id="rId226" Type="http://schemas.openxmlformats.org/officeDocument/2006/relationships/hyperlink" Target="http://www.uptodate.com/contents/clinical-manifestations-and-diagnosis-of-hemophilia/abstract/2,3" TargetMode="External"/><Relationship Id="rId268" Type="http://schemas.openxmlformats.org/officeDocument/2006/relationships/hyperlink" Target="http://www.latuda.com/LatudaPrescribingInformation.pdf" TargetMode="External"/><Relationship Id="rId32" Type="http://schemas.openxmlformats.org/officeDocument/2006/relationships/hyperlink" Target="https://www.ncbi.nlm.nih.gov/pubmed/?term=Rittmeyer%20A%5BAuthor%5D&amp;cauthor=true&amp;cauthor_uid=27979383" TargetMode="External"/><Relationship Id="rId74" Type="http://schemas.openxmlformats.org/officeDocument/2006/relationships/hyperlink" Target="http://clinicaltrials.gov/show/NCT00704730" TargetMode="External"/><Relationship Id="rId128" Type="http://schemas.openxmlformats.org/officeDocument/2006/relationships/hyperlink" Target="https://www.ncbi.nlm.nih.gov/pubmed/?term=Saag%20KG%5BAuthor%5D&amp;cauthor=true&amp;cauthor_uid=29631782" TargetMode="External"/><Relationship Id="rId335" Type="http://schemas.openxmlformats.org/officeDocument/2006/relationships/hyperlink" Target="https://www.merck.com/product/usa/pi_circulars/k/keytruda/keytruda_pi.pdf" TargetMode="External"/><Relationship Id="rId377" Type="http://schemas.openxmlformats.org/officeDocument/2006/relationships/hyperlink" Target="https://www.nccn.org/professionals/physician_gls/pdf/prostate.pdf" TargetMode="External"/><Relationship Id="rId5" Type="http://schemas.openxmlformats.org/officeDocument/2006/relationships/webSettings" Target="webSettings.xml"/><Relationship Id="rId181" Type="http://schemas.openxmlformats.org/officeDocument/2006/relationships/hyperlink" Target="https://www.aan.com/Guidelines/Home/GetGuidelineContent/900" TargetMode="External"/><Relationship Id="rId237" Type="http://schemas.openxmlformats.org/officeDocument/2006/relationships/hyperlink" Target="http://en.wikipedia.org/wiki/Back_pain" TargetMode="External"/><Relationship Id="rId402" Type="http://schemas.openxmlformats.org/officeDocument/2006/relationships/hyperlink" Target="https://icer-review.org/wp-content/uploads/2017/04/NECEPAC_TD_FINAL_REPORT_122217.pdf" TargetMode="External"/><Relationship Id="rId279" Type="http://schemas.openxmlformats.org/officeDocument/2006/relationships/hyperlink" Target="https://www.ncbi.nlm.nih.gov/pubmed/?term=Hochhaus%20A%5BAuthor%5D&amp;cauthor=true&amp;cauthor_uid=26837842" TargetMode="External"/><Relationship Id="rId43" Type="http://schemas.openxmlformats.org/officeDocument/2006/relationships/hyperlink" Target="http://www.sirturo.com/sirturo-clinical-trials" TargetMode="External"/><Relationship Id="rId139" Type="http://schemas.openxmlformats.org/officeDocument/2006/relationships/hyperlink" Target="https://www.hcvguidelines.org/references/charlton-2015" TargetMode="External"/><Relationship Id="rId290" Type="http://schemas.openxmlformats.org/officeDocument/2006/relationships/hyperlink" Target="https://meetinglibrary.asco.org/record/184651/abstract" TargetMode="External"/><Relationship Id="rId304" Type="http://schemas.openxmlformats.org/officeDocument/2006/relationships/hyperlink" Target="https://meetinglibrary.asco.org/record/185419/abstract" TargetMode="External"/><Relationship Id="rId346" Type="http://schemas.openxmlformats.org/officeDocument/2006/relationships/hyperlink" Target="http://www.fda.gov/downloads/AdvisoryCommittees/CommitteesMeetingMaterials/Drugs/PsychopharmacologicDrugsAdvisoryCommittee/UCM492452.pdf" TargetMode="External"/><Relationship Id="rId388" Type="http://schemas.openxmlformats.org/officeDocument/2006/relationships/hyperlink" Target="https://www.ncbi.nlm.nih.gov/pubmed/22661587" TargetMode="External"/><Relationship Id="rId85" Type="http://schemas.openxmlformats.org/officeDocument/2006/relationships/hyperlink" Target="file:///H:\Users\johnsonjillt\Documents\Documents\1Jill\Contracts\DUEC\2015%2004%20Clobazam%20revisit.docx" TargetMode="External"/><Relationship Id="rId150" Type="http://schemas.openxmlformats.org/officeDocument/2006/relationships/hyperlink" Target="https://www.ncbi.nlm.nih.gov/pubmed/30403938" TargetMode="External"/><Relationship Id="rId192" Type="http://schemas.openxmlformats.org/officeDocument/2006/relationships/hyperlink" Target="http://www.ncbi.nlm.nih.gov/pubmed?term=%22Hodson%20EM%22%5BAuthor%5D" TargetMode="External"/><Relationship Id="rId206" Type="http://schemas.openxmlformats.org/officeDocument/2006/relationships/hyperlink" Target="http://www.ncbi.nlm.nih.gov/pubmed?term=%22Vance%20ML%22%5BAuthor%5D" TargetMode="External"/><Relationship Id="rId413" Type="http://schemas.openxmlformats.org/officeDocument/2006/relationships/hyperlink" Target="http://www.nccn.org/profressional/physician_gls/pdf/breast.pdf" TargetMode="External"/><Relationship Id="rId248" Type="http://schemas.openxmlformats.org/officeDocument/2006/relationships/hyperlink" Target="https://www.ncbi.nlm.nih.gov/pubmed/?term=Zimmer%20L%5BAuthor%5D&amp;cauthor=true&amp;cauthor_uid=28214657" TargetMode="External"/><Relationship Id="rId12" Type="http://schemas.openxmlformats.org/officeDocument/2006/relationships/footer" Target="footer2.xml"/><Relationship Id="rId108" Type="http://schemas.openxmlformats.org/officeDocument/2006/relationships/hyperlink" Target="https://meetinglibrary.asco.org/record/187482/abstract" TargetMode="External"/><Relationship Id="rId315" Type="http://schemas.openxmlformats.org/officeDocument/2006/relationships/hyperlink" Target="https://investors.merck.com/news/press-release-details/2019/Merck-Provides-Update-on-KEYNOTE-240-a-Phase-3-Study-of-KEYTRUDA-pembrolizumab-in-Previously-Treated-Patients-with-Advanced-Hepatocellular-Carcinoma/default.aspx" TargetMode="External"/><Relationship Id="rId357" Type="http://schemas.openxmlformats.org/officeDocument/2006/relationships/hyperlink" Target="https://oncologypro.esmo.org/meeting-resources/esmo-congress-2021/overall-survival-os-results-from-the-phase-iii-monaleesa-2-ml-2-trial-of-postmenopausal-patients-pts-with-hormone-receptor-positive-human-epi" TargetMode="External"/><Relationship Id="rId54" Type="http://schemas.openxmlformats.org/officeDocument/2006/relationships/hyperlink" Target="https://orbi.uliege.be/bitstream/2268/192756/1/eur%20h%20j%202016%2037%2067.full.pdf" TargetMode="External"/><Relationship Id="rId96" Type="http://schemas.openxmlformats.org/officeDocument/2006/relationships/hyperlink" Target="https://clinicaltrials.gov/ct2/show/NCT01227889" TargetMode="External"/><Relationship Id="rId161" Type="http://schemas.openxmlformats.org/officeDocument/2006/relationships/hyperlink" Target="https://www.ncbi.nlm.nih.gov/pubmed/27477525" TargetMode="External"/><Relationship Id="rId217" Type="http://schemas.openxmlformats.org/officeDocument/2006/relationships/hyperlink" Target="http://www.ncbi.nlm.nih.gov/pubmed?term=%22Lautz%20D%22%5BAuthor%5D" TargetMode="External"/><Relationship Id="rId399" Type="http://schemas.openxmlformats.org/officeDocument/2006/relationships/hyperlink" Target="https://www.nejm.org/doi/suppl/10.1056/NEJMoa1802905/suppl_file/nejmoa1802905_appendix.pdf" TargetMode="External"/><Relationship Id="rId259" Type="http://schemas.openxmlformats.org/officeDocument/2006/relationships/hyperlink" Target="https://www.nccn.org/professionals/physician_gls/pdf/breast.pdf" TargetMode="External"/><Relationship Id="rId424" Type="http://schemas.openxmlformats.org/officeDocument/2006/relationships/theme" Target="theme/theme1.xml"/><Relationship Id="rId23" Type="http://schemas.openxmlformats.org/officeDocument/2006/relationships/hyperlink" Target="http://www.otezla.com" TargetMode="External"/><Relationship Id="rId119" Type="http://schemas.openxmlformats.org/officeDocument/2006/relationships/hyperlink" Target="https://www.accessdata.fda.gov/drugsatfda_docs/label/2011/021825lbl.pdf" TargetMode="External"/><Relationship Id="rId270" Type="http://schemas.openxmlformats.org/officeDocument/2006/relationships/hyperlink" Target="https://www.uptodate.com/contents/treatment-of-lower-risk-myelodysplastic-syndromes-mds?search=luspatercept&amp;source=search_result&amp;selectedTitle=3~10&amp;usage_type=default&amp;display_rank=2" TargetMode="External"/><Relationship Id="rId326" Type="http://schemas.openxmlformats.org/officeDocument/2006/relationships/hyperlink" Target="https://www.ncbi.nlm.nih.gov/pubmed/?term=Herbst%20RS%5BAuthor%5D&amp;cauthor=true&amp;cauthor_uid=26712084" TargetMode="External"/><Relationship Id="rId65" Type="http://schemas.openxmlformats.org/officeDocument/2006/relationships/hyperlink" Target="https://www.ncbi.nlm.nih.gov/pubmed/28199818" TargetMode="External"/><Relationship Id="rId130" Type="http://schemas.openxmlformats.org/officeDocument/2006/relationships/image" Target="media/image3.png"/><Relationship Id="rId368" Type="http://schemas.openxmlformats.org/officeDocument/2006/relationships/hyperlink" Target="http://www.acc.org/latest-in-cardiology/ten-points-to-remember/2016/05/18/16/26/2016-acc-aha-hfsa-focused-update-on-new-pharmacological-therapy-for-hf" TargetMode="External"/><Relationship Id="rId172" Type="http://schemas.openxmlformats.org/officeDocument/2006/relationships/hyperlink" Target="http://www.dificid.com/upload/dificid.pdf" TargetMode="External"/><Relationship Id="rId228" Type="http://schemas.openxmlformats.org/officeDocument/2006/relationships/hyperlink" Target="https://www.ncbi.nlm.nih.gov/pubmed/?term=Fraser%20G%5BAuthor%5D&amp;cauthor=true&amp;cauthor_uid=30315239" TargetMode="External"/><Relationship Id="rId281" Type="http://schemas.openxmlformats.org/officeDocument/2006/relationships/hyperlink" Target="https://www.ncbi.nlm.nih.gov/pubmed/?term=Kantarjian%20HM%5BAuthor%5D&amp;cauthor=true&amp;cauthor_uid=21856226" TargetMode="External"/><Relationship Id="rId337" Type="http://schemas.openxmlformats.org/officeDocument/2006/relationships/hyperlink" Target="https://www.merck.com/product/usa/pi_circulars/k/keytruda/keytruda_pi.pdf" TargetMode="External"/><Relationship Id="rId34" Type="http://schemas.openxmlformats.org/officeDocument/2006/relationships/hyperlink" Target="https://www.ncbi.nlm.nih.gov/pubmed/?term=Socinski%20MA%5BAuthor%5D&amp;cauthor=true&amp;cauthor_uid=29863955" TargetMode="External"/><Relationship Id="rId76" Type="http://schemas.openxmlformats.org/officeDocument/2006/relationships/hyperlink" Target="https://eyewiki.org/Neurotrophic_Keratitis" TargetMode="External"/><Relationship Id="rId141" Type="http://schemas.openxmlformats.org/officeDocument/2006/relationships/hyperlink" Target="https://www.hcvguidelines.org/references/belli-2016" TargetMode="External"/><Relationship Id="rId379" Type="http://schemas.openxmlformats.org/officeDocument/2006/relationships/hyperlink" Target="https://www.nccn.org/professionals/physician_gls/pdf/hepatobiliary.pdf" TargetMode="External"/><Relationship Id="rId7" Type="http://schemas.openxmlformats.org/officeDocument/2006/relationships/endnotes" Target="endnotes.xml"/><Relationship Id="rId183" Type="http://schemas.openxmlformats.org/officeDocument/2006/relationships/hyperlink" Target="http://web.ebscohost.com/dynamed/detail?vid=3&amp;hid=9&amp;sid=ffd21b89-2385-4968-8b2e-a7e78c13553f%40sessionmgr4&amp;bdata=JnNpdGU9ZHluYW1lZC1saXZlJnNjb3BlPXNpdGU%3d" TargetMode="External"/><Relationship Id="rId239" Type="http://schemas.openxmlformats.org/officeDocument/2006/relationships/hyperlink" Target="http://en.wikipedia.org/wiki/Enthesitis" TargetMode="External"/><Relationship Id="rId390" Type="http://schemas.openxmlformats.org/officeDocument/2006/relationships/hyperlink" Target="https://www.ncbi.nlm.nih.gov/pubmed/?term=17215529" TargetMode="External"/><Relationship Id="rId404" Type="http://schemas.openxmlformats.org/officeDocument/2006/relationships/hyperlink" Target="https://www.aan.com/Guidelines/home/GetGuidelineContent/560" TargetMode="External"/><Relationship Id="rId250" Type="http://schemas.openxmlformats.org/officeDocument/2006/relationships/hyperlink" Target="https://www.ncbi.nlm.nih.gov/pubmed/?term=Hodi%20FS%5BAuthor%5D&amp;cauthor=true&amp;cauthor_uid=20525992" TargetMode="External"/><Relationship Id="rId292" Type="http://schemas.openxmlformats.org/officeDocument/2006/relationships/hyperlink" Target="https://meetinglibrary.asco.org/record/184688/abstract" TargetMode="External"/><Relationship Id="rId306" Type="http://schemas.openxmlformats.org/officeDocument/2006/relationships/hyperlink" Target="https://www.nccn.org/professionals/physician_gls/pdf/mpn.pdf" TargetMode="External"/><Relationship Id="rId45" Type="http://schemas.openxmlformats.org/officeDocument/2006/relationships/hyperlink" Target="https://www.sciencedirect.com/science/article/abs/pii/S2152265020309435.%20Accessed%205/17/2021" TargetMode="External"/><Relationship Id="rId87" Type="http://schemas.openxmlformats.org/officeDocument/2006/relationships/hyperlink" Target="http://www.uptodate.com/contents/image?imageKey=HEME%2F94210&amp;topicKey=HEME%2F1336&amp;source=see_link" TargetMode="External"/><Relationship Id="rId110" Type="http://schemas.openxmlformats.org/officeDocument/2006/relationships/hyperlink" Target="https://www.ncbi.nlm.nih.gov/pubmed/?term=Kantarjian%20H%5BAuthor%5D&amp;cauthor=true&amp;cauthor_uid=20525995" TargetMode="External"/><Relationship Id="rId348" Type="http://schemas.openxmlformats.org/officeDocument/2006/relationships/hyperlink" Target="https://ashpublications.org/blood/article/134/Supplement_1/3480/428330/Impact-of-Elotuzumab-Plus-Pomalidomide-and?searchresult=1" TargetMode="External"/><Relationship Id="rId152" Type="http://schemas.openxmlformats.org/officeDocument/2006/relationships/hyperlink" Target="https://www.nejm.org/doi/suppl/10.1056/NEJMoa1703068/suppl_file/nejmoa1703068_appendix.pdf" TargetMode="External"/><Relationship Id="rId194" Type="http://schemas.openxmlformats.org/officeDocument/2006/relationships/hyperlink" Target="http://www.ncbi.nlm.nih.gov/pubmed?term=%22Craig%20JC%22%5BAuthor%5D" TargetMode="External"/><Relationship Id="rId208" Type="http://schemas.openxmlformats.org/officeDocument/2006/relationships/hyperlink" Target="http://www.ncbi.nlm.nih.gov/pubmed/21602453" TargetMode="External"/><Relationship Id="rId415" Type="http://schemas.openxmlformats.org/officeDocument/2006/relationships/hyperlink" Target="https://www.ncbi.nlm.nih.gov/pubmed/?term=24850756" TargetMode="External"/><Relationship Id="rId261" Type="http://schemas.openxmlformats.org/officeDocument/2006/relationships/hyperlink" Target="https://ascopubs.org/doi/abs/10.1200/JCO.2019.37.15_suppl.6602" TargetMode="External"/><Relationship Id="rId14" Type="http://schemas.openxmlformats.org/officeDocument/2006/relationships/footer" Target="footer3.xml"/><Relationship Id="rId56" Type="http://schemas.openxmlformats.org/officeDocument/2006/relationships/hyperlink" Target="https://www.ncbi.nlm.nih.gov/pubmed/?term=Cortes%20JE%5BAuthor%5D&amp;cauthor=true&amp;cauthor_uid=29091516" TargetMode="External"/><Relationship Id="rId317" Type="http://schemas.openxmlformats.org/officeDocument/2006/relationships/hyperlink" Target="https://www.ncbi.nlm.nih.gov/pubmed/28822576" TargetMode="External"/><Relationship Id="rId359" Type="http://schemas.openxmlformats.org/officeDocument/2006/relationships/hyperlink" Target="https://oncologypro.esmo.org/Meeting-Resources/ESMO-2019-Congress/Overall-survival-OS-results-of-the-Phase-III-MONALEESA-3-trial-of-postmenopausal-patients-pts-with-hormone-receptor-positive-HR-human-epidermal-growth-factor-2-negative-HER2-advanced-breast-cancer-ABC-treated-with-fulvestrant-FUL-ribocicl.%20Accessed%2011/12/19" TargetMode="External"/><Relationship Id="rId98" Type="http://schemas.openxmlformats.org/officeDocument/2006/relationships/hyperlink" Target="https://www.ncbi.nlm.nih.gov/pubmed/27283860" TargetMode="External"/><Relationship Id="rId121" Type="http://schemas.openxmlformats.org/officeDocument/2006/relationships/hyperlink" Target="https://www.ncbi.nlm.nih.gov/pubmed/?term=Raje%20N%5BAuthor%5D&amp;cauthor=true&amp;cauthor_uid=29429912" TargetMode="External"/><Relationship Id="rId163" Type="http://schemas.openxmlformats.org/officeDocument/2006/relationships/hyperlink" Target="http://www.jco.org" TargetMode="External"/><Relationship Id="rId219" Type="http://schemas.openxmlformats.org/officeDocument/2006/relationships/hyperlink" Target="http://www.ncbi.nlm.nih.gov/pubmed?term=%22Wanke%20C%22%5BAuthor%5D" TargetMode="External"/><Relationship Id="rId370" Type="http://schemas.openxmlformats.org/officeDocument/2006/relationships/hyperlink" Target="https://www.uptodate.com/contents/investigational-therapies-in-the-medical-management-of-crohn-disease?search=crohns%20disease%20sargramostim&amp;source=search_result&amp;selectedTitle=1~150&amp;usage_type=default&amp;display_rank=1" TargetMode="External"/><Relationship Id="rId230" Type="http://schemas.openxmlformats.org/officeDocument/2006/relationships/image" Target="media/image8.tiff"/><Relationship Id="rId25" Type="http://schemas.openxmlformats.org/officeDocument/2006/relationships/hyperlink" Target="https://www.uptodate.com/contents/treatment-of-psoriatic-arthritis?search=psoriatic%20arthritis&amp;source=search_result&amp;selectedTitle=2~150&amp;usage_type=default&amp;display_rank=2" TargetMode="External"/><Relationship Id="rId67" Type="http://schemas.openxmlformats.org/officeDocument/2006/relationships/hyperlink" Target="https://www.ncbi.nlm.nih.gov/pubmed/29550566" TargetMode="External"/><Relationship Id="rId272" Type="http://schemas.openxmlformats.org/officeDocument/2006/relationships/hyperlink" Target="https://s3-eu-west-1.amazonaws.com/s3-lutathera/wp-content/uploads/2018/07/12100815/LUTATHERA_lutetium_Lu_177_dotatate_FDA_Prescribing_Information.pdf" TargetMode="External"/><Relationship Id="rId328" Type="http://schemas.openxmlformats.org/officeDocument/2006/relationships/hyperlink" Target="https://clinicaltrials.gov/ct2/show/NCT02358031.%20Accessed%209/10/19" TargetMode="External"/><Relationship Id="rId132" Type="http://schemas.openxmlformats.org/officeDocument/2006/relationships/hyperlink" Target="http://hablemosdeem.com/desdemibalcon/wp-content/uploads/2010/03/CNS.pdf" TargetMode="External"/><Relationship Id="rId174" Type="http://schemas.openxmlformats.org/officeDocument/2006/relationships/hyperlink" Target="http://www.idsociety.org/content.aspx?id=4430" TargetMode="External"/><Relationship Id="rId381" Type="http://schemas.openxmlformats.org/officeDocument/2006/relationships/hyperlink" Target="https://pediatrics.aappublications.org/content/pediatrics/early/2015/04/21/peds.2015-0746.full.pdf" TargetMode="External"/><Relationship Id="rId241" Type="http://schemas.openxmlformats.org/officeDocument/2006/relationships/hyperlink" Target="http://en.wikipedia.org/wiki/Ligament" TargetMode="External"/><Relationship Id="rId36" Type="http://schemas.openxmlformats.org/officeDocument/2006/relationships/hyperlink" Target="https://www.gene.com/download/pdf/tecentriq_prescribing.pdf" TargetMode="External"/><Relationship Id="rId283" Type="http://schemas.openxmlformats.org/officeDocument/2006/relationships/hyperlink" Target="https://www.ncbi.nlm.nih.gov/pubmed/?term=Ascierto%20PA%5BAuthor%5D&amp;cauthor=true&amp;cauthor_uid=30422243" TargetMode="External"/><Relationship Id="rId339" Type="http://schemas.openxmlformats.org/officeDocument/2006/relationships/hyperlink" Target="https://www.merck.com/product/usa/pi_circulars/k/keytruda/keytruda_pi.pdf" TargetMode="External"/><Relationship Id="rId78" Type="http://schemas.openxmlformats.org/officeDocument/2006/relationships/hyperlink" Target="https://eyewiki.org/Neurotrophic_Keratitis" TargetMode="External"/><Relationship Id="rId101" Type="http://schemas.openxmlformats.org/officeDocument/2006/relationships/hyperlink" Target="https://www.ncbi.nlm.nih.gov/pubmed/?term=Subbiah%20V%5BAuthor%5D&amp;cauthor=true&amp;cauthor_uid=29072975" TargetMode="External"/><Relationship Id="rId143" Type="http://schemas.openxmlformats.org/officeDocument/2006/relationships/hyperlink" Target="https://www.hcvguidelines.org/references/el-sherif-2018" TargetMode="External"/><Relationship Id="rId185" Type="http://schemas.openxmlformats.org/officeDocument/2006/relationships/hyperlink" Target="http://web.ebscohost.com/dynamed/detail?vid=3&amp;hid=9&amp;sid=ffd21b89-2385-4968-8b2e-a7e78c13553f%40sessionmgr4&amp;bdata=JnNpdGU9ZHluYW1lZC1saXZlJnNjb3BlPXNpdGU%3d" TargetMode="External"/><Relationship Id="rId350" Type="http://schemas.openxmlformats.org/officeDocument/2006/relationships/hyperlink" Target="https://www.iclusig.com/pdf/ICLUSIG-Prescribing-Information.pdf" TargetMode="External"/><Relationship Id="rId406" Type="http://schemas.openxmlformats.org/officeDocument/2006/relationships/hyperlink" Target="https://34eyj51jerf417itp82ufdoe-wpengine.netdna-ssl.com/wp-content/uploads/2020/08/ICER_CF_RAAG_092320-1.pdf" TargetMode="External"/><Relationship Id="rId9" Type="http://schemas.openxmlformats.org/officeDocument/2006/relationships/header" Target="header1.xml"/><Relationship Id="rId210" Type="http://schemas.openxmlformats.org/officeDocument/2006/relationships/hyperlink" Target="http://www.ncbi.nlm.nih.gov/pubmed?term=%22Wilmore%20DW%22%5BAuthor%5D" TargetMode="External"/><Relationship Id="rId392" Type="http://schemas.openxmlformats.org/officeDocument/2006/relationships/hyperlink" Target="https://www.ncbi.nlm.nih.gov/pubmed/?term=19487381" TargetMode="External"/><Relationship Id="rId252" Type="http://schemas.openxmlformats.org/officeDocument/2006/relationships/image" Target="media/image9.png"/><Relationship Id="rId294" Type="http://schemas.openxmlformats.org/officeDocument/2006/relationships/image" Target="media/image15.png"/><Relationship Id="rId308" Type="http://schemas.openxmlformats.org/officeDocument/2006/relationships/hyperlink" Target="https://www.ncbi.nlm.nih.gov/pubmed/?term=Rugo%20HS%5BAuthor%5D&amp;cauthor=true&amp;cauthor_uid=30632023" TargetMode="External"/><Relationship Id="rId47" Type="http://schemas.openxmlformats.org/officeDocument/2006/relationships/hyperlink" Target="http://packageinserts.bms.com/pi/pi_nulojix.pdf" TargetMode="External"/><Relationship Id="rId89" Type="http://schemas.openxmlformats.org/officeDocument/2006/relationships/hyperlink" Target="http://www.uptodate.com/contents/rare-inherited-coagulation-disorders?source=see_link" TargetMode="External"/><Relationship Id="rId112" Type="http://schemas.openxmlformats.org/officeDocument/2006/relationships/hyperlink" Target="https://www.ncbi.nlm.nih.gov/pubmed/?term=Cortes%20JE%5BAuthor%5D&amp;cauthor=true&amp;cauthor_uid=27217448" TargetMode="External"/><Relationship Id="rId154" Type="http://schemas.openxmlformats.org/officeDocument/2006/relationships/hyperlink" Target="https://icer.org/wp-content/uploads/2020/10/ICER_Hemophilia-A_Final-Report_112020.pdf" TargetMode="External"/><Relationship Id="rId361" Type="http://schemas.openxmlformats.org/officeDocument/2006/relationships/hyperlink" Target="https://icer-review.org/wp-content/uploads/2019/06/ICER_Acute-Migraine_Final-Evidence-Report_022520.pdf" TargetMode="External"/><Relationship Id="rId196" Type="http://schemas.openxmlformats.org/officeDocument/2006/relationships/hyperlink" Target="http://www.ncbi.nlm.nih.gov/pubmed?term=%22Knight%20JF%22%5BAuthor%5D" TargetMode="External"/><Relationship Id="rId417" Type="http://schemas.openxmlformats.org/officeDocument/2006/relationships/hyperlink" Target="https://www.ncbi.nlm.nih.gov/pubmed/27480103" TargetMode="External"/><Relationship Id="rId16" Type="http://schemas.openxmlformats.org/officeDocument/2006/relationships/hyperlink" Target="https://www.nccn.org/professionals/physician_gls/pdf/nscl.pdf" TargetMode="External"/><Relationship Id="rId221" Type="http://schemas.openxmlformats.org/officeDocument/2006/relationships/hyperlink" Target="http://www.ncbi.nlm.nih.gov/pubmed?term=%22HIV%20Wasting%20Collaborative%20Consensus%20Committee%22%5BCorporate%20Author%5D" TargetMode="External"/><Relationship Id="rId263" Type="http://schemas.openxmlformats.org/officeDocument/2006/relationships/image" Target="media/image11.png"/><Relationship Id="rId319" Type="http://schemas.openxmlformats.org/officeDocument/2006/relationships/hyperlink" Target="https://www.ncbi.nlm.nih.gov/pubmed/28961465" TargetMode="External"/><Relationship Id="rId58" Type="http://schemas.openxmlformats.org/officeDocument/2006/relationships/hyperlink" Target="https://www-uptodate-com.libproxy.uams.edu/contents/treatment-of-dystonia/abstract/35" TargetMode="External"/><Relationship Id="rId123" Type="http://schemas.openxmlformats.org/officeDocument/2006/relationships/hyperlink" Target="https://www.uptodate.com/contents/denosumab-drug-information?search=aromatase+inhibitors+osteoporosis&amp;topicRef=2067&amp;source=see_link" TargetMode="External"/><Relationship Id="rId330" Type="http://schemas.openxmlformats.org/officeDocument/2006/relationships/hyperlink" Target="https://www.ascopost.com/News/60093" TargetMode="External"/><Relationship Id="rId165" Type="http://schemas.openxmlformats.org/officeDocument/2006/relationships/hyperlink" Target="https://www.accessdata.fda.gov/drugsatfda_docs/label/2018/103234s5369lbl.pdf" TargetMode="External"/><Relationship Id="rId372" Type="http://schemas.openxmlformats.org/officeDocument/2006/relationships/image" Target="media/image22.png"/><Relationship Id="rId232" Type="http://schemas.openxmlformats.org/officeDocument/2006/relationships/hyperlink" Target="file:///H:\Users\johnsonjillt\Downloads\20200723_9c1a2828-1583-4414-ab22-a60480e8e508.pdf" TargetMode="External"/><Relationship Id="rId274" Type="http://schemas.openxmlformats.org/officeDocument/2006/relationships/image" Target="media/image13.png"/><Relationship Id="rId27" Type="http://schemas.openxmlformats.org/officeDocument/2006/relationships/hyperlink" Target="https://www.aad.org/practicecenter/quality/clinical-guidelines" TargetMode="External"/><Relationship Id="rId69" Type="http://schemas.openxmlformats.org/officeDocument/2006/relationships/hyperlink" Target="https://www.ncbi.nlm.nih.gov/pubmed/?term=Elisei%20R%5BAuthor%5D&amp;cauthor=true&amp;cauthor_uid=24002501" TargetMode="External"/><Relationship Id="rId134" Type="http://schemas.openxmlformats.org/officeDocument/2006/relationships/hyperlink" Target="http://www.tecfidera.com" TargetMode="External"/><Relationship Id="rId80" Type="http://schemas.openxmlformats.org/officeDocument/2006/relationships/hyperlink" Target="https://eyewiki.org/Neurotrophic_Keratitis" TargetMode="External"/><Relationship Id="rId176" Type="http://schemas.openxmlformats.org/officeDocument/2006/relationships/hyperlink" Target="https://www.aan.com/Guidelines/Home/GetGuidelineContent/900" TargetMode="External"/><Relationship Id="rId341" Type="http://schemas.openxmlformats.org/officeDocument/2006/relationships/hyperlink" Target="https://ascopubs.org/doi/abs/10.1200/JCO.2019.37.15_suppl.4010" TargetMode="External"/><Relationship Id="rId383" Type="http://schemas.openxmlformats.org/officeDocument/2006/relationships/hyperlink" Target="https://www.accessdata.fda.gov/drugsatfda_docs/label/2011/022408lbl.pdf" TargetMode="External"/><Relationship Id="rId201" Type="http://schemas.openxmlformats.org/officeDocument/2006/relationships/hyperlink" Target="http://www.ncbi.nlm.nih.gov/pubmed?term=%22Milne%20R%22%5BAuthor%5D" TargetMode="External"/><Relationship Id="rId243" Type="http://schemas.openxmlformats.org/officeDocument/2006/relationships/hyperlink" Target="http://en.wikipedia.org/wiki/Biologic_medical_product" TargetMode="External"/><Relationship Id="rId285" Type="http://schemas.openxmlformats.org/officeDocument/2006/relationships/hyperlink" Target="https://www.nccn.org/professionals/physician_gls/pdf/cutaneous_melanoma.pdf" TargetMode="External"/><Relationship Id="rId17" Type="http://schemas.openxmlformats.org/officeDocument/2006/relationships/hyperlink" Target="http://www.nationalmssociety.org/NationalMSSociety/media/MSNationalFiles/Brochures/10-2-3-29-EDSS_Form.pdf" TargetMode="External"/><Relationship Id="rId38" Type="http://schemas.openxmlformats.org/officeDocument/2006/relationships/hyperlink" Target="https://www.ncbi.nlm.nih.gov/pubmed/?term=Locke%20FL%5BAuthor%5D&amp;cauthor=true&amp;cauthor_uid=30518502" TargetMode="External"/><Relationship Id="rId59" Type="http://schemas.openxmlformats.org/officeDocument/2006/relationships/hyperlink" Target="https://www-uptodate-com.libproxy.uams.edu/contents/treatment-of-dystonia/abstract/36" TargetMode="External"/><Relationship Id="rId103" Type="http://schemas.openxmlformats.org/officeDocument/2006/relationships/hyperlink" Target="https://www.ncbi.nlm.nih.gov/pubmed/?term=Long%20GV%5BAuthor%5D&amp;cauthor=true&amp;cauthor_uid=28475671" TargetMode="External"/><Relationship Id="rId124" Type="http://schemas.openxmlformats.org/officeDocument/2006/relationships/hyperlink" Target="https://www.uptodate.com/contents/denosumab-for-osteoporosis/abstract/21-23" TargetMode="External"/><Relationship Id="rId310" Type="http://schemas.openxmlformats.org/officeDocument/2006/relationships/hyperlink" Target="https://www.ncbi.nlm.nih.gov/pubmed/?term=Rugo%20HS%5BAuthor%5D&amp;cauthor=true&amp;cauthor_uid=30632023" TargetMode="External"/><Relationship Id="rId70" Type="http://schemas.openxmlformats.org/officeDocument/2006/relationships/hyperlink" Target="https://www.ncbi.nlm.nih.gov/pubmed/24002501" TargetMode="External"/><Relationship Id="rId91" Type="http://schemas.openxmlformats.org/officeDocument/2006/relationships/hyperlink" Target="http://www.uptodate.com/contents/rare-inherited-coagulation-disorders?source=see_link" TargetMode="External"/><Relationship Id="rId145" Type="http://schemas.openxmlformats.org/officeDocument/2006/relationships/hyperlink" Target="https://www.hcvguidelines.org/references/verna-2020" TargetMode="External"/><Relationship Id="rId166" Type="http://schemas.openxmlformats.org/officeDocument/2006/relationships/hyperlink" Target="https://www.accessdata.fda.gov/drugsatfda_docs/label/2019/103951s5378lbl.pdf" TargetMode="External"/><Relationship Id="rId187" Type="http://schemas.openxmlformats.org/officeDocument/2006/relationships/hyperlink" Target="http://www.ncbi.nlm.nih.gov/pubmed?term=%22Cave%20CB%22%5BAuthor%5D" TargetMode="External"/><Relationship Id="rId331" Type="http://schemas.openxmlformats.org/officeDocument/2006/relationships/hyperlink" Target="https://www.ncbi.nlm.nih.gov/pubmed/?term=Cohen%20EEW%5BAuthor%5D&amp;cauthor=true&amp;cauthor_uid=30509740" TargetMode="External"/><Relationship Id="rId352" Type="http://schemas.openxmlformats.org/officeDocument/2006/relationships/hyperlink" Target="https://www.ncbi.nlm.nih.gov/pubmed/?term=Demetri%20GD%5BAuthor%5D&amp;cauthor=true&amp;cauthor_uid=23177515" TargetMode="External"/><Relationship Id="rId373" Type="http://schemas.openxmlformats.org/officeDocument/2006/relationships/hyperlink" Target="http://www.uptodate.com/contents/treatment-of-psoriasis?source=machineLearning&amp;search=plaque+psoriasis&amp;selectedTitle=1~47&amp;sectionRank=2&amp;anchor=H30" TargetMode="External"/><Relationship Id="rId394" Type="http://schemas.openxmlformats.org/officeDocument/2006/relationships/hyperlink" Target="https://www.ncbi.nlm.nih.gov/pubmed/?term=21306237" TargetMode="External"/><Relationship Id="rId408" Type="http://schemas.openxmlformats.org/officeDocument/2006/relationships/hyperlink" Target="https://www.ncbi.nlm.nih.gov/pubmed/28475671" TargetMode="External"/><Relationship Id="rId1" Type="http://schemas.openxmlformats.org/officeDocument/2006/relationships/customXml" Target="../customXml/item1.xml"/><Relationship Id="rId212" Type="http://schemas.openxmlformats.org/officeDocument/2006/relationships/hyperlink" Target="http://www.ncbi.nlm.nih.gov/pubmed?term=%22Dibaise%20J%22%5BAuthor%5D" TargetMode="External"/><Relationship Id="rId233" Type="http://schemas.openxmlformats.org/officeDocument/2006/relationships/hyperlink" Target="http://zydelig.com/include/media/pdf/full-prescribing-information.pdf" TargetMode="External"/><Relationship Id="rId254" Type="http://schemas.openxmlformats.org/officeDocument/2006/relationships/hyperlink" Target="https://pediatrics.aappublications.org/content/pediatrics/early/2015/04/21/peds.2015-0746.full.pdf" TargetMode="External"/><Relationship Id="rId28" Type="http://schemas.openxmlformats.org/officeDocument/2006/relationships/hyperlink" Target="https://www.ncbi.nlm.nih.gov/pubmed/?term=Blood.+Baccarani+M%2C+Deininger+MW%2C+Rosti+G%2C+et+al.+European+LeukemiaNet+recommendations+for+the+management+of+chronic+myeloid+leukemia%3A+2013.+Blood.+2013%3B+122%3A872-84." TargetMode="External"/><Relationship Id="rId49" Type="http://schemas.openxmlformats.org/officeDocument/2006/relationships/hyperlink" Target="https://www.merck.com/product/usa/pi_circulars/w/welireg/welireg_pi.pdf" TargetMode="External"/><Relationship Id="rId114" Type="http://schemas.openxmlformats.org/officeDocument/2006/relationships/hyperlink" Target="https://www.pharma.us.novartis.com/sites/www.pharma.us.novartis.com/files/exjade.pdf" TargetMode="External"/><Relationship Id="rId275" Type="http://schemas.openxmlformats.org/officeDocument/2006/relationships/hyperlink" Target="https://www.accessdata.fda.gov/drugsatfda_docs/label/2019/211321s000lbl.pdf" TargetMode="External"/><Relationship Id="rId296" Type="http://schemas.openxmlformats.org/officeDocument/2006/relationships/image" Target="media/image16.png"/><Relationship Id="rId300" Type="http://schemas.openxmlformats.org/officeDocument/2006/relationships/hyperlink" Target="https://ash.confex.com/ash/2019/webprogram/Paper126542.html" TargetMode="External"/><Relationship Id="rId60" Type="http://schemas.openxmlformats.org/officeDocument/2006/relationships/hyperlink" Target="https://www.nccn.org/professionals/physician_gls/pdf/hodgkins.pdf" TargetMode="External"/><Relationship Id="rId81" Type="http://schemas.openxmlformats.org/officeDocument/2006/relationships/hyperlink" Target="https://eyewiki.org/Neurotrophic_Keratitis" TargetMode="External"/><Relationship Id="rId135" Type="http://schemas.openxmlformats.org/officeDocument/2006/relationships/hyperlink" Target="http://www.fda.gov/ohrms/dockets/ac/00/backgrd/3582b1px.pdf" TargetMode="External"/><Relationship Id="rId156" Type="http://schemas.openxmlformats.org/officeDocument/2006/relationships/hyperlink" Target="https://www.ncbi.nlm.nih.gov/pubmed/29573941" TargetMode="External"/><Relationship Id="rId177" Type="http://schemas.openxmlformats.org/officeDocument/2006/relationships/image" Target="media/image7.png"/><Relationship Id="rId198" Type="http://schemas.openxmlformats.org/officeDocument/2006/relationships/hyperlink" Target="http://www.ncbi.nlm.nih.gov/pubmed?term=%22Bryant%20J%22%5BAuthor%5D" TargetMode="External"/><Relationship Id="rId321" Type="http://schemas.openxmlformats.org/officeDocument/2006/relationships/hyperlink" Target="https://www.ncbi.nlm.nih.gov/pubmed/30620668" TargetMode="External"/><Relationship Id="rId342" Type="http://schemas.openxmlformats.org/officeDocument/2006/relationships/image" Target="media/image18.emf"/><Relationship Id="rId363" Type="http://schemas.openxmlformats.org/officeDocument/2006/relationships/hyperlink" Target="https://www.nccn.org/professionals/physician_gls/pdf/sarcoma.pdf" TargetMode="External"/><Relationship Id="rId384" Type="http://schemas.openxmlformats.org/officeDocument/2006/relationships/hyperlink" Target="https://www.ncbi.nlm.nih.gov/pubmed/28967554" TargetMode="External"/><Relationship Id="rId419" Type="http://schemas.openxmlformats.org/officeDocument/2006/relationships/hyperlink" Target="https://www.targetedonc.com/news/venetoclax-plus-lowdose-cytarabine-fails-to-improve-os-in-aml" TargetMode="External"/><Relationship Id="rId202" Type="http://schemas.openxmlformats.org/officeDocument/2006/relationships/hyperlink" Target="http://www.ncbi.nlm.nih.gov/pubmed?term=%22Molitch%20ME%22%5BAuthor%5D" TargetMode="External"/><Relationship Id="rId223" Type="http://schemas.openxmlformats.org/officeDocument/2006/relationships/hyperlink" Target="http://www.uptodate.com/contents/acquired-inhibitors-of-coagulation?source=see_link" TargetMode="External"/><Relationship Id="rId244" Type="http://schemas.openxmlformats.org/officeDocument/2006/relationships/hyperlink" Target="http://publications.nice.org.uk/adalimumab-etanercept-and-infliximab-for-ankylosing-spondylitis-ta143/evidence-and-interpretation" TargetMode="External"/><Relationship Id="rId18" Type="http://schemas.openxmlformats.org/officeDocument/2006/relationships/hyperlink" Target="https://www.medscape.com/viewarticle/911741?nlid=129300_4822&amp;src=WNL_mdplsfeat_190416_mscpedit_phar&amp;uac=126299PK&amp;spon=30&amp;impID=1938647&amp;faf=1" TargetMode="External"/><Relationship Id="rId39" Type="http://schemas.openxmlformats.org/officeDocument/2006/relationships/hyperlink" Target="https://www.ncbi.nlm.nih.gov/pubmed/30518502" TargetMode="External"/><Relationship Id="rId265" Type="http://schemas.openxmlformats.org/officeDocument/2006/relationships/hyperlink" Target="https://www.esmo.org/Guidelines/Haematological-Malignancies/Myelodysplastic-Syndromes" TargetMode="External"/><Relationship Id="rId286" Type="http://schemas.openxmlformats.org/officeDocument/2006/relationships/hyperlink" Target="http://clinicaltrials.gov/show/NCT02388906" TargetMode="External"/><Relationship Id="rId50" Type="http://schemas.openxmlformats.org/officeDocument/2006/relationships/hyperlink" Target="https://www.ncbi.nlm.nih.gov/pubmed/?term=Dummer%20R%5BAuthor%5D&amp;cauthor=true&amp;cauthor_uid=29573941" TargetMode="External"/><Relationship Id="rId104" Type="http://schemas.openxmlformats.org/officeDocument/2006/relationships/hyperlink" Target="https://www.ncbi.nlm.nih.gov/pubmed/28475671" TargetMode="External"/><Relationship Id="rId125" Type="http://schemas.openxmlformats.org/officeDocument/2006/relationships/hyperlink" Target="https://www.uptodate.com/contents/denosumab-for-osteoporosis/abstract/24" TargetMode="External"/><Relationship Id="rId146" Type="http://schemas.openxmlformats.org/officeDocument/2006/relationships/image" Target="media/image5.png"/><Relationship Id="rId167" Type="http://schemas.openxmlformats.org/officeDocument/2006/relationships/hyperlink" Target="https://www.accessdata.fda.gov/drugsatfda_docs/label/2019/125545s003lbl.pdf" TargetMode="External"/><Relationship Id="rId188" Type="http://schemas.openxmlformats.org/officeDocument/2006/relationships/hyperlink" Target="http://www.ncbi.nlm.nih.gov/pubmed?term=%22Bryant%20J%22%5BAuthor%5D" TargetMode="External"/><Relationship Id="rId311" Type="http://schemas.openxmlformats.org/officeDocument/2006/relationships/hyperlink" Target="https://www.ncbi.nlm.nih.gov/pubmed/?term=30632023" TargetMode="External"/><Relationship Id="rId332" Type="http://schemas.openxmlformats.org/officeDocument/2006/relationships/hyperlink" Target="https://www.ncbi.nlm.nih.gov/pubmed/30509740" TargetMode="External"/><Relationship Id="rId353" Type="http://schemas.openxmlformats.org/officeDocument/2006/relationships/hyperlink" Target="https://www.ncbi.nlm.nih.gov/pubmed/23177515" TargetMode="External"/><Relationship Id="rId374" Type="http://schemas.openxmlformats.org/officeDocument/2006/relationships/hyperlink" Target="https://www.nccn.org/professionals/physician_gls/pdf/myeloma.pdf" TargetMode="External"/><Relationship Id="rId395" Type="http://schemas.openxmlformats.org/officeDocument/2006/relationships/hyperlink" Target="https://www.ncbi.nlm.nih.gov/pubmed/?term=Faivre%20S%5BAuthor%5D&amp;cauthor=true&amp;cauthor_uid=27836885" TargetMode="External"/><Relationship Id="rId409" Type="http://schemas.openxmlformats.org/officeDocument/2006/relationships/hyperlink" Target="http://gicare.com/diets/copper-restriction/" TargetMode="External"/><Relationship Id="rId71" Type="http://schemas.openxmlformats.org/officeDocument/2006/relationships/hyperlink" Target="http://clinicaltrials.gov/show/NCT00704730" TargetMode="External"/><Relationship Id="rId92" Type="http://schemas.openxmlformats.org/officeDocument/2006/relationships/hyperlink" Target="https://www.ncbi.nlm.nih.gov/pubmed/?term=Ascierto%20PA%5BAuthor%5D&amp;cauthor=true&amp;cauthor_uid=27480103" TargetMode="External"/><Relationship Id="rId213" Type="http://schemas.openxmlformats.org/officeDocument/2006/relationships/hyperlink" Target="http://www.ncbi.nlm.nih.gov/pubmed?term=%22Clancy%20K%22%5BAuthor%5D" TargetMode="External"/><Relationship Id="rId234" Type="http://schemas.openxmlformats.org/officeDocument/2006/relationships/hyperlink" Target="http://www.nccn.org/professionals/physician_gls/pdf/nhl.pdf" TargetMode="External"/><Relationship Id="rId420" Type="http://schemas.openxmlformats.org/officeDocument/2006/relationships/hyperlink" Target="https://news.abbvie.com/news/press-releases/abbvie-announces-positive-topline-results-from-phase-3-trial-venclexta-venetoclax-in-combination-with-azacitidine-in-patients-with-acute-myeloid-leukemia-aml.htm?view_id=3438" TargetMode="External"/><Relationship Id="rId2" Type="http://schemas.openxmlformats.org/officeDocument/2006/relationships/numbering" Target="numbering.xml"/><Relationship Id="rId29" Type="http://schemas.openxmlformats.org/officeDocument/2006/relationships/hyperlink" Target="https://www.novartis.us/sites/www.novartis.us/files/scemblix.pdf" TargetMode="External"/><Relationship Id="rId255" Type="http://schemas.openxmlformats.org/officeDocument/2006/relationships/hyperlink" Target="http://dx.doi.org/10.18203/issn.2455-4529.IntJResDermatol20183158" TargetMode="External"/><Relationship Id="rId276" Type="http://schemas.openxmlformats.org/officeDocument/2006/relationships/image" Target="media/image14.png"/><Relationship Id="rId297" Type="http://schemas.openxmlformats.org/officeDocument/2006/relationships/hyperlink" Target="https://www.accessdata.fda.gov/drugsatfda_docs/label/2021/125554s092lbl.pdf" TargetMode="External"/><Relationship Id="rId40" Type="http://schemas.openxmlformats.org/officeDocument/2006/relationships/image" Target="media/image2.png"/><Relationship Id="rId115" Type="http://schemas.openxmlformats.org/officeDocument/2006/relationships/hyperlink" Target="https://www.pharma.us.novartis.com/sites/www.pharma.us.novartis.com/files/exjade.pdf" TargetMode="External"/><Relationship Id="rId136" Type="http://schemas.openxmlformats.org/officeDocument/2006/relationships/hyperlink" Target="https://www.aan.com/Guidelines/Home/GetGuidelineContent/900" TargetMode="External"/><Relationship Id="rId157" Type="http://schemas.openxmlformats.org/officeDocument/2006/relationships/hyperlink" Target="https://www.ncbi.nlm.nih.gov/pubmed/?term=Dummer%20R%5BAuthor%5D&amp;cauthor=true&amp;cauthor_uid=29573941" TargetMode="External"/><Relationship Id="rId178" Type="http://schemas.openxmlformats.org/officeDocument/2006/relationships/hyperlink" Target="https://astellas.us/docs/xospata.pdf" TargetMode="External"/><Relationship Id="rId301" Type="http://schemas.openxmlformats.org/officeDocument/2006/relationships/hyperlink" Target="http://www.neurology.org/content/33/11/1444.full.pdf+html" TargetMode="External"/><Relationship Id="rId322" Type="http://schemas.openxmlformats.org/officeDocument/2006/relationships/hyperlink" Target="https://www.ncbi.nlm.nih.gov/pubmed/?term=Gandhi%20L%5BAuthor%5D&amp;cauthor=true&amp;cauthor_uid=29658856" TargetMode="External"/><Relationship Id="rId343" Type="http://schemas.openxmlformats.org/officeDocument/2006/relationships/hyperlink" Target="http://abstracts.asco.org/176/AbstView_176_170351.html" TargetMode="External"/><Relationship Id="rId364" Type="http://schemas.openxmlformats.org/officeDocument/2006/relationships/hyperlink" Target="https://www.qinlockhcp.com/content/files/qinlock-prescribing-information.pdf" TargetMode="External"/><Relationship Id="rId61" Type="http://schemas.openxmlformats.org/officeDocument/2006/relationships/hyperlink" Target="https://www.nccn.org/professionals/physician_gls/pdf/hodgkins.pdf" TargetMode="External"/><Relationship Id="rId82" Type="http://schemas.openxmlformats.org/officeDocument/2006/relationships/hyperlink" Target="https://eyewiki.org/Neurotrophic_Keratitis" TargetMode="External"/><Relationship Id="rId199" Type="http://schemas.openxmlformats.org/officeDocument/2006/relationships/hyperlink" Target="http://www.ncbi.nlm.nih.gov/pubmed?term=%22Baxter%20L%22%5BAuthor%5D" TargetMode="External"/><Relationship Id="rId203" Type="http://schemas.openxmlformats.org/officeDocument/2006/relationships/hyperlink" Target="http://www.ncbi.nlm.nih.gov/pubmed?term=%22Clemmons%20DR%22%5BAuthor%5D" TargetMode="External"/><Relationship Id="rId385" Type="http://schemas.openxmlformats.org/officeDocument/2006/relationships/hyperlink" Target="https://www.ncbi.nlm.nih.gov/pubmed/?term=Demetri%20GD%5BAuthor%5D&amp;cauthor=true&amp;cauthor_uid=17046465" TargetMode="External"/><Relationship Id="rId19" Type="http://schemas.openxmlformats.org/officeDocument/2006/relationships/hyperlink" Target="https://www.nejm.org/doi/suppl/10.1056/NEJMoa1501031/suppl_file/nejmoa1501031_protocol.pdf" TargetMode="External"/><Relationship Id="rId224" Type="http://schemas.openxmlformats.org/officeDocument/2006/relationships/hyperlink" Target="http://www.uptodate.com/contents/factor-viii-and-factor-ix-inhibitors-in-patients-with-hemophilia?source=see_link" TargetMode="External"/><Relationship Id="rId245" Type="http://schemas.openxmlformats.org/officeDocument/2006/relationships/hyperlink" Target="http://www.uptodate.com/contents/treatment-of-psoriatic-arthritis?source=search_result&amp;search=psoriatic+arthritis&amp;selectedTitle=2%7E105" TargetMode="External"/><Relationship Id="rId266" Type="http://schemas.openxmlformats.org/officeDocument/2006/relationships/hyperlink" Target="https://doi.org/10.1093/cid/ciab298" TargetMode="External"/><Relationship Id="rId287" Type="http://schemas.openxmlformats.org/officeDocument/2006/relationships/hyperlink" Target="https://icer-review.org/wp-content/uploads/2016/08/MWCEPAC_NSCLC_Evidence_Report_Plus_Supplement_101716.pdf" TargetMode="External"/><Relationship Id="rId410" Type="http://schemas.openxmlformats.org/officeDocument/2006/relationships/hyperlink" Target="https://www.g1therapeutics.com/cosela/pi/" TargetMode="External"/><Relationship Id="rId30" Type="http://schemas.openxmlformats.org/officeDocument/2006/relationships/hyperlink" Target="https://ashpublications-org.libproxy.uams.edu/blood/article/138/21/2031/476601/A-phase-3-open-label-randomized-study-of-asciminib" TargetMode="External"/><Relationship Id="rId105" Type="http://schemas.openxmlformats.org/officeDocument/2006/relationships/hyperlink" Target="https://www.nccn.org/professionals/physician_gls/pdf/nscl.pdf" TargetMode="External"/><Relationship Id="rId126" Type="http://schemas.openxmlformats.org/officeDocument/2006/relationships/hyperlink" Target="https://www.ncbi.nlm.nih.gov/pubmed/27270237" TargetMode="External"/><Relationship Id="rId147" Type="http://schemas.openxmlformats.org/officeDocument/2006/relationships/hyperlink" Target="https://www.accessdata.fda.gov/drugsatfda_docs/label/2019/212273s000lbl.pdf" TargetMode="External"/><Relationship Id="rId168" Type="http://schemas.openxmlformats.org/officeDocument/2006/relationships/hyperlink" Target="https://www.nccn.org/professionals/physician_gls/pdf/growthfactors.pdf" TargetMode="External"/><Relationship Id="rId312" Type="http://schemas.openxmlformats.org/officeDocument/2006/relationships/hyperlink" Target="https://pediatrics.aappublications.org/content/134/2/415.full" TargetMode="External"/><Relationship Id="rId333" Type="http://schemas.openxmlformats.org/officeDocument/2006/relationships/hyperlink" Target="https://www.ncbi.nlm.nih.gov/pubmed/?term=Bellmunt%20J%5BAuthor%5D&amp;cauthor=true&amp;cauthor_uid=28212060" TargetMode="External"/><Relationship Id="rId354" Type="http://schemas.openxmlformats.org/officeDocument/2006/relationships/hyperlink" Target="https://www.ncbi.nlm.nih.gov/pubmed/?term=Demetri%20GD%5BAuthor%5D&amp;cauthor=true&amp;cauthor_uid=23177515" TargetMode="External"/><Relationship Id="rId51" Type="http://schemas.openxmlformats.org/officeDocument/2006/relationships/hyperlink" Target="https://www.ncbi.nlm.nih.gov/pubmed/29573941" TargetMode="External"/><Relationship Id="rId72" Type="http://schemas.openxmlformats.org/officeDocument/2006/relationships/hyperlink" Target="https://www.ncbi.nlm.nih.gov/pubmed/?term=Schlumberger%20M%5BAuthor%5D&amp;cauthor=true&amp;cauthor_uid=29045520" TargetMode="External"/><Relationship Id="rId93" Type="http://schemas.openxmlformats.org/officeDocument/2006/relationships/hyperlink" Target="https://www.ncbi.nlm.nih.gov/pubmed/27480103" TargetMode="External"/><Relationship Id="rId189" Type="http://schemas.openxmlformats.org/officeDocument/2006/relationships/hyperlink" Target="http://www.ncbi.nlm.nih.gov/pubmed?term=%22Milne%20R%22%5BAuthor%5D" TargetMode="External"/><Relationship Id="rId375" Type="http://schemas.openxmlformats.org/officeDocument/2006/relationships/hyperlink" Target="https://ashpublications.org/blood/article/134/Supplement_1/3125/423837/Overall-Survival-of-Triple-Class-Refractory-Penta" TargetMode="External"/><Relationship Id="rId396" Type="http://schemas.openxmlformats.org/officeDocument/2006/relationships/hyperlink" Target="https://www.ncbi.nlm.nih.gov/pubmed/?term=27836885" TargetMode="External"/><Relationship Id="rId3" Type="http://schemas.openxmlformats.org/officeDocument/2006/relationships/styles" Target="styles.xml"/><Relationship Id="rId214" Type="http://schemas.openxmlformats.org/officeDocument/2006/relationships/hyperlink" Target="http://www.ncbi.nlm.nih.gov/pubmed?term=%22Robinson%20MK%22%5BAuthor%5D" TargetMode="External"/><Relationship Id="rId235" Type="http://schemas.openxmlformats.org/officeDocument/2006/relationships/hyperlink" Target="https://www.fda.gov/media/143823/download" TargetMode="External"/><Relationship Id="rId256" Type="http://schemas.openxmlformats.org/officeDocument/2006/relationships/hyperlink" Target="https://jamanetwork-com.libproxy.uams.edu/journals/jamadermatology/fullarticle/1359503" TargetMode="External"/><Relationship Id="rId277" Type="http://schemas.openxmlformats.org/officeDocument/2006/relationships/hyperlink" Target="https://www.aan.com/Guidelines/Home/GetGuidelineContent/900" TargetMode="External"/><Relationship Id="rId298" Type="http://schemas.openxmlformats.org/officeDocument/2006/relationships/hyperlink" Target="https://www.targetedonc.com/news/phase-iii-checkmate-459-trial-in-unresectable-hcc-misses-primary-endpoint" TargetMode="External"/><Relationship Id="rId400" Type="http://schemas.openxmlformats.org/officeDocument/2006/relationships/hyperlink" Target="https://www.nejm.org/doi/suppl/10.1056/NEJMoa1802905/suppl_file/nejmoa1802905_protocol.pdf.%20Accessed%207/12/19" TargetMode="External"/><Relationship Id="rId421" Type="http://schemas.openxmlformats.org/officeDocument/2006/relationships/hyperlink" Target="http://www.nccn.org/professionals/physician_gls/pdf/aml.pdf" TargetMode="External"/><Relationship Id="rId116" Type="http://schemas.openxmlformats.org/officeDocument/2006/relationships/hyperlink" Target="http://www.ferriprox.com/us/pdf/ferriprox_full_pi.pdf" TargetMode="External"/><Relationship Id="rId137" Type="http://schemas.openxmlformats.org/officeDocument/2006/relationships/hyperlink" Target="http://www.sciencedirect.com/science/journal/00223476" TargetMode="External"/><Relationship Id="rId158" Type="http://schemas.openxmlformats.org/officeDocument/2006/relationships/hyperlink" Target="https://www.ncbi.nlm.nih.gov/pubmed/30219628" TargetMode="External"/><Relationship Id="rId302" Type="http://schemas.openxmlformats.org/officeDocument/2006/relationships/hyperlink" Target="https://icer-review.org/announcements/final-ms-report/" TargetMode="External"/><Relationship Id="rId323" Type="http://schemas.openxmlformats.org/officeDocument/2006/relationships/hyperlink" Target="https://www.ncbi.nlm.nih.gov/pubmed/29658856" TargetMode="External"/><Relationship Id="rId344" Type="http://schemas.openxmlformats.org/officeDocument/2006/relationships/hyperlink" Target="http://gicare.com/diets/copper-restriction/" TargetMode="External"/><Relationship Id="rId20" Type="http://schemas.openxmlformats.org/officeDocument/2006/relationships/hyperlink" Target="https://www.arikayce.com/" TargetMode="External"/><Relationship Id="rId41" Type="http://schemas.openxmlformats.org/officeDocument/2006/relationships/hyperlink" Target="https://ashpublications.org/blood/article/133/13/1457/261475/Azacitidine-maintenance-after-intensive" TargetMode="External"/><Relationship Id="rId62" Type="http://schemas.openxmlformats.org/officeDocument/2006/relationships/hyperlink" Target="https://www.nccn.org/professionals/physician_gls/pdf/t-cell.pdf" TargetMode="External"/><Relationship Id="rId83" Type="http://schemas.openxmlformats.org/officeDocument/2006/relationships/hyperlink" Target="https://eyewiki.org/Neurotrophic_Keratitis" TargetMode="External"/><Relationship Id="rId179" Type="http://schemas.openxmlformats.org/officeDocument/2006/relationships/hyperlink" Target="http://www.nccn.org/professionals/physician_gls/pdf/aml.pdf" TargetMode="External"/><Relationship Id="rId365" Type="http://schemas.openxmlformats.org/officeDocument/2006/relationships/image" Target="media/image21.emf"/><Relationship Id="rId386" Type="http://schemas.openxmlformats.org/officeDocument/2006/relationships/hyperlink" Target="https://www.ncbi.nlm.nih.gov/pubmed/17046465" TargetMode="External"/><Relationship Id="rId190" Type="http://schemas.openxmlformats.org/officeDocument/2006/relationships/hyperlink" Target="http://www.ncbi.nlm.nih.gov/pubmed/12917993" TargetMode="External"/><Relationship Id="rId204" Type="http://schemas.openxmlformats.org/officeDocument/2006/relationships/hyperlink" Target="http://www.ncbi.nlm.nih.gov/pubmed?term=%22Malozowski%20S%22%5BAuthor%5D" TargetMode="External"/><Relationship Id="rId225" Type="http://schemas.openxmlformats.org/officeDocument/2006/relationships/hyperlink" Target="http://www.uptodate.com/contents/clinical-manifestations-and-diagnosis-of-hemophilia/abstract/1" TargetMode="External"/><Relationship Id="rId246" Type="http://schemas.openxmlformats.org/officeDocument/2006/relationships/hyperlink" Target="https://icer-review.org/wp-content/uploads/2017/11/ICER_Psoriasis_Update_Draft_Report_04272018.pdf" TargetMode="External"/><Relationship Id="rId267" Type="http://schemas.openxmlformats.org/officeDocument/2006/relationships/hyperlink" Target="https://www.tandfonline.com/doi/abs/10.1080/14656566.2019.1695777" TargetMode="External"/><Relationship Id="rId288" Type="http://schemas.openxmlformats.org/officeDocument/2006/relationships/hyperlink" Target="https://www.ncbi.nlm.nih.gov/pubmed/29023213" TargetMode="External"/><Relationship Id="rId411" Type="http://schemas.openxmlformats.org/officeDocument/2006/relationships/hyperlink" Target="https://www.nccn.org/professionals/physician_gls/pdf/growthfactors.pdf" TargetMode="External"/><Relationship Id="rId106" Type="http://schemas.openxmlformats.org/officeDocument/2006/relationships/hyperlink" Target="http://www.bloodjournal.org/content/118/21/478?sso-checked=true" TargetMode="External"/><Relationship Id="rId127" Type="http://schemas.openxmlformats.org/officeDocument/2006/relationships/hyperlink" Target="https://www.ncbi.nlm.nih.gov/pubmed/27662240" TargetMode="External"/><Relationship Id="rId313" Type="http://schemas.openxmlformats.org/officeDocument/2006/relationships/hyperlink" Target="https://www.nccn.org/professionals/physician_gls/pdf/colon.pdf" TargetMode="External"/><Relationship Id="rId10" Type="http://schemas.openxmlformats.org/officeDocument/2006/relationships/header" Target="header2.xml"/><Relationship Id="rId31" Type="http://schemas.openxmlformats.org/officeDocument/2006/relationships/hyperlink" Target="https://oncologypro.esmo.org/meeting-resources/esmo-virtual-congress-2020/primary-results-from-impassion131-a-double-blind-placebo-controlled-randomised-phase-iii-trial-of-first-line-paclitaxel-pac-atezolizumab-atez%20Accessed%204/27/2021" TargetMode="External"/><Relationship Id="rId52" Type="http://schemas.openxmlformats.org/officeDocument/2006/relationships/hyperlink" Target="https://www.ncbi.nlm.nih.gov/pubmed/?term=Dummer%20R%5BAuthor%5D&amp;cauthor=true&amp;cauthor_uid=29573941" TargetMode="External"/><Relationship Id="rId73" Type="http://schemas.openxmlformats.org/officeDocument/2006/relationships/hyperlink" Target="https://www.ncbi.nlm.nih.gov/pubmed/29045520" TargetMode="External"/><Relationship Id="rId94" Type="http://schemas.openxmlformats.org/officeDocument/2006/relationships/hyperlink" Target="http://www.roche.com/media/store/releases/med-cor-2015-11-23.htm" TargetMode="External"/><Relationship Id="rId148" Type="http://schemas.openxmlformats.org/officeDocument/2006/relationships/hyperlink" Target="https://clinicaltrials.gov/ct2/show/results/NCT01074944?term=eliglustat&amp;rank=11&amp;sect=X01256" TargetMode="External"/><Relationship Id="rId169" Type="http://schemas.openxmlformats.org/officeDocument/2006/relationships/hyperlink" Target="https://www.nccn.org/professionals/physician_gls/pdf/mds.pdf" TargetMode="External"/><Relationship Id="rId334" Type="http://schemas.openxmlformats.org/officeDocument/2006/relationships/hyperlink" Target="https://www.ncbi.nlm.nih.gov/pubmed/28212060" TargetMode="External"/><Relationship Id="rId355" Type="http://schemas.openxmlformats.org/officeDocument/2006/relationships/hyperlink" Target="https://www.ncbi.nlm.nih.gov/pubmed/23177515" TargetMode="External"/><Relationship Id="rId376" Type="http://schemas.openxmlformats.org/officeDocument/2006/relationships/hyperlink" Target="https://ascopubs.org/doi/abs/10.1200/JCO.2019.37.15_suppl.8014" TargetMode="External"/><Relationship Id="rId397" Type="http://schemas.openxmlformats.org/officeDocument/2006/relationships/hyperlink" Target="https://www.nejm.org/doi/suppl/10.1056/NEJMoa1003825/suppl_file/nejmoa1003825_appendix.pdf" TargetMode="External"/><Relationship Id="rId4" Type="http://schemas.openxmlformats.org/officeDocument/2006/relationships/settings" Target="settings.xml"/><Relationship Id="rId180" Type="http://schemas.openxmlformats.org/officeDocument/2006/relationships/hyperlink" Target="https://www.accessdata.fda.gov/drugsatfda_docs/nda/2018/210656Orig1s000MedR.pdf" TargetMode="External"/><Relationship Id="rId215" Type="http://schemas.openxmlformats.org/officeDocument/2006/relationships/hyperlink" Target="http://www.ncbi.nlm.nih.gov/pubmed?term=%22Chang%20P%22%5BAuthor%5D" TargetMode="External"/><Relationship Id="rId236" Type="http://schemas.openxmlformats.org/officeDocument/2006/relationships/hyperlink" Target="http://en.wikipedia.org/wiki/Fatigue_(medical)" TargetMode="External"/><Relationship Id="rId257" Type="http://schemas.openxmlformats.org/officeDocument/2006/relationships/hyperlink" Target="https://doi.org/10.1182/blood-2020-136957" TargetMode="External"/><Relationship Id="rId278" Type="http://schemas.openxmlformats.org/officeDocument/2006/relationships/hyperlink" Target="https://www.ncbi.nlm.nih.gov/pubmed/?term=Blood.+Baccarani+M%2C+Deininger+MW%2C+Rosti+G%2C+et+al.+European+LeukemiaNet+recommendations+for+the+management+of+chronic+myeloid+leukemia%3A+2013.+Blood.+2013%3B+122%3A872-84." TargetMode="External"/><Relationship Id="rId401" Type="http://schemas.openxmlformats.org/officeDocument/2006/relationships/hyperlink" Target="https://www.hzndocs.com/TEPEZZA-Prescribing-Information.pdf" TargetMode="External"/><Relationship Id="rId422" Type="http://schemas.openxmlformats.org/officeDocument/2006/relationships/fontTable" Target="fontTable.xml"/><Relationship Id="rId303" Type="http://schemas.openxmlformats.org/officeDocument/2006/relationships/hyperlink" Target="https://onlinelibrary.wiley.com/doi/epdf/10.1002/cncr.29995" TargetMode="External"/><Relationship Id="rId42" Type="http://schemas.openxmlformats.org/officeDocument/2006/relationships/hyperlink" Target="https://www.nccn.org/professionals/physician_gls/pdf/aml.pdf" TargetMode="External"/><Relationship Id="rId84" Type="http://schemas.openxmlformats.org/officeDocument/2006/relationships/hyperlink" Target="https://eyewiki.org/Neurotrophic_Keratitis" TargetMode="External"/><Relationship Id="rId138" Type="http://schemas.openxmlformats.org/officeDocument/2006/relationships/hyperlink" Target="https://ginasthma.org/wp-content/uploads/2021/05/GINA-Main-Report-2021-V2-WMS.pdf" TargetMode="External"/><Relationship Id="rId345" Type="http://schemas.openxmlformats.org/officeDocument/2006/relationships/hyperlink" Target="http://www.uptodate.com" TargetMode="External"/><Relationship Id="rId387" Type="http://schemas.openxmlformats.org/officeDocument/2006/relationships/hyperlink" Target="https://www.ncbi.nlm.nih.gov/pubmed/?term=Demetri%20GD%5BAuthor%5D&amp;cauthor=true&amp;cauthor_uid=22661587" TargetMode="External"/><Relationship Id="rId191" Type="http://schemas.openxmlformats.org/officeDocument/2006/relationships/hyperlink" Target="http://www.ncbi.nlm.nih.gov/pubmed?term=%22Vimalachandra%20D%22%5BAuthor%5D" TargetMode="External"/><Relationship Id="rId205" Type="http://schemas.openxmlformats.org/officeDocument/2006/relationships/hyperlink" Target="http://www.ncbi.nlm.nih.gov/pubmed?term=%22Merriam%20GR%22%5BAuthor%5D" TargetMode="External"/><Relationship Id="rId247" Type="http://schemas.openxmlformats.org/officeDocument/2006/relationships/hyperlink" Target="https://www.aan.com/Guidelines/Home/GetGuidelineContent/900" TargetMode="External"/><Relationship Id="rId412" Type="http://schemas.openxmlformats.org/officeDocument/2006/relationships/hyperlink" Target="http://www.aan.com/professionals/practice/guidelines/migraine/clinician_summary_migraine.pdf.%20%20%20Accessed%20March%2013" TargetMode="External"/><Relationship Id="rId107" Type="http://schemas.openxmlformats.org/officeDocument/2006/relationships/hyperlink" Target="https://www.nejm.org/doi/suppl/10.1056/NEJMoa1815671/suppl_file/nejmoa1815671_appendix.pdf" TargetMode="External"/><Relationship Id="rId289" Type="http://schemas.openxmlformats.org/officeDocument/2006/relationships/hyperlink" Target="https://www.ncbi.nlm.nih.gov/pubmed/28636851" TargetMode="External"/><Relationship Id="rId11" Type="http://schemas.openxmlformats.org/officeDocument/2006/relationships/footer" Target="footer1.xml"/><Relationship Id="rId53" Type="http://schemas.openxmlformats.org/officeDocument/2006/relationships/hyperlink" Target="https://www.ncbi.nlm.nih.gov/pubmed/30219628" TargetMode="External"/><Relationship Id="rId149" Type="http://schemas.openxmlformats.org/officeDocument/2006/relationships/hyperlink" Target="https://www.ncbi.nlm.nih.gov/pubmed/?term=Dimopoulos%20MA%5BAuthor%5D&amp;cauthor=true&amp;cauthor_uid=30403938" TargetMode="External"/><Relationship Id="rId314" Type="http://schemas.openxmlformats.org/officeDocument/2006/relationships/hyperlink" Target="https://ascopubs.org/doi/abs/10.1200/JCO.2019.37.7_suppl.350" TargetMode="External"/><Relationship Id="rId356" Type="http://schemas.openxmlformats.org/officeDocument/2006/relationships/hyperlink" Target="https://meetinglibrary.asco.org/record/120256/abstract" TargetMode="External"/><Relationship Id="rId398" Type="http://schemas.openxmlformats.org/officeDocument/2006/relationships/hyperlink" Target="http://www.uptodate.com/contents/treatment-of-pulmonary-hypertension-in-adults?source=search_result&amp;search=pulmonary++hypertension&amp;selectedTitle=2~150" TargetMode="External"/><Relationship Id="rId95" Type="http://schemas.openxmlformats.org/officeDocument/2006/relationships/hyperlink" Target="http://www.cancernetwork.com/smr-2015/cobimetinib-vemurafenib-improves-survival-braf-mutated-melanoma" TargetMode="External"/><Relationship Id="rId160" Type="http://schemas.openxmlformats.org/officeDocument/2006/relationships/hyperlink" Target="https://www.ncbi.nlm.nih.gov/pubmed/?term=Beer%20TM%5BAuthor%5D&amp;cauthor=true&amp;cauthor_uid=27477525" TargetMode="External"/><Relationship Id="rId216" Type="http://schemas.openxmlformats.org/officeDocument/2006/relationships/hyperlink" Target="http://www.ncbi.nlm.nih.gov/pubmed?term=%22Gertner%20JM%22%5BAuthor%5D" TargetMode="External"/><Relationship Id="rId423" Type="http://schemas.microsoft.com/office/2011/relationships/people" Target="people.xml"/><Relationship Id="rId258" Type="http://schemas.openxmlformats.org/officeDocument/2006/relationships/hyperlink" Target="https://www.pharma.us.novartis.com/sites/www.pharma.us.novartis.com/files/tykerb.pdf" TargetMode="External"/><Relationship Id="rId22" Type="http://schemas.openxmlformats.org/officeDocument/2006/relationships/hyperlink" Target="https://meetinglibrary.asco.org/record/187437/abstract" TargetMode="External"/><Relationship Id="rId64" Type="http://schemas.openxmlformats.org/officeDocument/2006/relationships/hyperlink" Target="https://www.ncbi.nlm.nih.gov/pubmed/?term=Choueiri%20TK%5BAuthor%5D&amp;cauthor=true&amp;cauthor_uid=28199818" TargetMode="External"/><Relationship Id="rId118" Type="http://schemas.openxmlformats.org/officeDocument/2006/relationships/hyperlink" Target="https://www.uptodate.com/contents/management-and-prognosis-of-the-thalassemias?search=management%20of%20thalassemia&amp;source=search_result&amp;selectedTitle=1~150&amp;usage_type=default&amp;display_rank=1" TargetMode="External"/><Relationship Id="rId325" Type="http://schemas.openxmlformats.org/officeDocument/2006/relationships/hyperlink" Target="https://www.ncbi.nlm.nih.gov/pubmed/?term=NCT02775435" TargetMode="External"/><Relationship Id="rId367" Type="http://schemas.openxmlformats.org/officeDocument/2006/relationships/hyperlink" Target="http://www.incyte.com/products/uspi_jakafi.pdf" TargetMode="External"/><Relationship Id="rId171" Type="http://schemas.openxmlformats.org/officeDocument/2006/relationships/hyperlink" Target="file:///H:\Volumes\COP_Apps\EBRx%20Program\My%20Dropbox\PDF's\Fidaxomicin%20vs%20Vanc%20for%20Cdif-NEJM%202-11.pdf" TargetMode="External"/><Relationship Id="rId227" Type="http://schemas.openxmlformats.org/officeDocument/2006/relationships/hyperlink" Target="http://www.bloodjournal.org/content/132/Suppl_1/LBA-4" TargetMode="External"/><Relationship Id="rId269" Type="http://schemas.openxmlformats.org/officeDocument/2006/relationships/hyperlink" Target="https://media.celgene.com/content/uploads/reblozyl-pi.pdf.%20Accessed%2012/10/19" TargetMode="External"/><Relationship Id="rId33" Type="http://schemas.openxmlformats.org/officeDocument/2006/relationships/hyperlink" Target="https://www.ncbi.nlm.nih.gov/pubmed/27979383" TargetMode="External"/><Relationship Id="rId129" Type="http://schemas.openxmlformats.org/officeDocument/2006/relationships/hyperlink" Target="https://www.ncbi.nlm.nih.gov/pubmed/?term=NCT01575873" TargetMode="External"/><Relationship Id="rId280" Type="http://schemas.openxmlformats.org/officeDocument/2006/relationships/hyperlink" Target="https://www.ncbi.nlm.nih.gov/pubmed/26837842" TargetMode="External"/><Relationship Id="rId336" Type="http://schemas.openxmlformats.org/officeDocument/2006/relationships/hyperlink" Target="https://www.clinicaltrials.gov/ct2/show/NCT03517449" TargetMode="External"/><Relationship Id="rId75" Type="http://schemas.openxmlformats.org/officeDocument/2006/relationships/hyperlink" Target="https://www.nccn.org/professionals/physician_gls/pdf/thyroid.pdf" TargetMode="External"/><Relationship Id="rId140" Type="http://schemas.openxmlformats.org/officeDocument/2006/relationships/hyperlink" Target="https://www.hcvguidelines.org/references/curry-2015" TargetMode="External"/><Relationship Id="rId182" Type="http://schemas.openxmlformats.org/officeDocument/2006/relationships/hyperlink" Target="http://web.ebscohost.com/dynamed/detail?vid=3&amp;hid=9&amp;sid=ffd21b89-2385-4968-8b2e-a7e78c13553f%40sessionmgr4&amp;bdata=JnNpdGU9ZHluYW1lZC1saXZlJnNjb3BlPXNpdGU%3d" TargetMode="External"/><Relationship Id="rId378" Type="http://schemas.openxmlformats.org/officeDocument/2006/relationships/hyperlink" Target="https://www.nccn.org/professionals/physician_gls/pdf/kidney.pdf" TargetMode="External"/><Relationship Id="rId403" Type="http://schemas.openxmlformats.org/officeDocument/2006/relationships/hyperlink" Target="https://www.cochranelibrary.com/cdsr/doi/10.1002/14651858.CD000458.pub3/full?highlightAbstract=tetrabenazine%7Cwithdrawn%7Ctetrabenazin" TargetMode="External"/><Relationship Id="rId6" Type="http://schemas.openxmlformats.org/officeDocument/2006/relationships/footnotes" Target="footnotes.xml"/><Relationship Id="rId238" Type="http://schemas.openxmlformats.org/officeDocument/2006/relationships/hyperlink" Target="http://en.wikipedia.org/wiki/Arthralgia" TargetMode="External"/><Relationship Id="rId291" Type="http://schemas.openxmlformats.org/officeDocument/2006/relationships/hyperlink" Target="https://packageinserts.bms.com/pi/pi_opdivo.pdf" TargetMode="External"/><Relationship Id="rId305" Type="http://schemas.openxmlformats.org/officeDocument/2006/relationships/hyperlink" Target="https://icer-review.org/wp-content/uploads/2018/07/ICER_SMA_Final_Evidence_Report_052419.pdf" TargetMode="External"/><Relationship Id="rId347" Type="http://schemas.openxmlformats.org/officeDocument/2006/relationships/hyperlink" Target="https://www.nice.org.uk/guidance/ta282/chapter/4-consideration-of-the-evidence" TargetMode="External"/><Relationship Id="rId44" Type="http://schemas.openxmlformats.org/officeDocument/2006/relationships/hyperlink" Target="https://apps.who.int/iris/bitstream/handle/10665/311389/9789241550529-eng.pdf?ua=1%20(Accessed%20on%20March%2028,%202019)." TargetMode="External"/><Relationship Id="rId86" Type="http://schemas.openxmlformats.org/officeDocument/2006/relationships/hyperlink" Target="http://www.lundbeck.com/upload/us/files/pdf/Products/Onfi_PI_US_EN.pdf" TargetMode="External"/><Relationship Id="rId151" Type="http://schemas.openxmlformats.org/officeDocument/2006/relationships/hyperlink" Target="https://doi.org/10.1182/blood-2018-99-112080" TargetMode="External"/><Relationship Id="rId389" Type="http://schemas.openxmlformats.org/officeDocument/2006/relationships/hyperlink" Target="https://www.ncbi.nlm.nih.gov/pubmed/?term=Motzer%20RJ%5BAuthor%5D&amp;cauthor=true&amp;cauthor_uid=19487381" TargetMode="External"/><Relationship Id="rId193" Type="http://schemas.openxmlformats.org/officeDocument/2006/relationships/hyperlink" Target="http://www.ncbi.nlm.nih.gov/pubmed?term=%22Willis%20NS%22%5BAuthor%5D" TargetMode="External"/><Relationship Id="rId207" Type="http://schemas.openxmlformats.org/officeDocument/2006/relationships/hyperlink" Target="http://www.ncbi.nlm.nih.gov/pubmed?term=%22Endocrine%20Society%22%5BCorporate%20Author%5D" TargetMode="External"/><Relationship Id="rId249" Type="http://schemas.openxmlformats.org/officeDocument/2006/relationships/hyperlink" Target="https://www.ncbi.nlm.nih.gov/pubmed/28214657" TargetMode="External"/><Relationship Id="rId414" Type="http://schemas.openxmlformats.org/officeDocument/2006/relationships/hyperlink" Target="https://www.ncbi.nlm.nih.gov/pubmed/29188284" TargetMode="External"/><Relationship Id="rId13" Type="http://schemas.openxmlformats.org/officeDocument/2006/relationships/header" Target="header3.xml"/><Relationship Id="rId109" Type="http://schemas.openxmlformats.org/officeDocument/2006/relationships/hyperlink" Target="https://www.ncbi.nlm.nih.gov/pubmed/?term=Blood.+Baccarani+M%2C+Deininger+MW%2C+Rosti+G%2C+et+al.+European+LeukemiaNet+recommendations+for+the+management+of+chronic+myeloid+leukemia%3A+2013.+Blood.+2013%3B+122%3A872-84." TargetMode="External"/><Relationship Id="rId260" Type="http://schemas.openxmlformats.org/officeDocument/2006/relationships/hyperlink" Target="https://www.healio.com/hematology-oncology/sarcoma/news/online/%7Bd3e29cb1-e9f4-436b-8ee2-7417db795408%7D/larotrectinib-induces-durable-responses-in-trk-fusion-cancers?utm_source=selligent&amp;utm_medium=email&amp;utm_campaign=hematology%20oncology%20news&amp;m_bt=19042249342&amp;page=2" TargetMode="External"/><Relationship Id="rId316" Type="http://schemas.openxmlformats.org/officeDocument/2006/relationships/hyperlink" Target="https://clinicaltrials.gov/ct2/show/NCT02702401?term=NCT02702401&amp;rank=1" TargetMode="External"/><Relationship Id="rId55" Type="http://schemas.openxmlformats.org/officeDocument/2006/relationships/hyperlink" Target="https://www.ncbi.nlm.nih.gov/pubmed/?term=Blood.+Baccarani+M%2C+Deininger+MW%2C+Rosti+G%2C+et+al.+European+LeukemiaNet+recommendations+for+the+management+of+chronic+myeloid+leukemia%3A+2013.+Blood.+2013%3B+122%3A872-84." TargetMode="External"/><Relationship Id="rId97" Type="http://schemas.openxmlformats.org/officeDocument/2006/relationships/hyperlink" Target="https://www.ncbi.nlm.nih.gov/pubmed/?term=Planchard%20D%5BAuthor%5D&amp;cauthor=true&amp;cauthor_uid=28919011" TargetMode="External"/><Relationship Id="rId120" Type="http://schemas.openxmlformats.org/officeDocument/2006/relationships/hyperlink" Target="https://www.accessdata.fda.gov/drugsatfda_docs/label/2009/021882s006lbl.pdf" TargetMode="External"/><Relationship Id="rId358" Type="http://schemas.openxmlformats.org/officeDocument/2006/relationships/image" Target="media/image20.jpeg"/><Relationship Id="rId162" Type="http://schemas.openxmlformats.org/officeDocument/2006/relationships/hyperlink" Target="https://www.nccn.org/professionals/physician_gls/pdf/nscl.pdf" TargetMode="External"/><Relationship Id="rId218" Type="http://schemas.openxmlformats.org/officeDocument/2006/relationships/hyperlink" Target="http://www.ncbi.nlm.nih.gov/pubmed/16244538" TargetMode="External"/><Relationship Id="rId271" Type="http://schemas.openxmlformats.org/officeDocument/2006/relationships/image" Target="media/image12.png"/><Relationship Id="rId24" Type="http://schemas.openxmlformats.org/officeDocument/2006/relationships/hyperlink" Target="https://www.uptodate.com/contents/treatment-of-psoriasis-in-adults" TargetMode="External"/><Relationship Id="rId66" Type="http://schemas.openxmlformats.org/officeDocument/2006/relationships/hyperlink" Target="https://www.ncbi.nlm.nih.gov/pubmed/?term=Choueiri%20TK%5BAuthor%5D&amp;cauthor=true&amp;cauthor_uid=29550566" TargetMode="External"/><Relationship Id="rId131" Type="http://schemas.openxmlformats.org/officeDocument/2006/relationships/image" Target="media/image4.png"/><Relationship Id="rId327" Type="http://schemas.openxmlformats.org/officeDocument/2006/relationships/hyperlink" Target="https://www.ncbi.nlm.nih.gov/pubmed/26712084" TargetMode="External"/><Relationship Id="rId369" Type="http://schemas.openxmlformats.org/officeDocument/2006/relationships/hyperlink" Target="http://www.healthy.arkansas.gov/programsServices/familyHealth/ChildAndAdolescentHealth/newBornScreening/HealthProfessionals/Documents/list_conditions_screened_arkansas.pdf" TargetMode="External"/><Relationship Id="rId173" Type="http://schemas.openxmlformats.org/officeDocument/2006/relationships/hyperlink" Target="file:///H:\Volumes\COP_Apps\EBRx%20Program\My%20Dropbox\PDF's\Fidaxomicin%20vs%20Vanc%20for%20Cdif-NEJM%202-11.pdf" TargetMode="External"/><Relationship Id="rId229" Type="http://schemas.openxmlformats.org/officeDocument/2006/relationships/hyperlink" Target="https://www.ncbi.nlm.nih.gov/pubmed/30315239" TargetMode="External"/><Relationship Id="rId380" Type="http://schemas.openxmlformats.org/officeDocument/2006/relationships/image" Target="media/image23.png"/><Relationship Id="rId240" Type="http://schemas.openxmlformats.org/officeDocument/2006/relationships/hyperlink" Target="http://en.wikipedia.org/wiki/Tendon" TargetMode="External"/><Relationship Id="rId35" Type="http://schemas.openxmlformats.org/officeDocument/2006/relationships/hyperlink" Target="https://www.ncbi.nlm.nih.gov/pubmed/29863955" TargetMode="External"/><Relationship Id="rId77" Type="http://schemas.openxmlformats.org/officeDocument/2006/relationships/hyperlink" Target="https://eyewiki.org/Corneal_neurotization_for_neurotrophic_keratitis" TargetMode="External"/><Relationship Id="rId100" Type="http://schemas.openxmlformats.org/officeDocument/2006/relationships/hyperlink" Target="https://www.ncbi.nlm.nih.gov/pubmed/28919011" TargetMode="External"/><Relationship Id="rId282" Type="http://schemas.openxmlformats.org/officeDocument/2006/relationships/hyperlink" Target="https://www.ncbi.nlm.nih.gov/pubmed/21856226" TargetMode="External"/><Relationship Id="rId338" Type="http://schemas.openxmlformats.org/officeDocument/2006/relationships/hyperlink" Target="https://ascopubs.org/doi/abs/10.1200/JCO.2020.38.18_suppl.LBA4" TargetMode="External"/><Relationship Id="rId8" Type="http://schemas.openxmlformats.org/officeDocument/2006/relationships/image" Target="media/image1.jpeg"/><Relationship Id="rId142" Type="http://schemas.openxmlformats.org/officeDocument/2006/relationships/hyperlink" Target="https://www.hcvguidelines.org/references/fernandez-carrillo-2016" TargetMode="External"/><Relationship Id="rId184" Type="http://schemas.openxmlformats.org/officeDocument/2006/relationships/hyperlink" Target="http://web.ebscohost.com/dynamed/detail?vid=3&amp;hid=9&amp;sid=ffd21b89-2385-4968-8b2e-a7e78c13553f%40sessionmgr4&amp;bdata=JnNpdGU9ZHluYW1lZC1saXZlJnNjb3BlPXNpdGU%3d" TargetMode="External"/><Relationship Id="rId391" Type="http://schemas.openxmlformats.org/officeDocument/2006/relationships/hyperlink" Target="https://www.ncbi.nlm.nih.gov/pubmed/?term=Motzer%20RJ%5BAuthor%5D&amp;cauthor=true&amp;cauthor_uid=17215529" TargetMode="External"/><Relationship Id="rId405" Type="http://schemas.openxmlformats.org/officeDocument/2006/relationships/image" Target="media/image24.png"/><Relationship Id="rId251" Type="http://schemas.openxmlformats.org/officeDocument/2006/relationships/hyperlink" Target="https://www.ncbi.nlm.nih.gov/pubmed/20525992" TargetMode="External"/><Relationship Id="rId46" Type="http://schemas.openxmlformats.org/officeDocument/2006/relationships/hyperlink" Target="https://ashpublications.org/blood/article/134/Supplement_1/3125/423837/Overall-Survival-of-Triple-Class-Refractory-Penta" TargetMode="External"/><Relationship Id="rId293" Type="http://schemas.openxmlformats.org/officeDocument/2006/relationships/hyperlink" Target="http://www.bloodjournal.org/content/132/Suppl_1/5894" TargetMode="External"/><Relationship Id="rId307" Type="http://schemas.openxmlformats.org/officeDocument/2006/relationships/image" Target="media/image17.png"/><Relationship Id="rId349" Type="http://schemas.openxmlformats.org/officeDocument/2006/relationships/image" Target="media/image19.png"/><Relationship Id="rId88" Type="http://schemas.openxmlformats.org/officeDocument/2006/relationships/hyperlink" Target="http://www.uptodate.com/contents/rare-inherited-coagulation-disorders?source=see_link" TargetMode="External"/><Relationship Id="rId111" Type="http://schemas.openxmlformats.org/officeDocument/2006/relationships/hyperlink" Target="https://www.ncbi.nlm.nih.gov/pubmed/20525995" TargetMode="External"/><Relationship Id="rId153" Type="http://schemas.openxmlformats.org/officeDocument/2006/relationships/hyperlink" Target="https://icer-review.org/wp-content/uploads/2017/08/ICER_Hemophilia_A_Draft_Report_012618.pdf" TargetMode="External"/><Relationship Id="rId195" Type="http://schemas.openxmlformats.org/officeDocument/2006/relationships/hyperlink" Target="http://www.ncbi.nlm.nih.gov/pubmed?term=%22Cowell%20C%22%5BAuthor%5D" TargetMode="External"/><Relationship Id="rId209" Type="http://schemas.openxmlformats.org/officeDocument/2006/relationships/hyperlink" Target="http://www.ncbi.nlm.nih.gov/pubmed?term=%22Byrne%20TA%22%5BAuthor%5D" TargetMode="External"/><Relationship Id="rId360" Type="http://schemas.openxmlformats.org/officeDocument/2006/relationships/hyperlink" Target="https://www.xifaxan.com/" TargetMode="External"/><Relationship Id="rId416" Type="http://schemas.openxmlformats.org/officeDocument/2006/relationships/hyperlink" Target="https://www.ncbi.nlm.nih.gov/pubmed/?term=Ascierto%20PA%5BAuthor%5D&amp;cauthor=true&amp;cauthor_uid=27480103" TargetMode="External"/><Relationship Id="rId220" Type="http://schemas.openxmlformats.org/officeDocument/2006/relationships/hyperlink" Target="http://www.ncbi.nlm.nih.gov/pubmed?term=%22Kotler%20D%22%5BAuthor%5D" TargetMode="External"/><Relationship Id="rId15" Type="http://schemas.openxmlformats.org/officeDocument/2006/relationships/hyperlink" Target="https://ash.confex.com/ash/2020/webprogram/Paper134824.html.%20Accessed%2010/26/2021" TargetMode="External"/><Relationship Id="rId57" Type="http://schemas.openxmlformats.org/officeDocument/2006/relationships/hyperlink" Target="https://www.ncbi.nlm.nih.gov/pubmed/29091516" TargetMode="External"/><Relationship Id="rId262" Type="http://schemas.openxmlformats.org/officeDocument/2006/relationships/image" Target="media/image10.png"/><Relationship Id="rId318" Type="http://schemas.openxmlformats.org/officeDocument/2006/relationships/hyperlink" Target="https://www.ncbi.nlm.nih.gov/pubmed/?term=Hamid%20O%5BAuthor%5D&amp;cauthor=true&amp;cauthor_uid=28961465" TargetMode="External"/><Relationship Id="rId99" Type="http://schemas.openxmlformats.org/officeDocument/2006/relationships/hyperlink" Target="https://www.ncbi.nlm.nih.gov/pubmed/?term=Planchard%20D%5BAuthor%5D&amp;cauthor=true&amp;cauthor_uid=28919011" TargetMode="External"/><Relationship Id="rId122" Type="http://schemas.openxmlformats.org/officeDocument/2006/relationships/hyperlink" Target="https://www.ncbi.nlm.nih.gov/pubmed/29429912" TargetMode="External"/><Relationship Id="rId164" Type="http://schemas.openxmlformats.org/officeDocument/2006/relationships/hyperlink" Target="https://www.accessdata.fda.gov/drugsatfda_docs/label/2018/103234s5369lbl.pdf" TargetMode="External"/><Relationship Id="rId371" Type="http://schemas.openxmlformats.org/officeDocument/2006/relationships/hyperlink" Target="http://www.leukine.com/pi" TargetMode="External"/><Relationship Id="rId26" Type="http://schemas.openxmlformats.org/officeDocument/2006/relationships/hyperlink" Target="https://www.rheumatology.org/Practice-Quality/Clinical-Support/Clinical-Practice-Guidelines/Psoriatic-Arthritis" TargetMode="External"/><Relationship Id="rId231" Type="http://schemas.openxmlformats.org/officeDocument/2006/relationships/hyperlink" Target="https://www.accessdata.fda.gov/drugsatfda_docs/nda/2012/202057Orig1s000SumR.pdf" TargetMode="External"/><Relationship Id="rId273" Type="http://schemas.openxmlformats.org/officeDocument/2006/relationships/hyperlink" Target="https://www.nccn.org/professionals/physician_gls/pdf/neuroendocrine.pdf" TargetMode="External"/><Relationship Id="rId329" Type="http://schemas.openxmlformats.org/officeDocument/2006/relationships/hyperlink" Target="https://www.merck.com/product/usa/pi_circulars/k/keytruda/keytruda_pi.pdf.%20Accessed%209/10/19" TargetMode="External"/><Relationship Id="rId68" Type="http://schemas.openxmlformats.org/officeDocument/2006/relationships/hyperlink" Target="https://www.ncbi.nlm.nih.gov/pubmed/29972759" TargetMode="External"/><Relationship Id="rId133" Type="http://schemas.openxmlformats.org/officeDocument/2006/relationships/hyperlink" Target="file:///H:\Users\johnsonjillt\Downloads\20220219_1a8bcc90-68fa-474d-832c-0df01e825f39.pdf" TargetMode="External"/><Relationship Id="rId175" Type="http://schemas.openxmlformats.org/officeDocument/2006/relationships/image" Target="media/image6.tiff"/><Relationship Id="rId340" Type="http://schemas.openxmlformats.org/officeDocument/2006/relationships/hyperlink" Target="https://www.nccn.org/professionals/physician_gls/pdf/esophageal.pdf" TargetMode="External"/><Relationship Id="rId200" Type="http://schemas.openxmlformats.org/officeDocument/2006/relationships/hyperlink" Target="http://www.ncbi.nlm.nih.gov/pubmed?term=%22Cave%20CB%22%5BAuthor%5D" TargetMode="External"/><Relationship Id="rId382" Type="http://schemas.openxmlformats.org/officeDocument/2006/relationships/hyperlink" Target="https://www.cdc.gov/parasites/lice/head/treatment.html" TargetMode="External"/><Relationship Id="rId242" Type="http://schemas.openxmlformats.org/officeDocument/2006/relationships/hyperlink" Target="http://en.wikipedia.org/wiki/Joint_stiffness" TargetMode="External"/><Relationship Id="rId284" Type="http://schemas.openxmlformats.org/officeDocument/2006/relationships/hyperlink" Target="https://www.ncbi.nlm.nih.gov/pubmed/30422243" TargetMode="External"/><Relationship Id="rId37" Type="http://schemas.openxmlformats.org/officeDocument/2006/relationships/hyperlink" Target="https://www.emdserono.com/us-en/pi/bavencio-pi.pdf" TargetMode="External"/><Relationship Id="rId79" Type="http://schemas.openxmlformats.org/officeDocument/2006/relationships/hyperlink" Target="https://eyewiki.org/Neurotrophic_Keratitis" TargetMode="External"/><Relationship Id="rId102" Type="http://schemas.openxmlformats.org/officeDocument/2006/relationships/hyperlink" Target="https://www.ncbi.nlm.nih.gov/pubmed/29072975" TargetMode="External"/><Relationship Id="rId144" Type="http://schemas.openxmlformats.org/officeDocument/2006/relationships/hyperlink" Target="https://www.hcvguidelines.org/references/belli-2016" TargetMode="External"/><Relationship Id="rId90" Type="http://schemas.openxmlformats.org/officeDocument/2006/relationships/hyperlink" Target="http://www.uptodate.com/contents/rare-inherited-coagulation-disorders?source=see_link" TargetMode="External"/><Relationship Id="rId186" Type="http://schemas.openxmlformats.org/officeDocument/2006/relationships/hyperlink" Target="http://web.ebscohost.com/dynamed/detail?vid=3&amp;hid=9&amp;sid=ffd21b89-2385-4968-8b2e-a7e78c13553f%40sessionmgr4&amp;bdata=JnNpdGU9ZHluYW1lZC1saXZlJnNjb3BlPXNpdGU%3d" TargetMode="External"/><Relationship Id="rId351" Type="http://schemas.openxmlformats.org/officeDocument/2006/relationships/hyperlink" Target="https://www.accessdata.fda.gov/drugsatfda_docs/nda/2019/212862Orig1s000MultidisciplineR.pdf" TargetMode="External"/><Relationship Id="rId393" Type="http://schemas.openxmlformats.org/officeDocument/2006/relationships/hyperlink" Target="https://www.ncbi.nlm.nih.gov/pubmed/?term=Raymond%20E%5BAuthor%5D&amp;cauthor=true&amp;cauthor_uid=21306237" TargetMode="External"/><Relationship Id="rId407" Type="http://schemas.openxmlformats.org/officeDocument/2006/relationships/hyperlink" Target="https://www.ncbi.nlm.nih.gov/pubmed/?term=Long%20GV%5BAuthor%5D&amp;cauthor=true&amp;cauthor_uid=28475671" TargetMode="External"/><Relationship Id="rId211" Type="http://schemas.openxmlformats.org/officeDocument/2006/relationships/hyperlink" Target="http://www.ncbi.nlm.nih.gov/pubmed?term=%22Iyer%20K%22%5BAuthor%5D" TargetMode="External"/><Relationship Id="rId253" Type="http://schemas.openxmlformats.org/officeDocument/2006/relationships/hyperlink" Target="https://34eyj51jerf417itp82ufdoe-wpengine.netdna-ssl.com/wp-content/uploads/2020/08/ICER_CF_RAAG_092320-1.pdf" TargetMode="External"/><Relationship Id="rId295" Type="http://schemas.openxmlformats.org/officeDocument/2006/relationships/hyperlink" Target="https://www.accessdata.fda.gov/drugsatfda_docs/label/2021/125554s092lbl.pdf%20Accessed%206/17/2021" TargetMode="External"/><Relationship Id="rId309" Type="http://schemas.openxmlformats.org/officeDocument/2006/relationships/hyperlink" Target="https://www.ncbi.nlm.nih.gov/pubmed/?term=30632023" TargetMode="External"/><Relationship Id="rId48" Type="http://schemas.openxmlformats.org/officeDocument/2006/relationships/hyperlink" Target="https://www.sciencedirect.com/science/article/pii/S108387911500155X" TargetMode="External"/><Relationship Id="rId113" Type="http://schemas.openxmlformats.org/officeDocument/2006/relationships/hyperlink" Target="https://www.ncbi.nlm.nih.gov/pubmed/27217448" TargetMode="External"/><Relationship Id="rId320" Type="http://schemas.openxmlformats.org/officeDocument/2006/relationships/hyperlink" Target="https://www.ncbi.nlm.nih.gov/pubmed/?term=Reck%20M%5BAuthor%5D&amp;cauthor=true&amp;cauthor_uid=30620668" TargetMode="External"/><Relationship Id="rId155" Type="http://schemas.openxmlformats.org/officeDocument/2006/relationships/hyperlink" Target="https://www.ncbi.nlm.nih.gov/pubmed/?term=Dummer%20R%5BAuthor%5D&amp;cauthor=true&amp;cauthor_uid=29573941" TargetMode="External"/><Relationship Id="rId197" Type="http://schemas.openxmlformats.org/officeDocument/2006/relationships/hyperlink" Target="http://www.ncbi.nlm.nih.gov/pubmed/16856001" TargetMode="External"/><Relationship Id="rId362" Type="http://schemas.openxmlformats.org/officeDocument/2006/relationships/hyperlink" Target="http://www.uptodate.com/contents/treatment-of-pulmonary-hypertension-in-adults?source=search_result&amp;search=pulmonary++hypertension&amp;selectedTitle=2~150" TargetMode="External"/><Relationship Id="rId418" Type="http://schemas.openxmlformats.org/officeDocument/2006/relationships/hyperlink" Target="https://ash.confex.com/ash/2019/webprogram/Paper126542.html" TargetMode="External"/><Relationship Id="rId222" Type="http://schemas.openxmlformats.org/officeDocument/2006/relationships/hyperlink" Target="http://www.ncbi.nlm.nih.gov/pubmed?term=Collaborative%20recommendations%3A%20the%20approach%20to%20diagnosis%20and%20treatment%20of%20HIV%20wasting" TargetMode="External"/><Relationship Id="rId264" Type="http://schemas.openxmlformats.org/officeDocument/2006/relationships/hyperlink" Target="https://www.nccn.org/professionals/physician_gls/pdf/md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6D5E6B-7E49-454E-81A7-B62529F15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711</Pages>
  <Words>165551</Words>
  <Characters>943647</Characters>
  <Application>Microsoft Office Word</Application>
  <DocSecurity>0</DocSecurity>
  <Lines>7863</Lines>
  <Paragraphs>2213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1106985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Oktawia DeYoung</dc:creator>
  <cp:keywords/>
  <dc:description/>
  <cp:lastModifiedBy>Oktawia DeYoung</cp:lastModifiedBy>
  <cp:revision>5</cp:revision>
  <dcterms:created xsi:type="dcterms:W3CDTF">2022-06-14T17:57:00Z</dcterms:created>
  <dcterms:modified xsi:type="dcterms:W3CDTF">2022-06-17T19:47:00Z</dcterms:modified>
</cp:coreProperties>
</file>